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F0D414" w14:textId="77777777" w:rsidR="00417F18" w:rsidRPr="004D46AC" w:rsidRDefault="00417F18" w:rsidP="00B518F1">
      <w:pPr>
        <w:autoSpaceDE w:val="0"/>
        <w:autoSpaceDN w:val="0"/>
        <w:adjustRightInd w:val="0"/>
        <w:spacing w:line="240" w:lineRule="auto"/>
        <w:jc w:val="center"/>
        <w:rPr>
          <w:rFonts w:asciiTheme="majorBidi" w:hAnsiTheme="majorBidi" w:cstheme="majorBidi"/>
          <w:sz w:val="24"/>
          <w:szCs w:val="24"/>
        </w:rPr>
      </w:pPr>
      <w:r w:rsidRPr="004D46AC">
        <w:rPr>
          <w:rFonts w:asciiTheme="majorBidi" w:hAnsiTheme="majorBidi" w:cstheme="majorBidi"/>
          <w:noProof/>
          <w:sz w:val="24"/>
          <w:szCs w:val="24"/>
        </w:rPr>
        <w:drawing>
          <wp:inline distT="0" distB="0" distL="0" distR="0" wp14:anchorId="150A1117" wp14:editId="3E3E5095">
            <wp:extent cx="2838450" cy="855924"/>
            <wp:effectExtent l="0" t="0" r="0" b="1905"/>
            <wp:docPr id="2" name="Picture 1" descr="C:\Users\ad1xxxdh\AppData\Local\Microsoft\Windows\INetCache\Content.Word\UOSLogo_Primary_Violet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1xxxdh\AppData\Local\Microsoft\Windows\INetCache\Content.Word\UOSLogo_Primary_Violet_RGB.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4155" cy="863675"/>
                    </a:xfrm>
                    <a:prstGeom prst="rect">
                      <a:avLst/>
                    </a:prstGeom>
                    <a:noFill/>
                    <a:ln>
                      <a:noFill/>
                    </a:ln>
                  </pic:spPr>
                </pic:pic>
              </a:graphicData>
            </a:graphic>
          </wp:inline>
        </w:drawing>
      </w:r>
    </w:p>
    <w:p w14:paraId="4E04E763" w14:textId="77777777" w:rsidR="00417F18" w:rsidRPr="004D46AC" w:rsidRDefault="00417F18" w:rsidP="00B518F1">
      <w:pPr>
        <w:autoSpaceDE w:val="0"/>
        <w:autoSpaceDN w:val="0"/>
        <w:adjustRightInd w:val="0"/>
        <w:spacing w:line="240" w:lineRule="auto"/>
        <w:rPr>
          <w:rFonts w:asciiTheme="majorBidi" w:hAnsiTheme="majorBidi" w:cstheme="majorBidi"/>
          <w:sz w:val="24"/>
          <w:szCs w:val="24"/>
        </w:rPr>
      </w:pPr>
    </w:p>
    <w:p w14:paraId="2D2DACB7" w14:textId="77777777" w:rsidR="00417F18" w:rsidRPr="004D46AC" w:rsidRDefault="00417F18" w:rsidP="00B518F1">
      <w:pPr>
        <w:autoSpaceDE w:val="0"/>
        <w:autoSpaceDN w:val="0"/>
        <w:adjustRightInd w:val="0"/>
        <w:spacing w:line="240" w:lineRule="auto"/>
        <w:rPr>
          <w:rFonts w:asciiTheme="majorBidi" w:hAnsiTheme="majorBidi" w:cstheme="majorBidi"/>
          <w:sz w:val="24"/>
          <w:szCs w:val="24"/>
        </w:rPr>
      </w:pPr>
    </w:p>
    <w:p w14:paraId="4C47A399" w14:textId="77777777" w:rsidR="00417F18" w:rsidRPr="004D46AC" w:rsidRDefault="00417F18" w:rsidP="00B518F1">
      <w:pPr>
        <w:autoSpaceDE w:val="0"/>
        <w:autoSpaceDN w:val="0"/>
        <w:adjustRightInd w:val="0"/>
        <w:spacing w:line="240" w:lineRule="auto"/>
        <w:rPr>
          <w:rFonts w:asciiTheme="majorBidi" w:hAnsiTheme="majorBidi" w:cstheme="majorBidi"/>
          <w:sz w:val="24"/>
          <w:szCs w:val="24"/>
        </w:rPr>
      </w:pPr>
    </w:p>
    <w:p w14:paraId="735C0A7B" w14:textId="77777777" w:rsidR="00417F18" w:rsidRPr="004D46AC" w:rsidRDefault="00417F18" w:rsidP="00B518F1">
      <w:pPr>
        <w:autoSpaceDE w:val="0"/>
        <w:autoSpaceDN w:val="0"/>
        <w:adjustRightInd w:val="0"/>
        <w:spacing w:line="240" w:lineRule="auto"/>
        <w:jc w:val="center"/>
        <w:rPr>
          <w:rFonts w:asciiTheme="majorBidi" w:hAnsiTheme="majorBidi" w:cstheme="majorBidi"/>
          <w:sz w:val="24"/>
          <w:szCs w:val="24"/>
        </w:rPr>
      </w:pPr>
    </w:p>
    <w:p w14:paraId="2D0B1216" w14:textId="77777777" w:rsidR="00417F18" w:rsidRPr="004D46AC" w:rsidRDefault="00417F18" w:rsidP="00B518F1">
      <w:pPr>
        <w:autoSpaceDE w:val="0"/>
        <w:autoSpaceDN w:val="0"/>
        <w:adjustRightInd w:val="0"/>
        <w:spacing w:line="240" w:lineRule="auto"/>
        <w:jc w:val="center"/>
        <w:rPr>
          <w:rFonts w:asciiTheme="majorBidi" w:hAnsiTheme="majorBidi" w:cstheme="majorBidi"/>
          <w:sz w:val="24"/>
          <w:szCs w:val="24"/>
        </w:rPr>
      </w:pPr>
    </w:p>
    <w:p w14:paraId="1CC1A425" w14:textId="77777777" w:rsidR="00417F18" w:rsidRPr="004D46AC" w:rsidRDefault="00417F18" w:rsidP="00B518F1">
      <w:pPr>
        <w:autoSpaceDE w:val="0"/>
        <w:autoSpaceDN w:val="0"/>
        <w:adjustRightInd w:val="0"/>
        <w:spacing w:line="240" w:lineRule="auto"/>
        <w:jc w:val="center"/>
        <w:rPr>
          <w:rFonts w:asciiTheme="majorBidi" w:hAnsiTheme="majorBidi" w:cstheme="majorBidi"/>
          <w:sz w:val="24"/>
          <w:szCs w:val="24"/>
        </w:rPr>
      </w:pPr>
    </w:p>
    <w:p w14:paraId="4BC2E43A" w14:textId="77777777" w:rsidR="00417F18" w:rsidRPr="004D46AC" w:rsidRDefault="00417F18" w:rsidP="00B518F1">
      <w:pPr>
        <w:autoSpaceDE w:val="0"/>
        <w:autoSpaceDN w:val="0"/>
        <w:adjustRightInd w:val="0"/>
        <w:spacing w:line="240" w:lineRule="auto"/>
        <w:jc w:val="center"/>
        <w:rPr>
          <w:rFonts w:asciiTheme="majorBidi" w:hAnsiTheme="majorBidi" w:cstheme="majorBidi"/>
        </w:rPr>
      </w:pPr>
    </w:p>
    <w:p w14:paraId="0EBA552C" w14:textId="77777777" w:rsidR="00417F18" w:rsidRPr="004D46AC" w:rsidRDefault="00417F18" w:rsidP="00B518F1">
      <w:pPr>
        <w:autoSpaceDE w:val="0"/>
        <w:autoSpaceDN w:val="0"/>
        <w:adjustRightInd w:val="0"/>
        <w:spacing w:line="240" w:lineRule="auto"/>
        <w:jc w:val="center"/>
        <w:rPr>
          <w:rFonts w:asciiTheme="majorBidi" w:hAnsiTheme="majorBidi" w:cstheme="majorBidi"/>
        </w:rPr>
      </w:pPr>
    </w:p>
    <w:p w14:paraId="1D623322" w14:textId="77777777" w:rsidR="00417F18" w:rsidRPr="004D46AC" w:rsidRDefault="00417F18" w:rsidP="00B518F1">
      <w:pPr>
        <w:autoSpaceDE w:val="0"/>
        <w:autoSpaceDN w:val="0"/>
        <w:adjustRightInd w:val="0"/>
        <w:spacing w:line="240" w:lineRule="auto"/>
        <w:jc w:val="center"/>
        <w:rPr>
          <w:rFonts w:asciiTheme="majorBidi" w:hAnsiTheme="majorBidi" w:cstheme="majorBidi"/>
        </w:rPr>
      </w:pPr>
    </w:p>
    <w:p w14:paraId="5B505107" w14:textId="77777777" w:rsidR="00417F18" w:rsidRPr="004D46AC" w:rsidRDefault="00417F18" w:rsidP="00B518F1">
      <w:pPr>
        <w:autoSpaceDE w:val="0"/>
        <w:autoSpaceDN w:val="0"/>
        <w:adjustRightInd w:val="0"/>
        <w:spacing w:line="240" w:lineRule="auto"/>
        <w:jc w:val="center"/>
        <w:rPr>
          <w:rFonts w:asciiTheme="majorBidi" w:hAnsiTheme="majorBidi" w:cstheme="majorBidi"/>
        </w:rPr>
      </w:pPr>
    </w:p>
    <w:p w14:paraId="334163CB" w14:textId="77777777" w:rsidR="00417F18" w:rsidRPr="004D46AC" w:rsidRDefault="00417F18" w:rsidP="00B518F1">
      <w:pPr>
        <w:autoSpaceDE w:val="0"/>
        <w:autoSpaceDN w:val="0"/>
        <w:adjustRightInd w:val="0"/>
        <w:spacing w:line="240" w:lineRule="auto"/>
        <w:jc w:val="center"/>
        <w:rPr>
          <w:b/>
          <w:bCs/>
          <w:color w:val="222222"/>
          <w:shd w:val="clear" w:color="auto" w:fill="FFFFFF"/>
        </w:rPr>
      </w:pPr>
    </w:p>
    <w:p w14:paraId="6E9E2BF3" w14:textId="77777777" w:rsidR="00417F18" w:rsidRPr="004D46AC" w:rsidRDefault="00417F18" w:rsidP="00784DEF">
      <w:pPr>
        <w:autoSpaceDE w:val="0"/>
        <w:autoSpaceDN w:val="0"/>
        <w:adjustRightInd w:val="0"/>
        <w:spacing w:line="240" w:lineRule="auto"/>
        <w:ind w:firstLine="0"/>
        <w:jc w:val="center"/>
        <w:rPr>
          <w:b/>
          <w:bCs/>
        </w:rPr>
      </w:pPr>
      <w:bookmarkStart w:id="0" w:name="OLE_LINK87"/>
      <w:r w:rsidRPr="004D46AC">
        <w:rPr>
          <w:b/>
          <w:bCs/>
          <w:color w:val="222222"/>
          <w:shd w:val="clear" w:color="auto" w:fill="FFFFFF"/>
        </w:rPr>
        <w:t>The Relationship Between Bipolar Disorder and Schizophrenia: Psychopathological Mechanisms Underlying the Blurred Boundary</w:t>
      </w:r>
      <w:bookmarkEnd w:id="0"/>
      <w:r w:rsidRPr="004D46AC">
        <w:rPr>
          <w:b/>
          <w:bCs/>
          <w:color w:val="222222"/>
        </w:rPr>
        <w:br/>
      </w:r>
    </w:p>
    <w:p w14:paraId="4508F4E0" w14:textId="77777777" w:rsidR="00417F18" w:rsidRPr="004D46AC" w:rsidRDefault="00417F18" w:rsidP="00B518F1">
      <w:pPr>
        <w:autoSpaceDE w:val="0"/>
        <w:autoSpaceDN w:val="0"/>
        <w:adjustRightInd w:val="0"/>
        <w:spacing w:line="240" w:lineRule="auto"/>
        <w:jc w:val="center"/>
      </w:pPr>
    </w:p>
    <w:p w14:paraId="3DC4C2C9" w14:textId="77777777" w:rsidR="00784DEF" w:rsidRPr="004D46AC" w:rsidRDefault="00784DEF" w:rsidP="00784DEF">
      <w:pPr>
        <w:autoSpaceDE w:val="0"/>
        <w:autoSpaceDN w:val="0"/>
        <w:adjustRightInd w:val="0"/>
        <w:spacing w:line="240" w:lineRule="auto"/>
        <w:ind w:firstLine="0"/>
        <w:rPr>
          <w:b/>
          <w:bCs/>
        </w:rPr>
      </w:pPr>
    </w:p>
    <w:p w14:paraId="3A0E0D84" w14:textId="32107E29" w:rsidR="00417F18" w:rsidRPr="004D46AC" w:rsidRDefault="00417F18" w:rsidP="00784DEF">
      <w:pPr>
        <w:autoSpaceDE w:val="0"/>
        <w:autoSpaceDN w:val="0"/>
        <w:adjustRightInd w:val="0"/>
        <w:spacing w:line="240" w:lineRule="auto"/>
        <w:ind w:firstLine="0"/>
        <w:jc w:val="center"/>
        <w:rPr>
          <w:b/>
          <w:bCs/>
        </w:rPr>
      </w:pPr>
      <w:r w:rsidRPr="004D46AC">
        <w:rPr>
          <w:b/>
          <w:bCs/>
        </w:rPr>
        <w:t>Wen Shao</w:t>
      </w:r>
    </w:p>
    <w:p w14:paraId="48295B3E" w14:textId="77777777" w:rsidR="00417F18" w:rsidRPr="004D46AC" w:rsidRDefault="00417F18" w:rsidP="00B518F1">
      <w:pPr>
        <w:autoSpaceDE w:val="0"/>
        <w:autoSpaceDN w:val="0"/>
        <w:adjustRightInd w:val="0"/>
        <w:spacing w:line="240" w:lineRule="auto"/>
        <w:jc w:val="center"/>
        <w:rPr>
          <w:b/>
          <w:bCs/>
        </w:rPr>
      </w:pPr>
    </w:p>
    <w:p w14:paraId="759E2EA4" w14:textId="77777777" w:rsidR="00417F18" w:rsidRPr="004D46AC" w:rsidRDefault="00417F18" w:rsidP="00B518F1">
      <w:pPr>
        <w:autoSpaceDE w:val="0"/>
        <w:autoSpaceDN w:val="0"/>
        <w:adjustRightInd w:val="0"/>
        <w:spacing w:line="240" w:lineRule="auto"/>
        <w:jc w:val="center"/>
        <w:rPr>
          <w:b/>
          <w:bCs/>
        </w:rPr>
      </w:pPr>
    </w:p>
    <w:p w14:paraId="5070309B" w14:textId="77777777" w:rsidR="00417F18" w:rsidRPr="004D46AC" w:rsidRDefault="00417F18" w:rsidP="00B518F1">
      <w:pPr>
        <w:autoSpaceDE w:val="0"/>
        <w:autoSpaceDN w:val="0"/>
        <w:adjustRightInd w:val="0"/>
        <w:spacing w:line="240" w:lineRule="auto"/>
      </w:pPr>
    </w:p>
    <w:p w14:paraId="7B057ADA" w14:textId="77777777" w:rsidR="00417F18" w:rsidRPr="004D46AC" w:rsidRDefault="00417F18" w:rsidP="00B518F1">
      <w:pPr>
        <w:autoSpaceDE w:val="0"/>
        <w:autoSpaceDN w:val="0"/>
        <w:adjustRightInd w:val="0"/>
        <w:spacing w:line="240" w:lineRule="auto"/>
      </w:pPr>
    </w:p>
    <w:p w14:paraId="1C470784" w14:textId="77777777" w:rsidR="00417F18" w:rsidRPr="004D46AC" w:rsidRDefault="00417F18" w:rsidP="00B518F1">
      <w:pPr>
        <w:autoSpaceDE w:val="0"/>
        <w:autoSpaceDN w:val="0"/>
        <w:adjustRightInd w:val="0"/>
        <w:spacing w:line="240" w:lineRule="auto"/>
      </w:pPr>
    </w:p>
    <w:p w14:paraId="6BF8126A" w14:textId="77777777" w:rsidR="00417F18" w:rsidRPr="004D46AC" w:rsidRDefault="00417F18" w:rsidP="00B518F1">
      <w:pPr>
        <w:autoSpaceDE w:val="0"/>
        <w:autoSpaceDN w:val="0"/>
        <w:adjustRightInd w:val="0"/>
        <w:spacing w:line="240" w:lineRule="auto"/>
      </w:pPr>
    </w:p>
    <w:p w14:paraId="26E766F1" w14:textId="77777777" w:rsidR="00417F18" w:rsidRPr="004D46AC" w:rsidRDefault="00417F18" w:rsidP="00784DEF">
      <w:pPr>
        <w:autoSpaceDE w:val="0"/>
        <w:autoSpaceDN w:val="0"/>
        <w:adjustRightInd w:val="0"/>
        <w:spacing w:line="240" w:lineRule="auto"/>
        <w:ind w:firstLine="0"/>
        <w:jc w:val="center"/>
      </w:pPr>
      <w:r w:rsidRPr="004D46AC">
        <w:t>A thesis submitted in partial fulfilment of the requirements for the degree of</w:t>
      </w:r>
    </w:p>
    <w:p w14:paraId="1664FDE6" w14:textId="77777777" w:rsidR="00417F18" w:rsidRPr="004D46AC" w:rsidRDefault="00417F18" w:rsidP="00B518F1">
      <w:pPr>
        <w:jc w:val="center"/>
      </w:pPr>
      <w:r w:rsidRPr="004D46AC">
        <w:t xml:space="preserve">Doctor of Philosophy </w:t>
      </w:r>
    </w:p>
    <w:p w14:paraId="3B6D2BEF" w14:textId="77777777" w:rsidR="00417F18" w:rsidRPr="004D46AC" w:rsidRDefault="00417F18" w:rsidP="00B518F1">
      <w:pPr>
        <w:jc w:val="center"/>
      </w:pPr>
    </w:p>
    <w:p w14:paraId="663B3F52" w14:textId="77777777" w:rsidR="00417F18" w:rsidRPr="004D46AC" w:rsidRDefault="00417F18" w:rsidP="00B518F1">
      <w:pPr>
        <w:jc w:val="center"/>
      </w:pPr>
    </w:p>
    <w:p w14:paraId="09F92248" w14:textId="77777777" w:rsidR="00417F18" w:rsidRPr="004D46AC" w:rsidRDefault="00417F18" w:rsidP="00B518F1">
      <w:pPr>
        <w:jc w:val="center"/>
      </w:pPr>
    </w:p>
    <w:p w14:paraId="35A4D071" w14:textId="77777777" w:rsidR="00417F18" w:rsidRPr="004D46AC" w:rsidRDefault="00417F18" w:rsidP="00784DEF">
      <w:pPr>
        <w:spacing w:line="240" w:lineRule="auto"/>
        <w:ind w:firstLine="0"/>
        <w:jc w:val="center"/>
      </w:pPr>
      <w:r w:rsidRPr="004D46AC">
        <w:t>The University of Sheffield</w:t>
      </w:r>
    </w:p>
    <w:p w14:paraId="0EDD3FF1" w14:textId="77777777" w:rsidR="00417F18" w:rsidRPr="004D46AC" w:rsidRDefault="00417F18" w:rsidP="00784DEF">
      <w:pPr>
        <w:autoSpaceDE w:val="0"/>
        <w:autoSpaceDN w:val="0"/>
        <w:adjustRightInd w:val="0"/>
        <w:spacing w:line="240" w:lineRule="auto"/>
        <w:ind w:firstLine="0"/>
        <w:jc w:val="center"/>
      </w:pPr>
      <w:r w:rsidRPr="004D46AC">
        <w:t>Faculty of Science</w:t>
      </w:r>
    </w:p>
    <w:p w14:paraId="58EABF90" w14:textId="77777777" w:rsidR="00417F18" w:rsidRPr="004D46AC" w:rsidRDefault="00417F18" w:rsidP="00784DEF">
      <w:pPr>
        <w:ind w:firstLine="0"/>
        <w:jc w:val="center"/>
      </w:pPr>
      <w:r w:rsidRPr="004D46AC">
        <w:rPr>
          <w:rFonts w:hint="eastAsia"/>
        </w:rPr>
        <w:t>School</w:t>
      </w:r>
      <w:r w:rsidRPr="004D46AC">
        <w:t xml:space="preserve"> of Psychology</w:t>
      </w:r>
    </w:p>
    <w:p w14:paraId="40C3EE4D" w14:textId="77777777" w:rsidR="00417F18" w:rsidRPr="004D46AC" w:rsidRDefault="00417F18" w:rsidP="00784DEF">
      <w:pPr>
        <w:jc w:val="center"/>
      </w:pPr>
    </w:p>
    <w:p w14:paraId="3799C488" w14:textId="40717555" w:rsidR="00417F18" w:rsidRPr="004D46AC" w:rsidRDefault="00417F18" w:rsidP="00784DEF">
      <w:pPr>
        <w:jc w:val="center"/>
      </w:pPr>
    </w:p>
    <w:p w14:paraId="65EBCE00" w14:textId="77777777" w:rsidR="00784DEF" w:rsidRPr="004D46AC" w:rsidRDefault="00784DEF" w:rsidP="00784DEF">
      <w:pPr>
        <w:jc w:val="center"/>
      </w:pPr>
    </w:p>
    <w:p w14:paraId="26655B7C" w14:textId="77777777" w:rsidR="00784DEF" w:rsidRPr="004D46AC" w:rsidRDefault="00784DEF" w:rsidP="00784DEF">
      <w:pPr>
        <w:jc w:val="center"/>
      </w:pPr>
    </w:p>
    <w:p w14:paraId="7E32C4D3" w14:textId="77777777" w:rsidR="00784DEF" w:rsidRPr="004D46AC" w:rsidRDefault="00784DEF" w:rsidP="00784DEF">
      <w:pPr>
        <w:jc w:val="center"/>
      </w:pPr>
    </w:p>
    <w:p w14:paraId="211576F7" w14:textId="77777777" w:rsidR="00417F18" w:rsidRPr="004D46AC" w:rsidRDefault="00417F18" w:rsidP="00784DEF">
      <w:pPr>
        <w:ind w:firstLine="0"/>
        <w:jc w:val="center"/>
        <w:rPr>
          <w:sz w:val="24"/>
          <w:szCs w:val="24"/>
        </w:rPr>
      </w:pPr>
      <w:r w:rsidRPr="004D46AC">
        <w:rPr>
          <w:rFonts w:eastAsiaTheme="minorEastAsia" w:hint="eastAsia"/>
        </w:rPr>
        <w:t xml:space="preserve">January 2026  </w:t>
      </w:r>
      <w:r w:rsidRPr="004D46AC">
        <w:rPr>
          <w:sz w:val="24"/>
          <w:szCs w:val="24"/>
        </w:rPr>
        <w:br w:type="page"/>
      </w:r>
    </w:p>
    <w:p w14:paraId="4F81A83D" w14:textId="77777777" w:rsidR="00417F18" w:rsidRPr="004D46AC" w:rsidRDefault="00417F18" w:rsidP="00784DEF">
      <w:pPr>
        <w:pStyle w:val="1"/>
      </w:pPr>
      <w:bookmarkStart w:id="1" w:name="_Toc219888736"/>
      <w:r w:rsidRPr="004D46AC">
        <w:lastRenderedPageBreak/>
        <w:t>Abstract</w:t>
      </w:r>
      <w:bookmarkEnd w:id="1"/>
    </w:p>
    <w:p w14:paraId="3C200314" w14:textId="173C41E4" w:rsidR="00417F18" w:rsidRPr="004D46AC" w:rsidRDefault="00417F18" w:rsidP="00B518F1">
      <w:r w:rsidRPr="004D46AC">
        <w:t>This thesis comprises six chapters, including four empirical studies (Chapters 2</w:t>
      </w:r>
      <w:r w:rsidR="004D46AC">
        <w:rPr>
          <w:rFonts w:eastAsiaTheme="minorEastAsia" w:hint="eastAsia"/>
        </w:rPr>
        <w:t>-</w:t>
      </w:r>
      <w:r w:rsidRPr="004D46AC">
        <w:t>5), aimed at deepening the understanding of a long-standing clinical dilemma: whether schizophrenia and bipolar spectrum disorders (BSD) represent distinct disease entities or a single disorder with differing manifestations.</w:t>
      </w:r>
    </w:p>
    <w:p w14:paraId="3322E4B7" w14:textId="77777777" w:rsidR="00417F18" w:rsidRPr="004D46AC" w:rsidRDefault="00417F18" w:rsidP="00B518F1">
      <w:r w:rsidRPr="004D46AC">
        <w:t>The thesis utilises various empirical approaches to examine psychopathological patterns, including dimensional and structural explorations of symptoms and at-risk states for mood and psychosis. Methodologically, this includes a systematic review of the prevalence of psychosis in BSD, alongside network analyses and dimensional comparisons. These studies utilised existing questionnaires and structured interviews across diverse cohorts: patients with psychotic disorders, the general population, and young people assessed for newly developed at-risk states.</w:t>
      </w:r>
    </w:p>
    <w:p w14:paraId="5CAD2123" w14:textId="4BFD9364" w:rsidR="00417F18" w:rsidRPr="004D46AC" w:rsidRDefault="00417F18" w:rsidP="00B518F1">
      <w:r w:rsidRPr="004D46AC">
        <w:t>Findings from the systematic review (covering 2</w:t>
      </w:r>
      <w:r w:rsidR="004D46AC">
        <w:rPr>
          <w:rFonts w:eastAsiaTheme="minorEastAsia" w:hint="eastAsia"/>
        </w:rPr>
        <w:t>85</w:t>
      </w:r>
      <w:r w:rsidRPr="004D46AC">
        <w:t xml:space="preserve"> articles) indicate that psychosis is highly prevalent in BSD</w:t>
      </w:r>
      <w:r w:rsidRPr="004D46AC">
        <w:rPr>
          <w:rFonts w:eastAsiaTheme="minorEastAsia"/>
        </w:rPr>
        <w:t xml:space="preserve"> and</w:t>
      </w:r>
      <w:r w:rsidRPr="004D46AC">
        <w:t xml:space="preserve"> identif</w:t>
      </w:r>
      <w:r w:rsidRPr="004D46AC">
        <w:rPr>
          <w:rFonts w:eastAsiaTheme="minorEastAsia" w:hint="eastAsia"/>
        </w:rPr>
        <w:t xml:space="preserve">ied </w:t>
      </w:r>
      <w:r w:rsidRPr="004D46AC">
        <w:t xml:space="preserve">a close relationship between Bipolar I disorder and psychosis. </w:t>
      </w:r>
      <w:r w:rsidRPr="004D46AC">
        <w:rPr>
          <w:rFonts w:eastAsiaTheme="minorEastAsia" w:hint="eastAsia"/>
        </w:rPr>
        <w:t>Consequently</w:t>
      </w:r>
      <w:r w:rsidRPr="004D46AC">
        <w:t>, network analysis revealed a robust link between mania</w:t>
      </w:r>
      <w:r w:rsidRPr="004D46AC">
        <w:rPr>
          <w:rFonts w:eastAsiaTheme="minorEastAsia" w:hint="eastAsia"/>
        </w:rPr>
        <w:t xml:space="preserve"> </w:t>
      </w:r>
      <w:r w:rsidRPr="004D46AC">
        <w:t xml:space="preserve">and psychosis. This relationship remained </w:t>
      </w:r>
      <w:r w:rsidRPr="004D46AC">
        <w:rPr>
          <w:rFonts w:eastAsiaTheme="minorEastAsia" w:hint="eastAsia"/>
        </w:rPr>
        <w:t>consistent</w:t>
      </w:r>
      <w:r w:rsidRPr="004D46AC">
        <w:t xml:space="preserve"> across patient and healthy populations and demonstrated longitudinal validity. Furthermore, network modelling uncovered distinctive patterns: mania and positive psychosis were </w:t>
      </w:r>
      <w:r w:rsidRPr="004D46AC">
        <w:rPr>
          <w:rFonts w:eastAsiaTheme="minorEastAsia" w:hint="eastAsia"/>
        </w:rPr>
        <w:t>linked</w:t>
      </w:r>
      <w:r w:rsidRPr="004D46AC">
        <w:t xml:space="preserve"> by behavioural activation and thought disorganisation, whereas depression and negative psychosis were</w:t>
      </w:r>
      <w:r w:rsidRPr="004D46AC">
        <w:rPr>
          <w:rFonts w:eastAsiaTheme="minorEastAsia" w:hint="eastAsia"/>
        </w:rPr>
        <w:t xml:space="preserve"> bridged</w:t>
      </w:r>
      <w:r w:rsidRPr="004D46AC">
        <w:t xml:space="preserve"> by reduced emotional expression and social </w:t>
      </w:r>
      <w:r w:rsidRPr="004D46AC">
        <w:rPr>
          <w:rFonts w:eastAsiaTheme="minorEastAsia" w:hint="eastAsia"/>
        </w:rPr>
        <w:t>coldness</w:t>
      </w:r>
      <w:r w:rsidRPr="004D46AC">
        <w:t>. Additionally, the network of at-risk states revealed that identity confusion and suspiciousness were significant symptoms potentially driving the</w:t>
      </w:r>
      <w:r w:rsidRPr="004D46AC">
        <w:rPr>
          <w:rFonts w:eastAsiaTheme="minorEastAsia" w:hint="eastAsia"/>
        </w:rPr>
        <w:t xml:space="preserve"> network</w:t>
      </w:r>
      <w:r w:rsidRPr="004D46AC">
        <w:t>.</w:t>
      </w:r>
    </w:p>
    <w:p w14:paraId="78DD21B0" w14:textId="77777777" w:rsidR="00417F18" w:rsidRPr="004D46AC" w:rsidRDefault="00417F18" w:rsidP="00B518F1">
      <w:r w:rsidRPr="004D46AC">
        <w:t>In conclusion, this thesis highlights that BSD and schizophrenia are connected not only by shared risk factors but also at the symptom level. They likely share a latent psychopathological process that manifests differently, offering strong support for a transdiagnostic approach to psychiatric practice. Future research should adopt extensive longitudinal designs capable of inferring robust causal relationships to further improve the understanding of these mental disorders.</w:t>
      </w:r>
    </w:p>
    <w:p w14:paraId="3CEE3E3D" w14:textId="77777777" w:rsidR="00B56A0F" w:rsidRPr="004D46AC" w:rsidRDefault="00417F18" w:rsidP="00B518F1">
      <w:pPr>
        <w:rPr>
          <w:rFonts w:eastAsiaTheme="minorEastAsia"/>
        </w:rPr>
        <w:sectPr w:rsidR="00B56A0F" w:rsidRPr="004D46AC" w:rsidSect="003D5CB6">
          <w:headerReference w:type="default" r:id="rId9"/>
          <w:pgSz w:w="11906" w:h="16838"/>
          <w:pgMar w:top="1440" w:right="1440" w:bottom="1440" w:left="1440" w:header="708" w:footer="708" w:gutter="0"/>
          <w:cols w:space="708"/>
          <w:docGrid w:linePitch="360"/>
        </w:sectPr>
      </w:pPr>
      <w:r w:rsidRPr="004D46AC">
        <w:rPr>
          <w:rFonts w:eastAsiaTheme="minorEastAsia"/>
          <w:b/>
          <w:bCs/>
        </w:rPr>
        <w:lastRenderedPageBreak/>
        <w:t xml:space="preserve">Keywords: </w:t>
      </w:r>
      <w:r w:rsidRPr="004D46AC">
        <w:rPr>
          <w:rFonts w:eastAsiaTheme="minorEastAsia"/>
        </w:rPr>
        <w:t>bipolar disorder, schizophrenia, psychosis, mania, depression, psychopathology, network analysis, transdiagnostic, clinical high risk.</w:t>
      </w:r>
    </w:p>
    <w:p w14:paraId="5165F519" w14:textId="77777777" w:rsidR="00417F18" w:rsidRPr="004D46AC" w:rsidRDefault="00417F18" w:rsidP="00B518F1">
      <w:pPr>
        <w:pStyle w:val="1"/>
      </w:pPr>
      <w:bookmarkStart w:id="2" w:name="_Toc219888737"/>
      <w:r w:rsidRPr="004D46AC">
        <w:lastRenderedPageBreak/>
        <w:t>A</w:t>
      </w:r>
      <w:r w:rsidRPr="004D46AC">
        <w:rPr>
          <w:rFonts w:hint="eastAsia"/>
        </w:rPr>
        <w:t>cknowledgement</w:t>
      </w:r>
      <w:bookmarkEnd w:id="2"/>
    </w:p>
    <w:p w14:paraId="4F7892CD" w14:textId="228F84DC" w:rsidR="00417F18" w:rsidRPr="004D46AC" w:rsidRDefault="00417F18" w:rsidP="00B518F1">
      <w:pPr>
        <w:rPr>
          <w:rFonts w:eastAsiaTheme="minorEastAsia"/>
        </w:rPr>
      </w:pPr>
      <w:r w:rsidRPr="004D46AC">
        <w:rPr>
          <w:rFonts w:eastAsiaTheme="minorEastAsia" w:hint="eastAsia"/>
        </w:rPr>
        <w:t xml:space="preserve"> </w:t>
      </w:r>
      <w:r w:rsidRPr="004D46AC">
        <w:rPr>
          <w:rFonts w:eastAsiaTheme="minorEastAsia"/>
        </w:rPr>
        <w:t xml:space="preserve">First and foremost, my deepest gratefulness goes to my parents, </w:t>
      </w:r>
      <w:proofErr w:type="spellStart"/>
      <w:r w:rsidRPr="004D46AC">
        <w:rPr>
          <w:rFonts w:eastAsiaTheme="minorEastAsia"/>
        </w:rPr>
        <w:t>Xiuzhen</w:t>
      </w:r>
      <w:proofErr w:type="spellEnd"/>
      <w:r w:rsidRPr="004D46AC">
        <w:rPr>
          <w:rFonts w:eastAsiaTheme="minorEastAsia"/>
        </w:rPr>
        <w:t xml:space="preserve"> Si and </w:t>
      </w:r>
      <w:proofErr w:type="spellStart"/>
      <w:r w:rsidRPr="004D46AC">
        <w:rPr>
          <w:rFonts w:eastAsiaTheme="minorEastAsia"/>
        </w:rPr>
        <w:t>Guangming</w:t>
      </w:r>
      <w:proofErr w:type="spellEnd"/>
      <w:r w:rsidRPr="004D46AC">
        <w:rPr>
          <w:rFonts w:eastAsiaTheme="minorEastAsia"/>
        </w:rPr>
        <w:t xml:space="preserve"> Shao, and my sister, </w:t>
      </w:r>
      <w:proofErr w:type="spellStart"/>
      <w:r w:rsidRPr="004D46AC">
        <w:rPr>
          <w:rFonts w:eastAsiaTheme="minorEastAsia"/>
        </w:rPr>
        <w:t>Kangning</w:t>
      </w:r>
      <w:proofErr w:type="spellEnd"/>
      <w:r w:rsidRPr="004D46AC">
        <w:rPr>
          <w:rFonts w:eastAsiaTheme="minorEastAsia"/>
        </w:rPr>
        <w:t xml:space="preserve"> Shao. You have been integral to my life and the spark behind this doctoral journey. To my parents, thank you for your unconditional love and support. To my sister, thank you for your companionship and emotional support, and for always being there when I needed to be heard. This thesis is as much yours as it is mine.</w:t>
      </w:r>
    </w:p>
    <w:p w14:paraId="5FA4B0B1" w14:textId="77777777" w:rsidR="00417F18" w:rsidRPr="004D46AC" w:rsidRDefault="00417F18" w:rsidP="00B518F1">
      <w:pPr>
        <w:rPr>
          <w:rFonts w:eastAsiaTheme="minorEastAsia"/>
        </w:rPr>
      </w:pPr>
      <w:r w:rsidRPr="004D46AC">
        <w:rPr>
          <w:rFonts w:eastAsiaTheme="minorEastAsia"/>
        </w:rPr>
        <w:t xml:space="preserve">I also express my sincere gratitude to my supervisors, Professor Richard P. Bentall and Dr Melanie Simmonds-Buckley. Your expertise and patience were truly appreciated throughout this journey. Your guidance was invaluable in navigating these complicated tasks, and I am deeply thankful that you treated me not only as a student but also as a friend. I believe your supervision will have a long-lasting impact, benefiting me not only now as a student but also as I establish myself as an independent researcher </w:t>
      </w:r>
      <w:proofErr w:type="gramStart"/>
      <w:r w:rsidRPr="004D46AC">
        <w:rPr>
          <w:rFonts w:eastAsiaTheme="minorEastAsia"/>
        </w:rPr>
        <w:t>in the near future</w:t>
      </w:r>
      <w:proofErr w:type="gramEnd"/>
      <w:r w:rsidRPr="004D46AC">
        <w:rPr>
          <w:rFonts w:eastAsiaTheme="minorEastAsia"/>
        </w:rPr>
        <w:t>.</w:t>
      </w:r>
    </w:p>
    <w:p w14:paraId="4C1B578F" w14:textId="77777777" w:rsidR="00417F18" w:rsidRPr="004D46AC" w:rsidRDefault="00417F18" w:rsidP="00B518F1">
      <w:pPr>
        <w:rPr>
          <w:rFonts w:eastAsiaTheme="minorEastAsia"/>
        </w:rPr>
      </w:pPr>
      <w:r w:rsidRPr="004D46AC">
        <w:rPr>
          <w:rFonts w:eastAsiaTheme="minorEastAsia"/>
        </w:rPr>
        <w:t xml:space="preserve">Special thanks must go to Dr </w:t>
      </w:r>
      <w:proofErr w:type="spellStart"/>
      <w:r w:rsidRPr="004D46AC">
        <w:rPr>
          <w:rFonts w:eastAsiaTheme="minorEastAsia"/>
        </w:rPr>
        <w:t>Fenghua</w:t>
      </w:r>
      <w:proofErr w:type="spellEnd"/>
      <w:r w:rsidRPr="004D46AC">
        <w:rPr>
          <w:rFonts w:eastAsiaTheme="minorEastAsia"/>
        </w:rPr>
        <w:t xml:space="preserve"> Li</w:t>
      </w:r>
      <w:r w:rsidRPr="004D46AC">
        <w:rPr>
          <w:rFonts w:eastAsiaTheme="minorEastAsia" w:hint="eastAsia"/>
        </w:rPr>
        <w:t xml:space="preserve">, </w:t>
      </w:r>
      <w:r w:rsidRPr="004D46AC">
        <w:rPr>
          <w:rFonts w:eastAsiaTheme="minorEastAsia"/>
        </w:rPr>
        <w:t>Dr Jayne Pickering,</w:t>
      </w:r>
      <w:r w:rsidRPr="004D46AC">
        <w:rPr>
          <w:rFonts w:eastAsiaTheme="minorEastAsia" w:hint="eastAsia"/>
        </w:rPr>
        <w:t xml:space="preserve"> </w:t>
      </w:r>
      <w:r w:rsidRPr="004D46AC">
        <w:rPr>
          <w:rFonts w:eastAsiaTheme="minorEastAsia"/>
        </w:rPr>
        <w:t>Dr Jie Luo</w:t>
      </w:r>
      <w:r w:rsidRPr="004D46AC">
        <w:rPr>
          <w:rFonts w:eastAsiaTheme="minorEastAsia" w:hint="eastAsia"/>
        </w:rPr>
        <w:t>,</w:t>
      </w:r>
      <w:r w:rsidRPr="004D46AC">
        <w:rPr>
          <w:rFonts w:eastAsiaTheme="minorEastAsia"/>
        </w:rPr>
        <w:t xml:space="preserve"> </w:t>
      </w:r>
      <w:r w:rsidRPr="004D46AC">
        <w:rPr>
          <w:rFonts w:eastAsiaTheme="minorEastAsia" w:hint="eastAsia"/>
        </w:rPr>
        <w:t xml:space="preserve">and </w:t>
      </w:r>
      <w:r w:rsidRPr="004D46AC">
        <w:rPr>
          <w:rFonts w:eastAsiaTheme="minorEastAsia"/>
        </w:rPr>
        <w:t xml:space="preserve">Professor Paul Overton for the stimulating discussions and </w:t>
      </w:r>
      <w:r w:rsidRPr="004D46AC">
        <w:rPr>
          <w:rFonts w:eastAsiaTheme="minorEastAsia" w:hint="eastAsia"/>
        </w:rPr>
        <w:t xml:space="preserve">insightful </w:t>
      </w:r>
      <w:r w:rsidRPr="004D46AC">
        <w:rPr>
          <w:rFonts w:eastAsiaTheme="minorEastAsia"/>
        </w:rPr>
        <w:t>feedback that made the challenging days easier.</w:t>
      </w:r>
    </w:p>
    <w:p w14:paraId="0BD51F2E" w14:textId="77777777" w:rsidR="00B56A0F" w:rsidRPr="004D46AC" w:rsidRDefault="00417F18" w:rsidP="00B518F1">
      <w:pPr>
        <w:rPr>
          <w:rFonts w:eastAsiaTheme="minorEastAsia"/>
        </w:rPr>
        <w:sectPr w:rsidR="00B56A0F" w:rsidRPr="004D46AC" w:rsidSect="003D5CB6">
          <w:pgSz w:w="11906" w:h="16838"/>
          <w:pgMar w:top="1440" w:right="1440" w:bottom="1440" w:left="1440" w:header="708" w:footer="708" w:gutter="0"/>
          <w:cols w:space="708"/>
          <w:docGrid w:linePitch="360"/>
        </w:sectPr>
      </w:pPr>
      <w:r w:rsidRPr="004D46AC">
        <w:rPr>
          <w:rFonts w:eastAsiaTheme="minorEastAsia"/>
        </w:rPr>
        <w:t>Finally, I acknowledge the research teams behind the secondary datasets (B-SNIP and C19PRC) utili</w:t>
      </w:r>
      <w:r w:rsidRPr="004D46AC">
        <w:rPr>
          <w:rFonts w:eastAsiaTheme="minorEastAsia" w:hint="eastAsia"/>
        </w:rPr>
        <w:t>s</w:t>
      </w:r>
      <w:r w:rsidRPr="004D46AC">
        <w:rPr>
          <w:rFonts w:eastAsiaTheme="minorEastAsia"/>
        </w:rPr>
        <w:t>ed in Chapters 3 and 4 for facilitating data access. I am equally grateful to the participants of these studies, and especially to the young people recruited for Chapter 5, who generously shared their personal experiences. Their contribution is the foundation of this thesis, and I hope this work contributes meaningfully to the understanding of their lives</w:t>
      </w:r>
      <w:r w:rsidR="00B56A0F" w:rsidRPr="004D46AC">
        <w:rPr>
          <w:rFonts w:eastAsiaTheme="minorEastAsia" w:hint="eastAsia"/>
        </w:rPr>
        <w:t>.</w:t>
      </w:r>
    </w:p>
    <w:sdt>
      <w:sdtPr>
        <w:rPr>
          <w:rFonts w:ascii="Arial" w:eastAsia="Arial" w:hAnsi="Arial" w:cs="Arial"/>
          <w:color w:val="auto"/>
          <w:kern w:val="2"/>
          <w:sz w:val="22"/>
          <w:szCs w:val="22"/>
          <w:lang w:val="zh-CN"/>
          <w14:ligatures w14:val="standardContextual"/>
        </w:rPr>
        <w:id w:val="-1889711390"/>
        <w:docPartObj>
          <w:docPartGallery w:val="Table of Contents"/>
          <w:docPartUnique/>
        </w:docPartObj>
      </w:sdtPr>
      <w:sdtEndPr>
        <w:rPr>
          <w:b/>
          <w:bCs/>
        </w:rPr>
      </w:sdtEndPr>
      <w:sdtContent>
        <w:p w14:paraId="145138DB" w14:textId="62F9CDAB" w:rsidR="00CF6BA7" w:rsidRPr="004D46AC" w:rsidRDefault="00A05C88" w:rsidP="00A05C88">
          <w:pPr>
            <w:pStyle w:val="TOC"/>
            <w:spacing w:before="0" w:line="360" w:lineRule="auto"/>
            <w:jc w:val="center"/>
            <w:rPr>
              <w:rFonts w:ascii="Arial" w:hAnsi="Arial" w:cs="Arial"/>
              <w:color w:val="auto"/>
              <w:sz w:val="22"/>
              <w:szCs w:val="22"/>
            </w:rPr>
          </w:pPr>
          <w:r w:rsidRPr="004D46AC">
            <w:rPr>
              <w:rFonts w:ascii="Arial" w:hAnsi="Arial" w:cs="Arial"/>
              <w:b/>
              <w:bCs/>
              <w:color w:val="auto"/>
              <w:sz w:val="22"/>
              <w:szCs w:val="22"/>
            </w:rPr>
            <w:t>Content</w:t>
          </w:r>
        </w:p>
        <w:p w14:paraId="0CA0ABEA" w14:textId="08A8EDDA" w:rsidR="002C56E2" w:rsidRPr="004D46AC" w:rsidRDefault="00CF6BA7"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fldChar w:fldCharType="begin"/>
          </w:r>
          <w:r w:rsidRPr="004D46AC">
            <w:instrText xml:space="preserve"> TOC \o "1-2" \u </w:instrText>
          </w:r>
          <w:r w:rsidRPr="004D46AC">
            <w:fldChar w:fldCharType="separate"/>
          </w:r>
          <w:r w:rsidR="002C56E2" w:rsidRPr="004D46AC">
            <w:rPr>
              <w:noProof/>
            </w:rPr>
            <w:t>Abstract</w:t>
          </w:r>
          <w:r w:rsidR="002C56E2" w:rsidRPr="004D46AC">
            <w:rPr>
              <w:noProof/>
            </w:rPr>
            <w:tab/>
          </w:r>
          <w:r w:rsidR="002C56E2" w:rsidRPr="004D46AC">
            <w:rPr>
              <w:noProof/>
            </w:rPr>
            <w:fldChar w:fldCharType="begin"/>
          </w:r>
          <w:r w:rsidR="002C56E2" w:rsidRPr="004D46AC">
            <w:rPr>
              <w:noProof/>
            </w:rPr>
            <w:instrText xml:space="preserve"> PAGEREF _Toc219888736 \h </w:instrText>
          </w:r>
          <w:r w:rsidR="002C56E2" w:rsidRPr="004D46AC">
            <w:rPr>
              <w:noProof/>
            </w:rPr>
          </w:r>
          <w:r w:rsidR="002C56E2" w:rsidRPr="004D46AC">
            <w:rPr>
              <w:noProof/>
            </w:rPr>
            <w:fldChar w:fldCharType="separate"/>
          </w:r>
          <w:r w:rsidR="009568EC" w:rsidRPr="004D46AC">
            <w:rPr>
              <w:noProof/>
            </w:rPr>
            <w:t>2</w:t>
          </w:r>
          <w:r w:rsidR="002C56E2" w:rsidRPr="004D46AC">
            <w:rPr>
              <w:noProof/>
            </w:rPr>
            <w:fldChar w:fldCharType="end"/>
          </w:r>
        </w:p>
        <w:p w14:paraId="0AEFE36A" w14:textId="0E3C2722"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Acknowledgement</w:t>
          </w:r>
          <w:r w:rsidRPr="004D46AC">
            <w:rPr>
              <w:noProof/>
            </w:rPr>
            <w:tab/>
          </w:r>
          <w:r w:rsidRPr="004D46AC">
            <w:rPr>
              <w:noProof/>
            </w:rPr>
            <w:fldChar w:fldCharType="begin"/>
          </w:r>
          <w:r w:rsidRPr="004D46AC">
            <w:rPr>
              <w:noProof/>
            </w:rPr>
            <w:instrText xml:space="preserve"> PAGEREF _Toc219888737 \h </w:instrText>
          </w:r>
          <w:r w:rsidRPr="004D46AC">
            <w:rPr>
              <w:noProof/>
            </w:rPr>
          </w:r>
          <w:r w:rsidRPr="004D46AC">
            <w:rPr>
              <w:noProof/>
            </w:rPr>
            <w:fldChar w:fldCharType="separate"/>
          </w:r>
          <w:r w:rsidR="009568EC" w:rsidRPr="004D46AC">
            <w:rPr>
              <w:noProof/>
            </w:rPr>
            <w:t>4</w:t>
          </w:r>
          <w:r w:rsidRPr="004D46AC">
            <w:rPr>
              <w:noProof/>
            </w:rPr>
            <w:fldChar w:fldCharType="end"/>
          </w:r>
        </w:p>
        <w:p w14:paraId="2FF3FDD9" w14:textId="43C814D1"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Tables</w:t>
          </w:r>
          <w:r w:rsidRPr="004D46AC">
            <w:rPr>
              <w:rFonts w:eastAsiaTheme="minorEastAsia"/>
              <w:noProof/>
            </w:rPr>
            <w:t xml:space="preserve"> (Main body)</w:t>
          </w:r>
          <w:r w:rsidRPr="004D46AC">
            <w:rPr>
              <w:noProof/>
            </w:rPr>
            <w:tab/>
          </w:r>
          <w:r w:rsidRPr="004D46AC">
            <w:rPr>
              <w:noProof/>
            </w:rPr>
            <w:fldChar w:fldCharType="begin"/>
          </w:r>
          <w:r w:rsidRPr="004D46AC">
            <w:rPr>
              <w:noProof/>
            </w:rPr>
            <w:instrText xml:space="preserve"> PAGEREF _Toc219888738 \h </w:instrText>
          </w:r>
          <w:r w:rsidRPr="004D46AC">
            <w:rPr>
              <w:noProof/>
            </w:rPr>
          </w:r>
          <w:r w:rsidRPr="004D46AC">
            <w:rPr>
              <w:noProof/>
            </w:rPr>
            <w:fldChar w:fldCharType="separate"/>
          </w:r>
          <w:r w:rsidR="009568EC" w:rsidRPr="004D46AC">
            <w:rPr>
              <w:noProof/>
            </w:rPr>
            <w:t>7</w:t>
          </w:r>
          <w:r w:rsidRPr="004D46AC">
            <w:rPr>
              <w:noProof/>
            </w:rPr>
            <w:fldChar w:fldCharType="end"/>
          </w:r>
        </w:p>
        <w:p w14:paraId="3E5E4B58" w14:textId="64005D89"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 xml:space="preserve">List of Tables </w:t>
          </w:r>
          <w:r w:rsidRPr="004D46AC">
            <w:rPr>
              <w:rFonts w:eastAsiaTheme="minorEastAsia"/>
              <w:noProof/>
            </w:rPr>
            <w:t xml:space="preserve">(Appendix </w:t>
          </w:r>
          <w:r w:rsidRPr="004D46AC">
            <w:rPr>
              <w:noProof/>
            </w:rPr>
            <w:t>A</w:t>
          </w:r>
          <w:r w:rsidRPr="004D46AC">
            <w:rPr>
              <w:rFonts w:eastAsiaTheme="minorEastAsia"/>
              <w:noProof/>
            </w:rPr>
            <w:t>)</w:t>
          </w:r>
          <w:r w:rsidRPr="004D46AC">
            <w:rPr>
              <w:noProof/>
            </w:rPr>
            <w:tab/>
          </w:r>
          <w:r w:rsidRPr="004D46AC">
            <w:rPr>
              <w:noProof/>
            </w:rPr>
            <w:fldChar w:fldCharType="begin"/>
          </w:r>
          <w:r w:rsidRPr="004D46AC">
            <w:rPr>
              <w:noProof/>
            </w:rPr>
            <w:instrText xml:space="preserve"> PAGEREF _Toc219888739 \h </w:instrText>
          </w:r>
          <w:r w:rsidRPr="004D46AC">
            <w:rPr>
              <w:noProof/>
            </w:rPr>
          </w:r>
          <w:r w:rsidRPr="004D46AC">
            <w:rPr>
              <w:noProof/>
            </w:rPr>
            <w:fldChar w:fldCharType="separate"/>
          </w:r>
          <w:r w:rsidR="009568EC" w:rsidRPr="004D46AC">
            <w:rPr>
              <w:noProof/>
            </w:rPr>
            <w:t>7</w:t>
          </w:r>
          <w:r w:rsidRPr="004D46AC">
            <w:rPr>
              <w:noProof/>
            </w:rPr>
            <w:fldChar w:fldCharType="end"/>
          </w:r>
        </w:p>
        <w:p w14:paraId="427D3CD2" w14:textId="1AC9C43D"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Tables</w:t>
          </w:r>
          <w:r w:rsidRPr="004D46AC">
            <w:rPr>
              <w:rFonts w:eastAsiaTheme="minorEastAsia"/>
              <w:noProof/>
            </w:rPr>
            <w:t xml:space="preserve"> (Appendix</w:t>
          </w:r>
          <w:r w:rsidRPr="004D46AC">
            <w:rPr>
              <w:noProof/>
            </w:rPr>
            <w:t xml:space="preserve"> B</w:t>
          </w:r>
          <w:r w:rsidRPr="004D46AC">
            <w:rPr>
              <w:rFonts w:eastAsiaTheme="minorEastAsia"/>
              <w:noProof/>
            </w:rPr>
            <w:t>)</w:t>
          </w:r>
          <w:r w:rsidRPr="004D46AC">
            <w:rPr>
              <w:noProof/>
            </w:rPr>
            <w:tab/>
          </w:r>
          <w:r w:rsidRPr="004D46AC">
            <w:rPr>
              <w:noProof/>
            </w:rPr>
            <w:fldChar w:fldCharType="begin"/>
          </w:r>
          <w:r w:rsidRPr="004D46AC">
            <w:rPr>
              <w:noProof/>
            </w:rPr>
            <w:instrText xml:space="preserve"> PAGEREF _Toc219888740 \h </w:instrText>
          </w:r>
          <w:r w:rsidRPr="004D46AC">
            <w:rPr>
              <w:noProof/>
            </w:rPr>
          </w:r>
          <w:r w:rsidRPr="004D46AC">
            <w:rPr>
              <w:noProof/>
            </w:rPr>
            <w:fldChar w:fldCharType="separate"/>
          </w:r>
          <w:r w:rsidR="009568EC" w:rsidRPr="004D46AC">
            <w:rPr>
              <w:noProof/>
            </w:rPr>
            <w:t>7</w:t>
          </w:r>
          <w:r w:rsidRPr="004D46AC">
            <w:rPr>
              <w:noProof/>
            </w:rPr>
            <w:fldChar w:fldCharType="end"/>
          </w:r>
        </w:p>
        <w:p w14:paraId="59931390" w14:textId="6A4B3BD1"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rFonts w:eastAsiaTheme="minorEastAsia"/>
              <w:noProof/>
            </w:rPr>
            <w:t>List of Tables (Appendix C)</w:t>
          </w:r>
          <w:r w:rsidRPr="004D46AC">
            <w:rPr>
              <w:noProof/>
            </w:rPr>
            <w:tab/>
          </w:r>
          <w:r w:rsidRPr="004D46AC">
            <w:rPr>
              <w:noProof/>
            </w:rPr>
            <w:fldChar w:fldCharType="begin"/>
          </w:r>
          <w:r w:rsidRPr="004D46AC">
            <w:rPr>
              <w:noProof/>
            </w:rPr>
            <w:instrText xml:space="preserve"> PAGEREF _Toc219888741 \h </w:instrText>
          </w:r>
          <w:r w:rsidRPr="004D46AC">
            <w:rPr>
              <w:noProof/>
            </w:rPr>
          </w:r>
          <w:r w:rsidRPr="004D46AC">
            <w:rPr>
              <w:noProof/>
            </w:rPr>
            <w:fldChar w:fldCharType="separate"/>
          </w:r>
          <w:r w:rsidR="009568EC" w:rsidRPr="004D46AC">
            <w:rPr>
              <w:noProof/>
            </w:rPr>
            <w:t>8</w:t>
          </w:r>
          <w:r w:rsidRPr="004D46AC">
            <w:rPr>
              <w:noProof/>
            </w:rPr>
            <w:fldChar w:fldCharType="end"/>
          </w:r>
        </w:p>
        <w:p w14:paraId="7A625BE4" w14:textId="0EC4D108"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rFonts w:eastAsiaTheme="minorEastAsia"/>
              <w:noProof/>
            </w:rPr>
            <w:t>List of Tables (Appendix D)</w:t>
          </w:r>
          <w:r w:rsidRPr="004D46AC">
            <w:rPr>
              <w:noProof/>
            </w:rPr>
            <w:tab/>
          </w:r>
          <w:r w:rsidRPr="004D46AC">
            <w:rPr>
              <w:noProof/>
            </w:rPr>
            <w:fldChar w:fldCharType="begin"/>
          </w:r>
          <w:r w:rsidRPr="004D46AC">
            <w:rPr>
              <w:noProof/>
            </w:rPr>
            <w:instrText xml:space="preserve"> PAGEREF _Toc219888742 \h </w:instrText>
          </w:r>
          <w:r w:rsidRPr="004D46AC">
            <w:rPr>
              <w:noProof/>
            </w:rPr>
          </w:r>
          <w:r w:rsidRPr="004D46AC">
            <w:rPr>
              <w:noProof/>
            </w:rPr>
            <w:fldChar w:fldCharType="separate"/>
          </w:r>
          <w:r w:rsidR="009568EC" w:rsidRPr="004D46AC">
            <w:rPr>
              <w:noProof/>
            </w:rPr>
            <w:t>8</w:t>
          </w:r>
          <w:r w:rsidRPr="004D46AC">
            <w:rPr>
              <w:noProof/>
            </w:rPr>
            <w:fldChar w:fldCharType="end"/>
          </w:r>
        </w:p>
        <w:p w14:paraId="2A6C3F34" w14:textId="56129D69"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Tables</w:t>
          </w:r>
          <w:r w:rsidRPr="004D46AC">
            <w:rPr>
              <w:rFonts w:eastAsiaTheme="minorEastAsia"/>
              <w:noProof/>
            </w:rPr>
            <w:t xml:space="preserve"> (Appendix</w:t>
          </w:r>
          <w:r w:rsidRPr="004D46AC">
            <w:rPr>
              <w:noProof/>
            </w:rPr>
            <w:t xml:space="preserve"> E</w:t>
          </w:r>
          <w:r w:rsidRPr="004D46AC">
            <w:rPr>
              <w:rFonts w:eastAsiaTheme="minorEastAsia"/>
              <w:noProof/>
            </w:rPr>
            <w:t>)</w:t>
          </w:r>
          <w:r w:rsidRPr="004D46AC">
            <w:rPr>
              <w:noProof/>
            </w:rPr>
            <w:tab/>
          </w:r>
          <w:r w:rsidRPr="004D46AC">
            <w:rPr>
              <w:noProof/>
            </w:rPr>
            <w:fldChar w:fldCharType="begin"/>
          </w:r>
          <w:r w:rsidRPr="004D46AC">
            <w:rPr>
              <w:noProof/>
            </w:rPr>
            <w:instrText xml:space="preserve"> PAGEREF _Toc219888743 \h </w:instrText>
          </w:r>
          <w:r w:rsidRPr="004D46AC">
            <w:rPr>
              <w:noProof/>
            </w:rPr>
          </w:r>
          <w:r w:rsidRPr="004D46AC">
            <w:rPr>
              <w:noProof/>
            </w:rPr>
            <w:fldChar w:fldCharType="separate"/>
          </w:r>
          <w:r w:rsidR="009568EC" w:rsidRPr="004D46AC">
            <w:rPr>
              <w:noProof/>
            </w:rPr>
            <w:t>8</w:t>
          </w:r>
          <w:r w:rsidRPr="004D46AC">
            <w:rPr>
              <w:noProof/>
            </w:rPr>
            <w:fldChar w:fldCharType="end"/>
          </w:r>
        </w:p>
        <w:p w14:paraId="15C16DA8" w14:textId="28053D8C"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Figures (Main body)</w:t>
          </w:r>
          <w:r w:rsidRPr="004D46AC">
            <w:rPr>
              <w:noProof/>
            </w:rPr>
            <w:tab/>
          </w:r>
          <w:r w:rsidRPr="004D46AC">
            <w:rPr>
              <w:noProof/>
            </w:rPr>
            <w:fldChar w:fldCharType="begin"/>
          </w:r>
          <w:r w:rsidRPr="004D46AC">
            <w:rPr>
              <w:noProof/>
            </w:rPr>
            <w:instrText xml:space="preserve"> PAGEREF _Toc219888744 \h </w:instrText>
          </w:r>
          <w:r w:rsidRPr="004D46AC">
            <w:rPr>
              <w:noProof/>
            </w:rPr>
          </w:r>
          <w:r w:rsidRPr="004D46AC">
            <w:rPr>
              <w:noProof/>
            </w:rPr>
            <w:fldChar w:fldCharType="separate"/>
          </w:r>
          <w:r w:rsidR="009568EC" w:rsidRPr="004D46AC">
            <w:rPr>
              <w:noProof/>
            </w:rPr>
            <w:t>9</w:t>
          </w:r>
          <w:r w:rsidRPr="004D46AC">
            <w:rPr>
              <w:noProof/>
            </w:rPr>
            <w:fldChar w:fldCharType="end"/>
          </w:r>
        </w:p>
        <w:p w14:paraId="38988F9D" w14:textId="489C92DF"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Figures (Appendix B)</w:t>
          </w:r>
          <w:r w:rsidRPr="004D46AC">
            <w:rPr>
              <w:noProof/>
            </w:rPr>
            <w:tab/>
          </w:r>
          <w:r w:rsidRPr="004D46AC">
            <w:rPr>
              <w:noProof/>
            </w:rPr>
            <w:fldChar w:fldCharType="begin"/>
          </w:r>
          <w:r w:rsidRPr="004D46AC">
            <w:rPr>
              <w:noProof/>
            </w:rPr>
            <w:instrText xml:space="preserve"> PAGEREF _Toc219888745 \h </w:instrText>
          </w:r>
          <w:r w:rsidRPr="004D46AC">
            <w:rPr>
              <w:noProof/>
            </w:rPr>
          </w:r>
          <w:r w:rsidRPr="004D46AC">
            <w:rPr>
              <w:noProof/>
            </w:rPr>
            <w:fldChar w:fldCharType="separate"/>
          </w:r>
          <w:r w:rsidR="009568EC" w:rsidRPr="004D46AC">
            <w:rPr>
              <w:noProof/>
            </w:rPr>
            <w:t>9</w:t>
          </w:r>
          <w:r w:rsidRPr="004D46AC">
            <w:rPr>
              <w:noProof/>
            </w:rPr>
            <w:fldChar w:fldCharType="end"/>
          </w:r>
        </w:p>
        <w:p w14:paraId="4FCA3BBF" w14:textId="63763FBA"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Figures (Appendix C)</w:t>
          </w:r>
          <w:r w:rsidRPr="004D46AC">
            <w:rPr>
              <w:noProof/>
            </w:rPr>
            <w:tab/>
          </w:r>
          <w:r w:rsidRPr="004D46AC">
            <w:rPr>
              <w:noProof/>
            </w:rPr>
            <w:fldChar w:fldCharType="begin"/>
          </w:r>
          <w:r w:rsidRPr="004D46AC">
            <w:rPr>
              <w:noProof/>
            </w:rPr>
            <w:instrText xml:space="preserve"> PAGEREF _Toc219888746 \h </w:instrText>
          </w:r>
          <w:r w:rsidRPr="004D46AC">
            <w:rPr>
              <w:noProof/>
            </w:rPr>
          </w:r>
          <w:r w:rsidRPr="004D46AC">
            <w:rPr>
              <w:noProof/>
            </w:rPr>
            <w:fldChar w:fldCharType="separate"/>
          </w:r>
          <w:r w:rsidR="009568EC" w:rsidRPr="004D46AC">
            <w:rPr>
              <w:noProof/>
            </w:rPr>
            <w:t>10</w:t>
          </w:r>
          <w:r w:rsidRPr="004D46AC">
            <w:rPr>
              <w:noProof/>
            </w:rPr>
            <w:fldChar w:fldCharType="end"/>
          </w:r>
        </w:p>
        <w:p w14:paraId="1C62F3B1" w14:textId="6A3C73DD"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Figures (Appendix D)</w:t>
          </w:r>
          <w:r w:rsidRPr="004D46AC">
            <w:rPr>
              <w:noProof/>
            </w:rPr>
            <w:tab/>
          </w:r>
          <w:r w:rsidRPr="004D46AC">
            <w:rPr>
              <w:noProof/>
            </w:rPr>
            <w:fldChar w:fldCharType="begin"/>
          </w:r>
          <w:r w:rsidRPr="004D46AC">
            <w:rPr>
              <w:noProof/>
            </w:rPr>
            <w:instrText xml:space="preserve"> PAGEREF _Toc219888747 \h </w:instrText>
          </w:r>
          <w:r w:rsidRPr="004D46AC">
            <w:rPr>
              <w:noProof/>
            </w:rPr>
          </w:r>
          <w:r w:rsidRPr="004D46AC">
            <w:rPr>
              <w:noProof/>
            </w:rPr>
            <w:fldChar w:fldCharType="separate"/>
          </w:r>
          <w:r w:rsidR="009568EC" w:rsidRPr="004D46AC">
            <w:rPr>
              <w:noProof/>
            </w:rPr>
            <w:t>11</w:t>
          </w:r>
          <w:r w:rsidRPr="004D46AC">
            <w:rPr>
              <w:noProof/>
            </w:rPr>
            <w:fldChar w:fldCharType="end"/>
          </w:r>
        </w:p>
        <w:p w14:paraId="1B2B96F5" w14:textId="2AF6BAFB"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List of Figures (Appendix E)</w:t>
          </w:r>
          <w:r w:rsidRPr="004D46AC">
            <w:rPr>
              <w:noProof/>
            </w:rPr>
            <w:tab/>
          </w:r>
          <w:r w:rsidRPr="004D46AC">
            <w:rPr>
              <w:noProof/>
            </w:rPr>
            <w:fldChar w:fldCharType="begin"/>
          </w:r>
          <w:r w:rsidRPr="004D46AC">
            <w:rPr>
              <w:noProof/>
            </w:rPr>
            <w:instrText xml:space="preserve"> PAGEREF _Toc219888748 \h </w:instrText>
          </w:r>
          <w:r w:rsidRPr="004D46AC">
            <w:rPr>
              <w:noProof/>
            </w:rPr>
          </w:r>
          <w:r w:rsidRPr="004D46AC">
            <w:rPr>
              <w:noProof/>
            </w:rPr>
            <w:fldChar w:fldCharType="separate"/>
          </w:r>
          <w:r w:rsidR="009568EC" w:rsidRPr="004D46AC">
            <w:rPr>
              <w:noProof/>
            </w:rPr>
            <w:t>11</w:t>
          </w:r>
          <w:r w:rsidRPr="004D46AC">
            <w:rPr>
              <w:noProof/>
            </w:rPr>
            <w:fldChar w:fldCharType="end"/>
          </w:r>
        </w:p>
        <w:p w14:paraId="724AFDAE" w14:textId="1FB2E3E9"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Declaration</w:t>
          </w:r>
          <w:r w:rsidRPr="004D46AC">
            <w:rPr>
              <w:rFonts w:eastAsiaTheme="minorEastAsia"/>
              <w:noProof/>
            </w:rPr>
            <w:t xml:space="preserve"> and Inclusion of Published Work</w:t>
          </w:r>
          <w:r w:rsidRPr="004D46AC">
            <w:rPr>
              <w:noProof/>
            </w:rPr>
            <w:tab/>
          </w:r>
          <w:r w:rsidRPr="004D46AC">
            <w:rPr>
              <w:noProof/>
            </w:rPr>
            <w:fldChar w:fldCharType="begin"/>
          </w:r>
          <w:r w:rsidRPr="004D46AC">
            <w:rPr>
              <w:noProof/>
            </w:rPr>
            <w:instrText xml:space="preserve"> PAGEREF _Toc219888749 \h </w:instrText>
          </w:r>
          <w:r w:rsidRPr="004D46AC">
            <w:rPr>
              <w:noProof/>
            </w:rPr>
          </w:r>
          <w:r w:rsidRPr="004D46AC">
            <w:rPr>
              <w:noProof/>
            </w:rPr>
            <w:fldChar w:fldCharType="separate"/>
          </w:r>
          <w:r w:rsidR="009568EC" w:rsidRPr="004D46AC">
            <w:rPr>
              <w:noProof/>
            </w:rPr>
            <w:t>12</w:t>
          </w:r>
          <w:r w:rsidRPr="004D46AC">
            <w:rPr>
              <w:noProof/>
            </w:rPr>
            <w:fldChar w:fldCharType="end"/>
          </w:r>
        </w:p>
        <w:p w14:paraId="41F303C2" w14:textId="6E2FA2F4" w:rsidR="002C56E2" w:rsidRPr="004D46AC" w:rsidRDefault="002C56E2" w:rsidP="002C56E2">
          <w:pPr>
            <w:pStyle w:val="TOC1"/>
            <w:tabs>
              <w:tab w:val="left" w:pos="1926"/>
              <w:tab w:val="right" w:leader="dot" w:pos="9016"/>
            </w:tabs>
            <w:spacing w:after="0" w:line="360" w:lineRule="auto"/>
            <w:ind w:firstLine="0"/>
            <w:rPr>
              <w:rFonts w:asciiTheme="minorHAnsi" w:eastAsiaTheme="minorEastAsia" w:hAnsiTheme="minorHAnsi" w:cstheme="minorBidi"/>
              <w:noProof/>
              <w:sz w:val="24"/>
              <w:szCs w:val="24"/>
            </w:rPr>
          </w:pPr>
          <w:r w:rsidRPr="004D46AC">
            <w:rPr>
              <w:rFonts w:eastAsiaTheme="minorEastAsia"/>
              <w:noProof/>
            </w:rPr>
            <w:t>Chapter 1</w:t>
          </w:r>
          <w:r w:rsidRPr="004D46AC">
            <w:rPr>
              <w:rFonts w:asciiTheme="minorHAnsi" w:eastAsiaTheme="minorEastAsia" w:hAnsiTheme="minorHAnsi" w:cstheme="minorBidi" w:hint="eastAsia"/>
              <w:noProof/>
              <w:sz w:val="24"/>
              <w:szCs w:val="24"/>
            </w:rPr>
            <w:t xml:space="preserve"> </w:t>
          </w:r>
          <w:r w:rsidRPr="004D46AC">
            <w:rPr>
              <w:noProof/>
            </w:rPr>
            <w:t>The psychiatric taxonomy of bipolar disorder and schizophrenia: an ordered chao</w:t>
          </w:r>
          <w:r w:rsidRPr="004D46AC">
            <w:rPr>
              <w:rFonts w:eastAsiaTheme="minorEastAsia" w:hint="eastAsia"/>
              <w:noProof/>
            </w:rPr>
            <w:t>s</w:t>
          </w:r>
        </w:p>
        <w:p w14:paraId="22E3F395" w14:textId="61557B7B" w:rsidR="002C56E2" w:rsidRPr="004D46AC" w:rsidRDefault="002C56E2" w:rsidP="002C56E2">
          <w:pPr>
            <w:pStyle w:val="TOC2"/>
            <w:rPr>
              <w:rFonts w:asciiTheme="minorHAnsi" w:eastAsiaTheme="minorEastAsia" w:hAnsiTheme="minorHAnsi" w:cstheme="minorBidi"/>
              <w:noProof/>
              <w:sz w:val="24"/>
              <w:szCs w:val="24"/>
            </w:rPr>
          </w:pPr>
          <w:r w:rsidRPr="004D46AC">
            <w:rPr>
              <w:noProof/>
            </w:rPr>
            <w:t>A short introduction to bipolar disorder and schizophrenia</w:t>
          </w:r>
          <w:r w:rsidRPr="004D46AC">
            <w:rPr>
              <w:noProof/>
            </w:rPr>
            <w:tab/>
          </w:r>
          <w:r w:rsidRPr="004D46AC">
            <w:rPr>
              <w:noProof/>
            </w:rPr>
            <w:fldChar w:fldCharType="begin"/>
          </w:r>
          <w:r w:rsidRPr="004D46AC">
            <w:rPr>
              <w:noProof/>
            </w:rPr>
            <w:instrText xml:space="preserve"> PAGEREF _Toc219888751 \h </w:instrText>
          </w:r>
          <w:r w:rsidRPr="004D46AC">
            <w:rPr>
              <w:noProof/>
            </w:rPr>
          </w:r>
          <w:r w:rsidRPr="004D46AC">
            <w:rPr>
              <w:noProof/>
            </w:rPr>
            <w:fldChar w:fldCharType="separate"/>
          </w:r>
          <w:r w:rsidR="009568EC" w:rsidRPr="004D46AC">
            <w:rPr>
              <w:noProof/>
            </w:rPr>
            <w:t>13</w:t>
          </w:r>
          <w:r w:rsidRPr="004D46AC">
            <w:rPr>
              <w:noProof/>
            </w:rPr>
            <w:fldChar w:fldCharType="end"/>
          </w:r>
        </w:p>
        <w:p w14:paraId="1E046742" w14:textId="6925C9D0" w:rsidR="002C56E2" w:rsidRPr="004D46AC" w:rsidRDefault="002C56E2" w:rsidP="002C56E2">
          <w:pPr>
            <w:pStyle w:val="TOC2"/>
            <w:rPr>
              <w:rFonts w:asciiTheme="minorHAnsi" w:eastAsiaTheme="minorEastAsia" w:hAnsiTheme="minorHAnsi" w:cstheme="minorBidi"/>
              <w:noProof/>
              <w:sz w:val="24"/>
              <w:szCs w:val="24"/>
            </w:rPr>
          </w:pPr>
          <w:r w:rsidRPr="004D46AC">
            <w:rPr>
              <w:noProof/>
            </w:rPr>
            <w:t>History of psychiatric classification</w:t>
          </w:r>
          <w:r w:rsidRPr="004D46AC">
            <w:rPr>
              <w:noProof/>
            </w:rPr>
            <w:tab/>
          </w:r>
          <w:r w:rsidRPr="004D46AC">
            <w:rPr>
              <w:noProof/>
            </w:rPr>
            <w:fldChar w:fldCharType="begin"/>
          </w:r>
          <w:r w:rsidRPr="004D46AC">
            <w:rPr>
              <w:noProof/>
            </w:rPr>
            <w:instrText xml:space="preserve"> PAGEREF _Toc219888752 \h </w:instrText>
          </w:r>
          <w:r w:rsidRPr="004D46AC">
            <w:rPr>
              <w:noProof/>
            </w:rPr>
          </w:r>
          <w:r w:rsidRPr="004D46AC">
            <w:rPr>
              <w:noProof/>
            </w:rPr>
            <w:fldChar w:fldCharType="separate"/>
          </w:r>
          <w:r w:rsidR="009568EC" w:rsidRPr="004D46AC">
            <w:rPr>
              <w:noProof/>
            </w:rPr>
            <w:t>15</w:t>
          </w:r>
          <w:r w:rsidRPr="004D46AC">
            <w:rPr>
              <w:noProof/>
            </w:rPr>
            <w:fldChar w:fldCharType="end"/>
          </w:r>
        </w:p>
        <w:p w14:paraId="29FA176F" w14:textId="706BC61E" w:rsidR="002C56E2" w:rsidRPr="004D46AC" w:rsidRDefault="002C56E2" w:rsidP="002C56E2">
          <w:pPr>
            <w:pStyle w:val="TOC2"/>
            <w:rPr>
              <w:rFonts w:asciiTheme="minorHAnsi" w:eastAsiaTheme="minorEastAsia" w:hAnsiTheme="minorHAnsi" w:cstheme="minorBidi"/>
              <w:noProof/>
              <w:sz w:val="24"/>
              <w:szCs w:val="24"/>
            </w:rPr>
          </w:pPr>
          <w:r w:rsidRPr="004D46AC">
            <w:rPr>
              <w:noProof/>
            </w:rPr>
            <w:t>The Unclear Boundary</w:t>
          </w:r>
          <w:r w:rsidRPr="004D46AC">
            <w:rPr>
              <w:noProof/>
            </w:rPr>
            <w:tab/>
          </w:r>
          <w:r w:rsidRPr="004D46AC">
            <w:rPr>
              <w:noProof/>
            </w:rPr>
            <w:fldChar w:fldCharType="begin"/>
          </w:r>
          <w:r w:rsidRPr="004D46AC">
            <w:rPr>
              <w:noProof/>
            </w:rPr>
            <w:instrText xml:space="preserve"> PAGEREF _Toc219888753 \h </w:instrText>
          </w:r>
          <w:r w:rsidRPr="004D46AC">
            <w:rPr>
              <w:noProof/>
            </w:rPr>
          </w:r>
          <w:r w:rsidRPr="004D46AC">
            <w:rPr>
              <w:noProof/>
            </w:rPr>
            <w:fldChar w:fldCharType="separate"/>
          </w:r>
          <w:r w:rsidR="009568EC" w:rsidRPr="004D46AC">
            <w:rPr>
              <w:noProof/>
            </w:rPr>
            <w:t>28</w:t>
          </w:r>
          <w:r w:rsidRPr="004D46AC">
            <w:rPr>
              <w:noProof/>
            </w:rPr>
            <w:fldChar w:fldCharType="end"/>
          </w:r>
        </w:p>
        <w:p w14:paraId="7A61C999" w14:textId="18A5151C" w:rsidR="002C56E2" w:rsidRPr="004D46AC" w:rsidRDefault="002C56E2" w:rsidP="002C56E2">
          <w:pPr>
            <w:pStyle w:val="TOC2"/>
            <w:rPr>
              <w:rFonts w:asciiTheme="minorHAnsi" w:eastAsiaTheme="minorEastAsia" w:hAnsiTheme="minorHAnsi" w:cstheme="minorBidi"/>
              <w:noProof/>
              <w:sz w:val="24"/>
              <w:szCs w:val="24"/>
            </w:rPr>
          </w:pPr>
          <w:r w:rsidRPr="004D46AC">
            <w:rPr>
              <w:noProof/>
            </w:rPr>
            <w:t>Overlap in Biological, Genetic, and Neurocognitive Features</w:t>
          </w:r>
          <w:r w:rsidRPr="004D46AC">
            <w:rPr>
              <w:noProof/>
            </w:rPr>
            <w:tab/>
          </w:r>
          <w:r w:rsidRPr="004D46AC">
            <w:rPr>
              <w:noProof/>
            </w:rPr>
            <w:fldChar w:fldCharType="begin"/>
          </w:r>
          <w:r w:rsidRPr="004D46AC">
            <w:rPr>
              <w:noProof/>
            </w:rPr>
            <w:instrText xml:space="preserve"> PAGEREF _Toc219888754 \h </w:instrText>
          </w:r>
          <w:r w:rsidRPr="004D46AC">
            <w:rPr>
              <w:noProof/>
            </w:rPr>
          </w:r>
          <w:r w:rsidRPr="004D46AC">
            <w:rPr>
              <w:noProof/>
            </w:rPr>
            <w:fldChar w:fldCharType="separate"/>
          </w:r>
          <w:r w:rsidR="009568EC" w:rsidRPr="004D46AC">
            <w:rPr>
              <w:noProof/>
            </w:rPr>
            <w:t>58</w:t>
          </w:r>
          <w:r w:rsidRPr="004D46AC">
            <w:rPr>
              <w:noProof/>
            </w:rPr>
            <w:fldChar w:fldCharType="end"/>
          </w:r>
        </w:p>
        <w:p w14:paraId="147FEF57" w14:textId="58DB0F2A" w:rsidR="002C56E2" w:rsidRPr="004D46AC" w:rsidRDefault="002C56E2" w:rsidP="002C56E2">
          <w:pPr>
            <w:pStyle w:val="TOC2"/>
            <w:rPr>
              <w:rFonts w:asciiTheme="minorHAnsi" w:eastAsiaTheme="minorEastAsia" w:hAnsiTheme="minorHAnsi" w:cstheme="minorBidi"/>
              <w:noProof/>
              <w:sz w:val="24"/>
              <w:szCs w:val="24"/>
            </w:rPr>
          </w:pPr>
          <w:r w:rsidRPr="004D46AC">
            <w:rPr>
              <w:rFonts w:eastAsiaTheme="minorEastAsia"/>
              <w:noProof/>
            </w:rPr>
            <w:t>Psychosocial factors</w:t>
          </w:r>
          <w:r w:rsidRPr="004D46AC">
            <w:rPr>
              <w:noProof/>
            </w:rPr>
            <w:tab/>
          </w:r>
          <w:r w:rsidRPr="004D46AC">
            <w:rPr>
              <w:noProof/>
            </w:rPr>
            <w:fldChar w:fldCharType="begin"/>
          </w:r>
          <w:r w:rsidRPr="004D46AC">
            <w:rPr>
              <w:noProof/>
            </w:rPr>
            <w:instrText xml:space="preserve"> PAGEREF _Toc219888755 \h </w:instrText>
          </w:r>
          <w:r w:rsidRPr="004D46AC">
            <w:rPr>
              <w:noProof/>
            </w:rPr>
          </w:r>
          <w:r w:rsidRPr="004D46AC">
            <w:rPr>
              <w:noProof/>
            </w:rPr>
            <w:fldChar w:fldCharType="separate"/>
          </w:r>
          <w:r w:rsidR="009568EC" w:rsidRPr="004D46AC">
            <w:rPr>
              <w:noProof/>
            </w:rPr>
            <w:t>66</w:t>
          </w:r>
          <w:r w:rsidRPr="004D46AC">
            <w:rPr>
              <w:noProof/>
            </w:rPr>
            <w:fldChar w:fldCharType="end"/>
          </w:r>
        </w:p>
        <w:p w14:paraId="0B0DA0B8" w14:textId="77B74733" w:rsidR="002C56E2" w:rsidRPr="004D46AC" w:rsidRDefault="002C56E2" w:rsidP="002C56E2">
          <w:pPr>
            <w:pStyle w:val="TOC2"/>
            <w:rPr>
              <w:rFonts w:asciiTheme="minorHAnsi" w:eastAsiaTheme="minorEastAsia" w:hAnsiTheme="minorHAnsi" w:cstheme="minorBidi"/>
              <w:noProof/>
              <w:sz w:val="24"/>
              <w:szCs w:val="24"/>
            </w:rPr>
          </w:pPr>
          <w:r w:rsidRPr="004D46AC">
            <w:rPr>
              <w:noProof/>
            </w:rPr>
            <w:t>Theoretical Models</w:t>
          </w:r>
          <w:r w:rsidRPr="004D46AC">
            <w:rPr>
              <w:noProof/>
            </w:rPr>
            <w:tab/>
          </w:r>
          <w:r w:rsidRPr="004D46AC">
            <w:rPr>
              <w:noProof/>
            </w:rPr>
            <w:fldChar w:fldCharType="begin"/>
          </w:r>
          <w:r w:rsidRPr="004D46AC">
            <w:rPr>
              <w:noProof/>
            </w:rPr>
            <w:instrText xml:space="preserve"> PAGEREF _Toc219888756 \h </w:instrText>
          </w:r>
          <w:r w:rsidRPr="004D46AC">
            <w:rPr>
              <w:noProof/>
            </w:rPr>
          </w:r>
          <w:r w:rsidRPr="004D46AC">
            <w:rPr>
              <w:noProof/>
            </w:rPr>
            <w:fldChar w:fldCharType="separate"/>
          </w:r>
          <w:r w:rsidR="009568EC" w:rsidRPr="004D46AC">
            <w:rPr>
              <w:noProof/>
            </w:rPr>
            <w:t>80</w:t>
          </w:r>
          <w:r w:rsidRPr="004D46AC">
            <w:rPr>
              <w:noProof/>
            </w:rPr>
            <w:fldChar w:fldCharType="end"/>
          </w:r>
        </w:p>
        <w:p w14:paraId="24DB6A98" w14:textId="47977E99"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Research Gaps and current investigation</w:t>
          </w:r>
          <w:r w:rsidRPr="004D46AC">
            <w:rPr>
              <w:noProof/>
            </w:rPr>
            <w:tab/>
          </w:r>
          <w:r w:rsidRPr="004D46AC">
            <w:rPr>
              <w:noProof/>
            </w:rPr>
            <w:fldChar w:fldCharType="begin"/>
          </w:r>
          <w:r w:rsidRPr="004D46AC">
            <w:rPr>
              <w:noProof/>
            </w:rPr>
            <w:instrText xml:space="preserve"> PAGEREF _Toc219888757 \h </w:instrText>
          </w:r>
          <w:r w:rsidRPr="004D46AC">
            <w:rPr>
              <w:noProof/>
            </w:rPr>
          </w:r>
          <w:r w:rsidRPr="004D46AC">
            <w:rPr>
              <w:noProof/>
            </w:rPr>
            <w:fldChar w:fldCharType="separate"/>
          </w:r>
          <w:r w:rsidR="009568EC" w:rsidRPr="004D46AC">
            <w:rPr>
              <w:noProof/>
            </w:rPr>
            <w:t>88</w:t>
          </w:r>
          <w:r w:rsidRPr="004D46AC">
            <w:rPr>
              <w:noProof/>
            </w:rPr>
            <w:fldChar w:fldCharType="end"/>
          </w:r>
        </w:p>
        <w:p w14:paraId="10950218" w14:textId="54F7ACEB" w:rsidR="002C56E2" w:rsidRPr="004D46AC" w:rsidRDefault="002C56E2" w:rsidP="002C56E2">
          <w:pPr>
            <w:pStyle w:val="TOC2"/>
            <w:rPr>
              <w:rFonts w:asciiTheme="minorHAnsi" w:eastAsiaTheme="minorEastAsia" w:hAnsiTheme="minorHAnsi" w:cstheme="minorBidi"/>
              <w:noProof/>
              <w:sz w:val="24"/>
              <w:szCs w:val="24"/>
            </w:rPr>
          </w:pPr>
          <w:r w:rsidRPr="004D46AC">
            <w:rPr>
              <w:noProof/>
            </w:rPr>
            <w:t>Structure of the Thesis</w:t>
          </w:r>
          <w:r w:rsidRPr="004D46AC">
            <w:rPr>
              <w:noProof/>
            </w:rPr>
            <w:tab/>
          </w:r>
          <w:r w:rsidRPr="004D46AC">
            <w:rPr>
              <w:noProof/>
            </w:rPr>
            <w:fldChar w:fldCharType="begin"/>
          </w:r>
          <w:r w:rsidRPr="004D46AC">
            <w:rPr>
              <w:noProof/>
            </w:rPr>
            <w:instrText xml:space="preserve"> PAGEREF _Toc219888758 \h </w:instrText>
          </w:r>
          <w:r w:rsidRPr="004D46AC">
            <w:rPr>
              <w:noProof/>
            </w:rPr>
          </w:r>
          <w:r w:rsidRPr="004D46AC">
            <w:rPr>
              <w:noProof/>
            </w:rPr>
            <w:fldChar w:fldCharType="separate"/>
          </w:r>
          <w:r w:rsidR="009568EC" w:rsidRPr="004D46AC">
            <w:rPr>
              <w:noProof/>
            </w:rPr>
            <w:t>89</w:t>
          </w:r>
          <w:r w:rsidRPr="004D46AC">
            <w:rPr>
              <w:noProof/>
            </w:rPr>
            <w:fldChar w:fldCharType="end"/>
          </w:r>
        </w:p>
        <w:p w14:paraId="3F7E0106" w14:textId="013E50E8"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References</w:t>
          </w:r>
          <w:r w:rsidRPr="004D46AC">
            <w:rPr>
              <w:noProof/>
            </w:rPr>
            <w:tab/>
          </w:r>
          <w:r w:rsidRPr="004D46AC">
            <w:rPr>
              <w:noProof/>
            </w:rPr>
            <w:fldChar w:fldCharType="begin"/>
          </w:r>
          <w:r w:rsidRPr="004D46AC">
            <w:rPr>
              <w:noProof/>
            </w:rPr>
            <w:instrText xml:space="preserve"> PAGEREF _Toc219888759 \h </w:instrText>
          </w:r>
          <w:r w:rsidRPr="004D46AC">
            <w:rPr>
              <w:noProof/>
            </w:rPr>
          </w:r>
          <w:r w:rsidRPr="004D46AC">
            <w:rPr>
              <w:noProof/>
            </w:rPr>
            <w:fldChar w:fldCharType="separate"/>
          </w:r>
          <w:r w:rsidR="009568EC" w:rsidRPr="004D46AC">
            <w:rPr>
              <w:noProof/>
            </w:rPr>
            <w:t>90</w:t>
          </w:r>
          <w:r w:rsidRPr="004D46AC">
            <w:rPr>
              <w:noProof/>
            </w:rPr>
            <w:fldChar w:fldCharType="end"/>
          </w:r>
        </w:p>
        <w:p w14:paraId="5FFA26C2" w14:textId="348B5B55" w:rsidR="002C56E2" w:rsidRPr="004D46AC" w:rsidRDefault="002C56E2" w:rsidP="002C56E2">
          <w:pPr>
            <w:pStyle w:val="TOC1"/>
            <w:tabs>
              <w:tab w:val="left" w:pos="1926"/>
              <w:tab w:val="right" w:leader="dot" w:pos="9016"/>
            </w:tabs>
            <w:spacing w:after="0" w:line="360" w:lineRule="auto"/>
            <w:ind w:firstLine="0"/>
            <w:rPr>
              <w:rFonts w:asciiTheme="minorHAnsi" w:eastAsiaTheme="minorEastAsia" w:hAnsiTheme="minorHAnsi" w:cstheme="minorBidi"/>
              <w:noProof/>
              <w:sz w:val="24"/>
              <w:szCs w:val="24"/>
            </w:rPr>
          </w:pPr>
          <w:r w:rsidRPr="004D46AC">
            <w:rPr>
              <w:rFonts w:eastAsiaTheme="minorEastAsia"/>
              <w:noProof/>
            </w:rPr>
            <w:t>Chapter 2</w:t>
          </w:r>
          <w:r w:rsidRPr="004D46AC">
            <w:rPr>
              <w:rFonts w:asciiTheme="minorHAnsi" w:eastAsiaTheme="minorEastAsia" w:hAnsiTheme="minorHAnsi" w:cstheme="minorBidi" w:hint="eastAsia"/>
              <w:noProof/>
              <w:sz w:val="24"/>
              <w:szCs w:val="24"/>
            </w:rPr>
            <w:t xml:space="preserve"> </w:t>
          </w:r>
          <w:r w:rsidRPr="004D46AC">
            <w:rPr>
              <w:noProof/>
            </w:rPr>
            <w:t>Comorbid schizophrenia and psychotic symptoms in patients with bipolar disorder</w:t>
          </w:r>
          <w:r w:rsidRPr="004D46AC">
            <w:rPr>
              <w:rFonts w:eastAsiaTheme="minorEastAsia"/>
              <w:noProof/>
            </w:rPr>
            <w:t>s</w:t>
          </w:r>
          <w:r w:rsidRPr="004D46AC">
            <w:rPr>
              <w:noProof/>
            </w:rPr>
            <w:t>: A meta-analysis of the global literature</w:t>
          </w:r>
        </w:p>
        <w:p w14:paraId="1AADC9AE" w14:textId="32C9C6BF" w:rsidR="002C56E2" w:rsidRPr="004D46AC" w:rsidRDefault="002C56E2" w:rsidP="002C56E2">
          <w:pPr>
            <w:pStyle w:val="TOC2"/>
            <w:rPr>
              <w:rFonts w:asciiTheme="minorHAnsi" w:eastAsiaTheme="minorEastAsia" w:hAnsiTheme="minorHAnsi" w:cstheme="minorBidi"/>
              <w:noProof/>
              <w:sz w:val="24"/>
              <w:szCs w:val="24"/>
            </w:rPr>
          </w:pPr>
          <w:r w:rsidRPr="004D46AC">
            <w:rPr>
              <w:noProof/>
            </w:rPr>
            <w:t>Introduction</w:t>
          </w:r>
          <w:r w:rsidRPr="004D46AC">
            <w:rPr>
              <w:noProof/>
            </w:rPr>
            <w:tab/>
          </w:r>
          <w:r w:rsidRPr="004D46AC">
            <w:rPr>
              <w:noProof/>
            </w:rPr>
            <w:fldChar w:fldCharType="begin"/>
          </w:r>
          <w:r w:rsidRPr="004D46AC">
            <w:rPr>
              <w:noProof/>
            </w:rPr>
            <w:instrText xml:space="preserve"> PAGEREF _Toc219888761 \h </w:instrText>
          </w:r>
          <w:r w:rsidRPr="004D46AC">
            <w:rPr>
              <w:noProof/>
            </w:rPr>
          </w:r>
          <w:r w:rsidRPr="004D46AC">
            <w:rPr>
              <w:noProof/>
            </w:rPr>
            <w:fldChar w:fldCharType="separate"/>
          </w:r>
          <w:r w:rsidR="009568EC" w:rsidRPr="004D46AC">
            <w:rPr>
              <w:noProof/>
            </w:rPr>
            <w:t>120</w:t>
          </w:r>
          <w:r w:rsidRPr="004D46AC">
            <w:rPr>
              <w:noProof/>
            </w:rPr>
            <w:fldChar w:fldCharType="end"/>
          </w:r>
        </w:p>
        <w:p w14:paraId="181ECC97" w14:textId="2EB79BC9" w:rsidR="002C56E2" w:rsidRPr="004D46AC" w:rsidRDefault="002C56E2" w:rsidP="002C56E2">
          <w:pPr>
            <w:pStyle w:val="TOC2"/>
            <w:rPr>
              <w:rFonts w:asciiTheme="minorHAnsi" w:eastAsiaTheme="minorEastAsia" w:hAnsiTheme="minorHAnsi" w:cstheme="minorBidi"/>
              <w:noProof/>
              <w:sz w:val="24"/>
              <w:szCs w:val="24"/>
            </w:rPr>
          </w:pPr>
          <w:r w:rsidRPr="004D46AC">
            <w:rPr>
              <w:noProof/>
            </w:rPr>
            <w:t>Materials and methods</w:t>
          </w:r>
          <w:r w:rsidRPr="004D46AC">
            <w:rPr>
              <w:noProof/>
            </w:rPr>
            <w:tab/>
          </w:r>
          <w:r w:rsidRPr="004D46AC">
            <w:rPr>
              <w:noProof/>
            </w:rPr>
            <w:fldChar w:fldCharType="begin"/>
          </w:r>
          <w:r w:rsidRPr="004D46AC">
            <w:rPr>
              <w:noProof/>
            </w:rPr>
            <w:instrText xml:space="preserve"> PAGEREF _Toc219888762 \h </w:instrText>
          </w:r>
          <w:r w:rsidRPr="004D46AC">
            <w:rPr>
              <w:noProof/>
            </w:rPr>
          </w:r>
          <w:r w:rsidRPr="004D46AC">
            <w:rPr>
              <w:noProof/>
            </w:rPr>
            <w:fldChar w:fldCharType="separate"/>
          </w:r>
          <w:r w:rsidR="009568EC" w:rsidRPr="004D46AC">
            <w:rPr>
              <w:noProof/>
            </w:rPr>
            <w:t>124</w:t>
          </w:r>
          <w:r w:rsidRPr="004D46AC">
            <w:rPr>
              <w:noProof/>
            </w:rPr>
            <w:fldChar w:fldCharType="end"/>
          </w:r>
        </w:p>
        <w:p w14:paraId="709B6F0E" w14:textId="36C51E8D"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Results</w:t>
          </w:r>
          <w:r w:rsidRPr="004D46AC">
            <w:rPr>
              <w:noProof/>
            </w:rPr>
            <w:tab/>
          </w:r>
          <w:r w:rsidRPr="004D46AC">
            <w:rPr>
              <w:noProof/>
            </w:rPr>
            <w:fldChar w:fldCharType="begin"/>
          </w:r>
          <w:r w:rsidRPr="004D46AC">
            <w:rPr>
              <w:noProof/>
            </w:rPr>
            <w:instrText xml:space="preserve"> PAGEREF _Toc219888763 \h </w:instrText>
          </w:r>
          <w:r w:rsidRPr="004D46AC">
            <w:rPr>
              <w:noProof/>
            </w:rPr>
          </w:r>
          <w:r w:rsidRPr="004D46AC">
            <w:rPr>
              <w:noProof/>
            </w:rPr>
            <w:fldChar w:fldCharType="separate"/>
          </w:r>
          <w:r w:rsidR="009568EC" w:rsidRPr="004D46AC">
            <w:rPr>
              <w:noProof/>
            </w:rPr>
            <w:t>131</w:t>
          </w:r>
          <w:r w:rsidRPr="004D46AC">
            <w:rPr>
              <w:noProof/>
            </w:rPr>
            <w:fldChar w:fldCharType="end"/>
          </w:r>
        </w:p>
        <w:p w14:paraId="160060C1" w14:textId="6C040F70" w:rsidR="002C56E2" w:rsidRPr="004D46AC" w:rsidRDefault="002C56E2" w:rsidP="002C56E2">
          <w:pPr>
            <w:pStyle w:val="TOC2"/>
            <w:rPr>
              <w:rFonts w:asciiTheme="minorHAnsi" w:eastAsiaTheme="minorEastAsia" w:hAnsiTheme="minorHAnsi" w:cstheme="minorBidi"/>
              <w:noProof/>
              <w:sz w:val="24"/>
              <w:szCs w:val="24"/>
            </w:rPr>
          </w:pPr>
          <w:r w:rsidRPr="004D46AC">
            <w:rPr>
              <w:noProof/>
            </w:rPr>
            <w:t>Discussion</w:t>
          </w:r>
          <w:r w:rsidRPr="004D46AC">
            <w:rPr>
              <w:noProof/>
            </w:rPr>
            <w:tab/>
          </w:r>
          <w:r w:rsidRPr="004D46AC">
            <w:rPr>
              <w:noProof/>
            </w:rPr>
            <w:fldChar w:fldCharType="begin"/>
          </w:r>
          <w:r w:rsidRPr="004D46AC">
            <w:rPr>
              <w:noProof/>
            </w:rPr>
            <w:instrText xml:space="preserve"> PAGEREF _Toc219888764 \h </w:instrText>
          </w:r>
          <w:r w:rsidRPr="004D46AC">
            <w:rPr>
              <w:noProof/>
            </w:rPr>
          </w:r>
          <w:r w:rsidRPr="004D46AC">
            <w:rPr>
              <w:noProof/>
            </w:rPr>
            <w:fldChar w:fldCharType="separate"/>
          </w:r>
          <w:r w:rsidR="009568EC" w:rsidRPr="004D46AC">
            <w:rPr>
              <w:noProof/>
            </w:rPr>
            <w:t>143</w:t>
          </w:r>
          <w:r w:rsidRPr="004D46AC">
            <w:rPr>
              <w:noProof/>
            </w:rPr>
            <w:fldChar w:fldCharType="end"/>
          </w:r>
        </w:p>
        <w:p w14:paraId="278C788C" w14:textId="5ECB58D2" w:rsidR="002C56E2" w:rsidRPr="004D46AC" w:rsidRDefault="002C56E2" w:rsidP="002C56E2">
          <w:pPr>
            <w:pStyle w:val="TOC2"/>
            <w:rPr>
              <w:rFonts w:asciiTheme="minorHAnsi" w:eastAsiaTheme="minorEastAsia" w:hAnsiTheme="minorHAnsi" w:cstheme="minorBidi"/>
              <w:noProof/>
              <w:sz w:val="24"/>
              <w:szCs w:val="24"/>
            </w:rPr>
          </w:pPr>
          <w:r w:rsidRPr="004D46AC">
            <w:rPr>
              <w:noProof/>
            </w:rPr>
            <w:t>Conclusion</w:t>
          </w:r>
          <w:r w:rsidRPr="004D46AC">
            <w:rPr>
              <w:noProof/>
            </w:rPr>
            <w:tab/>
          </w:r>
          <w:r w:rsidRPr="004D46AC">
            <w:rPr>
              <w:noProof/>
            </w:rPr>
            <w:fldChar w:fldCharType="begin"/>
          </w:r>
          <w:r w:rsidRPr="004D46AC">
            <w:rPr>
              <w:noProof/>
            </w:rPr>
            <w:instrText xml:space="preserve"> PAGEREF _Toc219888765 \h </w:instrText>
          </w:r>
          <w:r w:rsidRPr="004D46AC">
            <w:rPr>
              <w:noProof/>
            </w:rPr>
          </w:r>
          <w:r w:rsidRPr="004D46AC">
            <w:rPr>
              <w:noProof/>
            </w:rPr>
            <w:fldChar w:fldCharType="separate"/>
          </w:r>
          <w:r w:rsidR="009568EC" w:rsidRPr="004D46AC">
            <w:rPr>
              <w:noProof/>
            </w:rPr>
            <w:t>149</w:t>
          </w:r>
          <w:r w:rsidRPr="004D46AC">
            <w:rPr>
              <w:noProof/>
            </w:rPr>
            <w:fldChar w:fldCharType="end"/>
          </w:r>
        </w:p>
        <w:p w14:paraId="52F961AF" w14:textId="2E72043A"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Reference</w:t>
          </w:r>
          <w:r w:rsidR="004A63C4" w:rsidRPr="004D46AC">
            <w:rPr>
              <w:rFonts w:eastAsiaTheme="minorEastAsia" w:hint="eastAsia"/>
              <w:noProof/>
            </w:rPr>
            <w:t>s</w:t>
          </w:r>
          <w:r w:rsidRPr="004D46AC">
            <w:rPr>
              <w:noProof/>
            </w:rPr>
            <w:tab/>
          </w:r>
          <w:r w:rsidRPr="004D46AC">
            <w:rPr>
              <w:noProof/>
            </w:rPr>
            <w:fldChar w:fldCharType="begin"/>
          </w:r>
          <w:r w:rsidRPr="004D46AC">
            <w:rPr>
              <w:noProof/>
            </w:rPr>
            <w:instrText xml:space="preserve"> PAGEREF _Toc219888766 \h </w:instrText>
          </w:r>
          <w:r w:rsidRPr="004D46AC">
            <w:rPr>
              <w:noProof/>
            </w:rPr>
          </w:r>
          <w:r w:rsidRPr="004D46AC">
            <w:rPr>
              <w:noProof/>
            </w:rPr>
            <w:fldChar w:fldCharType="separate"/>
          </w:r>
          <w:r w:rsidR="009568EC" w:rsidRPr="004D46AC">
            <w:rPr>
              <w:noProof/>
            </w:rPr>
            <w:t>150</w:t>
          </w:r>
          <w:r w:rsidRPr="004D46AC">
            <w:rPr>
              <w:noProof/>
            </w:rPr>
            <w:fldChar w:fldCharType="end"/>
          </w:r>
        </w:p>
        <w:p w14:paraId="442553B6" w14:textId="613BACE9" w:rsidR="002C56E2" w:rsidRPr="004D46AC" w:rsidRDefault="002C56E2" w:rsidP="002C56E2">
          <w:pPr>
            <w:pStyle w:val="TOC1"/>
            <w:tabs>
              <w:tab w:val="left" w:pos="1926"/>
              <w:tab w:val="right" w:leader="dot" w:pos="9016"/>
            </w:tabs>
            <w:spacing w:after="0" w:line="360" w:lineRule="auto"/>
            <w:ind w:firstLine="0"/>
            <w:rPr>
              <w:rFonts w:asciiTheme="minorHAnsi" w:eastAsiaTheme="minorEastAsia" w:hAnsiTheme="minorHAnsi" w:cstheme="minorBidi"/>
              <w:noProof/>
              <w:sz w:val="24"/>
              <w:szCs w:val="24"/>
            </w:rPr>
          </w:pPr>
          <w:r w:rsidRPr="004D46AC">
            <w:rPr>
              <w:rFonts w:eastAsiaTheme="minorEastAsia"/>
              <w:noProof/>
            </w:rPr>
            <w:t>Chapter 3</w:t>
          </w:r>
          <w:r w:rsidRPr="004D46AC">
            <w:rPr>
              <w:rFonts w:asciiTheme="minorHAnsi" w:eastAsiaTheme="minorEastAsia" w:hAnsiTheme="minorHAnsi" w:cstheme="minorBidi" w:hint="eastAsia"/>
              <w:noProof/>
              <w:sz w:val="24"/>
              <w:szCs w:val="24"/>
            </w:rPr>
            <w:t xml:space="preserve"> </w:t>
          </w:r>
          <w:r w:rsidRPr="004D46AC">
            <w:rPr>
              <w:noProof/>
            </w:rPr>
            <w:t>The common structure of the major psychoses: More similarities than differences in the network structures of schizophrenia, schizoaffective disorder and psychotic bipolar disorder</w:t>
          </w:r>
        </w:p>
        <w:p w14:paraId="67093E7D" w14:textId="4C2B3BEC" w:rsidR="002C56E2" w:rsidRPr="004D46AC" w:rsidRDefault="002C56E2" w:rsidP="002C56E2">
          <w:pPr>
            <w:pStyle w:val="TOC2"/>
            <w:rPr>
              <w:rFonts w:asciiTheme="minorHAnsi" w:eastAsiaTheme="minorEastAsia" w:hAnsiTheme="minorHAnsi" w:cstheme="minorBidi"/>
              <w:noProof/>
              <w:sz w:val="24"/>
              <w:szCs w:val="24"/>
            </w:rPr>
          </w:pPr>
          <w:r w:rsidRPr="004D46AC">
            <w:rPr>
              <w:noProof/>
            </w:rPr>
            <w:t>Introduction</w:t>
          </w:r>
          <w:r w:rsidRPr="004D46AC">
            <w:rPr>
              <w:noProof/>
            </w:rPr>
            <w:tab/>
          </w:r>
          <w:r w:rsidRPr="004D46AC">
            <w:rPr>
              <w:noProof/>
            </w:rPr>
            <w:fldChar w:fldCharType="begin"/>
          </w:r>
          <w:r w:rsidRPr="004D46AC">
            <w:rPr>
              <w:noProof/>
            </w:rPr>
            <w:instrText xml:space="preserve"> PAGEREF _Toc219888768 \h </w:instrText>
          </w:r>
          <w:r w:rsidRPr="004D46AC">
            <w:rPr>
              <w:noProof/>
            </w:rPr>
          </w:r>
          <w:r w:rsidRPr="004D46AC">
            <w:rPr>
              <w:noProof/>
            </w:rPr>
            <w:fldChar w:fldCharType="separate"/>
          </w:r>
          <w:r w:rsidR="009568EC" w:rsidRPr="004D46AC">
            <w:rPr>
              <w:noProof/>
            </w:rPr>
            <w:t>159</w:t>
          </w:r>
          <w:r w:rsidRPr="004D46AC">
            <w:rPr>
              <w:noProof/>
            </w:rPr>
            <w:fldChar w:fldCharType="end"/>
          </w:r>
        </w:p>
        <w:p w14:paraId="68AF254A" w14:textId="61AD22EF" w:rsidR="002C56E2" w:rsidRPr="004D46AC" w:rsidRDefault="002C56E2" w:rsidP="002C56E2">
          <w:pPr>
            <w:pStyle w:val="TOC2"/>
            <w:rPr>
              <w:rFonts w:asciiTheme="minorHAnsi" w:eastAsiaTheme="minorEastAsia" w:hAnsiTheme="minorHAnsi" w:cstheme="minorBidi"/>
              <w:noProof/>
              <w:sz w:val="24"/>
              <w:szCs w:val="24"/>
            </w:rPr>
          </w:pPr>
          <w:r w:rsidRPr="004D46AC">
            <w:rPr>
              <w:noProof/>
            </w:rPr>
            <w:lastRenderedPageBreak/>
            <w:t>Method</w:t>
          </w:r>
          <w:r w:rsidRPr="004D46AC">
            <w:rPr>
              <w:noProof/>
            </w:rPr>
            <w:tab/>
          </w:r>
          <w:r w:rsidRPr="004D46AC">
            <w:rPr>
              <w:noProof/>
            </w:rPr>
            <w:fldChar w:fldCharType="begin"/>
          </w:r>
          <w:r w:rsidRPr="004D46AC">
            <w:rPr>
              <w:noProof/>
            </w:rPr>
            <w:instrText xml:space="preserve"> PAGEREF _Toc219888769 \h </w:instrText>
          </w:r>
          <w:r w:rsidRPr="004D46AC">
            <w:rPr>
              <w:noProof/>
            </w:rPr>
          </w:r>
          <w:r w:rsidRPr="004D46AC">
            <w:rPr>
              <w:noProof/>
            </w:rPr>
            <w:fldChar w:fldCharType="separate"/>
          </w:r>
          <w:r w:rsidR="009568EC" w:rsidRPr="004D46AC">
            <w:rPr>
              <w:noProof/>
            </w:rPr>
            <w:t>162</w:t>
          </w:r>
          <w:r w:rsidRPr="004D46AC">
            <w:rPr>
              <w:noProof/>
            </w:rPr>
            <w:fldChar w:fldCharType="end"/>
          </w:r>
        </w:p>
        <w:p w14:paraId="22366698" w14:textId="19445AF6"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Results</w:t>
          </w:r>
          <w:r w:rsidRPr="004D46AC">
            <w:rPr>
              <w:noProof/>
            </w:rPr>
            <w:tab/>
          </w:r>
          <w:r w:rsidRPr="004D46AC">
            <w:rPr>
              <w:noProof/>
            </w:rPr>
            <w:fldChar w:fldCharType="begin"/>
          </w:r>
          <w:r w:rsidRPr="004D46AC">
            <w:rPr>
              <w:noProof/>
            </w:rPr>
            <w:instrText xml:space="preserve"> PAGEREF _Toc219888770 \h </w:instrText>
          </w:r>
          <w:r w:rsidRPr="004D46AC">
            <w:rPr>
              <w:noProof/>
            </w:rPr>
          </w:r>
          <w:r w:rsidRPr="004D46AC">
            <w:rPr>
              <w:noProof/>
            </w:rPr>
            <w:fldChar w:fldCharType="separate"/>
          </w:r>
          <w:r w:rsidR="009568EC" w:rsidRPr="004D46AC">
            <w:rPr>
              <w:noProof/>
            </w:rPr>
            <w:t>168</w:t>
          </w:r>
          <w:r w:rsidRPr="004D46AC">
            <w:rPr>
              <w:noProof/>
            </w:rPr>
            <w:fldChar w:fldCharType="end"/>
          </w:r>
        </w:p>
        <w:p w14:paraId="1C0A9F7A" w14:textId="4EAA7C1A" w:rsidR="002C56E2" w:rsidRPr="004D46AC" w:rsidRDefault="002C56E2" w:rsidP="002C56E2">
          <w:pPr>
            <w:pStyle w:val="TOC2"/>
            <w:rPr>
              <w:rFonts w:asciiTheme="minorHAnsi" w:eastAsiaTheme="minorEastAsia" w:hAnsiTheme="minorHAnsi" w:cstheme="minorBidi"/>
              <w:noProof/>
              <w:sz w:val="24"/>
              <w:szCs w:val="24"/>
            </w:rPr>
          </w:pPr>
          <w:r w:rsidRPr="004D46AC">
            <w:rPr>
              <w:noProof/>
            </w:rPr>
            <w:t>Discussion</w:t>
          </w:r>
          <w:r w:rsidRPr="004D46AC">
            <w:rPr>
              <w:noProof/>
            </w:rPr>
            <w:tab/>
          </w:r>
          <w:r w:rsidRPr="004D46AC">
            <w:rPr>
              <w:noProof/>
            </w:rPr>
            <w:fldChar w:fldCharType="begin"/>
          </w:r>
          <w:r w:rsidRPr="004D46AC">
            <w:rPr>
              <w:noProof/>
            </w:rPr>
            <w:instrText xml:space="preserve"> PAGEREF _Toc219888771 \h </w:instrText>
          </w:r>
          <w:r w:rsidRPr="004D46AC">
            <w:rPr>
              <w:noProof/>
            </w:rPr>
          </w:r>
          <w:r w:rsidRPr="004D46AC">
            <w:rPr>
              <w:noProof/>
            </w:rPr>
            <w:fldChar w:fldCharType="separate"/>
          </w:r>
          <w:r w:rsidR="009568EC" w:rsidRPr="004D46AC">
            <w:rPr>
              <w:noProof/>
            </w:rPr>
            <w:t>177</w:t>
          </w:r>
          <w:r w:rsidRPr="004D46AC">
            <w:rPr>
              <w:noProof/>
            </w:rPr>
            <w:fldChar w:fldCharType="end"/>
          </w:r>
        </w:p>
        <w:p w14:paraId="5E94BF05" w14:textId="107E91C0" w:rsidR="002C56E2" w:rsidRPr="004D46AC" w:rsidRDefault="002C56E2" w:rsidP="002C56E2">
          <w:pPr>
            <w:pStyle w:val="TOC2"/>
            <w:rPr>
              <w:rFonts w:asciiTheme="minorHAnsi" w:eastAsiaTheme="minorEastAsia" w:hAnsiTheme="minorHAnsi" w:cstheme="minorBidi"/>
              <w:noProof/>
              <w:sz w:val="24"/>
              <w:szCs w:val="24"/>
            </w:rPr>
          </w:pPr>
          <w:r w:rsidRPr="004D46AC">
            <w:rPr>
              <w:noProof/>
            </w:rPr>
            <w:t>Conclusion</w:t>
          </w:r>
          <w:r w:rsidRPr="004D46AC">
            <w:rPr>
              <w:noProof/>
            </w:rPr>
            <w:tab/>
          </w:r>
          <w:r w:rsidRPr="004D46AC">
            <w:rPr>
              <w:noProof/>
            </w:rPr>
            <w:fldChar w:fldCharType="begin"/>
          </w:r>
          <w:r w:rsidRPr="004D46AC">
            <w:rPr>
              <w:noProof/>
            </w:rPr>
            <w:instrText xml:space="preserve"> PAGEREF _Toc219888772 \h </w:instrText>
          </w:r>
          <w:r w:rsidRPr="004D46AC">
            <w:rPr>
              <w:noProof/>
            </w:rPr>
          </w:r>
          <w:r w:rsidRPr="004D46AC">
            <w:rPr>
              <w:noProof/>
            </w:rPr>
            <w:fldChar w:fldCharType="separate"/>
          </w:r>
          <w:r w:rsidR="009568EC" w:rsidRPr="004D46AC">
            <w:rPr>
              <w:noProof/>
            </w:rPr>
            <w:t>182</w:t>
          </w:r>
          <w:r w:rsidRPr="004D46AC">
            <w:rPr>
              <w:noProof/>
            </w:rPr>
            <w:fldChar w:fldCharType="end"/>
          </w:r>
        </w:p>
        <w:p w14:paraId="0B710966" w14:textId="330DE1D0"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References</w:t>
          </w:r>
          <w:r w:rsidRPr="004D46AC">
            <w:rPr>
              <w:noProof/>
            </w:rPr>
            <w:tab/>
          </w:r>
          <w:r w:rsidRPr="004D46AC">
            <w:rPr>
              <w:noProof/>
            </w:rPr>
            <w:fldChar w:fldCharType="begin"/>
          </w:r>
          <w:r w:rsidRPr="004D46AC">
            <w:rPr>
              <w:noProof/>
            </w:rPr>
            <w:instrText xml:space="preserve"> PAGEREF _Toc219888773 \h </w:instrText>
          </w:r>
          <w:r w:rsidRPr="004D46AC">
            <w:rPr>
              <w:noProof/>
            </w:rPr>
          </w:r>
          <w:r w:rsidRPr="004D46AC">
            <w:rPr>
              <w:noProof/>
            </w:rPr>
            <w:fldChar w:fldCharType="separate"/>
          </w:r>
          <w:r w:rsidR="009568EC" w:rsidRPr="004D46AC">
            <w:rPr>
              <w:noProof/>
            </w:rPr>
            <w:t>183</w:t>
          </w:r>
          <w:r w:rsidRPr="004D46AC">
            <w:rPr>
              <w:noProof/>
            </w:rPr>
            <w:fldChar w:fldCharType="end"/>
          </w:r>
        </w:p>
        <w:p w14:paraId="0A8234B9" w14:textId="4DB237D9" w:rsidR="002C56E2" w:rsidRPr="004D46AC" w:rsidRDefault="002C56E2" w:rsidP="002C56E2">
          <w:pPr>
            <w:pStyle w:val="TOC1"/>
            <w:tabs>
              <w:tab w:val="left" w:pos="1926"/>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Chapter 4</w:t>
          </w:r>
          <w:r w:rsidRPr="004D46AC">
            <w:rPr>
              <w:rFonts w:asciiTheme="minorHAnsi" w:eastAsiaTheme="minorEastAsia" w:hAnsiTheme="minorHAnsi" w:cstheme="minorBidi" w:hint="eastAsia"/>
              <w:noProof/>
              <w:sz w:val="24"/>
              <w:szCs w:val="24"/>
            </w:rPr>
            <w:t xml:space="preserve"> </w:t>
          </w:r>
          <w:r w:rsidRPr="004D46AC">
            <w:rPr>
              <w:noProof/>
            </w:rPr>
            <w:t>The Interplay Between Mood Symptoms and Psychosis Over Two Years: Longitudinal and Structural Relationships Between Manic, Depressive, and Psychotic-Like Experience</w:t>
          </w:r>
        </w:p>
        <w:p w14:paraId="402D4631" w14:textId="37D1EFF8" w:rsidR="002C56E2" w:rsidRPr="004D46AC" w:rsidRDefault="002C56E2" w:rsidP="002C56E2">
          <w:pPr>
            <w:pStyle w:val="TOC2"/>
            <w:rPr>
              <w:rFonts w:asciiTheme="minorHAnsi" w:eastAsiaTheme="minorEastAsia" w:hAnsiTheme="minorHAnsi" w:cstheme="minorBidi"/>
              <w:noProof/>
              <w:sz w:val="24"/>
              <w:szCs w:val="24"/>
            </w:rPr>
          </w:pPr>
          <w:r w:rsidRPr="004D46AC">
            <w:rPr>
              <w:noProof/>
            </w:rPr>
            <w:t>Introduction</w:t>
          </w:r>
          <w:r w:rsidRPr="004D46AC">
            <w:rPr>
              <w:noProof/>
            </w:rPr>
            <w:tab/>
          </w:r>
          <w:r w:rsidRPr="004D46AC">
            <w:rPr>
              <w:noProof/>
            </w:rPr>
            <w:fldChar w:fldCharType="begin"/>
          </w:r>
          <w:r w:rsidRPr="004D46AC">
            <w:rPr>
              <w:noProof/>
            </w:rPr>
            <w:instrText xml:space="preserve"> PAGEREF _Toc219888775 \h </w:instrText>
          </w:r>
          <w:r w:rsidRPr="004D46AC">
            <w:rPr>
              <w:noProof/>
            </w:rPr>
          </w:r>
          <w:r w:rsidRPr="004D46AC">
            <w:rPr>
              <w:noProof/>
            </w:rPr>
            <w:fldChar w:fldCharType="separate"/>
          </w:r>
          <w:r w:rsidR="009568EC" w:rsidRPr="004D46AC">
            <w:rPr>
              <w:noProof/>
            </w:rPr>
            <w:t>188</w:t>
          </w:r>
          <w:r w:rsidRPr="004D46AC">
            <w:rPr>
              <w:noProof/>
            </w:rPr>
            <w:fldChar w:fldCharType="end"/>
          </w:r>
        </w:p>
        <w:p w14:paraId="23EAAD5B" w14:textId="09A5710E" w:rsidR="002C56E2" w:rsidRPr="004D46AC" w:rsidRDefault="002C56E2" w:rsidP="002C56E2">
          <w:pPr>
            <w:pStyle w:val="TOC2"/>
            <w:rPr>
              <w:rFonts w:asciiTheme="minorHAnsi" w:eastAsiaTheme="minorEastAsia" w:hAnsiTheme="minorHAnsi" w:cstheme="minorBidi"/>
              <w:noProof/>
              <w:sz w:val="24"/>
              <w:szCs w:val="24"/>
            </w:rPr>
          </w:pPr>
          <w:r w:rsidRPr="004D46AC">
            <w:rPr>
              <w:noProof/>
            </w:rPr>
            <w:t>Methods</w:t>
          </w:r>
          <w:r w:rsidRPr="004D46AC">
            <w:rPr>
              <w:noProof/>
            </w:rPr>
            <w:tab/>
          </w:r>
          <w:r w:rsidRPr="004D46AC">
            <w:rPr>
              <w:noProof/>
            </w:rPr>
            <w:fldChar w:fldCharType="begin"/>
          </w:r>
          <w:r w:rsidRPr="004D46AC">
            <w:rPr>
              <w:noProof/>
            </w:rPr>
            <w:instrText xml:space="preserve"> PAGEREF _Toc219888776 \h </w:instrText>
          </w:r>
          <w:r w:rsidRPr="004D46AC">
            <w:rPr>
              <w:noProof/>
            </w:rPr>
          </w:r>
          <w:r w:rsidRPr="004D46AC">
            <w:rPr>
              <w:noProof/>
            </w:rPr>
            <w:fldChar w:fldCharType="separate"/>
          </w:r>
          <w:r w:rsidR="009568EC" w:rsidRPr="004D46AC">
            <w:rPr>
              <w:noProof/>
            </w:rPr>
            <w:t>194</w:t>
          </w:r>
          <w:r w:rsidRPr="004D46AC">
            <w:rPr>
              <w:noProof/>
            </w:rPr>
            <w:fldChar w:fldCharType="end"/>
          </w:r>
        </w:p>
        <w:p w14:paraId="7D093094" w14:textId="269C0C51"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Results</w:t>
          </w:r>
          <w:r w:rsidRPr="004D46AC">
            <w:rPr>
              <w:noProof/>
            </w:rPr>
            <w:tab/>
          </w:r>
          <w:r w:rsidRPr="004D46AC">
            <w:rPr>
              <w:noProof/>
            </w:rPr>
            <w:fldChar w:fldCharType="begin"/>
          </w:r>
          <w:r w:rsidRPr="004D46AC">
            <w:rPr>
              <w:noProof/>
            </w:rPr>
            <w:instrText xml:space="preserve"> PAGEREF _Toc219888777 \h </w:instrText>
          </w:r>
          <w:r w:rsidRPr="004D46AC">
            <w:rPr>
              <w:noProof/>
            </w:rPr>
          </w:r>
          <w:r w:rsidRPr="004D46AC">
            <w:rPr>
              <w:noProof/>
            </w:rPr>
            <w:fldChar w:fldCharType="separate"/>
          </w:r>
          <w:r w:rsidR="009568EC" w:rsidRPr="004D46AC">
            <w:rPr>
              <w:noProof/>
            </w:rPr>
            <w:t>205</w:t>
          </w:r>
          <w:r w:rsidRPr="004D46AC">
            <w:rPr>
              <w:noProof/>
            </w:rPr>
            <w:fldChar w:fldCharType="end"/>
          </w:r>
        </w:p>
        <w:p w14:paraId="6499AAA1" w14:textId="1E8E003F" w:rsidR="002C56E2" w:rsidRPr="004D46AC" w:rsidRDefault="002C56E2" w:rsidP="002C56E2">
          <w:pPr>
            <w:pStyle w:val="TOC2"/>
            <w:rPr>
              <w:rFonts w:asciiTheme="minorHAnsi" w:eastAsiaTheme="minorEastAsia" w:hAnsiTheme="minorHAnsi" w:cstheme="minorBidi"/>
              <w:noProof/>
              <w:sz w:val="24"/>
              <w:szCs w:val="24"/>
            </w:rPr>
          </w:pPr>
          <w:r w:rsidRPr="004D46AC">
            <w:rPr>
              <w:noProof/>
            </w:rPr>
            <w:t>Discussion</w:t>
          </w:r>
          <w:r w:rsidRPr="004D46AC">
            <w:rPr>
              <w:noProof/>
            </w:rPr>
            <w:tab/>
          </w:r>
          <w:r w:rsidRPr="004D46AC">
            <w:rPr>
              <w:noProof/>
            </w:rPr>
            <w:fldChar w:fldCharType="begin"/>
          </w:r>
          <w:r w:rsidRPr="004D46AC">
            <w:rPr>
              <w:noProof/>
            </w:rPr>
            <w:instrText xml:space="preserve"> PAGEREF _Toc219888778 \h </w:instrText>
          </w:r>
          <w:r w:rsidRPr="004D46AC">
            <w:rPr>
              <w:noProof/>
            </w:rPr>
          </w:r>
          <w:r w:rsidRPr="004D46AC">
            <w:rPr>
              <w:noProof/>
            </w:rPr>
            <w:fldChar w:fldCharType="separate"/>
          </w:r>
          <w:r w:rsidR="009568EC" w:rsidRPr="004D46AC">
            <w:rPr>
              <w:noProof/>
            </w:rPr>
            <w:t>214</w:t>
          </w:r>
          <w:r w:rsidRPr="004D46AC">
            <w:rPr>
              <w:noProof/>
            </w:rPr>
            <w:fldChar w:fldCharType="end"/>
          </w:r>
        </w:p>
        <w:p w14:paraId="7633CEE8" w14:textId="0E9A19DB" w:rsidR="002C56E2" w:rsidRPr="004D46AC" w:rsidRDefault="002C56E2" w:rsidP="002C56E2">
          <w:pPr>
            <w:pStyle w:val="TOC2"/>
            <w:rPr>
              <w:rFonts w:asciiTheme="minorHAnsi" w:eastAsiaTheme="minorEastAsia" w:hAnsiTheme="minorHAnsi" w:cstheme="minorBidi"/>
              <w:noProof/>
              <w:sz w:val="24"/>
              <w:szCs w:val="24"/>
            </w:rPr>
          </w:pPr>
          <w:r w:rsidRPr="004D46AC">
            <w:rPr>
              <w:noProof/>
            </w:rPr>
            <w:t>Conclusion</w:t>
          </w:r>
          <w:r w:rsidRPr="004D46AC">
            <w:rPr>
              <w:noProof/>
            </w:rPr>
            <w:tab/>
          </w:r>
          <w:r w:rsidRPr="004D46AC">
            <w:rPr>
              <w:noProof/>
            </w:rPr>
            <w:fldChar w:fldCharType="begin"/>
          </w:r>
          <w:r w:rsidRPr="004D46AC">
            <w:rPr>
              <w:noProof/>
            </w:rPr>
            <w:instrText xml:space="preserve"> PAGEREF _Toc219888779 \h </w:instrText>
          </w:r>
          <w:r w:rsidRPr="004D46AC">
            <w:rPr>
              <w:noProof/>
            </w:rPr>
          </w:r>
          <w:r w:rsidRPr="004D46AC">
            <w:rPr>
              <w:noProof/>
            </w:rPr>
            <w:fldChar w:fldCharType="separate"/>
          </w:r>
          <w:r w:rsidR="009568EC" w:rsidRPr="004D46AC">
            <w:rPr>
              <w:noProof/>
            </w:rPr>
            <w:t>219</w:t>
          </w:r>
          <w:r w:rsidRPr="004D46AC">
            <w:rPr>
              <w:noProof/>
            </w:rPr>
            <w:fldChar w:fldCharType="end"/>
          </w:r>
        </w:p>
        <w:p w14:paraId="3C95941D" w14:textId="2276F286"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References</w:t>
          </w:r>
          <w:r w:rsidRPr="004D46AC">
            <w:rPr>
              <w:noProof/>
            </w:rPr>
            <w:tab/>
          </w:r>
          <w:r w:rsidRPr="004D46AC">
            <w:rPr>
              <w:noProof/>
            </w:rPr>
            <w:fldChar w:fldCharType="begin"/>
          </w:r>
          <w:r w:rsidRPr="004D46AC">
            <w:rPr>
              <w:noProof/>
            </w:rPr>
            <w:instrText xml:space="preserve"> PAGEREF _Toc219888780 \h </w:instrText>
          </w:r>
          <w:r w:rsidRPr="004D46AC">
            <w:rPr>
              <w:noProof/>
            </w:rPr>
          </w:r>
          <w:r w:rsidRPr="004D46AC">
            <w:rPr>
              <w:noProof/>
            </w:rPr>
            <w:fldChar w:fldCharType="separate"/>
          </w:r>
          <w:r w:rsidR="009568EC" w:rsidRPr="004D46AC">
            <w:rPr>
              <w:noProof/>
            </w:rPr>
            <w:t>220</w:t>
          </w:r>
          <w:r w:rsidRPr="004D46AC">
            <w:rPr>
              <w:noProof/>
            </w:rPr>
            <w:fldChar w:fldCharType="end"/>
          </w:r>
        </w:p>
        <w:p w14:paraId="516003DC" w14:textId="49154BA9" w:rsidR="002C56E2" w:rsidRPr="004D46AC" w:rsidRDefault="002C56E2" w:rsidP="002C56E2">
          <w:pPr>
            <w:pStyle w:val="TOC1"/>
            <w:tabs>
              <w:tab w:val="left" w:pos="1926"/>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Chapter 5</w:t>
          </w:r>
          <w:r w:rsidRPr="004D46AC">
            <w:rPr>
              <w:rFonts w:asciiTheme="minorHAnsi" w:eastAsiaTheme="minorEastAsia" w:hAnsiTheme="minorHAnsi" w:cstheme="minorBidi" w:hint="eastAsia"/>
              <w:noProof/>
              <w:sz w:val="24"/>
              <w:szCs w:val="24"/>
            </w:rPr>
            <w:t xml:space="preserve"> </w:t>
          </w:r>
          <w:r w:rsidRPr="004D46AC">
            <w:rPr>
              <w:noProof/>
            </w:rPr>
            <w:t>Tracing Early Anomalies of Mania and Psychosis: Developing a Pluripotential Assessment Tool and Mapping Its Network Dynamics</w:t>
          </w:r>
        </w:p>
        <w:p w14:paraId="6B80FB44" w14:textId="460F0849" w:rsidR="002C56E2" w:rsidRPr="004D46AC" w:rsidRDefault="002C56E2" w:rsidP="002C56E2">
          <w:pPr>
            <w:pStyle w:val="TOC2"/>
            <w:rPr>
              <w:rFonts w:asciiTheme="minorHAnsi" w:eastAsiaTheme="minorEastAsia" w:hAnsiTheme="minorHAnsi" w:cstheme="minorBidi"/>
              <w:noProof/>
              <w:sz w:val="24"/>
              <w:szCs w:val="24"/>
            </w:rPr>
          </w:pPr>
          <w:r w:rsidRPr="004D46AC">
            <w:rPr>
              <w:noProof/>
            </w:rPr>
            <w:t>Introduction</w:t>
          </w:r>
          <w:r w:rsidRPr="004D46AC">
            <w:rPr>
              <w:noProof/>
            </w:rPr>
            <w:tab/>
          </w:r>
          <w:r w:rsidRPr="004D46AC">
            <w:rPr>
              <w:noProof/>
            </w:rPr>
            <w:fldChar w:fldCharType="begin"/>
          </w:r>
          <w:r w:rsidRPr="004D46AC">
            <w:rPr>
              <w:noProof/>
            </w:rPr>
            <w:instrText xml:space="preserve"> PAGEREF _Toc219888782 \h </w:instrText>
          </w:r>
          <w:r w:rsidRPr="004D46AC">
            <w:rPr>
              <w:noProof/>
            </w:rPr>
          </w:r>
          <w:r w:rsidRPr="004D46AC">
            <w:rPr>
              <w:noProof/>
            </w:rPr>
            <w:fldChar w:fldCharType="separate"/>
          </w:r>
          <w:r w:rsidR="009568EC" w:rsidRPr="004D46AC">
            <w:rPr>
              <w:noProof/>
            </w:rPr>
            <w:t>231</w:t>
          </w:r>
          <w:r w:rsidRPr="004D46AC">
            <w:rPr>
              <w:noProof/>
            </w:rPr>
            <w:fldChar w:fldCharType="end"/>
          </w:r>
        </w:p>
        <w:p w14:paraId="4E345291" w14:textId="0AB2E4A7" w:rsidR="002C56E2" w:rsidRPr="004D46AC" w:rsidRDefault="002C56E2" w:rsidP="002C56E2">
          <w:pPr>
            <w:pStyle w:val="TOC2"/>
            <w:rPr>
              <w:rFonts w:asciiTheme="minorHAnsi" w:eastAsiaTheme="minorEastAsia" w:hAnsiTheme="minorHAnsi" w:cstheme="minorBidi"/>
              <w:noProof/>
              <w:sz w:val="24"/>
              <w:szCs w:val="24"/>
            </w:rPr>
          </w:pPr>
          <w:r w:rsidRPr="004D46AC">
            <w:rPr>
              <w:noProof/>
            </w:rPr>
            <w:t>Methods</w:t>
          </w:r>
          <w:r w:rsidRPr="004D46AC">
            <w:rPr>
              <w:noProof/>
            </w:rPr>
            <w:tab/>
          </w:r>
          <w:r w:rsidRPr="004D46AC">
            <w:rPr>
              <w:noProof/>
            </w:rPr>
            <w:fldChar w:fldCharType="begin"/>
          </w:r>
          <w:r w:rsidRPr="004D46AC">
            <w:rPr>
              <w:noProof/>
            </w:rPr>
            <w:instrText xml:space="preserve"> PAGEREF _Toc219888783 \h </w:instrText>
          </w:r>
          <w:r w:rsidRPr="004D46AC">
            <w:rPr>
              <w:noProof/>
            </w:rPr>
          </w:r>
          <w:r w:rsidRPr="004D46AC">
            <w:rPr>
              <w:noProof/>
            </w:rPr>
            <w:fldChar w:fldCharType="separate"/>
          </w:r>
          <w:r w:rsidR="009568EC" w:rsidRPr="004D46AC">
            <w:rPr>
              <w:noProof/>
            </w:rPr>
            <w:t>240</w:t>
          </w:r>
          <w:r w:rsidRPr="004D46AC">
            <w:rPr>
              <w:noProof/>
            </w:rPr>
            <w:fldChar w:fldCharType="end"/>
          </w:r>
        </w:p>
        <w:p w14:paraId="4850700C" w14:textId="275125ED"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Results</w:t>
          </w:r>
          <w:r w:rsidRPr="004D46AC">
            <w:rPr>
              <w:noProof/>
            </w:rPr>
            <w:tab/>
          </w:r>
          <w:r w:rsidRPr="004D46AC">
            <w:rPr>
              <w:noProof/>
            </w:rPr>
            <w:fldChar w:fldCharType="begin"/>
          </w:r>
          <w:r w:rsidRPr="004D46AC">
            <w:rPr>
              <w:noProof/>
            </w:rPr>
            <w:instrText xml:space="preserve"> PAGEREF _Toc219888784 \h </w:instrText>
          </w:r>
          <w:r w:rsidRPr="004D46AC">
            <w:rPr>
              <w:noProof/>
            </w:rPr>
          </w:r>
          <w:r w:rsidRPr="004D46AC">
            <w:rPr>
              <w:noProof/>
            </w:rPr>
            <w:fldChar w:fldCharType="separate"/>
          </w:r>
          <w:r w:rsidR="009568EC" w:rsidRPr="004D46AC">
            <w:rPr>
              <w:noProof/>
            </w:rPr>
            <w:t>253</w:t>
          </w:r>
          <w:r w:rsidRPr="004D46AC">
            <w:rPr>
              <w:noProof/>
            </w:rPr>
            <w:fldChar w:fldCharType="end"/>
          </w:r>
        </w:p>
        <w:p w14:paraId="50E7615D" w14:textId="0605DF02" w:rsidR="002C56E2" w:rsidRPr="004D46AC" w:rsidRDefault="002C56E2" w:rsidP="002C56E2">
          <w:pPr>
            <w:pStyle w:val="TOC2"/>
            <w:rPr>
              <w:rFonts w:asciiTheme="minorHAnsi" w:eastAsiaTheme="minorEastAsia" w:hAnsiTheme="minorHAnsi" w:cstheme="minorBidi"/>
              <w:noProof/>
              <w:sz w:val="24"/>
              <w:szCs w:val="24"/>
            </w:rPr>
          </w:pPr>
          <w:r w:rsidRPr="004D46AC">
            <w:rPr>
              <w:noProof/>
            </w:rPr>
            <w:t>Discussion</w:t>
          </w:r>
          <w:r w:rsidRPr="004D46AC">
            <w:rPr>
              <w:noProof/>
            </w:rPr>
            <w:tab/>
          </w:r>
          <w:r w:rsidRPr="004D46AC">
            <w:rPr>
              <w:noProof/>
            </w:rPr>
            <w:fldChar w:fldCharType="begin"/>
          </w:r>
          <w:r w:rsidRPr="004D46AC">
            <w:rPr>
              <w:noProof/>
            </w:rPr>
            <w:instrText xml:space="preserve"> PAGEREF _Toc219888785 \h </w:instrText>
          </w:r>
          <w:r w:rsidRPr="004D46AC">
            <w:rPr>
              <w:noProof/>
            </w:rPr>
          </w:r>
          <w:r w:rsidRPr="004D46AC">
            <w:rPr>
              <w:noProof/>
            </w:rPr>
            <w:fldChar w:fldCharType="separate"/>
          </w:r>
          <w:r w:rsidR="009568EC" w:rsidRPr="004D46AC">
            <w:rPr>
              <w:noProof/>
            </w:rPr>
            <w:t>272</w:t>
          </w:r>
          <w:r w:rsidRPr="004D46AC">
            <w:rPr>
              <w:noProof/>
            </w:rPr>
            <w:fldChar w:fldCharType="end"/>
          </w:r>
        </w:p>
        <w:p w14:paraId="578F00EE" w14:textId="4F9F2175" w:rsidR="002C56E2" w:rsidRPr="004D46AC" w:rsidRDefault="002C56E2" w:rsidP="002C56E2">
          <w:pPr>
            <w:pStyle w:val="TOC2"/>
            <w:rPr>
              <w:rFonts w:asciiTheme="minorHAnsi" w:eastAsiaTheme="minorEastAsia" w:hAnsiTheme="minorHAnsi" w:cstheme="minorBidi"/>
              <w:noProof/>
              <w:sz w:val="24"/>
              <w:szCs w:val="24"/>
            </w:rPr>
          </w:pPr>
          <w:r w:rsidRPr="004D46AC">
            <w:rPr>
              <w:noProof/>
            </w:rPr>
            <w:t>Conclusion</w:t>
          </w:r>
          <w:r w:rsidRPr="004D46AC">
            <w:rPr>
              <w:noProof/>
            </w:rPr>
            <w:tab/>
          </w:r>
          <w:r w:rsidRPr="004D46AC">
            <w:rPr>
              <w:noProof/>
            </w:rPr>
            <w:fldChar w:fldCharType="begin"/>
          </w:r>
          <w:r w:rsidRPr="004D46AC">
            <w:rPr>
              <w:noProof/>
            </w:rPr>
            <w:instrText xml:space="preserve"> PAGEREF _Toc219888786 \h </w:instrText>
          </w:r>
          <w:r w:rsidRPr="004D46AC">
            <w:rPr>
              <w:noProof/>
            </w:rPr>
          </w:r>
          <w:r w:rsidRPr="004D46AC">
            <w:rPr>
              <w:noProof/>
            </w:rPr>
            <w:fldChar w:fldCharType="separate"/>
          </w:r>
          <w:r w:rsidR="009568EC" w:rsidRPr="004D46AC">
            <w:rPr>
              <w:noProof/>
            </w:rPr>
            <w:t>286</w:t>
          </w:r>
          <w:r w:rsidRPr="004D46AC">
            <w:rPr>
              <w:noProof/>
            </w:rPr>
            <w:fldChar w:fldCharType="end"/>
          </w:r>
        </w:p>
        <w:p w14:paraId="242383A1" w14:textId="4269A3FD"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Reference</w:t>
          </w:r>
          <w:r w:rsidR="004A63C4" w:rsidRPr="004D46AC">
            <w:rPr>
              <w:rFonts w:eastAsiaTheme="minorEastAsia" w:hint="eastAsia"/>
              <w:noProof/>
            </w:rPr>
            <w:t>s</w:t>
          </w:r>
          <w:r w:rsidRPr="004D46AC">
            <w:rPr>
              <w:noProof/>
            </w:rPr>
            <w:tab/>
          </w:r>
          <w:r w:rsidRPr="004D46AC">
            <w:rPr>
              <w:noProof/>
            </w:rPr>
            <w:fldChar w:fldCharType="begin"/>
          </w:r>
          <w:r w:rsidRPr="004D46AC">
            <w:rPr>
              <w:noProof/>
            </w:rPr>
            <w:instrText xml:space="preserve"> PAGEREF _Toc219888787 \h </w:instrText>
          </w:r>
          <w:r w:rsidRPr="004D46AC">
            <w:rPr>
              <w:noProof/>
            </w:rPr>
          </w:r>
          <w:r w:rsidRPr="004D46AC">
            <w:rPr>
              <w:noProof/>
            </w:rPr>
            <w:fldChar w:fldCharType="separate"/>
          </w:r>
          <w:r w:rsidR="009568EC" w:rsidRPr="004D46AC">
            <w:rPr>
              <w:noProof/>
            </w:rPr>
            <w:t>287</w:t>
          </w:r>
          <w:r w:rsidRPr="004D46AC">
            <w:rPr>
              <w:noProof/>
            </w:rPr>
            <w:fldChar w:fldCharType="end"/>
          </w:r>
        </w:p>
        <w:p w14:paraId="017D70D0" w14:textId="51046557" w:rsidR="002C56E2" w:rsidRPr="004D46AC" w:rsidRDefault="002C56E2" w:rsidP="002C56E2">
          <w:pPr>
            <w:pStyle w:val="TOC1"/>
            <w:tabs>
              <w:tab w:val="left" w:pos="1926"/>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Chapter 6</w:t>
          </w:r>
          <w:r w:rsidRPr="004D46AC">
            <w:rPr>
              <w:rFonts w:asciiTheme="minorHAnsi" w:eastAsiaTheme="minorEastAsia" w:hAnsiTheme="minorHAnsi" w:cstheme="minorBidi" w:hint="eastAsia"/>
              <w:noProof/>
              <w:sz w:val="24"/>
              <w:szCs w:val="24"/>
            </w:rPr>
            <w:t xml:space="preserve"> </w:t>
          </w:r>
          <w:r w:rsidRPr="004D46AC">
            <w:rPr>
              <w:noProof/>
            </w:rPr>
            <w:t>General Discussion and Conclusion</w:t>
          </w:r>
        </w:p>
        <w:p w14:paraId="445D8D51" w14:textId="1A92B30D" w:rsidR="002C56E2" w:rsidRPr="004D46AC" w:rsidRDefault="002C56E2" w:rsidP="002C56E2">
          <w:pPr>
            <w:pStyle w:val="TOC2"/>
            <w:rPr>
              <w:rFonts w:asciiTheme="minorHAnsi" w:eastAsiaTheme="minorEastAsia" w:hAnsiTheme="minorHAnsi" w:cstheme="minorBidi"/>
              <w:noProof/>
              <w:sz w:val="24"/>
              <w:szCs w:val="24"/>
            </w:rPr>
          </w:pPr>
          <w:r w:rsidRPr="004D46AC">
            <w:rPr>
              <w:noProof/>
            </w:rPr>
            <w:t>Introduction</w:t>
          </w:r>
          <w:r w:rsidRPr="004D46AC">
            <w:rPr>
              <w:noProof/>
            </w:rPr>
            <w:tab/>
          </w:r>
          <w:r w:rsidRPr="004D46AC">
            <w:rPr>
              <w:noProof/>
            </w:rPr>
            <w:fldChar w:fldCharType="begin"/>
          </w:r>
          <w:r w:rsidRPr="004D46AC">
            <w:rPr>
              <w:noProof/>
            </w:rPr>
            <w:instrText xml:space="preserve"> PAGEREF _Toc219888789 \h </w:instrText>
          </w:r>
          <w:r w:rsidRPr="004D46AC">
            <w:rPr>
              <w:noProof/>
            </w:rPr>
          </w:r>
          <w:r w:rsidRPr="004D46AC">
            <w:rPr>
              <w:noProof/>
            </w:rPr>
            <w:fldChar w:fldCharType="separate"/>
          </w:r>
          <w:r w:rsidR="009568EC" w:rsidRPr="004D46AC">
            <w:rPr>
              <w:noProof/>
            </w:rPr>
            <w:t>303</w:t>
          </w:r>
          <w:r w:rsidRPr="004D46AC">
            <w:rPr>
              <w:noProof/>
            </w:rPr>
            <w:fldChar w:fldCharType="end"/>
          </w:r>
        </w:p>
        <w:p w14:paraId="54032748" w14:textId="547D0DE8" w:rsidR="002C56E2" w:rsidRPr="004D46AC" w:rsidRDefault="002C56E2" w:rsidP="002C56E2">
          <w:pPr>
            <w:pStyle w:val="TOC2"/>
            <w:rPr>
              <w:rFonts w:asciiTheme="minorHAnsi" w:eastAsiaTheme="minorEastAsia" w:hAnsiTheme="minorHAnsi" w:cstheme="minorBidi"/>
              <w:noProof/>
              <w:sz w:val="24"/>
              <w:szCs w:val="24"/>
            </w:rPr>
          </w:pPr>
          <w:r w:rsidRPr="004D46AC">
            <w:rPr>
              <w:noProof/>
            </w:rPr>
            <w:t>Synthesis of Findings</w:t>
          </w:r>
          <w:r w:rsidRPr="004D46AC">
            <w:rPr>
              <w:noProof/>
            </w:rPr>
            <w:tab/>
          </w:r>
          <w:r w:rsidRPr="004D46AC">
            <w:rPr>
              <w:noProof/>
            </w:rPr>
            <w:fldChar w:fldCharType="begin"/>
          </w:r>
          <w:r w:rsidRPr="004D46AC">
            <w:rPr>
              <w:noProof/>
            </w:rPr>
            <w:instrText xml:space="preserve"> PAGEREF _Toc219888790 \h </w:instrText>
          </w:r>
          <w:r w:rsidRPr="004D46AC">
            <w:rPr>
              <w:noProof/>
            </w:rPr>
          </w:r>
          <w:r w:rsidRPr="004D46AC">
            <w:rPr>
              <w:noProof/>
            </w:rPr>
            <w:fldChar w:fldCharType="separate"/>
          </w:r>
          <w:r w:rsidR="009568EC" w:rsidRPr="004D46AC">
            <w:rPr>
              <w:noProof/>
            </w:rPr>
            <w:t>305</w:t>
          </w:r>
          <w:r w:rsidRPr="004D46AC">
            <w:rPr>
              <w:noProof/>
            </w:rPr>
            <w:fldChar w:fldCharType="end"/>
          </w:r>
        </w:p>
        <w:p w14:paraId="1806C5B5" w14:textId="681B979F" w:rsidR="002C56E2" w:rsidRPr="004D46AC" w:rsidRDefault="002C56E2" w:rsidP="002C56E2">
          <w:pPr>
            <w:pStyle w:val="TOC2"/>
            <w:rPr>
              <w:rFonts w:asciiTheme="minorHAnsi" w:eastAsiaTheme="minorEastAsia" w:hAnsiTheme="minorHAnsi" w:cstheme="minorBidi"/>
              <w:noProof/>
              <w:sz w:val="24"/>
              <w:szCs w:val="24"/>
            </w:rPr>
          </w:pPr>
          <w:r w:rsidRPr="004D46AC">
            <w:rPr>
              <w:noProof/>
            </w:rPr>
            <w:t>Concluding remark</w:t>
          </w:r>
          <w:r w:rsidRPr="004D46AC">
            <w:rPr>
              <w:noProof/>
            </w:rPr>
            <w:tab/>
          </w:r>
          <w:r w:rsidRPr="004D46AC">
            <w:rPr>
              <w:noProof/>
            </w:rPr>
            <w:fldChar w:fldCharType="begin"/>
          </w:r>
          <w:r w:rsidRPr="004D46AC">
            <w:rPr>
              <w:noProof/>
            </w:rPr>
            <w:instrText xml:space="preserve"> PAGEREF _Toc219888791 \h </w:instrText>
          </w:r>
          <w:r w:rsidRPr="004D46AC">
            <w:rPr>
              <w:noProof/>
            </w:rPr>
          </w:r>
          <w:r w:rsidRPr="004D46AC">
            <w:rPr>
              <w:noProof/>
            </w:rPr>
            <w:fldChar w:fldCharType="separate"/>
          </w:r>
          <w:r w:rsidR="009568EC" w:rsidRPr="004D46AC">
            <w:rPr>
              <w:noProof/>
            </w:rPr>
            <w:t>318</w:t>
          </w:r>
          <w:r w:rsidRPr="004D46AC">
            <w:rPr>
              <w:noProof/>
            </w:rPr>
            <w:fldChar w:fldCharType="end"/>
          </w:r>
        </w:p>
        <w:p w14:paraId="56DB6E58" w14:textId="46C2D32D" w:rsidR="002C56E2" w:rsidRPr="004D46AC" w:rsidRDefault="002C56E2" w:rsidP="002C56E2">
          <w:pPr>
            <w:pStyle w:val="TOC2"/>
            <w:rPr>
              <w:rFonts w:asciiTheme="minorHAnsi" w:eastAsiaTheme="minorEastAsia" w:hAnsiTheme="minorHAnsi" w:cstheme="minorBidi"/>
              <w:noProof/>
              <w:sz w:val="24"/>
              <w:szCs w:val="24"/>
            </w:rPr>
          </w:pPr>
          <w:r w:rsidRPr="004D46AC">
            <w:rPr>
              <w:noProof/>
            </w:rPr>
            <w:t>Reference</w:t>
          </w:r>
          <w:r w:rsidR="004A63C4" w:rsidRPr="004D46AC">
            <w:rPr>
              <w:rFonts w:eastAsiaTheme="minorEastAsia" w:hint="eastAsia"/>
              <w:noProof/>
            </w:rPr>
            <w:t>s</w:t>
          </w:r>
          <w:r w:rsidRPr="004D46AC">
            <w:rPr>
              <w:noProof/>
            </w:rPr>
            <w:tab/>
          </w:r>
          <w:r w:rsidRPr="004D46AC">
            <w:rPr>
              <w:noProof/>
            </w:rPr>
            <w:fldChar w:fldCharType="begin"/>
          </w:r>
          <w:r w:rsidRPr="004D46AC">
            <w:rPr>
              <w:noProof/>
            </w:rPr>
            <w:instrText xml:space="preserve"> PAGEREF _Toc219888792 \h </w:instrText>
          </w:r>
          <w:r w:rsidRPr="004D46AC">
            <w:rPr>
              <w:noProof/>
            </w:rPr>
          </w:r>
          <w:r w:rsidRPr="004D46AC">
            <w:rPr>
              <w:noProof/>
            </w:rPr>
            <w:fldChar w:fldCharType="separate"/>
          </w:r>
          <w:r w:rsidR="009568EC" w:rsidRPr="004D46AC">
            <w:rPr>
              <w:noProof/>
            </w:rPr>
            <w:t>319</w:t>
          </w:r>
          <w:r w:rsidRPr="004D46AC">
            <w:rPr>
              <w:noProof/>
            </w:rPr>
            <w:fldChar w:fldCharType="end"/>
          </w:r>
        </w:p>
        <w:p w14:paraId="3B250BA6" w14:textId="30B0975E" w:rsidR="002C56E2" w:rsidRPr="004D46AC" w:rsidRDefault="002C56E2" w:rsidP="002C56E2">
          <w:pPr>
            <w:pStyle w:val="TOC1"/>
            <w:tabs>
              <w:tab w:val="right" w:leader="dot" w:pos="9016"/>
            </w:tabs>
            <w:spacing w:after="0" w:line="360" w:lineRule="auto"/>
            <w:ind w:firstLine="0"/>
            <w:rPr>
              <w:rFonts w:asciiTheme="minorHAnsi" w:eastAsiaTheme="minorEastAsia" w:hAnsiTheme="minorHAnsi" w:cstheme="minorBidi"/>
              <w:noProof/>
              <w:sz w:val="24"/>
              <w:szCs w:val="24"/>
            </w:rPr>
          </w:pPr>
          <w:r w:rsidRPr="004D46AC">
            <w:rPr>
              <w:noProof/>
            </w:rPr>
            <w:t>Appendixes</w:t>
          </w:r>
        </w:p>
        <w:p w14:paraId="173CA571" w14:textId="02D4E0D3" w:rsidR="002C56E2" w:rsidRPr="004D46AC" w:rsidRDefault="002C56E2" w:rsidP="002C56E2">
          <w:pPr>
            <w:pStyle w:val="TOC2"/>
            <w:rPr>
              <w:rFonts w:asciiTheme="minorHAnsi" w:eastAsiaTheme="minorEastAsia" w:hAnsiTheme="minorHAnsi" w:cstheme="minorBidi"/>
              <w:noProof/>
              <w:sz w:val="24"/>
              <w:szCs w:val="24"/>
            </w:rPr>
          </w:pPr>
          <w:r w:rsidRPr="004D46AC">
            <w:rPr>
              <w:rFonts w:eastAsiaTheme="minorEastAsia"/>
              <w:noProof/>
            </w:rPr>
            <w:t xml:space="preserve">Appendix A: </w:t>
          </w:r>
          <w:r w:rsidRPr="004D46AC">
            <w:rPr>
              <w:noProof/>
            </w:rPr>
            <w:t>Supplementary Files for Chapter 1</w:t>
          </w:r>
          <w:r w:rsidRPr="004D46AC">
            <w:rPr>
              <w:noProof/>
            </w:rPr>
            <w:tab/>
          </w:r>
          <w:r w:rsidRPr="004D46AC">
            <w:rPr>
              <w:noProof/>
            </w:rPr>
            <w:fldChar w:fldCharType="begin"/>
          </w:r>
          <w:r w:rsidRPr="004D46AC">
            <w:rPr>
              <w:noProof/>
            </w:rPr>
            <w:instrText xml:space="preserve"> PAGEREF _Toc219888794 \h </w:instrText>
          </w:r>
          <w:r w:rsidRPr="004D46AC">
            <w:rPr>
              <w:noProof/>
            </w:rPr>
          </w:r>
          <w:r w:rsidRPr="004D46AC">
            <w:rPr>
              <w:noProof/>
            </w:rPr>
            <w:fldChar w:fldCharType="separate"/>
          </w:r>
          <w:r w:rsidR="009568EC" w:rsidRPr="004D46AC">
            <w:rPr>
              <w:noProof/>
            </w:rPr>
            <w:t>323</w:t>
          </w:r>
          <w:r w:rsidRPr="004D46AC">
            <w:rPr>
              <w:noProof/>
            </w:rPr>
            <w:fldChar w:fldCharType="end"/>
          </w:r>
        </w:p>
        <w:p w14:paraId="0CA39421" w14:textId="1114EB14" w:rsidR="002C56E2" w:rsidRPr="004D46AC" w:rsidRDefault="002C56E2" w:rsidP="002C56E2">
          <w:pPr>
            <w:pStyle w:val="TOC2"/>
            <w:rPr>
              <w:rFonts w:asciiTheme="minorHAnsi" w:eastAsiaTheme="minorEastAsia" w:hAnsiTheme="minorHAnsi" w:cstheme="minorBidi"/>
              <w:noProof/>
              <w:sz w:val="24"/>
              <w:szCs w:val="24"/>
            </w:rPr>
          </w:pPr>
          <w:r w:rsidRPr="004D46AC">
            <w:rPr>
              <w:noProof/>
            </w:rPr>
            <w:t>Appendix B: Supplementary Files for Chapter 2</w:t>
          </w:r>
          <w:r w:rsidRPr="004D46AC">
            <w:rPr>
              <w:noProof/>
            </w:rPr>
            <w:tab/>
          </w:r>
          <w:r w:rsidRPr="004D46AC">
            <w:rPr>
              <w:noProof/>
            </w:rPr>
            <w:fldChar w:fldCharType="begin"/>
          </w:r>
          <w:r w:rsidRPr="004D46AC">
            <w:rPr>
              <w:noProof/>
            </w:rPr>
            <w:instrText xml:space="preserve"> PAGEREF _Toc219888795 \h </w:instrText>
          </w:r>
          <w:r w:rsidRPr="004D46AC">
            <w:rPr>
              <w:noProof/>
            </w:rPr>
          </w:r>
          <w:r w:rsidRPr="004D46AC">
            <w:rPr>
              <w:noProof/>
            </w:rPr>
            <w:fldChar w:fldCharType="separate"/>
          </w:r>
          <w:r w:rsidR="009568EC" w:rsidRPr="004D46AC">
            <w:rPr>
              <w:noProof/>
            </w:rPr>
            <w:t>339</w:t>
          </w:r>
          <w:r w:rsidRPr="004D46AC">
            <w:rPr>
              <w:noProof/>
            </w:rPr>
            <w:fldChar w:fldCharType="end"/>
          </w:r>
        </w:p>
        <w:p w14:paraId="7A7672AD" w14:textId="76BB3A98" w:rsidR="002C56E2" w:rsidRPr="004D46AC" w:rsidRDefault="002C56E2" w:rsidP="002C56E2">
          <w:pPr>
            <w:pStyle w:val="TOC2"/>
            <w:rPr>
              <w:rFonts w:asciiTheme="minorHAnsi" w:eastAsiaTheme="minorEastAsia" w:hAnsiTheme="minorHAnsi" w:cstheme="minorBidi"/>
              <w:noProof/>
              <w:sz w:val="24"/>
              <w:szCs w:val="24"/>
            </w:rPr>
          </w:pPr>
          <w:r w:rsidRPr="004D46AC">
            <w:rPr>
              <w:noProof/>
            </w:rPr>
            <w:t xml:space="preserve">Appendix </w:t>
          </w:r>
          <w:r w:rsidRPr="004D46AC">
            <w:rPr>
              <w:rFonts w:eastAsiaTheme="minorEastAsia"/>
              <w:noProof/>
            </w:rPr>
            <w:t>C</w:t>
          </w:r>
          <w:r w:rsidRPr="004D46AC">
            <w:rPr>
              <w:noProof/>
            </w:rPr>
            <w:t xml:space="preserve">: Supplementary Files for Chapter </w:t>
          </w:r>
          <w:r w:rsidRPr="004D46AC">
            <w:rPr>
              <w:rFonts w:eastAsiaTheme="minorEastAsia"/>
              <w:noProof/>
            </w:rPr>
            <w:t>3</w:t>
          </w:r>
          <w:r w:rsidRPr="004D46AC">
            <w:rPr>
              <w:noProof/>
            </w:rPr>
            <w:tab/>
          </w:r>
          <w:r w:rsidRPr="004D46AC">
            <w:rPr>
              <w:noProof/>
            </w:rPr>
            <w:fldChar w:fldCharType="begin"/>
          </w:r>
          <w:r w:rsidRPr="004D46AC">
            <w:rPr>
              <w:noProof/>
            </w:rPr>
            <w:instrText xml:space="preserve"> PAGEREF _Toc219888796 \h </w:instrText>
          </w:r>
          <w:r w:rsidRPr="004D46AC">
            <w:rPr>
              <w:noProof/>
            </w:rPr>
          </w:r>
          <w:r w:rsidRPr="004D46AC">
            <w:rPr>
              <w:noProof/>
            </w:rPr>
            <w:fldChar w:fldCharType="separate"/>
          </w:r>
          <w:r w:rsidR="009568EC" w:rsidRPr="004D46AC">
            <w:rPr>
              <w:noProof/>
            </w:rPr>
            <w:t>421</w:t>
          </w:r>
          <w:r w:rsidRPr="004D46AC">
            <w:rPr>
              <w:noProof/>
            </w:rPr>
            <w:fldChar w:fldCharType="end"/>
          </w:r>
        </w:p>
        <w:p w14:paraId="2D1A5BFF" w14:textId="7E6D8214" w:rsidR="002C56E2" w:rsidRPr="004D46AC" w:rsidRDefault="002C56E2" w:rsidP="002C56E2">
          <w:pPr>
            <w:pStyle w:val="TOC2"/>
            <w:rPr>
              <w:rFonts w:asciiTheme="minorHAnsi" w:eastAsiaTheme="minorEastAsia" w:hAnsiTheme="minorHAnsi" w:cstheme="minorBidi"/>
              <w:noProof/>
              <w:sz w:val="24"/>
              <w:szCs w:val="24"/>
            </w:rPr>
          </w:pPr>
          <w:r w:rsidRPr="004D46AC">
            <w:rPr>
              <w:noProof/>
            </w:rPr>
            <w:t>Appendix D</w:t>
          </w:r>
          <w:r w:rsidRPr="004D46AC">
            <w:rPr>
              <w:rFonts w:ascii="Microsoft YaHei" w:eastAsia="Microsoft YaHei" w:hAnsi="Microsoft YaHei" w:cs="Microsoft YaHei"/>
              <w:noProof/>
            </w:rPr>
            <w:t>:</w:t>
          </w:r>
          <w:r w:rsidRPr="004D46AC">
            <w:rPr>
              <w:noProof/>
            </w:rPr>
            <w:t xml:space="preserve"> Supplementary </w:t>
          </w:r>
          <w:r w:rsidRPr="004D46AC">
            <w:rPr>
              <w:rFonts w:eastAsiaTheme="minorEastAsia"/>
              <w:noProof/>
            </w:rPr>
            <w:t>F</w:t>
          </w:r>
          <w:r w:rsidRPr="004D46AC">
            <w:rPr>
              <w:noProof/>
            </w:rPr>
            <w:t xml:space="preserve">iles </w:t>
          </w:r>
          <w:r w:rsidRPr="004D46AC">
            <w:rPr>
              <w:rFonts w:eastAsiaTheme="minorEastAsia"/>
              <w:noProof/>
            </w:rPr>
            <w:t>for</w:t>
          </w:r>
          <w:r w:rsidRPr="004D46AC">
            <w:rPr>
              <w:noProof/>
            </w:rPr>
            <w:t xml:space="preserve"> Chapter 4</w:t>
          </w:r>
          <w:r w:rsidRPr="004D46AC">
            <w:rPr>
              <w:noProof/>
            </w:rPr>
            <w:tab/>
          </w:r>
          <w:r w:rsidRPr="004D46AC">
            <w:rPr>
              <w:noProof/>
            </w:rPr>
            <w:fldChar w:fldCharType="begin"/>
          </w:r>
          <w:r w:rsidRPr="004D46AC">
            <w:rPr>
              <w:noProof/>
            </w:rPr>
            <w:instrText xml:space="preserve"> PAGEREF _Toc219888797 \h </w:instrText>
          </w:r>
          <w:r w:rsidRPr="004D46AC">
            <w:rPr>
              <w:noProof/>
            </w:rPr>
          </w:r>
          <w:r w:rsidRPr="004D46AC">
            <w:rPr>
              <w:noProof/>
            </w:rPr>
            <w:fldChar w:fldCharType="separate"/>
          </w:r>
          <w:r w:rsidR="009568EC" w:rsidRPr="004D46AC">
            <w:rPr>
              <w:noProof/>
            </w:rPr>
            <w:t>449</w:t>
          </w:r>
          <w:r w:rsidRPr="004D46AC">
            <w:rPr>
              <w:noProof/>
            </w:rPr>
            <w:fldChar w:fldCharType="end"/>
          </w:r>
        </w:p>
        <w:p w14:paraId="674816EF" w14:textId="6CB48BC8" w:rsidR="002C56E2" w:rsidRPr="004D46AC" w:rsidRDefault="002C56E2" w:rsidP="002C56E2">
          <w:pPr>
            <w:pStyle w:val="TOC2"/>
            <w:rPr>
              <w:rFonts w:asciiTheme="minorHAnsi" w:eastAsiaTheme="minorEastAsia" w:hAnsiTheme="minorHAnsi" w:cstheme="minorBidi"/>
              <w:noProof/>
              <w:sz w:val="24"/>
              <w:szCs w:val="24"/>
            </w:rPr>
          </w:pPr>
          <w:r w:rsidRPr="004D46AC">
            <w:rPr>
              <w:noProof/>
            </w:rPr>
            <w:t>Appendix E: Supplementary Files for Chapter 5</w:t>
          </w:r>
          <w:r w:rsidRPr="004D46AC">
            <w:rPr>
              <w:noProof/>
            </w:rPr>
            <w:tab/>
          </w:r>
          <w:r w:rsidRPr="004D46AC">
            <w:rPr>
              <w:noProof/>
            </w:rPr>
            <w:fldChar w:fldCharType="begin"/>
          </w:r>
          <w:r w:rsidRPr="004D46AC">
            <w:rPr>
              <w:noProof/>
            </w:rPr>
            <w:instrText xml:space="preserve"> PAGEREF _Toc219888798 \h </w:instrText>
          </w:r>
          <w:r w:rsidRPr="004D46AC">
            <w:rPr>
              <w:noProof/>
            </w:rPr>
          </w:r>
          <w:r w:rsidRPr="004D46AC">
            <w:rPr>
              <w:noProof/>
            </w:rPr>
            <w:fldChar w:fldCharType="separate"/>
          </w:r>
          <w:r w:rsidR="009568EC" w:rsidRPr="004D46AC">
            <w:rPr>
              <w:noProof/>
            </w:rPr>
            <w:t>460</w:t>
          </w:r>
          <w:r w:rsidRPr="004D46AC">
            <w:rPr>
              <w:noProof/>
            </w:rPr>
            <w:fldChar w:fldCharType="end"/>
          </w:r>
        </w:p>
        <w:p w14:paraId="0AFED3E6" w14:textId="53A4ABBC" w:rsidR="00CF6BA7" w:rsidRPr="004D46AC" w:rsidRDefault="00CF6BA7" w:rsidP="002C56E2">
          <w:pPr>
            <w:spacing w:line="360" w:lineRule="auto"/>
            <w:ind w:firstLine="0"/>
          </w:pPr>
          <w:r w:rsidRPr="004D46AC">
            <w:fldChar w:fldCharType="end"/>
          </w:r>
        </w:p>
      </w:sdtContent>
    </w:sdt>
    <w:p w14:paraId="3674B0EB" w14:textId="77777777" w:rsidR="00B56A0F" w:rsidRPr="004D46AC" w:rsidRDefault="00B56A0F" w:rsidP="00705E90">
      <w:pPr>
        <w:ind w:firstLine="0"/>
        <w:rPr>
          <w:rFonts w:eastAsiaTheme="minorEastAsia"/>
          <w:sz w:val="32"/>
          <w:szCs w:val="32"/>
        </w:rPr>
        <w:sectPr w:rsidR="00B56A0F" w:rsidRPr="004D46AC" w:rsidSect="003D5CB6">
          <w:pgSz w:w="11906" w:h="16838"/>
          <w:pgMar w:top="1440" w:right="1440" w:bottom="1440" w:left="1440" w:header="708" w:footer="708" w:gutter="0"/>
          <w:cols w:space="708"/>
          <w:docGrid w:linePitch="360"/>
        </w:sectPr>
      </w:pPr>
    </w:p>
    <w:p w14:paraId="4B16E95D" w14:textId="5461E0F9" w:rsidR="004725A0" w:rsidRPr="004D46AC" w:rsidRDefault="00372FB0" w:rsidP="00B34E55">
      <w:pPr>
        <w:pStyle w:val="1"/>
        <w:rPr>
          <w:rFonts w:eastAsiaTheme="minorEastAsia"/>
        </w:rPr>
      </w:pPr>
      <w:bookmarkStart w:id="3" w:name="_Toc219888738"/>
      <w:r w:rsidRPr="004D46AC">
        <w:rPr>
          <w:rFonts w:hint="eastAsia"/>
        </w:rPr>
        <w:lastRenderedPageBreak/>
        <w:t>List of Tables</w:t>
      </w:r>
      <w:r w:rsidRPr="004D46AC">
        <w:rPr>
          <w:rFonts w:eastAsiaTheme="minorEastAsia" w:hint="eastAsia"/>
        </w:rPr>
        <w:t xml:space="preserve"> (Main body)</w:t>
      </w:r>
      <w:bookmarkEnd w:id="3"/>
    </w:p>
    <w:p w14:paraId="0DB51D5A" w14:textId="0A5F8840" w:rsidR="003A79C9" w:rsidRPr="004D46AC" w:rsidRDefault="004725A0"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r w:rsidRPr="004D46AC">
        <w:rPr>
          <w:b/>
          <w:bCs/>
          <w:sz w:val="32"/>
          <w:szCs w:val="32"/>
        </w:rPr>
        <w:fldChar w:fldCharType="begin"/>
      </w:r>
      <w:r w:rsidRPr="004D46AC">
        <w:rPr>
          <w:b/>
          <w:bCs/>
          <w:sz w:val="32"/>
          <w:szCs w:val="32"/>
        </w:rPr>
        <w:instrText xml:space="preserve"> TOC \h \z \c "Table" </w:instrText>
      </w:r>
      <w:r w:rsidRPr="004D46AC">
        <w:rPr>
          <w:b/>
          <w:bCs/>
          <w:sz w:val="32"/>
          <w:szCs w:val="32"/>
        </w:rPr>
        <w:fldChar w:fldCharType="separate"/>
      </w:r>
      <w:hyperlink w:anchor="_Toc219883852" w:history="1">
        <w:r w:rsidR="003A79C9" w:rsidRPr="004D46AC">
          <w:rPr>
            <w:rStyle w:val="af5"/>
            <w:b/>
            <w:bCs/>
            <w:noProof/>
          </w:rPr>
          <w:t>Table 1.1</w:t>
        </w:r>
        <w:r w:rsidR="003A79C9" w:rsidRPr="004D46AC">
          <w:rPr>
            <w:noProof/>
          </w:rPr>
          <w:t xml:space="preserve"> </w:t>
        </w:r>
        <w:r w:rsidR="003A79C9" w:rsidRPr="004D46AC">
          <w:rPr>
            <w:rStyle w:val="af5"/>
            <w:i/>
            <w:iCs/>
            <w:noProof/>
          </w:rPr>
          <w:t>Development of the nosology in well-established DSM and ICD systems</w:t>
        </w:r>
        <w:r w:rsidR="003A79C9" w:rsidRPr="004D46AC">
          <w:rPr>
            <w:noProof/>
            <w:webHidden/>
          </w:rPr>
          <w:tab/>
        </w:r>
        <w:r w:rsidR="003A79C9" w:rsidRPr="004D46AC">
          <w:rPr>
            <w:noProof/>
            <w:webHidden/>
          </w:rPr>
          <w:fldChar w:fldCharType="begin"/>
        </w:r>
        <w:r w:rsidR="003A79C9" w:rsidRPr="004D46AC">
          <w:rPr>
            <w:noProof/>
            <w:webHidden/>
          </w:rPr>
          <w:instrText xml:space="preserve"> PAGEREF _Toc219883852 \h </w:instrText>
        </w:r>
        <w:r w:rsidR="003A79C9" w:rsidRPr="004D46AC">
          <w:rPr>
            <w:noProof/>
            <w:webHidden/>
          </w:rPr>
        </w:r>
        <w:r w:rsidR="003A79C9" w:rsidRPr="004D46AC">
          <w:rPr>
            <w:noProof/>
            <w:webHidden/>
          </w:rPr>
          <w:fldChar w:fldCharType="separate"/>
        </w:r>
        <w:r w:rsidR="009568EC" w:rsidRPr="004D46AC">
          <w:rPr>
            <w:noProof/>
            <w:webHidden/>
          </w:rPr>
          <w:t>25</w:t>
        </w:r>
        <w:r w:rsidR="003A79C9" w:rsidRPr="004D46AC">
          <w:rPr>
            <w:noProof/>
            <w:webHidden/>
          </w:rPr>
          <w:fldChar w:fldCharType="end"/>
        </w:r>
      </w:hyperlink>
    </w:p>
    <w:p w14:paraId="7833B56C" w14:textId="5B860793"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53" w:history="1">
        <w:r w:rsidRPr="004D46AC">
          <w:rPr>
            <w:rStyle w:val="af5"/>
            <w:b/>
            <w:bCs/>
            <w:noProof/>
          </w:rPr>
          <w:t>Table 2.1</w:t>
        </w:r>
        <w:r w:rsidRPr="004D46AC">
          <w:rPr>
            <w:noProof/>
          </w:rPr>
          <w:t xml:space="preserve"> </w:t>
        </w:r>
        <w:r w:rsidRPr="004D46AC">
          <w:rPr>
            <w:rStyle w:val="af5"/>
            <w:i/>
            <w:iCs/>
            <w:noProof/>
          </w:rPr>
          <w:t>Demographic and clinical information for question one</w:t>
        </w:r>
        <w:r w:rsidRPr="004D46AC">
          <w:rPr>
            <w:rStyle w:val="af5"/>
            <w:rFonts w:eastAsiaTheme="minorEastAsia" w:hint="eastAsia"/>
            <w:b/>
            <w:bCs/>
            <w:noProof/>
          </w:rPr>
          <w:t xml:space="preserve"> </w:t>
        </w:r>
        <w:r w:rsidRPr="004D46AC">
          <w:rPr>
            <w:noProof/>
            <w:webHidden/>
          </w:rPr>
          <w:tab/>
        </w:r>
        <w:r w:rsidRPr="004D46AC">
          <w:rPr>
            <w:noProof/>
            <w:webHidden/>
          </w:rPr>
          <w:fldChar w:fldCharType="begin"/>
        </w:r>
        <w:r w:rsidRPr="004D46AC">
          <w:rPr>
            <w:noProof/>
            <w:webHidden/>
          </w:rPr>
          <w:instrText xml:space="preserve"> PAGEREF _Toc219883853 \h </w:instrText>
        </w:r>
        <w:r w:rsidRPr="004D46AC">
          <w:rPr>
            <w:noProof/>
            <w:webHidden/>
          </w:rPr>
        </w:r>
        <w:r w:rsidRPr="004D46AC">
          <w:rPr>
            <w:noProof/>
            <w:webHidden/>
          </w:rPr>
          <w:fldChar w:fldCharType="separate"/>
        </w:r>
        <w:r w:rsidR="009568EC" w:rsidRPr="004D46AC">
          <w:rPr>
            <w:noProof/>
            <w:webHidden/>
          </w:rPr>
          <w:t>126</w:t>
        </w:r>
        <w:r w:rsidRPr="004D46AC">
          <w:rPr>
            <w:noProof/>
            <w:webHidden/>
          </w:rPr>
          <w:fldChar w:fldCharType="end"/>
        </w:r>
      </w:hyperlink>
    </w:p>
    <w:p w14:paraId="72C3E51F" w14:textId="577E1B6D"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54" w:history="1">
        <w:r w:rsidRPr="004D46AC">
          <w:rPr>
            <w:rStyle w:val="af5"/>
            <w:b/>
            <w:bCs/>
            <w:noProof/>
          </w:rPr>
          <w:t>Table 2.2</w:t>
        </w:r>
        <w:r w:rsidRPr="004D46AC">
          <w:rPr>
            <w:noProof/>
          </w:rPr>
          <w:t xml:space="preserve"> </w:t>
        </w:r>
        <w:r w:rsidRPr="004D46AC">
          <w:rPr>
            <w:rStyle w:val="af5"/>
            <w:i/>
            <w:iCs/>
            <w:noProof/>
          </w:rPr>
          <w:t>Demographic and clinical information of studies of specific psychotic symptoms</w:t>
        </w:r>
        <w:r w:rsidRPr="004D46AC">
          <w:rPr>
            <w:noProof/>
            <w:webHidden/>
          </w:rPr>
          <w:tab/>
        </w:r>
        <w:r w:rsidRPr="004D46AC">
          <w:rPr>
            <w:noProof/>
            <w:webHidden/>
          </w:rPr>
          <w:fldChar w:fldCharType="begin"/>
        </w:r>
        <w:r w:rsidRPr="004D46AC">
          <w:rPr>
            <w:noProof/>
            <w:webHidden/>
          </w:rPr>
          <w:instrText xml:space="preserve"> PAGEREF _Toc219883854 \h </w:instrText>
        </w:r>
        <w:r w:rsidRPr="004D46AC">
          <w:rPr>
            <w:noProof/>
            <w:webHidden/>
          </w:rPr>
        </w:r>
        <w:r w:rsidRPr="004D46AC">
          <w:rPr>
            <w:noProof/>
            <w:webHidden/>
          </w:rPr>
          <w:fldChar w:fldCharType="separate"/>
        </w:r>
        <w:r w:rsidR="009568EC" w:rsidRPr="004D46AC">
          <w:rPr>
            <w:noProof/>
            <w:webHidden/>
          </w:rPr>
          <w:t>127</w:t>
        </w:r>
        <w:r w:rsidRPr="004D46AC">
          <w:rPr>
            <w:noProof/>
            <w:webHidden/>
          </w:rPr>
          <w:fldChar w:fldCharType="end"/>
        </w:r>
      </w:hyperlink>
    </w:p>
    <w:p w14:paraId="6039BDE3" w14:textId="250F3BF9"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55" w:history="1">
        <w:r w:rsidRPr="004D46AC">
          <w:rPr>
            <w:rStyle w:val="af5"/>
            <w:b/>
            <w:bCs/>
            <w:noProof/>
          </w:rPr>
          <w:t>Table 2.3</w:t>
        </w:r>
        <w:r w:rsidRPr="004D46AC">
          <w:rPr>
            <w:noProof/>
          </w:rPr>
          <w:t xml:space="preserve"> </w:t>
        </w:r>
        <w:r w:rsidRPr="004D46AC">
          <w:rPr>
            <w:rStyle w:val="af5"/>
            <w:i/>
            <w:iCs/>
            <w:noProof/>
          </w:rPr>
          <w:t>Pooled results of comorbid schizophrenia and psychosis in bipolar patients</w:t>
        </w:r>
        <w:r w:rsidRPr="004D46AC">
          <w:rPr>
            <w:noProof/>
            <w:webHidden/>
          </w:rPr>
          <w:tab/>
        </w:r>
        <w:r w:rsidRPr="004D46AC">
          <w:rPr>
            <w:noProof/>
            <w:webHidden/>
          </w:rPr>
          <w:fldChar w:fldCharType="begin"/>
        </w:r>
        <w:r w:rsidRPr="004D46AC">
          <w:rPr>
            <w:noProof/>
            <w:webHidden/>
          </w:rPr>
          <w:instrText xml:space="preserve"> PAGEREF _Toc219883855 \h </w:instrText>
        </w:r>
        <w:r w:rsidRPr="004D46AC">
          <w:rPr>
            <w:noProof/>
            <w:webHidden/>
          </w:rPr>
        </w:r>
        <w:r w:rsidRPr="004D46AC">
          <w:rPr>
            <w:noProof/>
            <w:webHidden/>
          </w:rPr>
          <w:fldChar w:fldCharType="separate"/>
        </w:r>
        <w:r w:rsidR="009568EC" w:rsidRPr="004D46AC">
          <w:rPr>
            <w:noProof/>
            <w:webHidden/>
          </w:rPr>
          <w:t>131</w:t>
        </w:r>
        <w:r w:rsidRPr="004D46AC">
          <w:rPr>
            <w:noProof/>
            <w:webHidden/>
          </w:rPr>
          <w:fldChar w:fldCharType="end"/>
        </w:r>
      </w:hyperlink>
    </w:p>
    <w:p w14:paraId="22368F66" w14:textId="6EDC1537"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56" w:history="1">
        <w:r w:rsidRPr="004D46AC">
          <w:rPr>
            <w:rStyle w:val="af5"/>
            <w:b/>
            <w:bCs/>
            <w:noProof/>
          </w:rPr>
          <w:t>Table 2.4</w:t>
        </w:r>
        <w:r w:rsidRPr="004D46AC">
          <w:rPr>
            <w:noProof/>
          </w:rPr>
          <w:t xml:space="preserve"> </w:t>
        </w:r>
        <w:r w:rsidRPr="004D46AC">
          <w:rPr>
            <w:rStyle w:val="af5"/>
            <w:i/>
            <w:iCs/>
            <w:noProof/>
          </w:rPr>
          <w:t>The information of predictors contributed to the heterogeneity</w:t>
        </w:r>
        <w:r w:rsidRPr="004D46AC">
          <w:rPr>
            <w:noProof/>
            <w:webHidden/>
          </w:rPr>
          <w:tab/>
        </w:r>
        <w:r w:rsidRPr="004D46AC">
          <w:rPr>
            <w:noProof/>
            <w:webHidden/>
          </w:rPr>
          <w:fldChar w:fldCharType="begin"/>
        </w:r>
        <w:r w:rsidRPr="004D46AC">
          <w:rPr>
            <w:noProof/>
            <w:webHidden/>
          </w:rPr>
          <w:instrText xml:space="preserve"> PAGEREF _Toc219883856 \h </w:instrText>
        </w:r>
        <w:r w:rsidRPr="004D46AC">
          <w:rPr>
            <w:noProof/>
            <w:webHidden/>
          </w:rPr>
        </w:r>
        <w:r w:rsidRPr="004D46AC">
          <w:rPr>
            <w:noProof/>
            <w:webHidden/>
          </w:rPr>
          <w:fldChar w:fldCharType="separate"/>
        </w:r>
        <w:r w:rsidR="009568EC" w:rsidRPr="004D46AC">
          <w:rPr>
            <w:noProof/>
            <w:webHidden/>
          </w:rPr>
          <w:t>132</w:t>
        </w:r>
        <w:r w:rsidRPr="004D46AC">
          <w:rPr>
            <w:noProof/>
            <w:webHidden/>
          </w:rPr>
          <w:fldChar w:fldCharType="end"/>
        </w:r>
      </w:hyperlink>
    </w:p>
    <w:p w14:paraId="2227FF0B" w14:textId="72456860"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57" w:history="1">
        <w:r w:rsidRPr="004D46AC">
          <w:rPr>
            <w:rStyle w:val="af5"/>
            <w:b/>
            <w:bCs/>
            <w:noProof/>
          </w:rPr>
          <w:t>Table 2.5</w:t>
        </w:r>
        <w:r w:rsidRPr="004D46AC">
          <w:rPr>
            <w:noProof/>
          </w:rPr>
          <w:t xml:space="preserve"> </w:t>
        </w:r>
        <w:r w:rsidRPr="004D46AC">
          <w:rPr>
            <w:rStyle w:val="af5"/>
            <w:i/>
            <w:iCs/>
            <w:noProof/>
          </w:rPr>
          <w:t>Pooled results of cooccurring delusions, hallucinations and thought disorders in bipolar patients</w:t>
        </w:r>
        <w:r w:rsidRPr="004D46AC">
          <w:rPr>
            <w:noProof/>
            <w:webHidden/>
          </w:rPr>
          <w:tab/>
        </w:r>
        <w:r w:rsidRPr="004D46AC">
          <w:rPr>
            <w:noProof/>
            <w:webHidden/>
          </w:rPr>
          <w:fldChar w:fldCharType="begin"/>
        </w:r>
        <w:r w:rsidRPr="004D46AC">
          <w:rPr>
            <w:noProof/>
            <w:webHidden/>
          </w:rPr>
          <w:instrText xml:space="preserve"> PAGEREF _Toc219883857 \h </w:instrText>
        </w:r>
        <w:r w:rsidRPr="004D46AC">
          <w:rPr>
            <w:noProof/>
            <w:webHidden/>
          </w:rPr>
        </w:r>
        <w:r w:rsidRPr="004D46AC">
          <w:rPr>
            <w:noProof/>
            <w:webHidden/>
          </w:rPr>
          <w:fldChar w:fldCharType="separate"/>
        </w:r>
        <w:r w:rsidR="009568EC" w:rsidRPr="004D46AC">
          <w:rPr>
            <w:noProof/>
            <w:webHidden/>
          </w:rPr>
          <w:t>139</w:t>
        </w:r>
        <w:r w:rsidRPr="004D46AC">
          <w:rPr>
            <w:noProof/>
            <w:webHidden/>
          </w:rPr>
          <w:fldChar w:fldCharType="end"/>
        </w:r>
      </w:hyperlink>
    </w:p>
    <w:p w14:paraId="73700B4E" w14:textId="5072DFBF"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58" w:history="1">
        <w:r w:rsidRPr="004D46AC">
          <w:rPr>
            <w:rStyle w:val="af5"/>
            <w:b/>
            <w:bCs/>
            <w:noProof/>
          </w:rPr>
          <w:t>Table 2.6</w:t>
        </w:r>
        <w:r w:rsidRPr="004D46AC">
          <w:rPr>
            <w:rStyle w:val="af5"/>
            <w:rFonts w:eastAsiaTheme="minorEastAsia" w:hint="eastAsia"/>
            <w:b/>
            <w:bCs/>
            <w:noProof/>
          </w:rPr>
          <w:t xml:space="preserve"> </w:t>
        </w:r>
        <w:r w:rsidRPr="004D46AC">
          <w:rPr>
            <w:rStyle w:val="af5"/>
            <w:rFonts w:eastAsiaTheme="minorEastAsia"/>
            <w:i/>
            <w:iCs/>
            <w:noProof/>
          </w:rPr>
          <w:t>The predictors contributed to the heterogeneity in analyses of specific psychotic symptoms</w:t>
        </w:r>
        <w:r w:rsidRPr="004D46AC">
          <w:rPr>
            <w:noProof/>
            <w:webHidden/>
          </w:rPr>
          <w:tab/>
        </w:r>
        <w:r w:rsidRPr="004D46AC">
          <w:rPr>
            <w:noProof/>
            <w:webHidden/>
          </w:rPr>
          <w:fldChar w:fldCharType="begin"/>
        </w:r>
        <w:r w:rsidRPr="004D46AC">
          <w:rPr>
            <w:noProof/>
            <w:webHidden/>
          </w:rPr>
          <w:instrText xml:space="preserve"> PAGEREF _Toc219883858 \h </w:instrText>
        </w:r>
        <w:r w:rsidRPr="004D46AC">
          <w:rPr>
            <w:noProof/>
            <w:webHidden/>
          </w:rPr>
        </w:r>
        <w:r w:rsidRPr="004D46AC">
          <w:rPr>
            <w:noProof/>
            <w:webHidden/>
          </w:rPr>
          <w:fldChar w:fldCharType="separate"/>
        </w:r>
        <w:r w:rsidR="009568EC" w:rsidRPr="004D46AC">
          <w:rPr>
            <w:noProof/>
            <w:webHidden/>
          </w:rPr>
          <w:t>140</w:t>
        </w:r>
        <w:r w:rsidRPr="004D46AC">
          <w:rPr>
            <w:noProof/>
            <w:webHidden/>
          </w:rPr>
          <w:fldChar w:fldCharType="end"/>
        </w:r>
      </w:hyperlink>
    </w:p>
    <w:p w14:paraId="2C6EA606" w14:textId="154A8F7C"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59" w:history="1">
        <w:r w:rsidRPr="004D46AC">
          <w:rPr>
            <w:rStyle w:val="af5"/>
            <w:b/>
            <w:bCs/>
            <w:noProof/>
          </w:rPr>
          <w:t>Table 3.1</w:t>
        </w:r>
        <w:r w:rsidRPr="004D46AC">
          <w:rPr>
            <w:noProof/>
          </w:rPr>
          <w:t xml:space="preserve"> </w:t>
        </w:r>
        <w:r w:rsidRPr="004D46AC">
          <w:rPr>
            <w:rStyle w:val="af5"/>
            <w:i/>
            <w:iCs/>
            <w:noProof/>
          </w:rPr>
          <w:t>Demographic and clinical information of full sample</w:t>
        </w:r>
        <w:r w:rsidRPr="004D46AC">
          <w:rPr>
            <w:noProof/>
            <w:webHidden/>
          </w:rPr>
          <w:tab/>
        </w:r>
        <w:r w:rsidRPr="004D46AC">
          <w:rPr>
            <w:noProof/>
            <w:webHidden/>
          </w:rPr>
          <w:fldChar w:fldCharType="begin"/>
        </w:r>
        <w:r w:rsidRPr="004D46AC">
          <w:rPr>
            <w:noProof/>
            <w:webHidden/>
          </w:rPr>
          <w:instrText xml:space="preserve"> PAGEREF _Toc219883859 \h </w:instrText>
        </w:r>
        <w:r w:rsidRPr="004D46AC">
          <w:rPr>
            <w:noProof/>
            <w:webHidden/>
          </w:rPr>
        </w:r>
        <w:r w:rsidRPr="004D46AC">
          <w:rPr>
            <w:noProof/>
            <w:webHidden/>
          </w:rPr>
          <w:fldChar w:fldCharType="separate"/>
        </w:r>
        <w:r w:rsidR="009568EC" w:rsidRPr="004D46AC">
          <w:rPr>
            <w:noProof/>
            <w:webHidden/>
          </w:rPr>
          <w:t>162</w:t>
        </w:r>
        <w:r w:rsidRPr="004D46AC">
          <w:rPr>
            <w:noProof/>
            <w:webHidden/>
          </w:rPr>
          <w:fldChar w:fldCharType="end"/>
        </w:r>
      </w:hyperlink>
    </w:p>
    <w:p w14:paraId="2BE4033B" w14:textId="5CF60912"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0" w:history="1">
        <w:r w:rsidRPr="004D46AC">
          <w:rPr>
            <w:rStyle w:val="af5"/>
            <w:b/>
            <w:bCs/>
            <w:noProof/>
          </w:rPr>
          <w:t>Table 3.2</w:t>
        </w:r>
        <w:r w:rsidRPr="004D46AC">
          <w:rPr>
            <w:noProof/>
          </w:rPr>
          <w:t xml:space="preserve"> </w:t>
        </w:r>
        <w:r w:rsidRPr="004D46AC">
          <w:rPr>
            <w:rStyle w:val="af5"/>
            <w:i/>
            <w:iCs/>
            <w:noProof/>
          </w:rPr>
          <w:t>The weights of three varied edges and the statistics across networks</w:t>
        </w:r>
        <w:r w:rsidRPr="004D46AC">
          <w:rPr>
            <w:noProof/>
            <w:webHidden/>
          </w:rPr>
          <w:tab/>
        </w:r>
        <w:r w:rsidRPr="004D46AC">
          <w:rPr>
            <w:noProof/>
            <w:webHidden/>
          </w:rPr>
          <w:fldChar w:fldCharType="begin"/>
        </w:r>
        <w:r w:rsidRPr="004D46AC">
          <w:rPr>
            <w:noProof/>
            <w:webHidden/>
          </w:rPr>
          <w:instrText xml:space="preserve"> PAGEREF _Toc219883860 \h </w:instrText>
        </w:r>
        <w:r w:rsidRPr="004D46AC">
          <w:rPr>
            <w:noProof/>
            <w:webHidden/>
          </w:rPr>
        </w:r>
        <w:r w:rsidRPr="004D46AC">
          <w:rPr>
            <w:noProof/>
            <w:webHidden/>
          </w:rPr>
          <w:fldChar w:fldCharType="separate"/>
        </w:r>
        <w:r w:rsidR="009568EC" w:rsidRPr="004D46AC">
          <w:rPr>
            <w:noProof/>
            <w:webHidden/>
          </w:rPr>
          <w:t>176</w:t>
        </w:r>
        <w:r w:rsidRPr="004D46AC">
          <w:rPr>
            <w:noProof/>
            <w:webHidden/>
          </w:rPr>
          <w:fldChar w:fldCharType="end"/>
        </w:r>
      </w:hyperlink>
    </w:p>
    <w:p w14:paraId="655CBA1C" w14:textId="09983EF1"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1" w:history="1">
        <w:r w:rsidRPr="004D46AC">
          <w:rPr>
            <w:rStyle w:val="af5"/>
            <w:b/>
            <w:bCs/>
            <w:noProof/>
          </w:rPr>
          <w:t>Table 4.1</w:t>
        </w:r>
        <w:r w:rsidRPr="004D46AC">
          <w:rPr>
            <w:noProof/>
          </w:rPr>
          <w:t xml:space="preserve"> </w:t>
        </w:r>
        <w:r w:rsidR="00D70BAE" w:rsidRPr="004D46AC">
          <w:rPr>
            <w:rStyle w:val="af5"/>
            <w:i/>
            <w:iCs/>
            <w:noProof/>
          </w:rPr>
          <w:t>Descriptive statistics of primary and secondary measures</w:t>
        </w:r>
        <w:r w:rsidRPr="004D46AC">
          <w:rPr>
            <w:noProof/>
            <w:webHidden/>
          </w:rPr>
          <w:tab/>
        </w:r>
        <w:r w:rsidRPr="004D46AC">
          <w:rPr>
            <w:noProof/>
            <w:webHidden/>
          </w:rPr>
          <w:fldChar w:fldCharType="begin"/>
        </w:r>
        <w:r w:rsidRPr="004D46AC">
          <w:rPr>
            <w:noProof/>
            <w:webHidden/>
          </w:rPr>
          <w:instrText xml:space="preserve"> PAGEREF _Toc219883861 \h </w:instrText>
        </w:r>
        <w:r w:rsidRPr="004D46AC">
          <w:rPr>
            <w:noProof/>
            <w:webHidden/>
          </w:rPr>
        </w:r>
        <w:r w:rsidRPr="004D46AC">
          <w:rPr>
            <w:noProof/>
            <w:webHidden/>
          </w:rPr>
          <w:fldChar w:fldCharType="separate"/>
        </w:r>
        <w:r w:rsidR="009568EC" w:rsidRPr="004D46AC">
          <w:rPr>
            <w:noProof/>
            <w:webHidden/>
          </w:rPr>
          <w:t>195</w:t>
        </w:r>
        <w:r w:rsidRPr="004D46AC">
          <w:rPr>
            <w:noProof/>
            <w:webHidden/>
          </w:rPr>
          <w:fldChar w:fldCharType="end"/>
        </w:r>
      </w:hyperlink>
    </w:p>
    <w:p w14:paraId="315CAF8C" w14:textId="10DEC8C0"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2" w:history="1">
        <w:r w:rsidRPr="004D46AC">
          <w:rPr>
            <w:rStyle w:val="af5"/>
            <w:b/>
            <w:bCs/>
            <w:noProof/>
          </w:rPr>
          <w:t>Table 4.2</w:t>
        </w:r>
        <w:r w:rsidRPr="004D46AC">
          <w:rPr>
            <w:noProof/>
          </w:rPr>
          <w:t xml:space="preserve"> </w:t>
        </w:r>
        <w:r w:rsidR="00D70BAE" w:rsidRPr="004D46AC">
          <w:rPr>
            <w:rStyle w:val="af5"/>
            <w:i/>
            <w:iCs/>
            <w:noProof/>
          </w:rPr>
          <w:t>Top three edge statistics across two waves</w:t>
        </w:r>
        <w:r w:rsidRPr="004D46AC">
          <w:rPr>
            <w:noProof/>
            <w:webHidden/>
          </w:rPr>
          <w:tab/>
        </w:r>
        <w:r w:rsidRPr="004D46AC">
          <w:rPr>
            <w:noProof/>
            <w:webHidden/>
          </w:rPr>
          <w:fldChar w:fldCharType="begin"/>
        </w:r>
        <w:r w:rsidRPr="004D46AC">
          <w:rPr>
            <w:noProof/>
            <w:webHidden/>
          </w:rPr>
          <w:instrText xml:space="preserve"> PAGEREF _Toc219883862 \h </w:instrText>
        </w:r>
        <w:r w:rsidRPr="004D46AC">
          <w:rPr>
            <w:noProof/>
            <w:webHidden/>
          </w:rPr>
        </w:r>
        <w:r w:rsidRPr="004D46AC">
          <w:rPr>
            <w:noProof/>
            <w:webHidden/>
          </w:rPr>
          <w:fldChar w:fldCharType="separate"/>
        </w:r>
        <w:r w:rsidR="009568EC" w:rsidRPr="004D46AC">
          <w:rPr>
            <w:noProof/>
            <w:webHidden/>
          </w:rPr>
          <w:t>208</w:t>
        </w:r>
        <w:r w:rsidRPr="004D46AC">
          <w:rPr>
            <w:noProof/>
            <w:webHidden/>
          </w:rPr>
          <w:fldChar w:fldCharType="end"/>
        </w:r>
      </w:hyperlink>
    </w:p>
    <w:p w14:paraId="4BC74C80" w14:textId="17C7DE4A"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3" w:history="1">
        <w:r w:rsidRPr="004D46AC">
          <w:rPr>
            <w:rStyle w:val="af5"/>
            <w:b/>
            <w:bCs/>
            <w:noProof/>
          </w:rPr>
          <w:t>Table 4.3</w:t>
        </w:r>
        <w:r w:rsidRPr="004D46AC">
          <w:rPr>
            <w:noProof/>
          </w:rPr>
          <w:t xml:space="preserve"> </w:t>
        </w:r>
        <w:r w:rsidR="00D70BAE" w:rsidRPr="004D46AC">
          <w:rPr>
            <w:rStyle w:val="af5"/>
            <w:i/>
            <w:iCs/>
            <w:noProof/>
          </w:rPr>
          <w:t>Count and continuous models regressing on Mood and PLEs aacross waves</w:t>
        </w:r>
        <w:r w:rsidRPr="004D46AC">
          <w:rPr>
            <w:noProof/>
            <w:webHidden/>
          </w:rPr>
          <w:tab/>
        </w:r>
        <w:r w:rsidRPr="004D46AC">
          <w:rPr>
            <w:noProof/>
            <w:webHidden/>
          </w:rPr>
          <w:fldChar w:fldCharType="begin"/>
        </w:r>
        <w:r w:rsidRPr="004D46AC">
          <w:rPr>
            <w:noProof/>
            <w:webHidden/>
          </w:rPr>
          <w:instrText xml:space="preserve"> PAGEREF _Toc219883863 \h </w:instrText>
        </w:r>
        <w:r w:rsidRPr="004D46AC">
          <w:rPr>
            <w:noProof/>
            <w:webHidden/>
          </w:rPr>
        </w:r>
        <w:r w:rsidRPr="004D46AC">
          <w:rPr>
            <w:noProof/>
            <w:webHidden/>
          </w:rPr>
          <w:fldChar w:fldCharType="separate"/>
        </w:r>
        <w:r w:rsidR="009568EC" w:rsidRPr="004D46AC">
          <w:rPr>
            <w:noProof/>
            <w:webHidden/>
          </w:rPr>
          <w:t>209</w:t>
        </w:r>
        <w:r w:rsidRPr="004D46AC">
          <w:rPr>
            <w:noProof/>
            <w:webHidden/>
          </w:rPr>
          <w:fldChar w:fldCharType="end"/>
        </w:r>
      </w:hyperlink>
    </w:p>
    <w:p w14:paraId="37CE9EA5" w14:textId="68915178"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4" w:history="1">
        <w:r w:rsidRPr="004D46AC">
          <w:rPr>
            <w:rStyle w:val="af5"/>
            <w:b/>
            <w:bCs/>
            <w:noProof/>
          </w:rPr>
          <w:t>Table 5.1</w:t>
        </w:r>
        <w:r w:rsidRPr="004D46AC">
          <w:rPr>
            <w:noProof/>
          </w:rPr>
          <w:t xml:space="preserve"> </w:t>
        </w:r>
        <w:r w:rsidRPr="004D46AC">
          <w:rPr>
            <w:rStyle w:val="af5"/>
            <w:i/>
            <w:iCs/>
            <w:noProof/>
          </w:rPr>
          <w:t>Basic information about the included participants</w:t>
        </w:r>
        <w:r w:rsidRPr="004D46AC">
          <w:rPr>
            <w:noProof/>
            <w:webHidden/>
          </w:rPr>
          <w:tab/>
        </w:r>
        <w:r w:rsidRPr="004D46AC">
          <w:rPr>
            <w:noProof/>
            <w:webHidden/>
          </w:rPr>
          <w:fldChar w:fldCharType="begin"/>
        </w:r>
        <w:r w:rsidRPr="004D46AC">
          <w:rPr>
            <w:noProof/>
            <w:webHidden/>
          </w:rPr>
          <w:instrText xml:space="preserve"> PAGEREF _Toc219883864 \h </w:instrText>
        </w:r>
        <w:r w:rsidRPr="004D46AC">
          <w:rPr>
            <w:noProof/>
            <w:webHidden/>
          </w:rPr>
        </w:r>
        <w:r w:rsidRPr="004D46AC">
          <w:rPr>
            <w:noProof/>
            <w:webHidden/>
          </w:rPr>
          <w:fldChar w:fldCharType="separate"/>
        </w:r>
        <w:r w:rsidR="009568EC" w:rsidRPr="004D46AC">
          <w:rPr>
            <w:noProof/>
            <w:webHidden/>
          </w:rPr>
          <w:t>240</w:t>
        </w:r>
        <w:r w:rsidRPr="004D46AC">
          <w:rPr>
            <w:noProof/>
            <w:webHidden/>
          </w:rPr>
          <w:fldChar w:fldCharType="end"/>
        </w:r>
      </w:hyperlink>
    </w:p>
    <w:p w14:paraId="0CA8F91C" w14:textId="2168A858"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5" w:history="1">
        <w:r w:rsidRPr="004D46AC">
          <w:rPr>
            <w:rStyle w:val="af5"/>
            <w:b/>
            <w:bCs/>
            <w:noProof/>
          </w:rPr>
          <w:t>Table 5.2</w:t>
        </w:r>
        <w:r w:rsidRPr="004D46AC">
          <w:rPr>
            <w:noProof/>
          </w:rPr>
          <w:t xml:space="preserve"> </w:t>
        </w:r>
        <w:r w:rsidR="00D70BAE" w:rsidRPr="004D46AC">
          <w:rPr>
            <w:rStyle w:val="af5"/>
            <w:i/>
            <w:iCs/>
            <w:noProof/>
          </w:rPr>
          <w:t>Full item pool prior to psychometric evaluation</w:t>
        </w:r>
        <w:r w:rsidRPr="004D46AC">
          <w:rPr>
            <w:noProof/>
            <w:webHidden/>
          </w:rPr>
          <w:tab/>
        </w:r>
        <w:r w:rsidRPr="004D46AC">
          <w:rPr>
            <w:noProof/>
            <w:webHidden/>
          </w:rPr>
          <w:fldChar w:fldCharType="begin"/>
        </w:r>
        <w:r w:rsidRPr="004D46AC">
          <w:rPr>
            <w:noProof/>
            <w:webHidden/>
          </w:rPr>
          <w:instrText xml:space="preserve"> PAGEREF _Toc219883865 \h </w:instrText>
        </w:r>
        <w:r w:rsidRPr="004D46AC">
          <w:rPr>
            <w:noProof/>
            <w:webHidden/>
          </w:rPr>
        </w:r>
        <w:r w:rsidRPr="004D46AC">
          <w:rPr>
            <w:noProof/>
            <w:webHidden/>
          </w:rPr>
          <w:fldChar w:fldCharType="separate"/>
        </w:r>
        <w:r w:rsidR="009568EC" w:rsidRPr="004D46AC">
          <w:rPr>
            <w:noProof/>
            <w:webHidden/>
          </w:rPr>
          <w:t>253</w:t>
        </w:r>
        <w:r w:rsidRPr="004D46AC">
          <w:rPr>
            <w:noProof/>
            <w:webHidden/>
          </w:rPr>
          <w:fldChar w:fldCharType="end"/>
        </w:r>
      </w:hyperlink>
    </w:p>
    <w:p w14:paraId="4969607E" w14:textId="6CA6570E"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6" w:history="1">
        <w:r w:rsidRPr="004D46AC">
          <w:rPr>
            <w:rStyle w:val="af5"/>
            <w:b/>
            <w:bCs/>
            <w:noProof/>
          </w:rPr>
          <w:t>Table 5.3</w:t>
        </w:r>
        <w:r w:rsidR="00B34E55" w:rsidRPr="004D46AC">
          <w:rPr>
            <w:noProof/>
          </w:rPr>
          <w:t xml:space="preserve"> </w:t>
        </w:r>
        <w:r w:rsidR="00D70BAE" w:rsidRPr="004D46AC">
          <w:rPr>
            <w:rStyle w:val="af5"/>
            <w:i/>
            <w:iCs/>
            <w:noProof/>
          </w:rPr>
          <w:t>Factor loadings of the CFA</w:t>
        </w:r>
        <w:r w:rsidRPr="004D46AC">
          <w:rPr>
            <w:noProof/>
            <w:webHidden/>
          </w:rPr>
          <w:tab/>
        </w:r>
        <w:r w:rsidRPr="004D46AC">
          <w:rPr>
            <w:noProof/>
            <w:webHidden/>
          </w:rPr>
          <w:fldChar w:fldCharType="begin"/>
        </w:r>
        <w:r w:rsidRPr="004D46AC">
          <w:rPr>
            <w:noProof/>
            <w:webHidden/>
          </w:rPr>
          <w:instrText xml:space="preserve"> PAGEREF _Toc219883866 \h </w:instrText>
        </w:r>
        <w:r w:rsidRPr="004D46AC">
          <w:rPr>
            <w:noProof/>
            <w:webHidden/>
          </w:rPr>
        </w:r>
        <w:r w:rsidRPr="004D46AC">
          <w:rPr>
            <w:noProof/>
            <w:webHidden/>
          </w:rPr>
          <w:fldChar w:fldCharType="separate"/>
        </w:r>
        <w:r w:rsidR="009568EC" w:rsidRPr="004D46AC">
          <w:rPr>
            <w:noProof/>
            <w:webHidden/>
          </w:rPr>
          <w:t>257</w:t>
        </w:r>
        <w:r w:rsidRPr="004D46AC">
          <w:rPr>
            <w:noProof/>
            <w:webHidden/>
          </w:rPr>
          <w:fldChar w:fldCharType="end"/>
        </w:r>
      </w:hyperlink>
    </w:p>
    <w:p w14:paraId="6AA799E3" w14:textId="5A0AEDB1"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7" w:history="1">
        <w:r w:rsidRPr="004D46AC">
          <w:rPr>
            <w:rStyle w:val="af5"/>
            <w:b/>
            <w:bCs/>
            <w:noProof/>
          </w:rPr>
          <w:t>Table 5.4</w:t>
        </w:r>
        <w:r w:rsidR="00B34E55" w:rsidRPr="004D46AC">
          <w:rPr>
            <w:noProof/>
          </w:rPr>
          <w:t xml:space="preserve"> </w:t>
        </w:r>
        <w:r w:rsidR="00B34E55" w:rsidRPr="004D46AC">
          <w:rPr>
            <w:rStyle w:val="af5"/>
            <w:i/>
            <w:iCs/>
            <w:noProof/>
          </w:rPr>
          <w:t xml:space="preserve">Factor </w:t>
        </w:r>
        <w:r w:rsidR="00D70BAE" w:rsidRPr="004D46AC">
          <w:rPr>
            <w:rStyle w:val="af5"/>
            <w:rFonts w:eastAsiaTheme="minorEastAsia" w:hint="eastAsia"/>
            <w:i/>
            <w:iCs/>
            <w:noProof/>
          </w:rPr>
          <w:t>l</w:t>
        </w:r>
        <w:r w:rsidR="00B34E55" w:rsidRPr="004D46AC">
          <w:rPr>
            <w:rStyle w:val="af5"/>
            <w:i/>
            <w:iCs/>
            <w:noProof/>
          </w:rPr>
          <w:t xml:space="preserve">oadings of the </w:t>
        </w:r>
        <w:r w:rsidR="00D70BAE" w:rsidRPr="004D46AC">
          <w:rPr>
            <w:rStyle w:val="af5"/>
            <w:rFonts w:eastAsiaTheme="minorEastAsia" w:hint="eastAsia"/>
            <w:i/>
            <w:iCs/>
            <w:noProof/>
          </w:rPr>
          <w:t>b</w:t>
        </w:r>
        <w:r w:rsidR="00B34E55" w:rsidRPr="004D46AC">
          <w:rPr>
            <w:rStyle w:val="af5"/>
            <w:i/>
            <w:iCs/>
            <w:noProof/>
          </w:rPr>
          <w:t>i-</w:t>
        </w:r>
        <w:r w:rsidR="00D70BAE" w:rsidRPr="004D46AC">
          <w:rPr>
            <w:rStyle w:val="af5"/>
            <w:rFonts w:eastAsiaTheme="minorEastAsia" w:hint="eastAsia"/>
            <w:i/>
            <w:iCs/>
            <w:noProof/>
          </w:rPr>
          <w:t>f</w:t>
        </w:r>
        <w:r w:rsidR="00B34E55" w:rsidRPr="004D46AC">
          <w:rPr>
            <w:rStyle w:val="af5"/>
            <w:i/>
            <w:iCs/>
            <w:noProof/>
          </w:rPr>
          <w:t xml:space="preserve">actor </w:t>
        </w:r>
        <w:r w:rsidR="00D70BAE" w:rsidRPr="004D46AC">
          <w:rPr>
            <w:rStyle w:val="af5"/>
            <w:rFonts w:eastAsiaTheme="minorEastAsia" w:hint="eastAsia"/>
            <w:i/>
            <w:iCs/>
            <w:noProof/>
          </w:rPr>
          <w:t>m</w:t>
        </w:r>
        <w:r w:rsidR="00B34E55" w:rsidRPr="004D46AC">
          <w:rPr>
            <w:rStyle w:val="af5"/>
            <w:i/>
            <w:iCs/>
            <w:noProof/>
          </w:rPr>
          <w:t>odel</w:t>
        </w:r>
        <w:r w:rsidRPr="004D46AC">
          <w:rPr>
            <w:noProof/>
            <w:webHidden/>
          </w:rPr>
          <w:tab/>
        </w:r>
        <w:r w:rsidRPr="004D46AC">
          <w:rPr>
            <w:noProof/>
            <w:webHidden/>
          </w:rPr>
          <w:fldChar w:fldCharType="begin"/>
        </w:r>
        <w:r w:rsidRPr="004D46AC">
          <w:rPr>
            <w:noProof/>
            <w:webHidden/>
          </w:rPr>
          <w:instrText xml:space="preserve"> PAGEREF _Toc219883867 \h </w:instrText>
        </w:r>
        <w:r w:rsidRPr="004D46AC">
          <w:rPr>
            <w:noProof/>
            <w:webHidden/>
          </w:rPr>
        </w:r>
        <w:r w:rsidRPr="004D46AC">
          <w:rPr>
            <w:noProof/>
            <w:webHidden/>
          </w:rPr>
          <w:fldChar w:fldCharType="separate"/>
        </w:r>
        <w:r w:rsidR="009568EC" w:rsidRPr="004D46AC">
          <w:rPr>
            <w:noProof/>
            <w:webHidden/>
          </w:rPr>
          <w:t>258</w:t>
        </w:r>
        <w:r w:rsidRPr="004D46AC">
          <w:rPr>
            <w:noProof/>
            <w:webHidden/>
          </w:rPr>
          <w:fldChar w:fldCharType="end"/>
        </w:r>
      </w:hyperlink>
    </w:p>
    <w:p w14:paraId="3AC78AAF" w14:textId="065ACF80" w:rsidR="003A79C9" w:rsidRPr="004D46AC" w:rsidRDefault="003A79C9" w:rsidP="003A79C9">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3868" w:history="1">
        <w:r w:rsidRPr="004D46AC">
          <w:rPr>
            <w:rStyle w:val="af5"/>
            <w:b/>
            <w:bCs/>
            <w:noProof/>
          </w:rPr>
          <w:t>Table 5.5</w:t>
        </w:r>
        <w:r w:rsidR="00B34E55" w:rsidRPr="004D46AC">
          <w:rPr>
            <w:noProof/>
          </w:rPr>
          <w:t xml:space="preserve"> </w:t>
        </w:r>
        <w:r w:rsidR="00B34E55" w:rsidRPr="004D46AC">
          <w:rPr>
            <w:rStyle w:val="af5"/>
            <w:i/>
            <w:iCs/>
            <w:noProof/>
          </w:rPr>
          <w:t>Descriptive statistics of the interested variables among subgroups</w:t>
        </w:r>
        <w:r w:rsidRPr="004D46AC">
          <w:rPr>
            <w:noProof/>
            <w:webHidden/>
          </w:rPr>
          <w:tab/>
        </w:r>
        <w:r w:rsidRPr="004D46AC">
          <w:rPr>
            <w:noProof/>
            <w:webHidden/>
          </w:rPr>
          <w:fldChar w:fldCharType="begin"/>
        </w:r>
        <w:r w:rsidRPr="004D46AC">
          <w:rPr>
            <w:noProof/>
            <w:webHidden/>
          </w:rPr>
          <w:instrText xml:space="preserve"> PAGEREF _Toc219883868 \h </w:instrText>
        </w:r>
        <w:r w:rsidRPr="004D46AC">
          <w:rPr>
            <w:noProof/>
            <w:webHidden/>
          </w:rPr>
        </w:r>
        <w:r w:rsidRPr="004D46AC">
          <w:rPr>
            <w:noProof/>
            <w:webHidden/>
          </w:rPr>
          <w:fldChar w:fldCharType="separate"/>
        </w:r>
        <w:r w:rsidR="009568EC" w:rsidRPr="004D46AC">
          <w:rPr>
            <w:noProof/>
            <w:webHidden/>
          </w:rPr>
          <w:t>264</w:t>
        </w:r>
        <w:r w:rsidRPr="004D46AC">
          <w:rPr>
            <w:noProof/>
            <w:webHidden/>
          </w:rPr>
          <w:fldChar w:fldCharType="end"/>
        </w:r>
      </w:hyperlink>
    </w:p>
    <w:p w14:paraId="7126669A" w14:textId="142020A9" w:rsidR="00372FB0" w:rsidRPr="004D46AC" w:rsidRDefault="004725A0" w:rsidP="00372FB0">
      <w:pPr>
        <w:pStyle w:val="1"/>
        <w:rPr>
          <w:noProof/>
        </w:rPr>
      </w:pPr>
      <w:r w:rsidRPr="004D46AC">
        <w:rPr>
          <w:b w:val="0"/>
          <w:bCs w:val="0"/>
          <w:sz w:val="32"/>
          <w:szCs w:val="32"/>
        </w:rPr>
        <w:fldChar w:fldCharType="end"/>
      </w:r>
      <w:r w:rsidR="00372FB0" w:rsidRPr="004D46AC">
        <w:rPr>
          <w:rFonts w:hint="eastAsia"/>
        </w:rPr>
        <w:t xml:space="preserve"> </w:t>
      </w:r>
      <w:bookmarkStart w:id="4" w:name="_Toc219888739"/>
      <w:r w:rsidR="00372FB0" w:rsidRPr="004D46AC">
        <w:rPr>
          <w:rFonts w:hint="eastAsia"/>
        </w:rPr>
        <w:t xml:space="preserve">List of Tables </w:t>
      </w:r>
      <w:bookmarkStart w:id="5" w:name="OLE_LINK81"/>
      <w:r w:rsidR="00372FB0" w:rsidRPr="004D46AC">
        <w:rPr>
          <w:rFonts w:eastAsiaTheme="minorEastAsia" w:hint="eastAsia"/>
        </w:rPr>
        <w:t>(Appendix</w:t>
      </w:r>
      <w:bookmarkEnd w:id="5"/>
      <w:r w:rsidR="00372FB0" w:rsidRPr="004D46AC">
        <w:rPr>
          <w:rFonts w:eastAsiaTheme="minorEastAsia" w:hint="eastAsia"/>
        </w:rPr>
        <w:t xml:space="preserve"> </w:t>
      </w:r>
      <w:r w:rsidR="00372FB0" w:rsidRPr="004D46AC">
        <w:rPr>
          <w:rFonts w:hint="eastAsia"/>
        </w:rPr>
        <w:t>A</w:t>
      </w:r>
      <w:r w:rsidR="00372FB0" w:rsidRPr="004D46AC">
        <w:rPr>
          <w:rFonts w:eastAsiaTheme="minorEastAsia" w:hint="eastAsia"/>
        </w:rPr>
        <w:t>)</w:t>
      </w:r>
      <w:bookmarkEnd w:id="4"/>
      <w:r w:rsidR="00372FB0" w:rsidRPr="004D46AC">
        <w:rPr>
          <w:sz w:val="32"/>
          <w:szCs w:val="32"/>
        </w:rPr>
        <w:fldChar w:fldCharType="begin"/>
      </w:r>
      <w:r w:rsidR="00372FB0" w:rsidRPr="004D46AC">
        <w:rPr>
          <w:sz w:val="32"/>
          <w:szCs w:val="32"/>
        </w:rPr>
        <w:instrText xml:space="preserve"> TOC \h \z \c "Table A" </w:instrText>
      </w:r>
      <w:r w:rsidR="00372FB0" w:rsidRPr="004D46AC">
        <w:rPr>
          <w:sz w:val="32"/>
          <w:szCs w:val="32"/>
        </w:rPr>
        <w:fldChar w:fldCharType="separate"/>
      </w:r>
    </w:p>
    <w:p w14:paraId="693B26F1" w14:textId="01A626BC"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21" w:history="1">
        <w:r w:rsidRPr="004D46AC">
          <w:rPr>
            <w:rStyle w:val="af5"/>
            <w:b/>
            <w:bCs/>
            <w:noProof/>
          </w:rPr>
          <w:t>Table A 1</w:t>
        </w:r>
        <w:r w:rsidR="00B34E55" w:rsidRPr="004D46AC">
          <w:rPr>
            <w:noProof/>
          </w:rPr>
          <w:t xml:space="preserve"> </w:t>
        </w:r>
        <w:r w:rsidR="00B34E55" w:rsidRPr="004D46AC">
          <w:rPr>
            <w:rStyle w:val="af5"/>
            <w:i/>
            <w:iCs/>
            <w:noProof/>
          </w:rPr>
          <w:t>The evolvement of diagnostic criteria for schizophrenia since DSM III</w:t>
        </w:r>
        <w:r w:rsidRPr="004D46AC">
          <w:rPr>
            <w:noProof/>
            <w:webHidden/>
          </w:rPr>
          <w:tab/>
        </w:r>
        <w:r w:rsidRPr="004D46AC">
          <w:rPr>
            <w:noProof/>
            <w:webHidden/>
          </w:rPr>
          <w:fldChar w:fldCharType="begin"/>
        </w:r>
        <w:r w:rsidRPr="004D46AC">
          <w:rPr>
            <w:noProof/>
            <w:webHidden/>
          </w:rPr>
          <w:instrText xml:space="preserve"> PAGEREF _Toc219870621 \h </w:instrText>
        </w:r>
        <w:r w:rsidRPr="004D46AC">
          <w:rPr>
            <w:noProof/>
            <w:webHidden/>
          </w:rPr>
        </w:r>
        <w:r w:rsidRPr="004D46AC">
          <w:rPr>
            <w:noProof/>
            <w:webHidden/>
          </w:rPr>
          <w:fldChar w:fldCharType="separate"/>
        </w:r>
        <w:r w:rsidR="009568EC" w:rsidRPr="004D46AC">
          <w:rPr>
            <w:noProof/>
            <w:webHidden/>
          </w:rPr>
          <w:t>323</w:t>
        </w:r>
        <w:r w:rsidRPr="004D46AC">
          <w:rPr>
            <w:noProof/>
            <w:webHidden/>
          </w:rPr>
          <w:fldChar w:fldCharType="end"/>
        </w:r>
      </w:hyperlink>
    </w:p>
    <w:p w14:paraId="1D51D547" w14:textId="6B48A334"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22" w:history="1">
        <w:r w:rsidRPr="004D46AC">
          <w:rPr>
            <w:rStyle w:val="af5"/>
            <w:b/>
            <w:bCs/>
            <w:noProof/>
          </w:rPr>
          <w:t>Table A 2</w:t>
        </w:r>
        <w:r w:rsidR="00B34E55" w:rsidRPr="004D46AC">
          <w:rPr>
            <w:noProof/>
          </w:rPr>
          <w:t xml:space="preserve"> </w:t>
        </w:r>
        <w:r w:rsidR="00B34E55" w:rsidRPr="004D46AC">
          <w:rPr>
            <w:rStyle w:val="af5"/>
            <w:i/>
            <w:iCs/>
            <w:noProof/>
          </w:rPr>
          <w:t>The evolvement of diagnostic criteria for bipolar disorder since DSM III</w:t>
        </w:r>
        <w:r w:rsidRPr="004D46AC">
          <w:rPr>
            <w:noProof/>
            <w:webHidden/>
          </w:rPr>
          <w:tab/>
        </w:r>
        <w:r w:rsidRPr="004D46AC">
          <w:rPr>
            <w:noProof/>
            <w:webHidden/>
          </w:rPr>
          <w:fldChar w:fldCharType="begin"/>
        </w:r>
        <w:r w:rsidRPr="004D46AC">
          <w:rPr>
            <w:noProof/>
            <w:webHidden/>
          </w:rPr>
          <w:instrText xml:space="preserve"> PAGEREF _Toc219870622 \h </w:instrText>
        </w:r>
        <w:r w:rsidRPr="004D46AC">
          <w:rPr>
            <w:noProof/>
            <w:webHidden/>
          </w:rPr>
        </w:r>
        <w:r w:rsidRPr="004D46AC">
          <w:rPr>
            <w:noProof/>
            <w:webHidden/>
          </w:rPr>
          <w:fldChar w:fldCharType="separate"/>
        </w:r>
        <w:r w:rsidR="009568EC" w:rsidRPr="004D46AC">
          <w:rPr>
            <w:noProof/>
            <w:webHidden/>
          </w:rPr>
          <w:t>327</w:t>
        </w:r>
        <w:r w:rsidRPr="004D46AC">
          <w:rPr>
            <w:noProof/>
            <w:webHidden/>
          </w:rPr>
          <w:fldChar w:fldCharType="end"/>
        </w:r>
      </w:hyperlink>
    </w:p>
    <w:p w14:paraId="676FC395" w14:textId="1133B0A8"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23" w:history="1">
        <w:r w:rsidRPr="004D46AC">
          <w:rPr>
            <w:rStyle w:val="af5"/>
            <w:b/>
            <w:bCs/>
            <w:noProof/>
          </w:rPr>
          <w:t>Table A 3</w:t>
        </w:r>
        <w:r w:rsidR="00B34E55" w:rsidRPr="004D46AC">
          <w:rPr>
            <w:noProof/>
          </w:rPr>
          <w:t xml:space="preserve"> </w:t>
        </w:r>
        <w:r w:rsidR="00B34E55" w:rsidRPr="004D46AC">
          <w:rPr>
            <w:rStyle w:val="af5"/>
            <w:i/>
            <w:iCs/>
            <w:noProof/>
          </w:rPr>
          <w:t>BAR (Bipolar at risk) criteria</w:t>
        </w:r>
        <w:r w:rsidRPr="004D46AC">
          <w:rPr>
            <w:noProof/>
            <w:webHidden/>
          </w:rPr>
          <w:tab/>
        </w:r>
        <w:r w:rsidRPr="004D46AC">
          <w:rPr>
            <w:noProof/>
            <w:webHidden/>
          </w:rPr>
          <w:fldChar w:fldCharType="begin"/>
        </w:r>
        <w:r w:rsidRPr="004D46AC">
          <w:rPr>
            <w:noProof/>
            <w:webHidden/>
          </w:rPr>
          <w:instrText xml:space="preserve"> PAGEREF _Toc219870623 \h </w:instrText>
        </w:r>
        <w:r w:rsidRPr="004D46AC">
          <w:rPr>
            <w:noProof/>
            <w:webHidden/>
          </w:rPr>
        </w:r>
        <w:r w:rsidRPr="004D46AC">
          <w:rPr>
            <w:noProof/>
            <w:webHidden/>
          </w:rPr>
          <w:fldChar w:fldCharType="separate"/>
        </w:r>
        <w:r w:rsidR="009568EC" w:rsidRPr="004D46AC">
          <w:rPr>
            <w:noProof/>
            <w:webHidden/>
          </w:rPr>
          <w:t>335</w:t>
        </w:r>
        <w:r w:rsidRPr="004D46AC">
          <w:rPr>
            <w:noProof/>
            <w:webHidden/>
          </w:rPr>
          <w:fldChar w:fldCharType="end"/>
        </w:r>
      </w:hyperlink>
    </w:p>
    <w:p w14:paraId="45AF0D36" w14:textId="2B4B8109"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24" w:history="1">
        <w:r w:rsidRPr="004D46AC">
          <w:rPr>
            <w:rStyle w:val="af5"/>
            <w:b/>
            <w:bCs/>
            <w:noProof/>
          </w:rPr>
          <w:t>Table A 4</w:t>
        </w:r>
        <w:r w:rsidR="00B34E55" w:rsidRPr="004D46AC">
          <w:rPr>
            <w:noProof/>
          </w:rPr>
          <w:t xml:space="preserve"> </w:t>
        </w:r>
        <w:r w:rsidR="00B34E55" w:rsidRPr="004D46AC">
          <w:rPr>
            <w:rStyle w:val="af5"/>
            <w:rFonts w:eastAsiaTheme="minorEastAsia" w:hint="eastAsia"/>
            <w:i/>
            <w:iCs/>
            <w:noProof/>
          </w:rPr>
          <w:t>CHARMS</w:t>
        </w:r>
        <w:r w:rsidR="00B34E55" w:rsidRPr="004D46AC">
          <w:rPr>
            <w:rStyle w:val="af5"/>
            <w:i/>
            <w:iCs/>
            <w:noProof/>
          </w:rPr>
          <w:t xml:space="preserve"> criteria (bipolar)</w:t>
        </w:r>
        <w:r w:rsidRPr="004D46AC">
          <w:rPr>
            <w:noProof/>
            <w:webHidden/>
          </w:rPr>
          <w:tab/>
        </w:r>
        <w:r w:rsidRPr="004D46AC">
          <w:rPr>
            <w:noProof/>
            <w:webHidden/>
          </w:rPr>
          <w:fldChar w:fldCharType="begin"/>
        </w:r>
        <w:r w:rsidRPr="004D46AC">
          <w:rPr>
            <w:noProof/>
            <w:webHidden/>
          </w:rPr>
          <w:instrText xml:space="preserve"> PAGEREF _Toc219870624 \h </w:instrText>
        </w:r>
        <w:r w:rsidRPr="004D46AC">
          <w:rPr>
            <w:noProof/>
            <w:webHidden/>
          </w:rPr>
        </w:r>
        <w:r w:rsidRPr="004D46AC">
          <w:rPr>
            <w:noProof/>
            <w:webHidden/>
          </w:rPr>
          <w:fldChar w:fldCharType="separate"/>
        </w:r>
        <w:r w:rsidR="009568EC" w:rsidRPr="004D46AC">
          <w:rPr>
            <w:noProof/>
            <w:webHidden/>
          </w:rPr>
          <w:t>336</w:t>
        </w:r>
        <w:r w:rsidRPr="004D46AC">
          <w:rPr>
            <w:noProof/>
            <w:webHidden/>
          </w:rPr>
          <w:fldChar w:fldCharType="end"/>
        </w:r>
      </w:hyperlink>
    </w:p>
    <w:p w14:paraId="679AA18A" w14:textId="0DB3F1C6"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25" w:history="1">
        <w:r w:rsidRPr="004D46AC">
          <w:rPr>
            <w:rStyle w:val="af5"/>
            <w:b/>
            <w:bCs/>
            <w:noProof/>
          </w:rPr>
          <w:t>Table A 5</w:t>
        </w:r>
        <w:r w:rsidR="00B34E55" w:rsidRPr="004D46AC">
          <w:rPr>
            <w:noProof/>
          </w:rPr>
          <w:t xml:space="preserve"> </w:t>
        </w:r>
        <w:r w:rsidR="00B34E55" w:rsidRPr="004D46AC">
          <w:rPr>
            <w:rStyle w:val="af5"/>
            <w:rFonts w:eastAsiaTheme="minorEastAsia" w:hint="eastAsia"/>
            <w:i/>
            <w:iCs/>
            <w:noProof/>
          </w:rPr>
          <w:t>CHARMS</w:t>
        </w:r>
        <w:r w:rsidR="00B34E55" w:rsidRPr="004D46AC">
          <w:rPr>
            <w:rStyle w:val="af5"/>
            <w:i/>
            <w:iCs/>
            <w:noProof/>
          </w:rPr>
          <w:t xml:space="preserve"> criteria (attenuated symptoms)</w:t>
        </w:r>
        <w:r w:rsidRPr="004D46AC">
          <w:rPr>
            <w:noProof/>
            <w:webHidden/>
          </w:rPr>
          <w:tab/>
        </w:r>
        <w:r w:rsidRPr="004D46AC">
          <w:rPr>
            <w:noProof/>
            <w:webHidden/>
          </w:rPr>
          <w:fldChar w:fldCharType="begin"/>
        </w:r>
        <w:r w:rsidRPr="004D46AC">
          <w:rPr>
            <w:noProof/>
            <w:webHidden/>
          </w:rPr>
          <w:instrText xml:space="preserve"> PAGEREF _Toc219870625 \h </w:instrText>
        </w:r>
        <w:r w:rsidRPr="004D46AC">
          <w:rPr>
            <w:noProof/>
            <w:webHidden/>
          </w:rPr>
        </w:r>
        <w:r w:rsidRPr="004D46AC">
          <w:rPr>
            <w:noProof/>
            <w:webHidden/>
          </w:rPr>
          <w:fldChar w:fldCharType="separate"/>
        </w:r>
        <w:r w:rsidR="009568EC" w:rsidRPr="004D46AC">
          <w:rPr>
            <w:noProof/>
            <w:webHidden/>
          </w:rPr>
          <w:t>337</w:t>
        </w:r>
        <w:r w:rsidRPr="004D46AC">
          <w:rPr>
            <w:noProof/>
            <w:webHidden/>
          </w:rPr>
          <w:fldChar w:fldCharType="end"/>
        </w:r>
      </w:hyperlink>
    </w:p>
    <w:p w14:paraId="176EAD13" w14:textId="77777777" w:rsidR="00F332F5" w:rsidRPr="004D46AC" w:rsidRDefault="00372FB0" w:rsidP="00705E90">
      <w:pPr>
        <w:pStyle w:val="1"/>
        <w:rPr>
          <w:noProof/>
        </w:rPr>
      </w:pPr>
      <w:r w:rsidRPr="004D46AC">
        <w:fldChar w:fldCharType="end"/>
      </w:r>
      <w:r w:rsidRPr="004D46AC">
        <w:rPr>
          <w:rFonts w:hint="eastAsia"/>
        </w:rPr>
        <w:t xml:space="preserve"> </w:t>
      </w:r>
      <w:bookmarkStart w:id="6" w:name="_Toc219888740"/>
      <w:r w:rsidRPr="004D46AC">
        <w:rPr>
          <w:rFonts w:hint="eastAsia"/>
        </w:rPr>
        <w:t>List of Tables</w:t>
      </w:r>
      <w:r w:rsidRPr="004D46AC">
        <w:rPr>
          <w:rFonts w:eastAsiaTheme="minorEastAsia" w:hint="eastAsia"/>
        </w:rPr>
        <w:t xml:space="preserve"> (Appendix</w:t>
      </w:r>
      <w:r w:rsidRPr="004D46AC">
        <w:rPr>
          <w:rFonts w:hint="eastAsia"/>
        </w:rPr>
        <w:t xml:space="preserve"> B</w:t>
      </w:r>
      <w:r w:rsidRPr="004D46AC">
        <w:rPr>
          <w:rFonts w:eastAsiaTheme="minorEastAsia" w:hint="eastAsia"/>
        </w:rPr>
        <w:t>)</w:t>
      </w:r>
      <w:bookmarkEnd w:id="6"/>
      <w:r w:rsidRPr="004D46AC">
        <w:rPr>
          <w:sz w:val="32"/>
          <w:szCs w:val="32"/>
        </w:rPr>
        <w:fldChar w:fldCharType="begin"/>
      </w:r>
      <w:r w:rsidRPr="004D46AC">
        <w:rPr>
          <w:sz w:val="32"/>
          <w:szCs w:val="32"/>
        </w:rPr>
        <w:instrText xml:space="preserve"> TOC \h \z \c "Table B" </w:instrText>
      </w:r>
      <w:r w:rsidRPr="004D46AC">
        <w:rPr>
          <w:sz w:val="32"/>
          <w:szCs w:val="32"/>
        </w:rPr>
        <w:fldChar w:fldCharType="separate"/>
      </w:r>
    </w:p>
    <w:p w14:paraId="0BF26023" w14:textId="5565D000"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23" w:history="1">
        <w:r w:rsidRPr="004D46AC">
          <w:rPr>
            <w:rStyle w:val="af5"/>
            <w:b/>
            <w:bCs/>
            <w:noProof/>
          </w:rPr>
          <w:t>Table B 1</w:t>
        </w:r>
        <w:r w:rsidRPr="004D46AC">
          <w:t xml:space="preserve"> </w:t>
        </w:r>
        <w:r w:rsidRPr="004D46AC">
          <w:rPr>
            <w:rStyle w:val="af5"/>
            <w:i/>
            <w:iCs/>
            <w:noProof/>
          </w:rPr>
          <w:t>Search strategies for synthesis of comorbid schizophrenia and psychosis</w:t>
        </w:r>
        <w:r w:rsidRPr="004D46AC">
          <w:rPr>
            <w:noProof/>
            <w:webHidden/>
          </w:rPr>
          <w:tab/>
        </w:r>
        <w:r w:rsidRPr="004D46AC">
          <w:rPr>
            <w:noProof/>
            <w:webHidden/>
          </w:rPr>
          <w:fldChar w:fldCharType="begin"/>
        </w:r>
        <w:r w:rsidRPr="004D46AC">
          <w:rPr>
            <w:noProof/>
            <w:webHidden/>
          </w:rPr>
          <w:instrText xml:space="preserve"> PAGEREF _Toc225271023 \h </w:instrText>
        </w:r>
        <w:r w:rsidRPr="004D46AC">
          <w:rPr>
            <w:noProof/>
            <w:webHidden/>
          </w:rPr>
        </w:r>
        <w:r w:rsidRPr="004D46AC">
          <w:rPr>
            <w:noProof/>
            <w:webHidden/>
          </w:rPr>
          <w:fldChar w:fldCharType="separate"/>
        </w:r>
        <w:r w:rsidRPr="004D46AC">
          <w:rPr>
            <w:noProof/>
            <w:webHidden/>
          </w:rPr>
          <w:t>340</w:t>
        </w:r>
        <w:r w:rsidRPr="004D46AC">
          <w:rPr>
            <w:noProof/>
            <w:webHidden/>
          </w:rPr>
          <w:fldChar w:fldCharType="end"/>
        </w:r>
      </w:hyperlink>
    </w:p>
    <w:p w14:paraId="6C5ED4F6" w14:textId="12E6EABA"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24" w:history="1">
        <w:r w:rsidRPr="004D46AC">
          <w:rPr>
            <w:rStyle w:val="af5"/>
            <w:b/>
            <w:bCs/>
            <w:noProof/>
          </w:rPr>
          <w:t>Table B 2</w:t>
        </w:r>
        <w:r w:rsidRPr="004D46AC">
          <w:t xml:space="preserve"> </w:t>
        </w:r>
        <w:r w:rsidRPr="004D46AC">
          <w:rPr>
            <w:rStyle w:val="af5"/>
            <w:i/>
            <w:iCs/>
            <w:noProof/>
          </w:rPr>
          <w:t>Search strategies for synthesis of comorbid delusions</w:t>
        </w:r>
        <w:r w:rsidRPr="004D46AC">
          <w:rPr>
            <w:noProof/>
            <w:webHidden/>
          </w:rPr>
          <w:tab/>
        </w:r>
        <w:r w:rsidRPr="004D46AC">
          <w:rPr>
            <w:noProof/>
            <w:webHidden/>
          </w:rPr>
          <w:fldChar w:fldCharType="begin"/>
        </w:r>
        <w:r w:rsidRPr="004D46AC">
          <w:rPr>
            <w:noProof/>
            <w:webHidden/>
          </w:rPr>
          <w:instrText xml:space="preserve"> PAGEREF _Toc225271024 \h </w:instrText>
        </w:r>
        <w:r w:rsidRPr="004D46AC">
          <w:rPr>
            <w:noProof/>
            <w:webHidden/>
          </w:rPr>
        </w:r>
        <w:r w:rsidRPr="004D46AC">
          <w:rPr>
            <w:noProof/>
            <w:webHidden/>
          </w:rPr>
          <w:fldChar w:fldCharType="separate"/>
        </w:r>
        <w:r w:rsidRPr="004D46AC">
          <w:rPr>
            <w:noProof/>
            <w:webHidden/>
          </w:rPr>
          <w:t>341</w:t>
        </w:r>
        <w:r w:rsidRPr="004D46AC">
          <w:rPr>
            <w:noProof/>
            <w:webHidden/>
          </w:rPr>
          <w:fldChar w:fldCharType="end"/>
        </w:r>
      </w:hyperlink>
    </w:p>
    <w:p w14:paraId="0D1CCEB1" w14:textId="6031F289"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25" w:history="1">
        <w:r w:rsidRPr="004D46AC">
          <w:rPr>
            <w:rStyle w:val="af5"/>
            <w:b/>
            <w:bCs/>
            <w:noProof/>
          </w:rPr>
          <w:t>Table B 3</w:t>
        </w:r>
        <w:r w:rsidRPr="004D46AC">
          <w:t xml:space="preserve"> </w:t>
        </w:r>
        <w:r w:rsidRPr="004D46AC">
          <w:rPr>
            <w:rStyle w:val="af5"/>
            <w:i/>
            <w:iCs/>
            <w:noProof/>
          </w:rPr>
          <w:t>Search strategies for synthesis of comorbid hallucinations</w:t>
        </w:r>
        <w:r w:rsidRPr="004D46AC">
          <w:rPr>
            <w:noProof/>
            <w:webHidden/>
          </w:rPr>
          <w:tab/>
        </w:r>
        <w:r w:rsidRPr="004D46AC">
          <w:rPr>
            <w:noProof/>
            <w:webHidden/>
          </w:rPr>
          <w:fldChar w:fldCharType="begin"/>
        </w:r>
        <w:r w:rsidRPr="004D46AC">
          <w:rPr>
            <w:noProof/>
            <w:webHidden/>
          </w:rPr>
          <w:instrText xml:space="preserve"> PAGEREF _Toc225271025 \h </w:instrText>
        </w:r>
        <w:r w:rsidRPr="004D46AC">
          <w:rPr>
            <w:noProof/>
            <w:webHidden/>
          </w:rPr>
        </w:r>
        <w:r w:rsidRPr="004D46AC">
          <w:rPr>
            <w:noProof/>
            <w:webHidden/>
          </w:rPr>
          <w:fldChar w:fldCharType="separate"/>
        </w:r>
        <w:r w:rsidRPr="004D46AC">
          <w:rPr>
            <w:noProof/>
            <w:webHidden/>
          </w:rPr>
          <w:t>342</w:t>
        </w:r>
        <w:r w:rsidRPr="004D46AC">
          <w:rPr>
            <w:noProof/>
            <w:webHidden/>
          </w:rPr>
          <w:fldChar w:fldCharType="end"/>
        </w:r>
      </w:hyperlink>
    </w:p>
    <w:p w14:paraId="25321061" w14:textId="62FAB9EC"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26" w:history="1">
        <w:r w:rsidRPr="004D46AC">
          <w:rPr>
            <w:rStyle w:val="af5"/>
            <w:b/>
            <w:bCs/>
            <w:noProof/>
          </w:rPr>
          <w:t>Table B 4</w:t>
        </w:r>
        <w:r w:rsidRPr="004D46AC">
          <w:t xml:space="preserve"> </w:t>
        </w:r>
        <w:r w:rsidRPr="004D46AC">
          <w:rPr>
            <w:rStyle w:val="af5"/>
            <w:i/>
            <w:iCs/>
            <w:noProof/>
          </w:rPr>
          <w:t>Search strategies for synthesis of comorbid thought disorders</w:t>
        </w:r>
        <w:r w:rsidRPr="004D46AC">
          <w:rPr>
            <w:noProof/>
            <w:webHidden/>
          </w:rPr>
          <w:tab/>
        </w:r>
        <w:r w:rsidRPr="004D46AC">
          <w:rPr>
            <w:noProof/>
            <w:webHidden/>
          </w:rPr>
          <w:fldChar w:fldCharType="begin"/>
        </w:r>
        <w:r w:rsidRPr="004D46AC">
          <w:rPr>
            <w:noProof/>
            <w:webHidden/>
          </w:rPr>
          <w:instrText xml:space="preserve"> PAGEREF _Toc225271026 \h </w:instrText>
        </w:r>
        <w:r w:rsidRPr="004D46AC">
          <w:rPr>
            <w:noProof/>
            <w:webHidden/>
          </w:rPr>
        </w:r>
        <w:r w:rsidRPr="004D46AC">
          <w:rPr>
            <w:noProof/>
            <w:webHidden/>
          </w:rPr>
          <w:fldChar w:fldCharType="separate"/>
        </w:r>
        <w:r w:rsidRPr="004D46AC">
          <w:rPr>
            <w:noProof/>
            <w:webHidden/>
          </w:rPr>
          <w:t>343</w:t>
        </w:r>
        <w:r w:rsidRPr="004D46AC">
          <w:rPr>
            <w:noProof/>
            <w:webHidden/>
          </w:rPr>
          <w:fldChar w:fldCharType="end"/>
        </w:r>
      </w:hyperlink>
    </w:p>
    <w:p w14:paraId="0CAB15EF" w14:textId="22B9499C"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27" w:history="1">
        <w:r w:rsidRPr="004D46AC">
          <w:rPr>
            <w:rStyle w:val="af5"/>
            <w:b/>
            <w:bCs/>
            <w:noProof/>
          </w:rPr>
          <w:t>Table B 5</w:t>
        </w:r>
        <w:r w:rsidRPr="004D46AC">
          <w:t xml:space="preserve"> </w:t>
        </w:r>
        <w:r w:rsidRPr="004D46AC">
          <w:rPr>
            <w:rStyle w:val="af5"/>
            <w:i/>
            <w:iCs/>
            <w:noProof/>
          </w:rPr>
          <w:t>The coding method for included variables</w:t>
        </w:r>
        <w:r w:rsidRPr="004D46AC">
          <w:rPr>
            <w:noProof/>
            <w:webHidden/>
          </w:rPr>
          <w:tab/>
        </w:r>
        <w:r w:rsidRPr="004D46AC">
          <w:rPr>
            <w:noProof/>
            <w:webHidden/>
          </w:rPr>
          <w:fldChar w:fldCharType="begin"/>
        </w:r>
        <w:r w:rsidRPr="004D46AC">
          <w:rPr>
            <w:noProof/>
            <w:webHidden/>
          </w:rPr>
          <w:instrText xml:space="preserve"> PAGEREF _Toc225271027 \h </w:instrText>
        </w:r>
        <w:r w:rsidRPr="004D46AC">
          <w:rPr>
            <w:noProof/>
            <w:webHidden/>
          </w:rPr>
        </w:r>
        <w:r w:rsidRPr="004D46AC">
          <w:rPr>
            <w:noProof/>
            <w:webHidden/>
          </w:rPr>
          <w:fldChar w:fldCharType="separate"/>
        </w:r>
        <w:r w:rsidRPr="004D46AC">
          <w:rPr>
            <w:noProof/>
            <w:webHidden/>
          </w:rPr>
          <w:t>344</w:t>
        </w:r>
        <w:r w:rsidRPr="004D46AC">
          <w:rPr>
            <w:noProof/>
            <w:webHidden/>
          </w:rPr>
          <w:fldChar w:fldCharType="end"/>
        </w:r>
      </w:hyperlink>
    </w:p>
    <w:p w14:paraId="1A752A3F" w14:textId="26761915"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28" w:history="1">
        <w:r w:rsidRPr="004D46AC">
          <w:rPr>
            <w:rStyle w:val="af5"/>
            <w:b/>
            <w:bCs/>
            <w:noProof/>
          </w:rPr>
          <w:t>Table B 6</w:t>
        </w:r>
        <w:r w:rsidRPr="004D46AC">
          <w:t xml:space="preserve"> </w:t>
        </w:r>
        <w:r w:rsidRPr="004D46AC">
          <w:rPr>
            <w:rStyle w:val="af5"/>
            <w:i/>
            <w:iCs/>
            <w:noProof/>
          </w:rPr>
          <w:t>The Abbreviated Terms and Full Names</w:t>
        </w:r>
        <w:r w:rsidRPr="004D46AC">
          <w:rPr>
            <w:noProof/>
            <w:webHidden/>
          </w:rPr>
          <w:tab/>
        </w:r>
        <w:r w:rsidRPr="004D46AC">
          <w:rPr>
            <w:noProof/>
            <w:webHidden/>
          </w:rPr>
          <w:fldChar w:fldCharType="begin"/>
        </w:r>
        <w:r w:rsidRPr="004D46AC">
          <w:rPr>
            <w:noProof/>
            <w:webHidden/>
          </w:rPr>
          <w:instrText xml:space="preserve"> PAGEREF _Toc225271028 \h </w:instrText>
        </w:r>
        <w:r w:rsidRPr="004D46AC">
          <w:rPr>
            <w:noProof/>
            <w:webHidden/>
          </w:rPr>
        </w:r>
        <w:r w:rsidRPr="004D46AC">
          <w:rPr>
            <w:noProof/>
            <w:webHidden/>
          </w:rPr>
          <w:fldChar w:fldCharType="separate"/>
        </w:r>
        <w:r w:rsidRPr="004D46AC">
          <w:rPr>
            <w:noProof/>
            <w:webHidden/>
          </w:rPr>
          <w:t>347</w:t>
        </w:r>
        <w:r w:rsidRPr="004D46AC">
          <w:rPr>
            <w:noProof/>
            <w:webHidden/>
          </w:rPr>
          <w:fldChar w:fldCharType="end"/>
        </w:r>
      </w:hyperlink>
    </w:p>
    <w:p w14:paraId="1BE2841D" w14:textId="53123098"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29" w:history="1">
        <w:r w:rsidRPr="004D46AC">
          <w:rPr>
            <w:rStyle w:val="af5"/>
            <w:b/>
            <w:bCs/>
            <w:noProof/>
          </w:rPr>
          <w:t>Table B 7</w:t>
        </w:r>
        <w:r w:rsidRPr="004D46AC">
          <w:t xml:space="preserve"> </w:t>
        </w:r>
        <w:r w:rsidRPr="004D46AC">
          <w:rPr>
            <w:rStyle w:val="af5"/>
            <w:i/>
            <w:iCs/>
            <w:noProof/>
          </w:rPr>
          <w:t>Lifetime psychosis in bipolar patients with mixed episode</w:t>
        </w:r>
        <w:r w:rsidRPr="004D46AC">
          <w:rPr>
            <w:noProof/>
            <w:webHidden/>
          </w:rPr>
          <w:tab/>
        </w:r>
        <w:r w:rsidRPr="004D46AC">
          <w:rPr>
            <w:noProof/>
            <w:webHidden/>
          </w:rPr>
          <w:fldChar w:fldCharType="begin"/>
        </w:r>
        <w:r w:rsidRPr="004D46AC">
          <w:rPr>
            <w:noProof/>
            <w:webHidden/>
          </w:rPr>
          <w:instrText xml:space="preserve"> PAGEREF _Toc225271029 \h </w:instrText>
        </w:r>
        <w:r w:rsidRPr="004D46AC">
          <w:rPr>
            <w:noProof/>
            <w:webHidden/>
          </w:rPr>
        </w:r>
        <w:r w:rsidRPr="004D46AC">
          <w:rPr>
            <w:noProof/>
            <w:webHidden/>
          </w:rPr>
          <w:fldChar w:fldCharType="separate"/>
        </w:r>
        <w:r w:rsidRPr="004D46AC">
          <w:rPr>
            <w:noProof/>
            <w:webHidden/>
          </w:rPr>
          <w:t>348</w:t>
        </w:r>
        <w:r w:rsidRPr="004D46AC">
          <w:rPr>
            <w:noProof/>
            <w:webHidden/>
          </w:rPr>
          <w:fldChar w:fldCharType="end"/>
        </w:r>
      </w:hyperlink>
    </w:p>
    <w:p w14:paraId="5BF2FC1D" w14:textId="2092E5DD"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30" w:history="1">
        <w:r w:rsidRPr="004D46AC">
          <w:rPr>
            <w:rStyle w:val="af5"/>
            <w:b/>
            <w:bCs/>
            <w:noProof/>
          </w:rPr>
          <w:t>Table B 8</w:t>
        </w:r>
        <w:r w:rsidRPr="004D46AC">
          <w:t xml:space="preserve"> </w:t>
        </w:r>
        <w:r w:rsidRPr="004D46AC">
          <w:rPr>
            <w:rStyle w:val="af5"/>
            <w:i/>
            <w:iCs/>
            <w:noProof/>
          </w:rPr>
          <w:t>Include studies in the synthesis of comorbid schizophrenia</w:t>
        </w:r>
        <w:r w:rsidRPr="004D46AC">
          <w:rPr>
            <w:noProof/>
            <w:webHidden/>
          </w:rPr>
          <w:tab/>
        </w:r>
        <w:r w:rsidRPr="004D46AC">
          <w:rPr>
            <w:noProof/>
            <w:webHidden/>
          </w:rPr>
          <w:fldChar w:fldCharType="begin"/>
        </w:r>
        <w:r w:rsidRPr="004D46AC">
          <w:rPr>
            <w:noProof/>
            <w:webHidden/>
          </w:rPr>
          <w:instrText xml:space="preserve"> PAGEREF _Toc225271030 \h </w:instrText>
        </w:r>
        <w:r w:rsidRPr="004D46AC">
          <w:rPr>
            <w:noProof/>
            <w:webHidden/>
          </w:rPr>
        </w:r>
        <w:r w:rsidRPr="004D46AC">
          <w:rPr>
            <w:noProof/>
            <w:webHidden/>
          </w:rPr>
          <w:fldChar w:fldCharType="separate"/>
        </w:r>
        <w:r w:rsidRPr="004D46AC">
          <w:rPr>
            <w:noProof/>
            <w:webHidden/>
          </w:rPr>
          <w:t>349</w:t>
        </w:r>
        <w:r w:rsidRPr="004D46AC">
          <w:rPr>
            <w:noProof/>
            <w:webHidden/>
          </w:rPr>
          <w:fldChar w:fldCharType="end"/>
        </w:r>
      </w:hyperlink>
    </w:p>
    <w:p w14:paraId="13BECB7D" w14:textId="4E822F13"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31" w:history="1">
        <w:r w:rsidRPr="004D46AC">
          <w:rPr>
            <w:rStyle w:val="af5"/>
            <w:b/>
            <w:bCs/>
            <w:noProof/>
          </w:rPr>
          <w:t>Table B 9</w:t>
        </w:r>
        <w:r w:rsidRPr="004D46AC">
          <w:t xml:space="preserve"> </w:t>
        </w:r>
        <w:r w:rsidRPr="004D46AC">
          <w:rPr>
            <w:rStyle w:val="af5"/>
            <w:i/>
            <w:iCs/>
            <w:noProof/>
          </w:rPr>
          <w:t>Include studies in the synthesis of comorbid</w:t>
        </w:r>
        <w:r w:rsidRPr="004D46AC">
          <w:rPr>
            <w:rStyle w:val="af5"/>
            <w:rFonts w:eastAsiaTheme="minorEastAsia" w:hint="eastAsia"/>
            <w:i/>
            <w:iCs/>
            <w:noProof/>
          </w:rPr>
          <w:t xml:space="preserve"> psychosis</w:t>
        </w:r>
        <w:r w:rsidRPr="004D46AC">
          <w:rPr>
            <w:noProof/>
            <w:webHidden/>
          </w:rPr>
          <w:tab/>
        </w:r>
        <w:r w:rsidRPr="004D46AC">
          <w:rPr>
            <w:noProof/>
            <w:webHidden/>
          </w:rPr>
          <w:fldChar w:fldCharType="begin"/>
        </w:r>
        <w:r w:rsidRPr="004D46AC">
          <w:rPr>
            <w:noProof/>
            <w:webHidden/>
          </w:rPr>
          <w:instrText xml:space="preserve"> PAGEREF _Toc225271031 \h </w:instrText>
        </w:r>
        <w:r w:rsidRPr="004D46AC">
          <w:rPr>
            <w:noProof/>
            <w:webHidden/>
          </w:rPr>
        </w:r>
        <w:r w:rsidRPr="004D46AC">
          <w:rPr>
            <w:noProof/>
            <w:webHidden/>
          </w:rPr>
          <w:fldChar w:fldCharType="separate"/>
        </w:r>
        <w:r w:rsidRPr="004D46AC">
          <w:rPr>
            <w:noProof/>
            <w:webHidden/>
          </w:rPr>
          <w:t>353</w:t>
        </w:r>
        <w:r w:rsidRPr="004D46AC">
          <w:rPr>
            <w:noProof/>
            <w:webHidden/>
          </w:rPr>
          <w:fldChar w:fldCharType="end"/>
        </w:r>
      </w:hyperlink>
    </w:p>
    <w:p w14:paraId="199143EB" w14:textId="0C65664E"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32" w:history="1">
        <w:r w:rsidRPr="004D46AC">
          <w:rPr>
            <w:rStyle w:val="af5"/>
            <w:b/>
            <w:bCs/>
            <w:noProof/>
          </w:rPr>
          <w:t>Table B 10</w:t>
        </w:r>
        <w:r w:rsidRPr="004D46AC">
          <w:t xml:space="preserve"> </w:t>
        </w:r>
        <w:r w:rsidRPr="004D46AC">
          <w:rPr>
            <w:rStyle w:val="af5"/>
            <w:i/>
            <w:iCs/>
            <w:noProof/>
          </w:rPr>
          <w:t>Include studies in the synthesis of cooccurring delusions</w:t>
        </w:r>
        <w:r w:rsidRPr="004D46AC">
          <w:rPr>
            <w:noProof/>
            <w:webHidden/>
          </w:rPr>
          <w:tab/>
        </w:r>
        <w:r w:rsidRPr="004D46AC">
          <w:rPr>
            <w:noProof/>
            <w:webHidden/>
          </w:rPr>
          <w:fldChar w:fldCharType="begin"/>
        </w:r>
        <w:r w:rsidRPr="004D46AC">
          <w:rPr>
            <w:noProof/>
            <w:webHidden/>
          </w:rPr>
          <w:instrText xml:space="preserve"> PAGEREF _Toc225271032 \h </w:instrText>
        </w:r>
        <w:r w:rsidRPr="004D46AC">
          <w:rPr>
            <w:noProof/>
            <w:webHidden/>
          </w:rPr>
        </w:r>
        <w:r w:rsidRPr="004D46AC">
          <w:rPr>
            <w:noProof/>
            <w:webHidden/>
          </w:rPr>
          <w:fldChar w:fldCharType="separate"/>
        </w:r>
        <w:r w:rsidRPr="004D46AC">
          <w:rPr>
            <w:noProof/>
            <w:webHidden/>
          </w:rPr>
          <w:t>378</w:t>
        </w:r>
        <w:r w:rsidRPr="004D46AC">
          <w:rPr>
            <w:noProof/>
            <w:webHidden/>
          </w:rPr>
          <w:fldChar w:fldCharType="end"/>
        </w:r>
      </w:hyperlink>
    </w:p>
    <w:p w14:paraId="74E7491D" w14:textId="770624DF"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33" w:history="1">
        <w:r w:rsidRPr="004D46AC">
          <w:rPr>
            <w:rStyle w:val="af5"/>
            <w:b/>
            <w:bCs/>
            <w:noProof/>
          </w:rPr>
          <w:t>Table B 11</w:t>
        </w:r>
        <w:r w:rsidRPr="004D46AC">
          <w:t xml:space="preserve"> </w:t>
        </w:r>
        <w:r w:rsidRPr="004D46AC">
          <w:rPr>
            <w:rStyle w:val="af5"/>
            <w:i/>
            <w:iCs/>
            <w:noProof/>
          </w:rPr>
          <w:t>Include studies in the synthesis of cooccurring hallucinations</w:t>
        </w:r>
        <w:r w:rsidRPr="004D46AC">
          <w:rPr>
            <w:noProof/>
            <w:webHidden/>
          </w:rPr>
          <w:tab/>
        </w:r>
        <w:r w:rsidRPr="004D46AC">
          <w:rPr>
            <w:noProof/>
            <w:webHidden/>
          </w:rPr>
          <w:fldChar w:fldCharType="begin"/>
        </w:r>
        <w:r w:rsidRPr="004D46AC">
          <w:rPr>
            <w:noProof/>
            <w:webHidden/>
          </w:rPr>
          <w:instrText xml:space="preserve"> PAGEREF _Toc225271033 \h </w:instrText>
        </w:r>
        <w:r w:rsidRPr="004D46AC">
          <w:rPr>
            <w:noProof/>
            <w:webHidden/>
          </w:rPr>
        </w:r>
        <w:r w:rsidRPr="004D46AC">
          <w:rPr>
            <w:noProof/>
            <w:webHidden/>
          </w:rPr>
          <w:fldChar w:fldCharType="separate"/>
        </w:r>
        <w:r w:rsidRPr="004D46AC">
          <w:rPr>
            <w:noProof/>
            <w:webHidden/>
          </w:rPr>
          <w:t>388</w:t>
        </w:r>
        <w:r w:rsidRPr="004D46AC">
          <w:rPr>
            <w:noProof/>
            <w:webHidden/>
          </w:rPr>
          <w:fldChar w:fldCharType="end"/>
        </w:r>
      </w:hyperlink>
    </w:p>
    <w:p w14:paraId="67ECC6F5" w14:textId="4810E5F5" w:rsidR="00F332F5" w:rsidRPr="004D46AC" w:rsidRDefault="00F332F5" w:rsidP="00F332F5">
      <w:pPr>
        <w:pStyle w:val="afff1"/>
        <w:tabs>
          <w:tab w:val="right" w:leader="dot" w:pos="9016"/>
        </w:tabs>
        <w:ind w:firstLine="0"/>
        <w:rPr>
          <w:rFonts w:asciiTheme="minorHAnsi" w:eastAsiaTheme="minorEastAsia" w:hAnsiTheme="minorHAnsi" w:cstheme="minorBidi"/>
          <w:noProof/>
          <w:sz w:val="24"/>
          <w:szCs w:val="24"/>
        </w:rPr>
      </w:pPr>
      <w:hyperlink w:anchor="_Toc225271034" w:history="1">
        <w:r w:rsidRPr="004D46AC">
          <w:rPr>
            <w:rStyle w:val="af5"/>
            <w:b/>
            <w:bCs/>
            <w:noProof/>
          </w:rPr>
          <w:t>Table B 12</w:t>
        </w:r>
        <w:r w:rsidRPr="004D46AC">
          <w:t xml:space="preserve"> </w:t>
        </w:r>
        <w:r w:rsidRPr="004D46AC">
          <w:rPr>
            <w:rStyle w:val="af5"/>
            <w:i/>
            <w:iCs/>
            <w:noProof/>
          </w:rPr>
          <w:t>Include studies in the synthesis of cooccurring thought disorders</w:t>
        </w:r>
        <w:r w:rsidRPr="004D46AC">
          <w:rPr>
            <w:noProof/>
            <w:webHidden/>
          </w:rPr>
          <w:tab/>
        </w:r>
        <w:r w:rsidRPr="004D46AC">
          <w:rPr>
            <w:noProof/>
            <w:webHidden/>
          </w:rPr>
          <w:fldChar w:fldCharType="begin"/>
        </w:r>
        <w:r w:rsidRPr="004D46AC">
          <w:rPr>
            <w:noProof/>
            <w:webHidden/>
          </w:rPr>
          <w:instrText xml:space="preserve"> PAGEREF _Toc225271034 \h </w:instrText>
        </w:r>
        <w:r w:rsidRPr="004D46AC">
          <w:rPr>
            <w:noProof/>
            <w:webHidden/>
          </w:rPr>
        </w:r>
        <w:r w:rsidRPr="004D46AC">
          <w:rPr>
            <w:noProof/>
            <w:webHidden/>
          </w:rPr>
          <w:fldChar w:fldCharType="separate"/>
        </w:r>
        <w:r w:rsidRPr="004D46AC">
          <w:rPr>
            <w:noProof/>
            <w:webHidden/>
          </w:rPr>
          <w:t>397</w:t>
        </w:r>
        <w:r w:rsidRPr="004D46AC">
          <w:rPr>
            <w:noProof/>
            <w:webHidden/>
          </w:rPr>
          <w:fldChar w:fldCharType="end"/>
        </w:r>
      </w:hyperlink>
    </w:p>
    <w:p w14:paraId="5B1B95C9" w14:textId="77777777" w:rsidR="000551CA" w:rsidRPr="004D46AC" w:rsidRDefault="00372FB0" w:rsidP="000551CA">
      <w:pPr>
        <w:pStyle w:val="1"/>
        <w:rPr>
          <w:rFonts w:eastAsiaTheme="minorEastAsia"/>
        </w:rPr>
      </w:pPr>
      <w:r w:rsidRPr="004D46AC">
        <w:fldChar w:fldCharType="end"/>
      </w:r>
      <w:r w:rsidRPr="004D46AC">
        <w:rPr>
          <w:rFonts w:eastAsiaTheme="minorEastAsia" w:hint="eastAsia"/>
        </w:rPr>
        <w:t xml:space="preserve"> </w:t>
      </w:r>
      <w:bookmarkStart w:id="7" w:name="_Toc219888741"/>
      <w:r w:rsidRPr="004D46AC">
        <w:rPr>
          <w:rFonts w:eastAsiaTheme="minorEastAsia" w:hint="eastAsia"/>
        </w:rPr>
        <w:t>List of Tables (</w:t>
      </w:r>
      <w:r w:rsidRPr="004D46AC">
        <w:rPr>
          <w:rFonts w:eastAsiaTheme="minorEastAsia"/>
        </w:rPr>
        <w:t>Appendix</w:t>
      </w:r>
      <w:r w:rsidRPr="004D46AC">
        <w:rPr>
          <w:rFonts w:eastAsiaTheme="minorEastAsia" w:hint="eastAsia"/>
        </w:rPr>
        <w:t xml:space="preserve"> C)</w:t>
      </w:r>
      <w:bookmarkEnd w:id="7"/>
    </w:p>
    <w:p w14:paraId="0D4DBA3C" w14:textId="506B6EDA"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r w:rsidRPr="004D46AC">
        <w:rPr>
          <w:b/>
          <w:bCs/>
        </w:rPr>
        <w:fldChar w:fldCharType="begin"/>
      </w:r>
      <w:r w:rsidRPr="004D46AC">
        <w:rPr>
          <w:b/>
          <w:bCs/>
        </w:rPr>
        <w:instrText xml:space="preserve"> TOC \h \z \c "Table C" </w:instrText>
      </w:r>
      <w:r w:rsidRPr="004D46AC">
        <w:rPr>
          <w:b/>
          <w:bCs/>
        </w:rPr>
        <w:fldChar w:fldCharType="separate"/>
      </w:r>
      <w:hyperlink w:anchor="_Toc219885504" w:history="1">
        <w:r w:rsidRPr="004D46AC">
          <w:rPr>
            <w:rStyle w:val="af5"/>
            <w:b/>
            <w:bCs/>
            <w:noProof/>
          </w:rPr>
          <w:t>Table C 1</w:t>
        </w:r>
        <w:r w:rsidRPr="004D46AC">
          <w:rPr>
            <w:noProof/>
          </w:rPr>
          <w:t xml:space="preserve"> </w:t>
        </w:r>
        <w:r w:rsidRPr="004D46AC">
          <w:rPr>
            <w:rStyle w:val="af5"/>
            <w:i/>
            <w:iCs/>
            <w:noProof/>
          </w:rPr>
          <w:t>Item selection: reason and action</w:t>
        </w:r>
        <w:r w:rsidRPr="004D46AC">
          <w:rPr>
            <w:noProof/>
            <w:webHidden/>
          </w:rPr>
          <w:tab/>
        </w:r>
        <w:r w:rsidRPr="004D46AC">
          <w:rPr>
            <w:noProof/>
            <w:webHidden/>
          </w:rPr>
          <w:fldChar w:fldCharType="begin"/>
        </w:r>
        <w:r w:rsidRPr="004D46AC">
          <w:rPr>
            <w:noProof/>
            <w:webHidden/>
          </w:rPr>
          <w:instrText xml:space="preserve"> PAGEREF _Toc219885504 \h </w:instrText>
        </w:r>
        <w:r w:rsidRPr="004D46AC">
          <w:rPr>
            <w:noProof/>
            <w:webHidden/>
          </w:rPr>
        </w:r>
        <w:r w:rsidRPr="004D46AC">
          <w:rPr>
            <w:noProof/>
            <w:webHidden/>
          </w:rPr>
          <w:fldChar w:fldCharType="separate"/>
        </w:r>
        <w:r w:rsidR="009568EC" w:rsidRPr="004D46AC">
          <w:rPr>
            <w:noProof/>
            <w:webHidden/>
          </w:rPr>
          <w:t>421</w:t>
        </w:r>
        <w:r w:rsidRPr="004D46AC">
          <w:rPr>
            <w:noProof/>
            <w:webHidden/>
          </w:rPr>
          <w:fldChar w:fldCharType="end"/>
        </w:r>
      </w:hyperlink>
    </w:p>
    <w:p w14:paraId="79EE44B1" w14:textId="730A0F45"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5505" w:history="1">
        <w:r w:rsidRPr="004D46AC">
          <w:rPr>
            <w:rStyle w:val="af5"/>
            <w:b/>
            <w:bCs/>
            <w:noProof/>
          </w:rPr>
          <w:t>Table C 2</w:t>
        </w:r>
        <w:r w:rsidRPr="004D46AC">
          <w:rPr>
            <w:noProof/>
          </w:rPr>
          <w:t xml:space="preserve"> </w:t>
        </w:r>
        <w:r w:rsidRPr="004D46AC">
          <w:rPr>
            <w:rStyle w:val="af5"/>
            <w:i/>
            <w:iCs/>
            <w:noProof/>
          </w:rPr>
          <w:t>Sensitivity check through UVA analysis excluding general psychiatric problems</w:t>
        </w:r>
        <w:r w:rsidRPr="004D46AC">
          <w:rPr>
            <w:noProof/>
            <w:webHidden/>
          </w:rPr>
          <w:tab/>
        </w:r>
        <w:r w:rsidRPr="004D46AC">
          <w:rPr>
            <w:noProof/>
            <w:webHidden/>
          </w:rPr>
          <w:fldChar w:fldCharType="begin"/>
        </w:r>
        <w:r w:rsidRPr="004D46AC">
          <w:rPr>
            <w:noProof/>
            <w:webHidden/>
          </w:rPr>
          <w:instrText xml:space="preserve"> PAGEREF _Toc219885505 \h </w:instrText>
        </w:r>
        <w:r w:rsidRPr="004D46AC">
          <w:rPr>
            <w:noProof/>
            <w:webHidden/>
          </w:rPr>
        </w:r>
        <w:r w:rsidRPr="004D46AC">
          <w:rPr>
            <w:noProof/>
            <w:webHidden/>
          </w:rPr>
          <w:fldChar w:fldCharType="separate"/>
        </w:r>
        <w:r w:rsidR="009568EC" w:rsidRPr="004D46AC">
          <w:rPr>
            <w:noProof/>
            <w:webHidden/>
          </w:rPr>
          <w:t>423</w:t>
        </w:r>
        <w:r w:rsidRPr="004D46AC">
          <w:rPr>
            <w:noProof/>
            <w:webHidden/>
          </w:rPr>
          <w:fldChar w:fldCharType="end"/>
        </w:r>
      </w:hyperlink>
    </w:p>
    <w:p w14:paraId="44CE43A5" w14:textId="41E60C32"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5506" w:history="1">
        <w:r w:rsidRPr="004D46AC">
          <w:rPr>
            <w:rStyle w:val="af5"/>
            <w:b/>
            <w:bCs/>
            <w:noProof/>
          </w:rPr>
          <w:t>Table C 3</w:t>
        </w:r>
        <w:r w:rsidRPr="004D46AC">
          <w:rPr>
            <w:noProof/>
          </w:rPr>
          <w:t xml:space="preserve"> </w:t>
        </w:r>
        <w:r w:rsidRPr="004D46AC">
          <w:rPr>
            <w:rStyle w:val="af5"/>
            <w:i/>
            <w:iCs/>
            <w:noProof/>
          </w:rPr>
          <w:t>The comparison statistics of the selected items in subgroups</w:t>
        </w:r>
        <w:r w:rsidRPr="004D46AC">
          <w:rPr>
            <w:noProof/>
            <w:webHidden/>
          </w:rPr>
          <w:tab/>
        </w:r>
        <w:r w:rsidRPr="004D46AC">
          <w:rPr>
            <w:noProof/>
            <w:webHidden/>
          </w:rPr>
          <w:fldChar w:fldCharType="begin"/>
        </w:r>
        <w:r w:rsidRPr="004D46AC">
          <w:rPr>
            <w:noProof/>
            <w:webHidden/>
          </w:rPr>
          <w:instrText xml:space="preserve"> PAGEREF _Toc219885506 \h </w:instrText>
        </w:r>
        <w:r w:rsidRPr="004D46AC">
          <w:rPr>
            <w:noProof/>
            <w:webHidden/>
          </w:rPr>
        </w:r>
        <w:r w:rsidRPr="004D46AC">
          <w:rPr>
            <w:noProof/>
            <w:webHidden/>
          </w:rPr>
          <w:fldChar w:fldCharType="separate"/>
        </w:r>
        <w:r w:rsidR="009568EC" w:rsidRPr="004D46AC">
          <w:rPr>
            <w:noProof/>
            <w:webHidden/>
          </w:rPr>
          <w:t>424</w:t>
        </w:r>
        <w:r w:rsidRPr="004D46AC">
          <w:rPr>
            <w:noProof/>
            <w:webHidden/>
          </w:rPr>
          <w:fldChar w:fldCharType="end"/>
        </w:r>
      </w:hyperlink>
    </w:p>
    <w:p w14:paraId="3805E8D5" w14:textId="69C6A410"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5507" w:history="1">
        <w:r w:rsidRPr="004D46AC">
          <w:rPr>
            <w:rStyle w:val="af5"/>
            <w:b/>
            <w:bCs/>
            <w:noProof/>
          </w:rPr>
          <w:t>Table C 4</w:t>
        </w:r>
        <w:r w:rsidRPr="004D46AC">
          <w:rPr>
            <w:noProof/>
          </w:rPr>
          <w:t xml:space="preserve"> </w:t>
        </w:r>
        <w:r w:rsidRPr="004D46AC">
          <w:rPr>
            <w:rStyle w:val="af5"/>
            <w:i/>
            <w:iCs/>
            <w:noProof/>
          </w:rPr>
          <w:t>The ordered edge statistics of the edges with non-zero weight in network of all patients</w:t>
        </w:r>
        <w:r w:rsidRPr="004D46AC">
          <w:rPr>
            <w:noProof/>
            <w:webHidden/>
          </w:rPr>
          <w:tab/>
        </w:r>
        <w:r w:rsidRPr="004D46AC">
          <w:rPr>
            <w:noProof/>
            <w:webHidden/>
          </w:rPr>
          <w:fldChar w:fldCharType="begin"/>
        </w:r>
        <w:r w:rsidRPr="004D46AC">
          <w:rPr>
            <w:noProof/>
            <w:webHidden/>
          </w:rPr>
          <w:instrText xml:space="preserve"> PAGEREF _Toc219885507 \h </w:instrText>
        </w:r>
        <w:r w:rsidRPr="004D46AC">
          <w:rPr>
            <w:noProof/>
            <w:webHidden/>
          </w:rPr>
        </w:r>
        <w:r w:rsidRPr="004D46AC">
          <w:rPr>
            <w:noProof/>
            <w:webHidden/>
          </w:rPr>
          <w:fldChar w:fldCharType="separate"/>
        </w:r>
        <w:r w:rsidR="009568EC" w:rsidRPr="004D46AC">
          <w:rPr>
            <w:noProof/>
            <w:webHidden/>
          </w:rPr>
          <w:t>426</w:t>
        </w:r>
        <w:r w:rsidRPr="004D46AC">
          <w:rPr>
            <w:noProof/>
            <w:webHidden/>
          </w:rPr>
          <w:fldChar w:fldCharType="end"/>
        </w:r>
      </w:hyperlink>
    </w:p>
    <w:p w14:paraId="55C20FB1" w14:textId="03B5AFD7"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5508" w:history="1">
        <w:r w:rsidRPr="004D46AC">
          <w:rPr>
            <w:rStyle w:val="af5"/>
            <w:b/>
            <w:bCs/>
            <w:noProof/>
          </w:rPr>
          <w:t>Table C 5</w:t>
        </w:r>
        <w:r w:rsidRPr="004D46AC">
          <w:rPr>
            <w:noProof/>
          </w:rPr>
          <w:t xml:space="preserve"> </w:t>
        </w:r>
        <w:r w:rsidRPr="004D46AC">
          <w:rPr>
            <w:rStyle w:val="af5"/>
            <w:i/>
            <w:iCs/>
            <w:noProof/>
          </w:rPr>
          <w:t>The ordered edge statistics of the edges with non-zero weight in network of PBD patients</w:t>
        </w:r>
        <w:r w:rsidRPr="004D46AC">
          <w:rPr>
            <w:noProof/>
            <w:webHidden/>
          </w:rPr>
          <w:tab/>
        </w:r>
        <w:r w:rsidRPr="004D46AC">
          <w:rPr>
            <w:noProof/>
            <w:webHidden/>
          </w:rPr>
          <w:fldChar w:fldCharType="begin"/>
        </w:r>
        <w:r w:rsidRPr="004D46AC">
          <w:rPr>
            <w:noProof/>
            <w:webHidden/>
          </w:rPr>
          <w:instrText xml:space="preserve"> PAGEREF _Toc219885508 \h </w:instrText>
        </w:r>
        <w:r w:rsidRPr="004D46AC">
          <w:rPr>
            <w:noProof/>
            <w:webHidden/>
          </w:rPr>
        </w:r>
        <w:r w:rsidRPr="004D46AC">
          <w:rPr>
            <w:noProof/>
            <w:webHidden/>
          </w:rPr>
          <w:fldChar w:fldCharType="separate"/>
        </w:r>
        <w:r w:rsidR="009568EC" w:rsidRPr="004D46AC">
          <w:rPr>
            <w:noProof/>
            <w:webHidden/>
          </w:rPr>
          <w:t>430</w:t>
        </w:r>
        <w:r w:rsidRPr="004D46AC">
          <w:rPr>
            <w:noProof/>
            <w:webHidden/>
          </w:rPr>
          <w:fldChar w:fldCharType="end"/>
        </w:r>
      </w:hyperlink>
    </w:p>
    <w:p w14:paraId="10E0CAC0" w14:textId="2F51C60F"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5509" w:history="1">
        <w:r w:rsidRPr="004D46AC">
          <w:rPr>
            <w:rStyle w:val="af5"/>
            <w:b/>
            <w:bCs/>
            <w:noProof/>
          </w:rPr>
          <w:t>Table C 6</w:t>
        </w:r>
        <w:r w:rsidRPr="004D46AC">
          <w:rPr>
            <w:noProof/>
          </w:rPr>
          <w:t xml:space="preserve"> </w:t>
        </w:r>
        <w:r w:rsidRPr="004D46AC">
          <w:rPr>
            <w:rStyle w:val="af5"/>
            <w:i/>
            <w:iCs/>
            <w:noProof/>
          </w:rPr>
          <w:t xml:space="preserve">The ordered edge statistics of the edges with non-zero weight in network of </w:t>
        </w:r>
        <w:r w:rsidRPr="004D46AC">
          <w:rPr>
            <w:rStyle w:val="af5"/>
            <w:rFonts w:eastAsiaTheme="minorEastAsia" w:hint="eastAsia"/>
            <w:i/>
            <w:iCs/>
            <w:noProof/>
          </w:rPr>
          <w:t>SCA</w:t>
        </w:r>
        <w:r w:rsidRPr="004D46AC">
          <w:rPr>
            <w:rStyle w:val="af5"/>
            <w:i/>
            <w:iCs/>
            <w:noProof/>
          </w:rPr>
          <w:t xml:space="preserve"> patients</w:t>
        </w:r>
        <w:r w:rsidRPr="004D46AC">
          <w:rPr>
            <w:noProof/>
            <w:webHidden/>
          </w:rPr>
          <w:tab/>
        </w:r>
        <w:r w:rsidRPr="004D46AC">
          <w:rPr>
            <w:noProof/>
            <w:webHidden/>
          </w:rPr>
          <w:fldChar w:fldCharType="begin"/>
        </w:r>
        <w:r w:rsidRPr="004D46AC">
          <w:rPr>
            <w:noProof/>
            <w:webHidden/>
          </w:rPr>
          <w:instrText xml:space="preserve"> PAGEREF _Toc219885509 \h </w:instrText>
        </w:r>
        <w:r w:rsidRPr="004D46AC">
          <w:rPr>
            <w:noProof/>
            <w:webHidden/>
          </w:rPr>
        </w:r>
        <w:r w:rsidRPr="004D46AC">
          <w:rPr>
            <w:noProof/>
            <w:webHidden/>
          </w:rPr>
          <w:fldChar w:fldCharType="separate"/>
        </w:r>
        <w:r w:rsidR="009568EC" w:rsidRPr="004D46AC">
          <w:rPr>
            <w:noProof/>
            <w:webHidden/>
          </w:rPr>
          <w:t>433</w:t>
        </w:r>
        <w:r w:rsidRPr="004D46AC">
          <w:rPr>
            <w:noProof/>
            <w:webHidden/>
          </w:rPr>
          <w:fldChar w:fldCharType="end"/>
        </w:r>
      </w:hyperlink>
    </w:p>
    <w:p w14:paraId="1ACEEC3D" w14:textId="6E96E2E2"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5510" w:history="1">
        <w:r w:rsidRPr="004D46AC">
          <w:rPr>
            <w:rStyle w:val="af5"/>
            <w:b/>
            <w:bCs/>
            <w:noProof/>
          </w:rPr>
          <w:t>Table C 7</w:t>
        </w:r>
        <w:r w:rsidRPr="004D46AC">
          <w:rPr>
            <w:noProof/>
          </w:rPr>
          <w:t xml:space="preserve"> </w:t>
        </w:r>
        <w:r w:rsidRPr="004D46AC">
          <w:rPr>
            <w:rStyle w:val="af5"/>
            <w:i/>
            <w:iCs/>
            <w:noProof/>
          </w:rPr>
          <w:t xml:space="preserve">The ordered edge statistics of the edges with non-zero weight in network of </w:t>
        </w:r>
        <w:r w:rsidRPr="004D46AC">
          <w:rPr>
            <w:rStyle w:val="af5"/>
            <w:rFonts w:eastAsiaTheme="minorEastAsia" w:hint="eastAsia"/>
            <w:i/>
            <w:iCs/>
            <w:noProof/>
          </w:rPr>
          <w:t>SCZ</w:t>
        </w:r>
        <w:r w:rsidRPr="004D46AC">
          <w:rPr>
            <w:rStyle w:val="af5"/>
            <w:i/>
            <w:iCs/>
            <w:noProof/>
          </w:rPr>
          <w:t xml:space="preserve"> patients</w:t>
        </w:r>
        <w:r w:rsidRPr="004D46AC">
          <w:rPr>
            <w:noProof/>
            <w:webHidden/>
          </w:rPr>
          <w:tab/>
        </w:r>
        <w:r w:rsidRPr="004D46AC">
          <w:rPr>
            <w:noProof/>
            <w:webHidden/>
          </w:rPr>
          <w:fldChar w:fldCharType="begin"/>
        </w:r>
        <w:r w:rsidRPr="004D46AC">
          <w:rPr>
            <w:noProof/>
            <w:webHidden/>
          </w:rPr>
          <w:instrText xml:space="preserve"> PAGEREF _Toc219885510 \h </w:instrText>
        </w:r>
        <w:r w:rsidRPr="004D46AC">
          <w:rPr>
            <w:noProof/>
            <w:webHidden/>
          </w:rPr>
        </w:r>
        <w:r w:rsidRPr="004D46AC">
          <w:rPr>
            <w:noProof/>
            <w:webHidden/>
          </w:rPr>
          <w:fldChar w:fldCharType="separate"/>
        </w:r>
        <w:r w:rsidR="009568EC" w:rsidRPr="004D46AC">
          <w:rPr>
            <w:noProof/>
            <w:webHidden/>
          </w:rPr>
          <w:t>436</w:t>
        </w:r>
        <w:r w:rsidRPr="004D46AC">
          <w:rPr>
            <w:noProof/>
            <w:webHidden/>
          </w:rPr>
          <w:fldChar w:fldCharType="end"/>
        </w:r>
      </w:hyperlink>
    </w:p>
    <w:p w14:paraId="0F499463" w14:textId="168D78AD" w:rsidR="000551CA" w:rsidRPr="004D46AC" w:rsidRDefault="000551CA"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5511" w:history="1">
        <w:r w:rsidRPr="004D46AC">
          <w:rPr>
            <w:rStyle w:val="af5"/>
            <w:b/>
            <w:bCs/>
            <w:noProof/>
          </w:rPr>
          <w:t>Table C 8</w:t>
        </w:r>
        <w:r w:rsidRPr="004D46AC">
          <w:rPr>
            <w:noProof/>
          </w:rPr>
          <w:t xml:space="preserve"> </w:t>
        </w:r>
        <w:r w:rsidRPr="004D46AC">
          <w:rPr>
            <w:rStyle w:val="af5"/>
            <w:i/>
            <w:iCs/>
            <w:noProof/>
          </w:rPr>
          <w:t>The structural consistencies and item replicabilities from EGA</w:t>
        </w:r>
        <w:r w:rsidRPr="004D46AC">
          <w:rPr>
            <w:noProof/>
            <w:webHidden/>
          </w:rPr>
          <w:tab/>
        </w:r>
        <w:r w:rsidRPr="004D46AC">
          <w:rPr>
            <w:noProof/>
            <w:webHidden/>
          </w:rPr>
          <w:fldChar w:fldCharType="begin"/>
        </w:r>
        <w:r w:rsidRPr="004D46AC">
          <w:rPr>
            <w:noProof/>
            <w:webHidden/>
          </w:rPr>
          <w:instrText xml:space="preserve"> PAGEREF _Toc219885511 \h </w:instrText>
        </w:r>
        <w:r w:rsidRPr="004D46AC">
          <w:rPr>
            <w:noProof/>
            <w:webHidden/>
          </w:rPr>
        </w:r>
        <w:r w:rsidRPr="004D46AC">
          <w:rPr>
            <w:noProof/>
            <w:webHidden/>
          </w:rPr>
          <w:fldChar w:fldCharType="separate"/>
        </w:r>
        <w:r w:rsidR="009568EC" w:rsidRPr="004D46AC">
          <w:rPr>
            <w:noProof/>
            <w:webHidden/>
          </w:rPr>
          <w:t>439</w:t>
        </w:r>
        <w:r w:rsidRPr="004D46AC">
          <w:rPr>
            <w:noProof/>
            <w:webHidden/>
          </w:rPr>
          <w:fldChar w:fldCharType="end"/>
        </w:r>
      </w:hyperlink>
    </w:p>
    <w:p w14:paraId="5107B295" w14:textId="14CE6499" w:rsidR="00372FB0" w:rsidRPr="004D46AC" w:rsidRDefault="000551CA" w:rsidP="000551CA">
      <w:pPr>
        <w:pStyle w:val="1"/>
        <w:spacing w:line="360" w:lineRule="auto"/>
        <w:rPr>
          <w:noProof/>
        </w:rPr>
      </w:pPr>
      <w:r w:rsidRPr="004D46AC">
        <w:rPr>
          <w:b w:val="0"/>
          <w:bCs w:val="0"/>
        </w:rPr>
        <w:fldChar w:fldCharType="end"/>
      </w:r>
      <w:r w:rsidR="00372FB0" w:rsidRPr="004D46AC">
        <w:rPr>
          <w:rFonts w:eastAsiaTheme="minorEastAsia" w:hint="eastAsia"/>
        </w:rPr>
        <w:t xml:space="preserve"> </w:t>
      </w:r>
      <w:bookmarkStart w:id="8" w:name="_Toc219888742"/>
      <w:r w:rsidR="00372FB0" w:rsidRPr="004D46AC">
        <w:rPr>
          <w:rFonts w:eastAsiaTheme="minorEastAsia" w:hint="eastAsia"/>
        </w:rPr>
        <w:t>List of Tables (</w:t>
      </w:r>
      <w:r w:rsidR="00372FB0" w:rsidRPr="004D46AC">
        <w:rPr>
          <w:rFonts w:eastAsiaTheme="minorEastAsia"/>
        </w:rPr>
        <w:t>Appendix</w:t>
      </w:r>
      <w:r w:rsidR="00372FB0" w:rsidRPr="004D46AC">
        <w:rPr>
          <w:rFonts w:eastAsiaTheme="minorEastAsia" w:hint="eastAsia"/>
        </w:rPr>
        <w:t xml:space="preserve"> D)</w:t>
      </w:r>
      <w:bookmarkEnd w:id="8"/>
      <w:r w:rsidR="00372FB0" w:rsidRPr="004D46AC">
        <w:t xml:space="preserve"> </w:t>
      </w:r>
      <w:r w:rsidR="00372FB0" w:rsidRPr="004D46AC">
        <w:fldChar w:fldCharType="begin"/>
      </w:r>
      <w:r w:rsidR="00372FB0" w:rsidRPr="004D46AC">
        <w:instrText xml:space="preserve"> TOC \h \z \c "Table D" </w:instrText>
      </w:r>
      <w:r w:rsidR="00372FB0" w:rsidRPr="004D46AC">
        <w:fldChar w:fldCharType="separate"/>
      </w:r>
    </w:p>
    <w:p w14:paraId="2F5AE768" w14:textId="04A25692" w:rsidR="00372FB0" w:rsidRPr="004D46AC" w:rsidRDefault="00372FB0"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1" w:history="1">
        <w:r w:rsidRPr="004D46AC">
          <w:rPr>
            <w:rStyle w:val="af5"/>
            <w:b/>
            <w:bCs/>
            <w:noProof/>
          </w:rPr>
          <w:t>Table D 1</w:t>
        </w:r>
        <w:r w:rsidR="000551CA" w:rsidRPr="004D46AC">
          <w:rPr>
            <w:noProof/>
          </w:rPr>
          <w:t xml:space="preserve"> </w:t>
        </w:r>
        <w:r w:rsidR="000551CA" w:rsidRPr="004D46AC">
          <w:rPr>
            <w:rStyle w:val="af5"/>
            <w:i/>
            <w:iCs/>
            <w:noProof/>
          </w:rPr>
          <w:t>The UVA analysis result</w:t>
        </w:r>
        <w:r w:rsidRPr="004D46AC">
          <w:rPr>
            <w:noProof/>
            <w:webHidden/>
          </w:rPr>
          <w:tab/>
        </w:r>
        <w:r w:rsidRPr="004D46AC">
          <w:rPr>
            <w:noProof/>
            <w:webHidden/>
          </w:rPr>
          <w:fldChar w:fldCharType="begin"/>
        </w:r>
        <w:r w:rsidRPr="004D46AC">
          <w:rPr>
            <w:noProof/>
            <w:webHidden/>
          </w:rPr>
          <w:instrText xml:space="preserve"> PAGEREF _Toc219870641 \h </w:instrText>
        </w:r>
        <w:r w:rsidRPr="004D46AC">
          <w:rPr>
            <w:noProof/>
            <w:webHidden/>
          </w:rPr>
        </w:r>
        <w:r w:rsidRPr="004D46AC">
          <w:rPr>
            <w:noProof/>
            <w:webHidden/>
          </w:rPr>
          <w:fldChar w:fldCharType="separate"/>
        </w:r>
        <w:r w:rsidR="009568EC" w:rsidRPr="004D46AC">
          <w:rPr>
            <w:noProof/>
            <w:webHidden/>
          </w:rPr>
          <w:t>449</w:t>
        </w:r>
        <w:r w:rsidRPr="004D46AC">
          <w:rPr>
            <w:noProof/>
            <w:webHidden/>
          </w:rPr>
          <w:fldChar w:fldCharType="end"/>
        </w:r>
      </w:hyperlink>
    </w:p>
    <w:p w14:paraId="4D6C3C20" w14:textId="5EF4D89A" w:rsidR="00372FB0" w:rsidRPr="004D46AC" w:rsidRDefault="00372FB0"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2" w:history="1">
        <w:r w:rsidRPr="004D46AC">
          <w:rPr>
            <w:rStyle w:val="af5"/>
            <w:b/>
            <w:bCs/>
            <w:noProof/>
          </w:rPr>
          <w:t>Table D 2</w:t>
        </w:r>
        <w:r w:rsidR="000551CA" w:rsidRPr="004D46AC">
          <w:rPr>
            <w:noProof/>
          </w:rPr>
          <w:t xml:space="preserve"> </w:t>
        </w:r>
        <w:r w:rsidR="00D70BAE" w:rsidRPr="004D46AC">
          <w:rPr>
            <w:rStyle w:val="af5"/>
            <w:i/>
            <w:iCs/>
            <w:noProof/>
          </w:rPr>
          <w:t xml:space="preserve">Bootstrapped statistics for edges with non-zero weights in the Mood and PLE network at wave </w:t>
        </w:r>
        <w:r w:rsidR="00D70BAE" w:rsidRPr="004D46AC">
          <w:rPr>
            <w:rStyle w:val="af5"/>
            <w:rFonts w:eastAsiaTheme="minorEastAsia" w:hint="eastAsia"/>
            <w:i/>
            <w:iCs/>
            <w:noProof/>
          </w:rPr>
          <w:t>5</w:t>
        </w:r>
        <w:r w:rsidRPr="004D46AC">
          <w:rPr>
            <w:noProof/>
            <w:webHidden/>
          </w:rPr>
          <w:tab/>
        </w:r>
        <w:r w:rsidRPr="004D46AC">
          <w:rPr>
            <w:noProof/>
            <w:webHidden/>
          </w:rPr>
          <w:fldChar w:fldCharType="begin"/>
        </w:r>
        <w:r w:rsidRPr="004D46AC">
          <w:rPr>
            <w:noProof/>
            <w:webHidden/>
          </w:rPr>
          <w:instrText xml:space="preserve"> PAGEREF _Toc219870642 \h </w:instrText>
        </w:r>
        <w:r w:rsidRPr="004D46AC">
          <w:rPr>
            <w:noProof/>
            <w:webHidden/>
          </w:rPr>
        </w:r>
        <w:r w:rsidRPr="004D46AC">
          <w:rPr>
            <w:noProof/>
            <w:webHidden/>
          </w:rPr>
          <w:fldChar w:fldCharType="separate"/>
        </w:r>
        <w:r w:rsidR="009568EC" w:rsidRPr="004D46AC">
          <w:rPr>
            <w:noProof/>
            <w:webHidden/>
          </w:rPr>
          <w:t>450</w:t>
        </w:r>
        <w:r w:rsidRPr="004D46AC">
          <w:rPr>
            <w:noProof/>
            <w:webHidden/>
          </w:rPr>
          <w:fldChar w:fldCharType="end"/>
        </w:r>
      </w:hyperlink>
    </w:p>
    <w:p w14:paraId="4C4B6C12" w14:textId="2E3BC4E1" w:rsidR="00372FB0" w:rsidRPr="004D46AC" w:rsidRDefault="00372FB0"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3" w:history="1">
        <w:r w:rsidRPr="004D46AC">
          <w:rPr>
            <w:rStyle w:val="af5"/>
            <w:b/>
            <w:bCs/>
            <w:noProof/>
          </w:rPr>
          <w:t>Table D 3</w:t>
        </w:r>
        <w:r w:rsidR="000551CA" w:rsidRPr="004D46AC">
          <w:rPr>
            <w:noProof/>
          </w:rPr>
          <w:t xml:space="preserve"> </w:t>
        </w:r>
        <w:r w:rsidR="00D70BAE" w:rsidRPr="004D46AC">
          <w:rPr>
            <w:rStyle w:val="af5"/>
            <w:i/>
            <w:iCs/>
            <w:noProof/>
          </w:rPr>
          <w:t>Bootstrapped statistics for edges with non-zero weights in the Mood and PLE network at wave 9</w:t>
        </w:r>
        <w:r w:rsidRPr="004D46AC">
          <w:rPr>
            <w:noProof/>
            <w:webHidden/>
          </w:rPr>
          <w:tab/>
        </w:r>
        <w:r w:rsidRPr="004D46AC">
          <w:rPr>
            <w:noProof/>
            <w:webHidden/>
          </w:rPr>
          <w:fldChar w:fldCharType="begin"/>
        </w:r>
        <w:r w:rsidRPr="004D46AC">
          <w:rPr>
            <w:noProof/>
            <w:webHidden/>
          </w:rPr>
          <w:instrText xml:space="preserve"> PAGEREF _Toc219870643 \h </w:instrText>
        </w:r>
        <w:r w:rsidRPr="004D46AC">
          <w:rPr>
            <w:noProof/>
            <w:webHidden/>
          </w:rPr>
        </w:r>
        <w:r w:rsidRPr="004D46AC">
          <w:rPr>
            <w:noProof/>
            <w:webHidden/>
          </w:rPr>
          <w:fldChar w:fldCharType="separate"/>
        </w:r>
        <w:r w:rsidR="009568EC" w:rsidRPr="004D46AC">
          <w:rPr>
            <w:noProof/>
            <w:webHidden/>
          </w:rPr>
          <w:t>453</w:t>
        </w:r>
        <w:r w:rsidRPr="004D46AC">
          <w:rPr>
            <w:noProof/>
            <w:webHidden/>
          </w:rPr>
          <w:fldChar w:fldCharType="end"/>
        </w:r>
      </w:hyperlink>
    </w:p>
    <w:p w14:paraId="047DBD38" w14:textId="0B950A0A" w:rsidR="00372FB0" w:rsidRPr="004D46AC" w:rsidRDefault="00372FB0" w:rsidP="000551CA">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4" w:history="1">
        <w:r w:rsidRPr="004D46AC">
          <w:rPr>
            <w:rStyle w:val="af5"/>
            <w:b/>
            <w:bCs/>
            <w:noProof/>
          </w:rPr>
          <w:t>Table D 4</w:t>
        </w:r>
        <w:r w:rsidR="000551CA" w:rsidRPr="004D46AC">
          <w:rPr>
            <w:noProof/>
          </w:rPr>
          <w:t xml:space="preserve"> </w:t>
        </w:r>
        <w:r w:rsidR="00D70BAE" w:rsidRPr="004D46AC">
          <w:rPr>
            <w:rStyle w:val="af5"/>
            <w:i/>
            <w:iCs/>
            <w:noProof/>
          </w:rPr>
          <w:t>Binary models regressing on Mood and PLEs across waves</w:t>
        </w:r>
        <w:r w:rsidRPr="004D46AC">
          <w:rPr>
            <w:noProof/>
            <w:webHidden/>
          </w:rPr>
          <w:tab/>
        </w:r>
        <w:r w:rsidRPr="004D46AC">
          <w:rPr>
            <w:noProof/>
            <w:webHidden/>
          </w:rPr>
          <w:fldChar w:fldCharType="begin"/>
        </w:r>
        <w:r w:rsidRPr="004D46AC">
          <w:rPr>
            <w:noProof/>
            <w:webHidden/>
          </w:rPr>
          <w:instrText xml:space="preserve"> PAGEREF _Toc219870644 \h </w:instrText>
        </w:r>
        <w:r w:rsidRPr="004D46AC">
          <w:rPr>
            <w:noProof/>
            <w:webHidden/>
          </w:rPr>
        </w:r>
        <w:r w:rsidRPr="004D46AC">
          <w:rPr>
            <w:noProof/>
            <w:webHidden/>
          </w:rPr>
          <w:fldChar w:fldCharType="separate"/>
        </w:r>
        <w:r w:rsidR="009568EC" w:rsidRPr="004D46AC">
          <w:rPr>
            <w:noProof/>
            <w:webHidden/>
          </w:rPr>
          <w:t>456</w:t>
        </w:r>
        <w:r w:rsidRPr="004D46AC">
          <w:rPr>
            <w:noProof/>
            <w:webHidden/>
          </w:rPr>
          <w:fldChar w:fldCharType="end"/>
        </w:r>
      </w:hyperlink>
    </w:p>
    <w:p w14:paraId="74ED7EA2" w14:textId="2D2CAECA" w:rsidR="00372FB0" w:rsidRPr="004D46AC" w:rsidRDefault="00372FB0" w:rsidP="00372FB0">
      <w:pPr>
        <w:pStyle w:val="1"/>
        <w:rPr>
          <w:noProof/>
        </w:rPr>
      </w:pPr>
      <w:r w:rsidRPr="004D46AC">
        <w:fldChar w:fldCharType="end"/>
      </w:r>
      <w:bookmarkStart w:id="9" w:name="OLE_LINK80"/>
      <w:r w:rsidRPr="004D46AC">
        <w:rPr>
          <w:rFonts w:hint="eastAsia"/>
        </w:rPr>
        <w:t xml:space="preserve"> </w:t>
      </w:r>
      <w:bookmarkStart w:id="10" w:name="_Toc219888743"/>
      <w:r w:rsidRPr="004D46AC">
        <w:rPr>
          <w:rFonts w:hint="eastAsia"/>
        </w:rPr>
        <w:t>List of Tables</w:t>
      </w:r>
      <w:r w:rsidRPr="004D46AC">
        <w:rPr>
          <w:rFonts w:eastAsiaTheme="minorEastAsia" w:hint="eastAsia"/>
        </w:rPr>
        <w:t xml:space="preserve"> (</w:t>
      </w:r>
      <w:r w:rsidRPr="004D46AC">
        <w:rPr>
          <w:rFonts w:eastAsiaTheme="minorEastAsia"/>
        </w:rPr>
        <w:t>Appendix</w:t>
      </w:r>
      <w:r w:rsidRPr="004D46AC">
        <w:rPr>
          <w:rFonts w:hint="eastAsia"/>
        </w:rPr>
        <w:t xml:space="preserve"> E</w:t>
      </w:r>
      <w:r w:rsidRPr="004D46AC">
        <w:rPr>
          <w:rFonts w:eastAsiaTheme="minorEastAsia" w:hint="eastAsia"/>
        </w:rPr>
        <w:t>)</w:t>
      </w:r>
      <w:bookmarkEnd w:id="10"/>
      <w:r w:rsidR="004E165A" w:rsidRPr="004D46AC">
        <w:rPr>
          <w:rFonts w:eastAsiaTheme="minorEastAsia" w:hint="eastAsia"/>
        </w:rPr>
        <w:t xml:space="preserve">  </w:t>
      </w:r>
      <w:r w:rsidRPr="004D46AC">
        <w:fldChar w:fldCharType="begin"/>
      </w:r>
      <w:r w:rsidRPr="004D46AC">
        <w:instrText xml:space="preserve"> TOC \h \z \c "Table E" </w:instrText>
      </w:r>
      <w:r w:rsidRPr="004D46AC">
        <w:fldChar w:fldCharType="separate"/>
      </w:r>
    </w:p>
    <w:p w14:paraId="561FF0E1" w14:textId="154105ED"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5" w:history="1">
        <w:r w:rsidRPr="004D46AC">
          <w:rPr>
            <w:rStyle w:val="af5"/>
            <w:b/>
            <w:bCs/>
            <w:noProof/>
          </w:rPr>
          <w:t>Table E 1</w:t>
        </w:r>
        <w:r w:rsidR="000551CA" w:rsidRPr="004D46AC">
          <w:rPr>
            <w:noProof/>
          </w:rPr>
          <w:t xml:space="preserve"> </w:t>
        </w:r>
        <w:r w:rsidR="000551CA" w:rsidRPr="004D46AC">
          <w:rPr>
            <w:rStyle w:val="af5"/>
            <w:i/>
            <w:iCs/>
            <w:noProof/>
          </w:rPr>
          <w:t>Questionnaires and criteria of at-risk features or clinical states examined in this study</w:t>
        </w:r>
        <w:r w:rsidRPr="004D46AC">
          <w:rPr>
            <w:noProof/>
            <w:webHidden/>
          </w:rPr>
          <w:tab/>
        </w:r>
        <w:r w:rsidRPr="004D46AC">
          <w:rPr>
            <w:noProof/>
            <w:webHidden/>
          </w:rPr>
          <w:fldChar w:fldCharType="begin"/>
        </w:r>
        <w:r w:rsidRPr="004D46AC">
          <w:rPr>
            <w:noProof/>
            <w:webHidden/>
          </w:rPr>
          <w:instrText xml:space="preserve"> PAGEREF _Toc219870645 \h </w:instrText>
        </w:r>
        <w:r w:rsidRPr="004D46AC">
          <w:rPr>
            <w:noProof/>
            <w:webHidden/>
          </w:rPr>
        </w:r>
        <w:r w:rsidRPr="004D46AC">
          <w:rPr>
            <w:noProof/>
            <w:webHidden/>
          </w:rPr>
          <w:fldChar w:fldCharType="separate"/>
        </w:r>
        <w:r w:rsidR="009568EC" w:rsidRPr="004D46AC">
          <w:rPr>
            <w:noProof/>
            <w:webHidden/>
          </w:rPr>
          <w:t>460</w:t>
        </w:r>
        <w:r w:rsidRPr="004D46AC">
          <w:rPr>
            <w:noProof/>
            <w:webHidden/>
          </w:rPr>
          <w:fldChar w:fldCharType="end"/>
        </w:r>
      </w:hyperlink>
    </w:p>
    <w:p w14:paraId="2268D476" w14:textId="599D468B"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6" w:history="1">
        <w:r w:rsidRPr="004D46AC">
          <w:rPr>
            <w:rStyle w:val="af5"/>
            <w:b/>
            <w:bCs/>
            <w:noProof/>
          </w:rPr>
          <w:t>Table E 2</w:t>
        </w:r>
        <w:r w:rsidR="00D70BAE" w:rsidRPr="004D46AC">
          <w:rPr>
            <w:noProof/>
          </w:rPr>
          <w:t xml:space="preserve"> </w:t>
        </w:r>
        <w:r w:rsidR="00D70BAE" w:rsidRPr="004D46AC">
          <w:rPr>
            <w:rStyle w:val="af5"/>
            <w:i/>
            <w:iCs/>
            <w:noProof/>
          </w:rPr>
          <w:t>Edge with non-zero weight in the network of at risk states among all sample</w:t>
        </w:r>
        <w:r w:rsidRPr="004D46AC">
          <w:rPr>
            <w:noProof/>
            <w:webHidden/>
          </w:rPr>
          <w:tab/>
        </w:r>
        <w:r w:rsidRPr="004D46AC">
          <w:rPr>
            <w:noProof/>
            <w:webHidden/>
          </w:rPr>
          <w:fldChar w:fldCharType="begin"/>
        </w:r>
        <w:r w:rsidRPr="004D46AC">
          <w:rPr>
            <w:noProof/>
            <w:webHidden/>
          </w:rPr>
          <w:instrText xml:space="preserve"> PAGEREF _Toc219870646 \h </w:instrText>
        </w:r>
        <w:r w:rsidRPr="004D46AC">
          <w:rPr>
            <w:noProof/>
            <w:webHidden/>
          </w:rPr>
        </w:r>
        <w:r w:rsidRPr="004D46AC">
          <w:rPr>
            <w:noProof/>
            <w:webHidden/>
          </w:rPr>
          <w:fldChar w:fldCharType="separate"/>
        </w:r>
        <w:r w:rsidR="009568EC" w:rsidRPr="004D46AC">
          <w:rPr>
            <w:noProof/>
            <w:webHidden/>
          </w:rPr>
          <w:t>485</w:t>
        </w:r>
        <w:r w:rsidRPr="004D46AC">
          <w:rPr>
            <w:noProof/>
            <w:webHidden/>
          </w:rPr>
          <w:fldChar w:fldCharType="end"/>
        </w:r>
      </w:hyperlink>
    </w:p>
    <w:p w14:paraId="2AAB7BD9" w14:textId="286D950B"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7" w:history="1">
        <w:r w:rsidRPr="004D46AC">
          <w:rPr>
            <w:rStyle w:val="af5"/>
            <w:b/>
            <w:bCs/>
            <w:noProof/>
          </w:rPr>
          <w:t>Table E 3</w:t>
        </w:r>
        <w:r w:rsidR="00D70BAE" w:rsidRPr="004D46AC">
          <w:rPr>
            <w:noProof/>
          </w:rPr>
          <w:t xml:space="preserve"> </w:t>
        </w:r>
        <w:r w:rsidR="003E095D" w:rsidRPr="004D46AC">
          <w:rPr>
            <w:noProof/>
          </w:rPr>
          <w:t>Confidence in edge presence and direction in the Bayesian network model</w:t>
        </w:r>
        <w:r w:rsidRPr="004D46AC">
          <w:rPr>
            <w:noProof/>
            <w:webHidden/>
          </w:rPr>
          <w:tab/>
        </w:r>
        <w:r w:rsidRPr="004D46AC">
          <w:rPr>
            <w:noProof/>
            <w:webHidden/>
          </w:rPr>
          <w:fldChar w:fldCharType="begin"/>
        </w:r>
        <w:r w:rsidRPr="004D46AC">
          <w:rPr>
            <w:noProof/>
            <w:webHidden/>
          </w:rPr>
          <w:instrText xml:space="preserve"> PAGEREF _Toc219870647 \h </w:instrText>
        </w:r>
        <w:r w:rsidRPr="004D46AC">
          <w:rPr>
            <w:noProof/>
            <w:webHidden/>
          </w:rPr>
        </w:r>
        <w:r w:rsidRPr="004D46AC">
          <w:rPr>
            <w:noProof/>
            <w:webHidden/>
          </w:rPr>
          <w:fldChar w:fldCharType="separate"/>
        </w:r>
        <w:r w:rsidR="009568EC" w:rsidRPr="004D46AC">
          <w:rPr>
            <w:noProof/>
            <w:webHidden/>
          </w:rPr>
          <w:t>489</w:t>
        </w:r>
        <w:r w:rsidRPr="004D46AC">
          <w:rPr>
            <w:noProof/>
            <w:webHidden/>
          </w:rPr>
          <w:fldChar w:fldCharType="end"/>
        </w:r>
      </w:hyperlink>
    </w:p>
    <w:p w14:paraId="0FBB0A87" w14:textId="107CF157"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8" w:history="1">
        <w:r w:rsidRPr="004D46AC">
          <w:rPr>
            <w:rStyle w:val="af5"/>
            <w:b/>
            <w:bCs/>
            <w:noProof/>
          </w:rPr>
          <w:t>Table E 4</w:t>
        </w:r>
        <w:r w:rsidR="00D70BAE" w:rsidRPr="004D46AC">
          <w:rPr>
            <w:noProof/>
          </w:rPr>
          <w:t xml:space="preserve"> </w:t>
        </w:r>
        <w:r w:rsidR="003E095D" w:rsidRPr="004D46AC">
          <w:rPr>
            <w:noProof/>
          </w:rPr>
          <w:t>Edges with non-zero weights in the network of at risk states among adolescents</w:t>
        </w:r>
        <w:r w:rsidRPr="004D46AC">
          <w:rPr>
            <w:noProof/>
            <w:webHidden/>
          </w:rPr>
          <w:tab/>
        </w:r>
        <w:r w:rsidRPr="004D46AC">
          <w:rPr>
            <w:noProof/>
            <w:webHidden/>
          </w:rPr>
          <w:fldChar w:fldCharType="begin"/>
        </w:r>
        <w:r w:rsidRPr="004D46AC">
          <w:rPr>
            <w:noProof/>
            <w:webHidden/>
          </w:rPr>
          <w:instrText xml:space="preserve"> PAGEREF _Toc219870648 \h </w:instrText>
        </w:r>
        <w:r w:rsidRPr="004D46AC">
          <w:rPr>
            <w:noProof/>
            <w:webHidden/>
          </w:rPr>
        </w:r>
        <w:r w:rsidRPr="004D46AC">
          <w:rPr>
            <w:noProof/>
            <w:webHidden/>
          </w:rPr>
          <w:fldChar w:fldCharType="separate"/>
        </w:r>
        <w:r w:rsidR="009568EC" w:rsidRPr="004D46AC">
          <w:rPr>
            <w:noProof/>
            <w:webHidden/>
          </w:rPr>
          <w:t>491</w:t>
        </w:r>
        <w:r w:rsidRPr="004D46AC">
          <w:rPr>
            <w:noProof/>
            <w:webHidden/>
          </w:rPr>
          <w:fldChar w:fldCharType="end"/>
        </w:r>
      </w:hyperlink>
    </w:p>
    <w:p w14:paraId="158F9697" w14:textId="21E93CF2"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49" w:history="1">
        <w:r w:rsidRPr="004D46AC">
          <w:rPr>
            <w:rStyle w:val="af5"/>
            <w:b/>
            <w:bCs/>
            <w:noProof/>
          </w:rPr>
          <w:t>Table E 5</w:t>
        </w:r>
        <w:r w:rsidR="00D70BAE" w:rsidRPr="004D46AC">
          <w:rPr>
            <w:noProof/>
          </w:rPr>
          <w:t xml:space="preserve"> </w:t>
        </w:r>
        <w:r w:rsidR="003E095D" w:rsidRPr="004D46AC">
          <w:rPr>
            <w:noProof/>
          </w:rPr>
          <w:t>Edges with non-zero weights in the network of at risk states among adults aged 18-24</w:t>
        </w:r>
        <w:r w:rsidRPr="004D46AC">
          <w:rPr>
            <w:noProof/>
            <w:webHidden/>
          </w:rPr>
          <w:tab/>
        </w:r>
        <w:r w:rsidRPr="004D46AC">
          <w:rPr>
            <w:noProof/>
            <w:webHidden/>
          </w:rPr>
          <w:fldChar w:fldCharType="begin"/>
        </w:r>
        <w:r w:rsidRPr="004D46AC">
          <w:rPr>
            <w:noProof/>
            <w:webHidden/>
          </w:rPr>
          <w:instrText xml:space="preserve"> PAGEREF _Toc219870649 \h </w:instrText>
        </w:r>
        <w:r w:rsidRPr="004D46AC">
          <w:rPr>
            <w:noProof/>
            <w:webHidden/>
          </w:rPr>
        </w:r>
        <w:r w:rsidRPr="004D46AC">
          <w:rPr>
            <w:noProof/>
            <w:webHidden/>
          </w:rPr>
          <w:fldChar w:fldCharType="separate"/>
        </w:r>
        <w:r w:rsidR="009568EC" w:rsidRPr="004D46AC">
          <w:rPr>
            <w:noProof/>
            <w:webHidden/>
          </w:rPr>
          <w:t>493</w:t>
        </w:r>
        <w:r w:rsidRPr="004D46AC">
          <w:rPr>
            <w:noProof/>
            <w:webHidden/>
          </w:rPr>
          <w:fldChar w:fldCharType="end"/>
        </w:r>
      </w:hyperlink>
    </w:p>
    <w:p w14:paraId="4090E583" w14:textId="4A936D5D"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50" w:history="1">
        <w:r w:rsidRPr="004D46AC">
          <w:rPr>
            <w:rStyle w:val="af5"/>
            <w:b/>
            <w:bCs/>
            <w:noProof/>
          </w:rPr>
          <w:t>Table E 6</w:t>
        </w:r>
        <w:r w:rsidR="003E095D" w:rsidRPr="004D46AC">
          <w:rPr>
            <w:noProof/>
          </w:rPr>
          <w:t xml:space="preserve"> </w:t>
        </w:r>
        <w:r w:rsidR="003E095D" w:rsidRPr="004D46AC">
          <w:rPr>
            <w:rStyle w:val="af5"/>
            <w:i/>
            <w:iCs/>
            <w:noProof/>
          </w:rPr>
          <w:t>Edges with non-zero weights in the network of at risk states among adults aged 25-29</w:t>
        </w:r>
        <w:r w:rsidRPr="004D46AC">
          <w:rPr>
            <w:noProof/>
            <w:webHidden/>
          </w:rPr>
          <w:tab/>
        </w:r>
        <w:r w:rsidRPr="004D46AC">
          <w:rPr>
            <w:noProof/>
            <w:webHidden/>
          </w:rPr>
          <w:fldChar w:fldCharType="begin"/>
        </w:r>
        <w:r w:rsidRPr="004D46AC">
          <w:rPr>
            <w:noProof/>
            <w:webHidden/>
          </w:rPr>
          <w:instrText xml:space="preserve"> PAGEREF _Toc219870650 \h </w:instrText>
        </w:r>
        <w:r w:rsidRPr="004D46AC">
          <w:rPr>
            <w:noProof/>
            <w:webHidden/>
          </w:rPr>
        </w:r>
        <w:r w:rsidRPr="004D46AC">
          <w:rPr>
            <w:noProof/>
            <w:webHidden/>
          </w:rPr>
          <w:fldChar w:fldCharType="separate"/>
        </w:r>
        <w:r w:rsidR="009568EC" w:rsidRPr="004D46AC">
          <w:rPr>
            <w:noProof/>
            <w:webHidden/>
          </w:rPr>
          <w:t>496</w:t>
        </w:r>
        <w:r w:rsidRPr="004D46AC">
          <w:rPr>
            <w:noProof/>
            <w:webHidden/>
          </w:rPr>
          <w:fldChar w:fldCharType="end"/>
        </w:r>
      </w:hyperlink>
    </w:p>
    <w:p w14:paraId="11C1B772" w14:textId="0DD9C44E"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51" w:history="1">
        <w:r w:rsidRPr="004D46AC">
          <w:rPr>
            <w:rStyle w:val="af5"/>
            <w:b/>
            <w:bCs/>
            <w:noProof/>
          </w:rPr>
          <w:t>Table E 7</w:t>
        </w:r>
        <w:r w:rsidR="00B56A0F" w:rsidRPr="004D46AC">
          <w:rPr>
            <w:noProof/>
          </w:rPr>
          <w:t xml:space="preserve"> </w:t>
        </w:r>
        <w:r w:rsidR="003E095D" w:rsidRPr="004D46AC">
          <w:rPr>
            <w:noProof/>
          </w:rPr>
          <w:t>Edges with non-zero weights in the network of at risk states among adults aged 30–36</w:t>
        </w:r>
        <w:r w:rsidRPr="004D46AC">
          <w:rPr>
            <w:noProof/>
            <w:webHidden/>
          </w:rPr>
          <w:tab/>
        </w:r>
        <w:r w:rsidRPr="004D46AC">
          <w:rPr>
            <w:noProof/>
            <w:webHidden/>
          </w:rPr>
          <w:fldChar w:fldCharType="begin"/>
        </w:r>
        <w:r w:rsidRPr="004D46AC">
          <w:rPr>
            <w:noProof/>
            <w:webHidden/>
          </w:rPr>
          <w:instrText xml:space="preserve"> PAGEREF _Toc219870651 \h </w:instrText>
        </w:r>
        <w:r w:rsidRPr="004D46AC">
          <w:rPr>
            <w:noProof/>
            <w:webHidden/>
          </w:rPr>
        </w:r>
        <w:r w:rsidRPr="004D46AC">
          <w:rPr>
            <w:noProof/>
            <w:webHidden/>
          </w:rPr>
          <w:fldChar w:fldCharType="separate"/>
        </w:r>
        <w:r w:rsidR="009568EC" w:rsidRPr="004D46AC">
          <w:rPr>
            <w:noProof/>
            <w:webHidden/>
          </w:rPr>
          <w:t>498</w:t>
        </w:r>
        <w:r w:rsidRPr="004D46AC">
          <w:rPr>
            <w:noProof/>
            <w:webHidden/>
          </w:rPr>
          <w:fldChar w:fldCharType="end"/>
        </w:r>
      </w:hyperlink>
    </w:p>
    <w:p w14:paraId="4FA7569F" w14:textId="7698704C"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52" w:history="1">
        <w:r w:rsidRPr="004D46AC">
          <w:rPr>
            <w:rStyle w:val="af5"/>
            <w:b/>
            <w:bCs/>
            <w:noProof/>
          </w:rPr>
          <w:t>Table</w:t>
        </w:r>
        <w:r w:rsidRPr="004D46AC">
          <w:rPr>
            <w:rStyle w:val="af5"/>
            <w:b/>
            <w:bCs/>
            <w:i/>
            <w:iCs/>
            <w:noProof/>
          </w:rPr>
          <w:t xml:space="preserve"> </w:t>
        </w:r>
        <w:r w:rsidRPr="004D46AC">
          <w:rPr>
            <w:rStyle w:val="af5"/>
            <w:b/>
            <w:bCs/>
            <w:noProof/>
          </w:rPr>
          <w:t>E</w:t>
        </w:r>
        <w:r w:rsidRPr="004D46AC">
          <w:rPr>
            <w:rStyle w:val="af5"/>
            <w:b/>
            <w:bCs/>
            <w:i/>
            <w:iCs/>
            <w:noProof/>
          </w:rPr>
          <w:t xml:space="preserve"> 8</w:t>
        </w:r>
        <w:r w:rsidR="00B56A0F" w:rsidRPr="004D46AC">
          <w:rPr>
            <w:noProof/>
          </w:rPr>
          <w:t xml:space="preserve"> </w:t>
        </w:r>
        <w:bookmarkStart w:id="11" w:name="OLE_LINK90"/>
        <w:r w:rsidR="00B56A0F" w:rsidRPr="004D46AC">
          <w:rPr>
            <w:rStyle w:val="af5"/>
            <w:i/>
            <w:iCs/>
            <w:noProof/>
          </w:rPr>
          <w:t>Edges with non-zero weights in the network of at risk states among females</w:t>
        </w:r>
        <w:bookmarkEnd w:id="11"/>
        <w:r w:rsidRPr="004D46AC">
          <w:rPr>
            <w:noProof/>
            <w:webHidden/>
          </w:rPr>
          <w:tab/>
        </w:r>
        <w:r w:rsidRPr="004D46AC">
          <w:rPr>
            <w:noProof/>
            <w:webHidden/>
          </w:rPr>
          <w:fldChar w:fldCharType="begin"/>
        </w:r>
        <w:r w:rsidRPr="004D46AC">
          <w:rPr>
            <w:noProof/>
            <w:webHidden/>
          </w:rPr>
          <w:instrText xml:space="preserve"> PAGEREF _Toc219870652 \h </w:instrText>
        </w:r>
        <w:r w:rsidRPr="004D46AC">
          <w:rPr>
            <w:noProof/>
            <w:webHidden/>
          </w:rPr>
        </w:r>
        <w:r w:rsidRPr="004D46AC">
          <w:rPr>
            <w:noProof/>
            <w:webHidden/>
          </w:rPr>
          <w:fldChar w:fldCharType="separate"/>
        </w:r>
        <w:r w:rsidR="009568EC" w:rsidRPr="004D46AC">
          <w:rPr>
            <w:noProof/>
            <w:webHidden/>
          </w:rPr>
          <w:t>501</w:t>
        </w:r>
        <w:r w:rsidRPr="004D46AC">
          <w:rPr>
            <w:noProof/>
            <w:webHidden/>
          </w:rPr>
          <w:fldChar w:fldCharType="end"/>
        </w:r>
      </w:hyperlink>
    </w:p>
    <w:p w14:paraId="61B2F32B" w14:textId="297E5828" w:rsidR="00372FB0" w:rsidRPr="004D46AC" w:rsidRDefault="00372FB0" w:rsidP="00372FB0">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70653" w:history="1">
        <w:r w:rsidRPr="004D46AC">
          <w:rPr>
            <w:rStyle w:val="af5"/>
            <w:b/>
            <w:bCs/>
            <w:noProof/>
          </w:rPr>
          <w:t>Table E 9</w:t>
        </w:r>
        <w:r w:rsidR="00B56A0F" w:rsidRPr="004D46AC">
          <w:rPr>
            <w:noProof/>
          </w:rPr>
          <w:t xml:space="preserve"> </w:t>
        </w:r>
        <w:r w:rsidR="00B56A0F" w:rsidRPr="004D46AC">
          <w:rPr>
            <w:rStyle w:val="af5"/>
            <w:i/>
            <w:iCs/>
            <w:noProof/>
          </w:rPr>
          <w:t>Edges with non-zero weights in the network of at risk states among males</w:t>
        </w:r>
        <w:r w:rsidRPr="004D46AC">
          <w:rPr>
            <w:noProof/>
            <w:webHidden/>
          </w:rPr>
          <w:tab/>
        </w:r>
        <w:r w:rsidRPr="004D46AC">
          <w:rPr>
            <w:noProof/>
            <w:webHidden/>
          </w:rPr>
          <w:fldChar w:fldCharType="begin"/>
        </w:r>
        <w:r w:rsidRPr="004D46AC">
          <w:rPr>
            <w:noProof/>
            <w:webHidden/>
          </w:rPr>
          <w:instrText xml:space="preserve"> PAGEREF _Toc219870653 \h </w:instrText>
        </w:r>
        <w:r w:rsidRPr="004D46AC">
          <w:rPr>
            <w:noProof/>
            <w:webHidden/>
          </w:rPr>
        </w:r>
        <w:r w:rsidRPr="004D46AC">
          <w:rPr>
            <w:noProof/>
            <w:webHidden/>
          </w:rPr>
          <w:fldChar w:fldCharType="separate"/>
        </w:r>
        <w:r w:rsidR="009568EC" w:rsidRPr="004D46AC">
          <w:rPr>
            <w:noProof/>
            <w:webHidden/>
          </w:rPr>
          <w:t>504</w:t>
        </w:r>
        <w:r w:rsidRPr="004D46AC">
          <w:rPr>
            <w:noProof/>
            <w:webHidden/>
          </w:rPr>
          <w:fldChar w:fldCharType="end"/>
        </w:r>
      </w:hyperlink>
    </w:p>
    <w:p w14:paraId="78DF0E88" w14:textId="77777777" w:rsidR="00A05C88" w:rsidRPr="004D46AC" w:rsidRDefault="00372FB0" w:rsidP="00372FB0">
      <w:pPr>
        <w:spacing w:line="360" w:lineRule="auto"/>
        <w:ind w:firstLine="0"/>
        <w:rPr>
          <w:sz w:val="32"/>
          <w:szCs w:val="32"/>
        </w:rPr>
        <w:sectPr w:rsidR="00A05C88" w:rsidRPr="004D46AC" w:rsidSect="003D5CB6">
          <w:pgSz w:w="11906" w:h="16838"/>
          <w:pgMar w:top="1440" w:right="1440" w:bottom="1440" w:left="1440" w:header="708" w:footer="708" w:gutter="0"/>
          <w:cols w:space="708"/>
          <w:docGrid w:linePitch="360"/>
        </w:sectPr>
      </w:pPr>
      <w:r w:rsidRPr="004D46AC">
        <w:rPr>
          <w:sz w:val="32"/>
          <w:szCs w:val="32"/>
        </w:rPr>
        <w:fldChar w:fldCharType="end"/>
      </w:r>
      <w:bookmarkEnd w:id="9"/>
    </w:p>
    <w:p w14:paraId="00C4E62D" w14:textId="46DD122B" w:rsidR="00CF6BA7" w:rsidRPr="004D46AC" w:rsidRDefault="00A05C88" w:rsidP="00A05C88">
      <w:pPr>
        <w:pStyle w:val="1"/>
        <w:rPr>
          <w:rFonts w:eastAsiaTheme="minorEastAsia"/>
        </w:rPr>
      </w:pPr>
      <w:bookmarkStart w:id="12" w:name="_Toc219888744"/>
      <w:r w:rsidRPr="004D46AC">
        <w:rPr>
          <w:rFonts w:hint="eastAsia"/>
        </w:rPr>
        <w:lastRenderedPageBreak/>
        <w:t>List of Figures (Main body)</w:t>
      </w:r>
      <w:bookmarkEnd w:id="12"/>
    </w:p>
    <w:p w14:paraId="0C1A2120" w14:textId="6A52E2DF"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r w:rsidRPr="004D46AC">
        <w:rPr>
          <w:rFonts w:eastAsiaTheme="minorEastAsia"/>
        </w:rPr>
        <w:fldChar w:fldCharType="begin"/>
      </w:r>
      <w:r w:rsidRPr="004D46AC">
        <w:rPr>
          <w:rFonts w:eastAsiaTheme="minorEastAsia"/>
        </w:rPr>
        <w:instrText xml:space="preserve"> </w:instrText>
      </w:r>
      <w:r w:rsidRPr="004D46AC">
        <w:rPr>
          <w:rFonts w:eastAsiaTheme="minorEastAsia" w:hint="eastAsia"/>
        </w:rPr>
        <w:instrText>TOC \h \z \c "Figure"</w:instrText>
      </w:r>
      <w:r w:rsidRPr="004D46AC">
        <w:rPr>
          <w:rFonts w:eastAsiaTheme="minorEastAsia"/>
        </w:rPr>
        <w:instrText xml:space="preserve"> </w:instrText>
      </w:r>
      <w:r w:rsidRPr="004D46AC">
        <w:rPr>
          <w:rFonts w:eastAsiaTheme="minorEastAsia"/>
        </w:rPr>
        <w:fldChar w:fldCharType="separate"/>
      </w:r>
      <w:hyperlink w:anchor="_Toc219884858" w:history="1">
        <w:r w:rsidRPr="004D46AC">
          <w:rPr>
            <w:rStyle w:val="af5"/>
            <w:b/>
            <w:bCs/>
            <w:noProof/>
          </w:rPr>
          <w:t>Figure 2.1</w:t>
        </w:r>
        <w:r w:rsidR="00033CC9" w:rsidRPr="004D46AC">
          <w:rPr>
            <w:noProof/>
          </w:rPr>
          <w:t xml:space="preserve"> </w:t>
        </w:r>
        <w:r w:rsidR="00033CC9" w:rsidRPr="004D46AC">
          <w:rPr>
            <w:rStyle w:val="af5"/>
            <w:i/>
            <w:iCs/>
            <w:noProof/>
          </w:rPr>
          <w:t>Flow diagram of the systematic review and meta-analyses</w:t>
        </w:r>
        <w:r w:rsidRPr="004D46AC">
          <w:rPr>
            <w:noProof/>
            <w:webHidden/>
          </w:rPr>
          <w:tab/>
        </w:r>
        <w:r w:rsidRPr="004D46AC">
          <w:rPr>
            <w:noProof/>
            <w:webHidden/>
          </w:rPr>
          <w:fldChar w:fldCharType="begin"/>
        </w:r>
        <w:r w:rsidRPr="004D46AC">
          <w:rPr>
            <w:noProof/>
            <w:webHidden/>
          </w:rPr>
          <w:instrText xml:space="preserve"> PAGEREF _Toc219884858 \h </w:instrText>
        </w:r>
        <w:r w:rsidRPr="004D46AC">
          <w:rPr>
            <w:noProof/>
            <w:webHidden/>
          </w:rPr>
        </w:r>
        <w:r w:rsidRPr="004D46AC">
          <w:rPr>
            <w:noProof/>
            <w:webHidden/>
          </w:rPr>
          <w:fldChar w:fldCharType="separate"/>
        </w:r>
        <w:r w:rsidR="009568EC" w:rsidRPr="004D46AC">
          <w:rPr>
            <w:noProof/>
            <w:webHidden/>
          </w:rPr>
          <w:t>125</w:t>
        </w:r>
        <w:r w:rsidRPr="004D46AC">
          <w:rPr>
            <w:noProof/>
            <w:webHidden/>
          </w:rPr>
          <w:fldChar w:fldCharType="end"/>
        </w:r>
      </w:hyperlink>
    </w:p>
    <w:p w14:paraId="61758E9B" w14:textId="2E4A611B"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59" w:history="1">
        <w:r w:rsidRPr="004D46AC">
          <w:rPr>
            <w:rStyle w:val="af5"/>
            <w:b/>
            <w:bCs/>
            <w:noProof/>
          </w:rPr>
          <w:t>Figure 3.1</w:t>
        </w:r>
        <w:r w:rsidR="00033CC9" w:rsidRPr="004D46AC">
          <w:rPr>
            <w:noProof/>
          </w:rPr>
          <w:t xml:space="preserve"> </w:t>
        </w:r>
        <w:r w:rsidR="00033CC9" w:rsidRPr="004D46AC">
          <w:rPr>
            <w:rStyle w:val="af5"/>
            <w:i/>
            <w:iCs/>
            <w:noProof/>
          </w:rPr>
          <w:t xml:space="preserve">Network </w:t>
        </w:r>
        <w:r w:rsidR="00033CC9" w:rsidRPr="004D46AC">
          <w:rPr>
            <w:rStyle w:val="af5"/>
            <w:rFonts w:eastAsiaTheme="minorEastAsia" w:hint="eastAsia"/>
            <w:i/>
            <w:iCs/>
            <w:noProof/>
          </w:rPr>
          <w:t>s</w:t>
        </w:r>
        <w:r w:rsidR="00033CC9" w:rsidRPr="004D46AC">
          <w:rPr>
            <w:rStyle w:val="af5"/>
            <w:i/>
            <w:iCs/>
            <w:noProof/>
          </w:rPr>
          <w:t xml:space="preserve">tructure of </w:t>
        </w:r>
        <w:r w:rsidR="00033CC9" w:rsidRPr="004D46AC">
          <w:rPr>
            <w:rStyle w:val="af5"/>
            <w:rFonts w:eastAsiaTheme="minorEastAsia" w:hint="eastAsia"/>
            <w:i/>
            <w:iCs/>
            <w:noProof/>
          </w:rPr>
          <w:t>s</w:t>
        </w:r>
        <w:r w:rsidR="00033CC9" w:rsidRPr="004D46AC">
          <w:rPr>
            <w:rStyle w:val="af5"/>
            <w:i/>
            <w:iCs/>
            <w:noProof/>
          </w:rPr>
          <w:t xml:space="preserve">elected </w:t>
        </w:r>
        <w:r w:rsidR="00033CC9" w:rsidRPr="004D46AC">
          <w:rPr>
            <w:rStyle w:val="af5"/>
            <w:rFonts w:eastAsiaTheme="minorEastAsia" w:hint="eastAsia"/>
            <w:i/>
            <w:iCs/>
            <w:noProof/>
          </w:rPr>
          <w:t>v</w:t>
        </w:r>
        <w:r w:rsidR="00033CC9" w:rsidRPr="004D46AC">
          <w:rPr>
            <w:rStyle w:val="af5"/>
            <w:i/>
            <w:iCs/>
            <w:noProof/>
          </w:rPr>
          <w:t xml:space="preserve">ariables in </w:t>
        </w:r>
        <w:r w:rsidR="00033CC9" w:rsidRPr="004D46AC">
          <w:rPr>
            <w:rStyle w:val="af5"/>
            <w:rFonts w:eastAsiaTheme="minorEastAsia" w:hint="eastAsia"/>
            <w:i/>
            <w:iCs/>
            <w:noProof/>
          </w:rPr>
          <w:t>g</w:t>
        </w:r>
        <w:r w:rsidR="00033CC9" w:rsidRPr="004D46AC">
          <w:rPr>
            <w:rStyle w:val="af5"/>
            <w:i/>
            <w:iCs/>
            <w:noProof/>
          </w:rPr>
          <w:t xml:space="preserve">eneral and </w:t>
        </w:r>
        <w:r w:rsidR="00033CC9" w:rsidRPr="004D46AC">
          <w:rPr>
            <w:rStyle w:val="af5"/>
            <w:rFonts w:eastAsiaTheme="minorEastAsia" w:hint="eastAsia"/>
            <w:i/>
            <w:iCs/>
            <w:noProof/>
          </w:rPr>
          <w:t>p</w:t>
        </w:r>
        <w:r w:rsidR="00033CC9" w:rsidRPr="004D46AC">
          <w:rPr>
            <w:rStyle w:val="af5"/>
            <w:i/>
            <w:iCs/>
            <w:noProof/>
          </w:rPr>
          <w:t xml:space="preserve">sychotic </w:t>
        </w:r>
        <w:r w:rsidR="00033CC9" w:rsidRPr="004D46AC">
          <w:rPr>
            <w:rStyle w:val="af5"/>
            <w:rFonts w:eastAsiaTheme="minorEastAsia" w:hint="eastAsia"/>
            <w:i/>
            <w:iCs/>
            <w:noProof/>
          </w:rPr>
          <w:t>p</w:t>
        </w:r>
        <w:r w:rsidR="00033CC9" w:rsidRPr="004D46AC">
          <w:rPr>
            <w:rStyle w:val="af5"/>
            <w:i/>
            <w:iCs/>
            <w:noProof/>
          </w:rPr>
          <w:t>atients</w:t>
        </w:r>
        <w:r w:rsidRPr="004D46AC">
          <w:rPr>
            <w:noProof/>
            <w:webHidden/>
          </w:rPr>
          <w:tab/>
        </w:r>
        <w:r w:rsidRPr="004D46AC">
          <w:rPr>
            <w:noProof/>
            <w:webHidden/>
          </w:rPr>
          <w:fldChar w:fldCharType="begin"/>
        </w:r>
        <w:r w:rsidRPr="004D46AC">
          <w:rPr>
            <w:noProof/>
            <w:webHidden/>
          </w:rPr>
          <w:instrText xml:space="preserve"> PAGEREF _Toc219884859 \h </w:instrText>
        </w:r>
        <w:r w:rsidRPr="004D46AC">
          <w:rPr>
            <w:noProof/>
            <w:webHidden/>
          </w:rPr>
        </w:r>
        <w:r w:rsidRPr="004D46AC">
          <w:rPr>
            <w:noProof/>
            <w:webHidden/>
          </w:rPr>
          <w:fldChar w:fldCharType="separate"/>
        </w:r>
        <w:r w:rsidR="009568EC" w:rsidRPr="004D46AC">
          <w:rPr>
            <w:noProof/>
            <w:webHidden/>
          </w:rPr>
          <w:t>169</w:t>
        </w:r>
        <w:r w:rsidRPr="004D46AC">
          <w:rPr>
            <w:noProof/>
            <w:webHidden/>
          </w:rPr>
          <w:fldChar w:fldCharType="end"/>
        </w:r>
      </w:hyperlink>
    </w:p>
    <w:p w14:paraId="75ECC32C" w14:textId="035932B0"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0" w:history="1">
        <w:r w:rsidRPr="004D46AC">
          <w:rPr>
            <w:rStyle w:val="af5"/>
            <w:b/>
            <w:bCs/>
            <w:noProof/>
          </w:rPr>
          <w:t>Figure 3.2</w:t>
        </w:r>
        <w:r w:rsidR="00033CC9" w:rsidRPr="004D46AC">
          <w:rPr>
            <w:noProof/>
          </w:rPr>
          <w:t xml:space="preserve"> </w:t>
        </w:r>
        <w:r w:rsidR="00033CC9" w:rsidRPr="004D46AC">
          <w:rPr>
            <w:rStyle w:val="af5"/>
            <w:i/>
            <w:iCs/>
            <w:noProof/>
          </w:rPr>
          <w:t>Node centralities of the estimated network models</w:t>
        </w:r>
        <w:r w:rsidRPr="004D46AC">
          <w:rPr>
            <w:noProof/>
            <w:webHidden/>
          </w:rPr>
          <w:tab/>
        </w:r>
        <w:r w:rsidRPr="004D46AC">
          <w:rPr>
            <w:noProof/>
            <w:webHidden/>
          </w:rPr>
          <w:fldChar w:fldCharType="begin"/>
        </w:r>
        <w:r w:rsidRPr="004D46AC">
          <w:rPr>
            <w:noProof/>
            <w:webHidden/>
          </w:rPr>
          <w:instrText xml:space="preserve"> PAGEREF _Toc219884860 \h </w:instrText>
        </w:r>
        <w:r w:rsidRPr="004D46AC">
          <w:rPr>
            <w:noProof/>
            <w:webHidden/>
          </w:rPr>
        </w:r>
        <w:r w:rsidRPr="004D46AC">
          <w:rPr>
            <w:noProof/>
            <w:webHidden/>
          </w:rPr>
          <w:fldChar w:fldCharType="separate"/>
        </w:r>
        <w:r w:rsidR="009568EC" w:rsidRPr="004D46AC">
          <w:rPr>
            <w:noProof/>
            <w:webHidden/>
          </w:rPr>
          <w:t>171</w:t>
        </w:r>
        <w:r w:rsidRPr="004D46AC">
          <w:rPr>
            <w:noProof/>
            <w:webHidden/>
          </w:rPr>
          <w:fldChar w:fldCharType="end"/>
        </w:r>
      </w:hyperlink>
    </w:p>
    <w:p w14:paraId="17085A49" w14:textId="56A087A1"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1" w:history="1">
        <w:r w:rsidRPr="004D46AC">
          <w:rPr>
            <w:rStyle w:val="af5"/>
            <w:b/>
            <w:bCs/>
            <w:noProof/>
          </w:rPr>
          <w:t>Figure 3.3</w:t>
        </w:r>
        <w:r w:rsidR="00033CC9" w:rsidRPr="004D46AC">
          <w:rPr>
            <w:noProof/>
          </w:rPr>
          <w:t xml:space="preserve"> </w:t>
        </w:r>
        <w:r w:rsidR="00033CC9" w:rsidRPr="004D46AC">
          <w:rPr>
            <w:rStyle w:val="af5"/>
            <w:i/>
            <w:iCs/>
            <w:noProof/>
          </w:rPr>
          <w:t>The empirical network communities of affective and psychotic syndromes in all patients and subgroups</w:t>
        </w:r>
        <w:r w:rsidRPr="004D46AC">
          <w:rPr>
            <w:noProof/>
            <w:webHidden/>
          </w:rPr>
          <w:tab/>
        </w:r>
        <w:r w:rsidRPr="004D46AC">
          <w:rPr>
            <w:noProof/>
            <w:webHidden/>
          </w:rPr>
          <w:fldChar w:fldCharType="begin"/>
        </w:r>
        <w:r w:rsidRPr="004D46AC">
          <w:rPr>
            <w:noProof/>
            <w:webHidden/>
          </w:rPr>
          <w:instrText xml:space="preserve"> PAGEREF _Toc219884861 \h </w:instrText>
        </w:r>
        <w:r w:rsidRPr="004D46AC">
          <w:rPr>
            <w:noProof/>
            <w:webHidden/>
          </w:rPr>
        </w:r>
        <w:r w:rsidRPr="004D46AC">
          <w:rPr>
            <w:noProof/>
            <w:webHidden/>
          </w:rPr>
          <w:fldChar w:fldCharType="separate"/>
        </w:r>
        <w:r w:rsidR="009568EC" w:rsidRPr="004D46AC">
          <w:rPr>
            <w:noProof/>
            <w:webHidden/>
          </w:rPr>
          <w:t>174</w:t>
        </w:r>
        <w:r w:rsidRPr="004D46AC">
          <w:rPr>
            <w:noProof/>
            <w:webHidden/>
          </w:rPr>
          <w:fldChar w:fldCharType="end"/>
        </w:r>
      </w:hyperlink>
    </w:p>
    <w:p w14:paraId="367C5A31" w14:textId="4BC95F91"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2" w:history="1">
        <w:r w:rsidRPr="004D46AC">
          <w:rPr>
            <w:rStyle w:val="af5"/>
            <w:b/>
            <w:bCs/>
            <w:noProof/>
          </w:rPr>
          <w:t>Figure 4.1</w:t>
        </w:r>
        <w:r w:rsidR="00033CC9" w:rsidRPr="004D46AC">
          <w:rPr>
            <w:noProof/>
          </w:rPr>
          <w:t xml:space="preserve"> </w:t>
        </w:r>
        <w:r w:rsidR="00033CC9" w:rsidRPr="004D46AC">
          <w:rPr>
            <w:rStyle w:val="af5"/>
            <w:i/>
            <w:iCs/>
            <w:noProof/>
          </w:rPr>
          <w:t>Diagram of the regression models</w:t>
        </w:r>
        <w:r w:rsidRPr="004D46AC">
          <w:rPr>
            <w:noProof/>
            <w:webHidden/>
          </w:rPr>
          <w:tab/>
        </w:r>
        <w:r w:rsidRPr="004D46AC">
          <w:rPr>
            <w:noProof/>
            <w:webHidden/>
          </w:rPr>
          <w:fldChar w:fldCharType="begin"/>
        </w:r>
        <w:r w:rsidRPr="004D46AC">
          <w:rPr>
            <w:noProof/>
            <w:webHidden/>
          </w:rPr>
          <w:instrText xml:space="preserve"> PAGEREF _Toc219884862 \h </w:instrText>
        </w:r>
        <w:r w:rsidRPr="004D46AC">
          <w:rPr>
            <w:noProof/>
            <w:webHidden/>
          </w:rPr>
        </w:r>
        <w:r w:rsidRPr="004D46AC">
          <w:rPr>
            <w:noProof/>
            <w:webHidden/>
          </w:rPr>
          <w:fldChar w:fldCharType="separate"/>
        </w:r>
        <w:r w:rsidR="009568EC" w:rsidRPr="004D46AC">
          <w:rPr>
            <w:noProof/>
            <w:webHidden/>
          </w:rPr>
          <w:t>203</w:t>
        </w:r>
        <w:r w:rsidRPr="004D46AC">
          <w:rPr>
            <w:noProof/>
            <w:webHidden/>
          </w:rPr>
          <w:fldChar w:fldCharType="end"/>
        </w:r>
      </w:hyperlink>
    </w:p>
    <w:p w14:paraId="5B9CE211" w14:textId="73E69BC2"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3" w:history="1">
        <w:r w:rsidRPr="004D46AC">
          <w:rPr>
            <w:rStyle w:val="af5"/>
            <w:b/>
            <w:bCs/>
            <w:noProof/>
          </w:rPr>
          <w:t>Figure 4.2</w:t>
        </w:r>
        <w:r w:rsidR="00033CC9" w:rsidRPr="004D46AC">
          <w:rPr>
            <w:i/>
            <w:iCs/>
            <w:noProof/>
          </w:rPr>
          <w:t xml:space="preserve"> </w:t>
        </w:r>
        <w:r w:rsidR="00033CC9" w:rsidRPr="004D46AC">
          <w:rPr>
            <w:rStyle w:val="af5"/>
            <w:i/>
            <w:iCs/>
            <w:noProof/>
          </w:rPr>
          <w:t>Networks of Mood and PLEs across waves</w:t>
        </w:r>
        <w:r w:rsidRPr="004D46AC">
          <w:rPr>
            <w:noProof/>
            <w:webHidden/>
          </w:rPr>
          <w:tab/>
        </w:r>
        <w:r w:rsidRPr="004D46AC">
          <w:rPr>
            <w:noProof/>
            <w:webHidden/>
          </w:rPr>
          <w:fldChar w:fldCharType="begin"/>
        </w:r>
        <w:r w:rsidRPr="004D46AC">
          <w:rPr>
            <w:noProof/>
            <w:webHidden/>
          </w:rPr>
          <w:instrText xml:space="preserve"> PAGEREF _Toc219884863 \h </w:instrText>
        </w:r>
        <w:r w:rsidRPr="004D46AC">
          <w:rPr>
            <w:noProof/>
            <w:webHidden/>
          </w:rPr>
        </w:r>
        <w:r w:rsidRPr="004D46AC">
          <w:rPr>
            <w:noProof/>
            <w:webHidden/>
          </w:rPr>
          <w:fldChar w:fldCharType="separate"/>
        </w:r>
        <w:r w:rsidR="009568EC" w:rsidRPr="004D46AC">
          <w:rPr>
            <w:noProof/>
            <w:webHidden/>
          </w:rPr>
          <w:t>206</w:t>
        </w:r>
        <w:r w:rsidRPr="004D46AC">
          <w:rPr>
            <w:noProof/>
            <w:webHidden/>
          </w:rPr>
          <w:fldChar w:fldCharType="end"/>
        </w:r>
      </w:hyperlink>
    </w:p>
    <w:p w14:paraId="2C997EF8" w14:textId="3F8CFAD9"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4" w:history="1">
        <w:r w:rsidRPr="004D46AC">
          <w:rPr>
            <w:rStyle w:val="af5"/>
            <w:b/>
            <w:bCs/>
            <w:noProof/>
          </w:rPr>
          <w:t>Figure 4.3</w:t>
        </w:r>
        <w:r w:rsidR="00033CC9" w:rsidRPr="004D46AC">
          <w:rPr>
            <w:noProof/>
          </w:rPr>
          <w:t xml:space="preserve"> </w:t>
        </w:r>
        <w:r w:rsidR="00033CC9" w:rsidRPr="004D46AC">
          <w:rPr>
            <w:rStyle w:val="af5"/>
            <w:i/>
            <w:iCs/>
            <w:noProof/>
          </w:rPr>
          <w:t>A summary plot of the significant predictors for primary symptoms</w:t>
        </w:r>
        <w:r w:rsidRPr="004D46AC">
          <w:rPr>
            <w:noProof/>
            <w:webHidden/>
          </w:rPr>
          <w:tab/>
        </w:r>
        <w:r w:rsidRPr="004D46AC">
          <w:rPr>
            <w:noProof/>
            <w:webHidden/>
          </w:rPr>
          <w:fldChar w:fldCharType="begin"/>
        </w:r>
        <w:r w:rsidRPr="004D46AC">
          <w:rPr>
            <w:noProof/>
            <w:webHidden/>
          </w:rPr>
          <w:instrText xml:space="preserve"> PAGEREF _Toc219884864 \h </w:instrText>
        </w:r>
        <w:r w:rsidRPr="004D46AC">
          <w:rPr>
            <w:noProof/>
            <w:webHidden/>
          </w:rPr>
        </w:r>
        <w:r w:rsidRPr="004D46AC">
          <w:rPr>
            <w:noProof/>
            <w:webHidden/>
          </w:rPr>
          <w:fldChar w:fldCharType="separate"/>
        </w:r>
        <w:r w:rsidR="009568EC" w:rsidRPr="004D46AC">
          <w:rPr>
            <w:noProof/>
            <w:webHidden/>
          </w:rPr>
          <w:t>213</w:t>
        </w:r>
        <w:r w:rsidRPr="004D46AC">
          <w:rPr>
            <w:noProof/>
            <w:webHidden/>
          </w:rPr>
          <w:fldChar w:fldCharType="end"/>
        </w:r>
      </w:hyperlink>
    </w:p>
    <w:p w14:paraId="17A8ACF0" w14:textId="203CFD1E"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5" w:history="1">
        <w:r w:rsidRPr="004D46AC">
          <w:rPr>
            <w:rStyle w:val="af5"/>
            <w:b/>
            <w:bCs/>
            <w:noProof/>
          </w:rPr>
          <w:t>Figure 5.1</w:t>
        </w:r>
        <w:r w:rsidR="00033CC9" w:rsidRPr="004D46AC">
          <w:rPr>
            <w:noProof/>
          </w:rPr>
          <w:t xml:space="preserve"> </w:t>
        </w:r>
        <w:r w:rsidR="00033CC9" w:rsidRPr="004D46AC">
          <w:rPr>
            <w:rStyle w:val="af5"/>
            <w:i/>
            <w:iCs/>
            <w:noProof/>
          </w:rPr>
          <w:t>Workflow of content-driven item selection and psychometric validation of the TRACE scale</w:t>
        </w:r>
        <w:r w:rsidRPr="004D46AC">
          <w:rPr>
            <w:noProof/>
            <w:webHidden/>
          </w:rPr>
          <w:tab/>
        </w:r>
        <w:r w:rsidRPr="004D46AC">
          <w:rPr>
            <w:noProof/>
            <w:webHidden/>
          </w:rPr>
          <w:fldChar w:fldCharType="begin"/>
        </w:r>
        <w:r w:rsidRPr="004D46AC">
          <w:rPr>
            <w:noProof/>
            <w:webHidden/>
          </w:rPr>
          <w:instrText xml:space="preserve"> PAGEREF _Toc219884865 \h </w:instrText>
        </w:r>
        <w:r w:rsidRPr="004D46AC">
          <w:rPr>
            <w:noProof/>
            <w:webHidden/>
          </w:rPr>
        </w:r>
        <w:r w:rsidRPr="004D46AC">
          <w:rPr>
            <w:noProof/>
            <w:webHidden/>
          </w:rPr>
          <w:fldChar w:fldCharType="separate"/>
        </w:r>
        <w:r w:rsidR="009568EC" w:rsidRPr="004D46AC">
          <w:rPr>
            <w:noProof/>
            <w:webHidden/>
          </w:rPr>
          <w:t>243</w:t>
        </w:r>
        <w:r w:rsidRPr="004D46AC">
          <w:rPr>
            <w:noProof/>
            <w:webHidden/>
          </w:rPr>
          <w:fldChar w:fldCharType="end"/>
        </w:r>
      </w:hyperlink>
    </w:p>
    <w:p w14:paraId="3CFF398C" w14:textId="7E15CE47"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6" w:history="1">
        <w:r w:rsidRPr="004D46AC">
          <w:rPr>
            <w:rStyle w:val="af5"/>
            <w:b/>
            <w:bCs/>
            <w:noProof/>
          </w:rPr>
          <w:t>Figure 5.2</w:t>
        </w:r>
        <w:r w:rsidR="00033CC9" w:rsidRPr="004D46AC">
          <w:rPr>
            <w:noProof/>
          </w:rPr>
          <w:t xml:space="preserve"> </w:t>
        </w:r>
        <w:r w:rsidR="00033CC9" w:rsidRPr="004D46AC">
          <w:rPr>
            <w:rStyle w:val="af5"/>
            <w:i/>
            <w:iCs/>
            <w:noProof/>
          </w:rPr>
          <w:t>The empirical structure obtained from EGA for the remaining TRACE items</w:t>
        </w:r>
        <w:r w:rsidRPr="004D46AC">
          <w:rPr>
            <w:noProof/>
            <w:webHidden/>
          </w:rPr>
          <w:tab/>
        </w:r>
        <w:r w:rsidRPr="004D46AC">
          <w:rPr>
            <w:noProof/>
            <w:webHidden/>
          </w:rPr>
          <w:fldChar w:fldCharType="begin"/>
        </w:r>
        <w:r w:rsidRPr="004D46AC">
          <w:rPr>
            <w:noProof/>
            <w:webHidden/>
          </w:rPr>
          <w:instrText xml:space="preserve"> PAGEREF _Toc219884866 \h </w:instrText>
        </w:r>
        <w:r w:rsidRPr="004D46AC">
          <w:rPr>
            <w:noProof/>
            <w:webHidden/>
          </w:rPr>
        </w:r>
        <w:r w:rsidRPr="004D46AC">
          <w:rPr>
            <w:noProof/>
            <w:webHidden/>
          </w:rPr>
          <w:fldChar w:fldCharType="separate"/>
        </w:r>
        <w:r w:rsidR="009568EC" w:rsidRPr="004D46AC">
          <w:rPr>
            <w:noProof/>
            <w:webHidden/>
          </w:rPr>
          <w:t>256</w:t>
        </w:r>
        <w:r w:rsidRPr="004D46AC">
          <w:rPr>
            <w:noProof/>
            <w:webHidden/>
          </w:rPr>
          <w:fldChar w:fldCharType="end"/>
        </w:r>
      </w:hyperlink>
    </w:p>
    <w:p w14:paraId="264F78D7" w14:textId="4A48562E"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7" w:history="1">
        <w:r w:rsidRPr="004D46AC">
          <w:rPr>
            <w:rStyle w:val="af5"/>
            <w:b/>
            <w:bCs/>
            <w:noProof/>
          </w:rPr>
          <w:t>Figure 5.3</w:t>
        </w:r>
        <w:r w:rsidR="00033CC9" w:rsidRPr="004D46AC">
          <w:rPr>
            <w:noProof/>
          </w:rPr>
          <w:t xml:space="preserve"> </w:t>
        </w:r>
        <w:r w:rsidR="00033CC9" w:rsidRPr="004D46AC">
          <w:rPr>
            <w:rStyle w:val="af5"/>
            <w:i/>
            <w:iCs/>
            <w:noProof/>
          </w:rPr>
          <w:t>Response patterns by risk groups</w:t>
        </w:r>
        <w:r w:rsidRPr="004D46AC">
          <w:rPr>
            <w:noProof/>
            <w:webHidden/>
          </w:rPr>
          <w:tab/>
        </w:r>
        <w:r w:rsidRPr="004D46AC">
          <w:rPr>
            <w:noProof/>
            <w:webHidden/>
          </w:rPr>
          <w:fldChar w:fldCharType="begin"/>
        </w:r>
        <w:r w:rsidRPr="004D46AC">
          <w:rPr>
            <w:noProof/>
            <w:webHidden/>
          </w:rPr>
          <w:instrText xml:space="preserve"> PAGEREF _Toc219884867 \h </w:instrText>
        </w:r>
        <w:r w:rsidRPr="004D46AC">
          <w:rPr>
            <w:noProof/>
            <w:webHidden/>
          </w:rPr>
        </w:r>
        <w:r w:rsidRPr="004D46AC">
          <w:rPr>
            <w:noProof/>
            <w:webHidden/>
          </w:rPr>
          <w:fldChar w:fldCharType="separate"/>
        </w:r>
        <w:r w:rsidR="009568EC" w:rsidRPr="004D46AC">
          <w:rPr>
            <w:noProof/>
            <w:webHidden/>
          </w:rPr>
          <w:t>260</w:t>
        </w:r>
        <w:r w:rsidRPr="004D46AC">
          <w:rPr>
            <w:noProof/>
            <w:webHidden/>
          </w:rPr>
          <w:fldChar w:fldCharType="end"/>
        </w:r>
      </w:hyperlink>
    </w:p>
    <w:p w14:paraId="51DBA6CC" w14:textId="59BF9811"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8" w:history="1">
        <w:r w:rsidRPr="004D46AC">
          <w:rPr>
            <w:rStyle w:val="af5"/>
            <w:b/>
            <w:bCs/>
            <w:noProof/>
          </w:rPr>
          <w:t>Figure 5.4</w:t>
        </w:r>
        <w:r w:rsidR="00033CC9" w:rsidRPr="004D46AC">
          <w:rPr>
            <w:noProof/>
          </w:rPr>
          <w:t xml:space="preserve"> </w:t>
        </w:r>
        <w:r w:rsidR="00033CC9" w:rsidRPr="004D46AC">
          <w:rPr>
            <w:rStyle w:val="af5"/>
            <w:i/>
            <w:iCs/>
            <w:noProof/>
          </w:rPr>
          <w:t>The Ising Model (IM) network structure of prodromal symptoms</w:t>
        </w:r>
        <w:r w:rsidRPr="004D46AC">
          <w:rPr>
            <w:noProof/>
            <w:webHidden/>
          </w:rPr>
          <w:tab/>
        </w:r>
        <w:r w:rsidRPr="004D46AC">
          <w:rPr>
            <w:noProof/>
            <w:webHidden/>
          </w:rPr>
          <w:fldChar w:fldCharType="begin"/>
        </w:r>
        <w:r w:rsidRPr="004D46AC">
          <w:rPr>
            <w:noProof/>
            <w:webHidden/>
          </w:rPr>
          <w:instrText xml:space="preserve"> PAGEREF _Toc219884868 \h </w:instrText>
        </w:r>
        <w:r w:rsidRPr="004D46AC">
          <w:rPr>
            <w:noProof/>
            <w:webHidden/>
          </w:rPr>
        </w:r>
        <w:r w:rsidRPr="004D46AC">
          <w:rPr>
            <w:noProof/>
            <w:webHidden/>
          </w:rPr>
          <w:fldChar w:fldCharType="separate"/>
        </w:r>
        <w:r w:rsidR="009568EC" w:rsidRPr="004D46AC">
          <w:rPr>
            <w:noProof/>
            <w:webHidden/>
          </w:rPr>
          <w:t>265</w:t>
        </w:r>
        <w:r w:rsidRPr="004D46AC">
          <w:rPr>
            <w:noProof/>
            <w:webHidden/>
          </w:rPr>
          <w:fldChar w:fldCharType="end"/>
        </w:r>
      </w:hyperlink>
    </w:p>
    <w:p w14:paraId="729AC004" w14:textId="354E0BAC"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69" w:history="1">
        <w:r w:rsidRPr="004D46AC">
          <w:rPr>
            <w:rStyle w:val="af5"/>
            <w:b/>
            <w:bCs/>
            <w:noProof/>
          </w:rPr>
          <w:t>Figure 5.5</w:t>
        </w:r>
        <w:r w:rsidR="00033CC9" w:rsidRPr="004D46AC">
          <w:rPr>
            <w:noProof/>
          </w:rPr>
          <w:t xml:space="preserve"> </w:t>
        </w:r>
        <w:r w:rsidR="00033CC9" w:rsidRPr="004D46AC">
          <w:rPr>
            <w:rStyle w:val="af5"/>
            <w:i/>
            <w:iCs/>
            <w:noProof/>
          </w:rPr>
          <w:t>Node centralities in the IM network structure</w:t>
        </w:r>
        <w:r w:rsidRPr="004D46AC">
          <w:rPr>
            <w:noProof/>
            <w:webHidden/>
          </w:rPr>
          <w:tab/>
        </w:r>
        <w:r w:rsidRPr="004D46AC">
          <w:rPr>
            <w:noProof/>
            <w:webHidden/>
          </w:rPr>
          <w:fldChar w:fldCharType="begin"/>
        </w:r>
        <w:r w:rsidRPr="004D46AC">
          <w:rPr>
            <w:noProof/>
            <w:webHidden/>
          </w:rPr>
          <w:instrText xml:space="preserve"> PAGEREF _Toc219884869 \h </w:instrText>
        </w:r>
        <w:r w:rsidRPr="004D46AC">
          <w:rPr>
            <w:noProof/>
            <w:webHidden/>
          </w:rPr>
        </w:r>
        <w:r w:rsidRPr="004D46AC">
          <w:rPr>
            <w:noProof/>
            <w:webHidden/>
          </w:rPr>
          <w:fldChar w:fldCharType="separate"/>
        </w:r>
        <w:r w:rsidR="009568EC" w:rsidRPr="004D46AC">
          <w:rPr>
            <w:noProof/>
            <w:webHidden/>
          </w:rPr>
          <w:t>266</w:t>
        </w:r>
        <w:r w:rsidRPr="004D46AC">
          <w:rPr>
            <w:noProof/>
            <w:webHidden/>
          </w:rPr>
          <w:fldChar w:fldCharType="end"/>
        </w:r>
      </w:hyperlink>
    </w:p>
    <w:p w14:paraId="35C5467A" w14:textId="45F08FBE"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70" w:history="1">
        <w:r w:rsidRPr="004D46AC">
          <w:rPr>
            <w:rStyle w:val="af5"/>
            <w:b/>
            <w:bCs/>
            <w:noProof/>
          </w:rPr>
          <w:t>Figure 5.6</w:t>
        </w:r>
        <w:r w:rsidR="00071810" w:rsidRPr="004D46AC">
          <w:rPr>
            <w:noProof/>
          </w:rPr>
          <w:t xml:space="preserve"> </w:t>
        </w:r>
        <w:r w:rsidR="00071810" w:rsidRPr="004D46AC">
          <w:rPr>
            <w:rStyle w:val="af5"/>
            <w:i/>
            <w:iCs/>
            <w:noProof/>
          </w:rPr>
          <w:t>The Bayesian Network (BN) structure of at-risk symptoms</w:t>
        </w:r>
        <w:r w:rsidRPr="004D46AC">
          <w:rPr>
            <w:noProof/>
            <w:webHidden/>
          </w:rPr>
          <w:tab/>
        </w:r>
        <w:r w:rsidRPr="004D46AC">
          <w:rPr>
            <w:noProof/>
            <w:webHidden/>
          </w:rPr>
          <w:fldChar w:fldCharType="begin"/>
        </w:r>
        <w:r w:rsidRPr="004D46AC">
          <w:rPr>
            <w:noProof/>
            <w:webHidden/>
          </w:rPr>
          <w:instrText xml:space="preserve"> PAGEREF _Toc219884870 \h </w:instrText>
        </w:r>
        <w:r w:rsidRPr="004D46AC">
          <w:rPr>
            <w:noProof/>
            <w:webHidden/>
          </w:rPr>
        </w:r>
        <w:r w:rsidRPr="004D46AC">
          <w:rPr>
            <w:noProof/>
            <w:webHidden/>
          </w:rPr>
          <w:fldChar w:fldCharType="separate"/>
        </w:r>
        <w:r w:rsidR="009568EC" w:rsidRPr="004D46AC">
          <w:rPr>
            <w:noProof/>
            <w:webHidden/>
          </w:rPr>
          <w:t>268</w:t>
        </w:r>
        <w:r w:rsidRPr="004D46AC">
          <w:rPr>
            <w:noProof/>
            <w:webHidden/>
          </w:rPr>
          <w:fldChar w:fldCharType="end"/>
        </w:r>
      </w:hyperlink>
    </w:p>
    <w:p w14:paraId="6C2D74E2" w14:textId="510E57F0"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71" w:history="1">
        <w:r w:rsidRPr="004D46AC">
          <w:rPr>
            <w:rStyle w:val="af5"/>
            <w:b/>
            <w:bCs/>
            <w:noProof/>
          </w:rPr>
          <w:t>Figure 6.1</w:t>
        </w:r>
        <w:r w:rsidR="00071810" w:rsidRPr="004D46AC">
          <w:rPr>
            <w:noProof/>
          </w:rPr>
          <w:t xml:space="preserve"> </w:t>
        </w:r>
        <w:r w:rsidR="00071810" w:rsidRPr="004D46AC">
          <w:rPr>
            <w:rStyle w:val="af5"/>
            <w:i/>
            <w:iCs/>
            <w:noProof/>
          </w:rPr>
          <w:t>The hypothesised psychopathological models following network modelling and findings from this thesis</w:t>
        </w:r>
        <w:r w:rsidRPr="004D46AC">
          <w:rPr>
            <w:noProof/>
            <w:webHidden/>
          </w:rPr>
          <w:tab/>
        </w:r>
        <w:r w:rsidRPr="004D46AC">
          <w:rPr>
            <w:noProof/>
            <w:webHidden/>
          </w:rPr>
          <w:fldChar w:fldCharType="begin"/>
        </w:r>
        <w:r w:rsidRPr="004D46AC">
          <w:rPr>
            <w:noProof/>
            <w:webHidden/>
          </w:rPr>
          <w:instrText xml:space="preserve"> PAGEREF _Toc219884871 \h </w:instrText>
        </w:r>
        <w:r w:rsidRPr="004D46AC">
          <w:rPr>
            <w:noProof/>
            <w:webHidden/>
          </w:rPr>
        </w:r>
        <w:r w:rsidRPr="004D46AC">
          <w:rPr>
            <w:noProof/>
            <w:webHidden/>
          </w:rPr>
          <w:fldChar w:fldCharType="separate"/>
        </w:r>
        <w:r w:rsidR="009568EC" w:rsidRPr="004D46AC">
          <w:rPr>
            <w:noProof/>
            <w:webHidden/>
          </w:rPr>
          <w:t>312</w:t>
        </w:r>
        <w:r w:rsidRPr="004D46AC">
          <w:rPr>
            <w:noProof/>
            <w:webHidden/>
          </w:rPr>
          <w:fldChar w:fldCharType="end"/>
        </w:r>
      </w:hyperlink>
    </w:p>
    <w:p w14:paraId="26E9F5A5" w14:textId="003C2817" w:rsidR="00B34E55" w:rsidRPr="004D46AC" w:rsidRDefault="00B34E55"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4872" w:history="1">
        <w:r w:rsidRPr="004D46AC">
          <w:rPr>
            <w:rStyle w:val="af5"/>
            <w:b/>
            <w:bCs/>
            <w:noProof/>
          </w:rPr>
          <w:t>Figure 6.2</w:t>
        </w:r>
        <w:r w:rsidR="00071810" w:rsidRPr="004D46AC">
          <w:rPr>
            <w:noProof/>
          </w:rPr>
          <w:t xml:space="preserve"> </w:t>
        </w:r>
        <w:r w:rsidR="00071810" w:rsidRPr="004D46AC">
          <w:rPr>
            <w:rStyle w:val="af5"/>
            <w:i/>
            <w:iCs/>
            <w:noProof/>
          </w:rPr>
          <w:t>A hierarchical model integrating transdiagnostic and categorical approaches</w:t>
        </w:r>
        <w:r w:rsidRPr="004D46AC">
          <w:rPr>
            <w:noProof/>
            <w:webHidden/>
          </w:rPr>
          <w:tab/>
        </w:r>
        <w:r w:rsidRPr="004D46AC">
          <w:rPr>
            <w:noProof/>
            <w:webHidden/>
          </w:rPr>
          <w:fldChar w:fldCharType="begin"/>
        </w:r>
        <w:r w:rsidRPr="004D46AC">
          <w:rPr>
            <w:noProof/>
            <w:webHidden/>
          </w:rPr>
          <w:instrText xml:space="preserve"> PAGEREF _Toc219884872 \h </w:instrText>
        </w:r>
        <w:r w:rsidRPr="004D46AC">
          <w:rPr>
            <w:noProof/>
            <w:webHidden/>
          </w:rPr>
        </w:r>
        <w:r w:rsidRPr="004D46AC">
          <w:rPr>
            <w:noProof/>
            <w:webHidden/>
          </w:rPr>
          <w:fldChar w:fldCharType="separate"/>
        </w:r>
        <w:r w:rsidR="009568EC" w:rsidRPr="004D46AC">
          <w:rPr>
            <w:noProof/>
            <w:webHidden/>
          </w:rPr>
          <w:t>314</w:t>
        </w:r>
        <w:r w:rsidRPr="004D46AC">
          <w:rPr>
            <w:noProof/>
            <w:webHidden/>
          </w:rPr>
          <w:fldChar w:fldCharType="end"/>
        </w:r>
      </w:hyperlink>
    </w:p>
    <w:p w14:paraId="0C3B6D41" w14:textId="122739A4" w:rsidR="007346BC" w:rsidRPr="004D46AC" w:rsidRDefault="00B34E55" w:rsidP="002C56E2">
      <w:pPr>
        <w:pStyle w:val="1"/>
        <w:rPr>
          <w:rFonts w:eastAsiaTheme="minorEastAsia"/>
        </w:rPr>
      </w:pPr>
      <w:r w:rsidRPr="004D46AC">
        <w:rPr>
          <w:rFonts w:eastAsiaTheme="minorEastAsia"/>
        </w:rPr>
        <w:fldChar w:fldCharType="end"/>
      </w:r>
      <w:bookmarkStart w:id="13" w:name="_Toc219888745"/>
      <w:r w:rsidR="007346BC" w:rsidRPr="004D46AC">
        <w:t>List of Figures (Appendix B)</w:t>
      </w:r>
      <w:bookmarkEnd w:id="13"/>
    </w:p>
    <w:p w14:paraId="57800C38" w14:textId="75B685D8"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r w:rsidRPr="004D46AC">
        <w:rPr>
          <w:rFonts w:eastAsiaTheme="minorEastAsia"/>
        </w:rPr>
        <w:fldChar w:fldCharType="begin"/>
      </w:r>
      <w:r w:rsidRPr="004D46AC">
        <w:rPr>
          <w:rFonts w:eastAsiaTheme="minorEastAsia"/>
        </w:rPr>
        <w:instrText xml:space="preserve"> </w:instrText>
      </w:r>
      <w:r w:rsidRPr="004D46AC">
        <w:rPr>
          <w:rFonts w:eastAsiaTheme="minorEastAsia" w:hint="eastAsia"/>
        </w:rPr>
        <w:instrText>TOC \h \z \c "Figure B"</w:instrText>
      </w:r>
      <w:r w:rsidRPr="004D46AC">
        <w:rPr>
          <w:rFonts w:eastAsiaTheme="minorEastAsia"/>
        </w:rPr>
        <w:instrText xml:space="preserve"> </w:instrText>
      </w:r>
      <w:r w:rsidRPr="004D46AC">
        <w:rPr>
          <w:rFonts w:eastAsiaTheme="minorEastAsia"/>
        </w:rPr>
        <w:fldChar w:fldCharType="separate"/>
      </w:r>
      <w:hyperlink w:anchor="_Toc219880183" w:history="1">
        <w:r w:rsidRPr="004D46AC">
          <w:rPr>
            <w:rStyle w:val="af5"/>
            <w:b/>
            <w:bCs/>
            <w:noProof/>
          </w:rPr>
          <w:t>Figure B 1</w:t>
        </w:r>
        <w:r w:rsidR="00071810" w:rsidRPr="004D46AC">
          <w:rPr>
            <w:noProof/>
          </w:rPr>
          <w:t xml:space="preserve"> </w:t>
        </w:r>
        <w:r w:rsidR="00071810" w:rsidRPr="004D46AC">
          <w:rPr>
            <w:rStyle w:val="af5"/>
            <w:i/>
            <w:iCs/>
            <w:noProof/>
          </w:rPr>
          <w:t>Pooled prevalence of comorbid schizophrenia in bipolar patients</w:t>
        </w:r>
        <w:r w:rsidRPr="004D46AC">
          <w:rPr>
            <w:noProof/>
            <w:webHidden/>
          </w:rPr>
          <w:tab/>
        </w:r>
        <w:r w:rsidRPr="004D46AC">
          <w:rPr>
            <w:noProof/>
            <w:webHidden/>
          </w:rPr>
          <w:fldChar w:fldCharType="begin"/>
        </w:r>
        <w:r w:rsidRPr="004D46AC">
          <w:rPr>
            <w:noProof/>
            <w:webHidden/>
          </w:rPr>
          <w:instrText xml:space="preserve"> PAGEREF _Toc219880183 \h </w:instrText>
        </w:r>
        <w:r w:rsidRPr="004D46AC">
          <w:rPr>
            <w:noProof/>
            <w:webHidden/>
          </w:rPr>
        </w:r>
        <w:r w:rsidRPr="004D46AC">
          <w:rPr>
            <w:noProof/>
            <w:webHidden/>
          </w:rPr>
          <w:fldChar w:fldCharType="separate"/>
        </w:r>
        <w:r w:rsidR="009568EC" w:rsidRPr="004D46AC">
          <w:rPr>
            <w:noProof/>
            <w:webHidden/>
          </w:rPr>
          <w:t>348</w:t>
        </w:r>
        <w:r w:rsidRPr="004D46AC">
          <w:rPr>
            <w:noProof/>
            <w:webHidden/>
          </w:rPr>
          <w:fldChar w:fldCharType="end"/>
        </w:r>
      </w:hyperlink>
    </w:p>
    <w:p w14:paraId="6661B4B5" w14:textId="62BA5D30"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84" w:history="1">
        <w:r w:rsidRPr="004D46AC">
          <w:rPr>
            <w:rStyle w:val="af5"/>
            <w:b/>
            <w:bCs/>
            <w:noProof/>
          </w:rPr>
          <w:t>Figure B 2</w:t>
        </w:r>
        <w:r w:rsidR="00071810" w:rsidRPr="004D46AC">
          <w:rPr>
            <w:noProof/>
          </w:rPr>
          <w:t xml:space="preserve"> </w:t>
        </w:r>
        <w:r w:rsidR="00071810" w:rsidRPr="004D46AC">
          <w:rPr>
            <w:rStyle w:val="af5"/>
            <w:i/>
            <w:iCs/>
            <w:noProof/>
          </w:rPr>
          <w:t>Funnel plots for the comorbid schizophrenia</w:t>
        </w:r>
        <w:r w:rsidRPr="004D46AC">
          <w:rPr>
            <w:noProof/>
            <w:webHidden/>
          </w:rPr>
          <w:tab/>
        </w:r>
        <w:r w:rsidRPr="004D46AC">
          <w:rPr>
            <w:noProof/>
            <w:webHidden/>
          </w:rPr>
          <w:fldChar w:fldCharType="begin"/>
        </w:r>
        <w:r w:rsidRPr="004D46AC">
          <w:rPr>
            <w:noProof/>
            <w:webHidden/>
          </w:rPr>
          <w:instrText xml:space="preserve"> PAGEREF _Toc219880184 \h </w:instrText>
        </w:r>
        <w:r w:rsidRPr="004D46AC">
          <w:rPr>
            <w:noProof/>
            <w:webHidden/>
          </w:rPr>
        </w:r>
        <w:r w:rsidRPr="004D46AC">
          <w:rPr>
            <w:noProof/>
            <w:webHidden/>
          </w:rPr>
          <w:fldChar w:fldCharType="separate"/>
        </w:r>
        <w:r w:rsidR="009568EC" w:rsidRPr="004D46AC">
          <w:rPr>
            <w:noProof/>
            <w:webHidden/>
          </w:rPr>
          <w:t>349</w:t>
        </w:r>
        <w:r w:rsidRPr="004D46AC">
          <w:rPr>
            <w:noProof/>
            <w:webHidden/>
          </w:rPr>
          <w:fldChar w:fldCharType="end"/>
        </w:r>
      </w:hyperlink>
    </w:p>
    <w:p w14:paraId="4D5E60F7" w14:textId="3A7BB6F6"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85" w:history="1">
        <w:r w:rsidRPr="004D46AC">
          <w:rPr>
            <w:rStyle w:val="af5"/>
            <w:b/>
            <w:bCs/>
            <w:noProof/>
          </w:rPr>
          <w:t>Figure B 3</w:t>
        </w:r>
        <w:r w:rsidR="00071810" w:rsidRPr="004D46AC">
          <w:rPr>
            <w:noProof/>
          </w:rPr>
          <w:t xml:space="preserve"> </w:t>
        </w:r>
        <w:r w:rsidR="00071810" w:rsidRPr="004D46AC">
          <w:rPr>
            <w:rStyle w:val="af5"/>
            <w:i/>
            <w:iCs/>
            <w:noProof/>
          </w:rPr>
          <w:t>Pooled prevalence of mood incongruent psychosis</w:t>
        </w:r>
        <w:r w:rsidRPr="004D46AC">
          <w:rPr>
            <w:noProof/>
            <w:webHidden/>
          </w:rPr>
          <w:tab/>
        </w:r>
        <w:r w:rsidRPr="004D46AC">
          <w:rPr>
            <w:noProof/>
            <w:webHidden/>
          </w:rPr>
          <w:fldChar w:fldCharType="begin"/>
        </w:r>
        <w:r w:rsidRPr="004D46AC">
          <w:rPr>
            <w:noProof/>
            <w:webHidden/>
          </w:rPr>
          <w:instrText xml:space="preserve"> PAGEREF _Toc219880185 \h </w:instrText>
        </w:r>
        <w:r w:rsidRPr="004D46AC">
          <w:rPr>
            <w:noProof/>
            <w:webHidden/>
          </w:rPr>
        </w:r>
        <w:r w:rsidRPr="004D46AC">
          <w:rPr>
            <w:noProof/>
            <w:webHidden/>
          </w:rPr>
          <w:fldChar w:fldCharType="separate"/>
        </w:r>
        <w:r w:rsidR="009568EC" w:rsidRPr="004D46AC">
          <w:rPr>
            <w:noProof/>
            <w:webHidden/>
          </w:rPr>
          <w:t>350</w:t>
        </w:r>
        <w:r w:rsidRPr="004D46AC">
          <w:rPr>
            <w:noProof/>
            <w:webHidden/>
          </w:rPr>
          <w:fldChar w:fldCharType="end"/>
        </w:r>
      </w:hyperlink>
    </w:p>
    <w:p w14:paraId="38BABC12" w14:textId="009FBF01"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86" w:history="1">
        <w:r w:rsidRPr="004D46AC">
          <w:rPr>
            <w:rStyle w:val="af5"/>
            <w:b/>
            <w:bCs/>
            <w:noProof/>
          </w:rPr>
          <w:t>Figure B 4</w:t>
        </w:r>
        <w:r w:rsidR="00071810" w:rsidRPr="004D46AC">
          <w:rPr>
            <w:noProof/>
          </w:rPr>
          <w:t xml:space="preserve"> </w:t>
        </w:r>
        <w:r w:rsidR="00071810" w:rsidRPr="004D46AC">
          <w:rPr>
            <w:rStyle w:val="af5"/>
            <w:i/>
            <w:iCs/>
            <w:noProof/>
          </w:rPr>
          <w:t>Funnel plots for mood incongruent psychosis</w:t>
        </w:r>
        <w:r w:rsidRPr="004D46AC">
          <w:rPr>
            <w:noProof/>
            <w:webHidden/>
          </w:rPr>
          <w:tab/>
        </w:r>
        <w:r w:rsidRPr="004D46AC">
          <w:rPr>
            <w:noProof/>
            <w:webHidden/>
          </w:rPr>
          <w:fldChar w:fldCharType="begin"/>
        </w:r>
        <w:r w:rsidRPr="004D46AC">
          <w:rPr>
            <w:noProof/>
            <w:webHidden/>
          </w:rPr>
          <w:instrText xml:space="preserve"> PAGEREF _Toc219880186 \h </w:instrText>
        </w:r>
        <w:r w:rsidRPr="004D46AC">
          <w:rPr>
            <w:noProof/>
            <w:webHidden/>
          </w:rPr>
        </w:r>
        <w:r w:rsidRPr="004D46AC">
          <w:rPr>
            <w:noProof/>
            <w:webHidden/>
          </w:rPr>
          <w:fldChar w:fldCharType="separate"/>
        </w:r>
        <w:r w:rsidR="009568EC" w:rsidRPr="004D46AC">
          <w:rPr>
            <w:noProof/>
            <w:webHidden/>
          </w:rPr>
          <w:t>351</w:t>
        </w:r>
        <w:r w:rsidRPr="004D46AC">
          <w:rPr>
            <w:noProof/>
            <w:webHidden/>
          </w:rPr>
          <w:fldChar w:fldCharType="end"/>
        </w:r>
      </w:hyperlink>
    </w:p>
    <w:p w14:paraId="6ECDDE4B" w14:textId="050EE5A1"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87" w:history="1">
        <w:r w:rsidRPr="004D46AC">
          <w:rPr>
            <w:rStyle w:val="af5"/>
            <w:b/>
            <w:bCs/>
            <w:noProof/>
          </w:rPr>
          <w:t>Figure B 5</w:t>
        </w:r>
        <w:r w:rsidR="00071810" w:rsidRPr="004D46AC">
          <w:rPr>
            <w:noProof/>
          </w:rPr>
          <w:t xml:space="preserve"> </w:t>
        </w:r>
        <w:r w:rsidR="00071810" w:rsidRPr="004D46AC">
          <w:rPr>
            <w:rStyle w:val="af5"/>
            <w:i/>
            <w:iCs/>
            <w:noProof/>
          </w:rPr>
          <w:t>Pooled rate of lifetime psychosis in bipolar patients</w:t>
        </w:r>
        <w:r w:rsidRPr="004D46AC">
          <w:rPr>
            <w:noProof/>
            <w:webHidden/>
          </w:rPr>
          <w:tab/>
        </w:r>
        <w:r w:rsidRPr="004D46AC">
          <w:rPr>
            <w:noProof/>
            <w:webHidden/>
          </w:rPr>
          <w:fldChar w:fldCharType="begin"/>
        </w:r>
        <w:r w:rsidRPr="004D46AC">
          <w:rPr>
            <w:noProof/>
            <w:webHidden/>
          </w:rPr>
          <w:instrText xml:space="preserve"> PAGEREF _Toc219880187 \h </w:instrText>
        </w:r>
        <w:r w:rsidRPr="004D46AC">
          <w:rPr>
            <w:noProof/>
            <w:webHidden/>
          </w:rPr>
        </w:r>
        <w:r w:rsidRPr="004D46AC">
          <w:rPr>
            <w:noProof/>
            <w:webHidden/>
          </w:rPr>
          <w:fldChar w:fldCharType="separate"/>
        </w:r>
        <w:r w:rsidR="009568EC" w:rsidRPr="004D46AC">
          <w:rPr>
            <w:noProof/>
            <w:webHidden/>
          </w:rPr>
          <w:t>352</w:t>
        </w:r>
        <w:r w:rsidRPr="004D46AC">
          <w:rPr>
            <w:noProof/>
            <w:webHidden/>
          </w:rPr>
          <w:fldChar w:fldCharType="end"/>
        </w:r>
      </w:hyperlink>
    </w:p>
    <w:p w14:paraId="6AD5E8B1" w14:textId="47023DDD"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88" w:history="1">
        <w:r w:rsidRPr="004D46AC">
          <w:rPr>
            <w:rStyle w:val="af5"/>
            <w:b/>
            <w:bCs/>
            <w:noProof/>
          </w:rPr>
          <w:t>Figure B 6</w:t>
        </w:r>
        <w:r w:rsidR="00071810" w:rsidRPr="004D46AC">
          <w:rPr>
            <w:noProof/>
          </w:rPr>
          <w:t xml:space="preserve"> </w:t>
        </w:r>
        <w:r w:rsidR="00071810" w:rsidRPr="004D46AC">
          <w:rPr>
            <w:rStyle w:val="af5"/>
            <w:i/>
            <w:iCs/>
            <w:noProof/>
          </w:rPr>
          <w:t>Funnel plots for the lifetime psychosis</w:t>
        </w:r>
        <w:r w:rsidRPr="004D46AC">
          <w:rPr>
            <w:noProof/>
            <w:webHidden/>
          </w:rPr>
          <w:tab/>
        </w:r>
        <w:r w:rsidRPr="004D46AC">
          <w:rPr>
            <w:noProof/>
            <w:webHidden/>
          </w:rPr>
          <w:fldChar w:fldCharType="begin"/>
        </w:r>
        <w:r w:rsidRPr="004D46AC">
          <w:rPr>
            <w:noProof/>
            <w:webHidden/>
          </w:rPr>
          <w:instrText xml:space="preserve"> PAGEREF _Toc219880188 \h </w:instrText>
        </w:r>
        <w:r w:rsidRPr="004D46AC">
          <w:rPr>
            <w:noProof/>
            <w:webHidden/>
          </w:rPr>
        </w:r>
        <w:r w:rsidRPr="004D46AC">
          <w:rPr>
            <w:noProof/>
            <w:webHidden/>
          </w:rPr>
          <w:fldChar w:fldCharType="separate"/>
        </w:r>
        <w:r w:rsidR="009568EC" w:rsidRPr="004D46AC">
          <w:rPr>
            <w:noProof/>
            <w:webHidden/>
          </w:rPr>
          <w:t>353</w:t>
        </w:r>
        <w:r w:rsidRPr="004D46AC">
          <w:rPr>
            <w:noProof/>
            <w:webHidden/>
          </w:rPr>
          <w:fldChar w:fldCharType="end"/>
        </w:r>
      </w:hyperlink>
    </w:p>
    <w:p w14:paraId="2B4CBB79" w14:textId="0FB8E60F"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89" w:history="1">
        <w:r w:rsidRPr="004D46AC">
          <w:rPr>
            <w:rStyle w:val="af5"/>
            <w:b/>
            <w:bCs/>
            <w:noProof/>
          </w:rPr>
          <w:t>Figure B 7</w:t>
        </w:r>
        <w:r w:rsidR="00071810" w:rsidRPr="004D46AC">
          <w:rPr>
            <w:noProof/>
          </w:rPr>
          <w:t xml:space="preserve"> </w:t>
        </w:r>
        <w:r w:rsidR="00071810" w:rsidRPr="004D46AC">
          <w:rPr>
            <w:rStyle w:val="af5"/>
            <w:i/>
            <w:iCs/>
            <w:noProof/>
          </w:rPr>
          <w:t>The rate of lifetime psychosis in patients with bipolar I</w:t>
        </w:r>
        <w:r w:rsidRPr="004D46AC">
          <w:rPr>
            <w:noProof/>
            <w:webHidden/>
          </w:rPr>
          <w:tab/>
        </w:r>
        <w:r w:rsidRPr="004D46AC">
          <w:rPr>
            <w:noProof/>
            <w:webHidden/>
          </w:rPr>
          <w:fldChar w:fldCharType="begin"/>
        </w:r>
        <w:r w:rsidRPr="004D46AC">
          <w:rPr>
            <w:noProof/>
            <w:webHidden/>
          </w:rPr>
          <w:instrText xml:space="preserve"> PAGEREF _Toc219880189 \h </w:instrText>
        </w:r>
        <w:r w:rsidRPr="004D46AC">
          <w:rPr>
            <w:noProof/>
            <w:webHidden/>
          </w:rPr>
        </w:r>
        <w:r w:rsidRPr="004D46AC">
          <w:rPr>
            <w:noProof/>
            <w:webHidden/>
          </w:rPr>
          <w:fldChar w:fldCharType="separate"/>
        </w:r>
        <w:r w:rsidR="009568EC" w:rsidRPr="004D46AC">
          <w:rPr>
            <w:noProof/>
            <w:webHidden/>
          </w:rPr>
          <w:t>354</w:t>
        </w:r>
        <w:r w:rsidRPr="004D46AC">
          <w:rPr>
            <w:noProof/>
            <w:webHidden/>
          </w:rPr>
          <w:fldChar w:fldCharType="end"/>
        </w:r>
      </w:hyperlink>
    </w:p>
    <w:p w14:paraId="39C0DD76" w14:textId="6AF34155"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0" w:history="1">
        <w:r w:rsidRPr="004D46AC">
          <w:rPr>
            <w:rStyle w:val="af5"/>
            <w:b/>
            <w:bCs/>
            <w:noProof/>
          </w:rPr>
          <w:t>Figure B 8</w:t>
        </w:r>
        <w:r w:rsidR="00071810" w:rsidRPr="004D46AC">
          <w:rPr>
            <w:noProof/>
          </w:rPr>
          <w:t xml:space="preserve"> </w:t>
        </w:r>
        <w:r w:rsidR="00071810" w:rsidRPr="004D46AC">
          <w:rPr>
            <w:rStyle w:val="af5"/>
            <w:i/>
            <w:iCs/>
            <w:noProof/>
          </w:rPr>
          <w:t>Funnel plots for the lifetime psychosis in patients with bipolar I</w:t>
        </w:r>
        <w:r w:rsidRPr="004D46AC">
          <w:rPr>
            <w:noProof/>
            <w:webHidden/>
          </w:rPr>
          <w:tab/>
        </w:r>
        <w:r w:rsidRPr="004D46AC">
          <w:rPr>
            <w:noProof/>
            <w:webHidden/>
          </w:rPr>
          <w:fldChar w:fldCharType="begin"/>
        </w:r>
        <w:r w:rsidRPr="004D46AC">
          <w:rPr>
            <w:noProof/>
            <w:webHidden/>
          </w:rPr>
          <w:instrText xml:space="preserve"> PAGEREF _Toc219880190 \h </w:instrText>
        </w:r>
        <w:r w:rsidRPr="004D46AC">
          <w:rPr>
            <w:noProof/>
            <w:webHidden/>
          </w:rPr>
        </w:r>
        <w:r w:rsidRPr="004D46AC">
          <w:rPr>
            <w:noProof/>
            <w:webHidden/>
          </w:rPr>
          <w:fldChar w:fldCharType="separate"/>
        </w:r>
        <w:r w:rsidR="009568EC" w:rsidRPr="004D46AC">
          <w:rPr>
            <w:noProof/>
            <w:webHidden/>
          </w:rPr>
          <w:t>355</w:t>
        </w:r>
        <w:r w:rsidRPr="004D46AC">
          <w:rPr>
            <w:noProof/>
            <w:webHidden/>
          </w:rPr>
          <w:fldChar w:fldCharType="end"/>
        </w:r>
      </w:hyperlink>
    </w:p>
    <w:p w14:paraId="36FCBCCD" w14:textId="6C2B565A"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1" w:history="1">
        <w:r w:rsidRPr="004D46AC">
          <w:rPr>
            <w:rStyle w:val="af5"/>
            <w:b/>
            <w:bCs/>
            <w:noProof/>
          </w:rPr>
          <w:t>Figure B 9</w:t>
        </w:r>
        <w:r w:rsidR="00071810" w:rsidRPr="004D46AC">
          <w:rPr>
            <w:noProof/>
          </w:rPr>
          <w:t xml:space="preserve"> </w:t>
        </w:r>
        <w:r w:rsidR="00071810" w:rsidRPr="004D46AC">
          <w:rPr>
            <w:rStyle w:val="af5"/>
            <w:i/>
            <w:iCs/>
            <w:noProof/>
          </w:rPr>
          <w:t>The rate of lifetime psychosis in patients with bipolar II</w:t>
        </w:r>
        <w:r w:rsidRPr="004D46AC">
          <w:rPr>
            <w:noProof/>
            <w:webHidden/>
          </w:rPr>
          <w:tab/>
        </w:r>
        <w:r w:rsidRPr="004D46AC">
          <w:rPr>
            <w:noProof/>
            <w:webHidden/>
          </w:rPr>
          <w:fldChar w:fldCharType="begin"/>
        </w:r>
        <w:r w:rsidRPr="004D46AC">
          <w:rPr>
            <w:noProof/>
            <w:webHidden/>
          </w:rPr>
          <w:instrText xml:space="preserve"> PAGEREF _Toc219880191 \h </w:instrText>
        </w:r>
        <w:r w:rsidRPr="004D46AC">
          <w:rPr>
            <w:noProof/>
            <w:webHidden/>
          </w:rPr>
        </w:r>
        <w:r w:rsidRPr="004D46AC">
          <w:rPr>
            <w:noProof/>
            <w:webHidden/>
          </w:rPr>
          <w:fldChar w:fldCharType="separate"/>
        </w:r>
        <w:r w:rsidR="009568EC" w:rsidRPr="004D46AC">
          <w:rPr>
            <w:noProof/>
            <w:webHidden/>
          </w:rPr>
          <w:t>356</w:t>
        </w:r>
        <w:r w:rsidRPr="004D46AC">
          <w:rPr>
            <w:noProof/>
            <w:webHidden/>
          </w:rPr>
          <w:fldChar w:fldCharType="end"/>
        </w:r>
      </w:hyperlink>
    </w:p>
    <w:p w14:paraId="18E3E283" w14:textId="6CA483E7"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2" w:history="1">
        <w:r w:rsidRPr="004D46AC">
          <w:rPr>
            <w:rStyle w:val="af5"/>
            <w:b/>
            <w:bCs/>
            <w:noProof/>
          </w:rPr>
          <w:t>Figure B 10</w:t>
        </w:r>
        <w:r w:rsidR="00071810" w:rsidRPr="004D46AC">
          <w:rPr>
            <w:noProof/>
          </w:rPr>
          <w:t xml:space="preserve"> </w:t>
        </w:r>
        <w:r w:rsidR="00071810" w:rsidRPr="004D46AC">
          <w:rPr>
            <w:rStyle w:val="af5"/>
            <w:i/>
            <w:iCs/>
            <w:noProof/>
          </w:rPr>
          <w:t>Funnel plots for lifetime psychosis in patients with bipolar II</w:t>
        </w:r>
        <w:r w:rsidRPr="004D46AC">
          <w:rPr>
            <w:noProof/>
            <w:webHidden/>
          </w:rPr>
          <w:tab/>
        </w:r>
        <w:r w:rsidRPr="004D46AC">
          <w:rPr>
            <w:noProof/>
            <w:webHidden/>
          </w:rPr>
          <w:fldChar w:fldCharType="begin"/>
        </w:r>
        <w:r w:rsidRPr="004D46AC">
          <w:rPr>
            <w:noProof/>
            <w:webHidden/>
          </w:rPr>
          <w:instrText xml:space="preserve"> PAGEREF _Toc219880192 \h </w:instrText>
        </w:r>
        <w:r w:rsidRPr="004D46AC">
          <w:rPr>
            <w:noProof/>
            <w:webHidden/>
          </w:rPr>
        </w:r>
        <w:r w:rsidRPr="004D46AC">
          <w:rPr>
            <w:noProof/>
            <w:webHidden/>
          </w:rPr>
          <w:fldChar w:fldCharType="separate"/>
        </w:r>
        <w:r w:rsidR="009568EC" w:rsidRPr="004D46AC">
          <w:rPr>
            <w:noProof/>
            <w:webHidden/>
          </w:rPr>
          <w:t>357</w:t>
        </w:r>
        <w:r w:rsidRPr="004D46AC">
          <w:rPr>
            <w:noProof/>
            <w:webHidden/>
          </w:rPr>
          <w:fldChar w:fldCharType="end"/>
        </w:r>
      </w:hyperlink>
    </w:p>
    <w:p w14:paraId="79756D7D" w14:textId="26A6CD1E"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3" w:history="1">
        <w:r w:rsidRPr="004D46AC">
          <w:rPr>
            <w:rStyle w:val="af5"/>
            <w:b/>
            <w:bCs/>
            <w:noProof/>
          </w:rPr>
          <w:t>Figure B 11</w:t>
        </w:r>
        <w:r w:rsidR="00071810" w:rsidRPr="004D46AC">
          <w:rPr>
            <w:noProof/>
          </w:rPr>
          <w:t xml:space="preserve"> </w:t>
        </w:r>
        <w:r w:rsidR="00071810" w:rsidRPr="004D46AC">
          <w:rPr>
            <w:rStyle w:val="af5"/>
            <w:i/>
            <w:iCs/>
            <w:noProof/>
          </w:rPr>
          <w:t>Pooled rate of lifetime psychosis in bipolar patients with manic episode</w:t>
        </w:r>
        <w:r w:rsidRPr="004D46AC">
          <w:rPr>
            <w:noProof/>
            <w:webHidden/>
          </w:rPr>
          <w:tab/>
        </w:r>
        <w:r w:rsidRPr="004D46AC">
          <w:rPr>
            <w:noProof/>
            <w:webHidden/>
          </w:rPr>
          <w:fldChar w:fldCharType="begin"/>
        </w:r>
        <w:r w:rsidRPr="004D46AC">
          <w:rPr>
            <w:noProof/>
            <w:webHidden/>
          </w:rPr>
          <w:instrText xml:space="preserve"> PAGEREF _Toc219880193 \h </w:instrText>
        </w:r>
        <w:r w:rsidRPr="004D46AC">
          <w:rPr>
            <w:noProof/>
            <w:webHidden/>
          </w:rPr>
        </w:r>
        <w:r w:rsidRPr="004D46AC">
          <w:rPr>
            <w:noProof/>
            <w:webHidden/>
          </w:rPr>
          <w:fldChar w:fldCharType="separate"/>
        </w:r>
        <w:r w:rsidR="009568EC" w:rsidRPr="004D46AC">
          <w:rPr>
            <w:noProof/>
            <w:webHidden/>
          </w:rPr>
          <w:t>358</w:t>
        </w:r>
        <w:r w:rsidRPr="004D46AC">
          <w:rPr>
            <w:noProof/>
            <w:webHidden/>
          </w:rPr>
          <w:fldChar w:fldCharType="end"/>
        </w:r>
      </w:hyperlink>
    </w:p>
    <w:p w14:paraId="28F65391" w14:textId="2067E400"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4" w:history="1">
        <w:r w:rsidRPr="004D46AC">
          <w:rPr>
            <w:rStyle w:val="af5"/>
            <w:b/>
            <w:bCs/>
            <w:noProof/>
          </w:rPr>
          <w:t>Figure B 12</w:t>
        </w:r>
        <w:r w:rsidR="00071810" w:rsidRPr="004D46AC">
          <w:rPr>
            <w:noProof/>
          </w:rPr>
          <w:t xml:space="preserve"> </w:t>
        </w:r>
        <w:r w:rsidR="00071810" w:rsidRPr="004D46AC">
          <w:rPr>
            <w:rStyle w:val="af5"/>
            <w:i/>
            <w:iCs/>
            <w:noProof/>
          </w:rPr>
          <w:t>Funnel plots for lifetime psychosis in bipolar patients with manic episode</w:t>
        </w:r>
        <w:r w:rsidRPr="004D46AC">
          <w:rPr>
            <w:noProof/>
            <w:webHidden/>
          </w:rPr>
          <w:tab/>
        </w:r>
        <w:r w:rsidRPr="004D46AC">
          <w:rPr>
            <w:noProof/>
            <w:webHidden/>
          </w:rPr>
          <w:fldChar w:fldCharType="begin"/>
        </w:r>
        <w:r w:rsidRPr="004D46AC">
          <w:rPr>
            <w:noProof/>
            <w:webHidden/>
          </w:rPr>
          <w:instrText xml:space="preserve"> PAGEREF _Toc219880194 \h </w:instrText>
        </w:r>
        <w:r w:rsidRPr="004D46AC">
          <w:rPr>
            <w:noProof/>
            <w:webHidden/>
          </w:rPr>
        </w:r>
        <w:r w:rsidRPr="004D46AC">
          <w:rPr>
            <w:noProof/>
            <w:webHidden/>
          </w:rPr>
          <w:fldChar w:fldCharType="separate"/>
        </w:r>
        <w:r w:rsidR="009568EC" w:rsidRPr="004D46AC">
          <w:rPr>
            <w:noProof/>
            <w:webHidden/>
          </w:rPr>
          <w:t>359</w:t>
        </w:r>
        <w:r w:rsidRPr="004D46AC">
          <w:rPr>
            <w:noProof/>
            <w:webHidden/>
          </w:rPr>
          <w:fldChar w:fldCharType="end"/>
        </w:r>
      </w:hyperlink>
    </w:p>
    <w:p w14:paraId="0CF09E99" w14:textId="64B8C3A7"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5" w:history="1">
        <w:r w:rsidRPr="004D46AC">
          <w:rPr>
            <w:rStyle w:val="af5"/>
            <w:b/>
            <w:bCs/>
            <w:noProof/>
          </w:rPr>
          <w:t>Figure B 13</w:t>
        </w:r>
        <w:r w:rsidR="00071810" w:rsidRPr="004D46AC">
          <w:rPr>
            <w:noProof/>
          </w:rPr>
          <w:t xml:space="preserve"> </w:t>
        </w:r>
        <w:r w:rsidR="00071810" w:rsidRPr="004D46AC">
          <w:rPr>
            <w:rStyle w:val="af5"/>
            <w:i/>
            <w:iCs/>
            <w:noProof/>
          </w:rPr>
          <w:t>Pooled rate of lifetime psychosis in bipolar patients with depressive episode</w:t>
        </w:r>
        <w:r w:rsidRPr="004D46AC">
          <w:rPr>
            <w:noProof/>
            <w:webHidden/>
          </w:rPr>
          <w:tab/>
        </w:r>
        <w:r w:rsidRPr="004D46AC">
          <w:rPr>
            <w:noProof/>
            <w:webHidden/>
          </w:rPr>
          <w:fldChar w:fldCharType="begin"/>
        </w:r>
        <w:r w:rsidRPr="004D46AC">
          <w:rPr>
            <w:noProof/>
            <w:webHidden/>
          </w:rPr>
          <w:instrText xml:space="preserve"> PAGEREF _Toc219880195 \h </w:instrText>
        </w:r>
        <w:r w:rsidRPr="004D46AC">
          <w:rPr>
            <w:noProof/>
            <w:webHidden/>
          </w:rPr>
        </w:r>
        <w:r w:rsidRPr="004D46AC">
          <w:rPr>
            <w:noProof/>
            <w:webHidden/>
          </w:rPr>
          <w:fldChar w:fldCharType="separate"/>
        </w:r>
        <w:r w:rsidR="009568EC" w:rsidRPr="004D46AC">
          <w:rPr>
            <w:noProof/>
            <w:webHidden/>
          </w:rPr>
          <w:t>360</w:t>
        </w:r>
        <w:r w:rsidRPr="004D46AC">
          <w:rPr>
            <w:noProof/>
            <w:webHidden/>
          </w:rPr>
          <w:fldChar w:fldCharType="end"/>
        </w:r>
      </w:hyperlink>
    </w:p>
    <w:p w14:paraId="0600FA8C" w14:textId="358C7244" w:rsidR="007346BC" w:rsidRPr="004D46AC" w:rsidRDefault="007346BC" w:rsidP="00D22E18">
      <w:pPr>
        <w:ind w:firstLine="0"/>
        <w:rPr>
          <w:i/>
          <w:iCs/>
          <w:noProof/>
          <w:color w:val="467886" w:themeColor="hyperlink"/>
          <w:u w:val="single"/>
        </w:rPr>
      </w:pPr>
      <w:hyperlink w:anchor="_Toc219880196" w:history="1">
        <w:r w:rsidRPr="004D46AC">
          <w:rPr>
            <w:rStyle w:val="af5"/>
            <w:b/>
            <w:bCs/>
            <w:noProof/>
          </w:rPr>
          <w:t>Figure B 14</w:t>
        </w:r>
        <w:r w:rsidR="00D22E18" w:rsidRPr="004D46AC">
          <w:rPr>
            <w:noProof/>
          </w:rPr>
          <w:t xml:space="preserve"> </w:t>
        </w:r>
        <w:r w:rsidR="00D22E18" w:rsidRPr="004D46AC">
          <w:rPr>
            <w:i/>
            <w:iCs/>
            <w:noProof/>
          </w:rPr>
          <w:t>Funnel plots for lifetime psychosis in bipolar patients with depressive episode</w:t>
        </w:r>
        <w:r w:rsidRPr="004D46AC">
          <w:rPr>
            <w:noProof/>
            <w:webHidden/>
          </w:rPr>
          <w:tab/>
        </w:r>
        <w:r w:rsidRPr="004D46AC">
          <w:rPr>
            <w:noProof/>
            <w:webHidden/>
          </w:rPr>
          <w:fldChar w:fldCharType="begin"/>
        </w:r>
        <w:r w:rsidRPr="004D46AC">
          <w:rPr>
            <w:noProof/>
            <w:webHidden/>
          </w:rPr>
          <w:instrText xml:space="preserve"> PAGEREF _Toc219880196 \h </w:instrText>
        </w:r>
        <w:r w:rsidRPr="004D46AC">
          <w:rPr>
            <w:noProof/>
            <w:webHidden/>
          </w:rPr>
        </w:r>
        <w:r w:rsidRPr="004D46AC">
          <w:rPr>
            <w:noProof/>
            <w:webHidden/>
          </w:rPr>
          <w:fldChar w:fldCharType="separate"/>
        </w:r>
        <w:r w:rsidR="009568EC" w:rsidRPr="004D46AC">
          <w:rPr>
            <w:noProof/>
            <w:webHidden/>
          </w:rPr>
          <w:t>361</w:t>
        </w:r>
        <w:r w:rsidRPr="004D46AC">
          <w:rPr>
            <w:noProof/>
            <w:webHidden/>
          </w:rPr>
          <w:fldChar w:fldCharType="end"/>
        </w:r>
      </w:hyperlink>
    </w:p>
    <w:p w14:paraId="6E9891B7" w14:textId="5162E73C"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7" w:history="1">
        <w:r w:rsidRPr="004D46AC">
          <w:rPr>
            <w:rStyle w:val="af5"/>
            <w:b/>
            <w:bCs/>
            <w:noProof/>
          </w:rPr>
          <w:t>Figure B 15</w:t>
        </w:r>
        <w:r w:rsidR="00D22E18" w:rsidRPr="004D46AC">
          <w:rPr>
            <w:i/>
            <w:iCs/>
            <w:noProof/>
          </w:rPr>
          <w:t xml:space="preserve"> </w:t>
        </w:r>
        <w:r w:rsidR="00D22E18" w:rsidRPr="004D46AC">
          <w:rPr>
            <w:rStyle w:val="af5"/>
            <w:i/>
            <w:iCs/>
            <w:noProof/>
          </w:rPr>
          <w:t>Pooled rate of current psychosis in bipolar patients</w:t>
        </w:r>
        <w:r w:rsidRPr="004D46AC">
          <w:rPr>
            <w:noProof/>
            <w:webHidden/>
          </w:rPr>
          <w:tab/>
        </w:r>
        <w:r w:rsidRPr="004D46AC">
          <w:rPr>
            <w:noProof/>
            <w:webHidden/>
          </w:rPr>
          <w:fldChar w:fldCharType="begin"/>
        </w:r>
        <w:r w:rsidRPr="004D46AC">
          <w:rPr>
            <w:noProof/>
            <w:webHidden/>
          </w:rPr>
          <w:instrText xml:space="preserve"> PAGEREF _Toc219880197 \h </w:instrText>
        </w:r>
        <w:r w:rsidRPr="004D46AC">
          <w:rPr>
            <w:noProof/>
            <w:webHidden/>
          </w:rPr>
        </w:r>
        <w:r w:rsidRPr="004D46AC">
          <w:rPr>
            <w:noProof/>
            <w:webHidden/>
          </w:rPr>
          <w:fldChar w:fldCharType="separate"/>
        </w:r>
        <w:r w:rsidR="009568EC" w:rsidRPr="004D46AC">
          <w:rPr>
            <w:noProof/>
            <w:webHidden/>
          </w:rPr>
          <w:t>362</w:t>
        </w:r>
        <w:r w:rsidRPr="004D46AC">
          <w:rPr>
            <w:noProof/>
            <w:webHidden/>
          </w:rPr>
          <w:fldChar w:fldCharType="end"/>
        </w:r>
      </w:hyperlink>
    </w:p>
    <w:p w14:paraId="6E1B16E8" w14:textId="4D80C61C"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8" w:history="1">
        <w:r w:rsidRPr="004D46AC">
          <w:rPr>
            <w:rStyle w:val="af5"/>
            <w:b/>
            <w:bCs/>
            <w:noProof/>
          </w:rPr>
          <w:t>Figure B 16</w:t>
        </w:r>
        <w:r w:rsidR="00D22E18" w:rsidRPr="004D46AC">
          <w:rPr>
            <w:noProof/>
          </w:rPr>
          <w:t xml:space="preserve"> </w:t>
        </w:r>
        <w:r w:rsidR="00D22E18" w:rsidRPr="004D46AC">
          <w:rPr>
            <w:rStyle w:val="af5"/>
            <w:i/>
            <w:iCs/>
            <w:noProof/>
          </w:rPr>
          <w:t>Funnel plots for current psychosis in bipolar patients</w:t>
        </w:r>
        <w:r w:rsidRPr="004D46AC">
          <w:rPr>
            <w:noProof/>
            <w:webHidden/>
          </w:rPr>
          <w:tab/>
        </w:r>
        <w:r w:rsidRPr="004D46AC">
          <w:rPr>
            <w:noProof/>
            <w:webHidden/>
          </w:rPr>
          <w:fldChar w:fldCharType="begin"/>
        </w:r>
        <w:r w:rsidRPr="004D46AC">
          <w:rPr>
            <w:noProof/>
            <w:webHidden/>
          </w:rPr>
          <w:instrText xml:space="preserve"> PAGEREF _Toc219880198 \h </w:instrText>
        </w:r>
        <w:r w:rsidRPr="004D46AC">
          <w:rPr>
            <w:noProof/>
            <w:webHidden/>
          </w:rPr>
        </w:r>
        <w:r w:rsidRPr="004D46AC">
          <w:rPr>
            <w:noProof/>
            <w:webHidden/>
          </w:rPr>
          <w:fldChar w:fldCharType="separate"/>
        </w:r>
        <w:r w:rsidR="009568EC" w:rsidRPr="004D46AC">
          <w:rPr>
            <w:noProof/>
            <w:webHidden/>
          </w:rPr>
          <w:t>363</w:t>
        </w:r>
        <w:r w:rsidRPr="004D46AC">
          <w:rPr>
            <w:noProof/>
            <w:webHidden/>
          </w:rPr>
          <w:fldChar w:fldCharType="end"/>
        </w:r>
      </w:hyperlink>
    </w:p>
    <w:p w14:paraId="204AC52F" w14:textId="4AFC188E"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199" w:history="1">
        <w:r w:rsidRPr="004D46AC">
          <w:rPr>
            <w:rStyle w:val="af5"/>
            <w:b/>
            <w:bCs/>
            <w:noProof/>
          </w:rPr>
          <w:t>Figure B 17</w:t>
        </w:r>
        <w:r w:rsidR="00D22E18" w:rsidRPr="004D46AC">
          <w:rPr>
            <w:noProof/>
          </w:rPr>
          <w:t xml:space="preserve"> </w:t>
        </w:r>
        <w:r w:rsidR="00D22E18" w:rsidRPr="004D46AC">
          <w:rPr>
            <w:rStyle w:val="af5"/>
            <w:i/>
            <w:iCs/>
            <w:noProof/>
          </w:rPr>
          <w:t>Pooled rate of current psychosis in bipolar I patients</w:t>
        </w:r>
        <w:r w:rsidRPr="004D46AC">
          <w:rPr>
            <w:noProof/>
            <w:webHidden/>
          </w:rPr>
          <w:tab/>
        </w:r>
        <w:r w:rsidRPr="004D46AC">
          <w:rPr>
            <w:noProof/>
            <w:webHidden/>
          </w:rPr>
          <w:fldChar w:fldCharType="begin"/>
        </w:r>
        <w:r w:rsidRPr="004D46AC">
          <w:rPr>
            <w:noProof/>
            <w:webHidden/>
          </w:rPr>
          <w:instrText xml:space="preserve"> PAGEREF _Toc219880199 \h </w:instrText>
        </w:r>
        <w:r w:rsidRPr="004D46AC">
          <w:rPr>
            <w:noProof/>
            <w:webHidden/>
          </w:rPr>
        </w:r>
        <w:r w:rsidRPr="004D46AC">
          <w:rPr>
            <w:noProof/>
            <w:webHidden/>
          </w:rPr>
          <w:fldChar w:fldCharType="separate"/>
        </w:r>
        <w:r w:rsidR="009568EC" w:rsidRPr="004D46AC">
          <w:rPr>
            <w:noProof/>
            <w:webHidden/>
          </w:rPr>
          <w:t>364</w:t>
        </w:r>
        <w:r w:rsidRPr="004D46AC">
          <w:rPr>
            <w:noProof/>
            <w:webHidden/>
          </w:rPr>
          <w:fldChar w:fldCharType="end"/>
        </w:r>
      </w:hyperlink>
    </w:p>
    <w:p w14:paraId="6F7B5C23" w14:textId="24F6285A"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0" w:history="1">
        <w:r w:rsidRPr="004D46AC">
          <w:rPr>
            <w:rStyle w:val="af5"/>
            <w:b/>
            <w:bCs/>
            <w:noProof/>
          </w:rPr>
          <w:t>Figure B 18</w:t>
        </w:r>
        <w:r w:rsidR="00D22E18" w:rsidRPr="004D46AC">
          <w:rPr>
            <w:noProof/>
          </w:rPr>
          <w:t xml:space="preserve"> </w:t>
        </w:r>
        <w:r w:rsidR="00D22E18" w:rsidRPr="004D46AC">
          <w:rPr>
            <w:rStyle w:val="af5"/>
            <w:i/>
            <w:iCs/>
            <w:noProof/>
          </w:rPr>
          <w:t>Funnel plots for current psychosis in bipolar I patients</w:t>
        </w:r>
        <w:r w:rsidRPr="004D46AC">
          <w:rPr>
            <w:noProof/>
            <w:webHidden/>
          </w:rPr>
          <w:tab/>
        </w:r>
        <w:r w:rsidRPr="004D46AC">
          <w:rPr>
            <w:noProof/>
            <w:webHidden/>
          </w:rPr>
          <w:fldChar w:fldCharType="begin"/>
        </w:r>
        <w:r w:rsidRPr="004D46AC">
          <w:rPr>
            <w:noProof/>
            <w:webHidden/>
          </w:rPr>
          <w:instrText xml:space="preserve"> PAGEREF _Toc219880200 \h </w:instrText>
        </w:r>
        <w:r w:rsidRPr="004D46AC">
          <w:rPr>
            <w:noProof/>
            <w:webHidden/>
          </w:rPr>
        </w:r>
        <w:r w:rsidRPr="004D46AC">
          <w:rPr>
            <w:noProof/>
            <w:webHidden/>
          </w:rPr>
          <w:fldChar w:fldCharType="separate"/>
        </w:r>
        <w:r w:rsidR="009568EC" w:rsidRPr="004D46AC">
          <w:rPr>
            <w:noProof/>
            <w:webHidden/>
          </w:rPr>
          <w:t>365</w:t>
        </w:r>
        <w:r w:rsidRPr="004D46AC">
          <w:rPr>
            <w:noProof/>
            <w:webHidden/>
          </w:rPr>
          <w:fldChar w:fldCharType="end"/>
        </w:r>
      </w:hyperlink>
    </w:p>
    <w:p w14:paraId="6A8A902A" w14:textId="348C796B"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1" w:history="1">
        <w:r w:rsidRPr="004D46AC">
          <w:rPr>
            <w:rStyle w:val="af5"/>
            <w:b/>
            <w:bCs/>
            <w:noProof/>
          </w:rPr>
          <w:t>Figure B 19</w:t>
        </w:r>
        <w:r w:rsidR="00D22E18" w:rsidRPr="004D46AC">
          <w:rPr>
            <w:noProof/>
          </w:rPr>
          <w:t xml:space="preserve"> </w:t>
        </w:r>
        <w:r w:rsidR="00D22E18" w:rsidRPr="004D46AC">
          <w:rPr>
            <w:rStyle w:val="af5"/>
            <w:i/>
            <w:iCs/>
            <w:noProof/>
          </w:rPr>
          <w:t>Pooled rate of current psychosis in bipolar II patients</w:t>
        </w:r>
        <w:r w:rsidRPr="004D46AC">
          <w:rPr>
            <w:noProof/>
            <w:webHidden/>
          </w:rPr>
          <w:tab/>
        </w:r>
        <w:r w:rsidRPr="004D46AC">
          <w:rPr>
            <w:noProof/>
            <w:webHidden/>
          </w:rPr>
          <w:fldChar w:fldCharType="begin"/>
        </w:r>
        <w:r w:rsidRPr="004D46AC">
          <w:rPr>
            <w:noProof/>
            <w:webHidden/>
          </w:rPr>
          <w:instrText xml:space="preserve"> PAGEREF _Toc219880201 \h </w:instrText>
        </w:r>
        <w:r w:rsidRPr="004D46AC">
          <w:rPr>
            <w:noProof/>
            <w:webHidden/>
          </w:rPr>
        </w:r>
        <w:r w:rsidRPr="004D46AC">
          <w:rPr>
            <w:noProof/>
            <w:webHidden/>
          </w:rPr>
          <w:fldChar w:fldCharType="separate"/>
        </w:r>
        <w:r w:rsidR="009568EC" w:rsidRPr="004D46AC">
          <w:rPr>
            <w:noProof/>
            <w:webHidden/>
          </w:rPr>
          <w:t>366</w:t>
        </w:r>
        <w:r w:rsidRPr="004D46AC">
          <w:rPr>
            <w:noProof/>
            <w:webHidden/>
          </w:rPr>
          <w:fldChar w:fldCharType="end"/>
        </w:r>
      </w:hyperlink>
    </w:p>
    <w:p w14:paraId="60C9995C" w14:textId="7D2AE3CB"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2" w:history="1">
        <w:r w:rsidRPr="004D46AC">
          <w:rPr>
            <w:rStyle w:val="af5"/>
            <w:b/>
            <w:bCs/>
            <w:noProof/>
          </w:rPr>
          <w:t>Figure B 20</w:t>
        </w:r>
        <w:r w:rsidR="00D22E18" w:rsidRPr="004D46AC">
          <w:rPr>
            <w:noProof/>
          </w:rPr>
          <w:t xml:space="preserve"> </w:t>
        </w:r>
        <w:r w:rsidR="00D22E18" w:rsidRPr="004D46AC">
          <w:rPr>
            <w:rStyle w:val="af5"/>
            <w:i/>
            <w:iCs/>
            <w:noProof/>
          </w:rPr>
          <w:t>Funnel plots for current psychosis in bipolar II patients</w:t>
        </w:r>
        <w:r w:rsidRPr="004D46AC">
          <w:rPr>
            <w:noProof/>
            <w:webHidden/>
          </w:rPr>
          <w:tab/>
        </w:r>
        <w:r w:rsidRPr="004D46AC">
          <w:rPr>
            <w:noProof/>
            <w:webHidden/>
          </w:rPr>
          <w:fldChar w:fldCharType="begin"/>
        </w:r>
        <w:r w:rsidRPr="004D46AC">
          <w:rPr>
            <w:noProof/>
            <w:webHidden/>
          </w:rPr>
          <w:instrText xml:space="preserve"> PAGEREF _Toc219880202 \h </w:instrText>
        </w:r>
        <w:r w:rsidRPr="004D46AC">
          <w:rPr>
            <w:noProof/>
            <w:webHidden/>
          </w:rPr>
        </w:r>
        <w:r w:rsidRPr="004D46AC">
          <w:rPr>
            <w:noProof/>
            <w:webHidden/>
          </w:rPr>
          <w:fldChar w:fldCharType="separate"/>
        </w:r>
        <w:r w:rsidR="009568EC" w:rsidRPr="004D46AC">
          <w:rPr>
            <w:noProof/>
            <w:webHidden/>
          </w:rPr>
          <w:t>367</w:t>
        </w:r>
        <w:r w:rsidRPr="004D46AC">
          <w:rPr>
            <w:noProof/>
            <w:webHidden/>
          </w:rPr>
          <w:fldChar w:fldCharType="end"/>
        </w:r>
      </w:hyperlink>
    </w:p>
    <w:p w14:paraId="310D5329" w14:textId="0098814D"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3" w:history="1">
        <w:r w:rsidRPr="004D46AC">
          <w:rPr>
            <w:rStyle w:val="af5"/>
            <w:b/>
            <w:bCs/>
            <w:noProof/>
          </w:rPr>
          <w:t>Figure B 21</w:t>
        </w:r>
        <w:r w:rsidR="00D22E18" w:rsidRPr="004D46AC">
          <w:rPr>
            <w:noProof/>
          </w:rPr>
          <w:t xml:space="preserve"> </w:t>
        </w:r>
        <w:r w:rsidR="00D22E18" w:rsidRPr="004D46AC">
          <w:rPr>
            <w:rStyle w:val="af5"/>
            <w:i/>
            <w:iCs/>
            <w:noProof/>
          </w:rPr>
          <w:t>Pooled rate of current psychosis in bipolar patients with manic episode</w:t>
        </w:r>
        <w:r w:rsidRPr="004D46AC">
          <w:rPr>
            <w:noProof/>
            <w:webHidden/>
          </w:rPr>
          <w:tab/>
        </w:r>
        <w:r w:rsidRPr="004D46AC">
          <w:rPr>
            <w:noProof/>
            <w:webHidden/>
          </w:rPr>
          <w:fldChar w:fldCharType="begin"/>
        </w:r>
        <w:r w:rsidRPr="004D46AC">
          <w:rPr>
            <w:noProof/>
            <w:webHidden/>
          </w:rPr>
          <w:instrText xml:space="preserve"> PAGEREF _Toc219880203 \h </w:instrText>
        </w:r>
        <w:r w:rsidRPr="004D46AC">
          <w:rPr>
            <w:noProof/>
            <w:webHidden/>
          </w:rPr>
        </w:r>
        <w:r w:rsidRPr="004D46AC">
          <w:rPr>
            <w:noProof/>
            <w:webHidden/>
          </w:rPr>
          <w:fldChar w:fldCharType="separate"/>
        </w:r>
        <w:r w:rsidR="009568EC" w:rsidRPr="004D46AC">
          <w:rPr>
            <w:noProof/>
            <w:webHidden/>
          </w:rPr>
          <w:t>368</w:t>
        </w:r>
        <w:r w:rsidRPr="004D46AC">
          <w:rPr>
            <w:noProof/>
            <w:webHidden/>
          </w:rPr>
          <w:fldChar w:fldCharType="end"/>
        </w:r>
      </w:hyperlink>
    </w:p>
    <w:p w14:paraId="673C2595" w14:textId="6005F48E"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4" w:history="1">
        <w:r w:rsidRPr="004D46AC">
          <w:rPr>
            <w:rStyle w:val="af5"/>
            <w:b/>
            <w:bCs/>
            <w:noProof/>
          </w:rPr>
          <w:t>Figure B 22</w:t>
        </w:r>
        <w:r w:rsidR="0012185F" w:rsidRPr="004D46AC">
          <w:rPr>
            <w:noProof/>
          </w:rPr>
          <w:t xml:space="preserve"> </w:t>
        </w:r>
        <w:r w:rsidR="0012185F" w:rsidRPr="004D46AC">
          <w:rPr>
            <w:rStyle w:val="af5"/>
            <w:i/>
            <w:iCs/>
            <w:noProof/>
          </w:rPr>
          <w:t>Funnel plots for current psychosis in bipolar patients with manic episode</w:t>
        </w:r>
        <w:r w:rsidRPr="004D46AC">
          <w:rPr>
            <w:noProof/>
            <w:webHidden/>
          </w:rPr>
          <w:tab/>
        </w:r>
        <w:r w:rsidRPr="004D46AC">
          <w:rPr>
            <w:noProof/>
            <w:webHidden/>
          </w:rPr>
          <w:fldChar w:fldCharType="begin"/>
        </w:r>
        <w:r w:rsidRPr="004D46AC">
          <w:rPr>
            <w:noProof/>
            <w:webHidden/>
          </w:rPr>
          <w:instrText xml:space="preserve"> PAGEREF _Toc219880204 \h </w:instrText>
        </w:r>
        <w:r w:rsidRPr="004D46AC">
          <w:rPr>
            <w:noProof/>
            <w:webHidden/>
          </w:rPr>
        </w:r>
        <w:r w:rsidRPr="004D46AC">
          <w:rPr>
            <w:noProof/>
            <w:webHidden/>
          </w:rPr>
          <w:fldChar w:fldCharType="separate"/>
        </w:r>
        <w:r w:rsidR="009568EC" w:rsidRPr="004D46AC">
          <w:rPr>
            <w:noProof/>
            <w:webHidden/>
          </w:rPr>
          <w:t>369</w:t>
        </w:r>
        <w:r w:rsidRPr="004D46AC">
          <w:rPr>
            <w:noProof/>
            <w:webHidden/>
          </w:rPr>
          <w:fldChar w:fldCharType="end"/>
        </w:r>
      </w:hyperlink>
    </w:p>
    <w:p w14:paraId="097AAF3B" w14:textId="30AE7921"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5" w:history="1">
        <w:r w:rsidRPr="004D46AC">
          <w:rPr>
            <w:rStyle w:val="af5"/>
            <w:b/>
            <w:bCs/>
            <w:noProof/>
          </w:rPr>
          <w:t>Figure B 23</w:t>
        </w:r>
        <w:r w:rsidR="0012185F" w:rsidRPr="004D46AC">
          <w:rPr>
            <w:noProof/>
          </w:rPr>
          <w:t xml:space="preserve"> </w:t>
        </w:r>
        <w:r w:rsidR="0012185F" w:rsidRPr="004D46AC">
          <w:rPr>
            <w:rStyle w:val="af5"/>
            <w:i/>
            <w:iCs/>
            <w:noProof/>
          </w:rPr>
          <w:t>Pooled rate of current psychosis in bipolar patients with depressive episode</w:t>
        </w:r>
        <w:r w:rsidRPr="004D46AC">
          <w:rPr>
            <w:noProof/>
            <w:webHidden/>
          </w:rPr>
          <w:tab/>
        </w:r>
        <w:r w:rsidRPr="004D46AC">
          <w:rPr>
            <w:noProof/>
            <w:webHidden/>
          </w:rPr>
          <w:fldChar w:fldCharType="begin"/>
        </w:r>
        <w:r w:rsidRPr="004D46AC">
          <w:rPr>
            <w:noProof/>
            <w:webHidden/>
          </w:rPr>
          <w:instrText xml:space="preserve"> PAGEREF _Toc219880205 \h </w:instrText>
        </w:r>
        <w:r w:rsidRPr="004D46AC">
          <w:rPr>
            <w:noProof/>
            <w:webHidden/>
          </w:rPr>
        </w:r>
        <w:r w:rsidRPr="004D46AC">
          <w:rPr>
            <w:noProof/>
            <w:webHidden/>
          </w:rPr>
          <w:fldChar w:fldCharType="separate"/>
        </w:r>
        <w:r w:rsidR="009568EC" w:rsidRPr="004D46AC">
          <w:rPr>
            <w:noProof/>
            <w:webHidden/>
          </w:rPr>
          <w:t>370</w:t>
        </w:r>
        <w:r w:rsidRPr="004D46AC">
          <w:rPr>
            <w:noProof/>
            <w:webHidden/>
          </w:rPr>
          <w:fldChar w:fldCharType="end"/>
        </w:r>
      </w:hyperlink>
    </w:p>
    <w:p w14:paraId="42A125B4" w14:textId="76CE8C33"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6" w:history="1">
        <w:r w:rsidRPr="004D46AC">
          <w:rPr>
            <w:rStyle w:val="af5"/>
            <w:b/>
            <w:bCs/>
            <w:noProof/>
          </w:rPr>
          <w:t>Figure B 24</w:t>
        </w:r>
        <w:r w:rsidR="0012185F" w:rsidRPr="004D46AC">
          <w:rPr>
            <w:noProof/>
          </w:rPr>
          <w:t xml:space="preserve"> </w:t>
        </w:r>
        <w:r w:rsidR="0012185F" w:rsidRPr="004D46AC">
          <w:rPr>
            <w:rStyle w:val="af5"/>
            <w:i/>
            <w:iCs/>
            <w:noProof/>
          </w:rPr>
          <w:t>Funnel plots for current psychosis in bipolar patients with depressive episode</w:t>
        </w:r>
        <w:r w:rsidRPr="004D46AC">
          <w:rPr>
            <w:noProof/>
            <w:webHidden/>
          </w:rPr>
          <w:tab/>
        </w:r>
        <w:r w:rsidRPr="004D46AC">
          <w:rPr>
            <w:noProof/>
            <w:webHidden/>
          </w:rPr>
          <w:fldChar w:fldCharType="begin"/>
        </w:r>
        <w:r w:rsidRPr="004D46AC">
          <w:rPr>
            <w:noProof/>
            <w:webHidden/>
          </w:rPr>
          <w:instrText xml:space="preserve"> PAGEREF _Toc219880206 \h </w:instrText>
        </w:r>
        <w:r w:rsidRPr="004D46AC">
          <w:rPr>
            <w:noProof/>
            <w:webHidden/>
          </w:rPr>
        </w:r>
        <w:r w:rsidRPr="004D46AC">
          <w:rPr>
            <w:noProof/>
            <w:webHidden/>
          </w:rPr>
          <w:fldChar w:fldCharType="separate"/>
        </w:r>
        <w:r w:rsidR="009568EC" w:rsidRPr="004D46AC">
          <w:rPr>
            <w:noProof/>
            <w:webHidden/>
          </w:rPr>
          <w:t>371</w:t>
        </w:r>
        <w:r w:rsidRPr="004D46AC">
          <w:rPr>
            <w:noProof/>
            <w:webHidden/>
          </w:rPr>
          <w:fldChar w:fldCharType="end"/>
        </w:r>
      </w:hyperlink>
    </w:p>
    <w:p w14:paraId="3B3037DE" w14:textId="742D683D"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7" w:history="1">
        <w:r w:rsidRPr="004D46AC">
          <w:rPr>
            <w:rStyle w:val="af5"/>
            <w:b/>
            <w:bCs/>
            <w:noProof/>
          </w:rPr>
          <w:t>Figure B 25</w:t>
        </w:r>
        <w:r w:rsidR="0012185F" w:rsidRPr="004D46AC">
          <w:rPr>
            <w:noProof/>
          </w:rPr>
          <w:t xml:space="preserve"> </w:t>
        </w:r>
        <w:r w:rsidR="0012185F" w:rsidRPr="004D46AC">
          <w:rPr>
            <w:rStyle w:val="af5"/>
            <w:i/>
            <w:iCs/>
            <w:noProof/>
          </w:rPr>
          <w:t>Funnel plots for current psychosis in bipolar patients with depressive episode</w:t>
        </w:r>
        <w:r w:rsidRPr="004D46AC">
          <w:rPr>
            <w:noProof/>
            <w:webHidden/>
          </w:rPr>
          <w:tab/>
        </w:r>
        <w:r w:rsidRPr="004D46AC">
          <w:rPr>
            <w:noProof/>
            <w:webHidden/>
          </w:rPr>
          <w:fldChar w:fldCharType="begin"/>
        </w:r>
        <w:r w:rsidRPr="004D46AC">
          <w:rPr>
            <w:noProof/>
            <w:webHidden/>
          </w:rPr>
          <w:instrText xml:space="preserve"> PAGEREF _Toc219880207 \h </w:instrText>
        </w:r>
        <w:r w:rsidRPr="004D46AC">
          <w:rPr>
            <w:noProof/>
            <w:webHidden/>
          </w:rPr>
        </w:r>
        <w:r w:rsidRPr="004D46AC">
          <w:rPr>
            <w:noProof/>
            <w:webHidden/>
          </w:rPr>
          <w:fldChar w:fldCharType="separate"/>
        </w:r>
        <w:r w:rsidR="009568EC" w:rsidRPr="004D46AC">
          <w:rPr>
            <w:noProof/>
            <w:webHidden/>
          </w:rPr>
          <w:t>372</w:t>
        </w:r>
        <w:r w:rsidRPr="004D46AC">
          <w:rPr>
            <w:noProof/>
            <w:webHidden/>
          </w:rPr>
          <w:fldChar w:fldCharType="end"/>
        </w:r>
      </w:hyperlink>
    </w:p>
    <w:p w14:paraId="43DC1272" w14:textId="0499BC3B"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8" w:history="1">
        <w:r w:rsidRPr="004D46AC">
          <w:rPr>
            <w:rStyle w:val="af5"/>
            <w:b/>
            <w:bCs/>
            <w:noProof/>
          </w:rPr>
          <w:t>Figure B 26</w:t>
        </w:r>
        <w:r w:rsidR="0012185F" w:rsidRPr="004D46AC">
          <w:rPr>
            <w:noProof/>
          </w:rPr>
          <w:t xml:space="preserve"> </w:t>
        </w:r>
        <w:r w:rsidR="0012185F" w:rsidRPr="004D46AC">
          <w:rPr>
            <w:rStyle w:val="af5"/>
            <w:i/>
            <w:iCs/>
            <w:noProof/>
          </w:rPr>
          <w:t>Funnel plots for current psychosis in bipolar patients with mixed episode</w:t>
        </w:r>
        <w:r w:rsidRPr="004D46AC">
          <w:rPr>
            <w:noProof/>
            <w:webHidden/>
          </w:rPr>
          <w:tab/>
        </w:r>
        <w:r w:rsidRPr="004D46AC">
          <w:rPr>
            <w:noProof/>
            <w:webHidden/>
          </w:rPr>
          <w:fldChar w:fldCharType="begin"/>
        </w:r>
        <w:r w:rsidRPr="004D46AC">
          <w:rPr>
            <w:noProof/>
            <w:webHidden/>
          </w:rPr>
          <w:instrText xml:space="preserve"> PAGEREF _Toc219880208 \h </w:instrText>
        </w:r>
        <w:r w:rsidRPr="004D46AC">
          <w:rPr>
            <w:noProof/>
            <w:webHidden/>
          </w:rPr>
        </w:r>
        <w:r w:rsidRPr="004D46AC">
          <w:rPr>
            <w:noProof/>
            <w:webHidden/>
          </w:rPr>
          <w:fldChar w:fldCharType="separate"/>
        </w:r>
        <w:r w:rsidR="009568EC" w:rsidRPr="004D46AC">
          <w:rPr>
            <w:noProof/>
            <w:webHidden/>
          </w:rPr>
          <w:t>373</w:t>
        </w:r>
        <w:r w:rsidRPr="004D46AC">
          <w:rPr>
            <w:noProof/>
            <w:webHidden/>
          </w:rPr>
          <w:fldChar w:fldCharType="end"/>
        </w:r>
      </w:hyperlink>
    </w:p>
    <w:p w14:paraId="6CBC6E3C" w14:textId="24FB942E"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09" w:history="1">
        <w:r w:rsidRPr="004D46AC">
          <w:rPr>
            <w:rStyle w:val="af5"/>
            <w:b/>
            <w:bCs/>
            <w:noProof/>
          </w:rPr>
          <w:t>Figure B 27</w:t>
        </w:r>
        <w:r w:rsidR="0012185F" w:rsidRPr="004D46AC">
          <w:rPr>
            <w:noProof/>
          </w:rPr>
          <w:t xml:space="preserve"> </w:t>
        </w:r>
        <w:r w:rsidR="0012185F" w:rsidRPr="004D46AC">
          <w:rPr>
            <w:rStyle w:val="af5"/>
            <w:i/>
            <w:iCs/>
            <w:noProof/>
          </w:rPr>
          <w:t>Pooled rate of first episode psychosis in bipolar patients</w:t>
        </w:r>
        <w:r w:rsidRPr="004D46AC">
          <w:rPr>
            <w:noProof/>
            <w:webHidden/>
          </w:rPr>
          <w:tab/>
        </w:r>
        <w:r w:rsidRPr="004D46AC">
          <w:rPr>
            <w:noProof/>
            <w:webHidden/>
          </w:rPr>
          <w:fldChar w:fldCharType="begin"/>
        </w:r>
        <w:r w:rsidRPr="004D46AC">
          <w:rPr>
            <w:noProof/>
            <w:webHidden/>
          </w:rPr>
          <w:instrText xml:space="preserve"> PAGEREF _Toc219880209 \h </w:instrText>
        </w:r>
        <w:r w:rsidRPr="004D46AC">
          <w:rPr>
            <w:noProof/>
            <w:webHidden/>
          </w:rPr>
        </w:r>
        <w:r w:rsidRPr="004D46AC">
          <w:rPr>
            <w:noProof/>
            <w:webHidden/>
          </w:rPr>
          <w:fldChar w:fldCharType="separate"/>
        </w:r>
        <w:r w:rsidR="009568EC" w:rsidRPr="004D46AC">
          <w:rPr>
            <w:noProof/>
            <w:webHidden/>
          </w:rPr>
          <w:t>374</w:t>
        </w:r>
        <w:r w:rsidRPr="004D46AC">
          <w:rPr>
            <w:noProof/>
            <w:webHidden/>
          </w:rPr>
          <w:fldChar w:fldCharType="end"/>
        </w:r>
      </w:hyperlink>
    </w:p>
    <w:p w14:paraId="13DDF74D" w14:textId="04480B11"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0" w:history="1">
        <w:r w:rsidRPr="004D46AC">
          <w:rPr>
            <w:rStyle w:val="af5"/>
            <w:b/>
            <w:bCs/>
            <w:noProof/>
          </w:rPr>
          <w:t>Figure B 28</w:t>
        </w:r>
        <w:r w:rsidR="0012185F" w:rsidRPr="004D46AC">
          <w:rPr>
            <w:noProof/>
          </w:rPr>
          <w:t xml:space="preserve"> </w:t>
        </w:r>
        <w:r w:rsidR="0012185F" w:rsidRPr="004D46AC">
          <w:rPr>
            <w:rStyle w:val="af5"/>
            <w:i/>
            <w:iCs/>
            <w:noProof/>
          </w:rPr>
          <w:t>Funnel plots for first episode psychosis in bipolar patients</w:t>
        </w:r>
        <w:r w:rsidRPr="004D46AC">
          <w:rPr>
            <w:noProof/>
            <w:webHidden/>
          </w:rPr>
          <w:tab/>
        </w:r>
        <w:r w:rsidRPr="004D46AC">
          <w:rPr>
            <w:noProof/>
            <w:webHidden/>
          </w:rPr>
          <w:fldChar w:fldCharType="begin"/>
        </w:r>
        <w:r w:rsidRPr="004D46AC">
          <w:rPr>
            <w:noProof/>
            <w:webHidden/>
          </w:rPr>
          <w:instrText xml:space="preserve"> PAGEREF _Toc219880210 \h </w:instrText>
        </w:r>
        <w:r w:rsidRPr="004D46AC">
          <w:rPr>
            <w:noProof/>
            <w:webHidden/>
          </w:rPr>
        </w:r>
        <w:r w:rsidRPr="004D46AC">
          <w:rPr>
            <w:noProof/>
            <w:webHidden/>
          </w:rPr>
          <w:fldChar w:fldCharType="separate"/>
        </w:r>
        <w:r w:rsidR="009568EC" w:rsidRPr="004D46AC">
          <w:rPr>
            <w:noProof/>
            <w:webHidden/>
          </w:rPr>
          <w:t>375</w:t>
        </w:r>
        <w:r w:rsidRPr="004D46AC">
          <w:rPr>
            <w:noProof/>
            <w:webHidden/>
          </w:rPr>
          <w:fldChar w:fldCharType="end"/>
        </w:r>
      </w:hyperlink>
    </w:p>
    <w:p w14:paraId="4564F00E" w14:textId="3786790C"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1" w:history="1">
        <w:r w:rsidRPr="004D46AC">
          <w:rPr>
            <w:rStyle w:val="af5"/>
            <w:b/>
            <w:bCs/>
            <w:noProof/>
          </w:rPr>
          <w:t>Figure B 29</w:t>
        </w:r>
        <w:r w:rsidR="0012185F" w:rsidRPr="004D46AC">
          <w:rPr>
            <w:noProof/>
          </w:rPr>
          <w:t xml:space="preserve"> </w:t>
        </w:r>
        <w:r w:rsidR="0012185F" w:rsidRPr="004D46AC">
          <w:rPr>
            <w:rStyle w:val="af5"/>
            <w:i/>
            <w:iCs/>
            <w:noProof/>
          </w:rPr>
          <w:t>Pooled rate of lifetime delusions in bipolar patients</w:t>
        </w:r>
        <w:r w:rsidRPr="004D46AC">
          <w:rPr>
            <w:noProof/>
            <w:webHidden/>
          </w:rPr>
          <w:tab/>
        </w:r>
        <w:r w:rsidRPr="004D46AC">
          <w:rPr>
            <w:noProof/>
            <w:webHidden/>
          </w:rPr>
          <w:fldChar w:fldCharType="begin"/>
        </w:r>
        <w:r w:rsidRPr="004D46AC">
          <w:rPr>
            <w:noProof/>
            <w:webHidden/>
          </w:rPr>
          <w:instrText xml:space="preserve"> PAGEREF _Toc219880211 \h </w:instrText>
        </w:r>
        <w:r w:rsidRPr="004D46AC">
          <w:rPr>
            <w:noProof/>
            <w:webHidden/>
          </w:rPr>
        </w:r>
        <w:r w:rsidRPr="004D46AC">
          <w:rPr>
            <w:noProof/>
            <w:webHidden/>
          </w:rPr>
          <w:fldChar w:fldCharType="separate"/>
        </w:r>
        <w:r w:rsidR="009568EC" w:rsidRPr="004D46AC">
          <w:rPr>
            <w:noProof/>
            <w:webHidden/>
          </w:rPr>
          <w:t>376</w:t>
        </w:r>
        <w:r w:rsidRPr="004D46AC">
          <w:rPr>
            <w:noProof/>
            <w:webHidden/>
          </w:rPr>
          <w:fldChar w:fldCharType="end"/>
        </w:r>
      </w:hyperlink>
    </w:p>
    <w:p w14:paraId="4C5A33EF" w14:textId="686EBE6A"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2" w:history="1">
        <w:r w:rsidRPr="004D46AC">
          <w:rPr>
            <w:rStyle w:val="af5"/>
            <w:b/>
            <w:bCs/>
            <w:noProof/>
          </w:rPr>
          <w:t>Figure B 30</w:t>
        </w:r>
        <w:r w:rsidR="0012185F" w:rsidRPr="004D46AC">
          <w:rPr>
            <w:noProof/>
          </w:rPr>
          <w:t xml:space="preserve"> </w:t>
        </w:r>
        <w:r w:rsidR="0012185F" w:rsidRPr="004D46AC">
          <w:rPr>
            <w:rStyle w:val="af5"/>
            <w:i/>
            <w:iCs/>
            <w:noProof/>
          </w:rPr>
          <w:t>Funnel plots for lifetime delusions in bipolar patients</w:t>
        </w:r>
        <w:r w:rsidRPr="004D46AC">
          <w:rPr>
            <w:noProof/>
            <w:webHidden/>
          </w:rPr>
          <w:tab/>
        </w:r>
        <w:r w:rsidRPr="004D46AC">
          <w:rPr>
            <w:noProof/>
            <w:webHidden/>
          </w:rPr>
          <w:fldChar w:fldCharType="begin"/>
        </w:r>
        <w:r w:rsidRPr="004D46AC">
          <w:rPr>
            <w:noProof/>
            <w:webHidden/>
          </w:rPr>
          <w:instrText xml:space="preserve"> PAGEREF _Toc219880212 \h </w:instrText>
        </w:r>
        <w:r w:rsidRPr="004D46AC">
          <w:rPr>
            <w:noProof/>
            <w:webHidden/>
          </w:rPr>
        </w:r>
        <w:r w:rsidRPr="004D46AC">
          <w:rPr>
            <w:noProof/>
            <w:webHidden/>
          </w:rPr>
          <w:fldChar w:fldCharType="separate"/>
        </w:r>
        <w:r w:rsidR="009568EC" w:rsidRPr="004D46AC">
          <w:rPr>
            <w:noProof/>
            <w:webHidden/>
          </w:rPr>
          <w:t>377</w:t>
        </w:r>
        <w:r w:rsidRPr="004D46AC">
          <w:rPr>
            <w:noProof/>
            <w:webHidden/>
          </w:rPr>
          <w:fldChar w:fldCharType="end"/>
        </w:r>
      </w:hyperlink>
    </w:p>
    <w:p w14:paraId="3B87326A" w14:textId="3F9F9D75"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3" w:history="1">
        <w:r w:rsidRPr="004D46AC">
          <w:rPr>
            <w:rStyle w:val="af5"/>
            <w:b/>
            <w:bCs/>
            <w:noProof/>
          </w:rPr>
          <w:t>Figure B 31</w:t>
        </w:r>
        <w:r w:rsidR="0012185F" w:rsidRPr="004D46AC">
          <w:rPr>
            <w:noProof/>
          </w:rPr>
          <w:t xml:space="preserve"> </w:t>
        </w:r>
        <w:r w:rsidR="0012185F" w:rsidRPr="004D46AC">
          <w:rPr>
            <w:rStyle w:val="af5"/>
            <w:noProof/>
          </w:rPr>
          <w:t>Pooled rate of current delusions in bipolar patients</w:t>
        </w:r>
        <w:r w:rsidRPr="004D46AC">
          <w:rPr>
            <w:noProof/>
            <w:webHidden/>
          </w:rPr>
          <w:tab/>
        </w:r>
        <w:r w:rsidRPr="004D46AC">
          <w:rPr>
            <w:noProof/>
            <w:webHidden/>
          </w:rPr>
          <w:fldChar w:fldCharType="begin"/>
        </w:r>
        <w:r w:rsidRPr="004D46AC">
          <w:rPr>
            <w:noProof/>
            <w:webHidden/>
          </w:rPr>
          <w:instrText xml:space="preserve"> PAGEREF _Toc219880213 \h </w:instrText>
        </w:r>
        <w:r w:rsidRPr="004D46AC">
          <w:rPr>
            <w:noProof/>
            <w:webHidden/>
          </w:rPr>
        </w:r>
        <w:r w:rsidRPr="004D46AC">
          <w:rPr>
            <w:noProof/>
            <w:webHidden/>
          </w:rPr>
          <w:fldChar w:fldCharType="separate"/>
        </w:r>
        <w:r w:rsidR="009568EC" w:rsidRPr="004D46AC">
          <w:rPr>
            <w:noProof/>
            <w:webHidden/>
          </w:rPr>
          <w:t>378</w:t>
        </w:r>
        <w:r w:rsidRPr="004D46AC">
          <w:rPr>
            <w:noProof/>
            <w:webHidden/>
          </w:rPr>
          <w:fldChar w:fldCharType="end"/>
        </w:r>
      </w:hyperlink>
    </w:p>
    <w:p w14:paraId="4CA5D723" w14:textId="3F288147"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4" w:history="1">
        <w:r w:rsidRPr="004D46AC">
          <w:rPr>
            <w:rStyle w:val="af5"/>
            <w:b/>
            <w:bCs/>
            <w:noProof/>
          </w:rPr>
          <w:t>Figure B 32</w:t>
        </w:r>
        <w:r w:rsidR="0012185F" w:rsidRPr="004D46AC">
          <w:rPr>
            <w:i/>
            <w:iCs/>
            <w:noProof/>
          </w:rPr>
          <w:t xml:space="preserve"> </w:t>
        </w:r>
        <w:r w:rsidR="0012185F" w:rsidRPr="004D46AC">
          <w:rPr>
            <w:rStyle w:val="af5"/>
            <w:i/>
            <w:iCs/>
            <w:noProof/>
          </w:rPr>
          <w:t>Funnel plots for current delusions in bipolar patients</w:t>
        </w:r>
        <w:r w:rsidRPr="004D46AC">
          <w:rPr>
            <w:noProof/>
            <w:webHidden/>
          </w:rPr>
          <w:tab/>
        </w:r>
        <w:r w:rsidRPr="004D46AC">
          <w:rPr>
            <w:noProof/>
            <w:webHidden/>
          </w:rPr>
          <w:fldChar w:fldCharType="begin"/>
        </w:r>
        <w:r w:rsidRPr="004D46AC">
          <w:rPr>
            <w:noProof/>
            <w:webHidden/>
          </w:rPr>
          <w:instrText xml:space="preserve"> PAGEREF _Toc219880214 \h </w:instrText>
        </w:r>
        <w:r w:rsidRPr="004D46AC">
          <w:rPr>
            <w:noProof/>
            <w:webHidden/>
          </w:rPr>
        </w:r>
        <w:r w:rsidRPr="004D46AC">
          <w:rPr>
            <w:noProof/>
            <w:webHidden/>
          </w:rPr>
          <w:fldChar w:fldCharType="separate"/>
        </w:r>
        <w:r w:rsidR="009568EC" w:rsidRPr="004D46AC">
          <w:rPr>
            <w:noProof/>
            <w:webHidden/>
          </w:rPr>
          <w:t>379</w:t>
        </w:r>
        <w:r w:rsidRPr="004D46AC">
          <w:rPr>
            <w:noProof/>
            <w:webHidden/>
          </w:rPr>
          <w:fldChar w:fldCharType="end"/>
        </w:r>
      </w:hyperlink>
    </w:p>
    <w:p w14:paraId="113B3043" w14:textId="26CEDDB9"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5" w:history="1">
        <w:r w:rsidRPr="004D46AC">
          <w:rPr>
            <w:rStyle w:val="af5"/>
            <w:b/>
            <w:bCs/>
            <w:noProof/>
          </w:rPr>
          <w:t>Figure B 33</w:t>
        </w:r>
        <w:r w:rsidR="0012185F" w:rsidRPr="004D46AC">
          <w:rPr>
            <w:noProof/>
          </w:rPr>
          <w:t xml:space="preserve"> </w:t>
        </w:r>
        <w:r w:rsidR="0012185F" w:rsidRPr="004D46AC">
          <w:rPr>
            <w:rStyle w:val="af5"/>
            <w:i/>
            <w:iCs/>
            <w:noProof/>
          </w:rPr>
          <w:t>Pooled rate of lifetime hallucinations in bipolar patients</w:t>
        </w:r>
        <w:r w:rsidRPr="004D46AC">
          <w:rPr>
            <w:noProof/>
            <w:webHidden/>
          </w:rPr>
          <w:tab/>
        </w:r>
        <w:r w:rsidRPr="004D46AC">
          <w:rPr>
            <w:noProof/>
            <w:webHidden/>
          </w:rPr>
          <w:fldChar w:fldCharType="begin"/>
        </w:r>
        <w:r w:rsidRPr="004D46AC">
          <w:rPr>
            <w:noProof/>
            <w:webHidden/>
          </w:rPr>
          <w:instrText xml:space="preserve"> PAGEREF _Toc219880215 \h </w:instrText>
        </w:r>
        <w:r w:rsidRPr="004D46AC">
          <w:rPr>
            <w:noProof/>
            <w:webHidden/>
          </w:rPr>
        </w:r>
        <w:r w:rsidRPr="004D46AC">
          <w:rPr>
            <w:noProof/>
            <w:webHidden/>
          </w:rPr>
          <w:fldChar w:fldCharType="separate"/>
        </w:r>
        <w:r w:rsidR="009568EC" w:rsidRPr="004D46AC">
          <w:rPr>
            <w:noProof/>
            <w:webHidden/>
          </w:rPr>
          <w:t>380</w:t>
        </w:r>
        <w:r w:rsidRPr="004D46AC">
          <w:rPr>
            <w:noProof/>
            <w:webHidden/>
          </w:rPr>
          <w:fldChar w:fldCharType="end"/>
        </w:r>
      </w:hyperlink>
    </w:p>
    <w:p w14:paraId="26B725F3" w14:textId="6E0878D9"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6" w:history="1">
        <w:r w:rsidRPr="004D46AC">
          <w:rPr>
            <w:rStyle w:val="af5"/>
            <w:b/>
            <w:bCs/>
            <w:noProof/>
          </w:rPr>
          <w:t>Figure B 34</w:t>
        </w:r>
        <w:r w:rsidR="0012185F" w:rsidRPr="004D46AC">
          <w:rPr>
            <w:noProof/>
          </w:rPr>
          <w:t xml:space="preserve"> </w:t>
        </w:r>
        <w:r w:rsidR="0012185F" w:rsidRPr="004D46AC">
          <w:rPr>
            <w:rStyle w:val="af5"/>
            <w:i/>
            <w:iCs/>
            <w:noProof/>
          </w:rPr>
          <w:t>Funnel plots for lifetime hallucinations in bipolar patients</w:t>
        </w:r>
        <w:r w:rsidRPr="004D46AC">
          <w:rPr>
            <w:noProof/>
            <w:webHidden/>
          </w:rPr>
          <w:tab/>
        </w:r>
        <w:r w:rsidRPr="004D46AC">
          <w:rPr>
            <w:noProof/>
            <w:webHidden/>
          </w:rPr>
          <w:fldChar w:fldCharType="begin"/>
        </w:r>
        <w:r w:rsidRPr="004D46AC">
          <w:rPr>
            <w:noProof/>
            <w:webHidden/>
          </w:rPr>
          <w:instrText xml:space="preserve"> PAGEREF _Toc219880216 \h </w:instrText>
        </w:r>
        <w:r w:rsidRPr="004D46AC">
          <w:rPr>
            <w:noProof/>
            <w:webHidden/>
          </w:rPr>
        </w:r>
        <w:r w:rsidRPr="004D46AC">
          <w:rPr>
            <w:noProof/>
            <w:webHidden/>
          </w:rPr>
          <w:fldChar w:fldCharType="separate"/>
        </w:r>
        <w:r w:rsidR="009568EC" w:rsidRPr="004D46AC">
          <w:rPr>
            <w:noProof/>
            <w:webHidden/>
          </w:rPr>
          <w:t>381</w:t>
        </w:r>
        <w:r w:rsidRPr="004D46AC">
          <w:rPr>
            <w:noProof/>
            <w:webHidden/>
          </w:rPr>
          <w:fldChar w:fldCharType="end"/>
        </w:r>
      </w:hyperlink>
    </w:p>
    <w:p w14:paraId="5B37AA2D" w14:textId="4A844F01"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7" w:history="1">
        <w:r w:rsidRPr="004D46AC">
          <w:rPr>
            <w:rStyle w:val="af5"/>
            <w:b/>
            <w:bCs/>
            <w:noProof/>
          </w:rPr>
          <w:t>Figure B 35</w:t>
        </w:r>
        <w:r w:rsidR="0012185F" w:rsidRPr="004D46AC">
          <w:rPr>
            <w:noProof/>
          </w:rPr>
          <w:t xml:space="preserve"> </w:t>
        </w:r>
        <w:r w:rsidR="0012185F" w:rsidRPr="004D46AC">
          <w:rPr>
            <w:rStyle w:val="af5"/>
            <w:i/>
            <w:iCs/>
            <w:noProof/>
          </w:rPr>
          <w:t>Pooled rate of current hallucinations in bipolar patients</w:t>
        </w:r>
        <w:r w:rsidRPr="004D46AC">
          <w:rPr>
            <w:noProof/>
            <w:webHidden/>
          </w:rPr>
          <w:tab/>
        </w:r>
        <w:r w:rsidRPr="004D46AC">
          <w:rPr>
            <w:noProof/>
            <w:webHidden/>
          </w:rPr>
          <w:fldChar w:fldCharType="begin"/>
        </w:r>
        <w:r w:rsidRPr="004D46AC">
          <w:rPr>
            <w:noProof/>
            <w:webHidden/>
          </w:rPr>
          <w:instrText xml:space="preserve"> PAGEREF _Toc219880217 \h </w:instrText>
        </w:r>
        <w:r w:rsidRPr="004D46AC">
          <w:rPr>
            <w:noProof/>
            <w:webHidden/>
          </w:rPr>
        </w:r>
        <w:r w:rsidRPr="004D46AC">
          <w:rPr>
            <w:noProof/>
            <w:webHidden/>
          </w:rPr>
          <w:fldChar w:fldCharType="separate"/>
        </w:r>
        <w:r w:rsidR="009568EC" w:rsidRPr="004D46AC">
          <w:rPr>
            <w:noProof/>
            <w:webHidden/>
          </w:rPr>
          <w:t>382</w:t>
        </w:r>
        <w:r w:rsidRPr="004D46AC">
          <w:rPr>
            <w:noProof/>
            <w:webHidden/>
          </w:rPr>
          <w:fldChar w:fldCharType="end"/>
        </w:r>
      </w:hyperlink>
    </w:p>
    <w:p w14:paraId="01886475" w14:textId="1FE69BAD"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8" w:history="1">
        <w:r w:rsidRPr="004D46AC">
          <w:rPr>
            <w:rStyle w:val="af5"/>
            <w:b/>
            <w:bCs/>
            <w:noProof/>
          </w:rPr>
          <w:t>Figure B 36</w:t>
        </w:r>
        <w:r w:rsidR="0012185F" w:rsidRPr="004D46AC">
          <w:rPr>
            <w:noProof/>
          </w:rPr>
          <w:t xml:space="preserve"> </w:t>
        </w:r>
        <w:r w:rsidR="0012185F" w:rsidRPr="004D46AC">
          <w:rPr>
            <w:rStyle w:val="af5"/>
            <w:i/>
            <w:iCs/>
            <w:noProof/>
          </w:rPr>
          <w:t>Funnel plots for current hallucinations in bipolar patients</w:t>
        </w:r>
        <w:r w:rsidRPr="004D46AC">
          <w:rPr>
            <w:noProof/>
            <w:webHidden/>
          </w:rPr>
          <w:tab/>
        </w:r>
        <w:r w:rsidRPr="004D46AC">
          <w:rPr>
            <w:noProof/>
            <w:webHidden/>
          </w:rPr>
          <w:fldChar w:fldCharType="begin"/>
        </w:r>
        <w:r w:rsidRPr="004D46AC">
          <w:rPr>
            <w:noProof/>
            <w:webHidden/>
          </w:rPr>
          <w:instrText xml:space="preserve"> PAGEREF _Toc219880218 \h </w:instrText>
        </w:r>
        <w:r w:rsidRPr="004D46AC">
          <w:rPr>
            <w:noProof/>
            <w:webHidden/>
          </w:rPr>
        </w:r>
        <w:r w:rsidRPr="004D46AC">
          <w:rPr>
            <w:noProof/>
            <w:webHidden/>
          </w:rPr>
          <w:fldChar w:fldCharType="separate"/>
        </w:r>
        <w:r w:rsidR="009568EC" w:rsidRPr="004D46AC">
          <w:rPr>
            <w:noProof/>
            <w:webHidden/>
          </w:rPr>
          <w:t>383</w:t>
        </w:r>
        <w:r w:rsidRPr="004D46AC">
          <w:rPr>
            <w:noProof/>
            <w:webHidden/>
          </w:rPr>
          <w:fldChar w:fldCharType="end"/>
        </w:r>
      </w:hyperlink>
    </w:p>
    <w:p w14:paraId="68828364" w14:textId="700DF278"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19" w:history="1">
        <w:r w:rsidRPr="004D46AC">
          <w:rPr>
            <w:rStyle w:val="af5"/>
            <w:b/>
            <w:bCs/>
            <w:noProof/>
          </w:rPr>
          <w:t>Figure B 37</w:t>
        </w:r>
        <w:r w:rsidR="0012185F" w:rsidRPr="004D46AC">
          <w:rPr>
            <w:noProof/>
          </w:rPr>
          <w:t xml:space="preserve"> </w:t>
        </w:r>
        <w:r w:rsidR="0012185F" w:rsidRPr="004D46AC">
          <w:rPr>
            <w:rStyle w:val="af5"/>
            <w:i/>
            <w:iCs/>
            <w:noProof/>
          </w:rPr>
          <w:t>Pooled rate of lifetime thought disorders in bipolar patients</w:t>
        </w:r>
        <w:r w:rsidRPr="004D46AC">
          <w:rPr>
            <w:noProof/>
            <w:webHidden/>
          </w:rPr>
          <w:tab/>
        </w:r>
        <w:r w:rsidRPr="004D46AC">
          <w:rPr>
            <w:noProof/>
            <w:webHidden/>
          </w:rPr>
          <w:fldChar w:fldCharType="begin"/>
        </w:r>
        <w:r w:rsidRPr="004D46AC">
          <w:rPr>
            <w:noProof/>
            <w:webHidden/>
          </w:rPr>
          <w:instrText xml:space="preserve"> PAGEREF _Toc219880219 \h </w:instrText>
        </w:r>
        <w:r w:rsidRPr="004D46AC">
          <w:rPr>
            <w:noProof/>
            <w:webHidden/>
          </w:rPr>
        </w:r>
        <w:r w:rsidRPr="004D46AC">
          <w:rPr>
            <w:noProof/>
            <w:webHidden/>
          </w:rPr>
          <w:fldChar w:fldCharType="separate"/>
        </w:r>
        <w:r w:rsidR="009568EC" w:rsidRPr="004D46AC">
          <w:rPr>
            <w:noProof/>
            <w:webHidden/>
          </w:rPr>
          <w:t>384</w:t>
        </w:r>
        <w:r w:rsidRPr="004D46AC">
          <w:rPr>
            <w:noProof/>
            <w:webHidden/>
          </w:rPr>
          <w:fldChar w:fldCharType="end"/>
        </w:r>
      </w:hyperlink>
    </w:p>
    <w:p w14:paraId="71F77795" w14:textId="4BADA12F"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20" w:history="1">
        <w:r w:rsidRPr="004D46AC">
          <w:rPr>
            <w:rStyle w:val="af5"/>
            <w:b/>
            <w:bCs/>
            <w:noProof/>
          </w:rPr>
          <w:t>Figure B 38</w:t>
        </w:r>
        <w:r w:rsidR="0012185F" w:rsidRPr="004D46AC">
          <w:rPr>
            <w:noProof/>
          </w:rPr>
          <w:t xml:space="preserve"> </w:t>
        </w:r>
        <w:r w:rsidR="0012185F" w:rsidRPr="004D46AC">
          <w:rPr>
            <w:rStyle w:val="af5"/>
            <w:i/>
            <w:iCs/>
            <w:noProof/>
          </w:rPr>
          <w:t>Funnel plots for lifetime thought disorders in bipolar patients</w:t>
        </w:r>
        <w:r w:rsidRPr="004D46AC">
          <w:rPr>
            <w:noProof/>
            <w:webHidden/>
          </w:rPr>
          <w:tab/>
        </w:r>
        <w:r w:rsidRPr="004D46AC">
          <w:rPr>
            <w:noProof/>
            <w:webHidden/>
          </w:rPr>
          <w:fldChar w:fldCharType="begin"/>
        </w:r>
        <w:r w:rsidRPr="004D46AC">
          <w:rPr>
            <w:noProof/>
            <w:webHidden/>
          </w:rPr>
          <w:instrText xml:space="preserve"> PAGEREF _Toc219880220 \h </w:instrText>
        </w:r>
        <w:r w:rsidRPr="004D46AC">
          <w:rPr>
            <w:noProof/>
            <w:webHidden/>
          </w:rPr>
        </w:r>
        <w:r w:rsidRPr="004D46AC">
          <w:rPr>
            <w:noProof/>
            <w:webHidden/>
          </w:rPr>
          <w:fldChar w:fldCharType="separate"/>
        </w:r>
        <w:r w:rsidR="009568EC" w:rsidRPr="004D46AC">
          <w:rPr>
            <w:noProof/>
            <w:webHidden/>
          </w:rPr>
          <w:t>385</w:t>
        </w:r>
        <w:r w:rsidRPr="004D46AC">
          <w:rPr>
            <w:noProof/>
            <w:webHidden/>
          </w:rPr>
          <w:fldChar w:fldCharType="end"/>
        </w:r>
      </w:hyperlink>
    </w:p>
    <w:p w14:paraId="3DB375C8" w14:textId="25813A0F"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21" w:history="1">
        <w:r w:rsidRPr="004D46AC">
          <w:rPr>
            <w:rStyle w:val="af5"/>
            <w:b/>
            <w:bCs/>
            <w:noProof/>
          </w:rPr>
          <w:t>Figure B 39</w:t>
        </w:r>
        <w:r w:rsidR="0012185F" w:rsidRPr="004D46AC">
          <w:rPr>
            <w:i/>
            <w:iCs/>
            <w:noProof/>
          </w:rPr>
          <w:t xml:space="preserve"> </w:t>
        </w:r>
        <w:r w:rsidR="0012185F" w:rsidRPr="004D46AC">
          <w:rPr>
            <w:rStyle w:val="af5"/>
            <w:i/>
            <w:iCs/>
            <w:noProof/>
          </w:rPr>
          <w:t>Pooled rate of current thought disorders in bipolar patients</w:t>
        </w:r>
        <w:r w:rsidRPr="004D46AC">
          <w:rPr>
            <w:noProof/>
            <w:webHidden/>
          </w:rPr>
          <w:tab/>
        </w:r>
        <w:r w:rsidRPr="004D46AC">
          <w:rPr>
            <w:noProof/>
            <w:webHidden/>
          </w:rPr>
          <w:fldChar w:fldCharType="begin"/>
        </w:r>
        <w:r w:rsidRPr="004D46AC">
          <w:rPr>
            <w:noProof/>
            <w:webHidden/>
          </w:rPr>
          <w:instrText xml:space="preserve"> PAGEREF _Toc219880221 \h </w:instrText>
        </w:r>
        <w:r w:rsidRPr="004D46AC">
          <w:rPr>
            <w:noProof/>
            <w:webHidden/>
          </w:rPr>
        </w:r>
        <w:r w:rsidRPr="004D46AC">
          <w:rPr>
            <w:noProof/>
            <w:webHidden/>
          </w:rPr>
          <w:fldChar w:fldCharType="separate"/>
        </w:r>
        <w:r w:rsidR="009568EC" w:rsidRPr="004D46AC">
          <w:rPr>
            <w:noProof/>
            <w:webHidden/>
          </w:rPr>
          <w:t>386</w:t>
        </w:r>
        <w:r w:rsidRPr="004D46AC">
          <w:rPr>
            <w:noProof/>
            <w:webHidden/>
          </w:rPr>
          <w:fldChar w:fldCharType="end"/>
        </w:r>
      </w:hyperlink>
    </w:p>
    <w:p w14:paraId="28BA4DCD" w14:textId="698EFEAE"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22" w:history="1">
        <w:r w:rsidRPr="004D46AC">
          <w:rPr>
            <w:rStyle w:val="af5"/>
            <w:b/>
            <w:bCs/>
            <w:noProof/>
          </w:rPr>
          <w:t>Figure B 40</w:t>
        </w:r>
        <w:r w:rsidR="0012185F" w:rsidRPr="004D46AC">
          <w:rPr>
            <w:noProof/>
          </w:rPr>
          <w:t xml:space="preserve"> </w:t>
        </w:r>
        <w:r w:rsidR="0012185F" w:rsidRPr="004D46AC">
          <w:rPr>
            <w:rStyle w:val="af5"/>
            <w:i/>
            <w:iCs/>
            <w:noProof/>
          </w:rPr>
          <w:t>Funnel plots for current thought disorders in bipolar patients</w:t>
        </w:r>
        <w:r w:rsidRPr="004D46AC">
          <w:rPr>
            <w:noProof/>
            <w:webHidden/>
          </w:rPr>
          <w:tab/>
        </w:r>
        <w:r w:rsidRPr="004D46AC">
          <w:rPr>
            <w:noProof/>
            <w:webHidden/>
          </w:rPr>
          <w:fldChar w:fldCharType="begin"/>
        </w:r>
        <w:r w:rsidRPr="004D46AC">
          <w:rPr>
            <w:noProof/>
            <w:webHidden/>
          </w:rPr>
          <w:instrText xml:space="preserve"> PAGEREF _Toc219880222 \h </w:instrText>
        </w:r>
        <w:r w:rsidRPr="004D46AC">
          <w:rPr>
            <w:noProof/>
            <w:webHidden/>
          </w:rPr>
        </w:r>
        <w:r w:rsidRPr="004D46AC">
          <w:rPr>
            <w:noProof/>
            <w:webHidden/>
          </w:rPr>
          <w:fldChar w:fldCharType="separate"/>
        </w:r>
        <w:r w:rsidR="009568EC" w:rsidRPr="004D46AC">
          <w:rPr>
            <w:noProof/>
            <w:webHidden/>
          </w:rPr>
          <w:t>387</w:t>
        </w:r>
        <w:r w:rsidRPr="004D46AC">
          <w:rPr>
            <w:noProof/>
            <w:webHidden/>
          </w:rPr>
          <w:fldChar w:fldCharType="end"/>
        </w:r>
      </w:hyperlink>
    </w:p>
    <w:p w14:paraId="3089DF70" w14:textId="7D15CC66" w:rsidR="007346BC" w:rsidRPr="004D46AC" w:rsidRDefault="007346BC" w:rsidP="007346BC">
      <w:pPr>
        <w:pStyle w:val="1"/>
        <w:rPr>
          <w:rFonts w:eastAsiaTheme="minorEastAsia"/>
        </w:rPr>
      </w:pPr>
      <w:r w:rsidRPr="004D46AC">
        <w:rPr>
          <w:rFonts w:eastAsiaTheme="minorEastAsia"/>
        </w:rPr>
        <w:fldChar w:fldCharType="end"/>
      </w:r>
      <w:bookmarkStart w:id="14" w:name="_Toc219888746"/>
      <w:r w:rsidRPr="004D46AC">
        <w:t>List of Figures (Appendix C)</w:t>
      </w:r>
      <w:bookmarkEnd w:id="14"/>
    </w:p>
    <w:p w14:paraId="69909EC2" w14:textId="12692FDA"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r w:rsidRPr="004D46AC">
        <w:rPr>
          <w:rFonts w:eastAsiaTheme="minorEastAsia"/>
        </w:rPr>
        <w:fldChar w:fldCharType="begin"/>
      </w:r>
      <w:r w:rsidRPr="004D46AC">
        <w:rPr>
          <w:rFonts w:eastAsiaTheme="minorEastAsia"/>
        </w:rPr>
        <w:instrText xml:space="preserve"> </w:instrText>
      </w:r>
      <w:r w:rsidRPr="004D46AC">
        <w:rPr>
          <w:rFonts w:eastAsiaTheme="minorEastAsia" w:hint="eastAsia"/>
        </w:rPr>
        <w:instrText>TOC \h \z \c "Figure C"</w:instrText>
      </w:r>
      <w:r w:rsidRPr="004D46AC">
        <w:rPr>
          <w:rFonts w:eastAsiaTheme="minorEastAsia"/>
        </w:rPr>
        <w:instrText xml:space="preserve"> </w:instrText>
      </w:r>
      <w:r w:rsidRPr="004D46AC">
        <w:rPr>
          <w:rFonts w:eastAsiaTheme="minorEastAsia"/>
        </w:rPr>
        <w:fldChar w:fldCharType="separate"/>
      </w:r>
      <w:hyperlink w:anchor="_Toc219880238" w:history="1">
        <w:r w:rsidRPr="004D46AC">
          <w:rPr>
            <w:rStyle w:val="af5"/>
            <w:b/>
            <w:bCs/>
            <w:noProof/>
          </w:rPr>
          <w:t>Figure C 1</w:t>
        </w:r>
        <w:r w:rsidR="0012185F" w:rsidRPr="004D46AC">
          <w:rPr>
            <w:i/>
            <w:iCs/>
            <w:noProof/>
          </w:rPr>
          <w:t xml:space="preserve"> </w:t>
        </w:r>
        <w:r w:rsidR="0012185F" w:rsidRPr="004D46AC">
          <w:rPr>
            <w:rStyle w:val="af5"/>
            <w:i/>
            <w:iCs/>
            <w:noProof/>
          </w:rPr>
          <w:t>The bootstrapped edge weight CIs of the network of affective and psychotic syndromes</w:t>
        </w:r>
        <w:r w:rsidRPr="004D46AC">
          <w:rPr>
            <w:noProof/>
            <w:webHidden/>
          </w:rPr>
          <w:tab/>
        </w:r>
        <w:r w:rsidRPr="004D46AC">
          <w:rPr>
            <w:noProof/>
            <w:webHidden/>
          </w:rPr>
          <w:fldChar w:fldCharType="begin"/>
        </w:r>
        <w:r w:rsidRPr="004D46AC">
          <w:rPr>
            <w:noProof/>
            <w:webHidden/>
          </w:rPr>
          <w:instrText xml:space="preserve"> PAGEREF _Toc219880238 \h </w:instrText>
        </w:r>
        <w:r w:rsidRPr="004D46AC">
          <w:rPr>
            <w:noProof/>
            <w:webHidden/>
          </w:rPr>
        </w:r>
        <w:r w:rsidRPr="004D46AC">
          <w:rPr>
            <w:noProof/>
            <w:webHidden/>
          </w:rPr>
          <w:fldChar w:fldCharType="separate"/>
        </w:r>
        <w:r w:rsidR="009568EC" w:rsidRPr="004D46AC">
          <w:rPr>
            <w:noProof/>
            <w:webHidden/>
          </w:rPr>
          <w:t>444</w:t>
        </w:r>
        <w:r w:rsidRPr="004D46AC">
          <w:rPr>
            <w:noProof/>
            <w:webHidden/>
          </w:rPr>
          <w:fldChar w:fldCharType="end"/>
        </w:r>
      </w:hyperlink>
    </w:p>
    <w:p w14:paraId="6C27718F" w14:textId="77C7F879"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39" w:history="1">
        <w:r w:rsidRPr="004D46AC">
          <w:rPr>
            <w:rStyle w:val="af5"/>
            <w:b/>
            <w:bCs/>
            <w:noProof/>
          </w:rPr>
          <w:t>Figure C 2</w:t>
        </w:r>
        <w:r w:rsidR="0012185F" w:rsidRPr="004D46AC">
          <w:rPr>
            <w:noProof/>
          </w:rPr>
          <w:t xml:space="preserve"> </w:t>
        </w:r>
        <w:r w:rsidR="0012185F" w:rsidRPr="004D46AC">
          <w:rPr>
            <w:rStyle w:val="af5"/>
            <w:i/>
            <w:iCs/>
            <w:noProof/>
          </w:rPr>
          <w:t>The bootstrapped node strengths in network of general psychotic population</w:t>
        </w:r>
        <w:r w:rsidRPr="004D46AC">
          <w:rPr>
            <w:noProof/>
            <w:webHidden/>
          </w:rPr>
          <w:tab/>
        </w:r>
        <w:r w:rsidRPr="004D46AC">
          <w:rPr>
            <w:noProof/>
            <w:webHidden/>
          </w:rPr>
          <w:fldChar w:fldCharType="begin"/>
        </w:r>
        <w:r w:rsidRPr="004D46AC">
          <w:rPr>
            <w:noProof/>
            <w:webHidden/>
          </w:rPr>
          <w:instrText xml:space="preserve"> PAGEREF _Toc219880239 \h </w:instrText>
        </w:r>
        <w:r w:rsidRPr="004D46AC">
          <w:rPr>
            <w:noProof/>
            <w:webHidden/>
          </w:rPr>
        </w:r>
        <w:r w:rsidRPr="004D46AC">
          <w:rPr>
            <w:noProof/>
            <w:webHidden/>
          </w:rPr>
          <w:fldChar w:fldCharType="separate"/>
        </w:r>
        <w:r w:rsidR="009568EC" w:rsidRPr="004D46AC">
          <w:rPr>
            <w:noProof/>
            <w:webHidden/>
          </w:rPr>
          <w:t>445</w:t>
        </w:r>
        <w:r w:rsidRPr="004D46AC">
          <w:rPr>
            <w:noProof/>
            <w:webHidden/>
          </w:rPr>
          <w:fldChar w:fldCharType="end"/>
        </w:r>
      </w:hyperlink>
    </w:p>
    <w:p w14:paraId="403C692B" w14:textId="68E63AC2"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40" w:history="1">
        <w:r w:rsidRPr="004D46AC">
          <w:rPr>
            <w:rStyle w:val="af5"/>
            <w:b/>
            <w:bCs/>
            <w:noProof/>
          </w:rPr>
          <w:t>Figure C 3</w:t>
        </w:r>
        <w:r w:rsidR="0012185F" w:rsidRPr="004D46AC">
          <w:rPr>
            <w:noProof/>
          </w:rPr>
          <w:t xml:space="preserve"> </w:t>
        </w:r>
        <w:r w:rsidR="0012185F" w:rsidRPr="004D46AC">
          <w:rPr>
            <w:rStyle w:val="af5"/>
            <w:i/>
            <w:iCs/>
            <w:noProof/>
          </w:rPr>
          <w:t>The differed edge among patients with different psychoses</w:t>
        </w:r>
        <w:r w:rsidRPr="004D46AC">
          <w:rPr>
            <w:noProof/>
            <w:webHidden/>
          </w:rPr>
          <w:tab/>
        </w:r>
        <w:r w:rsidRPr="004D46AC">
          <w:rPr>
            <w:noProof/>
            <w:webHidden/>
          </w:rPr>
          <w:fldChar w:fldCharType="begin"/>
        </w:r>
        <w:r w:rsidRPr="004D46AC">
          <w:rPr>
            <w:noProof/>
            <w:webHidden/>
          </w:rPr>
          <w:instrText xml:space="preserve"> PAGEREF _Toc219880240 \h </w:instrText>
        </w:r>
        <w:r w:rsidRPr="004D46AC">
          <w:rPr>
            <w:noProof/>
            <w:webHidden/>
          </w:rPr>
        </w:r>
        <w:r w:rsidRPr="004D46AC">
          <w:rPr>
            <w:noProof/>
            <w:webHidden/>
          </w:rPr>
          <w:fldChar w:fldCharType="separate"/>
        </w:r>
        <w:r w:rsidR="009568EC" w:rsidRPr="004D46AC">
          <w:rPr>
            <w:noProof/>
            <w:webHidden/>
          </w:rPr>
          <w:t>446</w:t>
        </w:r>
        <w:r w:rsidRPr="004D46AC">
          <w:rPr>
            <w:noProof/>
            <w:webHidden/>
          </w:rPr>
          <w:fldChar w:fldCharType="end"/>
        </w:r>
      </w:hyperlink>
    </w:p>
    <w:p w14:paraId="689B77F3" w14:textId="40DB325F"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41" w:history="1">
        <w:r w:rsidRPr="004D46AC">
          <w:rPr>
            <w:rStyle w:val="af5"/>
            <w:b/>
            <w:bCs/>
            <w:noProof/>
          </w:rPr>
          <w:t>Figure C 4</w:t>
        </w:r>
        <w:r w:rsidR="0012185F" w:rsidRPr="004D46AC">
          <w:rPr>
            <w:noProof/>
          </w:rPr>
          <w:t xml:space="preserve"> </w:t>
        </w:r>
        <w:r w:rsidR="0012185F" w:rsidRPr="004D46AC">
          <w:rPr>
            <w:rStyle w:val="af5"/>
            <w:i/>
            <w:iCs/>
            <w:noProof/>
          </w:rPr>
          <w:t>The network density among patients with different psychoses</w:t>
        </w:r>
        <w:r w:rsidRPr="004D46AC">
          <w:rPr>
            <w:noProof/>
            <w:webHidden/>
          </w:rPr>
          <w:tab/>
        </w:r>
        <w:r w:rsidRPr="004D46AC">
          <w:rPr>
            <w:noProof/>
            <w:webHidden/>
          </w:rPr>
          <w:fldChar w:fldCharType="begin"/>
        </w:r>
        <w:r w:rsidRPr="004D46AC">
          <w:rPr>
            <w:noProof/>
            <w:webHidden/>
          </w:rPr>
          <w:instrText xml:space="preserve"> PAGEREF _Toc219880241 \h </w:instrText>
        </w:r>
        <w:r w:rsidRPr="004D46AC">
          <w:rPr>
            <w:noProof/>
            <w:webHidden/>
          </w:rPr>
        </w:r>
        <w:r w:rsidRPr="004D46AC">
          <w:rPr>
            <w:noProof/>
            <w:webHidden/>
          </w:rPr>
          <w:fldChar w:fldCharType="separate"/>
        </w:r>
        <w:r w:rsidR="009568EC" w:rsidRPr="004D46AC">
          <w:rPr>
            <w:noProof/>
            <w:webHidden/>
          </w:rPr>
          <w:t>447</w:t>
        </w:r>
        <w:r w:rsidRPr="004D46AC">
          <w:rPr>
            <w:noProof/>
            <w:webHidden/>
          </w:rPr>
          <w:fldChar w:fldCharType="end"/>
        </w:r>
      </w:hyperlink>
    </w:p>
    <w:p w14:paraId="2F55A39C" w14:textId="24751E64"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42" w:history="1">
        <w:r w:rsidRPr="004D46AC">
          <w:rPr>
            <w:rStyle w:val="af5"/>
            <w:b/>
            <w:bCs/>
            <w:noProof/>
          </w:rPr>
          <w:t>Figure C 5</w:t>
        </w:r>
        <w:r w:rsidR="0012185F" w:rsidRPr="004D46AC">
          <w:rPr>
            <w:noProof/>
          </w:rPr>
          <w:t xml:space="preserve"> </w:t>
        </w:r>
        <w:r w:rsidR="0012185F" w:rsidRPr="004D46AC">
          <w:rPr>
            <w:rStyle w:val="af5"/>
            <w:i/>
            <w:iCs/>
            <w:noProof/>
          </w:rPr>
          <w:t>The edge variability network among networks in different diagnostic groups</w:t>
        </w:r>
        <w:r w:rsidRPr="004D46AC">
          <w:rPr>
            <w:noProof/>
            <w:webHidden/>
          </w:rPr>
          <w:tab/>
        </w:r>
        <w:r w:rsidRPr="004D46AC">
          <w:rPr>
            <w:noProof/>
            <w:webHidden/>
          </w:rPr>
          <w:fldChar w:fldCharType="begin"/>
        </w:r>
        <w:r w:rsidRPr="004D46AC">
          <w:rPr>
            <w:noProof/>
            <w:webHidden/>
          </w:rPr>
          <w:instrText xml:space="preserve"> PAGEREF _Toc219880242 \h </w:instrText>
        </w:r>
        <w:r w:rsidRPr="004D46AC">
          <w:rPr>
            <w:noProof/>
            <w:webHidden/>
          </w:rPr>
        </w:r>
        <w:r w:rsidRPr="004D46AC">
          <w:rPr>
            <w:noProof/>
            <w:webHidden/>
          </w:rPr>
          <w:fldChar w:fldCharType="separate"/>
        </w:r>
        <w:r w:rsidR="009568EC" w:rsidRPr="004D46AC">
          <w:rPr>
            <w:noProof/>
            <w:webHidden/>
          </w:rPr>
          <w:t>448</w:t>
        </w:r>
        <w:r w:rsidRPr="004D46AC">
          <w:rPr>
            <w:noProof/>
            <w:webHidden/>
          </w:rPr>
          <w:fldChar w:fldCharType="end"/>
        </w:r>
      </w:hyperlink>
    </w:p>
    <w:p w14:paraId="08445FC7" w14:textId="02DE9E5E" w:rsidR="007346BC" w:rsidRPr="004D46AC" w:rsidRDefault="007346BC" w:rsidP="007346BC">
      <w:pPr>
        <w:pStyle w:val="1"/>
        <w:rPr>
          <w:rFonts w:eastAsiaTheme="minorEastAsia"/>
        </w:rPr>
      </w:pPr>
      <w:r w:rsidRPr="004D46AC">
        <w:rPr>
          <w:rFonts w:eastAsiaTheme="minorEastAsia"/>
        </w:rPr>
        <w:lastRenderedPageBreak/>
        <w:fldChar w:fldCharType="end"/>
      </w:r>
      <w:bookmarkStart w:id="15" w:name="_Toc219888747"/>
      <w:r w:rsidRPr="004D46AC">
        <w:t>List of Figures (Appendix D)</w:t>
      </w:r>
      <w:bookmarkEnd w:id="15"/>
    </w:p>
    <w:p w14:paraId="20B3FE9E" w14:textId="453DF854"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r w:rsidRPr="004D46AC">
        <w:rPr>
          <w:rFonts w:eastAsiaTheme="minorEastAsia"/>
        </w:rPr>
        <w:fldChar w:fldCharType="begin"/>
      </w:r>
      <w:r w:rsidRPr="004D46AC">
        <w:rPr>
          <w:rFonts w:eastAsiaTheme="minorEastAsia"/>
        </w:rPr>
        <w:instrText xml:space="preserve"> </w:instrText>
      </w:r>
      <w:r w:rsidRPr="004D46AC">
        <w:rPr>
          <w:rFonts w:eastAsiaTheme="minorEastAsia" w:hint="eastAsia"/>
        </w:rPr>
        <w:instrText>TOC \h \z \c "Figure D"</w:instrText>
      </w:r>
      <w:r w:rsidRPr="004D46AC">
        <w:rPr>
          <w:rFonts w:eastAsiaTheme="minorEastAsia"/>
        </w:rPr>
        <w:instrText xml:space="preserve"> </w:instrText>
      </w:r>
      <w:r w:rsidRPr="004D46AC">
        <w:rPr>
          <w:rFonts w:eastAsiaTheme="minorEastAsia"/>
        </w:rPr>
        <w:fldChar w:fldCharType="separate"/>
      </w:r>
      <w:hyperlink w:anchor="_Toc219880283" w:history="1">
        <w:r w:rsidRPr="004D46AC">
          <w:rPr>
            <w:rStyle w:val="af5"/>
            <w:b/>
            <w:bCs/>
            <w:noProof/>
          </w:rPr>
          <w:t>Figure D 1</w:t>
        </w:r>
        <w:r w:rsidR="00037113" w:rsidRPr="004D46AC">
          <w:rPr>
            <w:noProof/>
          </w:rPr>
          <w:t xml:space="preserve"> </w:t>
        </w:r>
        <w:r w:rsidR="00037113" w:rsidRPr="004D46AC">
          <w:rPr>
            <w:rStyle w:val="af5"/>
            <w:i/>
            <w:iCs/>
            <w:noProof/>
          </w:rPr>
          <w:t>The distributions of ethnicity, income, and contury of residence among the sample</w:t>
        </w:r>
        <w:r w:rsidRPr="004D46AC">
          <w:rPr>
            <w:noProof/>
            <w:webHidden/>
          </w:rPr>
          <w:tab/>
        </w:r>
        <w:r w:rsidRPr="004D46AC">
          <w:rPr>
            <w:noProof/>
            <w:webHidden/>
          </w:rPr>
          <w:fldChar w:fldCharType="begin"/>
        </w:r>
        <w:r w:rsidRPr="004D46AC">
          <w:rPr>
            <w:noProof/>
            <w:webHidden/>
          </w:rPr>
          <w:instrText xml:space="preserve"> PAGEREF _Toc219880283 \h </w:instrText>
        </w:r>
        <w:r w:rsidRPr="004D46AC">
          <w:rPr>
            <w:noProof/>
            <w:webHidden/>
          </w:rPr>
        </w:r>
        <w:r w:rsidRPr="004D46AC">
          <w:rPr>
            <w:noProof/>
            <w:webHidden/>
          </w:rPr>
          <w:fldChar w:fldCharType="separate"/>
        </w:r>
        <w:r w:rsidR="009568EC" w:rsidRPr="004D46AC">
          <w:rPr>
            <w:noProof/>
            <w:webHidden/>
          </w:rPr>
          <w:t>457</w:t>
        </w:r>
        <w:r w:rsidRPr="004D46AC">
          <w:rPr>
            <w:noProof/>
            <w:webHidden/>
          </w:rPr>
          <w:fldChar w:fldCharType="end"/>
        </w:r>
      </w:hyperlink>
    </w:p>
    <w:p w14:paraId="343BC06D" w14:textId="7D6D0626"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84" w:history="1">
        <w:r w:rsidRPr="004D46AC">
          <w:rPr>
            <w:rStyle w:val="af5"/>
            <w:b/>
            <w:bCs/>
            <w:noProof/>
          </w:rPr>
          <w:t>Figure D 2</w:t>
        </w:r>
        <w:r w:rsidR="00334471" w:rsidRPr="004D46AC">
          <w:rPr>
            <w:noProof/>
          </w:rPr>
          <w:t xml:space="preserve"> </w:t>
        </w:r>
        <w:r w:rsidR="00334471" w:rsidRPr="004D46AC">
          <w:rPr>
            <w:rStyle w:val="af5"/>
            <w:i/>
            <w:iCs/>
            <w:noProof/>
          </w:rPr>
          <w:t>Empirical network communities of Mood and PLEs across waves</w:t>
        </w:r>
        <w:r w:rsidRPr="004D46AC">
          <w:rPr>
            <w:noProof/>
            <w:webHidden/>
          </w:rPr>
          <w:tab/>
        </w:r>
        <w:r w:rsidRPr="004D46AC">
          <w:rPr>
            <w:noProof/>
            <w:webHidden/>
          </w:rPr>
          <w:fldChar w:fldCharType="begin"/>
        </w:r>
        <w:r w:rsidRPr="004D46AC">
          <w:rPr>
            <w:noProof/>
            <w:webHidden/>
          </w:rPr>
          <w:instrText xml:space="preserve"> PAGEREF _Toc219880284 \h </w:instrText>
        </w:r>
        <w:r w:rsidRPr="004D46AC">
          <w:rPr>
            <w:noProof/>
            <w:webHidden/>
          </w:rPr>
        </w:r>
        <w:r w:rsidRPr="004D46AC">
          <w:rPr>
            <w:noProof/>
            <w:webHidden/>
          </w:rPr>
          <w:fldChar w:fldCharType="separate"/>
        </w:r>
        <w:r w:rsidR="009568EC" w:rsidRPr="004D46AC">
          <w:rPr>
            <w:noProof/>
            <w:webHidden/>
          </w:rPr>
          <w:t>458</w:t>
        </w:r>
        <w:r w:rsidRPr="004D46AC">
          <w:rPr>
            <w:noProof/>
            <w:webHidden/>
          </w:rPr>
          <w:fldChar w:fldCharType="end"/>
        </w:r>
      </w:hyperlink>
    </w:p>
    <w:p w14:paraId="7351E4F2" w14:textId="3E0C564E"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285" w:history="1">
        <w:r w:rsidRPr="004D46AC">
          <w:rPr>
            <w:rStyle w:val="af5"/>
            <w:b/>
            <w:bCs/>
            <w:noProof/>
          </w:rPr>
          <w:t>Figure D 3</w:t>
        </w:r>
        <w:r w:rsidR="00334471" w:rsidRPr="004D46AC">
          <w:rPr>
            <w:noProof/>
          </w:rPr>
          <w:t xml:space="preserve"> </w:t>
        </w:r>
        <w:r w:rsidR="00334471" w:rsidRPr="004D46AC">
          <w:rPr>
            <w:rStyle w:val="af5"/>
            <w:i/>
            <w:iCs/>
            <w:noProof/>
          </w:rPr>
          <w:t>Node statistics across networks of mood and PLEs at waves 5 and 9</w:t>
        </w:r>
        <w:r w:rsidRPr="004D46AC">
          <w:rPr>
            <w:noProof/>
            <w:webHidden/>
          </w:rPr>
          <w:tab/>
        </w:r>
        <w:r w:rsidRPr="004D46AC">
          <w:rPr>
            <w:noProof/>
            <w:webHidden/>
          </w:rPr>
          <w:fldChar w:fldCharType="begin"/>
        </w:r>
        <w:r w:rsidRPr="004D46AC">
          <w:rPr>
            <w:noProof/>
            <w:webHidden/>
          </w:rPr>
          <w:instrText xml:space="preserve"> PAGEREF _Toc219880285 \h </w:instrText>
        </w:r>
        <w:r w:rsidRPr="004D46AC">
          <w:rPr>
            <w:noProof/>
            <w:webHidden/>
          </w:rPr>
        </w:r>
        <w:r w:rsidRPr="004D46AC">
          <w:rPr>
            <w:noProof/>
            <w:webHidden/>
          </w:rPr>
          <w:fldChar w:fldCharType="separate"/>
        </w:r>
        <w:r w:rsidR="009568EC" w:rsidRPr="004D46AC">
          <w:rPr>
            <w:noProof/>
            <w:webHidden/>
          </w:rPr>
          <w:t>459</w:t>
        </w:r>
        <w:r w:rsidRPr="004D46AC">
          <w:rPr>
            <w:noProof/>
            <w:webHidden/>
          </w:rPr>
          <w:fldChar w:fldCharType="end"/>
        </w:r>
      </w:hyperlink>
    </w:p>
    <w:p w14:paraId="386C8007" w14:textId="790A83EA" w:rsidR="007346BC" w:rsidRPr="004D46AC" w:rsidRDefault="007346BC" w:rsidP="007346BC">
      <w:pPr>
        <w:pStyle w:val="1"/>
      </w:pPr>
      <w:r w:rsidRPr="004D46AC">
        <w:rPr>
          <w:rFonts w:eastAsiaTheme="minorEastAsia"/>
        </w:rPr>
        <w:fldChar w:fldCharType="end"/>
      </w:r>
      <w:bookmarkStart w:id="16" w:name="_Toc219888748"/>
      <w:r w:rsidRPr="004D46AC">
        <w:t>List of Figures (Appendix E)</w:t>
      </w:r>
      <w:bookmarkEnd w:id="16"/>
    </w:p>
    <w:p w14:paraId="477FCEFC" w14:textId="7600F582"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r w:rsidRPr="004D46AC">
        <w:rPr>
          <w:rFonts w:eastAsiaTheme="minorEastAsia"/>
        </w:rPr>
        <w:fldChar w:fldCharType="begin"/>
      </w:r>
      <w:r w:rsidRPr="004D46AC">
        <w:rPr>
          <w:rFonts w:eastAsiaTheme="minorEastAsia"/>
        </w:rPr>
        <w:instrText xml:space="preserve"> </w:instrText>
      </w:r>
      <w:r w:rsidRPr="004D46AC">
        <w:rPr>
          <w:rFonts w:eastAsiaTheme="minorEastAsia" w:hint="eastAsia"/>
        </w:rPr>
        <w:instrText>TOC \h \z \c "Figure E"</w:instrText>
      </w:r>
      <w:r w:rsidRPr="004D46AC">
        <w:rPr>
          <w:rFonts w:eastAsiaTheme="minorEastAsia"/>
        </w:rPr>
        <w:instrText xml:space="preserve"> </w:instrText>
      </w:r>
      <w:r w:rsidRPr="004D46AC">
        <w:rPr>
          <w:rFonts w:eastAsiaTheme="minorEastAsia"/>
        </w:rPr>
        <w:fldChar w:fldCharType="separate"/>
      </w:r>
      <w:hyperlink w:anchor="_Toc219880314" w:history="1">
        <w:r w:rsidRPr="004D46AC">
          <w:rPr>
            <w:rStyle w:val="af5"/>
            <w:b/>
            <w:bCs/>
            <w:noProof/>
          </w:rPr>
          <w:t>Figure E 1</w:t>
        </w:r>
        <w:r w:rsidR="00334471" w:rsidRPr="004D46AC">
          <w:rPr>
            <w:noProof/>
          </w:rPr>
          <w:t xml:space="preserve"> </w:t>
        </w:r>
        <w:r w:rsidR="00334471" w:rsidRPr="004D46AC">
          <w:rPr>
            <w:rStyle w:val="af5"/>
            <w:i/>
            <w:iCs/>
            <w:noProof/>
          </w:rPr>
          <w:t>The full procedure of item selection for TRACE</w:t>
        </w:r>
        <w:r w:rsidRPr="004D46AC">
          <w:rPr>
            <w:noProof/>
            <w:webHidden/>
          </w:rPr>
          <w:tab/>
        </w:r>
        <w:r w:rsidRPr="004D46AC">
          <w:rPr>
            <w:noProof/>
            <w:webHidden/>
          </w:rPr>
          <w:fldChar w:fldCharType="begin"/>
        </w:r>
        <w:r w:rsidRPr="004D46AC">
          <w:rPr>
            <w:noProof/>
            <w:webHidden/>
          </w:rPr>
          <w:instrText xml:space="preserve"> PAGEREF _Toc219880314 \h </w:instrText>
        </w:r>
        <w:r w:rsidRPr="004D46AC">
          <w:rPr>
            <w:noProof/>
            <w:webHidden/>
          </w:rPr>
        </w:r>
        <w:r w:rsidRPr="004D46AC">
          <w:rPr>
            <w:noProof/>
            <w:webHidden/>
          </w:rPr>
          <w:fldChar w:fldCharType="separate"/>
        </w:r>
        <w:r w:rsidR="009568EC" w:rsidRPr="004D46AC">
          <w:rPr>
            <w:noProof/>
            <w:webHidden/>
          </w:rPr>
          <w:t>507</w:t>
        </w:r>
        <w:r w:rsidRPr="004D46AC">
          <w:rPr>
            <w:noProof/>
            <w:webHidden/>
          </w:rPr>
          <w:fldChar w:fldCharType="end"/>
        </w:r>
      </w:hyperlink>
    </w:p>
    <w:p w14:paraId="0D347783" w14:textId="6DA0C469"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315" w:history="1">
        <w:r w:rsidRPr="004D46AC">
          <w:rPr>
            <w:rStyle w:val="af5"/>
            <w:b/>
            <w:bCs/>
            <w:noProof/>
          </w:rPr>
          <w:t>Figure E 2</w:t>
        </w:r>
        <w:r w:rsidR="00334471" w:rsidRPr="004D46AC">
          <w:rPr>
            <w:noProof/>
          </w:rPr>
          <w:t xml:space="preserve"> </w:t>
        </w:r>
        <w:r w:rsidR="00334471" w:rsidRPr="004D46AC">
          <w:rPr>
            <w:rStyle w:val="af5"/>
            <w:i/>
            <w:iCs/>
            <w:noProof/>
          </w:rPr>
          <w:t>The item prevalence of distress levels among all sample by different age groups</w:t>
        </w:r>
        <w:r w:rsidRPr="004D46AC">
          <w:rPr>
            <w:noProof/>
            <w:webHidden/>
          </w:rPr>
          <w:tab/>
        </w:r>
        <w:r w:rsidRPr="004D46AC">
          <w:rPr>
            <w:noProof/>
            <w:webHidden/>
          </w:rPr>
          <w:fldChar w:fldCharType="begin"/>
        </w:r>
        <w:r w:rsidRPr="004D46AC">
          <w:rPr>
            <w:noProof/>
            <w:webHidden/>
          </w:rPr>
          <w:instrText xml:space="preserve"> PAGEREF _Toc219880315 \h </w:instrText>
        </w:r>
        <w:r w:rsidRPr="004D46AC">
          <w:rPr>
            <w:noProof/>
            <w:webHidden/>
          </w:rPr>
        </w:r>
        <w:r w:rsidRPr="004D46AC">
          <w:rPr>
            <w:noProof/>
            <w:webHidden/>
          </w:rPr>
          <w:fldChar w:fldCharType="separate"/>
        </w:r>
        <w:r w:rsidR="009568EC" w:rsidRPr="004D46AC">
          <w:rPr>
            <w:noProof/>
            <w:webHidden/>
          </w:rPr>
          <w:t>509</w:t>
        </w:r>
        <w:r w:rsidRPr="004D46AC">
          <w:rPr>
            <w:noProof/>
            <w:webHidden/>
          </w:rPr>
          <w:fldChar w:fldCharType="end"/>
        </w:r>
      </w:hyperlink>
    </w:p>
    <w:p w14:paraId="30D98786" w14:textId="4B05C196"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316" w:history="1">
        <w:r w:rsidRPr="004D46AC">
          <w:rPr>
            <w:rStyle w:val="af5"/>
            <w:b/>
            <w:bCs/>
            <w:noProof/>
          </w:rPr>
          <w:t>Figure E 3</w:t>
        </w:r>
        <w:r w:rsidR="00334471" w:rsidRPr="004D46AC">
          <w:rPr>
            <w:noProof/>
          </w:rPr>
          <w:t xml:space="preserve"> </w:t>
        </w:r>
        <w:r w:rsidR="00334471" w:rsidRPr="004D46AC">
          <w:rPr>
            <w:rStyle w:val="af5"/>
            <w:i/>
            <w:iCs/>
            <w:noProof/>
          </w:rPr>
          <w:t>The Ising Model (IM) network structures of at-risk symptoms by age groups</w:t>
        </w:r>
        <w:r w:rsidRPr="004D46AC">
          <w:rPr>
            <w:noProof/>
            <w:webHidden/>
          </w:rPr>
          <w:tab/>
        </w:r>
        <w:r w:rsidRPr="004D46AC">
          <w:rPr>
            <w:noProof/>
            <w:webHidden/>
          </w:rPr>
          <w:fldChar w:fldCharType="begin"/>
        </w:r>
        <w:r w:rsidRPr="004D46AC">
          <w:rPr>
            <w:noProof/>
            <w:webHidden/>
          </w:rPr>
          <w:instrText xml:space="preserve"> PAGEREF _Toc219880316 \h </w:instrText>
        </w:r>
        <w:r w:rsidRPr="004D46AC">
          <w:rPr>
            <w:noProof/>
            <w:webHidden/>
          </w:rPr>
        </w:r>
        <w:r w:rsidRPr="004D46AC">
          <w:rPr>
            <w:noProof/>
            <w:webHidden/>
          </w:rPr>
          <w:fldChar w:fldCharType="separate"/>
        </w:r>
        <w:r w:rsidR="009568EC" w:rsidRPr="004D46AC">
          <w:rPr>
            <w:noProof/>
            <w:webHidden/>
          </w:rPr>
          <w:t>510</w:t>
        </w:r>
        <w:r w:rsidRPr="004D46AC">
          <w:rPr>
            <w:noProof/>
            <w:webHidden/>
          </w:rPr>
          <w:fldChar w:fldCharType="end"/>
        </w:r>
      </w:hyperlink>
    </w:p>
    <w:p w14:paraId="2430FC98" w14:textId="02F69F30"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317" w:history="1">
        <w:r w:rsidRPr="004D46AC">
          <w:rPr>
            <w:rStyle w:val="af5"/>
            <w:b/>
            <w:bCs/>
            <w:noProof/>
          </w:rPr>
          <w:t>Figure E 4</w:t>
        </w:r>
        <w:r w:rsidR="00334471" w:rsidRPr="004D46AC">
          <w:rPr>
            <w:noProof/>
          </w:rPr>
          <w:t xml:space="preserve"> </w:t>
        </w:r>
        <w:r w:rsidR="00334471" w:rsidRPr="004D46AC">
          <w:rPr>
            <w:rStyle w:val="af5"/>
            <w:i/>
            <w:iCs/>
            <w:noProof/>
          </w:rPr>
          <w:t>Node and bridge strength across age group networks</w:t>
        </w:r>
        <w:r w:rsidRPr="004D46AC">
          <w:rPr>
            <w:noProof/>
            <w:webHidden/>
          </w:rPr>
          <w:tab/>
        </w:r>
        <w:r w:rsidRPr="004D46AC">
          <w:rPr>
            <w:noProof/>
            <w:webHidden/>
          </w:rPr>
          <w:fldChar w:fldCharType="begin"/>
        </w:r>
        <w:r w:rsidRPr="004D46AC">
          <w:rPr>
            <w:noProof/>
            <w:webHidden/>
          </w:rPr>
          <w:instrText xml:space="preserve"> PAGEREF _Toc219880317 \h </w:instrText>
        </w:r>
        <w:r w:rsidRPr="004D46AC">
          <w:rPr>
            <w:noProof/>
            <w:webHidden/>
          </w:rPr>
        </w:r>
        <w:r w:rsidRPr="004D46AC">
          <w:rPr>
            <w:noProof/>
            <w:webHidden/>
          </w:rPr>
          <w:fldChar w:fldCharType="separate"/>
        </w:r>
        <w:r w:rsidR="009568EC" w:rsidRPr="004D46AC">
          <w:rPr>
            <w:noProof/>
            <w:webHidden/>
          </w:rPr>
          <w:t>511</w:t>
        </w:r>
        <w:r w:rsidRPr="004D46AC">
          <w:rPr>
            <w:noProof/>
            <w:webHidden/>
          </w:rPr>
          <w:fldChar w:fldCharType="end"/>
        </w:r>
      </w:hyperlink>
    </w:p>
    <w:p w14:paraId="06570FB1" w14:textId="6F4079AE"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318" w:history="1">
        <w:r w:rsidRPr="004D46AC">
          <w:rPr>
            <w:rStyle w:val="af5"/>
            <w:b/>
            <w:bCs/>
            <w:noProof/>
          </w:rPr>
          <w:t>Figure E 5</w:t>
        </w:r>
        <w:r w:rsidR="00334471" w:rsidRPr="004D46AC">
          <w:rPr>
            <w:noProof/>
          </w:rPr>
          <w:t xml:space="preserve"> </w:t>
        </w:r>
        <w:r w:rsidR="00334471" w:rsidRPr="004D46AC">
          <w:rPr>
            <w:rStyle w:val="af5"/>
            <w:i/>
            <w:iCs/>
            <w:noProof/>
          </w:rPr>
          <w:t>The Ising Model (IM) network structures of at risk symptoms by genders</w:t>
        </w:r>
        <w:r w:rsidRPr="004D46AC">
          <w:rPr>
            <w:noProof/>
            <w:webHidden/>
          </w:rPr>
          <w:tab/>
        </w:r>
        <w:r w:rsidRPr="004D46AC">
          <w:rPr>
            <w:noProof/>
            <w:webHidden/>
          </w:rPr>
          <w:fldChar w:fldCharType="begin"/>
        </w:r>
        <w:r w:rsidRPr="004D46AC">
          <w:rPr>
            <w:noProof/>
            <w:webHidden/>
          </w:rPr>
          <w:instrText xml:space="preserve"> PAGEREF _Toc219880318 \h </w:instrText>
        </w:r>
        <w:r w:rsidRPr="004D46AC">
          <w:rPr>
            <w:noProof/>
            <w:webHidden/>
          </w:rPr>
        </w:r>
        <w:r w:rsidRPr="004D46AC">
          <w:rPr>
            <w:noProof/>
            <w:webHidden/>
          </w:rPr>
          <w:fldChar w:fldCharType="separate"/>
        </w:r>
        <w:r w:rsidR="009568EC" w:rsidRPr="004D46AC">
          <w:rPr>
            <w:noProof/>
            <w:webHidden/>
          </w:rPr>
          <w:t>512</w:t>
        </w:r>
        <w:r w:rsidRPr="004D46AC">
          <w:rPr>
            <w:noProof/>
            <w:webHidden/>
          </w:rPr>
          <w:fldChar w:fldCharType="end"/>
        </w:r>
      </w:hyperlink>
    </w:p>
    <w:p w14:paraId="55019CD1" w14:textId="3314292F" w:rsidR="007346BC" w:rsidRPr="004D46AC" w:rsidRDefault="007346BC" w:rsidP="002C56E2">
      <w:pPr>
        <w:pStyle w:val="afff1"/>
        <w:tabs>
          <w:tab w:val="right" w:leader="dot" w:pos="9016"/>
        </w:tabs>
        <w:spacing w:line="360" w:lineRule="auto"/>
        <w:ind w:firstLine="0"/>
        <w:rPr>
          <w:rFonts w:asciiTheme="minorHAnsi" w:eastAsiaTheme="minorEastAsia" w:hAnsiTheme="minorHAnsi" w:cstheme="minorBidi"/>
          <w:noProof/>
          <w:sz w:val="24"/>
          <w:szCs w:val="24"/>
        </w:rPr>
      </w:pPr>
      <w:hyperlink w:anchor="_Toc219880319" w:history="1">
        <w:r w:rsidRPr="004D46AC">
          <w:rPr>
            <w:rStyle w:val="af5"/>
            <w:b/>
            <w:bCs/>
            <w:noProof/>
          </w:rPr>
          <w:t>Figure E 6</w:t>
        </w:r>
        <w:r w:rsidR="00334471" w:rsidRPr="004D46AC">
          <w:rPr>
            <w:noProof/>
          </w:rPr>
          <w:t xml:space="preserve"> </w:t>
        </w:r>
        <w:r w:rsidR="00334471" w:rsidRPr="004D46AC">
          <w:rPr>
            <w:rStyle w:val="af5"/>
            <w:i/>
            <w:iCs/>
            <w:noProof/>
          </w:rPr>
          <w:t>Node and bridge strength across gender group networks</w:t>
        </w:r>
        <w:r w:rsidRPr="004D46AC">
          <w:rPr>
            <w:noProof/>
            <w:webHidden/>
          </w:rPr>
          <w:tab/>
        </w:r>
        <w:r w:rsidRPr="004D46AC">
          <w:rPr>
            <w:noProof/>
            <w:webHidden/>
          </w:rPr>
          <w:fldChar w:fldCharType="begin"/>
        </w:r>
        <w:r w:rsidRPr="004D46AC">
          <w:rPr>
            <w:noProof/>
            <w:webHidden/>
          </w:rPr>
          <w:instrText xml:space="preserve"> PAGEREF _Toc219880319 \h </w:instrText>
        </w:r>
        <w:r w:rsidRPr="004D46AC">
          <w:rPr>
            <w:noProof/>
            <w:webHidden/>
          </w:rPr>
        </w:r>
        <w:r w:rsidRPr="004D46AC">
          <w:rPr>
            <w:noProof/>
            <w:webHidden/>
          </w:rPr>
          <w:fldChar w:fldCharType="separate"/>
        </w:r>
        <w:r w:rsidR="009568EC" w:rsidRPr="004D46AC">
          <w:rPr>
            <w:noProof/>
            <w:webHidden/>
          </w:rPr>
          <w:t>513</w:t>
        </w:r>
        <w:r w:rsidRPr="004D46AC">
          <w:rPr>
            <w:noProof/>
            <w:webHidden/>
          </w:rPr>
          <w:fldChar w:fldCharType="end"/>
        </w:r>
      </w:hyperlink>
    </w:p>
    <w:p w14:paraId="35B3FD9D" w14:textId="77777777" w:rsidR="00B56A0F" w:rsidRPr="004D46AC" w:rsidRDefault="007346BC" w:rsidP="00A05C88">
      <w:pPr>
        <w:rPr>
          <w:rFonts w:eastAsiaTheme="minorEastAsia"/>
        </w:rPr>
        <w:sectPr w:rsidR="00B56A0F" w:rsidRPr="004D46AC" w:rsidSect="003D5CB6">
          <w:pgSz w:w="11906" w:h="16838"/>
          <w:pgMar w:top="1440" w:right="1440" w:bottom="1440" w:left="1440" w:header="708" w:footer="708" w:gutter="0"/>
          <w:cols w:space="708"/>
          <w:docGrid w:linePitch="360"/>
        </w:sectPr>
      </w:pPr>
      <w:r w:rsidRPr="004D46AC">
        <w:rPr>
          <w:rFonts w:eastAsiaTheme="minorEastAsia"/>
        </w:rPr>
        <w:fldChar w:fldCharType="end"/>
      </w:r>
    </w:p>
    <w:p w14:paraId="1B051E71" w14:textId="0DF99867" w:rsidR="00417F18" w:rsidRPr="004D46AC" w:rsidRDefault="00417F18" w:rsidP="00B56A0F">
      <w:pPr>
        <w:pStyle w:val="1"/>
        <w:rPr>
          <w:rFonts w:eastAsiaTheme="minorEastAsia"/>
        </w:rPr>
      </w:pPr>
      <w:bookmarkStart w:id="17" w:name="_Toc219888749"/>
      <w:r w:rsidRPr="004D46AC">
        <w:lastRenderedPageBreak/>
        <w:t>Declaration</w:t>
      </w:r>
      <w:r w:rsidR="00B56A0F" w:rsidRPr="004D46AC">
        <w:rPr>
          <w:rFonts w:eastAsiaTheme="minorEastAsia" w:hint="eastAsia"/>
        </w:rPr>
        <w:t xml:space="preserve"> and </w:t>
      </w:r>
      <w:r w:rsidR="006D0192" w:rsidRPr="004D46AC">
        <w:rPr>
          <w:rFonts w:eastAsiaTheme="minorEastAsia"/>
        </w:rPr>
        <w:t>Inclusion of Published Work</w:t>
      </w:r>
      <w:bookmarkEnd w:id="17"/>
    </w:p>
    <w:p w14:paraId="1087F61C" w14:textId="77777777" w:rsidR="006D0192" w:rsidRPr="004D46AC" w:rsidRDefault="00417F18" w:rsidP="006D0192">
      <w:pPr>
        <w:rPr>
          <w:rFonts w:eastAsiaTheme="minorEastAsia"/>
        </w:rPr>
      </w:pPr>
      <w:r w:rsidRPr="004D46AC">
        <w:t xml:space="preserve">I, </w:t>
      </w:r>
      <w:r w:rsidR="00B56A0F" w:rsidRPr="004D46AC">
        <w:rPr>
          <w:rFonts w:eastAsiaTheme="minorEastAsia" w:hint="eastAsia"/>
        </w:rPr>
        <w:t>Wen Shao</w:t>
      </w:r>
      <w:r w:rsidRPr="004D46AC">
        <w:t>, confirm that the Thesis is my own work. I am aware of the University’s Guidance on Academic Integrity</w:t>
      </w:r>
      <w:r w:rsidRPr="004D46AC">
        <w:rPr>
          <w:rFonts w:hint="eastAsia"/>
        </w:rPr>
        <w:t>.</w:t>
      </w:r>
      <w:r w:rsidRPr="004D46AC">
        <w:t xml:space="preserve"> This work has not previously been presented for an award at this, or any other, university.</w:t>
      </w:r>
    </w:p>
    <w:p w14:paraId="4EEDDF41" w14:textId="344E455C" w:rsidR="0030127F" w:rsidRPr="004D46AC" w:rsidRDefault="006D0192" w:rsidP="002C56E2">
      <w:pPr>
        <w:rPr>
          <w:rFonts w:eastAsiaTheme="minorEastAsia"/>
        </w:rPr>
      </w:pPr>
      <w:r w:rsidRPr="004D46AC">
        <w:t>This thesis is written in a publication format</w:t>
      </w:r>
      <w:r w:rsidR="002C56E2" w:rsidRPr="004D46AC">
        <w:rPr>
          <w:rFonts w:eastAsiaTheme="minorEastAsia" w:hint="eastAsia"/>
        </w:rPr>
        <w:t>, t</w:t>
      </w:r>
      <w:r w:rsidR="0030127F" w:rsidRPr="004D46AC">
        <w:t>he publication status of the work included in this thesis is presented below, listed sequentially from Chapter 2 to Chapter 5:</w:t>
      </w:r>
    </w:p>
    <w:p w14:paraId="169AAC37" w14:textId="77777777" w:rsidR="0030127F" w:rsidRPr="004D46AC" w:rsidRDefault="0030127F" w:rsidP="0030127F">
      <w:r w:rsidRPr="004D46AC">
        <w:rPr>
          <w:b/>
          <w:bCs/>
        </w:rPr>
        <w:t>Chapter 2</w:t>
      </w:r>
      <w:r w:rsidRPr="004D46AC">
        <w:t xml:space="preserve"> Shao, W., Shao, K., &amp; Bentall, R. P. (Submitted). Comorbid schizophrenia and psychotic symptoms in patients with bipolar disorders: A meta-analysis of the global literature. </w:t>
      </w:r>
      <w:r w:rsidRPr="004D46AC">
        <w:rPr>
          <w:i/>
          <w:iCs/>
        </w:rPr>
        <w:t>Journal of Bipolar Disorders</w:t>
      </w:r>
      <w:r w:rsidRPr="004D46AC">
        <w:t>.</w:t>
      </w:r>
    </w:p>
    <w:p w14:paraId="46CD672A" w14:textId="77777777" w:rsidR="0030127F" w:rsidRPr="004D46AC" w:rsidRDefault="0030127F" w:rsidP="0030127F">
      <w:r w:rsidRPr="004D46AC">
        <w:rPr>
          <w:b/>
          <w:bCs/>
        </w:rPr>
        <w:t>Chapter 3</w:t>
      </w:r>
      <w:r w:rsidRPr="004D46AC">
        <w:t xml:space="preserve"> Shao, W., Simmonds-Buckley, M., </w:t>
      </w:r>
      <w:proofErr w:type="spellStart"/>
      <w:r w:rsidRPr="004D46AC">
        <w:t>Zavlis</w:t>
      </w:r>
      <w:proofErr w:type="spellEnd"/>
      <w:r w:rsidRPr="004D46AC">
        <w:t xml:space="preserve">, O., &amp; Bentall, R. P. (2025). The common structure of the major psychoses: More similarities than differences in the network structures of schizophrenia, schizoaffective disorder, and psychotic bipolar disorder. </w:t>
      </w:r>
      <w:r w:rsidRPr="004D46AC">
        <w:rPr>
          <w:i/>
          <w:iCs/>
        </w:rPr>
        <w:t>Schizophrenia Bulletin</w:t>
      </w:r>
      <w:r w:rsidRPr="004D46AC">
        <w:t xml:space="preserve">, </w:t>
      </w:r>
      <w:r w:rsidRPr="004D46AC">
        <w:rPr>
          <w:i/>
          <w:iCs/>
        </w:rPr>
        <w:t>51</w:t>
      </w:r>
      <w:r w:rsidRPr="004D46AC">
        <w:t xml:space="preserve">(4), 1042–1053. </w:t>
      </w:r>
      <w:hyperlink r:id="rId10" w:tgtFrame="_blank" w:history="1">
        <w:r w:rsidRPr="004D46AC">
          <w:rPr>
            <w:color w:val="0000FF"/>
            <w:u w:val="single"/>
          </w:rPr>
          <w:t>https://doi.org/10.1093/schbul/sbae154</w:t>
        </w:r>
      </w:hyperlink>
    </w:p>
    <w:p w14:paraId="50FB7E0A" w14:textId="77777777" w:rsidR="0030127F" w:rsidRPr="004D46AC" w:rsidRDefault="0030127F" w:rsidP="0030127F">
      <w:r w:rsidRPr="004D46AC">
        <w:rPr>
          <w:b/>
          <w:bCs/>
        </w:rPr>
        <w:t>Chapter 4</w:t>
      </w:r>
      <w:r w:rsidRPr="004D46AC">
        <w:t xml:space="preserve"> Shao, W., Pickering, J., Simmonds-Buckley, M., Mason, L., &amp; Bentall, R. P. (Submitted). The interplay between mood symptoms and psychosis over two years: longitudinal and structural relationships between manic, depressive, and psychotic-like experiences. </w:t>
      </w:r>
      <w:r w:rsidRPr="004D46AC">
        <w:rPr>
          <w:i/>
          <w:iCs/>
        </w:rPr>
        <w:t>Psychological Medicine</w:t>
      </w:r>
      <w:r w:rsidRPr="004D46AC">
        <w:t>.</w:t>
      </w:r>
    </w:p>
    <w:p w14:paraId="5B1F1FEC" w14:textId="4FF6CDBB" w:rsidR="0030127F" w:rsidRPr="004D46AC" w:rsidRDefault="002C56E2" w:rsidP="0030127F">
      <w:r w:rsidRPr="004D46AC">
        <w:rPr>
          <w:rFonts w:eastAsiaTheme="minorEastAsia" w:hint="eastAsia"/>
          <w:b/>
          <w:bCs/>
        </w:rPr>
        <w:t>Part</w:t>
      </w:r>
      <w:r w:rsidR="0030127F" w:rsidRPr="004D46AC">
        <w:rPr>
          <w:rFonts w:eastAsiaTheme="minorEastAsia" w:hint="eastAsia"/>
          <w:b/>
          <w:bCs/>
        </w:rPr>
        <w:t xml:space="preserve"> of </w:t>
      </w:r>
      <w:r w:rsidR="0030127F" w:rsidRPr="004D46AC">
        <w:rPr>
          <w:b/>
          <w:bCs/>
        </w:rPr>
        <w:t>Chapter 5</w:t>
      </w:r>
      <w:r w:rsidR="0030127F" w:rsidRPr="004D46AC">
        <w:t xml:space="preserve"> Pickering, J.*, Shao, W.*, Weich, S., Dalton, C. F., Jones, M., Taylor, C. D. J., Reuber, M., Kingston, J., Gibbs, C., &amp; Bentall, R. P. (2025). Developing TRACE: A transdiagnostic screening tool for early detection of a pluripotent at-risk mental state. </w:t>
      </w:r>
      <w:r w:rsidR="0030127F" w:rsidRPr="004D46AC">
        <w:rPr>
          <w:i/>
          <w:iCs/>
        </w:rPr>
        <w:t>International Journal of Methods in Psychiatric Research</w:t>
      </w:r>
      <w:r w:rsidR="0030127F" w:rsidRPr="004D46AC">
        <w:t xml:space="preserve">, </w:t>
      </w:r>
      <w:r w:rsidR="0030127F" w:rsidRPr="004D46AC">
        <w:rPr>
          <w:i/>
          <w:iCs/>
        </w:rPr>
        <w:t>34</w:t>
      </w:r>
      <w:r w:rsidR="0030127F" w:rsidRPr="004D46AC">
        <w:t xml:space="preserve">(4), e70046. </w:t>
      </w:r>
      <w:hyperlink r:id="rId11" w:tgtFrame="_blank" w:history="1">
        <w:r w:rsidR="0030127F" w:rsidRPr="004D46AC">
          <w:rPr>
            <w:color w:val="0000FF"/>
            <w:u w:val="single"/>
          </w:rPr>
          <w:t>https://doi.org/10.1002/mpr.70046</w:t>
        </w:r>
      </w:hyperlink>
      <w:r w:rsidR="0030127F" w:rsidRPr="004D46AC">
        <w:t xml:space="preserve"> </w:t>
      </w:r>
      <w:r w:rsidR="0030127F" w:rsidRPr="004D46AC">
        <w:rPr>
          <w:i/>
          <w:iCs/>
        </w:rPr>
        <w:t>(*</w:t>
      </w:r>
      <w:r w:rsidR="00426A4B" w:rsidRPr="004D46AC">
        <w:rPr>
          <w:rFonts w:eastAsiaTheme="minorEastAsia" w:hint="eastAsia"/>
          <w:i/>
          <w:iCs/>
        </w:rPr>
        <w:t>Joint first author</w:t>
      </w:r>
      <w:r w:rsidR="0030127F" w:rsidRPr="004D46AC">
        <w:rPr>
          <w:i/>
          <w:iCs/>
        </w:rPr>
        <w:t>).</w:t>
      </w:r>
    </w:p>
    <w:p w14:paraId="639EA566" w14:textId="77777777" w:rsidR="00B56A0F" w:rsidRPr="004D46AC" w:rsidRDefault="00B56A0F" w:rsidP="00B518F1">
      <w:pPr>
        <w:rPr>
          <w:rFonts w:eastAsiaTheme="minorEastAsia"/>
          <w:sz w:val="24"/>
          <w:szCs w:val="24"/>
        </w:rPr>
      </w:pPr>
    </w:p>
    <w:p w14:paraId="2D248386" w14:textId="13B02C54" w:rsidR="006D0192" w:rsidRPr="004D46AC" w:rsidRDefault="006D0192" w:rsidP="00B518F1">
      <w:pPr>
        <w:rPr>
          <w:rFonts w:eastAsiaTheme="minorEastAsia"/>
          <w:sz w:val="24"/>
          <w:szCs w:val="24"/>
        </w:rPr>
        <w:sectPr w:rsidR="006D0192" w:rsidRPr="004D46AC" w:rsidSect="003D5CB6">
          <w:pgSz w:w="11906" w:h="16838"/>
          <w:pgMar w:top="1440" w:right="1440" w:bottom="1440" w:left="1440" w:header="708" w:footer="708" w:gutter="0"/>
          <w:cols w:space="708"/>
          <w:docGrid w:linePitch="360"/>
        </w:sectPr>
      </w:pPr>
    </w:p>
    <w:p w14:paraId="79CDBCE3" w14:textId="766FCCD1" w:rsidR="003D5CB6" w:rsidRPr="004D46AC" w:rsidRDefault="003D5CB6">
      <w:pPr>
        <w:pStyle w:val="1"/>
        <w:numPr>
          <w:ilvl w:val="0"/>
          <w:numId w:val="23"/>
        </w:numPr>
        <w:rPr>
          <w:rFonts w:eastAsiaTheme="minorEastAsia"/>
        </w:rPr>
      </w:pPr>
      <w:bookmarkStart w:id="18" w:name="_Toc219888750"/>
      <w:r w:rsidRPr="004D46AC">
        <w:lastRenderedPageBreak/>
        <w:t>The psychiatric taxonomy of bipolar disorder and schizophrenia: an ordered chaos</w:t>
      </w:r>
      <w:bookmarkEnd w:id="18"/>
    </w:p>
    <w:p w14:paraId="64D44DBE" w14:textId="77777777" w:rsidR="003D5CB6" w:rsidRPr="004D46AC" w:rsidRDefault="003D5CB6" w:rsidP="00B518F1">
      <w:pPr>
        <w:pStyle w:val="2"/>
      </w:pPr>
      <w:bookmarkStart w:id="19" w:name="_Toc219888751"/>
      <w:r w:rsidRPr="004D46AC">
        <w:t>A short introduction to bipolar disorder and schizophrenia</w:t>
      </w:r>
      <w:bookmarkEnd w:id="19"/>
    </w:p>
    <w:p w14:paraId="3FB766D6" w14:textId="77777777" w:rsidR="003D5CB6" w:rsidRPr="004D46AC" w:rsidRDefault="003D5CB6" w:rsidP="00B518F1">
      <w:r w:rsidRPr="004D46AC">
        <w:t>Bipolar</w:t>
      </w:r>
      <w:r w:rsidRPr="004D46AC">
        <w:rPr>
          <w:rFonts w:eastAsiaTheme="minorEastAsia"/>
        </w:rPr>
        <w:t xml:space="preserve"> spectrum</w:t>
      </w:r>
      <w:r w:rsidRPr="004D46AC">
        <w:t xml:space="preserve"> disorder</w:t>
      </w:r>
      <w:r w:rsidRPr="004D46AC">
        <w:rPr>
          <w:rFonts w:eastAsiaTheme="minorEastAsia"/>
        </w:rPr>
        <w:t>s</w:t>
      </w:r>
      <w:r w:rsidRPr="004D46AC">
        <w:t xml:space="preserve"> (B</w:t>
      </w:r>
      <w:r w:rsidRPr="004D46AC">
        <w:rPr>
          <w:rFonts w:eastAsiaTheme="minorEastAsia"/>
        </w:rPr>
        <w:t>S</w:t>
      </w:r>
      <w:r w:rsidRPr="004D46AC">
        <w:t>D)</w:t>
      </w:r>
      <w:r w:rsidRPr="004D46AC">
        <w:rPr>
          <w:rFonts w:eastAsiaTheme="minorEastAsia"/>
        </w:rPr>
        <w:t xml:space="preserve"> </w:t>
      </w:r>
      <w:r w:rsidRPr="004D46AC">
        <w:t>are</w:t>
      </w:r>
      <w:r w:rsidRPr="004D46AC">
        <w:rPr>
          <w:rFonts w:eastAsiaTheme="minorEastAsia"/>
        </w:rPr>
        <w:t xml:space="preserve"> a series of</w:t>
      </w:r>
      <w:r w:rsidRPr="004D46AC">
        <w:t xml:space="preserve"> mental disorder characterised by mood dysregulations. According to the latest DSM (Diagnostic and Statistical Manual of Mental Disorders)</w:t>
      </w:r>
      <w:r w:rsidRPr="004D46AC">
        <w:rPr>
          <w:rFonts w:eastAsiaTheme="minorEastAsia"/>
        </w:rPr>
        <w:t xml:space="preserve"> manual</w:t>
      </w:r>
      <w:r w:rsidRPr="004D46AC">
        <w:t>, patients with B</w:t>
      </w:r>
      <w:r w:rsidRPr="004D46AC">
        <w:rPr>
          <w:rFonts w:eastAsiaTheme="minorEastAsia"/>
        </w:rPr>
        <w:t>S</w:t>
      </w:r>
      <w:r w:rsidRPr="004D46AC">
        <w:t xml:space="preserve">D are characterised by the presence of both manic and depressive syndromes </w:t>
      </w:r>
      <w:r w:rsidRPr="004D46AC">
        <w:fldChar w:fldCharType="begin"/>
      </w:r>
      <w:r w:rsidRPr="004D46AC">
        <w:instrText xml:space="preserve"> ADDIN EN.CITE &lt;EndNote&gt;&lt;Cite&gt;&lt;Author&gt;American Psychiatric Association&lt;/Author&gt;&lt;Year&gt;2022&lt;/Year&gt;&lt;RecNum&gt;340&lt;/RecNum&gt;&lt;DisplayText&gt;(American Psychiatric Association, 2022)&lt;/DisplayText&gt;&lt;record&gt;&lt;rec-number&gt;340&lt;/rec-number&gt;&lt;foreign-keys&gt;&lt;key app="EN" db-id="aet009sstawa0hewvt3xwf5atffdw2dt02sw" timestamp="1683987184"&gt;340&lt;/key&gt;&lt;/foreign-keys&gt;&lt;ref-type name="Book"&gt;6&lt;/ref-type&gt;&lt;contributors&gt;&lt;authors&gt;&lt;author&gt;American Psychiatric Association, issuing body&lt;/author&gt;&lt;/authors&gt;&lt;/contributors&gt;&lt;titles&gt;&lt;title&gt;Diagnostic and statistical manual of mental disorders : DSM-5-TR&lt;/title&gt;&lt;secondary-title&gt;DSM-5-TR&lt;/secondary-title&gt;&lt;/titles&gt;&lt;edition&gt;5th edition, text revision.&lt;/edition&gt;&lt;keywords&gt;&lt;keyword&gt;Mental illness -- Classification&lt;/keyword&gt;&lt;keyword&gt;Mental illness -- Diagnosis&lt;/keyword&gt;&lt;keyword&gt;Nosology&lt;/keyword&gt;&lt;keyword&gt;Psychodiagnostics&lt;/keyword&gt;&lt;keyword&gt;Diagnostic and statistical manual of mental disorders. 5th ed&lt;/keyword&gt;&lt;keyword&gt;DSM-5&lt;/keyword&gt;&lt;keyword&gt;DSM-V&lt;/keyword&gt;&lt;/keywords&gt;&lt;dates&gt;&lt;year&gt;2022&lt;/year&gt;&lt;/dates&gt;&lt;pub-location&gt;Washington, DC&lt;/pub-location&gt;&lt;publisher&gt;Washington, DC : American Psychiatric Association Publishing, 2022&lt;/publisher&gt;&lt;isbn&gt;0-89042-578-7&lt;/isbn&gt;&lt;urls&gt;&lt;/urls&gt;&lt;/record&gt;&lt;/Cite&gt;&lt;/EndNote&gt;</w:instrText>
      </w:r>
      <w:r w:rsidRPr="004D46AC">
        <w:fldChar w:fldCharType="separate"/>
      </w:r>
      <w:r w:rsidRPr="004D46AC">
        <w:t>(American Psychiatric Association, 2022)</w:t>
      </w:r>
      <w:r w:rsidRPr="004D46AC">
        <w:fldChar w:fldCharType="end"/>
      </w:r>
      <w:r w:rsidRPr="004D46AC">
        <w:t>. Specifically, the manic syndrome includes symptoms such as mood elevation, irritability, increased energy and motor activity, and flight of thoughts while the depressive syndrome is typically comprised symptoms of depressed mood, fatigue, diminished interests, and suicidal thoughts. Another syndrome that is commonly observed in the B</w:t>
      </w:r>
      <w:r w:rsidRPr="004D46AC">
        <w:rPr>
          <w:rFonts w:eastAsiaTheme="minorEastAsia"/>
        </w:rPr>
        <w:t>S</w:t>
      </w:r>
      <w:r w:rsidRPr="004D46AC">
        <w:t xml:space="preserve">D population is hypomania. Symptom manifestations of hypomania are </w:t>
      </w:r>
      <w:proofErr w:type="gramStart"/>
      <w:r w:rsidRPr="004D46AC">
        <w:t>similar to</w:t>
      </w:r>
      <w:proofErr w:type="gramEnd"/>
      <w:r w:rsidRPr="004D46AC">
        <w:t xml:space="preserve"> mania, but the daily functioning of the patients is nearly intact. The presence of manic versus hypomanic features is the criterion used to distinguish whether patients are suffering from B</w:t>
      </w:r>
      <w:r w:rsidRPr="004D46AC">
        <w:rPr>
          <w:rFonts w:eastAsiaTheme="minorEastAsia"/>
        </w:rPr>
        <w:t>S</w:t>
      </w:r>
      <w:r w:rsidRPr="004D46AC">
        <w:t>D type I (i.e., presence of mania) or B</w:t>
      </w:r>
      <w:r w:rsidRPr="004D46AC">
        <w:rPr>
          <w:rFonts w:eastAsiaTheme="minorEastAsia"/>
        </w:rPr>
        <w:t>S</w:t>
      </w:r>
      <w:r w:rsidRPr="004D46AC">
        <w:t>D type II (i.e., presence of hypomania). Regardless of the type of B</w:t>
      </w:r>
      <w:r w:rsidRPr="004D46AC">
        <w:rPr>
          <w:rFonts w:eastAsiaTheme="minorEastAsia"/>
        </w:rPr>
        <w:t>S</w:t>
      </w:r>
      <w:r w:rsidRPr="004D46AC">
        <w:t>D, episodic mood disturbances and accompanying behavioural or cognitive anomalies are the defining features of the disorder.</w:t>
      </w:r>
    </w:p>
    <w:p w14:paraId="79F10065" w14:textId="77777777" w:rsidR="003D5CB6" w:rsidRPr="004D46AC" w:rsidRDefault="003D5CB6" w:rsidP="00B518F1">
      <w:r w:rsidRPr="004D46AC">
        <w:t>B</w:t>
      </w:r>
      <w:r w:rsidRPr="004D46AC">
        <w:rPr>
          <w:rFonts w:eastAsiaTheme="minorEastAsia"/>
        </w:rPr>
        <w:t>S</w:t>
      </w:r>
      <w:r w:rsidRPr="004D46AC">
        <w:t xml:space="preserve">D is not only harmful to patients but also creates a burden for caregivers and public health services. The global number of individuals affected by the disorder was estimated to be approximately 40 million in 2019 </w:t>
      </w:r>
      <w:r w:rsidRPr="004D46AC">
        <w:fldChar w:fldCharType="begin"/>
      </w:r>
      <w:r w:rsidRPr="004D46AC">
        <w:instrText xml:space="preserve"> ADDIN EN.CITE &lt;EndNote&gt;&lt;Cite&gt;&lt;Author&gt;WHO&lt;/Author&gt;&lt;Year&gt;2022&lt;/Year&gt;&lt;RecNum&gt;331&lt;/RecNum&gt;&lt;DisplayText&gt;(WHO, 2022)&lt;/DisplayText&gt;&lt;record&gt;&lt;rec-number&gt;331&lt;/rec-number&gt;&lt;foreign-keys&gt;&lt;key app="EN" db-id="aet009sstawa0hewvt3xwf5atffdw2dt02sw" timestamp="1671523611"&gt;331&lt;/key&gt;&lt;/foreign-keys&gt;&lt;ref-type name="Web Page"&gt;12&lt;/ref-type&gt;&lt;contributors&gt;&lt;authors&gt;&lt;author&gt;WHO&lt;/author&gt;&lt;/authors&gt;&lt;/contributors&gt;&lt;titles&gt;&lt;title&gt;Mental disorders&lt;/title&gt;&lt;/titles&gt;&lt;dates&gt;&lt;year&gt;2022&lt;/year&gt;&lt;/dates&gt;&lt;publisher&gt;United Nations&lt;/publisher&gt;&lt;urls&gt;&lt;related-urls&gt;&lt;url&gt;https://www.who.int/news-room/fact-sheets/detail/mental-disorders&lt;/url&gt;&lt;/related-urls&gt;&lt;/urls&gt;&lt;/record&gt;&lt;/Cite&gt;&lt;/EndNote&gt;</w:instrText>
      </w:r>
      <w:r w:rsidRPr="004D46AC">
        <w:fldChar w:fldCharType="separate"/>
      </w:r>
      <w:r w:rsidRPr="004D46AC">
        <w:t>(WHO, 2022)</w:t>
      </w:r>
      <w:r w:rsidRPr="004D46AC">
        <w:fldChar w:fldCharType="end"/>
      </w:r>
      <w:r w:rsidRPr="004D46AC">
        <w:t>; B</w:t>
      </w:r>
      <w:r w:rsidRPr="004D46AC">
        <w:rPr>
          <w:rFonts w:eastAsiaTheme="minorEastAsia"/>
        </w:rPr>
        <w:t>S</w:t>
      </w:r>
      <w:r w:rsidRPr="004D46AC">
        <w:t xml:space="preserve">D patients, even if successfully treated, have a high risk of relapse, and are at increased suicidal risk </w:t>
      </w:r>
      <w:r w:rsidRPr="004D46AC">
        <w:fldChar w:fldCharType="begin"/>
      </w:r>
      <w:r w:rsidRPr="004D46AC">
        <w:instrText xml:space="preserve"> ADDIN EN.CITE &lt;EndNote&gt;&lt;Cite&gt;&lt;Author&gt;Treuer&lt;/Author&gt;&lt;Year&gt;2010&lt;/Year&gt;&lt;RecNum&gt;624&lt;/RecNum&gt;&lt;DisplayText&gt;(Treuer &amp;amp; Tohen, 2010)&lt;/DisplayText&gt;&lt;record&gt;&lt;rec-number&gt;624&lt;/rec-number&gt;&lt;foreign-keys&gt;&lt;key app="EN" db-id="aet009sstawa0hewvt3xwf5atffdw2dt02sw" timestamp="1716401332"&gt;624&lt;/key&gt;&lt;/foreign-keys&gt;&lt;ref-type name="Journal Article"&gt;17&lt;/ref-type&gt;&lt;contributors&gt;&lt;authors&gt;&lt;author&gt;Treuer, T.&lt;/author&gt;&lt;author&gt;Tohen, M.&lt;/author&gt;&lt;/authors&gt;&lt;/contributors&gt;&lt;auth-address&gt;Area Medical Center Vienna, Eli Lilly &amp;amp; Company, 1075 Budapest, Madach u 13-14, Hungary.&lt;/auth-address&gt;&lt;titles&gt;&lt;title&gt;Predicting the course and outcome of bipolar disorder: a review&lt;/title&gt;&lt;secondary-title&gt;Eur Psychiatry&lt;/secondary-title&gt;&lt;/titles&gt;&lt;periodical&gt;&lt;full-title&gt;Eur Psychiatry&lt;/full-title&gt;&lt;/periodical&gt;&lt;pages&gt;328-33&lt;/pages&gt;&lt;volume&gt;25&lt;/volume&gt;&lt;number&gt;6&lt;/number&gt;&lt;edition&gt;20100504&lt;/edition&gt;&lt;keywords&gt;&lt;keyword&gt;Age of Onset&lt;/keyword&gt;&lt;keyword&gt;Attention Deficit Disorder with Hyperactivity/epidemiology/*psychology&lt;/keyword&gt;&lt;keyword&gt;Bipolar Disorder/*diagnosis/epidemiology/*psychology&lt;/keyword&gt;&lt;keyword&gt;*Cognition&lt;/keyword&gt;&lt;keyword&gt;Comorbidity&lt;/keyword&gt;&lt;keyword&gt;Cost of Illness&lt;/keyword&gt;&lt;keyword&gt;Diagnostic and Statistical Manual of Mental Disorders&lt;/keyword&gt;&lt;keyword&gt;Early Intervention, Educational&lt;/keyword&gt;&lt;keyword&gt;Humans&lt;/keyword&gt;&lt;keyword&gt;*Personality&lt;/keyword&gt;&lt;keyword&gt;Prognosis&lt;/keyword&gt;&lt;keyword&gt;Risk Factors&lt;/keyword&gt;&lt;keyword&gt;Severity of Illness Index&lt;/keyword&gt;&lt;keyword&gt;Substance-Related Disorders/epidemiology/*psychology&lt;/keyword&gt;&lt;keyword&gt;*Suicidal Ideation&lt;/keyword&gt;&lt;/keywords&gt;&lt;dates&gt;&lt;year&gt;2010&lt;/year&gt;&lt;pub-dates&gt;&lt;date&gt;Oct&lt;/date&gt;&lt;/pub-dates&gt;&lt;/dates&gt;&lt;isbn&gt;1778-3585 (Electronic)&amp;#xD;0924-9338 (Linking)&lt;/isbn&gt;&lt;accession-num&gt;20444581&lt;/accession-num&gt;&lt;urls&gt;&lt;related-urls&gt;&lt;url&gt;https://www.ncbi.nlm.nih.gov/pubmed/20444581&lt;/url&gt;&lt;/related-urls&gt;&lt;/urls&gt;&lt;electronic-resource-num&gt;10.1016/j.eurpsy.2009.11.012&lt;/electronic-resource-num&gt;&lt;remote-database-name&gt;Medline&lt;/remote-database-name&gt;&lt;remote-database-provider&gt;NLM&lt;/remote-database-provider&gt;&lt;language&gt;eng&lt;/language&gt;&lt;/record&gt;&lt;/Cite&gt;&lt;/EndNote&gt;</w:instrText>
      </w:r>
      <w:r w:rsidRPr="004D46AC">
        <w:fldChar w:fldCharType="separate"/>
      </w:r>
      <w:r w:rsidRPr="004D46AC">
        <w:t>(Treuer &amp; Tohen, 2010)</w:t>
      </w:r>
      <w:r w:rsidRPr="004D46AC">
        <w:fldChar w:fldCharType="end"/>
      </w:r>
      <w:r w:rsidRPr="004D46AC">
        <w:t xml:space="preserve">. In addition, patients with bipolar disorder are likely to be unemployed and many have comorbid substance abuse </w:t>
      </w:r>
      <w:r w:rsidRPr="004D46AC">
        <w:fldChar w:fldCharType="begin"/>
      </w:r>
      <w:r w:rsidRPr="004D46AC">
        <w:instrText xml:space="preserve"> ADDIN EN.CITE &lt;EndNote&gt;&lt;Cite&gt;&lt;Author&gt;Fajutrao&lt;/Author&gt;&lt;Year&gt;2009&lt;/Year&gt;&lt;RecNum&gt;347&lt;/RecNum&gt;&lt;DisplayText&gt;(Fajutrao et al., 2009)&lt;/DisplayText&gt;&lt;record&gt;&lt;rec-number&gt;347&lt;/rec-number&gt;&lt;foreign-keys&gt;&lt;key app="EN" db-id="aet009sstawa0hewvt3xwf5atffdw2dt02sw" timestamp="1685194525"&gt;347&lt;/key&gt;&lt;/foreign-keys&gt;&lt;ref-type name="Journal Article"&gt;17&lt;/ref-type&gt;&lt;contributors&gt;&lt;authors&gt;&lt;author&gt;Fajutrao, L.&lt;/author&gt;&lt;author&gt;Locklear, J.&lt;/author&gt;&lt;author&gt;Priaulx, J.&lt;/author&gt;&lt;author&gt;Heyes, A.&lt;/author&gt;&lt;/authors&gt;&lt;/contributors&gt;&lt;auth-address&gt;Health Economics and Outcomes, AstraZeneca R&amp;amp;D, Sodertalje, Sweden. liberty.fajutrao@astrazeneca.com.&lt;/auth-address&gt;&lt;titles&gt;&lt;title&gt;A systematic review of the evidence of the burden of bipolar disorder in Europe&lt;/title&gt;&lt;secondary-title&gt;Clin Pract Epidemiol Ment Health&lt;/secondary-title&gt;&lt;/titles&gt;&lt;periodical&gt;&lt;full-title&gt;Clin Pract Epidemiol Ment Health&lt;/full-title&gt;&lt;/periodical&gt;&lt;pages&gt;3&lt;/pages&gt;&lt;volume&gt;5&lt;/volume&gt;&lt;edition&gt;20090123&lt;/edition&gt;&lt;dates&gt;&lt;year&gt;2009&lt;/year&gt;&lt;pub-dates&gt;&lt;date&gt;Jan 23&lt;/date&gt;&lt;/pub-dates&gt;&lt;/dates&gt;&lt;isbn&gt;1745-0179 (Electronic)&amp;#xD;1745-0179 (Linking)&lt;/isbn&gt;&lt;accession-num&gt;19166608&lt;/accession-num&gt;&lt;urls&gt;&lt;related-urls&gt;&lt;url&gt;https://www.ncbi.nlm.nih.gov/pubmed/19166608&lt;/url&gt;&lt;/related-urls&gt;&lt;/urls&gt;&lt;custom2&gt;PMC2646705&lt;/custom2&gt;&lt;electronic-resource-num&gt;10.1186/1745-0179-5-3&lt;/electronic-resource-num&gt;&lt;remote-database-name&gt;PubMed-not-MEDLINE&lt;/remote-database-name&gt;&lt;remote-database-provider&gt;NLM&lt;/remote-database-provider&gt;&lt;/record&gt;&lt;/Cite&gt;&lt;/EndNote&gt;</w:instrText>
      </w:r>
      <w:r w:rsidRPr="004D46AC">
        <w:fldChar w:fldCharType="separate"/>
      </w:r>
      <w:r w:rsidRPr="004D46AC">
        <w:rPr>
          <w:noProof/>
        </w:rPr>
        <w:t>(Fajutrao et al., 2009)</w:t>
      </w:r>
      <w:r w:rsidRPr="004D46AC">
        <w:fldChar w:fldCharType="end"/>
      </w:r>
      <w:r w:rsidRPr="004D46AC">
        <w:t>. Meanwhile, the caregivers of B</w:t>
      </w:r>
      <w:r w:rsidRPr="004D46AC">
        <w:rPr>
          <w:rFonts w:eastAsiaTheme="minorEastAsia"/>
        </w:rPr>
        <w:t>S</w:t>
      </w:r>
      <w:r w:rsidRPr="004D46AC">
        <w:t xml:space="preserve">D patient often report stress related to the daily care of patients, who may exhibit aggressiveness, and because of the financial consequences of the disorder </w:t>
      </w:r>
      <w:r w:rsidRPr="004D46AC">
        <w:fldChar w:fldCharType="begin"/>
      </w:r>
      <w:r w:rsidRPr="004D46AC">
        <w:instrText xml:space="preserve"> ADDIN EN.CITE &lt;EndNote&gt;&lt;Cite&gt;&lt;Author&gt;Beentjes&lt;/Author&gt;&lt;Year&gt;2012&lt;/Year&gt;&lt;RecNum&gt;626&lt;/RecNum&gt;&lt;DisplayText&gt;(Beentjes et al., 2012)&lt;/DisplayText&gt;&lt;record&gt;&lt;rec-number&gt;626&lt;/rec-number&gt;&lt;foreign-keys&gt;&lt;key app="EN" db-id="aet009sstawa0hewvt3xwf5atffdw2dt02sw" timestamp="1716402016"&gt;626&lt;/key&gt;&lt;/foreign-keys&gt;&lt;ref-type name="Journal Article"&gt;17&lt;/ref-type&gt;&lt;contributors&gt;&lt;authors&gt;&lt;author&gt;Beentjes, T. A.&lt;/author&gt;&lt;author&gt;Goossens, P. J.&lt;/author&gt;&lt;author&gt;Poslawsky, I. E.&lt;/author&gt;&lt;/authors&gt;&lt;/contributors&gt;&lt;auth-address&gt;University of Utrecht, Utrecht, the Netherlands and Clinical Nurse Specialist, Dimence Mental Health Care Centre, Deventer, The Netherlands. gpearson@uchc.edu&lt;/auth-address&gt;&lt;titles&gt;&lt;title&gt;Caregiver burden in bipolar hypomania and mania: a systematic review&lt;/title&gt;&lt;secondary-title&gt;Perspect Psychiatr Care&lt;/secondary-title&gt;&lt;/titles&gt;&lt;pages&gt;187-97&lt;/pages&gt;&lt;volume&gt;48&lt;/volume&gt;&lt;number&gt;4&lt;/number&gt;&lt;edition&gt;20120215&lt;/edition&gt;&lt;keywords&gt;&lt;keyword&gt;Adaptation, Psychological&lt;/keyword&gt;&lt;keyword&gt;Bipolar Disorder/*nursing&lt;/keyword&gt;&lt;keyword&gt;Caregivers/*psychology&lt;/keyword&gt;&lt;keyword&gt;Cost of Illness&lt;/keyword&gt;&lt;keyword&gt;Family/psychology&lt;/keyword&gt;&lt;keyword&gt;Humans&lt;/keyword&gt;&lt;keyword&gt;Spouses/psychology&lt;/keyword&gt;&lt;/keywords&gt;&lt;dates&gt;&lt;year&gt;2012&lt;/year&gt;&lt;pub-dates&gt;&lt;date&gt;Oct&lt;/date&gt;&lt;/pub-dates&gt;&lt;/dates&gt;&lt;isbn&gt;1744-6163 (Electronic)&amp;#xD;0031-5990 (Linking)&lt;/isbn&gt;&lt;accession-num&gt;23005586&lt;/accession-num&gt;&lt;urls&gt;&lt;related-urls&gt;&lt;url&gt;https://www.ncbi.nlm.nih.gov/pubmed/23005586&lt;/url&gt;&lt;/related-urls&gt;&lt;/urls&gt;&lt;electronic-resource-num&gt;10.1111/j.1744-6163.2012.00328.x&lt;/electronic-resource-num&gt;&lt;remote-database-name&gt;Medline&lt;/remote-database-name&gt;&lt;remote-database-provider&gt;NLM&lt;/remote-database-provider&gt;&lt;/record&gt;&lt;/Cite&gt;&lt;/EndNote&gt;</w:instrText>
      </w:r>
      <w:r w:rsidRPr="004D46AC">
        <w:fldChar w:fldCharType="separate"/>
      </w:r>
      <w:r w:rsidRPr="004D46AC">
        <w:t>(Beentjes et al., 2012)</w:t>
      </w:r>
      <w:r w:rsidRPr="004D46AC">
        <w:fldChar w:fldCharType="end"/>
      </w:r>
      <w:r w:rsidRPr="004D46AC">
        <w:t>;</w:t>
      </w:r>
      <w:r w:rsidRPr="004D46AC">
        <w:rPr>
          <w:rFonts w:eastAsiaTheme="minorEastAsia"/>
        </w:rPr>
        <w:t xml:space="preserve"> a heightened risk of developing psychiatric symptoms </w:t>
      </w:r>
      <w:r w:rsidRPr="004D46AC">
        <w:t xml:space="preserve"> </w:t>
      </w:r>
      <w:r w:rsidRPr="004D46AC">
        <w:rPr>
          <w:rFonts w:eastAsiaTheme="minorEastAsia"/>
        </w:rPr>
        <w:t>and increased</w:t>
      </w:r>
      <w:r w:rsidRPr="004D46AC">
        <w:t xml:space="preserve"> use</w:t>
      </w:r>
      <w:r w:rsidRPr="004D46AC">
        <w:rPr>
          <w:rFonts w:eastAsiaTheme="minorEastAsia"/>
        </w:rPr>
        <w:t xml:space="preserve"> of</w:t>
      </w:r>
      <w:r w:rsidRPr="004D46AC">
        <w:t xml:space="preserve"> mental health care services</w:t>
      </w:r>
      <w:r w:rsidRPr="004D46AC">
        <w:rPr>
          <w:rFonts w:eastAsiaTheme="minorEastAsia"/>
        </w:rPr>
        <w:t xml:space="preserve"> has also been observed in the caregivers of BSD patients</w:t>
      </w:r>
      <w:r w:rsidRPr="004D46AC">
        <w:t xml:space="preserve"> </w:t>
      </w:r>
      <w:r w:rsidRPr="004D46AC">
        <w:fldChar w:fldCharType="begin"/>
      </w:r>
      <w:r w:rsidRPr="004D46AC">
        <w:instrText xml:space="preserve"> ADDIN EN.CITE &lt;EndNote&gt;&lt;Cite&gt;&lt;Author&gt;Steele&lt;/Author&gt;&lt;Year&gt;2010&lt;/Year&gt;&lt;RecNum&gt;625&lt;/RecNum&gt;&lt;DisplayText&gt;(Steele et al., 2010)&lt;/DisplayText&gt;&lt;record&gt;&lt;rec-number&gt;625&lt;/rec-number&gt;&lt;foreign-keys&gt;&lt;key app="EN" db-id="aet009sstawa0hewvt3xwf5atffdw2dt02sw" timestamp="1716401981"&gt;625&lt;/key&gt;&lt;/foreign-keys&gt;&lt;ref-type name="Journal Article"&gt;17&lt;/ref-type&gt;&lt;contributors&gt;&lt;authors&gt;&lt;author&gt;Steele, A.&lt;/author&gt;&lt;author&gt;Maruyama, N.&lt;/author&gt;&lt;author&gt;Galynker, I.&lt;/author&gt;&lt;/authors&gt;&lt;/contributors&gt;&lt;auth-address&gt;Department of Psychiatry, Beth Israel Medical Center, NewYork, NY 10009, USA. annie.steele@gmail.com&lt;/auth-address&gt;&lt;titles&gt;&lt;title&gt;Psychiatric symptoms in caregivers of patients with bipolar disorder: a review&lt;/title&gt;&lt;secondary-title&gt;J Affect Disord&lt;/secondary-title&gt;&lt;/titles&gt;&lt;periodical&gt;&lt;full-title&gt;J Affect Disord&lt;/full-title&gt;&lt;/periodical&gt;&lt;pages&gt;10-21&lt;/pages&gt;&lt;volume&gt;121&lt;/volume&gt;&lt;number&gt;1-2&lt;/number&gt;&lt;edition&gt;20090513&lt;/edition&gt;&lt;keywords&gt;&lt;keyword&gt;Anxiety Disorders/diagnosis/genetics/*psychology&lt;/keyword&gt;&lt;keyword&gt;Bipolar Disorder/genetics/*psychology/therapy&lt;/keyword&gt;&lt;keyword&gt;Caregivers/*psychology&lt;/keyword&gt;&lt;keyword&gt;*Cost of Illness&lt;/keyword&gt;&lt;keyword&gt;Depressive Disorder, Major/diagnosis/genetics/*psychology&lt;/keyword&gt;&lt;keyword&gt;Humans&lt;/keyword&gt;&lt;keyword&gt;Phenotype&lt;/keyword&gt;&lt;keyword&gt;Psychotic Disorders/diagnosis/genetics/psychology&lt;/keyword&gt;&lt;keyword&gt;Research&lt;/keyword&gt;&lt;keyword&gt;Risk Factors&lt;/keyword&gt;&lt;/keywords&gt;&lt;dates&gt;&lt;year&gt;2010&lt;/year&gt;&lt;pub-dates&gt;&lt;date&gt;Feb&lt;/date&gt;&lt;/pub-dates&gt;&lt;/dates&gt;&lt;isbn&gt;1573-2517 (Electronic)&amp;#xD;0165-0327 (Linking)&lt;/isbn&gt;&lt;accession-num&gt;19443040&lt;/accession-num&gt;&lt;urls&gt;&lt;related-urls&gt;&lt;url&gt;https://www.ncbi.nlm.nih.gov/pubmed/19443040&lt;/url&gt;&lt;/related-urls&gt;&lt;/urls&gt;&lt;electronic-resource-num&gt;10.1016/j.jad.2009.04.020&lt;/electronic-resource-num&gt;&lt;remote-database-name&gt;Medline&lt;/remote-database-name&gt;&lt;remote-database-provider&gt;NLM&lt;/remote-database-provider&gt;&lt;/record&gt;&lt;/Cite&gt;&lt;/EndNote&gt;</w:instrText>
      </w:r>
      <w:r w:rsidRPr="004D46AC">
        <w:fldChar w:fldCharType="separate"/>
      </w:r>
      <w:r w:rsidRPr="004D46AC">
        <w:t xml:space="preserve">(Steele et al., </w:t>
      </w:r>
      <w:r w:rsidRPr="004D46AC">
        <w:lastRenderedPageBreak/>
        <w:t>2010)</w:t>
      </w:r>
      <w:r w:rsidRPr="004D46AC">
        <w:fldChar w:fldCharType="end"/>
      </w:r>
      <w:r w:rsidRPr="004D46AC">
        <w:t>. These findings suggest that B</w:t>
      </w:r>
      <w:r w:rsidRPr="004D46AC">
        <w:rPr>
          <w:rFonts w:eastAsiaTheme="minorEastAsia"/>
        </w:rPr>
        <w:t>S</w:t>
      </w:r>
      <w:r w:rsidRPr="004D46AC">
        <w:t>D is a difficult-to-treat chronic mental health condition and burden to the family</w:t>
      </w:r>
      <w:r w:rsidRPr="004D46AC">
        <w:rPr>
          <w:rFonts w:eastAsiaTheme="minorEastAsia"/>
        </w:rPr>
        <w:t xml:space="preserve"> members</w:t>
      </w:r>
      <w:r w:rsidRPr="004D46AC">
        <w:t xml:space="preserve"> of the patients as well as public health care system.</w:t>
      </w:r>
    </w:p>
    <w:p w14:paraId="2DA92F09" w14:textId="77777777" w:rsidR="003D5CB6" w:rsidRPr="004D46AC" w:rsidRDefault="003D5CB6" w:rsidP="00B518F1">
      <w:r w:rsidRPr="004D46AC">
        <w:t>Schizophrenia, by definition, is a mental disorder different from B</w:t>
      </w:r>
      <w:r w:rsidRPr="004D46AC">
        <w:rPr>
          <w:rFonts w:eastAsiaTheme="minorEastAsia"/>
        </w:rPr>
        <w:t>S</w:t>
      </w:r>
      <w:r w:rsidRPr="004D46AC">
        <w:t xml:space="preserve">D. Patients with schizophrenia may present with cognitive anomalies resulting in abnormal sensation and thinking </w:t>
      </w:r>
      <w:r w:rsidRPr="004D46AC">
        <w:fldChar w:fldCharType="begin"/>
      </w:r>
      <w:r w:rsidRPr="004D46AC">
        <w:instrText xml:space="preserve"> ADDIN EN.CITE &lt;EndNote&gt;&lt;Cite&gt;&lt;Author&gt;American Psychiatric Association&lt;/Author&gt;&lt;Year&gt;2022&lt;/Year&gt;&lt;RecNum&gt;340&lt;/RecNum&gt;&lt;DisplayText&gt;(American Psychiatric Association, 2022)&lt;/DisplayText&gt;&lt;record&gt;&lt;rec-number&gt;340&lt;/rec-number&gt;&lt;foreign-keys&gt;&lt;key app="EN" db-id="aet009sstawa0hewvt3xwf5atffdw2dt02sw" timestamp="1683987184"&gt;340&lt;/key&gt;&lt;/foreign-keys&gt;&lt;ref-type name="Book"&gt;6&lt;/ref-type&gt;&lt;contributors&gt;&lt;authors&gt;&lt;author&gt;American Psychiatric Association, issuing body&lt;/author&gt;&lt;/authors&gt;&lt;/contributors&gt;&lt;titles&gt;&lt;title&gt;Diagnostic and statistical manual of mental disorders : DSM-5-TR&lt;/title&gt;&lt;secondary-title&gt;DSM-5-TR&lt;/secondary-title&gt;&lt;/titles&gt;&lt;edition&gt;5th edition, text revision.&lt;/edition&gt;&lt;keywords&gt;&lt;keyword&gt;Mental illness -- Classification&lt;/keyword&gt;&lt;keyword&gt;Mental illness -- Diagnosis&lt;/keyword&gt;&lt;keyword&gt;Nosology&lt;/keyword&gt;&lt;keyword&gt;Psychodiagnostics&lt;/keyword&gt;&lt;keyword&gt;Diagnostic and statistical manual of mental disorders. 5th ed&lt;/keyword&gt;&lt;keyword&gt;DSM-5&lt;/keyword&gt;&lt;keyword&gt;DSM-V&lt;/keyword&gt;&lt;/keywords&gt;&lt;dates&gt;&lt;year&gt;2022&lt;/year&gt;&lt;/dates&gt;&lt;pub-location&gt;Washington, DC&lt;/pub-location&gt;&lt;publisher&gt;Washington, DC : American Psychiatric Association Publishing, 2022&lt;/publisher&gt;&lt;isbn&gt;0-89042-578-7&lt;/isbn&gt;&lt;urls&gt;&lt;/urls&gt;&lt;/record&gt;&lt;/Cite&gt;&lt;/EndNote&gt;</w:instrText>
      </w:r>
      <w:r w:rsidRPr="004D46AC">
        <w:fldChar w:fldCharType="separate"/>
      </w:r>
      <w:r w:rsidRPr="004D46AC">
        <w:t>(American Psychiatric Association, 2022)</w:t>
      </w:r>
      <w:r w:rsidRPr="004D46AC">
        <w:fldChar w:fldCharType="end"/>
      </w:r>
      <w:r w:rsidRPr="004D46AC">
        <w:t>. Several hallmark symptoms include hallucinations (i.e., patients perceive non-present visual or auditory stimuli), delusions (i.e., fixed false beliefs), and thought disorder (i.e., disorganised speech or thinking process). These symptoms are also known as psychotic symptoms/ syndrome. S</w:t>
      </w:r>
      <w:r w:rsidRPr="004D46AC">
        <w:rPr>
          <w:rFonts w:eastAsiaTheme="minorEastAsia"/>
        </w:rPr>
        <w:t>chizophrenia</w:t>
      </w:r>
      <w:r w:rsidRPr="004D46AC">
        <w:t xml:space="preserve"> is associated with a low remission rate and the loss of autonomy </w:t>
      </w:r>
      <w:r w:rsidRPr="004D46AC">
        <w:fldChar w:fldCharType="begin">
          <w:fldData xml:space="preserve">PEVuZE5vdGU+PENpdGU+PEF1dGhvcj5IdWJlcjwvQXV0aG9yPjxZZWFyPjE5NzU8L1llYXI+PFJl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</w:fldData>
        </w:fldChar>
      </w:r>
      <w:r w:rsidRPr="004D46AC">
        <w:instrText xml:space="preserve"> ADDIN EN.CITE </w:instrText>
      </w:r>
      <w:r w:rsidRPr="004D46AC">
        <w:fldChar w:fldCharType="begin">
          <w:fldData xml:space="preserve">PEVuZE5vdGU+PENpdGU+PEF1dGhvcj5IdWJlcjwvQXV0aG9yPjxZZWFyPjE5NzU8L1llYXI+PFJl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</w:fldData>
        </w:fldChar>
      </w:r>
      <w:r w:rsidRPr="004D46AC">
        <w:instrText xml:space="preserve"> ADDIN EN.CITE.DATA </w:instrText>
      </w:r>
      <w:r w:rsidRPr="004D46AC">
        <w:fldChar w:fldCharType="end"/>
      </w:r>
      <w:r w:rsidRPr="004D46AC">
        <w:fldChar w:fldCharType="separate"/>
      </w:r>
      <w:r w:rsidRPr="004D46AC">
        <w:t>(Huber, 1997; Huber et al., 1975)</w:t>
      </w:r>
      <w:r w:rsidRPr="004D46AC">
        <w:fldChar w:fldCharType="end"/>
      </w:r>
      <w:r w:rsidRPr="004D46AC">
        <w:t xml:space="preserve">, and </w:t>
      </w:r>
      <w:r w:rsidRPr="004D46AC">
        <w:rPr>
          <w:rFonts w:eastAsiaTheme="minorEastAsia"/>
        </w:rPr>
        <w:t xml:space="preserve">it </w:t>
      </w:r>
      <w:r w:rsidRPr="004D46AC">
        <w:t xml:space="preserve">is often considered to be one of the most severe mental condition recognised by modern psychiatrists. </w:t>
      </w:r>
    </w:p>
    <w:p w14:paraId="4E7E27FD" w14:textId="7736463E" w:rsidR="003D5CB6" w:rsidRPr="004D46AC" w:rsidRDefault="003D5CB6" w:rsidP="00B518F1">
      <w:pPr>
        <w:rPr>
          <w:rFonts w:eastAsiaTheme="minorEastAsia"/>
        </w:rPr>
      </w:pPr>
      <w:r w:rsidRPr="004D46AC">
        <w:t>Although B</w:t>
      </w:r>
      <w:r w:rsidRPr="004D46AC">
        <w:rPr>
          <w:rFonts w:eastAsiaTheme="minorEastAsia"/>
        </w:rPr>
        <w:t>S</w:t>
      </w:r>
      <w:r w:rsidRPr="004D46AC">
        <w:t>D is usually considered to be a separate disorder from schizophrenia and mainly characterised by abnormal mood, B</w:t>
      </w:r>
      <w:r w:rsidRPr="004D46AC">
        <w:rPr>
          <w:rFonts w:eastAsiaTheme="minorEastAsia"/>
        </w:rPr>
        <w:t>S</w:t>
      </w:r>
      <w:r w:rsidRPr="004D46AC">
        <w:t xml:space="preserve">D patients on occasion present with symptoms which are typical of schizophrenia patients. For instance, psychotic symptoms are very common in this population </w:t>
      </w:r>
      <w:r w:rsidRPr="004D46AC">
        <w:fldChar w:fldCharType="begin"/>
      </w:r>
      <w:r w:rsidRPr="004D46AC">
        <w:instrText xml:space="preserve"> ADDIN EN.CITE &lt;EndNote&gt;&lt;Cite&gt;&lt;Author&gt;Chakrabarti&lt;/Author&gt;&lt;Year&gt;2022&lt;/Year&gt;&lt;RecNum&gt;430&lt;/RecNum&gt;&lt;DisplayText&gt;(Chakrabarti &amp;amp;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(Chakrabarti &amp; Singh, 2022)</w:t>
      </w:r>
      <w:r w:rsidRPr="004D46AC">
        <w:fldChar w:fldCharType="end"/>
      </w:r>
      <w:r w:rsidRPr="004D46AC">
        <w:t>. In addition, a comorbid psychiatric diagnosis for B</w:t>
      </w:r>
      <w:r w:rsidRPr="004D46AC">
        <w:rPr>
          <w:rFonts w:eastAsiaTheme="minorEastAsia"/>
        </w:rPr>
        <w:t>S</w:t>
      </w:r>
      <w:r w:rsidRPr="004D46AC">
        <w:t>D patients is not uncommon. A recent meta-analysis revealed a combined rate of 38.91% for B</w:t>
      </w:r>
      <w:r w:rsidRPr="004D46AC">
        <w:rPr>
          <w:rFonts w:eastAsiaTheme="minorEastAsia"/>
        </w:rPr>
        <w:t>S</w:t>
      </w:r>
      <w:r w:rsidRPr="004D46AC">
        <w:t xml:space="preserve">D patients suffering from at least one psychiatric comorbidity </w:t>
      </w:r>
      <w:r w:rsidRPr="004D46AC">
        <w:fldChar w:fldCharType="begin">
          <w:fldData xml:space="preserve">PEVuZE5vdGU+PENpdGU+PEF1dGhvcj5MZWRhLVJlZ288L0F1dGhvcj48WWVhcj4yMDI0PC9ZZWFy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</w:fldData>
        </w:fldChar>
      </w:r>
      <w:r w:rsidRPr="004D46AC">
        <w:instrText xml:space="preserve"> ADDIN EN.CITE </w:instrText>
      </w:r>
      <w:r w:rsidRPr="004D46AC">
        <w:fldChar w:fldCharType="begin">
          <w:fldData xml:space="preserve">PEVuZE5vdGU+PENpdGU+PEF1dGhvcj5MZWRhLVJlZ288L0F1dGhvcj48WWVhcj4yMDI0PC9ZZWFy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</w:fldData>
        </w:fldChar>
      </w:r>
      <w:r w:rsidRPr="004D46AC">
        <w:instrText xml:space="preserve"> ADDIN EN.CITE.DATA </w:instrText>
      </w:r>
      <w:r w:rsidRPr="004D46AC">
        <w:fldChar w:fldCharType="end"/>
      </w:r>
      <w:r w:rsidRPr="004D46AC">
        <w:fldChar w:fldCharType="separate"/>
      </w:r>
      <w:r w:rsidRPr="004D46AC">
        <w:t>(Leda-Rego et al., 2024)</w:t>
      </w:r>
      <w:r w:rsidRPr="004D46AC">
        <w:fldChar w:fldCharType="end"/>
      </w:r>
      <w:r w:rsidRPr="004D46AC">
        <w:t>. Further, the diagnostic stability of B</w:t>
      </w:r>
      <w:r w:rsidRPr="004D46AC">
        <w:rPr>
          <w:rFonts w:eastAsiaTheme="minorEastAsia"/>
        </w:rPr>
        <w:t>S</w:t>
      </w:r>
      <w:r w:rsidRPr="004D46AC">
        <w:t xml:space="preserve">D is </w:t>
      </w:r>
      <w:r w:rsidRPr="004D46AC">
        <w:rPr>
          <w:rFonts w:eastAsiaTheme="minorEastAsia"/>
        </w:rPr>
        <w:t>low</w:t>
      </w:r>
      <w:r w:rsidRPr="004D46AC">
        <w:t xml:space="preserve">, with a recent longitudinal large-scale study finding that the diagnosis was associated with frequent diagnostic shift  </w:t>
      </w:r>
      <w:r w:rsidRPr="004D46AC">
        <w:fldChar w:fldCharType="begin">
          <w:fldData xml:space="preserve">PEVuZE5vdGU+PENpdGU+PEF1dGhvcj5DZWdsYS1TY2h2YXJ0em1hbjwvQXV0aG9yPjxZZWFyPjIw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</w:fldData>
        </w:fldChar>
      </w:r>
      <w:r w:rsidRPr="004D46AC">
        <w:instrText xml:space="preserve"> ADDIN EN.CITE </w:instrText>
      </w:r>
      <w:r w:rsidRPr="004D46AC">
        <w:fldChar w:fldCharType="begin">
          <w:fldData xml:space="preserve">PEVuZE5vdGU+PENpdGU+PEF1dGhvcj5DZWdsYS1TY2h2YXJ0em1hbjwvQXV0aG9yPjxZZWFyPjIw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</w:fldData>
        </w:fldChar>
      </w:r>
      <w:r w:rsidRPr="004D46AC">
        <w:instrText xml:space="preserve"> ADDIN EN.CITE.DATA </w:instrText>
      </w:r>
      <w:r w:rsidRPr="004D46AC">
        <w:fldChar w:fldCharType="end"/>
      </w:r>
      <w:r w:rsidRPr="004D46AC">
        <w:fldChar w:fldCharType="separate"/>
      </w:r>
      <w:r w:rsidRPr="004D46AC">
        <w:t>(Cegla-Schvartzman et al., 2021)</w:t>
      </w:r>
      <w:r w:rsidRPr="004D46AC">
        <w:fldChar w:fldCharType="end"/>
      </w:r>
      <w:r w:rsidRPr="004D46AC">
        <w:t>. These findings reflect the poorly defined boundaries between different diagnoses and the limited understandings of underlying pathological processes, resulting in the limited evidence currently seen for the validity of the existing categorical diagnostic system. To broaden our understanding of the relationship between B</w:t>
      </w:r>
      <w:r w:rsidRPr="004D46AC">
        <w:rPr>
          <w:rFonts w:eastAsiaTheme="minorEastAsia"/>
        </w:rPr>
        <w:t>S</w:t>
      </w:r>
      <w:r w:rsidRPr="004D46AC">
        <w:t>D and schizophrenia, it will be beneficial to evaluate the history of the modern psychiatric classifications and how</w:t>
      </w:r>
      <w:r w:rsidRPr="004D46AC">
        <w:rPr>
          <w:rFonts w:eastAsiaTheme="minorEastAsia"/>
        </w:rPr>
        <w:t xml:space="preserve"> the classificatory boundary between</w:t>
      </w:r>
      <w:r w:rsidRPr="004D46AC">
        <w:t xml:space="preserve"> </w:t>
      </w:r>
      <w:r w:rsidRPr="004D46AC">
        <w:rPr>
          <w:rFonts w:eastAsiaTheme="minorEastAsia"/>
        </w:rPr>
        <w:t>BSD</w:t>
      </w:r>
      <w:r w:rsidRPr="004D46AC">
        <w:t xml:space="preserve"> and schizophrenia have evolved over time. Reviewing evidence of the similarities between the disorders and the theories explaining these overlaps is also helpful in delineating this boundary</w:t>
      </w:r>
      <w:r w:rsidRPr="004D46AC">
        <w:rPr>
          <w:rFonts w:eastAsiaTheme="minorEastAsia"/>
        </w:rPr>
        <w:t xml:space="preserve"> and potential research gaps</w:t>
      </w:r>
      <w:r w:rsidRPr="004D46AC">
        <w:t>.</w:t>
      </w:r>
    </w:p>
    <w:p w14:paraId="58D0E5D5" w14:textId="77777777" w:rsidR="003D5CB6" w:rsidRPr="004D46AC" w:rsidRDefault="003D5CB6" w:rsidP="00B518F1">
      <w:pPr>
        <w:pStyle w:val="2"/>
      </w:pPr>
      <w:bookmarkStart w:id="20" w:name="_Toc219888752"/>
      <w:r w:rsidRPr="004D46AC">
        <w:lastRenderedPageBreak/>
        <w:t>History of psychiatric classification</w:t>
      </w:r>
      <w:bookmarkEnd w:id="20"/>
      <w:r w:rsidRPr="004D46AC">
        <w:t xml:space="preserve"> </w:t>
      </w:r>
    </w:p>
    <w:p w14:paraId="610DFCCF" w14:textId="77777777" w:rsidR="003D5CB6" w:rsidRPr="004D46AC" w:rsidRDefault="003D5CB6" w:rsidP="00B518F1">
      <w:bookmarkStart w:id="21" w:name="OLE_LINK61"/>
      <w:r w:rsidRPr="004D46AC">
        <w:t>Psychiatric classification in ancient times was largely shaped by philosophical worldviews. During this period, mental illness</w:t>
      </w:r>
      <w:r w:rsidRPr="004D46AC">
        <w:rPr>
          <w:rFonts w:eastAsiaTheme="minorEastAsia"/>
        </w:rPr>
        <w:t>, commonly referred to as madness,</w:t>
      </w:r>
      <w:r w:rsidRPr="004D46AC">
        <w:t xml:space="preserve"> lacked clear definitions for several reasons. Madness was often attributed to supernatural causes, such as demonic possession, and systematic approaches to analysing abnormal behaviour were limited by the absence of appropriate conceptual frameworks and methodological tools (e.g., replicable research methods), as well as by competing societal priorities such as poverty and war. Systematic psychiatric classification did not become feasible until the mid-nineteenth century, after which the field of psychiatry underwent substantial advances in the development of clinical models of mental illness. Remarkably, this period saw the establishment of the categorical approaches to mental disorders and the conceptualisation of bipolar disorder and schizophrenia as distinct diagnostic entities. These taxonomic developments have been foundational to one of the most widely used diagnostic systems</w:t>
      </w:r>
      <w:r w:rsidRPr="004D46AC">
        <w:rPr>
          <w:rFonts w:eastAsiaTheme="minorEastAsia"/>
        </w:rPr>
        <w:t xml:space="preserve"> (DSM)</w:t>
      </w:r>
      <w:r w:rsidRPr="004D46AC">
        <w:t xml:space="preserve"> in psychiatry</w:t>
      </w:r>
      <w:r w:rsidRPr="004D46AC">
        <w:rPr>
          <w:rFonts w:eastAsiaTheme="minorEastAsia"/>
        </w:rPr>
        <w:t>.</w:t>
      </w:r>
    </w:p>
    <w:bookmarkEnd w:id="21"/>
    <w:p w14:paraId="70A888A2" w14:textId="77777777" w:rsidR="003D5CB6" w:rsidRPr="004D46AC" w:rsidRDefault="003D5CB6" w:rsidP="00B518F1">
      <w:pPr>
        <w:rPr>
          <w:rFonts w:eastAsiaTheme="minorEastAsia"/>
        </w:rPr>
      </w:pPr>
      <w:r w:rsidRPr="004D46AC">
        <w:rPr>
          <w:rFonts w:eastAsiaTheme="minorEastAsia"/>
        </w:rPr>
        <w:t xml:space="preserve">In 1854, French psychiatrists Jules Baillarger (1809-1890) and Jean-Pierre Falret (1794-1870) independently proposed folie à double </w:t>
      </w:r>
      <w:proofErr w:type="spellStart"/>
      <w:r w:rsidRPr="004D46AC">
        <w:rPr>
          <w:rFonts w:eastAsiaTheme="minorEastAsia"/>
        </w:rPr>
        <w:t>forme</w:t>
      </w:r>
      <w:proofErr w:type="spellEnd"/>
      <w:r w:rsidRPr="004D46AC">
        <w:rPr>
          <w:rFonts w:eastAsiaTheme="minorEastAsia"/>
        </w:rPr>
        <w:t xml:space="preserve"> (dual-form insanity) or folie </w:t>
      </w:r>
      <w:proofErr w:type="spellStart"/>
      <w:r w:rsidRPr="004D46AC">
        <w:rPr>
          <w:rFonts w:eastAsiaTheme="minorEastAsia"/>
        </w:rPr>
        <w:t>circulaire</w:t>
      </w:r>
      <w:proofErr w:type="spellEnd"/>
      <w:r w:rsidRPr="004D46AC">
        <w:rPr>
          <w:rFonts w:eastAsiaTheme="minorEastAsia"/>
        </w:rPr>
        <w:t xml:space="preserve"> (circular insanity), the very nearest known disease entity mirroring the modern bipolar diagnosis. The rationales for proposing this disease name were many </w:t>
      </w:r>
      <w:r w:rsidRPr="004D46AC">
        <w:rPr>
          <w:rFonts w:eastAsiaTheme="minorEastAsia"/>
        </w:rPr>
        <w:fldChar w:fldCharType="begin">
          <w:fldData xml:space="preserve">PEVuZE5vdGU+PENpdGU+PEF1dGhvcj5Db3VzaW48L0F1dGhvcj48WWVhcj4xOTk5PC9ZZWFyPjxS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PEVuZE5vdGU+PENpdGU+PEF1dGhvcj5Db3VzaW48L0F1dGhvcj48WWVhcj4xOTk5PC9ZZWFyPjxS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(Cousin, 1999; Garrabé, 1999)</w:t>
      </w:r>
      <w:r w:rsidRPr="004D46AC">
        <w:rPr>
          <w:rFonts w:eastAsiaTheme="minorEastAsia"/>
        </w:rPr>
        <w:fldChar w:fldCharType="end"/>
      </w:r>
      <w:r w:rsidRPr="004D46AC">
        <w:rPr>
          <w:rFonts w:eastAsiaTheme="minorEastAsia"/>
        </w:rPr>
        <w:t xml:space="preserve">. </w:t>
      </w:r>
      <w:proofErr w:type="spellStart"/>
      <w:r w:rsidRPr="004D46AC">
        <w:rPr>
          <w:rFonts w:eastAsiaTheme="minorEastAsia"/>
        </w:rPr>
        <w:t>Baillarger</w:t>
      </w:r>
      <w:proofErr w:type="spellEnd"/>
      <w:r w:rsidRPr="004D46AC">
        <w:rPr>
          <w:rFonts w:eastAsiaTheme="minorEastAsia"/>
        </w:rPr>
        <w:t xml:space="preserve"> and </w:t>
      </w:r>
      <w:proofErr w:type="spellStart"/>
      <w:r w:rsidRPr="004D46AC">
        <w:rPr>
          <w:rFonts w:eastAsiaTheme="minorEastAsia"/>
        </w:rPr>
        <w:t>Falret</w:t>
      </w:r>
      <w:proofErr w:type="spellEnd"/>
      <w:r w:rsidRPr="004D46AC">
        <w:rPr>
          <w:rFonts w:eastAsiaTheme="minorEastAsia"/>
        </w:rPr>
        <w:t xml:space="preserve"> questioned the validity of monomania as a disease featuring predominantly one symptom such as delusions or fixations without considering other accompanying traits, which created ambiguities in differentiating disordered and healthy minds. Instead, they argued that the disordered process should be identified via a holistic view on the symptom cluster and dynamic changes. They noted a cyclical pattern of mood disturbances that was distinctive from other mental disorders, which gave birth to this disease entity. Although the conceptualisation was very primitive with only mania and melancholia phases observed, it is the foundation for the development of the concept of manic-depressive insanity (Emil Kraepelin) and bipolar disorder (Karl Leonhard). </w:t>
      </w:r>
    </w:p>
    <w:p w14:paraId="0C8E9D39" w14:textId="77777777" w:rsidR="003D5CB6" w:rsidRPr="004D46AC" w:rsidRDefault="003D5CB6" w:rsidP="00B518F1">
      <w:pPr>
        <w:pStyle w:val="3"/>
      </w:pPr>
      <w:r w:rsidRPr="004D46AC">
        <w:lastRenderedPageBreak/>
        <w:t>Emil Kraepelin (1856-1926)</w:t>
      </w:r>
    </w:p>
    <w:p w14:paraId="56325C9C" w14:textId="77777777" w:rsidR="003D5CB6" w:rsidRPr="004D46AC" w:rsidRDefault="003D5CB6" w:rsidP="00B518F1">
      <w:pPr>
        <w:rPr>
          <w:rFonts w:eastAsiaTheme="minorEastAsia"/>
        </w:rPr>
      </w:pPr>
      <w:r w:rsidRPr="004D46AC">
        <w:rPr>
          <w:rFonts w:eastAsiaTheme="minorEastAsia"/>
        </w:rPr>
        <w:t xml:space="preserve">Emil Kraepelin was a German physician sometimes described as ‘the father’ of modern psychiatry. Kraepelin’s approach to mental illness was biologically driven, which focused on the etiological factors, longitudinal observation as well as symptom pattern in psychiatric classification </w:t>
      </w:r>
      <w:r w:rsidRPr="004D46AC">
        <w:rPr>
          <w:rFonts w:eastAsiaTheme="minorEastAsia"/>
        </w:rPr>
        <w:fldChar w:fldCharType="begin"/>
      </w:r>
      <w:r w:rsidRPr="004D46AC">
        <w:rPr>
          <w:rFonts w:eastAsiaTheme="minorEastAsia"/>
        </w:rPr>
        <w:instrText xml:space="preserve"> ADDIN EN.CITE &lt;EndNote&gt;&lt;Cite&gt;&lt;Author&gt;Kraepelin&lt;/Author&gt;&lt;Year&gt;1912&lt;/Year&gt;&lt;RecNum&gt;799&lt;/RecNum&gt;&lt;DisplayText&gt;(Kraepelin &amp;amp; Diefendorf, 1912)&lt;/DisplayText&gt;&lt;record&gt;&lt;rec-number&gt;799&lt;/rec-number&gt;&lt;foreign-keys&gt;&lt;key app="EN" db-id="aet009sstawa0hewvt3xwf5atffdw2dt02sw" timestamp="1733940359"&gt;799&lt;/key&gt;&lt;/foreign-keys&gt;&lt;ref-type name="Book"&gt;6&lt;/ref-type&gt;&lt;contributors&gt;&lt;authors&gt;&lt;author&gt;Emil Kraepelin&lt;/author&gt;&lt;author&gt;Allen Ross Diefendorf&lt;/author&gt;&lt;/authors&gt;&lt;/contributors&gt;&lt;titles&gt;&lt;title&gt;Clinical psychiatry : a text-book for students and physicians&lt;/title&gt;&lt;/titles&gt;&lt;pages&gt;628&lt;/pages&gt;&lt;dates&gt;&lt;year&gt;1912&lt;/year&gt;&lt;/dates&gt;&lt;pub-location&gt;New York&lt;/pub-location&gt;&lt;publisher&gt;&lt;style face="normal" font="default" size="100%"&gt;Norwood&lt;/style&gt;&lt;style face="normal" font="default" charset="134" size="100%"&gt; &lt;/style&gt;&lt;style face="normal" font="default" size="100%"&gt;Press&lt;/style&gt;&lt;/publisher&gt;&lt;urls&gt;&lt;/urls&gt;&lt;/record&gt;&lt;/Cite&gt;&lt;/EndNote&gt;</w:instrText>
      </w:r>
      <w:r w:rsidRPr="004D46AC">
        <w:rPr>
          <w:rFonts w:eastAsiaTheme="minorEastAsia"/>
        </w:rPr>
        <w:fldChar w:fldCharType="separate"/>
      </w:r>
      <w:r w:rsidRPr="004D46AC">
        <w:rPr>
          <w:rFonts w:eastAsiaTheme="minorEastAsia"/>
        </w:rPr>
        <w:t>(Kraepelin &amp; Diefendorf, 1912)</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The symptom pattern or syndrome refers to a cluster of symptoms that frequently occur together. Kraepelin proposed that diagnoses should be based on the collective presence of these symptom patterns and their variations over the course of mental illnesses, rather than relying on a single symptom. The rationale for focusing on syndromes instead of individual symptoms as indicators of illness lies in the fact that symptoms can manifest in patients with different diagnoses. Kraepelin referred to such symptoms as general symptoms that include delusions, hallucinations, disturbances in thought (e.g., flight of ideas), cognition (e.g., amnesia), affect (e.g., mania, depression), and behaviour (e.g., restlessness).</w:t>
      </w:r>
    </w:p>
    <w:p w14:paraId="6517C2C2" w14:textId="77777777" w:rsidR="003D5CB6" w:rsidRPr="004D46AC" w:rsidRDefault="003D5CB6" w:rsidP="00B518F1">
      <w:pPr>
        <w:rPr>
          <w:rFonts w:eastAsiaTheme="minorEastAsia"/>
        </w:rPr>
      </w:pPr>
      <w:r w:rsidRPr="004D46AC">
        <w:rPr>
          <w:rFonts w:eastAsiaTheme="minorEastAsia"/>
        </w:rPr>
        <w:t>Kraepelin emphasised the necessity of longitudinal observation for psychiatric classification, as the pattern of progression and outcome can reveal critical distinctions between various mental illnesses. Additionally, understanding the causes of mental illnesses can further inform classification, as psychiatric conditions can have heritable components. Environmental factors, alongside genetic and biological influences, also play a role in the development of these illnesses. For instance, Kraepelin distinguished different types of psychoses based on their causes, such as psychoses resulting from infections (e.g., infectious delirium) or intoxications (e.g., acute alcoholic intoxication).</w:t>
      </w:r>
    </w:p>
    <w:p w14:paraId="5B977081" w14:textId="77777777" w:rsidR="003D5CB6" w:rsidRPr="004D46AC" w:rsidRDefault="003D5CB6" w:rsidP="00B518F1">
      <w:pPr>
        <w:rPr>
          <w:rFonts w:eastAsiaTheme="minorEastAsia"/>
        </w:rPr>
      </w:pPr>
      <w:r w:rsidRPr="004D46AC">
        <w:rPr>
          <w:rFonts w:eastAsiaTheme="minorEastAsia"/>
        </w:rPr>
        <w:t xml:space="preserve">Accordingly, Kraepelin classified numerous psychiatric conditions, but the conceptualisations of manic-depressive insanity and dementia praecox (early onset dementia) are particularly central to this thesis. Manic-depressive insanity was defined as a chronic condition characterised by episodic mood syndromes, with various sub-syndromes corresponding to different mood phases. This concept encompassed not only what we now term bipolar disorder but also major depression. In the manic phase, individuals exhibit psychomotor excitement, agitation, racing thoughts, distractibility, and euphoria, often </w:t>
      </w:r>
      <w:r w:rsidRPr="004D46AC">
        <w:rPr>
          <w:rFonts w:eastAsiaTheme="minorEastAsia"/>
        </w:rPr>
        <w:lastRenderedPageBreak/>
        <w:t>accompanied by mood lability. In the depressive phase, symptoms include psychomotor retardation, lack of spontaneity, dearth of ideas, and depressed mood. Patients in the mixed phase display a combination of symptoms from the manic and depressive phases. Dementia praecox, on the other hand, was characterised as a deteriorating condition that could be categorised into different forms based on its predominant symptoms: Hebephrenic (e.g., emotional withdrawal, delusions, hallucinations); Catatonic (e.g., inactivity, impulsivity, repetitive behaviours, negativism); Paranoid (e.g., persistent delusions, hallucinations without significant cognitive impairments).</w:t>
      </w:r>
    </w:p>
    <w:p w14:paraId="5BC3F182" w14:textId="77777777" w:rsidR="003D5CB6" w:rsidRPr="004D46AC" w:rsidRDefault="003D5CB6" w:rsidP="00B518F1">
      <w:pPr>
        <w:rPr>
          <w:rFonts w:eastAsiaTheme="minorEastAsia"/>
        </w:rPr>
      </w:pPr>
      <w:r w:rsidRPr="004D46AC">
        <w:rPr>
          <w:rFonts w:eastAsiaTheme="minorEastAsia"/>
        </w:rPr>
        <w:t>Kraepelin strongly advocated for the distinction between manic-depressive insanity and dementia praecox as separate disease entities. He argued that dementia praecox is an incurable condition marked by progressive mental deterioration, a feature absent in manic-depressive insanity. This distinction was supported by differences in symptomatology across functional domains such as perception, memory, thought, emotions, and consciousness. As dementia praecox progressed, features unique to the condition emerged, including the absence of mood reactivity, impaired memory for recent events, somatic convulsions, and stereotyped behaviours.</w:t>
      </w:r>
    </w:p>
    <w:p w14:paraId="0714F09B" w14:textId="77777777" w:rsidR="003D5CB6" w:rsidRPr="004D46AC" w:rsidRDefault="003D5CB6" w:rsidP="00B518F1">
      <w:pPr>
        <w:rPr>
          <w:rFonts w:eastAsiaTheme="minorEastAsia"/>
        </w:rPr>
      </w:pPr>
      <w:r w:rsidRPr="004D46AC">
        <w:rPr>
          <w:rFonts w:eastAsiaTheme="minorEastAsia"/>
        </w:rPr>
        <w:t>However, Kraepelin acknowledged that significant overlaps between the conditions posed challenges for making decisive diagnoses without prolonged observation. For example, both conditions exhibited high heritability (i.e., increased prevalence among individuals with affected relatives), early onset (approximately age 25), and frequent relapses. Furthermore, similarities in psychopathologies, such as disturbances in judgment (e.g., delusions), thought (e.g., unconnected ideas), and emotions (e.g., depression), further complicated differentiation.</w:t>
      </w:r>
    </w:p>
    <w:p w14:paraId="495F1EC2" w14:textId="77777777" w:rsidR="003D5CB6" w:rsidRPr="004D46AC" w:rsidRDefault="003D5CB6" w:rsidP="00B518F1">
      <w:pPr>
        <w:rPr>
          <w:rFonts w:eastAsiaTheme="minorEastAsia"/>
        </w:rPr>
      </w:pPr>
      <w:r w:rsidRPr="004D46AC">
        <w:rPr>
          <w:rFonts w:eastAsiaTheme="minorEastAsia"/>
        </w:rPr>
        <w:t xml:space="preserve">Nonetheless, Kraepelin maintained that these two conditions are separate diagnoses, which should be made by considering the overall clinical course rather than isolated symptoms. He identified subtle distinctions, such as differences in emotional responsiveness during depressive episodes. For instance, depressive patients with manic-depressive insanity demonstrated more active emotional responses compared to those with </w:t>
      </w:r>
      <w:r w:rsidRPr="004D46AC">
        <w:rPr>
          <w:rFonts w:eastAsiaTheme="minorEastAsia"/>
        </w:rPr>
        <w:lastRenderedPageBreak/>
        <w:t>dementia praecox. However, symptoms like psychomotor retardation were challenging to differentiate between the two conditions. Similarly, differentiating between manic stupor and catatonic stupor was complex. Patients with manic stupor exhibited distractibility that affected their speech, whereas catatonic patients were indifferent to their surroundings. These subtle distinctions required detailed clinical observation. Additionally, the central argument distinguishing dementia praecox as a deteriorating condition was undermined by cases of manic-depressive patients who also showed cognitive deterioration.</w:t>
      </w:r>
      <w:r w:rsidRPr="004D46AC">
        <w:t xml:space="preserve"> </w:t>
      </w:r>
      <w:r w:rsidRPr="004D46AC">
        <w:rPr>
          <w:rFonts w:eastAsiaTheme="minorEastAsia"/>
        </w:rPr>
        <w:t xml:space="preserve">While Kraepelin shared a similar view with </w:t>
      </w:r>
      <w:proofErr w:type="spellStart"/>
      <w:r w:rsidRPr="004D46AC">
        <w:rPr>
          <w:rFonts w:eastAsiaTheme="minorEastAsia"/>
        </w:rPr>
        <w:t>Esquirol</w:t>
      </w:r>
      <w:proofErr w:type="spellEnd"/>
      <w:r w:rsidRPr="004D46AC">
        <w:rPr>
          <w:rFonts w:eastAsiaTheme="minorEastAsia"/>
        </w:rPr>
        <w:t xml:space="preserve"> regarding the treatability of mania, </w:t>
      </w:r>
      <w:proofErr w:type="spellStart"/>
      <w:r w:rsidRPr="004D46AC">
        <w:rPr>
          <w:rFonts w:eastAsiaTheme="minorEastAsia"/>
        </w:rPr>
        <w:t>Esquirol's</w:t>
      </w:r>
      <w:proofErr w:type="spellEnd"/>
      <w:r w:rsidRPr="004D46AC">
        <w:rPr>
          <w:rFonts w:eastAsiaTheme="minorEastAsia"/>
        </w:rPr>
        <w:t xml:space="preserve"> observation of the conversion from mania to dementia posed a challenge to Kraepelin’s dichotomy.</w:t>
      </w:r>
    </w:p>
    <w:p w14:paraId="612BD802" w14:textId="77777777" w:rsidR="003D5CB6" w:rsidRPr="004D46AC" w:rsidRDefault="003D5CB6" w:rsidP="00B518F1">
      <w:pPr>
        <w:rPr>
          <w:rFonts w:eastAsiaTheme="minorEastAsia"/>
        </w:rPr>
      </w:pPr>
      <w:r w:rsidRPr="004D46AC">
        <w:rPr>
          <w:rFonts w:eastAsiaTheme="minorEastAsia"/>
        </w:rPr>
        <w:t>Despite these challenges, Kraepelin’s contributions to psychiatric classification remain foundational, inspiring modern approaches to diagnosing mental illnesses based on symptom clusters, aetiology, and prognosis. However, his dichotomy is subject to diagnostic difficulties stemming from overlaps in aetiology, symptom patterns, and episodic relapses. The heterogeneity and overlap across these conditions remain difficult to quantify and have been a source of ongoing controversy in psychiatry.</w:t>
      </w:r>
    </w:p>
    <w:p w14:paraId="6A0AB544" w14:textId="77777777" w:rsidR="003D5CB6" w:rsidRPr="004D46AC" w:rsidRDefault="003D5CB6" w:rsidP="00B518F1">
      <w:pPr>
        <w:pStyle w:val="3"/>
      </w:pPr>
      <w:r w:rsidRPr="004D46AC">
        <w:t>Eugen Bleuler (1857-1939)</w:t>
      </w:r>
    </w:p>
    <w:p w14:paraId="17C26E98" w14:textId="5BA35833" w:rsidR="003D5CB6" w:rsidRPr="004D46AC" w:rsidRDefault="003D5CB6" w:rsidP="0022744D">
      <w:pPr>
        <w:rPr>
          <w:rFonts w:eastAsiaTheme="minorEastAsia"/>
        </w:rPr>
      </w:pPr>
      <w:r w:rsidRPr="004D46AC">
        <w:rPr>
          <w:rFonts w:eastAsiaTheme="minorEastAsia"/>
        </w:rPr>
        <w:t xml:space="preserve">Swiss psychiatrist Eugen Bleuler questioned </w:t>
      </w:r>
      <w:proofErr w:type="spellStart"/>
      <w:r w:rsidRPr="004D46AC">
        <w:rPr>
          <w:rFonts w:eastAsiaTheme="minorEastAsia"/>
        </w:rPr>
        <w:t>Karaeplein’s</w:t>
      </w:r>
      <w:proofErr w:type="spellEnd"/>
      <w:r w:rsidRPr="004D46AC">
        <w:rPr>
          <w:rFonts w:eastAsiaTheme="minorEastAsia"/>
        </w:rPr>
        <w:t xml:space="preserve"> characterisation of the disease entity of dementia praecox. In 1911, Bleuler published his book </w:t>
      </w:r>
      <w:r w:rsidRPr="004D46AC">
        <w:rPr>
          <w:rFonts w:eastAsiaTheme="minorEastAsia"/>
          <w:i/>
          <w:iCs/>
        </w:rPr>
        <w:t>Dementia Praecox or the Group of Schizophrenias</w:t>
      </w:r>
      <w:r w:rsidRPr="004D46AC">
        <w:rPr>
          <w:rFonts w:eastAsiaTheme="minorEastAsia"/>
        </w:rPr>
        <w:t>, in which he argued that dementia praecox is an inappropriate name for the disease entity by reason that the early onset of the disease as well as the inevitable cognitive declinations are not universal. Dementia praecox or the group of schizophrenias is an extremely heterogeneous condition in terms of its manifestations and course. Individuals varied significantly on those aspects including duration of acute onset as well as the different outcomes such remission or deterioration.</w:t>
      </w:r>
    </w:p>
    <w:p w14:paraId="191989E0" w14:textId="77777777" w:rsidR="003D5CB6" w:rsidRPr="004D46AC" w:rsidRDefault="003D5CB6" w:rsidP="00B518F1">
      <w:pPr>
        <w:rPr>
          <w:rFonts w:eastAsiaTheme="minorEastAsia"/>
        </w:rPr>
      </w:pPr>
      <w:r w:rsidRPr="004D46AC">
        <w:rPr>
          <w:rFonts w:eastAsiaTheme="minorEastAsia"/>
        </w:rPr>
        <w:t xml:space="preserve">Schizophrenia was defined by Bleuler as a condition of splitting of psychic function or disintegration of the unity of personality. This conceptualisation incorporated psychological and psychoanalytical concepts such as dissociation and repression. Building on Paul Janet’s </w:t>
      </w:r>
      <w:r w:rsidRPr="004D46AC">
        <w:rPr>
          <w:rFonts w:eastAsiaTheme="minorEastAsia"/>
        </w:rPr>
        <w:lastRenderedPageBreak/>
        <w:t xml:space="preserve">(1823–1899) association theory, which suggested automatic interactions between behaviours, sensations, and thoughts, Pierre Janet (1859–1947) had developed the theory of dissociation </w:t>
      </w:r>
      <w:r w:rsidRPr="004D46AC">
        <w:rPr>
          <w:rFonts w:eastAsiaTheme="minorEastAsia"/>
        </w:rPr>
        <w:fldChar w:fldCharType="begin"/>
      </w:r>
      <w:r w:rsidRPr="004D46AC">
        <w:rPr>
          <w:rFonts w:eastAsiaTheme="minorEastAsia"/>
        </w:rPr>
        <w:instrText xml:space="preserve"> ADDIN EN.CITE &lt;EndNote&gt;&lt;Cite&gt;&lt;Author&gt;LeBlanc&lt;/Author&gt;&lt;Year&gt;2001&lt;/Year&gt;&lt;RecNum&gt;805&lt;/RecNum&gt;&lt;DisplayText&gt;(LeBlanc, 2001)&lt;/DisplayText&gt;&lt;record&gt;&lt;rec-number&gt;805&lt;/rec-number&gt;&lt;foreign-keys&gt;&lt;key app="EN" db-id="aet009sstawa0hewvt3xwf5atffdw2dt02sw" timestamp="1734733594"&gt;805&lt;/key&gt;&lt;/foreign-keys&gt;&lt;ref-type name="Journal Article"&gt;17&lt;/ref-type&gt;&lt;contributors&gt;&lt;authors&gt;&lt;author&gt;LeBlanc, André&lt;/author&gt;&lt;/authors&gt;&lt;/contributors&gt;&lt;titles&gt;&lt;title&gt;The Origins of the Concept of Dissociation: Paul Janet, His Nephew Pierre, and the Problem of Post-Hypnotic Suggestion&lt;/title&gt;&lt;secondary-title&gt;History of Science&lt;/secondary-title&gt;&lt;/titles&gt;&lt;periodical&gt;&lt;full-title&gt;History of Science&lt;/full-title&gt;&lt;/periodical&gt;&lt;pages&gt;57-69&lt;/pages&gt;&lt;volume&gt;39&lt;/volume&gt;&lt;number&gt;1&lt;/number&gt;&lt;section&gt;57&lt;/section&gt;&lt;dates&gt;&lt;year&gt;2001&lt;/year&gt;&lt;pub-dates&gt;&lt;date&gt;2001/03/01&lt;/date&gt;&lt;/pub-dates&gt;&lt;/dates&gt;&lt;publisher&gt;SAGE Publications Ltd&lt;/publisher&gt;&lt;isbn&gt;0073-2753&amp;#xD;1753-8564&lt;/isbn&gt;&lt;urls&gt;&lt;related-urls&gt;&lt;url&gt;https://doi.org/10.1177/007327530103900103&lt;/url&gt;&lt;/related-urls&gt;&lt;/urls&gt;&lt;electronic-resource-num&gt;10.1177/007327530103900103&lt;/electronic-resource-num&gt;&lt;access-date&gt;2024/12/20&lt;/access-date&gt;&lt;/record&gt;&lt;/Cite&gt;&lt;/EndNote&gt;</w:instrText>
      </w:r>
      <w:r w:rsidRPr="004D46AC">
        <w:rPr>
          <w:rFonts w:eastAsiaTheme="minorEastAsia"/>
        </w:rPr>
        <w:fldChar w:fldCharType="separate"/>
      </w:r>
      <w:r w:rsidRPr="004D46AC">
        <w:rPr>
          <w:rFonts w:eastAsiaTheme="minorEastAsia"/>
        </w:rPr>
        <w:t>(LeBlanc, 2001)</w:t>
      </w:r>
      <w:r w:rsidRPr="004D46AC">
        <w:rPr>
          <w:rFonts w:eastAsiaTheme="minorEastAsia"/>
        </w:rPr>
        <w:fldChar w:fldCharType="end"/>
      </w:r>
      <w:r w:rsidRPr="004D46AC">
        <w:rPr>
          <w:rFonts w:eastAsiaTheme="minorEastAsia"/>
        </w:rPr>
        <w:t>, defining it as an unconscious state capable of initiating motor or psychological functions without involving the primary consciousness, which he also described as double consciousness. This splitting of consciousness had been observed in states such as hysteria (e.g., convulsions, attention seeking, dissociation) and hypnosis. For instance, a hypnotized individual can perform independent mental tasks, such as counting, under a subconscious state, demonstrating the capacity for parallel mental functioning. Drawing from Pierre Janet’s concept of dissociation, Sigmund Freud (1856–1939), the founder of the psychoanalytic school, proposed the idea of repression, a defence mechanism by which distressing thoughts and memories are actively repressed into the unconscious to protect the individual from psychological pain, possibly resulting in the loss of traumatic memory.  Bleuler integrated these conceptions to explain the disconnected mental functions (e.g., thought disorder) as well as distorted beliefs (e.g., delusions) in schizophrenia.</w:t>
      </w:r>
    </w:p>
    <w:p w14:paraId="03CB02E3" w14:textId="77777777" w:rsidR="003D5CB6" w:rsidRPr="004D46AC" w:rsidRDefault="003D5CB6" w:rsidP="00B518F1">
      <w:pPr>
        <w:rPr>
          <w:rFonts w:eastAsiaTheme="minorEastAsia"/>
        </w:rPr>
      </w:pPr>
      <w:r w:rsidRPr="004D46AC">
        <w:rPr>
          <w:rFonts w:eastAsiaTheme="minorEastAsia"/>
        </w:rPr>
        <w:t xml:space="preserve">The structure of schizophrenia as outlined by Bleuler was based on Kraepelin’s classifications, with additional refinements that resulted in five subtypes: paranoid, catatonic, hebephrenic, and simple schizophrenia (i.e., gradual cognitive decline without psychotic symptoms). Furthermore, Bleuler's categorisation of primary and secondary symptoms complemented this classification by reflecting higher-order mental processes. Primary symptoms were described as the result of interactions between simple functions (e.g., perception, sensation) and compound functions (e.g., the ability to maintain coherence in thought). These symptoms were encapsulated in the "four A's": association (e.g., disordered thinking), affect (e.g., blunted affect), ambivalence (e.g., erratic behaviour, difficulties in decision-making), and autism (e.g., withdrawal). In contrast, secondary symptoms, including hallucinations, delusions, and catatonic behaviour (e.g., stupor, excitement), were understood as derivatives or adaptations arising from the joint presence of primary </w:t>
      </w:r>
      <w:r w:rsidRPr="004D46AC">
        <w:rPr>
          <w:rFonts w:eastAsiaTheme="minorEastAsia"/>
        </w:rPr>
        <w:lastRenderedPageBreak/>
        <w:t>symptoms and external factors (e.g., traumatic experiences) or internal factors (e.g., unresolved emotional states).</w:t>
      </w:r>
    </w:p>
    <w:p w14:paraId="1E3A6DE6" w14:textId="77777777" w:rsidR="003D5CB6" w:rsidRPr="004D46AC" w:rsidRDefault="003D5CB6" w:rsidP="00B518F1">
      <w:pPr>
        <w:rPr>
          <w:rFonts w:eastAsiaTheme="minorEastAsia"/>
        </w:rPr>
      </w:pPr>
      <w:r w:rsidRPr="004D46AC">
        <w:rPr>
          <w:rFonts w:eastAsiaTheme="minorEastAsia"/>
        </w:rPr>
        <w:t>The epidemiology and aetiology of schizophrenia were similarly explored by Blueler. Schizophrenia accounted for 29% to 75% of hospital admissions in various institutions, with a disproportional gender ratio favouring female patients. The typical onset of schizophrenia occurred between late adolescence and early adulthood (i.e., ages 15–35 years). Regarding its aetiology, Bleuler rejected psychological trauma or stress as a predisposition for schizophrenia, as signs of the disease often predated such events. Conversely, he accepted hereditary influences as a potential cause. Notably, Bleuler introduced the concept of subclinical schizophrenia, which he termed latent schizophrenia (i.e., mild schizophrenia symptoms). According to Bleuler, latent schizophrenia was common in the general population, and progression to the full-blown condition was not inevitable. However, the risk of progression remained uncertain due to the absence of studies examining this feature at the time.</w:t>
      </w:r>
    </w:p>
    <w:p w14:paraId="2CCB9A01" w14:textId="247B826F" w:rsidR="003D5CB6" w:rsidRPr="004D46AC" w:rsidRDefault="003D5CB6" w:rsidP="0022744D">
      <w:pPr>
        <w:rPr>
          <w:rFonts w:eastAsiaTheme="minorEastAsia"/>
        </w:rPr>
      </w:pPr>
      <w:r w:rsidRPr="004D46AC">
        <w:rPr>
          <w:rFonts w:eastAsiaTheme="minorEastAsia"/>
        </w:rPr>
        <w:t>Diagnosing schizophrenia historically posed significant challenges due to its inherent complexities. Latent symptoms, such as trait-like anomalies, social withdrawal, and stubbornness, were often regarded as early indicators but offered limited diagnostic value. True schizophrenia was not defined by a single symptom but rather by profound alterations in normal psychological processes. The diagnostic threshold for this condition was exceptionally high, further complicated by the overlapping nature of individual symptoms, which required careful evaluation of their context and intensity. This challenge became particularly acute when another mental disorder coexisted, raising the critical question of whether hallucinations or delusions stemmed from broader psychoses or schizophrenia itself. Consequently, a comprehensive, holistic approach was indispensable for achieving accurate and reliable diagnoses.</w:t>
      </w:r>
    </w:p>
    <w:p w14:paraId="19DFD25C" w14:textId="77777777" w:rsidR="003D5CB6" w:rsidRPr="004D46AC" w:rsidRDefault="003D5CB6" w:rsidP="00B518F1">
      <w:pPr>
        <w:rPr>
          <w:rFonts w:eastAsiaTheme="minorEastAsia"/>
        </w:rPr>
      </w:pPr>
      <w:r w:rsidRPr="004D46AC">
        <w:rPr>
          <w:rFonts w:eastAsiaTheme="minorEastAsia"/>
        </w:rPr>
        <w:t xml:space="preserve">Bleuler acknowledged the overlap between schizophrenia and manic-depressive psychosis, noting similarities that blurred the distinction between the two conditions. Part of his argument regarding their differences aligned with Kraepelin's perspective. For instance, </w:t>
      </w:r>
      <w:r w:rsidRPr="004D46AC">
        <w:rPr>
          <w:rFonts w:eastAsiaTheme="minorEastAsia"/>
        </w:rPr>
        <w:lastRenderedPageBreak/>
        <w:t xml:space="preserve">manic-depressive psychosis typically exhibited a consistency between thought and mood, purposeful activity, a logical flight of ideas, and its characteristic alternating nature—features that were believed to be absent in schizophrenia. However, these distinctions were not absolute, as schizophrenia patients sometimes displayed alternating psychosis as well. For example, some individuals with schizophrenia exhibited recurrent cycles resembling manic-depressive psychosis, typically </w:t>
      </w:r>
      <w:proofErr w:type="gramStart"/>
      <w:r w:rsidRPr="004D46AC">
        <w:rPr>
          <w:rFonts w:eastAsiaTheme="minorEastAsia"/>
        </w:rPr>
        <w:t>brief in duration</w:t>
      </w:r>
      <w:proofErr w:type="gramEnd"/>
      <w:r w:rsidRPr="004D46AC">
        <w:rPr>
          <w:rFonts w:eastAsiaTheme="minorEastAsia"/>
        </w:rPr>
        <w:t xml:space="preserve">, and the psychotic symptoms eventually becoming dominant. The extreme heterogeneity within schizophrenia led Bleuler to hypothesize that it might not represent a single disease entity but rather a spectrum of related disorders sharing core characteristics. To account for this variability, he proposed additional subtypes of schizophrenia, classified by disorder patterns, age of onset, aetiology, and symptom intensity. </w:t>
      </w:r>
    </w:p>
    <w:p w14:paraId="3A95DD87" w14:textId="77777777" w:rsidR="003D5CB6" w:rsidRPr="004D46AC" w:rsidRDefault="003D5CB6" w:rsidP="00B518F1">
      <w:pPr>
        <w:rPr>
          <w:rFonts w:eastAsiaTheme="minorEastAsia"/>
        </w:rPr>
      </w:pPr>
      <w:r w:rsidRPr="004D46AC">
        <w:rPr>
          <w:rFonts w:eastAsiaTheme="minorEastAsia"/>
        </w:rPr>
        <w:t>The term "schizophrenia" has remained a cornerstone of the psychiatric system since its inception. Bleuler’s framework for schizophrenia integrated psychological theories, biological functions, and other contributing factors. His methodological approach significantly influenced psychiatric research. However, this framework also faced several limitations. Notably, the diagnostic criteria for schizophrenia showed limited improvement compared to Kraepelin’s earlier contributions. Diagnosing schizophrenia, particularly in patients with complex symptoms, often proved time-consuming and challenging. Additionally, Bleuler’s reliance on differences in etiological factors to distinguish schizophrenia from other major psychoses limited the generalizability of his findings due to the specificity of his research settings and populations. His dismissal of psychological trauma as a potential predisposing factor also appeared premature and lacked supporting evidence. For instance, Bleuler’s team failed to systematically investigate trauma as a risk factor for schizophrenia or to explore how the interplay between latent schizophrenia and trauma could predict the onset of the disorder. This oversight revealed a gap in the application of the comprehensive approach that Bleuler himself advocated.</w:t>
      </w:r>
    </w:p>
    <w:p w14:paraId="2260502C" w14:textId="77777777" w:rsidR="003D5CB6" w:rsidRPr="004D46AC" w:rsidRDefault="003D5CB6" w:rsidP="00B518F1">
      <w:pPr>
        <w:pStyle w:val="3"/>
      </w:pPr>
      <w:r w:rsidRPr="004D46AC">
        <w:lastRenderedPageBreak/>
        <w:t>Karl Leonhard (1904-1988)</w:t>
      </w:r>
    </w:p>
    <w:p w14:paraId="63F07070" w14:textId="77777777" w:rsidR="003D5CB6" w:rsidRPr="004D46AC" w:rsidRDefault="003D5CB6" w:rsidP="00B518F1">
      <w:pPr>
        <w:rPr>
          <w:rFonts w:eastAsiaTheme="minorEastAsia"/>
        </w:rPr>
      </w:pPr>
      <w:r w:rsidRPr="004D46AC">
        <w:rPr>
          <w:rFonts w:eastAsiaTheme="minorEastAsia"/>
        </w:rPr>
        <w:t xml:space="preserve">Karl Leonhard, a German psychiatrist, is credited with developing the concept of bipolar disorder. Leonhard criticised the Kraepelinian dichotomy for being overly inclusive and heterogeneous. He argued that not all severe psychiatric conditions could be categorised as either manic-depressive insanity or dementia praecox. Instead, he introduced the distinction between bipolar and unipolar mood psychoses, based on the polarity patterns of these conditions </w:t>
      </w:r>
      <w:r w:rsidRPr="004D46AC">
        <w:rPr>
          <w:rFonts w:eastAsiaTheme="minorEastAsia"/>
        </w:rPr>
        <w:fldChar w:fldCharType="begin"/>
      </w:r>
      <w:r w:rsidRPr="004D46AC">
        <w:rPr>
          <w:rFonts w:eastAsiaTheme="minorEastAsia"/>
        </w:rPr>
        <w:instrText xml:space="preserve"> ADDIN EN.CITE &lt;EndNote&gt;&lt;Cite&gt;&lt;Author&gt;Leonhard&lt;/Author&gt;&lt;Year&gt;1999&lt;/Year&gt;&lt;RecNum&gt;807&lt;/RecNum&gt;&lt;DisplayText&gt;(Leonhard, 1999)&lt;/DisplayText&gt;&lt;record&gt;&lt;rec-number&gt;807&lt;/rec-number&gt;&lt;foreign-keys&gt;&lt;key app="EN" db-id="aet009sstawa0hewvt3xwf5atffdw2dt02sw" timestamp="1735124176"&gt;807&lt;/key&gt;&lt;/foreign-keys&gt;&lt;ref-type name="Book"&gt;6&lt;/ref-type&gt;&lt;contributors&gt;&lt;authors&gt;&lt;author&gt;Karl Leonhard&lt;/author&gt;&lt;/authors&gt;&lt;secondary-authors&gt;&lt;author&gt;Helmut Beckmann&lt;/author&gt;&lt;/secondary-authors&gt;&lt;subsidiary-authors&gt;&lt;author&gt;Charles H. Cahn&lt;/author&gt;&lt;/subsidiary-authors&gt;&lt;/contributors&gt;&lt;titles&gt;&lt;title&gt;Classification of Endogenous Psychoses and their Differentiated Etiology&lt;/title&gt;&lt;secondary-title&gt;Second, revised and enlarged edition&lt;/secondary-title&gt;&lt;/titles&gt;&lt;dates&gt;&lt;year&gt;1999&lt;/year&gt;&lt;/dates&gt;&lt;pub-location&gt;New York&lt;/pub-location&gt;&lt;publisher&gt;Springer-Verlag Wien&lt;/publisher&gt;&lt;urls&gt;&lt;/urls&gt;&lt;language&gt;English&lt;/language&gt;&lt;/record&gt;&lt;/Cite&gt;&lt;/EndNote&gt;</w:instrText>
      </w:r>
      <w:r w:rsidRPr="004D46AC">
        <w:rPr>
          <w:rFonts w:eastAsiaTheme="minorEastAsia"/>
        </w:rPr>
        <w:fldChar w:fldCharType="separate"/>
      </w:r>
      <w:r w:rsidRPr="004D46AC">
        <w:rPr>
          <w:rFonts w:eastAsiaTheme="minorEastAsia"/>
        </w:rPr>
        <w:t>(Leonhard, 1999)</w:t>
      </w:r>
      <w:r w:rsidRPr="004D46AC">
        <w:rPr>
          <w:rFonts w:eastAsiaTheme="minorEastAsia"/>
        </w:rPr>
        <w:fldChar w:fldCharType="end"/>
      </w:r>
      <w:r w:rsidRPr="004D46AC">
        <w:rPr>
          <w:rFonts w:eastAsiaTheme="minorEastAsia"/>
        </w:rPr>
        <w:t>. He examined hospital records and argued that patients with the bipolar form of manic-depressive insanity not only fluctuated between the poles of mania and depression but also exhibited diverse manifestations within each phase. In contrast, patients with unipolar mood psychosis experienced recurrent episodes with the same psychopathology, maintaining a consistent clinical presentation.</w:t>
      </w:r>
    </w:p>
    <w:p w14:paraId="1A166B55" w14:textId="77777777" w:rsidR="003D5CB6" w:rsidRPr="004D46AC" w:rsidRDefault="003D5CB6" w:rsidP="00B518F1">
      <w:pPr>
        <w:rPr>
          <w:rFonts w:eastAsiaTheme="minorEastAsia"/>
        </w:rPr>
      </w:pPr>
      <w:r w:rsidRPr="004D46AC">
        <w:rPr>
          <w:rFonts w:eastAsiaTheme="minorEastAsia"/>
        </w:rPr>
        <w:t xml:space="preserve">This nosology was detailed in Karl Leonhard’s book </w:t>
      </w:r>
      <w:r w:rsidRPr="004D46AC">
        <w:rPr>
          <w:rFonts w:eastAsiaTheme="minorEastAsia"/>
          <w:i/>
          <w:iCs/>
        </w:rPr>
        <w:t xml:space="preserve">Classification of Endogenous Psychoses and their Differentiated </w:t>
      </w:r>
      <w:proofErr w:type="spellStart"/>
      <w:r w:rsidRPr="004D46AC">
        <w:rPr>
          <w:rFonts w:eastAsiaTheme="minorEastAsia"/>
          <w:i/>
          <w:iCs/>
        </w:rPr>
        <w:t>Etiology</w:t>
      </w:r>
      <w:proofErr w:type="spellEnd"/>
      <w:r w:rsidRPr="004D46AC">
        <w:rPr>
          <w:rFonts w:eastAsiaTheme="minorEastAsia"/>
        </w:rPr>
        <w:t xml:space="preserve">, first published in 1957 in Germany as </w:t>
      </w:r>
      <w:proofErr w:type="spellStart"/>
      <w:r w:rsidRPr="004D46AC">
        <w:rPr>
          <w:rFonts w:eastAsiaTheme="minorEastAsia"/>
          <w:i/>
          <w:iCs/>
        </w:rPr>
        <w:t>Aufteilung</w:t>
      </w:r>
      <w:proofErr w:type="spellEnd"/>
      <w:r w:rsidRPr="004D46AC">
        <w:rPr>
          <w:rFonts w:eastAsiaTheme="minorEastAsia"/>
          <w:i/>
          <w:iCs/>
        </w:rPr>
        <w:t xml:space="preserve"> der </w:t>
      </w:r>
      <w:proofErr w:type="spellStart"/>
      <w:r w:rsidRPr="004D46AC">
        <w:rPr>
          <w:rFonts w:eastAsiaTheme="minorEastAsia"/>
          <w:i/>
          <w:iCs/>
        </w:rPr>
        <w:t>endogenen</w:t>
      </w:r>
      <w:proofErr w:type="spellEnd"/>
      <w:r w:rsidRPr="004D46AC">
        <w:rPr>
          <w:rFonts w:eastAsiaTheme="minorEastAsia"/>
          <w:i/>
          <w:iCs/>
        </w:rPr>
        <w:t xml:space="preserve"> </w:t>
      </w:r>
      <w:proofErr w:type="spellStart"/>
      <w:r w:rsidRPr="004D46AC">
        <w:rPr>
          <w:rFonts w:eastAsiaTheme="minorEastAsia"/>
          <w:i/>
          <w:iCs/>
        </w:rPr>
        <w:t>Psychosen</w:t>
      </w:r>
      <w:proofErr w:type="spellEnd"/>
      <w:r w:rsidRPr="004D46AC">
        <w:rPr>
          <w:rFonts w:eastAsiaTheme="minorEastAsia"/>
          <w:i/>
          <w:iCs/>
        </w:rPr>
        <w:t xml:space="preserve"> und </w:t>
      </w:r>
      <w:proofErr w:type="spellStart"/>
      <w:r w:rsidRPr="004D46AC">
        <w:rPr>
          <w:rFonts w:eastAsiaTheme="minorEastAsia"/>
          <w:i/>
          <w:iCs/>
        </w:rPr>
        <w:t>ihre</w:t>
      </w:r>
      <w:proofErr w:type="spellEnd"/>
      <w:r w:rsidRPr="004D46AC">
        <w:rPr>
          <w:rFonts w:eastAsiaTheme="minorEastAsia"/>
          <w:i/>
          <w:iCs/>
        </w:rPr>
        <w:t xml:space="preserve"> </w:t>
      </w:r>
      <w:proofErr w:type="spellStart"/>
      <w:r w:rsidRPr="004D46AC">
        <w:rPr>
          <w:rFonts w:eastAsiaTheme="minorEastAsia"/>
          <w:i/>
          <w:iCs/>
        </w:rPr>
        <w:t>differenzierte</w:t>
      </w:r>
      <w:proofErr w:type="spellEnd"/>
      <w:r w:rsidRPr="004D46AC">
        <w:rPr>
          <w:rFonts w:eastAsiaTheme="minorEastAsia"/>
          <w:i/>
          <w:iCs/>
        </w:rPr>
        <w:t xml:space="preserve"> </w:t>
      </w:r>
      <w:proofErr w:type="spellStart"/>
      <w:r w:rsidRPr="004D46AC">
        <w:rPr>
          <w:rFonts w:eastAsiaTheme="minorEastAsia"/>
          <w:i/>
          <w:iCs/>
        </w:rPr>
        <w:t>Ätiologie</w:t>
      </w:r>
      <w:proofErr w:type="spellEnd"/>
      <w:r w:rsidRPr="004D46AC">
        <w:rPr>
          <w:rFonts w:eastAsiaTheme="minorEastAsia"/>
        </w:rPr>
        <w:t xml:space="preserve"> </w:t>
      </w:r>
      <w:r w:rsidRPr="004D46AC">
        <w:rPr>
          <w:rFonts w:eastAsiaTheme="minorEastAsia"/>
          <w:i/>
          <w:iCs/>
        </w:rPr>
        <w:fldChar w:fldCharType="begin"/>
      </w:r>
      <w:r w:rsidRPr="004D46AC">
        <w:rPr>
          <w:rFonts w:eastAsiaTheme="minorEastAsia"/>
          <w:i/>
          <w:iCs/>
        </w:rPr>
        <w:instrText xml:space="preserve"> ADDIN EN.CITE &lt;EndNote&gt;&lt;Cite&gt;&lt;Author&gt;Leonhard&lt;/Author&gt;&lt;Year&gt;1957&lt;/Year&gt;&lt;RecNum&gt;808&lt;/RecNum&gt;&lt;DisplayText&gt;(Leonhard, 1957)&lt;/DisplayText&gt;&lt;record&gt;&lt;rec-number&gt;808&lt;/rec-number&gt;&lt;foreign-keys&gt;&lt;key app="EN" db-id="aet009sstawa0hewvt3xwf5atffdw2dt02sw" timestamp="1735124853"&gt;808&lt;/key&gt;&lt;/foreign-keys&gt;&lt;ref-type name="Generic"&gt;13&lt;/ref-type&gt;&lt;contributors&gt;&lt;authors&gt;&lt;author&gt;Leonhard, K&lt;/author&gt;&lt;/authors&gt;&lt;/contributors&gt;&lt;titles&gt;&lt;title&gt;Aufteilung der endogenen Psychosen und ihre differenzierte Ätiologie. 1995&lt;/title&gt;&lt;/titles&gt;&lt;dates&gt;&lt;year&gt;1957&lt;/year&gt;&lt;/dates&gt;&lt;publisher&gt;Thieme, Stuttgart&lt;/publisher&gt;&lt;urls&gt;&lt;/urls&gt;&lt;/record&gt;&lt;/Cite&gt;&lt;/EndNote&gt;</w:instrText>
      </w:r>
      <w:r w:rsidRPr="004D46AC">
        <w:rPr>
          <w:rFonts w:eastAsiaTheme="minorEastAsia"/>
          <w:i/>
          <w:iCs/>
        </w:rPr>
        <w:fldChar w:fldCharType="separate"/>
      </w:r>
      <w:r w:rsidRPr="004D46AC">
        <w:rPr>
          <w:rFonts w:eastAsiaTheme="minorEastAsia"/>
        </w:rPr>
        <w:t>(Leonhard, 1957)</w:t>
      </w:r>
      <w:r w:rsidRPr="004D46AC">
        <w:rPr>
          <w:rFonts w:eastAsiaTheme="minorEastAsia"/>
          <w:i/>
          <w:iCs/>
        </w:rPr>
        <w:fldChar w:fldCharType="end"/>
      </w:r>
      <w:r w:rsidRPr="004D46AC">
        <w:rPr>
          <w:rFonts w:eastAsiaTheme="minorEastAsia"/>
        </w:rPr>
        <w:t>.</w:t>
      </w:r>
      <w:r w:rsidRPr="004D46AC">
        <w:t xml:space="preserve"> </w:t>
      </w:r>
      <w:r w:rsidRPr="004D46AC">
        <w:rPr>
          <w:rFonts w:eastAsiaTheme="minorEastAsia"/>
        </w:rPr>
        <w:t xml:space="preserve">Karl Leonhard divided the mental illness into three broad categorisations: phasic psychoses (i.e., mood psychosis), cycloid psychoses (i.e., rapid mood fluctuation, benign prognosis), and unsystematic (i.e., episodic, bipolar in nature) as well as systematic schizophrenia (i.e., gradual onset and progressive course). </w:t>
      </w:r>
      <w:proofErr w:type="gramStart"/>
      <w:r w:rsidRPr="004D46AC">
        <w:rPr>
          <w:rFonts w:eastAsiaTheme="minorEastAsia"/>
        </w:rPr>
        <w:t>Phasic Psychoses,</w:t>
      </w:r>
      <w:proofErr w:type="gramEnd"/>
      <w:r w:rsidRPr="004D46AC">
        <w:rPr>
          <w:rFonts w:eastAsiaTheme="minorEastAsia"/>
        </w:rPr>
        <w:t xml:space="preserve"> were classified into manic-depressive illness, unipolar mania, melancholia, and unipolar depression or euphoria. The manic-depressive illness, nowadays bipolar disorder, was characterized by variations and combinations of the typical features of mania (i.e., euphoria, elevated self-esteem, flight of ideas, pressured speech, and overactivity) and melancholia (i.e., depressive mood, feelings of inadequacy, thought blockages, psychomotor retardation, indecisiveness, and depressive rumination). More atypical forms of manic-depressive illness such as mixed states resemble pure euphoria and depression; other types such as confused mania—marked by thought disorders without disturbance of consciousness—mirrored cycloid psychosis. </w:t>
      </w:r>
    </w:p>
    <w:p w14:paraId="69204BE8" w14:textId="77777777" w:rsidR="003D5CB6" w:rsidRPr="004D46AC" w:rsidRDefault="003D5CB6" w:rsidP="00B518F1">
      <w:pPr>
        <w:rPr>
          <w:rFonts w:eastAsiaTheme="minorEastAsia"/>
        </w:rPr>
      </w:pPr>
      <w:r w:rsidRPr="004D46AC">
        <w:rPr>
          <w:rFonts w:eastAsiaTheme="minorEastAsia"/>
        </w:rPr>
        <w:t xml:space="preserve">In addition, Leonhard observed a clear family trend in cases of manic-depressive illness. Mild forms of typical manic-depressive symptoms were reported among family </w:t>
      </w:r>
      <w:r w:rsidRPr="004D46AC">
        <w:rPr>
          <w:rFonts w:eastAsiaTheme="minorEastAsia"/>
        </w:rPr>
        <w:lastRenderedPageBreak/>
        <w:t xml:space="preserve">members of these cases. This observation was later confirmed by independent familial studies conducted by Jules Angst and Carlo Perris. Due to the accessibility of the study, Perris’ work in English was summarised here.  </w:t>
      </w:r>
      <w:r w:rsidRPr="004D46AC">
        <w:rPr>
          <w:rFonts w:eastAsiaTheme="minorEastAsia"/>
        </w:rPr>
        <w:fldChar w:fldCharType="begin"/>
      </w:r>
      <w:r w:rsidRPr="004D46AC">
        <w:rPr>
          <w:rFonts w:eastAsiaTheme="minorEastAsia"/>
        </w:rPr>
        <w:instrText xml:space="preserve"> ADDIN EN.CITE &lt;EndNote&gt;&lt;Cite AuthorYear="1"&gt;&lt;Author&gt;Perris&lt;/Author&gt;&lt;Year&gt;2008&lt;/Year&gt;&lt;RecNum&gt;806&lt;/RecNum&gt;&lt;DisplayText&gt;Perris (2008)&lt;/DisplayText&gt;&lt;record&gt;&lt;rec-number&gt;806&lt;/rec-number&gt;&lt;foreign-keys&gt;&lt;key app="EN" db-id="aet009sstawa0hewvt3xwf5atffdw2dt02sw" timestamp="1735082272"&gt;806&lt;/key&gt;&lt;/foreign-keys&gt;&lt;ref-type name="Journal Article"&gt;17&lt;/ref-type&gt;&lt;contributors&gt;&lt;authors&gt;&lt;author&gt;Perris, Carlo&lt;/author&gt;&lt;/authors&gt;&lt;/contributors&gt;&lt;titles&gt;&lt;title&gt;Introduction&lt;/title&gt;&lt;secondary-title&gt;Acta Psychiatrica Scandinavica&lt;/secondary-title&gt;&lt;/titles&gt;&lt;periodical&gt;&lt;full-title&gt;Acta Psychiatrica Scandinavica&lt;/full-title&gt;&lt;/periodical&gt;&lt;pages&gt;9-14&lt;/pages&gt;&lt;volume&gt;41&lt;/volume&gt;&lt;number&gt;s194&lt;/number&gt;&lt;section&gt;9&lt;/section&gt;&lt;dates&gt;&lt;year&gt;2008&lt;/year&gt;&lt;/dates&gt;&lt;isbn&gt;0001-690X&amp;#xD;1600-0447&lt;/isbn&gt;&lt;urls&gt;&lt;related-urls&gt;&lt;url&gt;https://onlinelibrary.wiley.com/doi/abs/10.1111/j.1600-0447.1966.tb11009.x&lt;/url&gt;&lt;/related-urls&gt;&lt;/urls&gt;&lt;electronic-resource-num&gt;10.1111/j.1600-0447.1966.tb11009.x&lt;/electronic-resource-num&gt;&lt;/record&gt;&lt;/Cite&gt;&lt;/EndNote&gt;</w:instrText>
      </w:r>
      <w:r w:rsidRPr="004D46AC">
        <w:rPr>
          <w:rFonts w:eastAsiaTheme="minorEastAsia"/>
        </w:rPr>
        <w:fldChar w:fldCharType="separate"/>
      </w:r>
      <w:r w:rsidRPr="004D46AC">
        <w:rPr>
          <w:rFonts w:eastAsiaTheme="minorEastAsia"/>
        </w:rPr>
        <w:t>Perris (2008)</w:t>
      </w:r>
      <w:r w:rsidRPr="004D46AC">
        <w:rPr>
          <w:rFonts w:eastAsiaTheme="minorEastAsia"/>
        </w:rPr>
        <w:fldChar w:fldCharType="end"/>
      </w:r>
      <w:r w:rsidRPr="004D46AC">
        <w:rPr>
          <w:rFonts w:eastAsiaTheme="minorEastAsia"/>
        </w:rPr>
        <w:t xml:space="preserve"> examined various factors in bipolar patients and found that bipolar depression was significantly more likely to occur in individuals with relatives diagnosed with bipolar depression than in those with relatives diagnosed with unipolar depression. Although other findings from this study, such as personality profiles, suggested that bipolar and unipolar depression might represent different manifestations of the same disease, the genetic evidence strongly supported the classification of bipolar mood psychosis as a distinct condition from unipolar mood psychosis, and the name was finally documented on the DSM III published in 1980. </w:t>
      </w:r>
    </w:p>
    <w:p w14:paraId="170CEDAF" w14:textId="77777777" w:rsidR="003D5CB6" w:rsidRPr="004D46AC" w:rsidRDefault="003D5CB6" w:rsidP="00B518F1">
      <w:pPr>
        <w:rPr>
          <w:rFonts w:eastAsiaTheme="minorEastAsia"/>
        </w:rPr>
      </w:pPr>
      <w:bookmarkStart w:id="22" w:name="OLE_LINK58"/>
      <w:r w:rsidRPr="004D46AC">
        <w:rPr>
          <w:rFonts w:eastAsiaTheme="minorEastAsia"/>
        </w:rPr>
        <w:t>Leonhard maintained that the various psychoses, despite overlapping symptoms, represent discrete disease entities that can be distinguished through detailed clinical observation and longitudinal studies. Drawing on his neuropsychiatry background, Leonhard concluded that the biological underpinnings of manic-depressive illness and schizophrenia were fundamentally different. He proposed that mood psychosis primarily involves the vegetative nervous system, whereas schizophrenia is associated with disorders of higher-order processes, such as thought and willpower.</w:t>
      </w:r>
    </w:p>
    <w:bookmarkEnd w:id="22"/>
    <w:p w14:paraId="6607035A" w14:textId="77777777" w:rsidR="003D5CB6" w:rsidRPr="004D46AC" w:rsidRDefault="003D5CB6" w:rsidP="00B518F1">
      <w:pPr>
        <w:rPr>
          <w:rFonts w:eastAsiaTheme="minorEastAsia"/>
        </w:rPr>
      </w:pPr>
      <w:r w:rsidRPr="004D46AC">
        <w:rPr>
          <w:rFonts w:eastAsiaTheme="minorEastAsia"/>
        </w:rPr>
        <w:t>Leonhard offered limited commentary on the psychopathological overlap between bipolar disorder and schizophrenia, likely dismissing these similarities in favour of the 'salient differences' he distinguished between vegetative and higher-order cortical processes. However, exceptions included conditions such as hypochondriacal depression and euphoria (e.g., peculiar misperceptions of bodily sensations) and suspicious depression. These conditions could be distinguished from schizophrenia by the fact that mood psychosis does not progress, and depressive episodes are typically brief in schizophrenia. A similar distinction was made between confused mania and incoherent paraphrenia (e.g., disturbed thought). Leonhard emphasised that patients with confused mania retained the ability to "fill the gaps" between thoughts, distinguishing this condition from incoherent paraphrenia.</w:t>
      </w:r>
    </w:p>
    <w:p w14:paraId="3618770D" w14:textId="77777777" w:rsidR="003D5CB6" w:rsidRPr="004D46AC" w:rsidRDefault="003D5CB6" w:rsidP="00B518F1">
      <w:pPr>
        <w:rPr>
          <w:rFonts w:eastAsiaTheme="minorEastAsia"/>
        </w:rPr>
      </w:pPr>
      <w:r w:rsidRPr="004D46AC">
        <w:rPr>
          <w:rFonts w:eastAsiaTheme="minorEastAsia"/>
        </w:rPr>
        <w:lastRenderedPageBreak/>
        <w:t>In terms of prognosis, Leonhard’s perspective closely aligned with earlier figures such as Kraepelin and Bleuler, suggesting that bipolar disorder is generally associated with a more favourable outcome. Additionally, he noted that the genetic heritability of bipolar disorder is more pronounced compared to schizophrenia. Demographic distinctions were also evident; bipolar disorder demonstrated a notable predominance of female patients, whereas gender ratios in schizophrenia varied by subtype. Although age distributions were too heterogeneous to allow direct comparisons, schizophrenia subtypes typically exhibited an earlier onset than bipolar disorder.</w:t>
      </w:r>
    </w:p>
    <w:p w14:paraId="639C0204" w14:textId="77777777" w:rsidR="003D5CB6" w:rsidRPr="004D46AC" w:rsidRDefault="003D5CB6" w:rsidP="0022744D">
      <w:pPr>
        <w:pStyle w:val="3"/>
        <w:rPr>
          <w:rFonts w:eastAsiaTheme="minorEastAsia"/>
        </w:rPr>
      </w:pPr>
      <w:r w:rsidRPr="004D46AC">
        <w:rPr>
          <w:rFonts w:eastAsiaTheme="minorEastAsia"/>
        </w:rPr>
        <w:t>S</w:t>
      </w:r>
      <w:r w:rsidRPr="004D46AC">
        <w:t>chizophrenia and bipolar disorder</w:t>
      </w:r>
      <w:r w:rsidRPr="004D46AC">
        <w:rPr>
          <w:rFonts w:eastAsiaTheme="minorEastAsia"/>
        </w:rPr>
        <w:t>s</w:t>
      </w:r>
      <w:r w:rsidRPr="004D46AC">
        <w:t xml:space="preserve"> in </w:t>
      </w:r>
      <w:r w:rsidRPr="004D46AC">
        <w:rPr>
          <w:rFonts w:eastAsiaTheme="minorEastAsia"/>
        </w:rPr>
        <w:t xml:space="preserve">modern </w:t>
      </w:r>
      <w:r w:rsidRPr="004D46AC">
        <w:t>psychiatric system</w:t>
      </w:r>
      <w:r w:rsidRPr="004D46AC">
        <w:rPr>
          <w:rFonts w:eastAsiaTheme="minorEastAsia"/>
        </w:rPr>
        <w:t>s</w:t>
      </w:r>
    </w:p>
    <w:p w14:paraId="73063A8D" w14:textId="77777777" w:rsidR="003D5CB6" w:rsidRPr="004D46AC" w:rsidRDefault="003D5CB6" w:rsidP="00B518F1">
      <w:pPr>
        <w:rPr>
          <w:rFonts w:eastAsiaTheme="minorEastAsia"/>
        </w:rPr>
      </w:pPr>
      <w:r w:rsidRPr="004D46AC">
        <w:rPr>
          <w:rFonts w:eastAsiaTheme="minorEastAsia"/>
        </w:rPr>
        <w:t xml:space="preserve">Following Kraepelinian dichotomy, various manuals for psychiatric diagnoses have been published in the past several decades. Their initial purpose was to aid the patient management in psychiatric institutions and quantify patient data statistically. Along with the clinical practice and research, the system became increasingly diverse and comprehensive. </w:t>
      </w:r>
    </w:p>
    <w:p w14:paraId="51013107" w14:textId="77777777" w:rsidR="003D5CB6" w:rsidRPr="004D46AC" w:rsidRDefault="003D5CB6" w:rsidP="00B518F1">
      <w:pPr>
        <w:rPr>
          <w:rFonts w:eastAsiaTheme="minorEastAsia"/>
        </w:rPr>
      </w:pPr>
      <w:r w:rsidRPr="004D46AC">
        <w:rPr>
          <w:rFonts w:eastAsiaTheme="minorEastAsia"/>
        </w:rPr>
        <w:t>The</w:t>
      </w:r>
      <w:r w:rsidRPr="004D46AC">
        <w:rPr>
          <w:rFonts w:eastAsiaTheme="minorEastAsia"/>
          <w:i/>
          <w:iCs/>
        </w:rPr>
        <w:t xml:space="preserve"> </w:t>
      </w:r>
      <w:bookmarkStart w:id="23" w:name="_Hlk175560129"/>
      <w:r w:rsidRPr="004D46AC">
        <w:rPr>
          <w:rFonts w:eastAsiaTheme="minorEastAsia"/>
          <w:i/>
          <w:iCs/>
        </w:rPr>
        <w:t xml:space="preserve">Statistical manual for the use of institutions for the insane </w:t>
      </w:r>
      <w:bookmarkEnd w:id="23"/>
      <w:r w:rsidRPr="004D46AC">
        <w:rPr>
          <w:rFonts w:eastAsiaTheme="minorEastAsia"/>
        </w:rPr>
        <w:t xml:space="preserve">(SMII) was the first manual of this system used in the United States </w:t>
      </w:r>
      <w:r w:rsidRPr="004D46AC">
        <w:rPr>
          <w:rFonts w:eastAsiaTheme="minorEastAsia"/>
        </w:rPr>
        <w:fldChar w:fldCharType="begin"/>
      </w:r>
      <w:r w:rsidRPr="004D46AC">
        <w:rPr>
          <w:rFonts w:eastAsiaTheme="minorEastAsia"/>
        </w:rPr>
        <w:instrText xml:space="preserve"> ADDIN EN.CITE &lt;EndNote&gt;&lt;Cite&gt;&lt;Author&gt;American Psychiatric Association&lt;/Author&gt;&lt;Year&gt;1918&lt;/Year&gt;&lt;RecNum&gt;1374&lt;/RecNum&gt;&lt;DisplayText&gt;(American Psychiatric Association &amp;amp; National Committee for Mental Hygiene, 1918)&lt;/DisplayText&gt;&lt;record&gt;&lt;rec-number&gt;1374&lt;/rec-number&gt;&lt;foreign-keys&gt;&lt;key app="EN" db-id="aet009sstawa0hewvt3xwf5atffdw2dt02sw" timestamp="1768565196"&gt;1374&lt;/key&gt;&lt;/foreign-keys&gt;&lt;ref-type name="Book"&gt;6&lt;/ref-type&gt;&lt;contributors&gt;&lt;authors&gt;&lt;author&gt;American Psychiatric Association, &lt;/author&gt;&lt;author&gt;National Committee for Mental Hygiene, Bureau of Statistics,&lt;/author&gt;&lt;/authors&gt;&lt;/contributors&gt;&lt;titles&gt;&lt;title&gt;Statistical manual for the use of institutions for the insane&lt;/title&gt;&lt;/titles&gt;&lt;dates&gt;&lt;year&gt;1918&lt;/year&gt;&lt;/dates&gt;&lt;pub-location&gt;New York&lt;/pub-location&gt;&lt;publisher&gt;National Committee for Mental Hygiene&lt;/publisher&gt;&lt;urls&gt;&lt;related-urls&gt;&lt;url&gt;https://archive.org/details/statisticalmanu00assogoog&lt;/url&gt;&lt;/related-urls&gt;&lt;/urls&gt;&lt;/record&gt;&lt;/Cite&gt;&lt;/EndNote&gt;</w:instrText>
      </w:r>
      <w:r w:rsidRPr="004D46AC">
        <w:rPr>
          <w:rFonts w:eastAsiaTheme="minorEastAsia"/>
        </w:rPr>
        <w:fldChar w:fldCharType="separate"/>
      </w:r>
      <w:r w:rsidRPr="004D46AC">
        <w:rPr>
          <w:rFonts w:eastAsiaTheme="minorEastAsia"/>
          <w:noProof/>
        </w:rPr>
        <w:t>(American Psychiatric Association &amp; National Committee for Mental Hygiene, 1918)</w:t>
      </w:r>
      <w:r w:rsidRPr="004D46AC">
        <w:rPr>
          <w:rFonts w:eastAsiaTheme="minorEastAsia"/>
        </w:rPr>
        <w:fldChar w:fldCharType="end"/>
      </w:r>
      <w:r w:rsidRPr="004D46AC">
        <w:rPr>
          <w:rFonts w:eastAsiaTheme="minorEastAsia"/>
        </w:rPr>
        <w:t>. The SMII included statistical cards for patients records from first admission to death, and the classification of mental diseases. This manual adopted Kraepelin’s dichotomy and categorised dementia praecox and manic-depressive psychoses as separate disorders. Manic-depressive psychoses feature emotional disturbance and a high chance of relapse, and various psychotic symptoms (e.g., delusions, hallucinations, and delirium). It could be classified into five subtypes: manic (e.g., euphoria/ irritability, overactivity, flight of ideas), depressive (e.g., low self-esteem, sad/hopeless mood), stuporous (e.g., psychomotor retardation, suicidal ideation), mixed, and circular reactions (e.g., episodic cycling without remission).</w:t>
      </w:r>
    </w:p>
    <w:p w14:paraId="35C2B27C" w14:textId="77777777" w:rsidR="003D5CB6" w:rsidRPr="004D46AC" w:rsidRDefault="003D5CB6" w:rsidP="00B518F1">
      <w:pPr>
        <w:rPr>
          <w:rFonts w:eastAsiaTheme="minorEastAsia"/>
        </w:rPr>
      </w:pPr>
      <w:r w:rsidRPr="004D46AC">
        <w:rPr>
          <w:rFonts w:eastAsiaTheme="minorEastAsia"/>
        </w:rPr>
        <w:t xml:space="preserve">Unlike manic and depressive psychoses, dementia praecox was not well defined in this manual due to its heterogenous manifestations.  According to the manual, patients with this disorder typically present with abnormal personality, discrepancy between mood/ behaviour and thought, blunt affect, impaired judgement, paranoia, and delusions. Subtypes </w:t>
      </w:r>
      <w:r w:rsidRPr="004D46AC">
        <w:rPr>
          <w:rFonts w:eastAsiaTheme="minorEastAsia"/>
        </w:rPr>
        <w:lastRenderedPageBreak/>
        <w:t xml:space="preserve">of paranoid (e.g., delusions), catatonic (e.g., negativistic reactions or peculiar conduct), hebephrenic (e.g., silliness), and simple dementia praecox (e.g., apathy without delusions or hallucinations) were diagnosed by the prominence of the symptoms </w:t>
      </w:r>
    </w:p>
    <w:p w14:paraId="094609D4" w14:textId="77777777" w:rsidR="003D5CB6" w:rsidRPr="004D46AC" w:rsidRDefault="003D5CB6" w:rsidP="00B518F1">
      <w:pPr>
        <w:rPr>
          <w:rFonts w:eastAsiaTheme="minorEastAsia"/>
        </w:rPr>
      </w:pPr>
      <w:proofErr w:type="gramStart"/>
      <w:r w:rsidRPr="004D46AC">
        <w:rPr>
          <w:rFonts w:eastAsiaTheme="minorEastAsia"/>
        </w:rPr>
        <w:t>Similar to</w:t>
      </w:r>
      <w:proofErr w:type="gramEnd"/>
      <w:r w:rsidRPr="004D46AC">
        <w:rPr>
          <w:rFonts w:eastAsiaTheme="minorEastAsia"/>
        </w:rPr>
        <w:t xml:space="preserve"> the SMII, the world health organisation has attempted to document the cause of death statistically. In 1949, they issued the international list of causes of death (ICD), 6</w:t>
      </w:r>
      <w:r w:rsidRPr="004D46AC">
        <w:rPr>
          <w:rFonts w:eastAsiaTheme="minorEastAsia"/>
          <w:vertAlign w:val="superscript"/>
        </w:rPr>
        <w:t>th</w:t>
      </w:r>
      <w:r w:rsidRPr="004D46AC">
        <w:rPr>
          <w:rFonts w:eastAsiaTheme="minorEastAsia"/>
        </w:rPr>
        <w:t xml:space="preserve"> revision (so called because it </w:t>
      </w:r>
      <w:proofErr w:type="gramStart"/>
      <w:r w:rsidRPr="004D46AC">
        <w:rPr>
          <w:rFonts w:eastAsiaTheme="minorEastAsia"/>
        </w:rPr>
        <w:t>was evolved</w:t>
      </w:r>
      <w:proofErr w:type="gramEnd"/>
      <w:r w:rsidRPr="004D46AC">
        <w:rPr>
          <w:rFonts w:eastAsiaTheme="minorEastAsia"/>
        </w:rPr>
        <w:t xml:space="preserve"> from five previous editions of a classificatory manual develop ed by the French government); this is the first version that included mental disorders. It was further elaborated in a revised ICD-6 ten years later. However, detailed descriptions and criteria for the diagnoses were absent. From names of the diagnoses, three main features are different between ICD-6 and SMII. Firstly, the ICD-6 used the name schizophrenia and praecox jointly instead of dementia praecox. Secondly, the comorbidity of dementia praecox and manic-depressive psychoses is considered in ICD-6 but not SMII. Finally, some sub diagnoses are not fully consistent between the two systems. For example, the manic-depressive illness in ICD 6 six has a subtype termed perplex, which is absent in SMII.</w:t>
      </w:r>
    </w:p>
    <w:p w14:paraId="5EF3C821" w14:textId="77777777" w:rsidR="003D5CB6" w:rsidRPr="004D46AC" w:rsidRDefault="003D5CB6" w:rsidP="00B518F1">
      <w:pPr>
        <w:rPr>
          <w:rFonts w:eastAsiaTheme="minorEastAsia"/>
        </w:rPr>
      </w:pPr>
      <w:r w:rsidRPr="004D46AC">
        <w:rPr>
          <w:rFonts w:eastAsiaTheme="minorEastAsia"/>
        </w:rPr>
        <w:t xml:space="preserve">The first version of the well-known DSM I was issued in 1952; this version is largely similar to the SMII, with some changes observed in nosology. Most mental disorders were titled reactions due to the heavy influence of psychoanalytic theory that assumes mental sufferings are reactions to life events. For example, the manic-depressive psychosis was placed under the affective reactions while the schizophrenic reactions replaced dementia praecox. In addition, manic depressive reaction in this version included three subtypes: manic, depressive, and other; the later merged the manic mixed, stupor and circular types. The schizophrenic reactions had more subtypes than SMII, which including undifferentiated (acute or chronic), </w:t>
      </w:r>
      <w:proofErr w:type="spellStart"/>
      <w:r w:rsidRPr="004D46AC">
        <w:rPr>
          <w:rFonts w:eastAsiaTheme="minorEastAsia"/>
        </w:rPr>
        <w:t>schizo</w:t>
      </w:r>
      <w:proofErr w:type="spellEnd"/>
      <w:r w:rsidRPr="004D46AC">
        <w:rPr>
          <w:rFonts w:eastAsiaTheme="minorEastAsia"/>
        </w:rPr>
        <w:t xml:space="preserve">-affective, childhood, and residual types. </w:t>
      </w:r>
    </w:p>
    <w:p w14:paraId="49518A15" w14:textId="77777777" w:rsidR="003D5CB6" w:rsidRPr="004D46AC" w:rsidRDefault="003D5CB6" w:rsidP="00B518F1">
      <w:pPr>
        <w:rPr>
          <w:rFonts w:eastAsiaTheme="minorEastAsia"/>
        </w:rPr>
      </w:pPr>
    </w:p>
    <w:p w14:paraId="42A88D5C" w14:textId="51454414" w:rsidR="005B3793" w:rsidRPr="004D46AC" w:rsidRDefault="00106616" w:rsidP="005B3793">
      <w:pPr>
        <w:pStyle w:val="afff0"/>
        <w:spacing w:after="0" w:line="360" w:lineRule="auto"/>
        <w:ind w:firstLine="0"/>
        <w:rPr>
          <w:rFonts w:eastAsiaTheme="minorEastAsia"/>
          <w:b/>
          <w:bCs/>
          <w:i w:val="0"/>
          <w:iCs w:val="0"/>
          <w:color w:val="auto"/>
          <w:sz w:val="22"/>
          <w:szCs w:val="22"/>
        </w:rPr>
      </w:pPr>
      <w:bookmarkStart w:id="24" w:name="_Toc219883852"/>
      <w:bookmarkStart w:id="25" w:name="_Toc219870604"/>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24"/>
      <w:r w:rsidR="004725A0" w:rsidRPr="004D46AC">
        <w:rPr>
          <w:b/>
          <w:bCs/>
          <w:i w:val="0"/>
          <w:iCs w:val="0"/>
          <w:color w:val="auto"/>
          <w:sz w:val="22"/>
          <w:szCs w:val="22"/>
        </w:rPr>
        <w:fldChar w:fldCharType="end"/>
      </w:r>
      <w:bookmarkEnd w:id="25"/>
    </w:p>
    <w:p w14:paraId="0828DBDC" w14:textId="145CAEBF" w:rsidR="003D5CB6" w:rsidRPr="004D46AC" w:rsidRDefault="003D5CB6" w:rsidP="005B3793">
      <w:pPr>
        <w:pStyle w:val="afff0"/>
        <w:spacing w:after="0" w:line="360" w:lineRule="auto"/>
        <w:ind w:firstLine="0"/>
        <w:rPr>
          <w:rFonts w:eastAsia="SimSun"/>
          <w:b/>
          <w:bCs/>
          <w:i w:val="0"/>
          <w:iCs w:val="0"/>
          <w:color w:val="auto"/>
          <w:sz w:val="22"/>
          <w:szCs w:val="22"/>
          <w:lang w:val="en-US"/>
          <w14:ligatures w14:val="none"/>
        </w:rPr>
      </w:pPr>
      <w:r w:rsidRPr="004D46AC">
        <w:rPr>
          <w:rFonts w:eastAsia="SimSun"/>
          <w:color w:val="auto"/>
          <w:sz w:val="22"/>
          <w:szCs w:val="22"/>
          <w:lang w:val="en-US"/>
          <w14:ligatures w14:val="none"/>
        </w:rPr>
        <w:t>Development of the nosology in well-established DSM and ICD systems</w:t>
      </w:r>
    </w:p>
    <w:tbl>
      <w:tblPr>
        <w:tblStyle w:val="afc"/>
        <w:tblW w:w="0" w:type="auto"/>
        <w:tblLook w:val="04A0" w:firstRow="1" w:lastRow="0" w:firstColumn="1" w:lastColumn="0" w:noHBand="0" w:noVBand="1"/>
      </w:tblPr>
      <w:tblGrid>
        <w:gridCol w:w="1951"/>
        <w:gridCol w:w="2126"/>
        <w:gridCol w:w="2314"/>
        <w:gridCol w:w="2131"/>
      </w:tblGrid>
      <w:tr w:rsidR="003D5CB6" w:rsidRPr="004D46AC" w14:paraId="738CB7F5" w14:textId="77777777" w:rsidTr="00B518F1">
        <w:tc>
          <w:tcPr>
            <w:tcW w:w="1951" w:type="dxa"/>
          </w:tcPr>
          <w:p w14:paraId="22872AF7"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Manuals</w:t>
            </w:r>
          </w:p>
        </w:tc>
        <w:tc>
          <w:tcPr>
            <w:tcW w:w="2126" w:type="dxa"/>
          </w:tcPr>
          <w:p w14:paraId="3688075E"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disorder</w:t>
            </w:r>
          </w:p>
        </w:tc>
        <w:tc>
          <w:tcPr>
            <w:tcW w:w="2314" w:type="dxa"/>
          </w:tcPr>
          <w:p w14:paraId="1B8F7F7C"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 xml:space="preserve">Schizophrenia </w:t>
            </w:r>
          </w:p>
        </w:tc>
        <w:tc>
          <w:tcPr>
            <w:tcW w:w="2131" w:type="dxa"/>
          </w:tcPr>
          <w:p w14:paraId="6B1A85D2"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Note</w:t>
            </w:r>
          </w:p>
        </w:tc>
      </w:tr>
      <w:tr w:rsidR="003D5CB6" w:rsidRPr="004D46AC" w14:paraId="770C4FF3" w14:textId="77777777" w:rsidTr="00B518F1">
        <w:tc>
          <w:tcPr>
            <w:tcW w:w="1951" w:type="dxa"/>
          </w:tcPr>
          <w:p w14:paraId="787A16C8"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lastRenderedPageBreak/>
              <w:t>SMII (1918)</w:t>
            </w:r>
          </w:p>
        </w:tc>
        <w:tc>
          <w:tcPr>
            <w:tcW w:w="2126" w:type="dxa"/>
          </w:tcPr>
          <w:p w14:paraId="7EC8DC55"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Manic depressive illness</w:t>
            </w:r>
          </w:p>
        </w:tc>
        <w:tc>
          <w:tcPr>
            <w:tcW w:w="2314" w:type="dxa"/>
          </w:tcPr>
          <w:p w14:paraId="7AB99572"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Dementia praecox</w:t>
            </w:r>
          </w:p>
        </w:tc>
        <w:tc>
          <w:tcPr>
            <w:tcW w:w="2131" w:type="dxa"/>
          </w:tcPr>
          <w:p w14:paraId="3CA73E42"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Kraepelinian dichotomy</w:t>
            </w:r>
          </w:p>
        </w:tc>
      </w:tr>
      <w:tr w:rsidR="003D5CB6" w:rsidRPr="004D46AC" w14:paraId="6DD610AD" w14:textId="77777777" w:rsidTr="00B518F1">
        <w:tc>
          <w:tcPr>
            <w:tcW w:w="1951" w:type="dxa"/>
          </w:tcPr>
          <w:p w14:paraId="2E6425A6"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ICD 6 (1949)</w:t>
            </w:r>
          </w:p>
        </w:tc>
        <w:tc>
          <w:tcPr>
            <w:tcW w:w="2126" w:type="dxa"/>
          </w:tcPr>
          <w:p w14:paraId="53051B42"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 xml:space="preserve">Manic </w:t>
            </w:r>
            <w:proofErr w:type="gramStart"/>
            <w:r w:rsidRPr="004D46AC">
              <w:rPr>
                <w:rFonts w:eastAsia="SimSun"/>
                <w:lang w:val="en-US"/>
              </w:rPr>
              <w:t>depressive;</w:t>
            </w:r>
            <w:proofErr w:type="gramEnd"/>
          </w:p>
          <w:p w14:paraId="05F39789"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Manic;</w:t>
            </w:r>
          </w:p>
        </w:tc>
        <w:tc>
          <w:tcPr>
            <w:tcW w:w="2314" w:type="dxa"/>
          </w:tcPr>
          <w:p w14:paraId="6D090D1A"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Praecox (schizophrenia)</w:t>
            </w:r>
          </w:p>
        </w:tc>
        <w:tc>
          <w:tcPr>
            <w:tcW w:w="2131" w:type="dxa"/>
          </w:tcPr>
          <w:p w14:paraId="0F489057"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The first ICD version that includes mental disorders.</w:t>
            </w:r>
          </w:p>
        </w:tc>
      </w:tr>
      <w:tr w:rsidR="003D5CB6" w:rsidRPr="004D46AC" w14:paraId="1132691B" w14:textId="77777777" w:rsidTr="00B518F1">
        <w:tc>
          <w:tcPr>
            <w:tcW w:w="1951" w:type="dxa"/>
          </w:tcPr>
          <w:p w14:paraId="484AAA18"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I (1952)</w:t>
            </w:r>
          </w:p>
        </w:tc>
        <w:tc>
          <w:tcPr>
            <w:tcW w:w="2126" w:type="dxa"/>
          </w:tcPr>
          <w:p w14:paraId="736C2E43"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Affective reactions</w:t>
            </w:r>
          </w:p>
        </w:tc>
        <w:tc>
          <w:tcPr>
            <w:tcW w:w="2314" w:type="dxa"/>
          </w:tcPr>
          <w:p w14:paraId="1837AE7D"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Schizophrenic reactions</w:t>
            </w:r>
          </w:p>
        </w:tc>
        <w:tc>
          <w:tcPr>
            <w:tcW w:w="2131" w:type="dxa"/>
          </w:tcPr>
          <w:p w14:paraId="2B2DA57D" w14:textId="77777777" w:rsidR="003D5CB6" w:rsidRPr="004D46AC" w:rsidRDefault="003D5CB6" w:rsidP="00B518F1">
            <w:pPr>
              <w:widowControl w:val="0"/>
              <w:spacing w:line="276" w:lineRule="auto"/>
              <w:ind w:firstLine="0"/>
              <w:rPr>
                <w:rFonts w:eastAsia="SimSun"/>
                <w:lang w:val="en-US"/>
              </w:rPr>
            </w:pPr>
          </w:p>
        </w:tc>
      </w:tr>
      <w:tr w:rsidR="003D5CB6" w:rsidRPr="004D46AC" w14:paraId="5FD87385" w14:textId="77777777" w:rsidTr="00B518F1">
        <w:tc>
          <w:tcPr>
            <w:tcW w:w="1951" w:type="dxa"/>
          </w:tcPr>
          <w:p w14:paraId="55F6E93B"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ICD 7 (1955)</w:t>
            </w:r>
          </w:p>
        </w:tc>
        <w:tc>
          <w:tcPr>
            <w:tcW w:w="2126" w:type="dxa"/>
          </w:tcPr>
          <w:p w14:paraId="7C5E4DA7"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Manic depressive reaction</w:t>
            </w:r>
          </w:p>
        </w:tc>
        <w:tc>
          <w:tcPr>
            <w:tcW w:w="2314" w:type="dxa"/>
          </w:tcPr>
          <w:p w14:paraId="48D5FBF9"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Schizophrenic disorders (dementia praecox)</w:t>
            </w:r>
          </w:p>
        </w:tc>
        <w:tc>
          <w:tcPr>
            <w:tcW w:w="2131" w:type="dxa"/>
          </w:tcPr>
          <w:p w14:paraId="5430667C" w14:textId="77777777" w:rsidR="003D5CB6" w:rsidRPr="004D46AC" w:rsidRDefault="003D5CB6" w:rsidP="00B518F1">
            <w:pPr>
              <w:widowControl w:val="0"/>
              <w:spacing w:line="276" w:lineRule="auto"/>
              <w:ind w:firstLine="0"/>
              <w:rPr>
                <w:rFonts w:eastAsia="SimSun"/>
                <w:lang w:val="en-US"/>
              </w:rPr>
            </w:pPr>
          </w:p>
        </w:tc>
      </w:tr>
      <w:tr w:rsidR="003D5CB6" w:rsidRPr="004D46AC" w14:paraId="3FD99BDA" w14:textId="77777777" w:rsidTr="00B518F1">
        <w:tc>
          <w:tcPr>
            <w:tcW w:w="1951" w:type="dxa"/>
          </w:tcPr>
          <w:p w14:paraId="0DD4924E"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II (1968)</w:t>
            </w:r>
          </w:p>
        </w:tc>
        <w:tc>
          <w:tcPr>
            <w:tcW w:w="2126" w:type="dxa"/>
          </w:tcPr>
          <w:p w14:paraId="2EFD7DC6"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Manic depressive illness</w:t>
            </w:r>
          </w:p>
        </w:tc>
        <w:tc>
          <w:tcPr>
            <w:tcW w:w="2314" w:type="dxa"/>
          </w:tcPr>
          <w:p w14:paraId="4DCEDAB0"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Schizophrenia</w:t>
            </w:r>
          </w:p>
        </w:tc>
        <w:tc>
          <w:tcPr>
            <w:tcW w:w="2131" w:type="dxa"/>
          </w:tcPr>
          <w:p w14:paraId="13A86FE7" w14:textId="77777777" w:rsidR="003D5CB6" w:rsidRPr="004D46AC" w:rsidRDefault="003D5CB6" w:rsidP="00B518F1">
            <w:pPr>
              <w:widowControl w:val="0"/>
              <w:spacing w:line="276" w:lineRule="auto"/>
              <w:ind w:firstLine="0"/>
              <w:rPr>
                <w:rFonts w:eastAsia="SimSun"/>
                <w:lang w:val="en-US"/>
              </w:rPr>
            </w:pPr>
          </w:p>
        </w:tc>
      </w:tr>
      <w:tr w:rsidR="003D5CB6" w:rsidRPr="004D46AC" w14:paraId="72AF872C" w14:textId="77777777" w:rsidTr="00B518F1">
        <w:tc>
          <w:tcPr>
            <w:tcW w:w="1951" w:type="dxa"/>
          </w:tcPr>
          <w:p w14:paraId="1A3CD71C"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ICD 8 (1967)</w:t>
            </w:r>
          </w:p>
        </w:tc>
        <w:tc>
          <w:tcPr>
            <w:tcW w:w="2126" w:type="dxa"/>
          </w:tcPr>
          <w:p w14:paraId="2B1509A4"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Manic depressive psychosis</w:t>
            </w:r>
          </w:p>
        </w:tc>
        <w:tc>
          <w:tcPr>
            <w:tcW w:w="2314" w:type="dxa"/>
          </w:tcPr>
          <w:p w14:paraId="611FA275"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tcPr>
          <w:p w14:paraId="15A84018" w14:textId="77777777" w:rsidR="003D5CB6" w:rsidRPr="004D46AC" w:rsidRDefault="003D5CB6" w:rsidP="00B518F1">
            <w:pPr>
              <w:widowControl w:val="0"/>
              <w:spacing w:line="276" w:lineRule="auto"/>
              <w:ind w:firstLine="0"/>
              <w:rPr>
                <w:rFonts w:eastAsia="SimSun"/>
                <w:lang w:val="en-US"/>
              </w:rPr>
            </w:pPr>
          </w:p>
        </w:tc>
      </w:tr>
      <w:tr w:rsidR="003D5CB6" w:rsidRPr="004D46AC" w14:paraId="015A44C5" w14:textId="77777777" w:rsidTr="00B518F1">
        <w:tc>
          <w:tcPr>
            <w:tcW w:w="1951" w:type="dxa"/>
          </w:tcPr>
          <w:p w14:paraId="52E19480"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ICD 9 (1975)</w:t>
            </w:r>
          </w:p>
        </w:tc>
        <w:tc>
          <w:tcPr>
            <w:tcW w:w="2126" w:type="dxa"/>
          </w:tcPr>
          <w:p w14:paraId="330AD389"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Manic depressive psychosis</w:t>
            </w:r>
          </w:p>
        </w:tc>
        <w:tc>
          <w:tcPr>
            <w:tcW w:w="2314" w:type="dxa"/>
          </w:tcPr>
          <w:p w14:paraId="4161EADD"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Schizophrenic psychoses</w:t>
            </w:r>
          </w:p>
        </w:tc>
        <w:tc>
          <w:tcPr>
            <w:tcW w:w="2131" w:type="dxa"/>
          </w:tcPr>
          <w:p w14:paraId="647BEDAF"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Criteria for various mental disorder are included in this manual</w:t>
            </w:r>
          </w:p>
        </w:tc>
      </w:tr>
      <w:tr w:rsidR="003D5CB6" w:rsidRPr="004D46AC" w14:paraId="30AF8EE5" w14:textId="77777777" w:rsidTr="00B518F1">
        <w:tc>
          <w:tcPr>
            <w:tcW w:w="1951" w:type="dxa"/>
          </w:tcPr>
          <w:p w14:paraId="7F0CE625"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III (1980)</w:t>
            </w:r>
          </w:p>
        </w:tc>
        <w:tc>
          <w:tcPr>
            <w:tcW w:w="2126" w:type="dxa"/>
          </w:tcPr>
          <w:p w14:paraId="2CE61C92"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disorder</w:t>
            </w:r>
          </w:p>
        </w:tc>
        <w:tc>
          <w:tcPr>
            <w:tcW w:w="2314" w:type="dxa"/>
          </w:tcPr>
          <w:p w14:paraId="12E2C71D"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Schizophrenia</w:t>
            </w:r>
          </w:p>
        </w:tc>
        <w:tc>
          <w:tcPr>
            <w:tcW w:w="2131" w:type="dxa"/>
          </w:tcPr>
          <w:p w14:paraId="20FD4E3F"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The first time that bipolar disorder has been used in the manual</w:t>
            </w:r>
          </w:p>
        </w:tc>
      </w:tr>
      <w:tr w:rsidR="003D5CB6" w:rsidRPr="004D46AC" w14:paraId="13562578" w14:textId="77777777" w:rsidTr="00B518F1">
        <w:tc>
          <w:tcPr>
            <w:tcW w:w="1951" w:type="dxa"/>
          </w:tcPr>
          <w:p w14:paraId="5A09B005"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III R (1987)</w:t>
            </w:r>
          </w:p>
        </w:tc>
        <w:tc>
          <w:tcPr>
            <w:tcW w:w="2126" w:type="dxa"/>
          </w:tcPr>
          <w:p w14:paraId="40B29EEF"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disorders</w:t>
            </w:r>
          </w:p>
        </w:tc>
        <w:tc>
          <w:tcPr>
            <w:tcW w:w="2314" w:type="dxa"/>
          </w:tcPr>
          <w:p w14:paraId="1F881EFA"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tcPr>
          <w:p w14:paraId="441922BA" w14:textId="77777777" w:rsidR="003D5CB6" w:rsidRPr="004D46AC" w:rsidRDefault="003D5CB6" w:rsidP="00B518F1">
            <w:pPr>
              <w:widowControl w:val="0"/>
              <w:spacing w:line="276" w:lineRule="auto"/>
              <w:ind w:firstLine="0"/>
              <w:rPr>
                <w:rFonts w:eastAsia="SimSun"/>
                <w:lang w:val="en-US"/>
              </w:rPr>
            </w:pPr>
          </w:p>
        </w:tc>
      </w:tr>
      <w:tr w:rsidR="003D5CB6" w:rsidRPr="004D46AC" w14:paraId="597CD998" w14:textId="77777777" w:rsidTr="00B518F1">
        <w:tc>
          <w:tcPr>
            <w:tcW w:w="1951" w:type="dxa"/>
          </w:tcPr>
          <w:p w14:paraId="6AE835A6"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ICD 10 (1992)</w:t>
            </w:r>
          </w:p>
        </w:tc>
        <w:tc>
          <w:tcPr>
            <w:tcW w:w="2126" w:type="dxa"/>
          </w:tcPr>
          <w:p w14:paraId="695EFEF6"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affective disorder</w:t>
            </w:r>
          </w:p>
        </w:tc>
        <w:tc>
          <w:tcPr>
            <w:tcW w:w="2314" w:type="dxa"/>
          </w:tcPr>
          <w:p w14:paraId="7C6825AA"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tcPr>
          <w:p w14:paraId="4279E617" w14:textId="77777777" w:rsidR="003D5CB6" w:rsidRPr="004D46AC" w:rsidRDefault="003D5CB6" w:rsidP="00B518F1">
            <w:pPr>
              <w:widowControl w:val="0"/>
              <w:spacing w:line="276" w:lineRule="auto"/>
              <w:ind w:firstLine="0"/>
              <w:rPr>
                <w:rFonts w:eastAsia="SimSun"/>
                <w:lang w:val="en-US"/>
              </w:rPr>
            </w:pPr>
          </w:p>
        </w:tc>
      </w:tr>
      <w:tr w:rsidR="003D5CB6" w:rsidRPr="004D46AC" w14:paraId="22F8960B" w14:textId="77777777" w:rsidTr="00B518F1">
        <w:tc>
          <w:tcPr>
            <w:tcW w:w="1951" w:type="dxa"/>
          </w:tcPr>
          <w:p w14:paraId="25B482DF"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IV (1994)</w:t>
            </w:r>
          </w:p>
        </w:tc>
        <w:tc>
          <w:tcPr>
            <w:tcW w:w="2126" w:type="dxa"/>
          </w:tcPr>
          <w:p w14:paraId="190D7902"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disorders</w:t>
            </w:r>
          </w:p>
        </w:tc>
        <w:tc>
          <w:tcPr>
            <w:tcW w:w="2314" w:type="dxa"/>
          </w:tcPr>
          <w:p w14:paraId="34E80CF5"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tcPr>
          <w:p w14:paraId="4545D491" w14:textId="77777777" w:rsidR="003D5CB6" w:rsidRPr="004D46AC" w:rsidRDefault="003D5CB6" w:rsidP="00B518F1">
            <w:pPr>
              <w:widowControl w:val="0"/>
              <w:spacing w:line="276" w:lineRule="auto"/>
              <w:ind w:firstLine="0"/>
              <w:rPr>
                <w:rFonts w:eastAsia="SimSun"/>
                <w:lang w:val="en-US"/>
              </w:rPr>
            </w:pPr>
          </w:p>
        </w:tc>
      </w:tr>
      <w:tr w:rsidR="003D5CB6" w:rsidRPr="004D46AC" w14:paraId="260E572B" w14:textId="77777777" w:rsidTr="00B518F1">
        <w:tc>
          <w:tcPr>
            <w:tcW w:w="1951" w:type="dxa"/>
          </w:tcPr>
          <w:p w14:paraId="35A0F5E5"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IV TR (2000)</w:t>
            </w:r>
          </w:p>
        </w:tc>
        <w:tc>
          <w:tcPr>
            <w:tcW w:w="2126" w:type="dxa"/>
          </w:tcPr>
          <w:p w14:paraId="7B061A1F"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314" w:type="dxa"/>
          </w:tcPr>
          <w:p w14:paraId="3424FF7D"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tcPr>
          <w:p w14:paraId="0A6A2B5D" w14:textId="77777777" w:rsidR="003D5CB6" w:rsidRPr="004D46AC" w:rsidRDefault="003D5CB6" w:rsidP="00B518F1">
            <w:pPr>
              <w:widowControl w:val="0"/>
              <w:spacing w:line="276" w:lineRule="auto"/>
              <w:ind w:firstLine="0"/>
              <w:rPr>
                <w:rFonts w:eastAsia="SimSun"/>
                <w:lang w:val="en-US"/>
              </w:rPr>
            </w:pPr>
          </w:p>
        </w:tc>
      </w:tr>
      <w:tr w:rsidR="003D5CB6" w:rsidRPr="004D46AC" w14:paraId="05356BEF" w14:textId="77777777" w:rsidTr="00B518F1">
        <w:tc>
          <w:tcPr>
            <w:tcW w:w="1951" w:type="dxa"/>
          </w:tcPr>
          <w:p w14:paraId="0F32D1EF"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V (2013)</w:t>
            </w:r>
          </w:p>
        </w:tc>
        <w:tc>
          <w:tcPr>
            <w:tcW w:w="2126" w:type="dxa"/>
          </w:tcPr>
          <w:p w14:paraId="2BAC71FA"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and related disorders</w:t>
            </w:r>
          </w:p>
        </w:tc>
        <w:tc>
          <w:tcPr>
            <w:tcW w:w="2314" w:type="dxa"/>
          </w:tcPr>
          <w:p w14:paraId="119D477C"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vMerge w:val="restart"/>
          </w:tcPr>
          <w:p w14:paraId="59CC1458"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The two systems are much more similar than the prior versions</w:t>
            </w:r>
          </w:p>
        </w:tc>
      </w:tr>
      <w:tr w:rsidR="003D5CB6" w:rsidRPr="004D46AC" w14:paraId="65667BEB" w14:textId="77777777" w:rsidTr="00B518F1">
        <w:tc>
          <w:tcPr>
            <w:tcW w:w="1951" w:type="dxa"/>
          </w:tcPr>
          <w:p w14:paraId="6D7A5BE1"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ICD 11 (2019)</w:t>
            </w:r>
          </w:p>
        </w:tc>
        <w:tc>
          <w:tcPr>
            <w:tcW w:w="2126" w:type="dxa"/>
          </w:tcPr>
          <w:p w14:paraId="0A23BF74"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or related disorders</w:t>
            </w:r>
          </w:p>
        </w:tc>
        <w:tc>
          <w:tcPr>
            <w:tcW w:w="2314" w:type="dxa"/>
          </w:tcPr>
          <w:p w14:paraId="18746A3C"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vMerge/>
          </w:tcPr>
          <w:p w14:paraId="451C2FE7" w14:textId="77777777" w:rsidR="003D5CB6" w:rsidRPr="004D46AC" w:rsidRDefault="003D5CB6" w:rsidP="00B518F1">
            <w:pPr>
              <w:widowControl w:val="0"/>
              <w:spacing w:line="276" w:lineRule="auto"/>
              <w:ind w:firstLine="0"/>
              <w:rPr>
                <w:rFonts w:eastAsia="SimSun"/>
                <w:lang w:val="en-US"/>
              </w:rPr>
            </w:pPr>
          </w:p>
        </w:tc>
      </w:tr>
      <w:tr w:rsidR="003D5CB6" w:rsidRPr="004D46AC" w14:paraId="1DF52322" w14:textId="77777777" w:rsidTr="00B518F1">
        <w:tc>
          <w:tcPr>
            <w:tcW w:w="1951" w:type="dxa"/>
          </w:tcPr>
          <w:p w14:paraId="27ACDFC2"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DSM V TR (2022)</w:t>
            </w:r>
          </w:p>
        </w:tc>
        <w:tc>
          <w:tcPr>
            <w:tcW w:w="2126" w:type="dxa"/>
          </w:tcPr>
          <w:p w14:paraId="2E10D2D8"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Bipolar and related disorders</w:t>
            </w:r>
          </w:p>
        </w:tc>
        <w:tc>
          <w:tcPr>
            <w:tcW w:w="2314" w:type="dxa"/>
          </w:tcPr>
          <w:p w14:paraId="5675793E" w14:textId="77777777" w:rsidR="003D5CB6" w:rsidRPr="004D46AC" w:rsidRDefault="003D5CB6" w:rsidP="00B518F1">
            <w:pPr>
              <w:widowControl w:val="0"/>
              <w:spacing w:line="276" w:lineRule="auto"/>
              <w:ind w:firstLine="0"/>
              <w:rPr>
                <w:rFonts w:eastAsia="SimSun"/>
                <w:lang w:val="en-US"/>
              </w:rPr>
            </w:pPr>
            <w:r w:rsidRPr="004D46AC">
              <w:rPr>
                <w:rFonts w:eastAsia="SimSun"/>
                <w:lang w:val="en-US"/>
              </w:rPr>
              <w:t>…</w:t>
            </w:r>
          </w:p>
        </w:tc>
        <w:tc>
          <w:tcPr>
            <w:tcW w:w="2131" w:type="dxa"/>
            <w:vMerge/>
          </w:tcPr>
          <w:p w14:paraId="73B91204" w14:textId="77777777" w:rsidR="003D5CB6" w:rsidRPr="004D46AC" w:rsidRDefault="003D5CB6" w:rsidP="00B518F1">
            <w:pPr>
              <w:widowControl w:val="0"/>
              <w:spacing w:line="276" w:lineRule="auto"/>
              <w:ind w:firstLine="0"/>
              <w:rPr>
                <w:rFonts w:eastAsia="SimSun"/>
                <w:lang w:val="en-US"/>
              </w:rPr>
            </w:pPr>
          </w:p>
        </w:tc>
      </w:tr>
    </w:tbl>
    <w:p w14:paraId="6051969B" w14:textId="77777777" w:rsidR="003D5CB6" w:rsidRPr="004D46AC" w:rsidRDefault="003D5CB6" w:rsidP="00B518F1">
      <w:pPr>
        <w:widowControl w:val="0"/>
        <w:spacing w:line="276" w:lineRule="auto"/>
        <w:ind w:firstLine="0"/>
        <w:rPr>
          <w:rFonts w:eastAsia="SimSun"/>
          <w:lang w:val="en-US"/>
          <w14:ligatures w14:val="none"/>
        </w:rPr>
      </w:pPr>
      <w:r w:rsidRPr="004D46AC">
        <w:rPr>
          <w:rFonts w:eastAsia="SimSun"/>
          <w:i/>
          <w:iCs/>
          <w:lang w:val="en-US"/>
          <w14:ligatures w14:val="none"/>
        </w:rPr>
        <w:t>Note</w:t>
      </w:r>
      <w:r w:rsidRPr="004D46AC">
        <w:rPr>
          <w:rFonts w:eastAsia="SimSun"/>
          <w:lang w:val="en-US"/>
          <w14:ligatures w14:val="none"/>
        </w:rPr>
        <w:t>. DSM: Diagnostic and Statistical Manual of Mental Disorders, ICD: International Classification of Diseases, SMII: Statistical manual for the use of institutions for the insane; R: Revised, TR: Text Revision.</w:t>
      </w:r>
    </w:p>
    <w:p w14:paraId="350BAE8C" w14:textId="77777777" w:rsidR="003D5CB6" w:rsidRPr="004D46AC" w:rsidRDefault="003D5CB6" w:rsidP="00B518F1">
      <w:pPr>
        <w:widowControl w:val="0"/>
        <w:spacing w:line="240" w:lineRule="auto"/>
        <w:ind w:firstLine="0"/>
        <w:rPr>
          <w:rFonts w:eastAsia="SimSun"/>
          <w:sz w:val="21"/>
          <w:lang w:val="en-US"/>
          <w14:ligatures w14:val="none"/>
        </w:rPr>
      </w:pPr>
    </w:p>
    <w:p w14:paraId="1C33FC77" w14:textId="77777777" w:rsidR="003D5CB6" w:rsidRPr="004D46AC" w:rsidRDefault="003D5CB6" w:rsidP="00B518F1">
      <w:pPr>
        <w:rPr>
          <w:rFonts w:eastAsiaTheme="minorEastAsia"/>
        </w:rPr>
      </w:pPr>
    </w:p>
    <w:p w14:paraId="11691F46" w14:textId="77777777" w:rsidR="003D5CB6" w:rsidRPr="004D46AC" w:rsidRDefault="003D5CB6" w:rsidP="00B518F1">
      <w:pPr>
        <w:rPr>
          <w:rFonts w:eastAsiaTheme="minorEastAsia"/>
        </w:rPr>
      </w:pPr>
      <w:r w:rsidRPr="004D46AC">
        <w:rPr>
          <w:rFonts w:eastAsiaTheme="minorEastAsia"/>
        </w:rPr>
        <w:t xml:space="preserve">The system experienced small change in the following two decades, see Table 1.1. For the ICD system, detailed criteria of mental disorder diagnosis were firstly presented in ICD 9; in this, the diagnosis of schizophrenia could be made when at least two of significant disruptions in thought, perception, mood, conduct, or personality presented in the illness </w:t>
      </w:r>
      <w:r w:rsidRPr="004D46AC">
        <w:rPr>
          <w:rFonts w:eastAsiaTheme="minorEastAsia"/>
        </w:rPr>
        <w:lastRenderedPageBreak/>
        <w:t>course, and the subtypes could be considered based on the predominant feature. The affective psychoses were distinguished by the significant mood disturbance (e.g., depression, anxiety, mood elevation) and accompanied by delusions, perplexity, disturbed attitude to self or disorder of perception. This is the last time that manic depressive psychosis appeared in the diagnostic manual.</w:t>
      </w:r>
    </w:p>
    <w:p w14:paraId="08E18332" w14:textId="6AECF099" w:rsidR="003D5CB6" w:rsidRPr="004D46AC" w:rsidRDefault="003D5CB6" w:rsidP="00B518F1">
      <w:pPr>
        <w:rPr>
          <w:rFonts w:eastAsiaTheme="minorEastAsia"/>
        </w:rPr>
      </w:pPr>
      <w:r w:rsidRPr="004D46AC">
        <w:rPr>
          <w:rFonts w:eastAsiaTheme="minorEastAsia"/>
        </w:rPr>
        <w:t>In 1980, the name bipolar disorder replaced manic-depressive illness in DSM III, in which the criteria had been refined and improved with advancements in statistics and epidemiology. For example, patients suffering from a manic episode could experience one or more distinctive manic episodes (e.g., mood elevation), with most of the relevant symptoms (e.g., racing thoughts, restless) lasting longer than a week; the exclusion criteria (e.g., substance induced manic symptoms) were also listed, see Tables A</w:t>
      </w:r>
      <w:r w:rsidR="00D0731C" w:rsidRPr="004D46AC">
        <w:rPr>
          <w:rFonts w:eastAsiaTheme="minorEastAsia" w:hint="eastAsia"/>
        </w:rPr>
        <w:t xml:space="preserve"> </w:t>
      </w:r>
      <w:r w:rsidRPr="004D46AC">
        <w:rPr>
          <w:rFonts w:eastAsiaTheme="minorEastAsia"/>
        </w:rPr>
        <w:t xml:space="preserve">1-2 in appendix A. Another major change in this version is that the DSM III attempted to separate bipolar disorder and schizophrenia by adding comorbid psychotic features to the former, which were further delineated as mood incongruent (e.g., persecutory delusions) or congruent (e.g., grandiose delusion). Meanwhile, schizophrenia patients (i.e., younger than 45) could exhibit one or more psychotic symptoms, with lasting course (i.e., more than 6 months) and deteriorated functioning. The diagnosis of schizoaffective disorder could be made when the clinician was facing difficulties in diagnosing patients with schizophrenia or bipolar disorder. </w:t>
      </w:r>
    </w:p>
    <w:p w14:paraId="4E72C292" w14:textId="1ED714F2" w:rsidR="003D5CB6" w:rsidRPr="004D46AC" w:rsidRDefault="003D5CB6" w:rsidP="00B518F1">
      <w:pPr>
        <w:rPr>
          <w:rFonts w:eastAsiaTheme="minorEastAsia"/>
        </w:rPr>
      </w:pPr>
      <w:r w:rsidRPr="004D46AC">
        <w:rPr>
          <w:rFonts w:eastAsiaTheme="minorEastAsia"/>
        </w:rPr>
        <w:t xml:space="preserve">The revised version of the DSM-III introduced minimal changes to the diagnostic criteria. However, a few updates were made to bipolar disorder, including the addition of severity levels (e.g., mild, moderate, severe) and subtypes. Bipolar disorder with psychotic features was classified at the severe level. The criteria for schizophrenia remained largely unchanged, with coding based on its course (e.g., sub-chronic, chronic, acute exacerbation, or remission). The ICD-10 adopted a similar severity-based system, categorising all mood episodes and psychotic comorbidities by the severity of bipolar affective disorder. However, the schizophrenia criteria in the ICD-10 diverged significantly from those in the DSM-III-R. The ICD-10 established two sets of criteria for schizophrenia: the presence of more than one Schneiderian symptom or more than two psychotic symptoms, including hallucinations, </w:t>
      </w:r>
      <w:r w:rsidRPr="004D46AC">
        <w:rPr>
          <w:rFonts w:eastAsiaTheme="minorEastAsia"/>
        </w:rPr>
        <w:lastRenderedPageBreak/>
        <w:t>thought disorganisation, catatonia, or negative symptoms. Additionally, the ICD-10 expanded its definition of schizophrenia’s course to include episodic patterns alongside continuous and remissive courses. In their latest iterations, the DSM and ICD systems have largely converged, with only minor disparities in their criteria. For schizophrenia, the DSM emphasises hallucinations, delusions, and disorganised speech, requiring at least one of these symptoms to be present for one month to establish a diagnosis. In contrast, the ICD specifies that at least two psychotic symptoms are necessary for the diagnosis. Regarding bipolar disorder, no significant changes have been made since the DSM-IV, and the criteria now align closely with those in the ICD-11 (see Table A</w:t>
      </w:r>
      <w:r w:rsidR="00D0731C" w:rsidRPr="004D46AC">
        <w:rPr>
          <w:rFonts w:eastAsiaTheme="minorEastAsia" w:hint="eastAsia"/>
        </w:rPr>
        <w:t xml:space="preserve"> </w:t>
      </w:r>
      <w:r w:rsidRPr="004D46AC">
        <w:rPr>
          <w:rFonts w:eastAsiaTheme="minorEastAsia"/>
        </w:rPr>
        <w:t xml:space="preserve">2 for details). </w:t>
      </w:r>
    </w:p>
    <w:p w14:paraId="239F37BA" w14:textId="77777777" w:rsidR="003D5CB6" w:rsidRPr="004D46AC" w:rsidRDefault="003D5CB6" w:rsidP="00B518F1">
      <w:pPr>
        <w:rPr>
          <w:rFonts w:eastAsiaTheme="minorEastAsia"/>
        </w:rPr>
      </w:pPr>
      <w:r w:rsidRPr="004D46AC">
        <w:rPr>
          <w:rFonts w:eastAsiaTheme="minorEastAsia"/>
        </w:rPr>
        <w:t xml:space="preserve">As psychiatric diagnostic systems are categorical in nature, each version of these manuals has introduced distinctive criteria to minimise the risk of misdiagnosing disorders, particularly since the publication of the DSM-III and ICD-10. DSM-III pioneered the idea that the co-occurrence of psychosis and mood symptoms can be thematically defined without compromising diagnostic boundaries. Additionally, the chronological sequence of mood and psychotic episodes, as well as the predominance of each episode, can be utilised to further differentiate disorders. However, the possibility of misdiagnosis cannot be </w:t>
      </w:r>
      <w:proofErr w:type="gramStart"/>
      <w:r w:rsidRPr="004D46AC">
        <w:rPr>
          <w:rFonts w:eastAsiaTheme="minorEastAsia"/>
        </w:rPr>
        <w:t>entirely eliminated</w:t>
      </w:r>
      <w:proofErr w:type="gramEnd"/>
      <w:r w:rsidRPr="004D46AC">
        <w:rPr>
          <w:rFonts w:eastAsiaTheme="minorEastAsia"/>
        </w:rPr>
        <w:t xml:space="preserve">, and diagnostic stability remains a significant challenge. To better evaluate these limitations, evidence concerning diagnostic stability and overlaps across various areas will be discussed in the following sections. </w:t>
      </w:r>
    </w:p>
    <w:p w14:paraId="2E29A87F" w14:textId="77777777" w:rsidR="003D5CB6" w:rsidRPr="004D46AC" w:rsidRDefault="003D5CB6" w:rsidP="00B518F1">
      <w:pPr>
        <w:pStyle w:val="2"/>
        <w:rPr>
          <w:rFonts w:eastAsiaTheme="minorEastAsia"/>
        </w:rPr>
      </w:pPr>
      <w:bookmarkStart w:id="26" w:name="_Toc219888753"/>
      <w:r w:rsidRPr="004D46AC">
        <w:t>The Unclear Boundary</w:t>
      </w:r>
      <w:bookmarkEnd w:id="26"/>
    </w:p>
    <w:p w14:paraId="0F31E662" w14:textId="4801B6B1" w:rsidR="003D5CB6" w:rsidRPr="004D46AC" w:rsidRDefault="003D5CB6" w:rsidP="00B518F1">
      <w:pPr>
        <w:rPr>
          <w:rFonts w:eastAsiaTheme="minorEastAsia"/>
        </w:rPr>
      </w:pPr>
      <w:r w:rsidRPr="004D46AC">
        <w:rPr>
          <w:rFonts w:eastAsiaTheme="minorEastAsia"/>
        </w:rPr>
        <w:t xml:space="preserve">The diagnostic stabilities of bipolar disorder and schizophrenia are generally poor, largely due to the unclear boundary between the two conditions. Diagnostic variability and misdiagnoses were not uncommon in early psychiatric studies. Patients with mental disorders often presented initially with symptoms resembling dementia praecox, such as hallucinations, stereotypies, and thought transference. Over time, however, their condition could evolve to display typical manifestations of manic-depressive insanity. Notably, these phenomena could occur reciprocally, further complicating diagnostic clarity </w:t>
      </w:r>
      <w:r w:rsidRPr="004D46AC">
        <w:rPr>
          <w:rFonts w:eastAsiaTheme="minorEastAsia"/>
        </w:rPr>
        <w:fldChar w:fldCharType="begin"/>
      </w:r>
      <w:r w:rsidRPr="004D46AC">
        <w:rPr>
          <w:rFonts w:eastAsiaTheme="minorEastAsia"/>
        </w:rPr>
        <w:instrText xml:space="preserve"> ADDIN EN.CITE &lt;EndNote&gt;&lt;Cite&gt;&lt;Author&gt;Hoch&lt;/Author&gt;&lt;Year&gt;1922&lt;/Year&gt;&lt;RecNum&gt;810&lt;/RecNum&gt;&lt;DisplayText&gt;(Hoch, 1922)&lt;/DisplayText&gt;&lt;record&gt;&lt;rec-number&gt;810&lt;/rec-number&gt;&lt;foreign-keys&gt;&lt;key app="EN" db-id="aet009sstawa0hewvt3xwf5atffdw2dt02sw" timestamp="1736412364"&gt;810&lt;/key&gt;&lt;/foreign-keys&gt;&lt;ref-type name="Journal Article"&gt;17&lt;/ref-type&gt;&lt;contributors&gt;&lt;authors&gt;&lt;author&gt;Hoch, Theodore A.&lt;/author&gt;&lt;/authors&gt;&lt;/contributors&gt;&lt;titles&gt;&lt;title&gt;Acute Psychoses with Symptoms Resembling Dementia PrÆcox&lt;/title&gt;&lt;secondary-title&gt;American Journal of Psychiatry&lt;/secondary-title&gt;&lt;/titles&gt;&lt;periodical&gt;&lt;full-title&gt;American Journal of Psychiatry&lt;/full-title&gt;&lt;/periodical&gt;&lt;pages&gt;365-372&lt;/pages&gt;&lt;volume&gt;78&lt;/volume&gt;&lt;number&gt;3&lt;/number&gt;&lt;section&gt;365&lt;/section&gt;&lt;dates&gt;&lt;year&gt;1922&lt;/year&gt;&lt;pub-dates&gt;&lt;date&gt;1922/01/01&lt;/date&gt;&lt;/pub-dates&gt;&lt;/dates&gt;&lt;publisher&gt;American Psychiatric Publishing&lt;/publisher&gt;&lt;isbn&gt;0002-953X&amp;#xD;1535-7228&lt;/isbn&gt;&lt;urls&gt;&lt;related-urls&gt;&lt;url&gt;https://doi.org/10.1176/ajp.78.3.365&lt;/url&gt;&lt;/related-urls&gt;&lt;/urls&gt;&lt;electronic-resource-num&gt;10.1176/ajp.78.3.365&lt;/electronic-resource-num&gt;&lt;access-date&gt;2025/01/09&lt;/access-date&gt;&lt;/record&gt;&lt;/Cite&gt;&lt;/EndNote&gt;</w:instrText>
      </w:r>
      <w:r w:rsidRPr="004D46AC">
        <w:rPr>
          <w:rFonts w:eastAsiaTheme="minorEastAsia"/>
        </w:rPr>
        <w:fldChar w:fldCharType="separate"/>
      </w:r>
      <w:r w:rsidRPr="004D46AC">
        <w:rPr>
          <w:rFonts w:eastAsiaTheme="minorEastAsia"/>
        </w:rPr>
        <w:t>(Hoch, 1922)</w:t>
      </w:r>
      <w:r w:rsidRPr="004D46AC">
        <w:rPr>
          <w:rFonts w:eastAsiaTheme="minorEastAsia"/>
        </w:rPr>
        <w:fldChar w:fldCharType="end"/>
      </w:r>
      <w:r w:rsidRPr="004D46AC">
        <w:rPr>
          <w:rFonts w:eastAsiaTheme="minorEastAsia"/>
        </w:rPr>
        <w:t xml:space="preserve">. The ambiguity subsequently led to the issue of misdiagnosing one as another. </w:t>
      </w:r>
      <w:r w:rsidRPr="004D46AC">
        <w:rPr>
          <w:rFonts w:eastAsiaTheme="minorEastAsia"/>
        </w:rPr>
        <w:fldChar w:fldCharType="begin"/>
      </w:r>
      <w:r w:rsidRPr="004D46AC">
        <w:rPr>
          <w:rFonts w:eastAsiaTheme="minorEastAsia"/>
        </w:rPr>
        <w:instrText xml:space="preserve"> ADDIN EN.CITE &lt;EndNote&gt;&lt;Cite AuthorYear="1"&gt;&lt;Author&gt;Hoch&lt;/Author&gt;&lt;Year&gt;1941&lt;/Year&gt;&lt;RecNum&gt;809&lt;/RecNum&gt;&lt;DisplayText&gt;Hoch and Rachlin (1941)&lt;/DisplayText&gt;&lt;record&gt;&lt;rec-number&gt;809&lt;/rec-number&gt;&lt;foreign-keys&gt;&lt;key app="EN" db-id="aet009sstawa0hewvt3xwf5atffdw2dt02sw" timestamp="1736411229"&gt;809&lt;/key&gt;&lt;/foreign-keys&gt;&lt;ref-type name="Journal Article"&gt;17&lt;/ref-type&gt;&lt;contributors&gt;&lt;authors&gt;&lt;author&gt;Hoch, Paul&lt;/author&gt;&lt;author&gt;Rachlin, H. L.&lt;/author&gt;&lt;/authors&gt;&lt;/contributors&gt;&lt;titles&gt;&lt;title&gt;An Evaluation of Manic-Depressive Psychosis in the Light of Follow-up Studies&lt;/title&gt;&lt;secondary-title&gt;American Journal of Psychiatry&lt;/secondary-title&gt;&lt;/titles&gt;&lt;periodical&gt;&lt;full-title&gt;American Journal of Psychiatry&lt;/full-title&gt;&lt;/periodical&gt;&lt;pages&gt;831-843&lt;/pages&gt;&lt;volume&gt;97&lt;/volume&gt;&lt;number&gt;4&lt;/number&gt;&lt;section&gt;831&lt;/section&gt;&lt;dates&gt;&lt;year&gt;1941&lt;/year&gt;&lt;pub-dates&gt;&lt;date&gt;1941/01/01&lt;/date&gt;&lt;/pub-dates&gt;&lt;/dates&gt;&lt;publisher&gt;American Psychiatric Publishing&lt;/publisher&gt;&lt;isbn&gt;0002-953X&amp;#xD;1535-7228&lt;/isbn&gt;&lt;urls&gt;&lt;related-urls&gt;&lt;url&gt;https://doi.org/10.1176/ajp.97.4.831&lt;/url&gt;&lt;/related-urls&gt;&lt;/urls&gt;&lt;electronic-resource-num&gt;10.1176/ajp.97.4.831&lt;/electronic-resource-num&gt;&lt;access-date&gt;2025/01/09&lt;/access-date&gt;&lt;/record&gt;&lt;/Cite&gt;&lt;/EndNote&gt;</w:instrText>
      </w:r>
      <w:r w:rsidRPr="004D46AC">
        <w:rPr>
          <w:rFonts w:eastAsiaTheme="minorEastAsia"/>
        </w:rPr>
        <w:fldChar w:fldCharType="separate"/>
      </w:r>
      <w:r w:rsidRPr="004D46AC">
        <w:rPr>
          <w:rFonts w:eastAsiaTheme="minorEastAsia"/>
        </w:rPr>
        <w:t xml:space="preserve">Hoch and </w:t>
      </w:r>
      <w:r w:rsidRPr="004D46AC">
        <w:rPr>
          <w:rFonts w:eastAsiaTheme="minorEastAsia"/>
        </w:rPr>
        <w:lastRenderedPageBreak/>
        <w:t>Rachlin (1941)</w:t>
      </w:r>
      <w:r w:rsidRPr="004D46AC">
        <w:rPr>
          <w:rFonts w:eastAsiaTheme="minorEastAsia"/>
        </w:rPr>
        <w:fldChar w:fldCharType="end"/>
      </w:r>
      <w:r w:rsidRPr="004D46AC">
        <w:rPr>
          <w:rFonts w:eastAsiaTheme="minorEastAsia"/>
        </w:rPr>
        <w:t xml:space="preserve"> reviewed clinical records of 5,799 cases with schizophrenia in the US, and the corrected diagnosis of schizophrenia was made for 7.16% of the patients who have been originally diagnosed as having manic depressive insanity five years previously. Another study conducted in the UK followed patients up after ten years, and found the rate of misdiagnosis was 8.70% </w:t>
      </w:r>
      <w:r w:rsidRPr="004D46AC">
        <w:rPr>
          <w:rFonts w:eastAsiaTheme="minorEastAsia"/>
        </w:rPr>
        <w:fldChar w:fldCharType="begin"/>
      </w:r>
      <w:r w:rsidRPr="004D46AC">
        <w:rPr>
          <w:rFonts w:eastAsiaTheme="minorEastAsia"/>
        </w:rPr>
        <w:instrText xml:space="preserve"> ADDIN EN.CITE &lt;EndNote&gt;&lt;Cite&gt;&lt;Author&gt;Baudiš&lt;/Author&gt;&lt;Year&gt;1977&lt;/Year&gt;&lt;RecNum&gt;811&lt;/RecNum&gt;&lt;DisplayText&gt;(Baudiš et al., 1977)&lt;/DisplayText&gt;&lt;record&gt;&lt;rec-number&gt;811&lt;/rec-number&gt;&lt;foreign-keys&gt;&lt;key app="EN" db-id="aet009sstawa0hewvt3xwf5atffdw2dt02sw" timestamp="1736414671"&gt;811&lt;/key&gt;&lt;/foreign-keys&gt;&lt;ref-type name="Journal Article"&gt;17&lt;/ref-type&gt;&lt;contributors&gt;&lt;authors&gt;&lt;author&gt;Baudiš, P.&lt;/author&gt;&lt;author&gt;Matesová, A.&lt;/author&gt;&lt;author&gt;Škoda, C.&lt;/author&gt;&lt;author&gt;Kabešová, L.&lt;/author&gt;&lt;author&gt;Skodová, M.&lt;/author&gt;&lt;/authors&gt;&lt;/contributors&gt;&lt;titles&gt;&lt;title&gt;A comparison of first admissions of Mania in Prague, Aarhus and London&lt;/title&gt;&lt;secondary-title&gt;Social Psychiatry&lt;/secondary-title&gt;&lt;/titles&gt;&lt;periodical&gt;&lt;full-title&gt;Social psychiatry&lt;/full-title&gt;&lt;/periodical&gt;&lt;pages&gt;185-193&lt;/pages&gt;&lt;volume&gt;12&lt;/volume&gt;&lt;number&gt;4&lt;/number&gt;&lt;section&gt;185&lt;/section&gt;&lt;dates&gt;&lt;year&gt;1977&lt;/year&gt;&lt;pub-dates&gt;&lt;date&gt;1977/12/01&lt;/date&gt;&lt;/pub-dates&gt;&lt;/dates&gt;&lt;isbn&gt;0037-7813&amp;#xD;1433-9285&lt;/isbn&gt;&lt;urls&gt;&lt;related-urls&gt;&lt;url&gt;https://doi.org/10.1007/BF00578138&lt;/url&gt;&lt;/related-urls&gt;&lt;/urls&gt;&lt;electronic-resource-num&gt;10.1007/bf00578138&lt;/electronic-resource-num&gt;&lt;/record&gt;&lt;/Cite&gt;&lt;/EndNote&gt;</w:instrText>
      </w:r>
      <w:r w:rsidRPr="004D46AC">
        <w:rPr>
          <w:rFonts w:eastAsiaTheme="minorEastAsia"/>
        </w:rPr>
        <w:fldChar w:fldCharType="separate"/>
      </w:r>
      <w:r w:rsidRPr="004D46AC">
        <w:rPr>
          <w:rFonts w:eastAsiaTheme="minorEastAsia"/>
        </w:rPr>
        <w:t>(Baudiš et al., 1977)</w:t>
      </w:r>
      <w:r w:rsidRPr="004D46AC">
        <w:rPr>
          <w:rFonts w:eastAsiaTheme="minorEastAsia"/>
        </w:rPr>
        <w:fldChar w:fldCharType="end"/>
      </w:r>
      <w:r w:rsidRPr="004D46AC">
        <w:rPr>
          <w:rFonts w:eastAsiaTheme="minorEastAsia"/>
        </w:rPr>
        <w:t>, whereas the incidence of misdiagnosing schizophrenia as manic-depressive insanity was stunningly high at 45.45%, which could possibly be attributed to the small sample size (</w:t>
      </w:r>
      <w:r w:rsidRPr="004D46AC">
        <w:rPr>
          <w:rFonts w:eastAsiaTheme="minorEastAsia"/>
          <w:i/>
          <w:iCs/>
        </w:rPr>
        <w:t>n</w:t>
      </w:r>
      <w:r w:rsidR="00106616" w:rsidRPr="004D46AC">
        <w:rPr>
          <w:rFonts w:eastAsiaTheme="minorEastAsia" w:hint="eastAsia"/>
        </w:rPr>
        <w:t xml:space="preserve"> </w:t>
      </w:r>
      <w:r w:rsidRPr="004D46AC">
        <w:rPr>
          <w:rFonts w:eastAsiaTheme="minorEastAsia"/>
        </w:rPr>
        <w:t>=</w:t>
      </w:r>
      <w:r w:rsidR="00106616" w:rsidRPr="004D46AC">
        <w:rPr>
          <w:rFonts w:eastAsiaTheme="minorEastAsia" w:hint="eastAsia"/>
        </w:rPr>
        <w:t xml:space="preserve"> </w:t>
      </w:r>
      <w:r w:rsidRPr="004D46AC">
        <w:rPr>
          <w:rFonts w:eastAsiaTheme="minorEastAsia"/>
        </w:rPr>
        <w:t xml:space="preserve">11). </w:t>
      </w:r>
    </w:p>
    <w:p w14:paraId="085FF3B4" w14:textId="77777777" w:rsidR="003D5CB6" w:rsidRPr="004D46AC" w:rsidRDefault="003D5CB6" w:rsidP="00B518F1">
      <w:pPr>
        <w:rPr>
          <w:rFonts w:eastAsiaTheme="minorEastAsia"/>
        </w:rPr>
      </w:pPr>
      <w:r w:rsidRPr="004D46AC">
        <w:rPr>
          <w:rFonts w:eastAsiaTheme="minorEastAsia"/>
        </w:rPr>
        <w:t xml:space="preserve">Surprisingly, this problem was not resolved with the constant refinements observed in criteria for diagnosing bipolar disorder and schizophrenia in later manuals. </w:t>
      </w:r>
      <w:r w:rsidRPr="004D46AC">
        <w:rPr>
          <w:rFonts w:eastAsiaTheme="minorEastAsia"/>
        </w:rPr>
        <w:fldChar w:fldCharType="begin">
          <w:fldData xml:space="preserve">PEVuZE5vdGU+PENpdGUgQXV0aG9yWWVhcj0iMSI+PEF1dGhvcj5SdWdnZXJvPC9BdXRob3I+PFll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PEVuZE5vdGU+PENpdGUgQXV0aG9yWWVhcj0iMSI+PEF1dGhvcj5SdWdnZXJvPC9BdXRob3I+PFll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Ruggero et al. (2010)</w:t>
      </w:r>
      <w:r w:rsidRPr="004D46AC">
        <w:rPr>
          <w:rFonts w:eastAsiaTheme="minorEastAsia"/>
        </w:rPr>
        <w:fldChar w:fldCharType="end"/>
      </w:r>
      <w:r w:rsidRPr="004D46AC">
        <w:rPr>
          <w:rFonts w:eastAsiaTheme="minorEastAsia"/>
        </w:rPr>
        <w:t xml:space="preserve"> examined diagnostic stability over a ten-year interval, revealing that the diagnostic consistency for bipolar disorder patients was approximately 75%. Among the 97 patients with inconsistent diagnostic patterns—whose initial and final diagnoses were not bipolar disorder but were diagnosed with bipolar disorder at some points during the course—schizophrenia spectrum disorders, particularly schizoaffective disorder, were the most common alternative diagnoses. These disorders exhibited the highest conversion rates among all diagnostic categories. In addition, four types of diagnostic trajectory were identified: consistent bipolar at baseline and endline (50%), bipolar at baseline but switched to another diagnosis at endline (16%), non-bipolar diagnosis at baseline and bipolar diagnosis at endline (17%), and random pattern (16%). </w:t>
      </w:r>
    </w:p>
    <w:p w14:paraId="6414F969" w14:textId="77777777" w:rsidR="003D5CB6" w:rsidRPr="004D46AC" w:rsidRDefault="003D5CB6" w:rsidP="00B518F1">
      <w:pPr>
        <w:rPr>
          <w:rFonts w:eastAsiaTheme="minorEastAsia"/>
        </w:rPr>
      </w:pPr>
      <w:r w:rsidRPr="004D46AC">
        <w:rPr>
          <w:rFonts w:eastAsiaTheme="minorEastAsia"/>
        </w:rPr>
        <w:t xml:space="preserve">The instability of psychiatric diagnoses appears to be universal across cultures and populations.  In a psychiatric centre in Ethiopia, the incidence for a patient with schizophrenia being diagnosed as bipolar disorder was up to 56.25% </w:t>
      </w:r>
      <w:r w:rsidRPr="004D46AC">
        <w:rPr>
          <w:rFonts w:eastAsiaTheme="minorEastAsia"/>
        </w:rPr>
        <w:fldChar w:fldCharType="begin">
          <w:fldData xml:space="preserve">PEVuZE5vdGU+PENpdGU+PEF1dGhvcj5BeWFubzwvQXV0aG9yPjxZZWFyPjIwMjE8L1llYXI+PFJl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PEVuZE5vdGU+PENpdGU+PEF1dGhvcj5BeWFubzwvQXV0aG9yPjxZZWFyPjIwMjE8L1llYXI+PFJl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(Ayano et al., 2021)</w:t>
      </w:r>
      <w:r w:rsidRPr="004D46AC">
        <w:rPr>
          <w:rFonts w:eastAsiaTheme="minorEastAsia"/>
        </w:rPr>
        <w:fldChar w:fldCharType="end"/>
      </w:r>
      <w:r w:rsidRPr="004D46AC">
        <w:rPr>
          <w:rFonts w:eastAsiaTheme="minorEastAsia"/>
        </w:rPr>
        <w:t xml:space="preserve">. In a Spain psychiatric institute, 31% of the bipolar patients were diagnosed as schizophrenia spectrum disorders at their disorder onset </w:t>
      </w:r>
      <w:r w:rsidRPr="004D46AC">
        <w:rPr>
          <w:rFonts w:eastAsiaTheme="minorEastAsia"/>
        </w:rPr>
        <w:fldChar w:fldCharType="begin"/>
      </w:r>
      <w:r w:rsidRPr="004D46AC">
        <w:rPr>
          <w:rFonts w:eastAsiaTheme="minorEastAsia"/>
        </w:rPr>
        <w:instrText xml:space="preserve"> ADDIN EN.CITE &lt;EndNote&gt;&lt;Cite&gt;&lt;Author&gt;Gonzalez-Pinto&lt;/Author&gt;&lt;Year&gt;1998&lt;/Year&gt;&lt;RecNum&gt;815&lt;/RecNum&gt;&lt;DisplayText&gt;(Gonzalez-Pinto et al., 1998)&lt;/DisplayText&gt;&lt;record&gt;&lt;rec-number&gt;815&lt;/rec-number&gt;&lt;foreign-keys&gt;&lt;key app="EN" db-id="aet009sstawa0hewvt3xwf5atffdw2dt02sw" timestamp="1736514421"&gt;815&lt;/key&gt;&lt;/foreign-keys&gt;&lt;ref-type name="Journal Article"&gt;17&lt;/ref-type&gt;&lt;contributors&gt;&lt;authors&gt;&lt;author&gt;Gonzalez-Pinto, A.&lt;/author&gt;&lt;author&gt;Gutierrez, M.&lt;/author&gt;&lt;author&gt;Mosquera, F.&lt;/author&gt;&lt;author&gt;Ballesteros, J.&lt;/author&gt;&lt;author&gt;Lopez, P.&lt;/author&gt;&lt;author&gt;Ezcurra, J.&lt;/author&gt;&lt;author&gt;Figuerido, J. L.&lt;/author&gt;&lt;author&gt;de Leon, J.&lt;/author&gt;&lt;/authors&gt;&lt;/contributors&gt;&lt;auth-address&gt;Santiago Apostol Hospital, Vitoria, Spain.&lt;/auth-address&gt;&lt;titles&gt;&lt;title&gt;First episode in bipolar disorder: misdiagnosis and psychotic symptoms&lt;/title&gt;&lt;secondary-title&gt;J Affect Disord&lt;/secondary-title&gt;&lt;/titles&gt;&lt;periodical&gt;&lt;full-title&gt;J Affect Disord&lt;/full-title&gt;&lt;/periodical&gt;&lt;pages&gt;41-4&lt;/pages&gt;&lt;volume&gt;50&lt;/volume&gt;&lt;number&gt;1&lt;/number&gt;&lt;keywords&gt;&lt;keyword&gt;Adult&lt;/keyword&gt;&lt;keyword&gt;Bipolar Disorder/*diagnosis/psychology&lt;/keyword&gt;&lt;keyword&gt;Female&lt;/keyword&gt;&lt;keyword&gt;Humans&lt;/keyword&gt;&lt;keyword&gt;Male&lt;/keyword&gt;&lt;keyword&gt;Schizophrenia/diagnosis&lt;/keyword&gt;&lt;keyword&gt;Spain&lt;/keyword&gt;&lt;/keywords&gt;&lt;dates&gt;&lt;year&gt;1998&lt;/year&gt;&lt;pub-dates&gt;&lt;date&gt;Jul&lt;/date&gt;&lt;/pub-dates&gt;&lt;/dates&gt;&lt;isbn&gt;0165-0327 (Print)&amp;#xD;0165-0327 (Linking)&lt;/isbn&gt;&lt;accession-num&gt;9716278&lt;/accession-num&gt;&lt;urls&gt;&lt;related-urls&gt;&lt;url&gt;https://www.ncbi.nlm.nih.gov/pubmed/9716278&lt;/url&gt;&lt;/related-urls&gt;&lt;/urls&gt;&lt;electronic-resource-num&gt;10.1016/s0165-0327(98)00032-9&lt;/electronic-resource-num&gt;&lt;remote-database-name&gt;Medline&lt;/remote-database-name&gt;&lt;remote-database-provider&gt;NLM&lt;/remote-database-provider&gt;&lt;/record&gt;&lt;/Cite&gt;&lt;/EndNote&gt;</w:instrText>
      </w:r>
      <w:r w:rsidRPr="004D46AC">
        <w:rPr>
          <w:rFonts w:eastAsiaTheme="minorEastAsia"/>
        </w:rPr>
        <w:fldChar w:fldCharType="separate"/>
      </w:r>
      <w:r w:rsidRPr="004D46AC">
        <w:rPr>
          <w:rFonts w:eastAsiaTheme="minorEastAsia"/>
        </w:rPr>
        <w:t>(Gonzalez-Pinto et al., 1998)</w:t>
      </w:r>
      <w:r w:rsidRPr="004D46AC">
        <w:rPr>
          <w:rFonts w:eastAsiaTheme="minorEastAsia"/>
        </w:rPr>
        <w:fldChar w:fldCharType="end"/>
      </w:r>
      <w:r w:rsidRPr="004D46AC">
        <w:rPr>
          <w:rFonts w:eastAsiaTheme="minorEastAsia"/>
        </w:rPr>
        <w:t xml:space="preserve">; a similar figure was found in China as well </w:t>
      </w:r>
      <w:r w:rsidRPr="004D46AC">
        <w:rPr>
          <w:rFonts w:eastAsiaTheme="minorEastAsia"/>
        </w:rPr>
        <w:fldChar w:fldCharType="begin"/>
      </w:r>
      <w:r w:rsidRPr="004D46AC">
        <w:rPr>
          <w:rFonts w:eastAsiaTheme="minorEastAsia"/>
        </w:rPr>
        <w:instrText xml:space="preserve"> ADDIN EN.CITE &lt;EndNote&gt;&lt;Cite&gt;&lt;Author&gt;Shen&lt;/Author&gt;&lt;Year&gt;2018&lt;/Year&gt;&lt;RecNum&gt;813&lt;/RecNum&gt;&lt;DisplayText&gt;(Shen et al., 2018)&lt;/DisplayText&gt;&lt;record&gt;&lt;rec-number&gt;813&lt;/rec-number&gt;&lt;foreign-keys&gt;&lt;key app="EN" db-id="aet009sstawa0hewvt3xwf5atffdw2dt02sw" timestamp="1736514020"&gt;813&lt;/key&gt;&lt;/foreign-keys&gt;&lt;ref-type name="Journal Article"&gt;17&lt;/ref-type&gt;&lt;contributors&gt;&lt;authors&gt;&lt;author&gt;Shen, H.&lt;/author&gt;&lt;author&gt;Zhang, L.&lt;/author&gt;&lt;author&gt;Xu, C.&lt;/author&gt;&lt;author&gt;Zhu, J.&lt;/author&gt;&lt;author&gt;Chen, M.&lt;/author&gt;&lt;author&gt;Fang, Y.&lt;/author&gt;&lt;/authors&gt;&lt;/contributors&gt;&lt;auth-address&gt;Shanghai Mental Health Center, Shanghai Jiao Tong University School of Medicine, Shanghai, China.&lt;/auth-address&gt;&lt;titles&gt;&lt;title&gt;Analysis of Misdiagnosis of Bipolar Disorder in An Outpatient Setting&lt;/title&gt;&lt;secondary-title&gt;Shanghai Arch Psychiatry&lt;/secondary-title&gt;&lt;/titles&gt;&lt;periodical&gt;&lt;full-title&gt;Shanghai Arch Psychiatry&lt;/full-title&gt;&lt;/periodical&gt;&lt;pages&gt;93-101&lt;/pages&gt;&lt;volume&gt;30&lt;/volume&gt;&lt;number&gt;2&lt;/number&gt;&lt;keywords&gt;&lt;keyword&gt;bipolar disorder&lt;/keyword&gt;&lt;keyword&gt;misdiagnosis&lt;/keyword&gt;&lt;keyword&gt;outpatient department&lt;/keyword&gt;&lt;keyword&gt;psychiatry&lt;/keyword&gt;&lt;/keywords&gt;&lt;dates&gt;&lt;year&gt;2018&lt;/year&gt;&lt;pub-dates&gt;&lt;date&gt;Apr 25&lt;/date&gt;&lt;/pub-dates&gt;&lt;/dates&gt;&lt;isbn&gt;1002-0829 (Print)&amp;#xD;1002-0829 (Linking)&lt;/isbn&gt;&lt;accession-num&gt;29736129&lt;/accession-num&gt;&lt;urls&gt;&lt;related-urls&gt;&lt;url&gt;https://www.ncbi.nlm.nih.gov/pubmed/29736129&lt;/url&gt;&lt;/related-urls&gt;&lt;/urls&gt;&lt;custom2&gt;PMC5936046&lt;/custom2&gt;&lt;electronic-resource-num&gt;10.11919/j.issn.1002-0829.217080&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(Shen et al., 2018)</w:t>
      </w:r>
      <w:r w:rsidRPr="004D46AC">
        <w:rPr>
          <w:rFonts w:eastAsiaTheme="minorEastAsia"/>
        </w:rPr>
        <w:fldChar w:fldCharType="end"/>
      </w:r>
      <w:r w:rsidRPr="004D46AC">
        <w:rPr>
          <w:rFonts w:eastAsiaTheme="minorEastAsia"/>
        </w:rPr>
        <w:t xml:space="preserve">. Similarly, youth patients with bipolar disorder can be easily misdiagnosed as having schizophrenia and vice versa </w:t>
      </w:r>
      <w:r w:rsidRPr="004D46AC">
        <w:rPr>
          <w:rFonts w:eastAsiaTheme="minorEastAsia"/>
        </w:rPr>
        <w:fldChar w:fldCharType="begin">
          <w:fldData xml:space="preserve">PEVuZE5vdGU+PENpdGU+PEF1dGhvcj5XZXJyeTwvQXV0aG9yPjxZZWFyPjE5OTQ8L1llYXI+PFJl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PEVuZE5vdGU+PENpdGU+PEF1dGhvcj5XZXJyeTwvQXV0aG9yPjxZZWFyPjE5OTQ8L1llYXI+PFJl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(McClellan et al., 1993; Werry et al., 1994)</w:t>
      </w:r>
      <w:r w:rsidRPr="004D46AC">
        <w:rPr>
          <w:rFonts w:eastAsiaTheme="minorEastAsia"/>
        </w:rPr>
        <w:fldChar w:fldCharType="end"/>
      </w:r>
      <w:r w:rsidRPr="004D46AC">
        <w:rPr>
          <w:rFonts w:eastAsiaTheme="minorEastAsia"/>
        </w:rPr>
        <w:t xml:space="preserve">. </w:t>
      </w:r>
    </w:p>
    <w:p w14:paraId="13B113C1" w14:textId="77777777" w:rsidR="003D5CB6" w:rsidRPr="004D46AC" w:rsidRDefault="003D5CB6" w:rsidP="00B518F1">
      <w:pPr>
        <w:rPr>
          <w:rFonts w:eastAsiaTheme="minorEastAsia"/>
        </w:rPr>
      </w:pPr>
      <w:r w:rsidRPr="004D46AC">
        <w:rPr>
          <w:rFonts w:eastAsiaTheme="minorEastAsia"/>
        </w:rPr>
        <w:lastRenderedPageBreak/>
        <w:t xml:space="preserve">Several factors may contribute to the low diagnostic stabilities of bipolar disorder and schizophrenia. For instance, early age of onset has been identified as a potential factor associated with the misdiagnosis of schizophrenia </w:t>
      </w:r>
      <w:r w:rsidRPr="004D46AC">
        <w:rPr>
          <w:rFonts w:eastAsiaTheme="minorEastAsia"/>
        </w:rPr>
        <w:fldChar w:fldCharType="begin"/>
      </w:r>
      <w:r w:rsidRPr="004D46AC">
        <w:rPr>
          <w:rFonts w:eastAsiaTheme="minorEastAsia"/>
        </w:rPr>
        <w:instrText xml:space="preserve"> ADDIN EN.CITE &lt;EndNote&gt;&lt;Cite&gt;&lt;Author&gt;Joyce&lt;/Author&gt;&lt;Year&gt;1984&lt;/Year&gt;&lt;RecNum&gt;819&lt;/RecNum&gt;&lt;DisplayText&gt;(Joyce, 1984)&lt;/DisplayText&gt;&lt;record&gt;&lt;rec-number&gt;819&lt;/rec-number&gt;&lt;foreign-keys&gt;&lt;key app="EN" db-id="aet009sstawa0hewvt3xwf5atffdw2dt02sw" timestamp="1736516563"&gt;819&lt;/key&gt;&lt;/foreign-keys&gt;&lt;ref-type name="Journal Article"&gt;17&lt;/ref-type&gt;&lt;contributors&gt;&lt;authors&gt;&lt;author&gt;Joyce, P. R.&lt;/author&gt;&lt;/authors&gt;&lt;/contributors&gt;&lt;titles&gt;&lt;title&gt;Age of onset in bipolar affective disorder and misdiagnosis as schizophrenia&lt;/title&gt;&lt;secondary-title&gt;Psychol Med&lt;/secondary-title&gt;&lt;/titles&gt;&lt;periodical&gt;&lt;full-title&gt;Psychol Med&lt;/full-title&gt;&lt;/periodical&gt;&lt;pages&gt;145-9&lt;/pages&gt;&lt;volume&gt;14&lt;/volume&gt;&lt;number&gt;1&lt;/number&gt;&lt;keywords&gt;&lt;keyword&gt;Adolescent&lt;/keyword&gt;&lt;keyword&gt;Adult&lt;/keyword&gt;&lt;keyword&gt;Age Factors&lt;/keyword&gt;&lt;keyword&gt;Aged&lt;/keyword&gt;&lt;keyword&gt;Bipolar Disorder/*diagnosis/epidemiology&lt;/keyword&gt;&lt;keyword&gt;Child&lt;/keyword&gt;&lt;keyword&gt;Diagnostic Errors&lt;/keyword&gt;&lt;keyword&gt;Female&lt;/keyword&gt;&lt;keyword&gt;Humans&lt;/keyword&gt;&lt;keyword&gt;Male&lt;/keyword&gt;&lt;keyword&gt;Middle Aged&lt;/keyword&gt;&lt;keyword&gt;Schizophrenia/*diagnosis&lt;/keyword&gt;&lt;/keywords&gt;&lt;dates&gt;&lt;year&gt;1984&lt;/year&gt;&lt;pub-dates&gt;&lt;date&gt;Feb&lt;/date&gt;&lt;/pub-dates&gt;&lt;/dates&gt;&lt;isbn&gt;0033-2917 (Print)&amp;#xD;0033-2917 (Linking)&lt;/isbn&gt;&lt;accession-num&gt;6709780&lt;/accession-num&gt;&lt;urls&gt;&lt;related-urls&gt;&lt;url&gt;https://www.ncbi.nlm.nih.gov/pubmed/6709780&lt;/url&gt;&lt;/related-urls&gt;&lt;/urls&gt;&lt;electronic-resource-num&gt;10.1017/s0033291700003147&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(Joyce, 1984)</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However, the degree of similarity between psychopathologies across different psychoses poses a fundamental diagnostic challenge for psychiatrists. For example, patients with a lifetime diagnosis of bipolar disorder who exhibit inconsistent diagnoses over time tend to report more severe negative symptoms, childhood psychopathology, general psychopathology, and lower daily functioning </w:t>
      </w:r>
      <w:r w:rsidRPr="004D46AC">
        <w:rPr>
          <w:rFonts w:eastAsiaTheme="minorEastAsia"/>
        </w:rPr>
        <w:fldChar w:fldCharType="begin">
          <w:fldData xml:space="preserve">PEVuZE5vdGU+PENpdGU+PEF1dGhvcj5SdWdnZXJvPC9BdXRob3I+PFllYXI+MjAxMDwvWWVhcj48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PEVuZE5vdGU+PENpdGU+PEF1dGhvcj5SdWdnZXJvPC9BdXRob3I+PFllYXI+MjAxMDwvWWVhcj48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(Ruggero et al., 2010)</w:t>
      </w:r>
      <w:r w:rsidRPr="004D46AC">
        <w:rPr>
          <w:rFonts w:eastAsiaTheme="minorEastAsia"/>
        </w:rPr>
        <w:fldChar w:fldCharType="end"/>
      </w:r>
      <w:r w:rsidRPr="004D46AC">
        <w:rPr>
          <w:rFonts w:eastAsiaTheme="minorEastAsia"/>
        </w:rPr>
        <w:t xml:space="preserve">, Similar findings have been reported in other studies </w:t>
      </w:r>
      <w:r w:rsidRPr="004D46AC">
        <w:rPr>
          <w:rFonts w:eastAsiaTheme="minorEastAsia"/>
        </w:rPr>
        <w:fldChar w:fldCharType="begin"/>
      </w:r>
      <w:r w:rsidRPr="004D46AC">
        <w:rPr>
          <w:rFonts w:eastAsiaTheme="minorEastAsia"/>
        </w:rPr>
        <w:instrText xml:space="preserve"> ADDIN EN.CITE &lt;EndNote&gt;&lt;Cite&gt;&lt;Author&gt;Shen&lt;/Author&gt;&lt;Year&gt;2018&lt;/Year&gt;&lt;RecNum&gt;813&lt;/RecNum&gt;&lt;DisplayText&gt;(Shen et al., 2018)&lt;/DisplayText&gt;&lt;record&gt;&lt;rec-number&gt;813&lt;/rec-number&gt;&lt;foreign-keys&gt;&lt;key app="EN" db-id="aet009sstawa0hewvt3xwf5atffdw2dt02sw" timestamp="1736514020"&gt;813&lt;/key&gt;&lt;/foreign-keys&gt;&lt;ref-type name="Journal Article"&gt;17&lt;/ref-type&gt;&lt;contributors&gt;&lt;authors&gt;&lt;author&gt;Shen, H.&lt;/author&gt;&lt;author&gt;Zhang, L.&lt;/author&gt;&lt;author&gt;Xu, C.&lt;/author&gt;&lt;author&gt;Zhu, J.&lt;/author&gt;&lt;author&gt;Chen, M.&lt;/author&gt;&lt;author&gt;Fang, Y.&lt;/author&gt;&lt;/authors&gt;&lt;/contributors&gt;&lt;auth-address&gt;Shanghai Mental Health Center, Shanghai Jiao Tong University School of Medicine, Shanghai, China.&lt;/auth-address&gt;&lt;titles&gt;&lt;title&gt;Analysis of Misdiagnosis of Bipolar Disorder in An Outpatient Setting&lt;/title&gt;&lt;secondary-title&gt;Shanghai Arch Psychiatry&lt;/secondary-title&gt;&lt;/titles&gt;&lt;periodical&gt;&lt;full-title&gt;Shanghai Arch Psychiatry&lt;/full-title&gt;&lt;/periodical&gt;&lt;pages&gt;93-101&lt;/pages&gt;&lt;volume&gt;30&lt;/volume&gt;&lt;number&gt;2&lt;/number&gt;&lt;keywords&gt;&lt;keyword&gt;bipolar disorder&lt;/keyword&gt;&lt;keyword&gt;misdiagnosis&lt;/keyword&gt;&lt;keyword&gt;outpatient department&lt;/keyword&gt;&lt;keyword&gt;psychiatry&lt;/keyword&gt;&lt;/keywords&gt;&lt;dates&gt;&lt;year&gt;2018&lt;/year&gt;&lt;pub-dates&gt;&lt;date&gt;Apr 25&lt;/date&gt;&lt;/pub-dates&gt;&lt;/dates&gt;&lt;isbn&gt;1002-0829 (Print)&amp;#xD;1002-0829 (Linking)&lt;/isbn&gt;&lt;accession-num&gt;29736129&lt;/accession-num&gt;&lt;urls&gt;&lt;related-urls&gt;&lt;url&gt;https://www.ncbi.nlm.nih.gov/pubmed/29736129&lt;/url&gt;&lt;/related-urls&gt;&lt;/urls&gt;&lt;custom2&gt;PMC5936046&lt;/custom2&gt;&lt;electronic-resource-num&gt;10.11919/j.issn.1002-0829.217080&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(Shen et al., 2018)</w:t>
      </w:r>
      <w:r w:rsidRPr="004D46AC">
        <w:rPr>
          <w:rFonts w:eastAsiaTheme="minorEastAsia"/>
        </w:rPr>
        <w:fldChar w:fldCharType="end"/>
      </w:r>
      <w:r w:rsidRPr="004D46AC">
        <w:rPr>
          <w:rFonts w:eastAsiaTheme="minorEastAsia"/>
        </w:rPr>
        <w:t xml:space="preserve">. </w:t>
      </w:r>
    </w:p>
    <w:p w14:paraId="0B4F8817" w14:textId="77777777" w:rsidR="003D5CB6" w:rsidRPr="004D46AC" w:rsidRDefault="003D5CB6" w:rsidP="00B518F1">
      <w:pPr>
        <w:pStyle w:val="3"/>
        <w:rPr>
          <w:rFonts w:eastAsiaTheme="minorEastAsia"/>
        </w:rPr>
      </w:pPr>
      <w:r w:rsidRPr="004D46AC">
        <w:rPr>
          <w:rFonts w:eastAsiaTheme="minorEastAsia"/>
        </w:rPr>
        <w:t>Psychopathological overlap</w:t>
      </w:r>
    </w:p>
    <w:p w14:paraId="05249DF2" w14:textId="77777777" w:rsidR="003D5CB6" w:rsidRPr="004D46AC" w:rsidRDefault="003D5CB6" w:rsidP="00B518F1">
      <w:pPr>
        <w:pStyle w:val="4"/>
      </w:pPr>
      <w:r w:rsidRPr="004D46AC">
        <w:t>Literature between 1911 and 1979</w:t>
      </w:r>
    </w:p>
    <w:p w14:paraId="68CBFA3E" w14:textId="77777777" w:rsidR="003D5CB6" w:rsidRPr="004D46AC" w:rsidRDefault="003D5CB6" w:rsidP="00B518F1">
      <w:pPr>
        <w:rPr>
          <w:rFonts w:eastAsiaTheme="minorEastAsia"/>
        </w:rPr>
      </w:pPr>
      <w:r w:rsidRPr="004D46AC">
        <w:rPr>
          <w:rFonts w:eastAsiaTheme="minorEastAsia"/>
        </w:rPr>
        <w:t xml:space="preserve">Indeed, the psychopathological overlap between bipolar disorder and schizophrenia has been noted since their conceptualisation. Early findings provided mixed support for distinguishing between the two disorders. </w:t>
      </w:r>
      <w:r w:rsidRPr="004D46AC">
        <w:rPr>
          <w:rFonts w:eastAsiaTheme="minorEastAsia"/>
        </w:rPr>
        <w:fldChar w:fldCharType="begin"/>
      </w:r>
      <w:r w:rsidRPr="004D46AC">
        <w:rPr>
          <w:rFonts w:eastAsiaTheme="minorEastAsia"/>
        </w:rPr>
        <w:instrText xml:space="preserve"> ADDIN EN.CITE &lt;EndNote&gt;&lt;Cite AuthorYear="1"&gt;&lt;Author&gt;Page&lt;/Author&gt;&lt;Year&gt;1934&lt;/Year&gt;&lt;RecNum&gt;820&lt;/RecNum&gt;&lt;DisplayText&gt;Page et al. (1934)&lt;/DisplayText&gt;&lt;record&gt;&lt;rec-number&gt;820&lt;/rec-number&gt;&lt;foreign-keys&gt;&lt;key app="EN" db-id="aet009sstawa0hewvt3xwf5atffdw2dt02sw" timestamp="1736523417"&gt;820&lt;/key&gt;&lt;/foreign-keys&gt;&lt;ref-type name="Journal Article"&gt;17&lt;/ref-type&gt;&lt;contributors&gt;&lt;authors&gt;&lt;author&gt;Page, James&lt;/author&gt;&lt;author&gt;Landis, Carney&lt;/author&gt;&lt;author&gt;Katz, S. E.&lt;/author&gt;&lt;/authors&gt;&lt;/contributors&gt;&lt;titles&gt;&lt;title&gt;Schizophrenic Traits in the Functional Psychoses and in Normal Individuals&lt;/title&gt;&lt;secondary-title&gt;American Journal of Psychiatry&lt;/secondary-title&gt;&lt;/titles&gt;&lt;periodical&gt;&lt;full-title&gt;American Journal of Psychiatry&lt;/full-title&gt;&lt;/periodical&gt;&lt;pages&gt;1213-1225&lt;/pages&gt;&lt;volume&gt;90&lt;/volume&gt;&lt;number&gt;6&lt;/number&gt;&lt;section&gt;1213&lt;/section&gt;&lt;dates&gt;&lt;year&gt;1934&lt;/year&gt;&lt;/dates&gt;&lt;pub-location&gt;US&lt;/pub-location&gt;&lt;publisher&gt;American Psychiatric Assn&lt;/publisher&gt;&lt;isbn&gt;0002-953X&amp;#xD;1535-7228&lt;/isbn&gt;&lt;urls&gt;&lt;/urls&gt;&lt;electronic-resource-num&gt;10.1176/ajp.90.6.1213&lt;/electronic-resource-num&gt;&lt;/record&gt;&lt;/Cite&gt;&lt;/EndNote&gt;</w:instrText>
      </w:r>
      <w:r w:rsidRPr="004D46AC">
        <w:rPr>
          <w:rFonts w:eastAsiaTheme="minorEastAsia"/>
        </w:rPr>
        <w:fldChar w:fldCharType="separate"/>
      </w:r>
      <w:r w:rsidRPr="004D46AC">
        <w:rPr>
          <w:rFonts w:eastAsiaTheme="minorEastAsia"/>
        </w:rPr>
        <w:t>Page et al. (1934)</w:t>
      </w:r>
      <w:r w:rsidRPr="004D46AC">
        <w:rPr>
          <w:rFonts w:eastAsiaTheme="minorEastAsia"/>
        </w:rPr>
        <w:fldChar w:fldCharType="end"/>
      </w:r>
      <w:r w:rsidRPr="004D46AC">
        <w:rPr>
          <w:rFonts w:eastAsiaTheme="minorEastAsia"/>
        </w:rPr>
        <w:t xml:space="preserve"> conducted a comparison study among patients with schizophrenia (</w:t>
      </w:r>
      <w:r w:rsidRPr="004D46AC">
        <w:rPr>
          <w:rFonts w:eastAsiaTheme="minorEastAsia"/>
          <w:i/>
          <w:iCs/>
        </w:rPr>
        <w:t>n</w:t>
      </w:r>
      <w:r w:rsidRPr="004D46AC">
        <w:rPr>
          <w:rFonts w:eastAsiaTheme="minorEastAsia"/>
        </w:rPr>
        <w:t xml:space="preserve"> = 125), bipolar disorder (</w:t>
      </w:r>
      <w:r w:rsidRPr="004D46AC">
        <w:rPr>
          <w:rFonts w:eastAsiaTheme="minorEastAsia"/>
          <w:i/>
          <w:iCs/>
        </w:rPr>
        <w:t>n</w:t>
      </w:r>
      <w:r w:rsidRPr="004D46AC">
        <w:rPr>
          <w:rFonts w:eastAsiaTheme="minorEastAsia"/>
        </w:rPr>
        <w:t xml:space="preserve"> = 100), and healthy controls (</w:t>
      </w:r>
      <w:r w:rsidRPr="004D46AC">
        <w:rPr>
          <w:rFonts w:eastAsiaTheme="minorEastAsia"/>
          <w:i/>
          <w:iCs/>
        </w:rPr>
        <w:t>n</w:t>
      </w:r>
      <w:r w:rsidRPr="004D46AC">
        <w:rPr>
          <w:rFonts w:eastAsiaTheme="minorEastAsia"/>
        </w:rPr>
        <w:t xml:space="preserve"> = 240). The median occurrences of 50 selected psychotic traits across these groups were 16.83, 13.57, and 17.47, respectively. These figures remained largely unchanged after excluding participants who reported unclear occurrences. Certain traits were more frequent in schizophrenia patients compared to those with bipolar disorder, including paranoia or persecutory delusions, derealisation, auditory hallucinations, social withdrawal, low socioeconomic status, and delusional thinking. However, drawing definitive conclusions from these findings is challenging, as psychotic traits were observed to be common in both clinical and non-clinical populations. Notably, the unexpectedly high occurrence of these traits in the healthy control group suggests that they may not serve as reliable indicators of psychotic conditions. </w:t>
      </w:r>
    </w:p>
    <w:p w14:paraId="744C189A" w14:textId="77777777" w:rsidR="003D5CB6" w:rsidRPr="004D46AC" w:rsidRDefault="003D5CB6" w:rsidP="00B518F1">
      <w:pPr>
        <w:rPr>
          <w:rFonts w:eastAsiaTheme="minorEastAsia"/>
        </w:rPr>
      </w:pPr>
      <w:r w:rsidRPr="004D46AC">
        <w:rPr>
          <w:rFonts w:eastAsiaTheme="minorEastAsia"/>
        </w:rPr>
        <w:t xml:space="preserve">A more detailed study was conducted by </w:t>
      </w:r>
      <w:r w:rsidRPr="004D46AC">
        <w:rPr>
          <w:rFonts w:eastAsiaTheme="minorEastAsia"/>
        </w:rPr>
        <w:fldChar w:fldCharType="begin"/>
      </w:r>
      <w:r w:rsidRPr="004D46AC">
        <w:rPr>
          <w:rFonts w:eastAsiaTheme="minorEastAsia"/>
        </w:rPr>
        <w:instrText xml:space="preserve"> ADDIN EN.CITE &lt;EndNote&gt;&lt;Cite AuthorYear="1"&gt;&lt;Author&gt;Zigler&lt;/Author&gt;&lt;Year&gt;1961&lt;/Year&gt;&lt;RecNum&gt;828&lt;/RecNum&gt;&lt;DisplayText&gt;Zigler and Phillips (1961)&lt;/DisplayText&gt;&lt;record&gt;&lt;rec-number&gt;828&lt;/rec-number&gt;&lt;foreign-keys&gt;&lt;key app="EN" db-id="aet009sstawa0hewvt3xwf5atffdw2dt02sw" timestamp="1736684519"&gt;828&lt;/key&gt;&lt;/foreign-keys&gt;&lt;ref-type name="Journal Article"&gt;17&lt;/ref-type&gt;&lt;contributors&gt;&lt;authors&gt;&lt;author&gt;Zigler, Edward&lt;/author&gt;&lt;author&gt;Phillips, Leslie&lt;/author&gt;&lt;/authors&gt;&lt;/contributors&gt;&lt;titles&gt;&lt;title&gt;Psychiatric diagnosis and symptomatology&lt;/title&gt;&lt;secondary-title&gt;The Journal of Abnormal and Social Psychology&lt;/secondary-title&gt;&lt;/titles&gt;&lt;periodical&gt;&lt;full-title&gt;The Journal of Abnormal and Social Psychology&lt;/full-title&gt;&lt;/periodical&gt;&lt;pages&gt;69-75&lt;/pages&gt;&lt;volume&gt;63&lt;/volume&gt;&lt;number&gt;1&lt;/number&gt;&lt;section&gt;69&lt;/section&gt;&lt;keywords&gt;&lt;keyword&gt;*Psychiatric Patients&lt;/keyword&gt;&lt;keyword&gt;*Psychodiagnosis&lt;/keyword&gt;&lt;keyword&gt;*Symptoms&lt;/keyword&gt;&lt;keyword&gt;Ability Level&lt;/keyword&gt;&lt;keyword&gt;Bipolar Disorder&lt;/keyword&gt;&lt;keyword&gt;Neurosis&lt;/keyword&gt;&lt;keyword&gt;Personality Disorders&lt;/keyword&gt;&lt;keyword&gt;Schizophrenia&lt;/keyword&gt;&lt;/keywords&gt;&lt;dates&gt;&lt;year&gt;1961&lt;/year&gt;&lt;/dates&gt;&lt;pub-location&gt;US&lt;/pub-location&gt;&lt;publisher&gt;American Psychological Association&lt;/publisher&gt;&lt;isbn&gt;0096-851X&lt;/isbn&gt;&lt;urls&gt;&lt;/urls&gt;&lt;electronic-resource-num&gt;10.1037/h0040375&lt;/electronic-resource-num&gt;&lt;/record&gt;&lt;/Cite&gt;&lt;/EndNote&gt;</w:instrText>
      </w:r>
      <w:r w:rsidRPr="004D46AC">
        <w:rPr>
          <w:rFonts w:eastAsiaTheme="minorEastAsia"/>
        </w:rPr>
        <w:fldChar w:fldCharType="separate"/>
      </w:r>
      <w:r w:rsidRPr="004D46AC">
        <w:rPr>
          <w:rFonts w:eastAsiaTheme="minorEastAsia"/>
        </w:rPr>
        <w:t>Zigler and Phillips (1961)</w:t>
      </w:r>
      <w:r w:rsidRPr="004D46AC">
        <w:rPr>
          <w:rFonts w:eastAsiaTheme="minorEastAsia"/>
        </w:rPr>
        <w:fldChar w:fldCharType="end"/>
      </w:r>
      <w:r w:rsidRPr="004D46AC">
        <w:rPr>
          <w:rFonts w:eastAsiaTheme="minorEastAsia"/>
        </w:rPr>
        <w:t>, Symptomatology was examined in patients with manic-depressive insanity (</w:t>
      </w:r>
      <w:r w:rsidRPr="004D46AC">
        <w:rPr>
          <w:rFonts w:eastAsiaTheme="minorEastAsia"/>
          <w:i/>
          <w:iCs/>
        </w:rPr>
        <w:t>n</w:t>
      </w:r>
      <w:r w:rsidRPr="004D46AC">
        <w:rPr>
          <w:rFonts w:eastAsiaTheme="minorEastAsia"/>
        </w:rPr>
        <w:t xml:space="preserve"> = 75) and schizophrenia (</w:t>
      </w:r>
      <w:r w:rsidRPr="004D46AC">
        <w:rPr>
          <w:rFonts w:eastAsiaTheme="minorEastAsia"/>
          <w:i/>
          <w:iCs/>
        </w:rPr>
        <w:t>n</w:t>
      </w:r>
      <w:r w:rsidRPr="004D46AC">
        <w:rPr>
          <w:rFonts w:eastAsiaTheme="minorEastAsia"/>
        </w:rPr>
        <w:t xml:space="preserve"> = 287). Diagnoses were made based on the </w:t>
      </w:r>
      <w:r w:rsidRPr="004D46AC">
        <w:rPr>
          <w:rFonts w:eastAsiaTheme="minorEastAsia"/>
          <w:i/>
          <w:iCs/>
        </w:rPr>
        <w:t>Standard Classified Nomenclature of Disease</w:t>
      </w:r>
      <w:r w:rsidRPr="004D46AC">
        <w:rPr>
          <w:rFonts w:eastAsiaTheme="minorEastAsia"/>
        </w:rPr>
        <w:t xml:space="preserve"> </w:t>
      </w:r>
      <w:r w:rsidRPr="004D46AC">
        <w:rPr>
          <w:rFonts w:eastAsiaTheme="minorEastAsia"/>
        </w:rPr>
        <w:lastRenderedPageBreak/>
        <w:t xml:space="preserve">(1945–1952) and the </w:t>
      </w:r>
      <w:r w:rsidRPr="004D46AC">
        <w:rPr>
          <w:rFonts w:eastAsiaTheme="minorEastAsia"/>
          <w:i/>
          <w:iCs/>
        </w:rPr>
        <w:t>Diagnostic and Statistical Manual of Mental Disorders</w:t>
      </w:r>
      <w:r w:rsidRPr="004D46AC">
        <w:rPr>
          <w:rFonts w:eastAsiaTheme="minorEastAsia"/>
        </w:rPr>
        <w:t xml:space="preserve"> (1953–1957), with symptoms rated through psychiatrist observations. In the schizophrenia group, the most frequently observed symptoms were suspiciousness (65%), anxiety (36%), hallucinations (35%), depression (28%), and withdrawal (25%). In contrast, the manic-depressive group was primarily characterised by depression (64%), anxiety (37%), suicidal ideation (29%), suspiciousness (25%), and suicide attempts (24%). These findings indicate significant symptom overlap between the two diagnoses but also highlight notable divergences.</w:t>
      </w:r>
    </w:p>
    <w:p w14:paraId="2658C45B" w14:textId="77777777" w:rsidR="003D5CB6" w:rsidRPr="004D46AC" w:rsidRDefault="003D5CB6" w:rsidP="00B518F1">
      <w:pPr>
        <w:rPr>
          <w:rFonts w:eastAsiaTheme="minorEastAsia"/>
        </w:rPr>
      </w:pPr>
      <w:r w:rsidRPr="004D46AC">
        <w:rPr>
          <w:rFonts w:eastAsiaTheme="minorEastAsia"/>
        </w:rPr>
        <w:t xml:space="preserve">Another study involved a transdiagnostic examination of psychopathology in 88 patients with major psychoses </w:t>
      </w:r>
      <w:r w:rsidRPr="004D46AC">
        <w:rPr>
          <w:rFonts w:eastAsiaTheme="minorEastAsia"/>
        </w:rPr>
        <w:fldChar w:fldCharType="begin"/>
      </w:r>
      <w:r w:rsidRPr="004D46AC">
        <w:rPr>
          <w:rFonts w:eastAsiaTheme="minorEastAsia"/>
        </w:rPr>
        <w:instrText xml:space="preserve"> ADDIN EN.CITE &lt;EndNote&gt;&lt;Cite&gt;&lt;Author&gt;Verma&lt;/Author&gt;&lt;Year&gt;1974&lt;/Year&gt;&lt;RecNum&gt;827&lt;/RecNum&gt;&lt;DisplayText&gt;(Verma, 1974)&lt;/DisplayText&gt;&lt;record&gt;&lt;rec-number&gt;827&lt;/rec-number&gt;&lt;foreign-keys&gt;&lt;key app="EN" db-id="aet009sstawa0hewvt3xwf5atffdw2dt02sw" timestamp="1736683037"&gt;827&lt;/key&gt;&lt;/foreign-keys&gt;&lt;ref-type name="Journal Article"&gt;17&lt;/ref-type&gt;&lt;contributors&gt;&lt;authors&gt;&lt;author&gt;Verma, R. M.&lt;/author&gt;&lt;/authors&gt;&lt;/contributors&gt;&lt;titles&gt;&lt;title&gt;A study of diagnostic differences of some functional psychoses by means of self-report technique and behaviour rating with an examination of punitiveness as a variable in the psychotic disorders&lt;/title&gt;&lt;secondary-title&gt;Acta Psychiatr Scand&lt;/secondary-title&gt;&lt;/titles&gt;&lt;periodical&gt;&lt;full-title&gt;Acta Psychiatr Scand&lt;/full-title&gt;&lt;/periodical&gt;&lt;pages&gt;569-76&lt;/pages&gt;&lt;volume&gt;50&lt;/volume&gt;&lt;number&gt;6&lt;/number&gt;&lt;keywords&gt;&lt;keyword&gt;Adult&lt;/keyword&gt;&lt;keyword&gt;Bipolar Disorder/diagnosis&lt;/keyword&gt;&lt;keyword&gt;Diagnosis, Differential&lt;/keyword&gt;&lt;keyword&gt;Female&lt;/keyword&gt;&lt;keyword&gt;Hostility&lt;/keyword&gt;&lt;keyword&gt;Humans&lt;/keyword&gt;&lt;keyword&gt;Interview, Psychological&lt;/keyword&gt;&lt;keyword&gt;Male&lt;/keyword&gt;&lt;keyword&gt;*Personality Inventory&lt;/keyword&gt;&lt;keyword&gt;*Psychiatric Status Rating Scales&lt;/keyword&gt;&lt;keyword&gt;Psychotic Disorders/*diagnosis&lt;/keyword&gt;&lt;keyword&gt;Schizophrenia/diagnosis&lt;/keyword&gt;&lt;keyword&gt;Schizophrenia, Paranoid/diagnosis&lt;/keyword&gt;&lt;keyword&gt;Sex Factors&lt;/keyword&gt;&lt;/keywords&gt;&lt;dates&gt;&lt;year&gt;1974&lt;/year&gt;&lt;/dates&gt;&lt;isbn&gt;0001-690X (Print)&amp;#xD;0001-690X (Linking)&lt;/isbn&gt;&lt;accession-num&gt;4455026&lt;/accession-num&gt;&lt;urls&gt;&lt;related-urls&gt;&lt;url&gt;https://www.ncbi.nlm.nih.gov/pubmed/4455026&lt;/url&gt;&lt;/related-urls&gt;&lt;/urls&gt;&lt;electronic-resource-num&gt;10.1111/j.1600-0447.1974.tb07520.x&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(Verma, 1974)</w:t>
      </w:r>
      <w:r w:rsidRPr="004D46AC">
        <w:rPr>
          <w:rFonts w:eastAsiaTheme="minorEastAsia"/>
        </w:rPr>
        <w:fldChar w:fldCharType="end"/>
      </w:r>
      <w:r w:rsidRPr="004D46AC">
        <w:rPr>
          <w:rFonts w:eastAsiaTheme="minorEastAsia"/>
        </w:rPr>
        <w:t>, using the Symptom-Sign Inventory. Of the total sample, 57.92% were female. A correlation analysis was carried out to explore the relationships between different diagnoses and various syndromes, as assessed by the Inpatient Multidimensional Psychiatric Scale. Two subtypes of schizophrenia were examined: non-paranoid and paranoid schizophrenia, both of which exhibited distinct patterns when compared to the mania group. For instance, excitation, grandiose expansiveness, and conceptual disorganization were more pronounced in the non-paranoid schizophrenia group, whereas the mania group displayed more paranoid projection. Additionally, the mania group showed more anxious introversion, punitiveness, retardation, and apathy compared to the paranoid schizophrenia group, although other symptoms were not distinguishable between the two groups. However, the lack of reported sample sizes for the specific subgroups may limit the interpretation of these findings, as relationships within small sample groups may not be accurately represented.</w:t>
      </w:r>
    </w:p>
    <w:p w14:paraId="3671AD01" w14:textId="77777777" w:rsidR="003D5CB6" w:rsidRPr="004D46AC" w:rsidRDefault="003D5CB6" w:rsidP="00B518F1">
      <w:pPr>
        <w:rPr>
          <w:rFonts w:eastAsiaTheme="minorEastAsia"/>
        </w:rPr>
      </w:pPr>
      <w:r w:rsidRPr="004D46AC">
        <w:rPr>
          <w:rFonts w:eastAsiaTheme="minorEastAsia"/>
        </w:rPr>
        <w:t xml:space="preserve">In contrast, </w:t>
      </w:r>
      <w:r w:rsidRPr="004D46AC">
        <w:rPr>
          <w:rFonts w:eastAsiaTheme="minorEastAsia"/>
        </w:rPr>
        <w:fldChar w:fldCharType="begin"/>
      </w:r>
      <w:r w:rsidRPr="004D46AC">
        <w:rPr>
          <w:rFonts w:eastAsiaTheme="minorEastAsia"/>
        </w:rPr>
        <w:instrText xml:space="preserve"> ADDIN EN.CITE &lt;EndNote&gt;&lt;Cite AuthorYear="1"&gt;&lt;Author&gt;Pope&lt;/Author&gt;&lt;Year&gt;1978&lt;/Year&gt;&lt;RecNum&gt;826&lt;/RecNum&gt;&lt;DisplayText&gt;Pope and Lipinski (1978)&lt;/DisplayText&gt;&lt;record&gt;&lt;rec-number&gt;826&lt;/rec-number&gt;&lt;foreign-keys&gt;&lt;key app="EN" db-id="aet009sstawa0hewvt3xwf5atffdw2dt02sw" timestamp="1736668893"&gt;826&lt;/key&gt;&lt;/foreign-keys&gt;&lt;ref-type name="Journal Article"&gt;17&lt;/ref-type&gt;&lt;contributors&gt;&lt;authors&gt;&lt;author&gt;Pope, H. G., Jr.&lt;/author&gt;&lt;author&gt;Lipinski, J. F., Jr.&lt;/author&gt;&lt;/authors&gt;&lt;/contributors&gt;&lt;titles&gt;&lt;title&gt;Diagnosis in schizophrenia and manic-depressive illness: a reassessment of the specificity of &amp;apos;schizophrenic&amp;apos; symptoms in the light of current research&lt;/title&gt;&lt;secondary-title&gt;Arch Gen Psychiatry&lt;/secondary-title&gt;&lt;/titles&gt;&lt;periodical&gt;&lt;full-title&gt;Arch Gen Psychiatry&lt;/full-title&gt;&lt;/periodical&gt;&lt;pages&gt;811-28&lt;/pages&gt;&lt;volume&gt;35&lt;/volume&gt;&lt;number&gt;7&lt;/number&gt;&lt;keywords&gt;&lt;keyword&gt;Bipolar Disorder/*diagnosis/drug therapy/genetics&lt;/keyword&gt;&lt;keyword&gt;Chlorpromazine/therapeutic use&lt;/keyword&gt;&lt;keyword&gt;Clinical Trials as Topic&lt;/keyword&gt;&lt;keyword&gt;Diagnosis, Differential&lt;/keyword&gt;&lt;keyword&gt;Double-Blind Method&lt;/keyword&gt;&lt;keyword&gt;Humans&lt;/keyword&gt;&lt;keyword&gt;Lithium/therapeutic use&lt;/keyword&gt;&lt;keyword&gt;Prognosis&lt;/keyword&gt;&lt;keyword&gt;Research&lt;/keyword&gt;&lt;keyword&gt;Schizophrenia/*diagnosis/drug therapy/genetics&lt;/keyword&gt;&lt;/keywords&gt;&lt;dates&gt;&lt;year&gt;1978&lt;/year&gt;&lt;pub-dates&gt;&lt;date&gt;Jul&lt;/date&gt;&lt;/pub-dates&gt;&lt;/dates&gt;&lt;isbn&gt;0003-990X (Print)&amp;#xD;0003-990X (Linking)&lt;/isbn&gt;&lt;accession-num&gt;354552&lt;/accession-num&gt;&lt;urls&gt;&lt;related-urls&gt;&lt;url&gt;https://www.ncbi.nlm.nih.gov/pubmed/354552&lt;/url&gt;&lt;/related-urls&gt;&lt;/urls&gt;&lt;electronic-resource-num&gt;10.1001/archpsyc.1978.01770310017001&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Pope and Lipinski (1978)</w:t>
      </w:r>
      <w:r w:rsidRPr="004D46AC">
        <w:rPr>
          <w:rFonts w:eastAsiaTheme="minorEastAsia"/>
        </w:rPr>
        <w:fldChar w:fldCharType="end"/>
      </w:r>
      <w:r w:rsidRPr="004D46AC">
        <w:rPr>
          <w:rFonts w:eastAsiaTheme="minorEastAsia"/>
        </w:rPr>
        <w:t xml:space="preserve"> conducted an extensive review examining the phenomenological similarities between manic-depressive insanity and schizophrenia. Their findings indicated that schizophrenia-like traits were highly prevalent among patients with manic-depressive insanity. Despite some heterogeneity across studies, the prevalence of at least one schizophrenia-like trait in studies with sample sizes exceeding 30 ranged from 20% to 100%. For instance, the prevalence of auditory hallucinations ranged from 6% to 48%, with one study identifying a clear correlation between manic episodes and </w:t>
      </w:r>
      <w:r w:rsidRPr="004D46AC">
        <w:rPr>
          <w:rFonts w:eastAsiaTheme="minorEastAsia"/>
        </w:rPr>
        <w:lastRenderedPageBreak/>
        <w:t>hallucinations. Similarly, the incidence of ideas of reference was reported in 5% to 77% of patients with manic-depressive insanity. These findings highlight the significant overlap in symptomatology between the two conditions, suggesting shared psychopathological features.</w:t>
      </w:r>
    </w:p>
    <w:p w14:paraId="4206BFF4" w14:textId="77777777" w:rsidR="003D5CB6" w:rsidRPr="004D46AC" w:rsidRDefault="003D5CB6" w:rsidP="00B518F1">
      <w:pPr>
        <w:rPr>
          <w:rFonts w:eastAsiaTheme="minorEastAsia"/>
        </w:rPr>
      </w:pPr>
      <w:r w:rsidRPr="004D46AC">
        <w:rPr>
          <w:rFonts w:eastAsiaTheme="minorEastAsia"/>
        </w:rPr>
        <w:t xml:space="preserve">In addition to the studies mentioned, the symptom overlap between manic-depressive insanity and schizophrenia has also been examined across different stages of manic-depressive illness </w:t>
      </w:r>
      <w:r w:rsidRPr="004D46AC">
        <w:rPr>
          <w:rFonts w:eastAsiaTheme="minorEastAsia"/>
        </w:rPr>
        <w:fldChar w:fldCharType="begin"/>
      </w:r>
      <w:r w:rsidRPr="004D46AC">
        <w:rPr>
          <w:rFonts w:eastAsiaTheme="minorEastAsia"/>
        </w:rPr>
        <w:instrText xml:space="preserve"> ADDIN EN.CITE &lt;EndNote&gt;&lt;Cite&gt;&lt;Author&gt;Carlson&lt;/Author&gt;&lt;Year&gt;1973&lt;/Year&gt;&lt;RecNum&gt;829&lt;/RecNum&gt;&lt;DisplayText&gt;(Carlson &amp;amp; Goodwin, 1973)&lt;/DisplayText&gt;&lt;record&gt;&lt;rec-number&gt;829&lt;/rec-number&gt;&lt;foreign-keys&gt;&lt;key app="EN" db-id="aet009sstawa0hewvt3xwf5atffdw2dt02sw" timestamp="1736694003"&gt;829&lt;/key&gt;&lt;/foreign-keys&gt;&lt;ref-type name="Journal Article"&gt;17&lt;/ref-type&gt;&lt;contributors&gt;&lt;authors&gt;&lt;author&gt;Carlson, G. A.&lt;/author&gt;&lt;author&gt;Goodwin, F. K.&lt;/author&gt;&lt;/authors&gt;&lt;/contributors&gt;&lt;titles&gt;&lt;title&gt;The stages of mania. A longitudinal analysis of the manic episode&lt;/title&gt;&lt;secondary-title&gt;Arch Gen Psychiatry&lt;/secondary-title&gt;&lt;/titles&gt;&lt;periodical&gt;&lt;full-title&gt;Arch Gen Psychiatry&lt;/full-title&gt;&lt;/periodical&gt;&lt;pages&gt;221-8&lt;/pages&gt;&lt;volume&gt;28&lt;/volume&gt;&lt;number&gt;2&lt;/number&gt;&lt;keywords&gt;&lt;keyword&gt;Acute Disease&lt;/keyword&gt;&lt;keyword&gt;Adolescent&lt;/keyword&gt;&lt;keyword&gt;Adult&lt;/keyword&gt;&lt;keyword&gt;Bipolar Disorder/*diagnosis&lt;/keyword&gt;&lt;keyword&gt;Delusions/diagnosis&lt;/keyword&gt;&lt;keyword&gt;Diagnosis, Differential&lt;/keyword&gt;&lt;keyword&gt;Employment&lt;/keyword&gt;&lt;keyword&gt;Family&lt;/keyword&gt;&lt;keyword&gt;Female&lt;/keyword&gt;&lt;keyword&gt;Follow-Up Studies&lt;/keyword&gt;&lt;keyword&gt;Hallucinations/diagnosis&lt;/keyword&gt;&lt;keyword&gt;Hospitalization&lt;/keyword&gt;&lt;keyword&gt;Humans&lt;/keyword&gt;&lt;keyword&gt;Interpersonal Relations&lt;/keyword&gt;&lt;keyword&gt;Male&lt;/keyword&gt;&lt;keyword&gt;Middle Aged&lt;/keyword&gt;&lt;keyword&gt;Prognosis&lt;/keyword&gt;&lt;keyword&gt;Remission, Spontaneous&lt;/keyword&gt;&lt;keyword&gt;Retrospective Studies&lt;/keyword&gt;&lt;keyword&gt;Schizophrenia/diagnosis&lt;/keyword&gt;&lt;keyword&gt;Social Adjustment&lt;/keyword&gt;&lt;keyword&gt;Social Behavior&lt;/keyword&gt;&lt;keyword&gt;Verbal Behavior&lt;/keyword&gt;&lt;/keywords&gt;&lt;dates&gt;&lt;year&gt;1973&lt;/year&gt;&lt;pub-dates&gt;&lt;date&gt;Feb&lt;/date&gt;&lt;/pub-dates&gt;&lt;/dates&gt;&lt;isbn&gt;0003-990X (Print)&amp;#xD;0003-990X (Linking)&lt;/isbn&gt;&lt;accession-num&gt;4684288&lt;/accession-num&gt;&lt;urls&gt;&lt;related-urls&gt;&lt;url&gt;https://www.ncbi.nlm.nih.gov/pubmed/4684288&lt;/url&gt;&lt;/related-urls&gt;&lt;/urls&gt;&lt;electronic-resource-num&gt;10.1001/archpsyc.1973.01750320053009&lt;/electronic-resource-num&gt;&lt;remote-database-name&gt;Medline&lt;/remote-database-name&gt;&lt;remote-database-provider&gt;NLM&lt;/remote-database-provider&gt;&lt;access-date&gt;1/12/2025&lt;/access-date&gt;&lt;/record&gt;&lt;/Cite&gt;&lt;/EndNote&gt;</w:instrText>
      </w:r>
      <w:r w:rsidRPr="004D46AC">
        <w:rPr>
          <w:rFonts w:eastAsiaTheme="minorEastAsia"/>
        </w:rPr>
        <w:fldChar w:fldCharType="separate"/>
      </w:r>
      <w:r w:rsidRPr="004D46AC">
        <w:rPr>
          <w:rFonts w:eastAsiaTheme="minorEastAsia"/>
        </w:rPr>
        <w:t>(Carlson &amp; Goodwin, 1973)</w:t>
      </w:r>
      <w:r w:rsidRPr="004D46AC">
        <w:rPr>
          <w:rFonts w:eastAsiaTheme="minorEastAsia"/>
        </w:rPr>
        <w:fldChar w:fldCharType="end"/>
      </w:r>
      <w:r w:rsidRPr="004D46AC">
        <w:rPr>
          <w:rFonts w:eastAsiaTheme="minorEastAsia"/>
        </w:rPr>
        <w:t xml:space="preserve">. The researchers identified three distinct stages among 20 patients. Notably, schizophrenia-like traits were observed at all stages, ranging from mild pressured speech and grandiosity in the initial stage, to hopelessness, panic, and definite loosening of associations - one of Bleuler’s four “A’s” that conceptualized schizophrenia - at the final stage. While not all patients with manic-depressive insanity reached this final stage, 70% of the sample did exhibit these symptoms. Similarly, </w:t>
      </w:r>
      <w:r w:rsidRPr="004D46AC">
        <w:rPr>
          <w:rFonts w:eastAsiaTheme="minorEastAsia"/>
        </w:rPr>
        <w:fldChar w:fldCharType="begin"/>
      </w:r>
      <w:r w:rsidRPr="004D46AC">
        <w:rPr>
          <w:rFonts w:eastAsiaTheme="minorEastAsia"/>
        </w:rPr>
        <w:instrText xml:space="preserve"> ADDIN EN.CITE &lt;EndNote&gt;&lt;Cite AuthorYear="1"&gt;&lt;Author&gt;Taylor&lt;/Author&gt;&lt;Year&gt;1977&lt;/Year&gt;&lt;RecNum&gt;180&lt;/RecNum&gt;&lt;DisplayText&gt;Taylor and Abrams (1977)&lt;/DisplayText&gt;&lt;record&gt;&lt;rec-number&gt;180&lt;/rec-number&gt;&lt;foreign-keys&gt;&lt;key app="EN" db-id="aet009sstawa0hewvt3xwf5atffdw2dt02sw" timestamp="1665849006"&gt;180&lt;/key&gt;&lt;/foreign-keys&gt;&lt;ref-type name="Journal Article"&gt;17&lt;/ref-type&gt;&lt;contributors&gt;&lt;authors&gt;&lt;author&gt;Taylor, M. A.&lt;/author&gt;&lt;author&gt;Abrams, R.&lt;/author&gt;&lt;/authors&gt;&lt;/contributors&gt;&lt;titles&gt;&lt;title&gt;Catatonia. Prevalence and importance in the manic phase of manic-depressive illness&lt;/title&gt;&lt;secondary-title&gt;Arch Gen Psychiatry&lt;/secondary-title&gt;&lt;/titles&gt;&lt;periodical&gt;&lt;full-title&gt;Arch Gen Psychiatry&lt;/full-title&gt;&lt;/periodical&gt;&lt;pages&gt;1223-5&lt;/pages&gt;&lt;volume&gt;34&lt;/volume&gt;&lt;number&gt;10&lt;/number&gt;&lt;keywords&gt;&lt;keyword&gt;Adult&lt;/keyword&gt;&lt;keyword&gt;Alcoholism/genetics&lt;/keyword&gt;&lt;keyword&gt;Bipolar Disorder/*complications/drug therapy/genetics/psychology/therapy&lt;/keyword&gt;&lt;keyword&gt;Catatonia/*complications/psychology&lt;/keyword&gt;&lt;keyword&gt;Drug Therapy, Combination&lt;/keyword&gt;&lt;keyword&gt;Electroconvulsive Therapy&lt;/keyword&gt;&lt;keyword&gt;Female&lt;/keyword&gt;&lt;keyword&gt;Humans&lt;/keyword&gt;&lt;keyword&gt;Lithium/therapeutic use&lt;/keyword&gt;&lt;keyword&gt;Male&lt;/keyword&gt;&lt;keyword&gt;Mental Disorders/genetics&lt;/keyword&gt;&lt;keyword&gt;Prognosis&lt;/keyword&gt;&lt;keyword&gt;Tranquilizing Agents/therapeutic use&lt;/keyword&gt;&lt;/keywords&gt;&lt;dates&gt;&lt;year&gt;1977&lt;/year&gt;&lt;pub-dates&gt;&lt;date&gt;Oct&lt;/date&gt;&lt;/pub-dates&gt;&lt;/dates&gt;&lt;isbn&gt;0003-990X (Print)&amp;#xD;0003-990X (Linking)&lt;/isbn&gt;&lt;accession-num&gt;911221&lt;/accession-num&gt;&lt;urls&gt;&lt;related-urls&gt;&lt;url&gt;https://www.ncbi.nlm.nih.gov/pubmed/911221&lt;/url&gt;&lt;/related-urls&gt;&lt;/urls&gt;&lt;electronic-resource-num&gt;10.1001/archpsyc.1977.01770220105012&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Taylor and Abrams (1977)</w:t>
      </w:r>
      <w:r w:rsidRPr="004D46AC">
        <w:rPr>
          <w:rFonts w:eastAsiaTheme="minorEastAsia"/>
        </w:rPr>
        <w:fldChar w:fldCharType="end"/>
      </w:r>
      <w:r w:rsidRPr="004D46AC">
        <w:rPr>
          <w:rFonts w:eastAsiaTheme="minorEastAsia"/>
        </w:rPr>
        <w:t xml:space="preserve"> investigated acutely ill patients with manic-depressive illness, finding that a significant proportion of their 119 participants showed schizophrenia-like symptoms. These included thought disorder (84%), persecutory delusions (65.55%), and auditory hallucinations (47.06%). These findings align to some extent with the staging model proposed by Carlson and Goodwin, providing further evidence of symptom overlap between these two conditions. This overlap raises important questions about the boundaries between manic-depressive insanity and schizophrenia, suggesting that both disorders might share common psychopathological features, especially during acute phases.</w:t>
      </w:r>
    </w:p>
    <w:p w14:paraId="17FEBD26" w14:textId="77777777" w:rsidR="003D5CB6" w:rsidRPr="004D46AC" w:rsidRDefault="003D5CB6" w:rsidP="00B518F1">
      <w:pPr>
        <w:rPr>
          <w:rFonts w:eastAsiaTheme="minorEastAsia"/>
        </w:rPr>
      </w:pPr>
      <w:r w:rsidRPr="004D46AC">
        <w:rPr>
          <w:rFonts w:eastAsiaTheme="minorEastAsia"/>
        </w:rPr>
        <w:t xml:space="preserve">It is thus natural to ponder what exactly constitutes a diagnosis of schizophrenia and mania, given the heterogeneous manifestations reported in these case studies. In 1939, Kurt Schneider proposed a series of symptoms that can uniquely distinguishing schizophrenia from other functional psychoses </w:t>
      </w:r>
      <w:r w:rsidRPr="004D46AC">
        <w:rPr>
          <w:rFonts w:eastAsiaTheme="minorEastAsia"/>
        </w:rPr>
        <w:fldChar w:fldCharType="begin"/>
      </w:r>
      <w:r w:rsidRPr="004D46AC">
        <w:rPr>
          <w:rFonts w:eastAsiaTheme="minorEastAsia"/>
        </w:rPr>
        <w:instrText xml:space="preserve"> ADDIN EN.CITE &lt;EndNote&gt;&lt;Cite&gt;&lt;Author&gt;Kendler&lt;/Author&gt;&lt;Year&gt;2019&lt;/Year&gt;&lt;RecNum&gt;822&lt;/RecNum&gt;&lt;DisplayText&gt;(Kendler &amp;amp; Mishara, 2019)&lt;/DisplayText&gt;&lt;record&gt;&lt;rec-number&gt;822&lt;/rec-number&gt;&lt;foreign-keys&gt;&lt;key app="EN" db-id="aet009sstawa0hewvt3xwf5atffdw2dt02sw" timestamp="1736597324"&gt;822&lt;/key&gt;&lt;/foreign-keys&gt;&lt;ref-type name="Journal Article"&gt;17&lt;/ref-type&gt;&lt;contributors&gt;&lt;authors&gt;&lt;author&gt;Kendler, K. S.&lt;/author&gt;&lt;author&gt;Mishara, A.&lt;/author&gt;&lt;/authors&gt;&lt;/contributors&gt;&lt;auth-address&gt;Virginia Institute for Psychiatric and Behavioral Genetics, Virginia Commonwealth University, Richmond, VA.&amp;#xD;Department of Psychiatry, Virginia Commonwealth University, Richmond, VA.&amp;#xD;Department of Clinical Psychology, Chicago School of Professional Psychology, Los Angeles, CA.&lt;/auth-address&gt;&lt;titles&gt;&lt;title&gt;The Prehistory of Schneider&amp;apos;s First-Rank Symptoms: Texts From 1810 to 1932&lt;/title&gt;&lt;secondary-title&gt;Schizophr Bull&lt;/secondary-title&gt;&lt;/titles&gt;&lt;periodical&gt;&lt;full-title&gt;Schizophr Bull&lt;/full-title&gt;&lt;/periodical&gt;&lt;pages&gt;971-990&lt;/pages&gt;&lt;volume&gt;45&lt;/volume&gt;&lt;number&gt;5&lt;/number&gt;&lt;keywords&gt;&lt;keyword&gt;Delusions&lt;/keyword&gt;&lt;keyword&gt;Hallucinations&lt;/keyword&gt;&lt;keyword&gt;History, 19th Century&lt;/keyword&gt;&lt;keyword&gt;History, 20th Century&lt;/keyword&gt;&lt;keyword&gt;Psychiatry/*history&lt;/keyword&gt;&lt;keyword&gt;Schizophrenia/*history&lt;/keyword&gt;&lt;keyword&gt;*Schizophrenic Psychology&lt;/keyword&gt;&lt;keyword&gt;Schneiderian symptoms&lt;/keyword&gt;&lt;keyword&gt;history&lt;/keyword&gt;&lt;keyword&gt;schizophrenia&lt;/keyword&gt;&lt;/keywords&gt;&lt;dates&gt;&lt;year&gt;2019&lt;/year&gt;&lt;pub-dates&gt;&lt;date&gt;Sep 11&lt;/date&gt;&lt;/pub-dates&gt;&lt;/dates&gt;&lt;isbn&gt;1745-1701 (Electronic)&amp;#xD;0586-7614 (Print)&amp;#xD;0586-7614 (Linking)&lt;/isbn&gt;&lt;accession-num&gt;31206162&lt;/accession-num&gt;&lt;urls&gt;&lt;related-urls&gt;&lt;url&gt;https://www.ncbi.nlm.nih.gov/pubmed/31206162&lt;/url&gt;&lt;/related-urls&gt;&lt;/urls&gt;&lt;custom2&gt;PMC6737481&lt;/custom2&gt;&lt;electronic-resource-num&gt;10.1093/schbul/sbz047&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(Kendler &amp; Mishara, 2019)</w:t>
      </w:r>
      <w:r w:rsidRPr="004D46AC">
        <w:rPr>
          <w:rFonts w:eastAsiaTheme="minorEastAsia"/>
        </w:rPr>
        <w:fldChar w:fldCharType="end"/>
      </w:r>
      <w:r w:rsidRPr="004D46AC">
        <w:rPr>
          <w:rFonts w:eastAsiaTheme="minorEastAsia"/>
        </w:rPr>
        <w:t xml:space="preserve">. These features were termed as first-rank symptoms (FRS), including self-disturbance (e.g., thought broadcasting, insertion, withdrawal, and derealisation), delusional perception (e.g., delusions of reference), and hallucinations (e.g., voices providing commentary). However, empirical evidence has revealed a more complex narrative regarding their feasibility in diagnosing schizophrenia. </w:t>
      </w:r>
      <w:r w:rsidRPr="004D46AC">
        <w:rPr>
          <w:rFonts w:eastAsiaTheme="minorEastAsia"/>
        </w:rPr>
        <w:lastRenderedPageBreak/>
        <w:fldChar w:fldCharType="begin"/>
      </w:r>
      <w:r w:rsidRPr="004D46AC">
        <w:rPr>
          <w:rFonts w:eastAsiaTheme="minorEastAsia"/>
        </w:rPr>
        <w:instrText xml:space="preserve"> ADDIN EN.CITE &lt;EndNote&gt;&lt;Cite AuthorYear="1"&gt;&lt;Author&gt;Carpenter&lt;/Author&gt;&lt;Year&gt;1974&lt;/Year&gt;&lt;RecNum&gt;823&lt;/RecNum&gt;&lt;DisplayText&gt;Carpenter and Strauss (1974)&lt;/DisplayText&gt;&lt;record&gt;&lt;rec-number&gt;823&lt;/rec-number&gt;&lt;foreign-keys&gt;&lt;key app="EN" db-id="aet009sstawa0hewvt3xwf5atffdw2dt02sw" timestamp="1736599005"&gt;823&lt;/key&gt;&lt;/foreign-keys&gt;&lt;ref-type name="Journal Article"&gt;17&lt;/ref-type&gt;&lt;contributors&gt;&lt;authors&gt;&lt;author&gt;Carpenter, W. T., Jr.&lt;/author&gt;&lt;author&gt;Strauss, J. S.&lt;/author&gt;&lt;/authors&gt;&lt;/contributors&gt;&lt;titles&gt;&lt;title&gt;Cross-cultural evaluation of Schneider&amp;apos;s first-rank symptoms of schizophrenia: a report from the International Pilot Study of Schizophrenia&lt;/title&gt;&lt;secondary-title&gt;Am J Psychiatry&lt;/secondary-title&gt;&lt;/titles&gt;&lt;periodical&gt;&lt;full-title&gt;Am J Psychiatry&lt;/full-title&gt;&lt;/periodical&gt;&lt;pages&gt;682-7&lt;/pages&gt;&lt;volume&gt;131&lt;/volume&gt;&lt;number&gt;6&lt;/number&gt;&lt;keywords&gt;&lt;keyword&gt;Bipolar Disorder/diagnosis&lt;/keyword&gt;&lt;keyword&gt;*Cross-Cultural Comparison&lt;/keyword&gt;&lt;keyword&gt;Humans&lt;/keyword&gt;&lt;keyword&gt;Neurotic Disorders/diagnosis&lt;/keyword&gt;&lt;keyword&gt;Personality Disorders/diagnosis&lt;/keyword&gt;&lt;keyword&gt;Pilot Projects&lt;/keyword&gt;&lt;keyword&gt;Psychiatric Status Rating Scales&lt;/keyword&gt;&lt;keyword&gt;Schizophrenia/classification/*diagnosis&lt;/keyword&gt;&lt;/keywords&gt;&lt;dates&gt;&lt;year&gt;1974&lt;/year&gt;&lt;pub-dates&gt;&lt;date&gt;Jun&lt;/date&gt;&lt;/pub-dates&gt;&lt;/dates&gt;&lt;isbn&gt;0002-953X (Print)&amp;#xD;0002-953X (Linking)&lt;/isbn&gt;&lt;accession-num&gt;4827800&lt;/accession-num&gt;&lt;urls&gt;&lt;related-urls&gt;&lt;url&gt;https://www.ncbi.nlm.nih.gov/pubmed/4827800&lt;/url&gt;&lt;/related-urls&gt;&lt;/urls&gt;&lt;electronic-resource-num&gt;10.1176/ajp.131.6.682&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Carpenter and Strauss (1974)</w:t>
      </w:r>
      <w:r w:rsidRPr="004D46AC">
        <w:rPr>
          <w:rFonts w:eastAsiaTheme="minorEastAsia"/>
        </w:rPr>
        <w:fldChar w:fldCharType="end"/>
      </w:r>
      <w:r w:rsidRPr="004D46AC">
        <w:rPr>
          <w:rFonts w:eastAsia="SimSun"/>
          <w14:ligatures w14:val="none"/>
        </w:rPr>
        <w:t xml:space="preserve"> </w:t>
      </w:r>
      <w:r w:rsidRPr="004D46AC">
        <w:rPr>
          <w:rFonts w:eastAsiaTheme="minorEastAsia"/>
        </w:rPr>
        <w:t>conducted a systematic examination of first-rank symptoms (FRS) among 1,202 patients recruited from multiple countries. The prevalence of FRS was highly heterogeneous across psychiatric centres and schizophrenia subtypes, with rates among schizophrenia patients (</w:t>
      </w:r>
      <w:r w:rsidRPr="004D46AC">
        <w:rPr>
          <w:rFonts w:eastAsiaTheme="minorEastAsia"/>
          <w:i/>
          <w:iCs/>
        </w:rPr>
        <w:t>n</w:t>
      </w:r>
      <w:r w:rsidRPr="004D46AC">
        <w:rPr>
          <w:rFonts w:eastAsiaTheme="minorEastAsia"/>
        </w:rPr>
        <w:t xml:space="preserve"> = 811) ranging from 31% to 76%. While schizophrenia patients exhibited the highest raw prevalence of FRS (57%), its presence in other populations, particularly those with manic-depressive insanity (</w:t>
      </w:r>
      <w:r w:rsidRPr="004D46AC">
        <w:rPr>
          <w:rFonts w:eastAsiaTheme="minorEastAsia"/>
          <w:i/>
          <w:iCs/>
        </w:rPr>
        <w:t>n</w:t>
      </w:r>
      <w:r w:rsidRPr="004D46AC">
        <w:rPr>
          <w:rFonts w:eastAsiaTheme="minorEastAsia"/>
        </w:rPr>
        <w:t xml:space="preserve"> = 66), was not negligible (23%). Despite its high discriminating ability, the specificity of FRS is not ideal for diagnosing schizophrenia. Instead, FRS may serve as an indicator of disease severity rather than a pathological marker of schizophrenia, as it has been found to correlate with longer illness duration and poorer prognosis in patients with major psychoses </w:t>
      </w:r>
      <w:r w:rsidRPr="004D46AC">
        <w:rPr>
          <w:rFonts w:eastAsiaTheme="minorEastAsia"/>
        </w:rPr>
        <w:fldChar w:fldCharType="begin"/>
      </w:r>
      <w:r w:rsidRPr="004D46AC">
        <w:rPr>
          <w:rFonts w:eastAsiaTheme="minorEastAsia"/>
        </w:rPr>
        <w:instrText xml:space="preserve"> ADDIN EN.CITE &lt;EndNote&gt;&lt;Cite&gt;&lt;Author&gt;Conus&lt;/Author&gt;&lt;Year&gt;2004&lt;/Year&gt;&lt;RecNum&gt;304&lt;/RecNum&gt;&lt;DisplayText&gt;(Conus et al., 2004)&lt;/DisplayText&gt;&lt;record&gt;&lt;rec-number&gt;304&lt;/rec-number&gt;&lt;foreign-keys&gt;&lt;key app="EN" db-id="aet009sstawa0hewvt3xwf5atffdw2dt02sw" timestamp="1666496187"&gt;304&lt;/key&gt;&lt;/foreign-keys&gt;&lt;ref-type name="Journal Article"&gt;17&lt;/ref-type&gt;&lt;contributors&gt;&lt;authors&gt;&lt;author&gt;Conus, P.&lt;/author&gt;&lt;author&gt;Abdel-Baki, A.&lt;/author&gt;&lt;author&gt;Harrigan, S.&lt;/author&gt;&lt;author&gt;Lambert, M.&lt;/author&gt;&lt;author&gt;McGorry, P. D.&lt;/author&gt;&lt;/authors&gt;&lt;/contributors&gt;&lt;auth-address&gt;ORYGEN Research Centre, Parkville, Victoria, Australia. philippe.conus@hospvd.ch&lt;/auth-address&gt;&lt;titles&gt;&lt;title&gt;Schneiderian first rank symptoms predict poor outcome within first episode manic psychosis&lt;/title&gt;&lt;secondary-title&gt;J Affect Disord&lt;/secondary-title&gt;&lt;/titles&gt;&lt;periodical&gt;&lt;full-title&gt;J Affect Disord&lt;/full-title&gt;&lt;/periodical&gt;&lt;pages&gt;259-68&lt;/pages&gt;&lt;volume&gt;81&lt;/volume&gt;&lt;number&gt;3&lt;/number&gt;&lt;keywords&gt;&lt;keyword&gt;Adult&lt;/keyword&gt;&lt;keyword&gt;Diagnostic and Statistical Manual of Mental Disorders&lt;/keyword&gt;&lt;keyword&gt;Female&lt;/keyword&gt;&lt;keyword&gt;Humans&lt;/keyword&gt;&lt;keyword&gt;Male&lt;/keyword&gt;&lt;keyword&gt;Predictive Value of Tests&lt;/keyword&gt;&lt;keyword&gt;Prognosis&lt;/keyword&gt;&lt;keyword&gt;Prospective Studies&lt;/keyword&gt;&lt;keyword&gt;*Psychiatric Status Rating Scales&lt;/keyword&gt;&lt;keyword&gt;Psychotic Disorders/*psychology/therapy&lt;/keyword&gt;&lt;keyword&gt;Treatment Outcome&lt;/keyword&gt;&lt;/keywords&gt;&lt;dates&gt;&lt;year&gt;2004&lt;/year&gt;&lt;pub-dates&gt;&lt;date&gt;Sep&lt;/date&gt;&lt;/pub-dates&gt;&lt;/dates&gt;&lt;isbn&gt;0165-0327 (Print)&amp;#xD;0165-0327 (Linking)&lt;/isbn&gt;&lt;accession-num&gt;15337330&lt;/accession-num&gt;&lt;urls&gt;&lt;related-urls&gt;&lt;url&gt;https://www.ncbi.nlm.nih.gov/pubmed/15337330&lt;/url&gt;&lt;/related-urls&gt;&lt;/urls&gt;&lt;electronic-resource-num&gt;10.1016/j.jad.2003.09.003&lt;/electronic-resource-num&gt;&lt;remote-database-name&gt;Medline&lt;/remote-database-name&gt;&lt;remote-database-provider&gt;NLM&lt;/remote-database-provider&gt;&lt;/record&gt;&lt;/Cite&gt;&lt;/EndNote&gt;</w:instrText>
      </w:r>
      <w:r w:rsidRPr="004D46AC">
        <w:rPr>
          <w:rFonts w:eastAsiaTheme="minorEastAsia"/>
        </w:rPr>
        <w:fldChar w:fldCharType="separate"/>
      </w:r>
      <w:r w:rsidRPr="004D46AC">
        <w:rPr>
          <w:rFonts w:eastAsiaTheme="minorEastAsia"/>
        </w:rPr>
        <w:t>(Conus et al., 2004)</w:t>
      </w:r>
      <w:r w:rsidRPr="004D46AC">
        <w:rPr>
          <w:rFonts w:eastAsiaTheme="minorEastAsia"/>
        </w:rPr>
        <w:fldChar w:fldCharType="end"/>
      </w:r>
      <w:r w:rsidRPr="004D46AC">
        <w:rPr>
          <w:rFonts w:eastAsiaTheme="minorEastAsia"/>
        </w:rPr>
        <w:t xml:space="preserve">.  </w:t>
      </w:r>
    </w:p>
    <w:p w14:paraId="22AB158D" w14:textId="77777777" w:rsidR="003D5CB6" w:rsidRPr="004D46AC" w:rsidRDefault="003D5CB6" w:rsidP="00B518F1">
      <w:pPr>
        <w:rPr>
          <w:rFonts w:eastAsiaTheme="minorEastAsia"/>
        </w:rPr>
      </w:pPr>
      <w:r w:rsidRPr="004D46AC">
        <w:rPr>
          <w:rFonts w:eastAsiaTheme="minorEastAsia"/>
        </w:rPr>
        <w:t>Overall, early attempts to distinguish between bipolar disorder and schizophrenia were not entirely successful within the domain of psychopathology. Investigations into their similarities and differences were highly heterogeneous, and no definitive conclusions could be drawn from the findings. Although the course of manic-depressive insanity was studied, its progression and subtypes in relation to schizophrenia features remain poorly understood. For instance, only one study has examined the distribution of schizophrenia features in patients with manic-depressive insanity across different mood episodes. Furthermore, demographic factors such as gender and age were not systematically explored, largely due to small sample sizes and limited statistical methodologies. Finally, the phenomenological differences within schizophrenic features themselves were rarely investigated, leaving significant gaps in understanding.</w:t>
      </w:r>
    </w:p>
    <w:p w14:paraId="18668549" w14:textId="77777777" w:rsidR="003D5CB6" w:rsidRPr="004D46AC" w:rsidRDefault="003D5CB6" w:rsidP="00B518F1">
      <w:pPr>
        <w:pStyle w:val="4"/>
      </w:pPr>
      <w:r w:rsidRPr="004D46AC">
        <w:t>Evaluation of the two disorders after 1980</w:t>
      </w:r>
    </w:p>
    <w:p w14:paraId="30140ACD" w14:textId="77777777" w:rsidR="003D5CB6" w:rsidRPr="004D46AC" w:rsidRDefault="003D5CB6" w:rsidP="00B518F1">
      <w:pPr>
        <w:rPr>
          <w:rFonts w:eastAsiaTheme="minorEastAsia"/>
        </w:rPr>
      </w:pPr>
      <w:r w:rsidRPr="004D46AC">
        <w:rPr>
          <w:rFonts w:eastAsiaTheme="minorEastAsia"/>
        </w:rPr>
        <w:t xml:space="preserve">As noted in prior sections, bipolar disorder was formally introduced in the DSM-III. Schizophrenia-like traits or psychotic symptoms were explicitly associated with bipolar disorder in this manual, reflecting their frequent occurrence in bipolar patients as reported in earlier studies. Psychotic symptoms were further categorised into positive and negative symptoms. Positive symptoms involve a distortion of normal functions, such as delusions or hallucinations, whereas negative symptoms represent a reduction or absence of behaviours </w:t>
      </w:r>
      <w:r w:rsidRPr="004D46AC">
        <w:rPr>
          <w:rFonts w:eastAsiaTheme="minorEastAsia"/>
        </w:rPr>
        <w:lastRenderedPageBreak/>
        <w:t xml:space="preserve">related to interest or engagement, such as anhedonia. The presence of positive symptoms is defined by the occurrence of either delusions or hallucinations. </w:t>
      </w:r>
      <w:r w:rsidRPr="004D46AC">
        <w:rPr>
          <w:rFonts w:eastAsiaTheme="minorEastAsia"/>
        </w:rPr>
        <w:fldChar w:fldCharType="begin"/>
      </w:r>
      <w:r w:rsidRPr="004D46AC">
        <w:rPr>
          <w:rFonts w:eastAsiaTheme="minorEastAsia"/>
        </w:rPr>
        <w:instrText xml:space="preserve"> ADDIN EN.CITE &lt;EndNote&gt;&lt;Cite AuthorYear="1"&gt;&lt;Author&gt;Chakrabarti&lt;/Author&gt;&lt;Year&gt;2022&lt;/Year&gt;&lt;RecNum&gt;430&lt;/RecNum&gt;&lt;DisplayText&gt;Chakrabarti and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Chakrabarti and Singh (2022)</w:t>
      </w:r>
      <w:r w:rsidRPr="004D46AC">
        <w:rPr>
          <w:rFonts w:eastAsiaTheme="minorEastAsia"/>
        </w:rPr>
        <w:fldChar w:fldCharType="end"/>
      </w:r>
      <w:r w:rsidRPr="004D46AC">
        <w:rPr>
          <w:rFonts w:eastAsiaTheme="minorEastAsia"/>
        </w:rPr>
        <w:t xml:space="preserve"> systematically reviewed existing evidence and reported that the median prevalence of lifetime and point psychotic features in bipolar patients was approximately 50%. Specifically, the median lifetime and point prevalence of psychotic features were around 60% in patients with bipolar I disorder but decreased significantly to approximately 20% in bipolar II patients. A similar trend was observed across mood episodes, with patients experiencing manic episodes showing a higher median prevalence than those in depressive episodes. Mixed episodes displayed a pattern </w:t>
      </w:r>
      <w:proofErr w:type="gramStart"/>
      <w:r w:rsidRPr="004D46AC">
        <w:rPr>
          <w:rFonts w:eastAsiaTheme="minorEastAsia"/>
        </w:rPr>
        <w:t>similar to</w:t>
      </w:r>
      <w:proofErr w:type="gramEnd"/>
      <w:r w:rsidRPr="004D46AC">
        <w:rPr>
          <w:rFonts w:eastAsiaTheme="minorEastAsia"/>
        </w:rPr>
        <w:t xml:space="preserve"> manic episodes. However, these trends are considered unstable due to the wide confidence intervals reported across all figures, making it challenging to derive precise conclusions from narrative reviews. Another systematic review quantitatively examined this feature to address these limitations, with findings that were somewhat consistent with those of the narrative review </w:t>
      </w:r>
      <w:r w:rsidRPr="004D46AC">
        <w:rPr>
          <w:rFonts w:eastAsiaTheme="minorEastAsia"/>
        </w:rPr>
        <w:fldChar w:fldCharType="begin">
          <w:fldData xml:space="preserve">PEVuZE5vdGU+PENpdGU+PEF1dGhvcj5BbWlub2ZmPC9BdXRob3I+PFllYXI+MjAyMjwvWWVhcj48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PEVuZE5vdGU+PENpdGU+PEF1dGhvcj5BbWlub2ZmPC9BdXRob3I+PFllYXI+MjAyMjwvWWVhcj48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(Aminoff et al., 2022)</w:t>
      </w:r>
      <w:r w:rsidRPr="004D46AC">
        <w:rPr>
          <w:rFonts w:eastAsiaTheme="minorEastAsia"/>
        </w:rPr>
        <w:fldChar w:fldCharType="end"/>
      </w:r>
      <w:r w:rsidRPr="004D46AC">
        <w:rPr>
          <w:rFonts w:eastAsiaTheme="minorEastAsia"/>
        </w:rPr>
        <w:t xml:space="preserve">. However, most of the syntheses were characterised by extremely high levels of heterogeneity, posing significant challenges to their generalisability to a broader population. Although heterogeneous, these findings suggest </w:t>
      </w:r>
      <w:proofErr w:type="gramStart"/>
      <w:r w:rsidRPr="004D46AC">
        <w:rPr>
          <w:rFonts w:eastAsiaTheme="minorEastAsia"/>
        </w:rPr>
        <w:t>that,</w:t>
      </w:r>
      <w:proofErr w:type="gramEnd"/>
      <w:r w:rsidRPr="004D46AC">
        <w:rPr>
          <w:rFonts w:eastAsiaTheme="minorEastAsia"/>
        </w:rPr>
        <w:t xml:space="preserve"> </w:t>
      </w:r>
      <w:proofErr w:type="gramStart"/>
      <w:r w:rsidRPr="004D46AC">
        <w:rPr>
          <w:rFonts w:eastAsiaTheme="minorEastAsia"/>
        </w:rPr>
        <w:t>similar to</w:t>
      </w:r>
      <w:proofErr w:type="gramEnd"/>
      <w:r w:rsidRPr="004D46AC">
        <w:rPr>
          <w:rFonts w:eastAsiaTheme="minorEastAsia"/>
        </w:rPr>
        <w:t xml:space="preserve"> pre-1980 research, psychotic features are common in patients with bipolar disorder, with varying prevalence across different subtypes and mood episodes. This variability makes it difficult to establish a clear boundary between bipolar disorder and schizophrenia.</w:t>
      </w:r>
    </w:p>
    <w:p w14:paraId="0BEF26AE" w14:textId="77777777" w:rsidR="003D5CB6" w:rsidRPr="004D46AC" w:rsidRDefault="003D5CB6" w:rsidP="00B518F1">
      <w:pPr>
        <w:rPr>
          <w:rFonts w:eastAsiaTheme="minorEastAsia"/>
        </w:rPr>
      </w:pPr>
      <w:r w:rsidRPr="004D46AC">
        <w:rPr>
          <w:rFonts w:eastAsiaTheme="minorEastAsia"/>
        </w:rPr>
        <w:t xml:space="preserve">To further delineate the boundary between bipolar disorder and schizophrenia, mood-incongruent psychosis (MIP) has been proposed as a distinguishing feature. Individuals with bipolar disorder typically present with hallucinations or delusions aligned with the prevailing mood (e.g., grandiose delusions during a manic episode). In contrast, MIPs are considered uncommon and, when present, are transient in nature. These features are independent of mood themes and may include manifestations such as persecutory delusions, thought insertion, thought broadcasting, and delusions of being controlled. Catatonic features, such as negativism and stupor, were also classified as mood-incongruent psychotic features in the DSM-III. However, in the DSM-IV and subsequent editions, these features became </w:t>
      </w:r>
      <w:r w:rsidRPr="004D46AC">
        <w:rPr>
          <w:rFonts w:eastAsiaTheme="minorEastAsia"/>
        </w:rPr>
        <w:lastRenderedPageBreak/>
        <w:t>independent of mood-incongruent classifications. Empirical evidence, however, challenges the appropriateness of MIPs as a unique pathological indicator of schizophrenia.</w:t>
      </w:r>
    </w:p>
    <w:p w14:paraId="70AB8A45" w14:textId="77777777" w:rsidR="003D5CB6" w:rsidRPr="004D46AC" w:rsidRDefault="003D5CB6" w:rsidP="00B518F1">
      <w:pPr>
        <w:rPr>
          <w:rFonts w:eastAsiaTheme="minorEastAsia"/>
        </w:rPr>
      </w:pPr>
      <w:r w:rsidRPr="004D46AC">
        <w:rPr>
          <w:rFonts w:eastAsiaTheme="minorEastAsia"/>
        </w:rPr>
        <w:t xml:space="preserve">As reported by </w:t>
      </w:r>
      <w:r w:rsidRPr="004D46AC">
        <w:rPr>
          <w:rFonts w:eastAsiaTheme="minorEastAsia"/>
        </w:rPr>
        <w:fldChar w:fldCharType="begin"/>
      </w:r>
      <w:r w:rsidRPr="004D46AC">
        <w:rPr>
          <w:rFonts w:eastAsiaTheme="minorEastAsia"/>
        </w:rPr>
        <w:instrText xml:space="preserve"> ADDIN EN.CITE &lt;EndNote&gt;&lt;Cite AuthorYear="1"&gt;&lt;Author&gt;Chakrabarti&lt;/Author&gt;&lt;Year&gt;2022&lt;/Year&gt;&lt;RecNum&gt;430&lt;/RecNum&gt;&lt;DisplayText&gt;Chakrabarti and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Chakrabarti and Singh (2022)</w:t>
      </w:r>
      <w:r w:rsidRPr="004D46AC">
        <w:rPr>
          <w:rFonts w:eastAsiaTheme="minorEastAsia"/>
        </w:rPr>
        <w:fldChar w:fldCharType="end"/>
      </w:r>
      <w:r w:rsidRPr="004D46AC">
        <w:rPr>
          <w:rFonts w:eastAsiaTheme="minorEastAsia"/>
        </w:rPr>
        <w:t xml:space="preserve">, the median prevalence of MIPs was around 40% of the bipolar patients regardless the timeframe. MIP appeared to be more likely happened in patients with manic and mixed episodes, with the prevalence up to 74% and 72% respectively. However, this distribution is limited in generalisability considering its study size and nature.  For instance, no studies had explored the prevalence of the MIP in patients with bipolar ii disorder or lifetime depressive episode. </w:t>
      </w:r>
    </w:p>
    <w:p w14:paraId="7FE46795" w14:textId="77777777" w:rsidR="003D5CB6" w:rsidRPr="004D46AC" w:rsidRDefault="003D5CB6" w:rsidP="00B518F1">
      <w:pPr>
        <w:rPr>
          <w:rFonts w:eastAsiaTheme="minorEastAsia"/>
        </w:rPr>
      </w:pPr>
      <w:r w:rsidRPr="004D46AC">
        <w:rPr>
          <w:rFonts w:eastAsiaTheme="minorEastAsia"/>
        </w:rPr>
        <w:t xml:space="preserve">The relationship between MIPs and clinical as well as other factors remains complex in this population. </w:t>
      </w:r>
      <w:r w:rsidRPr="004D46AC">
        <w:rPr>
          <w:rFonts w:eastAsiaTheme="minorEastAsia"/>
        </w:rPr>
        <w:fldChar w:fldCharType="begin">
          <w:fldData xml:space="preserve">PEVuZE5vdGU+PENpdGUgQXV0aG9yWWVhcj0iMSI+PEF1dGhvcj5Hb2VzPC9BdXRob3I+PFllYXI+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PEVuZE5vdGU+PENpdGUgQXV0aG9yWWVhcj0iMSI+PEF1dGhvcj5Hb2VzPC9BdXRob3I+PFllYXI+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Goes et al. (2007)</w:t>
      </w:r>
      <w:r w:rsidRPr="004D46AC">
        <w:rPr>
          <w:rFonts w:eastAsiaTheme="minorEastAsia"/>
        </w:rPr>
        <w:fldChar w:fldCharType="end"/>
      </w:r>
      <w:r w:rsidRPr="004D46AC">
        <w:rPr>
          <w:rFonts w:eastAsiaTheme="minorEastAsia"/>
        </w:rPr>
        <w:t xml:space="preserve"> conducted a group-to-group comparison between bipolar patients with MIPs (</w:t>
      </w:r>
      <w:r w:rsidRPr="004D46AC">
        <w:rPr>
          <w:rFonts w:eastAsiaTheme="minorEastAsia"/>
          <w:i/>
          <w:iCs/>
        </w:rPr>
        <w:t>n</w:t>
      </w:r>
      <w:r w:rsidRPr="004D46AC">
        <w:rPr>
          <w:rFonts w:eastAsiaTheme="minorEastAsia"/>
        </w:rPr>
        <w:t xml:space="preserve"> = 291) and those with mood-congruent psychosis (n = 866). The MIP group exhibited a higher frequency of all modalities of hallucinations. Interestingly, </w:t>
      </w:r>
      <w:r w:rsidRPr="004D46AC">
        <w:rPr>
          <w:rFonts w:eastAsiaTheme="minorEastAsia"/>
        </w:rPr>
        <w:fldChar w:fldCharType="begin"/>
      </w:r>
      <w:r w:rsidRPr="004D46AC">
        <w:rPr>
          <w:rFonts w:eastAsiaTheme="minorEastAsia"/>
        </w:rPr>
        <w:instrText xml:space="preserve"> ADDIN EN.CITE &lt;EndNote&gt;&lt;Cite AuthorYear="1"&gt;&lt;Author&gt;Toni&lt;/Author&gt;&lt;Year&gt;2001&lt;/Year&gt;&lt;RecNum&gt;305&lt;/RecNum&gt;&lt;DisplayText&gt;Toni et al. (2001)&lt;/DisplayText&gt;&lt;record&gt;&lt;rec-number&gt;305&lt;/rec-number&gt;&lt;foreign-keys&gt;&lt;key app="EN" db-id="aet009sstawa0hewvt3xwf5atffdw2dt02sw" timestamp="1666500572"&gt;305&lt;/key&gt;&lt;/foreign-keys&gt;&lt;ref-type name="Journal Article"&gt;17&lt;/ref-type&gt;&lt;contributors&gt;&lt;authors&gt;&lt;author&gt;Toni, C.&lt;/author&gt;&lt;author&gt;Perugi, G.&lt;/author&gt;&lt;author&gt;Mata, B.&lt;/author&gt;&lt;author&gt;Madaro, D.&lt;/author&gt;&lt;author&gt;Maremmani, I.&lt;/author&gt;&lt;author&gt;Akiskal, H. S.&lt;/author&gt;&lt;/authors&gt;&lt;/contributors&gt;&lt;auth-address&gt;Department of Psychiatry, University of Pisa, Via Roma 67, 56100, Pisa, Italy.&lt;/auth-address&gt;&lt;titles&gt;&lt;title&gt;Is mood-incongruent manic psychosis a distinct subtype?&lt;/title&gt;&lt;secondary-title&gt;Eur Arch Psychiatry Clin Neurosci&lt;/secondary-title&gt;&lt;/titles&gt;&lt;periodical&gt;&lt;full-title&gt;Eur Arch Psychiatry Clin Neurosci&lt;/full-title&gt;&lt;/periodical&gt;&lt;pages&gt;12-7&lt;/pages&gt;&lt;volume&gt;251&lt;/volume&gt;&lt;number&gt;1&lt;/number&gt;&lt;keywords&gt;&lt;keyword&gt;Adolescent&lt;/keyword&gt;&lt;keyword&gt;Adult&lt;/keyword&gt;&lt;keyword&gt;Aged&lt;/keyword&gt;&lt;keyword&gt;Bipolar Disorder/classification/*diagnosis/psychology&lt;/keyword&gt;&lt;keyword&gt;Diagnosis, Differential&lt;/keyword&gt;&lt;keyword&gt;Female&lt;/keyword&gt;&lt;keyword&gt;Humans&lt;/keyword&gt;&lt;keyword&gt;Male&lt;/keyword&gt;&lt;keyword&gt;Middle Aged&lt;/keyword&gt;&lt;keyword&gt;Psychiatric Status Rating Scales&lt;/keyword&gt;&lt;keyword&gt;Psychotic Disorders/classification/*diagnosis/psychology&lt;/keyword&gt;&lt;/keywords&gt;&lt;dates&gt;&lt;year&gt;2001&lt;/year&gt;&lt;/dates&gt;&lt;isbn&gt;0940-1334 (Print)&amp;#xD;0940-1334 (Linking)&lt;/isbn&gt;&lt;accession-num&gt;11315512&lt;/accession-num&gt;&lt;urls&gt;&lt;related-urls&gt;&lt;url&gt;https://www.ncbi.nlm.nih.gov/pubmed/11315512&lt;/url&gt;&lt;/related-urls&gt;&lt;/urls&gt;&lt;electronic-resource-num&gt;10.1007/s004060170061&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Toni et al. (2001)</w:t>
      </w:r>
      <w:r w:rsidRPr="004D46AC">
        <w:rPr>
          <w:rFonts w:eastAsiaTheme="minorEastAsia"/>
        </w:rPr>
        <w:fldChar w:fldCharType="end"/>
      </w:r>
      <w:r w:rsidRPr="004D46AC">
        <w:rPr>
          <w:rFonts w:eastAsiaTheme="minorEastAsia"/>
        </w:rPr>
        <w:t xml:space="preserve"> found similar findings in different mood incongruent delusions, which higher frequency was observed in bipolar patients with MIPs. Similar finding was reported elsewhere </w:t>
      </w:r>
      <w:r w:rsidRPr="004D46AC">
        <w:rPr>
          <w:rFonts w:eastAsiaTheme="minorEastAsia"/>
        </w:rPr>
        <w:fldChar w:fldCharType="begin">
          <w:fldData xml:space="preserve">PEVuZE5vdGU+PENpdGU+PEF1dGhvcj5FbG93ZTwvQXV0aG9yPjxZZWFyPjIwMjI8L1llYXI+PFJl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PEVuZE5vdGU+PENpdGU+PEF1dGhvcj5FbG93ZTwvQXV0aG9yPjxZZWFyPjIwMjI8L1llYXI+PFJl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(Elowe et al., 2022)</w:t>
      </w:r>
      <w:r w:rsidRPr="004D46AC">
        <w:rPr>
          <w:rFonts w:eastAsiaTheme="minorEastAsia"/>
        </w:rPr>
        <w:fldChar w:fldCharType="end"/>
      </w:r>
      <w:r w:rsidRPr="004D46AC">
        <w:rPr>
          <w:rFonts w:eastAsiaTheme="minorEastAsia"/>
        </w:rPr>
        <w:t xml:space="preserve">. However, findings regarding effects of some demographic or clinical factors remains inconsistent. For example, the effects of female gender, manic episode or symptoms, age of onset were inconsistent across studies </w:t>
      </w:r>
      <w:r w:rsidRPr="004D46AC">
        <w:rPr>
          <w:rFonts w:eastAsiaTheme="minorEastAsia"/>
        </w:rPr>
        <w:fldChar w:fldCharType="begin">
          <w:fldData xml:space="preserve">PEVuZE5vdGU+PENpdGU+PEF1dGhvcj5GZW5uaWc8L0F1dGhvcj48WWVhcj4xOTk2PC9ZZWFyPjxS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PEVuZE5vdGU+PENpdGU+PEF1dGhvcj5GZW5uaWc8L0F1dGhvcj48WWVhcj4xOTk2PC9ZZWFyPjxS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(Carlson et al., 2012; Fennig et al., 1996; Gaudiano et al., 2007; Goes et al., 2007; Gonzalez-Pinto et al., 1998)</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Along with evidence supporting its poor prognosis </w:t>
      </w:r>
      <w:r w:rsidRPr="004D46AC">
        <w:rPr>
          <w:rFonts w:eastAsiaTheme="minorEastAsia"/>
        </w:rPr>
        <w:fldChar w:fldCharType="begin">
          <w:fldData xml:space="preserve">PEVuZE5vdGU+PENpdGU+PEF1dGhvcj5DYXJsc29uPC9BdXRob3I+PFllYXI+MjAxMjwvWWVhcj48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=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PEVuZE5vdGU+PENpdGU+PEF1dGhvcj5DYXJsc29uPC9BdXRob3I+PFllYXI+MjAxMjwvWWVhcj48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=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(Carlson et al., 2012)</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MIP is therefore, </w:t>
      </w:r>
      <w:proofErr w:type="gramStart"/>
      <w:r w:rsidRPr="004D46AC">
        <w:rPr>
          <w:rFonts w:eastAsiaTheme="minorEastAsia"/>
        </w:rPr>
        <w:t>similar to</w:t>
      </w:r>
      <w:proofErr w:type="gramEnd"/>
      <w:r w:rsidRPr="004D46AC">
        <w:rPr>
          <w:rFonts w:eastAsiaTheme="minorEastAsia"/>
        </w:rPr>
        <w:t xml:space="preserve"> FRS, an indicator of severity for bipolar disorder. The mechanisms of mania, illness course, and female gender as well as corresponding MIPs remain unclear, which warrant further investigations.</w:t>
      </w:r>
    </w:p>
    <w:p w14:paraId="7866BC55" w14:textId="77777777" w:rsidR="003D5CB6" w:rsidRPr="004D46AC" w:rsidRDefault="003D5CB6" w:rsidP="00B518F1">
      <w:pPr>
        <w:rPr>
          <w:rFonts w:eastAsiaTheme="minorEastAsia"/>
        </w:rPr>
      </w:pPr>
      <w:r w:rsidRPr="004D46AC">
        <w:rPr>
          <w:rFonts w:eastAsiaTheme="minorEastAsia"/>
        </w:rPr>
        <w:t xml:space="preserve">Unlike studies conducted prior to 1980, nearly all aspects of psychotic features can now be examined comprehensively using advanced statistical techniques and research methodologies. Given the substantial overlap between bipolar disorder and schizophrenia, it is essential to evaluate this overlap in detail across specific symptoms. Features such as delusions, hallucinations, disorganised thought, and negative symptoms as well as mood symptoms have been systematically examined in patients with these psychoses. However, </w:t>
      </w:r>
      <w:r w:rsidRPr="004D46AC">
        <w:rPr>
          <w:rFonts w:eastAsiaTheme="minorEastAsia"/>
        </w:rPr>
        <w:lastRenderedPageBreak/>
        <w:t>findings from studies over the past two decades comparing these features - whether mood-congruent or not - continue to show significant inconsistencies.</w:t>
      </w:r>
    </w:p>
    <w:p w14:paraId="1853F6CD" w14:textId="77777777" w:rsidR="003D5CB6" w:rsidRPr="004D46AC" w:rsidRDefault="003D5CB6" w:rsidP="00B518F1">
      <w:pPr>
        <w:pStyle w:val="5"/>
      </w:pPr>
      <w:r w:rsidRPr="004D46AC">
        <w:t>Dimensional comparisons</w:t>
      </w:r>
    </w:p>
    <w:p w14:paraId="682FDBEE" w14:textId="77777777" w:rsidR="003D5CB6" w:rsidRPr="004D46AC" w:rsidRDefault="003D5CB6" w:rsidP="00B518F1">
      <w:pPr>
        <w:rPr>
          <w:rFonts w:eastAsiaTheme="minorEastAsia"/>
        </w:rPr>
      </w:pPr>
      <w:r w:rsidRPr="004D46AC">
        <w:rPr>
          <w:rFonts w:eastAsiaTheme="minorEastAsia"/>
        </w:rPr>
        <w:fldChar w:fldCharType="begin">
          <w:fldData xml:space="preserve">PEVuZE5vdGU+PENpdGUgQXV0aG9yWWVhcj0iMSI+PEF1dGhvcj5UYW1taW5nYTwvQXV0aG9yPjxZ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PEVuZE5vdGU+PENpdGUgQXV0aG9yWWVhcj0iMSI+PEF1dGhvcj5UYW1taW5nYTwvQXV0aG9yPjxZ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Tamminga et al. (2013)</w:t>
      </w:r>
      <w:r w:rsidRPr="004D46AC">
        <w:rPr>
          <w:rFonts w:eastAsiaTheme="minorEastAsia"/>
        </w:rPr>
        <w:fldChar w:fldCharType="end"/>
      </w:r>
      <w:r w:rsidRPr="004D46AC">
        <w:t xml:space="preserve"> </w:t>
      </w:r>
      <w:r w:rsidRPr="004D46AC">
        <w:rPr>
          <w:rFonts w:eastAsiaTheme="minorEastAsia"/>
        </w:rPr>
        <w:t>examined the dimensional differences in psychotic and mood symptoms among clinically stable patients with bipolar disorder (</w:t>
      </w:r>
      <w:r w:rsidRPr="004D46AC">
        <w:rPr>
          <w:rFonts w:eastAsiaTheme="minorEastAsia"/>
          <w:i/>
          <w:iCs/>
        </w:rPr>
        <w:t>n</w:t>
      </w:r>
      <w:r w:rsidRPr="004D46AC">
        <w:rPr>
          <w:rFonts w:eastAsiaTheme="minorEastAsia"/>
        </w:rPr>
        <w:t xml:space="preserve"> = 312), schizoaffective disorder (</w:t>
      </w:r>
      <w:r w:rsidRPr="004D46AC">
        <w:rPr>
          <w:rFonts w:eastAsiaTheme="minorEastAsia"/>
          <w:i/>
          <w:iCs/>
        </w:rPr>
        <w:t>n</w:t>
      </w:r>
      <w:r w:rsidRPr="004D46AC">
        <w:rPr>
          <w:rFonts w:eastAsiaTheme="minorEastAsia"/>
        </w:rPr>
        <w:t xml:space="preserve"> = 224), and schizophrenia (</w:t>
      </w:r>
      <w:r w:rsidRPr="004D46AC">
        <w:rPr>
          <w:rFonts w:eastAsiaTheme="minorEastAsia"/>
          <w:i/>
          <w:iCs/>
        </w:rPr>
        <w:t>n</w:t>
      </w:r>
      <w:r w:rsidRPr="004D46AC">
        <w:rPr>
          <w:rFonts w:eastAsiaTheme="minorEastAsia"/>
        </w:rPr>
        <w:t xml:space="preserve"> = 397) using the Positive and Negative Syndrome Scale (PANSS), the Young Mania Rating Scale (YMRS), and the Montgomery-</w:t>
      </w:r>
      <w:proofErr w:type="spellStart"/>
      <w:r w:rsidRPr="004D46AC">
        <w:rPr>
          <w:rFonts w:eastAsiaTheme="minorEastAsia"/>
        </w:rPr>
        <w:t>Åsberg</w:t>
      </w:r>
      <w:proofErr w:type="spellEnd"/>
      <w:r w:rsidRPr="004D46AC">
        <w:rPr>
          <w:rFonts w:eastAsiaTheme="minorEastAsia"/>
        </w:rPr>
        <w:t xml:space="preserve"> Depression Rating Scale (MADRS). The PANSS results indicated that patients with schizophrenia experienced more severe psychotic symptoms and general psychopathology compared to those with bipolar disorder. In contrast, the YMRS and MADRS scores suggested no significant differences in the severity of mood symptoms between the two disorders. However, these findings have not been consistently replicated across studies. For example,</w:t>
      </w:r>
      <w:r w:rsidRPr="004D46AC">
        <w:t xml:space="preserve"> </w:t>
      </w:r>
      <w:r w:rsidRPr="004D46AC">
        <w:fldChar w:fldCharType="begin">
          <w:fldData xml:space="preserve">PEVuZE5vdGU+PENpdGUgQXV0aG9yWWVhcj0iMSI+PEF1dGhvcj5ZdTwvQXV0aG9yPjxZZWFyPjIw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</w:fldData>
        </w:fldChar>
      </w:r>
      <w:r w:rsidRPr="004D46AC">
        <w:instrText xml:space="preserve"> ADDIN EN.CITE </w:instrText>
      </w:r>
      <w:r w:rsidRPr="004D46AC">
        <w:fldChar w:fldCharType="begin">
          <w:fldData xml:space="preserve">PEVuZE5vdGU+PENpdGUgQXV0aG9yWWVhcj0iMSI+PEF1dGhvcj5ZdTwvQXV0aG9yPjxZZWFyPjIw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</w:fldData>
        </w:fldChar>
      </w:r>
      <w:r w:rsidRPr="004D46AC">
        <w:instrText xml:space="preserve"> ADDIN EN.CITE.DATA </w:instrText>
      </w:r>
      <w:r w:rsidRPr="004D46AC">
        <w:fldChar w:fldCharType="end"/>
      </w:r>
      <w:r w:rsidRPr="004D46AC">
        <w:fldChar w:fldCharType="separate"/>
      </w:r>
      <w:r w:rsidRPr="004D46AC">
        <w:t>Yu et al. (2023)</w:t>
      </w:r>
      <w:r w:rsidRPr="004D46AC">
        <w:fldChar w:fldCharType="end"/>
      </w:r>
      <w:r w:rsidRPr="004D46AC">
        <w:rPr>
          <w:rFonts w:eastAsiaTheme="minorEastAsia"/>
        </w:rPr>
        <w:t xml:space="preserve"> reported more severe mood symptoms in bipolar disorder compared to schizophrenia, while </w:t>
      </w:r>
      <w:r w:rsidRPr="004D46AC">
        <w:rPr>
          <w:rFonts w:eastAsiaTheme="minorEastAsia"/>
        </w:rPr>
        <w:fldChar w:fldCharType="begin">
          <w:fldData xml:space="preserve">PEVuZE5vdGU+PENpdGUgQXV0aG9yWWVhcj0iMSI+PEF1dGhvcj5TaW1vbnNlbjwvQXV0aG9yPjxZ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PEVuZE5vdGU+PENpdGUgQXV0aG9yWWVhcj0iMSI+PEF1dGhvcj5TaW1vbnNlbjwvQXV0aG9yPjxZ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Simonsen et al. (2010)</w:t>
      </w:r>
      <w:r w:rsidRPr="004D46AC">
        <w:rPr>
          <w:rFonts w:eastAsiaTheme="minorEastAsia"/>
        </w:rPr>
        <w:fldChar w:fldCharType="end"/>
      </w:r>
      <w:r w:rsidRPr="004D46AC">
        <w:rPr>
          <w:rFonts w:eastAsiaTheme="minorEastAsia"/>
        </w:rPr>
        <w:t xml:space="preserve"> observed greater severity of manic symptoms in patients with schizophrenia. Similarly, </w:t>
      </w:r>
      <w:r w:rsidRPr="004D46AC">
        <w:rPr>
          <w:rFonts w:eastAsiaTheme="minorEastAsia"/>
        </w:rPr>
        <w:fldChar w:fldCharType="begin">
          <w:fldData xml:space="preserve">PEVuZE5vdGU+PENpdGUgQXV0aG9yWWVhcj0iMSI+PEF1dGhvcj5NZWxjaGVyPC9BdXRob3I+PFll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PEVuZE5vdGU+PENpdGUgQXV0aG9yWWVhcj0iMSI+PEF1dGhvcj5NZWxjaGVyPC9BdXRob3I+PFll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Melcher et al. (2014)</w:t>
      </w:r>
      <w:r w:rsidRPr="004D46AC">
        <w:rPr>
          <w:rFonts w:eastAsiaTheme="minorEastAsia"/>
        </w:rPr>
        <w:fldChar w:fldCharType="end"/>
      </w:r>
      <w:r w:rsidRPr="004D46AC">
        <w:rPr>
          <w:rFonts w:eastAsiaTheme="minorEastAsia"/>
        </w:rPr>
        <w:t xml:space="preserve"> found that PANSS-rated negative symptoms were comparable between the two disorders. Despite some heterogeneity in these findings, the positive symptoms are generally more severe in patients with schizophrenia than bipolar disorder. </w:t>
      </w:r>
    </w:p>
    <w:p w14:paraId="0F1521EA" w14:textId="77777777" w:rsidR="003D5CB6" w:rsidRPr="004D46AC" w:rsidRDefault="003D5CB6" w:rsidP="00B518F1">
      <w:pPr>
        <w:pStyle w:val="5"/>
      </w:pPr>
      <w:r w:rsidRPr="004D46AC">
        <w:t xml:space="preserve">Delusions </w:t>
      </w:r>
    </w:p>
    <w:p w14:paraId="38C2C96D" w14:textId="77777777" w:rsidR="003D5CB6" w:rsidRPr="004D46AC" w:rsidRDefault="003D5CB6" w:rsidP="00B518F1">
      <w:pPr>
        <w:rPr>
          <w:rFonts w:eastAsiaTheme="minorEastAsia"/>
        </w:rPr>
      </w:pPr>
      <w:r w:rsidRPr="004D46AC">
        <w:rPr>
          <w:rFonts w:eastAsiaTheme="minorEastAsia"/>
        </w:rPr>
        <w:t xml:space="preserve">Delusions might be the most prominent positive symptoms in bipolar patients. Indeed, the median lifetime prevalence was 71% in bipolar patients, and the median point prevalence was 49% </w:t>
      </w:r>
      <w:r w:rsidRPr="004D46AC">
        <w:rPr>
          <w:rFonts w:eastAsiaTheme="minorEastAsia"/>
        </w:rPr>
        <w:fldChar w:fldCharType="begin"/>
      </w:r>
      <w:r w:rsidRPr="004D46AC">
        <w:rPr>
          <w:rFonts w:eastAsiaTheme="minorEastAsia"/>
        </w:rPr>
        <w:instrText xml:space="preserve"> ADDIN EN.CITE &lt;EndNote&gt;&lt;Cite&gt;&lt;Author&gt;Chakrabarti&lt;/Author&gt;&lt;Year&gt;2022&lt;/Year&gt;&lt;RecNum&gt;430&lt;/RecNum&gt;&lt;DisplayText&gt;(Chakrabarti &amp;amp;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(Chakrabarti &amp; Singh, 2022)</w:t>
      </w:r>
      <w:r w:rsidRPr="004D46AC">
        <w:rPr>
          <w:rFonts w:eastAsiaTheme="minorEastAsia"/>
        </w:rPr>
        <w:fldChar w:fldCharType="end"/>
      </w:r>
      <w:r w:rsidRPr="004D46AC">
        <w:rPr>
          <w:rFonts w:eastAsiaTheme="minorEastAsia"/>
        </w:rPr>
        <w:t xml:space="preserve">. Bipolar patients with manic episode exhibited highest median lifetime (77%) and point prevalence (62%), while the depressive episode was much lower, reflected by prevalence of 16% and 22%. Given its high prevalence in bipolar patients, several studies have compared the psychopathology of delusions in bipolar disorder with that of schizophrenia. </w:t>
      </w:r>
      <w:r w:rsidRPr="004D46AC">
        <w:rPr>
          <w:rFonts w:eastAsiaTheme="minorEastAsia"/>
        </w:rPr>
        <w:fldChar w:fldCharType="begin"/>
      </w:r>
      <w:r w:rsidRPr="004D46AC">
        <w:rPr>
          <w:rFonts w:eastAsiaTheme="minorEastAsia"/>
        </w:rPr>
        <w:instrText xml:space="preserve"> ADDIN EN.CITE &lt;EndNote&gt;&lt;Cite AuthorYear="1"&gt;&lt;Author&gt;Turgut&lt;/Author&gt;&lt;Year&gt;2013&lt;/Year&gt;&lt;RecNum&gt;839&lt;/RecNum&gt;&lt;DisplayText&gt;Turgut and Yenilmez (2013)&lt;/DisplayText&gt;&lt;record&gt;&lt;rec-number&gt;839&lt;/rec-number&gt;&lt;foreign-keys&gt;&lt;key app="EN" db-id="aet009sstawa0hewvt3xwf5atffdw2dt02sw" timestamp="1736929937"&gt;839&lt;/key&gt;&lt;/foreign-keys&gt;&lt;ref-type name="Journal Article"&gt;17&lt;/ref-type&gt;&lt;contributors&gt;&lt;authors&gt;&lt;author&gt;Turgut, Hulya&lt;/author&gt;&lt;author&gt;Yenilmez, Cinar&lt;/author&gt;&lt;/authors&gt;&lt;/contributors&gt;&lt;titles&gt;&lt;title&gt;Relationship among the types of delusions and sociodemographic and clinical characteristics of patients with schizophrenia and acute manic with psychotic features&lt;/title&gt;&lt;secondary-title&gt;Anatolian Journal of Psychiatry&lt;/secondary-title&gt;&lt;/titles&gt;&lt;pages&gt;291-301&lt;/pages&gt;&lt;volume&gt;14&lt;/volume&gt;&lt;number&gt;4&lt;/number&gt;&lt;section&gt;291&lt;/section&gt;&lt;dates&gt;&lt;year&gt;2013&lt;/year&gt;&lt;pub-dates&gt;&lt;date&gt;Dec&lt;/date&gt;&lt;/pub-dates&gt;&lt;/dates&gt;&lt;isbn&gt;1302-6631&lt;/isbn&gt;&lt;accession-num&gt;WOS:000329925400001&lt;/accession-num&gt;&lt;urls&gt;&lt;related-urls&gt;&lt;url&gt;&amp;lt;Go to ISI&amp;gt;://WOS:000329925400001&lt;/url&gt;&lt;/related-urls&gt;&lt;/urls&gt;&lt;electronic-resource-num&gt;10.5455/apd.43671&lt;/electronic-resource-num&gt;&lt;/record&gt;&lt;/Cite&gt;&lt;/EndNote&gt;</w:instrText>
      </w:r>
      <w:r w:rsidRPr="004D46AC">
        <w:rPr>
          <w:rFonts w:eastAsiaTheme="minorEastAsia"/>
        </w:rPr>
        <w:fldChar w:fldCharType="separate"/>
      </w:r>
      <w:r w:rsidRPr="004D46AC">
        <w:rPr>
          <w:rFonts w:eastAsiaTheme="minorEastAsia"/>
        </w:rPr>
        <w:t>Turgut and Yenilmez (2013)</w:t>
      </w:r>
      <w:r w:rsidRPr="004D46AC">
        <w:rPr>
          <w:rFonts w:eastAsiaTheme="minorEastAsia"/>
        </w:rPr>
        <w:fldChar w:fldCharType="end"/>
      </w:r>
      <w:r w:rsidRPr="004D46AC">
        <w:rPr>
          <w:rFonts w:eastAsiaTheme="minorEastAsia"/>
        </w:rPr>
        <w:t xml:space="preserve"> examined the frequency of various types of delusions in patients with schizophrenia (</w:t>
      </w:r>
      <w:r w:rsidRPr="004D46AC">
        <w:rPr>
          <w:rFonts w:eastAsiaTheme="minorEastAsia"/>
          <w:i/>
          <w:iCs/>
        </w:rPr>
        <w:t>n</w:t>
      </w:r>
      <w:r w:rsidRPr="004D46AC">
        <w:rPr>
          <w:rFonts w:eastAsiaTheme="minorEastAsia"/>
        </w:rPr>
        <w:t xml:space="preserve"> = 105) and acute mania (</w:t>
      </w:r>
      <w:r w:rsidRPr="004D46AC">
        <w:rPr>
          <w:rFonts w:eastAsiaTheme="minorEastAsia"/>
          <w:i/>
          <w:iCs/>
        </w:rPr>
        <w:t>n</w:t>
      </w:r>
      <w:r w:rsidRPr="004D46AC">
        <w:rPr>
          <w:rFonts w:eastAsiaTheme="minorEastAsia"/>
        </w:rPr>
        <w:t xml:space="preserve"> = 72). Their findings indicated that persecutory delusions were the </w:t>
      </w:r>
      <w:r w:rsidRPr="004D46AC">
        <w:rPr>
          <w:rFonts w:eastAsiaTheme="minorEastAsia"/>
        </w:rPr>
        <w:lastRenderedPageBreak/>
        <w:t>most common in both groups, occurring in 85.7% of schizophrenia patients and 63.9% of bipolar patients, with no significant difference in distribution between the groups. However, significant between-group differences were observed for reference and grandiose delusions: schizophrenia patients (</w:t>
      </w:r>
      <w:r w:rsidRPr="004D46AC">
        <w:rPr>
          <w:rFonts w:eastAsiaTheme="minorEastAsia"/>
          <w:i/>
          <w:iCs/>
        </w:rPr>
        <w:t>n</w:t>
      </w:r>
      <w:r w:rsidRPr="004D46AC">
        <w:rPr>
          <w:rFonts w:eastAsiaTheme="minorEastAsia"/>
        </w:rPr>
        <w:t xml:space="preserve"> = 40) were more likely to exhibit delusions of reference (55.2%), while bipolar patients (</w:t>
      </w:r>
      <w:r w:rsidRPr="004D46AC">
        <w:rPr>
          <w:rFonts w:eastAsiaTheme="minorEastAsia"/>
          <w:i/>
          <w:iCs/>
        </w:rPr>
        <w:t>n</w:t>
      </w:r>
      <w:r w:rsidRPr="004D46AC">
        <w:rPr>
          <w:rFonts w:eastAsiaTheme="minorEastAsia"/>
        </w:rPr>
        <w:t xml:space="preserve"> = 40) more commonly presented with grandiose delusions (38.9%). In addition, </w:t>
      </w:r>
      <w:r w:rsidRPr="004D46AC">
        <w:rPr>
          <w:rFonts w:eastAsiaTheme="minorEastAsia"/>
        </w:rPr>
        <w:fldChar w:fldCharType="begin"/>
      </w:r>
      <w:r w:rsidRPr="004D46AC">
        <w:rPr>
          <w:rFonts w:eastAsiaTheme="minorEastAsia"/>
        </w:rPr>
        <w:instrText xml:space="preserve"> ADDIN EN.CITE &lt;EndNote&gt;&lt;Cite AuthorYear="1"&gt;&lt;Author&gt;Azzam&lt;/Author&gt;&lt;Year&gt;2020&lt;/Year&gt;&lt;RecNum&gt;450&lt;/RecNum&gt;&lt;DisplayText&gt;Azzam et al. (2020)&lt;/DisplayText&gt;&lt;record&gt;&lt;rec-number&gt;450&lt;/rec-number&gt;&lt;foreign-keys&gt;&lt;key app="EN" db-id="aet009sstawa0hewvt3xwf5atffdw2dt02sw" timestamp="1702569957"&gt;450&lt;/key&gt;&lt;/foreign-keys&gt;&lt;ref-type name="Journal Article"&gt;17&lt;/ref-type&gt;&lt;contributors&gt;&lt;authors&gt;&lt;author&gt;Azzam, HME&lt;/author&gt;&lt;author&gt;Hamed, MA&lt;/author&gt;&lt;author&gt;Elhawary, YA&lt;/author&gt;&lt;author&gt;Mohammed, AHA&lt;/author&gt;&lt;/authors&gt;&lt;/contributors&gt;&lt;titles&gt;&lt;title&gt;Delusions in a Sample of Patients with Schizophrenia and Bipolar Disorder: The same or different?&lt;/title&gt;&lt;secondary-title&gt;QJM: An International Journal of Medicine&lt;/secondary-title&gt;&lt;/titles&gt;&lt;periodical&gt;&lt;full-title&gt;QJM: An International Journal of Medicine&lt;/full-title&gt;&lt;/periodical&gt;&lt;volume&gt;113&lt;/volume&gt;&lt;dates&gt;&lt;year&gt;2020&lt;/year&gt;&lt;/dates&gt;&lt;isbn&gt;1460-2725&lt;/isbn&gt;&lt;urls&gt;&lt;/urls&gt;&lt;/record&gt;&lt;/Cite&gt;&lt;/EndNote&gt;</w:instrText>
      </w:r>
      <w:r w:rsidRPr="004D46AC">
        <w:rPr>
          <w:rFonts w:eastAsiaTheme="minorEastAsia"/>
        </w:rPr>
        <w:fldChar w:fldCharType="separate"/>
      </w:r>
      <w:r w:rsidRPr="004D46AC">
        <w:rPr>
          <w:rFonts w:eastAsiaTheme="minorEastAsia"/>
        </w:rPr>
        <w:t>Azzam et al. (2020)</w:t>
      </w:r>
      <w:r w:rsidRPr="004D46AC">
        <w:rPr>
          <w:rFonts w:eastAsiaTheme="minorEastAsia"/>
        </w:rPr>
        <w:fldChar w:fldCharType="end"/>
      </w:r>
      <w:r w:rsidRPr="004D46AC">
        <w:rPr>
          <w:rFonts w:eastAsiaTheme="minorEastAsia"/>
        </w:rPr>
        <w:t xml:space="preserve"> found that delusions in bipolar patients were more monothematic (e.g., single theme, logically consistent, stable) and align with mood, while schizophrenia patients feature the delusions that are non-systematic (e.g., disorganised, bizarre, and less stable) and mood incongruent.</w:t>
      </w:r>
      <w:r w:rsidRPr="004D46AC">
        <w:t xml:space="preserve"> </w:t>
      </w:r>
      <w:r w:rsidRPr="004D46AC">
        <w:rPr>
          <w:rFonts w:eastAsiaTheme="minorEastAsia"/>
        </w:rPr>
        <w:t xml:space="preserve">However, this pattern is less consistent across studies. For example, the Australian national psychosis study applied Operational Criteria for Psychosis (OPCRIT) and found that schizophrenia patients exhibited higher frequency of most delusions, except for nihilistic and poverty delusions, than bipolar patients </w:t>
      </w:r>
      <w:r w:rsidRPr="004D46AC">
        <w:rPr>
          <w:rFonts w:eastAsiaTheme="minorEastAsia"/>
        </w:rPr>
        <w:fldChar w:fldCharType="begin">
          <w:fldData xml:space="preserve">PEVuZE5vdGU+PENpdGU+PEF1dGhvcj5Ub2g8L0F1dGhvcj48WWVhcj4yMDE2PC9ZZWFyPjxSZWNO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PEVuZE5vdGU+PENpdGU+PEF1dGhvcj5Ub2g8L0F1dGhvcj48WWVhcj4yMDE2PC9ZZWFyPjxSZWNO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(Toh et al., 2016)</w:t>
      </w:r>
      <w:r w:rsidRPr="004D46AC">
        <w:rPr>
          <w:rFonts w:eastAsiaTheme="minorEastAsia"/>
        </w:rPr>
        <w:fldChar w:fldCharType="end"/>
      </w:r>
      <w:r w:rsidRPr="004D46AC">
        <w:rPr>
          <w:rFonts w:eastAsiaTheme="minorEastAsia"/>
        </w:rPr>
        <w:t xml:space="preserve">; </w:t>
      </w:r>
      <w:r w:rsidRPr="004D46AC">
        <w:rPr>
          <w:rFonts w:eastAsiaTheme="minorEastAsia"/>
        </w:rPr>
        <w:fldChar w:fldCharType="begin">
          <w:fldData xml:space="preserve">PEVuZE5vdGU+PENpdGUgQXV0aG9yWWVhcj0iMSI+PEF1dGhvcj5QaW5pPC9BdXRob3I+PFllYXI+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PEVuZE5vdGU+PENpdGUgQXV0aG9yWWVhcj0iMSI+PEF1dGhvcj5QaW5pPC9BdXRob3I+PFllYXI+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Pini et al. (2004)</w:t>
      </w:r>
      <w:r w:rsidRPr="004D46AC">
        <w:rPr>
          <w:rFonts w:eastAsiaTheme="minorEastAsia"/>
        </w:rPr>
        <w:fldChar w:fldCharType="end"/>
      </w:r>
      <w:r w:rsidRPr="004D46AC">
        <w:rPr>
          <w:rFonts w:eastAsiaTheme="minorEastAsia"/>
        </w:rPr>
        <w:t xml:space="preserve"> examined overall psychopathology in 46 patients with schizophrenia and individuals experiencing mania or mixed mania episodes with MIPs. Assessed using the Structured Clinical Interview for DSM-IV (SCID), grandiosity was the only delusion that differed significantly between the groups, being more prevalent in patients with mania or mixed mania episodes. Other delusions, such as bizarre delusions and thought broadcasting, were comparable between the groups. Similarly, no significant differences were found between the groups in an Italian study using the Peters et al Delusions Inventory (PDI) </w:t>
      </w:r>
      <w:r w:rsidRPr="004D46AC">
        <w:rPr>
          <w:rFonts w:eastAsiaTheme="minorEastAsia"/>
        </w:rPr>
        <w:fldChar w:fldCharType="begin">
          <w:fldData xml:space="preserve">PEVuZE5vdGU+PENpdGU+PEF1dGhvcj5QcmV0aTwvQXV0aG9yPjxZZWFyPjIwMDc8L1llYXI+PFJl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==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PEVuZE5vdGU+PENpdGU+PEF1dGhvcj5QcmV0aTwvQXV0aG9yPjxZZWFyPjIwMDc8L1llYXI+PFJl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==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(Preti et al., 2007)</w:t>
      </w:r>
      <w:r w:rsidRPr="004D46AC">
        <w:rPr>
          <w:rFonts w:eastAsiaTheme="minorEastAsia"/>
        </w:rPr>
        <w:fldChar w:fldCharType="end"/>
      </w:r>
      <w:r w:rsidRPr="004D46AC">
        <w:rPr>
          <w:rFonts w:eastAsiaTheme="minorEastAsia"/>
        </w:rPr>
        <w:t xml:space="preserve">, which measures the frequency of delusional ideation in the general population. Another study using the PDI and found inconsistent finding </w:t>
      </w:r>
      <w:r w:rsidRPr="004D46AC">
        <w:rPr>
          <w:rFonts w:eastAsiaTheme="minorEastAsia"/>
        </w:rPr>
        <w:fldChar w:fldCharType="begin">
          <w:fldData xml:space="preserve">PEVuZE5vdGU+PENpdGU+PEF1dGhvcj5DaGl1PC9BdXRob3I+PFllYXI+MjAyNDwvWWVhcj48UmVj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PEVuZE5vdGU+PENpdGU+PEF1dGhvcj5DaGl1PC9BdXRob3I+PFllYXI+MjAyNDwvWWVhcj48UmVj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(Chiu et al., 2024)</w:t>
      </w:r>
      <w:r w:rsidRPr="004D46AC">
        <w:rPr>
          <w:rFonts w:eastAsiaTheme="minorEastAsia"/>
        </w:rPr>
        <w:fldChar w:fldCharType="end"/>
      </w:r>
      <w:r w:rsidRPr="004D46AC">
        <w:rPr>
          <w:rFonts w:eastAsiaTheme="minorEastAsia"/>
        </w:rPr>
        <w:t>, which the bipolar patients (</w:t>
      </w:r>
      <w:r w:rsidRPr="004D46AC">
        <w:rPr>
          <w:rFonts w:eastAsiaTheme="minorEastAsia"/>
          <w:i/>
          <w:iCs/>
        </w:rPr>
        <w:t>n</w:t>
      </w:r>
      <w:r w:rsidRPr="004D46AC">
        <w:rPr>
          <w:rFonts w:eastAsiaTheme="minorEastAsia"/>
        </w:rPr>
        <w:t xml:space="preserve"> = 32) exhibited higher PDI scores than individuals suffered from schizophrenia (</w:t>
      </w:r>
      <w:r w:rsidRPr="004D46AC">
        <w:rPr>
          <w:rFonts w:eastAsiaTheme="minorEastAsia"/>
          <w:i/>
          <w:iCs/>
        </w:rPr>
        <w:t>n</w:t>
      </w:r>
      <w:r w:rsidRPr="004D46AC">
        <w:rPr>
          <w:rFonts w:eastAsiaTheme="minorEastAsia"/>
        </w:rPr>
        <w:t xml:space="preserve"> = 43). </w:t>
      </w:r>
    </w:p>
    <w:p w14:paraId="23B63603" w14:textId="77777777" w:rsidR="003D5CB6" w:rsidRPr="004D46AC" w:rsidRDefault="003D5CB6" w:rsidP="00B518F1">
      <w:pPr>
        <w:rPr>
          <w:rFonts w:eastAsiaTheme="minorEastAsia"/>
        </w:rPr>
      </w:pPr>
      <w:r w:rsidRPr="004D46AC">
        <w:rPr>
          <w:rFonts w:eastAsiaTheme="minorEastAsia"/>
        </w:rPr>
        <w:t xml:space="preserve">Regarding the course of delusions, findings indicate that delusions in 67 schizophrenia patients were more consistent across three time points over an eight-year period, with the prevalence of full delusions at all three time points being higher than in 46 bipolar or unipolar psychotic patients </w:t>
      </w:r>
      <w:r w:rsidRPr="004D46AC">
        <w:rPr>
          <w:rFonts w:eastAsiaTheme="minorEastAsia"/>
        </w:rPr>
        <w:fldChar w:fldCharType="begin"/>
      </w:r>
      <w:r w:rsidRPr="004D46AC">
        <w:rPr>
          <w:rFonts w:eastAsiaTheme="minorEastAsia"/>
        </w:rPr>
        <w:instrText xml:space="preserve"> ADDIN EN.CITE &lt;EndNote&gt;&lt;Cite&gt;&lt;Author&gt;Harrow&lt;/Author&gt;&lt;Year&gt;1995&lt;/Year&gt;&lt;RecNum&gt;840&lt;/RecNum&gt;&lt;DisplayText&gt;(Harrow et al., 1995)&lt;/DisplayText&gt;&lt;record&gt;&lt;rec-number&gt;840&lt;/rec-number&gt;&lt;foreign-keys&gt;&lt;key app="EN" db-id="aet009sstawa0hewvt3xwf5atffdw2dt02sw" timestamp="1736935352"&gt;840&lt;/key&gt;&lt;/foreign-keys&gt;&lt;ref-type name="Journal Article"&gt;17&lt;/ref-type&gt;&lt;contributors&gt;&lt;authors&gt;&lt;author&gt;Harrow, M.&lt;/author&gt;&lt;author&gt;MacDonald, A. W., 3rd&lt;/author&gt;&lt;author&gt;Sands, J. R.&lt;/author&gt;&lt;author&gt;Silverstein, M. L.&lt;/author&gt;&lt;/authors&gt;&lt;/contributors&gt;&lt;auth-address&gt;Dept. of Psychiatry, University of Illinois College of Medicine, Chicago 60612, USA.&lt;/auth-address&gt;&lt;titles&gt;&lt;title&gt;Vulnerability to delusions over time in schizophrenia and affective disorders&lt;/title&gt;&lt;secondary-title&gt;Schizophr Bull&lt;/secondary-title&gt;&lt;/titles&gt;&lt;periodical&gt;&lt;full-title&gt;Schizophr Bull&lt;/full-title&gt;&lt;/periodical&gt;&lt;pages&gt;95-109&lt;/pages&gt;&lt;volume&gt;21&lt;/volume&gt;&lt;number&gt;1&lt;/number&gt;&lt;keywords&gt;&lt;keyword&gt;Adult&lt;/keyword&gt;&lt;keyword&gt;Antipsychotic Agents/adverse effects/therapeutic use&lt;/keyword&gt;&lt;keyword&gt;Bipolar Disorder/*diagnosis/psychology&lt;/keyword&gt;&lt;keyword&gt;Combined Modality Therapy&lt;/keyword&gt;&lt;keyword&gt;Delusions/*diagnosis/psychology&lt;/keyword&gt;&lt;keyword&gt;Female&lt;/keyword&gt;&lt;keyword&gt;Follow-Up Studies&lt;/keyword&gt;&lt;keyword&gt;Humans&lt;/keyword&gt;&lt;keyword&gt;Male&lt;/keyword&gt;&lt;keyword&gt;Patient Discharge&lt;/keyword&gt;&lt;keyword&gt;Personality Assessment&lt;/keyword&gt;&lt;keyword&gt;Prospective Studies&lt;/keyword&gt;&lt;keyword&gt;Psychotic Disorders/*diagnosis/psychology&lt;/keyword&gt;&lt;keyword&gt;Risk Factors&lt;/keyword&gt;&lt;keyword&gt;Schizophrenia/*diagnosis&lt;/keyword&gt;&lt;keyword&gt;*Schizophrenic Psychology&lt;/keyword&gt;&lt;/keywords&gt;&lt;dates&gt;&lt;year&gt;1995&lt;/year&gt;&lt;/dates&gt;&lt;isbn&gt;0586-7614 (Print)&amp;#xD;0586-7614 (Linking)&lt;/isbn&gt;&lt;accession-num&gt;7770745&lt;/accession-num&gt;&lt;urls&gt;&lt;related-urls&gt;&lt;url&gt;https://www.ncbi.nlm.nih.gov/pubmed/7770745&lt;/url&gt;&lt;/related-urls&gt;&lt;/urls&gt;&lt;electronic-resource-num&gt;10.1093/schbul/21.1.95&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(Harrow et al., 1995)</w:t>
      </w:r>
      <w:r w:rsidRPr="004D46AC">
        <w:rPr>
          <w:rFonts w:eastAsiaTheme="minorEastAsia"/>
        </w:rPr>
        <w:fldChar w:fldCharType="end"/>
      </w:r>
      <w:r w:rsidRPr="004D46AC">
        <w:rPr>
          <w:rFonts w:eastAsiaTheme="minorEastAsia"/>
        </w:rPr>
        <w:t xml:space="preserve">, though this difference may contribute by the inclusion of unipolar psychotic disorder.  Similarly, persistent delusions </w:t>
      </w:r>
      <w:r w:rsidRPr="004D46AC">
        <w:rPr>
          <w:rFonts w:eastAsiaTheme="minorEastAsia"/>
        </w:rPr>
        <w:lastRenderedPageBreak/>
        <w:t>were more frequently presented in patients with schizophrenia(</w:t>
      </w:r>
      <w:r w:rsidRPr="004D46AC">
        <w:rPr>
          <w:rFonts w:eastAsiaTheme="minorEastAsia"/>
          <w:i/>
          <w:iCs/>
        </w:rPr>
        <w:t>n</w:t>
      </w:r>
      <w:r w:rsidRPr="004D46AC">
        <w:rPr>
          <w:rFonts w:eastAsiaTheme="minorEastAsia"/>
        </w:rPr>
        <w:t xml:space="preserve"> = 71) than bipolar disorder (</w:t>
      </w:r>
      <w:r w:rsidRPr="004D46AC">
        <w:rPr>
          <w:rFonts w:eastAsiaTheme="minorEastAsia"/>
          <w:i/>
          <w:iCs/>
        </w:rPr>
        <w:t>n</w:t>
      </w:r>
      <w:r w:rsidRPr="004D46AC">
        <w:rPr>
          <w:rFonts w:eastAsiaTheme="minorEastAsia"/>
        </w:rPr>
        <w:t xml:space="preserve"> = 44) </w:t>
      </w:r>
      <w:r w:rsidRPr="004D46AC">
        <w:rPr>
          <w:rFonts w:eastAsiaTheme="minorEastAsia"/>
        </w:rPr>
        <w:fldChar w:fldCharType="begin"/>
      </w:r>
      <w:r w:rsidRPr="004D46AC">
        <w:rPr>
          <w:rFonts w:eastAsiaTheme="minorEastAsia"/>
        </w:rPr>
        <w:instrText xml:space="preserve"> ADDIN EN.CITE &lt;EndNote&gt;&lt;Cite&gt;&lt;Author&gt;Song&lt;/Author&gt;&lt;Year&gt;2015&lt;/Year&gt;&lt;RecNum&gt;243&lt;/RecNum&gt;&lt;DisplayText&gt;(Song et al., 2015)&lt;/DisplayText&gt;&lt;record&gt;&lt;rec-number&gt;243&lt;/rec-number&gt;&lt;foreign-keys&gt;&lt;key app="EN" db-id="aet009sstawa0hewvt3xwf5atffdw2dt02sw" timestamp="1666254629"&gt;243&lt;/key&gt;&lt;/foreign-keys&gt;&lt;ref-type name="Journal Article"&gt;17&lt;/ref-type&gt;&lt;contributors&gt;&lt;authors&gt;&lt;author&gt;Song, J.&lt;/author&gt;&lt;author&gt;Han, D. H.&lt;/author&gt;&lt;author&gt;Kim, S. M.&lt;/author&gt;&lt;author&gt;Hong, J. S.&lt;/author&gt;&lt;author&gt;Min, K. J.&lt;/author&gt;&lt;author&gt;Cheong, J. H.&lt;/author&gt;&lt;author&gt;Kim, B. N.&lt;/author&gt;&lt;/authors&gt;&lt;/contributors&gt;&lt;auth-address&gt;Department of Psychiatry, Chung Ang University Hospital, Seoul, South Korea.&amp;#xD;Uimyung Research Institute for Neuroscience, Samyook University, Seoul, South Korea.&amp;#xD;Department of Psychiatry, Seoul National Hospital, Seoul, South Korea.&lt;/auth-address&gt;&lt;titles&gt;&lt;title&gt;Differences in gray matter volume corresponding to delusion and hallucination in patients with schizophrenia compared with patients who have bipolar disorder&lt;/title&gt;&lt;secondary-title&gt;Neuropsychiatr Dis Treat&lt;/secondary-title&gt;&lt;/titles&gt;&lt;periodical&gt;&lt;full-title&gt;Neuropsychiatr Dis Treat&lt;/full-title&gt;&lt;/periodical&gt;&lt;pages&gt;1211-9&lt;/pages&gt;&lt;volume&gt;11&lt;/volume&gt;&lt;edition&gt;20150518&lt;/edition&gt;&lt;keywords&gt;&lt;keyword&gt;bipolar disorder&lt;/keyword&gt;&lt;keyword&gt;delusion&lt;/keyword&gt;&lt;keyword&gt;hallucination&lt;/keyword&gt;&lt;keyword&gt;schizophrenia&lt;/keyword&gt;&lt;keyword&gt;voxel-based morphometry&lt;/keyword&gt;&lt;/keywords&gt;&lt;dates&gt;&lt;year&gt;2015&lt;/year&gt;&lt;/dates&gt;&lt;isbn&gt;1176-6328 (Print)&amp;#xD;1178-2021 (Electronic)&amp;#xD;1176-6328 (Linking)&lt;/isbn&gt;&lt;accession-num&gt;26056452&lt;/accession-num&gt;&lt;urls&gt;&lt;related-urls&gt;&lt;url&gt;https://www.ncbi.nlm.nih.gov/pubmed/26056452&lt;/url&gt;&lt;/related-urls&gt;&lt;/urls&gt;&lt;custom2&gt;PMC4445869&lt;/custom2&gt;&lt;electronic-resource-num&gt;10.2147/NDT.S80438&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(Song et al., 2015)</w:t>
      </w:r>
      <w:r w:rsidRPr="004D46AC">
        <w:rPr>
          <w:rFonts w:eastAsiaTheme="minorEastAsia"/>
        </w:rPr>
        <w:fldChar w:fldCharType="end"/>
      </w:r>
      <w:r w:rsidRPr="004D46AC">
        <w:rPr>
          <w:rFonts w:eastAsiaTheme="minorEastAsia"/>
        </w:rPr>
        <w:t xml:space="preserve">. </w:t>
      </w:r>
    </w:p>
    <w:p w14:paraId="2042DBA5" w14:textId="77777777" w:rsidR="003D5CB6" w:rsidRPr="004D46AC" w:rsidRDefault="003D5CB6" w:rsidP="00B518F1">
      <w:pPr>
        <w:rPr>
          <w:rFonts w:eastAsiaTheme="minorEastAsia"/>
        </w:rPr>
      </w:pPr>
      <w:r w:rsidRPr="004D46AC">
        <w:rPr>
          <w:rFonts w:eastAsiaTheme="minorEastAsia"/>
        </w:rPr>
        <w:t xml:space="preserve">The significant overlap in delusions, despite heterogenous, between disorders could be explained by several factors. Mood may play a critical role in the development of delusions, as indicated by the generally higher incidence of delusions in bipolar patients during manic episodes </w:t>
      </w:r>
      <w:r w:rsidRPr="004D46AC">
        <w:rPr>
          <w:rFonts w:eastAsiaTheme="minorEastAsia"/>
        </w:rPr>
        <w:fldChar w:fldCharType="begin"/>
      </w:r>
      <w:r w:rsidRPr="004D46AC">
        <w:rPr>
          <w:rFonts w:eastAsiaTheme="minorEastAsia"/>
        </w:rPr>
        <w:instrText xml:space="preserve"> ADDIN EN.CITE &lt;EndNote&gt;&lt;Cite&gt;&lt;Author&gt;Chakrabarti&lt;/Author&gt;&lt;Year&gt;2022&lt;/Year&gt;&lt;RecNum&gt;430&lt;/RecNum&gt;&lt;DisplayText&gt;(Chakrabarti &amp;amp;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(Chakrabarti &amp; Singh, 2022)</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Furthermore, mood themes appear to influence the types of delusions experienced. For instance, grandiose delusions are more prevalent during mania, whereas delusions of guilt are more commonly associated with depression </w:t>
      </w:r>
      <w:r w:rsidRPr="004D46AC">
        <w:rPr>
          <w:rFonts w:eastAsiaTheme="minorEastAsia"/>
        </w:rPr>
        <w:fldChar w:fldCharType="begin"/>
      </w:r>
      <w:r w:rsidRPr="004D46AC">
        <w:rPr>
          <w:rFonts w:eastAsiaTheme="minorEastAsia"/>
        </w:rPr>
        <w:instrText xml:space="preserve"> ADDIN EN.CITE &lt;EndNote&gt;&lt;Cite&gt;&lt;Author&gt;Picardi&lt;/Author&gt;&lt;Year&gt;2018&lt;/Year&gt;&lt;RecNum&gt;290&lt;/RecNum&gt;&lt;DisplayText&gt;(Picardi et al., 2018)&lt;/DisplayText&gt;&lt;record&gt;&lt;rec-number&gt;290&lt;/rec-number&gt;&lt;foreign-keys&gt;&lt;key app="EN" db-id="aet009sstawa0hewvt3xwf5atffdw2dt02sw" timestamp="1666450385"&gt;290&lt;/key&gt;&lt;/foreign-keys&gt;&lt;ref-type name="Journal Article"&gt;17&lt;/ref-type&gt;&lt;contributors&gt;&lt;authors&gt;&lt;author&gt;Picardi, A.&lt;/author&gt;&lt;author&gt;Fonzi, L.&lt;/author&gt;&lt;author&gt;Pallagrosi, M.&lt;/author&gt;&lt;author&gt;Gigantesco, A.&lt;/author&gt;&lt;author&gt;Biondi, M.&lt;/author&gt;&lt;/authors&gt;&lt;/contributors&gt;&lt;auth-address&gt;Centre of Behavioural Sciences and Mental Health, Italian National Institute of Health, Rome, Italy.&amp;#xD;Department of Human Neurosciences, Sapienza University of Rome, Rome, Italy.&lt;/auth-address&gt;&lt;titles&gt;&lt;title&gt;Delusional Themes Across Affective and Non-Affective Psychoses&lt;/title&gt;&lt;secondary-title&gt;Front Psychiatry&lt;/secondary-title&gt;&lt;/titles&gt;&lt;periodical&gt;&lt;full-title&gt;Front Psychiatry&lt;/full-title&gt;&lt;/periodical&gt;&lt;pages&gt;132&lt;/pages&gt;&lt;volume&gt;9&lt;/volume&gt;&lt;edition&gt;20180405&lt;/edition&gt;&lt;keywords&gt;&lt;keyword&gt;delusion&lt;/keyword&gt;&lt;keyword&gt;grandiosity&lt;/keyword&gt;&lt;keyword&gt;guilt&lt;/keyword&gt;&lt;keyword&gt;mood&lt;/keyword&gt;&lt;keyword&gt;persecution&lt;/keyword&gt;&lt;keyword&gt;psychopathology&lt;/keyword&gt;&lt;keyword&gt;psychosis&lt;/keyword&gt;&lt;/keywords&gt;&lt;dates&gt;&lt;year&gt;2018&lt;/year&gt;&lt;/dates&gt;&lt;isbn&gt;1664-0640 (Print)&amp;#xD;1664-0640 (Electronic)&amp;#xD;1664-0640 (Linking)&lt;/isbn&gt;&lt;accession-num&gt;29674982&lt;/accession-num&gt;&lt;urls&gt;&lt;related-urls&gt;&lt;url&gt;https://www.ncbi.nlm.nih.gov/pubmed/29674982&lt;/url&gt;&lt;/related-urls&gt;&lt;/urls&gt;&lt;custom2&gt;PMC5895977&lt;/custom2&gt;&lt;electronic-resource-num&gt;10.3389/fpsyt.2018.00132&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(Picardi et al., 2018)</w:t>
      </w:r>
      <w:r w:rsidRPr="004D46AC">
        <w:rPr>
          <w:rFonts w:eastAsiaTheme="minorEastAsia"/>
        </w:rPr>
        <w:fldChar w:fldCharType="end"/>
      </w:r>
      <w:r w:rsidRPr="004D46AC">
        <w:rPr>
          <w:rFonts w:eastAsiaTheme="minorEastAsia"/>
        </w:rPr>
        <w:t xml:space="preserve">. Manic symptoms might be similarly important in explaining MIPs in bipolar patients, as evidenced by their high incidence in individuals experiencing mania or mixed episodes; but this speculation is complicated by the findings that the history of bizarre delusions, after accounting for different diagnoses, is correlated with lower mania severity, the presence of other delusions, and hallucinations </w:t>
      </w:r>
      <w:r w:rsidRPr="004D46AC">
        <w:rPr>
          <w:rFonts w:eastAsiaTheme="minorEastAsia"/>
        </w:rPr>
        <w:fldChar w:fldCharType="begin">
          <w:fldData xml:space="preserve">PEVuZE5vdGU+PENpdGU+PEF1dGhvcj5ZdWtzZWw8L0F1dGhvcj48WWVhcj4yMDE4PC9ZZWFyPjxS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PEVuZE5vdGU+PENpdGU+PEF1dGhvcj5ZdWtzZWw8L0F1dGhvcj48WWVhcj4yMDE4PC9ZZWFyPjxS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(Yuksel et al., 2018)</w:t>
      </w:r>
      <w:r w:rsidRPr="004D46AC">
        <w:rPr>
          <w:rFonts w:eastAsiaTheme="minorEastAsia"/>
        </w:rPr>
        <w:fldChar w:fldCharType="end"/>
      </w:r>
      <w:r w:rsidRPr="004D46AC">
        <w:rPr>
          <w:rFonts w:eastAsiaTheme="minorEastAsia"/>
        </w:rPr>
        <w:t xml:space="preserve">. Finally, psychotic symptoms such as delusions are aetiologically complex. Various factors may contribute to the observed heterogeneities. For example, the presence of delusions has been linked to depression severity in schizophrenia patients but not in those with mood disorders </w:t>
      </w:r>
      <w:r w:rsidRPr="004D46AC">
        <w:rPr>
          <w:rFonts w:eastAsiaTheme="minorEastAsia"/>
        </w:rPr>
        <w:fldChar w:fldCharType="begin">
          <w:fldData xml:space="preserve">PEVuZE5vdGU+PENpdGU+PEF1dGhvcj5HcnVuZWJhdW08L0F1dGhvcj48WWVhcj4yMDAxPC9ZZWFy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PEVuZE5vdGU+PENpdGU+PEF1dGhvcj5HcnVuZWJhdW08L0F1dGhvcj48WWVhcj4yMDAxPC9ZZWFy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(Grunebaum et al., 2001)</w:t>
      </w:r>
      <w:r w:rsidRPr="004D46AC">
        <w:rPr>
          <w:rFonts w:eastAsiaTheme="minorEastAsia"/>
        </w:rPr>
        <w:fldChar w:fldCharType="end"/>
      </w:r>
      <w:r w:rsidRPr="004D46AC">
        <w:rPr>
          <w:rFonts w:eastAsiaTheme="minorEastAsia"/>
        </w:rPr>
        <w:t xml:space="preserve">, which may imply complex mechanisms between different contributing factors </w:t>
      </w:r>
      <w:r w:rsidRPr="004D46AC">
        <w:rPr>
          <w:rFonts w:eastAsiaTheme="minorEastAsia"/>
        </w:rPr>
        <w:fldChar w:fldCharType="begin">
          <w:fldData xml:space="preserve">PEVuZE5vdGU+PENpdGU+PEF1dGhvcj5TbWl0aDwvQXV0aG9yPjxZZWFyPjIwMTc8L1llYXI+PFJl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PEVuZE5vdGU+PENpdGU+PEF1dGhvcj5TbWl0aDwvQXV0aG9yPjxZZWFyPjIwMTc8L1llYXI+PFJl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(Smith et al., 2017)</w:t>
      </w:r>
      <w:r w:rsidRPr="004D46AC">
        <w:rPr>
          <w:rFonts w:eastAsiaTheme="minorEastAsia"/>
        </w:rPr>
        <w:fldChar w:fldCharType="end"/>
      </w:r>
      <w:r w:rsidRPr="004D46AC">
        <w:rPr>
          <w:rFonts w:eastAsiaTheme="minorEastAsia"/>
        </w:rPr>
        <w:t>.</w:t>
      </w:r>
    </w:p>
    <w:p w14:paraId="3FF11884" w14:textId="77777777" w:rsidR="003D5CB6" w:rsidRPr="004D46AC" w:rsidRDefault="003D5CB6" w:rsidP="00B518F1">
      <w:pPr>
        <w:pStyle w:val="5"/>
      </w:pPr>
      <w:r w:rsidRPr="004D46AC">
        <w:t>Hallucinations</w:t>
      </w:r>
    </w:p>
    <w:p w14:paraId="1F46560C" w14:textId="77777777" w:rsidR="003D5CB6" w:rsidRPr="004D46AC" w:rsidRDefault="003D5CB6" w:rsidP="00B518F1">
      <w:pPr>
        <w:rPr>
          <w:rFonts w:eastAsiaTheme="minorEastAsia"/>
        </w:rPr>
      </w:pPr>
      <w:r w:rsidRPr="004D46AC">
        <w:rPr>
          <w:rFonts w:eastAsiaTheme="minorEastAsia"/>
        </w:rPr>
        <w:t xml:space="preserve">Hallucinations are also prevalent among bipolar patients. The median lifetime prevalence of any hallucinations is 32% (range: 13%-100%), and the median point prevalence wis 19% (range: 10%-58%) according to </w:t>
      </w:r>
      <w:r w:rsidRPr="004D46AC">
        <w:rPr>
          <w:rFonts w:eastAsiaTheme="minorEastAsia"/>
        </w:rPr>
        <w:fldChar w:fldCharType="begin"/>
      </w:r>
      <w:r w:rsidRPr="004D46AC">
        <w:rPr>
          <w:rFonts w:eastAsiaTheme="minorEastAsia"/>
        </w:rPr>
        <w:instrText xml:space="preserve"> ADDIN EN.CITE &lt;EndNote&gt;&lt;Cite&gt;&lt;Author&gt;Chakrabarti&lt;/Author&gt;&lt;Year&gt;2022&lt;/Year&gt;&lt;RecNum&gt;430&lt;/RecNum&gt;&lt;DisplayText&gt;(Chakrabarti &amp;amp;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noProof/>
        </w:rPr>
        <w:t>(Chakrabarti &amp; Singh, 2022)</w:t>
      </w:r>
      <w:r w:rsidRPr="004D46AC">
        <w:rPr>
          <w:rFonts w:eastAsiaTheme="minorEastAsia"/>
        </w:rPr>
        <w:fldChar w:fldCharType="end"/>
      </w:r>
      <w:r w:rsidRPr="004D46AC">
        <w:rPr>
          <w:rFonts w:eastAsiaTheme="minorEastAsia"/>
        </w:rPr>
        <w:t xml:space="preserve">. The distribution of hallucinations in bipolar patients closely resembled that of delusions. Hallucinations were most prevalent in patients experiencing manic episodes, with a median lifetime prevalence of 83% (range: 55%-100%) and a median point prevalence of 41% (range: 10%-55%). Patients with mixed episodes exhibited similar prevalence figures compared to those with manic episodes. In contrast, hallucinations were much less common during depressive episodes, with a median lifetime prevalence of 25% (range: 4%-73%) and </w:t>
      </w:r>
      <w:r w:rsidRPr="004D46AC">
        <w:rPr>
          <w:rFonts w:eastAsiaTheme="minorEastAsia"/>
        </w:rPr>
        <w:lastRenderedPageBreak/>
        <w:t xml:space="preserve">a median point prevalence of 9% (range: 7%-73%). Empirical data on hallucination prevalence in patients with bipolar II disorder remains limited, and the most prevalent form of hallucinations was auditory hallucination. </w:t>
      </w:r>
    </w:p>
    <w:p w14:paraId="685FD8E2" w14:textId="77777777" w:rsidR="003D5CB6" w:rsidRPr="004D46AC" w:rsidRDefault="003D5CB6" w:rsidP="00B518F1">
      <w:pPr>
        <w:rPr>
          <w:rFonts w:eastAsiaTheme="minorEastAsia"/>
        </w:rPr>
      </w:pPr>
      <w:r w:rsidRPr="004D46AC">
        <w:rPr>
          <w:rFonts w:eastAsiaTheme="minorEastAsia"/>
        </w:rPr>
        <w:t xml:space="preserve">Comparative studies on hallucinations have been conducted among patients with bipolar disorder and schizophrenia, with findings, as expected, remaining mixed. </w:t>
      </w:r>
      <w:r w:rsidRPr="004D46AC">
        <w:rPr>
          <w:rFonts w:eastAsiaTheme="minorEastAsia"/>
        </w:rPr>
        <w:fldChar w:fldCharType="begin"/>
      </w:r>
      <w:r w:rsidRPr="004D46AC">
        <w:rPr>
          <w:rFonts w:eastAsiaTheme="minorEastAsia"/>
        </w:rPr>
        <w:instrText xml:space="preserve"> ADDIN EN.CITE &lt;EndNote&gt;&lt;Cite AuthorYear="1"&gt;&lt;Author&gt;Song&lt;/Author&gt;&lt;Year&gt;2015&lt;/Year&gt;&lt;RecNum&gt;243&lt;/RecNum&gt;&lt;DisplayText&gt;Song et al. (2015)&lt;/DisplayText&gt;&lt;record&gt;&lt;rec-number&gt;243&lt;/rec-number&gt;&lt;foreign-keys&gt;&lt;key app="EN" db-id="aet009sstawa0hewvt3xwf5atffdw2dt02sw" timestamp="1666254629"&gt;243&lt;/key&gt;&lt;/foreign-keys&gt;&lt;ref-type name="Journal Article"&gt;17&lt;/ref-type&gt;&lt;contributors&gt;&lt;authors&gt;&lt;author&gt;Song, J.&lt;/author&gt;&lt;author&gt;Han, D. H.&lt;/author&gt;&lt;author&gt;Kim, S. M.&lt;/author&gt;&lt;author&gt;Hong, J. S.&lt;/author&gt;&lt;author&gt;Min, K. J.&lt;/author&gt;&lt;author&gt;Cheong, J. H.&lt;/author&gt;&lt;author&gt;Kim, B. N.&lt;/author&gt;&lt;/authors&gt;&lt;/contributors&gt;&lt;auth-address&gt;Department of Psychiatry, Chung Ang University Hospital, Seoul, South Korea.&amp;#xD;Uimyung Research Institute for Neuroscience, Samyook University, Seoul, South Korea.&amp;#xD;Department of Psychiatry, Seoul National Hospital, Seoul, South Korea.&lt;/auth-address&gt;&lt;titles&gt;&lt;title&gt;Differences in gray matter volume corresponding to delusion and hallucination in patients with schizophrenia compared with patients who have bipolar disorder&lt;/title&gt;&lt;secondary-title&gt;Neuropsychiatr Dis Treat&lt;/secondary-title&gt;&lt;/titles&gt;&lt;periodical&gt;&lt;full-title&gt;Neuropsychiatr Dis Treat&lt;/full-title&gt;&lt;/periodical&gt;&lt;pages&gt;1211-9&lt;/pages&gt;&lt;volume&gt;11&lt;/volume&gt;&lt;edition&gt;20150518&lt;/edition&gt;&lt;keywords&gt;&lt;keyword&gt;bipolar disorder&lt;/keyword&gt;&lt;keyword&gt;delusion&lt;/keyword&gt;&lt;keyword&gt;hallucination&lt;/keyword&gt;&lt;keyword&gt;schizophrenia&lt;/keyword&gt;&lt;keyword&gt;voxel-based morphometry&lt;/keyword&gt;&lt;/keywords&gt;&lt;dates&gt;&lt;year&gt;2015&lt;/year&gt;&lt;/dates&gt;&lt;isbn&gt;1176-6328 (Print)&amp;#xD;1178-2021 (Electronic)&amp;#xD;1176-6328 (Linking)&lt;/isbn&gt;&lt;accession-num&gt;26056452&lt;/accession-num&gt;&lt;urls&gt;&lt;related-urls&gt;&lt;url&gt;https://www.ncbi.nlm.nih.gov/pubmed/26056452&lt;/url&gt;&lt;/related-urls&gt;&lt;/urls&gt;&lt;custom2&gt;PMC4445869&lt;/custom2&gt;&lt;electronic-resource-num&gt;10.2147/NDT.S80438&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Song et al. (2015)</w:t>
      </w:r>
      <w:r w:rsidRPr="004D46AC">
        <w:rPr>
          <w:rFonts w:eastAsiaTheme="minorEastAsia"/>
        </w:rPr>
        <w:fldChar w:fldCharType="end"/>
      </w:r>
      <w:r w:rsidRPr="004D46AC">
        <w:rPr>
          <w:rFonts w:eastAsiaTheme="minorEastAsia"/>
        </w:rPr>
        <w:t xml:space="preserve"> compared 44 psychotic bipolar patients with 71 schizophrenia patients and found that schizophrenia patients exhibited higher severity scores for hallucinations. This result is understandable, considering that not all psychotic bipolar patients experience hallucinations. However, the findings become more complex when comparing hallucinating patients with bipolar disorder and schizophrenia. </w:t>
      </w:r>
      <w:r w:rsidRPr="004D46AC">
        <w:rPr>
          <w:rFonts w:eastAsiaTheme="minorEastAsia"/>
        </w:rPr>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Baethge et al. (2005)</w:t>
      </w:r>
      <w:r w:rsidRPr="004D46AC">
        <w:rPr>
          <w:rFonts w:eastAsiaTheme="minorEastAsia"/>
        </w:rPr>
        <w:fldChar w:fldCharType="end"/>
      </w:r>
      <w:r w:rsidRPr="004D46AC">
        <w:rPr>
          <w:rFonts w:eastAsiaTheme="minorEastAsia"/>
        </w:rPr>
        <w:t xml:space="preserve"> reported that the severity of general hallucinations was higher in patients with schizophrenia (</w:t>
      </w:r>
      <w:r w:rsidRPr="004D46AC">
        <w:rPr>
          <w:rFonts w:eastAsiaTheme="minorEastAsia"/>
          <w:i/>
          <w:iCs/>
        </w:rPr>
        <w:t>n</w:t>
      </w:r>
      <w:r w:rsidRPr="004D46AC">
        <w:rPr>
          <w:rFonts w:eastAsiaTheme="minorEastAsia"/>
        </w:rPr>
        <w:t xml:space="preserve"> = 130) compared to hallucinating bipolar patients (</w:t>
      </w:r>
      <w:r w:rsidRPr="004D46AC">
        <w:rPr>
          <w:rFonts w:eastAsiaTheme="minorEastAsia"/>
          <w:i/>
          <w:iCs/>
        </w:rPr>
        <w:t>n</w:t>
      </w:r>
      <w:r w:rsidRPr="004D46AC">
        <w:rPr>
          <w:rFonts w:eastAsiaTheme="minorEastAsia"/>
        </w:rPr>
        <w:t xml:space="preserve"> = 65), whereas </w:t>
      </w:r>
      <w:r w:rsidRPr="004D46AC">
        <w:rPr>
          <w:rFonts w:eastAsiaTheme="minorEastAsia"/>
        </w:rPr>
        <w:fldChar w:fldCharType="begin">
          <w:fldData xml:space="preserve">PEVuZE5vdGU+PENpdGUgQXV0aG9yWWVhcj0iMSI+PEF1dGhvcj5TbWl0aDwvQXV0aG9yPjxZZWFy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==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PEVuZE5vdGU+PENpdGUgQXV0aG9yWWVhcj0iMSI+PEF1dGhvcj5TbWl0aDwvQXV0aG9yPjxZZWFy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==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Smith et al. (2024)</w:t>
      </w:r>
      <w:r w:rsidRPr="004D46AC">
        <w:rPr>
          <w:rFonts w:eastAsiaTheme="minorEastAsia"/>
        </w:rPr>
        <w:fldChar w:fldCharType="end"/>
      </w:r>
      <w:r w:rsidRPr="004D46AC">
        <w:rPr>
          <w:rFonts w:eastAsiaTheme="minorEastAsia"/>
        </w:rPr>
        <w:t xml:space="preserve"> examined the phenomenology of auditory hallucinations and found no significant differences between hallucinating bipolar and schizophrenia patients in terms of frequency, distress, severity, or subjective beliefs (e.g., malevolence, omnipotence). The only notable difference was in how patients attributed the hallucinations. This phenomenon is further complicated by the distribution of various hallucination modalities. Hallucinations are generally more frequent in schizophrenia patients than in bipolar patients, both overall and for specific types </w:t>
      </w:r>
      <w:r w:rsidRPr="004D46AC">
        <w:rPr>
          <w:rFonts w:eastAsiaTheme="minorEastAsia"/>
        </w:rPr>
        <w:fldChar w:fldCharType="begin">
          <w:fldData xml:space="preserve">PEVuZE5vdGU+PENpdGU+PEF1dGhvcj5MZXdhbmRvd3NraTwvQXV0aG9yPjxZZWFyPjIwMDk8L1ll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PEVuZE5vdGU+PENpdGU+PEF1dGhvcj5MZXdhbmRvd3NraTwvQXV0aG9yPjxZZWFyPjIwMDk8L1ll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(Benabarre et al., 2001; Lewandowski et al., 2009)</w:t>
      </w:r>
      <w:r w:rsidRPr="004D46AC">
        <w:rPr>
          <w:rFonts w:eastAsiaTheme="minorEastAsia"/>
        </w:rPr>
        <w:fldChar w:fldCharType="end"/>
      </w:r>
      <w:r w:rsidRPr="004D46AC">
        <w:rPr>
          <w:rFonts w:eastAsiaTheme="minorEastAsia"/>
        </w:rPr>
        <w:t xml:space="preserve">. For comparison with psychotic bipolar disorder, many studies report that schizophrenia patients exhibit higher frequencies of hallucinations across most modalities </w:t>
      </w:r>
      <w:r w:rsidRPr="004D46AC">
        <w:rPr>
          <w:rFonts w:eastAsiaTheme="minorEastAsia"/>
        </w:rPr>
        <w:fldChar w:fldCharType="begin">
          <w:fldData xml:space="preserve">PEVuZE5vdGU+PENpdGU+PEF1dGhvcj5DaG91aW5hcmQ8L0F1dGhvcj48WWVhcj4yMDE5PC9ZZWFy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PEVuZE5vdGU+PENpdGU+PEF1dGhvcj5DaG91aW5hcmQ8L0F1dGhvcj48WWVhcj4yMDE5PC9ZZWFy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(Baethge et al., 2005; Chouinard et al., 2019; Rossell et al., 2019; Song et al., 2015)</w:t>
      </w:r>
      <w:r w:rsidRPr="004D46AC">
        <w:rPr>
          <w:rFonts w:eastAsiaTheme="minorEastAsia"/>
        </w:rPr>
        <w:fldChar w:fldCharType="end"/>
      </w:r>
      <w:r w:rsidRPr="004D46AC">
        <w:rPr>
          <w:rFonts w:eastAsiaTheme="minorEastAsia"/>
        </w:rPr>
        <w:t xml:space="preserve">, with the exception of comparisons involving bipolar patients with MIPs </w:t>
      </w:r>
      <w:r w:rsidRPr="004D46AC">
        <w:rPr>
          <w:rFonts w:eastAsiaTheme="minorEastAsia"/>
        </w:rPr>
        <w:fldChar w:fldCharType="begin">
          <w:fldData xml:space="preserve">PEVuZE5vdGU+PENpdGU+PEF1dGhvcj5QaW5pPC9BdXRob3I+PFllYXI+MjAwNDwvWWVhcj48UmVj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PEVuZE5vdGU+PENpdGU+PEF1dGhvcj5QaW5pPC9BdXRob3I+PFllYXI+MjAwNDwvWWVhcj48UmVj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(Pini et al., 2004)</w:t>
      </w:r>
      <w:r w:rsidRPr="004D46AC">
        <w:rPr>
          <w:rFonts w:eastAsiaTheme="minorEastAsia"/>
        </w:rPr>
        <w:fldChar w:fldCharType="end"/>
      </w:r>
      <w:r w:rsidRPr="004D46AC">
        <w:rPr>
          <w:rFonts w:eastAsiaTheme="minorEastAsia"/>
        </w:rPr>
        <w:t>, where the distribution shows some inconsistencies.</w:t>
      </w:r>
    </w:p>
    <w:p w14:paraId="40103DBA" w14:textId="77777777" w:rsidR="003D5CB6" w:rsidRPr="004D46AC" w:rsidRDefault="003D5CB6" w:rsidP="00B518F1">
      <w:pPr>
        <w:rPr>
          <w:rFonts w:eastAsiaTheme="minorEastAsia"/>
        </w:rPr>
      </w:pPr>
      <w:r w:rsidRPr="004D46AC">
        <w:rPr>
          <w:rFonts w:eastAsiaTheme="minorEastAsia"/>
        </w:rPr>
        <w:t xml:space="preserve">Several studies have also explored the potential factors contributing to hallucinations. </w:t>
      </w:r>
      <w:r w:rsidRPr="004D46AC">
        <w:rPr>
          <w:rFonts w:eastAsiaTheme="minorEastAsia"/>
        </w:rPr>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Baethge et al. (2005)</w:t>
      </w:r>
      <w:r w:rsidRPr="004D46AC">
        <w:rPr>
          <w:rFonts w:eastAsiaTheme="minorEastAsia"/>
        </w:rPr>
        <w:fldChar w:fldCharType="end"/>
      </w:r>
      <w:r w:rsidRPr="004D46AC">
        <w:rPr>
          <w:rFonts w:eastAsiaTheme="minorEastAsia"/>
        </w:rPr>
        <w:t xml:space="preserve"> conducted correlational analysis in patients with major psychoses and found that the presence of hallucinations was associated with higher score on delusions, and days of hospital stay in patients with psychotic bipolar disorder and schizophrenia, which suggest the close relationship between delusions and hallucinations as well as the latter </w:t>
      </w:r>
      <w:r w:rsidRPr="004D46AC">
        <w:rPr>
          <w:rFonts w:eastAsiaTheme="minorEastAsia"/>
        </w:rPr>
        <w:lastRenderedPageBreak/>
        <w:t xml:space="preserve">being an indicator of disease severity. The relationship between hallucination and delusions has been tentatively examined by pairwise correlation analysis, with auditory hallucinations mostly predicted by mood incongruent delusions such as delusions of reference and persecutory delusions </w:t>
      </w:r>
      <w:r w:rsidRPr="004D46AC">
        <w:rPr>
          <w:rFonts w:eastAsiaTheme="minorEastAsia"/>
        </w:rPr>
        <w:fldChar w:fldCharType="begin">
          <w:fldData xml:space="preserve">PEVuZE5vdGU+PENpdGU+PEF1dGhvcj5Sb3NlbjwvQXV0aG9yPjxZZWFyPjIwMTY8L1llYXI+PFJl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PEVuZE5vdGU+PENpdGU+PEF1dGhvcj5Sb3NlbjwvQXV0aG9yPjxZZWFyPjIwMTY8L1llYXI+PFJl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(Rosen et al., 2016)</w:t>
      </w:r>
      <w:r w:rsidRPr="004D46AC">
        <w:rPr>
          <w:rFonts w:eastAsiaTheme="minorEastAsia"/>
        </w:rPr>
        <w:fldChar w:fldCharType="end"/>
      </w:r>
      <w:r w:rsidRPr="004D46AC">
        <w:rPr>
          <w:rFonts w:eastAsiaTheme="minorEastAsia"/>
        </w:rPr>
        <w:t xml:space="preserve">, but the variance between different kinds of delusions was not properly controlled which may lead to biased conclusions. Another study constructed a logistic regression model predicting visual hallucinations, and the most prominent predictors, adjusting for different diagnoses, were auditory and somatic hallucinations, followed by catatonic behavioural, and delusions regardless of the mood congruency </w:t>
      </w:r>
      <w:r w:rsidRPr="004D46AC">
        <w:rPr>
          <w:rFonts w:eastAsiaTheme="minorEastAsia"/>
        </w:rPr>
        <w:fldChar w:fldCharType="begin">
          <w:fldData xml:space="preserve">PEVuZE5vdGU+PENpdGU+PEF1dGhvcj5DaG91aW5hcmQ8L0F1dGhvcj48WWVhcj4yMDE5PC9ZZWFy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PEVuZE5vdGU+PENpdGU+PEF1dGhvcj5DaG91aW5hcmQ8L0F1dGhvcj48WWVhcj4yMDE5PC9ZZWFy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(Chouinard et al., 2019)</w:t>
      </w:r>
      <w:r w:rsidRPr="004D46AC">
        <w:rPr>
          <w:rFonts w:eastAsiaTheme="minorEastAsia"/>
        </w:rPr>
        <w:fldChar w:fldCharType="end"/>
      </w:r>
      <w:r w:rsidRPr="004D46AC">
        <w:rPr>
          <w:rFonts w:eastAsiaTheme="minorEastAsia"/>
        </w:rPr>
        <w:t xml:space="preserve">. In addition to mood incongruent delusions, the number of depressive episode and relatives with mood disorder, as well as early age of onset predicted somatic hallucinations </w:t>
      </w:r>
      <w:r w:rsidRPr="004D46AC">
        <w:rPr>
          <w:rFonts w:eastAsiaTheme="minorEastAsia"/>
        </w:rPr>
        <w:fldChar w:fldCharType="begin"/>
      </w:r>
      <w:r w:rsidRPr="004D46AC">
        <w:rPr>
          <w:rFonts w:eastAsiaTheme="minorEastAsia"/>
        </w:rPr>
        <w:instrText xml:space="preserve"> ADDIN EN.CITE &lt;EndNote&gt;&lt;Cite&gt;&lt;Author&gt;Lewandowski&lt;/Author&gt;&lt;Year&gt;2009&lt;/Year&gt;&lt;RecNum&gt;281&lt;/RecNum&gt;&lt;DisplayText&gt;(Lewandowski et al., 2009)&lt;/DisplayText&gt;&lt;record&gt;&lt;rec-number&gt;281&lt;/rec-number&gt;&lt;foreign-keys&gt;&lt;key app="EN" db-id="aet009sstawa0hewvt3xwf5atffdw2dt02sw" timestamp="1666428282"&gt;281&lt;/key&gt;&lt;/foreign-keys&gt;&lt;ref-type name="Journal Article"&gt;17&lt;/ref-type&gt;&lt;contributors&gt;&lt;authors&gt;&lt;author&gt;Lewandowski, K. E.&lt;/author&gt;&lt;author&gt;DePaola, J.&lt;/author&gt;&lt;author&gt;Camsari, G. B.&lt;/author&gt;&lt;author&gt;Cohen, B. M.&lt;/author&gt;&lt;author&gt;Ongur, D.&lt;/author&gt;&lt;/authors&gt;&lt;/contributors&gt;&lt;auth-address&gt;McLean Hospital, 115 Mill St., Belmont, MA 02478, USA. klewandowski@mclean.harvard.edu&lt;/auth-address&gt;&lt;titles&gt;&lt;title&gt;Tactile, olfactory, and gustatory hallucinations in psychotic disorders: a descriptive study&lt;/title&gt;&lt;secondary-title&gt;Ann Acad Med Singap&lt;/secondary-title&gt;&lt;/titles&gt;&lt;periodical&gt;&lt;full-title&gt;Ann Acad Med Singap&lt;/full-title&gt;&lt;/periodical&gt;&lt;pages&gt;383-5&lt;/pages&gt;&lt;volume&gt;38&lt;/volume&gt;&lt;number&gt;5&lt;/number&gt;&lt;keywords&gt;&lt;keyword&gt;Adolescent&lt;/keyword&gt;&lt;keyword&gt;Adult&lt;/keyword&gt;&lt;keyword&gt;Aged&lt;/keyword&gt;&lt;keyword&gt;Bipolar Disorder/physiopathology&lt;/keyword&gt;&lt;keyword&gt;Cohort Studies&lt;/keyword&gt;&lt;keyword&gt;Female&lt;/keyword&gt;&lt;keyword&gt;Hallucinations/*psychology&lt;/keyword&gt;&lt;keyword&gt;Humans&lt;/keyword&gt;&lt;keyword&gt;Male&lt;/keyword&gt;&lt;keyword&gt;Middle Aged&lt;/keyword&gt;&lt;keyword&gt;Psychotic Disorders/physiopathology/*psychology&lt;/keyword&gt;&lt;keyword&gt;Schizophrenia/physiopathology&lt;/keyword&gt;&lt;keyword&gt;*Smell&lt;/keyword&gt;&lt;keyword&gt;*Touch&lt;/keyword&gt;&lt;keyword&gt;Young Adult&lt;/keyword&gt;&lt;/keywords&gt;&lt;dates&gt;&lt;year&gt;2009&lt;/year&gt;&lt;pub-dates&gt;&lt;date&gt;May&lt;/date&gt;&lt;/pub-dates&gt;&lt;/dates&gt;&lt;isbn&gt;2972-4066 (Electronic)&amp;#xD;0304-4602 (Linking)&lt;/isbn&gt;&lt;accession-num&gt;19521636&lt;/accession-num&gt;&lt;urls&gt;&lt;related-urls&gt;&lt;url&gt;https://www.ncbi.nlm.nih.gov/pubmed/19521636&lt;/url&gt;&lt;/related-urls&gt;&lt;/urls&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(Lewandowski et al., 2009)</w:t>
      </w:r>
      <w:r w:rsidRPr="004D46AC">
        <w:rPr>
          <w:rFonts w:eastAsiaTheme="minorEastAsia"/>
        </w:rPr>
        <w:fldChar w:fldCharType="end"/>
      </w:r>
      <w:r w:rsidRPr="004D46AC">
        <w:rPr>
          <w:rFonts w:eastAsiaTheme="minorEastAsia"/>
        </w:rPr>
        <w:t xml:space="preserve">. </w:t>
      </w:r>
    </w:p>
    <w:p w14:paraId="4A1CEA6D" w14:textId="77777777" w:rsidR="003D5CB6" w:rsidRPr="004D46AC" w:rsidRDefault="003D5CB6" w:rsidP="00B518F1">
      <w:pPr>
        <w:rPr>
          <w:rFonts w:eastAsiaTheme="minorEastAsia"/>
        </w:rPr>
      </w:pPr>
      <w:r w:rsidRPr="004D46AC">
        <w:rPr>
          <w:rFonts w:eastAsiaTheme="minorEastAsia"/>
        </w:rPr>
        <w:t>Hallucinations, regardless of the modality, appear to be closely connected with delusions, especially mood incongruent delusions. Although there was evidence suggested that manic patients show a higher prevalence of hallucinations, the prevalence was heterogenous indicated by an extremely wide range across studies. The evidence on how severity of mood predicts hallucinations remains limited. It might be particularly interesting to examine how different delusions mediate the relationship between mood and various hallucinations.</w:t>
      </w:r>
    </w:p>
    <w:p w14:paraId="525A39FA" w14:textId="77777777" w:rsidR="003D5CB6" w:rsidRPr="004D46AC" w:rsidRDefault="003D5CB6" w:rsidP="00B518F1">
      <w:pPr>
        <w:pStyle w:val="5"/>
      </w:pPr>
      <w:r w:rsidRPr="004D46AC">
        <w:t>Thought and speech problems</w:t>
      </w:r>
    </w:p>
    <w:p w14:paraId="6A6F189D" w14:textId="77777777" w:rsidR="003D5CB6" w:rsidRPr="004D46AC" w:rsidRDefault="003D5CB6" w:rsidP="00B518F1">
      <w:pPr>
        <w:rPr>
          <w:rFonts w:eastAsiaTheme="minorEastAsia"/>
        </w:rPr>
      </w:pPr>
      <w:r w:rsidRPr="004D46AC">
        <w:rPr>
          <w:rFonts w:eastAsiaTheme="minorEastAsia"/>
        </w:rPr>
        <w:t xml:space="preserve">Thought disorder refers to dysregulations in thought processes and speech, and it can be manifest in various ways. It is typically categorised into positive (e.g., incoherent speech) and negative (e.g., poverty of speech) thought disorders. Positive thought disorder has long been considered a hallmark of schizophrenia, but it is also a common criterion A psychotic symptom in bipolar disorder. The prevalence of thought disorder in bipolar disorder is heterogeneous.  </w:t>
      </w:r>
      <w:r w:rsidRPr="004D46AC">
        <w:rPr>
          <w:rFonts w:eastAsiaTheme="minorEastAsia"/>
        </w:rPr>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Perlman et al. (2016)</w:t>
      </w:r>
      <w:r w:rsidRPr="004D46AC">
        <w:rPr>
          <w:rFonts w:eastAsiaTheme="minorEastAsia"/>
        </w:rPr>
        <w:fldChar w:fldCharType="end"/>
      </w:r>
      <w:r w:rsidRPr="004D46AC">
        <w:rPr>
          <w:rFonts w:eastAsiaTheme="minorEastAsia"/>
        </w:rPr>
        <w:t xml:space="preserve"> examined thought disorder in major psychoses using OPCRIT items and found that 13.2% of bipolar patients (</w:t>
      </w:r>
      <w:r w:rsidRPr="004D46AC">
        <w:rPr>
          <w:rFonts w:eastAsiaTheme="minorEastAsia"/>
          <w:i/>
          <w:iCs/>
        </w:rPr>
        <w:t>n</w:t>
      </w:r>
      <w:r w:rsidRPr="004D46AC">
        <w:rPr>
          <w:rFonts w:eastAsiaTheme="minorEastAsia"/>
        </w:rPr>
        <w:t xml:space="preserve"> = 2084) had ever experienced positive thought disorder. In patients with bipolar I disorder (</w:t>
      </w:r>
      <w:r w:rsidRPr="004D46AC">
        <w:rPr>
          <w:rFonts w:eastAsiaTheme="minorEastAsia"/>
          <w:i/>
          <w:iCs/>
        </w:rPr>
        <w:t>n</w:t>
      </w:r>
      <w:r w:rsidRPr="004D46AC">
        <w:rPr>
          <w:rFonts w:eastAsiaTheme="minorEastAsia"/>
        </w:rPr>
        <w:t xml:space="preserve"> = 1342), the prevalence rose to 59.7% </w:t>
      </w:r>
      <w:r w:rsidRPr="004D46AC">
        <w:rPr>
          <w:rFonts w:eastAsiaTheme="minorEastAsia"/>
        </w:rPr>
        <w:fldChar w:fldCharType="begin">
          <w:fldData xml:space="preserve">PEVuZE5vdGU+PENpdGU+PEF1dGhvcj52YW4gQmVyZ2VuPC9BdXRob3I+PFllYXI+MjAxOTwvWWVh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PEVuZE5vdGU+PENpdGU+PEF1dGhvcj52YW4gQmVyZ2VuPC9BdXRob3I+PFllYXI+MjAxOTwvWWVh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(van Bergen et al., 2019)</w:t>
      </w:r>
      <w:r w:rsidRPr="004D46AC">
        <w:rPr>
          <w:rFonts w:eastAsiaTheme="minorEastAsia"/>
        </w:rPr>
        <w:fldChar w:fldCharType="end"/>
      </w:r>
      <w:r w:rsidRPr="004D46AC">
        <w:rPr>
          <w:rFonts w:eastAsiaTheme="minorEastAsia"/>
        </w:rPr>
        <w:t xml:space="preserve">. However, another study reported a </w:t>
      </w:r>
      <w:r w:rsidRPr="004D46AC">
        <w:rPr>
          <w:rFonts w:eastAsiaTheme="minorEastAsia"/>
        </w:rPr>
        <w:lastRenderedPageBreak/>
        <w:t>lower prevalence of 9% in bipolar I (</w:t>
      </w:r>
      <w:r w:rsidRPr="004D46AC">
        <w:rPr>
          <w:rFonts w:eastAsiaTheme="minorEastAsia"/>
          <w:i/>
          <w:iCs/>
        </w:rPr>
        <w:t>n</w:t>
      </w:r>
      <w:r w:rsidRPr="004D46AC">
        <w:rPr>
          <w:rFonts w:eastAsiaTheme="minorEastAsia"/>
        </w:rPr>
        <w:t xml:space="preserve"> = 238)  </w:t>
      </w:r>
      <w:r w:rsidRPr="004D46AC">
        <w:rPr>
          <w:rFonts w:eastAsiaTheme="minorEastAsia"/>
        </w:rPr>
        <w:fldChar w:fldCharType="begin">
          <w:fldData xml:space="preserve">PEVuZE5vdGU+PENpdGU+PEF1dGhvcj5LZWNrPC9BdXRob3I+PFllYXI+MjAwMzwvWWVhcj48UmVj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PEVuZE5vdGU+PENpdGU+PEF1dGhvcj5LZWNrPC9BdXRob3I+PFllYXI+MjAwMzwvWWVhcj48UmVj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(Keck et al., 2003)</w:t>
      </w:r>
      <w:r w:rsidRPr="004D46AC">
        <w:rPr>
          <w:rFonts w:eastAsiaTheme="minorEastAsia"/>
        </w:rPr>
        <w:fldChar w:fldCharType="end"/>
      </w:r>
      <w:r w:rsidRPr="004D46AC">
        <w:rPr>
          <w:rFonts w:eastAsiaTheme="minorEastAsia"/>
        </w:rPr>
        <w:t xml:space="preserve">. A similar trend was observed for point prevalence, with rates ranging from 0% to 74% </w:t>
      </w:r>
      <w:r w:rsidRPr="004D46AC">
        <w:rPr>
          <w:rFonts w:eastAsiaTheme="minorEastAsia"/>
        </w:rPr>
        <w:fldChar w:fldCharType="begin">
          <w:fldData xml:space="preserve">PEVuZE5vdGU+PENpdGU+PEF1dGhvcj5SZWluaW5naGF1czwvQXV0aG9yPjxZZWFyPjIwMTY8L1ll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PEVuZE5vdGU+PENpdGU+PEF1dGhvcj5SZWluaW5naGF1czwvQXV0aG9yPjxZZWFyPjIwMTY8L1ll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(Marengo &amp; Harrow, 1985; Reininghaus et al., 2016)</w:t>
      </w:r>
      <w:r w:rsidRPr="004D46AC">
        <w:rPr>
          <w:rFonts w:eastAsiaTheme="minorEastAsia"/>
        </w:rPr>
        <w:fldChar w:fldCharType="end"/>
      </w:r>
      <w:r w:rsidRPr="004D46AC">
        <w:rPr>
          <w:rFonts w:eastAsiaTheme="minorEastAsia"/>
        </w:rPr>
        <w:t>.</w:t>
      </w:r>
    </w:p>
    <w:p w14:paraId="43103559" w14:textId="77777777" w:rsidR="003D5CB6" w:rsidRPr="004D46AC" w:rsidRDefault="003D5CB6" w:rsidP="00B518F1">
      <w:pPr>
        <w:rPr>
          <w:rFonts w:eastAsiaTheme="minorEastAsia"/>
        </w:rPr>
      </w:pPr>
      <w:r w:rsidRPr="004D46AC">
        <w:rPr>
          <w:rFonts w:eastAsiaTheme="minorEastAsia"/>
        </w:rPr>
        <w:t xml:space="preserve">The question of whether thought disorder is unique to bipolar disorder or schizophrenia remains a topic of ongoing debate. </w:t>
      </w:r>
      <w:r w:rsidRPr="004D46AC">
        <w:rPr>
          <w:rFonts w:eastAsiaTheme="minorEastAsia"/>
        </w:rPr>
        <w:fldChar w:fldCharType="begin">
          <w:fldData xml:space="preserve">PEVuZE5vdGU+PENpdGUgQXV0aG9yWWVhcj0iMSI+PEF1dGhvcj5ZYWxpbmNldGluPC9BdXRob3I+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=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PEVuZE5vdGU+PENpdGUgQXV0aG9yWWVhcj0iMSI+PEF1dGhvcj5ZYWxpbmNldGluPC9BdXRob3I+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=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Yalincetin et al. (2017)</w:t>
      </w:r>
      <w:r w:rsidRPr="004D46AC">
        <w:rPr>
          <w:rFonts w:eastAsiaTheme="minorEastAsia"/>
        </w:rPr>
        <w:fldChar w:fldCharType="end"/>
      </w:r>
      <w:r w:rsidRPr="004D46AC">
        <w:rPr>
          <w:rFonts w:eastAsiaTheme="minorEastAsia"/>
        </w:rPr>
        <w:t xml:space="preserve"> systematically reviewed the existing literature using assessment tools such as the Thought Disorder Index (TDI) and the Thought, Language, and Communication Disorders (TLC) scale. Their review showed that the standardized mean difference in symptom severity between schizophrenia and bipolar disorder was not significant, as confidence intervals (CIs) from most studies crossed zero. No effect of assessment tools was observed, but differences became detectable when patients from both groups were stable. Similar findings have been reported in more recent studies </w:t>
      </w:r>
      <w:r w:rsidRPr="004D46AC">
        <w:rPr>
          <w:rFonts w:eastAsiaTheme="minorEastAsia"/>
        </w:rPr>
        <w:fldChar w:fldCharType="begin">
          <w:fldData xml:space="preserve">PEVuZE5vdGU+PENpdGU+PEF1dGhvcj5NdXRsdTwvQXV0aG9yPjxZZWFyPjIwMjI8L1llYXI+PFJl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PEVuZE5vdGU+PENpdGU+PEF1dGhvcj5NdXRsdTwvQXV0aG9yPjxZZWFyPjIwMjI8L1llYXI+PFJl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(Morgan et al., 2017; Mutlu et al., 2022)</w:t>
      </w:r>
      <w:r w:rsidRPr="004D46AC">
        <w:rPr>
          <w:rFonts w:eastAsiaTheme="minorEastAsia"/>
        </w:rPr>
        <w:fldChar w:fldCharType="end"/>
      </w:r>
      <w:r w:rsidRPr="004D46AC">
        <w:rPr>
          <w:rFonts w:eastAsiaTheme="minorEastAsia"/>
        </w:rPr>
        <w:t xml:space="preserve">. More specifically,  </w:t>
      </w:r>
      <w:r w:rsidRPr="004D46AC">
        <w:rPr>
          <w:rFonts w:eastAsiaTheme="minorEastAsia"/>
        </w:rPr>
        <w:fldChar w:fldCharType="begin">
          <w:fldData xml:space="preserve">PEVuZE5vdGU+PENpdGUgQXV0aG9yWWVhcj0iMSI+PEF1dGhvcj5Nb3JnYW48L0F1dGhvcj48WWVh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PEVuZE5vdGU+PENpdGUgQXV0aG9yWWVhcj0iMSI+PEF1dGhvcj5Nb3JnYW48L0F1dGhvcj48WWVh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Morgan et al. (2017)</w:t>
      </w:r>
      <w:r w:rsidRPr="004D46AC">
        <w:rPr>
          <w:rFonts w:eastAsiaTheme="minorEastAsia"/>
        </w:rPr>
        <w:fldChar w:fldCharType="end"/>
      </w:r>
      <w:r w:rsidRPr="004D46AC">
        <w:rPr>
          <w:rFonts w:eastAsiaTheme="minorEastAsia"/>
        </w:rPr>
        <w:t xml:space="preserve"> found that outpatients with schizophrenia (</w:t>
      </w:r>
      <w:r w:rsidRPr="004D46AC">
        <w:rPr>
          <w:rFonts w:eastAsiaTheme="minorEastAsia"/>
          <w:i/>
          <w:iCs/>
        </w:rPr>
        <w:t>n</w:t>
      </w:r>
      <w:r w:rsidRPr="004D46AC">
        <w:rPr>
          <w:rFonts w:eastAsiaTheme="minorEastAsia"/>
        </w:rPr>
        <w:t xml:space="preserve"> = 242) exhibited higher TDI scores than those with bipolar I disorder with psychotic features (</w:t>
      </w:r>
      <w:r w:rsidRPr="004D46AC">
        <w:rPr>
          <w:rFonts w:eastAsiaTheme="minorEastAsia"/>
          <w:i/>
          <w:iCs/>
        </w:rPr>
        <w:t>n</w:t>
      </w:r>
      <w:r w:rsidRPr="004D46AC">
        <w:rPr>
          <w:rFonts w:eastAsiaTheme="minorEastAsia"/>
        </w:rPr>
        <w:t xml:space="preserve"> = 79). Sixty-three percent of the schizophrenia patients were categorized into the severe group, while only 36.7% of the bipolar patients were classified similarly. Less consistent finding was reported in a study by </w:t>
      </w:r>
      <w:r w:rsidRPr="004D46AC">
        <w:rPr>
          <w:rFonts w:eastAsiaTheme="minorEastAsia"/>
        </w:rPr>
        <w:fldChar w:fldCharType="begin">
          <w:fldData xml:space="preserve">PEVuZE5vdGU+PENpdGUgQXV0aG9yWWVhcj0iMSI+PEF1dGhvcj5EZSBQaWVyaTwvQXV0aG9yPjxZ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PEVuZE5vdGU+PENpdGUgQXV0aG9yWWVhcj0iMSI+PEF1dGhvcj5EZSBQaWVyaTwvQXV0aG9yPjxZ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De Pieri et al. (2024)</w:t>
      </w:r>
      <w:r w:rsidRPr="004D46AC">
        <w:rPr>
          <w:rFonts w:eastAsiaTheme="minorEastAsia"/>
        </w:rPr>
        <w:fldChar w:fldCharType="end"/>
      </w:r>
      <w:r w:rsidRPr="004D46AC">
        <w:rPr>
          <w:rFonts w:eastAsiaTheme="minorEastAsia"/>
        </w:rPr>
        <w:t xml:space="preserve">, in which the difference in the dimension of disorganisation (i.e., bizarre behaviour and positive formal thought disorder) was not significant.  </w:t>
      </w:r>
    </w:p>
    <w:p w14:paraId="5FDB69E7" w14:textId="77777777" w:rsidR="003D5CB6" w:rsidRPr="004D46AC" w:rsidRDefault="003D5CB6" w:rsidP="00B518F1">
      <w:pPr>
        <w:rPr>
          <w:rFonts w:eastAsiaTheme="minorEastAsia"/>
        </w:rPr>
      </w:pPr>
      <w:r w:rsidRPr="004D46AC">
        <w:rPr>
          <w:rFonts w:eastAsiaTheme="minorEastAsia"/>
        </w:rPr>
        <w:t xml:space="preserve">In addition, inconsistencies have also been found when comparing the subdimensions of disorganised thinking. </w:t>
      </w:r>
      <w:r w:rsidRPr="004D46AC">
        <w:rPr>
          <w:rFonts w:eastAsiaTheme="minorEastAsia"/>
        </w:rPr>
        <w:fldChar w:fldCharType="begin">
          <w:fldData xml:space="preserve">PEVuZE5vdGU+PENpdGUgQXV0aG9yWWVhcj0iMSI+PEF1dGhvcj5Nb3JnYW48L0F1dGhvcj48WWVh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PEVuZE5vdGU+PENpdGUgQXV0aG9yWWVhcj0iMSI+PEF1dGhvcj5Nb3JnYW48L0F1dGhvcj48WWVh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Morgan et al. (2017)</w:t>
      </w:r>
      <w:r w:rsidRPr="004D46AC">
        <w:rPr>
          <w:rFonts w:eastAsiaTheme="minorEastAsia"/>
        </w:rPr>
        <w:fldChar w:fldCharType="end"/>
      </w:r>
      <w:r w:rsidRPr="004D46AC">
        <w:rPr>
          <w:rFonts w:eastAsiaTheme="minorEastAsia"/>
        </w:rPr>
        <w:t xml:space="preserve"> found that schizophrenia patients were more likely to endorse deviant verbalization (e.g., absurd responses), while no significant difference was found in the tendency toward combinatory thinking (e.g., incongruent thinking) between the two groups. Another study, however, found that the manic patients exhibited more severe combinatory thinking than schizophrenia patients </w:t>
      </w:r>
      <w:r w:rsidRPr="004D46AC">
        <w:rPr>
          <w:rFonts w:eastAsiaTheme="minorEastAsia"/>
        </w:rPr>
        <w:fldChar w:fldCharType="begin"/>
      </w:r>
      <w:r w:rsidRPr="004D46AC">
        <w:rPr>
          <w:rFonts w:eastAsiaTheme="minorEastAsia"/>
        </w:rPr>
        <w:instrText xml:space="preserve"> ADDIN EN.CITE &lt;EndNote&gt;&lt;Cite&gt;&lt;Author&gt;Solovay&lt;/Author&gt;&lt;Year&gt;1987&lt;/Year&gt;&lt;RecNum&gt;854&lt;/RecNum&gt;&lt;DisplayText&gt;(Solovay et al., 1987)&lt;/DisplayText&gt;&lt;record&gt;&lt;rec-number&gt;854&lt;/rec-number&gt;&lt;foreign-keys&gt;&lt;key app="EN" db-id="aet009sstawa0hewvt3xwf5atffdw2dt02sw" timestamp="1737449885"&gt;854&lt;/key&gt;&lt;/foreign-keys&gt;&lt;ref-type name="Journal Article"&gt;17&lt;/ref-type&gt;&lt;contributors&gt;&lt;authors&gt;&lt;author&gt;Solovay, M. R.&lt;/author&gt;&lt;author&gt;Shenton, M. E.&lt;/author&gt;&lt;author&gt;Holzman, P. S.&lt;/author&gt;&lt;/authors&gt;&lt;/contributors&gt;&lt;titles&gt;&lt;title&gt;Comparative studies of thought disorders. I. Mania and schizophrenia&lt;/title&gt;&lt;secondary-title&gt;Arch Gen Psychiatry&lt;/secondary-title&gt;&lt;/titles&gt;&lt;periodical&gt;&lt;full-title&gt;Arch Gen Psychiatry&lt;/full-title&gt;&lt;/periodical&gt;&lt;pages&gt;13-20&lt;/pages&gt;&lt;volume&gt;44&lt;/volume&gt;&lt;number&gt;1&lt;/number&gt;&lt;keywords&gt;&lt;keyword&gt;Adult&lt;/keyword&gt;&lt;keyword&gt;Bipolar Disorder/diagnosis/*psychology&lt;/keyword&gt;&lt;keyword&gt;Diagnosis, Differential&lt;/keyword&gt;&lt;keyword&gt;Female&lt;/keyword&gt;&lt;keyword&gt;Humans&lt;/keyword&gt;&lt;keyword&gt;Male&lt;/keyword&gt;&lt;keyword&gt;Psychiatric Status Rating Scales&lt;/keyword&gt;&lt;keyword&gt;Psychometrics&lt;/keyword&gt;&lt;keyword&gt;Schizophrenia/diagnosis&lt;/keyword&gt;&lt;keyword&gt;*Schizophrenic Psychology&lt;/keyword&gt;&lt;/keywords&gt;&lt;dates&gt;&lt;year&gt;1987&lt;/year&gt;&lt;pub-dates&gt;&lt;date&gt;Jan&lt;/date&gt;&lt;/pub-dates&gt;&lt;/dates&gt;&lt;isbn&gt;0003-990X (Print)&amp;#xD;0003-990X (Linking)&lt;/isbn&gt;&lt;accession-num&gt;3800579&lt;/accession-num&gt;&lt;urls&gt;&lt;related-urls&gt;&lt;url&gt;https://www.ncbi.nlm.nih.gov/pubmed/3800579&lt;/url&gt;&lt;/related-urls&gt;&lt;/urls&gt;&lt;electronic-resource-num&gt;10.1001/archpsyc.1987.01800130015003&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(Solovay et al., 1987)</w:t>
      </w:r>
      <w:r w:rsidRPr="004D46AC">
        <w:rPr>
          <w:rFonts w:eastAsiaTheme="minorEastAsia"/>
        </w:rPr>
        <w:fldChar w:fldCharType="end"/>
      </w:r>
      <w:r w:rsidRPr="004D46AC">
        <w:rPr>
          <w:rFonts w:eastAsiaTheme="minorEastAsia"/>
        </w:rPr>
        <w:t xml:space="preserve">. </w:t>
      </w:r>
      <w:r w:rsidRPr="004D46AC">
        <w:rPr>
          <w:rFonts w:eastAsiaTheme="minorEastAsia"/>
        </w:rPr>
        <w:fldChar w:fldCharType="begin"/>
      </w:r>
      <w:r w:rsidRPr="004D46AC">
        <w:rPr>
          <w:rFonts w:eastAsiaTheme="minorEastAsia"/>
        </w:rPr>
        <w:instrText xml:space="preserve"> ADDIN EN.CITE &lt;EndNote&gt;&lt;Cite AuthorYear="1"&gt;&lt;Author&gt;Mutlu&lt;/Author&gt;&lt;Year&gt;2022&lt;/Year&gt;&lt;RecNum&gt;852&lt;/RecNum&gt;&lt;DisplayText&gt;Mutlu et al. (2022)&lt;/DisplayText&gt;&lt;record&gt;&lt;rec-number&gt;852&lt;/rec-number&gt;&lt;foreign-keys&gt;&lt;key app="EN" db-id="aet009sstawa0hewvt3xwf5atffdw2dt02sw" timestamp="1737384223"&gt;852&lt;/key&gt;&lt;/foreign-keys&gt;&lt;ref-type name="Journal Article"&gt;17&lt;/ref-type&gt;&lt;contributors&gt;&lt;authors&gt;&lt;author&gt;Mutlu, E.&lt;/author&gt;&lt;author&gt;Gurkan, S.&lt;/author&gt;&lt;author&gt;Goka, E.&lt;/author&gt;&lt;author&gt;Yagcioglu, A. E. A.&lt;/author&gt;&lt;/authors&gt;&lt;/contributors&gt;&lt;titles&gt;&lt;title&gt;Comparison of Formal Thought Disorder in the Acute Episode of Schizophrenia and Manic Episode of Bipolar Affective Disorder&lt;/title&gt;&lt;secondary-title&gt;Turk Psikiyatri Derg&lt;/secondary-title&gt;&lt;/titles&gt;&lt;periodical&gt;&lt;full-title&gt;Turk Psikiyatri Derg&lt;/full-title&gt;&lt;/periodical&gt;&lt;pages&gt;223-232&lt;/pages&gt;&lt;volume&gt;33&lt;/volume&gt;&lt;number&gt;4&lt;/number&gt;&lt;keywords&gt;&lt;keyword&gt;Humans&lt;/keyword&gt;&lt;keyword&gt;*Bipolar Disorder/complications/diagnosis/psychology&lt;/keyword&gt;&lt;keyword&gt;*Schizophrenia/diagnosis&lt;/keyword&gt;&lt;keyword&gt;Mania&lt;/keyword&gt;&lt;keyword&gt;*Frontotemporal Dementia&lt;/keyword&gt;&lt;keyword&gt;Language&lt;/keyword&gt;&lt;keyword&gt;Psychiatric Status Rating Scales&lt;/keyword&gt;&lt;keyword&gt;Formal thought disorder&lt;/keyword&gt;&lt;keyword&gt;schizophrenia bipolar affective disorder manic episode.&lt;/keyword&gt;&lt;/keywords&gt;&lt;dates&gt;&lt;year&gt;2022&lt;/year&gt;&lt;pub-dates&gt;&lt;date&gt;Winter&lt;/date&gt;&lt;/pub-dates&gt;&lt;/dates&gt;&lt;orig-pub&gt;Sizofreni ve Ikiuclu Duygudurum Bozuklugunun Akut Hastalik Doneminde Dusunce Sureci Bozukluklarinin Karsilastirilmasi.&lt;/orig-pub&gt;&lt;isbn&gt;2651-3463 (Electronic)&amp;#xD;1300-2163 (Linking)&lt;/isbn&gt;&lt;accession-num&gt;36592101&lt;/accession-num&gt;&lt;urls&gt;&lt;related-urls&gt;&lt;url&gt;https://www.ncbi.nlm.nih.gov/pubmed/36592101&lt;/url&gt;&lt;/related-urls&gt;&lt;/urls&gt;&lt;electronic-resource-num&gt;10.5080/u25886&lt;/electronic-resource-num&gt;&lt;remote-database-name&gt;Medline&lt;/remote-database-name&gt;&lt;remote-database-provider&gt;NLM&lt;/remote-database-provider&gt;&lt;language&gt;eng&amp;#xD;tur&lt;/language&gt;&lt;/record&gt;&lt;/Cite&gt;&lt;/EndNote&gt;</w:instrText>
      </w:r>
      <w:r w:rsidRPr="004D46AC">
        <w:rPr>
          <w:rFonts w:eastAsiaTheme="minorEastAsia"/>
        </w:rPr>
        <w:fldChar w:fldCharType="separate"/>
      </w:r>
      <w:r w:rsidRPr="004D46AC">
        <w:rPr>
          <w:rFonts w:eastAsiaTheme="minorEastAsia"/>
        </w:rPr>
        <w:t>Mutlu et al. (2022)</w:t>
      </w:r>
      <w:r w:rsidRPr="004D46AC">
        <w:rPr>
          <w:rFonts w:eastAsiaTheme="minorEastAsia"/>
        </w:rPr>
        <w:fldChar w:fldCharType="end"/>
      </w:r>
      <w:r w:rsidRPr="004D46AC">
        <w:rPr>
          <w:rFonts w:eastAsiaTheme="minorEastAsia"/>
        </w:rPr>
        <w:t xml:space="preserve"> found similar variations in the subdimensions of the Thought and Language Disorder Scale (TALD-TR) in Turkish patients. They reported that manic patients (</w:t>
      </w:r>
      <w:r w:rsidRPr="004D46AC">
        <w:rPr>
          <w:rFonts w:eastAsiaTheme="minorEastAsia"/>
          <w:i/>
          <w:iCs/>
        </w:rPr>
        <w:t xml:space="preserve">n </w:t>
      </w:r>
      <w:r w:rsidRPr="004D46AC">
        <w:rPr>
          <w:rFonts w:eastAsiaTheme="minorEastAsia"/>
        </w:rPr>
        <w:t xml:space="preserve">= 20) exhibited more severe subjective positive thought problems (e.g., rushing </w:t>
      </w:r>
      <w:r w:rsidRPr="004D46AC">
        <w:rPr>
          <w:rFonts w:eastAsiaTheme="minorEastAsia"/>
        </w:rPr>
        <w:lastRenderedPageBreak/>
        <w:t>thoughts) than patients with schizophrenia (</w:t>
      </w:r>
      <w:r w:rsidRPr="004D46AC">
        <w:rPr>
          <w:rFonts w:eastAsiaTheme="minorEastAsia"/>
          <w:i/>
          <w:iCs/>
        </w:rPr>
        <w:t xml:space="preserve">n </w:t>
      </w:r>
      <w:r w:rsidRPr="004D46AC">
        <w:rPr>
          <w:rFonts w:eastAsiaTheme="minorEastAsia"/>
        </w:rPr>
        <w:t>= 34), while most objective positive thought problems (e.g., derailment, dissociative thinking) were comparable between the groups.</w:t>
      </w:r>
    </w:p>
    <w:p w14:paraId="7F7AA333" w14:textId="77777777" w:rsidR="003D5CB6" w:rsidRPr="004D46AC" w:rsidRDefault="003D5CB6" w:rsidP="00B518F1">
      <w:pPr>
        <w:rPr>
          <w:rFonts w:eastAsiaTheme="minorEastAsia"/>
        </w:rPr>
      </w:pPr>
      <w:r w:rsidRPr="004D46AC">
        <w:rPr>
          <w:rFonts w:eastAsiaTheme="minorEastAsia"/>
        </w:rPr>
        <w:t xml:space="preserve">Empirical findings suggest that bipolar disorder and schizophrenia broadly share psychopathological features of positive thought disorder. This overlap can make it particularly challenging to distinguish between bipolar disorder and schizophrenia during acute episodes, especially when examining the positive features of thought disturbance. The distribution of subdimensions of thought disorder further complicates this distinction, as the manifestation of thought disorder varies across both disorders. Positive thought disorder, much like MIPs and FRS, may serve as an indicator of illness severity. This is supported by the high correlations observed between many subdimensions of the TALD-TR and illness duration in bipolar patients </w:t>
      </w:r>
      <w:r w:rsidRPr="004D46AC">
        <w:rPr>
          <w:rFonts w:eastAsiaTheme="minorEastAsia"/>
        </w:rPr>
        <w:fldChar w:fldCharType="begin"/>
      </w:r>
      <w:r w:rsidRPr="004D46AC">
        <w:rPr>
          <w:rFonts w:eastAsiaTheme="minorEastAsia"/>
        </w:rPr>
        <w:instrText xml:space="preserve"> ADDIN EN.CITE &lt;EndNote&gt;&lt;Cite&gt;&lt;Author&gt;Mutlu&lt;/Author&gt;&lt;Year&gt;2022&lt;/Year&gt;&lt;RecNum&gt;852&lt;/RecNum&gt;&lt;DisplayText&gt;(Mutlu et al., 2022)&lt;/DisplayText&gt;&lt;record&gt;&lt;rec-number&gt;852&lt;/rec-number&gt;&lt;foreign-keys&gt;&lt;key app="EN" db-id="aet009sstawa0hewvt3xwf5atffdw2dt02sw" timestamp="1737384223"&gt;852&lt;/key&gt;&lt;/foreign-keys&gt;&lt;ref-type name="Journal Article"&gt;17&lt;/ref-type&gt;&lt;contributors&gt;&lt;authors&gt;&lt;author&gt;Mutlu, E.&lt;/author&gt;&lt;author&gt;Gurkan, S.&lt;/author&gt;&lt;author&gt;Goka, E.&lt;/author&gt;&lt;author&gt;Yagcioglu, A. E. A.&lt;/author&gt;&lt;/authors&gt;&lt;/contributors&gt;&lt;titles&gt;&lt;title&gt;Comparison of Formal Thought Disorder in the Acute Episode of Schizophrenia and Manic Episode of Bipolar Affective Disorder&lt;/title&gt;&lt;secondary-title&gt;Turk Psikiyatri Derg&lt;/secondary-title&gt;&lt;/titles&gt;&lt;periodical&gt;&lt;full-title&gt;Turk Psikiyatri Derg&lt;/full-title&gt;&lt;/periodical&gt;&lt;pages&gt;223-232&lt;/pages&gt;&lt;volume&gt;33&lt;/volume&gt;&lt;number&gt;4&lt;/number&gt;&lt;keywords&gt;&lt;keyword&gt;Humans&lt;/keyword&gt;&lt;keyword&gt;*Bipolar Disorder/complications/diagnosis/psychology&lt;/keyword&gt;&lt;keyword&gt;*Schizophrenia/diagnosis&lt;/keyword&gt;&lt;keyword&gt;Mania&lt;/keyword&gt;&lt;keyword&gt;*Frontotemporal Dementia&lt;/keyword&gt;&lt;keyword&gt;Language&lt;/keyword&gt;&lt;keyword&gt;Psychiatric Status Rating Scales&lt;/keyword&gt;&lt;keyword&gt;Formal thought disorder&lt;/keyword&gt;&lt;keyword&gt;schizophrenia bipolar affective disorder manic episode.&lt;/keyword&gt;&lt;/keywords&gt;&lt;dates&gt;&lt;year&gt;2022&lt;/year&gt;&lt;pub-dates&gt;&lt;date&gt;Winter&lt;/date&gt;&lt;/pub-dates&gt;&lt;/dates&gt;&lt;orig-pub&gt;Sizofreni ve Ikiuclu Duygudurum Bozuklugunun Akut Hastalik Doneminde Dusunce Sureci Bozukluklarinin Karsilastirilmasi.&lt;/orig-pub&gt;&lt;isbn&gt;2651-3463 (Electronic)&amp;#xD;1300-2163 (Linking)&lt;/isbn&gt;&lt;accession-num&gt;36592101&lt;/accession-num&gt;&lt;urls&gt;&lt;related-urls&gt;&lt;url&gt;https://www.ncbi.nlm.nih.gov/pubmed/36592101&lt;/url&gt;&lt;/related-urls&gt;&lt;/urls&gt;&lt;electronic-resource-num&gt;10.5080/u25886&lt;/electronic-resource-num&gt;&lt;remote-database-name&gt;Medline&lt;/remote-database-name&gt;&lt;remote-database-provider&gt;NLM&lt;/remote-database-provider&gt;&lt;language&gt;eng&amp;#xD;tur&lt;/language&gt;&lt;/record&gt;&lt;/Cite&gt;&lt;/EndNote&gt;</w:instrText>
      </w:r>
      <w:r w:rsidRPr="004D46AC">
        <w:rPr>
          <w:rFonts w:eastAsiaTheme="minorEastAsia"/>
        </w:rPr>
        <w:fldChar w:fldCharType="separate"/>
      </w:r>
      <w:r w:rsidRPr="004D46AC">
        <w:rPr>
          <w:rFonts w:eastAsiaTheme="minorEastAsia"/>
        </w:rPr>
        <w:t>(Mutlu et al., 2022)</w:t>
      </w:r>
      <w:r w:rsidRPr="004D46AC">
        <w:rPr>
          <w:rFonts w:eastAsiaTheme="minorEastAsia"/>
        </w:rPr>
        <w:fldChar w:fldCharType="end"/>
      </w:r>
      <w:r w:rsidRPr="004D46AC">
        <w:rPr>
          <w:rFonts w:eastAsiaTheme="minorEastAsia"/>
        </w:rPr>
        <w:t xml:space="preserve">; the severity of positive thought disorder correlated strongly with manic symptoms, which suggests that mania plays a key factor in the development of thought disturbance in bipolar disorder. Moreover, attention deficits may contribute to the severity and varied manifestations of positive thought disorder </w:t>
      </w:r>
      <w:r w:rsidRPr="004D46AC">
        <w:rPr>
          <w:rFonts w:eastAsiaTheme="minorEastAsia"/>
        </w:rPr>
        <w:fldChar w:fldCharType="begin">
          <w:fldData xml:space="preserve">PEVuZE5vdGU+PENpdGU+PEF1dGhvcj5Nb3JnYW48L0F1dGhvcj48WWVhcj4yMDE3PC9ZZWFyPjxS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PEVuZE5vdGU+PENpdGU+PEF1dGhvcj5Nb3JnYW48L0F1dGhvcj48WWVhcj4yMDE3PC9ZZWFyPjxS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(Morgan et al., 2017)</w:t>
      </w:r>
      <w:r w:rsidRPr="004D46AC">
        <w:rPr>
          <w:rFonts w:eastAsiaTheme="minorEastAsia"/>
        </w:rPr>
        <w:fldChar w:fldCharType="end"/>
      </w:r>
      <w:r w:rsidRPr="004D46AC">
        <w:rPr>
          <w:rFonts w:eastAsiaTheme="minorEastAsia"/>
        </w:rPr>
        <w:t xml:space="preserve">, further shaping its presentation in both bipolar and schizophrenia patients. Meanwhile, biological factors such as white matter density and cognitive factors such as memory capacity may also contribute to the heterogeneities. For a more detailed discussion on the potential causal mechanisms underlying thought disorder by different diagnoses, please refer to the section on neurocognitive overlap. </w:t>
      </w:r>
    </w:p>
    <w:p w14:paraId="1ED3C507" w14:textId="77777777" w:rsidR="003D5CB6" w:rsidRPr="004D46AC" w:rsidRDefault="003D5CB6" w:rsidP="00B518F1">
      <w:pPr>
        <w:pStyle w:val="5"/>
      </w:pPr>
      <w:r w:rsidRPr="004D46AC">
        <w:t>Negative symptoms</w:t>
      </w:r>
    </w:p>
    <w:p w14:paraId="3D3A6DCB" w14:textId="77777777" w:rsidR="003D5CB6" w:rsidRPr="004D46AC" w:rsidRDefault="003D5CB6" w:rsidP="00B518F1">
      <w:pPr>
        <w:rPr>
          <w:rFonts w:eastAsiaTheme="minorEastAsia"/>
        </w:rPr>
      </w:pPr>
      <w:r w:rsidRPr="004D46AC">
        <w:rPr>
          <w:rFonts w:eastAsiaTheme="minorEastAsia"/>
        </w:rPr>
        <w:t xml:space="preserve">The negative symptoms are the defining features of schizophrenia. The prevalence is particularly high (e.g., up to 60%) and often correlates with long term disability and poor prognosis in schizophrenia patients </w:t>
      </w:r>
      <w:r w:rsidRPr="004D46AC">
        <w:rPr>
          <w:rFonts w:eastAsiaTheme="minorEastAsia"/>
        </w:rPr>
        <w:fldChar w:fldCharType="begin">
          <w:fldData xml:space="preserve">PEVuZE5vdGU+PENpdGU+PEF1dGhvcj5Db3JyZWxsPC9BdXRob3I+PFllYXI+MjAyMDwvWWVhcj48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==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PEVuZE5vdGU+PENpdGU+PEF1dGhvcj5Db3JyZWxsPC9BdXRob3I+PFllYXI+MjAyMDwvWWVhcj48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==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(Correll &amp; Schooler, 2020)</w:t>
      </w:r>
      <w:r w:rsidRPr="004D46AC">
        <w:rPr>
          <w:rFonts w:eastAsiaTheme="minorEastAsia"/>
        </w:rPr>
        <w:fldChar w:fldCharType="end"/>
      </w:r>
      <w:r w:rsidRPr="004D46AC">
        <w:rPr>
          <w:rFonts w:eastAsiaTheme="minorEastAsia"/>
        </w:rPr>
        <w:t xml:space="preserve">. However, negative symptoms may not be uniquely associated with schizophrenia as they have been observed in other populations as well.  Bipolar disorder, for example, has been found to be associated with reductions in motivation-related behaviours. The lifetime prevalence of negative symptoms by any forms among patients with bipolar disorder ranges between 16.4% and 56% </w:t>
      </w:r>
      <w:r w:rsidRPr="004D46AC">
        <w:rPr>
          <w:rFonts w:eastAsiaTheme="minorEastAsia"/>
        </w:rPr>
        <w:fldChar w:fldCharType="begin">
          <w:fldData xml:space="preserve">PEVuZE5vdGU+PENpdGU+PEF1dGhvcj5QZXJsbWFuPC9BdXRob3I+PFllYXI+MjAxNjwvWWVhcj48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PEVuZE5vdGU+PENpdGU+PEF1dGhvcj5QZXJsbWFuPC9BdXRob3I+PFllYXI+MjAxNjwvWWVhcj48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(Kulkarni &amp; Himakar, 2022; Perlman et al., 2016)</w:t>
      </w:r>
      <w:r w:rsidRPr="004D46AC">
        <w:rPr>
          <w:rFonts w:eastAsiaTheme="minorEastAsia"/>
        </w:rPr>
        <w:fldChar w:fldCharType="end"/>
      </w:r>
      <w:r w:rsidRPr="004D46AC">
        <w:rPr>
          <w:rFonts w:eastAsiaTheme="minorEastAsia"/>
        </w:rPr>
        <w:t xml:space="preserve">. Evidence is limited regarding the point prevalence of </w:t>
      </w:r>
      <w:r w:rsidRPr="004D46AC">
        <w:rPr>
          <w:rFonts w:eastAsiaTheme="minorEastAsia"/>
        </w:rPr>
        <w:lastRenderedPageBreak/>
        <w:t xml:space="preserve">this condition, with one study reported a prevalence of 8.97% in bipolar patients with MIPs </w:t>
      </w:r>
      <w:r w:rsidRPr="004D46AC">
        <w:rPr>
          <w:rFonts w:eastAsiaTheme="minorEastAsia"/>
        </w:rPr>
        <w:fldChar w:fldCharType="begin">
          <w:fldData xml:space="preserve">PEVuZE5vdGU+PENpdGU+PEF1dGhvcj5QaW5pPC9BdXRob3I+PFllYXI+MjAwNDwvWWVhcj48UmVj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PEVuZE5vdGU+PENpdGU+PEF1dGhvcj5QaW5pPC9BdXRob3I+PFllYXI+MjAwNDwvWWVhcj48UmVj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(Pini et al., 2004)</w:t>
      </w:r>
      <w:r w:rsidRPr="004D46AC">
        <w:rPr>
          <w:rFonts w:eastAsiaTheme="minorEastAsia"/>
        </w:rPr>
        <w:fldChar w:fldCharType="end"/>
      </w:r>
      <w:r w:rsidRPr="004D46AC">
        <w:rPr>
          <w:rFonts w:eastAsiaTheme="minorEastAsia"/>
        </w:rPr>
        <w:t>.</w:t>
      </w:r>
    </w:p>
    <w:p w14:paraId="0592CCD5" w14:textId="77777777" w:rsidR="003D5CB6" w:rsidRPr="004D46AC" w:rsidRDefault="003D5CB6" w:rsidP="00B518F1">
      <w:pPr>
        <w:rPr>
          <w:rFonts w:eastAsiaTheme="minorEastAsia"/>
        </w:rPr>
      </w:pPr>
      <w:r w:rsidRPr="004D46AC">
        <w:rPr>
          <w:rFonts w:eastAsiaTheme="minorEastAsia"/>
        </w:rPr>
        <w:t xml:space="preserve">A few studies have compared the prevalence between patients with major psychoses; regardless of the bipolar type, timeframe, and clinical status, schizophrenia commonly exhibited higher prevalence of symptoms with no exceptions </w:t>
      </w:r>
      <w:r w:rsidRPr="004D46AC">
        <w:rPr>
          <w:rFonts w:eastAsiaTheme="minorEastAsia"/>
        </w:rPr>
        <w:fldChar w:fldCharType="begin">
          <w:fldData xml:space="preserve">PEVuZE5vdGU+PENpdGU+PEF1dGhvcj5QaW5pPC9BdXRob3I+PFllYXI+MjAwNDwvWWVhcj48UmVj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PEVuZE5vdGU+PENpdGU+PEF1dGhvcj5QaW5pPC9BdXRob3I+PFllYXI+MjAwNDwvWWVhcj48UmVj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(McClellan &amp; McCurry, 1999; Pini et al., 2004)</w:t>
      </w:r>
      <w:r w:rsidRPr="004D46AC">
        <w:rPr>
          <w:rFonts w:eastAsiaTheme="minorEastAsia"/>
        </w:rPr>
        <w:fldChar w:fldCharType="end"/>
      </w:r>
      <w:r w:rsidRPr="004D46AC">
        <w:rPr>
          <w:rFonts w:eastAsiaTheme="minorEastAsia"/>
        </w:rPr>
        <w:t xml:space="preserve">. Most studies applied a dimensional approach to examine the profiles of negative symptoms in bipolar disorder and schizophrenia, and the results generally replicated the findings from the comparison on prevalence, irrespective of the assessment tools used </w:t>
      </w:r>
      <w:r w:rsidRPr="004D46AC">
        <w:rPr>
          <w:rFonts w:eastAsiaTheme="minorEastAsia"/>
        </w:rPr>
        <w:fldChar w:fldCharType="begin">
          <w:fldData xml:space="preserve">PEVuZE5vdGU+PENpdGU+PEF1dGhvcj5EZSBQaWVyaTwvQXV0aG9yPjxZZWFyPjIwMjQ8L1llYXI+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PEVuZE5vdGU+PENpdGU+PEF1dGhvcj5EZSBQaWVyaTwvQXV0aG9yPjxZZWFyPjIwMjQ8L1llYXI+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(Besnier et al., 2011; De Pieri et al., 2024; Tamminga et al., 2014)</w:t>
      </w:r>
      <w:r w:rsidRPr="004D46AC">
        <w:rPr>
          <w:rFonts w:eastAsiaTheme="minorEastAsia"/>
        </w:rPr>
        <w:fldChar w:fldCharType="end"/>
      </w:r>
      <w:r w:rsidRPr="004D46AC">
        <w:rPr>
          <w:rFonts w:eastAsiaTheme="minorEastAsia"/>
        </w:rPr>
        <w:t xml:space="preserve">. An inconsistent finding was reported by </w:t>
      </w:r>
      <w:r w:rsidRPr="004D46AC">
        <w:rPr>
          <w:rFonts w:eastAsiaTheme="minorEastAsia"/>
        </w:rPr>
        <w:fldChar w:fldCharType="begin">
          <w:fldData xml:space="preserve">PEVuZE5vdGU+PENpdGUgQXV0aG9yWWVhcj0iMSI+PEF1dGhvcj5NZWxjaGVyPC9BdXRob3I+PFll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PEVuZE5vdGU+PENpdGUgQXV0aG9yWWVhcj0iMSI+PEF1dGhvcj5NZWxjaGVyPC9BdXRob3I+PFll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Melcher et al. (2014)</w:t>
      </w:r>
      <w:r w:rsidRPr="004D46AC">
        <w:rPr>
          <w:rFonts w:eastAsiaTheme="minorEastAsia"/>
        </w:rPr>
        <w:fldChar w:fldCharType="end"/>
      </w:r>
      <w:r w:rsidRPr="004D46AC">
        <w:rPr>
          <w:rFonts w:eastAsiaTheme="minorEastAsia"/>
        </w:rPr>
        <w:t xml:space="preserve">, where the schizophrenia and bipolar patients exhibited similar level of negative symptoms. In addition, the negative symptoms appeared to be fairly stable in different populations across a 12-month interval </w:t>
      </w:r>
      <w:r w:rsidRPr="004D46AC">
        <w:rPr>
          <w:rFonts w:eastAsiaTheme="minorEastAsia"/>
        </w:rPr>
        <w:fldChar w:fldCharType="begin">
          <w:fldData xml:space="preserve">PEVuZE5vdGU+PENpdGU+PEF1dGhvcj5UYWJhcmVzLVNlaXNkZWRvczwvQXV0aG9yPjxZZWFyPjIw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PEVuZE5vdGU+PENpdGU+PEF1dGhvcj5UYWJhcmVzLVNlaXNkZWRvczwvQXV0aG9yPjxZZWFyPjIw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(Tabares-Seisdedos et al., 2008)</w:t>
      </w:r>
      <w:r w:rsidRPr="004D46AC">
        <w:rPr>
          <w:rFonts w:eastAsiaTheme="minorEastAsia"/>
        </w:rPr>
        <w:fldChar w:fldCharType="end"/>
      </w:r>
      <w:r w:rsidRPr="004D46AC">
        <w:rPr>
          <w:rFonts w:eastAsiaTheme="minorEastAsia"/>
        </w:rPr>
        <w:t>, suggesting that the negative symptoms might be trait like to both patients.</w:t>
      </w:r>
    </w:p>
    <w:p w14:paraId="6BC8B0D0" w14:textId="77777777" w:rsidR="003D5CB6" w:rsidRPr="004D46AC" w:rsidRDefault="003D5CB6" w:rsidP="00B518F1">
      <w:pPr>
        <w:rPr>
          <w:rFonts w:eastAsiaTheme="minorEastAsia"/>
        </w:rPr>
      </w:pPr>
      <w:r w:rsidRPr="004D46AC">
        <w:rPr>
          <w:rFonts w:eastAsiaTheme="minorEastAsia"/>
        </w:rPr>
        <w:t xml:space="preserve">More recently, </w:t>
      </w:r>
      <w:r w:rsidRPr="004D46AC">
        <w:rPr>
          <w:rFonts w:eastAsiaTheme="minorEastAsia"/>
        </w:rPr>
        <w:fldChar w:fldCharType="begin">
          <w:fldData xml:space="preserve">PEVuZE5vdGU+PENpdGUgQXV0aG9yWWVhcj0iMSI+PEF1dGhvcj5TdHJhdXNzPC9BdXRob3I+PFll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PEVuZE5vdGU+PENpdGUgQXV0aG9yWWVhcj0iMSI+PEF1dGhvcj5TdHJhdXNzPC9BdXRob3I+PFll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Strauss et al. (2019)</w:t>
      </w:r>
      <w:r w:rsidRPr="004D46AC">
        <w:rPr>
          <w:rFonts w:eastAsiaTheme="minorEastAsia"/>
        </w:rPr>
        <w:fldChar w:fldCharType="end"/>
      </w:r>
      <w:r w:rsidRPr="004D46AC">
        <w:t xml:space="preserve"> </w:t>
      </w:r>
      <w:r w:rsidRPr="004D46AC">
        <w:rPr>
          <w:rFonts w:eastAsiaTheme="minorEastAsia"/>
        </w:rPr>
        <w:t xml:space="preserve">employed a network model to compare the structure of negative symptoms between bipolar disorder and schizophrenia patients. The network model conceptualises mental disorders as networks composed of interacting symptoms. In this framework, symptom relationships are represented as edge weights, which are the weighted partial correlation coefficients between symptoms. Local network properties, such as node centralities, are used to assess whether network structures remain consistent across diagnostic groups. For instance, node strength, which reflects the degree of connectedness between a given node and other nodes in the network, serves as a key indicator of node importance. This analysis utilized negative symptoms assessed through items from the Brief Negative Symptom Scale (BNSS) and compared the corresponding network structures among patients with schizophrenia, bipolar disorder, and healthy controls. The results indicated differences in network structure between bipolar and schizophrenia patients. Specifically, alogia emerged as the most central node in the schizophrenia network, </w:t>
      </w:r>
      <w:r w:rsidRPr="004D46AC">
        <w:rPr>
          <w:rFonts w:eastAsiaTheme="minorEastAsia"/>
        </w:rPr>
        <w:lastRenderedPageBreak/>
        <w:t>while anhedonia was the most central symptom in the networks of bipolar and healthy controls.</w:t>
      </w:r>
    </w:p>
    <w:p w14:paraId="0D340690" w14:textId="77777777" w:rsidR="003D5CB6" w:rsidRPr="004D46AC" w:rsidRDefault="003D5CB6" w:rsidP="00B518F1">
      <w:pPr>
        <w:rPr>
          <w:rFonts w:eastAsiaTheme="minorEastAsia"/>
        </w:rPr>
      </w:pPr>
      <w:r w:rsidRPr="004D46AC">
        <w:rPr>
          <w:rFonts w:eastAsiaTheme="minorEastAsia"/>
        </w:rPr>
        <w:t xml:space="preserve">Negative symptoms are generally more prominent in schizophrenia than bipolar patients. However, some studies have found that specific negative symptoms, such as anhedonia and avolition, are indistinguishable between bipolar disorder and schizophrenia, suggesting that certain negative features may be transdiagnostic. Additionally, prior research has emphasised the relationship between mood and negative symptoms. For example, the exclusive presence of negative symptoms in patients with mixed episodes, but not in those with manic episodes, in bipolar disorder with MIPs, alongside a statistically significant correlation between depression and the severity of negative symptoms </w:t>
      </w:r>
      <w:r w:rsidRPr="004D46AC">
        <w:rPr>
          <w:rFonts w:eastAsiaTheme="minorEastAsia"/>
        </w:rPr>
        <w:fldChar w:fldCharType="begin">
          <w:fldData xml:space="preserve">PEVuZE5vdGU+PENpdGU+PEF1dGhvcj5QaW5pPC9BdXRob3I+PFllYXI+MjAwNDwvWWVhcj48UmVj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PEVuZE5vdGU+PENpdGU+PEF1dGhvcj5QaW5pPC9BdXRob3I+PFllYXI+MjAwNDwvWWVhcj48UmVj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(De Pieri et al., 2024; Pini et al., 2004)</w:t>
      </w:r>
      <w:r w:rsidRPr="004D46AC">
        <w:rPr>
          <w:rFonts w:eastAsiaTheme="minorEastAsia"/>
        </w:rPr>
        <w:fldChar w:fldCharType="end"/>
      </w:r>
      <w:r w:rsidRPr="004D46AC">
        <w:rPr>
          <w:rFonts w:eastAsiaTheme="minorEastAsia"/>
        </w:rPr>
        <w:t>. Network studies provide preliminary evidence that the structure of negative symptoms differs between schizophrenia, bipolar disorder, and healthy controls. While there are dimensional overlaps in symptomatology, the underlying mechanisms or interactions between symptoms may vary between these populations.</w:t>
      </w:r>
    </w:p>
    <w:p w14:paraId="1FEC847A" w14:textId="77777777" w:rsidR="003D5CB6" w:rsidRPr="004D46AC" w:rsidRDefault="003D5CB6" w:rsidP="00B518F1">
      <w:pPr>
        <w:pStyle w:val="5"/>
      </w:pPr>
      <w:r w:rsidRPr="004D46AC">
        <w:t>Affective symptoms</w:t>
      </w:r>
    </w:p>
    <w:p w14:paraId="4FA2FEB5" w14:textId="77777777" w:rsidR="003D5CB6" w:rsidRPr="004D46AC" w:rsidRDefault="003D5CB6" w:rsidP="00B518F1">
      <w:pPr>
        <w:rPr>
          <w:rFonts w:eastAsiaTheme="minorEastAsia"/>
        </w:rPr>
      </w:pPr>
      <w:r w:rsidRPr="004D46AC">
        <w:rPr>
          <w:rFonts w:eastAsiaTheme="minorEastAsia"/>
        </w:rPr>
        <w:t>Affective symptoms, or dysregulated mood patterns, hold important diagnostic value for mood disorders such as bipolar disorder. Manic episodes, which are required for a diagnosis of bipolar I, are primarily characterised by prolonged irritability, elevated mood, increased energy, and heightened motor activity. Conversely, depressive episodes are marked by sustained low mood and a loss of interest or pleasure. However, the detailed phenomenology of individual mood symptoms is rarely examined in schizophrenia patients. Most studies report mood symptoms in schizophrenia through overall severity scores for depressive or manic symptoms, with only a few studies assessing their prevalence using cutoff scores on assessment tools or clinical interviews.</w:t>
      </w:r>
    </w:p>
    <w:p w14:paraId="3B123D0C" w14:textId="77777777" w:rsidR="003D5CB6" w:rsidRPr="004D46AC" w:rsidRDefault="003D5CB6" w:rsidP="00B518F1">
      <w:pPr>
        <w:rPr>
          <w:rFonts w:eastAsiaTheme="minorEastAsia"/>
        </w:rPr>
      </w:pPr>
      <w:r w:rsidRPr="004D46AC">
        <w:rPr>
          <w:rFonts w:eastAsiaTheme="minorEastAsia"/>
        </w:rPr>
        <w:t xml:space="preserve">Mood psychopathology is not uncommon in schizophrenia, though the severity of mood symptoms and comparisons with bipolar disorder yield mixed findings. </w:t>
      </w:r>
      <w:r w:rsidRPr="004D46AC">
        <w:rPr>
          <w:rFonts w:eastAsiaTheme="minorEastAsia"/>
        </w:rPr>
        <w:fldChar w:fldCharType="begin">
          <w:fldData xml:space="preserve">PEVuZE5vdGU+PENpdGUgQXV0aG9yWWVhcj0iMSI+PEF1dGhvcj5TbWl0aDwvQXV0aG9yPjxZZWFy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==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PEVuZE5vdGU+PENpdGUgQXV0aG9yWWVhcj0iMSI+PEF1dGhvcj5TbWl0aDwvQXV0aG9yPjxZZWFy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==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Smith et al. (2024)</w:t>
      </w:r>
      <w:r w:rsidRPr="004D46AC">
        <w:rPr>
          <w:rFonts w:eastAsiaTheme="minorEastAsia"/>
        </w:rPr>
        <w:fldChar w:fldCharType="end"/>
      </w:r>
      <w:r w:rsidRPr="004D46AC">
        <w:rPr>
          <w:rFonts w:eastAsiaTheme="minorEastAsia"/>
        </w:rPr>
        <w:t xml:space="preserve"> used cutoff scores on the Beck Depression Inventory (BDI) and the YMRS to compare schizophrenia and psychotic bipolar patients. Their results indicated comparable </w:t>
      </w:r>
      <w:r w:rsidRPr="004D46AC">
        <w:rPr>
          <w:rFonts w:eastAsiaTheme="minorEastAsia"/>
        </w:rPr>
        <w:lastRenderedPageBreak/>
        <w:t xml:space="preserve">raw prevalence rates of depression between the two groups (77.6% in schizophrenia and 75% in bipolar disorder). However, the prevalence of mania or hypomania was higher in bipolar disorder patients (20.8%) compared to schizophrenia patients (6.1%). Nonetheless, the distribution of depression severity differed between groups, with a higher percentage of severely depressed patients in the bipolar group (31.3%) compared to the schizophrenia group (14.3%). More broadly, a study using ecological momentary assessment found that sadness was experienced more frequently in bipolar patients (95.77% of 71 bipolar patients) than in schizophrenia patients (81.37% of 101 schizophrenia patients). Consistent findings regarding the severity of symptoms were reported by prior studies of patients with acute paranoia schizophrenia and manic bipolar disorder </w:t>
      </w:r>
      <w:r w:rsidRPr="004D46AC">
        <w:rPr>
          <w:rFonts w:eastAsiaTheme="minorEastAsia"/>
        </w:rPr>
        <w:fldChar w:fldCharType="begin"/>
      </w:r>
      <w:r w:rsidRPr="004D46AC">
        <w:rPr>
          <w:rFonts w:eastAsiaTheme="minorEastAsia"/>
        </w:rPr>
        <w:instrText xml:space="preserve"> ADDIN EN.CITE &lt;EndNote&gt;&lt;Cite&gt;&lt;Author&gt;Besnier&lt;/Author&gt;&lt;Year&gt;2011&lt;/Year&gt;&lt;RecNum&gt;858&lt;/RecNum&gt;&lt;DisplayText&gt;(Besnier et al., 2011)&lt;/DisplayText&gt;&lt;record&gt;&lt;rec-number&gt;858&lt;/rec-number&gt;&lt;foreign-keys&gt;&lt;key app="EN" db-id="aet009sstawa0hewvt3xwf5atffdw2dt02sw" timestamp="1737556753"&gt;858&lt;/key&gt;&lt;/foreign-keys&gt;&lt;ref-type name="Journal Article"&gt;17&lt;/ref-type&gt;&lt;contributors&gt;&lt;authors&gt;&lt;author&gt;Besnier, N.&lt;/author&gt;&lt;author&gt;Kaladjian, A.&lt;/author&gt;&lt;author&gt;Mazzola-Pomietto, P.&lt;/author&gt;&lt;author&gt;Adida, M.&lt;/author&gt;&lt;author&gt;Fakra, E.&lt;/author&gt;&lt;author&gt;Jeanningros, R.&lt;/author&gt;&lt;author&gt;Azorin, J. M.&lt;/author&gt;&lt;/authors&gt;&lt;/contributors&gt;&lt;auth-address&gt;Pole Universitaire de Psychiatrie Adultes, CHU Sainte Marguerite, Marseille, France. besnier_nathalie@yahoo.fr&lt;/auth-address&gt;&lt;titles&gt;&lt;title&gt;Differential responses to emotional interference in paranoid schizophrenia and bipolar mania&lt;/title&gt;&lt;secondary-title&gt;Psychopathology&lt;/secondary-title&gt;&lt;/titles&gt;&lt;periodical&gt;&lt;full-title&gt;Psychopathology&lt;/full-title&gt;&lt;/periodical&gt;&lt;pages&gt;1-11&lt;/pages&gt;&lt;volume&gt;44&lt;/volume&gt;&lt;number&gt;1&lt;/number&gt;&lt;edition&gt;20101027&lt;/edition&gt;&lt;keywords&gt;&lt;keyword&gt;Adult&lt;/keyword&gt;&lt;keyword&gt;Analysis of Variance&lt;/keyword&gt;&lt;keyword&gt;Bipolar Disorder/*psychology&lt;/keyword&gt;&lt;keyword&gt;*Emotions&lt;/keyword&gt;&lt;keyword&gt;Female&lt;/keyword&gt;&lt;keyword&gt;Humans&lt;/keyword&gt;&lt;keyword&gt;Male&lt;/keyword&gt;&lt;keyword&gt;Middle Aged&lt;/keyword&gt;&lt;keyword&gt;Neuropsychological Tests&lt;/keyword&gt;&lt;keyword&gt;Reaction Time&lt;/keyword&gt;&lt;keyword&gt;*Schizophrenic Psychology&lt;/keyword&gt;&lt;keyword&gt;Statistics, Nonparametric&lt;/keyword&gt;&lt;/keywords&gt;&lt;dates&gt;&lt;year&gt;2011&lt;/year&gt;&lt;/dates&gt;&lt;isbn&gt;1423-033X (Electronic)&amp;#xD;0254-4962 (Linking)&lt;/isbn&gt;&lt;accession-num&gt;20980782&lt;/accession-num&gt;&lt;urls&gt;&lt;related-urls&gt;&lt;url&gt;https://www.ncbi.nlm.nih.gov/pubmed/20980782&lt;/url&gt;&lt;/related-urls&gt;&lt;/urls&gt;&lt;electronic-resource-num&gt;10.1159/000322097&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(Besnier et al., 2011)</w:t>
      </w:r>
      <w:r w:rsidRPr="004D46AC">
        <w:rPr>
          <w:rFonts w:eastAsiaTheme="minorEastAsia"/>
        </w:rPr>
        <w:fldChar w:fldCharType="end"/>
      </w:r>
      <w:r w:rsidRPr="004D46AC">
        <w:rPr>
          <w:rFonts w:eastAsiaTheme="minorEastAsia"/>
        </w:rPr>
        <w:t xml:space="preserve">, hallucinating schizophrenia and bipolar disorder </w:t>
      </w:r>
      <w:r w:rsidRPr="004D46AC">
        <w:rPr>
          <w:rFonts w:eastAsiaTheme="minorEastAsia"/>
        </w:rPr>
        <w:fldChar w:fldCharType="begin">
          <w:fldData xml:space="preserve">PEVuZE5vdGU+PENpdGU+PEF1dGhvcj5Sb3NzZWxsPC9BdXRob3I+PFllYXI+MjAxOTwvWWVhcj48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PEVuZE5vdGU+PENpdGU+PEF1dGhvcj5Sb3NzZWxsPC9BdXRob3I+PFllYXI+MjAxOTwvWWVhcj48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(Rossell et al., 2019)</w:t>
      </w:r>
      <w:r w:rsidRPr="004D46AC">
        <w:rPr>
          <w:rFonts w:eastAsiaTheme="minorEastAsia"/>
        </w:rPr>
        <w:fldChar w:fldCharType="end"/>
      </w:r>
      <w:r w:rsidRPr="004D46AC">
        <w:rPr>
          <w:rFonts w:eastAsiaTheme="minorEastAsia"/>
        </w:rPr>
        <w:t xml:space="preserve">, first episode schizophrenia and bipolar disorder </w:t>
      </w:r>
      <w:r w:rsidRPr="004D46AC">
        <w:rPr>
          <w:rFonts w:eastAsiaTheme="minorEastAsia"/>
        </w:rPr>
        <w:fldChar w:fldCharType="begin">
          <w:fldData xml:space="preserve">PEVuZE5vdGU+PENpdGU+PEF1dGhvcj5ZdTwvQXV0aG9yPjxZZWFyPjIwMjM8L1llYXI+PFJlY051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PEVuZE5vdGU+PENpdGU+PEF1dGhvcj5ZdTwvQXV0aG9yPjxZZWFyPjIwMjM8L1llYXI+PFJlY051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(Yu et al., 2023)</w:t>
      </w:r>
      <w:r w:rsidRPr="004D46AC">
        <w:rPr>
          <w:rFonts w:eastAsiaTheme="minorEastAsia"/>
        </w:rPr>
        <w:fldChar w:fldCharType="end"/>
      </w:r>
      <w:r w:rsidRPr="004D46AC">
        <w:rPr>
          <w:rFonts w:eastAsiaTheme="minorEastAsia"/>
        </w:rPr>
        <w:t xml:space="preserve">, schizophrenia and bipolar I </w:t>
      </w:r>
      <w:r w:rsidRPr="004D46AC">
        <w:rPr>
          <w:rFonts w:eastAsiaTheme="minorEastAsia"/>
        </w:rPr>
        <w:fldChar w:fldCharType="begin">
          <w:fldData xml:space="preserve">PEVuZE5vdGU+PENpdGU+PEF1dGhvcj5EZSBQaWVyaTwvQXV0aG9yPjxZZWFyPjIwMjQ8L1llYXI+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PEVuZE5vdGU+PENpdGU+PEF1dGhvcj5EZSBQaWVyaTwvQXV0aG9yPjxZZWFyPjIwMjQ8L1llYXI+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(De Pieri et al., 2024)</w:t>
      </w:r>
      <w:r w:rsidRPr="004D46AC">
        <w:rPr>
          <w:rFonts w:eastAsiaTheme="minorEastAsia"/>
        </w:rPr>
        <w:fldChar w:fldCharType="end"/>
      </w:r>
      <w:r w:rsidRPr="004D46AC">
        <w:rPr>
          <w:rFonts w:eastAsiaTheme="minorEastAsia"/>
        </w:rPr>
        <w:t xml:space="preserve">,  as well as general bipolar disorder and schizophrenia patients </w:t>
      </w:r>
      <w:r w:rsidRPr="004D46AC">
        <w:rPr>
          <w:rFonts w:eastAsiaTheme="minorEastAsia"/>
        </w:rPr>
        <w:fldChar w:fldCharType="begin">
          <w:fldData xml:space="preserve">PEVuZE5vdGU+PENpdGU+PEF1dGhvcj5Ub2g8L0F1dGhvcj48WWVhcj4yMDE2PC9ZZWFyPjxSZWNO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==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PEVuZE5vdGU+PENpdGU+PEF1dGhvcj5Ub2g8L0F1dGhvcj48WWVhcj4yMDE2PC9ZZWFyPjxSZWNO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==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(Song et al., 2015; Toh et al., 2016; Zhu et al., 2019)</w:t>
      </w:r>
      <w:r w:rsidRPr="004D46AC">
        <w:rPr>
          <w:rFonts w:eastAsiaTheme="minorEastAsia"/>
        </w:rPr>
        <w:fldChar w:fldCharType="end"/>
      </w:r>
      <w:r w:rsidRPr="004D46AC">
        <w:rPr>
          <w:rFonts w:eastAsiaTheme="minorEastAsia"/>
        </w:rPr>
        <w:t xml:space="preserve">. Nonetheless, there are also evidence suggesting the symptom severity was comparable between groups </w:t>
      </w:r>
      <w:r w:rsidRPr="004D46AC">
        <w:rPr>
          <w:rFonts w:eastAsiaTheme="minorEastAsia"/>
        </w:rPr>
        <w:fldChar w:fldCharType="begin">
          <w:fldData xml:space="preserve">PEVuZE5vdGU+PENpdGU+PEF1dGhvcj5UYW1taW5nYTwvQXV0aG9yPjxZZWFyPjIwMTQ8L1llYXI+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PEVuZE5vdGU+PENpdGU+PEF1dGhvcj5UYW1taW5nYTwvQXV0aG9yPjxZZWFyPjIwMTQ8L1llYXI+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(Pagel et al., 2013; Stein et al., 2022; Tamminga et al., 2014)</w:t>
      </w:r>
      <w:r w:rsidRPr="004D46AC">
        <w:rPr>
          <w:rFonts w:eastAsiaTheme="minorEastAsia"/>
        </w:rPr>
        <w:fldChar w:fldCharType="end"/>
      </w:r>
      <w:r w:rsidRPr="004D46AC">
        <w:rPr>
          <w:rFonts w:eastAsiaTheme="minorEastAsia"/>
        </w:rPr>
        <w:t xml:space="preserve">, or possibly even more severe in schizophrenia patients </w:t>
      </w:r>
      <w:r w:rsidRPr="004D46AC">
        <w:rPr>
          <w:rFonts w:eastAsiaTheme="minorEastAsia"/>
        </w:rPr>
        <w:fldChar w:fldCharType="begin">
          <w:fldData xml:space="preserve">PEVuZE5vdGU+PENpdGU+PEF1dGhvcj5IYXVnPC9BdXRob3I+PFllYXI+MjAxMjwvWWVhcj48UmVj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PEVuZE5vdGU+PENpdGU+PEF1dGhvcj5IYXVnPC9BdXRob3I+PFllYXI+MjAxMjwvWWVhcj48UmVj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(Haug et al., 2012; Simonsen et al., 2010; Tabares-Seisdedos et al., 2008)</w:t>
      </w:r>
      <w:r w:rsidRPr="004D46AC">
        <w:rPr>
          <w:rFonts w:eastAsiaTheme="minorEastAsia"/>
        </w:rPr>
        <w:fldChar w:fldCharType="end"/>
      </w:r>
      <w:r w:rsidRPr="004D46AC">
        <w:rPr>
          <w:rFonts w:eastAsiaTheme="minorEastAsia"/>
        </w:rPr>
        <w:t xml:space="preserve">. </w:t>
      </w:r>
    </w:p>
    <w:p w14:paraId="7529A2EF" w14:textId="746EC7EF" w:rsidR="003D5CB6" w:rsidRPr="004D46AC" w:rsidRDefault="003D5CB6" w:rsidP="0022744D">
      <w:pPr>
        <w:rPr>
          <w:rFonts w:eastAsiaTheme="minorEastAsia"/>
        </w:rPr>
      </w:pPr>
      <w:r w:rsidRPr="004D46AC">
        <w:rPr>
          <w:rFonts w:eastAsiaTheme="minorEastAsia"/>
        </w:rPr>
        <w:t xml:space="preserve">As demonstrated by </w:t>
      </w:r>
      <w:proofErr w:type="gramStart"/>
      <w:r w:rsidRPr="004D46AC">
        <w:rPr>
          <w:rFonts w:eastAsiaTheme="minorEastAsia"/>
        </w:rPr>
        <w:t>the majority of</w:t>
      </w:r>
      <w:proofErr w:type="gramEnd"/>
      <w:r w:rsidRPr="004D46AC">
        <w:rPr>
          <w:rFonts w:eastAsiaTheme="minorEastAsia"/>
        </w:rPr>
        <w:t xml:space="preserve"> studies, mood symptoms are cardinal features of bipolar disorder. However, their predominant presence in schizophrenia patients can pose significant diagnostic challenges for clinicians. Furthermore, the relationship between mood and psychotic features is particularly relevant to this thesis. While prior research has suggested a close connection between these two syndromes and potential pathways linking mood disturbances with various forms of psychosis, many details remain unexplored - particularly regarding their phenomenological relationship.</w:t>
      </w:r>
      <w:r w:rsidRPr="004D46AC">
        <w:t xml:space="preserve"> </w:t>
      </w:r>
      <w:r w:rsidRPr="004D46AC">
        <w:rPr>
          <w:rFonts w:eastAsiaTheme="minorEastAsia"/>
        </w:rPr>
        <w:t xml:space="preserve">For example, most studies have examined the relationship between mood and various forms of psychosis using dimensional sum scores, while few have explored the unique relationships between individual symptoms. </w:t>
      </w:r>
    </w:p>
    <w:p w14:paraId="595C92AC" w14:textId="77777777" w:rsidR="003D5CB6" w:rsidRPr="004D46AC" w:rsidRDefault="003D5CB6" w:rsidP="00B518F1">
      <w:pPr>
        <w:pStyle w:val="5"/>
      </w:pPr>
      <w:r w:rsidRPr="004D46AC">
        <w:lastRenderedPageBreak/>
        <w:t>The prodromal stage</w:t>
      </w:r>
    </w:p>
    <w:p w14:paraId="4F73C765" w14:textId="77777777" w:rsidR="003D5CB6" w:rsidRPr="004D46AC" w:rsidRDefault="003D5CB6" w:rsidP="00B518F1">
      <w:pPr>
        <w:rPr>
          <w:rFonts w:eastAsiaTheme="minorEastAsia"/>
        </w:rPr>
      </w:pPr>
      <w:r w:rsidRPr="004D46AC">
        <w:rPr>
          <w:rFonts w:eastAsiaTheme="minorEastAsia"/>
        </w:rPr>
        <w:t>Given these complexities, it is valuable to explore the prodromal features or early signs of mental disorders through a transdiagnostic lens. This approach would emphasise how the severity and interplay of different symptoms contribute to the emergence of specific diagnostic outcomes, offering a more nuanced understanding of the boundary between mood and psychotic disorders.</w:t>
      </w:r>
    </w:p>
    <w:p w14:paraId="27B551A6" w14:textId="77777777" w:rsidR="003D5CB6" w:rsidRPr="004D46AC" w:rsidRDefault="003D5CB6" w:rsidP="00B518F1">
      <w:pPr>
        <w:rPr>
          <w:rFonts w:eastAsiaTheme="minorEastAsia"/>
        </w:rPr>
      </w:pPr>
      <w:r w:rsidRPr="004D46AC">
        <w:rPr>
          <w:rFonts w:eastAsiaTheme="minorEastAsia"/>
        </w:rPr>
        <w:t xml:space="preserve"> A necessary preliminary question before delving deeper into this area is what constitutes the prodromal stage of major psychoses. The term </w:t>
      </w:r>
      <w:r w:rsidRPr="004D46AC">
        <w:rPr>
          <w:rFonts w:eastAsiaTheme="minorEastAsia"/>
          <w:i/>
          <w:iCs/>
        </w:rPr>
        <w:t>prodrome</w:t>
      </w:r>
      <w:r w:rsidRPr="004D46AC">
        <w:rPr>
          <w:rFonts w:eastAsiaTheme="minorEastAsia"/>
        </w:rPr>
        <w:t xml:space="preserve">, or </w:t>
      </w:r>
      <w:r w:rsidRPr="004D46AC">
        <w:rPr>
          <w:rFonts w:eastAsiaTheme="minorEastAsia"/>
          <w:i/>
          <w:iCs/>
        </w:rPr>
        <w:t>prodromal features</w:t>
      </w:r>
      <w:r w:rsidRPr="004D46AC">
        <w:rPr>
          <w:rFonts w:eastAsiaTheme="minorEastAsia"/>
        </w:rPr>
        <w:t xml:space="preserve">, originates from the Greek word </w:t>
      </w:r>
      <w:proofErr w:type="spellStart"/>
      <w:r w:rsidRPr="004D46AC">
        <w:rPr>
          <w:rFonts w:eastAsiaTheme="minorEastAsia"/>
          <w:i/>
          <w:iCs/>
        </w:rPr>
        <w:t>prodromos</w:t>
      </w:r>
      <w:proofErr w:type="spellEnd"/>
      <w:r w:rsidRPr="004D46AC">
        <w:rPr>
          <w:rFonts w:eastAsiaTheme="minorEastAsia"/>
        </w:rPr>
        <w:t xml:space="preserve">, meaning "forerunner" or "precursor" of an event. In medical science, the concept of a prodromal stage is well established, particularly in the context of infectious diseases. In psychiatry, the prodromal phase is defined as the interval between the emergence of the first symptom and the point at which the illness reaches its maximum severity </w:t>
      </w:r>
      <w:r w:rsidRPr="004D46AC">
        <w:rPr>
          <w:rFonts w:eastAsiaTheme="minorEastAsia"/>
        </w:rPr>
        <w:fldChar w:fldCharType="begin"/>
      </w:r>
      <w:r w:rsidRPr="004D46AC">
        <w:rPr>
          <w:rFonts w:eastAsiaTheme="minorEastAsia"/>
        </w:rPr>
        <w:instrText xml:space="preserve"> ADDIN EN.CITE &lt;EndNote&gt;&lt;Cite&gt;&lt;Author&gt;Fava&lt;/Author&gt;&lt;Year&gt;1991&lt;/Year&gt;&lt;RecNum&gt;1005&lt;/RecNum&gt;&lt;DisplayText&gt;(Fava &amp;amp; Kellner, 1991)&lt;/DisplayText&gt;&lt;record&gt;&lt;rec-number&gt;1005&lt;/rec-number&gt;&lt;foreign-keys&gt;&lt;key app="EN" db-id="aet009sstawa0hewvt3xwf5atffdw2dt02sw" timestamp="1746224731"&gt;1005&lt;/key&gt;&lt;/foreign-keys&gt;&lt;ref-type name="Journal Article"&gt;17&lt;/ref-type&gt;&lt;contributors&gt;&lt;authors&gt;&lt;author&gt;Fava, G. A.&lt;/author&gt;&lt;author&gt;Kellner, R.&lt;/author&gt;&lt;/authors&gt;&lt;/contributors&gt;&lt;auth-address&gt;Department of Psychology, University of Bologna, Italy.&lt;/auth-address&gt;&lt;titles&gt;&lt;title&gt;Prodromal symptoms in affective disorders&lt;/title&gt;&lt;secondary-title&gt;Am J Psychiatry&lt;/secondary-title&gt;&lt;/titles&gt;&lt;periodical&gt;&lt;full-title&gt;Am J Psychiatry&lt;/full-title&gt;&lt;/periodical&gt;&lt;pages&gt;823-30&lt;/pages&gt;&lt;volume&gt;148&lt;/volume&gt;&lt;number&gt;7&lt;/number&gt;&lt;keywords&gt;&lt;keyword&gt;Anxiety Disorders/*diagnosis/psychology&lt;/keyword&gt;&lt;keyword&gt;Biomarkers&lt;/keyword&gt;&lt;keyword&gt;Bipolar Disorder/*diagnosis/psychology&lt;/keyword&gt;&lt;keyword&gt;Depressive Disorder/*diagnosis/psychology&lt;/keyword&gt;&lt;keyword&gt;Follow-Up Studies&lt;/keyword&gt;&lt;keyword&gt;Humans&lt;/keyword&gt;&lt;keyword&gt;Longitudinal Studies&lt;/keyword&gt;&lt;keyword&gt;*Panic&lt;/keyword&gt;&lt;keyword&gt;Personality Inventory&lt;/keyword&gt;&lt;/keywords&gt;&lt;dates&gt;&lt;year&gt;1991&lt;/year&gt;&lt;pub-dates&gt;&lt;date&gt;Jul&lt;/date&gt;&lt;/pub-dates&gt;&lt;/dates&gt;&lt;isbn&gt;0002-953X (Print)&amp;#xD;0002-953x&lt;/isbn&gt;&lt;accession-num&gt;2053620&lt;/accession-num&gt;&lt;urls&gt;&lt;/urls&gt;&lt;electronic-resource-num&gt;10.1176/ajp.148.7.823&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(Fava &amp; Kellner, 1991)</w:t>
      </w:r>
      <w:r w:rsidRPr="004D46AC">
        <w:rPr>
          <w:rFonts w:eastAsiaTheme="minorEastAsia"/>
        </w:rPr>
        <w:fldChar w:fldCharType="end"/>
      </w:r>
      <w:r w:rsidRPr="004D46AC">
        <w:rPr>
          <w:rFonts w:eastAsiaTheme="minorEastAsia"/>
        </w:rPr>
        <w:t>.  However, despite increasing research interest, the prodromal phase remains a complex and somewhat elusive concept in psychiatry due to the heterogeneous trajectories of mental disorders. Defining this stage within the constraints of categorical diagnostic systems continues to be a matter of debate.</w:t>
      </w:r>
    </w:p>
    <w:p w14:paraId="720A0C9E" w14:textId="77777777" w:rsidR="003D5CB6" w:rsidRPr="004D46AC" w:rsidRDefault="003D5CB6" w:rsidP="00B518F1">
      <w:pPr>
        <w:rPr>
          <w:rFonts w:eastAsiaTheme="minorEastAsia"/>
        </w:rPr>
      </w:pPr>
      <w:r w:rsidRPr="004D46AC">
        <w:rPr>
          <w:rFonts w:eastAsiaTheme="minorEastAsia"/>
        </w:rPr>
        <w:t>Before formal criteria for defining the prodrome of psychosis were established, considerable interest had already emerged in identifying early signs or predictors of bipolar disorder and schizophrenia. It is widely accepted that prodromal features can occur prior to the onset of full illness.</w:t>
      </w:r>
    </w:p>
    <w:p w14:paraId="0692F5E6" w14:textId="77777777" w:rsidR="003D5CB6" w:rsidRPr="004D46AC" w:rsidRDefault="003D5CB6" w:rsidP="00B518F1">
      <w:pPr>
        <w:rPr>
          <w:rFonts w:eastAsiaTheme="minorEastAsia"/>
        </w:rPr>
      </w:pPr>
      <w:r w:rsidRPr="004D46AC">
        <w:rPr>
          <w:rFonts w:eastAsiaTheme="minorEastAsia"/>
        </w:rPr>
        <w:t xml:space="preserve">Research interest in strange experiences prior onset dates back more than a century, to the period when Kraepelin first proposed the dichotomy between mood and psychotic disorders. He documented a range of psychological and behavioural anomalies - including social withdrawal, emotional reactivity, and eccentric behaviours - that preceded the onset of psychosis. However, he primarily interpreted these features as constitutional vulnerability or degenerative predisposition, rather than as a clearly defined prodromal phase </w:t>
      </w:r>
      <w:r w:rsidRPr="004D46AC">
        <w:rPr>
          <w:rFonts w:eastAsiaTheme="minorEastAsia"/>
        </w:rPr>
        <w:fldChar w:fldCharType="begin"/>
      </w:r>
      <w:r w:rsidRPr="004D46AC">
        <w:rPr>
          <w:rFonts w:eastAsiaTheme="minorEastAsia"/>
        </w:rPr>
        <w:instrText xml:space="preserve"> ADDIN EN.CITE &lt;EndNote&gt;&lt;Cite&gt;&lt;Author&gt;Kraepelin&lt;/Author&gt;&lt;Year&gt;1899&lt;/Year&gt;&lt;RecNum&gt;502&lt;/RecNum&gt;&lt;DisplayText&gt;(Kraepelin, 1899)&lt;/DisplayText&gt;&lt;record&gt;&lt;rec-number&gt;502&lt;/rec-number&gt;&lt;foreign-keys&gt;&lt;key app="EN" db-id="aet009sstawa0hewvt3xwf5atffdw2dt02sw" timestamp="1709051566"&gt;502&lt;/key&gt;&lt;/foreign-keys&gt;&lt;ref-type name="Book"&gt;6&lt;/ref-type&gt;&lt;contributors&gt;&lt;authors&gt;&lt;author&gt;Emil Kraepelin&lt;/author&gt;&lt;/authors&gt;&lt;/contributors&gt;&lt;titles&gt;&lt;title&gt;Psychiatry: A textbook for students and physicians.&lt;/title&gt;&lt;/titles&gt;&lt;volume&gt;Volume 1 &lt;/volume&gt;&lt;dates&gt;&lt;year&gt;1899&lt;/year&gt;&lt;/dates&gt;&lt;publisher&gt;Watson Publishing International&lt;/publisher&gt;&lt;urls&gt;&lt;/urls&gt;&lt;/record&gt;&lt;/Cite&gt;&lt;/EndNote&gt;</w:instrText>
      </w:r>
      <w:r w:rsidRPr="004D46AC">
        <w:rPr>
          <w:rFonts w:eastAsiaTheme="minorEastAsia"/>
        </w:rPr>
        <w:fldChar w:fldCharType="separate"/>
      </w:r>
      <w:r w:rsidRPr="004D46AC">
        <w:rPr>
          <w:rFonts w:eastAsiaTheme="minorEastAsia"/>
        </w:rPr>
        <w:t>(Kraepelin, 1899)</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Similarly, Bleuler observed traits that might precede schizophrenia, such as isolation, </w:t>
      </w:r>
      <w:r w:rsidRPr="004D46AC">
        <w:rPr>
          <w:rFonts w:eastAsiaTheme="minorEastAsia"/>
        </w:rPr>
        <w:lastRenderedPageBreak/>
        <w:t xml:space="preserve">withdrawal, and irritability - features that substantially overlap with Kraepelin’s descriptions. </w:t>
      </w:r>
      <w:bookmarkStart w:id="27" w:name="OLE_LINK3"/>
      <w:r w:rsidRPr="004D46AC">
        <w:rPr>
          <w:rFonts w:eastAsiaTheme="minorEastAsia"/>
        </w:rPr>
        <w:t xml:space="preserve">Meanwhile, </w:t>
      </w:r>
      <w:r w:rsidRPr="004D46AC">
        <w:rPr>
          <w:rFonts w:eastAsiaTheme="minorEastAsia"/>
        </w:rPr>
        <w:fldChar w:fldCharType="begin"/>
      </w:r>
      <w:r w:rsidRPr="004D46AC">
        <w:rPr>
          <w:rFonts w:eastAsiaTheme="minorEastAsia"/>
        </w:rPr>
        <w:instrText xml:space="preserve"> ADDIN EN.CITE &lt;EndNote&gt;&lt;Cite AuthorYear="1"&gt;&lt;Author&gt;Jaspers&lt;/Author&gt;&lt;Year&gt;1963&lt;/Year&gt;&lt;RecNum&gt;1014&lt;/RecNum&gt;&lt;DisplayText&gt;Jaspers (1963)&lt;/DisplayText&gt;&lt;record&gt;&lt;rec-number&gt;1014&lt;/rec-number&gt;&lt;foreign-keys&gt;&lt;key app="EN" db-id="aet009sstawa0hewvt3xwf5atffdw2dt02sw" timestamp="1746485007"&gt;1014&lt;/key&gt;&lt;/foreign-keys&gt;&lt;ref-type name="Book"&gt;6&lt;/ref-type&gt;&lt;contributors&gt;&lt;authors&gt;&lt;author&gt;Jaspers, Karl&lt;/author&gt;&lt;/authors&gt;&lt;/contributors&gt;&lt;titles&gt;&lt;title&gt;General psychopathology: Karl Jaspers&lt;/title&gt;&lt;/titles&gt;&lt;dates&gt;&lt;year&gt;1963&lt;/year&gt;&lt;/dates&gt;&lt;publisher&gt;Manchester University Press&lt;/publisher&gt;&lt;urls&gt;&lt;/urls&gt;&lt;/record&gt;&lt;/Cite&gt;&lt;/EndNote&gt;</w:instrText>
      </w:r>
      <w:r w:rsidRPr="004D46AC">
        <w:rPr>
          <w:rFonts w:eastAsiaTheme="minorEastAsia"/>
        </w:rPr>
        <w:fldChar w:fldCharType="separate"/>
      </w:r>
      <w:r w:rsidRPr="004D46AC">
        <w:rPr>
          <w:rFonts w:eastAsiaTheme="minorEastAsia"/>
        </w:rPr>
        <w:t>Jaspers (1963)</w:t>
      </w:r>
      <w:r w:rsidRPr="004D46AC">
        <w:rPr>
          <w:rFonts w:eastAsiaTheme="minorEastAsia"/>
        </w:rPr>
        <w:fldChar w:fldCharType="end"/>
      </w:r>
      <w:r w:rsidRPr="004D46AC">
        <w:rPr>
          <w:rFonts w:eastAsiaTheme="minorEastAsia"/>
        </w:rPr>
        <w:t xml:space="preserve"> </w:t>
      </w:r>
      <w:bookmarkEnd w:id="27"/>
      <w:r w:rsidRPr="004D46AC">
        <w:rPr>
          <w:rFonts w:eastAsiaTheme="minorEastAsia"/>
        </w:rPr>
        <w:t>emphasised that early anomalies in subjective psychic experience - particularly those that were non-understandable and alien to the self - could represent fundamental disturbances in the development of schizophrenia. These phenomena were later formalised as "basic symptoms" in the phenomenological tradition. Unfortunately, attempts to identify early symptoms of schizophrenia during that period were constrained by pervasive stigma and limited theoretical frameworks. The formalised criteria of these experiences within prodromal phase would not emerge until many decades later.</w:t>
      </w:r>
    </w:p>
    <w:p w14:paraId="4EF02CA1" w14:textId="77777777" w:rsidR="003D5CB6" w:rsidRPr="004D46AC" w:rsidRDefault="003D5CB6" w:rsidP="00B518F1">
      <w:pPr>
        <w:rPr>
          <w:rFonts w:eastAsiaTheme="minorEastAsia"/>
        </w:rPr>
      </w:pPr>
      <w:r w:rsidRPr="004D46AC">
        <w:rPr>
          <w:rFonts w:eastAsiaTheme="minorEastAsia"/>
        </w:rPr>
        <w:t>During the following years, the term ‘early detection’ was commonly used in research trying to identifying the important features at the prodromal stage of psychosis.</w:t>
      </w:r>
      <w:bookmarkStart w:id="28" w:name="OLE_LINK2"/>
      <w:r w:rsidRPr="004D46AC">
        <w:rPr>
          <w:rFonts w:eastAsiaTheme="minorEastAsia"/>
        </w:rPr>
        <w:t xml:space="preserve"> </w:t>
      </w:r>
      <w:bookmarkStart w:id="29" w:name="OLE_LINK1"/>
      <w:r w:rsidRPr="004D46AC">
        <w:rPr>
          <w:rFonts w:eastAsiaTheme="minorEastAsia"/>
        </w:rPr>
        <w:fldChar w:fldCharType="begin"/>
      </w:r>
      <w:r w:rsidRPr="004D46AC">
        <w:rPr>
          <w:rFonts w:eastAsiaTheme="minorEastAsia"/>
        </w:rPr>
        <w:instrText xml:space="preserve"> ADDIN EN.CITE &lt;EndNote&gt;&lt;Cite AuthorYear="1"&gt;&lt;Author&gt;Cameron&lt;/Author&gt;&lt;Year&gt;1938&lt;/Year&gt;&lt;RecNum&gt;1011&lt;/RecNum&gt;&lt;DisplayText&gt;Cameron (1938)&lt;/DisplayText&gt;&lt;record&gt;&lt;rec-number&gt;1011&lt;/rec-number&gt;&lt;foreign-keys&gt;&lt;key app="EN" db-id="aet009sstawa0hewvt3xwf5atffdw2dt02sw" timestamp="1746396369"&gt;1011&lt;/key&gt;&lt;/foreign-keys&gt;&lt;ref-type name="Journal Article"&gt;17&lt;/ref-type&gt;&lt;contributors&gt;&lt;authors&gt;&lt;author&gt;Cameron, D. Ewen&lt;/author&gt;&lt;/authors&gt;&lt;/contributors&gt;&lt;titles&gt;&lt;title&gt;EARLY SCHIZOPHRENIA&lt;/title&gt;&lt;secondary-title&gt;American Journal of Psychiatry&lt;/secondary-title&gt;&lt;/titles&gt;&lt;periodical&gt;&lt;full-title&gt;American Journal of Psychiatry&lt;/full-title&gt;&lt;/periodical&gt;&lt;pages&gt;567-582&lt;/pages&gt;&lt;volume&gt;95&lt;/volume&gt;&lt;number&gt;3&lt;/number&gt;&lt;dates&gt;&lt;year&gt;1938&lt;/year&gt;&lt;pub-dates&gt;&lt;date&gt;1938/11/01&lt;/date&gt;&lt;/pub-dates&gt;&lt;/dates&gt;&lt;publisher&gt;American Psychiatric Publishing&lt;/publisher&gt;&lt;isbn&gt;0002-953X&lt;/isbn&gt;&lt;urls&gt;&lt;related-urls&gt;&lt;url&gt;https://doi.org/10.1176/ajp.95.3.567&lt;/url&gt;&lt;/related-urls&gt;&lt;/urls&gt;&lt;electronic-resource-num&gt;10.1176/ajp.95.3.567&lt;/electronic-resource-num&gt;&lt;access-date&gt;2025/05/04&lt;/access-date&gt;&lt;/record&gt;&lt;/Cite&gt;&lt;/EndNote&gt;</w:instrText>
      </w:r>
      <w:r w:rsidRPr="004D46AC">
        <w:rPr>
          <w:rFonts w:eastAsiaTheme="minorEastAsia"/>
        </w:rPr>
        <w:fldChar w:fldCharType="separate"/>
      </w:r>
      <w:r w:rsidRPr="004D46AC">
        <w:rPr>
          <w:rFonts w:eastAsiaTheme="minorEastAsia"/>
        </w:rPr>
        <w:t>Cameron (1938)</w:t>
      </w:r>
      <w:r w:rsidRPr="004D46AC">
        <w:rPr>
          <w:rFonts w:eastAsiaTheme="minorEastAsia"/>
        </w:rPr>
        <w:fldChar w:fldCharType="end"/>
      </w:r>
      <w:bookmarkEnd w:id="29"/>
      <w:r w:rsidRPr="004D46AC">
        <w:t xml:space="preserve"> </w:t>
      </w:r>
      <w:bookmarkEnd w:id="28"/>
      <w:r w:rsidRPr="004D46AC">
        <w:rPr>
          <w:rFonts w:eastAsiaTheme="minorEastAsia"/>
        </w:rPr>
        <w:t xml:space="preserve">adopted a systematic approach to examining these features in 100 first-admission patients with schizophrenia. He conceptualised early symptomatology in terms of non-specific and specific features. Non-specific anomalies were categorised by activity level: </w:t>
      </w:r>
      <w:r w:rsidRPr="004D46AC">
        <w:rPr>
          <w:rFonts w:eastAsiaTheme="minorEastAsia"/>
          <w:i/>
          <w:iCs/>
        </w:rPr>
        <w:t>hyperactive</w:t>
      </w:r>
      <w:r w:rsidRPr="004D46AC">
        <w:rPr>
          <w:rFonts w:eastAsiaTheme="minorEastAsia"/>
        </w:rPr>
        <w:t xml:space="preserve"> symptoms (e.g., sleeplessness, moodiness, anxiety) and </w:t>
      </w:r>
      <w:r w:rsidRPr="004D46AC">
        <w:rPr>
          <w:rFonts w:eastAsiaTheme="minorEastAsia"/>
          <w:i/>
          <w:iCs/>
        </w:rPr>
        <w:t>hypoactive</w:t>
      </w:r>
      <w:r w:rsidRPr="004D46AC">
        <w:rPr>
          <w:rFonts w:eastAsiaTheme="minorEastAsia"/>
        </w:rPr>
        <w:t xml:space="preserve"> symptoms (e.g., depression, social withdrawal, fatigue). Specific prodromal features included </w:t>
      </w:r>
      <w:r w:rsidRPr="004D46AC">
        <w:rPr>
          <w:rFonts w:eastAsiaTheme="minorEastAsia"/>
          <w:i/>
          <w:iCs/>
        </w:rPr>
        <w:t>delusional and persecutory ideation</w:t>
      </w:r>
      <w:r w:rsidRPr="004D46AC">
        <w:rPr>
          <w:rFonts w:eastAsiaTheme="minorEastAsia"/>
        </w:rPr>
        <w:t xml:space="preserve">, </w:t>
      </w:r>
      <w:r w:rsidRPr="004D46AC">
        <w:rPr>
          <w:rFonts w:eastAsiaTheme="minorEastAsia"/>
          <w:i/>
          <w:iCs/>
        </w:rPr>
        <w:t>perceptual disturbances and derealisation symptoms</w:t>
      </w:r>
      <w:r w:rsidRPr="004D46AC">
        <w:rPr>
          <w:rFonts w:eastAsiaTheme="minorEastAsia"/>
        </w:rPr>
        <w:t xml:space="preserve">, as well as </w:t>
      </w:r>
      <w:r w:rsidRPr="004D46AC">
        <w:rPr>
          <w:rFonts w:eastAsiaTheme="minorEastAsia"/>
          <w:i/>
          <w:iCs/>
        </w:rPr>
        <w:t>disorganised behaviour and catatonic features</w:t>
      </w:r>
      <w:r w:rsidRPr="004D46AC">
        <w:rPr>
          <w:rFonts w:eastAsiaTheme="minorEastAsia"/>
        </w:rPr>
        <w:t xml:space="preserve">. These early anomalies varied considerably in duration, lasting from days to months or even years, indicating a highly heterogeneous prodromal course. </w:t>
      </w:r>
      <w:r w:rsidRPr="004D46AC">
        <w:rPr>
          <w:rFonts w:eastAsiaTheme="minorEastAsia"/>
        </w:rPr>
        <w:fldChar w:fldCharType="begin"/>
      </w:r>
      <w:r w:rsidRPr="004D46AC">
        <w:rPr>
          <w:rFonts w:eastAsiaTheme="minorEastAsia"/>
        </w:rPr>
        <w:instrText xml:space="preserve"> ADDIN EN.CITE &lt;EndNote&gt;&lt;Cite AuthorYear="1"&gt;&lt;Author&gt;Varsamis&lt;/Author&gt;&lt;Year&gt;1971&lt;/Year&gt;&lt;RecNum&gt;1012&lt;/RecNum&gt;&lt;DisplayText&gt;Varsamis and Adamson (1971)&lt;/DisplayText&gt;&lt;record&gt;&lt;rec-number&gt;1012&lt;/rec-number&gt;&lt;foreign-keys&gt;&lt;key app="EN" db-id="aet009sstawa0hewvt3xwf5atffdw2dt02sw" timestamp="1746397786"&gt;1012&lt;/key&gt;&lt;/foreign-keys&gt;&lt;ref-type name="Journal Article"&gt;17&lt;/ref-type&gt;&lt;contributors&gt;&lt;authors&gt;&lt;author&gt;Varsamis, J.&lt;/author&gt;&lt;author&gt;Adamson, J. D.&lt;/author&gt;&lt;/authors&gt;&lt;/contributors&gt;&lt;titles&gt;&lt;title&gt;Early schizophrenia&lt;/title&gt;&lt;secondary-title&gt;Can Psychiatr Assoc J&lt;/secondary-title&gt;&lt;/titles&gt;&lt;periodical&gt;&lt;full-title&gt;Can Psychiatr Assoc J&lt;/full-title&gt;&lt;/periodical&gt;&lt;pages&gt;487-97&lt;/pages&gt;&lt;volume&gt;16&lt;/volume&gt;&lt;number&gt;6&lt;/number&gt;&lt;keywords&gt;&lt;keyword&gt;Adjustment Disorders/diagnosis&lt;/keyword&gt;&lt;keyword&gt;Adolescent&lt;/keyword&gt;&lt;keyword&gt;Adult&lt;/keyword&gt;&lt;keyword&gt;Diagnosis, Differential&lt;/keyword&gt;&lt;keyword&gt;Drive&lt;/keyword&gt;&lt;keyword&gt;Female&lt;/keyword&gt;&lt;keyword&gt;Hallucinations&lt;/keyword&gt;&lt;keyword&gt;Humans&lt;/keyword&gt;&lt;keyword&gt;Illusions&lt;/keyword&gt;&lt;keyword&gt;Interview, Psychological&lt;/keyword&gt;&lt;keyword&gt;Libido&lt;/keyword&gt;&lt;keyword&gt;Male&lt;/keyword&gt;&lt;keyword&gt;Middle Aged&lt;/keyword&gt;&lt;keyword&gt;Perceptual Distortion&lt;/keyword&gt;&lt;keyword&gt;Periodicity&lt;/keyword&gt;&lt;keyword&gt;Prognosis&lt;/keyword&gt;&lt;keyword&gt;Schizophrenia/*diagnosis&lt;/keyword&gt;&lt;keyword&gt;Schizophrenic Psychology&lt;/keyword&gt;&lt;keyword&gt;Sexual Behavior&lt;/keyword&gt;&lt;keyword&gt;Tape Recording&lt;/keyword&gt;&lt;keyword&gt;Visual Perception&lt;/keyword&gt;&lt;/keywords&gt;&lt;dates&gt;&lt;year&gt;1971&lt;/year&gt;&lt;pub-dates&gt;&lt;date&gt;Dec&lt;/date&gt;&lt;/pub-dates&gt;&lt;/dates&gt;&lt;isbn&gt;0008-4824 (Print)&amp;#xD;0008-4824&lt;/isbn&gt;&lt;accession-num&gt;5143681&lt;/accession-num&gt;&lt;urls&gt;&lt;/urls&gt;&lt;electronic-resource-num&gt;10.1177/070674377101600604&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Varsamis and Adamson (1971)</w:t>
      </w:r>
      <w:r w:rsidRPr="004D46AC">
        <w:rPr>
          <w:rFonts w:eastAsiaTheme="minorEastAsia"/>
        </w:rPr>
        <w:fldChar w:fldCharType="end"/>
      </w:r>
      <w:r w:rsidRPr="004D46AC">
        <w:rPr>
          <w:rFonts w:eastAsiaTheme="minorEastAsia"/>
        </w:rPr>
        <w:t>, using a smaller sample (</w:t>
      </w:r>
      <w:r w:rsidRPr="004D46AC">
        <w:rPr>
          <w:rFonts w:eastAsiaTheme="minorEastAsia"/>
          <w:i/>
          <w:iCs/>
        </w:rPr>
        <w:t>n</w:t>
      </w:r>
      <w:r w:rsidRPr="004D46AC">
        <w:rPr>
          <w:rFonts w:eastAsiaTheme="minorEastAsia"/>
        </w:rPr>
        <w:t xml:space="preserve"> = 33) and a quantitative approach, classified prodromal features based on their nature, including affective symptoms, motivational impairments, thought disturbances, and changes in environmental responsiveness. The most frequently reported symptoms across categories were anxiety (67%), reduced drive (79%), decreased occupational or academic performance (64%), and sleep disturbances (33%). Notably, they identified a </w:t>
      </w:r>
      <w:r w:rsidRPr="004D46AC">
        <w:rPr>
          <w:rFonts w:eastAsiaTheme="minorEastAsia"/>
          <w:i/>
          <w:iCs/>
        </w:rPr>
        <w:t>‘complex state’</w:t>
      </w:r>
      <w:r w:rsidRPr="004D46AC">
        <w:rPr>
          <w:rFonts w:eastAsiaTheme="minorEastAsia"/>
        </w:rPr>
        <w:t xml:space="preserve"> - a mixture of disorganisation, thought disorder, affective and perceptual disturbances, and emerging delusional beliefs - which they interpreted as the onset point of schizophrenia. They also observed a gradual transition from the prodromal to the psychotic phase. However, the duration of the prodrome in their study was typically brief (i.e., a few days), which is not fully </w:t>
      </w:r>
      <w:r w:rsidRPr="004D46AC">
        <w:rPr>
          <w:rFonts w:eastAsiaTheme="minorEastAsia"/>
        </w:rPr>
        <w:lastRenderedPageBreak/>
        <w:t>consistent with Cameron’s findings. Given its smaller sample and retrospective design, the external validity of their findings is limited.</w:t>
      </w:r>
    </w:p>
    <w:p w14:paraId="6EECFF8A" w14:textId="77777777" w:rsidR="003D5CB6" w:rsidRPr="004D46AC" w:rsidRDefault="003D5CB6" w:rsidP="00B518F1">
      <w:pPr>
        <w:rPr>
          <w:rFonts w:eastAsiaTheme="minorEastAsia"/>
        </w:rPr>
      </w:pPr>
      <w:bookmarkStart w:id="30" w:name="OLE_LINK7"/>
      <w:r w:rsidRPr="004D46AC">
        <w:rPr>
          <w:rFonts w:eastAsiaTheme="minorEastAsia"/>
        </w:rPr>
        <w:t xml:space="preserve">Basic symptoms have been studied extensively prior to the 21st century. They were conceptualised by Gerd Huber, a prominent student of Kurt Schneider. Huber extended Bleuler’s idea of core symptoms in schizophrenia and integrated it with the phenomenological approach endorsed by Jaspers - focusing on subtle, subjective experiences that may represent the earliest detectable signs of schizophrenia. He proposed a three-stage model of symptom development, progressing from non-specific to characteristic basic symptoms, and eventually to overt psychosis. </w:t>
      </w:r>
    </w:p>
    <w:p w14:paraId="15145649" w14:textId="77777777" w:rsidR="003D5CB6" w:rsidRPr="004D46AC" w:rsidRDefault="003D5CB6" w:rsidP="00B518F1">
      <w:pPr>
        <w:rPr>
          <w:rFonts w:eastAsiaTheme="minorEastAsia"/>
        </w:rPr>
      </w:pPr>
      <w:r w:rsidRPr="004D46AC">
        <w:rPr>
          <w:rFonts w:eastAsiaTheme="minorEastAsia"/>
        </w:rPr>
        <w:t xml:space="preserve">The Bonn Scale for the Assessment of Basic Symptoms (BSABS) classifies these experiences into five domains: direct dynamic deficiencies (e.g., energy-related complaints such as fatigue), indirect dynamic deficiencies (e.g., stress-related symptoms like irritability or sleep disturbance), cognitive disturbances (e.g., thought blocking or concentration problems), and coenesthesia (e.g., vague or unusual bodily sensations) </w:t>
      </w:r>
      <w:r w:rsidRPr="004D46AC">
        <w:rPr>
          <w:rFonts w:eastAsiaTheme="minorEastAsia"/>
        </w:rPr>
        <w:fldChar w:fldCharType="begin"/>
      </w:r>
      <w:r w:rsidRPr="004D46AC">
        <w:rPr>
          <w:rFonts w:eastAsiaTheme="minorEastAsia"/>
        </w:rPr>
        <w:instrText xml:space="preserve"> ADDIN EN.CITE &lt;EndNote&gt;&lt;Cite&gt;&lt;Author&gt;Gross&lt;/Author&gt;&lt;Year&gt;1989&lt;/Year&gt;&lt;RecNum&gt;1016&lt;/RecNum&gt;&lt;DisplayText&gt;(Gross, 1989)&lt;/DisplayText&gt;&lt;record&gt;&lt;rec-number&gt;1016&lt;/rec-number&gt;&lt;foreign-keys&gt;&lt;key app="EN" db-id="aet009sstawa0hewvt3xwf5atffdw2dt02sw" timestamp="1746569393"&gt;1016&lt;/key&gt;&lt;/foreign-keys&gt;&lt;ref-type name="Journal Article"&gt;17&lt;/ref-type&gt;&lt;contributors&gt;&lt;authors&gt;&lt;author&gt;Gross, G.&lt;/author&gt;&lt;/authors&gt;&lt;/contributors&gt;&lt;auth-address&gt;Psychiatrische Universitätsklinik und Poliklinik der Universität Bonn.&lt;/auth-address&gt;&lt;titles&gt;&lt;title&gt;The &amp;apos;basic&amp;apos; symptoms of schizophrenia&lt;/title&gt;&lt;secondary-title&gt;Br J Psychiatry Suppl&lt;/secondary-title&gt;&lt;/titles&gt;&lt;periodical&gt;&lt;full-title&gt;Br J Psychiatry Suppl&lt;/full-title&gt;&lt;/periodical&gt;&lt;pages&gt;21-5; discussion 37-40&lt;/pages&gt;&lt;number&gt;7&lt;/number&gt;&lt;keywords&gt;&lt;keyword&gt;Humans&lt;/keyword&gt;&lt;keyword&gt;Neurocognitive Disorders/psychology&lt;/keyword&gt;&lt;keyword&gt;Psychiatric Status Rating Scales&lt;/keyword&gt;&lt;keyword&gt;Schizophrenia/*diagnosis&lt;/keyword&gt;&lt;keyword&gt;*Schizophrenic Psychology&lt;/keyword&gt;&lt;/keywords&gt;&lt;dates&gt;&lt;year&gt;1989&lt;/year&gt;&lt;pub-dates&gt;&lt;date&gt;Nov&lt;/date&gt;&lt;/pub-dates&gt;&lt;/dates&gt;&lt;isbn&gt;0960-5371 (Print)&amp;#xD;0960-5371&lt;/isbn&gt;&lt;accession-num&gt;2695138&lt;/accession-num&gt;&lt;urls&gt;&lt;/urls&gt;&lt;remote-database-provider&gt;NLM&lt;/remote-database-provider&gt;&lt;language&gt;eng&lt;/language&gt;&lt;/record&gt;&lt;/Cite&gt;&lt;/EndNote&gt;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(Gross, 1989)</w:t>
      </w:r>
      <w:r w:rsidRPr="004D46AC">
        <w:rPr>
          <w:rFonts w:eastAsiaTheme="minorEastAsia"/>
        </w:rPr>
        <w:fldChar w:fldCharType="end"/>
      </w:r>
      <w:r w:rsidRPr="004D46AC">
        <w:rPr>
          <w:rFonts w:eastAsiaTheme="minorEastAsia"/>
        </w:rPr>
        <w:t xml:space="preserve">. </w:t>
      </w:r>
      <w:bookmarkStart w:id="31" w:name="OLE_LINK6"/>
      <w:r w:rsidRPr="004D46AC">
        <w:rPr>
          <w:rFonts w:eastAsiaTheme="minorEastAsia"/>
        </w:rPr>
        <w:t>Empirical studies using the BSABS have shown that the severity of basic symptoms is distributed along a continuum, from healthy individuals (</w:t>
      </w:r>
      <w:r w:rsidRPr="004D46AC">
        <w:rPr>
          <w:rFonts w:eastAsiaTheme="minorEastAsia"/>
          <w:i/>
          <w:iCs/>
        </w:rPr>
        <w:t>n</w:t>
      </w:r>
      <w:r w:rsidRPr="004D46AC">
        <w:rPr>
          <w:rFonts w:eastAsiaTheme="minorEastAsia"/>
        </w:rPr>
        <w:t xml:space="preserve"> = 79) to patients with various psychiatric diagnoses (</w:t>
      </w:r>
      <w:r w:rsidRPr="004D46AC">
        <w:rPr>
          <w:rFonts w:eastAsiaTheme="minorEastAsia"/>
          <w:i/>
          <w:iCs/>
        </w:rPr>
        <w:t>n</w:t>
      </w:r>
      <w:r w:rsidRPr="004D46AC">
        <w:rPr>
          <w:rFonts w:eastAsiaTheme="minorEastAsia"/>
        </w:rPr>
        <w:t xml:space="preserve"> = 243). Stress sensitivity symptoms were found to be the most prevalent across all groups </w:t>
      </w:r>
      <w:r w:rsidRPr="004D46AC">
        <w:rPr>
          <w:rFonts w:eastAsiaTheme="minorEastAsia"/>
        </w:rPr>
        <w:fldChar w:fldCharType="begin"/>
      </w:r>
      <w:r w:rsidRPr="004D46AC">
        <w:rPr>
          <w:rFonts w:eastAsiaTheme="minorEastAsia"/>
        </w:rPr>
        <w:instrText xml:space="preserve"> ADDIN EN.CITE &lt;EndNote&gt;&lt;Cite&gt;&lt;Author&gt;Klosterkötter&lt;/Author&gt;&lt;Year&gt;1996&lt;/Year&gt;&lt;RecNum&gt;1015&lt;/RecNum&gt;&lt;DisplayText&gt;(Klosterkötter et al., 1996)&lt;/DisplayText&gt;&lt;record&gt;&lt;rec-number&gt;1015&lt;/rec-number&gt;&lt;foreign-keys&gt;&lt;key app="EN" db-id="aet009sstawa0hewvt3xwf5atffdw2dt02sw" timestamp="1746569215"&gt;1015&lt;/key&gt;&lt;/foreign-keys&gt;&lt;ref-type name="Journal Article"&gt;17&lt;/ref-type&gt;&lt;contributors&gt;&lt;authors&gt;&lt;author&gt;Klosterkötter, Joachim&lt;/author&gt;&lt;author&gt;Ebel, Hermann&lt;/author&gt;&lt;author&gt;Schultze-Lutter, Frauke&lt;/author&gt;&lt;author&gt;Steinmeyer, Eckhard Michael&lt;/author&gt;&lt;/authors&gt;&lt;/contributors&gt;&lt;titles&gt;&lt;title&gt;Diagnostic validity of basic symptoms&lt;/title&gt;&lt;secondary-title&gt;European Archives of Psychiatry and Clinical Neuroscience&lt;/secondary-title&gt;&lt;/titles&gt;&lt;periodical&gt;&lt;full-title&gt;European Archives of Psychiatry and Clinical Neuroscience&lt;/full-title&gt;&lt;/periodical&gt;&lt;pages&gt;147-154&lt;/pages&gt;&lt;volume&gt;246&lt;/volume&gt;&lt;number&gt;3&lt;/number&gt;&lt;dates&gt;&lt;year&gt;1996&lt;/year&gt;&lt;pub-dates&gt;&lt;date&gt;1996/05/01&lt;/date&gt;&lt;/pub-dates&gt;&lt;/dates&gt;&lt;isbn&gt;1433-8491&lt;/isbn&gt;&lt;urls&gt;&lt;related-urls&gt;&lt;url&gt;https://doi.org/10.1007/BF02189116&lt;/url&gt;&lt;/related-urls&gt;&lt;/urls&gt;&lt;electronic-resource-num&gt;10.1007/BF02189116&lt;/electronic-resource-num&gt;&lt;/record&gt;&lt;/Cite&gt;&lt;/EndNote&gt;</w:instrText>
      </w:r>
      <w:r w:rsidRPr="004D46AC">
        <w:rPr>
          <w:rFonts w:eastAsiaTheme="minorEastAsia"/>
        </w:rPr>
        <w:fldChar w:fldCharType="separate"/>
      </w:r>
      <w:r w:rsidRPr="004D46AC">
        <w:rPr>
          <w:rFonts w:eastAsiaTheme="minorEastAsia"/>
        </w:rPr>
        <w:t>(Klosterkötter et al., 1996)</w:t>
      </w:r>
      <w:r w:rsidRPr="004D46AC">
        <w:rPr>
          <w:rFonts w:eastAsiaTheme="minorEastAsia"/>
        </w:rPr>
        <w:fldChar w:fldCharType="end"/>
      </w:r>
      <w:r w:rsidRPr="004D46AC">
        <w:rPr>
          <w:rFonts w:eastAsiaTheme="minorEastAsia"/>
        </w:rPr>
        <w:t>.</w:t>
      </w:r>
      <w:bookmarkEnd w:id="31"/>
      <w:r w:rsidRPr="004D46AC">
        <w:rPr>
          <w:rFonts w:eastAsiaTheme="minorEastAsia"/>
        </w:rPr>
        <w:t xml:space="preserve"> Other findings suggest that some basic symptoms may precede or contribute to the development of psychotic features; for instance, thought pressure has been observed to precede auditory hallucinations </w:t>
      </w:r>
      <w:r w:rsidRPr="004D46AC">
        <w:rPr>
          <w:rFonts w:eastAsiaTheme="minorEastAsia"/>
        </w:rPr>
        <w:fldChar w:fldCharType="begin"/>
      </w:r>
      <w:r w:rsidRPr="004D46AC">
        <w:rPr>
          <w:rFonts w:eastAsiaTheme="minorEastAsia"/>
        </w:rPr>
        <w:instrText xml:space="preserve"> ADDIN EN.CITE &lt;EndNote&gt;&lt;Cite&gt;&lt;Author&gt;Parnas&lt;/Author&gt;&lt;Year&gt;1999&lt;/Year&gt;&lt;RecNum&gt;1017&lt;/RecNum&gt;&lt;DisplayText&gt;(Parnas, 1999)&lt;/DisplayText&gt;&lt;record&gt;&lt;rec-number&gt;1017&lt;/rec-number&gt;&lt;foreign-keys&gt;&lt;key app="EN" db-id="aet009sstawa0hewvt3xwf5atffdw2dt02sw" timestamp="1746570476"&gt;1017&lt;/key&gt;&lt;/foreign-keys&gt;&lt;ref-type name="Journal Article"&gt;17&lt;/ref-type&gt;&lt;contributors&gt;&lt;authors&gt;&lt;author&gt;Parnas, J.&lt;/author&gt;&lt;/authors&gt;&lt;/contributors&gt;&lt;titles&gt;&lt;title&gt;From predisposition to psychosis: progression of symptoms in schizophrenia&lt;/title&gt;&lt;secondary-title&gt;Acta Psychiatrica Scandinavica&lt;/secondary-title&gt;&lt;/titles&gt;&lt;periodical&gt;&lt;full-title&gt;Acta Psychiatrica Scandinavica&lt;/full-title&gt;&lt;/periodical&gt;&lt;pages&gt;20-29&lt;/pages&gt;&lt;volume&gt;99&lt;/volume&gt;&lt;number&gt;s395&lt;/number&gt;&lt;keywords&gt;&lt;keyword&gt;schizophrenia&lt;/keyword&gt;&lt;keyword&gt;symptoms&lt;/keyword&gt;&lt;keyword&gt;development&lt;/keyword&gt;&lt;keyword&gt;prodrome. phenomenology&lt;/keyword&gt;&lt;/keywords&gt;&lt;dates&gt;&lt;year&gt;1999&lt;/year&gt;&lt;pub-dates&gt;&lt;date&gt;1999/05/01&lt;/date&gt;&lt;/pub-dates&gt;&lt;/dates&gt;&lt;publisher&gt;John Wiley &amp;amp; Sons, Ltd&lt;/publisher&gt;&lt;isbn&gt;0001-690X&lt;/isbn&gt;&lt;urls&gt;&lt;related-urls&gt;&lt;url&gt;https://doi.org/10.1111/j.1600-0447.1999.tb05979.x&lt;/url&gt;&lt;/related-urls&gt;&lt;/urls&gt;&lt;electronic-resource-num&gt;https://doi.org/10.1111/j.1600-0447.1999.tb05979.x&lt;/electronic-resource-num&gt;&lt;access-date&gt;2025/05/06&lt;/access-date&gt;&lt;/record&gt;&lt;/Cite&gt;&lt;/EndNote&gt;</w:instrText>
      </w:r>
      <w:r w:rsidRPr="004D46AC">
        <w:rPr>
          <w:rFonts w:eastAsiaTheme="minorEastAsia"/>
        </w:rPr>
        <w:fldChar w:fldCharType="separate"/>
      </w:r>
      <w:r w:rsidRPr="004D46AC">
        <w:rPr>
          <w:rFonts w:eastAsiaTheme="minorEastAsia"/>
        </w:rPr>
        <w:t>(Parnas, 1999)</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In a longitudinal study of 502 patients, the average time from the onset of basic symptoms to the emergence of psychosis was 3.3 years, with a range from two months to 35 years </w:t>
      </w:r>
      <w:r w:rsidRPr="004D46AC">
        <w:rPr>
          <w:rFonts w:eastAsiaTheme="minorEastAsia"/>
        </w:rPr>
        <w:fldChar w:fldCharType="begin"/>
      </w:r>
      <w:r w:rsidRPr="004D46AC">
        <w:rPr>
          <w:rFonts w:eastAsiaTheme="minorEastAsia"/>
        </w:rPr>
        <w:instrText xml:space="preserve"> ADDIN EN.CITE &lt;EndNote&gt;&lt;Cite&gt;&lt;Author&gt;Gross&lt;/Author&gt;&lt;Year&gt;1989&lt;/Year&gt;&lt;RecNum&gt;1016&lt;/RecNum&gt;&lt;DisplayText&gt;(Gross, 1989)&lt;/DisplayText&gt;&lt;record&gt;&lt;rec-number&gt;1016&lt;/rec-number&gt;&lt;foreign-keys&gt;&lt;key app="EN" db-id="aet009sstawa0hewvt3xwf5atffdw2dt02sw" timestamp="1746569393"&gt;1016&lt;/key&gt;&lt;/foreign-keys&gt;&lt;ref-type name="Journal Article"&gt;17&lt;/ref-type&gt;&lt;contributors&gt;&lt;authors&gt;&lt;author&gt;Gross, G.&lt;/author&gt;&lt;/authors&gt;&lt;/contributors&gt;&lt;auth-address&gt;Psychiatrische Universitätsklinik und Poliklinik der Universität Bonn.&lt;/auth-address&gt;&lt;titles&gt;&lt;title&gt;The &amp;apos;basic&amp;apos; symptoms of schizophrenia&lt;/title&gt;&lt;secondary-title&gt;Br J Psychiatry Suppl&lt;/secondary-title&gt;&lt;/titles&gt;&lt;periodical&gt;&lt;full-title&gt;Br J Psychiatry Suppl&lt;/full-title&gt;&lt;/periodical&gt;&lt;pages&gt;21-5; discussion 37-40&lt;/pages&gt;&lt;number&gt;7&lt;/number&gt;&lt;keywords&gt;&lt;keyword&gt;Humans&lt;/keyword&gt;&lt;keyword&gt;Neurocognitive Disorders/psychology&lt;/keyword&gt;&lt;keyword&gt;Psychiatric Status Rating Scales&lt;/keyword&gt;&lt;keyword&gt;Schizophrenia/*diagnosis&lt;/keyword&gt;&lt;keyword&gt;*Schizophrenic Psychology&lt;/keyword&gt;&lt;/keywords&gt;&lt;dates&gt;&lt;year&gt;1989&lt;/year&gt;&lt;pub-dates&gt;&lt;date&gt;Nov&lt;/date&gt;&lt;/pub-dates&gt;&lt;/dates&gt;&lt;isbn&gt;0960-5371 (Print)&amp;#xD;0960-5371&lt;/isbn&gt;&lt;accession-num&gt;2695138&lt;/accession-num&gt;&lt;urls&gt;&lt;/urls&gt;&lt;remote-database-provider&gt;NLM&lt;/remote-database-provider&gt;&lt;language&gt;eng&lt;/language&gt;&lt;/record&gt;&lt;/Cite&gt;&lt;/EndNote&gt;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(Gross, 1989)</w:t>
      </w:r>
      <w:r w:rsidRPr="004D46AC">
        <w:rPr>
          <w:rFonts w:eastAsiaTheme="minorEastAsia"/>
        </w:rPr>
        <w:fldChar w:fldCharType="end"/>
      </w:r>
      <w:r w:rsidRPr="004D46AC">
        <w:rPr>
          <w:rFonts w:eastAsiaTheme="minorEastAsia"/>
        </w:rPr>
        <w:t xml:space="preserve">. Importantly, basic symptoms are not confined to the early or prodromal stages of illness; they can appear throughout the course of schizophrenia with varying intensity and clinical significance </w:t>
      </w:r>
      <w:r w:rsidRPr="004D46AC">
        <w:rPr>
          <w:rFonts w:eastAsiaTheme="minorEastAsia"/>
        </w:rPr>
        <w:fldChar w:fldCharType="begin"/>
      </w:r>
      <w:r w:rsidRPr="004D46AC">
        <w:rPr>
          <w:rFonts w:eastAsiaTheme="minorEastAsia"/>
        </w:rPr>
        <w:instrText xml:space="preserve"> ADDIN EN.CITE &lt;EndNote&gt;&lt;Cite&gt;&lt;Author&gt;Gross&lt;/Author&gt;&lt;Year&gt;2010&lt;/Year&gt;&lt;RecNum&gt;1019&lt;/RecNum&gt;&lt;DisplayText&gt;(Gross &amp;amp; Huber, 2010)&lt;/DisplayText&gt;&lt;record&gt;&lt;rec-number&gt;1019&lt;/rec-number&gt;&lt;foreign-keys&gt;&lt;key app="EN" db-id="aet009sstawa0hewvt3xwf5atffdw2dt02sw" timestamp="1746570867"&gt;1019&lt;/key&gt;&lt;/foreign-keys&gt;&lt;ref-type name="Journal Article"&gt;17&lt;/ref-type&gt;&lt;contributors&gt;&lt;authors&gt;&lt;author&gt;Gross, G.&lt;/author&gt;&lt;author&gt;Huber, G.&lt;/author&gt;&lt;/authors&gt;&lt;/contributors&gt;&lt;titles&gt;&lt;title&gt;Psychopathology of Basic Stages of Schizophrenia in View of Formal Thought Disturbances&lt;/title&gt;&lt;secondary-title&gt;Psychopathology&lt;/secondary-title&gt;&lt;/titles&gt;&lt;periodical&gt;&lt;full-title&gt;Psychopathology&lt;/full-title&gt;&lt;/periodical&gt;&lt;pages&gt;115-125&lt;/pages&gt;&lt;volume&gt;18&lt;/volume&gt;&lt;number&gt;2-3&lt;/number&gt;&lt;dates&gt;&lt;year&gt;2010&lt;/year&gt;&lt;/dates&gt;&lt;isbn&gt;0254-4962&lt;/isbn&gt;&lt;urls&gt;&lt;related-urls&gt;&lt;url&gt;https://doi.org/10.1159/000284224&lt;/url&gt;&lt;/related-urls&gt;&lt;/urls&gt;&lt;electronic-resource-num&gt;10.1159/000284224&lt;/electronic-resource-num&gt;&lt;access-date&gt;5/6/2025&lt;/access-date&gt;&lt;/record&gt;&lt;/Cite&gt;&lt;/EndNote&gt;</w:instrText>
      </w:r>
      <w:r w:rsidRPr="004D46AC">
        <w:rPr>
          <w:rFonts w:eastAsiaTheme="minorEastAsia"/>
        </w:rPr>
        <w:fldChar w:fldCharType="separate"/>
      </w:r>
      <w:r w:rsidRPr="004D46AC">
        <w:rPr>
          <w:rFonts w:eastAsiaTheme="minorEastAsia"/>
        </w:rPr>
        <w:t>(Gross &amp; Huber, 2010)</w:t>
      </w:r>
      <w:r w:rsidRPr="004D46AC">
        <w:rPr>
          <w:rFonts w:eastAsiaTheme="minorEastAsia"/>
        </w:rPr>
        <w:fldChar w:fldCharType="end"/>
      </w:r>
      <w:r w:rsidRPr="004D46AC">
        <w:rPr>
          <w:rFonts w:eastAsiaTheme="minorEastAsia"/>
        </w:rPr>
        <w:t>. Therefore, defining certain basic anomalies as “prodromal features” solely based on their timing may be problematic, since these same features can occur at other phases of the disorder as well.</w:t>
      </w:r>
    </w:p>
    <w:p w14:paraId="483ED974" w14:textId="77777777" w:rsidR="003D5CB6" w:rsidRPr="004D46AC" w:rsidRDefault="003D5CB6" w:rsidP="00B518F1">
      <w:pPr>
        <w:rPr>
          <w:rFonts w:eastAsiaTheme="minorEastAsia"/>
        </w:rPr>
      </w:pPr>
      <w:bookmarkStart w:id="32" w:name="OLE_LINK4"/>
      <w:r w:rsidRPr="004D46AC">
        <w:rPr>
          <w:rFonts w:eastAsiaTheme="minorEastAsia"/>
        </w:rPr>
        <w:lastRenderedPageBreak/>
        <w:t xml:space="preserve">Although the prodromal stage of schizophrenia was acknowledged in formal diagnostic manuals as early as the 1980s, operationalised criteria were not introduced until 1996. The features characterising the prodromal phase, as described in the DSM-III, closely align with previously mentioned early warning signs and basic symptoms, including social withdrawal, impaired functioning, unusual perceptual experiences, and disturbances in communication. Individuals were considered to have subclinical (prodromal or residual) schizophrenia if they exhibited two or more of these features for at least six months. </w:t>
      </w:r>
      <w:r w:rsidRPr="004D46AC">
        <w:rPr>
          <w:rFonts w:eastAsiaTheme="minorEastAsia"/>
        </w:rPr>
        <w:fldChar w:fldCharType="begin">
          <w:fldData xml:space="preserve">PEVuZE5vdGU+PENpdGUgQXV0aG9yWWVhcj0iMSI+PEF1dGhvcj5ZdW5nPC9BdXRob3I+PFllYXI+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PEVuZE5vdGU+PENpdGUgQXV0aG9yWWVhcj0iMSI+PEF1dGhvcj5ZdW5nPC9BdXRob3I+PFllYXI+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Yung et al. (1996)</w:t>
      </w:r>
      <w:r w:rsidRPr="004D46AC">
        <w:rPr>
          <w:rFonts w:eastAsiaTheme="minorEastAsia"/>
        </w:rPr>
        <w:fldChar w:fldCharType="end"/>
      </w:r>
      <w:r w:rsidRPr="004D46AC">
        <w:rPr>
          <w:rFonts w:eastAsiaTheme="minorEastAsia"/>
        </w:rPr>
        <w:t xml:space="preserve"> </w:t>
      </w:r>
      <w:bookmarkStart w:id="33" w:name="OLE_LINK8"/>
      <w:bookmarkEnd w:id="32"/>
      <w:r w:rsidRPr="004D46AC">
        <w:rPr>
          <w:rFonts w:eastAsiaTheme="minorEastAsia"/>
        </w:rPr>
        <w:t xml:space="preserve">adapted several items from the DSM-III-R to propose a preliminary version of the at-risk mental state (ARMS) criteria. These were organised into three groups: (1) </w:t>
      </w:r>
      <w:r w:rsidRPr="004D46AC">
        <w:rPr>
          <w:rFonts w:eastAsiaTheme="minorEastAsia"/>
          <w:i/>
          <w:iCs/>
        </w:rPr>
        <w:t>trait plus state risk factors</w:t>
      </w:r>
      <w:r w:rsidRPr="004D46AC">
        <w:rPr>
          <w:rFonts w:eastAsiaTheme="minorEastAsia"/>
        </w:rPr>
        <w:t xml:space="preserve">, defined as having a family history of psychosis or a diagnosis of schizotypal personality disorder combined with DSM-III-R prodromal features; (2) </w:t>
      </w:r>
      <w:r w:rsidRPr="004D46AC">
        <w:rPr>
          <w:rFonts w:eastAsiaTheme="minorEastAsia"/>
          <w:i/>
          <w:iCs/>
        </w:rPr>
        <w:t>attenuated positive symptoms</w:t>
      </w:r>
      <w:r w:rsidRPr="004D46AC">
        <w:rPr>
          <w:rFonts w:eastAsiaTheme="minorEastAsia"/>
        </w:rPr>
        <w:t xml:space="preserve"> (APS), such as unusual perceptual experiences; and (3) </w:t>
      </w:r>
      <w:r w:rsidRPr="004D46AC">
        <w:rPr>
          <w:rFonts w:eastAsiaTheme="minorEastAsia"/>
          <w:i/>
          <w:iCs/>
        </w:rPr>
        <w:t>brief limited intermittent psychotic symptoms</w:t>
      </w:r>
      <w:r w:rsidRPr="004D46AC">
        <w:rPr>
          <w:rFonts w:eastAsiaTheme="minorEastAsia"/>
        </w:rPr>
        <w:t xml:space="preserve"> (BLIPS), referring to transient psychotic episodes that resolved without treatment. These three groups represented distinct clinical pathways to psychosis: genetic vulnerability, emergent subthreshold psychotic phenomena, and short-lived psychotic experiences. As part of its early implementation, the PACE (Personal Assistance and Crisis Evaluation) clinic assessed 71 individuals, of whom 52 met at least one inclusion criterion. The majority (75%) presented with APS or BLIPS. Among those who remained in the research sample (</w:t>
      </w:r>
      <w:r w:rsidRPr="004D46AC">
        <w:rPr>
          <w:rFonts w:eastAsiaTheme="minorEastAsia"/>
          <w:i/>
          <w:iCs/>
        </w:rPr>
        <w:t>n</w:t>
      </w:r>
      <w:r w:rsidRPr="004D46AC">
        <w:rPr>
          <w:rFonts w:eastAsiaTheme="minorEastAsia"/>
        </w:rPr>
        <w:t xml:space="preserve"> = 33), symptom duration ranged from one day to nine years, and 21% transitioned to psychosis within a 20-month follow-up period.</w:t>
      </w:r>
    </w:p>
    <w:p w14:paraId="2E29140E" w14:textId="77777777" w:rsidR="003D5CB6" w:rsidRPr="004D46AC" w:rsidRDefault="003D5CB6" w:rsidP="00B518F1">
      <w:pPr>
        <w:rPr>
          <w:rFonts w:eastAsiaTheme="minorEastAsia"/>
        </w:rPr>
      </w:pPr>
      <w:r w:rsidRPr="004D46AC">
        <w:rPr>
          <w:rFonts w:eastAsiaTheme="minorEastAsia"/>
        </w:rPr>
        <w:fldChar w:fldCharType="begin">
          <w:fldData xml:space="preserve">PEVuZE5vdGU+PENpdGUgQXV0aG9yWWVhcj0iMSI+PEF1dGhvcj5ZdW5nPC9BdXRob3I+PFllYXI+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=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PEVuZE5vdGU+PENpdGUgQXV0aG9yWWVhcj0iMSI+PEF1dGhvcj5ZdW5nPC9BdXRob3I+PFllYXI+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=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Yung et al. (2003)</w:t>
      </w:r>
      <w:r w:rsidRPr="004D46AC">
        <w:rPr>
          <w:rFonts w:eastAsiaTheme="minorEastAsia"/>
        </w:rPr>
        <w:fldChar w:fldCharType="end"/>
      </w:r>
      <w:r w:rsidRPr="004D46AC">
        <w:rPr>
          <w:rFonts w:eastAsiaTheme="minorEastAsia"/>
        </w:rPr>
        <w:t xml:space="preserve"> </w:t>
      </w:r>
      <w:bookmarkEnd w:id="33"/>
      <w:r w:rsidRPr="004D46AC">
        <w:rPr>
          <w:rFonts w:eastAsiaTheme="minorEastAsia"/>
        </w:rPr>
        <w:t xml:space="preserve">subsequently refined the ARMS criteria and renamed them as the ultra-high risk (UHR) criteria. Specifically, for the trait plus state group, a significant functional decline (defined as a </w:t>
      </w:r>
      <w:r w:rsidRPr="004D46AC">
        <w:rPr>
          <w:rFonts w:eastAsiaTheme="minorEastAsia" w:hint="eastAsia"/>
        </w:rPr>
        <w:t>≥</w:t>
      </w:r>
      <w:r w:rsidRPr="004D46AC">
        <w:rPr>
          <w:rFonts w:eastAsiaTheme="minorEastAsia"/>
        </w:rPr>
        <w:t xml:space="preserve"> 30-point reduction on the Global Assessment of Functioning [GAF] scale) was added as a requirement. For the APS and BLIPS groups, symptom thresholds, frequency, and duration were operationalised using validated clinical instruments such as the Brief Psychiatric Rating Scale (BPRS) and the Comprehensive Assessment of Symptoms and History (CASH). These refinements preserved the original group structure, with APS and </w:t>
      </w:r>
      <w:r w:rsidRPr="004D46AC">
        <w:rPr>
          <w:rFonts w:eastAsiaTheme="minorEastAsia"/>
        </w:rPr>
        <w:lastRenderedPageBreak/>
        <w:t>BLIPS continuing to represent the majority. The specificity of the refined UHR criteria improved substantially, with 20 out of 49 individuals transitioning to psychosis within 12 months.</w:t>
      </w:r>
    </w:p>
    <w:p w14:paraId="78F3198D" w14:textId="0C0149D4" w:rsidR="003D5CB6" w:rsidRPr="004D46AC" w:rsidRDefault="003D5CB6" w:rsidP="00B518F1">
      <w:pPr>
        <w:rPr>
          <w:rFonts w:eastAsiaTheme="minorEastAsia"/>
        </w:rPr>
      </w:pPr>
      <w:r w:rsidRPr="004D46AC">
        <w:rPr>
          <w:rFonts w:eastAsiaTheme="minorEastAsia"/>
        </w:rPr>
        <w:t xml:space="preserve">Several years later, the same research team developed the Comprehensive Assessment of At-Risk Mental States (CAARMS), a semi-structured interview designed to assess subthreshold psychotic-like experiences and basic symptoms that may indicate a risk for psychotic disorder </w:t>
      </w:r>
      <w:r w:rsidRPr="004D46AC">
        <w:rPr>
          <w:rFonts w:eastAsiaTheme="minorEastAsia"/>
        </w:rPr>
        <w:fldChar w:fldCharType="begin"/>
      </w:r>
      <w:r w:rsidRPr="004D46AC">
        <w:rPr>
          <w:rFonts w:eastAsiaTheme="minorEastAsia"/>
        </w:rPr>
        <w:instrText xml:space="preserve"> ADDIN EN.CITE &lt;EndNote&gt;&lt;Cite&gt;&lt;Author&gt;Yung&lt;/Author&gt;&lt;Year&gt;2005&lt;/Year&gt;&lt;RecNum&gt;1021&lt;/RecNum&gt;&lt;DisplayText&gt;(Yung et al., 2005)&lt;/DisplayText&gt;&lt;record&gt;&lt;rec-number&gt;1021&lt;/rec-number&gt;&lt;foreign-keys&gt;&lt;key app="EN" db-id="aet009sstawa0hewvt3xwf5atffdw2dt02sw" timestamp="1746735394"&gt;1021&lt;/key&gt;&lt;/foreign-keys&gt;&lt;ref-type name="Journal Article"&gt;17&lt;/ref-type&gt;&lt;contributors&gt;&lt;authors&gt;&lt;author&gt;Yung,  Alison R.&lt;/author&gt;&lt;author&gt;Yung,  Alison R.&lt;/author&gt;&lt;author&gt;Pan Yuen,  Hok&lt;/author&gt;&lt;author&gt;McGorry,  Patrick D.&lt;/author&gt;&lt;author&gt;Phillips,  Lisa J.&lt;/author&gt;&lt;author&gt;Kelly,  Daniel&lt;/author&gt;&lt;author&gt;Dell&amp;apos;olio,  Margaret&lt;/author&gt;&lt;author&gt;Francey,  Shona M.&lt;/author&gt;&lt;author&gt;Cosgrave,  Elizabeth M.&lt;/author&gt;&lt;author&gt;Killackey,  Eoin&lt;/author&gt;&lt;author&gt;Stanford,  Carrie&lt;/author&gt;&lt;author&gt;Godfrey,  Katherine&lt;/author&gt;&lt;author&gt;Buckby,  Joe&lt;/author&gt;&lt;/authors&gt;&lt;/contributors&gt;&lt;titles&gt;&lt;title&gt;Mapping the Onset of Psychosis: The Comprehensive Assessment of At-Risk Mental States&lt;/title&gt;&lt;secondary-title&gt;Australian &amp;amp; New Zealand Journal of Psychiatry&lt;/secondary-title&gt;&lt;/titles&gt;&lt;periodical&gt;&lt;full-title&gt;Australian &amp;amp; New Zealand Journal of Psychiatry&lt;/full-title&gt;&lt;/periodical&gt;&lt;pages&gt;964-971&lt;/pages&gt;&lt;volume&gt;39&lt;/volume&gt;&lt;number&gt;11-12&lt;/number&gt;&lt;dates&gt;&lt;year&gt;2005&lt;/year&gt;&lt;pub-dates&gt;&lt;date&gt;2005/11/01&lt;/date&gt;&lt;/pub-dates&gt;&lt;/dates&gt;&lt;publisher&gt;SAGE Publications Ltd&lt;/publisher&gt;&lt;isbn&gt;0004-8674&lt;/isbn&gt;&lt;urls&gt;&lt;related-urls&gt;&lt;url&gt;https://doi.org/10.1080/j.1440-1614.2005.01714.x&lt;/url&gt;&lt;/related-urls&gt;&lt;/urls&gt;&lt;electronic-resource-num&gt;10.1080/j.1440-1614.2005.01714.x&lt;/electronic-resource-num&gt;&lt;access-date&gt;2025/05/08&lt;/access-date&gt;&lt;/record&gt;&lt;/Cite&gt;&lt;/EndNote&gt;</w:instrText>
      </w:r>
      <w:r w:rsidRPr="004D46AC">
        <w:rPr>
          <w:rFonts w:eastAsiaTheme="minorEastAsia"/>
        </w:rPr>
        <w:fldChar w:fldCharType="separate"/>
      </w:r>
      <w:r w:rsidRPr="004D46AC">
        <w:rPr>
          <w:rFonts w:eastAsiaTheme="minorEastAsia"/>
        </w:rPr>
        <w:t>(Yung et al., 2005)</w:t>
      </w:r>
      <w:r w:rsidRPr="004D46AC">
        <w:rPr>
          <w:rFonts w:eastAsiaTheme="minorEastAsia"/>
        </w:rPr>
        <w:fldChar w:fldCharType="end"/>
      </w:r>
      <w:r w:rsidRPr="004D46AC">
        <w:rPr>
          <w:rFonts w:eastAsiaTheme="minorEastAsia"/>
        </w:rPr>
        <w:t xml:space="preserve">. The CAARMS consists of eight subscales: thought content (e.g., overvalued ideas and delusions), perceptual abnormalities (e.g., hallucinations), conceptual disorganisation (e.g., difficulties in forming thoughts), motor changes (e.g., catatonic features), concentration and attention, emotion and affect (e.g., blunted affect), impaired energy, and impaired tolerance to ordinary stress. Each item is rated on a scale from 0 to 6. Compared to the refined UHR criteria, CAARMS applied more stringent thresholds by using its own internal ratings of intensity, frequency, duration, and symptom trajectory across each subscale. Risk of transition to psychosis was defined by combinations of high symptom intensity (CAARMS rating </w:t>
      </w:r>
      <w:r w:rsidR="0022744D" w:rsidRPr="004D46AC">
        <w:rPr>
          <w:rFonts w:eastAsiaTheme="minorEastAsia" w:hint="eastAsia"/>
        </w:rPr>
        <w:t>&gt;</w:t>
      </w:r>
      <w:r w:rsidRPr="004D46AC">
        <w:rPr>
          <w:rFonts w:eastAsiaTheme="minorEastAsia"/>
        </w:rPr>
        <w:t xml:space="preserve"> </w:t>
      </w:r>
      <w:r w:rsidR="0022744D" w:rsidRPr="004D46AC">
        <w:rPr>
          <w:rFonts w:eastAsiaTheme="minorEastAsia" w:hint="eastAsia"/>
        </w:rPr>
        <w:t>5</w:t>
      </w:r>
      <w:r w:rsidRPr="004D46AC">
        <w:rPr>
          <w:rFonts w:eastAsiaTheme="minorEastAsia"/>
        </w:rPr>
        <w:t>), frequency (</w:t>
      </w:r>
      <w:r w:rsidR="0022744D" w:rsidRPr="004D46AC">
        <w:rPr>
          <w:rFonts w:eastAsiaTheme="minorEastAsia" w:hint="eastAsia"/>
        </w:rPr>
        <w:t>&gt;</w:t>
      </w:r>
      <w:r w:rsidRPr="004D46AC">
        <w:rPr>
          <w:rFonts w:eastAsiaTheme="minorEastAsia"/>
        </w:rPr>
        <w:t xml:space="preserve"> </w:t>
      </w:r>
      <w:r w:rsidR="0022744D" w:rsidRPr="004D46AC">
        <w:rPr>
          <w:rFonts w:eastAsiaTheme="minorEastAsia" w:hint="eastAsia"/>
        </w:rPr>
        <w:t>3</w:t>
      </w:r>
      <w:r w:rsidRPr="004D46AC">
        <w:rPr>
          <w:rFonts w:eastAsiaTheme="minorEastAsia"/>
        </w:rPr>
        <w:t>), and duration (</w:t>
      </w:r>
      <w:r w:rsidR="0022744D" w:rsidRPr="004D46AC">
        <w:rPr>
          <w:rFonts w:eastAsiaTheme="minorEastAsia" w:hint="eastAsia"/>
        </w:rPr>
        <w:t>at least</w:t>
      </w:r>
      <w:r w:rsidRPr="004D46AC">
        <w:rPr>
          <w:rFonts w:eastAsiaTheme="minorEastAsia"/>
        </w:rPr>
        <w:t xml:space="preserve"> 1 week). Of those meeting the CAARMS criteria for psychosis, 19 out of 45 individuals transitioned within 12 months - a rate comparable to that identified using BPRS/CASH measures. Nonetheless, the false positive rate remained high.</w:t>
      </w:r>
    </w:p>
    <w:p w14:paraId="21282678" w14:textId="77777777" w:rsidR="003D5CB6" w:rsidRPr="004D46AC" w:rsidRDefault="003D5CB6" w:rsidP="00B518F1">
      <w:pPr>
        <w:rPr>
          <w:rFonts w:eastAsiaTheme="minorEastAsia"/>
        </w:rPr>
      </w:pPr>
      <w:bookmarkStart w:id="34" w:name="OLE_LINK9"/>
      <w:r w:rsidRPr="004D46AC">
        <w:rPr>
          <w:rFonts w:eastAsiaTheme="minorEastAsia"/>
        </w:rPr>
        <w:t xml:space="preserve">In parallel, German psychiatrists continued to develop psychosis-risk criteria grounded in Huber’s model of basic symptoms. </w:t>
      </w:r>
      <w:r w:rsidRPr="004D46AC">
        <w:rPr>
          <w:rFonts w:eastAsiaTheme="minorEastAsia"/>
        </w:rPr>
        <w:fldChar w:fldCharType="begin"/>
      </w:r>
      <w:r w:rsidRPr="004D46AC">
        <w:rPr>
          <w:rFonts w:eastAsiaTheme="minorEastAsia"/>
        </w:rPr>
        <w:instrText xml:space="preserve"> ADDIN EN.CITE &lt;EndNote&gt;&lt;Cite AuthorYear="1"&gt;&lt;Author&gt;Klosterkötter&lt;/Author&gt;&lt;Year&gt;2001&lt;/Year&gt;&lt;RecNum&gt;1023&lt;/RecNum&gt;&lt;DisplayText&gt;Klosterkötter et al. (2001)&lt;/DisplayText&gt;&lt;record&gt;&lt;rec-number&gt;1023&lt;/rec-number&gt;&lt;foreign-keys&gt;&lt;key app="EN" db-id="aet009sstawa0hewvt3xwf5atffdw2dt02sw" timestamp="1746784328"&gt;1023&lt;/key&gt;&lt;/foreign-keys&gt;&lt;ref-type name="Journal Article"&gt;17&lt;/ref-type&gt;&lt;contributors&gt;&lt;authors&gt;&lt;author&gt;Klosterkötter, Joachim&lt;/author&gt;&lt;author&gt;Hellmich, Martin&lt;/author&gt;&lt;author&gt;Steinmeyer, Eckhard M.&lt;/author&gt;&lt;author&gt;Schultze-Lutter, Frauke&lt;/author&gt;&lt;/authors&gt;&lt;/contributors&gt;&lt;titles&gt;&lt;title&gt;Diagnosing Schizophrenia in the Initial Prodromal Phase&lt;/title&gt;&lt;secondary-title&gt;Archives of General Psychiatry&lt;/secondary-title&gt;&lt;/titles&gt;&lt;periodical&gt;&lt;full-title&gt;Archives of General Psychiatry&lt;/full-title&gt;&lt;/periodical&gt;&lt;pages&gt;158-164&lt;/pages&gt;&lt;volume&gt;58&lt;/volume&gt;&lt;number&gt;2&lt;/number&gt;&lt;dates&gt;&lt;year&gt;2001&lt;/year&gt;&lt;/dates&gt;&lt;isbn&gt;0003-990X&lt;/isbn&gt;&lt;urls&gt;&lt;related-urls&gt;&lt;url&gt;https://doi.org/10.1001/archpsyc.58.2.158&lt;/url&gt;&lt;/related-urls&gt;&lt;/urls&gt;&lt;electronic-resource-num&gt;10.1001/archpsyc.58.2.158&lt;/electronic-resource-num&gt;&lt;access-date&gt;5/9/2025&lt;/access-date&gt;&lt;/record&gt;&lt;/Cite&gt;&lt;/EndNote&gt;</w:instrText>
      </w:r>
      <w:r w:rsidRPr="004D46AC">
        <w:rPr>
          <w:rFonts w:eastAsiaTheme="minorEastAsia"/>
        </w:rPr>
        <w:fldChar w:fldCharType="separate"/>
      </w:r>
      <w:r w:rsidRPr="004D46AC">
        <w:rPr>
          <w:rFonts w:eastAsiaTheme="minorEastAsia"/>
        </w:rPr>
        <w:t>Klosterkötter et al. (2001)</w:t>
      </w:r>
      <w:r w:rsidRPr="004D46AC">
        <w:rPr>
          <w:rFonts w:eastAsiaTheme="minorEastAsia"/>
        </w:rPr>
        <w:fldChar w:fldCharType="end"/>
      </w:r>
      <w:r w:rsidRPr="004D46AC">
        <w:rPr>
          <w:rFonts w:eastAsiaTheme="minorEastAsia"/>
        </w:rPr>
        <w:t xml:space="preserve"> </w:t>
      </w:r>
      <w:bookmarkEnd w:id="34"/>
      <w:r w:rsidRPr="004D46AC">
        <w:rPr>
          <w:rFonts w:eastAsiaTheme="minorEastAsia"/>
        </w:rPr>
        <w:t xml:space="preserve">investigated the structure and predictive validity of these symptoms using the BSABS in a sample of 695 help-seeking individuals. Of these, 310 were excluded due to meeting DSM-based criteria for various psychiatric disorders. Participants were followed up after a mean interval of 9.6 years, although 58.44% of the sample were lost to follow-up with no systematic pattern to the attrition. At baseline, the prevalence of any basic symptom was 68.75%. When applying a 15% threshold for symptom presence, only the cluster comprising disturbances in perception, thought, language, and motor function demonstrated moderate predictive </w:t>
      </w:r>
      <w:r w:rsidRPr="004D46AC">
        <w:rPr>
          <w:rFonts w:eastAsiaTheme="minorEastAsia"/>
        </w:rPr>
        <w:lastRenderedPageBreak/>
        <w:t>validity. The prodromal phase, as identified by basic symptoms, had an average duration of 5.6 years.</w:t>
      </w:r>
    </w:p>
    <w:p w14:paraId="1C5880F8" w14:textId="77777777" w:rsidR="003D5CB6" w:rsidRPr="004D46AC" w:rsidRDefault="003D5CB6" w:rsidP="00B518F1">
      <w:pPr>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AuthorYear="1"&gt;&lt;Author&gt;Schultze-Lutter&lt;/Author&gt;&lt;Year&gt;2007&lt;/Year&gt;&lt;RecNum&gt;1024&lt;/RecNum&gt;&lt;DisplayText&gt;Schultze-Lutter, Addington, et al. (2007)&lt;/DisplayText&gt;&lt;record&gt;&lt;rec-number&gt;1024&lt;/rec-number&gt;&lt;foreign-keys&gt;&lt;key app="EN" db-id="aet009sstawa0hewvt3xwf5atffdw2dt02sw" timestamp="1746829479"&gt;1024&lt;/key&gt;&lt;/foreign-keys&gt;&lt;ref-type name="Journal Article"&gt;17&lt;/ref-type&gt;&lt;contributors&gt;&lt;authors&gt;&lt;author&gt;Schultze-Lutter, Frauke&lt;/author&gt;&lt;author&gt;Addington, Jean&lt;/author&gt;&lt;author&gt;Ruhrmann, Stephan&lt;/author&gt;&lt;author&gt;Klosterkötter, Joachim&lt;/author&gt;&lt;/authors&gt;&lt;/contributors&gt;&lt;titles&gt;&lt;title&gt;Schizophrenia proneness instrument, adult version (SPI-A)&lt;/title&gt;&lt;secondary-title&gt;Rome: Giovanni Fioriti&lt;/secondary-title&gt;&lt;/titles&gt;&lt;periodical&gt;&lt;full-title&gt;Rome: Giovanni Fioriti&lt;/full-title&gt;&lt;/periodical&gt;&lt;dates&gt;&lt;year&gt;2007&lt;/year&gt;&lt;/dates&gt;&lt;urls&gt;&lt;/urls&gt;&lt;/record&gt;&lt;/Cite&gt;&lt;/EndNote&gt;</w:instrText>
      </w:r>
      <w:r w:rsidRPr="004D46AC">
        <w:rPr>
          <w:rFonts w:eastAsiaTheme="minorEastAsia"/>
        </w:rPr>
        <w:fldChar w:fldCharType="separate"/>
      </w:r>
      <w:r w:rsidRPr="004D46AC">
        <w:rPr>
          <w:rFonts w:eastAsiaTheme="minorEastAsia"/>
        </w:rPr>
        <w:t>Schultze-Lutter, Addington, et al. (2007)</w:t>
      </w:r>
      <w:r w:rsidRPr="004D46AC">
        <w:rPr>
          <w:rFonts w:eastAsiaTheme="minorEastAsia"/>
        </w:rPr>
        <w:fldChar w:fldCharType="end"/>
      </w:r>
      <w:r w:rsidRPr="004D46AC">
        <w:rPr>
          <w:rFonts w:eastAsiaTheme="minorEastAsia"/>
        </w:rPr>
        <w:t xml:space="preserve"> developed the Schizophrenia proneness instrument, adult version (SPI-A) to increase the diagnostic predictability by add severity ratings of basic symptoms. There are 34 items grouped into 6 subscales: affective dynamic disturbance (e.g., impaired stress tolerance), cognitive-attentional impediments (e.g., attention and memory deficits), cognitive disturbance (e.g., thought blockage), disturbance in experience of self and surroundings (e.g., idea of reference), body perception disturbance (e.g., unusual perceptive experiences), and perception disturbance (e.g., hyper sensitivity to auditory or visual stimuli). The preliminary finding suggest that the transition rate was 34% for those who presented with at least one basic symptom, and the mean duration was 11 months, with a moderate accuracy of 73%. </w:t>
      </w:r>
    </w:p>
    <w:p w14:paraId="0A58667D" w14:textId="335F2D0E" w:rsidR="003D5CB6" w:rsidRPr="004D46AC" w:rsidRDefault="003D5CB6" w:rsidP="00B518F1">
      <w:pPr>
        <w:rPr>
          <w:rFonts w:eastAsiaTheme="minorEastAsia"/>
        </w:rPr>
      </w:pPr>
      <w:bookmarkStart w:id="35" w:name="OLE_LINK5"/>
      <w:bookmarkStart w:id="36" w:name="OLE_LINK10"/>
      <w:r w:rsidRPr="004D46AC">
        <w:rPr>
          <w:rFonts w:eastAsiaTheme="minorEastAsia"/>
        </w:rPr>
        <w:t xml:space="preserve">A more refined set of criteria was proposed, namely the COPER (Cognitive-Perceptive Basic Symptoms) and COGDIS (Cognitive Disturbances) criteria, both of which have been empirically tested. The COPER criterion is defined as the presence of at least one cognitive-perceptive basic symptom that first occurred over a year ago, with current severity or frequency rated </w:t>
      </w:r>
      <w:r w:rsidR="0022744D" w:rsidRPr="004D46AC">
        <w:rPr>
          <w:rFonts w:eastAsiaTheme="minorEastAsia" w:hint="eastAsia"/>
        </w:rPr>
        <w:t>&gt;</w:t>
      </w:r>
      <w:r w:rsidRPr="004D46AC">
        <w:rPr>
          <w:rFonts w:eastAsiaTheme="minorEastAsia"/>
        </w:rPr>
        <w:t xml:space="preserve"> </w:t>
      </w:r>
      <w:r w:rsidR="0022744D" w:rsidRPr="004D46AC">
        <w:rPr>
          <w:rFonts w:eastAsiaTheme="minorEastAsia" w:hint="eastAsia"/>
        </w:rPr>
        <w:t>2</w:t>
      </w:r>
      <w:r w:rsidRPr="004D46AC">
        <w:rPr>
          <w:rFonts w:eastAsiaTheme="minorEastAsia"/>
        </w:rPr>
        <w:t xml:space="preserve"> (moderate severity, occurring several times a month or weekly). In contrast, the COGDIS criterion requires the presence of at least two cognitive disturbance symptoms within the same severity and frequency range.  </w:t>
      </w:r>
      <w:r w:rsidRPr="004D46AC">
        <w:rPr>
          <w:rFonts w:eastAsiaTheme="minorEastAsia"/>
        </w:rPr>
        <w:fldChar w:fldCharType="begin"/>
      </w:r>
      <w:r w:rsidRPr="004D46AC">
        <w:rPr>
          <w:rFonts w:eastAsiaTheme="minorEastAsia"/>
        </w:rPr>
        <w:instrText xml:space="preserve"> ADDIN EN.CITE &lt;EndNote&gt;&lt;Cite AuthorYear="1"&gt;&lt;Author&gt;Schultze-Lutter&lt;/Author&gt;&lt;Year&gt;2007&lt;/Year&gt;&lt;RecNum&gt;1025&lt;/RecNum&gt;&lt;DisplayText&gt;Schultze-Lutter, Klosterkötter, et al. (2007)&lt;/DisplayText&gt;&lt;record&gt;&lt;rec-number&gt;1025&lt;/rec-number&gt;&lt;foreign-keys&gt;&lt;key app="EN" db-id="aet009sstawa0hewvt3xwf5atffdw2dt02sw" timestamp="1746831945"&gt;1025&lt;/key&gt;&lt;/foreign-keys&gt;&lt;ref-type name="Journal Article"&gt;17&lt;/ref-type&gt;&lt;contributors&gt;&lt;authors&gt;&lt;author&gt;Schultze-Lutter, Frauke&lt;/author&gt;&lt;author&gt;Klosterkötter, Joachim&lt;/author&gt;&lt;author&gt;Picker, Heinz&lt;/author&gt;&lt;author&gt;Steinmeyer, Eckhard-Michael&lt;/author&gt;&lt;author&gt;Ruhrmann, Stephan&lt;/author&gt;&lt;/authors&gt;&lt;/contributors&gt;&lt;titles&gt;&lt;title&gt;Predicting first-episode psychosis by basic symptom criteria&lt;/title&gt;&lt;secondary-title&gt;Clin neuropsychiatry&lt;/secondary-title&gt;&lt;/titles&gt;&lt;periodical&gt;&lt;full-title&gt;Clin Neuropsychiatry&lt;/full-title&gt;&lt;/periodical&gt;&lt;pages&gt;11-22&lt;/pages&gt;&lt;volume&gt;4&lt;/volume&gt;&lt;number&gt;1&lt;/number&gt;&lt;dates&gt;&lt;year&gt;2007&lt;/year&gt;&lt;/dates&gt;&lt;urls&gt;&lt;/urls&gt;&lt;/record&gt;&lt;/Cite&gt;&lt;/EndNote&gt;</w:instrText>
      </w:r>
      <w:r w:rsidRPr="004D46AC">
        <w:rPr>
          <w:rFonts w:eastAsiaTheme="minorEastAsia"/>
        </w:rPr>
        <w:fldChar w:fldCharType="separate"/>
      </w:r>
      <w:r w:rsidRPr="004D46AC">
        <w:rPr>
          <w:rFonts w:eastAsiaTheme="minorEastAsia"/>
        </w:rPr>
        <w:t>Schultze-Lutter, Klosterkötter, et al. (2007)</w:t>
      </w:r>
      <w:r w:rsidRPr="004D46AC">
        <w:rPr>
          <w:rFonts w:eastAsiaTheme="minorEastAsia"/>
        </w:rPr>
        <w:fldChar w:fldCharType="end"/>
      </w:r>
      <w:r w:rsidRPr="004D46AC">
        <w:rPr>
          <w:rFonts w:eastAsiaTheme="minorEastAsia"/>
        </w:rPr>
        <w:t xml:space="preserve"> </w:t>
      </w:r>
      <w:bookmarkEnd w:id="35"/>
      <w:r w:rsidRPr="004D46AC">
        <w:rPr>
          <w:rFonts w:eastAsiaTheme="minorEastAsia"/>
        </w:rPr>
        <w:t>reported similar transition rates to psychosis among individuals meeting COPER (</w:t>
      </w:r>
      <w:r w:rsidRPr="004D46AC">
        <w:rPr>
          <w:rFonts w:eastAsiaTheme="minorEastAsia"/>
          <w:i/>
          <w:iCs/>
        </w:rPr>
        <w:t>n</w:t>
      </w:r>
      <w:r w:rsidRPr="004D46AC">
        <w:rPr>
          <w:rFonts w:eastAsiaTheme="minorEastAsia"/>
        </w:rPr>
        <w:t xml:space="preserve"> = 22; 36.36%) and COGDIS (</w:t>
      </w:r>
      <w:r w:rsidRPr="004D46AC">
        <w:rPr>
          <w:rFonts w:eastAsiaTheme="minorEastAsia"/>
          <w:i/>
          <w:iCs/>
        </w:rPr>
        <w:t>n</w:t>
      </w:r>
      <w:r w:rsidRPr="004D46AC">
        <w:rPr>
          <w:rFonts w:eastAsiaTheme="minorEastAsia"/>
        </w:rPr>
        <w:t xml:space="preserve"> = 124; 34.68%) criteria, which appeared somewhat lower than those associated with the UHR criteria. A later systematic review by Schultze-Lutter et al. (2015), encompassing 45 studies, examined transition rates associated with various prodromal definitions over time. Among individuals classified as UHR, the pooled risk of transition to psychosis increased, steadily rising to approximately 10% after one year and tripling by year four. A similar trajectory was observed for the COGDIS group: around 20% of participants transitioned to psychosis within the first year, and over half transitioned after four or more years, though the available data were limited. High </w:t>
      </w:r>
      <w:r w:rsidRPr="004D46AC">
        <w:rPr>
          <w:rFonts w:eastAsiaTheme="minorEastAsia"/>
        </w:rPr>
        <w:lastRenderedPageBreak/>
        <w:t>heterogeneity across the included studies suggested considerable variability in transition rates, regardless of the prodromal criteria or timeframe applied.</w:t>
      </w:r>
      <w:bookmarkEnd w:id="30"/>
      <w:bookmarkEnd w:id="36"/>
      <w:r w:rsidRPr="004D46AC">
        <w:rPr>
          <w:rFonts w:eastAsiaTheme="minorEastAsia"/>
        </w:rPr>
        <w:t xml:space="preserve"> </w:t>
      </w:r>
    </w:p>
    <w:p w14:paraId="7C608C51" w14:textId="77777777" w:rsidR="003D5CB6" w:rsidRPr="004D46AC" w:rsidRDefault="003D5CB6" w:rsidP="00B518F1">
      <w:pPr>
        <w:rPr>
          <w:rFonts w:eastAsiaTheme="minorEastAsia"/>
        </w:rPr>
      </w:pPr>
      <w:bookmarkStart w:id="37" w:name="OLE_LINK11"/>
      <w:r w:rsidRPr="004D46AC">
        <w:rPr>
          <w:rFonts w:eastAsiaTheme="minorEastAsia"/>
        </w:rPr>
        <w:t>Although the transition risk for psychosis associated with these criteria has been replicated in subsequent studies, it remains uncertain whether these criteria specifically indicate a heightened risk for psychosis or a broader vulnerability to different mental disorders.</w:t>
      </w:r>
      <w:r w:rsidRPr="004D46AC">
        <w:t xml:space="preserve"> </w:t>
      </w:r>
      <w:r w:rsidRPr="004D46AC">
        <w:rPr>
          <w:rFonts w:eastAsiaTheme="minorEastAsia"/>
        </w:rPr>
        <w:t xml:space="preserve">Most studies reported transition rates comparable to those identified in earlier systematic reviews </w:t>
      </w:r>
      <w:r w:rsidRPr="004D46AC">
        <w:rPr>
          <w:rFonts w:eastAsiaTheme="minorEastAsia"/>
        </w:rPr>
        <w:fldChar w:fldCharType="begin">
          <w:fldData xml:space="preserve">PEVuZE5vdGU+PENpdGU+PEF1dGhvcj5Qb2xldHRpPC9BdXRob3I+PFllYXI+MjAxOTwvWWVhcj48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PEVuZE5vdGU+PENpdGU+PEF1dGhvcj5Qb2xldHRpPC9BdXRob3I+PFllYXI+MjAxOTwvWWVhcj48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(Ambarini et al., 2021; Pelizza et al., 2018; Poletti et al., 2019; Raballo et al., 2022)</w:t>
      </w:r>
      <w:r w:rsidRPr="004D46AC">
        <w:rPr>
          <w:rFonts w:eastAsiaTheme="minorEastAsia"/>
        </w:rPr>
        <w:fldChar w:fldCharType="end"/>
      </w:r>
      <w:r w:rsidRPr="004D46AC">
        <w:rPr>
          <w:rFonts w:eastAsiaTheme="minorEastAsia"/>
        </w:rPr>
        <w:t xml:space="preserve">, and an increased risk has been observed in individuals meeting both UHR/Clinical High Risk (CHR) and basic symptom criteria </w:t>
      </w:r>
      <w:r w:rsidRPr="004D46AC">
        <w:rPr>
          <w:rFonts w:eastAsiaTheme="minorEastAsia"/>
        </w:rPr>
        <w:fldChar w:fldCharType="begin"/>
      </w:r>
      <w:r w:rsidRPr="004D46AC">
        <w:rPr>
          <w:rFonts w:eastAsiaTheme="minorEastAsia"/>
        </w:rPr>
        <w:instrText xml:space="preserve"> ADDIN EN.CITE &lt;EndNote&gt;&lt;Cite&gt;&lt;Author&gt;Haining&lt;/Author&gt;&lt;Year&gt;2024&lt;/Year&gt;&lt;RecNum&gt;1026&lt;/RecNum&gt;&lt;DisplayText&gt;(Haining et al., 2024)&lt;/DisplayText&gt;&lt;record&gt;&lt;rec-number&gt;1026&lt;/rec-number&gt;&lt;foreign-keys&gt;&lt;key app="EN" db-id="aet009sstawa0hewvt3xwf5atffdw2dt02sw" timestamp="1747168295"&gt;1026&lt;/key&gt;&lt;/foreign-keys&gt;&lt;ref-type name="Journal Article"&gt;17&lt;/ref-type&gt;&lt;contributors&gt;&lt;authors&gt;&lt;author&gt;Haining, Kate&lt;/author&gt;&lt;author&gt;Gajwani, Ruchika&lt;/author&gt;&lt;author&gt;Gross, Joachim&lt;/author&gt;&lt;author&gt;Gumley, Andrew I&lt;/author&gt;&lt;author&gt;Lawrie, Stephen M&lt;/author&gt;&lt;author&gt;Schultze-Lutter, Frauke&lt;/author&gt;&lt;author&gt;Schwannauer, Matthias&lt;/author&gt;&lt;author&gt;Uhlhaas, Peter J&lt;/author&gt;&lt;/authors&gt;&lt;/contributors&gt;&lt;titles&gt;&lt;title&gt;Clinical and Functional Outcomes of Community-Recruited Individuals at Clinical High-Risk for Psychosis: Results From the Youth Mental Health Risk and Resilience Study (YouR-Study)&lt;/title&gt;&lt;secondary-title&gt;Schizophrenia Bulletin Open&lt;/secondary-title&gt;&lt;/titles&gt;&lt;periodical&gt;&lt;full-title&gt;Schizophrenia Bulletin Open&lt;/full-title&gt;&lt;/periodical&gt;&lt;volume&gt;5&lt;/volume&gt;&lt;number&gt;1&lt;/number&gt;&lt;dates&gt;&lt;year&gt;2024&lt;/year&gt;&lt;/dates&gt;&lt;isbn&gt;2632-7899&lt;/isbn&gt;&lt;urls&gt;&lt;related-urls&gt;&lt;url&gt;https://doi.org/10.1093/schizbullopen/sgae029&lt;/url&gt;&lt;/related-urls&gt;&lt;/urls&gt;&lt;custom1&gt;sgae029&lt;/custom1&gt;&lt;electronic-resource-num&gt;10.1093/schizbullopen/sgae029&lt;/electronic-resource-num&gt;&lt;access-date&gt;5/13/2025&lt;/access-date&gt;&lt;/record&gt;&lt;/Cite&gt;&lt;/EndNote&gt;</w:instrText>
      </w:r>
      <w:r w:rsidRPr="004D46AC">
        <w:rPr>
          <w:rFonts w:eastAsiaTheme="minorEastAsia"/>
        </w:rPr>
        <w:fldChar w:fldCharType="separate"/>
      </w:r>
      <w:r w:rsidRPr="004D46AC">
        <w:rPr>
          <w:rFonts w:eastAsiaTheme="minorEastAsia"/>
        </w:rPr>
        <w:t>(Haining et al., 2024)</w:t>
      </w:r>
      <w:r w:rsidRPr="004D46AC">
        <w:rPr>
          <w:rFonts w:eastAsiaTheme="minorEastAsia"/>
        </w:rPr>
        <w:fldChar w:fldCharType="end"/>
      </w:r>
      <w:r w:rsidRPr="004D46AC">
        <w:rPr>
          <w:rFonts w:eastAsiaTheme="minorEastAsia"/>
        </w:rPr>
        <w:t xml:space="preserve">. The Prodromal Questionnaire has been introduced as a rapid self-report screening tool for psychosis risk, with moderate predictive accuracy </w:t>
      </w:r>
      <w:r w:rsidRPr="004D46AC">
        <w:rPr>
          <w:rFonts w:eastAsiaTheme="minorEastAsia"/>
        </w:rPr>
        <w:fldChar w:fldCharType="begin"/>
      </w:r>
      <w:r w:rsidRPr="004D46AC">
        <w:rPr>
          <w:rFonts w:eastAsiaTheme="minorEastAsia"/>
        </w:rPr>
        <w:instrText xml:space="preserve"> ADDIN EN.CITE &lt;EndNote&gt;&lt;Cite&gt;&lt;Author&gt;Savill&lt;/Author&gt;&lt;Year&gt;2018&lt;/Year&gt;&lt;RecNum&gt;1030&lt;/RecNum&gt;&lt;DisplayText&gt;(Savill et al., 2018)&lt;/DisplayText&gt;&lt;record&gt;&lt;rec-number&gt;1030&lt;/rec-number&gt;&lt;foreign-keys&gt;&lt;key app="EN" db-id="aet009sstawa0hewvt3xwf5atffdw2dt02sw" timestamp="1747171456"&gt;1030&lt;/key&gt;&lt;/foreign-keys&gt;&lt;ref-type name="Journal Article"&gt;17&lt;/ref-type&gt;&lt;contributors&gt;&lt;authors&gt;&lt;author&gt;Savill, M.&lt;/author&gt;&lt;author&gt;D&amp;apos;Ambrosio, J.&lt;/author&gt;&lt;author&gt;Cannon, T. D.&lt;/author&gt;&lt;author&gt;Loewy, R. L.&lt;/author&gt;&lt;/authors&gt;&lt;/contributors&gt;&lt;auth-address&gt;Department of Psychiatry, Weill Institute for Neurosciences, University of California San Francisco, San Francisco, California.&amp;#xD;Departments of Psychology and Psychiatry, Yale University, New Haven, Connecticut.&lt;/auth-address&gt;&lt;titles&gt;&lt;title&gt;Psychosis risk screening in different populations using the Prodromal Questionnaire: A systematic review&lt;/title&gt;&lt;secondary-title&gt;Early Interv Psychiatry&lt;/secondary-title&gt;&lt;/titles&gt;&lt;periodical&gt;&lt;full-title&gt;Early Interv Psychiatry&lt;/full-title&gt;&lt;/periodical&gt;&lt;pages&gt;3-14&lt;/pages&gt;&lt;volume&gt;12&lt;/volume&gt;&lt;number&gt;1&lt;/number&gt;&lt;edition&gt;20170806&lt;/edition&gt;&lt;keywords&gt;&lt;keyword&gt;Humans&lt;/keyword&gt;&lt;keyword&gt;*Prodromal Symptoms&lt;/keyword&gt;&lt;keyword&gt;*Psychiatric Status Rating Scales&lt;/keyword&gt;&lt;keyword&gt;Psychotic Disorders/*diagnosis/*psychology&lt;/keyword&gt;&lt;keyword&gt;Risk Factors&lt;/keyword&gt;&lt;keyword&gt;Sensitivity and Specificity&lt;/keyword&gt;&lt;keyword&gt;Pq&lt;/keyword&gt;&lt;keyword&gt;attenuated symptoms&lt;/keyword&gt;&lt;keyword&gt;schizophrenia&lt;/keyword&gt;&lt;keyword&gt;screening&lt;/keyword&gt;&lt;keyword&gt;ultra high risk&lt;/keyword&gt;&lt;/keywords&gt;&lt;dates&gt;&lt;year&gt;2018&lt;/year&gt;&lt;pub-dates&gt;&lt;date&gt;Feb&lt;/date&gt;&lt;/pub-dates&gt;&lt;/dates&gt;&lt;isbn&gt;1751-7885 (Print)&amp;#xD;1751-7885&lt;/isbn&gt;&lt;accession-num&gt;28782283&lt;/accession-num&gt;&lt;urls&gt;&lt;/urls&gt;&lt;custom2&gt;PMC5812357&lt;/custom2&gt;&lt;custom6&gt;NIHMS939063&lt;/custom6&gt;&lt;electronic-resource-num&gt;10.1111/eip.12446&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(Savill et al., 2018)</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However, most studies have been conducted in help-seeking populations, raising concerns about the generalisability of findings. Additionally, the specificity of the at-risk criteria remains limited, calling into question their diagnostic precision. Consequently, some scholars have proposed an alternative hypothesis - that at-risk features may reflect a pluripotential vulnerability to various psychiatric disorders rather than psychosis alone. This hypothesis has received mixed support: while some studies report increased risk for a range of mental health conditions, others suggest specific associations with schizophrenia-spectrum disorders, such as schizotypal personality disorder </w:t>
      </w:r>
      <w:r w:rsidRPr="004D46AC">
        <w:rPr>
          <w:rFonts w:eastAsiaTheme="minorEastAsia"/>
        </w:rPr>
        <w:fldChar w:fldCharType="begin"/>
      </w:r>
      <w:r w:rsidRPr="004D46AC">
        <w:rPr>
          <w:rFonts w:eastAsiaTheme="minorEastAsia"/>
        </w:rPr>
        <w:instrText xml:space="preserve"> ADDIN EN.CITE &lt;EndNote&gt;&lt;Cite&gt;&lt;Author&gt;Martin&lt;/Author&gt;&lt;Year&gt;2024&lt;/Year&gt;&lt;RecNum&gt;1031&lt;/RecNum&gt;&lt;DisplayText&gt;(Martin et al., 2024)&lt;/DisplayText&gt;&lt;record&gt;&lt;rec-number&gt;1031&lt;/rec-number&gt;&lt;foreign-keys&gt;&lt;key app="EN" db-id="aet009sstawa0hewvt3xwf5atffdw2dt02sw" timestamp="1747171634"&gt;1031&lt;/key&gt;&lt;/foreign-keys&gt;&lt;ref-type name="Journal Article"&gt;17&lt;/ref-type&gt;&lt;contributors&gt;&lt;authors&gt;&lt;author&gt;Martin, James C.&lt;/author&gt;&lt;author&gt;Clark, Scott R.&lt;/author&gt;&lt;author&gt;Hartmann, Simon&lt;/author&gt;&lt;author&gt;Schubert, K. Oliver&lt;/author&gt;&lt;/authors&gt;&lt;/contributors&gt;&lt;titles&gt;&lt;title&gt;A Tale of Three Spectra: Basic Symptoms in Clinical-High-Risk of Psychosis Vary Across Autism Spectrum Disorder, Schizotypal Personality Disorder, and Borderline Personality Disorder&lt;/title&gt;&lt;secondary-title&gt;Schizophrenia Bulletin Open&lt;/secondary-title&gt;&lt;/titles&gt;&lt;periodical&gt;&lt;full-title&gt;Schizophrenia Bulletin Open&lt;/full-title&gt;&lt;/periodical&gt;&lt;pages&gt;sgae017&lt;/pages&gt;&lt;volume&gt;5&lt;/volume&gt;&lt;number&gt;1&lt;/number&gt;&lt;dates&gt;&lt;year&gt;2024&lt;/year&gt;&lt;/dates&gt;&lt;isbn&gt;2632-7899&lt;/isbn&gt;&lt;urls&gt;&lt;related-urls&gt;&lt;url&gt;https://doi.org/10.1093/schizbullopen/sgae017&lt;/url&gt;&lt;/related-urls&gt;&lt;/urls&gt;&lt;electronic-resource-num&gt;10.1093/schizbullopen/sgae017&lt;/electronic-resource-num&gt;&lt;access-date&gt;5/13/2025&lt;/access-date&gt;&lt;/record&gt;&lt;/Cite&gt;&lt;/EndNote&gt;</w:instrText>
      </w:r>
      <w:r w:rsidRPr="004D46AC">
        <w:rPr>
          <w:rFonts w:eastAsiaTheme="minorEastAsia"/>
        </w:rPr>
        <w:fldChar w:fldCharType="separate"/>
      </w:r>
      <w:r w:rsidRPr="004D46AC">
        <w:rPr>
          <w:rFonts w:eastAsiaTheme="minorEastAsia"/>
        </w:rPr>
        <w:t>(Martin et al., 2024)</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In contrast, </w:t>
      </w:r>
      <w:r w:rsidRPr="004D46AC">
        <w:rPr>
          <w:rFonts w:eastAsiaTheme="minorEastAsia"/>
        </w:rPr>
        <w:fldChar w:fldCharType="begin">
          <w:fldData xml:space="preserve">PEVuZE5vdGU+PENpdGUgQXV0aG9yWWVhcj0iMSI+PEF1dGhvcj5TY2h1bHR6ZS1MdXR0ZXI8L0F1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PEVuZE5vdGU+PENpdGUgQXV0aG9yWWVhcj0iMSI+PEF1dGhvcj5TY2h1bHR6ZS1MdXR0ZXI8L0F1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Schultze-Lutter et al. (2022)</w:t>
      </w:r>
      <w:r w:rsidRPr="004D46AC">
        <w:rPr>
          <w:rFonts w:eastAsiaTheme="minorEastAsia"/>
        </w:rPr>
        <w:fldChar w:fldCharType="end"/>
      </w:r>
      <w:r w:rsidRPr="004D46AC">
        <w:rPr>
          <w:rFonts w:eastAsiaTheme="minorEastAsia"/>
        </w:rPr>
        <w:t xml:space="preserve"> found comparable severities of at-risk features and CHR-positive rates across community samples and other clinical groups including autism spectrum disorder, ADHD, OCD, and eating disorders, suggesting these features may not be transdiagnostic.</w:t>
      </w:r>
      <w:r w:rsidRPr="004D46AC">
        <w:t xml:space="preserve"> </w:t>
      </w:r>
      <w:r w:rsidRPr="004D46AC">
        <w:rPr>
          <w:rFonts w:eastAsiaTheme="minorEastAsia"/>
        </w:rPr>
        <w:t>In general, the CHR and COPER/COGDIS criteria have demonstrated some predictive validity for psychosis; however, the diagnostic specificity and consistency of symptom manifestations remain limited across different populations. Future research employing longitudinal designs is warranted to delineate predictive pathways more precisely.</w:t>
      </w:r>
      <w:bookmarkEnd w:id="37"/>
    </w:p>
    <w:p w14:paraId="1EF4077F" w14:textId="77777777" w:rsidR="003D5CB6" w:rsidRPr="004D46AC" w:rsidRDefault="003D5CB6" w:rsidP="00B518F1">
      <w:pPr>
        <w:rPr>
          <w:rFonts w:eastAsiaTheme="minorEastAsia"/>
        </w:rPr>
      </w:pPr>
      <w:r w:rsidRPr="004D46AC">
        <w:rPr>
          <w:rFonts w:eastAsiaTheme="minorEastAsia"/>
        </w:rPr>
        <w:t xml:space="preserve">The search for early signs of bipolar disorder came much later. </w:t>
      </w:r>
      <w:r w:rsidRPr="004D46AC">
        <w:rPr>
          <w:rFonts w:eastAsiaTheme="minorEastAsia"/>
        </w:rPr>
        <w:fldChar w:fldCharType="begin"/>
      </w:r>
      <w:r w:rsidRPr="004D46AC">
        <w:rPr>
          <w:rFonts w:eastAsiaTheme="minorEastAsia"/>
        </w:rPr>
        <w:instrText xml:space="preserve"> ADDIN EN.CITE &lt;EndNote&gt;&lt;Cite AuthorYear="1"&gt;&lt;Author&gt;Malhi&lt;/Author&gt;&lt;Year&gt;2014&lt;/Year&gt;&lt;RecNum&gt;1008&lt;/RecNum&gt;&lt;DisplayText&gt;Malhi et al. (2014)&lt;/DisplayText&gt;&lt;record&gt;&lt;rec-number&gt;1008&lt;/rec-number&gt;&lt;foreign-keys&gt;&lt;key app="EN" db-id="aet009sstawa0hewvt3xwf5atffdw2dt02sw" timestamp="1746300877"&gt;1008&lt;/key&gt;&lt;/foreign-keys&gt;&lt;ref-type name="Journal Article"&gt;17&lt;/ref-type&gt;&lt;contributors&gt;&lt;authors&gt;&lt;author&gt;Malhi, Gin S.&lt;/author&gt;&lt;author&gt;Bargh, Danielle M.&lt;/author&gt;&lt;author&gt;Coulston, Carissa M.&lt;/author&gt;&lt;author&gt;Das, Pritha&lt;/author&gt;&lt;author&gt;Berk, Michael&lt;/author&gt;&lt;/authors&gt;&lt;/contributors&gt;&lt;titles&gt;&lt;title&gt;Predicting bipolar disorder on the basis of phenomenology: implications for prevention and early intervention&lt;/title&gt;&lt;secondary-title&gt;Bipolar Disorders&lt;/secondary-title&gt;&lt;/titles&gt;&lt;periodical&gt;&lt;full-title&gt;Bipolar Disorders&lt;/full-title&gt;&lt;/periodical&gt;&lt;pages&gt;455-470&lt;/pages&gt;&lt;volume&gt;16&lt;/volume&gt;&lt;number&gt;5&lt;/number&gt;&lt;keywords&gt;&lt;keyword&gt;bipolar&lt;/keyword&gt;&lt;keyword&gt;depression&lt;/keyword&gt;&lt;keyword&gt;early intervention&lt;/keyword&gt;&lt;keyword&gt;mania&lt;/keyword&gt;&lt;keyword&gt;phenomenology&lt;/keyword&gt;&lt;keyword&gt;prevention&lt;/keyword&gt;&lt;keyword&gt;prodrome&lt;/keyword&gt;&lt;/keywords&gt;&lt;dates&gt;&lt;year&gt;2014&lt;/year&gt;&lt;pub-dates&gt;&lt;date&gt;2014/08/01&lt;/date&gt;&lt;/pub-dates&gt;&lt;/dates&gt;&lt;publisher&gt;John Wiley &amp;amp; Sons, Ltd&lt;/publisher&gt;&lt;isbn&gt;1398-5647&lt;/isbn&gt;&lt;urls&gt;&lt;related-urls&gt;&lt;url&gt;https://doi.org/10.1111/bdi.12133&lt;/url&gt;&lt;/related-urls&gt;&lt;/urls&gt;&lt;electronic-resource-num&gt;https://doi.org/10.1111/bdi.12133&lt;/electronic-resource-num&gt;&lt;access-date&gt;2025/05/03&lt;/access-date&gt;&lt;/record&gt;&lt;/Cite&gt;&lt;/EndNote&gt;</w:instrText>
      </w:r>
      <w:r w:rsidRPr="004D46AC">
        <w:rPr>
          <w:rFonts w:eastAsiaTheme="minorEastAsia"/>
        </w:rPr>
        <w:fldChar w:fldCharType="separate"/>
      </w:r>
      <w:r w:rsidRPr="004D46AC">
        <w:rPr>
          <w:rFonts w:eastAsiaTheme="minorEastAsia"/>
        </w:rPr>
        <w:t>Malhi et al. (2014)</w:t>
      </w:r>
      <w:r w:rsidRPr="004D46AC">
        <w:rPr>
          <w:rFonts w:eastAsiaTheme="minorEastAsia"/>
        </w:rPr>
        <w:fldChar w:fldCharType="end"/>
      </w:r>
      <w:r w:rsidRPr="004D46AC">
        <w:rPr>
          <w:rFonts w:eastAsiaTheme="minorEastAsia"/>
        </w:rPr>
        <w:t xml:space="preserve"> reviewed the evidence across different study designs and populations. Retrospective studies </w:t>
      </w:r>
      <w:r w:rsidRPr="004D46AC">
        <w:rPr>
          <w:rFonts w:eastAsiaTheme="minorEastAsia"/>
        </w:rPr>
        <w:lastRenderedPageBreak/>
        <w:t>involving diagnosed patients commonly identified irritability, aggression, sleep disturbance, anxiety, mood swings, and cognitive impairments as early signs of illness. Prospective studies in high-risk and community-based samples replicated several of these findings, with additional observations such as anxiety, mood lability, subthreshold manic symptoms, and a developmental trajectory progressing from non-specific symptoms to depression and, eventually, (hypo)mania in at-risk individuals.</w:t>
      </w:r>
    </w:p>
    <w:p w14:paraId="12D06796" w14:textId="77777777" w:rsidR="003D5CB6" w:rsidRPr="004D46AC" w:rsidRDefault="003D5CB6" w:rsidP="00B518F1">
      <w:pPr>
        <w:rPr>
          <w:rFonts w:eastAsiaTheme="minorEastAsia"/>
        </w:rPr>
      </w:pPr>
      <w:r w:rsidRPr="004D46AC">
        <w:rPr>
          <w:rFonts w:eastAsiaTheme="minorEastAsia"/>
        </w:rPr>
        <w:t xml:space="preserve">In a complementary approach, </w:t>
      </w:r>
      <w:r w:rsidRPr="004D46AC">
        <w:rPr>
          <w:rFonts w:eastAsiaTheme="minorEastAsia"/>
        </w:rPr>
        <w:fldChar w:fldCharType="begin">
          <w:fldData xml:space="preserve">PEVuZE5vdGU+PENpdGUgQXV0aG9yWWVhcj0iMSI+PEF1dGhvcj5WYW4gTWV0ZXI8L0F1dGhvcj48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PEVuZE5vdGU+PENpdGUgQXV0aG9yWWVhcj0iMSI+PEF1dGhvcj5WYW4gTWV0ZXI8L0F1dGhvcj48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Van Meter et al. (2016)</w:t>
      </w:r>
      <w:r w:rsidRPr="004D46AC">
        <w:rPr>
          <w:rFonts w:eastAsiaTheme="minorEastAsia"/>
        </w:rPr>
        <w:fldChar w:fldCharType="end"/>
      </w:r>
      <w:r w:rsidRPr="004D46AC">
        <w:rPr>
          <w:rFonts w:eastAsiaTheme="minorEastAsia"/>
        </w:rPr>
        <w:t xml:space="preserve"> used a phenomenological lens to systematically synthesise early symptoms of bipolar disorder in adult populations. They reported that the most prevalent prodromal features included elevated energy (68%), cognitive disturbances such as diminished ability to think (63%), mood dysregulation (e.g., elevated mood, 58%), and functional impairments such as insomnia (56%). The interval between the prodromal phase and illness onset averaged over two years, ranging from four months to ten years. Importantly, more than half of the individuals experienced a depressive episode as their first mood episode, despite the presence of subclinical manic features. A recent review with similar findings was published elsewhere </w:t>
      </w:r>
      <w:r w:rsidRPr="004D46AC">
        <w:rPr>
          <w:rFonts w:eastAsiaTheme="minorEastAsia"/>
        </w:rPr>
        <w:fldChar w:fldCharType="begin">
          <w:fldData xml:space="preserve">PEVuZE5vdGU+PENpdGU+PEF1dGhvcj5GYWVkZGE8L0F1dGhvcj48WWVhcj4yMDE5PC9ZZWFyPjxS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PEVuZE5vdGU+PENpdGU+PEF1dGhvcj5GYWVkZGE8L0F1dGhvcj48WWVhcj4yMDE5PC9ZZWFyPjxS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(Faedda et al., 2019)</w:t>
      </w:r>
      <w:r w:rsidRPr="004D46AC">
        <w:rPr>
          <w:rFonts w:eastAsiaTheme="minorEastAsia"/>
        </w:rPr>
        <w:fldChar w:fldCharType="end"/>
      </w:r>
      <w:r w:rsidRPr="004D46AC">
        <w:rPr>
          <w:rFonts w:eastAsiaTheme="minorEastAsia"/>
        </w:rPr>
        <w:t xml:space="preserve">. It should be noted that most of these studies focused on individuals with bipolar I disorder. While some evidence suggests there may be no significant differences in early manifestations between bipolar I and bipolar II disorder </w:t>
      </w:r>
      <w:r w:rsidRPr="004D46AC">
        <w:rPr>
          <w:rFonts w:eastAsiaTheme="minorEastAsia"/>
        </w:rPr>
        <w:fldChar w:fldCharType="begin"/>
      </w:r>
      <w:r w:rsidRPr="004D46AC">
        <w:rPr>
          <w:rFonts w:eastAsiaTheme="minorEastAsia"/>
        </w:rPr>
        <w:instrText xml:space="preserve"> ADDIN EN.CITE &lt;EndNote&gt;&lt;Cite&gt;&lt;Author&gt;Benti&lt;/Author&gt;&lt;Year&gt;2014&lt;/Year&gt;&lt;RecNum&gt;1007&lt;/RecNum&gt;&lt;DisplayText&gt;(Benti et al., 2014)&lt;/DisplayText&gt;&lt;record&gt;&lt;rec-number&gt;1007&lt;/rec-number&gt;&lt;foreign-keys&gt;&lt;key app="EN" db-id="aet009sstawa0hewvt3xwf5atffdw2dt02sw" timestamp="1746293181"&gt;1007&lt;/key&gt;&lt;/foreign-keys&gt;&lt;ref-type name="Journal Article"&gt;17&lt;/ref-type&gt;&lt;contributors&gt;&lt;authors&gt;&lt;author&gt;Benti, Liliane&lt;/author&gt;&lt;author&gt;Manicavasagar, Vijaya&lt;/author&gt;&lt;author&gt;Proudfoot, Judy&lt;/author&gt;&lt;author&gt;Parker, Gordon&lt;/author&gt;&lt;/authors&gt;&lt;/contributors&gt;&lt;titles&gt;&lt;title&gt;Identifying Early Indicators in Bipolar Disorder: A Qualitative Study&lt;/title&gt;&lt;secondary-title&gt;Psychiatric Quarterly&lt;/secondary-title&gt;&lt;/titles&gt;&lt;periodical&gt;&lt;full-title&gt;Psychiatric Quarterly&lt;/full-title&gt;&lt;/periodical&gt;&lt;pages&gt;143-153&lt;/pages&gt;&lt;volume&gt;85&lt;/volume&gt;&lt;number&gt;2&lt;/number&gt;&lt;dates&gt;&lt;year&gt;2014&lt;/year&gt;&lt;pub-dates&gt;&lt;date&gt;2014/06/01&lt;/date&gt;&lt;/pub-dates&gt;&lt;/dates&gt;&lt;isbn&gt;1573-6709&lt;/isbn&gt;&lt;urls&gt;&lt;related-urls&gt;&lt;url&gt;https://doi.org/10.1007/s11126-013-9279-x&lt;/url&gt;&lt;/related-urls&gt;&lt;/urls&gt;&lt;electronic-resource-num&gt;10.1007/s11126-013-9279-x&lt;/electronic-resource-num&gt;&lt;/record&gt;&lt;/Cite&gt;&lt;/EndNote&gt;</w:instrText>
      </w:r>
      <w:r w:rsidRPr="004D46AC">
        <w:rPr>
          <w:rFonts w:eastAsiaTheme="minorEastAsia"/>
        </w:rPr>
        <w:fldChar w:fldCharType="separate"/>
      </w:r>
      <w:r w:rsidRPr="004D46AC">
        <w:rPr>
          <w:rFonts w:eastAsiaTheme="minorEastAsia"/>
        </w:rPr>
        <w:t>(Benti et al., 2014)</w:t>
      </w:r>
      <w:r w:rsidRPr="004D46AC">
        <w:rPr>
          <w:rFonts w:eastAsiaTheme="minorEastAsia"/>
        </w:rPr>
        <w:fldChar w:fldCharType="end"/>
      </w:r>
      <w:r w:rsidRPr="004D46AC">
        <w:rPr>
          <w:rFonts w:eastAsiaTheme="minorEastAsia"/>
        </w:rPr>
        <w:t>, the current findings are insufficient to support a definitive conclusion. Moreover, the absence of a gold-standard, comprehensive set of criteria for identifying the bipolar prodrome limits the generalisability of existing evidence. As a result, although some prodromal features appear to be common, their predictive utility remains limited - particularly across the spectrum of bipolar subtypes.</w:t>
      </w:r>
    </w:p>
    <w:p w14:paraId="60228DCD" w14:textId="2F3D6577" w:rsidR="003D5CB6" w:rsidRPr="004D46AC" w:rsidRDefault="003D5CB6" w:rsidP="00B518F1">
      <w:pPr>
        <w:rPr>
          <w:rFonts w:eastAsiaTheme="minorEastAsia"/>
        </w:rPr>
      </w:pPr>
      <w:bookmarkStart w:id="38" w:name="OLE_LINK12"/>
      <w:bookmarkStart w:id="39" w:name="OLE_LINK13"/>
      <w:r w:rsidRPr="004D46AC">
        <w:rPr>
          <w:rFonts w:eastAsiaTheme="minorEastAsia"/>
        </w:rPr>
        <w:t xml:space="preserve">The need for formalised criteria to identify the bipolar prodrome has gained increasing attention in recent years. In response, several criteria have been proposed, but the Bipolar At-Risk (BAR) criteria are the most extensively studied ones. </w:t>
      </w:r>
      <w:r w:rsidRPr="004D46AC">
        <w:rPr>
          <w:rFonts w:eastAsiaTheme="minorEastAsia"/>
        </w:rPr>
        <w:fldChar w:fldCharType="begin">
          <w:fldData xml:space="preserve">PEVuZE5vdGU+PENpdGUgQXV0aG9yWWVhcj0iMSI+PEF1dGhvcj5CZWNoZG9sZjwvQXV0aG9yPjxZ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PEVuZE5vdGU+PENpdGUgQXV0aG9yWWVhcj0iMSI+PEF1dGhvcj5CZWNoZG9sZjwvQXV0aG9yPjxZ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Bechdolf et al. (2010)</w:t>
      </w:r>
      <w:r w:rsidRPr="004D46AC">
        <w:rPr>
          <w:rFonts w:eastAsiaTheme="minorEastAsia"/>
        </w:rPr>
        <w:fldChar w:fldCharType="end"/>
      </w:r>
      <w:r w:rsidRPr="004D46AC">
        <w:rPr>
          <w:rFonts w:eastAsiaTheme="minorEastAsia"/>
        </w:rPr>
        <w:t xml:space="preserve"> </w:t>
      </w:r>
      <w:bookmarkEnd w:id="38"/>
      <w:r w:rsidRPr="004D46AC">
        <w:rPr>
          <w:rFonts w:eastAsiaTheme="minorEastAsia"/>
        </w:rPr>
        <w:t xml:space="preserve">proposed the BAR criteria, which comprise three distinct subgroups: (1) individuals exhibiting subthreshold manic symptoms; (2) those with depressive episodes accompanied by cyclothymic features (i.e., mild manic symptoms combined with recurrent depression); </w:t>
      </w:r>
      <w:r w:rsidRPr="004D46AC">
        <w:rPr>
          <w:rFonts w:eastAsiaTheme="minorEastAsia"/>
        </w:rPr>
        <w:lastRenderedPageBreak/>
        <w:t>and (3) individuals experiencing depression and functional impairment in the context of a first-degree relative diagnosed with bipolar disorder, see Table</w:t>
      </w:r>
      <w:r w:rsidRPr="004D46AC">
        <w:rPr>
          <w:rFonts w:eastAsiaTheme="minorEastAsia" w:hint="eastAsia"/>
        </w:rPr>
        <w:t>s</w:t>
      </w:r>
      <w:r w:rsidRPr="004D46AC">
        <w:rPr>
          <w:rFonts w:eastAsiaTheme="minorEastAsia"/>
        </w:rPr>
        <w:t xml:space="preserve"> </w:t>
      </w:r>
      <w:r w:rsidRPr="004D46AC">
        <w:rPr>
          <w:rFonts w:eastAsiaTheme="minorEastAsia" w:hint="eastAsia"/>
        </w:rPr>
        <w:t>A</w:t>
      </w:r>
      <w:r w:rsidR="00D0731C" w:rsidRPr="004D46AC">
        <w:rPr>
          <w:rFonts w:eastAsiaTheme="minorEastAsia" w:hint="eastAsia"/>
        </w:rPr>
        <w:t xml:space="preserve"> </w:t>
      </w:r>
      <w:r w:rsidRPr="004D46AC">
        <w:rPr>
          <w:rFonts w:eastAsiaTheme="minorEastAsia" w:hint="eastAsia"/>
        </w:rPr>
        <w:t>3-5</w:t>
      </w:r>
      <w:r w:rsidRPr="004D46AC">
        <w:rPr>
          <w:rFonts w:eastAsiaTheme="minorEastAsia"/>
        </w:rPr>
        <w:t xml:space="preserve"> for details of the existing criteria. </w:t>
      </w:r>
    </w:p>
    <w:p w14:paraId="28A6E709" w14:textId="77777777" w:rsidR="003D5CB6" w:rsidRPr="004D46AC" w:rsidRDefault="003D5CB6" w:rsidP="00B518F1">
      <w:pPr>
        <w:rPr>
          <w:rFonts w:eastAsiaTheme="minorEastAsia"/>
        </w:rPr>
      </w:pPr>
      <w:bookmarkStart w:id="40" w:name="OLE_LINK14"/>
      <w:bookmarkStart w:id="41" w:name="OLE_LINK15"/>
      <w:r w:rsidRPr="004D46AC">
        <w:rPr>
          <w:rFonts w:eastAsiaTheme="minorEastAsia"/>
        </w:rPr>
        <w:t>These criteria were preliminarily tested in this study spanning 265 days and involving 173 help-seeking participants. Of these, 12.7% (</w:t>
      </w:r>
      <w:r w:rsidRPr="004D46AC">
        <w:rPr>
          <w:rFonts w:eastAsiaTheme="minorEastAsia"/>
          <w:i/>
          <w:iCs/>
        </w:rPr>
        <w:t>n</w:t>
      </w:r>
      <w:r w:rsidRPr="004D46AC">
        <w:rPr>
          <w:rFonts w:eastAsiaTheme="minorEastAsia"/>
        </w:rPr>
        <w:t xml:space="preserve"> = 22) met one or more BAR criteria, and 22% (</w:t>
      </w:r>
      <w:r w:rsidRPr="004D46AC">
        <w:rPr>
          <w:rFonts w:eastAsiaTheme="minorEastAsia"/>
          <w:i/>
          <w:iCs/>
        </w:rPr>
        <w:t>n</w:t>
      </w:r>
      <w:r w:rsidRPr="004D46AC">
        <w:rPr>
          <w:rFonts w:eastAsiaTheme="minorEastAsia"/>
        </w:rPr>
        <w:t xml:space="preserve"> = 5) of this subgroup transitioned to a bipolar diagnosis - defined by either hospital admission or the initiation of bipolar-specific treatment. Most transitions occurred among individuals classified under Group III. The median time to conversion was 78 days (range: 35-290), and BAR-positive individuals were, on average, younger and transitioned more rapidly than their BAR-negative counterparts. The study also reported promising diagnostic accuracy, with sensitivity and specificity estimated at 83% and 90%, respectively.</w:t>
      </w:r>
    </w:p>
    <w:p w14:paraId="25FA1DE3" w14:textId="77777777" w:rsidR="003D5CB6" w:rsidRPr="004D46AC" w:rsidRDefault="003D5CB6" w:rsidP="00B518F1">
      <w:pPr>
        <w:rPr>
          <w:rFonts w:eastAsiaTheme="minorEastAsia"/>
        </w:rPr>
      </w:pPr>
      <w:bookmarkStart w:id="42" w:name="OLE_LINK16"/>
      <w:r w:rsidRPr="004D46AC">
        <w:rPr>
          <w:rFonts w:eastAsiaTheme="minorEastAsia"/>
        </w:rPr>
        <w:t xml:space="preserve"> </w:t>
      </w:r>
      <w:bookmarkStart w:id="43" w:name="OLE_LINK17"/>
      <w:r w:rsidRPr="004D46AC">
        <w:rPr>
          <w:rFonts w:eastAsiaTheme="minorEastAsia"/>
        </w:rPr>
        <w:fldChar w:fldCharType="begin"/>
      </w:r>
      <w:r w:rsidRPr="004D46AC">
        <w:rPr>
          <w:rFonts w:eastAsiaTheme="minorEastAsia"/>
        </w:rPr>
        <w:instrText xml:space="preserve"> ADDIN EN.CITE &lt;EndNote&gt;&lt;Cite AuthorYear="1"&gt;&lt;Author&gt;Bechdolf&lt;/Author&gt;&lt;Year&gt;2014&lt;/Year&gt;&lt;RecNum&gt;1035&lt;/RecNum&gt;&lt;DisplayText&gt;Bechdolf et al. (2014)&lt;/DisplayText&gt;&lt;record&gt;&lt;rec-number&gt;1035&lt;/rec-number&gt;&lt;foreign-keys&gt;&lt;key app="EN" db-id="aet009sstawa0hewvt3xwf5atffdw2dt02sw" timestamp="1747233402"&gt;1035&lt;/key&gt;&lt;/foreign-keys&gt;&lt;ref-type name="Journal Article"&gt;17&lt;/ref-type&gt;&lt;contributors&gt;&lt;authors&gt;&lt;author&gt;Bechdolf, Andreas&lt;/author&gt;&lt;author&gt;Ratheesh, Aswin&lt;/author&gt;&lt;author&gt;Cotton, Sue M.&lt;/author&gt;&lt;author&gt;Nelson, Barnaby&lt;/author&gt;&lt;author&gt;Chanen, Andrew M.&lt;/author&gt;&lt;author&gt;Betts, Jennifer&lt;/author&gt;&lt;author&gt;Bingmann, Tiffany&lt;/author&gt;&lt;author&gt;Yung, Alison R.&lt;/author&gt;&lt;author&gt;Berk, Michael&lt;/author&gt;&lt;author&gt;McGorry, Patrick D.&lt;/author&gt;&lt;/authors&gt;&lt;/contributors&gt;&lt;titles&gt;&lt;title&gt;The predictive validity of bipolar at-risk (prodromal) criteria in help-seeking adolescents and young adults: a prospective study&lt;/title&gt;&lt;secondary-title&gt;Bipolar Disorders&lt;/secondary-title&gt;&lt;/titles&gt;&lt;periodical&gt;&lt;full-title&gt;Bipolar Disorders&lt;/full-title&gt;&lt;/periodical&gt;&lt;pages&gt;493-504&lt;/pages&gt;&lt;volume&gt;16&lt;/volume&gt;&lt;number&gt;5&lt;/number&gt;&lt;keywords&gt;&lt;keyword&gt;bipolar disorder&lt;/keyword&gt;&lt;keyword&gt;cyclothymia&lt;/keyword&gt;&lt;keyword&gt;depression&lt;/keyword&gt;&lt;keyword&gt;follow-up&lt;/keyword&gt;&lt;keyword&gt;high-risk&lt;/keyword&gt;&lt;keyword&gt;mania&lt;/keyword&gt;&lt;keyword&gt;prodrome&lt;/keyword&gt;&lt;keyword&gt;prospective study&lt;/keyword&gt;&lt;/keywords&gt;&lt;dates&gt;&lt;year&gt;2014&lt;/year&gt;&lt;pub-dates&gt;&lt;date&gt;2014/08/01&lt;/date&gt;&lt;/pub-dates&gt;&lt;/dates&gt;&lt;publisher&gt;John Wiley &amp;amp; Sons, Ltd&lt;/publisher&gt;&lt;isbn&gt;1398-5647&lt;/isbn&gt;&lt;urls&gt;&lt;related-urls&gt;&lt;url&gt;https://doi.org/10.1111/bdi.12205&lt;/url&gt;&lt;/related-urls&gt;&lt;/urls&gt;&lt;electronic-resource-num&gt;https://doi.org/10.1111/bdi.12205&lt;/electronic-resource-num&gt;&lt;access-date&gt;2025/05/14&lt;/access-date&gt;&lt;/record&gt;&lt;/Cite&gt;&lt;/EndNote&gt;</w:instrText>
      </w:r>
      <w:r w:rsidRPr="004D46AC">
        <w:rPr>
          <w:rFonts w:eastAsiaTheme="minorEastAsia"/>
        </w:rPr>
        <w:fldChar w:fldCharType="separate"/>
      </w:r>
      <w:r w:rsidRPr="004D46AC">
        <w:rPr>
          <w:rFonts w:eastAsiaTheme="minorEastAsia"/>
        </w:rPr>
        <w:t>Bechdolf et al. (2014)</w:t>
      </w:r>
      <w:r w:rsidRPr="004D46AC">
        <w:rPr>
          <w:rFonts w:eastAsiaTheme="minorEastAsia"/>
        </w:rPr>
        <w:fldChar w:fldCharType="end"/>
      </w:r>
      <w:r w:rsidRPr="004D46AC">
        <w:t xml:space="preserve"> </w:t>
      </w:r>
      <w:r w:rsidRPr="004D46AC">
        <w:rPr>
          <w:rFonts w:eastAsiaTheme="minorEastAsia"/>
        </w:rPr>
        <w:t xml:space="preserve">subsequently examined 559 help-seeking youth and identified a similar proportion of individuals meeting the BAR criteria as in their earlier study. Most transitions occurred in participants presenting with subthreshold mania, and most transition diagnoses were bipolar II disorder. These participants were later followed up for approximately ten years. </w:t>
      </w:r>
      <w:r w:rsidRPr="004D46AC">
        <w:rPr>
          <w:rFonts w:eastAsiaTheme="minorEastAsia"/>
        </w:rPr>
        <w:fldChar w:fldCharType="begin">
          <w:fldData xml:space="preserve">PEVuZE5vdGU+PENpdGUgQXV0aG9yWWVhcj0iMSI+PEF1dGhvcj5SYXRoZWVzaDwvQXV0aG9yPjxZ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PEVuZE5vdGU+PENpdGUgQXV0aG9yWWVhcj0iMSI+PEF1dGhvcj5SYXRoZWVzaDwvQXV0aG9yPjxZ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Ratheesh et al. (2023)</w:t>
      </w:r>
      <w:r w:rsidRPr="004D46AC">
        <w:rPr>
          <w:rFonts w:eastAsiaTheme="minorEastAsia"/>
        </w:rPr>
        <w:fldChar w:fldCharType="end"/>
      </w:r>
      <w:r w:rsidRPr="004D46AC">
        <w:rPr>
          <w:rFonts w:eastAsiaTheme="minorEastAsia"/>
        </w:rPr>
        <w:t xml:space="preserve"> </w:t>
      </w:r>
      <w:bookmarkEnd w:id="40"/>
      <w:bookmarkEnd w:id="43"/>
      <w:r w:rsidRPr="004D46AC">
        <w:rPr>
          <w:rFonts w:eastAsiaTheme="minorEastAsia"/>
        </w:rPr>
        <w:t>reported that three additional BAR individuals developed bipolar disorder during this period, with the diagnostic patterns and group distribution of converters remaining consistent. However, the small number of conversions and the heterogeneous nature of diagnostic outcomes - spanning various bipolar subtypes - make it difficult to draw definitive conclusions. These findings underscore the complexity of transition pathways and highlight the need for further research to clarify the clinical utility and predictive consistency of the BAR criteria.</w:t>
      </w:r>
    </w:p>
    <w:p w14:paraId="07594A3C" w14:textId="77777777" w:rsidR="003D5CB6" w:rsidRPr="004D46AC" w:rsidRDefault="003D5CB6" w:rsidP="00B518F1">
      <w:pPr>
        <w:rPr>
          <w:rFonts w:eastAsiaTheme="minorEastAsia"/>
        </w:rPr>
      </w:pPr>
      <w:bookmarkStart w:id="44" w:name="OLE_LINK18"/>
      <w:bookmarkEnd w:id="39"/>
      <w:bookmarkEnd w:id="41"/>
      <w:bookmarkEnd w:id="42"/>
      <w:r w:rsidRPr="004D46AC">
        <w:rPr>
          <w:rFonts w:eastAsiaTheme="minorEastAsia"/>
        </w:rPr>
        <w:t xml:space="preserve">Alongside other emerging frameworks, the existing criteria were evaluated in a systematic review by </w:t>
      </w:r>
      <w:r w:rsidRPr="004D46AC">
        <w:rPr>
          <w:rFonts w:eastAsiaTheme="minorEastAsia"/>
        </w:rPr>
        <w:fldChar w:fldCharType="begin"/>
      </w:r>
      <w:r w:rsidRPr="004D46AC">
        <w:rPr>
          <w:rFonts w:eastAsiaTheme="minorEastAsia"/>
        </w:rPr>
        <w:instrText xml:space="preserve"> ADDIN EN.CITE &lt;EndNote&gt;&lt;Cite AuthorYear="1"&gt;&lt;Author&gt;Salazar de Pablo&lt;/Author&gt;&lt;Year&gt;2023&lt;/Year&gt;&lt;RecNum&gt;1037&lt;/RecNum&gt;&lt;DisplayText&gt;Salazar de Pablo et al. (2023)&lt;/DisplayText&gt;&lt;record&gt;&lt;rec-number&gt;1037&lt;/rec-number&gt;&lt;foreign-keys&gt;&lt;key app="EN" db-id="aet009sstawa0hewvt3xwf5atffdw2dt02sw" timestamp="1747255538"&gt;1037&lt;/key&gt;&lt;/foreign-keys&gt;&lt;ref-type name="Journal Article"&gt;17&lt;/ref-type&gt;&lt;contributors&gt;&lt;authors&gt;&lt;author&gt;Salazar de Pablo, Gonzalo&lt;/author&gt;&lt;author&gt;Cabras, Anna&lt;/author&gt;&lt;author&gt;Pereira, Joana&lt;/author&gt;&lt;author&gt;Castro Santos, Henrique&lt;/author&gt;&lt;author&gt;de Diego, Héctor&lt;/author&gt;&lt;author&gt;Catalan, Ana&lt;/author&gt;&lt;author&gt;González-Pinto, Ana&lt;/author&gt;&lt;author&gt;Birmaher, Boris&lt;/author&gt;&lt;author&gt;Correll, Christoph U.&lt;/author&gt;&lt;author&gt;Fusar-Poli, Paolo&lt;/author&gt;&lt;/authors&gt;&lt;/contributors&gt;&lt;titles&gt;&lt;title&gt;Predicting bipolar disorder I/II in individuals at clinical high-risk: Results from a systematic review&lt;/title&gt;&lt;secondary-title&gt;Journal of Affective Disorders&lt;/secondary-title&gt;&lt;/titles&gt;&lt;periodical&gt;&lt;full-title&gt;Journal of affective disorders&lt;/full-title&gt;&lt;/periodical&gt;&lt;pages&gt;778-786&lt;/pages&gt;&lt;volume&gt;325&lt;/volume&gt;&lt;keywords&gt;&lt;keyword&gt;Bipolar disorder&lt;/keyword&gt;&lt;keyword&gt;Clinical high-risk&lt;/keyword&gt;&lt;keyword&gt;Prediction&lt;/keyword&gt;&lt;keyword&gt;Prevention&lt;/keyword&gt;&lt;keyword&gt;Systematic review&lt;/keyword&gt;&lt;/keywords&gt;&lt;dates&gt;&lt;year&gt;2023&lt;/year&gt;&lt;pub-dates&gt;&lt;date&gt;2023/03/15/&lt;/date&gt;&lt;/pub-dates&gt;&lt;/dates&gt;&lt;isbn&gt;0165-0327&lt;/isbn&gt;&lt;urls&gt;&lt;related-urls&gt;&lt;url&gt;https://www.sciencedirect.com/science/article/pii/S0165032723000551&lt;/url&gt;&lt;/related-urls&gt;&lt;/urls&gt;&lt;electronic-resource-num&gt;https://doi.org/10.1016/j.jad.2023.01.045&lt;/electronic-resource-num&gt;&lt;/record&gt;&lt;/Cite&gt;&lt;/EndNote&gt;</w:instrText>
      </w:r>
      <w:r w:rsidRPr="004D46AC">
        <w:rPr>
          <w:rFonts w:eastAsiaTheme="minorEastAsia"/>
        </w:rPr>
        <w:fldChar w:fldCharType="separate"/>
      </w:r>
      <w:r w:rsidRPr="004D46AC">
        <w:rPr>
          <w:rFonts w:eastAsiaTheme="minorEastAsia"/>
          <w:noProof/>
        </w:rPr>
        <w:t>Salazar de Pablo et al. (2023)</w:t>
      </w:r>
      <w:r w:rsidRPr="004D46AC">
        <w:rPr>
          <w:rFonts w:eastAsiaTheme="minorEastAsia"/>
        </w:rPr>
        <w:fldChar w:fldCharType="end"/>
      </w:r>
      <w:r w:rsidRPr="004D46AC">
        <w:rPr>
          <w:rFonts w:eastAsiaTheme="minorEastAsia"/>
        </w:rPr>
        <w:t xml:space="preserve">. </w:t>
      </w:r>
      <w:bookmarkEnd w:id="44"/>
      <w:r w:rsidRPr="004D46AC">
        <w:rPr>
          <w:rFonts w:eastAsiaTheme="minorEastAsia"/>
        </w:rPr>
        <w:t>The authors reported considerable variability in transition rates across different criteria, largely due to inconsistencies in follow-up timeframes across studies.</w:t>
      </w:r>
      <w:r w:rsidRPr="004D46AC">
        <w:t xml:space="preserve"> </w:t>
      </w:r>
      <w:r w:rsidRPr="004D46AC">
        <w:rPr>
          <w:rFonts w:eastAsiaTheme="minorEastAsia"/>
        </w:rPr>
        <w:t xml:space="preserve">The Semi-structured Interview for Bipolar At-Risk States (SIBARS) demonstrated the highest observed transition rate, with 23.4% of individuals progressing to bipolar disorder over a two-year follow-up period, which is expected given the </w:t>
      </w:r>
      <w:r w:rsidRPr="004D46AC">
        <w:rPr>
          <w:rFonts w:eastAsiaTheme="minorEastAsia"/>
        </w:rPr>
        <w:lastRenderedPageBreak/>
        <w:t>application of more stringent conditions relative to the original BAR criteria - such as the inclusion of mixed features and cyclothymic traits in the second and third groups, respectively. Several predictors of transition were identified, including female gender, white ethnicity, a family history of (hypo)mania, early symptom onset, psychiatric admissions, impulsivity, and deficits in behavioural inhibition. However, the review offered limited insight into the epidemiology of at-risk populations, as the approach was not fully quantitative. Future studies should employ more robust quantitative methods to estimate more precise transition rates and identify sources of heterogeneity.</w:t>
      </w:r>
    </w:p>
    <w:p w14:paraId="07819F31" w14:textId="77777777" w:rsidR="003D5CB6" w:rsidRPr="004D46AC" w:rsidRDefault="003D5CB6" w:rsidP="00B518F1">
      <w:pPr>
        <w:rPr>
          <w:rFonts w:eastAsiaTheme="minorEastAsia"/>
        </w:rPr>
      </w:pPr>
      <w:bookmarkStart w:id="45" w:name="OLE_LINK19"/>
      <w:r w:rsidRPr="004D46AC">
        <w:rPr>
          <w:rFonts w:eastAsiaTheme="minorEastAsia"/>
        </w:rPr>
        <w:t>It is perhaps unsurprising that individuals identified as at risk for bipolar disorder - much like those meeting criteria for CHR-P</w:t>
      </w:r>
      <w:r w:rsidRPr="004D46AC">
        <w:rPr>
          <w:rFonts w:eastAsiaTheme="minorEastAsia" w:hint="eastAsia"/>
        </w:rPr>
        <w:t xml:space="preserve"> (clinical high risk for psychosis)</w:t>
      </w:r>
      <w:r w:rsidRPr="004D46AC">
        <w:rPr>
          <w:rFonts w:eastAsiaTheme="minorEastAsia"/>
        </w:rPr>
        <w:t xml:space="preserve"> - also exhibit other forms of psychopathology and may develop psychiatric conditions beyond bipolar disorder. For example, a systematic review has examined the psychiatric outcomes among individuals who met the third BAR criterion </w:t>
      </w:r>
      <w:r w:rsidRPr="004D46AC">
        <w:rPr>
          <w:rFonts w:eastAsiaTheme="minorEastAsia"/>
        </w:rPr>
        <w:fldChar w:fldCharType="begin"/>
      </w:r>
      <w:r w:rsidRPr="004D46AC">
        <w:rPr>
          <w:rFonts w:eastAsiaTheme="minorEastAsia"/>
        </w:rPr>
        <w:instrText xml:space="preserve"> ADDIN EN.CITE &lt;EndNote&gt;&lt;Cite&gt;&lt;Author&gt;Lau&lt;/Author&gt;&lt;Year&gt;2018&lt;/Year&gt;&lt;RecNum&gt;1038&lt;/RecNum&gt;&lt;DisplayText&gt;(Lau et al., 2018)&lt;/DisplayText&gt;&lt;record&gt;&lt;rec-number&gt;1038&lt;/rec-number&gt;&lt;foreign-keys&gt;&lt;key app="EN" db-id="aet009sstawa0hewvt3xwf5atffdw2dt02sw" timestamp="1747344621"&gt;1038&lt;/key&gt;&lt;/foreign-keys&gt;&lt;ref-type name="Journal Article"&gt;17&lt;/ref-type&gt;&lt;contributors&gt;&lt;authors&gt;&lt;author&gt;Lau, Phoebe&lt;/author&gt;&lt;author&gt;Hawes, David J.&lt;/author&gt;&lt;author&gt;Hunt, Caroline&lt;/author&gt;&lt;author&gt;Frankland, Andrew&lt;/author&gt;&lt;author&gt;Roberts, Gloria&lt;/author&gt;&lt;author&gt;Mitchell, Philip B.&lt;/author&gt;&lt;/authors&gt;&lt;/contributors&gt;&lt;titles&gt;&lt;title&gt;Prevalence of psychopathology in bipolar high-risk offspring and siblings: a meta-analysis&lt;/title&gt;&lt;secondary-title&gt;European Child &amp;amp; Adolescent Psychiatry&lt;/secondary-title&gt;&lt;/titles&gt;&lt;periodical&gt;&lt;full-title&gt;European Child &amp;amp; Adolescent Psychiatry&lt;/full-title&gt;&lt;/periodical&gt;&lt;pages&gt;823-837&lt;/pages&gt;&lt;volume&gt;27&lt;/volume&gt;&lt;number&gt;7&lt;/number&gt;&lt;dates&gt;&lt;year&gt;2018&lt;/year&gt;&lt;pub-dates&gt;&lt;date&gt;2018/07/01&lt;/date&gt;&lt;/pub-dates&gt;&lt;/dates&gt;&lt;isbn&gt;1435-165X&lt;/isbn&gt;&lt;urls&gt;&lt;related-urls&gt;&lt;url&gt;https://doi.org/10.1007/s00787-017-1050-7&lt;/url&gt;&lt;/related-urls&gt;&lt;/urls&gt;&lt;electronic-resource-num&gt;10.1007/s00787-017-1050-7&lt;/electronic-resource-num&gt;&lt;/record&gt;&lt;/Cite&gt;&lt;/EndNote&gt;</w:instrText>
      </w:r>
      <w:r w:rsidRPr="004D46AC">
        <w:rPr>
          <w:rFonts w:eastAsiaTheme="minorEastAsia"/>
        </w:rPr>
        <w:fldChar w:fldCharType="separate"/>
      </w:r>
      <w:r w:rsidRPr="004D46AC">
        <w:rPr>
          <w:rFonts w:eastAsiaTheme="minorEastAsia"/>
        </w:rPr>
        <w:t>(Lau et al., 2018)</w:t>
      </w:r>
      <w:r w:rsidRPr="004D46AC">
        <w:rPr>
          <w:rFonts w:eastAsiaTheme="minorEastAsia"/>
        </w:rPr>
        <w:fldChar w:fldCharType="end"/>
      </w:r>
      <w:bookmarkEnd w:id="45"/>
      <w:r w:rsidRPr="004D46AC">
        <w:rPr>
          <w:rFonts w:eastAsiaTheme="minorEastAsia"/>
        </w:rPr>
        <w:t xml:space="preserve">, namely being the first degree relatives of bipolar patients. The study found that 24.2% of these individuals received non-bipolar psychiatric diagnoses, with anxiety disorders being the most common outcome. Other studies found elevated prevalence of mood regulation and APS symptoms in CHR-P and BAR populations respectively </w:t>
      </w:r>
      <w:r w:rsidRPr="004D46AC">
        <w:rPr>
          <w:rFonts w:eastAsiaTheme="minorEastAsia"/>
        </w:rPr>
        <w:fldChar w:fldCharType="begin">
          <w:fldData xml:space="preserve">PEVuZE5vdGU+PENpdGU+PEF1dGhvcj5Nb3LDs24tTm96YWxlZGE8L0F1dGhvcj48WWVhcj4yMDE3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PEVuZE5vdGU+PENpdGU+PEF1dGhvcj5Nb3LDs24tTm96YWxlZGE8L0F1dGhvcj48WWVhcj4yMDE3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(Iyer et al., 2008; Miller et al., 2003; Morón-Nozaleda et al., 2017)</w:t>
      </w:r>
      <w:r w:rsidRPr="004D46AC">
        <w:rPr>
          <w:rFonts w:eastAsiaTheme="minorEastAsia"/>
        </w:rPr>
        <w:fldChar w:fldCharType="end"/>
      </w:r>
      <w:r w:rsidRPr="004D46AC">
        <w:rPr>
          <w:rFonts w:eastAsiaTheme="minorEastAsia"/>
        </w:rPr>
        <w:t xml:space="preserve">. Similarly, nearly 30% of individuals who transitioned from the UHR state developed affective psychoses </w:t>
      </w:r>
      <w:r w:rsidRPr="004D46AC">
        <w:rPr>
          <w:rFonts w:eastAsiaTheme="minorEastAsia"/>
        </w:rPr>
        <w:fldChar w:fldCharType="begin">
          <w:fldData xml:space="preserve">PEVuZE5vdGU+PENpdGU+PEF1dGhvcj5GdXNhci1Qb2xpPC9BdXRob3I+PFllYXI+MjAxMzwvWWVh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PEVuZE5vdGU+PENpdGU+PEF1dGhvcj5GdXNhci1Qb2xpPC9BdXRob3I+PFllYXI+MjAxMzwvWWVh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(Fusar-Poli et al., 2013)</w:t>
      </w:r>
      <w:r w:rsidRPr="004D46AC">
        <w:rPr>
          <w:rFonts w:eastAsiaTheme="minorEastAsia"/>
        </w:rPr>
        <w:fldChar w:fldCharType="end"/>
      </w:r>
      <w:r w:rsidRPr="004D46AC">
        <w:rPr>
          <w:rFonts w:eastAsiaTheme="minorEastAsia"/>
        </w:rPr>
        <w:t xml:space="preserve">, which may again suggest that distinct at-risk statuses share common underlying psychopathological processes, potentially leading to pluripotent outcomes. However,  </w:t>
      </w:r>
      <w:r w:rsidRPr="004D46AC">
        <w:rPr>
          <w:rFonts w:eastAsiaTheme="minorEastAsia"/>
        </w:rPr>
        <w:fldChar w:fldCharType="begin">
          <w:fldData xml:space="preserve">PEVuZE5vdGU+PENpdGUgQXV0aG9yWWVhcj0iMSI+PEF1dGhvcj5Xb29kczwvQXV0aG9yPjxZZWFy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PEVuZE5vdGU+PENpdGUgQXV0aG9yWWVhcj0iMSI+PEF1dGhvcj5Xb29kczwvQXV0aG9yPjxZZWFy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Woods et al. (2018)</w:t>
      </w:r>
      <w:r w:rsidRPr="004D46AC">
        <w:rPr>
          <w:rFonts w:eastAsiaTheme="minorEastAsia"/>
        </w:rPr>
        <w:fldChar w:fldCharType="end"/>
      </w:r>
      <w:r w:rsidRPr="004D46AC">
        <w:rPr>
          <w:rFonts w:eastAsiaTheme="minorEastAsia"/>
        </w:rPr>
        <w:t xml:space="preserve"> challenged the pluripotential hypothesis, reporting that the distribution of non-psychotic diagnoses in UHR individuals was comparable to that observed in help-seeking controls. Nevertheless, this counterargument warrants caution. Help-seeking individuals cannot be considered equivalent to healthy controls, as they already exhibit psychological distress or impairment. As such, comparisons between UHR and help-seeking groups may underestimate the unique risk profile of UHR individuals, thereby limiting the strength of claims against the pluripotential model.</w:t>
      </w:r>
    </w:p>
    <w:p w14:paraId="12C4C18B" w14:textId="77777777" w:rsidR="003D5CB6" w:rsidRPr="004D46AC" w:rsidRDefault="003D5CB6" w:rsidP="00B518F1">
      <w:pPr>
        <w:rPr>
          <w:rFonts w:eastAsiaTheme="minorEastAsia"/>
        </w:rPr>
      </w:pPr>
      <w:r w:rsidRPr="004D46AC">
        <w:rPr>
          <w:rFonts w:eastAsiaTheme="minorEastAsia"/>
        </w:rPr>
        <w:lastRenderedPageBreak/>
        <w:t xml:space="preserve">These findings may suggest that the populations at-risk for psychosis and bipolar disorder - although defined by ostensibly distinct criteria - could share overlapping psychopathological features and functional impairments, even during the prodromal stage. Despite no comprehensive and feasible tools assessing both at risk features, there have been some studies examined the differences in at risk symptoms between these two populations, mostly within the youth population with affected first degree relatives. </w:t>
      </w:r>
      <w:r w:rsidRPr="004D46AC">
        <w:rPr>
          <w:rFonts w:eastAsiaTheme="minorEastAsia"/>
        </w:rPr>
        <w:fldChar w:fldCharType="begin">
          <w:fldData xml:space="preserve">PEVuZE5vdGU+PENpdGUgQXV0aG9yWWVhcj0iMSI+PEF1dGhvcj5TYW5jaGV6LUdpc3RhdTwvQXV0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PEVuZE5vdGU+PENpdGUgQXV0aG9yWWVhcj0iMSI+PEF1dGhvcj5TYW5jaGV6LUdpc3RhdTwvQXV0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Sanchez-Gistau et al. (2015)</w:t>
      </w:r>
      <w:r w:rsidRPr="004D46AC">
        <w:rPr>
          <w:rFonts w:eastAsiaTheme="minorEastAsia"/>
        </w:rPr>
        <w:fldChar w:fldCharType="end"/>
      </w:r>
      <w:r w:rsidRPr="004D46AC">
        <w:rPr>
          <w:rFonts w:eastAsiaTheme="minorEastAsia"/>
        </w:rPr>
        <w:t xml:space="preserve"> compared the subthreshold affective symptoms between patients with bipolar disorder and schizophrenia, and they found that the severity of symptoms was comparable in acute phase but more frequent in bipolar patients at the prodromal stage. Another study examined the difference in APS and functioning in CHR population who transitioned to schizophrenia (</w:t>
      </w:r>
      <w:r w:rsidRPr="004D46AC">
        <w:rPr>
          <w:rFonts w:eastAsiaTheme="minorEastAsia"/>
          <w:i/>
          <w:iCs/>
        </w:rPr>
        <w:t>n</w:t>
      </w:r>
      <w:r w:rsidRPr="004D46AC">
        <w:rPr>
          <w:rFonts w:eastAsiaTheme="minorEastAsia"/>
        </w:rPr>
        <w:t xml:space="preserve"> = 24) and bipolar disorder (</w:t>
      </w:r>
      <w:r w:rsidRPr="004D46AC">
        <w:rPr>
          <w:rFonts w:eastAsiaTheme="minorEastAsia"/>
          <w:i/>
          <w:iCs/>
        </w:rPr>
        <w:t>n</w:t>
      </w:r>
      <w:r w:rsidRPr="004D46AC">
        <w:rPr>
          <w:rFonts w:eastAsiaTheme="minorEastAsia"/>
        </w:rPr>
        <w:t xml:space="preserve"> = 8), and a similar degree of positive symptoms, as well as functioning, were observed between the groups </w:t>
      </w:r>
      <w:r w:rsidRPr="004D46AC">
        <w:rPr>
          <w:rFonts w:eastAsiaTheme="minorEastAsia"/>
        </w:rPr>
        <w:fldChar w:fldCharType="begin">
          <w:fldData xml:space="preserve">PEVuZE5vdGU+PENpdGU+PEF1dGhvcj5PbHZldDwvQXV0aG9yPjxZZWFyPjIwMTA8L1llYXI+PFJl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PEVuZE5vdGU+PENpdGU+PEF1dGhvcj5PbHZldDwvQXV0aG9yPjxZZWFyPjIwMTA8L1llYXI+PFJl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(Olvet et al., 2010)</w:t>
      </w:r>
      <w:r w:rsidRPr="004D46AC">
        <w:rPr>
          <w:rFonts w:eastAsiaTheme="minorEastAsia"/>
        </w:rPr>
        <w:fldChar w:fldCharType="end"/>
      </w:r>
      <w:r w:rsidRPr="004D46AC">
        <w:rPr>
          <w:rFonts w:eastAsiaTheme="minorEastAsia"/>
        </w:rPr>
        <w:t xml:space="preserve">. Nonetheless, this finding maybe biased as the sample size was unequal and limited in number, and the CHR status is not clear which made the interpretation of these findings quite challenging.  </w:t>
      </w:r>
      <w:r w:rsidRPr="004D46AC">
        <w:rPr>
          <w:rFonts w:eastAsiaTheme="minorEastAsia"/>
        </w:rPr>
        <w:fldChar w:fldCharType="begin">
          <w:fldData xml:space="preserve">PEVuZE5vdGU+PENpdGUgQXV0aG9yWWVhcj0iMSI+PEF1dGhvcj5WZXJkb2xpbmk8L0F1dGhvcj48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PEVuZE5vdGU+PENpdGUgQXV0aG9yWWVhcj0iMSI+PEF1dGhvcj5WZXJkb2xpbmk8L0F1dGhvcj48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Verdolini et al. (2022)</w:t>
      </w:r>
      <w:r w:rsidRPr="004D46AC">
        <w:rPr>
          <w:rFonts w:eastAsiaTheme="minorEastAsia"/>
        </w:rPr>
        <w:fldChar w:fldCharType="end"/>
      </w:r>
      <w:r w:rsidRPr="004D46AC">
        <w:rPr>
          <w:rFonts w:eastAsiaTheme="minorEastAsia"/>
        </w:rPr>
        <w:t xml:space="preserve"> used a semi-structured interviewing tool termed bipolar prodrome symptoms scale-retrospective (BPSS-R) to study the distribution difference among first episode psychosis (FEP) and mania (FEM) patients. They found a </w:t>
      </w:r>
      <w:proofErr w:type="spellStart"/>
      <w:r w:rsidRPr="004D46AC">
        <w:rPr>
          <w:rFonts w:eastAsiaTheme="minorEastAsia"/>
        </w:rPr>
        <w:t>Schizo</w:t>
      </w:r>
      <w:proofErr w:type="spellEnd"/>
      <w:r w:rsidRPr="004D46AC">
        <w:rPr>
          <w:rFonts w:eastAsiaTheme="minorEastAsia"/>
        </w:rPr>
        <w:t xml:space="preserve">-bipolar pattern in those symptoms, with some manic indices (e.g., elevated mood, increased energy, physical agitation) more prevalent in FEM patients and some indices more prevalent in FEP patients (e.g., depressive mood, social isolation, suspiciousness); most of the frequencies of BPSS-R items remained indistinguishable between the two groups, but the duration of all items appeared to be longer in FEP patients, which implying a continuous possibilities between bipolar and schizophrenia. A similar finding utilised a different scale was reported elsewhere </w:t>
      </w:r>
      <w:r w:rsidRPr="004D46AC">
        <w:rPr>
          <w:rFonts w:eastAsiaTheme="minorEastAsia"/>
        </w:rPr>
        <w:fldChar w:fldCharType="begin">
          <w:fldData xml:space="preserve">PEVuZE5vdGU+PENpdGU+PEF1dGhvcj5CYWV6YTwvQXV0aG9yPjxZZWFyPjIwMjQ8L1llYXI+PFJl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PEVuZE5vdGU+PENpdGU+PEF1dGhvcj5CYWV6YTwvQXV0aG9yPjxZZWFyPjIwMjQ8L1llYXI+PFJl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(Baeza et al., 2024)</w:t>
      </w:r>
      <w:r w:rsidRPr="004D46AC">
        <w:rPr>
          <w:rFonts w:eastAsiaTheme="minorEastAsia"/>
        </w:rPr>
        <w:fldChar w:fldCharType="end"/>
      </w:r>
      <w:r w:rsidRPr="004D46AC">
        <w:rPr>
          <w:rFonts w:eastAsiaTheme="minorEastAsia"/>
        </w:rPr>
        <w:t xml:space="preserve">, and inconsistent findings in UHR and BAR as well </w:t>
      </w:r>
      <w:r w:rsidRPr="004D46AC">
        <w:rPr>
          <w:rFonts w:eastAsiaTheme="minorEastAsia"/>
        </w:rPr>
        <w:fldChar w:fldCharType="begin">
          <w:fldData xml:space="preserve">PEVuZE5vdGU+PENpdGU+PEF1dGhvcj5EZSBsYSBTZXJuYTwvQXV0aG9yPjxZZWFyPjIwMjE8L1ll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PEVuZE5vdGU+PENpdGU+PEF1dGhvcj5EZSBsYSBTZXJuYTwvQXV0aG9yPjxZZWFyPjIwMjE8L1ll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rPr>
        <w:t>(De la Serna et al., 2021)</w:t>
      </w:r>
      <w:r w:rsidRPr="004D46AC">
        <w:rPr>
          <w:rFonts w:eastAsiaTheme="minorEastAsia"/>
        </w:rPr>
        <w:fldChar w:fldCharType="end"/>
      </w:r>
      <w:r w:rsidRPr="004D46AC">
        <w:rPr>
          <w:rFonts w:eastAsiaTheme="minorEastAsia"/>
        </w:rPr>
        <w:t xml:space="preserve">, suggesting variances in both population and research method. </w:t>
      </w:r>
    </w:p>
    <w:p w14:paraId="2141A174" w14:textId="77777777" w:rsidR="003D5CB6" w:rsidRPr="004D46AC" w:rsidRDefault="003D5CB6" w:rsidP="00B518F1">
      <w:pPr>
        <w:rPr>
          <w:rFonts w:eastAsiaTheme="minorEastAsia"/>
        </w:rPr>
      </w:pPr>
      <w:r w:rsidRPr="004D46AC">
        <w:rPr>
          <w:rFonts w:eastAsiaTheme="minorEastAsia"/>
        </w:rPr>
        <w:t xml:space="preserve">Other studies adopting dimensional or transdiagnostic approaches have also reported notable links between the at risk symptoms of schizophrenia and bipolar disorder. </w:t>
      </w:r>
      <w:r w:rsidRPr="004D46AC">
        <w:rPr>
          <w:rFonts w:eastAsiaTheme="minorEastAsia"/>
        </w:rPr>
        <w:lastRenderedPageBreak/>
        <w:fldChar w:fldCharType="begin"/>
      </w:r>
      <w:r w:rsidRPr="004D46AC">
        <w:rPr>
          <w:rFonts w:eastAsiaTheme="minorEastAsia"/>
        </w:rPr>
        <w:instrText xml:space="preserve"> ADDIN EN.CITE &lt;EndNote&gt;&lt;Cite AuthorYear="1"&gt;&lt;Author&gt;Arribas&lt;/Author&gt;&lt;Year&gt;2024&lt;/Year&gt;&lt;RecNum&gt;1050&lt;/RecNum&gt;&lt;DisplayText&gt;Arribas et al. (2024)&lt;/DisplayText&gt;&lt;record&gt;&lt;rec-number&gt;1050&lt;/rec-number&gt;&lt;foreign-keys&gt;&lt;key app="EN" db-id="aet009sstawa0hewvt3xwf5atffdw2dt02sw" timestamp="1747522137"&gt;1050&lt;/key&gt;&lt;/foreign-keys&gt;&lt;ref-type name="Journal Article"&gt;17&lt;/ref-type&gt;&lt;contributors&gt;&lt;authors&gt;&lt;author&gt;Arribas, Maite&lt;/author&gt;&lt;author&gt;Oliver, Dominic&lt;/author&gt;&lt;author&gt;Patel, Rashmi&lt;/author&gt;&lt;author&gt;Kornblum, Daisy&lt;/author&gt;&lt;author&gt;Shetty, Hitesh&lt;/author&gt;&lt;author&gt;Damiani, Stefano&lt;/author&gt;&lt;author&gt;Krakowski, Kamil&lt;/author&gt;&lt;author&gt;Provenzani, Umberto&lt;/author&gt;&lt;author&gt;Stahl, Daniel&lt;/author&gt;&lt;author&gt;Koutsouleris, Nikolaos&lt;/author&gt;&lt;author&gt;McGuire, Philip&lt;/author&gt;&lt;author&gt;Fusar-Poli, Paolo&lt;/author&gt;&lt;/authors&gt;&lt;/contributors&gt;&lt;titles&gt;&lt;title&gt;A transdiagnostic prodrome for severe mental disorders: an electronic health record study&lt;/title&gt;&lt;secondary-title&gt;Molecular Psychiatry&lt;/secondary-title&gt;&lt;/titles&gt;&lt;periodical&gt;&lt;full-title&gt;Molecular Psychiatry&lt;/full-title&gt;&lt;/periodical&gt;&lt;pages&gt;3305-3315&lt;/pages&gt;&lt;volume&gt;29&lt;/volume&gt;&lt;number&gt;11&lt;/number&gt;&lt;dates&gt;&lt;year&gt;2024&lt;/year&gt;&lt;pub-dates&gt;&lt;date&gt;2024/11/01&lt;/date&gt;&lt;/pub-dates&gt;&lt;/dates&gt;&lt;isbn&gt;1476-5578&lt;/isbn&gt;&lt;urls&gt;&lt;related-urls&gt;&lt;url&gt;https://doi.org/10.1038/s41380-024-02533-5&lt;/url&gt;&lt;/related-urls&gt;&lt;/urls&gt;&lt;electronic-resource-num&gt;10.1038/s41380-024-02533-5&lt;/electronic-resource-num&gt;&lt;/record&gt;&lt;/Cite&gt;&lt;/EndNote&gt;</w:instrText>
      </w:r>
      <w:r w:rsidRPr="004D46AC">
        <w:rPr>
          <w:rFonts w:eastAsiaTheme="minorEastAsia"/>
        </w:rPr>
        <w:fldChar w:fldCharType="separate"/>
      </w:r>
      <w:r w:rsidRPr="004D46AC">
        <w:rPr>
          <w:rFonts w:eastAsiaTheme="minorEastAsia"/>
        </w:rPr>
        <w:t>Arribas et al. (2024)</w:t>
      </w:r>
      <w:r w:rsidRPr="004D46AC">
        <w:rPr>
          <w:rFonts w:eastAsiaTheme="minorEastAsia"/>
        </w:rPr>
        <w:fldChar w:fldCharType="end"/>
      </w:r>
      <w:r w:rsidRPr="004D46AC">
        <w:rPr>
          <w:rFonts w:eastAsiaTheme="minorEastAsia"/>
        </w:rPr>
        <w:t xml:space="preserve"> , using natural language processing to analyse clinical records of individuals with severe mental illness, found that most at risk symptoms were non-specific. Nonetheless, positive symptoms - such as paranoia and hallucinations - demonstrated moderate discriminability between schizophrenia and bipolar disorder, and the duration of the prodrome was comparable across both diagnostic groups. Similarly, </w:t>
      </w:r>
      <w:r w:rsidRPr="004D46AC">
        <w:rPr>
          <w:rFonts w:eastAsiaTheme="minorEastAsia"/>
        </w:rPr>
        <w:fldChar w:fldCharType="begin"/>
      </w:r>
      <w:r w:rsidRPr="004D46AC">
        <w:rPr>
          <w:rFonts w:eastAsiaTheme="minorEastAsia"/>
        </w:rPr>
        <w:instrText xml:space="preserve"> ADDIN EN.CITE &lt;EndNote&gt;&lt;Cite AuthorYear="1"&gt;&lt;Author&gt;Fonseca-Pedrero&lt;/Author&gt;&lt;Year&gt;2020&lt;/Year&gt;&lt;RecNum&gt;959&lt;/RecNum&gt;&lt;DisplayText&gt;Fonseca-Pedrero et al. (2020)&lt;/DisplayText&gt;&lt;record&gt;&lt;rec-number&gt;959&lt;/rec-number&gt;&lt;foreign-keys&gt;&lt;key app="EN" db-id="aet009sstawa0hewvt3xwf5atffdw2dt02sw" timestamp="1742399028"&gt;959&lt;/key&gt;&lt;/foreign-keys&gt;&lt;ref-type name="Journal Article"&gt;17&lt;/ref-type&gt;&lt;contributors&gt;&lt;authors&gt;&lt;author&gt;Fonseca-Pedrero,Eduardo&lt;/author&gt;&lt;author&gt;Ortuño-Sierra,Javier&lt;/author&gt;&lt;author&gt;Inchausti,Felix&lt;/author&gt;&lt;author&gt;Rodríguez-Testal,Juan Francisco&lt;/author&gt;&lt;author&gt;Debbané,Martin&lt;/author&gt;&lt;/authors&gt;&lt;/contributors&gt;&lt;auth-address&gt;Eduardo Fonseca-Pedrero,Department of Educational Sciences, University of La Rioja,Spain,eduardo.fonseca@unirioja.es&amp;#xD;Eduardo Fonseca-Pedrero,Centro de Investigación Biomédica en Red de Salud Mental (CIBERSAM),Spain,eduardo.fonseca@unirioja.es&amp;#xD;Eduardo Fonseca-Pedrero,Programa Riojano de Investigación en Salud Mental (PRISMA),Spain,eduardo.fonseca@unirioja.es&lt;/auth-address&gt;&lt;titles&gt;&lt;title&gt;Beyond Clinical High-Risk State for Psychosis: The Network Structure of Multidimensional Psychosis Liability in Adolescents&lt;/title&gt;&lt;secondary-title&gt;Frontiers in Psychiatry&lt;/secondary-title&gt;&lt;short-title&gt;The network structure of multidimensional psychosis liability in adolescents&lt;/short-title&gt;&lt;/titles&gt;&lt;periodical&gt;&lt;full-title&gt;Frontiers in Psychiatry&lt;/full-title&gt;&lt;/periodical&gt;&lt;volume&gt;10&lt;/volume&gt;&lt;keywords&gt;&lt;keyword&gt;Clinical high risk,schizotypal,schizotypy,network,Complex dynamic system&lt;/keyword&gt;&lt;/keywords&gt;&lt;dates&gt;&lt;year&gt;2020&lt;/year&gt;&lt;pub-dates&gt;&lt;date&gt;2020-February-11&lt;/date&gt;&lt;/pub-dates&gt;&lt;/dates&gt;&lt;isbn&gt;1664-0640&lt;/isbn&gt;&lt;work-type&gt;Original Research&lt;/work-type&gt;&lt;urls&gt;&lt;related-urls&gt;&lt;url&gt;https://www.frontiersin.org/journals/psychiatry/articles/10.3389/fpsyt.2019.00967&lt;/url&gt;&lt;/related-urls&gt;&lt;/urls&gt;&lt;electronic-resource-num&gt;10.3389/fpsyt.2019.00967&lt;/electronic-resource-num&gt;&lt;language&gt;English&lt;/language&gt;&lt;/record&gt;&lt;/Cite&gt;&lt;/EndNote&gt;</w:instrText>
      </w:r>
      <w:r w:rsidRPr="004D46AC">
        <w:rPr>
          <w:rFonts w:eastAsiaTheme="minorEastAsia"/>
        </w:rPr>
        <w:fldChar w:fldCharType="separate"/>
      </w:r>
      <w:r w:rsidRPr="004D46AC">
        <w:rPr>
          <w:rFonts w:eastAsiaTheme="minorEastAsia"/>
        </w:rPr>
        <w:t>Fonseca-Pedrero et al. (2020)</w:t>
      </w:r>
      <w:r w:rsidRPr="004D46AC">
        <w:rPr>
          <w:rFonts w:eastAsiaTheme="minorEastAsia"/>
        </w:rPr>
        <w:fldChar w:fldCharType="end"/>
      </w:r>
      <w:r w:rsidRPr="004D46AC">
        <w:rPr>
          <w:rFonts w:eastAsiaTheme="minorEastAsia"/>
        </w:rPr>
        <w:t xml:space="preserve"> examined the network structure of risk symptoms and functional impairment in a community sample of 1,506 adolescents. They observed that manic risk symptoms, assessed via the Mood Disorder Questionnaire and the Prodromal Questionnaire (PQ), exhibited stronger symptom connectivity than other nodes, particularly those linked to prodromal severity and frequency. Notably, the PQ-defined severity scores showed the highest strength within the network, suggesting that symptom severity and frequency may exert significant influence over broader risk states and functional decline. Furthermore, a study using a clinical staging model provided additional evidence for transdiagnostic vulnerability. It compared psychopathology across stage 1a (non-specific distress) and stage 1b (attenuated psychotic symptoms), finding that individuals in stage 1b exhibited greater severity across nearly all domains of psychopathology, including SOP dimensions </w:t>
      </w:r>
      <w:r w:rsidRPr="004D46AC">
        <w:rPr>
          <w:rFonts w:eastAsiaTheme="minorEastAsia"/>
        </w:rPr>
        <w:fldChar w:fldCharType="begin">
          <w:fldData xml:space="preserve">PEVuZE5vdGU+PENpdGU+PEF1dGhvcj5BZGRpbmd0b248L0F1dGhvcj48WWVhcj4yMDE5PC9ZZWFy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=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PEVuZE5vdGU+PENpdGU+PEF1dGhvcj5BZGRpbmd0b248L0F1dGhvcj48WWVhcj4yMDE5PC9ZZWFy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=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(Addington et al., 2019)</w:t>
      </w:r>
      <w:r w:rsidRPr="004D46AC">
        <w:rPr>
          <w:rFonts w:eastAsiaTheme="minorEastAsia"/>
        </w:rPr>
        <w:fldChar w:fldCharType="end"/>
      </w:r>
      <w:r w:rsidRPr="004D46AC">
        <w:rPr>
          <w:rFonts w:eastAsiaTheme="minorEastAsia"/>
        </w:rPr>
        <w:t>. Individuals in this stage were at heightened risk for a range of internalising and personality disorders, though not for neurodevelopmental conditions. These findings collectively support the utility of transdiagnostic frameworks for understanding emerging psychopathology, particularly in early or subthreshold clinical stages.</w:t>
      </w:r>
    </w:p>
    <w:p w14:paraId="6DDB9C34" w14:textId="77777777" w:rsidR="003D5CB6" w:rsidRPr="004D46AC" w:rsidRDefault="003D5CB6" w:rsidP="00B518F1">
      <w:pPr>
        <w:rPr>
          <w:rFonts w:eastAsiaTheme="minorEastAsia"/>
        </w:rPr>
      </w:pPr>
      <w:r w:rsidRPr="004D46AC">
        <w:rPr>
          <w:rFonts w:eastAsiaTheme="minorEastAsia"/>
        </w:rPr>
        <w:t>In general, the accumulating evidence provides limited support for a discrete at-risk classification. Although the CHR and BAR criteria demonstrate some validity in predicting the onset of schizophrenia and bipolar disorder, their overall specificity remains low - particularly in the case of CHR-P. Furthermore, most studies examining the prodromal stages of mental illness have focused on help-seeking youth, raising concerns about the generalisability of findings to broader or non-clinical populations. Another limitation lies in the relative absence of validated self-report instruments for assessing at-risk symptoms, which restricts the feasibility and scalability of these criteria in routine clinical practice.</w:t>
      </w:r>
    </w:p>
    <w:p w14:paraId="1D047885" w14:textId="77777777" w:rsidR="003D5CB6" w:rsidRPr="004D46AC" w:rsidRDefault="003D5CB6" w:rsidP="00B518F1">
      <w:pPr>
        <w:rPr>
          <w:rFonts w:eastAsiaTheme="minorEastAsia"/>
        </w:rPr>
      </w:pPr>
      <w:r w:rsidRPr="004D46AC">
        <w:rPr>
          <w:rFonts w:eastAsiaTheme="minorEastAsia"/>
        </w:rPr>
        <w:lastRenderedPageBreak/>
        <w:t>Notably, the frequent use of the term prodromal symptoms in the literature may be misleading. Unlike in infectious disease models, where the prodrome denotes a distinct and time-limited pre-onset phase, the early presenting symptoms associated with psychosis and bipolar risk may persist across multiple stages of the illness trajectory. Therefore, alternative terminology - such as at-risk symptoms or trait-like features - may better reflect the enduring nature of these experiences.</w:t>
      </w:r>
    </w:p>
    <w:p w14:paraId="4F904315" w14:textId="77777777" w:rsidR="003D5CB6" w:rsidRPr="004D46AC" w:rsidRDefault="003D5CB6" w:rsidP="00B518F1">
      <w:pPr>
        <w:rPr>
          <w:rFonts w:eastAsiaTheme="minorEastAsia"/>
        </w:rPr>
      </w:pPr>
      <w:r w:rsidRPr="004D46AC">
        <w:rPr>
          <w:rFonts w:eastAsiaTheme="minorEastAsia"/>
        </w:rPr>
        <w:t>Finally, the distinction between the prodromal phases of bipolar disorder and schizophrenia remains unclear. Current evidence has not conclusively supported a diagnostic boundary based on at-risk symptom profiles, suggesting that these conditions may share overlapping transdiagnostic features during early stages of illness progression.</w:t>
      </w:r>
    </w:p>
    <w:p w14:paraId="6C6A6261" w14:textId="77777777" w:rsidR="003D5CB6" w:rsidRPr="004D46AC" w:rsidRDefault="003D5CB6" w:rsidP="00B518F1">
      <w:pPr>
        <w:pStyle w:val="2"/>
      </w:pPr>
      <w:bookmarkStart w:id="46" w:name="_Toc219888754"/>
      <w:r w:rsidRPr="004D46AC">
        <w:t>Overlap in Biological, Genetic, and Neurocognitive Features</w:t>
      </w:r>
      <w:bookmarkEnd w:id="46"/>
    </w:p>
    <w:p w14:paraId="484D16B4" w14:textId="77777777" w:rsidR="003D5CB6" w:rsidRPr="004D46AC" w:rsidRDefault="003D5CB6" w:rsidP="00B518F1">
      <w:pPr>
        <w:rPr>
          <w:rFonts w:eastAsiaTheme="minorEastAsia"/>
        </w:rPr>
      </w:pPr>
      <w:r w:rsidRPr="004D46AC">
        <w:rPr>
          <w:rFonts w:eastAsiaTheme="minorEastAsia"/>
        </w:rPr>
        <w:t xml:space="preserve">The biological roots of major psychoses have been extensively investigated. Although this thesis does not empirically address biological features in relation to the psychopathology, it is worthwhile to briefly mentioning relevant studies for a deeper understanding of the relationship between bipolar and schizophrenia. Schizophrenia has been assumed to be a brain disorder since its earliest clinical conceptualisation. The original construct of dementia praecox was based on the observation that the illness typically emerged in youth and involved progressive cognitive deterioration, presumed to reflect underlying brain pathology. Influenced by the medical model of the time, early researchers - including figures such as Kraepelin and Alzheimer - sought physical lesions in the brain that might explain the disorder, much like those found in other neuropsychiatric conditions (e.g. general paresis). Although these early neuropathological investigations were largely inconclusive, they laid the foundation for understanding schizophrenia as a biologically based condition. With the advent of neuroimaging and other technological advances, it has become possible to investigate the brain and related physiological processes in vivo with greater precision. </w:t>
      </w:r>
    </w:p>
    <w:p w14:paraId="506CCDC8" w14:textId="77777777" w:rsidR="003D5CB6" w:rsidRPr="004D46AC" w:rsidRDefault="003D5CB6" w:rsidP="00B518F1">
      <w:pPr>
        <w:pStyle w:val="3"/>
      </w:pPr>
      <w:r w:rsidRPr="004D46AC">
        <w:lastRenderedPageBreak/>
        <w:t>Brain structure</w:t>
      </w:r>
    </w:p>
    <w:p w14:paraId="791F5C0D" w14:textId="77777777" w:rsidR="003D5CB6" w:rsidRPr="004D46AC" w:rsidRDefault="003D5CB6" w:rsidP="00B518F1">
      <w:pPr>
        <w:rPr>
          <w:rFonts w:eastAsiaTheme="minorEastAsia"/>
        </w:rPr>
      </w:pPr>
      <w:r w:rsidRPr="004D46AC">
        <w:rPr>
          <w:rFonts w:eastAsiaTheme="minorEastAsia"/>
        </w:rPr>
        <w:t xml:space="preserve">The loss of grey matter volume (GMV), for example, is a key indicator of how brain function is disrupted in both patients and individuals at risk for these disorders. </w:t>
      </w:r>
      <w:bookmarkStart w:id="47" w:name="OLE_LINK20"/>
      <w:r w:rsidRPr="004D46AC">
        <w:rPr>
          <w:rFonts w:eastAsiaTheme="minorEastAsia"/>
        </w:rPr>
        <w:fldChar w:fldCharType="begin">
          <w:fldData xml:space="preserve">PEVuZE5vdGU+PENpdGUgQXV0aG9yWWVhcj0iMSI+PEF1dGhvcj5RaTwvQXV0aG9yPjxZZWFyPjIw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PEVuZE5vdGU+PENpdGUgQXV0aG9yWWVhcj0iMSI+PEF1dGhvcj5RaTwvQXV0aG9yPjxZZWFyPjIw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Qi et al. (2022)</w:t>
      </w:r>
      <w:r w:rsidRPr="004D46AC">
        <w:rPr>
          <w:rFonts w:eastAsiaTheme="minorEastAsia"/>
        </w:rPr>
        <w:fldChar w:fldCharType="end"/>
      </w:r>
      <w:r w:rsidRPr="004D46AC">
        <w:rPr>
          <w:rFonts w:eastAsiaTheme="minorEastAsia"/>
        </w:rPr>
        <w:t xml:space="preserve"> </w:t>
      </w:r>
      <w:bookmarkEnd w:id="47"/>
      <w:r w:rsidRPr="004D46AC">
        <w:rPr>
          <w:rFonts w:eastAsiaTheme="minorEastAsia"/>
          <w:lang w:val="en-US"/>
        </w:rPr>
        <w:t>conducted a meta-analysis examining functional and structural brain alterations in individuals with major psychoses (schizophrenia and bipolar disorder) compared to healthy controls. Two key neuroimaging indicators were employed: regional homogeneity (ReHo), reflecting the synchronicity of local neural activity, and GMV, indexing structural integrity and potential developmental deficits that may impair the brain’s capacity for information processing. Their findings revealed that both clinical groups exhibited increased ReHo in the bilateral medial prefrontal cortex (</w:t>
      </w:r>
      <w:proofErr w:type="spellStart"/>
      <w:r w:rsidRPr="004D46AC">
        <w:rPr>
          <w:rFonts w:eastAsiaTheme="minorEastAsia"/>
          <w:lang w:val="en-US"/>
        </w:rPr>
        <w:t>mPFC</w:t>
      </w:r>
      <w:proofErr w:type="spellEnd"/>
      <w:r w:rsidRPr="004D46AC">
        <w:rPr>
          <w:rFonts w:eastAsiaTheme="minorEastAsia"/>
          <w:lang w:val="en-US"/>
        </w:rPr>
        <w:t xml:space="preserve">), a region implicated in self-referential processing, mood regulation, decision-making, and social cognition. Decreased ReHo was observed in the left insula (associated with emotional and cognitive integration), the superior temporal gyrus (STG) (involved in auditory processing, language comprehension, and social perception), as well as the right STG and inferior temporal gyrus (ITG) (linked to visual object recognition and semantic memory). In terms of structure, both patient groups demonstrated reduced GMV in the bilateral </w:t>
      </w:r>
      <w:proofErr w:type="spellStart"/>
      <w:r w:rsidRPr="004D46AC">
        <w:rPr>
          <w:rFonts w:eastAsiaTheme="minorEastAsia"/>
          <w:lang w:val="en-US"/>
        </w:rPr>
        <w:t>mPFC</w:t>
      </w:r>
      <w:proofErr w:type="spellEnd"/>
      <w:r w:rsidRPr="004D46AC">
        <w:rPr>
          <w:rFonts w:eastAsiaTheme="minorEastAsia"/>
          <w:lang w:val="en-US"/>
        </w:rPr>
        <w:t>, anterior cingulate cortex (ACC) (emotion regulation, cognitive control, and motivational processes), midcingulate cortex, inferior frontal gyrus (IFG) (language production, impulse control, and social cognition), insula, and STG. Nonetheless, schizophrenia was associated with more widespread structural and functional alterations, suggesting a broader pattern of neurobiological disruption in this population.</w:t>
      </w:r>
    </w:p>
    <w:p w14:paraId="431B5C3A" w14:textId="77777777" w:rsidR="003D5CB6" w:rsidRPr="004D46AC" w:rsidRDefault="003D5CB6" w:rsidP="00B518F1">
      <w:pPr>
        <w:rPr>
          <w:rFonts w:eastAsiaTheme="minorEastAsia"/>
        </w:rPr>
      </w:pPr>
      <w:bookmarkStart w:id="48" w:name="OLE_LINK21"/>
      <w:r w:rsidRPr="004D46AC">
        <w:rPr>
          <w:rFonts w:eastAsiaTheme="minorEastAsia"/>
          <w:lang w:val="en-US"/>
        </w:rPr>
        <w:t xml:space="preserve">The long-term variations in the brain relating to schizophrenia and bipolar disorder has also been studied in these populations. </w:t>
      </w:r>
      <w:bookmarkStart w:id="49" w:name="OLE_LINK24"/>
      <w:r w:rsidRPr="004D46AC">
        <w:rPr>
          <w:rFonts w:eastAsiaTheme="minorEastAsia"/>
          <w:lang w:val="en-US"/>
        </w:rPr>
        <w:fldChar w:fldCharType="begin"/>
      </w:r>
      <w:r w:rsidRPr="004D46AC">
        <w:rPr>
          <w:rFonts w:eastAsiaTheme="minorEastAsia"/>
          <w:lang w:val="en-US"/>
        </w:rPr>
        <w:instrText xml:space="preserve"> ADDIN EN.CITE &lt;EndNote&gt;&lt;Cite AuthorYear="1"&gt;&lt;Author&gt;Gallardo-Ruiz&lt;/Author&gt;&lt;Year&gt;2019&lt;/Year&gt;&lt;RecNum&gt;1057&lt;/RecNum&gt;&lt;DisplayText&gt;Gallardo-Ruiz et al. (2019)&lt;/DisplayText&gt;&lt;record&gt;&lt;rec-number&gt;1057&lt;/rec-number&gt;&lt;foreign-keys&gt;&lt;key app="EN" db-id="aet009sstawa0hewvt3xwf5atffdw2dt02sw" timestamp="1748187312"&gt;1057&lt;/key&gt;&lt;/foreign-keys&gt;&lt;ref-type name="Journal Article"&gt;17&lt;/ref-type&gt;&lt;contributors&gt;&lt;authors&gt;&lt;author&gt;Gallardo-Ruiz, Ruth&lt;/author&gt;&lt;author&gt;Crespo-Facorro, Benedicto&lt;/author&gt;&lt;author&gt;Setién-Suero, Esther&lt;/author&gt;&lt;author&gt;Tordesillas-Gutierrez, Diana&lt;/author&gt;&lt;/authors&gt;&lt;/contributors&gt;&lt;titles&gt;&lt;title&gt;Long-term grey matter changes in first episode psychosis: a systematic review&lt;/title&gt;&lt;secondary-title&gt;Psychiatry investigation&lt;/secondary-title&gt;&lt;/titles&gt;&lt;periodical&gt;&lt;full-title&gt;Psychiatry investigation&lt;/full-title&gt;&lt;/periodical&gt;&lt;pages&gt;336&lt;/pages&gt;&lt;volume&gt;16&lt;/volume&gt;&lt;number&gt;5&lt;/number&gt;&lt;dates&gt;&lt;year&gt;2019&lt;/year&gt;&lt;/dates&gt;&lt;urls&gt;&lt;/urls&gt;&lt;/record&gt;&lt;/Cite&gt;&lt;/EndNote&gt;</w:instrText>
      </w:r>
      <w:r w:rsidRPr="004D46AC">
        <w:rPr>
          <w:rFonts w:eastAsiaTheme="minorEastAsia"/>
          <w:lang w:val="en-US"/>
        </w:rPr>
        <w:fldChar w:fldCharType="separate"/>
      </w:r>
      <w:r w:rsidRPr="004D46AC">
        <w:rPr>
          <w:rFonts w:eastAsiaTheme="minorEastAsia"/>
          <w:noProof/>
          <w:lang w:val="en-US"/>
        </w:rPr>
        <w:t>Gallardo-Ruiz et al. (2019)</w:t>
      </w:r>
      <w:r w:rsidRPr="004D46AC">
        <w:rPr>
          <w:rFonts w:eastAsiaTheme="minorEastAsia"/>
          <w:lang w:val="en-US"/>
        </w:rPr>
        <w:fldChar w:fldCharType="end"/>
      </w:r>
      <w:r w:rsidRPr="004D46AC">
        <w:rPr>
          <w:rFonts w:eastAsiaTheme="minorEastAsia"/>
          <w:lang w:val="en-US"/>
        </w:rPr>
        <w:t xml:space="preserve"> </w:t>
      </w:r>
      <w:bookmarkEnd w:id="49"/>
      <w:r w:rsidRPr="004D46AC">
        <w:rPr>
          <w:rFonts w:eastAsiaTheme="minorEastAsia"/>
          <w:lang w:val="en-US"/>
        </w:rPr>
        <w:t xml:space="preserve">reviewed longitudinal studies on schizophrenia patients with follow-up periods longer than one year and reported a consistent pattern of GMV reduction in patients with first-episode psychosis. These reductions were primarily observed in the frontal and temporal lobes and typically continued over a period of two to three years. However, findings regarding GMV loss in specific regions were inconsistent across studies, likely due to methodological variations, differences in antipsychotic treatment exposure, and the use of diverse neuroimaging techniques. </w:t>
      </w:r>
      <w:r w:rsidRPr="004D46AC">
        <w:rPr>
          <w:rFonts w:eastAsiaTheme="minorEastAsia"/>
          <w:lang w:val="en-US"/>
        </w:rPr>
        <w:fldChar w:fldCharType="begin">
          <w:fldData xml:space="preserve">PEVuZE5vdGU+PENpdGUgQXV0aG9yWWVhcj0iMSI+PEF1dGhvcj5DYWhuPC9BdXRob3I+PFllYXI+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</w:fldData>
        </w:fldChar>
      </w:r>
      <w:r w:rsidRPr="004D46AC">
        <w:rPr>
          <w:rFonts w:eastAsiaTheme="minorEastAsia"/>
          <w:lang w:val="en-US"/>
        </w:rPr>
        <w:instrText xml:space="preserve"> ADDIN EN.CITE </w:instrText>
      </w:r>
      <w:r w:rsidRPr="004D46AC">
        <w:rPr>
          <w:rFonts w:eastAsiaTheme="minorEastAsia"/>
          <w:lang w:val="en-US"/>
        </w:rPr>
        <w:fldChar w:fldCharType="begin">
          <w:fldData xml:space="preserve">PEVuZE5vdGU+PENpdGUgQXV0aG9yWWVhcj0iMSI+PEF1dGhvcj5DYWhuPC9BdXRob3I+PFllYXI+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</w:fldData>
        </w:fldChar>
      </w:r>
      <w:r w:rsidRPr="004D46AC">
        <w:rPr>
          <w:rFonts w:eastAsiaTheme="minorEastAsia"/>
          <w:lang w:val="en-US"/>
        </w:rPr>
        <w:instrText xml:space="preserve"> ADDIN EN.CITE.DATA </w:instrText>
      </w:r>
      <w:r w:rsidRPr="004D46AC">
        <w:rPr>
          <w:rFonts w:eastAsiaTheme="minorEastAsia"/>
          <w:lang w:val="en-US"/>
        </w:rPr>
      </w:r>
      <w:r w:rsidRPr="004D46AC">
        <w:rPr>
          <w:rFonts w:eastAsiaTheme="minorEastAsia"/>
          <w:lang w:val="en-US"/>
        </w:rPr>
        <w:fldChar w:fldCharType="end"/>
      </w:r>
      <w:r w:rsidRPr="004D46AC">
        <w:rPr>
          <w:rFonts w:eastAsiaTheme="minorEastAsia"/>
          <w:lang w:val="en-US"/>
        </w:rPr>
      </w:r>
      <w:r w:rsidRPr="004D46AC">
        <w:rPr>
          <w:rFonts w:eastAsiaTheme="minorEastAsia"/>
          <w:lang w:val="en-US"/>
        </w:rPr>
        <w:fldChar w:fldCharType="separate"/>
      </w:r>
      <w:r w:rsidRPr="004D46AC">
        <w:rPr>
          <w:rFonts w:eastAsiaTheme="minorEastAsia"/>
          <w:noProof/>
          <w:lang w:val="en-US"/>
        </w:rPr>
        <w:t xml:space="preserve">Cahn et </w:t>
      </w:r>
      <w:r w:rsidRPr="004D46AC">
        <w:rPr>
          <w:rFonts w:eastAsiaTheme="minorEastAsia"/>
          <w:noProof/>
          <w:lang w:val="en-US"/>
        </w:rPr>
        <w:lastRenderedPageBreak/>
        <w:t>al. (2021)</w:t>
      </w:r>
      <w:r w:rsidRPr="004D46AC">
        <w:rPr>
          <w:rFonts w:eastAsiaTheme="minorEastAsia"/>
          <w:lang w:val="en-US"/>
        </w:rPr>
        <w:fldChar w:fldCharType="end"/>
      </w:r>
      <w:r w:rsidRPr="004D46AC">
        <w:rPr>
          <w:rFonts w:eastAsiaTheme="minorEastAsia"/>
          <w:lang w:val="en-US"/>
        </w:rPr>
        <w:t xml:space="preserve"> </w:t>
      </w:r>
      <w:r w:rsidRPr="004D46AC">
        <w:rPr>
          <w:rFonts w:eastAsiaTheme="minorEastAsia"/>
        </w:rPr>
        <w:t>reviewed studies examining GMV in patients following a first episode of mania, finding that most studies reported no baseline GMV differences between patients and healthy controls. Only four studies identified GMV reductions in various brain regions. Notably, longitudinal studies revealed GMV loss in the anterior cingulate cortex (ACC), a region implicated in emotional regulation and cognitive control. However, given the narrative synthesis and methodological heterogeneity, these findings should be interpreted cautiously.</w:t>
      </w:r>
    </w:p>
    <w:p w14:paraId="0BAE0081" w14:textId="77777777" w:rsidR="003D5CB6" w:rsidRPr="004D46AC" w:rsidRDefault="003D5CB6" w:rsidP="00B518F1">
      <w:pPr>
        <w:rPr>
          <w:rFonts w:eastAsiaTheme="minorEastAsia"/>
        </w:rPr>
      </w:pPr>
      <w:r w:rsidRPr="004D46AC">
        <w:rPr>
          <w:rFonts w:eastAsiaTheme="minorEastAsia"/>
        </w:rPr>
        <w:t xml:space="preserve">The association between psychopathology and GMV has also been investigated from a transdiagnostic perspective. Evidence suggests that different symptom dimensions - regardless of diagnostic category - are associated with distinct regional GMV changes. For instance, positive symptoms such as hallucinations are linked to reduced GMV and cortical thickness in the frontal and temporal lobes </w:t>
      </w:r>
      <w:r w:rsidRPr="004D46AC">
        <w:rPr>
          <w:rFonts w:eastAsiaTheme="minorEastAsia"/>
        </w:rPr>
        <w:fldChar w:fldCharType="begin">
          <w:fldData xml:space="preserve">PEVuZE5vdGU+PENpdGU+PEF1dGhvcj5QYWRtYW5hYmhhbjwvQXV0aG9yPjxZZWFyPjIwMTU8L1ll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PEVuZE5vdGU+PENpdGU+PEF1dGhvcj5QYWRtYW5hYmhhbjwvQXV0aG9yPjxZZWFyPjIwMTU8L1ll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(Padmanabhan et al., 2015)</w:t>
      </w:r>
      <w:r w:rsidRPr="004D46AC">
        <w:rPr>
          <w:rFonts w:eastAsiaTheme="minorEastAsia"/>
        </w:rPr>
        <w:fldChar w:fldCharType="end"/>
      </w:r>
      <w:r w:rsidRPr="004D46AC">
        <w:rPr>
          <w:rFonts w:eastAsiaTheme="minorEastAsia"/>
        </w:rPr>
        <w:t xml:space="preserve">, while negative symptoms have been associated with reduced surface area in frontal regions, implicating deficits in motivation and cognitive control. Similarly, </w:t>
      </w:r>
      <w:r w:rsidRPr="004D46AC">
        <w:rPr>
          <w:rFonts w:eastAsiaTheme="minorEastAsia"/>
        </w:rPr>
        <w:fldChar w:fldCharType="begin">
          <w:fldData xml:space="preserve">PEVuZE5vdGU+PENpdGUgQXV0aG9yWWVhcj0iMSI+PEF1dGhvcj5TdGVpbjwvQXV0aG9yPjxZZWFy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PEVuZE5vdGU+PENpdGUgQXV0aG9yWWVhcj0iMSI+PEF1dGhvcj5TdGVpbjwvQXV0aG9yPjxZZWFy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Stein et al. (2021)</w:t>
      </w:r>
      <w:r w:rsidRPr="004D46AC">
        <w:rPr>
          <w:rFonts w:eastAsiaTheme="minorEastAsia"/>
        </w:rPr>
        <w:fldChar w:fldCharType="end"/>
      </w:r>
      <w:r w:rsidRPr="004D46AC">
        <w:rPr>
          <w:rFonts w:eastAsiaTheme="minorEastAsia"/>
        </w:rPr>
        <w:t xml:space="preserve"> found that reductions in GMV within the middle frontal gyrus, thalamus, and hippocampus were associated with thought disorder, hallucinations, and blunted affect, highlighting the potential of symptom dimensions to map onto distinct neurobiological substrates.</w:t>
      </w:r>
    </w:p>
    <w:p w14:paraId="2D5609C4" w14:textId="77777777" w:rsidR="003D5CB6" w:rsidRPr="004D46AC" w:rsidRDefault="003D5CB6" w:rsidP="00B518F1">
      <w:pPr>
        <w:rPr>
          <w:rFonts w:eastAsiaTheme="minorEastAsia"/>
        </w:rPr>
      </w:pPr>
      <w:bookmarkStart w:id="50" w:name="OLE_LINK22"/>
      <w:bookmarkStart w:id="51" w:name="OLE_LINK23"/>
      <w:r w:rsidRPr="004D46AC">
        <w:rPr>
          <w:rFonts w:eastAsiaTheme="minorEastAsia"/>
        </w:rPr>
        <w:t xml:space="preserve">These symptom-related brain changes are also observed in at-risk populations. </w:t>
      </w:r>
      <w:r w:rsidRPr="004D46AC">
        <w:rPr>
          <w:rFonts w:eastAsiaTheme="minorEastAsia"/>
          <w:lang w:val="en-US"/>
        </w:rPr>
        <w:t xml:space="preserve"> </w:t>
      </w:r>
      <w:r w:rsidRPr="004D46AC">
        <w:rPr>
          <w:rFonts w:eastAsiaTheme="minorEastAsia"/>
          <w:lang w:val="en-US"/>
        </w:rPr>
        <w:fldChar w:fldCharType="begin"/>
      </w:r>
      <w:r w:rsidRPr="004D46AC">
        <w:rPr>
          <w:rFonts w:eastAsiaTheme="minorEastAsia"/>
          <w:lang w:val="en-US"/>
        </w:rPr>
        <w:instrText xml:space="preserve"> ADDIN EN.CITE &lt;EndNote&gt;&lt;Cite AuthorYear="1"&gt;&lt;Author&gt;Sugranyes&lt;/Author&gt;&lt;Year&gt;2021&lt;/Year&gt;&lt;RecNum&gt;1053&lt;/RecNum&gt;&lt;DisplayText&gt;Sugranyes et al. (2021)&lt;/DisplayText&gt;&lt;record&gt;&lt;rec-number&gt;1053&lt;/rec-number&gt;&lt;foreign-keys&gt;&lt;key app="EN" db-id="aet009sstawa0hewvt3xwf5atffdw2dt02sw" timestamp="1748040450"&gt;1053&lt;/key&gt;&lt;/foreign-keys&gt;&lt;ref-type name="Journal Article"&gt;17&lt;/ref-type&gt;&lt;contributors&gt;&lt;authors&gt;&lt;author&gt;Sugranyes, Gisela&lt;/author&gt;&lt;author&gt;de la Serna, Elena&lt;/author&gt;&lt;author&gt;Ilzarbe, Daniel&lt;/author&gt;&lt;author&gt;Pariente, Jose Carlos&lt;/author&gt;&lt;author&gt;Borras, Roger&lt;/author&gt;&lt;author&gt;Romero, Soledad&lt;/author&gt;&lt;author&gt;Rosa, Mireia&lt;/author&gt;&lt;author&gt;Baeza, Inmaculada&lt;/author&gt;&lt;author&gt;Moreno, Maria Dolores&lt;/author&gt;&lt;author&gt;Bernardo, Miguel&lt;/author&gt;&lt;author&gt;Vieta, Eduard&lt;/author&gt;&lt;author&gt;Castro-Fornieles, Josefina&lt;/author&gt;&lt;/authors&gt;&lt;/contributors&gt;&lt;titles&gt;&lt;title&gt;Brain structural trajectories in youth at familial risk for schizophrenia or bipolar disorder according to development of psychosis spectrum symptoms&lt;/title&gt;&lt;secondary-title&gt;Journal of Child Psychology and Psychiatry&lt;/secondary-title&gt;&lt;/titles&gt;&lt;periodical&gt;&lt;full-title&gt;Journal of Child Psychology and Psychiatry&lt;/full-title&gt;&lt;/periodical&gt;&lt;pages&gt;780-789&lt;/pages&gt;&lt;volume&gt;62&lt;/volume&gt;&lt;number&gt;6&lt;/number&gt;&lt;keywords&gt;&lt;keyword&gt;High-risk studies&lt;/keyword&gt;&lt;keyword&gt;schizophrenia&lt;/keyword&gt;&lt;keyword&gt;bipolar&lt;/keyword&gt;&lt;keyword&gt;psychosis&lt;/keyword&gt;&lt;keyword&gt;structural MRI&lt;/keyword&gt;&lt;/keywords&gt;&lt;dates&gt;&lt;year&gt;2021&lt;/year&gt;&lt;pub-dates&gt;&lt;date&gt;2021/06/01&lt;/date&gt;&lt;/pub-dates&gt;&lt;/dates&gt;&lt;publisher&gt;John Wiley &amp;amp; Sons, Ltd&lt;/publisher&gt;&lt;isbn&gt;0021-9630&lt;/isbn&gt;&lt;urls&gt;&lt;related-urls&gt;&lt;url&gt;https://doi.org/10.1111/jcpp.13321&lt;/url&gt;&lt;/related-urls&gt;&lt;/urls&gt;&lt;electronic-resource-num&gt;https://doi.org/10.1111/jcpp.13321&lt;/electronic-resource-num&gt;&lt;access-date&gt;2025/05/23&lt;/access-date&gt;&lt;/record&gt;&lt;/Cite&gt;&lt;/EndNote&gt;</w:instrText>
      </w:r>
      <w:r w:rsidRPr="004D46AC">
        <w:rPr>
          <w:rFonts w:eastAsiaTheme="minorEastAsia"/>
          <w:lang w:val="en-US"/>
        </w:rPr>
        <w:fldChar w:fldCharType="separate"/>
      </w:r>
      <w:r w:rsidRPr="004D46AC">
        <w:rPr>
          <w:rFonts w:eastAsiaTheme="minorEastAsia"/>
          <w:noProof/>
          <w:lang w:val="en-US"/>
        </w:rPr>
        <w:t>Sugranyes et al. (2021)</w:t>
      </w:r>
      <w:r w:rsidRPr="004D46AC">
        <w:rPr>
          <w:rFonts w:eastAsiaTheme="minorEastAsia"/>
          <w:lang w:val="en-US"/>
        </w:rPr>
        <w:fldChar w:fldCharType="end"/>
      </w:r>
      <w:r w:rsidRPr="004D46AC">
        <w:rPr>
          <w:rFonts w:eastAsiaTheme="minorEastAsia"/>
          <w:lang w:val="en-US"/>
        </w:rPr>
        <w:t xml:space="preserve"> </w:t>
      </w:r>
      <w:r w:rsidRPr="004D46AC">
        <w:rPr>
          <w:rFonts w:eastAsiaTheme="minorEastAsia"/>
        </w:rPr>
        <w:t xml:space="preserve">examined the brain developmental trajectories of individuals at CHR for psychosis, including offspring of patients with schizophrenia or bipolar disorder. CHR individuals who later developed psychotic symptoms exhibited accelerated cortical thinning - primarily in the occipital cortex - and progressive reductions in surface area and total GMV. These findings suggest that early structural brain changes are more closely associated with the </w:t>
      </w:r>
      <w:r w:rsidRPr="004D46AC">
        <w:rPr>
          <w:rStyle w:val="20"/>
          <w:b w:val="0"/>
        </w:rPr>
        <w:t>emergence of psychotic symptoms</w:t>
      </w:r>
      <w:r w:rsidRPr="004D46AC">
        <w:rPr>
          <w:rFonts w:eastAsiaTheme="minorEastAsia"/>
        </w:rPr>
        <w:t xml:space="preserve"> than with familial risk for specific diagnostic categories.</w:t>
      </w:r>
    </w:p>
    <w:bookmarkEnd w:id="48"/>
    <w:bookmarkEnd w:id="50"/>
    <w:bookmarkEnd w:id="51"/>
    <w:p w14:paraId="58C160D2" w14:textId="77777777" w:rsidR="003D5CB6" w:rsidRPr="004D46AC" w:rsidRDefault="003D5CB6" w:rsidP="00B518F1">
      <w:pPr>
        <w:rPr>
          <w:rFonts w:eastAsiaTheme="minorEastAsia"/>
        </w:rPr>
      </w:pPr>
      <w:r w:rsidRPr="004D46AC">
        <w:rPr>
          <w:rFonts w:eastAsiaTheme="minorEastAsia"/>
        </w:rPr>
        <w:t>In summary, schizophrenia and bipolar disorder demonstrate overlapping brain structural abnormalities, particularly in GMV loss, and psychotic symptoms appear to be particularly linked to these changes</w:t>
      </w:r>
      <w:r w:rsidRPr="004D46AC">
        <w:rPr>
          <w:rFonts w:eastAsiaTheme="minorEastAsia" w:hint="eastAsia"/>
        </w:rPr>
        <w:t>.</w:t>
      </w:r>
      <w:r w:rsidRPr="004D46AC">
        <w:rPr>
          <w:rFonts w:eastAsiaTheme="minorEastAsia"/>
        </w:rPr>
        <w:t xml:space="preserve"> These changes remain mostly consistent across different clinical stages. However, it is yet unclear whether these brain alterations are </w:t>
      </w:r>
      <w:r w:rsidRPr="004D46AC">
        <w:rPr>
          <w:rFonts w:eastAsiaTheme="minorEastAsia"/>
        </w:rPr>
        <w:lastRenderedPageBreak/>
        <w:t>disorder-specific early in the illness course or converge over time. The variability in GMV changes across studies is likely influenced by symptom severity, clinical subtypes, and pharmacological treatment. The consistent lack of structural differences at baseline supports the hypothesis that schizophrenia and bipolar disorder may involve progressive brain changes, aligning with Kraepelin’s original conceptualisation of dementia praecox as a disorder of cognitive decline. Given the heterogeneity of existing findings, further research is warranted to elucidate the dynamic interplay between psychopathology and structural brain changes throughout illness development.</w:t>
      </w:r>
    </w:p>
    <w:p w14:paraId="0DAC301C" w14:textId="77777777" w:rsidR="003D5CB6" w:rsidRPr="004D46AC" w:rsidRDefault="003D5CB6" w:rsidP="00B518F1">
      <w:pPr>
        <w:pStyle w:val="3"/>
      </w:pPr>
      <w:r w:rsidRPr="004D46AC">
        <w:t>Neurocognitive overlap</w:t>
      </w:r>
    </w:p>
    <w:p w14:paraId="21BE5127" w14:textId="77777777" w:rsidR="003D5CB6" w:rsidRPr="004D46AC" w:rsidRDefault="003D5CB6" w:rsidP="00B518F1">
      <w:pPr>
        <w:rPr>
          <w:rFonts w:eastAsiaTheme="minorEastAsia"/>
        </w:rPr>
      </w:pPr>
      <w:r w:rsidRPr="004D46AC">
        <w:rPr>
          <w:rFonts w:eastAsiaTheme="minorEastAsia"/>
        </w:rPr>
        <w:t xml:space="preserve">As the brain is the central organ for cognitive functioning, structural alterations in specific brain regions are likely to contribute to the neurocognitive impairments observed in schizophrenia and bipolar disorder. </w:t>
      </w:r>
      <w:r w:rsidRPr="004D46AC">
        <w:rPr>
          <w:rFonts w:eastAsiaTheme="minorEastAsia"/>
        </w:rPr>
        <w:fldChar w:fldCharType="begin">
          <w:fldData xml:space="preserve">PEVuZE5vdGU+PENpdGUgQXV0aG9yWWVhcj0iMSI+PEF1dGhvcj5LdXN3YW50bzwvQXV0aG9yPjxZ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PEVuZE5vdGU+PENpdGUgQXV0aG9yWWVhcj0iMSI+PEF1dGhvcj5LdXN3YW50bzwvQXV0aG9yPjxZ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Kuswanto et al. (2016)</w:t>
      </w:r>
      <w:r w:rsidRPr="004D46AC">
        <w:rPr>
          <w:rFonts w:eastAsiaTheme="minorEastAsia"/>
        </w:rPr>
        <w:fldChar w:fldCharType="end"/>
      </w:r>
      <w:r w:rsidRPr="004D46AC">
        <w:rPr>
          <w:rFonts w:eastAsiaTheme="minorEastAsia"/>
        </w:rPr>
        <w:t xml:space="preserve"> systematically reviewed evidence of neurocognitive impairments in patients with schizophrenia and bipolar disorder. Individuals with schizophrenia demonstrated poorer performance across all cognitive domains, with the largest effect sizes observed in verbal memory, processing speed, and executive function, while motor speed and language showed smaller effect sizes. The severity of neurocognitive impairment appeared to increase in patients with bipolar disorder with psychotic features or those diagnosed with schizoaffective disorder. Moreover, these impairments may be partially explained by environmental factors (e.g., educational level) and clinical variables (e.g., severity of negative symptoms). Given the diversity of cognitive assessments synthesi</w:t>
      </w:r>
      <w:r w:rsidRPr="004D46AC">
        <w:rPr>
          <w:rFonts w:eastAsiaTheme="minorEastAsia" w:hint="eastAsia"/>
        </w:rPr>
        <w:t>s</w:t>
      </w:r>
      <w:r w:rsidRPr="004D46AC">
        <w:rPr>
          <w:rFonts w:eastAsiaTheme="minorEastAsia"/>
        </w:rPr>
        <w:t>ed, the findings offer preliminary support for the hypothesis that neurocognitive deficits exist along a continuum across the psychosis spectrum.</w:t>
      </w:r>
    </w:p>
    <w:p w14:paraId="1D3C1ABD" w14:textId="77777777" w:rsidR="003D5CB6" w:rsidRPr="004D46AC" w:rsidRDefault="003D5CB6" w:rsidP="00B518F1">
      <w:pPr>
        <w:rPr>
          <w:rFonts w:eastAsiaTheme="minorEastAsia"/>
        </w:rPr>
      </w:pPr>
      <w:r w:rsidRPr="004D46AC">
        <w:rPr>
          <w:rFonts w:eastAsiaTheme="minorEastAsia"/>
        </w:rPr>
        <w:t xml:space="preserve">Two longitudinal studies have examined the neurocognitive trajectories of individuals with schizophrenia and bipolar disorder, consistently reporting that patients with schizophrenia exhibit more severe impairments across cognitive domains </w:t>
      </w:r>
      <w:r w:rsidRPr="004D46AC">
        <w:rPr>
          <w:rFonts w:eastAsiaTheme="minorEastAsia"/>
        </w:rPr>
        <w:fldChar w:fldCharType="begin">
          <w:fldData xml:space="preserve">PEVuZE5vdGU+PENpdGU+PEF1dGhvcj5CdXJkaWNrPC9BdXRob3I+PFllYXI+MjAwNjwvWWVhcj48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PEVuZE5vdGU+PENpdGU+PEF1dGhvcj5CdXJkaWNrPC9BdXRob3I+PFllYXI+MjAwNjwvWWVhcj48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(Burdick et al., 2006; Jiménez-López et al., 2019)</w:t>
      </w:r>
      <w:r w:rsidRPr="004D46AC">
        <w:rPr>
          <w:rFonts w:eastAsiaTheme="minorEastAsia"/>
        </w:rPr>
        <w:fldChar w:fldCharType="end"/>
      </w:r>
      <w:r w:rsidRPr="004D46AC">
        <w:rPr>
          <w:rFonts w:eastAsiaTheme="minorEastAsia"/>
        </w:rPr>
        <w:t xml:space="preserve">. However, findings remain inconsistent regarding whether these neurocognitive profiles remain stable across diagnostic groups over time. Moreover, evidence is mixed as to whether the presence of psychotic symptoms is associated with </w:t>
      </w:r>
      <w:r w:rsidRPr="004D46AC">
        <w:rPr>
          <w:rFonts w:eastAsiaTheme="minorEastAsia"/>
        </w:rPr>
        <w:lastRenderedPageBreak/>
        <w:t xml:space="preserve">more pronounced cognitive deficits </w:t>
      </w:r>
      <w:r w:rsidRPr="004D46AC">
        <w:rPr>
          <w:rFonts w:eastAsiaTheme="minorEastAsia"/>
        </w:rPr>
        <w:fldChar w:fldCharType="begin">
          <w:fldData xml:space="preserve">PEVuZE5vdGU+PENpdGU+PEF1dGhvcj5KaW3DqW5lei1Mw7NwZXo8L0F1dGhvcj48WWVhcj4yMDE5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=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PEVuZE5vdGU+PENpdGU+PEF1dGhvcj5KaW3DqW5lei1Mw7NwZXo8L0F1dGhvcj48WWVhcj4yMDE5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=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(Jiménez-López et al., 2019; Simonsen et al., 2011)</w:t>
      </w:r>
      <w:r w:rsidRPr="004D46AC">
        <w:rPr>
          <w:rFonts w:eastAsiaTheme="minorEastAsia"/>
        </w:rPr>
        <w:fldChar w:fldCharType="end"/>
      </w:r>
      <w:r w:rsidRPr="004D46AC">
        <w:rPr>
          <w:rFonts w:eastAsiaTheme="minorEastAsia"/>
        </w:rPr>
        <w:t xml:space="preserve">. For instance, </w:t>
      </w:r>
      <w:r w:rsidRPr="004D46AC">
        <w:rPr>
          <w:rFonts w:eastAsiaTheme="minorEastAsia"/>
        </w:rPr>
        <w:fldChar w:fldCharType="begin">
          <w:fldData xml:space="preserve">PEVuZE5vdGU+PENpdGUgQXV0aG9yWWVhcj0iMSI+PEF1dGhvcj5DZXlsYW48L0F1dGhvcj48WWVh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PEVuZE5vdGU+PENpdGUgQXV0aG9yWWVhcj0iMSI+PEF1dGhvcj5DZXlsYW48L0F1dGhvcj48WWVh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Ceylan et al. (2020)</w:t>
      </w:r>
      <w:r w:rsidRPr="004D46AC">
        <w:rPr>
          <w:rFonts w:eastAsiaTheme="minorEastAsia"/>
        </w:rPr>
        <w:fldChar w:fldCharType="end"/>
      </w:r>
      <w:r w:rsidRPr="004D46AC">
        <w:rPr>
          <w:rFonts w:eastAsiaTheme="minorEastAsia"/>
        </w:rPr>
        <w:t xml:space="preserve"> conducted a comprehensive study examining the interaction between symptomatology and neurocognitive function. They found that symptomatic states were linked to poorer cognitive performance in both schizophrenia and bipolar disorder. Nevertheless, this effect varied by cognitive domain. Specifically, processing speed was impaired during active phases of schizophrenia but not during manic episodes with psychotic features in bipolar disorder, suggesting that certain cognitive domains, such as verbal fluency, may represent trait-like features relatively unaffected by symptom fluctuations.</w:t>
      </w:r>
    </w:p>
    <w:p w14:paraId="25DA88C6" w14:textId="77777777" w:rsidR="003D5CB6" w:rsidRPr="004D46AC" w:rsidRDefault="003D5CB6" w:rsidP="00B518F1">
      <w:pPr>
        <w:rPr>
          <w:rFonts w:eastAsiaTheme="minorEastAsia"/>
        </w:rPr>
      </w:pPr>
      <w:r w:rsidRPr="004D46AC">
        <w:rPr>
          <w:rFonts w:eastAsiaTheme="minorEastAsia"/>
        </w:rPr>
        <w:t xml:space="preserve">It is worth pondering at which stage in the illness neurocognitive impairments become evident. It has been suggested that these changes can happen as early as the onset of first episode illnesses </w:t>
      </w:r>
      <w:r w:rsidRPr="004D46AC">
        <w:rPr>
          <w:rFonts w:eastAsiaTheme="minorEastAsia"/>
        </w:rPr>
        <w:fldChar w:fldCharType="begin"/>
      </w:r>
      <w:r w:rsidRPr="004D46AC">
        <w:rPr>
          <w:rFonts w:eastAsiaTheme="minorEastAsia"/>
        </w:rPr>
        <w:instrText xml:space="preserve"> ADDIN EN.CITE &lt;EndNote&gt;&lt;Cite&gt;&lt;Author&gt;Barrett&lt;/Author&gt;&lt;Year&gt;2009&lt;/Year&gt;&lt;RecNum&gt;1073&lt;/RecNum&gt;&lt;DisplayText&gt;(Barrett et al., 2009)&lt;/DisplayText&gt;&lt;record&gt;&lt;rec-number&gt;1073&lt;/rec-number&gt;&lt;foreign-keys&gt;&lt;key app="EN" db-id="aet009sstawa0hewvt3xwf5atffdw2dt02sw" timestamp="1748468242"&gt;1073&lt;/key&gt;&lt;/foreign-keys&gt;&lt;ref-type name="Journal Article"&gt;17&lt;/ref-type&gt;&lt;contributors&gt;&lt;authors&gt;&lt;author&gt;Barrett, S. L.&lt;/author&gt;&lt;author&gt;Mulholland, C. C.&lt;/author&gt;&lt;author&gt;Cooper, S. J.&lt;/author&gt;&lt;author&gt;Rushe, T. M.&lt;/author&gt;&lt;/authors&gt;&lt;/contributors&gt;&lt;auth-address&gt;Division of Psychiatry and Neuroscience, Queens University Belfast, Whitla Medical Building, 97 Lisburn Road, Belfast BT9 7BL, UK. s.l.barrett@qub.ac.uk&lt;/auth-address&gt;&lt;titles&gt;&lt;title&gt;Patterns of neurocognitive impairment in first-episode bipolar disorder and schizophrenia&lt;/title&gt;&lt;secondary-title&gt;Br J Psychiatry&lt;/secondary-title&gt;&lt;/titles&gt;&lt;periodical&gt;&lt;full-title&gt;Br J Psychiatry&lt;/full-title&gt;&lt;/periodical&gt;&lt;pages&gt;67-72&lt;/pages&gt;&lt;volume&gt;195&lt;/volume&gt;&lt;number&gt;1&lt;/number&gt;&lt;keywords&gt;&lt;keyword&gt;Adolescent&lt;/keyword&gt;&lt;keyword&gt;Adult&lt;/keyword&gt;&lt;keyword&gt;Attention&lt;/keyword&gt;&lt;keyword&gt;Bipolar Disorder/diagnosis/*psychology&lt;/keyword&gt;&lt;keyword&gt;Case-Control Studies&lt;/keyword&gt;&lt;keyword&gt;Cognition Disorders/diagnosis/*psychology&lt;/keyword&gt;&lt;keyword&gt;Female&lt;/keyword&gt;&lt;keyword&gt;Humans&lt;/keyword&gt;&lt;keyword&gt;Intelligence&lt;/keyword&gt;&lt;keyword&gt;Male&lt;/keyword&gt;&lt;keyword&gt;Mental Recall&lt;/keyword&gt;&lt;keyword&gt;Middle Aged&lt;/keyword&gt;&lt;keyword&gt;Neuropsychological Tests&lt;/keyword&gt;&lt;keyword&gt;*Schizophrenic Psychology&lt;/keyword&gt;&lt;keyword&gt;Verbal Behavior&lt;/keyword&gt;&lt;keyword&gt;Young Adult&lt;/keyword&gt;&lt;/keywords&gt;&lt;dates&gt;&lt;year&gt;2009&lt;/year&gt;&lt;pub-dates&gt;&lt;date&gt;Jul&lt;/date&gt;&lt;/pub-dates&gt;&lt;/dates&gt;&lt;isbn&gt;0007-1250&lt;/isbn&gt;&lt;accession-num&gt;19567899&lt;/accession-num&gt;&lt;urls&gt;&lt;/urls&gt;&lt;electronic-resource-num&gt;10.1192/bjp.bp.108.054874&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noProof/>
        </w:rPr>
        <w:t>(Barrett et al., 2009)</w:t>
      </w:r>
      <w:r w:rsidRPr="004D46AC">
        <w:rPr>
          <w:rFonts w:eastAsiaTheme="minorEastAsia"/>
        </w:rPr>
        <w:fldChar w:fldCharType="end"/>
      </w:r>
      <w:r w:rsidRPr="004D46AC">
        <w:rPr>
          <w:rFonts w:eastAsiaTheme="minorEastAsia"/>
        </w:rPr>
        <w:t xml:space="preserve">. However, research on the youth at risk population revealed a different story. </w:t>
      </w:r>
      <w:r w:rsidRPr="004D46AC">
        <w:rPr>
          <w:rFonts w:eastAsiaTheme="minorEastAsia"/>
        </w:rPr>
        <w:fldChar w:fldCharType="begin">
          <w:fldData xml:space="preserve">PEVuZE5vdGU+PENpdGUgQXV0aG9yWWVhcj0iMSI+PEF1dGhvcj5PbHZldDwvQXV0aG9yPjxZZWFy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PEVuZE5vdGU+PENpdGUgQXV0aG9yWWVhcj0iMSI+PEF1dGhvcj5PbHZldDwvQXV0aG9yPjxZZWFy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Olvet et al. (2010)</w:t>
      </w:r>
      <w:r w:rsidRPr="004D46AC">
        <w:rPr>
          <w:rFonts w:eastAsiaTheme="minorEastAsia"/>
        </w:rPr>
        <w:fldChar w:fldCharType="end"/>
      </w:r>
      <w:r w:rsidRPr="004D46AC">
        <w:rPr>
          <w:rFonts w:eastAsiaTheme="minorEastAsia"/>
        </w:rPr>
        <w:t xml:space="preserve"> investigated neurocognitive performance in young CHR-P participants, who were later categorised into pre-bipolar disorder (</w:t>
      </w:r>
      <w:r w:rsidRPr="004D46AC">
        <w:rPr>
          <w:rFonts w:eastAsiaTheme="minorEastAsia"/>
          <w:i/>
          <w:iCs/>
        </w:rPr>
        <w:t>n</w:t>
      </w:r>
      <w:r w:rsidRPr="004D46AC">
        <w:rPr>
          <w:rFonts w:eastAsiaTheme="minorEastAsia"/>
        </w:rPr>
        <w:t xml:space="preserve"> = 8) and pre-schizophrenia (</w:t>
      </w:r>
      <w:r w:rsidRPr="004D46AC">
        <w:rPr>
          <w:rFonts w:eastAsiaTheme="minorEastAsia"/>
          <w:i/>
          <w:iCs/>
        </w:rPr>
        <w:t>n</w:t>
      </w:r>
      <w:r w:rsidRPr="004D46AC">
        <w:rPr>
          <w:rFonts w:eastAsiaTheme="minorEastAsia"/>
        </w:rPr>
        <w:t xml:space="preserve"> = 24) groups based on confirmed diagnoses at follow-up. Both groups demonstrated greater severity of attenuated psychotic symptoms (APS) compared to non-converters, as well as significantly lower overall neurocognitive performance. These findings suggest that neurocognitive impairments may emerge early in childhood among individuals at risk for psychosis. However, interpretation is limited by the small sample size, particularly in the CHR-bipolar group, and the absence of a healthy or population-based control group for comparison. Further research is needed to validate and extend these preliminary findings.</w:t>
      </w:r>
    </w:p>
    <w:p w14:paraId="4BBDCBAD" w14:textId="77777777" w:rsidR="003D5CB6" w:rsidRPr="004D46AC" w:rsidRDefault="003D5CB6" w:rsidP="00B518F1">
      <w:pPr>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AuthorYear="1"&gt;&lt;Author&gt;Knudsen&lt;/Author&gt;&lt;Year&gt;2022&lt;/Year&gt;&lt;RecNum&gt;1066&lt;/RecNum&gt;&lt;DisplayText&gt;Knudsen et al. (2022)&lt;/DisplayText&gt;&lt;record&gt;&lt;rec-number&gt;1066&lt;/rec-number&gt;&lt;foreign-keys&gt;&lt;key app="EN" db-id="aet009sstawa0hewvt3xwf5atffdw2dt02sw" timestamp="1748383968"&gt;1066&lt;/key&gt;&lt;/foreign-keys&gt;&lt;ref-type name="Journal Article"&gt;17&lt;/ref-type&gt;&lt;contributors&gt;&lt;authors&gt;&lt;author&gt;Knudsen, Christina Bruun&lt;/author&gt;&lt;author&gt;Hemager, Nicoline&lt;/author&gt;&lt;author&gt;Greve, Aja Neergaard&lt;/author&gt;&lt;author&gt;Lambek, Rikke&lt;/author&gt;&lt;author&gt;Andreassen, Anna Krogh&lt;/author&gt;&lt;author&gt;Veddum, Lotte&lt;/author&gt;&lt;author&gt;Brandt, Julie Marie&lt;/author&gt;&lt;author&gt;Gregersen, Maja&lt;/author&gt;&lt;author&gt;Krantz, Mette Falkenberg&lt;/author&gt;&lt;author&gt;Søndergaard, Anne&lt;/author&gt;&lt;author&gt;Steffensen, Nanna Lawaetz&lt;/author&gt;&lt;author&gt;Birk, Merete&lt;/author&gt;&lt;author&gt;Stadsgaard, Henriette Brockdorff&lt;/author&gt;&lt;author&gt;Ohland, Jessica&lt;/author&gt;&lt;author&gt;Burton, Birgitte Klee&lt;/author&gt;&lt;author&gt;Jepsen, Jens Richardt Møllegaard&lt;/author&gt;&lt;author&gt;Thorup, Anne Amalie Elgaard&lt;/author&gt;&lt;author&gt;Nordentoft, Merete&lt;/author&gt;&lt;author&gt;Mors, Ole&lt;/author&gt;&lt;author&gt;Bliksted, Vibeke Fuglsang&lt;/author&gt;&lt;/authors&gt;&lt;/contributors&gt;&lt;titles&gt;&lt;title&gt;Neurocognitive Development in Children at Familial High Risk of Schizophrenia or Bipolar Disorder&lt;/title&gt;&lt;secondary-title&gt;JAMA Psychiatry&lt;/secondary-title&gt;&lt;/titles&gt;&lt;periodical&gt;&lt;full-title&gt;JAMA Psychiatry&lt;/full-title&gt;&lt;/periodical&gt;&lt;pages&gt;589-599&lt;/pages&gt;&lt;volume&gt;79&lt;/volume&gt;&lt;number&gt;6&lt;/number&gt;&lt;dates&gt;&lt;year&gt;2022&lt;/year&gt;&lt;/dates&gt;&lt;isbn&gt;2168-622X&lt;/isbn&gt;&lt;urls&gt;&lt;related-urls&gt;&lt;url&gt;https://doi.org/10.1001/jamapsychiatry.2022.0465&lt;/url&gt;&lt;/related-urls&gt;&lt;/urls&gt;&lt;electronic-resource-num&gt;10.1001/jamapsychiatry.2022.0465&lt;/electronic-resource-num&gt;&lt;access-date&gt;5/27/2025&lt;/access-date&gt;&lt;/record&gt;&lt;/Cite&gt;&lt;/EndNote&gt;</w:instrText>
      </w:r>
      <w:r w:rsidRPr="004D46AC">
        <w:rPr>
          <w:rFonts w:eastAsiaTheme="minorEastAsia"/>
        </w:rPr>
        <w:fldChar w:fldCharType="separate"/>
      </w:r>
      <w:r w:rsidRPr="004D46AC">
        <w:rPr>
          <w:rFonts w:eastAsiaTheme="minorEastAsia"/>
          <w:noProof/>
        </w:rPr>
        <w:t>Knudsen et al. (2022)</w:t>
      </w:r>
      <w:r w:rsidRPr="004D46AC">
        <w:rPr>
          <w:rFonts w:eastAsiaTheme="minorEastAsia"/>
        </w:rPr>
        <w:fldChar w:fldCharType="end"/>
      </w:r>
      <w:r w:rsidRPr="004D46AC">
        <w:t xml:space="preserve"> </w:t>
      </w:r>
      <w:r w:rsidRPr="004D46AC">
        <w:rPr>
          <w:rFonts w:eastAsiaTheme="minorEastAsia"/>
        </w:rPr>
        <w:t xml:space="preserve">investigated neurocognitive development in children aged 7 to 11 years with familial high risk (FHR) for schizophrenia or bipolar disorder using a longitudinal design. Children at FHR for schizophrenia demonstrated significantly lower performance on approximately 20% to 30% of neurocognitive measures, compared to both population-based controls and children at FHR for bipolar disorder. These impairments - affecting sustained attention, processing speed, memory, and verbal fluency - were already apparent at age 7 and remained stable over the four-year follow-up. The absence of a </w:t>
      </w:r>
      <w:r w:rsidRPr="004D46AC">
        <w:rPr>
          <w:rFonts w:eastAsiaTheme="minorEastAsia"/>
        </w:rPr>
        <w:lastRenderedPageBreak/>
        <w:t>significant group × time interaction indicated that while all groups showed age-appropriate cognitive gains, the developmental trajectories were parallel. These findings suggest that the neurocognitive deficits associated with familial risk for schizophrenia are trait-like and likely originate early in neurodevelopment, potentially arising from genetically embedded vulnerabilities that manifest before school age.</w:t>
      </w:r>
    </w:p>
    <w:p w14:paraId="4B3B8B15" w14:textId="77777777" w:rsidR="003D5CB6" w:rsidRPr="004D46AC" w:rsidRDefault="003D5CB6" w:rsidP="00B518F1">
      <w:pPr>
        <w:rPr>
          <w:rFonts w:eastAsiaTheme="minorEastAsia"/>
        </w:rPr>
      </w:pPr>
      <w:r w:rsidRPr="004D46AC">
        <w:rPr>
          <w:rFonts w:eastAsiaTheme="minorEastAsia"/>
        </w:rPr>
        <w:t>Neurocognitive findings consistently indicate that individuals with schizophrenia exhibit more widespread and severe impairments across cognitive domains compared to those with bipolar disorder. These differences appear to be quantitative rather than qualitative in nature. However, the longitudinal trajectories of neurocognitive functioning across these diagnostic groups remain poorly understood, owing to limited longitudinal evidence. Moreover, the interaction between clinical symptoms and specific cognitive impairments is not yet fully elucidated. Research on individuals at familial high risk suggests that neurocognitive deficits may emerge as early as childhood, with developmental trajectories remaining relatively stable over time. Future studies are warranted to investigate the interplay between genetic liability and neurocognitive dysfunction, particularly in at-risk populations. In addition, a more granular exploration of how distinct symptom dimensions relate to specific cognitive domains is needed.</w:t>
      </w:r>
    </w:p>
    <w:p w14:paraId="4653794C" w14:textId="77777777" w:rsidR="003D5CB6" w:rsidRPr="004D46AC" w:rsidRDefault="003D5CB6" w:rsidP="00B518F1">
      <w:pPr>
        <w:pStyle w:val="3"/>
      </w:pPr>
      <w:r w:rsidRPr="004D46AC">
        <w:t>Genetic risk</w:t>
      </w:r>
    </w:p>
    <w:p w14:paraId="0B613C31" w14:textId="77777777" w:rsidR="003D5CB6" w:rsidRPr="004D46AC" w:rsidRDefault="003D5CB6" w:rsidP="00B518F1">
      <w:pPr>
        <w:rPr>
          <w:rFonts w:eastAsiaTheme="minorEastAsia"/>
        </w:rPr>
      </w:pPr>
      <w:bookmarkStart w:id="52" w:name="OLE_LINK25"/>
      <w:r w:rsidRPr="004D46AC">
        <w:rPr>
          <w:rFonts w:eastAsiaTheme="minorEastAsia"/>
        </w:rPr>
        <w:t xml:space="preserve">Familial risk has been extensively studied in the offspring of individuals with major psychoses. Evidence indicates that these offspring are at elevated risk for a range of psychiatric disorders. </w:t>
      </w:r>
      <w:r w:rsidRPr="004D46AC">
        <w:rPr>
          <w:rFonts w:eastAsiaTheme="minorEastAsia"/>
        </w:rPr>
        <w:fldChar w:fldCharType="begin">
          <w:fldData xml:space="preserve">PEVuZE5vdGU+PENpdGUgQXV0aG9yWWVhcj0iMSI+PEF1dGhvcj5SYXNpYzwvQXV0aG9yPjxZZWFy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PEVuZE5vdGU+PENpdGUgQXV0aG9yWWVhcj0iMSI+PEF1dGhvcj5SYXNpYzwvQXV0aG9yPjxZZWFy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Rasic et al. (2014)</w:t>
      </w:r>
      <w:r w:rsidRPr="004D46AC">
        <w:rPr>
          <w:rFonts w:eastAsiaTheme="minorEastAsia"/>
        </w:rPr>
        <w:fldChar w:fldCharType="end"/>
      </w:r>
      <w:r w:rsidRPr="004D46AC">
        <w:rPr>
          <w:rFonts w:eastAsiaTheme="minorEastAsia"/>
        </w:rPr>
        <w:t xml:space="preserve"> reported that children of parents with schizophrenia or bipolar disorder are at increased risk of developing either condition, whereas such cross-disorder risk was not observed in the offspring of individuals with major depressive disorder. Specifically, 10% of offspring of individuals with schizophrenia developed schizophrenia, and 3% developed bipolar disorder. Among the offspring of individuals with bipolar disorder, 6% developed bipolar disorder, and 4% developed schizophrenia. In addition to diagnostic outcomes, youth at familial risk also exhibit a variety of subclinical features, including basic symptoms, psychotic-like experiences, and difficulties in temperament regulation. Some of </w:t>
      </w:r>
      <w:r w:rsidRPr="004D46AC">
        <w:rPr>
          <w:rFonts w:eastAsiaTheme="minorEastAsia"/>
        </w:rPr>
        <w:lastRenderedPageBreak/>
        <w:t xml:space="preserve">these features appear to represent transdiagnostic vulnerabilities, while others may reflect disorder-specific pathways </w:t>
      </w:r>
      <w:r w:rsidRPr="004D46AC">
        <w:rPr>
          <w:rFonts w:eastAsiaTheme="minorEastAsia"/>
        </w:rPr>
        <w:fldChar w:fldCharType="begin"/>
      </w:r>
      <w:r w:rsidRPr="004D46AC">
        <w:rPr>
          <w:rFonts w:eastAsiaTheme="minorEastAsia"/>
        </w:rPr>
        <w:instrText xml:space="preserve"> ADDIN EN.CITE &lt;EndNote&gt;&lt;Cite&gt;&lt;Author&gt;Sandstrom&lt;/Author&gt;&lt;Year&gt;2019&lt;/Year&gt;&lt;RecNum&gt;1059&lt;/RecNum&gt;&lt;DisplayText&gt;(Sandstrom et al., 2019)&lt;/DisplayText&gt;&lt;record&gt;&lt;rec-number&gt;1059&lt;/rec-number&gt;&lt;foreign-keys&gt;&lt;key app="EN" db-id="aet009sstawa0hewvt3xwf5atffdw2dt02sw" timestamp="1748213254"&gt;1059&lt;/key&gt;&lt;/foreign-keys&gt;&lt;ref-type name="Journal Article"&gt;17&lt;/ref-type&gt;&lt;contributors&gt;&lt;authors&gt;&lt;author&gt;Sandstrom, Andrea&lt;/author&gt;&lt;author&gt;Sahiti, Qendresa&lt;/author&gt;&lt;author&gt;Pavlova, Barbara&lt;/author&gt;&lt;author&gt;Uher, Rudolf&lt;/author&gt;&lt;/authors&gt;&lt;/contributors&gt;&lt;titles&gt;&lt;title&gt;Offspring of parents with schizophrenia, bipolar disorder, and depression: a review of familial high-risk and molecular genetics studies&lt;/title&gt;&lt;secondary-title&gt;Psychiatric Genetics&lt;/secondary-title&gt;&lt;/titles&gt;&lt;periodical&gt;&lt;full-title&gt;Psychiatric Genetics&lt;/full-title&gt;&lt;/periodical&gt;&lt;volume&gt;29&lt;/volume&gt;&lt;number&gt;5&lt;/number&gt;&lt;keywords&gt;&lt;keyword&gt;bipolar disorder&lt;/keyword&gt;&lt;keyword&gt;familial high-risk&lt;/keyword&gt;&lt;keyword&gt;major depressive disorder&lt;/keyword&gt;&lt;keyword&gt;offspring&lt;/keyword&gt;&lt;keyword&gt;review&lt;/keyword&gt;&lt;keyword&gt;schizophrenia&lt;/keyword&gt;&lt;keyword&gt;youth&lt;/keyword&gt;&lt;/keywords&gt;&lt;dates&gt;&lt;year&gt;2019&lt;/year&gt;&lt;/dates&gt;&lt;isbn&gt;0955-8829&lt;/isbn&gt;&lt;urls&gt;&lt;related-urls&gt;&lt;url&gt;https://journals.lww.com/psychgenetics/fulltext/2019/10000/offspring_of_parents_with_schizophrenia,_bipolar.5.aspx&lt;/url&gt;&lt;/related-urls&gt;&lt;/urls&gt;&lt;/record&gt;&lt;/Cite&gt;&lt;/EndNote&gt;</w:instrText>
      </w:r>
      <w:r w:rsidRPr="004D46AC">
        <w:rPr>
          <w:rFonts w:eastAsiaTheme="minorEastAsia"/>
        </w:rPr>
        <w:fldChar w:fldCharType="separate"/>
      </w:r>
      <w:r w:rsidRPr="004D46AC">
        <w:rPr>
          <w:rFonts w:eastAsiaTheme="minorEastAsia"/>
          <w:noProof/>
        </w:rPr>
        <w:t>(Sandstrom et al., 2019)</w:t>
      </w:r>
      <w:r w:rsidRPr="004D46AC">
        <w:rPr>
          <w:rFonts w:eastAsiaTheme="minorEastAsia"/>
        </w:rPr>
        <w:fldChar w:fldCharType="end"/>
      </w:r>
      <w:r w:rsidRPr="004D46AC">
        <w:rPr>
          <w:rFonts w:eastAsiaTheme="minorEastAsia"/>
        </w:rPr>
        <w:t>. These findings support the contribution of familial (and likely genetic) risk to the emergence of psychopathology, particularly highlighting the overlapping genetic architecture of schizophrenia and bipolar disorder.</w:t>
      </w:r>
      <w:bookmarkEnd w:id="52"/>
    </w:p>
    <w:p w14:paraId="2C4EE6A3" w14:textId="77777777" w:rsidR="003D5CB6" w:rsidRPr="004D46AC" w:rsidRDefault="003D5CB6" w:rsidP="00B518F1">
      <w:pPr>
        <w:rPr>
          <w:rFonts w:eastAsiaTheme="minorEastAsia"/>
        </w:rPr>
      </w:pPr>
      <w:r w:rsidRPr="004D46AC">
        <w:rPr>
          <w:rFonts w:eastAsiaTheme="minorEastAsia"/>
        </w:rPr>
        <w:t>The genetic overlap between schizophrenia and bipolar disorder is further supported by findings from twin studies. Early twin studies consistently demonstrated that both conditions are highly heritable, with concordance rates of approximately 50% in monozygotic twins (100% shared genes) and substantially lower rates (typically &lt;</w:t>
      </w:r>
      <w:r w:rsidRPr="004D46AC">
        <w:rPr>
          <w:rFonts w:eastAsiaTheme="minorEastAsia" w:hint="eastAsia"/>
        </w:rPr>
        <w:t xml:space="preserve"> </w:t>
      </w:r>
      <w:r w:rsidRPr="004D46AC">
        <w:rPr>
          <w:rFonts w:eastAsiaTheme="minorEastAsia"/>
        </w:rPr>
        <w:t xml:space="preserve">10%) in dizygotic twins (50 % shared genes) </w:t>
      </w:r>
      <w:r w:rsidRPr="004D46AC">
        <w:rPr>
          <w:rFonts w:eastAsiaTheme="minorEastAsia"/>
        </w:rPr>
        <w:fldChar w:fldCharType="begin">
          <w:fldData xml:space="preserve">PEVuZE5vdGU+PENpdGU+PEF1dGhvcj5DYXJkbm88L0F1dGhvcj48WWVhcj4yMDE0PC9ZZWFyPjxS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PEVuZE5vdGU+PENpdGU+PEF1dGhvcj5DYXJkbm88L0F1dGhvcj48WWVhcj4yMDE0PC9ZZWFyPjxS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(Cardno &amp; Owen, 2014)</w:t>
      </w:r>
      <w:r w:rsidRPr="004D46AC">
        <w:rPr>
          <w:rFonts w:eastAsiaTheme="minorEastAsia"/>
        </w:rPr>
        <w:fldChar w:fldCharType="end"/>
      </w:r>
      <w:r w:rsidRPr="004D46AC">
        <w:rPr>
          <w:rFonts w:eastAsiaTheme="minorEastAsia"/>
        </w:rPr>
        <w:t xml:space="preserve">. Later, the non-hierarchical diagnostic approaches have revealed a substantial genetic correlation - estimated at around 60% - between schizophrenia and bipolar disorder. This correlation was not solely driven by individuals with comorbid diagnoses, but rather reflected shared genetic liability across both disorders, further supporting the overlapped genetic architecture.  </w:t>
      </w:r>
    </w:p>
    <w:p w14:paraId="69F2D5F3" w14:textId="77777777" w:rsidR="003D5CB6" w:rsidRPr="004D46AC" w:rsidRDefault="003D5CB6" w:rsidP="00B518F1">
      <w:pPr>
        <w:rPr>
          <w:rFonts w:eastAsiaTheme="minorEastAsia"/>
        </w:rPr>
      </w:pPr>
      <w:r w:rsidRPr="004D46AC">
        <w:rPr>
          <w:rFonts w:eastAsiaTheme="minorEastAsia"/>
        </w:rPr>
        <w:t xml:space="preserve">With advances in genomic methods, researchers have identified various risk genes for schizophrenia and bipolar disorder. Risk genes are genetic loci that increase an individual's vulnerability to mental illness. Common variants, found through genome-wide association studies (GWAS), are frequent and confer small effects, while rare variants, including protein-truncating mutations, are less common but often carry larger risks. Copy number variants (CNVs) - structural changes like deletions or duplications - can disrupt coding regions and significantly impact gene function. A meta-analysis of 22 GWAS studies identified the following genes - AMBRA1, ANK3, ARNT, CDH13, EFHD, PLXNA2, and UGT1A1 - that were consistently implicated in both schizophrenia and bipolar disorder </w:t>
      </w:r>
      <w:r w:rsidRPr="004D46AC">
        <w:rPr>
          <w:rFonts w:eastAsiaTheme="minorEastAsia"/>
        </w:rPr>
        <w:fldChar w:fldCharType="begin">
          <w:fldData xml:space="preserve">PEVuZE5vdGU+PENpdGU+PEF1dGhvcj5QcmF0YTwvQXV0aG9yPjxZZWFyPjIwMTk8L1llYXI+PFJl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PEVuZE5vdGU+PENpdGU+PEF1dGhvcj5QcmF0YTwvQXV0aG9yPjxZZWFyPjIwMTk8L1llYXI+PFJl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(Prata et al., 2019)</w:t>
      </w:r>
      <w:r w:rsidRPr="004D46AC">
        <w:rPr>
          <w:rFonts w:eastAsiaTheme="minorEastAsia"/>
        </w:rPr>
        <w:fldChar w:fldCharType="end"/>
      </w:r>
      <w:r w:rsidRPr="004D46AC">
        <w:rPr>
          <w:rFonts w:eastAsiaTheme="minorEastAsia"/>
        </w:rPr>
        <w:t>. These genes contribute to biological processes central to psychiatric illness, including neuronal structure and signalling, brain development, mitochondrial function, immune response, and circadian regulation. The genetic overlap between the two disorders is further supported by findings that some of these genes were initially linked more strongly to one condition; for example, ANK3 was previously identified as a prominent risk gene for bipolar disorder.</w:t>
      </w:r>
      <w:r w:rsidRPr="004D46AC">
        <w:t xml:space="preserve"> </w:t>
      </w:r>
      <w:r w:rsidRPr="004D46AC">
        <w:rPr>
          <w:rFonts w:eastAsiaTheme="minorEastAsia"/>
        </w:rPr>
        <w:t xml:space="preserve">However, CNVs, such as 22q11.2 deletions, and rare coding variants (e.g., </w:t>
      </w:r>
      <w:r w:rsidRPr="004D46AC">
        <w:rPr>
          <w:rFonts w:eastAsiaTheme="minorEastAsia"/>
        </w:rPr>
        <w:lastRenderedPageBreak/>
        <w:t xml:space="preserve">de novo protein-truncating mutations) appear to play a more prominent role in schizophrenia than in bipolar disorder </w:t>
      </w:r>
      <w:r w:rsidRPr="004D46AC">
        <w:rPr>
          <w:rFonts w:eastAsiaTheme="minorEastAsia"/>
        </w:rPr>
        <w:fldChar w:fldCharType="begin"/>
      </w:r>
      <w:r w:rsidRPr="004D46AC">
        <w:rPr>
          <w:rFonts w:eastAsiaTheme="minorEastAsia"/>
        </w:rPr>
        <w:instrText xml:space="preserve"> ADDIN EN.CITE &lt;EndNote&gt;&lt;Cite&gt;&lt;Author&gt;Owen&lt;/Author&gt;&lt;Year&gt;2025&lt;/Year&gt;&lt;RecNum&gt;1062&lt;/RecNum&gt;&lt;DisplayText&gt;(Owen et al., 2025)&lt;/DisplayText&gt;&lt;record&gt;&lt;rec-number&gt;1062&lt;/rec-number&gt;&lt;foreign-keys&gt;&lt;key app="EN" db-id="aet009sstawa0hewvt3xwf5atffdw2dt02sw" timestamp="1748300362"&gt;1062&lt;/key&gt;&lt;/foreign-keys&gt;&lt;ref-type name="Journal Article"&gt;17&lt;/ref-type&gt;&lt;contributors&gt;&lt;authors&gt;&lt;author&gt;Owen, Michael J.&lt;/author&gt;&lt;author&gt;Bray, Nicholas J.&lt;/author&gt;&lt;author&gt;Walters, James T. R.&lt;/author&gt;&lt;author&gt;O’Donovan, Michael C.&lt;/author&gt;&lt;/authors&gt;&lt;/contributors&gt;&lt;titles&gt;&lt;title&gt;Genomics of schizophrenia, bipolar disorder and major depressive disorder&lt;/title&gt;&lt;secondary-title&gt;Nature Reviews Genetics&lt;/secondary-title&gt;&lt;/titles&gt;&lt;periodical&gt;&lt;full-title&gt;Nature Reviews Genetics&lt;/full-title&gt;&lt;/periodical&gt;&lt;dates&gt;&lt;year&gt;2025&lt;/year&gt;&lt;pub-dates&gt;&lt;date&gt;2025/05/12&lt;/date&gt;&lt;/pub-dates&gt;&lt;/dates&gt;&lt;isbn&gt;1471-0064&lt;/isbn&gt;&lt;urls&gt;&lt;related-urls&gt;&lt;url&gt;https://doi.org/10.1038/s41576-025-00843-0&lt;/url&gt;&lt;/related-urls&gt;&lt;/urls&gt;&lt;electronic-resource-num&gt;10.1038/s41576-025-00843-0&lt;/electronic-resource-num&gt;&lt;/record&gt;&lt;/Cite&gt;&lt;/EndNote&gt;</w:instrText>
      </w:r>
      <w:r w:rsidRPr="004D46AC">
        <w:rPr>
          <w:rFonts w:eastAsiaTheme="minorEastAsia"/>
        </w:rPr>
        <w:fldChar w:fldCharType="separate"/>
      </w:r>
      <w:r w:rsidRPr="004D46AC">
        <w:rPr>
          <w:rFonts w:eastAsiaTheme="minorEastAsia"/>
          <w:noProof/>
        </w:rPr>
        <w:t>(Owen et al., 2025)</w:t>
      </w:r>
      <w:r w:rsidRPr="004D46AC">
        <w:rPr>
          <w:rFonts w:eastAsiaTheme="minorEastAsia"/>
        </w:rPr>
        <w:fldChar w:fldCharType="end"/>
      </w:r>
      <w:r w:rsidRPr="004D46AC">
        <w:rPr>
          <w:rFonts w:eastAsiaTheme="minorEastAsia"/>
        </w:rPr>
        <w:t>, suggesting a partially shared but distinct genetic architecture between the two conditions.</w:t>
      </w:r>
    </w:p>
    <w:p w14:paraId="2406CA35" w14:textId="77777777" w:rsidR="003D5CB6" w:rsidRPr="004D46AC" w:rsidRDefault="003D5CB6" w:rsidP="00B518F1">
      <w:pPr>
        <w:rPr>
          <w:rFonts w:eastAsiaTheme="minorEastAsia"/>
        </w:rPr>
      </w:pPr>
      <w:r w:rsidRPr="004D46AC">
        <w:rPr>
          <w:rFonts w:eastAsiaTheme="minorEastAsia"/>
        </w:rPr>
        <w:t xml:space="preserve">More recently, a genic metric known as the polygenic risk score (PRS) has been developed to improve the quantification of genetic liability to psychiatric conditions. PRS estimates an individual’s genetic risk by integrating the cumulative effect of numerous single nucleotide polymorphisms (SNPs), derived from genome-wide association studies (GWAS), using advanced statistical methods. </w:t>
      </w:r>
      <w:r w:rsidRPr="004D46AC">
        <w:rPr>
          <w:rFonts w:eastAsiaTheme="minorEastAsia"/>
        </w:rPr>
        <w:fldChar w:fldCharType="begin"/>
      </w:r>
      <w:r w:rsidRPr="004D46AC">
        <w:rPr>
          <w:rFonts w:eastAsiaTheme="minorEastAsia"/>
        </w:rPr>
        <w:instrText xml:space="preserve"> ADDIN EN.CITE &lt;EndNote&gt;&lt;Cite AuthorYear="1"&gt;&lt;Author&gt;Grigoroiu-Serbanescu&lt;/Author&gt;&lt;Year&gt;2024&lt;/Year&gt;&lt;RecNum&gt;1063&lt;/RecNum&gt;&lt;DisplayText&gt;Grigoroiu-Serbanescu et al. (2024)&lt;/DisplayText&gt;&lt;record&gt;&lt;rec-number&gt;1063&lt;/rec-number&gt;&lt;foreign-keys&gt;&lt;key app="EN" db-id="aet009sstawa0hewvt3xwf5atffdw2dt02sw" timestamp="1748376537"&gt;1063&lt;/key&gt;&lt;/foreign-keys&gt;&lt;ref-type name="Journal Article"&gt;17&lt;/ref-type&gt;&lt;contributors&gt;&lt;authors&gt;&lt;author&gt;Grigoroiu-Serbanescu, Maria&lt;/author&gt;&lt;author&gt;van der Veen, Tracey&lt;/author&gt;&lt;author&gt;Bigdeli, Tim&lt;/author&gt;&lt;author&gt;Herms, Stefan&lt;/author&gt;&lt;author&gt;Diaconu, Carmen C.&lt;/author&gt;&lt;author&gt;Neagu, Ana Iulia&lt;/author&gt;&lt;author&gt;Bass, Nicholas&lt;/author&gt;&lt;author&gt;Thygesen, Johan&lt;/author&gt;&lt;author&gt;Forstner, Andreas J.&lt;/author&gt;&lt;author&gt;Nöthen, Markus M.&lt;/author&gt;&lt;author&gt;McQuillin, Andrew&lt;/author&gt;&lt;/authors&gt;&lt;/contributors&gt;&lt;titles&gt;&lt;title&gt;Schizophrenia polygenic risk scores, clinical variables and genetic pathways as predictors of phenotypic traits of bipolar I disorder&lt;/title&gt;&lt;secondary-title&gt;Journal of Affective Disorders&lt;/secondary-title&gt;&lt;/titles&gt;&lt;periodical&gt;&lt;full-title&gt;Journal of affective disorders&lt;/full-title&gt;&lt;/periodical&gt;&lt;pages&gt;507-518&lt;/pages&gt;&lt;volume&gt;356&lt;/volume&gt;&lt;keywords&gt;&lt;keyword&gt;Schizophrenia polygenic score&lt;/keyword&gt;&lt;keyword&gt;Bipolar disorder subphenotypes&lt;/keyword&gt;&lt;keyword&gt;Psychosis&lt;/keyword&gt;&lt;keyword&gt;Individual pathway analysis&lt;/keyword&gt;&lt;/keywords&gt;&lt;dates&gt;&lt;year&gt;2024&lt;/year&gt;&lt;pub-dates&gt;&lt;date&gt;2024/07/01/&lt;/date&gt;&lt;/pub-dates&gt;&lt;/dates&gt;&lt;isbn&gt;0165-0327&lt;/isbn&gt;&lt;urls&gt;&lt;related-urls&gt;&lt;url&gt;https://www.sciencedirect.com/science/article/pii/S0165032724006785&lt;/url&gt;&lt;/related-urls&gt;&lt;/urls&gt;&lt;electronic-resource-num&gt;https://doi.org/10.1016/j.jad.2024.04.066&lt;/electronic-resource-num&gt;&lt;/record&gt;&lt;/Cite&gt;&lt;/EndNote&gt;</w:instrText>
      </w:r>
      <w:r w:rsidRPr="004D46AC">
        <w:rPr>
          <w:rFonts w:eastAsiaTheme="minorEastAsia"/>
        </w:rPr>
        <w:fldChar w:fldCharType="separate"/>
      </w:r>
      <w:r w:rsidRPr="004D46AC">
        <w:rPr>
          <w:rFonts w:eastAsiaTheme="minorEastAsia"/>
          <w:noProof/>
        </w:rPr>
        <w:t>Grigoroiu-Serbanescu et al. (2024)</w:t>
      </w:r>
      <w:r w:rsidRPr="004D46AC">
        <w:rPr>
          <w:rFonts w:eastAsiaTheme="minorEastAsia"/>
        </w:rPr>
        <w:fldChar w:fldCharType="end"/>
      </w:r>
      <w:r w:rsidRPr="004D46AC">
        <w:rPr>
          <w:rFonts w:eastAsiaTheme="minorEastAsia"/>
        </w:rPr>
        <w:t xml:space="preserve"> investigated the predictive utility of the schizophrenia-based polygenic risk score (PRS-SZ) in individuals with bipolar I disorder and healthy controls. Their findings indicated that PRS-SZ significantly predicted both the onset of bipolar disorder and the presence of psychotic symptoms. However, the score alone demonstrated limited predictive power for bipolar I disorder in the absence of additional clinical features, highlighting modest clinical applicability in characterising bipolar phenotypes.</w:t>
      </w:r>
      <w:r w:rsidRPr="004D46AC">
        <w:t xml:space="preserve"> </w:t>
      </w:r>
      <w:r w:rsidRPr="004D46AC">
        <w:rPr>
          <w:rFonts w:eastAsiaTheme="minorEastAsia"/>
        </w:rPr>
        <w:t xml:space="preserve">Similarly, </w:t>
      </w:r>
      <w:r w:rsidRPr="004D46AC">
        <w:rPr>
          <w:rFonts w:eastAsiaTheme="minorEastAsia"/>
        </w:rPr>
        <w:fldChar w:fldCharType="begin">
          <w:fldData xml:space="preserve">PEVuZE5vdGU+PENpdGUgQXV0aG9yWWVhcj0iMSI+PEF1dGhvcj5NYXJrb3RhPC9BdXRob3I+PFll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PEVuZE5vdGU+PENpdGUgQXV0aG9yWWVhcj0iMSI+PEF1dGhvcj5NYXJrb3RhPC9BdXRob3I+PFll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Markota et al. (2018)</w:t>
      </w:r>
      <w:r w:rsidRPr="004D46AC">
        <w:rPr>
          <w:rFonts w:eastAsiaTheme="minorEastAsia"/>
        </w:rPr>
        <w:fldChar w:fldCharType="end"/>
      </w:r>
      <w:r w:rsidRPr="004D46AC">
        <w:rPr>
          <w:rFonts w:eastAsiaTheme="minorEastAsia"/>
        </w:rPr>
        <w:t xml:space="preserve"> reported elevated PRS-SZ in individuals with bipolar disorder presenting with psychotic mania or depression. Interestingly, PRS-SZ also showed limited but statistically significant predictive value for bipolar I and II disorder in individuals without psychotic features.  Further supporting this transdiagnostic model, </w:t>
      </w:r>
      <w:r w:rsidRPr="004D46AC">
        <w:rPr>
          <w:rFonts w:eastAsiaTheme="minorEastAsia"/>
        </w:rPr>
        <w:fldChar w:fldCharType="begin">
          <w:fldData xml:space="preserve">PEVuZE5vdGU+PENpdGUgQXV0aG9yWWVhcj0iMSI+PEF1dGhvcj5Sb2RyaWd1ZXo8L0F1dGhvcj48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PEVuZE5vdGU+PENpdGUgQXV0aG9yWWVhcj0iMSI+PEF1dGhvcj5Sb2RyaWd1ZXo8L0F1dGhvcj48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Rodriguez et al. (2023)</w:t>
      </w:r>
      <w:r w:rsidRPr="004D46AC">
        <w:rPr>
          <w:rFonts w:eastAsiaTheme="minorEastAsia"/>
        </w:rPr>
        <w:fldChar w:fldCharType="end"/>
      </w:r>
      <w:r w:rsidRPr="004D46AC">
        <w:rPr>
          <w:rFonts w:eastAsiaTheme="minorEastAsia"/>
        </w:rPr>
        <w:t xml:space="preserve"> evaluated the discriminative validity of multiple PRS. They found that PRS-SZ was significantly higher in individuals with schizophrenia compared to those with affective psychosis, whereas the bipolar-based PRS (PRS-BD) was modestly elevated in individuals with affective psychosis. However, the effect sizes were small, and the ability of PRS to distinguish between affective and non-affective psychoses was limited, with an area under the curve (AUC) of only 0.63. While some findings have been consistent across studies, there remains substantial variability in the diagnostic predictive value of different PRS subtypes. For example, some studies reported inconsistent results regarding the predictive validity of PRS-BD, and in certain cases, PRS-SZ has been found to predict outcomes even in healthy populations </w:t>
      </w:r>
      <w:r w:rsidRPr="004D46AC">
        <w:rPr>
          <w:rFonts w:eastAsiaTheme="minorEastAsia"/>
        </w:rPr>
        <w:fldChar w:fldCharType="begin">
          <w:fldData xml:space="preserve">PEVuZE5vdGU+PENpdGU+PEF1dGhvcj5NYXJrb3RhPC9BdXRob3I+PFllYXI+MjAxODwvWWVhcj48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=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PEVuZE5vdGU+PENpdGU+PEF1dGhvcj5NYXJrb3RhPC9BdXRob3I+PFllYXI+MjAxODwvWWVhcj48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=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(Markota et al., 2018)</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Such inconsistencies may reflect methodological limitations of GWAS, which primarily </w:t>
      </w:r>
      <w:r w:rsidRPr="004D46AC">
        <w:rPr>
          <w:rFonts w:eastAsiaTheme="minorEastAsia"/>
        </w:rPr>
        <w:lastRenderedPageBreak/>
        <w:t>capture common variants of small effect and are highly sensitive to factors such as correct ancestry matching and GWAS quality. Moreover, genetic contributions alone do not fully account for the observed phenotypic variance in major psychoses, suggesting that environmental factors such as psychosocial characteristics may also play a significant role in disease development.</w:t>
      </w:r>
    </w:p>
    <w:p w14:paraId="3388218E" w14:textId="77777777" w:rsidR="003D5CB6" w:rsidRPr="004D46AC" w:rsidRDefault="003D5CB6" w:rsidP="00B518F1">
      <w:pPr>
        <w:pStyle w:val="2"/>
        <w:rPr>
          <w:rFonts w:eastAsiaTheme="minorEastAsia"/>
        </w:rPr>
      </w:pPr>
      <w:bookmarkStart w:id="53" w:name="_Toc219888755"/>
      <w:r w:rsidRPr="004D46AC">
        <w:rPr>
          <w:rFonts w:eastAsiaTheme="minorEastAsia"/>
        </w:rPr>
        <w:t>Psychosocial factors</w:t>
      </w:r>
      <w:bookmarkEnd w:id="53"/>
      <w:r w:rsidRPr="004D46AC">
        <w:rPr>
          <w:rFonts w:eastAsiaTheme="minorEastAsia"/>
        </w:rPr>
        <w:t xml:space="preserve"> </w:t>
      </w:r>
    </w:p>
    <w:p w14:paraId="1B96F98F" w14:textId="65504BD9" w:rsidR="003D5CB6" w:rsidRPr="004D46AC" w:rsidRDefault="003D5CB6" w:rsidP="0022744D">
      <w:pPr>
        <w:rPr>
          <w:rFonts w:eastAsiaTheme="minorEastAsia"/>
          <w:b/>
        </w:rPr>
      </w:pPr>
      <w:r w:rsidRPr="004D46AC">
        <w:t>It is well established that social and psychological factors contribute meaningfully to psychiatric vulnerability. A growing body of research has identified a range of psychosocial risk factors, spanning from early childhood to adulthood, that may predispose individuals to major psychotic disorders such as schizophrenia and bipolar disorder. For clarity of presentation, these factors are grouped into two broad domains: environmental influences (e.g., family environment, social adversity) and psychological characteristics (e.g., personality traits, cognitive styles). These are discussed in the subsections below.</w:t>
      </w:r>
    </w:p>
    <w:p w14:paraId="09F09DD9" w14:textId="77777777" w:rsidR="003D5CB6" w:rsidRPr="004D46AC" w:rsidRDefault="003D5CB6" w:rsidP="00B518F1">
      <w:pPr>
        <w:pStyle w:val="3"/>
      </w:pPr>
      <w:r w:rsidRPr="004D46AC">
        <w:t>Environmental influences</w:t>
      </w:r>
    </w:p>
    <w:p w14:paraId="6EE43877" w14:textId="77777777" w:rsidR="003D5CB6" w:rsidRPr="004D46AC" w:rsidRDefault="003D5CB6" w:rsidP="00B518F1">
      <w:pPr>
        <w:pStyle w:val="4"/>
      </w:pPr>
      <w:r w:rsidRPr="004D46AC">
        <w:t>Childhood adversity</w:t>
      </w:r>
    </w:p>
    <w:p w14:paraId="445714A2" w14:textId="77777777" w:rsidR="003D5CB6" w:rsidRPr="004D46AC" w:rsidRDefault="003D5CB6" w:rsidP="00B518F1">
      <w:r w:rsidRPr="004D46AC">
        <w:t xml:space="preserve">Childhood adversity (CA), including traumatic events (CT), has been recognised as a risk factor for psychosis since the late 19th century. CA refers to experiences such as neglect, abuse, and exposure to violence that occur during childhood and disrupt normative development. A substantial body of empirical work shows that CA may serve as a major cause of diverse mental-health problems </w:t>
      </w:r>
      <w:r w:rsidRPr="004D46AC">
        <w:fldChar w:fldCharType="begin"/>
      </w:r>
      <w:r w:rsidRPr="004D46AC">
        <w:instrText xml:space="preserve"> ADDIN EN.CITE &lt;EndNote&gt;&lt;Cite&gt;&lt;Author&gt;Zarse&lt;/Author&gt;&lt;Year&gt;2019&lt;/Year&gt;&lt;RecNum&gt;1121&lt;/RecNum&gt;&lt;DisplayText&gt;(Zarse et al., 2019)&lt;/DisplayText&gt;&lt;record&gt;&lt;rec-number&gt;1121&lt;/rec-number&gt;&lt;foreign-keys&gt;&lt;key app="EN" db-id="aet009sstawa0hewvt3xwf5atffdw2dt02sw" timestamp="1750410841"&gt;1121&lt;/key&gt;&lt;/foreign-keys&gt;&lt;ref-type name="Journal Article"&gt;17&lt;/ref-type&gt;&lt;contributors&gt;&lt;authors&gt;&lt;author&gt;Zarse, Emily M.&lt;/author&gt;&lt;author&gt;Neff Mallory R.&lt;/author&gt;&lt;author&gt;Yoder Rachel&lt;/author&gt;&lt;author&gt;Hulvershorn Leslie&lt;/author&gt;&lt;author&gt;Chambers Joanna E.&lt;/author&gt;&lt;author&gt;and Chambers, R. Andrew&lt;/author&gt;&lt;/authors&gt;&lt;/contributors&gt;&lt;titles&gt;&lt;title&gt;The adverse childhood experiences questionnaire: Two decades of research on childhood trauma as a primary cause of adult mental illness, addiction, and medical diseases&lt;/title&gt;&lt;secondary-title&gt;Cogent Medicine&lt;/secondary-title&gt;&lt;/titles&gt;&lt;periodical&gt;&lt;full-title&gt;Cogent Medicine&lt;/full-title&gt;&lt;/periodical&gt;&lt;pages&gt;1581447&lt;/pages&gt;&lt;volume&gt;6&lt;/volume&gt;&lt;number&gt;1&lt;/number&gt;&lt;dates&gt;&lt;year&gt;2019&lt;/year&gt;&lt;pub-dates&gt;&lt;date&gt;2019/01/01&lt;/date&gt;&lt;/pub-dates&gt;&lt;/dates&gt;&lt;publisher&gt;Cogent OA&lt;/publisher&gt;&lt;isbn&gt;null&lt;/isbn&gt;&lt;urls&gt;&lt;related-urls&gt;&lt;url&gt;https://doi.org/10.1080/2331205X.2019.1581447&lt;/url&gt;&lt;/related-urls&gt;&lt;/urls&gt;&lt;electronic-resource-num&gt;10.1080/2331205X.2019.1581447&lt;/electronic-resource-num&gt;&lt;/record&gt;&lt;/Cite&gt;&lt;/EndNote&gt;</w:instrText>
      </w:r>
      <w:r w:rsidRPr="004D46AC">
        <w:fldChar w:fldCharType="separate"/>
      </w:r>
      <w:r w:rsidRPr="004D46AC">
        <w:rPr>
          <w:noProof/>
        </w:rPr>
        <w:t>(Zarse et al., 2019)</w:t>
      </w:r>
      <w:r w:rsidRPr="004D46AC">
        <w:fldChar w:fldCharType="end"/>
      </w:r>
      <w:r w:rsidRPr="004D46AC">
        <w:t xml:space="preserve">. One proximal outcome is post-traumatic stress disorder (PTSD), characterised by symptoms such as dissociation, avoidance; these symptoms could in turn precipitate psychotic experiences and other psychiatric conditions </w:t>
      </w:r>
      <w:r w:rsidRPr="004D46AC">
        <w:fldChar w:fldCharType="begin"/>
      </w:r>
      <w:r w:rsidRPr="004D46AC">
        <w:instrText xml:space="preserve"> ADDIN EN.CITE &lt;EndNote&gt;&lt;Cite&gt;&lt;Author&gt;Powers&lt;/Author&gt;&lt;Year&gt;2016&lt;/Year&gt;&lt;RecNum&gt;1123&lt;/RecNum&gt;&lt;DisplayText&gt;(Powers et al., 2016)&lt;/DisplayText&gt;&lt;record&gt;&lt;rec-number&gt;1123&lt;/rec-number&gt;&lt;foreign-keys&gt;&lt;key app="EN" db-id="aet009sstawa0hewvt3xwf5atffdw2dt02sw" timestamp="1750410981"&gt;1123&lt;/key&gt;&lt;/foreign-keys&gt;&lt;ref-type name="Journal Article"&gt;17&lt;/ref-type&gt;&lt;contributors&gt;&lt;authors&gt;&lt;author&gt;Powers, Abigail&lt;/author&gt;&lt;author&gt;Fani, Negar&lt;/author&gt;&lt;author&gt;Cross, Dorthie&lt;/author&gt;&lt;author&gt;Ressler, Kerry J.&lt;/author&gt;&lt;author&gt;Bradley, Bekh&lt;/author&gt;&lt;/authors&gt;&lt;/contributors&gt;&lt;titles&gt;&lt;title&gt;Childhood trauma, PTSD, and psychosis: Findings from a highly traumatized, minority sample&lt;/title&gt;&lt;secondary-title&gt;Child Abuse &amp;amp; Neglect&lt;/secondary-title&gt;&lt;/titles&gt;&lt;periodical&gt;&lt;full-title&gt;Child Abuse &amp;amp; Neglect&lt;/full-title&gt;&lt;/periodical&gt;&lt;pages&gt;111-118&lt;/pages&gt;&lt;volume&gt;58&lt;/volume&gt;&lt;keywords&gt;&lt;keyword&gt;Posttraumatic stress disorder&lt;/keyword&gt;&lt;keyword&gt;Trauma&lt;/keyword&gt;&lt;keyword&gt;Child abuse&lt;/keyword&gt;&lt;keyword&gt;Psychosis&lt;/keyword&gt;&lt;keyword&gt;Psychotic disorder&lt;/keyword&gt;&lt;/keywords&gt;&lt;dates&gt;&lt;year&gt;2016&lt;/year&gt;&lt;pub-dates&gt;&lt;date&gt;2016/08/01/&lt;/date&gt;&lt;/pub-dates&gt;&lt;/dates&gt;&lt;isbn&gt;0145-2134&lt;/isbn&gt;&lt;urls&gt;&lt;related-urls&gt;&lt;url&gt;https://www.sciencedirect.com/science/article/pii/S0145213416301120&lt;/url&gt;&lt;/related-urls&gt;&lt;/urls&gt;&lt;electronic-resource-num&gt;https://doi.org/10.1016/j.chiabu.2016.06.015&lt;/electronic-resource-num&gt;&lt;/record&gt;&lt;/Cite&gt;&lt;/EndNote&gt;</w:instrText>
      </w:r>
      <w:r w:rsidRPr="004D46AC">
        <w:fldChar w:fldCharType="separate"/>
      </w:r>
      <w:r w:rsidRPr="004D46AC">
        <w:rPr>
          <w:noProof/>
        </w:rPr>
        <w:t>(Powers et al., 2016)</w:t>
      </w:r>
      <w:r w:rsidRPr="004D46AC">
        <w:fldChar w:fldCharType="end"/>
      </w:r>
      <w:r w:rsidRPr="004D46AC">
        <w:t>. Consequently, histories of CA are frequently documented among individuals with severe mental illnesses.</w:t>
      </w:r>
    </w:p>
    <w:p w14:paraId="5BBF57CD" w14:textId="77777777" w:rsidR="003D5CB6" w:rsidRPr="004D46AC" w:rsidRDefault="003D5CB6" w:rsidP="00B518F1">
      <w:r w:rsidRPr="004D46AC">
        <w:t xml:space="preserve">Indeed, CA is frequently reported by individuals with bipolar disorder and schizophrenia. Meta-analytic evidence indicates that individual experienced CA carried elevated risk for schizophrenia and bipolar disorders </w:t>
      </w:r>
      <w:r w:rsidRPr="004D46AC">
        <w:fldChar w:fldCharType="begin">
          <w:fldData xml:space="preserve">PEVuZE5vdGU+PENpdGU+PEF1dGhvcj5WYXJlc2U8L0F1dGhvcj48WWVhcj4yMDEyPC9ZZWFyPjxS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</w:fldData>
        </w:fldChar>
      </w:r>
      <w:r w:rsidRPr="004D46AC">
        <w:instrText xml:space="preserve"> ADDIN EN.CITE </w:instrText>
      </w:r>
      <w:r w:rsidRPr="004D46AC">
        <w:fldChar w:fldCharType="begin">
          <w:fldData xml:space="preserve">PEVuZE5vdGU+PENpdGU+PEF1dGhvcj5WYXJlc2U8L0F1dGhvcj48WWVhcj4yMDEyPC9ZZWFyPjxS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</w:fldData>
        </w:fldChar>
      </w:r>
      <w:r w:rsidRPr="004D46AC">
        <w:instrText xml:space="preserve"> ADDIN EN.CITE.DATA </w:instrText>
      </w:r>
      <w:r w:rsidRPr="004D46AC">
        <w:fldChar w:fldCharType="end"/>
      </w:r>
      <w:r w:rsidRPr="004D46AC">
        <w:fldChar w:fldCharType="separate"/>
      </w:r>
      <w:r w:rsidRPr="004D46AC">
        <w:rPr>
          <w:noProof/>
        </w:rPr>
        <w:t>(Palmier-Claus et al., 2016; Varese et al., 2012; Zhou et al., 2025)</w:t>
      </w:r>
      <w:r w:rsidRPr="004D46AC">
        <w:fldChar w:fldCharType="end"/>
      </w:r>
      <w:r w:rsidRPr="004D46AC">
        <w:t xml:space="preserve">. How these experiences are distributed across the two </w:t>
      </w:r>
      <w:r w:rsidRPr="004D46AC">
        <w:lastRenderedPageBreak/>
        <w:t xml:space="preserve">diagnoses, however, remains controversial. </w:t>
      </w:r>
      <w:r w:rsidRPr="004D46AC">
        <w:fldChar w:fldCharType="begin">
          <w:fldData xml:space="preserve">PEVuZE5vdGU+PENpdGUgQXV0aG9yWWVhcj0iMSI+PEF1dGhvcj5IamVsc2VuZzwvQXV0aG9yPjxZ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</w:fldData>
        </w:fldChar>
      </w:r>
      <w:r w:rsidRPr="004D46AC">
        <w:instrText xml:space="preserve"> ADDIN EN.CITE </w:instrText>
      </w:r>
      <w:r w:rsidRPr="004D46AC">
        <w:fldChar w:fldCharType="begin">
          <w:fldData xml:space="preserve">PEVuZE5vdGU+PENpdGUgQXV0aG9yWWVhcj0iMSI+PEF1dGhvcj5IamVsc2VuZzwvQXV0aG9yPjxZ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rPr>
          <w:noProof/>
        </w:rPr>
        <w:t>Hjelseng et al. (2022)</w:t>
      </w:r>
      <w:r w:rsidRPr="004D46AC">
        <w:fldChar w:fldCharType="end"/>
      </w:r>
      <w:r w:rsidRPr="004D46AC">
        <w:t xml:space="preserve"> observed a slightly higher prevalence of CA - regardless of severity - among people with schizophrenia than among those with bipolar disorder, and they linked more severe CA to poorer social functioning. Other studies have detected no diagnostic differences in overall CA prevalence </w:t>
      </w:r>
      <w:r w:rsidRPr="004D46AC">
        <w:fldChar w:fldCharType="begin">
          <w:fldData xml:space="preserve">PEVuZE5vdGU+PENpdGU+PEF1dGhvcj5IamVsc2VuZzwvQXV0aG9yPjxZZWFyPjIwMjI8L1llYXI+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PEVuZE5vdGU+PENpdGU+PEF1dGhvcj5IamVsc2VuZzwvQXV0aG9yPjxZZWFyPjIwMjI8L1llYXI+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rPr>
          <w:noProof/>
        </w:rPr>
        <w:t>(Hjelseng et al., 2022; Robinson et al., 2024)</w:t>
      </w:r>
      <w:r w:rsidRPr="004D46AC">
        <w:fldChar w:fldCharType="end"/>
      </w:r>
      <w:r w:rsidRPr="004D46AC">
        <w:t xml:space="preserve">, while earlier work has produced mixed findings </w:t>
      </w:r>
      <w:r w:rsidRPr="004D46AC">
        <w:fldChar w:fldCharType="begin">
          <w:fldData xml:space="preserve">PEVuZE5vdGU+PENpdGU+PEF1dGhvcj5CZWdlbWFubjwvQXV0aG9yPjxZZWFyPjIwMjM8L1llYXI+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</w:fldData>
        </w:fldChar>
      </w:r>
      <w:r w:rsidRPr="004D46AC">
        <w:instrText xml:space="preserve"> ADDIN EN.CITE </w:instrText>
      </w:r>
      <w:r w:rsidRPr="004D46AC">
        <w:fldChar w:fldCharType="begin">
          <w:fldData xml:space="preserve">PEVuZE5vdGU+PENpdGU+PEF1dGhvcj5CZWdlbWFubjwvQXV0aG9yPjxZZWFyPjIwMjM8L1llYXI+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</w:fldData>
        </w:fldChar>
      </w:r>
      <w:r w:rsidRPr="004D46AC">
        <w:instrText xml:space="preserve"> ADDIN EN.CITE.DATA </w:instrText>
      </w:r>
      <w:r w:rsidRPr="004D46AC">
        <w:fldChar w:fldCharType="end"/>
      </w:r>
      <w:r w:rsidRPr="004D46AC">
        <w:fldChar w:fldCharType="separate"/>
      </w:r>
      <w:r w:rsidRPr="004D46AC">
        <w:rPr>
          <w:noProof/>
        </w:rPr>
        <w:t>(Aas et al., 2011; Begemann et al., 2023)</w:t>
      </w:r>
      <w:r w:rsidRPr="004D46AC">
        <w:fldChar w:fldCharType="end"/>
      </w:r>
      <w:r w:rsidRPr="004D46AC">
        <w:t xml:space="preserve">. Inconsistency persists when specific trauma types are examined. </w:t>
      </w:r>
      <w:r w:rsidRPr="004D46AC">
        <w:fldChar w:fldCharType="begin"/>
      </w:r>
      <w:r w:rsidRPr="004D46AC">
        <w:instrText xml:space="preserve"> ADDIN EN.CITE &lt;EndNote&gt;&lt;Cite AuthorYear="1"&gt;&lt;Author&gt;Devi&lt;/Author&gt;&lt;Year&gt;2019&lt;/Year&gt;&lt;RecNum&gt;1130&lt;/RecNum&gt;&lt;DisplayText&gt;Devi et al. (2019)&lt;/DisplayText&gt;&lt;record&gt;&lt;rec-number&gt;1130&lt;/rec-number&gt;&lt;foreign-keys&gt;&lt;key app="EN" db-id="aet009sstawa0hewvt3xwf5atffdw2dt02sw" timestamp="1750504504"&gt;1130&lt;/key&gt;&lt;/foreign-keys&gt;&lt;ref-type name="Journal Article"&gt;17&lt;/ref-type&gt;&lt;contributors&gt;&lt;authors&gt;&lt;author&gt;Devi, Fiona&lt;/author&gt;&lt;author&gt;Shahwan, Shazana&lt;/author&gt;&lt;author&gt;Teh, Wen Lin&lt;/author&gt;&lt;author&gt;Sambasivam, Rajeswari&lt;/author&gt;&lt;author&gt;Zhang, Yun Jue&lt;/author&gt;&lt;author&gt;Lau, Ying Wen&lt;/author&gt;&lt;author&gt;Ong, Say How&lt;/author&gt;&lt;author&gt;Fung, Daniel&lt;/author&gt;&lt;author&gt;Gupta, Bhanu&lt;/author&gt;&lt;author&gt;Chong, Siow Ann&lt;/author&gt;&lt;/authors&gt;&lt;/contributors&gt;&lt;titles&gt;&lt;title&gt;The prevalence of childhood trauma in psychiatric outpatients&lt;/title&gt;&lt;secondary-title&gt;Annals of General Psychiatry&lt;/secondary-title&gt;&lt;/titles&gt;&lt;periodical&gt;&lt;full-title&gt;Annals of General Psychiatry&lt;/full-title&gt;&lt;/periodical&gt;&lt;pages&gt;1-8&lt;/pages&gt;&lt;volume&gt;18&lt;/volume&gt;&lt;dates&gt;&lt;year&gt;2019&lt;/year&gt;&lt;/dates&gt;&lt;urls&gt;&lt;/urls&gt;&lt;/record&gt;&lt;/Cite&gt;&lt;/EndNote&gt;</w:instrText>
      </w:r>
      <w:r w:rsidRPr="004D46AC">
        <w:fldChar w:fldCharType="separate"/>
      </w:r>
      <w:r w:rsidRPr="004D46AC">
        <w:rPr>
          <w:noProof/>
        </w:rPr>
        <w:t>Devi et al. (2019)</w:t>
      </w:r>
      <w:r w:rsidRPr="004D46AC">
        <w:fldChar w:fldCharType="end"/>
      </w:r>
      <w:r w:rsidRPr="004D46AC">
        <w:t xml:space="preserve"> found that mood-disorder patients endorsed every trauma type more frequently than those with schizophrenia - except physical neglect - whereas </w:t>
      </w:r>
      <w:r w:rsidRPr="004D46AC">
        <w:fldChar w:fldCharType="begin"/>
      </w:r>
      <w:r w:rsidRPr="004D46AC">
        <w:instrText xml:space="preserve"> ADDIN EN.CITE &lt;EndNote&gt;&lt;Cite AuthorYear="1"&gt;&lt;Author&gt;Bruni&lt;/Author&gt;&lt;Year&gt;2018&lt;/Year&gt;&lt;RecNum&gt;1131&lt;/RecNum&gt;&lt;DisplayText&gt;Bruni et al. (2018)&lt;/DisplayText&gt;&lt;record&gt;&lt;rec-number&gt;1131&lt;/rec-number&gt;&lt;foreign-keys&gt;&lt;key app="EN" db-id="aet009sstawa0hewvt3xwf5atffdw2dt02sw" timestamp="1750504891"&gt;1131&lt;/key&gt;&lt;/foreign-keys&gt;&lt;ref-type name="Journal Article"&gt;17&lt;/ref-type&gt;&lt;contributors&gt;&lt;authors&gt;&lt;author&gt;Bruni, Antonella&lt;/author&gt;&lt;author&gt;Carbone, Elvira Anna&lt;/author&gt;&lt;author&gt;Pugliese, Valentina&lt;/author&gt;&lt;author&gt;Aloi, Matteo&lt;/author&gt;&lt;author&gt;Calabrò, Giuseppina&lt;/author&gt;&lt;author&gt;Cerminara, Gregorio&lt;/author&gt;&lt;author&gt;Segura-García, Cristina&lt;/author&gt;&lt;author&gt;De Fazio, Pasquale&lt;/author&gt;&lt;/authors&gt;&lt;/contributors&gt;&lt;titles&gt;&lt;title&gt;Childhood adversities are different in schizophrenic spectrum disorders, bipolar disorder and major depressive disorder&lt;/title&gt;&lt;secondary-title&gt;BMC psychiatry&lt;/secondary-title&gt;&lt;/titles&gt;&lt;periodical&gt;&lt;full-title&gt;BMC Psychiatry&lt;/full-title&gt;&lt;/periodical&gt;&lt;pages&gt;1-7&lt;/pages&gt;&lt;volume&gt;18&lt;/volume&gt;&lt;dates&gt;&lt;year&gt;2018&lt;/year&gt;&lt;/dates&gt;&lt;urls&gt;&lt;/urls&gt;&lt;/record&gt;&lt;/Cite&gt;&lt;/EndNote&gt;</w:instrText>
      </w:r>
      <w:r w:rsidRPr="004D46AC">
        <w:fldChar w:fldCharType="separate"/>
      </w:r>
      <w:r w:rsidRPr="004D46AC">
        <w:rPr>
          <w:noProof/>
        </w:rPr>
        <w:t>Bruni et al. (2018)</w:t>
      </w:r>
      <w:r w:rsidRPr="004D46AC">
        <w:fldChar w:fldCharType="end"/>
      </w:r>
      <w:r w:rsidRPr="004D46AC">
        <w:t xml:space="preserve"> reported higher rates of psychological and physical abuse in schizophrenia. Another study found that physical neglect was the most common form of CA in both groups </w:t>
      </w:r>
      <w:r w:rsidRPr="004D46AC">
        <w:fldChar w:fldCharType="begin">
          <w:fldData xml:space="preserve">PEVuZE5vdGU+PENpdGU+PEF1dGhvcj5YaWU8L0F1dGhvcj48WWVhcj4yMDE4PC9ZZWFyPjxSZWNO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</w:fldData>
        </w:fldChar>
      </w:r>
      <w:r w:rsidRPr="004D46AC">
        <w:instrText xml:space="preserve"> ADDIN EN.CITE </w:instrText>
      </w:r>
      <w:r w:rsidRPr="004D46AC">
        <w:fldChar w:fldCharType="begin">
          <w:fldData xml:space="preserve">PEVuZE5vdGU+PENpdGU+PEF1dGhvcj5YaWU8L0F1dGhvcj48WWVhcj4yMDE4PC9ZZWFyPjxSZWNO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</w:fldData>
        </w:fldChar>
      </w:r>
      <w:r w:rsidRPr="004D46AC">
        <w:instrText xml:space="preserve"> ADDIN EN.CITE.DATA </w:instrText>
      </w:r>
      <w:r w:rsidRPr="004D46AC">
        <w:fldChar w:fldCharType="end"/>
      </w:r>
      <w:r w:rsidRPr="004D46AC">
        <w:fldChar w:fldCharType="separate"/>
      </w:r>
      <w:r w:rsidRPr="004D46AC">
        <w:rPr>
          <w:noProof/>
        </w:rPr>
        <w:t>(Xie et al., 2018)</w:t>
      </w:r>
      <w:r w:rsidRPr="004D46AC">
        <w:fldChar w:fldCharType="end"/>
      </w:r>
      <w:r w:rsidRPr="004D46AC">
        <w:t xml:space="preserve">; </w:t>
      </w:r>
      <w:r w:rsidRPr="004D46AC">
        <w:fldChar w:fldCharType="begin">
          <w:fldData xml:space="preserve">PEVuZE5vdGU+PENpdGUgQXV0aG9yWWVhcj0iMSI+PEF1dGhvcj5CZWdlbWFubjwvQXV0aG9yPjxZ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</w:fldData>
        </w:fldChar>
      </w:r>
      <w:r w:rsidRPr="004D46AC">
        <w:instrText xml:space="preserve"> ADDIN EN.CITE </w:instrText>
      </w:r>
      <w:r w:rsidRPr="004D46AC">
        <w:fldChar w:fldCharType="begin">
          <w:fldData xml:space="preserve">PEVuZE5vdGU+PENpdGUgQXV0aG9yWWVhcj0iMSI+PEF1dGhvcj5CZWdlbWFubjwvQXV0aG9yPjxZ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</w:fldData>
        </w:fldChar>
      </w:r>
      <w:r w:rsidRPr="004D46AC">
        <w:instrText xml:space="preserve"> ADDIN EN.CITE.DATA </w:instrText>
      </w:r>
      <w:r w:rsidRPr="004D46AC">
        <w:fldChar w:fldCharType="end"/>
      </w:r>
      <w:r w:rsidRPr="004D46AC">
        <w:fldChar w:fldCharType="separate"/>
      </w:r>
      <w:r w:rsidRPr="004D46AC">
        <w:rPr>
          <w:noProof/>
        </w:rPr>
        <w:t>Begemann et al. (2023)</w:t>
      </w:r>
      <w:r w:rsidRPr="004D46AC">
        <w:fldChar w:fldCharType="end"/>
      </w:r>
      <w:r w:rsidRPr="004D46AC">
        <w:t xml:space="preserve"> reported that the most common form of CA for bipolar I was emotional neglect and emotional abuse for schizophrenia. Quantitative findings on trauma severity are likewise mixed: most studies report comparable levels across nearly all CA dimensions in schizophrenia and bipolar disorder </w:t>
      </w:r>
      <w:r w:rsidRPr="004D46AC">
        <w:fldChar w:fldCharType="begin">
          <w:fldData xml:space="preserve">PEVuZE5vdGU+PENpdGU+PEF1dGhvcj5Qb2xldHRpPC9BdXRob3I+PFllYXI+MjAxNTwvWWVhcj48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</w:fldData>
        </w:fldChar>
      </w:r>
      <w:r w:rsidRPr="004D46AC">
        <w:instrText xml:space="preserve"> ADDIN EN.CITE </w:instrText>
      </w:r>
      <w:r w:rsidRPr="004D46AC">
        <w:fldChar w:fldCharType="begin">
          <w:fldData xml:space="preserve">PEVuZE5vdGU+PENpdGU+PEF1dGhvcj5Qb2xldHRpPC9BdXRob3I+PFllYXI+MjAxNTwvWWVhcj48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</w:fldData>
        </w:fldChar>
      </w:r>
      <w:r w:rsidRPr="004D46AC">
        <w:instrText xml:space="preserve"> ADDIN EN.CITE.DATA </w:instrText>
      </w:r>
      <w:r w:rsidRPr="004D46AC">
        <w:fldChar w:fldCharType="end"/>
      </w:r>
      <w:r w:rsidRPr="004D46AC">
        <w:fldChar w:fldCharType="separate"/>
      </w:r>
      <w:r w:rsidRPr="004D46AC">
        <w:rPr>
          <w:noProof/>
        </w:rPr>
        <w:t>(Cho et al., 2021; Poletti et al., 2015)</w:t>
      </w:r>
      <w:r w:rsidRPr="004D46AC">
        <w:fldChar w:fldCharType="end"/>
      </w:r>
      <w:r w:rsidRPr="004D46AC">
        <w:t xml:space="preserve">; Other work, however, documents inconsistencies among trauma sub-dimensions - </w:t>
      </w:r>
      <w:r w:rsidRPr="004D46AC">
        <w:rPr>
          <w:rFonts w:eastAsiaTheme="minorEastAsia" w:hint="eastAsia"/>
        </w:rPr>
        <w:t xml:space="preserve"> </w:t>
      </w:r>
      <w:r w:rsidRPr="004D46AC">
        <w:t xml:space="preserve">particularly emotional and physical neglect, with some studies observing higher frequencies of these forms of neglect in bipolar disorder, whereas others note the opposite pattern for physical neglect </w:t>
      </w:r>
      <w:r w:rsidRPr="004D46AC">
        <w:fldChar w:fldCharType="begin">
          <w:fldData xml:space="preserve">PEVuZE5vdGU+PENpdGU+PEF1dGhvcj5RdWlkw6k8L0F1dGhvcj48WWVhcj4yMDE5PC9ZZWFyPjxS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</w:fldData>
        </w:fldChar>
      </w:r>
      <w:r w:rsidRPr="004D46AC">
        <w:instrText xml:space="preserve"> ADDIN EN.CITE </w:instrText>
      </w:r>
      <w:r w:rsidRPr="004D46AC">
        <w:fldChar w:fldCharType="begin">
          <w:fldData xml:space="preserve">PEVuZE5vdGU+PENpdGU+PEF1dGhvcj5RdWlkw6k8L0F1dGhvcj48WWVhcj4yMDE5PC9ZZWFyPjxS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</w:fldData>
        </w:fldChar>
      </w:r>
      <w:r w:rsidRPr="004D46AC">
        <w:instrText xml:space="preserve"> ADDIN EN.CITE.DATA </w:instrText>
      </w:r>
      <w:r w:rsidRPr="004D46AC">
        <w:fldChar w:fldCharType="end"/>
      </w:r>
      <w:r w:rsidRPr="004D46AC">
        <w:fldChar w:fldCharType="separate"/>
      </w:r>
      <w:r w:rsidRPr="004D46AC">
        <w:rPr>
          <w:noProof/>
        </w:rPr>
        <w:t>(Quidé et al., 2019; Xie et al., 2018)</w:t>
      </w:r>
      <w:r w:rsidRPr="004D46AC">
        <w:fldChar w:fldCharType="end"/>
      </w:r>
      <w:r w:rsidRPr="004D46AC">
        <w:t>.</w:t>
      </w:r>
    </w:p>
    <w:p w14:paraId="56984237" w14:textId="77777777" w:rsidR="003D5CB6" w:rsidRPr="004D46AC" w:rsidRDefault="003D5CB6" w:rsidP="00B518F1">
      <w:r w:rsidRPr="004D46AC">
        <w:t xml:space="preserve">Its associations with psychopathology and functional outcomes have also been investigated in various populations. </w:t>
      </w:r>
      <w:r w:rsidRPr="004D46AC">
        <w:fldChar w:fldCharType="begin">
          <w:fldData xml:space="preserve">PEVuZE5vdGU+PENpdGUgQXV0aG9yWWVhcj0iMSI+PEF1dGhvcj5BbGFtZWRhPC9BdXRob3I+PFll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</w:fldData>
        </w:fldChar>
      </w:r>
      <w:r w:rsidRPr="004D46AC">
        <w:instrText xml:space="preserve"> ADDIN EN.CITE </w:instrText>
      </w:r>
      <w:r w:rsidRPr="004D46AC">
        <w:fldChar w:fldCharType="begin">
          <w:fldData xml:space="preserve">PEVuZE5vdGU+PENpdGUgQXV0aG9yWWVhcj0iMSI+PEF1dGhvcj5BbGFtZWRhPC9BdXRob3I+PFll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</w:fldData>
        </w:fldChar>
      </w:r>
      <w:r w:rsidRPr="004D46AC">
        <w:instrText xml:space="preserve"> ADDIN EN.CITE.DATA </w:instrText>
      </w:r>
      <w:r w:rsidRPr="004D46AC">
        <w:fldChar w:fldCharType="end"/>
      </w:r>
      <w:r w:rsidRPr="004D46AC">
        <w:fldChar w:fldCharType="separate"/>
      </w:r>
      <w:r w:rsidRPr="004D46AC">
        <w:rPr>
          <w:noProof/>
        </w:rPr>
        <w:t>Alameda et al. (2021)</w:t>
      </w:r>
      <w:r w:rsidRPr="004D46AC">
        <w:fldChar w:fldCharType="end"/>
      </w:r>
      <w:r w:rsidRPr="004D46AC">
        <w:t xml:space="preserve"> synthesised existing literature about its affinity with psychopathology in psychiatric patients and found strong correlations between general CA and positive as well as depressive symptoms, with the latter exhibited the most consistent effect; The most influential trauma type on symptoms were as follows: positive and depressive symptoms (emotional abuse), negative symptoms (physical/emotional neglect), disorganisation (general CA), and manic symptoms (sexual abuse). Another review regarding the trauma and functioning in patients found consistent associations between decreased general functioning and history of CAs such as emotional abuse/neglect and physical neglect among psychiatric patients; for relationship between </w:t>
      </w:r>
      <w:r w:rsidRPr="004D46AC">
        <w:lastRenderedPageBreak/>
        <w:t xml:space="preserve">specific functioning (general, social) and CA, the results remained less explored and largely heterogenous </w:t>
      </w:r>
      <w:r w:rsidRPr="004D46AC">
        <w:fldChar w:fldCharType="begin">
          <w:fldData xml:space="preserve">PEVuZE5vdGU+PENpdGU+PEF1dGhvcj5DaHJpc3R5PC9BdXRob3I+PFllYXI+MjAyMzwvWWVhcj48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=
</w:fldData>
        </w:fldChar>
      </w:r>
      <w:r w:rsidRPr="004D46AC">
        <w:instrText xml:space="preserve"> ADDIN EN.CITE </w:instrText>
      </w:r>
      <w:r w:rsidRPr="004D46AC">
        <w:fldChar w:fldCharType="begin">
          <w:fldData xml:space="preserve">PEVuZE5vdGU+PENpdGU+PEF1dGhvcj5DaHJpc3R5PC9BdXRob3I+PFllYXI+MjAyMzwvWWVhcj48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=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rPr>
          <w:noProof/>
        </w:rPr>
        <w:t>(Christy et al., 2023)</w:t>
      </w:r>
      <w:r w:rsidRPr="004D46AC">
        <w:fldChar w:fldCharType="end"/>
      </w:r>
      <w:r w:rsidRPr="004D46AC">
        <w:t>; CA likely contributes to the variance observed in neurocognitive</w:t>
      </w:r>
      <w:r w:rsidRPr="004D46AC">
        <w:rPr>
          <w:rFonts w:eastAsiaTheme="minorEastAsia"/>
        </w:rPr>
        <w:t xml:space="preserve"> impairments </w:t>
      </w:r>
      <w:r w:rsidRPr="004D46AC">
        <w:t>as well as morphological change in the brain among patients with major psychoses</w:t>
      </w:r>
      <w:r w:rsidRPr="004D46AC">
        <w:rPr>
          <w:rFonts w:eastAsiaTheme="minorEastAsia"/>
        </w:rPr>
        <w:t xml:space="preserve"> </w:t>
      </w:r>
      <w:r w:rsidRPr="004D46AC">
        <w:fldChar w:fldCharType="begin">
          <w:fldData xml:space="preserve">PEVuZE5vdGU+PENpdGU+PEF1dGhvcj5WYXJnYXM8L0F1dGhvcj48WWVhcj4yMDE5PC9ZZWFyPjxS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</w:fldData>
        </w:fldChar>
      </w:r>
      <w:r w:rsidRPr="004D46AC">
        <w:instrText xml:space="preserve"> ADDIN EN.CITE </w:instrText>
      </w:r>
      <w:r w:rsidRPr="004D46AC">
        <w:fldChar w:fldCharType="begin">
          <w:fldData xml:space="preserve">PEVuZE5vdGU+PENpdGU+PEF1dGhvcj5WYXJnYXM8L0F1dGhvcj48WWVhcj4yMDE5PC9ZZWFyPjxS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</w:fldData>
        </w:fldChar>
      </w:r>
      <w:r w:rsidRPr="004D46AC">
        <w:instrText xml:space="preserve"> ADDIN EN.CITE.DATA </w:instrText>
      </w:r>
      <w:r w:rsidRPr="004D46AC">
        <w:fldChar w:fldCharType="end"/>
      </w:r>
      <w:r w:rsidRPr="004D46AC">
        <w:fldChar w:fldCharType="separate"/>
      </w:r>
      <w:r w:rsidRPr="004D46AC">
        <w:rPr>
          <w:noProof/>
        </w:rPr>
        <w:t>(Begemann et al., 2023; Vargas et al., 2019)</w:t>
      </w:r>
      <w:r w:rsidRPr="004D46AC">
        <w:fldChar w:fldCharType="end"/>
      </w:r>
      <w:r w:rsidRPr="004D46AC">
        <w:t xml:space="preserve">, though more studies are needed to confirm this. </w:t>
      </w:r>
    </w:p>
    <w:p w14:paraId="2A3123A7" w14:textId="77777777" w:rsidR="003D5CB6" w:rsidRPr="004D46AC" w:rsidRDefault="003D5CB6" w:rsidP="00B518F1">
      <w:r w:rsidRPr="004D46AC">
        <w:t xml:space="preserve">Recent work has turned from global links between CA and psychosis to the finer question of developmental pathways from traumatic events to different types of psychotic symptoms. Robust evidence connects CA to psychotic phenomena in general, yet symptom-level patterns are emerging. </w:t>
      </w:r>
      <w:r w:rsidRPr="004D46AC">
        <w:fldChar w:fldCharType="begin"/>
      </w:r>
      <w:r w:rsidRPr="004D46AC">
        <w:instrText xml:space="preserve"> ADDIN EN.CITE &lt;EndNote&gt;&lt;Cite AuthorYear="1"&gt;&lt;Author&gt;Bentall&lt;/Author&gt;&lt;Year&gt;2014&lt;/Year&gt;&lt;RecNum&gt;463&lt;/RecNum&gt;&lt;DisplayText&gt;Bentall et al. (2014)&lt;/DisplayText&gt;&lt;record&gt;&lt;rec-number&gt;463&lt;/rec-number&gt;&lt;foreign-keys&gt;&lt;key app="EN" db-id="aet009sstawa0hewvt3xwf5atffdw2dt02sw" timestamp="1702571891"&gt;463&lt;/key&gt;&lt;/foreign-keys&gt;&lt;ref-type name="Journal Article"&gt;17&lt;/ref-type&gt;&lt;contributors&gt;&lt;authors&gt;&lt;author&gt;Bentall, R. P.&lt;/author&gt;&lt;author&gt;de Sousa, P.&lt;/author&gt;&lt;author&gt;Varese, F.&lt;/author&gt;&lt;author&gt;Wickham, S.&lt;/author&gt;&lt;author&gt;Sitko, K.&lt;/author&gt;&lt;author&gt;Haarmans, M.&lt;/author&gt;&lt;author&gt;Read, J.&lt;/author&gt;&lt;/authors&gt;&lt;/contributors&gt;&lt;auth-address&gt;University of Liverpool, Liverpool, UK, richard.bentall@liverpool.ac.uk.&lt;/auth-address&gt;&lt;titles&gt;&lt;title&gt;From adversity to psychosis: pathways and mechanisms from specific adversities to specific symptoms&lt;/title&gt;&lt;secondary-title&gt;Soc Psychiatry Psychiatr Epidemiol&lt;/secondary-title&gt;&lt;/titles&gt;&lt;periodical&gt;&lt;full-title&gt;Soc Psychiatry Psychiatr Epidemiol&lt;/full-title&gt;&lt;/periodical&gt;&lt;pages&gt;1011-22&lt;/pages&gt;&lt;volume&gt;49&lt;/volume&gt;&lt;number&gt;7&lt;/number&gt;&lt;edition&gt;20140612&lt;/edition&gt;&lt;keywords&gt;&lt;keyword&gt;Delusions/etiology/psychology&lt;/keyword&gt;&lt;keyword&gt;Environment&lt;/keyword&gt;&lt;keyword&gt;Hallucinations/etiology/psychology&lt;/keyword&gt;&lt;keyword&gt;Humans&lt;/keyword&gt;&lt;keyword&gt;Psychotic Disorders/*etiology/*psychology&lt;/keyword&gt;&lt;keyword&gt;Risk Factors&lt;/keyword&gt;&lt;keyword&gt;Stress, Psychological&lt;/keyword&gt;&lt;/keywords&gt;&lt;dates&gt;&lt;year&gt;2014&lt;/year&gt;&lt;pub-dates&gt;&lt;date&gt;Jul&lt;/date&gt;&lt;/pub-dates&gt;&lt;/dates&gt;&lt;isbn&gt;1433-9285 (Electronic)&amp;#xD;0933-7954 (Linking)&lt;/isbn&gt;&lt;accession-num&gt;24919446&lt;/accession-num&gt;&lt;urls&gt;&lt;related-urls&gt;&lt;url&gt;https://www.ncbi.nlm.nih.gov/pubmed/24919446&lt;/url&gt;&lt;/related-urls&gt;&lt;/urls&gt;&lt;electronic-resource-num&gt;10.1007/s00127-014-0914-0&lt;/electronic-resource-num&gt;&lt;remote-database-name&gt;Medline&lt;/remote-database-name&gt;&lt;remote-database-provider&gt;NLM&lt;/remote-database-provider&gt;&lt;/record&gt;&lt;/Cite&gt;&lt;/EndNote&gt;</w:instrText>
      </w:r>
      <w:r w:rsidRPr="004D46AC">
        <w:fldChar w:fldCharType="separate"/>
      </w:r>
      <w:r w:rsidRPr="004D46AC">
        <w:rPr>
          <w:noProof/>
        </w:rPr>
        <w:t>Bentall et al. (2014)</w:t>
      </w:r>
      <w:r w:rsidRPr="004D46AC">
        <w:fldChar w:fldCharType="end"/>
      </w:r>
      <w:r w:rsidRPr="004D46AC">
        <w:t xml:space="preserve"> reported that physical abuse elevated the risk of both hallucinations and paranoia, whereas sexual abuse and institutional care predicted auditory hallucinations and paranoia, respectively, with a clear dose-response across multiple adversities. In a bipolar sample, </w:t>
      </w:r>
      <w:r w:rsidRPr="004D46AC">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 </w:instrText>
      </w:r>
      <w:r w:rsidRPr="004D46AC">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EN.CITE.DATA </w:instrText>
      </w:r>
      <w:r w:rsidRPr="004D46AC">
        <w:fldChar w:fldCharType="end"/>
      </w:r>
      <w:r w:rsidRPr="004D46AC">
        <w:fldChar w:fldCharType="separate"/>
      </w:r>
      <w:r w:rsidRPr="004D46AC">
        <w:rPr>
          <w:noProof/>
        </w:rPr>
        <w:t>Upthegrove et al. (2015)</w:t>
      </w:r>
      <w:r w:rsidRPr="004D46AC">
        <w:fldChar w:fldCharType="end"/>
      </w:r>
      <w:r w:rsidRPr="004D46AC">
        <w:t xml:space="preserve"> found that abuse</w:t>
      </w:r>
      <w:r w:rsidRPr="004D46AC">
        <w:rPr>
          <w:rFonts w:eastAsiaTheme="minorEastAsia" w:hint="eastAsia"/>
        </w:rPr>
        <w:t xml:space="preserve"> -</w:t>
      </w:r>
      <w:r w:rsidRPr="004D46AC">
        <w:t xml:space="preserve"> especially sexual or physical - was uniquely related to grandiose delusions and any hallucination, while composite psychosis scores were not predicted by CA. Among youth at familial risk for bipolar disorder or schizophrenia, CA predicted delusions but not hallucinations, and no dose-effect emerged </w:t>
      </w:r>
      <w:r w:rsidRPr="004D46AC">
        <w:fldChar w:fldCharType="begin">
          <w:fldData xml:space="preserve">PEVuZE5vdGU+PENpdGU+PEF1dGhvcj5CcmFuZHQ8L0F1dGhvcj48WWVhcj4yMDIzPC9ZZWFyPjxS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</w:fldData>
        </w:fldChar>
      </w:r>
      <w:r w:rsidRPr="004D46AC">
        <w:instrText xml:space="preserve"> ADDIN EN.CITE </w:instrText>
      </w:r>
      <w:r w:rsidRPr="004D46AC">
        <w:fldChar w:fldCharType="begin">
          <w:fldData xml:space="preserve">PEVuZE5vdGU+PENpdGU+PEF1dGhvcj5CcmFuZHQ8L0F1dGhvcj48WWVhcj4yMDIzPC9ZZWFyPjxS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</w:fldData>
        </w:fldChar>
      </w:r>
      <w:r w:rsidRPr="004D46AC">
        <w:instrText xml:space="preserve"> ADDIN EN.CITE.DATA </w:instrText>
      </w:r>
      <w:r w:rsidRPr="004D46AC">
        <w:fldChar w:fldCharType="end"/>
      </w:r>
      <w:r w:rsidRPr="004D46AC">
        <w:fldChar w:fldCharType="separate"/>
      </w:r>
      <w:r w:rsidRPr="004D46AC">
        <w:rPr>
          <w:noProof/>
        </w:rPr>
        <w:t>(Brandt et al., 2023)</w:t>
      </w:r>
      <w:r w:rsidRPr="004D46AC">
        <w:fldChar w:fldCharType="end"/>
      </w:r>
      <w:r w:rsidRPr="004D46AC">
        <w:t xml:space="preserve">. Gene-environment research echoes this heterogeneity: childhood trauma intensified positive symptoms in those with a high bipolar PRS but dampened them in individuals with a high schizophrenia PRS </w:t>
      </w:r>
      <w:r w:rsidRPr="004D46AC">
        <w:fldChar w:fldCharType="begin">
          <w:fldData xml:space="preserve">PEVuZE5vdGU+PENpdGU+PEF1dGhvcj5BbGFtZWRhPC9BdXRob3I+PFllYXI+MjAyNDwvWWVhcj48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</w:fldData>
        </w:fldChar>
      </w:r>
      <w:r w:rsidRPr="004D46AC">
        <w:instrText xml:space="preserve"> ADDIN EN.CITE </w:instrText>
      </w:r>
      <w:r w:rsidRPr="004D46AC">
        <w:fldChar w:fldCharType="begin">
          <w:fldData xml:space="preserve">PEVuZE5vdGU+PENpdGU+PEF1dGhvcj5BbGFtZWRhPC9BdXRob3I+PFllYXI+MjAyNDwvWWVhcj48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</w:fldData>
        </w:fldChar>
      </w:r>
      <w:r w:rsidRPr="004D46AC">
        <w:instrText xml:space="preserve"> ADDIN EN.CITE.DATA </w:instrText>
      </w:r>
      <w:r w:rsidRPr="004D46AC">
        <w:fldChar w:fldCharType="end"/>
      </w:r>
      <w:r w:rsidRPr="004D46AC">
        <w:fldChar w:fldCharType="separate"/>
      </w:r>
      <w:r w:rsidRPr="004D46AC">
        <w:rPr>
          <w:noProof/>
        </w:rPr>
        <w:t>(Alameda et al., 2024)</w:t>
      </w:r>
      <w:r w:rsidRPr="004D46AC">
        <w:fldChar w:fldCharType="end"/>
      </w:r>
      <w:r w:rsidRPr="004D46AC">
        <w:t>, suggesting that people who have experienced trauma and carry substantial schizophrenia genetic risk may actually be less vulnerable to trauma-related positive symptoms.</w:t>
      </w:r>
    </w:p>
    <w:p w14:paraId="3A31982F" w14:textId="77777777" w:rsidR="003D5CB6" w:rsidRPr="004D46AC" w:rsidRDefault="003D5CB6" w:rsidP="00B518F1">
      <w:pPr>
        <w:rPr>
          <w:rFonts w:eastAsiaTheme="minorEastAsia"/>
        </w:rPr>
      </w:pPr>
      <w:r w:rsidRPr="004D46AC">
        <w:t xml:space="preserve">In summary, CA is a common risk factor for bipolar disorder and schizophrenia as well as other psychiatric conditions. The distribution of the CAs in different diagnoses is still debatable. Similarly, the relationships between specific CA and specific psychopathologies in these populations remain largely inconsistent, especially for mania symptoms. Moreover, the physical neglect emerges as a strong predictor of specific psychosis such as delusions in patients with schizophrenia and bipolar disorder; however, this pattern has not been replicated in youth at risk for </w:t>
      </w:r>
      <w:r w:rsidRPr="004D46AC">
        <w:rPr>
          <w:rFonts w:eastAsiaTheme="minorEastAsia" w:hint="eastAsia"/>
        </w:rPr>
        <w:t>severe mental illnesses</w:t>
      </w:r>
      <w:r w:rsidRPr="004D46AC">
        <w:t xml:space="preserve">, and the inconsistencies in the </w:t>
      </w:r>
      <w:r w:rsidRPr="004D46AC">
        <w:lastRenderedPageBreak/>
        <w:t xml:space="preserve">interaction between gene and CAs suggest the pathways between CAs and symptoms or diagnoses are extremely </w:t>
      </w:r>
      <w:r w:rsidRPr="004D46AC">
        <w:rPr>
          <w:rFonts w:eastAsiaTheme="minorEastAsia"/>
        </w:rPr>
        <w:t>intricate</w:t>
      </w:r>
      <w:r w:rsidRPr="004D46AC">
        <w:t xml:space="preserve">, which warrants further research to reveal the underlying mechanisms.  </w:t>
      </w:r>
    </w:p>
    <w:p w14:paraId="1BA806BD" w14:textId="77777777" w:rsidR="003D5CB6" w:rsidRPr="004D46AC" w:rsidRDefault="003D5CB6" w:rsidP="00B518F1">
      <w:pPr>
        <w:pStyle w:val="4"/>
      </w:pPr>
      <w:r w:rsidRPr="004D46AC">
        <w:t>Family related constructs</w:t>
      </w:r>
    </w:p>
    <w:p w14:paraId="181734F6" w14:textId="77777777" w:rsidR="003D5CB6" w:rsidRPr="004D46AC" w:rsidRDefault="003D5CB6" w:rsidP="00B518F1">
      <w:pPr>
        <w:rPr>
          <w:rFonts w:eastAsiaTheme="minorEastAsia"/>
        </w:rPr>
      </w:pPr>
      <w:r w:rsidRPr="004D46AC">
        <w:rPr>
          <w:rFonts w:eastAsiaTheme="minorEastAsia"/>
        </w:rPr>
        <w:t xml:space="preserve">Parenting methods serve as an important facilitator in the path of human development. Negative parenting may affect the children’s psychosocial developmental and predispose individuals to psychiatric conditions. Early research categorised parenting styles based on levels of care and protection, resulting in four distinct patterns: high or low care crossed with high or low protection </w:t>
      </w:r>
      <w:r w:rsidRPr="004D46AC">
        <w:rPr>
          <w:rFonts w:eastAsiaTheme="minorEastAsia"/>
        </w:rPr>
        <w:fldChar w:fldCharType="begin"/>
      </w:r>
      <w:r w:rsidRPr="004D46AC">
        <w:rPr>
          <w:rFonts w:eastAsiaTheme="minorEastAsia"/>
        </w:rPr>
        <w:instrText xml:space="preserve"> ADDIN EN.CITE &lt;EndNote&gt;&lt;Cite&gt;&lt;Author&gt;Favaretto&lt;/Author&gt;&lt;Year&gt;1997&lt;/Year&gt;&lt;RecNum&gt;1074&lt;/RecNum&gt;&lt;DisplayText&gt;(Favaretto &amp;amp; Torresani, 1997)&lt;/DisplayText&gt;&lt;record&gt;&lt;rec-number&gt;1074&lt;/rec-number&gt;&lt;foreign-keys&gt;&lt;key app="EN" db-id="aet009sstawa0hewvt3xwf5atffdw2dt02sw" timestamp="1748641667"&gt;1074&lt;/key&gt;&lt;/foreign-keys&gt;&lt;ref-type name="Journal Article"&gt;17&lt;/ref-type&gt;&lt;contributors&gt;&lt;authors&gt;&lt;author&gt;Favaretto, Ettore&lt;/author&gt;&lt;author&gt;Torresani, Stefano&lt;/author&gt;&lt;/authors&gt;&lt;/contributors&gt;&lt;titles&gt;&lt;title&gt;The parental bonding as predictive factor for the development of adult psychiatric disorders&lt;/title&gt;&lt;secondary-title&gt;Epidemiologia e Psichiatria Sociale&lt;/secondary-title&gt;&lt;/titles&gt;&lt;periodical&gt;&lt;full-title&gt;Epidemiologia e Psichiatria Sociale&lt;/full-title&gt;&lt;/periodical&gt;&lt;pages&gt;124-138&lt;/pages&gt;&lt;volume&gt;6&lt;/volume&gt;&lt;number&gt;2&lt;/number&gt;&lt;edition&gt;2011/10/11&lt;/edition&gt;&lt;keywords&gt;&lt;keyword&gt;disturbi psichiatrici.&lt;/keyword&gt;&lt;keyword&gt;legame genitoriale&lt;/keyword&gt;&lt;keyword&gt;parental bonding&lt;/keyword&gt;&lt;keyword&gt;psychiatric disorders.&lt;/keyword&gt;&lt;/keywords&gt;&lt;dates&gt;&lt;year&gt;1997&lt;/year&gt;&lt;/dates&gt;&lt;publisher&gt;Cambridge University Press&lt;/publisher&gt;&lt;isbn&gt;1121-189X&lt;/isbn&gt;&lt;urls&gt;&lt;related-urls&gt;&lt;url&gt;https://www.cambridge.org/core/product/C669AE7560DF71DF13C09F02D3843CD2&lt;/url&gt;&lt;/related-urls&gt;&lt;/urls&gt;&lt;electronic-resource-num&gt;10.1017/S1121189X00004929&lt;/electronic-resource-num&gt;&lt;remote-database-name&gt;Cambridge Core&lt;/remote-database-name&gt;&lt;remote-database-provider&gt;Cambridge University Press&lt;/remote-database-provider&gt;&lt;/record&gt;&lt;/Cite&gt;&lt;/EndNote&gt;</w:instrText>
      </w:r>
      <w:r w:rsidRPr="004D46AC">
        <w:rPr>
          <w:rFonts w:eastAsiaTheme="minorEastAsia"/>
        </w:rPr>
        <w:fldChar w:fldCharType="separate"/>
      </w:r>
      <w:r w:rsidRPr="004D46AC">
        <w:rPr>
          <w:rFonts w:eastAsiaTheme="minorEastAsia"/>
          <w:noProof/>
        </w:rPr>
        <w:t>(Favaretto &amp; Torresani, 1997)</w:t>
      </w:r>
      <w:r w:rsidRPr="004D46AC">
        <w:rPr>
          <w:rFonts w:eastAsiaTheme="minorEastAsia"/>
        </w:rPr>
        <w:fldChar w:fldCharType="end"/>
      </w:r>
      <w:r w:rsidRPr="004D46AC">
        <w:rPr>
          <w:rFonts w:eastAsiaTheme="minorEastAsia"/>
        </w:rPr>
        <w:t xml:space="preserve">; findings suggested that a parenting style characterised by high control and low care - termed affectionless control - was commonly associated with increased risk for various psychiatric disorders. While this style was prevalent among individuals with schizophrenia and affective disorders, it was not consistently observed in bipolar disorder. This inconsistency may reflect individual differences in the perception of parental bonding or suggest heterogeneity within bipolar populations. Studies focused on at-risk populations and healthy individuals using this scale have also found a consistent pattern linking overprotection to psychopathology and poorer functioning. For example, affectionless control was associated with subclinical anxiety and schizophrenia symptoms </w:t>
      </w:r>
      <w:r w:rsidRPr="004D46AC">
        <w:rPr>
          <w:rFonts w:eastAsiaTheme="minorEastAsia"/>
        </w:rPr>
        <w:fldChar w:fldCharType="begin"/>
      </w:r>
      <w:r w:rsidRPr="004D46AC">
        <w:rPr>
          <w:rFonts w:eastAsiaTheme="minorEastAsia"/>
        </w:rPr>
        <w:instrText xml:space="preserve"> ADDIN EN.CITE &lt;EndNote&gt;&lt;Cite&gt;&lt;Author&gt;Giakoumaki&lt;/Author&gt;&lt;Year&gt;2013&lt;/Year&gt;&lt;RecNum&gt;1076&lt;/RecNum&gt;&lt;DisplayText&gt;(Giakoumaki et al., 2013)&lt;/DisplayText&gt;&lt;record&gt;&lt;rec-number&gt;1076&lt;/rec-number&gt;&lt;foreign-keys&gt;&lt;key app="EN" db-id="aet009sstawa0hewvt3xwf5atffdw2dt02sw" timestamp="1748642562"&gt;1076&lt;/key&gt;&lt;/foreign-keys&gt;&lt;ref-type name="Journal Article"&gt;17&lt;/ref-type&gt;&lt;contributors&gt;&lt;authors&gt;&lt;author&gt;Giakoumaki, S. G.&lt;/author&gt;&lt;author&gt;Roussos, P.&lt;/author&gt;&lt;author&gt;Zouraraki, C.&lt;/author&gt;&lt;author&gt;Spanoudakis, E.&lt;/author&gt;&lt;author&gt;Mavrikaki, M.&lt;/author&gt;&lt;author&gt;Tsapakis, E. M.&lt;/author&gt;&lt;author&gt;Bitsios, P.&lt;/author&gt;&lt;/authors&gt;&lt;/contributors&gt;&lt;titles&gt;&lt;title&gt;Sub-optimal parenting is associated with schizotypic and anxiety personality traits in adulthood&lt;/title&gt;&lt;secondary-title&gt;European Psychiatry&lt;/secondary-title&gt;&lt;/titles&gt;&lt;periodical&gt;&lt;full-title&gt;European Psychiatry&lt;/full-title&gt;&lt;/periodical&gt;&lt;pages&gt;254-260&lt;/pages&gt;&lt;volume&gt;28&lt;/volume&gt;&lt;number&gt;4&lt;/number&gt;&lt;edition&gt;2012/10/10&lt;/edition&gt;&lt;keywords&gt;&lt;keyword&gt;Anxiety&lt;/keyword&gt;&lt;keyword&gt;Parental Bonding Instrument&lt;/keyword&gt;&lt;keyword&gt;Personality&lt;/keyword&gt;&lt;keyword&gt;Schizophrenia and psychosis&lt;/keyword&gt;&lt;keyword&gt;Schizotypy&lt;/keyword&gt;&lt;/keywords&gt;&lt;dates&gt;&lt;year&gt;2013&lt;/year&gt;&lt;/dates&gt;&lt;publisher&gt;Cambridge University Press&lt;/publisher&gt;&lt;isbn&gt;0924-9338&lt;/isbn&gt;&lt;urls&gt;&lt;related-urls&gt;&lt;url&gt;https://www.cambridge.org/core/product/091AC827B97FFBA08E08DD2E49B3CA34&lt;/url&gt;&lt;/related-urls&gt;&lt;/urls&gt;&lt;electronic-resource-num&gt;10.1016/j.eurpsy.2012.07.002&lt;/electronic-resource-num&gt;&lt;remote-database-name&gt;Cambridge Core&lt;/remote-database-name&gt;&lt;remote-database-provider&gt;Cambridge University Press&lt;/remote-database-provider&gt;&lt;/record&gt;&lt;/Cite&gt;&lt;/EndNote&gt;</w:instrText>
      </w:r>
      <w:r w:rsidRPr="004D46AC">
        <w:rPr>
          <w:rFonts w:eastAsiaTheme="minorEastAsia"/>
        </w:rPr>
        <w:fldChar w:fldCharType="separate"/>
      </w:r>
      <w:r w:rsidRPr="004D46AC">
        <w:rPr>
          <w:rFonts w:eastAsiaTheme="minorEastAsia"/>
          <w:noProof/>
        </w:rPr>
        <w:t>(Giakoumaki et al., 2013)</w:t>
      </w:r>
      <w:r w:rsidRPr="004D46AC">
        <w:rPr>
          <w:rFonts w:eastAsiaTheme="minorEastAsia"/>
        </w:rPr>
        <w:fldChar w:fldCharType="end"/>
      </w:r>
      <w:r w:rsidRPr="004D46AC">
        <w:rPr>
          <w:rFonts w:eastAsiaTheme="minorEastAsia"/>
        </w:rPr>
        <w:t xml:space="preserve">. Similarly, overprotection - particularly maternal low care and high protection - was more frequently observed in UHR populations and was associated with more severe symptoms and reduced functioning </w:t>
      </w:r>
      <w:r w:rsidRPr="004D46AC">
        <w:rPr>
          <w:rFonts w:eastAsiaTheme="minorEastAsia"/>
        </w:rPr>
        <w:fldChar w:fldCharType="begin"/>
      </w:r>
      <w:r w:rsidRPr="004D46AC">
        <w:rPr>
          <w:rFonts w:eastAsiaTheme="minorEastAsia"/>
        </w:rPr>
        <w:instrText xml:space="preserve"> ADDIN EN.CITE &lt;EndNote&gt;&lt;Cite&gt;&lt;Author&gt;Peh&lt;/Author&gt;&lt;Year&gt;2020&lt;/Year&gt;&lt;RecNum&gt;1075&lt;/RecNum&gt;&lt;DisplayText&gt;(Peh et al., 2020)&lt;/DisplayText&gt;&lt;record&gt;&lt;rec-number&gt;1075&lt;/rec-number&gt;&lt;foreign-keys&gt;&lt;key app="EN" db-id="aet009sstawa0hewvt3xwf5atffdw2dt02sw" timestamp="1748642521"&gt;1075&lt;/key&gt;&lt;/foreign-keys&gt;&lt;ref-type name="Journal Article"&gt;17&lt;/ref-type&gt;&lt;contributors&gt;&lt;authors&gt;&lt;author&gt;Peh, Oon Him&lt;/author&gt;&lt;author&gt;Rapisarda, Attilio&lt;/author&gt;&lt;author&gt;Lee, Jimmy&lt;/author&gt;&lt;/authors&gt;&lt;/contributors&gt;&lt;titles&gt;&lt;title&gt;Quality of parental bonding is associated with symptom severity and functioning among individuals at ultra-high risk for psychosis&lt;/title&gt;&lt;secondary-title&gt;Schizophrenia Research&lt;/secondary-title&gt;&lt;/titles&gt;&lt;periodical&gt;&lt;full-title&gt;Schizophrenia Research&lt;/full-title&gt;&lt;/periodical&gt;&lt;pages&gt;204-210&lt;/pages&gt;&lt;volume&gt;215&lt;/volume&gt;&lt;keywords&gt;&lt;keyword&gt;Schizophrenia&lt;/keyword&gt;&lt;keyword&gt;Ultra-high risk&lt;/keyword&gt;&lt;keyword&gt;Parental bonding&lt;/keyword&gt;&lt;keyword&gt;Child psychiatry&lt;/keyword&gt;&lt;keyword&gt;Parent-child relations&lt;/keyword&gt;&lt;/keywords&gt;&lt;dates&gt;&lt;year&gt;2020&lt;/year&gt;&lt;pub-dates&gt;&lt;date&gt;2020/01/01/&lt;/date&gt;&lt;/pub-dates&gt;&lt;/dates&gt;&lt;isbn&gt;0920-9964&lt;/isbn&gt;&lt;urls&gt;&lt;related-urls&gt;&lt;url&gt;https://www.sciencedirect.com/science/article/pii/S0920996419304645&lt;/url&gt;&lt;/related-urls&gt;&lt;/urls&gt;&lt;electronic-resource-num&gt;https://doi.org/10.1016/j.schres.2019.10.029&lt;/electronic-resource-num&gt;&lt;/record&gt;&lt;/Cite&gt;&lt;/EndNote&gt;</w:instrText>
      </w:r>
      <w:r w:rsidRPr="004D46AC">
        <w:rPr>
          <w:rFonts w:eastAsiaTheme="minorEastAsia"/>
        </w:rPr>
        <w:fldChar w:fldCharType="separate"/>
      </w:r>
      <w:r w:rsidRPr="004D46AC">
        <w:rPr>
          <w:rFonts w:eastAsiaTheme="minorEastAsia"/>
          <w:noProof/>
        </w:rPr>
        <w:t>(Peh et al., 2020)</w:t>
      </w:r>
      <w:r w:rsidRPr="004D46AC">
        <w:rPr>
          <w:rFonts w:eastAsiaTheme="minorEastAsia"/>
        </w:rPr>
        <w:fldChar w:fldCharType="end"/>
      </w:r>
      <w:r w:rsidRPr="004D46AC">
        <w:rPr>
          <w:rFonts w:eastAsiaTheme="minorEastAsia"/>
        </w:rPr>
        <w:t xml:space="preserve">. Another study identified a similar pattern of perceived parenting, with both schizophrenia and bipolar patients often reporting their upbringing as flawless and their families as resilient and flexible in coping with challenges </w:t>
      </w:r>
      <w:r w:rsidRPr="004D46AC">
        <w:rPr>
          <w:rFonts w:eastAsiaTheme="minorEastAsia"/>
        </w:rPr>
        <w:fldChar w:fldCharType="begin"/>
      </w:r>
      <w:r w:rsidRPr="004D46AC">
        <w:rPr>
          <w:rFonts w:eastAsiaTheme="minorEastAsia"/>
        </w:rPr>
        <w:instrText xml:space="preserve"> ADDIN EN.CITE &lt;EndNote&gt;&lt;Cite&gt;&lt;Author&gt;Rabei&lt;/Author&gt;&lt;Year&gt;2018&lt;/Year&gt;&lt;RecNum&gt;1077&lt;/RecNum&gt;&lt;DisplayText&gt;(Rabei, 2018)&lt;/DisplayText&gt;&lt;record&gt;&lt;rec-number&gt;1077&lt;/rec-number&gt;&lt;foreign-keys&gt;&lt;key app="EN" db-id="aet009sstawa0hewvt3xwf5atffdw2dt02sw" timestamp="1748644140"&gt;1077&lt;/key&gt;&lt;/foreign-keys&gt;&lt;ref-type name="Journal Article"&gt;17&lt;/ref-type&gt;&lt;contributors&gt;&lt;authors&gt;&lt;author&gt;Rabei, Samah H.&lt;/author&gt;&lt;/authors&gt;&lt;/contributors&gt;&lt;titles&gt;&lt;title&gt;Family assessment among patients with various mental disorders&lt;/title&gt;&lt;secondary-title&gt;Middle East Current Psychiatry&lt;/secondary-title&gt;&lt;/titles&gt;&lt;periodical&gt;&lt;full-title&gt;Middle East Current Psychiatry&lt;/full-title&gt;&lt;/periodical&gt;&lt;volume&gt;25&lt;/volume&gt;&lt;number&gt;2&lt;/number&gt;&lt;keywords&gt;&lt;keyword&gt;family assessment&lt;/keyword&gt;&lt;keyword&gt;polysubstance abuse patients&lt;/keyword&gt;&lt;keyword&gt;psychotic patients&lt;/keyword&gt;&lt;/keywords&gt;&lt;dates&gt;&lt;year&gt;2018&lt;/year&gt;&lt;/dates&gt;&lt;isbn&gt;2090-5416&lt;/isbn&gt;&lt;urls&gt;&lt;related-urls&gt;&lt;url&gt;https://journals.lww.com/mecpsychiatry/fulltext/2018/04000/family_assessment_among_patients_with_various.5.aspx&lt;/url&gt;&lt;/related-urls&gt;&lt;/urls&gt;&lt;/record&gt;&lt;/Cite&gt;&lt;/EndNote&gt;</w:instrText>
      </w:r>
      <w:r w:rsidRPr="004D46AC">
        <w:rPr>
          <w:rFonts w:eastAsiaTheme="minorEastAsia"/>
        </w:rPr>
        <w:fldChar w:fldCharType="separate"/>
      </w:r>
      <w:r w:rsidRPr="004D46AC">
        <w:rPr>
          <w:rFonts w:eastAsiaTheme="minorEastAsia"/>
          <w:noProof/>
        </w:rPr>
        <w:t>(Rabei, 2018)</w:t>
      </w:r>
      <w:r w:rsidRPr="004D46AC">
        <w:rPr>
          <w:rFonts w:eastAsiaTheme="minorEastAsia"/>
        </w:rPr>
        <w:fldChar w:fldCharType="end"/>
      </w:r>
      <w:r w:rsidRPr="004D46AC">
        <w:rPr>
          <w:rFonts w:eastAsiaTheme="minorEastAsia"/>
        </w:rPr>
        <w:t xml:space="preserve">. However, this idealised perception stood in contrast to reports of poor communication and cold, controlling parent-child relationships, which were prevalent among psychiatric patients. These findings underscore individual differences in the perception of parenting styles, even when they appear inconsistent with observable relational dynamics. Nonetheless, the generalisability of these results is limited due to the small sample size, cultural differences and the absence of a healthy control </w:t>
      </w:r>
      <w:r w:rsidRPr="004D46AC">
        <w:rPr>
          <w:rFonts w:eastAsiaTheme="minorEastAsia"/>
        </w:rPr>
        <w:lastRenderedPageBreak/>
        <w:t xml:space="preserve">group. </w:t>
      </w:r>
      <w:r w:rsidRPr="004D46AC">
        <w:rPr>
          <w:rFonts w:eastAsiaTheme="minorEastAsia"/>
        </w:rPr>
        <w:fldChar w:fldCharType="begin"/>
      </w:r>
      <w:r w:rsidRPr="004D46AC">
        <w:rPr>
          <w:rFonts w:eastAsiaTheme="minorEastAsia"/>
        </w:rPr>
        <w:instrText xml:space="preserve"> ADDIN EN.CITE &lt;EndNote&gt;&lt;Cite AuthorYear="1"&gt;&lt;Author&gt;Abbaspour&lt;/Author&gt;&lt;Year&gt;2021&lt;/Year&gt;&lt;RecNum&gt;1078&lt;/RecNum&gt;&lt;DisplayText&gt;Abbaspour et al. (2021)&lt;/DisplayText&gt;&lt;record&gt;&lt;rec-number&gt;1078&lt;/rec-number&gt;&lt;foreign-keys&gt;&lt;key app="EN" db-id="aet009sstawa0hewvt3xwf5atffdw2dt02sw" timestamp="1748645061"&gt;1078&lt;/key&gt;&lt;/foreign-keys&gt;&lt;ref-type name="Journal Article"&gt;17&lt;/ref-type&gt;&lt;contributors&gt;&lt;authors&gt;&lt;author&gt;Abbaspour, Aidin&lt;/author&gt;&lt;author&gt;Bahreini, Masoud&lt;/author&gt;&lt;author&gt;Akaberian, Sherafat&lt;/author&gt;&lt;author&gt;Mirzaei, Kamran&lt;/author&gt;&lt;/authors&gt;&lt;/contributors&gt;&lt;titles&gt;&lt;title&gt;Parental bonding styles in schizophrenia, depressive and bipolar patients: a comparative study&lt;/title&gt;&lt;secondary-title&gt;BMC Psychiatry&lt;/secondary-title&gt;&lt;/titles&gt;&lt;periodical&gt;&lt;full-title&gt;BMC Psychiatry&lt;/full-title&gt;&lt;/periodical&gt;&lt;pages&gt;169&lt;/pages&gt;&lt;volume&gt;21&lt;/volume&gt;&lt;number&gt;1&lt;/number&gt;&lt;dates&gt;&lt;year&gt;2021&lt;/year&gt;&lt;pub-dates&gt;&lt;date&gt;2021/03/26&lt;/date&gt;&lt;/pub-dates&gt;&lt;/dates&gt;&lt;isbn&gt;1471-244X&lt;/isbn&gt;&lt;urls&gt;&lt;related-urls&gt;&lt;url&gt;https://doi.org/10.1186/s12888-021-03177-3&lt;/url&gt;&lt;/related-urls&gt;&lt;/urls&gt;&lt;electronic-resource-num&gt;10.1186/s12888-021-03177-3&lt;/electronic-resource-num&gt;&lt;/record&gt;&lt;/Cite&gt;&lt;/EndNote&gt;</w:instrText>
      </w:r>
      <w:r w:rsidRPr="004D46AC">
        <w:rPr>
          <w:rFonts w:eastAsiaTheme="minorEastAsia"/>
        </w:rPr>
        <w:fldChar w:fldCharType="separate"/>
      </w:r>
      <w:r w:rsidRPr="004D46AC">
        <w:rPr>
          <w:rFonts w:eastAsiaTheme="minorEastAsia"/>
          <w:noProof/>
        </w:rPr>
        <w:t>Abbaspour et al. (2021)</w:t>
      </w:r>
      <w:r w:rsidRPr="004D46AC">
        <w:rPr>
          <w:rFonts w:eastAsiaTheme="minorEastAsia"/>
        </w:rPr>
        <w:fldChar w:fldCharType="end"/>
      </w:r>
      <w:r w:rsidRPr="004D46AC">
        <w:rPr>
          <w:rFonts w:eastAsiaTheme="minorEastAsia"/>
        </w:rPr>
        <w:t xml:space="preserve"> directly compared parenting styles in patients with schizophrenia and bipolar disorder. They found that paternal parenting styles were similar across the two diagnostic groups; however, maternal styles differed markedly. Schizophrenia patients more frequently reported maternal affectionless control, whereas bipolar patients more often reported maternal neglect. Notably, the most reported overall parenting style in both groups was high care and low control, suggesting that the relationship between perceived parenting and psychiatric outcomes may involve more complex and heterogeneous mechanisms than previously assumed. However, </w:t>
      </w:r>
      <w:r w:rsidRPr="004D46AC">
        <w:rPr>
          <w:rFonts w:eastAsiaTheme="minorEastAsia"/>
        </w:rPr>
        <w:fldChar w:fldCharType="begin"/>
      </w:r>
      <w:r w:rsidRPr="004D46AC">
        <w:rPr>
          <w:rFonts w:eastAsiaTheme="minorEastAsia"/>
        </w:rPr>
        <w:instrText xml:space="preserve"> ADDIN EN.CITE &lt;EndNote&gt;&lt;Cite AuthorYear="1"&gt;&lt;Author&gt;Gomes&lt;/Author&gt;&lt;Year&gt;2015&lt;/Year&gt;&lt;RecNum&gt;1079&lt;/RecNum&gt;&lt;DisplayText&gt;Gomes et al. (2015)&lt;/DisplayText&gt;&lt;record&gt;&lt;rec-number&gt;1079&lt;/rec-number&gt;&lt;foreign-keys&gt;&lt;key app="EN" db-id="aet009sstawa0hewvt3xwf5atffdw2dt02sw" timestamp="1748645769"&gt;1079&lt;/key&gt;&lt;/foreign-keys&gt;&lt;ref-type name="Journal Article"&gt;17&lt;/ref-type&gt;&lt;contributors&gt;&lt;authors&gt;&lt;author&gt;Gomes, Fernando Grilo&lt;/author&gt;&lt;author&gt;Passos, Ives C.&lt;/author&gt;&lt;author&gt;Krolow, Ana Carla&lt;/author&gt;&lt;author&gt;Reckziegel, Ramiro&lt;/author&gt;&lt;author&gt;Vasconcelos-Moreno, Mirela Paiva&lt;/author&gt;&lt;author&gt;Spanemberg, Lucas&lt;/author&gt;&lt;author&gt;Belmonte-de-Abreu, Paulo&lt;/author&gt;&lt;author&gt;Kapczinski, Flávio&lt;/author&gt;&lt;author&gt;Kauer-Sant’Anna, Marcia&lt;/author&gt;&lt;/authors&gt;&lt;/contributors&gt;&lt;titles&gt;&lt;title&gt;Differences in parental bonding between schizophrenia and bipolar disorder: Evidence of prodromal symptoms?&lt;/title&gt;&lt;secondary-title&gt;Schizophrenia Research&lt;/secondary-title&gt;&lt;/titles&gt;&lt;periodical&gt;&lt;full-title&gt;Schizophrenia Research&lt;/full-title&gt;&lt;/periodical&gt;&lt;pages&gt;134-137&lt;/pages&gt;&lt;volume&gt;165&lt;/volume&gt;&lt;number&gt;2&lt;/number&gt;&lt;keywords&gt;&lt;keyword&gt;Bipolar disorder&lt;/keyword&gt;&lt;keyword&gt;Schizophrenia&lt;/keyword&gt;&lt;keyword&gt;Parental bonding&lt;/keyword&gt;&lt;/keywords&gt;&lt;dates&gt;&lt;year&gt;2015&lt;/year&gt;&lt;pub-dates&gt;&lt;date&gt;2015/07/01/&lt;/date&gt;&lt;/pub-dates&gt;&lt;/dates&gt;&lt;isbn&gt;0920-9964&lt;/isbn&gt;&lt;urls&gt;&lt;related-urls&gt;&lt;url&gt;https://www.sciencedirect.com/science/article/pii/S0920996415001693&lt;/url&gt;&lt;/related-urls&gt;&lt;/urls&gt;&lt;electronic-resource-num&gt;https://doi.org/10.1016/j.schres.2015.03.032&lt;/electronic-resource-num&gt;&lt;/record&gt;&lt;/Cite&gt;&lt;/EndNote&gt;</w:instrText>
      </w:r>
      <w:r w:rsidRPr="004D46AC">
        <w:rPr>
          <w:rFonts w:eastAsiaTheme="minorEastAsia"/>
        </w:rPr>
        <w:fldChar w:fldCharType="separate"/>
      </w:r>
      <w:r w:rsidRPr="004D46AC">
        <w:rPr>
          <w:rFonts w:eastAsiaTheme="minorEastAsia"/>
          <w:noProof/>
        </w:rPr>
        <w:t>Gomes et al. (2015)</w:t>
      </w:r>
      <w:r w:rsidRPr="004D46AC">
        <w:rPr>
          <w:rFonts w:eastAsiaTheme="minorEastAsia"/>
        </w:rPr>
        <w:fldChar w:fldCharType="end"/>
      </w:r>
      <w:r w:rsidRPr="004D46AC">
        <w:rPr>
          <w:rFonts w:eastAsiaTheme="minorEastAsia"/>
        </w:rPr>
        <w:t xml:space="preserve"> reported inconsistencies in the literature, noting that bipolar patients, in general, perceived higher levels of overprotection and lower levels of care compared to both schizophrenia patients and healthy controls.</w:t>
      </w:r>
    </w:p>
    <w:p w14:paraId="4D5792F7" w14:textId="77777777" w:rsidR="003D5CB6" w:rsidRPr="004D46AC" w:rsidRDefault="003D5CB6" w:rsidP="00B518F1">
      <w:pPr>
        <w:pStyle w:val="4"/>
      </w:pPr>
      <w:r w:rsidRPr="004D46AC">
        <w:t>Urbanicity</w:t>
      </w:r>
    </w:p>
    <w:p w14:paraId="33ADE027" w14:textId="77777777" w:rsidR="003D5CB6" w:rsidRPr="004D46AC" w:rsidRDefault="003D5CB6" w:rsidP="00B518F1">
      <w:pPr>
        <w:rPr>
          <w:rFonts w:eastAsiaTheme="minorEastAsia"/>
        </w:rPr>
      </w:pPr>
      <w:r w:rsidRPr="004D46AC">
        <w:t>The urbanisation is a double edge sword that has its pros and cons. In a way, it offers more opportunity for various populations in terms of good life quality and diversity. On the other hand</w:t>
      </w:r>
      <w:r w:rsidRPr="004D46AC">
        <w:rPr>
          <w:rFonts w:eastAsiaTheme="minorEastAsia" w:hint="eastAsia"/>
        </w:rPr>
        <w:t>,</w:t>
      </w:r>
      <w:r w:rsidRPr="004D46AC">
        <w:t xml:space="preserve"> it has long been assumed to be a risk factor for psychosis</w:t>
      </w:r>
      <w:r w:rsidRPr="004D46AC">
        <w:rPr>
          <w:rFonts w:eastAsiaTheme="minorEastAsia" w:hint="eastAsia"/>
        </w:rPr>
        <w:t xml:space="preserve"> </w:t>
      </w:r>
      <w:r w:rsidRPr="004D46AC">
        <w:rPr>
          <w:rFonts w:eastAsiaTheme="minorEastAsia"/>
        </w:rPr>
        <w:fldChar w:fldCharType="begin"/>
      </w:r>
      <w:r w:rsidRPr="004D46AC">
        <w:rPr>
          <w:rFonts w:eastAsiaTheme="minorEastAsia"/>
        </w:rPr>
        <w:instrText xml:space="preserve"> ADDIN EN.CITE &lt;EndNote&gt;&lt;Cite&gt;&lt;Author&gt;Faris&lt;/Author&gt;&lt;Year&gt;1939&lt;/Year&gt;&lt;RecNum&gt;1375&lt;/RecNum&gt;&lt;DisplayText&gt;(Faris &amp;amp; Dunham, 1939)&lt;/DisplayText&gt;&lt;record&gt;&lt;rec-number&gt;1375&lt;/rec-number&gt;&lt;foreign-keys&gt;&lt;key app="EN" db-id="aet009sstawa0hewvt3xwf5atffdw2dt02sw" timestamp="1768876477"&gt;1375&lt;/key&gt;&lt;/foreign-keys&gt;&lt;ref-type name="Book"&gt;6&lt;/ref-type&gt;&lt;contributors&gt;&lt;authors&gt;&lt;author&gt;Faris, R. E. L.&lt;/author&gt;&lt;author&gt;Dunham, H. W.&lt;/author&gt;&lt;/authors&gt;&lt;/contributors&gt;&lt;titles&gt;&lt;title&gt;Mental disorders in urban areas: an ecological study of schizophrenia and other psychoses&lt;/title&gt;&lt;secondary-title&gt;Mental disorders in urban areas: an ecological study of schizophrenia and other psychoses.&lt;/secondary-title&gt;&lt;/titles&gt;&lt;pages&gt;xxxviii, 270-xxxviii, 270&lt;/pages&gt;&lt;dates&gt;&lt;year&gt;1939&lt;/year&gt;&lt;/dates&gt;&lt;pub-location&gt;Oxford, England&lt;/pub-location&gt;&lt;publisher&gt;Univ. Chicago Press&lt;/publisher&gt;&lt;urls&gt;&lt;/urls&gt;&lt;/record&gt;&lt;/Cite&gt;&lt;/EndNote&gt;</w:instrText>
      </w:r>
      <w:r w:rsidRPr="004D46AC">
        <w:rPr>
          <w:rFonts w:eastAsiaTheme="minorEastAsia"/>
        </w:rPr>
        <w:fldChar w:fldCharType="separate"/>
      </w:r>
      <w:r w:rsidRPr="004D46AC">
        <w:rPr>
          <w:rFonts w:eastAsiaTheme="minorEastAsia"/>
          <w:noProof/>
        </w:rPr>
        <w:t>(Faris &amp; Dunham, 1939)</w:t>
      </w:r>
      <w:r w:rsidRPr="004D46AC">
        <w:rPr>
          <w:rFonts w:eastAsiaTheme="minorEastAsia"/>
        </w:rPr>
        <w:fldChar w:fldCharType="end"/>
      </w:r>
      <w:r w:rsidRPr="004D46AC">
        <w:t xml:space="preserve">. The </w:t>
      </w:r>
      <w:r w:rsidRPr="004D46AC">
        <w:rPr>
          <w:rFonts w:eastAsiaTheme="minorEastAsia"/>
        </w:rPr>
        <w:t>rationale</w:t>
      </w:r>
      <w:r w:rsidRPr="004D46AC">
        <w:t xml:space="preserve"> for </w:t>
      </w:r>
      <w:r w:rsidRPr="004D46AC">
        <w:rPr>
          <w:rFonts w:eastAsiaTheme="minorEastAsia"/>
        </w:rPr>
        <w:t>this</w:t>
      </w:r>
      <w:r w:rsidRPr="004D46AC">
        <w:t xml:space="preserve"> hypothesis is that the competitive urban environments</w:t>
      </w:r>
      <w:r w:rsidRPr="004D46AC">
        <w:rPr>
          <w:rFonts w:eastAsiaTheme="minorEastAsia" w:hint="eastAsia"/>
        </w:rPr>
        <w:t xml:space="preserve"> </w:t>
      </w:r>
      <w:r w:rsidRPr="004D46AC">
        <w:t xml:space="preserve">and related fluctuations in stress </w:t>
      </w:r>
      <w:r w:rsidRPr="004D46AC">
        <w:rPr>
          <w:rFonts w:eastAsiaTheme="minorEastAsia"/>
        </w:rPr>
        <w:t>may cause mental distress and thereafter psychiatric disorders</w:t>
      </w:r>
      <w:r w:rsidRPr="004D46AC">
        <w:t xml:space="preserve">. As observed by the renowned American psychiatrist Adolf Meyer in the middle years of the twentieth century, urbanisation is affecting the human potentials such as adaptability and constructive activity, instigating changes that may lead to mental problems </w:t>
      </w:r>
      <w:r w:rsidRPr="004D46AC">
        <w:fldChar w:fldCharType="begin"/>
      </w:r>
      <w:r w:rsidRPr="004D46AC">
        <w:instrText xml:space="preserve"> ADDIN EN.CITE &lt;EndNote&gt;&lt;Cite&gt;&lt;Author&gt;Mandell&lt;/Author&gt;&lt;Year&gt;1995&lt;/Year&gt;&lt;RecNum&gt;1143&lt;/RecNum&gt;&lt;DisplayText&gt;(Mandell, 1995)&lt;/DisplayText&gt;&lt;record&gt;&lt;rec-number&gt;1143&lt;/rec-number&gt;&lt;foreign-keys&gt;&lt;key app="EN" db-id="aet009sstawa0hewvt3xwf5atffdw2dt02sw" timestamp="1751365667"&gt;1143&lt;/key&gt;&lt;/foreign-keys&gt;&lt;ref-type name="Web Page"&gt;12&lt;/ref-type&gt;&lt;contributors&gt;&lt;authors&gt;&lt;author&gt;Wallace Mandell&lt;/author&gt;&lt;/authors&gt;&lt;/contributors&gt;&lt;auth-address&gt;https://publichealth.jhu.edu/departments/mental-health/about/origins-of-mental-health#:~:text=By%20the%201890s%2C%20Meyer%20had,By%201908&lt;/auth-address&gt;&lt;titles&gt;&lt;title&gt;The Realization of an Idea&lt;/title&gt;&lt;/titles&gt;&lt;dates&gt;&lt;year&gt;1995&lt;/year&gt;&lt;/dates&gt;&lt;pub-location&gt;Johns Hopkins Bloomberg School of Public Health&lt;/pub-location&gt;&lt;publisher&gt;Johns Hopkins University&lt;/publisher&gt;&lt;urls&gt;&lt;/urls&gt;&lt;/record&gt;&lt;/Cite&gt;&lt;/EndNote&gt;</w:instrText>
      </w:r>
      <w:r w:rsidRPr="004D46AC">
        <w:fldChar w:fldCharType="separate"/>
      </w:r>
      <w:r w:rsidRPr="004D46AC">
        <w:rPr>
          <w:noProof/>
        </w:rPr>
        <w:t>(Mandell, 1995)</w:t>
      </w:r>
      <w:r w:rsidRPr="004D46AC">
        <w:fldChar w:fldCharType="end"/>
      </w:r>
      <w:r w:rsidRPr="004D46AC">
        <w:t xml:space="preserve">. </w:t>
      </w:r>
    </w:p>
    <w:p w14:paraId="307D0A84" w14:textId="77777777" w:rsidR="003D5CB6" w:rsidRPr="004D46AC" w:rsidRDefault="003D5CB6" w:rsidP="00B518F1">
      <w:pPr>
        <w:rPr>
          <w:rFonts w:eastAsiaTheme="minorEastAsia"/>
        </w:rPr>
      </w:pPr>
      <w:bookmarkStart w:id="54" w:name="OLE_LINK28"/>
      <w:r w:rsidRPr="004D46AC">
        <w:rPr>
          <w:rFonts w:eastAsiaTheme="minorEastAsia"/>
        </w:rPr>
        <w:t xml:space="preserve">Urbanicity has been linked to an elevated risk for psychosis, even after adjusting for confounding factors such as parental psychosis, in a representative Danish sample </w:t>
      </w:r>
      <w:r w:rsidRPr="004D46AC">
        <w:rPr>
          <w:rFonts w:eastAsiaTheme="minorEastAsia"/>
        </w:rPr>
        <w:fldChar w:fldCharType="begin"/>
      </w:r>
      <w:r w:rsidRPr="004D46AC">
        <w:rPr>
          <w:rFonts w:eastAsiaTheme="minorEastAsia"/>
        </w:rPr>
        <w:instrText xml:space="preserve"> ADDIN EN.CITE &lt;EndNote&gt;&lt;Cite&gt;&lt;Author&gt;Shevlin&lt;/Author&gt;&lt;Year&gt;2016&lt;/Year&gt;&lt;RecNum&gt;1144&lt;/RecNum&gt;&lt;DisplayText&gt;(Shevlin et al., 2016)&lt;/DisplayText&gt;&lt;record&gt;&lt;rec-number&gt;1144&lt;/rec-number&gt;&lt;foreign-keys&gt;&lt;key app="EN" db-id="aet009sstawa0hewvt3xwf5atffdw2dt02sw" timestamp="1751557469"&gt;1144&lt;/key&gt;&lt;/foreign-keys&gt;&lt;ref-type name="Journal Article"&gt;17&lt;/ref-type&gt;&lt;contributors&gt;&lt;authors&gt;&lt;author&gt;Shevlin, Mark&lt;/author&gt;&lt;author&gt;McElroy, Eoin&lt;/author&gt;&lt;author&gt;Christoffersen, Mogens Nygaard&lt;/author&gt;&lt;author&gt;Elklit, Ask&lt;/author&gt;&lt;author&gt;Hyland, Philip&lt;/author&gt;&lt;author&gt;Murphy, Jamie&lt;/author&gt;&lt;/authors&gt;&lt;/contributors&gt;&lt;titles&gt;&lt;title&gt;Social, familial and psychological risk factors for psychosis: A birth cohort study using the Danish Registry System&lt;/title&gt;&lt;secondary-title&gt;Psychosis&lt;/secondary-title&gt;&lt;/titles&gt;&lt;periodical&gt;&lt;full-title&gt;Psychosis&lt;/full-title&gt;&lt;/periodical&gt;&lt;pages&gt;95-105&lt;/pages&gt;&lt;volume&gt;8&lt;/volume&gt;&lt;number&gt;2&lt;/number&gt;&lt;dates&gt;&lt;year&gt;2016&lt;/year&gt;&lt;pub-dates&gt;&lt;date&gt;2016/04/02&lt;/date&gt;&lt;/pub-dates&gt;&lt;/dates&gt;&lt;publisher&gt;Routledge&lt;/publisher&gt;&lt;isbn&gt;1752-2439&lt;/isbn&gt;&lt;urls&gt;&lt;related-urls&gt;&lt;url&gt;https://doi.org/10.1080/17522439.2015.1113306&lt;/url&gt;&lt;/related-urls&gt;&lt;/urls&gt;&lt;electronic-resource-num&gt;10.1080/17522439.2015.1113306&lt;/electronic-resource-num&gt;&lt;/record&gt;&lt;/Cite&gt;&lt;/EndNote&gt;</w:instrText>
      </w:r>
      <w:r w:rsidRPr="004D46AC">
        <w:rPr>
          <w:rFonts w:eastAsiaTheme="minorEastAsia"/>
        </w:rPr>
        <w:fldChar w:fldCharType="separate"/>
      </w:r>
      <w:r w:rsidRPr="004D46AC">
        <w:rPr>
          <w:rFonts w:eastAsiaTheme="minorEastAsia"/>
          <w:noProof/>
        </w:rPr>
        <w:t>(Shevlin et al., 2016)</w:t>
      </w:r>
      <w:r w:rsidRPr="004D46AC">
        <w:rPr>
          <w:rFonts w:eastAsiaTheme="minorEastAsia"/>
        </w:rPr>
        <w:fldChar w:fldCharType="end"/>
      </w:r>
      <w:r w:rsidRPr="004D46AC">
        <w:rPr>
          <w:rFonts w:eastAsiaTheme="minorEastAsia"/>
        </w:rPr>
        <w:t>.</w:t>
      </w:r>
      <w:r w:rsidRPr="004D46AC">
        <w:rPr>
          <w:rFonts w:eastAsiaTheme="minorEastAsia" w:hint="eastAsia"/>
        </w:rPr>
        <w:t xml:space="preserve"> </w:t>
      </w:r>
      <w:bookmarkStart w:id="55" w:name="OLE_LINK52"/>
      <w:r w:rsidRPr="004D46AC">
        <w:rPr>
          <w:rFonts w:eastAsiaTheme="minorEastAsia"/>
        </w:rPr>
        <w:fldChar w:fldCharType="begin"/>
      </w:r>
      <w:r w:rsidRPr="004D46AC">
        <w:rPr>
          <w:rFonts w:eastAsiaTheme="minorEastAsia"/>
        </w:rPr>
        <w:instrText xml:space="preserve"> ADDIN EN.CITE &lt;EndNote&gt;&lt;Cite AuthorYear="1"&gt;&lt;Author&gt;Castillejos&lt;/Author&gt;&lt;Year&gt;2018&lt;/Year&gt;&lt;RecNum&gt;984&lt;/RecNum&gt;&lt;DisplayText&gt;Castillejos et al. (2018)&lt;/DisplayText&gt;&lt;record&gt;&lt;rec-number&gt;984&lt;/rec-number&gt;&lt;foreign-keys&gt;&lt;key app="EN" db-id="aet009sstawa0hewvt3xwf5atffdw2dt02sw" timestamp="1743974747"&gt;984&lt;/key&gt;&lt;/foreign-keys&gt;&lt;ref-type name="Journal Article"&gt;17&lt;/ref-type&gt;&lt;contributors&gt;&lt;authors&gt;&lt;author&gt;Castillejos, M. C.&lt;/author&gt;&lt;author&gt;Martín-Pérez, C.&lt;/author&gt;&lt;author&gt;Moreno-Küstner, B.&lt;/author&gt;&lt;/authors&gt;&lt;/contributors&gt;&lt;titles&gt;&lt;title&gt;A systematic review and meta-analysis of the incidence of psychotic disorders: the distribution of rates and the influence of gender, urbanicity, immigration and socio-economic level&lt;/title&gt;&lt;secondary-title&gt;Psychological Medicine&lt;/secondary-title&gt;&lt;/titles&gt;&lt;periodical&gt;&lt;full-title&gt;Psychological Medicine&lt;/full-title&gt;&lt;/periodical&gt;&lt;pages&gt;2101-2115&lt;/pages&gt;&lt;volume&gt;48&lt;/volume&gt;&lt;number&gt;13&lt;/number&gt;&lt;edition&gt;2018/02/22&lt;/edition&gt;&lt;keywords&gt;&lt;keyword&gt;Psychosis&lt;/keyword&gt;&lt;keyword&gt;environmental factors&lt;/keyword&gt;&lt;keyword&gt;epidemiology&lt;/keyword&gt;&lt;keyword&gt;gender&lt;/keyword&gt;&lt;keyword&gt;immigration&lt;/keyword&gt;&lt;keyword&gt;incidence&lt;/keyword&gt;&lt;keyword&gt;socio-economic level&lt;/keyword&gt;&lt;keyword&gt;urbanicity&lt;/keyword&gt;&lt;/keywords&gt;&lt;dates&gt;&lt;year&gt;2018&lt;/year&gt;&lt;/dates&gt;&lt;publisher&gt;Cambridge University Press&lt;/publisher&gt;&lt;isbn&gt;0033-2917&lt;/isbn&gt;&lt;urls&gt;&lt;related-urls&gt;&lt;url&gt;https://www.cambridge.org/core/product/330881E85E2CAD92A343299BE68DC797&lt;/url&gt;&lt;/related-urls&gt;&lt;/urls&gt;&lt;electronic-resource-num&gt;10.1017/S0033291718000235&lt;/electronic-resource-num&gt;&lt;remote-database-name&gt;Cambridge Core&lt;/remote-database-name&gt;&lt;remote-database-provider&gt;Cambridge University Press&lt;/remote-database-provider&gt;&lt;/record&gt;&lt;/Cite&gt;&lt;/EndNote&gt;</w:instrText>
      </w:r>
      <w:r w:rsidRPr="004D46AC">
        <w:rPr>
          <w:rFonts w:eastAsiaTheme="minorEastAsia"/>
        </w:rPr>
        <w:fldChar w:fldCharType="separate"/>
      </w:r>
      <w:r w:rsidRPr="004D46AC">
        <w:rPr>
          <w:rFonts w:eastAsiaTheme="minorEastAsia"/>
          <w:noProof/>
        </w:rPr>
        <w:t>Castillejos et al. (2018)</w:t>
      </w:r>
      <w:r w:rsidRPr="004D46AC">
        <w:rPr>
          <w:rFonts w:eastAsiaTheme="minorEastAsia"/>
        </w:rPr>
        <w:fldChar w:fldCharType="end"/>
      </w:r>
      <w:r w:rsidRPr="004D46AC">
        <w:rPr>
          <w:rFonts w:eastAsiaTheme="minorEastAsia" w:hint="eastAsia"/>
        </w:rPr>
        <w:t xml:space="preserve"> further support </w:t>
      </w:r>
      <w:r w:rsidRPr="004D46AC">
        <w:rPr>
          <w:rFonts w:eastAsiaTheme="minorEastAsia"/>
        </w:rPr>
        <w:t>this, consistently finding higher psychosis prevalence in urban areas, with most incidence rate ratios reaching statistical significance</w:t>
      </w:r>
      <w:r w:rsidRPr="004D46AC">
        <w:rPr>
          <w:rFonts w:eastAsiaTheme="minorEastAsia" w:hint="eastAsia"/>
        </w:rPr>
        <w:t>.</w:t>
      </w:r>
      <w:r w:rsidRPr="004D46AC">
        <w:rPr>
          <w:rFonts w:eastAsiaTheme="minorEastAsia"/>
        </w:rPr>
        <w:t xml:space="preserve"> </w:t>
      </w:r>
      <w:bookmarkEnd w:id="55"/>
      <w:r w:rsidRPr="004D46AC">
        <w:rPr>
          <w:rFonts w:eastAsiaTheme="minorEastAsia"/>
        </w:rPr>
        <w:t xml:space="preserve">However, whether being raised in or living in an urban area also increases the risk of bipolar disorder remains controversial, with findings varying across studies. </w:t>
      </w:r>
      <w:r w:rsidRPr="004D46AC">
        <w:rPr>
          <w:rFonts w:eastAsiaTheme="minorEastAsia"/>
        </w:rPr>
        <w:fldChar w:fldCharType="begin">
          <w:fldData xml:space="preserve">PEVuZE5vdGU+PENpdGUgQXV0aG9yWWVhcj0iMSI+PEF1dGhvcj5HeWxsZW5iZXJnPC9BdXRob3I+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PEVuZE5vdGU+PENpdGUgQXV0aG9yWWVhcj0iMSI+PEF1dGhvcj5HeWxsZW5iZXJnPC9BdXRob3I+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Gyllenberg et al. (2022)</w:t>
      </w:r>
      <w:r w:rsidRPr="004D46AC">
        <w:rPr>
          <w:rFonts w:eastAsiaTheme="minorEastAsia"/>
        </w:rPr>
        <w:fldChar w:fldCharType="end"/>
      </w:r>
      <w:r w:rsidRPr="004D46AC">
        <w:rPr>
          <w:rFonts w:eastAsiaTheme="minorEastAsia"/>
        </w:rPr>
        <w:t xml:space="preserve"> observed that the incidence of both schizophrenia and bipolar disorder differed by urban-rural classification in broadly similar patterns, though the </w:t>
      </w:r>
      <w:r w:rsidRPr="004D46AC">
        <w:rPr>
          <w:rFonts w:eastAsiaTheme="minorEastAsia"/>
        </w:rPr>
        <w:lastRenderedPageBreak/>
        <w:t xml:space="preserve">magnitude of association varied. </w:t>
      </w:r>
      <w:bookmarkStart w:id="56" w:name="OLE_LINK26"/>
      <w:r w:rsidRPr="004D46AC">
        <w:rPr>
          <w:rFonts w:eastAsiaTheme="minorEastAsia"/>
        </w:rPr>
        <w:fldChar w:fldCharType="begin">
          <w:fldData xml:space="preserve">PEVuZE5vdGU+PENpdGUgQXV0aG9yWWVhcj0iMSI+PEF1dGhvcj5Mb2dlc3dhcmFuPC9BdXRob3I+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=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PEVuZE5vdGU+PENpdGUgQXV0aG9yWWVhcj0iMSI+PEF1dGhvcj5Mb2dlc3dhcmFuPC9BdXRob3I+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=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Logeswaran et al. (2023)</w:t>
      </w:r>
      <w:r w:rsidRPr="004D46AC">
        <w:rPr>
          <w:rFonts w:eastAsiaTheme="minorEastAsia"/>
        </w:rPr>
        <w:fldChar w:fldCharType="end"/>
      </w:r>
      <w:r w:rsidRPr="004D46AC">
        <w:rPr>
          <w:rFonts w:eastAsiaTheme="minorEastAsia"/>
        </w:rPr>
        <w:t xml:space="preserve"> </w:t>
      </w:r>
      <w:bookmarkEnd w:id="56"/>
      <w:r w:rsidRPr="004D46AC">
        <w:rPr>
          <w:rFonts w:eastAsiaTheme="minorEastAsia"/>
        </w:rPr>
        <w:t xml:space="preserve">found that growing up in densely populated (urban) areas increases the risk of psychotic disorders, but this effect was much weaker for nonpsychotic bipolar disorder; moreover, people with psychotic disorders tend to remain in urban areas, and moving from urban to rural environments in childhood was also associated with higher psychosis risk, but not for nonpsychotic bipolar disorder. Similarly, </w:t>
      </w:r>
      <w:r w:rsidRPr="004D46AC">
        <w:rPr>
          <w:rFonts w:eastAsiaTheme="minorEastAsia"/>
        </w:rPr>
        <w:fldChar w:fldCharType="begin">
          <w:fldData xml:space="preserve">PEVuZE5vdGU+PENpdGUgQXV0aG9yWWVhcj0iMSI+PEF1dGhvcj5LYXltYXo8L0F1dGhvcj48WWVh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PEVuZE5vdGU+PENpdGUgQXV0aG9yWWVhcj0iMSI+PEF1dGhvcj5LYXltYXo8L0F1dGhvcj48WWVh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Kaymaz et al. (2006)</w:t>
      </w:r>
      <w:r w:rsidRPr="004D46AC">
        <w:rPr>
          <w:rFonts w:eastAsiaTheme="minorEastAsia"/>
        </w:rPr>
        <w:fldChar w:fldCharType="end"/>
      </w:r>
      <w:r w:rsidRPr="004D46AC">
        <w:rPr>
          <w:rFonts w:eastAsiaTheme="minorEastAsia"/>
        </w:rPr>
        <w:t xml:space="preserve"> reported that rates of mania with psychosis and psychotic disorders increased with population density, whereas this relationship was not observed in bipolar patients without psychosis. By contrast, </w:t>
      </w:r>
      <w:r w:rsidRPr="004D46AC">
        <w:rPr>
          <w:rFonts w:eastAsiaTheme="minorEastAsia"/>
        </w:rPr>
        <w:fldChar w:fldCharType="begin">
          <w:fldData xml:space="preserve">PEVuZE5vdGU+PENpdGUgQXV0aG9yWWVhcj0iMSI+PEF1dGhvcj5MYXNhbHZpYTwvQXV0aG9yPjxZ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PEVuZE5vdGU+PENpdGUgQXV0aG9yWWVhcj0iMSI+PEF1dGhvcj5MYXNhbHZpYTwvQXV0aG9yPjxZ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Lasalvia et al. (2014)</w:t>
      </w:r>
      <w:r w:rsidRPr="004D46AC">
        <w:rPr>
          <w:rFonts w:eastAsiaTheme="minorEastAsia"/>
        </w:rPr>
        <w:fldChar w:fldCharType="end"/>
      </w:r>
      <w:r w:rsidRPr="004D46AC">
        <w:rPr>
          <w:rFonts w:eastAsiaTheme="minorEastAsia"/>
        </w:rPr>
        <w:t xml:space="preserve"> reported no effect of urbanicity on the incidence of psychosis or bipolar disorder in an Italian sample; similar finding has been reported in UK as well </w:t>
      </w:r>
      <w:r w:rsidRPr="004D46AC">
        <w:rPr>
          <w:rFonts w:eastAsiaTheme="minorEastAsia"/>
        </w:rPr>
        <w:fldChar w:fldCharType="begin">
          <w:fldData xml:space="preserve">PEVuZE5vdGU+PENpdGU+PEF1dGhvcj5IYXJkb29uPC9BdXRob3I+PFllYXI+MjAxMzwvWWVhcj48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PEVuZE5vdGU+PENpdGU+PEF1dGhvcj5IYXJkb29uPC9BdXRob3I+PFllYXI+MjAxMzwvWWVhcj48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(Hardoon et al., 2013)</w:t>
      </w:r>
      <w:r w:rsidRPr="004D46AC">
        <w:rPr>
          <w:rFonts w:eastAsiaTheme="minorEastAsia"/>
        </w:rPr>
        <w:fldChar w:fldCharType="end"/>
      </w:r>
      <w:r w:rsidRPr="004D46AC">
        <w:rPr>
          <w:rFonts w:eastAsiaTheme="minorEastAsia"/>
        </w:rPr>
        <w:t xml:space="preserve">. </w:t>
      </w:r>
      <w:bookmarkEnd w:id="54"/>
    </w:p>
    <w:p w14:paraId="48093555" w14:textId="77777777" w:rsidR="003D5CB6" w:rsidRPr="004D46AC" w:rsidRDefault="003D5CB6" w:rsidP="00B518F1">
      <w:pPr>
        <w:rPr>
          <w:rFonts w:eastAsiaTheme="minorEastAsia"/>
        </w:rPr>
      </w:pPr>
      <w:r w:rsidRPr="004D46AC">
        <w:t xml:space="preserve">These apparent inconsistencies may be reconciled by several theoretical models about how the urban environment affects mental health, including social stress, social deprivation, and selective drift. However, the empirical support for these models varies. Evidence suggests that social deprivation is a significant risk factor for both bipolar disorder and schizophrenia and may mediate the association between urbanicity and major psychoses </w:t>
      </w:r>
      <w:r w:rsidRPr="004D46AC">
        <w:fldChar w:fldCharType="begin">
          <w:fldData xml:space="preserve">PEVuZE5vdGU+PENpdGU+PEF1dGhvcj5MZWU8L0F1dGhvcj48WWVhcj4yMDIzPC9ZZWFyPjxSZWNO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</w:fldData>
        </w:fldChar>
      </w:r>
      <w:r w:rsidRPr="004D46AC">
        <w:instrText xml:space="preserve"> ADDIN EN.CITE </w:instrText>
      </w:r>
      <w:r w:rsidRPr="004D46AC">
        <w:fldChar w:fldCharType="begin">
          <w:fldData xml:space="preserve">PEVuZE5vdGU+PENpdGU+PEF1dGhvcj5MZWU8L0F1dGhvcj48WWVhcj4yMDIzPC9ZZWFyPjxSZWNO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</w:fldData>
        </w:fldChar>
      </w:r>
      <w:r w:rsidRPr="004D46AC">
        <w:instrText xml:space="preserve"> ADDIN EN.CITE.DATA </w:instrText>
      </w:r>
      <w:r w:rsidRPr="004D46AC">
        <w:fldChar w:fldCharType="end"/>
      </w:r>
      <w:r w:rsidRPr="004D46AC">
        <w:fldChar w:fldCharType="separate"/>
      </w:r>
      <w:r w:rsidRPr="004D46AC">
        <w:rPr>
          <w:noProof/>
        </w:rPr>
        <w:t>(Lee et al., 2023)</w:t>
      </w:r>
      <w:r w:rsidRPr="004D46AC">
        <w:fldChar w:fldCharType="end"/>
      </w:r>
      <w:r w:rsidRPr="004D46AC">
        <w:t xml:space="preserve">. Other studies indicate that selective drift - the hypothesis that individuals with major psychoses move into more deprived or urban areas - is not strongly supported, as rates of upward or downward migration do not substantially change after diagnosis </w:t>
      </w:r>
      <w:r w:rsidRPr="004D46AC">
        <w:fldChar w:fldCharType="begin">
          <w:fldData xml:space="preserve">PEVuZE5vdGU+PENpdGU+PEF1dGhvcj5Mb2dlc3dhcmFuPC9BdXRob3I+PFllYXI+MjAyMzwvWWVh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</w:fldData>
        </w:fldChar>
      </w:r>
      <w:r w:rsidRPr="004D46AC">
        <w:instrText xml:space="preserve"> ADDIN EN.CITE </w:instrText>
      </w:r>
      <w:r w:rsidRPr="004D46AC">
        <w:fldChar w:fldCharType="begin">
          <w:fldData xml:space="preserve">PEVuZE5vdGU+PENpdGU+PEF1dGhvcj5Mb2dlc3dhcmFuPC9BdXRob3I+PFllYXI+MjAyMzwvWWVh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</w:fldData>
        </w:fldChar>
      </w:r>
      <w:r w:rsidRPr="004D46AC">
        <w:instrText xml:space="preserve"> ADDIN EN.CITE.DATA </w:instrText>
      </w:r>
      <w:r w:rsidRPr="004D46AC">
        <w:fldChar w:fldCharType="end"/>
      </w:r>
      <w:r w:rsidRPr="004D46AC">
        <w:fldChar w:fldCharType="separate"/>
      </w:r>
      <w:r w:rsidRPr="004D46AC">
        <w:rPr>
          <w:noProof/>
        </w:rPr>
        <w:t>(Logeswaran et al., 2023)</w:t>
      </w:r>
      <w:r w:rsidRPr="004D46AC">
        <w:fldChar w:fldCharType="end"/>
      </w:r>
      <w:r w:rsidRPr="004D46AC">
        <w:t xml:space="preserve">. Nonetheless, these models do not fully account for the observed differences across studies. Recently, </w:t>
      </w:r>
      <w:r w:rsidRPr="004D46AC">
        <w:fldChar w:fldCharType="begin">
          <w:fldData xml:space="preserve">PEVuZE5vdGU+PENpdGUgQXV0aG9yWWVhcj0iMSI+PEF1dGhvcj5RdWF0dHJvbmU8L0F1dGhvcj48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instrText xml:space="preserve"> ADDIN EN.CITE </w:instrText>
      </w:r>
      <w:r w:rsidRPr="004D46AC">
        <w:fldChar w:fldCharType="begin">
          <w:fldData xml:space="preserve">PEVuZE5vdGU+PENpdGUgQXV0aG9yWWVhcj0iMSI+PEF1dGhvcj5RdWF0dHJvbmU8L0F1dGhvcj48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instrText xml:space="preserve"> ADDIN EN.CITE.DATA </w:instrText>
      </w:r>
      <w:r w:rsidRPr="004D46AC">
        <w:fldChar w:fldCharType="end"/>
      </w:r>
      <w:r w:rsidRPr="004D46AC">
        <w:fldChar w:fldCharType="separate"/>
      </w:r>
      <w:r w:rsidRPr="004D46AC">
        <w:rPr>
          <w:noProof/>
        </w:rPr>
        <w:t>Quattrone et al. (2019)</w:t>
      </w:r>
      <w:r w:rsidRPr="004D46AC">
        <w:fldChar w:fldCharType="end"/>
      </w:r>
      <w:r w:rsidRPr="004D46AC">
        <w:t>, by using a dimensional approach, found that urbanicity was modestly associated with the general psychopathology factor, and only weakly or not at all with negative and disorganized syndromes. This suggests that urbanicity may shape liability to mental illness in general rather than specific symptom domains. However, their regression models did not adjust for other bifactor dimensions as covariates, which may limit the robustness of their findings - since general and specific factors can be correlated in bifactor analysis, the observed associations might reflect overlapping variance rather than unique effects.</w:t>
      </w:r>
    </w:p>
    <w:p w14:paraId="244FCD61" w14:textId="77777777" w:rsidR="003D5CB6" w:rsidRPr="004D46AC" w:rsidRDefault="003D5CB6" w:rsidP="00B518F1">
      <w:pPr>
        <w:rPr>
          <w:rFonts w:eastAsiaTheme="minorEastAsia"/>
        </w:rPr>
      </w:pPr>
      <w:r w:rsidRPr="004D46AC">
        <w:lastRenderedPageBreak/>
        <w:t>In summary, urbanicity may influence liability to mental illness through complex and interacting factors. The heterogeneity in current findings may reflect distinct developmental pathways for bipolar disorder and schizophrenia. However, the mechanisms underlying these associations remain unclear. For example, although some studies have examined the relationship between urbanicity and general or specific psychopathology, they often do not control for the influence of other symptom dimensions, and the longitudinal interplay between these variables is not well understood. Further research is warranted to clarify these mechanisms and pathways.</w:t>
      </w:r>
    </w:p>
    <w:p w14:paraId="2486D15D" w14:textId="77777777" w:rsidR="003D5CB6" w:rsidRPr="004D46AC" w:rsidRDefault="003D5CB6" w:rsidP="00B518F1">
      <w:pPr>
        <w:pStyle w:val="3"/>
      </w:pPr>
      <w:r w:rsidRPr="004D46AC">
        <w:t>Psychological characteristics</w:t>
      </w:r>
    </w:p>
    <w:p w14:paraId="631AAF6E" w14:textId="77777777" w:rsidR="003D5CB6" w:rsidRPr="004D46AC" w:rsidRDefault="003D5CB6" w:rsidP="00B518F1">
      <w:pPr>
        <w:pStyle w:val="4"/>
      </w:pPr>
      <w:r w:rsidRPr="004D46AC">
        <w:t>Attachment style</w:t>
      </w:r>
    </w:p>
    <w:p w14:paraId="11C8F637" w14:textId="77777777" w:rsidR="003D5CB6" w:rsidRPr="004D46AC" w:rsidRDefault="003D5CB6" w:rsidP="00B518F1">
      <w:pPr>
        <w:rPr>
          <w:rFonts w:eastAsiaTheme="minorEastAsia"/>
        </w:rPr>
      </w:pPr>
      <w:r w:rsidRPr="004D46AC">
        <w:t xml:space="preserve">Attachment is a foundational process in human socioemotional development, emerging during early parent-child interactions and continuing to shape relationships throughout childhood and adolescence. Attachment theory was first introduced by John Bowlby in his seminal work </w:t>
      </w:r>
      <w:r w:rsidRPr="004D46AC">
        <w:rPr>
          <w:i/>
          <w:iCs/>
        </w:rPr>
        <w:t>Attachment and Loss</w:t>
      </w:r>
      <w:r w:rsidRPr="004D46AC">
        <w:t xml:space="preserve"> </w:t>
      </w:r>
      <w:r w:rsidRPr="004D46AC">
        <w:fldChar w:fldCharType="begin"/>
      </w:r>
      <w:r w:rsidRPr="004D46AC">
        <w:instrText xml:space="preserve"> ADDIN EN.CITE &lt;EndNote&gt;&lt;Cite&gt;&lt;Author&gt;Bowlby&lt;/Author&gt;&lt;Year&gt;1969&lt;/Year&gt;&lt;RecNum&gt;1080&lt;/RecNum&gt;&lt;DisplayText&gt;(Bowlby, 1969)&lt;/DisplayText&gt;&lt;record&gt;&lt;rec-number&gt;1080&lt;/rec-number&gt;&lt;foreign-keys&gt;&lt;key app="EN" db-id="aet009sstawa0hewvt3xwf5atffdw2dt02sw" timestamp="1748729975"&gt;1080&lt;/key&gt;&lt;/foreign-keys&gt;&lt;ref-type name="Book"&gt;6&lt;/ref-type&gt;&lt;contributors&gt;&lt;authors&gt;&lt;author&gt;Bowlby, John&lt;/author&gt;&lt;/authors&gt;&lt;/contributors&gt;&lt;titles&gt;&lt;title&gt;Attachment and loss&lt;/title&gt;&lt;/titles&gt;&lt;number&gt;79&lt;/number&gt;&lt;dates&gt;&lt;year&gt;1969&lt;/year&gt;&lt;/dates&gt;&lt;publisher&gt;Random House&lt;/publisher&gt;&lt;isbn&gt;0712666265&lt;/isbn&gt;&lt;urls&gt;&lt;/urls&gt;&lt;/record&gt;&lt;/Cite&gt;&lt;/EndNote&gt;</w:instrText>
      </w:r>
      <w:r w:rsidRPr="004D46AC">
        <w:fldChar w:fldCharType="separate"/>
      </w:r>
      <w:r w:rsidRPr="004D46AC">
        <w:rPr>
          <w:noProof/>
        </w:rPr>
        <w:t>(Bowlby, 1969)</w:t>
      </w:r>
      <w:r w:rsidRPr="004D46AC">
        <w:fldChar w:fldCharType="end"/>
      </w:r>
      <w:r w:rsidRPr="004D46AC">
        <w:t xml:space="preserve">. Bowlby proposed that infants have an innate tendency to seek proximity to their caregivers to establish a sense of safety and security. As a core element of the theory, he introduced the concept of the </w:t>
      </w:r>
      <w:r w:rsidRPr="004D46AC">
        <w:rPr>
          <w:i/>
          <w:iCs/>
        </w:rPr>
        <w:t>internal working model</w:t>
      </w:r>
      <w:r w:rsidRPr="004D46AC">
        <w:t xml:space="preserve">, which refers to the mental representations of self and others that are shaped through early interactions with caregivers. These models influence individuals’ expectations of relationships and guide their future emotional and interpersonal behaviour. He further suggested that early attachment experiences may influence vulnerability to mental illness; for example, his early findings indicated that inconsistent caregiving or maternal separation was associated with an elevated risk for psychiatric disorders. Building on this, </w:t>
      </w:r>
      <w:r w:rsidRPr="004D46AC">
        <w:fldChar w:fldCharType="begin"/>
      </w:r>
      <w:r w:rsidRPr="004D46AC">
        <w:instrText xml:space="preserve"> ADDIN EN.CITE &lt;EndNote&gt;&lt;Cite AuthorYear="1"&gt;&lt;Author&gt;Ainsworth&lt;/Author&gt;&lt;Year&gt;1978&lt;/Year&gt;&lt;RecNum&gt;1081&lt;/RecNum&gt;&lt;DisplayText&gt;Ainsworth et al. (1978)&lt;/DisplayText&gt;&lt;record&gt;&lt;rec-number&gt;1081&lt;/rec-number&gt;&lt;foreign-keys&gt;&lt;key app="EN" db-id="aet009sstawa0hewvt3xwf5atffdw2dt02sw" timestamp="1748730558"&gt;1081&lt;/key&gt;&lt;/foreign-keys&gt;&lt;ref-type name="Book"&gt;6&lt;/ref-type&gt;&lt;contributors&gt;&lt;authors&gt;&lt;author&gt;Ainsworth, Mary D. Salter&lt;/author&gt;&lt;author&gt;Blehar, Mary C.&lt;/author&gt;&lt;author&gt;Waters, Everett&lt;/author&gt;&lt;author&gt;Wall, Sally&lt;/author&gt;&lt;/authors&gt;&lt;/contributors&gt;&lt;titles&gt;&lt;title&gt;Patterns of attachment: A psychological study of the strange situation&lt;/title&gt;&lt;secondary-title&gt;Patterns of attachment: A psychological study of the strange situation.&lt;/secondary-title&gt;&lt;/titles&gt;&lt;pages&gt;xviii, 391-xviii, 391&lt;/pages&gt;&lt;keywords&gt;&lt;keyword&gt;*Mother Child Relations&lt;/keyword&gt;&lt;keyword&gt;Theories&lt;/keyword&gt;&lt;/keywords&gt;&lt;dates&gt;&lt;year&gt;1978&lt;/year&gt;&lt;/dates&gt;&lt;pub-location&gt;Oxford, England&lt;/pub-location&gt;&lt;publisher&gt;Lawrence Erlbaum&lt;/publisher&gt;&lt;isbn&gt;0470265345&lt;/isbn&gt;&lt;urls&gt;&lt;/urls&gt;&lt;/record&gt;&lt;/Cite&gt;&lt;/EndNote&gt;</w:instrText>
      </w:r>
      <w:r w:rsidRPr="004D46AC">
        <w:fldChar w:fldCharType="separate"/>
      </w:r>
      <w:r w:rsidRPr="004D46AC">
        <w:rPr>
          <w:noProof/>
        </w:rPr>
        <w:t>Ainsworth et al. (1978)</w:t>
      </w:r>
      <w:r w:rsidRPr="004D46AC">
        <w:fldChar w:fldCharType="end"/>
      </w:r>
      <w:r w:rsidRPr="004D46AC">
        <w:t xml:space="preserve"> identified three patterns of attachment to caregivers among infants based on their responses to reunion in the Strange Situation: secure (e.g., actively seeking proximity and comfort), insecure-avoidant (e.g., avoiding eye contact and physical closeness), and insecure-ambivalent (e.g., simultaneously seeking and resisting contact). </w:t>
      </w:r>
      <w:r w:rsidRPr="004D46AC">
        <w:fldChar w:fldCharType="begin"/>
      </w:r>
      <w:r w:rsidRPr="004D46AC">
        <w:instrText xml:space="preserve"> ADDIN EN.CITE &lt;EndNote&gt;&lt;Cite AuthorYear="1"&gt;&lt;Author&gt;Main&lt;/Author&gt;&lt;Year&gt;1990&lt;/Year&gt;&lt;RecNum&gt;1082&lt;/RecNum&gt;&lt;DisplayText&gt;Main and Solomon (1990)&lt;/DisplayText&gt;&lt;record&gt;&lt;rec-number&gt;1082&lt;/rec-number&gt;&lt;foreign-keys&gt;&lt;key app="EN" db-id="aet009sstawa0hewvt3xwf5atffdw2dt02sw" timestamp="1748732130"&gt;1082&lt;/key&gt;&lt;/foreign-keys&gt;&lt;ref-type name="Book Section"&gt;5&lt;/ref-type&gt;&lt;contributors&gt;&lt;authors&gt;&lt;author&gt;Main, Mary&lt;/author&gt;&lt;author&gt;Solomon, Judith&lt;/author&gt;&lt;/authors&gt;&lt;/contributors&gt;&lt;titles&gt;&lt;title&gt;Procedures for identifying infants as disorganized/disoriented during the Ainsworth Strange Situation&lt;/title&gt;&lt;secondary-title&gt;Attachment in the preschool years: Theory, research, and intervention.&lt;/secondary-title&gt;&lt;tertiary-title&gt;The John D. and Catherine T. MacArthur Foundation series on mental health and development.&lt;/tertiary-title&gt;&lt;/titles&gt;&lt;pages&gt;121-160&lt;/pages&gt;&lt;keywords&gt;&lt;keyword&gt;*Attachment Behavior&lt;/keyword&gt;&lt;keyword&gt;*Stranger Reactions&lt;/keyword&gt;&lt;keyword&gt;*Taxonomies&lt;/keyword&gt;&lt;keyword&gt;Statistical Reliability&lt;/keyword&gt;&lt;/keywords&gt;&lt;dates&gt;&lt;year&gt;1990&lt;/year&gt;&lt;/dates&gt;&lt;pub-location&gt;Chicago, IL, US&lt;/pub-location&gt;&lt;publisher&gt;The University of Chicago Press&lt;/publisher&gt;&lt;isbn&gt;0-226-30629-1 (Hardcover)&lt;/isbn&gt;&lt;urls&gt;&lt;/urls&gt;&lt;/record&gt;&lt;/Cite&gt;&lt;/EndNote&gt;</w:instrText>
      </w:r>
      <w:r w:rsidRPr="004D46AC">
        <w:fldChar w:fldCharType="separate"/>
      </w:r>
      <w:r w:rsidRPr="004D46AC">
        <w:rPr>
          <w:noProof/>
        </w:rPr>
        <w:t>Main and Solomon (1990)</w:t>
      </w:r>
      <w:r w:rsidRPr="004D46AC">
        <w:fldChar w:fldCharType="end"/>
      </w:r>
      <w:r w:rsidRPr="004D46AC">
        <w:t xml:space="preserve"> proposed a fourth classification - disorganised attachment - for infants who display contradictory or disoriented behaviours that do not fit the original three categories, </w:t>
      </w:r>
      <w:r w:rsidRPr="004D46AC">
        <w:lastRenderedPageBreak/>
        <w:t xml:space="preserve">implicating potential issues in caregiving that has been commonly observed in caregivers with mental illnesses. </w:t>
      </w:r>
    </w:p>
    <w:p w14:paraId="659A5AFE" w14:textId="77777777" w:rsidR="003D5CB6" w:rsidRPr="004D46AC" w:rsidRDefault="003D5CB6" w:rsidP="00B518F1">
      <w:r w:rsidRPr="004D46AC">
        <w:rPr>
          <w:rFonts w:eastAsiaTheme="minorEastAsia"/>
        </w:rPr>
        <w:t xml:space="preserve">The four categories have been extensively examined in empirical studies among youth population. </w:t>
      </w:r>
      <w:r w:rsidRPr="004D46AC">
        <w:rPr>
          <w:rFonts w:eastAsiaTheme="minorEastAsia"/>
        </w:rPr>
        <w:fldChar w:fldCharType="begin"/>
      </w:r>
      <w:r w:rsidRPr="004D46AC">
        <w:rPr>
          <w:rFonts w:eastAsiaTheme="minorEastAsia"/>
        </w:rPr>
        <w:instrText xml:space="preserve"> ADDIN EN.CITE &lt;EndNote&gt;&lt;Cite AuthorYear="1"&gt;&lt;Author&gt;Krantz&lt;/Author&gt;&lt;Year&gt;2024&lt;/Year&gt;&lt;RecNum&gt;1083&lt;/RecNum&gt;&lt;DisplayText&gt;Krantz et al. (2024)&lt;/DisplayText&gt;&lt;record&gt;&lt;rec-number&gt;1083&lt;/rec-number&gt;&lt;foreign-keys&gt;&lt;key app="EN" db-id="aet009sstawa0hewvt3xwf5atffdw2dt02sw" timestamp="1748774224"&gt;1083&lt;/key&gt;&lt;/foreign-keys&gt;&lt;ref-type name="Journal Article"&gt;17&lt;/ref-type&gt;&lt;contributors&gt;&lt;authors&gt;&lt;author&gt;Krantz, Mette Falkenberg&lt;/author&gt;&lt;author&gt;Gregersen, Maja&lt;/author&gt;&lt;author&gt;Veddum, Lotte&lt;/author&gt;&lt;author&gt;Hjorthøj, Carsten&lt;/author&gt;&lt;author&gt;Prøsch, Åsa Kremer&lt;/author&gt;&lt;author&gt;Ohland, Jessica&lt;/author&gt;&lt;author&gt;Brandt, Julie Marie&lt;/author&gt;&lt;author&gt;Rohd, Sinnika Birkehøj&lt;/author&gt;&lt;author&gt;Knudsen, Christina Bruun&lt;/author&gt;&lt;author&gt;Andreasen, Anna Krogh&lt;/author&gt;&lt;author&gt;Hemager, Nicoline&lt;/author&gt;&lt;author&gt;Greve, Aja&lt;/author&gt;&lt;author&gt;Mors, Ole&lt;/author&gt;&lt;author&gt;Nordentoft, Merete&lt;/author&gt;&lt;author&gt;Psouni, Elia&lt;/author&gt;&lt;author&gt;Thorup, Anne A. E.&lt;/author&gt;&lt;/authors&gt;&lt;/contributors&gt;&lt;titles&gt;&lt;title&gt;Attachment representations in pre-adolescents at familial high risk of schizophrenia or bipolar disorder and population-based controls—Characteristics of attachment from middle childhood to pre-adolescence, and its relation to parental functioning and child mental disorder&lt;/title&gt;&lt;secondary-title&gt;JCPP Advances&lt;/secondary-title&gt;&lt;/titles&gt;&lt;periodical&gt;&lt;full-title&gt;JCPP Advances&lt;/full-title&gt;&lt;/periodical&gt;&lt;pages&gt;e12274&lt;/pages&gt;&lt;volume&gt;n/a&lt;/volume&gt;&lt;number&gt;n/a&lt;/number&gt;&lt;dates&gt;&lt;year&gt;2024&lt;/year&gt;&lt;/dates&gt;&lt;urls&gt;&lt;related-urls&gt;&lt;url&gt;https://acamh.onlinelibrary.wiley.com/doi/abs/10.1002/jcv2.12274&lt;/url&gt;&lt;/related-urls&gt;&lt;/urls&gt;&lt;electronic-resource-num&gt;https://doi.org/10.1002/jcv2.12274&lt;/electronic-resource-num&gt;&lt;/record&gt;&lt;/Cite&gt;&lt;/EndNote&gt;</w:instrText>
      </w:r>
      <w:r w:rsidRPr="004D46AC">
        <w:rPr>
          <w:rFonts w:eastAsiaTheme="minorEastAsia"/>
        </w:rPr>
        <w:fldChar w:fldCharType="separate"/>
      </w:r>
      <w:r w:rsidRPr="004D46AC">
        <w:rPr>
          <w:rFonts w:eastAsiaTheme="minorEastAsia"/>
          <w:noProof/>
        </w:rPr>
        <w:t>Krantz et al. (2024)</w:t>
      </w:r>
      <w:r w:rsidRPr="004D46AC">
        <w:rPr>
          <w:rFonts w:eastAsiaTheme="minorEastAsia"/>
        </w:rPr>
        <w:fldChar w:fldCharType="end"/>
      </w:r>
      <w:r w:rsidRPr="004D46AC">
        <w:rPr>
          <w:rFonts w:eastAsiaTheme="minorEastAsia"/>
        </w:rPr>
        <w:t xml:space="preserve"> found no significant differences in attachment patterns between children at FHR for schizophrenia or bipolar disorder and population-based controls. Longitudinal regression analyses revealed stability in attachment patterns over time, with secure attachment at baseline predicting secure attachment seven years later across all groups. Notably, disorganised attachment was the only pattern associated with an elevated risk of later psychopathology, and similar finding has been reported elsewhere </w:t>
      </w:r>
      <w:r w:rsidRPr="004D46AC">
        <w:rPr>
          <w:rFonts w:eastAsiaTheme="minorEastAsia"/>
        </w:rPr>
        <w:fldChar w:fldCharType="begin"/>
      </w:r>
      <w:r w:rsidRPr="004D46AC">
        <w:rPr>
          <w:rFonts w:eastAsiaTheme="minorEastAsia"/>
        </w:rPr>
        <w:instrText xml:space="preserve"> ADDIN EN.CITE &lt;EndNote&gt;&lt;Cite&gt;&lt;Author&gt;Obsuth&lt;/Author&gt;&lt;Year&gt;2014&lt;/Year&gt;&lt;RecNum&gt;1084&lt;/RecNum&gt;&lt;DisplayText&gt;(Obsuth et al., 2014)&lt;/DisplayText&gt;&lt;record&gt;&lt;rec-number&gt;1084&lt;/rec-number&gt;&lt;foreign-keys&gt;&lt;key app="EN" db-id="aet009sstawa0hewvt3xwf5atffdw2dt02sw" timestamp="1748775700"&gt;1084&lt;/key&gt;&lt;/foreign-keys&gt;&lt;ref-type name="Journal Article"&gt;17&lt;/ref-type&gt;&lt;contributors&gt;&lt;authors&gt;&lt;author&gt;Obsuth, Ingrid&lt;/author&gt;&lt;author&gt;Hennighausen, Katherine&lt;/author&gt;&lt;author&gt;Brumariu, Laura E.&lt;/author&gt;&lt;author&gt;Lyons-Ruth, Karlen&lt;/author&gt;&lt;/authors&gt;&lt;/contributors&gt;&lt;titles&gt;&lt;title&gt;Disorganized Behavior in Adolescent–Parent Interaction: Relations to Attachment State of Mind, Partner Abuse, and Psychopathology&lt;/title&gt;&lt;secondary-title&gt;Child Development&lt;/secondary-title&gt;&lt;/titles&gt;&lt;periodical&gt;&lt;full-title&gt;Child Development&lt;/full-title&gt;&lt;/periodical&gt;&lt;pages&gt;370-387&lt;/pages&gt;&lt;volume&gt;85&lt;/volume&gt;&lt;number&gt;1&lt;/number&gt;&lt;dates&gt;&lt;year&gt;2014&lt;/year&gt;&lt;/dates&gt;&lt;isbn&gt;0009-3920&lt;/isbn&gt;&lt;urls&gt;&lt;related-urls&gt;&lt;url&gt;https://srcd.onlinelibrary.wiley.com/doi/abs/10.1111/cdev.12113&lt;/url&gt;&lt;/related-urls&gt;&lt;/urls&gt;&lt;electronic-resource-num&gt;https://doi.org/10.1111/cdev.12113&lt;/electronic-resource-num&gt;&lt;/record&gt;&lt;/Cite&gt;&lt;/EndNote&gt;</w:instrText>
      </w:r>
      <w:r w:rsidRPr="004D46AC">
        <w:rPr>
          <w:rFonts w:eastAsiaTheme="minorEastAsia"/>
        </w:rPr>
        <w:fldChar w:fldCharType="separate"/>
      </w:r>
      <w:r w:rsidRPr="004D46AC">
        <w:rPr>
          <w:rFonts w:eastAsiaTheme="minorEastAsia"/>
          <w:noProof/>
        </w:rPr>
        <w:t>(Obsuth et al., 2014)</w:t>
      </w:r>
      <w:r w:rsidRPr="004D46AC">
        <w:rPr>
          <w:rFonts w:eastAsiaTheme="minorEastAsia"/>
        </w:rPr>
        <w:fldChar w:fldCharType="end"/>
      </w:r>
      <w:r w:rsidRPr="004D46AC">
        <w:rPr>
          <w:rFonts w:eastAsiaTheme="minorEastAsia"/>
        </w:rPr>
        <w:t>. Another study examined attachment and early psychopathology in children at familial risk for bipolar disorder and schizophrenia. Attachment problems during toddlerhood (9-24 months) were more frequently reported in the offspring of individuals with schizophrenia (25%) compared to those with bipolar disorder and healthy controls (both</w:t>
      </w:r>
      <w:r w:rsidRPr="004D46AC">
        <w:rPr>
          <w:rFonts w:eastAsiaTheme="minorEastAsia" w:hint="eastAsia"/>
        </w:rPr>
        <w:t xml:space="preserve"> </w:t>
      </w:r>
      <w:r w:rsidRPr="004D46AC">
        <w:rPr>
          <w:rFonts w:eastAsiaTheme="minorEastAsia"/>
        </w:rPr>
        <w:t xml:space="preserve">16%), with the difference reaching marginal significance </w:t>
      </w:r>
      <w:r w:rsidRPr="004D46AC">
        <w:rPr>
          <w:rFonts w:eastAsiaTheme="minorEastAsia"/>
        </w:rPr>
        <w:fldChar w:fldCharType="begin">
          <w:fldData xml:space="preserve">PEVuZE5vdGU+PENpdGU+PEF1dGhvcj5CdW5kZ2FhcmQ8L0F1dGhvcj48WWVhcj4yMDIyPC9ZZWFy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PEVuZE5vdGU+PENpdGU+PEF1dGhvcj5CdW5kZ2FhcmQ8L0F1dGhvcj48WWVhcj4yMDIyPC9ZZWFy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(Bundgaard et al., 2022)</w:t>
      </w:r>
      <w:r w:rsidRPr="004D46AC">
        <w:rPr>
          <w:rFonts w:eastAsiaTheme="minorEastAsia"/>
        </w:rPr>
        <w:fldChar w:fldCharType="end"/>
      </w:r>
      <w:r w:rsidRPr="004D46AC">
        <w:rPr>
          <w:rFonts w:eastAsiaTheme="minorEastAsia"/>
        </w:rPr>
        <w:t xml:space="preserve">. They also observed that insecure attachment was associated with increased risk of mental illness and poorer functioning across all groups </w:t>
      </w:r>
      <w:r w:rsidRPr="004D46AC">
        <w:rPr>
          <w:rFonts w:eastAsiaTheme="minorEastAsia"/>
        </w:rPr>
        <w:fldChar w:fldCharType="begin"/>
      </w:r>
      <w:r w:rsidRPr="004D46AC">
        <w:rPr>
          <w:rFonts w:eastAsiaTheme="minorEastAsia"/>
        </w:rPr>
        <w:instrText xml:space="preserve"> ADDIN EN.CITE &lt;EndNote&gt;&lt;Cite&gt;&lt;Author&gt;Gregersen&lt;/Author&gt;&lt;Year&gt;2023&lt;/Year&gt;&lt;RecNum&gt;1090&lt;/RecNum&gt;&lt;DisplayText&gt;(Gregersen et al., 2023)&lt;/DisplayText&gt;&lt;record&gt;&lt;rec-number&gt;1090&lt;/rec-number&gt;&lt;foreign-keys&gt;&lt;key app="EN" db-id="aet009sstawa0hewvt3xwf5atffdw2dt02sw" timestamp="1748818019"&gt;1090&lt;/key&gt;&lt;/foreign-keys&gt;&lt;ref-type name="Journal Article"&gt;17&lt;/ref-type&gt;&lt;contributors&gt;&lt;authors&gt;&lt;author&gt;Gregersen, Maja&lt;/author&gt;&lt;author&gt;Ellersgaard, Ditte&lt;/author&gt;&lt;author&gt;Søndergaard, Anne&lt;/author&gt;&lt;author&gt;Christiani, Camilla&lt;/author&gt;&lt;author&gt;Hemager, Nicoline&lt;/author&gt;&lt;author&gt;Spang, Katrine Søborg&lt;/author&gt;&lt;author&gt;Burton, Birgitte Klee&lt;/author&gt;&lt;author&gt;Uddin, Md Jamal&lt;/author&gt;&lt;author&gt;Ohland, Jessica&lt;/author&gt;&lt;author&gt;Gantriis, Ditte&lt;/author&gt;&lt;author&gt;Greve, Aja&lt;/author&gt;&lt;author&gt;Hjorthøj, Carsten&lt;/author&gt;&lt;author&gt;Mors, Ole&lt;/author&gt;&lt;author&gt;Plessen, Kerstin Jessica&lt;/author&gt;&lt;author&gt;Nordentoft, Merete&lt;/author&gt;&lt;author&gt;Clemmensen, Lars&lt;/author&gt;&lt;author&gt;Jepsen, Jens Richardt Møllegaard&lt;/author&gt;&lt;author&gt;Thorup, Anne Amalie Elgaard&lt;/author&gt;&lt;/authors&gt;&lt;/contributors&gt;&lt;titles&gt;&lt;title&gt;Attachment representations in 7-year-old children at familial high risk of schizophrenia or bipolar disorder: Associations with mental disorders and daily functioning&lt;/title&gt;&lt;secondary-title&gt;Scandinavian Journal of Psychology&lt;/secondary-title&gt;&lt;/titles&gt;&lt;periodical&gt;&lt;full-title&gt;Scandinavian Journal of Psychology&lt;/full-title&gt;&lt;/periodical&gt;&lt;pages&gt;776-783&lt;/pages&gt;&lt;volume&gt;64&lt;/volume&gt;&lt;number&gt;6&lt;/number&gt;&lt;dates&gt;&lt;year&gt;2023&lt;/year&gt;&lt;/dates&gt;&lt;isbn&gt;0036-5564&lt;/isbn&gt;&lt;urls&gt;&lt;related-urls&gt;&lt;url&gt;https://onlinelibrary.wiley.com/doi/abs/10.1111/sjop.12941&lt;/url&gt;&lt;/related-urls&gt;&lt;/urls&gt;&lt;electronic-resource-num&gt;https://doi.org/10.1111/sjop.12941&lt;/electronic-resource-num&gt;&lt;/record&gt;&lt;/Cite&gt;&lt;/EndNote&gt;</w:instrText>
      </w:r>
      <w:r w:rsidRPr="004D46AC">
        <w:rPr>
          <w:rFonts w:eastAsiaTheme="minorEastAsia"/>
        </w:rPr>
        <w:fldChar w:fldCharType="separate"/>
      </w:r>
      <w:r w:rsidRPr="004D46AC">
        <w:rPr>
          <w:rFonts w:eastAsiaTheme="minorEastAsia"/>
          <w:noProof/>
        </w:rPr>
        <w:t>(Gregersen et al., 2023)</w:t>
      </w:r>
      <w:r w:rsidRPr="004D46AC">
        <w:rPr>
          <w:rFonts w:eastAsiaTheme="minorEastAsia"/>
        </w:rPr>
        <w:fldChar w:fldCharType="end"/>
      </w:r>
      <w:r w:rsidRPr="004D46AC">
        <w:rPr>
          <w:rFonts w:eastAsiaTheme="minorEastAsia"/>
        </w:rPr>
        <w:t xml:space="preserve">. Another meta-analysis found that attachment accounted for 16.8% of the variance in psychosis transition among individuals at UHR for psychosis </w:t>
      </w:r>
      <w:r w:rsidRPr="004D46AC">
        <w:rPr>
          <w:rFonts w:eastAsiaTheme="minorEastAsia"/>
        </w:rPr>
        <w:fldChar w:fldCharType="begin"/>
      </w:r>
      <w:r w:rsidRPr="004D46AC">
        <w:rPr>
          <w:rFonts w:eastAsiaTheme="minorEastAsia"/>
        </w:rPr>
        <w:instrText xml:space="preserve"> ADDIN EN.CITE &lt;EndNote&gt;&lt;Cite&gt;&lt;Author&gt;Barbeito&lt;/Author&gt;&lt;Year&gt;2024&lt;/Year&gt;&lt;RecNum&gt;1091&lt;/RecNum&gt;&lt;DisplayText&gt;(Barbeito et al., 2024)&lt;/DisplayText&gt;&lt;record&gt;&lt;rec-number&gt;1091&lt;/rec-number&gt;&lt;foreign-keys&gt;&lt;key app="EN" db-id="aet009sstawa0hewvt3xwf5atffdw2dt02sw" timestamp="1748818291"&gt;1091&lt;/key&gt;&lt;/foreign-keys&gt;&lt;ref-type name="Journal Article"&gt;17&lt;/ref-type&gt;&lt;contributors&gt;&lt;authors&gt;&lt;author&gt;Barbeito, Sara&lt;/author&gt;&lt;author&gt;Gómez-Juncal, Rocío&lt;/author&gt;&lt;author&gt;Vega, Patricia&lt;/author&gt;&lt;author&gt;Antonio Becerra, Juan&lt;/author&gt;&lt;author&gt;Petkari, Eleni&lt;/author&gt;&lt;author&gt;González-Pinto, Ana&lt;/author&gt;&lt;author&gt;Sánchez-Gutiérrez, Teresa&lt;/author&gt;&lt;/authors&gt;&lt;/contributors&gt;&lt;titles&gt;&lt;title&gt;Attachment styles and associated psychosocial factors in patients at ultra-high risk for psychosis: A systematic review&lt;/title&gt;&lt;secondary-title&gt;International Journal of Social Psychiatry&lt;/secondary-title&gt;&lt;/titles&gt;&lt;periodical&gt;&lt;full-title&gt;International Journal of Social Psychiatry&lt;/full-title&gt;&lt;/periodical&gt;&lt;pages&gt;850-860&lt;/pages&gt;&lt;volume&gt;70&lt;/volume&gt;&lt;number&gt;5&lt;/number&gt;&lt;keywords&gt;&lt;keyword&gt;UHR, mentalization, attachment, transition to psychosis, psychosocial factors&lt;/keyword&gt;&lt;/keywords&gt;&lt;dates&gt;&lt;year&gt;2024&lt;/year&gt;&lt;/dates&gt;&lt;accession-num&gt;38343189&lt;/accession-num&gt;&lt;urls&gt;&lt;related-urls&gt;&lt;url&gt;https://journals.sagepub.com/doi/abs/10.1177/00207640231224661&lt;/url&gt;&lt;/related-urls&gt;&lt;/urls&gt;&lt;electronic-resource-num&gt;10.1177/00207640231224661&lt;/electronic-resource-num&gt;&lt;/record&gt;&lt;/Cite&gt;&lt;/EndNote&gt;</w:instrText>
      </w:r>
      <w:r w:rsidRPr="004D46AC">
        <w:rPr>
          <w:rFonts w:eastAsiaTheme="minorEastAsia"/>
        </w:rPr>
        <w:fldChar w:fldCharType="separate"/>
      </w:r>
      <w:r w:rsidRPr="004D46AC">
        <w:rPr>
          <w:rFonts w:eastAsiaTheme="minorEastAsia"/>
          <w:noProof/>
        </w:rPr>
        <w:t>(Barbeito et al., 2024)</w:t>
      </w:r>
      <w:r w:rsidRPr="004D46AC">
        <w:rPr>
          <w:rFonts w:eastAsiaTheme="minorEastAsia"/>
        </w:rPr>
        <w:fldChar w:fldCharType="end"/>
      </w:r>
      <w:r w:rsidRPr="004D46AC">
        <w:rPr>
          <w:rFonts w:eastAsiaTheme="minorEastAsia"/>
        </w:rPr>
        <w:t xml:space="preserve">. An inconsistent finding was observed in UHR for psychosis population, where the schizotypal paranoia was the only variable correlated with insecure attachment, yet, in healthy control, insecure attachment was correlated with various subclinical symptoms including depression and anxiety </w:t>
      </w:r>
      <w:r w:rsidRPr="004D46AC">
        <w:rPr>
          <w:rFonts w:eastAsiaTheme="minorEastAsia"/>
        </w:rPr>
        <w:fldChar w:fldCharType="begin"/>
      </w:r>
      <w:r w:rsidRPr="004D46AC">
        <w:rPr>
          <w:rFonts w:eastAsiaTheme="minorEastAsia"/>
        </w:rPr>
        <w:instrText xml:space="preserve"> ADDIN EN.CITE &lt;EndNote&gt;&lt;Cite&gt;&lt;Author&gt;Russo&lt;/Author&gt;&lt;Year&gt;2018&lt;/Year&gt;&lt;RecNum&gt;1085&lt;/RecNum&gt;&lt;DisplayText&gt;(Russo et al., 2018)&lt;/DisplayText&gt;&lt;record&gt;&lt;rec-number&gt;1085&lt;/rec-number&gt;&lt;foreign-keys&gt;&lt;key app="EN" db-id="aet009sstawa0hewvt3xwf5atffdw2dt02sw" timestamp="1748799766"&gt;1085&lt;/key&gt;&lt;/foreign-keys&gt;&lt;ref-type name="Journal Article"&gt;17&lt;/ref-type&gt;&lt;contributors&gt;&lt;authors&gt;&lt;author&gt;Russo, Debra A.&lt;/author&gt;&lt;author&gt;Stochl, Jan&lt;/author&gt;&lt;author&gt;Hodgekins, Joanne&lt;/author&gt;&lt;author&gt;Iglesias-González, Maria&lt;/author&gt;&lt;author&gt;Chipps, Penelope&lt;/author&gt;&lt;author&gt;Painter, Michelle&lt;/author&gt;&lt;author&gt;Jones, Peter B.&lt;/author&gt;&lt;author&gt;Perez, Jesus&lt;/author&gt;&lt;/authors&gt;&lt;/contributors&gt;&lt;titles&gt;&lt;title&gt;Attachment styles and clinical correlates in people at ultra high risk for psychosis&lt;/title&gt;&lt;secondary-title&gt;British Journal of Psychology&lt;/secondary-title&gt;&lt;/titles&gt;&lt;periodical&gt;&lt;full-title&gt;British Journal of Psychology&lt;/full-title&gt;&lt;/periodical&gt;&lt;pages&gt;45-62&lt;/pages&gt;&lt;volume&gt;109&lt;/volume&gt;&lt;number&gt;1&lt;/number&gt;&lt;dates&gt;&lt;year&gt;2018&lt;/year&gt;&lt;/dates&gt;&lt;isbn&gt;0007-1269&lt;/isbn&gt;&lt;urls&gt;&lt;related-urls&gt;&lt;url&gt;https://bpspsychub.onlinelibrary.wiley.com/doi/abs/10.1111/bjop.12249&lt;/url&gt;&lt;/related-urls&gt;&lt;/urls&gt;&lt;electronic-resource-num&gt;https://doi.org/10.1111/bjop.12249&lt;/electronic-resource-num&gt;&lt;/record&gt;&lt;/Cite&gt;&lt;/EndNote&gt;</w:instrText>
      </w:r>
      <w:r w:rsidRPr="004D46AC">
        <w:rPr>
          <w:rFonts w:eastAsiaTheme="minorEastAsia"/>
        </w:rPr>
        <w:fldChar w:fldCharType="separate"/>
      </w:r>
      <w:r w:rsidRPr="004D46AC">
        <w:rPr>
          <w:rFonts w:eastAsiaTheme="minorEastAsia"/>
          <w:noProof/>
        </w:rPr>
        <w:t>(Russo et al., 2018)</w:t>
      </w:r>
      <w:r w:rsidRPr="004D46AC">
        <w:rPr>
          <w:rFonts w:eastAsiaTheme="minorEastAsia"/>
        </w:rPr>
        <w:fldChar w:fldCharType="end"/>
      </w:r>
      <w:r w:rsidRPr="004D46AC">
        <w:rPr>
          <w:rFonts w:eastAsiaTheme="minorEastAsia"/>
        </w:rPr>
        <w:t xml:space="preserve">. </w:t>
      </w:r>
    </w:p>
    <w:p w14:paraId="6DA1B942" w14:textId="77777777" w:rsidR="003D5CB6" w:rsidRPr="004D46AC" w:rsidRDefault="003D5CB6" w:rsidP="00B518F1">
      <w:pPr>
        <w:rPr>
          <w:rFonts w:eastAsiaTheme="minorEastAsia"/>
        </w:rPr>
      </w:pPr>
      <w:r w:rsidRPr="004D46AC">
        <w:rPr>
          <w:rFonts w:eastAsiaTheme="minorEastAsia"/>
        </w:rPr>
        <w:t xml:space="preserve">Child-parent attachment theory has been extended to adult populations to examine romantic relationships and other close bonds. This extension has enabled researchers to explore the pathways between adult attachment styles and vulnerability to psychosis across different populations. Building on earlier conceptualisations of attachment theory, </w:t>
      </w:r>
      <w:r w:rsidRPr="004D46AC">
        <w:rPr>
          <w:rFonts w:eastAsiaTheme="minorEastAsia"/>
        </w:rPr>
        <w:fldChar w:fldCharType="begin"/>
      </w:r>
      <w:r w:rsidRPr="004D46AC">
        <w:rPr>
          <w:rFonts w:eastAsiaTheme="minorEastAsia"/>
        </w:rPr>
        <w:instrText xml:space="preserve"> ADDIN EN.CITE &lt;EndNote&gt;&lt;Cite AuthorYear="1"&gt;&lt;Author&gt;Hazan&lt;/Author&gt;&lt;Year&gt;1990&lt;/Year&gt;&lt;RecNum&gt;1086&lt;/RecNum&gt;&lt;DisplayText&gt;Hazan and Shaver (1990)&lt;/DisplayText&gt;&lt;record&gt;&lt;rec-number&gt;1086&lt;/rec-number&gt;&lt;foreign-keys&gt;&lt;key app="EN" db-id="aet009sstawa0hewvt3xwf5atffdw2dt02sw" timestamp="1748812342"&gt;1086&lt;/key&gt;&lt;/foreign-keys&gt;&lt;ref-type name="Journal Article"&gt;17&lt;/ref-type&gt;&lt;contributors&gt;&lt;authors&gt;&lt;author&gt;Hazan, Cindy&lt;/author&gt;&lt;author&gt;Shaver, Phillip R&lt;/author&gt;&lt;/authors&gt;&lt;/contributors&gt;&lt;titles&gt;&lt;title&gt;Love and work: An attachment-theoretical perspective&lt;/title&gt;&lt;secondary-title&gt;Journal of Personality and social Psychology&lt;/secondary-title&gt;&lt;/titles&gt;&lt;periodical&gt;&lt;full-title&gt;Journal of Personality and social Psychology&lt;/full-title&gt;&lt;/periodical&gt;&lt;pages&gt;270&lt;/pages&gt;&lt;volume&gt;59&lt;/volume&gt;&lt;number&gt;2&lt;/number&gt;&lt;dates&gt;&lt;year&gt;1990&lt;/year&gt;&lt;/dates&gt;&lt;isbn&gt;1939-1315&lt;/isbn&gt;&lt;urls&gt;&lt;/urls&gt;&lt;/record&gt;&lt;/Cite&gt;&lt;/EndNote&gt;</w:instrText>
      </w:r>
      <w:r w:rsidRPr="004D46AC">
        <w:rPr>
          <w:rFonts w:eastAsiaTheme="minorEastAsia"/>
        </w:rPr>
        <w:fldChar w:fldCharType="separate"/>
      </w:r>
      <w:r w:rsidRPr="004D46AC">
        <w:rPr>
          <w:rFonts w:eastAsiaTheme="minorEastAsia"/>
          <w:noProof/>
        </w:rPr>
        <w:t>Hazan and Shaver (1990)</w:t>
      </w:r>
      <w:r w:rsidRPr="004D46AC">
        <w:rPr>
          <w:rFonts w:eastAsiaTheme="minorEastAsia"/>
        </w:rPr>
        <w:fldChar w:fldCharType="end"/>
      </w:r>
      <w:r w:rsidRPr="004D46AC">
        <w:rPr>
          <w:rFonts w:eastAsiaTheme="minorEastAsia"/>
        </w:rPr>
        <w:t xml:space="preserve"> proposed two primary adult attachment dimensions: attachment anxiety - characterised by fear of abandonment and a heightened need for closeness - and </w:t>
      </w:r>
      <w:r w:rsidRPr="004D46AC">
        <w:rPr>
          <w:rFonts w:eastAsiaTheme="minorEastAsia"/>
        </w:rPr>
        <w:lastRenderedPageBreak/>
        <w:t xml:space="preserve">attachment avoidance - marked by discomfort with intimacy and dependence. In addition, based on individuals’ internal working models of the self and others (i.e., positive or negative), </w:t>
      </w:r>
      <w:r w:rsidRPr="004D46AC">
        <w:rPr>
          <w:rFonts w:eastAsiaTheme="minorEastAsia"/>
        </w:rPr>
        <w:fldChar w:fldCharType="begin"/>
      </w:r>
      <w:r w:rsidRPr="004D46AC">
        <w:rPr>
          <w:rFonts w:eastAsiaTheme="minorEastAsia"/>
        </w:rPr>
        <w:instrText xml:space="preserve"> ADDIN EN.CITE &lt;EndNote&gt;&lt;Cite AuthorYear="1"&gt;&lt;Author&gt;Bartholomew&lt;/Author&gt;&lt;Year&gt;1991&lt;/Year&gt;&lt;RecNum&gt;1097&lt;/RecNum&gt;&lt;DisplayText&gt;Bartholomew and Horowitz (1991)&lt;/DisplayText&gt;&lt;record&gt;&lt;rec-number&gt;1097&lt;/rec-number&gt;&lt;foreign-keys&gt;&lt;key app="EN" db-id="aet009sstawa0hewvt3xwf5atffdw2dt02sw" timestamp="1748862944"&gt;1097&lt;/key&gt;&lt;/foreign-keys&gt;&lt;ref-type name="Journal Article"&gt;17&lt;/ref-type&gt;&lt;contributors&gt;&lt;authors&gt;&lt;author&gt;Bartholomew, Kim&lt;/author&gt;&lt;author&gt;Horowitz, Leonard M&lt;/author&gt;&lt;/authors&gt;&lt;/contributors&gt;&lt;titles&gt;&lt;title&gt;Attachment styles among young adults: a test of a four-category model&lt;/title&gt;&lt;secondary-title&gt;Journal of personality and social psychology&lt;/secondary-title&gt;&lt;/titles&gt;&lt;periodical&gt;&lt;full-title&gt;Journal of Personality and social Psychology&lt;/full-title&gt;&lt;/periodical&gt;&lt;pages&gt;226&lt;/pages&gt;&lt;volume&gt;61&lt;/volume&gt;&lt;number&gt;2&lt;/number&gt;&lt;dates&gt;&lt;year&gt;1991&lt;/year&gt;&lt;/dates&gt;&lt;isbn&gt;1939-1315&lt;/isbn&gt;&lt;urls&gt;&lt;/urls&gt;&lt;/record&gt;&lt;/Cite&gt;&lt;/EndNote&gt;</w:instrText>
      </w:r>
      <w:r w:rsidRPr="004D46AC">
        <w:rPr>
          <w:rFonts w:eastAsiaTheme="minorEastAsia"/>
        </w:rPr>
        <w:fldChar w:fldCharType="separate"/>
      </w:r>
      <w:r w:rsidRPr="004D46AC">
        <w:rPr>
          <w:rFonts w:eastAsiaTheme="minorEastAsia"/>
          <w:noProof/>
        </w:rPr>
        <w:t>Bartholomew and Horowitz (1991)</w:t>
      </w:r>
      <w:r w:rsidRPr="004D46AC">
        <w:rPr>
          <w:rFonts w:eastAsiaTheme="minorEastAsia"/>
        </w:rPr>
        <w:fldChar w:fldCharType="end"/>
      </w:r>
      <w:r w:rsidRPr="004D46AC">
        <w:rPr>
          <w:rFonts w:eastAsiaTheme="minorEastAsia"/>
        </w:rPr>
        <w:t xml:space="preserve"> proposed two additional adult attachment styles: preoccupied (negative view of self, positive view of others) and dismissive (positive view of self, negative view of others).These styles are applicable not only to romantic relationships but also to close friendships, offering insight into how patterns of interpersonal relationships and dynamics may shape individuals’ mental well-being.</w:t>
      </w:r>
    </w:p>
    <w:p w14:paraId="704D03E6" w14:textId="77777777" w:rsidR="003D5CB6" w:rsidRPr="004D46AC" w:rsidRDefault="003D5CB6" w:rsidP="00B518F1">
      <w:pPr>
        <w:rPr>
          <w:rFonts w:eastAsiaTheme="minorEastAsia"/>
        </w:rPr>
      </w:pPr>
      <w:bookmarkStart w:id="57" w:name="OLE_LINK53"/>
      <w:r w:rsidRPr="004D46AC">
        <w:rPr>
          <w:rFonts w:eastAsiaTheme="minorEastAsia"/>
        </w:rPr>
        <w:t xml:space="preserve">A narrative review by </w:t>
      </w:r>
      <w:r w:rsidRPr="004D46AC">
        <w:rPr>
          <w:rFonts w:eastAsiaTheme="minorEastAsia"/>
        </w:rPr>
        <w:fldChar w:fldCharType="begin"/>
      </w:r>
      <w:r w:rsidRPr="004D46AC">
        <w:rPr>
          <w:rFonts w:eastAsiaTheme="minorEastAsia"/>
        </w:rPr>
        <w:instrText xml:space="preserve"> ADDIN EN.CITE &lt;EndNote&gt;&lt;Cite AuthorYear="1"&gt;&lt;Author&gt;Korver-Nieberg&lt;/Author&gt;&lt;Year&gt;2014&lt;/Year&gt;&lt;RecNum&gt;1087&lt;/RecNum&gt;&lt;DisplayText&gt;Korver-Nieberg et al. (2014)&lt;/DisplayText&gt;&lt;record&gt;&lt;rec-number&gt;1087&lt;/rec-number&gt;&lt;foreign-keys&gt;&lt;key app="EN" db-id="aet009sstawa0hewvt3xwf5atffdw2dt02sw" timestamp="1748814529"&gt;1087&lt;/key&gt;&lt;/foreign-keys&gt;&lt;ref-type name="Journal Article"&gt;17&lt;/ref-type&gt;&lt;contributors&gt;&lt;authors&gt;&lt;author&gt;Korver-Nieberg, Nikie&lt;/author&gt;&lt;author&gt;Berry, Katherine&lt;/author&gt;&lt;author&gt;Meijer, Carin J.&lt;/author&gt;&lt;author&gt;de Haan, Lieuwe&lt;/author&gt;&lt;/authors&gt;&lt;/contributors&gt;&lt;titles&gt;&lt;title&gt;Adult attachment and psychotic phenomenology in clinical and non-clinical samples: A systematic review&lt;/title&gt;&lt;secondary-title&gt;Psychology and Psychotherapy: Theory, Research and Practice&lt;/secondary-title&gt;&lt;/titles&gt;&lt;periodical&gt;&lt;full-title&gt;Psychology and Psychotherapy: Theory, Research and Practice&lt;/full-title&gt;&lt;/periodical&gt;&lt;pages&gt;127-154&lt;/pages&gt;&lt;volume&gt;87&lt;/volume&gt;&lt;number&gt;2&lt;/number&gt;&lt;dates&gt;&lt;year&gt;2014&lt;/year&gt;&lt;/dates&gt;&lt;isbn&gt;1476-0835&lt;/isbn&gt;&lt;urls&gt;&lt;related-urls&gt;&lt;url&gt;https://bpspsychub.onlinelibrary.wiley.com/doi/abs/10.1111/papt.12010&lt;/url&gt;&lt;/related-urls&gt;&lt;/urls&gt;&lt;electronic-resource-num&gt;https://doi.org/10.1111/papt.12010&lt;/electronic-resource-num&gt;&lt;/record&gt;&lt;/Cite&gt;&lt;/EndNote&gt;</w:instrText>
      </w:r>
      <w:r w:rsidRPr="004D46AC">
        <w:rPr>
          <w:rFonts w:eastAsiaTheme="minorEastAsia"/>
        </w:rPr>
        <w:fldChar w:fldCharType="separate"/>
      </w:r>
      <w:r w:rsidRPr="004D46AC">
        <w:rPr>
          <w:rFonts w:eastAsiaTheme="minorEastAsia"/>
          <w:noProof/>
        </w:rPr>
        <w:t>Korver-Nieberg et al. (2014)</w:t>
      </w:r>
      <w:r w:rsidRPr="004D46AC">
        <w:rPr>
          <w:rFonts w:eastAsiaTheme="minorEastAsia"/>
        </w:rPr>
        <w:fldChar w:fldCharType="end"/>
      </w:r>
      <w:r w:rsidRPr="004D46AC">
        <w:rPr>
          <w:rFonts w:eastAsiaTheme="minorEastAsia"/>
        </w:rPr>
        <w:t xml:space="preserve"> summarised evidence on the association between adult attachment and psychosis. Insecure attachment - whether anxious, avoidant, or both - was found to be more prevalent among individuals with schizophrenia. Interaction effects between insecure attachment and childhood adversity were also observed, potentially contributing to the development of psychotic symptoms such as paranoia</w:t>
      </w:r>
      <w:r w:rsidRPr="004D46AC">
        <w:rPr>
          <w:rFonts w:eastAsiaTheme="minorEastAsia" w:hint="eastAsia"/>
        </w:rPr>
        <w:t xml:space="preserve"> </w:t>
      </w:r>
      <w:r w:rsidRPr="004D46AC">
        <w:rPr>
          <w:rFonts w:eastAsiaTheme="minorEastAsia"/>
        </w:rPr>
        <w:fldChar w:fldCharType="begin">
          <w:fldData xml:space="preserve">PEVuZE5vdGU+PENpdGU+PEF1dGhvcj5CZW50YWxsPC9BdXRob3I+PFllYXI+MjAxNDwvWWVhcj48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PEVuZE5vdGU+PENpdGU+PEF1dGhvcj5CZW50YWxsPC9BdXRob3I+PFllYXI+MjAxNDwvWWVhcj48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(Bentall et al., 2014; Wickham et al., 2015)</w:t>
      </w:r>
      <w:r w:rsidRPr="004D46AC">
        <w:rPr>
          <w:rFonts w:eastAsiaTheme="minorEastAsia"/>
        </w:rPr>
        <w:fldChar w:fldCharType="end"/>
      </w:r>
      <w:r w:rsidRPr="004D46AC">
        <w:rPr>
          <w:rFonts w:eastAsiaTheme="minorEastAsia"/>
        </w:rPr>
        <w:t xml:space="preserve">. Prior literature further indicated that insecure attachment is associated with positive symptoms and affective dysregulation. More specifically, anxious attachment has been linked to delusional thinking, while avoidant attachment is more closely associated with negative symptoms such as social withdrawal. Secure attachment, on the other hand, has been proposed as protector that correlates with social functioning </w:t>
      </w:r>
      <w:r w:rsidRPr="004D46AC">
        <w:rPr>
          <w:rFonts w:eastAsiaTheme="minorEastAsia"/>
        </w:rPr>
        <w:fldChar w:fldCharType="begin"/>
      </w:r>
      <w:r w:rsidRPr="004D46AC">
        <w:rPr>
          <w:rFonts w:eastAsiaTheme="minorEastAsia"/>
        </w:rPr>
        <w:instrText xml:space="preserve"> ADDIN EN.CITE &lt;EndNote&gt;&lt;Cite&gt;&lt;Author&gt;de With&lt;/Author&gt;&lt;Year&gt;2023&lt;/Year&gt;&lt;RecNum&gt;1092&lt;/RecNum&gt;&lt;DisplayText&gt;(de With et al., 2023)&lt;/DisplayText&gt;&lt;record&gt;&lt;rec-number&gt;1092&lt;/rec-number&gt;&lt;foreign-keys&gt;&lt;key app="EN" db-id="aet009sstawa0hewvt3xwf5atffdw2dt02sw" timestamp="1748818713"&gt;1092&lt;/key&gt;&lt;/foreign-keys&gt;&lt;ref-type name="Journal Article"&gt;17&lt;/ref-type&gt;&lt;contributors&gt;&lt;authors&gt;&lt;author&gt;de With, Justine&lt;/author&gt;&lt;author&gt;Korver-Nieberg, Nikie&lt;/author&gt;&lt;author&gt;de Haan, Lieuwe&lt;/author&gt;&lt;author&gt;Schirmbeck, Frederike&lt;/author&gt;&lt;/authors&gt;&lt;/contributors&gt;&lt;titles&gt;&lt;title&gt;The association between attachment style and social functioning in patients with non-affective psychotic disorders, unaffected siblings and healthy controls&lt;/title&gt;&lt;secondary-title&gt;Schizophrenia Research&lt;/secondary-title&gt;&lt;/titles&gt;&lt;periodical&gt;&lt;full-title&gt;Schizophrenia Research&lt;/full-title&gt;&lt;/periodical&gt;&lt;pages&gt;96-102&lt;/pages&gt;&lt;volume&gt;252&lt;/volume&gt;&lt;keywords&gt;&lt;keyword&gt;Attachment&lt;/keyword&gt;&lt;keyword&gt;Social functioning&lt;/keyword&gt;&lt;keyword&gt;Psychosis&lt;/keyword&gt;&lt;keyword&gt;Schizophrenia&lt;/keyword&gt;&lt;/keywords&gt;&lt;dates&gt;&lt;year&gt;2023&lt;/year&gt;&lt;pub-dates&gt;&lt;date&gt;2023/02/01/&lt;/date&gt;&lt;/pub-dates&gt;&lt;/dates&gt;&lt;isbn&gt;0920-9964&lt;/isbn&gt;&lt;urls&gt;&lt;related-urls&gt;&lt;url&gt;https://www.sciencedirect.com/science/article/pii/S0920996422004868&lt;/url&gt;&lt;/related-urls&gt;&lt;/urls&gt;&lt;electronic-resource-num&gt;https://doi.org/10.1016/j.schres.2022.12.038&lt;/electronic-resource-num&gt;&lt;/record&gt;&lt;/Cite&gt;&lt;/EndNote&gt;</w:instrText>
      </w:r>
      <w:r w:rsidRPr="004D46AC">
        <w:rPr>
          <w:rFonts w:eastAsiaTheme="minorEastAsia"/>
        </w:rPr>
        <w:fldChar w:fldCharType="separate"/>
      </w:r>
      <w:r w:rsidRPr="004D46AC">
        <w:rPr>
          <w:rFonts w:eastAsiaTheme="minorEastAsia"/>
          <w:noProof/>
        </w:rPr>
        <w:t>(de With et al., 2023)</w:t>
      </w:r>
      <w:r w:rsidRPr="004D46AC">
        <w:rPr>
          <w:rFonts w:eastAsiaTheme="minorEastAsia"/>
        </w:rPr>
        <w:fldChar w:fldCharType="end"/>
      </w:r>
      <w:r w:rsidRPr="004D46AC">
        <w:rPr>
          <w:rFonts w:eastAsiaTheme="minorEastAsia"/>
        </w:rPr>
        <w:t xml:space="preserve">.  Later studies have replicated the high prevalence of insecure attachment in schizophrenia </w:t>
      </w:r>
      <w:r w:rsidRPr="004D46AC">
        <w:rPr>
          <w:rFonts w:eastAsiaTheme="minorEastAsia"/>
        </w:rPr>
        <w:fldChar w:fldCharType="begin"/>
      </w:r>
      <w:r w:rsidRPr="004D46AC">
        <w:rPr>
          <w:rFonts w:eastAsiaTheme="minorEastAsia"/>
        </w:rPr>
        <w:instrText xml:space="preserve"> ADDIN EN.CITE &lt;EndNote&gt;&lt;Cite&gt;&lt;Author&gt;França&lt;/Author&gt;&lt;Year&gt;2020&lt;/Year&gt;&lt;RecNum&gt;1093&lt;/RecNum&gt;&lt;DisplayText&gt;(França et al., 2020)&lt;/DisplayText&gt;&lt;record&gt;&lt;rec-number&gt;1093&lt;/rec-number&gt;&lt;foreign-keys&gt;&lt;key app="EN" db-id="aet009sstawa0hewvt3xwf5atffdw2dt02sw" timestamp="1748818998"&gt;1093&lt;/key&gt;&lt;/foreign-keys&gt;&lt;ref-type name="Journal Article"&gt;17&lt;/ref-type&gt;&lt;contributors&gt;&lt;authors&gt;&lt;author&gt;França, Gustavo&lt;/author&gt;&lt;author&gt;Laranjeira, Erika&lt;/author&gt;&lt;author&gt;Silva, Fabio&lt;/author&gt;&lt;author&gt;Monteiro, Lília&lt;/author&gt;&lt;author&gt;Moreira, Ana Maria&lt;/author&gt;&lt;author&gt;Carvalho, Serafim&lt;/author&gt;&lt;/authors&gt;&lt;/contributors&gt;&lt;titles&gt;&lt;title&gt;Attachment Style and Insight in Schizophrenia: a Cross-Sectional Study&lt;/title&gt;&lt;secondary-title&gt;Psychiatric Quarterly&lt;/secondary-title&gt;&lt;/titles&gt;&lt;periodical&gt;&lt;full-title&gt;Psychiatric Quarterly&lt;/full-title&gt;&lt;/periodical&gt;&lt;pages&gt;31-43&lt;/pages&gt;&lt;volume&gt;91&lt;/volume&gt;&lt;number&gt;1&lt;/number&gt;&lt;dates&gt;&lt;year&gt;2020&lt;/year&gt;&lt;pub-dates&gt;&lt;date&gt;2020/03/01&lt;/date&gt;&lt;/pub-dates&gt;&lt;/dates&gt;&lt;isbn&gt;1573-6709&lt;/isbn&gt;&lt;urls&gt;&lt;related-urls&gt;&lt;url&gt;https://doi.org/10.1007/s11126-019-09675-8&lt;/url&gt;&lt;/related-urls&gt;&lt;/urls&gt;&lt;electronic-resource-num&gt;10.1007/s11126-019-09675-8&lt;/electronic-resource-num&gt;&lt;/record&gt;&lt;/Cite&gt;&lt;/EndNote&gt;</w:instrText>
      </w:r>
      <w:r w:rsidRPr="004D46AC">
        <w:rPr>
          <w:rFonts w:eastAsiaTheme="minorEastAsia"/>
        </w:rPr>
        <w:fldChar w:fldCharType="separate"/>
      </w:r>
      <w:r w:rsidRPr="004D46AC">
        <w:rPr>
          <w:rFonts w:eastAsiaTheme="minorEastAsia"/>
          <w:noProof/>
        </w:rPr>
        <w:t>(França et al., 2020)</w:t>
      </w:r>
      <w:r w:rsidRPr="004D46AC">
        <w:rPr>
          <w:rFonts w:eastAsiaTheme="minorEastAsia"/>
        </w:rPr>
        <w:fldChar w:fldCharType="end"/>
      </w:r>
      <w:r w:rsidRPr="004D46AC">
        <w:rPr>
          <w:rFonts w:eastAsiaTheme="minorEastAsia"/>
        </w:rPr>
        <w:t xml:space="preserve">. </w:t>
      </w:r>
      <w:bookmarkStart w:id="58" w:name="OLE_LINK54"/>
      <w:r w:rsidRPr="004D46AC">
        <w:rPr>
          <w:rFonts w:eastAsiaTheme="minorEastAsia"/>
        </w:rPr>
        <w:t>Inconsistent findings, however, have been reported elsewhere, with evidence for the relationship between negative symptoms and attachment styles found primarily in non-clinical samples</w:t>
      </w:r>
      <w:r w:rsidRPr="004D46AC">
        <w:rPr>
          <w:rFonts w:eastAsiaTheme="minorEastAsia" w:hint="eastAsia"/>
        </w:rPr>
        <w:t xml:space="preserve"> </w:t>
      </w:r>
      <w:bookmarkEnd w:id="58"/>
      <w:r w:rsidRPr="004D46AC">
        <w:rPr>
          <w:rFonts w:eastAsiaTheme="minorEastAsia"/>
        </w:rPr>
        <w:fldChar w:fldCharType="begin"/>
      </w:r>
      <w:r w:rsidRPr="004D46AC">
        <w:rPr>
          <w:rFonts w:eastAsiaTheme="minorEastAsia"/>
        </w:rPr>
        <w:instrText xml:space="preserve"> ADDIN EN.CITE &lt;EndNote&gt;&lt;Cite&gt;&lt;Author&gt;Carr&lt;/Author&gt;&lt;Year&gt;2018&lt;/Year&gt;&lt;RecNum&gt;1377&lt;/RecNum&gt;&lt;DisplayText&gt;(Carr et al., 2018)&lt;/DisplayText&gt;&lt;record&gt;&lt;rec-number&gt;1377&lt;/rec-number&gt;&lt;foreign-keys&gt;&lt;key app="EN" db-id="aet009sstawa0hewvt3xwf5atffdw2dt02sw" timestamp="1768878834"&gt;1377&lt;/key&gt;&lt;/foreign-keys&gt;&lt;ref-type name="Journal Article"&gt;17&lt;/ref-type&gt;&lt;contributors&gt;&lt;authors&gt;&lt;author&gt;Carr, Sarah Christina&lt;/author&gt;&lt;author&gt;Hardy, Amy&lt;/author&gt;&lt;author&gt;Fornells-Ambrojo, Miriam&lt;/author&gt;&lt;/authors&gt;&lt;/contributors&gt;&lt;titles&gt;&lt;title&gt;Relationship between attachment style and symptom severity across the psychosis spectrum: A meta-analysis&lt;/title&gt;&lt;secondary-title&gt;Clinical Psychology Review&lt;/secondary-title&gt;&lt;/titles&gt;&lt;periodical&gt;&lt;full-title&gt;Clinical Psychology Review&lt;/full-title&gt;&lt;/periodical&gt;&lt;pages&gt;145-158&lt;/pages&gt;&lt;volume&gt;59&lt;/volume&gt;&lt;keywords&gt;&lt;keyword&gt;Insecure attachment&lt;/keyword&gt;&lt;keyword&gt;Psychosis&lt;/keyword&gt;&lt;keyword&gt;Schizophrenia&lt;/keyword&gt;&lt;keyword&gt;Meta-analysis&lt;/keyword&gt;&lt;/keywords&gt;&lt;dates&gt;&lt;year&gt;2018&lt;/year&gt;&lt;pub-dates&gt;&lt;date&gt;2018/02/01/&lt;/date&gt;&lt;/pub-dates&gt;&lt;/dates&gt;&lt;isbn&gt;0272-7358&lt;/isbn&gt;&lt;urls&gt;&lt;related-urls&gt;&lt;url&gt;https://www.sciencedirect.com/science/article/pii/S0272735816304500&lt;/url&gt;&lt;/related-urls&gt;&lt;/urls&gt;&lt;electronic-resource-num&gt;https://doi.org/10.1016/j.cpr.2017.12.001&lt;/electronic-resource-num&gt;&lt;/record&gt;&lt;/Cite&gt;&lt;/EndNote&gt;</w:instrText>
      </w:r>
      <w:r w:rsidRPr="004D46AC">
        <w:rPr>
          <w:rFonts w:eastAsiaTheme="minorEastAsia"/>
        </w:rPr>
        <w:fldChar w:fldCharType="separate"/>
      </w:r>
      <w:r w:rsidRPr="004D46AC">
        <w:rPr>
          <w:rFonts w:eastAsiaTheme="minorEastAsia"/>
          <w:noProof/>
        </w:rPr>
        <w:t>(Carr et al., 2018)</w:t>
      </w:r>
      <w:r w:rsidRPr="004D46AC">
        <w:rPr>
          <w:rFonts w:eastAsiaTheme="minorEastAsia"/>
        </w:rPr>
        <w:fldChar w:fldCharType="end"/>
      </w:r>
      <w:r w:rsidRPr="004D46AC">
        <w:rPr>
          <w:rFonts w:eastAsiaTheme="minorEastAsia"/>
        </w:rPr>
        <w:t xml:space="preserve">. </w:t>
      </w:r>
    </w:p>
    <w:bookmarkEnd w:id="57"/>
    <w:p w14:paraId="559B702F" w14:textId="77777777" w:rsidR="003D5CB6" w:rsidRPr="004D46AC" w:rsidRDefault="003D5CB6" w:rsidP="00B518F1">
      <w:pPr>
        <w:rPr>
          <w:rFonts w:eastAsiaTheme="minorEastAsia"/>
        </w:rPr>
      </w:pPr>
      <w:r w:rsidRPr="004D46AC">
        <w:rPr>
          <w:rFonts w:eastAsiaTheme="minorEastAsia"/>
        </w:rPr>
        <w:t xml:space="preserve">In studies focusing on bipolar disorder, both shared and distinct pathways of attachment-related vulnerability have been observed. Elevated levels of insecure attachment are commonly reported among bipolar patients, though heterogeneity exists regarding its association with symptom severity </w:t>
      </w:r>
      <w:r w:rsidRPr="004D46AC">
        <w:rPr>
          <w:rFonts w:eastAsiaTheme="minorEastAsia"/>
        </w:rPr>
        <w:fldChar w:fldCharType="begin">
          <w:fldData xml:space="preserve">PEVuZE5vdGU+PENpdGU+PEF1dGhvcj5XYWduZXItU2thY2VsPC9BdXRob3I+PFllYXI+MjAyMDwv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PEVuZE5vdGU+PENpdGU+PEF1dGhvcj5XYWduZXItU2thY2VsPC9BdXRob3I+PFllYXI+MjAyMDwv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(Picardi et al., 2019; Wagner-Skacel et al., 2020)</w:t>
      </w:r>
      <w:r w:rsidRPr="004D46AC">
        <w:rPr>
          <w:rFonts w:eastAsiaTheme="minorEastAsia"/>
        </w:rPr>
        <w:fldChar w:fldCharType="end"/>
      </w:r>
      <w:r w:rsidRPr="004D46AC">
        <w:rPr>
          <w:rFonts w:eastAsiaTheme="minorEastAsia"/>
        </w:rPr>
        <w:t xml:space="preserve">. Preoccupied attachment has been linked to both manic and depressive episodes, while dismissive attachment is more often associated with remission and manic phases </w:t>
      </w:r>
      <w:r w:rsidRPr="004D46AC">
        <w:rPr>
          <w:rFonts w:eastAsiaTheme="minorEastAsia"/>
        </w:rPr>
        <w:fldChar w:fldCharType="begin"/>
      </w:r>
      <w:r w:rsidRPr="004D46AC">
        <w:rPr>
          <w:rFonts w:eastAsiaTheme="minorEastAsia"/>
        </w:rPr>
        <w:instrText xml:space="preserve"> ADDIN EN.CITE &lt;EndNote&gt;&lt;Cite&gt;&lt;Author&gt;Morriss&lt;/Author&gt;&lt;Year&gt;2009&lt;/Year&gt;&lt;RecNum&gt;1096&lt;/RecNum&gt;&lt;DisplayText&gt;(Morriss et al., 2009)&lt;/DisplayText&gt;&lt;record&gt;&lt;rec-number&gt;1096&lt;/rec-number&gt;&lt;foreign-keys&gt;&lt;key app="EN" db-id="aet009sstawa0hewvt3xwf5atffdw2dt02sw" timestamp="1748861571"&gt;1096&lt;/key&gt;&lt;/foreign-keys&gt;&lt;ref-type name="Journal Article"&gt;17&lt;/ref-type&gt;&lt;contributors&gt;&lt;authors&gt;&lt;author&gt;Morriss, Richard K.&lt;/author&gt;&lt;author&gt;van der Gucht, Emma&lt;/author&gt;&lt;author&gt;Lancaster, Gillian&lt;/author&gt;&lt;author&gt;Bentall, Richard P.&lt;/author&gt;&lt;/authors&gt;&lt;/contributors&gt;&lt;titles&gt;&lt;title&gt;Adult attachment in bipolar 1 disorder&lt;/title&gt;&lt;secondary-title&gt;Psychology and Psychotherapy: Theory, Research and Practice&lt;/secondary-title&gt;&lt;/titles&gt;&lt;periodical&gt;&lt;full-title&gt;Psychology and Psychotherapy: Theory, Research and Practice&lt;/full-title&gt;&lt;/periodical&gt;&lt;pages&gt;267-277&lt;/pages&gt;&lt;volume&gt;82&lt;/volume&gt;&lt;number&gt;3&lt;/number&gt;&lt;dates&gt;&lt;year&gt;2009&lt;/year&gt;&lt;/dates&gt;&lt;isbn&gt;1476-0835&lt;/isbn&gt;&lt;urls&gt;&lt;related-urls&gt;&lt;url&gt;https://bpspsychub.onlinelibrary.wiley.com/doi/abs/10.1348/147608309X415309&lt;/url&gt;&lt;/related-urls&gt;&lt;/urls&gt;&lt;electronic-resource-num&gt;https://doi.org/10.1348/147608309X415309&lt;/electronic-resource-num&gt;&lt;/record&gt;&lt;/Cite&gt;&lt;/EndNote&gt;</w:instrText>
      </w:r>
      <w:r w:rsidRPr="004D46AC">
        <w:rPr>
          <w:rFonts w:eastAsiaTheme="minorEastAsia"/>
        </w:rPr>
        <w:fldChar w:fldCharType="separate"/>
      </w:r>
      <w:r w:rsidRPr="004D46AC">
        <w:rPr>
          <w:rFonts w:eastAsiaTheme="minorEastAsia"/>
          <w:noProof/>
        </w:rPr>
        <w:t>(Morriss et al., 2009)</w:t>
      </w:r>
      <w:r w:rsidRPr="004D46AC">
        <w:rPr>
          <w:rFonts w:eastAsiaTheme="minorEastAsia"/>
        </w:rPr>
        <w:fldChar w:fldCharType="end"/>
      </w:r>
      <w:r w:rsidRPr="004D46AC">
        <w:rPr>
          <w:rFonts w:eastAsiaTheme="minorEastAsia"/>
        </w:rPr>
        <w:t xml:space="preserve">, suggesting that attachment styles may not be stable in bipolar patients. Gender </w:t>
      </w:r>
      <w:r w:rsidRPr="004D46AC">
        <w:rPr>
          <w:rFonts w:eastAsiaTheme="minorEastAsia"/>
        </w:rPr>
        <w:lastRenderedPageBreak/>
        <w:t xml:space="preserve">differences have also been noted, with females more frequently endorsing preoccupied styles. Across bipolar subtypes, individuals with bipolar I disorder exhibited the highest rates of fearful/disorganised attachment, whereas those with cyclothymic disorder more often reported dismissive attachment </w:t>
      </w:r>
      <w:r w:rsidRPr="004D46AC">
        <w:rPr>
          <w:rFonts w:eastAsiaTheme="minorEastAsia"/>
        </w:rPr>
        <w:fldChar w:fldCharType="begin"/>
      </w:r>
      <w:r w:rsidRPr="004D46AC">
        <w:rPr>
          <w:rFonts w:eastAsiaTheme="minorEastAsia"/>
        </w:rPr>
        <w:instrText xml:space="preserve"> ADDIN EN.CITE &lt;EndNote&gt;&lt;Cite&gt;&lt;Author&gt;Harnic&lt;/Author&gt;&lt;Year&gt;2014&lt;/Year&gt;&lt;RecNum&gt;1098&lt;/RecNum&gt;&lt;DisplayText&gt;(Harnic et al., 2014)&lt;/DisplayText&gt;&lt;record&gt;&lt;rec-number&gt;1098&lt;/rec-number&gt;&lt;foreign-keys&gt;&lt;key app="EN" db-id="aet009sstawa0hewvt3xwf5atffdw2dt02sw" timestamp="1748864557"&gt;1098&lt;/key&gt;&lt;/foreign-keys&gt;&lt;ref-type name="Journal Article"&gt;17&lt;/ref-type&gt;&lt;contributors&gt;&lt;authors&gt;&lt;author&gt;Harnic, Désirée&lt;/author&gt;&lt;author&gt;Pompili, Maurizio&lt;/author&gt;&lt;author&gt;Innamorati, Marco&lt;/author&gt;&lt;author&gt;Erbuto, Denise&lt;/author&gt;&lt;author&gt;Lamis, Dorian A.&lt;/author&gt;&lt;author&gt;Bria, Pietro&lt;/author&gt;&lt;author&gt;Girardi, Paolo&lt;/author&gt;&lt;author&gt;Janiri, Luigi&lt;/author&gt;&lt;/authors&gt;&lt;/contributors&gt;&lt;titles&gt;&lt;title&gt;Affective temperament and attachment in adulthood in patients with Bipolar Disorder and Cyclothymia&lt;/title&gt;&lt;secondary-title&gt;Comprehensive Psychiatry&lt;/secondary-title&gt;&lt;/titles&gt;&lt;periodical&gt;&lt;full-title&gt;Comprehensive Psychiatry&lt;/full-title&gt;&lt;/periodical&gt;&lt;pages&gt;999-1006&lt;/pages&gt;&lt;volume&gt;55&lt;/volume&gt;&lt;number&gt;4&lt;/number&gt;&lt;dates&gt;&lt;year&gt;2014&lt;/year&gt;&lt;pub-dates&gt;&lt;date&gt;2014/05/01/&lt;/date&gt;&lt;/pub-dates&gt;&lt;/dates&gt;&lt;isbn&gt;0010-440X&lt;/isbn&gt;&lt;urls&gt;&lt;related-urls&gt;&lt;url&gt;https://www.sciencedirect.com/science/article/pii/S0010440X13003635&lt;/url&gt;&lt;/related-urls&gt;&lt;/urls&gt;&lt;electronic-resource-num&gt;https://doi.org/10.1016/j.comppsych.2013.12.006&lt;/electronic-resource-num&gt;&lt;/record&gt;&lt;/Cite&gt;&lt;/EndNote&gt;</w:instrText>
      </w:r>
      <w:r w:rsidRPr="004D46AC">
        <w:rPr>
          <w:rFonts w:eastAsiaTheme="minorEastAsia"/>
        </w:rPr>
        <w:fldChar w:fldCharType="separate"/>
      </w:r>
      <w:r w:rsidRPr="004D46AC">
        <w:rPr>
          <w:rFonts w:eastAsiaTheme="minorEastAsia"/>
          <w:noProof/>
        </w:rPr>
        <w:t>(Harnic et al., 2014)</w:t>
      </w:r>
      <w:r w:rsidRPr="004D46AC">
        <w:rPr>
          <w:rFonts w:eastAsiaTheme="minorEastAsia"/>
        </w:rPr>
        <w:fldChar w:fldCharType="end"/>
      </w:r>
      <w:r w:rsidRPr="004D46AC">
        <w:rPr>
          <w:rFonts w:eastAsiaTheme="minorEastAsia"/>
        </w:rPr>
        <w:t xml:space="preserve">. At a dispositional level, secure attachment is positively associated with hyperthymic temperament, while depressive temperaments show positive associations with insecure styles and a negative association with secure attachment </w:t>
      </w:r>
      <w:r w:rsidRPr="004D46AC">
        <w:rPr>
          <w:rFonts w:eastAsiaTheme="minorEastAsia"/>
        </w:rPr>
        <w:fldChar w:fldCharType="begin"/>
      </w:r>
      <w:r w:rsidRPr="004D46AC">
        <w:rPr>
          <w:rFonts w:eastAsiaTheme="minorEastAsia"/>
        </w:rPr>
        <w:instrText xml:space="preserve"> ADDIN EN.CITE &lt;EndNote&gt;&lt;Cite&gt;&lt;Author&gt;Kartal&lt;/Author&gt;&lt;Year&gt;2023&lt;/Year&gt;&lt;RecNum&gt;1099&lt;/RecNum&gt;&lt;DisplayText&gt;(Kartal &amp;amp; Fahri Aydın, 2023)&lt;/DisplayText&gt;&lt;record&gt;&lt;rec-number&gt;1099&lt;/rec-number&gt;&lt;foreign-keys&gt;&lt;key app="EN" db-id="aet009sstawa0hewvt3xwf5atffdw2dt02sw" timestamp="1748898614"&gt;1099&lt;/key&gt;&lt;/foreign-keys&gt;&lt;ref-type name="Journal Article"&gt;17&lt;/ref-type&gt;&lt;contributors&gt;&lt;authors&gt;&lt;author&gt;Kartal, C.&lt;/author&gt;&lt;author&gt;Fahri Aydın, E.&lt;/author&gt;&lt;/authors&gt;&lt;/contributors&gt;&lt;auth-address&gt;Private Office, Sivas, Turkey.&amp;#xD;Department of Psychiatry, Atatürk University Medical Faculty, Erzurum, Turkey.&lt;/auth-address&gt;&lt;titles&gt;&lt;title&gt;Functional Impairment, Attachment, and Affective Temperaments in Euthymic Patients with Bipolar Disorder&lt;/title&gt;&lt;secondary-title&gt;Psychiatry Clin Psychopharmacol&lt;/secondary-title&gt;&lt;/titles&gt;&lt;periodical&gt;&lt;full-title&gt;Psychiatry Clin Psychopharmacol&lt;/full-title&gt;&lt;/periodical&gt;&lt;pages&gt;299-308&lt;/pages&gt;&lt;volume&gt;33&lt;/volume&gt;&lt;number&gt;4&lt;/number&gt;&lt;edition&gt;20231201&lt;/edition&gt;&lt;dates&gt;&lt;year&gt;2023&lt;/year&gt;&lt;pub-dates&gt;&lt;date&gt;Dec&lt;/date&gt;&lt;/pub-dates&gt;&lt;/dates&gt;&lt;isbn&gt;2475-0581&lt;/isbn&gt;&lt;accession-num&gt;38765849&lt;/accession-num&gt;&lt;urls&gt;&lt;/urls&gt;&lt;custom1&gt;Declaration of Interests: The authors have no conflicts of interest to declare.&lt;/custom1&gt;&lt;custom2&gt;PMC11037472&lt;/custom2&gt;&lt;electronic-resource-num&gt;10.5152/pcp.2023.22597&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noProof/>
        </w:rPr>
        <w:t>(Kartal &amp; Fahri Aydın, 2023)</w:t>
      </w:r>
      <w:r w:rsidRPr="004D46AC">
        <w:rPr>
          <w:rFonts w:eastAsiaTheme="minorEastAsia"/>
        </w:rPr>
        <w:fldChar w:fldCharType="end"/>
      </w:r>
      <w:r w:rsidRPr="004D46AC">
        <w:rPr>
          <w:rFonts w:eastAsiaTheme="minorEastAsia"/>
        </w:rPr>
        <w:t xml:space="preserve">. Further, a lower score of avoidant attachment has been observed in bipolar patients, and may share variance with maladaptive coping </w:t>
      </w:r>
      <w:r w:rsidRPr="004D46AC">
        <w:rPr>
          <w:rFonts w:eastAsiaTheme="minorEastAsia"/>
        </w:rPr>
        <w:fldChar w:fldCharType="begin"/>
      </w:r>
      <w:r w:rsidRPr="004D46AC">
        <w:rPr>
          <w:rFonts w:eastAsiaTheme="minorEastAsia"/>
        </w:rPr>
        <w:instrText xml:space="preserve"> ADDIN EN.CITE &lt;EndNote&gt;&lt;Cite&gt;&lt;Author&gt;Karaş&lt;/Author&gt;&lt;Year&gt;2021&lt;/Year&gt;&lt;RecNum&gt;1100&lt;/RecNum&gt;&lt;DisplayText&gt;(Karaş et al., 2021)&lt;/DisplayText&gt;&lt;record&gt;&lt;rec-number&gt;1100&lt;/rec-number&gt;&lt;foreign-keys&gt;&lt;key app="EN" db-id="aet009sstawa0hewvt3xwf5atffdw2dt02sw" timestamp="1748899737"&gt;1100&lt;/key&gt;&lt;/foreign-keys&gt;&lt;ref-type name="Journal Article"&gt;17&lt;/ref-type&gt;&lt;contributors&gt;&lt;authors&gt;&lt;author&gt;Karaş, Hakan&lt;/author&gt;&lt;author&gt;Çarpar, Elif&lt;/author&gt;&lt;author&gt;Küçükgöncü, Suat&lt;/author&gt;&lt;author&gt;Kaşer, Muzaffer&lt;/author&gt;&lt;/authors&gt;&lt;/contributors&gt;&lt;titles&gt;&lt;title&gt;Associations of Attachment and Coping Styles With Social Functioning in Patients With Bipolar Disorder I&lt;/title&gt;&lt;secondary-title&gt;The Journal of Nervous and Mental Disease&lt;/secondary-title&gt;&lt;/titles&gt;&lt;periodical&gt;&lt;full-title&gt;The Journal of Nervous and Mental Disease&lt;/full-title&gt;&lt;/periodical&gt;&lt;volume&gt;209&lt;/volume&gt;&lt;number&gt;8&lt;/number&gt;&lt;keywords&gt;&lt;keyword&gt;Bipolar disorder&lt;/keyword&gt;&lt;keyword&gt;attachment&lt;/keyword&gt;&lt;keyword&gt;coping styles&lt;/keyword&gt;&lt;keyword&gt;social functioning&lt;/keyword&gt;&lt;/keywords&gt;&lt;dates&gt;&lt;year&gt;2021&lt;/year&gt;&lt;/dates&gt;&lt;isbn&gt;0022-3018&lt;/isbn&gt;&lt;urls&gt;&lt;related-urls&gt;&lt;url&gt;https://journals.lww.com/jonmd/fulltext/2021/08000/associations_of_attachment_and_coping_styles_with.8.aspx&lt;/url&gt;&lt;/related-urls&gt;&lt;/urls&gt;&lt;/record&gt;&lt;/Cite&gt;&lt;/EndNote&gt;</w:instrText>
      </w:r>
      <w:r w:rsidRPr="004D46AC">
        <w:rPr>
          <w:rFonts w:eastAsiaTheme="minorEastAsia"/>
        </w:rPr>
        <w:fldChar w:fldCharType="separate"/>
      </w:r>
      <w:r w:rsidRPr="004D46AC">
        <w:rPr>
          <w:rFonts w:eastAsiaTheme="minorEastAsia"/>
          <w:noProof/>
        </w:rPr>
        <w:t>(Karaş et al., 2021)</w:t>
      </w:r>
      <w:r w:rsidRPr="004D46AC">
        <w:rPr>
          <w:rFonts w:eastAsiaTheme="minorEastAsia"/>
        </w:rPr>
        <w:fldChar w:fldCharType="end"/>
      </w:r>
      <w:r w:rsidRPr="004D46AC">
        <w:rPr>
          <w:rFonts w:eastAsiaTheme="minorEastAsia"/>
        </w:rPr>
        <w:t xml:space="preserve">; </w:t>
      </w:r>
      <w:r w:rsidRPr="004D46AC">
        <w:rPr>
          <w:rFonts w:eastAsiaTheme="minorEastAsia"/>
        </w:rPr>
        <w:fldChar w:fldCharType="begin"/>
      </w:r>
      <w:r w:rsidRPr="004D46AC">
        <w:rPr>
          <w:rFonts w:eastAsiaTheme="minorEastAsia"/>
        </w:rPr>
        <w:instrText xml:space="preserve"> ADDIN EN.CITE &lt;EndNote&gt;&lt;Cite AuthorYear="1"&gt;&lt;Author&gt;Hurd&lt;/Author&gt;&lt;Year&gt;2024&lt;/Year&gt;&lt;RecNum&gt;1101&lt;/RecNum&gt;&lt;DisplayText&gt;Hurd (2024)&lt;/DisplayText&gt;&lt;record&gt;&lt;rec-number&gt;1101&lt;/rec-number&gt;&lt;foreign-keys&gt;&lt;key app="EN" db-id="aet009sstawa0hewvt3xwf5atffdw2dt02sw" timestamp="1748901350"&gt;1101&lt;/key&gt;&lt;/foreign-keys&gt;&lt;ref-type name="Thesis"&gt;32&lt;/ref-type&gt;&lt;contributors&gt;&lt;authors&gt;&lt;author&gt;Hurd, Zachery O&lt;/author&gt;&lt;/authors&gt;&lt;/contributors&gt;&lt;titles&gt;&lt;title&gt;Adult Attachment Status and Longitudinal Symptom Patterns in Bipolar Affective Disorder&lt;/title&gt;&lt;/titles&gt;&lt;dates&gt;&lt;year&gt;2024&lt;/year&gt;&lt;/dates&gt;&lt;urls&gt;&lt;/urls&gt;&lt;/record&gt;&lt;/Cite&gt;&lt;/EndNote&gt;</w:instrText>
      </w:r>
      <w:r w:rsidRPr="004D46AC">
        <w:rPr>
          <w:rFonts w:eastAsiaTheme="minorEastAsia"/>
        </w:rPr>
        <w:fldChar w:fldCharType="separate"/>
      </w:r>
      <w:r w:rsidRPr="004D46AC">
        <w:rPr>
          <w:rFonts w:eastAsiaTheme="minorEastAsia"/>
          <w:noProof/>
        </w:rPr>
        <w:t>Hurd (2024)</w:t>
      </w:r>
      <w:r w:rsidRPr="004D46AC">
        <w:rPr>
          <w:rFonts w:eastAsiaTheme="minorEastAsia"/>
        </w:rPr>
        <w:fldChar w:fldCharType="end"/>
      </w:r>
      <w:r w:rsidRPr="004D46AC">
        <w:rPr>
          <w:rFonts w:eastAsiaTheme="minorEastAsia"/>
        </w:rPr>
        <w:t xml:space="preserve"> reported partially consistent findings, showing that anxious attachment was associated with greater baseline manic and depressive symptoms, whereas avoidant attachment was linked only to depressive symptoms. Notably, avoidant attachment was also associated with greater variability in manic symptoms, suggesting a potential role in mood instability.</w:t>
      </w:r>
    </w:p>
    <w:p w14:paraId="472BAEFD" w14:textId="77777777" w:rsidR="003D5CB6" w:rsidRPr="004D46AC" w:rsidRDefault="003D5CB6" w:rsidP="00B518F1">
      <w:pPr>
        <w:rPr>
          <w:rFonts w:eastAsiaTheme="minorEastAsia"/>
        </w:rPr>
      </w:pPr>
      <w:r w:rsidRPr="004D46AC">
        <w:rPr>
          <w:rFonts w:eastAsiaTheme="minorEastAsia"/>
        </w:rPr>
        <w:t>In summary, attachment patterns in both children and adults are associated with various psychiatric symptoms and outcomes. However, it remains unclear whether insecure attachment constitutes a common risk factor across disorders or contributes to disorder-specific pathways. Although attachment style appears relatively stable over time, findings on group differences between schizophrenia and bipolar disorder in at-risk populations remain inconsistent. In both conditions, insecure attachment has shown predictive value for diagnosis and symptom expression, but direct comparisons of attachment style distribution between the disorders are limited. Additionally, inconsistencies in the conceptualisation and assessment of attachment may contribute to divergent findings across studies. Given that attachment interacts with multiple other risk factors - such as childhood adversity, temperament, personality, genetic predisposition, and parenting - future research should aim to clarify its transdiagnostic and disorder-specific roles across developmental stages and symptom dimensions.</w:t>
      </w:r>
    </w:p>
    <w:p w14:paraId="71E4F9AC" w14:textId="77777777" w:rsidR="003D5CB6" w:rsidRPr="004D46AC" w:rsidRDefault="003D5CB6" w:rsidP="00B518F1">
      <w:pPr>
        <w:pStyle w:val="4"/>
      </w:pPr>
      <w:r w:rsidRPr="004D46AC">
        <w:lastRenderedPageBreak/>
        <w:t xml:space="preserve">Personality </w:t>
      </w:r>
    </w:p>
    <w:p w14:paraId="784B2C8C" w14:textId="77777777" w:rsidR="003D5CB6" w:rsidRPr="004D46AC" w:rsidRDefault="003D5CB6" w:rsidP="00B518F1">
      <w:r w:rsidRPr="004D46AC">
        <w:t xml:space="preserve">Personality can be conceptualised as a dynamic process through which an individual’s psychophysical system adapts its responses to changes in the external environment </w:t>
      </w:r>
      <w:r w:rsidRPr="004D46AC">
        <w:fldChar w:fldCharType="begin"/>
      </w:r>
      <w:r w:rsidRPr="004D46AC">
        <w:instrText xml:space="preserve"> ADDIN EN.CITE &lt;EndNote&gt;&lt;Cite&gt;&lt;Author&gt;Allport&lt;/Author&gt;&lt;Year&gt;1937&lt;/Year&gt;&lt;RecNum&gt;1102&lt;/RecNum&gt;&lt;DisplayText&gt;(Allport, 1937)&lt;/DisplayText&gt;&lt;record&gt;&lt;rec-number&gt;1102&lt;/rec-number&gt;&lt;foreign-keys&gt;&lt;key app="EN" db-id="aet009sstawa0hewvt3xwf5atffdw2dt02sw" timestamp="1749473002"&gt;1102&lt;/key&gt;&lt;/foreign-keys&gt;&lt;ref-type name="Journal Article"&gt;17&lt;/ref-type&gt;&lt;contributors&gt;&lt;authors&gt;&lt;author&gt;Allport, Gordon Willard&lt;/author&gt;&lt;/authors&gt;&lt;/contributors&gt;&lt;titles&gt;&lt;title&gt;Personality: A psychological interpretation&lt;/title&gt;&lt;/titles&gt;&lt;dates&gt;&lt;year&gt;1937&lt;/year&gt;&lt;/dates&gt;&lt;urls&gt;&lt;/urls&gt;&lt;/record&gt;&lt;/Cite&gt;&lt;/EndNote&gt;</w:instrText>
      </w:r>
      <w:r w:rsidRPr="004D46AC">
        <w:fldChar w:fldCharType="separate"/>
      </w:r>
      <w:r w:rsidRPr="004D46AC">
        <w:t>(Allport, 1937)</w:t>
      </w:r>
      <w:r w:rsidRPr="004D46AC">
        <w:fldChar w:fldCharType="end"/>
      </w:r>
      <w:r w:rsidRPr="004D46AC">
        <w:t xml:space="preserve">. Contemporary theorists typically distinguish three core facets of this construct: enduring personal traits, characteristic behavioural styles, and habitual patterns of adjustment. The most widely supported structural model is the Big Five, encompassing Openness to experience (e.g., imagination, curiosity), Conscientiousness (e.g., self-discipline, dependability), Extraversion (e.g., sociability, assertiveness), Agreeableness (e.g., cooperativeness, warmth), and Neuroticism (e.g., anxiety, irritability, self-consciousness). An extensive body of evidence indicates that personality plays a significant role in the aetiology, expression, and course of psychopathology. For example, high neuroticism combined with low extraversion consistently predict elevated vulnerability to a broad range of mental-health difficulties, and that these traits interact dynamically with both psychopathology and wider psychosocial contexts </w:t>
      </w:r>
      <w:r w:rsidRPr="004D46AC">
        <w:fldChar w:fldCharType="begin"/>
      </w:r>
      <w:r w:rsidRPr="004D46AC">
        <w:instrText xml:space="preserve"> ADDIN EN.CITE &lt;EndNote&gt;&lt;Cite&gt;&lt;Author&gt;Tackett&lt;/Author&gt;&lt;Year&gt;2006&lt;/Year&gt;&lt;RecNum&gt;1103&lt;/RecNum&gt;&lt;DisplayText&gt;(Andersen &amp;amp; and Bienvenu, 2011; Tackett, 2006)&lt;/DisplayText&gt;&lt;record&gt;&lt;rec-number&gt;1103&lt;/rec-number&gt;&lt;foreign-keys&gt;&lt;key app="EN" db-id="aet009sstawa0hewvt3xwf5atffdw2dt02sw" timestamp="1749550624"&gt;1103&lt;/key&gt;&lt;/foreign-keys&gt;&lt;ref-type name="Journal Article"&gt;17&lt;/ref-type&gt;&lt;contributors&gt;&lt;authors&gt;&lt;author&gt;Tackett, Jennifer L.&lt;/author&gt;&lt;/authors&gt;&lt;/contributors&gt;&lt;titles&gt;&lt;title&gt;Evaluating models of the personality-psychopathology relationship in children and adolescents&lt;/title&gt;&lt;secondary-title&gt;Clin Psychol Rev&lt;/secondary-title&gt;&lt;/titles&gt;&lt;periodical&gt;&lt;full-title&gt;Clin Psychol Rev&lt;/full-title&gt;&lt;/periodical&gt;&lt;pages&gt;584-599&lt;/pages&gt;&lt;volume&gt;26&lt;/volume&gt;&lt;number&gt;5&lt;/number&gt;&lt;dates&gt;&lt;year&gt;2006&lt;/year&gt;&lt;/dates&gt;&lt;urls&gt;&lt;/urls&gt;&lt;/record&gt;&lt;/Cite&gt;&lt;Cite&gt;&lt;Author&gt;Andersen&lt;/Author&gt;&lt;Year&gt;2011&lt;/Year&gt;&lt;RecNum&gt;1104&lt;/RecNum&gt;&lt;record&gt;&lt;rec-number&gt;1104&lt;/rec-number&gt;&lt;foreign-keys&gt;&lt;key app="EN" db-id="aet009sstawa0hewvt3xwf5atffdw2dt02sw" timestamp="1749553659"&gt;1104&lt;/key&gt;&lt;/foreign-keys&gt;&lt;ref-type name="Journal Article"&gt;17&lt;/ref-type&gt;&lt;contributors&gt;&lt;authors&gt;&lt;author&gt;Andersen, Allan M.&lt;/author&gt;&lt;author&gt;and Bienvenu, O. Joseph&lt;/author&gt;&lt;/authors&gt;&lt;/contributors&gt;&lt;titles&gt;&lt;title&gt;Personality and psychopathology&lt;/title&gt;&lt;secondary-title&gt;International Review of Psychiatry&lt;/secondary-title&gt;&lt;/titles&gt;&lt;periodical&gt;&lt;full-title&gt;International review of psychiatry&lt;/full-title&gt;&lt;/periodical&gt;&lt;pages&gt;234-247&lt;/pages&gt;&lt;volume&gt;23&lt;/volume&gt;&lt;number&gt;3&lt;/number&gt;&lt;dates&gt;&lt;year&gt;2011&lt;/year&gt;&lt;pub-dates&gt;&lt;date&gt;2011/06/01&lt;/date&gt;&lt;/pub-dates&gt;&lt;/dates&gt;&lt;publisher&gt;Taylor &amp;amp; Francis&lt;/publisher&gt;&lt;isbn&gt;0954-0261&lt;/isbn&gt;&lt;urls&gt;&lt;related-urls&gt;&lt;url&gt;https://doi.org/10.3109/09540261.2011.588692&lt;/url&gt;&lt;/related-urls&gt;&lt;/urls&gt;&lt;electronic-resource-num&gt;10.3109/09540261.2011.588692&lt;/electronic-resource-num&gt;&lt;/record&gt;&lt;/Cite&gt;&lt;/EndNote&gt;</w:instrText>
      </w:r>
      <w:r w:rsidRPr="004D46AC">
        <w:fldChar w:fldCharType="separate"/>
      </w:r>
      <w:r w:rsidRPr="004D46AC">
        <w:t>(Andersen &amp; and Bienvenu, 2011; Tackett, 2006)</w:t>
      </w:r>
      <w:r w:rsidRPr="004D46AC">
        <w:fldChar w:fldCharType="end"/>
      </w:r>
      <w:r w:rsidRPr="004D46AC">
        <w:t xml:space="preserve">. </w:t>
      </w:r>
    </w:p>
    <w:p w14:paraId="76F8FACE" w14:textId="77777777" w:rsidR="003D5CB6" w:rsidRPr="004D46AC" w:rsidRDefault="003D5CB6" w:rsidP="00B518F1">
      <w:pPr>
        <w:rPr>
          <w:rFonts w:eastAsiaTheme="minorEastAsia"/>
        </w:rPr>
      </w:pPr>
      <w:r w:rsidRPr="004D46AC">
        <w:rPr>
          <w:rFonts w:eastAsiaTheme="minorEastAsia"/>
        </w:rPr>
        <w:t xml:space="preserve">Previous studies have identified broadly similar personality patterns in patients with schizophrenia and bipolar disorder, although important differences do emerge. Across investigations, neuroticism - assessed with a variety of instruments - has been consistently elevated in both diagnostic groups relative to healthy controls </w:t>
      </w:r>
      <w:r w:rsidRPr="004D46AC">
        <w:rPr>
          <w:rFonts w:eastAsiaTheme="minorEastAsia"/>
        </w:rPr>
        <w:fldChar w:fldCharType="begin">
          <w:fldData xml:space="preserve">PEVuZE5vdGU+PENpdGU+PEF1dGhvcj5IZWVybGVpbjwvQXV0aG9yPjxZZWFyPjE5OTY8L1llYXI+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==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PEVuZE5vdGU+PENpdGU+PEF1dGhvcj5IZWVybGVpbjwvQXV0aG9yPjxZZWFyPjE5OTY8L1llYXI+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==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(Heerlein et al., 1996; Lönnqvist et al., 2009; Yang et al., 2021)</w:t>
      </w:r>
      <w:r w:rsidRPr="004D46AC">
        <w:rPr>
          <w:rFonts w:eastAsiaTheme="minorEastAsia"/>
        </w:rPr>
        <w:fldChar w:fldCharType="end"/>
      </w:r>
      <w:r w:rsidRPr="004D46AC">
        <w:rPr>
          <w:rFonts w:eastAsiaTheme="minorEastAsia"/>
        </w:rPr>
        <w:t xml:space="preserve">. In addition, the bipolar patients exhibited heightened level of extraversion compared to schizophrenia patients, and neuroticism was comparable between these groups. </w:t>
      </w:r>
      <w:r w:rsidRPr="004D46AC">
        <w:rPr>
          <w:rFonts w:eastAsiaTheme="minorEastAsia"/>
        </w:rPr>
        <w:fldChar w:fldCharType="begin"/>
      </w:r>
      <w:r w:rsidRPr="004D46AC">
        <w:rPr>
          <w:rFonts w:eastAsiaTheme="minorEastAsia"/>
        </w:rPr>
        <w:instrText xml:space="preserve"> ADDIN EN.CITE &lt;EndNote&gt;&lt;Cite AuthorYear="1"&gt;&lt;Author&gt;Jang&lt;/Author&gt;&lt;Year&gt;2025&lt;/Year&gt;&lt;RecNum&gt;1108&lt;/RecNum&gt;&lt;DisplayText&gt;Jang et al. (2025)&lt;/DisplayText&gt;&lt;record&gt;&lt;rec-number&gt;1108&lt;/rec-number&gt;&lt;foreign-keys&gt;&lt;key app="EN" db-id="aet009sstawa0hewvt3xwf5atffdw2dt02sw" timestamp="1749625630"&gt;1108&lt;/key&gt;&lt;/foreign-keys&gt;&lt;ref-type name="Journal Article"&gt;17&lt;/ref-type&gt;&lt;contributors&gt;&lt;authors&gt;&lt;author&gt;Jang, Youjin Jenny&lt;/author&gt;&lt;author&gt;Yassin, Walid&lt;/author&gt;&lt;author&gt;Mesholam-Gately, Raquelle&lt;/author&gt;&lt;author&gt;Gershon, Elliot S&lt;/author&gt;&lt;author&gt;Keedy, Sarah&lt;/author&gt;&lt;author&gt;Pearlson, Godfrey G&lt;/author&gt;&lt;author&gt;Tamminga, Carol A&lt;/author&gt;&lt;author&gt;McDowell, Jennifer&lt;/author&gt;&lt;author&gt;Parker, David A&lt;/author&gt;&lt;author&gt;Sauer, Kodiak&lt;/author&gt;&lt;/authors&gt;&lt;/contributors&gt;&lt;titles&gt;&lt;title&gt;Characterizing the relationship between personality dimensions and psychosis-specific clinical characteristics&lt;/title&gt;&lt;secondary-title&gt;Schizophrenia Research&lt;/secondary-title&gt;&lt;/titles&gt;&lt;periodical&gt;&lt;full-title&gt;Schizophrenia Research&lt;/full-title&gt;&lt;/periodical&gt;&lt;pages&gt;88-96&lt;/pages&gt;&lt;volume&gt;276&lt;/volume&gt;&lt;dates&gt;&lt;year&gt;2025&lt;/year&gt;&lt;/dates&gt;&lt;isbn&gt;0920-9964&lt;/isbn&gt;&lt;urls&gt;&lt;/urls&gt;&lt;/record&gt;&lt;/Cite&gt;&lt;/EndNote&gt;</w:instrText>
      </w:r>
      <w:r w:rsidRPr="004D46AC">
        <w:rPr>
          <w:rFonts w:eastAsiaTheme="minorEastAsia"/>
        </w:rPr>
        <w:fldChar w:fldCharType="separate"/>
      </w:r>
      <w:r w:rsidRPr="004D46AC">
        <w:rPr>
          <w:rFonts w:eastAsiaTheme="minorEastAsia"/>
          <w:noProof/>
        </w:rPr>
        <w:t>Jang et al. (2025)</w:t>
      </w:r>
      <w:r w:rsidRPr="004D46AC">
        <w:rPr>
          <w:rFonts w:eastAsiaTheme="minorEastAsia"/>
        </w:rPr>
        <w:fldChar w:fldCharType="end"/>
      </w:r>
      <w:r w:rsidRPr="004D46AC">
        <w:rPr>
          <w:rFonts w:eastAsiaTheme="minorEastAsia"/>
        </w:rPr>
        <w:t xml:space="preserve"> examined the personality structure of individuals with major psychoses and healthy controls and reported partially convergent findings. Patients scored lower on every personality dimension except neuroticism, which showed the largest elevation relative to controls; within the patient sample, those with bipolar disorder scored higher than those with schizophrenia on all traits except conscientiousness. Another study examined the group difference in personality by facets </w:t>
      </w:r>
      <w:r w:rsidRPr="004D46AC">
        <w:rPr>
          <w:rFonts w:eastAsiaTheme="minorEastAsia"/>
        </w:rPr>
        <w:fldChar w:fldCharType="begin"/>
      </w:r>
      <w:r w:rsidRPr="004D46AC">
        <w:rPr>
          <w:rFonts w:eastAsiaTheme="minorEastAsia"/>
        </w:rPr>
        <w:instrText xml:space="preserve"> ADDIN EN.CITE &lt;EndNote&gt;&lt;Cite&gt;&lt;Author&gt;Bagby&lt;/Author&gt;&lt;Year&gt;1997&lt;/Year&gt;&lt;RecNum&gt;1109&lt;/RecNum&gt;&lt;DisplayText&gt;(Bagby et al., 1997)&lt;/DisplayText&gt;&lt;record&gt;&lt;rec-number&gt;1109&lt;/rec-number&gt;&lt;foreign-keys&gt;&lt;key app="EN" db-id="aet009sstawa0hewvt3xwf5atffdw2dt02sw" timestamp="1749657098"&gt;1109&lt;/key&gt;&lt;/foreign-keys&gt;&lt;ref-type name="Journal Article"&gt;17&lt;/ref-type&gt;&lt;contributors&gt;&lt;authors&gt;&lt;author&gt;Bagby, R. M.&lt;/author&gt;&lt;author&gt;Bindseil, K. D.&lt;/author&gt;&lt;author&gt;Schuller, D. R.&lt;/author&gt;&lt;author&gt;Rector, N. A.&lt;/author&gt;&lt;author&gt;Young, L. T.&lt;/author&gt;&lt;author&gt;Cooke, R. G.&lt;/author&gt;&lt;author&gt;Seeman, M. V.&lt;/author&gt;&lt;author&gt;McCay, E. A.&lt;/author&gt;&lt;author&gt;Joffe, R. T.&lt;/author&gt;&lt;/authors&gt;&lt;/contributors&gt;&lt;auth-address&gt;Clarke Institute of Psychiatry, Toronto, Ontario, Canada. bagby@cs.clarke-inst.on.ca&lt;/auth-address&gt;&lt;titles&gt;&lt;title&gt;Relationship between the five-factor model of personality and unipolar, bipolar and schizophrenic patients&lt;/title&gt;&lt;secondary-title&gt;Psychiatry Res&lt;/secondary-title&gt;&lt;/titles&gt;&lt;periodical&gt;&lt;full-title&gt;Psychiatry Res&lt;/full-title&gt;&lt;/periodical&gt;&lt;pages&gt;83-94&lt;/pages&gt;&lt;volume&gt;70&lt;/volume&gt;&lt;number&gt;2&lt;/number&gt;&lt;keywords&gt;&lt;keyword&gt;Adult&lt;/keyword&gt;&lt;keyword&gt;Bipolar Disorder/*diagnosis/psychology&lt;/keyword&gt;&lt;keyword&gt;Depressive Disorder/*diagnosis/psychology&lt;/keyword&gt;&lt;keyword&gt;Female&lt;/keyword&gt;&lt;keyword&gt;Humans&lt;/keyword&gt;&lt;keyword&gt;Male&lt;/keyword&gt;&lt;keyword&gt;Middle Aged&lt;/keyword&gt;&lt;keyword&gt;Models, Statistical&lt;/keyword&gt;&lt;keyword&gt;Personality Inventory/*statistics &amp;amp; numerical data&lt;/keyword&gt;&lt;keyword&gt;Psychiatric Status Rating Scales/statistics &amp;amp; numerical data&lt;/keyword&gt;&lt;keyword&gt;Psychometrics&lt;/keyword&gt;&lt;keyword&gt;Reproducibility of Results&lt;/keyword&gt;&lt;keyword&gt;Schizophrenia/*diagnosis&lt;/keyword&gt;&lt;keyword&gt;*Schizophrenic Psychology&lt;/keyword&gt;&lt;/keywords&gt;&lt;dates&gt;&lt;year&gt;1997&lt;/year&gt;&lt;pub-dates&gt;&lt;date&gt;May 5&lt;/date&gt;&lt;/pub-dates&gt;&lt;/dates&gt;&lt;isbn&gt;0165-1781 (Print)&amp;#xD;0165-1781&lt;/isbn&gt;&lt;accession-num&gt;9194202&lt;/accession-num&gt;&lt;urls&gt;&lt;/urls&gt;&lt;electronic-resource-num&gt;10.1016/s0165-1781(97)03096-5&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noProof/>
        </w:rPr>
        <w:t>(Bagby et al., 1997)</w:t>
      </w:r>
      <w:r w:rsidRPr="004D46AC">
        <w:rPr>
          <w:rFonts w:eastAsiaTheme="minorEastAsia"/>
        </w:rPr>
        <w:fldChar w:fldCharType="end"/>
      </w:r>
      <w:r w:rsidRPr="004D46AC">
        <w:rPr>
          <w:rFonts w:eastAsiaTheme="minorEastAsia"/>
        </w:rPr>
        <w:t xml:space="preserve">; bipolar patients reported higher levels of extraversion, openness, and agreeableness than </w:t>
      </w:r>
      <w:r w:rsidRPr="004D46AC">
        <w:rPr>
          <w:rFonts w:eastAsiaTheme="minorEastAsia"/>
        </w:rPr>
        <w:lastRenderedPageBreak/>
        <w:t xml:space="preserve">schizophrenia patients, with half of the openness facets (feeling, action, and value), and one extraversion facets (positive emotion) accounting for these differences. Finally, canonical correlation analysis revealed a distinct association between elevated neuroticism and positive psychotic symptoms. This finding was partially replicated in a study that examined the dimensional links between personality and psychiatric symptoms in schizophrenia and bipolar disorder </w:t>
      </w:r>
      <w:r w:rsidRPr="004D46AC">
        <w:fldChar w:fldCharType="begin"/>
      </w:r>
      <w:r w:rsidRPr="004D46AC">
        <w:instrText xml:space="preserve"> ADDIN EN.CITE &lt;EndNote&gt;&lt;Cite&gt;&lt;Author&gt;Wilson&lt;/Author&gt;&lt;Year&gt;2014&lt;/Year&gt;&lt;RecNum&gt;1111&lt;/RecNum&gt;&lt;DisplayText&gt;(Wilson &amp;amp; Sponheim, 2014)&lt;/DisplayText&gt;&lt;record&gt;&lt;rec-number&gt;1111&lt;/rec-number&gt;&lt;foreign-keys&gt;&lt;key app="EN" db-id="aet009sstawa0hewvt3xwf5atffdw2dt02sw" timestamp="1749749128"&gt;1111&lt;/key&gt;&lt;/foreign-keys&gt;&lt;ref-type name="Journal Article"&gt;17&lt;/ref-type&gt;&lt;contributors&gt;&lt;authors&gt;&lt;author&gt;Wilson, S.&lt;/author&gt;&lt;author&gt;Sponheim, S. R.&lt;/author&gt;&lt;/authors&gt;&lt;/contributors&gt;&lt;auth-address&gt;Department of Psychology, University of Minnesota, Minneapolis, Minnesota. Electronic address: syliaw@umn.edu.&amp;#xD;Veterans Affairs Health Care System, Minneapolis, Minnesota, Departments of Psychiatry and Psychology, University of Minnesota, Minneapolis, Minnesota.&lt;/auth-address&gt;&lt;titles&gt;&lt;title&gt;Dimensions underlying psychotic and manic symptomatology: Extending normal-range personality traits to schizophrenia and bipolar spectra&lt;/title&gt;&lt;secondary-title&gt;Compr Psychiatry&lt;/secondary-title&gt;&lt;/titles&gt;&lt;periodical&gt;&lt;full-title&gt;Compr Psychiatry&lt;/full-title&gt;&lt;/periodical&gt;&lt;pages&gt;1809-19&lt;/pages&gt;&lt;volume&gt;55&lt;/volume&gt;&lt;number&gt;8&lt;/number&gt;&lt;edition&gt;20140711&lt;/edition&gt;&lt;keywords&gt;&lt;keyword&gt;Adult&lt;/keyword&gt;&lt;keyword&gt;Bipolar Disorder/*physiopathology&lt;/keyword&gt;&lt;keyword&gt;Female&lt;/keyword&gt;&lt;keyword&gt;Humans&lt;/keyword&gt;&lt;keyword&gt;Male&lt;/keyword&gt;&lt;keyword&gt;Middle Aged&lt;/keyword&gt;&lt;keyword&gt;Personality/*physiology&lt;/keyword&gt;&lt;keyword&gt;Psychotic Disorders/*physiopathology&lt;/keyword&gt;&lt;keyword&gt;Schizophrenia/*physiopathology&lt;/keyword&gt;&lt;/keywords&gt;&lt;dates&gt;&lt;year&gt;2014&lt;/year&gt;&lt;pub-dates&gt;&lt;date&gt;Nov&lt;/date&gt;&lt;/pub-dates&gt;&lt;/dates&gt;&lt;isbn&gt;0010-440x&lt;/isbn&gt;&lt;accession-num&gt;25091283&lt;/accession-num&gt;&lt;urls&gt;&lt;/urls&gt;&lt;electronic-resource-num&gt;10.1016/j.comppsych.2014.07.008&lt;/electronic-resource-num&gt;&lt;remote-database-provider&gt;NLM&lt;/remote-database-provider&gt;&lt;language&gt;eng&lt;/language&gt;&lt;/record&gt;&lt;/Cite&gt;&lt;/EndNote&gt;</w:instrText>
      </w:r>
      <w:r w:rsidRPr="004D46AC">
        <w:fldChar w:fldCharType="separate"/>
      </w:r>
      <w:r w:rsidRPr="004D46AC">
        <w:rPr>
          <w:noProof/>
        </w:rPr>
        <w:t>(Wilson &amp; Sponheim, 2014)</w:t>
      </w:r>
      <w:r w:rsidRPr="004D46AC">
        <w:fldChar w:fldCharType="end"/>
      </w:r>
      <w:r w:rsidRPr="004D46AC">
        <w:t xml:space="preserve">. Using the Multidimensional Personality Questionnaire, patients and their first-degree relatives showed comparable levels on four personality dimensions - negative emotionality (e.g., stress reactivity), positive emotionality (e.g., well-being, social closeness), Absorption (e.g., dissociative experience), and constraint (e.g., cautiousness, harm avoidance). Zero-order analyses indicated that positive and negative symptom scores correlated positively with both negative emotionality and absorption across patients and relatives; however, these associations disappeared once the shared variance among the personality dimensions was statistically controlled in the regression models. </w:t>
      </w:r>
    </w:p>
    <w:p w14:paraId="48BAAC18" w14:textId="77777777" w:rsidR="003D5CB6" w:rsidRPr="004D46AC" w:rsidRDefault="003D5CB6" w:rsidP="00B518F1">
      <w:pPr>
        <w:rPr>
          <w:rFonts w:eastAsiaTheme="minorEastAsia"/>
        </w:rPr>
      </w:pPr>
      <w:r w:rsidRPr="004D46AC">
        <w:rPr>
          <w:rFonts w:eastAsiaTheme="minorEastAsia"/>
        </w:rPr>
        <w:t>In addition to trait-based personality, clinical personality inventories were developed to bridge the gap between those traits and vulnerability to psychiatric symptoms, yet existing findings show minor difference between bipolar disorder and schizophrenia patients.</w:t>
      </w:r>
      <w:r w:rsidRPr="004D46AC">
        <w:t xml:space="preserve"> </w:t>
      </w:r>
      <w:r w:rsidRPr="004D46AC">
        <w:rPr>
          <w:rFonts w:eastAsiaTheme="minorEastAsia"/>
        </w:rPr>
        <w:t xml:space="preserve">Using the </w:t>
      </w:r>
      <w:r w:rsidRPr="004D46AC">
        <w:rPr>
          <w:rFonts w:eastAsiaTheme="minorEastAsia"/>
          <w:i/>
          <w:iCs/>
        </w:rPr>
        <w:t>Minnesota Multiphasic Personality Inventory-2</w:t>
      </w:r>
      <w:r w:rsidRPr="004D46AC">
        <w:rPr>
          <w:rFonts w:eastAsiaTheme="minorEastAsia"/>
        </w:rPr>
        <w:t xml:space="preserve"> (MMPI-2), </w:t>
      </w:r>
      <w:r w:rsidRPr="004D46AC">
        <w:rPr>
          <w:rFonts w:eastAsiaTheme="minorEastAsia"/>
        </w:rPr>
        <w:fldChar w:fldCharType="begin"/>
      </w:r>
      <w:r w:rsidRPr="004D46AC">
        <w:rPr>
          <w:rFonts w:eastAsiaTheme="minorEastAsia"/>
        </w:rPr>
        <w:instrText xml:space="preserve"> ADDIN EN.CITE &lt;EndNote&gt;&lt;Cite AuthorYear="1"&gt;&lt;Author&gt;Bagby&lt;/Author&gt;&lt;Year&gt;2005&lt;/Year&gt;&lt;RecNum&gt;1110&lt;/RecNum&gt;&lt;DisplayText&gt;Bagby et al. (2005)&lt;/DisplayText&gt;&lt;record&gt;&lt;rec-number&gt;1110&lt;/rec-number&gt;&lt;foreign-keys&gt;&lt;key app="EN" db-id="aet009sstawa0hewvt3xwf5atffdw2dt02sw" timestamp="1749743029"&gt;1110&lt;/key&gt;&lt;/foreign-keys&gt;&lt;ref-type name="Journal Article"&gt;17&lt;/ref-type&gt;&lt;contributors&gt;&lt;authors&gt;&lt;author&gt;Bagby, R. M.&lt;/author&gt;&lt;author&gt;Marshall, M. B.&lt;/author&gt;&lt;author&gt;Basso, M. R.&lt;/author&gt;&lt;author&gt;Nicholson, R. A.&lt;/author&gt;&lt;author&gt;Bacchiochi, J.&lt;/author&gt;&lt;author&gt;Miller, L. S.&lt;/author&gt;&lt;/authors&gt;&lt;/contributors&gt;&lt;auth-address&gt;Centre for Addiction and Mental Health, Toronto, Ontario, Canada. michael_bagby@camh.net&lt;/auth-address&gt;&lt;titles&gt;&lt;title&gt;Distinguishing bipolar depression, major depression, and schizophrenia with the MMPI-2 clinical and content scales&lt;/title&gt;&lt;secondary-title&gt;J Pers Assess&lt;/secondary-title&gt;&lt;/titles&gt;&lt;periodical&gt;&lt;full-title&gt;J Pers Assess&lt;/full-title&gt;&lt;/periodical&gt;&lt;pages&gt;89-95&lt;/pages&gt;&lt;volume&gt;84&lt;/volume&gt;&lt;number&gt;1&lt;/number&gt;&lt;keywords&gt;&lt;keyword&gt;Adult&lt;/keyword&gt;&lt;keyword&gt;Bipolar Disorder/*diagnosis/epidemiology&lt;/keyword&gt;&lt;keyword&gt;Canada/epidemiology&lt;/keyword&gt;&lt;keyword&gt;Depression/*diagnosis/epidemiology&lt;/keyword&gt;&lt;keyword&gt;Diagnosis, Differential&lt;/keyword&gt;&lt;keyword&gt;Female&lt;/keyword&gt;&lt;keyword&gt;Humans&lt;/keyword&gt;&lt;keyword&gt;*mmpi&lt;/keyword&gt;&lt;keyword&gt;Male&lt;/keyword&gt;&lt;keyword&gt;Schizophrenia/*diagnosis/epidemiology&lt;/keyword&gt;&lt;keyword&gt;United States/epidemiology&lt;/keyword&gt;&lt;/keywords&gt;&lt;dates&gt;&lt;year&gt;2005&lt;/year&gt;&lt;pub-dates&gt;&lt;date&gt;Feb&lt;/date&gt;&lt;/pub-dates&gt;&lt;/dates&gt;&lt;isbn&gt;0022-3891 (Print)&amp;#xD;0022-3891&lt;/isbn&gt;&lt;accession-num&gt;15639772&lt;/accession-num&gt;&lt;urls&gt;&lt;/urls&gt;&lt;electronic-resource-num&gt;10.1207/s15327752jpa8401_15&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noProof/>
        </w:rPr>
        <w:t>Bagby et al. (2005)</w:t>
      </w:r>
      <w:r w:rsidRPr="004D46AC">
        <w:rPr>
          <w:rFonts w:eastAsiaTheme="minorEastAsia"/>
        </w:rPr>
        <w:fldChar w:fldCharType="end"/>
      </w:r>
      <w:r w:rsidRPr="004D46AC">
        <w:rPr>
          <w:rFonts w:eastAsiaTheme="minorEastAsia"/>
        </w:rPr>
        <w:t xml:space="preserve"> found that, during depressive episodes, patients with bipolar disorder scored higher than those with schizophrenia on the Clinical Scales Depression, Hysteria and Psychopathic Deviation, as well as on the Content Scales Depression and Anxiety. These elevations are consistent with a personality liability that combines strong internal distress with the capacity for impulsive or rule-breaking behaviour when depressed. Risk-focused personality measures have also been explored. In a case-control study, </w:t>
      </w:r>
      <w:bookmarkStart w:id="59" w:name="OLE_LINK55"/>
      <w:r w:rsidRPr="004D46AC">
        <w:rPr>
          <w:rFonts w:eastAsiaTheme="minorEastAsia"/>
        </w:rPr>
        <w:fldChar w:fldCharType="begin"/>
      </w:r>
      <w:r w:rsidRPr="004D46AC">
        <w:rPr>
          <w:rFonts w:eastAsiaTheme="minorEastAsia"/>
        </w:rPr>
        <w:instrText xml:space="preserve"> ADDIN EN.CITE &lt;EndNote&gt;&lt;Cite AuthorYear="1"&gt;&lt;Author&gt;Miettunen&lt;/Author&gt;&lt;Year&gt;2011&lt;/Year&gt;&lt;RecNum&gt;1112&lt;/RecNum&gt;&lt;DisplayText&gt;Miettunen et al. (2011)&lt;/DisplayText&gt;&lt;record&gt;&lt;rec-number&gt;1112&lt;/rec-number&gt;&lt;foreign-keys&gt;&lt;key app="EN" db-id="aet009sstawa0hewvt3xwf5atffdw2dt02sw" timestamp="1749838411"&gt;1112&lt;/key&gt;&lt;/foreign-keys&gt;&lt;ref-type name="Journal Article"&gt;17&lt;/ref-type&gt;&lt;contributors&gt;&lt;authors&gt;&lt;author&gt;Miettunen, Jouko&lt;/author&gt;&lt;author&gt;Veijola, Juha&lt;/author&gt;&lt;author&gt;Isohanni, Matti&lt;/author&gt;&lt;author&gt;Paunio, Tiina&lt;/author&gt;&lt;author&gt;Freimer, Nelson&lt;/author&gt;&lt;author&gt;Jääskeläinen, Erika&lt;/author&gt;&lt;author&gt;Taanila, Anja&lt;/author&gt;&lt;author&gt;Ekelund, Jesper&lt;/author&gt;&lt;author&gt;Järvelin, Marjo-Riitta&lt;/author&gt;&lt;author&gt;Peltonen, Leena&lt;/author&gt;&lt;/authors&gt;&lt;/contributors&gt;&lt;titles&gt;&lt;title&gt;Identifying schizophrenia and other psychoses with psychological scales in the general population&lt;/title&gt;&lt;secondary-title&gt;The Journal of nervous and mental disease&lt;/secondary-title&gt;&lt;/titles&gt;&lt;periodical&gt;&lt;full-title&gt;The Journal of Nervous and Mental Disease&lt;/full-title&gt;&lt;/periodical&gt;&lt;pages&gt;230-238&lt;/pages&gt;&lt;volume&gt;199&lt;/volume&gt;&lt;number&gt;4&lt;/number&gt;&lt;dates&gt;&lt;year&gt;2011&lt;/year&gt;&lt;/dates&gt;&lt;isbn&gt;0022-3018&lt;/isbn&gt;&lt;urls&gt;&lt;/urls&gt;&lt;/record&gt;&lt;/Cite&gt;&lt;/EndNote&gt;</w:instrText>
      </w:r>
      <w:r w:rsidRPr="004D46AC">
        <w:rPr>
          <w:rFonts w:eastAsiaTheme="minorEastAsia"/>
        </w:rPr>
        <w:fldChar w:fldCharType="separate"/>
      </w:r>
      <w:r w:rsidRPr="004D46AC">
        <w:rPr>
          <w:rFonts w:eastAsiaTheme="minorEastAsia"/>
          <w:noProof/>
        </w:rPr>
        <w:t>Miettunen et al. (2011)</w:t>
      </w:r>
      <w:r w:rsidRPr="004D46AC">
        <w:rPr>
          <w:rFonts w:eastAsiaTheme="minorEastAsia"/>
        </w:rPr>
        <w:fldChar w:fldCharType="end"/>
      </w:r>
      <w:r w:rsidRPr="004D46AC">
        <w:rPr>
          <w:rFonts w:eastAsiaTheme="minorEastAsia"/>
        </w:rPr>
        <w:t xml:space="preserve"> administered the Hypomanic Personality Scale (HPS) - originally designed to assess bipolar </w:t>
      </w:r>
      <w:r w:rsidRPr="004D46AC">
        <w:rPr>
          <w:rFonts w:eastAsiaTheme="minorEastAsia" w:hint="eastAsia"/>
        </w:rPr>
        <w:t>vulnerability</w:t>
      </w:r>
      <w:r w:rsidRPr="004D46AC">
        <w:rPr>
          <w:rFonts w:eastAsiaTheme="minorEastAsia"/>
        </w:rPr>
        <w:t xml:space="preserve"> - to patients with schizophrenia and to healthy controls; the schizophrenia group scored significantly higher than both controls and participants with other psychiatric diagnoses (including bipolar patients)</w:t>
      </w:r>
      <w:r w:rsidRPr="004D46AC">
        <w:rPr>
          <w:rFonts w:eastAsiaTheme="minorEastAsia" w:hint="eastAsia"/>
        </w:rPr>
        <w:t xml:space="preserve">. </w:t>
      </w:r>
      <w:bookmarkStart w:id="60" w:name="OLE_LINK56"/>
      <w:r w:rsidRPr="004D46AC">
        <w:rPr>
          <w:rFonts w:eastAsiaTheme="minorEastAsia"/>
        </w:rPr>
        <w:t>In contrast,</w:t>
      </w:r>
      <w:r w:rsidRPr="004D46AC">
        <w:rPr>
          <w:rFonts w:eastAsiaTheme="minorEastAsia" w:hint="eastAsia"/>
        </w:rPr>
        <w:t xml:space="preserve"> </w:t>
      </w:r>
      <w:r w:rsidRPr="004D46AC">
        <w:rPr>
          <w:rFonts w:eastAsiaTheme="minorEastAsia"/>
        </w:rPr>
        <w:fldChar w:fldCharType="begin"/>
      </w:r>
      <w:r w:rsidRPr="004D46AC">
        <w:rPr>
          <w:rFonts w:eastAsiaTheme="minorEastAsia"/>
        </w:rPr>
        <w:instrText xml:space="preserve"> ADDIN EN.CITE &lt;EndNote&gt;&lt;Cite AuthorYear="1"&gt;&lt;Author&gt;Rowland&lt;/Author&gt;&lt;Year&gt;2013&lt;/Year&gt;&lt;RecNum&gt;1114&lt;/RecNum&gt;&lt;DisplayText&gt;Rowland et al. (2013)&lt;/DisplayText&gt;&lt;record&gt;&lt;rec-number&gt;1114&lt;/rec-number&gt;&lt;foreign-keys&gt;&lt;key app="EN" db-id="aet009sstawa0hewvt3xwf5atffdw2dt02sw" timestamp="1749957510"&gt;1114&lt;/key&gt;&lt;/foreign-keys&gt;&lt;ref-type name="Journal Article"&gt;17&lt;/ref-type&gt;&lt;contributors&gt;&lt;authors&gt;&lt;author&gt;Rowland, Jesseca E&lt;/author&gt;&lt;author&gt;Hamilton, Meelah K&lt;/author&gt;&lt;author&gt;Lino, Bianca J&lt;/author&gt;&lt;author&gt;Ly, Patricia&lt;/author&gt;&lt;author&gt;Denny, Kelsey&lt;/author&gt;&lt;author&gt;Hwang, Eun-Ji&lt;/author&gt;&lt;author&gt;Mitchell, Philip B&lt;/author&gt;&lt;author&gt;Carr, Vaughan J&lt;/author&gt;&lt;author&gt;Green, Melissa J&lt;/author&gt;&lt;/authors&gt;&lt;/contributors&gt;&lt;titles&gt;&lt;title&gt;Cognitive regulation of negative affect in schizophrenia and bipolar disorder&lt;/title&gt;&lt;secondary-title&gt;Psychiatry research&lt;/secondary-title&gt;&lt;/titles&gt;&lt;periodical&gt;&lt;full-title&gt;Psychiatry Research&lt;/full-title&gt;&lt;/periodical&gt;&lt;pages&gt;21-28&lt;/pages&gt;&lt;volume&gt;208&lt;/volume&gt;&lt;number&gt;1&lt;/number&gt;&lt;dates&gt;&lt;year&gt;2013&lt;/year&gt;&lt;/dates&gt;&lt;isbn&gt;0165-1781&lt;/isbn&gt;&lt;urls&gt;&lt;/urls&gt;&lt;/record&gt;&lt;/Cite&gt;&lt;/EndNote&gt;</w:instrText>
      </w:r>
      <w:r w:rsidRPr="004D46AC">
        <w:rPr>
          <w:rFonts w:eastAsiaTheme="minorEastAsia"/>
        </w:rPr>
        <w:fldChar w:fldCharType="separate"/>
      </w:r>
      <w:r w:rsidRPr="004D46AC">
        <w:rPr>
          <w:rFonts w:eastAsiaTheme="minorEastAsia"/>
          <w:noProof/>
        </w:rPr>
        <w:t>Rowland et al. (2013)</w:t>
      </w:r>
      <w:r w:rsidRPr="004D46AC">
        <w:rPr>
          <w:rFonts w:eastAsiaTheme="minorEastAsia"/>
        </w:rPr>
        <w:fldChar w:fldCharType="end"/>
      </w:r>
      <w:r w:rsidRPr="004D46AC">
        <w:rPr>
          <w:rFonts w:eastAsiaTheme="minorEastAsia" w:hint="eastAsia"/>
        </w:rPr>
        <w:t xml:space="preserve"> </w:t>
      </w:r>
      <w:r w:rsidRPr="004D46AC">
        <w:rPr>
          <w:rFonts w:eastAsiaTheme="minorEastAsia"/>
        </w:rPr>
        <w:t xml:space="preserve">found the reverse pattern, reporting significantly </w:t>
      </w:r>
      <w:r w:rsidRPr="004D46AC">
        <w:rPr>
          <w:rFonts w:eastAsiaTheme="minorEastAsia"/>
        </w:rPr>
        <w:lastRenderedPageBreak/>
        <w:t>higher HPS scores in patients with bipolar disorder than in those with schizophrenia.</w:t>
      </w:r>
      <w:r w:rsidRPr="004D46AC">
        <w:rPr>
          <w:rFonts w:eastAsiaTheme="minorEastAsia" w:hint="eastAsia"/>
        </w:rPr>
        <w:t xml:space="preserve"> </w:t>
      </w:r>
      <w:bookmarkEnd w:id="59"/>
      <w:r w:rsidRPr="004D46AC">
        <w:rPr>
          <w:rFonts w:eastAsiaTheme="minorEastAsia"/>
        </w:rPr>
        <w:t xml:space="preserve">Interestingly, the HPS has been found to correlate with mild psychotic experiences such as hallucinations and irrational beliefs in general and at risk populations </w:t>
      </w:r>
      <w:r w:rsidRPr="004D46AC">
        <w:rPr>
          <w:rFonts w:eastAsiaTheme="minorEastAsia"/>
        </w:rPr>
        <w:fldChar w:fldCharType="begin">
          <w:fldData xml:space="preserve">PEVuZE5vdGU+PENpdGU+PEF1dGhvcj5UaWJhPC9BdXRob3I+PFllYXI+MjAyMzwvWWVhcj48UmVj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=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PEVuZE5vdGU+PENpdGU+PEF1dGhvcj5UaWJhPC9BdXRob3I+PFllYXI+MjAyMzwvWWVhcj48UmVj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=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(Badcock et al., 2015; Cowan &amp; Mittal, 2021; Tiba et al., 2023)</w:t>
      </w:r>
      <w:r w:rsidRPr="004D46AC">
        <w:rPr>
          <w:rFonts w:eastAsiaTheme="minorEastAsia"/>
        </w:rPr>
        <w:fldChar w:fldCharType="end"/>
      </w:r>
      <w:r w:rsidRPr="004D46AC">
        <w:rPr>
          <w:rFonts w:eastAsiaTheme="minorEastAsia"/>
        </w:rPr>
        <w:t xml:space="preserve">.  Meanwhile, when the Schizotypal Personality Questionnaire (SPQ), a screener for schizophrenia-spectrum risk, was given to first-degree relatives of patients with bipolar disorder and schizophrenia, the two at-risk groups showed no differences on any SPQ dimension; only the presence of psychotic features, irrespective of familial diagnosis, accounted for additional variance in the Disorganised dimension </w:t>
      </w:r>
      <w:r w:rsidRPr="004D46AC">
        <w:rPr>
          <w:rFonts w:eastAsiaTheme="minorEastAsia"/>
        </w:rPr>
        <w:fldChar w:fldCharType="begin">
          <w:fldData xml:space="preserve">PEVuZE5vdGU+PENpdGU+PEF1dGhvcj5TY2h1cmhvZmY8L0F1dGhvcj48WWVhcj4yMDA1PC9ZZWFy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PEVuZE5vdGU+PENpdGU+PEF1dGhvcj5TY2h1cmhvZmY8L0F1dGhvcj48WWVhcj4yMDA1PC9ZZWFy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(Schurhoff et al., 2005)</w:t>
      </w:r>
      <w:r w:rsidRPr="004D46AC">
        <w:rPr>
          <w:rFonts w:eastAsiaTheme="minorEastAsia"/>
        </w:rPr>
        <w:fldChar w:fldCharType="end"/>
      </w:r>
      <w:r w:rsidRPr="004D46AC">
        <w:rPr>
          <w:rFonts w:eastAsiaTheme="minorEastAsia"/>
        </w:rPr>
        <w:t xml:space="preserve">. Moreover, although the SPQ and HPS are conceptualised as risk measures for distinct disorders (schizophrenia and </w:t>
      </w:r>
      <w:r w:rsidRPr="004D46AC">
        <w:rPr>
          <w:rFonts w:eastAsiaTheme="minorEastAsia" w:hint="eastAsia"/>
        </w:rPr>
        <w:t>BSD</w:t>
      </w:r>
      <w:r w:rsidRPr="004D46AC">
        <w:rPr>
          <w:rFonts w:eastAsiaTheme="minorEastAsia"/>
        </w:rPr>
        <w:t>, respectively), they have demonstrated significant correlations in the general population</w:t>
      </w:r>
      <w:r w:rsidRPr="004D46AC">
        <w:rPr>
          <w:rFonts w:eastAsiaTheme="minorEastAsia" w:hint="eastAsia"/>
        </w:rPr>
        <w:t xml:space="preserve"> </w:t>
      </w:r>
      <w:r w:rsidRPr="004D46AC">
        <w:rPr>
          <w:rFonts w:eastAsiaTheme="minorEastAsia"/>
        </w:rPr>
        <w:fldChar w:fldCharType="begin">
          <w:fldData xml:space="preserve">PEVuZE5vdGU+PENpdGU+PEF1dGhvcj5LZW1wPC9BdXRob3I+PFllYXI+MjAxODwvWWVhcj48UmVj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PEVuZE5vdGU+PENpdGU+PEF1dGhvcj5LZW1wPC9BdXRob3I+PFllYXI+MjAxODwvWWVhcj48UmVj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(Berson et al., 2021; Kemp et al., 2018; Miettunen et al., 2010)</w:t>
      </w:r>
      <w:r w:rsidRPr="004D46AC">
        <w:rPr>
          <w:rFonts w:eastAsiaTheme="minorEastAsia"/>
        </w:rPr>
        <w:fldChar w:fldCharType="end"/>
      </w:r>
      <w:r w:rsidRPr="004D46AC">
        <w:rPr>
          <w:rFonts w:eastAsiaTheme="minorEastAsia"/>
        </w:rPr>
        <w:t xml:space="preserve">. </w:t>
      </w:r>
      <w:bookmarkEnd w:id="60"/>
    </w:p>
    <w:p w14:paraId="3C68E6EA" w14:textId="77777777" w:rsidR="003D5CB6" w:rsidRPr="004D46AC" w:rsidRDefault="003D5CB6" w:rsidP="00B518F1">
      <w:r w:rsidRPr="004D46AC">
        <w:t>Neuroticism appears to be the one Big-Five trait consistently elevated across both bipolar disorder and schizophrenia, although this likely reflects a complex interplay of neurobiological, psychological and environmental factors. Findings for the other four Big-Five domains are mixed, a variability that probably stems from differences in sampling frames, clinical states and assessment methods. Beyond normal</w:t>
      </w:r>
      <w:r w:rsidRPr="004D46AC">
        <w:rPr>
          <w:rFonts w:ascii="Cambria Math" w:hAnsi="Cambria Math" w:cs="Cambria Math"/>
        </w:rPr>
        <w:t>‐</w:t>
      </w:r>
      <w:r w:rsidRPr="004D46AC">
        <w:t xml:space="preserve">range traits, pathological-trait measures align closely with clinical symptoms and high-risk states; their similarity in the two disorders underscores the tight </w:t>
      </w:r>
      <w:proofErr w:type="spellStart"/>
      <w:r w:rsidRPr="004D46AC">
        <w:t>nosological</w:t>
      </w:r>
      <w:proofErr w:type="spellEnd"/>
      <w:r w:rsidRPr="004D46AC">
        <w:t xml:space="preserve"> links between them. Clarifying how personality liabilities translate into distinct diagnostic outcomes will require future studies that trace the mechanistic pathways - biological, cognitive and environmental - from trait to disorder.</w:t>
      </w:r>
    </w:p>
    <w:p w14:paraId="1F6F82D1" w14:textId="77777777" w:rsidR="003D5CB6" w:rsidRPr="004D46AC" w:rsidRDefault="003D5CB6" w:rsidP="00B518F1">
      <w:pPr>
        <w:pStyle w:val="4"/>
      </w:pPr>
      <w:r w:rsidRPr="004D46AC">
        <w:t>Intolerance of uncertainty</w:t>
      </w:r>
    </w:p>
    <w:p w14:paraId="13FA3D4E" w14:textId="77777777" w:rsidR="003D5CB6" w:rsidRPr="004D46AC" w:rsidRDefault="003D5CB6" w:rsidP="00B518F1">
      <w:r w:rsidRPr="004D46AC">
        <w:t>Intolerance of uncertainty (</w:t>
      </w:r>
      <w:proofErr w:type="spellStart"/>
      <w:r w:rsidRPr="004D46AC">
        <w:t>I</w:t>
      </w:r>
      <w:r w:rsidRPr="004D46AC">
        <w:rPr>
          <w:rFonts w:eastAsiaTheme="minorEastAsia" w:hint="eastAsia"/>
        </w:rPr>
        <w:t>o</w:t>
      </w:r>
      <w:r w:rsidRPr="004D46AC">
        <w:t>U</w:t>
      </w:r>
      <w:proofErr w:type="spellEnd"/>
      <w:r w:rsidRPr="004D46AC">
        <w:t xml:space="preserve">) is a dispositional tendency to react negatively - emotionally, cognitively, and behaviourally - to uncertain or ambiguous situations. Individuals high in IU perceive uncertainty as unacceptable or threatening, which may give rise to cognitive biases (e.g., jumping to conclusions), emotional distress (e.g., anxiety, worry), and maladaptive behaviours (e.g., avoidance, impulsive actions). </w:t>
      </w:r>
      <w:proofErr w:type="spellStart"/>
      <w:r w:rsidRPr="004D46AC">
        <w:t>I</w:t>
      </w:r>
      <w:r w:rsidRPr="004D46AC">
        <w:rPr>
          <w:rFonts w:eastAsiaTheme="minorEastAsia" w:hint="eastAsia"/>
        </w:rPr>
        <w:t>o</w:t>
      </w:r>
      <w:r w:rsidRPr="004D46AC">
        <w:t>U</w:t>
      </w:r>
      <w:proofErr w:type="spellEnd"/>
      <w:r w:rsidRPr="004D46AC">
        <w:t xml:space="preserve"> is proposed as a core mechanism underlying worry and is implicated in a range of mental difficulties </w:t>
      </w:r>
      <w:r w:rsidRPr="004D46AC">
        <w:fldChar w:fldCharType="begin"/>
      </w:r>
      <w:r w:rsidRPr="004D46AC">
        <w:instrText xml:space="preserve"> ADDIN EN.CITE &lt;EndNote&gt;&lt;Cite&gt;&lt;Author&gt;Freeston&lt;/Author&gt;&lt;Year&gt;1994&lt;/Year&gt;&lt;RecNum&gt;1156&lt;/RecNum&gt;&lt;DisplayText&gt;(Freeston et al., 1994)&lt;/DisplayText&gt;&lt;record&gt;&lt;rec-number&gt;1156&lt;/rec-number&gt;&lt;foreign-keys&gt;&lt;key app="EN" db-id="aet009sstawa0hewvt3xwf5atffdw2dt02sw" timestamp="1752332186"&gt;1156&lt;/key&gt;&lt;/foreign-keys&gt;&lt;ref-type name="Journal Article"&gt;17&lt;/ref-type&gt;&lt;contributors&gt;&lt;authors&gt;&lt;author&gt;Freeston, Mark H.&lt;/author&gt;&lt;author&gt;Rhéaume, Josée&lt;/author&gt;&lt;author&gt;Letarte, Hélène&lt;/author&gt;&lt;author&gt;Dugas, Michel J.&lt;/author&gt;&lt;author&gt;Ladouceur, Robert&lt;/author&gt;&lt;/authors&gt;&lt;/contributors&gt;&lt;titles&gt;&lt;title&gt;Why do people worry?&lt;/title&gt;&lt;secondary-title&gt;Personality and Individual Differences&lt;/secondary-title&gt;&lt;/titles&gt;&lt;periodical&gt;&lt;full-title&gt;Personality and Individual differences&lt;/full-title&gt;&lt;/periodical&gt;&lt;pages&gt;791-802&lt;/pages&gt;&lt;volume&gt;17&lt;/volume&gt;&lt;number&gt;6&lt;/number&gt;&lt;dates&gt;&lt;year&gt;1994&lt;/year&gt;&lt;pub-dates&gt;&lt;date&gt;1994/12/01/&lt;/date&gt;&lt;/pub-dates&gt;&lt;/dates&gt;&lt;isbn&gt;0191-8869&lt;/isbn&gt;&lt;urls&gt;&lt;related-urls&gt;&lt;url&gt;https://www.sciencedirect.com/science/article/pii/0191886994900485&lt;/url&gt;&lt;/related-urls&gt;&lt;/urls&gt;&lt;electronic-resource-num&gt;https://doi.org/10.1016/0191-8869(94)90048-5&lt;/electronic-resource-num&gt;&lt;/record&gt;&lt;/Cite&gt;&lt;/EndNote&gt;</w:instrText>
      </w:r>
      <w:r w:rsidRPr="004D46AC">
        <w:fldChar w:fldCharType="separate"/>
      </w:r>
      <w:r w:rsidRPr="004D46AC">
        <w:rPr>
          <w:noProof/>
        </w:rPr>
        <w:t xml:space="preserve">(Freeston et </w:t>
      </w:r>
      <w:r w:rsidRPr="004D46AC">
        <w:rPr>
          <w:noProof/>
        </w:rPr>
        <w:lastRenderedPageBreak/>
        <w:t>al., 1994)</w:t>
      </w:r>
      <w:r w:rsidRPr="004D46AC">
        <w:fldChar w:fldCharType="end"/>
      </w:r>
      <w:r w:rsidRPr="004D46AC">
        <w:t xml:space="preserve">. </w:t>
      </w:r>
      <w:bookmarkStart w:id="61" w:name="OLE_LINK30"/>
      <w:r w:rsidRPr="004D46AC">
        <w:t xml:space="preserve">Its association with mental distress - including anxiety, depression, functional impairments (such as sleep disturbance), and suicidal ideation - has been well-documented in adolescent populations </w:t>
      </w:r>
      <w:r w:rsidRPr="004D46AC">
        <w:fldChar w:fldCharType="begin"/>
      </w:r>
      <w:r w:rsidRPr="004D46AC">
        <w:instrText xml:space="preserve"> ADDIN EN.CITE &lt;EndNote&gt;&lt;Cite&gt;&lt;Author&gt;Ye&lt;/Author&gt;&lt;Year&gt;2025&lt;/Year&gt;&lt;RecNum&gt;1151&lt;/RecNum&gt;&lt;DisplayText&gt;(Ye et al., 2025)&lt;/DisplayText&gt;&lt;record&gt;&lt;rec-number&gt;1151&lt;/rec-number&gt;&lt;foreign-keys&gt;&lt;key app="EN" db-id="aet009sstawa0hewvt3xwf5atffdw2dt02sw" timestamp="1752313572"&gt;1151&lt;/key&gt;&lt;/foreign-keys&gt;&lt;ref-type name="Journal Article"&gt;17&lt;/ref-type&gt;&lt;contributors&gt;&lt;authors&gt;&lt;author&gt;Ye, Haoxian&lt;/author&gt;&lt;author&gt;Chen, Chunling&lt;/author&gt;&lt;author&gt;Chen, Shiying&lt;/author&gt;&lt;author&gt;Jiang, Nan&lt;/author&gt;&lt;author&gt;Cai, Zifan&lt;/author&gt;&lt;author&gt;Liu, Yixin&lt;/author&gt;&lt;author&gt;Li, Yunyi&lt;/author&gt;&lt;author&gt;Huang, Yike&lt;/author&gt;&lt;author&gt;Yu, Wanqing&lt;/author&gt;&lt;author&gt;You, Ruiyan&lt;/author&gt;&lt;author&gt;Liao, Haiping&lt;/author&gt;&lt;author&gt;Fan, Fang&lt;/author&gt;&lt;/authors&gt;&lt;/contributors&gt;&lt;titles&gt;&lt;title&gt;Profiles of Intolerance of Uncertainty Among 108,540 Adolescents: Associations with Sociodemographic Variables and Mental Health&lt;/title&gt;&lt;secondary-title&gt;Child Psychiatry &amp;amp; Human Development&lt;/secondary-title&gt;&lt;/titles&gt;&lt;periodical&gt;&lt;full-title&gt;Child Psychiatry &amp;amp; Human Development&lt;/full-title&gt;&lt;/periodical&gt;&lt;pages&gt;715-727&lt;/pages&gt;&lt;volume&gt;56&lt;/volume&gt;&lt;number&gt;3&lt;/number&gt;&lt;dates&gt;&lt;year&gt;2025&lt;/year&gt;&lt;pub-dates&gt;&lt;date&gt;2025/06/01&lt;/date&gt;&lt;/pub-dates&gt;&lt;/dates&gt;&lt;isbn&gt;1573-3327&lt;/isbn&gt;&lt;urls&gt;&lt;related-urls&gt;&lt;url&gt;https://doi.org/10.1007/s10578-023-01603-z&lt;/url&gt;&lt;/related-urls&gt;&lt;/urls&gt;&lt;electronic-resource-num&gt;10.1007/s10578-023-01603-z&lt;/electronic-resource-num&gt;&lt;/record&gt;&lt;/Cite&gt;&lt;/EndNote&gt;</w:instrText>
      </w:r>
      <w:r w:rsidRPr="004D46AC">
        <w:fldChar w:fldCharType="separate"/>
      </w:r>
      <w:r w:rsidRPr="004D46AC">
        <w:rPr>
          <w:noProof/>
        </w:rPr>
        <w:t>(Ye et al., 2025)</w:t>
      </w:r>
      <w:r w:rsidRPr="004D46AC">
        <w:fldChar w:fldCharType="end"/>
      </w:r>
      <w:r w:rsidRPr="004D46AC">
        <w:t xml:space="preserve">. In addition, </w:t>
      </w:r>
      <w:r w:rsidRPr="004D46AC">
        <w:fldChar w:fldCharType="begin"/>
      </w:r>
      <w:r w:rsidRPr="004D46AC">
        <w:instrText xml:space="preserve"> ADDIN EN.CITE &lt;EndNote&gt;&lt;Cite AuthorYear="1"&gt;&lt;Author&gt;Rosser&lt;/Author&gt;&lt;Year&gt;2019&lt;/Year&gt;&lt;RecNum&gt;1155&lt;/RecNum&gt;&lt;DisplayText&gt;Rosser (2019)&lt;/DisplayText&gt;&lt;record&gt;&lt;rec-number&gt;1155&lt;/rec-number&gt;&lt;foreign-keys&gt;&lt;key app="EN" db-id="aet009sstawa0hewvt3xwf5atffdw2dt02sw" timestamp="1752331365"&gt;1155&lt;/key&gt;&lt;/foreign-keys&gt;&lt;ref-type name="Journal Article"&gt;17&lt;/ref-type&gt;&lt;contributors&gt;&lt;authors&gt;&lt;author&gt;Rosser, Benjamin A.&lt;/author&gt;&lt;/authors&gt;&lt;/contributors&gt;&lt;titles&gt;&lt;title&gt;Intolerance of Uncertainty as a Transdiagnostic Mechanism of Psychological Difficulties: A Systematic Review of Evidence Pertaining to Causality and Temporal Precedence&lt;/title&gt;&lt;secondary-title&gt;Cognitive Therapy and Research&lt;/secondary-title&gt;&lt;/titles&gt;&lt;periodical&gt;&lt;full-title&gt;Cognitive therapy and research&lt;/full-title&gt;&lt;/periodical&gt;&lt;pages&gt;438-463&lt;/pages&gt;&lt;volume&gt;43&lt;/volume&gt;&lt;number&gt;2&lt;/number&gt;&lt;dates&gt;&lt;year&gt;2019&lt;/year&gt;&lt;pub-dates&gt;&lt;date&gt;2019/04/01&lt;/date&gt;&lt;/pub-dates&gt;&lt;/dates&gt;&lt;isbn&gt;1573-2819&lt;/isbn&gt;&lt;urls&gt;&lt;related-urls&gt;&lt;url&gt;https://doi.org/10.1007/s10608-018-9964-z&lt;/url&gt;&lt;/related-urls&gt;&lt;/urls&gt;&lt;electronic-resource-num&gt;10.1007/s10608-018-9964-z&lt;/electronic-resource-num&gt;&lt;/record&gt;&lt;/Cite&gt;&lt;/EndNote&gt;</w:instrText>
      </w:r>
      <w:r w:rsidRPr="004D46AC">
        <w:fldChar w:fldCharType="separate"/>
      </w:r>
      <w:r w:rsidRPr="004D46AC">
        <w:rPr>
          <w:noProof/>
        </w:rPr>
        <w:t>Rosser (2019)</w:t>
      </w:r>
      <w:r w:rsidRPr="004D46AC">
        <w:fldChar w:fldCharType="end"/>
      </w:r>
      <w:r w:rsidRPr="004D46AC">
        <w:t xml:space="preserve"> </w:t>
      </w:r>
      <w:bookmarkEnd w:id="61"/>
      <w:r w:rsidRPr="004D46AC">
        <w:t xml:space="preserve">identified a robust relationship between </w:t>
      </w:r>
      <w:proofErr w:type="spellStart"/>
      <w:r w:rsidRPr="004D46AC">
        <w:t>I</w:t>
      </w:r>
      <w:r w:rsidRPr="004D46AC">
        <w:rPr>
          <w:rFonts w:eastAsiaTheme="minorEastAsia" w:hint="eastAsia"/>
        </w:rPr>
        <w:t>o</w:t>
      </w:r>
      <w:r w:rsidRPr="004D46AC">
        <w:t>U</w:t>
      </w:r>
      <w:proofErr w:type="spellEnd"/>
      <w:r w:rsidRPr="004D46AC">
        <w:t xml:space="preserve"> and anxiety disorders, and inconsistent evidence linking </w:t>
      </w:r>
      <w:proofErr w:type="spellStart"/>
      <w:r w:rsidRPr="004D46AC">
        <w:t>I</w:t>
      </w:r>
      <w:r w:rsidRPr="004D46AC">
        <w:rPr>
          <w:rFonts w:eastAsiaTheme="minorEastAsia" w:hint="eastAsia"/>
        </w:rPr>
        <w:t>o</w:t>
      </w:r>
      <w:r w:rsidRPr="004D46AC">
        <w:t>U</w:t>
      </w:r>
      <w:proofErr w:type="spellEnd"/>
      <w:r w:rsidRPr="004D46AC">
        <w:t xml:space="preserve"> to obsessive-compulsive disorder, eating disorders, and psychosis. These findings underscore its potential as a transdiagnostic marker of vulnerability to a range of severe mental health problems.</w:t>
      </w:r>
    </w:p>
    <w:p w14:paraId="020EA7B7" w14:textId="77777777" w:rsidR="003D5CB6" w:rsidRPr="004D46AC" w:rsidRDefault="003D5CB6" w:rsidP="00B518F1">
      <w:r w:rsidRPr="004D46AC">
        <w:t xml:space="preserve">However, the overlap between schizophrenia and bipolar disorder on this matter is quite limited. There is a fair number of studies examined the relationship between psychosis and </w:t>
      </w:r>
      <w:proofErr w:type="spellStart"/>
      <w:r w:rsidRPr="004D46AC">
        <w:t>I</w:t>
      </w:r>
      <w:r w:rsidRPr="004D46AC">
        <w:rPr>
          <w:rFonts w:eastAsiaTheme="minorEastAsia" w:hint="eastAsia"/>
        </w:rPr>
        <w:t>o</w:t>
      </w:r>
      <w:r w:rsidRPr="004D46AC">
        <w:t>U</w:t>
      </w:r>
      <w:proofErr w:type="spellEnd"/>
      <w:r w:rsidRPr="004D46AC">
        <w:t xml:space="preserve">. </w:t>
      </w:r>
      <w:r w:rsidRPr="004D46AC">
        <w:fldChar w:fldCharType="begin"/>
      </w:r>
      <w:r w:rsidRPr="004D46AC">
        <w:instrText xml:space="preserve"> ADDIN EN.CITE &lt;EndNote&gt;&lt;Cite AuthorYear="1"&gt;&lt;Author&gt;Morriss&lt;/Author&gt;&lt;Year&gt;2025&lt;/Year&gt;&lt;RecNum&gt;917&lt;/RecNum&gt;&lt;DisplayText&gt;Morriss et al. (2025)&lt;/DisplayText&gt;&lt;record&gt;&lt;rec-number&gt;917&lt;/rec-number&gt;&lt;foreign-keys&gt;&lt;key app="EN" db-id="aet009sstawa0hewvt3xwf5atffdw2dt02sw" timestamp="1740406949"&gt;917&lt;/key&gt;&lt;/foreign-keys&gt;&lt;ref-type name="Journal Article"&gt;17&lt;/ref-type&gt;&lt;contributors&gt;&lt;authors&gt;&lt;author&gt;Morriss, Jayne&lt;/author&gt;&lt;author&gt;Butler, Daisy&lt;/author&gt;&lt;author&gt;Ellett, Lyn&lt;/author&gt;&lt;/authors&gt;&lt;/contributors&gt;&lt;titles&gt;&lt;title&gt;Intolerance of uncertainty and psychosis: A systematic review&lt;/title&gt;&lt;secondary-title&gt;British Journal of Clinical Psychology&lt;/secondary-title&gt;&lt;/titles&gt;&lt;periodical&gt;&lt;full-title&gt;British Journal of Clinical Psychology&lt;/full-title&gt;&lt;/periodical&gt;&lt;volume&gt;n/a&lt;/volume&gt;&lt;number&gt;n/a&lt;/number&gt;&lt;dates&gt;&lt;year&gt;2025&lt;/year&gt;&lt;/dates&gt;&lt;isbn&gt;0144-6657&lt;/isbn&gt;&lt;urls&gt;&lt;related-urls&gt;&lt;url&gt;https://bpspsychub.onlinelibrary.wiley.com/doi/abs/10.1111/bjc.12509&lt;/url&gt;&lt;/related-urls&gt;&lt;/urls&gt;&lt;electronic-resource-num&gt;https://doi.org/10.1111/bjc.12509&lt;/electronic-resource-num&gt;&lt;/record&gt;&lt;/Cite&gt;&lt;/EndNote&gt;</w:instrText>
      </w:r>
      <w:r w:rsidRPr="004D46AC">
        <w:fldChar w:fldCharType="separate"/>
      </w:r>
      <w:r w:rsidRPr="004D46AC">
        <w:rPr>
          <w:noProof/>
        </w:rPr>
        <w:t>Morriss et al. (2025)</w:t>
      </w:r>
      <w:r w:rsidRPr="004D46AC">
        <w:fldChar w:fldCharType="end"/>
      </w:r>
      <w:r w:rsidRPr="004D46AC">
        <w:t xml:space="preserve"> reviewed the evidence regarding the relationship between psychosis and </w:t>
      </w:r>
      <w:proofErr w:type="spellStart"/>
      <w:r w:rsidRPr="004D46AC">
        <w:t>I</w:t>
      </w:r>
      <w:r w:rsidRPr="004D46AC">
        <w:rPr>
          <w:rFonts w:eastAsiaTheme="minorEastAsia" w:hint="eastAsia"/>
        </w:rPr>
        <w:t>o</w:t>
      </w:r>
      <w:r w:rsidRPr="004D46AC">
        <w:t>U</w:t>
      </w:r>
      <w:proofErr w:type="spellEnd"/>
      <w:r w:rsidRPr="004D46AC">
        <w:t xml:space="preserve"> in clinical and non-clinical populations</w:t>
      </w:r>
      <w:r w:rsidRPr="004D46AC">
        <w:rPr>
          <w:rFonts w:eastAsiaTheme="minorEastAsia" w:hint="eastAsia"/>
        </w:rPr>
        <w:t>.</w:t>
      </w:r>
      <w:r w:rsidRPr="004D46AC">
        <w:t xml:space="preserve"> They found that, although effect sizes were generally moderate, </w:t>
      </w:r>
      <w:proofErr w:type="spellStart"/>
      <w:r w:rsidRPr="004D46AC">
        <w:t>IoU</w:t>
      </w:r>
      <w:proofErr w:type="spellEnd"/>
      <w:r w:rsidRPr="004D46AC">
        <w:t xml:space="preserve"> consistently predicted negative symptoms and paranoia</w:t>
      </w:r>
      <w:r w:rsidRPr="004D46AC">
        <w:rPr>
          <w:rFonts w:eastAsiaTheme="minorEastAsia" w:hint="eastAsia"/>
        </w:rPr>
        <w:t xml:space="preserve">, see also </w:t>
      </w:r>
      <w:r w:rsidRPr="004D46AC">
        <w:rPr>
          <w:rFonts w:eastAsiaTheme="minorEastAsia"/>
        </w:rPr>
        <w:fldChar w:fldCharType="begin"/>
      </w:r>
      <w:r w:rsidRPr="004D46AC">
        <w:rPr>
          <w:rFonts w:eastAsiaTheme="minorEastAsia"/>
        </w:rPr>
        <w:instrText xml:space="preserve"> ADDIN EN.CITE &lt;EndNote&gt;&lt;Cite AuthorYear="1"&gt;&lt;Author&gt;Lei&lt;/Author&gt;&lt;Year&gt;2025&lt;/Year&gt;&lt;RecNum&gt;1229&lt;/RecNum&gt;&lt;DisplayText&gt;Lei et al. (2025)&lt;/DisplayText&gt;&lt;record&gt;&lt;rec-number&gt;1229&lt;/rec-number&gt;&lt;foreign-keys&gt;&lt;key app="EN" db-id="aet009sstawa0hewvt3xwf5atffdw2dt02sw" timestamp="1758614840"&gt;1229&lt;/key&gt;&lt;/foreign-keys&gt;&lt;ref-type name="Journal Article"&gt;17&lt;/ref-type&gt;&lt;contributors&gt;&lt;authors&gt;&lt;author&gt;Lei, Yingyixue&lt;/author&gt;&lt;author&gt;Martinez, Anton&lt;/author&gt;&lt;author&gt;Huddy, Vyv&lt;/author&gt;&lt;author&gt;Morriss, Jayne&lt;/author&gt;&lt;author&gt;Ellett, Lyn&lt;/author&gt;&lt;author&gt;Bentall, Richard&lt;/author&gt;&lt;/authors&gt;&lt;/contributors&gt;&lt;titles&gt;&lt;title&gt;Intolerance of uncertainty predicts paranoia over time: Evidence from a UK sample&lt;/title&gt;&lt;secondary-title&gt;Journal of Behavior Therapy and Experimental Psychiatry&lt;/secondary-title&gt;&lt;/titles&gt;&lt;periodical&gt;&lt;full-title&gt;Journal of Behavior Therapy and Experimental Psychiatry&lt;/full-title&gt;&lt;/periodical&gt;&lt;pages&gt;102050&lt;/pages&gt;&lt;volume&gt;89&lt;/volume&gt;&lt;keywords&gt;&lt;keyword&gt;Intolerance of uncertainty&lt;/keyword&gt;&lt;keyword&gt;Paranoia&lt;/keyword&gt;&lt;keyword&gt;Anxiety&lt;/keyword&gt;&lt;keyword&gt;Depression&lt;/keyword&gt;&lt;keyword&gt;Longitudinal&lt;/keyword&gt;&lt;/keywords&gt;&lt;dates&gt;&lt;year&gt;2025&lt;/year&gt;&lt;pub-dates&gt;&lt;date&gt;2025/12/01/&lt;/date&gt;&lt;/pub-dates&gt;&lt;/dates&gt;&lt;isbn&gt;0005-7916&lt;/isbn&gt;&lt;urls&gt;&lt;related-urls&gt;&lt;url&gt;https://www.sciencedirect.com/science/article/pii/S0005791625000345&lt;/url&gt;&lt;/related-urls&gt;&lt;/urls&gt;&lt;electronic-resource-num&gt;https://doi.org/10.1016/j.jbtep.2025.102050&lt;/electronic-resource-num&gt;&lt;/record&gt;&lt;/Cite&gt;&lt;/EndNote&gt;</w:instrText>
      </w:r>
      <w:r w:rsidRPr="004D46AC">
        <w:rPr>
          <w:rFonts w:eastAsiaTheme="minorEastAsia"/>
        </w:rPr>
        <w:fldChar w:fldCharType="separate"/>
      </w:r>
      <w:r w:rsidRPr="004D46AC">
        <w:rPr>
          <w:rFonts w:eastAsiaTheme="minorEastAsia"/>
          <w:noProof/>
        </w:rPr>
        <w:t>Lei et al. (2025)</w:t>
      </w:r>
      <w:r w:rsidRPr="004D46AC">
        <w:rPr>
          <w:rFonts w:eastAsiaTheme="minorEastAsia"/>
        </w:rPr>
        <w:fldChar w:fldCharType="end"/>
      </w:r>
      <w:r w:rsidRPr="004D46AC">
        <w:rPr>
          <w:rFonts w:eastAsiaTheme="minorEastAsia" w:hint="eastAsia"/>
        </w:rPr>
        <w:t xml:space="preserve">. </w:t>
      </w:r>
      <w:r w:rsidRPr="004D46AC">
        <w:t>However, evidence regarding its association with general psychotic symptoms</w:t>
      </w:r>
      <w:r w:rsidRPr="004D46AC">
        <w:rPr>
          <w:rFonts w:eastAsiaTheme="minorEastAsia" w:hint="eastAsia"/>
        </w:rPr>
        <w:t xml:space="preserve"> - </w:t>
      </w:r>
      <w:r w:rsidRPr="004D46AC">
        <w:t>as well as specific features such as delusions and hallucinations</w:t>
      </w:r>
      <w:r w:rsidRPr="004D46AC">
        <w:rPr>
          <w:rFonts w:eastAsiaTheme="minorEastAsia" w:hint="eastAsia"/>
        </w:rPr>
        <w:t xml:space="preserve"> - </w:t>
      </w:r>
      <w:r w:rsidRPr="004D46AC">
        <w:t>remained mixed</w:t>
      </w:r>
      <w:r w:rsidRPr="004D46AC">
        <w:rPr>
          <w:rFonts w:eastAsiaTheme="minorEastAsia" w:hint="eastAsia"/>
        </w:rPr>
        <w:t>.</w:t>
      </w:r>
      <w:r w:rsidRPr="004D46AC">
        <w:t xml:space="preserve"> </w:t>
      </w:r>
      <w:r w:rsidRPr="004D46AC">
        <w:rPr>
          <w:rFonts w:eastAsiaTheme="minorEastAsia" w:hint="eastAsia"/>
        </w:rPr>
        <w:t>S</w:t>
      </w:r>
      <w:r w:rsidRPr="004D46AC">
        <w:t xml:space="preserve">ubscale of </w:t>
      </w:r>
      <w:proofErr w:type="spellStart"/>
      <w:r w:rsidRPr="004D46AC">
        <w:t>I</w:t>
      </w:r>
      <w:r w:rsidRPr="004D46AC">
        <w:rPr>
          <w:rFonts w:eastAsiaTheme="minorEastAsia" w:hint="eastAsia"/>
        </w:rPr>
        <w:t>o</w:t>
      </w:r>
      <w:r w:rsidRPr="004D46AC">
        <w:t>U</w:t>
      </w:r>
      <w:proofErr w:type="spellEnd"/>
      <w:r w:rsidRPr="004D46AC">
        <w:t xml:space="preserve"> such as inhibition has been shown to predict the diagnosis of schizophrenia </w:t>
      </w:r>
      <w:r w:rsidRPr="004D46AC">
        <w:fldChar w:fldCharType="begin">
          <w:fldData xml:space="preserve">PEVuZE5vdGU+PENpdGU+PEF1dGhvcj5ZYW5nPC9BdXRob3I+PFllYXI+MjAyNTwvWWVhcj48UmVj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</w:fldData>
        </w:fldChar>
      </w:r>
      <w:r w:rsidRPr="004D46AC">
        <w:instrText xml:space="preserve"> ADDIN EN.CITE </w:instrText>
      </w:r>
      <w:r w:rsidRPr="004D46AC">
        <w:fldChar w:fldCharType="begin">
          <w:fldData xml:space="preserve">PEVuZE5vdGU+PENpdGU+PEF1dGhvcj5ZYW5nPC9BdXRob3I+PFllYXI+MjAyNTwvWWVhcj48UmVj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</w:fldData>
        </w:fldChar>
      </w:r>
      <w:r w:rsidRPr="004D46AC">
        <w:instrText xml:space="preserve"> ADDIN EN.CITE.DATA </w:instrText>
      </w:r>
      <w:r w:rsidRPr="004D46AC">
        <w:fldChar w:fldCharType="end"/>
      </w:r>
      <w:r w:rsidRPr="004D46AC">
        <w:fldChar w:fldCharType="separate"/>
      </w:r>
      <w:r w:rsidRPr="004D46AC">
        <w:rPr>
          <w:noProof/>
        </w:rPr>
        <w:t>(Yang et al., 2025)</w:t>
      </w:r>
      <w:r w:rsidRPr="004D46AC">
        <w:fldChar w:fldCharType="end"/>
      </w:r>
      <w:r w:rsidRPr="004D46AC">
        <w:rPr>
          <w:rFonts w:eastAsiaTheme="minorEastAsia" w:hint="eastAsia"/>
        </w:rPr>
        <w:t>.</w:t>
      </w:r>
      <w:r w:rsidRPr="004D46AC">
        <w:t xml:space="preserve"> </w:t>
      </w:r>
      <w:bookmarkStart w:id="62" w:name="OLE_LINK27"/>
      <w:bookmarkStart w:id="63" w:name="OLE_LINK29"/>
      <w:r w:rsidRPr="004D46AC">
        <w:t xml:space="preserve">In addition, </w:t>
      </w:r>
      <w:proofErr w:type="spellStart"/>
      <w:r w:rsidRPr="004D46AC">
        <w:t>I</w:t>
      </w:r>
      <w:r w:rsidRPr="004D46AC">
        <w:rPr>
          <w:rFonts w:eastAsiaTheme="minorEastAsia" w:hint="eastAsia"/>
        </w:rPr>
        <w:t>o</w:t>
      </w:r>
      <w:r w:rsidRPr="004D46AC">
        <w:t>U</w:t>
      </w:r>
      <w:proofErr w:type="spellEnd"/>
      <w:r w:rsidRPr="004D46AC">
        <w:t xml:space="preserve"> has been found to correlate with at-risk symptoms across both healthy controls and patients with schizophrenia and anxiety disorders, even after adjusting for negative affectivity </w:t>
      </w:r>
      <w:r w:rsidRPr="004D46AC">
        <w:fldChar w:fldCharType="begin"/>
      </w:r>
      <w:r w:rsidRPr="004D46AC">
        <w:instrText xml:space="preserve"> ADDIN EN.CITE &lt;EndNote&gt;&lt;Cite&gt;&lt;Author&gt;Morriss&lt;/Author&gt;&lt;Year&gt;2025&lt;/Year&gt;&lt;RecNum&gt;1157&lt;/RecNum&gt;&lt;DisplayText&gt;(Morriss &amp;amp; Ellett, 2025)&lt;/DisplayText&gt;&lt;record&gt;&lt;rec-number&gt;1157&lt;/rec-number&gt;&lt;foreign-keys&gt;&lt;key app="EN" db-id="aet009sstawa0hewvt3xwf5atffdw2dt02sw" timestamp="1752392623"&gt;1157&lt;/key&gt;&lt;/foreign-keys&gt;&lt;ref-type name="Journal Article"&gt;17&lt;/ref-type&gt;&lt;contributors&gt;&lt;authors&gt;&lt;author&gt;Morriss, Jayne&lt;/author&gt;&lt;author&gt;Ellett, Lyn&lt;/author&gt;&lt;/authors&gt;&lt;/contributors&gt;&lt;titles&gt;&lt;title&gt;Intolerance of uncertainty, paranoia, and prodromal symptoms: Comparisons between a schizophrenia spectrum disorder, anxiety disorder and non</w:instrText>
      </w:r>
      <w:r w:rsidRPr="004D46AC">
        <w:rPr>
          <w:rFonts w:ascii="Cambria Math" w:hAnsi="Cambria Math" w:cs="Cambria Math"/>
        </w:rPr>
        <w:instrText>‐</w:instrText>
      </w:r>
      <w:r w:rsidRPr="004D46AC">
        <w:instrText>clinical sample&lt;/title&gt;&lt;secondary-title&gt;Psychology and Psychotherapy: Theory, Research and Practice&lt;/secondary-title&gt;&lt;/titles&gt;&lt;periodical&gt;&lt;full-title&gt;Psychology and Psychotherapy: Theory, Research and Practice&lt;/full-title&gt;&lt;/periodical&gt;&lt;dates&gt;&lt;year&gt;2025&lt;/year&gt;&lt;/dates&gt;&lt;isbn&gt;1476-0835&lt;/isbn&gt;&lt;urls&gt;&lt;/urls&gt;&lt;/record&gt;&lt;/Cite&gt;&lt;/EndNote&gt;</w:instrText>
      </w:r>
      <w:r w:rsidRPr="004D46AC">
        <w:fldChar w:fldCharType="separate"/>
      </w:r>
      <w:r w:rsidRPr="004D46AC">
        <w:rPr>
          <w:noProof/>
        </w:rPr>
        <w:t>(Morriss &amp; Ellett, 2025)</w:t>
      </w:r>
      <w:r w:rsidRPr="004D46AC">
        <w:fldChar w:fldCharType="end"/>
      </w:r>
      <w:r w:rsidRPr="004D46AC">
        <w:t xml:space="preserve">. Similar associations have been observed between </w:t>
      </w:r>
      <w:proofErr w:type="spellStart"/>
      <w:r w:rsidRPr="004D46AC">
        <w:t>I</w:t>
      </w:r>
      <w:r w:rsidRPr="004D46AC">
        <w:rPr>
          <w:rFonts w:eastAsiaTheme="minorEastAsia" w:hint="eastAsia"/>
        </w:rPr>
        <w:t>o</w:t>
      </w:r>
      <w:r w:rsidRPr="004D46AC">
        <w:t>U</w:t>
      </w:r>
      <w:proofErr w:type="spellEnd"/>
      <w:r w:rsidRPr="004D46AC">
        <w:t xml:space="preserve"> - as well as its subscales - and schizotypal personality traits and psychotic experiences, but not hypomanic traits </w:t>
      </w:r>
      <w:r w:rsidRPr="004D46AC">
        <w:fldChar w:fldCharType="begin">
          <w:fldData xml:space="preserve">PEVuZE5vdGU+PENpdGU+PEF1dGhvcj5QdWpqaTwvQXV0aG9yPjxZZWFyPjIwMjQ8L1llYXI+PFJl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</w:fldData>
        </w:fldChar>
      </w:r>
      <w:r w:rsidRPr="004D46AC">
        <w:instrText xml:space="preserve"> ADDIN EN.CITE </w:instrText>
      </w:r>
      <w:r w:rsidRPr="004D46AC">
        <w:fldChar w:fldCharType="begin">
          <w:fldData xml:space="preserve">PEVuZE5vdGU+PENpdGU+PEF1dGhvcj5QdWpqaTwvQXV0aG9yPjxZZWFyPjIwMjQ8L1llYXI+PFJl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</w:fldData>
        </w:fldChar>
      </w:r>
      <w:r w:rsidRPr="004D46AC">
        <w:instrText xml:space="preserve"> ADDIN EN.CITE.DATA </w:instrText>
      </w:r>
      <w:r w:rsidRPr="004D46AC">
        <w:fldChar w:fldCharType="end"/>
      </w:r>
      <w:r w:rsidRPr="004D46AC">
        <w:fldChar w:fldCharType="separate"/>
      </w:r>
      <w:r w:rsidRPr="004D46AC">
        <w:rPr>
          <w:noProof/>
        </w:rPr>
        <w:t>(Kumar et al., 2025; Pujji &amp; Dinzeo, 2024)</w:t>
      </w:r>
      <w:r w:rsidRPr="004D46AC">
        <w:fldChar w:fldCharType="end"/>
      </w:r>
      <w:r w:rsidRPr="004D46AC">
        <w:t>.</w:t>
      </w:r>
      <w:bookmarkEnd w:id="62"/>
      <w:r w:rsidRPr="004D46AC">
        <w:t xml:space="preserve"> </w:t>
      </w:r>
      <w:bookmarkStart w:id="64" w:name="OLE_LINK31"/>
      <w:bookmarkEnd w:id="63"/>
      <w:r w:rsidRPr="004D46AC">
        <w:t xml:space="preserve">Evidence for the role of </w:t>
      </w:r>
      <w:proofErr w:type="spellStart"/>
      <w:r w:rsidRPr="004D46AC">
        <w:t>I</w:t>
      </w:r>
      <w:r w:rsidRPr="004D46AC">
        <w:rPr>
          <w:rFonts w:eastAsiaTheme="minorEastAsia" w:hint="eastAsia"/>
        </w:rPr>
        <w:t>o</w:t>
      </w:r>
      <w:r w:rsidRPr="004D46AC">
        <w:t>U</w:t>
      </w:r>
      <w:proofErr w:type="spellEnd"/>
      <w:r w:rsidRPr="004D46AC">
        <w:t xml:space="preserve"> in bipolar disorder, apart from its relation to hypomanic traits, remains limited. For example, </w:t>
      </w:r>
      <w:r w:rsidRPr="004D46AC">
        <w:fldChar w:fldCharType="begin"/>
      </w:r>
      <w:r w:rsidRPr="004D46AC">
        <w:instrText xml:space="preserve"> ADDIN EN.CITE &lt;EndNote&gt;&lt;Cite AuthorYear="1"&gt;&lt;Author&gt;Şen&lt;/Author&gt;&lt;Year&gt;2020&lt;/Year&gt;&lt;RecNum&gt;1161&lt;/RecNum&gt;&lt;DisplayText&gt;Şen and Yıldızhan (2020)&lt;/DisplayText&gt;&lt;record&gt;&lt;rec-number&gt;1161&lt;/rec-number&gt;&lt;foreign-keys&gt;&lt;key app="EN" db-id="aet009sstawa0hewvt3xwf5atffdw2dt02sw" timestamp="1752407732"&gt;1161&lt;/key&gt;&lt;/foreign-keys&gt;&lt;ref-type name="Journal Article"&gt;17&lt;/ref-type&gt;&lt;contributors&gt;&lt;authors&gt;&lt;author&gt;Şen, Ö&lt;/author&gt;&lt;author&gt;Yıldızhan, E.&lt;/author&gt;&lt;/authors&gt;&lt;/contributors&gt;&lt;titles&gt;&lt;title&gt;Relationship of Intolerance of Uncertainty and Attachment Styles with the Clinical Features of Bipolar Disorder in Remission&lt;/title&gt;&lt;secondary-title&gt;Turk Psikiyatri Derg&lt;/secondary-title&gt;&lt;/titles&gt;&lt;periodical&gt;&lt;full-title&gt;Turk Psikiyatri Derg&lt;/full-title&gt;&lt;/periodical&gt;&lt;pages&gt;174-184&lt;/pages&gt;&lt;volume&gt;31&lt;/volume&gt;&lt;number&gt;3&lt;/number&gt;&lt;keywords&gt;&lt;keyword&gt;Adult&lt;/keyword&gt;&lt;keyword&gt;Bipolar Disorder/*psychology&lt;/keyword&gt;&lt;keyword&gt;Cross-Sectional Studies&lt;/keyword&gt;&lt;keyword&gt;Female&lt;/keyword&gt;&lt;keyword&gt;Humans&lt;/keyword&gt;&lt;keyword&gt;Male&lt;/keyword&gt;&lt;keyword&gt;Middle Aged&lt;/keyword&gt;&lt;keyword&gt;Psychometrics&lt;/keyword&gt;&lt;keyword&gt;Remission Induction&lt;/keyword&gt;&lt;keyword&gt;Suicidal Ideation&lt;/keyword&gt;&lt;keyword&gt;Uncertainty&lt;/keyword&gt;&lt;keyword&gt;Young Adult&lt;/keyword&gt;&lt;/keywords&gt;&lt;dates&gt;&lt;year&gt;2020&lt;/year&gt;&lt;pub-dates&gt;&lt;date&gt;Fall&lt;/date&gt;&lt;/pub-dates&gt;&lt;/dates&gt;&lt;orig-pub&gt;Remisyonda Bipolar Bozuklukta Belirsizliğe Tahammülsüzlük, Bağlanma Biçimleri ve Klinik Özelliklerin İlişkisi.&lt;/orig-pub&gt;&lt;isbn&gt;1300-2163&lt;/isbn&gt;&lt;accession-num&gt;32978953&lt;/accession-num&gt;&lt;urls&gt;&lt;/urls&gt;&lt;electronic-resource-num&gt;10.5080/u25107&lt;/electronic-resource-num&gt;&lt;remote-database-provider&gt;NLM&lt;/remote-database-provider&gt;&lt;language&gt;eng&amp;#xD;tur&lt;/language&gt;&lt;/record&gt;&lt;/Cite&gt;&lt;/EndNote&gt;</w:instrText>
      </w:r>
      <w:r w:rsidRPr="004D46AC">
        <w:fldChar w:fldCharType="separate"/>
      </w:r>
      <w:r w:rsidRPr="004D46AC">
        <w:rPr>
          <w:noProof/>
        </w:rPr>
        <w:t>Şen and Yıldızhan (2020)</w:t>
      </w:r>
      <w:r w:rsidRPr="004D46AC">
        <w:fldChar w:fldCharType="end"/>
      </w:r>
      <w:r w:rsidRPr="004D46AC">
        <w:t xml:space="preserve"> </w:t>
      </w:r>
      <w:bookmarkEnd w:id="64"/>
      <w:r w:rsidRPr="004D46AC">
        <w:t xml:space="preserve">primarily investigated the association between </w:t>
      </w:r>
      <w:proofErr w:type="spellStart"/>
      <w:r w:rsidRPr="004D46AC">
        <w:t>I</w:t>
      </w:r>
      <w:r w:rsidRPr="004D46AC">
        <w:rPr>
          <w:rFonts w:eastAsiaTheme="minorEastAsia" w:hint="eastAsia"/>
        </w:rPr>
        <w:t>o</w:t>
      </w:r>
      <w:r w:rsidRPr="004D46AC">
        <w:t>U</w:t>
      </w:r>
      <w:proofErr w:type="spellEnd"/>
      <w:r w:rsidRPr="004D46AC">
        <w:t xml:space="preserve"> and suicidal ideation or attempt in individuals with bipolar disorder. Although the relationship between </w:t>
      </w:r>
      <w:proofErr w:type="spellStart"/>
      <w:r w:rsidRPr="004D46AC">
        <w:t>I</w:t>
      </w:r>
      <w:r w:rsidRPr="004D46AC">
        <w:rPr>
          <w:rFonts w:eastAsiaTheme="minorEastAsia" w:hint="eastAsia"/>
        </w:rPr>
        <w:t>o</w:t>
      </w:r>
      <w:r w:rsidRPr="004D46AC">
        <w:t>U</w:t>
      </w:r>
      <w:proofErr w:type="spellEnd"/>
      <w:r w:rsidRPr="004D46AC">
        <w:t xml:space="preserve"> and specific symptom severity was not examined, their findings indicated that </w:t>
      </w:r>
      <w:proofErr w:type="spellStart"/>
      <w:r w:rsidRPr="004D46AC">
        <w:t>I</w:t>
      </w:r>
      <w:r w:rsidRPr="004D46AC">
        <w:rPr>
          <w:rFonts w:eastAsiaTheme="minorEastAsia" w:hint="eastAsia"/>
        </w:rPr>
        <w:t>o</w:t>
      </w:r>
      <w:r w:rsidRPr="004D46AC">
        <w:t>U</w:t>
      </w:r>
      <w:proofErr w:type="spellEnd"/>
      <w:r w:rsidRPr="004D46AC">
        <w:t xml:space="preserve"> - particularly the inhibitory subscale - was associated with duration of illness and number of mood episodes, with small to moderate effect sizes.</w:t>
      </w:r>
    </w:p>
    <w:p w14:paraId="0744CACF" w14:textId="77777777" w:rsidR="003D5CB6" w:rsidRPr="004D46AC" w:rsidRDefault="003D5CB6" w:rsidP="00B518F1">
      <w:pPr>
        <w:rPr>
          <w:rFonts w:eastAsiaTheme="minorEastAsia"/>
        </w:rPr>
      </w:pPr>
      <w:r w:rsidRPr="004D46AC">
        <w:lastRenderedPageBreak/>
        <w:t xml:space="preserve">In summary, </w:t>
      </w:r>
      <w:proofErr w:type="spellStart"/>
      <w:r w:rsidRPr="004D46AC">
        <w:t>I</w:t>
      </w:r>
      <w:r w:rsidRPr="004D46AC">
        <w:rPr>
          <w:rFonts w:eastAsiaTheme="minorEastAsia" w:hint="eastAsia"/>
        </w:rPr>
        <w:t>o</w:t>
      </w:r>
      <w:r w:rsidRPr="004D46AC">
        <w:t>U</w:t>
      </w:r>
      <w:proofErr w:type="spellEnd"/>
      <w:r w:rsidRPr="004D46AC">
        <w:t xml:space="preserve"> - proposed as a key mechanism underlying worry - emerges as a transdiagnostic marker of vulnerability to a variety of psychiatric conditions. However, many issues remain unexplored, particularly given the lack of evidence addressing the boundaries between different psychiatric disorders and the complex mechanisms underlying specific symptoms. For example, the finding that inhibitory </w:t>
      </w:r>
      <w:proofErr w:type="spellStart"/>
      <w:r w:rsidRPr="004D46AC">
        <w:t>I</w:t>
      </w:r>
      <w:r w:rsidRPr="004D46AC">
        <w:rPr>
          <w:rFonts w:eastAsiaTheme="minorEastAsia" w:hint="eastAsia"/>
        </w:rPr>
        <w:t>o</w:t>
      </w:r>
      <w:r w:rsidRPr="004D46AC">
        <w:t>U</w:t>
      </w:r>
      <w:proofErr w:type="spellEnd"/>
      <w:r w:rsidRPr="004D46AC">
        <w:t xml:space="preserve"> significantly predicts both</w:t>
      </w:r>
      <w:r w:rsidRPr="004D46AC">
        <w:rPr>
          <w:rFonts w:eastAsiaTheme="minorEastAsia"/>
        </w:rPr>
        <w:t xml:space="preserve"> clinical constructs of </w:t>
      </w:r>
      <w:r w:rsidRPr="004D46AC">
        <w:t xml:space="preserve">schizophrenia and bipolar disorder highlights the possibility of shared aetiological or cognitive pathways across distinct psychiatric diagnoses, which requires more studies to explore. </w:t>
      </w:r>
    </w:p>
    <w:p w14:paraId="75252AEF" w14:textId="77777777" w:rsidR="003D5CB6" w:rsidRPr="004D46AC" w:rsidRDefault="003D5CB6" w:rsidP="00B518F1">
      <w:pPr>
        <w:pStyle w:val="2"/>
      </w:pPr>
      <w:bookmarkStart w:id="65" w:name="_Toc219888756"/>
      <w:r w:rsidRPr="004D46AC">
        <w:t>Theoretical Models</w:t>
      </w:r>
      <w:bookmarkEnd w:id="65"/>
    </w:p>
    <w:p w14:paraId="2DED0B73" w14:textId="77777777" w:rsidR="003D5CB6" w:rsidRPr="004D46AC" w:rsidRDefault="003D5CB6" w:rsidP="00B518F1">
      <w:pPr>
        <w:rPr>
          <w:rFonts w:eastAsiaTheme="minorEastAsia"/>
        </w:rPr>
      </w:pPr>
      <w:r w:rsidRPr="004D46AC">
        <w:t>Despite multiple hypothesis have been proposed in the field of psychiatry explaining the aetiology of mental illnesses, there are a few theories explaining the overlap between different mental disorders, and most of them are focused on the symptoms. Beyond symptom-level models, broader theoretical frameworks seek to explain the emergence of severe mental illness and the convergence of symptoms or diagnoses. These models do not operate within the disease entity itself but instead propose underlying causes or developmental mechanisms. While a range of frameworks - such as genetic (e.g., polygenic models), biological (e.g., biotype models), and cognitive (e.g., attribution biases) - offer valuable insights, they fall beyond the scope of this thesis. Several theoretical models relevant to this thesis are discussed below.</w:t>
      </w:r>
    </w:p>
    <w:p w14:paraId="79DD1669" w14:textId="77777777" w:rsidR="003D5CB6" w:rsidRPr="004D46AC" w:rsidRDefault="003D5CB6" w:rsidP="00B518F1">
      <w:pPr>
        <w:pStyle w:val="3"/>
      </w:pPr>
      <w:r w:rsidRPr="004D46AC">
        <w:t>Models behind the psychopathology</w:t>
      </w:r>
    </w:p>
    <w:p w14:paraId="31B1BFF8" w14:textId="77777777" w:rsidR="003D5CB6" w:rsidRPr="004D46AC" w:rsidRDefault="003D5CB6" w:rsidP="00B518F1">
      <w:pPr>
        <w:pStyle w:val="4"/>
      </w:pPr>
      <w:r w:rsidRPr="004D46AC">
        <w:t>The unitary psychosis model</w:t>
      </w:r>
    </w:p>
    <w:p w14:paraId="0B1E5075" w14:textId="77777777" w:rsidR="003D5CB6" w:rsidRPr="004D46AC" w:rsidRDefault="003D5CB6" w:rsidP="00B518F1">
      <w:pPr>
        <w:rPr>
          <w:rFonts w:eastAsiaTheme="minorEastAsia"/>
        </w:rPr>
      </w:pPr>
      <w:r w:rsidRPr="004D46AC">
        <w:t xml:space="preserve">The concept of psychosis was originally synonymous with “madness” and, over time, became restricted to severe mental illnesses thought to have a physical aetiology. As described in early sections, prior to the Kraepelinian dichotomy, psychiatric classification was rudimentary: individuals were either considered mentally intact or suffering from “alienation.” Reflecting this view, the doctrine of unitary psychosis posited that all severe mental disorders represent different manifestations or stages of a single disease </w:t>
      </w:r>
      <w:r w:rsidRPr="004D46AC">
        <w:fldChar w:fldCharType="begin"/>
      </w:r>
      <w:r w:rsidRPr="004D46AC">
        <w:instrText xml:space="preserve"> ADDIN EN.CITE &lt;EndNote&gt;&lt;Cite&gt;&lt;Author&gt;Aragona&lt;/Author&gt;&lt;Year&gt;2024&lt;/Year&gt;&lt;RecNum&gt;1180&lt;/RecNum&gt;&lt;DisplayText&gt;(Aragona, 2024)&lt;/DisplayText&gt;&lt;record&gt;&lt;rec-number&gt;1180&lt;/rec-number&gt;&lt;foreign-keys&gt;&lt;key app="EN" db-id="aet009sstawa0hewvt3xwf5atffdw2dt02sw" timestamp="1753372610"&gt;1180&lt;/key&gt;&lt;/foreign-keys&gt;&lt;ref-type name="Journal Article"&gt;17&lt;/ref-type&gt;&lt;contributors&gt;&lt;authors&gt;&lt;author&gt;Aragona, Massimiliano&lt;/author&gt;&lt;/authors&gt;&lt;/contributors&gt;&lt;titles&gt;&lt;title&gt;Unitary psychosis (Einheitspsychose): A conceptual history&lt;/title&gt;&lt;secondary-title&gt;Journal of Affective Disorders&lt;/secondary-title&gt;&lt;/titles&gt;&lt;periodical&gt;&lt;full-title&gt;Journal of affective disorders&lt;/full-title&gt;&lt;/periodical&gt;&lt;pages&gt;86-91&lt;/pages&gt;&lt;volume&gt;359&lt;/volume&gt;&lt;dates&gt;&lt;year&gt;2024&lt;/year&gt;&lt;/dates&gt;&lt;isbn&gt;0165-0327&lt;/isbn&gt;&lt;urls&gt;&lt;/urls&gt;&lt;/record&gt;&lt;/Cite&gt;&lt;/EndNote&gt;</w:instrText>
      </w:r>
      <w:r w:rsidRPr="004D46AC">
        <w:fldChar w:fldCharType="separate"/>
      </w:r>
      <w:r w:rsidRPr="004D46AC">
        <w:rPr>
          <w:noProof/>
        </w:rPr>
        <w:t>(Aragona, 2024)</w:t>
      </w:r>
      <w:r w:rsidRPr="004D46AC">
        <w:fldChar w:fldCharType="end"/>
      </w:r>
      <w:r w:rsidRPr="004D46AC">
        <w:t>. For example, William Cullen</w:t>
      </w:r>
      <w:r w:rsidRPr="004D46AC">
        <w:rPr>
          <w:rFonts w:eastAsiaTheme="minorEastAsia" w:hint="eastAsia"/>
        </w:rPr>
        <w:t xml:space="preserve"> </w:t>
      </w:r>
      <w:r w:rsidRPr="004D46AC">
        <w:rPr>
          <w:rFonts w:eastAsiaTheme="minorEastAsia"/>
        </w:rPr>
        <w:t>(1710-1790)</w:t>
      </w:r>
      <w:r w:rsidRPr="004D46AC">
        <w:t xml:space="preserve"> argued for a common cause underlying various mental </w:t>
      </w:r>
      <w:r w:rsidRPr="004D46AC">
        <w:lastRenderedPageBreak/>
        <w:t xml:space="preserve">illnesses, due to their tendency to intermingle. Joseph Guislain and Ernest von Zeller conceptualised psychoses as progressing from mild states such as melancholy to severe dementia. Wilhelm Griesinger later applied this perspective to symptomatology, suggesting that major psychoses are brain diseases with a progressive course from affective disturbance to dementia. This unitary progression is echoed in contemporary models, such as the proneness-persistence-impairment framework described in recent meta-analyses </w:t>
      </w:r>
      <w:r w:rsidRPr="004D46AC">
        <w:fldChar w:fldCharType="begin">
          <w:fldData xml:space="preserve">PEVuZE5vdGU+PENpdGU+PEF1dGhvcj52YW4gT3M8L0F1dGhvcj48WWVhcj4yMDA5PC9ZZWFyPjxS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instrText xml:space="preserve"> ADDIN EN.CITE </w:instrText>
      </w:r>
      <w:r w:rsidRPr="004D46AC">
        <w:fldChar w:fldCharType="begin">
          <w:fldData xml:space="preserve">PEVuZE5vdGU+PENpdGU+PEF1dGhvcj52YW4gT3M8L0F1dGhvcj48WWVhcj4yMDA5PC9ZZWFyPjxS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instrText xml:space="preserve"> ADDIN EN.CITE.DATA </w:instrText>
      </w:r>
      <w:r w:rsidRPr="004D46AC">
        <w:fldChar w:fldCharType="end"/>
      </w:r>
      <w:r w:rsidRPr="004D46AC">
        <w:fldChar w:fldCharType="separate"/>
      </w:r>
      <w:r w:rsidRPr="004D46AC">
        <w:rPr>
          <w:noProof/>
        </w:rPr>
        <w:t>(van Os et al., 2009)</w:t>
      </w:r>
      <w:r w:rsidRPr="004D46AC">
        <w:fldChar w:fldCharType="end"/>
      </w:r>
      <w:r w:rsidRPr="004D46AC">
        <w:t>. However, as the evidence accumulated, it became clear that neither pure unitary nor strictly categorical models could fully account for the diversity and dynamics of mental illness. This historical debate continues to inform modern discussions about psychiatric classification and the validity of spectrum or dimensional approaches.</w:t>
      </w:r>
    </w:p>
    <w:p w14:paraId="2501574C" w14:textId="77777777" w:rsidR="003D5CB6" w:rsidRPr="004D46AC" w:rsidRDefault="003D5CB6" w:rsidP="00B518F1">
      <w:pPr>
        <w:pStyle w:val="4"/>
      </w:pPr>
      <w:proofErr w:type="spellStart"/>
      <w:r w:rsidRPr="004D46AC">
        <w:t>Schizo</w:t>
      </w:r>
      <w:proofErr w:type="spellEnd"/>
      <w:r w:rsidRPr="004D46AC">
        <w:t>-bipolar model</w:t>
      </w:r>
    </w:p>
    <w:p w14:paraId="3F7EBA54" w14:textId="77777777" w:rsidR="003D5CB6" w:rsidRPr="004D46AC" w:rsidRDefault="003D5CB6" w:rsidP="00B518F1">
      <w:pPr>
        <w:rPr>
          <w:rFonts w:eastAsiaTheme="minorEastAsia"/>
        </w:rPr>
      </w:pPr>
      <w:bookmarkStart w:id="66" w:name="OLE_LINK42"/>
      <w:r w:rsidRPr="004D46AC">
        <w:t xml:space="preserve">To account for the overlap between schizophrenia and bipolar disorder, schizoaffective disorder was introduced in DSM-II as an intermediate diagnosis. However, its high heterogeneity and low diagnostic validity have been questioned ever since. </w:t>
      </w:r>
      <w:r w:rsidRPr="004D46AC">
        <w:fldChar w:fldCharType="begin">
          <w:fldData xml:space="preserve">PEVuZE5vdGU+PENpdGUgQXV0aG9yWWVhcj0iMSI+PEF1dGhvcj5LZXNoYXZhbjwvQXV0aG9yPjxZ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</w:fldData>
        </w:fldChar>
      </w:r>
      <w:r w:rsidRPr="004D46AC">
        <w:instrText xml:space="preserve"> ADDIN EN.CITE </w:instrText>
      </w:r>
      <w:r w:rsidRPr="004D46AC">
        <w:fldChar w:fldCharType="begin">
          <w:fldData xml:space="preserve">PEVuZE5vdGU+PENpdGUgQXV0aG9yWWVhcj0iMSI+PEF1dGhvcj5LZXNoYXZhbjwvQXV0aG9yPjxZ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</w:fldData>
        </w:fldChar>
      </w:r>
      <w:r w:rsidRPr="004D46AC">
        <w:instrText xml:space="preserve"> ADDIN EN.CITE.DATA </w:instrText>
      </w:r>
      <w:r w:rsidRPr="004D46AC">
        <w:fldChar w:fldCharType="end"/>
      </w:r>
      <w:r w:rsidRPr="004D46AC">
        <w:fldChar w:fldCharType="separate"/>
      </w:r>
      <w:bookmarkStart w:id="67" w:name="OLE_LINK45"/>
      <w:r w:rsidRPr="004D46AC">
        <w:rPr>
          <w:noProof/>
        </w:rPr>
        <w:t>Keshavan</w:t>
      </w:r>
      <w:bookmarkEnd w:id="67"/>
      <w:r w:rsidRPr="004D46AC">
        <w:rPr>
          <w:noProof/>
        </w:rPr>
        <w:t xml:space="preserve"> et al. (2011)</w:t>
      </w:r>
      <w:r w:rsidRPr="004D46AC">
        <w:fldChar w:fldCharType="end"/>
      </w:r>
      <w:r w:rsidRPr="004D46AC">
        <w:t xml:space="preserve"> instead proposed a </w:t>
      </w:r>
      <w:proofErr w:type="spellStart"/>
      <w:r w:rsidRPr="004D46AC">
        <w:t>schizo</w:t>
      </w:r>
      <w:proofErr w:type="spellEnd"/>
      <w:r w:rsidRPr="004D46AC">
        <w:t xml:space="preserve">-bipolar model, suggesting that schizophrenia and bipolar disorder represent opposite ends of a single continuum, with schizoaffective disorder falling in between. </w:t>
      </w:r>
      <w:bookmarkStart w:id="68" w:name="OLE_LINK44"/>
      <w:r w:rsidRPr="004D46AC">
        <w:t xml:space="preserve">This model was preliminarily validated in clinical populations using the </w:t>
      </w:r>
      <w:proofErr w:type="spellStart"/>
      <w:r w:rsidRPr="004D46AC">
        <w:t>Schizo</w:t>
      </w:r>
      <w:proofErr w:type="spellEnd"/>
      <w:r w:rsidRPr="004D46AC">
        <w:t xml:space="preserve">-Bipolar Scale, which revealed a hybrid distribution: </w:t>
      </w:r>
      <w:bookmarkEnd w:id="68"/>
      <w:r w:rsidRPr="004D46AC">
        <w:t>many patients with schizophrenia or bipolar disorder clustered at opposite ends of the continuum, while a substantial number - particularly those diagnosed with schizoaffective disorder - occupied intermediate positions. This pattern suggests that schizoaffective disorder does not represent a discrete intermediate category but rather reflects a range of clinical presentations along the spectrum between schizophrenia and bipolar disorder.</w:t>
      </w:r>
      <w:bookmarkEnd w:id="66"/>
    </w:p>
    <w:p w14:paraId="7BBEF96F" w14:textId="77777777" w:rsidR="003D5CB6" w:rsidRPr="004D46AC" w:rsidRDefault="003D5CB6" w:rsidP="00B518F1">
      <w:pPr>
        <w:pStyle w:val="4"/>
      </w:pPr>
      <w:r w:rsidRPr="004D46AC">
        <w:t>‘p’ factor and bi-factor models</w:t>
      </w:r>
    </w:p>
    <w:p w14:paraId="68741E1E" w14:textId="77777777" w:rsidR="003D5CB6" w:rsidRPr="004D46AC" w:rsidRDefault="003D5CB6" w:rsidP="00B518F1">
      <w:pPr>
        <w:rPr>
          <w:rFonts w:eastAsiaTheme="minorEastAsia"/>
        </w:rPr>
      </w:pPr>
      <w:bookmarkStart w:id="69" w:name="OLE_LINK46"/>
      <w:r w:rsidRPr="004D46AC">
        <w:t xml:space="preserve">Mirroring the unitary psychosis theory, </w:t>
      </w:r>
      <w:r w:rsidRPr="004D46AC">
        <w:fldChar w:fldCharType="begin">
          <w:fldData xml:space="preserve">PEVuZE5vdGU+PENpdGUgQXV0aG9yWWVhcj0iMSI+PEF1dGhvcj5DYXNwaTwvQXV0aG9yPjxZZWFy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</w:fldData>
        </w:fldChar>
      </w:r>
      <w:r w:rsidRPr="004D46AC">
        <w:instrText xml:space="preserve"> ADDIN EN.CITE </w:instrText>
      </w:r>
      <w:r w:rsidRPr="004D46AC">
        <w:fldChar w:fldCharType="begin">
          <w:fldData xml:space="preserve">PEVuZE5vdGU+PENpdGUgQXV0aG9yWWVhcj0iMSI+PEF1dGhvcj5DYXNwaTwvQXV0aG9yPjxZZWFy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</w:fldData>
        </w:fldChar>
      </w:r>
      <w:r w:rsidRPr="004D46AC">
        <w:instrText xml:space="preserve"> ADDIN EN.CITE.DATA </w:instrText>
      </w:r>
      <w:r w:rsidRPr="004D46AC">
        <w:fldChar w:fldCharType="end"/>
      </w:r>
      <w:r w:rsidRPr="004D46AC">
        <w:fldChar w:fldCharType="separate"/>
      </w:r>
      <w:r w:rsidRPr="004D46AC">
        <w:rPr>
          <w:noProof/>
        </w:rPr>
        <w:t>Caspi et al. (2014)</w:t>
      </w:r>
      <w:r w:rsidRPr="004D46AC">
        <w:fldChar w:fldCharType="end"/>
      </w:r>
      <w:r w:rsidRPr="004D46AC">
        <w:t xml:space="preserve"> </w:t>
      </w:r>
      <w:bookmarkEnd w:id="69"/>
      <w:r w:rsidRPr="004D46AC">
        <w:t xml:space="preserve">hypothesised the existence of a general psychopathology factor - termed the ‘p’ factor - underlying diverse psychiatric conditions, given the high correlations among the major spectra: internalising, externalising, and thought disorder. In their study, the hierarchical structure was empirically supported: a </w:t>
      </w:r>
      <w:r w:rsidRPr="004D46AC">
        <w:lastRenderedPageBreak/>
        <w:t>general ‘p’ factor, alongside three specific factors for each spectrum, provided a better fit than a correlated factors model. Higher ‘p’ factor scores were associated with poorer prognosis and lower functioning, underscoring its prognostic value. Notably, Caspi et al. similarly tested the bifactor model, originally proposed in 1937, which allows each symptom to load directly onto both a general factor and a specific group factor. This approach is distinct from higher-order confirmatory factor analysis (CFA), in which group factors themselves load onto a general factor. The bifactor model, as a form of CFA, thus quantifies both the shared variance across all symptoms and the unique variance contributed by each symptom domain. Such transdiagnostic or dimensional models offer valuable frameworks for understanding comorbidity in clinical populations and the complex interrelationships among psychiatric symptoms.</w:t>
      </w:r>
    </w:p>
    <w:p w14:paraId="49B45C69" w14:textId="77777777" w:rsidR="003D5CB6" w:rsidRPr="004D46AC" w:rsidRDefault="003D5CB6" w:rsidP="00B518F1">
      <w:pPr>
        <w:pStyle w:val="4"/>
      </w:pPr>
      <w:r w:rsidRPr="004D46AC">
        <w:t>Network model</w:t>
      </w:r>
    </w:p>
    <w:p w14:paraId="2749F71F" w14:textId="77777777" w:rsidR="003D5CB6" w:rsidRPr="004D46AC" w:rsidRDefault="003D5CB6" w:rsidP="00B518F1">
      <w:bookmarkStart w:id="70" w:name="OLE_LINK43"/>
      <w:r w:rsidRPr="004D46AC">
        <w:t xml:space="preserve">Network science, an interdisciplinary field grounded in graph theory, emerged in the 1990s and has since been applied to a range of domains, including airline route optimization, urban transportation systems, and social network analysis. Its theoretical relevance to psychology was articulated by </w:t>
      </w:r>
      <w:r w:rsidRPr="004D46AC">
        <w:fldChar w:fldCharType="begin"/>
      </w:r>
      <w:r w:rsidRPr="004D46AC">
        <w:instrText xml:space="preserve"> ADDIN EN.CITE &lt;EndNote&gt;&lt;Cite AuthorYear="1"&gt;&lt;Author&gt;Borsboom&lt;/Author&gt;&lt;Year&gt;2013&lt;/Year&gt;&lt;RecNum&gt;1231&lt;/RecNum&gt;&lt;DisplayText&gt;Borsboom and Cramer (2013)&lt;/DisplayText&gt;&lt;record&gt;&lt;rec-number&gt;1231&lt;/rec-number&gt;&lt;foreign-keys&gt;&lt;key app="EN" db-id="aet009sstawa0hewvt3xwf5atffdw2dt02sw" timestamp="1758615388"&gt;1231&lt;/key&gt;&lt;/foreign-keys&gt;&lt;ref-type name="Journal Article"&gt;17&lt;/ref-type&gt;&lt;contributors&gt;&lt;authors&gt;&lt;author&gt;Borsboom, Denny&lt;/author&gt;&lt;author&gt;Cramer, Angélique O.J.&lt;/author&gt;&lt;/authors&gt;&lt;/contributors&gt;&lt;titles&gt;&lt;title&gt;Network Analysis: An Integrative Approach to the Structure of Psychopathology&lt;/title&gt;&lt;secondary-title&gt;Annual Review of Clinical Psychology&lt;/secondary-title&gt;&lt;/titles&gt;&lt;periodical&gt;&lt;full-title&gt;Annual review of clinical psychology&lt;/full-title&gt;&lt;/periodical&gt;&lt;pages&gt;91-121&lt;/pages&gt;&lt;volume&gt;9&lt;/volume&gt;&lt;number&gt;Volume 9, 2013&lt;/number&gt;&lt;keywords&gt;&lt;keyword&gt;philosophy of science&lt;/keyword&gt;&lt;keyword&gt;network analysis&lt;/keyword&gt;&lt;keyword&gt;latent variable models&lt;/keyword&gt;&lt;keyword&gt;psychopathology&lt;/keyword&gt;&lt;keyword&gt;measurement&lt;/keyword&gt;&lt;keyword&gt;psychometrics&lt;/keyword&gt;&lt;/keywords&gt;&lt;dates&gt;&lt;year&gt;2013&lt;/year&gt;&lt;/dates&gt;&lt;isbn&gt;1548-5951&lt;/isbn&gt;&lt;urls&gt;&lt;related-urls&gt;&lt;url&gt;https://www.annualreviews.org/content/journals/10.1146/annurev-clinpsy-050212-185608&lt;/url&gt;&lt;/related-urls&gt;&lt;/urls&gt;&lt;electronic-resource-num&gt;https://doi.org/10.1146/annurev-clinpsy-050212-185608&lt;/electronic-resource-num&gt;&lt;/record&gt;&lt;/Cite&gt;&lt;/EndNote&gt;</w:instrText>
      </w:r>
      <w:r w:rsidRPr="004D46AC">
        <w:fldChar w:fldCharType="separate"/>
      </w:r>
      <w:r w:rsidRPr="004D46AC">
        <w:rPr>
          <w:noProof/>
        </w:rPr>
        <w:t>Borsboom and Cramer (2013)</w:t>
      </w:r>
      <w:r w:rsidRPr="004D46AC">
        <w:fldChar w:fldCharType="end"/>
      </w:r>
      <w:r w:rsidRPr="004D46AC">
        <w:t>, who proposed the network model as an alternative framework for conceptuali</w:t>
      </w:r>
      <w:r w:rsidRPr="004D46AC">
        <w:rPr>
          <w:rFonts w:eastAsiaTheme="minorEastAsia" w:hint="eastAsia"/>
        </w:rPr>
        <w:t>s</w:t>
      </w:r>
      <w:r w:rsidRPr="004D46AC">
        <w:t>ing mental disorders. In contrast to traditional latent variable models, which assume that mental disorders are unobservable constructs that manifest through symptoms, the network model conceptualizes symptoms as causally interacting elements within a dynamic system. For example, in depression, sleep disturbances may contribute to fatigue, which in turn may impair concentration, thereby creating a reinforcing feedback loop.</w:t>
      </w:r>
    </w:p>
    <w:p w14:paraId="5B9A24F8" w14:textId="77777777" w:rsidR="003D5CB6" w:rsidRPr="004D46AC" w:rsidRDefault="003D5CB6" w:rsidP="00B518F1">
      <w:pPr>
        <w:rPr>
          <w:bCs/>
        </w:rPr>
      </w:pPr>
      <w:bookmarkStart w:id="71" w:name="OLE_LINK32"/>
      <w:bookmarkEnd w:id="70"/>
      <w:r w:rsidRPr="004D46AC">
        <w:t>In recent years, network models have gained substantial traction in psychological research. Initially, these models focused on estimating cross-sectional associations among symptoms and uncovering the underlying dimensional structure of symptom networks, an approach conceptually similar to exploratory factor analysis (EFA)</w:t>
      </w:r>
      <w:r w:rsidRPr="004D46AC">
        <w:rPr>
          <w:rFonts w:eastAsiaTheme="minorEastAsia" w:hint="eastAsia"/>
        </w:rPr>
        <w:t xml:space="preserve">, see </w:t>
      </w:r>
      <w:r w:rsidRPr="004D46AC">
        <w:rPr>
          <w:rFonts w:eastAsiaTheme="minorEastAsia"/>
        </w:rPr>
        <w:fldChar w:fldCharType="begin"/>
      </w:r>
      <w:r w:rsidRPr="004D46AC">
        <w:rPr>
          <w:rFonts w:eastAsiaTheme="minorEastAsia"/>
        </w:rPr>
        <w:instrText xml:space="preserve"> ADDIN EN.CITE &lt;EndNote&gt;&lt;Cite AuthorYear="1"&gt;&lt;Author&gt;Christensen&lt;/Author&gt;&lt;Year&gt;2021&lt;/Year&gt;&lt;RecNum&gt;417&lt;/RecNum&gt;&lt;DisplayText&gt;Christensen and Golino (2021)&lt;/DisplayText&gt;&lt;record&gt;&lt;rec-number&gt;417&lt;/rec-number&gt;&lt;foreign-keys&gt;&lt;key app="EN" db-id="aet009sstawa0hewvt3xwf5atffdw2dt02sw" timestamp="1697890285"&gt;417&lt;/key&gt;&lt;/foreign-keys&gt;&lt;ref-type name="Journal Article"&gt;17&lt;/ref-type&gt;&lt;contributors&gt;&lt;authors&gt;&lt;author&gt;Christensen, Alexander P.&lt;/author&gt;&lt;author&gt;Golino, Hudson&lt;/author&gt;&lt;/authors&gt;&lt;/contributors&gt;&lt;titles&gt;&lt;title&gt;Estimating the Stability of Psychological Dimensions via Bootstrap Exploratory Graph Analysis: A Monte Carlo Simulation and Tutorial&lt;/title&gt;&lt;secondary-title&gt;Psych&lt;/secondary-title&gt;&lt;/titles&gt;&lt;periodical&gt;&lt;full-title&gt;Psych&lt;/full-title&gt;&lt;/periodical&gt;&lt;pages&gt;479-500&lt;/pages&gt;&lt;volume&gt;3&lt;/volume&gt;&lt;number&gt;3&lt;/number&gt;&lt;dates&gt;&lt;year&gt;2021&lt;/year&gt;&lt;/dates&gt;&lt;isbn&gt;2624-8611&lt;/isbn&gt;&lt;accession-num&gt;doi:10.3390/psych3030032&lt;/accession-num&gt;&lt;urls&gt;&lt;related-urls&gt;&lt;url&gt;https://www.mdpi.com/2624-8611/3/3/32&lt;/url&gt;&lt;/related-urls&gt;&lt;/urls&gt;&lt;/record&gt;&lt;/Cite&gt;&lt;/EndNote&gt;</w:instrText>
      </w:r>
      <w:r w:rsidRPr="004D46AC">
        <w:rPr>
          <w:rFonts w:eastAsiaTheme="minorEastAsia"/>
        </w:rPr>
        <w:fldChar w:fldCharType="separate"/>
      </w:r>
      <w:r w:rsidRPr="004D46AC">
        <w:rPr>
          <w:rFonts w:eastAsiaTheme="minorEastAsia"/>
          <w:noProof/>
        </w:rPr>
        <w:t>Christensen and Golino (2021)</w:t>
      </w:r>
      <w:r w:rsidRPr="004D46AC">
        <w:rPr>
          <w:rFonts w:eastAsiaTheme="minorEastAsia"/>
        </w:rPr>
        <w:fldChar w:fldCharType="end"/>
      </w:r>
      <w:r w:rsidRPr="004D46AC">
        <w:t xml:space="preserve">. More recent advances have extended these frameworks to model temporal symptom dynamics using intensive longitudinal data, while adjusting for individual-level </w:t>
      </w:r>
      <w:r w:rsidRPr="004D46AC">
        <w:lastRenderedPageBreak/>
        <w:t xml:space="preserve">variability. As such, the network approach offers a powerful means to elucidate symptom dynamics, characterise symptom roles within the network structure (e.g., how well a </w:t>
      </w:r>
      <w:proofErr w:type="gramStart"/>
      <w:r w:rsidRPr="004D46AC">
        <w:t>racing thoughts</w:t>
      </w:r>
      <w:proofErr w:type="gramEnd"/>
      <w:r w:rsidRPr="004D46AC">
        <w:t xml:space="preserve"> is connected to the network of mood and psychotic symptoms), and deepen our understanding of the mechanisms underlying the emergence, persistence, and progression of severe mental disorders.</w:t>
      </w:r>
    </w:p>
    <w:p w14:paraId="43892D96" w14:textId="77777777" w:rsidR="003D5CB6" w:rsidRPr="004D46AC" w:rsidRDefault="003D5CB6" w:rsidP="00B518F1">
      <w:pPr>
        <w:pStyle w:val="4"/>
      </w:pPr>
      <w:r w:rsidRPr="004D46AC">
        <w:t>Summary of the structure of psychosis</w:t>
      </w:r>
    </w:p>
    <w:p w14:paraId="00A6B820" w14:textId="77777777" w:rsidR="003D5CB6" w:rsidRPr="004D46AC" w:rsidRDefault="003D5CB6" w:rsidP="00B518F1">
      <w:pPr>
        <w:rPr>
          <w:rFonts w:eastAsiaTheme="minorEastAsia"/>
        </w:rPr>
      </w:pPr>
      <w:r w:rsidRPr="004D46AC">
        <w:t>The structure of schizophrenia’s manifestations has long been a subject of interest and debate. Prior to the millennium, discussions centred on whether schizophrenia should be conceptualised as a disorder defined by positive and negative syndromes, or as comprising three core dimensions: positive, negative, and disorganisation</w:t>
      </w:r>
      <w:r w:rsidRPr="004D46AC">
        <w:rPr>
          <w:rFonts w:eastAsiaTheme="minorEastAsia"/>
        </w:rPr>
        <w:t xml:space="preserve"> </w:t>
      </w:r>
      <w:r w:rsidRPr="004D46AC">
        <w:fldChar w:fldCharType="begin"/>
      </w:r>
      <w:r w:rsidRPr="004D46AC">
        <w:instrText xml:space="preserve"> ADDIN EN.CITE &lt;EndNote&gt;&lt;Cite&gt;&lt;Author&gt;Lenzenweger&lt;/Author&gt;&lt;Year&gt;1991&lt;/Year&gt;&lt;RecNum&gt;1168&lt;/RecNum&gt;&lt;DisplayText&gt;(Lenzenweger et al., 1991)&lt;/DisplayText&gt;&lt;record&gt;&lt;rec-number&gt;1168&lt;/rec-number&gt;&lt;foreign-keys&gt;&lt;key app="EN" db-id="aet009sstawa0hewvt3xwf5atffdw2dt02sw" timestamp="1752766696"&gt;1168&lt;/key&gt;&lt;/foreign-keys&gt;&lt;ref-type name="Journal Article"&gt;17&lt;/ref-type&gt;&lt;contributors&gt;&lt;authors&gt;&lt;author&gt;Lenzenweger, Mark F&lt;/author&gt;&lt;author&gt;Dworkin, Robert H&lt;/author&gt;&lt;author&gt;Wethington, Elaine&lt;/author&gt;&lt;/authors&gt;&lt;/contributors&gt;&lt;titles&gt;&lt;title&gt;Examining the underlying structure of schizophrenic phenomenology: Evidence for a three-process model&lt;/title&gt;&lt;secondary-title&gt;Schizophrenia Bulletin&lt;/secondary-title&gt;&lt;/titles&gt;&lt;periodical&gt;&lt;full-title&gt;Schizophrenia Bulletin&lt;/full-title&gt;&lt;/periodical&gt;&lt;pages&gt;515-524&lt;/pages&gt;&lt;volume&gt;17&lt;/volume&gt;&lt;number&gt;3&lt;/number&gt;&lt;dates&gt;&lt;year&gt;1991&lt;/year&gt;&lt;/dates&gt;&lt;isbn&gt;1745-1701&lt;/isbn&gt;&lt;urls&gt;&lt;/urls&gt;&lt;/record&gt;&lt;/Cite&gt;&lt;/EndNote&gt;</w:instrText>
      </w:r>
      <w:r w:rsidRPr="004D46AC">
        <w:fldChar w:fldCharType="separate"/>
      </w:r>
      <w:r w:rsidRPr="004D46AC">
        <w:rPr>
          <w:noProof/>
        </w:rPr>
        <w:t>(Lenzenweger et al., 1991)</w:t>
      </w:r>
      <w:r w:rsidRPr="004D46AC">
        <w:fldChar w:fldCharType="end"/>
      </w:r>
      <w:r w:rsidRPr="004D46AC">
        <w:t xml:space="preserve">. </w:t>
      </w:r>
      <w:bookmarkStart w:id="72" w:name="OLE_LINK35"/>
      <w:r w:rsidRPr="004D46AC">
        <w:t xml:space="preserve">Although the latter structure accounted for the majority of the variance and was consistently observed in patients with psychosis, meta-analytic findings suggest that neither the two- nor three-factor models are statistically robust </w:t>
      </w:r>
      <w:r w:rsidRPr="004D46AC">
        <w:fldChar w:fldCharType="begin"/>
      </w:r>
      <w:r w:rsidRPr="004D46AC">
        <w:instrText xml:space="preserve"> ADDIN EN.CITE &lt;EndNote&gt;&lt;Cite&gt;&lt;Author&gt;Grube&lt;/Author&gt;&lt;Year&gt;1998&lt;/Year&gt;&lt;RecNum&gt;1164&lt;/RecNum&gt;&lt;DisplayText&gt;(Grube et al., 1998; Smith et al., 1998)&lt;/DisplayText&gt;&lt;record&gt;&lt;rec-number&gt;1164&lt;/rec-number&gt;&lt;foreign-keys&gt;&lt;key app="EN" db-id="aet009sstawa0hewvt3xwf5atffdw2dt02sw" timestamp="1752763685"&gt;1164&lt;/key&gt;&lt;/foreign-keys&gt;&lt;ref-type name="Journal Article"&gt;17&lt;/ref-type&gt;&lt;contributors&gt;&lt;authors&gt;&lt;author&gt;Grube, Bret S&lt;/author&gt;&lt;author&gt;Bilder, Robert M&lt;/author&gt;&lt;author&gt;Goldman, Robert S&lt;/author&gt;&lt;/authors&gt;&lt;/contributors&gt;&lt;titles&gt;&lt;title&gt;Meta-analysis of symptom factors in schizophrenia&lt;/title&gt;&lt;secondary-title&gt;Schizophrenia Research&lt;/secondary-title&gt;&lt;/titles&gt;&lt;periodical&gt;&lt;full-title&gt;Schizophrenia Research&lt;/full-title&gt;&lt;/periodical&gt;&lt;pages&gt;113-120&lt;/pages&gt;&lt;volume&gt;31&lt;/volume&gt;&lt;number&gt;2-3&lt;/number&gt;&lt;dates&gt;&lt;year&gt;1998&lt;/year&gt;&lt;/dates&gt;&lt;isbn&gt;0920-9964&lt;/isbn&gt;&lt;urls&gt;&lt;/urls&gt;&lt;/record&gt;&lt;/Cite&gt;&lt;Cite&gt;&lt;Author&gt;Smith&lt;/Author&gt;&lt;Year&gt;1998&lt;/Year&gt;&lt;RecNum&gt;1162&lt;/RecNum&gt;&lt;record&gt;&lt;rec-number&gt;1162&lt;/rec-number&gt;&lt;foreign-keys&gt;&lt;key app="EN" db-id="aet009sstawa0hewvt3xwf5atffdw2dt02sw" timestamp="1752746961"&gt;1162&lt;/key&gt;&lt;/foreign-keys&gt;&lt;ref-type name="Journal Article"&gt;17&lt;/ref-type&gt;&lt;contributors&gt;&lt;authors&gt;&lt;author&gt;Smith, David A.&lt;/author&gt;&lt;author&gt;Mar, Corinne M.&lt;/author&gt;&lt;author&gt;Turoff, Beth K.&lt;/author&gt;&lt;/authors&gt;&lt;/contributors&gt;&lt;titles&gt;&lt;title&gt;The structure of schizophrenic symptoms: a meta-analytic confirmatory factor analysis&lt;/title&gt;&lt;secondary-title&gt;Schizophrenia Research&lt;/secondary-title&gt;&lt;/titles&gt;&lt;periodical&gt;&lt;full-title&gt;Schizophrenia Research&lt;/full-title&gt;&lt;/periodical&gt;&lt;pages&gt;57-70&lt;/pages&gt;&lt;volume&gt;31&lt;/volume&gt;&lt;number&gt;1&lt;/number&gt;&lt;keywords&gt;&lt;keyword&gt;Positive symptoms&lt;/keyword&gt;&lt;keyword&gt;Negative symptoms&lt;/keyword&gt;&lt;keyword&gt;Factor analysis&lt;/keyword&gt;&lt;/keywords&gt;&lt;dates&gt;&lt;year&gt;1998&lt;/year&gt;&lt;pub-dates&gt;&lt;date&gt;1998/05/04/&lt;/date&gt;&lt;/pub-dates&gt;&lt;/dates&gt;&lt;isbn&gt;0920-9964&lt;/isbn&gt;&lt;urls&gt;&lt;related-urls&gt;&lt;url&gt;https://www.sciencedirect.com/science/article/pii/S0920996498000097&lt;/url&gt;&lt;/related-urls&gt;&lt;/urls&gt;&lt;electronic-resource-num&gt;https://doi.org/10.1016/S0920-9964(98)00009-7&lt;/electronic-resource-num&gt;&lt;/record&gt;&lt;/Cite&gt;&lt;/EndNote&gt;</w:instrText>
      </w:r>
      <w:r w:rsidRPr="004D46AC">
        <w:fldChar w:fldCharType="separate"/>
      </w:r>
      <w:r w:rsidRPr="004D46AC">
        <w:rPr>
          <w:noProof/>
        </w:rPr>
        <w:t>(Grube et al., 1998; Smith et al., 1998)</w:t>
      </w:r>
      <w:r w:rsidRPr="004D46AC">
        <w:fldChar w:fldCharType="end"/>
      </w:r>
      <w:r w:rsidRPr="004D46AC">
        <w:t>. Additionally, evidence from certain studies points to the existence of up to eleven underlying dimensions</w:t>
      </w:r>
      <w:r w:rsidRPr="004D46AC">
        <w:rPr>
          <w:rFonts w:eastAsiaTheme="minorEastAsia"/>
        </w:rPr>
        <w:t xml:space="preserve"> </w:t>
      </w:r>
      <w:r w:rsidRPr="004D46AC">
        <w:fldChar w:fldCharType="begin"/>
      </w:r>
      <w:r w:rsidRPr="004D46AC">
        <w:instrText xml:space="preserve"> ADDIN EN.CITE &lt;EndNote&gt;&lt;Cite&gt;&lt;Author&gt;Stuart&lt;/Author&gt;&lt;Year&gt;1999&lt;/Year&gt;&lt;RecNum&gt;1165&lt;/RecNum&gt;&lt;DisplayText&gt;(Stuart et al., 1999)&lt;/DisplayText&gt;&lt;record&gt;&lt;rec-number&gt;1165&lt;/rec-number&gt;&lt;foreign-keys&gt;&lt;key app="EN" db-id="aet009sstawa0hewvt3xwf5atffdw2dt02sw" timestamp="1752763995"&gt;1165&lt;/key&gt;&lt;/foreign-keys&gt;&lt;ref-type name="Journal Article"&gt;17&lt;/ref-type&gt;&lt;contributors&gt;&lt;authors&gt;&lt;author&gt;Stuart, GW&lt;/author&gt;&lt;author&gt;Pantelis, C&lt;/author&gt;&lt;author&gt;Klimidis, S&lt;/author&gt;&lt;author&gt;Minas, IH&lt;/author&gt;&lt;/authors&gt;&lt;/contributors&gt;&lt;titles&gt;&lt;title&gt;The three-syndrome model of schizophrenia: Meta-analysis of an artefact&lt;/title&gt;&lt;secondary-title&gt;Schizophrenia Research&lt;/secondary-title&gt;&lt;/titles&gt;&lt;periodical&gt;&lt;full-title&gt;Schizophrenia Research&lt;/full-title&gt;&lt;/periodical&gt;&lt;pages&gt;233-242&lt;/pages&gt;&lt;volume&gt;39&lt;/volume&gt;&lt;number&gt;3&lt;/number&gt;&lt;dates&gt;&lt;year&gt;1999&lt;/year&gt;&lt;/dates&gt;&lt;isbn&gt;0920-9964&lt;/isbn&gt;&lt;urls&gt;&lt;/urls&gt;&lt;/record&gt;&lt;/Cite&gt;&lt;/EndNote&gt;</w:instrText>
      </w:r>
      <w:r w:rsidRPr="004D46AC">
        <w:fldChar w:fldCharType="separate"/>
      </w:r>
      <w:r w:rsidRPr="004D46AC">
        <w:rPr>
          <w:noProof/>
        </w:rPr>
        <w:t>(Stuart et al., 1999)</w:t>
      </w:r>
      <w:r w:rsidRPr="004D46AC">
        <w:fldChar w:fldCharType="end"/>
      </w:r>
      <w:r w:rsidRPr="004D46AC">
        <w:rPr>
          <w:rFonts w:eastAsiaTheme="minorEastAsia"/>
        </w:rPr>
        <w:t xml:space="preserve">. </w:t>
      </w:r>
      <w:bookmarkStart w:id="73" w:name="OLE_LINK37"/>
      <w:r w:rsidRPr="004D46AC">
        <w:rPr>
          <w:rFonts w:eastAsiaTheme="minorEastAsia"/>
        </w:rPr>
        <w:t xml:space="preserve">Moreover, heterogeneity in schizophrenia symptoms poses an additional challenge; for example, </w:t>
      </w:r>
      <w:r w:rsidRPr="004D46AC">
        <w:rPr>
          <w:rFonts w:eastAsiaTheme="minorEastAsia"/>
        </w:rPr>
        <w:fldChar w:fldCharType="begin"/>
      </w:r>
      <w:r w:rsidRPr="004D46AC">
        <w:rPr>
          <w:rFonts w:eastAsiaTheme="minorEastAsia"/>
        </w:rPr>
        <w:instrText xml:space="preserve"> ADDIN EN.CITE &lt;EndNote&gt;&lt;Cite AuthorYear="1"&gt;&lt;Author&gt;Picardi&lt;/Author&gt;&lt;Year&gt;2012&lt;/Year&gt;&lt;RecNum&gt;1166&lt;/RecNum&gt;&lt;DisplayText&gt;Picardi et al. (2012)&lt;/DisplayText&gt;&lt;record&gt;&lt;rec-number&gt;1166&lt;/rec-number&gt;&lt;foreign-keys&gt;&lt;key app="EN" db-id="aet009sstawa0hewvt3xwf5atffdw2dt02sw" timestamp="1752765381"&gt;1166&lt;/key&gt;&lt;/foreign-keys&gt;&lt;ref-type name="Journal Article"&gt;17&lt;/ref-type&gt;&lt;contributors&gt;&lt;authors&gt;&lt;author&gt;Picardi, Angelo&lt;/author&gt;&lt;author&gt;Viroli, Cinzia&lt;/author&gt;&lt;author&gt;Tarsitani, Lorenzo&lt;/author&gt;&lt;author&gt;Miglio, Rossella&lt;/author&gt;&lt;author&gt;de Girolamo, Giovanni&lt;/author&gt;&lt;author&gt;Dell&amp;apos;Acqua, Giuseppe&lt;/author&gt;&lt;author&gt;Biondi, Massimo&lt;/author&gt;&lt;/authors&gt;&lt;/contributors&gt;&lt;titles&gt;&lt;title&gt;Heterogeneity and symptom structure of schizophrenia&lt;/title&gt;&lt;secondary-title&gt;Psychiatry research&lt;/secondary-title&gt;&lt;/titles&gt;&lt;periodical&gt;&lt;full-title&gt;Psychiatry Research&lt;/full-title&gt;&lt;/periodical&gt;&lt;pages&gt;386-394&lt;/pages&gt;&lt;volume&gt;198&lt;/volume&gt;&lt;number&gt;3&lt;/number&gt;&lt;dates&gt;&lt;year&gt;2012&lt;/year&gt;&lt;/dates&gt;&lt;isbn&gt;0165-1781&lt;/isbn&gt;&lt;urls&gt;&lt;/urls&gt;&lt;/record&gt;&lt;/Cite&gt;&lt;/EndNote&gt;</w:instrText>
      </w:r>
      <w:r w:rsidRPr="004D46AC">
        <w:rPr>
          <w:rFonts w:eastAsiaTheme="minorEastAsia"/>
        </w:rPr>
        <w:fldChar w:fldCharType="separate"/>
      </w:r>
      <w:r w:rsidRPr="004D46AC">
        <w:rPr>
          <w:rFonts w:eastAsiaTheme="minorEastAsia"/>
          <w:noProof/>
        </w:rPr>
        <w:t>Picardi et al. (2012)</w:t>
      </w:r>
      <w:r w:rsidRPr="004D46AC">
        <w:rPr>
          <w:rFonts w:eastAsiaTheme="minorEastAsia"/>
        </w:rPr>
        <w:fldChar w:fldCharType="end"/>
      </w:r>
      <w:bookmarkEnd w:id="72"/>
      <w:r w:rsidRPr="004D46AC">
        <w:rPr>
          <w:rFonts w:eastAsiaTheme="minorEastAsia"/>
        </w:rPr>
        <w:t xml:space="preserve"> identified three distinct subgroups within a sample of individuals with schizophrenia, each characterised by different factor solutions on the BPRS; </w:t>
      </w:r>
      <w:r w:rsidRPr="004D46AC">
        <w:rPr>
          <w:rFonts w:eastAsiaTheme="minorEastAsia"/>
        </w:rPr>
        <w:fldChar w:fldCharType="begin"/>
      </w:r>
      <w:r w:rsidRPr="004D46AC">
        <w:rPr>
          <w:rFonts w:eastAsiaTheme="minorEastAsia"/>
        </w:rPr>
        <w:instrText xml:space="preserve"> ADDIN EN.CITE &lt;EndNote&gt;&lt;Cite AuthorYear="1"&gt;&lt;Author&gt;Cichocki&lt;/Author&gt;&lt;Year&gt;2012&lt;/Year&gt;&lt;RecNum&gt;1167&lt;/RecNum&gt;&lt;DisplayText&gt;Cichocki et al. (2012)&lt;/DisplayText&gt;&lt;record&gt;&lt;rec-number&gt;1167&lt;/rec-number&gt;&lt;foreign-keys&gt;&lt;key app="EN" db-id="aet009sstawa0hewvt3xwf5atffdw2dt02sw" timestamp="1752766020"&gt;1167&lt;/key&gt;&lt;/foreign-keys&gt;&lt;ref-type name="Journal Article"&gt;17&lt;/ref-type&gt;&lt;contributors&gt;&lt;authors&gt;&lt;author&gt;Cichocki, Łukasz&lt;/author&gt;&lt;author&gt;Cechnicki, Andrzej&lt;/author&gt;&lt;author&gt;Polczyk, Romuald&lt;/author&gt;&lt;/authors&gt;&lt;/contributors&gt;&lt;titles&gt;&lt;title&gt;Consistency of symptomatic dimensions of schizophrenia over 20 years&lt;/title&gt;&lt;secondary-title&gt;Psychiatry research&lt;/secondary-title&gt;&lt;/titles&gt;&lt;periodical&gt;&lt;full-title&gt;Psychiatry Research&lt;/full-title&gt;&lt;/periodical&gt;&lt;pages&gt;115-119&lt;/pages&gt;&lt;volume&gt;200&lt;/volume&gt;&lt;number&gt;2-3&lt;/number&gt;&lt;dates&gt;&lt;year&gt;2012&lt;/year&gt;&lt;/dates&gt;&lt;isbn&gt;0165-1781&lt;/isbn&gt;&lt;urls&gt;&lt;/urls&gt;&lt;/record&gt;&lt;/Cite&gt;&lt;/EndNote&gt;</w:instrText>
      </w:r>
      <w:r w:rsidRPr="004D46AC">
        <w:rPr>
          <w:rFonts w:eastAsiaTheme="minorEastAsia"/>
        </w:rPr>
        <w:fldChar w:fldCharType="separate"/>
      </w:r>
      <w:r w:rsidRPr="004D46AC">
        <w:rPr>
          <w:rFonts w:eastAsiaTheme="minorEastAsia"/>
          <w:noProof/>
        </w:rPr>
        <w:t>Cichocki et al. (2012)</w:t>
      </w:r>
      <w:r w:rsidRPr="004D46AC">
        <w:rPr>
          <w:rFonts w:eastAsiaTheme="minorEastAsia"/>
        </w:rPr>
        <w:fldChar w:fldCharType="end"/>
      </w:r>
      <w:r w:rsidRPr="004D46AC">
        <w:rPr>
          <w:rFonts w:eastAsiaTheme="minorEastAsia"/>
        </w:rPr>
        <w:t xml:space="preserve"> </w:t>
      </w:r>
      <w:bookmarkEnd w:id="73"/>
      <w:r w:rsidRPr="004D46AC">
        <w:rPr>
          <w:rFonts w:eastAsiaTheme="minorEastAsia"/>
        </w:rPr>
        <w:t>identified a four-factor solution over a twenty-year cohort study, but found that only the negative syndrome exhibited strong longitudinal stability. Collectively, these findings highlight that the symptomatology of schizophrenia is likely more multifaceted and heterogeneous than earlier models have captured.</w:t>
      </w:r>
    </w:p>
    <w:bookmarkEnd w:id="71"/>
    <w:p w14:paraId="16F254EE" w14:textId="77777777" w:rsidR="003D5CB6" w:rsidRPr="004D46AC" w:rsidRDefault="003D5CB6" w:rsidP="00B518F1">
      <w:pPr>
        <w:rPr>
          <w:rFonts w:eastAsiaTheme="minorEastAsia"/>
        </w:rPr>
      </w:pPr>
      <w:r w:rsidRPr="004D46AC">
        <w:rPr>
          <w:rFonts w:eastAsiaTheme="minorEastAsia"/>
        </w:rPr>
        <w:t xml:space="preserve">Advances in statistical modelling and the refinement of symptom rating scales have further crystallised the underlying structure of schizophrenia; paradoxically, however, these structures are not unique to schizophrenia but are often shared with other major psychotic conditions. The two most extensively studied clinical tools are BPRS and PANSS. </w:t>
      </w:r>
      <w:bookmarkStart w:id="74" w:name="OLE_LINK33"/>
      <w:r w:rsidRPr="004D46AC">
        <w:rPr>
          <w:rFonts w:eastAsiaTheme="minorEastAsia"/>
        </w:rPr>
        <w:fldChar w:fldCharType="begin">
          <w:fldData xml:space="preserve">PEVuZE5vdGU+PENpdGUgQXV0aG9yWWVhcj0iMSI+PEF1dGhvcj5EYW5lbHV6em88L0F1dGhvcj48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PEVuZE5vdGU+PENpdGUgQXV0aG9yWWVhcj0iMSI+PEF1dGhvcj5EYW5lbHV6em88L0F1dGhvcj48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Daneluzzo et al. (2002)</w:t>
      </w:r>
      <w:r w:rsidRPr="004D46AC">
        <w:rPr>
          <w:rFonts w:eastAsiaTheme="minorEastAsia"/>
        </w:rPr>
        <w:fldChar w:fldCharType="end"/>
      </w:r>
      <w:r w:rsidRPr="004D46AC">
        <w:rPr>
          <w:rFonts w:eastAsiaTheme="minorEastAsia"/>
        </w:rPr>
        <w:t xml:space="preserve"> </w:t>
      </w:r>
      <w:bookmarkEnd w:id="74"/>
      <w:r w:rsidRPr="004D46AC">
        <w:rPr>
          <w:rFonts w:eastAsiaTheme="minorEastAsia"/>
        </w:rPr>
        <w:t xml:space="preserve">identified a three-factor solution for both schizophrenia and bipolar patients during acute episodes: positive and negative syndromes were stable components in both </w:t>
      </w:r>
      <w:r w:rsidRPr="004D46AC">
        <w:rPr>
          <w:rFonts w:eastAsiaTheme="minorEastAsia"/>
        </w:rPr>
        <w:lastRenderedPageBreak/>
        <w:t xml:space="preserve">groups, while the third factor comprised depression and excitement in bipolar disorder and mainly depression in schizophrenia. Notably, lack of insight was the only item distinguishing schizophrenia from bipolar disorder, as it shifted cognitive symptoms into the negative syndrome in schizophrenia but remained with positive syndrome in bipolar patients. </w:t>
      </w:r>
      <w:bookmarkStart w:id="75" w:name="OLE_LINK34"/>
      <w:r w:rsidRPr="004D46AC">
        <w:rPr>
          <w:rFonts w:eastAsiaTheme="minorEastAsia"/>
        </w:rPr>
        <w:fldChar w:fldCharType="begin">
          <w:fldData xml:space="preserve">PEVuZE5vdGU+PENpdGUgQXV0aG9yWWVhcj0iMSI+PEF1dGhvcj5BbmRlcnNvbjwvQXV0aG9yPjxZ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==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PEVuZE5vdGU+PENpdGUgQXV0aG9yWWVhcj0iMSI+PEF1dGhvcj5BbmRlcnNvbjwvQXV0aG9yPjxZ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==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Anderson et al. (2017)</w:t>
      </w:r>
      <w:r w:rsidRPr="004D46AC">
        <w:rPr>
          <w:rFonts w:eastAsiaTheme="minorEastAsia"/>
        </w:rPr>
        <w:fldChar w:fldCharType="end"/>
      </w:r>
      <w:r w:rsidRPr="004D46AC">
        <w:rPr>
          <w:rFonts w:eastAsiaTheme="minorEastAsia"/>
        </w:rPr>
        <w:t xml:space="preserve"> </w:t>
      </w:r>
      <w:bookmarkEnd w:id="75"/>
      <w:r w:rsidRPr="004D46AC">
        <w:rPr>
          <w:rFonts w:eastAsiaTheme="minorEastAsia"/>
        </w:rPr>
        <w:t xml:space="preserve">analysed both 18- and 30-item versions of the PANSS and identified a five-factor structure - positive, disorganised, negative, excited, and anxiety/depression - in both sets. The latter three factors were similar across diagnostic groups. The five-factor solution derived from the 18-item version generalised better to all diagnostic groups than that from the 30-item version, and the factor structure was more similar between bipolar disorder and schizophrenia than between schizophrenia and schizoaffective disorder. The robustness of the five-factor structure has subsequently been supported by meta-analytic findings, which also indicate cross-disorder validity, albeit with some variation in item loadings </w:t>
      </w:r>
      <w:r w:rsidRPr="004D46AC">
        <w:rPr>
          <w:rFonts w:eastAsiaTheme="minorEastAsia"/>
        </w:rPr>
        <w:fldChar w:fldCharType="begin"/>
      </w:r>
      <w:r w:rsidRPr="004D46AC">
        <w:rPr>
          <w:rFonts w:eastAsiaTheme="minorEastAsia"/>
        </w:rPr>
        <w:instrText xml:space="preserve"> ADDIN EN.CITE &lt;EndNote&gt;&lt;Cite&gt;&lt;Author&gt;Shafer&lt;/Author&gt;&lt;Year&gt;2019&lt;/Year&gt;&lt;RecNum&gt;1171&lt;/RecNum&gt;&lt;DisplayText&gt;(Shafer &amp;amp; Dazzi, 2019)&lt;/DisplayText&gt;&lt;record&gt;&lt;rec-number&gt;1171&lt;/rec-number&gt;&lt;foreign-keys&gt;&lt;key app="EN" db-id="aet009sstawa0hewvt3xwf5atffdw2dt02sw" timestamp="1752913082"&gt;1171&lt;/key&gt;&lt;/foreign-keys&gt;&lt;ref-type name="Journal Article"&gt;17&lt;/ref-type&gt;&lt;contributors&gt;&lt;authors&gt;&lt;author&gt;Shafer, A.&lt;/author&gt;&lt;author&gt;Dazzi, F.&lt;/author&gt;&lt;/authors&gt;&lt;/contributors&gt;&lt;auth-address&gt;Austin, TX, USA. Electronic address: alanshafer@hotmail.com.&amp;#xD;Department of Human Sciences, Lumsa University, Rome, Italy.&lt;/auth-address&gt;&lt;titles&gt;&lt;title&gt;Meta-analysis of the positive and Negative Syndrome Scale (PANSS) factor structure&lt;/title&gt;&lt;secondary-title&gt;J Psychiatr Res&lt;/secondary-title&gt;&lt;/titles&gt;&lt;periodical&gt;&lt;full-title&gt;J Psychiatr Res&lt;/full-title&gt;&lt;/periodical&gt;&lt;pages&gt;113-120&lt;/pages&gt;&lt;volume&gt;115&lt;/volume&gt;&lt;edition&gt;20190510&lt;/edition&gt;&lt;keywords&gt;&lt;keyword&gt;Behavior Rating Scale/*statistics &amp;amp; numerical data&lt;/keyword&gt;&lt;keyword&gt;Humans&lt;/keyword&gt;&lt;keyword&gt;Psychiatric Status Rating Scales/*statistics &amp;amp; numerical data&lt;/keyword&gt;&lt;keyword&gt;Psychotic Disorders/*diagnosis&lt;/keyword&gt;&lt;keyword&gt;Schizophrenia/*diagnosis&lt;/keyword&gt;&lt;/keywords&gt;&lt;dates&gt;&lt;year&gt;2019&lt;/year&gt;&lt;pub-dates&gt;&lt;date&gt;Aug&lt;/date&gt;&lt;/pub-dates&gt;&lt;/dates&gt;&lt;isbn&gt;0022-3956&lt;/isbn&gt;&lt;accession-num&gt;31128501&lt;/accession-num&gt;&lt;urls&gt;&lt;/urls&gt;&lt;electronic-resource-num&gt;10.1016/j.jpsychires.2019.05.008&lt;/electronic-resource-num&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noProof/>
        </w:rPr>
        <w:t>(Shafer &amp; Dazzi, 2019)</w:t>
      </w:r>
      <w:r w:rsidRPr="004D46AC">
        <w:rPr>
          <w:rFonts w:eastAsiaTheme="minorEastAsia"/>
        </w:rPr>
        <w:fldChar w:fldCharType="end"/>
      </w:r>
      <w:r w:rsidRPr="004D46AC">
        <w:rPr>
          <w:rFonts w:eastAsiaTheme="minorEastAsia"/>
        </w:rPr>
        <w:t xml:space="preserve">. Similar findings have been reported for the BPRS, with four factors - depression/anxiety, psychosis, mania/excitement, and negative symptoms - commonly observed among patients with major psychoses </w:t>
      </w:r>
      <w:r w:rsidRPr="004D46AC">
        <w:rPr>
          <w:rFonts w:eastAsiaTheme="minorEastAsia"/>
        </w:rPr>
        <w:fldChar w:fldCharType="begin">
          <w:fldData xml:space="preserve">PEVuZE5vdGU+PENpdGU+PEF1dGhvcj5WZW50dXJhPC9BdXRob3I+PFllYXI+MjAwMDwvWWVhcj48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PEVuZE5vdGU+PENpdGU+PEF1dGhvcj5WZW50dXJhPC9BdXRob3I+PFllYXI+MjAwMDwvWWVhcj48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(Velligan et al., 2005; Ventura et al., 2000)</w:t>
      </w:r>
      <w:r w:rsidRPr="004D46AC">
        <w:rPr>
          <w:rFonts w:eastAsiaTheme="minorEastAsia"/>
        </w:rPr>
        <w:fldChar w:fldCharType="end"/>
      </w:r>
      <w:r w:rsidRPr="004D46AC">
        <w:rPr>
          <w:rFonts w:eastAsiaTheme="minorEastAsia"/>
        </w:rPr>
        <w:t xml:space="preserve">. </w:t>
      </w:r>
      <w:bookmarkStart w:id="76" w:name="OLE_LINK38"/>
      <w:r w:rsidRPr="004D46AC">
        <w:rPr>
          <w:rFonts w:eastAsiaTheme="minorEastAsia"/>
        </w:rPr>
        <w:t xml:space="preserve">Incorporating both PANSS and BPRS items, </w:t>
      </w:r>
      <w:r w:rsidRPr="004D46AC">
        <w:rPr>
          <w:rFonts w:eastAsiaTheme="minorEastAsia"/>
        </w:rPr>
        <w:fldChar w:fldCharType="begin">
          <w:fldData xml:space="preserve">PEVuZE5vdGU+PENpdGUgQXV0aG9yWWVhcj0iMSI+PEF1dGhvcj5WYW4gRG9ybjwvQXV0aG9yPjxZ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PEVuZE5vdGU+PENpdGUgQXV0aG9yWWVhcj0iMSI+PEF1dGhvcj5WYW4gRG9ybjwvQXV0aG9yPjxZ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Van Dorn et al. (2016)</w:t>
      </w:r>
      <w:r w:rsidRPr="004D46AC">
        <w:rPr>
          <w:rFonts w:eastAsiaTheme="minorEastAsia"/>
        </w:rPr>
        <w:fldChar w:fldCharType="end"/>
      </w:r>
      <w:r w:rsidRPr="004D46AC">
        <w:rPr>
          <w:rFonts w:eastAsiaTheme="minorEastAsia"/>
        </w:rPr>
        <w:t xml:space="preserve"> </w:t>
      </w:r>
      <w:bookmarkEnd w:id="76"/>
      <w:r w:rsidRPr="004D46AC">
        <w:rPr>
          <w:rFonts w:eastAsiaTheme="minorEastAsia"/>
        </w:rPr>
        <w:t xml:space="preserve">identified a four-factor solution - affective, positive, negative, and disorganised cognitive processing - that generalised well to both bipolar disorder and schizophrenia; similar findings have also been reported in studies employing more comprehensive symptom assessments, which encompass a wider range of psychopathological domains </w:t>
      </w:r>
      <w:r w:rsidRPr="004D46AC">
        <w:rPr>
          <w:rFonts w:eastAsiaTheme="minorEastAsia"/>
        </w:rPr>
        <w:fldChar w:fldCharType="begin"/>
      </w:r>
      <w:r w:rsidRPr="004D46AC">
        <w:rPr>
          <w:rFonts w:eastAsiaTheme="minorEastAsia"/>
        </w:rPr>
        <w:instrText xml:space="preserve"> ADDIN EN.CITE &lt;EndNote&gt;&lt;Cite&gt;&lt;Author&gt;Stein&lt;/Author&gt;&lt;Year&gt;2019&lt;/Year&gt;&lt;RecNum&gt;1176&lt;/RecNum&gt;&lt;DisplayText&gt;(Stein et al., 2019)&lt;/DisplayText&gt;&lt;record&gt;&lt;rec-number&gt;1176&lt;/rec-number&gt;&lt;foreign-keys&gt;&lt;key app="EN" db-id="aet009sstawa0hewvt3xwf5atffdw2dt02sw" timestamp="1752999370"&gt;1176&lt;/key&gt;&lt;/foreign-keys&gt;&lt;ref-type name="Book"&gt;6&lt;/ref-type&gt;&lt;contributors&gt;&lt;authors&gt;&lt;author&gt;Stein, Frederike&lt;/author&gt;&lt;author&gt;Lemmer, Gunnar&lt;/author&gt;&lt;author&gt;Kraus, C.&lt;/author&gt;&lt;author&gt;Schmitt, Simon&lt;/author&gt;&lt;author&gt;Brosch, Katharina&lt;/author&gt;&lt;author&gt;Meller, Tina&lt;/author&gt;&lt;author&gt;Nagels, Arne&lt;/author&gt;&lt;author&gt;Nenadic, I.&lt;/author&gt;&lt;author&gt;Dannlowski, Udo&lt;/author&gt;&lt;author&gt;Kircher, T.&lt;/author&gt;&lt;author&gt;Krug, A.&lt;/author&gt;&lt;/authors&gt;&lt;/contributors&gt;&lt;titles&gt;&lt;title&gt;Factor analyses of several psychopathological scales in a transdiagnostic cohort: Results from the DFG FOR2107&lt;/title&gt;&lt;alt-title&gt;Pharmacopsychiatry&lt;/alt-title&gt;&lt;/titles&gt;&lt;volume&gt;52&lt;/volume&gt;&lt;dates&gt;&lt;year&gt;2019&lt;/year&gt;&lt;/dates&gt;&lt;urls&gt;&lt;/urls&gt;&lt;electronic-resource-num&gt;10.1055/s-0039-1679182&lt;/electronic-resource-num&gt;&lt;/record&gt;&lt;/Cite&gt;&lt;/EndNote&gt;</w:instrText>
      </w:r>
      <w:r w:rsidRPr="004D46AC">
        <w:rPr>
          <w:rFonts w:eastAsiaTheme="minorEastAsia"/>
        </w:rPr>
        <w:fldChar w:fldCharType="separate"/>
      </w:r>
      <w:r w:rsidRPr="004D46AC">
        <w:rPr>
          <w:rFonts w:eastAsiaTheme="minorEastAsia"/>
          <w:noProof/>
        </w:rPr>
        <w:t>(Stein et al., 2019)</w:t>
      </w:r>
      <w:r w:rsidRPr="004D46AC">
        <w:rPr>
          <w:rFonts w:eastAsiaTheme="minorEastAsia"/>
        </w:rPr>
        <w:fldChar w:fldCharType="end"/>
      </w:r>
      <w:r w:rsidRPr="004D46AC">
        <w:rPr>
          <w:rFonts w:eastAsiaTheme="minorEastAsia"/>
        </w:rPr>
        <w:t>.</w:t>
      </w:r>
      <w:r w:rsidRPr="004D46AC">
        <w:t xml:space="preserve"> </w:t>
      </w:r>
      <w:r w:rsidRPr="004D46AC">
        <w:rPr>
          <w:rFonts w:eastAsiaTheme="minorEastAsia"/>
        </w:rPr>
        <w:t xml:space="preserve">In addition, studies focusing on specific symptoms or syndromes of psychosis have demonstrated consistency in the underlying symptom structure across diagnoses. For instance, individuals with bipolar disorder exhibit a similar pattern of negative symptoms to those observed in schizophrenia </w:t>
      </w:r>
      <w:r w:rsidRPr="004D46AC">
        <w:rPr>
          <w:rFonts w:eastAsiaTheme="minorEastAsia"/>
        </w:rPr>
        <w:fldChar w:fldCharType="begin"/>
      </w:r>
      <w:r w:rsidRPr="004D46AC">
        <w:rPr>
          <w:rFonts w:eastAsiaTheme="minorEastAsia"/>
        </w:rPr>
        <w:instrText xml:space="preserve"> ADDIN EN.CITE &lt;EndNote&gt;&lt;Cite&gt;&lt;Author&gt;Ihler&lt;/Author&gt;&lt;Year&gt;2023&lt;/Year&gt;&lt;RecNum&gt;1175&lt;/RecNum&gt;&lt;DisplayText&gt;(Ihler et al., 2023)&lt;/DisplayText&gt;&lt;record&gt;&lt;rec-number&gt;1175&lt;/rec-number&gt;&lt;foreign-keys&gt;&lt;key app="EN" db-id="aet009sstawa0hewvt3xwf5atffdw2dt02sw" timestamp="1752939045"&gt;1175&lt;/key&gt;&lt;/foreign-keys&gt;&lt;ref-type name="Journal Article"&gt;17&lt;/ref-type&gt;&lt;contributors&gt;&lt;authors&gt;&lt;author&gt;Ihler,Henrik Myhre&lt;/author&gt;&lt;author&gt;Lyngstad,Siv Hege&lt;/author&gt;&lt;author&gt;Mørch-Johnsen,Lynn Egeland&lt;/author&gt;&lt;author&gt;Lagerberg,Trine Vik&lt;/author&gt;&lt;author&gt;Melle,Ingrid&lt;/author&gt;&lt;author&gt;Romm,Kristin Lie&lt;/author&gt;&lt;/authors&gt;&lt;/contributors&gt;&lt;titles&gt;&lt;title&gt;A transdiagnostic approach to negative symptoms: exploring factor structure and negative symptoms in bipolar disorders&lt;/title&gt;&lt;secondary-title&gt;Frontiers in Psychiatry&lt;/secondary-title&gt;&lt;short-title&gt;Negative symptoms in bipolar disorders&lt;/short-title&gt;&lt;/titles&gt;&lt;periodical&gt;&lt;full-title&gt;Frontiers in Psychiatry&lt;/full-title&gt;&lt;/periodical&gt;&lt;volume&gt;Volume 14 - 2023&lt;/volume&gt;&lt;keywords&gt;&lt;keyword&gt;Bipolar Disorder,negative symptoms,Diminished expression,Apathy,Cannabis use&lt;/keyword&gt;&lt;/keywords&gt;&lt;dates&gt;&lt;year&gt;2023&lt;/year&gt;&lt;pub-dates&gt;&lt;date&gt;2023-June-16&lt;/date&gt;&lt;/pub-dates&gt;&lt;/dates&gt;&lt;isbn&gt;1664-0640&lt;/isbn&gt;&lt;work-type&gt;Original Research&lt;/work-type&gt;&lt;urls&gt;&lt;related-urls&gt;&lt;url&gt;https://www.frontiersin.org/journals/psychiatry/articles/10.3389/fpsyt.2023.1136097&lt;/url&gt;&lt;/related-urls&gt;&lt;/urls&gt;&lt;electronic-resource-num&gt;10.3389/fpsyt.2023.1136097&lt;/electronic-resource-num&gt;&lt;language&gt;English&lt;/language&gt;&lt;/record&gt;&lt;/Cite&gt;&lt;/EndNote&gt;</w:instrText>
      </w:r>
      <w:r w:rsidRPr="004D46AC">
        <w:rPr>
          <w:rFonts w:eastAsiaTheme="minorEastAsia"/>
        </w:rPr>
        <w:fldChar w:fldCharType="separate"/>
      </w:r>
      <w:r w:rsidRPr="004D46AC">
        <w:rPr>
          <w:rFonts w:eastAsiaTheme="minorEastAsia"/>
          <w:noProof/>
        </w:rPr>
        <w:t>(Ihler et al., 2023)</w:t>
      </w:r>
      <w:r w:rsidRPr="004D46AC">
        <w:rPr>
          <w:rFonts w:eastAsiaTheme="minorEastAsia"/>
        </w:rPr>
        <w:fldChar w:fldCharType="end"/>
      </w:r>
      <w:r w:rsidRPr="004D46AC">
        <w:rPr>
          <w:rFonts w:eastAsiaTheme="minorEastAsia"/>
        </w:rPr>
        <w:t>. These findings suggest that schizophrenia and bipolar disorder as well as other mental illnesses may share a common latent structure of psychopathology.</w:t>
      </w:r>
    </w:p>
    <w:p w14:paraId="69B0F5DE" w14:textId="77777777" w:rsidR="003D5CB6" w:rsidRPr="004D46AC" w:rsidRDefault="003D5CB6" w:rsidP="00B518F1">
      <w:pPr>
        <w:rPr>
          <w:rFonts w:eastAsiaTheme="minorEastAsia"/>
        </w:rPr>
      </w:pPr>
      <w:r w:rsidRPr="004D46AC">
        <w:rPr>
          <w:rFonts w:eastAsiaTheme="minorEastAsia"/>
        </w:rPr>
        <w:t xml:space="preserve">In recent years, increased attention has been paid to transdiagnostic approach to psychopathology in various populations. Hierarchical and bifactor analysis, and exploratory </w:t>
      </w:r>
      <w:r w:rsidRPr="004D46AC">
        <w:rPr>
          <w:rFonts w:eastAsiaTheme="minorEastAsia"/>
        </w:rPr>
        <w:lastRenderedPageBreak/>
        <w:t>graph analysis are very popular statistical solutions in this filed.</w:t>
      </w:r>
      <w:r w:rsidRPr="004D46AC">
        <w:t xml:space="preserve"> </w:t>
      </w:r>
      <w:r w:rsidRPr="004D46AC">
        <w:rPr>
          <w:rFonts w:eastAsiaTheme="minorEastAsia"/>
        </w:rPr>
        <w:t xml:space="preserve">The hierarchical model of psychopathology, exemplified by the </w:t>
      </w:r>
      <w:proofErr w:type="spellStart"/>
      <w:r w:rsidRPr="004D46AC">
        <w:rPr>
          <w:rFonts w:eastAsiaTheme="minorEastAsia"/>
        </w:rPr>
        <w:t>HiTOP</w:t>
      </w:r>
      <w:proofErr w:type="spellEnd"/>
      <w:r w:rsidRPr="004D46AC">
        <w:rPr>
          <w:rFonts w:eastAsiaTheme="minorEastAsia"/>
        </w:rPr>
        <w:t xml:space="preserve"> framework, posits that psychiatric symptoms are organised in a hierarchy comprising general psychopathology at the apex, followed by broad psychopathological dimensions (spectra), and, finally, individual symptoms. </w:t>
      </w:r>
      <w:proofErr w:type="spellStart"/>
      <w:r w:rsidRPr="004D46AC">
        <w:rPr>
          <w:rFonts w:eastAsiaTheme="minorEastAsia"/>
        </w:rPr>
        <w:t>HiTOP</w:t>
      </w:r>
      <w:proofErr w:type="spellEnd"/>
      <w:r w:rsidRPr="004D46AC">
        <w:rPr>
          <w:rFonts w:eastAsiaTheme="minorEastAsia"/>
        </w:rPr>
        <w:t xml:space="preserve"> proposes three major spectra beneath general psychopathology: internalising, externalising, and psychosis </w:t>
      </w:r>
      <w:r w:rsidRPr="004D46AC">
        <w:rPr>
          <w:rFonts w:eastAsiaTheme="minorEastAsia"/>
        </w:rPr>
        <w:fldChar w:fldCharType="begin">
          <w:fldData xml:space="preserve">PEVuZE5vdGU+PENpdGU+PEF1dGhvcj5Lb3RvdjwvQXV0aG9yPjxZZWFyPjIwMTc8L1llYXI+PFJl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PEVuZE5vdGU+PENpdGU+PEF1dGhvcj5Lb3RvdjwvQXV0aG9yPjxZZWFyPjIwMTc8L1llYXI+PFJl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(Kotov et al., 2017)</w:t>
      </w:r>
      <w:r w:rsidRPr="004D46AC">
        <w:rPr>
          <w:rFonts w:eastAsiaTheme="minorEastAsia"/>
        </w:rPr>
        <w:fldChar w:fldCharType="end"/>
      </w:r>
      <w:r w:rsidRPr="004D46AC">
        <w:rPr>
          <w:rFonts w:eastAsiaTheme="minorEastAsia"/>
        </w:rPr>
        <w:t xml:space="preserve">. This model has recently been tested in CHR-P individuals. Contrary to expectations that bipolar disorder would load somewhere between the psychosis and internalising spectra, it was found to load predominantly onto the psychosis dimension </w:t>
      </w:r>
      <w:r w:rsidRPr="004D46AC">
        <w:rPr>
          <w:rFonts w:eastAsiaTheme="minorEastAsia"/>
        </w:rPr>
        <w:fldChar w:fldCharType="begin">
          <w:fldData xml:space="preserve">PEVuZE5vdGU+PENpdGU+PEF1dGhvcj5XaWxsaWFtczwvQXV0aG9yPjxZZWFyPjIwMjQ8L1llYXI+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PEVuZE5vdGU+PENpdGU+PEF1dGhvcj5XaWxsaWFtczwvQXV0aG9yPjxZZWFyPjIwMjQ8L1llYXI+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(Williams et al., 2024)</w:t>
      </w:r>
      <w:r w:rsidRPr="004D46AC">
        <w:rPr>
          <w:rFonts w:eastAsiaTheme="minorEastAsia"/>
        </w:rPr>
        <w:fldChar w:fldCharType="end"/>
      </w:r>
      <w:r w:rsidRPr="004D46AC">
        <w:rPr>
          <w:rFonts w:eastAsiaTheme="minorEastAsia"/>
        </w:rPr>
        <w:t xml:space="preserve">, suggesting that bipolar manifestations are phenotypically closer to the psychosis spectrum. However, given the characteristics of CHR-P individuals, this finding may reflect unique developmental pathways specific to this group. Further studies are warranted to test the generalisability of this model in patients with severe mental illnesses. Alternatively, two recent studies employed bifactor method to examine symptom structure as assessed by the OPCRIT and PANSS instruments </w:t>
      </w:r>
      <w:r w:rsidRPr="004D46AC">
        <w:rPr>
          <w:rFonts w:eastAsiaTheme="minorEastAsia"/>
        </w:rPr>
        <w:fldChar w:fldCharType="begin">
          <w:fldData xml:space="preserve">PEVuZE5vdGU+PENpdGU+PEF1dGhvcj5SZWluaW5naGF1czwvQXV0aG9yPjxZZWFyPjIwMTY8L1ll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PEVuZE5vdGU+PENpdGU+PEF1dGhvcj5SZWluaW5naGF1czwvQXV0aG9yPjxZZWFyPjIwMTY8L1ll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(Reininghaus et al., 2019; Reininghaus et al., 2016)</w:t>
      </w:r>
      <w:r w:rsidRPr="004D46AC">
        <w:rPr>
          <w:rFonts w:eastAsiaTheme="minorEastAsia"/>
        </w:rPr>
        <w:fldChar w:fldCharType="end"/>
      </w:r>
      <w:r w:rsidRPr="004D46AC">
        <w:rPr>
          <w:rFonts w:eastAsiaTheme="minorEastAsia"/>
        </w:rPr>
        <w:t xml:space="preserve">. Although the optimal structure varied across studies, the bifactor solution consistently demonstrated superior model fit, suggesting that a shared structure of mood and psychosis symptoms underlies the diagnoses of severe mental illnesses such as schizophrenia and bipolar disorder. Consistent findings have been found in general population as well, with high correlations observed among specific factors such as mania and psychosis </w:t>
      </w:r>
      <w:r w:rsidRPr="004D46AC">
        <w:rPr>
          <w:rFonts w:eastAsiaTheme="minorEastAsia"/>
        </w:rPr>
        <w:fldChar w:fldCharType="begin">
          <w:fldData xml:space="preserve">PEVuZE5vdGU+PENpdGU+PEF1dGhvcj5TaGV2bGluPC9BdXRob3I+PFllYXI+MjAxNzwvWWVhcj48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PEVuZE5vdGU+PENpdGU+PEF1dGhvcj5TaGV2bGluPC9BdXRob3I+PFllYXI+MjAxNzwvWWVhcj48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(Shevlin et al., 2017)</w:t>
      </w:r>
      <w:r w:rsidRPr="004D46AC">
        <w:rPr>
          <w:rFonts w:eastAsiaTheme="minorEastAsia"/>
        </w:rPr>
        <w:fldChar w:fldCharType="end"/>
      </w:r>
      <w:r w:rsidRPr="004D46AC">
        <w:rPr>
          <w:rFonts w:eastAsiaTheme="minorEastAsia"/>
        </w:rPr>
        <w:t>. As another statistical solution, two studies used network model-based clustering to examine the structural differences in psychopathology across patients with schizophrenia and bipolar disorder.</w:t>
      </w:r>
      <w:bookmarkStart w:id="77" w:name="OLE_LINK41"/>
      <w:r w:rsidRPr="004D46AC">
        <w:rPr>
          <w:rFonts w:eastAsiaTheme="minorEastAsia"/>
        </w:rPr>
        <w:t xml:space="preserve"> </w:t>
      </w:r>
      <w:bookmarkStart w:id="78" w:name="OLE_LINK36"/>
      <w:bookmarkStart w:id="79" w:name="OLE_LINK39"/>
      <w:bookmarkStart w:id="80" w:name="OLE_LINK40"/>
      <w:r w:rsidRPr="004D46AC">
        <w:rPr>
          <w:rFonts w:eastAsiaTheme="minorEastAsia"/>
        </w:rPr>
        <w:fldChar w:fldCharType="begin">
          <w:fldData xml:space="preserve">PEVuZE5vdGU+PENpdGUgQXV0aG9yWWVhcj0iMSI+PEF1dGhvcj5QZXJhbHRhPC9BdXRob3I+PFll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PEVuZE5vdGU+PENpdGUgQXV0aG9yWWVhcj0iMSI+PEF1dGhvcj5QZXJhbHRhPC9BdXRob3I+PFll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Peralta et al. (2020)</w:t>
      </w:r>
      <w:r w:rsidRPr="004D46AC">
        <w:rPr>
          <w:rFonts w:eastAsiaTheme="minorEastAsia"/>
        </w:rPr>
        <w:fldChar w:fldCharType="end"/>
      </w:r>
      <w:r w:rsidRPr="004D46AC">
        <w:rPr>
          <w:rFonts w:eastAsiaTheme="minorEastAsia"/>
        </w:rPr>
        <w:t xml:space="preserve"> </w:t>
      </w:r>
      <w:bookmarkEnd w:id="78"/>
      <w:r w:rsidRPr="004D46AC">
        <w:rPr>
          <w:rFonts w:eastAsiaTheme="minorEastAsia"/>
        </w:rPr>
        <w:t xml:space="preserve">identified seven communities among patients with psychotic disorders using EGA </w:t>
      </w:r>
      <w:bookmarkEnd w:id="79"/>
      <w:r w:rsidRPr="004D46AC">
        <w:rPr>
          <w:rFonts w:eastAsiaTheme="minorEastAsia"/>
        </w:rPr>
        <w:t xml:space="preserve">based on 68 symptoms assessed by the Comprehensive Assessment of Symptoms and History (CASH). The median proportion of valid connections between communities was 14.3%. </w:t>
      </w:r>
      <w:bookmarkEnd w:id="77"/>
      <w:bookmarkEnd w:id="80"/>
      <w:r w:rsidRPr="004D46AC">
        <w:rPr>
          <w:rFonts w:eastAsiaTheme="minorEastAsia"/>
        </w:rPr>
        <w:t xml:space="preserve">Excluding catatonia - which comprised only three symptoms - the proportion of connections between mania and other psychotic dimensions ranged from 11.2% (disorganisation) to 19% (reality </w:t>
      </w:r>
      <w:r w:rsidRPr="004D46AC">
        <w:rPr>
          <w:rFonts w:eastAsiaTheme="minorEastAsia"/>
        </w:rPr>
        <w:lastRenderedPageBreak/>
        <w:t>distortion). These findings suggest potential dynamic relationships between mania and psychotic symptoms.</w:t>
      </w:r>
    </w:p>
    <w:p w14:paraId="44D52EF6" w14:textId="77777777" w:rsidR="003D5CB6" w:rsidRPr="004D46AC" w:rsidRDefault="003D5CB6" w:rsidP="00B518F1">
      <w:pPr>
        <w:rPr>
          <w:rFonts w:eastAsiaTheme="minorEastAsia"/>
        </w:rPr>
      </w:pPr>
      <w:r w:rsidRPr="004D46AC">
        <w:rPr>
          <w:rFonts w:eastAsiaTheme="minorEastAsia"/>
        </w:rPr>
        <w:t>In summary, current evidence indicates that a shared underlying structure of psychosis spans both bipolar disorder and schizophrenia, as well as the local relationships among symptoms within these conditions. Although the structure of symptomatology can be influenced by factors such as the choice of estimator, data type, assessment instruments, and item composition, the existing literature suggests that the structure of psychosis is generalisable beyond schizophrenia to a broader population, and the underlying correlation between mania and psychosis. This shift in perspective has fuelled the transition from categorical to dimensional or transdiagnostic approaches in psychiatric research. Nevertheless, considerable gaps remain in our understanding of the psychometrics of latent structures and the dynamic interplay of symptoms in severe mental illnesses, highlighting the need for further research to elucidate these underlying mechanisms.</w:t>
      </w:r>
    </w:p>
    <w:p w14:paraId="41776557" w14:textId="77777777" w:rsidR="003D5CB6" w:rsidRPr="004D46AC" w:rsidRDefault="003D5CB6" w:rsidP="00B518F1">
      <w:pPr>
        <w:pStyle w:val="3"/>
      </w:pPr>
      <w:bookmarkStart w:id="81" w:name="OLE_LINK48"/>
      <w:r w:rsidRPr="004D46AC">
        <w:t>Models beyond the psychopathology</w:t>
      </w:r>
    </w:p>
    <w:p w14:paraId="1C778982" w14:textId="77777777" w:rsidR="003D5CB6" w:rsidRPr="004D46AC" w:rsidRDefault="003D5CB6" w:rsidP="00B518F1">
      <w:pPr>
        <w:pStyle w:val="4"/>
      </w:pPr>
      <w:bookmarkStart w:id="82" w:name="OLE_LINK47"/>
      <w:bookmarkEnd w:id="81"/>
      <w:r w:rsidRPr="004D46AC">
        <w:t>Diathesis–stress model</w:t>
      </w:r>
    </w:p>
    <w:p w14:paraId="30E2FDF8" w14:textId="77777777" w:rsidR="003D5CB6" w:rsidRPr="004D46AC" w:rsidRDefault="003D5CB6" w:rsidP="00B518F1">
      <w:bookmarkStart w:id="83" w:name="OLE_LINK51"/>
      <w:bookmarkEnd w:id="82"/>
      <w:r w:rsidRPr="004D46AC">
        <w:rPr>
          <w:i/>
          <w:iCs/>
        </w:rPr>
        <w:t>Diathesis</w:t>
      </w:r>
      <w:r w:rsidRPr="004D46AC">
        <w:t xml:space="preserve"> is derived from the Greek term originally referring to an imbalance in bodily humours, signifying a predisposition to madness that deviates from the normative range of variation. Over time, the concept of diathesis has expanded beyond this biologically rooted definition to encompass a broader array of </w:t>
      </w:r>
      <w:proofErr w:type="spellStart"/>
      <w:r w:rsidRPr="004D46AC">
        <w:t>predispositional</w:t>
      </w:r>
      <w:proofErr w:type="spellEnd"/>
      <w:r w:rsidRPr="004D46AC">
        <w:t xml:space="preserve"> factors that confer risk for mental disorders. These include not only biological traits, such as genetic vulnerability, but also psychosocial characteristics, such as personality traits and attachment styles, as discussed in prior sections.</w:t>
      </w:r>
    </w:p>
    <w:p w14:paraId="0F35E059" w14:textId="77777777" w:rsidR="003D5CB6" w:rsidRPr="004D46AC" w:rsidRDefault="003D5CB6" w:rsidP="00B518F1">
      <w:r w:rsidRPr="004D46AC">
        <w:t xml:space="preserve">Importantly, predisposition alone is insufficient to cause a mental disorder. The emergence of psychopathology typically requires the co-occurrence of external stressors such as traumatic life events. In the diathesis-stress model, mental illness results from an interaction between an individual’s underlying vulnerability and environmental stressors. </w:t>
      </w:r>
      <w:r w:rsidRPr="004D46AC">
        <w:rPr>
          <w:i/>
          <w:iCs/>
        </w:rPr>
        <w:t>Stress</w:t>
      </w:r>
      <w:r w:rsidRPr="004D46AC">
        <w:t xml:space="preserve"> refers to the psychological response to adverse or challenging events, ranging from everyday hassles to acute trauma. The nature and severity of stress reactions are influenced </w:t>
      </w:r>
      <w:r w:rsidRPr="004D46AC">
        <w:lastRenderedPageBreak/>
        <w:t>by an individual’s sensitivity to stress, the intensity of the events, and how the events are interpreted and managed.</w:t>
      </w:r>
    </w:p>
    <w:p w14:paraId="20EC743A" w14:textId="77777777" w:rsidR="003D5CB6" w:rsidRPr="004D46AC" w:rsidRDefault="003D5CB6" w:rsidP="00B518F1">
      <w:bookmarkStart w:id="84" w:name="OLE_LINK57"/>
      <w:r w:rsidRPr="004D46AC">
        <w:t xml:space="preserve">This model proposes that psychopathology emerges from the combined effect of diathesis and stress. Several scholars have attempted to test the pathways to schizophrenia within this framework. For instance, one hypothesis posits that the interaction between genetic risk for schizophrenia and maladaptive parenting styles (e.g., maternal rejection or ambivalence) may contribute to illness onset, where genes serve as a necessary predisposition and parenting acts as a catalysing stressor. Another formulation, such as the SHAITU (submissive, </w:t>
      </w:r>
      <w:proofErr w:type="spellStart"/>
      <w:r w:rsidRPr="004D46AC">
        <w:t>hypohedonic</w:t>
      </w:r>
      <w:proofErr w:type="spellEnd"/>
      <w:r w:rsidRPr="004D46AC">
        <w:t xml:space="preserve">, </w:t>
      </w:r>
      <w:proofErr w:type="spellStart"/>
      <w:r w:rsidRPr="004D46AC">
        <w:t>anxietous</w:t>
      </w:r>
      <w:proofErr w:type="spellEnd"/>
      <w:r w:rsidRPr="004D46AC">
        <w:t>,</w:t>
      </w:r>
      <w:r w:rsidRPr="004D46AC">
        <w:rPr>
          <w:rFonts w:eastAsiaTheme="minorEastAsia" w:hint="eastAsia"/>
        </w:rPr>
        <w:t xml:space="preserve"> </w:t>
      </w:r>
      <w:r w:rsidRPr="004D46AC">
        <w:t>introverted, traumatized, unlucky)</w:t>
      </w:r>
      <w:r w:rsidRPr="004D46AC">
        <w:rPr>
          <w:rFonts w:eastAsiaTheme="minorEastAsia" w:hint="eastAsia"/>
        </w:rPr>
        <w:t xml:space="preserve"> </w:t>
      </w:r>
      <w:r w:rsidRPr="004D46AC">
        <w:t>model, suggests that schizophrenia may result from specific personality traits in combination with trauma and additional stochastic factors.</w:t>
      </w:r>
    </w:p>
    <w:p w14:paraId="2A3389E5" w14:textId="77777777" w:rsidR="003D5CB6" w:rsidRPr="004D46AC" w:rsidRDefault="003D5CB6" w:rsidP="00B518F1">
      <w:pPr>
        <w:rPr>
          <w:rFonts w:eastAsiaTheme="minorEastAsia"/>
        </w:rPr>
      </w:pPr>
      <w:bookmarkStart w:id="85" w:name="OLE_LINK49"/>
      <w:bookmarkEnd w:id="84"/>
      <w:r w:rsidRPr="004D46AC">
        <w:rPr>
          <w:rFonts w:eastAsiaTheme="minorEastAsia"/>
        </w:rPr>
        <w:t xml:space="preserve">Nonetheless, relatively few studies have directly tested the interaction effect between diathesis and stress on the onset of major mental illnesses. Much of the empirical support for the diathesis-stress model has focused on genetic vulnerability, and the overall volume of evidence remains limited. An illustration to this is the adoption study by </w:t>
      </w:r>
      <w:r w:rsidRPr="004D46AC">
        <w:rPr>
          <w:rFonts w:eastAsiaTheme="minorEastAsia"/>
        </w:rPr>
        <w:fldChar w:fldCharType="begin"/>
      </w:r>
      <w:r w:rsidRPr="004D46AC">
        <w:rPr>
          <w:rFonts w:eastAsiaTheme="minorEastAsia"/>
        </w:rPr>
        <w:instrText xml:space="preserve"> ADDIN EN.CITE &lt;EndNote&gt;&lt;Cite AuthorYear="1"&gt;&lt;Author&gt;Tienari&lt;/Author&gt;&lt;Year&gt;2004&lt;/Year&gt;&lt;RecNum&gt;1182&lt;/RecNum&gt;&lt;DisplayText&gt;Tienari et al. (2004)&lt;/DisplayText&gt;&lt;record&gt;&lt;rec-number&gt;1182&lt;/rec-number&gt;&lt;foreign-keys&gt;&lt;key app="EN" db-id="aet009sstawa0hewvt3xwf5atffdw2dt02sw" timestamp="1754121304"&gt;1182&lt;/key&gt;&lt;/foreign-keys&gt;&lt;ref-type name="Journal Article"&gt;17&lt;/ref-type&gt;&lt;contributors&gt;&lt;authors&gt;&lt;author&gt;Tienari, Pekka&lt;/author&gt;&lt;author&gt;Wynne, Lyman C&lt;/author&gt;&lt;author&gt;Sorri, Anneli&lt;/author&gt;&lt;author&gt;Lahti, Ilpo&lt;/author&gt;&lt;author&gt;Läksy, Kristian&lt;/author&gt;&lt;author&gt;Moring, Juha&lt;/author&gt;&lt;author&gt;Naarala, Mikko&lt;/author&gt;&lt;author&gt;Nieminen, Pentti&lt;/author&gt;&lt;author&gt;Wahlberg, Karl-Erik&lt;/author&gt;&lt;/authors&gt;&lt;/contributors&gt;&lt;titles&gt;&lt;title&gt;Genotype–environment interaction in schizophrenia-spectrum disorder: long-term follow-up study of Finnish adoptees&lt;/title&gt;&lt;secondary-title&gt;The British Journal of Psychiatry&lt;/secondary-title&gt;&lt;/titles&gt;&lt;periodical&gt;&lt;full-title&gt;The British Journal of Psychiatry&lt;/full-title&gt;&lt;/periodical&gt;&lt;pages&gt;216-222&lt;/pages&gt;&lt;volume&gt;184&lt;/volume&gt;&lt;number&gt;3&lt;/number&gt;&lt;dates&gt;&lt;year&gt;2004&lt;/year&gt;&lt;/dates&gt;&lt;isbn&gt;0007-1250&lt;/isbn&gt;&lt;urls&gt;&lt;/urls&gt;&lt;/record&gt;&lt;/Cite&gt;&lt;/EndNote&gt;</w:instrText>
      </w:r>
      <w:r w:rsidRPr="004D46AC">
        <w:rPr>
          <w:rFonts w:eastAsiaTheme="minorEastAsia"/>
        </w:rPr>
        <w:fldChar w:fldCharType="separate"/>
      </w:r>
      <w:r w:rsidRPr="004D46AC">
        <w:rPr>
          <w:rFonts w:eastAsiaTheme="minorEastAsia"/>
          <w:noProof/>
        </w:rPr>
        <w:t>Tienari et al. (2004)</w:t>
      </w:r>
      <w:r w:rsidRPr="004D46AC">
        <w:rPr>
          <w:rFonts w:eastAsiaTheme="minorEastAsia"/>
        </w:rPr>
        <w:fldChar w:fldCharType="end"/>
      </w:r>
      <w:r w:rsidRPr="004D46AC">
        <w:rPr>
          <w:rFonts w:eastAsiaTheme="minorEastAsia"/>
        </w:rPr>
        <w:t xml:space="preserve"> </w:t>
      </w:r>
      <w:bookmarkEnd w:id="85"/>
      <w:r w:rsidRPr="004D46AC">
        <w:rPr>
          <w:rFonts w:eastAsiaTheme="minorEastAsia"/>
        </w:rPr>
        <w:t xml:space="preserve">, which demonstrated that adoptees with a FHR for schizophrenia were significantly more likely to develop the disorder if raised in dysfunctional adoptive families characterised by conflict, criticism, or other maladaptive dynamics. Similar findings have been reported by </w:t>
      </w:r>
      <w:r w:rsidRPr="004D46AC">
        <w:rPr>
          <w:rFonts w:eastAsiaTheme="minorEastAsia"/>
        </w:rPr>
        <w:fldChar w:fldCharType="begin">
          <w:fldData xml:space="preserve">PEVuZE5vdGU+PENpdGUgQXV0aG9yWWVhcj0iMSI+PEF1dGhvcj5BYXM8L0F1dGhvcj48WWVhcj4y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PEVuZE5vdGU+PENpdGUgQXV0aG9yWWVhcj0iMSI+PEF1dGhvcj5BYXM8L0F1dGhvcj48WWVhcj4y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Aas et al. (2023)</w:t>
      </w:r>
      <w:r w:rsidRPr="004D46AC">
        <w:rPr>
          <w:rFonts w:eastAsiaTheme="minorEastAsia"/>
        </w:rPr>
        <w:fldChar w:fldCharType="end"/>
      </w:r>
      <w:r w:rsidRPr="004D46AC">
        <w:rPr>
          <w:rFonts w:eastAsiaTheme="minorEastAsia"/>
        </w:rPr>
        <w:t xml:space="preserve">. Furthermore, </w:t>
      </w:r>
      <w:r w:rsidRPr="004D46AC">
        <w:rPr>
          <w:rFonts w:eastAsiaTheme="minorEastAsia"/>
        </w:rPr>
        <w:fldChar w:fldCharType="begin"/>
      </w:r>
      <w:r w:rsidRPr="004D46AC">
        <w:rPr>
          <w:rFonts w:eastAsiaTheme="minorEastAsia"/>
        </w:rPr>
        <w:instrText xml:space="preserve"> ADDIN EN.CITE &lt;EndNote&gt;&lt;Cite AuthorYear="1"&gt;&lt;Author&gt;Myin-Germeys&lt;/Author&gt;&lt;Year&gt;2001&lt;/Year&gt;&lt;RecNum&gt;1184&lt;/RecNum&gt;&lt;DisplayText&gt;Myin-Germeys et al. (2001)&lt;/DisplayText&gt;&lt;record&gt;&lt;rec-number&gt;1184&lt;/rec-number&gt;&lt;foreign-keys&gt;&lt;key app="EN" db-id="aet009sstawa0hewvt3xwf5atffdw2dt02sw" timestamp="1754150329"&gt;1184&lt;/key&gt;&lt;/foreign-keys&gt;&lt;ref-type name="Journal Article"&gt;17&lt;/ref-type&gt;&lt;contributors&gt;&lt;authors&gt;&lt;author&gt;Myin-Germeys, Inez&lt;/author&gt;&lt;author&gt;van Os, Jim&lt;/author&gt;&lt;author&gt;Schwartz, Joseph E&lt;/author&gt;&lt;author&gt;Stone, Arthur A&lt;/author&gt;&lt;author&gt;Delespaul, Philippe A&lt;/author&gt;&lt;/authors&gt;&lt;/contributors&gt;&lt;titles&gt;&lt;title&gt;Emotional reactivity to daily life stress in psychosis&lt;/title&gt;&lt;secondary-title&gt;Archives of general psychiatry&lt;/secondary-title&gt;&lt;/titles&gt;&lt;periodical&gt;&lt;full-title&gt;Archives of General Psychiatry&lt;/full-title&gt;&lt;/periodical&gt;&lt;pages&gt;1137-1144&lt;/pages&gt;&lt;volume&gt;58&lt;/volume&gt;&lt;number&gt;12&lt;/number&gt;&lt;dates&gt;&lt;year&gt;2001&lt;/year&gt;&lt;/dates&gt;&lt;isbn&gt;0003-990X&lt;/isbn&gt;&lt;urls&gt;&lt;/urls&gt;&lt;/record&gt;&lt;/Cite&gt;&lt;/EndNote&gt;</w:instrText>
      </w:r>
      <w:r w:rsidRPr="004D46AC">
        <w:rPr>
          <w:rFonts w:eastAsiaTheme="minorEastAsia"/>
        </w:rPr>
        <w:fldChar w:fldCharType="separate"/>
      </w:r>
      <w:r w:rsidRPr="004D46AC">
        <w:rPr>
          <w:rFonts w:eastAsiaTheme="minorEastAsia"/>
          <w:noProof/>
        </w:rPr>
        <w:t>Myin-Germeys et al. (2001)</w:t>
      </w:r>
      <w:r w:rsidRPr="004D46AC">
        <w:rPr>
          <w:rFonts w:eastAsiaTheme="minorEastAsia"/>
        </w:rPr>
        <w:fldChar w:fldCharType="end"/>
      </w:r>
      <w:r w:rsidRPr="004D46AC">
        <w:rPr>
          <w:rFonts w:eastAsiaTheme="minorEastAsia"/>
        </w:rPr>
        <w:t xml:space="preserve"> </w:t>
      </w:r>
      <w:bookmarkStart w:id="86" w:name="OLE_LINK50"/>
      <w:r w:rsidRPr="004D46AC">
        <w:rPr>
          <w:rFonts w:eastAsiaTheme="minorEastAsia"/>
        </w:rPr>
        <w:t xml:space="preserve">found that individuals with a family history of psychosis exhibited heightened mood reactivity to stress, supporting an interaction between familial diathesis and daily-life stress exposure. A similar pattern has been observed in the offspring of bipolar patients as well. For example, </w:t>
      </w:r>
      <w:r w:rsidRPr="004D46AC">
        <w:rPr>
          <w:rFonts w:eastAsiaTheme="minorEastAsia"/>
        </w:rPr>
        <w:fldChar w:fldCharType="begin"/>
      </w:r>
      <w:r w:rsidRPr="004D46AC">
        <w:rPr>
          <w:rFonts w:eastAsiaTheme="minorEastAsia"/>
        </w:rPr>
        <w:instrText xml:space="preserve"> ADDIN EN.CITE &lt;EndNote&gt;&lt;Cite AuthorYear="1"&gt;&lt;Author&gt;Oquendo&lt;/Author&gt;&lt;Year&gt;2013&lt;/Year&gt;&lt;RecNum&gt;1185&lt;/RecNum&gt;&lt;DisplayText&gt;Oquendo et al. (2013)&lt;/DisplayText&gt;&lt;record&gt;&lt;rec-number&gt;1185&lt;/rec-number&gt;&lt;foreign-keys&gt;&lt;key app="EN" db-id="aet009sstawa0hewvt3xwf5atffdw2dt02sw" timestamp="1754223936"&gt;1185&lt;/key&gt;&lt;/foreign-keys&gt;&lt;ref-type name="Journal Article"&gt;17&lt;/ref-type&gt;&lt;contributors&gt;&lt;authors&gt;&lt;author&gt;Oquendo, Maria A&lt;/author&gt;&lt;author&gt;Ellis, Steven P&lt;/author&gt;&lt;author&gt;Chesin, Megan S&lt;/author&gt;&lt;author&gt;Birmaher, Boris&lt;/author&gt;&lt;author&gt;Zelazny, Jamie&lt;/author&gt;&lt;author&gt;Tin, Adrienne&lt;/author&gt;&lt;author&gt;Melhem, Nadine&lt;/author&gt;&lt;author&gt;Burke, Ainsley K&lt;/author&gt;&lt;author&gt;Kolko, David&lt;/author&gt;&lt;author&gt;Greenhill, Laurence&lt;/author&gt;&lt;author&gt;Stanley, Barbara&lt;/author&gt;&lt;author&gt;Brodsky, Beth S&lt;/author&gt;&lt;author&gt;Mann, J John&lt;/author&gt;&lt;author&gt;Brent, David A&lt;/author&gt;&lt;/authors&gt;&lt;/contributors&gt;&lt;titles&gt;&lt;title&gt;Familial transmission of parental mood disorders: unipolar and bipolar disorders in offspring&lt;/title&gt;&lt;secondary-title&gt;Bipolar Disorders&lt;/secondary-title&gt;&lt;/titles&gt;&lt;periodical&gt;&lt;full-title&gt;Bipolar Disorders&lt;/full-title&gt;&lt;/periodical&gt;&lt;pages&gt;764-773&lt;/pages&gt;&lt;volume&gt;15&lt;/volume&gt;&lt;number&gt;7&lt;/number&gt;&lt;dates&gt;&lt;year&gt;2013&lt;/year&gt;&lt;/dates&gt;&lt;isbn&gt;1398-5647&lt;/isbn&gt;&lt;urls&gt;&lt;related-urls&gt;&lt;url&gt;https://onlinelibrary.wiley.com/doi/abs/10.1111/bdi.12107&lt;/url&gt;&lt;/related-urls&gt;&lt;/urls&gt;&lt;electronic-resource-num&gt;https://doi.org/10.1111/bdi.12107&lt;/electronic-resource-num&gt;&lt;/record&gt;&lt;/Cite&gt;&lt;/EndNote&gt;</w:instrText>
      </w:r>
      <w:r w:rsidRPr="004D46AC">
        <w:rPr>
          <w:rFonts w:eastAsiaTheme="minorEastAsia"/>
        </w:rPr>
        <w:fldChar w:fldCharType="separate"/>
      </w:r>
      <w:r w:rsidRPr="004D46AC">
        <w:rPr>
          <w:rFonts w:eastAsiaTheme="minorEastAsia"/>
          <w:noProof/>
        </w:rPr>
        <w:t>Oquendo et al. (2013)</w:t>
      </w:r>
      <w:r w:rsidRPr="004D46AC">
        <w:rPr>
          <w:rFonts w:eastAsiaTheme="minorEastAsia"/>
        </w:rPr>
        <w:fldChar w:fldCharType="end"/>
      </w:r>
      <w:r w:rsidRPr="004D46AC">
        <w:rPr>
          <w:rFonts w:eastAsiaTheme="minorEastAsia"/>
        </w:rPr>
        <w:t xml:space="preserve"> </w:t>
      </w:r>
      <w:bookmarkEnd w:id="86"/>
      <w:r w:rsidRPr="004D46AC">
        <w:rPr>
          <w:rFonts w:eastAsiaTheme="minorEastAsia"/>
        </w:rPr>
        <w:t xml:space="preserve">reported that childhood trauma, such as sexual abuse, was associated with a sixfold increase in the risk of developing bipolar disorder compared to those without such trauma. In a more recent study, </w:t>
      </w:r>
      <w:r w:rsidRPr="004D46AC">
        <w:rPr>
          <w:rFonts w:eastAsiaTheme="minorEastAsia"/>
        </w:rPr>
        <w:fldChar w:fldCharType="begin"/>
      </w:r>
      <w:r w:rsidRPr="004D46AC">
        <w:rPr>
          <w:rFonts w:eastAsiaTheme="minorEastAsia"/>
        </w:rPr>
        <w:instrText xml:space="preserve"> ADDIN EN.CITE &lt;EndNote&gt;&lt;Cite AuthorYear="1"&gt;&lt;Author&gt;Xi&lt;/Author&gt;&lt;Year&gt;2025&lt;/Year&gt;&lt;RecNum&gt;1186&lt;/RecNum&gt;&lt;DisplayText&gt;Xi et al. (2025)&lt;/DisplayText&gt;&lt;record&gt;&lt;rec-number&gt;1186&lt;/rec-number&gt;&lt;foreign-keys&gt;&lt;key app="EN" db-id="aet009sstawa0hewvt3xwf5atffdw2dt02sw" timestamp="1754235764"&gt;1186&lt;/key&gt;&lt;/foreign-keys&gt;&lt;ref-type name="Journal Article"&gt;17&lt;/ref-type&gt;&lt;contributors&gt;&lt;authors&gt;&lt;author&gt;Xi, Chang&lt;/author&gt;&lt;author&gt;Xu, Xin&lt;/author&gt;&lt;author&gt;Wang, Song&lt;/author&gt;&lt;/authors&gt;&lt;/contributors&gt;&lt;titles&gt;&lt;title&gt;Predicting psychotic-like experiences among adolescents: the interplay of childhood trauma, cognitive biases, neuroticism, and depression&lt;/title&gt;&lt;secondary-title&gt;Child and Adolescent Psychiatry and Mental Health&lt;/secondary-title&gt;&lt;/titles&gt;&lt;periodical&gt;&lt;full-title&gt;Child and Adolescent Psychiatry and Mental Health&lt;/full-title&gt;&lt;/periodical&gt;&lt;pages&gt;20&lt;/pages&gt;&lt;volume&gt;19&lt;/volume&gt;&lt;number&gt;1&lt;/number&gt;&lt;dates&gt;&lt;year&gt;2025&lt;/year&gt;&lt;pub-dates&gt;&lt;date&gt;2025/03/14&lt;/date&gt;&lt;/pub-dates&gt;&lt;/dates&gt;&lt;isbn&gt;1753-2000&lt;/isbn&gt;&lt;urls&gt;&lt;related-urls&gt;&lt;url&gt;https://doi.org/10.1186/s13034-025-00878-5&lt;/url&gt;&lt;/related-urls&gt;&lt;/urls&gt;&lt;electronic-resource-num&gt;10.1186/s13034-025-00878-5&lt;/electronic-resource-num&gt;&lt;/record&gt;&lt;/Cite&gt;&lt;/EndNote&gt;</w:instrText>
      </w:r>
      <w:r w:rsidRPr="004D46AC">
        <w:rPr>
          <w:rFonts w:eastAsiaTheme="minorEastAsia"/>
        </w:rPr>
        <w:fldChar w:fldCharType="separate"/>
      </w:r>
      <w:r w:rsidRPr="004D46AC">
        <w:rPr>
          <w:rFonts w:eastAsiaTheme="minorEastAsia"/>
          <w:noProof/>
        </w:rPr>
        <w:t>Xi et al. (2025)</w:t>
      </w:r>
      <w:r w:rsidRPr="004D46AC">
        <w:rPr>
          <w:rFonts w:eastAsiaTheme="minorEastAsia"/>
        </w:rPr>
        <w:fldChar w:fldCharType="end"/>
      </w:r>
      <w:r w:rsidRPr="004D46AC">
        <w:rPr>
          <w:rFonts w:eastAsiaTheme="minorEastAsia"/>
        </w:rPr>
        <w:t xml:space="preserve"> </w:t>
      </w:r>
      <w:bookmarkEnd w:id="83"/>
      <w:r w:rsidRPr="004D46AC">
        <w:rPr>
          <w:rFonts w:eastAsiaTheme="minorEastAsia"/>
        </w:rPr>
        <w:t>employed a transdiagnostic approach to examine diathesis constructs beyond genetic traits. They found that individuals with high neuroticism and a history of childhood trauma had an 8.9-fold increase in the odds of reporting psychotic-like experiences.</w:t>
      </w:r>
    </w:p>
    <w:p w14:paraId="163DF235" w14:textId="77777777" w:rsidR="003D5CB6" w:rsidRPr="004D46AC" w:rsidRDefault="003D5CB6" w:rsidP="00B518F1">
      <w:pPr>
        <w:rPr>
          <w:rFonts w:eastAsiaTheme="minorEastAsia"/>
        </w:rPr>
      </w:pPr>
      <w:r w:rsidRPr="004D46AC">
        <w:rPr>
          <w:rFonts w:eastAsiaTheme="minorEastAsia"/>
        </w:rPr>
        <w:lastRenderedPageBreak/>
        <w:t xml:space="preserve">In summary, the diathesis-stress model has been most extensively applied to research on biological predispositions and trauma, particularly in relation to psychotic disorders. Current evidence supports a significant interaction effect between vulnerability and stress in increasing the risk of psychopathology. However, few studies have examined this model in relation to the diagnostic boundary between schizophrenia and bipolar disorder. Nor has sufficient research explored non-biological diatheses in either clinical or general populations. For instance, it remains unclear whether </w:t>
      </w:r>
      <w:proofErr w:type="gramStart"/>
      <w:r w:rsidRPr="004D46AC">
        <w:rPr>
          <w:rFonts w:eastAsiaTheme="minorEastAsia"/>
        </w:rPr>
        <w:t>particular diathesis</w:t>
      </w:r>
      <w:proofErr w:type="gramEnd"/>
      <w:r w:rsidRPr="004D46AC">
        <w:rPr>
          <w:rFonts w:eastAsiaTheme="minorEastAsia"/>
        </w:rPr>
        <w:t xml:space="preserve"> constructs lead preferentially to schizophrenia over bipolar disorder, or whether the differences are merely quantitative in terms of risk magnitude. Future research should aim to address these gaps using diverse populations and transdiagnostic frameworks.</w:t>
      </w:r>
    </w:p>
    <w:p w14:paraId="618190D3" w14:textId="77777777" w:rsidR="003D5CB6" w:rsidRPr="004D46AC" w:rsidRDefault="003D5CB6" w:rsidP="00B518F1">
      <w:pPr>
        <w:pStyle w:val="2"/>
      </w:pPr>
      <w:bookmarkStart w:id="87" w:name="_Toc219888757"/>
      <w:r w:rsidRPr="004D46AC">
        <w:t>Research Gaps and current investigation</w:t>
      </w:r>
      <w:bookmarkEnd w:id="87"/>
    </w:p>
    <w:p w14:paraId="429DE9FC" w14:textId="77777777" w:rsidR="003D5CB6" w:rsidRPr="004D46AC" w:rsidRDefault="003D5CB6" w:rsidP="00B518F1">
      <w:pPr>
        <w:rPr>
          <w:b/>
          <w:bCs/>
        </w:rPr>
      </w:pPr>
      <w:r w:rsidRPr="004D46AC">
        <w:t>Significant gaps remain in delineating the boundaries between schizophrenia and bipolar disorder.</w:t>
      </w:r>
    </w:p>
    <w:p w14:paraId="3F2641A3" w14:textId="77777777" w:rsidR="003D5CB6" w:rsidRPr="004D46AC" w:rsidRDefault="003D5CB6" w:rsidP="00B518F1">
      <w:r w:rsidRPr="004D46AC">
        <w:t>First, the prevalence of comorbid schizophrenia or psychotic symptoms among individuals with bipolar disorder remains unclear, as do the key factors contributing to such comorbidity. Second, at the micro-level, there is limited understanding of how mood and psychotic symptoms interact, and how these local interactions contribute to variations in symptom structures across diagnostic categories. Third, it is unclear how symptom structures evolve over time and what the longitudinal relationships between mood symptoms and psychosis entail. Fourth, although it is important to understand the network structure of at-risk symptoms in the general population, there remains a lack of comprehensive tools for assessing how such symptoms interact dynamically.</w:t>
      </w:r>
    </w:p>
    <w:p w14:paraId="39B0E2EE" w14:textId="77777777" w:rsidR="003D5CB6" w:rsidRPr="004D46AC" w:rsidRDefault="003D5CB6" w:rsidP="00B518F1">
      <w:r w:rsidRPr="004D46AC">
        <w:t>To address these gaps and to enhance understanding of the relationship between bipolar disorder and schizophrenia from both psychopathological and psychosocial perspectives, the present thesis pursues the following four primary aims:</w:t>
      </w:r>
    </w:p>
    <w:p w14:paraId="51FEA0B2" w14:textId="77777777" w:rsidR="003D5CB6" w:rsidRPr="004D46AC" w:rsidRDefault="003D5CB6" w:rsidP="00B518F1">
      <w:pPr>
        <w:numPr>
          <w:ilvl w:val="0"/>
          <w:numId w:val="1"/>
        </w:numPr>
      </w:pPr>
      <w:r w:rsidRPr="004D46AC">
        <w:t>To quantitatively examine the prevalence of comorbid schizophrenia and psychotic symptoms in individuals with bipolar disorder.</w:t>
      </w:r>
    </w:p>
    <w:p w14:paraId="3067BD82" w14:textId="77777777" w:rsidR="003D5CB6" w:rsidRPr="004D46AC" w:rsidRDefault="003D5CB6" w:rsidP="00B518F1">
      <w:pPr>
        <w:numPr>
          <w:ilvl w:val="0"/>
          <w:numId w:val="1"/>
        </w:numPr>
      </w:pPr>
      <w:r w:rsidRPr="004D46AC">
        <w:lastRenderedPageBreak/>
        <w:t>To estimate the network structure of mood and psychotic symptoms and assess its characteristics across different diagnostic groups and time points.</w:t>
      </w:r>
    </w:p>
    <w:p w14:paraId="16DDECD6" w14:textId="77777777" w:rsidR="003D5CB6" w:rsidRPr="004D46AC" w:rsidRDefault="003D5CB6" w:rsidP="00B518F1">
      <w:pPr>
        <w:numPr>
          <w:ilvl w:val="0"/>
          <w:numId w:val="1"/>
        </w:numPr>
      </w:pPr>
      <w:r w:rsidRPr="004D46AC">
        <w:t>To investigate the longitudinal relationships between mood and psychosis, including the potential moderating or mediating effects of psychosocial variables.</w:t>
      </w:r>
    </w:p>
    <w:p w14:paraId="5AD38197" w14:textId="77777777" w:rsidR="003D5CB6" w:rsidRPr="004D46AC" w:rsidRDefault="003D5CB6" w:rsidP="00B518F1">
      <w:pPr>
        <w:numPr>
          <w:ilvl w:val="0"/>
          <w:numId w:val="1"/>
        </w:numPr>
      </w:pPr>
      <w:r w:rsidRPr="004D46AC">
        <w:t>To develop a comprehensive self-report questionnaire assessing at-risk symptoms and evaluate its psychometric properties and network structure.</w:t>
      </w:r>
    </w:p>
    <w:p w14:paraId="7F1F725E" w14:textId="77777777" w:rsidR="003D5CB6" w:rsidRPr="004D46AC" w:rsidRDefault="003D5CB6" w:rsidP="00B518F1">
      <w:pPr>
        <w:pStyle w:val="2"/>
      </w:pPr>
      <w:bookmarkStart w:id="88" w:name="_Toc219888758"/>
      <w:r w:rsidRPr="004D46AC">
        <w:t>Structure of the Thesis</w:t>
      </w:r>
      <w:bookmarkEnd w:id="88"/>
    </w:p>
    <w:p w14:paraId="74736B4B" w14:textId="77777777" w:rsidR="003D5CB6" w:rsidRPr="004D46AC" w:rsidRDefault="003D5CB6" w:rsidP="00B518F1">
      <w:r w:rsidRPr="004D46AC">
        <w:t>This thesis comprises six chapters and, following this general introductory review, is organized as follows:</w:t>
      </w:r>
    </w:p>
    <w:p w14:paraId="0AE812DC" w14:textId="77777777" w:rsidR="003D5CB6" w:rsidRPr="004D46AC" w:rsidRDefault="003D5CB6" w:rsidP="00B518F1">
      <w:pPr>
        <w:numPr>
          <w:ilvl w:val="0"/>
          <w:numId w:val="2"/>
        </w:numPr>
      </w:pPr>
      <w:r w:rsidRPr="004D46AC">
        <w:t>Chapter 2 (Study 1) presents a meta-analysis of epidemiological studies examining the prevalence of comorbid schizophrenia or psychotic symptoms in bipolar disorder.</w:t>
      </w:r>
    </w:p>
    <w:p w14:paraId="04284A15" w14:textId="77777777" w:rsidR="003D5CB6" w:rsidRPr="004D46AC" w:rsidRDefault="003D5CB6" w:rsidP="00B518F1">
      <w:pPr>
        <w:numPr>
          <w:ilvl w:val="0"/>
          <w:numId w:val="2"/>
        </w:numPr>
      </w:pPr>
      <w:r w:rsidRPr="004D46AC">
        <w:t>Chapter 3 (Study 2) involves a network analysis investigating the symptom structure of mood and psychosis across schizophrenia, schizoaffective, and psychotic bipolar disorder.</w:t>
      </w:r>
    </w:p>
    <w:p w14:paraId="18AEB809" w14:textId="77777777" w:rsidR="003D5CB6" w:rsidRPr="004D46AC" w:rsidRDefault="003D5CB6" w:rsidP="00B518F1">
      <w:pPr>
        <w:numPr>
          <w:ilvl w:val="0"/>
          <w:numId w:val="2"/>
        </w:numPr>
      </w:pPr>
      <w:r w:rsidRPr="004D46AC">
        <w:t>Chapter 4 (Study 3) combines network modelling and regression approaches to explore the longitudinal dynamics and structural stability of mood and psychosis symptoms.</w:t>
      </w:r>
    </w:p>
    <w:p w14:paraId="01D6F1C9" w14:textId="77777777" w:rsidR="003D5CB6" w:rsidRPr="004D46AC" w:rsidRDefault="003D5CB6" w:rsidP="00B518F1">
      <w:pPr>
        <w:numPr>
          <w:ilvl w:val="0"/>
          <w:numId w:val="2"/>
        </w:numPr>
      </w:pPr>
      <w:r w:rsidRPr="004D46AC">
        <w:t>Chapter 5 (Study 4) reports on the development and psychometric evaluation of a newly constructed questionnaire measuring at-risk symptoms, along with a network analysis of its item-level structure.</w:t>
      </w:r>
    </w:p>
    <w:p w14:paraId="2E066E8F" w14:textId="77777777" w:rsidR="003D5CB6" w:rsidRPr="004D46AC" w:rsidRDefault="003D5CB6" w:rsidP="00B518F1">
      <w:pPr>
        <w:numPr>
          <w:ilvl w:val="0"/>
          <w:numId w:val="2"/>
        </w:numPr>
      </w:pPr>
      <w:r w:rsidRPr="004D46AC">
        <w:t>Chapter 6 offers a general discussion of the findings, addresses their implications, limitations, and provides directions for future research.</w:t>
      </w:r>
    </w:p>
    <w:p w14:paraId="47CC22D1" w14:textId="77777777" w:rsidR="003D5CB6" w:rsidRPr="004D46AC" w:rsidRDefault="003D5CB6" w:rsidP="00B518F1"/>
    <w:p w14:paraId="7D60859D" w14:textId="77777777" w:rsidR="003D5CB6" w:rsidRPr="004D46AC" w:rsidRDefault="003D5CB6" w:rsidP="00B518F1"/>
    <w:p w14:paraId="7AF2C221" w14:textId="77777777" w:rsidR="003D5CB6" w:rsidRPr="004D46AC" w:rsidRDefault="003D5CB6" w:rsidP="00B518F1"/>
    <w:p w14:paraId="4E0E73FC" w14:textId="77777777" w:rsidR="003D5CB6" w:rsidRPr="004D46AC" w:rsidRDefault="003D5CB6" w:rsidP="00B518F1"/>
    <w:p w14:paraId="1B84581A" w14:textId="77777777" w:rsidR="003D5CB6" w:rsidRPr="004D46AC" w:rsidRDefault="003D5CB6" w:rsidP="00B518F1">
      <w:pPr>
        <w:rPr>
          <w:rFonts w:eastAsiaTheme="minorEastAsia"/>
        </w:rPr>
      </w:pPr>
    </w:p>
    <w:p w14:paraId="3F3490D9" w14:textId="77777777" w:rsidR="003D5CB6" w:rsidRPr="004D46AC" w:rsidRDefault="003D5CB6" w:rsidP="00B518F1">
      <w:pPr>
        <w:ind w:firstLine="0"/>
        <w:rPr>
          <w:rFonts w:eastAsiaTheme="minorEastAsia"/>
        </w:rPr>
      </w:pPr>
    </w:p>
    <w:p w14:paraId="5EA59F89" w14:textId="77777777" w:rsidR="003D5CB6" w:rsidRPr="004D46AC" w:rsidRDefault="003D5CB6" w:rsidP="00CC3324">
      <w:pPr>
        <w:pStyle w:val="2"/>
        <w:spacing w:line="360" w:lineRule="auto"/>
      </w:pPr>
      <w:bookmarkStart w:id="89" w:name="_Toc219888759"/>
      <w:r w:rsidRPr="004D46AC">
        <w:lastRenderedPageBreak/>
        <w:t>References</w:t>
      </w:r>
      <w:bookmarkEnd w:id="89"/>
    </w:p>
    <w:p w14:paraId="12E6284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szCs w:val="22"/>
        </w:rPr>
        <w:fldChar w:fldCharType="begin"/>
      </w:r>
      <w:r w:rsidRPr="004D46AC">
        <w:rPr>
          <w:rFonts w:ascii="Arial" w:hAnsi="Arial" w:cs="Arial"/>
          <w:szCs w:val="22"/>
        </w:rPr>
        <w:instrText xml:space="preserve"> ADDIN EN.REFLIST </w:instrText>
      </w:r>
      <w:r w:rsidRPr="004D46AC">
        <w:rPr>
          <w:rFonts w:ascii="Arial" w:hAnsi="Arial" w:cs="Arial"/>
          <w:szCs w:val="22"/>
        </w:rPr>
        <w:fldChar w:fldCharType="separate"/>
      </w:r>
      <w:r w:rsidRPr="004D46AC">
        <w:rPr>
          <w:rFonts w:ascii="Arial" w:hAnsi="Arial" w:cs="Arial"/>
          <w:noProof/>
          <w:szCs w:val="22"/>
        </w:rPr>
        <w:t xml:space="preserve">Aas, M., Alameda, L., Di Forti, M., Quattrone, D., Dazzan, P., Trotta, A., Ferraro, L., Rodriguez, V., Vassos, E., Sham, P., Tripoli, G., Cascia, C. L., Barbera, D. L., Tarricone, I., Muratori, R., Berardi, D., Lasalvia, A., Tosato, S., Szöke, A.,…Morgan, C. (2023). Synergistic effects of childhood adversity and polygenic risk in first-episode psychosis: the EU-GEI study. </w:t>
      </w:r>
      <w:r w:rsidRPr="004D46AC">
        <w:rPr>
          <w:rFonts w:ascii="Arial" w:hAnsi="Arial" w:cs="Arial"/>
          <w:i/>
          <w:noProof/>
          <w:szCs w:val="22"/>
        </w:rPr>
        <w:t>Psychological Medicine</w:t>
      </w:r>
      <w:r w:rsidRPr="004D46AC">
        <w:rPr>
          <w:rFonts w:ascii="Arial" w:hAnsi="Arial" w:cs="Arial"/>
          <w:noProof/>
          <w:szCs w:val="22"/>
        </w:rPr>
        <w:t>,</w:t>
      </w:r>
      <w:r w:rsidRPr="004D46AC">
        <w:rPr>
          <w:rFonts w:ascii="Arial" w:hAnsi="Arial" w:cs="Arial"/>
          <w:i/>
          <w:noProof/>
          <w:szCs w:val="22"/>
        </w:rPr>
        <w:t xml:space="preserve"> 53</w:t>
      </w:r>
      <w:r w:rsidRPr="004D46AC">
        <w:rPr>
          <w:rFonts w:ascii="Arial" w:hAnsi="Arial" w:cs="Arial"/>
          <w:noProof/>
          <w:szCs w:val="22"/>
        </w:rPr>
        <w:t xml:space="preserve">(5), 1970–1978. </w:t>
      </w:r>
      <w:hyperlink r:id="rId12" w:history="1">
        <w:r w:rsidRPr="004D46AC">
          <w:rPr>
            <w:rStyle w:val="af5"/>
            <w:rFonts w:ascii="Arial" w:hAnsi="Arial" w:cs="Arial"/>
            <w:noProof/>
            <w:szCs w:val="22"/>
          </w:rPr>
          <w:t>https://doi.org/10.1017/S0033291721003664</w:t>
        </w:r>
      </w:hyperlink>
      <w:r w:rsidRPr="004D46AC">
        <w:rPr>
          <w:rFonts w:ascii="Arial" w:hAnsi="Arial" w:cs="Arial"/>
          <w:noProof/>
          <w:szCs w:val="22"/>
        </w:rPr>
        <w:t xml:space="preserve"> </w:t>
      </w:r>
    </w:p>
    <w:p w14:paraId="22A4200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Aas, M., Dazzan, P., Fisher, H. L., Morgan, C., Morgan, K., Reichenberg, A., Zanelli, J., Fearon, P., Jones, P. B., Murray, R. M., &amp; Pariante, C. M. (2011). Childhood trauma and cognitive function in first-episode affective and non-affective psychosis.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129</w:t>
      </w:r>
      <w:r w:rsidRPr="004D46AC">
        <w:rPr>
          <w:rFonts w:ascii="Arial" w:hAnsi="Arial" w:cs="Arial"/>
          <w:noProof/>
          <w:szCs w:val="22"/>
        </w:rPr>
        <w:t xml:space="preserve">(1), 12–19. </w:t>
      </w:r>
      <w:hyperlink r:id="rId13" w:history="1">
        <w:r w:rsidRPr="004D46AC">
          <w:rPr>
            <w:rStyle w:val="af5"/>
            <w:rFonts w:ascii="Arial" w:hAnsi="Arial" w:cs="Arial"/>
            <w:noProof/>
            <w:szCs w:val="22"/>
          </w:rPr>
          <w:t>https://doi.org/10.1016/j.schres.2011.03.017</w:t>
        </w:r>
      </w:hyperlink>
      <w:r w:rsidRPr="004D46AC">
        <w:rPr>
          <w:rFonts w:ascii="Arial" w:hAnsi="Arial" w:cs="Arial"/>
          <w:noProof/>
          <w:szCs w:val="22"/>
        </w:rPr>
        <w:t xml:space="preserve"> </w:t>
      </w:r>
    </w:p>
    <w:p w14:paraId="0D6CBC0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Abbaspour, A., Bahreini, M., Akaberian, S., &amp; Mirzaei, K. (2021). Parental bonding styles in schizophrenia, depressive and bipolar patients: a comparative study. </w:t>
      </w:r>
      <w:r w:rsidRPr="004D46AC">
        <w:rPr>
          <w:rFonts w:ascii="Arial" w:hAnsi="Arial" w:cs="Arial"/>
          <w:i/>
          <w:noProof/>
          <w:szCs w:val="22"/>
        </w:rPr>
        <w:t>BMC Psychiatry</w:t>
      </w:r>
      <w:r w:rsidRPr="004D46AC">
        <w:rPr>
          <w:rFonts w:ascii="Arial" w:hAnsi="Arial" w:cs="Arial"/>
          <w:noProof/>
          <w:szCs w:val="22"/>
        </w:rPr>
        <w:t>,</w:t>
      </w:r>
      <w:r w:rsidRPr="004D46AC">
        <w:rPr>
          <w:rFonts w:ascii="Arial" w:hAnsi="Arial" w:cs="Arial"/>
          <w:i/>
          <w:noProof/>
          <w:szCs w:val="22"/>
        </w:rPr>
        <w:t xml:space="preserve"> 21</w:t>
      </w:r>
      <w:r w:rsidRPr="004D46AC">
        <w:rPr>
          <w:rFonts w:ascii="Arial" w:hAnsi="Arial" w:cs="Arial"/>
          <w:noProof/>
          <w:szCs w:val="22"/>
        </w:rPr>
        <w:t xml:space="preserve">(1), 169. </w:t>
      </w:r>
      <w:hyperlink r:id="rId14" w:history="1">
        <w:r w:rsidRPr="004D46AC">
          <w:rPr>
            <w:rStyle w:val="af5"/>
            <w:rFonts w:ascii="Arial" w:hAnsi="Arial" w:cs="Arial"/>
            <w:noProof/>
            <w:szCs w:val="22"/>
          </w:rPr>
          <w:t>https://doi.org/10.1186/s12888-021-03177-3</w:t>
        </w:r>
      </w:hyperlink>
      <w:r w:rsidRPr="004D46AC">
        <w:rPr>
          <w:rFonts w:ascii="Arial" w:hAnsi="Arial" w:cs="Arial"/>
          <w:noProof/>
          <w:szCs w:val="22"/>
        </w:rPr>
        <w:t xml:space="preserve"> </w:t>
      </w:r>
    </w:p>
    <w:p w14:paraId="1F752C9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Addington, J., Liu, L., Goldstein, B. I., Wang, J., Kennedy, S. H., Bray, S., Lebel, C., Stowkowy, J., &amp; MacQueen, G. (2019). Clinical staging for youth at-risk for serious mental illness. </w:t>
      </w:r>
      <w:r w:rsidRPr="004D46AC">
        <w:rPr>
          <w:rFonts w:ascii="Arial" w:hAnsi="Arial" w:cs="Arial"/>
          <w:i/>
          <w:noProof/>
          <w:szCs w:val="22"/>
        </w:rPr>
        <w:t>Early Interv Psychiatry</w:t>
      </w:r>
      <w:r w:rsidRPr="004D46AC">
        <w:rPr>
          <w:rFonts w:ascii="Arial" w:hAnsi="Arial" w:cs="Arial"/>
          <w:noProof/>
          <w:szCs w:val="22"/>
        </w:rPr>
        <w:t>,</w:t>
      </w:r>
      <w:r w:rsidRPr="004D46AC">
        <w:rPr>
          <w:rFonts w:ascii="Arial" w:hAnsi="Arial" w:cs="Arial"/>
          <w:i/>
          <w:noProof/>
          <w:szCs w:val="22"/>
        </w:rPr>
        <w:t xml:space="preserve"> 13</w:t>
      </w:r>
      <w:r w:rsidRPr="004D46AC">
        <w:rPr>
          <w:rFonts w:ascii="Arial" w:hAnsi="Arial" w:cs="Arial"/>
          <w:noProof/>
          <w:szCs w:val="22"/>
        </w:rPr>
        <w:t xml:space="preserve">(6), 1416–1423. </w:t>
      </w:r>
      <w:hyperlink r:id="rId15" w:history="1">
        <w:r w:rsidRPr="004D46AC">
          <w:rPr>
            <w:rStyle w:val="af5"/>
            <w:rFonts w:ascii="Arial" w:hAnsi="Arial" w:cs="Arial"/>
            <w:noProof/>
            <w:szCs w:val="22"/>
          </w:rPr>
          <w:t>https://doi.org/10.1111/eip.12786</w:t>
        </w:r>
      </w:hyperlink>
      <w:r w:rsidRPr="004D46AC">
        <w:rPr>
          <w:rFonts w:ascii="Arial" w:hAnsi="Arial" w:cs="Arial"/>
          <w:noProof/>
          <w:szCs w:val="22"/>
        </w:rPr>
        <w:t xml:space="preserve"> </w:t>
      </w:r>
    </w:p>
    <w:p w14:paraId="6D3C2F2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Ainsworth, M. D. S., Blehar, M. C., Waters, E., &amp; Wall, S. (1978). </w:t>
      </w:r>
      <w:r w:rsidRPr="004D46AC">
        <w:rPr>
          <w:rFonts w:ascii="Arial" w:hAnsi="Arial" w:cs="Arial"/>
          <w:i/>
          <w:noProof/>
          <w:szCs w:val="22"/>
        </w:rPr>
        <w:t>Patterns of attachment: A psychological study of the strange situation</w:t>
      </w:r>
      <w:r w:rsidRPr="004D46AC">
        <w:rPr>
          <w:rFonts w:ascii="Arial" w:hAnsi="Arial" w:cs="Arial"/>
          <w:noProof/>
          <w:szCs w:val="22"/>
        </w:rPr>
        <w:t xml:space="preserve">. Lawrence Erlbaum. </w:t>
      </w:r>
    </w:p>
    <w:p w14:paraId="38E937D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Alameda, L., Christy, A., Rodriguez, V., Salazar de Pablo, G., Thrush, M., Shen, Y., Alameda, B., Spinazzola, E., Iacoponi, E., Trotta, G., Carr, E., Ruiz Veguilla, M., Aas, M., Morgan, C., &amp; Murray, R. M. (2021). Association Between Specific Childhood Adversities and Symptom Dimensions in People With Psychosis: Systematic Review and Meta-Analysis.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47</w:t>
      </w:r>
      <w:r w:rsidRPr="004D46AC">
        <w:rPr>
          <w:rFonts w:ascii="Arial" w:hAnsi="Arial" w:cs="Arial"/>
          <w:noProof/>
          <w:szCs w:val="22"/>
        </w:rPr>
        <w:t xml:space="preserve">(4), 975–985. </w:t>
      </w:r>
      <w:hyperlink r:id="rId16" w:history="1">
        <w:r w:rsidRPr="004D46AC">
          <w:rPr>
            <w:rStyle w:val="af5"/>
            <w:rFonts w:ascii="Arial" w:hAnsi="Arial" w:cs="Arial"/>
            <w:noProof/>
            <w:szCs w:val="22"/>
          </w:rPr>
          <w:t>https://doi.org/10.1093/schbul/sbaa199</w:t>
        </w:r>
      </w:hyperlink>
      <w:r w:rsidRPr="004D46AC">
        <w:rPr>
          <w:rFonts w:ascii="Arial" w:hAnsi="Arial" w:cs="Arial"/>
          <w:noProof/>
          <w:szCs w:val="22"/>
        </w:rPr>
        <w:t xml:space="preserve"> </w:t>
      </w:r>
    </w:p>
    <w:p w14:paraId="6610231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Alameda, L., Rodriguez, V., Di Forti, M., Spinazzola, E., Trotta, G., Arango, C., Arrojo, M., Bernardo, M., Bobes, J., de Haan, L., Del-Ben, C. M., Gayer-Anderson, C., Sideli, L., Jones, P. B., Kirkbride, J. B., La Cascia, C., Tripoli, G., Ferraro, L., La Barbera, D.,…Aas, M. (2024). The effect of polygenic risk score and childhood adversity on transdiagnostic symptom dimensions at first-episode psychosis: evidence for an affective pathway to psychosis. </w:t>
      </w:r>
      <w:r w:rsidRPr="004D46AC">
        <w:rPr>
          <w:rFonts w:ascii="Arial" w:hAnsi="Arial" w:cs="Arial"/>
          <w:i/>
          <w:noProof/>
          <w:szCs w:val="22"/>
        </w:rPr>
        <w:t>Translational Psychiatry</w:t>
      </w:r>
      <w:r w:rsidRPr="004D46AC">
        <w:rPr>
          <w:rFonts w:ascii="Arial" w:hAnsi="Arial" w:cs="Arial"/>
          <w:noProof/>
          <w:szCs w:val="22"/>
        </w:rPr>
        <w:t>,</w:t>
      </w:r>
      <w:r w:rsidRPr="004D46AC">
        <w:rPr>
          <w:rFonts w:ascii="Arial" w:hAnsi="Arial" w:cs="Arial"/>
          <w:i/>
          <w:noProof/>
          <w:szCs w:val="22"/>
        </w:rPr>
        <w:t xml:space="preserve"> 14</w:t>
      </w:r>
      <w:r w:rsidRPr="004D46AC">
        <w:rPr>
          <w:rFonts w:ascii="Arial" w:hAnsi="Arial" w:cs="Arial"/>
          <w:noProof/>
          <w:szCs w:val="22"/>
        </w:rPr>
        <w:t xml:space="preserve">(1), 454. </w:t>
      </w:r>
      <w:hyperlink r:id="rId17" w:history="1">
        <w:r w:rsidRPr="004D46AC">
          <w:rPr>
            <w:rStyle w:val="af5"/>
            <w:rFonts w:ascii="Arial" w:hAnsi="Arial" w:cs="Arial"/>
            <w:noProof/>
            <w:szCs w:val="22"/>
          </w:rPr>
          <w:t>https://doi.org/10.1038/s41398-024-03149-7</w:t>
        </w:r>
      </w:hyperlink>
      <w:r w:rsidRPr="004D46AC">
        <w:rPr>
          <w:rFonts w:ascii="Arial" w:hAnsi="Arial" w:cs="Arial"/>
          <w:noProof/>
          <w:szCs w:val="22"/>
        </w:rPr>
        <w:t xml:space="preserve"> </w:t>
      </w:r>
    </w:p>
    <w:p w14:paraId="14204B4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Allport, G. W. (1937). Personality: A psychological interpretation. </w:t>
      </w:r>
    </w:p>
    <w:p w14:paraId="35F5D08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Ambarini, t. k., Surjaningrum, E., &amp; Chusairi, A. (2021). BASIC SYMPTOM AND THE PREDICTION OF CLINICAL HIGH RISK ON PSYCHOSIS. </w:t>
      </w:r>
      <w:r w:rsidRPr="004D46AC">
        <w:rPr>
          <w:rFonts w:ascii="Arial" w:hAnsi="Arial" w:cs="Arial"/>
          <w:i/>
          <w:noProof/>
          <w:szCs w:val="22"/>
        </w:rPr>
        <w:t xml:space="preserve">JOURNAL OF </w:t>
      </w:r>
      <w:r w:rsidRPr="004D46AC">
        <w:rPr>
          <w:rFonts w:ascii="Arial" w:hAnsi="Arial" w:cs="Arial"/>
          <w:i/>
          <w:noProof/>
          <w:szCs w:val="22"/>
        </w:rPr>
        <w:lastRenderedPageBreak/>
        <w:t>HEALTHCARE IN DEVELOPING COUNTRIES</w:t>
      </w:r>
      <w:r w:rsidRPr="004D46AC">
        <w:rPr>
          <w:rFonts w:ascii="Arial" w:hAnsi="Arial" w:cs="Arial"/>
          <w:noProof/>
          <w:szCs w:val="22"/>
        </w:rPr>
        <w:t>,</w:t>
      </w:r>
      <w:r w:rsidRPr="004D46AC">
        <w:rPr>
          <w:rFonts w:ascii="Arial" w:hAnsi="Arial" w:cs="Arial"/>
          <w:i/>
          <w:noProof/>
          <w:szCs w:val="22"/>
        </w:rPr>
        <w:t xml:space="preserve"> 1</w:t>
      </w:r>
      <w:r w:rsidRPr="004D46AC">
        <w:rPr>
          <w:rFonts w:ascii="Arial" w:hAnsi="Arial" w:cs="Arial"/>
          <w:noProof/>
          <w:szCs w:val="22"/>
        </w:rPr>
        <w:t xml:space="preserve">, 19–23. </w:t>
      </w:r>
      <w:hyperlink r:id="rId18" w:history="1">
        <w:r w:rsidRPr="004D46AC">
          <w:rPr>
            <w:rStyle w:val="af5"/>
            <w:rFonts w:ascii="Arial" w:hAnsi="Arial" w:cs="Arial"/>
            <w:noProof/>
            <w:szCs w:val="22"/>
          </w:rPr>
          <w:t>https://doi.org/10.26480/jhcdc.02.2021.19.23</w:t>
        </w:r>
      </w:hyperlink>
      <w:r w:rsidRPr="004D46AC">
        <w:rPr>
          <w:rFonts w:ascii="Arial" w:hAnsi="Arial" w:cs="Arial"/>
          <w:noProof/>
          <w:szCs w:val="22"/>
        </w:rPr>
        <w:t xml:space="preserve"> </w:t>
      </w:r>
    </w:p>
    <w:p w14:paraId="324D485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American Psychiatric Association, &amp; National Committee for Mental Hygiene, B. o. S. (1918). </w:t>
      </w:r>
      <w:r w:rsidRPr="004D46AC">
        <w:rPr>
          <w:rFonts w:ascii="Arial" w:hAnsi="Arial" w:cs="Arial"/>
          <w:i/>
          <w:noProof/>
          <w:szCs w:val="22"/>
        </w:rPr>
        <w:t>Statistical manual for the use of institutions for the insane</w:t>
      </w:r>
      <w:r w:rsidRPr="004D46AC">
        <w:rPr>
          <w:rFonts w:ascii="Arial" w:hAnsi="Arial" w:cs="Arial"/>
          <w:noProof/>
          <w:szCs w:val="22"/>
        </w:rPr>
        <w:t xml:space="preserve">. National Committee for Mental Hygiene. </w:t>
      </w:r>
    </w:p>
    <w:p w14:paraId="59DD437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American Psychiatric Association, i. b. (2022). </w:t>
      </w:r>
      <w:r w:rsidRPr="004D46AC">
        <w:rPr>
          <w:rFonts w:ascii="Arial" w:hAnsi="Arial" w:cs="Arial"/>
          <w:i/>
          <w:noProof/>
          <w:szCs w:val="22"/>
        </w:rPr>
        <w:t>Diagnostic and statistical manual of mental disorders : DSM-5-TR</w:t>
      </w:r>
      <w:r w:rsidRPr="004D46AC">
        <w:rPr>
          <w:rFonts w:ascii="Arial" w:hAnsi="Arial" w:cs="Arial"/>
          <w:noProof/>
          <w:szCs w:val="22"/>
        </w:rPr>
        <w:t xml:space="preserve"> (5th edition, text revision. ed.). Washington, DC : American Psychiatric Association Publishing, 2022. </w:t>
      </w:r>
    </w:p>
    <w:p w14:paraId="1873055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Aminoff, S. R., Onyeka, I. N., Odegaard, M., Simonsen, C., Lagerberg, T. V., Andreassen, O. A., Romm, K. L., &amp; Melle, I. (2022). Lifetime and point prevalence of psychotic symptoms in adults with bipolar disorders: a systematic review and meta-analysis.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52</w:t>
      </w:r>
      <w:r w:rsidRPr="004D46AC">
        <w:rPr>
          <w:rFonts w:ascii="Arial" w:hAnsi="Arial" w:cs="Arial"/>
          <w:noProof/>
          <w:szCs w:val="22"/>
        </w:rPr>
        <w:t xml:space="preserve">(13), 2413–2425. </w:t>
      </w:r>
      <w:hyperlink r:id="rId19" w:history="1">
        <w:r w:rsidRPr="004D46AC">
          <w:rPr>
            <w:rStyle w:val="af5"/>
            <w:rFonts w:ascii="Arial" w:hAnsi="Arial" w:cs="Arial"/>
            <w:noProof/>
            <w:szCs w:val="22"/>
          </w:rPr>
          <w:t>https://doi.org/10.1017/S003329172200201X</w:t>
        </w:r>
      </w:hyperlink>
      <w:r w:rsidRPr="004D46AC">
        <w:rPr>
          <w:rFonts w:ascii="Arial" w:hAnsi="Arial" w:cs="Arial"/>
          <w:noProof/>
          <w:szCs w:val="22"/>
        </w:rPr>
        <w:t xml:space="preserve"> </w:t>
      </w:r>
    </w:p>
    <w:p w14:paraId="0FA1199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Andersen, A. M., &amp; and Bienvenu, O. J. (2011). Personality and psychopathology. </w:t>
      </w:r>
      <w:r w:rsidRPr="004D46AC">
        <w:rPr>
          <w:rFonts w:ascii="Arial" w:hAnsi="Arial" w:cs="Arial"/>
          <w:i/>
          <w:noProof/>
          <w:szCs w:val="22"/>
        </w:rPr>
        <w:t>International review of psychiatry</w:t>
      </w:r>
      <w:r w:rsidRPr="004D46AC">
        <w:rPr>
          <w:rFonts w:ascii="Arial" w:hAnsi="Arial" w:cs="Arial"/>
          <w:noProof/>
          <w:szCs w:val="22"/>
        </w:rPr>
        <w:t>,</w:t>
      </w:r>
      <w:r w:rsidRPr="004D46AC">
        <w:rPr>
          <w:rFonts w:ascii="Arial" w:hAnsi="Arial" w:cs="Arial"/>
          <w:i/>
          <w:noProof/>
          <w:szCs w:val="22"/>
        </w:rPr>
        <w:t xml:space="preserve"> 23</w:t>
      </w:r>
      <w:r w:rsidRPr="004D46AC">
        <w:rPr>
          <w:rFonts w:ascii="Arial" w:hAnsi="Arial" w:cs="Arial"/>
          <w:noProof/>
          <w:szCs w:val="22"/>
        </w:rPr>
        <w:t xml:space="preserve">(3), 234–247. </w:t>
      </w:r>
      <w:hyperlink r:id="rId20" w:history="1">
        <w:r w:rsidRPr="004D46AC">
          <w:rPr>
            <w:rStyle w:val="af5"/>
            <w:rFonts w:ascii="Arial" w:hAnsi="Arial" w:cs="Arial"/>
            <w:noProof/>
            <w:szCs w:val="22"/>
          </w:rPr>
          <w:t>https://doi.org/10.3109/09540261.2011.588692</w:t>
        </w:r>
      </w:hyperlink>
      <w:r w:rsidRPr="004D46AC">
        <w:rPr>
          <w:rFonts w:ascii="Arial" w:hAnsi="Arial" w:cs="Arial"/>
          <w:noProof/>
          <w:szCs w:val="22"/>
        </w:rPr>
        <w:t xml:space="preserve"> </w:t>
      </w:r>
    </w:p>
    <w:p w14:paraId="325FDC7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Anderson, A. E., Mansolf, M., Reise, S. P., Savitz, A., Salvadore, G., Li, Q., &amp; Bilder, R. M. (2017). Measuring pathology using the PANSS across diagnoses: Inconsistency of the positive symptom domain across schizophrenia, schizoaffective, and bipolar disorder. </w:t>
      </w:r>
      <w:r w:rsidRPr="004D46AC">
        <w:rPr>
          <w:rFonts w:ascii="Arial" w:hAnsi="Arial" w:cs="Arial"/>
          <w:i/>
          <w:noProof/>
          <w:szCs w:val="22"/>
        </w:rPr>
        <w:t>Psychiatry Res</w:t>
      </w:r>
      <w:r w:rsidRPr="004D46AC">
        <w:rPr>
          <w:rFonts w:ascii="Arial" w:hAnsi="Arial" w:cs="Arial"/>
          <w:noProof/>
          <w:szCs w:val="22"/>
        </w:rPr>
        <w:t>,</w:t>
      </w:r>
      <w:r w:rsidRPr="004D46AC">
        <w:rPr>
          <w:rFonts w:ascii="Arial" w:hAnsi="Arial" w:cs="Arial"/>
          <w:i/>
          <w:noProof/>
          <w:szCs w:val="22"/>
        </w:rPr>
        <w:t xml:space="preserve"> 258</w:t>
      </w:r>
      <w:r w:rsidRPr="004D46AC">
        <w:rPr>
          <w:rFonts w:ascii="Arial" w:hAnsi="Arial" w:cs="Arial"/>
          <w:noProof/>
          <w:szCs w:val="22"/>
        </w:rPr>
        <w:t xml:space="preserve">, 207–216. </w:t>
      </w:r>
      <w:hyperlink r:id="rId21" w:history="1">
        <w:r w:rsidRPr="004D46AC">
          <w:rPr>
            <w:rStyle w:val="af5"/>
            <w:rFonts w:ascii="Arial" w:hAnsi="Arial" w:cs="Arial"/>
            <w:noProof/>
            <w:szCs w:val="22"/>
          </w:rPr>
          <w:t>https://doi.org/10.1016/j.psychres.2017.08.009</w:t>
        </w:r>
      </w:hyperlink>
      <w:r w:rsidRPr="004D46AC">
        <w:rPr>
          <w:rFonts w:ascii="Arial" w:hAnsi="Arial" w:cs="Arial"/>
          <w:noProof/>
          <w:szCs w:val="22"/>
        </w:rPr>
        <w:t xml:space="preserve"> </w:t>
      </w:r>
    </w:p>
    <w:p w14:paraId="229ACCC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Aragona, M. (2024). Unitary psychosis (Einheitspsychose): A conceptual history. </w:t>
      </w:r>
      <w:r w:rsidRPr="004D46AC">
        <w:rPr>
          <w:rFonts w:ascii="Arial" w:hAnsi="Arial" w:cs="Arial"/>
          <w:i/>
          <w:noProof/>
          <w:szCs w:val="22"/>
        </w:rPr>
        <w:t>Journal of affective disorders</w:t>
      </w:r>
      <w:r w:rsidRPr="004D46AC">
        <w:rPr>
          <w:rFonts w:ascii="Arial" w:hAnsi="Arial" w:cs="Arial"/>
          <w:noProof/>
          <w:szCs w:val="22"/>
        </w:rPr>
        <w:t>,</w:t>
      </w:r>
      <w:r w:rsidRPr="004D46AC">
        <w:rPr>
          <w:rFonts w:ascii="Arial" w:hAnsi="Arial" w:cs="Arial"/>
          <w:i/>
          <w:noProof/>
          <w:szCs w:val="22"/>
        </w:rPr>
        <w:t xml:space="preserve"> 359</w:t>
      </w:r>
      <w:r w:rsidRPr="004D46AC">
        <w:rPr>
          <w:rFonts w:ascii="Arial" w:hAnsi="Arial" w:cs="Arial"/>
          <w:noProof/>
          <w:szCs w:val="22"/>
        </w:rPr>
        <w:t xml:space="preserve">, 86–91. </w:t>
      </w:r>
    </w:p>
    <w:p w14:paraId="27AEC39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Arribas, M., Oliver, D., Patel, R., Kornblum, D., Shetty, H., Damiani, S., Krakowski, K., Provenzani, U., Stahl, D., Koutsouleris, N., McGuire, P., &amp; Fusar-Poli, P. (2024). A transdiagnostic prodrome for severe mental disorders: an electronic health record study. </w:t>
      </w:r>
      <w:r w:rsidRPr="004D46AC">
        <w:rPr>
          <w:rFonts w:ascii="Arial" w:hAnsi="Arial" w:cs="Arial"/>
          <w:i/>
          <w:noProof/>
          <w:szCs w:val="22"/>
        </w:rPr>
        <w:t>Molecular Psychiatry</w:t>
      </w:r>
      <w:r w:rsidRPr="004D46AC">
        <w:rPr>
          <w:rFonts w:ascii="Arial" w:hAnsi="Arial" w:cs="Arial"/>
          <w:noProof/>
          <w:szCs w:val="22"/>
        </w:rPr>
        <w:t>,</w:t>
      </w:r>
      <w:r w:rsidRPr="004D46AC">
        <w:rPr>
          <w:rFonts w:ascii="Arial" w:hAnsi="Arial" w:cs="Arial"/>
          <w:i/>
          <w:noProof/>
          <w:szCs w:val="22"/>
        </w:rPr>
        <w:t xml:space="preserve"> 29</w:t>
      </w:r>
      <w:r w:rsidRPr="004D46AC">
        <w:rPr>
          <w:rFonts w:ascii="Arial" w:hAnsi="Arial" w:cs="Arial"/>
          <w:noProof/>
          <w:szCs w:val="22"/>
        </w:rPr>
        <w:t xml:space="preserve">(11), 3305–3315. </w:t>
      </w:r>
      <w:hyperlink r:id="rId22" w:history="1">
        <w:r w:rsidRPr="004D46AC">
          <w:rPr>
            <w:rStyle w:val="af5"/>
            <w:rFonts w:ascii="Arial" w:hAnsi="Arial" w:cs="Arial"/>
            <w:noProof/>
            <w:szCs w:val="22"/>
          </w:rPr>
          <w:t>https://doi.org/10.1038/s41380-024-02533-5</w:t>
        </w:r>
      </w:hyperlink>
      <w:r w:rsidRPr="004D46AC">
        <w:rPr>
          <w:rFonts w:ascii="Arial" w:hAnsi="Arial" w:cs="Arial"/>
          <w:noProof/>
          <w:szCs w:val="22"/>
        </w:rPr>
        <w:t xml:space="preserve"> </w:t>
      </w:r>
    </w:p>
    <w:p w14:paraId="769139E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Ayano, G., Demelash, S., Yohannes, Z., Haile, K., Tulu, M., Assefa, D., Tesfaye, A., Haile, K., Solomon, M., Chaka, A., &amp; Tsegay, L. (2021). Misdiagnosis, detection rate, and associated factors of severe psychiatric disorders in specialized psychiatry centers in Ethiopia. </w:t>
      </w:r>
      <w:r w:rsidRPr="004D46AC">
        <w:rPr>
          <w:rFonts w:ascii="Arial" w:hAnsi="Arial" w:cs="Arial"/>
          <w:i/>
          <w:noProof/>
          <w:szCs w:val="22"/>
        </w:rPr>
        <w:t>Ann Gen Psychiatry</w:t>
      </w:r>
      <w:r w:rsidRPr="004D46AC">
        <w:rPr>
          <w:rFonts w:ascii="Arial" w:hAnsi="Arial" w:cs="Arial"/>
          <w:noProof/>
          <w:szCs w:val="22"/>
        </w:rPr>
        <w:t>,</w:t>
      </w:r>
      <w:r w:rsidRPr="004D46AC">
        <w:rPr>
          <w:rFonts w:ascii="Arial" w:hAnsi="Arial" w:cs="Arial"/>
          <w:i/>
          <w:noProof/>
          <w:szCs w:val="22"/>
        </w:rPr>
        <w:t xml:space="preserve"> 20</w:t>
      </w:r>
      <w:r w:rsidRPr="004D46AC">
        <w:rPr>
          <w:rFonts w:ascii="Arial" w:hAnsi="Arial" w:cs="Arial"/>
          <w:noProof/>
          <w:szCs w:val="22"/>
        </w:rPr>
        <w:t xml:space="preserve">(1), 10. </w:t>
      </w:r>
      <w:hyperlink r:id="rId23" w:history="1">
        <w:r w:rsidRPr="004D46AC">
          <w:rPr>
            <w:rStyle w:val="af5"/>
            <w:rFonts w:ascii="Arial" w:hAnsi="Arial" w:cs="Arial"/>
            <w:noProof/>
            <w:szCs w:val="22"/>
          </w:rPr>
          <w:t>https://doi.org/10.1186/s12991-021-00333-7</w:t>
        </w:r>
      </w:hyperlink>
      <w:r w:rsidRPr="004D46AC">
        <w:rPr>
          <w:rFonts w:ascii="Arial" w:hAnsi="Arial" w:cs="Arial"/>
          <w:noProof/>
          <w:szCs w:val="22"/>
        </w:rPr>
        <w:t xml:space="preserve"> </w:t>
      </w:r>
    </w:p>
    <w:p w14:paraId="3C678E3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Azzam, H., Hamed, M., Elhawary, Y., &amp; Mohammed, A. (2020). Delusions in a Sample of Patients with Schizophrenia and Bipolar Disorder: The same or different? </w:t>
      </w:r>
      <w:r w:rsidRPr="004D46AC">
        <w:rPr>
          <w:rFonts w:ascii="Arial" w:hAnsi="Arial" w:cs="Arial"/>
          <w:i/>
          <w:noProof/>
          <w:szCs w:val="22"/>
        </w:rPr>
        <w:t>QJM: An International Journal of Medicine</w:t>
      </w:r>
      <w:r w:rsidRPr="004D46AC">
        <w:rPr>
          <w:rFonts w:ascii="Arial" w:hAnsi="Arial" w:cs="Arial"/>
          <w:noProof/>
          <w:szCs w:val="22"/>
        </w:rPr>
        <w:t>,</w:t>
      </w:r>
      <w:r w:rsidRPr="004D46AC">
        <w:rPr>
          <w:rFonts w:ascii="Arial" w:hAnsi="Arial" w:cs="Arial"/>
          <w:i/>
          <w:noProof/>
          <w:szCs w:val="22"/>
        </w:rPr>
        <w:t xml:space="preserve"> 113</w:t>
      </w:r>
      <w:r w:rsidRPr="004D46AC">
        <w:rPr>
          <w:rFonts w:ascii="Arial" w:hAnsi="Arial" w:cs="Arial"/>
          <w:noProof/>
          <w:szCs w:val="22"/>
        </w:rPr>
        <w:t xml:space="preserve">. </w:t>
      </w:r>
    </w:p>
    <w:p w14:paraId="6BC897E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Badcock, J. C., Mahfouda, S., &amp; Maybery, M. T. (2015). Hallucinations and inhibitory functioning in healthy young adults with high and low levels of hypomanic personality traits. </w:t>
      </w:r>
      <w:r w:rsidRPr="004D46AC">
        <w:rPr>
          <w:rFonts w:ascii="Arial" w:hAnsi="Arial" w:cs="Arial"/>
          <w:i/>
          <w:noProof/>
          <w:szCs w:val="22"/>
        </w:rPr>
        <w:t>Cognitive Neuropsychiatry</w:t>
      </w:r>
      <w:r w:rsidRPr="004D46AC">
        <w:rPr>
          <w:rFonts w:ascii="Arial" w:hAnsi="Arial" w:cs="Arial"/>
          <w:noProof/>
          <w:szCs w:val="22"/>
        </w:rPr>
        <w:t>,</w:t>
      </w:r>
      <w:r w:rsidRPr="004D46AC">
        <w:rPr>
          <w:rFonts w:ascii="Arial" w:hAnsi="Arial" w:cs="Arial"/>
          <w:i/>
          <w:noProof/>
          <w:szCs w:val="22"/>
        </w:rPr>
        <w:t xml:space="preserve"> 20</w:t>
      </w:r>
      <w:r w:rsidRPr="004D46AC">
        <w:rPr>
          <w:rFonts w:ascii="Arial" w:hAnsi="Arial" w:cs="Arial"/>
          <w:noProof/>
          <w:szCs w:val="22"/>
        </w:rPr>
        <w:t xml:space="preserve">(3), 254–269. </w:t>
      </w:r>
    </w:p>
    <w:p w14:paraId="09780EF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Baethge, C., Baldessarini, R. J., Freudenthal, K., Streeruwitz, A., Bauer, M., &amp; Bschor, T. (2005). Hallucinations in bipolar disorder: characteristics and comparison to unipolar depression and schizophrenia. </w:t>
      </w:r>
      <w:r w:rsidRPr="004D46AC">
        <w:rPr>
          <w:rFonts w:ascii="Arial" w:hAnsi="Arial" w:cs="Arial"/>
          <w:i/>
          <w:noProof/>
          <w:szCs w:val="22"/>
        </w:rPr>
        <w:t>Bipolar Disord</w:t>
      </w:r>
      <w:r w:rsidRPr="004D46AC">
        <w:rPr>
          <w:rFonts w:ascii="Arial" w:hAnsi="Arial" w:cs="Arial"/>
          <w:noProof/>
          <w:szCs w:val="22"/>
        </w:rPr>
        <w:t>,</w:t>
      </w:r>
      <w:r w:rsidRPr="004D46AC">
        <w:rPr>
          <w:rFonts w:ascii="Arial" w:hAnsi="Arial" w:cs="Arial"/>
          <w:i/>
          <w:noProof/>
          <w:szCs w:val="22"/>
        </w:rPr>
        <w:t xml:space="preserve"> 7</w:t>
      </w:r>
      <w:r w:rsidRPr="004D46AC">
        <w:rPr>
          <w:rFonts w:ascii="Arial" w:hAnsi="Arial" w:cs="Arial"/>
          <w:noProof/>
          <w:szCs w:val="22"/>
        </w:rPr>
        <w:t xml:space="preserve">(2), 136–145. </w:t>
      </w:r>
      <w:hyperlink r:id="rId24" w:history="1">
        <w:r w:rsidRPr="004D46AC">
          <w:rPr>
            <w:rStyle w:val="af5"/>
            <w:rFonts w:ascii="Arial" w:hAnsi="Arial" w:cs="Arial"/>
            <w:noProof/>
            <w:szCs w:val="22"/>
          </w:rPr>
          <w:t>https://doi.org/10.1111/j.1399-5618.2004.00175.x</w:t>
        </w:r>
      </w:hyperlink>
      <w:r w:rsidRPr="004D46AC">
        <w:rPr>
          <w:rFonts w:ascii="Arial" w:hAnsi="Arial" w:cs="Arial"/>
          <w:noProof/>
          <w:szCs w:val="22"/>
        </w:rPr>
        <w:t xml:space="preserve"> </w:t>
      </w:r>
    </w:p>
    <w:p w14:paraId="5DE2435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Baeza, I., de la Serna, E., Mezquida, G., Cuesta, M. J., Vieta, E., Amoretti, S., Lobo, A., González-Pinto, A., Díaz-Caneja, C. M., Corripio, I., Valli, I., Puig, O., Mané, A., Bioque, M., Ayora, M., Bernardo, M., Castro-Fornieles, J., García-Rizo, C., González-Díaz, J.,…the, P. g. (2024). Prodromal symptoms and the duration of untreated psychosis in first episode of psychosis patients: what differences are there between early vs. adult onset and between schizophrenia vs. bipolar disorder? </w:t>
      </w:r>
      <w:r w:rsidRPr="004D46AC">
        <w:rPr>
          <w:rFonts w:ascii="Arial" w:hAnsi="Arial" w:cs="Arial"/>
          <w:i/>
          <w:noProof/>
          <w:szCs w:val="22"/>
        </w:rPr>
        <w:t>European Child &amp; Adolescent Psychiatry</w:t>
      </w:r>
      <w:r w:rsidRPr="004D46AC">
        <w:rPr>
          <w:rFonts w:ascii="Arial" w:hAnsi="Arial" w:cs="Arial"/>
          <w:noProof/>
          <w:szCs w:val="22"/>
        </w:rPr>
        <w:t>,</w:t>
      </w:r>
      <w:r w:rsidRPr="004D46AC">
        <w:rPr>
          <w:rFonts w:ascii="Arial" w:hAnsi="Arial" w:cs="Arial"/>
          <w:i/>
          <w:noProof/>
          <w:szCs w:val="22"/>
        </w:rPr>
        <w:t xml:space="preserve"> 33</w:t>
      </w:r>
      <w:r w:rsidRPr="004D46AC">
        <w:rPr>
          <w:rFonts w:ascii="Arial" w:hAnsi="Arial" w:cs="Arial"/>
          <w:noProof/>
          <w:szCs w:val="22"/>
        </w:rPr>
        <w:t xml:space="preserve">(3), 799–810. </w:t>
      </w:r>
      <w:hyperlink r:id="rId25" w:history="1">
        <w:r w:rsidRPr="004D46AC">
          <w:rPr>
            <w:rStyle w:val="af5"/>
            <w:rFonts w:ascii="Arial" w:hAnsi="Arial" w:cs="Arial"/>
            <w:noProof/>
            <w:szCs w:val="22"/>
          </w:rPr>
          <w:t>https://doi.org/10.1007/s00787-023-02196-7</w:t>
        </w:r>
      </w:hyperlink>
      <w:r w:rsidRPr="004D46AC">
        <w:rPr>
          <w:rFonts w:ascii="Arial" w:hAnsi="Arial" w:cs="Arial"/>
          <w:noProof/>
          <w:szCs w:val="22"/>
        </w:rPr>
        <w:t xml:space="preserve"> </w:t>
      </w:r>
    </w:p>
    <w:p w14:paraId="4C3E29E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Bagby, R. M., Bindseil, K. D., Schuller, D. R., Rector, N. A., Young, L. T., Cooke, R. G., Seeman, M. V., McCay, E. A., &amp; Joffe, R. T. (1997). Relationship between the five-factor model of personality and unipolar, bipolar and schizophrenic patients. </w:t>
      </w:r>
      <w:r w:rsidRPr="004D46AC">
        <w:rPr>
          <w:rFonts w:ascii="Arial" w:hAnsi="Arial" w:cs="Arial"/>
          <w:i/>
          <w:noProof/>
          <w:szCs w:val="22"/>
        </w:rPr>
        <w:t>Psychiatry Res</w:t>
      </w:r>
      <w:r w:rsidRPr="004D46AC">
        <w:rPr>
          <w:rFonts w:ascii="Arial" w:hAnsi="Arial" w:cs="Arial"/>
          <w:noProof/>
          <w:szCs w:val="22"/>
        </w:rPr>
        <w:t>,</w:t>
      </w:r>
      <w:r w:rsidRPr="004D46AC">
        <w:rPr>
          <w:rFonts w:ascii="Arial" w:hAnsi="Arial" w:cs="Arial"/>
          <w:i/>
          <w:noProof/>
          <w:szCs w:val="22"/>
        </w:rPr>
        <w:t xml:space="preserve"> 70</w:t>
      </w:r>
      <w:r w:rsidRPr="004D46AC">
        <w:rPr>
          <w:rFonts w:ascii="Arial" w:hAnsi="Arial" w:cs="Arial"/>
          <w:noProof/>
          <w:szCs w:val="22"/>
        </w:rPr>
        <w:t xml:space="preserve">(2), 83–94. </w:t>
      </w:r>
      <w:hyperlink r:id="rId26" w:history="1">
        <w:r w:rsidRPr="004D46AC">
          <w:rPr>
            <w:rStyle w:val="af5"/>
            <w:rFonts w:ascii="Arial" w:hAnsi="Arial" w:cs="Arial"/>
            <w:noProof/>
            <w:szCs w:val="22"/>
          </w:rPr>
          <w:t>https://doi.org/10.1016/s0165-1781(97)03096-5</w:t>
        </w:r>
      </w:hyperlink>
      <w:r w:rsidRPr="004D46AC">
        <w:rPr>
          <w:rFonts w:ascii="Arial" w:hAnsi="Arial" w:cs="Arial"/>
          <w:noProof/>
          <w:szCs w:val="22"/>
        </w:rPr>
        <w:t xml:space="preserve"> </w:t>
      </w:r>
    </w:p>
    <w:p w14:paraId="07D9B5A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Bagby, R. M., Marshall, M. B., Basso, M. R., Nicholson, R. A., Bacchiochi, J., &amp; Miller, L. S. (2005). Distinguishing bipolar depression, major depression, and schizophrenia with the MMPI-2 clinical and content scales. </w:t>
      </w:r>
      <w:r w:rsidRPr="004D46AC">
        <w:rPr>
          <w:rFonts w:ascii="Arial" w:hAnsi="Arial" w:cs="Arial"/>
          <w:i/>
          <w:noProof/>
          <w:szCs w:val="22"/>
        </w:rPr>
        <w:t>J Pers Assess</w:t>
      </w:r>
      <w:r w:rsidRPr="004D46AC">
        <w:rPr>
          <w:rFonts w:ascii="Arial" w:hAnsi="Arial" w:cs="Arial"/>
          <w:noProof/>
          <w:szCs w:val="22"/>
        </w:rPr>
        <w:t>,</w:t>
      </w:r>
      <w:r w:rsidRPr="004D46AC">
        <w:rPr>
          <w:rFonts w:ascii="Arial" w:hAnsi="Arial" w:cs="Arial"/>
          <w:i/>
          <w:noProof/>
          <w:szCs w:val="22"/>
        </w:rPr>
        <w:t xml:space="preserve"> 84</w:t>
      </w:r>
      <w:r w:rsidRPr="004D46AC">
        <w:rPr>
          <w:rFonts w:ascii="Arial" w:hAnsi="Arial" w:cs="Arial"/>
          <w:noProof/>
          <w:szCs w:val="22"/>
        </w:rPr>
        <w:t xml:space="preserve">(1), 89–95. </w:t>
      </w:r>
      <w:hyperlink r:id="rId27" w:history="1">
        <w:r w:rsidRPr="004D46AC">
          <w:rPr>
            <w:rStyle w:val="af5"/>
            <w:rFonts w:ascii="Arial" w:hAnsi="Arial" w:cs="Arial"/>
            <w:noProof/>
            <w:szCs w:val="22"/>
          </w:rPr>
          <w:t>https://doi.org/10.1207/s15327752jpa8401_15</w:t>
        </w:r>
      </w:hyperlink>
      <w:r w:rsidRPr="004D46AC">
        <w:rPr>
          <w:rFonts w:ascii="Arial" w:hAnsi="Arial" w:cs="Arial"/>
          <w:noProof/>
          <w:szCs w:val="22"/>
        </w:rPr>
        <w:t xml:space="preserve"> </w:t>
      </w:r>
    </w:p>
    <w:p w14:paraId="461B308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Barbeito, S., Gómez-Juncal, R., Vega, P., Antonio Becerra, J., Petkari, E., González-Pinto, A., &amp; Sánchez-Gutiérrez, T. (2024). Attachment styles and associated psychosocial factors in patients at ultra-high risk for psychosis: A systematic review. </w:t>
      </w:r>
      <w:r w:rsidRPr="004D46AC">
        <w:rPr>
          <w:rFonts w:ascii="Arial" w:hAnsi="Arial" w:cs="Arial"/>
          <w:i/>
          <w:noProof/>
          <w:szCs w:val="22"/>
        </w:rPr>
        <w:t>International Journal of Social Psychiatry</w:t>
      </w:r>
      <w:r w:rsidRPr="004D46AC">
        <w:rPr>
          <w:rFonts w:ascii="Arial" w:hAnsi="Arial" w:cs="Arial"/>
          <w:noProof/>
          <w:szCs w:val="22"/>
        </w:rPr>
        <w:t>,</w:t>
      </w:r>
      <w:r w:rsidRPr="004D46AC">
        <w:rPr>
          <w:rFonts w:ascii="Arial" w:hAnsi="Arial" w:cs="Arial"/>
          <w:i/>
          <w:noProof/>
          <w:szCs w:val="22"/>
        </w:rPr>
        <w:t xml:space="preserve"> 70</w:t>
      </w:r>
      <w:r w:rsidRPr="004D46AC">
        <w:rPr>
          <w:rFonts w:ascii="Arial" w:hAnsi="Arial" w:cs="Arial"/>
          <w:noProof/>
          <w:szCs w:val="22"/>
        </w:rPr>
        <w:t xml:space="preserve">(5), 850–860. </w:t>
      </w:r>
      <w:hyperlink r:id="rId28" w:history="1">
        <w:r w:rsidRPr="004D46AC">
          <w:rPr>
            <w:rStyle w:val="af5"/>
            <w:rFonts w:ascii="Arial" w:hAnsi="Arial" w:cs="Arial"/>
            <w:noProof/>
            <w:szCs w:val="22"/>
          </w:rPr>
          <w:t>https://doi.org/10.1177/00207640231224661</w:t>
        </w:r>
      </w:hyperlink>
      <w:r w:rsidRPr="004D46AC">
        <w:rPr>
          <w:rFonts w:ascii="Arial" w:hAnsi="Arial" w:cs="Arial"/>
          <w:noProof/>
          <w:szCs w:val="22"/>
        </w:rPr>
        <w:t xml:space="preserve"> </w:t>
      </w:r>
    </w:p>
    <w:p w14:paraId="1C22330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Barrett, S. L., Mulholland, C. C., Cooper, S. J., &amp; Rushe, T. M. (2009). Patterns of neurocognitive impairment in first-episode bipolar disorder and schizophrenia. </w:t>
      </w:r>
      <w:r w:rsidRPr="004D46AC">
        <w:rPr>
          <w:rFonts w:ascii="Arial" w:hAnsi="Arial" w:cs="Arial"/>
          <w:i/>
          <w:noProof/>
          <w:szCs w:val="22"/>
        </w:rPr>
        <w:t>Br J Psychiatry</w:t>
      </w:r>
      <w:r w:rsidRPr="004D46AC">
        <w:rPr>
          <w:rFonts w:ascii="Arial" w:hAnsi="Arial" w:cs="Arial"/>
          <w:noProof/>
          <w:szCs w:val="22"/>
        </w:rPr>
        <w:t>,</w:t>
      </w:r>
      <w:r w:rsidRPr="004D46AC">
        <w:rPr>
          <w:rFonts w:ascii="Arial" w:hAnsi="Arial" w:cs="Arial"/>
          <w:i/>
          <w:noProof/>
          <w:szCs w:val="22"/>
        </w:rPr>
        <w:t xml:space="preserve"> 195</w:t>
      </w:r>
      <w:r w:rsidRPr="004D46AC">
        <w:rPr>
          <w:rFonts w:ascii="Arial" w:hAnsi="Arial" w:cs="Arial"/>
          <w:noProof/>
          <w:szCs w:val="22"/>
        </w:rPr>
        <w:t xml:space="preserve">(1), 67–72. </w:t>
      </w:r>
      <w:hyperlink r:id="rId29" w:history="1">
        <w:r w:rsidRPr="004D46AC">
          <w:rPr>
            <w:rStyle w:val="af5"/>
            <w:rFonts w:ascii="Arial" w:hAnsi="Arial" w:cs="Arial"/>
            <w:noProof/>
            <w:szCs w:val="22"/>
          </w:rPr>
          <w:t>https://doi.org/10.1192/bjp.bp.108.054874</w:t>
        </w:r>
      </w:hyperlink>
      <w:r w:rsidRPr="004D46AC">
        <w:rPr>
          <w:rFonts w:ascii="Arial" w:hAnsi="Arial" w:cs="Arial"/>
          <w:noProof/>
          <w:szCs w:val="22"/>
        </w:rPr>
        <w:t xml:space="preserve"> </w:t>
      </w:r>
    </w:p>
    <w:p w14:paraId="670BF73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Bartholomew, K., &amp; Horowitz, L. M. (1991). Attachment styles among young adults: a test of a four-category model. </w:t>
      </w:r>
      <w:r w:rsidRPr="004D46AC">
        <w:rPr>
          <w:rFonts w:ascii="Arial" w:hAnsi="Arial" w:cs="Arial"/>
          <w:i/>
          <w:noProof/>
          <w:szCs w:val="22"/>
        </w:rPr>
        <w:t>Journal of Personality and social Psychology</w:t>
      </w:r>
      <w:r w:rsidRPr="004D46AC">
        <w:rPr>
          <w:rFonts w:ascii="Arial" w:hAnsi="Arial" w:cs="Arial"/>
          <w:noProof/>
          <w:szCs w:val="22"/>
        </w:rPr>
        <w:t>,</w:t>
      </w:r>
      <w:r w:rsidRPr="004D46AC">
        <w:rPr>
          <w:rFonts w:ascii="Arial" w:hAnsi="Arial" w:cs="Arial"/>
          <w:i/>
          <w:noProof/>
          <w:szCs w:val="22"/>
        </w:rPr>
        <w:t xml:space="preserve"> 61</w:t>
      </w:r>
      <w:r w:rsidRPr="004D46AC">
        <w:rPr>
          <w:rFonts w:ascii="Arial" w:hAnsi="Arial" w:cs="Arial"/>
          <w:noProof/>
          <w:szCs w:val="22"/>
        </w:rPr>
        <w:t xml:space="preserve">(2), 226. </w:t>
      </w:r>
    </w:p>
    <w:p w14:paraId="5118063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Baudiš, P., Matesová, A., Škoda, C., Kabešová, L., &amp; Skodová, M. (1977). A comparison of first admissions of Mania in Prague, Aarhus and London. </w:t>
      </w:r>
      <w:r w:rsidRPr="004D46AC">
        <w:rPr>
          <w:rFonts w:ascii="Arial" w:hAnsi="Arial" w:cs="Arial"/>
          <w:i/>
          <w:noProof/>
          <w:szCs w:val="22"/>
        </w:rPr>
        <w:t>Social psychiatry</w:t>
      </w:r>
      <w:r w:rsidRPr="004D46AC">
        <w:rPr>
          <w:rFonts w:ascii="Arial" w:hAnsi="Arial" w:cs="Arial"/>
          <w:noProof/>
          <w:szCs w:val="22"/>
        </w:rPr>
        <w:t>,</w:t>
      </w:r>
      <w:r w:rsidRPr="004D46AC">
        <w:rPr>
          <w:rFonts w:ascii="Arial" w:hAnsi="Arial" w:cs="Arial"/>
          <w:i/>
          <w:noProof/>
          <w:szCs w:val="22"/>
        </w:rPr>
        <w:t xml:space="preserve"> 12</w:t>
      </w:r>
      <w:r w:rsidRPr="004D46AC">
        <w:rPr>
          <w:rFonts w:ascii="Arial" w:hAnsi="Arial" w:cs="Arial"/>
          <w:noProof/>
          <w:szCs w:val="22"/>
        </w:rPr>
        <w:t xml:space="preserve">(4), 185–193. </w:t>
      </w:r>
      <w:hyperlink r:id="rId30" w:history="1">
        <w:r w:rsidRPr="004D46AC">
          <w:rPr>
            <w:rStyle w:val="af5"/>
            <w:rFonts w:ascii="Arial" w:hAnsi="Arial" w:cs="Arial"/>
            <w:noProof/>
            <w:szCs w:val="22"/>
          </w:rPr>
          <w:t>https://doi.org/10.1007/bf00578138</w:t>
        </w:r>
      </w:hyperlink>
      <w:r w:rsidRPr="004D46AC">
        <w:rPr>
          <w:rFonts w:ascii="Arial" w:hAnsi="Arial" w:cs="Arial"/>
          <w:noProof/>
          <w:szCs w:val="22"/>
        </w:rPr>
        <w:t xml:space="preserve"> </w:t>
      </w:r>
    </w:p>
    <w:p w14:paraId="21B37B3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Bechdolf, A., Nelson, B., Cotton, S. M., Chanen, A., Thompson, A., Kettle, J., Conus, P., Amminger, G. P., Yung, A. R., Berk, M., &amp; McGorry, P. D. (2010). A preliminary evaluation of the validity of at-risk criteria for bipolar disorders in help-seeking </w:t>
      </w:r>
      <w:r w:rsidRPr="004D46AC">
        <w:rPr>
          <w:rFonts w:ascii="Arial" w:hAnsi="Arial" w:cs="Arial"/>
          <w:noProof/>
          <w:szCs w:val="22"/>
        </w:rPr>
        <w:lastRenderedPageBreak/>
        <w:t xml:space="preserve">adolescents and young adults.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127</w:t>
      </w:r>
      <w:r w:rsidRPr="004D46AC">
        <w:rPr>
          <w:rFonts w:ascii="Arial" w:hAnsi="Arial" w:cs="Arial"/>
          <w:noProof/>
          <w:szCs w:val="22"/>
        </w:rPr>
        <w:t xml:space="preserve">(1-3), 316–320. </w:t>
      </w:r>
      <w:hyperlink r:id="rId31" w:history="1">
        <w:r w:rsidRPr="004D46AC">
          <w:rPr>
            <w:rStyle w:val="af5"/>
            <w:rFonts w:ascii="Arial" w:hAnsi="Arial" w:cs="Arial"/>
            <w:noProof/>
            <w:szCs w:val="22"/>
          </w:rPr>
          <w:t>https://doi.org/10.1016/j.jad.2010.06.016</w:t>
        </w:r>
      </w:hyperlink>
      <w:r w:rsidRPr="004D46AC">
        <w:rPr>
          <w:rFonts w:ascii="Arial" w:hAnsi="Arial" w:cs="Arial"/>
          <w:noProof/>
          <w:szCs w:val="22"/>
        </w:rPr>
        <w:t xml:space="preserve"> </w:t>
      </w:r>
    </w:p>
    <w:p w14:paraId="7D8BDEC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Bechdolf, A., Ratheesh, A., Cotton, S. M., Nelson, B., Chanen, A. M., Betts, J., Bingmann, T., Yung, A. R., Berk, M., &amp; McGorry, P. D. (2014). The predictive validity of bipolar at-risk (prodromal) criteria in help-seeking adolescents and young adults: a prospective study. </w:t>
      </w:r>
      <w:r w:rsidRPr="004D46AC">
        <w:rPr>
          <w:rFonts w:ascii="Arial" w:hAnsi="Arial" w:cs="Arial"/>
          <w:i/>
          <w:noProof/>
          <w:szCs w:val="22"/>
        </w:rPr>
        <w:t>Bipolar Disorders</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(5), 493–504. </w:t>
      </w:r>
      <w:hyperlink r:id="rId32" w:history="1">
        <w:r w:rsidRPr="004D46AC">
          <w:rPr>
            <w:rStyle w:val="af5"/>
            <w:rFonts w:ascii="Arial" w:hAnsi="Arial" w:cs="Arial"/>
            <w:noProof/>
            <w:szCs w:val="22"/>
          </w:rPr>
          <w:t>https://doi.org/https://doi.org/10.1111/bdi.12205</w:t>
        </w:r>
      </w:hyperlink>
      <w:r w:rsidRPr="004D46AC">
        <w:rPr>
          <w:rFonts w:ascii="Arial" w:hAnsi="Arial" w:cs="Arial"/>
          <w:noProof/>
          <w:szCs w:val="22"/>
        </w:rPr>
        <w:t xml:space="preserve"> </w:t>
      </w:r>
    </w:p>
    <w:p w14:paraId="79ED54C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Beentjes, T. A., Goossens, P. J., &amp; Poslawsky, I. E. (2012). Caregiver burden in bipolar hypomania and mania: a systematic review. </w:t>
      </w:r>
      <w:r w:rsidRPr="004D46AC">
        <w:rPr>
          <w:rFonts w:ascii="Arial" w:hAnsi="Arial" w:cs="Arial"/>
          <w:i/>
          <w:noProof/>
          <w:szCs w:val="22"/>
        </w:rPr>
        <w:t>Perspect Psychiatr Care</w:t>
      </w:r>
      <w:r w:rsidRPr="004D46AC">
        <w:rPr>
          <w:rFonts w:ascii="Arial" w:hAnsi="Arial" w:cs="Arial"/>
          <w:noProof/>
          <w:szCs w:val="22"/>
        </w:rPr>
        <w:t>,</w:t>
      </w:r>
      <w:r w:rsidRPr="004D46AC">
        <w:rPr>
          <w:rFonts w:ascii="Arial" w:hAnsi="Arial" w:cs="Arial"/>
          <w:i/>
          <w:noProof/>
          <w:szCs w:val="22"/>
        </w:rPr>
        <w:t xml:space="preserve"> 48</w:t>
      </w:r>
      <w:r w:rsidRPr="004D46AC">
        <w:rPr>
          <w:rFonts w:ascii="Arial" w:hAnsi="Arial" w:cs="Arial"/>
          <w:noProof/>
          <w:szCs w:val="22"/>
        </w:rPr>
        <w:t xml:space="preserve">(4), 187–197. </w:t>
      </w:r>
      <w:hyperlink r:id="rId33" w:history="1">
        <w:r w:rsidRPr="004D46AC">
          <w:rPr>
            <w:rStyle w:val="af5"/>
            <w:rFonts w:ascii="Arial" w:hAnsi="Arial" w:cs="Arial"/>
            <w:noProof/>
            <w:szCs w:val="22"/>
          </w:rPr>
          <w:t>https://doi.org/10.1111/j.1744-6163.2012.00328.x</w:t>
        </w:r>
      </w:hyperlink>
      <w:r w:rsidRPr="004D46AC">
        <w:rPr>
          <w:rFonts w:ascii="Arial" w:hAnsi="Arial" w:cs="Arial"/>
          <w:noProof/>
          <w:szCs w:val="22"/>
        </w:rPr>
        <w:t xml:space="preserve"> </w:t>
      </w:r>
    </w:p>
    <w:p w14:paraId="20DB096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Begemann, M. J. H., Schutte, M. J. L., van Dellen, E., Abramovic, L., Boks, M. P., van Haren, N. E. M., Mandl, R. C. W., Vinkers, C. H., Bohlken, M. M., &amp; Sommer, I. E. C. (2023). Childhood trauma is associated with reduced frontal gray matter volume: a large transdiagnostic structural MRI study.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53</w:t>
      </w:r>
      <w:r w:rsidRPr="004D46AC">
        <w:rPr>
          <w:rFonts w:ascii="Arial" w:hAnsi="Arial" w:cs="Arial"/>
          <w:noProof/>
          <w:szCs w:val="22"/>
        </w:rPr>
        <w:t xml:space="preserve">(3), 741–749. </w:t>
      </w:r>
      <w:hyperlink r:id="rId34" w:history="1">
        <w:r w:rsidRPr="004D46AC">
          <w:rPr>
            <w:rStyle w:val="af5"/>
            <w:rFonts w:ascii="Arial" w:hAnsi="Arial" w:cs="Arial"/>
            <w:noProof/>
            <w:szCs w:val="22"/>
          </w:rPr>
          <w:t>https://doi.org/10.1017/s0033291721002087</w:t>
        </w:r>
      </w:hyperlink>
      <w:r w:rsidRPr="004D46AC">
        <w:rPr>
          <w:rFonts w:ascii="Arial" w:hAnsi="Arial" w:cs="Arial"/>
          <w:noProof/>
          <w:szCs w:val="22"/>
        </w:rPr>
        <w:t xml:space="preserve"> </w:t>
      </w:r>
    </w:p>
    <w:p w14:paraId="0E05630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Benabarre, A., Vieta, E., Colom, F., Martinez-Aran, A., Reinares, M., &amp; Gasto, C. (2001). Bipolar disorder, schizoaffective disorder and schizophrenia: epidemiologic, clinical and prognostic differences. </w:t>
      </w:r>
      <w:r w:rsidRPr="004D46AC">
        <w:rPr>
          <w:rFonts w:ascii="Arial" w:hAnsi="Arial" w:cs="Arial"/>
          <w:i/>
          <w:noProof/>
          <w:szCs w:val="22"/>
        </w:rPr>
        <w:t>Eur Psychiatry</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(3), 167–172. </w:t>
      </w:r>
      <w:hyperlink r:id="rId35" w:history="1">
        <w:r w:rsidRPr="004D46AC">
          <w:rPr>
            <w:rStyle w:val="af5"/>
            <w:rFonts w:ascii="Arial" w:hAnsi="Arial" w:cs="Arial"/>
            <w:noProof/>
            <w:szCs w:val="22"/>
          </w:rPr>
          <w:t>https://doi.org/10.1016/s0924-9338(01)00559-4</w:t>
        </w:r>
      </w:hyperlink>
      <w:r w:rsidRPr="004D46AC">
        <w:rPr>
          <w:rFonts w:ascii="Arial" w:hAnsi="Arial" w:cs="Arial"/>
          <w:noProof/>
          <w:szCs w:val="22"/>
        </w:rPr>
        <w:t xml:space="preserve"> </w:t>
      </w:r>
    </w:p>
    <w:p w14:paraId="7FB5DC5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Bentall, R. P., de Sousa, P., Varese, F., Wickham, S., Sitko, K., Haarmans, M., &amp; Read, J. (2014). From adversity to psychosis: pathways and mechanisms from specific adversities to specific symptoms. </w:t>
      </w:r>
      <w:r w:rsidRPr="004D46AC">
        <w:rPr>
          <w:rFonts w:ascii="Arial" w:hAnsi="Arial" w:cs="Arial"/>
          <w:i/>
          <w:noProof/>
          <w:szCs w:val="22"/>
        </w:rPr>
        <w:t>Soc Psychiatry Psychiatr Epidemiol</w:t>
      </w:r>
      <w:r w:rsidRPr="004D46AC">
        <w:rPr>
          <w:rFonts w:ascii="Arial" w:hAnsi="Arial" w:cs="Arial"/>
          <w:noProof/>
          <w:szCs w:val="22"/>
        </w:rPr>
        <w:t>,</w:t>
      </w:r>
      <w:r w:rsidRPr="004D46AC">
        <w:rPr>
          <w:rFonts w:ascii="Arial" w:hAnsi="Arial" w:cs="Arial"/>
          <w:i/>
          <w:noProof/>
          <w:szCs w:val="22"/>
        </w:rPr>
        <w:t xml:space="preserve"> 49</w:t>
      </w:r>
      <w:r w:rsidRPr="004D46AC">
        <w:rPr>
          <w:rFonts w:ascii="Arial" w:hAnsi="Arial" w:cs="Arial"/>
          <w:noProof/>
          <w:szCs w:val="22"/>
        </w:rPr>
        <w:t xml:space="preserve">(7), 1011–1022. </w:t>
      </w:r>
      <w:hyperlink r:id="rId36" w:history="1">
        <w:r w:rsidRPr="004D46AC">
          <w:rPr>
            <w:rStyle w:val="af5"/>
            <w:rFonts w:ascii="Arial" w:hAnsi="Arial" w:cs="Arial"/>
            <w:noProof/>
            <w:szCs w:val="22"/>
          </w:rPr>
          <w:t>https://doi.org/10.1007/s00127-014-0914-0</w:t>
        </w:r>
      </w:hyperlink>
      <w:r w:rsidRPr="004D46AC">
        <w:rPr>
          <w:rFonts w:ascii="Arial" w:hAnsi="Arial" w:cs="Arial"/>
          <w:noProof/>
          <w:szCs w:val="22"/>
        </w:rPr>
        <w:t xml:space="preserve"> </w:t>
      </w:r>
    </w:p>
    <w:p w14:paraId="7ED3B22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Benti, L., Manicavasagar, V., Proudfoot, J., &amp; Parker, G. (2014). Identifying Early Indicators in Bipolar Disorder: A Qualitative Study. </w:t>
      </w:r>
      <w:r w:rsidRPr="004D46AC">
        <w:rPr>
          <w:rFonts w:ascii="Arial" w:hAnsi="Arial" w:cs="Arial"/>
          <w:i/>
          <w:noProof/>
          <w:szCs w:val="22"/>
        </w:rPr>
        <w:t>Psychiatric Quarterly</w:t>
      </w:r>
      <w:r w:rsidRPr="004D46AC">
        <w:rPr>
          <w:rFonts w:ascii="Arial" w:hAnsi="Arial" w:cs="Arial"/>
          <w:noProof/>
          <w:szCs w:val="22"/>
        </w:rPr>
        <w:t>,</w:t>
      </w:r>
      <w:r w:rsidRPr="004D46AC">
        <w:rPr>
          <w:rFonts w:ascii="Arial" w:hAnsi="Arial" w:cs="Arial"/>
          <w:i/>
          <w:noProof/>
          <w:szCs w:val="22"/>
        </w:rPr>
        <w:t xml:space="preserve"> 85</w:t>
      </w:r>
      <w:r w:rsidRPr="004D46AC">
        <w:rPr>
          <w:rFonts w:ascii="Arial" w:hAnsi="Arial" w:cs="Arial"/>
          <w:noProof/>
          <w:szCs w:val="22"/>
        </w:rPr>
        <w:t xml:space="preserve">(2), 143–153. </w:t>
      </w:r>
      <w:hyperlink r:id="rId37" w:history="1">
        <w:r w:rsidRPr="004D46AC">
          <w:rPr>
            <w:rStyle w:val="af5"/>
            <w:rFonts w:ascii="Arial" w:hAnsi="Arial" w:cs="Arial"/>
            <w:noProof/>
            <w:szCs w:val="22"/>
          </w:rPr>
          <w:t>https://doi.org/10.1007/s11126-013-9279-x</w:t>
        </w:r>
      </w:hyperlink>
      <w:r w:rsidRPr="004D46AC">
        <w:rPr>
          <w:rFonts w:ascii="Arial" w:hAnsi="Arial" w:cs="Arial"/>
          <w:noProof/>
          <w:szCs w:val="22"/>
        </w:rPr>
        <w:t xml:space="preserve"> </w:t>
      </w:r>
    </w:p>
    <w:p w14:paraId="1A6752D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Berson, T. R., Kemp, K. C., Bathery, A. J., Barrantes-Vidal, N., &amp; Kwapil, T. R. (2021). The association of bipolar spectrum psychopathology with psychotic-like and schizotypic symptoms. </w:t>
      </w:r>
      <w:r w:rsidRPr="004D46AC">
        <w:rPr>
          <w:rFonts w:ascii="Arial" w:hAnsi="Arial" w:cs="Arial"/>
          <w:i/>
          <w:noProof/>
          <w:szCs w:val="22"/>
        </w:rPr>
        <w:t>Journal of Psychopathology and Behavioral Assessment</w:t>
      </w:r>
      <w:r w:rsidRPr="004D46AC">
        <w:rPr>
          <w:rFonts w:ascii="Arial" w:hAnsi="Arial" w:cs="Arial"/>
          <w:noProof/>
          <w:szCs w:val="22"/>
        </w:rPr>
        <w:t>,</w:t>
      </w:r>
      <w:r w:rsidRPr="004D46AC">
        <w:rPr>
          <w:rFonts w:ascii="Arial" w:hAnsi="Arial" w:cs="Arial"/>
          <w:i/>
          <w:noProof/>
          <w:szCs w:val="22"/>
        </w:rPr>
        <w:t xml:space="preserve"> 43</w:t>
      </w:r>
      <w:r w:rsidRPr="004D46AC">
        <w:rPr>
          <w:rFonts w:ascii="Arial" w:hAnsi="Arial" w:cs="Arial"/>
          <w:noProof/>
          <w:szCs w:val="22"/>
        </w:rPr>
        <w:t xml:space="preserve">(2), 303–313. </w:t>
      </w:r>
      <w:hyperlink r:id="rId38" w:history="1">
        <w:r w:rsidRPr="004D46AC">
          <w:rPr>
            <w:rStyle w:val="af5"/>
            <w:rFonts w:ascii="Arial" w:hAnsi="Arial" w:cs="Arial"/>
            <w:noProof/>
            <w:szCs w:val="22"/>
          </w:rPr>
          <w:t>https://doi.org/10.1007/s10862-020-09805-8</w:t>
        </w:r>
      </w:hyperlink>
      <w:r w:rsidRPr="004D46AC">
        <w:rPr>
          <w:rFonts w:ascii="Arial" w:hAnsi="Arial" w:cs="Arial"/>
          <w:noProof/>
          <w:szCs w:val="22"/>
        </w:rPr>
        <w:t xml:space="preserve"> </w:t>
      </w:r>
    </w:p>
    <w:p w14:paraId="08E1207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Besnier, N., Kaladjian, A., Mazzola-Pomietto, P., Adida, M., Fakra, E., Jeanningros, R., &amp; Azorin, J. M. (2011). Differential responses to emotional interference in paranoid schizophrenia and bipolar mania. </w:t>
      </w:r>
      <w:r w:rsidRPr="004D46AC">
        <w:rPr>
          <w:rFonts w:ascii="Arial" w:hAnsi="Arial" w:cs="Arial"/>
          <w:i/>
          <w:noProof/>
          <w:szCs w:val="22"/>
        </w:rPr>
        <w:t>Psychopathology</w:t>
      </w:r>
      <w:r w:rsidRPr="004D46AC">
        <w:rPr>
          <w:rFonts w:ascii="Arial" w:hAnsi="Arial" w:cs="Arial"/>
          <w:noProof/>
          <w:szCs w:val="22"/>
        </w:rPr>
        <w:t>,</w:t>
      </w:r>
      <w:r w:rsidRPr="004D46AC">
        <w:rPr>
          <w:rFonts w:ascii="Arial" w:hAnsi="Arial" w:cs="Arial"/>
          <w:i/>
          <w:noProof/>
          <w:szCs w:val="22"/>
        </w:rPr>
        <w:t xml:space="preserve"> 44</w:t>
      </w:r>
      <w:r w:rsidRPr="004D46AC">
        <w:rPr>
          <w:rFonts w:ascii="Arial" w:hAnsi="Arial" w:cs="Arial"/>
          <w:noProof/>
          <w:szCs w:val="22"/>
        </w:rPr>
        <w:t xml:space="preserve">(1), 1–11. </w:t>
      </w:r>
      <w:hyperlink r:id="rId39" w:history="1">
        <w:r w:rsidRPr="004D46AC">
          <w:rPr>
            <w:rStyle w:val="af5"/>
            <w:rFonts w:ascii="Arial" w:hAnsi="Arial" w:cs="Arial"/>
            <w:noProof/>
            <w:szCs w:val="22"/>
          </w:rPr>
          <w:t>https://doi.org/10.1159/000322097</w:t>
        </w:r>
      </w:hyperlink>
      <w:r w:rsidRPr="004D46AC">
        <w:rPr>
          <w:rFonts w:ascii="Arial" w:hAnsi="Arial" w:cs="Arial"/>
          <w:noProof/>
          <w:szCs w:val="22"/>
        </w:rPr>
        <w:t xml:space="preserve"> </w:t>
      </w:r>
    </w:p>
    <w:p w14:paraId="3FA7A82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Borsboom, D., &amp; Cramer, A. O. J. (2013). Network Analysis: An Integrative Approach to the Structure of Psychopathology. </w:t>
      </w:r>
      <w:r w:rsidRPr="004D46AC">
        <w:rPr>
          <w:rFonts w:ascii="Arial" w:hAnsi="Arial" w:cs="Arial"/>
          <w:i/>
          <w:noProof/>
          <w:szCs w:val="22"/>
        </w:rPr>
        <w:t>Annual review of clinical psychology</w:t>
      </w:r>
      <w:r w:rsidRPr="004D46AC">
        <w:rPr>
          <w:rFonts w:ascii="Arial" w:hAnsi="Arial" w:cs="Arial"/>
          <w:noProof/>
          <w:szCs w:val="22"/>
        </w:rPr>
        <w:t>,</w:t>
      </w:r>
      <w:r w:rsidRPr="004D46AC">
        <w:rPr>
          <w:rFonts w:ascii="Arial" w:hAnsi="Arial" w:cs="Arial"/>
          <w:i/>
          <w:noProof/>
          <w:szCs w:val="22"/>
        </w:rPr>
        <w:t xml:space="preserve"> 9</w:t>
      </w:r>
      <w:r w:rsidRPr="004D46AC">
        <w:rPr>
          <w:rFonts w:ascii="Arial" w:hAnsi="Arial" w:cs="Arial"/>
          <w:noProof/>
          <w:szCs w:val="22"/>
        </w:rPr>
        <w:t xml:space="preserve">(Volume 9, </w:t>
      </w:r>
      <w:r w:rsidRPr="004D46AC">
        <w:rPr>
          <w:rFonts w:ascii="Arial" w:hAnsi="Arial" w:cs="Arial"/>
          <w:noProof/>
          <w:szCs w:val="22"/>
        </w:rPr>
        <w:lastRenderedPageBreak/>
        <w:t xml:space="preserve">2013), 91–121. </w:t>
      </w:r>
      <w:hyperlink r:id="rId40" w:history="1">
        <w:r w:rsidRPr="004D46AC">
          <w:rPr>
            <w:rStyle w:val="af5"/>
            <w:rFonts w:ascii="Arial" w:hAnsi="Arial" w:cs="Arial"/>
            <w:noProof/>
            <w:szCs w:val="22"/>
          </w:rPr>
          <w:t>https://doi.org/https://doi.org/10.1146/annurev-clinpsy-050212-185608</w:t>
        </w:r>
      </w:hyperlink>
      <w:r w:rsidRPr="004D46AC">
        <w:rPr>
          <w:rFonts w:ascii="Arial" w:hAnsi="Arial" w:cs="Arial"/>
          <w:noProof/>
          <w:szCs w:val="22"/>
        </w:rPr>
        <w:t xml:space="preserve"> </w:t>
      </w:r>
    </w:p>
    <w:p w14:paraId="1DEAFD7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Bowlby, J. (1969). </w:t>
      </w:r>
      <w:r w:rsidRPr="004D46AC">
        <w:rPr>
          <w:rFonts w:ascii="Arial" w:hAnsi="Arial" w:cs="Arial"/>
          <w:i/>
          <w:noProof/>
          <w:szCs w:val="22"/>
        </w:rPr>
        <w:t>Attachment and loss</w:t>
      </w:r>
      <w:r w:rsidRPr="004D46AC">
        <w:rPr>
          <w:rFonts w:ascii="Arial" w:hAnsi="Arial" w:cs="Arial"/>
          <w:noProof/>
          <w:szCs w:val="22"/>
        </w:rPr>
        <w:t xml:space="preserve">. Random House. </w:t>
      </w:r>
    </w:p>
    <w:p w14:paraId="5B09BC0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Brandt, J. M., Gregersen, M., Søndergaard, A., Krantz, M. F., Knudsen, C. B., Andreassen, A. K., Veddum, L., Ohland, J., Hjorthøj, C., Wilms, M., Rohd, S. B., Greve, A., Burton, B. K., Bliksted, V., Mors, O., Nordentoft, M., Thorup, A. A. E., &amp; Hemager, N. (2023). Associations between exposure to early childhood adversities and middle childhood psychotic experiences in children at familial high risk of schizophrenia, bipolar disorder, and population-based controls: The Danish high risk and resilience study – VIA 7 and VIA 11. </w:t>
      </w:r>
      <w:r w:rsidRPr="004D46AC">
        <w:rPr>
          <w:rFonts w:ascii="Arial" w:hAnsi="Arial" w:cs="Arial"/>
          <w:i/>
          <w:noProof/>
          <w:szCs w:val="22"/>
        </w:rPr>
        <w:t>Psychological Medicine</w:t>
      </w:r>
      <w:r w:rsidRPr="004D46AC">
        <w:rPr>
          <w:rFonts w:ascii="Arial" w:hAnsi="Arial" w:cs="Arial"/>
          <w:noProof/>
          <w:szCs w:val="22"/>
        </w:rPr>
        <w:t>,</w:t>
      </w:r>
      <w:r w:rsidRPr="004D46AC">
        <w:rPr>
          <w:rFonts w:ascii="Arial" w:hAnsi="Arial" w:cs="Arial"/>
          <w:i/>
          <w:noProof/>
          <w:szCs w:val="22"/>
        </w:rPr>
        <w:t xml:space="preserve"> 53</w:t>
      </w:r>
      <w:r w:rsidRPr="004D46AC">
        <w:rPr>
          <w:rFonts w:ascii="Arial" w:hAnsi="Arial" w:cs="Arial"/>
          <w:noProof/>
          <w:szCs w:val="22"/>
        </w:rPr>
        <w:t xml:space="preserve">(14), 6635–6645. </w:t>
      </w:r>
      <w:hyperlink r:id="rId41" w:history="1">
        <w:r w:rsidRPr="004D46AC">
          <w:rPr>
            <w:rStyle w:val="af5"/>
            <w:rFonts w:ascii="Arial" w:hAnsi="Arial" w:cs="Arial"/>
            <w:noProof/>
            <w:szCs w:val="22"/>
          </w:rPr>
          <w:t>https://doi.org/10.1017/S0033291722004020</w:t>
        </w:r>
      </w:hyperlink>
      <w:r w:rsidRPr="004D46AC">
        <w:rPr>
          <w:rFonts w:ascii="Arial" w:hAnsi="Arial" w:cs="Arial"/>
          <w:noProof/>
          <w:szCs w:val="22"/>
        </w:rPr>
        <w:t xml:space="preserve"> </w:t>
      </w:r>
    </w:p>
    <w:p w14:paraId="1F7E580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Bruni, A., Carbone, E. A., Pugliese, V., Aloi, M., Calabrò, G., Cerminara, G., Segura-García, C., &amp; De Fazio, P. (2018). Childhood adversities are different in schizophrenic spectrum disorders, bipolar disorder and major depressive disorder. </w:t>
      </w:r>
      <w:r w:rsidRPr="004D46AC">
        <w:rPr>
          <w:rFonts w:ascii="Arial" w:hAnsi="Arial" w:cs="Arial"/>
          <w:i/>
          <w:noProof/>
          <w:szCs w:val="22"/>
        </w:rPr>
        <w:t>BMC Psychiatry</w:t>
      </w:r>
      <w:r w:rsidRPr="004D46AC">
        <w:rPr>
          <w:rFonts w:ascii="Arial" w:hAnsi="Arial" w:cs="Arial"/>
          <w:noProof/>
          <w:szCs w:val="22"/>
        </w:rPr>
        <w:t>,</w:t>
      </w:r>
      <w:r w:rsidRPr="004D46AC">
        <w:rPr>
          <w:rFonts w:ascii="Arial" w:hAnsi="Arial" w:cs="Arial"/>
          <w:i/>
          <w:noProof/>
          <w:szCs w:val="22"/>
        </w:rPr>
        <w:t xml:space="preserve"> 18</w:t>
      </w:r>
      <w:r w:rsidRPr="004D46AC">
        <w:rPr>
          <w:rFonts w:ascii="Arial" w:hAnsi="Arial" w:cs="Arial"/>
          <w:noProof/>
          <w:szCs w:val="22"/>
        </w:rPr>
        <w:t xml:space="preserve">, 1–7. </w:t>
      </w:r>
    </w:p>
    <w:p w14:paraId="4D04642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Bundgaard, A. F., Hemager, N., Gantriis, D. L., Steffensen, N. L., Burton, B. K., Ellersgaard, D., Christiani, C. J., Spang, K. S., Carlsen, A. H., Bliksted, V., Plessen, K. J., Jepsen, J. R. M., Nordentoft, M., Mors, O., Thorup, A. A. E., &amp; Greve, A. N. (2022). Association Between Early Risk Factors and Level of Functioning at Age Seven in Children at Familial Risk for Schizophrenia Or Bipolar Disorder - the Danish High Risk and Resilience Study VIA 7. </w:t>
      </w:r>
      <w:r w:rsidRPr="004D46AC">
        <w:rPr>
          <w:rFonts w:ascii="Arial" w:hAnsi="Arial" w:cs="Arial"/>
          <w:i/>
          <w:noProof/>
          <w:szCs w:val="22"/>
        </w:rPr>
        <w:t>Scand J Child Adolesc Psychiatr Psychol</w:t>
      </w:r>
      <w:r w:rsidRPr="004D46AC">
        <w:rPr>
          <w:rFonts w:ascii="Arial" w:hAnsi="Arial" w:cs="Arial"/>
          <w:noProof/>
          <w:szCs w:val="22"/>
        </w:rPr>
        <w:t>,</w:t>
      </w:r>
      <w:r w:rsidRPr="004D46AC">
        <w:rPr>
          <w:rFonts w:ascii="Arial" w:hAnsi="Arial" w:cs="Arial"/>
          <w:i/>
          <w:noProof/>
          <w:szCs w:val="22"/>
        </w:rPr>
        <w:t xml:space="preserve"> 10</w:t>
      </w:r>
      <w:r w:rsidRPr="004D46AC">
        <w:rPr>
          <w:rFonts w:ascii="Arial" w:hAnsi="Arial" w:cs="Arial"/>
          <w:noProof/>
          <w:szCs w:val="22"/>
        </w:rPr>
        <w:t xml:space="preserve">(1), 12–23. </w:t>
      </w:r>
      <w:hyperlink r:id="rId42" w:history="1">
        <w:r w:rsidRPr="004D46AC">
          <w:rPr>
            <w:rStyle w:val="af5"/>
            <w:rFonts w:ascii="Arial" w:hAnsi="Arial" w:cs="Arial"/>
            <w:noProof/>
            <w:szCs w:val="22"/>
          </w:rPr>
          <w:t>https://doi.org/10.2478/sjcapp-2022-0001</w:t>
        </w:r>
      </w:hyperlink>
      <w:r w:rsidRPr="004D46AC">
        <w:rPr>
          <w:rFonts w:ascii="Arial" w:hAnsi="Arial" w:cs="Arial"/>
          <w:noProof/>
          <w:szCs w:val="22"/>
        </w:rPr>
        <w:t xml:space="preserve"> </w:t>
      </w:r>
    </w:p>
    <w:p w14:paraId="3C82206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Burdick, K. E., Goldberg, J. F., Harrow, M., Faull, R. N., &amp; Malhotra, A. K. (2006). Neurocognition as a stable endophenotype in bipolar disorder and schizophrenia. </w:t>
      </w:r>
      <w:r w:rsidRPr="004D46AC">
        <w:rPr>
          <w:rFonts w:ascii="Arial" w:hAnsi="Arial" w:cs="Arial"/>
          <w:i/>
          <w:noProof/>
          <w:szCs w:val="22"/>
        </w:rPr>
        <w:t>J Nerv Ment Dis</w:t>
      </w:r>
      <w:r w:rsidRPr="004D46AC">
        <w:rPr>
          <w:rFonts w:ascii="Arial" w:hAnsi="Arial" w:cs="Arial"/>
          <w:noProof/>
          <w:szCs w:val="22"/>
        </w:rPr>
        <w:t>,</w:t>
      </w:r>
      <w:r w:rsidRPr="004D46AC">
        <w:rPr>
          <w:rFonts w:ascii="Arial" w:hAnsi="Arial" w:cs="Arial"/>
          <w:i/>
          <w:noProof/>
          <w:szCs w:val="22"/>
        </w:rPr>
        <w:t xml:space="preserve"> 194</w:t>
      </w:r>
      <w:r w:rsidRPr="004D46AC">
        <w:rPr>
          <w:rFonts w:ascii="Arial" w:hAnsi="Arial" w:cs="Arial"/>
          <w:noProof/>
          <w:szCs w:val="22"/>
        </w:rPr>
        <w:t xml:space="preserve">(4), 255–260. </w:t>
      </w:r>
      <w:hyperlink r:id="rId43" w:history="1">
        <w:r w:rsidRPr="004D46AC">
          <w:rPr>
            <w:rStyle w:val="af5"/>
            <w:rFonts w:ascii="Arial" w:hAnsi="Arial" w:cs="Arial"/>
            <w:noProof/>
            <w:szCs w:val="22"/>
          </w:rPr>
          <w:t>https://doi.org/10.1097/01.nmd.0000207360.70337.7e</w:t>
        </w:r>
      </w:hyperlink>
      <w:r w:rsidRPr="004D46AC">
        <w:rPr>
          <w:rFonts w:ascii="Arial" w:hAnsi="Arial" w:cs="Arial"/>
          <w:noProof/>
          <w:szCs w:val="22"/>
        </w:rPr>
        <w:t xml:space="preserve"> </w:t>
      </w:r>
    </w:p>
    <w:p w14:paraId="6722D8A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Cahn, A. J., Keramatian, K., Frysch, C., Yatham, L. N., &amp; Chakrabarty, T. (2021). Longitudinal grey matter changes following first episode mania in bipolar I disorder: A systematic review.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291</w:t>
      </w:r>
      <w:r w:rsidRPr="004D46AC">
        <w:rPr>
          <w:rFonts w:ascii="Arial" w:hAnsi="Arial" w:cs="Arial"/>
          <w:noProof/>
          <w:szCs w:val="22"/>
        </w:rPr>
        <w:t xml:space="preserve">, 198–208. </w:t>
      </w:r>
      <w:hyperlink r:id="rId44" w:history="1">
        <w:r w:rsidRPr="004D46AC">
          <w:rPr>
            <w:rStyle w:val="af5"/>
            <w:rFonts w:ascii="Arial" w:hAnsi="Arial" w:cs="Arial"/>
            <w:noProof/>
            <w:szCs w:val="22"/>
          </w:rPr>
          <w:t>https://doi.org/10.1016/j.jad.2021.04.051</w:t>
        </w:r>
      </w:hyperlink>
      <w:r w:rsidRPr="004D46AC">
        <w:rPr>
          <w:rFonts w:ascii="Arial" w:hAnsi="Arial" w:cs="Arial"/>
          <w:noProof/>
          <w:szCs w:val="22"/>
        </w:rPr>
        <w:t xml:space="preserve"> </w:t>
      </w:r>
    </w:p>
    <w:p w14:paraId="3EDE5D7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Cameron, D. E. (1938). EARLY SCHIZOPHRENIA. </w:t>
      </w:r>
      <w:r w:rsidRPr="004D46AC">
        <w:rPr>
          <w:rFonts w:ascii="Arial" w:hAnsi="Arial" w:cs="Arial"/>
          <w:i/>
          <w:noProof/>
          <w:szCs w:val="22"/>
        </w:rPr>
        <w:t>American Journal of Psychiatry</w:t>
      </w:r>
      <w:r w:rsidRPr="004D46AC">
        <w:rPr>
          <w:rFonts w:ascii="Arial" w:hAnsi="Arial" w:cs="Arial"/>
          <w:noProof/>
          <w:szCs w:val="22"/>
        </w:rPr>
        <w:t>,</w:t>
      </w:r>
      <w:r w:rsidRPr="004D46AC">
        <w:rPr>
          <w:rFonts w:ascii="Arial" w:hAnsi="Arial" w:cs="Arial"/>
          <w:i/>
          <w:noProof/>
          <w:szCs w:val="22"/>
        </w:rPr>
        <w:t xml:space="preserve"> 95</w:t>
      </w:r>
      <w:r w:rsidRPr="004D46AC">
        <w:rPr>
          <w:rFonts w:ascii="Arial" w:hAnsi="Arial" w:cs="Arial"/>
          <w:noProof/>
          <w:szCs w:val="22"/>
        </w:rPr>
        <w:t xml:space="preserve">(3), 567–582. </w:t>
      </w:r>
      <w:hyperlink r:id="rId45" w:history="1">
        <w:r w:rsidRPr="004D46AC">
          <w:rPr>
            <w:rStyle w:val="af5"/>
            <w:rFonts w:ascii="Arial" w:hAnsi="Arial" w:cs="Arial"/>
            <w:noProof/>
            <w:szCs w:val="22"/>
          </w:rPr>
          <w:t>https://doi.org/10.1176/ajp.95.3.567</w:t>
        </w:r>
      </w:hyperlink>
      <w:r w:rsidRPr="004D46AC">
        <w:rPr>
          <w:rFonts w:ascii="Arial" w:hAnsi="Arial" w:cs="Arial"/>
          <w:noProof/>
          <w:szCs w:val="22"/>
        </w:rPr>
        <w:t xml:space="preserve"> </w:t>
      </w:r>
    </w:p>
    <w:p w14:paraId="73B3FC5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Cardno, A. G., &amp; Owen, M. J. (2014). Genetic relationships between schizophrenia, bipolar disorder, and schizoaffective disorder.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40</w:t>
      </w:r>
      <w:r w:rsidRPr="004D46AC">
        <w:rPr>
          <w:rFonts w:ascii="Arial" w:hAnsi="Arial" w:cs="Arial"/>
          <w:noProof/>
          <w:szCs w:val="22"/>
        </w:rPr>
        <w:t xml:space="preserve">(3), 504–515. </w:t>
      </w:r>
      <w:hyperlink r:id="rId46" w:history="1">
        <w:r w:rsidRPr="004D46AC">
          <w:rPr>
            <w:rStyle w:val="af5"/>
            <w:rFonts w:ascii="Arial" w:hAnsi="Arial" w:cs="Arial"/>
            <w:noProof/>
            <w:szCs w:val="22"/>
          </w:rPr>
          <w:t>https://doi.org/10.1093/schbul/sbu016</w:t>
        </w:r>
      </w:hyperlink>
      <w:r w:rsidRPr="004D46AC">
        <w:rPr>
          <w:rFonts w:ascii="Arial" w:hAnsi="Arial" w:cs="Arial"/>
          <w:noProof/>
          <w:szCs w:val="22"/>
        </w:rPr>
        <w:t xml:space="preserve"> </w:t>
      </w:r>
    </w:p>
    <w:p w14:paraId="5AE551B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Carlson, G. A., &amp; Goodwin, F. K. (1973). The stages of mania. A longitudinal analysis of the manic episode. </w:t>
      </w:r>
      <w:r w:rsidRPr="004D46AC">
        <w:rPr>
          <w:rFonts w:ascii="Arial" w:hAnsi="Arial" w:cs="Arial"/>
          <w:i/>
          <w:noProof/>
          <w:szCs w:val="22"/>
        </w:rPr>
        <w:t>Arch Gen Psychiatry</w:t>
      </w:r>
      <w:r w:rsidRPr="004D46AC">
        <w:rPr>
          <w:rFonts w:ascii="Arial" w:hAnsi="Arial" w:cs="Arial"/>
          <w:noProof/>
          <w:szCs w:val="22"/>
        </w:rPr>
        <w:t>,</w:t>
      </w:r>
      <w:r w:rsidRPr="004D46AC">
        <w:rPr>
          <w:rFonts w:ascii="Arial" w:hAnsi="Arial" w:cs="Arial"/>
          <w:i/>
          <w:noProof/>
          <w:szCs w:val="22"/>
        </w:rPr>
        <w:t xml:space="preserve"> 28</w:t>
      </w:r>
      <w:r w:rsidRPr="004D46AC">
        <w:rPr>
          <w:rFonts w:ascii="Arial" w:hAnsi="Arial" w:cs="Arial"/>
          <w:noProof/>
          <w:szCs w:val="22"/>
        </w:rPr>
        <w:t xml:space="preserve">(2), 221–228. </w:t>
      </w:r>
      <w:hyperlink r:id="rId47" w:history="1">
        <w:r w:rsidRPr="004D46AC">
          <w:rPr>
            <w:rStyle w:val="af5"/>
            <w:rFonts w:ascii="Arial" w:hAnsi="Arial" w:cs="Arial"/>
            <w:noProof/>
            <w:szCs w:val="22"/>
          </w:rPr>
          <w:t>https://doi.org/10.1001/archpsyc.1973.01750320053009</w:t>
        </w:r>
      </w:hyperlink>
      <w:r w:rsidRPr="004D46AC">
        <w:rPr>
          <w:rFonts w:ascii="Arial" w:hAnsi="Arial" w:cs="Arial"/>
          <w:noProof/>
          <w:szCs w:val="22"/>
        </w:rPr>
        <w:t xml:space="preserve"> </w:t>
      </w:r>
    </w:p>
    <w:p w14:paraId="2A7D339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Carlson, G. A., Kotov, R., Chang, S. W., Ruggero, C., &amp; Bromet, E. J. (2012). Early determinants of four-year clinical outcomes in bipolar disorder with psychosis. </w:t>
      </w:r>
      <w:r w:rsidRPr="004D46AC">
        <w:rPr>
          <w:rFonts w:ascii="Arial" w:hAnsi="Arial" w:cs="Arial"/>
          <w:i/>
          <w:noProof/>
          <w:szCs w:val="22"/>
        </w:rPr>
        <w:t>Bipolar Disord</w:t>
      </w:r>
      <w:r w:rsidRPr="004D46AC">
        <w:rPr>
          <w:rFonts w:ascii="Arial" w:hAnsi="Arial" w:cs="Arial"/>
          <w:noProof/>
          <w:szCs w:val="22"/>
        </w:rPr>
        <w:t>,</w:t>
      </w:r>
      <w:r w:rsidRPr="004D46AC">
        <w:rPr>
          <w:rFonts w:ascii="Arial" w:hAnsi="Arial" w:cs="Arial"/>
          <w:i/>
          <w:noProof/>
          <w:szCs w:val="22"/>
        </w:rPr>
        <w:t xml:space="preserve"> 14</w:t>
      </w:r>
      <w:r w:rsidRPr="004D46AC">
        <w:rPr>
          <w:rFonts w:ascii="Arial" w:hAnsi="Arial" w:cs="Arial"/>
          <w:noProof/>
          <w:szCs w:val="22"/>
        </w:rPr>
        <w:t xml:space="preserve">(1), 19–30. </w:t>
      </w:r>
      <w:hyperlink r:id="rId48" w:history="1">
        <w:r w:rsidRPr="004D46AC">
          <w:rPr>
            <w:rStyle w:val="af5"/>
            <w:rFonts w:ascii="Arial" w:hAnsi="Arial" w:cs="Arial"/>
            <w:noProof/>
            <w:szCs w:val="22"/>
          </w:rPr>
          <w:t>https://doi.org/10.1111/j.1399-5618.2012.00982.x</w:t>
        </w:r>
      </w:hyperlink>
      <w:r w:rsidRPr="004D46AC">
        <w:rPr>
          <w:rFonts w:ascii="Arial" w:hAnsi="Arial" w:cs="Arial"/>
          <w:noProof/>
          <w:szCs w:val="22"/>
        </w:rPr>
        <w:t xml:space="preserve"> </w:t>
      </w:r>
    </w:p>
    <w:p w14:paraId="2031450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Carpenter, W. T., Jr., &amp; Strauss, J. S. (1974). Cross-cultural evaluation of Schneider's first-rank symptoms of schizophrenia: a report from the International Pilot Study of Schizophrenia. </w:t>
      </w:r>
      <w:r w:rsidRPr="004D46AC">
        <w:rPr>
          <w:rFonts w:ascii="Arial" w:hAnsi="Arial" w:cs="Arial"/>
          <w:i/>
          <w:noProof/>
          <w:szCs w:val="22"/>
        </w:rPr>
        <w:t>Am J Psychiatry</w:t>
      </w:r>
      <w:r w:rsidRPr="004D46AC">
        <w:rPr>
          <w:rFonts w:ascii="Arial" w:hAnsi="Arial" w:cs="Arial"/>
          <w:noProof/>
          <w:szCs w:val="22"/>
        </w:rPr>
        <w:t>,</w:t>
      </w:r>
      <w:r w:rsidRPr="004D46AC">
        <w:rPr>
          <w:rFonts w:ascii="Arial" w:hAnsi="Arial" w:cs="Arial"/>
          <w:i/>
          <w:noProof/>
          <w:szCs w:val="22"/>
        </w:rPr>
        <w:t xml:space="preserve"> 131</w:t>
      </w:r>
      <w:r w:rsidRPr="004D46AC">
        <w:rPr>
          <w:rFonts w:ascii="Arial" w:hAnsi="Arial" w:cs="Arial"/>
          <w:noProof/>
          <w:szCs w:val="22"/>
        </w:rPr>
        <w:t xml:space="preserve">(6), 682–687. </w:t>
      </w:r>
      <w:hyperlink r:id="rId49" w:history="1">
        <w:r w:rsidRPr="004D46AC">
          <w:rPr>
            <w:rStyle w:val="af5"/>
            <w:rFonts w:ascii="Arial" w:hAnsi="Arial" w:cs="Arial"/>
            <w:noProof/>
            <w:szCs w:val="22"/>
          </w:rPr>
          <w:t>https://doi.org/10.1176/ajp.131.6.682</w:t>
        </w:r>
      </w:hyperlink>
      <w:r w:rsidRPr="004D46AC">
        <w:rPr>
          <w:rFonts w:ascii="Arial" w:hAnsi="Arial" w:cs="Arial"/>
          <w:noProof/>
          <w:szCs w:val="22"/>
        </w:rPr>
        <w:t xml:space="preserve"> </w:t>
      </w:r>
    </w:p>
    <w:p w14:paraId="1D33071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Carr, S. C., Hardy, A., &amp; Fornells-Ambrojo, M. (2018). Relationship between attachment style and symptom severity across the psychosis spectrum: A meta-analysis. </w:t>
      </w:r>
      <w:r w:rsidRPr="004D46AC">
        <w:rPr>
          <w:rFonts w:ascii="Arial" w:hAnsi="Arial" w:cs="Arial"/>
          <w:i/>
          <w:noProof/>
          <w:szCs w:val="22"/>
        </w:rPr>
        <w:t>Clinical Psychology Review</w:t>
      </w:r>
      <w:r w:rsidRPr="004D46AC">
        <w:rPr>
          <w:rFonts w:ascii="Arial" w:hAnsi="Arial" w:cs="Arial"/>
          <w:noProof/>
          <w:szCs w:val="22"/>
        </w:rPr>
        <w:t>,</w:t>
      </w:r>
      <w:r w:rsidRPr="004D46AC">
        <w:rPr>
          <w:rFonts w:ascii="Arial" w:hAnsi="Arial" w:cs="Arial"/>
          <w:i/>
          <w:noProof/>
          <w:szCs w:val="22"/>
        </w:rPr>
        <w:t xml:space="preserve"> 59</w:t>
      </w:r>
      <w:r w:rsidRPr="004D46AC">
        <w:rPr>
          <w:rFonts w:ascii="Arial" w:hAnsi="Arial" w:cs="Arial"/>
          <w:noProof/>
          <w:szCs w:val="22"/>
        </w:rPr>
        <w:t xml:space="preserve">, 145–158. </w:t>
      </w:r>
      <w:hyperlink r:id="rId50" w:history="1">
        <w:r w:rsidRPr="004D46AC">
          <w:rPr>
            <w:rStyle w:val="af5"/>
            <w:rFonts w:ascii="Arial" w:hAnsi="Arial" w:cs="Arial"/>
            <w:noProof/>
            <w:szCs w:val="22"/>
          </w:rPr>
          <w:t>https://doi.org/https://doi.org/10.1016/j.cpr.2017.12.001</w:t>
        </w:r>
      </w:hyperlink>
      <w:r w:rsidRPr="004D46AC">
        <w:rPr>
          <w:rFonts w:ascii="Arial" w:hAnsi="Arial" w:cs="Arial"/>
          <w:noProof/>
          <w:szCs w:val="22"/>
        </w:rPr>
        <w:t xml:space="preserve"> </w:t>
      </w:r>
    </w:p>
    <w:p w14:paraId="49A3275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Caspi, A., Houts, R. M., Belsky, D. W., Goldman-Mellor, S. J., Harrington, H., Israel, S., Meier, M. H., Ramrakha, S., Shalev, I., Poulton, R., &amp; Moffitt, T. E. (2014). The p Factor: One General Psychopathology Factor in the Structure of Psychiatric Disorders? </w:t>
      </w:r>
      <w:r w:rsidRPr="004D46AC">
        <w:rPr>
          <w:rFonts w:ascii="Arial" w:hAnsi="Arial" w:cs="Arial"/>
          <w:i/>
          <w:noProof/>
          <w:szCs w:val="22"/>
        </w:rPr>
        <w:t>Clin Psychol Sci</w:t>
      </w:r>
      <w:r w:rsidRPr="004D46AC">
        <w:rPr>
          <w:rFonts w:ascii="Arial" w:hAnsi="Arial" w:cs="Arial"/>
          <w:noProof/>
          <w:szCs w:val="22"/>
        </w:rPr>
        <w:t>,</w:t>
      </w:r>
      <w:r w:rsidRPr="004D46AC">
        <w:rPr>
          <w:rFonts w:ascii="Arial" w:hAnsi="Arial" w:cs="Arial"/>
          <w:i/>
          <w:noProof/>
          <w:szCs w:val="22"/>
        </w:rPr>
        <w:t xml:space="preserve"> 2</w:t>
      </w:r>
      <w:r w:rsidRPr="004D46AC">
        <w:rPr>
          <w:rFonts w:ascii="Arial" w:hAnsi="Arial" w:cs="Arial"/>
          <w:noProof/>
          <w:szCs w:val="22"/>
        </w:rPr>
        <w:t xml:space="preserve">(2), 119–137. </w:t>
      </w:r>
      <w:hyperlink r:id="rId51" w:history="1">
        <w:r w:rsidRPr="004D46AC">
          <w:rPr>
            <w:rStyle w:val="af5"/>
            <w:rFonts w:ascii="Arial" w:hAnsi="Arial" w:cs="Arial"/>
            <w:noProof/>
            <w:szCs w:val="22"/>
          </w:rPr>
          <w:t>https://doi.org/10.1177/2167702613497473</w:t>
        </w:r>
      </w:hyperlink>
      <w:r w:rsidRPr="004D46AC">
        <w:rPr>
          <w:rFonts w:ascii="Arial" w:hAnsi="Arial" w:cs="Arial"/>
          <w:noProof/>
          <w:szCs w:val="22"/>
        </w:rPr>
        <w:t xml:space="preserve"> </w:t>
      </w:r>
    </w:p>
    <w:p w14:paraId="1328FA5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Castillejos, M. C., Martín-Pérez, C., &amp; Moreno-Küstner, B. (2018). A systematic review and meta-analysis of the incidence of psychotic disorders: the distribution of rates and the influence of gender, urbanicity, immigration and socio-economic level. </w:t>
      </w:r>
      <w:r w:rsidRPr="004D46AC">
        <w:rPr>
          <w:rFonts w:ascii="Arial" w:hAnsi="Arial" w:cs="Arial"/>
          <w:i/>
          <w:noProof/>
          <w:szCs w:val="22"/>
        </w:rPr>
        <w:t>Psychological Medicine</w:t>
      </w:r>
      <w:r w:rsidRPr="004D46AC">
        <w:rPr>
          <w:rFonts w:ascii="Arial" w:hAnsi="Arial" w:cs="Arial"/>
          <w:noProof/>
          <w:szCs w:val="22"/>
        </w:rPr>
        <w:t>,</w:t>
      </w:r>
      <w:r w:rsidRPr="004D46AC">
        <w:rPr>
          <w:rFonts w:ascii="Arial" w:hAnsi="Arial" w:cs="Arial"/>
          <w:i/>
          <w:noProof/>
          <w:szCs w:val="22"/>
        </w:rPr>
        <w:t xml:space="preserve"> 48</w:t>
      </w:r>
      <w:r w:rsidRPr="004D46AC">
        <w:rPr>
          <w:rFonts w:ascii="Arial" w:hAnsi="Arial" w:cs="Arial"/>
          <w:noProof/>
          <w:szCs w:val="22"/>
        </w:rPr>
        <w:t xml:space="preserve">(13), 2101–2115. </w:t>
      </w:r>
      <w:hyperlink r:id="rId52" w:history="1">
        <w:r w:rsidRPr="004D46AC">
          <w:rPr>
            <w:rStyle w:val="af5"/>
            <w:rFonts w:ascii="Arial" w:hAnsi="Arial" w:cs="Arial"/>
            <w:noProof/>
            <w:szCs w:val="22"/>
          </w:rPr>
          <w:t>https://doi.org/10.1017/S0033291718000235</w:t>
        </w:r>
      </w:hyperlink>
      <w:r w:rsidRPr="004D46AC">
        <w:rPr>
          <w:rFonts w:ascii="Arial" w:hAnsi="Arial" w:cs="Arial"/>
          <w:noProof/>
          <w:szCs w:val="22"/>
        </w:rPr>
        <w:t xml:space="preserve"> </w:t>
      </w:r>
    </w:p>
    <w:p w14:paraId="26199FB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Cegla-Schvartzman, F., Ovejero, S., Lopez-Castroma, J., Palomar-Ciria, N., Migoya-Borja, M., Bello, H., Martinez-Ales, G., &amp; Baca-Garcia, E. (2021). Diagnostic Stability in Bipolar Disorder: A Follow-up Study in 130,000 Patient-Years. </w:t>
      </w:r>
      <w:r w:rsidRPr="004D46AC">
        <w:rPr>
          <w:rFonts w:ascii="Arial" w:hAnsi="Arial" w:cs="Arial"/>
          <w:i/>
          <w:noProof/>
          <w:szCs w:val="22"/>
        </w:rPr>
        <w:t>J Clin Psychiatry</w:t>
      </w:r>
      <w:r w:rsidRPr="004D46AC">
        <w:rPr>
          <w:rFonts w:ascii="Arial" w:hAnsi="Arial" w:cs="Arial"/>
          <w:noProof/>
          <w:szCs w:val="22"/>
        </w:rPr>
        <w:t>,</w:t>
      </w:r>
      <w:r w:rsidRPr="004D46AC">
        <w:rPr>
          <w:rFonts w:ascii="Arial" w:hAnsi="Arial" w:cs="Arial"/>
          <w:i/>
          <w:noProof/>
          <w:szCs w:val="22"/>
        </w:rPr>
        <w:t xml:space="preserve"> 82</w:t>
      </w:r>
      <w:r w:rsidRPr="004D46AC">
        <w:rPr>
          <w:rFonts w:ascii="Arial" w:hAnsi="Arial" w:cs="Arial"/>
          <w:noProof/>
          <w:szCs w:val="22"/>
        </w:rPr>
        <w:t xml:space="preserve">(6), 36681. </w:t>
      </w:r>
      <w:hyperlink r:id="rId53" w:history="1">
        <w:r w:rsidRPr="004D46AC">
          <w:rPr>
            <w:rStyle w:val="af5"/>
            <w:rFonts w:ascii="Arial" w:hAnsi="Arial" w:cs="Arial"/>
            <w:noProof/>
            <w:szCs w:val="22"/>
          </w:rPr>
          <w:t>https://doi.org/10.4088/JCP.20m13764</w:t>
        </w:r>
      </w:hyperlink>
      <w:r w:rsidRPr="004D46AC">
        <w:rPr>
          <w:rFonts w:ascii="Arial" w:hAnsi="Arial" w:cs="Arial"/>
          <w:noProof/>
          <w:szCs w:val="22"/>
        </w:rPr>
        <w:t xml:space="preserve"> </w:t>
      </w:r>
    </w:p>
    <w:p w14:paraId="401233A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Ceylan, D., Akdede, B. B., Bora, E., Aktener, A. Y., Hıdıroğlu Ongun, C., Tunca, Z., Alptekin, K., &amp; Özerdem, A. (2020). Neurocognitive functioning during symptomatic states and remission in bipolar disorder and schizophrenia: A comparative study. </w:t>
      </w:r>
      <w:r w:rsidRPr="004D46AC">
        <w:rPr>
          <w:rFonts w:ascii="Arial" w:hAnsi="Arial" w:cs="Arial"/>
          <w:i/>
          <w:noProof/>
          <w:szCs w:val="22"/>
        </w:rPr>
        <w:t>Psychiatry Res</w:t>
      </w:r>
      <w:r w:rsidRPr="004D46AC">
        <w:rPr>
          <w:rFonts w:ascii="Arial" w:hAnsi="Arial" w:cs="Arial"/>
          <w:noProof/>
          <w:szCs w:val="22"/>
        </w:rPr>
        <w:t>,</w:t>
      </w:r>
      <w:r w:rsidRPr="004D46AC">
        <w:rPr>
          <w:rFonts w:ascii="Arial" w:hAnsi="Arial" w:cs="Arial"/>
          <w:i/>
          <w:noProof/>
          <w:szCs w:val="22"/>
        </w:rPr>
        <w:t xml:space="preserve"> 292</w:t>
      </w:r>
      <w:r w:rsidRPr="004D46AC">
        <w:rPr>
          <w:rFonts w:ascii="Arial" w:hAnsi="Arial" w:cs="Arial"/>
          <w:noProof/>
          <w:szCs w:val="22"/>
        </w:rPr>
        <w:t xml:space="preserve">, 113292. </w:t>
      </w:r>
      <w:hyperlink r:id="rId54" w:history="1">
        <w:r w:rsidRPr="004D46AC">
          <w:rPr>
            <w:rStyle w:val="af5"/>
            <w:rFonts w:ascii="Arial" w:hAnsi="Arial" w:cs="Arial"/>
            <w:noProof/>
            <w:szCs w:val="22"/>
          </w:rPr>
          <w:t>https://doi.org/10.1016/j.psychres.2020.113292</w:t>
        </w:r>
      </w:hyperlink>
      <w:r w:rsidRPr="004D46AC">
        <w:rPr>
          <w:rFonts w:ascii="Arial" w:hAnsi="Arial" w:cs="Arial"/>
          <w:noProof/>
          <w:szCs w:val="22"/>
        </w:rPr>
        <w:t xml:space="preserve"> </w:t>
      </w:r>
    </w:p>
    <w:p w14:paraId="15559D7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Chakrabarti, S., &amp; Singh, N. (2022). Psychotic symptoms in bipolar disorder and their impact on the illness: A systematic review. </w:t>
      </w:r>
      <w:r w:rsidRPr="004D46AC">
        <w:rPr>
          <w:rFonts w:ascii="Arial" w:hAnsi="Arial" w:cs="Arial"/>
          <w:i/>
          <w:noProof/>
          <w:szCs w:val="22"/>
        </w:rPr>
        <w:t>World J Psychiatry</w:t>
      </w:r>
      <w:r w:rsidRPr="004D46AC">
        <w:rPr>
          <w:rFonts w:ascii="Arial" w:hAnsi="Arial" w:cs="Arial"/>
          <w:noProof/>
          <w:szCs w:val="22"/>
        </w:rPr>
        <w:t>,</w:t>
      </w:r>
      <w:r w:rsidRPr="004D46AC">
        <w:rPr>
          <w:rFonts w:ascii="Arial" w:hAnsi="Arial" w:cs="Arial"/>
          <w:i/>
          <w:noProof/>
          <w:szCs w:val="22"/>
        </w:rPr>
        <w:t xml:space="preserve"> 12</w:t>
      </w:r>
      <w:r w:rsidRPr="004D46AC">
        <w:rPr>
          <w:rFonts w:ascii="Arial" w:hAnsi="Arial" w:cs="Arial"/>
          <w:noProof/>
          <w:szCs w:val="22"/>
        </w:rPr>
        <w:t xml:space="preserve">(9), 1204–1232. </w:t>
      </w:r>
      <w:hyperlink r:id="rId55" w:history="1">
        <w:r w:rsidRPr="004D46AC">
          <w:rPr>
            <w:rStyle w:val="af5"/>
            <w:rFonts w:ascii="Arial" w:hAnsi="Arial" w:cs="Arial"/>
            <w:noProof/>
            <w:szCs w:val="22"/>
          </w:rPr>
          <w:t>https://doi.org/10.5498/wjp.v12.i9.1204</w:t>
        </w:r>
      </w:hyperlink>
      <w:r w:rsidRPr="004D46AC">
        <w:rPr>
          <w:rFonts w:ascii="Arial" w:hAnsi="Arial" w:cs="Arial"/>
          <w:noProof/>
          <w:szCs w:val="22"/>
        </w:rPr>
        <w:t xml:space="preserve"> </w:t>
      </w:r>
    </w:p>
    <w:p w14:paraId="108780E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Chiu, C. D., Li, D. J., Hsieh, Y. C., Chou, L. S., Au, J. S., Chen, Y. L., &amp; Lin, C. H. (2024). Linking childhood trauma and dissociation to psychotic symptoms in major depressive disorder, bipolar disorders, and schizophrenia: A transdiagnostic </w:t>
      </w:r>
      <w:r w:rsidRPr="004D46AC">
        <w:rPr>
          <w:rFonts w:ascii="Arial" w:hAnsi="Arial" w:cs="Arial"/>
          <w:noProof/>
          <w:szCs w:val="22"/>
        </w:rPr>
        <w:lastRenderedPageBreak/>
        <w:t xml:space="preserve">examination using patient and clinician ratings. </w:t>
      </w:r>
      <w:r w:rsidRPr="004D46AC">
        <w:rPr>
          <w:rFonts w:ascii="Arial" w:hAnsi="Arial" w:cs="Arial"/>
          <w:i/>
          <w:noProof/>
          <w:szCs w:val="22"/>
        </w:rPr>
        <w:t>Psychol Trauma</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(Suppl 1), S242–S249. </w:t>
      </w:r>
      <w:hyperlink r:id="rId56" w:history="1">
        <w:r w:rsidRPr="004D46AC">
          <w:rPr>
            <w:rStyle w:val="af5"/>
            <w:rFonts w:ascii="Arial" w:hAnsi="Arial" w:cs="Arial"/>
            <w:noProof/>
            <w:szCs w:val="22"/>
          </w:rPr>
          <w:t>https://doi.org/10.1037/tra0001584</w:t>
        </w:r>
      </w:hyperlink>
      <w:r w:rsidRPr="004D46AC">
        <w:rPr>
          <w:rFonts w:ascii="Arial" w:hAnsi="Arial" w:cs="Arial"/>
          <w:noProof/>
          <w:szCs w:val="22"/>
        </w:rPr>
        <w:t xml:space="preserve"> </w:t>
      </w:r>
    </w:p>
    <w:p w14:paraId="3968019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Cho, Y., Daeho, K., &amp; and Kim, S.-H. (2021). Prevalence and clinical correlates of childhood trauma among inpatients diagnosed with bipolar disorder: a matched comparison with schizophrenia. </w:t>
      </w:r>
      <w:r w:rsidRPr="004D46AC">
        <w:rPr>
          <w:rFonts w:ascii="Arial" w:hAnsi="Arial" w:cs="Arial"/>
          <w:i/>
          <w:noProof/>
          <w:szCs w:val="22"/>
        </w:rPr>
        <w:t>Psychosis</w:t>
      </w:r>
      <w:r w:rsidRPr="004D46AC">
        <w:rPr>
          <w:rFonts w:ascii="Arial" w:hAnsi="Arial" w:cs="Arial"/>
          <w:noProof/>
          <w:szCs w:val="22"/>
        </w:rPr>
        <w:t>,</w:t>
      </w:r>
      <w:r w:rsidRPr="004D46AC">
        <w:rPr>
          <w:rFonts w:ascii="Arial" w:hAnsi="Arial" w:cs="Arial"/>
          <w:i/>
          <w:noProof/>
          <w:szCs w:val="22"/>
        </w:rPr>
        <w:t xml:space="preserve"> 13</w:t>
      </w:r>
      <w:r w:rsidRPr="004D46AC">
        <w:rPr>
          <w:rFonts w:ascii="Arial" w:hAnsi="Arial" w:cs="Arial"/>
          <w:noProof/>
          <w:szCs w:val="22"/>
        </w:rPr>
        <w:t xml:space="preserve">(1), 13–23. </w:t>
      </w:r>
      <w:hyperlink r:id="rId57" w:history="1">
        <w:r w:rsidRPr="004D46AC">
          <w:rPr>
            <w:rStyle w:val="af5"/>
            <w:rFonts w:ascii="Arial" w:hAnsi="Arial" w:cs="Arial"/>
            <w:noProof/>
            <w:szCs w:val="22"/>
          </w:rPr>
          <w:t>https://doi.org/10.1080/17522439.2020.1801818</w:t>
        </w:r>
      </w:hyperlink>
      <w:r w:rsidRPr="004D46AC">
        <w:rPr>
          <w:rFonts w:ascii="Arial" w:hAnsi="Arial" w:cs="Arial"/>
          <w:noProof/>
          <w:szCs w:val="22"/>
        </w:rPr>
        <w:t xml:space="preserve"> </w:t>
      </w:r>
    </w:p>
    <w:p w14:paraId="6612E7F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Chouinard, V. A., Shinn, A. K., Valeri, L., Chouinard, P. A., Gardner, M. E., Asan, A. E., Cohen, B. M., &amp; Ongur, D. (2019). Visual hallucinations associated with multimodal hallucinations, suicide attempts and morbidity of illness in psychotic disorders.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208</w:t>
      </w:r>
      <w:r w:rsidRPr="004D46AC">
        <w:rPr>
          <w:rFonts w:ascii="Arial" w:hAnsi="Arial" w:cs="Arial"/>
          <w:noProof/>
          <w:szCs w:val="22"/>
        </w:rPr>
        <w:t xml:space="preserve">, 196–201. </w:t>
      </w:r>
      <w:hyperlink r:id="rId58" w:history="1">
        <w:r w:rsidRPr="004D46AC">
          <w:rPr>
            <w:rStyle w:val="af5"/>
            <w:rFonts w:ascii="Arial" w:hAnsi="Arial" w:cs="Arial"/>
            <w:noProof/>
            <w:szCs w:val="22"/>
          </w:rPr>
          <w:t>https://doi.org/10.1016/j.schres.2019.02.022</w:t>
        </w:r>
      </w:hyperlink>
      <w:r w:rsidRPr="004D46AC">
        <w:rPr>
          <w:rFonts w:ascii="Arial" w:hAnsi="Arial" w:cs="Arial"/>
          <w:noProof/>
          <w:szCs w:val="22"/>
        </w:rPr>
        <w:t xml:space="preserve"> </w:t>
      </w:r>
    </w:p>
    <w:p w14:paraId="7E5A835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Christensen, A. P., &amp; Golino, H. (2021). Estimating the Stability of Psychological Dimensions via Bootstrap Exploratory Graph Analysis: A Monte Carlo Simulation and Tutorial. </w:t>
      </w:r>
      <w:r w:rsidRPr="004D46AC">
        <w:rPr>
          <w:rFonts w:ascii="Arial" w:hAnsi="Arial" w:cs="Arial"/>
          <w:i/>
          <w:noProof/>
          <w:szCs w:val="22"/>
        </w:rPr>
        <w:t>Psych</w:t>
      </w:r>
      <w:r w:rsidRPr="004D46AC">
        <w:rPr>
          <w:rFonts w:ascii="Arial" w:hAnsi="Arial" w:cs="Arial"/>
          <w:noProof/>
          <w:szCs w:val="22"/>
        </w:rPr>
        <w:t>,</w:t>
      </w:r>
      <w:r w:rsidRPr="004D46AC">
        <w:rPr>
          <w:rFonts w:ascii="Arial" w:hAnsi="Arial" w:cs="Arial"/>
          <w:i/>
          <w:noProof/>
          <w:szCs w:val="22"/>
        </w:rPr>
        <w:t xml:space="preserve"> 3</w:t>
      </w:r>
      <w:r w:rsidRPr="004D46AC">
        <w:rPr>
          <w:rFonts w:ascii="Arial" w:hAnsi="Arial" w:cs="Arial"/>
          <w:noProof/>
          <w:szCs w:val="22"/>
        </w:rPr>
        <w:t xml:space="preserve">(3), 479–500. </w:t>
      </w:r>
    </w:p>
    <w:p w14:paraId="716E784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Christy, A., Cavero, D., Navajeeva, S., Murray-O'Shea, R., Rodriguez, V., Aas, M., Trotta, G., Moudiab, S., Garrido, N., Zamora, B., Sideli, L., Wrobel, A. L., Salazar de Pablo, G., &amp; Alameda, L. (2023). Association Between Childhood Adversity and Functional Outcomes in People With Psychosis: A Meta-analysis.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49</w:t>
      </w:r>
      <w:r w:rsidRPr="004D46AC">
        <w:rPr>
          <w:rFonts w:ascii="Arial" w:hAnsi="Arial" w:cs="Arial"/>
          <w:noProof/>
          <w:szCs w:val="22"/>
        </w:rPr>
        <w:t xml:space="preserve">(2), 285–296. </w:t>
      </w:r>
      <w:hyperlink r:id="rId59" w:history="1">
        <w:r w:rsidRPr="004D46AC">
          <w:rPr>
            <w:rStyle w:val="af5"/>
            <w:rFonts w:ascii="Arial" w:hAnsi="Arial" w:cs="Arial"/>
            <w:noProof/>
            <w:szCs w:val="22"/>
          </w:rPr>
          <w:t>https://doi.org/10.1093/schbul/sbac105</w:t>
        </w:r>
      </w:hyperlink>
      <w:r w:rsidRPr="004D46AC">
        <w:rPr>
          <w:rFonts w:ascii="Arial" w:hAnsi="Arial" w:cs="Arial"/>
          <w:noProof/>
          <w:szCs w:val="22"/>
        </w:rPr>
        <w:t xml:space="preserve"> </w:t>
      </w:r>
    </w:p>
    <w:p w14:paraId="360A030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Cichocki, Ł., Cechnicki, A., &amp; Polczyk, R. (2012). Consistency of symptomatic dimensions of schizophrenia over 20 years. </w:t>
      </w:r>
      <w:r w:rsidRPr="004D46AC">
        <w:rPr>
          <w:rFonts w:ascii="Arial" w:hAnsi="Arial" w:cs="Arial"/>
          <w:i/>
          <w:noProof/>
          <w:szCs w:val="22"/>
        </w:rPr>
        <w:t>Psychiatry Research</w:t>
      </w:r>
      <w:r w:rsidRPr="004D46AC">
        <w:rPr>
          <w:rFonts w:ascii="Arial" w:hAnsi="Arial" w:cs="Arial"/>
          <w:noProof/>
          <w:szCs w:val="22"/>
        </w:rPr>
        <w:t>,</w:t>
      </w:r>
      <w:r w:rsidRPr="004D46AC">
        <w:rPr>
          <w:rFonts w:ascii="Arial" w:hAnsi="Arial" w:cs="Arial"/>
          <w:i/>
          <w:noProof/>
          <w:szCs w:val="22"/>
        </w:rPr>
        <w:t xml:space="preserve"> 200</w:t>
      </w:r>
      <w:r w:rsidRPr="004D46AC">
        <w:rPr>
          <w:rFonts w:ascii="Arial" w:hAnsi="Arial" w:cs="Arial"/>
          <w:noProof/>
          <w:szCs w:val="22"/>
        </w:rPr>
        <w:t xml:space="preserve">(2-3), 115–119. </w:t>
      </w:r>
    </w:p>
    <w:p w14:paraId="39221FE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Conus, P., Abdel-Baki, A., Harrigan, S., Lambert, M., &amp; McGorry, P. D. (2004). Schneiderian first rank symptoms predict poor outcome within first episode manic psychosis.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81</w:t>
      </w:r>
      <w:r w:rsidRPr="004D46AC">
        <w:rPr>
          <w:rFonts w:ascii="Arial" w:hAnsi="Arial" w:cs="Arial"/>
          <w:noProof/>
          <w:szCs w:val="22"/>
        </w:rPr>
        <w:t xml:space="preserve">(3), 259–268. </w:t>
      </w:r>
      <w:hyperlink r:id="rId60" w:history="1">
        <w:r w:rsidRPr="004D46AC">
          <w:rPr>
            <w:rStyle w:val="af5"/>
            <w:rFonts w:ascii="Arial" w:hAnsi="Arial" w:cs="Arial"/>
            <w:noProof/>
            <w:szCs w:val="22"/>
          </w:rPr>
          <w:t>https://doi.org/10.1016/j.jad.2003.09.003</w:t>
        </w:r>
      </w:hyperlink>
      <w:r w:rsidRPr="004D46AC">
        <w:rPr>
          <w:rFonts w:ascii="Arial" w:hAnsi="Arial" w:cs="Arial"/>
          <w:noProof/>
          <w:szCs w:val="22"/>
        </w:rPr>
        <w:t xml:space="preserve"> </w:t>
      </w:r>
    </w:p>
    <w:p w14:paraId="6D2E688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Correll, C. U., &amp; Schooler, N. R. (2020). Negative Symptoms in Schizophrenia: A Review and Clinical Guide for Recognition, Assessment, and Treatment. </w:t>
      </w:r>
      <w:r w:rsidRPr="004D46AC">
        <w:rPr>
          <w:rFonts w:ascii="Arial" w:hAnsi="Arial" w:cs="Arial"/>
          <w:i/>
          <w:noProof/>
          <w:szCs w:val="22"/>
        </w:rPr>
        <w:t>Neuropsychiatr Dis Treat</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 519–534. </w:t>
      </w:r>
      <w:hyperlink r:id="rId61" w:history="1">
        <w:r w:rsidRPr="004D46AC">
          <w:rPr>
            <w:rStyle w:val="af5"/>
            <w:rFonts w:ascii="Arial" w:hAnsi="Arial" w:cs="Arial"/>
            <w:noProof/>
            <w:szCs w:val="22"/>
          </w:rPr>
          <w:t>https://doi.org/10.2147/NDT.S225643</w:t>
        </w:r>
      </w:hyperlink>
      <w:r w:rsidRPr="004D46AC">
        <w:rPr>
          <w:rFonts w:ascii="Arial" w:hAnsi="Arial" w:cs="Arial"/>
          <w:noProof/>
          <w:szCs w:val="22"/>
        </w:rPr>
        <w:t xml:space="preserve"> </w:t>
      </w:r>
    </w:p>
    <w:p w14:paraId="286E240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Cousin, F. R. (1999). Jules Baillarger (1809–1890). In </w:t>
      </w:r>
      <w:r w:rsidRPr="004D46AC">
        <w:rPr>
          <w:rFonts w:ascii="Arial" w:hAnsi="Arial" w:cs="Arial"/>
          <w:i/>
          <w:noProof/>
          <w:szCs w:val="22"/>
        </w:rPr>
        <w:t>WPA Anthology of French Language Psychiatric Texts</w:t>
      </w:r>
      <w:r w:rsidRPr="004D46AC">
        <w:rPr>
          <w:rFonts w:ascii="Arial" w:hAnsi="Arial" w:cs="Arial"/>
          <w:noProof/>
          <w:szCs w:val="22"/>
        </w:rPr>
        <w:t xml:space="preserve"> (pp. 181–198). </w:t>
      </w:r>
      <w:hyperlink r:id="rId62" w:history="1">
        <w:r w:rsidRPr="004D46AC">
          <w:rPr>
            <w:rStyle w:val="af5"/>
            <w:rFonts w:ascii="Arial" w:hAnsi="Arial" w:cs="Arial"/>
            <w:noProof/>
            <w:szCs w:val="22"/>
          </w:rPr>
          <w:t>https://doi.org/10.1002/9780470986738.ch11</w:t>
        </w:r>
      </w:hyperlink>
      <w:r w:rsidRPr="004D46AC">
        <w:rPr>
          <w:rFonts w:ascii="Arial" w:hAnsi="Arial" w:cs="Arial"/>
          <w:noProof/>
          <w:szCs w:val="22"/>
        </w:rPr>
        <w:t xml:space="preserve"> </w:t>
      </w:r>
    </w:p>
    <w:p w14:paraId="2468A73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Cowan, H. R., &amp; Mittal, V. A. (2021). Transdiagnostic Dimensions of Psychiatric Comorbidity in Individuals at Clinical High Risk for Psychosis: A Preliminary Study Informed by HiTOP [Brief Research Report]. </w:t>
      </w:r>
      <w:r w:rsidRPr="004D46AC">
        <w:rPr>
          <w:rFonts w:ascii="Arial" w:hAnsi="Arial" w:cs="Arial"/>
          <w:i/>
          <w:noProof/>
          <w:szCs w:val="22"/>
        </w:rPr>
        <w:t>Frontiers in Psychiatry</w:t>
      </w:r>
      <w:r w:rsidRPr="004D46AC">
        <w:rPr>
          <w:rFonts w:ascii="Arial" w:hAnsi="Arial" w:cs="Arial"/>
          <w:noProof/>
          <w:szCs w:val="22"/>
        </w:rPr>
        <w:t>,</w:t>
      </w:r>
      <w:r w:rsidRPr="004D46AC">
        <w:rPr>
          <w:rFonts w:ascii="Arial" w:hAnsi="Arial" w:cs="Arial"/>
          <w:i/>
          <w:noProof/>
          <w:szCs w:val="22"/>
        </w:rPr>
        <w:t xml:space="preserve"> Volume 11 - 2020</w:t>
      </w:r>
      <w:r w:rsidRPr="004D46AC">
        <w:rPr>
          <w:rFonts w:ascii="Arial" w:hAnsi="Arial" w:cs="Arial"/>
          <w:noProof/>
          <w:szCs w:val="22"/>
        </w:rPr>
        <w:t xml:space="preserve">. </w:t>
      </w:r>
      <w:hyperlink r:id="rId63" w:history="1">
        <w:r w:rsidRPr="004D46AC">
          <w:rPr>
            <w:rStyle w:val="af5"/>
            <w:rFonts w:ascii="Arial" w:hAnsi="Arial" w:cs="Arial"/>
            <w:noProof/>
            <w:szCs w:val="22"/>
          </w:rPr>
          <w:t>https://doi.org/10.3389/fpsyt.2020.614710</w:t>
        </w:r>
      </w:hyperlink>
      <w:r w:rsidRPr="004D46AC">
        <w:rPr>
          <w:rFonts w:ascii="Arial" w:hAnsi="Arial" w:cs="Arial"/>
          <w:noProof/>
          <w:szCs w:val="22"/>
        </w:rPr>
        <w:t xml:space="preserve"> </w:t>
      </w:r>
    </w:p>
    <w:p w14:paraId="5DE3A2D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Daneluzzo, E., Arduini, L., Rinaldi, O., Di Domenico, M., Petruzzi, C., Kalyvoka, A., &amp; Rossi, A. (2002). PANSS factors and scores in schizophrenic and bipolar disorders during an index acute episode: a further analysis of the cognitive component.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56</w:t>
      </w:r>
      <w:r w:rsidRPr="004D46AC">
        <w:rPr>
          <w:rFonts w:ascii="Arial" w:hAnsi="Arial" w:cs="Arial"/>
          <w:noProof/>
          <w:szCs w:val="22"/>
        </w:rPr>
        <w:t xml:space="preserve">(1-2), 129–136. </w:t>
      </w:r>
      <w:hyperlink r:id="rId64" w:history="1">
        <w:r w:rsidRPr="004D46AC">
          <w:rPr>
            <w:rStyle w:val="af5"/>
            <w:rFonts w:ascii="Arial" w:hAnsi="Arial" w:cs="Arial"/>
            <w:noProof/>
            <w:szCs w:val="22"/>
          </w:rPr>
          <w:t>https://doi.org/10.1016/s0920-9964(01)00277-8</w:t>
        </w:r>
      </w:hyperlink>
      <w:r w:rsidRPr="004D46AC">
        <w:rPr>
          <w:rFonts w:ascii="Arial" w:hAnsi="Arial" w:cs="Arial"/>
          <w:noProof/>
          <w:szCs w:val="22"/>
        </w:rPr>
        <w:t xml:space="preserve"> </w:t>
      </w:r>
    </w:p>
    <w:p w14:paraId="00EA5B3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De la Serna, E., Ilzarbe, D., Sugranyes, G., Baeza, I., Moreno, D., Rodríguez-Toscano, E., Espliego, A., Ayora, M., Romero, S., Sánchez-Gistau, V., &amp; Castro-Fornieles, J. (2021). Lifetime psychopathology in child and adolescent offspring of parents diagnosed with schizophrenia or bipolar disorder: a 2-year follow-up study. </w:t>
      </w:r>
      <w:r w:rsidRPr="004D46AC">
        <w:rPr>
          <w:rFonts w:ascii="Arial" w:hAnsi="Arial" w:cs="Arial"/>
          <w:i/>
          <w:noProof/>
          <w:szCs w:val="22"/>
        </w:rPr>
        <w:t>Eur Child Adolesc Psychiatry</w:t>
      </w:r>
      <w:r w:rsidRPr="004D46AC">
        <w:rPr>
          <w:rFonts w:ascii="Arial" w:hAnsi="Arial" w:cs="Arial"/>
          <w:noProof/>
          <w:szCs w:val="22"/>
        </w:rPr>
        <w:t>,</w:t>
      </w:r>
      <w:r w:rsidRPr="004D46AC">
        <w:rPr>
          <w:rFonts w:ascii="Arial" w:hAnsi="Arial" w:cs="Arial"/>
          <w:i/>
          <w:noProof/>
          <w:szCs w:val="22"/>
        </w:rPr>
        <w:t xml:space="preserve"> 30</w:t>
      </w:r>
      <w:r w:rsidRPr="004D46AC">
        <w:rPr>
          <w:rFonts w:ascii="Arial" w:hAnsi="Arial" w:cs="Arial"/>
          <w:noProof/>
          <w:szCs w:val="22"/>
        </w:rPr>
        <w:t xml:space="preserve">(1), 117–129. </w:t>
      </w:r>
      <w:hyperlink r:id="rId65" w:history="1">
        <w:r w:rsidRPr="004D46AC">
          <w:rPr>
            <w:rStyle w:val="af5"/>
            <w:rFonts w:ascii="Arial" w:hAnsi="Arial" w:cs="Arial"/>
            <w:noProof/>
            <w:szCs w:val="22"/>
          </w:rPr>
          <w:t>https://doi.org/10.1007/s00787-020-01500-z</w:t>
        </w:r>
      </w:hyperlink>
      <w:r w:rsidRPr="004D46AC">
        <w:rPr>
          <w:rFonts w:ascii="Arial" w:hAnsi="Arial" w:cs="Arial"/>
          <w:noProof/>
          <w:szCs w:val="22"/>
        </w:rPr>
        <w:t xml:space="preserve"> </w:t>
      </w:r>
    </w:p>
    <w:p w14:paraId="39B8EE7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De Pieri, M., Berg, X., Georgiadis, F., Brakowski, J., Burrer, A., Sabe, M., Kaliuzhna, M., Vetter, S., Seifritz, E., Homan, P., Kaiser, S., &amp; Kirschner, M. (2024). Negative Symptoms and Their Associations With Other Clinical Variables and Working Memory Across the Schizophrenia Spectrum and Bipolar Disorder. </w:t>
      </w:r>
      <w:r w:rsidRPr="004D46AC">
        <w:rPr>
          <w:rFonts w:ascii="Arial" w:hAnsi="Arial" w:cs="Arial"/>
          <w:i/>
          <w:noProof/>
          <w:szCs w:val="22"/>
        </w:rPr>
        <w:t>Schizophr Bull Open</w:t>
      </w:r>
      <w:r w:rsidRPr="004D46AC">
        <w:rPr>
          <w:rFonts w:ascii="Arial" w:hAnsi="Arial" w:cs="Arial"/>
          <w:noProof/>
          <w:szCs w:val="22"/>
        </w:rPr>
        <w:t>,</w:t>
      </w:r>
      <w:r w:rsidRPr="004D46AC">
        <w:rPr>
          <w:rFonts w:ascii="Arial" w:hAnsi="Arial" w:cs="Arial"/>
          <w:i/>
          <w:noProof/>
          <w:szCs w:val="22"/>
        </w:rPr>
        <w:t xml:space="preserve"> 5</w:t>
      </w:r>
      <w:r w:rsidRPr="004D46AC">
        <w:rPr>
          <w:rFonts w:ascii="Arial" w:hAnsi="Arial" w:cs="Arial"/>
          <w:noProof/>
          <w:szCs w:val="22"/>
        </w:rPr>
        <w:t xml:space="preserve">(1), sgae024. </w:t>
      </w:r>
      <w:hyperlink r:id="rId66" w:history="1">
        <w:r w:rsidRPr="004D46AC">
          <w:rPr>
            <w:rStyle w:val="af5"/>
            <w:rFonts w:ascii="Arial" w:hAnsi="Arial" w:cs="Arial"/>
            <w:noProof/>
            <w:szCs w:val="22"/>
          </w:rPr>
          <w:t>https://doi.org/10.1093/schizbullopen/sgae024</w:t>
        </w:r>
      </w:hyperlink>
      <w:r w:rsidRPr="004D46AC">
        <w:rPr>
          <w:rFonts w:ascii="Arial" w:hAnsi="Arial" w:cs="Arial"/>
          <w:noProof/>
          <w:szCs w:val="22"/>
        </w:rPr>
        <w:t xml:space="preserve"> </w:t>
      </w:r>
    </w:p>
    <w:p w14:paraId="06A0532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de With, J., Korver-Nieberg, N., de Haan, L., &amp; Schirmbeck, F. (2023). The association between attachment style and social functioning in patients with non-affective psychotic disorders, unaffected siblings and healthy controls. </w:t>
      </w:r>
      <w:r w:rsidRPr="004D46AC">
        <w:rPr>
          <w:rFonts w:ascii="Arial" w:hAnsi="Arial" w:cs="Arial"/>
          <w:i/>
          <w:noProof/>
          <w:szCs w:val="22"/>
        </w:rPr>
        <w:t>Schizophrenia Research</w:t>
      </w:r>
      <w:r w:rsidRPr="004D46AC">
        <w:rPr>
          <w:rFonts w:ascii="Arial" w:hAnsi="Arial" w:cs="Arial"/>
          <w:noProof/>
          <w:szCs w:val="22"/>
        </w:rPr>
        <w:t>,</w:t>
      </w:r>
      <w:r w:rsidRPr="004D46AC">
        <w:rPr>
          <w:rFonts w:ascii="Arial" w:hAnsi="Arial" w:cs="Arial"/>
          <w:i/>
          <w:noProof/>
          <w:szCs w:val="22"/>
        </w:rPr>
        <w:t xml:space="preserve"> 252</w:t>
      </w:r>
      <w:r w:rsidRPr="004D46AC">
        <w:rPr>
          <w:rFonts w:ascii="Arial" w:hAnsi="Arial" w:cs="Arial"/>
          <w:noProof/>
          <w:szCs w:val="22"/>
        </w:rPr>
        <w:t xml:space="preserve">, 96–102. </w:t>
      </w:r>
      <w:hyperlink r:id="rId67" w:history="1">
        <w:r w:rsidRPr="004D46AC">
          <w:rPr>
            <w:rStyle w:val="af5"/>
            <w:rFonts w:ascii="Arial" w:hAnsi="Arial" w:cs="Arial"/>
            <w:noProof/>
            <w:szCs w:val="22"/>
          </w:rPr>
          <w:t>https://doi.org/https://doi.org/10.1016/j.schres.2022.12.038</w:t>
        </w:r>
      </w:hyperlink>
      <w:r w:rsidRPr="004D46AC">
        <w:rPr>
          <w:rFonts w:ascii="Arial" w:hAnsi="Arial" w:cs="Arial"/>
          <w:noProof/>
          <w:szCs w:val="22"/>
        </w:rPr>
        <w:t xml:space="preserve"> </w:t>
      </w:r>
    </w:p>
    <w:p w14:paraId="4FA1AB0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Devi, F., Shahwan, S., Teh, W. L., Sambasivam, R., Zhang, Y. J., Lau, Y. W., Ong, S. H., Fung, D., Gupta, B., &amp; Chong, S. A. (2019). The prevalence of childhood trauma in psychiatric outpatients. </w:t>
      </w:r>
      <w:r w:rsidRPr="004D46AC">
        <w:rPr>
          <w:rFonts w:ascii="Arial" w:hAnsi="Arial" w:cs="Arial"/>
          <w:i/>
          <w:noProof/>
          <w:szCs w:val="22"/>
        </w:rPr>
        <w:t>Annals of General Psychiatry</w:t>
      </w:r>
      <w:r w:rsidRPr="004D46AC">
        <w:rPr>
          <w:rFonts w:ascii="Arial" w:hAnsi="Arial" w:cs="Arial"/>
          <w:noProof/>
          <w:szCs w:val="22"/>
        </w:rPr>
        <w:t>,</w:t>
      </w:r>
      <w:r w:rsidRPr="004D46AC">
        <w:rPr>
          <w:rFonts w:ascii="Arial" w:hAnsi="Arial" w:cs="Arial"/>
          <w:i/>
          <w:noProof/>
          <w:szCs w:val="22"/>
        </w:rPr>
        <w:t xml:space="preserve"> 18</w:t>
      </w:r>
      <w:r w:rsidRPr="004D46AC">
        <w:rPr>
          <w:rFonts w:ascii="Arial" w:hAnsi="Arial" w:cs="Arial"/>
          <w:noProof/>
          <w:szCs w:val="22"/>
        </w:rPr>
        <w:t xml:space="preserve">, 1–8. </w:t>
      </w:r>
    </w:p>
    <w:p w14:paraId="082BBC9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Elowe, J., Vallat, J., Castelao, E., Strippoli, M. F., Gholam, M., Ranjbar, S., Glaus, J., Merikangas, K., Lavigne, B., Marquet, P., Preisig, M., &amp; Vandeleur, C. L. (2022). Psychotic features, particularly mood incongruence, as a hallmark of severity of bipolar I disorder. </w:t>
      </w:r>
      <w:r w:rsidRPr="004D46AC">
        <w:rPr>
          <w:rFonts w:ascii="Arial" w:hAnsi="Arial" w:cs="Arial"/>
          <w:i/>
          <w:noProof/>
          <w:szCs w:val="22"/>
        </w:rPr>
        <w:t>Int J Bipolar Disord</w:t>
      </w:r>
      <w:r w:rsidRPr="004D46AC">
        <w:rPr>
          <w:rFonts w:ascii="Arial" w:hAnsi="Arial" w:cs="Arial"/>
          <w:noProof/>
          <w:szCs w:val="22"/>
        </w:rPr>
        <w:t>,</w:t>
      </w:r>
      <w:r w:rsidRPr="004D46AC">
        <w:rPr>
          <w:rFonts w:ascii="Arial" w:hAnsi="Arial" w:cs="Arial"/>
          <w:i/>
          <w:noProof/>
          <w:szCs w:val="22"/>
        </w:rPr>
        <w:t xml:space="preserve"> 10</w:t>
      </w:r>
      <w:r w:rsidRPr="004D46AC">
        <w:rPr>
          <w:rFonts w:ascii="Arial" w:hAnsi="Arial" w:cs="Arial"/>
          <w:noProof/>
          <w:szCs w:val="22"/>
        </w:rPr>
        <w:t xml:space="preserve">(1), 31. </w:t>
      </w:r>
      <w:hyperlink r:id="rId68" w:history="1">
        <w:r w:rsidRPr="004D46AC">
          <w:rPr>
            <w:rStyle w:val="af5"/>
            <w:rFonts w:ascii="Arial" w:hAnsi="Arial" w:cs="Arial"/>
            <w:noProof/>
            <w:szCs w:val="22"/>
          </w:rPr>
          <w:t>https://doi.org/10.1186/s40345-022-00280-6</w:t>
        </w:r>
      </w:hyperlink>
      <w:r w:rsidRPr="004D46AC">
        <w:rPr>
          <w:rFonts w:ascii="Arial" w:hAnsi="Arial" w:cs="Arial"/>
          <w:noProof/>
          <w:szCs w:val="22"/>
        </w:rPr>
        <w:t xml:space="preserve"> </w:t>
      </w:r>
    </w:p>
    <w:p w14:paraId="10EE761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Faedda, G. L., Baldessarini, R. J., Marangoni, C., Bechdolf, A., Berk, M., Birmaher, B., Conus, P., DelBello, M. P., Duffy, A. C., Hillegers, M. H. J., Pfennig, A., Post, R. M., Preisig, M., Ratheesh, A., Salvatore, P., Tohen, M., Vázquez, G. H., Vieta, E., Yatham, L. N.,…Correll, C. U. (2019). An International Society of Bipolar Disorders task force report: Precursors and prodromes of bipolar disorder. </w:t>
      </w:r>
      <w:r w:rsidRPr="004D46AC">
        <w:rPr>
          <w:rFonts w:ascii="Arial" w:hAnsi="Arial" w:cs="Arial"/>
          <w:i/>
          <w:noProof/>
          <w:szCs w:val="22"/>
        </w:rPr>
        <w:t>Bipolar Disorders</w:t>
      </w:r>
      <w:r w:rsidRPr="004D46AC">
        <w:rPr>
          <w:rFonts w:ascii="Arial" w:hAnsi="Arial" w:cs="Arial"/>
          <w:noProof/>
          <w:szCs w:val="22"/>
        </w:rPr>
        <w:t>,</w:t>
      </w:r>
      <w:r w:rsidRPr="004D46AC">
        <w:rPr>
          <w:rFonts w:ascii="Arial" w:hAnsi="Arial" w:cs="Arial"/>
          <w:i/>
          <w:noProof/>
          <w:szCs w:val="22"/>
        </w:rPr>
        <w:t xml:space="preserve"> 21</w:t>
      </w:r>
      <w:r w:rsidRPr="004D46AC">
        <w:rPr>
          <w:rFonts w:ascii="Arial" w:hAnsi="Arial" w:cs="Arial"/>
          <w:noProof/>
          <w:szCs w:val="22"/>
        </w:rPr>
        <w:t xml:space="preserve">(8), 720–740. </w:t>
      </w:r>
      <w:hyperlink r:id="rId69" w:history="1">
        <w:r w:rsidRPr="004D46AC">
          <w:rPr>
            <w:rStyle w:val="af5"/>
            <w:rFonts w:ascii="Arial" w:hAnsi="Arial" w:cs="Arial"/>
            <w:noProof/>
            <w:szCs w:val="22"/>
          </w:rPr>
          <w:t>https://doi.org/https://doi.org/10.1111/bdi.12831</w:t>
        </w:r>
      </w:hyperlink>
      <w:r w:rsidRPr="004D46AC">
        <w:rPr>
          <w:rFonts w:ascii="Arial" w:hAnsi="Arial" w:cs="Arial"/>
          <w:noProof/>
          <w:szCs w:val="22"/>
        </w:rPr>
        <w:t xml:space="preserve"> </w:t>
      </w:r>
    </w:p>
    <w:p w14:paraId="2734777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Fajutrao, L., Locklear, J., Priaulx, J., &amp; Heyes, A. (2009). A systematic review of the evidence of the burden of bipolar disorder in Europe. </w:t>
      </w:r>
      <w:r w:rsidRPr="004D46AC">
        <w:rPr>
          <w:rFonts w:ascii="Arial" w:hAnsi="Arial" w:cs="Arial"/>
          <w:i/>
          <w:noProof/>
          <w:szCs w:val="22"/>
        </w:rPr>
        <w:t>Clin Pract Epidemiol Ment Health</w:t>
      </w:r>
      <w:r w:rsidRPr="004D46AC">
        <w:rPr>
          <w:rFonts w:ascii="Arial" w:hAnsi="Arial" w:cs="Arial"/>
          <w:noProof/>
          <w:szCs w:val="22"/>
        </w:rPr>
        <w:t>,</w:t>
      </w:r>
      <w:r w:rsidRPr="004D46AC">
        <w:rPr>
          <w:rFonts w:ascii="Arial" w:hAnsi="Arial" w:cs="Arial"/>
          <w:i/>
          <w:noProof/>
          <w:szCs w:val="22"/>
        </w:rPr>
        <w:t xml:space="preserve"> 5</w:t>
      </w:r>
      <w:r w:rsidRPr="004D46AC">
        <w:rPr>
          <w:rFonts w:ascii="Arial" w:hAnsi="Arial" w:cs="Arial"/>
          <w:noProof/>
          <w:szCs w:val="22"/>
        </w:rPr>
        <w:t xml:space="preserve">, 3. </w:t>
      </w:r>
      <w:hyperlink r:id="rId70" w:history="1">
        <w:r w:rsidRPr="004D46AC">
          <w:rPr>
            <w:rStyle w:val="af5"/>
            <w:rFonts w:ascii="Arial" w:hAnsi="Arial" w:cs="Arial"/>
            <w:noProof/>
            <w:szCs w:val="22"/>
          </w:rPr>
          <w:t>https://doi.org/10.1186/1745-0179-5-3</w:t>
        </w:r>
      </w:hyperlink>
      <w:r w:rsidRPr="004D46AC">
        <w:rPr>
          <w:rFonts w:ascii="Arial" w:hAnsi="Arial" w:cs="Arial"/>
          <w:noProof/>
          <w:szCs w:val="22"/>
        </w:rPr>
        <w:t xml:space="preserve"> </w:t>
      </w:r>
    </w:p>
    <w:p w14:paraId="22D8E64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Faris, R. E. L., &amp; Dunham, H. W. (1939). </w:t>
      </w:r>
      <w:r w:rsidRPr="004D46AC">
        <w:rPr>
          <w:rFonts w:ascii="Arial" w:hAnsi="Arial" w:cs="Arial"/>
          <w:i/>
          <w:noProof/>
          <w:szCs w:val="22"/>
        </w:rPr>
        <w:t>Mental disorders in urban areas: an ecological study of schizophrenia and other psychoses</w:t>
      </w:r>
      <w:r w:rsidRPr="004D46AC">
        <w:rPr>
          <w:rFonts w:ascii="Arial" w:hAnsi="Arial" w:cs="Arial"/>
          <w:noProof/>
          <w:szCs w:val="22"/>
        </w:rPr>
        <w:t xml:space="preserve">. Univ. Chicago Press. </w:t>
      </w:r>
    </w:p>
    <w:p w14:paraId="760712E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Fava, G. A., &amp; Kellner, R. (1991). Prodromal symptoms in affective disorders. </w:t>
      </w:r>
      <w:r w:rsidRPr="004D46AC">
        <w:rPr>
          <w:rFonts w:ascii="Arial" w:hAnsi="Arial" w:cs="Arial"/>
          <w:i/>
          <w:noProof/>
          <w:szCs w:val="22"/>
        </w:rPr>
        <w:t>Am J Psychiatry</w:t>
      </w:r>
      <w:r w:rsidRPr="004D46AC">
        <w:rPr>
          <w:rFonts w:ascii="Arial" w:hAnsi="Arial" w:cs="Arial"/>
          <w:noProof/>
          <w:szCs w:val="22"/>
        </w:rPr>
        <w:t>,</w:t>
      </w:r>
      <w:r w:rsidRPr="004D46AC">
        <w:rPr>
          <w:rFonts w:ascii="Arial" w:hAnsi="Arial" w:cs="Arial"/>
          <w:i/>
          <w:noProof/>
          <w:szCs w:val="22"/>
        </w:rPr>
        <w:t xml:space="preserve"> 148</w:t>
      </w:r>
      <w:r w:rsidRPr="004D46AC">
        <w:rPr>
          <w:rFonts w:ascii="Arial" w:hAnsi="Arial" w:cs="Arial"/>
          <w:noProof/>
          <w:szCs w:val="22"/>
        </w:rPr>
        <w:t xml:space="preserve">(7), 823–830. </w:t>
      </w:r>
      <w:hyperlink r:id="rId71" w:history="1">
        <w:r w:rsidRPr="004D46AC">
          <w:rPr>
            <w:rStyle w:val="af5"/>
            <w:rFonts w:ascii="Arial" w:hAnsi="Arial" w:cs="Arial"/>
            <w:noProof/>
            <w:szCs w:val="22"/>
          </w:rPr>
          <w:t>https://doi.org/10.1176/ajp.148.7.823</w:t>
        </w:r>
      </w:hyperlink>
      <w:r w:rsidRPr="004D46AC">
        <w:rPr>
          <w:rFonts w:ascii="Arial" w:hAnsi="Arial" w:cs="Arial"/>
          <w:noProof/>
          <w:szCs w:val="22"/>
        </w:rPr>
        <w:t xml:space="preserve"> </w:t>
      </w:r>
    </w:p>
    <w:p w14:paraId="086CEAF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Favaretto, E., &amp; Torresani, S. (1997). The parental bonding as predictive factor for the development of adult psychiatric disorders. </w:t>
      </w:r>
      <w:r w:rsidRPr="004D46AC">
        <w:rPr>
          <w:rFonts w:ascii="Arial" w:hAnsi="Arial" w:cs="Arial"/>
          <w:i/>
          <w:noProof/>
          <w:szCs w:val="22"/>
        </w:rPr>
        <w:t>Epidemiologia e Psichiatria Sociale</w:t>
      </w:r>
      <w:r w:rsidRPr="004D46AC">
        <w:rPr>
          <w:rFonts w:ascii="Arial" w:hAnsi="Arial" w:cs="Arial"/>
          <w:noProof/>
          <w:szCs w:val="22"/>
        </w:rPr>
        <w:t>,</w:t>
      </w:r>
      <w:r w:rsidRPr="004D46AC">
        <w:rPr>
          <w:rFonts w:ascii="Arial" w:hAnsi="Arial" w:cs="Arial"/>
          <w:i/>
          <w:noProof/>
          <w:szCs w:val="22"/>
        </w:rPr>
        <w:t xml:space="preserve"> 6</w:t>
      </w:r>
      <w:r w:rsidRPr="004D46AC">
        <w:rPr>
          <w:rFonts w:ascii="Arial" w:hAnsi="Arial" w:cs="Arial"/>
          <w:noProof/>
          <w:szCs w:val="22"/>
        </w:rPr>
        <w:t xml:space="preserve">(2), 124–138. </w:t>
      </w:r>
      <w:hyperlink r:id="rId72" w:history="1">
        <w:r w:rsidRPr="004D46AC">
          <w:rPr>
            <w:rStyle w:val="af5"/>
            <w:rFonts w:ascii="Arial" w:hAnsi="Arial" w:cs="Arial"/>
            <w:noProof/>
            <w:szCs w:val="22"/>
          </w:rPr>
          <w:t>https://doi.org/10.1017/S1121189X00004929</w:t>
        </w:r>
      </w:hyperlink>
      <w:r w:rsidRPr="004D46AC">
        <w:rPr>
          <w:rFonts w:ascii="Arial" w:hAnsi="Arial" w:cs="Arial"/>
          <w:noProof/>
          <w:szCs w:val="22"/>
        </w:rPr>
        <w:t xml:space="preserve"> </w:t>
      </w:r>
    </w:p>
    <w:p w14:paraId="557F688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Fennig, S., Bromet, E. J., Karant, M. T., Ram, R., &amp; Jandorf, L. (1996). Mood-congruent versus mood-incongruent psychotic symptoms in first-admission patients with affective disorder.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37</w:t>
      </w:r>
      <w:r w:rsidRPr="004D46AC">
        <w:rPr>
          <w:rFonts w:ascii="Arial" w:hAnsi="Arial" w:cs="Arial"/>
          <w:noProof/>
          <w:szCs w:val="22"/>
        </w:rPr>
        <w:t xml:space="preserve">(1), 23–29. </w:t>
      </w:r>
      <w:hyperlink r:id="rId73" w:history="1">
        <w:r w:rsidRPr="004D46AC">
          <w:rPr>
            <w:rStyle w:val="af5"/>
            <w:rFonts w:ascii="Arial" w:hAnsi="Arial" w:cs="Arial"/>
            <w:noProof/>
            <w:szCs w:val="22"/>
          </w:rPr>
          <w:t>https://doi.org/10.1016/0165-0327(95)00073-9</w:t>
        </w:r>
      </w:hyperlink>
      <w:r w:rsidRPr="004D46AC">
        <w:rPr>
          <w:rFonts w:ascii="Arial" w:hAnsi="Arial" w:cs="Arial"/>
          <w:noProof/>
          <w:szCs w:val="22"/>
        </w:rPr>
        <w:t xml:space="preserve"> </w:t>
      </w:r>
    </w:p>
    <w:p w14:paraId="13DA494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Fonseca-Pedrero, E., Ortuño-Sierra, J., Inchausti, F., Rodríguez-Testal, J. F., &amp; Debbané, M. (2020). Beyond Clinical High-Risk State for Psychosis: The Network Structure of Multidimensional Psychosis Liability in Adolescents [Original Research]. </w:t>
      </w:r>
      <w:r w:rsidRPr="004D46AC">
        <w:rPr>
          <w:rFonts w:ascii="Arial" w:hAnsi="Arial" w:cs="Arial"/>
          <w:i/>
          <w:noProof/>
          <w:szCs w:val="22"/>
        </w:rPr>
        <w:t>Frontiers in Psychiatry</w:t>
      </w:r>
      <w:r w:rsidRPr="004D46AC">
        <w:rPr>
          <w:rFonts w:ascii="Arial" w:hAnsi="Arial" w:cs="Arial"/>
          <w:noProof/>
          <w:szCs w:val="22"/>
        </w:rPr>
        <w:t>,</w:t>
      </w:r>
      <w:r w:rsidRPr="004D46AC">
        <w:rPr>
          <w:rFonts w:ascii="Arial" w:hAnsi="Arial" w:cs="Arial"/>
          <w:i/>
          <w:noProof/>
          <w:szCs w:val="22"/>
        </w:rPr>
        <w:t xml:space="preserve"> 10</w:t>
      </w:r>
      <w:r w:rsidRPr="004D46AC">
        <w:rPr>
          <w:rFonts w:ascii="Arial" w:hAnsi="Arial" w:cs="Arial"/>
          <w:noProof/>
          <w:szCs w:val="22"/>
        </w:rPr>
        <w:t xml:space="preserve">. </w:t>
      </w:r>
      <w:hyperlink r:id="rId74" w:history="1">
        <w:r w:rsidRPr="004D46AC">
          <w:rPr>
            <w:rStyle w:val="af5"/>
            <w:rFonts w:ascii="Arial" w:hAnsi="Arial" w:cs="Arial"/>
            <w:noProof/>
            <w:szCs w:val="22"/>
          </w:rPr>
          <w:t>https://doi.org/10.3389/fpsyt.2019.00967</w:t>
        </w:r>
      </w:hyperlink>
      <w:r w:rsidRPr="004D46AC">
        <w:rPr>
          <w:rFonts w:ascii="Arial" w:hAnsi="Arial" w:cs="Arial"/>
          <w:noProof/>
          <w:szCs w:val="22"/>
        </w:rPr>
        <w:t xml:space="preserve"> </w:t>
      </w:r>
    </w:p>
    <w:p w14:paraId="383B00A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França, G., Laranjeira, E., Silva, F., Monteiro, L., Moreira, A. M., &amp; Carvalho, S. (2020). Attachment Style and Insight in Schizophrenia: a Cross-Sectional Study. </w:t>
      </w:r>
      <w:r w:rsidRPr="004D46AC">
        <w:rPr>
          <w:rFonts w:ascii="Arial" w:hAnsi="Arial" w:cs="Arial"/>
          <w:i/>
          <w:noProof/>
          <w:szCs w:val="22"/>
        </w:rPr>
        <w:t>Psychiatric Quarterly</w:t>
      </w:r>
      <w:r w:rsidRPr="004D46AC">
        <w:rPr>
          <w:rFonts w:ascii="Arial" w:hAnsi="Arial" w:cs="Arial"/>
          <w:noProof/>
          <w:szCs w:val="22"/>
        </w:rPr>
        <w:t>,</w:t>
      </w:r>
      <w:r w:rsidRPr="004D46AC">
        <w:rPr>
          <w:rFonts w:ascii="Arial" w:hAnsi="Arial" w:cs="Arial"/>
          <w:i/>
          <w:noProof/>
          <w:szCs w:val="22"/>
        </w:rPr>
        <w:t xml:space="preserve"> 91</w:t>
      </w:r>
      <w:r w:rsidRPr="004D46AC">
        <w:rPr>
          <w:rFonts w:ascii="Arial" w:hAnsi="Arial" w:cs="Arial"/>
          <w:noProof/>
          <w:szCs w:val="22"/>
        </w:rPr>
        <w:t xml:space="preserve">(1), 31–43. </w:t>
      </w:r>
      <w:hyperlink r:id="rId75" w:history="1">
        <w:r w:rsidRPr="004D46AC">
          <w:rPr>
            <w:rStyle w:val="af5"/>
            <w:rFonts w:ascii="Arial" w:hAnsi="Arial" w:cs="Arial"/>
            <w:noProof/>
            <w:szCs w:val="22"/>
          </w:rPr>
          <w:t>https://doi.org/10.1007/s11126-019-09675-8</w:t>
        </w:r>
      </w:hyperlink>
      <w:r w:rsidRPr="004D46AC">
        <w:rPr>
          <w:rFonts w:ascii="Arial" w:hAnsi="Arial" w:cs="Arial"/>
          <w:noProof/>
          <w:szCs w:val="22"/>
        </w:rPr>
        <w:t xml:space="preserve"> </w:t>
      </w:r>
    </w:p>
    <w:p w14:paraId="4A945C1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Freeston, M. H., Rhéaume, J., Letarte, H., Dugas, M. J., &amp; Ladouceur, R. (1994). Why do people worry? </w:t>
      </w:r>
      <w:r w:rsidRPr="004D46AC">
        <w:rPr>
          <w:rFonts w:ascii="Arial" w:hAnsi="Arial" w:cs="Arial"/>
          <w:i/>
          <w:noProof/>
          <w:szCs w:val="22"/>
        </w:rPr>
        <w:t>Personality and Individual differences</w:t>
      </w:r>
      <w:r w:rsidRPr="004D46AC">
        <w:rPr>
          <w:rFonts w:ascii="Arial" w:hAnsi="Arial" w:cs="Arial"/>
          <w:noProof/>
          <w:szCs w:val="22"/>
        </w:rPr>
        <w:t>,</w:t>
      </w:r>
      <w:r w:rsidRPr="004D46AC">
        <w:rPr>
          <w:rFonts w:ascii="Arial" w:hAnsi="Arial" w:cs="Arial"/>
          <w:i/>
          <w:noProof/>
          <w:szCs w:val="22"/>
        </w:rPr>
        <w:t xml:space="preserve"> 17</w:t>
      </w:r>
      <w:r w:rsidRPr="004D46AC">
        <w:rPr>
          <w:rFonts w:ascii="Arial" w:hAnsi="Arial" w:cs="Arial"/>
          <w:noProof/>
          <w:szCs w:val="22"/>
        </w:rPr>
        <w:t xml:space="preserve">(6), 791–802. </w:t>
      </w:r>
      <w:hyperlink r:id="rId76" w:history="1">
        <w:r w:rsidRPr="004D46AC">
          <w:rPr>
            <w:rStyle w:val="af5"/>
            <w:rFonts w:ascii="Arial" w:hAnsi="Arial" w:cs="Arial"/>
            <w:noProof/>
            <w:szCs w:val="22"/>
          </w:rPr>
          <w:t>https://doi.org/https://doi.org/10.1016/0191-8869(94)90048-5</w:t>
        </w:r>
      </w:hyperlink>
      <w:r w:rsidRPr="004D46AC">
        <w:rPr>
          <w:rFonts w:ascii="Arial" w:hAnsi="Arial" w:cs="Arial"/>
          <w:noProof/>
          <w:szCs w:val="22"/>
        </w:rPr>
        <w:t xml:space="preserve"> </w:t>
      </w:r>
    </w:p>
    <w:p w14:paraId="389E716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Fusar-Poli, P., Bechdolf, A., Taylor, M. J., Bonoldi, I., Carpenter, W. T., Yung, A. R., &amp; McGuire, P. (2013). At risk for schizophrenic or affective psychoses? A meta-analysis of DSM/ICD diagnostic outcomes in individuals at high clinical risk.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39</w:t>
      </w:r>
      <w:r w:rsidRPr="004D46AC">
        <w:rPr>
          <w:rFonts w:ascii="Arial" w:hAnsi="Arial" w:cs="Arial"/>
          <w:noProof/>
          <w:szCs w:val="22"/>
        </w:rPr>
        <w:t xml:space="preserve">(4), 923–932. </w:t>
      </w:r>
      <w:hyperlink r:id="rId77" w:history="1">
        <w:r w:rsidRPr="004D46AC">
          <w:rPr>
            <w:rStyle w:val="af5"/>
            <w:rFonts w:ascii="Arial" w:hAnsi="Arial" w:cs="Arial"/>
            <w:noProof/>
            <w:szCs w:val="22"/>
          </w:rPr>
          <w:t>https://doi.org/10.1093/schbul/sbs060</w:t>
        </w:r>
      </w:hyperlink>
      <w:r w:rsidRPr="004D46AC">
        <w:rPr>
          <w:rFonts w:ascii="Arial" w:hAnsi="Arial" w:cs="Arial"/>
          <w:noProof/>
          <w:szCs w:val="22"/>
        </w:rPr>
        <w:t xml:space="preserve"> </w:t>
      </w:r>
    </w:p>
    <w:p w14:paraId="3171E82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Gallardo-Ruiz, R., Crespo-Facorro, B., Setién-Suero, E., &amp; Tordesillas-Gutierrez, D. (2019). Long-term grey matter changes in first episode psychosis: a systematic review. </w:t>
      </w:r>
      <w:r w:rsidRPr="004D46AC">
        <w:rPr>
          <w:rFonts w:ascii="Arial" w:hAnsi="Arial" w:cs="Arial"/>
          <w:i/>
          <w:noProof/>
          <w:szCs w:val="22"/>
        </w:rPr>
        <w:t>Psychiatry investigation</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(5), 336. </w:t>
      </w:r>
    </w:p>
    <w:p w14:paraId="79E397D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Garrabé, J. (1999). Jean</w:t>
      </w:r>
      <w:r w:rsidRPr="004D46AC">
        <w:rPr>
          <w:rFonts w:ascii="Cambria Math" w:hAnsi="Cambria Math" w:cs="Cambria Math"/>
          <w:noProof/>
          <w:szCs w:val="22"/>
        </w:rPr>
        <w:t>‐</w:t>
      </w:r>
      <w:r w:rsidRPr="004D46AC">
        <w:rPr>
          <w:rFonts w:ascii="Arial" w:hAnsi="Arial" w:cs="Arial"/>
          <w:noProof/>
          <w:szCs w:val="22"/>
        </w:rPr>
        <w:t xml:space="preserve">Pierre Falret (1794–1870). In </w:t>
      </w:r>
      <w:r w:rsidRPr="004D46AC">
        <w:rPr>
          <w:rFonts w:ascii="Arial" w:hAnsi="Arial" w:cs="Arial"/>
          <w:i/>
          <w:noProof/>
          <w:szCs w:val="22"/>
        </w:rPr>
        <w:t>WPA Anthology of French Language Psychiatric Texts</w:t>
      </w:r>
      <w:r w:rsidRPr="004D46AC">
        <w:rPr>
          <w:rFonts w:ascii="Arial" w:hAnsi="Arial" w:cs="Arial"/>
          <w:noProof/>
          <w:szCs w:val="22"/>
        </w:rPr>
        <w:t xml:space="preserve"> (pp. 105–126). </w:t>
      </w:r>
      <w:hyperlink r:id="rId78" w:history="1">
        <w:r w:rsidRPr="004D46AC">
          <w:rPr>
            <w:rStyle w:val="af5"/>
            <w:rFonts w:ascii="Arial" w:hAnsi="Arial" w:cs="Arial"/>
            <w:noProof/>
            <w:szCs w:val="22"/>
          </w:rPr>
          <w:t>https://doi.org/10.1002/9780470986738.ch6</w:t>
        </w:r>
      </w:hyperlink>
      <w:r w:rsidRPr="004D46AC">
        <w:rPr>
          <w:rFonts w:ascii="Arial" w:hAnsi="Arial" w:cs="Arial"/>
          <w:noProof/>
          <w:szCs w:val="22"/>
        </w:rPr>
        <w:t xml:space="preserve"> </w:t>
      </w:r>
    </w:p>
    <w:p w14:paraId="2B4559D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Gaudiano, B. A., Uebelacker, L. A., &amp; Miller, I. W. (2007). Course of illness in psychotic mania: is mood incongruence important? </w:t>
      </w:r>
      <w:r w:rsidRPr="004D46AC">
        <w:rPr>
          <w:rFonts w:ascii="Arial" w:hAnsi="Arial" w:cs="Arial"/>
          <w:i/>
          <w:noProof/>
          <w:szCs w:val="22"/>
        </w:rPr>
        <w:t>J Nerv Ment Dis</w:t>
      </w:r>
      <w:r w:rsidRPr="004D46AC">
        <w:rPr>
          <w:rFonts w:ascii="Arial" w:hAnsi="Arial" w:cs="Arial"/>
          <w:noProof/>
          <w:szCs w:val="22"/>
        </w:rPr>
        <w:t>,</w:t>
      </w:r>
      <w:r w:rsidRPr="004D46AC">
        <w:rPr>
          <w:rFonts w:ascii="Arial" w:hAnsi="Arial" w:cs="Arial"/>
          <w:i/>
          <w:noProof/>
          <w:szCs w:val="22"/>
        </w:rPr>
        <w:t xml:space="preserve"> 195</w:t>
      </w:r>
      <w:r w:rsidRPr="004D46AC">
        <w:rPr>
          <w:rFonts w:ascii="Arial" w:hAnsi="Arial" w:cs="Arial"/>
          <w:noProof/>
          <w:szCs w:val="22"/>
        </w:rPr>
        <w:t xml:space="preserve">(3), 226–232. </w:t>
      </w:r>
      <w:hyperlink r:id="rId79" w:history="1">
        <w:r w:rsidRPr="004D46AC">
          <w:rPr>
            <w:rStyle w:val="af5"/>
            <w:rFonts w:ascii="Arial" w:hAnsi="Arial" w:cs="Arial"/>
            <w:noProof/>
            <w:szCs w:val="22"/>
          </w:rPr>
          <w:t>https://doi.org/10.1097/01.nmd.0000243763.81487.4d</w:t>
        </w:r>
      </w:hyperlink>
      <w:r w:rsidRPr="004D46AC">
        <w:rPr>
          <w:rFonts w:ascii="Arial" w:hAnsi="Arial" w:cs="Arial"/>
          <w:noProof/>
          <w:szCs w:val="22"/>
        </w:rPr>
        <w:t xml:space="preserve"> </w:t>
      </w:r>
    </w:p>
    <w:p w14:paraId="1E9375A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Giakoumaki, S. G., Roussos, P., Zouraraki, C., Spanoudakis, E., Mavrikaki, M., Tsapakis, E. M., &amp; Bitsios, P. (2013). Sub-optimal parenting is associated with schizotypic and anxiety personality traits in adulthood. </w:t>
      </w:r>
      <w:r w:rsidRPr="004D46AC">
        <w:rPr>
          <w:rFonts w:ascii="Arial" w:hAnsi="Arial" w:cs="Arial"/>
          <w:i/>
          <w:noProof/>
          <w:szCs w:val="22"/>
        </w:rPr>
        <w:t>European Psychiatry</w:t>
      </w:r>
      <w:r w:rsidRPr="004D46AC">
        <w:rPr>
          <w:rFonts w:ascii="Arial" w:hAnsi="Arial" w:cs="Arial"/>
          <w:noProof/>
          <w:szCs w:val="22"/>
        </w:rPr>
        <w:t>,</w:t>
      </w:r>
      <w:r w:rsidRPr="004D46AC">
        <w:rPr>
          <w:rFonts w:ascii="Arial" w:hAnsi="Arial" w:cs="Arial"/>
          <w:i/>
          <w:noProof/>
          <w:szCs w:val="22"/>
        </w:rPr>
        <w:t xml:space="preserve"> 28</w:t>
      </w:r>
      <w:r w:rsidRPr="004D46AC">
        <w:rPr>
          <w:rFonts w:ascii="Arial" w:hAnsi="Arial" w:cs="Arial"/>
          <w:noProof/>
          <w:szCs w:val="22"/>
        </w:rPr>
        <w:t xml:space="preserve">(4), 254–260. </w:t>
      </w:r>
      <w:hyperlink r:id="rId80" w:history="1">
        <w:r w:rsidRPr="004D46AC">
          <w:rPr>
            <w:rStyle w:val="af5"/>
            <w:rFonts w:ascii="Arial" w:hAnsi="Arial" w:cs="Arial"/>
            <w:noProof/>
            <w:szCs w:val="22"/>
          </w:rPr>
          <w:t>https://doi.org/10.1016/j.eurpsy.2012.07.002</w:t>
        </w:r>
      </w:hyperlink>
      <w:r w:rsidRPr="004D46AC">
        <w:rPr>
          <w:rFonts w:ascii="Arial" w:hAnsi="Arial" w:cs="Arial"/>
          <w:noProof/>
          <w:szCs w:val="22"/>
        </w:rPr>
        <w:t xml:space="preserve"> </w:t>
      </w:r>
    </w:p>
    <w:p w14:paraId="1A16440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Goes, F. S., Zandi, P. P., Miao, K., McMahon, F. J., Steele, J., Willour, V. L., Mackinnon, D. F., Mondimore, F. M., Schweizer, B., Nurnberger, J. I., Jr., Rice, J. P., Scheftner, W., Coryell, W., Berrettini, W. H., Kelsoe, J. R., Byerley, W., Murphy, D. L., Gershon, E. S., Bipolar Disorder Phenome, G.,…Potash, J. B. (2007). Mood-incongruent </w:t>
      </w:r>
      <w:r w:rsidRPr="004D46AC">
        <w:rPr>
          <w:rFonts w:ascii="Arial" w:hAnsi="Arial" w:cs="Arial"/>
          <w:noProof/>
          <w:szCs w:val="22"/>
        </w:rPr>
        <w:lastRenderedPageBreak/>
        <w:t xml:space="preserve">psychotic features in bipolar disorder: familial aggregation and suggestive linkage to 2p11-q14 and 13q21-33. </w:t>
      </w:r>
      <w:r w:rsidRPr="004D46AC">
        <w:rPr>
          <w:rFonts w:ascii="Arial" w:hAnsi="Arial" w:cs="Arial"/>
          <w:i/>
          <w:noProof/>
          <w:szCs w:val="22"/>
        </w:rPr>
        <w:t>Am J Psychiatry</w:t>
      </w:r>
      <w:r w:rsidRPr="004D46AC">
        <w:rPr>
          <w:rFonts w:ascii="Arial" w:hAnsi="Arial" w:cs="Arial"/>
          <w:noProof/>
          <w:szCs w:val="22"/>
        </w:rPr>
        <w:t>,</w:t>
      </w:r>
      <w:r w:rsidRPr="004D46AC">
        <w:rPr>
          <w:rFonts w:ascii="Arial" w:hAnsi="Arial" w:cs="Arial"/>
          <w:i/>
          <w:noProof/>
          <w:szCs w:val="22"/>
        </w:rPr>
        <w:t xml:space="preserve"> 164</w:t>
      </w:r>
      <w:r w:rsidRPr="004D46AC">
        <w:rPr>
          <w:rFonts w:ascii="Arial" w:hAnsi="Arial" w:cs="Arial"/>
          <w:noProof/>
          <w:szCs w:val="22"/>
        </w:rPr>
        <w:t xml:space="preserve">(2), 236–247. </w:t>
      </w:r>
      <w:hyperlink r:id="rId81" w:history="1">
        <w:r w:rsidRPr="004D46AC">
          <w:rPr>
            <w:rStyle w:val="af5"/>
            <w:rFonts w:ascii="Arial" w:hAnsi="Arial" w:cs="Arial"/>
            <w:noProof/>
            <w:szCs w:val="22"/>
          </w:rPr>
          <w:t>https://doi.org/10.1176/ajp.2007.164.2.236</w:t>
        </w:r>
      </w:hyperlink>
      <w:r w:rsidRPr="004D46AC">
        <w:rPr>
          <w:rFonts w:ascii="Arial" w:hAnsi="Arial" w:cs="Arial"/>
          <w:noProof/>
          <w:szCs w:val="22"/>
        </w:rPr>
        <w:t xml:space="preserve"> </w:t>
      </w:r>
    </w:p>
    <w:p w14:paraId="633C22F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Gomes, F. G., Passos, I. C., Krolow, A. C., Reckziegel, R., Vasconcelos-Moreno, M. P., Spanemberg, L., Belmonte-de-Abreu, P., Kapczinski, F., &amp; Kauer-Sant’Anna, M. (2015). Differences in parental bonding between schizophrenia and bipolar disorder: Evidence of prodromal symptoms? </w:t>
      </w:r>
      <w:r w:rsidRPr="004D46AC">
        <w:rPr>
          <w:rFonts w:ascii="Arial" w:hAnsi="Arial" w:cs="Arial"/>
          <w:i/>
          <w:noProof/>
          <w:szCs w:val="22"/>
        </w:rPr>
        <w:t>Schizophrenia Research</w:t>
      </w:r>
      <w:r w:rsidRPr="004D46AC">
        <w:rPr>
          <w:rFonts w:ascii="Arial" w:hAnsi="Arial" w:cs="Arial"/>
          <w:noProof/>
          <w:szCs w:val="22"/>
        </w:rPr>
        <w:t>,</w:t>
      </w:r>
      <w:r w:rsidRPr="004D46AC">
        <w:rPr>
          <w:rFonts w:ascii="Arial" w:hAnsi="Arial" w:cs="Arial"/>
          <w:i/>
          <w:noProof/>
          <w:szCs w:val="22"/>
        </w:rPr>
        <w:t xml:space="preserve"> 165</w:t>
      </w:r>
      <w:r w:rsidRPr="004D46AC">
        <w:rPr>
          <w:rFonts w:ascii="Arial" w:hAnsi="Arial" w:cs="Arial"/>
          <w:noProof/>
          <w:szCs w:val="22"/>
        </w:rPr>
        <w:t xml:space="preserve">(2), 134–137. </w:t>
      </w:r>
      <w:hyperlink r:id="rId82" w:history="1">
        <w:r w:rsidRPr="004D46AC">
          <w:rPr>
            <w:rStyle w:val="af5"/>
            <w:rFonts w:ascii="Arial" w:hAnsi="Arial" w:cs="Arial"/>
            <w:noProof/>
            <w:szCs w:val="22"/>
          </w:rPr>
          <w:t>https://doi.org/https://doi.org/10.1016/j.schres.2015.03.032</w:t>
        </w:r>
      </w:hyperlink>
      <w:r w:rsidRPr="004D46AC">
        <w:rPr>
          <w:rFonts w:ascii="Arial" w:hAnsi="Arial" w:cs="Arial"/>
          <w:noProof/>
          <w:szCs w:val="22"/>
        </w:rPr>
        <w:t xml:space="preserve"> </w:t>
      </w:r>
    </w:p>
    <w:p w14:paraId="1515816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Gonzalez-Pinto, A., Gutierrez, M., Mosquera, F., Ballesteros, J., Lopez, P., Ezcurra, J., Figuerido, J. L., &amp; de Leon, J. (1998). First episode in bipolar disorder: misdiagnosis and psychotic symptoms.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50</w:t>
      </w:r>
      <w:r w:rsidRPr="004D46AC">
        <w:rPr>
          <w:rFonts w:ascii="Arial" w:hAnsi="Arial" w:cs="Arial"/>
          <w:noProof/>
          <w:szCs w:val="22"/>
        </w:rPr>
        <w:t xml:space="preserve">(1), 41–44. </w:t>
      </w:r>
      <w:hyperlink r:id="rId83" w:history="1">
        <w:r w:rsidRPr="004D46AC">
          <w:rPr>
            <w:rStyle w:val="af5"/>
            <w:rFonts w:ascii="Arial" w:hAnsi="Arial" w:cs="Arial"/>
            <w:noProof/>
            <w:szCs w:val="22"/>
          </w:rPr>
          <w:t>https://doi.org/10.1016/s0165-0327(98)00032-9</w:t>
        </w:r>
      </w:hyperlink>
      <w:r w:rsidRPr="004D46AC">
        <w:rPr>
          <w:rFonts w:ascii="Arial" w:hAnsi="Arial" w:cs="Arial"/>
          <w:noProof/>
          <w:szCs w:val="22"/>
        </w:rPr>
        <w:t xml:space="preserve"> </w:t>
      </w:r>
    </w:p>
    <w:p w14:paraId="7512C81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Gregersen, M., Ellersgaard, D., Søndergaard, A., Christiani, C., Hemager, N., Spang, K. S., Burton, B. K., Uddin, M. J., Ohland, J., Gantriis, D., Greve, A., Hjorthøj, C., Mors, O., Plessen, K. J., Nordentoft, M., Clemmensen, L., Jepsen, J. R. M., &amp; Thorup, A. A. E. (2023). Attachment representations in 7-year-old children at familial high risk of schizophrenia or bipolar disorder: Associations with mental disorders and daily functioning. </w:t>
      </w:r>
      <w:r w:rsidRPr="004D46AC">
        <w:rPr>
          <w:rFonts w:ascii="Arial" w:hAnsi="Arial" w:cs="Arial"/>
          <w:i/>
          <w:noProof/>
          <w:szCs w:val="22"/>
        </w:rPr>
        <w:t>Scandinavian Journal of Psychology</w:t>
      </w:r>
      <w:r w:rsidRPr="004D46AC">
        <w:rPr>
          <w:rFonts w:ascii="Arial" w:hAnsi="Arial" w:cs="Arial"/>
          <w:noProof/>
          <w:szCs w:val="22"/>
        </w:rPr>
        <w:t>,</w:t>
      </w:r>
      <w:r w:rsidRPr="004D46AC">
        <w:rPr>
          <w:rFonts w:ascii="Arial" w:hAnsi="Arial" w:cs="Arial"/>
          <w:i/>
          <w:noProof/>
          <w:szCs w:val="22"/>
        </w:rPr>
        <w:t xml:space="preserve"> 64</w:t>
      </w:r>
      <w:r w:rsidRPr="004D46AC">
        <w:rPr>
          <w:rFonts w:ascii="Arial" w:hAnsi="Arial" w:cs="Arial"/>
          <w:noProof/>
          <w:szCs w:val="22"/>
        </w:rPr>
        <w:t xml:space="preserve">(6), 776–783. </w:t>
      </w:r>
      <w:hyperlink r:id="rId84" w:history="1">
        <w:r w:rsidRPr="004D46AC">
          <w:rPr>
            <w:rStyle w:val="af5"/>
            <w:rFonts w:ascii="Arial" w:hAnsi="Arial" w:cs="Arial"/>
            <w:noProof/>
            <w:szCs w:val="22"/>
          </w:rPr>
          <w:t>https://doi.org/https://doi.org/10.1111/sjop.12941</w:t>
        </w:r>
      </w:hyperlink>
      <w:r w:rsidRPr="004D46AC">
        <w:rPr>
          <w:rFonts w:ascii="Arial" w:hAnsi="Arial" w:cs="Arial"/>
          <w:noProof/>
          <w:szCs w:val="22"/>
        </w:rPr>
        <w:t xml:space="preserve"> </w:t>
      </w:r>
    </w:p>
    <w:p w14:paraId="6C936C4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Grigoroiu-Serbanescu, M., van der Veen, T., Bigdeli, T., Herms, S., Diaconu, C. C., Neagu, A. I., Bass, N., Thygesen, J., Forstner, A. J., Nöthen, M. M., &amp; McQuillin, A. (2024). Schizophrenia polygenic risk scores, clinical variables and genetic pathways as predictors of phenotypic traits of bipolar I disorder. </w:t>
      </w:r>
      <w:r w:rsidRPr="004D46AC">
        <w:rPr>
          <w:rFonts w:ascii="Arial" w:hAnsi="Arial" w:cs="Arial"/>
          <w:i/>
          <w:noProof/>
          <w:szCs w:val="22"/>
        </w:rPr>
        <w:t>Journal of affective disorders</w:t>
      </w:r>
      <w:r w:rsidRPr="004D46AC">
        <w:rPr>
          <w:rFonts w:ascii="Arial" w:hAnsi="Arial" w:cs="Arial"/>
          <w:noProof/>
          <w:szCs w:val="22"/>
        </w:rPr>
        <w:t>,</w:t>
      </w:r>
      <w:r w:rsidRPr="004D46AC">
        <w:rPr>
          <w:rFonts w:ascii="Arial" w:hAnsi="Arial" w:cs="Arial"/>
          <w:i/>
          <w:noProof/>
          <w:szCs w:val="22"/>
        </w:rPr>
        <w:t xml:space="preserve"> 356</w:t>
      </w:r>
      <w:r w:rsidRPr="004D46AC">
        <w:rPr>
          <w:rFonts w:ascii="Arial" w:hAnsi="Arial" w:cs="Arial"/>
          <w:noProof/>
          <w:szCs w:val="22"/>
        </w:rPr>
        <w:t xml:space="preserve">, 507–518. </w:t>
      </w:r>
      <w:hyperlink r:id="rId85" w:history="1">
        <w:r w:rsidRPr="004D46AC">
          <w:rPr>
            <w:rStyle w:val="af5"/>
            <w:rFonts w:ascii="Arial" w:hAnsi="Arial" w:cs="Arial"/>
            <w:noProof/>
            <w:szCs w:val="22"/>
          </w:rPr>
          <w:t>https://doi.org/https://doi.org/10.1016/j.jad.2024.04.066</w:t>
        </w:r>
      </w:hyperlink>
      <w:r w:rsidRPr="004D46AC">
        <w:rPr>
          <w:rFonts w:ascii="Arial" w:hAnsi="Arial" w:cs="Arial"/>
          <w:noProof/>
          <w:szCs w:val="22"/>
        </w:rPr>
        <w:t xml:space="preserve"> </w:t>
      </w:r>
    </w:p>
    <w:p w14:paraId="6EAEC4A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Gross, G. (1989). The 'basic' symptoms of schizophrenia. </w:t>
      </w:r>
      <w:r w:rsidRPr="004D46AC">
        <w:rPr>
          <w:rFonts w:ascii="Arial" w:hAnsi="Arial" w:cs="Arial"/>
          <w:i/>
          <w:noProof/>
          <w:szCs w:val="22"/>
        </w:rPr>
        <w:t>Br J Psychiatry Suppl</w:t>
      </w:r>
      <w:r w:rsidRPr="004D46AC">
        <w:rPr>
          <w:rFonts w:ascii="Arial" w:hAnsi="Arial" w:cs="Arial"/>
          <w:noProof/>
          <w:szCs w:val="22"/>
        </w:rPr>
        <w:t xml:space="preserve">(7), 21–25; discussion 37–40. </w:t>
      </w:r>
    </w:p>
    <w:p w14:paraId="41BC00A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Gross, G., &amp; Huber, G. (2010). Psychopathology of Basic Stages of Schizophrenia in View of Formal Thought Disturbances. </w:t>
      </w:r>
      <w:r w:rsidRPr="004D46AC">
        <w:rPr>
          <w:rFonts w:ascii="Arial" w:hAnsi="Arial" w:cs="Arial"/>
          <w:i/>
          <w:noProof/>
          <w:szCs w:val="22"/>
        </w:rPr>
        <w:t>Psychopathology</w:t>
      </w:r>
      <w:r w:rsidRPr="004D46AC">
        <w:rPr>
          <w:rFonts w:ascii="Arial" w:hAnsi="Arial" w:cs="Arial"/>
          <w:noProof/>
          <w:szCs w:val="22"/>
        </w:rPr>
        <w:t>,</w:t>
      </w:r>
      <w:r w:rsidRPr="004D46AC">
        <w:rPr>
          <w:rFonts w:ascii="Arial" w:hAnsi="Arial" w:cs="Arial"/>
          <w:i/>
          <w:noProof/>
          <w:szCs w:val="22"/>
        </w:rPr>
        <w:t xml:space="preserve"> 18</w:t>
      </w:r>
      <w:r w:rsidRPr="004D46AC">
        <w:rPr>
          <w:rFonts w:ascii="Arial" w:hAnsi="Arial" w:cs="Arial"/>
          <w:noProof/>
          <w:szCs w:val="22"/>
        </w:rPr>
        <w:t xml:space="preserve">(2-3), 115–125. </w:t>
      </w:r>
      <w:hyperlink r:id="rId86" w:history="1">
        <w:r w:rsidRPr="004D46AC">
          <w:rPr>
            <w:rStyle w:val="af5"/>
            <w:rFonts w:ascii="Arial" w:hAnsi="Arial" w:cs="Arial"/>
            <w:noProof/>
            <w:szCs w:val="22"/>
          </w:rPr>
          <w:t>https://doi.org/10.1159/000284224</w:t>
        </w:r>
      </w:hyperlink>
      <w:r w:rsidRPr="004D46AC">
        <w:rPr>
          <w:rFonts w:ascii="Arial" w:hAnsi="Arial" w:cs="Arial"/>
          <w:noProof/>
          <w:szCs w:val="22"/>
        </w:rPr>
        <w:t xml:space="preserve"> </w:t>
      </w:r>
    </w:p>
    <w:p w14:paraId="6472F95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Grube, B. S., Bilder, R. M., &amp; Goldman, R. S. (1998). Meta-analysis of symptom factors in schizophrenia. </w:t>
      </w:r>
      <w:r w:rsidRPr="004D46AC">
        <w:rPr>
          <w:rFonts w:ascii="Arial" w:hAnsi="Arial" w:cs="Arial"/>
          <w:i/>
          <w:noProof/>
          <w:szCs w:val="22"/>
        </w:rPr>
        <w:t>Schizophrenia Research</w:t>
      </w:r>
      <w:r w:rsidRPr="004D46AC">
        <w:rPr>
          <w:rFonts w:ascii="Arial" w:hAnsi="Arial" w:cs="Arial"/>
          <w:noProof/>
          <w:szCs w:val="22"/>
        </w:rPr>
        <w:t>,</w:t>
      </w:r>
      <w:r w:rsidRPr="004D46AC">
        <w:rPr>
          <w:rFonts w:ascii="Arial" w:hAnsi="Arial" w:cs="Arial"/>
          <w:i/>
          <w:noProof/>
          <w:szCs w:val="22"/>
        </w:rPr>
        <w:t xml:space="preserve"> 31</w:t>
      </w:r>
      <w:r w:rsidRPr="004D46AC">
        <w:rPr>
          <w:rFonts w:ascii="Arial" w:hAnsi="Arial" w:cs="Arial"/>
          <w:noProof/>
          <w:szCs w:val="22"/>
        </w:rPr>
        <w:t xml:space="preserve">(2-3), 113–120. </w:t>
      </w:r>
    </w:p>
    <w:p w14:paraId="29D4483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Grunebaum, M. F., Oquendo, M. A., Harkavy-Friedman, J. M., Ellis, S. P., Li, S., Haas, G. L., Malone, K. M., &amp; Mann, J. J. (2001). Delusions and suicidality. </w:t>
      </w:r>
      <w:r w:rsidRPr="004D46AC">
        <w:rPr>
          <w:rFonts w:ascii="Arial" w:hAnsi="Arial" w:cs="Arial"/>
          <w:i/>
          <w:noProof/>
          <w:szCs w:val="22"/>
        </w:rPr>
        <w:t>Am J Psychiatry</w:t>
      </w:r>
      <w:r w:rsidRPr="004D46AC">
        <w:rPr>
          <w:rFonts w:ascii="Arial" w:hAnsi="Arial" w:cs="Arial"/>
          <w:noProof/>
          <w:szCs w:val="22"/>
        </w:rPr>
        <w:t>,</w:t>
      </w:r>
      <w:r w:rsidRPr="004D46AC">
        <w:rPr>
          <w:rFonts w:ascii="Arial" w:hAnsi="Arial" w:cs="Arial"/>
          <w:i/>
          <w:noProof/>
          <w:szCs w:val="22"/>
        </w:rPr>
        <w:t xml:space="preserve"> 158</w:t>
      </w:r>
      <w:r w:rsidRPr="004D46AC">
        <w:rPr>
          <w:rFonts w:ascii="Arial" w:hAnsi="Arial" w:cs="Arial"/>
          <w:noProof/>
          <w:szCs w:val="22"/>
        </w:rPr>
        <w:t xml:space="preserve">(5), 742–747. </w:t>
      </w:r>
      <w:hyperlink r:id="rId87" w:history="1">
        <w:r w:rsidRPr="004D46AC">
          <w:rPr>
            <w:rStyle w:val="af5"/>
            <w:rFonts w:ascii="Arial" w:hAnsi="Arial" w:cs="Arial"/>
            <w:noProof/>
            <w:szCs w:val="22"/>
          </w:rPr>
          <w:t>https://doi.org/10.1176/appi.ajp.158.5.742</w:t>
        </w:r>
      </w:hyperlink>
      <w:r w:rsidRPr="004D46AC">
        <w:rPr>
          <w:rFonts w:ascii="Arial" w:hAnsi="Arial" w:cs="Arial"/>
          <w:noProof/>
          <w:szCs w:val="22"/>
        </w:rPr>
        <w:t xml:space="preserve"> </w:t>
      </w:r>
    </w:p>
    <w:p w14:paraId="4FE21B2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Gyllenberg, D., Ristikari, T., Kelleher, I., Kääriälä, A., &amp; Gissler, M. (2022). School performance and later diagnoses of nonaffective psychoses, bipolar disorder, and </w:t>
      </w:r>
      <w:r w:rsidRPr="004D46AC">
        <w:rPr>
          <w:rFonts w:ascii="Arial" w:hAnsi="Arial" w:cs="Arial"/>
          <w:noProof/>
          <w:szCs w:val="22"/>
        </w:rPr>
        <w:lastRenderedPageBreak/>
        <w:t xml:space="preserve">depression. </w:t>
      </w:r>
      <w:r w:rsidRPr="004D46AC">
        <w:rPr>
          <w:rFonts w:ascii="Arial" w:hAnsi="Arial" w:cs="Arial"/>
          <w:i/>
          <w:noProof/>
          <w:szCs w:val="22"/>
        </w:rPr>
        <w:t>Acta Psychiatr Scand</w:t>
      </w:r>
      <w:r w:rsidRPr="004D46AC">
        <w:rPr>
          <w:rFonts w:ascii="Arial" w:hAnsi="Arial" w:cs="Arial"/>
          <w:noProof/>
          <w:szCs w:val="22"/>
        </w:rPr>
        <w:t>,</w:t>
      </w:r>
      <w:r w:rsidRPr="004D46AC">
        <w:rPr>
          <w:rFonts w:ascii="Arial" w:hAnsi="Arial" w:cs="Arial"/>
          <w:i/>
          <w:noProof/>
          <w:szCs w:val="22"/>
        </w:rPr>
        <w:t xml:space="preserve"> 146</w:t>
      </w:r>
      <w:r w:rsidRPr="004D46AC">
        <w:rPr>
          <w:rFonts w:ascii="Arial" w:hAnsi="Arial" w:cs="Arial"/>
          <w:noProof/>
          <w:szCs w:val="22"/>
        </w:rPr>
        <w:t xml:space="preserve">(5), 420–429. </w:t>
      </w:r>
      <w:hyperlink r:id="rId88" w:history="1">
        <w:r w:rsidRPr="004D46AC">
          <w:rPr>
            <w:rStyle w:val="af5"/>
            <w:rFonts w:ascii="Arial" w:hAnsi="Arial" w:cs="Arial"/>
            <w:noProof/>
            <w:szCs w:val="22"/>
          </w:rPr>
          <w:t>https://doi.org/10.1111/acps.13481</w:t>
        </w:r>
      </w:hyperlink>
      <w:r w:rsidRPr="004D46AC">
        <w:rPr>
          <w:rFonts w:ascii="Arial" w:hAnsi="Arial" w:cs="Arial"/>
          <w:noProof/>
          <w:szCs w:val="22"/>
        </w:rPr>
        <w:t xml:space="preserve"> </w:t>
      </w:r>
    </w:p>
    <w:p w14:paraId="3038661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Haining, K., Gajwani, R., Gross, J., Gumley, A. I., Lawrie, S. M., Schultze-Lutter, F., Schwannauer, M., &amp; Uhlhaas, P. J. (2024). Clinical and Functional Outcomes of Community-Recruited Individuals at Clinical High-Risk for Psychosis: Results From the Youth Mental Health Risk and Resilience Study (YouR-Study). </w:t>
      </w:r>
      <w:r w:rsidRPr="004D46AC">
        <w:rPr>
          <w:rFonts w:ascii="Arial" w:hAnsi="Arial" w:cs="Arial"/>
          <w:i/>
          <w:noProof/>
          <w:szCs w:val="22"/>
        </w:rPr>
        <w:t>Schizophrenia Bulletin Open</w:t>
      </w:r>
      <w:r w:rsidRPr="004D46AC">
        <w:rPr>
          <w:rFonts w:ascii="Arial" w:hAnsi="Arial" w:cs="Arial"/>
          <w:noProof/>
          <w:szCs w:val="22"/>
        </w:rPr>
        <w:t>,</w:t>
      </w:r>
      <w:r w:rsidRPr="004D46AC">
        <w:rPr>
          <w:rFonts w:ascii="Arial" w:hAnsi="Arial" w:cs="Arial"/>
          <w:i/>
          <w:noProof/>
          <w:szCs w:val="22"/>
        </w:rPr>
        <w:t xml:space="preserve"> 5</w:t>
      </w:r>
      <w:r w:rsidRPr="004D46AC">
        <w:rPr>
          <w:rFonts w:ascii="Arial" w:hAnsi="Arial" w:cs="Arial"/>
          <w:noProof/>
          <w:szCs w:val="22"/>
        </w:rPr>
        <w:t xml:space="preserve">(1). </w:t>
      </w:r>
      <w:hyperlink r:id="rId89" w:history="1">
        <w:r w:rsidRPr="004D46AC">
          <w:rPr>
            <w:rStyle w:val="af5"/>
            <w:rFonts w:ascii="Arial" w:hAnsi="Arial" w:cs="Arial"/>
            <w:noProof/>
            <w:szCs w:val="22"/>
          </w:rPr>
          <w:t>https://doi.org/10.1093/schizbullopen/sgae029</w:t>
        </w:r>
      </w:hyperlink>
      <w:r w:rsidRPr="004D46AC">
        <w:rPr>
          <w:rFonts w:ascii="Arial" w:hAnsi="Arial" w:cs="Arial"/>
          <w:noProof/>
          <w:szCs w:val="22"/>
        </w:rPr>
        <w:t xml:space="preserve"> </w:t>
      </w:r>
    </w:p>
    <w:p w14:paraId="7EB209D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Hardoon, S., Hayes, J. F., Blackburn, R., Petersen, I., Walters, K., Nazareth, I., &amp; Osborn, D. P. (2013). Recording of severe mental illness in United Kingdom primary care, 2000-2010. </w:t>
      </w:r>
      <w:r w:rsidRPr="004D46AC">
        <w:rPr>
          <w:rFonts w:ascii="Arial" w:hAnsi="Arial" w:cs="Arial"/>
          <w:i/>
          <w:noProof/>
          <w:szCs w:val="22"/>
        </w:rPr>
        <w:t>PLOS ONE</w:t>
      </w:r>
      <w:r w:rsidRPr="004D46AC">
        <w:rPr>
          <w:rFonts w:ascii="Arial" w:hAnsi="Arial" w:cs="Arial"/>
          <w:noProof/>
          <w:szCs w:val="22"/>
        </w:rPr>
        <w:t>,</w:t>
      </w:r>
      <w:r w:rsidRPr="004D46AC">
        <w:rPr>
          <w:rFonts w:ascii="Arial" w:hAnsi="Arial" w:cs="Arial"/>
          <w:i/>
          <w:noProof/>
          <w:szCs w:val="22"/>
        </w:rPr>
        <w:t xml:space="preserve"> 8</w:t>
      </w:r>
      <w:r w:rsidRPr="004D46AC">
        <w:rPr>
          <w:rFonts w:ascii="Arial" w:hAnsi="Arial" w:cs="Arial"/>
          <w:noProof/>
          <w:szCs w:val="22"/>
        </w:rPr>
        <w:t xml:space="preserve">(12), e82365. </w:t>
      </w:r>
      <w:hyperlink r:id="rId90" w:history="1">
        <w:r w:rsidRPr="004D46AC">
          <w:rPr>
            <w:rStyle w:val="af5"/>
            <w:rFonts w:ascii="Arial" w:hAnsi="Arial" w:cs="Arial"/>
            <w:noProof/>
            <w:szCs w:val="22"/>
          </w:rPr>
          <w:t>https://doi.org/10.1371/journal.pone.0082365</w:t>
        </w:r>
      </w:hyperlink>
      <w:r w:rsidRPr="004D46AC">
        <w:rPr>
          <w:rFonts w:ascii="Arial" w:hAnsi="Arial" w:cs="Arial"/>
          <w:noProof/>
          <w:szCs w:val="22"/>
        </w:rPr>
        <w:t xml:space="preserve"> </w:t>
      </w:r>
    </w:p>
    <w:p w14:paraId="0F2FD2B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Harnic, D., Pompili, M., Innamorati, M., Erbuto, D., Lamis, D. A., Bria, P., Girardi, P., &amp; Janiri, L. (2014). Affective temperament and attachment in adulthood in patients with Bipolar Disorder and Cyclothymia. </w:t>
      </w:r>
      <w:r w:rsidRPr="004D46AC">
        <w:rPr>
          <w:rFonts w:ascii="Arial" w:hAnsi="Arial" w:cs="Arial"/>
          <w:i/>
          <w:noProof/>
          <w:szCs w:val="22"/>
        </w:rPr>
        <w:t>Comprehensive Psychiatry</w:t>
      </w:r>
      <w:r w:rsidRPr="004D46AC">
        <w:rPr>
          <w:rFonts w:ascii="Arial" w:hAnsi="Arial" w:cs="Arial"/>
          <w:noProof/>
          <w:szCs w:val="22"/>
        </w:rPr>
        <w:t>,</w:t>
      </w:r>
      <w:r w:rsidRPr="004D46AC">
        <w:rPr>
          <w:rFonts w:ascii="Arial" w:hAnsi="Arial" w:cs="Arial"/>
          <w:i/>
          <w:noProof/>
          <w:szCs w:val="22"/>
        </w:rPr>
        <w:t xml:space="preserve"> 55</w:t>
      </w:r>
      <w:r w:rsidRPr="004D46AC">
        <w:rPr>
          <w:rFonts w:ascii="Arial" w:hAnsi="Arial" w:cs="Arial"/>
          <w:noProof/>
          <w:szCs w:val="22"/>
        </w:rPr>
        <w:t xml:space="preserve">(4), 999–1006. </w:t>
      </w:r>
      <w:hyperlink r:id="rId91" w:history="1">
        <w:r w:rsidRPr="004D46AC">
          <w:rPr>
            <w:rStyle w:val="af5"/>
            <w:rFonts w:ascii="Arial" w:hAnsi="Arial" w:cs="Arial"/>
            <w:noProof/>
            <w:szCs w:val="22"/>
          </w:rPr>
          <w:t>https://doi.org/https://doi.org/10.1016/j.comppsych.2013.12.006</w:t>
        </w:r>
      </w:hyperlink>
      <w:r w:rsidRPr="004D46AC">
        <w:rPr>
          <w:rFonts w:ascii="Arial" w:hAnsi="Arial" w:cs="Arial"/>
          <w:noProof/>
          <w:szCs w:val="22"/>
        </w:rPr>
        <w:t xml:space="preserve"> </w:t>
      </w:r>
    </w:p>
    <w:p w14:paraId="38B2D7F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Harrow, M., MacDonald, A. W., 3rd, Sands, J. R., &amp; Silverstein, M. L. (1995). Vulnerability to delusions over time in schizophrenia and affective disorders.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21</w:t>
      </w:r>
      <w:r w:rsidRPr="004D46AC">
        <w:rPr>
          <w:rFonts w:ascii="Arial" w:hAnsi="Arial" w:cs="Arial"/>
          <w:noProof/>
          <w:szCs w:val="22"/>
        </w:rPr>
        <w:t xml:space="preserve">(1), 95–109. </w:t>
      </w:r>
      <w:hyperlink r:id="rId92" w:history="1">
        <w:r w:rsidRPr="004D46AC">
          <w:rPr>
            <w:rStyle w:val="af5"/>
            <w:rFonts w:ascii="Arial" w:hAnsi="Arial" w:cs="Arial"/>
            <w:noProof/>
            <w:szCs w:val="22"/>
          </w:rPr>
          <w:t>https://doi.org/10.1093/schbul/21.1.95</w:t>
        </w:r>
      </w:hyperlink>
      <w:r w:rsidRPr="004D46AC">
        <w:rPr>
          <w:rFonts w:ascii="Arial" w:hAnsi="Arial" w:cs="Arial"/>
          <w:noProof/>
          <w:szCs w:val="22"/>
        </w:rPr>
        <w:t xml:space="preserve"> </w:t>
      </w:r>
    </w:p>
    <w:p w14:paraId="4015299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Haug, E., Lien, L., Raballo, A., Bratlien, U., Oie, M., Andreassen, O. A., Melle, I., &amp; Moller, P. (2012). Selective aggregation of self-disorders in first-treatment DSM-IV schizophrenia spectrum disorders. </w:t>
      </w:r>
      <w:r w:rsidRPr="004D46AC">
        <w:rPr>
          <w:rFonts w:ascii="Arial" w:hAnsi="Arial" w:cs="Arial"/>
          <w:i/>
          <w:noProof/>
          <w:szCs w:val="22"/>
        </w:rPr>
        <w:t>J Nerv Ment Dis</w:t>
      </w:r>
      <w:r w:rsidRPr="004D46AC">
        <w:rPr>
          <w:rFonts w:ascii="Arial" w:hAnsi="Arial" w:cs="Arial"/>
          <w:noProof/>
          <w:szCs w:val="22"/>
        </w:rPr>
        <w:t>,</w:t>
      </w:r>
      <w:r w:rsidRPr="004D46AC">
        <w:rPr>
          <w:rFonts w:ascii="Arial" w:hAnsi="Arial" w:cs="Arial"/>
          <w:i/>
          <w:noProof/>
          <w:szCs w:val="22"/>
        </w:rPr>
        <w:t xml:space="preserve"> 200</w:t>
      </w:r>
      <w:r w:rsidRPr="004D46AC">
        <w:rPr>
          <w:rFonts w:ascii="Arial" w:hAnsi="Arial" w:cs="Arial"/>
          <w:noProof/>
          <w:szCs w:val="22"/>
        </w:rPr>
        <w:t xml:space="preserve">(7), 632–636. </w:t>
      </w:r>
      <w:hyperlink r:id="rId93" w:history="1">
        <w:r w:rsidRPr="004D46AC">
          <w:rPr>
            <w:rStyle w:val="af5"/>
            <w:rFonts w:ascii="Arial" w:hAnsi="Arial" w:cs="Arial"/>
            <w:noProof/>
            <w:szCs w:val="22"/>
          </w:rPr>
          <w:t>https://doi.org/10.1097/NMD.0b013e31825bfd6f</w:t>
        </w:r>
      </w:hyperlink>
      <w:r w:rsidRPr="004D46AC">
        <w:rPr>
          <w:rFonts w:ascii="Arial" w:hAnsi="Arial" w:cs="Arial"/>
          <w:noProof/>
          <w:szCs w:val="22"/>
        </w:rPr>
        <w:t xml:space="preserve"> </w:t>
      </w:r>
    </w:p>
    <w:p w14:paraId="06E9DC3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Hazan, C., &amp; Shaver, P. R. (1990). Love and work: An attachment-theoretical perspective. </w:t>
      </w:r>
      <w:r w:rsidRPr="004D46AC">
        <w:rPr>
          <w:rFonts w:ascii="Arial" w:hAnsi="Arial" w:cs="Arial"/>
          <w:i/>
          <w:noProof/>
          <w:szCs w:val="22"/>
        </w:rPr>
        <w:t>Journal of Personality and social Psychology</w:t>
      </w:r>
      <w:r w:rsidRPr="004D46AC">
        <w:rPr>
          <w:rFonts w:ascii="Arial" w:hAnsi="Arial" w:cs="Arial"/>
          <w:noProof/>
          <w:szCs w:val="22"/>
        </w:rPr>
        <w:t>,</w:t>
      </w:r>
      <w:r w:rsidRPr="004D46AC">
        <w:rPr>
          <w:rFonts w:ascii="Arial" w:hAnsi="Arial" w:cs="Arial"/>
          <w:i/>
          <w:noProof/>
          <w:szCs w:val="22"/>
        </w:rPr>
        <w:t xml:space="preserve"> 59</w:t>
      </w:r>
      <w:r w:rsidRPr="004D46AC">
        <w:rPr>
          <w:rFonts w:ascii="Arial" w:hAnsi="Arial" w:cs="Arial"/>
          <w:noProof/>
          <w:szCs w:val="22"/>
        </w:rPr>
        <w:t xml:space="preserve">(2), 270. </w:t>
      </w:r>
    </w:p>
    <w:p w14:paraId="54B26A6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Heerlein, A., Santander, J., &amp; Richter, P. (1996). Premorbid personality aspects in mood and schizophrenic disorders. </w:t>
      </w:r>
      <w:r w:rsidRPr="004D46AC">
        <w:rPr>
          <w:rFonts w:ascii="Arial" w:hAnsi="Arial" w:cs="Arial"/>
          <w:i/>
          <w:noProof/>
          <w:szCs w:val="22"/>
        </w:rPr>
        <w:t>Compr Psychiatry</w:t>
      </w:r>
      <w:r w:rsidRPr="004D46AC">
        <w:rPr>
          <w:rFonts w:ascii="Arial" w:hAnsi="Arial" w:cs="Arial"/>
          <w:noProof/>
          <w:szCs w:val="22"/>
        </w:rPr>
        <w:t>,</w:t>
      </w:r>
      <w:r w:rsidRPr="004D46AC">
        <w:rPr>
          <w:rFonts w:ascii="Arial" w:hAnsi="Arial" w:cs="Arial"/>
          <w:i/>
          <w:noProof/>
          <w:szCs w:val="22"/>
        </w:rPr>
        <w:t xml:space="preserve"> 37</w:t>
      </w:r>
      <w:r w:rsidRPr="004D46AC">
        <w:rPr>
          <w:rFonts w:ascii="Arial" w:hAnsi="Arial" w:cs="Arial"/>
          <w:noProof/>
          <w:szCs w:val="22"/>
        </w:rPr>
        <w:t xml:space="preserve">(6), 430–434. </w:t>
      </w:r>
      <w:hyperlink r:id="rId94" w:history="1">
        <w:r w:rsidRPr="004D46AC">
          <w:rPr>
            <w:rStyle w:val="af5"/>
            <w:rFonts w:ascii="Arial" w:hAnsi="Arial" w:cs="Arial"/>
            <w:noProof/>
            <w:szCs w:val="22"/>
          </w:rPr>
          <w:t>https://doi.org/10.1016/s0010-440x(96)90026-7</w:t>
        </w:r>
      </w:hyperlink>
      <w:r w:rsidRPr="004D46AC">
        <w:rPr>
          <w:rFonts w:ascii="Arial" w:hAnsi="Arial" w:cs="Arial"/>
          <w:noProof/>
          <w:szCs w:val="22"/>
        </w:rPr>
        <w:t xml:space="preserve"> </w:t>
      </w:r>
    </w:p>
    <w:p w14:paraId="5BA88FE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Hjelseng, I. V., Vaskinn, A., Ueland, T., Lunding, S. H., Reponen, E. J., Steen, N. E., Andreassen, O. A., &amp; Aas, M. (2022). Childhood trauma is associated with poorer social functioning in severe mental disorders both during an active illness phase and in remission.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243</w:t>
      </w:r>
      <w:r w:rsidRPr="004D46AC">
        <w:rPr>
          <w:rFonts w:ascii="Arial" w:hAnsi="Arial" w:cs="Arial"/>
          <w:noProof/>
          <w:szCs w:val="22"/>
        </w:rPr>
        <w:t xml:space="preserve">, 241–246. </w:t>
      </w:r>
      <w:hyperlink r:id="rId95" w:history="1">
        <w:r w:rsidRPr="004D46AC">
          <w:rPr>
            <w:rStyle w:val="af5"/>
            <w:rFonts w:ascii="Arial" w:hAnsi="Arial" w:cs="Arial"/>
            <w:noProof/>
            <w:szCs w:val="22"/>
          </w:rPr>
          <w:t>https://doi.org/10.1016/j.schres.2020.03.015</w:t>
        </w:r>
      </w:hyperlink>
      <w:r w:rsidRPr="004D46AC">
        <w:rPr>
          <w:rFonts w:ascii="Arial" w:hAnsi="Arial" w:cs="Arial"/>
          <w:noProof/>
          <w:szCs w:val="22"/>
        </w:rPr>
        <w:t xml:space="preserve"> </w:t>
      </w:r>
    </w:p>
    <w:p w14:paraId="6CA5DB1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Hoch, P., &amp; Rachlin, H. L. (1941). An Evaluation of Manic-Depressive Psychosis in the Light of Follow-up Studies. </w:t>
      </w:r>
      <w:r w:rsidRPr="004D46AC">
        <w:rPr>
          <w:rFonts w:ascii="Arial" w:hAnsi="Arial" w:cs="Arial"/>
          <w:i/>
          <w:noProof/>
          <w:szCs w:val="22"/>
        </w:rPr>
        <w:t>American Journal of Psychiatry</w:t>
      </w:r>
      <w:r w:rsidRPr="004D46AC">
        <w:rPr>
          <w:rFonts w:ascii="Arial" w:hAnsi="Arial" w:cs="Arial"/>
          <w:noProof/>
          <w:szCs w:val="22"/>
        </w:rPr>
        <w:t>,</w:t>
      </w:r>
      <w:r w:rsidRPr="004D46AC">
        <w:rPr>
          <w:rFonts w:ascii="Arial" w:hAnsi="Arial" w:cs="Arial"/>
          <w:i/>
          <w:noProof/>
          <w:szCs w:val="22"/>
        </w:rPr>
        <w:t xml:space="preserve"> 97</w:t>
      </w:r>
      <w:r w:rsidRPr="004D46AC">
        <w:rPr>
          <w:rFonts w:ascii="Arial" w:hAnsi="Arial" w:cs="Arial"/>
          <w:noProof/>
          <w:szCs w:val="22"/>
        </w:rPr>
        <w:t xml:space="preserve">(4), 831–843. </w:t>
      </w:r>
      <w:hyperlink r:id="rId96" w:history="1">
        <w:r w:rsidRPr="004D46AC">
          <w:rPr>
            <w:rStyle w:val="af5"/>
            <w:rFonts w:ascii="Arial" w:hAnsi="Arial" w:cs="Arial"/>
            <w:noProof/>
            <w:szCs w:val="22"/>
          </w:rPr>
          <w:t>https://doi.org/10.1176/ajp.97.4.831</w:t>
        </w:r>
      </w:hyperlink>
      <w:r w:rsidRPr="004D46AC">
        <w:rPr>
          <w:rFonts w:ascii="Arial" w:hAnsi="Arial" w:cs="Arial"/>
          <w:noProof/>
          <w:szCs w:val="22"/>
        </w:rPr>
        <w:t xml:space="preserve"> </w:t>
      </w:r>
    </w:p>
    <w:p w14:paraId="31D2444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Hoch, T. A. (1922). Acute Psychoses with Symptoms Resembling Dementia PrÆcox. </w:t>
      </w:r>
      <w:r w:rsidRPr="004D46AC">
        <w:rPr>
          <w:rFonts w:ascii="Arial" w:hAnsi="Arial" w:cs="Arial"/>
          <w:i/>
          <w:noProof/>
          <w:szCs w:val="22"/>
        </w:rPr>
        <w:t>American Journal of Psychiatry</w:t>
      </w:r>
      <w:r w:rsidRPr="004D46AC">
        <w:rPr>
          <w:rFonts w:ascii="Arial" w:hAnsi="Arial" w:cs="Arial"/>
          <w:noProof/>
          <w:szCs w:val="22"/>
        </w:rPr>
        <w:t>,</w:t>
      </w:r>
      <w:r w:rsidRPr="004D46AC">
        <w:rPr>
          <w:rFonts w:ascii="Arial" w:hAnsi="Arial" w:cs="Arial"/>
          <w:i/>
          <w:noProof/>
          <w:szCs w:val="22"/>
        </w:rPr>
        <w:t xml:space="preserve"> 78</w:t>
      </w:r>
      <w:r w:rsidRPr="004D46AC">
        <w:rPr>
          <w:rFonts w:ascii="Arial" w:hAnsi="Arial" w:cs="Arial"/>
          <w:noProof/>
          <w:szCs w:val="22"/>
        </w:rPr>
        <w:t xml:space="preserve">(3), 365–372. </w:t>
      </w:r>
      <w:hyperlink r:id="rId97" w:history="1">
        <w:r w:rsidRPr="004D46AC">
          <w:rPr>
            <w:rStyle w:val="af5"/>
            <w:rFonts w:ascii="Arial" w:hAnsi="Arial" w:cs="Arial"/>
            <w:noProof/>
            <w:szCs w:val="22"/>
          </w:rPr>
          <w:t>https://doi.org/10.1176/ajp.78.3.365</w:t>
        </w:r>
      </w:hyperlink>
      <w:r w:rsidRPr="004D46AC">
        <w:rPr>
          <w:rFonts w:ascii="Arial" w:hAnsi="Arial" w:cs="Arial"/>
          <w:noProof/>
          <w:szCs w:val="22"/>
        </w:rPr>
        <w:t xml:space="preserve"> </w:t>
      </w:r>
    </w:p>
    <w:p w14:paraId="6A92A35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Huber, G. (1997). The heterogeneous course of schizophrenia.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28</w:t>
      </w:r>
      <w:r w:rsidRPr="004D46AC">
        <w:rPr>
          <w:rFonts w:ascii="Arial" w:hAnsi="Arial" w:cs="Arial"/>
          <w:noProof/>
          <w:szCs w:val="22"/>
        </w:rPr>
        <w:t xml:space="preserve">(2-3), 177–185. </w:t>
      </w:r>
      <w:hyperlink r:id="rId98" w:history="1">
        <w:r w:rsidRPr="004D46AC">
          <w:rPr>
            <w:rStyle w:val="af5"/>
            <w:rFonts w:ascii="Arial" w:hAnsi="Arial" w:cs="Arial"/>
            <w:noProof/>
            <w:szCs w:val="22"/>
          </w:rPr>
          <w:t>https://doi.org/10.1016/s0920-9964(97)00113-8</w:t>
        </w:r>
      </w:hyperlink>
      <w:r w:rsidRPr="004D46AC">
        <w:rPr>
          <w:rFonts w:ascii="Arial" w:hAnsi="Arial" w:cs="Arial"/>
          <w:noProof/>
          <w:szCs w:val="22"/>
        </w:rPr>
        <w:t xml:space="preserve"> </w:t>
      </w:r>
    </w:p>
    <w:p w14:paraId="1692613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Huber, G., Gross, G., &amp; Schuttler, R. (1975). A long-term follow-up study of schizophrenia: psychiatric course of illness and prognosis. </w:t>
      </w:r>
      <w:r w:rsidRPr="004D46AC">
        <w:rPr>
          <w:rFonts w:ascii="Arial" w:hAnsi="Arial" w:cs="Arial"/>
          <w:i/>
          <w:noProof/>
          <w:szCs w:val="22"/>
        </w:rPr>
        <w:t>Acta Psychiatr Scand</w:t>
      </w:r>
      <w:r w:rsidRPr="004D46AC">
        <w:rPr>
          <w:rFonts w:ascii="Arial" w:hAnsi="Arial" w:cs="Arial"/>
          <w:noProof/>
          <w:szCs w:val="22"/>
        </w:rPr>
        <w:t>,</w:t>
      </w:r>
      <w:r w:rsidRPr="004D46AC">
        <w:rPr>
          <w:rFonts w:ascii="Arial" w:hAnsi="Arial" w:cs="Arial"/>
          <w:i/>
          <w:noProof/>
          <w:szCs w:val="22"/>
        </w:rPr>
        <w:t xml:space="preserve"> 52</w:t>
      </w:r>
      <w:r w:rsidRPr="004D46AC">
        <w:rPr>
          <w:rFonts w:ascii="Arial" w:hAnsi="Arial" w:cs="Arial"/>
          <w:noProof/>
          <w:szCs w:val="22"/>
        </w:rPr>
        <w:t xml:space="preserve">(1), 49–57. </w:t>
      </w:r>
      <w:hyperlink r:id="rId99" w:history="1">
        <w:r w:rsidRPr="004D46AC">
          <w:rPr>
            <w:rStyle w:val="af5"/>
            <w:rFonts w:ascii="Arial" w:hAnsi="Arial" w:cs="Arial"/>
            <w:noProof/>
            <w:szCs w:val="22"/>
          </w:rPr>
          <w:t>https://doi.org/10.1111/j.1600-0447.1975.tb00022.x</w:t>
        </w:r>
      </w:hyperlink>
      <w:r w:rsidRPr="004D46AC">
        <w:rPr>
          <w:rFonts w:ascii="Arial" w:hAnsi="Arial" w:cs="Arial"/>
          <w:noProof/>
          <w:szCs w:val="22"/>
        </w:rPr>
        <w:t xml:space="preserve"> </w:t>
      </w:r>
    </w:p>
    <w:p w14:paraId="08A8051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Hurd, Z. O. (2024). </w:t>
      </w:r>
      <w:r w:rsidRPr="004D46AC">
        <w:rPr>
          <w:rFonts w:ascii="Arial" w:hAnsi="Arial" w:cs="Arial"/>
          <w:i/>
          <w:noProof/>
          <w:szCs w:val="22"/>
        </w:rPr>
        <w:t>Adult Attachment Status and Longitudinal Symptom Patterns in Bipolar Affective Disorder</w:t>
      </w:r>
      <w:r w:rsidRPr="004D46AC">
        <w:rPr>
          <w:rFonts w:ascii="Arial" w:hAnsi="Arial" w:cs="Arial"/>
          <w:noProof/>
          <w:szCs w:val="22"/>
        </w:rPr>
        <w:t xml:space="preserve"> </w:t>
      </w:r>
    </w:p>
    <w:p w14:paraId="30D8579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Ihler, H. M., Lyngstad, S. H., Mørch-Johnsen, L. E., Lagerberg, T. V., Melle, I., &amp; Romm, K. L. (2023). A transdiagnostic approach to negative symptoms: exploring factor structure and negative symptoms in bipolar disorders [Original Research]. </w:t>
      </w:r>
      <w:r w:rsidRPr="004D46AC">
        <w:rPr>
          <w:rFonts w:ascii="Arial" w:hAnsi="Arial" w:cs="Arial"/>
          <w:i/>
          <w:noProof/>
          <w:szCs w:val="22"/>
        </w:rPr>
        <w:t>Frontiers in Psychiatry</w:t>
      </w:r>
      <w:r w:rsidRPr="004D46AC">
        <w:rPr>
          <w:rFonts w:ascii="Arial" w:hAnsi="Arial" w:cs="Arial"/>
          <w:noProof/>
          <w:szCs w:val="22"/>
        </w:rPr>
        <w:t>,</w:t>
      </w:r>
      <w:r w:rsidRPr="004D46AC">
        <w:rPr>
          <w:rFonts w:ascii="Arial" w:hAnsi="Arial" w:cs="Arial"/>
          <w:i/>
          <w:noProof/>
          <w:szCs w:val="22"/>
        </w:rPr>
        <w:t xml:space="preserve"> Volume 14 - 2023</w:t>
      </w:r>
      <w:r w:rsidRPr="004D46AC">
        <w:rPr>
          <w:rFonts w:ascii="Arial" w:hAnsi="Arial" w:cs="Arial"/>
          <w:noProof/>
          <w:szCs w:val="22"/>
        </w:rPr>
        <w:t xml:space="preserve">. </w:t>
      </w:r>
      <w:hyperlink r:id="rId100" w:history="1">
        <w:r w:rsidRPr="004D46AC">
          <w:rPr>
            <w:rStyle w:val="af5"/>
            <w:rFonts w:ascii="Arial" w:hAnsi="Arial" w:cs="Arial"/>
            <w:noProof/>
            <w:szCs w:val="22"/>
          </w:rPr>
          <w:t>https://doi.org/10.3389/fpsyt.2023.1136097</w:t>
        </w:r>
      </w:hyperlink>
      <w:r w:rsidRPr="004D46AC">
        <w:rPr>
          <w:rFonts w:ascii="Arial" w:hAnsi="Arial" w:cs="Arial"/>
          <w:noProof/>
          <w:szCs w:val="22"/>
        </w:rPr>
        <w:t xml:space="preserve"> </w:t>
      </w:r>
    </w:p>
    <w:p w14:paraId="76A4141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Iyer, S. N., Boekestyn, L., Cassidy, C. M., King, S., Joober, R., &amp; Malla, A. K. (2008). Signs and symptoms in the pre-psychotic phase: description and implications for diagnostic trajectories.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38</w:t>
      </w:r>
      <w:r w:rsidRPr="004D46AC">
        <w:rPr>
          <w:rFonts w:ascii="Arial" w:hAnsi="Arial" w:cs="Arial"/>
          <w:noProof/>
          <w:szCs w:val="22"/>
        </w:rPr>
        <w:t xml:space="preserve">(8), 1147–1156. </w:t>
      </w:r>
      <w:hyperlink r:id="rId101" w:history="1">
        <w:r w:rsidRPr="004D46AC">
          <w:rPr>
            <w:rStyle w:val="af5"/>
            <w:rFonts w:ascii="Arial" w:hAnsi="Arial" w:cs="Arial"/>
            <w:noProof/>
            <w:szCs w:val="22"/>
          </w:rPr>
          <w:t>https://doi.org/10.1017/s0033291708003152</w:t>
        </w:r>
      </w:hyperlink>
      <w:r w:rsidRPr="004D46AC">
        <w:rPr>
          <w:rFonts w:ascii="Arial" w:hAnsi="Arial" w:cs="Arial"/>
          <w:noProof/>
          <w:szCs w:val="22"/>
        </w:rPr>
        <w:t xml:space="preserve"> </w:t>
      </w:r>
    </w:p>
    <w:p w14:paraId="0FA39BF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Jang, Y. J., Yassin, W., Mesholam-Gately, R., Gershon, E. S., Keedy, S., Pearlson, G. G., Tamminga, C. A., McDowell, J., Parker, D. A., &amp; Sauer, K. (2025). Characterizing the relationship between personality dimensions and psychosis-specific clinical characteristics. </w:t>
      </w:r>
      <w:r w:rsidRPr="004D46AC">
        <w:rPr>
          <w:rFonts w:ascii="Arial" w:hAnsi="Arial" w:cs="Arial"/>
          <w:i/>
          <w:noProof/>
          <w:szCs w:val="22"/>
        </w:rPr>
        <w:t>Schizophrenia Research</w:t>
      </w:r>
      <w:r w:rsidRPr="004D46AC">
        <w:rPr>
          <w:rFonts w:ascii="Arial" w:hAnsi="Arial" w:cs="Arial"/>
          <w:noProof/>
          <w:szCs w:val="22"/>
        </w:rPr>
        <w:t>,</w:t>
      </w:r>
      <w:r w:rsidRPr="004D46AC">
        <w:rPr>
          <w:rFonts w:ascii="Arial" w:hAnsi="Arial" w:cs="Arial"/>
          <w:i/>
          <w:noProof/>
          <w:szCs w:val="22"/>
        </w:rPr>
        <w:t xml:space="preserve"> 276</w:t>
      </w:r>
      <w:r w:rsidRPr="004D46AC">
        <w:rPr>
          <w:rFonts w:ascii="Arial" w:hAnsi="Arial" w:cs="Arial"/>
          <w:noProof/>
          <w:szCs w:val="22"/>
        </w:rPr>
        <w:t xml:space="preserve">, 88–96. </w:t>
      </w:r>
    </w:p>
    <w:p w14:paraId="12A2EB8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Jaspers, K. (1963). </w:t>
      </w:r>
      <w:r w:rsidRPr="004D46AC">
        <w:rPr>
          <w:rFonts w:ascii="Arial" w:hAnsi="Arial" w:cs="Arial"/>
          <w:i/>
          <w:noProof/>
          <w:szCs w:val="22"/>
        </w:rPr>
        <w:t>General psychopathology: Karl Jaspers</w:t>
      </w:r>
      <w:r w:rsidRPr="004D46AC">
        <w:rPr>
          <w:rFonts w:ascii="Arial" w:hAnsi="Arial" w:cs="Arial"/>
          <w:noProof/>
          <w:szCs w:val="22"/>
        </w:rPr>
        <w:t xml:space="preserve">. Manchester University Press. </w:t>
      </w:r>
    </w:p>
    <w:p w14:paraId="0F329EF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Jiménez-López, E., Sánchez-Morla, E. M., López-Villarreal, A., Aparicio, A. I., Martínez-Vizcaíno, V., Vieta, E., Rodriguez-Jimenez, R., &amp; Santos, J. L. (2019). Neurocognition and functional outcome in patients with psychotic, non-psychotic bipolar I disorder, and schizophrenia. A five-year follow-up. </w:t>
      </w:r>
      <w:r w:rsidRPr="004D46AC">
        <w:rPr>
          <w:rFonts w:ascii="Arial" w:hAnsi="Arial" w:cs="Arial"/>
          <w:i/>
          <w:noProof/>
          <w:szCs w:val="22"/>
        </w:rPr>
        <w:t>Eur Psychiatry</w:t>
      </w:r>
      <w:r w:rsidRPr="004D46AC">
        <w:rPr>
          <w:rFonts w:ascii="Arial" w:hAnsi="Arial" w:cs="Arial"/>
          <w:noProof/>
          <w:szCs w:val="22"/>
        </w:rPr>
        <w:t>,</w:t>
      </w:r>
      <w:r w:rsidRPr="004D46AC">
        <w:rPr>
          <w:rFonts w:ascii="Arial" w:hAnsi="Arial" w:cs="Arial"/>
          <w:i/>
          <w:noProof/>
          <w:szCs w:val="22"/>
        </w:rPr>
        <w:t xml:space="preserve"> 56</w:t>
      </w:r>
      <w:r w:rsidRPr="004D46AC">
        <w:rPr>
          <w:rFonts w:ascii="Arial" w:hAnsi="Arial" w:cs="Arial"/>
          <w:noProof/>
          <w:szCs w:val="22"/>
        </w:rPr>
        <w:t xml:space="preserve">, 60–68. </w:t>
      </w:r>
      <w:hyperlink r:id="rId102" w:history="1">
        <w:r w:rsidRPr="004D46AC">
          <w:rPr>
            <w:rStyle w:val="af5"/>
            <w:rFonts w:ascii="Arial" w:hAnsi="Arial" w:cs="Arial"/>
            <w:noProof/>
            <w:szCs w:val="22"/>
          </w:rPr>
          <w:t>https://doi.org/10.1016/j.eurpsy.2018.11.008</w:t>
        </w:r>
      </w:hyperlink>
      <w:r w:rsidRPr="004D46AC">
        <w:rPr>
          <w:rFonts w:ascii="Arial" w:hAnsi="Arial" w:cs="Arial"/>
          <w:noProof/>
          <w:szCs w:val="22"/>
        </w:rPr>
        <w:t xml:space="preserve"> </w:t>
      </w:r>
    </w:p>
    <w:p w14:paraId="24094C6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Joyce, P. R. (1984). Age of onset in bipolar affective disorder and misdiagnosis as schizophrenia.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14</w:t>
      </w:r>
      <w:r w:rsidRPr="004D46AC">
        <w:rPr>
          <w:rFonts w:ascii="Arial" w:hAnsi="Arial" w:cs="Arial"/>
          <w:noProof/>
          <w:szCs w:val="22"/>
        </w:rPr>
        <w:t xml:space="preserve">(1), 145–149. </w:t>
      </w:r>
      <w:hyperlink r:id="rId103" w:history="1">
        <w:r w:rsidRPr="004D46AC">
          <w:rPr>
            <w:rStyle w:val="af5"/>
            <w:rFonts w:ascii="Arial" w:hAnsi="Arial" w:cs="Arial"/>
            <w:noProof/>
            <w:szCs w:val="22"/>
          </w:rPr>
          <w:t>https://doi.org/10.1017/s0033291700003147</w:t>
        </w:r>
      </w:hyperlink>
      <w:r w:rsidRPr="004D46AC">
        <w:rPr>
          <w:rFonts w:ascii="Arial" w:hAnsi="Arial" w:cs="Arial"/>
          <w:noProof/>
          <w:szCs w:val="22"/>
        </w:rPr>
        <w:t xml:space="preserve"> </w:t>
      </w:r>
    </w:p>
    <w:p w14:paraId="13C53A7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Karaş, H., Çarpar, E., Küçükgöncü, S., &amp; Kaşer, M. (2021). Associations of Attachment and Coping Styles With Social Functioning in Patients With Bipolar Disorder I. </w:t>
      </w:r>
      <w:r w:rsidRPr="004D46AC">
        <w:rPr>
          <w:rFonts w:ascii="Arial" w:hAnsi="Arial" w:cs="Arial"/>
          <w:i/>
          <w:noProof/>
          <w:szCs w:val="22"/>
        </w:rPr>
        <w:t>The Journal of Nervous and Mental Disease</w:t>
      </w:r>
      <w:r w:rsidRPr="004D46AC">
        <w:rPr>
          <w:rFonts w:ascii="Arial" w:hAnsi="Arial" w:cs="Arial"/>
          <w:noProof/>
          <w:szCs w:val="22"/>
        </w:rPr>
        <w:t>,</w:t>
      </w:r>
      <w:r w:rsidRPr="004D46AC">
        <w:rPr>
          <w:rFonts w:ascii="Arial" w:hAnsi="Arial" w:cs="Arial"/>
          <w:i/>
          <w:noProof/>
          <w:szCs w:val="22"/>
        </w:rPr>
        <w:t xml:space="preserve"> 209</w:t>
      </w:r>
      <w:r w:rsidRPr="004D46AC">
        <w:rPr>
          <w:rFonts w:ascii="Arial" w:hAnsi="Arial" w:cs="Arial"/>
          <w:noProof/>
          <w:szCs w:val="22"/>
        </w:rPr>
        <w:t xml:space="preserve">(8). </w:t>
      </w:r>
    </w:p>
    <w:p w14:paraId="1060339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Kartal, C., &amp; Fahri Aydın, E. (2023). Functional Impairment, Attachment, and Affective Temperaments in Euthymic Patients with Bipolar Disorder. </w:t>
      </w:r>
      <w:r w:rsidRPr="004D46AC">
        <w:rPr>
          <w:rFonts w:ascii="Arial" w:hAnsi="Arial" w:cs="Arial"/>
          <w:i/>
          <w:noProof/>
          <w:szCs w:val="22"/>
        </w:rPr>
        <w:t>Psychiatry Clin Psychopharmacol</w:t>
      </w:r>
      <w:r w:rsidRPr="004D46AC">
        <w:rPr>
          <w:rFonts w:ascii="Arial" w:hAnsi="Arial" w:cs="Arial"/>
          <w:noProof/>
          <w:szCs w:val="22"/>
        </w:rPr>
        <w:t>,</w:t>
      </w:r>
      <w:r w:rsidRPr="004D46AC">
        <w:rPr>
          <w:rFonts w:ascii="Arial" w:hAnsi="Arial" w:cs="Arial"/>
          <w:i/>
          <w:noProof/>
          <w:szCs w:val="22"/>
        </w:rPr>
        <w:t xml:space="preserve"> 33</w:t>
      </w:r>
      <w:r w:rsidRPr="004D46AC">
        <w:rPr>
          <w:rFonts w:ascii="Arial" w:hAnsi="Arial" w:cs="Arial"/>
          <w:noProof/>
          <w:szCs w:val="22"/>
        </w:rPr>
        <w:t xml:space="preserve">(4), 299–308. </w:t>
      </w:r>
      <w:hyperlink r:id="rId104" w:history="1">
        <w:r w:rsidRPr="004D46AC">
          <w:rPr>
            <w:rStyle w:val="af5"/>
            <w:rFonts w:ascii="Arial" w:hAnsi="Arial" w:cs="Arial"/>
            <w:noProof/>
            <w:szCs w:val="22"/>
          </w:rPr>
          <w:t>https://doi.org/10.5152/pcp.2023.22597</w:t>
        </w:r>
      </w:hyperlink>
      <w:r w:rsidRPr="004D46AC">
        <w:rPr>
          <w:rFonts w:ascii="Arial" w:hAnsi="Arial" w:cs="Arial"/>
          <w:noProof/>
          <w:szCs w:val="22"/>
        </w:rPr>
        <w:t xml:space="preserve"> </w:t>
      </w:r>
    </w:p>
    <w:p w14:paraId="55A8956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Kaymaz, N., Krabbendam, L., de Graaf, R., Nolen, W., Ten Have, M., &amp; van Os, J. (2006). Evidence that the urban environment specifically impacts on the psychotic but not the </w:t>
      </w:r>
      <w:r w:rsidRPr="004D46AC">
        <w:rPr>
          <w:rFonts w:ascii="Arial" w:hAnsi="Arial" w:cs="Arial"/>
          <w:noProof/>
          <w:szCs w:val="22"/>
        </w:rPr>
        <w:lastRenderedPageBreak/>
        <w:t xml:space="preserve">affective dimension of bipolar disorder. </w:t>
      </w:r>
      <w:r w:rsidRPr="004D46AC">
        <w:rPr>
          <w:rFonts w:ascii="Arial" w:hAnsi="Arial" w:cs="Arial"/>
          <w:i/>
          <w:noProof/>
          <w:szCs w:val="22"/>
        </w:rPr>
        <w:t>Soc Psychiatry Psychiatr Epidemiol</w:t>
      </w:r>
      <w:r w:rsidRPr="004D46AC">
        <w:rPr>
          <w:rFonts w:ascii="Arial" w:hAnsi="Arial" w:cs="Arial"/>
          <w:noProof/>
          <w:szCs w:val="22"/>
        </w:rPr>
        <w:t>,</w:t>
      </w:r>
      <w:r w:rsidRPr="004D46AC">
        <w:rPr>
          <w:rFonts w:ascii="Arial" w:hAnsi="Arial" w:cs="Arial"/>
          <w:i/>
          <w:noProof/>
          <w:szCs w:val="22"/>
        </w:rPr>
        <w:t xml:space="preserve"> 41</w:t>
      </w:r>
      <w:r w:rsidRPr="004D46AC">
        <w:rPr>
          <w:rFonts w:ascii="Arial" w:hAnsi="Arial" w:cs="Arial"/>
          <w:noProof/>
          <w:szCs w:val="22"/>
        </w:rPr>
        <w:t xml:space="preserve">(9), 679–685. </w:t>
      </w:r>
      <w:hyperlink r:id="rId105" w:history="1">
        <w:r w:rsidRPr="004D46AC">
          <w:rPr>
            <w:rStyle w:val="af5"/>
            <w:rFonts w:ascii="Arial" w:hAnsi="Arial" w:cs="Arial"/>
            <w:noProof/>
            <w:szCs w:val="22"/>
          </w:rPr>
          <w:t>https://doi.org/10.1007/s00127-006-0086-7</w:t>
        </w:r>
      </w:hyperlink>
      <w:r w:rsidRPr="004D46AC">
        <w:rPr>
          <w:rFonts w:ascii="Arial" w:hAnsi="Arial" w:cs="Arial"/>
          <w:noProof/>
          <w:szCs w:val="22"/>
        </w:rPr>
        <w:t xml:space="preserve"> </w:t>
      </w:r>
    </w:p>
    <w:p w14:paraId="3F777C6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Keck, P. E., Jr., McElroy, S. L., Havens, J. R., Altshuler, L. L., Nolen, W. A., Frye, M. A., Suppes, T., Denicoff, K. D., Kupka, R., Leverich, G. S., Rush, A. J., &amp; Post, R. M. (2003). Psychosis in bipolar disorder: phenomenology and impact on morbidity and course of illness. </w:t>
      </w:r>
      <w:r w:rsidRPr="004D46AC">
        <w:rPr>
          <w:rFonts w:ascii="Arial" w:hAnsi="Arial" w:cs="Arial"/>
          <w:i/>
          <w:noProof/>
          <w:szCs w:val="22"/>
        </w:rPr>
        <w:t>Compr Psychiatry</w:t>
      </w:r>
      <w:r w:rsidRPr="004D46AC">
        <w:rPr>
          <w:rFonts w:ascii="Arial" w:hAnsi="Arial" w:cs="Arial"/>
          <w:noProof/>
          <w:szCs w:val="22"/>
        </w:rPr>
        <w:t>,</w:t>
      </w:r>
      <w:r w:rsidRPr="004D46AC">
        <w:rPr>
          <w:rFonts w:ascii="Arial" w:hAnsi="Arial" w:cs="Arial"/>
          <w:i/>
          <w:noProof/>
          <w:szCs w:val="22"/>
        </w:rPr>
        <w:t xml:space="preserve"> 44</w:t>
      </w:r>
      <w:r w:rsidRPr="004D46AC">
        <w:rPr>
          <w:rFonts w:ascii="Arial" w:hAnsi="Arial" w:cs="Arial"/>
          <w:noProof/>
          <w:szCs w:val="22"/>
        </w:rPr>
        <w:t xml:space="preserve">(4), 263–269. </w:t>
      </w:r>
      <w:hyperlink r:id="rId106" w:history="1">
        <w:r w:rsidRPr="004D46AC">
          <w:rPr>
            <w:rStyle w:val="af5"/>
            <w:rFonts w:ascii="Arial" w:hAnsi="Arial" w:cs="Arial"/>
            <w:noProof/>
            <w:szCs w:val="22"/>
          </w:rPr>
          <w:t>https://doi.org/10.1016/S0010-440X(03)00089-0</w:t>
        </w:r>
      </w:hyperlink>
      <w:r w:rsidRPr="004D46AC">
        <w:rPr>
          <w:rFonts w:ascii="Arial" w:hAnsi="Arial" w:cs="Arial"/>
          <w:noProof/>
          <w:szCs w:val="22"/>
        </w:rPr>
        <w:t xml:space="preserve"> </w:t>
      </w:r>
    </w:p>
    <w:p w14:paraId="65ED922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Kemp, K. C., Gross, G. M., Barrantes-Vidal, N., &amp; Kwapil, T. R. (2018). Association of positive, negative, and disorganized schizotypy dimensions with affective symptoms and experiences. </w:t>
      </w:r>
      <w:r w:rsidRPr="004D46AC">
        <w:rPr>
          <w:rFonts w:ascii="Arial" w:hAnsi="Arial" w:cs="Arial"/>
          <w:i/>
          <w:noProof/>
          <w:szCs w:val="22"/>
        </w:rPr>
        <w:t>Psychiatry Res</w:t>
      </w:r>
      <w:r w:rsidRPr="004D46AC">
        <w:rPr>
          <w:rFonts w:ascii="Arial" w:hAnsi="Arial" w:cs="Arial"/>
          <w:noProof/>
          <w:szCs w:val="22"/>
        </w:rPr>
        <w:t>,</w:t>
      </w:r>
      <w:r w:rsidRPr="004D46AC">
        <w:rPr>
          <w:rFonts w:ascii="Arial" w:hAnsi="Arial" w:cs="Arial"/>
          <w:i/>
          <w:noProof/>
          <w:szCs w:val="22"/>
        </w:rPr>
        <w:t xml:space="preserve"> 270</w:t>
      </w:r>
      <w:r w:rsidRPr="004D46AC">
        <w:rPr>
          <w:rFonts w:ascii="Arial" w:hAnsi="Arial" w:cs="Arial"/>
          <w:noProof/>
          <w:szCs w:val="22"/>
        </w:rPr>
        <w:t xml:space="preserve">, 1143–1149. </w:t>
      </w:r>
      <w:hyperlink r:id="rId107" w:history="1">
        <w:r w:rsidRPr="004D46AC">
          <w:rPr>
            <w:rStyle w:val="af5"/>
            <w:rFonts w:ascii="Arial" w:hAnsi="Arial" w:cs="Arial"/>
            <w:noProof/>
            <w:szCs w:val="22"/>
          </w:rPr>
          <w:t>https://doi.org/10.1016/j.psychres.2018.10.031</w:t>
        </w:r>
      </w:hyperlink>
      <w:r w:rsidRPr="004D46AC">
        <w:rPr>
          <w:rFonts w:ascii="Arial" w:hAnsi="Arial" w:cs="Arial"/>
          <w:noProof/>
          <w:szCs w:val="22"/>
        </w:rPr>
        <w:t xml:space="preserve"> </w:t>
      </w:r>
    </w:p>
    <w:p w14:paraId="660BD3B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Kendler, K. S., &amp; Mishara, A. (2019). The Prehistory of Schneider's First-Rank Symptoms: Texts From 1810 to 1932.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45</w:t>
      </w:r>
      <w:r w:rsidRPr="004D46AC">
        <w:rPr>
          <w:rFonts w:ascii="Arial" w:hAnsi="Arial" w:cs="Arial"/>
          <w:noProof/>
          <w:szCs w:val="22"/>
        </w:rPr>
        <w:t xml:space="preserve">(5), 971–990. </w:t>
      </w:r>
      <w:hyperlink r:id="rId108" w:history="1">
        <w:r w:rsidRPr="004D46AC">
          <w:rPr>
            <w:rStyle w:val="af5"/>
            <w:rFonts w:ascii="Arial" w:hAnsi="Arial" w:cs="Arial"/>
            <w:noProof/>
            <w:szCs w:val="22"/>
          </w:rPr>
          <w:t>https://doi.org/10.1093/schbul/sbz047</w:t>
        </w:r>
      </w:hyperlink>
      <w:r w:rsidRPr="004D46AC">
        <w:rPr>
          <w:rFonts w:ascii="Arial" w:hAnsi="Arial" w:cs="Arial"/>
          <w:noProof/>
          <w:szCs w:val="22"/>
        </w:rPr>
        <w:t xml:space="preserve"> </w:t>
      </w:r>
    </w:p>
    <w:p w14:paraId="6EC67B4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Keshavan, M. S., Morris, D. W., Sweeney, J. A., Pearlson, G., Thaker, G., Seidman, L. J., Eack, S. M., &amp; Tamminga, C. (2011). A dimensional approach to the psychosis spectrum between bipolar disorder and schizophrenia: the Schizo-Bipolar Scale.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133</w:t>
      </w:r>
      <w:r w:rsidRPr="004D46AC">
        <w:rPr>
          <w:rFonts w:ascii="Arial" w:hAnsi="Arial" w:cs="Arial"/>
          <w:noProof/>
          <w:szCs w:val="22"/>
        </w:rPr>
        <w:t xml:space="preserve">(1-3), 250–254. </w:t>
      </w:r>
      <w:hyperlink r:id="rId109" w:history="1">
        <w:r w:rsidRPr="004D46AC">
          <w:rPr>
            <w:rStyle w:val="af5"/>
            <w:rFonts w:ascii="Arial" w:hAnsi="Arial" w:cs="Arial"/>
            <w:noProof/>
            <w:szCs w:val="22"/>
          </w:rPr>
          <w:t>https://doi.org/10.1016/j.schres.2011.09.005</w:t>
        </w:r>
      </w:hyperlink>
      <w:r w:rsidRPr="004D46AC">
        <w:rPr>
          <w:rFonts w:ascii="Arial" w:hAnsi="Arial" w:cs="Arial"/>
          <w:noProof/>
          <w:szCs w:val="22"/>
        </w:rPr>
        <w:t xml:space="preserve"> </w:t>
      </w:r>
    </w:p>
    <w:p w14:paraId="4F755F6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Klosterkötter, J., Ebel, H., Schultze-Lutter, F., &amp; Steinmeyer, E. M. (1996). Diagnostic validity of basic symptoms. </w:t>
      </w:r>
      <w:r w:rsidRPr="004D46AC">
        <w:rPr>
          <w:rFonts w:ascii="Arial" w:hAnsi="Arial" w:cs="Arial"/>
          <w:i/>
          <w:noProof/>
          <w:szCs w:val="22"/>
        </w:rPr>
        <w:t>European Archives of Psychiatry and Clinical Neuroscience</w:t>
      </w:r>
      <w:r w:rsidRPr="004D46AC">
        <w:rPr>
          <w:rFonts w:ascii="Arial" w:hAnsi="Arial" w:cs="Arial"/>
          <w:noProof/>
          <w:szCs w:val="22"/>
        </w:rPr>
        <w:t>,</w:t>
      </w:r>
      <w:r w:rsidRPr="004D46AC">
        <w:rPr>
          <w:rFonts w:ascii="Arial" w:hAnsi="Arial" w:cs="Arial"/>
          <w:i/>
          <w:noProof/>
          <w:szCs w:val="22"/>
        </w:rPr>
        <w:t xml:space="preserve"> 246</w:t>
      </w:r>
      <w:r w:rsidRPr="004D46AC">
        <w:rPr>
          <w:rFonts w:ascii="Arial" w:hAnsi="Arial" w:cs="Arial"/>
          <w:noProof/>
          <w:szCs w:val="22"/>
        </w:rPr>
        <w:t xml:space="preserve">(3), 147–154. </w:t>
      </w:r>
      <w:hyperlink r:id="rId110" w:history="1">
        <w:r w:rsidRPr="004D46AC">
          <w:rPr>
            <w:rStyle w:val="af5"/>
            <w:rFonts w:ascii="Arial" w:hAnsi="Arial" w:cs="Arial"/>
            <w:noProof/>
            <w:szCs w:val="22"/>
          </w:rPr>
          <w:t>https://doi.org/10.1007/BF02189116</w:t>
        </w:r>
      </w:hyperlink>
      <w:r w:rsidRPr="004D46AC">
        <w:rPr>
          <w:rFonts w:ascii="Arial" w:hAnsi="Arial" w:cs="Arial"/>
          <w:noProof/>
          <w:szCs w:val="22"/>
        </w:rPr>
        <w:t xml:space="preserve"> </w:t>
      </w:r>
    </w:p>
    <w:p w14:paraId="64D9432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Klosterkötter, J., Hellmich, M., Steinmeyer, E. M., &amp; Schultze-Lutter, F. (2001). Diagnosing Schizophrenia in the Initial Prodromal Phase. </w:t>
      </w:r>
      <w:r w:rsidRPr="004D46AC">
        <w:rPr>
          <w:rFonts w:ascii="Arial" w:hAnsi="Arial" w:cs="Arial"/>
          <w:i/>
          <w:noProof/>
          <w:szCs w:val="22"/>
        </w:rPr>
        <w:t>Archives of General Psychiatry</w:t>
      </w:r>
      <w:r w:rsidRPr="004D46AC">
        <w:rPr>
          <w:rFonts w:ascii="Arial" w:hAnsi="Arial" w:cs="Arial"/>
          <w:noProof/>
          <w:szCs w:val="22"/>
        </w:rPr>
        <w:t>,</w:t>
      </w:r>
      <w:r w:rsidRPr="004D46AC">
        <w:rPr>
          <w:rFonts w:ascii="Arial" w:hAnsi="Arial" w:cs="Arial"/>
          <w:i/>
          <w:noProof/>
          <w:szCs w:val="22"/>
        </w:rPr>
        <w:t xml:space="preserve"> 58</w:t>
      </w:r>
      <w:r w:rsidRPr="004D46AC">
        <w:rPr>
          <w:rFonts w:ascii="Arial" w:hAnsi="Arial" w:cs="Arial"/>
          <w:noProof/>
          <w:szCs w:val="22"/>
        </w:rPr>
        <w:t xml:space="preserve">(2), 158–164. </w:t>
      </w:r>
      <w:hyperlink r:id="rId111" w:history="1">
        <w:r w:rsidRPr="004D46AC">
          <w:rPr>
            <w:rStyle w:val="af5"/>
            <w:rFonts w:ascii="Arial" w:hAnsi="Arial" w:cs="Arial"/>
            <w:noProof/>
            <w:szCs w:val="22"/>
          </w:rPr>
          <w:t>https://doi.org/10.1001/archpsyc.58.2.158</w:t>
        </w:r>
      </w:hyperlink>
      <w:r w:rsidRPr="004D46AC">
        <w:rPr>
          <w:rFonts w:ascii="Arial" w:hAnsi="Arial" w:cs="Arial"/>
          <w:noProof/>
          <w:szCs w:val="22"/>
        </w:rPr>
        <w:t xml:space="preserve"> </w:t>
      </w:r>
    </w:p>
    <w:p w14:paraId="7DF17E5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Knudsen, C. B., Hemager, N., Greve, A. N., Lambek, R., Andreassen, A. K., Veddum, L., Brandt, J. M., Gregersen, M., Krantz, M. F., Søndergaard, A., Steffensen, N. L., Birk, M., Stadsgaard, H. B., Ohland, J., Burton, B. K., Jepsen, J. R. M., Thorup, A. A. E., Nordentoft, M., Mors, O., &amp; Bliksted, V. F. (2022). Neurocognitive Development in Children at Familial High Risk of Schizophrenia or Bipolar Disorder. </w:t>
      </w:r>
      <w:r w:rsidRPr="004D46AC">
        <w:rPr>
          <w:rFonts w:ascii="Arial" w:hAnsi="Arial" w:cs="Arial"/>
          <w:i/>
          <w:noProof/>
          <w:szCs w:val="22"/>
        </w:rPr>
        <w:t>JAMA Psychiatry</w:t>
      </w:r>
      <w:r w:rsidRPr="004D46AC">
        <w:rPr>
          <w:rFonts w:ascii="Arial" w:hAnsi="Arial" w:cs="Arial"/>
          <w:noProof/>
          <w:szCs w:val="22"/>
        </w:rPr>
        <w:t>,</w:t>
      </w:r>
      <w:r w:rsidRPr="004D46AC">
        <w:rPr>
          <w:rFonts w:ascii="Arial" w:hAnsi="Arial" w:cs="Arial"/>
          <w:i/>
          <w:noProof/>
          <w:szCs w:val="22"/>
        </w:rPr>
        <w:t xml:space="preserve"> 79</w:t>
      </w:r>
      <w:r w:rsidRPr="004D46AC">
        <w:rPr>
          <w:rFonts w:ascii="Arial" w:hAnsi="Arial" w:cs="Arial"/>
          <w:noProof/>
          <w:szCs w:val="22"/>
        </w:rPr>
        <w:t xml:space="preserve">(6), 589–599. </w:t>
      </w:r>
      <w:hyperlink r:id="rId112" w:history="1">
        <w:r w:rsidRPr="004D46AC">
          <w:rPr>
            <w:rStyle w:val="af5"/>
            <w:rFonts w:ascii="Arial" w:hAnsi="Arial" w:cs="Arial"/>
            <w:noProof/>
            <w:szCs w:val="22"/>
          </w:rPr>
          <w:t>https://doi.org/10.1001/jamapsychiatry.2022.0465</w:t>
        </w:r>
      </w:hyperlink>
      <w:r w:rsidRPr="004D46AC">
        <w:rPr>
          <w:rFonts w:ascii="Arial" w:hAnsi="Arial" w:cs="Arial"/>
          <w:noProof/>
          <w:szCs w:val="22"/>
        </w:rPr>
        <w:t xml:space="preserve"> </w:t>
      </w:r>
    </w:p>
    <w:p w14:paraId="3487B2C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Korver-Nieberg, N., Berry, K., Meijer, C. J., &amp; de Haan, L. (2014). Adult attachment and psychotic phenomenology in clinical and non-clinical samples: A systematic review. </w:t>
      </w:r>
      <w:r w:rsidRPr="004D46AC">
        <w:rPr>
          <w:rFonts w:ascii="Arial" w:hAnsi="Arial" w:cs="Arial"/>
          <w:i/>
          <w:noProof/>
          <w:szCs w:val="22"/>
        </w:rPr>
        <w:t>Psychology and Psychotherapy: Theory, Research and Practice</w:t>
      </w:r>
      <w:r w:rsidRPr="004D46AC">
        <w:rPr>
          <w:rFonts w:ascii="Arial" w:hAnsi="Arial" w:cs="Arial"/>
          <w:noProof/>
          <w:szCs w:val="22"/>
        </w:rPr>
        <w:t>,</w:t>
      </w:r>
      <w:r w:rsidRPr="004D46AC">
        <w:rPr>
          <w:rFonts w:ascii="Arial" w:hAnsi="Arial" w:cs="Arial"/>
          <w:i/>
          <w:noProof/>
          <w:szCs w:val="22"/>
        </w:rPr>
        <w:t xml:space="preserve"> 87</w:t>
      </w:r>
      <w:r w:rsidRPr="004D46AC">
        <w:rPr>
          <w:rFonts w:ascii="Arial" w:hAnsi="Arial" w:cs="Arial"/>
          <w:noProof/>
          <w:szCs w:val="22"/>
        </w:rPr>
        <w:t xml:space="preserve">(2), 127–154. </w:t>
      </w:r>
      <w:hyperlink r:id="rId113" w:history="1">
        <w:r w:rsidRPr="004D46AC">
          <w:rPr>
            <w:rStyle w:val="af5"/>
            <w:rFonts w:ascii="Arial" w:hAnsi="Arial" w:cs="Arial"/>
            <w:noProof/>
            <w:szCs w:val="22"/>
          </w:rPr>
          <w:t>https://doi.org/https://doi.org/10.1111/papt.12010</w:t>
        </w:r>
      </w:hyperlink>
      <w:r w:rsidRPr="004D46AC">
        <w:rPr>
          <w:rFonts w:ascii="Arial" w:hAnsi="Arial" w:cs="Arial"/>
          <w:noProof/>
          <w:szCs w:val="22"/>
        </w:rPr>
        <w:t xml:space="preserve"> </w:t>
      </w:r>
    </w:p>
    <w:p w14:paraId="54E275E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Kotov, R., Krueger, R. F., Watson, D., Achenbach, T. M., Althoff, R. R., Bagby, R. M., Brown, T. A., Carpenter, W. T., Caspi, A., Clark, L. A., Eaton, N. R., Forbes, M. K., Forbush, K. T., Goldberg, D., Hasin, D., Hyman, S. E., Ivanova, M. Y., Lynam, D. R., Markon, </w:t>
      </w:r>
      <w:r w:rsidRPr="004D46AC">
        <w:rPr>
          <w:rFonts w:ascii="Arial" w:hAnsi="Arial" w:cs="Arial"/>
          <w:noProof/>
          <w:szCs w:val="22"/>
        </w:rPr>
        <w:lastRenderedPageBreak/>
        <w:t xml:space="preserve">K.,…Zimmerman, M. (2017). The Hierarchical Taxonomy of Psychopathology (HiTOP): A dimensional alternative to traditional nosologies. </w:t>
      </w:r>
      <w:r w:rsidRPr="004D46AC">
        <w:rPr>
          <w:rFonts w:ascii="Arial" w:hAnsi="Arial" w:cs="Arial"/>
          <w:i/>
          <w:noProof/>
          <w:szCs w:val="22"/>
        </w:rPr>
        <w:t>J Abnorm Psychol</w:t>
      </w:r>
      <w:r w:rsidRPr="004D46AC">
        <w:rPr>
          <w:rFonts w:ascii="Arial" w:hAnsi="Arial" w:cs="Arial"/>
          <w:noProof/>
          <w:szCs w:val="22"/>
        </w:rPr>
        <w:t>,</w:t>
      </w:r>
      <w:r w:rsidRPr="004D46AC">
        <w:rPr>
          <w:rFonts w:ascii="Arial" w:hAnsi="Arial" w:cs="Arial"/>
          <w:i/>
          <w:noProof/>
          <w:szCs w:val="22"/>
        </w:rPr>
        <w:t xml:space="preserve"> 126</w:t>
      </w:r>
      <w:r w:rsidRPr="004D46AC">
        <w:rPr>
          <w:rFonts w:ascii="Arial" w:hAnsi="Arial" w:cs="Arial"/>
          <w:noProof/>
          <w:szCs w:val="22"/>
        </w:rPr>
        <w:t xml:space="preserve">(4), 454–477. </w:t>
      </w:r>
      <w:hyperlink r:id="rId114" w:history="1">
        <w:r w:rsidRPr="004D46AC">
          <w:rPr>
            <w:rStyle w:val="af5"/>
            <w:rFonts w:ascii="Arial" w:hAnsi="Arial" w:cs="Arial"/>
            <w:noProof/>
            <w:szCs w:val="22"/>
          </w:rPr>
          <w:t>https://doi.org/10.1037/abn0000258</w:t>
        </w:r>
      </w:hyperlink>
      <w:r w:rsidRPr="004D46AC">
        <w:rPr>
          <w:rFonts w:ascii="Arial" w:hAnsi="Arial" w:cs="Arial"/>
          <w:noProof/>
          <w:szCs w:val="22"/>
        </w:rPr>
        <w:t xml:space="preserve"> </w:t>
      </w:r>
    </w:p>
    <w:p w14:paraId="0ED1F13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Kraepelin, E. (1899). </w:t>
      </w:r>
      <w:r w:rsidRPr="004D46AC">
        <w:rPr>
          <w:rFonts w:ascii="Arial" w:hAnsi="Arial" w:cs="Arial"/>
          <w:i/>
          <w:noProof/>
          <w:szCs w:val="22"/>
        </w:rPr>
        <w:t>Psychiatry: A textbook for students and physicians.</w:t>
      </w:r>
      <w:r w:rsidRPr="004D46AC">
        <w:rPr>
          <w:rFonts w:ascii="Arial" w:hAnsi="Arial" w:cs="Arial"/>
          <w:noProof/>
          <w:szCs w:val="22"/>
        </w:rPr>
        <w:t xml:space="preserve"> (Vol. Volume 1 ). Watson Publishing International. </w:t>
      </w:r>
    </w:p>
    <w:p w14:paraId="271EA93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Kraepelin, E., &amp; Diefendorf, A. R. (1912). </w:t>
      </w:r>
      <w:r w:rsidRPr="004D46AC">
        <w:rPr>
          <w:rFonts w:ascii="Arial" w:hAnsi="Arial" w:cs="Arial"/>
          <w:i/>
          <w:noProof/>
          <w:szCs w:val="22"/>
        </w:rPr>
        <w:t>Clinical psychiatry : a text-book for students and physicians</w:t>
      </w:r>
      <w:r w:rsidRPr="004D46AC">
        <w:rPr>
          <w:rFonts w:ascii="Arial" w:hAnsi="Arial" w:cs="Arial"/>
          <w:noProof/>
          <w:szCs w:val="22"/>
        </w:rPr>
        <w:t xml:space="preserve">. Norwood Press. </w:t>
      </w:r>
    </w:p>
    <w:p w14:paraId="5E4E503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Krantz, M. F., Gregersen, M., Veddum, L., Hjorthøj, C., Prøsch, Å. K., Ohland, J., Brandt, J. M., Rohd, S. B., Knudsen, C. B., Andreasen, A. K., Hemager, N., Greve, A., Mors, O., Nordentoft, M., Psouni, E., &amp; Thorup, A. A. E. (2024). Attachment representations in pre-adolescents at familial high risk of schizophrenia or bipolar disorder and population-based controls—Characteristics of attachment from middle childhood to pre-adolescence, and its relation to parental functioning and child mental disorder. </w:t>
      </w:r>
      <w:r w:rsidRPr="004D46AC">
        <w:rPr>
          <w:rFonts w:ascii="Arial" w:hAnsi="Arial" w:cs="Arial"/>
          <w:i/>
          <w:noProof/>
          <w:szCs w:val="22"/>
        </w:rPr>
        <w:t>JCPP Advances</w:t>
      </w:r>
      <w:r w:rsidRPr="004D46AC">
        <w:rPr>
          <w:rFonts w:ascii="Arial" w:hAnsi="Arial" w:cs="Arial"/>
          <w:noProof/>
          <w:szCs w:val="22"/>
        </w:rPr>
        <w:t>,</w:t>
      </w:r>
      <w:r w:rsidRPr="004D46AC">
        <w:rPr>
          <w:rFonts w:ascii="Arial" w:hAnsi="Arial" w:cs="Arial"/>
          <w:i/>
          <w:noProof/>
          <w:szCs w:val="22"/>
        </w:rPr>
        <w:t xml:space="preserve"> n/a</w:t>
      </w:r>
      <w:r w:rsidRPr="004D46AC">
        <w:rPr>
          <w:rFonts w:ascii="Arial" w:hAnsi="Arial" w:cs="Arial"/>
          <w:noProof/>
          <w:szCs w:val="22"/>
        </w:rPr>
        <w:t xml:space="preserve">(n/a), e12274. </w:t>
      </w:r>
      <w:hyperlink r:id="rId115" w:history="1">
        <w:r w:rsidRPr="004D46AC">
          <w:rPr>
            <w:rStyle w:val="af5"/>
            <w:rFonts w:ascii="Arial" w:hAnsi="Arial" w:cs="Arial"/>
            <w:noProof/>
            <w:szCs w:val="22"/>
          </w:rPr>
          <w:t>https://doi.org/https://doi.org/10.1002/jcv2.12274</w:t>
        </w:r>
      </w:hyperlink>
      <w:r w:rsidRPr="004D46AC">
        <w:rPr>
          <w:rFonts w:ascii="Arial" w:hAnsi="Arial" w:cs="Arial"/>
          <w:noProof/>
          <w:szCs w:val="22"/>
        </w:rPr>
        <w:t xml:space="preserve"> </w:t>
      </w:r>
    </w:p>
    <w:p w14:paraId="7D6902E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Kulkarni, N., &amp; Himakar, P. (2022). A Comparative analysis of Negative symptoms in Remission phase of Schizophrenia and Bipolar Affective Disorder. </w:t>
      </w:r>
      <w:r w:rsidRPr="004D46AC">
        <w:rPr>
          <w:rFonts w:ascii="Arial" w:hAnsi="Arial" w:cs="Arial"/>
          <w:i/>
          <w:noProof/>
          <w:szCs w:val="22"/>
        </w:rPr>
        <w:t>Indian Journal of Psychiatry</w:t>
      </w:r>
      <w:r w:rsidRPr="004D46AC">
        <w:rPr>
          <w:rFonts w:ascii="Arial" w:hAnsi="Arial" w:cs="Arial"/>
          <w:noProof/>
          <w:szCs w:val="22"/>
        </w:rPr>
        <w:t>,</w:t>
      </w:r>
      <w:r w:rsidRPr="004D46AC">
        <w:rPr>
          <w:rFonts w:ascii="Arial" w:hAnsi="Arial" w:cs="Arial"/>
          <w:i/>
          <w:noProof/>
          <w:szCs w:val="22"/>
        </w:rPr>
        <w:t xml:space="preserve"> 64</w:t>
      </w:r>
      <w:r w:rsidRPr="004D46AC">
        <w:rPr>
          <w:rFonts w:ascii="Arial" w:hAnsi="Arial" w:cs="Arial"/>
          <w:noProof/>
          <w:szCs w:val="22"/>
        </w:rPr>
        <w:t xml:space="preserve">, S581 – S581. </w:t>
      </w:r>
    </w:p>
    <w:p w14:paraId="40A17AD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Kumar, S., Davidson, C. A., Saini, R., &amp; Jain, R. (2025). The Role of Intolerance of Uncertainty and Religiousness in Schizotypal Personality and Life Satisfaction: A Cross-Sectional Study. </w:t>
      </w:r>
      <w:r w:rsidRPr="004D46AC">
        <w:rPr>
          <w:rFonts w:ascii="Arial" w:hAnsi="Arial" w:cs="Arial"/>
          <w:i/>
          <w:noProof/>
          <w:szCs w:val="22"/>
        </w:rPr>
        <w:t>J Psychol</w:t>
      </w:r>
      <w:r w:rsidRPr="004D46AC">
        <w:rPr>
          <w:rFonts w:ascii="Arial" w:hAnsi="Arial" w:cs="Arial"/>
          <w:noProof/>
          <w:szCs w:val="22"/>
        </w:rPr>
        <w:t>,</w:t>
      </w:r>
      <w:r w:rsidRPr="004D46AC">
        <w:rPr>
          <w:rFonts w:ascii="Arial" w:hAnsi="Arial" w:cs="Arial"/>
          <w:i/>
          <w:noProof/>
          <w:szCs w:val="22"/>
        </w:rPr>
        <w:t xml:space="preserve"> 159</w:t>
      </w:r>
      <w:r w:rsidRPr="004D46AC">
        <w:rPr>
          <w:rFonts w:ascii="Arial" w:hAnsi="Arial" w:cs="Arial"/>
          <w:noProof/>
          <w:szCs w:val="22"/>
        </w:rPr>
        <w:t xml:space="preserve">(2), 92–110. </w:t>
      </w:r>
      <w:hyperlink r:id="rId116" w:history="1">
        <w:r w:rsidRPr="004D46AC">
          <w:rPr>
            <w:rStyle w:val="af5"/>
            <w:rFonts w:ascii="Arial" w:hAnsi="Arial" w:cs="Arial"/>
            <w:noProof/>
            <w:szCs w:val="22"/>
          </w:rPr>
          <w:t>https://doi.org/10.1080/00223980.2024.2372578</w:t>
        </w:r>
      </w:hyperlink>
      <w:r w:rsidRPr="004D46AC">
        <w:rPr>
          <w:rFonts w:ascii="Arial" w:hAnsi="Arial" w:cs="Arial"/>
          <w:noProof/>
          <w:szCs w:val="22"/>
        </w:rPr>
        <w:t xml:space="preserve"> </w:t>
      </w:r>
    </w:p>
    <w:p w14:paraId="0DF1533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Kuswanto, C., Chin, R., Sum, M. Y., Sengupta, S., Fagiolini, A., McIntyre, R. S., Vieta, E., &amp; Sim, K. (2016). Shared and divergent neurocognitive impairments in adult patients with schizophrenia and bipolar disorder: Whither the evidence? </w:t>
      </w:r>
      <w:r w:rsidRPr="004D46AC">
        <w:rPr>
          <w:rFonts w:ascii="Arial" w:hAnsi="Arial" w:cs="Arial"/>
          <w:i/>
          <w:noProof/>
          <w:szCs w:val="22"/>
        </w:rPr>
        <w:t>Neurosci Biobehav Rev</w:t>
      </w:r>
      <w:r w:rsidRPr="004D46AC">
        <w:rPr>
          <w:rFonts w:ascii="Arial" w:hAnsi="Arial" w:cs="Arial"/>
          <w:noProof/>
          <w:szCs w:val="22"/>
        </w:rPr>
        <w:t>,</w:t>
      </w:r>
      <w:r w:rsidRPr="004D46AC">
        <w:rPr>
          <w:rFonts w:ascii="Arial" w:hAnsi="Arial" w:cs="Arial"/>
          <w:i/>
          <w:noProof/>
          <w:szCs w:val="22"/>
        </w:rPr>
        <w:t xml:space="preserve"> 61</w:t>
      </w:r>
      <w:r w:rsidRPr="004D46AC">
        <w:rPr>
          <w:rFonts w:ascii="Arial" w:hAnsi="Arial" w:cs="Arial"/>
          <w:noProof/>
          <w:szCs w:val="22"/>
        </w:rPr>
        <w:t xml:space="preserve">, 66–89. </w:t>
      </w:r>
      <w:hyperlink r:id="rId117" w:history="1">
        <w:r w:rsidRPr="004D46AC">
          <w:rPr>
            <w:rStyle w:val="af5"/>
            <w:rFonts w:ascii="Arial" w:hAnsi="Arial" w:cs="Arial"/>
            <w:noProof/>
            <w:szCs w:val="22"/>
          </w:rPr>
          <w:t>https://doi.org/10.1016/j.neubiorev.2015.12.002</w:t>
        </w:r>
      </w:hyperlink>
      <w:r w:rsidRPr="004D46AC">
        <w:rPr>
          <w:rFonts w:ascii="Arial" w:hAnsi="Arial" w:cs="Arial"/>
          <w:noProof/>
          <w:szCs w:val="22"/>
        </w:rPr>
        <w:t xml:space="preserve"> </w:t>
      </w:r>
    </w:p>
    <w:p w14:paraId="7E11E35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Lasalvia, A., Bonetto, C., Tosato, S., Zanatta, G., Cristofalo, D., Salazzari, D., Lazzarotto, L., Bertani, M., Bissoli, S., De Santi, K., Cremonese, C., De Rossi, M., Gardellin, F., Ramon, L., Zucchetto, M., Amaddeo, F., Tansella, M., &amp; Ruggeri, M. (2014). First-contact incidence of psychosis in north-eastern Italy: influence of age, gender, immigration and socioeconomic deprivation. </w:t>
      </w:r>
      <w:r w:rsidRPr="004D46AC">
        <w:rPr>
          <w:rFonts w:ascii="Arial" w:hAnsi="Arial" w:cs="Arial"/>
          <w:i/>
          <w:noProof/>
          <w:szCs w:val="22"/>
        </w:rPr>
        <w:t>Br J Psychiatry</w:t>
      </w:r>
      <w:r w:rsidRPr="004D46AC">
        <w:rPr>
          <w:rFonts w:ascii="Arial" w:hAnsi="Arial" w:cs="Arial"/>
          <w:noProof/>
          <w:szCs w:val="22"/>
        </w:rPr>
        <w:t>,</w:t>
      </w:r>
      <w:r w:rsidRPr="004D46AC">
        <w:rPr>
          <w:rFonts w:ascii="Arial" w:hAnsi="Arial" w:cs="Arial"/>
          <w:i/>
          <w:noProof/>
          <w:szCs w:val="22"/>
        </w:rPr>
        <w:t xml:space="preserve"> 205</w:t>
      </w:r>
      <w:r w:rsidRPr="004D46AC">
        <w:rPr>
          <w:rFonts w:ascii="Arial" w:hAnsi="Arial" w:cs="Arial"/>
          <w:noProof/>
          <w:szCs w:val="22"/>
        </w:rPr>
        <w:t xml:space="preserve">(2), 127–134. </w:t>
      </w:r>
      <w:hyperlink r:id="rId118" w:history="1">
        <w:r w:rsidRPr="004D46AC">
          <w:rPr>
            <w:rStyle w:val="af5"/>
            <w:rFonts w:ascii="Arial" w:hAnsi="Arial" w:cs="Arial"/>
            <w:noProof/>
            <w:szCs w:val="22"/>
          </w:rPr>
          <w:t>https://doi.org/10.1192/bjp.bp.113.134445</w:t>
        </w:r>
      </w:hyperlink>
      <w:r w:rsidRPr="004D46AC">
        <w:rPr>
          <w:rFonts w:ascii="Arial" w:hAnsi="Arial" w:cs="Arial"/>
          <w:noProof/>
          <w:szCs w:val="22"/>
        </w:rPr>
        <w:t xml:space="preserve"> </w:t>
      </w:r>
    </w:p>
    <w:p w14:paraId="0F4B0DD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Lau, P., Hawes, D. J., Hunt, C., Frankland, A., Roberts, G., &amp; Mitchell, P. B. (2018). Prevalence of psychopathology in bipolar high-risk offspring and siblings: a meta-analysis. </w:t>
      </w:r>
      <w:r w:rsidRPr="004D46AC">
        <w:rPr>
          <w:rFonts w:ascii="Arial" w:hAnsi="Arial" w:cs="Arial"/>
          <w:i/>
          <w:noProof/>
          <w:szCs w:val="22"/>
        </w:rPr>
        <w:t>European Child &amp; Adolescent Psychiatry</w:t>
      </w:r>
      <w:r w:rsidRPr="004D46AC">
        <w:rPr>
          <w:rFonts w:ascii="Arial" w:hAnsi="Arial" w:cs="Arial"/>
          <w:noProof/>
          <w:szCs w:val="22"/>
        </w:rPr>
        <w:t>,</w:t>
      </w:r>
      <w:r w:rsidRPr="004D46AC">
        <w:rPr>
          <w:rFonts w:ascii="Arial" w:hAnsi="Arial" w:cs="Arial"/>
          <w:i/>
          <w:noProof/>
          <w:szCs w:val="22"/>
        </w:rPr>
        <w:t xml:space="preserve"> 27</w:t>
      </w:r>
      <w:r w:rsidRPr="004D46AC">
        <w:rPr>
          <w:rFonts w:ascii="Arial" w:hAnsi="Arial" w:cs="Arial"/>
          <w:noProof/>
          <w:szCs w:val="22"/>
        </w:rPr>
        <w:t xml:space="preserve">(7), 823–837. </w:t>
      </w:r>
      <w:hyperlink r:id="rId119" w:history="1">
        <w:r w:rsidRPr="004D46AC">
          <w:rPr>
            <w:rStyle w:val="af5"/>
            <w:rFonts w:ascii="Arial" w:hAnsi="Arial" w:cs="Arial"/>
            <w:noProof/>
            <w:szCs w:val="22"/>
          </w:rPr>
          <w:t>https://doi.org/10.1007/s00787-017-1050-7</w:t>
        </w:r>
      </w:hyperlink>
      <w:r w:rsidRPr="004D46AC">
        <w:rPr>
          <w:rFonts w:ascii="Arial" w:hAnsi="Arial" w:cs="Arial"/>
          <w:noProof/>
          <w:szCs w:val="22"/>
        </w:rPr>
        <w:t xml:space="preserve"> </w:t>
      </w:r>
    </w:p>
    <w:p w14:paraId="4D5FDD5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LeBlanc, A. (2001). The Origins of the Concept of Dissociation: Paul Janet, His Nephew Pierre, and the Problem of Post-Hypnotic Suggestion. </w:t>
      </w:r>
      <w:r w:rsidRPr="004D46AC">
        <w:rPr>
          <w:rFonts w:ascii="Arial" w:hAnsi="Arial" w:cs="Arial"/>
          <w:i/>
          <w:noProof/>
          <w:szCs w:val="22"/>
        </w:rPr>
        <w:t>History of Science</w:t>
      </w:r>
      <w:r w:rsidRPr="004D46AC">
        <w:rPr>
          <w:rFonts w:ascii="Arial" w:hAnsi="Arial" w:cs="Arial"/>
          <w:noProof/>
          <w:szCs w:val="22"/>
        </w:rPr>
        <w:t>,</w:t>
      </w:r>
      <w:r w:rsidRPr="004D46AC">
        <w:rPr>
          <w:rFonts w:ascii="Arial" w:hAnsi="Arial" w:cs="Arial"/>
          <w:i/>
          <w:noProof/>
          <w:szCs w:val="22"/>
        </w:rPr>
        <w:t xml:space="preserve"> 39</w:t>
      </w:r>
      <w:r w:rsidRPr="004D46AC">
        <w:rPr>
          <w:rFonts w:ascii="Arial" w:hAnsi="Arial" w:cs="Arial"/>
          <w:noProof/>
          <w:szCs w:val="22"/>
        </w:rPr>
        <w:t xml:space="preserve">(1), 57–69. </w:t>
      </w:r>
      <w:hyperlink r:id="rId120" w:history="1">
        <w:r w:rsidRPr="004D46AC">
          <w:rPr>
            <w:rStyle w:val="af5"/>
            <w:rFonts w:ascii="Arial" w:hAnsi="Arial" w:cs="Arial"/>
            <w:noProof/>
            <w:szCs w:val="22"/>
          </w:rPr>
          <w:t>https://doi.org/10.1177/007327530103900103</w:t>
        </w:r>
      </w:hyperlink>
      <w:r w:rsidRPr="004D46AC">
        <w:rPr>
          <w:rFonts w:ascii="Arial" w:hAnsi="Arial" w:cs="Arial"/>
          <w:noProof/>
          <w:szCs w:val="22"/>
        </w:rPr>
        <w:t xml:space="preserve"> </w:t>
      </w:r>
    </w:p>
    <w:p w14:paraId="71BADDF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Leda-Rego, G., Studart-Botto, P., Abbade, P., Rabelo-Da-Ponte, F. D., Casqueiro, J. S., Sarmento, S., Dallalana, C., Troesch, M., Prates, S., &amp; Miranda-Scippa, A. (2024). Lifetime prevalence of psychiatric comorbidities in patients with bipolar disorder: A systematic review and meta-analysis. </w:t>
      </w:r>
      <w:r w:rsidRPr="004D46AC">
        <w:rPr>
          <w:rFonts w:ascii="Arial" w:hAnsi="Arial" w:cs="Arial"/>
          <w:i/>
          <w:noProof/>
          <w:szCs w:val="22"/>
        </w:rPr>
        <w:t>Psychiatry Res</w:t>
      </w:r>
      <w:r w:rsidRPr="004D46AC">
        <w:rPr>
          <w:rFonts w:ascii="Arial" w:hAnsi="Arial" w:cs="Arial"/>
          <w:noProof/>
          <w:szCs w:val="22"/>
        </w:rPr>
        <w:t>,</w:t>
      </w:r>
      <w:r w:rsidRPr="004D46AC">
        <w:rPr>
          <w:rFonts w:ascii="Arial" w:hAnsi="Arial" w:cs="Arial"/>
          <w:i/>
          <w:noProof/>
          <w:szCs w:val="22"/>
        </w:rPr>
        <w:t xml:space="preserve"> 337</w:t>
      </w:r>
      <w:r w:rsidRPr="004D46AC">
        <w:rPr>
          <w:rFonts w:ascii="Arial" w:hAnsi="Arial" w:cs="Arial"/>
          <w:noProof/>
          <w:szCs w:val="22"/>
        </w:rPr>
        <w:t xml:space="preserve">, 115953. </w:t>
      </w:r>
      <w:hyperlink r:id="rId121" w:history="1">
        <w:r w:rsidRPr="004D46AC">
          <w:rPr>
            <w:rStyle w:val="af5"/>
            <w:rFonts w:ascii="Arial" w:hAnsi="Arial" w:cs="Arial"/>
            <w:noProof/>
            <w:szCs w:val="22"/>
          </w:rPr>
          <w:t>https://doi.org/10.1016/j.psychres.2024.115953</w:t>
        </w:r>
      </w:hyperlink>
      <w:r w:rsidRPr="004D46AC">
        <w:rPr>
          <w:rFonts w:ascii="Arial" w:hAnsi="Arial" w:cs="Arial"/>
          <w:noProof/>
          <w:szCs w:val="22"/>
        </w:rPr>
        <w:t xml:space="preserve"> </w:t>
      </w:r>
    </w:p>
    <w:p w14:paraId="28E34A7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Lee, S. C., DelPozo-Banos, M., Lloyd, K., Jones, I., Walters, J. T. R., &amp; John, A. (2023). Trends in socioeconomic inequalities in incidence of severe mental illness - A population-based linkage study using primary and secondary care routinely collected data between 2000 and 2017.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260</w:t>
      </w:r>
      <w:r w:rsidRPr="004D46AC">
        <w:rPr>
          <w:rFonts w:ascii="Arial" w:hAnsi="Arial" w:cs="Arial"/>
          <w:noProof/>
          <w:szCs w:val="22"/>
        </w:rPr>
        <w:t xml:space="preserve">, 113–122. </w:t>
      </w:r>
      <w:hyperlink r:id="rId122" w:history="1">
        <w:r w:rsidRPr="004D46AC">
          <w:rPr>
            <w:rStyle w:val="af5"/>
            <w:rFonts w:ascii="Arial" w:hAnsi="Arial" w:cs="Arial"/>
            <w:noProof/>
            <w:szCs w:val="22"/>
          </w:rPr>
          <w:t>https://doi.org/10.1016/j.schres.2023.08.014</w:t>
        </w:r>
      </w:hyperlink>
      <w:r w:rsidRPr="004D46AC">
        <w:rPr>
          <w:rFonts w:ascii="Arial" w:hAnsi="Arial" w:cs="Arial"/>
          <w:noProof/>
          <w:szCs w:val="22"/>
        </w:rPr>
        <w:t xml:space="preserve"> </w:t>
      </w:r>
    </w:p>
    <w:p w14:paraId="32AD88E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Lei, Y., Martinez, A., Huddy, V., Morriss, J., Ellett, L., &amp; Bentall, R. (2025). Intolerance of uncertainty predicts paranoia over time: Evidence from a UK sample. </w:t>
      </w:r>
      <w:r w:rsidRPr="004D46AC">
        <w:rPr>
          <w:rFonts w:ascii="Arial" w:hAnsi="Arial" w:cs="Arial"/>
          <w:i/>
          <w:noProof/>
          <w:szCs w:val="22"/>
        </w:rPr>
        <w:t>Journal of Behavior Therapy and Experimental Psychiatry</w:t>
      </w:r>
      <w:r w:rsidRPr="004D46AC">
        <w:rPr>
          <w:rFonts w:ascii="Arial" w:hAnsi="Arial" w:cs="Arial"/>
          <w:noProof/>
          <w:szCs w:val="22"/>
        </w:rPr>
        <w:t>,</w:t>
      </w:r>
      <w:r w:rsidRPr="004D46AC">
        <w:rPr>
          <w:rFonts w:ascii="Arial" w:hAnsi="Arial" w:cs="Arial"/>
          <w:i/>
          <w:noProof/>
          <w:szCs w:val="22"/>
        </w:rPr>
        <w:t xml:space="preserve"> 89</w:t>
      </w:r>
      <w:r w:rsidRPr="004D46AC">
        <w:rPr>
          <w:rFonts w:ascii="Arial" w:hAnsi="Arial" w:cs="Arial"/>
          <w:noProof/>
          <w:szCs w:val="22"/>
        </w:rPr>
        <w:t xml:space="preserve">, 102050. </w:t>
      </w:r>
      <w:hyperlink r:id="rId123" w:history="1">
        <w:r w:rsidRPr="004D46AC">
          <w:rPr>
            <w:rStyle w:val="af5"/>
            <w:rFonts w:ascii="Arial" w:hAnsi="Arial" w:cs="Arial"/>
            <w:noProof/>
            <w:szCs w:val="22"/>
          </w:rPr>
          <w:t>https://doi.org/https://doi.org/10.1016/j.jbtep.2025.102050</w:t>
        </w:r>
      </w:hyperlink>
      <w:r w:rsidRPr="004D46AC">
        <w:rPr>
          <w:rFonts w:ascii="Arial" w:hAnsi="Arial" w:cs="Arial"/>
          <w:noProof/>
          <w:szCs w:val="22"/>
        </w:rPr>
        <w:t xml:space="preserve"> </w:t>
      </w:r>
    </w:p>
    <w:p w14:paraId="466B056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Lenzenweger, M. F., Dworkin, R. H., &amp; Wethington, E. (1991). Examining the underlying structure of schizophrenic phenomenology: Evidence for a three-process model. </w:t>
      </w:r>
      <w:r w:rsidRPr="004D46AC">
        <w:rPr>
          <w:rFonts w:ascii="Arial" w:hAnsi="Arial" w:cs="Arial"/>
          <w:i/>
          <w:noProof/>
          <w:szCs w:val="22"/>
        </w:rPr>
        <w:t>Schizophrenia Bulletin</w:t>
      </w:r>
      <w:r w:rsidRPr="004D46AC">
        <w:rPr>
          <w:rFonts w:ascii="Arial" w:hAnsi="Arial" w:cs="Arial"/>
          <w:noProof/>
          <w:szCs w:val="22"/>
        </w:rPr>
        <w:t>,</w:t>
      </w:r>
      <w:r w:rsidRPr="004D46AC">
        <w:rPr>
          <w:rFonts w:ascii="Arial" w:hAnsi="Arial" w:cs="Arial"/>
          <w:i/>
          <w:noProof/>
          <w:szCs w:val="22"/>
        </w:rPr>
        <w:t xml:space="preserve"> 17</w:t>
      </w:r>
      <w:r w:rsidRPr="004D46AC">
        <w:rPr>
          <w:rFonts w:ascii="Arial" w:hAnsi="Arial" w:cs="Arial"/>
          <w:noProof/>
          <w:szCs w:val="22"/>
        </w:rPr>
        <w:t xml:space="preserve">(3), 515–524. </w:t>
      </w:r>
    </w:p>
    <w:p w14:paraId="12BB0C5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Leonhard, K. (1957). Aufteilung der endogenen Psychosen und ihre differenzierte Ätiologie. 1995. In: Thieme, Stuttgart.</w:t>
      </w:r>
    </w:p>
    <w:p w14:paraId="2CD47FB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Leonhard, K. (1999). </w:t>
      </w:r>
      <w:r w:rsidRPr="004D46AC">
        <w:rPr>
          <w:rFonts w:ascii="Arial" w:hAnsi="Arial" w:cs="Arial"/>
          <w:i/>
          <w:noProof/>
          <w:szCs w:val="22"/>
        </w:rPr>
        <w:t>Classification of Endogenous Psychoses and their Differentiated Etiology</w:t>
      </w:r>
      <w:r w:rsidRPr="004D46AC">
        <w:rPr>
          <w:rFonts w:ascii="Arial" w:hAnsi="Arial" w:cs="Arial"/>
          <w:noProof/>
          <w:szCs w:val="22"/>
        </w:rPr>
        <w:t xml:space="preserve"> (C. H. Cahn, Trans.). Springer-Verlag Wien. </w:t>
      </w:r>
    </w:p>
    <w:p w14:paraId="6F33F50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Lewandowski, K. E., DePaola, J., Camsari, G. B., Cohen, B. M., &amp; Ongur, D. (2009). Tactile, olfactory, and gustatory hallucinations in psychotic disorders: a descriptive study. </w:t>
      </w:r>
      <w:r w:rsidRPr="004D46AC">
        <w:rPr>
          <w:rFonts w:ascii="Arial" w:hAnsi="Arial" w:cs="Arial"/>
          <w:i/>
          <w:noProof/>
          <w:szCs w:val="22"/>
        </w:rPr>
        <w:t>Ann Acad Med Singap</w:t>
      </w:r>
      <w:r w:rsidRPr="004D46AC">
        <w:rPr>
          <w:rFonts w:ascii="Arial" w:hAnsi="Arial" w:cs="Arial"/>
          <w:noProof/>
          <w:szCs w:val="22"/>
        </w:rPr>
        <w:t>,</w:t>
      </w:r>
      <w:r w:rsidRPr="004D46AC">
        <w:rPr>
          <w:rFonts w:ascii="Arial" w:hAnsi="Arial" w:cs="Arial"/>
          <w:i/>
          <w:noProof/>
          <w:szCs w:val="22"/>
        </w:rPr>
        <w:t xml:space="preserve"> 38</w:t>
      </w:r>
      <w:r w:rsidRPr="004D46AC">
        <w:rPr>
          <w:rFonts w:ascii="Arial" w:hAnsi="Arial" w:cs="Arial"/>
          <w:noProof/>
          <w:szCs w:val="22"/>
        </w:rPr>
        <w:t xml:space="preserve">(5), 383–385. </w:t>
      </w:r>
    </w:p>
    <w:p w14:paraId="374C092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Logeswaran, Y., Dykxhoorn, J., Dalman, C., &amp; Kirkbride, J. B. (2023). Social Deprivation and Population Density Trajectories Before and After Psychotic Disorder Diagnosis. </w:t>
      </w:r>
      <w:r w:rsidRPr="004D46AC">
        <w:rPr>
          <w:rFonts w:ascii="Arial" w:hAnsi="Arial" w:cs="Arial"/>
          <w:i/>
          <w:noProof/>
          <w:szCs w:val="22"/>
        </w:rPr>
        <w:t>JAMA Psychiatry</w:t>
      </w:r>
      <w:r w:rsidRPr="004D46AC">
        <w:rPr>
          <w:rFonts w:ascii="Arial" w:hAnsi="Arial" w:cs="Arial"/>
          <w:noProof/>
          <w:szCs w:val="22"/>
        </w:rPr>
        <w:t>,</w:t>
      </w:r>
      <w:r w:rsidRPr="004D46AC">
        <w:rPr>
          <w:rFonts w:ascii="Arial" w:hAnsi="Arial" w:cs="Arial"/>
          <w:i/>
          <w:noProof/>
          <w:szCs w:val="22"/>
        </w:rPr>
        <w:t xml:space="preserve"> 80</w:t>
      </w:r>
      <w:r w:rsidRPr="004D46AC">
        <w:rPr>
          <w:rFonts w:ascii="Arial" w:hAnsi="Arial" w:cs="Arial"/>
          <w:noProof/>
          <w:szCs w:val="22"/>
        </w:rPr>
        <w:t xml:space="preserve">(12), 1258–1268. </w:t>
      </w:r>
      <w:hyperlink r:id="rId124" w:history="1">
        <w:r w:rsidRPr="004D46AC">
          <w:rPr>
            <w:rStyle w:val="af5"/>
            <w:rFonts w:ascii="Arial" w:hAnsi="Arial" w:cs="Arial"/>
            <w:noProof/>
            <w:szCs w:val="22"/>
          </w:rPr>
          <w:t>https://doi.org/10.1001/jamapsychiatry.2023.3220</w:t>
        </w:r>
      </w:hyperlink>
      <w:r w:rsidRPr="004D46AC">
        <w:rPr>
          <w:rFonts w:ascii="Arial" w:hAnsi="Arial" w:cs="Arial"/>
          <w:noProof/>
          <w:szCs w:val="22"/>
        </w:rPr>
        <w:t xml:space="preserve"> </w:t>
      </w:r>
    </w:p>
    <w:p w14:paraId="7B08D21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Lönnqvist, J. E., Verkasalo, M., Haukka, J., Nyman, K., Tiihonen, J., Laaksonen, I., Leskinen, J., Lönnqvist, J., &amp; Henriksson, M. (2009). Premorbid personality factors in schizophrenia and bipolar disorder: results from a large cohort study of male conscripts. </w:t>
      </w:r>
      <w:r w:rsidRPr="004D46AC">
        <w:rPr>
          <w:rFonts w:ascii="Arial" w:hAnsi="Arial" w:cs="Arial"/>
          <w:i/>
          <w:noProof/>
          <w:szCs w:val="22"/>
        </w:rPr>
        <w:t>J Abnorm Psychol</w:t>
      </w:r>
      <w:r w:rsidRPr="004D46AC">
        <w:rPr>
          <w:rFonts w:ascii="Arial" w:hAnsi="Arial" w:cs="Arial"/>
          <w:noProof/>
          <w:szCs w:val="22"/>
        </w:rPr>
        <w:t>,</w:t>
      </w:r>
      <w:r w:rsidRPr="004D46AC">
        <w:rPr>
          <w:rFonts w:ascii="Arial" w:hAnsi="Arial" w:cs="Arial"/>
          <w:i/>
          <w:noProof/>
          <w:szCs w:val="22"/>
        </w:rPr>
        <w:t xml:space="preserve"> 118</w:t>
      </w:r>
      <w:r w:rsidRPr="004D46AC">
        <w:rPr>
          <w:rFonts w:ascii="Arial" w:hAnsi="Arial" w:cs="Arial"/>
          <w:noProof/>
          <w:szCs w:val="22"/>
        </w:rPr>
        <w:t xml:space="preserve">(2), 418–423. </w:t>
      </w:r>
      <w:hyperlink r:id="rId125" w:history="1">
        <w:r w:rsidRPr="004D46AC">
          <w:rPr>
            <w:rStyle w:val="af5"/>
            <w:rFonts w:ascii="Arial" w:hAnsi="Arial" w:cs="Arial"/>
            <w:noProof/>
            <w:szCs w:val="22"/>
          </w:rPr>
          <w:t>https://doi.org/10.1037/a0015127</w:t>
        </w:r>
      </w:hyperlink>
      <w:r w:rsidRPr="004D46AC">
        <w:rPr>
          <w:rFonts w:ascii="Arial" w:hAnsi="Arial" w:cs="Arial"/>
          <w:noProof/>
          <w:szCs w:val="22"/>
        </w:rPr>
        <w:t xml:space="preserve"> </w:t>
      </w:r>
    </w:p>
    <w:p w14:paraId="1C70DF4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Main, M., &amp; Solomon, J. (1990). Procedures for identifying infants as disorganized/disoriented during the Ainsworth Strange Situation. In </w:t>
      </w:r>
      <w:r w:rsidRPr="004D46AC">
        <w:rPr>
          <w:rFonts w:ascii="Arial" w:hAnsi="Arial" w:cs="Arial"/>
          <w:i/>
          <w:noProof/>
          <w:szCs w:val="22"/>
        </w:rPr>
        <w:t xml:space="preserve">Attachment in the </w:t>
      </w:r>
      <w:r w:rsidRPr="004D46AC">
        <w:rPr>
          <w:rFonts w:ascii="Arial" w:hAnsi="Arial" w:cs="Arial"/>
          <w:i/>
          <w:noProof/>
          <w:szCs w:val="22"/>
        </w:rPr>
        <w:lastRenderedPageBreak/>
        <w:t>preschool years: Theory, research, and intervention.</w:t>
      </w:r>
      <w:r w:rsidRPr="004D46AC">
        <w:rPr>
          <w:rFonts w:ascii="Arial" w:hAnsi="Arial" w:cs="Arial"/>
          <w:noProof/>
          <w:szCs w:val="22"/>
        </w:rPr>
        <w:t xml:space="preserve"> (pp. 121–160). The University of Chicago Press. </w:t>
      </w:r>
    </w:p>
    <w:p w14:paraId="31316FE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Malhi, G. S., Bargh, D. M., Coulston, C. M., Das, P., &amp; Berk, M. (2014). Predicting bipolar disorder on the basis of phenomenology: implications for prevention and early intervention. </w:t>
      </w:r>
      <w:r w:rsidRPr="004D46AC">
        <w:rPr>
          <w:rFonts w:ascii="Arial" w:hAnsi="Arial" w:cs="Arial"/>
          <w:i/>
          <w:noProof/>
          <w:szCs w:val="22"/>
        </w:rPr>
        <w:t>Bipolar Disorders</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(5), 455–470. </w:t>
      </w:r>
      <w:hyperlink r:id="rId126" w:history="1">
        <w:r w:rsidRPr="004D46AC">
          <w:rPr>
            <w:rStyle w:val="af5"/>
            <w:rFonts w:ascii="Arial" w:hAnsi="Arial" w:cs="Arial"/>
            <w:noProof/>
            <w:szCs w:val="22"/>
          </w:rPr>
          <w:t>https://doi.org/https://doi.org/10.1111/bdi.12133</w:t>
        </w:r>
      </w:hyperlink>
      <w:r w:rsidRPr="004D46AC">
        <w:rPr>
          <w:rFonts w:ascii="Arial" w:hAnsi="Arial" w:cs="Arial"/>
          <w:noProof/>
          <w:szCs w:val="22"/>
        </w:rPr>
        <w:t xml:space="preserve"> </w:t>
      </w:r>
    </w:p>
    <w:p w14:paraId="509E6F4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Mandell, W. (1995). </w:t>
      </w:r>
      <w:r w:rsidRPr="004D46AC">
        <w:rPr>
          <w:rFonts w:ascii="Arial" w:hAnsi="Arial" w:cs="Arial"/>
          <w:i/>
          <w:noProof/>
          <w:szCs w:val="22"/>
        </w:rPr>
        <w:t>The Realization of an Idea</w:t>
      </w:r>
      <w:r w:rsidRPr="004D46AC">
        <w:rPr>
          <w:rFonts w:ascii="Arial" w:hAnsi="Arial" w:cs="Arial"/>
          <w:noProof/>
          <w:szCs w:val="22"/>
        </w:rPr>
        <w:t xml:space="preserve">. Johns Hopkins University. </w:t>
      </w:r>
    </w:p>
    <w:p w14:paraId="691F840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Marengo, J., &amp; Harrow, M. (1985). Thought disorder. A function of schizophrenia, mania, or psychosis? </w:t>
      </w:r>
      <w:r w:rsidRPr="004D46AC">
        <w:rPr>
          <w:rFonts w:ascii="Arial" w:hAnsi="Arial" w:cs="Arial"/>
          <w:i/>
          <w:noProof/>
          <w:szCs w:val="22"/>
        </w:rPr>
        <w:t>J Nerv Ment Dis</w:t>
      </w:r>
      <w:r w:rsidRPr="004D46AC">
        <w:rPr>
          <w:rFonts w:ascii="Arial" w:hAnsi="Arial" w:cs="Arial"/>
          <w:noProof/>
          <w:szCs w:val="22"/>
        </w:rPr>
        <w:t>,</w:t>
      </w:r>
      <w:r w:rsidRPr="004D46AC">
        <w:rPr>
          <w:rFonts w:ascii="Arial" w:hAnsi="Arial" w:cs="Arial"/>
          <w:i/>
          <w:noProof/>
          <w:szCs w:val="22"/>
        </w:rPr>
        <w:t xml:space="preserve"> 173</w:t>
      </w:r>
      <w:r w:rsidRPr="004D46AC">
        <w:rPr>
          <w:rFonts w:ascii="Arial" w:hAnsi="Arial" w:cs="Arial"/>
          <w:noProof/>
          <w:szCs w:val="22"/>
        </w:rPr>
        <w:t xml:space="preserve">(1), 35–41. </w:t>
      </w:r>
    </w:p>
    <w:p w14:paraId="7919ECB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Markota, M., Coombes, B. J., Larrabee, B. R., McElroy, S. L., Bond, D. J., Veldic, M., Colby, C. L., Chauhan, M., Cuellar-Barboza, A. B., Fuentes, M., Kung, S., Prieto, M. L., Rummans, T. A., Bobo, W. V., Frye, M. A., &amp; Biernacka, J. M. (2018). Association of schizophrenia polygenic risk score with manic and depressive psychosis in bipolar disorder. </w:t>
      </w:r>
      <w:r w:rsidRPr="004D46AC">
        <w:rPr>
          <w:rFonts w:ascii="Arial" w:hAnsi="Arial" w:cs="Arial"/>
          <w:i/>
          <w:noProof/>
          <w:szCs w:val="22"/>
        </w:rPr>
        <w:t>Transl Psychiatry</w:t>
      </w:r>
      <w:r w:rsidRPr="004D46AC">
        <w:rPr>
          <w:rFonts w:ascii="Arial" w:hAnsi="Arial" w:cs="Arial"/>
          <w:noProof/>
          <w:szCs w:val="22"/>
        </w:rPr>
        <w:t>,</w:t>
      </w:r>
      <w:r w:rsidRPr="004D46AC">
        <w:rPr>
          <w:rFonts w:ascii="Arial" w:hAnsi="Arial" w:cs="Arial"/>
          <w:i/>
          <w:noProof/>
          <w:szCs w:val="22"/>
        </w:rPr>
        <w:t xml:space="preserve"> 8</w:t>
      </w:r>
      <w:r w:rsidRPr="004D46AC">
        <w:rPr>
          <w:rFonts w:ascii="Arial" w:hAnsi="Arial" w:cs="Arial"/>
          <w:noProof/>
          <w:szCs w:val="22"/>
        </w:rPr>
        <w:t xml:space="preserve">(1), 188. </w:t>
      </w:r>
      <w:hyperlink r:id="rId127" w:history="1">
        <w:r w:rsidRPr="004D46AC">
          <w:rPr>
            <w:rStyle w:val="af5"/>
            <w:rFonts w:ascii="Arial" w:hAnsi="Arial" w:cs="Arial"/>
            <w:noProof/>
            <w:szCs w:val="22"/>
          </w:rPr>
          <w:t>https://doi.org/10.1038/s41398-018-0242-3</w:t>
        </w:r>
      </w:hyperlink>
      <w:r w:rsidRPr="004D46AC">
        <w:rPr>
          <w:rFonts w:ascii="Arial" w:hAnsi="Arial" w:cs="Arial"/>
          <w:noProof/>
          <w:szCs w:val="22"/>
        </w:rPr>
        <w:t xml:space="preserve"> </w:t>
      </w:r>
    </w:p>
    <w:p w14:paraId="729A39C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Martin, J. C., Clark, S. R., Hartmann, S., &amp; Schubert, K. O. (2024). A Tale of Three Spectra: Basic Symptoms in Clinical-High-Risk of Psychosis Vary Across Autism Spectrum Disorder, Schizotypal Personality Disorder, and Borderline Personality Disorder. </w:t>
      </w:r>
      <w:r w:rsidRPr="004D46AC">
        <w:rPr>
          <w:rFonts w:ascii="Arial" w:hAnsi="Arial" w:cs="Arial"/>
          <w:i/>
          <w:noProof/>
          <w:szCs w:val="22"/>
        </w:rPr>
        <w:t>Schizophrenia Bulletin Open</w:t>
      </w:r>
      <w:r w:rsidRPr="004D46AC">
        <w:rPr>
          <w:rFonts w:ascii="Arial" w:hAnsi="Arial" w:cs="Arial"/>
          <w:noProof/>
          <w:szCs w:val="22"/>
        </w:rPr>
        <w:t>,</w:t>
      </w:r>
      <w:r w:rsidRPr="004D46AC">
        <w:rPr>
          <w:rFonts w:ascii="Arial" w:hAnsi="Arial" w:cs="Arial"/>
          <w:i/>
          <w:noProof/>
          <w:szCs w:val="22"/>
        </w:rPr>
        <w:t xml:space="preserve"> 5</w:t>
      </w:r>
      <w:r w:rsidRPr="004D46AC">
        <w:rPr>
          <w:rFonts w:ascii="Arial" w:hAnsi="Arial" w:cs="Arial"/>
          <w:noProof/>
          <w:szCs w:val="22"/>
        </w:rPr>
        <w:t xml:space="preserve">(1), sgae017. </w:t>
      </w:r>
      <w:hyperlink r:id="rId128" w:history="1">
        <w:r w:rsidRPr="004D46AC">
          <w:rPr>
            <w:rStyle w:val="af5"/>
            <w:rFonts w:ascii="Arial" w:hAnsi="Arial" w:cs="Arial"/>
            <w:noProof/>
            <w:szCs w:val="22"/>
          </w:rPr>
          <w:t>https://doi.org/10.1093/schizbullopen/sgae017</w:t>
        </w:r>
      </w:hyperlink>
      <w:r w:rsidRPr="004D46AC">
        <w:rPr>
          <w:rFonts w:ascii="Arial" w:hAnsi="Arial" w:cs="Arial"/>
          <w:noProof/>
          <w:szCs w:val="22"/>
        </w:rPr>
        <w:t xml:space="preserve"> </w:t>
      </w:r>
    </w:p>
    <w:p w14:paraId="21A8AF9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McClellan, J., &amp; McCurry, C. (1999). Early onset psychotic disorders: diagnostic stability and clinical characteristics. </w:t>
      </w:r>
      <w:r w:rsidRPr="004D46AC">
        <w:rPr>
          <w:rFonts w:ascii="Arial" w:hAnsi="Arial" w:cs="Arial"/>
          <w:i/>
          <w:noProof/>
          <w:szCs w:val="22"/>
        </w:rPr>
        <w:t>Eur Child Adolesc Psychiatry</w:t>
      </w:r>
      <w:r w:rsidRPr="004D46AC">
        <w:rPr>
          <w:rFonts w:ascii="Arial" w:hAnsi="Arial" w:cs="Arial"/>
          <w:noProof/>
          <w:szCs w:val="22"/>
        </w:rPr>
        <w:t>,</w:t>
      </w:r>
      <w:r w:rsidRPr="004D46AC">
        <w:rPr>
          <w:rFonts w:ascii="Arial" w:hAnsi="Arial" w:cs="Arial"/>
          <w:i/>
          <w:noProof/>
          <w:szCs w:val="22"/>
        </w:rPr>
        <w:t xml:space="preserve"> 8 Suppl 1</w:t>
      </w:r>
      <w:r w:rsidRPr="004D46AC">
        <w:rPr>
          <w:rFonts w:ascii="Arial" w:hAnsi="Arial" w:cs="Arial"/>
          <w:noProof/>
          <w:szCs w:val="22"/>
        </w:rPr>
        <w:t xml:space="preserve">, I13–19. </w:t>
      </w:r>
      <w:hyperlink r:id="rId129" w:history="1">
        <w:r w:rsidRPr="004D46AC">
          <w:rPr>
            <w:rStyle w:val="af5"/>
            <w:rFonts w:ascii="Arial" w:hAnsi="Arial" w:cs="Arial"/>
            <w:noProof/>
            <w:szCs w:val="22"/>
          </w:rPr>
          <w:t>https://doi.org/10.1007/pl00010686</w:t>
        </w:r>
      </w:hyperlink>
      <w:r w:rsidRPr="004D46AC">
        <w:rPr>
          <w:rFonts w:ascii="Arial" w:hAnsi="Arial" w:cs="Arial"/>
          <w:noProof/>
          <w:szCs w:val="22"/>
        </w:rPr>
        <w:t xml:space="preserve"> </w:t>
      </w:r>
    </w:p>
    <w:p w14:paraId="5F65E5C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McClellan, J. M., Werry, J. S., &amp; Ham, M. (1993). A follow-up study of early onset psychosis: comparison between outcome diagnoses of schizophrenia, mood disorders, and personality disorders. </w:t>
      </w:r>
      <w:r w:rsidRPr="004D46AC">
        <w:rPr>
          <w:rFonts w:ascii="Arial" w:hAnsi="Arial" w:cs="Arial"/>
          <w:i/>
          <w:noProof/>
          <w:szCs w:val="22"/>
        </w:rPr>
        <w:t>J Autism Dev Disord</w:t>
      </w:r>
      <w:r w:rsidRPr="004D46AC">
        <w:rPr>
          <w:rFonts w:ascii="Arial" w:hAnsi="Arial" w:cs="Arial"/>
          <w:noProof/>
          <w:szCs w:val="22"/>
        </w:rPr>
        <w:t>,</w:t>
      </w:r>
      <w:r w:rsidRPr="004D46AC">
        <w:rPr>
          <w:rFonts w:ascii="Arial" w:hAnsi="Arial" w:cs="Arial"/>
          <w:i/>
          <w:noProof/>
          <w:szCs w:val="22"/>
        </w:rPr>
        <w:t xml:space="preserve"> 23</w:t>
      </w:r>
      <w:r w:rsidRPr="004D46AC">
        <w:rPr>
          <w:rFonts w:ascii="Arial" w:hAnsi="Arial" w:cs="Arial"/>
          <w:noProof/>
          <w:szCs w:val="22"/>
        </w:rPr>
        <w:t xml:space="preserve">(2), 243–262. </w:t>
      </w:r>
      <w:hyperlink r:id="rId130" w:history="1">
        <w:r w:rsidRPr="004D46AC">
          <w:rPr>
            <w:rStyle w:val="af5"/>
            <w:rFonts w:ascii="Arial" w:hAnsi="Arial" w:cs="Arial"/>
            <w:noProof/>
            <w:szCs w:val="22"/>
          </w:rPr>
          <w:t>https://doi.org/10.1007/BF01046218</w:t>
        </w:r>
      </w:hyperlink>
      <w:r w:rsidRPr="004D46AC">
        <w:rPr>
          <w:rFonts w:ascii="Arial" w:hAnsi="Arial" w:cs="Arial"/>
          <w:noProof/>
          <w:szCs w:val="22"/>
        </w:rPr>
        <w:t xml:space="preserve"> </w:t>
      </w:r>
    </w:p>
    <w:p w14:paraId="632D425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Melcher, T., Wolter, S., Falck, S., Wild, E., Wild, F., Gruber, E., Falkai, P., &amp; Gruber, O. (2014). Common and disease-specific dysfunctions of brain systems underlying attentional and executive control in schizophrenia and bipolar disorder. </w:t>
      </w:r>
      <w:r w:rsidRPr="004D46AC">
        <w:rPr>
          <w:rFonts w:ascii="Arial" w:hAnsi="Arial" w:cs="Arial"/>
          <w:i/>
          <w:noProof/>
          <w:szCs w:val="22"/>
        </w:rPr>
        <w:t>Eur Arch Psychiatry Clin Neurosci</w:t>
      </w:r>
      <w:r w:rsidRPr="004D46AC">
        <w:rPr>
          <w:rFonts w:ascii="Arial" w:hAnsi="Arial" w:cs="Arial"/>
          <w:noProof/>
          <w:szCs w:val="22"/>
        </w:rPr>
        <w:t>,</w:t>
      </w:r>
      <w:r w:rsidRPr="004D46AC">
        <w:rPr>
          <w:rFonts w:ascii="Arial" w:hAnsi="Arial" w:cs="Arial"/>
          <w:i/>
          <w:noProof/>
          <w:szCs w:val="22"/>
        </w:rPr>
        <w:t xml:space="preserve"> 264</w:t>
      </w:r>
      <w:r w:rsidRPr="004D46AC">
        <w:rPr>
          <w:rFonts w:ascii="Arial" w:hAnsi="Arial" w:cs="Arial"/>
          <w:noProof/>
          <w:szCs w:val="22"/>
        </w:rPr>
        <w:t xml:space="preserve">(6), 517–532. </w:t>
      </w:r>
      <w:hyperlink r:id="rId131" w:history="1">
        <w:r w:rsidRPr="004D46AC">
          <w:rPr>
            <w:rStyle w:val="af5"/>
            <w:rFonts w:ascii="Arial" w:hAnsi="Arial" w:cs="Arial"/>
            <w:noProof/>
            <w:szCs w:val="22"/>
          </w:rPr>
          <w:t>https://doi.org/10.1007/s00406-013-0445-9</w:t>
        </w:r>
      </w:hyperlink>
      <w:r w:rsidRPr="004D46AC">
        <w:rPr>
          <w:rFonts w:ascii="Arial" w:hAnsi="Arial" w:cs="Arial"/>
          <w:noProof/>
          <w:szCs w:val="22"/>
        </w:rPr>
        <w:t xml:space="preserve"> </w:t>
      </w:r>
    </w:p>
    <w:p w14:paraId="5A57A44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Miettunen, J., Veijola, J., Freimer, N., Lichtermann, D., Peltonen, L., Paunio, T., Isohanni, M., Joukamaa, M., &amp; Ekelund, J. (2010). Data on schizotypy and affective scales are gender and education dependent—study in the Northern Finland 1966 Birth Cohort. </w:t>
      </w:r>
      <w:r w:rsidRPr="004D46AC">
        <w:rPr>
          <w:rFonts w:ascii="Arial" w:hAnsi="Arial" w:cs="Arial"/>
          <w:i/>
          <w:noProof/>
          <w:szCs w:val="22"/>
        </w:rPr>
        <w:t>Psychiatry Research</w:t>
      </w:r>
      <w:r w:rsidRPr="004D46AC">
        <w:rPr>
          <w:rFonts w:ascii="Arial" w:hAnsi="Arial" w:cs="Arial"/>
          <w:noProof/>
          <w:szCs w:val="22"/>
        </w:rPr>
        <w:t>,</w:t>
      </w:r>
      <w:r w:rsidRPr="004D46AC">
        <w:rPr>
          <w:rFonts w:ascii="Arial" w:hAnsi="Arial" w:cs="Arial"/>
          <w:i/>
          <w:noProof/>
          <w:szCs w:val="22"/>
        </w:rPr>
        <w:t xml:space="preserve"> 178</w:t>
      </w:r>
      <w:r w:rsidRPr="004D46AC">
        <w:rPr>
          <w:rFonts w:ascii="Arial" w:hAnsi="Arial" w:cs="Arial"/>
          <w:noProof/>
          <w:szCs w:val="22"/>
        </w:rPr>
        <w:t xml:space="preserve">(2), 408–413. </w:t>
      </w:r>
    </w:p>
    <w:p w14:paraId="6F4718D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Miettunen, J., Veijola, J., Isohanni, M., Paunio, T., Freimer, N., Jääskeläinen, E., Taanila, A., Ekelund, J., Järvelin, M.-R., &amp; Peltonen, L. (2011). Identifying schizophrenia and </w:t>
      </w:r>
      <w:r w:rsidRPr="004D46AC">
        <w:rPr>
          <w:rFonts w:ascii="Arial" w:hAnsi="Arial" w:cs="Arial"/>
          <w:noProof/>
          <w:szCs w:val="22"/>
        </w:rPr>
        <w:lastRenderedPageBreak/>
        <w:t xml:space="preserve">other psychoses with psychological scales in the general population. </w:t>
      </w:r>
      <w:r w:rsidRPr="004D46AC">
        <w:rPr>
          <w:rFonts w:ascii="Arial" w:hAnsi="Arial" w:cs="Arial"/>
          <w:i/>
          <w:noProof/>
          <w:szCs w:val="22"/>
        </w:rPr>
        <w:t>The Journal of Nervous and Mental Disease</w:t>
      </w:r>
      <w:r w:rsidRPr="004D46AC">
        <w:rPr>
          <w:rFonts w:ascii="Arial" w:hAnsi="Arial" w:cs="Arial"/>
          <w:noProof/>
          <w:szCs w:val="22"/>
        </w:rPr>
        <w:t>,</w:t>
      </w:r>
      <w:r w:rsidRPr="004D46AC">
        <w:rPr>
          <w:rFonts w:ascii="Arial" w:hAnsi="Arial" w:cs="Arial"/>
          <w:i/>
          <w:noProof/>
          <w:szCs w:val="22"/>
        </w:rPr>
        <w:t xml:space="preserve"> 199</w:t>
      </w:r>
      <w:r w:rsidRPr="004D46AC">
        <w:rPr>
          <w:rFonts w:ascii="Arial" w:hAnsi="Arial" w:cs="Arial"/>
          <w:noProof/>
          <w:szCs w:val="22"/>
        </w:rPr>
        <w:t xml:space="preserve">(4), 230–238. </w:t>
      </w:r>
    </w:p>
    <w:p w14:paraId="15915F3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Miller, T. J., Zipursky, R. B., Perkins, D., Addington, J., Woods, S. W., Hawkins, K. A., Hoffman, R., Preda, A., Epstein, I., Addington, D., Lindborg, S., Marquez, E., Tohen, M., Breier, A., &amp; McGlashan, T. H. (2003). The PRIME North America randomized double-blind clinical trial of olanzapine versus placebo in patients at risk of being prodromally symptomatic for psychosis. II. Baseline characteristics of the "prodromal" sample.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61</w:t>
      </w:r>
      <w:r w:rsidRPr="004D46AC">
        <w:rPr>
          <w:rFonts w:ascii="Arial" w:hAnsi="Arial" w:cs="Arial"/>
          <w:noProof/>
          <w:szCs w:val="22"/>
        </w:rPr>
        <w:t xml:space="preserve">(1), 19–30. </w:t>
      </w:r>
      <w:hyperlink r:id="rId132" w:history="1">
        <w:r w:rsidRPr="004D46AC">
          <w:rPr>
            <w:rStyle w:val="af5"/>
            <w:rFonts w:ascii="Arial" w:hAnsi="Arial" w:cs="Arial"/>
            <w:noProof/>
            <w:szCs w:val="22"/>
          </w:rPr>
          <w:t>https://doi.org/10.1016/s0920-9964(02)00440-1</w:t>
        </w:r>
      </w:hyperlink>
      <w:r w:rsidRPr="004D46AC">
        <w:rPr>
          <w:rFonts w:ascii="Arial" w:hAnsi="Arial" w:cs="Arial"/>
          <w:noProof/>
          <w:szCs w:val="22"/>
        </w:rPr>
        <w:t xml:space="preserve"> </w:t>
      </w:r>
    </w:p>
    <w:p w14:paraId="04FE190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Morgan, C. J., Coleman, M. J., Ulgen, A., Boling, L., Cole, J. O., Johnson, F. V., Lerbinger, J., Bodkin, J. A., Holzman, P. S., &amp; Levy, D. L. (2017). Thought Disorder in Schizophrenia and Bipolar Disorder Probands, Their Relatives, and Nonpsychiatric Controls.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43</w:t>
      </w:r>
      <w:r w:rsidRPr="004D46AC">
        <w:rPr>
          <w:rFonts w:ascii="Arial" w:hAnsi="Arial" w:cs="Arial"/>
          <w:noProof/>
          <w:szCs w:val="22"/>
        </w:rPr>
        <w:t xml:space="preserve">(3), 523–535. </w:t>
      </w:r>
      <w:hyperlink r:id="rId133" w:history="1">
        <w:r w:rsidRPr="004D46AC">
          <w:rPr>
            <w:rStyle w:val="af5"/>
            <w:rFonts w:ascii="Arial" w:hAnsi="Arial" w:cs="Arial"/>
            <w:noProof/>
            <w:szCs w:val="22"/>
          </w:rPr>
          <w:t>https://doi.org/10.1093/schbul/sbx016</w:t>
        </w:r>
      </w:hyperlink>
      <w:r w:rsidRPr="004D46AC">
        <w:rPr>
          <w:rFonts w:ascii="Arial" w:hAnsi="Arial" w:cs="Arial"/>
          <w:noProof/>
          <w:szCs w:val="22"/>
        </w:rPr>
        <w:t xml:space="preserve"> </w:t>
      </w:r>
    </w:p>
    <w:p w14:paraId="23139BF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Morón-Nozaleda, M. G., Díaz-Caneja, C. M., Rodríguez-Toscano, E., Arango, C., Castro-Fornieles, J., de la Serna, E., Espliego, A., Sanchez-Gistau, V., Romero, S., Baeza, I., Sugranyes, G., Moreno, C., &amp; Moreno, D. (2017). A developmental approach to dimensional expression of psychopathology in child and adolescent offspring of parents with bipolar disorder. </w:t>
      </w:r>
      <w:r w:rsidRPr="004D46AC">
        <w:rPr>
          <w:rFonts w:ascii="Arial" w:hAnsi="Arial" w:cs="Arial"/>
          <w:i/>
          <w:noProof/>
          <w:szCs w:val="22"/>
        </w:rPr>
        <w:t>Eur Child Adolesc Psychiatry</w:t>
      </w:r>
      <w:r w:rsidRPr="004D46AC">
        <w:rPr>
          <w:rFonts w:ascii="Arial" w:hAnsi="Arial" w:cs="Arial"/>
          <w:noProof/>
          <w:szCs w:val="22"/>
        </w:rPr>
        <w:t>,</w:t>
      </w:r>
      <w:r w:rsidRPr="004D46AC">
        <w:rPr>
          <w:rFonts w:ascii="Arial" w:hAnsi="Arial" w:cs="Arial"/>
          <w:i/>
          <w:noProof/>
          <w:szCs w:val="22"/>
        </w:rPr>
        <w:t xml:space="preserve"> 26</w:t>
      </w:r>
      <w:r w:rsidRPr="004D46AC">
        <w:rPr>
          <w:rFonts w:ascii="Arial" w:hAnsi="Arial" w:cs="Arial"/>
          <w:noProof/>
          <w:szCs w:val="22"/>
        </w:rPr>
        <w:t xml:space="preserve">(10), 1165–1175. </w:t>
      </w:r>
      <w:hyperlink r:id="rId134" w:history="1">
        <w:r w:rsidRPr="004D46AC">
          <w:rPr>
            <w:rStyle w:val="af5"/>
            <w:rFonts w:ascii="Arial" w:hAnsi="Arial" w:cs="Arial"/>
            <w:noProof/>
            <w:szCs w:val="22"/>
          </w:rPr>
          <w:t>https://doi.org/10.1007/s00787-017-0965-3</w:t>
        </w:r>
      </w:hyperlink>
      <w:r w:rsidRPr="004D46AC">
        <w:rPr>
          <w:rFonts w:ascii="Arial" w:hAnsi="Arial" w:cs="Arial"/>
          <w:noProof/>
          <w:szCs w:val="22"/>
        </w:rPr>
        <w:t xml:space="preserve"> </w:t>
      </w:r>
    </w:p>
    <w:p w14:paraId="4252BB2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Morriss, J., Butler, D., &amp; Ellett, L. (2025). Intolerance of uncertainty and psychosis: A systematic review. </w:t>
      </w:r>
      <w:r w:rsidRPr="004D46AC">
        <w:rPr>
          <w:rFonts w:ascii="Arial" w:hAnsi="Arial" w:cs="Arial"/>
          <w:i/>
          <w:noProof/>
          <w:szCs w:val="22"/>
        </w:rPr>
        <w:t>British Journal of Clinical Psychology</w:t>
      </w:r>
      <w:r w:rsidRPr="004D46AC">
        <w:rPr>
          <w:rFonts w:ascii="Arial" w:hAnsi="Arial" w:cs="Arial"/>
          <w:noProof/>
          <w:szCs w:val="22"/>
        </w:rPr>
        <w:t>,</w:t>
      </w:r>
      <w:r w:rsidRPr="004D46AC">
        <w:rPr>
          <w:rFonts w:ascii="Arial" w:hAnsi="Arial" w:cs="Arial"/>
          <w:i/>
          <w:noProof/>
          <w:szCs w:val="22"/>
        </w:rPr>
        <w:t xml:space="preserve"> n/a</w:t>
      </w:r>
      <w:r w:rsidRPr="004D46AC">
        <w:rPr>
          <w:rFonts w:ascii="Arial" w:hAnsi="Arial" w:cs="Arial"/>
          <w:noProof/>
          <w:szCs w:val="22"/>
        </w:rPr>
        <w:t xml:space="preserve">(n/a). </w:t>
      </w:r>
      <w:hyperlink r:id="rId135" w:history="1">
        <w:r w:rsidRPr="004D46AC">
          <w:rPr>
            <w:rStyle w:val="af5"/>
            <w:rFonts w:ascii="Arial" w:hAnsi="Arial" w:cs="Arial"/>
            <w:noProof/>
            <w:szCs w:val="22"/>
          </w:rPr>
          <w:t>https://doi.org/https://doi.org/10.1111/bjc.12509</w:t>
        </w:r>
      </w:hyperlink>
      <w:r w:rsidRPr="004D46AC">
        <w:rPr>
          <w:rFonts w:ascii="Arial" w:hAnsi="Arial" w:cs="Arial"/>
          <w:noProof/>
          <w:szCs w:val="22"/>
        </w:rPr>
        <w:t xml:space="preserve"> </w:t>
      </w:r>
    </w:p>
    <w:p w14:paraId="7AE1B28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Morriss, J., &amp; Ellett, L. (2025). Intolerance of uncertainty, paranoia, and prodromal symptoms: Comparisons between a schizophrenia spectrum disorder, anxiety disorder and non</w:t>
      </w:r>
      <w:r w:rsidRPr="004D46AC">
        <w:rPr>
          <w:rFonts w:ascii="Cambria Math" w:hAnsi="Cambria Math" w:cs="Cambria Math"/>
          <w:noProof/>
          <w:szCs w:val="22"/>
        </w:rPr>
        <w:t>‐</w:t>
      </w:r>
      <w:r w:rsidRPr="004D46AC">
        <w:rPr>
          <w:rFonts w:ascii="Arial" w:hAnsi="Arial" w:cs="Arial"/>
          <w:noProof/>
          <w:szCs w:val="22"/>
        </w:rPr>
        <w:t xml:space="preserve">clinical sample. </w:t>
      </w:r>
      <w:r w:rsidRPr="004D46AC">
        <w:rPr>
          <w:rFonts w:ascii="Arial" w:hAnsi="Arial" w:cs="Arial"/>
          <w:i/>
          <w:noProof/>
          <w:szCs w:val="22"/>
        </w:rPr>
        <w:t>Psychology and Psychotherapy: Theory, Research and Practice</w:t>
      </w:r>
      <w:r w:rsidRPr="004D46AC">
        <w:rPr>
          <w:rFonts w:ascii="Arial" w:hAnsi="Arial" w:cs="Arial"/>
          <w:noProof/>
          <w:szCs w:val="22"/>
        </w:rPr>
        <w:t xml:space="preserve">. </w:t>
      </w:r>
    </w:p>
    <w:p w14:paraId="3F8A170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Morriss, R. K., van der Gucht, E., Lancaster, G., &amp; Bentall, R. P. (2009). Adult attachment in bipolar 1 disorder. </w:t>
      </w:r>
      <w:r w:rsidRPr="004D46AC">
        <w:rPr>
          <w:rFonts w:ascii="Arial" w:hAnsi="Arial" w:cs="Arial"/>
          <w:i/>
          <w:noProof/>
          <w:szCs w:val="22"/>
        </w:rPr>
        <w:t>Psychology and Psychotherapy: Theory, Research and Practice</w:t>
      </w:r>
      <w:r w:rsidRPr="004D46AC">
        <w:rPr>
          <w:rFonts w:ascii="Arial" w:hAnsi="Arial" w:cs="Arial"/>
          <w:noProof/>
          <w:szCs w:val="22"/>
        </w:rPr>
        <w:t>,</w:t>
      </w:r>
      <w:r w:rsidRPr="004D46AC">
        <w:rPr>
          <w:rFonts w:ascii="Arial" w:hAnsi="Arial" w:cs="Arial"/>
          <w:i/>
          <w:noProof/>
          <w:szCs w:val="22"/>
        </w:rPr>
        <w:t xml:space="preserve"> 82</w:t>
      </w:r>
      <w:r w:rsidRPr="004D46AC">
        <w:rPr>
          <w:rFonts w:ascii="Arial" w:hAnsi="Arial" w:cs="Arial"/>
          <w:noProof/>
          <w:szCs w:val="22"/>
        </w:rPr>
        <w:t xml:space="preserve">(3), 267–277. </w:t>
      </w:r>
      <w:hyperlink r:id="rId136" w:history="1">
        <w:r w:rsidRPr="004D46AC">
          <w:rPr>
            <w:rStyle w:val="af5"/>
            <w:rFonts w:ascii="Arial" w:hAnsi="Arial" w:cs="Arial"/>
            <w:noProof/>
            <w:szCs w:val="22"/>
          </w:rPr>
          <w:t>https://doi.org/https://doi.org/10.1348/147608309X415309</w:t>
        </w:r>
      </w:hyperlink>
      <w:r w:rsidRPr="004D46AC">
        <w:rPr>
          <w:rFonts w:ascii="Arial" w:hAnsi="Arial" w:cs="Arial"/>
          <w:noProof/>
          <w:szCs w:val="22"/>
        </w:rPr>
        <w:t xml:space="preserve"> </w:t>
      </w:r>
    </w:p>
    <w:p w14:paraId="2FA2D78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Mutlu, E., Gurkan, S., Goka, E., &amp; Yagcioglu, A. E. A. (2022). Comparison of Formal Thought Disorder in the Acute Episode of Schizophrenia and Manic Episode of Bipolar Affective Disorder. </w:t>
      </w:r>
      <w:r w:rsidRPr="004D46AC">
        <w:rPr>
          <w:rFonts w:ascii="Arial" w:hAnsi="Arial" w:cs="Arial"/>
          <w:i/>
          <w:noProof/>
          <w:szCs w:val="22"/>
        </w:rPr>
        <w:t>Turk Psikiyatri Derg</w:t>
      </w:r>
      <w:r w:rsidRPr="004D46AC">
        <w:rPr>
          <w:rFonts w:ascii="Arial" w:hAnsi="Arial" w:cs="Arial"/>
          <w:noProof/>
          <w:szCs w:val="22"/>
        </w:rPr>
        <w:t>,</w:t>
      </w:r>
      <w:r w:rsidRPr="004D46AC">
        <w:rPr>
          <w:rFonts w:ascii="Arial" w:hAnsi="Arial" w:cs="Arial"/>
          <w:i/>
          <w:noProof/>
          <w:szCs w:val="22"/>
        </w:rPr>
        <w:t xml:space="preserve"> 33</w:t>
      </w:r>
      <w:r w:rsidRPr="004D46AC">
        <w:rPr>
          <w:rFonts w:ascii="Arial" w:hAnsi="Arial" w:cs="Arial"/>
          <w:noProof/>
          <w:szCs w:val="22"/>
        </w:rPr>
        <w:t xml:space="preserve">(4), 223–232. </w:t>
      </w:r>
      <w:hyperlink r:id="rId137" w:history="1">
        <w:r w:rsidRPr="004D46AC">
          <w:rPr>
            <w:rStyle w:val="af5"/>
            <w:rFonts w:ascii="Arial" w:hAnsi="Arial" w:cs="Arial"/>
            <w:noProof/>
            <w:szCs w:val="22"/>
          </w:rPr>
          <w:t>https://doi.org/10.5080/u25886</w:t>
        </w:r>
      </w:hyperlink>
      <w:r w:rsidRPr="004D46AC">
        <w:rPr>
          <w:rFonts w:ascii="Arial" w:hAnsi="Arial" w:cs="Arial"/>
          <w:noProof/>
          <w:szCs w:val="22"/>
        </w:rPr>
        <w:t xml:space="preserve"> (Sizofreni ve Ikiuclu Duygudurum Bozuklugunun Akut Hastalik Doneminde Dusunce Sureci Bozukluklarinin Karsilastirilmasi.) </w:t>
      </w:r>
    </w:p>
    <w:p w14:paraId="15339B1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Myin-Germeys, I., van Os, J., Schwartz, J. E., Stone, A. A., &amp; Delespaul, P. A. (2001). Emotional reactivity to daily life stress in psychosis. </w:t>
      </w:r>
      <w:r w:rsidRPr="004D46AC">
        <w:rPr>
          <w:rFonts w:ascii="Arial" w:hAnsi="Arial" w:cs="Arial"/>
          <w:i/>
          <w:noProof/>
          <w:szCs w:val="22"/>
        </w:rPr>
        <w:t>Archives of General Psychiatry</w:t>
      </w:r>
      <w:r w:rsidRPr="004D46AC">
        <w:rPr>
          <w:rFonts w:ascii="Arial" w:hAnsi="Arial" w:cs="Arial"/>
          <w:noProof/>
          <w:szCs w:val="22"/>
        </w:rPr>
        <w:t>,</w:t>
      </w:r>
      <w:r w:rsidRPr="004D46AC">
        <w:rPr>
          <w:rFonts w:ascii="Arial" w:hAnsi="Arial" w:cs="Arial"/>
          <w:i/>
          <w:noProof/>
          <w:szCs w:val="22"/>
        </w:rPr>
        <w:t xml:space="preserve"> 58</w:t>
      </w:r>
      <w:r w:rsidRPr="004D46AC">
        <w:rPr>
          <w:rFonts w:ascii="Arial" w:hAnsi="Arial" w:cs="Arial"/>
          <w:noProof/>
          <w:szCs w:val="22"/>
        </w:rPr>
        <w:t xml:space="preserve">(12), 1137–1144. </w:t>
      </w:r>
    </w:p>
    <w:p w14:paraId="77D229B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Obsuth, I., Hennighausen, K., Brumariu, L. E., &amp; Lyons-Ruth, K. (2014). Disorganized Behavior in Adolescent–Parent Interaction: Relations to Attachment State of Mind, Partner Abuse, and Psychopathology. </w:t>
      </w:r>
      <w:r w:rsidRPr="004D46AC">
        <w:rPr>
          <w:rFonts w:ascii="Arial" w:hAnsi="Arial" w:cs="Arial"/>
          <w:i/>
          <w:noProof/>
          <w:szCs w:val="22"/>
        </w:rPr>
        <w:t>Child Development</w:t>
      </w:r>
      <w:r w:rsidRPr="004D46AC">
        <w:rPr>
          <w:rFonts w:ascii="Arial" w:hAnsi="Arial" w:cs="Arial"/>
          <w:noProof/>
          <w:szCs w:val="22"/>
        </w:rPr>
        <w:t>,</w:t>
      </w:r>
      <w:r w:rsidRPr="004D46AC">
        <w:rPr>
          <w:rFonts w:ascii="Arial" w:hAnsi="Arial" w:cs="Arial"/>
          <w:i/>
          <w:noProof/>
          <w:szCs w:val="22"/>
        </w:rPr>
        <w:t xml:space="preserve"> 85</w:t>
      </w:r>
      <w:r w:rsidRPr="004D46AC">
        <w:rPr>
          <w:rFonts w:ascii="Arial" w:hAnsi="Arial" w:cs="Arial"/>
          <w:noProof/>
          <w:szCs w:val="22"/>
        </w:rPr>
        <w:t xml:space="preserve">(1), 370–387. </w:t>
      </w:r>
      <w:hyperlink r:id="rId138" w:history="1">
        <w:r w:rsidRPr="004D46AC">
          <w:rPr>
            <w:rStyle w:val="af5"/>
            <w:rFonts w:ascii="Arial" w:hAnsi="Arial" w:cs="Arial"/>
            <w:noProof/>
            <w:szCs w:val="22"/>
          </w:rPr>
          <w:t>https://doi.org/https://doi.org/10.1111/cdev.12113</w:t>
        </w:r>
      </w:hyperlink>
      <w:r w:rsidRPr="004D46AC">
        <w:rPr>
          <w:rFonts w:ascii="Arial" w:hAnsi="Arial" w:cs="Arial"/>
          <w:noProof/>
          <w:szCs w:val="22"/>
        </w:rPr>
        <w:t xml:space="preserve"> </w:t>
      </w:r>
    </w:p>
    <w:p w14:paraId="5496E8D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Olvet, D. M., Stearns, W. H., McLaughlin, D., Auther, A. M., Correll, C. U., &amp; Cornblatt, B. A. (2010). Comparing clinical and neurocognitive features of the schizophrenia prodrome to the bipolar prodrome.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123</w:t>
      </w:r>
      <w:r w:rsidRPr="004D46AC">
        <w:rPr>
          <w:rFonts w:ascii="Arial" w:hAnsi="Arial" w:cs="Arial"/>
          <w:noProof/>
          <w:szCs w:val="22"/>
        </w:rPr>
        <w:t xml:space="preserve">(1), 59–63. </w:t>
      </w:r>
      <w:hyperlink r:id="rId139" w:history="1">
        <w:r w:rsidRPr="004D46AC">
          <w:rPr>
            <w:rStyle w:val="af5"/>
            <w:rFonts w:ascii="Arial" w:hAnsi="Arial" w:cs="Arial"/>
            <w:noProof/>
            <w:szCs w:val="22"/>
          </w:rPr>
          <w:t>https://doi.org/10.1016/j.schres.2010.07.005</w:t>
        </w:r>
      </w:hyperlink>
      <w:r w:rsidRPr="004D46AC">
        <w:rPr>
          <w:rFonts w:ascii="Arial" w:hAnsi="Arial" w:cs="Arial"/>
          <w:noProof/>
          <w:szCs w:val="22"/>
        </w:rPr>
        <w:t xml:space="preserve"> </w:t>
      </w:r>
    </w:p>
    <w:p w14:paraId="3C700D2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Oquendo, M. A., Ellis, S. P., Chesin, M. S., Birmaher, B., Zelazny, J., Tin, A., Melhem, N., Burke, A. K., Kolko, D., Greenhill, L., Stanley, B., Brodsky, B. S., Mann, J. J., &amp; Brent, D. A. (2013). Familial transmission of parental mood disorders: unipolar and bipolar disorders in offspring. </w:t>
      </w:r>
      <w:r w:rsidRPr="004D46AC">
        <w:rPr>
          <w:rFonts w:ascii="Arial" w:hAnsi="Arial" w:cs="Arial"/>
          <w:i/>
          <w:noProof/>
          <w:szCs w:val="22"/>
        </w:rPr>
        <w:t>Bipolar Disorders</w:t>
      </w:r>
      <w:r w:rsidRPr="004D46AC">
        <w:rPr>
          <w:rFonts w:ascii="Arial" w:hAnsi="Arial" w:cs="Arial"/>
          <w:noProof/>
          <w:szCs w:val="22"/>
        </w:rPr>
        <w:t>,</w:t>
      </w:r>
      <w:r w:rsidRPr="004D46AC">
        <w:rPr>
          <w:rFonts w:ascii="Arial" w:hAnsi="Arial" w:cs="Arial"/>
          <w:i/>
          <w:noProof/>
          <w:szCs w:val="22"/>
        </w:rPr>
        <w:t xml:space="preserve"> 15</w:t>
      </w:r>
      <w:r w:rsidRPr="004D46AC">
        <w:rPr>
          <w:rFonts w:ascii="Arial" w:hAnsi="Arial" w:cs="Arial"/>
          <w:noProof/>
          <w:szCs w:val="22"/>
        </w:rPr>
        <w:t xml:space="preserve">(7), 764–773. </w:t>
      </w:r>
      <w:hyperlink r:id="rId140" w:history="1">
        <w:r w:rsidRPr="004D46AC">
          <w:rPr>
            <w:rStyle w:val="af5"/>
            <w:rFonts w:ascii="Arial" w:hAnsi="Arial" w:cs="Arial"/>
            <w:noProof/>
            <w:szCs w:val="22"/>
          </w:rPr>
          <w:t>https://doi.org/https://doi.org/10.1111/bdi.12107</w:t>
        </w:r>
      </w:hyperlink>
      <w:r w:rsidRPr="004D46AC">
        <w:rPr>
          <w:rFonts w:ascii="Arial" w:hAnsi="Arial" w:cs="Arial"/>
          <w:noProof/>
          <w:szCs w:val="22"/>
        </w:rPr>
        <w:t xml:space="preserve"> </w:t>
      </w:r>
    </w:p>
    <w:p w14:paraId="31B6353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Owen, M. J., Bray, N. J., Walters, J. T. R., &amp; O’Donovan, M. C. (2025). Genomics of schizophrenia, bipolar disorder and major depressive disorder. </w:t>
      </w:r>
      <w:r w:rsidRPr="004D46AC">
        <w:rPr>
          <w:rFonts w:ascii="Arial" w:hAnsi="Arial" w:cs="Arial"/>
          <w:i/>
          <w:noProof/>
          <w:szCs w:val="22"/>
        </w:rPr>
        <w:t>Nature Reviews Genetics</w:t>
      </w:r>
      <w:r w:rsidRPr="004D46AC">
        <w:rPr>
          <w:rFonts w:ascii="Arial" w:hAnsi="Arial" w:cs="Arial"/>
          <w:noProof/>
          <w:szCs w:val="22"/>
        </w:rPr>
        <w:t xml:space="preserve">. </w:t>
      </w:r>
      <w:hyperlink r:id="rId141" w:history="1">
        <w:r w:rsidRPr="004D46AC">
          <w:rPr>
            <w:rStyle w:val="af5"/>
            <w:rFonts w:ascii="Arial" w:hAnsi="Arial" w:cs="Arial"/>
            <w:noProof/>
            <w:szCs w:val="22"/>
          </w:rPr>
          <w:t>https://doi.org/10.1038/s41576-025-00843-0</w:t>
        </w:r>
      </w:hyperlink>
      <w:r w:rsidRPr="004D46AC">
        <w:rPr>
          <w:rFonts w:ascii="Arial" w:hAnsi="Arial" w:cs="Arial"/>
          <w:noProof/>
          <w:szCs w:val="22"/>
        </w:rPr>
        <w:t xml:space="preserve"> </w:t>
      </w:r>
    </w:p>
    <w:p w14:paraId="3625405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Padmanabhan, J. L., Tandon, N., Haller, C. S., Mathew, I. T., Eack, S. M., Clementz, B. A., Pearlson, G. D., Sweeney, J. A., Tamminga, C. A., &amp; Keshavan, M. S. (2015). Correlations between brain structure and symptom dimensions of psychosis in schizophrenia, schizoaffective, and psychotic bipolar I disorders.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41</w:t>
      </w:r>
      <w:r w:rsidRPr="004D46AC">
        <w:rPr>
          <w:rFonts w:ascii="Arial" w:hAnsi="Arial" w:cs="Arial"/>
          <w:noProof/>
          <w:szCs w:val="22"/>
        </w:rPr>
        <w:t xml:space="preserve">(1), 154–162. </w:t>
      </w:r>
      <w:hyperlink r:id="rId142" w:history="1">
        <w:r w:rsidRPr="004D46AC">
          <w:rPr>
            <w:rStyle w:val="af5"/>
            <w:rFonts w:ascii="Arial" w:hAnsi="Arial" w:cs="Arial"/>
            <w:noProof/>
            <w:szCs w:val="22"/>
          </w:rPr>
          <w:t>https://doi.org/10.1093/schbul/sbu075</w:t>
        </w:r>
      </w:hyperlink>
      <w:r w:rsidRPr="004D46AC">
        <w:rPr>
          <w:rFonts w:ascii="Arial" w:hAnsi="Arial" w:cs="Arial"/>
          <w:noProof/>
          <w:szCs w:val="22"/>
        </w:rPr>
        <w:t xml:space="preserve"> </w:t>
      </w:r>
    </w:p>
    <w:p w14:paraId="4E22725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Page, J., Landis, C., &amp; Katz, S. E. (1934). Schizophrenic Traits in the Functional Psychoses and in Normal Individuals. </w:t>
      </w:r>
      <w:r w:rsidRPr="004D46AC">
        <w:rPr>
          <w:rFonts w:ascii="Arial" w:hAnsi="Arial" w:cs="Arial"/>
          <w:i/>
          <w:noProof/>
          <w:szCs w:val="22"/>
        </w:rPr>
        <w:t>American Journal of Psychiatry</w:t>
      </w:r>
      <w:r w:rsidRPr="004D46AC">
        <w:rPr>
          <w:rFonts w:ascii="Arial" w:hAnsi="Arial" w:cs="Arial"/>
          <w:noProof/>
          <w:szCs w:val="22"/>
        </w:rPr>
        <w:t>,</w:t>
      </w:r>
      <w:r w:rsidRPr="004D46AC">
        <w:rPr>
          <w:rFonts w:ascii="Arial" w:hAnsi="Arial" w:cs="Arial"/>
          <w:i/>
          <w:noProof/>
          <w:szCs w:val="22"/>
        </w:rPr>
        <w:t xml:space="preserve"> 90</w:t>
      </w:r>
      <w:r w:rsidRPr="004D46AC">
        <w:rPr>
          <w:rFonts w:ascii="Arial" w:hAnsi="Arial" w:cs="Arial"/>
          <w:noProof/>
          <w:szCs w:val="22"/>
        </w:rPr>
        <w:t xml:space="preserve">(6), 1213–1225. </w:t>
      </w:r>
      <w:hyperlink r:id="rId143" w:history="1">
        <w:r w:rsidRPr="004D46AC">
          <w:rPr>
            <w:rStyle w:val="af5"/>
            <w:rFonts w:ascii="Arial" w:hAnsi="Arial" w:cs="Arial"/>
            <w:noProof/>
            <w:szCs w:val="22"/>
          </w:rPr>
          <w:t>https://doi.org/10.1176/ajp.90.6.1213</w:t>
        </w:r>
      </w:hyperlink>
      <w:r w:rsidRPr="004D46AC">
        <w:rPr>
          <w:rFonts w:ascii="Arial" w:hAnsi="Arial" w:cs="Arial"/>
          <w:noProof/>
          <w:szCs w:val="22"/>
        </w:rPr>
        <w:t xml:space="preserve"> </w:t>
      </w:r>
    </w:p>
    <w:p w14:paraId="1A8975E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Pagel, T., Baldessarini, R. J., Franklin, J., &amp; Baethge, C. (2013). Heterogeneity of schizoaffective disorder compared with schizophrenia and bipolar disorder. </w:t>
      </w:r>
      <w:r w:rsidRPr="004D46AC">
        <w:rPr>
          <w:rFonts w:ascii="Arial" w:hAnsi="Arial" w:cs="Arial"/>
          <w:i/>
          <w:noProof/>
          <w:szCs w:val="22"/>
        </w:rPr>
        <w:t>Acta Psychiatr Scand</w:t>
      </w:r>
      <w:r w:rsidRPr="004D46AC">
        <w:rPr>
          <w:rFonts w:ascii="Arial" w:hAnsi="Arial" w:cs="Arial"/>
          <w:noProof/>
          <w:szCs w:val="22"/>
        </w:rPr>
        <w:t>,</w:t>
      </w:r>
      <w:r w:rsidRPr="004D46AC">
        <w:rPr>
          <w:rFonts w:ascii="Arial" w:hAnsi="Arial" w:cs="Arial"/>
          <w:i/>
          <w:noProof/>
          <w:szCs w:val="22"/>
        </w:rPr>
        <w:t xml:space="preserve"> 128</w:t>
      </w:r>
      <w:r w:rsidRPr="004D46AC">
        <w:rPr>
          <w:rFonts w:ascii="Arial" w:hAnsi="Arial" w:cs="Arial"/>
          <w:noProof/>
          <w:szCs w:val="22"/>
        </w:rPr>
        <w:t xml:space="preserve">(4), 238–250. </w:t>
      </w:r>
      <w:hyperlink r:id="rId144" w:history="1">
        <w:r w:rsidRPr="004D46AC">
          <w:rPr>
            <w:rStyle w:val="af5"/>
            <w:rFonts w:ascii="Arial" w:hAnsi="Arial" w:cs="Arial"/>
            <w:noProof/>
            <w:szCs w:val="22"/>
          </w:rPr>
          <w:t>https://doi.org/10.1111/acps.12109</w:t>
        </w:r>
      </w:hyperlink>
      <w:r w:rsidRPr="004D46AC">
        <w:rPr>
          <w:rFonts w:ascii="Arial" w:hAnsi="Arial" w:cs="Arial"/>
          <w:noProof/>
          <w:szCs w:val="22"/>
        </w:rPr>
        <w:t xml:space="preserve"> </w:t>
      </w:r>
    </w:p>
    <w:p w14:paraId="267D1A4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Palmier-Claus, J. E., Berry, K., Bucci, S., Mansell, W., &amp; Varese, F. (2016). Relationship between childhood adversity and bipolar affective disorder: systematic review and meta-analysis. </w:t>
      </w:r>
      <w:r w:rsidRPr="004D46AC">
        <w:rPr>
          <w:rFonts w:ascii="Arial" w:hAnsi="Arial" w:cs="Arial"/>
          <w:i/>
          <w:noProof/>
          <w:szCs w:val="22"/>
        </w:rPr>
        <w:t>Br J Psychiatry</w:t>
      </w:r>
      <w:r w:rsidRPr="004D46AC">
        <w:rPr>
          <w:rFonts w:ascii="Arial" w:hAnsi="Arial" w:cs="Arial"/>
          <w:noProof/>
          <w:szCs w:val="22"/>
        </w:rPr>
        <w:t>,</w:t>
      </w:r>
      <w:r w:rsidRPr="004D46AC">
        <w:rPr>
          <w:rFonts w:ascii="Arial" w:hAnsi="Arial" w:cs="Arial"/>
          <w:i/>
          <w:noProof/>
          <w:szCs w:val="22"/>
        </w:rPr>
        <w:t xml:space="preserve"> 209</w:t>
      </w:r>
      <w:r w:rsidRPr="004D46AC">
        <w:rPr>
          <w:rFonts w:ascii="Arial" w:hAnsi="Arial" w:cs="Arial"/>
          <w:noProof/>
          <w:szCs w:val="22"/>
        </w:rPr>
        <w:t xml:space="preserve">(6), 454–459. </w:t>
      </w:r>
      <w:hyperlink r:id="rId145" w:history="1">
        <w:r w:rsidRPr="004D46AC">
          <w:rPr>
            <w:rStyle w:val="af5"/>
            <w:rFonts w:ascii="Arial" w:hAnsi="Arial" w:cs="Arial"/>
            <w:noProof/>
            <w:szCs w:val="22"/>
          </w:rPr>
          <w:t>https://doi.org/10.1192/bjp.bp.115.179655</w:t>
        </w:r>
      </w:hyperlink>
      <w:r w:rsidRPr="004D46AC">
        <w:rPr>
          <w:rFonts w:ascii="Arial" w:hAnsi="Arial" w:cs="Arial"/>
          <w:noProof/>
          <w:szCs w:val="22"/>
        </w:rPr>
        <w:t xml:space="preserve"> </w:t>
      </w:r>
    </w:p>
    <w:p w14:paraId="2864E25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Parnas, J. (1999). From predisposition to psychosis: progression of symptoms in schizophrenia. </w:t>
      </w:r>
      <w:r w:rsidRPr="004D46AC">
        <w:rPr>
          <w:rFonts w:ascii="Arial" w:hAnsi="Arial" w:cs="Arial"/>
          <w:i/>
          <w:noProof/>
          <w:szCs w:val="22"/>
        </w:rPr>
        <w:t>Acta Psychiatrica Scandinavica</w:t>
      </w:r>
      <w:r w:rsidRPr="004D46AC">
        <w:rPr>
          <w:rFonts w:ascii="Arial" w:hAnsi="Arial" w:cs="Arial"/>
          <w:noProof/>
          <w:szCs w:val="22"/>
        </w:rPr>
        <w:t>,</w:t>
      </w:r>
      <w:r w:rsidRPr="004D46AC">
        <w:rPr>
          <w:rFonts w:ascii="Arial" w:hAnsi="Arial" w:cs="Arial"/>
          <w:i/>
          <w:noProof/>
          <w:szCs w:val="22"/>
        </w:rPr>
        <w:t xml:space="preserve"> 99</w:t>
      </w:r>
      <w:r w:rsidRPr="004D46AC">
        <w:rPr>
          <w:rFonts w:ascii="Arial" w:hAnsi="Arial" w:cs="Arial"/>
          <w:noProof/>
          <w:szCs w:val="22"/>
        </w:rPr>
        <w:t xml:space="preserve">(s395), 20–29. </w:t>
      </w:r>
      <w:hyperlink r:id="rId146" w:history="1">
        <w:r w:rsidRPr="004D46AC">
          <w:rPr>
            <w:rStyle w:val="af5"/>
            <w:rFonts w:ascii="Arial" w:hAnsi="Arial" w:cs="Arial"/>
            <w:noProof/>
            <w:szCs w:val="22"/>
          </w:rPr>
          <w:t>https://doi.org/https://doi.org/10.1111/j.1600-0447.1999.tb05979.x</w:t>
        </w:r>
      </w:hyperlink>
      <w:r w:rsidRPr="004D46AC">
        <w:rPr>
          <w:rFonts w:ascii="Arial" w:hAnsi="Arial" w:cs="Arial"/>
          <w:noProof/>
          <w:szCs w:val="22"/>
        </w:rPr>
        <w:t xml:space="preserve"> </w:t>
      </w:r>
    </w:p>
    <w:p w14:paraId="414BFC5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Peh, O. H., Rapisarda, A., &amp; Lee, J. (2020). Quality of parental bonding is associated with symptom severity and functioning among individuals at ultra-high risk for psychosis. </w:t>
      </w:r>
      <w:r w:rsidRPr="004D46AC">
        <w:rPr>
          <w:rFonts w:ascii="Arial" w:hAnsi="Arial" w:cs="Arial"/>
          <w:i/>
          <w:noProof/>
          <w:szCs w:val="22"/>
        </w:rPr>
        <w:lastRenderedPageBreak/>
        <w:t>Schizophrenia Research</w:t>
      </w:r>
      <w:r w:rsidRPr="004D46AC">
        <w:rPr>
          <w:rFonts w:ascii="Arial" w:hAnsi="Arial" w:cs="Arial"/>
          <w:noProof/>
          <w:szCs w:val="22"/>
        </w:rPr>
        <w:t>,</w:t>
      </w:r>
      <w:r w:rsidRPr="004D46AC">
        <w:rPr>
          <w:rFonts w:ascii="Arial" w:hAnsi="Arial" w:cs="Arial"/>
          <w:i/>
          <w:noProof/>
          <w:szCs w:val="22"/>
        </w:rPr>
        <w:t xml:space="preserve"> 215</w:t>
      </w:r>
      <w:r w:rsidRPr="004D46AC">
        <w:rPr>
          <w:rFonts w:ascii="Arial" w:hAnsi="Arial" w:cs="Arial"/>
          <w:noProof/>
          <w:szCs w:val="22"/>
        </w:rPr>
        <w:t xml:space="preserve">, 204–210. </w:t>
      </w:r>
      <w:hyperlink r:id="rId147" w:history="1">
        <w:r w:rsidRPr="004D46AC">
          <w:rPr>
            <w:rStyle w:val="af5"/>
            <w:rFonts w:ascii="Arial" w:hAnsi="Arial" w:cs="Arial"/>
            <w:noProof/>
            <w:szCs w:val="22"/>
          </w:rPr>
          <w:t>https://doi.org/https://doi.org/10.1016/j.schres.2019.10.029</w:t>
        </w:r>
      </w:hyperlink>
      <w:r w:rsidRPr="004D46AC">
        <w:rPr>
          <w:rFonts w:ascii="Arial" w:hAnsi="Arial" w:cs="Arial"/>
          <w:noProof/>
          <w:szCs w:val="22"/>
        </w:rPr>
        <w:t xml:space="preserve"> </w:t>
      </w:r>
    </w:p>
    <w:p w14:paraId="1B1BB20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Pelizza, L., Azzali, S., Garlassi, S., Paterlini, F., Scazza, I., Chiri, L. R., Pupo, S., &amp; Raballo, A. (2018). Adolescents at ultra-high risk of psychosis in Italian neuropsychiatry services: prevalence, psychopathology and transition rate. </w:t>
      </w:r>
      <w:r w:rsidRPr="004D46AC">
        <w:rPr>
          <w:rFonts w:ascii="Arial" w:hAnsi="Arial" w:cs="Arial"/>
          <w:i/>
          <w:noProof/>
          <w:szCs w:val="22"/>
        </w:rPr>
        <w:t>Eur Child Adolesc Psychiatry</w:t>
      </w:r>
      <w:r w:rsidRPr="004D46AC">
        <w:rPr>
          <w:rFonts w:ascii="Arial" w:hAnsi="Arial" w:cs="Arial"/>
          <w:noProof/>
          <w:szCs w:val="22"/>
        </w:rPr>
        <w:t>,</w:t>
      </w:r>
      <w:r w:rsidRPr="004D46AC">
        <w:rPr>
          <w:rFonts w:ascii="Arial" w:hAnsi="Arial" w:cs="Arial"/>
          <w:i/>
          <w:noProof/>
          <w:szCs w:val="22"/>
        </w:rPr>
        <w:t xml:space="preserve"> 27</w:t>
      </w:r>
      <w:r w:rsidRPr="004D46AC">
        <w:rPr>
          <w:rFonts w:ascii="Arial" w:hAnsi="Arial" w:cs="Arial"/>
          <w:noProof/>
          <w:szCs w:val="22"/>
        </w:rPr>
        <w:t xml:space="preserve">(6), 725–737. </w:t>
      </w:r>
      <w:hyperlink r:id="rId148" w:history="1">
        <w:r w:rsidRPr="004D46AC">
          <w:rPr>
            <w:rStyle w:val="af5"/>
            <w:rFonts w:ascii="Arial" w:hAnsi="Arial" w:cs="Arial"/>
            <w:noProof/>
            <w:szCs w:val="22"/>
          </w:rPr>
          <w:t>https://doi.org/10.1007/s00787-017-1070-3</w:t>
        </w:r>
      </w:hyperlink>
      <w:r w:rsidRPr="004D46AC">
        <w:rPr>
          <w:rFonts w:ascii="Arial" w:hAnsi="Arial" w:cs="Arial"/>
          <w:noProof/>
          <w:szCs w:val="22"/>
        </w:rPr>
        <w:t xml:space="preserve"> </w:t>
      </w:r>
    </w:p>
    <w:p w14:paraId="1089810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Peralta, V., Gil-Berrozpe, G. J., Sanchez-Torres, A., &amp; Cuesta, M. J. (2020). The network and dimensionality structure of affective psychoses: an exploratory graph analysis approach.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277</w:t>
      </w:r>
      <w:r w:rsidRPr="004D46AC">
        <w:rPr>
          <w:rFonts w:ascii="Arial" w:hAnsi="Arial" w:cs="Arial"/>
          <w:noProof/>
          <w:szCs w:val="22"/>
        </w:rPr>
        <w:t xml:space="preserve">, 182–191. </w:t>
      </w:r>
      <w:hyperlink r:id="rId149" w:history="1">
        <w:r w:rsidRPr="004D46AC">
          <w:rPr>
            <w:rStyle w:val="af5"/>
            <w:rFonts w:ascii="Arial" w:hAnsi="Arial" w:cs="Arial"/>
            <w:noProof/>
            <w:szCs w:val="22"/>
          </w:rPr>
          <w:t>https://doi.org/10.1016/j.jad.2020.08.008</w:t>
        </w:r>
      </w:hyperlink>
      <w:r w:rsidRPr="004D46AC">
        <w:rPr>
          <w:rFonts w:ascii="Arial" w:hAnsi="Arial" w:cs="Arial"/>
          <w:noProof/>
          <w:szCs w:val="22"/>
        </w:rPr>
        <w:t xml:space="preserve"> </w:t>
      </w:r>
    </w:p>
    <w:p w14:paraId="06278BC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Perlman, G., Kotov, R., Fu, J., Bromet, E. J., Fochtmann, L. J., Medeiros, H., Genomic Psychiatry Cohort, C., Pato, M. T., &amp; Pato, C. N. (2016). Symptoms of psychosis in schizophrenia, schizoaffective disorder, and bipolar disorder: A comparison of African Americans and Caucasians in the Genomic Psychiatry Cohort. </w:t>
      </w:r>
      <w:r w:rsidRPr="004D46AC">
        <w:rPr>
          <w:rFonts w:ascii="Arial" w:hAnsi="Arial" w:cs="Arial"/>
          <w:i/>
          <w:noProof/>
          <w:szCs w:val="22"/>
        </w:rPr>
        <w:t>Am J Med Genet B Neuropsychiatr Genet</w:t>
      </w:r>
      <w:r w:rsidRPr="004D46AC">
        <w:rPr>
          <w:rFonts w:ascii="Arial" w:hAnsi="Arial" w:cs="Arial"/>
          <w:noProof/>
          <w:szCs w:val="22"/>
        </w:rPr>
        <w:t>,</w:t>
      </w:r>
      <w:r w:rsidRPr="004D46AC">
        <w:rPr>
          <w:rFonts w:ascii="Arial" w:hAnsi="Arial" w:cs="Arial"/>
          <w:i/>
          <w:noProof/>
          <w:szCs w:val="22"/>
        </w:rPr>
        <w:t xml:space="preserve"> 171</w:t>
      </w:r>
      <w:r w:rsidRPr="004D46AC">
        <w:rPr>
          <w:rFonts w:ascii="Arial" w:hAnsi="Arial" w:cs="Arial"/>
          <w:noProof/>
          <w:szCs w:val="22"/>
        </w:rPr>
        <w:t xml:space="preserve">(4), 546–555. </w:t>
      </w:r>
      <w:hyperlink r:id="rId150" w:history="1">
        <w:r w:rsidRPr="004D46AC">
          <w:rPr>
            <w:rStyle w:val="af5"/>
            <w:rFonts w:ascii="Arial" w:hAnsi="Arial" w:cs="Arial"/>
            <w:noProof/>
            <w:szCs w:val="22"/>
          </w:rPr>
          <w:t>https://doi.org/10.1002/ajmg.b.32409</w:t>
        </w:r>
      </w:hyperlink>
      <w:r w:rsidRPr="004D46AC">
        <w:rPr>
          <w:rFonts w:ascii="Arial" w:hAnsi="Arial" w:cs="Arial"/>
          <w:noProof/>
          <w:szCs w:val="22"/>
        </w:rPr>
        <w:t xml:space="preserve"> </w:t>
      </w:r>
    </w:p>
    <w:p w14:paraId="362A783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Perris, C. (2008). Introduction. </w:t>
      </w:r>
      <w:r w:rsidRPr="004D46AC">
        <w:rPr>
          <w:rFonts w:ascii="Arial" w:hAnsi="Arial" w:cs="Arial"/>
          <w:i/>
          <w:noProof/>
          <w:szCs w:val="22"/>
        </w:rPr>
        <w:t>Acta Psychiatrica Scandinavica</w:t>
      </w:r>
      <w:r w:rsidRPr="004D46AC">
        <w:rPr>
          <w:rFonts w:ascii="Arial" w:hAnsi="Arial" w:cs="Arial"/>
          <w:noProof/>
          <w:szCs w:val="22"/>
        </w:rPr>
        <w:t>,</w:t>
      </w:r>
      <w:r w:rsidRPr="004D46AC">
        <w:rPr>
          <w:rFonts w:ascii="Arial" w:hAnsi="Arial" w:cs="Arial"/>
          <w:i/>
          <w:noProof/>
          <w:szCs w:val="22"/>
        </w:rPr>
        <w:t xml:space="preserve"> 41</w:t>
      </w:r>
      <w:r w:rsidRPr="004D46AC">
        <w:rPr>
          <w:rFonts w:ascii="Arial" w:hAnsi="Arial" w:cs="Arial"/>
          <w:noProof/>
          <w:szCs w:val="22"/>
        </w:rPr>
        <w:t xml:space="preserve">(s194), 9–14. </w:t>
      </w:r>
      <w:hyperlink r:id="rId151" w:history="1">
        <w:r w:rsidRPr="004D46AC">
          <w:rPr>
            <w:rStyle w:val="af5"/>
            <w:rFonts w:ascii="Arial" w:hAnsi="Arial" w:cs="Arial"/>
            <w:noProof/>
            <w:szCs w:val="22"/>
          </w:rPr>
          <w:t>https://doi.org/10.1111/j.1600-0447.1966.tb11009.x</w:t>
        </w:r>
      </w:hyperlink>
      <w:r w:rsidRPr="004D46AC">
        <w:rPr>
          <w:rFonts w:ascii="Arial" w:hAnsi="Arial" w:cs="Arial"/>
          <w:noProof/>
          <w:szCs w:val="22"/>
        </w:rPr>
        <w:t xml:space="preserve"> </w:t>
      </w:r>
    </w:p>
    <w:p w14:paraId="165363F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Picardi, A., Fonzi, L., Pallagrosi, M., Gigantesco, A., &amp; Biondi, M. (2018). Delusional Themes Across Affective and Non-Affective Psychoses. </w:t>
      </w:r>
      <w:r w:rsidRPr="004D46AC">
        <w:rPr>
          <w:rFonts w:ascii="Arial" w:hAnsi="Arial" w:cs="Arial"/>
          <w:i/>
          <w:noProof/>
          <w:szCs w:val="22"/>
        </w:rPr>
        <w:t>Front Psychiatry</w:t>
      </w:r>
      <w:r w:rsidRPr="004D46AC">
        <w:rPr>
          <w:rFonts w:ascii="Arial" w:hAnsi="Arial" w:cs="Arial"/>
          <w:noProof/>
          <w:szCs w:val="22"/>
        </w:rPr>
        <w:t>,</w:t>
      </w:r>
      <w:r w:rsidRPr="004D46AC">
        <w:rPr>
          <w:rFonts w:ascii="Arial" w:hAnsi="Arial" w:cs="Arial"/>
          <w:i/>
          <w:noProof/>
          <w:szCs w:val="22"/>
        </w:rPr>
        <w:t xml:space="preserve"> 9</w:t>
      </w:r>
      <w:r w:rsidRPr="004D46AC">
        <w:rPr>
          <w:rFonts w:ascii="Arial" w:hAnsi="Arial" w:cs="Arial"/>
          <w:noProof/>
          <w:szCs w:val="22"/>
        </w:rPr>
        <w:t xml:space="preserve">, 132. </w:t>
      </w:r>
      <w:hyperlink r:id="rId152" w:history="1">
        <w:r w:rsidRPr="004D46AC">
          <w:rPr>
            <w:rStyle w:val="af5"/>
            <w:rFonts w:ascii="Arial" w:hAnsi="Arial" w:cs="Arial"/>
            <w:noProof/>
            <w:szCs w:val="22"/>
          </w:rPr>
          <w:t>https://doi.org/10.3389/fpsyt.2018.00132</w:t>
        </w:r>
      </w:hyperlink>
      <w:r w:rsidRPr="004D46AC">
        <w:rPr>
          <w:rFonts w:ascii="Arial" w:hAnsi="Arial" w:cs="Arial"/>
          <w:noProof/>
          <w:szCs w:val="22"/>
        </w:rPr>
        <w:t xml:space="preserve"> </w:t>
      </w:r>
    </w:p>
    <w:p w14:paraId="182E261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Picardi, A., Pallagrosi, M., Fonzi, L., Martinotti, G., Caroppo, E., Meldolesi, G. N., Di Gennaro, G., De Risi, M., &amp; Biondi, M. (2019). Attachment in Patients with Bipolar and Unipolar Depression: A Comparison with Clinical and Non-clinical Controls. </w:t>
      </w:r>
      <w:r w:rsidRPr="004D46AC">
        <w:rPr>
          <w:rFonts w:ascii="Arial" w:hAnsi="Arial" w:cs="Arial"/>
          <w:i/>
          <w:noProof/>
          <w:szCs w:val="22"/>
        </w:rPr>
        <w:t>Clin Pract Epidemiol Ment Health</w:t>
      </w:r>
      <w:r w:rsidRPr="004D46AC">
        <w:rPr>
          <w:rFonts w:ascii="Arial" w:hAnsi="Arial" w:cs="Arial"/>
          <w:noProof/>
          <w:szCs w:val="22"/>
        </w:rPr>
        <w:t>,</w:t>
      </w:r>
      <w:r w:rsidRPr="004D46AC">
        <w:rPr>
          <w:rFonts w:ascii="Arial" w:hAnsi="Arial" w:cs="Arial"/>
          <w:i/>
          <w:noProof/>
          <w:szCs w:val="22"/>
        </w:rPr>
        <w:t xml:space="preserve"> 15</w:t>
      </w:r>
      <w:r w:rsidRPr="004D46AC">
        <w:rPr>
          <w:rFonts w:ascii="Arial" w:hAnsi="Arial" w:cs="Arial"/>
          <w:noProof/>
          <w:szCs w:val="22"/>
        </w:rPr>
        <w:t xml:space="preserve">, 143–152. </w:t>
      </w:r>
      <w:hyperlink r:id="rId153" w:history="1">
        <w:r w:rsidRPr="004D46AC">
          <w:rPr>
            <w:rStyle w:val="af5"/>
            <w:rFonts w:ascii="Arial" w:hAnsi="Arial" w:cs="Arial"/>
            <w:noProof/>
            <w:szCs w:val="22"/>
          </w:rPr>
          <w:t>https://doi.org/10.2174/1745017901915010143</w:t>
        </w:r>
      </w:hyperlink>
      <w:r w:rsidRPr="004D46AC">
        <w:rPr>
          <w:rFonts w:ascii="Arial" w:hAnsi="Arial" w:cs="Arial"/>
          <w:noProof/>
          <w:szCs w:val="22"/>
        </w:rPr>
        <w:t xml:space="preserve"> </w:t>
      </w:r>
    </w:p>
    <w:p w14:paraId="3D7703E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Picardi, A., Viroli, C., Tarsitani, L., Miglio, R., de Girolamo, G., Dell'Acqua, G., &amp; Biondi, M. (2012). Heterogeneity and symptom structure of schizophrenia. </w:t>
      </w:r>
      <w:r w:rsidRPr="004D46AC">
        <w:rPr>
          <w:rFonts w:ascii="Arial" w:hAnsi="Arial" w:cs="Arial"/>
          <w:i/>
          <w:noProof/>
          <w:szCs w:val="22"/>
        </w:rPr>
        <w:t>Psychiatry Research</w:t>
      </w:r>
      <w:r w:rsidRPr="004D46AC">
        <w:rPr>
          <w:rFonts w:ascii="Arial" w:hAnsi="Arial" w:cs="Arial"/>
          <w:noProof/>
          <w:szCs w:val="22"/>
        </w:rPr>
        <w:t>,</w:t>
      </w:r>
      <w:r w:rsidRPr="004D46AC">
        <w:rPr>
          <w:rFonts w:ascii="Arial" w:hAnsi="Arial" w:cs="Arial"/>
          <w:i/>
          <w:noProof/>
          <w:szCs w:val="22"/>
        </w:rPr>
        <w:t xml:space="preserve"> 198</w:t>
      </w:r>
      <w:r w:rsidRPr="004D46AC">
        <w:rPr>
          <w:rFonts w:ascii="Arial" w:hAnsi="Arial" w:cs="Arial"/>
          <w:noProof/>
          <w:szCs w:val="22"/>
        </w:rPr>
        <w:t xml:space="preserve">(3), 386–394. </w:t>
      </w:r>
    </w:p>
    <w:p w14:paraId="19DDE22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Pini, S., de Queiroz, V., Dell'Osso, L., Abelli, M., Mastrocinque, C., Saettoni, M., Catena, M., &amp; Cassano, G. B. (2004). Cross-sectional similarities and differences between schizophrenia, schizoaffective disorder and mania or mixed mania with mood-incongruent psychotic features. </w:t>
      </w:r>
      <w:r w:rsidRPr="004D46AC">
        <w:rPr>
          <w:rFonts w:ascii="Arial" w:hAnsi="Arial" w:cs="Arial"/>
          <w:i/>
          <w:noProof/>
          <w:szCs w:val="22"/>
        </w:rPr>
        <w:t>Eur Psychiatry</w:t>
      </w:r>
      <w:r w:rsidRPr="004D46AC">
        <w:rPr>
          <w:rFonts w:ascii="Arial" w:hAnsi="Arial" w:cs="Arial"/>
          <w:noProof/>
          <w:szCs w:val="22"/>
        </w:rPr>
        <w:t>,</w:t>
      </w:r>
      <w:r w:rsidRPr="004D46AC">
        <w:rPr>
          <w:rFonts w:ascii="Arial" w:hAnsi="Arial" w:cs="Arial"/>
          <w:i/>
          <w:noProof/>
          <w:szCs w:val="22"/>
        </w:rPr>
        <w:t xml:space="preserve"> 19</w:t>
      </w:r>
      <w:r w:rsidRPr="004D46AC">
        <w:rPr>
          <w:rFonts w:ascii="Arial" w:hAnsi="Arial" w:cs="Arial"/>
          <w:noProof/>
          <w:szCs w:val="22"/>
        </w:rPr>
        <w:t xml:space="preserve">(1), 8–14. </w:t>
      </w:r>
      <w:hyperlink r:id="rId154" w:history="1">
        <w:r w:rsidRPr="004D46AC">
          <w:rPr>
            <w:rStyle w:val="af5"/>
            <w:rFonts w:ascii="Arial" w:hAnsi="Arial" w:cs="Arial"/>
            <w:noProof/>
            <w:szCs w:val="22"/>
          </w:rPr>
          <w:t>https://doi.org/10.1016/j.eurpsy.2003.07.007</w:t>
        </w:r>
      </w:hyperlink>
      <w:r w:rsidRPr="004D46AC">
        <w:rPr>
          <w:rFonts w:ascii="Arial" w:hAnsi="Arial" w:cs="Arial"/>
          <w:noProof/>
          <w:szCs w:val="22"/>
        </w:rPr>
        <w:t xml:space="preserve"> </w:t>
      </w:r>
    </w:p>
    <w:p w14:paraId="7039CA3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Poletti, M., Pelizza, L., Azzali, S., Paterlini, F., Garlassi, S., Scazza, I., Chiri, L. R., Gebhardt, E., Pupo, S., &amp; Andrea, R. (2019). Clinical high risk for psychosis in childhood and adolescence: findings from the 2-year follow-up of the ReARMS project. </w:t>
      </w:r>
      <w:r w:rsidRPr="004D46AC">
        <w:rPr>
          <w:rFonts w:ascii="Arial" w:hAnsi="Arial" w:cs="Arial"/>
          <w:i/>
          <w:noProof/>
          <w:szCs w:val="22"/>
        </w:rPr>
        <w:t>Eur Child Adolesc Psychiatry</w:t>
      </w:r>
      <w:r w:rsidRPr="004D46AC">
        <w:rPr>
          <w:rFonts w:ascii="Arial" w:hAnsi="Arial" w:cs="Arial"/>
          <w:noProof/>
          <w:szCs w:val="22"/>
        </w:rPr>
        <w:t>,</w:t>
      </w:r>
      <w:r w:rsidRPr="004D46AC">
        <w:rPr>
          <w:rFonts w:ascii="Arial" w:hAnsi="Arial" w:cs="Arial"/>
          <w:i/>
          <w:noProof/>
          <w:szCs w:val="22"/>
        </w:rPr>
        <w:t xml:space="preserve"> 28</w:t>
      </w:r>
      <w:r w:rsidRPr="004D46AC">
        <w:rPr>
          <w:rFonts w:ascii="Arial" w:hAnsi="Arial" w:cs="Arial"/>
          <w:noProof/>
          <w:szCs w:val="22"/>
        </w:rPr>
        <w:t xml:space="preserve">(7), 957–971. </w:t>
      </w:r>
      <w:hyperlink r:id="rId155" w:history="1">
        <w:r w:rsidRPr="004D46AC">
          <w:rPr>
            <w:rStyle w:val="af5"/>
            <w:rFonts w:ascii="Arial" w:hAnsi="Arial" w:cs="Arial"/>
            <w:noProof/>
            <w:szCs w:val="22"/>
          </w:rPr>
          <w:t>https://doi.org/10.1007/s00787-018-1262-5</w:t>
        </w:r>
      </w:hyperlink>
      <w:r w:rsidRPr="004D46AC">
        <w:rPr>
          <w:rFonts w:ascii="Arial" w:hAnsi="Arial" w:cs="Arial"/>
          <w:noProof/>
          <w:szCs w:val="22"/>
        </w:rPr>
        <w:t xml:space="preserve"> </w:t>
      </w:r>
    </w:p>
    <w:p w14:paraId="740F3D8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Poletti, S., Bollettini, I., Mazza, E., Locatelli, C., Radaelli, D., Vai, B., Smeraldi, E., Colombo, C., &amp; Benedetti, F. (2015). Cognitive performances associate with measures of white matter integrity in bipolar disorder.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174</w:t>
      </w:r>
      <w:r w:rsidRPr="004D46AC">
        <w:rPr>
          <w:rFonts w:ascii="Arial" w:hAnsi="Arial" w:cs="Arial"/>
          <w:noProof/>
          <w:szCs w:val="22"/>
        </w:rPr>
        <w:t xml:space="preserve">, 342–352. </w:t>
      </w:r>
      <w:hyperlink r:id="rId156" w:history="1">
        <w:r w:rsidRPr="004D46AC">
          <w:rPr>
            <w:rStyle w:val="af5"/>
            <w:rFonts w:ascii="Arial" w:hAnsi="Arial" w:cs="Arial"/>
            <w:noProof/>
            <w:szCs w:val="22"/>
          </w:rPr>
          <w:t>https://doi.org/10.1016/j.jad.2014.12.030</w:t>
        </w:r>
      </w:hyperlink>
      <w:r w:rsidRPr="004D46AC">
        <w:rPr>
          <w:rFonts w:ascii="Arial" w:hAnsi="Arial" w:cs="Arial"/>
          <w:noProof/>
          <w:szCs w:val="22"/>
        </w:rPr>
        <w:t xml:space="preserve"> </w:t>
      </w:r>
    </w:p>
    <w:p w14:paraId="07B7473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Pope, H. G., Jr., &amp; Lipinski, J. F., Jr. (1978). Diagnosis in schizophrenia and manic-depressive illness: a reassessment of the specificity of 'schizophrenic' symptoms in the light of current research. </w:t>
      </w:r>
      <w:r w:rsidRPr="004D46AC">
        <w:rPr>
          <w:rFonts w:ascii="Arial" w:hAnsi="Arial" w:cs="Arial"/>
          <w:i/>
          <w:noProof/>
          <w:szCs w:val="22"/>
        </w:rPr>
        <w:t>Arch Gen Psychiatry</w:t>
      </w:r>
      <w:r w:rsidRPr="004D46AC">
        <w:rPr>
          <w:rFonts w:ascii="Arial" w:hAnsi="Arial" w:cs="Arial"/>
          <w:noProof/>
          <w:szCs w:val="22"/>
        </w:rPr>
        <w:t>,</w:t>
      </w:r>
      <w:r w:rsidRPr="004D46AC">
        <w:rPr>
          <w:rFonts w:ascii="Arial" w:hAnsi="Arial" w:cs="Arial"/>
          <w:i/>
          <w:noProof/>
          <w:szCs w:val="22"/>
        </w:rPr>
        <w:t xml:space="preserve"> 35</w:t>
      </w:r>
      <w:r w:rsidRPr="004D46AC">
        <w:rPr>
          <w:rFonts w:ascii="Arial" w:hAnsi="Arial" w:cs="Arial"/>
          <w:noProof/>
          <w:szCs w:val="22"/>
        </w:rPr>
        <w:t xml:space="preserve">(7), 811–828. </w:t>
      </w:r>
      <w:hyperlink r:id="rId157" w:history="1">
        <w:r w:rsidRPr="004D46AC">
          <w:rPr>
            <w:rStyle w:val="af5"/>
            <w:rFonts w:ascii="Arial" w:hAnsi="Arial" w:cs="Arial"/>
            <w:noProof/>
            <w:szCs w:val="22"/>
          </w:rPr>
          <w:t>https://doi.org/10.1001/archpsyc.1978.01770310017001</w:t>
        </w:r>
      </w:hyperlink>
      <w:r w:rsidRPr="004D46AC">
        <w:rPr>
          <w:rFonts w:ascii="Arial" w:hAnsi="Arial" w:cs="Arial"/>
          <w:noProof/>
          <w:szCs w:val="22"/>
        </w:rPr>
        <w:t xml:space="preserve"> </w:t>
      </w:r>
    </w:p>
    <w:p w14:paraId="1D34029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Powers, A., Fani, N., Cross, D., Ressler, K. J., &amp; Bradley, B. (2016). Childhood trauma, PTSD, and psychosis: Findings from a highly traumatized, minority sample. </w:t>
      </w:r>
      <w:r w:rsidRPr="004D46AC">
        <w:rPr>
          <w:rFonts w:ascii="Arial" w:hAnsi="Arial" w:cs="Arial"/>
          <w:i/>
          <w:noProof/>
          <w:szCs w:val="22"/>
        </w:rPr>
        <w:t>Child Abuse &amp; Neglect</w:t>
      </w:r>
      <w:r w:rsidRPr="004D46AC">
        <w:rPr>
          <w:rFonts w:ascii="Arial" w:hAnsi="Arial" w:cs="Arial"/>
          <w:noProof/>
          <w:szCs w:val="22"/>
        </w:rPr>
        <w:t>,</w:t>
      </w:r>
      <w:r w:rsidRPr="004D46AC">
        <w:rPr>
          <w:rFonts w:ascii="Arial" w:hAnsi="Arial" w:cs="Arial"/>
          <w:i/>
          <w:noProof/>
          <w:szCs w:val="22"/>
        </w:rPr>
        <w:t xml:space="preserve"> 58</w:t>
      </w:r>
      <w:r w:rsidRPr="004D46AC">
        <w:rPr>
          <w:rFonts w:ascii="Arial" w:hAnsi="Arial" w:cs="Arial"/>
          <w:noProof/>
          <w:szCs w:val="22"/>
        </w:rPr>
        <w:t xml:space="preserve">, 111–118. </w:t>
      </w:r>
      <w:hyperlink r:id="rId158" w:history="1">
        <w:r w:rsidRPr="004D46AC">
          <w:rPr>
            <w:rStyle w:val="af5"/>
            <w:rFonts w:ascii="Arial" w:hAnsi="Arial" w:cs="Arial"/>
            <w:noProof/>
            <w:szCs w:val="22"/>
          </w:rPr>
          <w:t>https://doi.org/https://doi.org/10.1016/j.chiabu.2016.06.015</w:t>
        </w:r>
      </w:hyperlink>
      <w:r w:rsidRPr="004D46AC">
        <w:rPr>
          <w:rFonts w:ascii="Arial" w:hAnsi="Arial" w:cs="Arial"/>
          <w:noProof/>
          <w:szCs w:val="22"/>
        </w:rPr>
        <w:t xml:space="preserve"> </w:t>
      </w:r>
    </w:p>
    <w:p w14:paraId="6F542D2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Prata, D. P., Costa-Neves, B., Cosme, G., &amp; Vassos, E. (2019). Unravelling the genetic basis of schizophrenia and bipolar disorder with GWAS: A systematic review. </w:t>
      </w:r>
      <w:r w:rsidRPr="004D46AC">
        <w:rPr>
          <w:rFonts w:ascii="Arial" w:hAnsi="Arial" w:cs="Arial"/>
          <w:i/>
          <w:noProof/>
          <w:szCs w:val="22"/>
        </w:rPr>
        <w:t>J Psychiatr Res</w:t>
      </w:r>
      <w:r w:rsidRPr="004D46AC">
        <w:rPr>
          <w:rFonts w:ascii="Arial" w:hAnsi="Arial" w:cs="Arial"/>
          <w:noProof/>
          <w:szCs w:val="22"/>
        </w:rPr>
        <w:t>,</w:t>
      </w:r>
      <w:r w:rsidRPr="004D46AC">
        <w:rPr>
          <w:rFonts w:ascii="Arial" w:hAnsi="Arial" w:cs="Arial"/>
          <w:i/>
          <w:noProof/>
          <w:szCs w:val="22"/>
        </w:rPr>
        <w:t xml:space="preserve"> 114</w:t>
      </w:r>
      <w:r w:rsidRPr="004D46AC">
        <w:rPr>
          <w:rFonts w:ascii="Arial" w:hAnsi="Arial" w:cs="Arial"/>
          <w:noProof/>
          <w:szCs w:val="22"/>
        </w:rPr>
        <w:t xml:space="preserve">, 178–207. </w:t>
      </w:r>
      <w:hyperlink r:id="rId159" w:history="1">
        <w:r w:rsidRPr="004D46AC">
          <w:rPr>
            <w:rStyle w:val="af5"/>
            <w:rFonts w:ascii="Arial" w:hAnsi="Arial" w:cs="Arial"/>
            <w:noProof/>
            <w:szCs w:val="22"/>
          </w:rPr>
          <w:t>https://doi.org/10.1016/j.jpsychires.2019.04.007</w:t>
        </w:r>
      </w:hyperlink>
      <w:r w:rsidRPr="004D46AC">
        <w:rPr>
          <w:rFonts w:ascii="Arial" w:hAnsi="Arial" w:cs="Arial"/>
          <w:noProof/>
          <w:szCs w:val="22"/>
        </w:rPr>
        <w:t xml:space="preserve"> </w:t>
      </w:r>
    </w:p>
    <w:p w14:paraId="0B540F6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Preti, A., Rocchi, M. B., Sisti, D., Mura, T., Manca, S., Siddi, S., Petretto, D. R., &amp; Masala, C. (2007). The psychometric discriminative properties of the Peters et al Delusions Inventory: a receiver operating characteristic curve analysis. </w:t>
      </w:r>
      <w:r w:rsidRPr="004D46AC">
        <w:rPr>
          <w:rFonts w:ascii="Arial" w:hAnsi="Arial" w:cs="Arial"/>
          <w:i/>
          <w:noProof/>
          <w:szCs w:val="22"/>
        </w:rPr>
        <w:t>Compr Psychiatry</w:t>
      </w:r>
      <w:r w:rsidRPr="004D46AC">
        <w:rPr>
          <w:rFonts w:ascii="Arial" w:hAnsi="Arial" w:cs="Arial"/>
          <w:noProof/>
          <w:szCs w:val="22"/>
        </w:rPr>
        <w:t>,</w:t>
      </w:r>
      <w:r w:rsidRPr="004D46AC">
        <w:rPr>
          <w:rFonts w:ascii="Arial" w:hAnsi="Arial" w:cs="Arial"/>
          <w:i/>
          <w:noProof/>
          <w:szCs w:val="22"/>
        </w:rPr>
        <w:t xml:space="preserve"> 48</w:t>
      </w:r>
      <w:r w:rsidRPr="004D46AC">
        <w:rPr>
          <w:rFonts w:ascii="Arial" w:hAnsi="Arial" w:cs="Arial"/>
          <w:noProof/>
          <w:szCs w:val="22"/>
        </w:rPr>
        <w:t xml:space="preserve">(1), 62–69. </w:t>
      </w:r>
      <w:hyperlink r:id="rId160" w:history="1">
        <w:r w:rsidRPr="004D46AC">
          <w:rPr>
            <w:rStyle w:val="af5"/>
            <w:rFonts w:ascii="Arial" w:hAnsi="Arial" w:cs="Arial"/>
            <w:noProof/>
            <w:szCs w:val="22"/>
          </w:rPr>
          <w:t>https://doi.org/10.1016/j.comppsych.2006.05.003</w:t>
        </w:r>
      </w:hyperlink>
      <w:r w:rsidRPr="004D46AC">
        <w:rPr>
          <w:rFonts w:ascii="Arial" w:hAnsi="Arial" w:cs="Arial"/>
          <w:noProof/>
          <w:szCs w:val="22"/>
        </w:rPr>
        <w:t xml:space="preserve"> </w:t>
      </w:r>
    </w:p>
    <w:p w14:paraId="32DF8FC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Pujji, S. D., &amp; Dinzeo, T. J. (2024). Transdiagnostic connections of the intolerance of uncertainty across schizotypy, mood, obsessive beliefs, and physical health in a college student sample [doi:10.1037/tps0000427].</w:t>
      </w:r>
      <w:r w:rsidRPr="004D46AC">
        <w:rPr>
          <w:rFonts w:ascii="Arial" w:hAnsi="Arial" w:cs="Arial"/>
          <w:i/>
          <w:noProof/>
          <w:szCs w:val="22"/>
        </w:rPr>
        <w:t xml:space="preserve"> 10</w:t>
      </w:r>
      <w:r w:rsidRPr="004D46AC">
        <w:rPr>
          <w:rFonts w:ascii="Arial" w:hAnsi="Arial" w:cs="Arial"/>
          <w:noProof/>
          <w:szCs w:val="22"/>
        </w:rPr>
        <w:t xml:space="preserve">, 449–471. </w:t>
      </w:r>
      <w:hyperlink r:id="rId161" w:history="1">
        <w:r w:rsidRPr="004D46AC">
          <w:rPr>
            <w:rStyle w:val="af5"/>
            <w:rFonts w:ascii="Arial" w:hAnsi="Arial" w:cs="Arial"/>
            <w:noProof/>
            <w:szCs w:val="22"/>
          </w:rPr>
          <w:t>https://doi.org/10.1037/tps0000427</w:t>
        </w:r>
      </w:hyperlink>
      <w:r w:rsidRPr="004D46AC">
        <w:rPr>
          <w:rFonts w:ascii="Arial" w:hAnsi="Arial" w:cs="Arial"/>
          <w:noProof/>
          <w:szCs w:val="22"/>
        </w:rPr>
        <w:t xml:space="preserve"> </w:t>
      </w:r>
    </w:p>
    <w:p w14:paraId="459A8E7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Qi, Z., Wang, J., Gong, J., Su, T., Fu, S., Huang, L., &amp; Wang, Y. (2022). Common and specific patterns of functional and structural brain alterations in schizophrenia and bipolar disorder: a multimodal voxel-based meta-analysis. </w:t>
      </w:r>
      <w:r w:rsidRPr="004D46AC">
        <w:rPr>
          <w:rFonts w:ascii="Arial" w:hAnsi="Arial" w:cs="Arial"/>
          <w:i/>
          <w:noProof/>
          <w:szCs w:val="22"/>
        </w:rPr>
        <w:t>J Psychiatry Neurosci</w:t>
      </w:r>
      <w:r w:rsidRPr="004D46AC">
        <w:rPr>
          <w:rFonts w:ascii="Arial" w:hAnsi="Arial" w:cs="Arial"/>
          <w:noProof/>
          <w:szCs w:val="22"/>
        </w:rPr>
        <w:t>,</w:t>
      </w:r>
      <w:r w:rsidRPr="004D46AC">
        <w:rPr>
          <w:rFonts w:ascii="Arial" w:hAnsi="Arial" w:cs="Arial"/>
          <w:i/>
          <w:noProof/>
          <w:szCs w:val="22"/>
        </w:rPr>
        <w:t xml:space="preserve"> 47</w:t>
      </w:r>
      <w:r w:rsidRPr="004D46AC">
        <w:rPr>
          <w:rFonts w:ascii="Arial" w:hAnsi="Arial" w:cs="Arial"/>
          <w:noProof/>
          <w:szCs w:val="22"/>
        </w:rPr>
        <w:t xml:space="preserve">(1), E32–e47. </w:t>
      </w:r>
      <w:hyperlink r:id="rId162" w:history="1">
        <w:r w:rsidRPr="004D46AC">
          <w:rPr>
            <w:rStyle w:val="af5"/>
            <w:rFonts w:ascii="Arial" w:hAnsi="Arial" w:cs="Arial"/>
            <w:noProof/>
            <w:szCs w:val="22"/>
          </w:rPr>
          <w:t>https://doi.org/10.1503/jpn.210111</w:t>
        </w:r>
      </w:hyperlink>
      <w:r w:rsidRPr="004D46AC">
        <w:rPr>
          <w:rFonts w:ascii="Arial" w:hAnsi="Arial" w:cs="Arial"/>
          <w:noProof/>
          <w:szCs w:val="22"/>
        </w:rPr>
        <w:t xml:space="preserve"> </w:t>
      </w:r>
    </w:p>
    <w:p w14:paraId="555863A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Quattrone, D., Di Forti, M., Gayer-Anderson, C., Ferraro, L., Jongsma, H. E., Tripoli, G., La Cascia, C., La Barbera, D., Tarricone, I., Berardi, D., Szoke, A., Arango, C., Lasalvia, A., Tortelli, A., Llorca, P. M., de Haan, L., Velthorst, E., Bobes, J., Bernardo, M.,…Reininghaus, U. (2019). Transdiagnostic dimensions of psychopathology at first episode psychosis: findings from the multinational EU-GEI study.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49</w:t>
      </w:r>
      <w:r w:rsidRPr="004D46AC">
        <w:rPr>
          <w:rFonts w:ascii="Arial" w:hAnsi="Arial" w:cs="Arial"/>
          <w:noProof/>
          <w:szCs w:val="22"/>
        </w:rPr>
        <w:t xml:space="preserve">(8), 1378–1391. </w:t>
      </w:r>
      <w:hyperlink r:id="rId163" w:history="1">
        <w:r w:rsidRPr="004D46AC">
          <w:rPr>
            <w:rStyle w:val="af5"/>
            <w:rFonts w:ascii="Arial" w:hAnsi="Arial" w:cs="Arial"/>
            <w:noProof/>
            <w:szCs w:val="22"/>
          </w:rPr>
          <w:t>https://doi.org/10.1017/S0033291718002131</w:t>
        </w:r>
      </w:hyperlink>
      <w:r w:rsidRPr="004D46AC">
        <w:rPr>
          <w:rFonts w:ascii="Arial" w:hAnsi="Arial" w:cs="Arial"/>
          <w:noProof/>
          <w:szCs w:val="22"/>
        </w:rPr>
        <w:t xml:space="preserve"> </w:t>
      </w:r>
    </w:p>
    <w:p w14:paraId="3AF3607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Quidé, Y., Bortolasci, C. C., Spolding, B., Kidnapillai, S., Watkeys, O. J., Cohen-Woods, S., Berk, M., Carr, V. J., Walder, K., &amp; Green, M. J. (2019). Association between childhood trauma exposure and pro-inflammatory cytokines in schizophrenia and </w:t>
      </w:r>
      <w:r w:rsidRPr="004D46AC">
        <w:rPr>
          <w:rFonts w:ascii="Arial" w:hAnsi="Arial" w:cs="Arial"/>
          <w:noProof/>
          <w:szCs w:val="22"/>
        </w:rPr>
        <w:lastRenderedPageBreak/>
        <w:t xml:space="preserve">bipolar-I disorder.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49</w:t>
      </w:r>
      <w:r w:rsidRPr="004D46AC">
        <w:rPr>
          <w:rFonts w:ascii="Arial" w:hAnsi="Arial" w:cs="Arial"/>
          <w:noProof/>
          <w:szCs w:val="22"/>
        </w:rPr>
        <w:t xml:space="preserve">(16), 2736–2744. </w:t>
      </w:r>
      <w:hyperlink r:id="rId164" w:history="1">
        <w:r w:rsidRPr="004D46AC">
          <w:rPr>
            <w:rStyle w:val="af5"/>
            <w:rFonts w:ascii="Arial" w:hAnsi="Arial" w:cs="Arial"/>
            <w:noProof/>
            <w:szCs w:val="22"/>
          </w:rPr>
          <w:t>https://doi.org/10.1017/s0033291718003690</w:t>
        </w:r>
      </w:hyperlink>
      <w:r w:rsidRPr="004D46AC">
        <w:rPr>
          <w:rFonts w:ascii="Arial" w:hAnsi="Arial" w:cs="Arial"/>
          <w:noProof/>
          <w:szCs w:val="22"/>
        </w:rPr>
        <w:t xml:space="preserve"> </w:t>
      </w:r>
    </w:p>
    <w:p w14:paraId="25C7D56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Raballo, A., Poletti, M., Preti, A., &amp; McGorry, P. (2022). Clinical high risk for psychosis in children and adolescents: A meta-analysis of transition prevalences. </w:t>
      </w:r>
      <w:r w:rsidRPr="004D46AC">
        <w:rPr>
          <w:rFonts w:ascii="Arial" w:hAnsi="Arial" w:cs="Arial"/>
          <w:i/>
          <w:noProof/>
          <w:szCs w:val="22"/>
        </w:rPr>
        <w:t>Schizophrenia Research</w:t>
      </w:r>
      <w:r w:rsidRPr="004D46AC">
        <w:rPr>
          <w:rFonts w:ascii="Arial" w:hAnsi="Arial" w:cs="Arial"/>
          <w:noProof/>
          <w:szCs w:val="22"/>
        </w:rPr>
        <w:t>,</w:t>
      </w:r>
      <w:r w:rsidRPr="004D46AC">
        <w:rPr>
          <w:rFonts w:ascii="Arial" w:hAnsi="Arial" w:cs="Arial"/>
          <w:i/>
          <w:noProof/>
          <w:szCs w:val="22"/>
        </w:rPr>
        <w:t xml:space="preserve"> 243</w:t>
      </w:r>
      <w:r w:rsidRPr="004D46AC">
        <w:rPr>
          <w:rFonts w:ascii="Arial" w:hAnsi="Arial" w:cs="Arial"/>
          <w:noProof/>
          <w:szCs w:val="22"/>
        </w:rPr>
        <w:t xml:space="preserve">, 254–261. </w:t>
      </w:r>
      <w:hyperlink r:id="rId165" w:history="1">
        <w:r w:rsidRPr="004D46AC">
          <w:rPr>
            <w:rStyle w:val="af5"/>
            <w:rFonts w:ascii="Arial" w:hAnsi="Arial" w:cs="Arial"/>
            <w:noProof/>
            <w:szCs w:val="22"/>
          </w:rPr>
          <w:t>https://doi.org/https://doi.org/10.1016/j.schres.2020.03.063</w:t>
        </w:r>
      </w:hyperlink>
      <w:r w:rsidRPr="004D46AC">
        <w:rPr>
          <w:rFonts w:ascii="Arial" w:hAnsi="Arial" w:cs="Arial"/>
          <w:noProof/>
          <w:szCs w:val="22"/>
        </w:rPr>
        <w:t xml:space="preserve"> </w:t>
      </w:r>
    </w:p>
    <w:p w14:paraId="7E5277A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Rabei, S. H. (2018). Family assessment among patients with various mental disorders. </w:t>
      </w:r>
      <w:r w:rsidRPr="004D46AC">
        <w:rPr>
          <w:rFonts w:ascii="Arial" w:hAnsi="Arial" w:cs="Arial"/>
          <w:i/>
          <w:noProof/>
          <w:szCs w:val="22"/>
        </w:rPr>
        <w:t>Middle East Current Psychiatry</w:t>
      </w:r>
      <w:r w:rsidRPr="004D46AC">
        <w:rPr>
          <w:rFonts w:ascii="Arial" w:hAnsi="Arial" w:cs="Arial"/>
          <w:noProof/>
          <w:szCs w:val="22"/>
        </w:rPr>
        <w:t>,</w:t>
      </w:r>
      <w:r w:rsidRPr="004D46AC">
        <w:rPr>
          <w:rFonts w:ascii="Arial" w:hAnsi="Arial" w:cs="Arial"/>
          <w:i/>
          <w:noProof/>
          <w:szCs w:val="22"/>
        </w:rPr>
        <w:t xml:space="preserve"> 25</w:t>
      </w:r>
      <w:r w:rsidRPr="004D46AC">
        <w:rPr>
          <w:rFonts w:ascii="Arial" w:hAnsi="Arial" w:cs="Arial"/>
          <w:noProof/>
          <w:szCs w:val="22"/>
        </w:rPr>
        <w:t xml:space="preserve">(2). </w:t>
      </w:r>
    </w:p>
    <w:p w14:paraId="3CC62EF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Rasic, D., Hajek, T., Alda, M., &amp; Uher, R. (2014). Risk of mental illness in offspring of parents with schizophrenia, bipolar disorder, and major depressive disorder: a meta-analysis of family high-risk studies.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40</w:t>
      </w:r>
      <w:r w:rsidRPr="004D46AC">
        <w:rPr>
          <w:rFonts w:ascii="Arial" w:hAnsi="Arial" w:cs="Arial"/>
          <w:noProof/>
          <w:szCs w:val="22"/>
        </w:rPr>
        <w:t xml:space="preserve">(1), 28–38. </w:t>
      </w:r>
      <w:hyperlink r:id="rId166" w:history="1">
        <w:r w:rsidRPr="004D46AC">
          <w:rPr>
            <w:rStyle w:val="af5"/>
            <w:rFonts w:ascii="Arial" w:hAnsi="Arial" w:cs="Arial"/>
            <w:noProof/>
            <w:szCs w:val="22"/>
          </w:rPr>
          <w:t>https://doi.org/10.1093/schbul/sbt114</w:t>
        </w:r>
      </w:hyperlink>
      <w:r w:rsidRPr="004D46AC">
        <w:rPr>
          <w:rFonts w:ascii="Arial" w:hAnsi="Arial" w:cs="Arial"/>
          <w:noProof/>
          <w:szCs w:val="22"/>
        </w:rPr>
        <w:t xml:space="preserve"> </w:t>
      </w:r>
    </w:p>
    <w:p w14:paraId="1A03C09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Ratheesh, A., Hammond, D., Watson, M., Betts, J., Siegel, E., McGorry, P., Berk, M., Cotton, S., Chanen, A., Nelson, B., &amp; Bechdolf, A. (2023). Bipolar At-Risk Criteria and Risk of Bipolar Disorder Over 10 or More Years. </w:t>
      </w:r>
      <w:r w:rsidRPr="004D46AC">
        <w:rPr>
          <w:rFonts w:ascii="Arial" w:hAnsi="Arial" w:cs="Arial"/>
          <w:i/>
          <w:noProof/>
          <w:szCs w:val="22"/>
        </w:rPr>
        <w:t>JAMA Netw Open</w:t>
      </w:r>
      <w:r w:rsidRPr="004D46AC">
        <w:rPr>
          <w:rFonts w:ascii="Arial" w:hAnsi="Arial" w:cs="Arial"/>
          <w:noProof/>
          <w:szCs w:val="22"/>
        </w:rPr>
        <w:t>,</w:t>
      </w:r>
      <w:r w:rsidRPr="004D46AC">
        <w:rPr>
          <w:rFonts w:ascii="Arial" w:hAnsi="Arial" w:cs="Arial"/>
          <w:i/>
          <w:noProof/>
          <w:szCs w:val="22"/>
        </w:rPr>
        <w:t xml:space="preserve"> 6</w:t>
      </w:r>
      <w:r w:rsidRPr="004D46AC">
        <w:rPr>
          <w:rFonts w:ascii="Arial" w:hAnsi="Arial" w:cs="Arial"/>
          <w:noProof/>
          <w:szCs w:val="22"/>
        </w:rPr>
        <w:t xml:space="preserve">(9), e2334078. </w:t>
      </w:r>
      <w:hyperlink r:id="rId167" w:history="1">
        <w:r w:rsidRPr="004D46AC">
          <w:rPr>
            <w:rStyle w:val="af5"/>
            <w:rFonts w:ascii="Arial" w:hAnsi="Arial" w:cs="Arial"/>
            <w:noProof/>
            <w:szCs w:val="22"/>
          </w:rPr>
          <w:t>https://doi.org/10.1001/jamanetworkopen.2023.34078</w:t>
        </w:r>
      </w:hyperlink>
      <w:r w:rsidRPr="004D46AC">
        <w:rPr>
          <w:rFonts w:ascii="Arial" w:hAnsi="Arial" w:cs="Arial"/>
          <w:noProof/>
          <w:szCs w:val="22"/>
        </w:rPr>
        <w:t xml:space="preserve"> </w:t>
      </w:r>
    </w:p>
    <w:p w14:paraId="1CFF85E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Reininghaus, U., Bohnke, J. R., Chavez-Baldini, U., Gibbons, R., Ivleva, E., Clementz, B. A., Pearlson, G. D., Keshavan, M. S., Sweeney, J. A., &amp; Tamminga, C. A. (2019). Transdiagnostic dimensions of psychosis in the Bipolar-Schizophrenia Network on Intermediate Phenotypes (B-SNIP). </w:t>
      </w:r>
      <w:r w:rsidRPr="004D46AC">
        <w:rPr>
          <w:rFonts w:ascii="Arial" w:hAnsi="Arial" w:cs="Arial"/>
          <w:i/>
          <w:noProof/>
          <w:szCs w:val="22"/>
        </w:rPr>
        <w:t>World Psychiatry</w:t>
      </w:r>
      <w:r w:rsidRPr="004D46AC">
        <w:rPr>
          <w:rFonts w:ascii="Arial" w:hAnsi="Arial" w:cs="Arial"/>
          <w:noProof/>
          <w:szCs w:val="22"/>
        </w:rPr>
        <w:t>,</w:t>
      </w:r>
      <w:r w:rsidRPr="004D46AC">
        <w:rPr>
          <w:rFonts w:ascii="Arial" w:hAnsi="Arial" w:cs="Arial"/>
          <w:i/>
          <w:noProof/>
          <w:szCs w:val="22"/>
        </w:rPr>
        <w:t xml:space="preserve"> 18</w:t>
      </w:r>
      <w:r w:rsidRPr="004D46AC">
        <w:rPr>
          <w:rFonts w:ascii="Arial" w:hAnsi="Arial" w:cs="Arial"/>
          <w:noProof/>
          <w:szCs w:val="22"/>
        </w:rPr>
        <w:t xml:space="preserve">(1), 67–76. </w:t>
      </w:r>
      <w:hyperlink r:id="rId168" w:history="1">
        <w:r w:rsidRPr="004D46AC">
          <w:rPr>
            <w:rStyle w:val="af5"/>
            <w:rFonts w:ascii="Arial" w:hAnsi="Arial" w:cs="Arial"/>
            <w:noProof/>
            <w:szCs w:val="22"/>
          </w:rPr>
          <w:t>https://doi.org/10.1002/wps.20607</w:t>
        </w:r>
      </w:hyperlink>
      <w:r w:rsidRPr="004D46AC">
        <w:rPr>
          <w:rFonts w:ascii="Arial" w:hAnsi="Arial" w:cs="Arial"/>
          <w:noProof/>
          <w:szCs w:val="22"/>
        </w:rPr>
        <w:t xml:space="preserve"> </w:t>
      </w:r>
    </w:p>
    <w:p w14:paraId="11C0686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Reininghaus, U., Bohnke, J. R., Hosang, G., Farmer, A., Burns, T., McGuffin, P., &amp; Bentall, R. P. (2016). Evaluation of the validity and utility of a transdiagnostic psychosis dimension encompassing schizophrenia and bipolar disorder. </w:t>
      </w:r>
      <w:r w:rsidRPr="004D46AC">
        <w:rPr>
          <w:rFonts w:ascii="Arial" w:hAnsi="Arial" w:cs="Arial"/>
          <w:i/>
          <w:noProof/>
          <w:szCs w:val="22"/>
        </w:rPr>
        <w:t>Br J Psychiatry</w:t>
      </w:r>
      <w:r w:rsidRPr="004D46AC">
        <w:rPr>
          <w:rFonts w:ascii="Arial" w:hAnsi="Arial" w:cs="Arial"/>
          <w:noProof/>
          <w:szCs w:val="22"/>
        </w:rPr>
        <w:t>,</w:t>
      </w:r>
      <w:r w:rsidRPr="004D46AC">
        <w:rPr>
          <w:rFonts w:ascii="Arial" w:hAnsi="Arial" w:cs="Arial"/>
          <w:i/>
          <w:noProof/>
          <w:szCs w:val="22"/>
        </w:rPr>
        <w:t xml:space="preserve"> 209</w:t>
      </w:r>
      <w:r w:rsidRPr="004D46AC">
        <w:rPr>
          <w:rFonts w:ascii="Arial" w:hAnsi="Arial" w:cs="Arial"/>
          <w:noProof/>
          <w:szCs w:val="22"/>
        </w:rPr>
        <w:t xml:space="preserve">(2), 107–113. </w:t>
      </w:r>
      <w:hyperlink r:id="rId169" w:history="1">
        <w:r w:rsidRPr="004D46AC">
          <w:rPr>
            <w:rStyle w:val="af5"/>
            <w:rFonts w:ascii="Arial" w:hAnsi="Arial" w:cs="Arial"/>
            <w:noProof/>
            <w:szCs w:val="22"/>
          </w:rPr>
          <w:t>https://doi.org/10.1192/bjp.bp.115.167882</w:t>
        </w:r>
      </w:hyperlink>
      <w:r w:rsidRPr="004D46AC">
        <w:rPr>
          <w:rFonts w:ascii="Arial" w:hAnsi="Arial" w:cs="Arial"/>
          <w:noProof/>
          <w:szCs w:val="22"/>
        </w:rPr>
        <w:t xml:space="preserve"> </w:t>
      </w:r>
    </w:p>
    <w:p w14:paraId="1D71F27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Robinson, N., Ploner, A., Leone, M., Lichtenstein, P., Kendler, K. S., &amp; Bergen, S. E. (2024). Environmental risk factors for schizophrenia and bipolar disorder from childhood to diagnosis: a Swedish nested case-control study.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54</w:t>
      </w:r>
      <w:r w:rsidRPr="004D46AC">
        <w:rPr>
          <w:rFonts w:ascii="Arial" w:hAnsi="Arial" w:cs="Arial"/>
          <w:noProof/>
          <w:szCs w:val="22"/>
        </w:rPr>
        <w:t xml:space="preserve">(9), 2162–2171. </w:t>
      </w:r>
      <w:hyperlink r:id="rId170" w:history="1">
        <w:r w:rsidRPr="004D46AC">
          <w:rPr>
            <w:rStyle w:val="af5"/>
            <w:rFonts w:ascii="Arial" w:hAnsi="Arial" w:cs="Arial"/>
            <w:noProof/>
            <w:szCs w:val="22"/>
          </w:rPr>
          <w:t>https://doi.org/10.1017/s0033291724000266</w:t>
        </w:r>
      </w:hyperlink>
      <w:r w:rsidRPr="004D46AC">
        <w:rPr>
          <w:rFonts w:ascii="Arial" w:hAnsi="Arial" w:cs="Arial"/>
          <w:noProof/>
          <w:szCs w:val="22"/>
        </w:rPr>
        <w:t xml:space="preserve"> </w:t>
      </w:r>
    </w:p>
    <w:p w14:paraId="376F77C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Rodriguez, V., Alameda, L., Quattrone, D., Tripoli, G., Gayer-Anderson, C., Spinazzola, E., Trotta, G., Jongsma, H. E., Stilo, S., La Cascia, C., Ferraro, L., La Barbera, D., Lasalvia, A., Tosato, S., Tarricone, I., Bonora, E., Jamain, S., Selten, J.-P., Velthorst, E.,…Vassos, E. (2023). Use of multiple polygenic risk scores for distinguishing schizophrenia-spectrum disorder and affective psychosis categories in a first-episode sample; the EU-GEI study. </w:t>
      </w:r>
      <w:r w:rsidRPr="004D46AC">
        <w:rPr>
          <w:rFonts w:ascii="Arial" w:hAnsi="Arial" w:cs="Arial"/>
          <w:i/>
          <w:noProof/>
          <w:szCs w:val="22"/>
        </w:rPr>
        <w:t>Psychological Medicine</w:t>
      </w:r>
      <w:r w:rsidRPr="004D46AC">
        <w:rPr>
          <w:rFonts w:ascii="Arial" w:hAnsi="Arial" w:cs="Arial"/>
          <w:noProof/>
          <w:szCs w:val="22"/>
        </w:rPr>
        <w:t>,</w:t>
      </w:r>
      <w:r w:rsidRPr="004D46AC">
        <w:rPr>
          <w:rFonts w:ascii="Arial" w:hAnsi="Arial" w:cs="Arial"/>
          <w:i/>
          <w:noProof/>
          <w:szCs w:val="22"/>
        </w:rPr>
        <w:t xml:space="preserve"> 53</w:t>
      </w:r>
      <w:r w:rsidRPr="004D46AC">
        <w:rPr>
          <w:rFonts w:ascii="Arial" w:hAnsi="Arial" w:cs="Arial"/>
          <w:noProof/>
          <w:szCs w:val="22"/>
        </w:rPr>
        <w:t xml:space="preserve">(8), 3396–3405. </w:t>
      </w:r>
      <w:hyperlink r:id="rId171" w:history="1">
        <w:r w:rsidRPr="004D46AC">
          <w:rPr>
            <w:rStyle w:val="af5"/>
            <w:rFonts w:ascii="Arial" w:hAnsi="Arial" w:cs="Arial"/>
            <w:noProof/>
            <w:szCs w:val="22"/>
          </w:rPr>
          <w:t>https://doi.org/10.1017/S0033291721005456</w:t>
        </w:r>
      </w:hyperlink>
      <w:r w:rsidRPr="004D46AC">
        <w:rPr>
          <w:rFonts w:ascii="Arial" w:hAnsi="Arial" w:cs="Arial"/>
          <w:noProof/>
          <w:szCs w:val="22"/>
        </w:rPr>
        <w:t xml:space="preserve"> </w:t>
      </w:r>
    </w:p>
    <w:p w14:paraId="4A53D2A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Rosen, C., Jones, N., Chase, K. A., Gin, H., Grossman, L. S., &amp; Sharma, R. P. (2016). The intrasubjectivity of self, voices and delusions: A phenomenological analysis. </w:t>
      </w:r>
      <w:r w:rsidRPr="004D46AC">
        <w:rPr>
          <w:rFonts w:ascii="Arial" w:hAnsi="Arial" w:cs="Arial"/>
          <w:i/>
          <w:noProof/>
          <w:szCs w:val="22"/>
        </w:rPr>
        <w:t>Psychosis</w:t>
      </w:r>
      <w:r w:rsidRPr="004D46AC">
        <w:rPr>
          <w:rFonts w:ascii="Arial" w:hAnsi="Arial" w:cs="Arial"/>
          <w:noProof/>
          <w:szCs w:val="22"/>
        </w:rPr>
        <w:t>,</w:t>
      </w:r>
      <w:r w:rsidRPr="004D46AC">
        <w:rPr>
          <w:rFonts w:ascii="Arial" w:hAnsi="Arial" w:cs="Arial"/>
          <w:i/>
          <w:noProof/>
          <w:szCs w:val="22"/>
        </w:rPr>
        <w:t xml:space="preserve"> 8</w:t>
      </w:r>
      <w:r w:rsidRPr="004D46AC">
        <w:rPr>
          <w:rFonts w:ascii="Arial" w:hAnsi="Arial" w:cs="Arial"/>
          <w:noProof/>
          <w:szCs w:val="22"/>
        </w:rPr>
        <w:t xml:space="preserve">(4), 357–368. </w:t>
      </w:r>
      <w:hyperlink r:id="rId172" w:history="1">
        <w:r w:rsidRPr="004D46AC">
          <w:rPr>
            <w:rStyle w:val="af5"/>
            <w:rFonts w:ascii="Arial" w:hAnsi="Arial" w:cs="Arial"/>
            <w:noProof/>
            <w:szCs w:val="22"/>
          </w:rPr>
          <w:t>https://doi.org/10.1080/17522439.2016.1162839</w:t>
        </w:r>
      </w:hyperlink>
      <w:r w:rsidRPr="004D46AC">
        <w:rPr>
          <w:rFonts w:ascii="Arial" w:hAnsi="Arial" w:cs="Arial"/>
          <w:noProof/>
          <w:szCs w:val="22"/>
        </w:rPr>
        <w:t xml:space="preserve"> </w:t>
      </w:r>
    </w:p>
    <w:p w14:paraId="0CC45E8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Rossell, S. L., Schutte, M. J. L., Toh, W. L., Thomas, N., Strauss, C., Linszen, M. M. J., van Dellen, E., Heringa, S. M., Teunisse, R., Slotema, C. W., &amp; Sommer, I. E. C. (2019). The Questionnaire for Psychotic Experiences: An Examination of the Validity and Reliability.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45</w:t>
      </w:r>
      <w:r w:rsidRPr="004D46AC">
        <w:rPr>
          <w:rFonts w:ascii="Arial" w:hAnsi="Arial" w:cs="Arial"/>
          <w:noProof/>
          <w:szCs w:val="22"/>
        </w:rPr>
        <w:t xml:space="preserve">(45 Suppl 1), S78–S87. </w:t>
      </w:r>
      <w:hyperlink r:id="rId173" w:history="1">
        <w:r w:rsidRPr="004D46AC">
          <w:rPr>
            <w:rStyle w:val="af5"/>
            <w:rFonts w:ascii="Arial" w:hAnsi="Arial" w:cs="Arial"/>
            <w:noProof/>
            <w:szCs w:val="22"/>
          </w:rPr>
          <w:t>https://doi.org/10.1093/schbul/sby148</w:t>
        </w:r>
      </w:hyperlink>
      <w:r w:rsidRPr="004D46AC">
        <w:rPr>
          <w:rFonts w:ascii="Arial" w:hAnsi="Arial" w:cs="Arial"/>
          <w:noProof/>
          <w:szCs w:val="22"/>
        </w:rPr>
        <w:t xml:space="preserve"> </w:t>
      </w:r>
    </w:p>
    <w:p w14:paraId="646C2EE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Rosser, B. A. (2019). Intolerance of Uncertainty as a Transdiagnostic Mechanism of Psychological Difficulties: A Systematic Review of Evidence Pertaining to Causality and Temporal Precedence. </w:t>
      </w:r>
      <w:r w:rsidRPr="004D46AC">
        <w:rPr>
          <w:rFonts w:ascii="Arial" w:hAnsi="Arial" w:cs="Arial"/>
          <w:i/>
          <w:noProof/>
          <w:szCs w:val="22"/>
        </w:rPr>
        <w:t>Cognitive therapy and research</w:t>
      </w:r>
      <w:r w:rsidRPr="004D46AC">
        <w:rPr>
          <w:rFonts w:ascii="Arial" w:hAnsi="Arial" w:cs="Arial"/>
          <w:noProof/>
          <w:szCs w:val="22"/>
        </w:rPr>
        <w:t>,</w:t>
      </w:r>
      <w:r w:rsidRPr="004D46AC">
        <w:rPr>
          <w:rFonts w:ascii="Arial" w:hAnsi="Arial" w:cs="Arial"/>
          <w:i/>
          <w:noProof/>
          <w:szCs w:val="22"/>
        </w:rPr>
        <w:t xml:space="preserve"> 43</w:t>
      </w:r>
      <w:r w:rsidRPr="004D46AC">
        <w:rPr>
          <w:rFonts w:ascii="Arial" w:hAnsi="Arial" w:cs="Arial"/>
          <w:noProof/>
          <w:szCs w:val="22"/>
        </w:rPr>
        <w:t xml:space="preserve">(2), 438–463. </w:t>
      </w:r>
      <w:hyperlink r:id="rId174" w:history="1">
        <w:r w:rsidRPr="004D46AC">
          <w:rPr>
            <w:rStyle w:val="af5"/>
            <w:rFonts w:ascii="Arial" w:hAnsi="Arial" w:cs="Arial"/>
            <w:noProof/>
            <w:szCs w:val="22"/>
          </w:rPr>
          <w:t>https://doi.org/10.1007/s10608-018-9964-z</w:t>
        </w:r>
      </w:hyperlink>
      <w:r w:rsidRPr="004D46AC">
        <w:rPr>
          <w:rFonts w:ascii="Arial" w:hAnsi="Arial" w:cs="Arial"/>
          <w:noProof/>
          <w:szCs w:val="22"/>
        </w:rPr>
        <w:t xml:space="preserve"> </w:t>
      </w:r>
    </w:p>
    <w:p w14:paraId="2550FC9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Rowland, J. E., Hamilton, M. K., Lino, B. J., Ly, P., Denny, K., Hwang, E.-J., Mitchell, P. B., Carr, V. J., &amp; Green, M. J. (2013). Cognitive regulation of negative affect in schizophrenia and bipolar disorder. </w:t>
      </w:r>
      <w:r w:rsidRPr="004D46AC">
        <w:rPr>
          <w:rFonts w:ascii="Arial" w:hAnsi="Arial" w:cs="Arial"/>
          <w:i/>
          <w:noProof/>
          <w:szCs w:val="22"/>
        </w:rPr>
        <w:t>Psychiatry Research</w:t>
      </w:r>
      <w:r w:rsidRPr="004D46AC">
        <w:rPr>
          <w:rFonts w:ascii="Arial" w:hAnsi="Arial" w:cs="Arial"/>
          <w:noProof/>
          <w:szCs w:val="22"/>
        </w:rPr>
        <w:t>,</w:t>
      </w:r>
      <w:r w:rsidRPr="004D46AC">
        <w:rPr>
          <w:rFonts w:ascii="Arial" w:hAnsi="Arial" w:cs="Arial"/>
          <w:i/>
          <w:noProof/>
          <w:szCs w:val="22"/>
        </w:rPr>
        <w:t xml:space="preserve"> 208</w:t>
      </w:r>
      <w:r w:rsidRPr="004D46AC">
        <w:rPr>
          <w:rFonts w:ascii="Arial" w:hAnsi="Arial" w:cs="Arial"/>
          <w:noProof/>
          <w:szCs w:val="22"/>
        </w:rPr>
        <w:t xml:space="preserve">(1), 21–28. </w:t>
      </w:r>
    </w:p>
    <w:p w14:paraId="2EF5D83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Ruggero, C. J., Carlson, G. A., Kotov, R., &amp; Bromet, E. J. (2010). Ten-year diagnostic consistency of bipolar disorder in a first-admission sample. </w:t>
      </w:r>
      <w:r w:rsidRPr="004D46AC">
        <w:rPr>
          <w:rFonts w:ascii="Arial" w:hAnsi="Arial" w:cs="Arial"/>
          <w:i/>
          <w:noProof/>
          <w:szCs w:val="22"/>
        </w:rPr>
        <w:t>Bipolar Disord</w:t>
      </w:r>
      <w:r w:rsidRPr="004D46AC">
        <w:rPr>
          <w:rFonts w:ascii="Arial" w:hAnsi="Arial" w:cs="Arial"/>
          <w:noProof/>
          <w:szCs w:val="22"/>
        </w:rPr>
        <w:t>,</w:t>
      </w:r>
      <w:r w:rsidRPr="004D46AC">
        <w:rPr>
          <w:rFonts w:ascii="Arial" w:hAnsi="Arial" w:cs="Arial"/>
          <w:i/>
          <w:noProof/>
          <w:szCs w:val="22"/>
        </w:rPr>
        <w:t xml:space="preserve"> 12</w:t>
      </w:r>
      <w:r w:rsidRPr="004D46AC">
        <w:rPr>
          <w:rFonts w:ascii="Arial" w:hAnsi="Arial" w:cs="Arial"/>
          <w:noProof/>
          <w:szCs w:val="22"/>
        </w:rPr>
        <w:t xml:space="preserve">(1), 21–31. </w:t>
      </w:r>
      <w:hyperlink r:id="rId175" w:history="1">
        <w:r w:rsidRPr="004D46AC">
          <w:rPr>
            <w:rStyle w:val="af5"/>
            <w:rFonts w:ascii="Arial" w:hAnsi="Arial" w:cs="Arial"/>
            <w:noProof/>
            <w:szCs w:val="22"/>
          </w:rPr>
          <w:t>https://doi.org/10.1111/j.1399-5618.2009.00777.x</w:t>
        </w:r>
      </w:hyperlink>
      <w:r w:rsidRPr="004D46AC">
        <w:rPr>
          <w:rFonts w:ascii="Arial" w:hAnsi="Arial" w:cs="Arial"/>
          <w:noProof/>
          <w:szCs w:val="22"/>
        </w:rPr>
        <w:t xml:space="preserve"> </w:t>
      </w:r>
    </w:p>
    <w:p w14:paraId="2874566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Russo, D. A., Stochl, J., Hodgekins, J., Iglesias-González, M., Chipps, P., Painter, M., Jones, P. B., &amp; Perez, J. (2018). Attachment styles and clinical correlates in people at ultra high risk for psychosis. </w:t>
      </w:r>
      <w:r w:rsidRPr="004D46AC">
        <w:rPr>
          <w:rFonts w:ascii="Arial" w:hAnsi="Arial" w:cs="Arial"/>
          <w:i/>
          <w:noProof/>
          <w:szCs w:val="22"/>
        </w:rPr>
        <w:t>British Journal of Psychology</w:t>
      </w:r>
      <w:r w:rsidRPr="004D46AC">
        <w:rPr>
          <w:rFonts w:ascii="Arial" w:hAnsi="Arial" w:cs="Arial"/>
          <w:noProof/>
          <w:szCs w:val="22"/>
        </w:rPr>
        <w:t>,</w:t>
      </w:r>
      <w:r w:rsidRPr="004D46AC">
        <w:rPr>
          <w:rFonts w:ascii="Arial" w:hAnsi="Arial" w:cs="Arial"/>
          <w:i/>
          <w:noProof/>
          <w:szCs w:val="22"/>
        </w:rPr>
        <w:t xml:space="preserve"> 109</w:t>
      </w:r>
      <w:r w:rsidRPr="004D46AC">
        <w:rPr>
          <w:rFonts w:ascii="Arial" w:hAnsi="Arial" w:cs="Arial"/>
          <w:noProof/>
          <w:szCs w:val="22"/>
        </w:rPr>
        <w:t xml:space="preserve">(1), 45–62. </w:t>
      </w:r>
      <w:hyperlink r:id="rId176" w:history="1">
        <w:r w:rsidRPr="004D46AC">
          <w:rPr>
            <w:rStyle w:val="af5"/>
            <w:rFonts w:ascii="Arial" w:hAnsi="Arial" w:cs="Arial"/>
            <w:noProof/>
            <w:szCs w:val="22"/>
          </w:rPr>
          <w:t>https://doi.org/https://doi.org/10.1111/bjop.12249</w:t>
        </w:r>
      </w:hyperlink>
      <w:r w:rsidRPr="004D46AC">
        <w:rPr>
          <w:rFonts w:ascii="Arial" w:hAnsi="Arial" w:cs="Arial"/>
          <w:noProof/>
          <w:szCs w:val="22"/>
        </w:rPr>
        <w:t xml:space="preserve"> </w:t>
      </w:r>
    </w:p>
    <w:p w14:paraId="1224600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Salazar de Pablo, G., Cabras, A., Pereira, J., Castro Santos, H., de Diego, H., Catalan, A., González-Pinto, A., Birmaher, B., Correll, C. U., &amp; Fusar-Poli, P. (2023). Predicting bipolar disorder I/II in individuals at clinical high-risk: Results from a systematic review. </w:t>
      </w:r>
      <w:r w:rsidRPr="004D46AC">
        <w:rPr>
          <w:rFonts w:ascii="Arial" w:hAnsi="Arial" w:cs="Arial"/>
          <w:i/>
          <w:noProof/>
          <w:szCs w:val="22"/>
        </w:rPr>
        <w:t>Journal of affective disorders</w:t>
      </w:r>
      <w:r w:rsidRPr="004D46AC">
        <w:rPr>
          <w:rFonts w:ascii="Arial" w:hAnsi="Arial" w:cs="Arial"/>
          <w:noProof/>
          <w:szCs w:val="22"/>
        </w:rPr>
        <w:t>,</w:t>
      </w:r>
      <w:r w:rsidRPr="004D46AC">
        <w:rPr>
          <w:rFonts w:ascii="Arial" w:hAnsi="Arial" w:cs="Arial"/>
          <w:i/>
          <w:noProof/>
          <w:szCs w:val="22"/>
        </w:rPr>
        <w:t xml:space="preserve"> 325</w:t>
      </w:r>
      <w:r w:rsidRPr="004D46AC">
        <w:rPr>
          <w:rFonts w:ascii="Arial" w:hAnsi="Arial" w:cs="Arial"/>
          <w:noProof/>
          <w:szCs w:val="22"/>
        </w:rPr>
        <w:t xml:space="preserve">, 778–786. </w:t>
      </w:r>
      <w:hyperlink r:id="rId177" w:history="1">
        <w:r w:rsidRPr="004D46AC">
          <w:rPr>
            <w:rStyle w:val="af5"/>
            <w:rFonts w:ascii="Arial" w:hAnsi="Arial" w:cs="Arial"/>
            <w:noProof/>
            <w:szCs w:val="22"/>
          </w:rPr>
          <w:t>https://doi.org/https://doi.org/10.1016/j.jad.2023.01.045</w:t>
        </w:r>
      </w:hyperlink>
      <w:r w:rsidRPr="004D46AC">
        <w:rPr>
          <w:rFonts w:ascii="Arial" w:hAnsi="Arial" w:cs="Arial"/>
          <w:noProof/>
          <w:szCs w:val="22"/>
        </w:rPr>
        <w:t xml:space="preserve"> </w:t>
      </w:r>
    </w:p>
    <w:p w14:paraId="1884AA8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Sanchez-Gistau, V., Baeza, I., Arango, C., González-Pinto, A., de la Serna, E., Parellada, M., Graell, M., Paya, B., Llorente, C., &amp; Castro-Fornieles, J. (2015). The affective dimension of early-onset psychosis and its relationship with suicide. </w:t>
      </w:r>
      <w:r w:rsidRPr="004D46AC">
        <w:rPr>
          <w:rFonts w:ascii="Arial" w:hAnsi="Arial" w:cs="Arial"/>
          <w:i/>
          <w:noProof/>
          <w:szCs w:val="22"/>
        </w:rPr>
        <w:t>J Child Psychol Psychiatry</w:t>
      </w:r>
      <w:r w:rsidRPr="004D46AC">
        <w:rPr>
          <w:rFonts w:ascii="Arial" w:hAnsi="Arial" w:cs="Arial"/>
          <w:noProof/>
          <w:szCs w:val="22"/>
        </w:rPr>
        <w:t>,</w:t>
      </w:r>
      <w:r w:rsidRPr="004D46AC">
        <w:rPr>
          <w:rFonts w:ascii="Arial" w:hAnsi="Arial" w:cs="Arial"/>
          <w:i/>
          <w:noProof/>
          <w:szCs w:val="22"/>
        </w:rPr>
        <w:t xml:space="preserve"> 56</w:t>
      </w:r>
      <w:r w:rsidRPr="004D46AC">
        <w:rPr>
          <w:rFonts w:ascii="Arial" w:hAnsi="Arial" w:cs="Arial"/>
          <w:noProof/>
          <w:szCs w:val="22"/>
        </w:rPr>
        <w:t xml:space="preserve">(7), 747–755. </w:t>
      </w:r>
      <w:hyperlink r:id="rId178" w:history="1">
        <w:r w:rsidRPr="004D46AC">
          <w:rPr>
            <w:rStyle w:val="af5"/>
            <w:rFonts w:ascii="Arial" w:hAnsi="Arial" w:cs="Arial"/>
            <w:noProof/>
            <w:szCs w:val="22"/>
          </w:rPr>
          <w:t>https://doi.org/10.1111/jcpp.12332</w:t>
        </w:r>
      </w:hyperlink>
      <w:r w:rsidRPr="004D46AC">
        <w:rPr>
          <w:rFonts w:ascii="Arial" w:hAnsi="Arial" w:cs="Arial"/>
          <w:noProof/>
          <w:szCs w:val="22"/>
        </w:rPr>
        <w:t xml:space="preserve"> </w:t>
      </w:r>
    </w:p>
    <w:p w14:paraId="348E1F6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Sandstrom, A., Sahiti, Q., Pavlova, B., &amp; Uher, R. (2019). Offspring of parents with schizophrenia, bipolar disorder, and depression: a review of familial high-risk and molecular genetics studies. </w:t>
      </w:r>
      <w:r w:rsidRPr="004D46AC">
        <w:rPr>
          <w:rFonts w:ascii="Arial" w:hAnsi="Arial" w:cs="Arial"/>
          <w:i/>
          <w:noProof/>
          <w:szCs w:val="22"/>
        </w:rPr>
        <w:t>Psychiatric Genetics</w:t>
      </w:r>
      <w:r w:rsidRPr="004D46AC">
        <w:rPr>
          <w:rFonts w:ascii="Arial" w:hAnsi="Arial" w:cs="Arial"/>
          <w:noProof/>
          <w:szCs w:val="22"/>
        </w:rPr>
        <w:t>,</w:t>
      </w:r>
      <w:r w:rsidRPr="004D46AC">
        <w:rPr>
          <w:rFonts w:ascii="Arial" w:hAnsi="Arial" w:cs="Arial"/>
          <w:i/>
          <w:noProof/>
          <w:szCs w:val="22"/>
        </w:rPr>
        <w:t xml:space="preserve"> 29</w:t>
      </w:r>
      <w:r w:rsidRPr="004D46AC">
        <w:rPr>
          <w:rFonts w:ascii="Arial" w:hAnsi="Arial" w:cs="Arial"/>
          <w:noProof/>
          <w:szCs w:val="22"/>
        </w:rPr>
        <w:t xml:space="preserve">(5). </w:t>
      </w:r>
    </w:p>
    <w:p w14:paraId="4B56CA7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Savill, M., D'Ambrosio, J., Cannon, T. D., &amp; Loewy, R. L. (2018). Psychosis risk screening in different populations using the Prodromal Questionnaire: A systematic review. </w:t>
      </w:r>
      <w:r w:rsidRPr="004D46AC">
        <w:rPr>
          <w:rFonts w:ascii="Arial" w:hAnsi="Arial" w:cs="Arial"/>
          <w:i/>
          <w:noProof/>
          <w:szCs w:val="22"/>
        </w:rPr>
        <w:t>Early Interv Psychiatry</w:t>
      </w:r>
      <w:r w:rsidRPr="004D46AC">
        <w:rPr>
          <w:rFonts w:ascii="Arial" w:hAnsi="Arial" w:cs="Arial"/>
          <w:noProof/>
          <w:szCs w:val="22"/>
        </w:rPr>
        <w:t>,</w:t>
      </w:r>
      <w:r w:rsidRPr="004D46AC">
        <w:rPr>
          <w:rFonts w:ascii="Arial" w:hAnsi="Arial" w:cs="Arial"/>
          <w:i/>
          <w:noProof/>
          <w:szCs w:val="22"/>
        </w:rPr>
        <w:t xml:space="preserve"> 12</w:t>
      </w:r>
      <w:r w:rsidRPr="004D46AC">
        <w:rPr>
          <w:rFonts w:ascii="Arial" w:hAnsi="Arial" w:cs="Arial"/>
          <w:noProof/>
          <w:szCs w:val="22"/>
        </w:rPr>
        <w:t xml:space="preserve">(1), 3–14. </w:t>
      </w:r>
      <w:hyperlink r:id="rId179" w:history="1">
        <w:r w:rsidRPr="004D46AC">
          <w:rPr>
            <w:rStyle w:val="af5"/>
            <w:rFonts w:ascii="Arial" w:hAnsi="Arial" w:cs="Arial"/>
            <w:noProof/>
            <w:szCs w:val="22"/>
          </w:rPr>
          <w:t>https://doi.org/10.1111/eip.12446</w:t>
        </w:r>
      </w:hyperlink>
      <w:r w:rsidRPr="004D46AC">
        <w:rPr>
          <w:rFonts w:ascii="Arial" w:hAnsi="Arial" w:cs="Arial"/>
          <w:noProof/>
          <w:szCs w:val="22"/>
        </w:rPr>
        <w:t xml:space="preserve"> </w:t>
      </w:r>
    </w:p>
    <w:p w14:paraId="5BA3201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Schultze-Lutter, F., Addington, J., Ruhrmann, S., &amp; Klosterkötter, J. (2007). Schizophrenia proneness instrument, adult version (SPI-A). </w:t>
      </w:r>
      <w:r w:rsidRPr="004D46AC">
        <w:rPr>
          <w:rFonts w:ascii="Arial" w:hAnsi="Arial" w:cs="Arial"/>
          <w:i/>
          <w:noProof/>
          <w:szCs w:val="22"/>
        </w:rPr>
        <w:t>Rome: Giovanni Fioriti</w:t>
      </w:r>
      <w:r w:rsidRPr="004D46AC">
        <w:rPr>
          <w:rFonts w:ascii="Arial" w:hAnsi="Arial" w:cs="Arial"/>
          <w:noProof/>
          <w:szCs w:val="22"/>
        </w:rPr>
        <w:t xml:space="preserve">. </w:t>
      </w:r>
    </w:p>
    <w:p w14:paraId="1C12BD7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Schultze-Lutter, F., Klosterkötter, J., Picker, H., Steinmeyer, E.-M., &amp; Ruhrmann, S. (2007). Predicting first-episode psychosis by basic symptom criteria. </w:t>
      </w:r>
      <w:r w:rsidRPr="004D46AC">
        <w:rPr>
          <w:rFonts w:ascii="Arial" w:hAnsi="Arial" w:cs="Arial"/>
          <w:i/>
          <w:noProof/>
          <w:szCs w:val="22"/>
        </w:rPr>
        <w:t>Clin Neuropsychiatry</w:t>
      </w:r>
      <w:r w:rsidRPr="004D46AC">
        <w:rPr>
          <w:rFonts w:ascii="Arial" w:hAnsi="Arial" w:cs="Arial"/>
          <w:noProof/>
          <w:szCs w:val="22"/>
        </w:rPr>
        <w:t>,</w:t>
      </w:r>
      <w:r w:rsidRPr="004D46AC">
        <w:rPr>
          <w:rFonts w:ascii="Arial" w:hAnsi="Arial" w:cs="Arial"/>
          <w:i/>
          <w:noProof/>
          <w:szCs w:val="22"/>
        </w:rPr>
        <w:t xml:space="preserve"> 4</w:t>
      </w:r>
      <w:r w:rsidRPr="004D46AC">
        <w:rPr>
          <w:rFonts w:ascii="Arial" w:hAnsi="Arial" w:cs="Arial"/>
          <w:noProof/>
          <w:szCs w:val="22"/>
        </w:rPr>
        <w:t xml:space="preserve">(1), 11–22. </w:t>
      </w:r>
    </w:p>
    <w:p w14:paraId="15FA5C8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Schultze-Lutter, F., Walger, P., Franscini, M., Traber-Walker, N., Osman, N., Walger, H., Schimmelmann, B. G., Flückiger, R., &amp; Michel, C. (2022). Clinical high-risk criteria of psychosis in 8-17-year-old community subjects and inpatients not suspected of developing psychosis. </w:t>
      </w:r>
      <w:r w:rsidRPr="004D46AC">
        <w:rPr>
          <w:rFonts w:ascii="Arial" w:hAnsi="Arial" w:cs="Arial"/>
          <w:i/>
          <w:noProof/>
          <w:szCs w:val="22"/>
        </w:rPr>
        <w:t>World J Psychiatry</w:t>
      </w:r>
      <w:r w:rsidRPr="004D46AC">
        <w:rPr>
          <w:rFonts w:ascii="Arial" w:hAnsi="Arial" w:cs="Arial"/>
          <w:noProof/>
          <w:szCs w:val="22"/>
        </w:rPr>
        <w:t>,</w:t>
      </w:r>
      <w:r w:rsidRPr="004D46AC">
        <w:rPr>
          <w:rFonts w:ascii="Arial" w:hAnsi="Arial" w:cs="Arial"/>
          <w:i/>
          <w:noProof/>
          <w:szCs w:val="22"/>
        </w:rPr>
        <w:t xml:space="preserve"> 12</w:t>
      </w:r>
      <w:r w:rsidRPr="004D46AC">
        <w:rPr>
          <w:rFonts w:ascii="Arial" w:hAnsi="Arial" w:cs="Arial"/>
          <w:noProof/>
          <w:szCs w:val="22"/>
        </w:rPr>
        <w:t xml:space="preserve">(3), 425–449. </w:t>
      </w:r>
      <w:hyperlink r:id="rId180" w:history="1">
        <w:r w:rsidRPr="004D46AC">
          <w:rPr>
            <w:rStyle w:val="af5"/>
            <w:rFonts w:ascii="Arial" w:hAnsi="Arial" w:cs="Arial"/>
            <w:noProof/>
            <w:szCs w:val="22"/>
          </w:rPr>
          <w:t>https://doi.org/10.5498/wjp.v12.i3.425</w:t>
        </w:r>
      </w:hyperlink>
      <w:r w:rsidRPr="004D46AC">
        <w:rPr>
          <w:rFonts w:ascii="Arial" w:hAnsi="Arial" w:cs="Arial"/>
          <w:noProof/>
          <w:szCs w:val="22"/>
        </w:rPr>
        <w:t xml:space="preserve"> </w:t>
      </w:r>
    </w:p>
    <w:p w14:paraId="40BCCE5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Schurhoff, F., Laguerre, A., Szoke, A., Meary, A., &amp; Leboyer, M. (2005). Schizotypal dimensions: continuity between schizophrenia and bipolar disorders.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80</w:t>
      </w:r>
      <w:r w:rsidRPr="004D46AC">
        <w:rPr>
          <w:rFonts w:ascii="Arial" w:hAnsi="Arial" w:cs="Arial"/>
          <w:noProof/>
          <w:szCs w:val="22"/>
        </w:rPr>
        <w:t xml:space="preserve">(2-3), 235–242. </w:t>
      </w:r>
      <w:hyperlink r:id="rId181" w:history="1">
        <w:r w:rsidRPr="004D46AC">
          <w:rPr>
            <w:rStyle w:val="af5"/>
            <w:rFonts w:ascii="Arial" w:hAnsi="Arial" w:cs="Arial"/>
            <w:noProof/>
            <w:szCs w:val="22"/>
          </w:rPr>
          <w:t>https://doi.org/10.1016/j.schres.2005.07.009</w:t>
        </w:r>
      </w:hyperlink>
      <w:r w:rsidRPr="004D46AC">
        <w:rPr>
          <w:rFonts w:ascii="Arial" w:hAnsi="Arial" w:cs="Arial"/>
          <w:noProof/>
          <w:szCs w:val="22"/>
        </w:rPr>
        <w:t xml:space="preserve"> </w:t>
      </w:r>
    </w:p>
    <w:p w14:paraId="26456A0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Şen, Ö., &amp; Yıldızhan, E. (2020). Relationship of Intolerance of Uncertainty and Attachment Styles with the Clinical Features of Bipolar Disorder in Remission. </w:t>
      </w:r>
      <w:r w:rsidRPr="004D46AC">
        <w:rPr>
          <w:rFonts w:ascii="Arial" w:hAnsi="Arial" w:cs="Arial"/>
          <w:i/>
          <w:noProof/>
          <w:szCs w:val="22"/>
        </w:rPr>
        <w:t>Turk Psikiyatri Derg</w:t>
      </w:r>
      <w:r w:rsidRPr="004D46AC">
        <w:rPr>
          <w:rFonts w:ascii="Arial" w:hAnsi="Arial" w:cs="Arial"/>
          <w:noProof/>
          <w:szCs w:val="22"/>
        </w:rPr>
        <w:t>,</w:t>
      </w:r>
      <w:r w:rsidRPr="004D46AC">
        <w:rPr>
          <w:rFonts w:ascii="Arial" w:hAnsi="Arial" w:cs="Arial"/>
          <w:i/>
          <w:noProof/>
          <w:szCs w:val="22"/>
        </w:rPr>
        <w:t xml:space="preserve"> 31</w:t>
      </w:r>
      <w:r w:rsidRPr="004D46AC">
        <w:rPr>
          <w:rFonts w:ascii="Arial" w:hAnsi="Arial" w:cs="Arial"/>
          <w:noProof/>
          <w:szCs w:val="22"/>
        </w:rPr>
        <w:t xml:space="preserve">(3), 174–184. </w:t>
      </w:r>
      <w:hyperlink r:id="rId182" w:history="1">
        <w:r w:rsidRPr="004D46AC">
          <w:rPr>
            <w:rStyle w:val="af5"/>
            <w:rFonts w:ascii="Arial" w:hAnsi="Arial" w:cs="Arial"/>
            <w:noProof/>
            <w:szCs w:val="22"/>
          </w:rPr>
          <w:t>https://doi.org/10.5080/u25107</w:t>
        </w:r>
      </w:hyperlink>
      <w:r w:rsidRPr="004D46AC">
        <w:rPr>
          <w:rFonts w:ascii="Arial" w:hAnsi="Arial" w:cs="Arial"/>
          <w:noProof/>
          <w:szCs w:val="22"/>
        </w:rPr>
        <w:t xml:space="preserve"> (Remisyonda Bipolar Bozuklukta Belirsizliğe Tahammülsüzlük, Bağlanma Biçimleri ve Klinik Özelliklerin İlişkisi.) </w:t>
      </w:r>
    </w:p>
    <w:p w14:paraId="50024B44"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Shafer, A., &amp; Dazzi, F. (2019). Meta-analysis of the positive and Negative Syndrome Scale (PANSS) factor structure. </w:t>
      </w:r>
      <w:r w:rsidRPr="004D46AC">
        <w:rPr>
          <w:rFonts w:ascii="Arial" w:hAnsi="Arial" w:cs="Arial"/>
          <w:i/>
          <w:noProof/>
          <w:szCs w:val="22"/>
        </w:rPr>
        <w:t>J Psychiatr Res</w:t>
      </w:r>
      <w:r w:rsidRPr="004D46AC">
        <w:rPr>
          <w:rFonts w:ascii="Arial" w:hAnsi="Arial" w:cs="Arial"/>
          <w:noProof/>
          <w:szCs w:val="22"/>
        </w:rPr>
        <w:t>,</w:t>
      </w:r>
      <w:r w:rsidRPr="004D46AC">
        <w:rPr>
          <w:rFonts w:ascii="Arial" w:hAnsi="Arial" w:cs="Arial"/>
          <w:i/>
          <w:noProof/>
          <w:szCs w:val="22"/>
        </w:rPr>
        <w:t xml:space="preserve"> 115</w:t>
      </w:r>
      <w:r w:rsidRPr="004D46AC">
        <w:rPr>
          <w:rFonts w:ascii="Arial" w:hAnsi="Arial" w:cs="Arial"/>
          <w:noProof/>
          <w:szCs w:val="22"/>
        </w:rPr>
        <w:t xml:space="preserve">, 113–120. </w:t>
      </w:r>
      <w:hyperlink r:id="rId183" w:history="1">
        <w:r w:rsidRPr="004D46AC">
          <w:rPr>
            <w:rStyle w:val="af5"/>
            <w:rFonts w:ascii="Arial" w:hAnsi="Arial" w:cs="Arial"/>
            <w:noProof/>
            <w:szCs w:val="22"/>
          </w:rPr>
          <w:t>https://doi.org/10.1016/j.jpsychires.2019.05.008</w:t>
        </w:r>
      </w:hyperlink>
      <w:r w:rsidRPr="004D46AC">
        <w:rPr>
          <w:rFonts w:ascii="Arial" w:hAnsi="Arial" w:cs="Arial"/>
          <w:noProof/>
          <w:szCs w:val="22"/>
        </w:rPr>
        <w:t xml:space="preserve"> </w:t>
      </w:r>
    </w:p>
    <w:p w14:paraId="030E41A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Shen, H., Zhang, L., Xu, C., Zhu, J., Chen, M., &amp; Fang, Y. (2018). Analysis of Misdiagnosis of Bipolar Disorder in An Outpatient Setting. </w:t>
      </w:r>
      <w:r w:rsidRPr="004D46AC">
        <w:rPr>
          <w:rFonts w:ascii="Arial" w:hAnsi="Arial" w:cs="Arial"/>
          <w:i/>
          <w:noProof/>
          <w:szCs w:val="22"/>
        </w:rPr>
        <w:t>Shanghai Arch Psychiatry</w:t>
      </w:r>
      <w:r w:rsidRPr="004D46AC">
        <w:rPr>
          <w:rFonts w:ascii="Arial" w:hAnsi="Arial" w:cs="Arial"/>
          <w:noProof/>
          <w:szCs w:val="22"/>
        </w:rPr>
        <w:t>,</w:t>
      </w:r>
      <w:r w:rsidRPr="004D46AC">
        <w:rPr>
          <w:rFonts w:ascii="Arial" w:hAnsi="Arial" w:cs="Arial"/>
          <w:i/>
          <w:noProof/>
          <w:szCs w:val="22"/>
        </w:rPr>
        <w:t xml:space="preserve"> 30</w:t>
      </w:r>
      <w:r w:rsidRPr="004D46AC">
        <w:rPr>
          <w:rFonts w:ascii="Arial" w:hAnsi="Arial" w:cs="Arial"/>
          <w:noProof/>
          <w:szCs w:val="22"/>
        </w:rPr>
        <w:t xml:space="preserve">(2), 93–101. </w:t>
      </w:r>
      <w:hyperlink r:id="rId184" w:history="1">
        <w:r w:rsidRPr="004D46AC">
          <w:rPr>
            <w:rStyle w:val="af5"/>
            <w:rFonts w:ascii="Arial" w:hAnsi="Arial" w:cs="Arial"/>
            <w:noProof/>
            <w:szCs w:val="22"/>
          </w:rPr>
          <w:t>https://doi.org/10.11919/j.issn.1002-0829.217080</w:t>
        </w:r>
      </w:hyperlink>
      <w:r w:rsidRPr="004D46AC">
        <w:rPr>
          <w:rFonts w:ascii="Arial" w:hAnsi="Arial" w:cs="Arial"/>
          <w:noProof/>
          <w:szCs w:val="22"/>
        </w:rPr>
        <w:t xml:space="preserve"> </w:t>
      </w:r>
    </w:p>
    <w:p w14:paraId="54FA58B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Shevlin, M., McElroy, E., Bentall, R. P., Reininghaus, U., &amp; Murphy, J. (2017). The Psychosis Continuum: Testing a Bifactor Model of Psychosis in a General Population Sample.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43</w:t>
      </w:r>
      <w:r w:rsidRPr="004D46AC">
        <w:rPr>
          <w:rFonts w:ascii="Arial" w:hAnsi="Arial" w:cs="Arial"/>
          <w:noProof/>
          <w:szCs w:val="22"/>
        </w:rPr>
        <w:t xml:space="preserve">(1), 133–141. </w:t>
      </w:r>
      <w:hyperlink r:id="rId185" w:history="1">
        <w:r w:rsidRPr="004D46AC">
          <w:rPr>
            <w:rStyle w:val="af5"/>
            <w:rFonts w:ascii="Arial" w:hAnsi="Arial" w:cs="Arial"/>
            <w:noProof/>
            <w:szCs w:val="22"/>
          </w:rPr>
          <w:t>https://doi.org/10.1093/schbul/sbw067</w:t>
        </w:r>
      </w:hyperlink>
      <w:r w:rsidRPr="004D46AC">
        <w:rPr>
          <w:rFonts w:ascii="Arial" w:hAnsi="Arial" w:cs="Arial"/>
          <w:noProof/>
          <w:szCs w:val="22"/>
        </w:rPr>
        <w:t xml:space="preserve"> </w:t>
      </w:r>
    </w:p>
    <w:p w14:paraId="232B7B7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Shevlin, M., McElroy, E., Christoffersen, M. N., Elklit, A., Hyland, P., &amp; Murphy, J. (2016). Social, familial and psychological risk factors for psychosis: A birth cohort study using the Danish Registry System. </w:t>
      </w:r>
      <w:r w:rsidRPr="004D46AC">
        <w:rPr>
          <w:rFonts w:ascii="Arial" w:hAnsi="Arial" w:cs="Arial"/>
          <w:i/>
          <w:noProof/>
          <w:szCs w:val="22"/>
        </w:rPr>
        <w:t>Psychosis</w:t>
      </w:r>
      <w:r w:rsidRPr="004D46AC">
        <w:rPr>
          <w:rFonts w:ascii="Arial" w:hAnsi="Arial" w:cs="Arial"/>
          <w:noProof/>
          <w:szCs w:val="22"/>
        </w:rPr>
        <w:t>,</w:t>
      </w:r>
      <w:r w:rsidRPr="004D46AC">
        <w:rPr>
          <w:rFonts w:ascii="Arial" w:hAnsi="Arial" w:cs="Arial"/>
          <w:i/>
          <w:noProof/>
          <w:szCs w:val="22"/>
        </w:rPr>
        <w:t xml:space="preserve"> 8</w:t>
      </w:r>
      <w:r w:rsidRPr="004D46AC">
        <w:rPr>
          <w:rFonts w:ascii="Arial" w:hAnsi="Arial" w:cs="Arial"/>
          <w:noProof/>
          <w:szCs w:val="22"/>
        </w:rPr>
        <w:t xml:space="preserve">(2), 95–105. </w:t>
      </w:r>
      <w:hyperlink r:id="rId186" w:history="1">
        <w:r w:rsidRPr="004D46AC">
          <w:rPr>
            <w:rStyle w:val="af5"/>
            <w:rFonts w:ascii="Arial" w:hAnsi="Arial" w:cs="Arial"/>
            <w:noProof/>
            <w:szCs w:val="22"/>
          </w:rPr>
          <w:t>https://doi.org/10.1080/17522439.2015.1113306</w:t>
        </w:r>
      </w:hyperlink>
      <w:r w:rsidRPr="004D46AC">
        <w:rPr>
          <w:rFonts w:ascii="Arial" w:hAnsi="Arial" w:cs="Arial"/>
          <w:noProof/>
          <w:szCs w:val="22"/>
        </w:rPr>
        <w:t xml:space="preserve"> </w:t>
      </w:r>
    </w:p>
    <w:p w14:paraId="562D750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Simonsen, C., Sundet, K., Vaskinn, A., Birkenaes, A. B., Engh, J. A., Færden, A., Jónsdóttir, H., Ringen, P. A., Opjordsmoen, S., Melle, I., Friis, S., &amp; Andreassen, O. A. (2011). Neurocognitive Dysfunction in Bipolar and Schizophrenia Spectrum Disorders Depends on History of Psychosis Rather Than Diagnostic Group. </w:t>
      </w:r>
      <w:r w:rsidRPr="004D46AC">
        <w:rPr>
          <w:rFonts w:ascii="Arial" w:hAnsi="Arial" w:cs="Arial"/>
          <w:i/>
          <w:noProof/>
          <w:szCs w:val="22"/>
        </w:rPr>
        <w:t>Schizophrenia Bulletin</w:t>
      </w:r>
      <w:r w:rsidRPr="004D46AC">
        <w:rPr>
          <w:rFonts w:ascii="Arial" w:hAnsi="Arial" w:cs="Arial"/>
          <w:noProof/>
          <w:szCs w:val="22"/>
        </w:rPr>
        <w:t>,</w:t>
      </w:r>
      <w:r w:rsidRPr="004D46AC">
        <w:rPr>
          <w:rFonts w:ascii="Arial" w:hAnsi="Arial" w:cs="Arial"/>
          <w:i/>
          <w:noProof/>
          <w:szCs w:val="22"/>
        </w:rPr>
        <w:t xml:space="preserve"> 37</w:t>
      </w:r>
      <w:r w:rsidRPr="004D46AC">
        <w:rPr>
          <w:rFonts w:ascii="Arial" w:hAnsi="Arial" w:cs="Arial"/>
          <w:noProof/>
          <w:szCs w:val="22"/>
        </w:rPr>
        <w:t xml:space="preserve">(1), 73–83. </w:t>
      </w:r>
      <w:hyperlink r:id="rId187" w:history="1">
        <w:r w:rsidRPr="004D46AC">
          <w:rPr>
            <w:rStyle w:val="af5"/>
            <w:rFonts w:ascii="Arial" w:hAnsi="Arial" w:cs="Arial"/>
            <w:noProof/>
            <w:szCs w:val="22"/>
          </w:rPr>
          <w:t>https://doi.org/10.1093/schbul/sbp034</w:t>
        </w:r>
      </w:hyperlink>
      <w:r w:rsidRPr="004D46AC">
        <w:rPr>
          <w:rFonts w:ascii="Arial" w:hAnsi="Arial" w:cs="Arial"/>
          <w:noProof/>
          <w:szCs w:val="22"/>
        </w:rPr>
        <w:t xml:space="preserve"> </w:t>
      </w:r>
    </w:p>
    <w:p w14:paraId="28EF68B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Simonsen, C., Sundet, K., Vaskinn, A., Ueland, T., Romm, K. L., Hellvin, T., Melle, I., Friis, S., &amp; Andreassen, O. A. (2010). Psychosocial function in schizophrenia and bipolar disorder: Relationship to neurocognition and clinical symptoms. </w:t>
      </w:r>
      <w:r w:rsidRPr="004D46AC">
        <w:rPr>
          <w:rFonts w:ascii="Arial" w:hAnsi="Arial" w:cs="Arial"/>
          <w:i/>
          <w:noProof/>
          <w:szCs w:val="22"/>
        </w:rPr>
        <w:t>J Int Neuropsychol Soc</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(5), 771–783. </w:t>
      </w:r>
      <w:hyperlink r:id="rId188" w:history="1">
        <w:r w:rsidRPr="004D46AC">
          <w:rPr>
            <w:rStyle w:val="af5"/>
            <w:rFonts w:ascii="Arial" w:hAnsi="Arial" w:cs="Arial"/>
            <w:noProof/>
            <w:szCs w:val="22"/>
          </w:rPr>
          <w:t>https://doi.org/10.1017/S1355617710000573</w:t>
        </w:r>
      </w:hyperlink>
      <w:r w:rsidRPr="004D46AC">
        <w:rPr>
          <w:rFonts w:ascii="Arial" w:hAnsi="Arial" w:cs="Arial"/>
          <w:noProof/>
          <w:szCs w:val="22"/>
        </w:rPr>
        <w:t xml:space="preserve"> </w:t>
      </w:r>
    </w:p>
    <w:p w14:paraId="0391A9F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Smith, D. A., Mar, C. M., &amp; Turoff, B. K. (1998). The structure of schizophrenic symptoms: a meta-analytic confirmatory factor analysis. </w:t>
      </w:r>
      <w:r w:rsidRPr="004D46AC">
        <w:rPr>
          <w:rFonts w:ascii="Arial" w:hAnsi="Arial" w:cs="Arial"/>
          <w:i/>
          <w:noProof/>
          <w:szCs w:val="22"/>
        </w:rPr>
        <w:t>Schizophrenia Research</w:t>
      </w:r>
      <w:r w:rsidRPr="004D46AC">
        <w:rPr>
          <w:rFonts w:ascii="Arial" w:hAnsi="Arial" w:cs="Arial"/>
          <w:noProof/>
          <w:szCs w:val="22"/>
        </w:rPr>
        <w:t>,</w:t>
      </w:r>
      <w:r w:rsidRPr="004D46AC">
        <w:rPr>
          <w:rFonts w:ascii="Arial" w:hAnsi="Arial" w:cs="Arial"/>
          <w:i/>
          <w:noProof/>
          <w:szCs w:val="22"/>
        </w:rPr>
        <w:t xml:space="preserve"> 31</w:t>
      </w:r>
      <w:r w:rsidRPr="004D46AC">
        <w:rPr>
          <w:rFonts w:ascii="Arial" w:hAnsi="Arial" w:cs="Arial"/>
          <w:noProof/>
          <w:szCs w:val="22"/>
        </w:rPr>
        <w:t xml:space="preserve">(1), 57–70. </w:t>
      </w:r>
      <w:hyperlink r:id="rId189" w:history="1">
        <w:r w:rsidRPr="004D46AC">
          <w:rPr>
            <w:rStyle w:val="af5"/>
            <w:rFonts w:ascii="Arial" w:hAnsi="Arial" w:cs="Arial"/>
            <w:noProof/>
            <w:szCs w:val="22"/>
          </w:rPr>
          <w:t>https://doi.org/https://doi.org/10.1016/S0920-9964(98)00009-7</w:t>
        </w:r>
      </w:hyperlink>
      <w:r w:rsidRPr="004D46AC">
        <w:rPr>
          <w:rFonts w:ascii="Arial" w:hAnsi="Arial" w:cs="Arial"/>
          <w:noProof/>
          <w:szCs w:val="22"/>
        </w:rPr>
        <w:t xml:space="preserve"> </w:t>
      </w:r>
    </w:p>
    <w:p w14:paraId="063184D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Smith, L., Rossell, S. L., Thomas, N., &amp; Toh, W. L. (2024). Intersections of phenomenology, voice beliefs and distress in bipolar disorder: a comparison with schizophrenia. </w:t>
      </w:r>
      <w:r w:rsidRPr="004D46AC">
        <w:rPr>
          <w:rFonts w:ascii="Arial" w:hAnsi="Arial" w:cs="Arial"/>
          <w:i/>
          <w:noProof/>
          <w:szCs w:val="22"/>
        </w:rPr>
        <w:t>Behav Cogn Psychother</w:t>
      </w:r>
      <w:r w:rsidRPr="004D46AC">
        <w:rPr>
          <w:rFonts w:ascii="Arial" w:hAnsi="Arial" w:cs="Arial"/>
          <w:noProof/>
          <w:szCs w:val="22"/>
        </w:rPr>
        <w:t>,</w:t>
      </w:r>
      <w:r w:rsidRPr="004D46AC">
        <w:rPr>
          <w:rFonts w:ascii="Arial" w:hAnsi="Arial" w:cs="Arial"/>
          <w:i/>
          <w:noProof/>
          <w:szCs w:val="22"/>
        </w:rPr>
        <w:t xml:space="preserve"> 52</w:t>
      </w:r>
      <w:r w:rsidRPr="004D46AC">
        <w:rPr>
          <w:rFonts w:ascii="Arial" w:hAnsi="Arial" w:cs="Arial"/>
          <w:noProof/>
          <w:szCs w:val="22"/>
        </w:rPr>
        <w:t xml:space="preserve">(1), 78–92. </w:t>
      </w:r>
      <w:hyperlink r:id="rId190" w:history="1">
        <w:r w:rsidRPr="004D46AC">
          <w:rPr>
            <w:rStyle w:val="af5"/>
            <w:rFonts w:ascii="Arial" w:hAnsi="Arial" w:cs="Arial"/>
            <w:noProof/>
            <w:szCs w:val="22"/>
          </w:rPr>
          <w:t>https://doi.org/10.1017/S1352465823000395</w:t>
        </w:r>
      </w:hyperlink>
      <w:r w:rsidRPr="004D46AC">
        <w:rPr>
          <w:rFonts w:ascii="Arial" w:hAnsi="Arial" w:cs="Arial"/>
          <w:noProof/>
          <w:szCs w:val="22"/>
        </w:rPr>
        <w:t xml:space="preserve"> </w:t>
      </w:r>
    </w:p>
    <w:p w14:paraId="34C2742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Smith, L. M., Johns, L. C., &amp; Mitchell, R. (2017). Characterizing the experience of auditory verbal hallucinations and accompanying delusions in individuals with a diagnosis of bipolar disorder: A systematic review. </w:t>
      </w:r>
      <w:r w:rsidRPr="004D46AC">
        <w:rPr>
          <w:rFonts w:ascii="Arial" w:hAnsi="Arial" w:cs="Arial"/>
          <w:i/>
          <w:noProof/>
          <w:szCs w:val="22"/>
        </w:rPr>
        <w:t>Bipolar Disord</w:t>
      </w:r>
      <w:r w:rsidRPr="004D46AC">
        <w:rPr>
          <w:rFonts w:ascii="Arial" w:hAnsi="Arial" w:cs="Arial"/>
          <w:noProof/>
          <w:szCs w:val="22"/>
        </w:rPr>
        <w:t>,</w:t>
      </w:r>
      <w:r w:rsidRPr="004D46AC">
        <w:rPr>
          <w:rFonts w:ascii="Arial" w:hAnsi="Arial" w:cs="Arial"/>
          <w:i/>
          <w:noProof/>
          <w:szCs w:val="22"/>
        </w:rPr>
        <w:t xml:space="preserve"> 19</w:t>
      </w:r>
      <w:r w:rsidRPr="004D46AC">
        <w:rPr>
          <w:rFonts w:ascii="Arial" w:hAnsi="Arial" w:cs="Arial"/>
          <w:noProof/>
          <w:szCs w:val="22"/>
        </w:rPr>
        <w:t xml:space="preserve">(6), 417–433. </w:t>
      </w:r>
      <w:hyperlink r:id="rId191" w:history="1">
        <w:r w:rsidRPr="004D46AC">
          <w:rPr>
            <w:rStyle w:val="af5"/>
            <w:rFonts w:ascii="Arial" w:hAnsi="Arial" w:cs="Arial"/>
            <w:noProof/>
            <w:szCs w:val="22"/>
          </w:rPr>
          <w:t>https://doi.org/10.1111/bdi.12520</w:t>
        </w:r>
      </w:hyperlink>
      <w:r w:rsidRPr="004D46AC">
        <w:rPr>
          <w:rFonts w:ascii="Arial" w:hAnsi="Arial" w:cs="Arial"/>
          <w:noProof/>
          <w:szCs w:val="22"/>
        </w:rPr>
        <w:t xml:space="preserve"> </w:t>
      </w:r>
    </w:p>
    <w:p w14:paraId="22EF485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Solovay, M. R., Shenton, M. E., &amp; Holzman, P. S. (1987). Comparative studies of thought disorders. I. Mania and schizophrenia. </w:t>
      </w:r>
      <w:r w:rsidRPr="004D46AC">
        <w:rPr>
          <w:rFonts w:ascii="Arial" w:hAnsi="Arial" w:cs="Arial"/>
          <w:i/>
          <w:noProof/>
          <w:szCs w:val="22"/>
        </w:rPr>
        <w:t>Arch Gen Psychiatry</w:t>
      </w:r>
      <w:r w:rsidRPr="004D46AC">
        <w:rPr>
          <w:rFonts w:ascii="Arial" w:hAnsi="Arial" w:cs="Arial"/>
          <w:noProof/>
          <w:szCs w:val="22"/>
        </w:rPr>
        <w:t>,</w:t>
      </w:r>
      <w:r w:rsidRPr="004D46AC">
        <w:rPr>
          <w:rFonts w:ascii="Arial" w:hAnsi="Arial" w:cs="Arial"/>
          <w:i/>
          <w:noProof/>
          <w:szCs w:val="22"/>
        </w:rPr>
        <w:t xml:space="preserve"> 44</w:t>
      </w:r>
      <w:r w:rsidRPr="004D46AC">
        <w:rPr>
          <w:rFonts w:ascii="Arial" w:hAnsi="Arial" w:cs="Arial"/>
          <w:noProof/>
          <w:szCs w:val="22"/>
        </w:rPr>
        <w:t xml:space="preserve">(1), 13–20. </w:t>
      </w:r>
      <w:hyperlink r:id="rId192" w:history="1">
        <w:r w:rsidRPr="004D46AC">
          <w:rPr>
            <w:rStyle w:val="af5"/>
            <w:rFonts w:ascii="Arial" w:hAnsi="Arial" w:cs="Arial"/>
            <w:noProof/>
            <w:szCs w:val="22"/>
          </w:rPr>
          <w:t>https://doi.org/10.1001/archpsyc.1987.01800130015003</w:t>
        </w:r>
      </w:hyperlink>
      <w:r w:rsidRPr="004D46AC">
        <w:rPr>
          <w:rFonts w:ascii="Arial" w:hAnsi="Arial" w:cs="Arial"/>
          <w:noProof/>
          <w:szCs w:val="22"/>
        </w:rPr>
        <w:t xml:space="preserve"> </w:t>
      </w:r>
    </w:p>
    <w:p w14:paraId="50B7570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Song, J., Han, D. H., Kim, S. M., Hong, J. S., Min, K. J., Cheong, J. H., &amp; Kim, B. N. (2015). Differences in gray matter volume corresponding to delusion and hallucination in patients with schizophrenia compared with patients who have bipolar disorder. </w:t>
      </w:r>
      <w:r w:rsidRPr="004D46AC">
        <w:rPr>
          <w:rFonts w:ascii="Arial" w:hAnsi="Arial" w:cs="Arial"/>
          <w:i/>
          <w:noProof/>
          <w:szCs w:val="22"/>
        </w:rPr>
        <w:t>Neuropsychiatr Dis Treat</w:t>
      </w:r>
      <w:r w:rsidRPr="004D46AC">
        <w:rPr>
          <w:rFonts w:ascii="Arial" w:hAnsi="Arial" w:cs="Arial"/>
          <w:noProof/>
          <w:szCs w:val="22"/>
        </w:rPr>
        <w:t>,</w:t>
      </w:r>
      <w:r w:rsidRPr="004D46AC">
        <w:rPr>
          <w:rFonts w:ascii="Arial" w:hAnsi="Arial" w:cs="Arial"/>
          <w:i/>
          <w:noProof/>
          <w:szCs w:val="22"/>
        </w:rPr>
        <w:t xml:space="preserve"> 11</w:t>
      </w:r>
      <w:r w:rsidRPr="004D46AC">
        <w:rPr>
          <w:rFonts w:ascii="Arial" w:hAnsi="Arial" w:cs="Arial"/>
          <w:noProof/>
          <w:szCs w:val="22"/>
        </w:rPr>
        <w:t xml:space="preserve">, 1211–1219. </w:t>
      </w:r>
      <w:hyperlink r:id="rId193" w:history="1">
        <w:r w:rsidRPr="004D46AC">
          <w:rPr>
            <w:rStyle w:val="af5"/>
            <w:rFonts w:ascii="Arial" w:hAnsi="Arial" w:cs="Arial"/>
            <w:noProof/>
            <w:szCs w:val="22"/>
          </w:rPr>
          <w:t>https://doi.org/10.2147/NDT.S80438</w:t>
        </w:r>
      </w:hyperlink>
      <w:r w:rsidRPr="004D46AC">
        <w:rPr>
          <w:rFonts w:ascii="Arial" w:hAnsi="Arial" w:cs="Arial"/>
          <w:noProof/>
          <w:szCs w:val="22"/>
        </w:rPr>
        <w:t xml:space="preserve"> </w:t>
      </w:r>
    </w:p>
    <w:p w14:paraId="2493439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Steele, A., Maruyama, N., &amp; Galynker, I. (2010). Psychiatric symptoms in caregivers of patients with bipolar disorder: a review.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121</w:t>
      </w:r>
      <w:r w:rsidRPr="004D46AC">
        <w:rPr>
          <w:rFonts w:ascii="Arial" w:hAnsi="Arial" w:cs="Arial"/>
          <w:noProof/>
          <w:szCs w:val="22"/>
        </w:rPr>
        <w:t xml:space="preserve">(1-2), 10–21. </w:t>
      </w:r>
      <w:hyperlink r:id="rId194" w:history="1">
        <w:r w:rsidRPr="004D46AC">
          <w:rPr>
            <w:rStyle w:val="af5"/>
            <w:rFonts w:ascii="Arial" w:hAnsi="Arial" w:cs="Arial"/>
            <w:noProof/>
            <w:szCs w:val="22"/>
          </w:rPr>
          <w:t>https://doi.org/10.1016/j.jad.2009.04.020</w:t>
        </w:r>
      </w:hyperlink>
      <w:r w:rsidRPr="004D46AC">
        <w:rPr>
          <w:rFonts w:ascii="Arial" w:hAnsi="Arial" w:cs="Arial"/>
          <w:noProof/>
          <w:szCs w:val="22"/>
        </w:rPr>
        <w:t xml:space="preserve"> </w:t>
      </w:r>
    </w:p>
    <w:p w14:paraId="40950F1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Stein, F., Buckenmayer, E., Brosch, K., Meller, T., Schmitt, S., Ringwald, K. G., Pfarr, J. K., Steinstrater, O., Enneking, V., Grotegerd, D., Heindel, W., Meinert, S., Leehr, E. J., Lemke, H., Thiel, K., Waltemate, L., Winter, A., Hahn, T., Dannlowski, U.,…Kircher, T. (2022). Dimensions of Formal Thought Disorder and Their Relation to Gray- and White Matter Brain Structure in Affective and Psychotic Disorders.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48</w:t>
      </w:r>
      <w:r w:rsidRPr="004D46AC">
        <w:rPr>
          <w:rFonts w:ascii="Arial" w:hAnsi="Arial" w:cs="Arial"/>
          <w:noProof/>
          <w:szCs w:val="22"/>
        </w:rPr>
        <w:t xml:space="preserve">(4), 902–911. </w:t>
      </w:r>
      <w:hyperlink r:id="rId195" w:history="1">
        <w:r w:rsidRPr="004D46AC">
          <w:rPr>
            <w:rStyle w:val="af5"/>
            <w:rFonts w:ascii="Arial" w:hAnsi="Arial" w:cs="Arial"/>
            <w:noProof/>
            <w:szCs w:val="22"/>
          </w:rPr>
          <w:t>https://doi.org/10.1093/schbul/sbac002</w:t>
        </w:r>
      </w:hyperlink>
      <w:r w:rsidRPr="004D46AC">
        <w:rPr>
          <w:rFonts w:ascii="Arial" w:hAnsi="Arial" w:cs="Arial"/>
          <w:noProof/>
          <w:szCs w:val="22"/>
        </w:rPr>
        <w:t xml:space="preserve"> </w:t>
      </w:r>
    </w:p>
    <w:p w14:paraId="316FA16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Stein, F., Lemmer, G., Kraus, C., Schmitt, S., Brosch, K., Meller, T., Nagels, A., Nenadic, I., Dannlowski, U., Kircher, T., &amp; Krug, A. (2019). </w:t>
      </w:r>
      <w:r w:rsidRPr="004D46AC">
        <w:rPr>
          <w:rFonts w:ascii="Arial" w:hAnsi="Arial" w:cs="Arial"/>
          <w:i/>
          <w:noProof/>
          <w:szCs w:val="22"/>
        </w:rPr>
        <w:t>Factor analyses of several psychopathological scales in a transdiagnostic cohort: Results from the DFG FOR2107</w:t>
      </w:r>
      <w:r w:rsidRPr="004D46AC">
        <w:rPr>
          <w:rFonts w:ascii="Arial" w:hAnsi="Arial" w:cs="Arial"/>
          <w:noProof/>
          <w:szCs w:val="22"/>
        </w:rPr>
        <w:t xml:space="preserve"> (Vol. 52). </w:t>
      </w:r>
      <w:hyperlink r:id="rId196" w:history="1">
        <w:r w:rsidRPr="004D46AC">
          <w:rPr>
            <w:rStyle w:val="af5"/>
            <w:rFonts w:ascii="Arial" w:hAnsi="Arial" w:cs="Arial"/>
            <w:noProof/>
            <w:szCs w:val="22"/>
          </w:rPr>
          <w:t>https://doi.org/10.1055/s-0039-1679182</w:t>
        </w:r>
      </w:hyperlink>
      <w:r w:rsidRPr="004D46AC">
        <w:rPr>
          <w:rFonts w:ascii="Arial" w:hAnsi="Arial" w:cs="Arial"/>
          <w:noProof/>
          <w:szCs w:val="22"/>
        </w:rPr>
        <w:t xml:space="preserve"> </w:t>
      </w:r>
    </w:p>
    <w:p w14:paraId="2290601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Stein, F., Meller, T., Brosch, K., Schmitt, S., Ringwald, K., Pfarr, J. K., Meinert, S., Thiel, K., Lemke, H., Waltemate, L., Grotegerd, D., Opel, N., Jansen, A., Nenadić, I., Dannlowski, U., Krug, A., &amp; Kircher, T. (2021). Psychopathological Syndromes Across </w:t>
      </w:r>
      <w:r w:rsidRPr="004D46AC">
        <w:rPr>
          <w:rFonts w:ascii="Arial" w:hAnsi="Arial" w:cs="Arial"/>
          <w:noProof/>
          <w:szCs w:val="22"/>
        </w:rPr>
        <w:lastRenderedPageBreak/>
        <w:t xml:space="preserve">Affective and Psychotic Disorders Correlate With Gray Matter Volumes.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47</w:t>
      </w:r>
      <w:r w:rsidRPr="004D46AC">
        <w:rPr>
          <w:rFonts w:ascii="Arial" w:hAnsi="Arial" w:cs="Arial"/>
          <w:noProof/>
          <w:szCs w:val="22"/>
        </w:rPr>
        <w:t xml:space="preserve">(6), 1740–1750. </w:t>
      </w:r>
      <w:hyperlink r:id="rId197" w:history="1">
        <w:r w:rsidRPr="004D46AC">
          <w:rPr>
            <w:rStyle w:val="af5"/>
            <w:rFonts w:ascii="Arial" w:hAnsi="Arial" w:cs="Arial"/>
            <w:noProof/>
            <w:szCs w:val="22"/>
          </w:rPr>
          <w:t>https://doi.org/10.1093/schbul/sbab037</w:t>
        </w:r>
      </w:hyperlink>
      <w:r w:rsidRPr="004D46AC">
        <w:rPr>
          <w:rFonts w:ascii="Arial" w:hAnsi="Arial" w:cs="Arial"/>
          <w:noProof/>
          <w:szCs w:val="22"/>
        </w:rPr>
        <w:t xml:space="preserve"> </w:t>
      </w:r>
    </w:p>
    <w:p w14:paraId="17C2FA2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Strauss, G. P., Esfahlani, F. Z., Kirkpatrick, B., Allen, D. N., Gold, J. M., Visser, K. F., &amp; Sayama, H. (2019). Network Analysis Reveals Which Negative Symptom Domains Are Most Central in Schizophrenia vs Bipolar Disorder.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45</w:t>
      </w:r>
      <w:r w:rsidRPr="004D46AC">
        <w:rPr>
          <w:rFonts w:ascii="Arial" w:hAnsi="Arial" w:cs="Arial"/>
          <w:noProof/>
          <w:szCs w:val="22"/>
        </w:rPr>
        <w:t xml:space="preserve">(6), 1319–1330. </w:t>
      </w:r>
      <w:hyperlink r:id="rId198" w:history="1">
        <w:r w:rsidRPr="004D46AC">
          <w:rPr>
            <w:rStyle w:val="af5"/>
            <w:rFonts w:ascii="Arial" w:hAnsi="Arial" w:cs="Arial"/>
            <w:noProof/>
            <w:szCs w:val="22"/>
          </w:rPr>
          <w:t>https://doi.org/10.1093/schbul/sby168</w:t>
        </w:r>
      </w:hyperlink>
      <w:r w:rsidRPr="004D46AC">
        <w:rPr>
          <w:rFonts w:ascii="Arial" w:hAnsi="Arial" w:cs="Arial"/>
          <w:noProof/>
          <w:szCs w:val="22"/>
        </w:rPr>
        <w:t xml:space="preserve"> </w:t>
      </w:r>
    </w:p>
    <w:p w14:paraId="2E03223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Stuart, G., Pantelis, C., Klimidis, S., &amp; Minas, I. (1999). The three-syndrome model of schizophrenia: Meta-analysis of an artefact. </w:t>
      </w:r>
      <w:r w:rsidRPr="004D46AC">
        <w:rPr>
          <w:rFonts w:ascii="Arial" w:hAnsi="Arial" w:cs="Arial"/>
          <w:i/>
          <w:noProof/>
          <w:szCs w:val="22"/>
        </w:rPr>
        <w:t>Schizophrenia Research</w:t>
      </w:r>
      <w:r w:rsidRPr="004D46AC">
        <w:rPr>
          <w:rFonts w:ascii="Arial" w:hAnsi="Arial" w:cs="Arial"/>
          <w:noProof/>
          <w:szCs w:val="22"/>
        </w:rPr>
        <w:t>,</w:t>
      </w:r>
      <w:r w:rsidRPr="004D46AC">
        <w:rPr>
          <w:rFonts w:ascii="Arial" w:hAnsi="Arial" w:cs="Arial"/>
          <w:i/>
          <w:noProof/>
          <w:szCs w:val="22"/>
        </w:rPr>
        <w:t xml:space="preserve"> 39</w:t>
      </w:r>
      <w:r w:rsidRPr="004D46AC">
        <w:rPr>
          <w:rFonts w:ascii="Arial" w:hAnsi="Arial" w:cs="Arial"/>
          <w:noProof/>
          <w:szCs w:val="22"/>
        </w:rPr>
        <w:t xml:space="preserve">(3), 233–242. </w:t>
      </w:r>
    </w:p>
    <w:p w14:paraId="4944DB2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Sugranyes, G., de la Serna, E., Ilzarbe, D., Pariente, J. C., Borras, R., Romero, S., Rosa, M., Baeza, I., Moreno, M. D., Bernardo, M., Vieta, E., &amp; Castro-Fornieles, J. (2021). Brain structural trajectories in youth at familial risk for schizophrenia or bipolar disorder according to development of psychosis spectrum symptoms. </w:t>
      </w:r>
      <w:r w:rsidRPr="004D46AC">
        <w:rPr>
          <w:rFonts w:ascii="Arial" w:hAnsi="Arial" w:cs="Arial"/>
          <w:i/>
          <w:noProof/>
          <w:szCs w:val="22"/>
        </w:rPr>
        <w:t>Journal of Child Psychology and Psychiatry</w:t>
      </w:r>
      <w:r w:rsidRPr="004D46AC">
        <w:rPr>
          <w:rFonts w:ascii="Arial" w:hAnsi="Arial" w:cs="Arial"/>
          <w:noProof/>
          <w:szCs w:val="22"/>
        </w:rPr>
        <w:t>,</w:t>
      </w:r>
      <w:r w:rsidRPr="004D46AC">
        <w:rPr>
          <w:rFonts w:ascii="Arial" w:hAnsi="Arial" w:cs="Arial"/>
          <w:i/>
          <w:noProof/>
          <w:szCs w:val="22"/>
        </w:rPr>
        <w:t xml:space="preserve"> 62</w:t>
      </w:r>
      <w:r w:rsidRPr="004D46AC">
        <w:rPr>
          <w:rFonts w:ascii="Arial" w:hAnsi="Arial" w:cs="Arial"/>
          <w:noProof/>
          <w:szCs w:val="22"/>
        </w:rPr>
        <w:t xml:space="preserve">(6), 780–789. </w:t>
      </w:r>
      <w:hyperlink r:id="rId199" w:history="1">
        <w:r w:rsidRPr="004D46AC">
          <w:rPr>
            <w:rStyle w:val="af5"/>
            <w:rFonts w:ascii="Arial" w:hAnsi="Arial" w:cs="Arial"/>
            <w:noProof/>
            <w:szCs w:val="22"/>
          </w:rPr>
          <w:t>https://doi.org/https://doi.org/10.1111/jcpp.13321</w:t>
        </w:r>
      </w:hyperlink>
      <w:r w:rsidRPr="004D46AC">
        <w:rPr>
          <w:rFonts w:ascii="Arial" w:hAnsi="Arial" w:cs="Arial"/>
          <w:noProof/>
          <w:szCs w:val="22"/>
        </w:rPr>
        <w:t xml:space="preserve"> </w:t>
      </w:r>
    </w:p>
    <w:p w14:paraId="7198E12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Tabares-Seisdedos, R., Balanza-Martinez, V., Sanchez-Moreno, J., Martinez-Aran, A., Salazar-Fraile, J., Selva-Vera, G., Rubio, C., Mata, I., Gomez-Beneyto, M., &amp; Vieta, E. (2008). Neurocognitive and clinical predictors of functional outcome in patients with schizophrenia and bipolar I disorder at one-year follow-up.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109</w:t>
      </w:r>
      <w:r w:rsidRPr="004D46AC">
        <w:rPr>
          <w:rFonts w:ascii="Arial" w:hAnsi="Arial" w:cs="Arial"/>
          <w:noProof/>
          <w:szCs w:val="22"/>
        </w:rPr>
        <w:t xml:space="preserve">(3), 286–299. </w:t>
      </w:r>
      <w:hyperlink r:id="rId200" w:history="1">
        <w:r w:rsidRPr="004D46AC">
          <w:rPr>
            <w:rStyle w:val="af5"/>
            <w:rFonts w:ascii="Arial" w:hAnsi="Arial" w:cs="Arial"/>
            <w:noProof/>
            <w:szCs w:val="22"/>
          </w:rPr>
          <w:t>https://doi.org/10.1016/j.jad.2007.12.234</w:t>
        </w:r>
      </w:hyperlink>
      <w:r w:rsidRPr="004D46AC">
        <w:rPr>
          <w:rFonts w:ascii="Arial" w:hAnsi="Arial" w:cs="Arial"/>
          <w:noProof/>
          <w:szCs w:val="22"/>
        </w:rPr>
        <w:t xml:space="preserve"> </w:t>
      </w:r>
    </w:p>
    <w:p w14:paraId="1101870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Tackett, J. L. (2006). Evaluating models of the personality-psychopathology relationship in children and adolescents. </w:t>
      </w:r>
      <w:r w:rsidRPr="004D46AC">
        <w:rPr>
          <w:rFonts w:ascii="Arial" w:hAnsi="Arial" w:cs="Arial"/>
          <w:i/>
          <w:noProof/>
          <w:szCs w:val="22"/>
        </w:rPr>
        <w:t>Clin Psychol Rev</w:t>
      </w:r>
      <w:r w:rsidRPr="004D46AC">
        <w:rPr>
          <w:rFonts w:ascii="Arial" w:hAnsi="Arial" w:cs="Arial"/>
          <w:noProof/>
          <w:szCs w:val="22"/>
        </w:rPr>
        <w:t>,</w:t>
      </w:r>
      <w:r w:rsidRPr="004D46AC">
        <w:rPr>
          <w:rFonts w:ascii="Arial" w:hAnsi="Arial" w:cs="Arial"/>
          <w:i/>
          <w:noProof/>
          <w:szCs w:val="22"/>
        </w:rPr>
        <w:t xml:space="preserve"> 26</w:t>
      </w:r>
      <w:r w:rsidRPr="004D46AC">
        <w:rPr>
          <w:rFonts w:ascii="Arial" w:hAnsi="Arial" w:cs="Arial"/>
          <w:noProof/>
          <w:szCs w:val="22"/>
        </w:rPr>
        <w:t xml:space="preserve">(5), 584–599. </w:t>
      </w:r>
    </w:p>
    <w:p w14:paraId="02A601D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Tamminga, C. A., Ivleva, E. I., Keshavan, M. S., Pearlson, G. D., Clementz, B. A., Witte, B., Morris, D. W., Bishop, J., Thaker, G. K., &amp; Sweeney, J. A. (2013). Clinical phenotypes of psychosis in the Bipolar-Schizophrenia Network on Intermediate Phenotypes (B-SNIP). </w:t>
      </w:r>
      <w:r w:rsidRPr="004D46AC">
        <w:rPr>
          <w:rFonts w:ascii="Arial" w:hAnsi="Arial" w:cs="Arial"/>
          <w:i/>
          <w:noProof/>
          <w:szCs w:val="22"/>
        </w:rPr>
        <w:t>Am J Psychiatry</w:t>
      </w:r>
      <w:r w:rsidRPr="004D46AC">
        <w:rPr>
          <w:rFonts w:ascii="Arial" w:hAnsi="Arial" w:cs="Arial"/>
          <w:noProof/>
          <w:szCs w:val="22"/>
        </w:rPr>
        <w:t>,</w:t>
      </w:r>
      <w:r w:rsidRPr="004D46AC">
        <w:rPr>
          <w:rFonts w:ascii="Arial" w:hAnsi="Arial" w:cs="Arial"/>
          <w:i/>
          <w:noProof/>
          <w:szCs w:val="22"/>
        </w:rPr>
        <w:t xml:space="preserve"> 170</w:t>
      </w:r>
      <w:r w:rsidRPr="004D46AC">
        <w:rPr>
          <w:rFonts w:ascii="Arial" w:hAnsi="Arial" w:cs="Arial"/>
          <w:noProof/>
          <w:szCs w:val="22"/>
        </w:rPr>
        <w:t xml:space="preserve">(11), 1263–1274. </w:t>
      </w:r>
      <w:hyperlink r:id="rId201" w:history="1">
        <w:r w:rsidRPr="004D46AC">
          <w:rPr>
            <w:rStyle w:val="af5"/>
            <w:rFonts w:ascii="Arial" w:hAnsi="Arial" w:cs="Arial"/>
            <w:noProof/>
            <w:szCs w:val="22"/>
          </w:rPr>
          <w:t>https://doi.org/10.1176/appi.ajp.2013.12101339</w:t>
        </w:r>
      </w:hyperlink>
      <w:r w:rsidRPr="004D46AC">
        <w:rPr>
          <w:rFonts w:ascii="Arial" w:hAnsi="Arial" w:cs="Arial"/>
          <w:noProof/>
          <w:szCs w:val="22"/>
        </w:rPr>
        <w:t xml:space="preserve"> </w:t>
      </w:r>
    </w:p>
    <w:p w14:paraId="35A271D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Tamminga, C. A., Pearlson, G., Keshavan, M., Sweeney, J., Clementz, B., &amp; Thaker, G. (2014). Bipolar and schizophrenia network for intermediate phenotypes: outcomes across the psychosis continuum.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40 Suppl 2</w:t>
      </w:r>
      <w:r w:rsidRPr="004D46AC">
        <w:rPr>
          <w:rFonts w:ascii="Arial" w:hAnsi="Arial" w:cs="Arial"/>
          <w:noProof/>
          <w:szCs w:val="22"/>
        </w:rPr>
        <w:t xml:space="preserve">(Suppl 2), S131–137. </w:t>
      </w:r>
      <w:hyperlink r:id="rId202" w:history="1">
        <w:r w:rsidRPr="004D46AC">
          <w:rPr>
            <w:rStyle w:val="af5"/>
            <w:rFonts w:ascii="Arial" w:hAnsi="Arial" w:cs="Arial"/>
            <w:noProof/>
            <w:szCs w:val="22"/>
          </w:rPr>
          <w:t>https://doi.org/10.1093/schbul/sbt179</w:t>
        </w:r>
      </w:hyperlink>
      <w:r w:rsidRPr="004D46AC">
        <w:rPr>
          <w:rFonts w:ascii="Arial" w:hAnsi="Arial" w:cs="Arial"/>
          <w:noProof/>
          <w:szCs w:val="22"/>
        </w:rPr>
        <w:t xml:space="preserve"> </w:t>
      </w:r>
    </w:p>
    <w:p w14:paraId="33F56CC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Taylor, M. A., &amp; Abrams, R. (1977). Catatonia. Prevalence and importance in the manic phase of manic-depressive illness. </w:t>
      </w:r>
      <w:r w:rsidRPr="004D46AC">
        <w:rPr>
          <w:rFonts w:ascii="Arial" w:hAnsi="Arial" w:cs="Arial"/>
          <w:i/>
          <w:noProof/>
          <w:szCs w:val="22"/>
        </w:rPr>
        <w:t>Arch Gen Psychiatry</w:t>
      </w:r>
      <w:r w:rsidRPr="004D46AC">
        <w:rPr>
          <w:rFonts w:ascii="Arial" w:hAnsi="Arial" w:cs="Arial"/>
          <w:noProof/>
          <w:szCs w:val="22"/>
        </w:rPr>
        <w:t>,</w:t>
      </w:r>
      <w:r w:rsidRPr="004D46AC">
        <w:rPr>
          <w:rFonts w:ascii="Arial" w:hAnsi="Arial" w:cs="Arial"/>
          <w:i/>
          <w:noProof/>
          <w:szCs w:val="22"/>
        </w:rPr>
        <w:t xml:space="preserve"> 34</w:t>
      </w:r>
      <w:r w:rsidRPr="004D46AC">
        <w:rPr>
          <w:rFonts w:ascii="Arial" w:hAnsi="Arial" w:cs="Arial"/>
          <w:noProof/>
          <w:szCs w:val="22"/>
        </w:rPr>
        <w:t xml:space="preserve">(10), 1223–1225. </w:t>
      </w:r>
      <w:hyperlink r:id="rId203" w:history="1">
        <w:r w:rsidRPr="004D46AC">
          <w:rPr>
            <w:rStyle w:val="af5"/>
            <w:rFonts w:ascii="Arial" w:hAnsi="Arial" w:cs="Arial"/>
            <w:noProof/>
            <w:szCs w:val="22"/>
          </w:rPr>
          <w:t>https://doi.org/10.1001/archpsyc.1977.01770220105012</w:t>
        </w:r>
      </w:hyperlink>
      <w:r w:rsidRPr="004D46AC">
        <w:rPr>
          <w:rFonts w:ascii="Arial" w:hAnsi="Arial" w:cs="Arial"/>
          <w:noProof/>
          <w:szCs w:val="22"/>
        </w:rPr>
        <w:t xml:space="preserve"> </w:t>
      </w:r>
    </w:p>
    <w:p w14:paraId="695A862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Tiba, A. I., Trip, S., Bora, C. H., Drugas, M., Borz, F., Miclăuş, D. C., Voss, L., Iova, S. C., &amp; Pop, S. (2023). Positive irrational beliefs are associated with hypomanic personality. </w:t>
      </w:r>
      <w:r w:rsidRPr="004D46AC">
        <w:rPr>
          <w:rFonts w:ascii="Arial" w:hAnsi="Arial" w:cs="Arial"/>
          <w:i/>
          <w:noProof/>
          <w:szCs w:val="22"/>
        </w:rPr>
        <w:t>Frontiers in Psychology</w:t>
      </w:r>
      <w:r w:rsidRPr="004D46AC">
        <w:rPr>
          <w:rFonts w:ascii="Arial" w:hAnsi="Arial" w:cs="Arial"/>
          <w:noProof/>
          <w:szCs w:val="22"/>
        </w:rPr>
        <w:t>,</w:t>
      </w:r>
      <w:r w:rsidRPr="004D46AC">
        <w:rPr>
          <w:rFonts w:ascii="Arial" w:hAnsi="Arial" w:cs="Arial"/>
          <w:i/>
          <w:noProof/>
          <w:szCs w:val="22"/>
        </w:rPr>
        <w:t xml:space="preserve"> 14</w:t>
      </w:r>
      <w:r w:rsidRPr="004D46AC">
        <w:rPr>
          <w:rFonts w:ascii="Arial" w:hAnsi="Arial" w:cs="Arial"/>
          <w:noProof/>
          <w:szCs w:val="22"/>
        </w:rPr>
        <w:t xml:space="preserve">, 1053486. </w:t>
      </w:r>
    </w:p>
    <w:p w14:paraId="50D85B2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Tienari, P., Wynne, L. C., Sorri, A., Lahti, I., Läksy, K., Moring, J., Naarala, M., Nieminen, P., &amp; Wahlberg, K.-E. (2004). Genotype–environment interaction in schizophrenia-spectrum disorder: long-term follow-up study of Finnish adoptees. </w:t>
      </w:r>
      <w:r w:rsidRPr="004D46AC">
        <w:rPr>
          <w:rFonts w:ascii="Arial" w:hAnsi="Arial" w:cs="Arial"/>
          <w:i/>
          <w:noProof/>
          <w:szCs w:val="22"/>
        </w:rPr>
        <w:t>The British Journal of Psychiatry</w:t>
      </w:r>
      <w:r w:rsidRPr="004D46AC">
        <w:rPr>
          <w:rFonts w:ascii="Arial" w:hAnsi="Arial" w:cs="Arial"/>
          <w:noProof/>
          <w:szCs w:val="22"/>
        </w:rPr>
        <w:t>,</w:t>
      </w:r>
      <w:r w:rsidRPr="004D46AC">
        <w:rPr>
          <w:rFonts w:ascii="Arial" w:hAnsi="Arial" w:cs="Arial"/>
          <w:i/>
          <w:noProof/>
          <w:szCs w:val="22"/>
        </w:rPr>
        <w:t xml:space="preserve"> 184</w:t>
      </w:r>
      <w:r w:rsidRPr="004D46AC">
        <w:rPr>
          <w:rFonts w:ascii="Arial" w:hAnsi="Arial" w:cs="Arial"/>
          <w:noProof/>
          <w:szCs w:val="22"/>
        </w:rPr>
        <w:t xml:space="preserve">(3), 216–222. </w:t>
      </w:r>
    </w:p>
    <w:p w14:paraId="172EE096"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Toh, W. L., Castle, D. J., Thomas, N., Badcock, J. C., &amp; Rossell, S. L. (2016). Auditory verbal hallucinations (AVHs) and related psychotic phenomena in mood disorders: analysis of the 2010 Survey of High Impact Psychosis (SHIP) data. </w:t>
      </w:r>
      <w:r w:rsidRPr="004D46AC">
        <w:rPr>
          <w:rFonts w:ascii="Arial" w:hAnsi="Arial" w:cs="Arial"/>
          <w:i/>
          <w:noProof/>
          <w:szCs w:val="22"/>
        </w:rPr>
        <w:t>Psychiatry Res</w:t>
      </w:r>
      <w:r w:rsidRPr="004D46AC">
        <w:rPr>
          <w:rFonts w:ascii="Arial" w:hAnsi="Arial" w:cs="Arial"/>
          <w:noProof/>
          <w:szCs w:val="22"/>
        </w:rPr>
        <w:t>,</w:t>
      </w:r>
      <w:r w:rsidRPr="004D46AC">
        <w:rPr>
          <w:rFonts w:ascii="Arial" w:hAnsi="Arial" w:cs="Arial"/>
          <w:i/>
          <w:noProof/>
          <w:szCs w:val="22"/>
        </w:rPr>
        <w:t xml:space="preserve"> 243</w:t>
      </w:r>
      <w:r w:rsidRPr="004D46AC">
        <w:rPr>
          <w:rFonts w:ascii="Arial" w:hAnsi="Arial" w:cs="Arial"/>
          <w:noProof/>
          <w:szCs w:val="22"/>
        </w:rPr>
        <w:t xml:space="preserve">, 238–245. </w:t>
      </w:r>
      <w:hyperlink r:id="rId204" w:history="1">
        <w:r w:rsidRPr="004D46AC">
          <w:rPr>
            <w:rStyle w:val="af5"/>
            <w:rFonts w:ascii="Arial" w:hAnsi="Arial" w:cs="Arial"/>
            <w:noProof/>
            <w:szCs w:val="22"/>
          </w:rPr>
          <w:t>https://doi.org/10.1016/j.psychres.2016.06.035</w:t>
        </w:r>
      </w:hyperlink>
      <w:r w:rsidRPr="004D46AC">
        <w:rPr>
          <w:rFonts w:ascii="Arial" w:hAnsi="Arial" w:cs="Arial"/>
          <w:noProof/>
          <w:szCs w:val="22"/>
        </w:rPr>
        <w:t xml:space="preserve"> </w:t>
      </w:r>
    </w:p>
    <w:p w14:paraId="7C6A8B0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Toni, C., Perugi, G., Mata, B., Madaro, D., Maremmani, I., &amp; Akiskal, H. S. (2001). Is mood-incongruent manic psychosis a distinct subtype? </w:t>
      </w:r>
      <w:r w:rsidRPr="004D46AC">
        <w:rPr>
          <w:rFonts w:ascii="Arial" w:hAnsi="Arial" w:cs="Arial"/>
          <w:i/>
          <w:noProof/>
          <w:szCs w:val="22"/>
        </w:rPr>
        <w:t>Eur Arch Psychiatry Clin Neurosci</w:t>
      </w:r>
      <w:r w:rsidRPr="004D46AC">
        <w:rPr>
          <w:rFonts w:ascii="Arial" w:hAnsi="Arial" w:cs="Arial"/>
          <w:noProof/>
          <w:szCs w:val="22"/>
        </w:rPr>
        <w:t>,</w:t>
      </w:r>
      <w:r w:rsidRPr="004D46AC">
        <w:rPr>
          <w:rFonts w:ascii="Arial" w:hAnsi="Arial" w:cs="Arial"/>
          <w:i/>
          <w:noProof/>
          <w:szCs w:val="22"/>
        </w:rPr>
        <w:t xml:space="preserve"> 251</w:t>
      </w:r>
      <w:r w:rsidRPr="004D46AC">
        <w:rPr>
          <w:rFonts w:ascii="Arial" w:hAnsi="Arial" w:cs="Arial"/>
          <w:noProof/>
          <w:szCs w:val="22"/>
        </w:rPr>
        <w:t xml:space="preserve">(1), 12–17. </w:t>
      </w:r>
      <w:hyperlink r:id="rId205" w:history="1">
        <w:r w:rsidRPr="004D46AC">
          <w:rPr>
            <w:rStyle w:val="af5"/>
            <w:rFonts w:ascii="Arial" w:hAnsi="Arial" w:cs="Arial"/>
            <w:noProof/>
            <w:szCs w:val="22"/>
          </w:rPr>
          <w:t>https://doi.org/10.1007/s004060170061</w:t>
        </w:r>
      </w:hyperlink>
      <w:r w:rsidRPr="004D46AC">
        <w:rPr>
          <w:rFonts w:ascii="Arial" w:hAnsi="Arial" w:cs="Arial"/>
          <w:noProof/>
          <w:szCs w:val="22"/>
        </w:rPr>
        <w:t xml:space="preserve"> </w:t>
      </w:r>
    </w:p>
    <w:p w14:paraId="1E6519D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Treuer, T., &amp; Tohen, M. (2010). Predicting the course and outcome of bipolar disorder: a review. </w:t>
      </w:r>
      <w:r w:rsidRPr="004D46AC">
        <w:rPr>
          <w:rFonts w:ascii="Arial" w:hAnsi="Arial" w:cs="Arial"/>
          <w:i/>
          <w:noProof/>
          <w:szCs w:val="22"/>
        </w:rPr>
        <w:t>Eur Psychiatry</w:t>
      </w:r>
      <w:r w:rsidRPr="004D46AC">
        <w:rPr>
          <w:rFonts w:ascii="Arial" w:hAnsi="Arial" w:cs="Arial"/>
          <w:noProof/>
          <w:szCs w:val="22"/>
        </w:rPr>
        <w:t>,</w:t>
      </w:r>
      <w:r w:rsidRPr="004D46AC">
        <w:rPr>
          <w:rFonts w:ascii="Arial" w:hAnsi="Arial" w:cs="Arial"/>
          <w:i/>
          <w:noProof/>
          <w:szCs w:val="22"/>
        </w:rPr>
        <w:t xml:space="preserve"> 25</w:t>
      </w:r>
      <w:r w:rsidRPr="004D46AC">
        <w:rPr>
          <w:rFonts w:ascii="Arial" w:hAnsi="Arial" w:cs="Arial"/>
          <w:noProof/>
          <w:szCs w:val="22"/>
        </w:rPr>
        <w:t xml:space="preserve">(6), 328–333. </w:t>
      </w:r>
      <w:hyperlink r:id="rId206" w:history="1">
        <w:r w:rsidRPr="004D46AC">
          <w:rPr>
            <w:rStyle w:val="af5"/>
            <w:rFonts w:ascii="Arial" w:hAnsi="Arial" w:cs="Arial"/>
            <w:noProof/>
            <w:szCs w:val="22"/>
          </w:rPr>
          <w:t>https://doi.org/10.1016/j.eurpsy.2009.11.012</w:t>
        </w:r>
      </w:hyperlink>
      <w:r w:rsidRPr="004D46AC">
        <w:rPr>
          <w:rFonts w:ascii="Arial" w:hAnsi="Arial" w:cs="Arial"/>
          <w:noProof/>
          <w:szCs w:val="22"/>
        </w:rPr>
        <w:t xml:space="preserve"> </w:t>
      </w:r>
    </w:p>
    <w:p w14:paraId="279BFAE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Turgut, H., &amp; Yenilmez, C. (2013). Relationship among the types of delusions and sociodemographic and clinical characteristics of patients with schizophrenia and acute manic with psychotic features. </w:t>
      </w:r>
      <w:r w:rsidRPr="004D46AC">
        <w:rPr>
          <w:rFonts w:ascii="Arial" w:hAnsi="Arial" w:cs="Arial"/>
          <w:i/>
          <w:noProof/>
          <w:szCs w:val="22"/>
        </w:rPr>
        <w:t>Anatolian Journal of Psychiatry</w:t>
      </w:r>
      <w:r w:rsidRPr="004D46AC">
        <w:rPr>
          <w:rFonts w:ascii="Arial" w:hAnsi="Arial" w:cs="Arial"/>
          <w:noProof/>
          <w:szCs w:val="22"/>
        </w:rPr>
        <w:t>,</w:t>
      </w:r>
      <w:r w:rsidRPr="004D46AC">
        <w:rPr>
          <w:rFonts w:ascii="Arial" w:hAnsi="Arial" w:cs="Arial"/>
          <w:i/>
          <w:noProof/>
          <w:szCs w:val="22"/>
        </w:rPr>
        <w:t xml:space="preserve"> 14</w:t>
      </w:r>
      <w:r w:rsidRPr="004D46AC">
        <w:rPr>
          <w:rFonts w:ascii="Arial" w:hAnsi="Arial" w:cs="Arial"/>
          <w:noProof/>
          <w:szCs w:val="22"/>
        </w:rPr>
        <w:t xml:space="preserve">(4), 291–301. </w:t>
      </w:r>
      <w:hyperlink r:id="rId207" w:history="1">
        <w:r w:rsidRPr="004D46AC">
          <w:rPr>
            <w:rStyle w:val="af5"/>
            <w:rFonts w:ascii="Arial" w:hAnsi="Arial" w:cs="Arial"/>
            <w:noProof/>
            <w:szCs w:val="22"/>
          </w:rPr>
          <w:t>https://doi.org/10.5455/apd.43671</w:t>
        </w:r>
      </w:hyperlink>
      <w:r w:rsidRPr="004D46AC">
        <w:rPr>
          <w:rFonts w:ascii="Arial" w:hAnsi="Arial" w:cs="Arial"/>
          <w:noProof/>
          <w:szCs w:val="22"/>
        </w:rPr>
        <w:t xml:space="preserve"> </w:t>
      </w:r>
    </w:p>
    <w:p w14:paraId="25F6696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Upthegrove, R., Chard, C., Jones, L., Gordon-Smith, K., Forty, L., Jones, I., &amp; Craddock, N. (2015). Adverse childhood events and psychosis in bipolar affective disorder. </w:t>
      </w:r>
      <w:r w:rsidRPr="004D46AC">
        <w:rPr>
          <w:rFonts w:ascii="Arial" w:hAnsi="Arial" w:cs="Arial"/>
          <w:i/>
          <w:noProof/>
          <w:szCs w:val="22"/>
        </w:rPr>
        <w:t>Br J Psychiatry</w:t>
      </w:r>
      <w:r w:rsidRPr="004D46AC">
        <w:rPr>
          <w:rFonts w:ascii="Arial" w:hAnsi="Arial" w:cs="Arial"/>
          <w:noProof/>
          <w:szCs w:val="22"/>
        </w:rPr>
        <w:t>,</w:t>
      </w:r>
      <w:r w:rsidRPr="004D46AC">
        <w:rPr>
          <w:rFonts w:ascii="Arial" w:hAnsi="Arial" w:cs="Arial"/>
          <w:i/>
          <w:noProof/>
          <w:szCs w:val="22"/>
        </w:rPr>
        <w:t xml:space="preserve"> 206</w:t>
      </w:r>
      <w:r w:rsidRPr="004D46AC">
        <w:rPr>
          <w:rFonts w:ascii="Arial" w:hAnsi="Arial" w:cs="Arial"/>
          <w:noProof/>
          <w:szCs w:val="22"/>
        </w:rPr>
        <w:t xml:space="preserve">(3), 191–197. </w:t>
      </w:r>
      <w:hyperlink r:id="rId208" w:history="1">
        <w:r w:rsidRPr="004D46AC">
          <w:rPr>
            <w:rStyle w:val="af5"/>
            <w:rFonts w:ascii="Arial" w:hAnsi="Arial" w:cs="Arial"/>
            <w:noProof/>
            <w:szCs w:val="22"/>
          </w:rPr>
          <w:t>https://doi.org/10.1192/bjp.bp.114.152611</w:t>
        </w:r>
      </w:hyperlink>
      <w:r w:rsidRPr="004D46AC">
        <w:rPr>
          <w:rFonts w:ascii="Arial" w:hAnsi="Arial" w:cs="Arial"/>
          <w:noProof/>
          <w:szCs w:val="22"/>
        </w:rPr>
        <w:t xml:space="preserve"> </w:t>
      </w:r>
    </w:p>
    <w:p w14:paraId="793698A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van Bergen, A. H., Verkooijen, S., Vreeker, A., Abramovic, L., Hillegers, M. H., Spijker, A. T., Hoencamp, E., Regeer, E. J., Knapen, S. E., Riemersma-van der Lek, R. F., Schoevers, R., Stevens, A. W., Schulte, P. F. J., Vonk, R., Hoekstra, R., van Beveren, N. J., Kupka, R. W., Sommer, I. E. C., Ophoff, R. A.,…Boks, M. P. M. (2019). The characteristics of psychotic features in bipolar disorder.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49</w:t>
      </w:r>
      <w:r w:rsidRPr="004D46AC">
        <w:rPr>
          <w:rFonts w:ascii="Arial" w:hAnsi="Arial" w:cs="Arial"/>
          <w:noProof/>
          <w:szCs w:val="22"/>
        </w:rPr>
        <w:t xml:space="preserve">(12), 2036–2048. </w:t>
      </w:r>
      <w:hyperlink r:id="rId209" w:history="1">
        <w:r w:rsidRPr="004D46AC">
          <w:rPr>
            <w:rStyle w:val="af5"/>
            <w:rFonts w:ascii="Arial" w:hAnsi="Arial" w:cs="Arial"/>
            <w:noProof/>
            <w:szCs w:val="22"/>
          </w:rPr>
          <w:t>https://doi.org/10.1017/S0033291718002854</w:t>
        </w:r>
      </w:hyperlink>
      <w:r w:rsidRPr="004D46AC">
        <w:rPr>
          <w:rFonts w:ascii="Arial" w:hAnsi="Arial" w:cs="Arial"/>
          <w:noProof/>
          <w:szCs w:val="22"/>
        </w:rPr>
        <w:t xml:space="preserve"> </w:t>
      </w:r>
    </w:p>
    <w:p w14:paraId="3E8BA273"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Van Dorn, R. A., Desmarais, S. L., Grimm, K. J., Tueller, S. J., Johnson, K. L., Sellers, B. G., &amp; Swartz, M. S. (2016). The latent structure of psychiatric symptoms across mental disorders as measured with the PANSS and BPRS-18. </w:t>
      </w:r>
      <w:r w:rsidRPr="004D46AC">
        <w:rPr>
          <w:rFonts w:ascii="Arial" w:hAnsi="Arial" w:cs="Arial"/>
          <w:i/>
          <w:noProof/>
          <w:szCs w:val="22"/>
        </w:rPr>
        <w:t>Psychiatry Res</w:t>
      </w:r>
      <w:r w:rsidRPr="004D46AC">
        <w:rPr>
          <w:rFonts w:ascii="Arial" w:hAnsi="Arial" w:cs="Arial"/>
          <w:noProof/>
          <w:szCs w:val="22"/>
        </w:rPr>
        <w:t>,</w:t>
      </w:r>
      <w:r w:rsidRPr="004D46AC">
        <w:rPr>
          <w:rFonts w:ascii="Arial" w:hAnsi="Arial" w:cs="Arial"/>
          <w:i/>
          <w:noProof/>
          <w:szCs w:val="22"/>
        </w:rPr>
        <w:t xml:space="preserve"> 245</w:t>
      </w:r>
      <w:r w:rsidRPr="004D46AC">
        <w:rPr>
          <w:rFonts w:ascii="Arial" w:hAnsi="Arial" w:cs="Arial"/>
          <w:noProof/>
          <w:szCs w:val="22"/>
        </w:rPr>
        <w:t xml:space="preserve">, 83–90. </w:t>
      </w:r>
      <w:hyperlink r:id="rId210" w:history="1">
        <w:r w:rsidRPr="004D46AC">
          <w:rPr>
            <w:rStyle w:val="af5"/>
            <w:rFonts w:ascii="Arial" w:hAnsi="Arial" w:cs="Arial"/>
            <w:noProof/>
            <w:szCs w:val="22"/>
          </w:rPr>
          <w:t>https://doi.org/10.1016/j.psychres.2016.08.029</w:t>
        </w:r>
      </w:hyperlink>
      <w:r w:rsidRPr="004D46AC">
        <w:rPr>
          <w:rFonts w:ascii="Arial" w:hAnsi="Arial" w:cs="Arial"/>
          <w:noProof/>
          <w:szCs w:val="22"/>
        </w:rPr>
        <w:t xml:space="preserve"> </w:t>
      </w:r>
    </w:p>
    <w:p w14:paraId="0DE3F6D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Van Meter, A. R., Burke, C., Youngstrom, E. A., Faedda, G. L., &amp; Correll, C. U. (2016). The Bipolar Prodrome: Meta-Analysis of Symptom Prevalence Prior to Initial or Recurrent Mood Episodes. </w:t>
      </w:r>
      <w:r w:rsidRPr="004D46AC">
        <w:rPr>
          <w:rFonts w:ascii="Arial" w:hAnsi="Arial" w:cs="Arial"/>
          <w:i/>
          <w:noProof/>
          <w:szCs w:val="22"/>
        </w:rPr>
        <w:t>J Am Acad Child Adolesc Psychiatry</w:t>
      </w:r>
      <w:r w:rsidRPr="004D46AC">
        <w:rPr>
          <w:rFonts w:ascii="Arial" w:hAnsi="Arial" w:cs="Arial"/>
          <w:noProof/>
          <w:szCs w:val="22"/>
        </w:rPr>
        <w:t>,</w:t>
      </w:r>
      <w:r w:rsidRPr="004D46AC">
        <w:rPr>
          <w:rFonts w:ascii="Arial" w:hAnsi="Arial" w:cs="Arial"/>
          <w:i/>
          <w:noProof/>
          <w:szCs w:val="22"/>
        </w:rPr>
        <w:t xml:space="preserve"> 55</w:t>
      </w:r>
      <w:r w:rsidRPr="004D46AC">
        <w:rPr>
          <w:rFonts w:ascii="Arial" w:hAnsi="Arial" w:cs="Arial"/>
          <w:noProof/>
          <w:szCs w:val="22"/>
        </w:rPr>
        <w:t xml:space="preserve">(7), 543–555. </w:t>
      </w:r>
      <w:hyperlink r:id="rId211" w:history="1">
        <w:r w:rsidRPr="004D46AC">
          <w:rPr>
            <w:rStyle w:val="af5"/>
            <w:rFonts w:ascii="Arial" w:hAnsi="Arial" w:cs="Arial"/>
            <w:noProof/>
            <w:szCs w:val="22"/>
          </w:rPr>
          <w:t>https://doi.org/10.1016/j.jaac.2016.04.017</w:t>
        </w:r>
      </w:hyperlink>
      <w:r w:rsidRPr="004D46AC">
        <w:rPr>
          <w:rFonts w:ascii="Arial" w:hAnsi="Arial" w:cs="Arial"/>
          <w:noProof/>
          <w:szCs w:val="22"/>
        </w:rPr>
        <w:t xml:space="preserve"> </w:t>
      </w:r>
    </w:p>
    <w:p w14:paraId="7D8045A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van Os, J., Linscott, R. J., Myin-Germeys, I., Delespaul, P., &amp; Krabbendam, L. (2009). A systematic review and meta-analysis of the psychosis continuum: evidence for a </w:t>
      </w:r>
      <w:r w:rsidRPr="004D46AC">
        <w:rPr>
          <w:rFonts w:ascii="Arial" w:hAnsi="Arial" w:cs="Arial"/>
          <w:noProof/>
          <w:szCs w:val="22"/>
        </w:rPr>
        <w:lastRenderedPageBreak/>
        <w:t xml:space="preserve">psychosis proneness-persistence-impairment model of psychotic disorder. </w:t>
      </w:r>
      <w:r w:rsidRPr="004D46AC">
        <w:rPr>
          <w:rFonts w:ascii="Arial" w:hAnsi="Arial" w:cs="Arial"/>
          <w:i/>
          <w:noProof/>
          <w:szCs w:val="22"/>
        </w:rPr>
        <w:t>Psychol Med</w:t>
      </w:r>
      <w:r w:rsidRPr="004D46AC">
        <w:rPr>
          <w:rFonts w:ascii="Arial" w:hAnsi="Arial" w:cs="Arial"/>
          <w:noProof/>
          <w:szCs w:val="22"/>
        </w:rPr>
        <w:t>,</w:t>
      </w:r>
      <w:r w:rsidRPr="004D46AC">
        <w:rPr>
          <w:rFonts w:ascii="Arial" w:hAnsi="Arial" w:cs="Arial"/>
          <w:i/>
          <w:noProof/>
          <w:szCs w:val="22"/>
        </w:rPr>
        <w:t xml:space="preserve"> 39</w:t>
      </w:r>
      <w:r w:rsidRPr="004D46AC">
        <w:rPr>
          <w:rFonts w:ascii="Arial" w:hAnsi="Arial" w:cs="Arial"/>
          <w:noProof/>
          <w:szCs w:val="22"/>
        </w:rPr>
        <w:t xml:space="preserve">(2), 179–195. </w:t>
      </w:r>
      <w:hyperlink r:id="rId212" w:history="1">
        <w:r w:rsidRPr="004D46AC">
          <w:rPr>
            <w:rStyle w:val="af5"/>
            <w:rFonts w:ascii="Arial" w:hAnsi="Arial" w:cs="Arial"/>
            <w:noProof/>
            <w:szCs w:val="22"/>
          </w:rPr>
          <w:t>https://doi.org/10.1017/S0033291708003814</w:t>
        </w:r>
      </w:hyperlink>
      <w:r w:rsidRPr="004D46AC">
        <w:rPr>
          <w:rFonts w:ascii="Arial" w:hAnsi="Arial" w:cs="Arial"/>
          <w:noProof/>
          <w:szCs w:val="22"/>
        </w:rPr>
        <w:t xml:space="preserve"> </w:t>
      </w:r>
    </w:p>
    <w:p w14:paraId="3CFD0B6F"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Varese, F., Smeets, F., Drukker, M., Lieverse, R., Lataster, T., Viechtbauer, W., Read, J., van Os, J., &amp; Bentall, R. P. (2012). Childhood adversities increase the risk of psychosis: a meta-analysis of patient-control, prospective- and cross-sectional cohort studies.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38</w:t>
      </w:r>
      <w:r w:rsidRPr="004D46AC">
        <w:rPr>
          <w:rFonts w:ascii="Arial" w:hAnsi="Arial" w:cs="Arial"/>
          <w:noProof/>
          <w:szCs w:val="22"/>
        </w:rPr>
        <w:t xml:space="preserve">(4), 661–671. </w:t>
      </w:r>
      <w:hyperlink r:id="rId213" w:history="1">
        <w:r w:rsidRPr="004D46AC">
          <w:rPr>
            <w:rStyle w:val="af5"/>
            <w:rFonts w:ascii="Arial" w:hAnsi="Arial" w:cs="Arial"/>
            <w:noProof/>
            <w:szCs w:val="22"/>
          </w:rPr>
          <w:t>https://doi.org/10.1093/schbul/sbs050</w:t>
        </w:r>
      </w:hyperlink>
      <w:r w:rsidRPr="004D46AC">
        <w:rPr>
          <w:rFonts w:ascii="Arial" w:hAnsi="Arial" w:cs="Arial"/>
          <w:noProof/>
          <w:szCs w:val="22"/>
        </w:rPr>
        <w:t xml:space="preserve"> </w:t>
      </w:r>
    </w:p>
    <w:p w14:paraId="52AC6D3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Vargas, T., Lam, P. H., Azis, M., Osborne, K. J., Lieberman, A., &amp; Mittal, V. A. (2019). Childhood Trauma and Neurocognition in Adults With Psychotic Disorders: A Systematic Review and Meta-analysis.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45</w:t>
      </w:r>
      <w:r w:rsidRPr="004D46AC">
        <w:rPr>
          <w:rFonts w:ascii="Arial" w:hAnsi="Arial" w:cs="Arial"/>
          <w:noProof/>
          <w:szCs w:val="22"/>
        </w:rPr>
        <w:t xml:space="preserve">(6), 1195–1208. </w:t>
      </w:r>
      <w:hyperlink r:id="rId214" w:history="1">
        <w:r w:rsidRPr="004D46AC">
          <w:rPr>
            <w:rStyle w:val="af5"/>
            <w:rFonts w:ascii="Arial" w:hAnsi="Arial" w:cs="Arial"/>
            <w:noProof/>
            <w:szCs w:val="22"/>
          </w:rPr>
          <w:t>https://doi.org/10.1093/schbul/sby150</w:t>
        </w:r>
      </w:hyperlink>
      <w:r w:rsidRPr="004D46AC">
        <w:rPr>
          <w:rFonts w:ascii="Arial" w:hAnsi="Arial" w:cs="Arial"/>
          <w:noProof/>
          <w:szCs w:val="22"/>
        </w:rPr>
        <w:t xml:space="preserve"> </w:t>
      </w:r>
    </w:p>
    <w:p w14:paraId="3BE723F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Varsamis, J., &amp; Adamson, J. D. (1971). Early schizophrenia. </w:t>
      </w:r>
      <w:r w:rsidRPr="004D46AC">
        <w:rPr>
          <w:rFonts w:ascii="Arial" w:hAnsi="Arial" w:cs="Arial"/>
          <w:i/>
          <w:noProof/>
          <w:szCs w:val="22"/>
        </w:rPr>
        <w:t>Can Psychiatr Assoc J</w:t>
      </w:r>
      <w:r w:rsidRPr="004D46AC">
        <w:rPr>
          <w:rFonts w:ascii="Arial" w:hAnsi="Arial" w:cs="Arial"/>
          <w:noProof/>
          <w:szCs w:val="22"/>
        </w:rPr>
        <w:t>,</w:t>
      </w:r>
      <w:r w:rsidRPr="004D46AC">
        <w:rPr>
          <w:rFonts w:ascii="Arial" w:hAnsi="Arial" w:cs="Arial"/>
          <w:i/>
          <w:noProof/>
          <w:szCs w:val="22"/>
        </w:rPr>
        <w:t xml:space="preserve"> 16</w:t>
      </w:r>
      <w:r w:rsidRPr="004D46AC">
        <w:rPr>
          <w:rFonts w:ascii="Arial" w:hAnsi="Arial" w:cs="Arial"/>
          <w:noProof/>
          <w:szCs w:val="22"/>
        </w:rPr>
        <w:t xml:space="preserve">(6), 487–497. </w:t>
      </w:r>
      <w:hyperlink r:id="rId215" w:history="1">
        <w:r w:rsidRPr="004D46AC">
          <w:rPr>
            <w:rStyle w:val="af5"/>
            <w:rFonts w:ascii="Arial" w:hAnsi="Arial" w:cs="Arial"/>
            <w:noProof/>
            <w:szCs w:val="22"/>
          </w:rPr>
          <w:t>https://doi.org/10.1177/070674377101600604</w:t>
        </w:r>
      </w:hyperlink>
      <w:r w:rsidRPr="004D46AC">
        <w:rPr>
          <w:rFonts w:ascii="Arial" w:hAnsi="Arial" w:cs="Arial"/>
          <w:noProof/>
          <w:szCs w:val="22"/>
        </w:rPr>
        <w:t xml:space="preserve"> </w:t>
      </w:r>
    </w:p>
    <w:p w14:paraId="2D5C5330"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Velligan, D., Prihoda, T., Dennehy, E., Biggs, M., Shores-Wilson, K., Crismon, M. L., Rush, A. J., Miller, A., Suppes, T., Trivedi, M., Kashner, T. M., Witte, B., Toprac, M., Carmody, T., Chiles, J., &amp; Shon, S. (2005). Brief Psychiatric Rating Scale Expanded Version: How do new items affect factor structure? </w:t>
      </w:r>
      <w:r w:rsidRPr="004D46AC">
        <w:rPr>
          <w:rFonts w:ascii="Arial" w:hAnsi="Arial" w:cs="Arial"/>
          <w:i/>
          <w:noProof/>
          <w:szCs w:val="22"/>
        </w:rPr>
        <w:t>Psychiatry Research</w:t>
      </w:r>
      <w:r w:rsidRPr="004D46AC">
        <w:rPr>
          <w:rFonts w:ascii="Arial" w:hAnsi="Arial" w:cs="Arial"/>
          <w:noProof/>
          <w:szCs w:val="22"/>
        </w:rPr>
        <w:t>,</w:t>
      </w:r>
      <w:r w:rsidRPr="004D46AC">
        <w:rPr>
          <w:rFonts w:ascii="Arial" w:hAnsi="Arial" w:cs="Arial"/>
          <w:i/>
          <w:noProof/>
          <w:szCs w:val="22"/>
        </w:rPr>
        <w:t xml:space="preserve"> 135</w:t>
      </w:r>
      <w:r w:rsidRPr="004D46AC">
        <w:rPr>
          <w:rFonts w:ascii="Arial" w:hAnsi="Arial" w:cs="Arial"/>
          <w:noProof/>
          <w:szCs w:val="22"/>
        </w:rPr>
        <w:t xml:space="preserve">(3), 217–228. </w:t>
      </w:r>
      <w:hyperlink r:id="rId216" w:history="1">
        <w:r w:rsidRPr="004D46AC">
          <w:rPr>
            <w:rStyle w:val="af5"/>
            <w:rFonts w:ascii="Arial" w:hAnsi="Arial" w:cs="Arial"/>
            <w:noProof/>
            <w:szCs w:val="22"/>
          </w:rPr>
          <w:t>https://doi.org/https://doi.org/10.1016/j.psychres.2005.05.001</w:t>
        </w:r>
      </w:hyperlink>
      <w:r w:rsidRPr="004D46AC">
        <w:rPr>
          <w:rFonts w:ascii="Arial" w:hAnsi="Arial" w:cs="Arial"/>
          <w:noProof/>
          <w:szCs w:val="22"/>
        </w:rPr>
        <w:t xml:space="preserve"> </w:t>
      </w:r>
    </w:p>
    <w:p w14:paraId="49F02DB5"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Ventura, J., Nuechterlein, K. H., Subotnik, K. L., Gutkind, D., &amp; Gilbert, E. A. (2000). Symptom dimensions in recent-onset schizophrenia and mania: a principal components analysis of the 24-item Brief Psychiatric Rating Scale. </w:t>
      </w:r>
      <w:r w:rsidRPr="004D46AC">
        <w:rPr>
          <w:rFonts w:ascii="Arial" w:hAnsi="Arial" w:cs="Arial"/>
          <w:i/>
          <w:noProof/>
          <w:szCs w:val="22"/>
        </w:rPr>
        <w:t>Psychiatry Research</w:t>
      </w:r>
      <w:r w:rsidRPr="004D46AC">
        <w:rPr>
          <w:rFonts w:ascii="Arial" w:hAnsi="Arial" w:cs="Arial"/>
          <w:noProof/>
          <w:szCs w:val="22"/>
        </w:rPr>
        <w:t>,</w:t>
      </w:r>
      <w:r w:rsidRPr="004D46AC">
        <w:rPr>
          <w:rFonts w:ascii="Arial" w:hAnsi="Arial" w:cs="Arial"/>
          <w:i/>
          <w:noProof/>
          <w:szCs w:val="22"/>
        </w:rPr>
        <w:t xml:space="preserve"> 97</w:t>
      </w:r>
      <w:r w:rsidRPr="004D46AC">
        <w:rPr>
          <w:rFonts w:ascii="Arial" w:hAnsi="Arial" w:cs="Arial"/>
          <w:noProof/>
          <w:szCs w:val="22"/>
        </w:rPr>
        <w:t xml:space="preserve">(2), 129–135. </w:t>
      </w:r>
      <w:hyperlink r:id="rId217" w:history="1">
        <w:r w:rsidRPr="004D46AC">
          <w:rPr>
            <w:rStyle w:val="af5"/>
            <w:rFonts w:ascii="Arial" w:hAnsi="Arial" w:cs="Arial"/>
            <w:noProof/>
            <w:szCs w:val="22"/>
          </w:rPr>
          <w:t>https://doi.org/https://doi.org/10.1016/S0165-1781(00)00228-6</w:t>
        </w:r>
      </w:hyperlink>
      <w:r w:rsidRPr="004D46AC">
        <w:rPr>
          <w:rFonts w:ascii="Arial" w:hAnsi="Arial" w:cs="Arial"/>
          <w:noProof/>
          <w:szCs w:val="22"/>
        </w:rPr>
        <w:t xml:space="preserve"> </w:t>
      </w:r>
    </w:p>
    <w:p w14:paraId="1E16475B"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Verdolini, N., Borràs, R., Sparacino, G., Garriga, M., Sagué-Vilavella, M., Madero, S., Palacios-Garrán, R., Serra, M., Forte, M. F., Salagre, E., Aedo, A., Salgado-Pineda, P., Salvatierra, I. M., Sánchez Gistau, V., Pomarol-Clotet, E., Ramos-Quiroga, J. A., Carvalho, A. F., Garcia-Rizo, C., Undurraga, J.,…Amoretti, S. (2022). Prodromal phase: Differences in prodromal symptoms, risk factors and markers of vulnerability in first episode mania versus first episode psychosis with onset in late adolescence or adulthood. </w:t>
      </w:r>
      <w:r w:rsidRPr="004D46AC">
        <w:rPr>
          <w:rFonts w:ascii="Arial" w:hAnsi="Arial" w:cs="Arial"/>
          <w:i/>
          <w:noProof/>
          <w:szCs w:val="22"/>
        </w:rPr>
        <w:t>Acta Psychiatr Scand</w:t>
      </w:r>
      <w:r w:rsidRPr="004D46AC">
        <w:rPr>
          <w:rFonts w:ascii="Arial" w:hAnsi="Arial" w:cs="Arial"/>
          <w:noProof/>
          <w:szCs w:val="22"/>
        </w:rPr>
        <w:t>,</w:t>
      </w:r>
      <w:r w:rsidRPr="004D46AC">
        <w:rPr>
          <w:rFonts w:ascii="Arial" w:hAnsi="Arial" w:cs="Arial"/>
          <w:i/>
          <w:noProof/>
          <w:szCs w:val="22"/>
        </w:rPr>
        <w:t xml:space="preserve"> 146</w:t>
      </w:r>
      <w:r w:rsidRPr="004D46AC">
        <w:rPr>
          <w:rFonts w:ascii="Arial" w:hAnsi="Arial" w:cs="Arial"/>
          <w:noProof/>
          <w:szCs w:val="22"/>
        </w:rPr>
        <w:t xml:space="preserve">(1), 36–50. </w:t>
      </w:r>
      <w:hyperlink r:id="rId218" w:history="1">
        <w:r w:rsidRPr="004D46AC">
          <w:rPr>
            <w:rStyle w:val="af5"/>
            <w:rFonts w:ascii="Arial" w:hAnsi="Arial" w:cs="Arial"/>
            <w:noProof/>
            <w:szCs w:val="22"/>
          </w:rPr>
          <w:t>https://doi.org/10.1111/acps.13415</w:t>
        </w:r>
      </w:hyperlink>
      <w:r w:rsidRPr="004D46AC">
        <w:rPr>
          <w:rFonts w:ascii="Arial" w:hAnsi="Arial" w:cs="Arial"/>
          <w:noProof/>
          <w:szCs w:val="22"/>
        </w:rPr>
        <w:t xml:space="preserve"> </w:t>
      </w:r>
    </w:p>
    <w:p w14:paraId="57BC364A"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Verma, R. M. (1974). A study of diagnostic differences of some functional psychoses by means of self-report technique and behaviour rating with an examination of punitiveness as a variable in the psychotic disorders. </w:t>
      </w:r>
      <w:r w:rsidRPr="004D46AC">
        <w:rPr>
          <w:rFonts w:ascii="Arial" w:hAnsi="Arial" w:cs="Arial"/>
          <w:i/>
          <w:noProof/>
          <w:szCs w:val="22"/>
        </w:rPr>
        <w:t>Acta Psychiatr Scand</w:t>
      </w:r>
      <w:r w:rsidRPr="004D46AC">
        <w:rPr>
          <w:rFonts w:ascii="Arial" w:hAnsi="Arial" w:cs="Arial"/>
          <w:noProof/>
          <w:szCs w:val="22"/>
        </w:rPr>
        <w:t>,</w:t>
      </w:r>
      <w:r w:rsidRPr="004D46AC">
        <w:rPr>
          <w:rFonts w:ascii="Arial" w:hAnsi="Arial" w:cs="Arial"/>
          <w:i/>
          <w:noProof/>
          <w:szCs w:val="22"/>
        </w:rPr>
        <w:t xml:space="preserve"> 50</w:t>
      </w:r>
      <w:r w:rsidRPr="004D46AC">
        <w:rPr>
          <w:rFonts w:ascii="Arial" w:hAnsi="Arial" w:cs="Arial"/>
          <w:noProof/>
          <w:szCs w:val="22"/>
        </w:rPr>
        <w:t xml:space="preserve">(6), 569–576. </w:t>
      </w:r>
      <w:hyperlink r:id="rId219" w:history="1">
        <w:r w:rsidRPr="004D46AC">
          <w:rPr>
            <w:rStyle w:val="af5"/>
            <w:rFonts w:ascii="Arial" w:hAnsi="Arial" w:cs="Arial"/>
            <w:noProof/>
            <w:szCs w:val="22"/>
          </w:rPr>
          <w:t>https://doi.org/10.1111/j.1600-0447.1974.tb07520.x</w:t>
        </w:r>
      </w:hyperlink>
      <w:r w:rsidRPr="004D46AC">
        <w:rPr>
          <w:rFonts w:ascii="Arial" w:hAnsi="Arial" w:cs="Arial"/>
          <w:noProof/>
          <w:szCs w:val="22"/>
        </w:rPr>
        <w:t xml:space="preserve"> </w:t>
      </w:r>
    </w:p>
    <w:p w14:paraId="6A7B929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Wagner-Skacel, J., Bengesser, S., Dalkner, N., Morkl, S., Painold, A., Hamm, C., Pilz, R., Rieger, A., Kapfhammer, H. P., Hiebler-Ragger, M., Jauk, E., Butler, M. I., &amp; Reininghaus, E. Z. (2020). Personality Structure and Attachment in Bipolar Disorder </w:t>
      </w:r>
      <w:r w:rsidRPr="004D46AC">
        <w:rPr>
          <w:rFonts w:ascii="Arial" w:hAnsi="Arial" w:cs="Arial"/>
          <w:noProof/>
          <w:szCs w:val="22"/>
        </w:rPr>
        <w:lastRenderedPageBreak/>
        <w:t xml:space="preserve">[Original Research]. </w:t>
      </w:r>
      <w:r w:rsidRPr="004D46AC">
        <w:rPr>
          <w:rFonts w:ascii="Arial" w:hAnsi="Arial" w:cs="Arial"/>
          <w:i/>
          <w:noProof/>
          <w:szCs w:val="22"/>
        </w:rPr>
        <w:t>Front Psychiatry</w:t>
      </w:r>
      <w:r w:rsidRPr="004D46AC">
        <w:rPr>
          <w:rFonts w:ascii="Arial" w:hAnsi="Arial" w:cs="Arial"/>
          <w:noProof/>
          <w:szCs w:val="22"/>
        </w:rPr>
        <w:t>,</w:t>
      </w:r>
      <w:r w:rsidRPr="004D46AC">
        <w:rPr>
          <w:rFonts w:ascii="Arial" w:hAnsi="Arial" w:cs="Arial"/>
          <w:i/>
          <w:noProof/>
          <w:szCs w:val="22"/>
        </w:rPr>
        <w:t xml:space="preserve"> 11</w:t>
      </w:r>
      <w:r w:rsidRPr="004D46AC">
        <w:rPr>
          <w:rFonts w:ascii="Arial" w:hAnsi="Arial" w:cs="Arial"/>
          <w:noProof/>
          <w:szCs w:val="22"/>
        </w:rPr>
        <w:t xml:space="preserve">, 410. </w:t>
      </w:r>
      <w:hyperlink r:id="rId220" w:history="1">
        <w:r w:rsidRPr="004D46AC">
          <w:rPr>
            <w:rStyle w:val="af5"/>
            <w:rFonts w:ascii="Arial" w:hAnsi="Arial" w:cs="Arial"/>
            <w:noProof/>
            <w:szCs w:val="22"/>
          </w:rPr>
          <w:t>https://doi.org/10.3389/fpsyt.2020.00410</w:t>
        </w:r>
      </w:hyperlink>
      <w:r w:rsidRPr="004D46AC">
        <w:rPr>
          <w:rFonts w:ascii="Arial" w:hAnsi="Arial" w:cs="Arial"/>
          <w:noProof/>
          <w:szCs w:val="22"/>
        </w:rPr>
        <w:t xml:space="preserve"> </w:t>
      </w:r>
    </w:p>
    <w:p w14:paraId="21B49A2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Werry, J. S., McClellan, J. M., Andrews, L. K., &amp; Ham, M. (1994). Clinical features and outcome of child and adolescent schizophrenia.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20</w:t>
      </w:r>
      <w:r w:rsidRPr="004D46AC">
        <w:rPr>
          <w:rFonts w:ascii="Arial" w:hAnsi="Arial" w:cs="Arial"/>
          <w:noProof/>
          <w:szCs w:val="22"/>
        </w:rPr>
        <w:t xml:space="preserve">(4), 619–630. </w:t>
      </w:r>
      <w:hyperlink r:id="rId221" w:history="1">
        <w:r w:rsidRPr="004D46AC">
          <w:rPr>
            <w:rStyle w:val="af5"/>
            <w:rFonts w:ascii="Arial" w:hAnsi="Arial" w:cs="Arial"/>
            <w:noProof/>
            <w:szCs w:val="22"/>
          </w:rPr>
          <w:t>https://doi.org/10.1093/schbul/20.4.619</w:t>
        </w:r>
      </w:hyperlink>
      <w:r w:rsidRPr="004D46AC">
        <w:rPr>
          <w:rFonts w:ascii="Arial" w:hAnsi="Arial" w:cs="Arial"/>
          <w:noProof/>
          <w:szCs w:val="22"/>
        </w:rPr>
        <w:t xml:space="preserve"> </w:t>
      </w:r>
    </w:p>
    <w:p w14:paraId="288AB37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WHO. (2022). </w:t>
      </w:r>
      <w:r w:rsidRPr="004D46AC">
        <w:rPr>
          <w:rFonts w:ascii="Arial" w:hAnsi="Arial" w:cs="Arial"/>
          <w:i/>
          <w:noProof/>
          <w:szCs w:val="22"/>
        </w:rPr>
        <w:t>Mental disorders</w:t>
      </w:r>
      <w:r w:rsidRPr="004D46AC">
        <w:rPr>
          <w:rFonts w:ascii="Arial" w:hAnsi="Arial" w:cs="Arial"/>
          <w:noProof/>
          <w:szCs w:val="22"/>
        </w:rPr>
        <w:t xml:space="preserve">. United Nations. </w:t>
      </w:r>
      <w:hyperlink r:id="rId222" w:history="1">
        <w:r w:rsidRPr="004D46AC">
          <w:rPr>
            <w:rStyle w:val="af5"/>
            <w:rFonts w:ascii="Arial" w:hAnsi="Arial" w:cs="Arial"/>
            <w:noProof/>
            <w:szCs w:val="22"/>
          </w:rPr>
          <w:t>https://www.who.int/news-room/fact-sheets/detail/mental-disorders</w:t>
        </w:r>
      </w:hyperlink>
    </w:p>
    <w:p w14:paraId="6C12D7C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Wickham, S., Sitko, K., &amp; Bentall, R. P. (2015). Insecure attachment is associated with paranoia but not hallucinations in psychotic patients: the mediating role of negative self-esteem. </w:t>
      </w:r>
      <w:r w:rsidRPr="004D46AC">
        <w:rPr>
          <w:rFonts w:ascii="Arial" w:hAnsi="Arial" w:cs="Arial"/>
          <w:i/>
          <w:noProof/>
          <w:szCs w:val="22"/>
        </w:rPr>
        <w:t>Psychological Medicine</w:t>
      </w:r>
      <w:r w:rsidRPr="004D46AC">
        <w:rPr>
          <w:rFonts w:ascii="Arial" w:hAnsi="Arial" w:cs="Arial"/>
          <w:noProof/>
          <w:szCs w:val="22"/>
        </w:rPr>
        <w:t>,</w:t>
      </w:r>
      <w:r w:rsidRPr="004D46AC">
        <w:rPr>
          <w:rFonts w:ascii="Arial" w:hAnsi="Arial" w:cs="Arial"/>
          <w:i/>
          <w:noProof/>
          <w:szCs w:val="22"/>
        </w:rPr>
        <w:t xml:space="preserve"> 45</w:t>
      </w:r>
      <w:r w:rsidRPr="004D46AC">
        <w:rPr>
          <w:rFonts w:ascii="Arial" w:hAnsi="Arial" w:cs="Arial"/>
          <w:noProof/>
          <w:szCs w:val="22"/>
        </w:rPr>
        <w:t xml:space="preserve">(7), 1495–1507. </w:t>
      </w:r>
      <w:hyperlink r:id="rId223" w:history="1">
        <w:r w:rsidRPr="004D46AC">
          <w:rPr>
            <w:rStyle w:val="af5"/>
            <w:rFonts w:ascii="Arial" w:hAnsi="Arial" w:cs="Arial"/>
            <w:noProof/>
            <w:szCs w:val="22"/>
          </w:rPr>
          <w:t>https://doi.org/10.1017/S0033291714002633</w:t>
        </w:r>
      </w:hyperlink>
      <w:r w:rsidRPr="004D46AC">
        <w:rPr>
          <w:rFonts w:ascii="Arial" w:hAnsi="Arial" w:cs="Arial"/>
          <w:noProof/>
          <w:szCs w:val="22"/>
        </w:rPr>
        <w:t xml:space="preserve"> </w:t>
      </w:r>
    </w:p>
    <w:p w14:paraId="29EC01E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Williams, T. F., Williams, A. L., Cowan, H. R., Walker, E. F., Cannon, T. D., Bearden, C. E., Keshavan, M., Cornblatt, B. A., Addington, J., Woods, S. W., Perkins, D. O., Mathalon, D. H., Cadenhead, K. S., Stone, W. S., &amp; Mittal, V. A. (2024). The hierarchical taxonomy of psychopathology in clinical high risk for psychosis: Validation and extension. </w:t>
      </w:r>
      <w:r w:rsidRPr="004D46AC">
        <w:rPr>
          <w:rFonts w:ascii="Arial" w:hAnsi="Arial" w:cs="Arial"/>
          <w:i/>
          <w:noProof/>
          <w:szCs w:val="22"/>
        </w:rPr>
        <w:t>J Psychopathol Clin Sci</w:t>
      </w:r>
      <w:r w:rsidRPr="004D46AC">
        <w:rPr>
          <w:rFonts w:ascii="Arial" w:hAnsi="Arial" w:cs="Arial"/>
          <w:noProof/>
          <w:szCs w:val="22"/>
        </w:rPr>
        <w:t>,</w:t>
      </w:r>
      <w:r w:rsidRPr="004D46AC">
        <w:rPr>
          <w:rFonts w:ascii="Arial" w:hAnsi="Arial" w:cs="Arial"/>
          <w:i/>
          <w:noProof/>
          <w:szCs w:val="22"/>
        </w:rPr>
        <w:t xml:space="preserve"> 133</w:t>
      </w:r>
      <w:r w:rsidRPr="004D46AC">
        <w:rPr>
          <w:rFonts w:ascii="Arial" w:hAnsi="Arial" w:cs="Arial"/>
          <w:noProof/>
          <w:szCs w:val="22"/>
        </w:rPr>
        <w:t xml:space="preserve">(3), 235–244. </w:t>
      </w:r>
      <w:hyperlink r:id="rId224" w:history="1">
        <w:r w:rsidRPr="004D46AC">
          <w:rPr>
            <w:rStyle w:val="af5"/>
            <w:rFonts w:ascii="Arial" w:hAnsi="Arial" w:cs="Arial"/>
            <w:noProof/>
            <w:szCs w:val="22"/>
          </w:rPr>
          <w:t>https://doi.org/10.1037/abn0000893</w:t>
        </w:r>
      </w:hyperlink>
      <w:r w:rsidRPr="004D46AC">
        <w:rPr>
          <w:rFonts w:ascii="Arial" w:hAnsi="Arial" w:cs="Arial"/>
          <w:noProof/>
          <w:szCs w:val="22"/>
        </w:rPr>
        <w:t xml:space="preserve"> </w:t>
      </w:r>
    </w:p>
    <w:p w14:paraId="5E12897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Wilson, S., &amp; Sponheim, S. R. (2014). Dimensions underlying psychotic and manic symptomatology: Extending normal-range personality traits to schizophrenia and bipolar spectra. </w:t>
      </w:r>
      <w:r w:rsidRPr="004D46AC">
        <w:rPr>
          <w:rFonts w:ascii="Arial" w:hAnsi="Arial" w:cs="Arial"/>
          <w:i/>
          <w:noProof/>
          <w:szCs w:val="22"/>
        </w:rPr>
        <w:t>Compr Psychiatry</w:t>
      </w:r>
      <w:r w:rsidRPr="004D46AC">
        <w:rPr>
          <w:rFonts w:ascii="Arial" w:hAnsi="Arial" w:cs="Arial"/>
          <w:noProof/>
          <w:szCs w:val="22"/>
        </w:rPr>
        <w:t>,</w:t>
      </w:r>
      <w:r w:rsidRPr="004D46AC">
        <w:rPr>
          <w:rFonts w:ascii="Arial" w:hAnsi="Arial" w:cs="Arial"/>
          <w:i/>
          <w:noProof/>
          <w:szCs w:val="22"/>
        </w:rPr>
        <w:t xml:space="preserve"> 55</w:t>
      </w:r>
      <w:r w:rsidRPr="004D46AC">
        <w:rPr>
          <w:rFonts w:ascii="Arial" w:hAnsi="Arial" w:cs="Arial"/>
          <w:noProof/>
          <w:szCs w:val="22"/>
        </w:rPr>
        <w:t xml:space="preserve">(8), 1809–1819. </w:t>
      </w:r>
      <w:hyperlink r:id="rId225" w:history="1">
        <w:r w:rsidRPr="004D46AC">
          <w:rPr>
            <w:rStyle w:val="af5"/>
            <w:rFonts w:ascii="Arial" w:hAnsi="Arial" w:cs="Arial"/>
            <w:noProof/>
            <w:szCs w:val="22"/>
          </w:rPr>
          <w:t>https://doi.org/10.1016/j.comppsych.2014.07.008</w:t>
        </w:r>
      </w:hyperlink>
      <w:r w:rsidRPr="004D46AC">
        <w:rPr>
          <w:rFonts w:ascii="Arial" w:hAnsi="Arial" w:cs="Arial"/>
          <w:noProof/>
          <w:szCs w:val="22"/>
        </w:rPr>
        <w:t xml:space="preserve"> </w:t>
      </w:r>
    </w:p>
    <w:p w14:paraId="0831303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Woods, S. W., Powers, A. R., 3rd, Taylor, J. H., Davidson, C. A., Johannesen, J. K., Addington, J., Perkins, D. O., Bearden, C. E., Cadenhead, K. S., Cannon, T. D., Cornblatt, B. A., Seidman, L. J., Tsuang, M. T., Walker, E. F., &amp; McGlashan, T. H. (2018). Lack of Diagnostic Pluripotentiality in Patients at Clinical High Risk for Psychosis: Specificity of Comorbidity Persistence and Search for Pluripotential Subgroups.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44</w:t>
      </w:r>
      <w:r w:rsidRPr="004D46AC">
        <w:rPr>
          <w:rFonts w:ascii="Arial" w:hAnsi="Arial" w:cs="Arial"/>
          <w:noProof/>
          <w:szCs w:val="22"/>
        </w:rPr>
        <w:t xml:space="preserve">(2), 254–263. </w:t>
      </w:r>
      <w:hyperlink r:id="rId226" w:history="1">
        <w:r w:rsidRPr="004D46AC">
          <w:rPr>
            <w:rStyle w:val="af5"/>
            <w:rFonts w:ascii="Arial" w:hAnsi="Arial" w:cs="Arial"/>
            <w:noProof/>
            <w:szCs w:val="22"/>
          </w:rPr>
          <w:t>https://doi.org/10.1093/schbul/sbx138</w:t>
        </w:r>
      </w:hyperlink>
      <w:r w:rsidRPr="004D46AC">
        <w:rPr>
          <w:rFonts w:ascii="Arial" w:hAnsi="Arial" w:cs="Arial"/>
          <w:noProof/>
          <w:szCs w:val="22"/>
        </w:rPr>
        <w:t xml:space="preserve"> </w:t>
      </w:r>
    </w:p>
    <w:p w14:paraId="6213837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Xi, C., Xu, X., &amp; Wang, S. (2025). Predicting psychotic-like experiences among adolescents: the interplay of childhood trauma, cognitive biases, neuroticism, and depression. </w:t>
      </w:r>
      <w:r w:rsidRPr="004D46AC">
        <w:rPr>
          <w:rFonts w:ascii="Arial" w:hAnsi="Arial" w:cs="Arial"/>
          <w:i/>
          <w:noProof/>
          <w:szCs w:val="22"/>
        </w:rPr>
        <w:t>Child and Adolescent Psychiatry and Mental Health</w:t>
      </w:r>
      <w:r w:rsidRPr="004D46AC">
        <w:rPr>
          <w:rFonts w:ascii="Arial" w:hAnsi="Arial" w:cs="Arial"/>
          <w:noProof/>
          <w:szCs w:val="22"/>
        </w:rPr>
        <w:t>,</w:t>
      </w:r>
      <w:r w:rsidRPr="004D46AC">
        <w:rPr>
          <w:rFonts w:ascii="Arial" w:hAnsi="Arial" w:cs="Arial"/>
          <w:i/>
          <w:noProof/>
          <w:szCs w:val="22"/>
        </w:rPr>
        <w:t xml:space="preserve"> 19</w:t>
      </w:r>
      <w:r w:rsidRPr="004D46AC">
        <w:rPr>
          <w:rFonts w:ascii="Arial" w:hAnsi="Arial" w:cs="Arial"/>
          <w:noProof/>
          <w:szCs w:val="22"/>
        </w:rPr>
        <w:t xml:space="preserve">(1), 20. </w:t>
      </w:r>
      <w:hyperlink r:id="rId227" w:history="1">
        <w:r w:rsidRPr="004D46AC">
          <w:rPr>
            <w:rStyle w:val="af5"/>
            <w:rFonts w:ascii="Arial" w:hAnsi="Arial" w:cs="Arial"/>
            <w:noProof/>
            <w:szCs w:val="22"/>
          </w:rPr>
          <w:t>https://doi.org/10.1186/s13034-025-00878-5</w:t>
        </w:r>
      </w:hyperlink>
      <w:r w:rsidRPr="004D46AC">
        <w:rPr>
          <w:rFonts w:ascii="Arial" w:hAnsi="Arial" w:cs="Arial"/>
          <w:noProof/>
          <w:szCs w:val="22"/>
        </w:rPr>
        <w:t xml:space="preserve"> </w:t>
      </w:r>
    </w:p>
    <w:p w14:paraId="21A79C7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Xie, P., Wu, K., Zheng, Y., Guo, Y., Yang, Y., He, J., Ding, Y., &amp; Peng, H. (2018). Prevalence of childhood trauma and correlations between childhood trauma, suicidal ideation, and social support in patients with depression, bipolar disorder, and schizophrenia in southern China. </w:t>
      </w:r>
      <w:r w:rsidRPr="004D46AC">
        <w:rPr>
          <w:rFonts w:ascii="Arial" w:hAnsi="Arial" w:cs="Arial"/>
          <w:i/>
          <w:noProof/>
          <w:szCs w:val="22"/>
        </w:rPr>
        <w:t>J Affect Disord</w:t>
      </w:r>
      <w:r w:rsidRPr="004D46AC">
        <w:rPr>
          <w:rFonts w:ascii="Arial" w:hAnsi="Arial" w:cs="Arial"/>
          <w:noProof/>
          <w:szCs w:val="22"/>
        </w:rPr>
        <w:t>,</w:t>
      </w:r>
      <w:r w:rsidRPr="004D46AC">
        <w:rPr>
          <w:rFonts w:ascii="Arial" w:hAnsi="Arial" w:cs="Arial"/>
          <w:i/>
          <w:noProof/>
          <w:szCs w:val="22"/>
        </w:rPr>
        <w:t xml:space="preserve"> 228</w:t>
      </w:r>
      <w:r w:rsidRPr="004D46AC">
        <w:rPr>
          <w:rFonts w:ascii="Arial" w:hAnsi="Arial" w:cs="Arial"/>
          <w:noProof/>
          <w:szCs w:val="22"/>
        </w:rPr>
        <w:t xml:space="preserve">, 41–48. </w:t>
      </w:r>
      <w:hyperlink r:id="rId228" w:history="1">
        <w:r w:rsidRPr="004D46AC">
          <w:rPr>
            <w:rStyle w:val="af5"/>
            <w:rFonts w:ascii="Arial" w:hAnsi="Arial" w:cs="Arial"/>
            <w:noProof/>
            <w:szCs w:val="22"/>
          </w:rPr>
          <w:t>https://doi.org/10.1016/j.jad.2017.11.011</w:t>
        </w:r>
      </w:hyperlink>
      <w:r w:rsidRPr="004D46AC">
        <w:rPr>
          <w:rFonts w:ascii="Arial" w:hAnsi="Arial" w:cs="Arial"/>
          <w:noProof/>
          <w:szCs w:val="22"/>
        </w:rPr>
        <w:t xml:space="preserve"> </w:t>
      </w:r>
    </w:p>
    <w:p w14:paraId="362A3D1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Yalincetin, B., Bora, E., Binbay, T., Ulas, H., Akdede, B. B., &amp; Alptekin, K. (2017). Formal thought disorder in schizophrenia and bipolar disorder: A systematic review and meta-analysis.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185</w:t>
      </w:r>
      <w:r w:rsidRPr="004D46AC">
        <w:rPr>
          <w:rFonts w:ascii="Arial" w:hAnsi="Arial" w:cs="Arial"/>
          <w:noProof/>
          <w:szCs w:val="22"/>
        </w:rPr>
        <w:t xml:space="preserve">, 2–8. </w:t>
      </w:r>
      <w:hyperlink r:id="rId229" w:history="1">
        <w:r w:rsidRPr="004D46AC">
          <w:rPr>
            <w:rStyle w:val="af5"/>
            <w:rFonts w:ascii="Arial" w:hAnsi="Arial" w:cs="Arial"/>
            <w:noProof/>
            <w:szCs w:val="22"/>
          </w:rPr>
          <w:t>https://doi.org/10.1016/j.schres.2016.12.015</w:t>
        </w:r>
      </w:hyperlink>
      <w:r w:rsidRPr="004D46AC">
        <w:rPr>
          <w:rFonts w:ascii="Arial" w:hAnsi="Arial" w:cs="Arial"/>
          <w:noProof/>
          <w:szCs w:val="22"/>
        </w:rPr>
        <w:t xml:space="preserve"> </w:t>
      </w:r>
    </w:p>
    <w:p w14:paraId="0D76C6F2"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Yang, F., Hong, X., Tao, J., Chen, Y., Zhang, Y., &amp; Xiao, H. (2021). Hair cortisol, social support, personality traits, and clinical course: differences in schizophrenia and bipolar disorder. </w:t>
      </w:r>
      <w:r w:rsidRPr="004D46AC">
        <w:rPr>
          <w:rFonts w:ascii="Arial" w:hAnsi="Arial" w:cs="Arial"/>
          <w:i/>
          <w:noProof/>
          <w:szCs w:val="22"/>
        </w:rPr>
        <w:t>Brain Behav</w:t>
      </w:r>
      <w:r w:rsidRPr="004D46AC">
        <w:rPr>
          <w:rFonts w:ascii="Arial" w:hAnsi="Arial" w:cs="Arial"/>
          <w:noProof/>
          <w:szCs w:val="22"/>
        </w:rPr>
        <w:t>,</w:t>
      </w:r>
      <w:r w:rsidRPr="004D46AC">
        <w:rPr>
          <w:rFonts w:ascii="Arial" w:hAnsi="Arial" w:cs="Arial"/>
          <w:i/>
          <w:noProof/>
          <w:szCs w:val="22"/>
        </w:rPr>
        <w:t xml:space="preserve"> 11</w:t>
      </w:r>
      <w:r w:rsidRPr="004D46AC">
        <w:rPr>
          <w:rFonts w:ascii="Arial" w:hAnsi="Arial" w:cs="Arial"/>
          <w:noProof/>
          <w:szCs w:val="22"/>
        </w:rPr>
        <w:t xml:space="preserve">(12), e2412. </w:t>
      </w:r>
      <w:hyperlink r:id="rId230" w:history="1">
        <w:r w:rsidRPr="004D46AC">
          <w:rPr>
            <w:rStyle w:val="af5"/>
            <w:rFonts w:ascii="Arial" w:hAnsi="Arial" w:cs="Arial"/>
            <w:noProof/>
            <w:szCs w:val="22"/>
          </w:rPr>
          <w:t>https://doi.org/10.1002/brb3.2412</w:t>
        </w:r>
      </w:hyperlink>
      <w:r w:rsidRPr="004D46AC">
        <w:rPr>
          <w:rFonts w:ascii="Arial" w:hAnsi="Arial" w:cs="Arial"/>
          <w:noProof/>
          <w:szCs w:val="22"/>
        </w:rPr>
        <w:t xml:space="preserve"> </w:t>
      </w:r>
    </w:p>
    <w:p w14:paraId="20BAE3B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Yang, Y. H., Hallford, D. J., Villanueva-Romero, C. M., Hernández-Viadel, J. V., &amp; Ricarte, J. J. (2025). An Examination of Intolerance of Uncertainty in Schizophrenia. </w:t>
      </w:r>
      <w:r w:rsidRPr="004D46AC">
        <w:rPr>
          <w:rFonts w:ascii="Arial" w:hAnsi="Arial" w:cs="Arial"/>
          <w:i/>
          <w:noProof/>
          <w:szCs w:val="22"/>
        </w:rPr>
        <w:t>Clin Psychol Psychother</w:t>
      </w:r>
      <w:r w:rsidRPr="004D46AC">
        <w:rPr>
          <w:rFonts w:ascii="Arial" w:hAnsi="Arial" w:cs="Arial"/>
          <w:noProof/>
          <w:szCs w:val="22"/>
        </w:rPr>
        <w:t>,</w:t>
      </w:r>
      <w:r w:rsidRPr="004D46AC">
        <w:rPr>
          <w:rFonts w:ascii="Arial" w:hAnsi="Arial" w:cs="Arial"/>
          <w:i/>
          <w:noProof/>
          <w:szCs w:val="22"/>
        </w:rPr>
        <w:t xml:space="preserve"> 32</w:t>
      </w:r>
      <w:r w:rsidRPr="004D46AC">
        <w:rPr>
          <w:rFonts w:ascii="Arial" w:hAnsi="Arial" w:cs="Arial"/>
          <w:noProof/>
          <w:szCs w:val="22"/>
        </w:rPr>
        <w:t xml:space="preserve">(3), e70074. </w:t>
      </w:r>
      <w:hyperlink r:id="rId231" w:history="1">
        <w:r w:rsidRPr="004D46AC">
          <w:rPr>
            <w:rStyle w:val="af5"/>
            <w:rFonts w:ascii="Arial" w:hAnsi="Arial" w:cs="Arial"/>
            <w:noProof/>
            <w:szCs w:val="22"/>
          </w:rPr>
          <w:t>https://doi.org/10.1002/cpp.70074</w:t>
        </w:r>
      </w:hyperlink>
      <w:r w:rsidRPr="004D46AC">
        <w:rPr>
          <w:rFonts w:ascii="Arial" w:hAnsi="Arial" w:cs="Arial"/>
          <w:noProof/>
          <w:szCs w:val="22"/>
        </w:rPr>
        <w:t xml:space="preserve"> </w:t>
      </w:r>
    </w:p>
    <w:p w14:paraId="3CBFC1D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Ye, H., Chen, C., Chen, S., Jiang, N., Cai, Z., Liu, Y., Li, Y., Huang, Y., Yu, W., You, R., Liao, H., &amp; Fan, F. (2025). Profiles of Intolerance of Uncertainty Among 108,540 Adolescents: Associations with Sociodemographic Variables and Mental Health. </w:t>
      </w:r>
      <w:r w:rsidRPr="004D46AC">
        <w:rPr>
          <w:rFonts w:ascii="Arial" w:hAnsi="Arial" w:cs="Arial"/>
          <w:i/>
          <w:noProof/>
          <w:szCs w:val="22"/>
        </w:rPr>
        <w:t>Child Psychiatry &amp; Human Development</w:t>
      </w:r>
      <w:r w:rsidRPr="004D46AC">
        <w:rPr>
          <w:rFonts w:ascii="Arial" w:hAnsi="Arial" w:cs="Arial"/>
          <w:noProof/>
          <w:szCs w:val="22"/>
        </w:rPr>
        <w:t>,</w:t>
      </w:r>
      <w:r w:rsidRPr="004D46AC">
        <w:rPr>
          <w:rFonts w:ascii="Arial" w:hAnsi="Arial" w:cs="Arial"/>
          <w:i/>
          <w:noProof/>
          <w:szCs w:val="22"/>
        </w:rPr>
        <w:t xml:space="preserve"> 56</w:t>
      </w:r>
      <w:r w:rsidRPr="004D46AC">
        <w:rPr>
          <w:rFonts w:ascii="Arial" w:hAnsi="Arial" w:cs="Arial"/>
          <w:noProof/>
          <w:szCs w:val="22"/>
        </w:rPr>
        <w:t xml:space="preserve">(3), 715–727. </w:t>
      </w:r>
      <w:hyperlink r:id="rId232" w:history="1">
        <w:r w:rsidRPr="004D46AC">
          <w:rPr>
            <w:rStyle w:val="af5"/>
            <w:rFonts w:ascii="Arial" w:hAnsi="Arial" w:cs="Arial"/>
            <w:noProof/>
            <w:szCs w:val="22"/>
          </w:rPr>
          <w:t>https://doi.org/10.1007/s10578-023-01603-z</w:t>
        </w:r>
      </w:hyperlink>
      <w:r w:rsidRPr="004D46AC">
        <w:rPr>
          <w:rFonts w:ascii="Arial" w:hAnsi="Arial" w:cs="Arial"/>
          <w:noProof/>
          <w:szCs w:val="22"/>
        </w:rPr>
        <w:t xml:space="preserve"> </w:t>
      </w:r>
    </w:p>
    <w:p w14:paraId="237C62CC"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Yu, H., Ni, P., Zhao, L., Tian, Y., Li, M., Li, X., Wei, W., Wei, J., Deng, W., Du, X., Wang, Q., Guo, W., Ma, X., Coid, J., &amp; Li, T. (2023). Decreased plasma neuropeptides in first-episode schizophrenia, bipolar disorder, major depressive disorder: associations with clinical symptoms and cognitive function [Original Research]. </w:t>
      </w:r>
      <w:r w:rsidRPr="004D46AC">
        <w:rPr>
          <w:rFonts w:ascii="Arial" w:hAnsi="Arial" w:cs="Arial"/>
          <w:i/>
          <w:noProof/>
          <w:szCs w:val="22"/>
        </w:rPr>
        <w:t>Front Psychiatry</w:t>
      </w:r>
      <w:r w:rsidRPr="004D46AC">
        <w:rPr>
          <w:rFonts w:ascii="Arial" w:hAnsi="Arial" w:cs="Arial"/>
          <w:noProof/>
          <w:szCs w:val="22"/>
        </w:rPr>
        <w:t>,</w:t>
      </w:r>
      <w:r w:rsidRPr="004D46AC">
        <w:rPr>
          <w:rFonts w:ascii="Arial" w:hAnsi="Arial" w:cs="Arial"/>
          <w:i/>
          <w:noProof/>
          <w:szCs w:val="22"/>
        </w:rPr>
        <w:t xml:space="preserve"> 14</w:t>
      </w:r>
      <w:r w:rsidRPr="004D46AC">
        <w:rPr>
          <w:rFonts w:ascii="Arial" w:hAnsi="Arial" w:cs="Arial"/>
          <w:noProof/>
          <w:szCs w:val="22"/>
        </w:rPr>
        <w:t xml:space="preserve">, 1180720. </w:t>
      </w:r>
      <w:hyperlink r:id="rId233" w:history="1">
        <w:r w:rsidRPr="004D46AC">
          <w:rPr>
            <w:rStyle w:val="af5"/>
            <w:rFonts w:ascii="Arial" w:hAnsi="Arial" w:cs="Arial"/>
            <w:noProof/>
            <w:szCs w:val="22"/>
          </w:rPr>
          <w:t>https://doi.org/10.3389/fpsyt.2023.1180720</w:t>
        </w:r>
      </w:hyperlink>
      <w:r w:rsidRPr="004D46AC">
        <w:rPr>
          <w:rFonts w:ascii="Arial" w:hAnsi="Arial" w:cs="Arial"/>
          <w:noProof/>
          <w:szCs w:val="22"/>
        </w:rPr>
        <w:t xml:space="preserve"> </w:t>
      </w:r>
    </w:p>
    <w:p w14:paraId="75E6F21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Yuksel, C., Yilmaz, S., Nesbit, A., Carkaxhiu, G., Ravichandran, C., Salvatore, P., Pingali, S., Cohen, B., &amp; Ongur, D. (2018). Demographic and clinical characteristics associated with a history of bizarre delusions in a cross-diagnostic sample of individuals with psychotic disorders. </w:t>
      </w:r>
      <w:r w:rsidRPr="004D46AC">
        <w:rPr>
          <w:rFonts w:ascii="Arial" w:hAnsi="Arial" w:cs="Arial"/>
          <w:i/>
          <w:noProof/>
          <w:szCs w:val="22"/>
        </w:rPr>
        <w:t>Asian J Psychiatr</w:t>
      </w:r>
      <w:r w:rsidRPr="004D46AC">
        <w:rPr>
          <w:rFonts w:ascii="Arial" w:hAnsi="Arial" w:cs="Arial"/>
          <w:noProof/>
          <w:szCs w:val="22"/>
        </w:rPr>
        <w:t>,</w:t>
      </w:r>
      <w:r w:rsidRPr="004D46AC">
        <w:rPr>
          <w:rFonts w:ascii="Arial" w:hAnsi="Arial" w:cs="Arial"/>
          <w:i/>
          <w:noProof/>
          <w:szCs w:val="22"/>
        </w:rPr>
        <w:t xml:space="preserve"> 31</w:t>
      </w:r>
      <w:r w:rsidRPr="004D46AC">
        <w:rPr>
          <w:rFonts w:ascii="Arial" w:hAnsi="Arial" w:cs="Arial"/>
          <w:noProof/>
          <w:szCs w:val="22"/>
        </w:rPr>
        <w:t xml:space="preserve">, 82–85. </w:t>
      </w:r>
      <w:hyperlink r:id="rId234" w:history="1">
        <w:r w:rsidRPr="004D46AC">
          <w:rPr>
            <w:rStyle w:val="af5"/>
            <w:rFonts w:ascii="Arial" w:hAnsi="Arial" w:cs="Arial"/>
            <w:noProof/>
            <w:szCs w:val="22"/>
          </w:rPr>
          <w:t>https://doi.org/10.1016/j.ajp.2018.02.011</w:t>
        </w:r>
      </w:hyperlink>
      <w:r w:rsidRPr="004D46AC">
        <w:rPr>
          <w:rFonts w:ascii="Arial" w:hAnsi="Arial" w:cs="Arial"/>
          <w:noProof/>
          <w:szCs w:val="22"/>
        </w:rPr>
        <w:t xml:space="preserve"> </w:t>
      </w:r>
    </w:p>
    <w:p w14:paraId="37E24F39"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Yung, A. R., McGorry, P. D., McFarlane, C. A., Jackson, H. J., Patton, G. C., &amp; Rakkar, A. (1996). Monitoring and care of young people at incipient risk of psychosis. </w:t>
      </w:r>
      <w:r w:rsidRPr="004D46AC">
        <w:rPr>
          <w:rFonts w:ascii="Arial" w:hAnsi="Arial" w:cs="Arial"/>
          <w:i/>
          <w:noProof/>
          <w:szCs w:val="22"/>
        </w:rPr>
        <w:t>Schizophr Bull</w:t>
      </w:r>
      <w:r w:rsidRPr="004D46AC">
        <w:rPr>
          <w:rFonts w:ascii="Arial" w:hAnsi="Arial" w:cs="Arial"/>
          <w:noProof/>
          <w:szCs w:val="22"/>
        </w:rPr>
        <w:t>,</w:t>
      </w:r>
      <w:r w:rsidRPr="004D46AC">
        <w:rPr>
          <w:rFonts w:ascii="Arial" w:hAnsi="Arial" w:cs="Arial"/>
          <w:i/>
          <w:noProof/>
          <w:szCs w:val="22"/>
        </w:rPr>
        <w:t xml:space="preserve"> 22</w:t>
      </w:r>
      <w:r w:rsidRPr="004D46AC">
        <w:rPr>
          <w:rFonts w:ascii="Arial" w:hAnsi="Arial" w:cs="Arial"/>
          <w:noProof/>
          <w:szCs w:val="22"/>
        </w:rPr>
        <w:t xml:space="preserve">(2), 283–303. </w:t>
      </w:r>
      <w:hyperlink r:id="rId235" w:history="1">
        <w:r w:rsidRPr="004D46AC">
          <w:rPr>
            <w:rStyle w:val="af5"/>
            <w:rFonts w:ascii="Arial" w:hAnsi="Arial" w:cs="Arial"/>
            <w:noProof/>
            <w:szCs w:val="22"/>
          </w:rPr>
          <w:t>https://doi.org/10.1093/schbul/22.2.283</w:t>
        </w:r>
      </w:hyperlink>
      <w:r w:rsidRPr="004D46AC">
        <w:rPr>
          <w:rFonts w:ascii="Arial" w:hAnsi="Arial" w:cs="Arial"/>
          <w:noProof/>
          <w:szCs w:val="22"/>
        </w:rPr>
        <w:t xml:space="preserve"> </w:t>
      </w:r>
    </w:p>
    <w:p w14:paraId="000602B8"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Yung, A. R., Phillips, L. J., Yuen, H. P., Francey, S. M., McFarlane, C. A., Hallgren, M., &amp; McGorry, P. D. (2003). Psychosis prediction: 12-month follow up of a high-risk ("prodromal") group. </w:t>
      </w:r>
      <w:r w:rsidRPr="004D46AC">
        <w:rPr>
          <w:rFonts w:ascii="Arial" w:hAnsi="Arial" w:cs="Arial"/>
          <w:i/>
          <w:noProof/>
          <w:szCs w:val="22"/>
        </w:rPr>
        <w:t>Schizophr Res</w:t>
      </w:r>
      <w:r w:rsidRPr="004D46AC">
        <w:rPr>
          <w:rFonts w:ascii="Arial" w:hAnsi="Arial" w:cs="Arial"/>
          <w:noProof/>
          <w:szCs w:val="22"/>
        </w:rPr>
        <w:t>,</w:t>
      </w:r>
      <w:r w:rsidRPr="004D46AC">
        <w:rPr>
          <w:rFonts w:ascii="Arial" w:hAnsi="Arial" w:cs="Arial"/>
          <w:i/>
          <w:noProof/>
          <w:szCs w:val="22"/>
        </w:rPr>
        <w:t xml:space="preserve"> 60</w:t>
      </w:r>
      <w:r w:rsidRPr="004D46AC">
        <w:rPr>
          <w:rFonts w:ascii="Arial" w:hAnsi="Arial" w:cs="Arial"/>
          <w:noProof/>
          <w:szCs w:val="22"/>
        </w:rPr>
        <w:t xml:space="preserve">(1), 21–32. </w:t>
      </w:r>
      <w:hyperlink r:id="rId236" w:history="1">
        <w:r w:rsidRPr="004D46AC">
          <w:rPr>
            <w:rStyle w:val="af5"/>
            <w:rFonts w:ascii="Arial" w:hAnsi="Arial" w:cs="Arial"/>
            <w:noProof/>
            <w:szCs w:val="22"/>
          </w:rPr>
          <w:t>https://doi.org/10.1016/s0920-9964(02)00167-6</w:t>
        </w:r>
      </w:hyperlink>
      <w:r w:rsidRPr="004D46AC">
        <w:rPr>
          <w:rFonts w:ascii="Arial" w:hAnsi="Arial" w:cs="Arial"/>
          <w:noProof/>
          <w:szCs w:val="22"/>
        </w:rPr>
        <w:t xml:space="preserve"> </w:t>
      </w:r>
    </w:p>
    <w:p w14:paraId="01A30B7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Yung, A. R., Yung, A. R., Pan Yuen, H., McGorry, P. D., Phillips, L. J., Kelly, D., Dell'olio, M., Francey, S. M., Cosgrave, E. M., Killackey, E., Stanford, C., Godfrey, K., &amp; Buckby, J. (2005). Mapping the Onset of Psychosis: The Comprehensive Assessment of At-Risk Mental States. </w:t>
      </w:r>
      <w:r w:rsidRPr="004D46AC">
        <w:rPr>
          <w:rFonts w:ascii="Arial" w:hAnsi="Arial" w:cs="Arial"/>
          <w:i/>
          <w:noProof/>
          <w:szCs w:val="22"/>
        </w:rPr>
        <w:t>Australian &amp; New Zealand Journal of Psychiatry</w:t>
      </w:r>
      <w:r w:rsidRPr="004D46AC">
        <w:rPr>
          <w:rFonts w:ascii="Arial" w:hAnsi="Arial" w:cs="Arial"/>
          <w:noProof/>
          <w:szCs w:val="22"/>
        </w:rPr>
        <w:t>,</w:t>
      </w:r>
      <w:r w:rsidRPr="004D46AC">
        <w:rPr>
          <w:rFonts w:ascii="Arial" w:hAnsi="Arial" w:cs="Arial"/>
          <w:i/>
          <w:noProof/>
          <w:szCs w:val="22"/>
        </w:rPr>
        <w:t xml:space="preserve"> 39</w:t>
      </w:r>
      <w:r w:rsidRPr="004D46AC">
        <w:rPr>
          <w:rFonts w:ascii="Arial" w:hAnsi="Arial" w:cs="Arial"/>
          <w:noProof/>
          <w:szCs w:val="22"/>
        </w:rPr>
        <w:t xml:space="preserve">(11-12), 964–971. </w:t>
      </w:r>
      <w:hyperlink r:id="rId237" w:history="1">
        <w:r w:rsidRPr="004D46AC">
          <w:rPr>
            <w:rStyle w:val="af5"/>
            <w:rFonts w:ascii="Arial" w:hAnsi="Arial" w:cs="Arial"/>
            <w:noProof/>
            <w:szCs w:val="22"/>
          </w:rPr>
          <w:t>https://doi.org/10.1080/j.1440-1614.2005.01714.x</w:t>
        </w:r>
      </w:hyperlink>
      <w:r w:rsidRPr="004D46AC">
        <w:rPr>
          <w:rFonts w:ascii="Arial" w:hAnsi="Arial" w:cs="Arial"/>
          <w:noProof/>
          <w:szCs w:val="22"/>
        </w:rPr>
        <w:t xml:space="preserve"> </w:t>
      </w:r>
    </w:p>
    <w:p w14:paraId="66FC6831"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lastRenderedPageBreak/>
        <w:t xml:space="preserve">Zarse, E. M., R., N. M., Rachel, Y., Leslie, H., E., C. J., &amp; and Chambers, R. A. (2019). The adverse childhood experiences questionnaire: Two decades of research on childhood trauma as a primary cause of adult mental illness, addiction, and medical diseases. </w:t>
      </w:r>
      <w:r w:rsidRPr="004D46AC">
        <w:rPr>
          <w:rFonts w:ascii="Arial" w:hAnsi="Arial" w:cs="Arial"/>
          <w:i/>
          <w:noProof/>
          <w:szCs w:val="22"/>
        </w:rPr>
        <w:t>Cogent Medicine</w:t>
      </w:r>
      <w:r w:rsidRPr="004D46AC">
        <w:rPr>
          <w:rFonts w:ascii="Arial" w:hAnsi="Arial" w:cs="Arial"/>
          <w:noProof/>
          <w:szCs w:val="22"/>
        </w:rPr>
        <w:t>,</w:t>
      </w:r>
      <w:r w:rsidRPr="004D46AC">
        <w:rPr>
          <w:rFonts w:ascii="Arial" w:hAnsi="Arial" w:cs="Arial"/>
          <w:i/>
          <w:noProof/>
          <w:szCs w:val="22"/>
        </w:rPr>
        <w:t xml:space="preserve"> 6</w:t>
      </w:r>
      <w:r w:rsidRPr="004D46AC">
        <w:rPr>
          <w:rFonts w:ascii="Arial" w:hAnsi="Arial" w:cs="Arial"/>
          <w:noProof/>
          <w:szCs w:val="22"/>
        </w:rPr>
        <w:t xml:space="preserve">(1), 1581447. </w:t>
      </w:r>
      <w:hyperlink r:id="rId238" w:history="1">
        <w:r w:rsidRPr="004D46AC">
          <w:rPr>
            <w:rStyle w:val="af5"/>
            <w:rFonts w:ascii="Arial" w:hAnsi="Arial" w:cs="Arial"/>
            <w:noProof/>
            <w:szCs w:val="22"/>
          </w:rPr>
          <w:t>https://doi.org/10.1080/2331205X.2019.1581447</w:t>
        </w:r>
      </w:hyperlink>
      <w:r w:rsidRPr="004D46AC">
        <w:rPr>
          <w:rFonts w:ascii="Arial" w:hAnsi="Arial" w:cs="Arial"/>
          <w:noProof/>
          <w:szCs w:val="22"/>
        </w:rPr>
        <w:t xml:space="preserve"> </w:t>
      </w:r>
    </w:p>
    <w:p w14:paraId="7C36069E"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Zhou, L., Sommer, I. E. C., Yang, P., Sikirin, L., Os, J. v., Bentall, R. P., Varese, F., &amp; Begemann, M. J. H. (2025). What Do Four Decades of Research Tell Us About the Association Between Childhood Adversity and Psychosis: An Updated and Extended Multi-Level Meta-Analysis. </w:t>
      </w:r>
      <w:r w:rsidRPr="004D46AC">
        <w:rPr>
          <w:rFonts w:ascii="Arial" w:hAnsi="Arial" w:cs="Arial"/>
          <w:i/>
          <w:noProof/>
          <w:szCs w:val="22"/>
        </w:rPr>
        <w:t>American Journal of Psychiatry</w:t>
      </w:r>
      <w:r w:rsidRPr="004D46AC">
        <w:rPr>
          <w:rFonts w:ascii="Arial" w:hAnsi="Arial" w:cs="Arial"/>
          <w:noProof/>
          <w:szCs w:val="22"/>
        </w:rPr>
        <w:t>,</w:t>
      </w:r>
      <w:r w:rsidRPr="004D46AC">
        <w:rPr>
          <w:rFonts w:ascii="Arial" w:hAnsi="Arial" w:cs="Arial"/>
          <w:i/>
          <w:noProof/>
          <w:szCs w:val="22"/>
        </w:rPr>
        <w:t xml:space="preserve"> 182</w:t>
      </w:r>
      <w:r w:rsidRPr="004D46AC">
        <w:rPr>
          <w:rFonts w:ascii="Arial" w:hAnsi="Arial" w:cs="Arial"/>
          <w:noProof/>
          <w:szCs w:val="22"/>
        </w:rPr>
        <w:t xml:space="preserve">(4), 360–372. </w:t>
      </w:r>
      <w:hyperlink r:id="rId239" w:history="1">
        <w:r w:rsidRPr="004D46AC">
          <w:rPr>
            <w:rStyle w:val="af5"/>
            <w:rFonts w:ascii="Arial" w:hAnsi="Arial" w:cs="Arial"/>
            <w:noProof/>
            <w:szCs w:val="22"/>
          </w:rPr>
          <w:t>https://doi.org/10.1176/appi.ajp.20240456</w:t>
        </w:r>
      </w:hyperlink>
      <w:r w:rsidRPr="004D46AC">
        <w:rPr>
          <w:rFonts w:ascii="Arial" w:hAnsi="Arial" w:cs="Arial"/>
          <w:noProof/>
          <w:szCs w:val="22"/>
        </w:rPr>
        <w:t xml:space="preserve"> </w:t>
      </w:r>
    </w:p>
    <w:p w14:paraId="3FA8D05D"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Zhu, Y., Womer, F. Y., Leng, H., Chang, M., Yin, Z., Wei, Y.-g., Zhou, Q., Fu, S., Deng, X., Lv, J., Song, Y., Ma, Y., Sun, X., Bao, J., Wei, S., Jiang, X., Tan, S., Tang, Y., &amp; Wang, F. (2019). The Relationship Between Cognitive Dysfunction and Symptom Dimensions Across Schizophrenia, Bipolar Disorder, and Major Depressive Disorder. </w:t>
      </w:r>
      <w:r w:rsidRPr="004D46AC">
        <w:rPr>
          <w:rFonts w:ascii="Arial" w:hAnsi="Arial" w:cs="Arial"/>
          <w:i/>
          <w:noProof/>
          <w:szCs w:val="22"/>
        </w:rPr>
        <w:t>Frontiers in Psychiatry</w:t>
      </w:r>
      <w:r w:rsidRPr="004D46AC">
        <w:rPr>
          <w:rFonts w:ascii="Arial" w:hAnsi="Arial" w:cs="Arial"/>
          <w:noProof/>
          <w:szCs w:val="22"/>
        </w:rPr>
        <w:t>,</w:t>
      </w:r>
      <w:r w:rsidRPr="004D46AC">
        <w:rPr>
          <w:rFonts w:ascii="Arial" w:hAnsi="Arial" w:cs="Arial"/>
          <w:i/>
          <w:noProof/>
          <w:szCs w:val="22"/>
        </w:rPr>
        <w:t xml:space="preserve"> 10</w:t>
      </w:r>
      <w:r w:rsidRPr="004D46AC">
        <w:rPr>
          <w:rFonts w:ascii="Arial" w:hAnsi="Arial" w:cs="Arial"/>
          <w:noProof/>
          <w:szCs w:val="22"/>
        </w:rPr>
        <w:t xml:space="preserve">. </w:t>
      </w:r>
    </w:p>
    <w:p w14:paraId="4A4E4817" w14:textId="77777777" w:rsidR="003D5CB6" w:rsidRPr="004D46AC" w:rsidRDefault="003D5CB6" w:rsidP="00CC3324">
      <w:pPr>
        <w:pStyle w:val="EndNoteBibliography"/>
        <w:spacing w:line="360" w:lineRule="auto"/>
        <w:ind w:left="720" w:hanging="720"/>
        <w:rPr>
          <w:rFonts w:ascii="Arial" w:hAnsi="Arial" w:cs="Arial"/>
          <w:noProof/>
          <w:szCs w:val="22"/>
        </w:rPr>
      </w:pPr>
      <w:r w:rsidRPr="004D46AC">
        <w:rPr>
          <w:rFonts w:ascii="Arial" w:hAnsi="Arial" w:cs="Arial"/>
          <w:noProof/>
          <w:szCs w:val="22"/>
        </w:rPr>
        <w:t xml:space="preserve">Zigler, E., &amp; Phillips, L. (1961). Psychiatric diagnosis and symptomatology. </w:t>
      </w:r>
      <w:r w:rsidRPr="004D46AC">
        <w:rPr>
          <w:rFonts w:ascii="Arial" w:hAnsi="Arial" w:cs="Arial"/>
          <w:i/>
          <w:noProof/>
          <w:szCs w:val="22"/>
        </w:rPr>
        <w:t>The Journal of Abnormal and Social Psychology</w:t>
      </w:r>
      <w:r w:rsidRPr="004D46AC">
        <w:rPr>
          <w:rFonts w:ascii="Arial" w:hAnsi="Arial" w:cs="Arial"/>
          <w:noProof/>
          <w:szCs w:val="22"/>
        </w:rPr>
        <w:t>,</w:t>
      </w:r>
      <w:r w:rsidRPr="004D46AC">
        <w:rPr>
          <w:rFonts w:ascii="Arial" w:hAnsi="Arial" w:cs="Arial"/>
          <w:i/>
          <w:noProof/>
          <w:szCs w:val="22"/>
        </w:rPr>
        <w:t xml:space="preserve"> 63</w:t>
      </w:r>
      <w:r w:rsidRPr="004D46AC">
        <w:rPr>
          <w:rFonts w:ascii="Arial" w:hAnsi="Arial" w:cs="Arial"/>
          <w:noProof/>
          <w:szCs w:val="22"/>
        </w:rPr>
        <w:t xml:space="preserve">(1), 69–75. </w:t>
      </w:r>
      <w:hyperlink r:id="rId240" w:history="1">
        <w:r w:rsidRPr="004D46AC">
          <w:rPr>
            <w:rStyle w:val="af5"/>
            <w:rFonts w:ascii="Arial" w:hAnsi="Arial" w:cs="Arial"/>
            <w:noProof/>
            <w:szCs w:val="22"/>
          </w:rPr>
          <w:t>https://doi.org/10.1037/h0040375</w:t>
        </w:r>
      </w:hyperlink>
      <w:r w:rsidRPr="004D46AC">
        <w:rPr>
          <w:rFonts w:ascii="Arial" w:hAnsi="Arial" w:cs="Arial"/>
          <w:noProof/>
          <w:szCs w:val="22"/>
        </w:rPr>
        <w:t xml:space="preserve"> </w:t>
      </w:r>
    </w:p>
    <w:p w14:paraId="6585F825" w14:textId="77777777" w:rsidR="003D5CB6" w:rsidRPr="004D46AC" w:rsidRDefault="003D5CB6" w:rsidP="00CC3324">
      <w:pPr>
        <w:spacing w:line="360" w:lineRule="auto"/>
        <w:sectPr w:rsidR="003D5CB6" w:rsidRPr="004D46AC" w:rsidSect="003D5CB6">
          <w:pgSz w:w="11906" w:h="16838"/>
          <w:pgMar w:top="1440" w:right="1440" w:bottom="1440" w:left="1440" w:header="708" w:footer="708" w:gutter="0"/>
          <w:cols w:space="708"/>
          <w:docGrid w:linePitch="360"/>
        </w:sectPr>
      </w:pPr>
      <w:r w:rsidRPr="004D46AC">
        <w:fldChar w:fldCharType="end"/>
      </w:r>
    </w:p>
    <w:p w14:paraId="2E111478" w14:textId="2A3F4155" w:rsidR="003D5CB6" w:rsidRPr="004D46AC" w:rsidRDefault="003D5CB6">
      <w:pPr>
        <w:pStyle w:val="1"/>
        <w:numPr>
          <w:ilvl w:val="0"/>
          <w:numId w:val="23"/>
        </w:numPr>
        <w:rPr>
          <w:rFonts w:eastAsiaTheme="minorEastAsia"/>
        </w:rPr>
      </w:pPr>
      <w:bookmarkStart w:id="90" w:name="_Hlk157447623"/>
      <w:bookmarkStart w:id="91" w:name="_Toc219888760"/>
      <w:r w:rsidRPr="004D46AC">
        <w:lastRenderedPageBreak/>
        <w:t>Comorbid schizophrenia and psychotic symptoms in patients with bipolar disorder</w:t>
      </w:r>
      <w:bookmarkEnd w:id="90"/>
      <w:r w:rsidRPr="004D46AC">
        <w:rPr>
          <w:rFonts w:eastAsiaTheme="minorEastAsia" w:hint="eastAsia"/>
        </w:rPr>
        <w:t>s</w:t>
      </w:r>
      <w:r w:rsidRPr="004D46AC">
        <w:t>: A meta-analysis of the global literature</w:t>
      </w:r>
      <w:r w:rsidRPr="004D46AC">
        <w:rPr>
          <w:rStyle w:val="aff5"/>
        </w:rPr>
        <w:footnoteReference w:id="1"/>
      </w:r>
      <w:bookmarkEnd w:id="91"/>
    </w:p>
    <w:p w14:paraId="604B1D1A" w14:textId="77777777" w:rsidR="003D5CB6" w:rsidRPr="004D46AC" w:rsidRDefault="003D5CB6" w:rsidP="00B518F1">
      <w:pPr>
        <w:pStyle w:val="2"/>
      </w:pPr>
      <w:bookmarkStart w:id="92" w:name="_Toc219888761"/>
      <w:r w:rsidRPr="004D46AC">
        <w:t>Introduction</w:t>
      </w:r>
      <w:bookmarkEnd w:id="92"/>
    </w:p>
    <w:p w14:paraId="3CA862A9" w14:textId="77777777" w:rsidR="003D5CB6" w:rsidRPr="004D46AC" w:rsidRDefault="003D5CB6" w:rsidP="00B518F1">
      <w:r w:rsidRPr="004D46AC">
        <w:t xml:space="preserve">Following </w:t>
      </w:r>
      <w:r w:rsidRPr="004D46AC">
        <w:fldChar w:fldCharType="begin"/>
      </w:r>
      <w:r w:rsidRPr="004D46AC">
        <w:instrText xml:space="preserve"> ADDIN EN.CITE &lt;EndNote&gt;&lt;Cite AuthorYear="1"&gt;&lt;Author&gt;Kraepelin&lt;/Author&gt;&lt;Year&gt;1899&lt;/Year&gt;&lt;RecNum&gt;502&lt;/RecNum&gt;&lt;DisplayText&gt;Kraepelin (1899)&lt;/DisplayText&gt;&lt;record&gt;&lt;rec-number&gt;502&lt;/rec-number&gt;&lt;foreign-keys&gt;&lt;key app="EN" db-id="aet009sstawa0hewvt3xwf5atffdw2dt02sw" timestamp="1709051566"&gt;502&lt;/key&gt;&lt;/foreign-keys&gt;&lt;ref-type name="Book"&gt;6&lt;/ref-type&gt;&lt;contributors&gt;&lt;authors&gt;&lt;author&gt;Emil Kraepelin&lt;/author&gt;&lt;/authors&gt;&lt;/contributors&gt;&lt;titles&gt;&lt;title&gt;Psychiatry: A textbook for students and physicians.&lt;/title&gt;&lt;/titles&gt;&lt;volume&gt;Volume 1 &lt;/volume&gt;&lt;dates&gt;&lt;year&gt;1899&lt;/year&gt;&lt;/dates&gt;&lt;publisher&gt;Watson Publishing International&lt;/publisher&gt;&lt;urls&gt;&lt;/urls&gt;&lt;/record&gt;&lt;/Cite&gt;&lt;/EndNote&gt;</w:instrText>
      </w:r>
      <w:r w:rsidRPr="004D46AC">
        <w:fldChar w:fldCharType="separate"/>
      </w:r>
      <w:r w:rsidRPr="004D46AC">
        <w:rPr>
          <w:noProof/>
        </w:rPr>
        <w:t>Kraepelin (1899)</w:t>
      </w:r>
      <w:r w:rsidRPr="004D46AC">
        <w:fldChar w:fldCharType="end"/>
      </w:r>
      <w:r w:rsidRPr="004D46AC">
        <w:t xml:space="preserve"> proposal of a distinction between manic-depressive illness and dementia pr</w:t>
      </w:r>
      <w:r w:rsidRPr="004D46AC">
        <w:rPr>
          <w:rFonts w:eastAsiaTheme="minorEastAsia"/>
        </w:rPr>
        <w:t>ae</w:t>
      </w:r>
      <w:r w:rsidRPr="004D46AC">
        <w:t xml:space="preserve">cox, the boundaries between the two conditions have been extensively debated. In contemporary diagnostic manuals, which have been developed from Kraepelin’s model, bipolar spectrum disorder (BSD) is characterised by episodes of manic (e.g., euphoria, impulsivity, increased energy) and depressive symptoms (e.g., depressed mood, hopeless, fatigue), whereas schizophrenia is described in terms of altered thought processes and perceptions, especially delusions (i.e., fixed false beliefs), hallucinations (i.e., illusory perceptions) and negative symptoms such as avolition </w:t>
      </w:r>
      <w:r w:rsidRPr="004D46AC">
        <w:fldChar w:fldCharType="begin"/>
      </w:r>
      <w:r w:rsidRPr="004D46AC">
        <w:instrText xml:space="preserve"> ADDIN EN.CITE &lt;EndNote&gt;&lt;Cite&gt;&lt;Author&gt;WHO&lt;/Author&gt;&lt;Year&gt;2022&lt;/Year&gt;&lt;RecNum&gt;349&lt;/RecNum&gt;&lt;DisplayText&gt;(American Psychiatric Association, 2022; WHO, 2022)&lt;/DisplayText&gt;&lt;record&gt;&lt;rec-number&gt;349&lt;/rec-number&gt;&lt;foreign-keys&gt;&lt;key app="EN" db-id="aet009sstawa0hewvt3xwf5atffdw2dt02sw" timestamp="1685367538"&gt;349&lt;/key&gt;&lt;/foreign-keys&gt;&lt;ref-type name="Web Page"&gt;12&lt;/ref-type&gt;&lt;contributors&gt;&lt;authors&gt;&lt;author&gt;WHO&lt;/author&gt;&lt;/authors&gt;&lt;/contributors&gt;&lt;titles&gt;&lt;title&gt;ICD-11 for Mortality and Morbidity Statistics&lt;/title&gt;&lt;/titles&gt;&lt;dates&gt;&lt;year&gt;2022&lt;/year&gt;&lt;/dates&gt;&lt;urls&gt;&lt;related-urls&gt;&lt;url&gt;https://icd.who.int/browse11/l-m/en#/http://id.who.int/icd/entity/613065957&lt;/url&gt;&lt;/related-urls&gt;&lt;/urls&gt;&lt;/record&gt;&lt;/Cite&gt;&lt;Cite&gt;&lt;Author&gt;American Psychiatric Association&lt;/Author&gt;&lt;Year&gt;2022&lt;/Year&gt;&lt;RecNum&gt;340&lt;/RecNum&gt;&lt;record&gt;&lt;rec-number&gt;340&lt;/rec-number&gt;&lt;foreign-keys&gt;&lt;key app="EN" db-id="aet009sstawa0hewvt3xwf5atffdw2dt02sw" timestamp="1683987184"&gt;340&lt;/key&gt;&lt;/foreign-keys&gt;&lt;ref-type name="Book"&gt;6&lt;/ref-type&gt;&lt;contributors&gt;&lt;authors&gt;&lt;author&gt;American Psychiatric Association, issuing body&lt;/author&gt;&lt;/authors&gt;&lt;/contributors&gt;&lt;titles&gt;&lt;title&gt;Diagnostic and statistical manual of mental disorders : DSM-5-TR&lt;/title&gt;&lt;secondary-title&gt;DSM-5-TR&lt;/secondary-title&gt;&lt;/titles&gt;&lt;edition&gt;5th edition, text revision.&lt;/edition&gt;&lt;keywords&gt;&lt;keyword&gt;Mental illness -- Classification&lt;/keyword&gt;&lt;keyword&gt;Mental illness -- Diagnosis&lt;/keyword&gt;&lt;keyword&gt;Nosology&lt;/keyword&gt;&lt;keyword&gt;Psychodiagnostics&lt;/keyword&gt;&lt;keyword&gt;Diagnostic and statistical manual of mental disorders. 5th ed&lt;/keyword&gt;&lt;keyword&gt;DSM-5&lt;/keyword&gt;&lt;keyword&gt;DSM-V&lt;/keyword&gt;&lt;/keywords&gt;&lt;dates&gt;&lt;year&gt;2022&lt;/year&gt;&lt;/dates&gt;&lt;pub-location&gt;Washington, DC&lt;/pub-location&gt;&lt;publisher&gt;Washington, DC : American Psychiatric Association Publishing, 2022&lt;/publisher&gt;&lt;isbn&gt;0-89042-578-7&lt;/isbn&gt;&lt;urls&gt;&lt;/urls&gt;&lt;/record&gt;&lt;/Cite&gt;&lt;/EndNote&gt;</w:instrText>
      </w:r>
      <w:r w:rsidRPr="004D46AC">
        <w:fldChar w:fldCharType="separate"/>
      </w:r>
      <w:r w:rsidRPr="004D46AC">
        <w:rPr>
          <w:noProof/>
        </w:rPr>
        <w:t>(American Psychiatric Association, 2022; WHO, 2022)</w:t>
      </w:r>
      <w:r w:rsidRPr="004D46AC">
        <w:fldChar w:fldCharType="end"/>
      </w:r>
      <w:r w:rsidRPr="004D46AC">
        <w:t xml:space="preserve">. Although this distinction has been described as one of the cornerstones of modern psychiatry </w:t>
      </w:r>
      <w:r w:rsidRPr="004D46AC">
        <w:fldChar w:fldCharType="begin"/>
      </w:r>
      <w:r w:rsidRPr="004D46AC">
        <w:instrText xml:space="preserve"> ADDIN EN.CITE &lt;EndNote&gt;&lt;Cite&gt;&lt;Author&gt;Kendell&lt;/Author&gt;&lt;Year&gt;1991&lt;/Year&gt;&lt;RecNum&gt;419&lt;/RecNum&gt;&lt;DisplayText&gt;(Kendell, 1991)&lt;/DisplayText&gt;&lt;record&gt;&lt;rec-number&gt;419&lt;/rec-number&gt;&lt;foreign-keys&gt;&lt;key app="EN" db-id="aet009sstawa0hewvt3xwf5atffdw2dt02sw" timestamp="1698502721"&gt;419&lt;/key&gt;&lt;/foreign-keys&gt;&lt;ref-type name="Book Section"&gt;5&lt;/ref-type&gt;&lt;contributors&gt;&lt;authors&gt;&lt;author&gt;Kendell, Robert E.&lt;/author&gt;&lt;/authors&gt;&lt;/contributors&gt;&lt;titles&gt;&lt;title&gt;The major functional psychoses: Are they independent entities or part of a continuum? Philosophical and conceptual issues underlying the debate&lt;/title&gt;&lt;secondary-title&gt;Concepts of mental disorder: A continuing debate.&lt;/secondary-title&gt;&lt;/titles&gt;&lt;pages&gt;1-16&lt;/pages&gt;&lt;keywords&gt;&lt;keyword&gt;*Affective Psychosis&lt;/keyword&gt;&lt;keyword&gt;*Mental Disorders&lt;/keyword&gt;&lt;keyword&gt;*Schizophrenia&lt;/keyword&gt;&lt;keyword&gt;Philosophies&lt;/keyword&gt;&lt;keyword&gt;Theoretical Orientation&lt;/keyword&gt;&lt;/keywords&gt;&lt;dates&gt;&lt;year&gt;1991&lt;/year&gt;&lt;/dates&gt;&lt;pub-location&gt;London, England&lt;/pub-location&gt;&lt;publisher&gt;Gaskell/Royal College of Psychiatrists&lt;/publisher&gt;&lt;isbn&gt;0-902241-38-9 (Paperback); 0-88048-605-8 (Paperback)&lt;/isbn&gt;&lt;urls&gt;&lt;/urls&gt;&lt;/record&gt;&lt;/Cite&gt;&lt;/EndNote&gt;</w:instrText>
      </w:r>
      <w:r w:rsidRPr="004D46AC">
        <w:fldChar w:fldCharType="separate"/>
      </w:r>
      <w:r w:rsidRPr="004D46AC">
        <w:rPr>
          <w:noProof/>
        </w:rPr>
        <w:t>(Kendell, 1991)</w:t>
      </w:r>
      <w:r w:rsidRPr="004D46AC">
        <w:fldChar w:fldCharType="end"/>
      </w:r>
      <w:r w:rsidRPr="004D46AC">
        <w:t xml:space="preserve">, it has been persistently contested by those who have proposed alternative models,  or who have doubted the value of diagnostic classifications altogether </w:t>
      </w:r>
      <w:r w:rsidRPr="004D46AC">
        <w:fldChar w:fldCharType="begin"/>
      </w:r>
      <w:r w:rsidRPr="004D46AC">
        <w:instrText xml:space="preserve"> ADDIN EN.CITE &lt;EndNote&gt;&lt;Cite&gt;&lt;Author&gt;Bentall&lt;/Author&gt;&lt;Year&gt;2004&lt;/Year&gt;&lt;RecNum&gt;333&lt;/RecNum&gt;&lt;DisplayText&gt;(Bentall, 2004)&lt;/DisplayText&gt;&lt;record&gt;&lt;rec-number&gt;333&lt;/rec-number&gt;&lt;foreign-keys&gt;&lt;key app="EN" db-id="aet009sstawa0hewvt3xwf5atffdw2dt02sw" timestamp="1671711735"&gt;333&lt;/key&gt;&lt;/foreign-keys&gt;&lt;ref-type name="Book"&gt;6&lt;/ref-type&gt;&lt;contributors&gt;&lt;authors&gt;&lt;author&gt;Bentall, Richard P.&lt;/author&gt;&lt;/authors&gt;&lt;/contributors&gt;&lt;titles&gt;&lt;title&gt;Madness explained [electronic resource] : psychosis and human nature&lt;/title&gt;&lt;/titles&gt;&lt;keywords&gt;&lt;keyword&gt;Mental illness&lt;/keyword&gt;&lt;keyword&gt;Psychology, Pathological&lt;/keyword&gt;&lt;keyword&gt;Neurology&lt;/keyword&gt;&lt;keyword&gt;Brain -- Diseases&lt;/keyword&gt;&lt;keyword&gt;Criminal psychology&lt;/keyword&gt;&lt;keyword&gt;Mental health&lt;/keyword&gt;&lt;keyword&gt;Psychiatry&lt;/keyword&gt;&lt;keyword&gt;Psychoanalysis&lt;/keyword&gt;&lt;keyword&gt;Disabilities&lt;/keyword&gt;&lt;/keywords&gt;&lt;dates&gt;&lt;year&gt;2004&lt;/year&gt;&lt;/dates&gt;&lt;pub-location&gt;London&lt;/pub-location&gt;&lt;publisher&gt;London : Penguin, 2004&lt;/publisher&gt;&lt;isbn&gt;9780141909325&lt;/isbn&gt;&lt;urls&gt;&lt;/urls&gt;&lt;/record&gt;&lt;/Cite&gt;&lt;/EndNote&gt;</w:instrText>
      </w:r>
      <w:r w:rsidRPr="004D46AC">
        <w:fldChar w:fldCharType="separate"/>
      </w:r>
      <w:r w:rsidRPr="004D46AC">
        <w:rPr>
          <w:noProof/>
        </w:rPr>
        <w:t>(Bentall, 2004)</w:t>
      </w:r>
      <w:r w:rsidRPr="004D46AC">
        <w:fldChar w:fldCharType="end"/>
      </w:r>
      <w:r w:rsidRPr="004D46AC">
        <w:t xml:space="preserve">. For example, some authors have proposed a unitary psychosis model, in which BSD and schizophrenia are considered variants of the same disease </w:t>
      </w:r>
      <w:r w:rsidRPr="004D46AC">
        <w:fldChar w:fldCharType="begin"/>
      </w:r>
      <w:r w:rsidRPr="004D46AC">
        <w:instrText xml:space="preserve"> ADDIN EN.CITE &lt;EndNote&gt;&lt;Cite&gt;&lt;Author&gt;Berrios&lt;/Author&gt;&lt;Year&gt;1994&lt;/Year&gt;&lt;RecNum&gt;389&lt;/RecNum&gt;&lt;DisplayText&gt;(Berrios &amp;amp; Beer, 1994)&lt;/DisplayText&gt;&lt;record&gt;&lt;rec-number&gt;389&lt;/rec-number&gt;&lt;foreign-keys&gt;&lt;key app="EN" db-id="aet009sstawa0hewvt3xwf5atffdw2dt02sw" timestamp="1692240357"&gt;389&lt;/key&gt;&lt;/foreign-keys&gt;&lt;ref-type name="Journal Article"&gt;17&lt;/ref-type&gt;&lt;contributors&gt;&lt;authors&gt;&lt;author&gt;Berrios, G. E.&lt;/author&gt;&lt;author&gt;Beer, D.&lt;/author&gt;&lt;/authors&gt;&lt;/contributors&gt;&lt;titles&gt;&lt;title&gt;The notion of a unitary psychosis: a conceptual history&lt;/title&gt;&lt;secondary-title&gt;Hist Psychiatry&lt;/secondary-title&gt;&lt;/titles&gt;&lt;pages&gt;13-36&lt;/pages&gt;&lt;volume&gt;5&lt;/volume&gt;&lt;number&gt;17 Pt 1&lt;/number&gt;&lt;keywords&gt;&lt;keyword&gt;History, Modern 1601-&lt;/keyword&gt;&lt;keyword&gt;Humans&lt;/keyword&gt;&lt;keyword&gt;Psychotic Disorders/*history&lt;/keyword&gt;&lt;keyword&gt;Terminology as Topic&lt;/keyword&gt;&lt;/keywords&gt;&lt;dates&gt;&lt;year&gt;1994&lt;/year&gt;&lt;pub-dates&gt;&lt;date&gt;Mar&lt;/date&gt;&lt;/pub-dates&gt;&lt;/dates&gt;&lt;publisher&gt;SAGE Publications Ltd&lt;/publisher&gt;&lt;isbn&gt;0957-154X (Print)&amp;#xD;0957-154X (Linking)&lt;/isbn&gt;&lt;accession-num&gt;11639278&lt;/accession-num&gt;&lt;urls&gt;&lt;related-urls&gt;&lt;url&gt;https://www.ncbi.nlm.nih.gov/pubmed/11639278&lt;/url&gt;&lt;/related-urls&gt;&lt;/urls&gt;&lt;electronic-resource-num&gt;10.1177/0957154X9400501702&lt;/electronic-resource-num&gt;&lt;remote-database-name&gt;Medline&lt;/remote-database-name&gt;&lt;remote-database-provider&gt;HMD&lt;/remote-database-provider&gt;&lt;access-date&gt;2023/08/16&lt;/access-date&gt;&lt;/record&gt;&lt;/Cite&gt;&lt;/EndNote&gt;</w:instrText>
      </w:r>
      <w:r w:rsidRPr="004D46AC">
        <w:fldChar w:fldCharType="separate"/>
      </w:r>
      <w:r w:rsidRPr="004D46AC">
        <w:rPr>
          <w:noProof/>
        </w:rPr>
        <w:t>(Berrios &amp; Beer, 1994)</w:t>
      </w:r>
      <w:r w:rsidRPr="004D46AC">
        <w:fldChar w:fldCharType="end"/>
      </w:r>
      <w:r w:rsidRPr="004D46AC">
        <w:t xml:space="preserve">, some have proposed a third type of schizoaffective psychosis characterised by symptoms of both conditions </w:t>
      </w:r>
      <w:r w:rsidRPr="004D46AC">
        <w:fldChar w:fldCharType="begin"/>
      </w:r>
      <w:r w:rsidRPr="004D46AC">
        <w:instrText xml:space="preserve"> ADDIN EN.CITE &lt;EndNote&gt;&lt;Cite&gt;&lt;Author&gt;Kasanin&lt;/Author&gt;&lt;Year&gt;1994&lt;/Year&gt;&lt;RecNum&gt;420&lt;/RecNum&gt;&lt;DisplayText&gt;(Kasanin, 1994)&lt;/DisplayText&gt;&lt;record&gt;&lt;rec-number&gt;420&lt;/rec-number&gt;&lt;foreign-keys&gt;&lt;key app="EN" db-id="aet009sstawa0hewvt3xwf5atffdw2dt02sw" timestamp="1698502878"&gt;420&lt;/key&gt;&lt;/foreign-keys&gt;&lt;ref-type name="Journal Article"&gt;17&lt;/ref-type&gt;&lt;contributors&gt;&lt;authors&gt;&lt;author&gt;Kasanin, J.&lt;/author&gt;&lt;/authors&gt;&lt;/contributors&gt;&lt;titles&gt;&lt;title&gt;The acute schizoaffective psychoses. 1933&lt;/title&gt;&lt;secondary-title&gt;Am J Psychiatry&lt;/secondary-title&gt;&lt;/titles&gt;&lt;periodical&gt;&lt;full-title&gt;Am J Psychiatry&lt;/full-title&gt;&lt;/periodical&gt;&lt;pages&gt;144-54&lt;/pages&gt;&lt;volume&gt;151&lt;/volume&gt;&lt;number&gt;6 Suppl&lt;/number&gt;&lt;keywords&gt;&lt;keyword&gt;Acute Disease&lt;/keyword&gt;&lt;keyword&gt;History, 20th Century&lt;/keyword&gt;&lt;keyword&gt;Humans&lt;/keyword&gt;&lt;keyword&gt;Psychotic Disorders/*history&lt;/keyword&gt;&lt;/keywords&gt;&lt;dates&gt;&lt;year&gt;1994&lt;/year&gt;&lt;pub-dates&gt;&lt;date&gt;Jun&lt;/date&gt;&lt;/pub-dates&gt;&lt;/dates&gt;&lt;isbn&gt;0002-953X (Print)&amp;#xD;0002-953X (Linking)&lt;/isbn&gt;&lt;accession-num&gt;8192190&lt;/accession-num&gt;&lt;urls&gt;&lt;related-urls&gt;&lt;url&gt;https://www.ncbi.nlm.nih.gov/pubmed/8192190&lt;/url&gt;&lt;/related-urls&gt;&lt;/urls&gt;&lt;electronic-resource-num&gt;10.1176/ajp.151.6.144&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(Kasanin, 1994)</w:t>
      </w:r>
      <w:r w:rsidRPr="004D46AC">
        <w:fldChar w:fldCharType="end"/>
      </w:r>
      <w:r w:rsidRPr="004D46AC">
        <w:t xml:space="preserve">, and some have suggested that there is a boundaryless continuum between BSD and schizophrenia </w:t>
      </w:r>
      <w:r w:rsidRPr="004D46AC">
        <w:fldChar w:fldCharType="begin">
          <w:fldData xml:space="preserve">PEVuZE5vdGU+PENpdGU+PEF1dGhvcj5LZXNoYXZhbjwvQXV0aG9yPjxZZWFyPjIwMTE8L1llYXI+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 </w:instrText>
      </w:r>
      <w:r w:rsidRPr="004D46AC">
        <w:fldChar w:fldCharType="begin">
          <w:fldData xml:space="preserve">PEVuZE5vdGU+PENpdGU+PEF1dGhvcj5LZXNoYXZhbjwvQXV0aG9yPjxZZWFyPjIwMTE8L1llYXI+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EN.CITE.DATA </w:instrText>
      </w:r>
      <w:r w:rsidRPr="004D46AC">
        <w:fldChar w:fldCharType="end"/>
      </w:r>
      <w:r w:rsidRPr="004D46AC">
        <w:fldChar w:fldCharType="separate"/>
      </w:r>
      <w:r w:rsidRPr="004D46AC">
        <w:rPr>
          <w:noProof/>
        </w:rPr>
        <w:t>(Keshavan et al., 2011)</w:t>
      </w:r>
      <w:r w:rsidRPr="004D46AC">
        <w:fldChar w:fldCharType="end"/>
      </w:r>
      <w:r w:rsidRPr="004D46AC">
        <w:t xml:space="preserve">. </w:t>
      </w:r>
    </w:p>
    <w:p w14:paraId="22DDBCAC" w14:textId="77777777" w:rsidR="003D5CB6" w:rsidRPr="004D46AC" w:rsidRDefault="003D5CB6" w:rsidP="00B518F1">
      <w:r w:rsidRPr="004D46AC">
        <w:t>Similarities between BSD and schizophrenia are evident at many levels of analysis. For example, although empirical research has found a high level of global cognitive impairments in patients across the psychosis spectrum, some studies have attempted to identify specific profiles of neurocognitive dysfunction in the two groups.</w:t>
      </w:r>
      <w:r w:rsidRPr="004D46AC" w:rsidDel="006F5184">
        <w:t xml:space="preserve"> </w:t>
      </w:r>
      <w:r w:rsidRPr="004D46AC">
        <w:t xml:space="preserve"> However, there is evidence that these are more predicted by developmental difficulties than diagnosis </w:t>
      </w:r>
      <w:r w:rsidRPr="004D46AC">
        <w:fldChar w:fldCharType="begin">
          <w:fldData xml:space="preserve">PEVuZE5vdGU+PENpdGU+PEF1dGhvcj5Cb3JhPC9BdXRob3I+PFllYXI+MjAyMzwvWWVhcj48UmVj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=
</w:fldData>
        </w:fldChar>
      </w:r>
      <w:r w:rsidRPr="004D46AC">
        <w:instrText xml:space="preserve"> ADDIN EN.CITE </w:instrText>
      </w:r>
      <w:r w:rsidRPr="004D46AC">
        <w:fldChar w:fldCharType="begin">
          <w:fldData xml:space="preserve">PEVuZE5vdGU+PENpdGU+PEF1dGhvcj5Cb3JhPC9BdXRob3I+PFllYXI+MjAyMzwvWWVhcj48UmVj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=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rPr>
          <w:noProof/>
        </w:rPr>
        <w:t xml:space="preserve">(Bora et </w:t>
      </w:r>
      <w:r w:rsidRPr="004D46AC">
        <w:rPr>
          <w:noProof/>
        </w:rPr>
        <w:lastRenderedPageBreak/>
        <w:t>al., 2023)</w:t>
      </w:r>
      <w:r w:rsidRPr="004D46AC">
        <w:fldChar w:fldCharType="end"/>
      </w:r>
      <w:r w:rsidRPr="004D46AC">
        <w:t xml:space="preserve">. A recent meta-analysis examined executive functions indexed by reasoning capacities and semantic </w:t>
      </w:r>
      <w:proofErr w:type="gramStart"/>
      <w:r w:rsidRPr="004D46AC">
        <w:t>inhibition, and</w:t>
      </w:r>
      <w:proofErr w:type="gramEnd"/>
      <w:r w:rsidRPr="004D46AC">
        <w:t xml:space="preserve"> found that bipolar and schizophrenia patients were similarly impaired </w:t>
      </w:r>
      <w:r w:rsidRPr="004D46AC">
        <w:fldChar w:fldCharType="begin">
          <w:fldData xml:space="preserve">PEVuZE5vdGU+PENpdGU+PEF1dGhvcj5XYW5nPC9BdXRob3I+PFllYXI+MjAxMzwvWWVhcj48UmVj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</w:fldData>
        </w:fldChar>
      </w:r>
      <w:r w:rsidRPr="004D46AC">
        <w:instrText xml:space="preserve"> ADDIN EN.CITE </w:instrText>
      </w:r>
      <w:r w:rsidRPr="004D46AC">
        <w:fldChar w:fldCharType="begin">
          <w:fldData xml:space="preserve">PEVuZE5vdGU+PENpdGU+PEF1dGhvcj5XYW5nPC9BdXRob3I+PFllYXI+MjAxMzwvWWVhcj48UmVj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</w:fldData>
        </w:fldChar>
      </w:r>
      <w:r w:rsidRPr="004D46AC">
        <w:instrText xml:space="preserve"> ADDIN EN.CITE.DATA </w:instrText>
      </w:r>
      <w:r w:rsidRPr="004D46AC">
        <w:fldChar w:fldCharType="end"/>
      </w:r>
      <w:r w:rsidRPr="004D46AC">
        <w:fldChar w:fldCharType="separate"/>
      </w:r>
      <w:r w:rsidRPr="004D46AC">
        <w:rPr>
          <w:noProof/>
        </w:rPr>
        <w:t>(Wang et al., 2013)</w:t>
      </w:r>
      <w:r w:rsidRPr="004D46AC">
        <w:fldChar w:fldCharType="end"/>
      </w:r>
      <w:r w:rsidRPr="004D46AC">
        <w:t xml:space="preserve">. Similar impairments have also been reported for capacities relevant to executive function such as attention, abstract thinking, and working memory </w:t>
      </w:r>
      <w:r w:rsidRPr="004D46AC">
        <w:fldChar w:fldCharType="begin">
          <w:fldData xml:space="preserve">PEVuZE5vdGU+PENpdGU+PEF1dGhvcj5BbmNpbjwvQXV0aG9yPjxZZWFyPjIwMTM8L1llYXI+PFJl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</w:fldData>
        </w:fldChar>
      </w:r>
      <w:r w:rsidRPr="004D46AC">
        <w:instrText xml:space="preserve"> ADDIN EN.CITE </w:instrText>
      </w:r>
      <w:r w:rsidRPr="004D46AC">
        <w:fldChar w:fldCharType="begin">
          <w:fldData xml:space="preserve">PEVuZE5vdGU+PENpdGU+PEF1dGhvcj5BbmNpbjwvQXV0aG9yPjxZZWFyPjIwMTM8L1llYXI+PFJl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</w:fldData>
        </w:fldChar>
      </w:r>
      <w:r w:rsidRPr="004D46AC">
        <w:instrText xml:space="preserve"> ADDIN EN.CITE.DATA </w:instrText>
      </w:r>
      <w:r w:rsidRPr="004D46AC">
        <w:fldChar w:fldCharType="end"/>
      </w:r>
      <w:r w:rsidRPr="004D46AC">
        <w:fldChar w:fldCharType="separate"/>
      </w:r>
      <w:r w:rsidRPr="004D46AC">
        <w:rPr>
          <w:noProof/>
        </w:rPr>
        <w:t>(Ancin et al., 2013)</w:t>
      </w:r>
      <w:r w:rsidRPr="004D46AC">
        <w:fldChar w:fldCharType="end"/>
      </w:r>
      <w:r w:rsidRPr="004D46AC">
        <w:t>. Other neurocognitive studies have suggested that patients with schizophrenia are more severely impaired than bipolar patients on specific working memory tasks and that poorer motor speed and memory retrieval are reported in schizophrenia patients in the majority of the reviewed studies</w:t>
      </w:r>
      <w:r w:rsidRPr="004D46AC">
        <w:rPr>
          <w:rFonts w:eastAsiaTheme="minorEastAsia" w:hint="eastAsia"/>
        </w:rPr>
        <w:t xml:space="preserve"> </w:t>
      </w:r>
      <w:r w:rsidRPr="004D46AC">
        <w:fldChar w:fldCharType="begin">
          <w:fldData xml:space="preserve">PEVuZE5vdGU+PENpdGU+PEF1dGhvcj5LdXN3YW50bzwvQXV0aG9yPjxZZWFyPjIwMTY8L1llYXI+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 </w:instrText>
      </w:r>
      <w:r w:rsidRPr="004D46AC">
        <w:fldChar w:fldCharType="begin">
          <w:fldData xml:space="preserve">PEVuZE5vdGU+PENpdGU+PEF1dGhvcj5LdXN3YW50bzwvQXV0aG9yPjxZZWFyPjIwMTY8L1llYXI+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EN.CITE.DATA </w:instrText>
      </w:r>
      <w:r w:rsidRPr="004D46AC">
        <w:fldChar w:fldCharType="end"/>
      </w:r>
      <w:r w:rsidRPr="004D46AC">
        <w:fldChar w:fldCharType="separate"/>
      </w:r>
      <w:r w:rsidRPr="004D46AC">
        <w:rPr>
          <w:noProof/>
        </w:rPr>
        <w:t>(Kuswanto et al., 2016)</w:t>
      </w:r>
      <w:r w:rsidRPr="004D46AC">
        <w:fldChar w:fldCharType="end"/>
      </w:r>
      <w:r w:rsidRPr="004D46AC">
        <w:t>. Despite these general similarities and differences, cognitive impairments are heterogeneous across both populations, perhaps reflecting heterogeneity in both psychopathologies and research methods.</w:t>
      </w:r>
    </w:p>
    <w:p w14:paraId="2F9BCCB4" w14:textId="77777777" w:rsidR="003D5CB6" w:rsidRPr="004D46AC" w:rsidRDefault="003D5CB6" w:rsidP="00B518F1">
      <w:r w:rsidRPr="004D46AC">
        <w:t xml:space="preserve">Recent research has also highlighted similarities between the two conditions at the genetic level. Although high heritability estimates have been calculated for both BSD </w:t>
      </w:r>
      <w:r w:rsidRPr="004D46AC">
        <w:fldChar w:fldCharType="begin"/>
      </w:r>
      <w:r w:rsidRPr="004D46AC">
        <w:instrText xml:space="preserve"> ADDIN EN.CITE &lt;EndNote&gt;&lt;Cite&gt;&lt;Author&gt;Barnett&lt;/Author&gt;&lt;Year&gt;2009&lt;/Year&gt;&lt;RecNum&gt;422&lt;/RecNum&gt;&lt;DisplayText&gt;(Barnett &amp;amp; Smoller, 2009)&lt;/DisplayText&gt;&lt;record&gt;&lt;rec-number&gt;422&lt;/rec-number&gt;&lt;foreign-keys&gt;&lt;key app="EN" db-id="aet009sstawa0hewvt3xwf5atffdw2dt02sw" timestamp="1698504321"&gt;422&lt;/key&gt;&lt;/foreign-keys&gt;&lt;ref-type name="Journal Article"&gt;17&lt;/ref-type&gt;&lt;contributors&gt;&lt;authors&gt;&lt;author&gt;Barnett, J. H.&lt;/author&gt;&lt;author&gt;Smoller, J. W.&lt;/author&gt;&lt;/authors&gt;&lt;/contributors&gt;&lt;auth-address&gt;Center for Human Genetic Research, Department of Psychiatry, Massachusetts General Hospital, Boston, MA 02114, USA.&lt;/auth-address&gt;&lt;titles&gt;&lt;title&gt;The genetics of bipolar disorder&lt;/title&gt;&lt;secondary-title&gt;Neuroscience&lt;/secondary-title&gt;&lt;/titles&gt;&lt;periodical&gt;&lt;full-title&gt;Neuroscience&lt;/full-title&gt;&lt;/periodical&gt;&lt;pages&gt;331-43&lt;/pages&gt;&lt;volume&gt;164&lt;/volume&gt;&lt;number&gt;1&lt;/number&gt;&lt;edition&gt;20090407&lt;/edition&gt;&lt;keywords&gt;&lt;keyword&gt;Animals&lt;/keyword&gt;&lt;keyword&gt;Bipolar Disorder/diagnosis/epidemiology/*genetics&lt;/keyword&gt;&lt;keyword&gt;Genetic Predisposition to Disease&lt;/keyword&gt;&lt;keyword&gt;Humans&lt;/keyword&gt;&lt;/keywords&gt;&lt;dates&gt;&lt;year&gt;2009&lt;/year&gt;&lt;pub-dates&gt;&lt;date&gt;Nov 24&lt;/date&gt;&lt;/pub-dates&gt;&lt;/dates&gt;&lt;publisher&gt;Elsevier&lt;/publisher&gt;&lt;isbn&gt;1873-7544 (Electronic)&amp;#xD;0306-4522 (Print)&amp;#xD;0306-4522 (Linking)&lt;/isbn&gt;&lt;accession-num&gt;19358880&lt;/accession-num&gt;&lt;urls&gt;&lt;related-urls&gt;&lt;url&gt;https://www.ncbi.nlm.nih.gov/pubmed/19358880&lt;/url&gt;&lt;/related-urls&gt;&lt;/urls&gt;&lt;custom2&gt;PMC3637882&lt;/custom2&gt;&lt;electronic-resource-num&gt;10.1016/j.neuroscience.2009.03.080&lt;/electronic-resource-num&gt;&lt;remote-database-name&gt;Medline&lt;/remote-database-name&gt;&lt;remote-database-provider&gt;NLM&lt;/remote-database-provider&gt;&lt;access-date&gt;2023/10/28&lt;/access-date&gt;&lt;/record&gt;&lt;/Cite&gt;&lt;/EndNote&gt;</w:instrText>
      </w:r>
      <w:r w:rsidRPr="004D46AC">
        <w:fldChar w:fldCharType="separate"/>
      </w:r>
      <w:r w:rsidRPr="004D46AC">
        <w:rPr>
          <w:noProof/>
        </w:rPr>
        <w:t>(Barnett &amp; Smoller, 2009)</w:t>
      </w:r>
      <w:r w:rsidRPr="004D46AC">
        <w:fldChar w:fldCharType="end"/>
      </w:r>
      <w:r w:rsidRPr="004D46AC">
        <w:t xml:space="preserve"> and schizophrenia </w:t>
      </w:r>
      <w:r w:rsidRPr="004D46AC">
        <w:fldChar w:fldCharType="begin"/>
      </w:r>
      <w:r w:rsidRPr="004D46AC">
        <w:instrText xml:space="preserve"> ADDIN EN.CITE &lt;EndNote&gt;&lt;Cite&gt;&lt;Author&gt;Sullivan&lt;/Author&gt;&lt;Year&gt;2003&lt;/Year&gt;&lt;RecNum&gt;423&lt;/RecNum&gt;&lt;DisplayText&gt;(Sullivan et al., 2003)&lt;/DisplayText&gt;&lt;record&gt;&lt;rec-number&gt;423&lt;/rec-number&gt;&lt;foreign-keys&gt;&lt;key app="EN" db-id="aet009sstawa0hewvt3xwf5atffdw2dt02sw" timestamp="1698504537"&gt;423&lt;/key&gt;&lt;/foreign-keys&gt;&lt;ref-type name="Journal Article"&gt;17&lt;/ref-type&gt;&lt;contributors&gt;&lt;authors&gt;&lt;author&gt;Sullivan, P. F.&lt;/author&gt;&lt;author&gt;Kendler, K. S.&lt;/author&gt;&lt;author&gt;Neale, M. C.&lt;/author&gt;&lt;/authors&gt;&lt;/contributors&gt;&lt;auth-address&gt;Department of Genetics, University of North Carolina at Chapel Hill, 27599, USA. pfsulliv@med.unc.edu&lt;/auth-address&gt;&lt;titles&gt;&lt;title&gt;Schizophrenia as a complex trait: evidence from a meta-analysis of twin studies&lt;/title&gt;&lt;secondary-title&gt;Arch Gen Psychiatry&lt;/secondary-title&gt;&lt;/titles&gt;&lt;periodical&gt;&lt;full-title&gt;Arch Gen Psychiatry&lt;/full-title&gt;&lt;/periodical&gt;&lt;pages&gt;1187-92&lt;/pages&gt;&lt;volume&gt;60&lt;/volume&gt;&lt;number&gt;12&lt;/number&gt;&lt;keywords&gt;&lt;keyword&gt;Diseases in Twins/*genetics&lt;/keyword&gt;&lt;keyword&gt;Genetic Predisposition to Disease/*genetics&lt;/keyword&gt;&lt;keyword&gt;Humans&lt;/keyword&gt;&lt;keyword&gt;Risk Factors&lt;/keyword&gt;&lt;keyword&gt;Schizophrenia/*genetics&lt;/keyword&gt;&lt;keyword&gt;*Social Environment&lt;/keyword&gt;&lt;keyword&gt;Statistics as Topic&lt;/keyword&gt;&lt;keyword&gt;Twin Studies as Topic&lt;/keyword&gt;&lt;/keywords&gt;&lt;dates&gt;&lt;year&gt;2003&lt;/year&gt;&lt;pub-dates&gt;&lt;date&gt;Dec&lt;/date&gt;&lt;/pub-dates&gt;&lt;/dates&gt;&lt;isbn&gt;0003-990X (Print)&amp;#xD;0003-990X (Linking)&lt;/isbn&gt;&lt;accession-num&gt;14662550&lt;/accession-num&gt;&lt;urls&gt;&lt;related-urls&gt;&lt;url&gt;https://www.ncbi.nlm.nih.gov/pubmed/14662550&lt;/url&gt;&lt;/related-urls&gt;&lt;/urls&gt;&lt;electronic-resource-num&gt;10.1001/archpsyc.60.12.1187&lt;/electronic-resource-num&gt;&lt;remote-database-name&gt;Medline&lt;/remote-database-name&gt;&lt;remote-database-provider&gt;NLM&lt;/remote-database-provider&gt;&lt;/record&gt;&lt;/Cite&gt;&lt;/EndNote&gt;</w:instrText>
      </w:r>
      <w:r w:rsidRPr="004D46AC">
        <w:fldChar w:fldCharType="separate"/>
      </w:r>
      <w:r w:rsidRPr="004D46AC">
        <w:rPr>
          <w:noProof/>
        </w:rPr>
        <w:t>(Sullivan et al., 2003)</w:t>
      </w:r>
      <w:r w:rsidRPr="004D46AC">
        <w:fldChar w:fldCharType="end"/>
      </w:r>
      <w:r w:rsidRPr="004D46AC">
        <w:t xml:space="preserve">, family studies have shown that they are inter-heritable, so that there are elevated rates of schizophrenia in the close relatives of BSD patients and vice-versa </w:t>
      </w:r>
      <w:r w:rsidRPr="004D46AC">
        <w:fldChar w:fldCharType="begin">
          <w:fldData xml:space="preserve">PEVuZE5vdGU+PENpdGU+PEF1dGhvcj5WYW4gU25lbGxlbmJlcmc8L0F1dGhvcj48WWVhcj4yMDA5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</w:fldData>
        </w:fldChar>
      </w:r>
      <w:r w:rsidRPr="004D46AC">
        <w:instrText xml:space="preserve"> ADDIN EN.CITE </w:instrText>
      </w:r>
      <w:r w:rsidRPr="004D46AC">
        <w:fldChar w:fldCharType="begin">
          <w:fldData xml:space="preserve">PEVuZE5vdGU+PENpdGU+PEF1dGhvcj5WYW4gU25lbGxlbmJlcmc8L0F1dGhvcj48WWVhcj4yMDA5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</w:fldData>
        </w:fldChar>
      </w:r>
      <w:r w:rsidRPr="004D46AC">
        <w:instrText xml:space="preserve"> ADDIN EN.CITE.DATA </w:instrText>
      </w:r>
      <w:r w:rsidRPr="004D46AC">
        <w:fldChar w:fldCharType="end"/>
      </w:r>
      <w:r w:rsidRPr="004D46AC">
        <w:fldChar w:fldCharType="separate"/>
      </w:r>
      <w:r w:rsidRPr="004D46AC">
        <w:rPr>
          <w:noProof/>
        </w:rPr>
        <w:t>(Lichtenstein et al., 2009; Rasic et al., 2014; Van Snellenberg &amp; de Candia, 2009)</w:t>
      </w:r>
      <w:r w:rsidRPr="004D46AC">
        <w:fldChar w:fldCharType="end"/>
      </w:r>
      <w:r w:rsidRPr="004D46AC">
        <w:t xml:space="preserve">. Overlap between the two diagnostic groups has also been observed at the molecular level </w:t>
      </w:r>
      <w:r w:rsidRPr="004D46AC">
        <w:fldChar w:fldCharType="begin">
          <w:fldData xml:space="preserve">PEVuZE5vdGU+PENpdGU+PEF1dGhvcj5TY2h1bHplPC9BdXRob3I+PFllYXI+MjAxNDwvWWVhcj48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</w:fldData>
        </w:fldChar>
      </w:r>
      <w:r w:rsidRPr="004D46AC">
        <w:instrText xml:space="preserve"> ADDIN EN.CITE </w:instrText>
      </w:r>
      <w:r w:rsidRPr="004D46AC">
        <w:fldChar w:fldCharType="begin">
          <w:fldData xml:space="preserve">PEVuZE5vdGU+PENpdGU+PEF1dGhvcj5TY2h1bHplPC9BdXRob3I+PFllYXI+MjAxNDwvWWVhcj48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</w:fldData>
        </w:fldChar>
      </w:r>
      <w:r w:rsidRPr="004D46AC">
        <w:instrText xml:space="preserve"> ADDIN EN.CITE.DATA </w:instrText>
      </w:r>
      <w:r w:rsidRPr="004D46AC">
        <w:fldChar w:fldCharType="end"/>
      </w:r>
      <w:r w:rsidRPr="004D46AC">
        <w:fldChar w:fldCharType="separate"/>
      </w:r>
      <w:r w:rsidRPr="004D46AC">
        <w:rPr>
          <w:noProof/>
        </w:rPr>
        <w:t>(Cardno &amp; Owen, 2014; Schulze et al., 2014)</w:t>
      </w:r>
      <w:r w:rsidRPr="004D46AC">
        <w:fldChar w:fldCharType="end"/>
      </w:r>
      <w:r w:rsidRPr="004D46AC">
        <w:t>. For example, a recent large-scale study identified 114 shared genome wide association (GWA) loci between schizophrenia and bipolar patients</w:t>
      </w:r>
      <w:r w:rsidRPr="004D46AC">
        <w:fldChar w:fldCharType="begin">
          <w:fldData xml:space="preserve">PEVuZE5vdGU+PENpdGU+PEF1dGhvcj5CaXBvbGFyPC9BdXRob3I+PFllYXI+MjAxODwvWWVhcj48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==
</w:fldData>
        </w:fldChar>
      </w:r>
      <w:r w:rsidRPr="004D46AC">
        <w:instrText xml:space="preserve"> ADDIN EN.CITE </w:instrText>
      </w:r>
      <w:r w:rsidRPr="004D46AC">
        <w:fldChar w:fldCharType="begin">
          <w:fldData xml:space="preserve">PEVuZE5vdGU+PENpdGU+PEF1dGhvcj5CaXBvbGFyPC9BdXRob3I+PFllYXI+MjAxODwvWWVhcj48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==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(Bipolar et al., 2018)</w:t>
      </w:r>
      <w:r w:rsidRPr="004D46AC">
        <w:fldChar w:fldCharType="end"/>
      </w:r>
      <w:r w:rsidRPr="004D46AC">
        <w:t xml:space="preserve">, and similar findings have been reported elsewhere </w:t>
      </w:r>
      <w:r w:rsidRPr="004D46AC">
        <w:fldChar w:fldCharType="begin">
          <w:fldData xml:space="preserve">PEVuZE5vdGU+PENpdGU+PEF1dGhvcj5CaWdkZWxpPC9BdXRob3I+PFllYXI+MjAyMTwvWWVhcj48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</w:fldData>
        </w:fldChar>
      </w:r>
      <w:r w:rsidRPr="004D46AC">
        <w:instrText xml:space="preserve"> ADDIN EN.CITE </w:instrText>
      </w:r>
      <w:r w:rsidRPr="004D46AC">
        <w:fldChar w:fldCharType="begin">
          <w:fldData xml:space="preserve">PEVuZE5vdGU+PENpdGU+PEF1dGhvcj5CaWdkZWxpPC9BdXRob3I+PFllYXI+MjAyMTwvWWVhcj48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</w:fldData>
        </w:fldChar>
      </w:r>
      <w:r w:rsidRPr="004D46AC">
        <w:instrText xml:space="preserve"> ADDIN EN.CITE.DATA </w:instrText>
      </w:r>
      <w:r w:rsidRPr="004D46AC">
        <w:fldChar w:fldCharType="end"/>
      </w:r>
      <w:r w:rsidRPr="004D46AC">
        <w:fldChar w:fldCharType="separate"/>
      </w:r>
      <w:r w:rsidRPr="004D46AC">
        <w:rPr>
          <w:noProof/>
        </w:rPr>
        <w:t>(Bigdeli et al., 2021)</w:t>
      </w:r>
      <w:r w:rsidRPr="004D46AC">
        <w:fldChar w:fldCharType="end"/>
      </w:r>
      <w:r w:rsidRPr="004D46AC">
        <w:t xml:space="preserve">. Studies using polygenic risk scores support these conclusions. For example, individual with the highest schizophrenia PRS also have heightened bipolar PRS </w:t>
      </w:r>
      <w:r w:rsidRPr="004D46AC">
        <w:fldChar w:fldCharType="begin">
          <w:fldData xml:space="preserve">PEVuZE5vdGU+PENpdGU+PEF1dGhvcj5PaGk8L0F1dGhvcj48WWVhcj4yMDIzPC9ZZWFyPjxSZWNO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</w:fldData>
        </w:fldChar>
      </w:r>
      <w:r w:rsidRPr="004D46AC">
        <w:instrText xml:space="preserve"> ADDIN EN.CITE </w:instrText>
      </w:r>
      <w:r w:rsidRPr="004D46AC">
        <w:fldChar w:fldCharType="begin">
          <w:fldData xml:space="preserve">PEVuZE5vdGU+PENpdGU+PEF1dGhvcj5PaGk8L0F1dGhvcj48WWVhcj4yMDIzPC9ZZWFyPjxSZWNO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</w:fldData>
        </w:fldChar>
      </w:r>
      <w:r w:rsidRPr="004D46AC">
        <w:instrText xml:space="preserve"> ADDIN EN.CITE.DATA </w:instrText>
      </w:r>
      <w:r w:rsidRPr="004D46AC">
        <w:fldChar w:fldCharType="end"/>
      </w:r>
      <w:r w:rsidRPr="004D46AC">
        <w:fldChar w:fldCharType="separate"/>
      </w:r>
      <w:r w:rsidRPr="004D46AC">
        <w:rPr>
          <w:noProof/>
        </w:rPr>
        <w:t>(Ohi et al., 2023)</w:t>
      </w:r>
      <w:r w:rsidRPr="004D46AC">
        <w:fldChar w:fldCharType="end"/>
      </w:r>
      <w:r w:rsidRPr="004D46AC">
        <w:t xml:space="preserve">. </w:t>
      </w:r>
    </w:p>
    <w:p w14:paraId="0708F467" w14:textId="77777777" w:rsidR="003D5CB6" w:rsidRPr="004D46AC" w:rsidRDefault="003D5CB6" w:rsidP="00B518F1">
      <w:r w:rsidRPr="004D46AC">
        <w:t xml:space="preserve">Finally, the two conditions may also be similar in respect to social determinants. For example, in recent years there has been considerable research demonstrating that adversity and, in particular, interpersonal trauma in childhood, is a risk factor for psychosis </w:t>
      </w:r>
      <w:r w:rsidRPr="004D46AC">
        <w:fldChar w:fldCharType="begin">
          <w:fldData xml:space="preserve">PEVuZE5vdGU+PENpdGU+PEF1dGhvcj5WYXJlc2U8L0F1dGhvcj48WWVhcj4yMDEyPC9ZZWFyPjxS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</w:fldData>
        </w:fldChar>
      </w:r>
      <w:r w:rsidRPr="004D46AC">
        <w:instrText xml:space="preserve"> ADDIN EN.CITE </w:instrText>
      </w:r>
      <w:r w:rsidRPr="004D46AC">
        <w:fldChar w:fldCharType="begin">
          <w:fldData xml:space="preserve">PEVuZE5vdGU+PENpdGU+PEF1dGhvcj5WYXJlc2U8L0F1dGhvcj48WWVhcj4yMDEyPC9ZZWFyPjxS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</w:fldData>
        </w:fldChar>
      </w:r>
      <w:r w:rsidRPr="004D46AC">
        <w:instrText xml:space="preserve"> ADDIN EN.CITE.DATA </w:instrText>
      </w:r>
      <w:r w:rsidRPr="004D46AC">
        <w:fldChar w:fldCharType="end"/>
      </w:r>
      <w:r w:rsidRPr="004D46AC">
        <w:fldChar w:fldCharType="separate"/>
      </w:r>
      <w:r w:rsidRPr="004D46AC">
        <w:rPr>
          <w:noProof/>
        </w:rPr>
        <w:t>(Varese et al., 2012)</w:t>
      </w:r>
      <w:r w:rsidRPr="004D46AC">
        <w:fldChar w:fldCharType="end"/>
      </w:r>
      <w:r w:rsidRPr="004D46AC">
        <w:t xml:space="preserve">. Although fewer studies have been conducted on childhood trauma in BSD </w:t>
      </w:r>
      <w:r w:rsidRPr="004D46AC">
        <w:lastRenderedPageBreak/>
        <w:t xml:space="preserve">patients, those that are available have reported a similar association </w:t>
      </w:r>
      <w:r w:rsidRPr="004D46AC">
        <w:fldChar w:fldCharType="begin">
          <w:fldData xml:space="preserve">PEVuZE5vdGU+PENpdGU+PEF1dGhvcj5QYWxtaWVyLUNsYXVzPC9BdXRob3I+PFllYXI+MjAxNjwv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</w:fldData>
        </w:fldChar>
      </w:r>
      <w:r w:rsidRPr="004D46AC">
        <w:instrText xml:space="preserve"> ADDIN EN.CITE </w:instrText>
      </w:r>
      <w:r w:rsidRPr="004D46AC">
        <w:fldChar w:fldCharType="begin">
          <w:fldData xml:space="preserve">PEVuZE5vdGU+PENpdGU+PEF1dGhvcj5QYWxtaWVyLUNsYXVzPC9BdXRob3I+PFllYXI+MjAxNjwv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</w:fldData>
        </w:fldChar>
      </w:r>
      <w:r w:rsidRPr="004D46AC">
        <w:instrText xml:space="preserve"> ADDIN EN.CITE.DATA </w:instrText>
      </w:r>
      <w:r w:rsidRPr="004D46AC">
        <w:fldChar w:fldCharType="end"/>
      </w:r>
      <w:r w:rsidRPr="004D46AC">
        <w:fldChar w:fldCharType="separate"/>
      </w:r>
      <w:r w:rsidRPr="004D46AC">
        <w:rPr>
          <w:noProof/>
        </w:rPr>
        <w:t>(Palmier-Claus et al., 2016)</w:t>
      </w:r>
      <w:r w:rsidRPr="004D46AC">
        <w:fldChar w:fldCharType="end"/>
      </w:r>
      <w:r w:rsidRPr="004D46AC">
        <w:t xml:space="preserve">. </w:t>
      </w:r>
    </w:p>
    <w:p w14:paraId="7D94D32E" w14:textId="77777777" w:rsidR="003D5CB6" w:rsidRPr="004D46AC" w:rsidRDefault="003D5CB6" w:rsidP="00B518F1">
      <w:pPr>
        <w:rPr>
          <w:rFonts w:eastAsiaTheme="minorEastAsia"/>
        </w:rPr>
      </w:pPr>
      <w:r w:rsidRPr="004D46AC">
        <w:t xml:space="preserve">It is perhaps not surprising, therefore, that there have been reports of overlapping symptomology in the two conditions. Patients with a primary diagnosis of schizophrenia have been reported to experience manic and depressive symptoms, with varied prevalence across studies </w:t>
      </w:r>
      <w:r w:rsidRPr="004D46AC">
        <w:fldChar w:fldCharType="begin">
          <w:fldData xml:space="preserve">PEVuZE5vdGU+PENpdGU+PEF1dGhvcj5NYW5jdXNvPC9BdXRob3I+PFllYXI+MjAxNTwvWWVhcj48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</w:fldData>
        </w:fldChar>
      </w:r>
      <w:r w:rsidRPr="004D46AC">
        <w:instrText xml:space="preserve"> ADDIN EN.CITE </w:instrText>
      </w:r>
      <w:r w:rsidRPr="004D46AC">
        <w:fldChar w:fldCharType="begin">
          <w:fldData xml:space="preserve">PEVuZE5vdGU+PENpdGU+PEF1dGhvcj5NYW5jdXNvPC9BdXRob3I+PFllYXI+MjAxNTwvWWVhcj48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</w:fldData>
        </w:fldChar>
      </w:r>
      <w:r w:rsidRPr="004D46AC">
        <w:instrText xml:space="preserve"> ADDIN EN.CITE.DATA </w:instrText>
      </w:r>
      <w:r w:rsidRPr="004D46AC">
        <w:fldChar w:fldCharType="end"/>
      </w:r>
      <w:r w:rsidRPr="004D46AC">
        <w:fldChar w:fldCharType="separate"/>
      </w:r>
      <w:r w:rsidRPr="004D46AC">
        <w:rPr>
          <w:noProof/>
        </w:rPr>
        <w:t>(Mancuso et al., 2015; Mulholland &amp; Cooper, 2000)</w:t>
      </w:r>
      <w:r w:rsidRPr="004D46AC">
        <w:fldChar w:fldCharType="end"/>
      </w:r>
      <w:r w:rsidRPr="004D46AC">
        <w:t xml:space="preserve">. Similarly, the symptoms typically attributed to schizophrenia have been reported in BSD patients. For example, </w:t>
      </w:r>
      <w:r w:rsidRPr="004D46AC">
        <w:fldChar w:fldCharType="begin"/>
      </w:r>
      <w:r w:rsidRPr="004D46AC">
        <w:instrText xml:space="preserve"> ADDIN EN.CITE &lt;EndNote&gt;&lt;Cite AuthorYear="1"&gt;&lt;Author&gt;Black&lt;/Author&gt;&lt;Year&gt;2010&lt;/Year&gt;&lt;RecNum&gt;2&lt;/RecNum&gt;&lt;DisplayText&gt;Black and Nasrallah (2010)&lt;/DisplayText&gt;&lt;record&gt;&lt;rec-number&gt;2&lt;/rec-number&gt;&lt;foreign-keys&gt;&lt;key app="EN" db-id="as95atdata0v06ewsx9xvwdkdwrpr95fwzer" timestamp="1698502592"&gt;2&lt;/key&gt;&lt;/foreign-keys&gt;&lt;ref-type name="Journal Article"&gt;17&lt;/ref-type&gt;&lt;contributors&gt;&lt;authors&gt;&lt;author&gt;Black, Donald W.&lt;/author&gt;&lt;author&gt;Nasrallah, Amelia&lt;/author&gt;&lt;/authors&gt;&lt;/contributors&gt;&lt;titles&gt;&lt;title&gt;Hallucinations and Delusions in 1,715 Patients with Unipolar and Bipolar Affective Disorders&lt;/title&gt;&lt;secondary-title&gt;Psychopathology&lt;/secondary-title&gt;&lt;/titles&gt;&lt;pages&gt;28-34&lt;/pages&gt;&lt;volume&gt;22&lt;/volume&gt;&lt;number&gt;1&lt;/number&gt;&lt;dates&gt;&lt;year&gt;2010&lt;/year&gt;&lt;/dates&gt;&lt;isbn&gt;0254-4962&lt;/isbn&gt;&lt;urls&gt;&lt;related-urls&gt;&lt;url&gt;https://doi.org/10.1159/000284576&lt;/url&gt;&lt;/related-urls&gt;&lt;/urls&gt;&lt;electronic-resource-num&gt;10.1159/000284576&lt;/electronic-resource-num&gt;&lt;access-date&gt;6/23/2023&lt;/access-date&gt;&lt;/record&gt;&lt;/Cite&gt;&lt;/EndNote&gt;</w:instrText>
      </w:r>
      <w:r w:rsidRPr="004D46AC">
        <w:fldChar w:fldCharType="separate"/>
      </w:r>
      <w:r w:rsidRPr="004D46AC">
        <w:rPr>
          <w:noProof/>
        </w:rPr>
        <w:t>Black and Nasrallah (2010)</w:t>
      </w:r>
      <w:r w:rsidRPr="004D46AC">
        <w:fldChar w:fldCharType="end"/>
      </w:r>
      <w:r w:rsidRPr="004D46AC">
        <w:t xml:space="preserve"> reported a prevalence of current delusions of 36.15% in a large sample of bipolar patients, and even higher estimates have been reported when grandiose delusions are specifically considered.</w:t>
      </w:r>
      <w:r w:rsidRPr="004D46AC">
        <w:rPr>
          <w:rFonts w:eastAsiaTheme="minorEastAsia"/>
        </w:rPr>
        <w:t xml:space="preserve"> In a recent study, </w:t>
      </w:r>
      <w:r w:rsidRPr="004D46AC">
        <w:fldChar w:fldCharType="begin"/>
      </w:r>
      <w:r w:rsidRPr="004D46AC">
        <w:instrText xml:space="preserve"> ADDIN EN.CITE &lt;EndNote&gt;&lt;Cite AuthorYear="1"&gt;&lt;Author&gt;Shao&lt;/Author&gt;&lt;Year&gt;2024&lt;/Year&gt;&lt;RecNum&gt;757&lt;/RecNum&gt;&lt;DisplayText&gt;Shao et al. (2024)&lt;/DisplayText&gt;&lt;record&gt;&lt;rec-number&gt;757&lt;/rec-number&gt;&lt;foreign-keys&gt;&lt;key app="EN" db-id="aet009sstawa0hewvt3xwf5atffdw2dt02sw" timestamp="1728851689"&gt;757&lt;/key&gt;&lt;/foreign-keys&gt;&lt;ref-type name="Journal Article"&gt;17&lt;/ref-type&gt;&lt;contributors&gt;&lt;authors&gt;&lt;author&gt;Wen Shao &lt;/author&gt;&lt;author&gt;Melanie Simmonds-Buckley&lt;/author&gt;&lt;author&gt;Orestis Zavlis&lt;/author&gt;&lt;author&gt;Richard P Bentall&lt;/author&gt;&lt;/authors&gt;&lt;/contributors&gt;&lt;auth-address&gt;Department of Psychology, University of Sheffield, Sheffield S1 2LT, UK.&amp;#xD;Department of Psychology and Language Sciences, University College London, London WC1E 6BT, UK.&lt;/auth-address&gt;&lt;titles&gt;&lt;title&gt;The Common Structure of the Major Psychoses: More Similarities Than Differences in the Network Structures of Schizophrenia, Schizoaffective Disorder, and Psychotic Bipolar Disorder&lt;/title&gt;&lt;secondary-title&gt;Schizophr Bull&lt;/secondary-title&gt;&lt;/titles&gt;&lt;periodical&gt;&lt;full-title&gt;Schizophr Bull&lt;/full-title&gt;&lt;/periodical&gt;&lt;pages&gt;sbae154&lt;/pages&gt;&lt;edition&gt;20240911&lt;/edition&gt;&lt;keywords&gt;&lt;keyword&gt;bipolar&lt;/keyword&gt;&lt;keyword&gt;network&lt;/keyword&gt;&lt;keyword&gt;psychopathology&lt;/keyword&gt;&lt;keyword&gt;schizoaffective&lt;/keyword&gt;&lt;keyword&gt;schizophrenia&lt;/keyword&gt;&lt;/keywords&gt;&lt;dates&gt;&lt;year&gt;2024&lt;/year&gt;&lt;pub-dates&gt;&lt;date&gt;Sep 11&lt;/date&gt;&lt;/pub-dates&gt;&lt;/dates&gt;&lt;isbn&gt;1745-1701 (Electronic)&amp;#xD;0586-7614 (Linking)&lt;/isbn&gt;&lt;accession-num&gt;39259601&lt;/accession-num&gt;&lt;urls&gt;&lt;related-urls&gt;&lt;url&gt;https://www.ncbi.nlm.nih.gov/pubmed/39259601&lt;/url&gt;&lt;/related-urls&gt;&lt;/urls&gt;&lt;electronic-resource-num&gt;10.1093/schbul/sbae154&lt;/electronic-resource-num&gt;&lt;remote-database-name&gt;Publisher&lt;/remote-database-name&gt;&lt;remote-database-provider&gt;NLM&lt;/remote-database-provider&gt;&lt;access-date&gt;10/13/2024&lt;/access-date&gt;&lt;/record&gt;&lt;/Cite&gt;&lt;/EndNote&gt;</w:instrText>
      </w:r>
      <w:r w:rsidRPr="004D46AC">
        <w:fldChar w:fldCharType="separate"/>
      </w:r>
      <w:r w:rsidRPr="004D46AC">
        <w:rPr>
          <w:noProof/>
        </w:rPr>
        <w:t>Shao et al. (2024)</w:t>
      </w:r>
      <w:r w:rsidRPr="004D46AC">
        <w:fldChar w:fldCharType="end"/>
      </w:r>
      <w:r w:rsidRPr="004D46AC">
        <w:rPr>
          <w:rFonts w:eastAsiaTheme="minorEastAsia"/>
        </w:rPr>
        <w:t xml:space="preserve"> also identified highly similar symptom structures of mood and psychosis among patients diagnosed with schizophrenia, schizoaffective disorder, and psychotic BSD. Although existing diagnostic criteria emphasize the chronic nature of psychosis in schizophrenia, some studies have also found persistent psychosis and corresponding deficits in patients with BSD </w:t>
      </w:r>
      <w:r w:rsidRPr="004D46AC">
        <w:rPr>
          <w:rFonts w:eastAsiaTheme="minorEastAsia"/>
        </w:rPr>
        <w:fldChar w:fldCharType="begin">
          <w:fldData xml:space="preserve">PEVuZE5vdGU+PENpdGU+PEF1dGhvcj5Tb25nPC9BdXRob3I+PFllYXI+MjAxNTwvWWVhcj48UmVj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=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PEVuZE5vdGU+PENpdGU+PEF1dGhvcj5Tb25nPC9BdXRob3I+PFllYXI+MjAxNTwvWWVhcj48UmVj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=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(Dunayevich &amp; Keck, 2000; Song et al., 2015)</w:t>
      </w:r>
      <w:r w:rsidRPr="004D46AC">
        <w:rPr>
          <w:rFonts w:eastAsiaTheme="minorEastAsia"/>
        </w:rPr>
        <w:fldChar w:fldCharType="end"/>
      </w:r>
      <w:r w:rsidRPr="004D46AC">
        <w:rPr>
          <w:rFonts w:eastAsiaTheme="minorEastAsia"/>
        </w:rPr>
        <w:t>.</w:t>
      </w:r>
    </w:p>
    <w:p w14:paraId="51767BA7" w14:textId="77777777" w:rsidR="003D5CB6" w:rsidRPr="004D46AC" w:rsidRDefault="003D5CB6" w:rsidP="00B518F1">
      <w:r w:rsidRPr="004D46AC">
        <w:t xml:space="preserve">Given these considerable overlaps and complexities in their illness trajectories, comorbidity between BSD and schizophrenia over the course of illness has been increasingly documented. It is important to note that, when we use the term ‘comorbidity’ in this context, we are doing so in a theoretically neutral way, simply to indicate the extent to which individuals who meet the criteria for one disorder also meet the criteria for another, without prejudice as to whether the two conditions are one, or whether it is possible to suffer from two separate psychiatric disorders at the same time. Hence, this phenomenon is observed in various forms, including: (1) dual diagnoses of comorbid BSD and schizophrenia, where patients meet the diagnostic criteria for both conditions </w:t>
      </w:r>
      <w:r w:rsidRPr="004D46AC">
        <w:fldChar w:fldCharType="begin">
          <w:fldData xml:space="preserve">PEVuZE5vdGU+PENpdGU+PEF1dGhvcj5Ic3U8L0F1dGhvcj48WWVhcj4yMDE1PC9ZZWFyPjxSZWNO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</w:fldData>
        </w:fldChar>
      </w:r>
      <w:r w:rsidRPr="004D46AC">
        <w:instrText xml:space="preserve"> ADDIN EN.CITE </w:instrText>
      </w:r>
      <w:r w:rsidRPr="004D46AC">
        <w:fldChar w:fldCharType="begin">
          <w:fldData xml:space="preserve">PEVuZE5vdGU+PENpdGU+PEF1dGhvcj5Ic3U8L0F1dGhvcj48WWVhcj4yMDE1PC9ZZWFyPjxSZWNO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</w:fldData>
        </w:fldChar>
      </w:r>
      <w:r w:rsidRPr="004D46AC">
        <w:instrText xml:space="preserve"> ADDIN EN.CITE.DATA </w:instrText>
      </w:r>
      <w:r w:rsidRPr="004D46AC">
        <w:fldChar w:fldCharType="end"/>
      </w:r>
      <w:r w:rsidRPr="004D46AC">
        <w:fldChar w:fldCharType="separate"/>
      </w:r>
      <w:r w:rsidRPr="004D46AC">
        <w:rPr>
          <w:noProof/>
        </w:rPr>
        <w:t>(Abu Nazel et al., 2017; Hsu et al., 2015)</w:t>
      </w:r>
      <w:r w:rsidRPr="004D46AC">
        <w:fldChar w:fldCharType="end"/>
      </w:r>
      <w:r w:rsidRPr="004D46AC">
        <w:t>; (2) lifetime comorbidity, in which a patient diagnosed with BSD had a history of schizophrenia, or vice versa</w:t>
      </w:r>
      <w:r w:rsidRPr="004D46AC">
        <w:fldChar w:fldCharType="begin">
          <w:fldData xml:space="preserve">PEVuZE5vdGU+PENpdGU+PEF1dGhvcj5Hb29kd2luPC9BdXRob3I+PFllYXI+MjAwMjwvWWVhcj48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instrText xml:space="preserve"> ADDIN EN.CITE </w:instrText>
      </w:r>
      <w:r w:rsidRPr="004D46AC">
        <w:fldChar w:fldCharType="begin">
          <w:fldData xml:space="preserve">PEVuZE5vdGU+PENpdGU+PEF1dGhvcj5Hb29kd2luPC9BdXRob3I+PFllYXI+MjAwMjwvWWVhcj48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rPr>
          <w:noProof/>
        </w:rPr>
        <w:t>(Goodwin et al., 2002)</w:t>
      </w:r>
      <w:r w:rsidRPr="004D46AC">
        <w:fldChar w:fldCharType="end"/>
      </w:r>
      <w:r w:rsidRPr="004D46AC">
        <w:t>; and (3) diagnostic conversion, where a diagnosis of BSD may precede a diagnosis of schizophrenia</w:t>
      </w:r>
      <w:r w:rsidRPr="004D46AC">
        <w:fldChar w:fldCharType="begin">
          <w:fldData xml:space="preserve">PEVuZE5vdGU+PENpdGU+PEF1dGhvcj5Kb3JnZW5zZW48L0F1dGhvcj48WWVhcj4yMDE4PC9ZZWFy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</w:fldData>
        </w:fldChar>
      </w:r>
      <w:r w:rsidRPr="004D46AC">
        <w:instrText xml:space="preserve"> ADDIN EN.CITE </w:instrText>
      </w:r>
      <w:r w:rsidRPr="004D46AC">
        <w:fldChar w:fldCharType="begin">
          <w:fldData xml:space="preserve">PEVuZE5vdGU+PENpdGU+PEF1dGhvcj5Kb3JnZW5zZW48L0F1dGhvcj48WWVhcj4yMDE4PC9ZZWFy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</w:fldData>
        </w:fldChar>
      </w:r>
      <w:r w:rsidRPr="004D46AC">
        <w:instrText xml:space="preserve"> ADDIN EN.CITE.DATA </w:instrText>
      </w:r>
      <w:r w:rsidRPr="004D46AC">
        <w:fldChar w:fldCharType="end"/>
      </w:r>
      <w:r w:rsidRPr="004D46AC">
        <w:fldChar w:fldCharType="separate"/>
      </w:r>
      <w:r w:rsidRPr="004D46AC">
        <w:rPr>
          <w:noProof/>
        </w:rPr>
        <w:t>(Jorgensen et al., 2018)</w:t>
      </w:r>
      <w:r w:rsidRPr="004D46AC">
        <w:fldChar w:fldCharType="end"/>
      </w:r>
      <w:r w:rsidRPr="004D46AC">
        <w:t xml:space="preserve">; in a broader sense, it can also be observed (4) when features once considered </w:t>
      </w:r>
      <w:r w:rsidRPr="004D46AC">
        <w:lastRenderedPageBreak/>
        <w:t xml:space="preserve">distinctive to schizophrenia—such as first-rank symptoms and mood-incongruent psychotic features—are also prevalent in BSD </w:t>
      </w:r>
      <w:r w:rsidRPr="004D46AC">
        <w:fldChar w:fldCharType="begin"/>
      </w:r>
      <w:r w:rsidRPr="004D46AC">
        <w:instrText xml:space="preserve"> ADDIN EN.CITE &lt;EndNote&gt;&lt;Cite&gt;&lt;Author&gt;Chakrabarti&lt;/Author&gt;&lt;Year&gt;2022&lt;/Year&gt;&lt;RecNum&gt;430&lt;/RecNum&gt;&lt;DisplayText&gt;(Chakrabarti &amp;amp;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rPr>
          <w:noProof/>
        </w:rPr>
        <w:t>(Chakrabarti &amp; Singh, 2022)</w:t>
      </w:r>
      <w:r w:rsidRPr="004D46AC">
        <w:fldChar w:fldCharType="end"/>
      </w:r>
      <w:r w:rsidRPr="004D46AC">
        <w:t>.</w:t>
      </w:r>
    </w:p>
    <w:p w14:paraId="49729DE5" w14:textId="77777777" w:rsidR="003D5CB6" w:rsidRPr="004D46AC" w:rsidRDefault="003D5CB6" w:rsidP="00B518F1">
      <w:proofErr w:type="gramStart"/>
      <w:r w:rsidRPr="004D46AC">
        <w:t>In order to</w:t>
      </w:r>
      <w:proofErr w:type="gramEnd"/>
      <w:r w:rsidRPr="004D46AC">
        <w:t xml:space="preserve"> further clarify the relationship between the two conditions, a starting point will be to quantify the extent of this phenomenon.  In this study, we synthesise existing studies on the prevalence of comorbid schizophrenia and related symptoms in patients with Bipolar I and Bipolar II diagnoses. A previous synthesis by </w:t>
      </w:r>
      <w:r w:rsidRPr="004D46AC">
        <w:fldChar w:fldCharType="begin"/>
      </w:r>
      <w:r w:rsidRPr="004D46AC">
        <w:instrText xml:space="preserve"> ADDIN EN.CITE &lt;EndNote&gt;&lt;Cite AuthorYear="1"&gt;&lt;Author&gt;Chakrabarti&lt;/Author&gt;&lt;Year&gt;2022&lt;/Year&gt;&lt;RecNum&gt;430&lt;/RecNum&gt;&lt;DisplayText&gt;Chakrabarti and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rPr>
          <w:noProof/>
        </w:rPr>
        <w:t>Chakrabarti and Singh (2022)</w:t>
      </w:r>
      <w:r w:rsidRPr="004D46AC">
        <w:fldChar w:fldCharType="end"/>
      </w:r>
      <w:r w:rsidRPr="004D46AC">
        <w:t xml:space="preserve"> summarised studies of this kind in a narrative systematic review but did not carry out a quantitative synthesis or address heterogeneity between their included studies; they reported various outcomes including general psychosis, first rank symptoms, and different kind of delusions and hallucinations. Although the range was wide, the median and mean values were quite high for conditions such as general psychosis and delusions. Another recent review article did report an empirical synthesis of data on psychotic symptoms in bipolar patients, but only considered lifetime and point-prevalence rates of hallucinations and delusions in various bipolar populations</w:t>
      </w:r>
      <w:r w:rsidRPr="004D46AC">
        <w:fldChar w:fldCharType="begin">
          <w:fldData xml:space="preserve">PEVuZE5vdGU+PENpdGU+PEF1dGhvcj5BbWlub2ZmPC9BdXRob3I+PFllYXI+MjAyMjwvWWVhcj48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</w:fldData>
        </w:fldChar>
      </w:r>
      <w:r w:rsidRPr="004D46AC">
        <w:instrText xml:space="preserve"> ADDIN EN.CITE </w:instrText>
      </w:r>
      <w:r w:rsidRPr="004D46AC">
        <w:fldChar w:fldCharType="begin">
          <w:fldData xml:space="preserve">PEVuZE5vdGU+PENpdGU+PEF1dGhvcj5BbWlub2ZmPC9BdXRob3I+PFllYXI+MjAyMjwvWWVhcj48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</w:fldData>
        </w:fldChar>
      </w:r>
      <w:r w:rsidRPr="004D46AC">
        <w:instrText xml:space="preserve"> ADDIN EN.CITE.DATA </w:instrText>
      </w:r>
      <w:r w:rsidRPr="004D46AC">
        <w:fldChar w:fldCharType="end"/>
      </w:r>
      <w:r w:rsidRPr="004D46AC">
        <w:fldChar w:fldCharType="separate"/>
      </w:r>
      <w:r w:rsidRPr="004D46AC">
        <w:rPr>
          <w:noProof/>
        </w:rPr>
        <w:t>(Aminoff et al., 2022)</w:t>
      </w:r>
      <w:r w:rsidRPr="004D46AC">
        <w:fldChar w:fldCharType="end"/>
      </w:r>
      <w:r w:rsidRPr="004D46AC">
        <w:t>; they found the psychotic symptoms were prevalent in bipolar populations especially for patients suffering from bipolar I disorder.</w:t>
      </w:r>
    </w:p>
    <w:p w14:paraId="087A4CAE" w14:textId="16B7247B" w:rsidR="003D5CB6" w:rsidRPr="004D46AC" w:rsidRDefault="003D5CB6" w:rsidP="0022744D">
      <w:pPr>
        <w:rPr>
          <w:rFonts w:eastAsiaTheme="minorEastAsia"/>
        </w:rPr>
      </w:pPr>
      <w:r w:rsidRPr="004D46AC">
        <w:t xml:space="preserve">In this study we meta-analyse lifetime and point prevalence rates for schizophrenia in bipolar patients, </w:t>
      </w:r>
      <w:proofErr w:type="gramStart"/>
      <w:r w:rsidRPr="004D46AC">
        <w:t>and also</w:t>
      </w:r>
      <w:proofErr w:type="gramEnd"/>
      <w:r w:rsidRPr="004D46AC">
        <w:t xml:space="preserve"> lifetime and point prevalence rates for delusions, hallucinations, and thought disorder. We quantify the heterogeneity in the studies, considering whether different clinical variables (e.g., BDI or BDII, euthymic or acute onset) or demographic variables (e.g., age, gender) contributed to the variance observed in this population. We aim to answer the following questions: 1) How prevalent is comorbid schizophrenia is in bipolar patients? 2) How prevalent is general psychosis/ psychotic symptoms are in this population? 3) How prevalent are specific psychotic symptoms such as delusions, hallucinations and thought disorder in this population?</w:t>
      </w:r>
    </w:p>
    <w:p w14:paraId="56DC7664" w14:textId="77777777" w:rsidR="003D5CB6" w:rsidRPr="004D46AC" w:rsidRDefault="003D5CB6" w:rsidP="00B518F1">
      <w:pPr>
        <w:pStyle w:val="2"/>
      </w:pPr>
      <w:bookmarkStart w:id="93" w:name="_Toc219888762"/>
      <w:r w:rsidRPr="004D46AC">
        <w:lastRenderedPageBreak/>
        <w:t>Materials and methods</w:t>
      </w:r>
      <w:bookmarkEnd w:id="93"/>
    </w:p>
    <w:p w14:paraId="62B6C998" w14:textId="77777777" w:rsidR="003D5CB6" w:rsidRPr="004D46AC" w:rsidRDefault="003D5CB6" w:rsidP="00B518F1">
      <w:pPr>
        <w:pStyle w:val="3"/>
      </w:pPr>
      <w:r w:rsidRPr="004D46AC">
        <w:t xml:space="preserve">Protocol and registration </w:t>
      </w:r>
    </w:p>
    <w:p w14:paraId="1960C24F" w14:textId="507D6DA5" w:rsidR="003D5CB6" w:rsidRPr="004D46AC" w:rsidRDefault="003D5CB6" w:rsidP="00B518F1">
      <w:pPr>
        <w:rPr>
          <w:rFonts w:eastAsiaTheme="minorEastAsia"/>
          <w:color w:val="333333"/>
          <w:shd w:val="clear" w:color="auto" w:fill="FFFFFF"/>
        </w:rPr>
      </w:pPr>
      <w:bookmarkStart w:id="94" w:name="OLE_LINK83"/>
      <w:r w:rsidRPr="004D46AC">
        <w:t xml:space="preserve">The current study was preregistered on the PROSPERO (https://www.crd.york.ac.uk/PROSPERO/), an international database of prospectively registered systematic reviews in health and other fields (registration number: </w:t>
      </w:r>
      <w:r w:rsidRPr="004D46AC">
        <w:rPr>
          <w:color w:val="333333"/>
          <w:shd w:val="clear" w:color="auto" w:fill="FFFFFF"/>
        </w:rPr>
        <w:t>CRD42022309219.</w:t>
      </w:r>
      <w:r w:rsidR="003A028F" w:rsidRPr="004D46AC">
        <w:rPr>
          <w:rFonts w:eastAsiaTheme="minorEastAsia" w:hint="eastAsia"/>
          <w:color w:val="333333"/>
          <w:shd w:val="clear" w:color="auto" w:fill="FFFFFF"/>
        </w:rPr>
        <w:t xml:space="preserve"> </w:t>
      </w:r>
      <w:bookmarkEnd w:id="94"/>
      <w:r w:rsidR="007E4AF9" w:rsidRPr="004D46AC">
        <w:rPr>
          <w:rFonts w:eastAsiaTheme="minorEastAsia"/>
          <w:color w:val="333333"/>
          <w:shd w:val="clear" w:color="auto" w:fill="FFFFFF"/>
        </w:rPr>
        <w:t>All analyses and procedures reported in this study were conducted in full accordance with the original pre-registration, with no deviations from the study protocol.</w:t>
      </w:r>
    </w:p>
    <w:p w14:paraId="300B0E5E" w14:textId="77777777" w:rsidR="003D5CB6" w:rsidRPr="004D46AC" w:rsidRDefault="003D5CB6" w:rsidP="00B518F1">
      <w:pPr>
        <w:pStyle w:val="3"/>
      </w:pPr>
      <w:r w:rsidRPr="004D46AC">
        <w:t>Eligibility criteria</w:t>
      </w:r>
    </w:p>
    <w:p w14:paraId="3332F26F" w14:textId="77777777" w:rsidR="003D5CB6" w:rsidRPr="004D46AC" w:rsidRDefault="003D5CB6" w:rsidP="00B518F1">
      <w:r w:rsidRPr="004D46AC">
        <w:t xml:space="preserve">Studies were included if they fulfilled the following criteria: 1) the study population had a valid current or lifetime diagnosis of bipolar disorder; 2) the recruited participants were aged 16 years old or older; 3) the prevalence or number of patients with comorbid schizophrenia spectrum disorder, co-occurring psychosis/ psychotic features or symptoms, hallucination, delusion, or thought disorder were reported; 4) the study was published after 1980 (the release date of DSM III); 5) the article was peer-reviewed; and 6) was published in English. Studies were not considered for this data synthesis if the following criteria were met: 1) participants were genetically related (in which case, comorbidity rates might be inflated); 3) </w:t>
      </w:r>
      <w:r w:rsidRPr="004D46AC">
        <w:rPr>
          <w:rFonts w:eastAsiaTheme="minorEastAsia"/>
        </w:rPr>
        <w:t>participants were diagnosed with psychiatric conditions as a consequence of medical illnesses</w:t>
      </w:r>
      <w:r w:rsidRPr="004D46AC">
        <w:t xml:space="preserve"> (e.g., head trauma, pregnancy); 4) they were case reports; 5) the sample size was less than 30; 6) duplicated analyses from the same sample.</w:t>
      </w:r>
    </w:p>
    <w:p w14:paraId="448B4E56" w14:textId="77777777" w:rsidR="003D5CB6" w:rsidRPr="004D46AC" w:rsidRDefault="003D5CB6" w:rsidP="00B518F1">
      <w:pPr>
        <w:ind w:firstLine="1100"/>
        <w:rPr>
          <w:rFonts w:eastAsiaTheme="minorEastAsia"/>
        </w:rPr>
      </w:pPr>
      <w:r w:rsidRPr="004D46AC">
        <w:t xml:space="preserve">To avoid duplication of the included data, the following criteria were applied during the full-text screening. If two or more studies shared 1) the same sponsor or affiliation, 2) identical name of research program or group, and 3) overlapped sampling time, they were considered at high risk of duplication. In these circumstances, only the study reporting the most comprehensive features of the sample were retained in the database. An inquiry email was sent to the authors if information relevant to these criteria was not included in the articles. </w:t>
      </w:r>
    </w:p>
    <w:p w14:paraId="2F49140E" w14:textId="77777777" w:rsidR="003D5CB6" w:rsidRPr="004D46AC" w:rsidRDefault="003D5CB6" w:rsidP="00B518F1">
      <w:pPr>
        <w:pStyle w:val="3"/>
      </w:pPr>
      <w:r w:rsidRPr="004D46AC">
        <w:lastRenderedPageBreak/>
        <w:t>Data source</w:t>
      </w:r>
    </w:p>
    <w:p w14:paraId="21933C9F" w14:textId="77777777" w:rsidR="003D5CB6" w:rsidRPr="004D46AC" w:rsidRDefault="003D5CB6" w:rsidP="00B518F1">
      <w:pPr>
        <w:rPr>
          <w:rFonts w:eastAsiaTheme="minorEastAsia"/>
          <w:color w:val="333333"/>
          <w:shd w:val="clear" w:color="auto" w:fill="FFFFFF"/>
        </w:rPr>
      </w:pPr>
      <w:r w:rsidRPr="004D46AC">
        <w:t>The literature search was conducted on three databases: Medline, Psych Info, and Web of Science. Forward and backward citation searches of included studies were conducted Google Scholar and Medline. Additional literature was requested from authors if their articles had missing information. The search was started on J</w:t>
      </w:r>
      <w:r w:rsidRPr="004D46AC">
        <w:rPr>
          <w:color w:val="333333"/>
          <w:shd w:val="clear" w:color="auto" w:fill="FFFFFF"/>
        </w:rPr>
        <w:t>an 10th, 2022, and ended on Nov 30th, 2023.  </w:t>
      </w:r>
    </w:p>
    <w:p w14:paraId="288969F1" w14:textId="77777777" w:rsidR="003D5CB6" w:rsidRPr="004D46AC" w:rsidRDefault="003D5CB6" w:rsidP="00B518F1">
      <w:pPr>
        <w:pStyle w:val="3"/>
      </w:pPr>
      <w:r w:rsidRPr="004D46AC">
        <w:t>Searching strategies</w:t>
      </w:r>
    </w:p>
    <w:p w14:paraId="3AB215A6" w14:textId="294AF18F" w:rsidR="003D5CB6" w:rsidRPr="004D46AC" w:rsidRDefault="003D5CB6" w:rsidP="00B518F1">
      <w:pPr>
        <w:rPr>
          <w:rFonts w:eastAsiaTheme="minorEastAsia"/>
        </w:rPr>
      </w:pPr>
      <w:r w:rsidRPr="004D46AC">
        <w:t xml:space="preserve">Keywords (e.g., schizophrenia, bipolar disorder) as well as their variants (e.g., psychosis, manic-depressive illness) were used to screen the titles and abstracts of the literature (see Tables </w:t>
      </w:r>
      <w:r w:rsidRPr="004D46AC">
        <w:rPr>
          <w:rFonts w:eastAsiaTheme="minorEastAsia" w:hint="eastAsia"/>
        </w:rPr>
        <w:t>B</w:t>
      </w:r>
      <w:r w:rsidR="00D0731C" w:rsidRPr="004D46AC">
        <w:rPr>
          <w:rFonts w:eastAsiaTheme="minorEastAsia" w:hint="eastAsia"/>
        </w:rPr>
        <w:t xml:space="preserve"> </w:t>
      </w:r>
      <w:r w:rsidRPr="004D46AC">
        <w:t>1</w:t>
      </w:r>
      <w:r w:rsidR="00D0731C" w:rsidRPr="004D46AC">
        <w:rPr>
          <w:rFonts w:eastAsiaTheme="minorEastAsia" w:hint="eastAsia"/>
        </w:rPr>
        <w:t>-</w:t>
      </w:r>
      <w:r w:rsidRPr="004D46AC">
        <w:t xml:space="preserve">4 in Appendix </w:t>
      </w:r>
      <w:r w:rsidRPr="004D46AC">
        <w:rPr>
          <w:rFonts w:eastAsiaTheme="minorEastAsia" w:hint="eastAsia"/>
        </w:rPr>
        <w:t>B</w:t>
      </w:r>
      <w:r w:rsidRPr="004D46AC">
        <w:t xml:space="preserve"> for details).</w:t>
      </w:r>
    </w:p>
    <w:p w14:paraId="5CF545A3" w14:textId="77777777" w:rsidR="003D5CB6" w:rsidRPr="004D46AC" w:rsidRDefault="003D5CB6" w:rsidP="00B518F1">
      <w:pPr>
        <w:rPr>
          <w:rFonts w:eastAsiaTheme="minorEastAsia"/>
        </w:rPr>
      </w:pPr>
    </w:p>
    <w:p w14:paraId="487D713B" w14:textId="77777777" w:rsidR="003D5CB6" w:rsidRPr="004D46AC" w:rsidRDefault="003D5CB6" w:rsidP="00B518F1">
      <w:pPr>
        <w:ind w:firstLine="0"/>
        <w:rPr>
          <w:szCs w:val="21"/>
        </w:rPr>
      </w:pPr>
      <w:r w:rsidRPr="004D46AC">
        <w:rPr>
          <w:noProof/>
        </w:rPr>
        <w:drawing>
          <wp:inline distT="0" distB="0" distL="0" distR="0" wp14:anchorId="7973D68C" wp14:editId="6BFAA0A2">
            <wp:extent cx="3488871" cy="3796484"/>
            <wp:effectExtent l="0" t="0" r="0" b="0"/>
            <wp:docPr id="238210703" name="Picture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10703" name="Picture 1" descr="图示&#10;&#10;AI 生成的内容可能不正确。"/>
                    <pic:cNvPicPr/>
                  </pic:nvPicPr>
                  <pic:blipFill>
                    <a:blip r:embed="rId241"/>
                    <a:stretch>
                      <a:fillRect/>
                    </a:stretch>
                  </pic:blipFill>
                  <pic:spPr>
                    <a:xfrm>
                      <a:off x="0" y="0"/>
                      <a:ext cx="3491880" cy="3799758"/>
                    </a:xfrm>
                    <a:prstGeom prst="rect">
                      <a:avLst/>
                    </a:prstGeom>
                  </pic:spPr>
                </pic:pic>
              </a:graphicData>
            </a:graphic>
          </wp:inline>
        </w:drawing>
      </w:r>
    </w:p>
    <w:p w14:paraId="0F6DB74F" w14:textId="294D8F0C" w:rsidR="003D5CB6" w:rsidRPr="004D46AC" w:rsidRDefault="00106616" w:rsidP="008A38FE">
      <w:pPr>
        <w:pStyle w:val="affe"/>
        <w:spacing w:line="360" w:lineRule="auto"/>
        <w:rPr>
          <w:rFonts w:ascii="Arial" w:hAnsi="Arial" w:cs="Arial"/>
          <w:b/>
          <w:bCs/>
          <w:i/>
          <w:iCs/>
          <w:sz w:val="22"/>
          <w:szCs w:val="22"/>
        </w:rPr>
      </w:pPr>
      <w:bookmarkStart w:id="95" w:name="_Toc219883926"/>
      <w:bookmarkStart w:id="96" w:name="_Toc219884858"/>
      <w:bookmarkStart w:id="97" w:name="_Toc219857534"/>
      <w:r w:rsidRPr="004D46AC">
        <w:rPr>
          <w:rFonts w:ascii="Arial" w:hAnsi="Arial" w:cs="Arial"/>
          <w:b/>
          <w:bCs/>
          <w:sz w:val="22"/>
          <w:szCs w:val="22"/>
        </w:rPr>
        <w:t xml:space="preserve">Figure </w:t>
      </w:r>
      <w:r w:rsidR="004725A0" w:rsidRPr="004D46AC">
        <w:rPr>
          <w:rFonts w:ascii="Arial" w:hAnsi="Arial" w:cs="Arial"/>
          <w:b/>
          <w:bCs/>
          <w:sz w:val="22"/>
          <w:szCs w:val="22"/>
        </w:rPr>
        <w:fldChar w:fldCharType="begin"/>
      </w:r>
      <w:r w:rsidR="004725A0" w:rsidRPr="004D46AC">
        <w:rPr>
          <w:rFonts w:ascii="Arial" w:hAnsi="Arial" w:cs="Arial"/>
          <w:b/>
          <w:bCs/>
          <w:sz w:val="22"/>
          <w:szCs w:val="22"/>
        </w:rPr>
        <w:instrText xml:space="preserve"> STYLEREF 1 \s </w:instrText>
      </w:r>
      <w:r w:rsidR="004725A0" w:rsidRPr="004D46AC">
        <w:rPr>
          <w:rFonts w:ascii="Arial" w:hAnsi="Arial" w:cs="Arial"/>
          <w:b/>
          <w:bCs/>
          <w:sz w:val="22"/>
          <w:szCs w:val="22"/>
        </w:rPr>
        <w:fldChar w:fldCharType="separate"/>
      </w:r>
      <w:r w:rsidR="004725A0" w:rsidRPr="004D46AC">
        <w:rPr>
          <w:rFonts w:ascii="Arial" w:hAnsi="Arial" w:cs="Arial"/>
          <w:b/>
          <w:bCs/>
          <w:noProof/>
          <w:sz w:val="22"/>
          <w:szCs w:val="22"/>
        </w:rPr>
        <w:t>2</w:t>
      </w:r>
      <w:r w:rsidR="004725A0" w:rsidRPr="004D46AC">
        <w:rPr>
          <w:rFonts w:ascii="Arial" w:hAnsi="Arial" w:cs="Arial"/>
          <w:b/>
          <w:bCs/>
          <w:sz w:val="22"/>
          <w:szCs w:val="22"/>
        </w:rPr>
        <w:fldChar w:fldCharType="end"/>
      </w:r>
      <w:r w:rsidR="004725A0" w:rsidRPr="004D46AC">
        <w:rPr>
          <w:rFonts w:ascii="Arial" w:hAnsi="Arial" w:cs="Arial"/>
          <w:b/>
          <w:bCs/>
          <w:sz w:val="22"/>
          <w:szCs w:val="22"/>
        </w:rPr>
        <w:t>.</w:t>
      </w:r>
      <w:r w:rsidR="004725A0" w:rsidRPr="004D46AC">
        <w:rPr>
          <w:rFonts w:ascii="Arial" w:hAnsi="Arial" w:cs="Arial"/>
          <w:b/>
          <w:bCs/>
          <w:sz w:val="22"/>
          <w:szCs w:val="22"/>
        </w:rPr>
        <w:fldChar w:fldCharType="begin"/>
      </w:r>
      <w:r w:rsidR="004725A0" w:rsidRPr="004D46AC">
        <w:rPr>
          <w:rFonts w:ascii="Arial" w:hAnsi="Arial" w:cs="Arial"/>
          <w:b/>
          <w:bCs/>
          <w:sz w:val="22"/>
          <w:szCs w:val="22"/>
        </w:rPr>
        <w:instrText xml:space="preserve"> SEQ Figure \* ARABIC \s 1 </w:instrText>
      </w:r>
      <w:r w:rsidR="004725A0" w:rsidRPr="004D46AC">
        <w:rPr>
          <w:rFonts w:ascii="Arial" w:hAnsi="Arial" w:cs="Arial"/>
          <w:b/>
          <w:bCs/>
          <w:sz w:val="22"/>
          <w:szCs w:val="22"/>
        </w:rPr>
        <w:fldChar w:fldCharType="separate"/>
      </w:r>
      <w:r w:rsidR="004725A0" w:rsidRPr="004D46AC">
        <w:rPr>
          <w:rFonts w:ascii="Arial" w:hAnsi="Arial" w:cs="Arial"/>
          <w:b/>
          <w:bCs/>
          <w:noProof/>
          <w:sz w:val="22"/>
          <w:szCs w:val="22"/>
        </w:rPr>
        <w:t>1</w:t>
      </w:r>
      <w:bookmarkEnd w:id="95"/>
      <w:bookmarkEnd w:id="96"/>
      <w:r w:rsidR="004725A0" w:rsidRPr="004D46AC">
        <w:rPr>
          <w:rFonts w:ascii="Arial" w:hAnsi="Arial" w:cs="Arial"/>
          <w:b/>
          <w:bCs/>
          <w:sz w:val="22"/>
          <w:szCs w:val="22"/>
        </w:rPr>
        <w:fldChar w:fldCharType="end"/>
      </w:r>
      <w:bookmarkEnd w:id="97"/>
    </w:p>
    <w:p w14:paraId="7F1E0120" w14:textId="5FBD6C89" w:rsidR="003D5CB6" w:rsidRPr="004D46AC" w:rsidRDefault="003D5CB6" w:rsidP="008A38FE">
      <w:pPr>
        <w:pStyle w:val="affe"/>
        <w:spacing w:line="360" w:lineRule="auto"/>
        <w:rPr>
          <w:rFonts w:ascii="Arial" w:eastAsiaTheme="minorEastAsia" w:hAnsi="Arial" w:cs="Arial"/>
          <w:sz w:val="22"/>
          <w:szCs w:val="22"/>
        </w:rPr>
      </w:pPr>
      <w:bookmarkStart w:id="98" w:name="_Toc219857535"/>
      <w:r w:rsidRPr="004D46AC">
        <w:rPr>
          <w:rFonts w:ascii="Arial" w:hAnsi="Arial" w:cs="Arial"/>
          <w:i/>
          <w:iCs/>
          <w:sz w:val="22"/>
          <w:szCs w:val="22"/>
        </w:rPr>
        <w:t>Flow diagram of the systematic review and meta-analyses</w:t>
      </w:r>
      <w:bookmarkEnd w:id="98"/>
    </w:p>
    <w:p w14:paraId="3D1E2801" w14:textId="77777777" w:rsidR="003D5CB6" w:rsidRPr="004D46AC" w:rsidRDefault="003D5CB6" w:rsidP="00B518F1">
      <w:pPr>
        <w:rPr>
          <w:rFonts w:eastAsiaTheme="minorEastAsia"/>
          <w:b/>
          <w:bCs/>
          <w:i/>
        </w:rPr>
      </w:pPr>
    </w:p>
    <w:p w14:paraId="48F1801C" w14:textId="77777777" w:rsidR="003D5CB6" w:rsidRPr="004D46AC" w:rsidRDefault="003D5CB6" w:rsidP="00B518F1">
      <w:pPr>
        <w:pStyle w:val="3"/>
      </w:pPr>
      <w:r w:rsidRPr="004D46AC">
        <w:lastRenderedPageBreak/>
        <w:t>Screening procedure</w:t>
      </w:r>
    </w:p>
    <w:p w14:paraId="73CC9287" w14:textId="77777777" w:rsidR="003D5CB6" w:rsidRPr="004D46AC" w:rsidRDefault="003D5CB6" w:rsidP="00B518F1">
      <w:pPr>
        <w:rPr>
          <w:rFonts w:eastAsiaTheme="minorEastAsia"/>
        </w:rPr>
      </w:pPr>
      <w:r w:rsidRPr="004D46AC">
        <w:t xml:space="preserve">The three databases were searched by two independent reviewers and the flow diagram for the search is shown in Figure </w:t>
      </w:r>
      <w:r w:rsidRPr="004D46AC">
        <w:rPr>
          <w:rFonts w:eastAsiaTheme="minorEastAsia" w:hint="eastAsia"/>
        </w:rPr>
        <w:t>2.</w:t>
      </w:r>
      <w:r w:rsidRPr="004D46AC">
        <w:t>1. First, title and abstract screening were conducted. There were 14,718 records identified. 13,549 records did not meet the inclusion criteria and thus were excluded, leaving 1,169 records for full text screening. Based on the included studies, backward and forward citation search returned an additional 3,210 results. Additionally, 95 enquiries were sent for studies with incomplete data specified in the eligibility criteria, and eight authors replied with data summaries. A total of 285 records were included in the current review (see Tables 2.1 and 2.2). References for these studies are listed in Appendix B.</w:t>
      </w:r>
    </w:p>
    <w:p w14:paraId="0A1E3584" w14:textId="77777777" w:rsidR="003D5CB6" w:rsidRPr="004D46AC" w:rsidRDefault="003D5CB6" w:rsidP="00B518F1">
      <w:pPr>
        <w:ind w:firstLine="0"/>
        <w:rPr>
          <w:rFonts w:eastAsiaTheme="minorEastAsia"/>
          <w:b/>
          <w:bCs/>
        </w:rPr>
      </w:pPr>
    </w:p>
    <w:p w14:paraId="4974CC24" w14:textId="3ABFBBA7" w:rsidR="005B3793" w:rsidRPr="004D46AC" w:rsidRDefault="003A1ED4" w:rsidP="005B3793">
      <w:pPr>
        <w:pStyle w:val="afff0"/>
        <w:spacing w:after="0" w:line="360" w:lineRule="auto"/>
        <w:ind w:firstLine="0"/>
        <w:rPr>
          <w:rFonts w:eastAsiaTheme="minorEastAsia"/>
          <w:b/>
          <w:bCs/>
          <w:i w:val="0"/>
          <w:iCs w:val="0"/>
          <w:color w:val="auto"/>
          <w:sz w:val="22"/>
          <w:szCs w:val="22"/>
        </w:rPr>
      </w:pPr>
      <w:bookmarkStart w:id="99" w:name="_Toc219883853"/>
      <w:bookmarkStart w:id="100" w:name="_Toc219870605"/>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99"/>
      <w:r w:rsidR="004725A0" w:rsidRPr="004D46AC">
        <w:rPr>
          <w:b/>
          <w:bCs/>
          <w:i w:val="0"/>
          <w:iCs w:val="0"/>
          <w:color w:val="auto"/>
          <w:sz w:val="22"/>
          <w:szCs w:val="22"/>
        </w:rPr>
        <w:fldChar w:fldCharType="end"/>
      </w:r>
      <w:bookmarkEnd w:id="100"/>
    </w:p>
    <w:p w14:paraId="0FF9712C" w14:textId="7CE71DF2" w:rsidR="003D5CB6" w:rsidRPr="004D46AC" w:rsidRDefault="003D5CB6" w:rsidP="005B3793">
      <w:pPr>
        <w:pStyle w:val="afff0"/>
        <w:spacing w:after="0" w:line="360" w:lineRule="auto"/>
        <w:ind w:firstLine="0"/>
        <w:rPr>
          <w:rFonts w:eastAsiaTheme="minorEastAsia"/>
          <w:b/>
          <w:bCs/>
          <w:i w:val="0"/>
          <w:iCs w:val="0"/>
          <w:color w:val="auto"/>
          <w:sz w:val="22"/>
          <w:szCs w:val="22"/>
        </w:rPr>
      </w:pPr>
      <w:r w:rsidRPr="004D46AC">
        <w:rPr>
          <w:color w:val="auto"/>
          <w:sz w:val="22"/>
          <w:szCs w:val="22"/>
        </w:rPr>
        <w:t>Demographic and clinical information for question one</w:t>
      </w:r>
    </w:p>
    <w:tbl>
      <w:tblPr>
        <w:tblStyle w:val="afc"/>
        <w:tblW w:w="0" w:type="auto"/>
        <w:tblLook w:val="04A0" w:firstRow="1" w:lastRow="0" w:firstColumn="1" w:lastColumn="0" w:noHBand="0" w:noVBand="1"/>
      </w:tblPr>
      <w:tblGrid>
        <w:gridCol w:w="2254"/>
        <w:gridCol w:w="3499"/>
        <w:gridCol w:w="3263"/>
      </w:tblGrid>
      <w:tr w:rsidR="003D5CB6" w:rsidRPr="004D46AC" w14:paraId="402C5D9C" w14:textId="77777777" w:rsidTr="00B518F1">
        <w:trPr>
          <w:trHeight w:val="318"/>
        </w:trPr>
        <w:tc>
          <w:tcPr>
            <w:tcW w:w="2254" w:type="dxa"/>
          </w:tcPr>
          <w:p w14:paraId="6F776D23" w14:textId="77777777" w:rsidR="003D5CB6" w:rsidRPr="004D46AC" w:rsidRDefault="003D5CB6" w:rsidP="00B518F1">
            <w:pPr>
              <w:spacing w:line="360" w:lineRule="auto"/>
            </w:pPr>
          </w:p>
        </w:tc>
        <w:tc>
          <w:tcPr>
            <w:tcW w:w="3499" w:type="dxa"/>
          </w:tcPr>
          <w:p w14:paraId="53A2D4D8" w14:textId="77777777" w:rsidR="003D5CB6" w:rsidRPr="004D46AC" w:rsidRDefault="003D5CB6" w:rsidP="00B518F1">
            <w:pPr>
              <w:spacing w:line="360" w:lineRule="auto"/>
            </w:pPr>
            <w:r w:rsidRPr="004D46AC">
              <w:t>Schizophrenia</w:t>
            </w:r>
          </w:p>
        </w:tc>
        <w:tc>
          <w:tcPr>
            <w:tcW w:w="3263" w:type="dxa"/>
          </w:tcPr>
          <w:p w14:paraId="28CC497F" w14:textId="77777777" w:rsidR="003D5CB6" w:rsidRPr="004D46AC" w:rsidRDefault="003D5CB6" w:rsidP="00B518F1">
            <w:pPr>
              <w:spacing w:line="360" w:lineRule="auto"/>
            </w:pPr>
            <w:r w:rsidRPr="004D46AC">
              <w:t>Psychosis</w:t>
            </w:r>
          </w:p>
        </w:tc>
      </w:tr>
      <w:tr w:rsidR="003D5CB6" w:rsidRPr="004D46AC" w14:paraId="71B9D923" w14:textId="77777777" w:rsidTr="00B518F1">
        <w:trPr>
          <w:trHeight w:val="310"/>
        </w:trPr>
        <w:tc>
          <w:tcPr>
            <w:tcW w:w="2254" w:type="dxa"/>
          </w:tcPr>
          <w:p w14:paraId="011006A9" w14:textId="77777777" w:rsidR="003D5CB6" w:rsidRPr="004D46AC" w:rsidRDefault="003D5CB6" w:rsidP="00B518F1">
            <w:pPr>
              <w:spacing w:line="360" w:lineRule="auto"/>
              <w:rPr>
                <w:i/>
                <w:iCs/>
              </w:rPr>
            </w:pPr>
            <w:r w:rsidRPr="004D46AC">
              <w:rPr>
                <w:i/>
                <w:iCs/>
              </w:rPr>
              <w:t>N</w:t>
            </w:r>
          </w:p>
        </w:tc>
        <w:tc>
          <w:tcPr>
            <w:tcW w:w="3499" w:type="dxa"/>
          </w:tcPr>
          <w:p w14:paraId="5EDC44D4" w14:textId="77777777" w:rsidR="003D5CB6" w:rsidRPr="004D46AC" w:rsidRDefault="003D5CB6" w:rsidP="00B518F1">
            <w:pPr>
              <w:spacing w:line="360" w:lineRule="auto"/>
            </w:pPr>
            <w:r w:rsidRPr="004D46AC">
              <w:t>206,750</w:t>
            </w:r>
          </w:p>
        </w:tc>
        <w:tc>
          <w:tcPr>
            <w:tcW w:w="3263" w:type="dxa"/>
          </w:tcPr>
          <w:p w14:paraId="43496523" w14:textId="77777777" w:rsidR="003D5CB6" w:rsidRPr="004D46AC" w:rsidRDefault="003D5CB6" w:rsidP="00B518F1">
            <w:pPr>
              <w:spacing w:line="360" w:lineRule="auto"/>
            </w:pPr>
            <w:r w:rsidRPr="004D46AC">
              <w:t>337,993</w:t>
            </w:r>
          </w:p>
        </w:tc>
      </w:tr>
      <w:tr w:rsidR="003D5CB6" w:rsidRPr="004D46AC" w14:paraId="4115E527" w14:textId="77777777" w:rsidTr="00B518F1">
        <w:trPr>
          <w:trHeight w:val="318"/>
        </w:trPr>
        <w:tc>
          <w:tcPr>
            <w:tcW w:w="2254" w:type="dxa"/>
          </w:tcPr>
          <w:p w14:paraId="01CC035D" w14:textId="77777777" w:rsidR="003D5CB6" w:rsidRPr="004D46AC" w:rsidRDefault="003D5CB6" w:rsidP="00B518F1">
            <w:pPr>
              <w:spacing w:line="360" w:lineRule="auto"/>
              <w:rPr>
                <w:i/>
                <w:iCs/>
              </w:rPr>
            </w:pPr>
            <w:r w:rsidRPr="004D46AC">
              <w:rPr>
                <w:i/>
                <w:iCs/>
              </w:rPr>
              <w:t>K</w:t>
            </w:r>
          </w:p>
        </w:tc>
        <w:tc>
          <w:tcPr>
            <w:tcW w:w="3499" w:type="dxa"/>
          </w:tcPr>
          <w:p w14:paraId="0AA9ACC7" w14:textId="77777777" w:rsidR="003D5CB6" w:rsidRPr="004D46AC" w:rsidRDefault="003D5CB6" w:rsidP="00B518F1">
            <w:pPr>
              <w:spacing w:line="360" w:lineRule="auto"/>
            </w:pPr>
            <w:r w:rsidRPr="004D46AC">
              <w:t>27</w:t>
            </w:r>
          </w:p>
        </w:tc>
        <w:tc>
          <w:tcPr>
            <w:tcW w:w="3263" w:type="dxa"/>
          </w:tcPr>
          <w:p w14:paraId="2A56054B" w14:textId="77777777" w:rsidR="003D5CB6" w:rsidRPr="004D46AC" w:rsidRDefault="003D5CB6" w:rsidP="00B518F1">
            <w:pPr>
              <w:spacing w:line="360" w:lineRule="auto"/>
            </w:pPr>
            <w:r w:rsidRPr="004D46AC">
              <w:t>208</w:t>
            </w:r>
          </w:p>
        </w:tc>
      </w:tr>
      <w:tr w:rsidR="003D5CB6" w:rsidRPr="004D46AC" w14:paraId="67491B49" w14:textId="77777777" w:rsidTr="00B518F1">
        <w:trPr>
          <w:trHeight w:val="318"/>
        </w:trPr>
        <w:tc>
          <w:tcPr>
            <w:tcW w:w="2254" w:type="dxa"/>
          </w:tcPr>
          <w:p w14:paraId="0004EEBD" w14:textId="77777777" w:rsidR="003D5CB6" w:rsidRPr="004D46AC" w:rsidRDefault="003D5CB6" w:rsidP="00B518F1">
            <w:pPr>
              <w:spacing w:line="360" w:lineRule="auto"/>
              <w:ind w:firstLine="0"/>
            </w:pPr>
            <w:r w:rsidRPr="004D46AC">
              <w:t>Sub synthesis (</w:t>
            </w:r>
            <w:r w:rsidRPr="004D46AC">
              <w:rPr>
                <w:i/>
                <w:iCs/>
              </w:rPr>
              <w:t>k</w:t>
            </w:r>
            <w:r w:rsidRPr="004D46AC">
              <w:t>)</w:t>
            </w:r>
          </w:p>
        </w:tc>
        <w:tc>
          <w:tcPr>
            <w:tcW w:w="3499" w:type="dxa"/>
          </w:tcPr>
          <w:p w14:paraId="5847711F" w14:textId="77777777" w:rsidR="003D5CB6" w:rsidRPr="004D46AC" w:rsidRDefault="003D5CB6" w:rsidP="00B518F1">
            <w:pPr>
              <w:spacing w:line="360" w:lineRule="auto"/>
              <w:ind w:firstLine="0"/>
            </w:pPr>
            <w:r w:rsidRPr="004D46AC">
              <w:t>Not applicable</w:t>
            </w:r>
          </w:p>
        </w:tc>
        <w:tc>
          <w:tcPr>
            <w:tcW w:w="3263" w:type="dxa"/>
          </w:tcPr>
          <w:p w14:paraId="47CB8F66" w14:textId="77777777" w:rsidR="003D5CB6" w:rsidRPr="004D46AC" w:rsidRDefault="003D5CB6" w:rsidP="00B518F1">
            <w:pPr>
              <w:spacing w:line="360" w:lineRule="auto"/>
              <w:ind w:firstLine="0"/>
            </w:pPr>
            <w:r w:rsidRPr="004D46AC">
              <w:t>Lifetime (110); Current (108); Bipolar I lifetime (40) and current (52); Bipolar II lifetime (13) and current (6); manic episode lifetime (9) and current (44); depressive episode lifetime (7) and current (22); mixed episode lifetime (4) and current (8); first episode (15); mood incongruent (21).</w:t>
            </w:r>
          </w:p>
        </w:tc>
      </w:tr>
      <w:tr w:rsidR="003D5CB6" w:rsidRPr="004D46AC" w14:paraId="5F2DC417" w14:textId="77777777" w:rsidTr="00B518F1">
        <w:trPr>
          <w:trHeight w:val="318"/>
        </w:trPr>
        <w:tc>
          <w:tcPr>
            <w:tcW w:w="2254" w:type="dxa"/>
          </w:tcPr>
          <w:p w14:paraId="7AA8BA8C" w14:textId="77777777" w:rsidR="003D5CB6" w:rsidRPr="004D46AC" w:rsidRDefault="003D5CB6" w:rsidP="00B518F1">
            <w:pPr>
              <w:spacing w:line="360" w:lineRule="auto"/>
              <w:ind w:firstLine="0"/>
            </w:pPr>
            <w:r w:rsidRPr="004D46AC">
              <w:t xml:space="preserve">Age, </w:t>
            </w:r>
            <w:r w:rsidRPr="004D46AC">
              <w:rPr>
                <w:i/>
                <w:iCs/>
              </w:rPr>
              <w:t>M</w:t>
            </w:r>
            <w:r w:rsidRPr="004D46AC">
              <w:t>(</w:t>
            </w:r>
            <w:r w:rsidRPr="004D46AC">
              <w:rPr>
                <w:i/>
                <w:iCs/>
              </w:rPr>
              <w:t>SD</w:t>
            </w:r>
            <w:r w:rsidRPr="004D46AC">
              <w:t>)</w:t>
            </w:r>
            <w:r w:rsidRPr="004D46AC">
              <w:rPr>
                <w:vertAlign w:val="superscript"/>
              </w:rPr>
              <w:t xml:space="preserve"> a</w:t>
            </w:r>
          </w:p>
        </w:tc>
        <w:tc>
          <w:tcPr>
            <w:tcW w:w="3499" w:type="dxa"/>
          </w:tcPr>
          <w:p w14:paraId="360996CE" w14:textId="77777777" w:rsidR="003D5CB6" w:rsidRPr="004D46AC" w:rsidRDefault="003D5CB6" w:rsidP="00B518F1">
            <w:pPr>
              <w:spacing w:line="360" w:lineRule="auto"/>
              <w:ind w:firstLine="0"/>
            </w:pPr>
            <w:r w:rsidRPr="004D46AC">
              <w:t>41.21 (10.30)</w:t>
            </w:r>
          </w:p>
        </w:tc>
        <w:tc>
          <w:tcPr>
            <w:tcW w:w="3263" w:type="dxa"/>
          </w:tcPr>
          <w:p w14:paraId="28EB1FC0" w14:textId="77777777" w:rsidR="003D5CB6" w:rsidRPr="004D46AC" w:rsidRDefault="003D5CB6" w:rsidP="00B518F1">
            <w:pPr>
              <w:spacing w:line="360" w:lineRule="auto"/>
              <w:ind w:firstLine="0"/>
            </w:pPr>
            <w:r w:rsidRPr="004D46AC">
              <w:t>40.70 (6.85)</w:t>
            </w:r>
          </w:p>
        </w:tc>
      </w:tr>
      <w:tr w:rsidR="003D5CB6" w:rsidRPr="004D46AC" w14:paraId="07A4658A" w14:textId="77777777" w:rsidTr="00B518F1">
        <w:trPr>
          <w:trHeight w:val="310"/>
        </w:trPr>
        <w:tc>
          <w:tcPr>
            <w:tcW w:w="2254" w:type="dxa"/>
          </w:tcPr>
          <w:p w14:paraId="79C8A129" w14:textId="77777777" w:rsidR="003D5CB6" w:rsidRPr="004D46AC" w:rsidRDefault="003D5CB6" w:rsidP="00B518F1">
            <w:pPr>
              <w:spacing w:line="360" w:lineRule="auto"/>
              <w:ind w:firstLine="0"/>
            </w:pPr>
            <w:r w:rsidRPr="004D46AC">
              <w:t>Female, n (%)</w:t>
            </w:r>
            <w:r w:rsidRPr="004D46AC">
              <w:rPr>
                <w:vertAlign w:val="superscript"/>
              </w:rPr>
              <w:t xml:space="preserve"> b</w:t>
            </w:r>
          </w:p>
        </w:tc>
        <w:tc>
          <w:tcPr>
            <w:tcW w:w="3499" w:type="dxa"/>
          </w:tcPr>
          <w:p w14:paraId="20DB96EF" w14:textId="77777777" w:rsidR="003D5CB6" w:rsidRPr="004D46AC" w:rsidRDefault="003D5CB6" w:rsidP="00B518F1">
            <w:pPr>
              <w:spacing w:line="360" w:lineRule="auto"/>
              <w:ind w:firstLine="0"/>
            </w:pPr>
            <w:r w:rsidRPr="004D46AC">
              <w:t>127,201 (61.52)</w:t>
            </w:r>
          </w:p>
        </w:tc>
        <w:tc>
          <w:tcPr>
            <w:tcW w:w="3263" w:type="dxa"/>
          </w:tcPr>
          <w:p w14:paraId="233A1E2D" w14:textId="77777777" w:rsidR="003D5CB6" w:rsidRPr="004D46AC" w:rsidRDefault="003D5CB6" w:rsidP="00B518F1">
            <w:pPr>
              <w:spacing w:line="360" w:lineRule="auto"/>
              <w:ind w:firstLine="0"/>
            </w:pPr>
            <w:r w:rsidRPr="004D46AC">
              <w:t>120,062 (35.52)</w:t>
            </w:r>
          </w:p>
        </w:tc>
      </w:tr>
      <w:tr w:rsidR="003D5CB6" w:rsidRPr="004D46AC" w14:paraId="65AFDB7C" w14:textId="77777777" w:rsidTr="00B518F1">
        <w:trPr>
          <w:trHeight w:val="318"/>
        </w:trPr>
        <w:tc>
          <w:tcPr>
            <w:tcW w:w="2254" w:type="dxa"/>
          </w:tcPr>
          <w:p w14:paraId="48D813A8" w14:textId="77777777" w:rsidR="003D5CB6" w:rsidRPr="004D46AC" w:rsidRDefault="003D5CB6" w:rsidP="00B518F1">
            <w:pPr>
              <w:spacing w:line="360" w:lineRule="auto"/>
              <w:ind w:firstLine="0"/>
            </w:pPr>
            <w:r w:rsidRPr="004D46AC">
              <w:t>Diagnostic standards (</w:t>
            </w:r>
            <w:r w:rsidRPr="004D46AC">
              <w:rPr>
                <w:i/>
                <w:iCs/>
              </w:rPr>
              <w:t>k</w:t>
            </w:r>
            <w:r w:rsidRPr="004D46AC">
              <w:t>)</w:t>
            </w:r>
            <w:r w:rsidRPr="004D46AC">
              <w:rPr>
                <w:vertAlign w:val="superscript"/>
              </w:rPr>
              <w:t>c</w:t>
            </w:r>
          </w:p>
        </w:tc>
        <w:tc>
          <w:tcPr>
            <w:tcW w:w="3499" w:type="dxa"/>
          </w:tcPr>
          <w:p w14:paraId="2476FA89" w14:textId="77777777" w:rsidR="003D5CB6" w:rsidRPr="004D46AC" w:rsidRDefault="003D5CB6" w:rsidP="00B518F1">
            <w:pPr>
              <w:spacing w:line="360" w:lineRule="auto"/>
              <w:ind w:firstLine="0"/>
            </w:pPr>
            <w:r w:rsidRPr="004D46AC">
              <w:t>DSM (17), ICD (8), MDQ, RDC, and mixed</w:t>
            </w:r>
          </w:p>
        </w:tc>
        <w:tc>
          <w:tcPr>
            <w:tcW w:w="3263" w:type="dxa"/>
          </w:tcPr>
          <w:p w14:paraId="03761FD5" w14:textId="77777777" w:rsidR="003D5CB6" w:rsidRPr="004D46AC" w:rsidRDefault="003D5CB6" w:rsidP="00B518F1">
            <w:pPr>
              <w:spacing w:line="360" w:lineRule="auto"/>
              <w:ind w:firstLine="0"/>
            </w:pPr>
            <w:r w:rsidRPr="004D46AC">
              <w:t>DSM (167), ICD (25), mixed (6), RDC (5), unclear (3), DCR10 and DCUPR</w:t>
            </w:r>
          </w:p>
        </w:tc>
      </w:tr>
      <w:tr w:rsidR="003D5CB6" w:rsidRPr="004D46AC" w14:paraId="66434D20" w14:textId="77777777" w:rsidTr="00B518F1">
        <w:trPr>
          <w:trHeight w:val="310"/>
        </w:trPr>
        <w:tc>
          <w:tcPr>
            <w:tcW w:w="2254" w:type="dxa"/>
          </w:tcPr>
          <w:p w14:paraId="26840B3A" w14:textId="77777777" w:rsidR="003D5CB6" w:rsidRPr="004D46AC" w:rsidRDefault="003D5CB6" w:rsidP="00B518F1">
            <w:pPr>
              <w:spacing w:line="360" w:lineRule="auto"/>
              <w:ind w:firstLine="0"/>
            </w:pPr>
            <w:r w:rsidRPr="004D46AC">
              <w:lastRenderedPageBreak/>
              <w:t>Assessment tools (</w:t>
            </w:r>
            <w:r w:rsidRPr="004D46AC">
              <w:rPr>
                <w:i/>
                <w:iCs/>
              </w:rPr>
              <w:t>k</w:t>
            </w:r>
            <w:r w:rsidRPr="004D46AC">
              <w:t>)</w:t>
            </w:r>
            <w:r w:rsidRPr="004D46AC">
              <w:rPr>
                <w:vertAlign w:val="superscript"/>
              </w:rPr>
              <w:t xml:space="preserve"> c</w:t>
            </w:r>
          </w:p>
        </w:tc>
        <w:tc>
          <w:tcPr>
            <w:tcW w:w="3499" w:type="dxa"/>
          </w:tcPr>
          <w:p w14:paraId="32AF681E" w14:textId="77777777" w:rsidR="003D5CB6" w:rsidRPr="004D46AC" w:rsidRDefault="003D5CB6" w:rsidP="00B518F1">
            <w:pPr>
              <w:spacing w:line="360" w:lineRule="auto"/>
              <w:ind w:firstLine="0"/>
            </w:pPr>
            <w:r w:rsidRPr="004D46AC">
              <w:t>Unclear (14), SCID (7), BPRS, DIS, MDQ, OPCRIT, PSE, SAPS, SCAN</w:t>
            </w:r>
          </w:p>
        </w:tc>
        <w:tc>
          <w:tcPr>
            <w:tcW w:w="3263" w:type="dxa"/>
          </w:tcPr>
          <w:p w14:paraId="0E3A1BA5" w14:textId="77777777" w:rsidR="003D5CB6" w:rsidRPr="004D46AC" w:rsidRDefault="003D5CB6" w:rsidP="00B518F1">
            <w:pPr>
              <w:spacing w:line="360" w:lineRule="auto"/>
              <w:ind w:firstLine="0"/>
            </w:pPr>
            <w:r w:rsidRPr="004D46AC">
              <w:t>SCID (91), unclear (48), MINI (18), mixed (9), DIGS (8), SCAN (7), SADS (6), CIDI (3), AMDP (2), CGI (2), OPCRIT (2), PANSS (2), SID (2), BISS, CORE, DI-PAD, DIS, ORSM, PDI, SAPS, YMRS.</w:t>
            </w:r>
          </w:p>
        </w:tc>
      </w:tr>
      <w:tr w:rsidR="003D5CB6" w:rsidRPr="004D46AC" w14:paraId="3B834A6A" w14:textId="77777777" w:rsidTr="00B518F1">
        <w:trPr>
          <w:trHeight w:val="318"/>
        </w:trPr>
        <w:tc>
          <w:tcPr>
            <w:tcW w:w="2254" w:type="dxa"/>
          </w:tcPr>
          <w:p w14:paraId="3EF2A9B4" w14:textId="77777777" w:rsidR="003D5CB6" w:rsidRPr="004D46AC" w:rsidRDefault="003D5CB6" w:rsidP="00B518F1">
            <w:pPr>
              <w:spacing w:line="360" w:lineRule="auto"/>
              <w:ind w:firstLine="0"/>
            </w:pPr>
            <w:r w:rsidRPr="004D46AC">
              <w:t>Study location (</w:t>
            </w:r>
            <w:r w:rsidRPr="004D46AC">
              <w:rPr>
                <w:i/>
                <w:iCs/>
              </w:rPr>
              <w:t>k</w:t>
            </w:r>
            <w:r w:rsidRPr="004D46AC">
              <w:t xml:space="preserve">) </w:t>
            </w:r>
            <w:r w:rsidRPr="004D46AC">
              <w:rPr>
                <w:vertAlign w:val="superscript"/>
              </w:rPr>
              <w:t>d</w:t>
            </w:r>
          </w:p>
        </w:tc>
        <w:tc>
          <w:tcPr>
            <w:tcW w:w="3499" w:type="dxa"/>
          </w:tcPr>
          <w:p w14:paraId="7E653980" w14:textId="77777777" w:rsidR="003D5CB6" w:rsidRPr="004D46AC" w:rsidRDefault="003D5CB6" w:rsidP="00B518F1">
            <w:pPr>
              <w:spacing w:line="360" w:lineRule="auto"/>
              <w:ind w:firstLine="0"/>
            </w:pPr>
            <w:r w:rsidRPr="004D46AC">
              <w:t>USA (9), AU (2), CN (2), EGY (2), IN (2), TR (2), UK (2), CA, CH, DK, ES, GL, QA, SE</w:t>
            </w:r>
          </w:p>
        </w:tc>
        <w:tc>
          <w:tcPr>
            <w:tcW w:w="3263" w:type="dxa"/>
          </w:tcPr>
          <w:p w14:paraId="0C5BDEE9" w14:textId="77777777" w:rsidR="003D5CB6" w:rsidRPr="004D46AC" w:rsidRDefault="003D5CB6" w:rsidP="00B518F1">
            <w:pPr>
              <w:spacing w:line="360" w:lineRule="auto"/>
              <w:ind w:firstLine="0"/>
            </w:pPr>
            <w:r w:rsidRPr="004D46AC">
              <w:t>USA (61), IT (20), TR (12), UK (11), FR (10), CN (8), IN (7), KR (7), BR (6), NO (6), CA (5), CH (5), DE (5), ES (5), EU (4), GL (4), AU (3), NL (3), PL (3), SE (3), DK (2), EGY (2), ET (2), AT, CL, FI, GR, HU, IE, IR, JP, LB, ME, MY, SG, TN, UG.</w:t>
            </w:r>
          </w:p>
        </w:tc>
      </w:tr>
      <w:tr w:rsidR="003D5CB6" w:rsidRPr="004D46AC" w14:paraId="2F0E1001" w14:textId="77777777" w:rsidTr="00B518F1">
        <w:trPr>
          <w:trHeight w:val="318"/>
        </w:trPr>
        <w:tc>
          <w:tcPr>
            <w:tcW w:w="2254" w:type="dxa"/>
          </w:tcPr>
          <w:p w14:paraId="36CAA012" w14:textId="77777777" w:rsidR="003D5CB6" w:rsidRPr="004D46AC" w:rsidRDefault="003D5CB6" w:rsidP="00B518F1">
            <w:pPr>
              <w:spacing w:line="360" w:lineRule="auto"/>
              <w:ind w:firstLine="0"/>
            </w:pPr>
            <w:r w:rsidRPr="004D46AC">
              <w:t>Patient type (</w:t>
            </w:r>
            <w:r w:rsidRPr="004D46AC">
              <w:rPr>
                <w:i/>
                <w:iCs/>
              </w:rPr>
              <w:t>k</w:t>
            </w:r>
            <w:r w:rsidRPr="004D46AC">
              <w:t>)</w:t>
            </w:r>
          </w:p>
        </w:tc>
        <w:tc>
          <w:tcPr>
            <w:tcW w:w="3499" w:type="dxa"/>
          </w:tcPr>
          <w:p w14:paraId="166BAB08" w14:textId="77777777" w:rsidR="003D5CB6" w:rsidRPr="004D46AC" w:rsidRDefault="003D5CB6" w:rsidP="00B518F1">
            <w:pPr>
              <w:spacing w:line="360" w:lineRule="auto"/>
              <w:ind w:firstLine="0"/>
            </w:pPr>
            <w:r w:rsidRPr="004D46AC">
              <w:t>Inpatient (6), Mixed (17), Outpatient (5)</w:t>
            </w:r>
          </w:p>
        </w:tc>
        <w:tc>
          <w:tcPr>
            <w:tcW w:w="3263" w:type="dxa"/>
          </w:tcPr>
          <w:p w14:paraId="3B8D193D" w14:textId="77777777" w:rsidR="003D5CB6" w:rsidRPr="004D46AC" w:rsidRDefault="003D5CB6" w:rsidP="00B518F1">
            <w:pPr>
              <w:spacing w:line="360" w:lineRule="auto"/>
              <w:ind w:firstLine="0"/>
            </w:pPr>
            <w:r w:rsidRPr="004D46AC">
              <w:t>Inpatient (34), Mixed (46), Outpatient (57), Unknown (51)</w:t>
            </w:r>
          </w:p>
        </w:tc>
      </w:tr>
      <w:tr w:rsidR="003D5CB6" w:rsidRPr="004D46AC" w14:paraId="0B552AF1" w14:textId="77777777" w:rsidTr="00B518F1">
        <w:trPr>
          <w:trHeight w:val="318"/>
        </w:trPr>
        <w:tc>
          <w:tcPr>
            <w:tcW w:w="2254" w:type="dxa"/>
          </w:tcPr>
          <w:p w14:paraId="4988BDD8" w14:textId="77777777" w:rsidR="003D5CB6" w:rsidRPr="004D46AC" w:rsidRDefault="003D5CB6" w:rsidP="00B518F1">
            <w:pPr>
              <w:spacing w:line="360" w:lineRule="auto"/>
              <w:ind w:firstLine="0"/>
            </w:pPr>
            <w:r w:rsidRPr="004D46AC">
              <w:t>Bipolar type (</w:t>
            </w:r>
            <w:r w:rsidRPr="004D46AC">
              <w:rPr>
                <w:i/>
                <w:iCs/>
              </w:rPr>
              <w:t>k</w:t>
            </w:r>
            <w:r w:rsidRPr="004D46AC">
              <w:t>)</w:t>
            </w:r>
          </w:p>
        </w:tc>
        <w:tc>
          <w:tcPr>
            <w:tcW w:w="3499" w:type="dxa"/>
          </w:tcPr>
          <w:p w14:paraId="1DE7EC40" w14:textId="77777777" w:rsidR="003D5CB6" w:rsidRPr="004D46AC" w:rsidRDefault="003D5CB6" w:rsidP="00B518F1">
            <w:pPr>
              <w:spacing w:line="360" w:lineRule="auto"/>
              <w:ind w:firstLine="0"/>
            </w:pPr>
            <w:r w:rsidRPr="004D46AC">
              <w:t>Psychotic Bipolar (4), Bipolar I (9) and BSD (15)</w:t>
            </w:r>
          </w:p>
        </w:tc>
        <w:tc>
          <w:tcPr>
            <w:tcW w:w="3263" w:type="dxa"/>
          </w:tcPr>
          <w:p w14:paraId="655F127D" w14:textId="77777777" w:rsidR="003D5CB6" w:rsidRPr="004D46AC" w:rsidRDefault="003D5CB6" w:rsidP="00B518F1">
            <w:pPr>
              <w:spacing w:line="360" w:lineRule="auto"/>
              <w:ind w:firstLine="0"/>
            </w:pPr>
            <w:r w:rsidRPr="004D46AC">
              <w:t>Psychotic Bipolar, Bipolar I (68), BSD (136) and Bipolar II (3)</w:t>
            </w:r>
          </w:p>
        </w:tc>
      </w:tr>
      <w:tr w:rsidR="003D5CB6" w:rsidRPr="004D46AC" w14:paraId="3268CF83" w14:textId="77777777" w:rsidTr="00B518F1">
        <w:trPr>
          <w:trHeight w:val="318"/>
        </w:trPr>
        <w:tc>
          <w:tcPr>
            <w:tcW w:w="2254" w:type="dxa"/>
          </w:tcPr>
          <w:p w14:paraId="5D5D17BF" w14:textId="77777777" w:rsidR="003D5CB6" w:rsidRPr="004D46AC" w:rsidRDefault="003D5CB6" w:rsidP="00B518F1">
            <w:pPr>
              <w:spacing w:line="360" w:lineRule="auto"/>
              <w:ind w:firstLine="0"/>
            </w:pPr>
            <w:r w:rsidRPr="004D46AC">
              <w:t>Type of psychosis (</w:t>
            </w:r>
            <w:r w:rsidRPr="004D46AC">
              <w:rPr>
                <w:i/>
                <w:iCs/>
              </w:rPr>
              <w:t>k</w:t>
            </w:r>
            <w:r w:rsidRPr="004D46AC">
              <w:t>)</w:t>
            </w:r>
          </w:p>
        </w:tc>
        <w:tc>
          <w:tcPr>
            <w:tcW w:w="3499" w:type="dxa"/>
          </w:tcPr>
          <w:p w14:paraId="5764DD11" w14:textId="77777777" w:rsidR="003D5CB6" w:rsidRPr="004D46AC" w:rsidRDefault="003D5CB6" w:rsidP="00B518F1">
            <w:pPr>
              <w:spacing w:line="360" w:lineRule="auto"/>
              <w:ind w:firstLine="0"/>
            </w:pPr>
            <w:r w:rsidRPr="004D46AC">
              <w:t>First rank symptoms (10), Schizophrenia (8), Psychotic disorders (7)</w:t>
            </w:r>
            <w:r w:rsidRPr="004D46AC">
              <w:rPr>
                <w:vertAlign w:val="superscript"/>
              </w:rPr>
              <w:t>e</w:t>
            </w:r>
            <w:r w:rsidRPr="004D46AC">
              <w:t xml:space="preserve">, </w:t>
            </w:r>
            <w:proofErr w:type="gramStart"/>
            <w:r w:rsidRPr="004D46AC">
              <w:t>Schizoaffective disorder</w:t>
            </w:r>
            <w:proofErr w:type="gramEnd"/>
            <w:r w:rsidRPr="004D46AC">
              <w:t xml:space="preserve"> (3)</w:t>
            </w:r>
          </w:p>
        </w:tc>
        <w:tc>
          <w:tcPr>
            <w:tcW w:w="3263" w:type="dxa"/>
          </w:tcPr>
          <w:p w14:paraId="5381B77B" w14:textId="77777777" w:rsidR="003D5CB6" w:rsidRPr="004D46AC" w:rsidRDefault="003D5CB6" w:rsidP="00B518F1">
            <w:pPr>
              <w:spacing w:line="360" w:lineRule="auto"/>
              <w:ind w:firstLine="0"/>
            </w:pPr>
            <w:r w:rsidRPr="004D46AC">
              <w:t>Not applicable</w:t>
            </w:r>
          </w:p>
        </w:tc>
      </w:tr>
    </w:tbl>
    <w:p w14:paraId="79EDA8A8" w14:textId="77777777" w:rsidR="003D5CB6" w:rsidRPr="004D46AC" w:rsidRDefault="003D5CB6" w:rsidP="00B518F1">
      <w:pPr>
        <w:spacing w:line="360" w:lineRule="auto"/>
        <w:ind w:firstLine="0"/>
        <w:rPr>
          <w:rFonts w:eastAsia="SimSun"/>
        </w:rPr>
      </w:pPr>
      <w:r w:rsidRPr="004D46AC">
        <w:rPr>
          <w:rFonts w:eastAsia="SimSun"/>
          <w:i/>
          <w:iCs/>
        </w:rPr>
        <w:t>Note</w:t>
      </w:r>
      <w:r w:rsidRPr="004D46AC">
        <w:rPr>
          <w:rFonts w:eastAsia="SimSun"/>
        </w:rPr>
        <w:t>. The study number</w:t>
      </w:r>
      <w:r w:rsidRPr="004D46AC">
        <w:rPr>
          <w:rFonts w:eastAsia="SimSun" w:hint="eastAsia"/>
        </w:rPr>
        <w:t xml:space="preserve"> (</w:t>
      </w:r>
      <w:r w:rsidRPr="004D46AC">
        <w:rPr>
          <w:rFonts w:eastAsia="SimSun" w:hint="eastAsia"/>
          <w:i/>
          <w:iCs/>
        </w:rPr>
        <w:t>k</w:t>
      </w:r>
      <w:r w:rsidRPr="004D46AC">
        <w:rPr>
          <w:rFonts w:eastAsia="SimSun" w:hint="eastAsia"/>
        </w:rPr>
        <w:t>)</w:t>
      </w:r>
      <w:r w:rsidRPr="004D46AC">
        <w:rPr>
          <w:rFonts w:eastAsia="SimSun"/>
        </w:rPr>
        <w:t xml:space="preserve"> is one for those without brackets.</w:t>
      </w:r>
    </w:p>
    <w:p w14:paraId="2D6C2D98" w14:textId="77777777" w:rsidR="003D5CB6" w:rsidRPr="004D46AC" w:rsidRDefault="003D5CB6" w:rsidP="00B518F1">
      <w:pPr>
        <w:spacing w:line="360" w:lineRule="auto"/>
        <w:ind w:firstLine="0"/>
        <w:rPr>
          <w:rFonts w:eastAsia="SimSun"/>
        </w:rPr>
      </w:pPr>
      <w:r w:rsidRPr="004D46AC">
        <w:rPr>
          <w:rFonts w:eastAsia="SimSun"/>
          <w:vertAlign w:val="superscript"/>
        </w:rPr>
        <w:t>a</w:t>
      </w:r>
      <w:r w:rsidRPr="004D46AC">
        <w:rPr>
          <w:rFonts w:eastAsia="SimSun" w:hint="eastAsia"/>
          <w:vertAlign w:val="superscript"/>
        </w:rPr>
        <w:t xml:space="preserve"> </w:t>
      </w:r>
      <w:r w:rsidRPr="004D46AC">
        <w:rPr>
          <w:rFonts w:eastAsia="SimSun"/>
        </w:rPr>
        <w:t xml:space="preserve">Data was missing in 22 studies for psychosis, and 7 studies for </w:t>
      </w:r>
      <w:proofErr w:type="gramStart"/>
      <w:r w:rsidRPr="004D46AC">
        <w:rPr>
          <w:rFonts w:eastAsia="SimSun"/>
        </w:rPr>
        <w:t>schizophrenia;</w:t>
      </w:r>
      <w:proofErr w:type="gramEnd"/>
    </w:p>
    <w:p w14:paraId="2A1DDDBD" w14:textId="77777777" w:rsidR="003D5CB6" w:rsidRPr="004D46AC" w:rsidRDefault="003D5CB6" w:rsidP="00B518F1">
      <w:pPr>
        <w:spacing w:line="360" w:lineRule="auto"/>
        <w:ind w:firstLine="0"/>
        <w:rPr>
          <w:rFonts w:eastAsia="SimSun"/>
        </w:rPr>
      </w:pPr>
      <w:r w:rsidRPr="004D46AC">
        <w:rPr>
          <w:rFonts w:eastAsia="SimSun"/>
          <w:vertAlign w:val="superscript"/>
        </w:rPr>
        <w:t>b</w:t>
      </w:r>
      <w:r w:rsidRPr="004D46AC">
        <w:rPr>
          <w:rFonts w:eastAsia="SimSun" w:hint="eastAsia"/>
          <w:vertAlign w:val="superscript"/>
        </w:rPr>
        <w:t xml:space="preserve"> </w:t>
      </w:r>
      <w:r w:rsidRPr="004D46AC">
        <w:rPr>
          <w:rFonts w:eastAsia="SimSun"/>
        </w:rPr>
        <w:t>Data was missing in 11 studies.</w:t>
      </w:r>
    </w:p>
    <w:p w14:paraId="56D05401" w14:textId="77777777" w:rsidR="003D5CB6" w:rsidRPr="004D46AC" w:rsidRDefault="003D5CB6" w:rsidP="00B518F1">
      <w:pPr>
        <w:spacing w:line="360" w:lineRule="auto"/>
        <w:ind w:firstLine="0"/>
        <w:rPr>
          <w:rFonts w:eastAsia="SimSun"/>
        </w:rPr>
      </w:pPr>
      <w:r w:rsidRPr="004D46AC">
        <w:rPr>
          <w:rFonts w:eastAsia="SimSun"/>
          <w:vertAlign w:val="superscript"/>
        </w:rPr>
        <w:t>c</w:t>
      </w:r>
      <w:r w:rsidRPr="004D46AC">
        <w:rPr>
          <w:rFonts w:eastAsia="SimSun" w:hint="eastAsia"/>
          <w:vertAlign w:val="superscript"/>
        </w:rPr>
        <w:t xml:space="preserve"> </w:t>
      </w:r>
      <w:proofErr w:type="gramStart"/>
      <w:r w:rsidRPr="004D46AC">
        <w:rPr>
          <w:rFonts w:eastAsia="SimSun"/>
        </w:rPr>
        <w:t>The</w:t>
      </w:r>
      <w:proofErr w:type="gramEnd"/>
      <w:r w:rsidRPr="004D46AC">
        <w:rPr>
          <w:rFonts w:eastAsia="SimSun"/>
        </w:rPr>
        <w:t xml:space="preserve"> full name of the diagnostic standards and assessment tools can be retrieved from supplementary materials.</w:t>
      </w:r>
    </w:p>
    <w:p w14:paraId="11339AFC" w14:textId="77777777" w:rsidR="003D5CB6" w:rsidRPr="004D46AC" w:rsidRDefault="003D5CB6" w:rsidP="00B518F1">
      <w:pPr>
        <w:spacing w:line="360" w:lineRule="auto"/>
        <w:ind w:firstLine="0"/>
        <w:rPr>
          <w:rFonts w:eastAsia="SimSun"/>
        </w:rPr>
      </w:pPr>
      <w:r w:rsidRPr="004D46AC">
        <w:rPr>
          <w:rFonts w:eastAsia="SimSun"/>
          <w:vertAlign w:val="superscript"/>
        </w:rPr>
        <w:t>d</w:t>
      </w:r>
      <w:r w:rsidRPr="004D46AC">
        <w:rPr>
          <w:rFonts w:eastAsia="SimSun" w:hint="eastAsia"/>
          <w:vertAlign w:val="superscript"/>
        </w:rPr>
        <w:t xml:space="preserve"> </w:t>
      </w:r>
      <w:proofErr w:type="gramStart"/>
      <w:r w:rsidRPr="004D46AC">
        <w:rPr>
          <w:rFonts w:eastAsia="SimSun"/>
        </w:rPr>
        <w:t>The</w:t>
      </w:r>
      <w:proofErr w:type="gramEnd"/>
      <w:r w:rsidRPr="004D46AC">
        <w:rPr>
          <w:rFonts w:eastAsia="SimSun"/>
        </w:rPr>
        <w:t xml:space="preserve"> study location used 2 or 3 letters country code. The GL indicated that the study was conducted in multiple countries.</w:t>
      </w:r>
    </w:p>
    <w:p w14:paraId="03CD6940" w14:textId="77777777" w:rsidR="003D5CB6" w:rsidRPr="004D46AC" w:rsidRDefault="003D5CB6" w:rsidP="00B518F1">
      <w:pPr>
        <w:spacing w:line="360" w:lineRule="auto"/>
        <w:ind w:firstLine="0"/>
        <w:rPr>
          <w:rFonts w:eastAsia="SimSun"/>
        </w:rPr>
      </w:pPr>
      <w:r w:rsidRPr="004D46AC">
        <w:rPr>
          <w:rFonts w:eastAsia="SimSun"/>
          <w:vertAlign w:val="superscript"/>
        </w:rPr>
        <w:t>e</w:t>
      </w:r>
      <w:r w:rsidRPr="004D46AC">
        <w:rPr>
          <w:rFonts w:eastAsia="SimSun" w:hint="eastAsia"/>
          <w:vertAlign w:val="superscript"/>
        </w:rPr>
        <w:t xml:space="preserve"> </w:t>
      </w:r>
      <w:proofErr w:type="gramStart"/>
      <w:r w:rsidRPr="004D46AC">
        <w:rPr>
          <w:rFonts w:eastAsia="SimSun"/>
        </w:rPr>
        <w:t>The</w:t>
      </w:r>
      <w:proofErr w:type="gramEnd"/>
      <w:r w:rsidRPr="004D46AC">
        <w:rPr>
          <w:rFonts w:eastAsia="SimSun"/>
        </w:rPr>
        <w:t xml:space="preserve"> psychotic disorders include one study focused on schizophrenia spectrum disorder.</w:t>
      </w:r>
    </w:p>
    <w:p w14:paraId="7A4B7C76" w14:textId="77777777" w:rsidR="003D5CB6" w:rsidRPr="004D46AC" w:rsidRDefault="003D5CB6" w:rsidP="00B518F1">
      <w:pPr>
        <w:spacing w:line="360" w:lineRule="auto"/>
        <w:ind w:firstLine="0"/>
        <w:rPr>
          <w:rFonts w:eastAsia="SimSun"/>
        </w:rPr>
      </w:pPr>
    </w:p>
    <w:p w14:paraId="6AB33CE5" w14:textId="640C15FB" w:rsidR="005B3793" w:rsidRPr="004D46AC" w:rsidRDefault="003A1ED4" w:rsidP="005B3793">
      <w:pPr>
        <w:pStyle w:val="afff0"/>
        <w:spacing w:after="0" w:line="360" w:lineRule="auto"/>
        <w:ind w:firstLine="0"/>
        <w:rPr>
          <w:rFonts w:eastAsiaTheme="minorEastAsia"/>
          <w:b/>
          <w:bCs/>
          <w:i w:val="0"/>
          <w:iCs w:val="0"/>
          <w:color w:val="auto"/>
          <w:sz w:val="22"/>
          <w:szCs w:val="22"/>
        </w:rPr>
      </w:pPr>
      <w:bookmarkStart w:id="101" w:name="_Toc219883854"/>
      <w:bookmarkStart w:id="102" w:name="_Toc219870606"/>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bookmarkEnd w:id="101"/>
      <w:r w:rsidR="004725A0" w:rsidRPr="004D46AC">
        <w:rPr>
          <w:b/>
          <w:bCs/>
          <w:i w:val="0"/>
          <w:iCs w:val="0"/>
          <w:color w:val="auto"/>
          <w:sz w:val="22"/>
          <w:szCs w:val="22"/>
        </w:rPr>
        <w:fldChar w:fldCharType="end"/>
      </w:r>
      <w:bookmarkEnd w:id="102"/>
    </w:p>
    <w:p w14:paraId="4513E953" w14:textId="5D60EEBA" w:rsidR="003D5CB6" w:rsidRPr="004D46AC" w:rsidRDefault="003D5CB6" w:rsidP="005B3793">
      <w:pPr>
        <w:pStyle w:val="afff0"/>
        <w:spacing w:after="0" w:line="360" w:lineRule="auto"/>
        <w:ind w:firstLine="0"/>
        <w:rPr>
          <w:rFonts w:eastAsiaTheme="minorEastAsia"/>
          <w:b/>
          <w:bCs/>
          <w:i w:val="0"/>
          <w:iCs w:val="0"/>
          <w:color w:val="auto"/>
          <w:sz w:val="22"/>
          <w:szCs w:val="22"/>
        </w:rPr>
      </w:pPr>
      <w:bookmarkStart w:id="103" w:name="OLE_LINK88"/>
      <w:r w:rsidRPr="004D46AC">
        <w:rPr>
          <w:color w:val="auto"/>
          <w:sz w:val="22"/>
          <w:szCs w:val="22"/>
        </w:rPr>
        <w:t>Demographic and clinical information of studies of specific psychotic symptoms</w:t>
      </w:r>
    </w:p>
    <w:bookmarkEnd w:id="103"/>
    <w:tbl>
      <w:tblPr>
        <w:tblStyle w:val="afc"/>
        <w:tblW w:w="0" w:type="auto"/>
        <w:tblLook w:val="04A0" w:firstRow="1" w:lastRow="0" w:firstColumn="1" w:lastColumn="0" w:noHBand="0" w:noVBand="1"/>
      </w:tblPr>
      <w:tblGrid>
        <w:gridCol w:w="1697"/>
        <w:gridCol w:w="2567"/>
        <w:gridCol w:w="2523"/>
        <w:gridCol w:w="2229"/>
      </w:tblGrid>
      <w:tr w:rsidR="003D5CB6" w:rsidRPr="004D46AC" w14:paraId="29039298" w14:textId="77777777" w:rsidTr="00B518F1">
        <w:trPr>
          <w:trHeight w:val="318"/>
        </w:trPr>
        <w:tc>
          <w:tcPr>
            <w:tcW w:w="2048" w:type="dxa"/>
          </w:tcPr>
          <w:p w14:paraId="27EAFCB4" w14:textId="77777777" w:rsidR="003D5CB6" w:rsidRPr="004D46AC" w:rsidRDefault="003D5CB6" w:rsidP="00B518F1">
            <w:pPr>
              <w:spacing w:line="360" w:lineRule="auto"/>
              <w:ind w:firstLine="0"/>
            </w:pPr>
          </w:p>
        </w:tc>
        <w:tc>
          <w:tcPr>
            <w:tcW w:w="4141" w:type="dxa"/>
          </w:tcPr>
          <w:p w14:paraId="7CED6046" w14:textId="77777777" w:rsidR="003D5CB6" w:rsidRPr="004D46AC" w:rsidRDefault="003D5CB6" w:rsidP="00B518F1">
            <w:pPr>
              <w:spacing w:line="360" w:lineRule="auto"/>
              <w:ind w:firstLine="0"/>
              <w:rPr>
                <w:b/>
                <w:bCs/>
              </w:rPr>
            </w:pPr>
            <w:r w:rsidRPr="004D46AC">
              <w:rPr>
                <w:b/>
                <w:bCs/>
              </w:rPr>
              <w:t>Delusions</w:t>
            </w:r>
          </w:p>
        </w:tc>
        <w:tc>
          <w:tcPr>
            <w:tcW w:w="4063" w:type="dxa"/>
          </w:tcPr>
          <w:p w14:paraId="39936A4C" w14:textId="77777777" w:rsidR="003D5CB6" w:rsidRPr="004D46AC" w:rsidRDefault="003D5CB6" w:rsidP="00B518F1">
            <w:pPr>
              <w:spacing w:line="360" w:lineRule="auto"/>
              <w:ind w:firstLine="0"/>
              <w:rPr>
                <w:b/>
                <w:bCs/>
              </w:rPr>
            </w:pPr>
            <w:r w:rsidRPr="004D46AC">
              <w:rPr>
                <w:b/>
                <w:bCs/>
              </w:rPr>
              <w:t>Hallucinations</w:t>
            </w:r>
          </w:p>
        </w:tc>
        <w:tc>
          <w:tcPr>
            <w:tcW w:w="3696" w:type="dxa"/>
          </w:tcPr>
          <w:p w14:paraId="6761ABAA" w14:textId="77777777" w:rsidR="003D5CB6" w:rsidRPr="004D46AC" w:rsidRDefault="003D5CB6" w:rsidP="00B518F1">
            <w:pPr>
              <w:spacing w:line="360" w:lineRule="auto"/>
              <w:ind w:firstLine="0"/>
              <w:rPr>
                <w:b/>
                <w:bCs/>
              </w:rPr>
            </w:pPr>
            <w:r w:rsidRPr="004D46AC">
              <w:rPr>
                <w:b/>
                <w:bCs/>
              </w:rPr>
              <w:t>Thought disorders</w:t>
            </w:r>
          </w:p>
        </w:tc>
      </w:tr>
      <w:tr w:rsidR="003D5CB6" w:rsidRPr="004D46AC" w14:paraId="5D4518C7" w14:textId="77777777" w:rsidTr="00B518F1">
        <w:trPr>
          <w:trHeight w:val="310"/>
        </w:trPr>
        <w:tc>
          <w:tcPr>
            <w:tcW w:w="2048" w:type="dxa"/>
          </w:tcPr>
          <w:p w14:paraId="091B9209" w14:textId="77777777" w:rsidR="003D5CB6" w:rsidRPr="004D46AC" w:rsidRDefault="003D5CB6" w:rsidP="00B518F1">
            <w:pPr>
              <w:spacing w:line="360" w:lineRule="auto"/>
              <w:ind w:firstLine="0"/>
              <w:rPr>
                <w:b/>
                <w:bCs/>
                <w:i/>
                <w:iCs/>
              </w:rPr>
            </w:pPr>
            <w:r w:rsidRPr="004D46AC">
              <w:rPr>
                <w:b/>
                <w:bCs/>
                <w:i/>
                <w:iCs/>
              </w:rPr>
              <w:lastRenderedPageBreak/>
              <w:t>N</w:t>
            </w:r>
          </w:p>
        </w:tc>
        <w:tc>
          <w:tcPr>
            <w:tcW w:w="4141" w:type="dxa"/>
          </w:tcPr>
          <w:p w14:paraId="01BE1B52" w14:textId="77777777" w:rsidR="003D5CB6" w:rsidRPr="004D46AC" w:rsidRDefault="003D5CB6" w:rsidP="00B518F1">
            <w:pPr>
              <w:spacing w:line="360" w:lineRule="auto"/>
              <w:ind w:firstLine="0"/>
            </w:pPr>
            <w:r w:rsidRPr="004D46AC">
              <w:t>43,507</w:t>
            </w:r>
          </w:p>
        </w:tc>
        <w:tc>
          <w:tcPr>
            <w:tcW w:w="4063" w:type="dxa"/>
          </w:tcPr>
          <w:p w14:paraId="752AC72B" w14:textId="77777777" w:rsidR="003D5CB6" w:rsidRPr="004D46AC" w:rsidRDefault="003D5CB6" w:rsidP="00B518F1">
            <w:pPr>
              <w:spacing w:line="360" w:lineRule="auto"/>
              <w:ind w:firstLine="0"/>
            </w:pPr>
            <w:r w:rsidRPr="004D46AC">
              <w:t>44,865</w:t>
            </w:r>
          </w:p>
        </w:tc>
        <w:tc>
          <w:tcPr>
            <w:tcW w:w="3696" w:type="dxa"/>
          </w:tcPr>
          <w:p w14:paraId="0527A72D" w14:textId="77777777" w:rsidR="003D5CB6" w:rsidRPr="004D46AC" w:rsidRDefault="003D5CB6" w:rsidP="00B518F1">
            <w:pPr>
              <w:spacing w:line="360" w:lineRule="auto"/>
              <w:ind w:firstLine="0"/>
            </w:pPr>
            <w:r w:rsidRPr="004D46AC">
              <w:t>5,952</w:t>
            </w:r>
          </w:p>
        </w:tc>
      </w:tr>
      <w:tr w:rsidR="003D5CB6" w:rsidRPr="004D46AC" w14:paraId="5C603B23" w14:textId="77777777" w:rsidTr="00B518F1">
        <w:trPr>
          <w:trHeight w:val="318"/>
        </w:trPr>
        <w:tc>
          <w:tcPr>
            <w:tcW w:w="2048" w:type="dxa"/>
          </w:tcPr>
          <w:p w14:paraId="3ED4634F" w14:textId="77777777" w:rsidR="003D5CB6" w:rsidRPr="004D46AC" w:rsidRDefault="003D5CB6" w:rsidP="00B518F1">
            <w:pPr>
              <w:spacing w:line="360" w:lineRule="auto"/>
              <w:ind w:firstLine="0"/>
              <w:rPr>
                <w:b/>
                <w:bCs/>
                <w:i/>
                <w:iCs/>
              </w:rPr>
            </w:pPr>
            <w:r w:rsidRPr="004D46AC">
              <w:rPr>
                <w:b/>
                <w:bCs/>
                <w:i/>
                <w:iCs/>
              </w:rPr>
              <w:t>Age, M</w:t>
            </w:r>
            <w:r w:rsidRPr="004D46AC">
              <w:rPr>
                <w:b/>
                <w:bCs/>
              </w:rPr>
              <w:t xml:space="preserve"> (</w:t>
            </w:r>
            <w:r w:rsidRPr="004D46AC">
              <w:rPr>
                <w:b/>
                <w:bCs/>
                <w:i/>
                <w:iCs/>
              </w:rPr>
              <w:t>SD</w:t>
            </w:r>
            <w:r w:rsidRPr="004D46AC">
              <w:rPr>
                <w:b/>
                <w:bCs/>
              </w:rPr>
              <w:t xml:space="preserve">) </w:t>
            </w:r>
            <w:r w:rsidRPr="004D46AC">
              <w:rPr>
                <w:b/>
                <w:bCs/>
                <w:vertAlign w:val="superscript"/>
              </w:rPr>
              <w:t>a</w:t>
            </w:r>
          </w:p>
        </w:tc>
        <w:tc>
          <w:tcPr>
            <w:tcW w:w="4141" w:type="dxa"/>
          </w:tcPr>
          <w:p w14:paraId="74F29F71" w14:textId="77777777" w:rsidR="003D5CB6" w:rsidRPr="004D46AC" w:rsidRDefault="003D5CB6" w:rsidP="00B518F1">
            <w:pPr>
              <w:spacing w:line="360" w:lineRule="auto"/>
              <w:ind w:firstLine="0"/>
            </w:pPr>
            <w:r w:rsidRPr="004D46AC">
              <w:t>43.02 (7.42)</w:t>
            </w:r>
          </w:p>
        </w:tc>
        <w:tc>
          <w:tcPr>
            <w:tcW w:w="4063" w:type="dxa"/>
          </w:tcPr>
          <w:p w14:paraId="1ADBB8C6" w14:textId="77777777" w:rsidR="003D5CB6" w:rsidRPr="004D46AC" w:rsidRDefault="003D5CB6" w:rsidP="00B518F1">
            <w:pPr>
              <w:spacing w:line="360" w:lineRule="auto"/>
              <w:ind w:firstLine="0"/>
            </w:pPr>
            <w:r w:rsidRPr="004D46AC">
              <w:t>43.08 (7.50)</w:t>
            </w:r>
          </w:p>
        </w:tc>
        <w:tc>
          <w:tcPr>
            <w:tcW w:w="3696" w:type="dxa"/>
          </w:tcPr>
          <w:p w14:paraId="7A4C4E2E" w14:textId="77777777" w:rsidR="003D5CB6" w:rsidRPr="004D46AC" w:rsidRDefault="003D5CB6" w:rsidP="00B518F1">
            <w:pPr>
              <w:spacing w:line="360" w:lineRule="auto"/>
              <w:ind w:firstLine="0"/>
            </w:pPr>
            <w:r w:rsidRPr="004D46AC">
              <w:t>44.66 (7.84)</w:t>
            </w:r>
          </w:p>
        </w:tc>
      </w:tr>
      <w:tr w:rsidR="003D5CB6" w:rsidRPr="004D46AC" w14:paraId="45C3A2E0" w14:textId="77777777" w:rsidTr="00B518F1">
        <w:trPr>
          <w:trHeight w:val="318"/>
        </w:trPr>
        <w:tc>
          <w:tcPr>
            <w:tcW w:w="2048" w:type="dxa"/>
          </w:tcPr>
          <w:p w14:paraId="72C99470" w14:textId="77777777" w:rsidR="003D5CB6" w:rsidRPr="004D46AC" w:rsidRDefault="003D5CB6" w:rsidP="00B518F1">
            <w:pPr>
              <w:spacing w:line="360" w:lineRule="auto"/>
              <w:ind w:firstLine="0"/>
              <w:rPr>
                <w:b/>
                <w:bCs/>
              </w:rPr>
            </w:pPr>
            <w:r w:rsidRPr="004D46AC">
              <w:rPr>
                <w:b/>
                <w:bCs/>
              </w:rPr>
              <w:t xml:space="preserve">Female, </w:t>
            </w:r>
            <w:r w:rsidRPr="004D46AC">
              <w:rPr>
                <w:b/>
                <w:bCs/>
                <w:i/>
                <w:iCs/>
              </w:rPr>
              <w:t xml:space="preserve">n </w:t>
            </w:r>
            <w:r w:rsidRPr="004D46AC">
              <w:rPr>
                <w:b/>
                <w:bCs/>
              </w:rPr>
              <w:t xml:space="preserve">(%) </w:t>
            </w:r>
            <w:r w:rsidRPr="004D46AC">
              <w:rPr>
                <w:b/>
                <w:bCs/>
                <w:vertAlign w:val="superscript"/>
              </w:rPr>
              <w:t>b</w:t>
            </w:r>
          </w:p>
        </w:tc>
        <w:tc>
          <w:tcPr>
            <w:tcW w:w="4141" w:type="dxa"/>
          </w:tcPr>
          <w:p w14:paraId="3A508E04" w14:textId="77777777" w:rsidR="003D5CB6" w:rsidRPr="004D46AC" w:rsidRDefault="003D5CB6" w:rsidP="00B518F1">
            <w:pPr>
              <w:spacing w:line="360" w:lineRule="auto"/>
              <w:ind w:firstLine="0"/>
            </w:pPr>
            <w:r w:rsidRPr="004D46AC">
              <w:t>26,051 (59.88)</w:t>
            </w:r>
          </w:p>
        </w:tc>
        <w:tc>
          <w:tcPr>
            <w:tcW w:w="4063" w:type="dxa"/>
          </w:tcPr>
          <w:p w14:paraId="3F64F6B6" w14:textId="77777777" w:rsidR="003D5CB6" w:rsidRPr="004D46AC" w:rsidRDefault="003D5CB6" w:rsidP="00B518F1">
            <w:pPr>
              <w:spacing w:line="360" w:lineRule="auto"/>
              <w:ind w:firstLine="0"/>
            </w:pPr>
            <w:r w:rsidRPr="004D46AC">
              <w:t>26,608 (59.31)</w:t>
            </w:r>
          </w:p>
        </w:tc>
        <w:tc>
          <w:tcPr>
            <w:tcW w:w="3696" w:type="dxa"/>
          </w:tcPr>
          <w:p w14:paraId="1F5973FE" w14:textId="77777777" w:rsidR="003D5CB6" w:rsidRPr="004D46AC" w:rsidRDefault="003D5CB6" w:rsidP="00B518F1">
            <w:pPr>
              <w:spacing w:line="360" w:lineRule="auto"/>
              <w:ind w:firstLine="0"/>
            </w:pPr>
            <w:r w:rsidRPr="004D46AC">
              <w:t>2,851 (47.90)</w:t>
            </w:r>
          </w:p>
        </w:tc>
      </w:tr>
      <w:tr w:rsidR="003D5CB6" w:rsidRPr="004D46AC" w14:paraId="1AB1DA78" w14:textId="77777777" w:rsidTr="00B518F1">
        <w:trPr>
          <w:trHeight w:val="318"/>
        </w:trPr>
        <w:tc>
          <w:tcPr>
            <w:tcW w:w="2048" w:type="dxa"/>
          </w:tcPr>
          <w:p w14:paraId="7D4C4FC7" w14:textId="77777777" w:rsidR="003D5CB6" w:rsidRPr="004D46AC" w:rsidRDefault="003D5CB6" w:rsidP="00B518F1">
            <w:pPr>
              <w:spacing w:line="360" w:lineRule="auto"/>
              <w:ind w:firstLine="0"/>
              <w:rPr>
                <w:b/>
                <w:bCs/>
              </w:rPr>
            </w:pPr>
            <w:r w:rsidRPr="004D46AC">
              <w:rPr>
                <w:b/>
                <w:bCs/>
                <w:i/>
                <w:iCs/>
              </w:rPr>
              <w:t>K</w:t>
            </w:r>
          </w:p>
        </w:tc>
        <w:tc>
          <w:tcPr>
            <w:tcW w:w="4141" w:type="dxa"/>
          </w:tcPr>
          <w:p w14:paraId="739D6E6A" w14:textId="77777777" w:rsidR="003D5CB6" w:rsidRPr="004D46AC" w:rsidRDefault="003D5CB6" w:rsidP="00B518F1">
            <w:pPr>
              <w:spacing w:line="360" w:lineRule="auto"/>
              <w:ind w:firstLine="0"/>
            </w:pPr>
            <w:r w:rsidRPr="004D46AC">
              <w:t>76</w:t>
            </w:r>
          </w:p>
        </w:tc>
        <w:tc>
          <w:tcPr>
            <w:tcW w:w="4063" w:type="dxa"/>
          </w:tcPr>
          <w:p w14:paraId="79A1D2B6" w14:textId="77777777" w:rsidR="003D5CB6" w:rsidRPr="004D46AC" w:rsidRDefault="003D5CB6" w:rsidP="00B518F1">
            <w:pPr>
              <w:spacing w:line="360" w:lineRule="auto"/>
              <w:ind w:firstLine="0"/>
            </w:pPr>
            <w:r w:rsidRPr="004D46AC">
              <w:t>71</w:t>
            </w:r>
          </w:p>
        </w:tc>
        <w:tc>
          <w:tcPr>
            <w:tcW w:w="3696" w:type="dxa"/>
          </w:tcPr>
          <w:p w14:paraId="501D9A36" w14:textId="77777777" w:rsidR="003D5CB6" w:rsidRPr="004D46AC" w:rsidRDefault="003D5CB6" w:rsidP="00B518F1">
            <w:pPr>
              <w:spacing w:line="360" w:lineRule="auto"/>
              <w:ind w:firstLine="0"/>
            </w:pPr>
            <w:r w:rsidRPr="004D46AC">
              <w:t>15</w:t>
            </w:r>
          </w:p>
        </w:tc>
      </w:tr>
      <w:tr w:rsidR="003D5CB6" w:rsidRPr="004D46AC" w14:paraId="15AC178D" w14:textId="77777777" w:rsidTr="00B518F1">
        <w:trPr>
          <w:trHeight w:val="310"/>
        </w:trPr>
        <w:tc>
          <w:tcPr>
            <w:tcW w:w="2048" w:type="dxa"/>
          </w:tcPr>
          <w:p w14:paraId="3416E0B2" w14:textId="77777777" w:rsidR="003D5CB6" w:rsidRPr="004D46AC" w:rsidRDefault="003D5CB6" w:rsidP="00B518F1">
            <w:pPr>
              <w:spacing w:line="360" w:lineRule="auto"/>
              <w:ind w:firstLine="0"/>
              <w:rPr>
                <w:b/>
                <w:bCs/>
              </w:rPr>
            </w:pPr>
            <w:r w:rsidRPr="004D46AC">
              <w:rPr>
                <w:b/>
                <w:bCs/>
              </w:rPr>
              <w:t>Sub synthesis (</w:t>
            </w:r>
            <w:r w:rsidRPr="004D46AC">
              <w:rPr>
                <w:b/>
                <w:bCs/>
                <w:i/>
                <w:iCs/>
              </w:rPr>
              <w:t>k</w:t>
            </w:r>
            <w:r w:rsidRPr="004D46AC">
              <w:rPr>
                <w:b/>
                <w:bCs/>
              </w:rPr>
              <w:t>)</w:t>
            </w:r>
          </w:p>
        </w:tc>
        <w:tc>
          <w:tcPr>
            <w:tcW w:w="4141" w:type="dxa"/>
          </w:tcPr>
          <w:p w14:paraId="6CB6E1DB" w14:textId="77777777" w:rsidR="003D5CB6" w:rsidRPr="004D46AC" w:rsidRDefault="003D5CB6" w:rsidP="00B518F1">
            <w:pPr>
              <w:spacing w:line="360" w:lineRule="auto"/>
              <w:ind w:firstLine="0"/>
            </w:pPr>
            <w:r w:rsidRPr="004D46AC">
              <w:t>Lifetime (34), Current (47)</w:t>
            </w:r>
          </w:p>
        </w:tc>
        <w:tc>
          <w:tcPr>
            <w:tcW w:w="4063" w:type="dxa"/>
          </w:tcPr>
          <w:p w14:paraId="3F037C8E" w14:textId="77777777" w:rsidR="003D5CB6" w:rsidRPr="004D46AC" w:rsidRDefault="003D5CB6" w:rsidP="00B518F1">
            <w:pPr>
              <w:spacing w:line="360" w:lineRule="auto"/>
              <w:ind w:firstLine="0"/>
            </w:pPr>
            <w:r w:rsidRPr="004D46AC">
              <w:t>Lifetime (35), Current (42)</w:t>
            </w:r>
          </w:p>
        </w:tc>
        <w:tc>
          <w:tcPr>
            <w:tcW w:w="3696" w:type="dxa"/>
          </w:tcPr>
          <w:p w14:paraId="03CE1FF1" w14:textId="77777777" w:rsidR="003D5CB6" w:rsidRPr="004D46AC" w:rsidRDefault="003D5CB6" w:rsidP="00B518F1">
            <w:pPr>
              <w:spacing w:line="360" w:lineRule="auto"/>
              <w:ind w:firstLine="0"/>
            </w:pPr>
            <w:r w:rsidRPr="004D46AC">
              <w:t>Lifetime (8), Current (10)</w:t>
            </w:r>
          </w:p>
        </w:tc>
      </w:tr>
      <w:tr w:rsidR="003D5CB6" w:rsidRPr="004D46AC" w14:paraId="7AE7EC16" w14:textId="77777777" w:rsidTr="00B518F1">
        <w:trPr>
          <w:trHeight w:val="318"/>
        </w:trPr>
        <w:tc>
          <w:tcPr>
            <w:tcW w:w="2048" w:type="dxa"/>
          </w:tcPr>
          <w:p w14:paraId="06103C24" w14:textId="77777777" w:rsidR="003D5CB6" w:rsidRPr="004D46AC" w:rsidRDefault="003D5CB6" w:rsidP="00B518F1">
            <w:pPr>
              <w:spacing w:line="360" w:lineRule="auto"/>
              <w:ind w:firstLine="0"/>
              <w:rPr>
                <w:b/>
                <w:bCs/>
              </w:rPr>
            </w:pPr>
            <w:r w:rsidRPr="004D46AC">
              <w:rPr>
                <w:b/>
                <w:bCs/>
              </w:rPr>
              <w:t>Diagnostic standards (</w:t>
            </w:r>
            <w:r w:rsidRPr="004D46AC">
              <w:rPr>
                <w:b/>
                <w:bCs/>
                <w:i/>
                <w:iCs/>
              </w:rPr>
              <w:t>k</w:t>
            </w:r>
            <w:r w:rsidRPr="004D46AC">
              <w:rPr>
                <w:b/>
                <w:bCs/>
              </w:rPr>
              <w:t>)</w:t>
            </w:r>
            <w:r w:rsidRPr="004D46AC">
              <w:rPr>
                <w:b/>
                <w:bCs/>
                <w:vertAlign w:val="superscript"/>
              </w:rPr>
              <w:t>c</w:t>
            </w:r>
          </w:p>
        </w:tc>
        <w:tc>
          <w:tcPr>
            <w:tcW w:w="4141" w:type="dxa"/>
          </w:tcPr>
          <w:p w14:paraId="37DFE23B" w14:textId="77777777" w:rsidR="003D5CB6" w:rsidRPr="004D46AC" w:rsidRDefault="003D5CB6" w:rsidP="00B518F1">
            <w:pPr>
              <w:spacing w:line="360" w:lineRule="auto"/>
              <w:ind w:firstLine="0"/>
            </w:pPr>
            <w:r w:rsidRPr="004D46AC">
              <w:t>DSM (54), ICD (8), unclear (6), RDC (4), mixed (4), DCR10, DCUPR</w:t>
            </w:r>
          </w:p>
        </w:tc>
        <w:tc>
          <w:tcPr>
            <w:tcW w:w="4063" w:type="dxa"/>
          </w:tcPr>
          <w:p w14:paraId="22F6D145" w14:textId="77777777" w:rsidR="003D5CB6" w:rsidRPr="004D46AC" w:rsidRDefault="003D5CB6" w:rsidP="00B518F1">
            <w:pPr>
              <w:spacing w:line="360" w:lineRule="auto"/>
              <w:ind w:firstLine="0"/>
            </w:pPr>
            <w:r w:rsidRPr="004D46AC">
              <w:t>DSM (52), ICD (7), unclear (5), RDC (4) mixed (2), DCR10, DCUPR</w:t>
            </w:r>
          </w:p>
        </w:tc>
        <w:tc>
          <w:tcPr>
            <w:tcW w:w="3696" w:type="dxa"/>
          </w:tcPr>
          <w:p w14:paraId="71C703C1" w14:textId="77777777" w:rsidR="003D5CB6" w:rsidRPr="004D46AC" w:rsidRDefault="003D5CB6" w:rsidP="00B518F1">
            <w:pPr>
              <w:spacing w:line="360" w:lineRule="auto"/>
              <w:ind w:firstLine="0"/>
            </w:pPr>
            <w:r w:rsidRPr="004D46AC">
              <w:t>DSM (9), RDC (3), DCUPR, ICD, mixed, unclear</w:t>
            </w:r>
          </w:p>
        </w:tc>
      </w:tr>
      <w:tr w:rsidR="003D5CB6" w:rsidRPr="004D46AC" w14:paraId="38BCA5A5" w14:textId="77777777" w:rsidTr="00B518F1">
        <w:trPr>
          <w:trHeight w:val="310"/>
        </w:trPr>
        <w:tc>
          <w:tcPr>
            <w:tcW w:w="2048" w:type="dxa"/>
          </w:tcPr>
          <w:p w14:paraId="2E58F444" w14:textId="77777777" w:rsidR="003D5CB6" w:rsidRPr="004D46AC" w:rsidRDefault="003D5CB6" w:rsidP="00B518F1">
            <w:pPr>
              <w:spacing w:line="360" w:lineRule="auto"/>
              <w:ind w:firstLine="0"/>
              <w:rPr>
                <w:b/>
                <w:bCs/>
              </w:rPr>
            </w:pPr>
            <w:r w:rsidRPr="004D46AC">
              <w:rPr>
                <w:b/>
                <w:bCs/>
              </w:rPr>
              <w:t>Assessment tools (</w:t>
            </w:r>
            <w:r w:rsidRPr="004D46AC">
              <w:rPr>
                <w:b/>
                <w:bCs/>
                <w:i/>
                <w:iCs/>
              </w:rPr>
              <w:t>k</w:t>
            </w:r>
            <w:r w:rsidRPr="004D46AC">
              <w:rPr>
                <w:b/>
                <w:bCs/>
              </w:rPr>
              <w:t>)</w:t>
            </w:r>
            <w:r w:rsidRPr="004D46AC">
              <w:rPr>
                <w:b/>
                <w:bCs/>
                <w:vertAlign w:val="superscript"/>
              </w:rPr>
              <w:t xml:space="preserve"> c</w:t>
            </w:r>
          </w:p>
        </w:tc>
        <w:tc>
          <w:tcPr>
            <w:tcW w:w="4141" w:type="dxa"/>
          </w:tcPr>
          <w:p w14:paraId="259F9A50" w14:textId="77777777" w:rsidR="003D5CB6" w:rsidRPr="004D46AC" w:rsidRDefault="003D5CB6" w:rsidP="00B518F1">
            <w:pPr>
              <w:spacing w:line="360" w:lineRule="auto"/>
              <w:ind w:firstLine="0"/>
            </w:pPr>
            <w:r w:rsidRPr="004D46AC">
              <w:t>SCID (16), unclear (16), DIGS (6), mixed (6), SADS (4), OPCRIT (3), SAPS (3), AMDP (2), BPRS (2), DIP (2), MINI (2), PDI (2), PSE (2), SCAN (2), BISS, CAPE, CGI, CIDI, DI-PAD, DIS, WGSQ, MDS</w:t>
            </w:r>
          </w:p>
        </w:tc>
        <w:tc>
          <w:tcPr>
            <w:tcW w:w="4063" w:type="dxa"/>
          </w:tcPr>
          <w:p w14:paraId="76EFBF15" w14:textId="77777777" w:rsidR="003D5CB6" w:rsidRPr="004D46AC" w:rsidRDefault="003D5CB6" w:rsidP="00B518F1">
            <w:pPr>
              <w:spacing w:line="360" w:lineRule="auto"/>
              <w:ind w:firstLine="0"/>
            </w:pPr>
            <w:r w:rsidRPr="004D46AC">
              <w:t xml:space="preserve">SCID (19), unclear (11), DIGS (6), mixed (5), OPCRIT (4), MINI (3), SADS (3), AMDP (2), DIP (2), SAPS (2), SCAN (2), BISS, BPRS, CGI, CIDI, CORE, DI-PAD, DIS, EMA, </w:t>
            </w:r>
            <w:proofErr w:type="spellStart"/>
            <w:r w:rsidRPr="004D46AC">
              <w:t>HoNOS</w:t>
            </w:r>
            <w:proofErr w:type="spellEnd"/>
            <w:r w:rsidRPr="004D46AC">
              <w:t>, MDS, PDI, PSE</w:t>
            </w:r>
          </w:p>
        </w:tc>
        <w:tc>
          <w:tcPr>
            <w:tcW w:w="3696" w:type="dxa"/>
          </w:tcPr>
          <w:p w14:paraId="66828888" w14:textId="77777777" w:rsidR="003D5CB6" w:rsidRPr="004D46AC" w:rsidRDefault="003D5CB6" w:rsidP="00B518F1">
            <w:pPr>
              <w:spacing w:line="360" w:lineRule="auto"/>
              <w:ind w:firstLine="0"/>
            </w:pPr>
            <w:r w:rsidRPr="004D46AC">
              <w:t>SCID (3), mixed (2), OPCRIT (2), SADS (2) unclear (2), CMBT, DIGS, DIP, DI-PAD, SAPS</w:t>
            </w:r>
          </w:p>
        </w:tc>
      </w:tr>
      <w:tr w:rsidR="003D5CB6" w:rsidRPr="004D46AC" w14:paraId="6C7BB755" w14:textId="77777777" w:rsidTr="00B518F1">
        <w:trPr>
          <w:trHeight w:val="318"/>
        </w:trPr>
        <w:tc>
          <w:tcPr>
            <w:tcW w:w="2048" w:type="dxa"/>
          </w:tcPr>
          <w:p w14:paraId="382B756C" w14:textId="77777777" w:rsidR="003D5CB6" w:rsidRPr="004D46AC" w:rsidRDefault="003D5CB6" w:rsidP="00B518F1">
            <w:pPr>
              <w:spacing w:line="360" w:lineRule="auto"/>
              <w:ind w:firstLine="0"/>
              <w:rPr>
                <w:b/>
                <w:bCs/>
              </w:rPr>
            </w:pPr>
            <w:r w:rsidRPr="004D46AC">
              <w:rPr>
                <w:b/>
                <w:bCs/>
              </w:rPr>
              <w:t>Study location (</w:t>
            </w:r>
            <w:r w:rsidRPr="004D46AC">
              <w:rPr>
                <w:b/>
                <w:bCs/>
                <w:i/>
                <w:iCs/>
              </w:rPr>
              <w:t>k</w:t>
            </w:r>
            <w:r w:rsidRPr="004D46AC">
              <w:rPr>
                <w:b/>
                <w:bCs/>
              </w:rPr>
              <w:t xml:space="preserve">) </w:t>
            </w:r>
            <w:r w:rsidRPr="004D46AC">
              <w:rPr>
                <w:b/>
                <w:bCs/>
                <w:vertAlign w:val="superscript"/>
              </w:rPr>
              <w:t>d</w:t>
            </w:r>
          </w:p>
        </w:tc>
        <w:tc>
          <w:tcPr>
            <w:tcW w:w="4141" w:type="dxa"/>
          </w:tcPr>
          <w:p w14:paraId="764478D6" w14:textId="77777777" w:rsidR="003D5CB6" w:rsidRPr="004D46AC" w:rsidRDefault="003D5CB6" w:rsidP="00B518F1">
            <w:pPr>
              <w:spacing w:line="360" w:lineRule="auto"/>
              <w:ind w:firstLine="0"/>
            </w:pPr>
            <w:r w:rsidRPr="004D46AC">
              <w:t>USA (23), IT (10), DE (7), IN (6), UK (6), AU (4), CH (3), FR (3), KR (3), TR (2), CN, EGY, ET, EU, FI, GL, NL, PL, SE, UG</w:t>
            </w:r>
          </w:p>
        </w:tc>
        <w:tc>
          <w:tcPr>
            <w:tcW w:w="4063" w:type="dxa"/>
          </w:tcPr>
          <w:p w14:paraId="3BDCAA52" w14:textId="77777777" w:rsidR="003D5CB6" w:rsidRPr="004D46AC" w:rsidRDefault="003D5CB6" w:rsidP="00B518F1">
            <w:pPr>
              <w:spacing w:line="360" w:lineRule="auto"/>
              <w:ind w:firstLine="0"/>
            </w:pPr>
            <w:r w:rsidRPr="004D46AC">
              <w:t>USA (27), UK (8), IT (7), DE (6), AU (4), IN (4), CH (3), KR (3), FR (2), NO, CN, EGY, ET, NL, SE, TR, UG</w:t>
            </w:r>
          </w:p>
        </w:tc>
        <w:tc>
          <w:tcPr>
            <w:tcW w:w="3696" w:type="dxa"/>
          </w:tcPr>
          <w:p w14:paraId="1B7ED9F1" w14:textId="77777777" w:rsidR="003D5CB6" w:rsidRPr="004D46AC" w:rsidRDefault="003D5CB6" w:rsidP="00B518F1">
            <w:pPr>
              <w:spacing w:line="360" w:lineRule="auto"/>
              <w:ind w:firstLine="0"/>
            </w:pPr>
            <w:r w:rsidRPr="004D46AC">
              <w:t xml:space="preserve">USA (11), UK (2), DE (2), AU </w:t>
            </w:r>
          </w:p>
        </w:tc>
      </w:tr>
      <w:tr w:rsidR="003D5CB6" w:rsidRPr="004D46AC" w14:paraId="11167D14" w14:textId="77777777" w:rsidTr="00B518F1">
        <w:trPr>
          <w:trHeight w:val="318"/>
        </w:trPr>
        <w:tc>
          <w:tcPr>
            <w:tcW w:w="2048" w:type="dxa"/>
          </w:tcPr>
          <w:p w14:paraId="61352E57" w14:textId="77777777" w:rsidR="003D5CB6" w:rsidRPr="004D46AC" w:rsidRDefault="003D5CB6" w:rsidP="00B518F1">
            <w:pPr>
              <w:spacing w:line="360" w:lineRule="auto"/>
              <w:ind w:firstLine="0"/>
              <w:rPr>
                <w:b/>
                <w:bCs/>
              </w:rPr>
            </w:pPr>
            <w:r w:rsidRPr="004D46AC">
              <w:rPr>
                <w:b/>
                <w:bCs/>
              </w:rPr>
              <w:t>Patient type (</w:t>
            </w:r>
            <w:r w:rsidRPr="004D46AC">
              <w:rPr>
                <w:b/>
                <w:bCs/>
                <w:i/>
                <w:iCs/>
              </w:rPr>
              <w:t>k</w:t>
            </w:r>
            <w:r w:rsidRPr="004D46AC">
              <w:rPr>
                <w:b/>
                <w:bCs/>
              </w:rPr>
              <w:t>)</w:t>
            </w:r>
          </w:p>
        </w:tc>
        <w:tc>
          <w:tcPr>
            <w:tcW w:w="4141" w:type="dxa"/>
          </w:tcPr>
          <w:p w14:paraId="503FA030" w14:textId="77777777" w:rsidR="003D5CB6" w:rsidRPr="004D46AC" w:rsidRDefault="003D5CB6" w:rsidP="00B518F1">
            <w:pPr>
              <w:spacing w:line="360" w:lineRule="auto"/>
              <w:ind w:firstLine="0"/>
            </w:pPr>
            <w:r w:rsidRPr="004D46AC">
              <w:t>Inpatient (25), mixed (16), Outpatient (9), unclear (27)</w:t>
            </w:r>
          </w:p>
        </w:tc>
        <w:tc>
          <w:tcPr>
            <w:tcW w:w="4063" w:type="dxa"/>
          </w:tcPr>
          <w:p w14:paraId="33F13073" w14:textId="77777777" w:rsidR="003D5CB6" w:rsidRPr="004D46AC" w:rsidRDefault="003D5CB6" w:rsidP="00B518F1">
            <w:pPr>
              <w:spacing w:line="360" w:lineRule="auto"/>
              <w:ind w:firstLine="0"/>
            </w:pPr>
            <w:r w:rsidRPr="004D46AC">
              <w:t>Inpatient (21), mixed (21), Outpatient (11), unclear (19)</w:t>
            </w:r>
          </w:p>
        </w:tc>
        <w:tc>
          <w:tcPr>
            <w:tcW w:w="3696" w:type="dxa"/>
          </w:tcPr>
          <w:p w14:paraId="46DC6B8B" w14:textId="77777777" w:rsidR="003D5CB6" w:rsidRPr="004D46AC" w:rsidRDefault="003D5CB6" w:rsidP="00B518F1">
            <w:pPr>
              <w:spacing w:line="360" w:lineRule="auto"/>
              <w:ind w:firstLine="0"/>
            </w:pPr>
            <w:r w:rsidRPr="004D46AC">
              <w:t>Inpatient (5), mixed (6), Outpatient (2), unclear (3)</w:t>
            </w:r>
          </w:p>
        </w:tc>
      </w:tr>
      <w:tr w:rsidR="003D5CB6" w:rsidRPr="004D46AC" w14:paraId="46CD3EED" w14:textId="77777777" w:rsidTr="00B518F1">
        <w:trPr>
          <w:trHeight w:val="318"/>
        </w:trPr>
        <w:tc>
          <w:tcPr>
            <w:tcW w:w="2048" w:type="dxa"/>
          </w:tcPr>
          <w:p w14:paraId="26C929FB" w14:textId="77777777" w:rsidR="003D5CB6" w:rsidRPr="004D46AC" w:rsidRDefault="003D5CB6" w:rsidP="00B518F1">
            <w:pPr>
              <w:spacing w:line="360" w:lineRule="auto"/>
              <w:ind w:firstLine="0"/>
              <w:rPr>
                <w:b/>
                <w:bCs/>
              </w:rPr>
            </w:pPr>
            <w:r w:rsidRPr="004D46AC">
              <w:rPr>
                <w:b/>
                <w:bCs/>
              </w:rPr>
              <w:t>Bipolar type (</w:t>
            </w:r>
            <w:r w:rsidRPr="004D46AC">
              <w:rPr>
                <w:b/>
                <w:bCs/>
                <w:i/>
                <w:iCs/>
              </w:rPr>
              <w:t>k</w:t>
            </w:r>
            <w:r w:rsidRPr="004D46AC">
              <w:rPr>
                <w:b/>
                <w:bCs/>
              </w:rPr>
              <w:t>)</w:t>
            </w:r>
          </w:p>
        </w:tc>
        <w:tc>
          <w:tcPr>
            <w:tcW w:w="4141" w:type="dxa"/>
          </w:tcPr>
          <w:p w14:paraId="0E5C4120" w14:textId="77777777" w:rsidR="003D5CB6" w:rsidRPr="004D46AC" w:rsidRDefault="003D5CB6" w:rsidP="00B518F1">
            <w:pPr>
              <w:spacing w:line="360" w:lineRule="auto"/>
              <w:ind w:firstLine="0"/>
            </w:pPr>
            <w:r w:rsidRPr="004D46AC">
              <w:t>Psychotic (13), Type I (27), BSD (37)</w:t>
            </w:r>
          </w:p>
        </w:tc>
        <w:tc>
          <w:tcPr>
            <w:tcW w:w="4063" w:type="dxa"/>
          </w:tcPr>
          <w:p w14:paraId="043B3249" w14:textId="77777777" w:rsidR="003D5CB6" w:rsidRPr="004D46AC" w:rsidRDefault="003D5CB6" w:rsidP="00B518F1">
            <w:pPr>
              <w:spacing w:line="360" w:lineRule="auto"/>
              <w:ind w:firstLine="0"/>
            </w:pPr>
            <w:r w:rsidRPr="004D46AC">
              <w:t>Psychotic (14), Type I (24), BSD (34)</w:t>
            </w:r>
          </w:p>
        </w:tc>
        <w:tc>
          <w:tcPr>
            <w:tcW w:w="3696" w:type="dxa"/>
          </w:tcPr>
          <w:p w14:paraId="6E04BCD6" w14:textId="77777777" w:rsidR="003D5CB6" w:rsidRPr="004D46AC" w:rsidRDefault="003D5CB6" w:rsidP="00B518F1">
            <w:pPr>
              <w:spacing w:line="360" w:lineRule="auto"/>
              <w:ind w:firstLine="0"/>
            </w:pPr>
            <w:r w:rsidRPr="004D46AC">
              <w:t>Psychotic (2), Type I (9), BSD (5)</w:t>
            </w:r>
          </w:p>
        </w:tc>
      </w:tr>
      <w:tr w:rsidR="003D5CB6" w:rsidRPr="004D46AC" w14:paraId="55C757D7" w14:textId="77777777" w:rsidTr="00B518F1">
        <w:trPr>
          <w:trHeight w:val="318"/>
        </w:trPr>
        <w:tc>
          <w:tcPr>
            <w:tcW w:w="2048" w:type="dxa"/>
          </w:tcPr>
          <w:p w14:paraId="4AF3D434" w14:textId="77777777" w:rsidR="003D5CB6" w:rsidRPr="004D46AC" w:rsidRDefault="003D5CB6" w:rsidP="00B518F1">
            <w:pPr>
              <w:spacing w:line="360" w:lineRule="auto"/>
              <w:ind w:firstLine="0"/>
              <w:rPr>
                <w:b/>
                <w:bCs/>
              </w:rPr>
            </w:pPr>
            <w:r w:rsidRPr="004D46AC">
              <w:rPr>
                <w:b/>
                <w:bCs/>
              </w:rPr>
              <w:t>Type of conditions (</w:t>
            </w:r>
            <w:r w:rsidRPr="004D46AC">
              <w:rPr>
                <w:b/>
                <w:bCs/>
                <w:i/>
                <w:iCs/>
              </w:rPr>
              <w:t>k</w:t>
            </w:r>
            <w:r w:rsidRPr="004D46AC">
              <w:rPr>
                <w:b/>
                <w:bCs/>
              </w:rPr>
              <w:t>)</w:t>
            </w:r>
          </w:p>
        </w:tc>
        <w:tc>
          <w:tcPr>
            <w:tcW w:w="4141" w:type="dxa"/>
          </w:tcPr>
          <w:p w14:paraId="07209B06" w14:textId="77777777" w:rsidR="003D5CB6" w:rsidRPr="004D46AC" w:rsidRDefault="003D5CB6" w:rsidP="00B518F1">
            <w:pPr>
              <w:spacing w:line="360" w:lineRule="auto"/>
              <w:ind w:firstLine="0"/>
            </w:pPr>
            <w:r w:rsidRPr="004D46AC">
              <w:t xml:space="preserve">Any (47), Grandiosity (11), Persecutory (7), Paranoia (4), Reference </w:t>
            </w:r>
            <w:r w:rsidRPr="004D46AC">
              <w:lastRenderedPageBreak/>
              <w:t>(4) Suspiciousness (3), Perception</w:t>
            </w:r>
          </w:p>
        </w:tc>
        <w:tc>
          <w:tcPr>
            <w:tcW w:w="4063" w:type="dxa"/>
          </w:tcPr>
          <w:p w14:paraId="08E7D747" w14:textId="77777777" w:rsidR="003D5CB6" w:rsidRPr="004D46AC" w:rsidRDefault="003D5CB6" w:rsidP="00B518F1">
            <w:pPr>
              <w:spacing w:line="360" w:lineRule="auto"/>
              <w:ind w:firstLine="0"/>
            </w:pPr>
            <w:r w:rsidRPr="004D46AC">
              <w:lastRenderedPageBreak/>
              <w:t xml:space="preserve">Any (46), Auditory (25), Visual </w:t>
            </w:r>
          </w:p>
        </w:tc>
        <w:tc>
          <w:tcPr>
            <w:tcW w:w="3696" w:type="dxa"/>
          </w:tcPr>
          <w:p w14:paraId="413A64B5" w14:textId="77777777" w:rsidR="003D5CB6" w:rsidRPr="004D46AC" w:rsidRDefault="003D5CB6" w:rsidP="00B518F1">
            <w:pPr>
              <w:spacing w:line="360" w:lineRule="auto"/>
              <w:ind w:firstLine="0"/>
            </w:pPr>
            <w:r w:rsidRPr="004D46AC">
              <w:t xml:space="preserve">Any (6), formal thought disorder (3), positive formal thought disorder (3), </w:t>
            </w:r>
            <w:r w:rsidRPr="004D46AC">
              <w:lastRenderedPageBreak/>
              <w:t>disorganised speech (2), disorganised thoughts and behaviour</w:t>
            </w:r>
          </w:p>
          <w:p w14:paraId="78364A25" w14:textId="77777777" w:rsidR="003D5CB6" w:rsidRPr="004D46AC" w:rsidRDefault="003D5CB6" w:rsidP="00B518F1">
            <w:pPr>
              <w:spacing w:line="360" w:lineRule="auto"/>
              <w:ind w:firstLine="0"/>
            </w:pPr>
            <w:proofErr w:type="spellStart"/>
            <w:r w:rsidRPr="004D46AC">
              <w:t>behaviors</w:t>
            </w:r>
            <w:proofErr w:type="spellEnd"/>
          </w:p>
        </w:tc>
      </w:tr>
    </w:tbl>
    <w:p w14:paraId="5B81AA3F" w14:textId="77777777" w:rsidR="003D5CB6" w:rsidRPr="004D46AC" w:rsidRDefault="003D5CB6" w:rsidP="00B518F1">
      <w:pPr>
        <w:spacing w:line="360" w:lineRule="auto"/>
        <w:ind w:firstLine="0"/>
      </w:pPr>
      <w:r w:rsidRPr="004D46AC">
        <w:rPr>
          <w:i/>
          <w:iCs/>
        </w:rPr>
        <w:lastRenderedPageBreak/>
        <w:t>Note</w:t>
      </w:r>
      <w:r w:rsidRPr="004D46AC">
        <w:t>. The study number</w:t>
      </w:r>
      <w:r w:rsidRPr="004D46AC">
        <w:rPr>
          <w:rFonts w:eastAsiaTheme="minorEastAsia" w:hint="eastAsia"/>
        </w:rPr>
        <w:t xml:space="preserve"> </w:t>
      </w:r>
      <w:r w:rsidRPr="004D46AC">
        <w:rPr>
          <w:rFonts w:eastAsia="SimSun" w:hint="eastAsia"/>
        </w:rPr>
        <w:t>(</w:t>
      </w:r>
      <w:r w:rsidRPr="004D46AC">
        <w:rPr>
          <w:rFonts w:eastAsia="SimSun" w:hint="eastAsia"/>
          <w:i/>
          <w:iCs/>
        </w:rPr>
        <w:t>k</w:t>
      </w:r>
      <w:r w:rsidRPr="004D46AC">
        <w:rPr>
          <w:rFonts w:eastAsia="SimSun" w:hint="eastAsia"/>
        </w:rPr>
        <w:t>)</w:t>
      </w:r>
      <w:r w:rsidRPr="004D46AC">
        <w:t xml:space="preserve"> is one for those without brackets; BSD includes subtypes of bipolar I, II and not otherwise specified.</w:t>
      </w:r>
    </w:p>
    <w:p w14:paraId="186D163F" w14:textId="77777777" w:rsidR="003D5CB6" w:rsidRPr="004D46AC" w:rsidRDefault="003D5CB6" w:rsidP="00B518F1">
      <w:pPr>
        <w:spacing w:line="360" w:lineRule="auto"/>
        <w:ind w:firstLine="0"/>
      </w:pPr>
      <w:proofErr w:type="spellStart"/>
      <w:r w:rsidRPr="004D46AC">
        <w:rPr>
          <w:vertAlign w:val="superscript"/>
        </w:rPr>
        <w:t>a</w:t>
      </w:r>
      <w:r w:rsidRPr="004D46AC">
        <w:t>Missing</w:t>
      </w:r>
      <w:proofErr w:type="spellEnd"/>
      <w:r w:rsidRPr="004D46AC">
        <w:t xml:space="preserve"> values: delusions (</w:t>
      </w:r>
      <w:r w:rsidRPr="004D46AC">
        <w:rPr>
          <w:i/>
          <w:iCs/>
        </w:rPr>
        <w:t>k</w:t>
      </w:r>
      <w:r w:rsidRPr="004D46AC">
        <w:rPr>
          <w:rFonts w:eastAsiaTheme="minorEastAsia" w:hint="eastAsia"/>
          <w:i/>
          <w:iCs/>
        </w:rPr>
        <w:t xml:space="preserve"> </w:t>
      </w:r>
      <w:r w:rsidRPr="004D46AC">
        <w:t>=</w:t>
      </w:r>
      <w:r w:rsidRPr="004D46AC">
        <w:rPr>
          <w:rFonts w:eastAsiaTheme="minorEastAsia" w:hint="eastAsia"/>
        </w:rPr>
        <w:t xml:space="preserve"> </w:t>
      </w:r>
      <w:r w:rsidRPr="004D46AC">
        <w:t>13), hallucinations (</w:t>
      </w:r>
      <w:r w:rsidRPr="004D46AC">
        <w:rPr>
          <w:i/>
          <w:iCs/>
        </w:rPr>
        <w:t>k</w:t>
      </w:r>
      <w:r w:rsidRPr="004D46AC">
        <w:rPr>
          <w:rFonts w:eastAsiaTheme="minorEastAsia" w:hint="eastAsia"/>
          <w:i/>
          <w:iCs/>
        </w:rPr>
        <w:t xml:space="preserve"> </w:t>
      </w:r>
      <w:r w:rsidRPr="004D46AC">
        <w:t>=</w:t>
      </w:r>
      <w:r w:rsidRPr="004D46AC">
        <w:rPr>
          <w:rFonts w:eastAsiaTheme="minorEastAsia" w:hint="eastAsia"/>
        </w:rPr>
        <w:t xml:space="preserve"> </w:t>
      </w:r>
      <w:r w:rsidRPr="004D46AC">
        <w:t>15), and thought disorders (</w:t>
      </w:r>
      <w:r w:rsidRPr="004D46AC">
        <w:rPr>
          <w:i/>
          <w:iCs/>
        </w:rPr>
        <w:t>k</w:t>
      </w:r>
      <w:r w:rsidRPr="004D46AC">
        <w:rPr>
          <w:rFonts w:eastAsiaTheme="minorEastAsia" w:hint="eastAsia"/>
          <w:i/>
          <w:iCs/>
        </w:rPr>
        <w:t xml:space="preserve"> </w:t>
      </w:r>
      <w:r w:rsidRPr="004D46AC">
        <w:t>=</w:t>
      </w:r>
      <w:r w:rsidRPr="004D46AC">
        <w:rPr>
          <w:rFonts w:eastAsiaTheme="minorEastAsia" w:hint="eastAsia"/>
        </w:rPr>
        <w:t xml:space="preserve"> </w:t>
      </w:r>
      <w:r w:rsidRPr="004D46AC">
        <w:t>1</w:t>
      </w:r>
      <w:proofErr w:type="gramStart"/>
      <w:r w:rsidRPr="004D46AC">
        <w:t>);</w:t>
      </w:r>
      <w:proofErr w:type="gramEnd"/>
      <w:r w:rsidRPr="004D46AC">
        <w:t xml:space="preserve"> </w:t>
      </w:r>
    </w:p>
    <w:p w14:paraId="2BFB1CD2" w14:textId="77777777" w:rsidR="003D5CB6" w:rsidRPr="004D46AC" w:rsidRDefault="003D5CB6" w:rsidP="00B518F1">
      <w:pPr>
        <w:spacing w:line="360" w:lineRule="auto"/>
        <w:ind w:firstLine="0"/>
      </w:pPr>
      <w:proofErr w:type="spellStart"/>
      <w:r w:rsidRPr="004D46AC">
        <w:rPr>
          <w:vertAlign w:val="superscript"/>
        </w:rPr>
        <w:t>b</w:t>
      </w:r>
      <w:r w:rsidRPr="004D46AC">
        <w:t>Missing</w:t>
      </w:r>
      <w:proofErr w:type="spellEnd"/>
      <w:r w:rsidRPr="004D46AC">
        <w:t xml:space="preserve"> values: delusions (</w:t>
      </w:r>
      <w:r w:rsidRPr="004D46AC">
        <w:rPr>
          <w:i/>
          <w:iCs/>
        </w:rPr>
        <w:t>k</w:t>
      </w:r>
      <w:r w:rsidRPr="004D46AC">
        <w:rPr>
          <w:rFonts w:eastAsiaTheme="minorEastAsia" w:hint="eastAsia"/>
          <w:i/>
          <w:iCs/>
        </w:rPr>
        <w:t xml:space="preserve"> </w:t>
      </w:r>
      <w:r w:rsidRPr="004D46AC">
        <w:t>=</w:t>
      </w:r>
      <w:r w:rsidRPr="004D46AC">
        <w:rPr>
          <w:rFonts w:eastAsiaTheme="minorEastAsia" w:hint="eastAsia"/>
        </w:rPr>
        <w:t xml:space="preserve"> </w:t>
      </w:r>
      <w:r w:rsidRPr="004D46AC">
        <w:t>8), hallucinations (</w:t>
      </w:r>
      <w:r w:rsidRPr="004D46AC">
        <w:rPr>
          <w:i/>
          <w:iCs/>
        </w:rPr>
        <w:t>k</w:t>
      </w:r>
      <w:r w:rsidRPr="004D46AC">
        <w:rPr>
          <w:rFonts w:eastAsiaTheme="minorEastAsia" w:hint="eastAsia"/>
          <w:i/>
          <w:iCs/>
        </w:rPr>
        <w:t xml:space="preserve"> </w:t>
      </w:r>
      <w:r w:rsidRPr="004D46AC">
        <w:t>=</w:t>
      </w:r>
      <w:r w:rsidRPr="004D46AC">
        <w:rPr>
          <w:rFonts w:eastAsiaTheme="minorEastAsia" w:hint="eastAsia"/>
        </w:rPr>
        <w:t xml:space="preserve"> </w:t>
      </w:r>
      <w:r w:rsidRPr="004D46AC">
        <w:t>7)</w:t>
      </w:r>
    </w:p>
    <w:p w14:paraId="5B8D6507" w14:textId="77777777" w:rsidR="003D5CB6" w:rsidRPr="004D46AC" w:rsidRDefault="003D5CB6" w:rsidP="00B518F1">
      <w:pPr>
        <w:spacing w:line="360" w:lineRule="auto"/>
        <w:ind w:firstLine="0"/>
      </w:pPr>
      <w:proofErr w:type="spellStart"/>
      <w:r w:rsidRPr="004D46AC">
        <w:rPr>
          <w:vertAlign w:val="superscript"/>
        </w:rPr>
        <w:t>c</w:t>
      </w:r>
      <w:r w:rsidRPr="004D46AC">
        <w:t>The</w:t>
      </w:r>
      <w:proofErr w:type="spellEnd"/>
      <w:r w:rsidRPr="004D46AC">
        <w:t xml:space="preserve"> full name of the diagnostic standards and assessment tools can be retrieved from supplementary materials.</w:t>
      </w:r>
    </w:p>
    <w:p w14:paraId="5A6994FC" w14:textId="77777777" w:rsidR="003D5CB6" w:rsidRPr="004D46AC" w:rsidRDefault="003D5CB6" w:rsidP="00B518F1">
      <w:pPr>
        <w:spacing w:line="360" w:lineRule="auto"/>
        <w:ind w:firstLine="0"/>
      </w:pPr>
      <w:proofErr w:type="spellStart"/>
      <w:r w:rsidRPr="004D46AC">
        <w:rPr>
          <w:vertAlign w:val="superscript"/>
        </w:rPr>
        <w:t>d</w:t>
      </w:r>
      <w:r w:rsidRPr="004D46AC">
        <w:t>The</w:t>
      </w:r>
      <w:proofErr w:type="spellEnd"/>
      <w:r w:rsidRPr="004D46AC">
        <w:t xml:space="preserve"> study location used 2 or 3 letters country code. The GL indicated that the study was conducted in multiple countries.</w:t>
      </w:r>
    </w:p>
    <w:p w14:paraId="1F85606A" w14:textId="77777777" w:rsidR="003D5CB6" w:rsidRPr="004D46AC" w:rsidRDefault="003D5CB6" w:rsidP="00B518F1">
      <w:pPr>
        <w:spacing w:line="360" w:lineRule="auto"/>
        <w:ind w:firstLine="0"/>
        <w:rPr>
          <w:rFonts w:eastAsia="SimSun"/>
        </w:rPr>
      </w:pPr>
    </w:p>
    <w:p w14:paraId="5AD08651" w14:textId="77777777" w:rsidR="003D5CB6" w:rsidRPr="004D46AC" w:rsidRDefault="003D5CB6" w:rsidP="00B518F1">
      <w:pPr>
        <w:pStyle w:val="3"/>
      </w:pPr>
      <w:r w:rsidRPr="004D46AC">
        <w:t xml:space="preserve">Coding </w:t>
      </w:r>
    </w:p>
    <w:p w14:paraId="0CBDBA07" w14:textId="77777777" w:rsidR="003D5CB6" w:rsidRPr="004D46AC" w:rsidRDefault="003D5CB6" w:rsidP="00B518F1">
      <w:r w:rsidRPr="004D46AC">
        <w:t>The coding for data extraction was conducted by two independent reviewers. An interrater reliability analysis was conducted with 25% of the papers randomly selected from all included studies. The overall kappa value for proposed variables in those studies was .89, which indicated excellent reliability. Any disagreements were resolved after discussion.</w:t>
      </w:r>
    </w:p>
    <w:p w14:paraId="659667E5" w14:textId="77777777" w:rsidR="003D5CB6" w:rsidRPr="004D46AC" w:rsidRDefault="003D5CB6" w:rsidP="00B518F1">
      <w:pPr>
        <w:pStyle w:val="3"/>
      </w:pPr>
      <w:r w:rsidRPr="004D46AC">
        <w:t>Variables</w:t>
      </w:r>
    </w:p>
    <w:p w14:paraId="561CB5B9" w14:textId="7F29AD4F" w:rsidR="003D5CB6" w:rsidRPr="004D46AC" w:rsidRDefault="003D5CB6" w:rsidP="00B518F1">
      <w:r w:rsidRPr="004D46AC">
        <w:t>Independent variables such as demographic (e.g., gender), clinical (e.g., bipolar type), and methodological factors (e.g., publication dat</w:t>
      </w:r>
      <w:r w:rsidR="0071777E" w:rsidRPr="004D46AC">
        <w:rPr>
          <w:rFonts w:eastAsiaTheme="minorEastAsia" w:hint="eastAsia"/>
        </w:rPr>
        <w:t>e, study quality</w:t>
      </w:r>
      <w:r w:rsidRPr="004D46AC">
        <w:t xml:space="preserve">) were used to explore the potential source of heterogeneities. The dependent variables were the prevalence of comorbid schizophrenia, psychosis (i.e., presence of hallucinations or delusions), and concurrent delusions, hallucinations or thought disorders, please see </w:t>
      </w:r>
      <w:r w:rsidRPr="004D46AC">
        <w:rPr>
          <w:rFonts w:eastAsiaTheme="minorEastAsia" w:hint="eastAsia"/>
        </w:rPr>
        <w:t>Table</w:t>
      </w:r>
      <w:r w:rsidRPr="004D46AC">
        <w:t xml:space="preserve"> </w:t>
      </w:r>
      <w:r w:rsidRPr="004D46AC">
        <w:rPr>
          <w:rFonts w:eastAsiaTheme="minorEastAsia" w:hint="eastAsia"/>
        </w:rPr>
        <w:t>B</w:t>
      </w:r>
      <w:r w:rsidR="00D0731C" w:rsidRPr="004D46AC">
        <w:rPr>
          <w:rFonts w:eastAsiaTheme="minorEastAsia" w:hint="eastAsia"/>
        </w:rPr>
        <w:t xml:space="preserve"> </w:t>
      </w:r>
      <w:r w:rsidRPr="004D46AC">
        <w:t xml:space="preserve">5 </w:t>
      </w:r>
      <w:r w:rsidRPr="004D46AC">
        <w:rPr>
          <w:rFonts w:eastAsiaTheme="minorEastAsia" w:hint="eastAsia"/>
        </w:rPr>
        <w:t xml:space="preserve">in appendix </w:t>
      </w:r>
      <w:r w:rsidRPr="004D46AC">
        <w:t xml:space="preserve">for details. Information of diagnostic standards, assessment tools and locations were also collected and summarised in Tables </w:t>
      </w:r>
      <w:r w:rsidRPr="004D46AC">
        <w:rPr>
          <w:rFonts w:eastAsiaTheme="minorEastAsia" w:hint="eastAsia"/>
        </w:rPr>
        <w:t>2.</w:t>
      </w:r>
      <w:r w:rsidRPr="004D46AC">
        <w:t>1-</w:t>
      </w:r>
      <w:r w:rsidRPr="004D46AC">
        <w:rPr>
          <w:rFonts w:eastAsiaTheme="minorEastAsia" w:hint="eastAsia"/>
        </w:rPr>
        <w:t>2.</w:t>
      </w:r>
      <w:r w:rsidRPr="004D46AC">
        <w:t xml:space="preserve">2. </w:t>
      </w:r>
    </w:p>
    <w:p w14:paraId="26746BE0" w14:textId="77777777" w:rsidR="003D5CB6" w:rsidRPr="004D46AC" w:rsidRDefault="003D5CB6" w:rsidP="00B518F1">
      <w:pPr>
        <w:pStyle w:val="3"/>
      </w:pPr>
      <w:r w:rsidRPr="004D46AC">
        <w:t>Risk assessment</w:t>
      </w:r>
    </w:p>
    <w:p w14:paraId="5B5B38E7" w14:textId="7956ADD7" w:rsidR="003D5CB6" w:rsidRPr="004D46AC" w:rsidRDefault="003D5CB6" w:rsidP="00B518F1">
      <w:pPr>
        <w:rPr>
          <w:rFonts w:eastAsiaTheme="minorEastAsia"/>
        </w:rPr>
      </w:pPr>
      <w:r w:rsidRPr="004D46AC">
        <w:t xml:space="preserve">The Joanna Briggs Institute (JBI) Critical Appraisal Checklist for prevalence studies was used to evaluate qualities of studies (see: </w:t>
      </w:r>
      <w:hyperlink r:id="rId242" w:history="1">
        <w:r w:rsidRPr="004D46AC">
          <w:rPr>
            <w:rStyle w:val="af5"/>
            <w:rFonts w:eastAsia="SimSun"/>
          </w:rPr>
          <w:t>https://jbi.global/critical-appraisal-tools</w:t>
        </w:r>
      </w:hyperlink>
      <w:r w:rsidRPr="004D46AC">
        <w:rPr>
          <w:rStyle w:val="af5"/>
          <w:rFonts w:eastAsia="SimSun"/>
        </w:rPr>
        <w:t>)</w:t>
      </w:r>
      <w:r w:rsidRPr="004D46AC">
        <w:t xml:space="preserve">. This </w:t>
      </w:r>
      <w:r w:rsidRPr="004D46AC">
        <w:lastRenderedPageBreak/>
        <w:t xml:space="preserve">checklist includes 9 items that covers study sampling, reporting, analysis, measurement, procedure and outcome. For each item, reviewers rated the study using four categories: Yes (rated as 1), No (0), Unclear (0), and </w:t>
      </w:r>
      <w:proofErr w:type="gramStart"/>
      <w:r w:rsidRPr="004D46AC">
        <w:t>Not</w:t>
      </w:r>
      <w:proofErr w:type="gramEnd"/>
      <w:r w:rsidRPr="004D46AC">
        <w:t xml:space="preserve"> applicable. The procedure for the evaluation of the interrater reliability was identical to the coding schema; initial kappa was 0.62 and, in the light of this, all discrepant ratings were examined, discussed and final ratings were agreed by consensus.</w:t>
      </w:r>
      <w:r w:rsidR="0071777E" w:rsidRPr="004D46AC">
        <w:rPr>
          <w:rFonts w:eastAsiaTheme="minorEastAsia" w:hint="eastAsia"/>
        </w:rPr>
        <w:t xml:space="preserve"> </w:t>
      </w:r>
    </w:p>
    <w:p w14:paraId="55A2EF87" w14:textId="77777777" w:rsidR="003D5CB6" w:rsidRPr="004D46AC" w:rsidRDefault="003D5CB6" w:rsidP="00B518F1">
      <w:pPr>
        <w:pStyle w:val="3"/>
      </w:pPr>
      <w:r w:rsidRPr="004D46AC">
        <w:t>Statistical analysis</w:t>
      </w:r>
    </w:p>
    <w:p w14:paraId="66CBE050" w14:textId="77777777" w:rsidR="003D5CB6" w:rsidRPr="004D46AC" w:rsidRDefault="003D5CB6" w:rsidP="00B518F1">
      <w:r w:rsidRPr="004D46AC">
        <w:t xml:space="preserve">All data was extracted manually except information contained in images, which was extracted by </w:t>
      </w:r>
      <w:proofErr w:type="spellStart"/>
      <w:r w:rsidRPr="004D46AC">
        <w:t>GetData</w:t>
      </w:r>
      <w:proofErr w:type="spellEnd"/>
      <w:r w:rsidRPr="004D46AC">
        <w:t xml:space="preserve"> Graph Digitizer software (see http://www.getdata-graph-digitizer.com/). Results of descriptive statistics will be presented to give a general account of the included studies, including demographic factors (e.g., age, gender, country) as well as clinical factors (e.g., subtype of BSD, duration of illness). We used single proportion meta-analysis. To stabilise the variance between studies that were too high (i.e.,70%-100%) or low (i.e., 0%-30%), the double arcsine or Freeman-Turkey transformation was performed</w:t>
      </w:r>
      <w:r w:rsidRPr="004D46AC">
        <w:rPr>
          <w:rFonts w:eastAsiaTheme="minorEastAsia" w:hint="eastAsia"/>
        </w:rPr>
        <w:t xml:space="preserve"> </w:t>
      </w:r>
      <w:r w:rsidRPr="004D46AC">
        <w:fldChar w:fldCharType="begin"/>
      </w:r>
      <w:r w:rsidRPr="004D46AC">
        <w:instrText xml:space="preserve"> ADDIN EN.CITE &lt;EndNote&gt;&lt;Cite&gt;&lt;Author&gt;Miller&lt;/Author&gt;&lt;Year&gt;1978&lt;/Year&gt;&lt;RecNum&gt;490&lt;/RecNum&gt;&lt;DisplayText&gt;(Miller, 1978)&lt;/DisplayText&gt;&lt;record&gt;&lt;rec-number&gt;490&lt;/rec-number&gt;&lt;foreign-keys&gt;&lt;key app="EN" db-id="aet009sstawa0hewvt3xwf5atffdw2dt02sw" timestamp="1706601957"&gt;490&lt;/key&gt;&lt;/foreign-keys&gt;&lt;ref-type name="Journal Article"&gt;17&lt;/ref-type&gt;&lt;contributors&gt;&lt;authors&gt;&lt;author&gt;Miller, John J.&lt;/author&gt;&lt;/authors&gt;&lt;/contributors&gt;&lt;titles&gt;&lt;title&gt;The Inverse of the Freeman – Tukey Double Arcsine Transformation&lt;/title&gt;&lt;secondary-title&gt;The American Statistician&lt;/secondary-title&gt;&lt;/titles&gt;&lt;periodical&gt;&lt;full-title&gt;The American Statistician&lt;/full-title&gt;&lt;/periodical&gt;&lt;pages&gt;138-138&lt;/pages&gt;&lt;volume&gt;32&lt;/volume&gt;&lt;number&gt;4&lt;/number&gt;&lt;section&gt;138&lt;/section&gt;&lt;dates&gt;&lt;year&gt;1978&lt;/year&gt;&lt;pub-dates&gt;&lt;date&gt;1978/11/01&lt;/date&gt;&lt;/pub-dates&gt;&lt;/dates&gt;&lt;publisher&gt;Taylor &amp;amp; Francis&lt;/publisher&gt;&lt;isbn&gt;0003-1305&amp;#xD;1537-2731&lt;/isbn&gt;&lt;urls&gt;&lt;related-urls&gt;&lt;url&gt;https://doi.org/10.1080/00031305.1978.10479283&lt;/url&gt;&lt;/related-urls&gt;&lt;/urls&gt;&lt;electronic-resource-num&gt;10.1080/00031305.1978.10479283&lt;/electronic-resource-num&gt;&lt;/record&gt;&lt;/Cite&gt;&lt;/EndNote&gt;</w:instrText>
      </w:r>
      <w:r w:rsidRPr="004D46AC">
        <w:fldChar w:fldCharType="separate"/>
      </w:r>
      <w:r w:rsidRPr="004D46AC">
        <w:rPr>
          <w:noProof/>
        </w:rPr>
        <w:t>(Miller, 1978)</w:t>
      </w:r>
      <w:r w:rsidRPr="004D46AC">
        <w:fldChar w:fldCharType="end"/>
      </w:r>
      <w:r w:rsidRPr="004D46AC">
        <w:t>. Funnel plot and egger’s regression test for the asymmetry were conducted to detect publication bias</w:t>
      </w:r>
      <w:r w:rsidRPr="004D46AC">
        <w:rPr>
          <w:rFonts w:eastAsiaTheme="minorEastAsia" w:hint="eastAsia"/>
        </w:rPr>
        <w:t xml:space="preserve"> </w:t>
      </w:r>
      <w:r w:rsidRPr="004D46AC">
        <w:fldChar w:fldCharType="begin"/>
      </w:r>
      <w:r w:rsidRPr="004D46AC">
        <w:instrText xml:space="preserve"> ADDIN EN.CITE &lt;EndNote&gt;&lt;Cite&gt;&lt;Author&gt;Egger&lt;/Author&gt;&lt;Year&gt;1997&lt;/Year&gt;&lt;RecNum&gt;492&lt;/RecNum&gt;&lt;DisplayText&gt;(Egger et al., 1997)&lt;/DisplayText&gt;&lt;record&gt;&lt;rec-number&gt;492&lt;/rec-number&gt;&lt;foreign-keys&gt;&lt;key app="EN" db-id="aet009sstawa0hewvt3xwf5atffdw2dt02sw" timestamp="1706602898"&gt;492&lt;/key&gt;&lt;/foreign-keys&gt;&lt;ref-type name="Journal Article"&gt;17&lt;/ref-type&gt;&lt;contributors&gt;&lt;authors&gt;&lt;author&gt;Egger, M.&lt;/author&gt;&lt;author&gt;Davey Smith, G.&lt;/author&gt;&lt;author&gt;Schneider, M.&lt;/author&gt;&lt;author&gt;Minder, C.&lt;/author&gt;&lt;/authors&gt;&lt;/contributors&gt;&lt;auth-address&gt;Department of Social Medicine, University of Bristol. m.egger@bristol.ac.uk&lt;/auth-address&gt;&lt;titles&gt;&lt;title&gt;Bias in meta-analysis detected by a simple, graphical test&lt;/title&gt;&lt;secondary-title&gt;BMJ&lt;/secondary-title&gt;&lt;/titles&gt;&lt;periodical&gt;&lt;full-title&gt;bmj&lt;/full-title&gt;&lt;/periodical&gt;&lt;pages&gt;629-34&lt;/pages&gt;&lt;volume&gt;315&lt;/volume&gt;&lt;number&gt;7109&lt;/number&gt;&lt;keywords&gt;&lt;keyword&gt;*Bias&lt;/keyword&gt;&lt;keyword&gt;*Meta-Analysis as Topic&lt;/keyword&gt;&lt;keyword&gt;Randomized Controlled Trials as Topic&lt;/keyword&gt;&lt;keyword&gt;Regression Analysis&lt;/keyword&gt;&lt;keyword&gt;Statistics as Topic&lt;/keyword&gt;&lt;keyword&gt;Treatment Outcome&lt;/keyword&gt;&lt;/keywords&gt;&lt;dates&gt;&lt;year&gt;1997&lt;/year&gt;&lt;pub-dates&gt;&lt;date&gt;Sep 13&lt;/date&gt;&lt;/pub-dates&gt;&lt;/dates&gt;&lt;isbn&gt;0959-8138 (Print)&amp;#xD;1468-5833 (Electronic)&amp;#xD;0959-8138 (Linking)&lt;/isbn&gt;&lt;accession-num&gt;9310563&lt;/accession-num&gt;&lt;urls&gt;&lt;related-urls&gt;&lt;url&gt;https://www.ncbi.nlm.nih.gov/pubmed/9310563&lt;/url&gt;&lt;/related-urls&gt;&lt;/urls&gt;&lt;custom2&gt;PMC2127453&lt;/custom2&gt;&lt;electronic-resource-num&gt;10.1136/bmj.315.7109.629&lt;/electronic-resource-num&gt;&lt;remote-database-name&gt;Medline&lt;/remote-database-name&gt;&lt;remote-database-provider&gt;NLM&lt;/remote-database-provider&gt;&lt;/record&gt;&lt;/Cite&gt;&lt;/EndNote&gt;</w:instrText>
      </w:r>
      <w:r w:rsidRPr="004D46AC">
        <w:fldChar w:fldCharType="separate"/>
      </w:r>
      <w:r w:rsidRPr="004D46AC">
        <w:rPr>
          <w:noProof/>
        </w:rPr>
        <w:t>(Egger et al., 1997)</w:t>
      </w:r>
      <w:r w:rsidRPr="004D46AC">
        <w:fldChar w:fldCharType="end"/>
      </w:r>
      <w:r w:rsidRPr="004D46AC">
        <w:t xml:space="preserve">. A random effects model was used in the light of expected heterogeneity, estimated by the </w:t>
      </w:r>
      <w:r w:rsidRPr="004D46AC">
        <w:rPr>
          <w:i/>
          <w:iCs/>
        </w:rPr>
        <w:t>I</w:t>
      </w:r>
      <w:r w:rsidRPr="004D46AC">
        <w:t xml:space="preserve"> statistic. Student</w:t>
      </w:r>
      <w:r w:rsidRPr="004D46AC">
        <w:rPr>
          <w:rFonts w:eastAsiaTheme="minorEastAsia" w:hint="eastAsia"/>
        </w:rPr>
        <w:t>is</w:t>
      </w:r>
      <w:r w:rsidRPr="004D46AC">
        <w:t xml:space="preserve">ed residuals test were applied to find outliers in the dataset. Subgroup analysis via meta regression were performed to see if any of the factors (e.g., research design, year of publication, or demographic factors) could explain the variance between studies, and to identify meaningful associations between these factors and the primary outcomes. Meta analysis and regression were applied via the packages </w:t>
      </w:r>
      <w:r w:rsidRPr="004D46AC">
        <w:rPr>
          <w:i/>
          <w:iCs/>
        </w:rPr>
        <w:t>meta</w:t>
      </w:r>
      <w:r w:rsidRPr="004D46AC">
        <w:t xml:space="preserve"> (version 6.5-0) and </w:t>
      </w:r>
      <w:proofErr w:type="spellStart"/>
      <w:r w:rsidRPr="004D46AC">
        <w:rPr>
          <w:i/>
          <w:iCs/>
        </w:rPr>
        <w:t>metafor</w:t>
      </w:r>
      <w:proofErr w:type="spellEnd"/>
      <w:r w:rsidRPr="004D46AC">
        <w:t xml:space="preserve"> (version 4.4-0); permutation test with 3,000 iterations was carried out for regression models using the </w:t>
      </w:r>
      <w:proofErr w:type="spellStart"/>
      <w:r w:rsidRPr="004D46AC">
        <w:rPr>
          <w:i/>
          <w:iCs/>
        </w:rPr>
        <w:t>dmetar</w:t>
      </w:r>
      <w:proofErr w:type="spellEnd"/>
      <w:r w:rsidRPr="004D46AC">
        <w:t xml:space="preserve"> package (version 0.0.9000). R studio (version 1.4.1717) was used for all analyses.</w:t>
      </w:r>
    </w:p>
    <w:p w14:paraId="366947D6" w14:textId="77777777" w:rsidR="003D5CB6" w:rsidRPr="004D46AC" w:rsidRDefault="003D5CB6" w:rsidP="00B518F1">
      <w:pPr>
        <w:ind w:firstLine="1100"/>
        <w:rPr>
          <w:rFonts w:eastAsia="SimSun"/>
        </w:rPr>
      </w:pPr>
    </w:p>
    <w:p w14:paraId="7FF5B05C" w14:textId="77777777" w:rsidR="003D5CB6" w:rsidRPr="004D46AC" w:rsidRDefault="003D5CB6" w:rsidP="00B518F1">
      <w:pPr>
        <w:ind w:firstLine="1100"/>
        <w:rPr>
          <w:rFonts w:eastAsia="SimSun"/>
        </w:rPr>
      </w:pPr>
    </w:p>
    <w:p w14:paraId="0F7BAE8A" w14:textId="77777777" w:rsidR="003D5CB6" w:rsidRPr="004D46AC" w:rsidRDefault="003D5CB6" w:rsidP="00B518F1">
      <w:pPr>
        <w:ind w:firstLine="1100"/>
        <w:rPr>
          <w:rFonts w:eastAsia="SimSun"/>
        </w:rPr>
      </w:pPr>
    </w:p>
    <w:p w14:paraId="793C50B0" w14:textId="77777777" w:rsidR="003D5CB6" w:rsidRPr="004D46AC" w:rsidRDefault="003D5CB6" w:rsidP="003A028F">
      <w:pPr>
        <w:ind w:firstLine="0"/>
        <w:rPr>
          <w:rFonts w:eastAsia="SimSun"/>
        </w:rPr>
      </w:pPr>
    </w:p>
    <w:p w14:paraId="19F077C9" w14:textId="77777777" w:rsidR="003D5CB6" w:rsidRPr="004D46AC" w:rsidRDefault="003D5CB6" w:rsidP="00B518F1">
      <w:pPr>
        <w:pStyle w:val="2"/>
      </w:pPr>
      <w:bookmarkStart w:id="104" w:name="_Toc219888763"/>
      <w:r w:rsidRPr="004D46AC">
        <w:lastRenderedPageBreak/>
        <w:t>Results</w:t>
      </w:r>
      <w:bookmarkEnd w:id="104"/>
    </w:p>
    <w:p w14:paraId="393019A2" w14:textId="77777777" w:rsidR="003D5CB6" w:rsidRPr="004D46AC" w:rsidRDefault="003D5CB6" w:rsidP="00B518F1">
      <w:pPr>
        <w:pStyle w:val="3"/>
      </w:pPr>
      <w:r w:rsidRPr="004D46AC">
        <w:t>Comorbid Schizophrenia</w:t>
      </w:r>
    </w:p>
    <w:p w14:paraId="05543DDD" w14:textId="20B93718" w:rsidR="003D5CB6" w:rsidRPr="004D46AC" w:rsidRDefault="003D5CB6" w:rsidP="00B518F1">
      <w:pPr>
        <w:rPr>
          <w:rFonts w:eastAsiaTheme="minorEastAsia"/>
        </w:rPr>
      </w:pPr>
      <w:r w:rsidRPr="004D46AC">
        <w:t xml:space="preserve">The basic information was summarised in </w:t>
      </w:r>
      <w:r w:rsidRPr="004D46AC">
        <w:rPr>
          <w:rFonts w:eastAsiaTheme="minorEastAsia" w:hint="eastAsia"/>
        </w:rPr>
        <w:t>T</w:t>
      </w:r>
      <w:r w:rsidRPr="004D46AC">
        <w:t xml:space="preserve">able </w:t>
      </w:r>
      <w:r w:rsidRPr="004D46AC">
        <w:rPr>
          <w:rFonts w:eastAsiaTheme="minorEastAsia" w:hint="eastAsia"/>
        </w:rPr>
        <w:t>2.</w:t>
      </w:r>
      <w:r w:rsidRPr="004D46AC">
        <w:t xml:space="preserve">1, and the abbreviations as well as the full name of the diagnostic tools are listed in </w:t>
      </w:r>
      <w:r w:rsidRPr="004D46AC">
        <w:rPr>
          <w:rFonts w:eastAsiaTheme="minorEastAsia" w:hint="eastAsia"/>
        </w:rPr>
        <w:t>T</w:t>
      </w:r>
      <w:r w:rsidRPr="004D46AC">
        <w:t xml:space="preserve">able </w:t>
      </w:r>
      <w:r w:rsidRPr="004D46AC">
        <w:rPr>
          <w:rFonts w:eastAsiaTheme="minorEastAsia" w:hint="eastAsia"/>
        </w:rPr>
        <w:t>B</w:t>
      </w:r>
      <w:r w:rsidR="00D0731C" w:rsidRPr="004D46AC">
        <w:rPr>
          <w:rFonts w:eastAsiaTheme="minorEastAsia" w:hint="eastAsia"/>
        </w:rPr>
        <w:t xml:space="preserve"> </w:t>
      </w:r>
      <w:r w:rsidRPr="004D46AC">
        <w:t xml:space="preserve">6. The pooled prevalence of comorbid schizophrenia was 9.54% (95% CI [5.68%, 14.23%], </w:t>
      </w:r>
      <w:r w:rsidRPr="004D46AC">
        <w:rPr>
          <w:i/>
          <w:iCs/>
        </w:rPr>
        <w:t>k</w:t>
      </w:r>
      <w:r w:rsidRPr="004D46AC">
        <w:t xml:space="preserve"> = 27).</w:t>
      </w:r>
      <w:r w:rsidRPr="004D46AC">
        <w:rPr>
          <w:rFonts w:eastAsiaTheme="minorEastAsia" w:hint="eastAsia"/>
        </w:rPr>
        <w:t xml:space="preserve"> </w:t>
      </w:r>
      <w:r w:rsidRPr="004D46AC">
        <w:t>An outlier (</w:t>
      </w:r>
      <w:r w:rsidRPr="004D46AC">
        <w:rPr>
          <w:i/>
          <w:iCs/>
        </w:rPr>
        <w:t xml:space="preserve">t </w:t>
      </w:r>
      <w:r w:rsidRPr="004D46AC">
        <w:t>= 6.00) was detected, significantly influencing the pooled result</w:t>
      </w:r>
      <w:r w:rsidRPr="004D46AC">
        <w:rPr>
          <w:rFonts w:eastAsiaTheme="minorEastAsia" w:hint="eastAsia"/>
        </w:rPr>
        <w:t xml:space="preserve"> </w:t>
      </w:r>
      <w:r w:rsidRPr="004D46AC">
        <w:fldChar w:fldCharType="begin"/>
      </w:r>
      <w:r w:rsidRPr="004D46AC">
        <w:instrText xml:space="preserve"> ADDIN EN.CITE &lt;EndNote&gt;&lt;Cite&gt;&lt;Author&gt;Conus&lt;/Author&gt;&lt;Year&gt;2004&lt;/Year&gt;&lt;RecNum&gt;304&lt;/RecNum&gt;&lt;DisplayText&gt;(Conus et al., 2004)&lt;/DisplayText&gt;&lt;record&gt;&lt;rec-number&gt;304&lt;/rec-number&gt;&lt;foreign-keys&gt;&lt;key app="EN" db-id="aet009sstawa0hewvt3xwf5atffdw2dt02sw" timestamp="1666496187"&gt;304&lt;/key&gt;&lt;/foreign-keys&gt;&lt;ref-type name="Journal Article"&gt;17&lt;/ref-type&gt;&lt;contributors&gt;&lt;authors&gt;&lt;author&gt;Conus, P.&lt;/author&gt;&lt;author&gt;Abdel-Baki, A.&lt;/author&gt;&lt;author&gt;Harrigan, S.&lt;/author&gt;&lt;author&gt;Lambert, M.&lt;/author&gt;&lt;author&gt;McGorry, P. D.&lt;/author&gt;&lt;/authors&gt;&lt;/contributors&gt;&lt;auth-address&gt;ORYGEN Research Centre, Parkville, Victoria, Australia. philippe.conus@hospvd.ch&lt;/auth-address&gt;&lt;titles&gt;&lt;title&gt;Schneiderian first rank symptoms predict poor outcome within first episode manic psychosis&lt;/title&gt;&lt;secondary-title&gt;J Affect Disord&lt;/secondary-title&gt;&lt;/titles&gt;&lt;periodical&gt;&lt;full-title&gt;J Affect Disord&lt;/full-title&gt;&lt;/periodical&gt;&lt;pages&gt;259-68&lt;/pages&gt;&lt;volume&gt;81&lt;/volume&gt;&lt;number&gt;3&lt;/number&gt;&lt;keywords&gt;&lt;keyword&gt;Adult&lt;/keyword&gt;&lt;keyword&gt;Diagnostic and Statistical Manual of Mental Disorders&lt;/keyword&gt;&lt;keyword&gt;Female&lt;/keyword&gt;&lt;keyword&gt;Humans&lt;/keyword&gt;&lt;keyword&gt;Male&lt;/keyword&gt;&lt;keyword&gt;Predictive Value of Tests&lt;/keyword&gt;&lt;keyword&gt;Prognosis&lt;/keyword&gt;&lt;keyword&gt;Prospective Studies&lt;/keyword&gt;&lt;keyword&gt;*Psychiatric Status Rating Scales&lt;/keyword&gt;&lt;keyword&gt;Psychotic Disorders/*psychology/therapy&lt;/keyword&gt;&lt;keyword&gt;Treatment Outcome&lt;/keyword&gt;&lt;/keywords&gt;&lt;dates&gt;&lt;year&gt;2004&lt;/year&gt;&lt;pub-dates&gt;&lt;date&gt;Sep&lt;/date&gt;&lt;/pub-dates&gt;&lt;/dates&gt;&lt;isbn&gt;0165-0327 (Print)&amp;#xD;0165-0327 (Linking)&lt;/isbn&gt;&lt;accession-num&gt;15337330&lt;/accession-num&gt;&lt;urls&gt;&lt;related-urls&gt;&lt;url&gt;https://www.ncbi.nlm.nih.gov/pubmed/15337330&lt;/url&gt;&lt;/related-urls&gt;&lt;/urls&gt;&lt;electronic-resource-num&gt;10.1016/j.jad.2003.09.003&lt;/electronic-resource-num&gt;&lt;remote-database-name&gt;Medline&lt;/remote-database-name&gt;&lt;remote-database-provider&gt;NLM&lt;/remote-database-provider&gt;&lt;/record&gt;&lt;/Cite&gt;&lt;/EndNote&gt;</w:instrText>
      </w:r>
      <w:r w:rsidRPr="004D46AC">
        <w:fldChar w:fldCharType="separate"/>
      </w:r>
      <w:r w:rsidRPr="004D46AC">
        <w:rPr>
          <w:noProof/>
        </w:rPr>
        <w:t>(Conus et al., 2004)</w:t>
      </w:r>
      <w:r w:rsidRPr="004D46AC">
        <w:fldChar w:fldCharType="end"/>
      </w:r>
      <w:r w:rsidRPr="004D46AC">
        <w:t xml:space="preserve">. The rate after the exclusion of the outlier was </w:t>
      </w:r>
      <w:r w:rsidRPr="004D46AC">
        <w:rPr>
          <w:rFonts w:eastAsiaTheme="minorEastAsia"/>
        </w:rPr>
        <w:t>8.04</w:t>
      </w:r>
      <w:r w:rsidRPr="004D46AC">
        <w:t xml:space="preserve">% (95% CI [5.53%, 10.96%], </w:t>
      </w:r>
      <w:r w:rsidRPr="004D46AC">
        <w:rPr>
          <w:i/>
          <w:iCs/>
        </w:rPr>
        <w:t>k</w:t>
      </w:r>
      <w:r w:rsidRPr="004D46AC">
        <w:t xml:space="preserve"> = 26)</w:t>
      </w:r>
      <w:r w:rsidRPr="004D46AC">
        <w:rPr>
          <w:rFonts w:eastAsiaTheme="minorEastAsia" w:hint="eastAsia"/>
        </w:rPr>
        <w:t xml:space="preserve">. </w:t>
      </w:r>
      <w:r w:rsidRPr="004D46AC">
        <w:t>Publication bias was not evident (</w:t>
      </w:r>
      <w:r w:rsidRPr="004D46AC">
        <w:rPr>
          <w:i/>
          <w:iCs/>
        </w:rPr>
        <w:t xml:space="preserve">z </w:t>
      </w:r>
      <w:r w:rsidRPr="004D46AC">
        <w:t xml:space="preserve">= 1.81, </w:t>
      </w:r>
      <w:r w:rsidRPr="004D46AC">
        <w:rPr>
          <w:i/>
          <w:iCs/>
        </w:rPr>
        <w:t>p</w:t>
      </w:r>
      <w:r w:rsidRPr="004D46AC">
        <w:t xml:space="preserve"> = .07), and no significant effect of sample size was </w:t>
      </w:r>
      <w:r w:rsidRPr="004D46AC">
        <w:rPr>
          <w:rFonts w:eastAsiaTheme="minorEastAsia"/>
        </w:rPr>
        <w:t>observed</w:t>
      </w:r>
      <w:r w:rsidRPr="004D46AC">
        <w:t>. Heterogeneity in this synthesis was very high (</w:t>
      </w:r>
      <w:r w:rsidRPr="004D46AC">
        <w:rPr>
          <w:i/>
          <w:iCs/>
        </w:rPr>
        <w:t>I</w:t>
      </w:r>
      <w:r w:rsidRPr="004D46AC">
        <w:rPr>
          <w:vertAlign w:val="superscript"/>
        </w:rPr>
        <w:t xml:space="preserve">2 </w:t>
      </w:r>
      <w:r w:rsidRPr="004D46AC">
        <w:t>= 99.7</w:t>
      </w:r>
      <w:r w:rsidRPr="004D46AC">
        <w:rPr>
          <w:rFonts w:eastAsiaTheme="minorEastAsia"/>
        </w:rPr>
        <w:t>3</w:t>
      </w:r>
      <w:r w:rsidRPr="004D46AC">
        <w:t>%), suggesting the variance between studies is not negligible. Neither the time frame of the diagnosis (lifetime or current) nor the type of psychotic comorbidity affected the findings. Age and gender explained 23.01% of the between study variance, and the residual variance was reduced to 99.46%, implying that most of the heterogeneity is introduced by unknown variables. Being male (</w:t>
      </w:r>
      <w:r w:rsidRPr="004D46AC">
        <w:rPr>
          <w:i/>
          <w:iCs/>
        </w:rPr>
        <w:t>estimate</w:t>
      </w:r>
      <w:r w:rsidRPr="004D46AC">
        <w:t xml:space="preserve"> = -.004, </w:t>
      </w:r>
      <w:r w:rsidRPr="004D46AC">
        <w:rPr>
          <w:i/>
          <w:iCs/>
        </w:rPr>
        <w:t>se</w:t>
      </w:r>
      <w:r w:rsidRPr="004D46AC">
        <w:t xml:space="preserve"> = 001, </w:t>
      </w:r>
      <w:r w:rsidRPr="004D46AC">
        <w:rPr>
          <w:i/>
          <w:iCs/>
        </w:rPr>
        <w:t xml:space="preserve">p </w:t>
      </w:r>
      <w:r w:rsidRPr="004D46AC">
        <w:t xml:space="preserve">= .02) in the bipolar population was associated with risk of receiving comorbid schizophrenia diagnosis, see </w:t>
      </w:r>
      <w:r w:rsidRPr="004D46AC">
        <w:rPr>
          <w:rFonts w:eastAsiaTheme="minorEastAsia" w:hint="eastAsia"/>
        </w:rPr>
        <w:t>T</w:t>
      </w:r>
      <w:r w:rsidRPr="004D46AC">
        <w:t>able</w:t>
      </w:r>
      <w:r w:rsidRPr="004D46AC">
        <w:rPr>
          <w:rFonts w:eastAsiaTheme="minorEastAsia" w:hint="eastAsia"/>
        </w:rPr>
        <w:t>s</w:t>
      </w:r>
      <w:r w:rsidRPr="004D46AC">
        <w:t xml:space="preserve"> </w:t>
      </w:r>
      <w:r w:rsidRPr="004D46AC">
        <w:rPr>
          <w:rFonts w:eastAsiaTheme="minorEastAsia" w:hint="eastAsia"/>
        </w:rPr>
        <w:t>2.</w:t>
      </w:r>
      <w:r w:rsidRPr="004D46AC">
        <w:t>3-</w:t>
      </w:r>
      <w:r w:rsidRPr="004D46AC">
        <w:rPr>
          <w:rFonts w:eastAsiaTheme="minorEastAsia" w:hint="eastAsia"/>
        </w:rPr>
        <w:t>2.</w:t>
      </w:r>
      <w:r w:rsidRPr="004D46AC">
        <w:t xml:space="preserve">4 and </w:t>
      </w:r>
      <w:r w:rsidRPr="004D46AC">
        <w:rPr>
          <w:rFonts w:eastAsiaTheme="minorEastAsia" w:hint="eastAsia"/>
        </w:rPr>
        <w:t>Figures</w:t>
      </w:r>
      <w:r w:rsidRPr="004D46AC">
        <w:t xml:space="preserve"> </w:t>
      </w:r>
      <w:r w:rsidRPr="004D46AC">
        <w:rPr>
          <w:rFonts w:eastAsiaTheme="minorEastAsia" w:hint="eastAsia"/>
        </w:rPr>
        <w:t>B</w:t>
      </w:r>
      <w:r w:rsidR="000B4CBF" w:rsidRPr="004D46AC">
        <w:rPr>
          <w:rFonts w:eastAsiaTheme="minorEastAsia" w:hint="eastAsia"/>
        </w:rPr>
        <w:t xml:space="preserve"> </w:t>
      </w:r>
      <w:r w:rsidRPr="004D46AC">
        <w:t xml:space="preserve">1-2 for details. </w:t>
      </w:r>
    </w:p>
    <w:p w14:paraId="0BD5EAE1" w14:textId="77777777" w:rsidR="003D5CB6" w:rsidRPr="004D46AC" w:rsidRDefault="003D5CB6" w:rsidP="00B518F1">
      <w:pPr>
        <w:spacing w:line="360" w:lineRule="auto"/>
        <w:ind w:firstLine="0"/>
        <w:rPr>
          <w:rFonts w:eastAsiaTheme="minorEastAsia"/>
        </w:rPr>
      </w:pPr>
    </w:p>
    <w:p w14:paraId="2159835E" w14:textId="74E6303D" w:rsidR="005B3793" w:rsidRPr="004D46AC" w:rsidRDefault="003A1ED4" w:rsidP="005B3793">
      <w:pPr>
        <w:pStyle w:val="afff0"/>
        <w:spacing w:after="0" w:line="360" w:lineRule="auto"/>
        <w:ind w:firstLine="0"/>
        <w:rPr>
          <w:rFonts w:eastAsiaTheme="minorEastAsia"/>
          <w:b/>
          <w:bCs/>
          <w:i w:val="0"/>
          <w:iCs w:val="0"/>
          <w:color w:val="auto"/>
          <w:sz w:val="22"/>
          <w:szCs w:val="22"/>
        </w:rPr>
      </w:pPr>
      <w:bookmarkStart w:id="105" w:name="_Toc219883855"/>
      <w:bookmarkStart w:id="106" w:name="_Toc219870607"/>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3</w:t>
      </w:r>
      <w:bookmarkEnd w:id="105"/>
      <w:r w:rsidR="004725A0" w:rsidRPr="004D46AC">
        <w:rPr>
          <w:b/>
          <w:bCs/>
          <w:i w:val="0"/>
          <w:iCs w:val="0"/>
          <w:color w:val="auto"/>
          <w:sz w:val="22"/>
          <w:szCs w:val="22"/>
        </w:rPr>
        <w:fldChar w:fldCharType="end"/>
      </w:r>
      <w:bookmarkEnd w:id="106"/>
    </w:p>
    <w:p w14:paraId="2F25B629" w14:textId="021161C1" w:rsidR="003D5CB6" w:rsidRPr="004D46AC" w:rsidRDefault="003D5CB6" w:rsidP="005B3793">
      <w:pPr>
        <w:pStyle w:val="afff0"/>
        <w:spacing w:after="0" w:line="360" w:lineRule="auto"/>
        <w:ind w:firstLine="0"/>
        <w:rPr>
          <w:rFonts w:eastAsiaTheme="minorEastAsia"/>
          <w:b/>
          <w:bCs/>
          <w:i w:val="0"/>
          <w:iCs w:val="0"/>
          <w:color w:val="auto"/>
          <w:sz w:val="22"/>
          <w:szCs w:val="22"/>
        </w:rPr>
      </w:pPr>
      <w:r w:rsidRPr="004D46AC">
        <w:rPr>
          <w:rFonts w:eastAsiaTheme="minorEastAsia"/>
          <w:color w:val="auto"/>
          <w:sz w:val="22"/>
          <w:szCs w:val="22"/>
        </w:rPr>
        <w:t>Pooled results of comorbid schizophrenia and psychosis in bipolar patients</w:t>
      </w:r>
    </w:p>
    <w:tbl>
      <w:tblPr>
        <w:tblStyle w:val="afc"/>
        <w:tblW w:w="8300" w:type="dxa"/>
        <w:jc w:val="center"/>
        <w:tblLook w:val="04A0" w:firstRow="1" w:lastRow="0" w:firstColumn="1" w:lastColumn="0" w:noHBand="0" w:noVBand="1"/>
      </w:tblPr>
      <w:tblGrid>
        <w:gridCol w:w="1931"/>
        <w:gridCol w:w="1658"/>
        <w:gridCol w:w="1797"/>
        <w:gridCol w:w="1520"/>
        <w:gridCol w:w="1394"/>
      </w:tblGrid>
      <w:tr w:rsidR="003D5CB6" w:rsidRPr="004D46AC" w14:paraId="026282DE" w14:textId="77777777" w:rsidTr="00B518F1">
        <w:trPr>
          <w:trHeight w:val="811"/>
          <w:jc w:val="center"/>
        </w:trPr>
        <w:tc>
          <w:tcPr>
            <w:tcW w:w="1931" w:type="dxa"/>
          </w:tcPr>
          <w:p w14:paraId="54CA0E6C" w14:textId="77777777" w:rsidR="003D5CB6" w:rsidRPr="004D46AC" w:rsidRDefault="003D5CB6" w:rsidP="00B518F1">
            <w:pPr>
              <w:spacing w:line="360" w:lineRule="auto"/>
              <w:ind w:firstLine="0"/>
              <w:rPr>
                <w:rFonts w:eastAsiaTheme="minorEastAsia"/>
              </w:rPr>
            </w:pPr>
            <w:r w:rsidRPr="004D46AC">
              <w:rPr>
                <w:rFonts w:eastAsiaTheme="minorEastAsia"/>
              </w:rPr>
              <w:t>Analyses of Comorbid</w:t>
            </w:r>
          </w:p>
          <w:p w14:paraId="669822AB" w14:textId="77777777" w:rsidR="003D5CB6" w:rsidRPr="004D46AC" w:rsidRDefault="003D5CB6" w:rsidP="00B518F1">
            <w:pPr>
              <w:spacing w:line="360" w:lineRule="auto"/>
              <w:ind w:firstLine="0"/>
              <w:rPr>
                <w:rFonts w:eastAsiaTheme="minorEastAsia"/>
              </w:rPr>
            </w:pPr>
            <w:r w:rsidRPr="004D46AC">
              <w:rPr>
                <w:rFonts w:eastAsiaTheme="minorEastAsia"/>
              </w:rPr>
              <w:t>Conditions</w:t>
            </w:r>
          </w:p>
        </w:tc>
        <w:tc>
          <w:tcPr>
            <w:tcW w:w="1658" w:type="dxa"/>
          </w:tcPr>
          <w:p w14:paraId="7576E75D" w14:textId="77777777" w:rsidR="003D5CB6" w:rsidRPr="004D46AC" w:rsidRDefault="003D5CB6" w:rsidP="00B518F1">
            <w:pPr>
              <w:spacing w:line="360" w:lineRule="auto"/>
              <w:ind w:firstLine="0"/>
              <w:rPr>
                <w:rFonts w:eastAsiaTheme="minorEastAsia"/>
              </w:rPr>
            </w:pPr>
            <w:r w:rsidRPr="004D46AC">
              <w:rPr>
                <w:rFonts w:eastAsiaTheme="minorEastAsia"/>
              </w:rPr>
              <w:t>Sub-analyses</w:t>
            </w:r>
          </w:p>
        </w:tc>
        <w:tc>
          <w:tcPr>
            <w:tcW w:w="1797" w:type="dxa"/>
          </w:tcPr>
          <w:p w14:paraId="6D96D48B" w14:textId="77777777" w:rsidR="003D5CB6" w:rsidRPr="004D46AC" w:rsidRDefault="003D5CB6" w:rsidP="00B518F1">
            <w:pPr>
              <w:spacing w:line="360" w:lineRule="auto"/>
              <w:ind w:firstLine="0"/>
              <w:rPr>
                <w:rFonts w:eastAsiaTheme="minorEastAsia"/>
              </w:rPr>
            </w:pPr>
            <w:r w:rsidRPr="004D46AC">
              <w:rPr>
                <w:rFonts w:eastAsiaTheme="minorEastAsia"/>
              </w:rPr>
              <w:t>Pooled Rate (95% CI)</w:t>
            </w:r>
          </w:p>
        </w:tc>
        <w:tc>
          <w:tcPr>
            <w:tcW w:w="1520" w:type="dxa"/>
          </w:tcPr>
          <w:p w14:paraId="4E64B8C7" w14:textId="77777777" w:rsidR="003D5CB6" w:rsidRPr="004D46AC" w:rsidRDefault="003D5CB6" w:rsidP="00B518F1">
            <w:pPr>
              <w:spacing w:line="360" w:lineRule="auto"/>
              <w:ind w:firstLine="0"/>
              <w:rPr>
                <w:rFonts w:eastAsiaTheme="minorEastAsia"/>
              </w:rPr>
            </w:pPr>
            <w:r w:rsidRPr="004D46AC">
              <w:rPr>
                <w:rFonts w:eastAsiaTheme="minorEastAsia"/>
                <w:i/>
                <w:iCs/>
              </w:rPr>
              <w:t>Tau</w:t>
            </w:r>
            <w:r w:rsidRPr="004D46AC">
              <w:rPr>
                <w:rFonts w:eastAsiaTheme="minorEastAsia"/>
                <w:i/>
                <w:iCs/>
                <w:vertAlign w:val="superscript"/>
              </w:rPr>
              <w:t xml:space="preserve">2 </w:t>
            </w:r>
            <w:r w:rsidRPr="004D46AC">
              <w:rPr>
                <w:rFonts w:eastAsiaTheme="minorEastAsia"/>
              </w:rPr>
              <w:t>(95% CI)</w:t>
            </w:r>
          </w:p>
        </w:tc>
        <w:tc>
          <w:tcPr>
            <w:tcW w:w="1394" w:type="dxa"/>
          </w:tcPr>
          <w:p w14:paraId="091193DF" w14:textId="77777777" w:rsidR="003D5CB6" w:rsidRPr="004D46AC" w:rsidRDefault="003D5CB6" w:rsidP="00B518F1">
            <w:pPr>
              <w:spacing w:line="360" w:lineRule="auto"/>
              <w:ind w:firstLine="0"/>
              <w:rPr>
                <w:rFonts w:eastAsiaTheme="minorEastAsia"/>
              </w:rPr>
            </w:pPr>
            <w:r w:rsidRPr="004D46AC">
              <w:rPr>
                <w:rFonts w:eastAsiaTheme="minorEastAsia"/>
                <w:i/>
                <w:iCs/>
              </w:rPr>
              <w:t>I</w:t>
            </w:r>
            <w:r w:rsidRPr="004D46AC">
              <w:rPr>
                <w:rFonts w:eastAsiaTheme="minorEastAsia"/>
                <w:i/>
                <w:iCs/>
                <w:vertAlign w:val="superscript"/>
              </w:rPr>
              <w:t>2</w:t>
            </w:r>
            <w:r w:rsidRPr="004D46AC">
              <w:rPr>
                <w:rFonts w:eastAsiaTheme="minorEastAsia"/>
              </w:rPr>
              <w:t xml:space="preserve"> (95% CI)</w:t>
            </w:r>
          </w:p>
        </w:tc>
      </w:tr>
      <w:tr w:rsidR="003D5CB6" w:rsidRPr="004D46AC" w14:paraId="7492D52B" w14:textId="77777777" w:rsidTr="00B518F1">
        <w:trPr>
          <w:trHeight w:val="464"/>
          <w:jc w:val="center"/>
        </w:trPr>
        <w:tc>
          <w:tcPr>
            <w:tcW w:w="1931" w:type="dxa"/>
            <w:vAlign w:val="center"/>
          </w:tcPr>
          <w:p w14:paraId="1843429C" w14:textId="77777777" w:rsidR="003D5CB6" w:rsidRPr="004D46AC" w:rsidRDefault="003D5CB6" w:rsidP="00B518F1">
            <w:pPr>
              <w:spacing w:line="360" w:lineRule="auto"/>
              <w:ind w:firstLine="0"/>
              <w:jc w:val="center"/>
              <w:rPr>
                <w:rFonts w:eastAsiaTheme="minorEastAsia"/>
                <w:b/>
                <w:bCs/>
              </w:rPr>
            </w:pPr>
            <w:r w:rsidRPr="004D46AC">
              <w:rPr>
                <w:rFonts w:eastAsiaTheme="minorEastAsia"/>
                <w:b/>
                <w:bCs/>
              </w:rPr>
              <w:t>Schizophrenia</w:t>
            </w:r>
          </w:p>
        </w:tc>
        <w:tc>
          <w:tcPr>
            <w:tcW w:w="1658" w:type="dxa"/>
            <w:vAlign w:val="center"/>
          </w:tcPr>
          <w:p w14:paraId="675F2AD8" w14:textId="77777777" w:rsidR="003D5CB6" w:rsidRPr="004D46AC" w:rsidRDefault="003D5CB6" w:rsidP="00B518F1">
            <w:pPr>
              <w:spacing w:line="360" w:lineRule="auto"/>
              <w:ind w:firstLine="0"/>
              <w:jc w:val="center"/>
              <w:rPr>
                <w:rFonts w:eastAsiaTheme="minorEastAsia"/>
              </w:rPr>
            </w:pPr>
          </w:p>
        </w:tc>
        <w:tc>
          <w:tcPr>
            <w:tcW w:w="1797" w:type="dxa"/>
            <w:vAlign w:val="center"/>
          </w:tcPr>
          <w:p w14:paraId="48FB9EF3" w14:textId="77777777" w:rsidR="003D5CB6" w:rsidRPr="004D46AC" w:rsidRDefault="003D5CB6" w:rsidP="00B518F1">
            <w:pPr>
              <w:spacing w:line="360" w:lineRule="auto"/>
              <w:ind w:firstLine="0"/>
              <w:jc w:val="center"/>
              <w:rPr>
                <w:rFonts w:eastAsiaTheme="minorEastAsia"/>
              </w:rPr>
            </w:pPr>
            <w:r w:rsidRPr="004D46AC">
              <w:rPr>
                <w:rFonts w:eastAsiaTheme="minorEastAsia"/>
              </w:rPr>
              <w:t>8.04</w:t>
            </w:r>
          </w:p>
          <w:p w14:paraId="780D9B21"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w:t>
            </w:r>
            <w:r w:rsidRPr="004D46AC">
              <w:rPr>
                <w:rFonts w:eastAsiaTheme="minorEastAsia"/>
              </w:rPr>
              <w:t>5.53</w:t>
            </w:r>
            <w:r w:rsidRPr="004D46AC">
              <w:rPr>
                <w:rFonts w:eastAsiaTheme="minorEastAsia" w:hint="eastAsia"/>
              </w:rPr>
              <w:t xml:space="preserve">, </w:t>
            </w:r>
            <w:r w:rsidRPr="004D46AC">
              <w:rPr>
                <w:rFonts w:eastAsiaTheme="minorEastAsia"/>
              </w:rPr>
              <w:t>10.96</w:t>
            </w:r>
            <w:r w:rsidRPr="004D46AC">
              <w:rPr>
                <w:rFonts w:eastAsiaTheme="minorEastAsia" w:hint="eastAsia"/>
              </w:rPr>
              <w:t>]</w:t>
            </w:r>
          </w:p>
        </w:tc>
        <w:tc>
          <w:tcPr>
            <w:tcW w:w="1520" w:type="dxa"/>
            <w:vAlign w:val="center"/>
          </w:tcPr>
          <w:p w14:paraId="3D052C70" w14:textId="77777777" w:rsidR="003D5CB6" w:rsidRPr="004D46AC" w:rsidRDefault="003D5CB6" w:rsidP="00B518F1">
            <w:pPr>
              <w:spacing w:line="360" w:lineRule="auto"/>
              <w:ind w:firstLine="0"/>
              <w:jc w:val="center"/>
              <w:rPr>
                <w:rFonts w:eastAsiaTheme="minorEastAsia"/>
              </w:rPr>
            </w:pPr>
            <w:r w:rsidRPr="004D46AC">
              <w:rPr>
                <w:rFonts w:eastAsiaTheme="minorEastAsia"/>
              </w:rPr>
              <w:t xml:space="preserve">.01 </w:t>
            </w:r>
            <w:r w:rsidRPr="004D46AC">
              <w:rPr>
                <w:rFonts w:eastAsiaTheme="minorEastAsia" w:hint="eastAsia"/>
              </w:rPr>
              <w:t>[</w:t>
            </w:r>
            <w:r w:rsidRPr="004D46AC">
              <w:rPr>
                <w:rFonts w:eastAsiaTheme="minorEastAsia"/>
              </w:rPr>
              <w:t>.01</w:t>
            </w:r>
            <w:r w:rsidRPr="004D46AC">
              <w:rPr>
                <w:rFonts w:eastAsiaTheme="minorEastAsia" w:hint="eastAsia"/>
              </w:rPr>
              <w:t>,</w:t>
            </w:r>
            <w:r w:rsidRPr="004D46AC">
              <w:rPr>
                <w:rFonts w:eastAsiaTheme="minorEastAsia"/>
              </w:rPr>
              <w:t xml:space="preserve"> .03</w:t>
            </w:r>
            <w:r w:rsidRPr="004D46AC">
              <w:rPr>
                <w:rFonts w:eastAsiaTheme="minorEastAsia" w:hint="eastAsia"/>
              </w:rPr>
              <w:t>]</w:t>
            </w:r>
          </w:p>
        </w:tc>
        <w:tc>
          <w:tcPr>
            <w:tcW w:w="1394" w:type="dxa"/>
            <w:vAlign w:val="center"/>
          </w:tcPr>
          <w:p w14:paraId="0A868A73" w14:textId="77777777" w:rsidR="003D5CB6" w:rsidRPr="004D46AC" w:rsidRDefault="003D5CB6" w:rsidP="00B518F1">
            <w:pPr>
              <w:spacing w:line="360" w:lineRule="auto"/>
              <w:ind w:firstLine="0"/>
              <w:jc w:val="center"/>
              <w:rPr>
                <w:rFonts w:eastAsiaTheme="minorEastAsia"/>
              </w:rPr>
            </w:pPr>
            <w:r w:rsidRPr="004D46AC">
              <w:rPr>
                <w:rFonts w:eastAsiaTheme="minorEastAsia"/>
              </w:rPr>
              <w:t>99.7</w:t>
            </w:r>
          </w:p>
          <w:p w14:paraId="667A155F"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w:t>
            </w:r>
            <w:r w:rsidRPr="004D46AC">
              <w:rPr>
                <w:rFonts w:eastAsiaTheme="minorEastAsia"/>
              </w:rPr>
              <w:t>99.5</w:t>
            </w:r>
            <w:r w:rsidRPr="004D46AC">
              <w:rPr>
                <w:rFonts w:eastAsiaTheme="minorEastAsia" w:hint="eastAsia"/>
              </w:rPr>
              <w:t>,</w:t>
            </w:r>
            <w:r w:rsidRPr="004D46AC">
              <w:rPr>
                <w:rFonts w:eastAsiaTheme="minorEastAsia"/>
              </w:rPr>
              <w:t xml:space="preserve"> 99.9</w:t>
            </w:r>
            <w:r w:rsidRPr="004D46AC">
              <w:rPr>
                <w:rFonts w:eastAsiaTheme="minorEastAsia" w:hint="eastAsia"/>
              </w:rPr>
              <w:t>]</w:t>
            </w:r>
          </w:p>
        </w:tc>
      </w:tr>
      <w:tr w:rsidR="003D5CB6" w:rsidRPr="004D46AC" w14:paraId="0DBB4791" w14:textId="77777777" w:rsidTr="00B518F1">
        <w:trPr>
          <w:trHeight w:val="395"/>
          <w:jc w:val="center"/>
        </w:trPr>
        <w:tc>
          <w:tcPr>
            <w:tcW w:w="1931" w:type="dxa"/>
            <w:vAlign w:val="center"/>
          </w:tcPr>
          <w:p w14:paraId="4008D5E5" w14:textId="77777777" w:rsidR="003D5CB6" w:rsidRPr="004D46AC" w:rsidRDefault="003D5CB6" w:rsidP="00B518F1">
            <w:pPr>
              <w:spacing w:line="360" w:lineRule="auto"/>
              <w:ind w:firstLine="0"/>
              <w:jc w:val="center"/>
              <w:rPr>
                <w:rFonts w:eastAsiaTheme="minorEastAsia"/>
                <w:b/>
                <w:bCs/>
              </w:rPr>
            </w:pPr>
            <w:r w:rsidRPr="004D46AC">
              <w:rPr>
                <w:rFonts w:eastAsiaTheme="minorEastAsia"/>
                <w:b/>
                <w:bCs/>
              </w:rPr>
              <w:t>Mood-incongruent psychosis</w:t>
            </w:r>
          </w:p>
        </w:tc>
        <w:tc>
          <w:tcPr>
            <w:tcW w:w="1658" w:type="dxa"/>
            <w:vAlign w:val="center"/>
          </w:tcPr>
          <w:p w14:paraId="2E029506" w14:textId="77777777" w:rsidR="003D5CB6" w:rsidRPr="004D46AC" w:rsidRDefault="003D5CB6" w:rsidP="00B518F1">
            <w:pPr>
              <w:spacing w:line="360" w:lineRule="auto"/>
              <w:ind w:firstLine="0"/>
              <w:jc w:val="center"/>
              <w:rPr>
                <w:rFonts w:eastAsiaTheme="minorEastAsia"/>
              </w:rPr>
            </w:pPr>
          </w:p>
        </w:tc>
        <w:tc>
          <w:tcPr>
            <w:tcW w:w="1797" w:type="dxa"/>
            <w:vAlign w:val="center"/>
          </w:tcPr>
          <w:p w14:paraId="341BD10F" w14:textId="77777777" w:rsidR="003D5CB6" w:rsidRPr="004D46AC" w:rsidRDefault="003D5CB6" w:rsidP="00B518F1">
            <w:pPr>
              <w:spacing w:line="360" w:lineRule="auto"/>
              <w:ind w:firstLine="0"/>
              <w:jc w:val="center"/>
              <w:rPr>
                <w:rFonts w:eastAsiaTheme="minorEastAsia"/>
              </w:rPr>
            </w:pPr>
            <w:r w:rsidRPr="004D46AC">
              <w:rPr>
                <w:rFonts w:eastAsiaTheme="minorEastAsia"/>
              </w:rPr>
              <w:t>47.43</w:t>
            </w:r>
          </w:p>
          <w:p w14:paraId="2A300A09"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w:t>
            </w:r>
            <w:r w:rsidRPr="004D46AC">
              <w:rPr>
                <w:rFonts w:eastAsiaTheme="minorEastAsia"/>
              </w:rPr>
              <w:t>38.55</w:t>
            </w:r>
            <w:r w:rsidRPr="004D46AC">
              <w:rPr>
                <w:rFonts w:eastAsiaTheme="minorEastAsia" w:hint="eastAsia"/>
              </w:rPr>
              <w:t>,</w:t>
            </w:r>
            <w:r w:rsidRPr="004D46AC">
              <w:rPr>
                <w:rFonts w:eastAsiaTheme="minorEastAsia"/>
              </w:rPr>
              <w:t xml:space="preserve"> 56.40</w:t>
            </w:r>
            <w:r w:rsidRPr="004D46AC">
              <w:rPr>
                <w:rFonts w:eastAsiaTheme="minorEastAsia" w:hint="eastAsia"/>
              </w:rPr>
              <w:t>]</w:t>
            </w:r>
          </w:p>
        </w:tc>
        <w:tc>
          <w:tcPr>
            <w:tcW w:w="1520" w:type="dxa"/>
            <w:vAlign w:val="center"/>
          </w:tcPr>
          <w:p w14:paraId="0FFDD017" w14:textId="77777777" w:rsidR="003D5CB6" w:rsidRPr="004D46AC" w:rsidRDefault="003D5CB6" w:rsidP="00B518F1">
            <w:pPr>
              <w:spacing w:line="360" w:lineRule="auto"/>
              <w:ind w:firstLine="0"/>
              <w:jc w:val="center"/>
              <w:rPr>
                <w:rFonts w:eastAsiaTheme="minorEastAsia"/>
              </w:rPr>
            </w:pPr>
            <w:r w:rsidRPr="004D46AC">
              <w:rPr>
                <w:rFonts w:eastAsiaTheme="minorEastAsia"/>
              </w:rPr>
              <w:t xml:space="preserve">.04 </w:t>
            </w:r>
            <w:r w:rsidRPr="004D46AC">
              <w:rPr>
                <w:rFonts w:eastAsiaTheme="minorEastAsia" w:hint="eastAsia"/>
              </w:rPr>
              <w:t>[</w:t>
            </w:r>
            <w:r w:rsidRPr="004D46AC">
              <w:rPr>
                <w:rFonts w:eastAsiaTheme="minorEastAsia"/>
              </w:rPr>
              <w:t>.02</w:t>
            </w:r>
            <w:r w:rsidRPr="004D46AC">
              <w:rPr>
                <w:rFonts w:eastAsiaTheme="minorEastAsia" w:hint="eastAsia"/>
              </w:rPr>
              <w:t>,</w:t>
            </w:r>
            <w:r w:rsidRPr="004D46AC">
              <w:rPr>
                <w:rFonts w:eastAsiaTheme="minorEastAsia"/>
              </w:rPr>
              <w:t xml:space="preserve"> .09</w:t>
            </w:r>
            <w:r w:rsidRPr="004D46AC">
              <w:rPr>
                <w:rFonts w:eastAsiaTheme="minorEastAsia" w:hint="eastAsia"/>
              </w:rPr>
              <w:t>]</w:t>
            </w:r>
          </w:p>
        </w:tc>
        <w:tc>
          <w:tcPr>
            <w:tcW w:w="1394" w:type="dxa"/>
            <w:vAlign w:val="center"/>
          </w:tcPr>
          <w:p w14:paraId="1724CD83" w14:textId="77777777" w:rsidR="003D5CB6" w:rsidRPr="004D46AC" w:rsidRDefault="003D5CB6" w:rsidP="00B518F1">
            <w:pPr>
              <w:spacing w:line="360" w:lineRule="auto"/>
              <w:ind w:firstLine="0"/>
              <w:jc w:val="center"/>
              <w:rPr>
                <w:rFonts w:eastAsiaTheme="minorEastAsia"/>
              </w:rPr>
            </w:pPr>
            <w:r w:rsidRPr="004D46AC">
              <w:rPr>
                <w:rFonts w:eastAsiaTheme="minorEastAsia"/>
              </w:rPr>
              <w:t>95.9</w:t>
            </w:r>
          </w:p>
          <w:p w14:paraId="79ECD52E"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w:t>
            </w:r>
            <w:r w:rsidRPr="004D46AC">
              <w:rPr>
                <w:rFonts w:eastAsiaTheme="minorEastAsia"/>
              </w:rPr>
              <w:t>94.7</w:t>
            </w:r>
            <w:r w:rsidRPr="004D46AC">
              <w:rPr>
                <w:rFonts w:eastAsiaTheme="minorEastAsia" w:hint="eastAsia"/>
              </w:rPr>
              <w:t xml:space="preserve">, </w:t>
            </w:r>
            <w:r w:rsidRPr="004D46AC">
              <w:rPr>
                <w:rFonts w:eastAsiaTheme="minorEastAsia"/>
              </w:rPr>
              <w:t>96.8</w:t>
            </w:r>
            <w:r w:rsidRPr="004D46AC">
              <w:rPr>
                <w:rFonts w:eastAsiaTheme="minorEastAsia" w:hint="eastAsia"/>
              </w:rPr>
              <w:t>]</w:t>
            </w:r>
          </w:p>
        </w:tc>
      </w:tr>
      <w:tr w:rsidR="003D5CB6" w:rsidRPr="004D46AC" w14:paraId="224DBC11" w14:textId="77777777" w:rsidTr="00B518F1">
        <w:trPr>
          <w:trHeight w:val="406"/>
          <w:jc w:val="center"/>
        </w:trPr>
        <w:tc>
          <w:tcPr>
            <w:tcW w:w="1931" w:type="dxa"/>
            <w:vAlign w:val="center"/>
          </w:tcPr>
          <w:p w14:paraId="64B530E8" w14:textId="77777777" w:rsidR="003D5CB6" w:rsidRPr="004D46AC" w:rsidRDefault="003D5CB6" w:rsidP="00B518F1">
            <w:pPr>
              <w:spacing w:line="360" w:lineRule="auto"/>
              <w:ind w:firstLine="0"/>
              <w:jc w:val="center"/>
              <w:rPr>
                <w:rFonts w:eastAsiaTheme="minorEastAsia"/>
                <w:b/>
                <w:bCs/>
              </w:rPr>
            </w:pPr>
            <w:r w:rsidRPr="004D46AC">
              <w:rPr>
                <w:rFonts w:eastAsiaTheme="minorEastAsia"/>
                <w:b/>
                <w:bCs/>
              </w:rPr>
              <w:t>Psychosis (lifetime)</w:t>
            </w:r>
          </w:p>
        </w:tc>
        <w:tc>
          <w:tcPr>
            <w:tcW w:w="1658" w:type="dxa"/>
            <w:vAlign w:val="center"/>
          </w:tcPr>
          <w:p w14:paraId="16222D12" w14:textId="77777777" w:rsidR="003D5CB6" w:rsidRPr="004D46AC" w:rsidRDefault="003D5CB6" w:rsidP="00B518F1">
            <w:pPr>
              <w:spacing w:line="360" w:lineRule="auto"/>
              <w:ind w:firstLine="0"/>
              <w:jc w:val="center"/>
              <w:rPr>
                <w:rFonts w:eastAsiaTheme="minorEastAsia"/>
              </w:rPr>
            </w:pPr>
          </w:p>
        </w:tc>
        <w:tc>
          <w:tcPr>
            <w:tcW w:w="1797" w:type="dxa"/>
            <w:vAlign w:val="center"/>
          </w:tcPr>
          <w:p w14:paraId="3827B786" w14:textId="77777777" w:rsidR="003D5CB6" w:rsidRPr="004D46AC" w:rsidRDefault="003D5CB6" w:rsidP="00B518F1">
            <w:pPr>
              <w:spacing w:line="360" w:lineRule="auto"/>
              <w:ind w:firstLine="0"/>
              <w:jc w:val="center"/>
              <w:rPr>
                <w:rFonts w:eastAsiaTheme="minorEastAsia"/>
              </w:rPr>
            </w:pPr>
            <w:r w:rsidRPr="004D46AC">
              <w:rPr>
                <w:rFonts w:eastAsiaTheme="minorEastAsia"/>
              </w:rPr>
              <w:t xml:space="preserve">53.08 </w:t>
            </w:r>
            <w:r w:rsidRPr="004D46AC">
              <w:rPr>
                <w:rFonts w:eastAsiaTheme="minorEastAsia" w:hint="eastAsia"/>
              </w:rPr>
              <w:t>[</w:t>
            </w:r>
            <w:r w:rsidRPr="004D46AC">
              <w:rPr>
                <w:rFonts w:eastAsiaTheme="minorEastAsia"/>
              </w:rPr>
              <w:t>49.72, 56.43</w:t>
            </w:r>
            <w:r w:rsidRPr="004D46AC">
              <w:rPr>
                <w:rFonts w:eastAsiaTheme="minorEastAsia" w:hint="eastAsia"/>
              </w:rPr>
              <w:t>]</w:t>
            </w:r>
          </w:p>
        </w:tc>
        <w:tc>
          <w:tcPr>
            <w:tcW w:w="1520" w:type="dxa"/>
            <w:vAlign w:val="center"/>
          </w:tcPr>
          <w:p w14:paraId="66B85B0E" w14:textId="77777777" w:rsidR="003D5CB6" w:rsidRPr="004D46AC" w:rsidRDefault="003D5CB6" w:rsidP="00B518F1">
            <w:pPr>
              <w:spacing w:line="360" w:lineRule="auto"/>
              <w:ind w:firstLine="0"/>
              <w:jc w:val="center"/>
              <w:rPr>
                <w:rFonts w:eastAsiaTheme="minorEastAsia"/>
              </w:rPr>
            </w:pPr>
            <w:r w:rsidRPr="004D46AC">
              <w:rPr>
                <w:rFonts w:eastAsiaTheme="minorEastAsia"/>
              </w:rPr>
              <w:t xml:space="preserve">.03 </w:t>
            </w:r>
            <w:r w:rsidRPr="004D46AC">
              <w:rPr>
                <w:rFonts w:eastAsiaTheme="minorEastAsia" w:hint="eastAsia"/>
              </w:rPr>
              <w:t>[</w:t>
            </w:r>
            <w:r w:rsidRPr="004D46AC">
              <w:rPr>
                <w:rFonts w:eastAsiaTheme="minorEastAsia"/>
              </w:rPr>
              <w:t>.02</w:t>
            </w:r>
            <w:r w:rsidRPr="004D46AC">
              <w:rPr>
                <w:rFonts w:eastAsiaTheme="minorEastAsia" w:hint="eastAsia"/>
              </w:rPr>
              <w:t>,</w:t>
            </w:r>
            <w:r w:rsidRPr="004D46AC">
              <w:rPr>
                <w:rFonts w:eastAsiaTheme="minorEastAsia"/>
              </w:rPr>
              <w:t xml:space="preserve"> .04</w:t>
            </w:r>
            <w:r w:rsidRPr="004D46AC">
              <w:rPr>
                <w:rFonts w:eastAsiaTheme="minorEastAsia" w:hint="eastAsia"/>
              </w:rPr>
              <w:t>]</w:t>
            </w:r>
          </w:p>
        </w:tc>
        <w:tc>
          <w:tcPr>
            <w:tcW w:w="1394" w:type="dxa"/>
            <w:vAlign w:val="center"/>
          </w:tcPr>
          <w:p w14:paraId="498A1DF3" w14:textId="77777777" w:rsidR="003D5CB6" w:rsidRPr="004D46AC" w:rsidRDefault="003D5CB6" w:rsidP="00B518F1">
            <w:pPr>
              <w:spacing w:line="360" w:lineRule="auto"/>
              <w:ind w:firstLine="0"/>
              <w:jc w:val="center"/>
              <w:rPr>
                <w:rFonts w:eastAsiaTheme="minorEastAsia"/>
              </w:rPr>
            </w:pPr>
            <w:r w:rsidRPr="004D46AC">
              <w:rPr>
                <w:rFonts w:eastAsiaTheme="minorEastAsia"/>
              </w:rPr>
              <w:t>97.6</w:t>
            </w:r>
          </w:p>
          <w:p w14:paraId="52ABC267"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[9</w:t>
            </w:r>
            <w:r w:rsidRPr="004D46AC">
              <w:rPr>
                <w:rFonts w:eastAsiaTheme="minorEastAsia"/>
              </w:rPr>
              <w:t>7.3</w:t>
            </w:r>
            <w:r w:rsidRPr="004D46AC">
              <w:rPr>
                <w:rFonts w:eastAsiaTheme="minorEastAsia" w:hint="eastAsia"/>
              </w:rPr>
              <w:t xml:space="preserve">, </w:t>
            </w:r>
            <w:r w:rsidRPr="004D46AC">
              <w:rPr>
                <w:rFonts w:eastAsiaTheme="minorEastAsia"/>
              </w:rPr>
              <w:t>97.8</w:t>
            </w:r>
            <w:r w:rsidRPr="004D46AC">
              <w:rPr>
                <w:rFonts w:eastAsiaTheme="minorEastAsia" w:hint="eastAsia"/>
              </w:rPr>
              <w:t>]</w:t>
            </w:r>
          </w:p>
        </w:tc>
      </w:tr>
      <w:tr w:rsidR="003D5CB6" w:rsidRPr="004D46AC" w14:paraId="5ACE1457" w14:textId="77777777" w:rsidTr="00B518F1">
        <w:trPr>
          <w:trHeight w:val="406"/>
          <w:jc w:val="center"/>
        </w:trPr>
        <w:tc>
          <w:tcPr>
            <w:tcW w:w="1931" w:type="dxa"/>
            <w:vAlign w:val="center"/>
          </w:tcPr>
          <w:p w14:paraId="1B349911"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4BE0E031" w14:textId="77777777" w:rsidR="003D5CB6" w:rsidRPr="004D46AC" w:rsidRDefault="003D5CB6" w:rsidP="00B518F1">
            <w:pPr>
              <w:spacing w:line="360" w:lineRule="auto"/>
              <w:ind w:firstLine="0"/>
              <w:jc w:val="center"/>
              <w:rPr>
                <w:rFonts w:eastAsiaTheme="minorEastAsia"/>
              </w:rPr>
            </w:pPr>
            <w:r w:rsidRPr="004D46AC">
              <w:rPr>
                <w:rFonts w:eastAsiaTheme="minorEastAsia"/>
              </w:rPr>
              <w:t>Bipolar I</w:t>
            </w:r>
          </w:p>
        </w:tc>
        <w:tc>
          <w:tcPr>
            <w:tcW w:w="1797" w:type="dxa"/>
            <w:vAlign w:val="center"/>
          </w:tcPr>
          <w:p w14:paraId="0D05886D" w14:textId="77777777" w:rsidR="003D5CB6" w:rsidRPr="004D46AC" w:rsidRDefault="003D5CB6" w:rsidP="00B518F1">
            <w:pPr>
              <w:spacing w:line="360" w:lineRule="auto"/>
              <w:ind w:firstLine="0"/>
              <w:jc w:val="center"/>
              <w:rPr>
                <w:rFonts w:eastAsiaTheme="minorEastAsia"/>
              </w:rPr>
            </w:pPr>
            <w:r w:rsidRPr="004D46AC">
              <w:rPr>
                <w:rFonts w:eastAsiaTheme="minorEastAsia"/>
              </w:rPr>
              <w:t>62.81</w:t>
            </w:r>
          </w:p>
          <w:p w14:paraId="284F8229"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w:t>
            </w:r>
            <w:r w:rsidRPr="004D46AC">
              <w:rPr>
                <w:rFonts w:eastAsiaTheme="minorEastAsia"/>
              </w:rPr>
              <w:t>59.24</w:t>
            </w:r>
            <w:r w:rsidRPr="004D46AC">
              <w:rPr>
                <w:rFonts w:eastAsiaTheme="minorEastAsia" w:hint="eastAsia"/>
              </w:rPr>
              <w:t>,</w:t>
            </w:r>
            <w:r w:rsidRPr="004D46AC">
              <w:rPr>
                <w:rFonts w:eastAsiaTheme="minorEastAsia"/>
              </w:rPr>
              <w:t xml:space="preserve"> 66.31</w:t>
            </w:r>
            <w:r w:rsidRPr="004D46AC">
              <w:rPr>
                <w:rFonts w:eastAsiaTheme="minorEastAsia" w:hint="eastAsia"/>
              </w:rPr>
              <w:t>]</w:t>
            </w:r>
          </w:p>
        </w:tc>
        <w:tc>
          <w:tcPr>
            <w:tcW w:w="1520" w:type="dxa"/>
            <w:vAlign w:val="center"/>
          </w:tcPr>
          <w:p w14:paraId="0D411A17" w14:textId="77777777" w:rsidR="003D5CB6" w:rsidRPr="004D46AC" w:rsidRDefault="003D5CB6" w:rsidP="00B518F1">
            <w:pPr>
              <w:spacing w:line="360" w:lineRule="auto"/>
              <w:ind w:firstLine="0"/>
              <w:jc w:val="center"/>
              <w:rPr>
                <w:rFonts w:eastAsiaTheme="minorEastAsia"/>
              </w:rPr>
            </w:pPr>
            <w:r w:rsidRPr="004D46AC">
              <w:rPr>
                <w:rFonts w:eastAsiaTheme="minorEastAsia"/>
              </w:rPr>
              <w:t>.01 [.01, .02]</w:t>
            </w:r>
          </w:p>
        </w:tc>
        <w:tc>
          <w:tcPr>
            <w:tcW w:w="1394" w:type="dxa"/>
            <w:vAlign w:val="center"/>
          </w:tcPr>
          <w:p w14:paraId="1592AADE" w14:textId="77777777" w:rsidR="003D5CB6" w:rsidRPr="004D46AC" w:rsidRDefault="003D5CB6" w:rsidP="00B518F1">
            <w:pPr>
              <w:spacing w:line="360" w:lineRule="auto"/>
              <w:ind w:firstLine="0"/>
              <w:jc w:val="center"/>
              <w:rPr>
                <w:rFonts w:eastAsiaTheme="minorEastAsia"/>
              </w:rPr>
            </w:pPr>
            <w:r w:rsidRPr="004D46AC">
              <w:rPr>
                <w:rFonts w:eastAsiaTheme="minorEastAsia"/>
              </w:rPr>
              <w:t>87.9</w:t>
            </w:r>
          </w:p>
          <w:p w14:paraId="36B1B734" w14:textId="77777777" w:rsidR="003D5CB6" w:rsidRPr="004D46AC" w:rsidRDefault="003D5CB6" w:rsidP="00B518F1">
            <w:pPr>
              <w:spacing w:line="360" w:lineRule="auto"/>
              <w:ind w:firstLine="0"/>
              <w:jc w:val="center"/>
              <w:rPr>
                <w:rFonts w:eastAsiaTheme="minorEastAsia"/>
              </w:rPr>
            </w:pPr>
            <w:r w:rsidRPr="004D46AC">
              <w:rPr>
                <w:rFonts w:eastAsiaTheme="minorEastAsia"/>
              </w:rPr>
              <w:t>[84.4, 90.6]</w:t>
            </w:r>
          </w:p>
        </w:tc>
      </w:tr>
      <w:tr w:rsidR="003D5CB6" w:rsidRPr="004D46AC" w14:paraId="2A4D0FC3" w14:textId="77777777" w:rsidTr="00B518F1">
        <w:trPr>
          <w:trHeight w:val="395"/>
          <w:jc w:val="center"/>
        </w:trPr>
        <w:tc>
          <w:tcPr>
            <w:tcW w:w="1931" w:type="dxa"/>
            <w:vAlign w:val="center"/>
          </w:tcPr>
          <w:p w14:paraId="2EEF2E44"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28CEA652" w14:textId="77777777" w:rsidR="003D5CB6" w:rsidRPr="004D46AC" w:rsidRDefault="003D5CB6" w:rsidP="00B518F1">
            <w:pPr>
              <w:spacing w:line="360" w:lineRule="auto"/>
              <w:ind w:firstLine="0"/>
              <w:jc w:val="center"/>
              <w:rPr>
                <w:rFonts w:eastAsiaTheme="minorEastAsia"/>
              </w:rPr>
            </w:pPr>
            <w:r w:rsidRPr="004D46AC">
              <w:rPr>
                <w:rFonts w:eastAsiaTheme="minorEastAsia"/>
              </w:rPr>
              <w:t>Bipolar II</w:t>
            </w:r>
          </w:p>
        </w:tc>
        <w:tc>
          <w:tcPr>
            <w:tcW w:w="1797" w:type="dxa"/>
            <w:vAlign w:val="center"/>
          </w:tcPr>
          <w:p w14:paraId="1ACF536F" w14:textId="77777777" w:rsidR="003D5CB6" w:rsidRPr="004D46AC" w:rsidRDefault="003D5CB6" w:rsidP="00B518F1">
            <w:pPr>
              <w:spacing w:line="360" w:lineRule="auto"/>
              <w:ind w:firstLine="0"/>
              <w:jc w:val="center"/>
              <w:rPr>
                <w:rFonts w:eastAsiaTheme="minorEastAsia"/>
              </w:rPr>
            </w:pPr>
            <w:r w:rsidRPr="004D46AC">
              <w:rPr>
                <w:rFonts w:eastAsiaTheme="minorEastAsia"/>
              </w:rPr>
              <w:t>16.97</w:t>
            </w:r>
          </w:p>
          <w:p w14:paraId="1EC09348"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w:t>
            </w:r>
            <w:r w:rsidRPr="004D46AC">
              <w:rPr>
                <w:rFonts w:eastAsiaTheme="minorEastAsia"/>
              </w:rPr>
              <w:t>11.75</w:t>
            </w:r>
            <w:r w:rsidRPr="004D46AC">
              <w:rPr>
                <w:rFonts w:eastAsiaTheme="minorEastAsia" w:hint="eastAsia"/>
              </w:rPr>
              <w:t>,</w:t>
            </w:r>
            <w:r w:rsidRPr="004D46AC">
              <w:rPr>
                <w:rFonts w:eastAsiaTheme="minorEastAsia"/>
              </w:rPr>
              <w:t xml:space="preserve"> 22.88</w:t>
            </w:r>
            <w:r w:rsidRPr="004D46AC">
              <w:rPr>
                <w:rFonts w:eastAsiaTheme="minorEastAsia" w:hint="eastAsia"/>
              </w:rPr>
              <w:t>]</w:t>
            </w:r>
          </w:p>
        </w:tc>
        <w:tc>
          <w:tcPr>
            <w:tcW w:w="1520" w:type="dxa"/>
            <w:vAlign w:val="center"/>
          </w:tcPr>
          <w:p w14:paraId="5CDEEF58" w14:textId="77777777" w:rsidR="003D5CB6" w:rsidRPr="004D46AC" w:rsidRDefault="003D5CB6" w:rsidP="00B518F1">
            <w:pPr>
              <w:spacing w:line="360" w:lineRule="auto"/>
              <w:ind w:firstLine="0"/>
              <w:jc w:val="center"/>
              <w:rPr>
                <w:rFonts w:eastAsiaTheme="minorEastAsia"/>
              </w:rPr>
            </w:pPr>
            <w:r w:rsidRPr="004D46AC">
              <w:rPr>
                <w:rFonts w:eastAsiaTheme="minorEastAsia"/>
              </w:rPr>
              <w:t>.02 [.01, .05]</w:t>
            </w:r>
          </w:p>
        </w:tc>
        <w:tc>
          <w:tcPr>
            <w:tcW w:w="1394" w:type="dxa"/>
            <w:vAlign w:val="center"/>
          </w:tcPr>
          <w:p w14:paraId="6F90FA07" w14:textId="77777777" w:rsidR="003D5CB6" w:rsidRPr="004D46AC" w:rsidRDefault="003D5CB6" w:rsidP="00B518F1">
            <w:pPr>
              <w:spacing w:line="360" w:lineRule="auto"/>
              <w:ind w:firstLine="0"/>
              <w:jc w:val="center"/>
              <w:rPr>
                <w:rFonts w:eastAsiaTheme="minorEastAsia"/>
              </w:rPr>
            </w:pPr>
            <w:r w:rsidRPr="004D46AC">
              <w:rPr>
                <w:rFonts w:eastAsiaTheme="minorEastAsia"/>
              </w:rPr>
              <w:t>88.4</w:t>
            </w:r>
          </w:p>
          <w:p w14:paraId="27D4D070" w14:textId="77777777" w:rsidR="003D5CB6" w:rsidRPr="004D46AC" w:rsidRDefault="003D5CB6" w:rsidP="00B518F1">
            <w:pPr>
              <w:spacing w:line="360" w:lineRule="auto"/>
              <w:ind w:firstLine="0"/>
              <w:jc w:val="center"/>
              <w:rPr>
                <w:rFonts w:eastAsiaTheme="minorEastAsia"/>
              </w:rPr>
            </w:pPr>
            <w:r w:rsidRPr="004D46AC">
              <w:rPr>
                <w:rFonts w:eastAsiaTheme="minorEastAsia"/>
              </w:rPr>
              <w:t>[82, 92.5]</w:t>
            </w:r>
          </w:p>
        </w:tc>
      </w:tr>
      <w:tr w:rsidR="003D5CB6" w:rsidRPr="004D46AC" w14:paraId="5A42EA74" w14:textId="77777777" w:rsidTr="00B518F1">
        <w:trPr>
          <w:trHeight w:val="406"/>
          <w:jc w:val="center"/>
        </w:trPr>
        <w:tc>
          <w:tcPr>
            <w:tcW w:w="1931" w:type="dxa"/>
            <w:vAlign w:val="center"/>
          </w:tcPr>
          <w:p w14:paraId="696272B8"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00D7F69B" w14:textId="77777777" w:rsidR="003D5CB6" w:rsidRPr="004D46AC" w:rsidRDefault="003D5CB6" w:rsidP="00B518F1">
            <w:pPr>
              <w:spacing w:line="360" w:lineRule="auto"/>
              <w:ind w:firstLine="0"/>
              <w:jc w:val="center"/>
              <w:rPr>
                <w:rFonts w:eastAsiaTheme="minorEastAsia"/>
              </w:rPr>
            </w:pPr>
            <w:r w:rsidRPr="004D46AC">
              <w:rPr>
                <w:rFonts w:eastAsiaTheme="minorEastAsia"/>
              </w:rPr>
              <w:t>Manic episode</w:t>
            </w:r>
          </w:p>
        </w:tc>
        <w:tc>
          <w:tcPr>
            <w:tcW w:w="1797" w:type="dxa"/>
            <w:vAlign w:val="center"/>
          </w:tcPr>
          <w:p w14:paraId="781C5226" w14:textId="77777777" w:rsidR="003D5CB6" w:rsidRPr="004D46AC" w:rsidRDefault="003D5CB6" w:rsidP="00B518F1">
            <w:pPr>
              <w:spacing w:line="360" w:lineRule="auto"/>
              <w:ind w:firstLine="0"/>
              <w:jc w:val="center"/>
              <w:rPr>
                <w:rFonts w:eastAsiaTheme="minorEastAsia"/>
              </w:rPr>
            </w:pPr>
            <w:r w:rsidRPr="004D46AC">
              <w:rPr>
                <w:rFonts w:eastAsiaTheme="minorEastAsia"/>
              </w:rPr>
              <w:t>69.58</w:t>
            </w:r>
          </w:p>
          <w:p w14:paraId="718884B2" w14:textId="77777777" w:rsidR="003D5CB6" w:rsidRPr="004D46AC" w:rsidRDefault="003D5CB6" w:rsidP="00B518F1">
            <w:pPr>
              <w:spacing w:line="360" w:lineRule="auto"/>
              <w:ind w:firstLine="0"/>
              <w:jc w:val="center"/>
              <w:rPr>
                <w:rFonts w:eastAsiaTheme="minorEastAsia"/>
              </w:rPr>
            </w:pPr>
            <w:r w:rsidRPr="004D46AC">
              <w:rPr>
                <w:rFonts w:eastAsiaTheme="minorEastAsia" w:hint="eastAsia"/>
              </w:rPr>
              <w:t>[</w:t>
            </w:r>
            <w:r w:rsidRPr="004D46AC">
              <w:rPr>
                <w:rFonts w:eastAsiaTheme="minorEastAsia"/>
              </w:rPr>
              <w:t>57.15</w:t>
            </w:r>
            <w:r w:rsidRPr="004D46AC">
              <w:rPr>
                <w:rFonts w:eastAsiaTheme="minorEastAsia" w:hint="eastAsia"/>
              </w:rPr>
              <w:t>,</w:t>
            </w:r>
            <w:r w:rsidRPr="004D46AC">
              <w:rPr>
                <w:rFonts w:eastAsiaTheme="minorEastAsia"/>
              </w:rPr>
              <w:t xml:space="preserve"> 80.75</w:t>
            </w:r>
            <w:r w:rsidRPr="004D46AC">
              <w:rPr>
                <w:rFonts w:eastAsiaTheme="minorEastAsia" w:hint="eastAsia"/>
              </w:rPr>
              <w:t>]</w:t>
            </w:r>
          </w:p>
        </w:tc>
        <w:tc>
          <w:tcPr>
            <w:tcW w:w="1520" w:type="dxa"/>
            <w:vAlign w:val="center"/>
          </w:tcPr>
          <w:p w14:paraId="1D57A703" w14:textId="77777777" w:rsidR="003D5CB6" w:rsidRPr="004D46AC" w:rsidRDefault="003D5CB6" w:rsidP="00B518F1">
            <w:pPr>
              <w:spacing w:line="360" w:lineRule="auto"/>
              <w:ind w:firstLine="0"/>
              <w:jc w:val="center"/>
              <w:rPr>
                <w:rFonts w:eastAsiaTheme="minorEastAsia"/>
              </w:rPr>
            </w:pPr>
            <w:r w:rsidRPr="004D46AC">
              <w:rPr>
                <w:rFonts w:eastAsiaTheme="minorEastAsia"/>
              </w:rPr>
              <w:t>.03 [.01, .14]</w:t>
            </w:r>
          </w:p>
        </w:tc>
        <w:tc>
          <w:tcPr>
            <w:tcW w:w="1394" w:type="dxa"/>
            <w:vAlign w:val="center"/>
          </w:tcPr>
          <w:p w14:paraId="46AEEBCA" w14:textId="77777777" w:rsidR="003D5CB6" w:rsidRPr="004D46AC" w:rsidRDefault="003D5CB6" w:rsidP="00B518F1">
            <w:pPr>
              <w:spacing w:line="360" w:lineRule="auto"/>
              <w:ind w:firstLine="0"/>
              <w:jc w:val="center"/>
              <w:rPr>
                <w:rFonts w:eastAsiaTheme="minorEastAsia"/>
              </w:rPr>
            </w:pPr>
            <w:r w:rsidRPr="004D46AC">
              <w:rPr>
                <w:rFonts w:eastAsiaTheme="minorEastAsia"/>
              </w:rPr>
              <w:t>91.1</w:t>
            </w:r>
          </w:p>
          <w:p w14:paraId="3F988C15" w14:textId="77777777" w:rsidR="003D5CB6" w:rsidRPr="004D46AC" w:rsidRDefault="003D5CB6" w:rsidP="00B518F1">
            <w:pPr>
              <w:spacing w:line="360" w:lineRule="auto"/>
              <w:ind w:firstLine="0"/>
              <w:jc w:val="center"/>
              <w:rPr>
                <w:rFonts w:eastAsiaTheme="minorEastAsia"/>
              </w:rPr>
            </w:pPr>
            <w:r w:rsidRPr="004D46AC">
              <w:rPr>
                <w:rFonts w:eastAsiaTheme="minorEastAsia"/>
              </w:rPr>
              <w:t>[84.8, 94.8]</w:t>
            </w:r>
          </w:p>
        </w:tc>
      </w:tr>
      <w:tr w:rsidR="003D5CB6" w:rsidRPr="004D46AC" w14:paraId="7BDBE2A9" w14:textId="77777777" w:rsidTr="00B518F1">
        <w:trPr>
          <w:trHeight w:val="406"/>
          <w:jc w:val="center"/>
        </w:trPr>
        <w:tc>
          <w:tcPr>
            <w:tcW w:w="1931" w:type="dxa"/>
            <w:vAlign w:val="center"/>
          </w:tcPr>
          <w:p w14:paraId="54294266"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4DE5303A" w14:textId="77777777" w:rsidR="003D5CB6" w:rsidRPr="004D46AC" w:rsidRDefault="003D5CB6" w:rsidP="00B518F1">
            <w:pPr>
              <w:spacing w:line="360" w:lineRule="auto"/>
              <w:ind w:firstLine="0"/>
              <w:jc w:val="center"/>
              <w:rPr>
                <w:rFonts w:eastAsiaTheme="minorEastAsia"/>
              </w:rPr>
            </w:pPr>
            <w:r w:rsidRPr="004D46AC">
              <w:rPr>
                <w:rFonts w:eastAsiaTheme="minorEastAsia"/>
              </w:rPr>
              <w:t>Depressive episode</w:t>
            </w:r>
          </w:p>
        </w:tc>
        <w:tc>
          <w:tcPr>
            <w:tcW w:w="1797" w:type="dxa"/>
            <w:vAlign w:val="center"/>
          </w:tcPr>
          <w:p w14:paraId="6C77ED7F" w14:textId="77777777" w:rsidR="003D5CB6" w:rsidRPr="004D46AC" w:rsidRDefault="003D5CB6" w:rsidP="00B518F1">
            <w:pPr>
              <w:spacing w:line="360" w:lineRule="auto"/>
              <w:ind w:firstLine="0"/>
              <w:jc w:val="center"/>
              <w:rPr>
                <w:rFonts w:eastAsiaTheme="minorEastAsia"/>
              </w:rPr>
            </w:pPr>
            <w:r w:rsidRPr="004D46AC">
              <w:rPr>
                <w:rFonts w:eastAsiaTheme="minorEastAsia"/>
              </w:rPr>
              <w:t>43.47</w:t>
            </w:r>
          </w:p>
          <w:p w14:paraId="4FDF0577" w14:textId="77777777" w:rsidR="003D5CB6" w:rsidRPr="004D46AC" w:rsidRDefault="003D5CB6" w:rsidP="00B518F1">
            <w:pPr>
              <w:spacing w:line="360" w:lineRule="auto"/>
              <w:ind w:firstLine="0"/>
              <w:jc w:val="center"/>
              <w:rPr>
                <w:rFonts w:eastAsiaTheme="minorEastAsia"/>
              </w:rPr>
            </w:pPr>
            <w:r w:rsidRPr="004D46AC">
              <w:rPr>
                <w:rFonts w:eastAsiaTheme="minorEastAsia"/>
              </w:rPr>
              <w:t>[29.72, 57.74]</w:t>
            </w:r>
          </w:p>
        </w:tc>
        <w:tc>
          <w:tcPr>
            <w:tcW w:w="1520" w:type="dxa"/>
            <w:vAlign w:val="center"/>
          </w:tcPr>
          <w:p w14:paraId="39E18876" w14:textId="77777777" w:rsidR="003D5CB6" w:rsidRPr="004D46AC" w:rsidRDefault="003D5CB6" w:rsidP="00B518F1">
            <w:pPr>
              <w:spacing w:line="360" w:lineRule="auto"/>
              <w:ind w:firstLine="0"/>
              <w:jc w:val="center"/>
              <w:rPr>
                <w:rFonts w:eastAsiaTheme="minorEastAsia"/>
              </w:rPr>
            </w:pPr>
            <w:r w:rsidRPr="004D46AC">
              <w:rPr>
                <w:rFonts w:eastAsiaTheme="minorEastAsia"/>
              </w:rPr>
              <w:t>.03 [.01, .19]</w:t>
            </w:r>
          </w:p>
        </w:tc>
        <w:tc>
          <w:tcPr>
            <w:tcW w:w="1394" w:type="dxa"/>
            <w:vAlign w:val="center"/>
          </w:tcPr>
          <w:p w14:paraId="1C3CF5BB" w14:textId="77777777" w:rsidR="003D5CB6" w:rsidRPr="004D46AC" w:rsidRDefault="003D5CB6" w:rsidP="00B518F1">
            <w:pPr>
              <w:spacing w:line="360" w:lineRule="auto"/>
              <w:ind w:firstLine="0"/>
              <w:jc w:val="center"/>
              <w:rPr>
                <w:rFonts w:eastAsiaTheme="minorEastAsia"/>
              </w:rPr>
            </w:pPr>
            <w:r w:rsidRPr="004D46AC">
              <w:rPr>
                <w:rFonts w:eastAsiaTheme="minorEastAsia"/>
              </w:rPr>
              <w:t>95.3</w:t>
            </w:r>
          </w:p>
          <w:p w14:paraId="69ABB8C2" w14:textId="77777777" w:rsidR="003D5CB6" w:rsidRPr="004D46AC" w:rsidRDefault="003D5CB6" w:rsidP="00B518F1">
            <w:pPr>
              <w:spacing w:line="360" w:lineRule="auto"/>
              <w:ind w:firstLine="0"/>
              <w:jc w:val="center"/>
              <w:rPr>
                <w:rFonts w:eastAsiaTheme="minorEastAsia"/>
              </w:rPr>
            </w:pPr>
            <w:r w:rsidRPr="004D46AC">
              <w:rPr>
                <w:rFonts w:eastAsiaTheme="minorEastAsia"/>
              </w:rPr>
              <w:t>[92.1, 97.2]</w:t>
            </w:r>
          </w:p>
        </w:tc>
      </w:tr>
      <w:tr w:rsidR="003D5CB6" w:rsidRPr="004D46AC" w14:paraId="7E3F1BE3" w14:textId="77777777" w:rsidTr="00B518F1">
        <w:trPr>
          <w:trHeight w:val="406"/>
          <w:jc w:val="center"/>
        </w:trPr>
        <w:tc>
          <w:tcPr>
            <w:tcW w:w="1931" w:type="dxa"/>
            <w:vAlign w:val="center"/>
          </w:tcPr>
          <w:p w14:paraId="3D9354B9"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58260344" w14:textId="77777777" w:rsidR="003D5CB6" w:rsidRPr="004D46AC" w:rsidRDefault="003D5CB6" w:rsidP="00B518F1">
            <w:pPr>
              <w:spacing w:line="360" w:lineRule="auto"/>
              <w:ind w:firstLine="0"/>
              <w:jc w:val="center"/>
              <w:rPr>
                <w:rFonts w:eastAsiaTheme="minorEastAsia"/>
              </w:rPr>
            </w:pPr>
            <w:r w:rsidRPr="004D46AC">
              <w:rPr>
                <w:rFonts w:eastAsiaTheme="minorEastAsia"/>
              </w:rPr>
              <w:t>Mixed episode</w:t>
            </w:r>
          </w:p>
        </w:tc>
        <w:tc>
          <w:tcPr>
            <w:tcW w:w="1797" w:type="dxa"/>
            <w:vAlign w:val="center"/>
          </w:tcPr>
          <w:p w14:paraId="45581B2C" w14:textId="77777777" w:rsidR="003D5CB6" w:rsidRPr="004D46AC" w:rsidRDefault="003D5CB6" w:rsidP="00B518F1">
            <w:pPr>
              <w:spacing w:line="360" w:lineRule="auto"/>
              <w:ind w:firstLine="0"/>
              <w:jc w:val="center"/>
              <w:rPr>
                <w:rFonts w:eastAsiaTheme="minorEastAsia"/>
              </w:rPr>
            </w:pPr>
            <w:r w:rsidRPr="004D46AC">
              <w:rPr>
                <w:rFonts w:eastAsiaTheme="minorEastAsia"/>
              </w:rPr>
              <w:t>52.70</w:t>
            </w:r>
          </w:p>
          <w:p w14:paraId="60174E29" w14:textId="77777777" w:rsidR="003D5CB6" w:rsidRPr="004D46AC" w:rsidRDefault="003D5CB6" w:rsidP="00B518F1">
            <w:pPr>
              <w:spacing w:line="360" w:lineRule="auto"/>
              <w:ind w:firstLine="0"/>
              <w:jc w:val="center"/>
              <w:rPr>
                <w:rFonts w:eastAsiaTheme="minorEastAsia"/>
              </w:rPr>
            </w:pPr>
            <w:r w:rsidRPr="004D46AC">
              <w:rPr>
                <w:rFonts w:eastAsiaTheme="minorEastAsia"/>
              </w:rPr>
              <w:t>[22, 67.71]</w:t>
            </w:r>
            <w:r w:rsidRPr="004D46AC">
              <w:rPr>
                <w:rFonts w:eastAsiaTheme="minorEastAsia"/>
                <w:vertAlign w:val="superscript"/>
              </w:rPr>
              <w:t xml:space="preserve"> a</w:t>
            </w:r>
          </w:p>
        </w:tc>
        <w:tc>
          <w:tcPr>
            <w:tcW w:w="1520" w:type="dxa"/>
            <w:vAlign w:val="center"/>
          </w:tcPr>
          <w:p w14:paraId="791E594D" w14:textId="77777777" w:rsidR="003D5CB6" w:rsidRPr="004D46AC" w:rsidRDefault="003D5CB6" w:rsidP="00B518F1">
            <w:pPr>
              <w:spacing w:line="360" w:lineRule="auto"/>
              <w:ind w:firstLine="0"/>
              <w:jc w:val="center"/>
              <w:rPr>
                <w:rFonts w:eastAsiaTheme="minorEastAsia"/>
              </w:rPr>
            </w:pPr>
          </w:p>
        </w:tc>
        <w:tc>
          <w:tcPr>
            <w:tcW w:w="1394" w:type="dxa"/>
            <w:vAlign w:val="center"/>
          </w:tcPr>
          <w:p w14:paraId="1C54DA15" w14:textId="77777777" w:rsidR="003D5CB6" w:rsidRPr="004D46AC" w:rsidRDefault="003D5CB6" w:rsidP="00B518F1">
            <w:pPr>
              <w:spacing w:line="360" w:lineRule="auto"/>
              <w:ind w:firstLine="0"/>
              <w:jc w:val="center"/>
              <w:rPr>
                <w:rFonts w:eastAsiaTheme="minorEastAsia"/>
              </w:rPr>
            </w:pPr>
          </w:p>
        </w:tc>
      </w:tr>
      <w:tr w:rsidR="003D5CB6" w:rsidRPr="004D46AC" w14:paraId="6DE51B6D" w14:textId="77777777" w:rsidTr="00B518F1">
        <w:trPr>
          <w:trHeight w:val="406"/>
          <w:jc w:val="center"/>
        </w:trPr>
        <w:tc>
          <w:tcPr>
            <w:tcW w:w="1931" w:type="dxa"/>
            <w:vAlign w:val="center"/>
          </w:tcPr>
          <w:p w14:paraId="561DBF83" w14:textId="77777777" w:rsidR="003D5CB6" w:rsidRPr="004D46AC" w:rsidRDefault="003D5CB6" w:rsidP="00B518F1">
            <w:pPr>
              <w:spacing w:line="360" w:lineRule="auto"/>
              <w:ind w:firstLine="0"/>
              <w:jc w:val="center"/>
              <w:rPr>
                <w:rFonts w:eastAsiaTheme="minorEastAsia"/>
                <w:b/>
                <w:bCs/>
              </w:rPr>
            </w:pPr>
            <w:r w:rsidRPr="004D46AC">
              <w:rPr>
                <w:rFonts w:eastAsiaTheme="minorEastAsia"/>
                <w:b/>
                <w:bCs/>
              </w:rPr>
              <w:t>Psychosis (current) †</w:t>
            </w:r>
          </w:p>
        </w:tc>
        <w:tc>
          <w:tcPr>
            <w:tcW w:w="1658" w:type="dxa"/>
            <w:vAlign w:val="center"/>
          </w:tcPr>
          <w:p w14:paraId="4E48DBBB" w14:textId="77777777" w:rsidR="003D5CB6" w:rsidRPr="004D46AC" w:rsidRDefault="003D5CB6" w:rsidP="00B518F1">
            <w:pPr>
              <w:spacing w:line="360" w:lineRule="auto"/>
              <w:ind w:firstLine="0"/>
              <w:jc w:val="center"/>
              <w:rPr>
                <w:rFonts w:eastAsiaTheme="minorEastAsia"/>
              </w:rPr>
            </w:pPr>
          </w:p>
        </w:tc>
        <w:tc>
          <w:tcPr>
            <w:tcW w:w="1797" w:type="dxa"/>
            <w:vAlign w:val="center"/>
          </w:tcPr>
          <w:p w14:paraId="5C22784A" w14:textId="77777777" w:rsidR="003D5CB6" w:rsidRPr="004D46AC" w:rsidRDefault="003D5CB6" w:rsidP="00B518F1">
            <w:pPr>
              <w:spacing w:line="360" w:lineRule="auto"/>
              <w:ind w:firstLine="0"/>
              <w:jc w:val="center"/>
              <w:rPr>
                <w:rFonts w:eastAsiaTheme="minorEastAsia"/>
              </w:rPr>
            </w:pPr>
            <w:r w:rsidRPr="004D46AC">
              <w:rPr>
                <w:rFonts w:eastAsiaTheme="minorEastAsia"/>
              </w:rPr>
              <w:t>41.46</w:t>
            </w:r>
          </w:p>
          <w:p w14:paraId="316D832E" w14:textId="77777777" w:rsidR="003D5CB6" w:rsidRPr="004D46AC" w:rsidRDefault="003D5CB6" w:rsidP="00B518F1">
            <w:pPr>
              <w:spacing w:line="360" w:lineRule="auto"/>
              <w:ind w:firstLine="0"/>
              <w:jc w:val="center"/>
              <w:rPr>
                <w:rFonts w:eastAsiaTheme="minorEastAsia"/>
              </w:rPr>
            </w:pPr>
            <w:r w:rsidRPr="004D46AC">
              <w:rPr>
                <w:rFonts w:eastAsiaTheme="minorEastAsia"/>
              </w:rPr>
              <w:t>[36.88, 46.11]</w:t>
            </w:r>
          </w:p>
        </w:tc>
        <w:tc>
          <w:tcPr>
            <w:tcW w:w="1520" w:type="dxa"/>
            <w:vAlign w:val="center"/>
          </w:tcPr>
          <w:p w14:paraId="514E3C73" w14:textId="77777777" w:rsidR="003D5CB6" w:rsidRPr="004D46AC" w:rsidRDefault="003D5CB6" w:rsidP="00B518F1">
            <w:pPr>
              <w:spacing w:line="360" w:lineRule="auto"/>
              <w:ind w:firstLine="0"/>
              <w:jc w:val="center"/>
              <w:rPr>
                <w:rFonts w:eastAsiaTheme="minorEastAsia"/>
              </w:rPr>
            </w:pPr>
            <w:r w:rsidRPr="004D46AC">
              <w:rPr>
                <w:rFonts w:eastAsiaTheme="minorEastAsia"/>
              </w:rPr>
              <w:t>.05 [.05, .08]</w:t>
            </w:r>
          </w:p>
        </w:tc>
        <w:tc>
          <w:tcPr>
            <w:tcW w:w="1394" w:type="dxa"/>
            <w:vAlign w:val="center"/>
          </w:tcPr>
          <w:p w14:paraId="4171DF38" w14:textId="77777777" w:rsidR="003D5CB6" w:rsidRPr="004D46AC" w:rsidRDefault="003D5CB6" w:rsidP="00B518F1">
            <w:pPr>
              <w:spacing w:line="360" w:lineRule="auto"/>
              <w:ind w:firstLine="0"/>
              <w:jc w:val="center"/>
              <w:rPr>
                <w:rFonts w:eastAsiaTheme="minorEastAsia"/>
              </w:rPr>
            </w:pPr>
            <w:r w:rsidRPr="004D46AC">
              <w:rPr>
                <w:rFonts w:eastAsiaTheme="minorEastAsia"/>
              </w:rPr>
              <w:t>99.77</w:t>
            </w:r>
          </w:p>
          <w:p w14:paraId="488D4035" w14:textId="77777777" w:rsidR="003D5CB6" w:rsidRPr="004D46AC" w:rsidRDefault="003D5CB6" w:rsidP="00B518F1">
            <w:pPr>
              <w:spacing w:line="360" w:lineRule="auto"/>
              <w:ind w:firstLine="0"/>
              <w:jc w:val="center"/>
              <w:rPr>
                <w:rFonts w:eastAsiaTheme="minorEastAsia"/>
              </w:rPr>
            </w:pPr>
            <w:r w:rsidRPr="004D46AC">
              <w:rPr>
                <w:rFonts w:eastAsiaTheme="minorEastAsia"/>
              </w:rPr>
              <w:t>[99.70, 99.82]</w:t>
            </w:r>
          </w:p>
        </w:tc>
      </w:tr>
      <w:tr w:rsidR="003D5CB6" w:rsidRPr="004D46AC" w14:paraId="34F5F68C" w14:textId="77777777" w:rsidTr="00B518F1">
        <w:trPr>
          <w:trHeight w:val="406"/>
          <w:jc w:val="center"/>
        </w:trPr>
        <w:tc>
          <w:tcPr>
            <w:tcW w:w="1931" w:type="dxa"/>
            <w:vAlign w:val="center"/>
          </w:tcPr>
          <w:p w14:paraId="095A0D34"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5EB926E1" w14:textId="77777777" w:rsidR="003D5CB6" w:rsidRPr="004D46AC" w:rsidRDefault="003D5CB6" w:rsidP="00B518F1">
            <w:pPr>
              <w:spacing w:line="360" w:lineRule="auto"/>
              <w:ind w:firstLine="0"/>
              <w:jc w:val="center"/>
              <w:rPr>
                <w:rFonts w:eastAsiaTheme="minorEastAsia"/>
              </w:rPr>
            </w:pPr>
            <w:r w:rsidRPr="004D46AC">
              <w:rPr>
                <w:rFonts w:eastAsiaTheme="minorEastAsia"/>
              </w:rPr>
              <w:t>Bipolar I</w:t>
            </w:r>
          </w:p>
        </w:tc>
        <w:tc>
          <w:tcPr>
            <w:tcW w:w="1797" w:type="dxa"/>
            <w:vAlign w:val="center"/>
          </w:tcPr>
          <w:p w14:paraId="00157F47" w14:textId="77777777" w:rsidR="003D5CB6" w:rsidRPr="004D46AC" w:rsidRDefault="003D5CB6" w:rsidP="00B518F1">
            <w:pPr>
              <w:spacing w:line="360" w:lineRule="auto"/>
              <w:ind w:firstLine="0"/>
              <w:jc w:val="center"/>
              <w:rPr>
                <w:rFonts w:eastAsiaTheme="minorEastAsia"/>
              </w:rPr>
            </w:pPr>
            <w:r w:rsidRPr="004D46AC">
              <w:rPr>
                <w:rFonts w:eastAsiaTheme="minorEastAsia"/>
              </w:rPr>
              <w:t>48.41</w:t>
            </w:r>
          </w:p>
          <w:p w14:paraId="53C06BBB" w14:textId="77777777" w:rsidR="003D5CB6" w:rsidRPr="004D46AC" w:rsidRDefault="003D5CB6" w:rsidP="00B518F1">
            <w:pPr>
              <w:spacing w:line="360" w:lineRule="auto"/>
              <w:ind w:firstLine="0"/>
              <w:jc w:val="center"/>
              <w:rPr>
                <w:rFonts w:eastAsiaTheme="minorEastAsia"/>
              </w:rPr>
            </w:pPr>
            <w:r w:rsidRPr="004D46AC">
              <w:rPr>
                <w:rFonts w:eastAsiaTheme="minorEastAsia"/>
              </w:rPr>
              <w:t>[41.82, 55.03]</w:t>
            </w:r>
          </w:p>
        </w:tc>
        <w:tc>
          <w:tcPr>
            <w:tcW w:w="1520" w:type="dxa"/>
            <w:vAlign w:val="center"/>
          </w:tcPr>
          <w:p w14:paraId="17F1D3D5" w14:textId="77777777" w:rsidR="003D5CB6" w:rsidRPr="004D46AC" w:rsidRDefault="003D5CB6" w:rsidP="00B518F1">
            <w:pPr>
              <w:spacing w:line="360" w:lineRule="auto"/>
              <w:ind w:firstLine="0"/>
              <w:jc w:val="center"/>
              <w:rPr>
                <w:rFonts w:eastAsiaTheme="minorEastAsia"/>
              </w:rPr>
            </w:pPr>
            <w:r w:rsidRPr="004D46AC">
              <w:rPr>
                <w:rFonts w:eastAsiaTheme="minorEastAsia"/>
              </w:rPr>
              <w:t>.06</w:t>
            </w:r>
            <w:r w:rsidRPr="004D46AC">
              <w:rPr>
                <w:rFonts w:eastAsiaTheme="minorEastAsia" w:hint="eastAsia"/>
              </w:rPr>
              <w:t xml:space="preserve"> </w:t>
            </w:r>
            <w:r w:rsidRPr="004D46AC">
              <w:rPr>
                <w:rFonts w:eastAsiaTheme="minorEastAsia"/>
              </w:rPr>
              <w:t>[.04, .09]</w:t>
            </w:r>
          </w:p>
        </w:tc>
        <w:tc>
          <w:tcPr>
            <w:tcW w:w="1394" w:type="dxa"/>
            <w:vAlign w:val="center"/>
          </w:tcPr>
          <w:p w14:paraId="33584CE6" w14:textId="77777777" w:rsidR="003D5CB6" w:rsidRPr="004D46AC" w:rsidRDefault="003D5CB6" w:rsidP="00B518F1">
            <w:pPr>
              <w:spacing w:line="360" w:lineRule="auto"/>
              <w:ind w:firstLine="0"/>
              <w:jc w:val="center"/>
              <w:rPr>
                <w:rFonts w:eastAsiaTheme="minorEastAsia"/>
              </w:rPr>
            </w:pPr>
            <w:r w:rsidRPr="004D46AC">
              <w:rPr>
                <w:rFonts w:eastAsiaTheme="minorEastAsia"/>
              </w:rPr>
              <w:t>98.5</w:t>
            </w:r>
          </w:p>
          <w:p w14:paraId="5D8AE813" w14:textId="77777777" w:rsidR="003D5CB6" w:rsidRPr="004D46AC" w:rsidRDefault="003D5CB6" w:rsidP="00B518F1">
            <w:pPr>
              <w:spacing w:line="360" w:lineRule="auto"/>
              <w:ind w:firstLine="0"/>
              <w:jc w:val="center"/>
              <w:rPr>
                <w:rFonts w:eastAsiaTheme="minorEastAsia"/>
              </w:rPr>
            </w:pPr>
            <w:r w:rsidRPr="004D46AC">
              <w:rPr>
                <w:rFonts w:eastAsiaTheme="minorEastAsia"/>
              </w:rPr>
              <w:t>[98.4, 98.7]</w:t>
            </w:r>
          </w:p>
        </w:tc>
      </w:tr>
      <w:tr w:rsidR="003D5CB6" w:rsidRPr="004D46AC" w14:paraId="2209813D" w14:textId="77777777" w:rsidTr="00B518F1">
        <w:trPr>
          <w:trHeight w:val="406"/>
          <w:jc w:val="center"/>
        </w:trPr>
        <w:tc>
          <w:tcPr>
            <w:tcW w:w="1931" w:type="dxa"/>
            <w:vAlign w:val="center"/>
          </w:tcPr>
          <w:p w14:paraId="5B0023F0"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2F6F882D" w14:textId="77777777" w:rsidR="003D5CB6" w:rsidRPr="004D46AC" w:rsidRDefault="003D5CB6" w:rsidP="00B518F1">
            <w:pPr>
              <w:spacing w:line="360" w:lineRule="auto"/>
              <w:ind w:firstLine="0"/>
              <w:jc w:val="center"/>
              <w:rPr>
                <w:rFonts w:eastAsiaTheme="minorEastAsia"/>
              </w:rPr>
            </w:pPr>
            <w:r w:rsidRPr="004D46AC">
              <w:rPr>
                <w:rFonts w:eastAsiaTheme="minorEastAsia"/>
              </w:rPr>
              <w:t>Bipolar II</w:t>
            </w:r>
          </w:p>
        </w:tc>
        <w:tc>
          <w:tcPr>
            <w:tcW w:w="1797" w:type="dxa"/>
            <w:vAlign w:val="center"/>
          </w:tcPr>
          <w:p w14:paraId="64C805F4" w14:textId="77777777" w:rsidR="003D5CB6" w:rsidRPr="004D46AC" w:rsidRDefault="003D5CB6" w:rsidP="00B518F1">
            <w:pPr>
              <w:spacing w:line="360" w:lineRule="auto"/>
              <w:ind w:firstLine="0"/>
              <w:jc w:val="center"/>
              <w:rPr>
                <w:rFonts w:eastAsiaTheme="minorEastAsia"/>
              </w:rPr>
            </w:pPr>
            <w:r w:rsidRPr="004D46AC">
              <w:rPr>
                <w:rFonts w:eastAsiaTheme="minorEastAsia"/>
              </w:rPr>
              <w:t>7.43</w:t>
            </w:r>
          </w:p>
          <w:p w14:paraId="68995926" w14:textId="77777777" w:rsidR="003D5CB6" w:rsidRPr="004D46AC" w:rsidRDefault="003D5CB6" w:rsidP="00B518F1">
            <w:pPr>
              <w:spacing w:line="360" w:lineRule="auto"/>
              <w:ind w:firstLine="0"/>
              <w:jc w:val="center"/>
              <w:rPr>
                <w:rFonts w:eastAsiaTheme="minorEastAsia"/>
              </w:rPr>
            </w:pPr>
            <w:r w:rsidRPr="004D46AC">
              <w:rPr>
                <w:rFonts w:eastAsiaTheme="minorEastAsia"/>
              </w:rPr>
              <w:t>[5.73, 9.33]</w:t>
            </w:r>
          </w:p>
        </w:tc>
        <w:tc>
          <w:tcPr>
            <w:tcW w:w="1520" w:type="dxa"/>
            <w:vAlign w:val="center"/>
          </w:tcPr>
          <w:p w14:paraId="5DFDFC24" w14:textId="77777777" w:rsidR="003D5CB6" w:rsidRPr="004D46AC" w:rsidRDefault="003D5CB6" w:rsidP="00B518F1">
            <w:pPr>
              <w:spacing w:line="360" w:lineRule="auto"/>
              <w:ind w:firstLine="0"/>
              <w:jc w:val="center"/>
              <w:rPr>
                <w:rFonts w:eastAsiaTheme="minorEastAsia"/>
              </w:rPr>
            </w:pPr>
            <w:r w:rsidRPr="004D46AC">
              <w:rPr>
                <w:rFonts w:eastAsiaTheme="minorEastAsia"/>
              </w:rPr>
              <w:t>&lt;.0001</w:t>
            </w:r>
            <w:r w:rsidRPr="004D46AC">
              <w:rPr>
                <w:rFonts w:eastAsiaTheme="minorEastAsia" w:hint="eastAsia"/>
              </w:rPr>
              <w:t xml:space="preserve"> </w:t>
            </w:r>
            <w:r w:rsidRPr="004D46AC">
              <w:rPr>
                <w:rFonts w:eastAsiaTheme="minorEastAsia"/>
              </w:rPr>
              <w:t>[0, .08]</w:t>
            </w:r>
          </w:p>
        </w:tc>
        <w:tc>
          <w:tcPr>
            <w:tcW w:w="1394" w:type="dxa"/>
            <w:vAlign w:val="center"/>
          </w:tcPr>
          <w:p w14:paraId="73BEDC26" w14:textId="77777777" w:rsidR="003D5CB6" w:rsidRPr="004D46AC" w:rsidRDefault="003D5CB6" w:rsidP="00B518F1">
            <w:pPr>
              <w:spacing w:line="360" w:lineRule="auto"/>
              <w:ind w:firstLine="0"/>
              <w:jc w:val="center"/>
              <w:rPr>
                <w:rFonts w:eastAsiaTheme="minorEastAsia"/>
              </w:rPr>
            </w:pPr>
            <w:r w:rsidRPr="004D46AC">
              <w:rPr>
                <w:rFonts w:eastAsiaTheme="minorEastAsia"/>
              </w:rPr>
              <w:t>47.6</w:t>
            </w:r>
          </w:p>
          <w:p w14:paraId="7C108D4B" w14:textId="77777777" w:rsidR="003D5CB6" w:rsidRPr="004D46AC" w:rsidRDefault="003D5CB6" w:rsidP="00B518F1">
            <w:pPr>
              <w:spacing w:line="360" w:lineRule="auto"/>
              <w:ind w:firstLine="0"/>
              <w:jc w:val="center"/>
              <w:rPr>
                <w:rFonts w:eastAsiaTheme="minorEastAsia"/>
              </w:rPr>
            </w:pPr>
            <w:r w:rsidRPr="004D46AC">
              <w:rPr>
                <w:rFonts w:eastAsiaTheme="minorEastAsia"/>
              </w:rPr>
              <w:t>[0, 80.8]</w:t>
            </w:r>
          </w:p>
        </w:tc>
      </w:tr>
      <w:tr w:rsidR="003D5CB6" w:rsidRPr="004D46AC" w14:paraId="6C3B3A8E" w14:textId="77777777" w:rsidTr="00B518F1">
        <w:trPr>
          <w:trHeight w:val="395"/>
          <w:jc w:val="center"/>
        </w:trPr>
        <w:tc>
          <w:tcPr>
            <w:tcW w:w="1931" w:type="dxa"/>
            <w:vAlign w:val="center"/>
          </w:tcPr>
          <w:p w14:paraId="61AFD8E6"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3220E44B" w14:textId="77777777" w:rsidR="003D5CB6" w:rsidRPr="004D46AC" w:rsidRDefault="003D5CB6" w:rsidP="00B518F1">
            <w:pPr>
              <w:spacing w:line="360" w:lineRule="auto"/>
              <w:ind w:firstLine="0"/>
              <w:jc w:val="center"/>
              <w:rPr>
                <w:rFonts w:eastAsiaTheme="minorEastAsia"/>
              </w:rPr>
            </w:pPr>
            <w:r w:rsidRPr="004D46AC">
              <w:rPr>
                <w:rFonts w:eastAsiaTheme="minorEastAsia"/>
              </w:rPr>
              <w:t>Manic episode†</w:t>
            </w:r>
          </w:p>
        </w:tc>
        <w:tc>
          <w:tcPr>
            <w:tcW w:w="1797" w:type="dxa"/>
            <w:vAlign w:val="center"/>
          </w:tcPr>
          <w:p w14:paraId="32E2EAF0" w14:textId="77777777" w:rsidR="003D5CB6" w:rsidRPr="004D46AC" w:rsidRDefault="003D5CB6" w:rsidP="00B518F1">
            <w:pPr>
              <w:spacing w:line="360" w:lineRule="auto"/>
              <w:ind w:firstLine="0"/>
              <w:jc w:val="center"/>
              <w:rPr>
                <w:rFonts w:eastAsiaTheme="minorEastAsia"/>
              </w:rPr>
            </w:pPr>
            <w:r w:rsidRPr="004D46AC">
              <w:rPr>
                <w:rFonts w:eastAsiaTheme="minorEastAsia"/>
              </w:rPr>
              <w:t>51.5</w:t>
            </w:r>
          </w:p>
          <w:p w14:paraId="465BBCEC" w14:textId="77777777" w:rsidR="003D5CB6" w:rsidRPr="004D46AC" w:rsidRDefault="003D5CB6" w:rsidP="00B518F1">
            <w:pPr>
              <w:spacing w:line="360" w:lineRule="auto"/>
              <w:ind w:firstLine="0"/>
              <w:jc w:val="center"/>
              <w:rPr>
                <w:rFonts w:eastAsiaTheme="minorEastAsia"/>
              </w:rPr>
            </w:pPr>
            <w:r w:rsidRPr="004D46AC">
              <w:rPr>
                <w:rFonts w:eastAsiaTheme="minorEastAsia"/>
              </w:rPr>
              <w:t>[44.26, 58.72]</w:t>
            </w:r>
          </w:p>
        </w:tc>
        <w:tc>
          <w:tcPr>
            <w:tcW w:w="1520" w:type="dxa"/>
            <w:vAlign w:val="center"/>
          </w:tcPr>
          <w:p w14:paraId="486B8B5E" w14:textId="77777777" w:rsidR="003D5CB6" w:rsidRPr="004D46AC" w:rsidRDefault="003D5CB6" w:rsidP="00B518F1">
            <w:pPr>
              <w:spacing w:line="360" w:lineRule="auto"/>
              <w:ind w:firstLine="0"/>
              <w:jc w:val="center"/>
              <w:rPr>
                <w:rFonts w:eastAsiaTheme="minorEastAsia"/>
              </w:rPr>
            </w:pPr>
            <w:r w:rsidRPr="004D46AC">
              <w:rPr>
                <w:rFonts w:eastAsiaTheme="minorEastAsia"/>
              </w:rPr>
              <w:t>.06 [.04, .09]</w:t>
            </w:r>
          </w:p>
        </w:tc>
        <w:tc>
          <w:tcPr>
            <w:tcW w:w="1394" w:type="dxa"/>
            <w:vAlign w:val="center"/>
          </w:tcPr>
          <w:p w14:paraId="60CE629F" w14:textId="77777777" w:rsidR="003D5CB6" w:rsidRPr="004D46AC" w:rsidRDefault="003D5CB6" w:rsidP="00B518F1">
            <w:pPr>
              <w:spacing w:line="360" w:lineRule="auto"/>
              <w:ind w:firstLine="0"/>
              <w:jc w:val="center"/>
              <w:rPr>
                <w:rFonts w:eastAsiaTheme="minorEastAsia"/>
              </w:rPr>
            </w:pPr>
            <w:r w:rsidRPr="004D46AC">
              <w:rPr>
                <w:rFonts w:eastAsiaTheme="minorEastAsia"/>
              </w:rPr>
              <w:t>98.6</w:t>
            </w:r>
          </w:p>
          <w:p w14:paraId="68AA66EB" w14:textId="77777777" w:rsidR="003D5CB6" w:rsidRPr="004D46AC" w:rsidRDefault="003D5CB6" w:rsidP="00B518F1">
            <w:pPr>
              <w:spacing w:line="360" w:lineRule="auto"/>
              <w:ind w:firstLine="0"/>
              <w:jc w:val="center"/>
              <w:rPr>
                <w:rFonts w:eastAsiaTheme="minorEastAsia"/>
              </w:rPr>
            </w:pPr>
            <w:r w:rsidRPr="004D46AC">
              <w:rPr>
                <w:rFonts w:eastAsiaTheme="minorEastAsia"/>
              </w:rPr>
              <w:t>[98.4, 98.8]</w:t>
            </w:r>
          </w:p>
        </w:tc>
      </w:tr>
      <w:tr w:rsidR="003D5CB6" w:rsidRPr="004D46AC" w14:paraId="7CDD59BE" w14:textId="77777777" w:rsidTr="00B518F1">
        <w:trPr>
          <w:trHeight w:val="395"/>
          <w:jc w:val="center"/>
        </w:trPr>
        <w:tc>
          <w:tcPr>
            <w:tcW w:w="1931" w:type="dxa"/>
            <w:vAlign w:val="center"/>
          </w:tcPr>
          <w:p w14:paraId="37425D16"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07F9E671" w14:textId="77777777" w:rsidR="003D5CB6" w:rsidRPr="004D46AC" w:rsidRDefault="003D5CB6" w:rsidP="00B518F1">
            <w:pPr>
              <w:spacing w:line="360" w:lineRule="auto"/>
              <w:ind w:firstLine="0"/>
              <w:jc w:val="center"/>
              <w:rPr>
                <w:rFonts w:eastAsiaTheme="minorEastAsia"/>
              </w:rPr>
            </w:pPr>
            <w:r w:rsidRPr="004D46AC">
              <w:rPr>
                <w:rFonts w:eastAsiaTheme="minorEastAsia"/>
              </w:rPr>
              <w:t>Depressive episode†</w:t>
            </w:r>
          </w:p>
        </w:tc>
        <w:tc>
          <w:tcPr>
            <w:tcW w:w="1797" w:type="dxa"/>
            <w:vAlign w:val="center"/>
          </w:tcPr>
          <w:p w14:paraId="190A418A" w14:textId="77777777" w:rsidR="003D5CB6" w:rsidRPr="004D46AC" w:rsidRDefault="003D5CB6" w:rsidP="00B518F1">
            <w:pPr>
              <w:spacing w:line="360" w:lineRule="auto"/>
              <w:ind w:firstLine="0"/>
              <w:jc w:val="center"/>
              <w:rPr>
                <w:rFonts w:eastAsiaTheme="minorEastAsia"/>
              </w:rPr>
            </w:pPr>
            <w:r w:rsidRPr="004D46AC">
              <w:rPr>
                <w:rFonts w:eastAsiaTheme="minorEastAsia"/>
              </w:rPr>
              <w:t>18.15</w:t>
            </w:r>
          </w:p>
          <w:p w14:paraId="3980FF5C" w14:textId="77777777" w:rsidR="003D5CB6" w:rsidRPr="004D46AC" w:rsidRDefault="003D5CB6" w:rsidP="00B518F1">
            <w:pPr>
              <w:spacing w:line="360" w:lineRule="auto"/>
              <w:ind w:firstLine="0"/>
              <w:jc w:val="center"/>
              <w:rPr>
                <w:rFonts w:eastAsiaTheme="minorEastAsia"/>
              </w:rPr>
            </w:pPr>
            <w:r w:rsidRPr="004D46AC">
              <w:rPr>
                <w:rFonts w:eastAsiaTheme="minorEastAsia"/>
              </w:rPr>
              <w:t>[12.46, 24.63</w:t>
            </w:r>
          </w:p>
        </w:tc>
        <w:tc>
          <w:tcPr>
            <w:tcW w:w="1520" w:type="dxa"/>
            <w:vAlign w:val="center"/>
          </w:tcPr>
          <w:p w14:paraId="24D1370D" w14:textId="77777777" w:rsidR="003D5CB6" w:rsidRPr="004D46AC" w:rsidRDefault="003D5CB6" w:rsidP="00B518F1">
            <w:pPr>
              <w:spacing w:line="360" w:lineRule="auto"/>
              <w:ind w:firstLine="0"/>
              <w:jc w:val="center"/>
              <w:rPr>
                <w:rFonts w:eastAsiaTheme="minorEastAsia"/>
              </w:rPr>
            </w:pPr>
            <w:r w:rsidRPr="004D46AC">
              <w:rPr>
                <w:rFonts w:eastAsiaTheme="minorEastAsia"/>
              </w:rPr>
              <w:t>.03 [.02, .07]</w:t>
            </w:r>
          </w:p>
        </w:tc>
        <w:tc>
          <w:tcPr>
            <w:tcW w:w="1394" w:type="dxa"/>
            <w:vAlign w:val="center"/>
          </w:tcPr>
          <w:p w14:paraId="0939C445" w14:textId="77777777" w:rsidR="003D5CB6" w:rsidRPr="004D46AC" w:rsidRDefault="003D5CB6" w:rsidP="00B518F1">
            <w:pPr>
              <w:spacing w:line="360" w:lineRule="auto"/>
              <w:ind w:firstLine="0"/>
              <w:jc w:val="center"/>
              <w:rPr>
                <w:rFonts w:eastAsiaTheme="minorEastAsia"/>
              </w:rPr>
            </w:pPr>
            <w:r w:rsidRPr="004D46AC">
              <w:rPr>
                <w:rFonts w:eastAsiaTheme="minorEastAsia"/>
              </w:rPr>
              <w:t>97.2</w:t>
            </w:r>
          </w:p>
          <w:p w14:paraId="082B36AE" w14:textId="77777777" w:rsidR="003D5CB6" w:rsidRPr="004D46AC" w:rsidRDefault="003D5CB6" w:rsidP="00B518F1">
            <w:pPr>
              <w:spacing w:line="360" w:lineRule="auto"/>
              <w:ind w:firstLine="0"/>
              <w:jc w:val="center"/>
              <w:rPr>
                <w:rFonts w:eastAsiaTheme="minorEastAsia"/>
              </w:rPr>
            </w:pPr>
            <w:r w:rsidRPr="004D46AC">
              <w:rPr>
                <w:rFonts w:eastAsiaTheme="minorEastAsia"/>
              </w:rPr>
              <w:t>[96.6, 97.8]</w:t>
            </w:r>
          </w:p>
        </w:tc>
      </w:tr>
      <w:tr w:rsidR="003D5CB6" w:rsidRPr="004D46AC" w14:paraId="3BB2375E" w14:textId="77777777" w:rsidTr="00B518F1">
        <w:trPr>
          <w:trHeight w:val="395"/>
          <w:jc w:val="center"/>
        </w:trPr>
        <w:tc>
          <w:tcPr>
            <w:tcW w:w="1931" w:type="dxa"/>
            <w:vAlign w:val="center"/>
          </w:tcPr>
          <w:p w14:paraId="52C8D87D"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7E262705" w14:textId="77777777" w:rsidR="003D5CB6" w:rsidRPr="004D46AC" w:rsidRDefault="003D5CB6" w:rsidP="00B518F1">
            <w:pPr>
              <w:spacing w:line="360" w:lineRule="auto"/>
              <w:ind w:firstLine="0"/>
              <w:jc w:val="center"/>
              <w:rPr>
                <w:rFonts w:eastAsiaTheme="minorEastAsia"/>
              </w:rPr>
            </w:pPr>
            <w:r w:rsidRPr="004D46AC">
              <w:rPr>
                <w:rFonts w:eastAsiaTheme="minorEastAsia"/>
              </w:rPr>
              <w:t>Mixed episode</w:t>
            </w:r>
          </w:p>
        </w:tc>
        <w:tc>
          <w:tcPr>
            <w:tcW w:w="1797" w:type="dxa"/>
            <w:vAlign w:val="center"/>
          </w:tcPr>
          <w:p w14:paraId="18B3F570" w14:textId="77777777" w:rsidR="003D5CB6" w:rsidRPr="004D46AC" w:rsidRDefault="003D5CB6" w:rsidP="00B518F1">
            <w:pPr>
              <w:spacing w:line="360" w:lineRule="auto"/>
              <w:ind w:firstLine="0"/>
              <w:jc w:val="center"/>
              <w:rPr>
                <w:rFonts w:eastAsiaTheme="minorEastAsia"/>
              </w:rPr>
            </w:pPr>
            <w:r w:rsidRPr="004D46AC">
              <w:rPr>
                <w:rFonts w:eastAsiaTheme="minorEastAsia"/>
              </w:rPr>
              <w:t>50.29</w:t>
            </w:r>
          </w:p>
          <w:p w14:paraId="4ADB7EA9" w14:textId="77777777" w:rsidR="003D5CB6" w:rsidRPr="004D46AC" w:rsidRDefault="003D5CB6" w:rsidP="00B518F1">
            <w:pPr>
              <w:spacing w:line="360" w:lineRule="auto"/>
              <w:ind w:firstLine="0"/>
              <w:jc w:val="center"/>
              <w:rPr>
                <w:rFonts w:eastAsiaTheme="minorEastAsia"/>
              </w:rPr>
            </w:pPr>
            <w:r w:rsidRPr="004D46AC">
              <w:rPr>
                <w:rFonts w:eastAsiaTheme="minorEastAsia"/>
              </w:rPr>
              <w:t>[23.09, 77.40</w:t>
            </w:r>
            <w:r w:rsidRPr="004D46AC">
              <w:rPr>
                <w:rFonts w:eastAsiaTheme="minorEastAsia" w:hint="eastAsia"/>
              </w:rPr>
              <w:t>]</w:t>
            </w:r>
          </w:p>
        </w:tc>
        <w:tc>
          <w:tcPr>
            <w:tcW w:w="1520" w:type="dxa"/>
            <w:vAlign w:val="center"/>
          </w:tcPr>
          <w:p w14:paraId="61970357" w14:textId="77777777" w:rsidR="003D5CB6" w:rsidRPr="004D46AC" w:rsidRDefault="003D5CB6" w:rsidP="00B518F1">
            <w:pPr>
              <w:spacing w:line="360" w:lineRule="auto"/>
              <w:ind w:firstLine="0"/>
              <w:jc w:val="center"/>
              <w:rPr>
                <w:rFonts w:eastAsiaTheme="minorEastAsia"/>
              </w:rPr>
            </w:pPr>
            <w:r w:rsidRPr="004D46AC">
              <w:rPr>
                <w:rFonts w:eastAsiaTheme="minorEastAsia"/>
              </w:rPr>
              <w:t>.16 [.07, .68]</w:t>
            </w:r>
          </w:p>
        </w:tc>
        <w:tc>
          <w:tcPr>
            <w:tcW w:w="1394" w:type="dxa"/>
            <w:vAlign w:val="center"/>
          </w:tcPr>
          <w:p w14:paraId="79681AA9" w14:textId="77777777" w:rsidR="003D5CB6" w:rsidRPr="004D46AC" w:rsidRDefault="003D5CB6" w:rsidP="00B518F1">
            <w:pPr>
              <w:spacing w:line="360" w:lineRule="auto"/>
              <w:ind w:firstLine="0"/>
              <w:jc w:val="center"/>
              <w:rPr>
                <w:rFonts w:eastAsiaTheme="minorEastAsia"/>
              </w:rPr>
            </w:pPr>
            <w:r w:rsidRPr="004D46AC">
              <w:rPr>
                <w:rFonts w:eastAsiaTheme="minorEastAsia"/>
              </w:rPr>
              <w:t>98.8</w:t>
            </w:r>
          </w:p>
          <w:p w14:paraId="29D3C17A" w14:textId="77777777" w:rsidR="003D5CB6" w:rsidRPr="004D46AC" w:rsidRDefault="003D5CB6" w:rsidP="00B518F1">
            <w:pPr>
              <w:spacing w:line="360" w:lineRule="auto"/>
              <w:ind w:firstLine="0"/>
              <w:jc w:val="center"/>
              <w:rPr>
                <w:rFonts w:eastAsiaTheme="minorEastAsia"/>
              </w:rPr>
            </w:pPr>
            <w:r w:rsidRPr="004D46AC">
              <w:rPr>
                <w:rFonts w:eastAsiaTheme="minorEastAsia"/>
              </w:rPr>
              <w:t>[98.4, 99.1]</w:t>
            </w:r>
          </w:p>
        </w:tc>
      </w:tr>
      <w:tr w:rsidR="003D5CB6" w:rsidRPr="004D46AC" w14:paraId="64F59A1B" w14:textId="77777777" w:rsidTr="00B518F1">
        <w:trPr>
          <w:trHeight w:val="395"/>
          <w:jc w:val="center"/>
        </w:trPr>
        <w:tc>
          <w:tcPr>
            <w:tcW w:w="1931" w:type="dxa"/>
            <w:vAlign w:val="center"/>
          </w:tcPr>
          <w:p w14:paraId="3F02E704" w14:textId="77777777" w:rsidR="003D5CB6" w:rsidRPr="004D46AC" w:rsidRDefault="003D5CB6" w:rsidP="00B518F1">
            <w:pPr>
              <w:spacing w:line="360" w:lineRule="auto"/>
              <w:ind w:firstLine="0"/>
              <w:jc w:val="center"/>
              <w:rPr>
                <w:rFonts w:eastAsiaTheme="minorEastAsia"/>
              </w:rPr>
            </w:pPr>
          </w:p>
        </w:tc>
        <w:tc>
          <w:tcPr>
            <w:tcW w:w="1658" w:type="dxa"/>
            <w:vAlign w:val="center"/>
          </w:tcPr>
          <w:p w14:paraId="6D65646F" w14:textId="77777777" w:rsidR="003D5CB6" w:rsidRPr="004D46AC" w:rsidRDefault="003D5CB6" w:rsidP="00B518F1">
            <w:pPr>
              <w:spacing w:line="360" w:lineRule="auto"/>
              <w:ind w:firstLine="0"/>
              <w:jc w:val="center"/>
              <w:rPr>
                <w:rFonts w:eastAsiaTheme="minorEastAsia"/>
              </w:rPr>
            </w:pPr>
            <w:r w:rsidRPr="004D46AC">
              <w:rPr>
                <w:rFonts w:eastAsiaTheme="minorEastAsia"/>
              </w:rPr>
              <w:t>First episode†</w:t>
            </w:r>
          </w:p>
        </w:tc>
        <w:tc>
          <w:tcPr>
            <w:tcW w:w="1797" w:type="dxa"/>
            <w:vAlign w:val="center"/>
          </w:tcPr>
          <w:p w14:paraId="65CAEA50" w14:textId="77777777" w:rsidR="003D5CB6" w:rsidRPr="004D46AC" w:rsidRDefault="003D5CB6" w:rsidP="00B518F1">
            <w:pPr>
              <w:spacing w:line="360" w:lineRule="auto"/>
              <w:ind w:firstLine="0"/>
              <w:jc w:val="center"/>
              <w:rPr>
                <w:rFonts w:eastAsiaTheme="minorEastAsia"/>
              </w:rPr>
            </w:pPr>
            <w:r w:rsidRPr="004D46AC">
              <w:rPr>
                <w:rFonts w:eastAsiaTheme="minorEastAsia"/>
              </w:rPr>
              <w:t>56.95</w:t>
            </w:r>
          </w:p>
          <w:p w14:paraId="348BDFCC" w14:textId="77777777" w:rsidR="003D5CB6" w:rsidRPr="004D46AC" w:rsidRDefault="003D5CB6" w:rsidP="00B518F1">
            <w:pPr>
              <w:spacing w:line="360" w:lineRule="auto"/>
              <w:ind w:firstLine="0"/>
              <w:jc w:val="center"/>
              <w:rPr>
                <w:rFonts w:eastAsiaTheme="minorEastAsia"/>
              </w:rPr>
            </w:pPr>
            <w:r w:rsidRPr="004D46AC">
              <w:rPr>
                <w:rFonts w:eastAsiaTheme="minorEastAsia"/>
              </w:rPr>
              <w:t>[44.31, 69.15]</w:t>
            </w:r>
          </w:p>
        </w:tc>
        <w:tc>
          <w:tcPr>
            <w:tcW w:w="1520" w:type="dxa"/>
            <w:vAlign w:val="center"/>
          </w:tcPr>
          <w:p w14:paraId="75155BB0" w14:textId="77777777" w:rsidR="003D5CB6" w:rsidRPr="004D46AC" w:rsidRDefault="003D5CB6" w:rsidP="00B518F1">
            <w:pPr>
              <w:spacing w:line="360" w:lineRule="auto"/>
              <w:ind w:firstLine="0"/>
              <w:jc w:val="center"/>
              <w:rPr>
                <w:rFonts w:eastAsiaTheme="minorEastAsia"/>
              </w:rPr>
            </w:pPr>
            <w:r w:rsidRPr="004D46AC">
              <w:rPr>
                <w:rFonts w:eastAsiaTheme="minorEastAsia"/>
              </w:rPr>
              <w:t>.06 [.03, .15]</w:t>
            </w:r>
          </w:p>
        </w:tc>
        <w:tc>
          <w:tcPr>
            <w:tcW w:w="1394" w:type="dxa"/>
            <w:vAlign w:val="center"/>
          </w:tcPr>
          <w:p w14:paraId="4F6B732F" w14:textId="77777777" w:rsidR="003D5CB6" w:rsidRPr="004D46AC" w:rsidRDefault="003D5CB6" w:rsidP="00B518F1">
            <w:pPr>
              <w:spacing w:line="360" w:lineRule="auto"/>
              <w:ind w:firstLine="0"/>
              <w:jc w:val="center"/>
              <w:rPr>
                <w:rFonts w:eastAsiaTheme="minorEastAsia"/>
              </w:rPr>
            </w:pPr>
            <w:r w:rsidRPr="004D46AC">
              <w:rPr>
                <w:rFonts w:eastAsiaTheme="minorEastAsia"/>
              </w:rPr>
              <w:t>97.4</w:t>
            </w:r>
          </w:p>
          <w:p w14:paraId="682EC2D7" w14:textId="77777777" w:rsidR="003D5CB6" w:rsidRPr="004D46AC" w:rsidRDefault="003D5CB6" w:rsidP="00B518F1">
            <w:pPr>
              <w:spacing w:line="360" w:lineRule="auto"/>
              <w:ind w:firstLine="0"/>
              <w:jc w:val="center"/>
              <w:rPr>
                <w:rFonts w:eastAsiaTheme="minorEastAsia"/>
              </w:rPr>
            </w:pPr>
            <w:r w:rsidRPr="004D46AC">
              <w:rPr>
                <w:rFonts w:eastAsiaTheme="minorEastAsia"/>
              </w:rPr>
              <w:t>[96.6, 98]</w:t>
            </w:r>
          </w:p>
        </w:tc>
      </w:tr>
    </w:tbl>
    <w:p w14:paraId="3D25DC25" w14:textId="77777777" w:rsidR="003D5CB6" w:rsidRPr="004D46AC" w:rsidRDefault="003D5CB6" w:rsidP="00B518F1">
      <w:pPr>
        <w:spacing w:line="360" w:lineRule="auto"/>
        <w:ind w:firstLine="0"/>
        <w:rPr>
          <w:rFonts w:eastAsiaTheme="minorEastAsia"/>
        </w:rPr>
      </w:pPr>
      <w:r w:rsidRPr="004D46AC">
        <w:rPr>
          <w:rFonts w:eastAsiaTheme="minorEastAsia"/>
          <w:i/>
          <w:iCs/>
        </w:rPr>
        <w:t>Note</w:t>
      </w:r>
      <w:r w:rsidRPr="004D46AC">
        <w:rPr>
          <w:rFonts w:eastAsiaTheme="minorEastAsia"/>
        </w:rPr>
        <w:t>. the pooled rate and the I statistics presented in proportion; all pooled rate was based on random effects model due to high heterogeneity.</w:t>
      </w:r>
    </w:p>
    <w:p w14:paraId="707B4537" w14:textId="7CC646D6" w:rsidR="003D5CB6" w:rsidRPr="004D46AC" w:rsidRDefault="003D5CB6" w:rsidP="00B518F1">
      <w:pPr>
        <w:spacing w:line="360" w:lineRule="auto"/>
        <w:ind w:firstLine="0"/>
        <w:rPr>
          <w:rFonts w:eastAsiaTheme="minorEastAsia"/>
          <w:vertAlign w:val="superscript"/>
        </w:rPr>
      </w:pPr>
      <w:proofErr w:type="spellStart"/>
      <w:proofErr w:type="gramStart"/>
      <w:r w:rsidRPr="004D46AC">
        <w:rPr>
          <w:rFonts w:eastAsiaTheme="minorEastAsia"/>
          <w:vertAlign w:val="superscript"/>
        </w:rPr>
        <w:t>a</w:t>
      </w:r>
      <w:proofErr w:type="spellEnd"/>
      <w:r w:rsidR="0022744D" w:rsidRPr="004D46AC">
        <w:rPr>
          <w:rFonts w:eastAsiaTheme="minorEastAsia" w:hint="eastAsia"/>
          <w:vertAlign w:val="superscript"/>
        </w:rPr>
        <w:t xml:space="preserve"> </w:t>
      </w:r>
      <w:r w:rsidRPr="004D46AC">
        <w:rPr>
          <w:rFonts w:eastAsiaTheme="minorEastAsia"/>
        </w:rPr>
        <w:t>the</w:t>
      </w:r>
      <w:proofErr w:type="gramEnd"/>
      <w:r w:rsidRPr="004D46AC">
        <w:rPr>
          <w:rFonts w:eastAsiaTheme="minorEastAsia"/>
        </w:rPr>
        <w:t xml:space="preserve"> sample size for lifetime psychosis in patients with mixed episode was too low (</w:t>
      </w:r>
      <w:r w:rsidRPr="004D46AC">
        <w:rPr>
          <w:rFonts w:eastAsiaTheme="minorEastAsia"/>
          <w:i/>
          <w:iCs/>
        </w:rPr>
        <w:t>k</w:t>
      </w:r>
      <w:r w:rsidRPr="004D46AC">
        <w:rPr>
          <w:rFonts w:eastAsiaTheme="minorEastAsia" w:hint="eastAsia"/>
        </w:rPr>
        <w:t xml:space="preserve"> </w:t>
      </w:r>
      <w:r w:rsidRPr="004D46AC">
        <w:rPr>
          <w:rFonts w:eastAsiaTheme="minorEastAsia"/>
        </w:rPr>
        <w:t>=</w:t>
      </w:r>
      <w:r w:rsidRPr="004D46AC">
        <w:rPr>
          <w:rFonts w:eastAsiaTheme="minorEastAsia" w:hint="eastAsia"/>
        </w:rPr>
        <w:t xml:space="preserve"> </w:t>
      </w:r>
      <w:r w:rsidRPr="004D46AC">
        <w:rPr>
          <w:rFonts w:eastAsiaTheme="minorEastAsia"/>
        </w:rPr>
        <w:t>4) and thus the values reported were median and the range.</w:t>
      </w:r>
      <w:r w:rsidRPr="004D46AC">
        <w:rPr>
          <w:rFonts w:eastAsiaTheme="minorEastAsia"/>
          <w:vertAlign w:val="superscript"/>
        </w:rPr>
        <w:t xml:space="preserve"> </w:t>
      </w:r>
    </w:p>
    <w:p w14:paraId="441B3DA6" w14:textId="5D987827" w:rsidR="003D5CB6" w:rsidRPr="004D46AC" w:rsidRDefault="003D5CB6" w:rsidP="00B518F1">
      <w:pPr>
        <w:spacing w:line="360" w:lineRule="auto"/>
        <w:ind w:firstLine="0"/>
        <w:rPr>
          <w:rFonts w:eastAsiaTheme="minorEastAsia"/>
          <w:vertAlign w:val="superscript"/>
        </w:rPr>
      </w:pPr>
      <w:r w:rsidRPr="004D46AC">
        <w:rPr>
          <w:rFonts w:eastAsiaTheme="minorEastAsia"/>
        </w:rPr>
        <w:t>†</w:t>
      </w:r>
      <w:r w:rsidR="0022744D" w:rsidRPr="004D46AC">
        <w:rPr>
          <w:rFonts w:eastAsiaTheme="minorEastAsia" w:hint="eastAsia"/>
        </w:rPr>
        <w:t xml:space="preserve"> </w:t>
      </w:r>
      <w:proofErr w:type="gramStart"/>
      <w:r w:rsidRPr="004D46AC">
        <w:rPr>
          <w:rFonts w:eastAsiaTheme="minorEastAsia"/>
        </w:rPr>
        <w:t>marks</w:t>
      </w:r>
      <w:proofErr w:type="gramEnd"/>
      <w:r w:rsidRPr="004D46AC">
        <w:rPr>
          <w:rFonts w:eastAsiaTheme="minorEastAsia"/>
        </w:rPr>
        <w:t xml:space="preserve"> the presence of possible publication bias.</w:t>
      </w:r>
    </w:p>
    <w:p w14:paraId="6418EE15" w14:textId="77777777" w:rsidR="003D5CB6" w:rsidRPr="004D46AC" w:rsidRDefault="003D5CB6" w:rsidP="00B518F1">
      <w:pPr>
        <w:ind w:firstLine="0"/>
        <w:rPr>
          <w:rFonts w:eastAsiaTheme="minorEastAsia"/>
        </w:rPr>
      </w:pPr>
    </w:p>
    <w:p w14:paraId="5CA76988" w14:textId="1D3C17AD" w:rsidR="005B3793" w:rsidRPr="004D46AC" w:rsidRDefault="003A1ED4" w:rsidP="005B3793">
      <w:pPr>
        <w:pStyle w:val="afff0"/>
        <w:spacing w:after="0" w:line="360" w:lineRule="auto"/>
        <w:ind w:firstLine="0"/>
        <w:rPr>
          <w:rFonts w:eastAsiaTheme="minorEastAsia"/>
          <w:b/>
          <w:bCs/>
          <w:i w:val="0"/>
          <w:iCs w:val="0"/>
          <w:color w:val="auto"/>
          <w:sz w:val="22"/>
          <w:szCs w:val="22"/>
        </w:rPr>
      </w:pPr>
      <w:bookmarkStart w:id="107" w:name="_Toc219883856"/>
      <w:bookmarkStart w:id="108" w:name="_Toc219870608"/>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4</w:t>
      </w:r>
      <w:bookmarkEnd w:id="107"/>
      <w:r w:rsidR="004725A0" w:rsidRPr="004D46AC">
        <w:rPr>
          <w:b/>
          <w:bCs/>
          <w:i w:val="0"/>
          <w:iCs w:val="0"/>
          <w:color w:val="auto"/>
          <w:sz w:val="22"/>
          <w:szCs w:val="22"/>
        </w:rPr>
        <w:fldChar w:fldCharType="end"/>
      </w:r>
      <w:bookmarkEnd w:id="108"/>
    </w:p>
    <w:p w14:paraId="62D499F6" w14:textId="33158BF8" w:rsidR="003D5CB6" w:rsidRPr="004D46AC" w:rsidRDefault="003D5CB6" w:rsidP="005B3793">
      <w:pPr>
        <w:pStyle w:val="afff0"/>
        <w:spacing w:after="0" w:line="360" w:lineRule="auto"/>
        <w:ind w:firstLine="0"/>
        <w:rPr>
          <w:b/>
          <w:bCs/>
          <w:i w:val="0"/>
          <w:iCs w:val="0"/>
          <w:color w:val="auto"/>
          <w:sz w:val="22"/>
          <w:szCs w:val="22"/>
        </w:rPr>
      </w:pPr>
      <w:r w:rsidRPr="004D46AC">
        <w:rPr>
          <w:color w:val="auto"/>
          <w:sz w:val="22"/>
          <w:szCs w:val="22"/>
        </w:rPr>
        <w:t>The information of predictors contributed to the heterogeneity</w:t>
      </w:r>
    </w:p>
    <w:tbl>
      <w:tblPr>
        <w:tblStyle w:val="afc"/>
        <w:tblW w:w="0" w:type="auto"/>
        <w:jc w:val="center"/>
        <w:tblLook w:val="04A0" w:firstRow="1" w:lastRow="0" w:firstColumn="1" w:lastColumn="0" w:noHBand="0" w:noVBand="1"/>
      </w:tblPr>
      <w:tblGrid>
        <w:gridCol w:w="1876"/>
        <w:gridCol w:w="1454"/>
        <w:gridCol w:w="1591"/>
        <w:gridCol w:w="1121"/>
        <w:gridCol w:w="613"/>
        <w:gridCol w:w="1302"/>
        <w:gridCol w:w="1059"/>
      </w:tblGrid>
      <w:tr w:rsidR="003D5CB6" w:rsidRPr="004D46AC" w14:paraId="36B556E9" w14:textId="77777777" w:rsidTr="00B518F1">
        <w:trPr>
          <w:trHeight w:val="621"/>
          <w:jc w:val="center"/>
        </w:trPr>
        <w:tc>
          <w:tcPr>
            <w:tcW w:w="2678" w:type="dxa"/>
            <w:vAlign w:val="center"/>
          </w:tcPr>
          <w:p w14:paraId="112350EE" w14:textId="77777777" w:rsidR="003D5CB6" w:rsidRPr="004D46AC" w:rsidRDefault="003D5CB6" w:rsidP="00B518F1">
            <w:pPr>
              <w:spacing w:line="360" w:lineRule="auto"/>
              <w:ind w:firstLine="0"/>
              <w:jc w:val="center"/>
              <w:rPr>
                <w:b/>
                <w:bCs/>
              </w:rPr>
            </w:pPr>
            <w:r w:rsidRPr="004D46AC">
              <w:rPr>
                <w:b/>
                <w:bCs/>
              </w:rPr>
              <w:t>Syntheses</w:t>
            </w:r>
          </w:p>
        </w:tc>
        <w:tc>
          <w:tcPr>
            <w:tcW w:w="2213" w:type="dxa"/>
            <w:vAlign w:val="center"/>
          </w:tcPr>
          <w:p w14:paraId="12E476C8" w14:textId="77777777" w:rsidR="003D5CB6" w:rsidRPr="004D46AC" w:rsidRDefault="003D5CB6" w:rsidP="00B518F1">
            <w:pPr>
              <w:spacing w:line="360" w:lineRule="auto"/>
              <w:ind w:firstLine="0"/>
              <w:jc w:val="center"/>
              <w:rPr>
                <w:b/>
                <w:bCs/>
              </w:rPr>
            </w:pPr>
            <w:r w:rsidRPr="004D46AC">
              <w:rPr>
                <w:b/>
                <w:bCs/>
              </w:rPr>
              <w:t>Predictors</w:t>
            </w:r>
          </w:p>
        </w:tc>
        <w:tc>
          <w:tcPr>
            <w:tcW w:w="2241" w:type="dxa"/>
            <w:vAlign w:val="center"/>
          </w:tcPr>
          <w:p w14:paraId="61AD9299" w14:textId="77777777" w:rsidR="003D5CB6" w:rsidRPr="004D46AC" w:rsidRDefault="003D5CB6" w:rsidP="00B518F1">
            <w:pPr>
              <w:spacing w:line="360" w:lineRule="auto"/>
              <w:ind w:firstLine="0"/>
              <w:jc w:val="center"/>
              <w:rPr>
                <w:b/>
                <w:bCs/>
                <w:i/>
                <w:iCs/>
              </w:rPr>
            </w:pPr>
            <w:r w:rsidRPr="004D46AC">
              <w:rPr>
                <w:b/>
                <w:bCs/>
                <w:i/>
                <w:iCs/>
              </w:rPr>
              <w:t>estimate (se)</w:t>
            </w:r>
          </w:p>
        </w:tc>
        <w:tc>
          <w:tcPr>
            <w:tcW w:w="1618" w:type="dxa"/>
            <w:vAlign w:val="center"/>
          </w:tcPr>
          <w:p w14:paraId="5ADDDD69" w14:textId="77777777" w:rsidR="003D5CB6" w:rsidRPr="004D46AC" w:rsidRDefault="003D5CB6" w:rsidP="00B518F1">
            <w:pPr>
              <w:spacing w:line="360" w:lineRule="auto"/>
              <w:ind w:firstLine="0"/>
              <w:jc w:val="center"/>
              <w:rPr>
                <w:b/>
                <w:bCs/>
                <w:i/>
                <w:iCs/>
              </w:rPr>
            </w:pPr>
            <w:r w:rsidRPr="004D46AC">
              <w:rPr>
                <w:b/>
                <w:bCs/>
                <w:i/>
                <w:iCs/>
              </w:rPr>
              <w:t>Q</w:t>
            </w:r>
          </w:p>
        </w:tc>
        <w:tc>
          <w:tcPr>
            <w:tcW w:w="1077" w:type="dxa"/>
            <w:vAlign w:val="center"/>
          </w:tcPr>
          <w:p w14:paraId="0C83D938" w14:textId="77777777" w:rsidR="003D5CB6" w:rsidRPr="004D46AC" w:rsidRDefault="003D5CB6" w:rsidP="00B518F1">
            <w:pPr>
              <w:spacing w:line="360" w:lineRule="auto"/>
              <w:ind w:firstLine="0"/>
              <w:jc w:val="center"/>
              <w:rPr>
                <w:b/>
                <w:bCs/>
                <w:i/>
                <w:iCs/>
              </w:rPr>
            </w:pPr>
            <w:r w:rsidRPr="004D46AC">
              <w:rPr>
                <w:b/>
                <w:bCs/>
                <w:i/>
                <w:iCs/>
              </w:rPr>
              <w:t>R</w:t>
            </w:r>
            <w:r w:rsidRPr="004D46AC">
              <w:rPr>
                <w:b/>
                <w:bCs/>
                <w:i/>
                <w:iCs/>
                <w:vertAlign w:val="superscript"/>
              </w:rPr>
              <w:t>2</w:t>
            </w:r>
          </w:p>
        </w:tc>
        <w:tc>
          <w:tcPr>
            <w:tcW w:w="1848" w:type="dxa"/>
            <w:vAlign w:val="center"/>
          </w:tcPr>
          <w:p w14:paraId="3930E52D" w14:textId="77777777" w:rsidR="003D5CB6" w:rsidRPr="004D46AC" w:rsidRDefault="003D5CB6" w:rsidP="00B518F1">
            <w:pPr>
              <w:spacing w:line="360" w:lineRule="auto"/>
              <w:ind w:firstLine="0"/>
              <w:jc w:val="center"/>
              <w:rPr>
                <w:b/>
                <w:bCs/>
              </w:rPr>
            </w:pPr>
            <w:r w:rsidRPr="004D46AC">
              <w:rPr>
                <w:b/>
                <w:bCs/>
                <w:i/>
                <w:iCs/>
              </w:rPr>
              <w:t>Tau</w:t>
            </w:r>
            <w:r w:rsidRPr="004D46AC">
              <w:rPr>
                <w:b/>
                <w:bCs/>
                <w:vertAlign w:val="superscript"/>
              </w:rPr>
              <w:t>2</w:t>
            </w:r>
          </w:p>
        </w:tc>
        <w:tc>
          <w:tcPr>
            <w:tcW w:w="1926" w:type="dxa"/>
            <w:vAlign w:val="center"/>
          </w:tcPr>
          <w:p w14:paraId="23D4D327" w14:textId="77777777" w:rsidR="003D5CB6" w:rsidRPr="004D46AC" w:rsidRDefault="003D5CB6" w:rsidP="00B518F1">
            <w:pPr>
              <w:spacing w:line="360" w:lineRule="auto"/>
              <w:ind w:firstLine="0"/>
              <w:jc w:val="center"/>
              <w:rPr>
                <w:b/>
                <w:bCs/>
              </w:rPr>
            </w:pPr>
            <w:r w:rsidRPr="004D46AC">
              <w:rPr>
                <w:b/>
                <w:bCs/>
                <w:i/>
                <w:iCs/>
              </w:rPr>
              <w:t>I</w:t>
            </w:r>
            <w:r w:rsidRPr="004D46AC">
              <w:rPr>
                <w:b/>
                <w:bCs/>
                <w:vertAlign w:val="superscript"/>
              </w:rPr>
              <w:t>2</w:t>
            </w:r>
          </w:p>
        </w:tc>
      </w:tr>
      <w:tr w:rsidR="003D5CB6" w:rsidRPr="004D46AC" w14:paraId="2C0F9D58" w14:textId="77777777" w:rsidTr="00B518F1">
        <w:trPr>
          <w:trHeight w:val="314"/>
          <w:jc w:val="center"/>
        </w:trPr>
        <w:tc>
          <w:tcPr>
            <w:tcW w:w="2678" w:type="dxa"/>
            <w:vMerge w:val="restart"/>
            <w:vAlign w:val="center"/>
          </w:tcPr>
          <w:p w14:paraId="65D3F704" w14:textId="77777777" w:rsidR="003D5CB6" w:rsidRPr="004D46AC" w:rsidRDefault="003D5CB6" w:rsidP="00B518F1">
            <w:pPr>
              <w:spacing w:line="360" w:lineRule="auto"/>
              <w:ind w:firstLine="0"/>
              <w:jc w:val="center"/>
              <w:rPr>
                <w:b/>
                <w:bCs/>
              </w:rPr>
            </w:pPr>
            <w:r w:rsidRPr="004D46AC">
              <w:rPr>
                <w:b/>
                <w:bCs/>
              </w:rPr>
              <w:t>Schizophrenia</w:t>
            </w:r>
          </w:p>
        </w:tc>
        <w:tc>
          <w:tcPr>
            <w:tcW w:w="2213" w:type="dxa"/>
            <w:vAlign w:val="center"/>
          </w:tcPr>
          <w:p w14:paraId="0FB85482" w14:textId="77777777" w:rsidR="003D5CB6" w:rsidRPr="004D46AC" w:rsidRDefault="003D5CB6" w:rsidP="00B518F1">
            <w:pPr>
              <w:spacing w:line="360" w:lineRule="auto"/>
              <w:ind w:firstLine="0"/>
              <w:jc w:val="center"/>
            </w:pPr>
            <w:r w:rsidRPr="004D46AC">
              <w:t>Gender</w:t>
            </w:r>
          </w:p>
        </w:tc>
        <w:tc>
          <w:tcPr>
            <w:tcW w:w="2241" w:type="dxa"/>
            <w:vAlign w:val="center"/>
          </w:tcPr>
          <w:p w14:paraId="2D8EC2F7"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.004 (</w:t>
            </w:r>
            <w:r w:rsidRPr="004D46AC">
              <w:rPr>
                <w:rFonts w:eastAsiaTheme="minorEastAsia" w:hint="eastAsia"/>
              </w:rPr>
              <w:t>0</w:t>
            </w:r>
            <w:r w:rsidRPr="004D46AC">
              <w:t>.001) *</w:t>
            </w:r>
          </w:p>
        </w:tc>
        <w:tc>
          <w:tcPr>
            <w:tcW w:w="1618" w:type="dxa"/>
            <w:vMerge w:val="restart"/>
            <w:vAlign w:val="center"/>
          </w:tcPr>
          <w:p w14:paraId="58DA38FF" w14:textId="77777777" w:rsidR="003D5CB6" w:rsidRPr="004D46AC" w:rsidRDefault="003D5CB6" w:rsidP="00B518F1">
            <w:pPr>
              <w:spacing w:line="360" w:lineRule="auto"/>
              <w:ind w:firstLine="0"/>
              <w:jc w:val="center"/>
            </w:pPr>
            <w:r w:rsidRPr="004D46AC">
              <w:t>6.82*</w:t>
            </w:r>
          </w:p>
        </w:tc>
        <w:tc>
          <w:tcPr>
            <w:tcW w:w="1077" w:type="dxa"/>
            <w:vMerge w:val="restart"/>
            <w:vAlign w:val="center"/>
          </w:tcPr>
          <w:p w14:paraId="46C9827A" w14:textId="77777777" w:rsidR="003D5CB6" w:rsidRPr="004D46AC" w:rsidRDefault="003D5CB6" w:rsidP="00B518F1">
            <w:pPr>
              <w:spacing w:line="360" w:lineRule="auto"/>
              <w:ind w:firstLine="0"/>
              <w:jc w:val="center"/>
            </w:pPr>
            <w:r w:rsidRPr="004D46AC">
              <w:t>.23</w:t>
            </w:r>
          </w:p>
        </w:tc>
        <w:tc>
          <w:tcPr>
            <w:tcW w:w="1848" w:type="dxa"/>
            <w:vMerge w:val="restart"/>
            <w:vAlign w:val="center"/>
          </w:tcPr>
          <w:p w14:paraId="3B9F551E" w14:textId="77777777" w:rsidR="003D5CB6" w:rsidRPr="004D46AC" w:rsidRDefault="003D5CB6" w:rsidP="00B518F1">
            <w:pPr>
              <w:spacing w:line="360" w:lineRule="auto"/>
              <w:ind w:firstLine="0"/>
              <w:jc w:val="center"/>
            </w:pPr>
            <w:r w:rsidRPr="004D46AC">
              <w:t>.01 [.01, .03]</w:t>
            </w:r>
          </w:p>
        </w:tc>
        <w:tc>
          <w:tcPr>
            <w:tcW w:w="1926" w:type="dxa"/>
            <w:vMerge w:val="restart"/>
            <w:vAlign w:val="center"/>
          </w:tcPr>
          <w:p w14:paraId="6A912EB9" w14:textId="77777777" w:rsidR="003D5CB6" w:rsidRPr="004D46AC" w:rsidRDefault="003D5CB6" w:rsidP="00B518F1">
            <w:pPr>
              <w:spacing w:line="360" w:lineRule="auto"/>
              <w:ind w:firstLine="0"/>
              <w:jc w:val="center"/>
            </w:pPr>
            <w:r w:rsidRPr="004D46AC">
              <w:t xml:space="preserve">99.46 </w:t>
            </w:r>
          </w:p>
          <w:p w14:paraId="5EBA4C57" w14:textId="77777777" w:rsidR="003D5CB6" w:rsidRPr="004D46AC" w:rsidRDefault="003D5CB6" w:rsidP="00B518F1">
            <w:pPr>
              <w:spacing w:line="360" w:lineRule="auto"/>
              <w:ind w:firstLine="0"/>
              <w:jc w:val="center"/>
            </w:pPr>
            <w:r w:rsidRPr="004D46AC">
              <w:lastRenderedPageBreak/>
              <w:t>[98.94, 99.79]</w:t>
            </w:r>
          </w:p>
        </w:tc>
      </w:tr>
      <w:tr w:rsidR="003D5CB6" w:rsidRPr="004D46AC" w14:paraId="4E78F09D" w14:textId="77777777" w:rsidTr="00B518F1">
        <w:trPr>
          <w:trHeight w:val="604"/>
          <w:jc w:val="center"/>
        </w:trPr>
        <w:tc>
          <w:tcPr>
            <w:tcW w:w="2678" w:type="dxa"/>
            <w:vMerge/>
            <w:vAlign w:val="center"/>
          </w:tcPr>
          <w:p w14:paraId="6E13F67B" w14:textId="77777777" w:rsidR="003D5CB6" w:rsidRPr="004D46AC" w:rsidRDefault="003D5CB6" w:rsidP="00B518F1">
            <w:pPr>
              <w:spacing w:line="360" w:lineRule="auto"/>
              <w:ind w:firstLine="0"/>
              <w:jc w:val="center"/>
              <w:rPr>
                <w:b/>
                <w:bCs/>
                <w:i/>
                <w:iCs/>
              </w:rPr>
            </w:pPr>
          </w:p>
        </w:tc>
        <w:tc>
          <w:tcPr>
            <w:tcW w:w="2213" w:type="dxa"/>
            <w:vAlign w:val="center"/>
          </w:tcPr>
          <w:p w14:paraId="0EE3D1C2" w14:textId="77777777" w:rsidR="003D5CB6" w:rsidRPr="004D46AC" w:rsidRDefault="003D5CB6" w:rsidP="00B518F1">
            <w:pPr>
              <w:spacing w:line="360" w:lineRule="auto"/>
              <w:ind w:firstLine="0"/>
              <w:jc w:val="center"/>
            </w:pPr>
            <w:r w:rsidRPr="004D46AC">
              <w:t>age</w:t>
            </w:r>
          </w:p>
        </w:tc>
        <w:tc>
          <w:tcPr>
            <w:tcW w:w="2241" w:type="dxa"/>
            <w:vAlign w:val="center"/>
          </w:tcPr>
          <w:p w14:paraId="54F2C9BB"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.002 (</w:t>
            </w:r>
            <w:r w:rsidRPr="004D46AC">
              <w:rPr>
                <w:rFonts w:eastAsiaTheme="minorEastAsia" w:hint="eastAsia"/>
              </w:rPr>
              <w:t>0</w:t>
            </w:r>
            <w:r w:rsidRPr="004D46AC">
              <w:t>.003)</w:t>
            </w:r>
          </w:p>
        </w:tc>
        <w:tc>
          <w:tcPr>
            <w:tcW w:w="1618" w:type="dxa"/>
            <w:vMerge/>
            <w:vAlign w:val="center"/>
          </w:tcPr>
          <w:p w14:paraId="0131E500" w14:textId="77777777" w:rsidR="003D5CB6" w:rsidRPr="004D46AC" w:rsidRDefault="003D5CB6" w:rsidP="00B518F1">
            <w:pPr>
              <w:spacing w:line="360" w:lineRule="auto"/>
              <w:ind w:firstLine="0"/>
              <w:jc w:val="center"/>
              <w:rPr>
                <w:b/>
                <w:bCs/>
                <w:i/>
                <w:iCs/>
              </w:rPr>
            </w:pPr>
          </w:p>
        </w:tc>
        <w:tc>
          <w:tcPr>
            <w:tcW w:w="1077" w:type="dxa"/>
            <w:vMerge/>
            <w:vAlign w:val="center"/>
          </w:tcPr>
          <w:p w14:paraId="722AF136" w14:textId="77777777" w:rsidR="003D5CB6" w:rsidRPr="004D46AC" w:rsidRDefault="003D5CB6" w:rsidP="00B518F1">
            <w:pPr>
              <w:spacing w:line="360" w:lineRule="auto"/>
              <w:ind w:firstLine="0"/>
              <w:jc w:val="center"/>
              <w:rPr>
                <w:b/>
                <w:bCs/>
                <w:i/>
                <w:iCs/>
              </w:rPr>
            </w:pPr>
          </w:p>
        </w:tc>
        <w:tc>
          <w:tcPr>
            <w:tcW w:w="1848" w:type="dxa"/>
            <w:vMerge/>
            <w:vAlign w:val="center"/>
          </w:tcPr>
          <w:p w14:paraId="74749801" w14:textId="77777777" w:rsidR="003D5CB6" w:rsidRPr="004D46AC" w:rsidRDefault="003D5CB6" w:rsidP="00B518F1">
            <w:pPr>
              <w:spacing w:line="360" w:lineRule="auto"/>
              <w:ind w:firstLine="0"/>
              <w:jc w:val="center"/>
              <w:rPr>
                <w:b/>
                <w:bCs/>
                <w:i/>
                <w:iCs/>
              </w:rPr>
            </w:pPr>
          </w:p>
        </w:tc>
        <w:tc>
          <w:tcPr>
            <w:tcW w:w="1926" w:type="dxa"/>
            <w:vMerge/>
            <w:vAlign w:val="center"/>
          </w:tcPr>
          <w:p w14:paraId="37F85F9E" w14:textId="77777777" w:rsidR="003D5CB6" w:rsidRPr="004D46AC" w:rsidRDefault="003D5CB6" w:rsidP="00B518F1">
            <w:pPr>
              <w:spacing w:line="360" w:lineRule="auto"/>
              <w:ind w:firstLine="0"/>
              <w:jc w:val="center"/>
              <w:rPr>
                <w:b/>
                <w:bCs/>
                <w:i/>
                <w:iCs/>
              </w:rPr>
            </w:pPr>
          </w:p>
        </w:tc>
      </w:tr>
      <w:tr w:rsidR="003D5CB6" w:rsidRPr="004D46AC" w14:paraId="290861DF" w14:textId="77777777" w:rsidTr="00B518F1">
        <w:trPr>
          <w:trHeight w:val="314"/>
          <w:jc w:val="center"/>
        </w:trPr>
        <w:tc>
          <w:tcPr>
            <w:tcW w:w="2678" w:type="dxa"/>
            <w:vMerge w:val="restart"/>
            <w:vAlign w:val="center"/>
          </w:tcPr>
          <w:p w14:paraId="10B38411" w14:textId="77777777" w:rsidR="003D5CB6" w:rsidRPr="004D46AC" w:rsidRDefault="003D5CB6" w:rsidP="00B518F1">
            <w:pPr>
              <w:spacing w:line="360" w:lineRule="auto"/>
              <w:ind w:firstLine="0"/>
              <w:jc w:val="center"/>
              <w:rPr>
                <w:b/>
                <w:bCs/>
              </w:rPr>
            </w:pPr>
            <w:r w:rsidRPr="004D46AC">
              <w:rPr>
                <w:b/>
                <w:bCs/>
              </w:rPr>
              <w:t>Mood-incongruent psychosis</w:t>
            </w:r>
          </w:p>
        </w:tc>
        <w:tc>
          <w:tcPr>
            <w:tcW w:w="2213" w:type="dxa"/>
            <w:vAlign w:val="center"/>
          </w:tcPr>
          <w:p w14:paraId="51DE2929" w14:textId="77777777" w:rsidR="003D5CB6" w:rsidRPr="004D46AC" w:rsidRDefault="003D5CB6" w:rsidP="00B518F1">
            <w:pPr>
              <w:spacing w:line="360" w:lineRule="auto"/>
              <w:ind w:firstLine="0"/>
              <w:jc w:val="center"/>
            </w:pPr>
            <w:r w:rsidRPr="004D46AC">
              <w:t>Publication date</w:t>
            </w:r>
          </w:p>
        </w:tc>
        <w:tc>
          <w:tcPr>
            <w:tcW w:w="2241" w:type="dxa"/>
            <w:vAlign w:val="center"/>
          </w:tcPr>
          <w:p w14:paraId="52DDF172"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.01 (</w:t>
            </w:r>
            <w:r w:rsidRPr="004D46AC">
              <w:rPr>
                <w:rFonts w:eastAsiaTheme="minorEastAsia" w:hint="eastAsia"/>
              </w:rPr>
              <w:t>0.</w:t>
            </w:r>
            <w:r w:rsidRPr="004D46AC">
              <w:t>004) **</w:t>
            </w:r>
          </w:p>
        </w:tc>
        <w:tc>
          <w:tcPr>
            <w:tcW w:w="1618" w:type="dxa"/>
            <w:vMerge w:val="restart"/>
            <w:vAlign w:val="center"/>
          </w:tcPr>
          <w:p w14:paraId="27847D4E" w14:textId="77777777" w:rsidR="003D5CB6" w:rsidRPr="004D46AC" w:rsidRDefault="003D5CB6" w:rsidP="00B518F1">
            <w:pPr>
              <w:spacing w:line="360" w:lineRule="auto"/>
              <w:ind w:firstLine="0"/>
              <w:jc w:val="center"/>
            </w:pPr>
            <w:r w:rsidRPr="004D46AC">
              <w:t>12.94**</w:t>
            </w:r>
          </w:p>
        </w:tc>
        <w:tc>
          <w:tcPr>
            <w:tcW w:w="1077" w:type="dxa"/>
            <w:vMerge w:val="restart"/>
            <w:vAlign w:val="center"/>
          </w:tcPr>
          <w:p w14:paraId="20C7D97A" w14:textId="77777777" w:rsidR="003D5CB6" w:rsidRPr="004D46AC" w:rsidRDefault="003D5CB6" w:rsidP="00B518F1">
            <w:pPr>
              <w:spacing w:line="360" w:lineRule="auto"/>
              <w:ind w:firstLine="0"/>
              <w:jc w:val="center"/>
            </w:pPr>
            <w:r w:rsidRPr="004D46AC">
              <w:t>.46</w:t>
            </w:r>
          </w:p>
        </w:tc>
        <w:tc>
          <w:tcPr>
            <w:tcW w:w="1848" w:type="dxa"/>
            <w:vMerge w:val="restart"/>
            <w:vAlign w:val="center"/>
          </w:tcPr>
          <w:p w14:paraId="2DEEE361" w14:textId="77777777" w:rsidR="003D5CB6" w:rsidRPr="004D46AC" w:rsidRDefault="003D5CB6" w:rsidP="00B518F1">
            <w:pPr>
              <w:spacing w:line="360" w:lineRule="auto"/>
              <w:ind w:firstLine="0"/>
              <w:jc w:val="center"/>
            </w:pPr>
            <w:r w:rsidRPr="004D46AC">
              <w:t>.02 [.01, .04]</w:t>
            </w:r>
          </w:p>
        </w:tc>
        <w:tc>
          <w:tcPr>
            <w:tcW w:w="1926" w:type="dxa"/>
            <w:vMerge w:val="restart"/>
            <w:vAlign w:val="center"/>
          </w:tcPr>
          <w:p w14:paraId="4095D3B5" w14:textId="77777777" w:rsidR="003D5CB6" w:rsidRPr="004D46AC" w:rsidRDefault="003D5CB6" w:rsidP="00B518F1">
            <w:pPr>
              <w:spacing w:line="360" w:lineRule="auto"/>
              <w:ind w:firstLine="0"/>
              <w:jc w:val="center"/>
            </w:pPr>
            <w:r w:rsidRPr="004D46AC">
              <w:t xml:space="preserve">95.14 </w:t>
            </w:r>
          </w:p>
          <w:p w14:paraId="4EE7ADEE" w14:textId="77777777" w:rsidR="003D5CB6" w:rsidRPr="004D46AC" w:rsidRDefault="003D5CB6" w:rsidP="00B518F1">
            <w:pPr>
              <w:spacing w:line="360" w:lineRule="auto"/>
              <w:ind w:firstLine="0"/>
              <w:jc w:val="center"/>
            </w:pPr>
            <w:r w:rsidRPr="004D46AC">
              <w:t>[90.65, 98.02]</w:t>
            </w:r>
          </w:p>
        </w:tc>
      </w:tr>
      <w:tr w:rsidR="003D5CB6" w:rsidRPr="004D46AC" w14:paraId="5BEE2B84" w14:textId="77777777" w:rsidTr="00B518F1">
        <w:trPr>
          <w:trHeight w:val="306"/>
          <w:jc w:val="center"/>
        </w:trPr>
        <w:tc>
          <w:tcPr>
            <w:tcW w:w="2678" w:type="dxa"/>
            <w:vMerge/>
            <w:vAlign w:val="center"/>
          </w:tcPr>
          <w:p w14:paraId="419F7CC1" w14:textId="77777777" w:rsidR="003D5CB6" w:rsidRPr="004D46AC" w:rsidRDefault="003D5CB6" w:rsidP="00B518F1">
            <w:pPr>
              <w:spacing w:line="360" w:lineRule="auto"/>
              <w:ind w:firstLine="0"/>
              <w:jc w:val="center"/>
              <w:rPr>
                <w:b/>
                <w:bCs/>
              </w:rPr>
            </w:pPr>
          </w:p>
        </w:tc>
        <w:tc>
          <w:tcPr>
            <w:tcW w:w="2213" w:type="dxa"/>
            <w:vAlign w:val="center"/>
          </w:tcPr>
          <w:p w14:paraId="1E81E2AA" w14:textId="77777777" w:rsidR="003D5CB6" w:rsidRPr="004D46AC" w:rsidRDefault="003D5CB6" w:rsidP="00B518F1">
            <w:pPr>
              <w:spacing w:line="360" w:lineRule="auto"/>
              <w:ind w:firstLine="0"/>
              <w:jc w:val="center"/>
            </w:pPr>
            <w:r w:rsidRPr="004D46AC">
              <w:t>Age</w:t>
            </w:r>
          </w:p>
        </w:tc>
        <w:tc>
          <w:tcPr>
            <w:tcW w:w="2241" w:type="dxa"/>
            <w:vAlign w:val="center"/>
          </w:tcPr>
          <w:p w14:paraId="77E15278" w14:textId="77777777" w:rsidR="003D5CB6" w:rsidRPr="004D46AC" w:rsidRDefault="003D5CB6" w:rsidP="00B518F1">
            <w:pPr>
              <w:spacing w:line="360" w:lineRule="auto"/>
              <w:ind w:firstLine="0"/>
              <w:jc w:val="center"/>
            </w:pPr>
            <w:r w:rsidRPr="004D46AC">
              <w:rPr>
                <w:rFonts w:eastAsiaTheme="minorEastAsia" w:hint="eastAsia"/>
              </w:rPr>
              <w:t>0</w:t>
            </w:r>
            <w:r w:rsidRPr="004D46AC">
              <w:t>.01(</w:t>
            </w:r>
            <w:r w:rsidRPr="004D46AC">
              <w:rPr>
                <w:rFonts w:eastAsiaTheme="minorEastAsia" w:hint="eastAsia"/>
              </w:rPr>
              <w:t>0</w:t>
            </w:r>
            <w:r w:rsidRPr="004D46AC">
              <w:t>.005) **</w:t>
            </w:r>
          </w:p>
        </w:tc>
        <w:tc>
          <w:tcPr>
            <w:tcW w:w="1618" w:type="dxa"/>
            <w:vMerge/>
            <w:vAlign w:val="center"/>
          </w:tcPr>
          <w:p w14:paraId="1A25C713" w14:textId="77777777" w:rsidR="003D5CB6" w:rsidRPr="004D46AC" w:rsidRDefault="003D5CB6" w:rsidP="00B518F1">
            <w:pPr>
              <w:spacing w:line="360" w:lineRule="auto"/>
              <w:ind w:firstLine="0"/>
              <w:jc w:val="center"/>
            </w:pPr>
          </w:p>
        </w:tc>
        <w:tc>
          <w:tcPr>
            <w:tcW w:w="1077" w:type="dxa"/>
            <w:vMerge/>
            <w:vAlign w:val="center"/>
          </w:tcPr>
          <w:p w14:paraId="3652D295" w14:textId="77777777" w:rsidR="003D5CB6" w:rsidRPr="004D46AC" w:rsidRDefault="003D5CB6" w:rsidP="00B518F1">
            <w:pPr>
              <w:spacing w:line="360" w:lineRule="auto"/>
              <w:ind w:firstLine="0"/>
              <w:jc w:val="center"/>
            </w:pPr>
          </w:p>
        </w:tc>
        <w:tc>
          <w:tcPr>
            <w:tcW w:w="1848" w:type="dxa"/>
            <w:vMerge/>
            <w:vAlign w:val="center"/>
          </w:tcPr>
          <w:p w14:paraId="22657E30" w14:textId="77777777" w:rsidR="003D5CB6" w:rsidRPr="004D46AC" w:rsidRDefault="003D5CB6" w:rsidP="00B518F1">
            <w:pPr>
              <w:spacing w:line="360" w:lineRule="auto"/>
              <w:ind w:firstLine="0"/>
              <w:jc w:val="center"/>
            </w:pPr>
          </w:p>
        </w:tc>
        <w:tc>
          <w:tcPr>
            <w:tcW w:w="1926" w:type="dxa"/>
            <w:vMerge/>
            <w:vAlign w:val="center"/>
          </w:tcPr>
          <w:p w14:paraId="2AA6CC08" w14:textId="77777777" w:rsidR="003D5CB6" w:rsidRPr="004D46AC" w:rsidRDefault="003D5CB6" w:rsidP="00B518F1">
            <w:pPr>
              <w:spacing w:line="360" w:lineRule="auto"/>
              <w:ind w:firstLine="0"/>
              <w:jc w:val="center"/>
            </w:pPr>
          </w:p>
        </w:tc>
      </w:tr>
      <w:tr w:rsidR="003D5CB6" w:rsidRPr="004D46AC" w14:paraId="7ED32F86" w14:textId="77777777" w:rsidTr="00B518F1">
        <w:trPr>
          <w:trHeight w:val="314"/>
          <w:jc w:val="center"/>
        </w:trPr>
        <w:tc>
          <w:tcPr>
            <w:tcW w:w="2678" w:type="dxa"/>
            <w:vMerge w:val="restart"/>
            <w:vAlign w:val="center"/>
          </w:tcPr>
          <w:p w14:paraId="5B085446" w14:textId="77777777" w:rsidR="003D5CB6" w:rsidRPr="004D46AC" w:rsidRDefault="003D5CB6" w:rsidP="00B518F1">
            <w:pPr>
              <w:spacing w:line="360" w:lineRule="auto"/>
              <w:ind w:firstLine="0"/>
              <w:jc w:val="center"/>
              <w:rPr>
                <w:b/>
                <w:bCs/>
              </w:rPr>
            </w:pPr>
            <w:r w:rsidRPr="004D46AC">
              <w:rPr>
                <w:b/>
                <w:bCs/>
              </w:rPr>
              <w:t>Lifetime psychosis</w:t>
            </w:r>
          </w:p>
        </w:tc>
        <w:tc>
          <w:tcPr>
            <w:tcW w:w="2213" w:type="dxa"/>
            <w:vAlign w:val="center"/>
          </w:tcPr>
          <w:p w14:paraId="6995DBCA" w14:textId="77777777" w:rsidR="003D5CB6" w:rsidRPr="004D46AC" w:rsidRDefault="003D5CB6" w:rsidP="00B518F1">
            <w:pPr>
              <w:spacing w:line="360" w:lineRule="auto"/>
              <w:ind w:firstLine="0"/>
              <w:jc w:val="center"/>
            </w:pPr>
            <w:r w:rsidRPr="004D46AC">
              <w:t>Gender</w:t>
            </w:r>
          </w:p>
        </w:tc>
        <w:tc>
          <w:tcPr>
            <w:tcW w:w="2241" w:type="dxa"/>
            <w:vAlign w:val="center"/>
          </w:tcPr>
          <w:p w14:paraId="351DD6D5"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.003(</w:t>
            </w:r>
            <w:r w:rsidRPr="004D46AC">
              <w:rPr>
                <w:rFonts w:eastAsiaTheme="minorEastAsia" w:hint="eastAsia"/>
              </w:rPr>
              <w:t>0</w:t>
            </w:r>
            <w:r w:rsidRPr="004D46AC">
              <w:t>.001) *</w:t>
            </w:r>
          </w:p>
        </w:tc>
        <w:tc>
          <w:tcPr>
            <w:tcW w:w="1618" w:type="dxa"/>
            <w:vMerge w:val="restart"/>
            <w:vAlign w:val="center"/>
          </w:tcPr>
          <w:p w14:paraId="54C78C49" w14:textId="77777777" w:rsidR="003D5CB6" w:rsidRPr="004D46AC" w:rsidRDefault="003D5CB6" w:rsidP="00B518F1">
            <w:pPr>
              <w:spacing w:line="360" w:lineRule="auto"/>
              <w:ind w:firstLine="0"/>
              <w:jc w:val="center"/>
            </w:pPr>
            <w:r w:rsidRPr="004D46AC">
              <w:t>21.45***</w:t>
            </w:r>
          </w:p>
        </w:tc>
        <w:tc>
          <w:tcPr>
            <w:tcW w:w="1077" w:type="dxa"/>
            <w:vMerge w:val="restart"/>
            <w:vAlign w:val="center"/>
          </w:tcPr>
          <w:p w14:paraId="065D9D5F" w14:textId="77777777" w:rsidR="003D5CB6" w:rsidRPr="004D46AC" w:rsidRDefault="003D5CB6" w:rsidP="00B518F1">
            <w:pPr>
              <w:spacing w:line="360" w:lineRule="auto"/>
              <w:ind w:firstLine="0"/>
              <w:jc w:val="center"/>
            </w:pPr>
            <w:r w:rsidRPr="004D46AC">
              <w:t>.15</w:t>
            </w:r>
          </w:p>
        </w:tc>
        <w:tc>
          <w:tcPr>
            <w:tcW w:w="1848" w:type="dxa"/>
            <w:vMerge w:val="restart"/>
            <w:vAlign w:val="center"/>
          </w:tcPr>
          <w:p w14:paraId="506AF89D" w14:textId="77777777" w:rsidR="003D5CB6" w:rsidRPr="004D46AC" w:rsidRDefault="003D5CB6" w:rsidP="00B518F1">
            <w:pPr>
              <w:spacing w:line="360" w:lineRule="auto"/>
              <w:ind w:firstLine="0"/>
              <w:jc w:val="center"/>
            </w:pPr>
            <w:r w:rsidRPr="004D46AC">
              <w:t>.02 [.02, .03]</w:t>
            </w:r>
          </w:p>
        </w:tc>
        <w:tc>
          <w:tcPr>
            <w:tcW w:w="1926" w:type="dxa"/>
            <w:vMerge w:val="restart"/>
            <w:vAlign w:val="center"/>
          </w:tcPr>
          <w:p w14:paraId="32D0743B" w14:textId="77777777" w:rsidR="003D5CB6" w:rsidRPr="004D46AC" w:rsidRDefault="003D5CB6" w:rsidP="00B518F1">
            <w:pPr>
              <w:spacing w:line="360" w:lineRule="auto"/>
              <w:ind w:firstLine="0"/>
              <w:jc w:val="center"/>
            </w:pPr>
            <w:r w:rsidRPr="004D46AC">
              <w:t xml:space="preserve">96.97 </w:t>
            </w:r>
          </w:p>
          <w:p w14:paraId="0207C312" w14:textId="77777777" w:rsidR="003D5CB6" w:rsidRPr="004D46AC" w:rsidRDefault="003D5CB6" w:rsidP="00B518F1">
            <w:pPr>
              <w:spacing w:line="360" w:lineRule="auto"/>
              <w:ind w:firstLine="0"/>
              <w:jc w:val="center"/>
            </w:pPr>
            <w:r w:rsidRPr="004D46AC">
              <w:t>[96.05, 97.80]</w:t>
            </w:r>
          </w:p>
        </w:tc>
      </w:tr>
      <w:tr w:rsidR="003D5CB6" w:rsidRPr="004D46AC" w14:paraId="126BFFC8" w14:textId="77777777" w:rsidTr="00B518F1">
        <w:trPr>
          <w:trHeight w:val="314"/>
          <w:jc w:val="center"/>
        </w:trPr>
        <w:tc>
          <w:tcPr>
            <w:tcW w:w="2678" w:type="dxa"/>
            <w:vMerge/>
            <w:vAlign w:val="center"/>
          </w:tcPr>
          <w:p w14:paraId="06D32B69" w14:textId="77777777" w:rsidR="003D5CB6" w:rsidRPr="004D46AC" w:rsidRDefault="003D5CB6" w:rsidP="00B518F1">
            <w:pPr>
              <w:spacing w:line="360" w:lineRule="auto"/>
              <w:ind w:firstLine="0"/>
              <w:jc w:val="center"/>
              <w:rPr>
                <w:b/>
                <w:bCs/>
              </w:rPr>
            </w:pPr>
          </w:p>
        </w:tc>
        <w:tc>
          <w:tcPr>
            <w:tcW w:w="2213" w:type="dxa"/>
            <w:vAlign w:val="center"/>
          </w:tcPr>
          <w:p w14:paraId="6E350BC5" w14:textId="77777777" w:rsidR="003D5CB6" w:rsidRPr="004D46AC" w:rsidRDefault="003D5CB6" w:rsidP="00B518F1">
            <w:pPr>
              <w:spacing w:line="360" w:lineRule="auto"/>
              <w:ind w:firstLine="0"/>
              <w:jc w:val="center"/>
            </w:pPr>
            <w:r w:rsidRPr="004D46AC">
              <w:t>Bipolar type</w:t>
            </w:r>
          </w:p>
        </w:tc>
        <w:tc>
          <w:tcPr>
            <w:tcW w:w="2241" w:type="dxa"/>
            <w:vAlign w:val="center"/>
          </w:tcPr>
          <w:p w14:paraId="0411805A" w14:textId="77777777" w:rsidR="003D5CB6" w:rsidRPr="004D46AC" w:rsidRDefault="003D5CB6" w:rsidP="00B518F1">
            <w:pPr>
              <w:spacing w:line="360" w:lineRule="auto"/>
              <w:ind w:firstLine="0"/>
              <w:jc w:val="center"/>
            </w:pPr>
            <w:r w:rsidRPr="004D46AC">
              <w:rPr>
                <w:rFonts w:eastAsiaTheme="minorEastAsia" w:hint="eastAsia"/>
              </w:rPr>
              <w:t>0</w:t>
            </w:r>
            <w:r w:rsidRPr="004D46AC">
              <w:t>.14 (</w:t>
            </w:r>
            <w:r w:rsidRPr="004D46AC">
              <w:rPr>
                <w:rFonts w:eastAsiaTheme="minorEastAsia" w:hint="eastAsia"/>
              </w:rPr>
              <w:t>0</w:t>
            </w:r>
            <w:r w:rsidRPr="004D46AC">
              <w:t>.04) ***</w:t>
            </w:r>
          </w:p>
        </w:tc>
        <w:tc>
          <w:tcPr>
            <w:tcW w:w="1618" w:type="dxa"/>
            <w:vMerge/>
            <w:vAlign w:val="center"/>
          </w:tcPr>
          <w:p w14:paraId="2E75B2DF" w14:textId="77777777" w:rsidR="003D5CB6" w:rsidRPr="004D46AC" w:rsidRDefault="003D5CB6" w:rsidP="00B518F1">
            <w:pPr>
              <w:spacing w:line="360" w:lineRule="auto"/>
              <w:ind w:firstLine="0"/>
              <w:jc w:val="center"/>
            </w:pPr>
          </w:p>
        </w:tc>
        <w:tc>
          <w:tcPr>
            <w:tcW w:w="1077" w:type="dxa"/>
            <w:vMerge/>
            <w:vAlign w:val="center"/>
          </w:tcPr>
          <w:p w14:paraId="745BD4FF" w14:textId="77777777" w:rsidR="003D5CB6" w:rsidRPr="004D46AC" w:rsidRDefault="003D5CB6" w:rsidP="00B518F1">
            <w:pPr>
              <w:spacing w:line="360" w:lineRule="auto"/>
              <w:ind w:firstLine="0"/>
              <w:jc w:val="center"/>
            </w:pPr>
          </w:p>
        </w:tc>
        <w:tc>
          <w:tcPr>
            <w:tcW w:w="1848" w:type="dxa"/>
            <w:vMerge/>
            <w:vAlign w:val="center"/>
          </w:tcPr>
          <w:p w14:paraId="02073F7D" w14:textId="77777777" w:rsidR="003D5CB6" w:rsidRPr="004D46AC" w:rsidRDefault="003D5CB6" w:rsidP="00B518F1">
            <w:pPr>
              <w:spacing w:line="360" w:lineRule="auto"/>
              <w:ind w:firstLine="0"/>
              <w:jc w:val="center"/>
            </w:pPr>
          </w:p>
        </w:tc>
        <w:tc>
          <w:tcPr>
            <w:tcW w:w="1926" w:type="dxa"/>
            <w:vMerge/>
            <w:vAlign w:val="center"/>
          </w:tcPr>
          <w:p w14:paraId="6B1B53D5" w14:textId="77777777" w:rsidR="003D5CB6" w:rsidRPr="004D46AC" w:rsidRDefault="003D5CB6" w:rsidP="00B518F1">
            <w:pPr>
              <w:spacing w:line="360" w:lineRule="auto"/>
              <w:ind w:firstLine="0"/>
              <w:jc w:val="center"/>
            </w:pPr>
          </w:p>
        </w:tc>
      </w:tr>
      <w:tr w:rsidR="003D5CB6" w:rsidRPr="004D46AC" w14:paraId="6855DDD5" w14:textId="77777777" w:rsidTr="00B518F1">
        <w:trPr>
          <w:trHeight w:val="306"/>
          <w:jc w:val="center"/>
        </w:trPr>
        <w:tc>
          <w:tcPr>
            <w:tcW w:w="2678" w:type="dxa"/>
            <w:vMerge w:val="restart"/>
            <w:vAlign w:val="center"/>
          </w:tcPr>
          <w:p w14:paraId="54404757" w14:textId="77777777" w:rsidR="003D5CB6" w:rsidRPr="004D46AC" w:rsidRDefault="003D5CB6" w:rsidP="00B518F1">
            <w:pPr>
              <w:spacing w:line="360" w:lineRule="auto"/>
              <w:ind w:firstLine="0"/>
              <w:jc w:val="center"/>
              <w:rPr>
                <w:b/>
                <w:bCs/>
              </w:rPr>
            </w:pPr>
            <w:r w:rsidRPr="004D46AC">
              <w:rPr>
                <w:b/>
                <w:bCs/>
              </w:rPr>
              <w:t>LP-Bipolar I</w:t>
            </w:r>
          </w:p>
        </w:tc>
        <w:tc>
          <w:tcPr>
            <w:tcW w:w="2213" w:type="dxa"/>
            <w:vAlign w:val="center"/>
          </w:tcPr>
          <w:p w14:paraId="40FDAA79" w14:textId="77777777" w:rsidR="003D5CB6" w:rsidRPr="004D46AC" w:rsidRDefault="003D5CB6" w:rsidP="00B518F1">
            <w:pPr>
              <w:spacing w:line="360" w:lineRule="auto"/>
              <w:ind w:firstLine="0"/>
              <w:jc w:val="center"/>
            </w:pPr>
            <w:r w:rsidRPr="004D46AC">
              <w:t>Psychosis type</w:t>
            </w:r>
          </w:p>
        </w:tc>
        <w:tc>
          <w:tcPr>
            <w:tcW w:w="2241" w:type="dxa"/>
            <w:vAlign w:val="center"/>
          </w:tcPr>
          <w:p w14:paraId="5E81C3F0" w14:textId="77777777" w:rsidR="003D5CB6" w:rsidRPr="004D46AC" w:rsidRDefault="003D5CB6" w:rsidP="00B518F1">
            <w:pPr>
              <w:spacing w:line="360" w:lineRule="auto"/>
              <w:ind w:firstLine="0"/>
              <w:jc w:val="center"/>
            </w:pPr>
            <w:r w:rsidRPr="004D46AC">
              <w:rPr>
                <w:rFonts w:eastAsiaTheme="minorEastAsia" w:hint="eastAsia"/>
              </w:rPr>
              <w:t>0</w:t>
            </w:r>
            <w:r w:rsidRPr="004D46AC">
              <w:t>.13 (</w:t>
            </w:r>
            <w:r w:rsidRPr="004D46AC">
              <w:rPr>
                <w:rFonts w:eastAsiaTheme="minorEastAsia" w:hint="eastAsia"/>
              </w:rPr>
              <w:t>0</w:t>
            </w:r>
            <w:r w:rsidRPr="004D46AC">
              <w:t>.06) *</w:t>
            </w:r>
          </w:p>
        </w:tc>
        <w:tc>
          <w:tcPr>
            <w:tcW w:w="1618" w:type="dxa"/>
            <w:vMerge w:val="restart"/>
            <w:vAlign w:val="center"/>
          </w:tcPr>
          <w:p w14:paraId="3346C22D" w14:textId="77777777" w:rsidR="003D5CB6" w:rsidRPr="004D46AC" w:rsidRDefault="003D5CB6" w:rsidP="00B518F1">
            <w:pPr>
              <w:spacing w:line="360" w:lineRule="auto"/>
              <w:ind w:firstLine="0"/>
              <w:jc w:val="center"/>
            </w:pPr>
            <w:r w:rsidRPr="004D46AC">
              <w:t>15.32*</w:t>
            </w:r>
          </w:p>
        </w:tc>
        <w:tc>
          <w:tcPr>
            <w:tcW w:w="1077" w:type="dxa"/>
            <w:vMerge w:val="restart"/>
            <w:vAlign w:val="center"/>
          </w:tcPr>
          <w:p w14:paraId="3C941915" w14:textId="77777777" w:rsidR="003D5CB6" w:rsidRPr="004D46AC" w:rsidRDefault="003D5CB6" w:rsidP="00B518F1">
            <w:pPr>
              <w:spacing w:line="360" w:lineRule="auto"/>
              <w:ind w:firstLine="0"/>
              <w:jc w:val="center"/>
            </w:pPr>
            <w:r w:rsidRPr="004D46AC">
              <w:t>.32</w:t>
            </w:r>
          </w:p>
        </w:tc>
        <w:tc>
          <w:tcPr>
            <w:tcW w:w="1848" w:type="dxa"/>
            <w:vMerge w:val="restart"/>
            <w:vAlign w:val="center"/>
          </w:tcPr>
          <w:p w14:paraId="18930137" w14:textId="77777777" w:rsidR="003D5CB6" w:rsidRPr="004D46AC" w:rsidRDefault="003D5CB6" w:rsidP="00B518F1">
            <w:pPr>
              <w:spacing w:line="360" w:lineRule="auto"/>
              <w:ind w:firstLine="0"/>
              <w:jc w:val="center"/>
            </w:pPr>
            <w:r w:rsidRPr="004D46AC">
              <w:t>.01 [.003, .01]</w:t>
            </w:r>
          </w:p>
        </w:tc>
        <w:tc>
          <w:tcPr>
            <w:tcW w:w="1926" w:type="dxa"/>
            <w:vMerge w:val="restart"/>
            <w:vAlign w:val="center"/>
          </w:tcPr>
          <w:p w14:paraId="5AA25280" w14:textId="77777777" w:rsidR="003D5CB6" w:rsidRPr="004D46AC" w:rsidRDefault="003D5CB6" w:rsidP="00B518F1">
            <w:pPr>
              <w:spacing w:line="360" w:lineRule="auto"/>
              <w:ind w:firstLine="0"/>
              <w:jc w:val="center"/>
            </w:pPr>
            <w:r w:rsidRPr="004D46AC">
              <w:t xml:space="preserve">80.54 </w:t>
            </w:r>
          </w:p>
          <w:p w14:paraId="2043E932" w14:textId="77777777" w:rsidR="003D5CB6" w:rsidRPr="004D46AC" w:rsidRDefault="003D5CB6" w:rsidP="00B518F1">
            <w:pPr>
              <w:spacing w:line="360" w:lineRule="auto"/>
              <w:ind w:firstLine="0"/>
              <w:jc w:val="center"/>
            </w:pPr>
            <w:r w:rsidRPr="004D46AC">
              <w:t>[66.88, 89.90]</w:t>
            </w:r>
          </w:p>
        </w:tc>
      </w:tr>
      <w:tr w:rsidR="003D5CB6" w:rsidRPr="004D46AC" w14:paraId="16FB4E29" w14:textId="77777777" w:rsidTr="00B518F1">
        <w:trPr>
          <w:trHeight w:val="306"/>
          <w:jc w:val="center"/>
        </w:trPr>
        <w:tc>
          <w:tcPr>
            <w:tcW w:w="2678" w:type="dxa"/>
            <w:vMerge/>
            <w:vAlign w:val="center"/>
          </w:tcPr>
          <w:p w14:paraId="412C16D6" w14:textId="77777777" w:rsidR="003D5CB6" w:rsidRPr="004D46AC" w:rsidRDefault="003D5CB6" w:rsidP="00B518F1">
            <w:pPr>
              <w:spacing w:line="360" w:lineRule="auto"/>
              <w:ind w:firstLine="0"/>
              <w:jc w:val="center"/>
              <w:rPr>
                <w:b/>
                <w:bCs/>
              </w:rPr>
            </w:pPr>
          </w:p>
        </w:tc>
        <w:tc>
          <w:tcPr>
            <w:tcW w:w="2213" w:type="dxa"/>
            <w:vAlign w:val="center"/>
          </w:tcPr>
          <w:p w14:paraId="5374DD24" w14:textId="77777777" w:rsidR="003D5CB6" w:rsidRPr="004D46AC" w:rsidRDefault="003D5CB6" w:rsidP="00B518F1">
            <w:pPr>
              <w:spacing w:line="360" w:lineRule="auto"/>
              <w:ind w:firstLine="0"/>
              <w:jc w:val="center"/>
            </w:pPr>
            <w:r w:rsidRPr="004D46AC">
              <w:t>First level evidence</w:t>
            </w:r>
          </w:p>
        </w:tc>
        <w:tc>
          <w:tcPr>
            <w:tcW w:w="2241" w:type="dxa"/>
            <w:vAlign w:val="center"/>
          </w:tcPr>
          <w:p w14:paraId="4554A045" w14:textId="77777777" w:rsidR="003D5CB6" w:rsidRPr="004D46AC" w:rsidRDefault="003D5CB6" w:rsidP="00B518F1">
            <w:pPr>
              <w:spacing w:line="360" w:lineRule="auto"/>
              <w:ind w:firstLine="0"/>
              <w:jc w:val="center"/>
            </w:pPr>
            <w:r w:rsidRPr="004D46AC">
              <w:rPr>
                <w:rFonts w:eastAsiaTheme="minorEastAsia" w:hint="eastAsia"/>
              </w:rPr>
              <w:t>0</w:t>
            </w:r>
            <w:r w:rsidRPr="004D46AC">
              <w:t>.09 (</w:t>
            </w:r>
            <w:r w:rsidRPr="004D46AC">
              <w:rPr>
                <w:rFonts w:eastAsiaTheme="minorEastAsia" w:hint="eastAsia"/>
              </w:rPr>
              <w:t>0</w:t>
            </w:r>
            <w:r w:rsidRPr="004D46AC">
              <w:t>.04) *</w:t>
            </w:r>
          </w:p>
        </w:tc>
        <w:tc>
          <w:tcPr>
            <w:tcW w:w="1618" w:type="dxa"/>
            <w:vMerge/>
            <w:vAlign w:val="center"/>
          </w:tcPr>
          <w:p w14:paraId="5A954A03" w14:textId="77777777" w:rsidR="003D5CB6" w:rsidRPr="004D46AC" w:rsidRDefault="003D5CB6" w:rsidP="00B518F1">
            <w:pPr>
              <w:spacing w:line="360" w:lineRule="auto"/>
              <w:ind w:firstLine="0"/>
              <w:jc w:val="center"/>
            </w:pPr>
          </w:p>
        </w:tc>
        <w:tc>
          <w:tcPr>
            <w:tcW w:w="1077" w:type="dxa"/>
            <w:vMerge/>
            <w:vAlign w:val="center"/>
          </w:tcPr>
          <w:p w14:paraId="2C4531DA" w14:textId="77777777" w:rsidR="003D5CB6" w:rsidRPr="004D46AC" w:rsidRDefault="003D5CB6" w:rsidP="00B518F1">
            <w:pPr>
              <w:spacing w:line="360" w:lineRule="auto"/>
              <w:ind w:firstLine="0"/>
              <w:jc w:val="center"/>
            </w:pPr>
          </w:p>
        </w:tc>
        <w:tc>
          <w:tcPr>
            <w:tcW w:w="1848" w:type="dxa"/>
            <w:vMerge/>
            <w:vAlign w:val="center"/>
          </w:tcPr>
          <w:p w14:paraId="75964D16" w14:textId="77777777" w:rsidR="003D5CB6" w:rsidRPr="004D46AC" w:rsidRDefault="003D5CB6" w:rsidP="00B518F1">
            <w:pPr>
              <w:spacing w:line="360" w:lineRule="auto"/>
              <w:ind w:firstLine="0"/>
              <w:jc w:val="center"/>
            </w:pPr>
          </w:p>
        </w:tc>
        <w:tc>
          <w:tcPr>
            <w:tcW w:w="1926" w:type="dxa"/>
            <w:vMerge/>
            <w:vAlign w:val="center"/>
          </w:tcPr>
          <w:p w14:paraId="22183D7B" w14:textId="77777777" w:rsidR="003D5CB6" w:rsidRPr="004D46AC" w:rsidRDefault="003D5CB6" w:rsidP="00B518F1">
            <w:pPr>
              <w:spacing w:line="360" w:lineRule="auto"/>
              <w:ind w:firstLine="0"/>
              <w:jc w:val="center"/>
            </w:pPr>
          </w:p>
        </w:tc>
      </w:tr>
      <w:tr w:rsidR="003D5CB6" w:rsidRPr="004D46AC" w14:paraId="632F98FE" w14:textId="77777777" w:rsidTr="00B518F1">
        <w:trPr>
          <w:trHeight w:val="306"/>
          <w:jc w:val="center"/>
        </w:trPr>
        <w:tc>
          <w:tcPr>
            <w:tcW w:w="2678" w:type="dxa"/>
            <w:vMerge w:val="restart"/>
            <w:vAlign w:val="center"/>
          </w:tcPr>
          <w:p w14:paraId="41F23065" w14:textId="77777777" w:rsidR="003D5CB6" w:rsidRPr="004D46AC" w:rsidRDefault="003D5CB6" w:rsidP="00B518F1">
            <w:pPr>
              <w:spacing w:line="360" w:lineRule="auto"/>
              <w:ind w:firstLine="0"/>
              <w:jc w:val="center"/>
              <w:rPr>
                <w:b/>
                <w:bCs/>
              </w:rPr>
            </w:pPr>
            <w:r w:rsidRPr="004D46AC">
              <w:rPr>
                <w:b/>
                <w:bCs/>
              </w:rPr>
              <w:t>LP-Bipolar II</w:t>
            </w:r>
          </w:p>
        </w:tc>
        <w:tc>
          <w:tcPr>
            <w:tcW w:w="2213" w:type="dxa"/>
            <w:vAlign w:val="center"/>
          </w:tcPr>
          <w:p w14:paraId="033760B2" w14:textId="77777777" w:rsidR="003D5CB6" w:rsidRPr="004D46AC" w:rsidRDefault="003D5CB6" w:rsidP="00B518F1">
            <w:pPr>
              <w:spacing w:line="360" w:lineRule="auto"/>
              <w:ind w:firstLine="0"/>
              <w:jc w:val="center"/>
            </w:pPr>
            <w:r w:rsidRPr="004D46AC">
              <w:t>Age</w:t>
            </w:r>
          </w:p>
        </w:tc>
        <w:tc>
          <w:tcPr>
            <w:tcW w:w="2241" w:type="dxa"/>
            <w:vAlign w:val="center"/>
          </w:tcPr>
          <w:p w14:paraId="7E854382" w14:textId="77777777" w:rsidR="003D5CB6" w:rsidRPr="004D46AC" w:rsidRDefault="003D5CB6" w:rsidP="00B518F1">
            <w:pPr>
              <w:spacing w:line="360" w:lineRule="auto"/>
              <w:ind w:firstLine="0"/>
              <w:jc w:val="center"/>
            </w:pPr>
            <w:r w:rsidRPr="004D46AC">
              <w:rPr>
                <w:rFonts w:eastAsiaTheme="minorEastAsia" w:hint="eastAsia"/>
              </w:rPr>
              <w:t>0</w:t>
            </w:r>
            <w:r w:rsidRPr="004D46AC">
              <w:t>.01 (</w:t>
            </w:r>
            <w:r w:rsidRPr="004D46AC">
              <w:rPr>
                <w:rFonts w:eastAsiaTheme="minorEastAsia" w:hint="eastAsia"/>
              </w:rPr>
              <w:t>0</w:t>
            </w:r>
            <w:r w:rsidRPr="004D46AC">
              <w:t>.004) **</w:t>
            </w:r>
          </w:p>
        </w:tc>
        <w:tc>
          <w:tcPr>
            <w:tcW w:w="1618" w:type="dxa"/>
            <w:vMerge w:val="restart"/>
            <w:vAlign w:val="center"/>
          </w:tcPr>
          <w:p w14:paraId="597BD0EE" w14:textId="77777777" w:rsidR="003D5CB6" w:rsidRPr="004D46AC" w:rsidRDefault="003D5CB6" w:rsidP="00B518F1">
            <w:pPr>
              <w:spacing w:line="360" w:lineRule="auto"/>
              <w:ind w:firstLine="0"/>
              <w:jc w:val="center"/>
            </w:pPr>
            <w:r w:rsidRPr="004D46AC">
              <w:t>16.32**</w:t>
            </w:r>
          </w:p>
        </w:tc>
        <w:tc>
          <w:tcPr>
            <w:tcW w:w="1077" w:type="dxa"/>
            <w:vMerge w:val="restart"/>
            <w:vAlign w:val="center"/>
          </w:tcPr>
          <w:p w14:paraId="7E0B3138" w14:textId="77777777" w:rsidR="003D5CB6" w:rsidRPr="004D46AC" w:rsidRDefault="003D5CB6" w:rsidP="00B518F1">
            <w:pPr>
              <w:spacing w:line="360" w:lineRule="auto"/>
              <w:ind w:firstLine="0"/>
              <w:jc w:val="center"/>
            </w:pPr>
            <w:r w:rsidRPr="004D46AC">
              <w:t>.64</w:t>
            </w:r>
          </w:p>
        </w:tc>
        <w:tc>
          <w:tcPr>
            <w:tcW w:w="1848" w:type="dxa"/>
            <w:vMerge w:val="restart"/>
            <w:vAlign w:val="center"/>
          </w:tcPr>
          <w:p w14:paraId="0E6C2DBA" w14:textId="77777777" w:rsidR="003D5CB6" w:rsidRPr="004D46AC" w:rsidRDefault="003D5CB6" w:rsidP="00B518F1">
            <w:pPr>
              <w:spacing w:line="360" w:lineRule="auto"/>
              <w:ind w:firstLine="0"/>
              <w:jc w:val="center"/>
            </w:pPr>
            <w:r w:rsidRPr="004D46AC">
              <w:t>.01 [.002, .02]</w:t>
            </w:r>
          </w:p>
        </w:tc>
        <w:tc>
          <w:tcPr>
            <w:tcW w:w="1926" w:type="dxa"/>
            <w:vMerge w:val="restart"/>
            <w:vAlign w:val="center"/>
          </w:tcPr>
          <w:p w14:paraId="67230020" w14:textId="77777777" w:rsidR="003D5CB6" w:rsidRPr="004D46AC" w:rsidRDefault="003D5CB6" w:rsidP="00B518F1">
            <w:pPr>
              <w:spacing w:line="360" w:lineRule="auto"/>
              <w:ind w:firstLine="0"/>
              <w:jc w:val="center"/>
            </w:pPr>
            <w:r w:rsidRPr="004D46AC">
              <w:t xml:space="preserve">79.09 </w:t>
            </w:r>
          </w:p>
          <w:p w14:paraId="44C8B75F" w14:textId="77777777" w:rsidR="003D5CB6" w:rsidRPr="004D46AC" w:rsidRDefault="003D5CB6" w:rsidP="00B518F1">
            <w:pPr>
              <w:spacing w:line="360" w:lineRule="auto"/>
              <w:ind w:firstLine="0"/>
              <w:jc w:val="center"/>
            </w:pPr>
            <w:r w:rsidRPr="004D46AC">
              <w:t>[52.37, 93.14]</w:t>
            </w:r>
          </w:p>
        </w:tc>
      </w:tr>
      <w:tr w:rsidR="003D5CB6" w:rsidRPr="004D46AC" w14:paraId="22285C25" w14:textId="77777777" w:rsidTr="00B518F1">
        <w:trPr>
          <w:trHeight w:val="306"/>
          <w:jc w:val="center"/>
        </w:trPr>
        <w:tc>
          <w:tcPr>
            <w:tcW w:w="2678" w:type="dxa"/>
            <w:vMerge/>
            <w:vAlign w:val="center"/>
          </w:tcPr>
          <w:p w14:paraId="340D2E2D" w14:textId="77777777" w:rsidR="003D5CB6" w:rsidRPr="004D46AC" w:rsidRDefault="003D5CB6" w:rsidP="00B518F1">
            <w:pPr>
              <w:spacing w:line="360" w:lineRule="auto"/>
              <w:ind w:firstLine="0"/>
              <w:jc w:val="center"/>
              <w:rPr>
                <w:b/>
                <w:bCs/>
              </w:rPr>
            </w:pPr>
          </w:p>
        </w:tc>
        <w:tc>
          <w:tcPr>
            <w:tcW w:w="2213" w:type="dxa"/>
            <w:vAlign w:val="center"/>
          </w:tcPr>
          <w:p w14:paraId="78B14F62" w14:textId="77777777" w:rsidR="003D5CB6" w:rsidRPr="004D46AC" w:rsidRDefault="003D5CB6" w:rsidP="00B518F1">
            <w:pPr>
              <w:spacing w:line="360" w:lineRule="auto"/>
              <w:ind w:firstLine="0"/>
              <w:jc w:val="center"/>
            </w:pPr>
            <w:r w:rsidRPr="004D46AC">
              <w:t>Gender</w:t>
            </w:r>
          </w:p>
        </w:tc>
        <w:tc>
          <w:tcPr>
            <w:tcW w:w="2241" w:type="dxa"/>
            <w:vAlign w:val="center"/>
          </w:tcPr>
          <w:p w14:paraId="453F570A"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.01 (</w:t>
            </w:r>
            <w:r w:rsidRPr="004D46AC">
              <w:rPr>
                <w:rFonts w:eastAsiaTheme="minorEastAsia" w:hint="eastAsia"/>
              </w:rPr>
              <w:t>0.</w:t>
            </w:r>
            <w:r w:rsidRPr="004D46AC">
              <w:t>004) *</w:t>
            </w:r>
          </w:p>
        </w:tc>
        <w:tc>
          <w:tcPr>
            <w:tcW w:w="1618" w:type="dxa"/>
            <w:vMerge/>
            <w:vAlign w:val="center"/>
          </w:tcPr>
          <w:p w14:paraId="29FAFEF7" w14:textId="77777777" w:rsidR="003D5CB6" w:rsidRPr="004D46AC" w:rsidRDefault="003D5CB6" w:rsidP="00B518F1">
            <w:pPr>
              <w:spacing w:line="360" w:lineRule="auto"/>
              <w:ind w:firstLine="0"/>
              <w:jc w:val="center"/>
            </w:pPr>
          </w:p>
        </w:tc>
        <w:tc>
          <w:tcPr>
            <w:tcW w:w="1077" w:type="dxa"/>
            <w:vMerge/>
            <w:vAlign w:val="center"/>
          </w:tcPr>
          <w:p w14:paraId="1D140587" w14:textId="77777777" w:rsidR="003D5CB6" w:rsidRPr="004D46AC" w:rsidRDefault="003D5CB6" w:rsidP="00B518F1">
            <w:pPr>
              <w:spacing w:line="360" w:lineRule="auto"/>
              <w:ind w:firstLine="0"/>
              <w:jc w:val="center"/>
            </w:pPr>
          </w:p>
        </w:tc>
        <w:tc>
          <w:tcPr>
            <w:tcW w:w="1848" w:type="dxa"/>
            <w:vMerge/>
            <w:vAlign w:val="center"/>
          </w:tcPr>
          <w:p w14:paraId="2424BD93" w14:textId="77777777" w:rsidR="003D5CB6" w:rsidRPr="004D46AC" w:rsidRDefault="003D5CB6" w:rsidP="00B518F1">
            <w:pPr>
              <w:spacing w:line="360" w:lineRule="auto"/>
              <w:ind w:firstLine="0"/>
              <w:jc w:val="center"/>
            </w:pPr>
          </w:p>
        </w:tc>
        <w:tc>
          <w:tcPr>
            <w:tcW w:w="1926" w:type="dxa"/>
            <w:vMerge/>
            <w:vAlign w:val="center"/>
          </w:tcPr>
          <w:p w14:paraId="3089665A" w14:textId="77777777" w:rsidR="003D5CB6" w:rsidRPr="004D46AC" w:rsidRDefault="003D5CB6" w:rsidP="00B518F1">
            <w:pPr>
              <w:spacing w:line="360" w:lineRule="auto"/>
              <w:ind w:firstLine="0"/>
              <w:jc w:val="center"/>
            </w:pPr>
          </w:p>
        </w:tc>
      </w:tr>
      <w:tr w:rsidR="003D5CB6" w:rsidRPr="004D46AC" w14:paraId="26204B03" w14:textId="77777777" w:rsidTr="00B518F1">
        <w:trPr>
          <w:trHeight w:val="306"/>
          <w:jc w:val="center"/>
        </w:trPr>
        <w:tc>
          <w:tcPr>
            <w:tcW w:w="2678" w:type="dxa"/>
            <w:vAlign w:val="center"/>
          </w:tcPr>
          <w:p w14:paraId="0163BBEE" w14:textId="77777777" w:rsidR="003D5CB6" w:rsidRPr="004D46AC" w:rsidRDefault="003D5CB6" w:rsidP="00B518F1">
            <w:pPr>
              <w:spacing w:line="360" w:lineRule="auto"/>
              <w:ind w:firstLine="0"/>
              <w:jc w:val="center"/>
              <w:rPr>
                <w:b/>
                <w:bCs/>
              </w:rPr>
            </w:pPr>
            <w:r w:rsidRPr="004D46AC">
              <w:rPr>
                <w:b/>
                <w:bCs/>
              </w:rPr>
              <w:t>LP-Depressive</w:t>
            </w:r>
          </w:p>
        </w:tc>
        <w:tc>
          <w:tcPr>
            <w:tcW w:w="2213" w:type="dxa"/>
            <w:vAlign w:val="center"/>
          </w:tcPr>
          <w:p w14:paraId="6A2D4DAF" w14:textId="77777777" w:rsidR="003D5CB6" w:rsidRPr="004D46AC" w:rsidRDefault="003D5CB6" w:rsidP="00B518F1">
            <w:pPr>
              <w:spacing w:line="360" w:lineRule="auto"/>
              <w:ind w:firstLine="0"/>
              <w:jc w:val="center"/>
            </w:pPr>
            <w:r w:rsidRPr="004D46AC">
              <w:t>Bipolar type</w:t>
            </w:r>
          </w:p>
        </w:tc>
        <w:tc>
          <w:tcPr>
            <w:tcW w:w="2241" w:type="dxa"/>
            <w:vAlign w:val="center"/>
          </w:tcPr>
          <w:p w14:paraId="670A2391" w14:textId="77777777" w:rsidR="003D5CB6" w:rsidRPr="004D46AC" w:rsidRDefault="003D5CB6" w:rsidP="00B518F1">
            <w:pPr>
              <w:spacing w:line="360" w:lineRule="auto"/>
              <w:ind w:firstLine="0"/>
              <w:jc w:val="center"/>
            </w:pPr>
            <w:r w:rsidRPr="004D46AC">
              <w:rPr>
                <w:rFonts w:eastAsiaTheme="minorEastAsia" w:hint="eastAsia"/>
              </w:rPr>
              <w:t>0</w:t>
            </w:r>
            <w:r w:rsidRPr="004D46AC">
              <w:t>.32 (</w:t>
            </w:r>
            <w:r w:rsidRPr="004D46AC">
              <w:rPr>
                <w:rFonts w:eastAsiaTheme="minorEastAsia" w:hint="eastAsia"/>
              </w:rPr>
              <w:t>0</w:t>
            </w:r>
            <w:r w:rsidRPr="004D46AC">
              <w:t>.07) ·</w:t>
            </w:r>
          </w:p>
        </w:tc>
        <w:tc>
          <w:tcPr>
            <w:tcW w:w="1618" w:type="dxa"/>
            <w:vAlign w:val="center"/>
          </w:tcPr>
          <w:p w14:paraId="0B0353AF" w14:textId="77777777" w:rsidR="003D5CB6" w:rsidRPr="004D46AC" w:rsidRDefault="003D5CB6" w:rsidP="00B518F1">
            <w:pPr>
              <w:spacing w:line="360" w:lineRule="auto"/>
              <w:ind w:firstLine="0"/>
              <w:jc w:val="center"/>
            </w:pPr>
            <w:r w:rsidRPr="004D46AC">
              <w:t>21.58 ·</w:t>
            </w:r>
          </w:p>
        </w:tc>
        <w:tc>
          <w:tcPr>
            <w:tcW w:w="1077" w:type="dxa"/>
            <w:vAlign w:val="center"/>
          </w:tcPr>
          <w:p w14:paraId="19AE2A88" w14:textId="77777777" w:rsidR="003D5CB6" w:rsidRPr="004D46AC" w:rsidRDefault="003D5CB6" w:rsidP="00B518F1">
            <w:pPr>
              <w:spacing w:line="360" w:lineRule="auto"/>
              <w:ind w:firstLine="0"/>
              <w:jc w:val="center"/>
            </w:pPr>
            <w:r w:rsidRPr="004D46AC">
              <w:t>.85</w:t>
            </w:r>
          </w:p>
        </w:tc>
        <w:tc>
          <w:tcPr>
            <w:tcW w:w="1848" w:type="dxa"/>
            <w:vAlign w:val="center"/>
          </w:tcPr>
          <w:p w14:paraId="49A26199" w14:textId="77777777" w:rsidR="003D5CB6" w:rsidRPr="004D46AC" w:rsidRDefault="003D5CB6" w:rsidP="00B518F1">
            <w:pPr>
              <w:spacing w:line="360" w:lineRule="auto"/>
              <w:ind w:firstLine="0"/>
              <w:jc w:val="center"/>
            </w:pPr>
            <w:r w:rsidRPr="004D46AC">
              <w:t>.005 [.001, .04]</w:t>
            </w:r>
          </w:p>
        </w:tc>
        <w:tc>
          <w:tcPr>
            <w:tcW w:w="1926" w:type="dxa"/>
            <w:vAlign w:val="center"/>
          </w:tcPr>
          <w:p w14:paraId="7586FB47" w14:textId="77777777" w:rsidR="003D5CB6" w:rsidRPr="004D46AC" w:rsidRDefault="003D5CB6" w:rsidP="00B518F1">
            <w:pPr>
              <w:spacing w:line="360" w:lineRule="auto"/>
              <w:ind w:firstLine="0"/>
              <w:jc w:val="center"/>
            </w:pPr>
            <w:r w:rsidRPr="004D46AC">
              <w:t xml:space="preserve">72.96 </w:t>
            </w:r>
          </w:p>
          <w:p w14:paraId="5662C4AF" w14:textId="77777777" w:rsidR="003D5CB6" w:rsidRPr="004D46AC" w:rsidRDefault="003D5CB6" w:rsidP="00B518F1">
            <w:pPr>
              <w:spacing w:line="360" w:lineRule="auto"/>
              <w:ind w:firstLine="0"/>
              <w:jc w:val="center"/>
            </w:pPr>
            <w:r w:rsidRPr="004D46AC">
              <w:t>[28.78, 96.16]</w:t>
            </w:r>
          </w:p>
        </w:tc>
      </w:tr>
      <w:tr w:rsidR="003D5CB6" w:rsidRPr="004D46AC" w14:paraId="6A8C7A40" w14:textId="77777777" w:rsidTr="00B518F1">
        <w:trPr>
          <w:trHeight w:val="306"/>
          <w:jc w:val="center"/>
        </w:trPr>
        <w:tc>
          <w:tcPr>
            <w:tcW w:w="2678" w:type="dxa"/>
            <w:vMerge w:val="restart"/>
            <w:vAlign w:val="center"/>
          </w:tcPr>
          <w:p w14:paraId="3FEA78F9" w14:textId="77777777" w:rsidR="003D5CB6" w:rsidRPr="004D46AC" w:rsidRDefault="003D5CB6" w:rsidP="00B518F1">
            <w:pPr>
              <w:spacing w:line="360" w:lineRule="auto"/>
              <w:ind w:firstLine="0"/>
              <w:jc w:val="center"/>
              <w:rPr>
                <w:b/>
                <w:bCs/>
              </w:rPr>
            </w:pPr>
            <w:r w:rsidRPr="004D46AC">
              <w:rPr>
                <w:b/>
                <w:bCs/>
              </w:rPr>
              <w:t>Current psychosis</w:t>
            </w:r>
          </w:p>
        </w:tc>
        <w:tc>
          <w:tcPr>
            <w:tcW w:w="2213" w:type="dxa"/>
            <w:vAlign w:val="center"/>
          </w:tcPr>
          <w:p w14:paraId="212FBBDB" w14:textId="77777777" w:rsidR="003D5CB6" w:rsidRPr="004D46AC" w:rsidRDefault="003D5CB6" w:rsidP="00B518F1">
            <w:pPr>
              <w:spacing w:line="360" w:lineRule="auto"/>
              <w:ind w:firstLine="0"/>
              <w:jc w:val="center"/>
            </w:pPr>
            <w:r w:rsidRPr="004D46AC">
              <w:t>Bipolar type</w:t>
            </w:r>
          </w:p>
        </w:tc>
        <w:tc>
          <w:tcPr>
            <w:tcW w:w="2241" w:type="dxa"/>
            <w:vAlign w:val="center"/>
          </w:tcPr>
          <w:p w14:paraId="3F467A67" w14:textId="77777777" w:rsidR="003D5CB6" w:rsidRPr="004D46AC" w:rsidRDefault="003D5CB6" w:rsidP="00B518F1">
            <w:pPr>
              <w:spacing w:line="360" w:lineRule="auto"/>
              <w:ind w:firstLine="0"/>
              <w:jc w:val="center"/>
            </w:pPr>
            <w:r w:rsidRPr="004D46AC">
              <w:rPr>
                <w:rFonts w:eastAsiaTheme="minorEastAsia" w:hint="eastAsia"/>
              </w:rPr>
              <w:t>0</w:t>
            </w:r>
            <w:r w:rsidRPr="004D46AC">
              <w:t>.13 (</w:t>
            </w:r>
            <w:r w:rsidRPr="004D46AC">
              <w:rPr>
                <w:rFonts w:eastAsiaTheme="minorEastAsia" w:hint="eastAsia"/>
              </w:rPr>
              <w:t>0</w:t>
            </w:r>
            <w:r w:rsidRPr="004D46AC">
              <w:t>.05) **</w:t>
            </w:r>
          </w:p>
        </w:tc>
        <w:tc>
          <w:tcPr>
            <w:tcW w:w="1618" w:type="dxa"/>
            <w:vMerge w:val="restart"/>
            <w:vAlign w:val="center"/>
          </w:tcPr>
          <w:p w14:paraId="0DD2A3F4" w14:textId="77777777" w:rsidR="003D5CB6" w:rsidRPr="004D46AC" w:rsidRDefault="003D5CB6" w:rsidP="00B518F1">
            <w:pPr>
              <w:spacing w:line="360" w:lineRule="auto"/>
              <w:ind w:firstLine="0"/>
              <w:jc w:val="center"/>
            </w:pPr>
            <w:r w:rsidRPr="004D46AC">
              <w:t>31.14***</w:t>
            </w:r>
          </w:p>
        </w:tc>
        <w:tc>
          <w:tcPr>
            <w:tcW w:w="1077" w:type="dxa"/>
            <w:vMerge w:val="restart"/>
            <w:vAlign w:val="center"/>
          </w:tcPr>
          <w:p w14:paraId="64E875A5" w14:textId="77777777" w:rsidR="003D5CB6" w:rsidRPr="004D46AC" w:rsidRDefault="003D5CB6" w:rsidP="00B518F1">
            <w:pPr>
              <w:spacing w:line="360" w:lineRule="auto"/>
              <w:ind w:firstLine="0"/>
              <w:jc w:val="center"/>
            </w:pPr>
            <w:r w:rsidRPr="004D46AC">
              <w:t>.24</w:t>
            </w:r>
          </w:p>
        </w:tc>
        <w:tc>
          <w:tcPr>
            <w:tcW w:w="1848" w:type="dxa"/>
            <w:vMerge w:val="restart"/>
            <w:vAlign w:val="center"/>
          </w:tcPr>
          <w:p w14:paraId="44F62903" w14:textId="77777777" w:rsidR="003D5CB6" w:rsidRPr="004D46AC" w:rsidRDefault="003D5CB6" w:rsidP="00B518F1">
            <w:pPr>
              <w:spacing w:line="360" w:lineRule="auto"/>
              <w:ind w:firstLine="0"/>
              <w:jc w:val="center"/>
            </w:pPr>
            <w:r w:rsidRPr="004D46AC">
              <w:t>.05 [.04, .07]</w:t>
            </w:r>
          </w:p>
        </w:tc>
        <w:tc>
          <w:tcPr>
            <w:tcW w:w="1926" w:type="dxa"/>
            <w:vMerge w:val="restart"/>
            <w:vAlign w:val="center"/>
          </w:tcPr>
          <w:p w14:paraId="32902B69" w14:textId="77777777" w:rsidR="003D5CB6" w:rsidRPr="004D46AC" w:rsidRDefault="003D5CB6" w:rsidP="00B518F1">
            <w:pPr>
              <w:spacing w:line="360" w:lineRule="auto"/>
              <w:ind w:firstLine="0"/>
              <w:jc w:val="center"/>
            </w:pPr>
            <w:r w:rsidRPr="004D46AC">
              <w:t xml:space="preserve">99.24 </w:t>
            </w:r>
          </w:p>
          <w:p w14:paraId="5FDE3462" w14:textId="77777777" w:rsidR="003D5CB6" w:rsidRPr="004D46AC" w:rsidRDefault="003D5CB6" w:rsidP="00B518F1">
            <w:pPr>
              <w:spacing w:line="360" w:lineRule="auto"/>
              <w:ind w:firstLine="0"/>
              <w:jc w:val="center"/>
            </w:pPr>
            <w:r w:rsidRPr="004D46AC">
              <w:t>[98.99, 99.45]</w:t>
            </w:r>
          </w:p>
        </w:tc>
      </w:tr>
      <w:tr w:rsidR="003D5CB6" w:rsidRPr="004D46AC" w14:paraId="6E096FEB" w14:textId="77777777" w:rsidTr="00B518F1">
        <w:trPr>
          <w:trHeight w:val="306"/>
          <w:jc w:val="center"/>
        </w:trPr>
        <w:tc>
          <w:tcPr>
            <w:tcW w:w="2678" w:type="dxa"/>
            <w:vMerge/>
            <w:vAlign w:val="center"/>
          </w:tcPr>
          <w:p w14:paraId="2A3AE39C" w14:textId="77777777" w:rsidR="003D5CB6" w:rsidRPr="004D46AC" w:rsidRDefault="003D5CB6" w:rsidP="00B518F1">
            <w:pPr>
              <w:spacing w:line="360" w:lineRule="auto"/>
              <w:ind w:firstLine="0"/>
              <w:jc w:val="center"/>
              <w:rPr>
                <w:b/>
                <w:bCs/>
              </w:rPr>
            </w:pPr>
          </w:p>
        </w:tc>
        <w:tc>
          <w:tcPr>
            <w:tcW w:w="2213" w:type="dxa"/>
            <w:vAlign w:val="center"/>
          </w:tcPr>
          <w:p w14:paraId="303AA2E7" w14:textId="77777777" w:rsidR="003D5CB6" w:rsidRPr="004D46AC" w:rsidRDefault="003D5CB6" w:rsidP="00B518F1">
            <w:pPr>
              <w:spacing w:line="360" w:lineRule="auto"/>
              <w:ind w:firstLine="0"/>
              <w:jc w:val="center"/>
            </w:pPr>
            <w:r w:rsidRPr="004D46AC">
              <w:t>Age</w:t>
            </w:r>
          </w:p>
        </w:tc>
        <w:tc>
          <w:tcPr>
            <w:tcW w:w="2241" w:type="dxa"/>
            <w:vAlign w:val="center"/>
          </w:tcPr>
          <w:p w14:paraId="5488397B"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.01 (</w:t>
            </w:r>
            <w:r w:rsidRPr="004D46AC">
              <w:rPr>
                <w:rFonts w:eastAsiaTheme="minorEastAsia" w:hint="eastAsia"/>
              </w:rPr>
              <w:t>0</w:t>
            </w:r>
            <w:r w:rsidRPr="004D46AC">
              <w:t>.003) **</w:t>
            </w:r>
          </w:p>
        </w:tc>
        <w:tc>
          <w:tcPr>
            <w:tcW w:w="1618" w:type="dxa"/>
            <w:vMerge/>
            <w:vAlign w:val="center"/>
          </w:tcPr>
          <w:p w14:paraId="0911FB0E" w14:textId="77777777" w:rsidR="003D5CB6" w:rsidRPr="004D46AC" w:rsidRDefault="003D5CB6" w:rsidP="00B518F1">
            <w:pPr>
              <w:spacing w:line="360" w:lineRule="auto"/>
              <w:ind w:firstLine="0"/>
              <w:jc w:val="center"/>
            </w:pPr>
          </w:p>
        </w:tc>
        <w:tc>
          <w:tcPr>
            <w:tcW w:w="1077" w:type="dxa"/>
            <w:vMerge/>
            <w:vAlign w:val="center"/>
          </w:tcPr>
          <w:p w14:paraId="11D8F39F" w14:textId="77777777" w:rsidR="003D5CB6" w:rsidRPr="004D46AC" w:rsidRDefault="003D5CB6" w:rsidP="00B518F1">
            <w:pPr>
              <w:spacing w:line="360" w:lineRule="auto"/>
              <w:ind w:firstLine="0"/>
              <w:jc w:val="center"/>
            </w:pPr>
          </w:p>
        </w:tc>
        <w:tc>
          <w:tcPr>
            <w:tcW w:w="1848" w:type="dxa"/>
            <w:vMerge/>
            <w:vAlign w:val="center"/>
          </w:tcPr>
          <w:p w14:paraId="4B06E2B1" w14:textId="77777777" w:rsidR="003D5CB6" w:rsidRPr="004D46AC" w:rsidRDefault="003D5CB6" w:rsidP="00B518F1">
            <w:pPr>
              <w:spacing w:line="360" w:lineRule="auto"/>
              <w:ind w:firstLine="0"/>
              <w:jc w:val="center"/>
            </w:pPr>
          </w:p>
        </w:tc>
        <w:tc>
          <w:tcPr>
            <w:tcW w:w="1926" w:type="dxa"/>
            <w:vMerge/>
            <w:vAlign w:val="center"/>
          </w:tcPr>
          <w:p w14:paraId="62338886" w14:textId="77777777" w:rsidR="003D5CB6" w:rsidRPr="004D46AC" w:rsidRDefault="003D5CB6" w:rsidP="00B518F1">
            <w:pPr>
              <w:spacing w:line="360" w:lineRule="auto"/>
              <w:ind w:firstLine="0"/>
              <w:jc w:val="center"/>
            </w:pPr>
          </w:p>
        </w:tc>
      </w:tr>
      <w:tr w:rsidR="003D5CB6" w:rsidRPr="004D46AC" w14:paraId="26F0006F" w14:textId="77777777" w:rsidTr="00B518F1">
        <w:trPr>
          <w:trHeight w:val="306"/>
          <w:jc w:val="center"/>
        </w:trPr>
        <w:tc>
          <w:tcPr>
            <w:tcW w:w="2678" w:type="dxa"/>
            <w:vMerge/>
            <w:vAlign w:val="center"/>
          </w:tcPr>
          <w:p w14:paraId="7B177225" w14:textId="77777777" w:rsidR="003D5CB6" w:rsidRPr="004D46AC" w:rsidRDefault="003D5CB6" w:rsidP="00B518F1">
            <w:pPr>
              <w:spacing w:line="360" w:lineRule="auto"/>
              <w:ind w:firstLine="0"/>
              <w:jc w:val="center"/>
              <w:rPr>
                <w:b/>
                <w:bCs/>
              </w:rPr>
            </w:pPr>
          </w:p>
        </w:tc>
        <w:tc>
          <w:tcPr>
            <w:tcW w:w="2213" w:type="dxa"/>
            <w:vAlign w:val="center"/>
          </w:tcPr>
          <w:p w14:paraId="4D82E54F" w14:textId="77777777" w:rsidR="003D5CB6" w:rsidRPr="004D46AC" w:rsidRDefault="003D5CB6" w:rsidP="00B518F1">
            <w:pPr>
              <w:spacing w:line="360" w:lineRule="auto"/>
              <w:ind w:firstLine="0"/>
              <w:jc w:val="center"/>
            </w:pPr>
            <w:r w:rsidRPr="004D46AC">
              <w:t>Patient type</w:t>
            </w:r>
          </w:p>
        </w:tc>
        <w:tc>
          <w:tcPr>
            <w:tcW w:w="2241" w:type="dxa"/>
            <w:vAlign w:val="center"/>
          </w:tcPr>
          <w:p w14:paraId="31A3E8E2" w14:textId="77777777" w:rsidR="003D5CB6" w:rsidRPr="004D46AC" w:rsidRDefault="003D5CB6" w:rsidP="00B518F1">
            <w:pPr>
              <w:spacing w:line="360" w:lineRule="auto"/>
              <w:ind w:firstLine="0"/>
              <w:jc w:val="center"/>
            </w:pPr>
            <w:r w:rsidRPr="004D46AC">
              <w:rPr>
                <w:rFonts w:eastAsiaTheme="minorEastAsia" w:hint="eastAsia"/>
              </w:rPr>
              <w:t>0</w:t>
            </w:r>
            <w:r w:rsidRPr="004D46AC">
              <w:t>.07 (</w:t>
            </w:r>
            <w:r w:rsidRPr="004D46AC">
              <w:rPr>
                <w:rFonts w:eastAsiaTheme="minorEastAsia" w:hint="eastAsia"/>
              </w:rPr>
              <w:t>0</w:t>
            </w:r>
            <w:r w:rsidRPr="004D46AC">
              <w:t>.03) *</w:t>
            </w:r>
          </w:p>
        </w:tc>
        <w:tc>
          <w:tcPr>
            <w:tcW w:w="1618" w:type="dxa"/>
            <w:vMerge/>
            <w:vAlign w:val="center"/>
          </w:tcPr>
          <w:p w14:paraId="7829F021" w14:textId="77777777" w:rsidR="003D5CB6" w:rsidRPr="004D46AC" w:rsidRDefault="003D5CB6" w:rsidP="00B518F1">
            <w:pPr>
              <w:spacing w:line="360" w:lineRule="auto"/>
              <w:ind w:firstLine="0"/>
              <w:jc w:val="center"/>
            </w:pPr>
          </w:p>
        </w:tc>
        <w:tc>
          <w:tcPr>
            <w:tcW w:w="1077" w:type="dxa"/>
            <w:vMerge/>
            <w:vAlign w:val="center"/>
          </w:tcPr>
          <w:p w14:paraId="7BEE0D82" w14:textId="77777777" w:rsidR="003D5CB6" w:rsidRPr="004D46AC" w:rsidRDefault="003D5CB6" w:rsidP="00B518F1">
            <w:pPr>
              <w:spacing w:line="360" w:lineRule="auto"/>
              <w:ind w:firstLine="0"/>
              <w:jc w:val="center"/>
            </w:pPr>
          </w:p>
        </w:tc>
        <w:tc>
          <w:tcPr>
            <w:tcW w:w="1848" w:type="dxa"/>
            <w:vMerge/>
            <w:vAlign w:val="center"/>
          </w:tcPr>
          <w:p w14:paraId="7689273D" w14:textId="77777777" w:rsidR="003D5CB6" w:rsidRPr="004D46AC" w:rsidRDefault="003D5CB6" w:rsidP="00B518F1">
            <w:pPr>
              <w:spacing w:line="360" w:lineRule="auto"/>
              <w:ind w:firstLine="0"/>
              <w:jc w:val="center"/>
            </w:pPr>
          </w:p>
        </w:tc>
        <w:tc>
          <w:tcPr>
            <w:tcW w:w="1926" w:type="dxa"/>
            <w:vMerge/>
            <w:vAlign w:val="center"/>
          </w:tcPr>
          <w:p w14:paraId="06B34879" w14:textId="77777777" w:rsidR="003D5CB6" w:rsidRPr="004D46AC" w:rsidRDefault="003D5CB6" w:rsidP="00B518F1">
            <w:pPr>
              <w:spacing w:line="360" w:lineRule="auto"/>
              <w:ind w:firstLine="0"/>
              <w:jc w:val="center"/>
            </w:pPr>
          </w:p>
        </w:tc>
      </w:tr>
      <w:tr w:rsidR="003D5CB6" w:rsidRPr="004D46AC" w14:paraId="7823EEE3" w14:textId="77777777" w:rsidTr="00B518F1">
        <w:trPr>
          <w:trHeight w:val="306"/>
          <w:jc w:val="center"/>
        </w:trPr>
        <w:tc>
          <w:tcPr>
            <w:tcW w:w="2678" w:type="dxa"/>
            <w:vMerge w:val="restart"/>
            <w:vAlign w:val="center"/>
          </w:tcPr>
          <w:p w14:paraId="604D57D2" w14:textId="77777777" w:rsidR="003D5CB6" w:rsidRPr="004D46AC" w:rsidRDefault="003D5CB6" w:rsidP="00B518F1">
            <w:pPr>
              <w:spacing w:line="360" w:lineRule="auto"/>
              <w:ind w:firstLine="0"/>
              <w:jc w:val="center"/>
              <w:rPr>
                <w:b/>
                <w:bCs/>
              </w:rPr>
            </w:pPr>
            <w:r w:rsidRPr="004D46AC">
              <w:rPr>
                <w:b/>
                <w:bCs/>
              </w:rPr>
              <w:t>CP-Bipolar I</w:t>
            </w:r>
          </w:p>
        </w:tc>
        <w:tc>
          <w:tcPr>
            <w:tcW w:w="2213" w:type="dxa"/>
            <w:vAlign w:val="center"/>
          </w:tcPr>
          <w:p w14:paraId="122F07A8" w14:textId="77777777" w:rsidR="003D5CB6" w:rsidRPr="004D46AC" w:rsidRDefault="003D5CB6" w:rsidP="00B518F1">
            <w:pPr>
              <w:spacing w:line="360" w:lineRule="auto"/>
              <w:ind w:firstLine="0"/>
              <w:jc w:val="center"/>
            </w:pPr>
            <w:r w:rsidRPr="004D46AC">
              <w:t>Rate of mania</w:t>
            </w:r>
          </w:p>
        </w:tc>
        <w:tc>
          <w:tcPr>
            <w:tcW w:w="2241" w:type="dxa"/>
            <w:vAlign w:val="center"/>
          </w:tcPr>
          <w:p w14:paraId="31456EE1" w14:textId="77777777" w:rsidR="003D5CB6" w:rsidRPr="004D46AC" w:rsidRDefault="003D5CB6" w:rsidP="00B518F1">
            <w:pPr>
              <w:spacing w:line="360" w:lineRule="auto"/>
              <w:ind w:firstLine="0"/>
              <w:jc w:val="center"/>
            </w:pPr>
            <w:r w:rsidRPr="004D46AC">
              <w:rPr>
                <w:rFonts w:eastAsiaTheme="minorEastAsia" w:hint="eastAsia"/>
              </w:rPr>
              <w:t>0</w:t>
            </w:r>
            <w:r w:rsidRPr="004D46AC">
              <w:t>.004 (</w:t>
            </w:r>
            <w:r w:rsidRPr="004D46AC">
              <w:rPr>
                <w:rFonts w:eastAsiaTheme="minorEastAsia" w:hint="eastAsia"/>
              </w:rPr>
              <w:t>0.</w:t>
            </w:r>
            <w:r w:rsidRPr="004D46AC">
              <w:t>001) ***</w:t>
            </w:r>
          </w:p>
        </w:tc>
        <w:tc>
          <w:tcPr>
            <w:tcW w:w="1618" w:type="dxa"/>
            <w:vMerge w:val="restart"/>
            <w:vAlign w:val="center"/>
          </w:tcPr>
          <w:p w14:paraId="4FBB8614" w14:textId="77777777" w:rsidR="003D5CB6" w:rsidRPr="004D46AC" w:rsidRDefault="003D5CB6" w:rsidP="00B518F1">
            <w:pPr>
              <w:spacing w:line="360" w:lineRule="auto"/>
              <w:ind w:firstLine="0"/>
              <w:jc w:val="center"/>
            </w:pPr>
            <w:r w:rsidRPr="004D46AC">
              <w:t>24.68 ***</w:t>
            </w:r>
          </w:p>
        </w:tc>
        <w:tc>
          <w:tcPr>
            <w:tcW w:w="1077" w:type="dxa"/>
            <w:vMerge w:val="restart"/>
            <w:vAlign w:val="center"/>
          </w:tcPr>
          <w:p w14:paraId="68138D06" w14:textId="77777777" w:rsidR="003D5CB6" w:rsidRPr="004D46AC" w:rsidRDefault="003D5CB6" w:rsidP="00B518F1">
            <w:pPr>
              <w:spacing w:line="360" w:lineRule="auto"/>
              <w:ind w:firstLine="0"/>
              <w:jc w:val="center"/>
            </w:pPr>
            <w:r w:rsidRPr="004D46AC">
              <w:t>.36</w:t>
            </w:r>
          </w:p>
        </w:tc>
        <w:tc>
          <w:tcPr>
            <w:tcW w:w="1848" w:type="dxa"/>
            <w:vMerge w:val="restart"/>
            <w:vAlign w:val="center"/>
          </w:tcPr>
          <w:p w14:paraId="5115FE43" w14:textId="77777777" w:rsidR="003D5CB6" w:rsidRPr="004D46AC" w:rsidRDefault="003D5CB6" w:rsidP="00B518F1">
            <w:pPr>
              <w:spacing w:line="360" w:lineRule="auto"/>
              <w:ind w:firstLine="0"/>
              <w:jc w:val="center"/>
            </w:pPr>
            <w:r w:rsidRPr="004D46AC">
              <w:t>.04 [.02, .06]</w:t>
            </w:r>
          </w:p>
        </w:tc>
        <w:tc>
          <w:tcPr>
            <w:tcW w:w="1926" w:type="dxa"/>
            <w:vMerge w:val="restart"/>
            <w:vAlign w:val="center"/>
          </w:tcPr>
          <w:p w14:paraId="53C83D6F" w14:textId="77777777" w:rsidR="003D5CB6" w:rsidRPr="004D46AC" w:rsidRDefault="003D5CB6" w:rsidP="00B518F1">
            <w:pPr>
              <w:spacing w:line="360" w:lineRule="auto"/>
              <w:ind w:firstLine="0"/>
              <w:jc w:val="center"/>
            </w:pPr>
            <w:r w:rsidRPr="004D46AC">
              <w:t xml:space="preserve">97.55 </w:t>
            </w:r>
          </w:p>
          <w:p w14:paraId="43E9B725" w14:textId="77777777" w:rsidR="003D5CB6" w:rsidRPr="004D46AC" w:rsidRDefault="003D5CB6" w:rsidP="00B518F1">
            <w:pPr>
              <w:spacing w:line="360" w:lineRule="auto"/>
              <w:ind w:firstLine="0"/>
              <w:jc w:val="center"/>
            </w:pPr>
            <w:r w:rsidRPr="004D46AC">
              <w:t>[96.34, 98.56]</w:t>
            </w:r>
          </w:p>
        </w:tc>
      </w:tr>
      <w:tr w:rsidR="003D5CB6" w:rsidRPr="004D46AC" w14:paraId="0003ACA5" w14:textId="77777777" w:rsidTr="00B518F1">
        <w:trPr>
          <w:trHeight w:val="306"/>
          <w:jc w:val="center"/>
        </w:trPr>
        <w:tc>
          <w:tcPr>
            <w:tcW w:w="2678" w:type="dxa"/>
            <w:vMerge/>
            <w:vAlign w:val="center"/>
          </w:tcPr>
          <w:p w14:paraId="1590829D" w14:textId="77777777" w:rsidR="003D5CB6" w:rsidRPr="004D46AC" w:rsidRDefault="003D5CB6" w:rsidP="00B518F1">
            <w:pPr>
              <w:spacing w:line="360" w:lineRule="auto"/>
              <w:ind w:firstLine="0"/>
              <w:jc w:val="center"/>
              <w:rPr>
                <w:b/>
                <w:bCs/>
              </w:rPr>
            </w:pPr>
          </w:p>
        </w:tc>
        <w:tc>
          <w:tcPr>
            <w:tcW w:w="2213" w:type="dxa"/>
            <w:vAlign w:val="center"/>
          </w:tcPr>
          <w:p w14:paraId="63EF7628" w14:textId="77777777" w:rsidR="003D5CB6" w:rsidRPr="004D46AC" w:rsidRDefault="003D5CB6" w:rsidP="00B518F1">
            <w:pPr>
              <w:spacing w:line="360" w:lineRule="auto"/>
              <w:ind w:firstLine="0"/>
              <w:jc w:val="center"/>
            </w:pPr>
            <w:r w:rsidRPr="004D46AC">
              <w:t>Multicentre study</w:t>
            </w:r>
          </w:p>
        </w:tc>
        <w:tc>
          <w:tcPr>
            <w:tcW w:w="2241" w:type="dxa"/>
            <w:vAlign w:val="center"/>
          </w:tcPr>
          <w:p w14:paraId="7494D46A"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.17 (</w:t>
            </w:r>
            <w:r w:rsidRPr="004D46AC">
              <w:rPr>
                <w:rFonts w:eastAsiaTheme="minorEastAsia" w:hint="eastAsia"/>
              </w:rPr>
              <w:t>0</w:t>
            </w:r>
            <w:r w:rsidRPr="004D46AC">
              <w:t>.07) *</w:t>
            </w:r>
          </w:p>
        </w:tc>
        <w:tc>
          <w:tcPr>
            <w:tcW w:w="1618" w:type="dxa"/>
            <w:vMerge/>
            <w:vAlign w:val="center"/>
          </w:tcPr>
          <w:p w14:paraId="0CA5D854" w14:textId="77777777" w:rsidR="003D5CB6" w:rsidRPr="004D46AC" w:rsidRDefault="003D5CB6" w:rsidP="00B518F1">
            <w:pPr>
              <w:spacing w:line="360" w:lineRule="auto"/>
              <w:ind w:firstLine="0"/>
              <w:jc w:val="center"/>
            </w:pPr>
          </w:p>
        </w:tc>
        <w:tc>
          <w:tcPr>
            <w:tcW w:w="1077" w:type="dxa"/>
            <w:vMerge/>
            <w:vAlign w:val="center"/>
          </w:tcPr>
          <w:p w14:paraId="5168BEB2" w14:textId="77777777" w:rsidR="003D5CB6" w:rsidRPr="004D46AC" w:rsidRDefault="003D5CB6" w:rsidP="00B518F1">
            <w:pPr>
              <w:spacing w:line="360" w:lineRule="auto"/>
              <w:ind w:firstLine="0"/>
              <w:jc w:val="center"/>
            </w:pPr>
          </w:p>
        </w:tc>
        <w:tc>
          <w:tcPr>
            <w:tcW w:w="1848" w:type="dxa"/>
            <w:vMerge/>
            <w:vAlign w:val="center"/>
          </w:tcPr>
          <w:p w14:paraId="3A6884A3" w14:textId="77777777" w:rsidR="003D5CB6" w:rsidRPr="004D46AC" w:rsidRDefault="003D5CB6" w:rsidP="00B518F1">
            <w:pPr>
              <w:spacing w:line="360" w:lineRule="auto"/>
              <w:ind w:firstLine="0"/>
              <w:jc w:val="center"/>
            </w:pPr>
          </w:p>
        </w:tc>
        <w:tc>
          <w:tcPr>
            <w:tcW w:w="1926" w:type="dxa"/>
            <w:vMerge/>
            <w:vAlign w:val="center"/>
          </w:tcPr>
          <w:p w14:paraId="56B5301D" w14:textId="77777777" w:rsidR="003D5CB6" w:rsidRPr="004D46AC" w:rsidRDefault="003D5CB6" w:rsidP="00B518F1">
            <w:pPr>
              <w:spacing w:line="360" w:lineRule="auto"/>
              <w:ind w:firstLine="0"/>
              <w:jc w:val="center"/>
            </w:pPr>
          </w:p>
        </w:tc>
      </w:tr>
      <w:tr w:rsidR="003D5CB6" w:rsidRPr="004D46AC" w14:paraId="0DC55486" w14:textId="77777777" w:rsidTr="00B518F1">
        <w:trPr>
          <w:trHeight w:val="306"/>
          <w:jc w:val="center"/>
        </w:trPr>
        <w:tc>
          <w:tcPr>
            <w:tcW w:w="2678" w:type="dxa"/>
            <w:vMerge/>
            <w:vAlign w:val="center"/>
          </w:tcPr>
          <w:p w14:paraId="2802DCD5" w14:textId="77777777" w:rsidR="003D5CB6" w:rsidRPr="004D46AC" w:rsidRDefault="003D5CB6" w:rsidP="00B518F1">
            <w:pPr>
              <w:spacing w:line="360" w:lineRule="auto"/>
              <w:ind w:firstLine="0"/>
              <w:jc w:val="center"/>
              <w:rPr>
                <w:b/>
                <w:bCs/>
              </w:rPr>
            </w:pPr>
          </w:p>
        </w:tc>
        <w:tc>
          <w:tcPr>
            <w:tcW w:w="2213" w:type="dxa"/>
            <w:vAlign w:val="center"/>
          </w:tcPr>
          <w:p w14:paraId="10DE9546" w14:textId="77777777" w:rsidR="003D5CB6" w:rsidRPr="004D46AC" w:rsidRDefault="003D5CB6" w:rsidP="00B518F1">
            <w:pPr>
              <w:spacing w:line="360" w:lineRule="auto"/>
              <w:ind w:firstLine="0"/>
              <w:jc w:val="center"/>
            </w:pPr>
            <w:r w:rsidRPr="004D46AC">
              <w:t>Clinical status</w:t>
            </w:r>
          </w:p>
        </w:tc>
        <w:tc>
          <w:tcPr>
            <w:tcW w:w="2241" w:type="dxa"/>
            <w:vAlign w:val="center"/>
          </w:tcPr>
          <w:p w14:paraId="46116114" w14:textId="77777777" w:rsidR="003D5CB6" w:rsidRPr="004D46AC" w:rsidRDefault="003D5CB6" w:rsidP="00B518F1">
            <w:pPr>
              <w:spacing w:line="360" w:lineRule="auto"/>
              <w:ind w:firstLine="0"/>
              <w:jc w:val="center"/>
            </w:pPr>
            <w:r w:rsidRPr="004D46AC">
              <w:rPr>
                <w:rFonts w:eastAsiaTheme="minorEastAsia" w:hint="eastAsia"/>
              </w:rPr>
              <w:t>0</w:t>
            </w:r>
            <w:r w:rsidRPr="004D46AC">
              <w:t>.09 (</w:t>
            </w:r>
            <w:r w:rsidRPr="004D46AC">
              <w:rPr>
                <w:rFonts w:eastAsiaTheme="minorEastAsia" w:hint="eastAsia"/>
              </w:rPr>
              <w:t>0</w:t>
            </w:r>
            <w:r w:rsidRPr="004D46AC">
              <w:t>.07)</w:t>
            </w:r>
          </w:p>
        </w:tc>
        <w:tc>
          <w:tcPr>
            <w:tcW w:w="1618" w:type="dxa"/>
            <w:vMerge/>
            <w:vAlign w:val="center"/>
          </w:tcPr>
          <w:p w14:paraId="23C618C4" w14:textId="77777777" w:rsidR="003D5CB6" w:rsidRPr="004D46AC" w:rsidRDefault="003D5CB6" w:rsidP="00B518F1">
            <w:pPr>
              <w:spacing w:line="360" w:lineRule="auto"/>
              <w:ind w:firstLine="0"/>
              <w:jc w:val="center"/>
            </w:pPr>
          </w:p>
        </w:tc>
        <w:tc>
          <w:tcPr>
            <w:tcW w:w="1077" w:type="dxa"/>
            <w:vMerge/>
            <w:vAlign w:val="center"/>
          </w:tcPr>
          <w:p w14:paraId="01B0E6EE" w14:textId="77777777" w:rsidR="003D5CB6" w:rsidRPr="004D46AC" w:rsidRDefault="003D5CB6" w:rsidP="00B518F1">
            <w:pPr>
              <w:spacing w:line="360" w:lineRule="auto"/>
              <w:ind w:firstLine="0"/>
              <w:jc w:val="center"/>
            </w:pPr>
          </w:p>
        </w:tc>
        <w:tc>
          <w:tcPr>
            <w:tcW w:w="1848" w:type="dxa"/>
            <w:vMerge/>
            <w:vAlign w:val="center"/>
          </w:tcPr>
          <w:p w14:paraId="7A97F620" w14:textId="77777777" w:rsidR="003D5CB6" w:rsidRPr="004D46AC" w:rsidRDefault="003D5CB6" w:rsidP="00B518F1">
            <w:pPr>
              <w:spacing w:line="360" w:lineRule="auto"/>
              <w:ind w:firstLine="0"/>
              <w:jc w:val="center"/>
            </w:pPr>
          </w:p>
        </w:tc>
        <w:tc>
          <w:tcPr>
            <w:tcW w:w="1926" w:type="dxa"/>
            <w:vMerge/>
            <w:vAlign w:val="center"/>
          </w:tcPr>
          <w:p w14:paraId="32CA1646" w14:textId="77777777" w:rsidR="003D5CB6" w:rsidRPr="004D46AC" w:rsidRDefault="003D5CB6" w:rsidP="00B518F1">
            <w:pPr>
              <w:spacing w:line="360" w:lineRule="auto"/>
              <w:ind w:firstLine="0"/>
              <w:jc w:val="center"/>
            </w:pPr>
          </w:p>
        </w:tc>
      </w:tr>
      <w:tr w:rsidR="003D5CB6" w:rsidRPr="004D46AC" w14:paraId="3707786D" w14:textId="77777777" w:rsidTr="00B518F1">
        <w:trPr>
          <w:trHeight w:val="306"/>
          <w:jc w:val="center"/>
        </w:trPr>
        <w:tc>
          <w:tcPr>
            <w:tcW w:w="2678" w:type="dxa"/>
            <w:vMerge w:val="restart"/>
            <w:vAlign w:val="center"/>
          </w:tcPr>
          <w:p w14:paraId="66484B08" w14:textId="77777777" w:rsidR="003D5CB6" w:rsidRPr="004D46AC" w:rsidRDefault="003D5CB6" w:rsidP="00B518F1">
            <w:pPr>
              <w:spacing w:line="360" w:lineRule="auto"/>
              <w:ind w:firstLine="0"/>
              <w:jc w:val="center"/>
              <w:rPr>
                <w:b/>
                <w:bCs/>
              </w:rPr>
            </w:pPr>
            <w:r w:rsidRPr="004D46AC">
              <w:rPr>
                <w:b/>
                <w:bCs/>
              </w:rPr>
              <w:t>CP-Manic</w:t>
            </w:r>
          </w:p>
        </w:tc>
        <w:tc>
          <w:tcPr>
            <w:tcW w:w="2213" w:type="dxa"/>
            <w:vAlign w:val="center"/>
          </w:tcPr>
          <w:p w14:paraId="7E734E24" w14:textId="77777777" w:rsidR="003D5CB6" w:rsidRPr="004D46AC" w:rsidRDefault="003D5CB6" w:rsidP="00B518F1">
            <w:pPr>
              <w:spacing w:line="360" w:lineRule="auto"/>
              <w:ind w:firstLine="0"/>
              <w:jc w:val="center"/>
            </w:pPr>
            <w:r w:rsidRPr="004D46AC">
              <w:t>Rate of mania</w:t>
            </w:r>
          </w:p>
        </w:tc>
        <w:tc>
          <w:tcPr>
            <w:tcW w:w="2241" w:type="dxa"/>
            <w:vAlign w:val="center"/>
          </w:tcPr>
          <w:p w14:paraId="2889ABEC" w14:textId="77777777" w:rsidR="003D5CB6" w:rsidRPr="004D46AC" w:rsidRDefault="003D5CB6" w:rsidP="00B518F1">
            <w:pPr>
              <w:spacing w:line="360" w:lineRule="auto"/>
              <w:ind w:firstLine="0"/>
              <w:jc w:val="center"/>
            </w:pPr>
            <w:r w:rsidRPr="004D46AC">
              <w:rPr>
                <w:rFonts w:eastAsiaTheme="minorEastAsia" w:hint="eastAsia"/>
              </w:rPr>
              <w:t>0</w:t>
            </w:r>
            <w:r w:rsidRPr="004D46AC">
              <w:t>.003 (</w:t>
            </w:r>
            <w:r w:rsidRPr="004D46AC">
              <w:rPr>
                <w:rFonts w:eastAsiaTheme="minorEastAsia" w:hint="eastAsia"/>
              </w:rPr>
              <w:t>0</w:t>
            </w:r>
            <w:r w:rsidRPr="004D46AC">
              <w:t>.002) *</w:t>
            </w:r>
          </w:p>
        </w:tc>
        <w:tc>
          <w:tcPr>
            <w:tcW w:w="1618" w:type="dxa"/>
            <w:vMerge w:val="restart"/>
            <w:vAlign w:val="center"/>
          </w:tcPr>
          <w:p w14:paraId="4495457D" w14:textId="77777777" w:rsidR="003D5CB6" w:rsidRPr="004D46AC" w:rsidRDefault="003D5CB6" w:rsidP="00B518F1">
            <w:pPr>
              <w:spacing w:line="360" w:lineRule="auto"/>
              <w:ind w:firstLine="0"/>
              <w:jc w:val="center"/>
            </w:pPr>
            <w:r w:rsidRPr="004D46AC">
              <w:t>5.48</w:t>
            </w:r>
          </w:p>
        </w:tc>
        <w:tc>
          <w:tcPr>
            <w:tcW w:w="1077" w:type="dxa"/>
            <w:vMerge w:val="restart"/>
            <w:vAlign w:val="center"/>
          </w:tcPr>
          <w:p w14:paraId="2D97B490" w14:textId="77777777" w:rsidR="003D5CB6" w:rsidRPr="004D46AC" w:rsidRDefault="003D5CB6" w:rsidP="00B518F1">
            <w:pPr>
              <w:spacing w:line="360" w:lineRule="auto"/>
              <w:ind w:firstLine="0"/>
              <w:jc w:val="center"/>
            </w:pPr>
            <w:r w:rsidRPr="004D46AC">
              <w:t>.07</w:t>
            </w:r>
          </w:p>
        </w:tc>
        <w:tc>
          <w:tcPr>
            <w:tcW w:w="1848" w:type="dxa"/>
            <w:vMerge w:val="restart"/>
            <w:vAlign w:val="center"/>
          </w:tcPr>
          <w:p w14:paraId="2FF6BE39" w14:textId="77777777" w:rsidR="003D5CB6" w:rsidRPr="004D46AC" w:rsidRDefault="003D5CB6" w:rsidP="00B518F1">
            <w:pPr>
              <w:spacing w:line="360" w:lineRule="auto"/>
              <w:ind w:firstLine="0"/>
              <w:jc w:val="center"/>
            </w:pPr>
            <w:r w:rsidRPr="004D46AC">
              <w:t>.05 [.03, .10]</w:t>
            </w:r>
          </w:p>
        </w:tc>
        <w:tc>
          <w:tcPr>
            <w:tcW w:w="1926" w:type="dxa"/>
            <w:vMerge w:val="restart"/>
            <w:vAlign w:val="center"/>
          </w:tcPr>
          <w:p w14:paraId="27EC563E" w14:textId="77777777" w:rsidR="003D5CB6" w:rsidRPr="004D46AC" w:rsidRDefault="003D5CB6" w:rsidP="00B518F1">
            <w:pPr>
              <w:spacing w:line="360" w:lineRule="auto"/>
              <w:ind w:firstLine="0"/>
              <w:jc w:val="center"/>
            </w:pPr>
            <w:r w:rsidRPr="004D46AC">
              <w:t xml:space="preserve">98.95 </w:t>
            </w:r>
          </w:p>
          <w:p w14:paraId="30B55194" w14:textId="77777777" w:rsidR="003D5CB6" w:rsidRPr="004D46AC" w:rsidRDefault="003D5CB6" w:rsidP="00B518F1">
            <w:pPr>
              <w:spacing w:line="360" w:lineRule="auto"/>
              <w:ind w:firstLine="0"/>
              <w:jc w:val="center"/>
            </w:pPr>
            <w:r w:rsidRPr="004D46AC">
              <w:t>[98.37, 99.41]</w:t>
            </w:r>
          </w:p>
        </w:tc>
      </w:tr>
      <w:tr w:rsidR="003D5CB6" w:rsidRPr="004D46AC" w14:paraId="7D82A997" w14:textId="77777777" w:rsidTr="00B518F1">
        <w:trPr>
          <w:trHeight w:val="306"/>
          <w:jc w:val="center"/>
        </w:trPr>
        <w:tc>
          <w:tcPr>
            <w:tcW w:w="2678" w:type="dxa"/>
            <w:vMerge/>
            <w:vAlign w:val="center"/>
          </w:tcPr>
          <w:p w14:paraId="34A3C963" w14:textId="77777777" w:rsidR="003D5CB6" w:rsidRPr="004D46AC" w:rsidRDefault="003D5CB6" w:rsidP="00B518F1">
            <w:pPr>
              <w:spacing w:line="360" w:lineRule="auto"/>
              <w:ind w:firstLine="0"/>
              <w:jc w:val="center"/>
              <w:rPr>
                <w:b/>
                <w:bCs/>
              </w:rPr>
            </w:pPr>
          </w:p>
        </w:tc>
        <w:tc>
          <w:tcPr>
            <w:tcW w:w="2213" w:type="dxa"/>
            <w:vAlign w:val="center"/>
          </w:tcPr>
          <w:p w14:paraId="0A71A200" w14:textId="77777777" w:rsidR="003D5CB6" w:rsidRPr="004D46AC" w:rsidRDefault="003D5CB6" w:rsidP="00B518F1">
            <w:pPr>
              <w:spacing w:line="360" w:lineRule="auto"/>
              <w:ind w:firstLine="0"/>
              <w:jc w:val="center"/>
            </w:pPr>
            <w:r w:rsidRPr="004D46AC">
              <w:t>Gender</w:t>
            </w:r>
          </w:p>
        </w:tc>
        <w:tc>
          <w:tcPr>
            <w:tcW w:w="2241" w:type="dxa"/>
            <w:vAlign w:val="center"/>
          </w:tcPr>
          <w:p w14:paraId="446094F8"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.001 (</w:t>
            </w:r>
            <w:r w:rsidRPr="004D46AC">
              <w:rPr>
                <w:rFonts w:eastAsiaTheme="minorEastAsia" w:hint="eastAsia"/>
              </w:rPr>
              <w:t>0</w:t>
            </w:r>
            <w:r w:rsidRPr="004D46AC">
              <w:t>.007)</w:t>
            </w:r>
          </w:p>
        </w:tc>
        <w:tc>
          <w:tcPr>
            <w:tcW w:w="1618" w:type="dxa"/>
            <w:vMerge/>
            <w:vAlign w:val="center"/>
          </w:tcPr>
          <w:p w14:paraId="483FC60F" w14:textId="77777777" w:rsidR="003D5CB6" w:rsidRPr="004D46AC" w:rsidRDefault="003D5CB6" w:rsidP="00B518F1">
            <w:pPr>
              <w:spacing w:line="360" w:lineRule="auto"/>
              <w:ind w:firstLine="0"/>
              <w:jc w:val="center"/>
            </w:pPr>
          </w:p>
        </w:tc>
        <w:tc>
          <w:tcPr>
            <w:tcW w:w="1077" w:type="dxa"/>
            <w:vMerge/>
            <w:vAlign w:val="center"/>
          </w:tcPr>
          <w:p w14:paraId="519E10BA" w14:textId="77777777" w:rsidR="003D5CB6" w:rsidRPr="004D46AC" w:rsidRDefault="003D5CB6" w:rsidP="00B518F1">
            <w:pPr>
              <w:spacing w:line="360" w:lineRule="auto"/>
              <w:ind w:firstLine="0"/>
              <w:jc w:val="center"/>
            </w:pPr>
          </w:p>
        </w:tc>
        <w:tc>
          <w:tcPr>
            <w:tcW w:w="1848" w:type="dxa"/>
            <w:vMerge/>
            <w:vAlign w:val="center"/>
          </w:tcPr>
          <w:p w14:paraId="37F4A343" w14:textId="77777777" w:rsidR="003D5CB6" w:rsidRPr="004D46AC" w:rsidRDefault="003D5CB6" w:rsidP="00B518F1">
            <w:pPr>
              <w:spacing w:line="360" w:lineRule="auto"/>
              <w:ind w:firstLine="0"/>
              <w:jc w:val="center"/>
            </w:pPr>
          </w:p>
        </w:tc>
        <w:tc>
          <w:tcPr>
            <w:tcW w:w="1926" w:type="dxa"/>
            <w:vMerge/>
            <w:vAlign w:val="center"/>
          </w:tcPr>
          <w:p w14:paraId="3F280633" w14:textId="77777777" w:rsidR="003D5CB6" w:rsidRPr="004D46AC" w:rsidRDefault="003D5CB6" w:rsidP="00B518F1">
            <w:pPr>
              <w:spacing w:line="360" w:lineRule="auto"/>
              <w:ind w:firstLine="0"/>
              <w:jc w:val="center"/>
            </w:pPr>
          </w:p>
        </w:tc>
      </w:tr>
      <w:tr w:rsidR="003D5CB6" w:rsidRPr="004D46AC" w14:paraId="62FE052D" w14:textId="77777777" w:rsidTr="00B518F1">
        <w:trPr>
          <w:trHeight w:val="306"/>
          <w:jc w:val="center"/>
        </w:trPr>
        <w:tc>
          <w:tcPr>
            <w:tcW w:w="2678" w:type="dxa"/>
            <w:vMerge/>
            <w:vAlign w:val="center"/>
          </w:tcPr>
          <w:p w14:paraId="18B1089C" w14:textId="77777777" w:rsidR="003D5CB6" w:rsidRPr="004D46AC" w:rsidRDefault="003D5CB6" w:rsidP="00B518F1">
            <w:pPr>
              <w:spacing w:line="360" w:lineRule="auto"/>
              <w:ind w:firstLine="0"/>
              <w:jc w:val="center"/>
              <w:rPr>
                <w:b/>
                <w:bCs/>
              </w:rPr>
            </w:pPr>
          </w:p>
        </w:tc>
        <w:tc>
          <w:tcPr>
            <w:tcW w:w="2213" w:type="dxa"/>
            <w:vAlign w:val="center"/>
          </w:tcPr>
          <w:p w14:paraId="5AA3FACC" w14:textId="77777777" w:rsidR="003D5CB6" w:rsidRPr="004D46AC" w:rsidRDefault="003D5CB6" w:rsidP="00B518F1">
            <w:pPr>
              <w:spacing w:line="360" w:lineRule="auto"/>
              <w:ind w:firstLine="0"/>
              <w:jc w:val="center"/>
            </w:pPr>
            <w:r w:rsidRPr="004D46AC">
              <w:t>Age</w:t>
            </w:r>
          </w:p>
        </w:tc>
        <w:tc>
          <w:tcPr>
            <w:tcW w:w="2241" w:type="dxa"/>
            <w:vAlign w:val="center"/>
          </w:tcPr>
          <w:p w14:paraId="5FD951CE" w14:textId="77777777" w:rsidR="003D5CB6" w:rsidRPr="004D46AC" w:rsidRDefault="003D5CB6" w:rsidP="00B518F1">
            <w:pPr>
              <w:spacing w:line="360" w:lineRule="auto"/>
              <w:ind w:firstLine="0"/>
              <w:jc w:val="center"/>
            </w:pPr>
            <w:r w:rsidRPr="004D46AC">
              <w:rPr>
                <w:rFonts w:eastAsiaTheme="minorEastAsia" w:hint="eastAsia"/>
              </w:rPr>
              <w:t>0</w:t>
            </w:r>
            <w:r w:rsidRPr="004D46AC">
              <w:t>.005 (</w:t>
            </w:r>
            <w:r w:rsidRPr="004D46AC">
              <w:rPr>
                <w:rFonts w:eastAsiaTheme="minorEastAsia" w:hint="eastAsia"/>
              </w:rPr>
              <w:t>0</w:t>
            </w:r>
            <w:r w:rsidRPr="004D46AC">
              <w:t>.005)</w:t>
            </w:r>
          </w:p>
        </w:tc>
        <w:tc>
          <w:tcPr>
            <w:tcW w:w="1618" w:type="dxa"/>
            <w:vMerge/>
            <w:vAlign w:val="center"/>
          </w:tcPr>
          <w:p w14:paraId="2F2422AE" w14:textId="77777777" w:rsidR="003D5CB6" w:rsidRPr="004D46AC" w:rsidRDefault="003D5CB6" w:rsidP="00B518F1">
            <w:pPr>
              <w:spacing w:line="360" w:lineRule="auto"/>
              <w:ind w:firstLine="0"/>
              <w:jc w:val="center"/>
            </w:pPr>
          </w:p>
        </w:tc>
        <w:tc>
          <w:tcPr>
            <w:tcW w:w="1077" w:type="dxa"/>
            <w:vMerge/>
            <w:vAlign w:val="center"/>
          </w:tcPr>
          <w:p w14:paraId="185334B2" w14:textId="77777777" w:rsidR="003D5CB6" w:rsidRPr="004D46AC" w:rsidRDefault="003D5CB6" w:rsidP="00B518F1">
            <w:pPr>
              <w:spacing w:line="360" w:lineRule="auto"/>
              <w:ind w:firstLine="0"/>
              <w:jc w:val="center"/>
            </w:pPr>
          </w:p>
        </w:tc>
        <w:tc>
          <w:tcPr>
            <w:tcW w:w="1848" w:type="dxa"/>
            <w:vMerge/>
            <w:vAlign w:val="center"/>
          </w:tcPr>
          <w:p w14:paraId="4B194F14" w14:textId="77777777" w:rsidR="003D5CB6" w:rsidRPr="004D46AC" w:rsidRDefault="003D5CB6" w:rsidP="00B518F1">
            <w:pPr>
              <w:spacing w:line="360" w:lineRule="auto"/>
              <w:ind w:firstLine="0"/>
              <w:jc w:val="center"/>
            </w:pPr>
          </w:p>
        </w:tc>
        <w:tc>
          <w:tcPr>
            <w:tcW w:w="1926" w:type="dxa"/>
            <w:vMerge/>
            <w:vAlign w:val="center"/>
          </w:tcPr>
          <w:p w14:paraId="24FB97DF" w14:textId="77777777" w:rsidR="003D5CB6" w:rsidRPr="004D46AC" w:rsidRDefault="003D5CB6" w:rsidP="00B518F1">
            <w:pPr>
              <w:spacing w:line="360" w:lineRule="auto"/>
              <w:ind w:firstLine="0"/>
              <w:jc w:val="center"/>
            </w:pPr>
          </w:p>
        </w:tc>
      </w:tr>
      <w:tr w:rsidR="003D5CB6" w:rsidRPr="004D46AC" w14:paraId="439C42A3" w14:textId="77777777" w:rsidTr="00B518F1">
        <w:trPr>
          <w:trHeight w:val="306"/>
          <w:jc w:val="center"/>
        </w:trPr>
        <w:tc>
          <w:tcPr>
            <w:tcW w:w="2678" w:type="dxa"/>
            <w:vMerge w:val="restart"/>
            <w:vAlign w:val="center"/>
          </w:tcPr>
          <w:p w14:paraId="46196DE8" w14:textId="77777777" w:rsidR="003D5CB6" w:rsidRPr="004D46AC" w:rsidRDefault="003D5CB6" w:rsidP="00B518F1">
            <w:pPr>
              <w:spacing w:line="360" w:lineRule="auto"/>
              <w:ind w:firstLine="0"/>
              <w:jc w:val="center"/>
              <w:rPr>
                <w:b/>
                <w:bCs/>
              </w:rPr>
            </w:pPr>
            <w:r w:rsidRPr="004D46AC">
              <w:rPr>
                <w:b/>
                <w:bCs/>
              </w:rPr>
              <w:t>CP-Depressive</w:t>
            </w:r>
          </w:p>
        </w:tc>
        <w:tc>
          <w:tcPr>
            <w:tcW w:w="2213" w:type="dxa"/>
            <w:vAlign w:val="center"/>
          </w:tcPr>
          <w:p w14:paraId="589A3FF6" w14:textId="77777777" w:rsidR="003D5CB6" w:rsidRPr="004D46AC" w:rsidRDefault="003D5CB6" w:rsidP="00B518F1">
            <w:pPr>
              <w:spacing w:line="360" w:lineRule="auto"/>
              <w:ind w:firstLine="0"/>
              <w:jc w:val="center"/>
            </w:pPr>
            <w:r w:rsidRPr="004D46AC">
              <w:t>Gender</w:t>
            </w:r>
          </w:p>
        </w:tc>
        <w:tc>
          <w:tcPr>
            <w:tcW w:w="2241" w:type="dxa"/>
            <w:vAlign w:val="center"/>
          </w:tcPr>
          <w:p w14:paraId="3094A2AD"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.01 (</w:t>
            </w:r>
            <w:r w:rsidRPr="004D46AC">
              <w:rPr>
                <w:rFonts w:eastAsiaTheme="minorEastAsia" w:hint="eastAsia"/>
              </w:rPr>
              <w:t>0</w:t>
            </w:r>
            <w:r w:rsidRPr="004D46AC">
              <w:t>.007)</w:t>
            </w:r>
          </w:p>
        </w:tc>
        <w:tc>
          <w:tcPr>
            <w:tcW w:w="1618" w:type="dxa"/>
            <w:vMerge w:val="restart"/>
            <w:vAlign w:val="center"/>
          </w:tcPr>
          <w:p w14:paraId="51318650" w14:textId="77777777" w:rsidR="003D5CB6" w:rsidRPr="004D46AC" w:rsidRDefault="003D5CB6" w:rsidP="00B518F1">
            <w:pPr>
              <w:spacing w:line="360" w:lineRule="auto"/>
              <w:ind w:firstLine="0"/>
              <w:jc w:val="center"/>
            </w:pPr>
            <w:r w:rsidRPr="004D46AC">
              <w:t>11.73 **</w:t>
            </w:r>
          </w:p>
        </w:tc>
        <w:tc>
          <w:tcPr>
            <w:tcW w:w="1077" w:type="dxa"/>
            <w:vMerge w:val="restart"/>
            <w:vAlign w:val="center"/>
          </w:tcPr>
          <w:p w14:paraId="73FA7F21" w14:textId="77777777" w:rsidR="003D5CB6" w:rsidRPr="004D46AC" w:rsidRDefault="003D5CB6" w:rsidP="00B518F1">
            <w:pPr>
              <w:spacing w:line="360" w:lineRule="auto"/>
              <w:ind w:firstLine="0"/>
              <w:jc w:val="center"/>
            </w:pPr>
            <w:r w:rsidRPr="004D46AC">
              <w:t>.40</w:t>
            </w:r>
          </w:p>
        </w:tc>
        <w:tc>
          <w:tcPr>
            <w:tcW w:w="1848" w:type="dxa"/>
            <w:vMerge w:val="restart"/>
            <w:vAlign w:val="center"/>
          </w:tcPr>
          <w:p w14:paraId="6BEC0D8C" w14:textId="77777777" w:rsidR="003D5CB6" w:rsidRPr="004D46AC" w:rsidRDefault="003D5CB6" w:rsidP="00B518F1">
            <w:pPr>
              <w:spacing w:line="360" w:lineRule="auto"/>
              <w:ind w:firstLine="0"/>
              <w:jc w:val="center"/>
            </w:pPr>
            <w:r w:rsidRPr="004D46AC">
              <w:t>.02 [.01, .06]</w:t>
            </w:r>
          </w:p>
        </w:tc>
        <w:tc>
          <w:tcPr>
            <w:tcW w:w="1926" w:type="dxa"/>
            <w:vMerge w:val="restart"/>
            <w:vAlign w:val="center"/>
          </w:tcPr>
          <w:p w14:paraId="59D097BD" w14:textId="77777777" w:rsidR="003D5CB6" w:rsidRPr="004D46AC" w:rsidRDefault="003D5CB6" w:rsidP="00B518F1">
            <w:pPr>
              <w:spacing w:line="360" w:lineRule="auto"/>
              <w:ind w:firstLine="0"/>
              <w:jc w:val="center"/>
            </w:pPr>
            <w:r w:rsidRPr="004D46AC">
              <w:t xml:space="preserve">97.63 </w:t>
            </w:r>
          </w:p>
          <w:p w14:paraId="325A0C72" w14:textId="77777777" w:rsidR="003D5CB6" w:rsidRPr="004D46AC" w:rsidRDefault="003D5CB6" w:rsidP="00B518F1">
            <w:pPr>
              <w:spacing w:line="360" w:lineRule="auto"/>
              <w:ind w:firstLine="0"/>
              <w:jc w:val="center"/>
            </w:pPr>
            <w:r w:rsidRPr="004D46AC">
              <w:lastRenderedPageBreak/>
              <w:t>[95.45, 99.09]</w:t>
            </w:r>
          </w:p>
        </w:tc>
      </w:tr>
      <w:tr w:rsidR="003D5CB6" w:rsidRPr="004D46AC" w14:paraId="69B2B58D" w14:textId="77777777" w:rsidTr="00B518F1">
        <w:trPr>
          <w:trHeight w:val="306"/>
          <w:jc w:val="center"/>
        </w:trPr>
        <w:tc>
          <w:tcPr>
            <w:tcW w:w="2678" w:type="dxa"/>
            <w:vMerge/>
            <w:vAlign w:val="center"/>
          </w:tcPr>
          <w:p w14:paraId="5CB53D28" w14:textId="77777777" w:rsidR="003D5CB6" w:rsidRPr="004D46AC" w:rsidRDefault="003D5CB6" w:rsidP="00B518F1">
            <w:pPr>
              <w:spacing w:line="360" w:lineRule="auto"/>
              <w:ind w:firstLine="0"/>
              <w:jc w:val="center"/>
              <w:rPr>
                <w:b/>
                <w:bCs/>
              </w:rPr>
            </w:pPr>
          </w:p>
        </w:tc>
        <w:tc>
          <w:tcPr>
            <w:tcW w:w="2213" w:type="dxa"/>
            <w:vAlign w:val="center"/>
          </w:tcPr>
          <w:p w14:paraId="2FF80E7C" w14:textId="77777777" w:rsidR="003D5CB6" w:rsidRPr="004D46AC" w:rsidRDefault="003D5CB6" w:rsidP="00B518F1">
            <w:pPr>
              <w:spacing w:line="360" w:lineRule="auto"/>
              <w:ind w:firstLine="0"/>
              <w:jc w:val="center"/>
            </w:pPr>
            <w:r w:rsidRPr="004D46AC">
              <w:t>Age</w:t>
            </w:r>
          </w:p>
        </w:tc>
        <w:tc>
          <w:tcPr>
            <w:tcW w:w="2241" w:type="dxa"/>
            <w:vAlign w:val="center"/>
          </w:tcPr>
          <w:p w14:paraId="5A50748D"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.01 (</w:t>
            </w:r>
            <w:r w:rsidRPr="004D46AC">
              <w:rPr>
                <w:rFonts w:eastAsiaTheme="minorEastAsia" w:hint="eastAsia"/>
              </w:rPr>
              <w:t>0</w:t>
            </w:r>
            <w:r w:rsidRPr="004D46AC">
              <w:t>.006) *</w:t>
            </w:r>
          </w:p>
        </w:tc>
        <w:tc>
          <w:tcPr>
            <w:tcW w:w="1618" w:type="dxa"/>
            <w:vMerge/>
            <w:vAlign w:val="center"/>
          </w:tcPr>
          <w:p w14:paraId="5B942654" w14:textId="77777777" w:rsidR="003D5CB6" w:rsidRPr="004D46AC" w:rsidRDefault="003D5CB6" w:rsidP="00B518F1">
            <w:pPr>
              <w:spacing w:line="360" w:lineRule="auto"/>
              <w:ind w:firstLine="0"/>
              <w:jc w:val="center"/>
            </w:pPr>
          </w:p>
        </w:tc>
        <w:tc>
          <w:tcPr>
            <w:tcW w:w="1077" w:type="dxa"/>
            <w:vMerge/>
            <w:vAlign w:val="center"/>
          </w:tcPr>
          <w:p w14:paraId="5D8F4DF0" w14:textId="77777777" w:rsidR="003D5CB6" w:rsidRPr="004D46AC" w:rsidRDefault="003D5CB6" w:rsidP="00B518F1">
            <w:pPr>
              <w:spacing w:line="360" w:lineRule="auto"/>
              <w:ind w:firstLine="0"/>
              <w:jc w:val="center"/>
            </w:pPr>
          </w:p>
        </w:tc>
        <w:tc>
          <w:tcPr>
            <w:tcW w:w="1848" w:type="dxa"/>
            <w:vMerge/>
            <w:vAlign w:val="center"/>
          </w:tcPr>
          <w:p w14:paraId="5DADDFD4" w14:textId="77777777" w:rsidR="003D5CB6" w:rsidRPr="004D46AC" w:rsidRDefault="003D5CB6" w:rsidP="00B518F1">
            <w:pPr>
              <w:spacing w:line="360" w:lineRule="auto"/>
              <w:ind w:firstLine="0"/>
              <w:jc w:val="center"/>
            </w:pPr>
          </w:p>
        </w:tc>
        <w:tc>
          <w:tcPr>
            <w:tcW w:w="1926" w:type="dxa"/>
            <w:vMerge/>
            <w:vAlign w:val="center"/>
          </w:tcPr>
          <w:p w14:paraId="7270BA94" w14:textId="77777777" w:rsidR="003D5CB6" w:rsidRPr="004D46AC" w:rsidRDefault="003D5CB6" w:rsidP="00B518F1">
            <w:pPr>
              <w:spacing w:line="360" w:lineRule="auto"/>
              <w:ind w:firstLine="0"/>
              <w:jc w:val="center"/>
            </w:pPr>
          </w:p>
        </w:tc>
      </w:tr>
      <w:tr w:rsidR="003D5CB6" w:rsidRPr="004D46AC" w14:paraId="2E178D98" w14:textId="77777777" w:rsidTr="00B518F1">
        <w:trPr>
          <w:trHeight w:val="306"/>
          <w:jc w:val="center"/>
        </w:trPr>
        <w:tc>
          <w:tcPr>
            <w:tcW w:w="2678" w:type="dxa"/>
            <w:vAlign w:val="center"/>
          </w:tcPr>
          <w:p w14:paraId="07EBD0BF" w14:textId="77777777" w:rsidR="003D5CB6" w:rsidRPr="004D46AC" w:rsidRDefault="003D5CB6" w:rsidP="00B518F1">
            <w:pPr>
              <w:spacing w:line="360" w:lineRule="auto"/>
              <w:ind w:firstLine="0"/>
              <w:jc w:val="center"/>
              <w:rPr>
                <w:b/>
                <w:bCs/>
              </w:rPr>
            </w:pPr>
            <w:r w:rsidRPr="004D46AC">
              <w:rPr>
                <w:b/>
                <w:bCs/>
              </w:rPr>
              <w:t>CP-Mixed</w:t>
            </w:r>
          </w:p>
        </w:tc>
        <w:tc>
          <w:tcPr>
            <w:tcW w:w="2213" w:type="dxa"/>
            <w:vAlign w:val="center"/>
          </w:tcPr>
          <w:p w14:paraId="7CB3DFC9" w14:textId="77777777" w:rsidR="003D5CB6" w:rsidRPr="004D46AC" w:rsidRDefault="003D5CB6" w:rsidP="00B518F1">
            <w:pPr>
              <w:spacing w:line="360" w:lineRule="auto"/>
              <w:ind w:firstLine="0"/>
              <w:jc w:val="center"/>
            </w:pPr>
            <w:r w:rsidRPr="004D46AC">
              <w:t>Patient type</w:t>
            </w:r>
          </w:p>
        </w:tc>
        <w:tc>
          <w:tcPr>
            <w:tcW w:w="2241" w:type="dxa"/>
            <w:vAlign w:val="center"/>
          </w:tcPr>
          <w:p w14:paraId="1B9D2F43" w14:textId="77777777" w:rsidR="003D5CB6" w:rsidRPr="004D46AC" w:rsidRDefault="003D5CB6" w:rsidP="00B518F1">
            <w:pPr>
              <w:spacing w:line="360" w:lineRule="auto"/>
              <w:ind w:firstLine="0"/>
              <w:jc w:val="center"/>
            </w:pPr>
            <w:r w:rsidRPr="004D46AC">
              <w:rPr>
                <w:rFonts w:eastAsiaTheme="minorEastAsia" w:hint="eastAsia"/>
              </w:rPr>
              <w:t>0</w:t>
            </w:r>
            <w:r w:rsidRPr="004D46AC">
              <w:t>.49 (</w:t>
            </w:r>
            <w:r w:rsidRPr="004D46AC">
              <w:rPr>
                <w:rFonts w:eastAsiaTheme="minorEastAsia" w:hint="eastAsia"/>
              </w:rPr>
              <w:t>0</w:t>
            </w:r>
            <w:r w:rsidRPr="004D46AC">
              <w:t>.30)</w:t>
            </w:r>
          </w:p>
        </w:tc>
        <w:tc>
          <w:tcPr>
            <w:tcW w:w="1618" w:type="dxa"/>
            <w:vAlign w:val="center"/>
          </w:tcPr>
          <w:p w14:paraId="782ADFF3" w14:textId="77777777" w:rsidR="003D5CB6" w:rsidRPr="004D46AC" w:rsidRDefault="003D5CB6" w:rsidP="00B518F1">
            <w:pPr>
              <w:spacing w:line="360" w:lineRule="auto"/>
              <w:ind w:firstLine="0"/>
              <w:jc w:val="center"/>
            </w:pPr>
            <w:r w:rsidRPr="004D46AC">
              <w:t>2.68</w:t>
            </w:r>
          </w:p>
        </w:tc>
        <w:tc>
          <w:tcPr>
            <w:tcW w:w="1077" w:type="dxa"/>
            <w:vAlign w:val="center"/>
          </w:tcPr>
          <w:p w14:paraId="1FDE597A" w14:textId="77777777" w:rsidR="003D5CB6" w:rsidRPr="004D46AC" w:rsidRDefault="003D5CB6" w:rsidP="00B518F1">
            <w:pPr>
              <w:spacing w:line="360" w:lineRule="auto"/>
              <w:ind w:firstLine="0"/>
              <w:jc w:val="center"/>
            </w:pPr>
            <w:r w:rsidRPr="004D46AC">
              <w:t>.19</w:t>
            </w:r>
          </w:p>
        </w:tc>
        <w:tc>
          <w:tcPr>
            <w:tcW w:w="1848" w:type="dxa"/>
            <w:vAlign w:val="center"/>
          </w:tcPr>
          <w:p w14:paraId="301B5BE3" w14:textId="77777777" w:rsidR="003D5CB6" w:rsidRPr="004D46AC" w:rsidRDefault="003D5CB6" w:rsidP="00B518F1">
            <w:pPr>
              <w:spacing w:line="360" w:lineRule="auto"/>
              <w:ind w:firstLine="0"/>
              <w:jc w:val="center"/>
            </w:pPr>
            <w:r w:rsidRPr="004D46AC">
              <w:t>.13 [.05, .65]</w:t>
            </w:r>
          </w:p>
        </w:tc>
        <w:tc>
          <w:tcPr>
            <w:tcW w:w="1926" w:type="dxa"/>
            <w:vAlign w:val="center"/>
          </w:tcPr>
          <w:p w14:paraId="24A0E0A5" w14:textId="77777777" w:rsidR="003D5CB6" w:rsidRPr="004D46AC" w:rsidRDefault="003D5CB6" w:rsidP="00B518F1">
            <w:pPr>
              <w:spacing w:line="360" w:lineRule="auto"/>
              <w:ind w:firstLine="0"/>
              <w:jc w:val="center"/>
            </w:pPr>
            <w:r w:rsidRPr="004D46AC">
              <w:t xml:space="preserve">98.59 </w:t>
            </w:r>
          </w:p>
          <w:p w14:paraId="4AD6D0DD" w14:textId="77777777" w:rsidR="003D5CB6" w:rsidRPr="004D46AC" w:rsidRDefault="003D5CB6" w:rsidP="00B518F1">
            <w:pPr>
              <w:spacing w:line="360" w:lineRule="auto"/>
              <w:ind w:firstLine="0"/>
              <w:jc w:val="center"/>
            </w:pPr>
            <w:r w:rsidRPr="004D46AC">
              <w:t>[96.55, 99.71]</w:t>
            </w:r>
          </w:p>
        </w:tc>
      </w:tr>
      <w:tr w:rsidR="003D5CB6" w:rsidRPr="004D46AC" w14:paraId="737C1B01" w14:textId="77777777" w:rsidTr="00B518F1">
        <w:trPr>
          <w:trHeight w:val="306"/>
          <w:jc w:val="center"/>
        </w:trPr>
        <w:tc>
          <w:tcPr>
            <w:tcW w:w="2678" w:type="dxa"/>
            <w:vAlign w:val="center"/>
          </w:tcPr>
          <w:p w14:paraId="589FDBDB" w14:textId="77777777" w:rsidR="003D5CB6" w:rsidRPr="004D46AC" w:rsidRDefault="003D5CB6" w:rsidP="00B518F1">
            <w:pPr>
              <w:spacing w:line="360" w:lineRule="auto"/>
              <w:ind w:firstLine="0"/>
              <w:jc w:val="center"/>
              <w:rPr>
                <w:b/>
                <w:bCs/>
              </w:rPr>
            </w:pPr>
            <w:r w:rsidRPr="004D46AC">
              <w:rPr>
                <w:b/>
                <w:bCs/>
              </w:rPr>
              <w:t>CP-First episode</w:t>
            </w:r>
          </w:p>
        </w:tc>
        <w:tc>
          <w:tcPr>
            <w:tcW w:w="2213" w:type="dxa"/>
            <w:vAlign w:val="center"/>
          </w:tcPr>
          <w:p w14:paraId="07C24005" w14:textId="77777777" w:rsidR="003D5CB6" w:rsidRPr="004D46AC" w:rsidRDefault="003D5CB6" w:rsidP="00B518F1">
            <w:pPr>
              <w:spacing w:line="360" w:lineRule="auto"/>
              <w:ind w:firstLine="0"/>
              <w:jc w:val="center"/>
            </w:pPr>
            <w:r w:rsidRPr="004D46AC">
              <w:t>Rate of mania</w:t>
            </w:r>
          </w:p>
        </w:tc>
        <w:tc>
          <w:tcPr>
            <w:tcW w:w="2241" w:type="dxa"/>
            <w:vAlign w:val="center"/>
          </w:tcPr>
          <w:p w14:paraId="421EC307" w14:textId="77777777" w:rsidR="003D5CB6" w:rsidRPr="004D46AC" w:rsidRDefault="003D5CB6" w:rsidP="00B518F1">
            <w:pPr>
              <w:spacing w:line="360" w:lineRule="auto"/>
              <w:ind w:firstLine="0"/>
              <w:jc w:val="center"/>
            </w:pPr>
            <w:r w:rsidRPr="004D46AC">
              <w:rPr>
                <w:rFonts w:eastAsiaTheme="minorEastAsia" w:hint="eastAsia"/>
              </w:rPr>
              <w:t>0</w:t>
            </w:r>
            <w:r w:rsidRPr="004D46AC">
              <w:t>.006 (</w:t>
            </w:r>
            <w:r w:rsidRPr="004D46AC">
              <w:rPr>
                <w:rFonts w:eastAsiaTheme="minorEastAsia" w:hint="eastAsia"/>
              </w:rPr>
              <w:t>0</w:t>
            </w:r>
            <w:r w:rsidRPr="004D46AC">
              <w:t>.002) **</w:t>
            </w:r>
          </w:p>
        </w:tc>
        <w:tc>
          <w:tcPr>
            <w:tcW w:w="1618" w:type="dxa"/>
            <w:vAlign w:val="center"/>
          </w:tcPr>
          <w:p w14:paraId="312CBAC3" w14:textId="77777777" w:rsidR="003D5CB6" w:rsidRPr="004D46AC" w:rsidRDefault="003D5CB6" w:rsidP="00B518F1">
            <w:pPr>
              <w:spacing w:line="360" w:lineRule="auto"/>
              <w:ind w:firstLine="0"/>
              <w:jc w:val="center"/>
            </w:pPr>
            <w:r w:rsidRPr="004D46AC">
              <w:t>16.38 **</w:t>
            </w:r>
          </w:p>
        </w:tc>
        <w:tc>
          <w:tcPr>
            <w:tcW w:w="1077" w:type="dxa"/>
            <w:vAlign w:val="center"/>
          </w:tcPr>
          <w:p w14:paraId="1C058ECD" w14:textId="77777777" w:rsidR="003D5CB6" w:rsidRPr="004D46AC" w:rsidRDefault="003D5CB6" w:rsidP="00B518F1">
            <w:pPr>
              <w:spacing w:line="360" w:lineRule="auto"/>
              <w:ind w:firstLine="0"/>
              <w:jc w:val="center"/>
            </w:pPr>
            <w:r w:rsidRPr="004D46AC">
              <w:t>.56</w:t>
            </w:r>
          </w:p>
        </w:tc>
        <w:tc>
          <w:tcPr>
            <w:tcW w:w="1848" w:type="dxa"/>
            <w:vAlign w:val="center"/>
          </w:tcPr>
          <w:p w14:paraId="1C441EA6" w14:textId="77777777" w:rsidR="003D5CB6" w:rsidRPr="004D46AC" w:rsidRDefault="003D5CB6" w:rsidP="00B518F1">
            <w:pPr>
              <w:spacing w:line="360" w:lineRule="auto"/>
              <w:ind w:firstLine="0"/>
              <w:jc w:val="center"/>
            </w:pPr>
            <w:r w:rsidRPr="004D46AC">
              <w:t>.03 [.01, .08]</w:t>
            </w:r>
          </w:p>
        </w:tc>
        <w:tc>
          <w:tcPr>
            <w:tcW w:w="1926" w:type="dxa"/>
            <w:vAlign w:val="center"/>
          </w:tcPr>
          <w:p w14:paraId="7C58876A" w14:textId="77777777" w:rsidR="003D5CB6" w:rsidRPr="004D46AC" w:rsidRDefault="003D5CB6" w:rsidP="00B518F1">
            <w:pPr>
              <w:spacing w:line="360" w:lineRule="auto"/>
              <w:ind w:firstLine="0"/>
              <w:jc w:val="center"/>
            </w:pPr>
            <w:r w:rsidRPr="004D46AC">
              <w:t xml:space="preserve">96.48 </w:t>
            </w:r>
          </w:p>
          <w:p w14:paraId="6B4FE7CA" w14:textId="77777777" w:rsidR="003D5CB6" w:rsidRPr="004D46AC" w:rsidRDefault="003D5CB6" w:rsidP="00B518F1">
            <w:pPr>
              <w:spacing w:line="360" w:lineRule="auto"/>
              <w:ind w:firstLine="0"/>
              <w:jc w:val="center"/>
            </w:pPr>
            <w:r w:rsidRPr="004D46AC">
              <w:t>[92.91, 98.76]</w:t>
            </w:r>
          </w:p>
        </w:tc>
      </w:tr>
    </w:tbl>
    <w:p w14:paraId="7B24E17B" w14:textId="77777777" w:rsidR="003D5CB6" w:rsidRPr="004D46AC" w:rsidRDefault="003D5CB6" w:rsidP="00B518F1">
      <w:pPr>
        <w:spacing w:line="360" w:lineRule="auto"/>
        <w:ind w:firstLine="0"/>
        <w:rPr>
          <w:rFonts w:eastAsiaTheme="minorEastAsia"/>
        </w:rPr>
      </w:pPr>
      <w:r w:rsidRPr="004D46AC">
        <w:rPr>
          <w:i/>
          <w:iCs/>
        </w:rPr>
        <w:t>Note</w:t>
      </w:r>
      <w:r w:rsidRPr="004D46AC">
        <w:rPr>
          <w:b/>
          <w:bCs/>
          <w:i/>
          <w:iCs/>
        </w:rPr>
        <w:t xml:space="preserve">. </w:t>
      </w:r>
      <w:r w:rsidRPr="004D46AC">
        <w:t>LP: lifetime psychosis; CP: Current psychosis</w:t>
      </w:r>
      <w:r w:rsidRPr="004D46AC">
        <w:rPr>
          <w:rFonts w:eastAsiaTheme="minorEastAsia" w:hint="eastAsia"/>
        </w:rPr>
        <w:t>.</w:t>
      </w:r>
      <w:r w:rsidRPr="004D46AC">
        <w:t xml:space="preserve"> No meaningful predictors were found for lifetime psychosis in patients with manic episode or current psychosis in bipolar ii patients</w:t>
      </w:r>
      <w:r w:rsidRPr="004D46AC">
        <w:rPr>
          <w:rFonts w:eastAsiaTheme="minorEastAsia" w:hint="eastAsia"/>
        </w:rPr>
        <w:t>.</w:t>
      </w:r>
      <w:r w:rsidRPr="004D46AC">
        <w:t xml:space="preserve"> </w:t>
      </w:r>
      <w:r w:rsidRPr="004D46AC">
        <w:rPr>
          <w:rFonts w:eastAsiaTheme="minorEastAsia" w:hint="eastAsia"/>
        </w:rPr>
        <w:t>F</w:t>
      </w:r>
      <w:r w:rsidRPr="004D46AC">
        <w:t>or regression on psychosis in mania, patients with mixed episode have been included since not all patients were suffering from unique manic episode.</w:t>
      </w:r>
    </w:p>
    <w:p w14:paraId="50EB3015" w14:textId="77777777" w:rsidR="003D5CB6" w:rsidRPr="004D46AC" w:rsidRDefault="003D5CB6" w:rsidP="00B518F1">
      <w:pPr>
        <w:spacing w:line="360" w:lineRule="auto"/>
        <w:ind w:firstLine="0"/>
        <w:rPr>
          <w:rFonts w:eastAsiaTheme="minorEastAsia"/>
        </w:rPr>
      </w:pPr>
      <w:r w:rsidRPr="004D46AC">
        <w:rPr>
          <w:rFonts w:eastAsiaTheme="minorEastAsia"/>
        </w:rPr>
        <w:t>·</w:t>
      </w:r>
      <w:r w:rsidRPr="004D46AC">
        <w:rPr>
          <w:rFonts w:eastAsiaTheme="minorEastAsia"/>
          <w:i/>
          <w:iCs/>
        </w:rPr>
        <w:t xml:space="preserve">p </w:t>
      </w:r>
      <w:r w:rsidRPr="004D46AC">
        <w:rPr>
          <w:rFonts w:eastAsiaTheme="minorEastAsia"/>
        </w:rPr>
        <w:t xml:space="preserve">&gt; .05 </w:t>
      </w:r>
      <w:proofErr w:type="gramStart"/>
      <w:r w:rsidRPr="004D46AC">
        <w:rPr>
          <w:rFonts w:eastAsiaTheme="minorEastAsia"/>
        </w:rPr>
        <w:t>and  p</w:t>
      </w:r>
      <w:proofErr w:type="gramEnd"/>
      <w:r w:rsidRPr="004D46AC">
        <w:rPr>
          <w:rFonts w:eastAsiaTheme="minorEastAsia"/>
        </w:rPr>
        <w:t xml:space="preserve"> &lt; .1; * </w:t>
      </w:r>
      <w:r w:rsidRPr="004D46AC">
        <w:rPr>
          <w:rFonts w:eastAsiaTheme="minorEastAsia"/>
          <w:i/>
          <w:iCs/>
        </w:rPr>
        <w:t xml:space="preserve">p </w:t>
      </w:r>
      <w:r w:rsidRPr="004D46AC">
        <w:rPr>
          <w:rFonts w:eastAsiaTheme="minorEastAsia"/>
        </w:rPr>
        <w:t>&lt; .05; **</w:t>
      </w:r>
      <w:r w:rsidRPr="004D46AC">
        <w:rPr>
          <w:rFonts w:eastAsiaTheme="minorEastAsia"/>
          <w:i/>
          <w:iCs/>
        </w:rPr>
        <w:t>p</w:t>
      </w:r>
      <w:r w:rsidRPr="004D46AC">
        <w:rPr>
          <w:rFonts w:eastAsiaTheme="minorEastAsia"/>
        </w:rPr>
        <w:t>&lt;.01, ***</w:t>
      </w:r>
      <w:r w:rsidRPr="004D46AC">
        <w:rPr>
          <w:rFonts w:eastAsiaTheme="minorEastAsia"/>
          <w:i/>
          <w:iCs/>
        </w:rPr>
        <w:t xml:space="preserve">p </w:t>
      </w:r>
      <w:r w:rsidRPr="004D46AC">
        <w:rPr>
          <w:rFonts w:eastAsiaTheme="minorEastAsia"/>
        </w:rPr>
        <w:t>&lt; .001</w:t>
      </w:r>
      <w:r w:rsidRPr="004D46AC">
        <w:rPr>
          <w:rFonts w:eastAsiaTheme="minorEastAsia" w:hint="eastAsia"/>
        </w:rPr>
        <w:t>.</w:t>
      </w:r>
    </w:p>
    <w:p w14:paraId="69A06DF8" w14:textId="77777777" w:rsidR="003D5CB6" w:rsidRPr="004D46AC" w:rsidRDefault="003D5CB6" w:rsidP="00B518F1">
      <w:pPr>
        <w:spacing w:line="360" w:lineRule="auto"/>
        <w:ind w:firstLine="0"/>
        <w:rPr>
          <w:rFonts w:eastAsiaTheme="minorEastAsia"/>
        </w:rPr>
      </w:pPr>
    </w:p>
    <w:p w14:paraId="4AA7A2DA" w14:textId="77777777" w:rsidR="003D5CB6" w:rsidRPr="004D46AC" w:rsidRDefault="003D5CB6" w:rsidP="00B518F1">
      <w:pPr>
        <w:pStyle w:val="3"/>
      </w:pPr>
      <w:r w:rsidRPr="004D46AC">
        <w:t>Comorbid Psychosis</w:t>
      </w:r>
    </w:p>
    <w:p w14:paraId="1C1F6448" w14:textId="77777777" w:rsidR="003D5CB6" w:rsidRPr="004D46AC" w:rsidRDefault="003D5CB6" w:rsidP="00B518F1">
      <w:pPr>
        <w:pStyle w:val="4"/>
      </w:pPr>
      <w:r w:rsidRPr="004D46AC">
        <w:t>Mood incongruent psychosis (MIP)</w:t>
      </w:r>
    </w:p>
    <w:p w14:paraId="7B56E4E3" w14:textId="77777777" w:rsidR="003D5CB6" w:rsidRPr="004D46AC" w:rsidRDefault="003D5CB6" w:rsidP="00B518F1">
      <w:pPr>
        <w:rPr>
          <w:rFonts w:eastAsiaTheme="minorEastAsia"/>
          <w:b/>
          <w:iCs/>
        </w:rPr>
      </w:pPr>
      <w:r w:rsidRPr="004D46AC">
        <w:t>The pooled prevalence of MIP in psychotic bipolar patients was 47.43% (95% CI [38.55, 56.40]</w:t>
      </w:r>
      <w:r w:rsidRPr="004D46AC">
        <w:rPr>
          <w:rFonts w:eastAsiaTheme="minorEastAsia" w:hint="eastAsia"/>
        </w:rPr>
        <w:t>,</w:t>
      </w:r>
      <w:r w:rsidRPr="004D46AC">
        <w:t xml:space="preserve"> </w:t>
      </w:r>
      <w:r w:rsidRPr="004D46AC">
        <w:rPr>
          <w:i/>
        </w:rPr>
        <w:t>k</w:t>
      </w:r>
      <w:r w:rsidRPr="004D46AC">
        <w:t xml:space="preserve"> = 21), with very high heterogeneity (</w:t>
      </w:r>
      <w:r w:rsidRPr="004D46AC">
        <w:rPr>
          <w:i/>
        </w:rPr>
        <w:t>I</w:t>
      </w:r>
      <w:r w:rsidRPr="004D46AC">
        <w:t>² = 95.9%). Publication bias was not evident (</w:t>
      </w:r>
      <w:r w:rsidRPr="004D46AC">
        <w:rPr>
          <w:i/>
        </w:rPr>
        <w:t>z</w:t>
      </w:r>
      <w:r w:rsidRPr="004D46AC">
        <w:t xml:space="preserve"> = -0.50, </w:t>
      </w:r>
      <w:r w:rsidRPr="004D46AC">
        <w:rPr>
          <w:i/>
        </w:rPr>
        <w:t>p</w:t>
      </w:r>
      <w:r w:rsidRPr="004D46AC">
        <w:t xml:space="preserve"> = .61). No significant outliers were identified, and subgroup analysis on the timeframe of the prevalence as well as the type of bipolar disorder did not yield significant findings. Meta-regression found that age and publication date explained 45.67% of the between-study variance, and the heterogeneity </w:t>
      </w:r>
      <w:proofErr w:type="gramStart"/>
      <w:r w:rsidRPr="004D46AC">
        <w:t>still remained</w:t>
      </w:r>
      <w:proofErr w:type="gramEnd"/>
      <w:r w:rsidRPr="004D46AC">
        <w:t xml:space="preserve"> high (</w:t>
      </w:r>
      <w:r w:rsidRPr="004D46AC">
        <w:rPr>
          <w:i/>
        </w:rPr>
        <w:t>I</w:t>
      </w:r>
      <w:r w:rsidRPr="004D46AC">
        <w:t xml:space="preserve">² = 95.15%). Being older (estimate = 0.01, </w:t>
      </w:r>
      <w:r w:rsidRPr="004D46AC">
        <w:rPr>
          <w:i/>
        </w:rPr>
        <w:t>SE</w:t>
      </w:r>
      <w:r w:rsidRPr="004D46AC">
        <w:t xml:space="preserve"> = 0.005, </w:t>
      </w:r>
      <w:r w:rsidRPr="004D46AC">
        <w:rPr>
          <w:i/>
        </w:rPr>
        <w:t>p</w:t>
      </w:r>
      <w:r w:rsidRPr="004D46AC">
        <w:t xml:space="preserve"> = .01) predicted higher prevalence of MIP; a similar trend was found for earlier date of publication (estimate = -0.01, </w:t>
      </w:r>
      <w:r w:rsidRPr="004D46AC">
        <w:rPr>
          <w:i/>
        </w:rPr>
        <w:t>SE</w:t>
      </w:r>
      <w:r w:rsidRPr="004D46AC">
        <w:t xml:space="preserve"> = 0.004, </w:t>
      </w:r>
      <w:r w:rsidRPr="004D46AC">
        <w:rPr>
          <w:i/>
        </w:rPr>
        <w:t>p</w:t>
      </w:r>
      <w:r w:rsidRPr="004D46AC">
        <w:t xml:space="preserve"> &lt; .01).</w:t>
      </w:r>
    </w:p>
    <w:p w14:paraId="4F97C449" w14:textId="77777777" w:rsidR="003D5CB6" w:rsidRPr="004D46AC" w:rsidRDefault="003D5CB6" w:rsidP="00B518F1">
      <w:pPr>
        <w:pStyle w:val="4"/>
        <w:rPr>
          <w:rFonts w:eastAsiaTheme="minorEastAsia"/>
        </w:rPr>
      </w:pPr>
      <w:r w:rsidRPr="004D46AC">
        <w:t>Lifetime psychosis</w:t>
      </w:r>
    </w:p>
    <w:p w14:paraId="0C520D0C" w14:textId="6DA29CEA" w:rsidR="003D5CB6" w:rsidRPr="004D46AC" w:rsidRDefault="003D5CB6" w:rsidP="00B518F1">
      <w:r w:rsidRPr="004D46AC">
        <w:t>The combined prevalence of lifetime psychosis in bipolar patients was 53.08% (95% CI [49.72, 56.43]). Publication bias was not evident (</w:t>
      </w:r>
      <w:r w:rsidRPr="004D46AC">
        <w:rPr>
          <w:i/>
          <w:iCs/>
        </w:rPr>
        <w:t>z</w:t>
      </w:r>
      <w:r w:rsidRPr="004D46AC">
        <w:t xml:space="preserve"> = 0.33, </w:t>
      </w:r>
      <w:r w:rsidRPr="004D46AC">
        <w:rPr>
          <w:i/>
          <w:iCs/>
        </w:rPr>
        <w:t>p</w:t>
      </w:r>
      <w:r w:rsidRPr="004D46AC">
        <w:t xml:space="preserve"> = .74). Significant outliers were not detected. The between-study variance estimated by </w:t>
      </w:r>
      <w:proofErr w:type="gramStart"/>
      <w:r w:rsidRPr="004D46AC">
        <w:rPr>
          <w:i/>
          <w:iCs/>
        </w:rPr>
        <w:t>I</w:t>
      </w:r>
      <w:proofErr w:type="gramEnd"/>
      <w:r w:rsidRPr="004D46AC">
        <w:t xml:space="preserve">² is 97.74%, reflecting a high level of heterogeneity between studies. Subgroup analysis was conducted for this reason. Despite the evident difference between different BSD types, the overall heterogeneity was not significantly reduced. Findings from meta-regression revealed that BSD type and gender </w:t>
      </w:r>
      <w:r w:rsidRPr="004D46AC">
        <w:lastRenderedPageBreak/>
        <w:t>(</w:t>
      </w:r>
      <w:proofErr w:type="spellStart"/>
      <w:r w:rsidRPr="004D46AC">
        <w:rPr>
          <w:rFonts w:eastAsiaTheme="minorEastAsia"/>
          <w:i/>
          <w:iCs/>
        </w:rPr>
        <w:t>k</w:t>
      </w:r>
      <w:r w:rsidRPr="004D46AC">
        <w:rPr>
          <w:vertAlign w:val="subscript"/>
        </w:rPr>
        <w:t>missing</w:t>
      </w:r>
      <w:proofErr w:type="spellEnd"/>
      <w:r w:rsidRPr="004D46AC">
        <w:rPr>
          <w:rFonts w:eastAsiaTheme="minorEastAsia" w:hint="eastAsia"/>
          <w:vertAlign w:val="subscript"/>
        </w:rPr>
        <w:t xml:space="preserve"> </w:t>
      </w:r>
      <w:r w:rsidRPr="004D46AC">
        <w:rPr>
          <w:rFonts w:eastAsiaTheme="minorEastAsia"/>
        </w:rPr>
        <w:t>= 6</w:t>
      </w:r>
      <w:r w:rsidRPr="004D46AC">
        <w:t>) explained 16.45% of the total variance, and a minor decrease was observed in heterogeneity (</w:t>
      </w:r>
      <w:r w:rsidRPr="004D46AC">
        <w:rPr>
          <w:i/>
          <w:iCs/>
        </w:rPr>
        <w:t>I</w:t>
      </w:r>
      <w:r w:rsidRPr="004D46AC">
        <w:t xml:space="preserve">² = 96.97%). Patients with bipolar I (estimate = 0.14, </w:t>
      </w:r>
      <w:r w:rsidRPr="004D46AC">
        <w:rPr>
          <w:i/>
          <w:iCs/>
        </w:rPr>
        <w:t>SE</w:t>
      </w:r>
      <w:r w:rsidRPr="004D46AC">
        <w:t xml:space="preserve"> = 0.04, </w:t>
      </w:r>
      <w:r w:rsidRPr="004D46AC">
        <w:rPr>
          <w:i/>
          <w:iCs/>
        </w:rPr>
        <w:t>p</w:t>
      </w:r>
      <w:r w:rsidRPr="004D46AC">
        <w:t xml:space="preserve"> &lt; .001) and being male (estimate = -0.003, </w:t>
      </w:r>
      <w:r w:rsidRPr="004D46AC">
        <w:rPr>
          <w:i/>
          <w:iCs/>
        </w:rPr>
        <w:t>SE</w:t>
      </w:r>
      <w:r w:rsidRPr="004D46AC">
        <w:t xml:space="preserve"> = 0.001, </w:t>
      </w:r>
      <w:r w:rsidRPr="004D46AC">
        <w:rPr>
          <w:i/>
          <w:iCs/>
        </w:rPr>
        <w:t>p</w:t>
      </w:r>
      <w:r w:rsidRPr="004D46AC">
        <w:t xml:space="preserve"> &lt; .05) were at increased risk of lifetime psychosis (see Tables 2.3–2.4 and Figures B</w:t>
      </w:r>
      <w:r w:rsidR="000B4CBF" w:rsidRPr="004D46AC">
        <w:rPr>
          <w:rFonts w:eastAsiaTheme="minorEastAsia" w:hint="eastAsia"/>
        </w:rPr>
        <w:t xml:space="preserve"> </w:t>
      </w:r>
      <w:r w:rsidRPr="004D46AC">
        <w:t>3–6 for details).</w:t>
      </w:r>
    </w:p>
    <w:p w14:paraId="42CB47BF" w14:textId="77777777" w:rsidR="003D5CB6" w:rsidRPr="004D46AC" w:rsidRDefault="003D5CB6" w:rsidP="00B518F1">
      <w:r w:rsidRPr="004D46AC">
        <w:t>Subsequent syntheses were conducted for lifetime psychosis in patients with bipolar I (</w:t>
      </w:r>
      <w:r w:rsidRPr="004D46AC">
        <w:rPr>
          <w:i/>
          <w:iCs/>
        </w:rPr>
        <w:t>k</w:t>
      </w:r>
      <w:r w:rsidRPr="004D46AC">
        <w:t xml:space="preserve"> = 40) or bipolar II disorder (</w:t>
      </w:r>
      <w:r w:rsidRPr="004D46AC">
        <w:rPr>
          <w:i/>
          <w:iCs/>
        </w:rPr>
        <w:t>k</w:t>
      </w:r>
      <w:r w:rsidRPr="004D46AC">
        <w:t xml:space="preserve"> = 13). The pooled lifetime prevalence of psychosis in patients with bipolar I disorder was 64.19% (95% CI [59.64, 68.62]), and </w:t>
      </w:r>
      <w:r w:rsidRPr="004D46AC">
        <w:rPr>
          <w:i/>
          <w:iCs/>
        </w:rPr>
        <w:t>I</w:t>
      </w:r>
      <w:r w:rsidRPr="004D46AC">
        <w:t>² was 94.69%. Studentised residuals as well as sensitivity analysis suggested that a potential outlier (</w:t>
      </w:r>
      <w:r w:rsidRPr="004D46AC">
        <w:rPr>
          <w:i/>
          <w:iCs/>
        </w:rPr>
        <w:t>t</w:t>
      </w:r>
      <w:r w:rsidRPr="004D46AC">
        <w:t xml:space="preserve"> = 5.16) caused a significant increase in the heterogeneity </w:t>
      </w:r>
      <w:r w:rsidRPr="004D46AC">
        <w:fldChar w:fldCharType="begin">
          <w:fldData xml:space="preserve">PEVuZE5vdGU+PENpdGU+PEF1dGhvcj5QYXJrZXI8L0F1dGhvcj48WWVhcj4yMDEzPC9ZZWFyPjxS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instrText xml:space="preserve"> ADDIN EN.CITE </w:instrText>
      </w:r>
      <w:r w:rsidRPr="004D46AC">
        <w:fldChar w:fldCharType="begin">
          <w:fldData xml:space="preserve">PEVuZE5vdGU+PENpdGU+PEF1dGhvcj5QYXJrZXI8L0F1dGhvcj48WWVhcj4yMDEzPC9ZZWFyPjxS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instrText xml:space="preserve"> ADDIN EN.CITE.DATA </w:instrText>
      </w:r>
      <w:r w:rsidRPr="004D46AC">
        <w:fldChar w:fldCharType="end"/>
      </w:r>
      <w:r w:rsidRPr="004D46AC">
        <w:fldChar w:fldCharType="separate"/>
      </w:r>
      <w:r w:rsidRPr="004D46AC">
        <w:rPr>
          <w:noProof/>
        </w:rPr>
        <w:t>(Parker et al., 2013)</w:t>
      </w:r>
      <w:r w:rsidRPr="004D46AC">
        <w:fldChar w:fldCharType="end"/>
      </w:r>
      <w:r w:rsidRPr="004D46AC">
        <w:t>; the heterogeneity decreased to 90.86% after dropping this study. The pooled prevalence after the removal was 62.81% (95% CI [59.24, 66.31]). Publication bias was not evident (</w:t>
      </w:r>
      <w:r w:rsidRPr="004D46AC">
        <w:rPr>
          <w:i/>
          <w:iCs/>
        </w:rPr>
        <w:t>z</w:t>
      </w:r>
      <w:r w:rsidRPr="004D46AC">
        <w:t xml:space="preserve"> = -1.05, </w:t>
      </w:r>
      <w:r w:rsidRPr="004D46AC">
        <w:rPr>
          <w:i/>
          <w:iCs/>
        </w:rPr>
        <w:t>p</w:t>
      </w:r>
      <w:r w:rsidRPr="004D46AC">
        <w:t xml:space="preserve"> = .30). Subgroup analysis on clinical status and patient source did not yield significant decreases in heterogeneity. Findings from meta-regression suggested that age of onset (</w:t>
      </w:r>
      <w:proofErr w:type="spellStart"/>
      <w:r w:rsidRPr="004D46AC">
        <w:rPr>
          <w:i/>
          <w:iCs/>
        </w:rPr>
        <w:t>k</w:t>
      </w:r>
      <w:r w:rsidRPr="004D46AC">
        <w:rPr>
          <w:vertAlign w:val="subscript"/>
        </w:rPr>
        <w:t>missing</w:t>
      </w:r>
      <w:proofErr w:type="spellEnd"/>
      <w:r w:rsidRPr="004D46AC">
        <w:rPr>
          <w:vertAlign w:val="subscript"/>
        </w:rPr>
        <w:t xml:space="preserve"> </w:t>
      </w:r>
      <w:r w:rsidRPr="004D46AC">
        <w:t>= 7), first-level evidence, duration of illness, gender, age (</w:t>
      </w:r>
      <w:proofErr w:type="spellStart"/>
      <w:r w:rsidRPr="004D46AC">
        <w:rPr>
          <w:i/>
          <w:iCs/>
        </w:rPr>
        <w:t>k</w:t>
      </w:r>
      <w:r w:rsidRPr="004D46AC">
        <w:rPr>
          <w:vertAlign w:val="subscript"/>
        </w:rPr>
        <w:t>missing</w:t>
      </w:r>
      <w:proofErr w:type="spellEnd"/>
      <w:r w:rsidRPr="004D46AC">
        <w:t xml:space="preserve"> = 3), patient type, and publication date explained 32.16% of the variance; the residual </w:t>
      </w:r>
      <w:r w:rsidRPr="004D46AC">
        <w:rPr>
          <w:i/>
          <w:iCs/>
        </w:rPr>
        <w:t>I</w:t>
      </w:r>
      <w:r w:rsidRPr="004D46AC">
        <w:t xml:space="preserve">² was 80.55%. Prevalence of lifetime psychosis was higher in studies using consecutive sampling (estimate = 0.09, </w:t>
      </w:r>
      <w:r w:rsidRPr="004D46AC">
        <w:rPr>
          <w:i/>
          <w:iCs/>
        </w:rPr>
        <w:t>SE</w:t>
      </w:r>
      <w:r w:rsidRPr="004D46AC">
        <w:t xml:space="preserve"> = 0.04, </w:t>
      </w:r>
      <w:r w:rsidRPr="004D46AC">
        <w:rPr>
          <w:i/>
          <w:iCs/>
        </w:rPr>
        <w:t>p</w:t>
      </w:r>
      <w:r w:rsidRPr="004D46AC">
        <w:t xml:space="preserve"> &lt; .05) and lower for studies reporting first-episode psychosis (estimate = 0.13, </w:t>
      </w:r>
      <w:r w:rsidRPr="004D46AC">
        <w:rPr>
          <w:i/>
          <w:iCs/>
        </w:rPr>
        <w:t>SE</w:t>
      </w:r>
      <w:r w:rsidRPr="004D46AC">
        <w:t xml:space="preserve"> = 0.06, </w:t>
      </w:r>
      <w:r w:rsidRPr="004D46AC">
        <w:rPr>
          <w:i/>
          <w:iCs/>
        </w:rPr>
        <w:t>p</w:t>
      </w:r>
      <w:r w:rsidRPr="004D46AC">
        <w:t xml:space="preserve"> &lt; .02).</w:t>
      </w:r>
    </w:p>
    <w:p w14:paraId="0B8C41AF" w14:textId="77777777" w:rsidR="003D5CB6" w:rsidRPr="004D46AC" w:rsidRDefault="003D5CB6" w:rsidP="00B518F1">
      <w:r w:rsidRPr="004D46AC">
        <w:t>The synthesized rate of lifetime psychosis in bipolar II disorder was 16.97% (95% CI [11.75, 22.88]), with high heterogeneity (</w:t>
      </w:r>
      <w:r w:rsidRPr="004D46AC">
        <w:rPr>
          <w:i/>
          <w:iCs/>
        </w:rPr>
        <w:t>I</w:t>
      </w:r>
      <w:r w:rsidRPr="004D46AC">
        <w:t>² = 88.4%) between studies. No significant outliers were identified. Subgroup analysis on clinical status as well as patient type did not produce significant findings. Meta-regression revealed that age (</w:t>
      </w:r>
      <w:proofErr w:type="spellStart"/>
      <w:r w:rsidRPr="004D46AC">
        <w:rPr>
          <w:i/>
          <w:iCs/>
        </w:rPr>
        <w:t>k</w:t>
      </w:r>
      <w:r w:rsidRPr="004D46AC">
        <w:rPr>
          <w:vertAlign w:val="subscript"/>
        </w:rPr>
        <w:t>missing</w:t>
      </w:r>
      <w:proofErr w:type="spellEnd"/>
      <w:r w:rsidRPr="004D46AC">
        <w:rPr>
          <w:vertAlign w:val="subscript"/>
        </w:rPr>
        <w:t xml:space="preserve"> </w:t>
      </w:r>
      <w:r w:rsidRPr="004D46AC">
        <w:t>= 1) and gender explained 63.72% of the variance, and a change in heterogeneity was observed (</w:t>
      </w:r>
      <w:r w:rsidRPr="004D46AC">
        <w:rPr>
          <w:i/>
          <w:iCs/>
        </w:rPr>
        <w:t>I</w:t>
      </w:r>
      <w:r w:rsidRPr="004D46AC">
        <w:t xml:space="preserve">² = 79.10%). Bipolar II patients who were older (estimate = 0.01, </w:t>
      </w:r>
      <w:r w:rsidRPr="004D46AC">
        <w:rPr>
          <w:i/>
          <w:iCs/>
        </w:rPr>
        <w:t>SE</w:t>
      </w:r>
      <w:r w:rsidRPr="004D46AC">
        <w:t xml:space="preserve"> = 0.004, </w:t>
      </w:r>
      <w:r w:rsidRPr="004D46AC">
        <w:rPr>
          <w:i/>
          <w:iCs/>
        </w:rPr>
        <w:t>p</w:t>
      </w:r>
      <w:r w:rsidRPr="004D46AC">
        <w:t xml:space="preserve"> &lt; .005) or male (estimate = -0.01, </w:t>
      </w:r>
      <w:r w:rsidRPr="004D46AC">
        <w:rPr>
          <w:i/>
          <w:iCs/>
        </w:rPr>
        <w:t>SE</w:t>
      </w:r>
      <w:r w:rsidRPr="004D46AC">
        <w:t xml:space="preserve"> = 0.005, </w:t>
      </w:r>
      <w:r w:rsidRPr="004D46AC">
        <w:rPr>
          <w:i/>
          <w:iCs/>
        </w:rPr>
        <w:t>p</w:t>
      </w:r>
      <w:r w:rsidRPr="004D46AC">
        <w:t xml:space="preserve"> &lt; .02) were at risk of lifetime psychosis.</w:t>
      </w:r>
    </w:p>
    <w:p w14:paraId="1EC07B24" w14:textId="77777777" w:rsidR="003D5CB6" w:rsidRPr="004D46AC" w:rsidRDefault="003D5CB6" w:rsidP="00B518F1">
      <w:r w:rsidRPr="004D46AC">
        <w:t>The pooled rate of lifetime psychosis in BSD patients with a manic episode was 75.28% (95% CI [59.67, 88.18]</w:t>
      </w:r>
      <w:r w:rsidRPr="004D46AC">
        <w:rPr>
          <w:rFonts w:eastAsiaTheme="minorEastAsia" w:hint="eastAsia"/>
        </w:rPr>
        <w:t>,</w:t>
      </w:r>
      <w:r w:rsidRPr="004D46AC">
        <w:t xml:space="preserve"> </w:t>
      </w:r>
      <w:r w:rsidRPr="004D46AC">
        <w:rPr>
          <w:i/>
          <w:iCs/>
        </w:rPr>
        <w:t>k</w:t>
      </w:r>
      <w:r w:rsidRPr="004D46AC">
        <w:t xml:space="preserve"> = 9), with very high heterogeneity (</w:t>
      </w:r>
      <w:r w:rsidRPr="004D46AC">
        <w:rPr>
          <w:i/>
          <w:iCs/>
        </w:rPr>
        <w:t>I</w:t>
      </w:r>
      <w:r w:rsidRPr="004D46AC">
        <w:t>² = 95.58%). An outlier (</w:t>
      </w:r>
      <w:r w:rsidRPr="004D46AC">
        <w:rPr>
          <w:i/>
          <w:iCs/>
        </w:rPr>
        <w:t>t</w:t>
      </w:r>
      <w:r w:rsidRPr="004D46AC">
        <w:t xml:space="preserve"> = 2.84) contributed significantly to the heterogeneity. The heterogeneity decreased to </w:t>
      </w:r>
      <w:r w:rsidRPr="004D46AC">
        <w:lastRenderedPageBreak/>
        <w:t xml:space="preserve">91.20% after the removal of this study, and the pooled rate decreased to 69.58% (95% CI [57.15, 80.75]; </w:t>
      </w:r>
      <w:r w:rsidRPr="004D46AC">
        <w:rPr>
          <w:i/>
          <w:iCs/>
        </w:rPr>
        <w:t>k</w:t>
      </w:r>
      <w:r w:rsidRPr="004D46AC">
        <w:t xml:space="preserve"> = 8). Publication bias was not evident (</w:t>
      </w:r>
      <w:r w:rsidRPr="004D46AC">
        <w:rPr>
          <w:i/>
          <w:iCs/>
        </w:rPr>
        <w:t>z</w:t>
      </w:r>
      <w:r w:rsidRPr="004D46AC">
        <w:t xml:space="preserve"> = 0.29, </w:t>
      </w:r>
      <w:r w:rsidRPr="004D46AC">
        <w:rPr>
          <w:i/>
          <w:iCs/>
        </w:rPr>
        <w:t>p</w:t>
      </w:r>
      <w:r w:rsidRPr="004D46AC">
        <w:t xml:space="preserve"> = .77). Subgroup analysis on the nature of the mood episode did not explain any variance. No predictors were found in meta-regression.</w:t>
      </w:r>
    </w:p>
    <w:p w14:paraId="5940E021" w14:textId="6A5C55B1" w:rsidR="003D5CB6" w:rsidRPr="004D46AC" w:rsidRDefault="003D5CB6" w:rsidP="00B518F1">
      <w:r w:rsidRPr="004D46AC">
        <w:t>The pooled rate of lifetime psychosis for depression was 37.03% (95% CI [21.14, 54.50]</w:t>
      </w:r>
      <w:r w:rsidRPr="004D46AC">
        <w:rPr>
          <w:rFonts w:eastAsiaTheme="minorEastAsia" w:hint="eastAsia"/>
        </w:rPr>
        <w:t>,</w:t>
      </w:r>
      <w:r w:rsidRPr="004D46AC">
        <w:t xml:space="preserve"> </w:t>
      </w:r>
      <w:r w:rsidRPr="004D46AC">
        <w:rPr>
          <w:i/>
          <w:iCs/>
        </w:rPr>
        <w:t>k</w:t>
      </w:r>
      <w:r w:rsidRPr="004D46AC">
        <w:t xml:space="preserve"> = 7), and the heterogeneity was very high (</w:t>
      </w:r>
      <w:r w:rsidRPr="004D46AC">
        <w:rPr>
          <w:i/>
          <w:iCs/>
        </w:rPr>
        <w:t>I</w:t>
      </w:r>
      <w:r w:rsidRPr="004D46AC">
        <w:t>² = 97.66%). An outlier (</w:t>
      </w:r>
      <w:r w:rsidRPr="004D46AC">
        <w:rPr>
          <w:i/>
          <w:iCs/>
        </w:rPr>
        <w:t>t</w:t>
      </w:r>
      <w:r w:rsidRPr="004D46AC">
        <w:t xml:space="preserve"> = -2.39) significantly contributed to the heterogeneity; the heterogeneity after removal was 94.65% and the rate was 43.47% (95% CI [29.72, 57.74]). Publication bias was not evident (</w:t>
      </w:r>
      <w:r w:rsidRPr="004D46AC">
        <w:rPr>
          <w:i/>
          <w:iCs/>
        </w:rPr>
        <w:t>z</w:t>
      </w:r>
      <w:r w:rsidRPr="004D46AC">
        <w:t xml:space="preserve"> = 0.65, </w:t>
      </w:r>
      <w:r w:rsidRPr="004D46AC">
        <w:rPr>
          <w:i/>
          <w:iCs/>
        </w:rPr>
        <w:t>p</w:t>
      </w:r>
      <w:r w:rsidRPr="004D46AC">
        <w:t xml:space="preserve"> = .51). Subgroup analysis by BSD type explained 84.69% of the variance, and the remaining heterogeneity was high (</w:t>
      </w:r>
      <w:r w:rsidRPr="004D46AC">
        <w:rPr>
          <w:i/>
          <w:iCs/>
        </w:rPr>
        <w:t>I</w:t>
      </w:r>
      <w:r w:rsidRPr="004D46AC">
        <w:t xml:space="preserve">² = 72.96%). The nature of the mood episode did not reveal any difference between studies. After permutation, bipolar I was correlated with a higher prevalence of psychosis at a marginally significant level (estimate = 0.32, </w:t>
      </w:r>
      <w:r w:rsidRPr="004D46AC">
        <w:rPr>
          <w:i/>
          <w:iCs/>
        </w:rPr>
        <w:t>SE</w:t>
      </w:r>
      <w:r w:rsidRPr="004D46AC">
        <w:t xml:space="preserve"> = 0.07, </w:t>
      </w:r>
      <w:r w:rsidRPr="004D46AC">
        <w:rPr>
          <w:i/>
          <w:iCs/>
        </w:rPr>
        <w:t>p</w:t>
      </w:r>
      <w:r w:rsidRPr="004D46AC">
        <w:t xml:space="preserve"> = .07) (see Tables </w:t>
      </w:r>
      <w:r w:rsidRPr="004D46AC">
        <w:rPr>
          <w:rFonts w:eastAsiaTheme="minorEastAsia" w:hint="eastAsia"/>
        </w:rPr>
        <w:t>2.</w:t>
      </w:r>
      <w:r w:rsidRPr="004D46AC">
        <w:t>3</w:t>
      </w:r>
      <w:r w:rsidRPr="004D46AC">
        <w:rPr>
          <w:rFonts w:eastAsiaTheme="minorEastAsia" w:hint="eastAsia"/>
        </w:rPr>
        <w:t>-2.</w:t>
      </w:r>
      <w:r w:rsidRPr="004D46AC">
        <w:t>4 and Figures B</w:t>
      </w:r>
      <w:r w:rsidR="000B4CBF" w:rsidRPr="004D46AC">
        <w:rPr>
          <w:rFonts w:eastAsiaTheme="minorEastAsia" w:hint="eastAsia"/>
        </w:rPr>
        <w:t xml:space="preserve"> </w:t>
      </w:r>
      <w:r w:rsidRPr="004D46AC">
        <w:t>7</w:t>
      </w:r>
      <w:r w:rsidRPr="004D46AC">
        <w:rPr>
          <w:rFonts w:eastAsiaTheme="minorEastAsia" w:hint="eastAsia"/>
        </w:rPr>
        <w:t>-</w:t>
      </w:r>
      <w:r w:rsidRPr="004D46AC">
        <w:t>14 for details).</w:t>
      </w:r>
    </w:p>
    <w:p w14:paraId="28E339D7" w14:textId="6746DD85" w:rsidR="003D5CB6" w:rsidRPr="004D46AC" w:rsidRDefault="003D5CB6" w:rsidP="00B518F1">
      <w:pPr>
        <w:rPr>
          <w:rFonts w:eastAsiaTheme="minorEastAsia"/>
        </w:rPr>
      </w:pPr>
      <w:r w:rsidRPr="004D46AC">
        <w:t xml:space="preserve">Only four studies reported lifetime psychosis in patients with mixed episodes; thus, we report a narrative review. The median prevalence was 52.70%, with a range between 22.00% and 67.71%. The mood episode in </w:t>
      </w:r>
      <w:proofErr w:type="gramStart"/>
      <w:r w:rsidRPr="004D46AC">
        <w:t>all of</w:t>
      </w:r>
      <w:proofErr w:type="gramEnd"/>
      <w:r w:rsidRPr="004D46AC">
        <w:t xml:space="preserve"> the studies was defined according to the DSM system. Three studies recruited patients from outpatient </w:t>
      </w:r>
      <w:proofErr w:type="gramStart"/>
      <w:r w:rsidRPr="004D46AC">
        <w:t>units</w:t>
      </w:r>
      <w:proofErr w:type="gramEnd"/>
      <w:r w:rsidRPr="004D46AC">
        <w:t xml:space="preserve"> and one recruited from an inpatient unit, but no distinctive pattern was observed. The lowest prevalence was observed in BSD patients (22%), and bipolar I patients had generally higher prevalences; in addition, the prevalence was lower in more recently published studies. However, caution should be exercised when interpreting these findings due to the small number of studies (see Table B</w:t>
      </w:r>
      <w:r w:rsidR="00D0731C" w:rsidRPr="004D46AC">
        <w:rPr>
          <w:rFonts w:eastAsiaTheme="minorEastAsia" w:hint="eastAsia"/>
        </w:rPr>
        <w:t xml:space="preserve"> </w:t>
      </w:r>
      <w:r w:rsidRPr="004D46AC">
        <w:t>7 for details).</w:t>
      </w:r>
    </w:p>
    <w:p w14:paraId="302EBD81" w14:textId="77777777" w:rsidR="003D5CB6" w:rsidRPr="004D46AC" w:rsidRDefault="003D5CB6" w:rsidP="00B518F1">
      <w:pPr>
        <w:pStyle w:val="4"/>
      </w:pPr>
      <w:r w:rsidRPr="004D46AC">
        <w:t>Current or recent psychosis</w:t>
      </w:r>
    </w:p>
    <w:p w14:paraId="0C28D3E2" w14:textId="77777777" w:rsidR="003D5CB6" w:rsidRPr="004D46AC" w:rsidRDefault="003D5CB6" w:rsidP="00B518F1">
      <w:r w:rsidRPr="004D46AC">
        <w:t>The pooled rate of current or recent psychosis was 41.46% (95% CI [36.88, 46.11]). Publication bias was significant (</w:t>
      </w:r>
      <w:r w:rsidRPr="004D46AC">
        <w:rPr>
          <w:i/>
          <w:iCs/>
        </w:rPr>
        <w:t>z</w:t>
      </w:r>
      <w:r w:rsidRPr="004D46AC">
        <w:t xml:space="preserve"> = 3.57, </w:t>
      </w:r>
      <w:r w:rsidRPr="004D46AC">
        <w:rPr>
          <w:i/>
          <w:iCs/>
        </w:rPr>
        <w:t>p</w:t>
      </w:r>
      <w:r w:rsidRPr="004D46AC">
        <w:t xml:space="preserve"> &lt; .001). Heterogeneity was very high (</w:t>
      </w:r>
      <w:r w:rsidRPr="004D46AC">
        <w:rPr>
          <w:i/>
          <w:iCs/>
        </w:rPr>
        <w:t>I</w:t>
      </w:r>
      <w:r w:rsidRPr="004D46AC">
        <w:t>² = 99.50%). No significant outlier was detected. Subgroup analysis revealed that both bipolar type and patient type explained the between-group variance. However, the remaining heterogeneity was still high (</w:t>
      </w:r>
      <w:r w:rsidRPr="004D46AC">
        <w:rPr>
          <w:i/>
          <w:iCs/>
        </w:rPr>
        <w:t>I</w:t>
      </w:r>
      <w:r w:rsidRPr="004D46AC">
        <w:t xml:space="preserve">² = 99.71% and 99.70%, respectively). Meta-regression found </w:t>
      </w:r>
      <w:r w:rsidRPr="004D46AC">
        <w:lastRenderedPageBreak/>
        <w:t>that patient type, bipolar type, and age explained 22.85% of the variance; a minor change in heterogeneity was observed (</w:t>
      </w:r>
      <w:r w:rsidRPr="004D46AC">
        <w:rPr>
          <w:i/>
          <w:iCs/>
        </w:rPr>
        <w:t>I</w:t>
      </w:r>
      <w:r w:rsidRPr="004D46AC">
        <w:t xml:space="preserve">² = 98.96%). A higher prevalence of psychosis was identified in bipolar patients who were recruited from inpatient units (estimate = 0.07, </w:t>
      </w:r>
      <w:r w:rsidRPr="004D46AC">
        <w:rPr>
          <w:i/>
          <w:iCs/>
        </w:rPr>
        <w:t>SE</w:t>
      </w:r>
      <w:r w:rsidRPr="004D46AC">
        <w:t xml:space="preserve"> = 0.03, </w:t>
      </w:r>
      <w:r w:rsidRPr="004D46AC">
        <w:rPr>
          <w:i/>
          <w:iCs/>
        </w:rPr>
        <w:t>p</w:t>
      </w:r>
      <w:r w:rsidRPr="004D46AC">
        <w:t xml:space="preserve"> &lt; .05) and diagnosed with bipolar I disorder (estimate = 0.14, </w:t>
      </w:r>
      <w:r w:rsidRPr="004D46AC">
        <w:rPr>
          <w:i/>
          <w:iCs/>
        </w:rPr>
        <w:t>SE</w:t>
      </w:r>
      <w:r w:rsidRPr="004D46AC">
        <w:t xml:space="preserve"> = 0.05, </w:t>
      </w:r>
      <w:r w:rsidRPr="004D46AC">
        <w:rPr>
          <w:i/>
          <w:iCs/>
        </w:rPr>
        <w:t>p</w:t>
      </w:r>
      <w:r w:rsidRPr="004D46AC">
        <w:t xml:space="preserve"> &lt; .005), as well as in younger patients (estimate = -0.01, </w:t>
      </w:r>
      <w:r w:rsidRPr="004D46AC">
        <w:rPr>
          <w:i/>
          <w:iCs/>
        </w:rPr>
        <w:t>SE</w:t>
      </w:r>
      <w:r w:rsidRPr="004D46AC">
        <w:t xml:space="preserve"> = 0.003, </w:t>
      </w:r>
      <w:r w:rsidRPr="004D46AC">
        <w:rPr>
          <w:i/>
          <w:iCs/>
        </w:rPr>
        <w:t>p</w:t>
      </w:r>
      <w:r w:rsidRPr="004D46AC">
        <w:t xml:space="preserve"> &lt; .01).</w:t>
      </w:r>
    </w:p>
    <w:p w14:paraId="15554CA9" w14:textId="77777777" w:rsidR="003D5CB6" w:rsidRPr="004D46AC" w:rsidRDefault="003D5CB6" w:rsidP="00B518F1">
      <w:r w:rsidRPr="004D46AC">
        <w:t>The rate in bipolar I patients was 48.41% (95% CI [41.82, 55.03]</w:t>
      </w:r>
      <w:r w:rsidRPr="004D46AC">
        <w:rPr>
          <w:rFonts w:eastAsiaTheme="minorEastAsia" w:hint="eastAsia"/>
        </w:rPr>
        <w:t>,</w:t>
      </w:r>
      <w:r w:rsidRPr="004D46AC">
        <w:t xml:space="preserve"> </w:t>
      </w:r>
      <w:r w:rsidRPr="004D46AC">
        <w:rPr>
          <w:i/>
          <w:iCs/>
        </w:rPr>
        <w:t>k</w:t>
      </w:r>
      <w:r w:rsidRPr="004D46AC">
        <w:t xml:space="preserve"> = 52), with a very high level of heterogeneity (</w:t>
      </w:r>
      <w:r w:rsidRPr="004D46AC">
        <w:rPr>
          <w:i/>
          <w:iCs/>
        </w:rPr>
        <w:t>I</w:t>
      </w:r>
      <w:r w:rsidRPr="004D46AC">
        <w:t>² = 98.50%). Publication bias was not evident (</w:t>
      </w:r>
      <w:r w:rsidRPr="004D46AC">
        <w:rPr>
          <w:i/>
          <w:iCs/>
        </w:rPr>
        <w:t>z</w:t>
      </w:r>
      <w:r w:rsidRPr="004D46AC">
        <w:t xml:space="preserve"> = 1.65, </w:t>
      </w:r>
      <w:r w:rsidRPr="004D46AC">
        <w:rPr>
          <w:i/>
          <w:iCs/>
        </w:rPr>
        <w:t>p</w:t>
      </w:r>
      <w:r w:rsidRPr="004D46AC">
        <w:t xml:space="preserve"> = .10). No outlier affecting the pooled prevalence was detected. Subgroup analysis did not find any variance contributed by patient type or clinical status. Meta-regression found that rate of mania, multicentre study status, and clinical status explained 35.82% of the variance. However, this did not lead to a significant reduction in heterogeneity (</w:t>
      </w:r>
      <w:r w:rsidRPr="004D46AC">
        <w:rPr>
          <w:i/>
          <w:iCs/>
        </w:rPr>
        <w:t>I</w:t>
      </w:r>
      <w:r w:rsidRPr="004D46AC">
        <w:t xml:space="preserve">² = 97.56%). Bipolar I patients who were experiencing manic episodes were at higher risk of recent psychosis (estimate = 0.004, </w:t>
      </w:r>
      <w:r w:rsidRPr="004D46AC">
        <w:rPr>
          <w:i/>
          <w:iCs/>
        </w:rPr>
        <w:t>SE</w:t>
      </w:r>
      <w:r w:rsidRPr="004D46AC">
        <w:t xml:space="preserve"> = 0.0009, </w:t>
      </w:r>
      <w:r w:rsidRPr="004D46AC">
        <w:rPr>
          <w:i/>
          <w:iCs/>
        </w:rPr>
        <w:t>p</w:t>
      </w:r>
      <w:r w:rsidRPr="004D46AC">
        <w:t xml:space="preserve"> &lt; .001); studies with samples recruited from multicentre sites (estimate = -0.17, </w:t>
      </w:r>
      <w:r w:rsidRPr="004D46AC">
        <w:rPr>
          <w:i/>
          <w:iCs/>
        </w:rPr>
        <w:t>SE</w:t>
      </w:r>
      <w:r w:rsidRPr="004D46AC">
        <w:t xml:space="preserve"> = 0.07, </w:t>
      </w:r>
      <w:r w:rsidRPr="004D46AC">
        <w:rPr>
          <w:i/>
          <w:iCs/>
        </w:rPr>
        <w:t>p</w:t>
      </w:r>
      <w:r w:rsidRPr="004D46AC">
        <w:t xml:space="preserve"> &lt; .02) reported a lower prevalence of psychosis.</w:t>
      </w:r>
    </w:p>
    <w:p w14:paraId="046AB4C8" w14:textId="77777777" w:rsidR="003D5CB6" w:rsidRPr="004D46AC" w:rsidRDefault="003D5CB6" w:rsidP="00B518F1">
      <w:pPr>
        <w:rPr>
          <w:b/>
          <w:bCs/>
        </w:rPr>
      </w:pPr>
      <w:r w:rsidRPr="004D46AC">
        <w:t>The prevalence in patients with bipolar II disorder was 9.20% (95% CI [3.33, 17.39]</w:t>
      </w:r>
      <w:r w:rsidRPr="004D46AC">
        <w:rPr>
          <w:rFonts w:eastAsiaTheme="minorEastAsia" w:hint="eastAsia"/>
        </w:rPr>
        <w:t>,</w:t>
      </w:r>
      <w:r w:rsidRPr="004D46AC">
        <w:t xml:space="preserve"> </w:t>
      </w:r>
      <w:r w:rsidRPr="004D46AC">
        <w:rPr>
          <w:i/>
          <w:iCs/>
        </w:rPr>
        <w:t>k</w:t>
      </w:r>
      <w:r w:rsidRPr="004D46AC">
        <w:t xml:space="preserve"> = 6), with high heterogeneity (</w:t>
      </w:r>
      <w:r w:rsidRPr="004D46AC">
        <w:rPr>
          <w:i/>
          <w:iCs/>
        </w:rPr>
        <w:t>I</w:t>
      </w:r>
      <w:r w:rsidRPr="004D46AC">
        <w:t>² = 92.94%). A significant outlier (</w:t>
      </w:r>
      <w:r w:rsidRPr="004D46AC">
        <w:rPr>
          <w:i/>
          <w:iCs/>
        </w:rPr>
        <w:t>t</w:t>
      </w:r>
      <w:r w:rsidRPr="004D46AC">
        <w:t xml:space="preserve"> = 7.08) was detected </w:t>
      </w:r>
      <w:r w:rsidRPr="004D46AC">
        <w:fldChar w:fldCharType="begin">
          <w:fldData xml:space="preserve">PEVuZE5vdGU+PENpdGU+PEF1dGhvcj5YaWFuZzwvQXV0aG9yPjxZZWFyPjIwMTM8L1llYXI+PFJl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 </w:instrText>
      </w:r>
      <w:r w:rsidRPr="004D46AC">
        <w:fldChar w:fldCharType="begin">
          <w:fldData xml:space="preserve">PEVuZE5vdGU+PENpdGU+PEF1dGhvcj5YaWFuZzwvQXV0aG9yPjxZZWFyPjIwMTM8L1llYXI+PFJl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rPr>
          <w:noProof/>
        </w:rPr>
        <w:t>(Xiang et al., 2013)</w:t>
      </w:r>
      <w:r w:rsidRPr="004D46AC">
        <w:fldChar w:fldCharType="end"/>
      </w:r>
      <w:r w:rsidRPr="004D46AC">
        <w:t>. The rate of current psychosis in bipolar II after removal was 7.43% (95% CI [5.73, 9.33]</w:t>
      </w:r>
      <w:r w:rsidRPr="004D46AC">
        <w:rPr>
          <w:rFonts w:eastAsiaTheme="minorEastAsia" w:hint="eastAsia"/>
        </w:rPr>
        <w:t>,</w:t>
      </w:r>
      <w:r w:rsidRPr="004D46AC">
        <w:t xml:space="preserve"> </w:t>
      </w:r>
      <w:r w:rsidRPr="004D46AC">
        <w:rPr>
          <w:i/>
          <w:iCs/>
        </w:rPr>
        <w:t>k</w:t>
      </w:r>
      <w:r w:rsidRPr="004D46AC">
        <w:t xml:space="preserve"> = 5), and the heterogeneity decreased to a moderate level (</w:t>
      </w:r>
      <w:r w:rsidRPr="004D46AC">
        <w:rPr>
          <w:i/>
          <w:iCs/>
        </w:rPr>
        <w:t>I</w:t>
      </w:r>
      <w:r w:rsidRPr="004D46AC">
        <w:t>² = 47.6%). Publication bias was not evident in this synthesis (</w:t>
      </w:r>
      <w:r w:rsidRPr="004D46AC">
        <w:rPr>
          <w:i/>
          <w:iCs/>
        </w:rPr>
        <w:t>z</w:t>
      </w:r>
      <w:r w:rsidRPr="004D46AC">
        <w:t xml:space="preserve"> = -1.59, </w:t>
      </w:r>
      <w:r w:rsidRPr="004D46AC">
        <w:rPr>
          <w:i/>
          <w:iCs/>
        </w:rPr>
        <w:t>p</w:t>
      </w:r>
      <w:r w:rsidRPr="004D46AC">
        <w:t xml:space="preserve"> = .11). No significant predictors were found in meta-regression.</w:t>
      </w:r>
    </w:p>
    <w:p w14:paraId="0CA617C7" w14:textId="77777777" w:rsidR="003D5CB6" w:rsidRPr="004D46AC" w:rsidRDefault="003D5CB6" w:rsidP="00B518F1">
      <w:r w:rsidRPr="004D46AC">
        <w:t>The combined rate of current psychosis for mania was 51.50% (95% CI [44.26, 58.72]</w:t>
      </w:r>
      <w:r w:rsidRPr="004D46AC">
        <w:rPr>
          <w:rFonts w:eastAsiaTheme="minorEastAsia" w:hint="eastAsia"/>
        </w:rPr>
        <w:t>,</w:t>
      </w:r>
      <w:r w:rsidRPr="004D46AC">
        <w:t xml:space="preserve"> </w:t>
      </w:r>
      <w:r w:rsidRPr="004D46AC">
        <w:rPr>
          <w:i/>
          <w:iCs/>
        </w:rPr>
        <w:t>k</w:t>
      </w:r>
      <w:r w:rsidRPr="004D46AC">
        <w:t xml:space="preserve"> = 44), with very high heterogeneity (</w:t>
      </w:r>
      <w:r w:rsidRPr="004D46AC">
        <w:rPr>
          <w:i/>
          <w:iCs/>
        </w:rPr>
        <w:t>I</w:t>
      </w:r>
      <w:r w:rsidRPr="004D46AC">
        <w:t>² = 99.10%). Publication bias was evident (</w:t>
      </w:r>
      <w:r w:rsidRPr="004D46AC">
        <w:rPr>
          <w:i/>
          <w:iCs/>
        </w:rPr>
        <w:t>z</w:t>
      </w:r>
      <w:r w:rsidRPr="004D46AC">
        <w:t xml:space="preserve"> = 2.00, </w:t>
      </w:r>
      <w:r w:rsidRPr="004D46AC">
        <w:rPr>
          <w:i/>
          <w:iCs/>
        </w:rPr>
        <w:t>p</w:t>
      </w:r>
      <w:r w:rsidRPr="004D46AC">
        <w:t xml:space="preserve"> = .05). No significant outlier was found. Subgroup analysis did not find any variance contributed by the nature of the mood episode or whether mixed or manic patients were involved. The rate of mania (</w:t>
      </w:r>
      <w:proofErr w:type="spellStart"/>
      <w:r w:rsidRPr="004D46AC">
        <w:rPr>
          <w:i/>
          <w:iCs/>
        </w:rPr>
        <w:t>k</w:t>
      </w:r>
      <w:r w:rsidRPr="004D46AC">
        <w:rPr>
          <w:vertAlign w:val="subscript"/>
        </w:rPr>
        <w:t>missing</w:t>
      </w:r>
      <w:proofErr w:type="spellEnd"/>
      <w:r w:rsidRPr="004D46AC">
        <w:rPr>
          <w:vertAlign w:val="subscript"/>
        </w:rPr>
        <w:t xml:space="preserve"> </w:t>
      </w:r>
      <w:r w:rsidRPr="004D46AC">
        <w:t>= 2), gender (</w:t>
      </w:r>
      <w:proofErr w:type="spellStart"/>
      <w:r w:rsidRPr="004D46AC">
        <w:rPr>
          <w:i/>
          <w:iCs/>
        </w:rPr>
        <w:t>k</w:t>
      </w:r>
      <w:r w:rsidRPr="004D46AC">
        <w:rPr>
          <w:vertAlign w:val="subscript"/>
        </w:rPr>
        <w:t>missing</w:t>
      </w:r>
      <w:proofErr w:type="spellEnd"/>
      <w:r w:rsidRPr="004D46AC">
        <w:t xml:space="preserve"> = 3), and age (</w:t>
      </w:r>
      <w:proofErr w:type="spellStart"/>
      <w:r w:rsidRPr="004D46AC">
        <w:rPr>
          <w:i/>
          <w:iCs/>
        </w:rPr>
        <w:t>k</w:t>
      </w:r>
      <w:r w:rsidRPr="004D46AC">
        <w:rPr>
          <w:vertAlign w:val="subscript"/>
        </w:rPr>
        <w:t>missing</w:t>
      </w:r>
      <w:proofErr w:type="spellEnd"/>
      <w:r w:rsidRPr="004D46AC">
        <w:rPr>
          <w:vertAlign w:val="subscript"/>
        </w:rPr>
        <w:t xml:space="preserve"> </w:t>
      </w:r>
      <w:r w:rsidRPr="004D46AC">
        <w:t>= 4) explained 7.29% of the between-study variance; however, the remaining heterogeneity was still significant (</w:t>
      </w:r>
      <w:r w:rsidRPr="004D46AC">
        <w:rPr>
          <w:i/>
          <w:iCs/>
        </w:rPr>
        <w:t>I</w:t>
      </w:r>
      <w:r w:rsidRPr="004D46AC">
        <w:t xml:space="preserve">² = 98.95%), and a higher rate of mania predicted a higher prevalence of psychosis (estimate = 0.003, </w:t>
      </w:r>
      <w:r w:rsidRPr="004D46AC">
        <w:rPr>
          <w:i/>
          <w:iCs/>
        </w:rPr>
        <w:t>SE</w:t>
      </w:r>
      <w:r w:rsidRPr="004D46AC">
        <w:t xml:space="preserve"> = 0.002, </w:t>
      </w:r>
      <w:r w:rsidRPr="004D46AC">
        <w:rPr>
          <w:i/>
          <w:iCs/>
        </w:rPr>
        <w:t>p</w:t>
      </w:r>
      <w:r w:rsidRPr="004D46AC">
        <w:t xml:space="preserve"> &lt; .05).</w:t>
      </w:r>
    </w:p>
    <w:p w14:paraId="5AEAECD5" w14:textId="77777777" w:rsidR="003D5CB6" w:rsidRPr="004D46AC" w:rsidRDefault="003D5CB6" w:rsidP="00B518F1">
      <w:r w:rsidRPr="004D46AC">
        <w:lastRenderedPageBreak/>
        <w:t>The rate of recent psychosis in patients with a depressive episode was 20.26% (95% CI [13.36, 28.16]</w:t>
      </w:r>
      <w:r w:rsidRPr="004D46AC">
        <w:rPr>
          <w:rFonts w:eastAsiaTheme="minorEastAsia" w:hint="eastAsia"/>
        </w:rPr>
        <w:t>,</w:t>
      </w:r>
      <w:r w:rsidRPr="004D46AC">
        <w:t xml:space="preserve"> </w:t>
      </w:r>
      <w:r w:rsidRPr="004D46AC">
        <w:rPr>
          <w:i/>
          <w:iCs/>
        </w:rPr>
        <w:t>k</w:t>
      </w:r>
      <w:r w:rsidRPr="004D46AC">
        <w:t xml:space="preserve"> = 22). The heterogeneity was very high (</w:t>
      </w:r>
      <w:r w:rsidRPr="004D46AC">
        <w:rPr>
          <w:i/>
          <w:iCs/>
        </w:rPr>
        <w:t>I</w:t>
      </w:r>
      <w:r w:rsidRPr="004D46AC">
        <w:t>² = 99.30%). An outlier (</w:t>
      </w:r>
      <w:r w:rsidRPr="004D46AC">
        <w:rPr>
          <w:i/>
          <w:iCs/>
        </w:rPr>
        <w:t>t</w:t>
      </w:r>
      <w:r w:rsidRPr="004D46AC">
        <w:t xml:space="preserve"> = 3.18) was identified</w:t>
      </w:r>
      <w:r w:rsidRPr="004D46AC">
        <w:rPr>
          <w:rFonts w:eastAsiaTheme="minorEastAsia" w:hint="eastAsia"/>
        </w:rPr>
        <w:t xml:space="preserve"> </w:t>
      </w:r>
      <w:r w:rsidRPr="004D46AC">
        <w:fldChar w:fldCharType="begin"/>
      </w:r>
      <w:r w:rsidRPr="004D46AC">
        <w:instrText xml:space="preserve"> ADDIN EN.CITE &lt;EndNote&gt;&lt;Cite&gt;&lt;Author&gt;Nisha&lt;/Author&gt;&lt;Year&gt;2015&lt;/Year&gt;&lt;RecNum&gt;256&lt;/RecNum&gt;&lt;DisplayText&gt;(Nisha et al., 2015)&lt;/DisplayText&gt;&lt;record&gt;&lt;rec-number&gt;256&lt;/rec-number&gt;&lt;foreign-keys&gt;&lt;key app="EN" db-id="aet009sstawa0hewvt3xwf5atffdw2dt02sw" timestamp="1666336957"&gt;256&lt;/key&gt;&lt;/foreign-keys&gt;&lt;ref-type name="Journal Article"&gt;17&lt;/ref-type&gt;&lt;contributors&gt;&lt;authors&gt;&lt;author&gt;Nisha, A.&lt;/author&gt;&lt;author&gt;Sathesh, V.&lt;/author&gt;&lt;author&gt;Punnoose, V. P.&lt;/author&gt;&lt;author&gt;Varghese, P. J.&lt;/author&gt;&lt;/authors&gt;&lt;/contributors&gt;&lt;auth-address&gt;Department of Psychiatry, MOSC Medical College, Kolenchery, Ernakulam, Kerala, India.&amp;#xD;Department of Psychiatry, T D Medical College, Alappuzha, Kerala, India.&amp;#xD;Department of Psychiatry, Government Medical College, Kottayam, Kerala, India.&lt;/auth-address&gt;&lt;titles&gt;&lt;title&gt;A comparative study on psycho-socio-demographic and clinical profile of patients with bipolar versus unipolar depression&lt;/title&gt;&lt;secondary-title&gt;Indian J Psychiatry&lt;/secondary-title&gt;&lt;/titles&gt;&lt;periodical&gt;&lt;full-title&gt;Indian J Psychiatry&lt;/full-title&gt;&lt;/periodical&gt;&lt;pages&gt;392-6&lt;/pages&gt;&lt;volume&gt;57&lt;/volume&gt;&lt;number&gt;4&lt;/number&gt;&lt;keywords&gt;&lt;keyword&gt;Bipolar depression&lt;/keyword&gt;&lt;keyword&gt;comparative study&lt;/keyword&gt;&lt;keyword&gt;unipolar depression&lt;/keyword&gt;&lt;/keywords&gt;&lt;dates&gt;&lt;year&gt;2015&lt;/year&gt;&lt;pub-dates&gt;&lt;date&gt;Oct-Dec&lt;/date&gt;&lt;/pub-dates&gt;&lt;/dates&gt;&lt;isbn&gt;0019-5545 (Print)&amp;#xD;1998-3794 (Electronic)&amp;#xD;0019-5545 (Linking)&lt;/isbn&gt;&lt;accession-num&gt;26813699&lt;/accession-num&gt;&lt;urls&gt;&lt;related-urls&gt;&lt;url&gt;https://www.ncbi.nlm.nih.gov/pubmed/26813699&lt;/url&gt;&lt;/related-urls&gt;&lt;/urls&gt;&lt;custom2&gt;PMC4711241&lt;/custom2&gt;&lt;electronic-resource-num&gt;10.4103/0019-5545.171842&lt;/electronic-resource-num&gt;&lt;remote-database-name&gt;PubMed-not-MEDLINE&lt;/remote-database-name&gt;&lt;remote-database-provider&gt;PIP&lt;/remote-database-provider&gt;&lt;language&gt;eng&lt;/language&gt;&lt;/record&gt;&lt;/Cite&gt;&lt;/EndNote&gt;</w:instrText>
      </w:r>
      <w:r w:rsidRPr="004D46AC">
        <w:fldChar w:fldCharType="separate"/>
      </w:r>
      <w:r w:rsidRPr="004D46AC">
        <w:rPr>
          <w:noProof/>
        </w:rPr>
        <w:t>(Nisha et al., 2015)</w:t>
      </w:r>
      <w:r w:rsidRPr="004D46AC">
        <w:fldChar w:fldCharType="end"/>
      </w:r>
      <w:r w:rsidRPr="004D46AC">
        <w:t>. The prevalence after the removal decreased to 18.15% (95% CI [12.16, 24.63]</w:t>
      </w:r>
      <w:r w:rsidRPr="004D46AC">
        <w:rPr>
          <w:rFonts w:eastAsiaTheme="minorEastAsia" w:hint="eastAsia"/>
        </w:rPr>
        <w:t>,</w:t>
      </w:r>
      <w:r w:rsidRPr="004D46AC">
        <w:t xml:space="preserve"> </w:t>
      </w:r>
      <w:r w:rsidRPr="004D46AC">
        <w:rPr>
          <w:i/>
          <w:iCs/>
        </w:rPr>
        <w:t>k</w:t>
      </w:r>
      <w:r w:rsidRPr="004D46AC">
        <w:t xml:space="preserve"> = 21), and a minor change in heterogeneity was observed (</w:t>
      </w:r>
      <w:r w:rsidRPr="004D46AC">
        <w:rPr>
          <w:i/>
          <w:iCs/>
        </w:rPr>
        <w:t>I</w:t>
      </w:r>
      <w:r w:rsidRPr="004D46AC">
        <w:t>² = 99.05%). Publication bias was evident (</w:t>
      </w:r>
      <w:r w:rsidRPr="004D46AC">
        <w:rPr>
          <w:i/>
          <w:iCs/>
        </w:rPr>
        <w:t>z</w:t>
      </w:r>
      <w:r w:rsidRPr="004D46AC">
        <w:t xml:space="preserve"> = 2.46, </w:t>
      </w:r>
      <w:r w:rsidRPr="004D46AC">
        <w:rPr>
          <w:i/>
          <w:iCs/>
        </w:rPr>
        <w:t>p</w:t>
      </w:r>
      <w:r w:rsidRPr="004D46AC">
        <w:t xml:space="preserve"> &lt; .01). The nature of the mood episode explained 9.19% of the between-study variance, and the remaining heterogeneity was 98.98%; no significant predictors were found after permutation. Gender and age explained 39.55% of the variance, and the remaining heterogeneity was 97.63%. Younger depressive patients were at greater risk of current psychosis (estimate = -0.01, </w:t>
      </w:r>
      <w:r w:rsidRPr="004D46AC">
        <w:rPr>
          <w:i/>
          <w:iCs/>
        </w:rPr>
        <w:t>SE</w:t>
      </w:r>
      <w:r w:rsidRPr="004D46AC">
        <w:t xml:space="preserve"> = 0.006, </w:t>
      </w:r>
      <w:r w:rsidRPr="004D46AC">
        <w:rPr>
          <w:i/>
          <w:iCs/>
        </w:rPr>
        <w:t>p</w:t>
      </w:r>
      <w:r w:rsidRPr="004D46AC">
        <w:t xml:space="preserve"> &lt; .05).</w:t>
      </w:r>
    </w:p>
    <w:p w14:paraId="018C826C" w14:textId="77777777" w:rsidR="003D5CB6" w:rsidRPr="004D46AC" w:rsidRDefault="003D5CB6" w:rsidP="00B518F1">
      <w:r w:rsidRPr="004D46AC">
        <w:t>The rate of current psychosis in patients with mixed episodes was 50.29% (95% CI [23.09, 77.40]</w:t>
      </w:r>
      <w:r w:rsidRPr="004D46AC">
        <w:rPr>
          <w:rFonts w:eastAsiaTheme="minorEastAsia" w:hint="eastAsia"/>
        </w:rPr>
        <w:t>,</w:t>
      </w:r>
      <w:r w:rsidRPr="004D46AC">
        <w:t xml:space="preserve"> </w:t>
      </w:r>
      <w:r w:rsidRPr="004D46AC">
        <w:rPr>
          <w:i/>
          <w:iCs/>
        </w:rPr>
        <w:t>k</w:t>
      </w:r>
      <w:r w:rsidRPr="004D46AC">
        <w:t xml:space="preserve"> = 8), and the heterogeneity was very high (</w:t>
      </w:r>
      <w:r w:rsidRPr="004D46AC">
        <w:rPr>
          <w:i/>
          <w:iCs/>
        </w:rPr>
        <w:t>I</w:t>
      </w:r>
      <w:r w:rsidRPr="004D46AC">
        <w:t>² = 98.8%). Publication bias was not significant (</w:t>
      </w:r>
      <w:r w:rsidRPr="004D46AC">
        <w:rPr>
          <w:i/>
          <w:iCs/>
        </w:rPr>
        <w:t>z</w:t>
      </w:r>
      <w:r w:rsidRPr="004D46AC">
        <w:t xml:space="preserve"> = 1.48, </w:t>
      </w:r>
      <w:r w:rsidRPr="004D46AC">
        <w:rPr>
          <w:i/>
          <w:iCs/>
        </w:rPr>
        <w:t>p</w:t>
      </w:r>
      <w:r w:rsidRPr="004D46AC">
        <w:t xml:space="preserve"> = .14). No significant outlier was detected. Subgroup analysis of BSD type did not reveal any significant variance; patient type contributed to 18.80% of the between-group variance; however, the prediction effect was not significant.</w:t>
      </w:r>
    </w:p>
    <w:p w14:paraId="067410F3" w14:textId="66B18933" w:rsidR="003D5CB6" w:rsidRPr="004D46AC" w:rsidRDefault="003D5CB6" w:rsidP="00B518F1">
      <w:pPr>
        <w:rPr>
          <w:rFonts w:eastAsiaTheme="minorEastAsia"/>
        </w:rPr>
      </w:pPr>
      <w:r w:rsidRPr="004D46AC">
        <w:t>The combined rate of first-episode psychosis was 56.95% (95% CI [44.31, 69.15]</w:t>
      </w:r>
      <w:r w:rsidRPr="004D46AC">
        <w:rPr>
          <w:rFonts w:eastAsiaTheme="minorEastAsia" w:hint="eastAsia"/>
        </w:rPr>
        <w:t>,</w:t>
      </w:r>
      <w:r w:rsidRPr="004D46AC">
        <w:t xml:space="preserve"> </w:t>
      </w:r>
      <w:r w:rsidRPr="004D46AC">
        <w:rPr>
          <w:i/>
          <w:iCs/>
        </w:rPr>
        <w:t>k</w:t>
      </w:r>
      <w:r w:rsidRPr="004D46AC">
        <w:t xml:space="preserve"> = 15); the heterogeneity was very high (</w:t>
      </w:r>
      <w:r w:rsidRPr="004D46AC">
        <w:rPr>
          <w:i/>
          <w:iCs/>
        </w:rPr>
        <w:t>I</w:t>
      </w:r>
      <w:r w:rsidRPr="004D46AC">
        <w:t>² = 97.40%). Significant publication bias was detected (</w:t>
      </w:r>
      <w:r w:rsidRPr="004D46AC">
        <w:rPr>
          <w:i/>
          <w:iCs/>
        </w:rPr>
        <w:t>z</w:t>
      </w:r>
      <w:r w:rsidRPr="004D46AC">
        <w:t xml:space="preserve"> = 2.26, </w:t>
      </w:r>
      <w:r w:rsidRPr="004D46AC">
        <w:rPr>
          <w:i/>
          <w:iCs/>
        </w:rPr>
        <w:t>p</w:t>
      </w:r>
      <w:r w:rsidRPr="004D46AC">
        <w:t xml:space="preserve"> &lt; .02). No outliers significantly contributed to the heterogeneity. Subgroup analysis on the type of bipolar disorder did not reveal significant findings. The rate of mania (</w:t>
      </w:r>
      <w:proofErr w:type="spellStart"/>
      <w:r w:rsidRPr="004D46AC">
        <w:rPr>
          <w:i/>
          <w:iCs/>
        </w:rPr>
        <w:t>k</w:t>
      </w:r>
      <w:r w:rsidRPr="004D46AC">
        <w:rPr>
          <w:vertAlign w:val="subscript"/>
        </w:rPr>
        <w:t>missing</w:t>
      </w:r>
      <w:proofErr w:type="spellEnd"/>
      <w:r w:rsidRPr="004D46AC">
        <w:rPr>
          <w:vertAlign w:val="subscript"/>
        </w:rPr>
        <w:t xml:space="preserve"> </w:t>
      </w:r>
      <w:r w:rsidRPr="004D46AC">
        <w:t xml:space="preserve">= 1) explained 56.30% of the between-group variance; the remaining heterogeneity decreased to 96.48%. Bipolar patients with a manic episode were at higher risk of experiencing psychosis in the first mood episode (estimate = 0.006, </w:t>
      </w:r>
      <w:r w:rsidRPr="004D46AC">
        <w:rPr>
          <w:i/>
          <w:iCs/>
        </w:rPr>
        <w:t>SE</w:t>
      </w:r>
      <w:r w:rsidRPr="004D46AC">
        <w:t xml:space="preserve"> = 0.002, </w:t>
      </w:r>
      <w:r w:rsidRPr="004D46AC">
        <w:rPr>
          <w:i/>
          <w:iCs/>
        </w:rPr>
        <w:t>p</w:t>
      </w:r>
      <w:r w:rsidRPr="004D46AC">
        <w:t xml:space="preserve"> &lt; .002) (see Tables 2.3–2.4 and Figures B</w:t>
      </w:r>
      <w:r w:rsidR="000B4CBF" w:rsidRPr="004D46AC">
        <w:rPr>
          <w:rFonts w:eastAsiaTheme="minorEastAsia" w:hint="eastAsia"/>
        </w:rPr>
        <w:t xml:space="preserve"> </w:t>
      </w:r>
      <w:r w:rsidRPr="004D46AC">
        <w:t>15–28 for further reference).</w:t>
      </w:r>
    </w:p>
    <w:p w14:paraId="2DBAF819" w14:textId="77777777" w:rsidR="003D5CB6" w:rsidRPr="004D46AC" w:rsidRDefault="003D5CB6" w:rsidP="00B518F1">
      <w:pPr>
        <w:pStyle w:val="3"/>
      </w:pPr>
      <w:r w:rsidRPr="004D46AC">
        <w:t>Distributions of specific psychotic symptoms in bipolar populations</w:t>
      </w:r>
    </w:p>
    <w:p w14:paraId="78CC906F" w14:textId="77777777" w:rsidR="003D5CB6" w:rsidRPr="004D46AC" w:rsidRDefault="003D5CB6" w:rsidP="00B518F1">
      <w:pPr>
        <w:pStyle w:val="4"/>
      </w:pPr>
      <w:r w:rsidRPr="004D46AC">
        <w:t>Cooccurring Delusions</w:t>
      </w:r>
    </w:p>
    <w:p w14:paraId="5ACDD976" w14:textId="77777777" w:rsidR="003D5CB6" w:rsidRPr="004D46AC" w:rsidRDefault="003D5CB6" w:rsidP="00B518F1">
      <w:r w:rsidRPr="004D46AC">
        <w:t>The combined prevalence of lifetime delusions in bipolar patients was 55.11% (95% CI [45.70, 64.34]</w:t>
      </w:r>
      <w:r w:rsidRPr="004D46AC">
        <w:rPr>
          <w:rFonts w:eastAsiaTheme="minorEastAsia" w:hint="eastAsia"/>
        </w:rPr>
        <w:t>,</w:t>
      </w:r>
      <w:r w:rsidRPr="004D46AC">
        <w:t xml:space="preserve"> </w:t>
      </w:r>
      <w:r w:rsidRPr="004D46AC">
        <w:rPr>
          <w:i/>
          <w:iCs/>
        </w:rPr>
        <w:t>k</w:t>
      </w:r>
      <w:r w:rsidRPr="004D46AC">
        <w:t xml:space="preserve"> = 34), with very high heterogeneity (</w:t>
      </w:r>
      <w:r w:rsidRPr="004D46AC">
        <w:rPr>
          <w:i/>
          <w:iCs/>
        </w:rPr>
        <w:t>I</w:t>
      </w:r>
      <w:r w:rsidRPr="004D46AC">
        <w:t>² = 99.13%). Publication bias was not evident in the included studies (</w:t>
      </w:r>
      <w:r w:rsidRPr="004D46AC">
        <w:rPr>
          <w:i/>
          <w:iCs/>
        </w:rPr>
        <w:t>z</w:t>
      </w:r>
      <w:r w:rsidRPr="004D46AC">
        <w:t xml:space="preserve"> = 1.06, </w:t>
      </w:r>
      <w:r w:rsidRPr="004D46AC">
        <w:rPr>
          <w:i/>
          <w:iCs/>
        </w:rPr>
        <w:t>p</w:t>
      </w:r>
      <w:r w:rsidRPr="004D46AC">
        <w:t xml:space="preserve"> = .29), and no significant outliers were </w:t>
      </w:r>
      <w:r w:rsidRPr="004D46AC">
        <w:lastRenderedPageBreak/>
        <w:t xml:space="preserve">identified. Subgroup analysis revealed that the bipolar type explained 46.52% of the variance. Patients with more severe BSD (bipolar I or psychotic bipolar) were at risk of lifetime delusions (estimate = 0.27, </w:t>
      </w:r>
      <w:r w:rsidRPr="004D46AC">
        <w:rPr>
          <w:i/>
          <w:iCs/>
        </w:rPr>
        <w:t>SE</w:t>
      </w:r>
      <w:r w:rsidRPr="004D46AC">
        <w:t xml:space="preserve"> = 0.05, </w:t>
      </w:r>
      <w:r w:rsidRPr="004D46AC">
        <w:rPr>
          <w:i/>
          <w:iCs/>
        </w:rPr>
        <w:t>p</w:t>
      </w:r>
      <w:r w:rsidRPr="004D46AC">
        <w:t xml:space="preserve"> &lt; .001).</w:t>
      </w:r>
    </w:p>
    <w:p w14:paraId="2C519740" w14:textId="666E26B0" w:rsidR="003D5CB6" w:rsidRPr="004D46AC" w:rsidRDefault="003D5CB6" w:rsidP="0022744D">
      <w:pPr>
        <w:rPr>
          <w:rFonts w:eastAsiaTheme="minorEastAsia"/>
        </w:rPr>
      </w:pPr>
      <w:r w:rsidRPr="004D46AC">
        <w:t>The prevalence of current delusions in this population was 47.19% (95% CI [38.53, 56.94]</w:t>
      </w:r>
      <w:r w:rsidRPr="004D46AC">
        <w:rPr>
          <w:rFonts w:eastAsiaTheme="minorEastAsia" w:hint="eastAsia"/>
        </w:rPr>
        <w:t>,</w:t>
      </w:r>
      <w:r w:rsidRPr="004D46AC">
        <w:t xml:space="preserve"> </w:t>
      </w:r>
      <w:r w:rsidRPr="004D46AC">
        <w:rPr>
          <w:i/>
          <w:iCs/>
        </w:rPr>
        <w:t>k</w:t>
      </w:r>
      <w:r w:rsidRPr="004D46AC">
        <w:t xml:space="preserve"> = 47), with very high heterogeneity (</w:t>
      </w:r>
      <w:r w:rsidRPr="004D46AC">
        <w:rPr>
          <w:i/>
          <w:iCs/>
        </w:rPr>
        <w:t>I</w:t>
      </w:r>
      <w:r w:rsidRPr="004D46AC">
        <w:t>² = 99.06%). Significant publication bias was detected by Egger’s test (</w:t>
      </w:r>
      <w:r w:rsidRPr="004D46AC">
        <w:rPr>
          <w:i/>
          <w:iCs/>
        </w:rPr>
        <w:t>z</w:t>
      </w:r>
      <w:r w:rsidRPr="004D46AC">
        <w:t xml:space="preserve"> = 2.72, </w:t>
      </w:r>
      <w:r w:rsidRPr="004D46AC">
        <w:rPr>
          <w:i/>
          <w:iCs/>
        </w:rPr>
        <w:t>p</w:t>
      </w:r>
      <w:r w:rsidRPr="004D46AC">
        <w:t xml:space="preserve"> = .01). No significant outliers were detected. Subgroup analysis indicated that different bipolar types explained 23.71% of the variance, and the overall variance decreased to 98.58%. Meta-regression revealed that first-level evidence and bipolar type explained 37.04% of the variance. The remaining heterogeneity was still high (</w:t>
      </w:r>
      <w:r w:rsidRPr="004D46AC">
        <w:rPr>
          <w:i/>
          <w:iCs/>
        </w:rPr>
        <w:t>I</w:t>
      </w:r>
      <w:r w:rsidRPr="004D46AC">
        <w:t xml:space="preserve">² = 98.23%). Studies recruiting consecutive patients (estimate = 0.26, </w:t>
      </w:r>
      <w:r w:rsidRPr="004D46AC">
        <w:rPr>
          <w:i/>
          <w:iCs/>
        </w:rPr>
        <w:t>SE</w:t>
      </w:r>
      <w:r w:rsidRPr="004D46AC">
        <w:t xml:space="preserve"> = 0.08, </w:t>
      </w:r>
      <w:r w:rsidRPr="004D46AC">
        <w:rPr>
          <w:i/>
          <w:iCs/>
        </w:rPr>
        <w:t>p</w:t>
      </w:r>
      <w:r w:rsidRPr="004D46AC">
        <w:t xml:space="preserve"> &lt; .01) or patients with more severe bipolar disorder (estimate = 0.15, </w:t>
      </w:r>
      <w:r w:rsidRPr="004D46AC">
        <w:rPr>
          <w:i/>
          <w:iCs/>
        </w:rPr>
        <w:t>SE</w:t>
      </w:r>
      <w:r w:rsidRPr="004D46AC">
        <w:t xml:space="preserve"> = 0.05, </w:t>
      </w:r>
      <w:r w:rsidRPr="004D46AC">
        <w:rPr>
          <w:i/>
          <w:iCs/>
        </w:rPr>
        <w:t>p</w:t>
      </w:r>
      <w:r w:rsidRPr="004D46AC">
        <w:t xml:space="preserve"> &lt; .001) tended to report higher current delusions (see Tables 2.2, 2.5, and 2.6 as well as Figures B</w:t>
      </w:r>
      <w:r w:rsidR="000B4CBF" w:rsidRPr="004D46AC">
        <w:rPr>
          <w:rFonts w:eastAsiaTheme="minorEastAsia" w:hint="eastAsia"/>
        </w:rPr>
        <w:t xml:space="preserve"> </w:t>
      </w:r>
      <w:r w:rsidRPr="004D46AC">
        <w:t>29</w:t>
      </w:r>
      <w:r w:rsidRPr="004D46AC">
        <w:rPr>
          <w:rFonts w:eastAsiaTheme="minorEastAsia" w:hint="eastAsia"/>
        </w:rPr>
        <w:t>-</w:t>
      </w:r>
      <w:r w:rsidRPr="004D46AC">
        <w:t>32).</w:t>
      </w:r>
    </w:p>
    <w:p w14:paraId="5124433F" w14:textId="77777777" w:rsidR="003D5CB6" w:rsidRPr="004D46AC" w:rsidRDefault="003D5CB6" w:rsidP="0022744D">
      <w:pPr>
        <w:ind w:firstLine="0"/>
        <w:rPr>
          <w:rFonts w:eastAsiaTheme="minorEastAsia"/>
          <w:b/>
          <w:bCs/>
          <w:szCs w:val="21"/>
        </w:rPr>
      </w:pPr>
    </w:p>
    <w:p w14:paraId="7B9BE8DF" w14:textId="0BF716F7" w:rsidR="005B3793" w:rsidRPr="004D46AC" w:rsidRDefault="00515479" w:rsidP="005B3793">
      <w:pPr>
        <w:pStyle w:val="afff0"/>
        <w:spacing w:after="0" w:line="360" w:lineRule="auto"/>
        <w:ind w:firstLine="0"/>
        <w:rPr>
          <w:rFonts w:eastAsiaTheme="minorEastAsia"/>
          <w:b/>
          <w:bCs/>
          <w:i w:val="0"/>
          <w:iCs w:val="0"/>
          <w:color w:val="auto"/>
          <w:sz w:val="22"/>
          <w:szCs w:val="22"/>
        </w:rPr>
      </w:pPr>
      <w:bookmarkStart w:id="109" w:name="_Toc219883857"/>
      <w:bookmarkStart w:id="110" w:name="_Toc219870609"/>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bookmarkEnd w:id="109"/>
      <w:r w:rsidR="004725A0" w:rsidRPr="004D46AC">
        <w:rPr>
          <w:b/>
          <w:bCs/>
          <w:i w:val="0"/>
          <w:iCs w:val="0"/>
          <w:color w:val="auto"/>
          <w:sz w:val="22"/>
          <w:szCs w:val="22"/>
        </w:rPr>
        <w:fldChar w:fldCharType="end"/>
      </w:r>
      <w:bookmarkEnd w:id="110"/>
    </w:p>
    <w:p w14:paraId="3B3576D6" w14:textId="785BFA3D" w:rsidR="003D5CB6" w:rsidRPr="004D46AC" w:rsidRDefault="003D5CB6" w:rsidP="005B3793">
      <w:pPr>
        <w:pStyle w:val="afff0"/>
        <w:spacing w:after="0" w:line="360" w:lineRule="auto"/>
        <w:ind w:firstLine="0"/>
        <w:rPr>
          <w:rFonts w:eastAsiaTheme="minorEastAsia"/>
          <w:b/>
          <w:bCs/>
          <w:i w:val="0"/>
          <w:iCs w:val="0"/>
          <w:color w:val="auto"/>
          <w:sz w:val="22"/>
          <w:szCs w:val="22"/>
        </w:rPr>
      </w:pPr>
      <w:r w:rsidRPr="004D46AC">
        <w:rPr>
          <w:color w:val="auto"/>
          <w:sz w:val="22"/>
          <w:szCs w:val="22"/>
        </w:rPr>
        <w:t>Pooled results of cooccurring delusions, hallucinations and thought disorders in bipolar patients</w:t>
      </w:r>
    </w:p>
    <w:tbl>
      <w:tblPr>
        <w:tblStyle w:val="afc"/>
        <w:tblW w:w="9015" w:type="dxa"/>
        <w:tblLook w:val="04A0" w:firstRow="1" w:lastRow="0" w:firstColumn="1" w:lastColumn="0" w:noHBand="0" w:noVBand="1"/>
      </w:tblPr>
      <w:tblGrid>
        <w:gridCol w:w="1937"/>
        <w:gridCol w:w="1484"/>
        <w:gridCol w:w="2054"/>
        <w:gridCol w:w="1827"/>
        <w:gridCol w:w="1713"/>
      </w:tblGrid>
      <w:tr w:rsidR="003D5CB6" w:rsidRPr="004D46AC" w14:paraId="4306A3F6" w14:textId="77777777" w:rsidTr="00B518F1">
        <w:trPr>
          <w:trHeight w:val="644"/>
        </w:trPr>
        <w:tc>
          <w:tcPr>
            <w:tcW w:w="1937" w:type="dxa"/>
            <w:vAlign w:val="center"/>
          </w:tcPr>
          <w:p w14:paraId="0D1CB834" w14:textId="77777777" w:rsidR="003D5CB6" w:rsidRPr="004D46AC" w:rsidRDefault="003D5CB6" w:rsidP="00B518F1">
            <w:pPr>
              <w:spacing w:line="360" w:lineRule="auto"/>
              <w:ind w:firstLine="0"/>
              <w:jc w:val="center"/>
              <w:rPr>
                <w:b/>
                <w:bCs/>
              </w:rPr>
            </w:pPr>
            <w:r w:rsidRPr="004D46AC">
              <w:rPr>
                <w:b/>
                <w:bCs/>
              </w:rPr>
              <w:t>Analyses of Comorbid</w:t>
            </w:r>
          </w:p>
          <w:p w14:paraId="21D348CE" w14:textId="77777777" w:rsidR="003D5CB6" w:rsidRPr="004D46AC" w:rsidRDefault="003D5CB6" w:rsidP="00B518F1">
            <w:pPr>
              <w:spacing w:line="360" w:lineRule="auto"/>
              <w:ind w:firstLine="0"/>
              <w:jc w:val="center"/>
              <w:rPr>
                <w:b/>
                <w:bCs/>
              </w:rPr>
            </w:pPr>
            <w:r w:rsidRPr="004D46AC">
              <w:rPr>
                <w:b/>
                <w:bCs/>
              </w:rPr>
              <w:t>Conditions</w:t>
            </w:r>
          </w:p>
        </w:tc>
        <w:tc>
          <w:tcPr>
            <w:tcW w:w="1484" w:type="dxa"/>
            <w:vAlign w:val="center"/>
          </w:tcPr>
          <w:p w14:paraId="419CDD3A" w14:textId="77777777" w:rsidR="003D5CB6" w:rsidRPr="004D46AC" w:rsidRDefault="003D5CB6" w:rsidP="00B518F1">
            <w:pPr>
              <w:spacing w:line="360" w:lineRule="auto"/>
              <w:ind w:firstLine="0"/>
              <w:jc w:val="center"/>
              <w:rPr>
                <w:b/>
                <w:bCs/>
              </w:rPr>
            </w:pPr>
            <w:r w:rsidRPr="004D46AC">
              <w:rPr>
                <w:b/>
                <w:bCs/>
              </w:rPr>
              <w:t>Sub-analyses</w:t>
            </w:r>
          </w:p>
        </w:tc>
        <w:tc>
          <w:tcPr>
            <w:tcW w:w="2054" w:type="dxa"/>
            <w:vAlign w:val="center"/>
          </w:tcPr>
          <w:p w14:paraId="39DFE478" w14:textId="77777777" w:rsidR="003D5CB6" w:rsidRPr="004D46AC" w:rsidRDefault="003D5CB6" w:rsidP="00B518F1">
            <w:pPr>
              <w:spacing w:line="360" w:lineRule="auto"/>
              <w:ind w:firstLine="0"/>
              <w:jc w:val="center"/>
              <w:rPr>
                <w:b/>
                <w:bCs/>
              </w:rPr>
            </w:pPr>
            <w:r w:rsidRPr="004D46AC">
              <w:rPr>
                <w:b/>
                <w:bCs/>
              </w:rPr>
              <w:t>Pooled Rate [95% CI]</w:t>
            </w:r>
          </w:p>
        </w:tc>
        <w:tc>
          <w:tcPr>
            <w:tcW w:w="1827" w:type="dxa"/>
            <w:vAlign w:val="center"/>
          </w:tcPr>
          <w:p w14:paraId="5D4CA6BC" w14:textId="77777777" w:rsidR="003D5CB6" w:rsidRPr="004D46AC" w:rsidRDefault="003D5CB6" w:rsidP="00B518F1">
            <w:pPr>
              <w:spacing w:line="360" w:lineRule="auto"/>
              <w:ind w:firstLine="0"/>
              <w:jc w:val="center"/>
              <w:rPr>
                <w:b/>
                <w:bCs/>
              </w:rPr>
            </w:pPr>
            <w:r w:rsidRPr="004D46AC">
              <w:rPr>
                <w:b/>
                <w:bCs/>
                <w:i/>
                <w:iCs/>
              </w:rPr>
              <w:t>Tau</w:t>
            </w:r>
            <w:r w:rsidRPr="004D46AC">
              <w:rPr>
                <w:b/>
                <w:bCs/>
                <w:i/>
                <w:iCs/>
                <w:vertAlign w:val="superscript"/>
              </w:rPr>
              <w:t xml:space="preserve">2 </w:t>
            </w:r>
            <w:r w:rsidRPr="004D46AC">
              <w:rPr>
                <w:b/>
                <w:bCs/>
              </w:rPr>
              <w:t>[95% CI]</w:t>
            </w:r>
          </w:p>
        </w:tc>
        <w:tc>
          <w:tcPr>
            <w:tcW w:w="1713" w:type="dxa"/>
            <w:vAlign w:val="center"/>
          </w:tcPr>
          <w:p w14:paraId="60A55DA6" w14:textId="77777777" w:rsidR="003D5CB6" w:rsidRPr="004D46AC" w:rsidRDefault="003D5CB6" w:rsidP="00B518F1">
            <w:pPr>
              <w:spacing w:line="360" w:lineRule="auto"/>
              <w:ind w:firstLine="0"/>
              <w:jc w:val="center"/>
              <w:rPr>
                <w:b/>
                <w:bCs/>
              </w:rPr>
            </w:pPr>
            <w:r w:rsidRPr="004D46AC">
              <w:rPr>
                <w:b/>
                <w:bCs/>
                <w:i/>
                <w:iCs/>
              </w:rPr>
              <w:t>I</w:t>
            </w:r>
            <w:r w:rsidRPr="004D46AC">
              <w:rPr>
                <w:b/>
                <w:bCs/>
                <w:i/>
                <w:iCs/>
                <w:vertAlign w:val="superscript"/>
              </w:rPr>
              <w:t>2</w:t>
            </w:r>
            <w:r w:rsidRPr="004D46AC">
              <w:rPr>
                <w:b/>
                <w:bCs/>
              </w:rPr>
              <w:t xml:space="preserve"> [95% CI]</w:t>
            </w:r>
          </w:p>
        </w:tc>
      </w:tr>
      <w:tr w:rsidR="003D5CB6" w:rsidRPr="004D46AC" w14:paraId="1283134D" w14:textId="77777777" w:rsidTr="00B518F1">
        <w:trPr>
          <w:trHeight w:val="370"/>
        </w:trPr>
        <w:tc>
          <w:tcPr>
            <w:tcW w:w="1937" w:type="dxa"/>
            <w:vAlign w:val="center"/>
          </w:tcPr>
          <w:p w14:paraId="70CCFB77" w14:textId="77777777" w:rsidR="003D5CB6" w:rsidRPr="004D46AC" w:rsidRDefault="003D5CB6" w:rsidP="00B518F1">
            <w:pPr>
              <w:spacing w:line="360" w:lineRule="auto"/>
              <w:ind w:firstLine="0"/>
              <w:jc w:val="center"/>
              <w:rPr>
                <w:b/>
                <w:bCs/>
              </w:rPr>
            </w:pPr>
            <w:r w:rsidRPr="004D46AC">
              <w:rPr>
                <w:b/>
                <w:bCs/>
              </w:rPr>
              <w:t>Delusions</w:t>
            </w:r>
          </w:p>
        </w:tc>
        <w:tc>
          <w:tcPr>
            <w:tcW w:w="1484" w:type="dxa"/>
            <w:vAlign w:val="center"/>
          </w:tcPr>
          <w:p w14:paraId="02D8020A" w14:textId="77777777" w:rsidR="003D5CB6" w:rsidRPr="004D46AC" w:rsidRDefault="003D5CB6" w:rsidP="00B518F1">
            <w:pPr>
              <w:spacing w:line="360" w:lineRule="auto"/>
              <w:ind w:firstLine="0"/>
              <w:jc w:val="center"/>
            </w:pPr>
            <w:r w:rsidRPr="004D46AC">
              <w:t>Lifetime</w:t>
            </w:r>
          </w:p>
        </w:tc>
        <w:tc>
          <w:tcPr>
            <w:tcW w:w="2054" w:type="dxa"/>
            <w:vAlign w:val="center"/>
          </w:tcPr>
          <w:p w14:paraId="33D2EC36" w14:textId="77777777" w:rsidR="003D5CB6" w:rsidRPr="004D46AC" w:rsidRDefault="003D5CB6" w:rsidP="00B518F1">
            <w:pPr>
              <w:spacing w:line="360" w:lineRule="auto"/>
              <w:ind w:firstLine="0"/>
              <w:jc w:val="center"/>
              <w:rPr>
                <w:rFonts w:eastAsiaTheme="minorEastAsia"/>
              </w:rPr>
            </w:pPr>
            <w:r w:rsidRPr="004D46AC">
              <w:t xml:space="preserve">55.11 </w:t>
            </w:r>
          </w:p>
          <w:p w14:paraId="3DBC9E66" w14:textId="77777777" w:rsidR="003D5CB6" w:rsidRPr="004D46AC" w:rsidRDefault="003D5CB6" w:rsidP="00B518F1">
            <w:pPr>
              <w:spacing w:line="360" w:lineRule="auto"/>
              <w:ind w:firstLine="0"/>
              <w:jc w:val="center"/>
            </w:pPr>
            <w:r w:rsidRPr="004D46AC">
              <w:t>[45.70, 64.34]</w:t>
            </w:r>
          </w:p>
        </w:tc>
        <w:tc>
          <w:tcPr>
            <w:tcW w:w="1827" w:type="dxa"/>
            <w:vAlign w:val="center"/>
          </w:tcPr>
          <w:p w14:paraId="0815842D" w14:textId="77777777" w:rsidR="003D5CB6" w:rsidRPr="004D46AC" w:rsidRDefault="003D5CB6" w:rsidP="00B518F1">
            <w:pPr>
              <w:spacing w:line="360" w:lineRule="auto"/>
              <w:ind w:firstLine="0"/>
              <w:jc w:val="center"/>
            </w:pPr>
            <w:r w:rsidRPr="004D46AC">
              <w:t>.08 [.05, .13]</w:t>
            </w:r>
          </w:p>
        </w:tc>
        <w:tc>
          <w:tcPr>
            <w:tcW w:w="1713" w:type="dxa"/>
            <w:vAlign w:val="center"/>
          </w:tcPr>
          <w:p w14:paraId="3C7C7303" w14:textId="77777777" w:rsidR="003D5CB6" w:rsidRPr="004D46AC" w:rsidRDefault="003D5CB6" w:rsidP="00B518F1">
            <w:pPr>
              <w:spacing w:line="360" w:lineRule="auto"/>
              <w:ind w:firstLine="0"/>
              <w:jc w:val="center"/>
              <w:rPr>
                <w:rFonts w:eastAsiaTheme="minorEastAsia"/>
              </w:rPr>
            </w:pPr>
            <w:r w:rsidRPr="004D46AC">
              <w:t xml:space="preserve">99.1 </w:t>
            </w:r>
          </w:p>
          <w:p w14:paraId="0D550A91" w14:textId="77777777" w:rsidR="003D5CB6" w:rsidRPr="004D46AC" w:rsidRDefault="003D5CB6" w:rsidP="00B518F1">
            <w:pPr>
              <w:spacing w:line="360" w:lineRule="auto"/>
              <w:ind w:firstLine="0"/>
              <w:jc w:val="center"/>
            </w:pPr>
            <w:r w:rsidRPr="004D46AC">
              <w:t>[98.7, 99.5]</w:t>
            </w:r>
          </w:p>
        </w:tc>
      </w:tr>
      <w:tr w:rsidR="003D5CB6" w:rsidRPr="004D46AC" w14:paraId="7DE59F76" w14:textId="77777777" w:rsidTr="00B518F1">
        <w:trPr>
          <w:trHeight w:val="314"/>
        </w:trPr>
        <w:tc>
          <w:tcPr>
            <w:tcW w:w="1937" w:type="dxa"/>
            <w:vAlign w:val="center"/>
          </w:tcPr>
          <w:p w14:paraId="49883468" w14:textId="77777777" w:rsidR="003D5CB6" w:rsidRPr="004D46AC" w:rsidRDefault="003D5CB6" w:rsidP="00B518F1">
            <w:pPr>
              <w:spacing w:line="360" w:lineRule="auto"/>
              <w:ind w:firstLine="0"/>
              <w:jc w:val="center"/>
              <w:rPr>
                <w:b/>
                <w:bCs/>
              </w:rPr>
            </w:pPr>
          </w:p>
        </w:tc>
        <w:tc>
          <w:tcPr>
            <w:tcW w:w="1484" w:type="dxa"/>
            <w:vAlign w:val="center"/>
          </w:tcPr>
          <w:p w14:paraId="094F65E8" w14:textId="77777777" w:rsidR="003D5CB6" w:rsidRPr="004D46AC" w:rsidRDefault="003D5CB6" w:rsidP="00B518F1">
            <w:pPr>
              <w:spacing w:line="360" w:lineRule="auto"/>
              <w:ind w:firstLine="0"/>
              <w:jc w:val="center"/>
            </w:pPr>
            <w:r w:rsidRPr="004D46AC">
              <w:t xml:space="preserve">Current </w:t>
            </w:r>
            <w:r w:rsidRPr="004D46AC">
              <w:rPr>
                <w:rFonts w:eastAsia="DengXian"/>
              </w:rPr>
              <w:t>†</w:t>
            </w:r>
          </w:p>
        </w:tc>
        <w:tc>
          <w:tcPr>
            <w:tcW w:w="2054" w:type="dxa"/>
            <w:vAlign w:val="center"/>
          </w:tcPr>
          <w:p w14:paraId="46052CE1" w14:textId="77777777" w:rsidR="003D5CB6" w:rsidRPr="004D46AC" w:rsidRDefault="003D5CB6" w:rsidP="00B518F1">
            <w:pPr>
              <w:spacing w:line="360" w:lineRule="auto"/>
              <w:ind w:firstLine="0"/>
              <w:jc w:val="center"/>
              <w:rPr>
                <w:rFonts w:eastAsiaTheme="minorEastAsia"/>
              </w:rPr>
            </w:pPr>
            <w:r w:rsidRPr="004D46AC">
              <w:t xml:space="preserve">47.19 </w:t>
            </w:r>
          </w:p>
          <w:p w14:paraId="4F978509" w14:textId="77777777" w:rsidR="003D5CB6" w:rsidRPr="004D46AC" w:rsidRDefault="003D5CB6" w:rsidP="00B518F1">
            <w:pPr>
              <w:spacing w:line="360" w:lineRule="auto"/>
              <w:ind w:firstLine="0"/>
              <w:jc w:val="center"/>
            </w:pPr>
            <w:r w:rsidRPr="004D46AC">
              <w:t>[38.53, 55.94]</w:t>
            </w:r>
          </w:p>
        </w:tc>
        <w:tc>
          <w:tcPr>
            <w:tcW w:w="1827" w:type="dxa"/>
            <w:vAlign w:val="center"/>
          </w:tcPr>
          <w:p w14:paraId="02D7872F" w14:textId="77777777" w:rsidR="003D5CB6" w:rsidRPr="004D46AC" w:rsidRDefault="003D5CB6" w:rsidP="00B518F1">
            <w:pPr>
              <w:spacing w:line="360" w:lineRule="auto"/>
              <w:ind w:firstLine="0"/>
              <w:jc w:val="center"/>
            </w:pPr>
            <w:r w:rsidRPr="004D46AC">
              <w:t>.09 [.06, .14]</w:t>
            </w:r>
          </w:p>
        </w:tc>
        <w:tc>
          <w:tcPr>
            <w:tcW w:w="1713" w:type="dxa"/>
            <w:vAlign w:val="center"/>
          </w:tcPr>
          <w:p w14:paraId="2169D28B" w14:textId="77777777" w:rsidR="003D5CB6" w:rsidRPr="004D46AC" w:rsidRDefault="003D5CB6" w:rsidP="00B518F1">
            <w:pPr>
              <w:spacing w:line="360" w:lineRule="auto"/>
              <w:ind w:firstLine="0"/>
              <w:jc w:val="center"/>
              <w:rPr>
                <w:rFonts w:eastAsiaTheme="minorEastAsia"/>
              </w:rPr>
            </w:pPr>
            <w:r w:rsidRPr="004D46AC">
              <w:t xml:space="preserve">99.1 </w:t>
            </w:r>
          </w:p>
          <w:p w14:paraId="73BEE860" w14:textId="77777777" w:rsidR="003D5CB6" w:rsidRPr="004D46AC" w:rsidRDefault="003D5CB6" w:rsidP="00B518F1">
            <w:pPr>
              <w:spacing w:line="360" w:lineRule="auto"/>
              <w:ind w:firstLine="0"/>
              <w:jc w:val="center"/>
            </w:pPr>
            <w:r w:rsidRPr="004D46AC">
              <w:t>[98.6, 99.4]</w:t>
            </w:r>
          </w:p>
        </w:tc>
      </w:tr>
      <w:tr w:rsidR="003D5CB6" w:rsidRPr="004D46AC" w14:paraId="41884ACD" w14:textId="77777777" w:rsidTr="00B518F1">
        <w:trPr>
          <w:trHeight w:val="322"/>
        </w:trPr>
        <w:tc>
          <w:tcPr>
            <w:tcW w:w="1937" w:type="dxa"/>
            <w:vAlign w:val="center"/>
          </w:tcPr>
          <w:p w14:paraId="6D2363FB" w14:textId="77777777" w:rsidR="003D5CB6" w:rsidRPr="004D46AC" w:rsidRDefault="003D5CB6" w:rsidP="00B518F1">
            <w:pPr>
              <w:spacing w:line="360" w:lineRule="auto"/>
              <w:ind w:firstLine="0"/>
              <w:jc w:val="center"/>
              <w:rPr>
                <w:b/>
                <w:bCs/>
              </w:rPr>
            </w:pPr>
            <w:r w:rsidRPr="004D46AC">
              <w:rPr>
                <w:b/>
                <w:bCs/>
              </w:rPr>
              <w:t>Hallucinations</w:t>
            </w:r>
          </w:p>
        </w:tc>
        <w:tc>
          <w:tcPr>
            <w:tcW w:w="1484" w:type="dxa"/>
            <w:vAlign w:val="center"/>
          </w:tcPr>
          <w:p w14:paraId="01BF869A" w14:textId="77777777" w:rsidR="003D5CB6" w:rsidRPr="004D46AC" w:rsidRDefault="003D5CB6" w:rsidP="00B518F1">
            <w:pPr>
              <w:spacing w:line="360" w:lineRule="auto"/>
              <w:ind w:firstLine="0"/>
              <w:jc w:val="center"/>
            </w:pPr>
            <w:r w:rsidRPr="004D46AC">
              <w:t>Lifetime</w:t>
            </w:r>
          </w:p>
        </w:tc>
        <w:tc>
          <w:tcPr>
            <w:tcW w:w="2054" w:type="dxa"/>
            <w:vAlign w:val="center"/>
          </w:tcPr>
          <w:p w14:paraId="2B9B8382" w14:textId="77777777" w:rsidR="003D5CB6" w:rsidRPr="004D46AC" w:rsidRDefault="003D5CB6" w:rsidP="00B518F1">
            <w:pPr>
              <w:spacing w:line="360" w:lineRule="auto"/>
              <w:ind w:firstLine="0"/>
              <w:jc w:val="center"/>
              <w:rPr>
                <w:rFonts w:eastAsiaTheme="minorEastAsia"/>
              </w:rPr>
            </w:pPr>
            <w:r w:rsidRPr="004D46AC">
              <w:t xml:space="preserve">31.26 </w:t>
            </w:r>
          </w:p>
          <w:p w14:paraId="0810E999" w14:textId="77777777" w:rsidR="003D5CB6" w:rsidRPr="004D46AC" w:rsidRDefault="003D5CB6" w:rsidP="00B518F1">
            <w:pPr>
              <w:spacing w:line="360" w:lineRule="auto"/>
              <w:ind w:firstLine="0"/>
              <w:jc w:val="center"/>
            </w:pPr>
            <w:r w:rsidRPr="004D46AC">
              <w:t>[26.01, 36.76]</w:t>
            </w:r>
          </w:p>
        </w:tc>
        <w:tc>
          <w:tcPr>
            <w:tcW w:w="1827" w:type="dxa"/>
            <w:vAlign w:val="center"/>
          </w:tcPr>
          <w:p w14:paraId="0BDE551F" w14:textId="77777777" w:rsidR="003D5CB6" w:rsidRPr="004D46AC" w:rsidRDefault="003D5CB6" w:rsidP="00B518F1">
            <w:pPr>
              <w:spacing w:line="360" w:lineRule="auto"/>
              <w:ind w:firstLine="0"/>
              <w:jc w:val="center"/>
            </w:pPr>
            <w:r w:rsidRPr="004D46AC">
              <w:t>.03 [.02, .05]</w:t>
            </w:r>
          </w:p>
        </w:tc>
        <w:tc>
          <w:tcPr>
            <w:tcW w:w="1713" w:type="dxa"/>
            <w:vAlign w:val="center"/>
          </w:tcPr>
          <w:p w14:paraId="6B744520" w14:textId="77777777" w:rsidR="003D5CB6" w:rsidRPr="004D46AC" w:rsidRDefault="003D5CB6" w:rsidP="00B518F1">
            <w:pPr>
              <w:spacing w:line="360" w:lineRule="auto"/>
              <w:ind w:firstLine="0"/>
              <w:jc w:val="center"/>
              <w:rPr>
                <w:rFonts w:eastAsiaTheme="minorEastAsia"/>
              </w:rPr>
            </w:pPr>
            <w:r w:rsidRPr="004D46AC">
              <w:t xml:space="preserve">97.5 </w:t>
            </w:r>
          </w:p>
          <w:p w14:paraId="668CC5AC" w14:textId="77777777" w:rsidR="003D5CB6" w:rsidRPr="004D46AC" w:rsidRDefault="003D5CB6" w:rsidP="00B518F1">
            <w:pPr>
              <w:spacing w:line="360" w:lineRule="auto"/>
              <w:ind w:firstLine="0"/>
              <w:jc w:val="center"/>
            </w:pPr>
            <w:r w:rsidRPr="004D46AC">
              <w:t>[96.0, 98.6]</w:t>
            </w:r>
          </w:p>
        </w:tc>
      </w:tr>
      <w:tr w:rsidR="003D5CB6" w:rsidRPr="004D46AC" w14:paraId="1FD8552A" w14:textId="77777777" w:rsidTr="00B518F1">
        <w:trPr>
          <w:trHeight w:val="322"/>
        </w:trPr>
        <w:tc>
          <w:tcPr>
            <w:tcW w:w="1937" w:type="dxa"/>
            <w:vAlign w:val="center"/>
          </w:tcPr>
          <w:p w14:paraId="24AA62DB" w14:textId="77777777" w:rsidR="003D5CB6" w:rsidRPr="004D46AC" w:rsidRDefault="003D5CB6" w:rsidP="00B518F1">
            <w:pPr>
              <w:spacing w:line="360" w:lineRule="auto"/>
              <w:ind w:firstLine="0"/>
              <w:jc w:val="center"/>
              <w:rPr>
                <w:b/>
                <w:bCs/>
              </w:rPr>
            </w:pPr>
          </w:p>
        </w:tc>
        <w:tc>
          <w:tcPr>
            <w:tcW w:w="1484" w:type="dxa"/>
            <w:vAlign w:val="center"/>
          </w:tcPr>
          <w:p w14:paraId="379F30DE" w14:textId="77777777" w:rsidR="003D5CB6" w:rsidRPr="004D46AC" w:rsidRDefault="003D5CB6" w:rsidP="00B518F1">
            <w:pPr>
              <w:spacing w:line="360" w:lineRule="auto"/>
              <w:ind w:firstLine="0"/>
              <w:jc w:val="center"/>
            </w:pPr>
            <w:r w:rsidRPr="004D46AC">
              <w:t>Current</w:t>
            </w:r>
          </w:p>
        </w:tc>
        <w:tc>
          <w:tcPr>
            <w:tcW w:w="2054" w:type="dxa"/>
            <w:vAlign w:val="center"/>
          </w:tcPr>
          <w:p w14:paraId="71228F29" w14:textId="77777777" w:rsidR="003D5CB6" w:rsidRPr="004D46AC" w:rsidRDefault="003D5CB6" w:rsidP="00B518F1">
            <w:pPr>
              <w:spacing w:line="360" w:lineRule="auto"/>
              <w:ind w:firstLine="0"/>
              <w:jc w:val="center"/>
              <w:rPr>
                <w:rFonts w:eastAsiaTheme="minorEastAsia"/>
              </w:rPr>
            </w:pPr>
            <w:r w:rsidRPr="004D46AC">
              <w:t xml:space="preserve">19.62 </w:t>
            </w:r>
          </w:p>
          <w:p w14:paraId="55DB01EB" w14:textId="77777777" w:rsidR="003D5CB6" w:rsidRPr="004D46AC" w:rsidRDefault="003D5CB6" w:rsidP="00B518F1">
            <w:pPr>
              <w:spacing w:line="360" w:lineRule="auto"/>
              <w:ind w:firstLine="0"/>
              <w:jc w:val="center"/>
            </w:pPr>
            <w:r w:rsidRPr="004D46AC">
              <w:t>[14.37, 25.43]</w:t>
            </w:r>
          </w:p>
        </w:tc>
        <w:tc>
          <w:tcPr>
            <w:tcW w:w="1827" w:type="dxa"/>
            <w:vAlign w:val="center"/>
          </w:tcPr>
          <w:p w14:paraId="4DE56F1C" w14:textId="77777777" w:rsidR="003D5CB6" w:rsidRPr="004D46AC" w:rsidRDefault="003D5CB6" w:rsidP="00B518F1">
            <w:pPr>
              <w:spacing w:line="360" w:lineRule="auto"/>
              <w:ind w:firstLine="0"/>
              <w:jc w:val="center"/>
            </w:pPr>
            <w:r w:rsidRPr="004D46AC">
              <w:t>.05 [.03, .08]</w:t>
            </w:r>
          </w:p>
        </w:tc>
        <w:tc>
          <w:tcPr>
            <w:tcW w:w="1713" w:type="dxa"/>
            <w:vAlign w:val="center"/>
          </w:tcPr>
          <w:p w14:paraId="75E45DBC" w14:textId="77777777" w:rsidR="003D5CB6" w:rsidRPr="004D46AC" w:rsidRDefault="003D5CB6" w:rsidP="00B518F1">
            <w:pPr>
              <w:spacing w:line="360" w:lineRule="auto"/>
              <w:ind w:firstLine="0"/>
              <w:jc w:val="center"/>
              <w:rPr>
                <w:rFonts w:eastAsiaTheme="minorEastAsia"/>
              </w:rPr>
            </w:pPr>
            <w:r w:rsidRPr="004D46AC">
              <w:t xml:space="preserve">98.7 </w:t>
            </w:r>
          </w:p>
          <w:p w14:paraId="54ECE9F6" w14:textId="77777777" w:rsidR="003D5CB6" w:rsidRPr="004D46AC" w:rsidRDefault="003D5CB6" w:rsidP="00B518F1">
            <w:pPr>
              <w:spacing w:line="360" w:lineRule="auto"/>
              <w:ind w:firstLine="0"/>
              <w:jc w:val="center"/>
            </w:pPr>
            <w:r w:rsidRPr="004D46AC">
              <w:t>[98.0, 99.2]</w:t>
            </w:r>
          </w:p>
        </w:tc>
      </w:tr>
      <w:tr w:rsidR="003D5CB6" w:rsidRPr="004D46AC" w14:paraId="0A3A18C4" w14:textId="77777777" w:rsidTr="00B518F1">
        <w:trPr>
          <w:trHeight w:val="314"/>
        </w:trPr>
        <w:tc>
          <w:tcPr>
            <w:tcW w:w="1937" w:type="dxa"/>
            <w:vAlign w:val="center"/>
          </w:tcPr>
          <w:p w14:paraId="4947FB15" w14:textId="77777777" w:rsidR="003D5CB6" w:rsidRPr="004D46AC" w:rsidRDefault="003D5CB6" w:rsidP="00B518F1">
            <w:pPr>
              <w:spacing w:line="360" w:lineRule="auto"/>
              <w:ind w:firstLine="0"/>
              <w:jc w:val="center"/>
              <w:rPr>
                <w:b/>
                <w:bCs/>
              </w:rPr>
            </w:pPr>
            <w:r w:rsidRPr="004D46AC">
              <w:rPr>
                <w:b/>
                <w:bCs/>
              </w:rPr>
              <w:t>Thought disorders</w:t>
            </w:r>
          </w:p>
        </w:tc>
        <w:tc>
          <w:tcPr>
            <w:tcW w:w="1484" w:type="dxa"/>
            <w:vAlign w:val="center"/>
          </w:tcPr>
          <w:p w14:paraId="697831C3" w14:textId="77777777" w:rsidR="003D5CB6" w:rsidRPr="004D46AC" w:rsidRDefault="003D5CB6" w:rsidP="00B518F1">
            <w:pPr>
              <w:spacing w:line="360" w:lineRule="auto"/>
              <w:ind w:firstLine="0"/>
              <w:jc w:val="center"/>
            </w:pPr>
            <w:r w:rsidRPr="004D46AC">
              <w:t>Lifetime</w:t>
            </w:r>
          </w:p>
        </w:tc>
        <w:tc>
          <w:tcPr>
            <w:tcW w:w="2054" w:type="dxa"/>
            <w:vAlign w:val="center"/>
          </w:tcPr>
          <w:p w14:paraId="4319FD93" w14:textId="77777777" w:rsidR="003D5CB6" w:rsidRPr="004D46AC" w:rsidRDefault="003D5CB6" w:rsidP="00B518F1">
            <w:pPr>
              <w:spacing w:line="360" w:lineRule="auto"/>
              <w:ind w:firstLine="0"/>
              <w:jc w:val="center"/>
              <w:rPr>
                <w:rFonts w:eastAsiaTheme="minorEastAsia"/>
              </w:rPr>
            </w:pPr>
            <w:r w:rsidRPr="004D46AC">
              <w:t xml:space="preserve">29.94 </w:t>
            </w:r>
          </w:p>
          <w:p w14:paraId="5721D448" w14:textId="77777777" w:rsidR="003D5CB6" w:rsidRPr="004D46AC" w:rsidRDefault="003D5CB6" w:rsidP="00B518F1">
            <w:pPr>
              <w:spacing w:line="360" w:lineRule="auto"/>
              <w:ind w:firstLine="0"/>
              <w:jc w:val="center"/>
            </w:pPr>
            <w:r w:rsidRPr="004D46AC">
              <w:t>[15.08, 47.34]</w:t>
            </w:r>
          </w:p>
        </w:tc>
        <w:tc>
          <w:tcPr>
            <w:tcW w:w="1827" w:type="dxa"/>
            <w:vAlign w:val="center"/>
          </w:tcPr>
          <w:p w14:paraId="47D9ACDE" w14:textId="77777777" w:rsidR="003D5CB6" w:rsidRPr="004D46AC" w:rsidRDefault="003D5CB6" w:rsidP="00B518F1">
            <w:pPr>
              <w:spacing w:line="360" w:lineRule="auto"/>
              <w:ind w:firstLine="0"/>
              <w:jc w:val="center"/>
            </w:pPr>
            <w:r w:rsidRPr="004D46AC">
              <w:t>.07[.03, .28]</w:t>
            </w:r>
          </w:p>
        </w:tc>
        <w:tc>
          <w:tcPr>
            <w:tcW w:w="1713" w:type="dxa"/>
            <w:vAlign w:val="center"/>
          </w:tcPr>
          <w:p w14:paraId="04C98AE8" w14:textId="77777777" w:rsidR="003D5CB6" w:rsidRPr="004D46AC" w:rsidRDefault="003D5CB6" w:rsidP="00B518F1">
            <w:pPr>
              <w:spacing w:line="360" w:lineRule="auto"/>
              <w:ind w:firstLine="0"/>
              <w:jc w:val="center"/>
              <w:rPr>
                <w:rFonts w:eastAsiaTheme="minorEastAsia"/>
              </w:rPr>
            </w:pPr>
            <w:r w:rsidRPr="004D46AC">
              <w:t xml:space="preserve">99.2 </w:t>
            </w:r>
          </w:p>
          <w:p w14:paraId="42E299FB" w14:textId="77777777" w:rsidR="003D5CB6" w:rsidRPr="004D46AC" w:rsidRDefault="003D5CB6" w:rsidP="00B518F1">
            <w:pPr>
              <w:spacing w:line="360" w:lineRule="auto"/>
              <w:ind w:firstLine="0"/>
              <w:jc w:val="center"/>
            </w:pPr>
            <w:r w:rsidRPr="004D46AC">
              <w:t>[98.2, 99.8]</w:t>
            </w:r>
          </w:p>
        </w:tc>
      </w:tr>
      <w:tr w:rsidR="003D5CB6" w:rsidRPr="004D46AC" w14:paraId="34DE40BC" w14:textId="77777777" w:rsidTr="00B518F1">
        <w:trPr>
          <w:trHeight w:val="322"/>
        </w:trPr>
        <w:tc>
          <w:tcPr>
            <w:tcW w:w="1937" w:type="dxa"/>
            <w:vAlign w:val="center"/>
          </w:tcPr>
          <w:p w14:paraId="71D4BDDD" w14:textId="77777777" w:rsidR="003D5CB6" w:rsidRPr="004D46AC" w:rsidRDefault="003D5CB6" w:rsidP="00B518F1">
            <w:pPr>
              <w:spacing w:line="360" w:lineRule="auto"/>
              <w:ind w:firstLine="0"/>
              <w:jc w:val="center"/>
              <w:rPr>
                <w:b/>
                <w:bCs/>
              </w:rPr>
            </w:pPr>
          </w:p>
        </w:tc>
        <w:tc>
          <w:tcPr>
            <w:tcW w:w="1484" w:type="dxa"/>
            <w:vAlign w:val="center"/>
          </w:tcPr>
          <w:p w14:paraId="0984BD00" w14:textId="77777777" w:rsidR="003D5CB6" w:rsidRPr="004D46AC" w:rsidRDefault="003D5CB6" w:rsidP="00B518F1">
            <w:pPr>
              <w:spacing w:line="360" w:lineRule="auto"/>
              <w:ind w:firstLine="0"/>
              <w:jc w:val="center"/>
            </w:pPr>
            <w:r w:rsidRPr="004D46AC">
              <w:t>Current</w:t>
            </w:r>
          </w:p>
        </w:tc>
        <w:tc>
          <w:tcPr>
            <w:tcW w:w="2054" w:type="dxa"/>
            <w:vAlign w:val="center"/>
          </w:tcPr>
          <w:p w14:paraId="44536A43" w14:textId="77777777" w:rsidR="003D5CB6" w:rsidRPr="004D46AC" w:rsidRDefault="003D5CB6" w:rsidP="00B518F1">
            <w:pPr>
              <w:spacing w:line="360" w:lineRule="auto"/>
              <w:ind w:firstLine="0"/>
              <w:jc w:val="center"/>
              <w:rPr>
                <w:rFonts w:eastAsiaTheme="minorEastAsia"/>
              </w:rPr>
            </w:pPr>
            <w:r w:rsidRPr="004D46AC">
              <w:t xml:space="preserve">23.61 </w:t>
            </w:r>
          </w:p>
          <w:p w14:paraId="4F206E32" w14:textId="77777777" w:rsidR="003D5CB6" w:rsidRPr="004D46AC" w:rsidRDefault="003D5CB6" w:rsidP="00B518F1">
            <w:pPr>
              <w:spacing w:line="360" w:lineRule="auto"/>
              <w:ind w:firstLine="0"/>
              <w:jc w:val="center"/>
            </w:pPr>
            <w:r w:rsidRPr="004D46AC">
              <w:lastRenderedPageBreak/>
              <w:t>[9.00, 42.31]</w:t>
            </w:r>
          </w:p>
        </w:tc>
        <w:tc>
          <w:tcPr>
            <w:tcW w:w="1827" w:type="dxa"/>
            <w:vAlign w:val="center"/>
          </w:tcPr>
          <w:p w14:paraId="2A30568C" w14:textId="77777777" w:rsidR="003D5CB6" w:rsidRPr="004D46AC" w:rsidRDefault="003D5CB6" w:rsidP="00B518F1">
            <w:pPr>
              <w:spacing w:line="360" w:lineRule="auto"/>
              <w:ind w:firstLine="0"/>
              <w:jc w:val="center"/>
            </w:pPr>
            <w:r w:rsidRPr="004D46AC">
              <w:lastRenderedPageBreak/>
              <w:t>.08 [.04, .34]</w:t>
            </w:r>
          </w:p>
        </w:tc>
        <w:tc>
          <w:tcPr>
            <w:tcW w:w="1713" w:type="dxa"/>
            <w:vAlign w:val="center"/>
          </w:tcPr>
          <w:p w14:paraId="1B74FF4B" w14:textId="77777777" w:rsidR="003D5CB6" w:rsidRPr="004D46AC" w:rsidRDefault="003D5CB6" w:rsidP="00B518F1">
            <w:pPr>
              <w:spacing w:line="360" w:lineRule="auto"/>
              <w:ind w:firstLine="0"/>
              <w:jc w:val="center"/>
              <w:rPr>
                <w:rFonts w:eastAsiaTheme="minorEastAsia"/>
              </w:rPr>
            </w:pPr>
            <w:r w:rsidRPr="004D46AC">
              <w:t xml:space="preserve">98.2 </w:t>
            </w:r>
          </w:p>
          <w:p w14:paraId="7272B031" w14:textId="77777777" w:rsidR="003D5CB6" w:rsidRPr="004D46AC" w:rsidRDefault="003D5CB6" w:rsidP="00B518F1">
            <w:pPr>
              <w:spacing w:line="360" w:lineRule="auto"/>
              <w:ind w:firstLine="0"/>
              <w:jc w:val="center"/>
            </w:pPr>
            <w:r w:rsidRPr="004D46AC">
              <w:lastRenderedPageBreak/>
              <w:t>[95.9, 99.5]</w:t>
            </w:r>
          </w:p>
        </w:tc>
      </w:tr>
    </w:tbl>
    <w:p w14:paraId="4D664CBB" w14:textId="77777777" w:rsidR="003D5CB6" w:rsidRPr="004D46AC" w:rsidRDefault="003D5CB6" w:rsidP="00B518F1">
      <w:pPr>
        <w:spacing w:line="360" w:lineRule="auto"/>
        <w:ind w:firstLine="0"/>
      </w:pPr>
      <w:r w:rsidRPr="004D46AC">
        <w:rPr>
          <w:i/>
          <w:iCs/>
        </w:rPr>
        <w:lastRenderedPageBreak/>
        <w:t>Note</w:t>
      </w:r>
      <w:r w:rsidRPr="004D46AC">
        <w:t>. the pooled rate and the I statistics were presented in proportions; all pooled rate was based on random effects model due to high heterogeneity.</w:t>
      </w:r>
    </w:p>
    <w:p w14:paraId="689A7301" w14:textId="77777777" w:rsidR="003D5CB6" w:rsidRPr="004D46AC" w:rsidRDefault="003D5CB6" w:rsidP="00B518F1">
      <w:pPr>
        <w:spacing w:line="360" w:lineRule="auto"/>
        <w:ind w:firstLine="0"/>
        <w:rPr>
          <w:vertAlign w:val="superscript"/>
        </w:rPr>
      </w:pPr>
      <w:proofErr w:type="spellStart"/>
      <w:proofErr w:type="gramStart"/>
      <w:r w:rsidRPr="004D46AC">
        <w:rPr>
          <w:vertAlign w:val="superscript"/>
        </w:rPr>
        <w:t>a</w:t>
      </w:r>
      <w:proofErr w:type="spellEnd"/>
      <w:r w:rsidRPr="004D46AC">
        <w:rPr>
          <w:rFonts w:eastAsiaTheme="minorEastAsia" w:hint="eastAsia"/>
          <w:vertAlign w:val="superscript"/>
        </w:rPr>
        <w:t xml:space="preserve"> </w:t>
      </w:r>
      <w:r w:rsidRPr="004D46AC">
        <w:t>the</w:t>
      </w:r>
      <w:proofErr w:type="gramEnd"/>
      <w:r w:rsidRPr="004D46AC">
        <w:t xml:space="preserve"> sample size for lifetime psychosis in patients with mixed episode was too low (k=4) and thus the values reported were median and the range.</w:t>
      </w:r>
      <w:r w:rsidRPr="004D46AC">
        <w:rPr>
          <w:vertAlign w:val="superscript"/>
        </w:rPr>
        <w:t xml:space="preserve"> </w:t>
      </w:r>
    </w:p>
    <w:p w14:paraId="083ADBBD" w14:textId="77777777" w:rsidR="003D5CB6" w:rsidRPr="004D46AC" w:rsidRDefault="003D5CB6" w:rsidP="00B518F1">
      <w:pPr>
        <w:spacing w:line="360" w:lineRule="auto"/>
        <w:ind w:firstLine="0"/>
        <w:rPr>
          <w:vertAlign w:val="superscript"/>
        </w:rPr>
      </w:pPr>
      <w:r w:rsidRPr="004D46AC">
        <w:rPr>
          <w:rFonts w:eastAsia="DengXian"/>
        </w:rPr>
        <w:t>†</w:t>
      </w:r>
      <w:r w:rsidRPr="004D46AC">
        <w:rPr>
          <w:rFonts w:eastAsia="DengXian" w:hint="eastAsia"/>
        </w:rPr>
        <w:t xml:space="preserve"> </w:t>
      </w:r>
      <w:proofErr w:type="gramStart"/>
      <w:r w:rsidRPr="004D46AC">
        <w:rPr>
          <w:rFonts w:eastAsia="DengXian"/>
        </w:rPr>
        <w:t>denotes</w:t>
      </w:r>
      <w:proofErr w:type="gramEnd"/>
      <w:r w:rsidRPr="004D46AC">
        <w:rPr>
          <w:rFonts w:eastAsia="DengXian"/>
        </w:rPr>
        <w:t xml:space="preserve"> the presence of possible publication bias.</w:t>
      </w:r>
    </w:p>
    <w:p w14:paraId="550C8420" w14:textId="77777777" w:rsidR="003D5CB6" w:rsidRPr="004D46AC" w:rsidRDefault="003D5CB6" w:rsidP="00B518F1">
      <w:pPr>
        <w:ind w:firstLine="0"/>
        <w:rPr>
          <w:rFonts w:eastAsiaTheme="minorEastAsia"/>
        </w:rPr>
      </w:pPr>
    </w:p>
    <w:p w14:paraId="16DC47D1" w14:textId="419E0510" w:rsidR="005B3793" w:rsidRPr="004D46AC" w:rsidRDefault="00515479" w:rsidP="005B3793">
      <w:pPr>
        <w:pStyle w:val="afff0"/>
        <w:spacing w:after="0" w:line="360" w:lineRule="auto"/>
        <w:ind w:firstLine="0"/>
        <w:rPr>
          <w:rFonts w:eastAsiaTheme="minorEastAsia"/>
          <w:b/>
          <w:bCs/>
          <w:i w:val="0"/>
          <w:iCs w:val="0"/>
          <w:color w:val="auto"/>
          <w:sz w:val="22"/>
          <w:szCs w:val="22"/>
        </w:rPr>
      </w:pPr>
      <w:bookmarkStart w:id="111" w:name="_Toc219883858"/>
      <w:bookmarkStart w:id="112" w:name="_Toc219870610"/>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6</w:t>
      </w:r>
      <w:bookmarkEnd w:id="111"/>
      <w:r w:rsidR="004725A0" w:rsidRPr="004D46AC">
        <w:rPr>
          <w:b/>
          <w:bCs/>
          <w:i w:val="0"/>
          <w:iCs w:val="0"/>
          <w:color w:val="auto"/>
          <w:sz w:val="22"/>
          <w:szCs w:val="22"/>
        </w:rPr>
        <w:fldChar w:fldCharType="end"/>
      </w:r>
      <w:bookmarkEnd w:id="112"/>
    </w:p>
    <w:p w14:paraId="127D972D" w14:textId="10F15F28" w:rsidR="003D5CB6" w:rsidRPr="004D46AC" w:rsidRDefault="003D5CB6" w:rsidP="005B3793">
      <w:pPr>
        <w:pStyle w:val="afff0"/>
        <w:spacing w:after="0" w:line="360" w:lineRule="auto"/>
        <w:ind w:firstLine="0"/>
        <w:rPr>
          <w:rFonts w:eastAsiaTheme="minorEastAsia"/>
          <w:b/>
          <w:bCs/>
          <w:i w:val="0"/>
          <w:iCs w:val="0"/>
          <w:color w:val="auto"/>
          <w:sz w:val="22"/>
          <w:szCs w:val="22"/>
        </w:rPr>
      </w:pPr>
      <w:r w:rsidRPr="004D46AC">
        <w:rPr>
          <w:color w:val="auto"/>
          <w:sz w:val="22"/>
          <w:szCs w:val="22"/>
        </w:rPr>
        <w:t>The predictors contributed to the heterogeneity in analyses of specific psychotic symptoms</w:t>
      </w:r>
    </w:p>
    <w:tbl>
      <w:tblPr>
        <w:tblStyle w:val="afc"/>
        <w:tblW w:w="0" w:type="auto"/>
        <w:jc w:val="center"/>
        <w:tblLook w:val="04A0" w:firstRow="1" w:lastRow="0" w:firstColumn="1" w:lastColumn="0" w:noHBand="0" w:noVBand="1"/>
      </w:tblPr>
      <w:tblGrid>
        <w:gridCol w:w="2041"/>
        <w:gridCol w:w="1489"/>
        <w:gridCol w:w="1339"/>
        <w:gridCol w:w="940"/>
        <w:gridCol w:w="635"/>
        <w:gridCol w:w="1473"/>
        <w:gridCol w:w="1099"/>
      </w:tblGrid>
      <w:tr w:rsidR="003D5CB6" w:rsidRPr="004D46AC" w14:paraId="6DE32CB0" w14:textId="77777777" w:rsidTr="00B518F1">
        <w:trPr>
          <w:trHeight w:val="621"/>
          <w:jc w:val="center"/>
        </w:trPr>
        <w:tc>
          <w:tcPr>
            <w:tcW w:w="2041" w:type="dxa"/>
            <w:vAlign w:val="center"/>
          </w:tcPr>
          <w:p w14:paraId="771D5F41" w14:textId="77777777" w:rsidR="003D5CB6" w:rsidRPr="004D46AC" w:rsidRDefault="003D5CB6" w:rsidP="00B518F1">
            <w:pPr>
              <w:spacing w:line="360" w:lineRule="auto"/>
              <w:ind w:firstLine="0"/>
              <w:jc w:val="center"/>
              <w:rPr>
                <w:b/>
                <w:bCs/>
              </w:rPr>
            </w:pPr>
            <w:r w:rsidRPr="004D46AC">
              <w:rPr>
                <w:b/>
                <w:bCs/>
              </w:rPr>
              <w:t>Syntheses</w:t>
            </w:r>
          </w:p>
        </w:tc>
        <w:tc>
          <w:tcPr>
            <w:tcW w:w="1489" w:type="dxa"/>
            <w:vAlign w:val="center"/>
          </w:tcPr>
          <w:p w14:paraId="3CDC2C83" w14:textId="77777777" w:rsidR="003D5CB6" w:rsidRPr="004D46AC" w:rsidRDefault="003D5CB6" w:rsidP="00B518F1">
            <w:pPr>
              <w:spacing w:line="360" w:lineRule="auto"/>
              <w:ind w:firstLine="0"/>
              <w:jc w:val="center"/>
              <w:rPr>
                <w:b/>
                <w:bCs/>
              </w:rPr>
            </w:pPr>
            <w:r w:rsidRPr="004D46AC">
              <w:rPr>
                <w:b/>
                <w:bCs/>
              </w:rPr>
              <w:t>Predictors</w:t>
            </w:r>
          </w:p>
        </w:tc>
        <w:tc>
          <w:tcPr>
            <w:tcW w:w="1339" w:type="dxa"/>
            <w:vAlign w:val="center"/>
          </w:tcPr>
          <w:p w14:paraId="65A466A5" w14:textId="77777777" w:rsidR="003D5CB6" w:rsidRPr="004D46AC" w:rsidRDefault="003D5CB6" w:rsidP="00B518F1">
            <w:pPr>
              <w:spacing w:line="360" w:lineRule="auto"/>
              <w:ind w:firstLine="0"/>
              <w:jc w:val="center"/>
              <w:rPr>
                <w:b/>
                <w:bCs/>
                <w:i/>
                <w:iCs/>
              </w:rPr>
            </w:pPr>
            <w:r w:rsidRPr="004D46AC">
              <w:rPr>
                <w:b/>
                <w:bCs/>
                <w:i/>
                <w:iCs/>
              </w:rPr>
              <w:t>estimate (se)</w:t>
            </w:r>
          </w:p>
        </w:tc>
        <w:tc>
          <w:tcPr>
            <w:tcW w:w="940" w:type="dxa"/>
            <w:vAlign w:val="center"/>
          </w:tcPr>
          <w:p w14:paraId="6F02A599" w14:textId="77777777" w:rsidR="003D5CB6" w:rsidRPr="004D46AC" w:rsidRDefault="003D5CB6" w:rsidP="00B518F1">
            <w:pPr>
              <w:spacing w:line="360" w:lineRule="auto"/>
              <w:ind w:firstLine="0"/>
              <w:jc w:val="center"/>
              <w:rPr>
                <w:b/>
                <w:bCs/>
                <w:i/>
                <w:iCs/>
              </w:rPr>
            </w:pPr>
            <w:r w:rsidRPr="004D46AC">
              <w:rPr>
                <w:b/>
                <w:bCs/>
                <w:i/>
                <w:iCs/>
              </w:rPr>
              <w:t>Q</w:t>
            </w:r>
          </w:p>
        </w:tc>
        <w:tc>
          <w:tcPr>
            <w:tcW w:w="635" w:type="dxa"/>
            <w:vAlign w:val="center"/>
          </w:tcPr>
          <w:p w14:paraId="5397E0BB" w14:textId="77777777" w:rsidR="003D5CB6" w:rsidRPr="004D46AC" w:rsidRDefault="003D5CB6" w:rsidP="00B518F1">
            <w:pPr>
              <w:spacing w:line="360" w:lineRule="auto"/>
              <w:ind w:firstLine="0"/>
              <w:jc w:val="center"/>
              <w:rPr>
                <w:b/>
                <w:bCs/>
                <w:i/>
                <w:iCs/>
              </w:rPr>
            </w:pPr>
            <w:r w:rsidRPr="004D46AC">
              <w:rPr>
                <w:b/>
                <w:bCs/>
                <w:i/>
                <w:iCs/>
              </w:rPr>
              <w:t>R</w:t>
            </w:r>
            <w:r w:rsidRPr="004D46AC">
              <w:rPr>
                <w:b/>
                <w:bCs/>
                <w:i/>
                <w:iCs/>
                <w:vertAlign w:val="superscript"/>
              </w:rPr>
              <w:t>2</w:t>
            </w:r>
          </w:p>
        </w:tc>
        <w:tc>
          <w:tcPr>
            <w:tcW w:w="1473" w:type="dxa"/>
            <w:vAlign w:val="center"/>
          </w:tcPr>
          <w:p w14:paraId="04955368" w14:textId="77777777" w:rsidR="003D5CB6" w:rsidRPr="004D46AC" w:rsidRDefault="003D5CB6" w:rsidP="00B518F1">
            <w:pPr>
              <w:spacing w:line="360" w:lineRule="auto"/>
              <w:ind w:firstLine="0"/>
              <w:jc w:val="center"/>
              <w:rPr>
                <w:b/>
                <w:bCs/>
              </w:rPr>
            </w:pPr>
            <w:r w:rsidRPr="004D46AC">
              <w:rPr>
                <w:b/>
                <w:bCs/>
                <w:i/>
                <w:iCs/>
              </w:rPr>
              <w:t>Tau</w:t>
            </w:r>
            <w:r w:rsidRPr="004D46AC">
              <w:rPr>
                <w:b/>
                <w:bCs/>
                <w:vertAlign w:val="superscript"/>
              </w:rPr>
              <w:t>2</w:t>
            </w:r>
          </w:p>
        </w:tc>
        <w:tc>
          <w:tcPr>
            <w:tcW w:w="1099" w:type="dxa"/>
            <w:vAlign w:val="center"/>
          </w:tcPr>
          <w:p w14:paraId="6FAD7EB7" w14:textId="77777777" w:rsidR="003D5CB6" w:rsidRPr="004D46AC" w:rsidRDefault="003D5CB6" w:rsidP="00B518F1">
            <w:pPr>
              <w:spacing w:line="360" w:lineRule="auto"/>
              <w:ind w:firstLine="0"/>
              <w:jc w:val="center"/>
              <w:rPr>
                <w:b/>
                <w:bCs/>
              </w:rPr>
            </w:pPr>
            <w:r w:rsidRPr="004D46AC">
              <w:rPr>
                <w:b/>
                <w:bCs/>
                <w:i/>
                <w:iCs/>
              </w:rPr>
              <w:t>I</w:t>
            </w:r>
            <w:r w:rsidRPr="004D46AC">
              <w:rPr>
                <w:b/>
                <w:bCs/>
                <w:vertAlign w:val="superscript"/>
              </w:rPr>
              <w:t>2</w:t>
            </w:r>
          </w:p>
        </w:tc>
      </w:tr>
      <w:tr w:rsidR="003D5CB6" w:rsidRPr="004D46AC" w14:paraId="12A7A8D1" w14:textId="77777777" w:rsidTr="00B518F1">
        <w:trPr>
          <w:trHeight w:val="314"/>
          <w:jc w:val="center"/>
        </w:trPr>
        <w:tc>
          <w:tcPr>
            <w:tcW w:w="2041" w:type="dxa"/>
            <w:vAlign w:val="center"/>
          </w:tcPr>
          <w:p w14:paraId="3F363FAB" w14:textId="77777777" w:rsidR="003D5CB6" w:rsidRPr="004D46AC" w:rsidRDefault="003D5CB6" w:rsidP="00B518F1">
            <w:pPr>
              <w:spacing w:line="360" w:lineRule="auto"/>
              <w:ind w:firstLine="0"/>
              <w:jc w:val="center"/>
              <w:rPr>
                <w:b/>
                <w:bCs/>
              </w:rPr>
            </w:pPr>
            <w:proofErr w:type="spellStart"/>
            <w:r w:rsidRPr="004D46AC">
              <w:rPr>
                <w:b/>
                <w:bCs/>
              </w:rPr>
              <w:t>DelusionsL</w:t>
            </w:r>
            <w:proofErr w:type="spellEnd"/>
          </w:p>
        </w:tc>
        <w:tc>
          <w:tcPr>
            <w:tcW w:w="1489" w:type="dxa"/>
            <w:vAlign w:val="center"/>
          </w:tcPr>
          <w:p w14:paraId="1F3553F9" w14:textId="77777777" w:rsidR="003D5CB6" w:rsidRPr="004D46AC" w:rsidRDefault="003D5CB6" w:rsidP="00B518F1">
            <w:pPr>
              <w:spacing w:line="360" w:lineRule="auto"/>
              <w:ind w:firstLine="0"/>
              <w:jc w:val="center"/>
            </w:pPr>
            <w:r w:rsidRPr="004D46AC">
              <w:t>Bipolar type</w:t>
            </w:r>
          </w:p>
        </w:tc>
        <w:tc>
          <w:tcPr>
            <w:tcW w:w="1339" w:type="dxa"/>
            <w:vAlign w:val="center"/>
          </w:tcPr>
          <w:p w14:paraId="5BE32A8F" w14:textId="77777777" w:rsidR="003D5CB6" w:rsidRPr="004D46AC" w:rsidRDefault="003D5CB6" w:rsidP="00B518F1">
            <w:pPr>
              <w:spacing w:line="360" w:lineRule="auto"/>
              <w:ind w:firstLine="0"/>
              <w:jc w:val="center"/>
            </w:pPr>
            <w:r w:rsidRPr="004D46AC">
              <w:rPr>
                <w:rFonts w:eastAsiaTheme="minorEastAsia" w:hint="eastAsia"/>
              </w:rPr>
              <w:t>0</w:t>
            </w:r>
            <w:r w:rsidRPr="004D46AC">
              <w:t>.27 (</w:t>
            </w:r>
            <w:r w:rsidRPr="004D46AC">
              <w:rPr>
                <w:rFonts w:eastAsiaTheme="minorEastAsia" w:hint="eastAsia"/>
              </w:rPr>
              <w:t>0</w:t>
            </w:r>
            <w:r w:rsidRPr="004D46AC">
              <w:t>.05) ***</w:t>
            </w:r>
          </w:p>
        </w:tc>
        <w:tc>
          <w:tcPr>
            <w:tcW w:w="940" w:type="dxa"/>
            <w:vAlign w:val="center"/>
          </w:tcPr>
          <w:p w14:paraId="34E48525" w14:textId="77777777" w:rsidR="003D5CB6" w:rsidRPr="004D46AC" w:rsidRDefault="003D5CB6" w:rsidP="00B518F1">
            <w:pPr>
              <w:spacing w:line="360" w:lineRule="auto"/>
              <w:ind w:firstLine="0"/>
              <w:jc w:val="center"/>
            </w:pPr>
            <w:r w:rsidRPr="004D46AC">
              <w:t>28.32 ***</w:t>
            </w:r>
          </w:p>
        </w:tc>
        <w:tc>
          <w:tcPr>
            <w:tcW w:w="635" w:type="dxa"/>
            <w:vAlign w:val="center"/>
          </w:tcPr>
          <w:p w14:paraId="3DD4A413" w14:textId="77777777" w:rsidR="003D5CB6" w:rsidRPr="004D46AC" w:rsidRDefault="003D5CB6" w:rsidP="00B518F1">
            <w:pPr>
              <w:spacing w:line="360" w:lineRule="auto"/>
              <w:ind w:firstLine="0"/>
              <w:jc w:val="center"/>
            </w:pPr>
            <w:r w:rsidRPr="004D46AC">
              <w:t>.47</w:t>
            </w:r>
          </w:p>
        </w:tc>
        <w:tc>
          <w:tcPr>
            <w:tcW w:w="1473" w:type="dxa"/>
            <w:vAlign w:val="center"/>
          </w:tcPr>
          <w:p w14:paraId="21A73942" w14:textId="77777777" w:rsidR="003D5CB6" w:rsidRPr="004D46AC" w:rsidRDefault="003D5CB6" w:rsidP="00B518F1">
            <w:pPr>
              <w:spacing w:line="360" w:lineRule="auto"/>
              <w:ind w:firstLine="0"/>
              <w:jc w:val="center"/>
            </w:pPr>
            <w:r w:rsidRPr="004D46AC">
              <w:t>.04 [.03, .07]</w:t>
            </w:r>
          </w:p>
        </w:tc>
        <w:tc>
          <w:tcPr>
            <w:tcW w:w="1099" w:type="dxa"/>
            <w:vAlign w:val="center"/>
          </w:tcPr>
          <w:p w14:paraId="274C4FFA" w14:textId="77777777" w:rsidR="003D5CB6" w:rsidRPr="004D46AC" w:rsidRDefault="003D5CB6" w:rsidP="00B518F1">
            <w:pPr>
              <w:spacing w:line="360" w:lineRule="auto"/>
              <w:ind w:firstLine="0"/>
              <w:jc w:val="center"/>
            </w:pPr>
            <w:r w:rsidRPr="004D46AC">
              <w:t xml:space="preserve">98.33 </w:t>
            </w:r>
          </w:p>
          <w:p w14:paraId="35A4E9BC" w14:textId="77777777" w:rsidR="003D5CB6" w:rsidRPr="004D46AC" w:rsidRDefault="003D5CB6" w:rsidP="00B518F1">
            <w:pPr>
              <w:spacing w:line="360" w:lineRule="auto"/>
              <w:ind w:firstLine="0"/>
              <w:jc w:val="center"/>
            </w:pPr>
            <w:r w:rsidRPr="004D46AC">
              <w:t>[97.40, 99.07]</w:t>
            </w:r>
          </w:p>
        </w:tc>
      </w:tr>
      <w:tr w:rsidR="003D5CB6" w:rsidRPr="004D46AC" w14:paraId="7FBCEA06" w14:textId="77777777" w:rsidTr="00B518F1">
        <w:trPr>
          <w:trHeight w:val="314"/>
          <w:jc w:val="center"/>
        </w:trPr>
        <w:tc>
          <w:tcPr>
            <w:tcW w:w="2041" w:type="dxa"/>
            <w:vMerge w:val="restart"/>
            <w:vAlign w:val="center"/>
          </w:tcPr>
          <w:p w14:paraId="45041365" w14:textId="77777777" w:rsidR="003D5CB6" w:rsidRPr="004D46AC" w:rsidRDefault="003D5CB6" w:rsidP="00B518F1">
            <w:pPr>
              <w:spacing w:line="360" w:lineRule="auto"/>
              <w:ind w:firstLine="0"/>
              <w:jc w:val="center"/>
              <w:rPr>
                <w:b/>
                <w:bCs/>
              </w:rPr>
            </w:pPr>
            <w:proofErr w:type="spellStart"/>
            <w:r w:rsidRPr="004D46AC">
              <w:rPr>
                <w:b/>
                <w:bCs/>
              </w:rPr>
              <w:t>DelusionsC</w:t>
            </w:r>
            <w:proofErr w:type="spellEnd"/>
          </w:p>
        </w:tc>
        <w:tc>
          <w:tcPr>
            <w:tcW w:w="1489" w:type="dxa"/>
            <w:vAlign w:val="center"/>
          </w:tcPr>
          <w:p w14:paraId="4868EFBE" w14:textId="77777777" w:rsidR="003D5CB6" w:rsidRPr="004D46AC" w:rsidRDefault="003D5CB6" w:rsidP="00B518F1">
            <w:pPr>
              <w:spacing w:line="360" w:lineRule="auto"/>
              <w:ind w:firstLine="0"/>
              <w:jc w:val="center"/>
            </w:pPr>
            <w:r w:rsidRPr="004D46AC">
              <w:t>Bipolar type</w:t>
            </w:r>
          </w:p>
        </w:tc>
        <w:tc>
          <w:tcPr>
            <w:tcW w:w="1339" w:type="dxa"/>
            <w:vAlign w:val="center"/>
          </w:tcPr>
          <w:p w14:paraId="7CC234FF" w14:textId="77777777" w:rsidR="003D5CB6" w:rsidRPr="004D46AC" w:rsidRDefault="003D5CB6" w:rsidP="00B518F1">
            <w:pPr>
              <w:spacing w:line="360" w:lineRule="auto"/>
              <w:ind w:firstLine="0"/>
              <w:jc w:val="center"/>
            </w:pPr>
            <w:r w:rsidRPr="004D46AC">
              <w:rPr>
                <w:rFonts w:eastAsiaTheme="minorEastAsia" w:hint="eastAsia"/>
              </w:rPr>
              <w:t>0</w:t>
            </w:r>
            <w:r w:rsidRPr="004D46AC">
              <w:t>.15 (</w:t>
            </w:r>
            <w:r w:rsidRPr="004D46AC">
              <w:rPr>
                <w:rFonts w:eastAsiaTheme="minorEastAsia" w:hint="eastAsia"/>
              </w:rPr>
              <w:t>0</w:t>
            </w:r>
            <w:r w:rsidRPr="004D46AC">
              <w:t>.05) ***</w:t>
            </w:r>
          </w:p>
        </w:tc>
        <w:tc>
          <w:tcPr>
            <w:tcW w:w="940" w:type="dxa"/>
            <w:vMerge w:val="restart"/>
            <w:vAlign w:val="center"/>
          </w:tcPr>
          <w:p w14:paraId="417806D5" w14:textId="77777777" w:rsidR="003D5CB6" w:rsidRPr="004D46AC" w:rsidRDefault="003D5CB6" w:rsidP="00B518F1">
            <w:pPr>
              <w:spacing w:line="360" w:lineRule="auto"/>
              <w:ind w:firstLine="0"/>
              <w:jc w:val="center"/>
            </w:pPr>
            <w:r w:rsidRPr="004D46AC">
              <w:t>27.65 ***</w:t>
            </w:r>
          </w:p>
        </w:tc>
        <w:tc>
          <w:tcPr>
            <w:tcW w:w="635" w:type="dxa"/>
            <w:vMerge w:val="restart"/>
            <w:vAlign w:val="center"/>
          </w:tcPr>
          <w:p w14:paraId="34AAFE4F" w14:textId="77777777" w:rsidR="003D5CB6" w:rsidRPr="004D46AC" w:rsidRDefault="003D5CB6" w:rsidP="00B518F1">
            <w:pPr>
              <w:spacing w:line="360" w:lineRule="auto"/>
              <w:ind w:firstLine="0"/>
              <w:jc w:val="center"/>
            </w:pPr>
            <w:r w:rsidRPr="004D46AC">
              <w:t>.37</w:t>
            </w:r>
          </w:p>
        </w:tc>
        <w:tc>
          <w:tcPr>
            <w:tcW w:w="1473" w:type="dxa"/>
            <w:vMerge w:val="restart"/>
            <w:vAlign w:val="center"/>
          </w:tcPr>
          <w:p w14:paraId="1EEAE9E1" w14:textId="77777777" w:rsidR="003D5CB6" w:rsidRPr="004D46AC" w:rsidRDefault="003D5CB6" w:rsidP="00B518F1">
            <w:pPr>
              <w:spacing w:line="360" w:lineRule="auto"/>
              <w:ind w:firstLine="0"/>
              <w:jc w:val="center"/>
            </w:pPr>
            <w:r w:rsidRPr="004D46AC">
              <w:t>.06[.04, .09]</w:t>
            </w:r>
          </w:p>
        </w:tc>
        <w:tc>
          <w:tcPr>
            <w:tcW w:w="1099" w:type="dxa"/>
            <w:vMerge w:val="restart"/>
            <w:vAlign w:val="center"/>
          </w:tcPr>
          <w:p w14:paraId="351B13A9" w14:textId="77777777" w:rsidR="003D5CB6" w:rsidRPr="004D46AC" w:rsidRDefault="003D5CB6" w:rsidP="00B518F1">
            <w:pPr>
              <w:spacing w:line="360" w:lineRule="auto"/>
              <w:ind w:firstLine="0"/>
              <w:jc w:val="center"/>
            </w:pPr>
            <w:r w:rsidRPr="004D46AC">
              <w:t>98.23</w:t>
            </w:r>
          </w:p>
          <w:p w14:paraId="6ACE19B3" w14:textId="77777777" w:rsidR="003D5CB6" w:rsidRPr="004D46AC" w:rsidRDefault="003D5CB6" w:rsidP="00B518F1">
            <w:pPr>
              <w:spacing w:line="360" w:lineRule="auto"/>
              <w:ind w:firstLine="0"/>
              <w:jc w:val="center"/>
            </w:pPr>
            <w:r w:rsidRPr="004D46AC">
              <w:t>[97.37, 98.91]</w:t>
            </w:r>
          </w:p>
        </w:tc>
      </w:tr>
      <w:tr w:rsidR="003D5CB6" w:rsidRPr="004D46AC" w14:paraId="1827A025" w14:textId="77777777" w:rsidTr="00B518F1">
        <w:trPr>
          <w:trHeight w:val="306"/>
          <w:jc w:val="center"/>
        </w:trPr>
        <w:tc>
          <w:tcPr>
            <w:tcW w:w="2041" w:type="dxa"/>
            <w:vMerge/>
            <w:vAlign w:val="center"/>
          </w:tcPr>
          <w:p w14:paraId="0D6AEE14" w14:textId="77777777" w:rsidR="003D5CB6" w:rsidRPr="004D46AC" w:rsidRDefault="003D5CB6" w:rsidP="00B518F1">
            <w:pPr>
              <w:spacing w:line="360" w:lineRule="auto"/>
              <w:ind w:firstLine="0"/>
              <w:jc w:val="center"/>
              <w:rPr>
                <w:b/>
                <w:bCs/>
              </w:rPr>
            </w:pPr>
          </w:p>
        </w:tc>
        <w:tc>
          <w:tcPr>
            <w:tcW w:w="1489" w:type="dxa"/>
            <w:vAlign w:val="center"/>
          </w:tcPr>
          <w:p w14:paraId="5A3C3F85" w14:textId="77777777" w:rsidR="003D5CB6" w:rsidRPr="004D46AC" w:rsidRDefault="003D5CB6" w:rsidP="00B518F1">
            <w:pPr>
              <w:spacing w:line="360" w:lineRule="auto"/>
              <w:ind w:firstLine="0"/>
              <w:jc w:val="center"/>
            </w:pPr>
            <w:r w:rsidRPr="004D46AC">
              <w:t>First level evidence</w:t>
            </w:r>
          </w:p>
        </w:tc>
        <w:tc>
          <w:tcPr>
            <w:tcW w:w="1339" w:type="dxa"/>
            <w:vAlign w:val="center"/>
          </w:tcPr>
          <w:p w14:paraId="545DAB61" w14:textId="77777777" w:rsidR="003D5CB6" w:rsidRPr="004D46AC" w:rsidRDefault="003D5CB6" w:rsidP="00B518F1">
            <w:pPr>
              <w:spacing w:line="360" w:lineRule="auto"/>
              <w:ind w:firstLine="0"/>
              <w:jc w:val="center"/>
            </w:pPr>
            <w:r w:rsidRPr="004D46AC">
              <w:rPr>
                <w:rFonts w:eastAsiaTheme="minorEastAsia" w:hint="eastAsia"/>
              </w:rPr>
              <w:t>0</w:t>
            </w:r>
            <w:r w:rsidRPr="004D46AC">
              <w:t>.26 (</w:t>
            </w:r>
            <w:r w:rsidRPr="004D46AC">
              <w:rPr>
                <w:rFonts w:eastAsiaTheme="minorEastAsia" w:hint="eastAsia"/>
              </w:rPr>
              <w:t>0</w:t>
            </w:r>
            <w:r w:rsidRPr="004D46AC">
              <w:t>.08) **</w:t>
            </w:r>
          </w:p>
        </w:tc>
        <w:tc>
          <w:tcPr>
            <w:tcW w:w="940" w:type="dxa"/>
            <w:vMerge/>
            <w:vAlign w:val="center"/>
          </w:tcPr>
          <w:p w14:paraId="28848ED1" w14:textId="77777777" w:rsidR="003D5CB6" w:rsidRPr="004D46AC" w:rsidRDefault="003D5CB6" w:rsidP="00B518F1">
            <w:pPr>
              <w:spacing w:line="360" w:lineRule="auto"/>
              <w:ind w:firstLine="0"/>
              <w:jc w:val="center"/>
            </w:pPr>
          </w:p>
        </w:tc>
        <w:tc>
          <w:tcPr>
            <w:tcW w:w="635" w:type="dxa"/>
            <w:vMerge/>
            <w:vAlign w:val="center"/>
          </w:tcPr>
          <w:p w14:paraId="0067B4F5" w14:textId="77777777" w:rsidR="003D5CB6" w:rsidRPr="004D46AC" w:rsidRDefault="003D5CB6" w:rsidP="00B518F1">
            <w:pPr>
              <w:spacing w:line="360" w:lineRule="auto"/>
              <w:ind w:firstLine="0"/>
              <w:jc w:val="center"/>
            </w:pPr>
          </w:p>
        </w:tc>
        <w:tc>
          <w:tcPr>
            <w:tcW w:w="1473" w:type="dxa"/>
            <w:vMerge/>
            <w:vAlign w:val="center"/>
          </w:tcPr>
          <w:p w14:paraId="2595C3FE" w14:textId="77777777" w:rsidR="003D5CB6" w:rsidRPr="004D46AC" w:rsidRDefault="003D5CB6" w:rsidP="00B518F1">
            <w:pPr>
              <w:spacing w:line="360" w:lineRule="auto"/>
              <w:ind w:firstLine="0"/>
              <w:jc w:val="center"/>
            </w:pPr>
          </w:p>
        </w:tc>
        <w:tc>
          <w:tcPr>
            <w:tcW w:w="1099" w:type="dxa"/>
            <w:vMerge/>
            <w:vAlign w:val="center"/>
          </w:tcPr>
          <w:p w14:paraId="7D8CA876" w14:textId="77777777" w:rsidR="003D5CB6" w:rsidRPr="004D46AC" w:rsidRDefault="003D5CB6" w:rsidP="00B518F1">
            <w:pPr>
              <w:spacing w:line="360" w:lineRule="auto"/>
              <w:ind w:firstLine="0"/>
              <w:jc w:val="center"/>
            </w:pPr>
          </w:p>
        </w:tc>
      </w:tr>
      <w:tr w:rsidR="003D5CB6" w:rsidRPr="004D46AC" w14:paraId="771DE4C9" w14:textId="77777777" w:rsidTr="00B518F1">
        <w:trPr>
          <w:trHeight w:val="314"/>
          <w:jc w:val="center"/>
        </w:trPr>
        <w:tc>
          <w:tcPr>
            <w:tcW w:w="2041" w:type="dxa"/>
            <w:vAlign w:val="center"/>
          </w:tcPr>
          <w:p w14:paraId="433766DC" w14:textId="77777777" w:rsidR="003D5CB6" w:rsidRPr="004D46AC" w:rsidRDefault="003D5CB6" w:rsidP="00B518F1">
            <w:pPr>
              <w:spacing w:line="360" w:lineRule="auto"/>
              <w:ind w:firstLine="0"/>
              <w:jc w:val="center"/>
              <w:rPr>
                <w:b/>
                <w:bCs/>
              </w:rPr>
            </w:pPr>
            <w:proofErr w:type="spellStart"/>
            <w:r w:rsidRPr="004D46AC">
              <w:rPr>
                <w:b/>
                <w:bCs/>
              </w:rPr>
              <w:t>HallucinationsL</w:t>
            </w:r>
            <w:proofErr w:type="spellEnd"/>
          </w:p>
        </w:tc>
        <w:tc>
          <w:tcPr>
            <w:tcW w:w="1489" w:type="dxa"/>
            <w:vAlign w:val="center"/>
          </w:tcPr>
          <w:p w14:paraId="3F71E156" w14:textId="77777777" w:rsidR="003D5CB6" w:rsidRPr="004D46AC" w:rsidRDefault="003D5CB6" w:rsidP="00B518F1">
            <w:pPr>
              <w:spacing w:line="360" w:lineRule="auto"/>
              <w:ind w:firstLine="0"/>
              <w:jc w:val="center"/>
            </w:pPr>
            <w:r w:rsidRPr="004D46AC">
              <w:t>Sampling method</w:t>
            </w:r>
          </w:p>
        </w:tc>
        <w:tc>
          <w:tcPr>
            <w:tcW w:w="1339" w:type="dxa"/>
            <w:vAlign w:val="center"/>
          </w:tcPr>
          <w:p w14:paraId="0EDE6ACD" w14:textId="77777777" w:rsidR="003D5CB6" w:rsidRPr="004D46AC" w:rsidRDefault="003D5CB6" w:rsidP="00B518F1">
            <w:pPr>
              <w:spacing w:line="360" w:lineRule="auto"/>
              <w:ind w:firstLine="0"/>
              <w:jc w:val="center"/>
            </w:pPr>
            <w:r w:rsidRPr="004D46AC">
              <w:rPr>
                <w:rFonts w:eastAsiaTheme="minorEastAsia" w:hint="eastAsia"/>
              </w:rPr>
              <w:t>0</w:t>
            </w:r>
            <w:r w:rsidRPr="004D46AC">
              <w:t>.30 (</w:t>
            </w:r>
            <w:r w:rsidRPr="004D46AC">
              <w:rPr>
                <w:rFonts w:eastAsiaTheme="minorEastAsia" w:hint="eastAsia"/>
              </w:rPr>
              <w:t>0</w:t>
            </w:r>
            <w:r w:rsidRPr="004D46AC">
              <w:t>.08) ***</w:t>
            </w:r>
          </w:p>
        </w:tc>
        <w:tc>
          <w:tcPr>
            <w:tcW w:w="940" w:type="dxa"/>
            <w:vAlign w:val="center"/>
          </w:tcPr>
          <w:p w14:paraId="05B3E3B0" w14:textId="77777777" w:rsidR="003D5CB6" w:rsidRPr="004D46AC" w:rsidRDefault="003D5CB6" w:rsidP="00B518F1">
            <w:pPr>
              <w:spacing w:line="360" w:lineRule="auto"/>
              <w:ind w:firstLine="0"/>
              <w:jc w:val="center"/>
            </w:pPr>
            <w:r w:rsidRPr="004D46AC">
              <w:t>15.94 **</w:t>
            </w:r>
          </w:p>
        </w:tc>
        <w:tc>
          <w:tcPr>
            <w:tcW w:w="635" w:type="dxa"/>
            <w:vAlign w:val="center"/>
          </w:tcPr>
          <w:p w14:paraId="613286AA" w14:textId="77777777" w:rsidR="003D5CB6" w:rsidRPr="004D46AC" w:rsidRDefault="003D5CB6" w:rsidP="00B518F1">
            <w:pPr>
              <w:spacing w:line="360" w:lineRule="auto"/>
              <w:ind w:firstLine="0"/>
              <w:jc w:val="center"/>
            </w:pPr>
            <w:r w:rsidRPr="004D46AC">
              <w:t>.34</w:t>
            </w:r>
          </w:p>
        </w:tc>
        <w:tc>
          <w:tcPr>
            <w:tcW w:w="1473" w:type="dxa"/>
            <w:vAlign w:val="center"/>
          </w:tcPr>
          <w:p w14:paraId="6A651CA5" w14:textId="77777777" w:rsidR="003D5CB6" w:rsidRPr="004D46AC" w:rsidRDefault="003D5CB6" w:rsidP="00B518F1">
            <w:pPr>
              <w:spacing w:line="360" w:lineRule="auto"/>
              <w:ind w:firstLine="0"/>
              <w:jc w:val="center"/>
            </w:pPr>
            <w:r w:rsidRPr="004D46AC">
              <w:t>.02 [.01, .03]</w:t>
            </w:r>
          </w:p>
        </w:tc>
        <w:tc>
          <w:tcPr>
            <w:tcW w:w="1099" w:type="dxa"/>
            <w:vAlign w:val="center"/>
          </w:tcPr>
          <w:p w14:paraId="4408CD91" w14:textId="77777777" w:rsidR="003D5CB6" w:rsidRPr="004D46AC" w:rsidRDefault="003D5CB6" w:rsidP="00B518F1">
            <w:pPr>
              <w:spacing w:line="360" w:lineRule="auto"/>
              <w:ind w:firstLine="0"/>
              <w:jc w:val="center"/>
            </w:pPr>
            <w:r w:rsidRPr="004D46AC">
              <w:t xml:space="preserve">96.24 </w:t>
            </w:r>
          </w:p>
          <w:p w14:paraId="20C31589" w14:textId="77777777" w:rsidR="003D5CB6" w:rsidRPr="004D46AC" w:rsidRDefault="003D5CB6" w:rsidP="00B518F1">
            <w:pPr>
              <w:spacing w:line="360" w:lineRule="auto"/>
              <w:ind w:firstLine="0"/>
              <w:jc w:val="center"/>
            </w:pPr>
            <w:r w:rsidRPr="004D46AC">
              <w:t>[94.05, 97.95]</w:t>
            </w:r>
          </w:p>
        </w:tc>
      </w:tr>
      <w:tr w:rsidR="003D5CB6" w:rsidRPr="004D46AC" w14:paraId="3FA85230" w14:textId="77777777" w:rsidTr="00B518F1">
        <w:trPr>
          <w:trHeight w:val="306"/>
          <w:jc w:val="center"/>
        </w:trPr>
        <w:tc>
          <w:tcPr>
            <w:tcW w:w="2041" w:type="dxa"/>
            <w:vAlign w:val="center"/>
          </w:tcPr>
          <w:p w14:paraId="50DEDFD1" w14:textId="77777777" w:rsidR="003D5CB6" w:rsidRPr="004D46AC" w:rsidRDefault="003D5CB6" w:rsidP="00B518F1">
            <w:pPr>
              <w:spacing w:line="360" w:lineRule="auto"/>
              <w:ind w:firstLine="0"/>
              <w:jc w:val="center"/>
              <w:rPr>
                <w:b/>
                <w:bCs/>
              </w:rPr>
            </w:pPr>
            <w:proofErr w:type="spellStart"/>
            <w:r w:rsidRPr="004D46AC">
              <w:rPr>
                <w:b/>
                <w:bCs/>
              </w:rPr>
              <w:t>HallucinationsC</w:t>
            </w:r>
            <w:proofErr w:type="spellEnd"/>
          </w:p>
        </w:tc>
        <w:tc>
          <w:tcPr>
            <w:tcW w:w="1489" w:type="dxa"/>
            <w:vAlign w:val="center"/>
          </w:tcPr>
          <w:p w14:paraId="113D24E1" w14:textId="77777777" w:rsidR="003D5CB6" w:rsidRPr="004D46AC" w:rsidRDefault="003D5CB6" w:rsidP="00B518F1">
            <w:pPr>
              <w:spacing w:line="360" w:lineRule="auto"/>
              <w:ind w:firstLine="0"/>
              <w:jc w:val="center"/>
            </w:pPr>
            <w:r w:rsidRPr="004D46AC">
              <w:t>Bipolar type</w:t>
            </w:r>
          </w:p>
        </w:tc>
        <w:tc>
          <w:tcPr>
            <w:tcW w:w="1339" w:type="dxa"/>
            <w:vAlign w:val="center"/>
          </w:tcPr>
          <w:p w14:paraId="71BC77F1" w14:textId="77777777" w:rsidR="003D5CB6" w:rsidRPr="004D46AC" w:rsidRDefault="003D5CB6" w:rsidP="00B518F1">
            <w:pPr>
              <w:spacing w:line="360" w:lineRule="auto"/>
              <w:ind w:firstLine="0"/>
              <w:jc w:val="center"/>
            </w:pPr>
            <w:r w:rsidRPr="004D46AC">
              <w:rPr>
                <w:rFonts w:eastAsiaTheme="minorEastAsia" w:hint="eastAsia"/>
              </w:rPr>
              <w:t>0</w:t>
            </w:r>
            <w:r w:rsidRPr="004D46AC">
              <w:t>.10 (</w:t>
            </w:r>
            <w:r w:rsidRPr="004D46AC">
              <w:rPr>
                <w:rFonts w:eastAsiaTheme="minorEastAsia" w:hint="eastAsia"/>
              </w:rPr>
              <w:t>0</w:t>
            </w:r>
            <w:r w:rsidRPr="004D46AC">
              <w:t>.04) **</w:t>
            </w:r>
          </w:p>
        </w:tc>
        <w:tc>
          <w:tcPr>
            <w:tcW w:w="940" w:type="dxa"/>
            <w:vAlign w:val="center"/>
          </w:tcPr>
          <w:p w14:paraId="66525F32" w14:textId="77777777" w:rsidR="003D5CB6" w:rsidRPr="004D46AC" w:rsidRDefault="003D5CB6" w:rsidP="00B518F1">
            <w:pPr>
              <w:spacing w:line="360" w:lineRule="auto"/>
              <w:ind w:firstLine="0"/>
              <w:jc w:val="center"/>
            </w:pPr>
            <w:r w:rsidRPr="004D46AC">
              <w:t>6.72 **</w:t>
            </w:r>
          </w:p>
        </w:tc>
        <w:tc>
          <w:tcPr>
            <w:tcW w:w="635" w:type="dxa"/>
            <w:vAlign w:val="center"/>
          </w:tcPr>
          <w:p w14:paraId="011AEABE" w14:textId="77777777" w:rsidR="003D5CB6" w:rsidRPr="004D46AC" w:rsidRDefault="003D5CB6" w:rsidP="00B518F1">
            <w:pPr>
              <w:spacing w:line="360" w:lineRule="auto"/>
              <w:ind w:firstLine="0"/>
              <w:jc w:val="center"/>
            </w:pPr>
            <w:r w:rsidRPr="004D46AC">
              <w:t>.14</w:t>
            </w:r>
          </w:p>
        </w:tc>
        <w:tc>
          <w:tcPr>
            <w:tcW w:w="1473" w:type="dxa"/>
            <w:vAlign w:val="center"/>
          </w:tcPr>
          <w:p w14:paraId="00AC2BE2" w14:textId="77777777" w:rsidR="003D5CB6" w:rsidRPr="004D46AC" w:rsidRDefault="003D5CB6" w:rsidP="00B518F1">
            <w:pPr>
              <w:spacing w:line="360" w:lineRule="auto"/>
              <w:ind w:firstLine="0"/>
              <w:jc w:val="center"/>
            </w:pPr>
            <w:r w:rsidRPr="004D46AC">
              <w:t>.04 [.03, .07]</w:t>
            </w:r>
          </w:p>
        </w:tc>
        <w:tc>
          <w:tcPr>
            <w:tcW w:w="1099" w:type="dxa"/>
            <w:vAlign w:val="center"/>
          </w:tcPr>
          <w:p w14:paraId="681C1AB3" w14:textId="77777777" w:rsidR="003D5CB6" w:rsidRPr="004D46AC" w:rsidRDefault="003D5CB6" w:rsidP="00B518F1">
            <w:pPr>
              <w:spacing w:line="360" w:lineRule="auto"/>
              <w:ind w:firstLine="0"/>
              <w:jc w:val="center"/>
            </w:pPr>
            <w:r w:rsidRPr="004D46AC">
              <w:t xml:space="preserve">98.41 </w:t>
            </w:r>
          </w:p>
          <w:p w14:paraId="193920B4" w14:textId="77777777" w:rsidR="003D5CB6" w:rsidRPr="004D46AC" w:rsidRDefault="003D5CB6" w:rsidP="00B518F1">
            <w:pPr>
              <w:spacing w:line="360" w:lineRule="auto"/>
              <w:ind w:firstLine="0"/>
              <w:jc w:val="center"/>
            </w:pPr>
            <w:r w:rsidRPr="004D46AC">
              <w:t>[97.58, 9]</w:t>
            </w:r>
          </w:p>
        </w:tc>
      </w:tr>
      <w:tr w:rsidR="003D5CB6" w:rsidRPr="004D46AC" w14:paraId="566963D6" w14:textId="77777777" w:rsidTr="00B518F1">
        <w:trPr>
          <w:trHeight w:val="306"/>
          <w:jc w:val="center"/>
        </w:trPr>
        <w:tc>
          <w:tcPr>
            <w:tcW w:w="2041" w:type="dxa"/>
            <w:vAlign w:val="center"/>
          </w:tcPr>
          <w:p w14:paraId="3765C924" w14:textId="77777777" w:rsidR="003D5CB6" w:rsidRPr="004D46AC" w:rsidRDefault="003D5CB6" w:rsidP="00B518F1">
            <w:pPr>
              <w:spacing w:line="360" w:lineRule="auto"/>
              <w:ind w:firstLine="0"/>
              <w:jc w:val="center"/>
              <w:rPr>
                <w:b/>
                <w:bCs/>
              </w:rPr>
            </w:pPr>
            <w:r w:rsidRPr="004D46AC">
              <w:rPr>
                <w:b/>
                <w:bCs/>
              </w:rPr>
              <w:t xml:space="preserve">Thought </w:t>
            </w:r>
            <w:proofErr w:type="spellStart"/>
            <w:r w:rsidRPr="004D46AC">
              <w:rPr>
                <w:b/>
                <w:bCs/>
              </w:rPr>
              <w:t>disordersL</w:t>
            </w:r>
            <w:proofErr w:type="spellEnd"/>
          </w:p>
        </w:tc>
        <w:tc>
          <w:tcPr>
            <w:tcW w:w="1489" w:type="dxa"/>
            <w:vAlign w:val="center"/>
          </w:tcPr>
          <w:p w14:paraId="56E22B6A" w14:textId="77777777" w:rsidR="003D5CB6" w:rsidRPr="004D46AC" w:rsidRDefault="003D5CB6" w:rsidP="00B518F1">
            <w:pPr>
              <w:spacing w:line="360" w:lineRule="auto"/>
              <w:ind w:firstLine="0"/>
              <w:jc w:val="center"/>
            </w:pPr>
            <w:r w:rsidRPr="004D46AC">
              <w:t>/</w:t>
            </w:r>
          </w:p>
        </w:tc>
        <w:tc>
          <w:tcPr>
            <w:tcW w:w="1339" w:type="dxa"/>
            <w:vAlign w:val="center"/>
          </w:tcPr>
          <w:p w14:paraId="3DA86A55" w14:textId="77777777" w:rsidR="003D5CB6" w:rsidRPr="004D46AC" w:rsidRDefault="003D5CB6" w:rsidP="00B518F1">
            <w:pPr>
              <w:spacing w:line="360" w:lineRule="auto"/>
              <w:ind w:firstLine="0"/>
              <w:jc w:val="center"/>
            </w:pPr>
            <w:r w:rsidRPr="004D46AC">
              <w:t>/</w:t>
            </w:r>
          </w:p>
        </w:tc>
        <w:tc>
          <w:tcPr>
            <w:tcW w:w="940" w:type="dxa"/>
            <w:vAlign w:val="center"/>
          </w:tcPr>
          <w:p w14:paraId="01041D25" w14:textId="77777777" w:rsidR="003D5CB6" w:rsidRPr="004D46AC" w:rsidRDefault="003D5CB6" w:rsidP="00B518F1">
            <w:pPr>
              <w:spacing w:line="360" w:lineRule="auto"/>
              <w:ind w:firstLine="0"/>
              <w:jc w:val="center"/>
            </w:pPr>
            <w:r w:rsidRPr="004D46AC">
              <w:t>/</w:t>
            </w:r>
          </w:p>
        </w:tc>
        <w:tc>
          <w:tcPr>
            <w:tcW w:w="635" w:type="dxa"/>
            <w:vAlign w:val="center"/>
          </w:tcPr>
          <w:p w14:paraId="15DEB4E3" w14:textId="77777777" w:rsidR="003D5CB6" w:rsidRPr="004D46AC" w:rsidRDefault="003D5CB6" w:rsidP="00B518F1">
            <w:pPr>
              <w:spacing w:line="360" w:lineRule="auto"/>
              <w:ind w:firstLine="0"/>
              <w:jc w:val="center"/>
            </w:pPr>
            <w:r w:rsidRPr="004D46AC">
              <w:t>/</w:t>
            </w:r>
          </w:p>
        </w:tc>
        <w:tc>
          <w:tcPr>
            <w:tcW w:w="1473" w:type="dxa"/>
            <w:vAlign w:val="center"/>
          </w:tcPr>
          <w:p w14:paraId="1BCE34E5" w14:textId="77777777" w:rsidR="003D5CB6" w:rsidRPr="004D46AC" w:rsidRDefault="003D5CB6" w:rsidP="00B518F1">
            <w:pPr>
              <w:spacing w:line="360" w:lineRule="auto"/>
              <w:ind w:firstLine="0"/>
              <w:jc w:val="center"/>
            </w:pPr>
            <w:r w:rsidRPr="004D46AC">
              <w:t>/</w:t>
            </w:r>
          </w:p>
        </w:tc>
        <w:tc>
          <w:tcPr>
            <w:tcW w:w="1099" w:type="dxa"/>
            <w:vAlign w:val="center"/>
          </w:tcPr>
          <w:p w14:paraId="50CFFEA8" w14:textId="77777777" w:rsidR="003D5CB6" w:rsidRPr="004D46AC" w:rsidRDefault="003D5CB6" w:rsidP="00B518F1">
            <w:pPr>
              <w:spacing w:line="360" w:lineRule="auto"/>
              <w:ind w:firstLine="0"/>
              <w:jc w:val="center"/>
            </w:pPr>
            <w:r w:rsidRPr="004D46AC">
              <w:t>/</w:t>
            </w:r>
          </w:p>
        </w:tc>
      </w:tr>
      <w:tr w:rsidR="003D5CB6" w:rsidRPr="004D46AC" w14:paraId="237C2274" w14:textId="77777777" w:rsidTr="00B518F1">
        <w:trPr>
          <w:trHeight w:val="306"/>
          <w:jc w:val="center"/>
        </w:trPr>
        <w:tc>
          <w:tcPr>
            <w:tcW w:w="2041" w:type="dxa"/>
            <w:vMerge w:val="restart"/>
            <w:vAlign w:val="center"/>
          </w:tcPr>
          <w:p w14:paraId="2427E102" w14:textId="77777777" w:rsidR="003D5CB6" w:rsidRPr="004D46AC" w:rsidRDefault="003D5CB6" w:rsidP="00B518F1">
            <w:pPr>
              <w:spacing w:line="360" w:lineRule="auto"/>
              <w:ind w:firstLine="0"/>
              <w:jc w:val="center"/>
              <w:rPr>
                <w:b/>
                <w:bCs/>
              </w:rPr>
            </w:pPr>
            <w:r w:rsidRPr="004D46AC">
              <w:rPr>
                <w:b/>
                <w:bCs/>
              </w:rPr>
              <w:t xml:space="preserve">Thought </w:t>
            </w:r>
            <w:proofErr w:type="spellStart"/>
            <w:r w:rsidRPr="004D46AC">
              <w:rPr>
                <w:b/>
                <w:bCs/>
              </w:rPr>
              <w:t>disordersC</w:t>
            </w:r>
            <w:proofErr w:type="spellEnd"/>
          </w:p>
        </w:tc>
        <w:tc>
          <w:tcPr>
            <w:tcW w:w="1489" w:type="dxa"/>
            <w:vAlign w:val="center"/>
          </w:tcPr>
          <w:p w14:paraId="28EFE285" w14:textId="77777777" w:rsidR="003D5CB6" w:rsidRPr="004D46AC" w:rsidRDefault="003D5CB6" w:rsidP="00B518F1">
            <w:pPr>
              <w:spacing w:line="360" w:lineRule="auto"/>
              <w:ind w:firstLine="0"/>
              <w:jc w:val="center"/>
            </w:pPr>
            <w:r w:rsidRPr="004D46AC">
              <w:t>Age</w:t>
            </w:r>
          </w:p>
        </w:tc>
        <w:tc>
          <w:tcPr>
            <w:tcW w:w="1339" w:type="dxa"/>
            <w:vAlign w:val="center"/>
          </w:tcPr>
          <w:p w14:paraId="15D1C529"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.03 (</w:t>
            </w:r>
            <w:r w:rsidRPr="004D46AC">
              <w:rPr>
                <w:rFonts w:eastAsiaTheme="minorEastAsia" w:hint="eastAsia"/>
              </w:rPr>
              <w:t>0.</w:t>
            </w:r>
            <w:r w:rsidRPr="004D46AC">
              <w:t>01) ***</w:t>
            </w:r>
          </w:p>
        </w:tc>
        <w:tc>
          <w:tcPr>
            <w:tcW w:w="940" w:type="dxa"/>
            <w:vMerge w:val="restart"/>
            <w:vAlign w:val="center"/>
          </w:tcPr>
          <w:p w14:paraId="2B857C41" w14:textId="77777777" w:rsidR="003D5CB6" w:rsidRPr="004D46AC" w:rsidRDefault="003D5CB6" w:rsidP="00B518F1">
            <w:pPr>
              <w:spacing w:line="360" w:lineRule="auto"/>
              <w:ind w:firstLine="0"/>
              <w:jc w:val="center"/>
            </w:pPr>
            <w:r w:rsidRPr="004D46AC">
              <w:t>13.68 ***</w:t>
            </w:r>
          </w:p>
        </w:tc>
        <w:tc>
          <w:tcPr>
            <w:tcW w:w="635" w:type="dxa"/>
            <w:vMerge w:val="restart"/>
            <w:vAlign w:val="center"/>
          </w:tcPr>
          <w:p w14:paraId="3AFC9298" w14:textId="77777777" w:rsidR="003D5CB6" w:rsidRPr="004D46AC" w:rsidRDefault="003D5CB6" w:rsidP="00B518F1">
            <w:pPr>
              <w:spacing w:line="360" w:lineRule="auto"/>
              <w:ind w:firstLine="0"/>
              <w:jc w:val="center"/>
            </w:pPr>
            <w:r w:rsidRPr="004D46AC">
              <w:t>.72</w:t>
            </w:r>
          </w:p>
        </w:tc>
        <w:tc>
          <w:tcPr>
            <w:tcW w:w="1473" w:type="dxa"/>
            <w:vMerge w:val="restart"/>
            <w:vAlign w:val="center"/>
          </w:tcPr>
          <w:p w14:paraId="0690A7EA" w14:textId="77777777" w:rsidR="003D5CB6" w:rsidRPr="004D46AC" w:rsidRDefault="003D5CB6" w:rsidP="00B518F1">
            <w:pPr>
              <w:spacing w:line="360" w:lineRule="auto"/>
              <w:ind w:firstLine="0"/>
              <w:jc w:val="center"/>
            </w:pPr>
            <w:r w:rsidRPr="004D46AC">
              <w:t>.03 [.009, .26]</w:t>
            </w:r>
          </w:p>
        </w:tc>
        <w:tc>
          <w:tcPr>
            <w:tcW w:w="1099" w:type="dxa"/>
            <w:vMerge w:val="restart"/>
            <w:vAlign w:val="center"/>
          </w:tcPr>
          <w:p w14:paraId="7686758D" w14:textId="77777777" w:rsidR="003D5CB6" w:rsidRPr="004D46AC" w:rsidRDefault="003D5CB6" w:rsidP="00B518F1">
            <w:pPr>
              <w:spacing w:line="360" w:lineRule="auto"/>
              <w:ind w:firstLine="0"/>
              <w:jc w:val="center"/>
            </w:pPr>
            <w:r w:rsidRPr="004D46AC">
              <w:t xml:space="preserve">93.82 </w:t>
            </w:r>
          </w:p>
          <w:p w14:paraId="1F588F3F" w14:textId="77777777" w:rsidR="003D5CB6" w:rsidRPr="004D46AC" w:rsidRDefault="003D5CB6" w:rsidP="00B518F1">
            <w:pPr>
              <w:spacing w:line="360" w:lineRule="auto"/>
              <w:ind w:firstLine="0"/>
              <w:jc w:val="center"/>
            </w:pPr>
            <w:r w:rsidRPr="004D46AC">
              <w:t>[81.98, 99.25]</w:t>
            </w:r>
          </w:p>
        </w:tc>
      </w:tr>
      <w:tr w:rsidR="003D5CB6" w:rsidRPr="004D46AC" w14:paraId="333C0AE6" w14:textId="77777777" w:rsidTr="00B518F1">
        <w:trPr>
          <w:trHeight w:val="306"/>
          <w:jc w:val="center"/>
        </w:trPr>
        <w:tc>
          <w:tcPr>
            <w:tcW w:w="2041" w:type="dxa"/>
            <w:vMerge/>
            <w:vAlign w:val="center"/>
          </w:tcPr>
          <w:p w14:paraId="6C428950" w14:textId="77777777" w:rsidR="003D5CB6" w:rsidRPr="004D46AC" w:rsidRDefault="003D5CB6" w:rsidP="00B518F1">
            <w:pPr>
              <w:spacing w:line="360" w:lineRule="auto"/>
              <w:ind w:firstLine="0"/>
              <w:jc w:val="center"/>
            </w:pPr>
          </w:p>
        </w:tc>
        <w:tc>
          <w:tcPr>
            <w:tcW w:w="1489" w:type="dxa"/>
            <w:vAlign w:val="center"/>
          </w:tcPr>
          <w:p w14:paraId="4F9AC5B6" w14:textId="77777777" w:rsidR="003D5CB6" w:rsidRPr="004D46AC" w:rsidRDefault="003D5CB6" w:rsidP="00B518F1">
            <w:pPr>
              <w:spacing w:line="360" w:lineRule="auto"/>
              <w:ind w:firstLine="0"/>
              <w:jc w:val="center"/>
            </w:pPr>
            <w:r w:rsidRPr="004D46AC">
              <w:t>Gender</w:t>
            </w:r>
          </w:p>
        </w:tc>
        <w:tc>
          <w:tcPr>
            <w:tcW w:w="1339" w:type="dxa"/>
            <w:vAlign w:val="center"/>
          </w:tcPr>
          <w:p w14:paraId="7F9FB67F" w14:textId="77777777" w:rsidR="003D5CB6" w:rsidRPr="004D46AC" w:rsidRDefault="003D5CB6" w:rsidP="00B518F1">
            <w:pPr>
              <w:spacing w:line="360" w:lineRule="auto"/>
              <w:ind w:firstLine="0"/>
              <w:jc w:val="center"/>
            </w:pPr>
            <w:r w:rsidRPr="004D46AC">
              <w:t>-</w:t>
            </w:r>
            <w:r w:rsidRPr="004D46AC">
              <w:rPr>
                <w:rFonts w:eastAsiaTheme="minorEastAsia" w:hint="eastAsia"/>
              </w:rPr>
              <w:t>0</w:t>
            </w:r>
            <w:r w:rsidRPr="004D46AC">
              <w:t>.008 (</w:t>
            </w:r>
            <w:r w:rsidRPr="004D46AC">
              <w:rPr>
                <w:rFonts w:eastAsiaTheme="minorEastAsia" w:hint="eastAsia"/>
              </w:rPr>
              <w:t>0.</w:t>
            </w:r>
            <w:r w:rsidRPr="004D46AC">
              <w:t>004) *</w:t>
            </w:r>
          </w:p>
        </w:tc>
        <w:tc>
          <w:tcPr>
            <w:tcW w:w="940" w:type="dxa"/>
            <w:vMerge/>
            <w:vAlign w:val="center"/>
          </w:tcPr>
          <w:p w14:paraId="2D292F1B" w14:textId="77777777" w:rsidR="003D5CB6" w:rsidRPr="004D46AC" w:rsidRDefault="003D5CB6" w:rsidP="00B518F1">
            <w:pPr>
              <w:spacing w:line="360" w:lineRule="auto"/>
              <w:ind w:firstLine="0"/>
              <w:jc w:val="center"/>
            </w:pPr>
          </w:p>
        </w:tc>
        <w:tc>
          <w:tcPr>
            <w:tcW w:w="635" w:type="dxa"/>
            <w:vMerge/>
            <w:vAlign w:val="center"/>
          </w:tcPr>
          <w:p w14:paraId="2000FA26" w14:textId="77777777" w:rsidR="003D5CB6" w:rsidRPr="004D46AC" w:rsidRDefault="003D5CB6" w:rsidP="00B518F1">
            <w:pPr>
              <w:spacing w:line="360" w:lineRule="auto"/>
              <w:ind w:firstLine="0"/>
              <w:jc w:val="center"/>
            </w:pPr>
          </w:p>
        </w:tc>
        <w:tc>
          <w:tcPr>
            <w:tcW w:w="1473" w:type="dxa"/>
            <w:vMerge/>
            <w:vAlign w:val="center"/>
          </w:tcPr>
          <w:p w14:paraId="60894763" w14:textId="77777777" w:rsidR="003D5CB6" w:rsidRPr="004D46AC" w:rsidRDefault="003D5CB6" w:rsidP="00B518F1">
            <w:pPr>
              <w:spacing w:line="360" w:lineRule="auto"/>
              <w:ind w:firstLine="0"/>
              <w:jc w:val="center"/>
            </w:pPr>
          </w:p>
        </w:tc>
        <w:tc>
          <w:tcPr>
            <w:tcW w:w="1099" w:type="dxa"/>
            <w:vMerge/>
            <w:vAlign w:val="center"/>
          </w:tcPr>
          <w:p w14:paraId="0D849B07" w14:textId="77777777" w:rsidR="003D5CB6" w:rsidRPr="004D46AC" w:rsidRDefault="003D5CB6" w:rsidP="00B518F1">
            <w:pPr>
              <w:spacing w:line="360" w:lineRule="auto"/>
              <w:ind w:firstLine="0"/>
              <w:jc w:val="center"/>
            </w:pPr>
          </w:p>
        </w:tc>
      </w:tr>
    </w:tbl>
    <w:p w14:paraId="217AEB9A" w14:textId="77777777" w:rsidR="003D5CB6" w:rsidRPr="004D46AC" w:rsidRDefault="003D5CB6" w:rsidP="00B518F1">
      <w:pPr>
        <w:spacing w:line="360" w:lineRule="auto"/>
        <w:ind w:firstLine="0"/>
        <w:rPr>
          <w:rFonts w:eastAsiaTheme="minorEastAsia"/>
        </w:rPr>
      </w:pPr>
      <w:r w:rsidRPr="004D46AC">
        <w:rPr>
          <w:i/>
          <w:iCs/>
        </w:rPr>
        <w:t xml:space="preserve">Note. </w:t>
      </w:r>
      <w:r w:rsidRPr="004D46AC">
        <w:t xml:space="preserve">L = lifetime; C = current. </w:t>
      </w:r>
    </w:p>
    <w:p w14:paraId="03AD48D1" w14:textId="77777777" w:rsidR="003D5CB6" w:rsidRPr="004D46AC" w:rsidRDefault="003D5CB6" w:rsidP="00B518F1">
      <w:pPr>
        <w:spacing w:line="360" w:lineRule="auto"/>
        <w:ind w:firstLine="0"/>
        <w:rPr>
          <w:szCs w:val="21"/>
        </w:rPr>
      </w:pPr>
      <w:r w:rsidRPr="004D46AC">
        <w:t xml:space="preserve">· </w:t>
      </w:r>
      <w:r w:rsidRPr="004D46AC">
        <w:rPr>
          <w:i/>
          <w:iCs/>
        </w:rPr>
        <w:t>p</w:t>
      </w:r>
      <w:r w:rsidRPr="004D46AC">
        <w:t xml:space="preserve"> &gt; .05 and </w:t>
      </w:r>
      <w:r w:rsidRPr="004D46AC">
        <w:rPr>
          <w:i/>
          <w:iCs/>
        </w:rPr>
        <w:t>p</w:t>
      </w:r>
      <w:r w:rsidRPr="004D46AC">
        <w:t xml:space="preserve"> &lt; .10; *</w:t>
      </w:r>
      <w:r w:rsidRPr="004D46AC">
        <w:rPr>
          <w:i/>
          <w:iCs/>
        </w:rPr>
        <w:t>p</w:t>
      </w:r>
      <w:r w:rsidRPr="004D46AC">
        <w:t xml:space="preserve"> &lt; .05; **</w:t>
      </w:r>
      <w:r w:rsidRPr="004D46AC">
        <w:rPr>
          <w:i/>
          <w:iCs/>
        </w:rPr>
        <w:t>p</w:t>
      </w:r>
      <w:r w:rsidRPr="004D46AC">
        <w:t xml:space="preserve"> &lt; .01; ***</w:t>
      </w:r>
      <w:r w:rsidRPr="004D46AC">
        <w:rPr>
          <w:i/>
          <w:iCs/>
        </w:rPr>
        <w:t>p</w:t>
      </w:r>
      <w:r w:rsidRPr="004D46AC">
        <w:t xml:space="preserve"> &lt; .001.</w:t>
      </w:r>
    </w:p>
    <w:p w14:paraId="29CF338C" w14:textId="77777777" w:rsidR="003D5CB6" w:rsidRPr="004D46AC" w:rsidRDefault="003D5CB6" w:rsidP="00B518F1">
      <w:pPr>
        <w:ind w:firstLine="0"/>
        <w:rPr>
          <w:rFonts w:eastAsiaTheme="minorEastAsia"/>
        </w:rPr>
      </w:pPr>
    </w:p>
    <w:p w14:paraId="0CF94F7D" w14:textId="77777777" w:rsidR="003D5CB6" w:rsidRPr="004D46AC" w:rsidRDefault="003D5CB6" w:rsidP="00B518F1">
      <w:pPr>
        <w:pStyle w:val="4"/>
      </w:pPr>
      <w:r w:rsidRPr="004D46AC">
        <w:lastRenderedPageBreak/>
        <w:t>Cooccurring Hallucinations</w:t>
      </w:r>
    </w:p>
    <w:p w14:paraId="536B28C7" w14:textId="77777777" w:rsidR="003D5CB6" w:rsidRPr="004D46AC" w:rsidRDefault="003D5CB6" w:rsidP="00B518F1">
      <w:r w:rsidRPr="004D46AC">
        <w:t>The combined lifetime prevalence of hallucinations in bipolar patients was 32.59% (95% CI [25.79, 39.77]</w:t>
      </w:r>
      <w:r w:rsidRPr="004D46AC">
        <w:rPr>
          <w:rFonts w:eastAsiaTheme="minorEastAsia" w:hint="eastAsia"/>
        </w:rPr>
        <w:t>,</w:t>
      </w:r>
      <w:r w:rsidRPr="004D46AC">
        <w:t xml:space="preserve"> </w:t>
      </w:r>
      <w:r w:rsidRPr="004D46AC">
        <w:rPr>
          <w:i/>
          <w:iCs/>
        </w:rPr>
        <w:t>k</w:t>
      </w:r>
      <w:r w:rsidRPr="004D46AC">
        <w:t xml:space="preserve"> = 35), with very high heterogeneity (</w:t>
      </w:r>
      <w:r w:rsidRPr="004D46AC">
        <w:rPr>
          <w:i/>
          <w:iCs/>
        </w:rPr>
        <w:t>I</w:t>
      </w:r>
      <w:r w:rsidRPr="004D46AC">
        <w:t>² = 98.53%). One outlier had a significant influence (</w:t>
      </w:r>
      <w:r w:rsidRPr="004D46AC">
        <w:rPr>
          <w:i/>
          <w:iCs/>
        </w:rPr>
        <w:t>t</w:t>
      </w:r>
      <w:r w:rsidRPr="004D46AC">
        <w:t xml:space="preserve"> = 5.97) on the pooled result</w:t>
      </w:r>
      <w:r w:rsidRPr="004D46AC">
        <w:rPr>
          <w:rFonts w:eastAsiaTheme="minorEastAsia" w:hint="eastAsia"/>
        </w:rPr>
        <w:t xml:space="preserve"> </w:t>
      </w:r>
      <w:r w:rsidRPr="004D46AC">
        <w:fldChar w:fldCharType="begin">
          <w:fldData xml:space="preserve">PEVuZE5vdGU+PENpdGU+PEF1dGhvcj5EZWxsJmFwb3M7T3NzbzwvQXV0aG9yPjxZZWFyPjIwMDI8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</w:fldData>
        </w:fldChar>
      </w:r>
      <w:r w:rsidRPr="004D46AC">
        <w:instrText xml:space="preserve"> ADDIN EN.CITE </w:instrText>
      </w:r>
      <w:r w:rsidRPr="004D46AC">
        <w:fldChar w:fldCharType="begin">
          <w:fldData xml:space="preserve">PEVuZE5vdGU+PENpdGU+PEF1dGhvcj5EZWxsJmFwb3M7T3NzbzwvQXV0aG9yPjxZZWFyPjIwMDI8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</w:fldData>
        </w:fldChar>
      </w:r>
      <w:r w:rsidRPr="004D46AC">
        <w:instrText xml:space="preserve"> ADDIN EN.CITE.DATA </w:instrText>
      </w:r>
      <w:r w:rsidRPr="004D46AC">
        <w:fldChar w:fldCharType="end"/>
      </w:r>
      <w:r w:rsidRPr="004D46AC">
        <w:fldChar w:fldCharType="separate"/>
      </w:r>
      <w:r w:rsidRPr="004D46AC">
        <w:rPr>
          <w:noProof/>
        </w:rPr>
        <w:t>(Dell'Osso et al., 2002)</w:t>
      </w:r>
      <w:r w:rsidRPr="004D46AC">
        <w:fldChar w:fldCharType="end"/>
      </w:r>
      <w:r w:rsidRPr="004D46AC">
        <w:t>. The new prevalence after excluding the outlier was 31.26% (95% CI [26.01, 36.76]</w:t>
      </w:r>
      <w:r w:rsidRPr="004D46AC">
        <w:rPr>
          <w:rFonts w:eastAsiaTheme="minorEastAsia" w:hint="eastAsia"/>
        </w:rPr>
        <w:t>,</w:t>
      </w:r>
      <w:r w:rsidRPr="004D46AC">
        <w:t xml:space="preserve"> </w:t>
      </w:r>
      <w:r w:rsidRPr="004D46AC">
        <w:rPr>
          <w:i/>
          <w:iCs/>
        </w:rPr>
        <w:t>k</w:t>
      </w:r>
      <w:r w:rsidRPr="004D46AC">
        <w:t xml:space="preserve"> = 34), and the heterogeneity dropped to 97.48%. Publication bias was not significant (</w:t>
      </w:r>
      <w:r w:rsidRPr="004D46AC">
        <w:rPr>
          <w:i/>
          <w:iCs/>
        </w:rPr>
        <w:t>z</w:t>
      </w:r>
      <w:r w:rsidRPr="004D46AC">
        <w:t xml:space="preserve"> = 0.92, </w:t>
      </w:r>
      <w:r w:rsidRPr="004D46AC">
        <w:rPr>
          <w:i/>
          <w:iCs/>
        </w:rPr>
        <w:t>p</w:t>
      </w:r>
      <w:r w:rsidRPr="004D46AC">
        <w:t xml:space="preserve"> = .36). Neither the type of hallucination nor the type of bipolar disorder explained significant between-group variance. Sampling method explained 33.86% of the variance. The remaining heterogeneity decreased to </w:t>
      </w:r>
      <w:r w:rsidRPr="004D46AC">
        <w:rPr>
          <w:i/>
          <w:iCs/>
        </w:rPr>
        <w:t>I</w:t>
      </w:r>
      <w:r w:rsidRPr="004D46AC">
        <w:t xml:space="preserve">² = 96.24%. Studies applying probabilistic sampling (estimate = 0.30, </w:t>
      </w:r>
      <w:r w:rsidRPr="004D46AC">
        <w:rPr>
          <w:i/>
          <w:iCs/>
        </w:rPr>
        <w:t>SE</w:t>
      </w:r>
      <w:r w:rsidRPr="004D46AC">
        <w:t xml:space="preserve"> = 0.08, </w:t>
      </w:r>
      <w:r w:rsidRPr="004D46AC">
        <w:rPr>
          <w:i/>
          <w:iCs/>
        </w:rPr>
        <w:t>p</w:t>
      </w:r>
      <w:r w:rsidRPr="004D46AC">
        <w:t xml:space="preserve"> &lt; .001) were associated with higher lifetime hallucinations.</w:t>
      </w:r>
    </w:p>
    <w:p w14:paraId="5108473D" w14:textId="78A2056E" w:rsidR="003D5CB6" w:rsidRPr="004D46AC" w:rsidRDefault="003D5CB6" w:rsidP="00B518F1">
      <w:pPr>
        <w:rPr>
          <w:rFonts w:eastAsiaTheme="minorEastAsia"/>
        </w:rPr>
      </w:pPr>
      <w:r w:rsidRPr="004D46AC">
        <w:t>The pooled rate of current hallucinations was 19.62% (95% CI [14.37, 25.43]</w:t>
      </w:r>
      <w:r w:rsidRPr="004D46AC">
        <w:rPr>
          <w:rFonts w:eastAsiaTheme="minorEastAsia" w:hint="eastAsia"/>
        </w:rPr>
        <w:t>,</w:t>
      </w:r>
      <w:r w:rsidRPr="004D46AC">
        <w:t xml:space="preserve"> </w:t>
      </w:r>
      <w:r w:rsidRPr="004D46AC">
        <w:rPr>
          <w:i/>
          <w:iCs/>
        </w:rPr>
        <w:t>k</w:t>
      </w:r>
      <w:r w:rsidRPr="004D46AC">
        <w:t xml:space="preserve"> = 42), with very high heterogeneity (</w:t>
      </w:r>
      <w:r w:rsidRPr="004D46AC">
        <w:rPr>
          <w:i/>
          <w:iCs/>
        </w:rPr>
        <w:t>I</w:t>
      </w:r>
      <w:r w:rsidRPr="004D46AC">
        <w:t>² = 98.71%). A significant outlier (</w:t>
      </w:r>
      <w:r w:rsidRPr="004D46AC">
        <w:rPr>
          <w:i/>
          <w:iCs/>
        </w:rPr>
        <w:t>t</w:t>
      </w:r>
      <w:r w:rsidRPr="004D46AC">
        <w:t xml:space="preserve"> = 3.09) was detected; however, it had no significant impact on the pooled prevalence and heterogeneity, and thus the analysis continued without excluding the outlier</w:t>
      </w:r>
      <w:r w:rsidRPr="004D46AC">
        <w:rPr>
          <w:rFonts w:eastAsiaTheme="minorEastAsia" w:hint="eastAsia"/>
        </w:rPr>
        <w:t xml:space="preserve"> </w:t>
      </w:r>
      <w:r w:rsidRPr="004D46AC">
        <w:fldChar w:fldCharType="begin">
          <w:fldData xml:space="preserve">PEVuZE5vdGU+PENpdGU+PEF1dGhvcj5Sb3NlbjwvQXV0aG9yPjxZZWFyPjIwMTY8L1llYXI+PFJl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</w:fldData>
        </w:fldChar>
      </w:r>
      <w:r w:rsidRPr="004D46AC">
        <w:instrText xml:space="preserve"> ADDIN EN.CITE </w:instrText>
      </w:r>
      <w:r w:rsidRPr="004D46AC">
        <w:fldChar w:fldCharType="begin">
          <w:fldData xml:space="preserve">PEVuZE5vdGU+PENpdGU+PEF1dGhvcj5Sb3NlbjwvQXV0aG9yPjxZZWFyPjIwMTY8L1llYXI+PFJl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</w:fldData>
        </w:fldChar>
      </w:r>
      <w:r w:rsidRPr="004D46AC">
        <w:instrText xml:space="preserve"> ADDIN EN.CITE.DATA </w:instrText>
      </w:r>
      <w:r w:rsidRPr="004D46AC">
        <w:fldChar w:fldCharType="end"/>
      </w:r>
      <w:r w:rsidRPr="004D46AC">
        <w:fldChar w:fldCharType="separate"/>
      </w:r>
      <w:r w:rsidRPr="004D46AC">
        <w:rPr>
          <w:noProof/>
        </w:rPr>
        <w:t>(Rosen et al., 2016)</w:t>
      </w:r>
      <w:r w:rsidRPr="004D46AC">
        <w:fldChar w:fldCharType="end"/>
      </w:r>
      <w:r w:rsidRPr="004D46AC">
        <w:t>. Publication bias was again not significant across studies (</w:t>
      </w:r>
      <w:r w:rsidRPr="004D46AC">
        <w:rPr>
          <w:i/>
          <w:iCs/>
        </w:rPr>
        <w:t>z</w:t>
      </w:r>
      <w:r w:rsidRPr="004D46AC">
        <w:t xml:space="preserve"> = 1.47, </w:t>
      </w:r>
      <w:r w:rsidRPr="004D46AC">
        <w:rPr>
          <w:i/>
          <w:iCs/>
        </w:rPr>
        <w:t>p</w:t>
      </w:r>
      <w:r w:rsidRPr="004D46AC">
        <w:t xml:space="preserve"> = .14). Subgroup analysis revealed that the bipolar type contributed 13.50% of the total variance, and the remaining heterogeneity was still substantial (</w:t>
      </w:r>
      <w:r w:rsidRPr="004D46AC">
        <w:rPr>
          <w:i/>
          <w:iCs/>
        </w:rPr>
        <w:t>I</w:t>
      </w:r>
      <w:r w:rsidRPr="004D46AC">
        <w:t xml:space="preserve">² = 98.41%). Patients with more severe bipolar disorder (estimate = .10, </w:t>
      </w:r>
      <w:r w:rsidRPr="004D46AC">
        <w:rPr>
          <w:i/>
          <w:iCs/>
        </w:rPr>
        <w:t>SE</w:t>
      </w:r>
      <w:r w:rsidRPr="004D46AC">
        <w:t xml:space="preserve"> = .04, </w:t>
      </w:r>
      <w:r w:rsidRPr="004D46AC">
        <w:rPr>
          <w:i/>
          <w:iCs/>
        </w:rPr>
        <w:t>p</w:t>
      </w:r>
      <w:r w:rsidRPr="004D46AC">
        <w:t xml:space="preserve"> &lt; .01) were at risk of current hallucinations; see Tables 2.5–2.6 and Figures B</w:t>
      </w:r>
      <w:r w:rsidR="000B4CBF" w:rsidRPr="004D46AC">
        <w:rPr>
          <w:rFonts w:eastAsiaTheme="minorEastAsia" w:hint="eastAsia"/>
        </w:rPr>
        <w:t xml:space="preserve"> </w:t>
      </w:r>
      <w:r w:rsidRPr="004D46AC">
        <w:t>33–36 for details.</w:t>
      </w:r>
    </w:p>
    <w:p w14:paraId="45A1CD0C" w14:textId="77777777" w:rsidR="003D5CB6" w:rsidRPr="004D46AC" w:rsidRDefault="003D5CB6" w:rsidP="00B518F1">
      <w:pPr>
        <w:pStyle w:val="4"/>
        <w:rPr>
          <w:rFonts w:eastAsiaTheme="minorEastAsia"/>
        </w:rPr>
      </w:pPr>
      <w:r w:rsidRPr="004D46AC">
        <w:t>Cooccurring Thought Disorder</w:t>
      </w:r>
      <w:r w:rsidRPr="004D46AC">
        <w:rPr>
          <w:rFonts w:eastAsiaTheme="minorEastAsia"/>
        </w:rPr>
        <w:t xml:space="preserve"> (TD)</w:t>
      </w:r>
    </w:p>
    <w:p w14:paraId="6B440FB0" w14:textId="60553823" w:rsidR="003D5CB6" w:rsidRPr="004D46AC" w:rsidRDefault="003D5CB6" w:rsidP="00B518F1">
      <w:r w:rsidRPr="004D46AC">
        <w:t>The synthesised prevalence of lifetime TD in bipolar patients was 29.94% (95% CI [15.08, 47.34]</w:t>
      </w:r>
      <w:r w:rsidRPr="004D46AC">
        <w:rPr>
          <w:rFonts w:eastAsiaTheme="minorEastAsia" w:hint="eastAsia"/>
        </w:rPr>
        <w:t>,</w:t>
      </w:r>
      <w:r w:rsidRPr="004D46AC">
        <w:t xml:space="preserve"> </w:t>
      </w:r>
      <w:r w:rsidRPr="004D46AC">
        <w:rPr>
          <w:i/>
          <w:iCs/>
        </w:rPr>
        <w:t>k</w:t>
      </w:r>
      <w:r w:rsidRPr="004D46AC">
        <w:t xml:space="preserve"> = 8), with high heterogeneity (</w:t>
      </w:r>
      <w:r w:rsidRPr="004D46AC">
        <w:rPr>
          <w:i/>
          <w:iCs/>
        </w:rPr>
        <w:t>I</w:t>
      </w:r>
      <w:r w:rsidRPr="004D46AC">
        <w:t>² = 99.22%). No publication bias was detected (</w:t>
      </w:r>
      <w:r w:rsidRPr="004D46AC">
        <w:rPr>
          <w:i/>
          <w:iCs/>
        </w:rPr>
        <w:t>z</w:t>
      </w:r>
      <w:r w:rsidRPr="004D46AC">
        <w:t xml:space="preserve"> = -0.73, </w:t>
      </w:r>
      <w:r w:rsidRPr="004D46AC">
        <w:rPr>
          <w:i/>
          <w:iCs/>
        </w:rPr>
        <w:t>p</w:t>
      </w:r>
      <w:r w:rsidRPr="004D46AC">
        <w:t xml:space="preserve"> = .46). No significant outlier was found. The subgroup analysis on different bipolar types did not contribute to the difference between studies. No significant predictors were observed in this analysis.</w:t>
      </w:r>
      <w:r w:rsidRPr="004D46AC">
        <w:rPr>
          <w:rFonts w:eastAsiaTheme="minorEastAsia" w:hint="eastAsia"/>
        </w:rPr>
        <w:t xml:space="preserve"> </w:t>
      </w:r>
      <w:r w:rsidRPr="004D46AC">
        <w:t>The rate of current TD was 31.25% (95% CI [11.50, 55.31]</w:t>
      </w:r>
      <w:r w:rsidRPr="004D46AC">
        <w:rPr>
          <w:rFonts w:eastAsiaTheme="minorEastAsia" w:hint="eastAsia"/>
        </w:rPr>
        <w:t>,</w:t>
      </w:r>
      <w:r w:rsidRPr="004D46AC">
        <w:t xml:space="preserve"> </w:t>
      </w:r>
      <w:r w:rsidRPr="004D46AC">
        <w:rPr>
          <w:i/>
          <w:iCs/>
        </w:rPr>
        <w:t>k</w:t>
      </w:r>
      <w:r w:rsidRPr="004D46AC">
        <w:t xml:space="preserve"> = 10), with very high between-study variance (</w:t>
      </w:r>
      <w:r w:rsidRPr="004D46AC">
        <w:rPr>
          <w:i/>
          <w:iCs/>
        </w:rPr>
        <w:t>I</w:t>
      </w:r>
      <w:r w:rsidRPr="004D46AC">
        <w:t>² = 98.81%). An outlier (</w:t>
      </w:r>
      <w:r w:rsidRPr="004D46AC">
        <w:rPr>
          <w:i/>
          <w:iCs/>
        </w:rPr>
        <w:t>t</w:t>
      </w:r>
      <w:r w:rsidRPr="004D46AC">
        <w:t xml:space="preserve"> = 2.62) was identified</w:t>
      </w:r>
      <w:r w:rsidRPr="004D46AC">
        <w:rPr>
          <w:rFonts w:eastAsiaTheme="minorEastAsia" w:hint="eastAsia"/>
        </w:rPr>
        <w:t xml:space="preserve"> </w:t>
      </w:r>
      <w:r w:rsidRPr="004D46AC">
        <w:fldChar w:fldCharType="begin"/>
      </w:r>
      <w:r w:rsidRPr="004D46AC">
        <w:instrText xml:space="preserve"> ADDIN EN.CITE &lt;EndNote&gt;&lt;Cite&gt;&lt;Author&gt;Harrow&lt;/Author&gt;&lt;Year&gt;1982&lt;/Year&gt;&lt;RecNum&gt;338&lt;/RecNum&gt;&lt;DisplayText&gt;(Harrow et al., 1982)&lt;/DisplayText&gt;&lt;record&gt;&lt;rec-number&gt;338&lt;/rec-number&gt;&lt;foreign-keys&gt;&lt;key app="EN" db-id="aet009sstawa0hewvt3xwf5atffdw2dt02sw" timestamp="1679765394"&gt;338&lt;/key&gt;&lt;/foreign-keys&gt;&lt;ref-type name="Journal Article"&gt;17&lt;/ref-type&gt;&lt;contributors&gt;&lt;authors&gt;&lt;author&gt;Harrow, M.&lt;/author&gt;&lt;author&gt;Grossman, L. S.&lt;/author&gt;&lt;author&gt;Silverstein, M. L.&lt;/author&gt;&lt;author&gt;Meltzer, H. Y.&lt;/author&gt;&lt;/authors&gt;&lt;/contributors&gt;&lt;titles&gt;&lt;title&gt;Thought pathology in manic and schizophrenic patients. Its occurrence at hospital admission and seven weeks later&lt;/title&gt;&lt;secondary-title&gt;Arch Gen Psychiatry&lt;/secondary-title&gt;&lt;/titles&gt;&lt;periodical&gt;&lt;full-title&gt;Arch Gen Psychiatry&lt;/full-title&gt;&lt;/periodical&gt;&lt;pages&gt;665-71&lt;/pages&gt;&lt;volume&gt;39&lt;/volume&gt;&lt;number&gt;6&lt;/number&gt;&lt;keywords&gt;&lt;keyword&gt;Adolescent&lt;/keyword&gt;&lt;keyword&gt;Adult&lt;/keyword&gt;&lt;keyword&gt;Affective Disorders, Psychotic/*psychology&lt;/keyword&gt;&lt;keyword&gt;Antipsychotic Agents/therapeutic use&lt;/keyword&gt;&lt;keyword&gt;Bipolar Disorder/drug therapy/*psychology&lt;/keyword&gt;&lt;keyword&gt;Delusions/psychology&lt;/keyword&gt;&lt;keyword&gt;Hallucinations/psychology&lt;/keyword&gt;&lt;keyword&gt;Humans&lt;/keyword&gt;&lt;keyword&gt;Lithium/therapeutic use&lt;/keyword&gt;&lt;keyword&gt;Lithium Carbonate&lt;/keyword&gt;&lt;keyword&gt;Middle Aged&lt;/keyword&gt;&lt;keyword&gt;Patient Admission&lt;/keyword&gt;&lt;keyword&gt;Phenothiazines&lt;/keyword&gt;&lt;keyword&gt;Psychiatric Status Rating Scales&lt;/keyword&gt;&lt;keyword&gt;Schizophrenia/drug therapy&lt;/keyword&gt;&lt;keyword&gt;*Schizophrenic Psychology&lt;/keyword&gt;&lt;keyword&gt;*Thinking/drug effects&lt;/keyword&gt;&lt;/keywords&gt;&lt;dates&gt;&lt;year&gt;1982&lt;/year&gt;&lt;pub-dates&gt;&lt;date&gt;Jun&lt;/date&gt;&lt;/pub-dates&gt;&lt;/dates&gt;&lt;isbn&gt;0003-990X (Print)&amp;#xD;0003-990X (Linking)&lt;/isbn&gt;&lt;accession-num&gt;6124224&lt;/accession-num&gt;&lt;urls&gt;&lt;related-urls&gt;&lt;url&gt;https://www.ncbi.nlm.nih.gov/pubmed/6124224&lt;/url&gt;&lt;/related-urls&gt;&lt;/urls&gt;&lt;electronic-resource-num&gt;10.1001/archpsyc.1982.04290060027006&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(Harrow et al., 1982)</w:t>
      </w:r>
      <w:r w:rsidRPr="004D46AC">
        <w:fldChar w:fldCharType="end"/>
      </w:r>
      <w:r w:rsidRPr="004D46AC">
        <w:t xml:space="preserve">, and the rate fell to 23.61% after its removal (95% CI [9.00, 42.31]); the heterogeneity reduced to </w:t>
      </w:r>
      <w:r w:rsidRPr="004D46AC">
        <w:rPr>
          <w:i/>
          <w:iCs/>
        </w:rPr>
        <w:t>I</w:t>
      </w:r>
      <w:r w:rsidRPr="004D46AC">
        <w:t xml:space="preserve">² = 98.18%. Publication bias was not evident </w:t>
      </w:r>
      <w:r w:rsidRPr="004D46AC">
        <w:lastRenderedPageBreak/>
        <w:t>(</w:t>
      </w:r>
      <w:r w:rsidRPr="004D46AC">
        <w:rPr>
          <w:i/>
          <w:iCs/>
        </w:rPr>
        <w:t>z</w:t>
      </w:r>
      <w:r w:rsidRPr="004D46AC">
        <w:t xml:space="preserve"> = 1.43, </w:t>
      </w:r>
      <w:r w:rsidRPr="004D46AC">
        <w:rPr>
          <w:i/>
          <w:iCs/>
        </w:rPr>
        <w:t>p</w:t>
      </w:r>
      <w:r w:rsidRPr="004D46AC">
        <w:t xml:space="preserve"> = .15). Neither types of TD nor BSD explained the between-group variance. In meta-regression, age and gender explained 71.65% of the variance; the remaining heterogeneity was still high (</w:t>
      </w:r>
      <w:r w:rsidRPr="004D46AC">
        <w:rPr>
          <w:i/>
          <w:iCs/>
        </w:rPr>
        <w:t>I</w:t>
      </w:r>
      <w:r w:rsidRPr="004D46AC">
        <w:t xml:space="preserve">² = 95.31%). Male patients (estimate = -0.007, </w:t>
      </w:r>
      <w:r w:rsidRPr="004D46AC">
        <w:rPr>
          <w:i/>
          <w:iCs/>
        </w:rPr>
        <w:t>SE</w:t>
      </w:r>
      <w:r w:rsidRPr="004D46AC">
        <w:t xml:space="preserve"> = 0.004, </w:t>
      </w:r>
      <w:r w:rsidRPr="004D46AC">
        <w:rPr>
          <w:i/>
          <w:iCs/>
        </w:rPr>
        <w:t>p</w:t>
      </w:r>
      <w:r w:rsidRPr="004D46AC">
        <w:t xml:space="preserve"> &lt; .05) and younger patients (estimate = -0.03, </w:t>
      </w:r>
      <w:r w:rsidRPr="004D46AC">
        <w:rPr>
          <w:i/>
          <w:iCs/>
        </w:rPr>
        <w:t>SE</w:t>
      </w:r>
      <w:r w:rsidRPr="004D46AC">
        <w:t xml:space="preserve"> = 0.009, </w:t>
      </w:r>
      <w:r w:rsidRPr="004D46AC">
        <w:rPr>
          <w:i/>
          <w:iCs/>
        </w:rPr>
        <w:t>p</w:t>
      </w:r>
      <w:r w:rsidRPr="004D46AC">
        <w:t xml:space="preserve"> &lt; .001) were at the greatest risk of current thought disorder (see Tables 2.5</w:t>
      </w:r>
      <w:r w:rsidRPr="004D46AC">
        <w:rPr>
          <w:rFonts w:eastAsiaTheme="minorEastAsia" w:hint="eastAsia"/>
        </w:rPr>
        <w:t>-</w:t>
      </w:r>
      <w:r w:rsidRPr="004D46AC">
        <w:t>2.6 and Figures B</w:t>
      </w:r>
      <w:r w:rsidR="000B4CBF" w:rsidRPr="004D46AC">
        <w:rPr>
          <w:rFonts w:eastAsiaTheme="minorEastAsia" w:hint="eastAsia"/>
        </w:rPr>
        <w:t xml:space="preserve"> </w:t>
      </w:r>
      <w:r w:rsidRPr="004D46AC">
        <w:t>37</w:t>
      </w:r>
      <w:r w:rsidRPr="004D46AC">
        <w:rPr>
          <w:rFonts w:eastAsiaTheme="minorEastAsia" w:hint="eastAsia"/>
        </w:rPr>
        <w:t>-</w:t>
      </w:r>
      <w:r w:rsidRPr="004D46AC">
        <w:t>40 for details)</w:t>
      </w:r>
    </w:p>
    <w:p w14:paraId="2D1AB3F9" w14:textId="05BC72EA" w:rsidR="003D5CB6" w:rsidRPr="004D46AC" w:rsidRDefault="00D751BB" w:rsidP="00D751BB">
      <w:pPr>
        <w:pStyle w:val="3"/>
      </w:pPr>
      <w:r w:rsidRPr="004D46AC">
        <w:rPr>
          <w:rFonts w:hint="eastAsia"/>
        </w:rPr>
        <w:t>Overall study quality</w:t>
      </w:r>
    </w:p>
    <w:p w14:paraId="473E4D1C" w14:textId="0D57FF67" w:rsidR="00D751BB" w:rsidRPr="004D46AC" w:rsidRDefault="00D751BB" w:rsidP="00D751BB">
      <w:bookmarkStart w:id="113" w:name="OLE_LINK82"/>
      <w:r w:rsidRPr="004D46AC">
        <w:t>Study quality, as assessed by the JBI checklist, ranged from 3 to 9 across all included studies. The scores followed an approximately normal distribution, with most studies rated at 5 or 6</w:t>
      </w:r>
      <w:r w:rsidRPr="004D46AC">
        <w:rPr>
          <w:rFonts w:hint="eastAsia"/>
        </w:rPr>
        <w:t xml:space="preserve">, see details in </w:t>
      </w:r>
      <w:r w:rsidRPr="004D46AC">
        <w:t>summary</w:t>
      </w:r>
      <w:r w:rsidRPr="004D46AC">
        <w:rPr>
          <w:rFonts w:hint="eastAsia"/>
        </w:rPr>
        <w:t xml:space="preserve"> Tables B 8-12</w:t>
      </w:r>
      <w:r w:rsidRPr="004D46AC">
        <w:t xml:space="preserve">. When incorporated as a moderator in </w:t>
      </w:r>
      <w:r w:rsidRPr="004D46AC">
        <w:rPr>
          <w:rFonts w:hint="eastAsia"/>
        </w:rPr>
        <w:t>all</w:t>
      </w:r>
      <w:r w:rsidRPr="004D46AC">
        <w:t xml:space="preserve"> meta-regression model</w:t>
      </w:r>
      <w:r w:rsidRPr="004D46AC">
        <w:rPr>
          <w:rFonts w:hint="eastAsia"/>
        </w:rPr>
        <w:t>s</w:t>
      </w:r>
      <w:r w:rsidRPr="004D46AC">
        <w:t>, study quality did not significantly contribute to the observed heterogeneity</w:t>
      </w:r>
      <w:bookmarkEnd w:id="113"/>
      <w:r w:rsidRPr="004D46AC">
        <w:rPr>
          <w:rFonts w:hint="eastAsia"/>
        </w:rPr>
        <w:t xml:space="preserve"> (</w:t>
      </w:r>
      <w:r w:rsidRPr="004D46AC">
        <w:rPr>
          <w:rFonts w:hint="eastAsia"/>
          <w:i/>
          <w:iCs/>
        </w:rPr>
        <w:t>p</w:t>
      </w:r>
      <w:r w:rsidRPr="004D46AC">
        <w:rPr>
          <w:rFonts w:hint="eastAsia"/>
        </w:rPr>
        <w:t xml:space="preserve"> &gt; .05).</w:t>
      </w:r>
    </w:p>
    <w:p w14:paraId="7477139F" w14:textId="77777777" w:rsidR="003D5CB6" w:rsidRPr="004D46AC" w:rsidRDefault="003D5CB6" w:rsidP="00B518F1">
      <w:pPr>
        <w:ind w:firstLine="1100"/>
        <w:rPr>
          <w:rFonts w:eastAsiaTheme="minorEastAsia"/>
        </w:rPr>
      </w:pPr>
    </w:p>
    <w:p w14:paraId="1738B57F" w14:textId="77777777" w:rsidR="003D5CB6" w:rsidRPr="004D46AC" w:rsidRDefault="003D5CB6" w:rsidP="00B518F1">
      <w:pPr>
        <w:ind w:firstLine="0"/>
        <w:rPr>
          <w:rFonts w:eastAsiaTheme="minorEastAsia"/>
        </w:rPr>
      </w:pPr>
    </w:p>
    <w:p w14:paraId="759790FD" w14:textId="77777777" w:rsidR="003D5CB6" w:rsidRPr="004D46AC" w:rsidRDefault="003D5CB6" w:rsidP="00B518F1">
      <w:pPr>
        <w:ind w:firstLine="0"/>
        <w:rPr>
          <w:rFonts w:eastAsiaTheme="minorEastAsia"/>
        </w:rPr>
      </w:pPr>
    </w:p>
    <w:p w14:paraId="52A24188" w14:textId="77777777" w:rsidR="003D5CB6" w:rsidRPr="004D46AC" w:rsidRDefault="003D5CB6" w:rsidP="00B518F1">
      <w:pPr>
        <w:ind w:firstLine="0"/>
        <w:rPr>
          <w:rFonts w:eastAsiaTheme="minorEastAsia"/>
        </w:rPr>
      </w:pPr>
    </w:p>
    <w:p w14:paraId="35B8CF8E" w14:textId="77777777" w:rsidR="003D5CB6" w:rsidRPr="004D46AC" w:rsidRDefault="003D5CB6" w:rsidP="00B518F1">
      <w:pPr>
        <w:ind w:firstLine="0"/>
        <w:rPr>
          <w:rFonts w:eastAsiaTheme="minorEastAsia"/>
        </w:rPr>
      </w:pPr>
    </w:p>
    <w:p w14:paraId="0DFF4990" w14:textId="77777777" w:rsidR="003D5CB6" w:rsidRPr="004D46AC" w:rsidRDefault="003D5CB6" w:rsidP="00B518F1">
      <w:pPr>
        <w:ind w:firstLine="0"/>
        <w:rPr>
          <w:rFonts w:eastAsiaTheme="minorEastAsia"/>
        </w:rPr>
      </w:pPr>
    </w:p>
    <w:p w14:paraId="15B5DE06" w14:textId="77777777" w:rsidR="003D5CB6" w:rsidRPr="004D46AC" w:rsidRDefault="003D5CB6" w:rsidP="00B518F1">
      <w:pPr>
        <w:ind w:firstLine="0"/>
        <w:rPr>
          <w:rFonts w:eastAsiaTheme="minorEastAsia"/>
        </w:rPr>
      </w:pPr>
    </w:p>
    <w:p w14:paraId="7D13554E" w14:textId="77777777" w:rsidR="003D5CB6" w:rsidRPr="004D46AC" w:rsidRDefault="003D5CB6" w:rsidP="00B518F1">
      <w:pPr>
        <w:ind w:firstLine="0"/>
        <w:rPr>
          <w:rFonts w:eastAsiaTheme="minorEastAsia"/>
        </w:rPr>
      </w:pPr>
    </w:p>
    <w:p w14:paraId="69BC9C53" w14:textId="77777777" w:rsidR="003D5CB6" w:rsidRPr="004D46AC" w:rsidRDefault="003D5CB6" w:rsidP="00B518F1">
      <w:pPr>
        <w:ind w:firstLine="0"/>
        <w:rPr>
          <w:rFonts w:eastAsiaTheme="minorEastAsia"/>
        </w:rPr>
      </w:pPr>
    </w:p>
    <w:p w14:paraId="03C61A43" w14:textId="77777777" w:rsidR="003D5CB6" w:rsidRPr="004D46AC" w:rsidRDefault="003D5CB6" w:rsidP="00B518F1">
      <w:pPr>
        <w:ind w:firstLine="0"/>
        <w:rPr>
          <w:rFonts w:eastAsiaTheme="minorEastAsia"/>
        </w:rPr>
      </w:pPr>
    </w:p>
    <w:p w14:paraId="61EA245A" w14:textId="77777777" w:rsidR="003D5CB6" w:rsidRPr="004D46AC" w:rsidRDefault="003D5CB6" w:rsidP="00B518F1">
      <w:pPr>
        <w:ind w:firstLine="0"/>
        <w:rPr>
          <w:rFonts w:eastAsiaTheme="minorEastAsia"/>
        </w:rPr>
      </w:pPr>
    </w:p>
    <w:p w14:paraId="6E816A62" w14:textId="77777777" w:rsidR="003D5CB6" w:rsidRPr="004D46AC" w:rsidRDefault="003D5CB6" w:rsidP="00B518F1">
      <w:pPr>
        <w:ind w:firstLine="0"/>
        <w:rPr>
          <w:rFonts w:eastAsiaTheme="minorEastAsia"/>
        </w:rPr>
      </w:pPr>
    </w:p>
    <w:p w14:paraId="75DB1BB2" w14:textId="77777777" w:rsidR="003D5CB6" w:rsidRPr="004D46AC" w:rsidRDefault="003D5CB6" w:rsidP="00B518F1">
      <w:pPr>
        <w:ind w:firstLine="0"/>
        <w:rPr>
          <w:rFonts w:eastAsiaTheme="minorEastAsia"/>
        </w:rPr>
      </w:pPr>
    </w:p>
    <w:p w14:paraId="71C283A8" w14:textId="77777777" w:rsidR="003D5CB6" w:rsidRPr="004D46AC" w:rsidRDefault="003D5CB6" w:rsidP="00B518F1">
      <w:pPr>
        <w:ind w:firstLine="0"/>
        <w:rPr>
          <w:rFonts w:eastAsiaTheme="minorEastAsia"/>
        </w:rPr>
      </w:pPr>
    </w:p>
    <w:p w14:paraId="4B845232" w14:textId="77777777" w:rsidR="0022744D" w:rsidRPr="004D46AC" w:rsidRDefault="0022744D" w:rsidP="00B518F1">
      <w:pPr>
        <w:ind w:firstLine="0"/>
        <w:rPr>
          <w:rFonts w:eastAsiaTheme="minorEastAsia"/>
        </w:rPr>
      </w:pPr>
    </w:p>
    <w:p w14:paraId="4502F5C9" w14:textId="77777777" w:rsidR="003D5CB6" w:rsidRPr="004D46AC" w:rsidRDefault="003D5CB6" w:rsidP="00B518F1">
      <w:pPr>
        <w:pStyle w:val="2"/>
      </w:pPr>
      <w:bookmarkStart w:id="114" w:name="_Toc219888764"/>
      <w:r w:rsidRPr="004D46AC">
        <w:lastRenderedPageBreak/>
        <w:t>Discussion</w:t>
      </w:r>
      <w:bookmarkEnd w:id="114"/>
    </w:p>
    <w:p w14:paraId="1D9BF969" w14:textId="0BA29D48" w:rsidR="003D5CB6" w:rsidRPr="004D46AC" w:rsidRDefault="003D5CB6" w:rsidP="00B518F1">
      <w:pPr>
        <w:rPr>
          <w:lang w:eastAsia="en-US"/>
        </w:rPr>
      </w:pPr>
      <w:r w:rsidRPr="004D46AC">
        <w:rPr>
          <w:lang w:eastAsia="en-US"/>
        </w:rPr>
        <w:t xml:space="preserve">In the current study we have synthesized findings on the prevalence in bipolar patients of comorbid schizophrenia, psychosis and the specific symptoms of delusions, hallucinations, and thought disorder. Our findings are summarised in Table </w:t>
      </w:r>
      <w:r w:rsidRPr="004D46AC">
        <w:rPr>
          <w:rFonts w:eastAsiaTheme="minorEastAsia" w:hint="eastAsia"/>
        </w:rPr>
        <w:t>2.</w:t>
      </w:r>
      <w:r w:rsidRPr="004D46AC">
        <w:rPr>
          <w:lang w:eastAsia="en-US"/>
        </w:rPr>
        <w:t xml:space="preserve">3 </w:t>
      </w:r>
      <w:r w:rsidRPr="004D46AC">
        <w:t xml:space="preserve">and Table </w:t>
      </w:r>
      <w:r w:rsidRPr="004D46AC">
        <w:rPr>
          <w:rFonts w:eastAsiaTheme="minorEastAsia" w:hint="eastAsia"/>
        </w:rPr>
        <w:t>2.</w:t>
      </w:r>
      <w:r w:rsidRPr="004D46AC">
        <w:t>5</w:t>
      </w:r>
      <w:r w:rsidRPr="004D46AC">
        <w:rPr>
          <w:lang w:eastAsia="en-US"/>
        </w:rPr>
        <w:t xml:space="preserve">, and here we draw readers’ attention to the main observations. In summary, the low rate of comorbid schizophrenia in bipolar population increased when a broader definition was applied (mood incongruent psychosis). Lifetime psychosis was higher than current or recent psychosis, and this was true for all the analyses. Patients with bipolar I or manic episode had a much higher rate of comorbid psychosis than those with bipolar II or with depressive episodes. Delusions were more prevalent than thought disorder or hallucinations in bipolar patients. For context, the estimated prevalence of comorbid schizophrenia is considerably higher than its estimated prevalence (i.e., 0.4-2%) in the general population </w:t>
      </w:r>
      <w:r w:rsidRPr="004D46AC">
        <w:rPr>
          <w:lang w:eastAsia="en-US"/>
        </w:rPr>
        <w:fldChar w:fldCharType="begin"/>
      </w:r>
      <w:r w:rsidRPr="004D46AC">
        <w:rPr>
          <w:lang w:eastAsia="en-US"/>
        </w:rPr>
        <w:instrText xml:space="preserve"> ADDIN EN.CITE &lt;EndNote&gt;&lt;Cite&gt;&lt;Author&gt;Moreno-Küstner&lt;/Author&gt;&lt;Year&gt;2018&lt;/Year&gt;&lt;RecNum&gt;9&lt;/RecNum&gt;&lt;DisplayText&gt;(Moreno-Küstner et al., 2018)&lt;/DisplayText&gt;&lt;record&gt;&lt;rec-number&gt;9&lt;/rec-number&gt;&lt;foreign-keys&gt;&lt;key app="EN" db-id="tspr5rzsb92pz9e2907xafe6s500xp909s5t" timestamp="1673450159"&gt;9&lt;/key&gt;&lt;/foreign-keys&gt;&lt;ref-type name="Journal Article"&gt;17&lt;/ref-type&gt;&lt;contributors&gt;&lt;authors&gt;&lt;author&gt;Moreno-Küstner, B.&lt;/author&gt;&lt;author&gt;Martín, C.&lt;/author&gt;&lt;author&gt;Pastor, L.&lt;/author&gt;&lt;/authors&gt;&lt;/contributors&gt;&lt;auth-address&gt;Department of Personality, Assessment and Psychological Treatment, University of Malaga, Málaga, Spain.&amp;#xD;Biomedical Research Institute of Malaga (IBIMA), Andalusian Group of Psychosocial Research, Maristán Network, Málaga, Spain.&amp;#xD;Andalusian Health Service, North East Granada Sanitary District, Clinical Management Unit at Marquesado, Alquife, Granada, Spain.&lt;/auth-address&gt;&lt;titles&gt;&lt;title&gt;Prevalence of psychotic disorders and its association with methodological issues. A systematic review and meta-analyses&lt;/title&gt;&lt;secondary-title&gt;PLoS One&lt;/secondary-title&gt;&lt;/titles&gt;&lt;periodical&gt;&lt;full-title&gt;PLoS One&lt;/full-title&gt;&lt;/periodical&gt;&lt;pages&gt;e0195687&lt;/pages&gt;&lt;volume&gt;13&lt;/volume&gt;&lt;number&gt;4&lt;/number&gt;&lt;edition&gt;20180412&lt;/edition&gt;&lt;keywords&gt;&lt;keyword&gt;*Epidemiologic Studies&lt;/keyword&gt;&lt;keyword&gt;Humans&lt;/keyword&gt;&lt;keyword&gt;Prevalence&lt;/keyword&gt;&lt;keyword&gt;Psychotic Disorders/*epidemiology&lt;/keyword&gt;&lt;/keywords&gt;&lt;dates&gt;&lt;year&gt;2018&lt;/year&gt;&lt;/dates&gt;&lt;isbn&gt;1932-6203&lt;/isbn&gt;&lt;accession-num&gt;29649252&lt;/accession-num&gt;&lt;urls&gt;&lt;/urls&gt;&lt;custom1&gt;Competing Interests: The authors have declared that no competing interests exist.&lt;/custom1&gt;&lt;custom2&gt;PMC5896987&lt;/custom2&gt;&lt;electronic-resource-num&gt;10.1371/journal.pone.0195687&lt;/electronic-resource-num&gt;&lt;remote-database-provider&gt;NLM&lt;/remote-database-provider&gt;&lt;language&gt;eng&lt;/language&gt;&lt;/record&gt;&lt;/Cite&gt;&lt;/EndNote&gt;</w:instrText>
      </w:r>
      <w:r w:rsidRPr="004D46AC">
        <w:rPr>
          <w:lang w:eastAsia="en-US"/>
        </w:rPr>
        <w:fldChar w:fldCharType="separate"/>
      </w:r>
      <w:r w:rsidRPr="004D46AC">
        <w:rPr>
          <w:noProof/>
          <w:lang w:eastAsia="en-US"/>
        </w:rPr>
        <w:t>(Moreno-Küstner et al., 2018)</w:t>
      </w:r>
      <w:r w:rsidRPr="004D46AC">
        <w:rPr>
          <w:lang w:eastAsia="en-US"/>
        </w:rPr>
        <w:fldChar w:fldCharType="end"/>
      </w:r>
      <w:r w:rsidRPr="004D46AC">
        <w:rPr>
          <w:lang w:eastAsia="en-US"/>
        </w:rPr>
        <w:t>, or even the prevalence of broadly defined psychosis (about 3%)</w:t>
      </w:r>
      <w:r w:rsidRPr="004D46AC">
        <w:rPr>
          <w:lang w:eastAsia="en-US"/>
        </w:rPr>
        <w:fldChar w:fldCharType="begin">
          <w:fldData xml:space="preserve">PEVuZE5vdGU+PENpdGU+PEF1dGhvcj5QZXJhbGE8L0F1dGhvcj48WWVhcj4yMDA3PC9ZZWFyPjxS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</w:fldData>
        </w:fldChar>
      </w:r>
      <w:r w:rsidRPr="004D46AC">
        <w:rPr>
          <w:lang w:eastAsia="en-US"/>
        </w:rPr>
        <w:instrText xml:space="preserve"> ADDIN EN.CITE </w:instrText>
      </w:r>
      <w:r w:rsidRPr="004D46AC">
        <w:rPr>
          <w:lang w:eastAsia="en-US"/>
        </w:rPr>
        <w:fldChar w:fldCharType="begin">
          <w:fldData xml:space="preserve">PEVuZE5vdGU+PENpdGU+PEF1dGhvcj5QZXJhbGE8L0F1dGhvcj48WWVhcj4yMDA3PC9ZZWFyPjxS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(Perala et al., 2007)</w:t>
      </w:r>
      <w:r w:rsidRPr="004D46AC">
        <w:rPr>
          <w:lang w:eastAsia="en-US"/>
        </w:rPr>
        <w:fldChar w:fldCharType="end"/>
      </w:r>
      <w:r w:rsidRPr="004D46AC">
        <w:rPr>
          <w:lang w:eastAsia="en-US"/>
        </w:rPr>
        <w:t xml:space="preserve">. In addition to the previous attempts to synthesize these data by </w:t>
      </w:r>
      <w:r w:rsidRPr="004D46AC">
        <w:rPr>
          <w:lang w:eastAsia="en-US"/>
        </w:rPr>
        <w:fldChar w:fldCharType="begin">
          <w:fldData xml:space="preserve">PEVuZE5vdGU+PENpdGUgQXV0aG9yWWVhcj0iMSI+PEF1dGhvcj5BbWlub2ZmPC9BdXRob3I+PFll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</w:fldData>
        </w:fldChar>
      </w:r>
      <w:r w:rsidRPr="004D46AC">
        <w:rPr>
          <w:lang w:eastAsia="en-US"/>
        </w:rPr>
        <w:instrText xml:space="preserve"> ADDIN EN.CITE </w:instrText>
      </w:r>
      <w:r w:rsidRPr="004D46AC">
        <w:rPr>
          <w:lang w:eastAsia="en-US"/>
        </w:rPr>
        <w:fldChar w:fldCharType="begin">
          <w:fldData xml:space="preserve">PEVuZE5vdGU+PENpdGUgQXV0aG9yWWVhcj0iMSI+PEF1dGhvcj5BbWlub2ZmPC9BdXRob3I+PFll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Aminoff et al. (2022)</w:t>
      </w:r>
      <w:r w:rsidRPr="004D46AC">
        <w:rPr>
          <w:lang w:eastAsia="en-US"/>
        </w:rPr>
        <w:fldChar w:fldCharType="end"/>
      </w:r>
      <w:r w:rsidRPr="004D46AC">
        <w:rPr>
          <w:lang w:eastAsia="en-US"/>
        </w:rPr>
        <w:t xml:space="preserve">, our approach includes more studies on psychosis and added the analyses of comorbid schizophrenia diagnosis as well as specific psychotic symptoms. The merits of our study compared to that of </w:t>
      </w:r>
      <w:r w:rsidRPr="004D46AC">
        <w:rPr>
          <w:lang w:eastAsia="en-US"/>
        </w:rPr>
        <w:fldChar w:fldCharType="begin"/>
      </w:r>
      <w:r w:rsidRPr="004D46AC">
        <w:rPr>
          <w:lang w:eastAsia="en-US"/>
        </w:rPr>
        <w:instrText xml:space="preserve"> ADDIN EN.CITE &lt;EndNote&gt;&lt;Cite AuthorYear="1"&gt;&lt;Author&gt;Chakrabarti&lt;/Author&gt;&lt;Year&gt;2022&lt;/Year&gt;&lt;RecNum&gt;430&lt;/RecNum&gt;&lt;DisplayText&gt;Chakrabarti and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lang w:eastAsia="en-US"/>
        </w:rPr>
        <w:fldChar w:fldCharType="separate"/>
      </w:r>
      <w:r w:rsidRPr="004D46AC">
        <w:rPr>
          <w:noProof/>
          <w:lang w:eastAsia="en-US"/>
        </w:rPr>
        <w:t>Chakrabarti and Singh (2022)</w:t>
      </w:r>
      <w:r w:rsidRPr="004D46AC">
        <w:rPr>
          <w:lang w:eastAsia="en-US"/>
        </w:rPr>
        <w:fldChar w:fldCharType="end"/>
      </w:r>
      <w:r w:rsidRPr="004D46AC">
        <w:rPr>
          <w:lang w:eastAsia="en-US"/>
        </w:rPr>
        <w:t xml:space="preserve"> were the quantitative synthesis and heterogeneity analyses, as well as the synthesis on thought disorder in bipolar patients. </w:t>
      </w:r>
      <w:r w:rsidR="0017017B" w:rsidRPr="004D46AC">
        <w:rPr>
          <w:lang w:eastAsia="en-US"/>
        </w:rPr>
        <w:t xml:space="preserve">Furthermore, </w:t>
      </w:r>
      <w:r w:rsidR="0017017B" w:rsidRPr="004D46AC">
        <w:rPr>
          <w:rFonts w:eastAsiaTheme="minorEastAsia" w:hint="eastAsia"/>
        </w:rPr>
        <w:t xml:space="preserve">our meta-analytic </w:t>
      </w:r>
      <w:r w:rsidR="0017017B" w:rsidRPr="004D46AC">
        <w:rPr>
          <w:lang w:eastAsia="en-US"/>
        </w:rPr>
        <w:t xml:space="preserve">findings are relatively stable across our analyses and not affected by poor study design. </w:t>
      </w:r>
      <w:r w:rsidRPr="004D46AC">
        <w:rPr>
          <w:lang w:eastAsia="en-US"/>
        </w:rPr>
        <w:t xml:space="preserve">In all analyses, </w:t>
      </w:r>
      <w:r w:rsidR="0017017B" w:rsidRPr="004D46AC">
        <w:rPr>
          <w:rFonts w:eastAsiaTheme="minorEastAsia" w:hint="eastAsia"/>
        </w:rPr>
        <w:t xml:space="preserve">however, </w:t>
      </w:r>
      <w:r w:rsidRPr="004D46AC">
        <w:rPr>
          <w:lang w:eastAsia="en-US"/>
        </w:rPr>
        <w:t>a high level of heterogeneity was observed.</w:t>
      </w:r>
      <w:r w:rsidR="00D751BB" w:rsidRPr="004D46AC">
        <w:t xml:space="preserve"> </w:t>
      </w:r>
      <w:r w:rsidRPr="004D46AC">
        <w:rPr>
          <w:lang w:eastAsia="en-US"/>
        </w:rPr>
        <w:t>In general, although some meaningful factors were identified in meta</w:t>
      </w:r>
      <w:r w:rsidRPr="004D46AC">
        <w:rPr>
          <w:rFonts w:eastAsiaTheme="minorEastAsia"/>
        </w:rPr>
        <w:t>-</w:t>
      </w:r>
      <w:r w:rsidRPr="004D46AC">
        <w:rPr>
          <w:lang w:eastAsia="en-US"/>
        </w:rPr>
        <w:t>regression, this remained high in these further analyses, and we comment further about this in the research limitations.</w:t>
      </w:r>
    </w:p>
    <w:p w14:paraId="03BBFF60" w14:textId="77777777" w:rsidR="003D5CB6" w:rsidRPr="004D46AC" w:rsidRDefault="003D5CB6" w:rsidP="00B518F1">
      <w:pPr>
        <w:rPr>
          <w:lang w:eastAsia="en-US"/>
        </w:rPr>
      </w:pPr>
      <w:r w:rsidRPr="004D46AC">
        <w:rPr>
          <w:lang w:eastAsia="en-US"/>
        </w:rPr>
        <w:t>In one sense, the findings are unsurprising. The high prevalence of psychosis in this population has been noted in numerous previous studies and, indeed, was the motivation for many of the studies included in this meta-analysis. Our estimate that lifetime psychosis is present in approximately three out of five bipolar I patients and nearly a fifth of bipolar II patients is slightly lower than the values reported by</w:t>
      </w:r>
      <w:r w:rsidRPr="004D46AC">
        <w:rPr>
          <w:rFonts w:eastAsiaTheme="minorEastAsia"/>
        </w:rPr>
        <w:t xml:space="preserve"> two systematic reviews</w:t>
      </w:r>
      <w:r w:rsidRPr="004D46AC">
        <w:rPr>
          <w:rFonts w:eastAsiaTheme="minorEastAsia"/>
        </w:rPr>
        <w:fldChar w:fldCharType="begin">
          <w:fldData xml:space="preserve">PEVuZE5vdGU+PENpdGU+PEF1dGhvcj5BbWlub2ZmPC9BdXRob3I+PFllYXI+MjAyMjwvWWVhcj48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</w:fldData>
        </w:fldChar>
      </w:r>
      <w:r w:rsidRPr="004D46AC">
        <w:rPr>
          <w:rFonts w:eastAsiaTheme="minorEastAsia"/>
        </w:rPr>
        <w:instrText xml:space="preserve"> ADDIN EN.CITE </w:instrText>
      </w:r>
      <w:r w:rsidRPr="004D46AC">
        <w:rPr>
          <w:rFonts w:eastAsiaTheme="minorEastAsia"/>
        </w:rPr>
        <w:fldChar w:fldCharType="begin">
          <w:fldData xml:space="preserve">PEVuZE5vdGU+PENpdGU+PEF1dGhvcj5BbWlub2ZmPC9BdXRob3I+PFllYXI+MjAyMjwvWWVhcj48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</w:fldData>
        </w:fldChar>
      </w:r>
      <w:r w:rsidRPr="004D46AC">
        <w:rPr>
          <w:rFonts w:eastAsiaTheme="minorEastAsia"/>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rPr>
      </w:r>
      <w:r w:rsidRPr="004D46AC">
        <w:rPr>
          <w:rFonts w:eastAsiaTheme="minorEastAsia"/>
        </w:rPr>
        <w:fldChar w:fldCharType="separate"/>
      </w:r>
      <w:r w:rsidRPr="004D46AC">
        <w:rPr>
          <w:rFonts w:eastAsiaTheme="minorEastAsia"/>
          <w:noProof/>
        </w:rPr>
        <w:t xml:space="preserve">(Aminoff et al., </w:t>
      </w:r>
      <w:r w:rsidRPr="004D46AC">
        <w:rPr>
          <w:rFonts w:eastAsiaTheme="minorEastAsia"/>
          <w:noProof/>
        </w:rPr>
        <w:lastRenderedPageBreak/>
        <w:t>2022; Chakrabarti &amp; Singh, 2022)</w:t>
      </w:r>
      <w:r w:rsidRPr="004D46AC">
        <w:rPr>
          <w:rFonts w:eastAsiaTheme="minorEastAsia"/>
        </w:rPr>
        <w:fldChar w:fldCharType="end"/>
      </w:r>
      <w:r w:rsidRPr="004D46AC">
        <w:rPr>
          <w:lang w:eastAsia="en-US"/>
        </w:rPr>
        <w:t>, and this seems to be mainly accounted for by the lower rate we observed in bipolar II patients. This difference could be explained by different search and inclusion strategies. We applied a relatively conservative approach to identifying papers and yet our estimate of the lifetime prevalence in bipolar patients was computed from a larger dataset (</w:t>
      </w:r>
      <w:r w:rsidRPr="004D46AC">
        <w:rPr>
          <w:i/>
          <w:iCs/>
          <w:lang w:eastAsia="en-US"/>
        </w:rPr>
        <w:t>k</w:t>
      </w:r>
      <w:r w:rsidRPr="004D46AC">
        <w:rPr>
          <w:lang w:eastAsia="en-US"/>
        </w:rPr>
        <w:t xml:space="preserve"> = 110) than those in prior reviews. The prevalence of recent or current psychosis was also relatively lower than reported previously, with about two out of five patients affected. </w:t>
      </w:r>
    </w:p>
    <w:p w14:paraId="5E40AB43" w14:textId="77777777" w:rsidR="003D5CB6" w:rsidRPr="004D46AC" w:rsidRDefault="003D5CB6" w:rsidP="00B518F1">
      <w:pPr>
        <w:rPr>
          <w:lang w:eastAsia="en-US"/>
        </w:rPr>
      </w:pPr>
      <w:r w:rsidRPr="004D46AC">
        <w:rPr>
          <w:lang w:eastAsia="en-US"/>
        </w:rPr>
        <w:t>The higher rate of psychosis in bipolar I versus bipolar II was expected and can be in part explained by the fact that the former is the more severe condition, but also by the fact that bipolar I criteria require a history of manic episodes whereas those for bipolar II do not. Hence, this finding is consistent with our observation that psychotic symptoms are more evident in mania than depression. This observation was further supported by subgroup analyses of bipolar I and bipolar II samples, where the estimated confidence intervals did not overlap. This finding is consistent with a prior review</w:t>
      </w:r>
      <w:r w:rsidRPr="004D46AC">
        <w:rPr>
          <w:lang w:eastAsia="en-US"/>
        </w:rPr>
        <w:fldChar w:fldCharType="begin">
          <w:fldData xml:space="preserve">PEVuZE5vdGU+PENpdGU+PEF1dGhvcj5BbWlub2ZmPC9BdXRob3I+PFllYXI+MjAyMjwvWWVhcj48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</w:fldData>
        </w:fldChar>
      </w:r>
      <w:r w:rsidRPr="004D46AC">
        <w:rPr>
          <w:lang w:eastAsia="en-US"/>
        </w:rPr>
        <w:instrText xml:space="preserve"> ADDIN EN.CITE </w:instrText>
      </w:r>
      <w:r w:rsidRPr="004D46AC">
        <w:rPr>
          <w:lang w:eastAsia="en-US"/>
        </w:rPr>
        <w:fldChar w:fldCharType="begin">
          <w:fldData xml:space="preserve">PEVuZE5vdGU+PENpdGU+PEF1dGhvcj5BbWlub2ZmPC9BdXRob3I+PFllYXI+MjAyMjwvWWVhcj48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(Aminoff et al., 2022)</w:t>
      </w:r>
      <w:r w:rsidRPr="004D46AC">
        <w:rPr>
          <w:lang w:eastAsia="en-US"/>
        </w:rPr>
        <w:fldChar w:fldCharType="end"/>
      </w:r>
      <w:r w:rsidRPr="004D46AC">
        <w:rPr>
          <w:rFonts w:eastAsiaTheme="minorEastAsia"/>
        </w:rPr>
        <w:t>,</w:t>
      </w:r>
      <w:r w:rsidRPr="004D46AC">
        <w:rPr>
          <w:lang w:eastAsia="en-US"/>
        </w:rPr>
        <w:t xml:space="preserve"> and a network analysis, which showed stronger connections between positive and manic symptom clusters</w:t>
      </w:r>
      <w:r w:rsidRPr="004D46AC">
        <w:rPr>
          <w:lang w:eastAsia="en-US"/>
        </w:rPr>
        <w:fldChar w:fldCharType="begin"/>
      </w:r>
      <w:r w:rsidRPr="004D46AC">
        <w:rPr>
          <w:lang w:eastAsia="en-US"/>
        </w:rPr>
        <w:instrText xml:space="preserve"> ADDIN EN.CITE &lt;EndNote&gt;&lt;Cite&gt;&lt;Author&gt;Shao&lt;/Author&gt;&lt;Year&gt;2024&lt;/Year&gt;&lt;RecNum&gt;757&lt;/RecNum&gt;&lt;DisplayText&gt;(Shao et al., 2024)&lt;/DisplayText&gt;&lt;record&gt;&lt;rec-number&gt;757&lt;/rec-number&gt;&lt;foreign-keys&gt;&lt;key app="EN" db-id="aet009sstawa0hewvt3xwf5atffdw2dt02sw" timestamp="1728851689"&gt;757&lt;/key&gt;&lt;/foreign-keys&gt;&lt;ref-type name="Journal Article"&gt;17&lt;/ref-type&gt;&lt;contributors&gt;&lt;authors&gt;&lt;author&gt;Wen Shao &lt;/author&gt;&lt;author&gt;Melanie Simmonds-Buckley&lt;/author&gt;&lt;author&gt;Orestis Zavlis&lt;/author&gt;&lt;author&gt;Richard P Bentall&lt;/author&gt;&lt;/authors&gt;&lt;/contributors&gt;&lt;auth-address&gt;Department of Psychology, University of Sheffield, Sheffield S1 2LT, UK.&amp;#xD;Department of Psychology and Language Sciences, University College London, London WC1E 6BT, UK.&lt;/auth-address&gt;&lt;titles&gt;&lt;title&gt;The Common Structure of the Major Psychoses: More Similarities Than Differences in the Network Structures of Schizophrenia, Schizoaffective Disorder, and Psychotic Bipolar Disorder&lt;/title&gt;&lt;secondary-title&gt;Schizophr Bull&lt;/secondary-title&gt;&lt;/titles&gt;&lt;periodical&gt;&lt;full-title&gt;Schizophr Bull&lt;/full-title&gt;&lt;/periodical&gt;&lt;pages&gt;sbae154&lt;/pages&gt;&lt;edition&gt;20240911&lt;/edition&gt;&lt;keywords&gt;&lt;keyword&gt;bipolar&lt;/keyword&gt;&lt;keyword&gt;network&lt;/keyword&gt;&lt;keyword&gt;psychopathology&lt;/keyword&gt;&lt;keyword&gt;schizoaffective&lt;/keyword&gt;&lt;keyword&gt;schizophrenia&lt;/keyword&gt;&lt;/keywords&gt;&lt;dates&gt;&lt;year&gt;2024&lt;/year&gt;&lt;pub-dates&gt;&lt;date&gt;Sep 11&lt;/date&gt;&lt;/pub-dates&gt;&lt;/dates&gt;&lt;isbn&gt;1745-1701 (Electronic)&amp;#xD;0586-7614 (Linking)&lt;/isbn&gt;&lt;accession-num&gt;39259601&lt;/accession-num&gt;&lt;urls&gt;&lt;related-urls&gt;&lt;url&gt;https://www.ncbi.nlm.nih.gov/pubmed/39259601&lt;/url&gt;&lt;/related-urls&gt;&lt;/urls&gt;&lt;electronic-resource-num&gt;10.1093/schbul/sbae154&lt;/electronic-resource-num&gt;&lt;remote-database-name&gt;Publisher&lt;/remote-database-name&gt;&lt;remote-database-provider&gt;NLM&lt;/remote-database-provider&gt;&lt;access-date&gt;10/13/2024&lt;/access-date&gt;&lt;/record&gt;&lt;/Cite&gt;&lt;/EndNote&gt;</w:instrText>
      </w:r>
      <w:r w:rsidRPr="004D46AC">
        <w:rPr>
          <w:lang w:eastAsia="en-US"/>
        </w:rPr>
        <w:fldChar w:fldCharType="separate"/>
      </w:r>
      <w:r w:rsidRPr="004D46AC">
        <w:rPr>
          <w:noProof/>
          <w:lang w:eastAsia="en-US"/>
        </w:rPr>
        <w:t>(Shao et al., 2024)</w:t>
      </w:r>
      <w:r w:rsidRPr="004D46AC">
        <w:rPr>
          <w:lang w:eastAsia="en-US"/>
        </w:rPr>
        <w:fldChar w:fldCharType="end"/>
      </w:r>
      <w:r w:rsidRPr="004D46AC">
        <w:rPr>
          <w:lang w:eastAsia="en-US"/>
        </w:rPr>
        <w:t>.</w:t>
      </w:r>
      <w:r w:rsidRPr="004D46AC">
        <w:rPr>
          <w:rFonts w:eastAsiaTheme="minorEastAsia"/>
        </w:rPr>
        <w:t xml:space="preserve"> </w:t>
      </w:r>
      <w:r w:rsidRPr="004D46AC">
        <w:rPr>
          <w:lang w:eastAsia="en-US"/>
        </w:rPr>
        <w:t>Findings from meta regressions on the small groups were less consistent. The proportion of bipolar patients with a manic episode predicted current psychosis in the entire dataset and in some sub</w:t>
      </w:r>
      <w:r w:rsidRPr="004D46AC">
        <w:rPr>
          <w:rFonts w:eastAsiaTheme="minorEastAsia"/>
        </w:rPr>
        <w:t>-</w:t>
      </w:r>
      <w:r w:rsidRPr="004D46AC">
        <w:rPr>
          <w:lang w:eastAsia="en-US"/>
        </w:rPr>
        <w:t xml:space="preserve">analyses, although the effect sizes were relatively small. For lifetime psychosis, the best model did not contain this variable due to missing values. </w:t>
      </w:r>
    </w:p>
    <w:p w14:paraId="71F71BAD" w14:textId="77777777" w:rsidR="003D5CB6" w:rsidRPr="004D46AC" w:rsidRDefault="003D5CB6" w:rsidP="00B518F1">
      <w:pPr>
        <w:rPr>
          <w:lang w:eastAsia="en-US"/>
        </w:rPr>
      </w:pPr>
      <w:r w:rsidRPr="004D46AC">
        <w:rPr>
          <w:lang w:eastAsia="en-US"/>
        </w:rPr>
        <w:t xml:space="preserve">Male patients were more likely to be diagnosed with comorbid schizophrenia compared with female patients, which is consistent with a greater prevalence of schizophrenia in men, especially in early adulthood </w:t>
      </w:r>
      <w:r w:rsidRPr="004D46AC">
        <w:rPr>
          <w:lang w:eastAsia="en-US"/>
        </w:rPr>
        <w:fldChar w:fldCharType="begin">
          <w:fldData xml:space="preserve">PEVuZE5vdGU+PENpdGU+PEF1dGhvcj5BYmVsPC9BdXRob3I+PFllYXI+MjAxMDwvWWVhcj48UmVj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</w:fldData>
        </w:fldChar>
      </w:r>
      <w:r w:rsidRPr="004D46AC">
        <w:rPr>
          <w:lang w:eastAsia="en-US"/>
        </w:rPr>
        <w:instrText xml:space="preserve"> ADDIN EN.CITE </w:instrText>
      </w:r>
      <w:r w:rsidRPr="004D46AC">
        <w:rPr>
          <w:lang w:eastAsia="en-US"/>
        </w:rPr>
        <w:fldChar w:fldCharType="begin">
          <w:fldData xml:space="preserve">PEVuZE5vdGU+PENpdGU+PEF1dGhvcj5BYmVsPC9BdXRob3I+PFllYXI+MjAxMDwvWWVhcj48UmVj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(Abel et al., 2010; Nicole et al., 1992)</w:t>
      </w:r>
      <w:r w:rsidRPr="004D46AC">
        <w:rPr>
          <w:lang w:eastAsia="en-US"/>
        </w:rPr>
        <w:fldChar w:fldCharType="end"/>
      </w:r>
      <w:r w:rsidRPr="004D46AC">
        <w:rPr>
          <w:lang w:eastAsia="en-US"/>
        </w:rPr>
        <w:t>; similar findings were identified in the meta regressions of lifetime psychosis in general bipolar and bipolar ii patients, and the same effect was observed for current thought disorder. Moreover, previous research has suggested that male patients with bipolar disorder are more likely to have manic symptoms than the female patients</w:t>
      </w:r>
      <w:r w:rsidRPr="004D46AC">
        <w:rPr>
          <w:lang w:eastAsia="en-US"/>
        </w:rPr>
        <w:fldChar w:fldCharType="begin"/>
      </w:r>
      <w:r w:rsidRPr="004D46AC">
        <w:rPr>
          <w:lang w:eastAsia="en-US"/>
        </w:rPr>
        <w:instrText xml:space="preserve"> ADDIN EN.CITE &lt;EndNote&gt;&lt;Cite&gt;&lt;Author&gt;Fogarty&lt;/Author&gt;&lt;Year&gt;1994&lt;/Year&gt;&lt;RecNum&gt;880&lt;/RecNum&gt;&lt;DisplayText&gt;(Fogarty et al., 1994)&lt;/DisplayText&gt;&lt;record&gt;&lt;rec-number&gt;880&lt;/rec-number&gt;&lt;foreign-keys&gt;&lt;key app="EN" db-id="aet009sstawa0hewvt3xwf5atffdw2dt02sw" timestamp="1739376885"&gt;880&lt;/key&gt;&lt;/foreign-keys&gt;&lt;ref-type name="Journal Article"&gt;17&lt;/ref-type&gt;&lt;contributors&gt;&lt;authors&gt;&lt;author&gt;Fogarty, F.&lt;/author&gt;&lt;author&gt;Russell, J. M.&lt;/author&gt;&lt;author&gt;Newman, S. C.&lt;/author&gt;&lt;author&gt;Bland, R. C.&lt;/author&gt;&lt;/authors&gt;&lt;/contributors&gt;&lt;auth-address&gt;Department of Psychiatry, University of Alberta, Edmonton, Canada.&lt;/auth-address&gt;&lt;titles&gt;&lt;title&gt;Epidemiology of psychiatric disorders in Edmonton. Mania&lt;/title&gt;&lt;secondary-title&gt;Acta Psychiatr Scand Suppl&lt;/secondary-title&gt;&lt;/titles&gt;&lt;pages&gt;16-23&lt;/pages&gt;&lt;volume&gt;376&lt;/volume&gt;&lt;number&gt;s376&lt;/number&gt;&lt;keywords&gt;&lt;keyword&gt;Adolescent&lt;/keyword&gt;&lt;keyword&gt;Adult&lt;/keyword&gt;&lt;keyword&gt;Aged&lt;/keyword&gt;&lt;keyword&gt;Alberta/epidemiology&lt;/keyword&gt;&lt;keyword&gt;Bipolar Disorder/classification/diagnosis/*epidemiology/psychology&lt;/keyword&gt;&lt;keyword&gt;Comorbidity&lt;/keyword&gt;&lt;keyword&gt;Cross-Sectional Studies&lt;/keyword&gt;&lt;keyword&gt;Female&lt;/keyword&gt;&lt;keyword&gt;Humans&lt;/keyword&gt;&lt;keyword&gt;Incidence&lt;/keyword&gt;&lt;keyword&gt;Male&lt;/keyword&gt;&lt;keyword&gt;Mental Disorders/classification/diagnosis/epidemiology/psychology&lt;/keyword&gt;&lt;keyword&gt;Middle Aged&lt;/keyword&gt;&lt;keyword&gt;Psychiatric Status Rating Scales&lt;/keyword&gt;&lt;/keywords&gt;&lt;dates&gt;&lt;year&gt;1994&lt;/year&gt;&lt;/dates&gt;&lt;isbn&gt;0065-1591 (Print)&amp;#xD;0065-1591 (Linking)&lt;/isbn&gt;&lt;accession-num&gt;8178681&lt;/accession-num&gt;&lt;urls&gt;&lt;related-urls&gt;&lt;url&gt;https://www.ncbi.nlm.nih.gov/pubmed/8178681&lt;/url&gt;&lt;/related-urls&gt;&lt;/urls&gt;&lt;electronic-resource-num&gt;https://doi.org/10.1111/j.1600-0447.1994.tb05787.x&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(Fogarty et al., 1994)</w:t>
      </w:r>
      <w:r w:rsidRPr="004D46AC">
        <w:rPr>
          <w:lang w:eastAsia="en-US"/>
        </w:rPr>
        <w:fldChar w:fldCharType="end"/>
      </w:r>
      <w:r w:rsidRPr="004D46AC">
        <w:rPr>
          <w:lang w:eastAsia="en-US"/>
        </w:rPr>
        <w:t xml:space="preserve">. Hence, the gender differences observed are consistent with an overlap between bipolar </w:t>
      </w:r>
      <w:r w:rsidRPr="004D46AC">
        <w:rPr>
          <w:lang w:eastAsia="en-US"/>
        </w:rPr>
        <w:lastRenderedPageBreak/>
        <w:t>disorder and schizophrenia conditions, or possibly common processes involved in bipolar I disorder with manic symptoms and schizophrenia.</w:t>
      </w:r>
    </w:p>
    <w:p w14:paraId="2FEDC318" w14:textId="77777777" w:rsidR="003D5CB6" w:rsidRPr="004D46AC" w:rsidRDefault="003D5CB6" w:rsidP="00B518F1">
      <w:pPr>
        <w:rPr>
          <w:rFonts w:eastAsiaTheme="minorEastAsia"/>
        </w:rPr>
      </w:pPr>
      <w:r w:rsidRPr="004D46AC">
        <w:rPr>
          <w:lang w:eastAsia="en-US"/>
        </w:rPr>
        <w:t xml:space="preserve">As expected, and consistent with previous literature </w:t>
      </w:r>
      <w:r w:rsidRPr="004D46AC">
        <w:rPr>
          <w:lang w:eastAsia="en-US"/>
        </w:rPr>
        <w:fldChar w:fldCharType="begin"/>
      </w:r>
      <w:r w:rsidRPr="004D46AC">
        <w:rPr>
          <w:lang w:eastAsia="en-US"/>
        </w:rPr>
        <w:instrText xml:space="preserve"> ADDIN EN.CITE &lt;EndNote&gt;&lt;Cite&gt;&lt;Author&gt;Craddock&lt;/Author&gt;&lt;Year&gt;2018&lt;/Year&gt;&lt;RecNum&gt;334&lt;/RecNum&gt;&lt;DisplayText&gt;(Craddock, 2018)&lt;/DisplayText&gt;&lt;record&gt;&lt;rec-number&gt;334&lt;/rec-number&gt;&lt;foreign-keys&gt;&lt;key app="EN" db-id="aet009sstawa0hewvt3xwf5atffdw2dt02sw" timestamp="1673880251"&gt;334&lt;/key&gt;&lt;/foreign-keys&gt;&lt;ref-type name="Journal Article"&gt;17&lt;/ref-type&gt;&lt;contributors&gt;&lt;authors&gt;&lt;author&gt;Craddock, Nick&lt;/author&gt;&lt;/authors&gt;&lt;/contributors&gt;&lt;titles&gt;&lt;title&gt;The Spectrum of Psychotic Disorders: Neurobiology, Etiology and&amp;#xD; Pathogenesis Edited By Daryl Fujii and Iqbal Ahmed. Cambridge University Press.&amp;#xD; 2007. 588pp. $80.00 (hb). ISBN&amp;#xD; 9780521850568&lt;/title&gt;&lt;secondary-title&gt;British Journal of Psychiatry&lt;/secondary-title&gt;&lt;/titles&gt;&lt;periodical&gt;&lt;full-title&gt;British Journal of Psychiatry&lt;/full-title&gt;&lt;/periodical&gt;&lt;pages&gt;478-478&lt;/pages&gt;&lt;volume&gt;192&lt;/volume&gt;&lt;number&gt;6&lt;/number&gt;&lt;edition&gt;2018/01/02&lt;/edition&gt;&lt;section&gt;478&lt;/section&gt;&lt;dates&gt;&lt;year&gt;2018&lt;/year&gt;&lt;/dates&gt;&lt;publisher&gt;Cambridge University Press&lt;/publisher&gt;&lt;isbn&gt;0007-1250&amp;#xD;1472-1465&lt;/isbn&gt;&lt;urls&gt;&lt;related-urls&gt;&lt;url&gt;https://www.cambridge.org/core/article/spectrum-of-psychotic-disorders-neurobiology-etiology-and-pathogenesis-edited-by-daryl-fujii-and-iqbal-ahmed-cambridge-university-press-2007-588pp-8000-hb-isbn-9780521850568/DFB7D19CCE2C963DDC410AB0AE5F76EE&lt;/url&gt;&lt;/related-urls&gt;&lt;/urls&gt;&lt;electronic-resource-num&gt;10.1192/bjp.bp.107.039578&lt;/electronic-resource-num&gt;&lt;remote-database-name&gt;Cambridge Core&lt;/remote-database-name&gt;&lt;remote-database-provider&gt;Cambridge University Press&lt;/remote-database-provider&gt;&lt;/record&gt;&lt;/Cite&gt;&lt;/EndNote&gt;</w:instrText>
      </w:r>
      <w:r w:rsidRPr="004D46AC">
        <w:rPr>
          <w:lang w:eastAsia="en-US"/>
        </w:rPr>
        <w:fldChar w:fldCharType="separate"/>
      </w:r>
      <w:r w:rsidRPr="004D46AC">
        <w:rPr>
          <w:noProof/>
          <w:lang w:eastAsia="en-US"/>
        </w:rPr>
        <w:t>(Craddock, 2018)</w:t>
      </w:r>
      <w:r w:rsidRPr="004D46AC">
        <w:rPr>
          <w:lang w:eastAsia="en-US"/>
        </w:rPr>
        <w:fldChar w:fldCharType="end"/>
      </w:r>
      <w:r w:rsidRPr="004D46AC">
        <w:rPr>
          <w:lang w:eastAsia="en-US"/>
        </w:rPr>
        <w:t xml:space="preserve">, we found that delusions are common in bipolar patients, with an estimated prevalence similar to that for lifetime psychosis, and with no evident difference between the prevalence of lifetime and current delusions. Our estimate of combined prevalence is lower than the mean or median prevalence of lifetime or current delusions reported earlier </w:t>
      </w:r>
      <w:r w:rsidRPr="004D46AC">
        <w:rPr>
          <w:lang w:eastAsia="en-US"/>
        </w:rPr>
        <w:fldChar w:fldCharType="begin"/>
      </w:r>
      <w:r w:rsidRPr="004D46AC">
        <w:rPr>
          <w:lang w:eastAsia="en-US"/>
        </w:rPr>
        <w:instrText xml:space="preserve"> ADDIN EN.CITE &lt;EndNote&gt;&lt;Cite&gt;&lt;Author&gt;Chakrabarti&lt;/Author&gt;&lt;Year&gt;2022&lt;/Year&gt;&lt;RecNum&gt;430&lt;/RecNum&gt;&lt;DisplayText&gt;(Chakrabarti &amp;amp;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lang w:eastAsia="en-US"/>
        </w:rPr>
        <w:fldChar w:fldCharType="separate"/>
      </w:r>
      <w:r w:rsidRPr="004D46AC">
        <w:rPr>
          <w:noProof/>
          <w:lang w:eastAsia="en-US"/>
        </w:rPr>
        <w:t>(Chakrabarti &amp; Singh, 2022)</w:t>
      </w:r>
      <w:r w:rsidRPr="004D46AC">
        <w:rPr>
          <w:lang w:eastAsia="en-US"/>
        </w:rPr>
        <w:fldChar w:fldCharType="end"/>
      </w:r>
      <w:r w:rsidRPr="004D46AC">
        <w:rPr>
          <w:lang w:eastAsia="en-US"/>
        </w:rPr>
        <w:t xml:space="preserve">. In meta regression, bipolar type predicted the prevalence of lifetime and current delusions, with bipolar I or psychotic bipolar patients especially likely to report a history of delusions. This likely reflects the facts that delusions, especially of grandiosity, are a common feature of the manic syndrome </w:t>
      </w:r>
      <w:r w:rsidRPr="004D46AC">
        <w:rPr>
          <w:lang w:eastAsia="en-US"/>
        </w:rPr>
        <w:fldChar w:fldCharType="begin">
          <w:fldData xml:space="preserve">PEVuZE5vdGU+PENpdGU+PEF1dGhvcj5BenphbTwvQXV0aG9yPjxZZWFyPjIwMjA8L1llYXI+PFJl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==
</w:fldData>
        </w:fldChar>
      </w:r>
      <w:r w:rsidRPr="004D46AC">
        <w:rPr>
          <w:lang w:eastAsia="en-US"/>
        </w:rPr>
        <w:instrText xml:space="preserve"> ADDIN EN.CITE </w:instrText>
      </w:r>
      <w:r w:rsidRPr="004D46AC">
        <w:rPr>
          <w:lang w:eastAsia="en-US"/>
        </w:rPr>
        <w:fldChar w:fldCharType="begin">
          <w:fldData xml:space="preserve">PEVuZE5vdGU+PENpdGU+PEF1dGhvcj5BenphbTwvQXV0aG9yPjxZZWFyPjIwMjA8L1llYXI+PFJl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==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(Azzam et al., 2020; Dunayevich &amp; Keck, 2000)</w:t>
      </w:r>
      <w:r w:rsidRPr="004D46AC">
        <w:rPr>
          <w:lang w:eastAsia="en-US"/>
        </w:rPr>
        <w:fldChar w:fldCharType="end"/>
      </w:r>
      <w:r w:rsidRPr="004D46AC">
        <w:rPr>
          <w:lang w:eastAsia="en-US"/>
        </w:rPr>
        <w:t xml:space="preserve">. We found that hallucinations are less prevalent in bipolar patients; overall about three in ten had a history of hallucinations and one fifth had current hallucinations, figures that are also comparable to those reported by </w:t>
      </w:r>
      <w:r w:rsidRPr="004D46AC">
        <w:rPr>
          <w:lang w:eastAsia="en-US"/>
        </w:rPr>
        <w:fldChar w:fldCharType="begin"/>
      </w:r>
      <w:r w:rsidRPr="004D46AC">
        <w:rPr>
          <w:lang w:eastAsia="en-US"/>
        </w:rPr>
        <w:instrText xml:space="preserve"> ADDIN EN.CITE &lt;EndNote&gt;&lt;Cite AuthorYear="1"&gt;&lt;Author&gt;Chakrabarti&lt;/Author&gt;&lt;Year&gt;2022&lt;/Year&gt;&lt;RecNum&gt;430&lt;/RecNum&gt;&lt;DisplayText&gt;Chakrabarti and Singh (2022)&lt;/DisplayText&gt;&lt;record&gt;&lt;rec-number&gt;430&lt;/rec-number&gt;&lt;foreign-keys&gt;&lt;key app="EN" db-id="aet009sstawa0hewvt3xwf5atffdw2dt02sw" timestamp="1698506049"&gt;430&lt;/key&gt;&lt;/foreign-keys&gt;&lt;ref-type name="Journal Article"&gt;17&lt;/ref-type&gt;&lt;contributors&gt;&lt;authors&gt;&lt;author&gt;Chakrabarti, S.&lt;/author&gt;&lt;author&gt;Singh, N.&lt;/author&gt;&lt;/authors&gt;&lt;/contributors&gt;&lt;auth-address&gt;Department of Psychiatry, Postgraduate Institute of Medical Education and Research, Chandigarh 160012, UT, India. subhochd@yahoo.com.&amp;#xD;Department of Psychiatry, Postgraduate Institute of Medical Education and Research, Chandigarh 160012, UT, India.&lt;/auth-address&gt;&lt;titles&gt;&lt;title&gt;Psychotic symptoms in bipolar disorder and their impact on the illness: A systematic review&lt;/title&gt;&lt;secondary-title&gt;World J Psychiatry&lt;/secondary-title&gt;&lt;/titles&gt;&lt;periodical&gt;&lt;full-title&gt;World J Psychiatry&lt;/full-title&gt;&lt;/periodical&gt;&lt;pages&gt;1204-1232&lt;/pages&gt;&lt;volume&gt;12&lt;/volume&gt;&lt;number&gt;9&lt;/number&gt;&lt;edition&gt;20220919&lt;/edition&gt;&lt;keywords&gt;&lt;keyword&gt;Bipolar disorder&lt;/keyword&gt;&lt;keyword&gt;Extent&lt;/keyword&gt;&lt;keyword&gt;Impact&lt;/keyword&gt;&lt;keyword&gt;Psychotic symptoms&lt;/keyword&gt;&lt;/keywords&gt;&lt;dates&gt;&lt;year&gt;2022&lt;/year&gt;&lt;pub-dates&gt;&lt;date&gt;Sep 19&lt;/date&gt;&lt;/pub-dates&gt;&lt;/dates&gt;&lt;isbn&gt;2220-3206 (Print)&amp;#xD;2220-3206 (Electronic)&amp;#xD;2220-3206 (Linking)&lt;/isbn&gt;&lt;accession-num&gt;36186500&lt;/accession-num&gt;&lt;urls&gt;&lt;related-urls&gt;&lt;url&gt;https://www.ncbi.nlm.nih.gov/pubmed/36186500&lt;/url&gt;&lt;/related-urls&gt;&lt;/urls&gt;&lt;custom1&gt;Conflict-of-interest statement: All the authors report no relevant conflicts of interest for this article.&lt;/custom1&gt;&lt;custom2&gt;PMC9521535&lt;/custom2&gt;&lt;electronic-resource-num&gt;10.5498/wjp.v12.i9.1204&lt;/electronic-resource-num&gt;&lt;remote-database-name&gt;PubMed-not-MEDLINE&lt;/remote-database-name&gt;&lt;remote-database-provider&gt;NLM&lt;/remote-database-provider&gt;&lt;language&gt;eng&lt;/language&gt;&lt;/record&gt;&lt;/Cite&gt;&lt;/EndNote&gt;</w:instrText>
      </w:r>
      <w:r w:rsidRPr="004D46AC">
        <w:rPr>
          <w:lang w:eastAsia="en-US"/>
        </w:rPr>
        <w:fldChar w:fldCharType="separate"/>
      </w:r>
      <w:r w:rsidRPr="004D46AC">
        <w:rPr>
          <w:noProof/>
          <w:lang w:eastAsia="en-US"/>
        </w:rPr>
        <w:t>Chakrabarti and Singh (2022)</w:t>
      </w:r>
      <w:r w:rsidRPr="004D46AC">
        <w:rPr>
          <w:lang w:eastAsia="en-US"/>
        </w:rPr>
        <w:fldChar w:fldCharType="end"/>
      </w:r>
      <w:r w:rsidRPr="004D46AC">
        <w:rPr>
          <w:lang w:eastAsia="en-US"/>
        </w:rPr>
        <w:t xml:space="preserve">. Finally, the approximate prevalence of thought disorder was similar across the different time frames, with around one fourth of bipolar patients suffering from lifetime thought disorder and one fifth suffering from current thought disorder. Although once thought pathognomonic for schizophrenia </w:t>
      </w:r>
      <w:r w:rsidRPr="004D46AC">
        <w:rPr>
          <w:lang w:eastAsia="en-US"/>
        </w:rPr>
        <w:fldChar w:fldCharType="begin"/>
      </w:r>
      <w:r w:rsidRPr="004D46AC">
        <w:rPr>
          <w:lang w:eastAsia="en-US"/>
        </w:rPr>
        <w:instrText xml:space="preserve"> ADDIN EN.CITE &lt;EndNote&gt;&lt;Cite&gt;&lt;Author&gt;Bleuler&lt;/Author&gt;&lt;Year&gt;1950&lt;/Year&gt;&lt;RecNum&gt;452&lt;/RecNum&gt;&lt;DisplayText&gt;(Bleuler, 1950)&lt;/DisplayText&gt;&lt;record&gt;&lt;rec-number&gt;452&lt;/rec-number&gt;&lt;foreign-keys&gt;&lt;key app="EN" db-id="aet009sstawa0hewvt3xwf5atffdw2dt02sw" timestamp="1702570060"&gt;452&lt;/key&gt;&lt;/foreign-keys&gt;&lt;ref-type name="Journal Article"&gt;17&lt;/ref-type&gt;&lt;contributors&gt;&lt;authors&gt;&lt;author&gt;Bleuler, Eugen&lt;/author&gt;&lt;/authors&gt;&lt;/contributors&gt;&lt;titles&gt;&lt;title&gt;Dementia praecox or the group of schizophrenias&lt;/title&gt;&lt;/titles&gt;&lt;dates&gt;&lt;year&gt;1950&lt;/year&gt;&lt;/dates&gt;&lt;urls&gt;&lt;/urls&gt;&lt;/record&gt;&lt;/Cite&gt;&lt;/EndNote&gt;</w:instrText>
      </w:r>
      <w:r w:rsidRPr="004D46AC">
        <w:rPr>
          <w:lang w:eastAsia="en-US"/>
        </w:rPr>
        <w:fldChar w:fldCharType="separate"/>
      </w:r>
      <w:r w:rsidRPr="004D46AC">
        <w:rPr>
          <w:noProof/>
          <w:lang w:eastAsia="en-US"/>
        </w:rPr>
        <w:t>(Bleuler, 1950)</w:t>
      </w:r>
      <w:r w:rsidRPr="004D46AC">
        <w:rPr>
          <w:lang w:eastAsia="en-US"/>
        </w:rPr>
        <w:fldChar w:fldCharType="end"/>
      </w:r>
      <w:r w:rsidRPr="004D46AC">
        <w:rPr>
          <w:lang w:eastAsia="en-US"/>
        </w:rPr>
        <w:t>, it has been known for some time that this symptom is common in bipolar patients</w:t>
      </w:r>
      <w:r w:rsidRPr="004D46AC">
        <w:rPr>
          <w:lang w:eastAsia="en-US"/>
        </w:rPr>
        <w:fldChar w:fldCharType="begin"/>
      </w:r>
      <w:r w:rsidRPr="004D46AC">
        <w:rPr>
          <w:lang w:eastAsia="en-US"/>
        </w:rPr>
        <w:instrText xml:space="preserve"> ADDIN EN.CITE &lt;EndNote&gt;&lt;Cite&gt;&lt;Author&gt;Docherty&lt;/Author&gt;&lt;Year&gt;1996&lt;/Year&gt;&lt;RecNum&gt;881&lt;/RecNum&gt;&lt;DisplayText&gt;(Docherty et al., 1996)&lt;/DisplayText&gt;&lt;record&gt;&lt;rec-number&gt;881&lt;/rec-number&gt;&lt;foreign-keys&gt;&lt;key app="EN" db-id="aet009sstawa0hewvt3xwf5atffdw2dt02sw" timestamp="1739377124"&gt;881&lt;/key&gt;&lt;/foreign-keys&gt;&lt;ref-type name="Journal Article"&gt;17&lt;/ref-type&gt;&lt;contributors&gt;&lt;authors&gt;&lt;author&gt;Docherty, N. M.&lt;/author&gt;&lt;author&gt;Hawkins, K. A.&lt;/author&gt;&lt;author&gt;Hoffman, R. E.&lt;/author&gt;&lt;author&gt;Quinlan, D. M.&lt;/author&gt;&lt;author&gt;Rakfeldt, J.&lt;/author&gt;&lt;author&gt;Sledge, W. H.&lt;/author&gt;&lt;/authors&gt;&lt;/contributors&gt;&lt;auth-address&gt;Department of Psychology, Kent State University, Ohio 44242, USA.&lt;/auth-address&gt;&lt;titles&gt;&lt;title&gt;Working memory, attention, and communication disturbances in schizophrenia&lt;/title&gt;&lt;secondary-title&gt;J Abnorm Psychol&lt;/secondary-title&gt;&lt;/titles&gt;&lt;periodical&gt;&lt;full-title&gt;J Abnorm Psychol&lt;/full-title&gt;&lt;/periodical&gt;&lt;pages&gt;212-9&lt;/pages&gt;&lt;volume&gt;105&lt;/volume&gt;&lt;number&gt;2&lt;/number&gt;&lt;keywords&gt;&lt;keyword&gt;Adult&lt;/keyword&gt;&lt;keyword&gt;*Attention&lt;/keyword&gt;&lt;keyword&gt;*Communication Disorders/*complications/diagnosis&lt;/keyword&gt;&lt;keyword&gt;Concept Formation&lt;/keyword&gt;&lt;keyword&gt;Female&lt;/keyword&gt;&lt;keyword&gt;Humans&lt;/keyword&gt;&lt;keyword&gt;Male&lt;/keyword&gt;&lt;keyword&gt;Memory Disorders/*complications/diagnosis&lt;/keyword&gt;&lt;keyword&gt;Schizophrenia/*complications&lt;/keyword&gt;&lt;keyword&gt;Severity of Illness Index&lt;/keyword&gt;&lt;/keywords&gt;&lt;dates&gt;&lt;year&gt;1996&lt;/year&gt;&lt;pub-dates&gt;&lt;date&gt;May&lt;/date&gt;&lt;/pub-dates&gt;&lt;/dates&gt;&lt;pub-location&gt;US&lt;/pub-location&gt;&lt;publisher&gt;American Psychological Association&lt;/publisher&gt;&lt;isbn&gt;0021-843X (Print)&amp;#xD;0021-843X (Linking)&lt;/isbn&gt;&lt;accession-num&gt;8723002&lt;/accession-num&gt;&lt;urls&gt;&lt;related-urls&gt;&lt;url&gt;https://www.ncbi.nlm.nih.gov/pubmed/8723002&lt;/url&gt;&lt;/related-urls&gt;&lt;/urls&gt;&lt;electronic-resource-num&gt;10.1037//0021-843x.105.2.212&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(Docherty et al., 1996)</w:t>
      </w:r>
      <w:r w:rsidRPr="004D46AC">
        <w:rPr>
          <w:lang w:eastAsia="en-US"/>
        </w:rPr>
        <w:fldChar w:fldCharType="end"/>
      </w:r>
      <w:r w:rsidRPr="004D46AC">
        <w:rPr>
          <w:lang w:eastAsia="en-US"/>
        </w:rPr>
        <w:t xml:space="preserve"> and our observations are comparable to those in meta-analyses focused on quantitative comparison between patients with schizophrenia and bipolar disorder </w:t>
      </w:r>
      <w:r w:rsidRPr="004D46AC">
        <w:rPr>
          <w:lang w:eastAsia="en-US"/>
        </w:rPr>
        <w:fldChar w:fldCharType="begin">
          <w:fldData xml:space="preserve">PEVuZE5vdGU+PENpdGU+PEF1dGhvcj5EdW5heWV2aWNoPC9BdXRob3I+PFllYXI+MjAwMDwvWWVh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</w:fldData>
        </w:fldChar>
      </w:r>
      <w:r w:rsidRPr="004D46AC">
        <w:rPr>
          <w:lang w:eastAsia="en-US"/>
        </w:rPr>
        <w:instrText xml:space="preserve"> ADDIN EN.CITE </w:instrText>
      </w:r>
      <w:r w:rsidRPr="004D46AC">
        <w:rPr>
          <w:lang w:eastAsia="en-US"/>
        </w:rPr>
        <w:fldChar w:fldCharType="begin">
          <w:fldData xml:space="preserve">PEVuZE5vdGU+PENpdGU+PEF1dGhvcj5EdW5heWV2aWNoPC9BdXRob3I+PFllYXI+MjAwMDwvWWVh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(Dunayevich &amp; Keck, 2000; Yalincetin et al., 2017)</w:t>
      </w:r>
      <w:r w:rsidRPr="004D46AC">
        <w:rPr>
          <w:lang w:eastAsia="en-US"/>
        </w:rPr>
        <w:fldChar w:fldCharType="end"/>
      </w:r>
      <w:r w:rsidRPr="004D46AC">
        <w:rPr>
          <w:lang w:eastAsia="en-US"/>
        </w:rPr>
        <w:t xml:space="preserve">. </w:t>
      </w:r>
    </w:p>
    <w:p w14:paraId="4F624450" w14:textId="77777777" w:rsidR="003D5CB6" w:rsidRPr="004D46AC" w:rsidRDefault="003D5CB6" w:rsidP="00B518F1">
      <w:pPr>
        <w:pStyle w:val="3"/>
        <w:rPr>
          <w:lang w:eastAsia="en-US"/>
        </w:rPr>
      </w:pPr>
      <w:r w:rsidRPr="004D46AC">
        <w:rPr>
          <w:lang w:eastAsia="en-US"/>
        </w:rPr>
        <w:t>Limitations</w:t>
      </w:r>
    </w:p>
    <w:p w14:paraId="07E38DAD" w14:textId="77777777" w:rsidR="003D5CB6" w:rsidRPr="004D46AC" w:rsidRDefault="003D5CB6" w:rsidP="00B518F1">
      <w:pPr>
        <w:rPr>
          <w:rFonts w:eastAsiaTheme="minorEastAsia"/>
        </w:rPr>
      </w:pPr>
      <w:r w:rsidRPr="004D46AC">
        <w:rPr>
          <w:lang w:eastAsia="en-US"/>
        </w:rPr>
        <w:t xml:space="preserve">The main limitation of this review is the high heterogeneity observed within the main and sub-analyses, </w:t>
      </w:r>
      <w:r w:rsidRPr="004D46AC">
        <w:t xml:space="preserve">although some of the heterogeneities have been explained by factors such as bipolar type or the presence of mania. The remaining heterogeneities were generally high in </w:t>
      </w:r>
      <w:proofErr w:type="gramStart"/>
      <w:r w:rsidRPr="004D46AC">
        <w:t>all of</w:t>
      </w:r>
      <w:proofErr w:type="gramEnd"/>
      <w:r w:rsidRPr="004D46AC">
        <w:t xml:space="preserve"> the analyses. Some of this heterogeneity could be introduced </w:t>
      </w:r>
      <w:proofErr w:type="gramStart"/>
      <w:r w:rsidRPr="004D46AC">
        <w:t>by the use of</w:t>
      </w:r>
      <w:proofErr w:type="gramEnd"/>
      <w:r w:rsidRPr="004D46AC">
        <w:t xml:space="preserve"> different diagnostic and assessment tools. However, our study size lacks power to detect such variance without risk of overfitting. It is also plausible that the variance was </w:t>
      </w:r>
      <w:r w:rsidRPr="004D46AC">
        <w:lastRenderedPageBreak/>
        <w:t xml:space="preserve">introduced by different sampling techniques, research designs or other unknown factors. Another limitation is that study numbers for some subgroup analyses (e.g., psychosis in different mood episodes, thought disorder) were low. For example, </w:t>
      </w:r>
      <w:r w:rsidRPr="004D46AC">
        <w:rPr>
          <w:rFonts w:eastAsiaTheme="minorEastAsia"/>
        </w:rPr>
        <w:t>only four studies have reported lifetime psychosis in bipolar patients with mixed episodes; therefore, a narrative review was conducted. Caution should be exercised when interpreting the findings from these analyses.</w:t>
      </w:r>
    </w:p>
    <w:p w14:paraId="3FBEECCE" w14:textId="77777777" w:rsidR="003D5CB6" w:rsidRPr="004D46AC" w:rsidRDefault="003D5CB6" w:rsidP="00B518F1">
      <w:pPr>
        <w:rPr>
          <w:rFonts w:eastAsiaTheme="minorEastAsia"/>
        </w:rPr>
      </w:pPr>
      <w:r w:rsidRPr="004D46AC">
        <w:t>Additionally, current finding did not quantitatively examine other clinical characteristics such as the prognosis and treatment responses that may differ or be similar between BSD and schizophrenia. This study has focused on the psychopathological manifestations of schizophrenia in BSD, and other features such as course, outcome and treatment response were beyond its scope. For prognosis, there has been evidence that the major psychoses can be divided into several subgroups according to the illness trajectories</w:t>
      </w:r>
      <w:r w:rsidRPr="004D46AC">
        <w:fldChar w:fldCharType="begin">
          <w:fldData xml:space="preserve">PEVuZE5vdGU+PENpdGU+PEF1dGhvcj5Ed3llcjwvQXV0aG9yPjxZZWFyPjIwMjA8L1llYXI+PFJl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</w:fldData>
        </w:fldChar>
      </w:r>
      <w:r w:rsidRPr="004D46AC">
        <w:instrText xml:space="preserve"> ADDIN EN.CITE </w:instrText>
      </w:r>
      <w:r w:rsidRPr="004D46AC">
        <w:fldChar w:fldCharType="begin">
          <w:fldData xml:space="preserve">PEVuZE5vdGU+PENpdGU+PEF1dGhvcj5Ed3llcjwvQXV0aG9yPjxZZWFyPjIwMjA8L1llYXI+PFJl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</w:fldData>
        </w:fldChar>
      </w:r>
      <w:r w:rsidRPr="004D46AC">
        <w:instrText xml:space="preserve"> ADDIN EN.CITE.DATA </w:instrText>
      </w:r>
      <w:r w:rsidRPr="004D46AC">
        <w:fldChar w:fldCharType="end"/>
      </w:r>
      <w:r w:rsidRPr="004D46AC">
        <w:fldChar w:fldCharType="separate"/>
      </w:r>
      <w:r w:rsidRPr="004D46AC">
        <w:rPr>
          <w:noProof/>
        </w:rPr>
        <w:t>(Dwyer et al., 2020)</w:t>
      </w:r>
      <w:r w:rsidRPr="004D46AC">
        <w:fldChar w:fldCharType="end"/>
      </w:r>
      <w:r w:rsidRPr="004D46AC">
        <w:t>. In contrast to the pessimistic outlook of Kraepelin, however, schizophrenia is not always associated with poor prognosis, highlighting the necessity of transdiagnostic approach to psychiatric classification. Meanwhile, pharmaceutical treatments are primarily neurotransmitter-oriented, and responses to them can be influenced by various factors</w:t>
      </w:r>
      <w:r w:rsidRPr="004D46AC">
        <w:fldChar w:fldCharType="begin">
          <w:fldData xml:space="preserve">PEVuZE5vdGU+PENpdGU+PEF1dGhvcj5JZnRpbW92aWNpPC9BdXRob3I+PFllYXI+MjAyNDwvWWVh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</w:fldData>
        </w:fldChar>
      </w:r>
      <w:r w:rsidRPr="004D46AC">
        <w:instrText xml:space="preserve"> ADDIN EN.CITE </w:instrText>
      </w:r>
      <w:r w:rsidRPr="004D46AC">
        <w:fldChar w:fldCharType="begin">
          <w:fldData xml:space="preserve">PEVuZE5vdGU+PENpdGU+PEF1dGhvcj5JZnRpbW92aWNpPC9BdXRob3I+PFllYXI+MjAyNDwvWWVh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</w:fldData>
        </w:fldChar>
      </w:r>
      <w:r w:rsidRPr="004D46AC">
        <w:instrText xml:space="preserve"> ADDIN EN.CITE.DATA </w:instrText>
      </w:r>
      <w:r w:rsidRPr="004D46AC">
        <w:fldChar w:fldCharType="end"/>
      </w:r>
      <w:r w:rsidRPr="004D46AC">
        <w:fldChar w:fldCharType="separate"/>
      </w:r>
      <w:r w:rsidRPr="004D46AC">
        <w:rPr>
          <w:noProof/>
        </w:rPr>
        <w:t>(Citrome et al., 2009; Iftimovici et al., 2024)</w:t>
      </w:r>
      <w:r w:rsidRPr="004D46AC">
        <w:fldChar w:fldCharType="end"/>
      </w:r>
      <w:r w:rsidRPr="004D46AC">
        <w:t xml:space="preserve"> and even within a single diagnostic group, treatment response can vary markedly</w:t>
      </w:r>
      <w:r w:rsidRPr="004D46AC">
        <w:fldChar w:fldCharType="begin"/>
      </w:r>
      <w:r w:rsidRPr="004D46AC">
        <w:instrText xml:space="preserve"> ADDIN EN.CITE &lt;EndNote&gt;&lt;Cite&gt;&lt;Author&gt;Lipkovich&lt;/Author&gt;&lt;Year&gt;2008&lt;/Year&gt;&lt;RecNum&gt;149&lt;/RecNum&gt;&lt;DisplayText&gt;(Lipkovich et al., 2008)&lt;/DisplayText&gt;&lt;record&gt;&lt;rec-number&gt;149&lt;/rec-number&gt;&lt;foreign-keys&gt;&lt;key app="EN" db-id="aet009sstawa0hewvt3xwf5atffdw2dt02sw" timestamp="1665659388"&gt;149&lt;/key&gt;&lt;/foreign-keys&gt;&lt;ref-type name="Journal Article"&gt;17&lt;/ref-type&gt;&lt;contributors&gt;&lt;authors&gt;&lt;author&gt;Lipkovich, I. A.&lt;/author&gt;&lt;author&gt;Houston, J. P.&lt;/author&gt;&lt;author&gt;Ahl, J.&lt;/author&gt;&lt;/authors&gt;&lt;/contributors&gt;&lt;auth-address&gt;Lilly Research Laboratories, Eli Lilly and Company, Indianapolis, IN 46221, USA. lipkovichia@lilly.com&lt;/auth-address&gt;&lt;titles&gt;&lt;title&gt;Identifying patterns in treatment response profiles in acute bipolar mania: a cluster analysis approach&lt;/title&gt;&lt;secondary-title&gt;BMC Psychiatry&lt;/secondary-title&gt;&lt;/titles&gt;&lt;periodical&gt;&lt;full-title&gt;BMC Psychiatry&lt;/full-title&gt;&lt;/periodical&gt;&lt;pages&gt;65&lt;/pages&gt;&lt;volume&gt;8&lt;/volume&gt;&lt;edition&gt;20080729&lt;/edition&gt;&lt;keywords&gt;&lt;keyword&gt;Acute Disease&lt;/keyword&gt;&lt;keyword&gt;Adult&lt;/keyword&gt;&lt;keyword&gt;*Bipolar Disorder/diagnosis/epidemiology/therapy&lt;/keyword&gt;&lt;keyword&gt;Cluster Analysis&lt;/keyword&gt;&lt;keyword&gt;Female&lt;/keyword&gt;&lt;keyword&gt;Humans&lt;/keyword&gt;&lt;keyword&gt;Male&lt;/keyword&gt;&lt;keyword&gt;Prevalence&lt;/keyword&gt;&lt;keyword&gt;Surveys and Questionnaires&lt;/keyword&gt;&lt;keyword&gt;Treatment Outcome&lt;/keyword&gt;&lt;/keywords&gt;&lt;dates&gt;&lt;year&gt;2008&lt;/year&gt;&lt;pub-dates&gt;&lt;date&gt;Jul 29&lt;/date&gt;&lt;/pub-dates&gt;&lt;/dates&gt;&lt;isbn&gt;1471-244X (Electronic)&amp;#xD;1471-244X (Linking)&lt;/isbn&gt;&lt;accession-num&gt;18664256&lt;/accession-num&gt;&lt;urls&gt;&lt;related-urls&gt;&lt;url&gt;https://www.ncbi.nlm.nih.gov/pubmed/18664256&lt;/url&gt;&lt;/related-urls&gt;&lt;/urls&gt;&lt;custom2&gt;PMC2515837&lt;/custom2&gt;&lt;electronic-resource-num&gt;10.1186/1471-244X-8-65&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(Lipkovich et al., 2008)</w:t>
      </w:r>
      <w:r w:rsidRPr="004D46AC">
        <w:fldChar w:fldCharType="end"/>
      </w:r>
      <w:r w:rsidRPr="004D46AC">
        <w:t>. Consequently, determining the specificity of treatment effects based solely on categorical diagnoses is challenging, particularly when patients follow treatment plans that combine antipsychotics and mood stabilisers. In the only placebo-controlled study we are aware of which patients with severe mental illness were randomly assigned to either mood stabilisers, antipsychotics or both, treatment response was predicted by symptoms but not diagnoses</w:t>
      </w:r>
      <w:r w:rsidRPr="004D46AC">
        <w:fldChar w:fldCharType="begin"/>
      </w:r>
      <w:r w:rsidRPr="004D46AC">
        <w:instrText xml:space="preserve"> ADDIN EN.CITE &lt;EndNote&gt;&lt;Cite&gt;&lt;Author&gt;Johnstone&lt;/Author&gt;&lt;Year&gt;1988&lt;/Year&gt;&lt;RecNum&gt;889&lt;/RecNum&gt;&lt;DisplayText&gt;(Johnstone et al., 1988)&lt;/DisplayText&gt;&lt;record&gt;&lt;rec-number&gt;889&lt;/rec-number&gt;&lt;foreign-keys&gt;&lt;key app="EN" db-id="aet009sstawa0hewvt3xwf5atffdw2dt02sw" timestamp="1740148681"&gt;889&lt;/key&gt;&lt;/foreign-keys&gt;&lt;ref-type name="Journal Article"&gt;17&lt;/ref-type&gt;&lt;contributors&gt;&lt;authors&gt;&lt;author&gt;Johnstone, E. C.&lt;/author&gt;&lt;author&gt;Crow, T. J.&lt;/author&gt;&lt;author&gt;Frith, C. D.&lt;/author&gt;&lt;author&gt;Owens, D. G.&lt;/author&gt;&lt;/authors&gt;&lt;/contributors&gt;&lt;auth-address&gt;Division of Psychiatry, Clinical Research Centre, Harrow, Middlesex.&lt;/auth-address&gt;&lt;titles&gt;&lt;title&gt;The Northwick Park &amp;quot;functional&amp;quot; psychosis study: diagnosis and treatment response&lt;/title&gt;&lt;secondary-title&gt;Lancet&lt;/secondary-title&gt;&lt;/titles&gt;&lt;periodical&gt;&lt;full-title&gt;Lancet&lt;/full-title&gt;&lt;/periodical&gt;&lt;pages&gt;119-25&lt;/pages&gt;&lt;volume&gt;2&lt;/volume&gt;&lt;number&gt;8603&lt;/number&gt;&lt;keywords&gt;&lt;keyword&gt;Adolescent&lt;/keyword&gt;&lt;keyword&gt;Adult&lt;/keyword&gt;&lt;keyword&gt;Affect/*drug effects&lt;/keyword&gt;&lt;keyword&gt;Aged&lt;/keyword&gt;&lt;keyword&gt;Bipolar Disorder/*drug therapy&lt;/keyword&gt;&lt;keyword&gt;Clinical Trials as Topic&lt;/keyword&gt;&lt;keyword&gt;Delusions/drug therapy&lt;/keyword&gt;&lt;keyword&gt;Drug Therapy, Combination&lt;/keyword&gt;&lt;keyword&gt;Female&lt;/keyword&gt;&lt;keyword&gt;Hallucinations/drug therapy&lt;/keyword&gt;&lt;keyword&gt;Humans&lt;/keyword&gt;&lt;keyword&gt;Lithium/*therapeutic use&lt;/keyword&gt;&lt;keyword&gt;Male&lt;/keyword&gt;&lt;keyword&gt;Middle Aged&lt;/keyword&gt;&lt;keyword&gt;Pimozide/*therapeutic use&lt;/keyword&gt;&lt;keyword&gt;Psychotic Disorders/*drug therapy&lt;/keyword&gt;&lt;keyword&gt;Random Allocation&lt;/keyword&gt;&lt;/keywords&gt;&lt;dates&gt;&lt;year&gt;1988&lt;/year&gt;&lt;pub-dates&gt;&lt;date&gt;Jul 16&lt;/date&gt;&lt;/pub-dates&gt;&lt;/dates&gt;&lt;isbn&gt;0140-6736 (Print)&amp;#xD;0140-6736 (Linking)&lt;/isbn&gt;&lt;accession-num&gt;2899186&lt;/accession-num&gt;&lt;urls&gt;&lt;related-urls&gt;&lt;url&gt;https://www.ncbi.nlm.nih.gov/pubmed/2899186&lt;/url&gt;&lt;/related-urls&gt;&lt;/urls&gt;&lt;electronic-resource-num&gt;10.1016/s0140-6736(88)90682-4&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(Johnstone et al., 1988)</w:t>
      </w:r>
      <w:r w:rsidRPr="004D46AC">
        <w:fldChar w:fldCharType="end"/>
      </w:r>
      <w:r w:rsidRPr="004D46AC">
        <w:t>. These challenges underscore the need for treatments targeting common deficits across these disorders, such as biological markers or cognitive dysfunctions</w:t>
      </w:r>
      <w:r w:rsidRPr="004D46AC">
        <w:fldChar w:fldCharType="begin">
          <w:fldData xml:space="preserve">PEVuZE5vdGU+PENpdGU+PEF1dGhvcj5ZYW1hZGE8L0F1dGhvcj48WWVhcj4yMDIwPC9ZZWFyPjxS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</w:fldData>
        </w:fldChar>
      </w:r>
      <w:r w:rsidRPr="004D46AC">
        <w:instrText xml:space="preserve"> ADDIN EN.CITE </w:instrText>
      </w:r>
      <w:r w:rsidRPr="004D46AC">
        <w:fldChar w:fldCharType="begin">
          <w:fldData xml:space="preserve">PEVuZE5vdGU+PENpdGU+PEF1dGhvcj5ZYW1hZGE8L0F1dGhvcj48WWVhcj4yMDIwPC9ZZWFyPjxS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</w:fldData>
        </w:fldChar>
      </w:r>
      <w:r w:rsidRPr="004D46AC">
        <w:instrText xml:space="preserve"> ADDIN EN.CITE.DATA </w:instrText>
      </w:r>
      <w:r w:rsidRPr="004D46AC">
        <w:fldChar w:fldCharType="end"/>
      </w:r>
      <w:r w:rsidRPr="004D46AC">
        <w:fldChar w:fldCharType="separate"/>
      </w:r>
      <w:r w:rsidRPr="004D46AC">
        <w:rPr>
          <w:noProof/>
        </w:rPr>
        <w:t>(Dacquino et al., 2015; Yamada et al., 2020)</w:t>
      </w:r>
      <w:r w:rsidRPr="004D46AC">
        <w:fldChar w:fldCharType="end"/>
      </w:r>
      <w:r w:rsidRPr="004D46AC">
        <w:t>. For example, the Research Domain Criteria (</w:t>
      </w:r>
      <w:proofErr w:type="spellStart"/>
      <w:r w:rsidRPr="004D46AC">
        <w:t>RDoC</w:t>
      </w:r>
      <w:proofErr w:type="spellEnd"/>
      <w:r w:rsidRPr="004D46AC">
        <w:t xml:space="preserve">) represent a significant shift in research approach, emphasising transdiagnostic psychological and neurobiological processes. </w:t>
      </w:r>
    </w:p>
    <w:p w14:paraId="1A8F7534" w14:textId="77777777" w:rsidR="003D5CB6" w:rsidRPr="004D46AC" w:rsidRDefault="003D5CB6" w:rsidP="00B518F1">
      <w:pPr>
        <w:pStyle w:val="3"/>
        <w:rPr>
          <w:lang w:eastAsia="en-US"/>
        </w:rPr>
      </w:pPr>
      <w:r w:rsidRPr="004D46AC">
        <w:rPr>
          <w:lang w:eastAsia="en-US"/>
        </w:rPr>
        <w:lastRenderedPageBreak/>
        <w:t>Implications</w:t>
      </w:r>
    </w:p>
    <w:p w14:paraId="0C90019E" w14:textId="77777777" w:rsidR="003D5CB6" w:rsidRPr="004D46AC" w:rsidRDefault="003D5CB6" w:rsidP="00B518F1">
      <w:pPr>
        <w:rPr>
          <w:lang w:eastAsia="en-US"/>
        </w:rPr>
      </w:pPr>
      <w:r w:rsidRPr="004D46AC">
        <w:rPr>
          <w:lang w:eastAsia="en-US"/>
        </w:rPr>
        <w:t>The present findings have implications for understanding the relationship between bipolar disorder and schizophrenia, the causal processes relating to both diagnoses, as well as the mechanisms involved in specific psychotic symptoms experienced by bipolar patients. The Kraepelinian distinction between bipolar disorder and schizophrenia was a cornerstone of psychiatry throughout the 20</w:t>
      </w:r>
      <w:r w:rsidRPr="004D46AC">
        <w:rPr>
          <w:vertAlign w:val="superscript"/>
          <w:lang w:eastAsia="en-US"/>
        </w:rPr>
        <w:t>th</w:t>
      </w:r>
      <w:r w:rsidRPr="004D46AC">
        <w:rPr>
          <w:lang w:eastAsia="en-US"/>
        </w:rPr>
        <w:t xml:space="preserve"> century </w:t>
      </w:r>
      <w:r w:rsidRPr="004D46AC">
        <w:rPr>
          <w:lang w:eastAsia="en-US"/>
        </w:rPr>
        <w:fldChar w:fldCharType="begin"/>
      </w:r>
      <w:r w:rsidRPr="004D46AC">
        <w:rPr>
          <w:lang w:eastAsia="en-US"/>
        </w:rPr>
        <w:instrText xml:space="preserve"> ADDIN EN.CITE &lt;EndNote&gt;&lt;Cite&gt;&lt;Author&gt;Berrios&lt;/Author&gt;&lt;Year&gt;1995&lt;/Year&gt;&lt;RecNum&gt;456&lt;/RecNum&gt;&lt;DisplayText&gt;(Berrios &amp;amp; Beer, 1995)&lt;/DisplayText&gt;&lt;record&gt;&lt;rec-number&gt;456&lt;/rec-number&gt;&lt;foreign-keys&gt;&lt;key app="EN" db-id="aet009sstawa0hewvt3xwf5atffdw2dt02sw" timestamp="1702571120"&gt;456&lt;/key&gt;&lt;/foreign-keys&gt;&lt;ref-type name="Journal Article"&gt;17&lt;/ref-type&gt;&lt;contributors&gt;&lt;authors&gt;&lt;author&gt;Berrios, German E&lt;/author&gt;&lt;author&gt;Beer, Dominic&lt;/author&gt;&lt;/authors&gt;&lt;/contributors&gt;&lt;titles&gt;&lt;title&gt;Unitary psychosis concept&lt;/title&gt;&lt;secondary-title&gt;A history of clinical psychiatry. London: Athlone&lt;/secondary-title&gt;&lt;/titles&gt;&lt;periodical&gt;&lt;full-title&gt;A history of clinical psychiatry. London: Athlone&lt;/full-title&gt;&lt;/periodical&gt;&lt;pages&gt;313-35&lt;/pages&gt;&lt;dates&gt;&lt;year&gt;1995&lt;/year&gt;&lt;/dates&gt;&lt;urls&gt;&lt;/urls&gt;&lt;/record&gt;&lt;/Cite&gt;&lt;/EndNote&gt;</w:instrText>
      </w:r>
      <w:r w:rsidRPr="004D46AC">
        <w:rPr>
          <w:lang w:eastAsia="en-US"/>
        </w:rPr>
        <w:fldChar w:fldCharType="separate"/>
      </w:r>
      <w:r w:rsidRPr="004D46AC">
        <w:rPr>
          <w:noProof/>
          <w:lang w:eastAsia="en-US"/>
        </w:rPr>
        <w:t>(Berrios &amp; Beer, 1995)</w:t>
      </w:r>
      <w:r w:rsidRPr="004D46AC">
        <w:rPr>
          <w:lang w:eastAsia="en-US"/>
        </w:rPr>
        <w:fldChar w:fldCharType="end"/>
      </w:r>
      <w:r w:rsidRPr="004D46AC">
        <w:rPr>
          <w:lang w:eastAsia="en-US"/>
        </w:rPr>
        <w:t xml:space="preserve"> but continues to be a source of controversy today. In an attempt to resolve this issue </w:t>
      </w:r>
      <w:r w:rsidRPr="004D46AC">
        <w:rPr>
          <w:lang w:eastAsia="en-US"/>
        </w:rPr>
        <w:fldChar w:fldCharType="begin"/>
      </w:r>
      <w:r w:rsidRPr="004D46AC">
        <w:rPr>
          <w:lang w:eastAsia="en-US"/>
        </w:rPr>
        <w:instrText xml:space="preserve"> ADDIN EN.CITE &lt;EndNote&gt;&lt;Cite AuthorYear="1"&gt;&lt;Author&gt;Kasanin&lt;/Author&gt;&lt;Year&gt;1933&lt;/Year&gt;&lt;RecNum&gt;457&lt;/RecNum&gt;&lt;DisplayText&gt;Kasanin (1933)&lt;/DisplayText&gt;&lt;record&gt;&lt;rec-number&gt;457&lt;/rec-number&gt;&lt;foreign-keys&gt;&lt;key app="EN" db-id="aet009sstawa0hewvt3xwf5atffdw2dt02sw" timestamp="1702571171"&gt;457&lt;/key&gt;&lt;/foreign-keys&gt;&lt;ref-type name="Journal Article"&gt;17&lt;/ref-type&gt;&lt;contributors&gt;&lt;authors&gt;&lt;author&gt;Kasanin, JACOB&lt;/author&gt;&lt;/authors&gt;&lt;/contributors&gt;&lt;titles&gt;&lt;title&gt;The acute schizoaffective psychoses&lt;/title&gt;&lt;secondary-title&gt;American Journal of Psychiatry&lt;/secondary-title&gt;&lt;/titles&gt;&lt;periodical&gt;&lt;full-title&gt;American Journal of Psychiatry&lt;/full-title&gt;&lt;/periodical&gt;&lt;pages&gt;97-126&lt;/pages&gt;&lt;volume&gt;90&lt;/volume&gt;&lt;number&gt;1&lt;/number&gt;&lt;dates&gt;&lt;year&gt;1933&lt;/year&gt;&lt;/dates&gt;&lt;isbn&gt;0002-953X&lt;/isbn&gt;&lt;urls&gt;&lt;/urls&gt;&lt;/record&gt;&lt;/Cite&gt;&lt;/EndNote&gt;</w:instrText>
      </w:r>
      <w:r w:rsidRPr="004D46AC">
        <w:rPr>
          <w:lang w:eastAsia="en-US"/>
        </w:rPr>
        <w:fldChar w:fldCharType="separate"/>
      </w:r>
      <w:r w:rsidRPr="004D46AC">
        <w:rPr>
          <w:noProof/>
          <w:lang w:eastAsia="en-US"/>
        </w:rPr>
        <w:t>Kasanin (1933)</w:t>
      </w:r>
      <w:r w:rsidRPr="004D46AC">
        <w:rPr>
          <w:lang w:eastAsia="en-US"/>
        </w:rPr>
        <w:fldChar w:fldCharType="end"/>
      </w:r>
      <w:r w:rsidRPr="004D46AC">
        <w:rPr>
          <w:lang w:eastAsia="en-US"/>
        </w:rPr>
        <w:t xml:space="preserve"> proposed the concept of schizoaffective psychosis, which was originally conceived as a separate condition combining symptoms of the other two conditions. The idea of a </w:t>
      </w:r>
      <w:proofErr w:type="spellStart"/>
      <w:r w:rsidRPr="004D46AC">
        <w:rPr>
          <w:lang w:eastAsia="en-US"/>
        </w:rPr>
        <w:t>schizo</w:t>
      </w:r>
      <w:proofErr w:type="spellEnd"/>
      <w:r w:rsidRPr="004D46AC">
        <w:rPr>
          <w:lang w:eastAsia="en-US"/>
        </w:rPr>
        <w:t xml:space="preserve">-bipolar spectrum was raised by later researchers </w:t>
      </w:r>
      <w:r w:rsidRPr="004D46AC">
        <w:rPr>
          <w:lang w:eastAsia="en-US"/>
        </w:rPr>
        <w:fldChar w:fldCharType="begin"/>
      </w:r>
      <w:r w:rsidRPr="004D46AC">
        <w:rPr>
          <w:lang w:eastAsia="en-US"/>
        </w:rPr>
        <w:instrText xml:space="preserve"> ADDIN EN.CITE &lt;EndNote&gt;&lt;Cite&gt;&lt;Author&gt;Kendell&lt;/Author&gt;&lt;Year&gt;1980&lt;/Year&gt;&lt;RecNum&gt;458&lt;/RecNum&gt;&lt;DisplayText&gt;(Kendell &amp;amp; Brockington, 1980)&lt;/DisplayText&gt;&lt;record&gt;&lt;rec-number&gt;458&lt;/rec-number&gt;&lt;foreign-keys&gt;&lt;key app="EN" db-id="aet009sstawa0hewvt3xwf5atffdw2dt02sw" timestamp="1702571236"&gt;458&lt;/key&gt;&lt;/foreign-keys&gt;&lt;ref-type name="Journal Article"&gt;17&lt;/ref-type&gt;&lt;contributors&gt;&lt;authors&gt;&lt;author&gt;Kendell, Robert E&lt;/author&gt;&lt;author&gt;Brockington, Ian F&lt;/author&gt;&lt;/authors&gt;&lt;/contributors&gt;&lt;titles&gt;&lt;title&gt;The identification of disease entities and the relationship between schizophrenic and affective psychoses&lt;/title&gt;&lt;secondary-title&gt;The British Journal of Psychiatry&lt;/secondary-title&gt;&lt;/titles&gt;&lt;periodical&gt;&lt;full-title&gt;The British Journal of Psychiatry&lt;/full-title&gt;&lt;/periodical&gt;&lt;pages&gt;324-331&lt;/pages&gt;&lt;volume&gt;137&lt;/volume&gt;&lt;number&gt;4&lt;/number&gt;&lt;dates&gt;&lt;year&gt;1980&lt;/year&gt;&lt;/dates&gt;&lt;isbn&gt;0007-1250&lt;/isbn&gt;&lt;urls&gt;&lt;/urls&gt;&lt;/record&gt;&lt;/Cite&gt;&lt;/EndNote&gt;</w:instrText>
      </w:r>
      <w:r w:rsidRPr="004D46AC">
        <w:rPr>
          <w:lang w:eastAsia="en-US"/>
        </w:rPr>
        <w:fldChar w:fldCharType="separate"/>
      </w:r>
      <w:r w:rsidRPr="004D46AC">
        <w:rPr>
          <w:noProof/>
          <w:lang w:eastAsia="en-US"/>
        </w:rPr>
        <w:t>(Kendell &amp; Brockington, 1980)</w:t>
      </w:r>
      <w:r w:rsidRPr="004D46AC">
        <w:rPr>
          <w:lang w:eastAsia="en-US"/>
        </w:rPr>
        <w:fldChar w:fldCharType="end"/>
      </w:r>
      <w:r w:rsidRPr="004D46AC">
        <w:rPr>
          <w:lang w:eastAsia="en-US"/>
        </w:rPr>
        <w:t xml:space="preserve"> and has recently received support from analyses of large samples combining patients from across the psychosis spectrum </w:t>
      </w:r>
      <w:r w:rsidRPr="004D46AC">
        <w:rPr>
          <w:lang w:eastAsia="en-US"/>
        </w:rPr>
        <w:fldChar w:fldCharType="begin">
          <w:fldData xml:space="preserve">PEVuZE5vdGU+PENpdGU+PEF1dGhvcj5UYW1taW5nYTwvQXV0aG9yPjxZZWFyPjIwMTQ8L1llYXI+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</w:fldData>
        </w:fldChar>
      </w:r>
      <w:r w:rsidRPr="004D46AC">
        <w:rPr>
          <w:lang w:eastAsia="en-US"/>
        </w:rPr>
        <w:instrText xml:space="preserve"> ADDIN EN.CITE </w:instrText>
      </w:r>
      <w:r w:rsidRPr="004D46AC">
        <w:rPr>
          <w:lang w:eastAsia="en-US"/>
        </w:rPr>
        <w:fldChar w:fldCharType="begin">
          <w:fldData xml:space="preserve">PEVuZE5vdGU+PENpdGU+PEF1dGhvcj5UYW1taW5nYTwvQXV0aG9yPjxZZWFyPjIwMTQ8L1llYXI+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(Tamminga et al., 2014)</w:t>
      </w:r>
      <w:r w:rsidRPr="004D46AC">
        <w:rPr>
          <w:lang w:eastAsia="en-US"/>
        </w:rPr>
        <w:fldChar w:fldCharType="end"/>
      </w:r>
      <w:r w:rsidRPr="004D46AC">
        <w:rPr>
          <w:lang w:eastAsia="en-US"/>
        </w:rPr>
        <w:t xml:space="preserve">. However, some investigators have proposed more complex models, most notably hierarchical and bifactor models that assume a common psychosis disease process together with separate factors that explain the preponderance of mood vs psychotic symptoms </w:t>
      </w:r>
      <w:r w:rsidRPr="004D46AC">
        <w:rPr>
          <w:lang w:eastAsia="en-US"/>
        </w:rPr>
        <w:fldChar w:fldCharType="begin">
          <w:fldData xml:space="preserve">PEVuZE5vdGU+PENpdGU+PEF1dGhvcj5SZWluaW5naGF1czwvQXV0aG9yPjxZZWFyPjIwMTk8L1ll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=
</w:fldData>
        </w:fldChar>
      </w:r>
      <w:r w:rsidRPr="004D46AC">
        <w:rPr>
          <w:lang w:eastAsia="en-US"/>
        </w:rPr>
        <w:instrText xml:space="preserve"> ADDIN EN.CITE </w:instrText>
      </w:r>
      <w:r w:rsidRPr="004D46AC">
        <w:rPr>
          <w:lang w:eastAsia="en-US"/>
        </w:rPr>
        <w:fldChar w:fldCharType="begin">
          <w:fldData xml:space="preserve">PEVuZE5vdGU+PENpdGU+PEF1dGhvcj5SZWluaW5naGF1czwvQXV0aG9yPjxZZWFyPjIwMTk8L1ll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=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(Reininghaus et al., 2019; Reininghaus et al., 2016; Reininghaus et al., 2013)</w:t>
      </w:r>
      <w:r w:rsidRPr="004D46AC">
        <w:rPr>
          <w:lang w:eastAsia="en-US"/>
        </w:rPr>
        <w:fldChar w:fldCharType="end"/>
      </w:r>
      <w:r w:rsidRPr="004D46AC">
        <w:rPr>
          <w:lang w:eastAsia="en-US"/>
        </w:rPr>
        <w:t xml:space="preserve">. These debates have led to an ongoing and concerted effort to create a new, more scientifically valid classification of psychiatric disorders </w:t>
      </w:r>
      <w:r w:rsidRPr="004D46AC">
        <w:rPr>
          <w:lang w:eastAsia="en-US"/>
        </w:rPr>
        <w:fldChar w:fldCharType="begin">
          <w:fldData xml:space="preserve">PEVuZE5vdGU+PENpdGU+PEF1dGhvcj5LcnVlZ2VyPC9BdXRob3I+PFllYXI+MjAxODwvWWVhcj48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</w:fldData>
        </w:fldChar>
      </w:r>
      <w:r w:rsidRPr="004D46AC">
        <w:rPr>
          <w:lang w:eastAsia="en-US"/>
        </w:rPr>
        <w:instrText xml:space="preserve"> ADDIN EN.CITE </w:instrText>
      </w:r>
      <w:r w:rsidRPr="004D46AC">
        <w:rPr>
          <w:lang w:eastAsia="en-US"/>
        </w:rPr>
        <w:fldChar w:fldCharType="begin">
          <w:fldData xml:space="preserve">PEVuZE5vdGU+PENpdGU+PEF1dGhvcj5LcnVlZ2VyPC9BdXRob3I+PFllYXI+MjAxODwvWWVhcj48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(Krueger et al., 2018)</w:t>
      </w:r>
      <w:r w:rsidRPr="004D46AC">
        <w:rPr>
          <w:lang w:eastAsia="en-US"/>
        </w:rPr>
        <w:fldChar w:fldCharType="end"/>
      </w:r>
      <w:r w:rsidRPr="004D46AC">
        <w:rPr>
          <w:lang w:eastAsia="en-US"/>
        </w:rPr>
        <w:t xml:space="preserve">. Clearly the present findings point to the importance of this development and, yet, as a caveat, it should be pointed out that recent philosophical treatments of natural classification systems have argued that we may have to abandon the idea that one system can be devised that will be fit for all purposes (in the case of psychiatric conditions, these main purposes are epidemiology and public health surveillance, disease mechanism discovery, and clinical prediction) </w:t>
      </w:r>
      <w:r w:rsidRPr="004D46AC">
        <w:rPr>
          <w:lang w:eastAsia="en-US"/>
        </w:rPr>
        <w:fldChar w:fldCharType="begin"/>
      </w:r>
      <w:r w:rsidRPr="004D46AC">
        <w:rPr>
          <w:lang w:eastAsia="en-US"/>
        </w:rPr>
        <w:instrText xml:space="preserve"> ADDIN EN.CITE &lt;EndNote&gt;&lt;Cite&gt;&lt;Author&gt;Dupré&lt;/Author&gt;&lt;Year&gt;2001&lt;/Year&gt;&lt;RecNum&gt;462&lt;/RecNum&gt;&lt;DisplayText&gt;(Dupré, 2001)&lt;/DisplayText&gt;&lt;record&gt;&lt;rec-number&gt;462&lt;/rec-number&gt;&lt;foreign-keys&gt;&lt;key app="EN" db-id="aet009sstawa0hewvt3xwf5atffdw2dt02sw" timestamp="1702571591"&gt;462&lt;/key&gt;&lt;/foreign-keys&gt;&lt;ref-type name="Journal Article"&gt;17&lt;/ref-type&gt;&lt;contributors&gt;&lt;authors&gt;&lt;author&gt;Dupré, John&lt;/author&gt;&lt;/authors&gt;&lt;/contributors&gt;&lt;titles&gt;&lt;title&gt;In defence of classification&lt;/title&gt;&lt;secondary-title&gt;Studies in History and Philosophy of Science Part C: Studies in History and Philosophy of Biological and Biomedical Sciences&lt;/secondary-title&gt;&lt;/titles&gt;&lt;periodical&gt;&lt;full-title&gt;Studies in History and Philosophy of Science Part C: Studies in History and Philosophy of Biological and Biomedical Sciences&lt;/full-title&gt;&lt;/periodical&gt;&lt;pages&gt;203-219&lt;/pages&gt;&lt;volume&gt;32&lt;/volume&gt;&lt;number&gt;2&lt;/number&gt;&lt;dates&gt;&lt;year&gt;2001&lt;/year&gt;&lt;/dates&gt;&lt;isbn&gt;1369-8486&lt;/isbn&gt;&lt;urls&gt;&lt;/urls&gt;&lt;/record&gt;&lt;/Cite&gt;&lt;/EndNote&gt;</w:instrText>
      </w:r>
      <w:r w:rsidRPr="004D46AC">
        <w:rPr>
          <w:lang w:eastAsia="en-US"/>
        </w:rPr>
        <w:fldChar w:fldCharType="separate"/>
      </w:r>
      <w:r w:rsidRPr="004D46AC">
        <w:rPr>
          <w:noProof/>
          <w:lang w:eastAsia="en-US"/>
        </w:rPr>
        <w:t>(Dupré, 2001)</w:t>
      </w:r>
      <w:r w:rsidRPr="004D46AC">
        <w:rPr>
          <w:lang w:eastAsia="en-US"/>
        </w:rPr>
        <w:fldChar w:fldCharType="end"/>
      </w:r>
      <w:r w:rsidRPr="004D46AC">
        <w:rPr>
          <w:lang w:eastAsia="en-US"/>
        </w:rPr>
        <w:t>; the alternative is to adopt a ‘promiscuous realism’ which recognises that any system is likely to have limitations and may be better suited to some purposes rather than others.</w:t>
      </w:r>
    </w:p>
    <w:p w14:paraId="0B9AC6F2" w14:textId="77777777" w:rsidR="003D5CB6" w:rsidRPr="004D46AC" w:rsidRDefault="003D5CB6" w:rsidP="00B518F1">
      <w:pPr>
        <w:rPr>
          <w:rFonts w:eastAsiaTheme="minorEastAsia"/>
        </w:rPr>
      </w:pPr>
      <w:r w:rsidRPr="004D46AC">
        <w:rPr>
          <w:lang w:eastAsia="en-US"/>
        </w:rPr>
        <w:t xml:space="preserve">Attempts to resolve issues of psychiatric taxonomy can, to some extent, be addressed by focusing on causal factors. In the introduction, we highlighted that a considerable literature exists pointing to common aetiological and disease mechanisms in psychosis and bipolar disorder, including shared genetic architecture </w:t>
      </w:r>
      <w:r w:rsidRPr="004D46AC">
        <w:rPr>
          <w:lang w:eastAsia="en-US"/>
        </w:rPr>
        <w:fldChar w:fldCharType="begin">
          <w:fldData xml:space="preserve">PEVuZE5vdGU+PENpdGU+PEF1dGhvcj5CaWdkZWxpPC9BdXRob3I+PFllYXI+MjAyMTwvWWVhcj48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</w:fldData>
        </w:fldChar>
      </w:r>
      <w:r w:rsidRPr="004D46AC">
        <w:rPr>
          <w:lang w:eastAsia="en-US"/>
        </w:rPr>
        <w:instrText xml:space="preserve"> ADDIN EN.CITE </w:instrText>
      </w:r>
      <w:r w:rsidRPr="004D46AC">
        <w:rPr>
          <w:lang w:eastAsia="en-US"/>
        </w:rPr>
        <w:fldChar w:fldCharType="begin">
          <w:fldData xml:space="preserve">PEVuZE5vdGU+PENpdGU+PEF1dGhvcj5CaWdkZWxpPC9BdXRob3I+PFllYXI+MjAyMTwvWWVhcj48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(Bigdeli et al., 2021)</w:t>
      </w:r>
      <w:r w:rsidRPr="004D46AC">
        <w:rPr>
          <w:lang w:eastAsia="en-US"/>
        </w:rPr>
        <w:fldChar w:fldCharType="end"/>
      </w:r>
      <w:r w:rsidRPr="004D46AC">
        <w:rPr>
          <w:lang w:eastAsia="en-US"/>
        </w:rPr>
        <w:t xml:space="preserve">, </w:t>
      </w:r>
      <w:r w:rsidRPr="004D46AC">
        <w:rPr>
          <w:lang w:eastAsia="en-US"/>
        </w:rPr>
        <w:lastRenderedPageBreak/>
        <w:t xml:space="preserve">psychosocial risk factors such as childhood trauma </w:t>
      </w:r>
      <w:r w:rsidRPr="004D46AC">
        <w:rPr>
          <w:lang w:eastAsia="en-US"/>
        </w:rPr>
        <w:fldChar w:fldCharType="begin">
          <w:fldData xml:space="preserve">PEVuZE5vdGU+PENpdGU+PEF1dGhvcj5WYXJlc2U8L0F1dGhvcj48WWVhcj4yMDEyPC9ZZWFyPjxS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</w:fldData>
        </w:fldChar>
      </w:r>
      <w:r w:rsidRPr="004D46AC">
        <w:rPr>
          <w:lang w:eastAsia="en-US"/>
        </w:rPr>
        <w:instrText xml:space="preserve"> ADDIN EN.CITE </w:instrText>
      </w:r>
      <w:r w:rsidRPr="004D46AC">
        <w:rPr>
          <w:lang w:eastAsia="en-US"/>
        </w:rPr>
        <w:fldChar w:fldCharType="begin">
          <w:fldData xml:space="preserve">PEVuZE5vdGU+PENpdGU+PEF1dGhvcj5WYXJlc2U8L0F1dGhvcj48WWVhcj4yMDEyPC9ZZWFyPjxS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(Palmier-Claus et al., 2016; Varese et al., 2012)</w:t>
      </w:r>
      <w:r w:rsidRPr="004D46AC">
        <w:rPr>
          <w:lang w:eastAsia="en-US"/>
        </w:rPr>
        <w:fldChar w:fldCharType="end"/>
      </w:r>
      <w:r w:rsidRPr="004D46AC">
        <w:rPr>
          <w:lang w:eastAsia="en-US"/>
        </w:rPr>
        <w:t xml:space="preserve">, and neurobiological processes </w:t>
      </w:r>
      <w:r w:rsidRPr="004D46AC">
        <w:rPr>
          <w:lang w:eastAsia="en-US"/>
        </w:rPr>
        <w:fldChar w:fldCharType="begin">
          <w:fldData xml:space="preserve">PEVuZE5vdGU+PENpdGU+PEF1dGhvcj5DaGVuPC9BdXRob3I+PFllYXI+MjAyMTwvWWVhcj48UmVj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</w:fldData>
        </w:fldChar>
      </w:r>
      <w:r w:rsidRPr="004D46AC">
        <w:rPr>
          <w:lang w:eastAsia="en-US"/>
        </w:rPr>
        <w:instrText xml:space="preserve"> ADDIN EN.CITE </w:instrText>
      </w:r>
      <w:r w:rsidRPr="004D46AC">
        <w:rPr>
          <w:lang w:eastAsia="en-US"/>
        </w:rPr>
        <w:fldChar w:fldCharType="begin">
          <w:fldData xml:space="preserve">PEVuZE5vdGU+PENpdGU+PEF1dGhvcj5DaGVuPC9BdXRob3I+PFllYXI+MjAyMTwvWWVhcj48UmVj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(Chen et al., 2021)</w:t>
      </w:r>
      <w:r w:rsidRPr="004D46AC">
        <w:rPr>
          <w:lang w:eastAsia="en-US"/>
        </w:rPr>
        <w:fldChar w:fldCharType="end"/>
      </w:r>
      <w:r w:rsidRPr="004D46AC">
        <w:rPr>
          <w:lang w:eastAsia="en-US"/>
        </w:rPr>
        <w:t xml:space="preserve">. Research in psychosis suggests that there may be some specificity for different kinds of social risk factors and specific symptoms </w:t>
      </w:r>
      <w:r w:rsidRPr="004D46AC">
        <w:rPr>
          <w:lang w:eastAsia="en-US"/>
        </w:rPr>
        <w:fldChar w:fldCharType="begin"/>
      </w:r>
      <w:r w:rsidRPr="004D46AC">
        <w:rPr>
          <w:lang w:eastAsia="en-US"/>
        </w:rPr>
        <w:instrText xml:space="preserve"> ADDIN EN.CITE &lt;EndNote&gt;&lt;Cite&gt;&lt;Author&gt;Bentall&lt;/Author&gt;&lt;Year&gt;2014&lt;/Year&gt;&lt;RecNum&gt;463&lt;/RecNum&gt;&lt;DisplayText&gt;(Bentall et al., 2014)&lt;/DisplayText&gt;&lt;record&gt;&lt;rec-number&gt;463&lt;/rec-number&gt;&lt;foreign-keys&gt;&lt;key app="EN" db-id="aet009sstawa0hewvt3xwf5atffdw2dt02sw" timestamp="1702571891"&gt;463&lt;/key&gt;&lt;/foreign-keys&gt;&lt;ref-type name="Journal Article"&gt;17&lt;/ref-type&gt;&lt;contributors&gt;&lt;authors&gt;&lt;author&gt;Bentall, R. P.&lt;/author&gt;&lt;author&gt;de Sousa, P.&lt;/author&gt;&lt;author&gt;Varese, F.&lt;/author&gt;&lt;author&gt;Wickham, S.&lt;/author&gt;&lt;author&gt;Sitko, K.&lt;/author&gt;&lt;author&gt;Haarmans, M.&lt;/author&gt;&lt;author&gt;Read, J.&lt;/author&gt;&lt;/authors&gt;&lt;/contributors&gt;&lt;auth-address&gt;University of Liverpool, Liverpool, UK, richard.bentall@liverpool.ac.uk.&lt;/auth-address&gt;&lt;titles&gt;&lt;title&gt;From adversity to psychosis: pathways and mechanisms from specific adversities to specific symptoms&lt;/title&gt;&lt;secondary-title&gt;Soc Psychiatry Psychiatr Epidemiol&lt;/secondary-title&gt;&lt;/titles&gt;&lt;periodical&gt;&lt;full-title&gt;Soc Psychiatry Psychiatr Epidemiol&lt;/full-title&gt;&lt;/periodical&gt;&lt;pages&gt;1011-22&lt;/pages&gt;&lt;volume&gt;49&lt;/volume&gt;&lt;number&gt;7&lt;/number&gt;&lt;edition&gt;20140612&lt;/edition&gt;&lt;keywords&gt;&lt;keyword&gt;Delusions/etiology/psychology&lt;/keyword&gt;&lt;keyword&gt;Environment&lt;/keyword&gt;&lt;keyword&gt;Hallucinations/etiology/psychology&lt;/keyword&gt;&lt;keyword&gt;Humans&lt;/keyword&gt;&lt;keyword&gt;Psychotic Disorders/*etiology/*psychology&lt;/keyword&gt;&lt;keyword&gt;Risk Factors&lt;/keyword&gt;&lt;keyword&gt;Stress, Psychological&lt;/keyword&gt;&lt;/keywords&gt;&lt;dates&gt;&lt;year&gt;2014&lt;/year&gt;&lt;pub-dates&gt;&lt;date&gt;Jul&lt;/date&gt;&lt;/pub-dates&gt;&lt;/dates&gt;&lt;isbn&gt;1433-9285 (Electronic)&amp;#xD;0933-7954 (Linking)&lt;/isbn&gt;&lt;accession-num&gt;24919446&lt;/accession-num&gt;&lt;urls&gt;&lt;related-urls&gt;&lt;url&gt;https://www.ncbi.nlm.nih.gov/pubmed/24919446&lt;/url&gt;&lt;/related-urls&gt;&lt;/urls&gt;&lt;electronic-resource-num&gt;10.1007/s00127-014-0914-0&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(Bentall et al., 2014)</w:t>
      </w:r>
      <w:r w:rsidRPr="004D46AC">
        <w:rPr>
          <w:lang w:eastAsia="en-US"/>
        </w:rPr>
        <w:fldChar w:fldCharType="end"/>
      </w:r>
      <w:r w:rsidRPr="004D46AC">
        <w:rPr>
          <w:lang w:eastAsia="en-US"/>
        </w:rPr>
        <w:t xml:space="preserve"> and it is possible that a similar kind of specificity will be found for some biological factors. This observation highlights the potential value of investigating mechanisms involved in the psychotic symptoms experienced by bipolar patients. Psychological research on delusions has placed considerable emphasis on emotional processes </w:t>
      </w:r>
      <w:r w:rsidRPr="004D46AC">
        <w:rPr>
          <w:lang w:eastAsia="en-US"/>
        </w:rPr>
        <w:fldChar w:fldCharType="begin"/>
      </w:r>
      <w:r w:rsidRPr="004D46AC">
        <w:rPr>
          <w:lang w:eastAsia="en-US"/>
        </w:rPr>
        <w:instrText xml:space="preserve"> ADDIN EN.CITE &lt;EndNote&gt;&lt;Cite&gt;&lt;Author&gt;Freeman&lt;/Author&gt;&lt;Year&gt;2003&lt;/Year&gt;&lt;RecNum&gt;464&lt;/RecNum&gt;&lt;DisplayText&gt;(Freeman &amp;amp; Garety, 2003)&lt;/DisplayText&gt;&lt;record&gt;&lt;rec-number&gt;464&lt;/rec-number&gt;&lt;foreign-keys&gt;&lt;key app="EN" db-id="aet009sstawa0hewvt3xwf5atffdw2dt02sw" timestamp="1702571959"&gt;464&lt;/key&gt;&lt;/foreign-keys&gt;&lt;ref-type name="Journal Article"&gt;17&lt;/ref-type&gt;&lt;contributors&gt;&lt;authors&gt;&lt;author&gt;Freeman, D.&lt;/author&gt;&lt;author&gt;Garety, P. A.&lt;/author&gt;&lt;/authors&gt;&lt;/contributors&gt;&lt;auth-address&gt;Department of Psychology, Institute of Psychiatry, King&amp;apos;s College London, University of London, Denmark Hill, London SE5 8AF, UK. d.freeman@iop.kcl.ac.uk&lt;/auth-address&gt;&lt;titles&gt;&lt;title&gt;Connecting neurosis and psychosis: the direct influence of emotion on delusions and hallucinations&lt;/title&gt;&lt;secondary-title&gt;Behav Res Ther&lt;/secondary-title&gt;&lt;/titles&gt;&lt;pages&gt;923-47&lt;/pages&gt;&lt;volume&gt;41&lt;/volume&gt;&lt;number&gt;8&lt;/number&gt;&lt;keywords&gt;&lt;keyword&gt;Delusions/*psychology&lt;/keyword&gt;&lt;keyword&gt;*Emotions&lt;/keyword&gt;&lt;keyword&gt;Hallucinations/*psychology&lt;/keyword&gt;&lt;keyword&gt;Humans&lt;/keyword&gt;&lt;keyword&gt;Neurotic Disorders/classification/psychology&lt;/keyword&gt;&lt;keyword&gt;Psychotic Disorders/classification/psychology&lt;/keyword&gt;&lt;keyword&gt;Schizophrenic Psychology&lt;/keyword&gt;&lt;/keywords&gt;&lt;dates&gt;&lt;year&gt;2003&lt;/year&gt;&lt;pub-dates&gt;&lt;date&gt;Aug&lt;/date&gt;&lt;/pub-dates&gt;&lt;/dates&gt;&lt;isbn&gt;0005-7967 (Print)&amp;#xD;0005-7967 (Linking)&lt;/isbn&gt;&lt;accession-num&gt;12880647&lt;/accession-num&gt;&lt;urls&gt;&lt;related-urls&gt;&lt;url&gt;https://www.ncbi.nlm.nih.gov/pubmed/12880647&lt;/url&gt;&lt;/related-urls&gt;&lt;/urls&gt;&lt;electronic-resource-num&gt;10.1016/s0005-7967(02)00104-3&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(Freeman &amp; Garety, 2003)</w:t>
      </w:r>
      <w:r w:rsidRPr="004D46AC">
        <w:rPr>
          <w:lang w:eastAsia="en-US"/>
        </w:rPr>
        <w:fldChar w:fldCharType="end"/>
      </w:r>
      <w:r w:rsidRPr="004D46AC">
        <w:rPr>
          <w:lang w:eastAsia="en-US"/>
        </w:rPr>
        <w:t xml:space="preserve"> but this work has mostly focused on paranoia, and grandiosity has been relatively neglected </w:t>
      </w:r>
      <w:r w:rsidRPr="004D46AC">
        <w:rPr>
          <w:lang w:eastAsia="en-US"/>
        </w:rPr>
        <w:fldChar w:fldCharType="begin"/>
      </w:r>
      <w:r w:rsidRPr="004D46AC">
        <w:rPr>
          <w:lang w:eastAsia="en-US"/>
        </w:rPr>
        <w:instrText xml:space="preserve"> ADDIN EN.CITE &lt;EndNote&gt;&lt;Cite&gt;&lt;Author&gt;Knowles&lt;/Author&gt;&lt;Year&gt;2011&lt;/Year&gt;&lt;RecNum&gt;465&lt;/RecNum&gt;&lt;DisplayText&gt;(Knowles et al., 2011)&lt;/DisplayText&gt;&lt;record&gt;&lt;rec-number&gt;465&lt;/rec-number&gt;&lt;foreign-keys&gt;&lt;key app="EN" db-id="aet009sstawa0hewvt3xwf5atffdw2dt02sw" timestamp="1702572049"&gt;465&lt;/key&gt;&lt;/foreign-keys&gt;&lt;ref-type name="Journal Article"&gt;17&lt;/ref-type&gt;&lt;contributors&gt;&lt;authors&gt;&lt;author&gt;Knowles, R.&lt;/author&gt;&lt;author&gt;McCarthy-Jones, S.&lt;/author&gt;&lt;author&gt;Rowse, G.&lt;/author&gt;&lt;/authors&gt;&lt;/contributors&gt;&lt;auth-address&gt;University of Sheffield, UK. r.knowles@sheffield.ac.uk&lt;/auth-address&gt;&lt;titles&gt;&lt;title&gt;Grandiose delusions: a review and theoretical integration of cognitive and affective perspectives&lt;/title&gt;&lt;secondary-title&gt;Clin Psychol Rev&lt;/secondary-title&gt;&lt;/titles&gt;&lt;periodical&gt;&lt;full-title&gt;Clin Psychol Rev&lt;/full-title&gt;&lt;/periodical&gt;&lt;pages&gt;684-96&lt;/pages&gt;&lt;volume&gt;31&lt;/volume&gt;&lt;number&gt;4&lt;/number&gt;&lt;edition&gt;20110305&lt;/edition&gt;&lt;keywords&gt;&lt;keyword&gt;*Affect&lt;/keyword&gt;&lt;keyword&gt;*Cognition&lt;/keyword&gt;&lt;keyword&gt;Delusions/*epidemiology/*psychology&lt;/keyword&gt;&lt;keyword&gt;Humans&lt;/keyword&gt;&lt;keyword&gt;Prevalence&lt;/keyword&gt;&lt;keyword&gt;Thinking&lt;/keyword&gt;&lt;/keywords&gt;&lt;dates&gt;&lt;year&gt;2011&lt;/year&gt;&lt;pub-dates&gt;&lt;date&gt;Jun&lt;/date&gt;&lt;/pub-dates&gt;&lt;/dates&gt;&lt;isbn&gt;1873-7811 (Electronic)&amp;#xD;0272-7358 (Linking)&lt;/isbn&gt;&lt;accession-num&gt;21482326&lt;/accession-num&gt;&lt;urls&gt;&lt;related-urls&gt;&lt;url&gt;https://www.ncbi.nlm.nih.gov/pubmed/21482326&lt;/url&gt;&lt;/related-urls&gt;&lt;/urls&gt;&lt;electronic-resource-num&gt;10.1016/j.cpr.2011.02.009&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(Knowles et al., 2011)</w:t>
      </w:r>
      <w:r w:rsidRPr="004D46AC">
        <w:rPr>
          <w:lang w:eastAsia="en-US"/>
        </w:rPr>
        <w:fldChar w:fldCharType="end"/>
      </w:r>
      <w:r w:rsidRPr="004D46AC">
        <w:rPr>
          <w:lang w:eastAsia="en-US"/>
        </w:rPr>
        <w:t xml:space="preserve">. A few studies focusing on grandiosity in schizophrenia patients have emphasized the role of motivation to find purpose in life </w:t>
      </w:r>
      <w:r w:rsidRPr="004D46AC">
        <w:rPr>
          <w:lang w:eastAsia="en-US"/>
        </w:rPr>
        <w:fldChar w:fldCharType="begin">
          <w:fldData xml:space="preserve">PEVuZE5vdGU+PENpdGU+PEF1dGhvcj5Jc2hhbTwvQXV0aG9yPjxZZWFyPjIwMjI8L1llYXI+PFJl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</w:fldData>
        </w:fldChar>
      </w:r>
      <w:r w:rsidRPr="004D46AC">
        <w:rPr>
          <w:lang w:eastAsia="en-US"/>
        </w:rPr>
        <w:instrText xml:space="preserve"> ADDIN EN.CITE </w:instrText>
      </w:r>
      <w:r w:rsidRPr="004D46AC">
        <w:rPr>
          <w:lang w:eastAsia="en-US"/>
        </w:rPr>
        <w:fldChar w:fldCharType="begin">
          <w:fldData xml:space="preserve">PEVuZE5vdGU+PENpdGU+PEF1dGhvcj5Jc2hhbTwvQXV0aG9yPjxZZWFyPjIwMjI8L1llYXI+PFJl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(Isham et al., 2022)</w:t>
      </w:r>
      <w:r w:rsidRPr="004D46AC">
        <w:rPr>
          <w:lang w:eastAsia="en-US"/>
        </w:rPr>
        <w:fldChar w:fldCharType="end"/>
      </w:r>
      <w:r w:rsidRPr="004D46AC">
        <w:rPr>
          <w:lang w:eastAsia="en-US"/>
        </w:rPr>
        <w:t xml:space="preserve"> and, in future studies, it might be fruitful to explore how this relates to reward sensitivity </w:t>
      </w:r>
      <w:r w:rsidRPr="004D46AC">
        <w:rPr>
          <w:lang w:eastAsia="en-US"/>
        </w:rPr>
        <w:fldChar w:fldCharType="begin"/>
      </w:r>
      <w:r w:rsidRPr="004D46AC">
        <w:rPr>
          <w:lang w:eastAsia="en-US"/>
        </w:rPr>
        <w:instrText xml:space="preserve"> ADDIN EN.CITE &lt;EndNote&gt;&lt;Cite&gt;&lt;Author&gt;Alloy&lt;/Author&gt;&lt;Year&gt;2015&lt;/Year&gt;&lt;RecNum&gt;468&lt;/RecNum&gt;&lt;DisplayText&gt;(Alloy et al., 2015)&lt;/DisplayText&gt;&lt;record&gt;&lt;rec-number&gt;468&lt;/rec-number&gt;&lt;foreign-keys&gt;&lt;key app="EN" db-id="aet009sstawa0hewvt3xwf5atffdw2dt02sw" timestamp="1702572402"&gt;468&lt;/key&gt;&lt;/foreign-keys&gt;&lt;ref-type name="Journal Article"&gt;17&lt;/ref-type&gt;&lt;contributors&gt;&lt;authors&gt;&lt;author&gt;Alloy, L. B.&lt;/author&gt;&lt;author&gt;Nusslock, R.&lt;/author&gt;&lt;author&gt;Boland, E. M.&lt;/author&gt;&lt;/authors&gt;&lt;/contributors&gt;&lt;auth-address&gt;Department of Psychology, Temple University, Philadelphia, Pennsylvania 19122; email: lalloy@temple.edu , elaine.boland@temple.edu.&lt;/auth-address&gt;&lt;titles&gt;&lt;title&gt;The development and course of bipolar spectrum disorders: an integrated reward and circadian rhythm dysregulation model&lt;/title&gt;&lt;secondary-title&gt;Annu Rev Clin Psychol&lt;/secondary-title&gt;&lt;/titles&gt;&lt;periodical&gt;&lt;full-title&gt;Annu Rev Clin Psychol&lt;/full-title&gt;&lt;/periodical&gt;&lt;pages&gt;213-50&lt;/pages&gt;&lt;volume&gt;11&lt;/volume&gt;&lt;edition&gt;20150112&lt;/edition&gt;&lt;keywords&gt;&lt;keyword&gt;Bipolar Disorder/*etiology/physiopathology/psychology&lt;/keyword&gt;&lt;keyword&gt;Chronobiology Disorders/complications/*psychology&lt;/keyword&gt;&lt;keyword&gt;Cognition&lt;/keyword&gt;&lt;keyword&gt;Humans&lt;/keyword&gt;&lt;keyword&gt;Models, Psychological&lt;/keyword&gt;&lt;keyword&gt;Personality&lt;/keyword&gt;&lt;keyword&gt;Reward&lt;/keyword&gt;&lt;keyword&gt;bipolar spectrum disorder&lt;/keyword&gt;&lt;keyword&gt;circadian rhythms&lt;/keyword&gt;&lt;keyword&gt;reward sensitivity&lt;/keyword&gt;&lt;keyword&gt;social rhythms&lt;/keyword&gt;&lt;/keywords&gt;&lt;dates&gt;&lt;year&gt;2015&lt;/year&gt;&lt;/dates&gt;&lt;isbn&gt;1548-5951 (Electronic)&amp;#xD;1548-5943 (Print)&amp;#xD;1548-5943 (Linking)&lt;/isbn&gt;&lt;accession-num&gt;25581235&lt;/accession-num&gt;&lt;urls&gt;&lt;related-urls&gt;&lt;url&gt;https://www.ncbi.nlm.nih.gov/pubmed/25581235&lt;/url&gt;&lt;/related-urls&gt;&lt;/urls&gt;&lt;custom2&gt;PMC4380533&lt;/custom2&gt;&lt;electronic-resource-num&gt;10.1146/annurev-clinpsy-032814-112902&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(Alloy et al., 2015)</w:t>
      </w:r>
      <w:r w:rsidRPr="004D46AC">
        <w:rPr>
          <w:lang w:eastAsia="en-US"/>
        </w:rPr>
        <w:fldChar w:fldCharType="end"/>
      </w:r>
      <w:r w:rsidRPr="004D46AC">
        <w:rPr>
          <w:lang w:eastAsia="en-US"/>
        </w:rPr>
        <w:t xml:space="preserve"> and the high goal motivation </w:t>
      </w:r>
      <w:r w:rsidRPr="004D46AC">
        <w:rPr>
          <w:lang w:eastAsia="en-US"/>
        </w:rPr>
        <w:fldChar w:fldCharType="begin"/>
      </w:r>
      <w:r w:rsidRPr="004D46AC">
        <w:rPr>
          <w:lang w:eastAsia="en-US"/>
        </w:rPr>
        <w:instrText xml:space="preserve"> ADDIN EN.CITE &lt;EndNote&gt;&lt;Cite&gt;&lt;Author&gt;Johnson&lt;/Author&gt;&lt;Year&gt;2005&lt;/Year&gt;&lt;RecNum&gt;469&lt;/RecNum&gt;&lt;DisplayText&gt;(Johnson, 2005)&lt;/DisplayText&gt;&lt;record&gt;&lt;rec-number&gt;469&lt;/rec-number&gt;&lt;foreign-keys&gt;&lt;key app="EN" db-id="aet009sstawa0hewvt3xwf5atffdw2dt02sw" timestamp="1702572428"&gt;469&lt;/key&gt;&lt;/foreign-keys&gt;&lt;ref-type name="Journal Article"&gt;17&lt;/ref-type&gt;&lt;contributors&gt;&lt;authors&gt;&lt;author&gt;Johnson, S. L.&lt;/author&gt;&lt;/authors&gt;&lt;/contributors&gt;&lt;auth-address&gt;Flipse Building Fifth Floor, Department of Psychology, University of Miami, 5665 Ponce de Leon Blvd., Coral Gables, Fl 33146, USA. Sjohnson@miami.edu&lt;/auth-address&gt;&lt;titles&gt;&lt;title&gt;Mania and dysregulation in goal pursuit: a review&lt;/title&gt;&lt;secondary-title&gt;Clin Psychol Rev&lt;/secondary-title&gt;&lt;/titles&gt;&lt;periodical&gt;&lt;full-title&gt;Clin Psychol Rev&lt;/full-title&gt;&lt;/periodical&gt;&lt;pages&gt;241-62&lt;/pages&gt;&lt;volume&gt;25&lt;/volume&gt;&lt;number&gt;2&lt;/number&gt;&lt;edition&gt;20041228&lt;/edition&gt;&lt;keywords&gt;&lt;keyword&gt;*Achievement&lt;/keyword&gt;&lt;keyword&gt;Bipolar Disorder/*psychology&lt;/keyword&gt;&lt;keyword&gt;*Goals&lt;/keyword&gt;&lt;keyword&gt;Humans&lt;/keyword&gt;&lt;keyword&gt;*Motivation&lt;/keyword&gt;&lt;/keywords&gt;&lt;dates&gt;&lt;year&gt;2005&lt;/year&gt;&lt;pub-dates&gt;&lt;date&gt;Feb&lt;/date&gt;&lt;/pub-dates&gt;&lt;/dates&gt;&lt;isbn&gt;0272-7358 (Print)&amp;#xD;1873-7811 (Electronic)&amp;#xD;0272-7358 (Linking)&lt;/isbn&gt;&lt;accession-num&gt;15642648&lt;/accession-num&gt;&lt;urls&gt;&lt;related-urls&gt;&lt;url&gt;https://www.ncbi.nlm.nih.gov/pubmed/15642648&lt;/url&gt;&lt;/related-urls&gt;&lt;/urls&gt;&lt;custom2&gt;PMC2847498&lt;/custom2&gt;&lt;electronic-resource-num&gt;10.1016/j.cpr.2004.11.002&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(Johnson, 2005)</w:t>
      </w:r>
      <w:r w:rsidRPr="004D46AC">
        <w:rPr>
          <w:lang w:eastAsia="en-US"/>
        </w:rPr>
        <w:fldChar w:fldCharType="end"/>
      </w:r>
      <w:r w:rsidRPr="004D46AC">
        <w:rPr>
          <w:lang w:eastAsia="en-US"/>
        </w:rPr>
        <w:t xml:space="preserve"> observed in bipolar patients. Very little is known about hallucinations in bipolar patients but, in patients diagnosed with schizophrenia, it is thought that they are the consequence of a failure of source monitoring mechanisms which allow individuals to distinguish between their own mental events and external stimuli </w:t>
      </w:r>
      <w:r w:rsidRPr="004D46AC">
        <w:rPr>
          <w:lang w:eastAsia="en-US"/>
        </w:rPr>
        <w:fldChar w:fldCharType="begin"/>
      </w:r>
      <w:r w:rsidRPr="004D46AC">
        <w:rPr>
          <w:lang w:eastAsia="en-US"/>
        </w:rPr>
        <w:instrText xml:space="preserve"> ADDIN EN.CITE &lt;EndNote&gt;&lt;Cite&gt;&lt;Author&gt;Brookwell&lt;/Author&gt;&lt;Year&gt;2013&lt;/Year&gt;&lt;RecNum&gt;467&lt;/RecNum&gt;&lt;DisplayText&gt;(Brookwell et al., 2013)&lt;/DisplayText&gt;&lt;record&gt;&lt;rec-number&gt;467&lt;/rec-number&gt;&lt;foreign-keys&gt;&lt;key app="EN" db-id="aet009sstawa0hewvt3xwf5atffdw2dt02sw" timestamp="1702572351"&gt;467&lt;/key&gt;&lt;/foreign-keys&gt;&lt;ref-type name="Journal Article"&gt;17&lt;/ref-type&gt;&lt;contributors&gt;&lt;authors&gt;&lt;author&gt;Brookwell, M. L.&lt;/author&gt;&lt;author&gt;Bentall, R. P.&lt;/author&gt;&lt;author&gt;Varese, F.&lt;/author&gt;&lt;/authors&gt;&lt;/contributors&gt;&lt;auth-address&gt;School of Psychology, Bangor University, Bangor, Gwynedd, UK.&lt;/auth-address&gt;&lt;titles&gt;&lt;title&gt;Externalizing biases and hallucinations in source-monitoring, self-monitoring and signal detection studies: a meta-analytic review&lt;/title&gt;&lt;secondary-title&gt;Psychol Med&lt;/secondary-title&gt;&lt;/titles&gt;&lt;periodical&gt;&lt;full-title&gt;Psychol Med&lt;/full-title&gt;&lt;/periodical&gt;&lt;pages&gt;2465-75&lt;/pages&gt;&lt;volume&gt;43&lt;/volume&gt;&lt;number&gt;12&lt;/number&gt;&lt;edition&gt;20130102&lt;/edition&gt;&lt;keywords&gt;&lt;keyword&gt;Executive Function/*physiology&lt;/keyword&gt;&lt;keyword&gt;Hallucinations/*physiopathology&lt;/keyword&gt;&lt;keyword&gt;Humans&lt;/keyword&gt;&lt;keyword&gt;*Self Concept&lt;/keyword&gt;&lt;keyword&gt;Signal Detection, Psychological/*physiology&lt;/keyword&gt;&lt;/keywords&gt;&lt;dates&gt;&lt;year&gt;2013&lt;/year&gt;&lt;pub-dates&gt;&lt;date&gt;Dec&lt;/date&gt;&lt;/pub-dates&gt;&lt;/dates&gt;&lt;isbn&gt;1469-8978 (Electronic)&amp;#xD;0033-2917 (Linking)&lt;/isbn&gt;&lt;accession-num&gt;23282942&lt;/accession-num&gt;&lt;urls&gt;&lt;related-urls&gt;&lt;url&gt;https://www.ncbi.nlm.nih.gov/pubmed/23282942&lt;/url&gt;&lt;/related-urls&gt;&lt;/urls&gt;&lt;electronic-resource-num&gt;10.1017/S0033291712002760&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(Brookwell et al., 2013)</w:t>
      </w:r>
      <w:r w:rsidRPr="004D46AC">
        <w:rPr>
          <w:lang w:eastAsia="en-US"/>
        </w:rPr>
        <w:fldChar w:fldCharType="end"/>
      </w:r>
      <w:r w:rsidRPr="004D46AC">
        <w:rPr>
          <w:lang w:eastAsia="en-US"/>
        </w:rPr>
        <w:t xml:space="preserve">. Thought disorder is probably the only psychotic symptom in which detailed comparisons have been made between schizophrenia and bipolar patients. In both the former </w:t>
      </w:r>
      <w:r w:rsidRPr="004D46AC">
        <w:rPr>
          <w:lang w:eastAsia="en-US"/>
        </w:rPr>
        <w:fldChar w:fldCharType="begin"/>
      </w:r>
      <w:r w:rsidRPr="004D46AC">
        <w:rPr>
          <w:lang w:eastAsia="en-US"/>
        </w:rPr>
        <w:instrText xml:space="preserve"> ADDIN EN.CITE &lt;EndNote&gt;&lt;Cite&gt;&lt;Author&gt;Haddock&lt;/Author&gt;&lt;Year&gt;1995&lt;/Year&gt;&lt;RecNum&gt;471&lt;/RecNum&gt;&lt;DisplayText&gt;(Haddock et al., 1995)&lt;/DisplayText&gt;&lt;record&gt;&lt;rec-number&gt;471&lt;/rec-number&gt;&lt;foreign-keys&gt;&lt;key app="EN" db-id="aet009sstawa0hewvt3xwf5atffdw2dt02sw" timestamp="1702572500"&gt;471&lt;/key&gt;&lt;/foreign-keys&gt;&lt;ref-type name="Journal Article"&gt;17&lt;/ref-type&gt;&lt;contributors&gt;&lt;authors&gt;&lt;author&gt;Haddock, G.&lt;/author&gt;&lt;author&gt;Wolfenden, M.&lt;/author&gt;&lt;author&gt;Lowens, I.&lt;/author&gt;&lt;author&gt;Tarrier, N.&lt;/author&gt;&lt;author&gt;Bentall, R. P.&lt;/author&gt;&lt;/authors&gt;&lt;/contributors&gt;&lt;auth-address&gt;Department of Clinical Psychology, University Hospital of South Manchester, West Didsbury.&lt;/auth-address&gt;&lt;titles&gt;&lt;title&gt;Effect of emotional salience on thought disorder in patients with schizophrenia&lt;/title&gt;&lt;secondary-title&gt;Br J Psychiatry&lt;/secondary-title&gt;&lt;/titles&gt;&lt;periodical&gt;&lt;full-title&gt;Br J Psychiatry&lt;/full-title&gt;&lt;/periodical&gt;&lt;pages&gt;618-20&lt;/pages&gt;&lt;volume&gt;167&lt;/volume&gt;&lt;number&gt;5&lt;/number&gt;&lt;keywords&gt;&lt;keyword&gt;Adult&lt;/keyword&gt;&lt;keyword&gt;*Emotions&lt;/keyword&gt;&lt;keyword&gt;Female&lt;/keyword&gt;&lt;keyword&gt;Humans&lt;/keyword&gt;&lt;keyword&gt;Male&lt;/keyword&gt;&lt;keyword&gt;Middle Aged&lt;/keyword&gt;&lt;keyword&gt;Personality Assessment&lt;/keyword&gt;&lt;keyword&gt;Schizophrenia/*diagnosis&lt;/keyword&gt;&lt;keyword&gt;*Schizophrenic Language&lt;/keyword&gt;&lt;keyword&gt;*Schizophrenic Psychology&lt;/keyword&gt;&lt;keyword&gt;*Thinking&lt;/keyword&gt;&lt;keyword&gt;*Verbal Behavior&lt;/keyword&gt;&lt;/keywords&gt;&lt;dates&gt;&lt;year&gt;1995&lt;/year&gt;&lt;pub-dates&gt;&lt;date&gt;Nov&lt;/date&gt;&lt;/pub-dates&gt;&lt;/dates&gt;&lt;isbn&gt;0007-1250 (Print)&amp;#xD;0007-1250 (Linking)&lt;/isbn&gt;&lt;accession-num&gt;8564317&lt;/accession-num&gt;&lt;urls&gt;&lt;related-urls&gt;&lt;url&gt;https://www.ncbi.nlm.nih.gov/pubmed/8564317&lt;/url&gt;&lt;/related-urls&gt;&lt;/urls&gt;&lt;electronic-resource-num&gt;10.1192/bjp.167.5.618&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(Haddock et al., 1995)</w:t>
      </w:r>
      <w:r w:rsidRPr="004D46AC">
        <w:rPr>
          <w:lang w:eastAsia="en-US"/>
        </w:rPr>
        <w:fldChar w:fldCharType="end"/>
      </w:r>
      <w:r w:rsidRPr="004D46AC">
        <w:rPr>
          <w:lang w:eastAsia="en-US"/>
        </w:rPr>
        <w:t xml:space="preserve"> and the latter </w:t>
      </w:r>
      <w:r w:rsidRPr="004D46AC">
        <w:rPr>
          <w:lang w:eastAsia="en-US"/>
        </w:rPr>
        <w:fldChar w:fldCharType="begin"/>
      </w:r>
      <w:r w:rsidRPr="004D46AC">
        <w:rPr>
          <w:lang w:eastAsia="en-US"/>
        </w:rPr>
        <w:instrText xml:space="preserve"> ADDIN EN.CITE &lt;EndNote&gt;&lt;Cite&gt;&lt;Author&gt;Tai&lt;/Author&gt;&lt;Year&gt;2004&lt;/Year&gt;&lt;RecNum&gt;470&lt;/RecNum&gt;&lt;DisplayText&gt;(Tai et al., 2004)&lt;/DisplayText&gt;&lt;record&gt;&lt;rec-number&gt;470&lt;/rec-number&gt;&lt;foreign-keys&gt;&lt;key app="EN" db-id="aet009sstawa0hewvt3xwf5atffdw2dt02sw" timestamp="1702572488"&gt;470&lt;/key&gt;&lt;/foreign-keys&gt;&lt;ref-type name="Journal Article"&gt;17&lt;/ref-type&gt;&lt;contributors&gt;&lt;authors&gt;&lt;author&gt;Tai, S.&lt;/author&gt;&lt;author&gt;Haddock, G.&lt;/author&gt;&lt;author&gt;Bentall, R.&lt;/author&gt;&lt;/authors&gt;&lt;/contributors&gt;&lt;auth-address&gt;Department of Psychology, University of Manchester. mbrxssjt@psy.man.ac.uk&lt;/auth-address&gt;&lt;titles&gt;&lt;title&gt;The effects of emotional salience on thought disorder in patients with bipolar affective disorder&lt;/title&gt;&lt;secondary-title&gt;Psychol Med&lt;/secondary-title&gt;&lt;/titles&gt;&lt;periodical&gt;&lt;full-title&gt;Psychol Med&lt;/full-title&gt;&lt;/periodical&gt;&lt;pages&gt;803-9&lt;/pages&gt;&lt;volume&gt;34&lt;/volume&gt;&lt;number&gt;5&lt;/number&gt;&lt;keywords&gt;&lt;keyword&gt;Adult&lt;/keyword&gt;&lt;keyword&gt;*Affect&lt;/keyword&gt;&lt;keyword&gt;Bipolar Disorder/diagnosis/*epidemiology&lt;/keyword&gt;&lt;keyword&gt;Cognition Disorders/diagnosis/*epidemiology&lt;/keyword&gt;&lt;keyword&gt;Depressive Disorder, Major/diagnosis/epidemiology&lt;/keyword&gt;&lt;keyword&gt;Diagnostic and Statistical Manual of Mental Disorders&lt;/keyword&gt;&lt;keyword&gt;Female&lt;/keyword&gt;&lt;keyword&gt;Humans&lt;/keyword&gt;&lt;keyword&gt;Male&lt;/keyword&gt;&lt;keyword&gt;Middle Aged&lt;/keyword&gt;&lt;keyword&gt;Psychological Tests&lt;/keyword&gt;&lt;keyword&gt;*Thinking&lt;/keyword&gt;&lt;/keywords&gt;&lt;dates&gt;&lt;year&gt;2004&lt;/year&gt;&lt;pub-dates&gt;&lt;date&gt;Jul&lt;/date&gt;&lt;/pub-dates&gt;&lt;/dates&gt;&lt;isbn&gt;0033-2917 (Print)&amp;#xD;0033-2917 (Linking)&lt;/isbn&gt;&lt;accession-num&gt;15500301&lt;/accession-num&gt;&lt;urls&gt;&lt;related-urls&gt;&lt;url&gt;https://www.ncbi.nlm.nih.gov/pubmed/15500301&lt;/url&gt;&lt;/related-urls&gt;&lt;/urls&gt;&lt;electronic-resource-num&gt;10.1017/s003329170300117x&lt;/electronic-resource-num&gt;&lt;remote-database-name&gt;Medline&lt;/remote-database-name&gt;&lt;remote-database-provider&gt;NLM&lt;/remote-database-provider&gt;&lt;/record&gt;&lt;/Cite&gt;&lt;/EndNote&gt;</w:instrText>
      </w:r>
      <w:r w:rsidRPr="004D46AC">
        <w:rPr>
          <w:lang w:eastAsia="en-US"/>
        </w:rPr>
        <w:fldChar w:fldCharType="separate"/>
      </w:r>
      <w:r w:rsidRPr="004D46AC">
        <w:rPr>
          <w:noProof/>
          <w:lang w:eastAsia="en-US"/>
        </w:rPr>
        <w:t>(Tai et al., 2004)</w:t>
      </w:r>
      <w:r w:rsidRPr="004D46AC">
        <w:rPr>
          <w:lang w:eastAsia="en-US"/>
        </w:rPr>
        <w:fldChar w:fldCharType="end"/>
      </w:r>
      <w:r w:rsidRPr="004D46AC">
        <w:rPr>
          <w:lang w:eastAsia="en-US"/>
        </w:rPr>
        <w:t xml:space="preserve"> it has been shown that thought disorder is a speech production abnormality that is activated when high levels of emotion disrupt cognitive processing </w:t>
      </w:r>
      <w:r w:rsidRPr="004D46AC">
        <w:rPr>
          <w:lang w:eastAsia="en-US"/>
        </w:rPr>
        <w:fldChar w:fldCharType="begin">
          <w:fldData xml:space="preserve">PEVuZE5vdGU+PENpdGU+PEF1dGhvcj5kZSBTb3VzYTwvQXV0aG9yPjxZZWFyPjIwMTY8L1llYXI+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</w:fldData>
        </w:fldChar>
      </w:r>
      <w:r w:rsidRPr="004D46AC">
        <w:rPr>
          <w:lang w:eastAsia="en-US"/>
        </w:rPr>
        <w:instrText xml:space="preserve"> ADDIN EN.CITE </w:instrText>
      </w:r>
      <w:r w:rsidRPr="004D46AC">
        <w:rPr>
          <w:lang w:eastAsia="en-US"/>
        </w:rPr>
        <w:fldChar w:fldCharType="begin">
          <w:fldData xml:space="preserve">PEVuZE5vdGU+PENpdGU+PEF1dGhvcj5kZSBTb3VzYTwvQXV0aG9yPjxZZWFyPjIwMTY8L1llYXI+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</w:fldData>
        </w:fldChar>
      </w:r>
      <w:r w:rsidRPr="004D46AC">
        <w:rPr>
          <w:lang w:eastAsia="en-US"/>
        </w:rPr>
        <w:instrText xml:space="preserve"> ADDIN EN.CITE.DATA </w:instrText>
      </w:r>
      <w:r w:rsidRPr="004D46AC">
        <w:rPr>
          <w:lang w:eastAsia="en-US"/>
        </w:rPr>
      </w:r>
      <w:r w:rsidRPr="004D46AC">
        <w:rPr>
          <w:lang w:eastAsia="en-US"/>
        </w:rPr>
        <w:fldChar w:fldCharType="end"/>
      </w:r>
      <w:r w:rsidRPr="004D46AC">
        <w:rPr>
          <w:lang w:eastAsia="en-US"/>
        </w:rPr>
      </w:r>
      <w:r w:rsidRPr="004D46AC">
        <w:rPr>
          <w:lang w:eastAsia="en-US"/>
        </w:rPr>
        <w:fldChar w:fldCharType="separate"/>
      </w:r>
      <w:r w:rsidRPr="004D46AC">
        <w:rPr>
          <w:noProof/>
          <w:lang w:eastAsia="en-US"/>
        </w:rPr>
        <w:t>(de Sousa et al., 2016)</w:t>
      </w:r>
      <w:r w:rsidRPr="004D46AC">
        <w:rPr>
          <w:lang w:eastAsia="en-US"/>
        </w:rPr>
        <w:fldChar w:fldCharType="end"/>
      </w:r>
      <w:r w:rsidRPr="004D46AC">
        <w:rPr>
          <w:lang w:eastAsia="en-US"/>
        </w:rPr>
        <w:t>.</w:t>
      </w:r>
    </w:p>
    <w:p w14:paraId="4BCEDC66" w14:textId="77777777" w:rsidR="003D5CB6" w:rsidRPr="004D46AC" w:rsidRDefault="003D5CB6" w:rsidP="00B518F1">
      <w:pPr>
        <w:rPr>
          <w:rFonts w:eastAsiaTheme="minorEastAsia"/>
        </w:rPr>
      </w:pPr>
    </w:p>
    <w:p w14:paraId="59EA0E85" w14:textId="77777777" w:rsidR="003D5CB6" w:rsidRPr="004D46AC" w:rsidRDefault="003D5CB6" w:rsidP="00B518F1">
      <w:pPr>
        <w:rPr>
          <w:rFonts w:eastAsiaTheme="minorEastAsia"/>
        </w:rPr>
      </w:pPr>
    </w:p>
    <w:p w14:paraId="033BD984" w14:textId="77777777" w:rsidR="003D5CB6" w:rsidRPr="004D46AC" w:rsidRDefault="003D5CB6" w:rsidP="00B518F1">
      <w:pPr>
        <w:ind w:firstLine="0"/>
        <w:rPr>
          <w:rFonts w:eastAsiaTheme="minorEastAsia"/>
        </w:rPr>
      </w:pPr>
    </w:p>
    <w:p w14:paraId="1F797757" w14:textId="77777777" w:rsidR="0022744D" w:rsidRPr="004D46AC" w:rsidRDefault="0022744D" w:rsidP="00B518F1">
      <w:pPr>
        <w:ind w:firstLine="0"/>
        <w:rPr>
          <w:rFonts w:eastAsiaTheme="minorEastAsia"/>
        </w:rPr>
      </w:pPr>
    </w:p>
    <w:p w14:paraId="73F2D54E" w14:textId="77777777" w:rsidR="0022744D" w:rsidRPr="004D46AC" w:rsidRDefault="0022744D" w:rsidP="00B518F1">
      <w:pPr>
        <w:ind w:firstLine="0"/>
        <w:rPr>
          <w:rFonts w:eastAsiaTheme="minorEastAsia"/>
        </w:rPr>
      </w:pPr>
    </w:p>
    <w:p w14:paraId="2A143E39" w14:textId="77777777" w:rsidR="003D5CB6" w:rsidRPr="004D46AC" w:rsidRDefault="003D5CB6" w:rsidP="00B518F1">
      <w:pPr>
        <w:pStyle w:val="2"/>
      </w:pPr>
      <w:bookmarkStart w:id="115" w:name="_Toc219888765"/>
      <w:r w:rsidRPr="004D46AC">
        <w:lastRenderedPageBreak/>
        <w:t>Conclusion</w:t>
      </w:r>
      <w:bookmarkEnd w:id="115"/>
    </w:p>
    <w:p w14:paraId="5A647CD0" w14:textId="2E7DEEB1" w:rsidR="003D5CB6" w:rsidRPr="004D46AC" w:rsidRDefault="008F220B" w:rsidP="008F220B">
      <w:r w:rsidRPr="004D46AC">
        <w:rPr>
          <w:lang w:eastAsia="en-US"/>
        </w:rPr>
        <w:t xml:space="preserve">In conclusion, our findings point to considerable overlap between bipolar disorder and schizophrenia, both in terms of phenomenology and psychopathology. </w:t>
      </w:r>
      <w:r w:rsidR="008E2FAB" w:rsidRPr="004D46AC">
        <w:rPr>
          <w:lang w:eastAsia="en-US"/>
        </w:rPr>
        <w:t xml:space="preserve">However, questioning the established diagnostic boundaries between these two conditions requires caution. Validating such distinctions requires evidence from other dimensions of the illness, rather than relying solely on phenomenological and psychopathological findings. </w:t>
      </w:r>
      <w:r w:rsidRPr="004D46AC">
        <w:rPr>
          <w:lang w:eastAsia="en-US"/>
        </w:rPr>
        <w:t>Future research should explore comparisons between patients with the two diagnoses who experience the same symptoms and common symptom-causing processes, as well as their variations in longitudinal course.</w:t>
      </w:r>
    </w:p>
    <w:p w14:paraId="5C1514C6" w14:textId="77777777" w:rsidR="003D5CB6" w:rsidRPr="004D46AC" w:rsidRDefault="003D5CB6" w:rsidP="00B518F1">
      <w:pPr>
        <w:ind w:firstLine="0"/>
        <w:rPr>
          <w:rFonts w:eastAsiaTheme="minorEastAsia"/>
          <w:b/>
          <w:bCs/>
        </w:rPr>
      </w:pPr>
    </w:p>
    <w:p w14:paraId="2FCAC845" w14:textId="77777777" w:rsidR="003D5CB6" w:rsidRPr="004D46AC" w:rsidRDefault="003D5CB6" w:rsidP="00B518F1">
      <w:pPr>
        <w:ind w:firstLine="0"/>
        <w:rPr>
          <w:rFonts w:eastAsiaTheme="minorEastAsia"/>
          <w:b/>
          <w:bCs/>
        </w:rPr>
      </w:pPr>
    </w:p>
    <w:p w14:paraId="1171DED4" w14:textId="77777777" w:rsidR="003D5CB6" w:rsidRPr="004D46AC" w:rsidRDefault="003D5CB6" w:rsidP="00B518F1">
      <w:pPr>
        <w:ind w:firstLine="0"/>
        <w:rPr>
          <w:rFonts w:eastAsiaTheme="minorEastAsia"/>
          <w:b/>
          <w:bCs/>
        </w:rPr>
      </w:pPr>
    </w:p>
    <w:p w14:paraId="587E23BC" w14:textId="77777777" w:rsidR="003D5CB6" w:rsidRPr="004D46AC" w:rsidRDefault="003D5CB6" w:rsidP="00B518F1">
      <w:pPr>
        <w:ind w:firstLine="0"/>
        <w:rPr>
          <w:rFonts w:eastAsiaTheme="minorEastAsia"/>
          <w:b/>
          <w:bCs/>
        </w:rPr>
      </w:pPr>
    </w:p>
    <w:p w14:paraId="7A2DD064" w14:textId="77777777" w:rsidR="003D5CB6" w:rsidRPr="004D46AC" w:rsidRDefault="003D5CB6" w:rsidP="00B518F1">
      <w:pPr>
        <w:ind w:firstLine="0"/>
        <w:rPr>
          <w:rFonts w:eastAsiaTheme="minorEastAsia"/>
          <w:b/>
          <w:bCs/>
        </w:rPr>
      </w:pPr>
    </w:p>
    <w:p w14:paraId="4AA07826" w14:textId="77777777" w:rsidR="003D5CB6" w:rsidRPr="004D46AC" w:rsidRDefault="003D5CB6" w:rsidP="00B518F1">
      <w:pPr>
        <w:ind w:firstLine="0"/>
        <w:rPr>
          <w:rFonts w:eastAsiaTheme="minorEastAsia"/>
          <w:b/>
          <w:bCs/>
        </w:rPr>
      </w:pPr>
    </w:p>
    <w:p w14:paraId="092E3255" w14:textId="77777777" w:rsidR="003D5CB6" w:rsidRPr="004D46AC" w:rsidRDefault="003D5CB6" w:rsidP="00B518F1">
      <w:pPr>
        <w:ind w:firstLine="0"/>
        <w:rPr>
          <w:rFonts w:eastAsiaTheme="minorEastAsia"/>
        </w:rPr>
      </w:pPr>
    </w:p>
    <w:p w14:paraId="4C4DA944" w14:textId="77777777" w:rsidR="003D5CB6" w:rsidRPr="004D46AC" w:rsidRDefault="003D5CB6" w:rsidP="00B518F1">
      <w:pPr>
        <w:ind w:firstLine="1100"/>
        <w:rPr>
          <w:rFonts w:eastAsiaTheme="minorEastAsia"/>
        </w:rPr>
      </w:pPr>
    </w:p>
    <w:p w14:paraId="5A636CFE" w14:textId="77777777" w:rsidR="003D5CB6" w:rsidRPr="004D46AC" w:rsidRDefault="003D5CB6" w:rsidP="00B518F1">
      <w:pPr>
        <w:ind w:firstLine="1100"/>
        <w:rPr>
          <w:rFonts w:eastAsiaTheme="minorEastAsia"/>
        </w:rPr>
      </w:pPr>
    </w:p>
    <w:p w14:paraId="33593D91" w14:textId="77777777" w:rsidR="003D5CB6" w:rsidRPr="004D46AC" w:rsidRDefault="003D5CB6" w:rsidP="00B518F1">
      <w:pPr>
        <w:ind w:firstLine="1100"/>
        <w:rPr>
          <w:rFonts w:eastAsiaTheme="minorEastAsia"/>
        </w:rPr>
      </w:pPr>
    </w:p>
    <w:p w14:paraId="019BAFBB" w14:textId="77777777" w:rsidR="003D5CB6" w:rsidRPr="004D46AC" w:rsidRDefault="003D5CB6" w:rsidP="00B518F1">
      <w:pPr>
        <w:ind w:firstLine="1100"/>
        <w:rPr>
          <w:rFonts w:eastAsiaTheme="minorEastAsia"/>
        </w:rPr>
      </w:pPr>
    </w:p>
    <w:p w14:paraId="4CB15A6C" w14:textId="77777777" w:rsidR="003D5CB6" w:rsidRPr="004D46AC" w:rsidRDefault="003D5CB6" w:rsidP="00B518F1">
      <w:pPr>
        <w:ind w:firstLine="1100"/>
        <w:rPr>
          <w:rFonts w:eastAsiaTheme="minorEastAsia"/>
        </w:rPr>
      </w:pPr>
    </w:p>
    <w:p w14:paraId="4AE6B1A2" w14:textId="77777777" w:rsidR="003D5CB6" w:rsidRPr="004D46AC" w:rsidRDefault="003D5CB6" w:rsidP="00B518F1">
      <w:pPr>
        <w:ind w:firstLine="1100"/>
        <w:rPr>
          <w:rFonts w:eastAsiaTheme="minorEastAsia"/>
        </w:rPr>
      </w:pPr>
    </w:p>
    <w:p w14:paraId="0F397556" w14:textId="77777777" w:rsidR="003D5CB6" w:rsidRPr="004D46AC" w:rsidRDefault="003D5CB6" w:rsidP="00B518F1">
      <w:pPr>
        <w:ind w:firstLine="1100"/>
        <w:rPr>
          <w:rFonts w:eastAsiaTheme="minorEastAsia"/>
        </w:rPr>
      </w:pPr>
    </w:p>
    <w:p w14:paraId="2A5723C8" w14:textId="77777777" w:rsidR="003D5CB6" w:rsidRPr="004D46AC" w:rsidRDefault="003D5CB6" w:rsidP="00B518F1">
      <w:pPr>
        <w:ind w:firstLine="1100"/>
        <w:rPr>
          <w:rFonts w:eastAsiaTheme="minorEastAsia"/>
        </w:rPr>
      </w:pPr>
    </w:p>
    <w:p w14:paraId="6C048AB1" w14:textId="77777777" w:rsidR="003D5CB6" w:rsidRPr="004D46AC" w:rsidRDefault="003D5CB6" w:rsidP="00B518F1">
      <w:pPr>
        <w:ind w:firstLine="1100"/>
        <w:rPr>
          <w:rFonts w:eastAsiaTheme="minorEastAsia"/>
        </w:rPr>
      </w:pPr>
    </w:p>
    <w:p w14:paraId="55AB74EA" w14:textId="77777777" w:rsidR="0022744D" w:rsidRPr="004D46AC" w:rsidRDefault="0022744D" w:rsidP="00B518F1">
      <w:pPr>
        <w:ind w:firstLine="1100"/>
        <w:rPr>
          <w:rFonts w:eastAsiaTheme="minorEastAsia"/>
        </w:rPr>
      </w:pPr>
    </w:p>
    <w:p w14:paraId="7FB5686B" w14:textId="77777777" w:rsidR="0022744D" w:rsidRPr="004D46AC" w:rsidRDefault="0022744D" w:rsidP="00B518F1">
      <w:pPr>
        <w:ind w:firstLine="1100"/>
        <w:rPr>
          <w:rFonts w:eastAsiaTheme="minorEastAsia"/>
        </w:rPr>
      </w:pPr>
    </w:p>
    <w:p w14:paraId="05499CBE" w14:textId="77777777" w:rsidR="003D5CB6" w:rsidRPr="004D46AC" w:rsidRDefault="003D5CB6" w:rsidP="00B518F1">
      <w:pPr>
        <w:ind w:firstLine="1100"/>
        <w:rPr>
          <w:rFonts w:eastAsiaTheme="minorEastAsia"/>
        </w:rPr>
      </w:pPr>
    </w:p>
    <w:p w14:paraId="740EE2FC" w14:textId="3B2C52D2" w:rsidR="003D5CB6" w:rsidRPr="004D46AC" w:rsidRDefault="003D5CB6" w:rsidP="00B518F1">
      <w:pPr>
        <w:pStyle w:val="2"/>
        <w:rPr>
          <w:rFonts w:eastAsiaTheme="minorEastAsia"/>
        </w:rPr>
      </w:pPr>
      <w:bookmarkStart w:id="116" w:name="_Toc219888766"/>
      <w:r w:rsidRPr="004D46AC">
        <w:lastRenderedPageBreak/>
        <w:t>Reference</w:t>
      </w:r>
      <w:bookmarkEnd w:id="116"/>
      <w:r w:rsidR="004A63C4" w:rsidRPr="004D46AC">
        <w:rPr>
          <w:rFonts w:eastAsiaTheme="minorEastAsia" w:hint="eastAsia"/>
        </w:rPr>
        <w:t>s</w:t>
      </w:r>
    </w:p>
    <w:p w14:paraId="7A26E610"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noProof/>
        </w:rPr>
        <w:fldChar w:fldCharType="begin"/>
      </w:r>
      <w:r w:rsidRPr="004D46AC">
        <w:rPr>
          <w:rFonts w:ascii="Arial" w:hAnsi="Arial" w:cs="Arial"/>
        </w:rPr>
        <w:instrText xml:space="preserve"> ADDIN EN.REFLIST </w:instrText>
      </w:r>
      <w:r w:rsidRPr="004D46AC">
        <w:rPr>
          <w:rFonts w:ascii="Arial" w:hAnsi="Arial" w:cs="Arial"/>
          <w:noProof/>
        </w:rPr>
        <w:fldChar w:fldCharType="separate"/>
      </w:r>
      <w:r w:rsidRPr="004D46AC">
        <w:rPr>
          <w:rFonts w:ascii="Arial" w:hAnsi="Arial" w:cs="Arial"/>
        </w:rPr>
        <w:t xml:space="preserve">Abel, K. M., Drake, R., &amp; Goldstein, J. M. (2010). Sex differences in schizophrenia. </w:t>
      </w:r>
      <w:r w:rsidRPr="004D46AC">
        <w:rPr>
          <w:rFonts w:ascii="Arial" w:hAnsi="Arial" w:cs="Arial"/>
          <w:i/>
        </w:rPr>
        <w:t>Int Rev Psychiatry</w:t>
      </w:r>
      <w:r w:rsidRPr="004D46AC">
        <w:rPr>
          <w:rFonts w:ascii="Arial" w:hAnsi="Arial" w:cs="Arial"/>
        </w:rPr>
        <w:t>,</w:t>
      </w:r>
      <w:r w:rsidRPr="004D46AC">
        <w:rPr>
          <w:rFonts w:ascii="Arial" w:hAnsi="Arial" w:cs="Arial"/>
          <w:i/>
        </w:rPr>
        <w:t xml:space="preserve"> 22</w:t>
      </w:r>
      <w:r w:rsidRPr="004D46AC">
        <w:rPr>
          <w:rFonts w:ascii="Arial" w:hAnsi="Arial" w:cs="Arial"/>
        </w:rPr>
        <w:t xml:space="preserve">(5), 417–428. </w:t>
      </w:r>
      <w:hyperlink r:id="rId243" w:history="1">
        <w:r w:rsidRPr="004D46AC">
          <w:rPr>
            <w:rStyle w:val="af5"/>
            <w:rFonts w:ascii="Arial" w:hAnsi="Arial" w:cs="Arial"/>
          </w:rPr>
          <w:t>https://doi.org/10.3109/09540261.2010.515205</w:t>
        </w:r>
      </w:hyperlink>
      <w:r w:rsidRPr="004D46AC">
        <w:rPr>
          <w:rFonts w:ascii="Arial" w:hAnsi="Arial" w:cs="Arial"/>
        </w:rPr>
        <w:t xml:space="preserve"> </w:t>
      </w:r>
    </w:p>
    <w:p w14:paraId="4154F237"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Abu Nazel, M., Elkady, H., Abd Allah, S., &amp; Ibrahim, R. (2017). Pattern and correlates of tobacco smoking among mentally ill male patients in El-Mamoura Psychiatric Hospital, Alexandria, Egypt. </w:t>
      </w:r>
      <w:r w:rsidRPr="004D46AC">
        <w:rPr>
          <w:rFonts w:ascii="Arial" w:hAnsi="Arial" w:cs="Arial"/>
          <w:i/>
        </w:rPr>
        <w:t>Journal of Egyptian Public Health Association</w:t>
      </w:r>
      <w:r w:rsidRPr="004D46AC">
        <w:rPr>
          <w:rFonts w:ascii="Arial" w:hAnsi="Arial" w:cs="Arial"/>
        </w:rPr>
        <w:t>,</w:t>
      </w:r>
      <w:r w:rsidRPr="004D46AC">
        <w:rPr>
          <w:rFonts w:ascii="Arial" w:hAnsi="Arial" w:cs="Arial"/>
          <w:i/>
        </w:rPr>
        <w:t xml:space="preserve"> 92</w:t>
      </w:r>
      <w:r w:rsidRPr="004D46AC">
        <w:rPr>
          <w:rFonts w:ascii="Arial" w:hAnsi="Arial" w:cs="Arial"/>
        </w:rPr>
        <w:t xml:space="preserve">(3), 167–176. </w:t>
      </w:r>
      <w:hyperlink r:id="rId244" w:history="1">
        <w:r w:rsidRPr="004D46AC">
          <w:rPr>
            <w:rStyle w:val="af5"/>
            <w:rFonts w:ascii="Arial" w:hAnsi="Arial" w:cs="Arial"/>
          </w:rPr>
          <w:t>https://doi.org/10.21608/epx.2017.16397</w:t>
        </w:r>
      </w:hyperlink>
      <w:r w:rsidRPr="004D46AC">
        <w:rPr>
          <w:rFonts w:ascii="Arial" w:hAnsi="Arial" w:cs="Arial"/>
        </w:rPr>
        <w:t xml:space="preserve"> </w:t>
      </w:r>
    </w:p>
    <w:p w14:paraId="72DD124D"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Alloy, L. B., Nusslock, R., &amp; Boland, E. M. (2015). The development and course of bipolar spectrum disorders: an integrated reward and circadian rhythm dysregulation model. </w:t>
      </w:r>
      <w:r w:rsidRPr="004D46AC">
        <w:rPr>
          <w:rFonts w:ascii="Arial" w:hAnsi="Arial" w:cs="Arial"/>
          <w:i/>
        </w:rPr>
        <w:t>Annu Rev Clin Psychol</w:t>
      </w:r>
      <w:r w:rsidRPr="004D46AC">
        <w:rPr>
          <w:rFonts w:ascii="Arial" w:hAnsi="Arial" w:cs="Arial"/>
        </w:rPr>
        <w:t>,</w:t>
      </w:r>
      <w:r w:rsidRPr="004D46AC">
        <w:rPr>
          <w:rFonts w:ascii="Arial" w:hAnsi="Arial" w:cs="Arial"/>
          <w:i/>
        </w:rPr>
        <w:t xml:space="preserve"> 11</w:t>
      </w:r>
      <w:r w:rsidRPr="004D46AC">
        <w:rPr>
          <w:rFonts w:ascii="Arial" w:hAnsi="Arial" w:cs="Arial"/>
        </w:rPr>
        <w:t xml:space="preserve">, 213–250. </w:t>
      </w:r>
      <w:hyperlink r:id="rId245" w:history="1">
        <w:r w:rsidRPr="004D46AC">
          <w:rPr>
            <w:rStyle w:val="af5"/>
            <w:rFonts w:ascii="Arial" w:hAnsi="Arial" w:cs="Arial"/>
          </w:rPr>
          <w:t>https://doi.org/10.1146/annurev-clinpsy-032814-112902</w:t>
        </w:r>
      </w:hyperlink>
      <w:r w:rsidRPr="004D46AC">
        <w:rPr>
          <w:rFonts w:ascii="Arial" w:hAnsi="Arial" w:cs="Arial"/>
        </w:rPr>
        <w:t xml:space="preserve"> </w:t>
      </w:r>
    </w:p>
    <w:p w14:paraId="26140A8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American Psychiatric Association, i. b. (2022). </w:t>
      </w:r>
      <w:r w:rsidRPr="004D46AC">
        <w:rPr>
          <w:rFonts w:ascii="Arial" w:hAnsi="Arial" w:cs="Arial"/>
          <w:i/>
        </w:rPr>
        <w:t>Diagnostic and statistical manual of mental disorders : DSM-5-TR</w:t>
      </w:r>
      <w:r w:rsidRPr="004D46AC">
        <w:rPr>
          <w:rFonts w:ascii="Arial" w:hAnsi="Arial" w:cs="Arial"/>
        </w:rPr>
        <w:t xml:space="preserve"> (5th edition, text revision. ed.). Washington, DC : American Psychiatric Association Publishing, 2022. </w:t>
      </w:r>
    </w:p>
    <w:p w14:paraId="69E404DA"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Aminoff, S. R., Onyeka, I. N., Odegaard, M., Simonsen, C., Lagerberg, T. V., Andreassen, O. A., Romm, K. L., &amp; Melle, I. (2022). Lifetime and point prevalence of psychotic symptoms in adults with bipolar disorders: a systematic review and meta-analysis. </w:t>
      </w:r>
      <w:r w:rsidRPr="004D46AC">
        <w:rPr>
          <w:rFonts w:ascii="Arial" w:hAnsi="Arial" w:cs="Arial"/>
          <w:i/>
        </w:rPr>
        <w:t>Psychol Med</w:t>
      </w:r>
      <w:r w:rsidRPr="004D46AC">
        <w:rPr>
          <w:rFonts w:ascii="Arial" w:hAnsi="Arial" w:cs="Arial"/>
        </w:rPr>
        <w:t>,</w:t>
      </w:r>
      <w:r w:rsidRPr="004D46AC">
        <w:rPr>
          <w:rFonts w:ascii="Arial" w:hAnsi="Arial" w:cs="Arial"/>
          <w:i/>
        </w:rPr>
        <w:t xml:space="preserve"> 52</w:t>
      </w:r>
      <w:r w:rsidRPr="004D46AC">
        <w:rPr>
          <w:rFonts w:ascii="Arial" w:hAnsi="Arial" w:cs="Arial"/>
        </w:rPr>
        <w:t xml:space="preserve">(13), 2413–2425. </w:t>
      </w:r>
      <w:hyperlink r:id="rId246" w:history="1">
        <w:r w:rsidRPr="004D46AC">
          <w:rPr>
            <w:rStyle w:val="af5"/>
            <w:rFonts w:ascii="Arial" w:hAnsi="Arial" w:cs="Arial"/>
          </w:rPr>
          <w:t>https://doi.org/10.1017/S003329172200201X</w:t>
        </w:r>
      </w:hyperlink>
      <w:r w:rsidRPr="004D46AC">
        <w:rPr>
          <w:rFonts w:ascii="Arial" w:hAnsi="Arial" w:cs="Arial"/>
        </w:rPr>
        <w:t xml:space="preserve"> </w:t>
      </w:r>
    </w:p>
    <w:p w14:paraId="6B9B010D"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Ancin, I., Cabranes, J. A., Santos, J. L., Sanchez-Morla, E., &amp; Barabash, A. (2013). Executive deficits: a continuum schizophrenia-bipolar disorder or specific to schizophrenia? </w:t>
      </w:r>
      <w:r w:rsidRPr="004D46AC">
        <w:rPr>
          <w:rFonts w:ascii="Arial" w:hAnsi="Arial" w:cs="Arial"/>
          <w:i/>
        </w:rPr>
        <w:t>J Psychiatr Res</w:t>
      </w:r>
      <w:r w:rsidRPr="004D46AC">
        <w:rPr>
          <w:rFonts w:ascii="Arial" w:hAnsi="Arial" w:cs="Arial"/>
        </w:rPr>
        <w:t>,</w:t>
      </w:r>
      <w:r w:rsidRPr="004D46AC">
        <w:rPr>
          <w:rFonts w:ascii="Arial" w:hAnsi="Arial" w:cs="Arial"/>
          <w:i/>
        </w:rPr>
        <w:t xml:space="preserve"> 47</w:t>
      </w:r>
      <w:r w:rsidRPr="004D46AC">
        <w:rPr>
          <w:rFonts w:ascii="Arial" w:hAnsi="Arial" w:cs="Arial"/>
        </w:rPr>
        <w:t xml:space="preserve">(11), 1564–1571. </w:t>
      </w:r>
      <w:hyperlink r:id="rId247" w:history="1">
        <w:r w:rsidRPr="004D46AC">
          <w:rPr>
            <w:rStyle w:val="af5"/>
            <w:rFonts w:ascii="Arial" w:hAnsi="Arial" w:cs="Arial"/>
          </w:rPr>
          <w:t>https://doi.org/10.1016/j.jpsychires.2013.07.008</w:t>
        </w:r>
      </w:hyperlink>
      <w:r w:rsidRPr="004D46AC">
        <w:rPr>
          <w:rFonts w:ascii="Arial" w:hAnsi="Arial" w:cs="Arial"/>
        </w:rPr>
        <w:t xml:space="preserve"> </w:t>
      </w:r>
    </w:p>
    <w:p w14:paraId="3484321B"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Azzam, H., Hamed, M., Elhawary, Y., &amp; Mohammed, A. (2020). Delusions in a Sample of Patients with Schizophrenia and Bipolar Disorder: The same or different? </w:t>
      </w:r>
      <w:r w:rsidRPr="004D46AC">
        <w:rPr>
          <w:rFonts w:ascii="Arial" w:hAnsi="Arial" w:cs="Arial"/>
          <w:i/>
        </w:rPr>
        <w:t>QJM: An International Journal of Medicine</w:t>
      </w:r>
      <w:r w:rsidRPr="004D46AC">
        <w:rPr>
          <w:rFonts w:ascii="Arial" w:hAnsi="Arial" w:cs="Arial"/>
        </w:rPr>
        <w:t>,</w:t>
      </w:r>
      <w:r w:rsidRPr="004D46AC">
        <w:rPr>
          <w:rFonts w:ascii="Arial" w:hAnsi="Arial" w:cs="Arial"/>
          <w:i/>
        </w:rPr>
        <w:t xml:space="preserve"> 113</w:t>
      </w:r>
      <w:r w:rsidRPr="004D46AC">
        <w:rPr>
          <w:rFonts w:ascii="Arial" w:hAnsi="Arial" w:cs="Arial"/>
        </w:rPr>
        <w:t xml:space="preserve">. </w:t>
      </w:r>
    </w:p>
    <w:p w14:paraId="4E82FC51"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Barnett, J. H., &amp; Smoller, J. W. (2009). The genetics of bipolar disorder. </w:t>
      </w:r>
      <w:r w:rsidRPr="004D46AC">
        <w:rPr>
          <w:rFonts w:ascii="Arial" w:hAnsi="Arial" w:cs="Arial"/>
          <w:i/>
        </w:rPr>
        <w:t>Neuroscience</w:t>
      </w:r>
      <w:r w:rsidRPr="004D46AC">
        <w:rPr>
          <w:rFonts w:ascii="Arial" w:hAnsi="Arial" w:cs="Arial"/>
        </w:rPr>
        <w:t>,</w:t>
      </w:r>
      <w:r w:rsidRPr="004D46AC">
        <w:rPr>
          <w:rFonts w:ascii="Arial" w:hAnsi="Arial" w:cs="Arial"/>
          <w:i/>
        </w:rPr>
        <w:t xml:space="preserve"> 164</w:t>
      </w:r>
      <w:r w:rsidRPr="004D46AC">
        <w:rPr>
          <w:rFonts w:ascii="Arial" w:hAnsi="Arial" w:cs="Arial"/>
        </w:rPr>
        <w:t xml:space="preserve">(1), 331–343. </w:t>
      </w:r>
      <w:hyperlink r:id="rId248" w:history="1">
        <w:r w:rsidRPr="004D46AC">
          <w:rPr>
            <w:rStyle w:val="af5"/>
            <w:rFonts w:ascii="Arial" w:hAnsi="Arial" w:cs="Arial"/>
          </w:rPr>
          <w:t>https://doi.org/10.1016/j.neuroscience.2009.03.080</w:t>
        </w:r>
      </w:hyperlink>
      <w:r w:rsidRPr="004D46AC">
        <w:rPr>
          <w:rFonts w:ascii="Arial" w:hAnsi="Arial" w:cs="Arial"/>
        </w:rPr>
        <w:t xml:space="preserve"> </w:t>
      </w:r>
    </w:p>
    <w:p w14:paraId="12168659"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Bentall, R. P. (2004). </w:t>
      </w:r>
      <w:r w:rsidRPr="004D46AC">
        <w:rPr>
          <w:rFonts w:ascii="Arial" w:hAnsi="Arial" w:cs="Arial"/>
          <w:i/>
        </w:rPr>
        <w:t>Madness explained [electronic resource] : psychosis and human nature</w:t>
      </w:r>
      <w:r w:rsidRPr="004D46AC">
        <w:rPr>
          <w:rFonts w:ascii="Arial" w:hAnsi="Arial" w:cs="Arial"/>
        </w:rPr>
        <w:t xml:space="preserve">. London : Penguin, 2004. </w:t>
      </w:r>
    </w:p>
    <w:p w14:paraId="052CAC6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Bentall, R. P., de Sousa, P., Varese, F., Wickham, S., Sitko, K., Haarmans, M., &amp; Read, J. (2014). From adversity to psychosis: pathways and mechanisms from specific adversities to specific symptoms. </w:t>
      </w:r>
      <w:r w:rsidRPr="004D46AC">
        <w:rPr>
          <w:rFonts w:ascii="Arial" w:hAnsi="Arial" w:cs="Arial"/>
          <w:i/>
        </w:rPr>
        <w:t>Soc Psychiatry Psychiatr Epidemiol</w:t>
      </w:r>
      <w:r w:rsidRPr="004D46AC">
        <w:rPr>
          <w:rFonts w:ascii="Arial" w:hAnsi="Arial" w:cs="Arial"/>
        </w:rPr>
        <w:t>,</w:t>
      </w:r>
      <w:r w:rsidRPr="004D46AC">
        <w:rPr>
          <w:rFonts w:ascii="Arial" w:hAnsi="Arial" w:cs="Arial"/>
          <w:i/>
        </w:rPr>
        <w:t xml:space="preserve"> 49</w:t>
      </w:r>
      <w:r w:rsidRPr="004D46AC">
        <w:rPr>
          <w:rFonts w:ascii="Arial" w:hAnsi="Arial" w:cs="Arial"/>
        </w:rPr>
        <w:t xml:space="preserve">(7), 1011–1022. </w:t>
      </w:r>
      <w:hyperlink r:id="rId249" w:history="1">
        <w:r w:rsidRPr="004D46AC">
          <w:rPr>
            <w:rStyle w:val="af5"/>
            <w:rFonts w:ascii="Arial" w:hAnsi="Arial" w:cs="Arial"/>
          </w:rPr>
          <w:t>https://doi.org/10.1007/s00127-014-0914-0</w:t>
        </w:r>
      </w:hyperlink>
      <w:r w:rsidRPr="004D46AC">
        <w:rPr>
          <w:rFonts w:ascii="Arial" w:hAnsi="Arial" w:cs="Arial"/>
        </w:rPr>
        <w:t xml:space="preserve"> </w:t>
      </w:r>
    </w:p>
    <w:p w14:paraId="1DDF6588"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Berrios, G. E., &amp; Beer, D. (1994). The notion of a unitary psychosis: a conceptual history. </w:t>
      </w:r>
      <w:r w:rsidRPr="004D46AC">
        <w:rPr>
          <w:rFonts w:ascii="Arial" w:hAnsi="Arial" w:cs="Arial"/>
          <w:i/>
        </w:rPr>
        <w:t>Hist Psychiatry</w:t>
      </w:r>
      <w:r w:rsidRPr="004D46AC">
        <w:rPr>
          <w:rFonts w:ascii="Arial" w:hAnsi="Arial" w:cs="Arial"/>
        </w:rPr>
        <w:t>,</w:t>
      </w:r>
      <w:r w:rsidRPr="004D46AC">
        <w:rPr>
          <w:rFonts w:ascii="Arial" w:hAnsi="Arial" w:cs="Arial"/>
          <w:i/>
        </w:rPr>
        <w:t xml:space="preserve"> 5</w:t>
      </w:r>
      <w:r w:rsidRPr="004D46AC">
        <w:rPr>
          <w:rFonts w:ascii="Arial" w:hAnsi="Arial" w:cs="Arial"/>
        </w:rPr>
        <w:t xml:space="preserve">(17 Pt 1), 13–36. </w:t>
      </w:r>
      <w:hyperlink r:id="rId250" w:history="1">
        <w:r w:rsidRPr="004D46AC">
          <w:rPr>
            <w:rStyle w:val="af5"/>
            <w:rFonts w:ascii="Arial" w:hAnsi="Arial" w:cs="Arial"/>
          </w:rPr>
          <w:t>https://doi.org/10.1177/0957154X9400501702</w:t>
        </w:r>
      </w:hyperlink>
      <w:r w:rsidRPr="004D46AC">
        <w:rPr>
          <w:rFonts w:ascii="Arial" w:hAnsi="Arial" w:cs="Arial"/>
        </w:rPr>
        <w:t xml:space="preserve"> </w:t>
      </w:r>
    </w:p>
    <w:p w14:paraId="1E46D206"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lastRenderedPageBreak/>
        <w:t xml:space="preserve">Berrios, G. E., &amp; Beer, D. (1995). Unitary psychosis concept. </w:t>
      </w:r>
      <w:r w:rsidRPr="004D46AC">
        <w:rPr>
          <w:rFonts w:ascii="Arial" w:hAnsi="Arial" w:cs="Arial"/>
          <w:i/>
        </w:rPr>
        <w:t>A history of clinical psychiatry. London: Athlone</w:t>
      </w:r>
      <w:r w:rsidRPr="004D46AC">
        <w:rPr>
          <w:rFonts w:ascii="Arial" w:hAnsi="Arial" w:cs="Arial"/>
        </w:rPr>
        <w:t xml:space="preserve">, 313–335. </w:t>
      </w:r>
    </w:p>
    <w:p w14:paraId="1DF3EBD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Bigdeli, T. B., Fanous, A. H., Li, Y., Rajeevan, N., Sayward, F., Genovese, G., Gupta, R., Radhakrishnan, K., Malhotra, A. K., Sun, N., Lu, Q., Hu, Y., Li, B., Chen, Q., Mane, S., Miller, P., Cheung, K. H., Gur, R. E., Greenwood, T. A.,…Harvey, P. D. (2021). Genome-Wide Association Studies of Schizophrenia and Bipolar Disorder in a Diverse Cohort of US Veterans. </w:t>
      </w:r>
      <w:r w:rsidRPr="004D46AC">
        <w:rPr>
          <w:rFonts w:ascii="Arial" w:hAnsi="Arial" w:cs="Arial"/>
          <w:i/>
        </w:rPr>
        <w:t>Schizophr Bull</w:t>
      </w:r>
      <w:r w:rsidRPr="004D46AC">
        <w:rPr>
          <w:rFonts w:ascii="Arial" w:hAnsi="Arial" w:cs="Arial"/>
        </w:rPr>
        <w:t>,</w:t>
      </w:r>
      <w:r w:rsidRPr="004D46AC">
        <w:rPr>
          <w:rFonts w:ascii="Arial" w:hAnsi="Arial" w:cs="Arial"/>
          <w:i/>
        </w:rPr>
        <w:t xml:space="preserve"> 47</w:t>
      </w:r>
      <w:r w:rsidRPr="004D46AC">
        <w:rPr>
          <w:rFonts w:ascii="Arial" w:hAnsi="Arial" w:cs="Arial"/>
        </w:rPr>
        <w:t xml:space="preserve">(2), 517–529. </w:t>
      </w:r>
      <w:hyperlink r:id="rId251" w:history="1">
        <w:r w:rsidRPr="004D46AC">
          <w:rPr>
            <w:rStyle w:val="af5"/>
            <w:rFonts w:ascii="Arial" w:hAnsi="Arial" w:cs="Arial"/>
          </w:rPr>
          <w:t>https://doi.org/10.1093/schbul/sbaa133</w:t>
        </w:r>
      </w:hyperlink>
      <w:r w:rsidRPr="004D46AC">
        <w:rPr>
          <w:rFonts w:ascii="Arial" w:hAnsi="Arial" w:cs="Arial"/>
        </w:rPr>
        <w:t xml:space="preserve"> </w:t>
      </w:r>
    </w:p>
    <w:p w14:paraId="31AAC79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Bipolar, D., Schizophrenia Working Group of the Psychiatric Genomics Consortium. Electronic address, d. r. v. e., Bipolar, D., &amp; Schizophrenia Working Group of the Psychiatric Genomics, C. (2018). Genomic Dissection of Bipolar Disorder and Schizophrenia, Including 28 Subphenotypes. </w:t>
      </w:r>
      <w:r w:rsidRPr="004D46AC">
        <w:rPr>
          <w:rFonts w:ascii="Arial" w:hAnsi="Arial" w:cs="Arial"/>
          <w:i/>
        </w:rPr>
        <w:t>Cell</w:t>
      </w:r>
      <w:r w:rsidRPr="004D46AC">
        <w:rPr>
          <w:rFonts w:ascii="Arial" w:hAnsi="Arial" w:cs="Arial"/>
        </w:rPr>
        <w:t>,</w:t>
      </w:r>
      <w:r w:rsidRPr="004D46AC">
        <w:rPr>
          <w:rFonts w:ascii="Arial" w:hAnsi="Arial" w:cs="Arial"/>
          <w:i/>
        </w:rPr>
        <w:t xml:space="preserve"> 173</w:t>
      </w:r>
      <w:r w:rsidRPr="004D46AC">
        <w:rPr>
          <w:rFonts w:ascii="Arial" w:hAnsi="Arial" w:cs="Arial"/>
        </w:rPr>
        <w:t xml:space="preserve">(7), 1705–1715 e1716. </w:t>
      </w:r>
      <w:hyperlink r:id="rId252" w:history="1">
        <w:r w:rsidRPr="004D46AC">
          <w:rPr>
            <w:rStyle w:val="af5"/>
            <w:rFonts w:ascii="Arial" w:hAnsi="Arial" w:cs="Arial"/>
          </w:rPr>
          <w:t>https://doi.org/10.1016/j.cell.2018.05.046</w:t>
        </w:r>
      </w:hyperlink>
      <w:r w:rsidRPr="004D46AC">
        <w:rPr>
          <w:rFonts w:ascii="Arial" w:hAnsi="Arial" w:cs="Arial"/>
        </w:rPr>
        <w:t xml:space="preserve"> </w:t>
      </w:r>
    </w:p>
    <w:p w14:paraId="7FB869D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Black, D. W., &amp; Nasrallah, A. (2010). Hallucinations and Delusions in 1,715 Patients with Unipolar and Bipolar Affective Disorders. </w:t>
      </w:r>
      <w:r w:rsidRPr="004D46AC">
        <w:rPr>
          <w:rFonts w:ascii="Arial" w:hAnsi="Arial" w:cs="Arial"/>
          <w:i/>
        </w:rPr>
        <w:t>Psychopathology</w:t>
      </w:r>
      <w:r w:rsidRPr="004D46AC">
        <w:rPr>
          <w:rFonts w:ascii="Arial" w:hAnsi="Arial" w:cs="Arial"/>
        </w:rPr>
        <w:t>,</w:t>
      </w:r>
      <w:r w:rsidRPr="004D46AC">
        <w:rPr>
          <w:rFonts w:ascii="Arial" w:hAnsi="Arial" w:cs="Arial"/>
          <w:i/>
        </w:rPr>
        <w:t xml:space="preserve"> 22</w:t>
      </w:r>
      <w:r w:rsidRPr="004D46AC">
        <w:rPr>
          <w:rFonts w:ascii="Arial" w:hAnsi="Arial" w:cs="Arial"/>
        </w:rPr>
        <w:t xml:space="preserve">(1), 28–34. </w:t>
      </w:r>
      <w:hyperlink r:id="rId253" w:history="1">
        <w:r w:rsidRPr="004D46AC">
          <w:rPr>
            <w:rStyle w:val="af5"/>
            <w:rFonts w:ascii="Arial" w:hAnsi="Arial" w:cs="Arial"/>
          </w:rPr>
          <w:t>https://doi.org/10.1159/000284576</w:t>
        </w:r>
      </w:hyperlink>
      <w:r w:rsidRPr="004D46AC">
        <w:rPr>
          <w:rFonts w:ascii="Arial" w:hAnsi="Arial" w:cs="Arial"/>
        </w:rPr>
        <w:t xml:space="preserve"> </w:t>
      </w:r>
    </w:p>
    <w:p w14:paraId="60C213FB"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Bleuler, E. (1950). Dementia praecox or the group of schizophrenias. </w:t>
      </w:r>
    </w:p>
    <w:p w14:paraId="10857627"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Bora, E., Verim, B., Akgul, O., Ildiz, A., Ceylan, D., Alptekin, K., Ozerdem, A., &amp; Akdede, B. B. (2023). Clinical and developmental characteristics of cognitive subgroups in a transdiagnostic sample of schizophrenia spectrum disorders and bipolar disorder. </w:t>
      </w:r>
      <w:r w:rsidRPr="004D46AC">
        <w:rPr>
          <w:rFonts w:ascii="Arial" w:hAnsi="Arial" w:cs="Arial"/>
          <w:i/>
        </w:rPr>
        <w:t>Eur Neuropsychopharmacol</w:t>
      </w:r>
      <w:r w:rsidRPr="004D46AC">
        <w:rPr>
          <w:rFonts w:ascii="Arial" w:hAnsi="Arial" w:cs="Arial"/>
        </w:rPr>
        <w:t>,</w:t>
      </w:r>
      <w:r w:rsidRPr="004D46AC">
        <w:rPr>
          <w:rFonts w:ascii="Arial" w:hAnsi="Arial" w:cs="Arial"/>
          <w:i/>
        </w:rPr>
        <w:t xml:space="preserve"> 68</w:t>
      </w:r>
      <w:r w:rsidRPr="004D46AC">
        <w:rPr>
          <w:rFonts w:ascii="Arial" w:hAnsi="Arial" w:cs="Arial"/>
        </w:rPr>
        <w:t xml:space="preserve">, 47–56. </w:t>
      </w:r>
      <w:hyperlink r:id="rId254" w:history="1">
        <w:r w:rsidRPr="004D46AC">
          <w:rPr>
            <w:rStyle w:val="af5"/>
            <w:rFonts w:ascii="Arial" w:hAnsi="Arial" w:cs="Arial"/>
          </w:rPr>
          <w:t>https://doi.org/10.1016/j.euroneuro.2022.12.005</w:t>
        </w:r>
      </w:hyperlink>
      <w:r w:rsidRPr="004D46AC">
        <w:rPr>
          <w:rFonts w:ascii="Arial" w:hAnsi="Arial" w:cs="Arial"/>
        </w:rPr>
        <w:t xml:space="preserve"> </w:t>
      </w:r>
    </w:p>
    <w:p w14:paraId="6B127435"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Brookwell, M. L., Bentall, R. P., &amp; Varese, F. (2013). Externalizing biases and hallucinations in source-monitoring, self-monitoring and signal detection studies: a meta-analytic review. </w:t>
      </w:r>
      <w:r w:rsidRPr="004D46AC">
        <w:rPr>
          <w:rFonts w:ascii="Arial" w:hAnsi="Arial" w:cs="Arial"/>
          <w:i/>
        </w:rPr>
        <w:t>Psychol Med</w:t>
      </w:r>
      <w:r w:rsidRPr="004D46AC">
        <w:rPr>
          <w:rFonts w:ascii="Arial" w:hAnsi="Arial" w:cs="Arial"/>
        </w:rPr>
        <w:t>,</w:t>
      </w:r>
      <w:r w:rsidRPr="004D46AC">
        <w:rPr>
          <w:rFonts w:ascii="Arial" w:hAnsi="Arial" w:cs="Arial"/>
          <w:i/>
        </w:rPr>
        <w:t xml:space="preserve"> 43</w:t>
      </w:r>
      <w:r w:rsidRPr="004D46AC">
        <w:rPr>
          <w:rFonts w:ascii="Arial" w:hAnsi="Arial" w:cs="Arial"/>
        </w:rPr>
        <w:t xml:space="preserve">(12), 2465–2475. </w:t>
      </w:r>
      <w:hyperlink r:id="rId255" w:history="1">
        <w:r w:rsidRPr="004D46AC">
          <w:rPr>
            <w:rStyle w:val="af5"/>
            <w:rFonts w:ascii="Arial" w:hAnsi="Arial" w:cs="Arial"/>
          </w:rPr>
          <w:t>https://doi.org/10.1017/S0033291712002760</w:t>
        </w:r>
      </w:hyperlink>
      <w:r w:rsidRPr="004D46AC">
        <w:rPr>
          <w:rFonts w:ascii="Arial" w:hAnsi="Arial" w:cs="Arial"/>
        </w:rPr>
        <w:t xml:space="preserve"> </w:t>
      </w:r>
    </w:p>
    <w:p w14:paraId="3E00FE61"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Cardno, A. G., &amp; Owen, M. J. (2014). Genetic Relationships Between Schizophrenia, Bipolar Disorder, and Schizoaffective Disorder. </w:t>
      </w:r>
      <w:r w:rsidRPr="004D46AC">
        <w:rPr>
          <w:rFonts w:ascii="Arial" w:hAnsi="Arial" w:cs="Arial"/>
          <w:i/>
        </w:rPr>
        <w:t>Schizophrenia Bulletin</w:t>
      </w:r>
      <w:r w:rsidRPr="004D46AC">
        <w:rPr>
          <w:rFonts w:ascii="Arial" w:hAnsi="Arial" w:cs="Arial"/>
        </w:rPr>
        <w:t>,</w:t>
      </w:r>
      <w:r w:rsidRPr="004D46AC">
        <w:rPr>
          <w:rFonts w:ascii="Arial" w:hAnsi="Arial" w:cs="Arial"/>
          <w:i/>
        </w:rPr>
        <w:t xml:space="preserve"> 40</w:t>
      </w:r>
      <w:r w:rsidRPr="004D46AC">
        <w:rPr>
          <w:rFonts w:ascii="Arial" w:hAnsi="Arial" w:cs="Arial"/>
        </w:rPr>
        <w:t xml:space="preserve">(3), 504–515. </w:t>
      </w:r>
      <w:hyperlink r:id="rId256" w:history="1">
        <w:r w:rsidRPr="004D46AC">
          <w:rPr>
            <w:rStyle w:val="af5"/>
            <w:rFonts w:ascii="Arial" w:hAnsi="Arial" w:cs="Arial"/>
          </w:rPr>
          <w:t>https://doi.org/10.1093/schbul/sbu016</w:t>
        </w:r>
      </w:hyperlink>
      <w:r w:rsidRPr="004D46AC">
        <w:rPr>
          <w:rFonts w:ascii="Arial" w:hAnsi="Arial" w:cs="Arial"/>
        </w:rPr>
        <w:t xml:space="preserve"> </w:t>
      </w:r>
    </w:p>
    <w:p w14:paraId="472BA315"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Chakrabarti, S., &amp; Singh, N. (2022). Psychotic symptoms in bipolar disorder and their impact on the illness: A systematic review. </w:t>
      </w:r>
      <w:r w:rsidRPr="004D46AC">
        <w:rPr>
          <w:rFonts w:ascii="Arial" w:hAnsi="Arial" w:cs="Arial"/>
          <w:i/>
        </w:rPr>
        <w:t>World J Psychiatry</w:t>
      </w:r>
      <w:r w:rsidRPr="004D46AC">
        <w:rPr>
          <w:rFonts w:ascii="Arial" w:hAnsi="Arial" w:cs="Arial"/>
        </w:rPr>
        <w:t>,</w:t>
      </w:r>
      <w:r w:rsidRPr="004D46AC">
        <w:rPr>
          <w:rFonts w:ascii="Arial" w:hAnsi="Arial" w:cs="Arial"/>
          <w:i/>
        </w:rPr>
        <w:t xml:space="preserve"> 12</w:t>
      </w:r>
      <w:r w:rsidRPr="004D46AC">
        <w:rPr>
          <w:rFonts w:ascii="Arial" w:hAnsi="Arial" w:cs="Arial"/>
        </w:rPr>
        <w:t xml:space="preserve">(9), 1204–1232. </w:t>
      </w:r>
      <w:hyperlink r:id="rId257" w:history="1">
        <w:r w:rsidRPr="004D46AC">
          <w:rPr>
            <w:rStyle w:val="af5"/>
            <w:rFonts w:ascii="Arial" w:hAnsi="Arial" w:cs="Arial"/>
          </w:rPr>
          <w:t>https://doi.org/10.5498/wjp.v12.i9.1204</w:t>
        </w:r>
      </w:hyperlink>
      <w:r w:rsidRPr="004D46AC">
        <w:rPr>
          <w:rFonts w:ascii="Arial" w:hAnsi="Arial" w:cs="Arial"/>
        </w:rPr>
        <w:t xml:space="preserve"> </w:t>
      </w:r>
    </w:p>
    <w:p w14:paraId="701C4048"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Chen, Y. L., Tu, P. C., Huang, T. H., Bai, Y. M., Su, T. P., Chen, M. H., &amp; Wu, Y. T. (2021). Identifying subtypes of bipolar disorder based on clinical and neurobiological characteristics. </w:t>
      </w:r>
      <w:r w:rsidRPr="004D46AC">
        <w:rPr>
          <w:rFonts w:ascii="Arial" w:hAnsi="Arial" w:cs="Arial"/>
          <w:i/>
        </w:rPr>
        <w:t>Sci Rep</w:t>
      </w:r>
      <w:r w:rsidRPr="004D46AC">
        <w:rPr>
          <w:rFonts w:ascii="Arial" w:hAnsi="Arial" w:cs="Arial"/>
        </w:rPr>
        <w:t>,</w:t>
      </w:r>
      <w:r w:rsidRPr="004D46AC">
        <w:rPr>
          <w:rFonts w:ascii="Arial" w:hAnsi="Arial" w:cs="Arial"/>
          <w:i/>
        </w:rPr>
        <w:t xml:space="preserve"> 11</w:t>
      </w:r>
      <w:r w:rsidRPr="004D46AC">
        <w:rPr>
          <w:rFonts w:ascii="Arial" w:hAnsi="Arial" w:cs="Arial"/>
        </w:rPr>
        <w:t xml:space="preserve">(1), 17082. </w:t>
      </w:r>
      <w:hyperlink r:id="rId258" w:history="1">
        <w:r w:rsidRPr="004D46AC">
          <w:rPr>
            <w:rStyle w:val="af5"/>
            <w:rFonts w:ascii="Arial" w:hAnsi="Arial" w:cs="Arial"/>
          </w:rPr>
          <w:t>https://doi.org/10.1038/s41598-021-96645-5</w:t>
        </w:r>
      </w:hyperlink>
      <w:r w:rsidRPr="004D46AC">
        <w:rPr>
          <w:rFonts w:ascii="Arial" w:hAnsi="Arial" w:cs="Arial"/>
        </w:rPr>
        <w:t xml:space="preserve"> </w:t>
      </w:r>
    </w:p>
    <w:p w14:paraId="06DAFA54"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Citrome, L., Reist, C., Palmer, L., Montejano, L., Lenhart, G., Cuffel, B., Harnett, J., &amp; Sanders, K. N. (2009). Dose trends for second-generation antipsychotic treatment of </w:t>
      </w:r>
      <w:r w:rsidRPr="004D46AC">
        <w:rPr>
          <w:rFonts w:ascii="Arial" w:hAnsi="Arial" w:cs="Arial"/>
        </w:rPr>
        <w:lastRenderedPageBreak/>
        <w:t xml:space="preserve">schizophrenia and bipolar disorder. </w:t>
      </w:r>
      <w:r w:rsidRPr="004D46AC">
        <w:rPr>
          <w:rFonts w:ascii="Arial" w:hAnsi="Arial" w:cs="Arial"/>
          <w:i/>
        </w:rPr>
        <w:t>Schizophr Res</w:t>
      </w:r>
      <w:r w:rsidRPr="004D46AC">
        <w:rPr>
          <w:rFonts w:ascii="Arial" w:hAnsi="Arial" w:cs="Arial"/>
        </w:rPr>
        <w:t>,</w:t>
      </w:r>
      <w:r w:rsidRPr="004D46AC">
        <w:rPr>
          <w:rFonts w:ascii="Arial" w:hAnsi="Arial" w:cs="Arial"/>
          <w:i/>
        </w:rPr>
        <w:t xml:space="preserve"> 108</w:t>
      </w:r>
      <w:r w:rsidRPr="004D46AC">
        <w:rPr>
          <w:rFonts w:ascii="Arial" w:hAnsi="Arial" w:cs="Arial"/>
        </w:rPr>
        <w:t xml:space="preserve">(1-3), 238–244. </w:t>
      </w:r>
      <w:hyperlink r:id="rId259" w:history="1">
        <w:r w:rsidRPr="004D46AC">
          <w:rPr>
            <w:rStyle w:val="af5"/>
            <w:rFonts w:ascii="Arial" w:hAnsi="Arial" w:cs="Arial"/>
          </w:rPr>
          <w:t>https://doi.org/10.1016/j.schres.2008.11.017</w:t>
        </w:r>
      </w:hyperlink>
      <w:r w:rsidRPr="004D46AC">
        <w:rPr>
          <w:rFonts w:ascii="Arial" w:hAnsi="Arial" w:cs="Arial"/>
        </w:rPr>
        <w:t xml:space="preserve"> </w:t>
      </w:r>
    </w:p>
    <w:p w14:paraId="19C218D9"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Conus, P., Abdel-Baki, A., Harrigan, S., Lambert, M., &amp; McGorry, P. D. (2004). Schneiderian first rank symptoms predict poor outcome within first episode manic psychosis. </w:t>
      </w:r>
      <w:r w:rsidRPr="004D46AC">
        <w:rPr>
          <w:rFonts w:ascii="Arial" w:hAnsi="Arial" w:cs="Arial"/>
          <w:i/>
        </w:rPr>
        <w:t>J Affect Disord</w:t>
      </w:r>
      <w:r w:rsidRPr="004D46AC">
        <w:rPr>
          <w:rFonts w:ascii="Arial" w:hAnsi="Arial" w:cs="Arial"/>
        </w:rPr>
        <w:t>,</w:t>
      </w:r>
      <w:r w:rsidRPr="004D46AC">
        <w:rPr>
          <w:rFonts w:ascii="Arial" w:hAnsi="Arial" w:cs="Arial"/>
          <w:i/>
        </w:rPr>
        <w:t xml:space="preserve"> 81</w:t>
      </w:r>
      <w:r w:rsidRPr="004D46AC">
        <w:rPr>
          <w:rFonts w:ascii="Arial" w:hAnsi="Arial" w:cs="Arial"/>
        </w:rPr>
        <w:t xml:space="preserve">(3), 259–268. </w:t>
      </w:r>
      <w:hyperlink r:id="rId260" w:history="1">
        <w:r w:rsidRPr="004D46AC">
          <w:rPr>
            <w:rStyle w:val="af5"/>
            <w:rFonts w:ascii="Arial" w:hAnsi="Arial" w:cs="Arial"/>
          </w:rPr>
          <w:t>https://doi.org/10.1016/j.jad.2003.09.003</w:t>
        </w:r>
      </w:hyperlink>
      <w:r w:rsidRPr="004D46AC">
        <w:rPr>
          <w:rFonts w:ascii="Arial" w:hAnsi="Arial" w:cs="Arial"/>
        </w:rPr>
        <w:t xml:space="preserve"> </w:t>
      </w:r>
    </w:p>
    <w:p w14:paraId="463FF660"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Craddock, N. (2018). The Spectrum of Psychotic Disorders: Neurobiology, Etiology and</w:t>
      </w:r>
    </w:p>
    <w:p w14:paraId="1EDBADE6"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 Pathogenesis Edited By Daryl Fujii and Iqbal Ahmed. Cambridge University Press.</w:t>
      </w:r>
    </w:p>
    <w:p w14:paraId="6CAB0F0B"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 2007. 588pp. $80.00 (hb). ISBN</w:t>
      </w:r>
    </w:p>
    <w:p w14:paraId="796D0590"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 9780521850568. </w:t>
      </w:r>
      <w:r w:rsidRPr="004D46AC">
        <w:rPr>
          <w:rFonts w:ascii="Arial" w:hAnsi="Arial" w:cs="Arial"/>
          <w:i/>
        </w:rPr>
        <w:t>British Journal of Psychiatry</w:t>
      </w:r>
      <w:r w:rsidRPr="004D46AC">
        <w:rPr>
          <w:rFonts w:ascii="Arial" w:hAnsi="Arial" w:cs="Arial"/>
        </w:rPr>
        <w:t>,</w:t>
      </w:r>
      <w:r w:rsidRPr="004D46AC">
        <w:rPr>
          <w:rFonts w:ascii="Arial" w:hAnsi="Arial" w:cs="Arial"/>
          <w:i/>
        </w:rPr>
        <w:t xml:space="preserve"> 192</w:t>
      </w:r>
      <w:r w:rsidRPr="004D46AC">
        <w:rPr>
          <w:rFonts w:ascii="Arial" w:hAnsi="Arial" w:cs="Arial"/>
        </w:rPr>
        <w:t xml:space="preserve">(6), 478–478. </w:t>
      </w:r>
      <w:hyperlink r:id="rId261" w:history="1">
        <w:r w:rsidRPr="004D46AC">
          <w:rPr>
            <w:rStyle w:val="af5"/>
            <w:rFonts w:ascii="Arial" w:hAnsi="Arial" w:cs="Arial"/>
          </w:rPr>
          <w:t>https://doi.org/10.1192/bjp.bp.107.039578</w:t>
        </w:r>
      </w:hyperlink>
      <w:r w:rsidRPr="004D46AC">
        <w:rPr>
          <w:rFonts w:ascii="Arial" w:hAnsi="Arial" w:cs="Arial"/>
        </w:rPr>
        <w:t xml:space="preserve"> </w:t>
      </w:r>
    </w:p>
    <w:p w14:paraId="667B6D28"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Dacquino, C., De Rossi, P., &amp; Spalletta, G. (2015). Schizophrenia and bipolar disorder: The road from similarities and clinical heterogeneity to neurobiological types. </w:t>
      </w:r>
      <w:r w:rsidRPr="004D46AC">
        <w:rPr>
          <w:rFonts w:ascii="Arial" w:hAnsi="Arial" w:cs="Arial"/>
          <w:i/>
        </w:rPr>
        <w:t>Clin Chim Acta</w:t>
      </w:r>
      <w:r w:rsidRPr="004D46AC">
        <w:rPr>
          <w:rFonts w:ascii="Arial" w:hAnsi="Arial" w:cs="Arial"/>
        </w:rPr>
        <w:t>,</w:t>
      </w:r>
      <w:r w:rsidRPr="004D46AC">
        <w:rPr>
          <w:rFonts w:ascii="Arial" w:hAnsi="Arial" w:cs="Arial"/>
          <w:i/>
        </w:rPr>
        <w:t xml:space="preserve"> 449</w:t>
      </w:r>
      <w:r w:rsidRPr="004D46AC">
        <w:rPr>
          <w:rFonts w:ascii="Arial" w:hAnsi="Arial" w:cs="Arial"/>
        </w:rPr>
        <w:t xml:space="preserve">, 49–59. </w:t>
      </w:r>
      <w:hyperlink r:id="rId262" w:history="1">
        <w:r w:rsidRPr="004D46AC">
          <w:rPr>
            <w:rStyle w:val="af5"/>
            <w:rFonts w:ascii="Arial" w:hAnsi="Arial" w:cs="Arial"/>
          </w:rPr>
          <w:t>https://doi.org/10.1016/j.cca.2015.02.029</w:t>
        </w:r>
      </w:hyperlink>
      <w:r w:rsidRPr="004D46AC">
        <w:rPr>
          <w:rFonts w:ascii="Arial" w:hAnsi="Arial" w:cs="Arial"/>
        </w:rPr>
        <w:t xml:space="preserve"> </w:t>
      </w:r>
    </w:p>
    <w:p w14:paraId="28177D8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de Sousa, P., Sellwood, W., Spray, A., &amp; Bentall, R. P. (2016). The affective reactivity of psychotic speech: The role of internal source monitoring in explaining increased thought disorder under emotional challenge. </w:t>
      </w:r>
      <w:r w:rsidRPr="004D46AC">
        <w:rPr>
          <w:rFonts w:ascii="Arial" w:hAnsi="Arial" w:cs="Arial"/>
          <w:i/>
        </w:rPr>
        <w:t>Schizophr Res</w:t>
      </w:r>
      <w:r w:rsidRPr="004D46AC">
        <w:rPr>
          <w:rFonts w:ascii="Arial" w:hAnsi="Arial" w:cs="Arial"/>
        </w:rPr>
        <w:t>,</w:t>
      </w:r>
      <w:r w:rsidRPr="004D46AC">
        <w:rPr>
          <w:rFonts w:ascii="Arial" w:hAnsi="Arial" w:cs="Arial"/>
          <w:i/>
        </w:rPr>
        <w:t xml:space="preserve"> 172</w:t>
      </w:r>
      <w:r w:rsidRPr="004D46AC">
        <w:rPr>
          <w:rFonts w:ascii="Arial" w:hAnsi="Arial" w:cs="Arial"/>
        </w:rPr>
        <w:t xml:space="preserve">(1-3), 189–194. </w:t>
      </w:r>
      <w:hyperlink r:id="rId263" w:history="1">
        <w:r w:rsidRPr="004D46AC">
          <w:rPr>
            <w:rStyle w:val="af5"/>
            <w:rFonts w:ascii="Arial" w:hAnsi="Arial" w:cs="Arial"/>
          </w:rPr>
          <w:t>https://doi.org/10.1016/j.schres.2016.01.049</w:t>
        </w:r>
      </w:hyperlink>
      <w:r w:rsidRPr="004D46AC">
        <w:rPr>
          <w:rFonts w:ascii="Arial" w:hAnsi="Arial" w:cs="Arial"/>
        </w:rPr>
        <w:t xml:space="preserve"> </w:t>
      </w:r>
    </w:p>
    <w:p w14:paraId="2836C63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Dell'Osso, L., Pini, S., Cassano, G. B., Mastrocinque, C., Seckinger, R. A., Saettoni, M., Papasogli, A., Yale, S. A., &amp; Amador, X. F. (2002). Insight into illness in patients with mania, mixed mania, bipolar depression and major depression with psychotic features. </w:t>
      </w:r>
      <w:r w:rsidRPr="004D46AC">
        <w:rPr>
          <w:rFonts w:ascii="Arial" w:hAnsi="Arial" w:cs="Arial"/>
          <w:i/>
        </w:rPr>
        <w:t>Bipolar Disord</w:t>
      </w:r>
      <w:r w:rsidRPr="004D46AC">
        <w:rPr>
          <w:rFonts w:ascii="Arial" w:hAnsi="Arial" w:cs="Arial"/>
        </w:rPr>
        <w:t>,</w:t>
      </w:r>
      <w:r w:rsidRPr="004D46AC">
        <w:rPr>
          <w:rFonts w:ascii="Arial" w:hAnsi="Arial" w:cs="Arial"/>
          <w:i/>
        </w:rPr>
        <w:t xml:space="preserve"> 4</w:t>
      </w:r>
      <w:r w:rsidRPr="004D46AC">
        <w:rPr>
          <w:rFonts w:ascii="Arial" w:hAnsi="Arial" w:cs="Arial"/>
        </w:rPr>
        <w:t xml:space="preserve">(5), 315–322. </w:t>
      </w:r>
      <w:hyperlink r:id="rId264" w:history="1">
        <w:r w:rsidRPr="004D46AC">
          <w:rPr>
            <w:rStyle w:val="af5"/>
            <w:rFonts w:ascii="Arial" w:hAnsi="Arial" w:cs="Arial"/>
          </w:rPr>
          <w:t>https://doi.org/10.1034/j.1399-5618.2002.01192.x</w:t>
        </w:r>
      </w:hyperlink>
      <w:r w:rsidRPr="004D46AC">
        <w:rPr>
          <w:rFonts w:ascii="Arial" w:hAnsi="Arial" w:cs="Arial"/>
        </w:rPr>
        <w:t xml:space="preserve"> </w:t>
      </w:r>
    </w:p>
    <w:p w14:paraId="585FB5C0"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Docherty, N. M., Hawkins, K. A., Hoffman, R. E., Quinlan, D. M., Rakfeldt, J., &amp; Sledge, W. H. (1996). Working memory, attention, and communication disturbances in schizophrenia. </w:t>
      </w:r>
      <w:r w:rsidRPr="004D46AC">
        <w:rPr>
          <w:rFonts w:ascii="Arial" w:hAnsi="Arial" w:cs="Arial"/>
          <w:i/>
        </w:rPr>
        <w:t>J Abnorm Psychol</w:t>
      </w:r>
      <w:r w:rsidRPr="004D46AC">
        <w:rPr>
          <w:rFonts w:ascii="Arial" w:hAnsi="Arial" w:cs="Arial"/>
        </w:rPr>
        <w:t>,</w:t>
      </w:r>
      <w:r w:rsidRPr="004D46AC">
        <w:rPr>
          <w:rFonts w:ascii="Arial" w:hAnsi="Arial" w:cs="Arial"/>
          <w:i/>
        </w:rPr>
        <w:t xml:space="preserve"> 105</w:t>
      </w:r>
      <w:r w:rsidRPr="004D46AC">
        <w:rPr>
          <w:rFonts w:ascii="Arial" w:hAnsi="Arial" w:cs="Arial"/>
        </w:rPr>
        <w:t xml:space="preserve">(2), 212–219. </w:t>
      </w:r>
      <w:hyperlink r:id="rId265" w:history="1">
        <w:r w:rsidRPr="004D46AC">
          <w:rPr>
            <w:rStyle w:val="af5"/>
            <w:rFonts w:ascii="Arial" w:hAnsi="Arial" w:cs="Arial"/>
          </w:rPr>
          <w:t>https://doi.org/10.1037//0021-843x.105.2.212</w:t>
        </w:r>
      </w:hyperlink>
      <w:r w:rsidRPr="004D46AC">
        <w:rPr>
          <w:rFonts w:ascii="Arial" w:hAnsi="Arial" w:cs="Arial"/>
        </w:rPr>
        <w:t xml:space="preserve"> </w:t>
      </w:r>
    </w:p>
    <w:p w14:paraId="6ACC6B4D"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Dunayevich, E., &amp; Keck, P. E., Jr. (2000). Prevalence and description of psychotic features in bipolar mania. </w:t>
      </w:r>
      <w:r w:rsidRPr="004D46AC">
        <w:rPr>
          <w:rFonts w:ascii="Arial" w:hAnsi="Arial" w:cs="Arial"/>
          <w:i/>
        </w:rPr>
        <w:t>Curr Psychiatry Rep</w:t>
      </w:r>
      <w:r w:rsidRPr="004D46AC">
        <w:rPr>
          <w:rFonts w:ascii="Arial" w:hAnsi="Arial" w:cs="Arial"/>
        </w:rPr>
        <w:t>,</w:t>
      </w:r>
      <w:r w:rsidRPr="004D46AC">
        <w:rPr>
          <w:rFonts w:ascii="Arial" w:hAnsi="Arial" w:cs="Arial"/>
          <w:i/>
        </w:rPr>
        <w:t xml:space="preserve"> 2</w:t>
      </w:r>
      <w:r w:rsidRPr="004D46AC">
        <w:rPr>
          <w:rFonts w:ascii="Arial" w:hAnsi="Arial" w:cs="Arial"/>
        </w:rPr>
        <w:t xml:space="preserve">(4), 286–290. </w:t>
      </w:r>
      <w:hyperlink r:id="rId266" w:history="1">
        <w:r w:rsidRPr="004D46AC">
          <w:rPr>
            <w:rStyle w:val="af5"/>
            <w:rFonts w:ascii="Arial" w:hAnsi="Arial" w:cs="Arial"/>
          </w:rPr>
          <w:t>https://doi.org/10.1007/s11920-000-0069-4</w:t>
        </w:r>
      </w:hyperlink>
      <w:r w:rsidRPr="004D46AC">
        <w:rPr>
          <w:rFonts w:ascii="Arial" w:hAnsi="Arial" w:cs="Arial"/>
        </w:rPr>
        <w:t xml:space="preserve"> </w:t>
      </w:r>
    </w:p>
    <w:p w14:paraId="3F3D6009"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Dupré, J. (2001). In defence of classification. </w:t>
      </w:r>
      <w:r w:rsidRPr="004D46AC">
        <w:rPr>
          <w:rFonts w:ascii="Arial" w:hAnsi="Arial" w:cs="Arial"/>
          <w:i/>
        </w:rPr>
        <w:t>Studies in History and Philosophy of Science Part C: Studies in History and Philosophy of Biological and Biomedical Sciences</w:t>
      </w:r>
      <w:r w:rsidRPr="004D46AC">
        <w:rPr>
          <w:rFonts w:ascii="Arial" w:hAnsi="Arial" w:cs="Arial"/>
        </w:rPr>
        <w:t>,</w:t>
      </w:r>
      <w:r w:rsidRPr="004D46AC">
        <w:rPr>
          <w:rFonts w:ascii="Arial" w:hAnsi="Arial" w:cs="Arial"/>
          <w:i/>
        </w:rPr>
        <w:t xml:space="preserve"> 32</w:t>
      </w:r>
      <w:r w:rsidRPr="004D46AC">
        <w:rPr>
          <w:rFonts w:ascii="Arial" w:hAnsi="Arial" w:cs="Arial"/>
        </w:rPr>
        <w:t xml:space="preserve">(2), 203–219. </w:t>
      </w:r>
    </w:p>
    <w:p w14:paraId="309A04E0"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Dwyer, D. B., Kalman, J. L., Budde, M., Kambeitz, J., Ruef, A., Antonucci, L. A., Kambeitz-Ilankovic, L., Hasan, A., Kondofersky, I., Anderson-Schmidt, H., Gade, K., Reich-Erkelenz, D., Adorjan, K., Senner, F., Schaupp, S., Andlauer, T. F. M., Comes, A. L., Schulte, E. C., Klohn-Saghatolislam, F.,…Koutsouleris, N. (2020). An Investigation of Psychosis Subgroups With Prognostic Validation and Exploration of Genetic </w:t>
      </w:r>
      <w:r w:rsidRPr="004D46AC">
        <w:rPr>
          <w:rFonts w:ascii="Arial" w:hAnsi="Arial" w:cs="Arial"/>
        </w:rPr>
        <w:lastRenderedPageBreak/>
        <w:t xml:space="preserve">Underpinnings: The PsyCourse Study. </w:t>
      </w:r>
      <w:r w:rsidRPr="004D46AC">
        <w:rPr>
          <w:rFonts w:ascii="Arial" w:hAnsi="Arial" w:cs="Arial"/>
          <w:i/>
        </w:rPr>
        <w:t>JAMA Psychiatry</w:t>
      </w:r>
      <w:r w:rsidRPr="004D46AC">
        <w:rPr>
          <w:rFonts w:ascii="Arial" w:hAnsi="Arial" w:cs="Arial"/>
        </w:rPr>
        <w:t>,</w:t>
      </w:r>
      <w:r w:rsidRPr="004D46AC">
        <w:rPr>
          <w:rFonts w:ascii="Arial" w:hAnsi="Arial" w:cs="Arial"/>
          <w:i/>
        </w:rPr>
        <w:t xml:space="preserve"> 77</w:t>
      </w:r>
      <w:r w:rsidRPr="004D46AC">
        <w:rPr>
          <w:rFonts w:ascii="Arial" w:hAnsi="Arial" w:cs="Arial"/>
        </w:rPr>
        <w:t xml:space="preserve">(5), 523–533. </w:t>
      </w:r>
      <w:hyperlink r:id="rId267" w:history="1">
        <w:r w:rsidRPr="004D46AC">
          <w:rPr>
            <w:rStyle w:val="af5"/>
            <w:rFonts w:ascii="Arial" w:hAnsi="Arial" w:cs="Arial"/>
          </w:rPr>
          <w:t>https://doi.org/10.1001/jamapsychiatry.2019.4910</w:t>
        </w:r>
      </w:hyperlink>
      <w:r w:rsidRPr="004D46AC">
        <w:rPr>
          <w:rFonts w:ascii="Arial" w:hAnsi="Arial" w:cs="Arial"/>
        </w:rPr>
        <w:t xml:space="preserve"> </w:t>
      </w:r>
    </w:p>
    <w:p w14:paraId="1FB9C36B"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Egger, M., Davey Smith, G., Schneider, M., &amp; Minder, C. (1997). Bias in meta-analysis detected by a simple, graphical test. </w:t>
      </w:r>
      <w:r w:rsidRPr="004D46AC">
        <w:rPr>
          <w:rFonts w:ascii="Arial" w:hAnsi="Arial" w:cs="Arial"/>
          <w:i/>
        </w:rPr>
        <w:t>bmj</w:t>
      </w:r>
      <w:r w:rsidRPr="004D46AC">
        <w:rPr>
          <w:rFonts w:ascii="Arial" w:hAnsi="Arial" w:cs="Arial"/>
        </w:rPr>
        <w:t>,</w:t>
      </w:r>
      <w:r w:rsidRPr="004D46AC">
        <w:rPr>
          <w:rFonts w:ascii="Arial" w:hAnsi="Arial" w:cs="Arial"/>
          <w:i/>
        </w:rPr>
        <w:t xml:space="preserve"> 315</w:t>
      </w:r>
      <w:r w:rsidRPr="004D46AC">
        <w:rPr>
          <w:rFonts w:ascii="Arial" w:hAnsi="Arial" w:cs="Arial"/>
        </w:rPr>
        <w:t xml:space="preserve">(7109), 629–634. </w:t>
      </w:r>
      <w:hyperlink r:id="rId268" w:history="1">
        <w:r w:rsidRPr="004D46AC">
          <w:rPr>
            <w:rStyle w:val="af5"/>
            <w:rFonts w:ascii="Arial" w:hAnsi="Arial" w:cs="Arial"/>
          </w:rPr>
          <w:t>https://doi.org/10.1136/bmj.315.7109.629</w:t>
        </w:r>
      </w:hyperlink>
      <w:r w:rsidRPr="004D46AC">
        <w:rPr>
          <w:rFonts w:ascii="Arial" w:hAnsi="Arial" w:cs="Arial"/>
        </w:rPr>
        <w:t xml:space="preserve"> </w:t>
      </w:r>
    </w:p>
    <w:p w14:paraId="348AA2A2"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Fogarty, F., Russell, J. M., Newman, S. C., &amp; Bland, R. C. (1994). Epidemiology of psychiatric disorders in Edmonton. Mania. </w:t>
      </w:r>
      <w:r w:rsidRPr="004D46AC">
        <w:rPr>
          <w:rFonts w:ascii="Arial" w:hAnsi="Arial" w:cs="Arial"/>
          <w:i/>
        </w:rPr>
        <w:t>Acta Psychiatr Scand Suppl</w:t>
      </w:r>
      <w:r w:rsidRPr="004D46AC">
        <w:rPr>
          <w:rFonts w:ascii="Arial" w:hAnsi="Arial" w:cs="Arial"/>
        </w:rPr>
        <w:t>,</w:t>
      </w:r>
      <w:r w:rsidRPr="004D46AC">
        <w:rPr>
          <w:rFonts w:ascii="Arial" w:hAnsi="Arial" w:cs="Arial"/>
          <w:i/>
        </w:rPr>
        <w:t xml:space="preserve"> 376</w:t>
      </w:r>
      <w:r w:rsidRPr="004D46AC">
        <w:rPr>
          <w:rFonts w:ascii="Arial" w:hAnsi="Arial" w:cs="Arial"/>
        </w:rPr>
        <w:t xml:space="preserve">(s376), 16–23. </w:t>
      </w:r>
      <w:hyperlink r:id="rId269" w:history="1">
        <w:r w:rsidRPr="004D46AC">
          <w:rPr>
            <w:rStyle w:val="af5"/>
            <w:rFonts w:ascii="Arial" w:hAnsi="Arial" w:cs="Arial"/>
          </w:rPr>
          <w:t>https://doi.org/https://doi.org/10.1111/j.1600-0447.1994.tb05787.x</w:t>
        </w:r>
      </w:hyperlink>
      <w:r w:rsidRPr="004D46AC">
        <w:rPr>
          <w:rFonts w:ascii="Arial" w:hAnsi="Arial" w:cs="Arial"/>
        </w:rPr>
        <w:t xml:space="preserve"> </w:t>
      </w:r>
    </w:p>
    <w:p w14:paraId="458DF49F"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Freeman, D., &amp; Garety, P. A. (2003). Connecting neurosis and psychosis: the direct influence of emotion on delusions and hallucinations. </w:t>
      </w:r>
      <w:r w:rsidRPr="004D46AC">
        <w:rPr>
          <w:rFonts w:ascii="Arial" w:hAnsi="Arial" w:cs="Arial"/>
          <w:i/>
        </w:rPr>
        <w:t>Behav Res Ther</w:t>
      </w:r>
      <w:r w:rsidRPr="004D46AC">
        <w:rPr>
          <w:rFonts w:ascii="Arial" w:hAnsi="Arial" w:cs="Arial"/>
        </w:rPr>
        <w:t>,</w:t>
      </w:r>
      <w:r w:rsidRPr="004D46AC">
        <w:rPr>
          <w:rFonts w:ascii="Arial" w:hAnsi="Arial" w:cs="Arial"/>
          <w:i/>
        </w:rPr>
        <w:t xml:space="preserve"> 41</w:t>
      </w:r>
      <w:r w:rsidRPr="004D46AC">
        <w:rPr>
          <w:rFonts w:ascii="Arial" w:hAnsi="Arial" w:cs="Arial"/>
        </w:rPr>
        <w:t xml:space="preserve">(8), 923–947. </w:t>
      </w:r>
      <w:hyperlink r:id="rId270" w:history="1">
        <w:r w:rsidRPr="004D46AC">
          <w:rPr>
            <w:rStyle w:val="af5"/>
            <w:rFonts w:ascii="Arial" w:hAnsi="Arial" w:cs="Arial"/>
          </w:rPr>
          <w:t>https://doi.org/10.1016/s0005-7967(02)00104-3</w:t>
        </w:r>
      </w:hyperlink>
      <w:r w:rsidRPr="004D46AC">
        <w:rPr>
          <w:rFonts w:ascii="Arial" w:hAnsi="Arial" w:cs="Arial"/>
        </w:rPr>
        <w:t xml:space="preserve"> </w:t>
      </w:r>
    </w:p>
    <w:p w14:paraId="71EE5472"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Goodwin, R. D., Stayner, D. A., Chinman, M. J., Wu, P., Tebes, J. K., &amp; Davidson, L. (2002). The relationship between anxiety and substance use disorders among individuals with severe affective disorders. </w:t>
      </w:r>
      <w:r w:rsidRPr="004D46AC">
        <w:rPr>
          <w:rFonts w:ascii="Arial" w:hAnsi="Arial" w:cs="Arial"/>
          <w:i/>
        </w:rPr>
        <w:t>Compr Psychiatry</w:t>
      </w:r>
      <w:r w:rsidRPr="004D46AC">
        <w:rPr>
          <w:rFonts w:ascii="Arial" w:hAnsi="Arial" w:cs="Arial"/>
        </w:rPr>
        <w:t>,</w:t>
      </w:r>
      <w:r w:rsidRPr="004D46AC">
        <w:rPr>
          <w:rFonts w:ascii="Arial" w:hAnsi="Arial" w:cs="Arial"/>
          <w:i/>
        </w:rPr>
        <w:t xml:space="preserve"> 43</w:t>
      </w:r>
      <w:r w:rsidRPr="004D46AC">
        <w:rPr>
          <w:rFonts w:ascii="Arial" w:hAnsi="Arial" w:cs="Arial"/>
        </w:rPr>
        <w:t xml:space="preserve">(4), 245–252. </w:t>
      </w:r>
      <w:hyperlink r:id="rId271" w:history="1">
        <w:r w:rsidRPr="004D46AC">
          <w:rPr>
            <w:rStyle w:val="af5"/>
            <w:rFonts w:ascii="Arial" w:hAnsi="Arial" w:cs="Arial"/>
          </w:rPr>
          <w:t>https://doi.org/10.1053/comp.2002.33500</w:t>
        </w:r>
      </w:hyperlink>
      <w:r w:rsidRPr="004D46AC">
        <w:rPr>
          <w:rFonts w:ascii="Arial" w:hAnsi="Arial" w:cs="Arial"/>
        </w:rPr>
        <w:t xml:space="preserve"> </w:t>
      </w:r>
    </w:p>
    <w:p w14:paraId="5F2A8DB4"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Haddock, G., Wolfenden, M., Lowens, I., Tarrier, N., &amp; Bentall, R. P. (1995). Effect of emotional salience on thought disorder in patients with schizophrenia. </w:t>
      </w:r>
      <w:r w:rsidRPr="004D46AC">
        <w:rPr>
          <w:rFonts w:ascii="Arial" w:hAnsi="Arial" w:cs="Arial"/>
          <w:i/>
        </w:rPr>
        <w:t>Br J Psychiatry</w:t>
      </w:r>
      <w:r w:rsidRPr="004D46AC">
        <w:rPr>
          <w:rFonts w:ascii="Arial" w:hAnsi="Arial" w:cs="Arial"/>
        </w:rPr>
        <w:t>,</w:t>
      </w:r>
      <w:r w:rsidRPr="004D46AC">
        <w:rPr>
          <w:rFonts w:ascii="Arial" w:hAnsi="Arial" w:cs="Arial"/>
          <w:i/>
        </w:rPr>
        <w:t xml:space="preserve"> 167</w:t>
      </w:r>
      <w:r w:rsidRPr="004D46AC">
        <w:rPr>
          <w:rFonts w:ascii="Arial" w:hAnsi="Arial" w:cs="Arial"/>
        </w:rPr>
        <w:t xml:space="preserve">(5), 618–620. </w:t>
      </w:r>
      <w:hyperlink r:id="rId272" w:history="1">
        <w:r w:rsidRPr="004D46AC">
          <w:rPr>
            <w:rStyle w:val="af5"/>
            <w:rFonts w:ascii="Arial" w:hAnsi="Arial" w:cs="Arial"/>
          </w:rPr>
          <w:t>https://doi.org/10.1192/bjp.167.5.618</w:t>
        </w:r>
      </w:hyperlink>
      <w:r w:rsidRPr="004D46AC">
        <w:rPr>
          <w:rFonts w:ascii="Arial" w:hAnsi="Arial" w:cs="Arial"/>
        </w:rPr>
        <w:t xml:space="preserve"> </w:t>
      </w:r>
    </w:p>
    <w:p w14:paraId="7E8B08A1"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Harrow, M., Grossman, L. S., Silverstein, M. L., &amp; Meltzer, H. Y. (1982). Thought pathology in manic and schizophrenic patients. Its occurrence at hospital admission and seven weeks later. </w:t>
      </w:r>
      <w:r w:rsidRPr="004D46AC">
        <w:rPr>
          <w:rFonts w:ascii="Arial" w:hAnsi="Arial" w:cs="Arial"/>
          <w:i/>
        </w:rPr>
        <w:t>Arch Gen Psychiatry</w:t>
      </w:r>
      <w:r w:rsidRPr="004D46AC">
        <w:rPr>
          <w:rFonts w:ascii="Arial" w:hAnsi="Arial" w:cs="Arial"/>
        </w:rPr>
        <w:t>,</w:t>
      </w:r>
      <w:r w:rsidRPr="004D46AC">
        <w:rPr>
          <w:rFonts w:ascii="Arial" w:hAnsi="Arial" w:cs="Arial"/>
          <w:i/>
        </w:rPr>
        <w:t xml:space="preserve"> 39</w:t>
      </w:r>
      <w:r w:rsidRPr="004D46AC">
        <w:rPr>
          <w:rFonts w:ascii="Arial" w:hAnsi="Arial" w:cs="Arial"/>
        </w:rPr>
        <w:t xml:space="preserve">(6), 665–671. </w:t>
      </w:r>
      <w:hyperlink r:id="rId273" w:history="1">
        <w:r w:rsidRPr="004D46AC">
          <w:rPr>
            <w:rStyle w:val="af5"/>
            <w:rFonts w:ascii="Arial" w:hAnsi="Arial" w:cs="Arial"/>
          </w:rPr>
          <w:t>https://doi.org/10.1001/archpsyc.1982.04290060027006</w:t>
        </w:r>
      </w:hyperlink>
      <w:r w:rsidRPr="004D46AC">
        <w:rPr>
          <w:rFonts w:ascii="Arial" w:hAnsi="Arial" w:cs="Arial"/>
        </w:rPr>
        <w:t xml:space="preserve"> </w:t>
      </w:r>
    </w:p>
    <w:p w14:paraId="36D70B50"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Hsu, Y. C., Hsu, C. C., Chang, K. H., Lee, C. Y., Chong, L. W., Wang, Y. C., &amp; Kao, C. H. (2015). Increased Subsequent Risk of Peptic Ulcer Diseases in Patients With Bipolar Disorders. </w:t>
      </w:r>
      <w:r w:rsidRPr="004D46AC">
        <w:rPr>
          <w:rFonts w:ascii="Arial" w:hAnsi="Arial" w:cs="Arial"/>
          <w:i/>
        </w:rPr>
        <w:t>Medicine (Baltimore)</w:t>
      </w:r>
      <w:r w:rsidRPr="004D46AC">
        <w:rPr>
          <w:rFonts w:ascii="Arial" w:hAnsi="Arial" w:cs="Arial"/>
        </w:rPr>
        <w:t>,</w:t>
      </w:r>
      <w:r w:rsidRPr="004D46AC">
        <w:rPr>
          <w:rFonts w:ascii="Arial" w:hAnsi="Arial" w:cs="Arial"/>
          <w:i/>
        </w:rPr>
        <w:t xml:space="preserve"> 94</w:t>
      </w:r>
      <w:r w:rsidRPr="004D46AC">
        <w:rPr>
          <w:rFonts w:ascii="Arial" w:hAnsi="Arial" w:cs="Arial"/>
        </w:rPr>
        <w:t xml:space="preserve">(29), e1203. </w:t>
      </w:r>
      <w:hyperlink r:id="rId274" w:history="1">
        <w:r w:rsidRPr="004D46AC">
          <w:rPr>
            <w:rStyle w:val="af5"/>
            <w:rFonts w:ascii="Arial" w:hAnsi="Arial" w:cs="Arial"/>
          </w:rPr>
          <w:t>https://doi.org/10.1097/MD.0000000000001203</w:t>
        </w:r>
      </w:hyperlink>
      <w:r w:rsidRPr="004D46AC">
        <w:rPr>
          <w:rFonts w:ascii="Arial" w:hAnsi="Arial" w:cs="Arial"/>
        </w:rPr>
        <w:t xml:space="preserve"> </w:t>
      </w:r>
    </w:p>
    <w:p w14:paraId="72D9DB98"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Iftimovici, A., Krebs, E., Dalfin, W., Legrand, A., Scoriels, L., Martinez, G., Bendjemaa, N., Duchesnay, E., Chaumette, B., &amp; Krebs, M. O. (2024). Neurodevelopmental predictors of treatment response in schizophrenia and bipolar disorder. </w:t>
      </w:r>
      <w:r w:rsidRPr="004D46AC">
        <w:rPr>
          <w:rFonts w:ascii="Arial" w:hAnsi="Arial" w:cs="Arial"/>
          <w:i/>
        </w:rPr>
        <w:t>Psychol Med</w:t>
      </w:r>
      <w:r w:rsidRPr="004D46AC">
        <w:rPr>
          <w:rFonts w:ascii="Arial" w:hAnsi="Arial" w:cs="Arial"/>
        </w:rPr>
        <w:t>,</w:t>
      </w:r>
      <w:r w:rsidRPr="004D46AC">
        <w:rPr>
          <w:rFonts w:ascii="Arial" w:hAnsi="Arial" w:cs="Arial"/>
          <w:i/>
        </w:rPr>
        <w:t xml:space="preserve"> 54</w:t>
      </w:r>
      <w:r w:rsidRPr="004D46AC">
        <w:rPr>
          <w:rFonts w:ascii="Arial" w:hAnsi="Arial" w:cs="Arial"/>
        </w:rPr>
        <w:t xml:space="preserve">(13), 1–12. </w:t>
      </w:r>
      <w:hyperlink r:id="rId275" w:history="1">
        <w:r w:rsidRPr="004D46AC">
          <w:rPr>
            <w:rStyle w:val="af5"/>
            <w:rFonts w:ascii="Arial" w:hAnsi="Arial" w:cs="Arial"/>
          </w:rPr>
          <w:t>https://doi.org/10.1017/S0033291724001776</w:t>
        </w:r>
      </w:hyperlink>
      <w:r w:rsidRPr="004D46AC">
        <w:rPr>
          <w:rFonts w:ascii="Arial" w:hAnsi="Arial" w:cs="Arial"/>
        </w:rPr>
        <w:t xml:space="preserve"> </w:t>
      </w:r>
    </w:p>
    <w:p w14:paraId="2ACA46C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Isham, L., Sheng Loe, B., Hicks, A., Wilson, N., Bird, J. C., Bentall, R. P., &amp; Freeman, D. (2022). The meaning in grandiose delusions: measure development and cohort studies in clinical psychosis and non-clinical general population groups in the UK and Ireland. </w:t>
      </w:r>
      <w:r w:rsidRPr="004D46AC">
        <w:rPr>
          <w:rFonts w:ascii="Arial" w:hAnsi="Arial" w:cs="Arial"/>
          <w:i/>
        </w:rPr>
        <w:t>Lancet Psychiatry</w:t>
      </w:r>
      <w:r w:rsidRPr="004D46AC">
        <w:rPr>
          <w:rFonts w:ascii="Arial" w:hAnsi="Arial" w:cs="Arial"/>
        </w:rPr>
        <w:t>,</w:t>
      </w:r>
      <w:r w:rsidRPr="004D46AC">
        <w:rPr>
          <w:rFonts w:ascii="Arial" w:hAnsi="Arial" w:cs="Arial"/>
          <w:i/>
        </w:rPr>
        <w:t xml:space="preserve"> 9</w:t>
      </w:r>
      <w:r w:rsidRPr="004D46AC">
        <w:rPr>
          <w:rFonts w:ascii="Arial" w:hAnsi="Arial" w:cs="Arial"/>
        </w:rPr>
        <w:t xml:space="preserve">(10), 792–803. </w:t>
      </w:r>
      <w:hyperlink r:id="rId276" w:history="1">
        <w:r w:rsidRPr="004D46AC">
          <w:rPr>
            <w:rStyle w:val="af5"/>
            <w:rFonts w:ascii="Arial" w:hAnsi="Arial" w:cs="Arial"/>
          </w:rPr>
          <w:t>https://doi.org/10.1016/S2215-0366(22)00236-X</w:t>
        </w:r>
      </w:hyperlink>
      <w:r w:rsidRPr="004D46AC">
        <w:rPr>
          <w:rFonts w:ascii="Arial" w:hAnsi="Arial" w:cs="Arial"/>
        </w:rPr>
        <w:t xml:space="preserve"> </w:t>
      </w:r>
    </w:p>
    <w:p w14:paraId="2D097A16"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Johnson, S. L. (2005). Mania and dysregulation in goal pursuit: a review. </w:t>
      </w:r>
      <w:r w:rsidRPr="004D46AC">
        <w:rPr>
          <w:rFonts w:ascii="Arial" w:hAnsi="Arial" w:cs="Arial"/>
          <w:i/>
        </w:rPr>
        <w:t>Clin Psychol Rev</w:t>
      </w:r>
      <w:r w:rsidRPr="004D46AC">
        <w:rPr>
          <w:rFonts w:ascii="Arial" w:hAnsi="Arial" w:cs="Arial"/>
        </w:rPr>
        <w:t>,</w:t>
      </w:r>
      <w:r w:rsidRPr="004D46AC">
        <w:rPr>
          <w:rFonts w:ascii="Arial" w:hAnsi="Arial" w:cs="Arial"/>
          <w:i/>
        </w:rPr>
        <w:t xml:space="preserve"> 25</w:t>
      </w:r>
      <w:r w:rsidRPr="004D46AC">
        <w:rPr>
          <w:rFonts w:ascii="Arial" w:hAnsi="Arial" w:cs="Arial"/>
        </w:rPr>
        <w:t xml:space="preserve">(2), 241–262. </w:t>
      </w:r>
      <w:hyperlink r:id="rId277" w:history="1">
        <w:r w:rsidRPr="004D46AC">
          <w:rPr>
            <w:rStyle w:val="af5"/>
            <w:rFonts w:ascii="Arial" w:hAnsi="Arial" w:cs="Arial"/>
          </w:rPr>
          <w:t>https://doi.org/10.1016/j.cpr.2004.11.002</w:t>
        </w:r>
      </w:hyperlink>
      <w:r w:rsidRPr="004D46AC">
        <w:rPr>
          <w:rFonts w:ascii="Arial" w:hAnsi="Arial" w:cs="Arial"/>
        </w:rPr>
        <w:t xml:space="preserve"> </w:t>
      </w:r>
    </w:p>
    <w:p w14:paraId="5F9D704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lastRenderedPageBreak/>
        <w:t xml:space="preserve">Johnstone, E. C., Crow, T. J., Frith, C. D., &amp; Owens, D. G. (1988). The Northwick Park "functional" psychosis study: diagnosis and treatment response. </w:t>
      </w:r>
      <w:r w:rsidRPr="004D46AC">
        <w:rPr>
          <w:rFonts w:ascii="Arial" w:hAnsi="Arial" w:cs="Arial"/>
          <w:i/>
        </w:rPr>
        <w:t>Lancet</w:t>
      </w:r>
      <w:r w:rsidRPr="004D46AC">
        <w:rPr>
          <w:rFonts w:ascii="Arial" w:hAnsi="Arial" w:cs="Arial"/>
        </w:rPr>
        <w:t>,</w:t>
      </w:r>
      <w:r w:rsidRPr="004D46AC">
        <w:rPr>
          <w:rFonts w:ascii="Arial" w:hAnsi="Arial" w:cs="Arial"/>
          <w:i/>
        </w:rPr>
        <w:t xml:space="preserve"> 2</w:t>
      </w:r>
      <w:r w:rsidRPr="004D46AC">
        <w:rPr>
          <w:rFonts w:ascii="Arial" w:hAnsi="Arial" w:cs="Arial"/>
        </w:rPr>
        <w:t xml:space="preserve">(8603), 119–125. </w:t>
      </w:r>
      <w:hyperlink r:id="rId278" w:history="1">
        <w:r w:rsidRPr="004D46AC">
          <w:rPr>
            <w:rStyle w:val="af5"/>
            <w:rFonts w:ascii="Arial" w:hAnsi="Arial" w:cs="Arial"/>
          </w:rPr>
          <w:t>https://doi.org/10.1016/s0140-6736(88)90682-4</w:t>
        </w:r>
      </w:hyperlink>
      <w:r w:rsidRPr="004D46AC">
        <w:rPr>
          <w:rFonts w:ascii="Arial" w:hAnsi="Arial" w:cs="Arial"/>
        </w:rPr>
        <w:t xml:space="preserve"> </w:t>
      </w:r>
    </w:p>
    <w:p w14:paraId="35E8A51D"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Jorgensen, K. B., Nordentoft, M., &amp; Hjorthoj, C. (2018). Association between alcohol and substance use disorders and psychiatric service use in patients with severe mental illness: a nationwide Danish register-based cohort study. </w:t>
      </w:r>
      <w:r w:rsidRPr="004D46AC">
        <w:rPr>
          <w:rFonts w:ascii="Arial" w:hAnsi="Arial" w:cs="Arial"/>
          <w:i/>
        </w:rPr>
        <w:t>Psychol Med</w:t>
      </w:r>
      <w:r w:rsidRPr="004D46AC">
        <w:rPr>
          <w:rFonts w:ascii="Arial" w:hAnsi="Arial" w:cs="Arial"/>
        </w:rPr>
        <w:t>,</w:t>
      </w:r>
      <w:r w:rsidRPr="004D46AC">
        <w:rPr>
          <w:rFonts w:ascii="Arial" w:hAnsi="Arial" w:cs="Arial"/>
          <w:i/>
        </w:rPr>
        <w:t xml:space="preserve"> 48</w:t>
      </w:r>
      <w:r w:rsidRPr="004D46AC">
        <w:rPr>
          <w:rFonts w:ascii="Arial" w:hAnsi="Arial" w:cs="Arial"/>
        </w:rPr>
        <w:t xml:space="preserve">(15), 2592–2600. </w:t>
      </w:r>
      <w:hyperlink r:id="rId279" w:history="1">
        <w:r w:rsidRPr="004D46AC">
          <w:rPr>
            <w:rStyle w:val="af5"/>
            <w:rFonts w:ascii="Arial" w:hAnsi="Arial" w:cs="Arial"/>
          </w:rPr>
          <w:t>https://doi.org/10.1017/S0033291718000223</w:t>
        </w:r>
      </w:hyperlink>
      <w:r w:rsidRPr="004D46AC">
        <w:rPr>
          <w:rFonts w:ascii="Arial" w:hAnsi="Arial" w:cs="Arial"/>
        </w:rPr>
        <w:t xml:space="preserve"> </w:t>
      </w:r>
    </w:p>
    <w:p w14:paraId="39131D28"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Kasanin, J. (1933). The acute schizoaffective psychoses. </w:t>
      </w:r>
      <w:r w:rsidRPr="004D46AC">
        <w:rPr>
          <w:rFonts w:ascii="Arial" w:hAnsi="Arial" w:cs="Arial"/>
          <w:i/>
        </w:rPr>
        <w:t>American Journal of Psychiatry</w:t>
      </w:r>
      <w:r w:rsidRPr="004D46AC">
        <w:rPr>
          <w:rFonts w:ascii="Arial" w:hAnsi="Arial" w:cs="Arial"/>
        </w:rPr>
        <w:t>,</w:t>
      </w:r>
      <w:r w:rsidRPr="004D46AC">
        <w:rPr>
          <w:rFonts w:ascii="Arial" w:hAnsi="Arial" w:cs="Arial"/>
          <w:i/>
        </w:rPr>
        <w:t xml:space="preserve"> 90</w:t>
      </w:r>
      <w:r w:rsidRPr="004D46AC">
        <w:rPr>
          <w:rFonts w:ascii="Arial" w:hAnsi="Arial" w:cs="Arial"/>
        </w:rPr>
        <w:t xml:space="preserve">(1), 97–126. </w:t>
      </w:r>
    </w:p>
    <w:p w14:paraId="2D525648"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Kasanin, J. (1994). The acute schizoaffective psychoses. 1933. </w:t>
      </w:r>
      <w:r w:rsidRPr="004D46AC">
        <w:rPr>
          <w:rFonts w:ascii="Arial" w:hAnsi="Arial" w:cs="Arial"/>
          <w:i/>
        </w:rPr>
        <w:t>Am J Psychiatry</w:t>
      </w:r>
      <w:r w:rsidRPr="004D46AC">
        <w:rPr>
          <w:rFonts w:ascii="Arial" w:hAnsi="Arial" w:cs="Arial"/>
        </w:rPr>
        <w:t>,</w:t>
      </w:r>
      <w:r w:rsidRPr="004D46AC">
        <w:rPr>
          <w:rFonts w:ascii="Arial" w:hAnsi="Arial" w:cs="Arial"/>
          <w:i/>
        </w:rPr>
        <w:t xml:space="preserve"> 151</w:t>
      </w:r>
      <w:r w:rsidRPr="004D46AC">
        <w:rPr>
          <w:rFonts w:ascii="Arial" w:hAnsi="Arial" w:cs="Arial"/>
        </w:rPr>
        <w:t xml:space="preserve">(6 Suppl), 144–154. </w:t>
      </w:r>
      <w:hyperlink r:id="rId280" w:history="1">
        <w:r w:rsidRPr="004D46AC">
          <w:rPr>
            <w:rStyle w:val="af5"/>
            <w:rFonts w:ascii="Arial" w:hAnsi="Arial" w:cs="Arial"/>
          </w:rPr>
          <w:t>https://doi.org/10.1176/ajp.151.6.144</w:t>
        </w:r>
      </w:hyperlink>
      <w:r w:rsidRPr="004D46AC">
        <w:rPr>
          <w:rFonts w:ascii="Arial" w:hAnsi="Arial" w:cs="Arial"/>
        </w:rPr>
        <w:t xml:space="preserve"> </w:t>
      </w:r>
    </w:p>
    <w:p w14:paraId="4AC4DE5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Kendell, R. E. (1991). The major functional psychoses: Are they independent entities or part of a continuum? Philosophical and conceptual issues underlying the debate. In </w:t>
      </w:r>
      <w:r w:rsidRPr="004D46AC">
        <w:rPr>
          <w:rFonts w:ascii="Arial" w:hAnsi="Arial" w:cs="Arial"/>
          <w:i/>
        </w:rPr>
        <w:t>Concepts of mental disorder: A continuing debate.</w:t>
      </w:r>
      <w:r w:rsidRPr="004D46AC">
        <w:rPr>
          <w:rFonts w:ascii="Arial" w:hAnsi="Arial" w:cs="Arial"/>
        </w:rPr>
        <w:t xml:space="preserve"> (pp. 1–16). Gaskell/Royal College of Psychiatrists. </w:t>
      </w:r>
    </w:p>
    <w:p w14:paraId="7D91EBA4"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Kendell, R. E., &amp; Brockington, I. F. (1980). The identification of disease entities and the relationship between schizophrenic and affective psychoses. </w:t>
      </w:r>
      <w:r w:rsidRPr="004D46AC">
        <w:rPr>
          <w:rFonts w:ascii="Arial" w:hAnsi="Arial" w:cs="Arial"/>
          <w:i/>
        </w:rPr>
        <w:t>The British Journal of Psychiatry</w:t>
      </w:r>
      <w:r w:rsidRPr="004D46AC">
        <w:rPr>
          <w:rFonts w:ascii="Arial" w:hAnsi="Arial" w:cs="Arial"/>
        </w:rPr>
        <w:t>,</w:t>
      </w:r>
      <w:r w:rsidRPr="004D46AC">
        <w:rPr>
          <w:rFonts w:ascii="Arial" w:hAnsi="Arial" w:cs="Arial"/>
          <w:i/>
        </w:rPr>
        <w:t xml:space="preserve"> 137</w:t>
      </w:r>
      <w:r w:rsidRPr="004D46AC">
        <w:rPr>
          <w:rFonts w:ascii="Arial" w:hAnsi="Arial" w:cs="Arial"/>
        </w:rPr>
        <w:t xml:space="preserve">(4), 324–331. </w:t>
      </w:r>
    </w:p>
    <w:p w14:paraId="6209FC72"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Keshavan, M. S., Morris, D. W., Sweeney, J. A., Pearlson, G., Thaker, G., Seidman, L. J., Eack, S. M., &amp; Tamminga, C. (2011). A dimensional approach to the psychosis spectrum between bipolar disorder and schizophrenia: the Schizo-Bipolar Scale. </w:t>
      </w:r>
      <w:r w:rsidRPr="004D46AC">
        <w:rPr>
          <w:rFonts w:ascii="Arial" w:hAnsi="Arial" w:cs="Arial"/>
          <w:i/>
        </w:rPr>
        <w:t>Schizophr Res</w:t>
      </w:r>
      <w:r w:rsidRPr="004D46AC">
        <w:rPr>
          <w:rFonts w:ascii="Arial" w:hAnsi="Arial" w:cs="Arial"/>
        </w:rPr>
        <w:t>,</w:t>
      </w:r>
      <w:r w:rsidRPr="004D46AC">
        <w:rPr>
          <w:rFonts w:ascii="Arial" w:hAnsi="Arial" w:cs="Arial"/>
          <w:i/>
        </w:rPr>
        <w:t xml:space="preserve"> 133</w:t>
      </w:r>
      <w:r w:rsidRPr="004D46AC">
        <w:rPr>
          <w:rFonts w:ascii="Arial" w:hAnsi="Arial" w:cs="Arial"/>
        </w:rPr>
        <w:t xml:space="preserve">(1-3), 250–254. </w:t>
      </w:r>
      <w:hyperlink r:id="rId281" w:history="1">
        <w:r w:rsidRPr="004D46AC">
          <w:rPr>
            <w:rStyle w:val="af5"/>
            <w:rFonts w:ascii="Arial" w:hAnsi="Arial" w:cs="Arial"/>
          </w:rPr>
          <w:t>https://doi.org/10.1016/j.schres.2011.09.005</w:t>
        </w:r>
      </w:hyperlink>
      <w:r w:rsidRPr="004D46AC">
        <w:rPr>
          <w:rFonts w:ascii="Arial" w:hAnsi="Arial" w:cs="Arial"/>
        </w:rPr>
        <w:t xml:space="preserve"> </w:t>
      </w:r>
    </w:p>
    <w:p w14:paraId="342683A5"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Knowles, R., McCarthy-Jones, S., &amp; Rowse, G. (2011). Grandiose delusions: a review and theoretical integration of cognitive and affective perspectives. </w:t>
      </w:r>
      <w:r w:rsidRPr="004D46AC">
        <w:rPr>
          <w:rFonts w:ascii="Arial" w:hAnsi="Arial" w:cs="Arial"/>
          <w:i/>
        </w:rPr>
        <w:t>Clin Psychol Rev</w:t>
      </w:r>
      <w:r w:rsidRPr="004D46AC">
        <w:rPr>
          <w:rFonts w:ascii="Arial" w:hAnsi="Arial" w:cs="Arial"/>
        </w:rPr>
        <w:t>,</w:t>
      </w:r>
      <w:r w:rsidRPr="004D46AC">
        <w:rPr>
          <w:rFonts w:ascii="Arial" w:hAnsi="Arial" w:cs="Arial"/>
          <w:i/>
        </w:rPr>
        <w:t xml:space="preserve"> 31</w:t>
      </w:r>
      <w:r w:rsidRPr="004D46AC">
        <w:rPr>
          <w:rFonts w:ascii="Arial" w:hAnsi="Arial" w:cs="Arial"/>
        </w:rPr>
        <w:t xml:space="preserve">(4), 684–696. </w:t>
      </w:r>
      <w:hyperlink r:id="rId282" w:history="1">
        <w:r w:rsidRPr="004D46AC">
          <w:rPr>
            <w:rStyle w:val="af5"/>
            <w:rFonts w:ascii="Arial" w:hAnsi="Arial" w:cs="Arial"/>
          </w:rPr>
          <w:t>https://doi.org/10.1016/j.cpr.2011.02.009</w:t>
        </w:r>
      </w:hyperlink>
      <w:r w:rsidRPr="004D46AC">
        <w:rPr>
          <w:rFonts w:ascii="Arial" w:hAnsi="Arial" w:cs="Arial"/>
        </w:rPr>
        <w:t xml:space="preserve"> </w:t>
      </w:r>
    </w:p>
    <w:p w14:paraId="44952FCD"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Kraepelin, E. (1899). </w:t>
      </w:r>
      <w:r w:rsidRPr="004D46AC">
        <w:rPr>
          <w:rFonts w:ascii="Arial" w:hAnsi="Arial" w:cs="Arial"/>
          <w:i/>
        </w:rPr>
        <w:t>Psychiatry: A textbook for students and physicians.</w:t>
      </w:r>
      <w:r w:rsidRPr="004D46AC">
        <w:rPr>
          <w:rFonts w:ascii="Arial" w:hAnsi="Arial" w:cs="Arial"/>
        </w:rPr>
        <w:t xml:space="preserve"> (Vol. Volume 1 ). Watson Publishing International. </w:t>
      </w:r>
    </w:p>
    <w:p w14:paraId="2A57A3AA"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Krueger, R. F., Kotov, R., Watson, D., Forbes, M. K., Eaton, N. R., Ruggero, C. J., Simms, L. J., Widiger, T. A., Achenbach, T. M., Bach, B., Bagby, R. M., Bornovalova, M. A., Carpenter, W. T., Chmielewski, M., Cicero, D. C., Clark, L. A., Conway, C., DeClercq, B., DeYoung, C. G.,…Zimmermann, J. (2018). Progress in achieving quantitative classification of psychopathology. </w:t>
      </w:r>
      <w:r w:rsidRPr="004D46AC">
        <w:rPr>
          <w:rFonts w:ascii="Arial" w:hAnsi="Arial" w:cs="Arial"/>
          <w:i/>
        </w:rPr>
        <w:t>World Psychiatry</w:t>
      </w:r>
      <w:r w:rsidRPr="004D46AC">
        <w:rPr>
          <w:rFonts w:ascii="Arial" w:hAnsi="Arial" w:cs="Arial"/>
        </w:rPr>
        <w:t>,</w:t>
      </w:r>
      <w:r w:rsidRPr="004D46AC">
        <w:rPr>
          <w:rFonts w:ascii="Arial" w:hAnsi="Arial" w:cs="Arial"/>
          <w:i/>
        </w:rPr>
        <w:t xml:space="preserve"> 17</w:t>
      </w:r>
      <w:r w:rsidRPr="004D46AC">
        <w:rPr>
          <w:rFonts w:ascii="Arial" w:hAnsi="Arial" w:cs="Arial"/>
        </w:rPr>
        <w:t xml:space="preserve">(3), 282–293. </w:t>
      </w:r>
      <w:hyperlink r:id="rId283" w:history="1">
        <w:r w:rsidRPr="004D46AC">
          <w:rPr>
            <w:rStyle w:val="af5"/>
            <w:rFonts w:ascii="Arial" w:hAnsi="Arial" w:cs="Arial"/>
          </w:rPr>
          <w:t>https://doi.org/10.1002/wps.20566</w:t>
        </w:r>
      </w:hyperlink>
      <w:r w:rsidRPr="004D46AC">
        <w:rPr>
          <w:rFonts w:ascii="Arial" w:hAnsi="Arial" w:cs="Arial"/>
        </w:rPr>
        <w:t xml:space="preserve"> </w:t>
      </w:r>
    </w:p>
    <w:p w14:paraId="7F2E829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Kuswanto, C., Chin, R., Sum, M. Y., Sengupta, S., Fagiolini, A., McIntyre, R. S., Vieta, E., &amp; Sim, K. (2016). Shared and divergent neurocognitive impairments in adult patients with schizophrenia and bipolar disorder: Whither the evidence? </w:t>
      </w:r>
      <w:r w:rsidRPr="004D46AC">
        <w:rPr>
          <w:rFonts w:ascii="Arial" w:hAnsi="Arial" w:cs="Arial"/>
          <w:i/>
        </w:rPr>
        <w:t>Neurosci Biobehav Rev</w:t>
      </w:r>
      <w:r w:rsidRPr="004D46AC">
        <w:rPr>
          <w:rFonts w:ascii="Arial" w:hAnsi="Arial" w:cs="Arial"/>
        </w:rPr>
        <w:t>,</w:t>
      </w:r>
      <w:r w:rsidRPr="004D46AC">
        <w:rPr>
          <w:rFonts w:ascii="Arial" w:hAnsi="Arial" w:cs="Arial"/>
          <w:i/>
        </w:rPr>
        <w:t xml:space="preserve"> 61</w:t>
      </w:r>
      <w:r w:rsidRPr="004D46AC">
        <w:rPr>
          <w:rFonts w:ascii="Arial" w:hAnsi="Arial" w:cs="Arial"/>
        </w:rPr>
        <w:t xml:space="preserve">, 66–89. </w:t>
      </w:r>
      <w:hyperlink r:id="rId284" w:history="1">
        <w:r w:rsidRPr="004D46AC">
          <w:rPr>
            <w:rStyle w:val="af5"/>
            <w:rFonts w:ascii="Arial" w:hAnsi="Arial" w:cs="Arial"/>
          </w:rPr>
          <w:t>https://doi.org/10.1016/j.neubiorev.2015.12.002</w:t>
        </w:r>
      </w:hyperlink>
      <w:r w:rsidRPr="004D46AC">
        <w:rPr>
          <w:rFonts w:ascii="Arial" w:hAnsi="Arial" w:cs="Arial"/>
        </w:rPr>
        <w:t xml:space="preserve"> </w:t>
      </w:r>
    </w:p>
    <w:p w14:paraId="36544F18"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lastRenderedPageBreak/>
        <w:t xml:space="preserve">Lichtenstein, P., Yip, B. H., Bjork, C., Pawitan, Y., Cannon, T. D., Sullivan, P. F., &amp; Hultman, C. M. (2009). Common genetic determinants of schizophrenia and bipolar disorder in Swedish families: a population-based study. </w:t>
      </w:r>
      <w:r w:rsidRPr="004D46AC">
        <w:rPr>
          <w:rFonts w:ascii="Arial" w:hAnsi="Arial" w:cs="Arial"/>
          <w:i/>
        </w:rPr>
        <w:t>Lancet</w:t>
      </w:r>
      <w:r w:rsidRPr="004D46AC">
        <w:rPr>
          <w:rFonts w:ascii="Arial" w:hAnsi="Arial" w:cs="Arial"/>
        </w:rPr>
        <w:t>,</w:t>
      </w:r>
      <w:r w:rsidRPr="004D46AC">
        <w:rPr>
          <w:rFonts w:ascii="Arial" w:hAnsi="Arial" w:cs="Arial"/>
          <w:i/>
        </w:rPr>
        <w:t xml:space="preserve"> 373</w:t>
      </w:r>
      <w:r w:rsidRPr="004D46AC">
        <w:rPr>
          <w:rFonts w:ascii="Arial" w:hAnsi="Arial" w:cs="Arial"/>
        </w:rPr>
        <w:t xml:space="preserve">(9659), 234–239. </w:t>
      </w:r>
      <w:hyperlink r:id="rId285" w:history="1">
        <w:r w:rsidRPr="004D46AC">
          <w:rPr>
            <w:rStyle w:val="af5"/>
            <w:rFonts w:ascii="Arial" w:hAnsi="Arial" w:cs="Arial"/>
          </w:rPr>
          <w:t>https://doi.org/10.1016/S0140-6736(09)60072-6</w:t>
        </w:r>
      </w:hyperlink>
      <w:r w:rsidRPr="004D46AC">
        <w:rPr>
          <w:rFonts w:ascii="Arial" w:hAnsi="Arial" w:cs="Arial"/>
        </w:rPr>
        <w:t xml:space="preserve"> </w:t>
      </w:r>
    </w:p>
    <w:p w14:paraId="5B6B11C6"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Lipkovich, I. A., Houston, J. P., &amp; Ahl, J. (2008). Identifying patterns in treatment response profiles in acute bipolar mania: a cluster analysis approach. </w:t>
      </w:r>
      <w:r w:rsidRPr="004D46AC">
        <w:rPr>
          <w:rFonts w:ascii="Arial" w:hAnsi="Arial" w:cs="Arial"/>
          <w:i/>
        </w:rPr>
        <w:t>BMC Psychiatry</w:t>
      </w:r>
      <w:r w:rsidRPr="004D46AC">
        <w:rPr>
          <w:rFonts w:ascii="Arial" w:hAnsi="Arial" w:cs="Arial"/>
        </w:rPr>
        <w:t>,</w:t>
      </w:r>
      <w:r w:rsidRPr="004D46AC">
        <w:rPr>
          <w:rFonts w:ascii="Arial" w:hAnsi="Arial" w:cs="Arial"/>
          <w:i/>
        </w:rPr>
        <w:t xml:space="preserve"> 8</w:t>
      </w:r>
      <w:r w:rsidRPr="004D46AC">
        <w:rPr>
          <w:rFonts w:ascii="Arial" w:hAnsi="Arial" w:cs="Arial"/>
        </w:rPr>
        <w:t xml:space="preserve">, 65. </w:t>
      </w:r>
      <w:hyperlink r:id="rId286" w:history="1">
        <w:r w:rsidRPr="004D46AC">
          <w:rPr>
            <w:rStyle w:val="af5"/>
            <w:rFonts w:ascii="Arial" w:hAnsi="Arial" w:cs="Arial"/>
          </w:rPr>
          <w:t>https://doi.org/10.1186/1471-244X-8-65</w:t>
        </w:r>
      </w:hyperlink>
      <w:r w:rsidRPr="004D46AC">
        <w:rPr>
          <w:rFonts w:ascii="Arial" w:hAnsi="Arial" w:cs="Arial"/>
        </w:rPr>
        <w:t xml:space="preserve"> </w:t>
      </w:r>
    </w:p>
    <w:p w14:paraId="3595D2C4"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Mancuso, S. G., Morgan, V. A., Mitchell, P. B., Berk, M., Young, A., &amp; Castle, D. J. (2015). A comparison of schizophrenia, schizoaffective disorder, and bipolar disorder: Results from the Second Australian national psychosis survey. </w:t>
      </w:r>
      <w:r w:rsidRPr="004D46AC">
        <w:rPr>
          <w:rFonts w:ascii="Arial" w:hAnsi="Arial" w:cs="Arial"/>
          <w:i/>
        </w:rPr>
        <w:t>J Affect Disord</w:t>
      </w:r>
      <w:r w:rsidRPr="004D46AC">
        <w:rPr>
          <w:rFonts w:ascii="Arial" w:hAnsi="Arial" w:cs="Arial"/>
        </w:rPr>
        <w:t>,</w:t>
      </w:r>
      <w:r w:rsidRPr="004D46AC">
        <w:rPr>
          <w:rFonts w:ascii="Arial" w:hAnsi="Arial" w:cs="Arial"/>
          <w:i/>
        </w:rPr>
        <w:t xml:space="preserve"> 172</w:t>
      </w:r>
      <w:r w:rsidRPr="004D46AC">
        <w:rPr>
          <w:rFonts w:ascii="Arial" w:hAnsi="Arial" w:cs="Arial"/>
        </w:rPr>
        <w:t xml:space="preserve">, 30–37. </w:t>
      </w:r>
      <w:hyperlink r:id="rId287" w:history="1">
        <w:r w:rsidRPr="004D46AC">
          <w:rPr>
            <w:rStyle w:val="af5"/>
            <w:rFonts w:ascii="Arial" w:hAnsi="Arial" w:cs="Arial"/>
          </w:rPr>
          <w:t>https://doi.org/10.1016/j.jad.2014.09.035</w:t>
        </w:r>
      </w:hyperlink>
      <w:r w:rsidRPr="004D46AC">
        <w:rPr>
          <w:rFonts w:ascii="Arial" w:hAnsi="Arial" w:cs="Arial"/>
        </w:rPr>
        <w:t xml:space="preserve"> </w:t>
      </w:r>
    </w:p>
    <w:p w14:paraId="4FC36A04"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Miller, J. J. (1978). The Inverse of the Freeman – Tukey Double Arcsine Transformation. </w:t>
      </w:r>
      <w:r w:rsidRPr="004D46AC">
        <w:rPr>
          <w:rFonts w:ascii="Arial" w:hAnsi="Arial" w:cs="Arial"/>
          <w:i/>
        </w:rPr>
        <w:t>The American Statistician</w:t>
      </w:r>
      <w:r w:rsidRPr="004D46AC">
        <w:rPr>
          <w:rFonts w:ascii="Arial" w:hAnsi="Arial" w:cs="Arial"/>
        </w:rPr>
        <w:t>,</w:t>
      </w:r>
      <w:r w:rsidRPr="004D46AC">
        <w:rPr>
          <w:rFonts w:ascii="Arial" w:hAnsi="Arial" w:cs="Arial"/>
          <w:i/>
        </w:rPr>
        <w:t xml:space="preserve"> 32</w:t>
      </w:r>
      <w:r w:rsidRPr="004D46AC">
        <w:rPr>
          <w:rFonts w:ascii="Arial" w:hAnsi="Arial" w:cs="Arial"/>
        </w:rPr>
        <w:t xml:space="preserve">(4), 138–138. </w:t>
      </w:r>
      <w:hyperlink r:id="rId288" w:history="1">
        <w:r w:rsidRPr="004D46AC">
          <w:rPr>
            <w:rStyle w:val="af5"/>
            <w:rFonts w:ascii="Arial" w:hAnsi="Arial" w:cs="Arial"/>
          </w:rPr>
          <w:t>https://doi.org/10.1080/00031305.1978.10479283</w:t>
        </w:r>
      </w:hyperlink>
      <w:r w:rsidRPr="004D46AC">
        <w:rPr>
          <w:rFonts w:ascii="Arial" w:hAnsi="Arial" w:cs="Arial"/>
        </w:rPr>
        <w:t xml:space="preserve"> </w:t>
      </w:r>
    </w:p>
    <w:p w14:paraId="16C6F9DE"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Moreno-Küstner, B., Martín, C., &amp; Pastor, L. (2018). Prevalence of psychotic disorders and its association with methodological issues. A systematic review and meta-analyses. </w:t>
      </w:r>
      <w:r w:rsidRPr="004D46AC">
        <w:rPr>
          <w:rFonts w:ascii="Arial" w:hAnsi="Arial" w:cs="Arial"/>
          <w:i/>
        </w:rPr>
        <w:t>PLoS One</w:t>
      </w:r>
      <w:r w:rsidRPr="004D46AC">
        <w:rPr>
          <w:rFonts w:ascii="Arial" w:hAnsi="Arial" w:cs="Arial"/>
        </w:rPr>
        <w:t>,</w:t>
      </w:r>
      <w:r w:rsidRPr="004D46AC">
        <w:rPr>
          <w:rFonts w:ascii="Arial" w:hAnsi="Arial" w:cs="Arial"/>
          <w:i/>
        </w:rPr>
        <w:t xml:space="preserve"> 13</w:t>
      </w:r>
      <w:r w:rsidRPr="004D46AC">
        <w:rPr>
          <w:rFonts w:ascii="Arial" w:hAnsi="Arial" w:cs="Arial"/>
        </w:rPr>
        <w:t xml:space="preserve">(4), e0195687. </w:t>
      </w:r>
      <w:hyperlink r:id="rId289" w:history="1">
        <w:r w:rsidRPr="004D46AC">
          <w:rPr>
            <w:rStyle w:val="af5"/>
            <w:rFonts w:ascii="Arial" w:hAnsi="Arial" w:cs="Arial"/>
          </w:rPr>
          <w:t>https://doi.org/10.1371/journal.pone.0195687</w:t>
        </w:r>
      </w:hyperlink>
      <w:r w:rsidRPr="004D46AC">
        <w:rPr>
          <w:rFonts w:ascii="Arial" w:hAnsi="Arial" w:cs="Arial"/>
        </w:rPr>
        <w:t xml:space="preserve"> </w:t>
      </w:r>
    </w:p>
    <w:p w14:paraId="6A6C6807"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Mulholland, C., &amp; Cooper, S. (2000). The symptom of depression in schizophrenia and its management. </w:t>
      </w:r>
      <w:r w:rsidRPr="004D46AC">
        <w:rPr>
          <w:rFonts w:ascii="Arial" w:hAnsi="Arial" w:cs="Arial"/>
          <w:i/>
        </w:rPr>
        <w:t>Advances in Psychiatric Treatment</w:t>
      </w:r>
      <w:r w:rsidRPr="004D46AC">
        <w:rPr>
          <w:rFonts w:ascii="Arial" w:hAnsi="Arial" w:cs="Arial"/>
        </w:rPr>
        <w:t>,</w:t>
      </w:r>
      <w:r w:rsidRPr="004D46AC">
        <w:rPr>
          <w:rFonts w:ascii="Arial" w:hAnsi="Arial" w:cs="Arial"/>
          <w:i/>
        </w:rPr>
        <w:t xml:space="preserve"> 6</w:t>
      </w:r>
      <w:r w:rsidRPr="004D46AC">
        <w:rPr>
          <w:rFonts w:ascii="Arial" w:hAnsi="Arial" w:cs="Arial"/>
        </w:rPr>
        <w:t xml:space="preserve">(3), 169–177. </w:t>
      </w:r>
    </w:p>
    <w:p w14:paraId="5BDFBF17"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Nicole, L., Lesage, A., &amp; Lalonde, P. (1992). Lower incidence and increased male:female ratio in schizophrenia. </w:t>
      </w:r>
      <w:r w:rsidRPr="004D46AC">
        <w:rPr>
          <w:rFonts w:ascii="Arial" w:hAnsi="Arial" w:cs="Arial"/>
          <w:i/>
        </w:rPr>
        <w:t>Br J Psychiatry</w:t>
      </w:r>
      <w:r w:rsidRPr="004D46AC">
        <w:rPr>
          <w:rFonts w:ascii="Arial" w:hAnsi="Arial" w:cs="Arial"/>
        </w:rPr>
        <w:t>,</w:t>
      </w:r>
      <w:r w:rsidRPr="004D46AC">
        <w:rPr>
          <w:rFonts w:ascii="Arial" w:hAnsi="Arial" w:cs="Arial"/>
          <w:i/>
        </w:rPr>
        <w:t xml:space="preserve"> 161</w:t>
      </w:r>
      <w:r w:rsidRPr="004D46AC">
        <w:rPr>
          <w:rFonts w:ascii="Arial" w:hAnsi="Arial" w:cs="Arial"/>
        </w:rPr>
        <w:t xml:space="preserve">(4), 556–557. </w:t>
      </w:r>
      <w:hyperlink r:id="rId290" w:history="1">
        <w:r w:rsidRPr="004D46AC">
          <w:rPr>
            <w:rStyle w:val="af5"/>
            <w:rFonts w:ascii="Arial" w:hAnsi="Arial" w:cs="Arial"/>
          </w:rPr>
          <w:t>https://doi.org/10.1192/bjp.161.4.556</w:t>
        </w:r>
      </w:hyperlink>
      <w:r w:rsidRPr="004D46AC">
        <w:rPr>
          <w:rFonts w:ascii="Arial" w:hAnsi="Arial" w:cs="Arial"/>
        </w:rPr>
        <w:t xml:space="preserve"> </w:t>
      </w:r>
    </w:p>
    <w:p w14:paraId="31B2BA6F"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Nisha, A., Sathesh, V., Punnoose, V. P., &amp; Varghese, P. J. (2015). A comparative study on psycho-socio-demographic and clinical profile of patients with bipolar versus unipolar depression. </w:t>
      </w:r>
      <w:r w:rsidRPr="004D46AC">
        <w:rPr>
          <w:rFonts w:ascii="Arial" w:hAnsi="Arial" w:cs="Arial"/>
          <w:i/>
        </w:rPr>
        <w:t>Indian J Psychiatry</w:t>
      </w:r>
      <w:r w:rsidRPr="004D46AC">
        <w:rPr>
          <w:rFonts w:ascii="Arial" w:hAnsi="Arial" w:cs="Arial"/>
        </w:rPr>
        <w:t>,</w:t>
      </w:r>
      <w:r w:rsidRPr="004D46AC">
        <w:rPr>
          <w:rFonts w:ascii="Arial" w:hAnsi="Arial" w:cs="Arial"/>
          <w:i/>
        </w:rPr>
        <w:t xml:space="preserve"> 57</w:t>
      </w:r>
      <w:r w:rsidRPr="004D46AC">
        <w:rPr>
          <w:rFonts w:ascii="Arial" w:hAnsi="Arial" w:cs="Arial"/>
        </w:rPr>
        <w:t xml:space="preserve">(4), 392–396. </w:t>
      </w:r>
      <w:hyperlink r:id="rId291" w:history="1">
        <w:r w:rsidRPr="004D46AC">
          <w:rPr>
            <w:rStyle w:val="af5"/>
            <w:rFonts w:ascii="Arial" w:hAnsi="Arial" w:cs="Arial"/>
          </w:rPr>
          <w:t>https://doi.org/10.4103/0019-5545.171842</w:t>
        </w:r>
      </w:hyperlink>
      <w:r w:rsidRPr="004D46AC">
        <w:rPr>
          <w:rFonts w:ascii="Arial" w:hAnsi="Arial" w:cs="Arial"/>
        </w:rPr>
        <w:t xml:space="preserve"> </w:t>
      </w:r>
    </w:p>
    <w:p w14:paraId="30A70F70"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Ohi, K., Nishizawa, D., Sugiyama, S., Takai, K., Fujikane, D., Kuramitsu, A., Hasegawa, J., Soda, M., Kitaichi, K., Hashimoto, R., Ikeda, K., &amp; Shioiri, T. (2023). Cognitive performances across individuals at high genetic risk for schizophrenia, high genetic risk for bipolar disorder, and low genetic risks: a combined polygenic risk score approach. </w:t>
      </w:r>
      <w:r w:rsidRPr="004D46AC">
        <w:rPr>
          <w:rFonts w:ascii="Arial" w:hAnsi="Arial" w:cs="Arial"/>
          <w:i/>
        </w:rPr>
        <w:t>Psychol Med</w:t>
      </w:r>
      <w:r w:rsidRPr="004D46AC">
        <w:rPr>
          <w:rFonts w:ascii="Arial" w:hAnsi="Arial" w:cs="Arial"/>
        </w:rPr>
        <w:t>,</w:t>
      </w:r>
      <w:r w:rsidRPr="004D46AC">
        <w:rPr>
          <w:rFonts w:ascii="Arial" w:hAnsi="Arial" w:cs="Arial"/>
          <w:i/>
        </w:rPr>
        <w:t xml:space="preserve"> 53</w:t>
      </w:r>
      <w:r w:rsidRPr="004D46AC">
        <w:rPr>
          <w:rFonts w:ascii="Arial" w:hAnsi="Arial" w:cs="Arial"/>
        </w:rPr>
        <w:t xml:space="preserve">(10), 4454–4463. </w:t>
      </w:r>
      <w:hyperlink r:id="rId292" w:history="1">
        <w:r w:rsidRPr="004D46AC">
          <w:rPr>
            <w:rStyle w:val="af5"/>
            <w:rFonts w:ascii="Arial" w:hAnsi="Arial" w:cs="Arial"/>
          </w:rPr>
          <w:t>https://doi.org/10.1017/S0033291722001271</w:t>
        </w:r>
      </w:hyperlink>
      <w:r w:rsidRPr="004D46AC">
        <w:rPr>
          <w:rFonts w:ascii="Arial" w:hAnsi="Arial" w:cs="Arial"/>
        </w:rPr>
        <w:t xml:space="preserve"> </w:t>
      </w:r>
    </w:p>
    <w:p w14:paraId="140810B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Palmier-Claus, J. E., Berry, K., Bucci, S., Mansell, W., &amp; Varese, F. (2016). Relationship between childhood adversity and bipolar affective disorder: systematic review and meta-analysis. </w:t>
      </w:r>
      <w:r w:rsidRPr="004D46AC">
        <w:rPr>
          <w:rFonts w:ascii="Arial" w:hAnsi="Arial" w:cs="Arial"/>
          <w:i/>
        </w:rPr>
        <w:t>Br J Psychiatry</w:t>
      </w:r>
      <w:r w:rsidRPr="004D46AC">
        <w:rPr>
          <w:rFonts w:ascii="Arial" w:hAnsi="Arial" w:cs="Arial"/>
        </w:rPr>
        <w:t>,</w:t>
      </w:r>
      <w:r w:rsidRPr="004D46AC">
        <w:rPr>
          <w:rFonts w:ascii="Arial" w:hAnsi="Arial" w:cs="Arial"/>
          <w:i/>
        </w:rPr>
        <w:t xml:space="preserve"> 209</w:t>
      </w:r>
      <w:r w:rsidRPr="004D46AC">
        <w:rPr>
          <w:rFonts w:ascii="Arial" w:hAnsi="Arial" w:cs="Arial"/>
        </w:rPr>
        <w:t xml:space="preserve">(6), 454–459. </w:t>
      </w:r>
      <w:hyperlink r:id="rId293" w:history="1">
        <w:r w:rsidRPr="004D46AC">
          <w:rPr>
            <w:rStyle w:val="af5"/>
            <w:rFonts w:ascii="Arial" w:hAnsi="Arial" w:cs="Arial"/>
          </w:rPr>
          <w:t>https://doi.org/10.1192/bjp.bp.115.179655</w:t>
        </w:r>
      </w:hyperlink>
      <w:r w:rsidRPr="004D46AC">
        <w:rPr>
          <w:rFonts w:ascii="Arial" w:hAnsi="Arial" w:cs="Arial"/>
        </w:rPr>
        <w:t xml:space="preserve"> </w:t>
      </w:r>
    </w:p>
    <w:p w14:paraId="1476B5FF"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lastRenderedPageBreak/>
        <w:t xml:space="preserve">Parker, G., Graham, R., Hadzi-Pavlovic, D., McCraw, S., Hong, M., &amp; Friend, P. (2013). Differentiation of bipolar I and II disorders by examining for differences in severity of manic/hypomanic symptoms and the presence or absence of psychosis during that phase. </w:t>
      </w:r>
      <w:r w:rsidRPr="004D46AC">
        <w:rPr>
          <w:rFonts w:ascii="Arial" w:hAnsi="Arial" w:cs="Arial"/>
          <w:i/>
        </w:rPr>
        <w:t>J Affect Disord</w:t>
      </w:r>
      <w:r w:rsidRPr="004D46AC">
        <w:rPr>
          <w:rFonts w:ascii="Arial" w:hAnsi="Arial" w:cs="Arial"/>
        </w:rPr>
        <w:t>,</w:t>
      </w:r>
      <w:r w:rsidRPr="004D46AC">
        <w:rPr>
          <w:rFonts w:ascii="Arial" w:hAnsi="Arial" w:cs="Arial"/>
          <w:i/>
        </w:rPr>
        <w:t xml:space="preserve"> 150</w:t>
      </w:r>
      <w:r w:rsidRPr="004D46AC">
        <w:rPr>
          <w:rFonts w:ascii="Arial" w:hAnsi="Arial" w:cs="Arial"/>
        </w:rPr>
        <w:t xml:space="preserve">(3), 941–947. </w:t>
      </w:r>
      <w:hyperlink r:id="rId294" w:history="1">
        <w:r w:rsidRPr="004D46AC">
          <w:rPr>
            <w:rStyle w:val="af5"/>
            <w:rFonts w:ascii="Arial" w:hAnsi="Arial" w:cs="Arial"/>
          </w:rPr>
          <w:t>https://doi.org/10.1016/j.jad.2013.05.018</w:t>
        </w:r>
      </w:hyperlink>
      <w:r w:rsidRPr="004D46AC">
        <w:rPr>
          <w:rFonts w:ascii="Arial" w:hAnsi="Arial" w:cs="Arial"/>
        </w:rPr>
        <w:t xml:space="preserve"> </w:t>
      </w:r>
    </w:p>
    <w:p w14:paraId="2930A5DF"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Perala, J., Suvisaari, J., Saarni, S. I., Kuoppasalmi, K., Isometsa, E., Pirkola, S., Partonen, T., Tuulio-Henriksson, A., Hintikka, J., Kieseppa, T., Harkanen, T., Koskinen, S., &amp; Lonnqvist, J. (2007). Lifetime prevalence of psychotic and bipolar I disorders in a general population. </w:t>
      </w:r>
      <w:r w:rsidRPr="004D46AC">
        <w:rPr>
          <w:rFonts w:ascii="Arial" w:hAnsi="Arial" w:cs="Arial"/>
          <w:i/>
        </w:rPr>
        <w:t>Arch Gen Psychiatry</w:t>
      </w:r>
      <w:r w:rsidRPr="004D46AC">
        <w:rPr>
          <w:rFonts w:ascii="Arial" w:hAnsi="Arial" w:cs="Arial"/>
        </w:rPr>
        <w:t>,</w:t>
      </w:r>
      <w:r w:rsidRPr="004D46AC">
        <w:rPr>
          <w:rFonts w:ascii="Arial" w:hAnsi="Arial" w:cs="Arial"/>
          <w:i/>
        </w:rPr>
        <w:t xml:space="preserve"> 64</w:t>
      </w:r>
      <w:r w:rsidRPr="004D46AC">
        <w:rPr>
          <w:rFonts w:ascii="Arial" w:hAnsi="Arial" w:cs="Arial"/>
        </w:rPr>
        <w:t xml:space="preserve">(1), 19–28. </w:t>
      </w:r>
      <w:hyperlink r:id="rId295" w:history="1">
        <w:r w:rsidRPr="004D46AC">
          <w:rPr>
            <w:rStyle w:val="af5"/>
            <w:rFonts w:ascii="Arial" w:hAnsi="Arial" w:cs="Arial"/>
          </w:rPr>
          <w:t>https://doi.org/10.1001/archpsyc.64.1.19</w:t>
        </w:r>
      </w:hyperlink>
      <w:r w:rsidRPr="004D46AC">
        <w:rPr>
          <w:rFonts w:ascii="Arial" w:hAnsi="Arial" w:cs="Arial"/>
        </w:rPr>
        <w:t xml:space="preserve"> </w:t>
      </w:r>
    </w:p>
    <w:p w14:paraId="4A581242"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Rasic, D., Hajek, T., Alda, M., &amp; Uher, R. (2014). Risk of mental illness in offspring of parents with schizophrenia, bipolar disorder, and major depressive disorder: a meta-analysis of family high-risk studies. </w:t>
      </w:r>
      <w:r w:rsidRPr="004D46AC">
        <w:rPr>
          <w:rFonts w:ascii="Arial" w:hAnsi="Arial" w:cs="Arial"/>
          <w:i/>
        </w:rPr>
        <w:t>Schizophr Bull</w:t>
      </w:r>
      <w:r w:rsidRPr="004D46AC">
        <w:rPr>
          <w:rFonts w:ascii="Arial" w:hAnsi="Arial" w:cs="Arial"/>
        </w:rPr>
        <w:t>,</w:t>
      </w:r>
      <w:r w:rsidRPr="004D46AC">
        <w:rPr>
          <w:rFonts w:ascii="Arial" w:hAnsi="Arial" w:cs="Arial"/>
          <w:i/>
        </w:rPr>
        <w:t xml:space="preserve"> 40</w:t>
      </w:r>
      <w:r w:rsidRPr="004D46AC">
        <w:rPr>
          <w:rFonts w:ascii="Arial" w:hAnsi="Arial" w:cs="Arial"/>
        </w:rPr>
        <w:t xml:space="preserve">(1), 28–38. </w:t>
      </w:r>
      <w:hyperlink r:id="rId296" w:history="1">
        <w:r w:rsidRPr="004D46AC">
          <w:rPr>
            <w:rStyle w:val="af5"/>
            <w:rFonts w:ascii="Arial" w:hAnsi="Arial" w:cs="Arial"/>
          </w:rPr>
          <w:t>https://doi.org/10.1093/schbul/sbt114</w:t>
        </w:r>
      </w:hyperlink>
      <w:r w:rsidRPr="004D46AC">
        <w:rPr>
          <w:rFonts w:ascii="Arial" w:hAnsi="Arial" w:cs="Arial"/>
        </w:rPr>
        <w:t xml:space="preserve"> </w:t>
      </w:r>
    </w:p>
    <w:p w14:paraId="2FC15B4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Reininghaus, U., Bohnke, J. R., Chavez-Baldini, U., Gibbons, R., Ivleva, E., Clementz, B. A., Pearlson, G. D., Keshavan, M. S., Sweeney, J. A., &amp; Tamminga, C. A. (2019). Transdiagnostic dimensions of psychosis in the Bipolar-Schizophrenia Network on Intermediate Phenotypes (B-SNIP). </w:t>
      </w:r>
      <w:r w:rsidRPr="004D46AC">
        <w:rPr>
          <w:rFonts w:ascii="Arial" w:hAnsi="Arial" w:cs="Arial"/>
          <w:i/>
        </w:rPr>
        <w:t>World Psychiatry</w:t>
      </w:r>
      <w:r w:rsidRPr="004D46AC">
        <w:rPr>
          <w:rFonts w:ascii="Arial" w:hAnsi="Arial" w:cs="Arial"/>
        </w:rPr>
        <w:t>,</w:t>
      </w:r>
      <w:r w:rsidRPr="004D46AC">
        <w:rPr>
          <w:rFonts w:ascii="Arial" w:hAnsi="Arial" w:cs="Arial"/>
          <w:i/>
        </w:rPr>
        <w:t xml:space="preserve"> 18</w:t>
      </w:r>
      <w:r w:rsidRPr="004D46AC">
        <w:rPr>
          <w:rFonts w:ascii="Arial" w:hAnsi="Arial" w:cs="Arial"/>
        </w:rPr>
        <w:t xml:space="preserve">(1), 67–76. </w:t>
      </w:r>
      <w:hyperlink r:id="rId297" w:history="1">
        <w:r w:rsidRPr="004D46AC">
          <w:rPr>
            <w:rStyle w:val="af5"/>
            <w:rFonts w:ascii="Arial" w:hAnsi="Arial" w:cs="Arial"/>
          </w:rPr>
          <w:t>https://doi.org/10.1002/wps.20607</w:t>
        </w:r>
      </w:hyperlink>
      <w:r w:rsidRPr="004D46AC">
        <w:rPr>
          <w:rFonts w:ascii="Arial" w:hAnsi="Arial" w:cs="Arial"/>
        </w:rPr>
        <w:t xml:space="preserve"> </w:t>
      </w:r>
    </w:p>
    <w:p w14:paraId="27D84CFA"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Reininghaus, U., Bohnke, J. R., Hosang, G., Farmer, A., Burns, T., McGuffin, P., &amp; Bentall, R. P. (2016). Evaluation of the validity and utility of a transdiagnostic psychosis dimension encompassing schizophrenia and bipolar disorder. </w:t>
      </w:r>
      <w:r w:rsidRPr="004D46AC">
        <w:rPr>
          <w:rFonts w:ascii="Arial" w:hAnsi="Arial" w:cs="Arial"/>
          <w:i/>
        </w:rPr>
        <w:t>Br J Psychiatry</w:t>
      </w:r>
      <w:r w:rsidRPr="004D46AC">
        <w:rPr>
          <w:rFonts w:ascii="Arial" w:hAnsi="Arial" w:cs="Arial"/>
        </w:rPr>
        <w:t>,</w:t>
      </w:r>
      <w:r w:rsidRPr="004D46AC">
        <w:rPr>
          <w:rFonts w:ascii="Arial" w:hAnsi="Arial" w:cs="Arial"/>
          <w:i/>
        </w:rPr>
        <w:t xml:space="preserve"> 209</w:t>
      </w:r>
      <w:r w:rsidRPr="004D46AC">
        <w:rPr>
          <w:rFonts w:ascii="Arial" w:hAnsi="Arial" w:cs="Arial"/>
        </w:rPr>
        <w:t xml:space="preserve">(2), 107–113. </w:t>
      </w:r>
      <w:hyperlink r:id="rId298" w:history="1">
        <w:r w:rsidRPr="004D46AC">
          <w:rPr>
            <w:rStyle w:val="af5"/>
            <w:rFonts w:ascii="Arial" w:hAnsi="Arial" w:cs="Arial"/>
          </w:rPr>
          <w:t>https://doi.org/10.1192/bjp.bp.115.167882</w:t>
        </w:r>
      </w:hyperlink>
      <w:r w:rsidRPr="004D46AC">
        <w:rPr>
          <w:rFonts w:ascii="Arial" w:hAnsi="Arial" w:cs="Arial"/>
        </w:rPr>
        <w:t xml:space="preserve"> </w:t>
      </w:r>
    </w:p>
    <w:p w14:paraId="300DC88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Reininghaus, U., Priebe, S., &amp; Bentall, R. P. (2013). Testing the psychopathology of psychosis: evidence for a general psychosis dimension. </w:t>
      </w:r>
      <w:r w:rsidRPr="004D46AC">
        <w:rPr>
          <w:rFonts w:ascii="Arial" w:hAnsi="Arial" w:cs="Arial"/>
          <w:i/>
        </w:rPr>
        <w:t>Schizophr Bull</w:t>
      </w:r>
      <w:r w:rsidRPr="004D46AC">
        <w:rPr>
          <w:rFonts w:ascii="Arial" w:hAnsi="Arial" w:cs="Arial"/>
        </w:rPr>
        <w:t>,</w:t>
      </w:r>
      <w:r w:rsidRPr="004D46AC">
        <w:rPr>
          <w:rFonts w:ascii="Arial" w:hAnsi="Arial" w:cs="Arial"/>
          <w:i/>
        </w:rPr>
        <w:t xml:space="preserve"> 39</w:t>
      </w:r>
      <w:r w:rsidRPr="004D46AC">
        <w:rPr>
          <w:rFonts w:ascii="Arial" w:hAnsi="Arial" w:cs="Arial"/>
        </w:rPr>
        <w:t xml:space="preserve">(4), 884–895. </w:t>
      </w:r>
      <w:hyperlink r:id="rId299" w:history="1">
        <w:r w:rsidRPr="004D46AC">
          <w:rPr>
            <w:rStyle w:val="af5"/>
            <w:rFonts w:ascii="Arial" w:hAnsi="Arial" w:cs="Arial"/>
          </w:rPr>
          <w:t>https://doi.org/10.1093/schbul/sbr182</w:t>
        </w:r>
      </w:hyperlink>
      <w:r w:rsidRPr="004D46AC">
        <w:rPr>
          <w:rFonts w:ascii="Arial" w:hAnsi="Arial" w:cs="Arial"/>
        </w:rPr>
        <w:t xml:space="preserve"> </w:t>
      </w:r>
    </w:p>
    <w:p w14:paraId="1BD35F67"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Rosen, C., Jones, N., Chase, K. A., Gin, H., Grossman, L. S., &amp; Sharma, R. P. (2016). The intrasubjectivity of self, voices and delusions: A phenomenological analysis. </w:t>
      </w:r>
      <w:r w:rsidRPr="004D46AC">
        <w:rPr>
          <w:rFonts w:ascii="Arial" w:hAnsi="Arial" w:cs="Arial"/>
          <w:i/>
        </w:rPr>
        <w:t>Psychosis</w:t>
      </w:r>
      <w:r w:rsidRPr="004D46AC">
        <w:rPr>
          <w:rFonts w:ascii="Arial" w:hAnsi="Arial" w:cs="Arial"/>
        </w:rPr>
        <w:t>,</w:t>
      </w:r>
      <w:r w:rsidRPr="004D46AC">
        <w:rPr>
          <w:rFonts w:ascii="Arial" w:hAnsi="Arial" w:cs="Arial"/>
          <w:i/>
        </w:rPr>
        <w:t xml:space="preserve"> 8</w:t>
      </w:r>
      <w:r w:rsidRPr="004D46AC">
        <w:rPr>
          <w:rFonts w:ascii="Arial" w:hAnsi="Arial" w:cs="Arial"/>
        </w:rPr>
        <w:t xml:space="preserve">(4), 357–368. </w:t>
      </w:r>
      <w:hyperlink r:id="rId300" w:history="1">
        <w:r w:rsidRPr="004D46AC">
          <w:rPr>
            <w:rStyle w:val="af5"/>
            <w:rFonts w:ascii="Arial" w:hAnsi="Arial" w:cs="Arial"/>
          </w:rPr>
          <w:t>https://doi.org/10.1080/17522439.2016.1162839</w:t>
        </w:r>
      </w:hyperlink>
      <w:r w:rsidRPr="004D46AC">
        <w:rPr>
          <w:rFonts w:ascii="Arial" w:hAnsi="Arial" w:cs="Arial"/>
        </w:rPr>
        <w:t xml:space="preserve"> </w:t>
      </w:r>
    </w:p>
    <w:p w14:paraId="16FFC345"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Schulze, T. G., Akula, N., Breuer, R., Steele, J., Nalls, M. A., Singleton, A. B., Degenhardt, F. A., Nothen, M. M., Cichon, S., Rietschel, M., Bipolar Genome, S., &amp; McMahon, F. J. (2014). Molecular genetic overlap in bipolar disorder, schizophrenia, and major depressive disorder. </w:t>
      </w:r>
      <w:r w:rsidRPr="004D46AC">
        <w:rPr>
          <w:rFonts w:ascii="Arial" w:hAnsi="Arial" w:cs="Arial"/>
          <w:i/>
        </w:rPr>
        <w:t>World J Biol Psychiatry</w:t>
      </w:r>
      <w:r w:rsidRPr="004D46AC">
        <w:rPr>
          <w:rFonts w:ascii="Arial" w:hAnsi="Arial" w:cs="Arial"/>
        </w:rPr>
        <w:t>,</w:t>
      </w:r>
      <w:r w:rsidRPr="004D46AC">
        <w:rPr>
          <w:rFonts w:ascii="Arial" w:hAnsi="Arial" w:cs="Arial"/>
          <w:i/>
        </w:rPr>
        <w:t xml:space="preserve"> 15</w:t>
      </w:r>
      <w:r w:rsidRPr="004D46AC">
        <w:rPr>
          <w:rFonts w:ascii="Arial" w:hAnsi="Arial" w:cs="Arial"/>
        </w:rPr>
        <w:t xml:space="preserve">(3), 200–208. </w:t>
      </w:r>
      <w:hyperlink r:id="rId301" w:history="1">
        <w:r w:rsidRPr="004D46AC">
          <w:rPr>
            <w:rStyle w:val="af5"/>
            <w:rFonts w:ascii="Arial" w:hAnsi="Arial" w:cs="Arial"/>
          </w:rPr>
          <w:t>https://doi.org/10.3109/15622975.2012.662282</w:t>
        </w:r>
      </w:hyperlink>
      <w:r w:rsidRPr="004D46AC">
        <w:rPr>
          <w:rFonts w:ascii="Arial" w:hAnsi="Arial" w:cs="Arial"/>
        </w:rPr>
        <w:t xml:space="preserve"> </w:t>
      </w:r>
    </w:p>
    <w:p w14:paraId="6CF2E12A"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Shao, W., Simmonds-Buckley, M., Zavlis, O., &amp; Bentall, R. P. (2024). The Common Structure of the Major Psychoses: More Similarities Than Differences in the Network Structures of Schizophrenia, Schizoaffective Disorder, and Psychotic Bipolar Disorder. </w:t>
      </w:r>
      <w:r w:rsidRPr="004D46AC">
        <w:rPr>
          <w:rFonts w:ascii="Arial" w:hAnsi="Arial" w:cs="Arial"/>
          <w:i/>
        </w:rPr>
        <w:t>Schizophr Bull</w:t>
      </w:r>
      <w:r w:rsidRPr="004D46AC">
        <w:rPr>
          <w:rFonts w:ascii="Arial" w:hAnsi="Arial" w:cs="Arial"/>
        </w:rPr>
        <w:t xml:space="preserve">, sbae154. </w:t>
      </w:r>
      <w:hyperlink r:id="rId302" w:history="1">
        <w:r w:rsidRPr="004D46AC">
          <w:rPr>
            <w:rStyle w:val="af5"/>
            <w:rFonts w:ascii="Arial" w:hAnsi="Arial" w:cs="Arial"/>
          </w:rPr>
          <w:t>https://doi.org/10.1093/schbul/sbae154</w:t>
        </w:r>
      </w:hyperlink>
      <w:r w:rsidRPr="004D46AC">
        <w:rPr>
          <w:rFonts w:ascii="Arial" w:hAnsi="Arial" w:cs="Arial"/>
        </w:rPr>
        <w:t xml:space="preserve"> </w:t>
      </w:r>
    </w:p>
    <w:p w14:paraId="3CB503D1"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lastRenderedPageBreak/>
        <w:t xml:space="preserve">Song, J., Han, D. H., Kim, S. M., Hong, J. S., Min, K. J., Cheong, J. H., &amp; Kim, B. N. (2015). Differences in gray matter volume corresponding to delusion and hallucination in patients with schizophrenia compared with patients who have bipolar disorder. </w:t>
      </w:r>
      <w:r w:rsidRPr="004D46AC">
        <w:rPr>
          <w:rFonts w:ascii="Arial" w:hAnsi="Arial" w:cs="Arial"/>
          <w:i/>
        </w:rPr>
        <w:t>Neuropsychiatr Dis Treat</w:t>
      </w:r>
      <w:r w:rsidRPr="004D46AC">
        <w:rPr>
          <w:rFonts w:ascii="Arial" w:hAnsi="Arial" w:cs="Arial"/>
        </w:rPr>
        <w:t>,</w:t>
      </w:r>
      <w:r w:rsidRPr="004D46AC">
        <w:rPr>
          <w:rFonts w:ascii="Arial" w:hAnsi="Arial" w:cs="Arial"/>
          <w:i/>
        </w:rPr>
        <w:t xml:space="preserve"> 11</w:t>
      </w:r>
      <w:r w:rsidRPr="004D46AC">
        <w:rPr>
          <w:rFonts w:ascii="Arial" w:hAnsi="Arial" w:cs="Arial"/>
        </w:rPr>
        <w:t xml:space="preserve">, 1211–1219. </w:t>
      </w:r>
      <w:hyperlink r:id="rId303" w:history="1">
        <w:r w:rsidRPr="004D46AC">
          <w:rPr>
            <w:rStyle w:val="af5"/>
            <w:rFonts w:ascii="Arial" w:hAnsi="Arial" w:cs="Arial"/>
          </w:rPr>
          <w:t>https://doi.org/10.2147/NDT.S80438</w:t>
        </w:r>
      </w:hyperlink>
      <w:r w:rsidRPr="004D46AC">
        <w:rPr>
          <w:rFonts w:ascii="Arial" w:hAnsi="Arial" w:cs="Arial"/>
        </w:rPr>
        <w:t xml:space="preserve"> </w:t>
      </w:r>
    </w:p>
    <w:p w14:paraId="076030A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Sullivan, P. F., Kendler, K. S., &amp; Neale, M. C. (2003). Schizophrenia as a complex trait: evidence from a meta-analysis of twin studies. </w:t>
      </w:r>
      <w:r w:rsidRPr="004D46AC">
        <w:rPr>
          <w:rFonts w:ascii="Arial" w:hAnsi="Arial" w:cs="Arial"/>
          <w:i/>
        </w:rPr>
        <w:t>Arch Gen Psychiatry</w:t>
      </w:r>
      <w:r w:rsidRPr="004D46AC">
        <w:rPr>
          <w:rFonts w:ascii="Arial" w:hAnsi="Arial" w:cs="Arial"/>
        </w:rPr>
        <w:t>,</w:t>
      </w:r>
      <w:r w:rsidRPr="004D46AC">
        <w:rPr>
          <w:rFonts w:ascii="Arial" w:hAnsi="Arial" w:cs="Arial"/>
          <w:i/>
        </w:rPr>
        <w:t xml:space="preserve"> 60</w:t>
      </w:r>
      <w:r w:rsidRPr="004D46AC">
        <w:rPr>
          <w:rFonts w:ascii="Arial" w:hAnsi="Arial" w:cs="Arial"/>
        </w:rPr>
        <w:t xml:space="preserve">(12), 1187–1192. </w:t>
      </w:r>
      <w:hyperlink r:id="rId304" w:history="1">
        <w:r w:rsidRPr="004D46AC">
          <w:rPr>
            <w:rStyle w:val="af5"/>
            <w:rFonts w:ascii="Arial" w:hAnsi="Arial" w:cs="Arial"/>
          </w:rPr>
          <w:t>https://doi.org/10.1001/archpsyc.60.12.1187</w:t>
        </w:r>
      </w:hyperlink>
      <w:r w:rsidRPr="004D46AC">
        <w:rPr>
          <w:rFonts w:ascii="Arial" w:hAnsi="Arial" w:cs="Arial"/>
        </w:rPr>
        <w:t xml:space="preserve"> </w:t>
      </w:r>
    </w:p>
    <w:p w14:paraId="10368A2D"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Tai, S., Haddock, G., &amp; Bentall, R. (2004). The effects of emotional salience on thought disorder in patients with bipolar affective disorder. </w:t>
      </w:r>
      <w:r w:rsidRPr="004D46AC">
        <w:rPr>
          <w:rFonts w:ascii="Arial" w:hAnsi="Arial" w:cs="Arial"/>
          <w:i/>
        </w:rPr>
        <w:t>Psychol Med</w:t>
      </w:r>
      <w:r w:rsidRPr="004D46AC">
        <w:rPr>
          <w:rFonts w:ascii="Arial" w:hAnsi="Arial" w:cs="Arial"/>
        </w:rPr>
        <w:t>,</w:t>
      </w:r>
      <w:r w:rsidRPr="004D46AC">
        <w:rPr>
          <w:rFonts w:ascii="Arial" w:hAnsi="Arial" w:cs="Arial"/>
          <w:i/>
        </w:rPr>
        <w:t xml:space="preserve"> 34</w:t>
      </w:r>
      <w:r w:rsidRPr="004D46AC">
        <w:rPr>
          <w:rFonts w:ascii="Arial" w:hAnsi="Arial" w:cs="Arial"/>
        </w:rPr>
        <w:t xml:space="preserve">(5), 803–809. </w:t>
      </w:r>
      <w:hyperlink r:id="rId305" w:history="1">
        <w:r w:rsidRPr="004D46AC">
          <w:rPr>
            <w:rStyle w:val="af5"/>
            <w:rFonts w:ascii="Arial" w:hAnsi="Arial" w:cs="Arial"/>
          </w:rPr>
          <w:t>https://doi.org/10.1017/s003329170300117x</w:t>
        </w:r>
      </w:hyperlink>
      <w:r w:rsidRPr="004D46AC">
        <w:rPr>
          <w:rFonts w:ascii="Arial" w:hAnsi="Arial" w:cs="Arial"/>
        </w:rPr>
        <w:t xml:space="preserve"> </w:t>
      </w:r>
    </w:p>
    <w:p w14:paraId="175F933A"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Tamminga, C. A., Pearlson, G., Keshavan, M., Sweeney, J., Clementz, B., &amp; Thaker, G. (2014). Bipolar and schizophrenia network for intermediate phenotypes: outcomes across the psychosis continuum. </w:t>
      </w:r>
      <w:r w:rsidRPr="004D46AC">
        <w:rPr>
          <w:rFonts w:ascii="Arial" w:hAnsi="Arial" w:cs="Arial"/>
          <w:i/>
        </w:rPr>
        <w:t>Schizophr Bull</w:t>
      </w:r>
      <w:r w:rsidRPr="004D46AC">
        <w:rPr>
          <w:rFonts w:ascii="Arial" w:hAnsi="Arial" w:cs="Arial"/>
        </w:rPr>
        <w:t>,</w:t>
      </w:r>
      <w:r w:rsidRPr="004D46AC">
        <w:rPr>
          <w:rFonts w:ascii="Arial" w:hAnsi="Arial" w:cs="Arial"/>
          <w:i/>
        </w:rPr>
        <w:t xml:space="preserve"> 40 Suppl 2</w:t>
      </w:r>
      <w:r w:rsidRPr="004D46AC">
        <w:rPr>
          <w:rFonts w:ascii="Arial" w:hAnsi="Arial" w:cs="Arial"/>
        </w:rPr>
        <w:t xml:space="preserve">(Suppl 2), S131–137. </w:t>
      </w:r>
      <w:hyperlink r:id="rId306" w:history="1">
        <w:r w:rsidRPr="004D46AC">
          <w:rPr>
            <w:rStyle w:val="af5"/>
            <w:rFonts w:ascii="Arial" w:hAnsi="Arial" w:cs="Arial"/>
          </w:rPr>
          <w:t>https://doi.org/10.1093/schbul/sbt179</w:t>
        </w:r>
      </w:hyperlink>
      <w:r w:rsidRPr="004D46AC">
        <w:rPr>
          <w:rFonts w:ascii="Arial" w:hAnsi="Arial" w:cs="Arial"/>
        </w:rPr>
        <w:t xml:space="preserve"> </w:t>
      </w:r>
    </w:p>
    <w:p w14:paraId="489FD85C"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Van Snellenberg, J. X., &amp; de Candia, T. (2009). Meta-analytic evidence for familial coaggregation of schizophrenia and bipolar disorder. </w:t>
      </w:r>
      <w:r w:rsidRPr="004D46AC">
        <w:rPr>
          <w:rFonts w:ascii="Arial" w:hAnsi="Arial" w:cs="Arial"/>
          <w:i/>
        </w:rPr>
        <w:t>Arch Gen Psychiatry</w:t>
      </w:r>
      <w:r w:rsidRPr="004D46AC">
        <w:rPr>
          <w:rFonts w:ascii="Arial" w:hAnsi="Arial" w:cs="Arial"/>
        </w:rPr>
        <w:t>,</w:t>
      </w:r>
      <w:r w:rsidRPr="004D46AC">
        <w:rPr>
          <w:rFonts w:ascii="Arial" w:hAnsi="Arial" w:cs="Arial"/>
          <w:i/>
        </w:rPr>
        <w:t xml:space="preserve"> 66</w:t>
      </w:r>
      <w:r w:rsidRPr="004D46AC">
        <w:rPr>
          <w:rFonts w:ascii="Arial" w:hAnsi="Arial" w:cs="Arial"/>
        </w:rPr>
        <w:t xml:space="preserve">(7), 748–755. </w:t>
      </w:r>
      <w:hyperlink r:id="rId307" w:history="1">
        <w:r w:rsidRPr="004D46AC">
          <w:rPr>
            <w:rStyle w:val="af5"/>
            <w:rFonts w:ascii="Arial" w:hAnsi="Arial" w:cs="Arial"/>
          </w:rPr>
          <w:t>https://doi.org/10.1001/archgenpsychiatry.2009.64</w:t>
        </w:r>
      </w:hyperlink>
      <w:r w:rsidRPr="004D46AC">
        <w:rPr>
          <w:rFonts w:ascii="Arial" w:hAnsi="Arial" w:cs="Arial"/>
        </w:rPr>
        <w:t xml:space="preserve"> </w:t>
      </w:r>
    </w:p>
    <w:p w14:paraId="373C156B"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Varese, F., Smeets, F., Drukker, M., Lieverse, R., Lataster, T., Viechtbauer, W., Read, J., van Os, J., &amp; Bentall, R. P. (2012). Childhood adversities increase the risk of psychosis: a meta-analysis of patient-control, prospective- and cross-sectional cohort studies. </w:t>
      </w:r>
      <w:r w:rsidRPr="004D46AC">
        <w:rPr>
          <w:rFonts w:ascii="Arial" w:hAnsi="Arial" w:cs="Arial"/>
          <w:i/>
        </w:rPr>
        <w:t>Schizophr Bull</w:t>
      </w:r>
      <w:r w:rsidRPr="004D46AC">
        <w:rPr>
          <w:rFonts w:ascii="Arial" w:hAnsi="Arial" w:cs="Arial"/>
        </w:rPr>
        <w:t>,</w:t>
      </w:r>
      <w:r w:rsidRPr="004D46AC">
        <w:rPr>
          <w:rFonts w:ascii="Arial" w:hAnsi="Arial" w:cs="Arial"/>
          <w:i/>
        </w:rPr>
        <w:t xml:space="preserve"> 38</w:t>
      </w:r>
      <w:r w:rsidRPr="004D46AC">
        <w:rPr>
          <w:rFonts w:ascii="Arial" w:hAnsi="Arial" w:cs="Arial"/>
        </w:rPr>
        <w:t xml:space="preserve">(4), 661–671. </w:t>
      </w:r>
      <w:hyperlink r:id="rId308" w:history="1">
        <w:r w:rsidRPr="004D46AC">
          <w:rPr>
            <w:rStyle w:val="af5"/>
            <w:rFonts w:ascii="Arial" w:hAnsi="Arial" w:cs="Arial"/>
          </w:rPr>
          <w:t>https://doi.org/10.1093/schbul/sbs050</w:t>
        </w:r>
      </w:hyperlink>
      <w:r w:rsidRPr="004D46AC">
        <w:rPr>
          <w:rFonts w:ascii="Arial" w:hAnsi="Arial" w:cs="Arial"/>
        </w:rPr>
        <w:t xml:space="preserve"> </w:t>
      </w:r>
    </w:p>
    <w:p w14:paraId="170E751A"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Wang, K., Song, L. L., Cheung, E. F., Lui, S. S., Shum, D. H., &amp; Chan, R. C. (2013). Bipolar disorder and schizophrenia share a similar deficit in semantic inhibition: a meta-analysis based on Hayling Sentence Completion Test performance. </w:t>
      </w:r>
      <w:r w:rsidRPr="004D46AC">
        <w:rPr>
          <w:rFonts w:ascii="Arial" w:hAnsi="Arial" w:cs="Arial"/>
          <w:i/>
        </w:rPr>
        <w:t>Prog Neuropsychopharmacol Biol Psychiatry</w:t>
      </w:r>
      <w:r w:rsidRPr="004D46AC">
        <w:rPr>
          <w:rFonts w:ascii="Arial" w:hAnsi="Arial" w:cs="Arial"/>
        </w:rPr>
        <w:t>,</w:t>
      </w:r>
      <w:r w:rsidRPr="004D46AC">
        <w:rPr>
          <w:rFonts w:ascii="Arial" w:hAnsi="Arial" w:cs="Arial"/>
          <w:i/>
        </w:rPr>
        <w:t xml:space="preserve"> 46</w:t>
      </w:r>
      <w:r w:rsidRPr="004D46AC">
        <w:rPr>
          <w:rFonts w:ascii="Arial" w:hAnsi="Arial" w:cs="Arial"/>
        </w:rPr>
        <w:t xml:space="preserve">, 153–160. </w:t>
      </w:r>
      <w:hyperlink r:id="rId309" w:history="1">
        <w:r w:rsidRPr="004D46AC">
          <w:rPr>
            <w:rStyle w:val="af5"/>
            <w:rFonts w:ascii="Arial" w:hAnsi="Arial" w:cs="Arial"/>
          </w:rPr>
          <w:t>https://doi.org/10.1016/j.pnpbp.2013.07.012</w:t>
        </w:r>
      </w:hyperlink>
      <w:r w:rsidRPr="004D46AC">
        <w:rPr>
          <w:rFonts w:ascii="Arial" w:hAnsi="Arial" w:cs="Arial"/>
        </w:rPr>
        <w:t xml:space="preserve"> </w:t>
      </w:r>
    </w:p>
    <w:p w14:paraId="20AF2803"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WHO. (2022). </w:t>
      </w:r>
      <w:r w:rsidRPr="004D46AC">
        <w:rPr>
          <w:rFonts w:ascii="Arial" w:hAnsi="Arial" w:cs="Arial"/>
          <w:i/>
        </w:rPr>
        <w:t>ICD-11 for Mortality and Morbidity Statistics</w:t>
      </w:r>
      <w:r w:rsidRPr="004D46AC">
        <w:rPr>
          <w:rFonts w:ascii="Arial" w:hAnsi="Arial" w:cs="Arial"/>
        </w:rPr>
        <w:t xml:space="preserve">. </w:t>
      </w:r>
      <w:hyperlink r:id="rId310" w:anchor="/http://id.who.int/icd/entity/613065957" w:history="1">
        <w:r w:rsidRPr="004D46AC">
          <w:rPr>
            <w:rStyle w:val="af5"/>
            <w:rFonts w:ascii="Arial" w:hAnsi="Arial" w:cs="Arial"/>
          </w:rPr>
          <w:t>https://icd.who.int/browse11/l-m/en#/http://id.who.int/icd/entity/613065957</w:t>
        </w:r>
      </w:hyperlink>
    </w:p>
    <w:p w14:paraId="7A9EAC17"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Xiang, Y. T., Zhang, L., Wang, G., Hu, C., Ungvari, G. S., Dickerson, F. B., Kilbourne, A. M., Si, T. M., Fang, Y. R., Lu, Z., Yang, H. C., Lai, K. Y., Lee, E. H., Hu, J., Chen, Z. Y., Huang, Y., Sun, J., Wang, X. P., Li, H. C.,…Chiu, H. F. (2013). Sociodemographic and clinical features of bipolar disorder patients misdiagnosed with major depressive disorder in China. </w:t>
      </w:r>
      <w:r w:rsidRPr="004D46AC">
        <w:rPr>
          <w:rFonts w:ascii="Arial" w:hAnsi="Arial" w:cs="Arial"/>
          <w:i/>
        </w:rPr>
        <w:t>Bipolar Disord</w:t>
      </w:r>
      <w:r w:rsidRPr="004D46AC">
        <w:rPr>
          <w:rFonts w:ascii="Arial" w:hAnsi="Arial" w:cs="Arial"/>
        </w:rPr>
        <w:t>,</w:t>
      </w:r>
      <w:r w:rsidRPr="004D46AC">
        <w:rPr>
          <w:rFonts w:ascii="Arial" w:hAnsi="Arial" w:cs="Arial"/>
          <w:i/>
        </w:rPr>
        <w:t xml:space="preserve"> 15</w:t>
      </w:r>
      <w:r w:rsidRPr="004D46AC">
        <w:rPr>
          <w:rFonts w:ascii="Arial" w:hAnsi="Arial" w:cs="Arial"/>
        </w:rPr>
        <w:t xml:space="preserve">(2), 199–205. </w:t>
      </w:r>
      <w:hyperlink r:id="rId311" w:history="1">
        <w:r w:rsidRPr="004D46AC">
          <w:rPr>
            <w:rStyle w:val="af5"/>
            <w:rFonts w:ascii="Arial" w:hAnsi="Arial" w:cs="Arial"/>
          </w:rPr>
          <w:t>https://doi.org/10.1111/bdi.12052</w:t>
        </w:r>
      </w:hyperlink>
      <w:r w:rsidRPr="004D46AC">
        <w:rPr>
          <w:rFonts w:ascii="Arial" w:hAnsi="Arial" w:cs="Arial"/>
        </w:rPr>
        <w:t xml:space="preserve"> </w:t>
      </w:r>
    </w:p>
    <w:p w14:paraId="343CE69E" w14:textId="77777777" w:rsidR="003D5CB6" w:rsidRPr="004D46AC" w:rsidRDefault="003D5CB6" w:rsidP="00B518F1">
      <w:pPr>
        <w:pStyle w:val="EndNoteBibliography"/>
        <w:spacing w:line="360" w:lineRule="auto"/>
        <w:ind w:left="720" w:hanging="720"/>
        <w:rPr>
          <w:rFonts w:ascii="Arial" w:hAnsi="Arial" w:cs="Arial"/>
        </w:rPr>
      </w:pPr>
      <w:r w:rsidRPr="004D46AC">
        <w:rPr>
          <w:rFonts w:ascii="Arial" w:hAnsi="Arial" w:cs="Arial"/>
        </w:rPr>
        <w:t xml:space="preserve">Yalincetin, B., Bora, E., Binbay, T., Ulas, H., Akdede, B. B., &amp; Alptekin, K. (2017). Formal thought disorder in schizophrenia and bipolar disorder: A systematic review and meta-analysis. </w:t>
      </w:r>
      <w:r w:rsidRPr="004D46AC">
        <w:rPr>
          <w:rFonts w:ascii="Arial" w:hAnsi="Arial" w:cs="Arial"/>
          <w:i/>
        </w:rPr>
        <w:t>Schizophr Res</w:t>
      </w:r>
      <w:r w:rsidRPr="004D46AC">
        <w:rPr>
          <w:rFonts w:ascii="Arial" w:hAnsi="Arial" w:cs="Arial"/>
        </w:rPr>
        <w:t>,</w:t>
      </w:r>
      <w:r w:rsidRPr="004D46AC">
        <w:rPr>
          <w:rFonts w:ascii="Arial" w:hAnsi="Arial" w:cs="Arial"/>
          <w:i/>
        </w:rPr>
        <w:t xml:space="preserve"> 185</w:t>
      </w:r>
      <w:r w:rsidRPr="004D46AC">
        <w:rPr>
          <w:rFonts w:ascii="Arial" w:hAnsi="Arial" w:cs="Arial"/>
        </w:rPr>
        <w:t xml:space="preserve">, 2–8. </w:t>
      </w:r>
      <w:hyperlink r:id="rId312" w:history="1">
        <w:r w:rsidRPr="004D46AC">
          <w:rPr>
            <w:rStyle w:val="af5"/>
            <w:rFonts w:ascii="Arial" w:hAnsi="Arial" w:cs="Arial"/>
          </w:rPr>
          <w:t>https://doi.org/10.1016/j.schres.2016.12.015</w:t>
        </w:r>
      </w:hyperlink>
      <w:r w:rsidRPr="004D46AC">
        <w:rPr>
          <w:rFonts w:ascii="Arial" w:hAnsi="Arial" w:cs="Arial"/>
        </w:rPr>
        <w:t xml:space="preserve"> </w:t>
      </w:r>
    </w:p>
    <w:p w14:paraId="5A47D0CA" w14:textId="38C97864" w:rsidR="003D5CB6" w:rsidRPr="004D46AC" w:rsidRDefault="003D5CB6" w:rsidP="00613197">
      <w:pPr>
        <w:pStyle w:val="EndNoteBibliography"/>
        <w:spacing w:line="360" w:lineRule="auto"/>
        <w:ind w:left="720" w:hanging="720"/>
        <w:rPr>
          <w:rFonts w:eastAsiaTheme="minorEastAsia"/>
        </w:rPr>
        <w:sectPr w:rsidR="003D5CB6" w:rsidRPr="004D46AC" w:rsidSect="003D5CB6">
          <w:headerReference w:type="even" r:id="rId313"/>
          <w:headerReference w:type="default" r:id="rId314"/>
          <w:footerReference w:type="even" r:id="rId315"/>
          <w:footerReference w:type="default" r:id="rId316"/>
          <w:headerReference w:type="first" r:id="rId317"/>
          <w:footerReference w:type="first" r:id="rId318"/>
          <w:pgSz w:w="11906" w:h="16838"/>
          <w:pgMar w:top="1440" w:right="1440" w:bottom="1440" w:left="1440" w:header="709" w:footer="709" w:gutter="0"/>
          <w:cols w:space="708"/>
          <w:docGrid w:linePitch="360"/>
        </w:sectPr>
      </w:pPr>
      <w:r w:rsidRPr="004D46AC">
        <w:rPr>
          <w:rFonts w:ascii="Arial" w:hAnsi="Arial" w:cs="Arial"/>
        </w:rPr>
        <w:lastRenderedPageBreak/>
        <w:t xml:space="preserve">Yamada, Y., Matsumoto, M., Iijima, K., &amp; Sumiyoshi, T. (2020). Specificity and Continuity of Schizophrenia and Bipolar Disorder: Relation to Biomarkers. </w:t>
      </w:r>
      <w:r w:rsidRPr="004D46AC">
        <w:rPr>
          <w:rFonts w:ascii="Arial" w:hAnsi="Arial" w:cs="Arial"/>
          <w:i/>
        </w:rPr>
        <w:t>Curr Pharm Des</w:t>
      </w:r>
      <w:r w:rsidRPr="004D46AC">
        <w:rPr>
          <w:rFonts w:ascii="Arial" w:hAnsi="Arial" w:cs="Arial"/>
        </w:rPr>
        <w:t>,</w:t>
      </w:r>
      <w:r w:rsidRPr="004D46AC">
        <w:rPr>
          <w:rFonts w:ascii="Arial" w:hAnsi="Arial" w:cs="Arial"/>
          <w:i/>
        </w:rPr>
        <w:t xml:space="preserve"> 26</w:t>
      </w:r>
      <w:r w:rsidRPr="004D46AC">
        <w:rPr>
          <w:rFonts w:ascii="Arial" w:hAnsi="Arial" w:cs="Arial"/>
        </w:rPr>
        <w:t xml:space="preserve">(2), 191–200. </w:t>
      </w:r>
      <w:hyperlink r:id="rId319" w:history="1">
        <w:r w:rsidRPr="004D46AC">
          <w:rPr>
            <w:rStyle w:val="af5"/>
            <w:rFonts w:ascii="Arial" w:hAnsi="Arial" w:cs="Arial"/>
          </w:rPr>
          <w:t>https://doi.org/10.2174/1381612825666191216153508</w:t>
        </w:r>
      </w:hyperlink>
      <w:r w:rsidRPr="004D46AC">
        <w:rPr>
          <w:rFonts w:ascii="Arial" w:hAnsi="Arial" w:cs="Arial"/>
        </w:rPr>
        <w:t xml:space="preserve"> </w:t>
      </w:r>
      <w:r w:rsidRPr="004D46AC">
        <w:fldChar w:fldCharType="end"/>
      </w:r>
    </w:p>
    <w:p w14:paraId="7AA5782D" w14:textId="4F367946" w:rsidR="003D5CB6" w:rsidRPr="004D46AC" w:rsidRDefault="003D5CB6">
      <w:pPr>
        <w:pStyle w:val="1"/>
        <w:numPr>
          <w:ilvl w:val="0"/>
          <w:numId w:val="23"/>
        </w:numPr>
        <w:rPr>
          <w:rFonts w:eastAsiaTheme="minorEastAsia"/>
        </w:rPr>
      </w:pPr>
      <w:bookmarkStart w:id="117" w:name="_Toc219888767"/>
      <w:r w:rsidRPr="004D46AC">
        <w:lastRenderedPageBreak/>
        <w:t>The common structure of the major psychoses: More similarities than differences in the network structures of schizophrenia, schizoaffective disorder and psychotic bipolar disorder</w:t>
      </w:r>
      <w:r w:rsidRPr="004D46AC">
        <w:rPr>
          <w:rStyle w:val="aff5"/>
        </w:rPr>
        <w:footnoteReference w:id="2"/>
      </w:r>
      <w:bookmarkEnd w:id="117"/>
    </w:p>
    <w:p w14:paraId="39006157" w14:textId="77777777" w:rsidR="003D5CB6" w:rsidRPr="004D46AC" w:rsidRDefault="003D5CB6" w:rsidP="00B518F1">
      <w:pPr>
        <w:pStyle w:val="2"/>
      </w:pPr>
      <w:bookmarkStart w:id="118" w:name="_Toc219888768"/>
      <w:r w:rsidRPr="004D46AC">
        <w:t>Introduction</w:t>
      </w:r>
      <w:bookmarkEnd w:id="118"/>
    </w:p>
    <w:p w14:paraId="5EA31E58" w14:textId="77777777" w:rsidR="003D5CB6" w:rsidRPr="004D46AC" w:rsidRDefault="003D5CB6" w:rsidP="00B518F1">
      <w:r w:rsidRPr="004D46AC">
        <w:t xml:space="preserve">The bipolar and schizophrenia spectrum disorders often lead to lasting disabilities. The former are characterized by severe mood dysregulations, while psychotic symptoms (e.g., delusions) are prominent in schizophrenia </w:t>
      </w:r>
      <w:r w:rsidRPr="004D46AC">
        <w:fldChar w:fldCharType="begin"/>
      </w:r>
      <w:r w:rsidRPr="004D46AC">
        <w:instrText xml:space="preserve"> ADDIN EN.CITE &lt;EndNote&gt;&lt;Cite&gt;&lt;Author&gt;American Psychiatric Association&lt;/Author&gt;&lt;Year&gt;2022&lt;/Year&gt;&lt;RecNum&gt;340&lt;/RecNum&gt;&lt;DisplayText&gt;(American Psychiatric Association, 2022)&lt;/DisplayText&gt;&lt;record&gt;&lt;rec-number&gt;340&lt;/rec-number&gt;&lt;foreign-keys&gt;&lt;key app="EN" db-id="aet009sstawa0hewvt3xwf5atffdw2dt02sw" timestamp="1683987184"&gt;340&lt;/key&gt;&lt;/foreign-keys&gt;&lt;ref-type name="Book"&gt;6&lt;/ref-type&gt;&lt;contributors&gt;&lt;authors&gt;&lt;author&gt;American Psychiatric Association, issuing body&lt;/author&gt;&lt;/authors&gt;&lt;/contributors&gt;&lt;titles&gt;&lt;title&gt;Diagnostic and statistical manual of mental disorders : DSM-5-TR&lt;/title&gt;&lt;secondary-title&gt;DSM-5-TR&lt;/secondary-title&gt;&lt;/titles&gt;&lt;edition&gt;5th edition, text revision.&lt;/edition&gt;&lt;keywords&gt;&lt;keyword&gt;Mental illness -- Classification&lt;/keyword&gt;&lt;keyword&gt;Mental illness -- Diagnosis&lt;/keyword&gt;&lt;keyword&gt;Nosology&lt;/keyword&gt;&lt;keyword&gt;Psychodiagnostics&lt;/keyword&gt;&lt;keyword&gt;Diagnostic and statistical manual of mental disorders. 5th ed&lt;/keyword&gt;&lt;keyword&gt;DSM-5&lt;/keyword&gt;&lt;keyword&gt;DSM-V&lt;/keyword&gt;&lt;/keywords&gt;&lt;dates&gt;&lt;year&gt;2022&lt;/year&gt;&lt;/dates&gt;&lt;pub-location&gt;Washington, DC&lt;/pub-location&gt;&lt;publisher&gt;Washington, DC : American Psychiatric Association Publishing, 2022&lt;/publisher&gt;&lt;isbn&gt;0-89042-578-7&lt;/isbn&gt;&lt;urls&gt;&lt;/urls&gt;&lt;/record&gt;&lt;/Cite&gt;&lt;/EndNote&gt;</w:instrText>
      </w:r>
      <w:r w:rsidRPr="004D46AC">
        <w:fldChar w:fldCharType="separate"/>
      </w:r>
      <w:r w:rsidRPr="004D46AC">
        <w:rPr>
          <w:noProof/>
        </w:rPr>
        <w:t>(American Psychiatric Association, 2022)</w:t>
      </w:r>
      <w:r w:rsidRPr="004D46AC">
        <w:fldChar w:fldCharType="end"/>
      </w:r>
      <w:r w:rsidRPr="004D46AC">
        <w:t>. Although these diagnostic constructs have been employed since the late 19th century</w:t>
      </w:r>
      <w:r w:rsidRPr="004D46AC">
        <w:rPr>
          <w:rFonts w:hint="eastAsia"/>
        </w:rPr>
        <w:t xml:space="preserve"> </w:t>
      </w:r>
      <w:r w:rsidRPr="004D46AC">
        <w:fldChar w:fldCharType="begin"/>
      </w:r>
      <w:r w:rsidRPr="004D46AC">
        <w:instrText xml:space="preserve"> ADDIN EN.CITE &lt;EndNote&gt;&lt;Cite&gt;&lt;Author&gt;Kraepelin&lt;/Author&gt;&lt;Year&gt;1899&lt;/Year&gt;&lt;RecNum&gt;502&lt;/RecNum&gt;&lt;DisplayText&gt;(Kraepelin, 1899)&lt;/DisplayText&gt;&lt;record&gt;&lt;rec-number&gt;502&lt;/rec-number&gt;&lt;foreign-keys&gt;&lt;key app="EN" db-id="aet009sstawa0hewvt3xwf5atffdw2dt02sw" timestamp="1709051566"&gt;502&lt;/key&gt;&lt;/foreign-keys&gt;&lt;ref-type name="Book"&gt;6&lt;/ref-type&gt;&lt;contributors&gt;&lt;authors&gt;&lt;author&gt;Emil Kraepelin&lt;/author&gt;&lt;/authors&gt;&lt;/contributors&gt;&lt;titles&gt;&lt;title&gt;Psychiatry: A textbook for students and physicians.&lt;/title&gt;&lt;/titles&gt;&lt;volume&gt;Volume 1 &lt;/volume&gt;&lt;dates&gt;&lt;year&gt;1899&lt;/year&gt;&lt;/dates&gt;&lt;publisher&gt;Watson Publishing International&lt;/publisher&gt;&lt;urls&gt;&lt;/urls&gt;&lt;/record&gt;&lt;/Cite&gt;&lt;/EndNote&gt;</w:instrText>
      </w:r>
      <w:r w:rsidRPr="004D46AC">
        <w:fldChar w:fldCharType="separate"/>
      </w:r>
      <w:r w:rsidRPr="004D46AC">
        <w:rPr>
          <w:noProof/>
        </w:rPr>
        <w:t>(Kraepelin, 1899)</w:t>
      </w:r>
      <w:r w:rsidRPr="004D46AC">
        <w:fldChar w:fldCharType="end"/>
      </w:r>
      <w:r w:rsidRPr="004D46AC">
        <w:t>, it has long been debated whether the major psychoses are different disorders, one entity with different manifestations</w:t>
      </w:r>
      <w:r w:rsidRPr="004D46AC">
        <w:rPr>
          <w:rFonts w:hint="eastAsia"/>
        </w:rPr>
        <w:t xml:space="preserve"> </w:t>
      </w:r>
      <w:r w:rsidRPr="004D46AC">
        <w:fldChar w:fldCharType="begin">
          <w:fldData xml:space="preserve">PEVuZE5vdGU+PENpdGU+PEF1dGhvcj5UYW1taW5nYTwvQXV0aG9yPjxZZWFyPjIwMjA8L1llYXI+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instrText xml:space="preserve"> ADDIN EN.CITE </w:instrText>
      </w:r>
      <w:r w:rsidRPr="004D46AC">
        <w:fldChar w:fldCharType="begin">
          <w:fldData xml:space="preserve">PEVuZE5vdGU+PENpdGU+PEF1dGhvcj5UYW1taW5nYTwvQXV0aG9yPjxZZWFyPjIwMjA8L1llYXI+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instrText xml:space="preserve"> ADDIN EN.CITE.DATA </w:instrText>
      </w:r>
      <w:r w:rsidRPr="004D46AC">
        <w:fldChar w:fldCharType="end"/>
      </w:r>
      <w:r w:rsidRPr="004D46AC">
        <w:fldChar w:fldCharType="separate"/>
      </w:r>
      <w:r w:rsidRPr="004D46AC">
        <w:rPr>
          <w:noProof/>
        </w:rPr>
        <w:t>(Berrios &amp; Beer, 1995; Kotov et al., 2011; Tamminga et al., 2020)</w:t>
      </w:r>
      <w:r w:rsidRPr="004D46AC">
        <w:fldChar w:fldCharType="end"/>
      </w:r>
      <w:r w:rsidRPr="004D46AC">
        <w:t>, or whether there is a schizophrenia-bipolar spectrum with schizoaffective disorder as an intermediate phenotype</w:t>
      </w:r>
      <w:r w:rsidRPr="004D46AC">
        <w:fldChar w:fldCharType="begin">
          <w:fldData xml:space="preserve">PEVuZE5vdGU+PENpdGU+PEF1dGhvcj5LYXNhbmluPC9BdXRob3I+PFllYXI+MTkzMzwvWWVhcj48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</w:fldData>
        </w:fldChar>
      </w:r>
      <w:r w:rsidRPr="004D46AC">
        <w:instrText xml:space="preserve"> ADDIN EN.CITE </w:instrText>
      </w:r>
      <w:r w:rsidRPr="004D46AC">
        <w:fldChar w:fldCharType="begin">
          <w:fldData xml:space="preserve">PEVuZE5vdGU+PENpdGU+PEF1dGhvcj5LYXNhbmluPC9BdXRob3I+PFllYXI+MTkzMzwvWWVhcj48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</w:fldData>
        </w:fldChar>
      </w:r>
      <w:r w:rsidRPr="004D46AC">
        <w:instrText xml:space="preserve"> ADDIN EN.CITE.DATA </w:instrText>
      </w:r>
      <w:r w:rsidRPr="004D46AC">
        <w:fldChar w:fldCharType="end"/>
      </w:r>
      <w:r w:rsidRPr="004D46AC">
        <w:fldChar w:fldCharType="separate"/>
      </w:r>
      <w:r w:rsidRPr="004D46AC">
        <w:rPr>
          <w:noProof/>
        </w:rPr>
        <w:t>(Kasanin, 1933; Tamminga et al., 2014)</w:t>
      </w:r>
      <w:r w:rsidRPr="004D46AC">
        <w:fldChar w:fldCharType="end"/>
      </w:r>
      <w:r w:rsidRPr="004D46AC">
        <w:t xml:space="preserve">. </w:t>
      </w:r>
    </w:p>
    <w:p w14:paraId="32D00AB5" w14:textId="77777777" w:rsidR="003D5CB6" w:rsidRPr="004D46AC" w:rsidRDefault="003D5CB6" w:rsidP="00B518F1">
      <w:pPr>
        <w:rPr>
          <w:rFonts w:eastAsiaTheme="minorEastAsia"/>
        </w:rPr>
      </w:pPr>
      <w:r w:rsidRPr="004D46AC">
        <w:t>There are many similarities between the two diagnoses. Bipolar patients on occasion receive a comorbid diagnosis of schizophrenia and often experience</w:t>
      </w:r>
      <w:r w:rsidRPr="004D46AC">
        <w:rPr>
          <w:rFonts w:hint="eastAsia"/>
        </w:rPr>
        <w:t xml:space="preserve"> </w:t>
      </w:r>
      <w:r w:rsidRPr="004D46AC">
        <w:t>positive symptoms</w:t>
      </w:r>
      <w:r w:rsidRPr="004D46AC">
        <w:rPr>
          <w:rFonts w:hint="eastAsia"/>
        </w:rPr>
        <w:t xml:space="preserve"> </w:t>
      </w:r>
      <w:r w:rsidRPr="004D46AC">
        <w:fldChar w:fldCharType="begin"/>
      </w:r>
      <w:r w:rsidRPr="004D46AC">
        <w:instrText xml:space="preserve"> ADDIN EN.CITE &lt;EndNote&gt;&lt;Cite&gt;&lt;Author&gt;Shao&lt;/Author&gt;&lt;Year&gt;in press&lt;/Year&gt;&lt;RecNum&gt;493&lt;/RecNum&gt;&lt;DisplayText&gt;(Shao et al., in press)&lt;/DisplayText&gt;&lt;record&gt;&lt;rec-number&gt;493&lt;/rec-number&gt;&lt;foreign-keys&gt;&lt;key app="EN" db-id="aet009sstawa0hewvt3xwf5atffdw2dt02sw" timestamp="1706690982"&gt;493&lt;/key&gt;&lt;/foreign-keys&gt;&lt;ref-type name="Manuscript"&gt;36&lt;/ref-type&gt;&lt;contributors&gt;&lt;authors&gt;&lt;author&gt;Wen Shao&lt;/author&gt;&lt;author&gt;Kangning Shao&lt;/author&gt;&lt;author&gt;Richard P Bentall&lt;/author&gt;&lt;/authors&gt;&lt;/contributors&gt;&lt;titles&gt;&lt;title&gt;Comorbid schizophrenia and psychotic symptoms in patients with bipolar disorder: A meta-analysis of the global literature&lt;/title&gt;&lt;/titles&gt;&lt;dates&gt;&lt;year&gt;in press&lt;/year&gt;&lt;/dates&gt;&lt;urls&gt;&lt;/urls&gt;&lt;/record&gt;&lt;/Cite&gt;&lt;/EndNote&gt;</w:instrText>
      </w:r>
      <w:r w:rsidRPr="004D46AC">
        <w:fldChar w:fldCharType="separate"/>
      </w:r>
      <w:r w:rsidRPr="004D46AC">
        <w:rPr>
          <w:noProof/>
        </w:rPr>
        <w:t>(Shao et al., in press)</w:t>
      </w:r>
      <w:r w:rsidRPr="004D46AC">
        <w:fldChar w:fldCharType="end"/>
      </w:r>
      <w:r w:rsidRPr="004D46AC">
        <w:t>; the affective symptoms are similarly common in schizophrenia patients</w:t>
      </w:r>
      <w:r w:rsidRPr="004D46AC">
        <w:rPr>
          <w:rFonts w:hint="eastAsia"/>
        </w:rPr>
        <w:t xml:space="preserve"> </w:t>
      </w:r>
      <w:r w:rsidRPr="004D46AC">
        <w:fldChar w:fldCharType="begin"/>
      </w:r>
      <w:r w:rsidRPr="004D46AC">
        <w:instrText xml:space="preserve"> ADDIN EN.CITE &lt;EndNote&gt;&lt;Cite&gt;&lt;Author&gt;Mulholland&lt;/Author&gt;&lt;Year&gt;2000&lt;/Year&gt;&lt;RecNum&gt;504&lt;/RecNum&gt;&lt;DisplayText&gt;(Mulholland &amp;amp; Cooper, 2000)&lt;/DisplayText&gt;&lt;record&gt;&lt;rec-number&gt;504&lt;/rec-number&gt;&lt;foreign-keys&gt;&lt;key app="EN" db-id="aet009sstawa0hewvt3xwf5atffdw2dt02sw" timestamp="1709051907"&gt;504&lt;/key&gt;&lt;/foreign-keys&gt;&lt;ref-type name="Journal Article"&gt;17&lt;/ref-type&gt;&lt;contributors&gt;&lt;authors&gt;&lt;author&gt;Mulholland, Ciaran&lt;/author&gt;&lt;author&gt;Cooper, Stephen&lt;/author&gt;&lt;/authors&gt;&lt;/contributors&gt;&lt;titles&gt;&lt;title&gt;The symptom of depression in schizophrenia and its management&lt;/title&gt;&lt;secondary-title&gt;Advances in Psychiatric Treatment&lt;/secondary-title&gt;&lt;/titles&gt;&lt;periodical&gt;&lt;full-title&gt;Advances in Psychiatric Treatment&lt;/full-title&gt;&lt;/periodical&gt;&lt;pages&gt;169-177&lt;/pages&gt;&lt;volume&gt;6&lt;/volume&gt;&lt;number&gt;3&lt;/number&gt;&lt;dates&gt;&lt;year&gt;2000&lt;/year&gt;&lt;/dates&gt;&lt;isbn&gt;1355-5146&lt;/isbn&gt;&lt;urls&gt;&lt;/urls&gt;&lt;/record&gt;&lt;/Cite&gt;&lt;/EndNote&gt;</w:instrText>
      </w:r>
      <w:r w:rsidRPr="004D46AC">
        <w:fldChar w:fldCharType="separate"/>
      </w:r>
      <w:r w:rsidRPr="004D46AC">
        <w:rPr>
          <w:noProof/>
        </w:rPr>
        <w:t>(Mulholland &amp; Cooper, 2000)</w:t>
      </w:r>
      <w:r w:rsidRPr="004D46AC">
        <w:fldChar w:fldCharType="end"/>
      </w:r>
      <w:r w:rsidRPr="004D46AC">
        <w:t>. Genetic and familial commonality such as shared genome loci have been identified in the two disorders</w:t>
      </w:r>
      <w:r w:rsidRPr="004D46AC">
        <w:rPr>
          <w:rFonts w:hint="eastAsia"/>
        </w:rPr>
        <w:t xml:space="preserve"> </w:t>
      </w:r>
      <w:r w:rsidRPr="004D46AC">
        <w:fldChar w:fldCharType="begin">
          <w:fldData xml:space="preserve">PEVuZE5vdGU+PENpdGU+PEF1dGhvcj5CaXBvbGFyPC9BdXRob3I+PFllYXI+MjAxODwvWWVhcj48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==
</w:fldData>
        </w:fldChar>
      </w:r>
      <w:r w:rsidRPr="004D46AC">
        <w:instrText xml:space="preserve"> ADDIN EN.CITE </w:instrText>
      </w:r>
      <w:r w:rsidRPr="004D46AC">
        <w:fldChar w:fldCharType="begin">
          <w:fldData xml:space="preserve">PEVuZE5vdGU+PENpdGU+PEF1dGhvcj5CaXBvbGFyPC9BdXRob3I+PFllYXI+MjAxODwvWWVhcj48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==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(Bipolar et al., 2018)</w:t>
      </w:r>
      <w:r w:rsidRPr="004D46AC">
        <w:fldChar w:fldCharType="end"/>
      </w:r>
      <w:r w:rsidRPr="004D46AC">
        <w:t>, which are mutually heritable</w:t>
      </w:r>
      <w:r w:rsidRPr="004D46AC">
        <w:fldChar w:fldCharType="begin"/>
      </w:r>
      <w:r w:rsidRPr="004D46AC">
        <w:instrText xml:space="preserve"> ADDIN EN.CITE &lt;EndNote&gt;&lt;Cite&gt;&lt;Author&gt;Van Snellenberg&lt;/Author&gt;&lt;Year&gt;2009&lt;/Year&gt;&lt;RecNum&gt;372&lt;/RecNum&gt;&lt;DisplayText&gt;(Van Snellenberg &amp;amp; de Candia, 2009)&lt;/DisplayText&gt;&lt;record&gt;&lt;rec-number&gt;372&lt;/rec-number&gt;&lt;foreign-keys&gt;&lt;key app="EN" db-id="aet009sstawa0hewvt3xwf5atffdw2dt02sw" timestamp="1691810681"&gt;372&lt;/key&gt;&lt;/foreign-keys&gt;&lt;ref-type name="Journal Article"&gt;17&lt;/ref-type&gt;&lt;contributors&gt;&lt;authors&gt;&lt;author&gt;Van Snellenberg, J. X.&lt;/author&gt;&lt;author&gt;de Candia, T.&lt;/author&gt;&lt;/authors&gt;&lt;/contributors&gt;&lt;auth-address&gt;Department of Psychology, Columbia University, New York, New York 10027, USA. jared@psych.columbia.edu&lt;/auth-address&gt;&lt;titles&gt;&lt;title&gt;Meta-analytic evidence for familial coaggregation of schizophrenia and bipolar disorder&lt;/title&gt;&lt;secondary-title&gt;Arch Gen Psychiatry&lt;/secondary-title&gt;&lt;/titles&gt;&lt;periodical&gt;&lt;full-title&gt;Arch Gen Psychiatry&lt;/full-title&gt;&lt;/periodical&gt;&lt;pages&gt;748-55&lt;/pages&gt;&lt;volume&gt;66&lt;/volume&gt;&lt;number&gt;7&lt;/number&gt;&lt;keywords&gt;&lt;keyword&gt;Bipolar Disorder/diagnosis/epidemiology/*genetics&lt;/keyword&gt;&lt;keyword&gt;Comorbidity&lt;/keyword&gt;&lt;keyword&gt;Cross-Sectional Studies&lt;/keyword&gt;&lt;keyword&gt;Humans&lt;/keyword&gt;&lt;keyword&gt;Incidence&lt;/keyword&gt;&lt;keyword&gt;Odds Ratio&lt;/keyword&gt;&lt;keyword&gt;Schizophrenia/diagnosis/epidemiology/*genetics&lt;/keyword&gt;&lt;/keywords&gt;&lt;dates&gt;&lt;year&gt;2009&lt;/year&gt;&lt;pub-dates&gt;&lt;date&gt;Jul&lt;/date&gt;&lt;/pub-dates&gt;&lt;/dates&gt;&lt;isbn&gt;1538-3636 (Electronic)&amp;#xD;0003-990X (Linking)&lt;/isbn&gt;&lt;accession-num&gt;19581566&lt;/accession-num&gt;&lt;urls&gt;&lt;related-urls&gt;&lt;url&gt;https://www.ncbi.nlm.nih.gov/pubmed/19581566&lt;/url&gt;&lt;/related-urls&gt;&lt;/urls&gt;&lt;electronic-resource-num&gt;10.1001/archgenpsychiatry.2009.64&lt;/electronic-resource-num&gt;&lt;remote-database-name&gt;Medline&lt;/remote-database-name&gt;&lt;remote-database-provider&gt;NLM&lt;/remote-database-provider&gt;&lt;access-date&gt;8/12/2023&lt;/access-date&gt;&lt;/record&gt;&lt;/Cite&gt;&lt;/EndNote&gt;</w:instrText>
      </w:r>
      <w:r w:rsidRPr="004D46AC">
        <w:fldChar w:fldCharType="separate"/>
      </w:r>
      <w:r w:rsidRPr="004D46AC">
        <w:rPr>
          <w:noProof/>
        </w:rPr>
        <w:t>(Van Snellenberg &amp; de Candia, 2009)</w:t>
      </w:r>
      <w:r w:rsidRPr="004D46AC">
        <w:fldChar w:fldCharType="end"/>
      </w:r>
      <w:r w:rsidRPr="004D46AC">
        <w:t>. The disorders also share environmental risk factors such as stress and trauma</w:t>
      </w:r>
      <w:r w:rsidRPr="004D46AC">
        <w:rPr>
          <w:rFonts w:hint="eastAsia"/>
        </w:rPr>
        <w:t xml:space="preserve"> </w:t>
      </w:r>
      <w:r w:rsidRPr="004D46AC">
        <w:fldChar w:fldCharType="begin">
          <w:fldData xml:space="preserve">PEVuZE5vdGU+PENpdGU+PEF1dGhvcj5QYWxtaWVyLUNsYXVzPC9BdXRob3I+PFllYXI+MjAxNjwv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</w:fldData>
        </w:fldChar>
      </w:r>
      <w:r w:rsidRPr="004D46AC">
        <w:instrText xml:space="preserve"> ADDIN EN.CITE </w:instrText>
      </w:r>
      <w:r w:rsidRPr="004D46AC">
        <w:fldChar w:fldCharType="begin">
          <w:fldData xml:space="preserve">PEVuZE5vdGU+PENpdGU+PEF1dGhvcj5QYWxtaWVyLUNsYXVzPC9BdXRob3I+PFllYXI+MjAxNjwv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</w:fldData>
        </w:fldChar>
      </w:r>
      <w:r w:rsidRPr="004D46AC">
        <w:instrText xml:space="preserve"> ADDIN EN.CITE.DATA </w:instrText>
      </w:r>
      <w:r w:rsidRPr="004D46AC">
        <w:fldChar w:fldCharType="end"/>
      </w:r>
      <w:r w:rsidRPr="004D46AC">
        <w:fldChar w:fldCharType="separate"/>
      </w:r>
      <w:r w:rsidRPr="004D46AC">
        <w:rPr>
          <w:noProof/>
        </w:rPr>
        <w:t>(Palmier-Claus et al., 2016)</w:t>
      </w:r>
      <w:r w:rsidRPr="004D46AC">
        <w:fldChar w:fldCharType="end"/>
      </w:r>
      <w:r w:rsidRPr="004D46AC">
        <w:t>.</w:t>
      </w:r>
    </w:p>
    <w:p w14:paraId="72379B71" w14:textId="77777777" w:rsidR="003D5CB6" w:rsidRPr="004D46AC" w:rsidRDefault="003D5CB6" w:rsidP="00B518F1">
      <w:pPr>
        <w:rPr>
          <w:rFonts w:eastAsiaTheme="minorEastAsia"/>
        </w:rPr>
      </w:pPr>
      <w:r w:rsidRPr="004D46AC">
        <w:lastRenderedPageBreak/>
        <w:t>In the last two decades, new approaches have emerged to understand the complexities of psychiatric disorders. Dimensional approaches, based on latent variable statistical principles, consider mental disorders as complex entities composed of different psychopathological dimensions with varying severities</w:t>
      </w:r>
      <w:r w:rsidRPr="004D46AC">
        <w:rPr>
          <w:rFonts w:hint="eastAsia"/>
        </w:rPr>
        <w:t xml:space="preserve"> </w:t>
      </w:r>
      <w:r w:rsidRPr="004D46AC">
        <w:fldChar w:fldCharType="begin"/>
      </w:r>
      <w:r w:rsidRPr="004D46AC">
        <w:instrText xml:space="preserve"> ADDIN EN.CITE &lt;EndNote&gt;&lt;Cite&gt;&lt;Author&gt;Baruch&lt;/Author&gt;&lt;Year&gt;1992&lt;/Year&gt;&lt;RecNum&gt;494&lt;/RecNum&gt;&lt;DisplayText&gt;(Baruch et al., 1992)&lt;/DisplayText&gt;&lt;record&gt;&lt;rec-number&gt;494&lt;/rec-number&gt;&lt;foreign-keys&gt;&lt;key app="EN" db-id="aet009sstawa0hewvt3xwf5atffdw2dt02sw" timestamp="1706695729"&gt;494&lt;/key&gt;&lt;/foreign-keys&gt;&lt;ref-type name="Journal Article"&gt;17&lt;/ref-type&gt;&lt;contributors&gt;&lt;authors&gt;&lt;author&gt;Baruch, P.&lt;/author&gt;&lt;author&gt;Filteau, M. J.&lt;/author&gt;&lt;author&gt;Bouchard, R. H.&lt;/author&gt;&lt;author&gt;Pourcher, E.&lt;/author&gt;&lt;author&gt;Vincent, P.&lt;/author&gt;&lt;author&gt;Jouvent, R.&lt;/author&gt;&lt;/authors&gt;&lt;/contributors&gt;&lt;auth-address&gt;Departement de Psychiatrie, Hopital de l&amp;apos;Enfant-Jesus, Quebec, Canada.&lt;/auth-address&gt;&lt;titles&gt;&lt;title&gt;The dimensional approach to clinical psychopharmacology: a polysemous concept&lt;/title&gt;&lt;secondary-title&gt;J Psychiatry Neurosci&lt;/secondary-title&gt;&lt;/titles&gt;&lt;periodical&gt;&lt;full-title&gt;J Psychiatry Neurosci&lt;/full-title&gt;&lt;/periodical&gt;&lt;pages&gt;55-60&lt;/pages&gt;&lt;volume&gt;17&lt;/volume&gt;&lt;number&gt;2&lt;/number&gt;&lt;keywords&gt;&lt;keyword&gt;Adult&lt;/keyword&gt;&lt;keyword&gt;Biological Psychiatry&lt;/keyword&gt;&lt;keyword&gt;Female&lt;/keyword&gt;&lt;keyword&gt;Humans&lt;/keyword&gt;&lt;keyword&gt;Male&lt;/keyword&gt;&lt;keyword&gt;Mental Disorders/*drug therapy&lt;/keyword&gt;&lt;keyword&gt;Psychopharmacology&lt;/keyword&gt;&lt;keyword&gt;Psychotropic Drugs/*therapeutic use&lt;/keyword&gt;&lt;/keywords&gt;&lt;dates&gt;&lt;year&gt;1992&lt;/year&gt;&lt;pub-dates&gt;&lt;date&gt;Jun&lt;/date&gt;&lt;/pub-dates&gt;&lt;/dates&gt;&lt;isbn&gt;1180-4882 (Print)&amp;#xD;1488-2434 (Electronic)&amp;#xD;1180-4882 (Linking)&lt;/isbn&gt;&lt;accession-num&gt;1637800&lt;/accession-num&gt;&lt;urls&gt;&lt;related-urls&gt;&lt;url&gt;https://www.ncbi.nlm.nih.gov/pubmed/1637800&lt;/url&gt;&lt;/related-urls&gt;&lt;/urls&gt;&lt;custom2&gt;PMC1188401&lt;/custom2&gt;&lt;remote-database-name&gt;Medline&lt;/remote-database-name&gt;&lt;remote-database-provider&gt;NLM&lt;/remote-database-provider&gt;&lt;/record&gt;&lt;/Cite&gt;&lt;/EndNote&gt;</w:instrText>
      </w:r>
      <w:r w:rsidRPr="004D46AC">
        <w:fldChar w:fldCharType="separate"/>
      </w:r>
      <w:r w:rsidRPr="004D46AC">
        <w:rPr>
          <w:noProof/>
        </w:rPr>
        <w:t>(Baruch et al., 1992)</w:t>
      </w:r>
      <w:r w:rsidRPr="004D46AC">
        <w:fldChar w:fldCharType="end"/>
      </w:r>
      <w:r w:rsidRPr="004D46AC">
        <w:t xml:space="preserve"> and, compared to categorical classifications, have the advantage of not losing clinical information</w:t>
      </w:r>
      <w:r w:rsidRPr="004D46AC">
        <w:rPr>
          <w:rFonts w:hint="eastAsia"/>
        </w:rPr>
        <w:t xml:space="preserve"> </w:t>
      </w:r>
      <w:r w:rsidRPr="004D46AC">
        <w:fldChar w:fldCharType="begin"/>
      </w:r>
      <w:r w:rsidRPr="004D46AC">
        <w:instrText xml:space="preserve"> ADDIN EN.CITE &lt;EndNote&gt;&lt;Cite&gt;&lt;Author&gt;Fernandez&lt;/Author&gt;&lt;Year&gt;2019&lt;/Year&gt;&lt;RecNum&gt;488&lt;/RecNum&gt;&lt;DisplayText&gt;(Fernandez, 2019)&lt;/DisplayText&gt;&lt;record&gt;&lt;rec-number&gt;488&lt;/rec-number&gt;&lt;foreign-keys&gt;&lt;key app="EN" db-id="aet009sstawa0hewvt3xwf5atffdw2dt02sw" timestamp="1704874755"&gt;488&lt;/key&gt;&lt;/foreign-keys&gt;&lt;ref-type name="Journal Article"&gt;17&lt;/ref-type&gt;&lt;contributors&gt;&lt;authors&gt;&lt;author&gt;Fernandez, Anthony Vincent&lt;/author&gt;&lt;/authors&gt;&lt;/contributors&gt;&lt;titles&gt;&lt;title&gt;Phenomenology and dimensional approaches to psychiatric research and classification&lt;/title&gt;&lt;secondary-title&gt;Philosophy, Psychiatry, &amp;amp; Psychology&lt;/secondary-title&gt;&lt;/titles&gt;&lt;periodical&gt;&lt;full-title&gt;Philosophy, Psychiatry, &amp;amp; Psychology&lt;/full-title&gt;&lt;/periodical&gt;&lt;pages&gt;65-75&lt;/pages&gt;&lt;volume&gt;26&lt;/volume&gt;&lt;number&gt;1&lt;/number&gt;&lt;dates&gt;&lt;year&gt;2019&lt;/year&gt;&lt;/dates&gt;&lt;isbn&gt;1086-3303&lt;/isbn&gt;&lt;urls&gt;&lt;/urls&gt;&lt;/record&gt;&lt;/Cite&gt;&lt;/EndNote&gt;</w:instrText>
      </w:r>
      <w:r w:rsidRPr="004D46AC">
        <w:fldChar w:fldCharType="separate"/>
      </w:r>
      <w:r w:rsidRPr="004D46AC">
        <w:rPr>
          <w:noProof/>
        </w:rPr>
        <w:t>(Fernandez, 2019)</w:t>
      </w:r>
      <w:r w:rsidRPr="004D46AC">
        <w:fldChar w:fldCharType="end"/>
      </w:r>
      <w:r w:rsidRPr="004D46AC">
        <w:t>. Dimensional approaches have been extended to higher-order and bifactor models that can accommodate multiple levels of classification. For example, it has been argued that models with both a general psychosis factor and separate factors corresponding to symptom dimensions are a better description of the empirical data on symptom covariation than models that include symptom dimensions alone</w:t>
      </w:r>
      <w:r w:rsidRPr="004D46AC">
        <w:rPr>
          <w:rFonts w:hint="eastAsia"/>
        </w:rPr>
        <w:t xml:space="preserve"> </w:t>
      </w:r>
      <w:r w:rsidRPr="004D46AC">
        <w:fldChar w:fldCharType="begin">
          <w:fldData xml:space="preserve">PEVuZE5vdGU+PENpdGU+PEF1dGhvcj5SZWluaW5naGF1czwvQXV0aG9yPjxZZWFyPjIwMTM8L1ll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=
</w:fldData>
        </w:fldChar>
      </w:r>
      <w:r w:rsidRPr="004D46AC">
        <w:instrText xml:space="preserve"> ADDIN EN.CITE </w:instrText>
      </w:r>
      <w:r w:rsidRPr="004D46AC">
        <w:fldChar w:fldCharType="begin">
          <w:fldData xml:space="preserve">PEVuZE5vdGU+PENpdGU+PEF1dGhvcj5SZWluaW5naGF1czwvQXV0aG9yPjxZZWFyPjIwMTM8L1ll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=
</w:fldData>
        </w:fldChar>
      </w:r>
      <w:r w:rsidRPr="004D46AC">
        <w:instrText xml:space="preserve"> ADDIN EN.CITE.DATA </w:instrText>
      </w:r>
      <w:r w:rsidRPr="004D46AC">
        <w:fldChar w:fldCharType="end"/>
      </w:r>
      <w:r w:rsidRPr="004D46AC">
        <w:fldChar w:fldCharType="separate"/>
      </w:r>
      <w:r w:rsidRPr="004D46AC">
        <w:rPr>
          <w:noProof/>
        </w:rPr>
        <w:t>(Reininghaus et al., 2019; Reininghaus et al., 2016; Reininghaus et al., 2013)</w:t>
      </w:r>
      <w:r w:rsidRPr="004D46AC">
        <w:fldChar w:fldCharType="end"/>
      </w:r>
      <w:r w:rsidRPr="004D46AC">
        <w:t>. This kind of approach finds its ultimate expression in the Hierarchical Taxonomy of Psychopathology under development by researchers in the US</w:t>
      </w:r>
      <w:r w:rsidRPr="004D46AC">
        <w:rPr>
          <w:rFonts w:hint="eastAsia"/>
        </w:rPr>
        <w:t xml:space="preserve"> </w:t>
      </w:r>
      <w:r w:rsidRPr="004D46AC">
        <w:fldChar w:fldCharType="begin">
          <w:fldData xml:space="preserve">PEVuZE5vdGU+PENpdGU+PEF1dGhvcj5Lb3RvdjwvQXV0aG9yPjxZZWFyPjIwMjE8L1llYXI+PFJl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PEVuZE5vdGU+PENpdGU+PEF1dGhvcj5Lb3RvdjwvQXV0aG9yPjxZZWFyPjIwMjE8L1llYXI+PFJl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rPr>
          <w:noProof/>
        </w:rPr>
        <w:t>(Kotov et al., 2021)</w:t>
      </w:r>
      <w:r w:rsidRPr="004D46AC">
        <w:fldChar w:fldCharType="end"/>
      </w:r>
      <w:r w:rsidRPr="004D46AC">
        <w:t xml:space="preserve">. </w:t>
      </w:r>
    </w:p>
    <w:p w14:paraId="5A532826" w14:textId="77777777" w:rsidR="003D5CB6" w:rsidRPr="004D46AC" w:rsidRDefault="003D5CB6" w:rsidP="00B518F1">
      <w:pPr>
        <w:rPr>
          <w:rFonts w:eastAsiaTheme="minorEastAsia"/>
        </w:rPr>
      </w:pPr>
      <w:r w:rsidRPr="004D46AC">
        <w:t xml:space="preserve">An alternative network approach to understanding the structure of psychopathology does not assume the covariation between symptoms necessarily reflects underlying latent disease entities. Instead, psychiatric disorders are conceptualized as complex systems determined by causal relationships between symptom </w:t>
      </w:r>
      <w:r w:rsidRPr="004D46AC">
        <w:fldChar w:fldCharType="begin"/>
      </w:r>
      <w:r w:rsidRPr="004D46AC">
        <w:instrText xml:space="preserve"> ADDIN EN.CITE &lt;EndNote&gt;&lt;Cite&gt;&lt;Author&gt;Epskamp&lt;/Author&gt;&lt;Year&gt;2018&lt;/Year&gt;&lt;RecNum&gt;399&lt;/RecNum&gt;&lt;DisplayText&gt;(Epskamp et al., 2018)&lt;/DisplayText&gt;&lt;record&gt;&lt;rec-number&gt;399&lt;/rec-number&gt;&lt;foreign-keys&gt;&lt;key app="EN" db-id="aet009sstawa0hewvt3xwf5atffdw2dt02sw" timestamp="1693511946"&gt;399&lt;/key&gt;&lt;/foreign-keys&gt;&lt;ref-type name="Journal Article"&gt;17&lt;/ref-type&gt;&lt;contributors&gt;&lt;authors&gt;&lt;author&gt;Epskamp, Sacha&lt;/author&gt;&lt;author&gt;Borsboom, Denny&lt;/author&gt;&lt;author&gt;Fried, Eiko I.&lt;/author&gt;&lt;/authors&gt;&lt;/contributors&gt;&lt;titles&gt;&lt;title&gt;Estimating psychological networks and their accuracy: A tutorial paper&lt;/title&gt;&lt;secondary-title&gt;Behavior Research Methods&lt;/secondary-title&gt;&lt;/titles&gt;&lt;periodical&gt;&lt;full-title&gt;Behavior Research Methods&lt;/full-title&gt;&lt;/periodical&gt;&lt;pages&gt;195-212&lt;/pages&gt;&lt;volume&gt;50&lt;/volume&gt;&lt;number&gt;1&lt;/number&gt;&lt;dates&gt;&lt;year&gt;2018&lt;/year&gt;&lt;pub-dates&gt;&lt;date&gt;2018/02/01&lt;/date&gt;&lt;/pub-dates&gt;&lt;/dates&gt;&lt;isbn&gt;1554-3528&lt;/isbn&gt;&lt;urls&gt;&lt;related-urls&gt;&lt;url&gt;https://doi.org/10.3758/s13428-017-0862-1&lt;/url&gt;&lt;/related-urls&gt;&lt;/urls&gt;&lt;electronic-resource-num&gt;10.3758/s13428-017-0862-1&lt;/electronic-resource-num&gt;&lt;/record&gt;&lt;/Cite&gt;&lt;/EndNote&gt;</w:instrText>
      </w:r>
      <w:r w:rsidRPr="004D46AC">
        <w:fldChar w:fldCharType="separate"/>
      </w:r>
      <w:r w:rsidRPr="004D46AC">
        <w:rPr>
          <w:noProof/>
        </w:rPr>
        <w:t>(Epskamp et al., 2018)</w:t>
      </w:r>
      <w:r w:rsidRPr="004D46AC">
        <w:fldChar w:fldCharType="end"/>
      </w:r>
      <w:r w:rsidRPr="004D46AC">
        <w:t>. Communities of highly interconnected symptoms can be determined, and symptoms that are most central in terms of their connectivity to other symptoms can be identified and may have particular significance as targets for treatment</w:t>
      </w:r>
      <w:r w:rsidRPr="004D46AC">
        <w:rPr>
          <w:rFonts w:hint="eastAsia"/>
        </w:rPr>
        <w:t xml:space="preserve"> </w:t>
      </w:r>
      <w:r w:rsidRPr="004D46AC">
        <w:fldChar w:fldCharType="begin">
          <w:fldData xml:space="preserve">PEVuZE5vdGU+PENpdGU+PEF1dGhvcj5aYXZsaXM8L0F1dGhvcj48WWVhcj4yMDIzPC9ZZWFyPjxS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</w:fldData>
        </w:fldChar>
      </w:r>
      <w:r w:rsidRPr="004D46AC">
        <w:instrText xml:space="preserve"> ADDIN EN.CITE </w:instrText>
      </w:r>
      <w:r w:rsidRPr="004D46AC">
        <w:fldChar w:fldCharType="begin">
          <w:fldData xml:space="preserve">PEVuZE5vdGU+PENpdGU+PEF1dGhvcj5aYXZsaXM8L0F1dGhvcj48WWVhcj4yMDIzPC9ZZWFyPjxS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</w:fldData>
        </w:fldChar>
      </w:r>
      <w:r w:rsidRPr="004D46AC">
        <w:instrText xml:space="preserve"> ADDIN EN.CITE.DATA </w:instrText>
      </w:r>
      <w:r w:rsidRPr="004D46AC">
        <w:fldChar w:fldCharType="end"/>
      </w:r>
      <w:r w:rsidRPr="004D46AC">
        <w:fldChar w:fldCharType="separate"/>
      </w:r>
      <w:r w:rsidRPr="004D46AC">
        <w:rPr>
          <w:noProof/>
        </w:rPr>
        <w:t>(Zavlis et al., 2023)</w:t>
      </w:r>
      <w:r w:rsidRPr="004D46AC">
        <w:fldChar w:fldCharType="end"/>
      </w:r>
      <w:r w:rsidRPr="004D46AC">
        <w:t xml:space="preserve">. From a </w:t>
      </w:r>
      <w:proofErr w:type="spellStart"/>
      <w:r w:rsidRPr="004D46AC">
        <w:t>taxometric</w:t>
      </w:r>
      <w:proofErr w:type="spellEnd"/>
      <w:r w:rsidRPr="004D46AC">
        <w:t xml:space="preserve"> perspective, the evidence of the continuum across different mental disorders can be obtained by observing the correlation patterns among a set of symptoms</w:t>
      </w:r>
      <w:r w:rsidRPr="004D46AC">
        <w:rPr>
          <w:rFonts w:hint="eastAsia"/>
        </w:rPr>
        <w:t xml:space="preserve"> </w:t>
      </w:r>
      <w:r w:rsidRPr="004D46AC">
        <w:fldChar w:fldCharType="begin"/>
      </w:r>
      <w:r w:rsidRPr="004D46AC">
        <w:instrText xml:space="preserve"> ADDIN EN.CITE &lt;EndNote&gt;&lt;Cite&gt;&lt;Author&gt;Schmidt&lt;/Author&gt;&lt;Year&gt;2004&lt;/Year&gt;&lt;RecNum&gt;564&lt;/RecNum&gt;&lt;DisplayText&gt;(Schmidt et al., 2004)&lt;/DisplayText&gt;&lt;record&gt;&lt;rec-number&gt;564&lt;/rec-number&gt;&lt;foreign-keys&gt;&lt;key app="EN" db-id="aet009sstawa0hewvt3xwf5atffdw2dt02sw" timestamp="1711386201"&gt;564&lt;/key&gt;&lt;/foreign-keys&gt;&lt;ref-type name="Book"&gt;6&lt;/ref-type&gt;&lt;contributors&gt;&lt;authors&gt;&lt;author&gt;Schmidt, Norman B.&lt;/author&gt;&lt;author&gt;Kotov, Roman&lt;/author&gt;&lt;author&gt;Joiner, Thomas E.&lt;/author&gt;&lt;/authors&gt;&lt;/contributors&gt;&lt;titles&gt;&lt;title&gt;Taxometrics: Toward a new diagnostic scheme for psychopathology&lt;/title&gt;&lt;secondary-title&gt;Taxometrics: Toward a new diagnostic scheme for psychopathology.&lt;/secondary-title&gt;&lt;/titles&gt;&lt;pages&gt;xi, 198-xi, 198&lt;/pages&gt;&lt;keywords&gt;&lt;keyword&gt;*Diagnostic and Statistical Manual&lt;/keyword&gt;&lt;keyword&gt;*Psychodiagnosis&lt;/keyword&gt;&lt;keyword&gt;*Psychopathology&lt;/keyword&gt;&lt;keyword&gt;Taxonomies&lt;/keyword&gt;&lt;/keywords&gt;&lt;dates&gt;&lt;year&gt;2004&lt;/year&gt;&lt;/dates&gt;&lt;pub-location&gt;Washington, DC, US&lt;/pub-location&gt;&lt;publisher&gt;American Psychological Association&lt;/publisher&gt;&lt;isbn&gt;1-59147-142-7&lt;/isbn&gt;&lt;work-type&gt;doi:10.1037/10810-000&lt;/work-type&gt;&lt;urls&gt;&lt;/urls&gt;&lt;electronic-resource-num&gt;10.1037/10810-000&lt;/electronic-resource-num&gt;&lt;/record&gt;&lt;/Cite&gt;&lt;/EndNote&gt;</w:instrText>
      </w:r>
      <w:r w:rsidRPr="004D46AC">
        <w:fldChar w:fldCharType="separate"/>
      </w:r>
      <w:r w:rsidRPr="004D46AC">
        <w:rPr>
          <w:noProof/>
        </w:rPr>
        <w:t>(Schmidt et al., 2004)</w:t>
      </w:r>
      <w:r w:rsidRPr="004D46AC">
        <w:fldChar w:fldCharType="end"/>
      </w:r>
      <w:r w:rsidRPr="004D46AC">
        <w:t>. Network analysis is capable of comparing these patterns among different diagnostic groups, offering new insight into the heterogeneity of severe mental illness</w:t>
      </w:r>
      <w:r w:rsidRPr="004D46AC">
        <w:rPr>
          <w:rFonts w:hint="eastAsia"/>
        </w:rPr>
        <w:t xml:space="preserve"> </w:t>
      </w:r>
      <w:r w:rsidRPr="004D46AC">
        <w:fldChar w:fldCharType="begin"/>
      </w:r>
      <w:r w:rsidRPr="004D46AC">
        <w:instrText xml:space="preserve"> ADDIN EN.CITE &lt;EndNote&gt;&lt;Cite&gt;&lt;Author&gt;Bringmann&lt;/Author&gt;&lt;Year&gt;2018&lt;/Year&gt;&lt;RecNum&gt;489&lt;/RecNum&gt;&lt;DisplayText&gt;(Bringmann &amp;amp; Eronen, 2018)&lt;/DisplayText&gt;&lt;record&gt;&lt;rec-number&gt;489&lt;/rec-number&gt;&lt;foreign-keys&gt;&lt;key app="EN" db-id="aet009sstawa0hewvt3xwf5atffdw2dt02sw" timestamp="1704879143"&gt;489&lt;/key&gt;&lt;/foreign-keys&gt;&lt;ref-type name="Journal Article"&gt;17&lt;/ref-type&gt;&lt;contributors&gt;&lt;authors&gt;&lt;author&gt;Bringmann, L. F.&lt;/author&gt;&lt;author&gt;Eronen, M. I.&lt;/author&gt;&lt;/authors&gt;&lt;/contributors&gt;&lt;auth-address&gt;Department of Psychometrics and Statistics, University of Groningen.&amp;#xD;Department of Theory and History of Psychology, University of Groningen.&lt;/auth-address&gt;&lt;titles&gt;&lt;title&gt;Don&amp;apos;t blame the model: Reconsidering the network approach to psychopathology&lt;/title&gt;&lt;secondary-title&gt;Psychol Rev&lt;/secondary-title&gt;&lt;/titles&gt;&lt;periodical&gt;&lt;full-title&gt;Psychol Rev&lt;/full-title&gt;&lt;/periodical&gt;&lt;pages&gt;606-615&lt;/pages&gt;&lt;volume&gt;125&lt;/volume&gt;&lt;number&gt;4&lt;/number&gt;&lt;keywords&gt;&lt;keyword&gt;Humans&lt;/keyword&gt;&lt;keyword&gt;*Mental Disorders&lt;/keyword&gt;&lt;keyword&gt;*Models, Theoretical&lt;/keyword&gt;&lt;keyword&gt;*Psychopathology&lt;/keyword&gt;&lt;/keywords&gt;&lt;dates&gt;&lt;year&gt;2018&lt;/year&gt;&lt;pub-dates&gt;&lt;date&gt;Jul&lt;/date&gt;&lt;/pub-dates&gt;&lt;/dates&gt;&lt;isbn&gt;1939-1471 (Electronic)&amp;#xD;0033-295X (Linking)&lt;/isbn&gt;&lt;accession-num&gt;29952625&lt;/accession-num&gt;&lt;urls&gt;&lt;related-urls&gt;&lt;url&gt;https://www.ncbi.nlm.nih.gov/pubmed/29952625&lt;/url&gt;&lt;/related-urls&gt;&lt;/urls&gt;&lt;electronic-resource-num&gt;10.1037/rev0000108&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(Bringmann &amp; Eronen, 2018)</w:t>
      </w:r>
      <w:r w:rsidRPr="004D46AC">
        <w:fldChar w:fldCharType="end"/>
      </w:r>
      <w:r w:rsidRPr="004D46AC">
        <w:t xml:space="preserve">. If different diagnoses within the psychosis spectrum reflect different disease entities, we would not expect their network structures to be the same but if they are different expressions of the same underlying disease processes, the network structure should be very similar even though symptom expression is different. Hence, in this paper we test the hypothesis that </w:t>
      </w:r>
      <w:r w:rsidRPr="004D46AC">
        <w:lastRenderedPageBreak/>
        <w:t>bipolar disorder, schizoaffective disorder and schizophrenia are different manifestations of the same underlying psychopathology by comparing their network structures.</w:t>
      </w:r>
    </w:p>
    <w:p w14:paraId="43381B70" w14:textId="7E7227F9" w:rsidR="003D5CB6" w:rsidRPr="004D46AC" w:rsidRDefault="003D5CB6" w:rsidP="00B518F1">
      <w:pPr>
        <w:rPr>
          <w:rFonts w:eastAsiaTheme="minorEastAsia"/>
        </w:rPr>
      </w:pPr>
      <w:r w:rsidRPr="004D46AC">
        <w:t xml:space="preserve">Only two studies have previously reported comparisons of this kind., Peralta et al </w:t>
      </w:r>
      <w:r w:rsidRPr="004D46AC">
        <w:fldChar w:fldCharType="begin">
          <w:fldData xml:space="preserve">PEVuZE5vdGU+PENpdGU+PEF1dGhvcj5QZXJhbHRhPC9BdXRob3I+PFllYXI+MjAyMDwvWWVhcj48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PEVuZE5vdGU+PENpdGU+PEF1dGhvcj5QZXJhbHRhPC9BdXRob3I+PFllYXI+MjAyMDwvWWVhcj48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rPr>
          <w:noProof/>
        </w:rPr>
        <w:t>( Peralta et al., 2020;  Peralta et al., 2020)</w:t>
      </w:r>
      <w:r w:rsidRPr="004D46AC">
        <w:fldChar w:fldCharType="end"/>
      </w:r>
      <w:r w:rsidRPr="004D46AC">
        <w:t xml:space="preserve"> evaluated the network structure of symptoms assessed using the Comprehensive Assessment of Symptoms and History comparing patients with major psychoses (SCZ, </w:t>
      </w:r>
      <w:r w:rsidRPr="004D46AC">
        <w:rPr>
          <w:i/>
          <w:iCs/>
        </w:rPr>
        <w:t>n</w:t>
      </w:r>
      <w:r w:rsidRPr="004D46AC">
        <w:t>=908) and affective psychoses (</w:t>
      </w:r>
      <w:r w:rsidRPr="004D46AC">
        <w:rPr>
          <w:i/>
          <w:iCs/>
        </w:rPr>
        <w:t xml:space="preserve">n </w:t>
      </w:r>
      <w:r w:rsidRPr="004D46AC">
        <w:t>=</w:t>
      </w:r>
      <w:r w:rsidRPr="004D46AC">
        <w:rPr>
          <w:rFonts w:eastAsiaTheme="minorEastAsia" w:hint="eastAsia"/>
        </w:rPr>
        <w:t xml:space="preserve"> </w:t>
      </w:r>
      <w:r w:rsidRPr="004D46AC">
        <w:t>590)</w:t>
      </w:r>
      <w:r w:rsidRPr="004D46AC">
        <w:rPr>
          <w:rFonts w:hint="eastAsia"/>
        </w:rPr>
        <w:t xml:space="preserve"> </w:t>
      </w:r>
      <w:r w:rsidRPr="004D46AC">
        <w:fldChar w:fldCharType="begin"/>
      </w:r>
      <w:r w:rsidRPr="004D46AC">
        <w:instrText xml:space="preserve"> ADDIN EN.CITE &lt;EndNote&gt;&lt;Cite&gt;&lt;Author&gt;Peralta&lt;/Author&gt;&lt;Year&gt;2020&lt;/Year&gt;&lt;RecNum&gt;485&lt;/RecNum&gt;&lt;DisplayText&gt;(Victor Peralta et al., 2020)&lt;/DisplayText&gt;&lt;record&gt;&lt;rec-number&gt;485&lt;/rec-number&gt;&lt;foreign-keys&gt;&lt;key app="EN" db-id="aet009sstawa0hewvt3xwf5atffdw2dt02sw" timestamp="1704635958"&gt;485&lt;/key&gt;&lt;/foreign-keys&gt;&lt;ref-type name="Journal Article"&gt;17&lt;/ref-type&gt;&lt;contributors&gt;&lt;authors&gt;&lt;author&gt;Peralta, Victor&lt;/author&gt;&lt;author&gt;Gil-Berrozpe, Gustavo J.&lt;/author&gt;&lt;author&gt;Librero, Julián&lt;/author&gt;&lt;author&gt;Sánchez-Torres, Ana&lt;/author&gt;&lt;author&gt;Cuesta, Manuel J.&lt;/author&gt;&lt;/authors&gt;&lt;/contributors&gt;&lt;titles&gt;&lt;title&gt;The Symptom and Domain Structure of Psychotic Disorders: A Network Analysis Approach&lt;/title&gt;&lt;secondary-title&gt;Schizophrenia Bulletin Open&lt;/secondary-title&gt;&lt;/titles&gt;&lt;periodical&gt;&lt;full-title&gt;Schizophrenia Bulletin Open&lt;/full-title&gt;&lt;/periodical&gt;&lt;pages&gt;sgaa008&lt;/pages&gt;&lt;volume&gt;1&lt;/volume&gt;&lt;number&gt;1&lt;/number&gt;&lt;dates&gt;&lt;year&gt;2020&lt;/year&gt;&lt;/dates&gt;&lt;isbn&gt;2632-7899&lt;/isbn&gt;&lt;urls&gt;&lt;related-urls&gt;&lt;url&gt;https://doi.org/10.1093/schizbullopen/sgaa008&lt;/url&gt;&lt;/related-urls&gt;&lt;/urls&gt;&lt;electronic-resource-num&gt;10.1093/schizbullopen/sgaa008&lt;/electronic-resource-num&gt;&lt;access-date&gt;1/7/2024&lt;/access-date&gt;&lt;/record&gt;&lt;/Cite&gt;&lt;/EndNote&gt;</w:instrText>
      </w:r>
      <w:r w:rsidRPr="004D46AC">
        <w:fldChar w:fldCharType="separate"/>
      </w:r>
      <w:r w:rsidRPr="004D46AC">
        <w:rPr>
          <w:noProof/>
        </w:rPr>
        <w:t>(Peralta et al., 2020)</w:t>
      </w:r>
      <w:r w:rsidRPr="004D46AC">
        <w:fldChar w:fldCharType="end"/>
      </w:r>
      <w:r w:rsidRPr="004D46AC">
        <w:t xml:space="preserve"> on 73 symptoms, and then schizoaffective disorder (SCA, </w:t>
      </w:r>
      <w:r w:rsidRPr="004D46AC">
        <w:rPr>
          <w:i/>
          <w:iCs/>
        </w:rPr>
        <w:t>n</w:t>
      </w:r>
      <w:r w:rsidRPr="004D46AC">
        <w:rPr>
          <w:rFonts w:eastAsiaTheme="minorEastAsia" w:hint="eastAsia"/>
          <w:i/>
          <w:iCs/>
        </w:rPr>
        <w:t xml:space="preserve"> </w:t>
      </w:r>
      <w:r w:rsidRPr="004D46AC">
        <w:t>=</w:t>
      </w:r>
      <w:r w:rsidRPr="004D46AC">
        <w:rPr>
          <w:rFonts w:eastAsiaTheme="minorEastAsia" w:hint="eastAsia"/>
        </w:rPr>
        <w:t xml:space="preserve"> </w:t>
      </w:r>
      <w:r w:rsidRPr="004D46AC">
        <w:t xml:space="preserve">124) and psychotic bipolar disorder (PBD, </w:t>
      </w:r>
      <w:r w:rsidRPr="004D46AC">
        <w:rPr>
          <w:i/>
          <w:iCs/>
        </w:rPr>
        <w:t>n</w:t>
      </w:r>
      <w:r w:rsidRPr="004D46AC">
        <w:rPr>
          <w:rFonts w:eastAsiaTheme="minorEastAsia" w:hint="eastAsia"/>
          <w:i/>
          <w:iCs/>
        </w:rPr>
        <w:t xml:space="preserve"> </w:t>
      </w:r>
      <w:r w:rsidRPr="004D46AC">
        <w:t>=</w:t>
      </w:r>
      <w:r w:rsidRPr="004D46AC">
        <w:rPr>
          <w:rFonts w:eastAsiaTheme="minorEastAsia" w:hint="eastAsia"/>
        </w:rPr>
        <w:t xml:space="preserve"> </w:t>
      </w:r>
      <w:r w:rsidRPr="004D46AC">
        <w:t>345)</w:t>
      </w:r>
      <w:r w:rsidR="00CC3324" w:rsidRPr="004D46AC">
        <w:rPr>
          <w:rFonts w:eastAsiaTheme="minorEastAsia" w:hint="eastAsia"/>
        </w:rPr>
        <w:t xml:space="preserve"> </w:t>
      </w:r>
      <w:r w:rsidRPr="004D46AC">
        <w:fldChar w:fldCharType="begin">
          <w:fldData xml:space="preserve">PEVuZE5vdGU+PENpdGU+PEF1dGhvcj5QZXJhbHRhPC9BdXRob3I+PFllYXI+MjAyMDwvWWVhcj48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</w:fldData>
        </w:fldChar>
      </w:r>
      <w:r w:rsidRPr="004D46AC">
        <w:instrText xml:space="preserve"> ADDIN EN.CITE </w:instrText>
      </w:r>
      <w:r w:rsidRPr="004D46AC">
        <w:fldChar w:fldCharType="begin">
          <w:fldData xml:space="preserve">PEVuZE5vdGU+PENpdGU+PEF1dGhvcj5QZXJhbHRhPC9BdXRob3I+PFllYXI+MjAyMDwvWWVhcj48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</w:fldData>
        </w:fldChar>
      </w:r>
      <w:r w:rsidRPr="004D46AC">
        <w:instrText xml:space="preserve"> ADDIN EN.CITE.DATA </w:instrText>
      </w:r>
      <w:r w:rsidRPr="004D46AC">
        <w:fldChar w:fldCharType="end"/>
      </w:r>
      <w:r w:rsidRPr="004D46AC">
        <w:fldChar w:fldCharType="separate"/>
      </w:r>
      <w:r w:rsidRPr="004D46AC">
        <w:rPr>
          <w:noProof/>
        </w:rPr>
        <w:t>(Peralta et al., 2020)</w:t>
      </w:r>
      <w:r w:rsidRPr="004D46AC">
        <w:fldChar w:fldCharType="end"/>
      </w:r>
      <w:r w:rsidRPr="004D46AC">
        <w:rPr>
          <w:rFonts w:hint="eastAsia"/>
        </w:rPr>
        <w:t xml:space="preserve"> </w:t>
      </w:r>
      <w:r w:rsidRPr="004D46AC">
        <w:t>on 28 symptoms, finding diagnostic groups differed in network structure in each comparison. However, neither directly compared schizophrenia and bipolar patients; and a check for conceptual similarities among nodes (items) was not employed. which is an important limitation since the robustness of network findings can be undermined by redundant items. Consequently, the comparability of schizophrenia and bipolar disorder network structures has yet to be established.</w:t>
      </w:r>
    </w:p>
    <w:p w14:paraId="5A816529" w14:textId="77777777" w:rsidR="003D5CB6" w:rsidRPr="004D46AC" w:rsidRDefault="003D5CB6" w:rsidP="00B518F1">
      <w:r w:rsidRPr="004D46AC">
        <w:t xml:space="preserve">The current study therefore aimed to use network analysis to test the hypothesis that diagnoses across the psychosis spectrum have similar structures consistent with them being different manifestations of the same psychopathological processes. We constructed symptom networks for a broad sample of patients with psychosis, and then for the three different groupings, SCZ, PBD and SCA, comparing their network structures, the composition of communities and the </w:t>
      </w:r>
      <w:proofErr w:type="spellStart"/>
      <w:r w:rsidRPr="004D46AC">
        <w:t>connectivities</w:t>
      </w:r>
      <w:proofErr w:type="spellEnd"/>
      <w:r w:rsidRPr="004D46AC">
        <w:t xml:space="preserve"> between specific symptoms.</w:t>
      </w:r>
    </w:p>
    <w:p w14:paraId="3112CF0E" w14:textId="77777777" w:rsidR="003D5CB6" w:rsidRPr="004D46AC" w:rsidRDefault="003D5CB6" w:rsidP="00B518F1">
      <w:pPr>
        <w:rPr>
          <w:sz w:val="24"/>
          <w:szCs w:val="24"/>
        </w:rPr>
      </w:pPr>
    </w:p>
    <w:p w14:paraId="399E1AE9" w14:textId="77777777" w:rsidR="003D5CB6" w:rsidRPr="004D46AC" w:rsidRDefault="003D5CB6" w:rsidP="00B518F1">
      <w:pPr>
        <w:rPr>
          <w:rFonts w:eastAsiaTheme="minorEastAsia"/>
          <w:sz w:val="24"/>
          <w:szCs w:val="24"/>
        </w:rPr>
      </w:pPr>
    </w:p>
    <w:p w14:paraId="017B39C9" w14:textId="77777777" w:rsidR="003D5CB6" w:rsidRPr="004D46AC" w:rsidRDefault="003D5CB6" w:rsidP="00B518F1">
      <w:pPr>
        <w:rPr>
          <w:rFonts w:eastAsiaTheme="minorEastAsia"/>
          <w:sz w:val="24"/>
          <w:szCs w:val="24"/>
        </w:rPr>
      </w:pPr>
    </w:p>
    <w:p w14:paraId="6F647F07" w14:textId="77777777" w:rsidR="003D5CB6" w:rsidRPr="004D46AC" w:rsidRDefault="003D5CB6" w:rsidP="00B518F1">
      <w:pPr>
        <w:rPr>
          <w:rFonts w:eastAsiaTheme="minorEastAsia"/>
          <w:sz w:val="24"/>
          <w:szCs w:val="24"/>
        </w:rPr>
      </w:pPr>
    </w:p>
    <w:p w14:paraId="7D6A136C" w14:textId="77777777" w:rsidR="003D5CB6" w:rsidRPr="004D46AC" w:rsidRDefault="003D5CB6" w:rsidP="00B518F1">
      <w:pPr>
        <w:rPr>
          <w:rFonts w:eastAsiaTheme="minorEastAsia"/>
          <w:sz w:val="24"/>
          <w:szCs w:val="24"/>
        </w:rPr>
      </w:pPr>
    </w:p>
    <w:p w14:paraId="6978008E" w14:textId="77777777" w:rsidR="003D5CB6" w:rsidRPr="004D46AC" w:rsidRDefault="003D5CB6" w:rsidP="00B518F1">
      <w:pPr>
        <w:rPr>
          <w:rFonts w:eastAsiaTheme="minorEastAsia"/>
          <w:sz w:val="24"/>
          <w:szCs w:val="24"/>
        </w:rPr>
      </w:pPr>
    </w:p>
    <w:p w14:paraId="3BBA3E33" w14:textId="77777777" w:rsidR="003D5CB6" w:rsidRPr="004D46AC" w:rsidRDefault="003D5CB6" w:rsidP="00B518F1">
      <w:pPr>
        <w:ind w:firstLine="0"/>
        <w:rPr>
          <w:rFonts w:eastAsiaTheme="minorEastAsia"/>
          <w:sz w:val="24"/>
          <w:szCs w:val="24"/>
        </w:rPr>
      </w:pPr>
      <w:r w:rsidRPr="004D46AC">
        <w:rPr>
          <w:rFonts w:eastAsiaTheme="minorEastAsia" w:hint="eastAsia"/>
          <w:sz w:val="24"/>
          <w:szCs w:val="24"/>
        </w:rPr>
        <w:t xml:space="preserve">  </w:t>
      </w:r>
    </w:p>
    <w:p w14:paraId="72F0F29B" w14:textId="77777777" w:rsidR="003D5CB6" w:rsidRPr="004D46AC" w:rsidRDefault="003D5CB6" w:rsidP="00B518F1">
      <w:pPr>
        <w:pStyle w:val="2"/>
      </w:pPr>
      <w:bookmarkStart w:id="119" w:name="_Toc219888769"/>
      <w:r w:rsidRPr="004D46AC">
        <w:lastRenderedPageBreak/>
        <w:t>Method</w:t>
      </w:r>
      <w:bookmarkEnd w:id="119"/>
    </w:p>
    <w:p w14:paraId="20981A79" w14:textId="77777777" w:rsidR="003D5CB6" w:rsidRPr="004D46AC" w:rsidRDefault="003D5CB6" w:rsidP="00B518F1">
      <w:pPr>
        <w:pStyle w:val="3"/>
      </w:pPr>
      <w:r w:rsidRPr="004D46AC">
        <w:t>Sample selection</w:t>
      </w:r>
    </w:p>
    <w:p w14:paraId="063C58AC" w14:textId="77777777" w:rsidR="003D5CB6" w:rsidRPr="004D46AC" w:rsidRDefault="003D5CB6" w:rsidP="00B518F1">
      <w:r w:rsidRPr="004D46AC">
        <w:t>The current study used secondary data extracted from three studies: Bipolar &amp; Schizophrenia Consortium for Parsing Intermediate Phenotypes (B-SNIP 1), B-SNIP</w:t>
      </w:r>
      <w:r w:rsidRPr="004D46AC">
        <w:rPr>
          <w:rFonts w:eastAsiaTheme="minorEastAsia" w:hint="eastAsia"/>
        </w:rPr>
        <w:t xml:space="preserve"> </w:t>
      </w:r>
      <w:r w:rsidRPr="004D46AC">
        <w:t xml:space="preserve">2, and Psychosis and Affective Research Domains and Intermediate Phenotypes (PARDIP) </w:t>
      </w:r>
      <w:r w:rsidRPr="004D46AC">
        <w:fldChar w:fldCharType="begin">
          <w:fldData xml:space="preserve">PEVuZE5vdGU+PENpdGU+PEF1dGhvcj5JdmxldmE8L0F1dGhvcj48WWVhcj4yMDA4PC9ZZWFyPjxS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</w:fldData>
        </w:fldChar>
      </w:r>
      <w:r w:rsidRPr="004D46AC">
        <w:instrText xml:space="preserve"> ADDIN EN.CITE </w:instrText>
      </w:r>
      <w:r w:rsidRPr="004D46AC">
        <w:fldChar w:fldCharType="begin">
          <w:fldData xml:space="preserve">PEVuZE5vdGU+PENpdGU+PEF1dGhvcj5JdmxldmE8L0F1dGhvcj48WWVhcj4yMDA4PC9ZZWFyPjxS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</w:fldData>
        </w:fldChar>
      </w:r>
      <w:r w:rsidRPr="004D46AC">
        <w:instrText xml:space="preserve"> ADDIN EN.CITE.DATA </w:instrText>
      </w:r>
      <w:r w:rsidRPr="004D46AC">
        <w:fldChar w:fldCharType="end"/>
      </w:r>
      <w:r w:rsidRPr="004D46AC">
        <w:fldChar w:fldCharType="separate"/>
      </w:r>
      <w:r w:rsidRPr="004D46AC">
        <w:rPr>
          <w:noProof/>
        </w:rPr>
        <w:t>(Hamm et al., 2013; Ivleva et al., 2008; Liu et al., 2009)</w:t>
      </w:r>
      <w:r w:rsidRPr="004D46AC">
        <w:fldChar w:fldCharType="end"/>
      </w:r>
      <w:r w:rsidRPr="004D46AC">
        <w:t>. These studies used the same instruments and methodology to examine the manifestations of psychosis comprehensively in populations diagnosed with bipolar disorder, schizoaffective disorder, and schizophrenia. The datasets were obtained from the US National Institute of Health archive (https://nda.nih.gov/).</w:t>
      </w:r>
    </w:p>
    <w:p w14:paraId="54226140" w14:textId="77777777" w:rsidR="003D5CB6" w:rsidRPr="004D46AC" w:rsidRDefault="003D5CB6" w:rsidP="00B518F1">
      <w:r w:rsidRPr="004D46AC">
        <w:t>The combined dataset included assessments of 1,882 patients that were clinically stable and not in acute symptomatic states. The mean age was 37.76 years (</w:t>
      </w:r>
      <w:r w:rsidRPr="004D46AC">
        <w:rPr>
          <w:i/>
          <w:iCs/>
        </w:rPr>
        <w:t>SD</w:t>
      </w:r>
      <w:r w:rsidRPr="004D46AC">
        <w:t xml:space="preserve"> = 12.30 years). 927 patients were male and 955 patients were female. 559 had a diagnosis of psychotic bipolar disorder (PBD) or bipolar</w:t>
      </w:r>
      <w:r w:rsidRPr="004D46AC">
        <w:rPr>
          <w:rFonts w:eastAsiaTheme="minorEastAsia" w:hint="eastAsia"/>
        </w:rPr>
        <w:t xml:space="preserve"> disorder</w:t>
      </w:r>
      <w:r w:rsidRPr="004D46AC">
        <w:t xml:space="preserve"> with psychotic features (i.e., delusions or hallucinations). 542 had a diagnosis of schizoaffective disorder (SCA), and 687 had a diagnosis of schizophrenia (SCZ). All diagnoses were made by trained clinicians who used the Structured Clinical Interview for DSM-IV Axis I Disorders, SCID-I</w:t>
      </w:r>
      <w:r w:rsidRPr="004D46AC">
        <w:rPr>
          <w:rFonts w:hint="eastAsia"/>
        </w:rPr>
        <w:t xml:space="preserve"> </w:t>
      </w:r>
      <w:r w:rsidRPr="004D46AC">
        <w:fldChar w:fldCharType="begin"/>
      </w:r>
      <w:r w:rsidRPr="004D46AC">
        <w:instrText xml:space="preserve"> ADDIN EN.CITE &lt;EndNote&gt;&lt;Cite&gt;&lt;Author&gt;First&lt;/Author&gt;&lt;Year&gt;2007&lt;/Year&gt;&lt;RecNum&gt;506&lt;/RecNum&gt;&lt;DisplayText&gt;(First et al., 2007)&lt;/DisplayText&gt;&lt;record&gt;&lt;rec-number&gt;506&lt;/rec-number&gt;&lt;foreign-keys&gt;&lt;key app="EN" db-id="aet009sstawa0hewvt3xwf5atffdw2dt02sw" timestamp="1709148232"&gt;506&lt;/key&gt;&lt;/foreign-keys&gt;&lt;ref-type name="Journal Article"&gt;17&lt;/ref-type&gt;&lt;contributors&gt;&lt;authors&gt;&lt;author&gt;First, Michael B&lt;/author&gt;&lt;author&gt;Spitzer, Robert L&lt;/author&gt;&lt;author&gt;Gibbon, Miriam&lt;/author&gt;&lt;author&gt;Williams, Janet BW&lt;/author&gt;&lt;/authors&gt;&lt;/contributors&gt;&lt;titles&gt;&lt;title&gt;SCID-I&lt;/title&gt;&lt;secondary-title&gt;Structured Clinical Interview for DSM-IV-TR Axis I Disorders, Research Version&lt;/secondary-title&gt;&lt;/titles&gt;&lt;periodical&gt;&lt;full-title&gt;Structured Clinical Interview for DSM-IV-TR Axis I Disorders, Research Version&lt;/full-title&gt;&lt;/periodical&gt;&lt;dates&gt;&lt;year&gt;2007&lt;/year&gt;&lt;/dates&gt;&lt;urls&gt;&lt;/urls&gt;&lt;/record&gt;&lt;/Cite&gt;&lt;/EndNote&gt;</w:instrText>
      </w:r>
      <w:r w:rsidRPr="004D46AC">
        <w:fldChar w:fldCharType="separate"/>
      </w:r>
      <w:r w:rsidRPr="004D46AC">
        <w:rPr>
          <w:noProof/>
        </w:rPr>
        <w:t>(First et al., 2007)</w:t>
      </w:r>
      <w:r w:rsidRPr="004D46AC">
        <w:fldChar w:fldCharType="end"/>
      </w:r>
      <w:r w:rsidRPr="004D46AC">
        <w:t xml:space="preserve">. Patients were assessed by clinicians using assessment tools described below. Table </w:t>
      </w:r>
      <w:r w:rsidRPr="004D46AC">
        <w:rPr>
          <w:rFonts w:eastAsiaTheme="minorEastAsia" w:hint="eastAsia"/>
        </w:rPr>
        <w:t>3.1</w:t>
      </w:r>
      <w:r w:rsidRPr="004D46AC">
        <w:t xml:space="preserve"> details demographic and clinical information for the patients.</w:t>
      </w:r>
    </w:p>
    <w:p w14:paraId="45F9B8E1" w14:textId="77777777" w:rsidR="003D5CB6" w:rsidRPr="004D46AC" w:rsidRDefault="003D5CB6" w:rsidP="00B518F1">
      <w:pPr>
        <w:rPr>
          <w:sz w:val="24"/>
          <w:szCs w:val="24"/>
        </w:rPr>
      </w:pPr>
    </w:p>
    <w:p w14:paraId="092D4F41" w14:textId="5B994207" w:rsidR="005B3793" w:rsidRPr="004D46AC" w:rsidRDefault="00515479" w:rsidP="005B3793">
      <w:pPr>
        <w:pStyle w:val="afff0"/>
        <w:spacing w:after="0" w:line="360" w:lineRule="auto"/>
        <w:ind w:firstLine="0"/>
        <w:rPr>
          <w:rFonts w:eastAsiaTheme="minorEastAsia"/>
          <w:b/>
          <w:bCs/>
          <w:i w:val="0"/>
          <w:iCs w:val="0"/>
          <w:color w:val="auto"/>
          <w:sz w:val="22"/>
          <w:szCs w:val="22"/>
        </w:rPr>
      </w:pPr>
      <w:bookmarkStart w:id="120" w:name="_Toc219883859"/>
      <w:bookmarkStart w:id="121" w:name="_Toc219870611"/>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3</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120"/>
      <w:r w:rsidR="004725A0" w:rsidRPr="004D46AC">
        <w:rPr>
          <w:b/>
          <w:bCs/>
          <w:i w:val="0"/>
          <w:iCs w:val="0"/>
          <w:color w:val="auto"/>
          <w:sz w:val="22"/>
          <w:szCs w:val="22"/>
        </w:rPr>
        <w:fldChar w:fldCharType="end"/>
      </w:r>
      <w:bookmarkEnd w:id="121"/>
    </w:p>
    <w:p w14:paraId="7A29C82F" w14:textId="16E27849" w:rsidR="003D5CB6" w:rsidRPr="004D46AC" w:rsidRDefault="003D5CB6" w:rsidP="005B3793">
      <w:pPr>
        <w:pStyle w:val="afff0"/>
        <w:spacing w:after="0" w:line="360" w:lineRule="auto"/>
        <w:ind w:firstLine="0"/>
        <w:rPr>
          <w:rFonts w:eastAsiaTheme="minorEastAsia"/>
          <w:b/>
          <w:bCs/>
          <w:i w:val="0"/>
          <w:iCs w:val="0"/>
          <w:color w:val="auto"/>
          <w:sz w:val="22"/>
          <w:szCs w:val="22"/>
        </w:rPr>
      </w:pPr>
      <w:r w:rsidRPr="004D46AC">
        <w:rPr>
          <w:color w:val="auto"/>
          <w:sz w:val="22"/>
          <w:szCs w:val="22"/>
        </w:rPr>
        <w:t>Demographic and clinical information of full sample</w:t>
      </w:r>
    </w:p>
    <w:tbl>
      <w:tblPr>
        <w:tblStyle w:val="afc"/>
        <w:tblW w:w="0" w:type="auto"/>
        <w:tblLook w:val="04A0" w:firstRow="1" w:lastRow="0" w:firstColumn="1" w:lastColumn="0" w:noHBand="0" w:noVBand="1"/>
      </w:tblPr>
      <w:tblGrid>
        <w:gridCol w:w="3065"/>
        <w:gridCol w:w="1983"/>
        <w:gridCol w:w="1983"/>
        <w:gridCol w:w="1985"/>
      </w:tblGrid>
      <w:tr w:rsidR="003D5CB6" w:rsidRPr="004D46AC" w14:paraId="6582A6D3" w14:textId="77777777" w:rsidTr="00B518F1">
        <w:trPr>
          <w:trHeight w:val="319"/>
        </w:trPr>
        <w:tc>
          <w:tcPr>
            <w:tcW w:w="3710" w:type="dxa"/>
          </w:tcPr>
          <w:p w14:paraId="2FF1B740" w14:textId="77777777" w:rsidR="003D5CB6" w:rsidRPr="004D46AC" w:rsidRDefault="003D5CB6" w:rsidP="00B518F1">
            <w:pPr>
              <w:spacing w:line="360" w:lineRule="auto"/>
              <w:ind w:firstLine="0"/>
              <w:rPr>
                <w:b/>
                <w:bCs/>
              </w:rPr>
            </w:pPr>
          </w:p>
        </w:tc>
        <w:tc>
          <w:tcPr>
            <w:tcW w:w="7147" w:type="dxa"/>
            <w:gridSpan w:val="3"/>
          </w:tcPr>
          <w:p w14:paraId="670FD59C" w14:textId="77777777" w:rsidR="003D5CB6" w:rsidRPr="004D46AC" w:rsidRDefault="003D5CB6" w:rsidP="00B518F1">
            <w:pPr>
              <w:spacing w:line="360" w:lineRule="auto"/>
              <w:ind w:firstLine="0"/>
              <w:jc w:val="center"/>
              <w:rPr>
                <w:b/>
                <w:bCs/>
              </w:rPr>
            </w:pPr>
            <w:r w:rsidRPr="004D46AC">
              <w:rPr>
                <w:b/>
                <w:bCs/>
              </w:rPr>
              <w:t>Sample</w:t>
            </w:r>
          </w:p>
        </w:tc>
      </w:tr>
      <w:tr w:rsidR="003D5CB6" w:rsidRPr="004D46AC" w14:paraId="1E34EBC7" w14:textId="77777777" w:rsidTr="00B518F1">
        <w:trPr>
          <w:trHeight w:val="311"/>
        </w:trPr>
        <w:tc>
          <w:tcPr>
            <w:tcW w:w="3710" w:type="dxa"/>
          </w:tcPr>
          <w:p w14:paraId="6046CEBB" w14:textId="77777777" w:rsidR="003D5CB6" w:rsidRPr="004D46AC" w:rsidRDefault="003D5CB6" w:rsidP="00B518F1">
            <w:pPr>
              <w:spacing w:line="360" w:lineRule="auto"/>
              <w:ind w:firstLine="0"/>
              <w:rPr>
                <w:b/>
                <w:bCs/>
              </w:rPr>
            </w:pPr>
            <w:r w:rsidRPr="004D46AC">
              <w:rPr>
                <w:b/>
                <w:bCs/>
              </w:rPr>
              <w:t>Sources</w:t>
            </w:r>
          </w:p>
        </w:tc>
        <w:tc>
          <w:tcPr>
            <w:tcW w:w="7147" w:type="dxa"/>
            <w:gridSpan w:val="3"/>
          </w:tcPr>
          <w:p w14:paraId="1775D339" w14:textId="77777777" w:rsidR="003D5CB6" w:rsidRPr="004D46AC" w:rsidRDefault="003D5CB6" w:rsidP="00B518F1">
            <w:pPr>
              <w:spacing w:line="360" w:lineRule="auto"/>
              <w:ind w:firstLine="0"/>
              <w:jc w:val="center"/>
            </w:pPr>
          </w:p>
        </w:tc>
      </w:tr>
      <w:tr w:rsidR="003D5CB6" w:rsidRPr="004D46AC" w14:paraId="7C3AFF6F" w14:textId="77777777" w:rsidTr="00B518F1">
        <w:trPr>
          <w:trHeight w:val="319"/>
        </w:trPr>
        <w:tc>
          <w:tcPr>
            <w:tcW w:w="3710" w:type="dxa"/>
          </w:tcPr>
          <w:p w14:paraId="6F46025D" w14:textId="77777777" w:rsidR="003D5CB6" w:rsidRPr="004D46AC" w:rsidRDefault="003D5CB6" w:rsidP="00B518F1">
            <w:pPr>
              <w:spacing w:line="360" w:lineRule="auto"/>
              <w:ind w:firstLine="0"/>
              <w:jc w:val="right"/>
            </w:pPr>
            <w:r w:rsidRPr="004D46AC">
              <w:t xml:space="preserve">B-SNIP1, </w:t>
            </w:r>
            <w:r w:rsidRPr="004D46AC">
              <w:rPr>
                <w:i/>
                <w:iCs/>
              </w:rPr>
              <w:t xml:space="preserve">n </w:t>
            </w:r>
            <w:r w:rsidRPr="004D46AC">
              <w:t>(%)</w:t>
            </w:r>
          </w:p>
        </w:tc>
        <w:tc>
          <w:tcPr>
            <w:tcW w:w="7147" w:type="dxa"/>
            <w:gridSpan w:val="3"/>
          </w:tcPr>
          <w:p w14:paraId="6BD59827" w14:textId="77777777" w:rsidR="003D5CB6" w:rsidRPr="004D46AC" w:rsidRDefault="003D5CB6" w:rsidP="00B518F1">
            <w:pPr>
              <w:spacing w:line="360" w:lineRule="auto"/>
              <w:ind w:firstLine="0"/>
              <w:jc w:val="center"/>
            </w:pPr>
            <w:r w:rsidRPr="004D46AC">
              <w:t>834 (43.12)</w:t>
            </w:r>
          </w:p>
        </w:tc>
      </w:tr>
      <w:tr w:rsidR="003D5CB6" w:rsidRPr="004D46AC" w14:paraId="5F564177" w14:textId="77777777" w:rsidTr="00B518F1">
        <w:trPr>
          <w:trHeight w:val="311"/>
        </w:trPr>
        <w:tc>
          <w:tcPr>
            <w:tcW w:w="3710" w:type="dxa"/>
          </w:tcPr>
          <w:p w14:paraId="7E663B7C" w14:textId="77777777" w:rsidR="003D5CB6" w:rsidRPr="004D46AC" w:rsidRDefault="003D5CB6" w:rsidP="00B518F1">
            <w:pPr>
              <w:spacing w:line="360" w:lineRule="auto"/>
              <w:ind w:firstLine="0"/>
              <w:jc w:val="right"/>
            </w:pPr>
            <w:r w:rsidRPr="004D46AC">
              <w:t xml:space="preserve">B-SNIP2, </w:t>
            </w:r>
            <w:r w:rsidRPr="004D46AC">
              <w:rPr>
                <w:i/>
                <w:iCs/>
              </w:rPr>
              <w:t xml:space="preserve">n </w:t>
            </w:r>
            <w:r w:rsidRPr="004D46AC">
              <w:t>(%)</w:t>
            </w:r>
          </w:p>
        </w:tc>
        <w:tc>
          <w:tcPr>
            <w:tcW w:w="7147" w:type="dxa"/>
            <w:gridSpan w:val="3"/>
          </w:tcPr>
          <w:p w14:paraId="3304EF1F" w14:textId="77777777" w:rsidR="003D5CB6" w:rsidRPr="004D46AC" w:rsidRDefault="003D5CB6" w:rsidP="00B518F1">
            <w:pPr>
              <w:spacing w:line="360" w:lineRule="auto"/>
              <w:ind w:firstLine="0"/>
              <w:jc w:val="center"/>
            </w:pPr>
            <w:r w:rsidRPr="004D46AC">
              <w:t>922 (47.67)</w:t>
            </w:r>
          </w:p>
        </w:tc>
      </w:tr>
      <w:tr w:rsidR="003D5CB6" w:rsidRPr="004D46AC" w14:paraId="2A419918" w14:textId="77777777" w:rsidTr="00B518F1">
        <w:trPr>
          <w:trHeight w:val="311"/>
        </w:trPr>
        <w:tc>
          <w:tcPr>
            <w:tcW w:w="3710" w:type="dxa"/>
          </w:tcPr>
          <w:p w14:paraId="0B1A5DD5" w14:textId="77777777" w:rsidR="003D5CB6" w:rsidRPr="004D46AC" w:rsidRDefault="003D5CB6" w:rsidP="00B518F1">
            <w:pPr>
              <w:spacing w:line="360" w:lineRule="auto"/>
              <w:ind w:firstLine="0"/>
              <w:jc w:val="right"/>
            </w:pPr>
            <w:r w:rsidRPr="004D46AC">
              <w:t xml:space="preserve">PARDIP, </w:t>
            </w:r>
            <w:r w:rsidRPr="004D46AC">
              <w:rPr>
                <w:i/>
                <w:iCs/>
              </w:rPr>
              <w:t xml:space="preserve">n </w:t>
            </w:r>
            <w:r w:rsidRPr="004D46AC">
              <w:t>(%)</w:t>
            </w:r>
          </w:p>
        </w:tc>
        <w:tc>
          <w:tcPr>
            <w:tcW w:w="7147" w:type="dxa"/>
            <w:gridSpan w:val="3"/>
          </w:tcPr>
          <w:p w14:paraId="0D8E6190" w14:textId="77777777" w:rsidR="003D5CB6" w:rsidRPr="004D46AC" w:rsidRDefault="003D5CB6" w:rsidP="00B518F1">
            <w:pPr>
              <w:spacing w:line="360" w:lineRule="auto"/>
              <w:ind w:firstLine="0"/>
              <w:jc w:val="center"/>
            </w:pPr>
            <w:r w:rsidRPr="004D46AC">
              <w:t>178 (9.20)</w:t>
            </w:r>
          </w:p>
        </w:tc>
      </w:tr>
      <w:tr w:rsidR="003D5CB6" w:rsidRPr="004D46AC" w14:paraId="41798A7F" w14:textId="77777777" w:rsidTr="00B518F1">
        <w:trPr>
          <w:trHeight w:val="319"/>
        </w:trPr>
        <w:tc>
          <w:tcPr>
            <w:tcW w:w="3710" w:type="dxa"/>
          </w:tcPr>
          <w:p w14:paraId="319B0802" w14:textId="77777777" w:rsidR="003D5CB6" w:rsidRPr="004D46AC" w:rsidRDefault="003D5CB6" w:rsidP="00B518F1">
            <w:pPr>
              <w:spacing w:line="360" w:lineRule="auto"/>
              <w:ind w:firstLine="0"/>
              <w:rPr>
                <w:b/>
                <w:bCs/>
              </w:rPr>
            </w:pPr>
            <w:r w:rsidRPr="004D46AC">
              <w:rPr>
                <w:b/>
                <w:bCs/>
              </w:rPr>
              <w:t xml:space="preserve">Total </w:t>
            </w:r>
            <w:r w:rsidRPr="004D46AC">
              <w:rPr>
                <w:b/>
                <w:bCs/>
                <w:i/>
                <w:iCs/>
              </w:rPr>
              <w:t>N</w:t>
            </w:r>
            <w:r w:rsidRPr="004D46AC">
              <w:rPr>
                <w:b/>
                <w:bCs/>
              </w:rPr>
              <w:t xml:space="preserve"> (%)</w:t>
            </w:r>
          </w:p>
        </w:tc>
        <w:tc>
          <w:tcPr>
            <w:tcW w:w="7147" w:type="dxa"/>
            <w:gridSpan w:val="3"/>
          </w:tcPr>
          <w:p w14:paraId="238F09D9" w14:textId="77777777" w:rsidR="003D5CB6" w:rsidRPr="004D46AC" w:rsidRDefault="003D5CB6" w:rsidP="00B518F1">
            <w:pPr>
              <w:spacing w:line="360" w:lineRule="auto"/>
              <w:ind w:firstLine="0"/>
              <w:jc w:val="center"/>
            </w:pPr>
            <w:r w:rsidRPr="004D46AC">
              <w:t>1934 (100)</w:t>
            </w:r>
          </w:p>
        </w:tc>
      </w:tr>
      <w:tr w:rsidR="003D5CB6" w:rsidRPr="004D46AC" w14:paraId="480689E8" w14:textId="77777777" w:rsidTr="00B518F1">
        <w:trPr>
          <w:trHeight w:val="311"/>
        </w:trPr>
        <w:tc>
          <w:tcPr>
            <w:tcW w:w="3710" w:type="dxa"/>
          </w:tcPr>
          <w:p w14:paraId="6EC2FA9B" w14:textId="77777777" w:rsidR="003D5CB6" w:rsidRPr="004D46AC" w:rsidRDefault="003D5CB6" w:rsidP="00B518F1">
            <w:pPr>
              <w:spacing w:line="360" w:lineRule="auto"/>
              <w:ind w:firstLine="0"/>
              <w:rPr>
                <w:b/>
                <w:bCs/>
              </w:rPr>
            </w:pPr>
            <w:r w:rsidRPr="004D46AC">
              <w:rPr>
                <w:b/>
                <w:bCs/>
              </w:rPr>
              <w:t xml:space="preserve">Valid </w:t>
            </w:r>
            <w:r w:rsidRPr="004D46AC">
              <w:rPr>
                <w:b/>
                <w:bCs/>
                <w:i/>
                <w:iCs/>
              </w:rPr>
              <w:t>N</w:t>
            </w:r>
            <w:r w:rsidRPr="004D46AC">
              <w:rPr>
                <w:b/>
                <w:bCs/>
              </w:rPr>
              <w:t xml:space="preserve"> (</w:t>
            </w:r>
            <w:proofErr w:type="gramStart"/>
            <w:r w:rsidRPr="004D46AC">
              <w:rPr>
                <w:b/>
                <w:bCs/>
              </w:rPr>
              <w:t>%)</w:t>
            </w:r>
            <w:r w:rsidRPr="004D46AC">
              <w:rPr>
                <w:b/>
                <w:bCs/>
                <w:vertAlign w:val="superscript"/>
              </w:rPr>
              <w:t>a</w:t>
            </w:r>
            <w:proofErr w:type="gramEnd"/>
            <w:r w:rsidRPr="004D46AC">
              <w:rPr>
                <w:b/>
                <w:bCs/>
              </w:rPr>
              <w:t xml:space="preserve"> </w:t>
            </w:r>
          </w:p>
        </w:tc>
        <w:tc>
          <w:tcPr>
            <w:tcW w:w="7147" w:type="dxa"/>
            <w:gridSpan w:val="3"/>
          </w:tcPr>
          <w:p w14:paraId="49150FA8" w14:textId="77777777" w:rsidR="003D5CB6" w:rsidRPr="004D46AC" w:rsidRDefault="003D5CB6" w:rsidP="00B518F1">
            <w:pPr>
              <w:spacing w:line="360" w:lineRule="auto"/>
              <w:ind w:firstLine="0"/>
              <w:jc w:val="center"/>
            </w:pPr>
            <w:r w:rsidRPr="004D46AC">
              <w:t>1,882 (97.31)</w:t>
            </w:r>
          </w:p>
        </w:tc>
      </w:tr>
      <w:tr w:rsidR="003D5CB6" w:rsidRPr="004D46AC" w14:paraId="761BE058" w14:textId="77777777" w:rsidTr="00B518F1">
        <w:trPr>
          <w:trHeight w:val="319"/>
        </w:trPr>
        <w:tc>
          <w:tcPr>
            <w:tcW w:w="3710" w:type="dxa"/>
          </w:tcPr>
          <w:p w14:paraId="3DE55602" w14:textId="77777777" w:rsidR="003D5CB6" w:rsidRPr="004D46AC" w:rsidRDefault="003D5CB6" w:rsidP="00B518F1">
            <w:pPr>
              <w:spacing w:line="360" w:lineRule="auto"/>
              <w:ind w:firstLine="0"/>
              <w:rPr>
                <w:b/>
                <w:bCs/>
              </w:rPr>
            </w:pPr>
            <w:r w:rsidRPr="004D46AC">
              <w:rPr>
                <w:b/>
                <w:bCs/>
              </w:rPr>
              <w:lastRenderedPageBreak/>
              <w:t xml:space="preserve">Age, </w:t>
            </w:r>
            <w:r w:rsidRPr="004D46AC">
              <w:rPr>
                <w:b/>
                <w:bCs/>
                <w:i/>
                <w:iCs/>
              </w:rPr>
              <w:t xml:space="preserve">M </w:t>
            </w:r>
            <w:r w:rsidRPr="004D46AC">
              <w:rPr>
                <w:b/>
                <w:bCs/>
              </w:rPr>
              <w:t>(</w:t>
            </w:r>
            <w:r w:rsidRPr="004D46AC">
              <w:rPr>
                <w:b/>
                <w:bCs/>
                <w:i/>
                <w:iCs/>
              </w:rPr>
              <w:t>SD</w:t>
            </w:r>
            <w:r w:rsidRPr="004D46AC">
              <w:rPr>
                <w:b/>
                <w:bCs/>
              </w:rPr>
              <w:t>)</w:t>
            </w:r>
          </w:p>
        </w:tc>
        <w:tc>
          <w:tcPr>
            <w:tcW w:w="7147" w:type="dxa"/>
            <w:gridSpan w:val="3"/>
          </w:tcPr>
          <w:p w14:paraId="22216491" w14:textId="77777777" w:rsidR="003D5CB6" w:rsidRPr="004D46AC" w:rsidRDefault="003D5CB6" w:rsidP="00B518F1">
            <w:pPr>
              <w:spacing w:line="360" w:lineRule="auto"/>
              <w:ind w:firstLine="0"/>
              <w:jc w:val="center"/>
            </w:pPr>
            <w:r w:rsidRPr="004D46AC">
              <w:t>37.76 (12.30)</w:t>
            </w:r>
          </w:p>
        </w:tc>
      </w:tr>
      <w:tr w:rsidR="003D5CB6" w:rsidRPr="004D46AC" w14:paraId="5FB09FF2" w14:textId="77777777" w:rsidTr="00B518F1">
        <w:trPr>
          <w:trHeight w:val="311"/>
        </w:trPr>
        <w:tc>
          <w:tcPr>
            <w:tcW w:w="3710" w:type="dxa"/>
          </w:tcPr>
          <w:p w14:paraId="267A8FB9" w14:textId="77777777" w:rsidR="003D5CB6" w:rsidRPr="004D46AC" w:rsidRDefault="003D5CB6" w:rsidP="00B518F1">
            <w:pPr>
              <w:spacing w:line="360" w:lineRule="auto"/>
              <w:ind w:firstLine="0"/>
              <w:rPr>
                <w:b/>
                <w:bCs/>
              </w:rPr>
            </w:pPr>
            <w:r w:rsidRPr="004D46AC">
              <w:rPr>
                <w:b/>
                <w:bCs/>
              </w:rPr>
              <w:t>Gender</w:t>
            </w:r>
          </w:p>
        </w:tc>
        <w:tc>
          <w:tcPr>
            <w:tcW w:w="7147" w:type="dxa"/>
            <w:gridSpan w:val="3"/>
          </w:tcPr>
          <w:p w14:paraId="46E87A82" w14:textId="77777777" w:rsidR="003D5CB6" w:rsidRPr="004D46AC" w:rsidRDefault="003D5CB6" w:rsidP="00B518F1">
            <w:pPr>
              <w:spacing w:line="360" w:lineRule="auto"/>
              <w:ind w:firstLine="0"/>
            </w:pPr>
          </w:p>
        </w:tc>
      </w:tr>
      <w:tr w:rsidR="003D5CB6" w:rsidRPr="004D46AC" w14:paraId="7CD703AA" w14:textId="77777777" w:rsidTr="00B518F1">
        <w:trPr>
          <w:trHeight w:val="311"/>
        </w:trPr>
        <w:tc>
          <w:tcPr>
            <w:tcW w:w="3710" w:type="dxa"/>
          </w:tcPr>
          <w:p w14:paraId="15F4F523" w14:textId="77777777" w:rsidR="003D5CB6" w:rsidRPr="004D46AC" w:rsidRDefault="003D5CB6" w:rsidP="00B518F1">
            <w:pPr>
              <w:spacing w:line="360" w:lineRule="auto"/>
              <w:ind w:firstLine="0"/>
              <w:jc w:val="right"/>
            </w:pPr>
            <w:r w:rsidRPr="004D46AC">
              <w:t xml:space="preserve">Female, </w:t>
            </w:r>
            <w:r w:rsidRPr="004D46AC">
              <w:rPr>
                <w:i/>
                <w:iCs/>
              </w:rPr>
              <w:t xml:space="preserve">n </w:t>
            </w:r>
            <w:r w:rsidRPr="004D46AC">
              <w:t>(%)</w:t>
            </w:r>
          </w:p>
        </w:tc>
        <w:tc>
          <w:tcPr>
            <w:tcW w:w="7147" w:type="dxa"/>
            <w:gridSpan w:val="3"/>
          </w:tcPr>
          <w:p w14:paraId="716CFA9B" w14:textId="77777777" w:rsidR="003D5CB6" w:rsidRPr="004D46AC" w:rsidRDefault="003D5CB6" w:rsidP="00B518F1">
            <w:pPr>
              <w:spacing w:line="360" w:lineRule="auto"/>
              <w:ind w:firstLine="0"/>
              <w:jc w:val="center"/>
            </w:pPr>
            <w:r w:rsidRPr="004D46AC">
              <w:t>955 (50.74)</w:t>
            </w:r>
          </w:p>
        </w:tc>
      </w:tr>
      <w:tr w:rsidR="003D5CB6" w:rsidRPr="004D46AC" w14:paraId="253C23FF" w14:textId="77777777" w:rsidTr="00B518F1">
        <w:trPr>
          <w:trHeight w:val="319"/>
        </w:trPr>
        <w:tc>
          <w:tcPr>
            <w:tcW w:w="3710" w:type="dxa"/>
          </w:tcPr>
          <w:p w14:paraId="5FB49E98" w14:textId="77777777" w:rsidR="003D5CB6" w:rsidRPr="004D46AC" w:rsidRDefault="003D5CB6" w:rsidP="00B518F1">
            <w:pPr>
              <w:spacing w:line="360" w:lineRule="auto"/>
              <w:ind w:firstLine="0"/>
              <w:jc w:val="right"/>
            </w:pPr>
            <w:r w:rsidRPr="004D46AC">
              <w:t>Male,</w:t>
            </w:r>
            <w:r w:rsidRPr="004D46AC">
              <w:rPr>
                <w:i/>
                <w:iCs/>
              </w:rPr>
              <w:t xml:space="preserve"> n </w:t>
            </w:r>
            <w:r w:rsidRPr="004D46AC">
              <w:t>(%)</w:t>
            </w:r>
          </w:p>
        </w:tc>
        <w:tc>
          <w:tcPr>
            <w:tcW w:w="7147" w:type="dxa"/>
            <w:gridSpan w:val="3"/>
          </w:tcPr>
          <w:p w14:paraId="2F352794" w14:textId="77777777" w:rsidR="003D5CB6" w:rsidRPr="004D46AC" w:rsidRDefault="003D5CB6" w:rsidP="00B518F1">
            <w:pPr>
              <w:spacing w:line="360" w:lineRule="auto"/>
              <w:ind w:firstLine="0"/>
              <w:jc w:val="center"/>
            </w:pPr>
            <w:r w:rsidRPr="004D46AC">
              <w:t>927 (49.26)</w:t>
            </w:r>
          </w:p>
        </w:tc>
      </w:tr>
      <w:tr w:rsidR="003D5CB6" w:rsidRPr="004D46AC" w14:paraId="0E833917" w14:textId="77777777" w:rsidTr="00B518F1">
        <w:trPr>
          <w:trHeight w:val="311"/>
        </w:trPr>
        <w:tc>
          <w:tcPr>
            <w:tcW w:w="3710" w:type="dxa"/>
          </w:tcPr>
          <w:p w14:paraId="0F3DAF34" w14:textId="77777777" w:rsidR="003D5CB6" w:rsidRPr="004D46AC" w:rsidRDefault="003D5CB6" w:rsidP="00B518F1">
            <w:pPr>
              <w:spacing w:line="360" w:lineRule="auto"/>
              <w:ind w:firstLine="0"/>
              <w:rPr>
                <w:b/>
                <w:bCs/>
              </w:rPr>
            </w:pPr>
            <w:proofErr w:type="spellStart"/>
            <w:r w:rsidRPr="004D46AC">
              <w:rPr>
                <w:b/>
                <w:bCs/>
              </w:rPr>
              <w:t>Race</w:t>
            </w:r>
            <w:r w:rsidRPr="004D46AC">
              <w:rPr>
                <w:b/>
                <w:bCs/>
                <w:vertAlign w:val="superscript"/>
              </w:rPr>
              <w:t>b</w:t>
            </w:r>
            <w:proofErr w:type="spellEnd"/>
            <w:r w:rsidRPr="004D46AC">
              <w:rPr>
                <w:b/>
                <w:bCs/>
              </w:rPr>
              <w:t xml:space="preserve">, </w:t>
            </w:r>
            <w:r w:rsidRPr="004D46AC">
              <w:rPr>
                <w:b/>
                <w:bCs/>
                <w:i/>
                <w:iCs/>
              </w:rPr>
              <w:t>n</w:t>
            </w:r>
            <w:r w:rsidRPr="004D46AC">
              <w:rPr>
                <w:b/>
                <w:bCs/>
              </w:rPr>
              <w:t xml:space="preserve"> (%)</w:t>
            </w:r>
          </w:p>
        </w:tc>
        <w:tc>
          <w:tcPr>
            <w:tcW w:w="7147" w:type="dxa"/>
            <w:gridSpan w:val="3"/>
          </w:tcPr>
          <w:p w14:paraId="4C770EE5" w14:textId="77777777" w:rsidR="003D5CB6" w:rsidRPr="004D46AC" w:rsidRDefault="003D5CB6" w:rsidP="00B518F1">
            <w:pPr>
              <w:spacing w:line="360" w:lineRule="auto"/>
              <w:ind w:firstLine="0"/>
              <w:jc w:val="center"/>
            </w:pPr>
          </w:p>
        </w:tc>
      </w:tr>
      <w:tr w:rsidR="003D5CB6" w:rsidRPr="004D46AC" w14:paraId="458A8B43" w14:textId="77777777" w:rsidTr="00B518F1">
        <w:trPr>
          <w:trHeight w:val="631"/>
        </w:trPr>
        <w:tc>
          <w:tcPr>
            <w:tcW w:w="3710" w:type="dxa"/>
          </w:tcPr>
          <w:p w14:paraId="5B31EF49" w14:textId="77777777" w:rsidR="003D5CB6" w:rsidRPr="004D46AC" w:rsidRDefault="003D5CB6" w:rsidP="00B518F1">
            <w:pPr>
              <w:spacing w:line="360" w:lineRule="auto"/>
              <w:ind w:firstLine="0"/>
              <w:jc w:val="right"/>
            </w:pPr>
            <w:r w:rsidRPr="004D46AC">
              <w:t>American Indian/Alaska Native</w:t>
            </w:r>
          </w:p>
        </w:tc>
        <w:tc>
          <w:tcPr>
            <w:tcW w:w="7147" w:type="dxa"/>
            <w:gridSpan w:val="3"/>
          </w:tcPr>
          <w:p w14:paraId="25B5ABBF" w14:textId="77777777" w:rsidR="003D5CB6" w:rsidRPr="004D46AC" w:rsidRDefault="003D5CB6" w:rsidP="00B518F1">
            <w:pPr>
              <w:spacing w:line="360" w:lineRule="auto"/>
              <w:ind w:firstLine="0"/>
              <w:jc w:val="center"/>
            </w:pPr>
            <w:r w:rsidRPr="004D46AC">
              <w:t>4 (0.37)</w:t>
            </w:r>
          </w:p>
        </w:tc>
      </w:tr>
      <w:tr w:rsidR="003D5CB6" w:rsidRPr="004D46AC" w14:paraId="6E0B51A7" w14:textId="77777777" w:rsidTr="00B518F1">
        <w:trPr>
          <w:trHeight w:val="311"/>
        </w:trPr>
        <w:tc>
          <w:tcPr>
            <w:tcW w:w="3710" w:type="dxa"/>
          </w:tcPr>
          <w:p w14:paraId="6F0D711D" w14:textId="77777777" w:rsidR="003D5CB6" w:rsidRPr="004D46AC" w:rsidRDefault="003D5CB6" w:rsidP="00B518F1">
            <w:pPr>
              <w:spacing w:line="360" w:lineRule="auto"/>
              <w:ind w:firstLine="0"/>
              <w:jc w:val="right"/>
            </w:pPr>
            <w:r w:rsidRPr="004D46AC">
              <w:t>Asian</w:t>
            </w:r>
          </w:p>
        </w:tc>
        <w:tc>
          <w:tcPr>
            <w:tcW w:w="7147" w:type="dxa"/>
            <w:gridSpan w:val="3"/>
          </w:tcPr>
          <w:p w14:paraId="71B95553" w14:textId="77777777" w:rsidR="003D5CB6" w:rsidRPr="004D46AC" w:rsidRDefault="003D5CB6" w:rsidP="00B518F1">
            <w:pPr>
              <w:spacing w:line="360" w:lineRule="auto"/>
              <w:ind w:firstLine="0"/>
              <w:jc w:val="center"/>
            </w:pPr>
            <w:r w:rsidRPr="004D46AC">
              <w:t>25 (2.33)</w:t>
            </w:r>
          </w:p>
        </w:tc>
      </w:tr>
      <w:tr w:rsidR="003D5CB6" w:rsidRPr="004D46AC" w14:paraId="217074F4" w14:textId="77777777" w:rsidTr="00B518F1">
        <w:trPr>
          <w:trHeight w:val="319"/>
        </w:trPr>
        <w:tc>
          <w:tcPr>
            <w:tcW w:w="3710" w:type="dxa"/>
          </w:tcPr>
          <w:p w14:paraId="4348614A" w14:textId="77777777" w:rsidR="003D5CB6" w:rsidRPr="004D46AC" w:rsidRDefault="003D5CB6" w:rsidP="00B518F1">
            <w:pPr>
              <w:spacing w:line="360" w:lineRule="auto"/>
              <w:ind w:firstLine="0"/>
              <w:jc w:val="right"/>
            </w:pPr>
            <w:r w:rsidRPr="004D46AC">
              <w:t>Black or African American</w:t>
            </w:r>
          </w:p>
        </w:tc>
        <w:tc>
          <w:tcPr>
            <w:tcW w:w="7147" w:type="dxa"/>
            <w:gridSpan w:val="3"/>
          </w:tcPr>
          <w:p w14:paraId="4AC923D5" w14:textId="77777777" w:rsidR="003D5CB6" w:rsidRPr="004D46AC" w:rsidRDefault="003D5CB6" w:rsidP="00B518F1">
            <w:pPr>
              <w:spacing w:line="360" w:lineRule="auto"/>
              <w:ind w:firstLine="0"/>
              <w:jc w:val="center"/>
            </w:pPr>
            <w:r w:rsidRPr="004D46AC">
              <w:t>426 (39.63)</w:t>
            </w:r>
          </w:p>
        </w:tc>
      </w:tr>
      <w:tr w:rsidR="003D5CB6" w:rsidRPr="004D46AC" w14:paraId="20A90507" w14:textId="77777777" w:rsidTr="00B518F1">
        <w:trPr>
          <w:trHeight w:val="311"/>
        </w:trPr>
        <w:tc>
          <w:tcPr>
            <w:tcW w:w="3710" w:type="dxa"/>
          </w:tcPr>
          <w:p w14:paraId="72436E8F" w14:textId="77777777" w:rsidR="003D5CB6" w:rsidRPr="004D46AC" w:rsidRDefault="003D5CB6" w:rsidP="00B518F1">
            <w:pPr>
              <w:spacing w:line="360" w:lineRule="auto"/>
              <w:ind w:firstLine="0"/>
              <w:jc w:val="right"/>
            </w:pPr>
            <w:r w:rsidRPr="004D46AC">
              <w:t>White</w:t>
            </w:r>
          </w:p>
        </w:tc>
        <w:tc>
          <w:tcPr>
            <w:tcW w:w="7147" w:type="dxa"/>
            <w:gridSpan w:val="3"/>
          </w:tcPr>
          <w:p w14:paraId="1FF54D73" w14:textId="77777777" w:rsidR="003D5CB6" w:rsidRPr="004D46AC" w:rsidRDefault="003D5CB6" w:rsidP="00B518F1">
            <w:pPr>
              <w:spacing w:line="360" w:lineRule="auto"/>
              <w:ind w:firstLine="0"/>
              <w:jc w:val="center"/>
            </w:pPr>
            <w:r w:rsidRPr="004D46AC">
              <w:t>565 (52.56)</w:t>
            </w:r>
          </w:p>
        </w:tc>
      </w:tr>
      <w:tr w:rsidR="003D5CB6" w:rsidRPr="004D46AC" w14:paraId="5AF7DABB" w14:textId="77777777" w:rsidTr="00B518F1">
        <w:trPr>
          <w:trHeight w:val="319"/>
        </w:trPr>
        <w:tc>
          <w:tcPr>
            <w:tcW w:w="3710" w:type="dxa"/>
          </w:tcPr>
          <w:p w14:paraId="0F32A5A1" w14:textId="77777777" w:rsidR="003D5CB6" w:rsidRPr="004D46AC" w:rsidRDefault="003D5CB6" w:rsidP="00B518F1">
            <w:pPr>
              <w:spacing w:line="360" w:lineRule="auto"/>
              <w:ind w:firstLine="0"/>
              <w:jc w:val="right"/>
            </w:pPr>
            <w:r w:rsidRPr="004D46AC">
              <w:t>More than one race</w:t>
            </w:r>
          </w:p>
        </w:tc>
        <w:tc>
          <w:tcPr>
            <w:tcW w:w="7147" w:type="dxa"/>
            <w:gridSpan w:val="3"/>
          </w:tcPr>
          <w:p w14:paraId="2508BAED" w14:textId="77777777" w:rsidR="003D5CB6" w:rsidRPr="004D46AC" w:rsidRDefault="003D5CB6" w:rsidP="00B518F1">
            <w:pPr>
              <w:spacing w:line="360" w:lineRule="auto"/>
              <w:ind w:firstLine="0"/>
              <w:jc w:val="center"/>
            </w:pPr>
            <w:r w:rsidRPr="004D46AC">
              <w:t>55 (5.12)</w:t>
            </w:r>
          </w:p>
        </w:tc>
      </w:tr>
      <w:tr w:rsidR="003D5CB6" w:rsidRPr="004D46AC" w14:paraId="2DEBC20E" w14:textId="77777777" w:rsidTr="00B518F1">
        <w:trPr>
          <w:trHeight w:val="311"/>
        </w:trPr>
        <w:tc>
          <w:tcPr>
            <w:tcW w:w="3710" w:type="dxa"/>
          </w:tcPr>
          <w:p w14:paraId="718F2075" w14:textId="77777777" w:rsidR="003D5CB6" w:rsidRPr="004D46AC" w:rsidRDefault="003D5CB6" w:rsidP="00B518F1">
            <w:pPr>
              <w:spacing w:line="360" w:lineRule="auto"/>
              <w:ind w:firstLine="0"/>
              <w:rPr>
                <w:b/>
                <w:bCs/>
              </w:rPr>
            </w:pPr>
            <w:r w:rsidRPr="004D46AC">
              <w:rPr>
                <w:b/>
                <w:bCs/>
              </w:rPr>
              <w:t xml:space="preserve">Marital </w:t>
            </w:r>
            <w:proofErr w:type="spellStart"/>
            <w:r w:rsidRPr="004D46AC">
              <w:rPr>
                <w:b/>
                <w:bCs/>
              </w:rPr>
              <w:t>status</w:t>
            </w:r>
            <w:r w:rsidRPr="004D46AC">
              <w:rPr>
                <w:b/>
                <w:bCs/>
                <w:vertAlign w:val="superscript"/>
              </w:rPr>
              <w:t>c</w:t>
            </w:r>
            <w:proofErr w:type="spellEnd"/>
            <w:r w:rsidRPr="004D46AC">
              <w:rPr>
                <w:b/>
                <w:bCs/>
              </w:rPr>
              <w:t xml:space="preserve">, </w:t>
            </w:r>
            <w:r w:rsidRPr="004D46AC">
              <w:rPr>
                <w:b/>
                <w:bCs/>
                <w:i/>
                <w:iCs/>
              </w:rPr>
              <w:t>n</w:t>
            </w:r>
            <w:r w:rsidRPr="004D46AC">
              <w:rPr>
                <w:b/>
                <w:bCs/>
              </w:rPr>
              <w:t xml:space="preserve"> (%)</w:t>
            </w:r>
          </w:p>
        </w:tc>
        <w:tc>
          <w:tcPr>
            <w:tcW w:w="7147" w:type="dxa"/>
            <w:gridSpan w:val="3"/>
          </w:tcPr>
          <w:p w14:paraId="1ADD1142" w14:textId="77777777" w:rsidR="003D5CB6" w:rsidRPr="004D46AC" w:rsidRDefault="003D5CB6" w:rsidP="00B518F1">
            <w:pPr>
              <w:spacing w:line="360" w:lineRule="auto"/>
              <w:ind w:firstLine="0"/>
              <w:jc w:val="center"/>
            </w:pPr>
          </w:p>
        </w:tc>
      </w:tr>
      <w:tr w:rsidR="003D5CB6" w:rsidRPr="004D46AC" w14:paraId="5F54AB60" w14:textId="77777777" w:rsidTr="00B518F1">
        <w:trPr>
          <w:trHeight w:val="311"/>
        </w:trPr>
        <w:tc>
          <w:tcPr>
            <w:tcW w:w="3710" w:type="dxa"/>
          </w:tcPr>
          <w:p w14:paraId="48806BF3" w14:textId="77777777" w:rsidR="003D5CB6" w:rsidRPr="004D46AC" w:rsidRDefault="003D5CB6" w:rsidP="00B518F1">
            <w:pPr>
              <w:spacing w:line="360" w:lineRule="auto"/>
              <w:ind w:firstLine="0"/>
              <w:jc w:val="right"/>
            </w:pPr>
            <w:r w:rsidRPr="004D46AC">
              <w:t>Divorced/separated</w:t>
            </w:r>
          </w:p>
        </w:tc>
        <w:tc>
          <w:tcPr>
            <w:tcW w:w="7147" w:type="dxa"/>
            <w:gridSpan w:val="3"/>
          </w:tcPr>
          <w:p w14:paraId="01BA3374" w14:textId="77777777" w:rsidR="003D5CB6" w:rsidRPr="004D46AC" w:rsidRDefault="003D5CB6" w:rsidP="00B518F1">
            <w:pPr>
              <w:spacing w:line="360" w:lineRule="auto"/>
              <w:ind w:firstLine="0"/>
              <w:jc w:val="center"/>
            </w:pPr>
            <w:r w:rsidRPr="004D46AC">
              <w:t>190 (17.12)</w:t>
            </w:r>
          </w:p>
        </w:tc>
      </w:tr>
      <w:tr w:rsidR="003D5CB6" w:rsidRPr="004D46AC" w14:paraId="5895EAED" w14:textId="77777777" w:rsidTr="00B518F1">
        <w:trPr>
          <w:trHeight w:val="319"/>
        </w:trPr>
        <w:tc>
          <w:tcPr>
            <w:tcW w:w="3710" w:type="dxa"/>
          </w:tcPr>
          <w:p w14:paraId="4E3F7198" w14:textId="77777777" w:rsidR="003D5CB6" w:rsidRPr="004D46AC" w:rsidRDefault="003D5CB6" w:rsidP="00B518F1">
            <w:pPr>
              <w:spacing w:line="360" w:lineRule="auto"/>
              <w:ind w:firstLine="0"/>
              <w:jc w:val="right"/>
            </w:pPr>
            <w:r w:rsidRPr="004D46AC">
              <w:t>Never married/ single</w:t>
            </w:r>
          </w:p>
        </w:tc>
        <w:tc>
          <w:tcPr>
            <w:tcW w:w="7147" w:type="dxa"/>
            <w:gridSpan w:val="3"/>
          </w:tcPr>
          <w:p w14:paraId="72F5BE64" w14:textId="77777777" w:rsidR="003D5CB6" w:rsidRPr="004D46AC" w:rsidRDefault="003D5CB6" w:rsidP="00B518F1">
            <w:pPr>
              <w:spacing w:line="360" w:lineRule="auto"/>
              <w:ind w:firstLine="0"/>
              <w:jc w:val="center"/>
            </w:pPr>
            <w:r w:rsidRPr="004D46AC">
              <w:t>719 (64.77)</w:t>
            </w:r>
          </w:p>
        </w:tc>
      </w:tr>
      <w:tr w:rsidR="003D5CB6" w:rsidRPr="004D46AC" w14:paraId="2A46D863" w14:textId="77777777" w:rsidTr="00B518F1">
        <w:trPr>
          <w:trHeight w:val="943"/>
        </w:trPr>
        <w:tc>
          <w:tcPr>
            <w:tcW w:w="3710" w:type="dxa"/>
          </w:tcPr>
          <w:p w14:paraId="0A6275D2" w14:textId="77777777" w:rsidR="003D5CB6" w:rsidRPr="004D46AC" w:rsidRDefault="003D5CB6" w:rsidP="00B518F1">
            <w:pPr>
              <w:spacing w:line="360" w:lineRule="auto"/>
              <w:ind w:firstLine="0"/>
              <w:jc w:val="right"/>
              <w:rPr>
                <w:lang w:val="en-US"/>
              </w:rPr>
            </w:pPr>
            <w:r w:rsidRPr="004D46AC">
              <w:rPr>
                <w:lang w:val="en-US"/>
              </w:rPr>
              <w:t>Presently Married or in sustained conjugal relationship</w:t>
            </w:r>
          </w:p>
        </w:tc>
        <w:tc>
          <w:tcPr>
            <w:tcW w:w="7147" w:type="dxa"/>
            <w:gridSpan w:val="3"/>
          </w:tcPr>
          <w:p w14:paraId="7E4EA618" w14:textId="77777777" w:rsidR="003D5CB6" w:rsidRPr="004D46AC" w:rsidRDefault="003D5CB6" w:rsidP="00B518F1">
            <w:pPr>
              <w:spacing w:line="360" w:lineRule="auto"/>
              <w:ind w:firstLine="0"/>
              <w:jc w:val="center"/>
            </w:pPr>
            <w:r w:rsidRPr="004D46AC">
              <w:t>183 (16.49)</w:t>
            </w:r>
          </w:p>
        </w:tc>
      </w:tr>
      <w:tr w:rsidR="003D5CB6" w:rsidRPr="004D46AC" w14:paraId="60EDC0C3" w14:textId="77777777" w:rsidTr="00B518F1">
        <w:trPr>
          <w:trHeight w:val="311"/>
        </w:trPr>
        <w:tc>
          <w:tcPr>
            <w:tcW w:w="3710" w:type="dxa"/>
          </w:tcPr>
          <w:p w14:paraId="7AE81691" w14:textId="77777777" w:rsidR="003D5CB6" w:rsidRPr="004D46AC" w:rsidRDefault="003D5CB6" w:rsidP="00B518F1">
            <w:pPr>
              <w:spacing w:line="360" w:lineRule="auto"/>
              <w:ind w:firstLine="0"/>
              <w:jc w:val="right"/>
            </w:pPr>
            <w:r w:rsidRPr="004D46AC">
              <w:rPr>
                <w:lang w:val="en-US"/>
              </w:rPr>
              <w:t>Widowed</w:t>
            </w:r>
          </w:p>
        </w:tc>
        <w:tc>
          <w:tcPr>
            <w:tcW w:w="7147" w:type="dxa"/>
            <w:gridSpan w:val="3"/>
          </w:tcPr>
          <w:p w14:paraId="34B6B941" w14:textId="77777777" w:rsidR="003D5CB6" w:rsidRPr="004D46AC" w:rsidRDefault="003D5CB6" w:rsidP="00B518F1">
            <w:pPr>
              <w:spacing w:line="360" w:lineRule="auto"/>
              <w:ind w:firstLine="0"/>
              <w:jc w:val="center"/>
            </w:pPr>
            <w:r w:rsidRPr="004D46AC">
              <w:t>18 (1.62%)</w:t>
            </w:r>
          </w:p>
        </w:tc>
      </w:tr>
      <w:tr w:rsidR="003D5CB6" w:rsidRPr="004D46AC" w14:paraId="082EA712" w14:textId="77777777" w:rsidTr="00B518F1">
        <w:trPr>
          <w:trHeight w:val="319"/>
        </w:trPr>
        <w:tc>
          <w:tcPr>
            <w:tcW w:w="3710" w:type="dxa"/>
          </w:tcPr>
          <w:p w14:paraId="1C08E3FD" w14:textId="77777777" w:rsidR="003D5CB6" w:rsidRPr="004D46AC" w:rsidRDefault="003D5CB6" w:rsidP="00B518F1">
            <w:pPr>
              <w:spacing w:line="360" w:lineRule="auto"/>
              <w:ind w:firstLine="0"/>
              <w:rPr>
                <w:b/>
                <w:bCs/>
              </w:rPr>
            </w:pPr>
            <w:proofErr w:type="spellStart"/>
            <w:r w:rsidRPr="004D46AC">
              <w:rPr>
                <w:b/>
                <w:bCs/>
              </w:rPr>
              <w:t>Diagnoses</w:t>
            </w:r>
            <w:r w:rsidRPr="004D46AC">
              <w:rPr>
                <w:b/>
                <w:bCs/>
                <w:vertAlign w:val="superscript"/>
              </w:rPr>
              <w:t>d</w:t>
            </w:r>
            <w:proofErr w:type="spellEnd"/>
          </w:p>
        </w:tc>
        <w:tc>
          <w:tcPr>
            <w:tcW w:w="2381" w:type="dxa"/>
          </w:tcPr>
          <w:p w14:paraId="1C1F3103" w14:textId="77777777" w:rsidR="003D5CB6" w:rsidRPr="004D46AC" w:rsidRDefault="003D5CB6" w:rsidP="00B518F1">
            <w:pPr>
              <w:spacing w:line="360" w:lineRule="auto"/>
              <w:ind w:firstLine="0"/>
              <w:jc w:val="center"/>
              <w:rPr>
                <w:b/>
                <w:bCs/>
              </w:rPr>
            </w:pPr>
            <w:r w:rsidRPr="004D46AC">
              <w:rPr>
                <w:b/>
                <w:bCs/>
              </w:rPr>
              <w:t>PBD</w:t>
            </w:r>
          </w:p>
        </w:tc>
        <w:tc>
          <w:tcPr>
            <w:tcW w:w="2381" w:type="dxa"/>
          </w:tcPr>
          <w:p w14:paraId="73A7FA3B" w14:textId="77777777" w:rsidR="003D5CB6" w:rsidRPr="004D46AC" w:rsidRDefault="003D5CB6" w:rsidP="00B518F1">
            <w:pPr>
              <w:spacing w:line="360" w:lineRule="auto"/>
              <w:ind w:firstLine="0"/>
              <w:jc w:val="center"/>
              <w:rPr>
                <w:b/>
                <w:bCs/>
              </w:rPr>
            </w:pPr>
            <w:r w:rsidRPr="004D46AC">
              <w:rPr>
                <w:b/>
                <w:bCs/>
              </w:rPr>
              <w:t>SCA</w:t>
            </w:r>
          </w:p>
        </w:tc>
        <w:tc>
          <w:tcPr>
            <w:tcW w:w="2385" w:type="dxa"/>
          </w:tcPr>
          <w:p w14:paraId="0E37A7D7" w14:textId="77777777" w:rsidR="003D5CB6" w:rsidRPr="004D46AC" w:rsidRDefault="003D5CB6" w:rsidP="00B518F1">
            <w:pPr>
              <w:spacing w:line="360" w:lineRule="auto"/>
              <w:ind w:firstLine="0"/>
              <w:jc w:val="center"/>
              <w:rPr>
                <w:b/>
                <w:bCs/>
              </w:rPr>
            </w:pPr>
            <w:r w:rsidRPr="004D46AC">
              <w:rPr>
                <w:b/>
                <w:bCs/>
              </w:rPr>
              <w:t>SCZ</w:t>
            </w:r>
          </w:p>
        </w:tc>
      </w:tr>
      <w:tr w:rsidR="003D5CB6" w:rsidRPr="004D46AC" w14:paraId="0EF3848D" w14:textId="77777777" w:rsidTr="00B518F1">
        <w:trPr>
          <w:trHeight w:val="429"/>
        </w:trPr>
        <w:tc>
          <w:tcPr>
            <w:tcW w:w="3710" w:type="dxa"/>
          </w:tcPr>
          <w:p w14:paraId="00CC075A" w14:textId="77777777" w:rsidR="003D5CB6" w:rsidRPr="004D46AC" w:rsidRDefault="003D5CB6" w:rsidP="00B518F1">
            <w:pPr>
              <w:spacing w:line="360" w:lineRule="auto"/>
              <w:ind w:firstLine="0"/>
              <w:rPr>
                <w:b/>
                <w:bCs/>
              </w:rPr>
            </w:pPr>
            <w:r w:rsidRPr="004D46AC">
              <w:rPr>
                <w:b/>
                <w:bCs/>
                <w:i/>
                <w:iCs/>
              </w:rPr>
              <w:t xml:space="preserve">n </w:t>
            </w:r>
            <w:r w:rsidRPr="004D46AC">
              <w:rPr>
                <w:b/>
                <w:bCs/>
              </w:rPr>
              <w:t>(%)</w:t>
            </w:r>
          </w:p>
        </w:tc>
        <w:tc>
          <w:tcPr>
            <w:tcW w:w="2381" w:type="dxa"/>
          </w:tcPr>
          <w:p w14:paraId="2E42C8CF" w14:textId="77777777" w:rsidR="003D5CB6" w:rsidRPr="004D46AC" w:rsidRDefault="003D5CB6" w:rsidP="00B518F1">
            <w:pPr>
              <w:spacing w:line="360" w:lineRule="auto"/>
              <w:ind w:firstLine="0"/>
              <w:jc w:val="center"/>
            </w:pPr>
            <w:r w:rsidRPr="004D46AC">
              <w:t>559 (29.70)</w:t>
            </w:r>
          </w:p>
        </w:tc>
        <w:tc>
          <w:tcPr>
            <w:tcW w:w="2381" w:type="dxa"/>
          </w:tcPr>
          <w:p w14:paraId="531E811F" w14:textId="77777777" w:rsidR="003D5CB6" w:rsidRPr="004D46AC" w:rsidRDefault="003D5CB6" w:rsidP="00B518F1">
            <w:pPr>
              <w:spacing w:line="360" w:lineRule="auto"/>
              <w:ind w:firstLine="0"/>
              <w:jc w:val="center"/>
            </w:pPr>
            <w:r w:rsidRPr="004D46AC">
              <w:t>542 (28.80)</w:t>
            </w:r>
          </w:p>
        </w:tc>
        <w:tc>
          <w:tcPr>
            <w:tcW w:w="2385" w:type="dxa"/>
          </w:tcPr>
          <w:p w14:paraId="544C5206" w14:textId="77777777" w:rsidR="003D5CB6" w:rsidRPr="004D46AC" w:rsidRDefault="003D5CB6" w:rsidP="00B518F1">
            <w:pPr>
              <w:spacing w:line="360" w:lineRule="auto"/>
              <w:ind w:firstLine="0"/>
              <w:jc w:val="center"/>
            </w:pPr>
            <w:r w:rsidRPr="004D46AC">
              <w:t>687 (36.50)</w:t>
            </w:r>
          </w:p>
        </w:tc>
      </w:tr>
      <w:tr w:rsidR="003D5CB6" w:rsidRPr="004D46AC" w14:paraId="7D6B5F00" w14:textId="77777777" w:rsidTr="00B518F1">
        <w:trPr>
          <w:trHeight w:val="429"/>
        </w:trPr>
        <w:tc>
          <w:tcPr>
            <w:tcW w:w="3710" w:type="dxa"/>
          </w:tcPr>
          <w:p w14:paraId="2F30DCEE" w14:textId="77777777" w:rsidR="003D5CB6" w:rsidRPr="004D46AC" w:rsidRDefault="003D5CB6" w:rsidP="00B518F1">
            <w:pPr>
              <w:spacing w:line="360" w:lineRule="auto"/>
              <w:ind w:firstLine="0"/>
              <w:rPr>
                <w:b/>
                <w:bCs/>
              </w:rPr>
            </w:pPr>
            <w:r w:rsidRPr="004D46AC">
              <w:rPr>
                <w:b/>
                <w:bCs/>
              </w:rPr>
              <w:t xml:space="preserve">PANSS, </w:t>
            </w:r>
            <w:r w:rsidRPr="004D46AC">
              <w:rPr>
                <w:b/>
                <w:bCs/>
                <w:i/>
                <w:iCs/>
              </w:rPr>
              <w:t xml:space="preserve">M </w:t>
            </w:r>
            <w:r w:rsidRPr="004D46AC">
              <w:rPr>
                <w:b/>
                <w:bCs/>
              </w:rPr>
              <w:t>(</w:t>
            </w:r>
            <w:r w:rsidRPr="004D46AC">
              <w:rPr>
                <w:b/>
                <w:bCs/>
                <w:i/>
                <w:iCs/>
              </w:rPr>
              <w:t>SD</w:t>
            </w:r>
            <w:r w:rsidRPr="004D46AC">
              <w:rPr>
                <w:b/>
                <w:bCs/>
              </w:rPr>
              <w:t>)</w:t>
            </w:r>
          </w:p>
        </w:tc>
        <w:tc>
          <w:tcPr>
            <w:tcW w:w="2381" w:type="dxa"/>
          </w:tcPr>
          <w:p w14:paraId="009869C9" w14:textId="77777777" w:rsidR="003D5CB6" w:rsidRPr="004D46AC" w:rsidRDefault="003D5CB6" w:rsidP="00B518F1">
            <w:pPr>
              <w:spacing w:line="360" w:lineRule="auto"/>
              <w:ind w:firstLine="0"/>
              <w:jc w:val="center"/>
            </w:pPr>
            <w:r w:rsidRPr="004D46AC">
              <w:t>54.41 (17.39)</w:t>
            </w:r>
          </w:p>
        </w:tc>
        <w:tc>
          <w:tcPr>
            <w:tcW w:w="2381" w:type="dxa"/>
          </w:tcPr>
          <w:p w14:paraId="721EF6E5" w14:textId="77777777" w:rsidR="003D5CB6" w:rsidRPr="004D46AC" w:rsidRDefault="003D5CB6" w:rsidP="00B518F1">
            <w:pPr>
              <w:spacing w:line="360" w:lineRule="auto"/>
              <w:ind w:firstLine="0"/>
              <w:jc w:val="center"/>
            </w:pPr>
            <w:r w:rsidRPr="004D46AC">
              <w:t>66.90 (18.55)</w:t>
            </w:r>
          </w:p>
        </w:tc>
        <w:tc>
          <w:tcPr>
            <w:tcW w:w="2385" w:type="dxa"/>
          </w:tcPr>
          <w:p w14:paraId="28F295D9" w14:textId="77777777" w:rsidR="003D5CB6" w:rsidRPr="004D46AC" w:rsidRDefault="003D5CB6" w:rsidP="00B518F1">
            <w:pPr>
              <w:spacing w:line="360" w:lineRule="auto"/>
              <w:ind w:firstLine="0"/>
              <w:jc w:val="center"/>
            </w:pPr>
            <w:r w:rsidRPr="004D46AC">
              <w:t>65.18 (18.71)</w:t>
            </w:r>
          </w:p>
        </w:tc>
      </w:tr>
      <w:tr w:rsidR="003D5CB6" w:rsidRPr="004D46AC" w14:paraId="16FFE441" w14:textId="77777777" w:rsidTr="00B518F1">
        <w:trPr>
          <w:trHeight w:val="429"/>
        </w:trPr>
        <w:tc>
          <w:tcPr>
            <w:tcW w:w="3710" w:type="dxa"/>
          </w:tcPr>
          <w:p w14:paraId="1B28738B" w14:textId="77777777" w:rsidR="003D5CB6" w:rsidRPr="004D46AC" w:rsidRDefault="003D5CB6" w:rsidP="00B518F1">
            <w:pPr>
              <w:spacing w:line="360" w:lineRule="auto"/>
              <w:ind w:firstLine="0"/>
              <w:rPr>
                <w:b/>
                <w:bCs/>
              </w:rPr>
            </w:pPr>
            <w:r w:rsidRPr="004D46AC">
              <w:rPr>
                <w:b/>
                <w:bCs/>
              </w:rPr>
              <w:t xml:space="preserve">Positive, </w:t>
            </w:r>
            <w:r w:rsidRPr="004D46AC">
              <w:rPr>
                <w:b/>
                <w:bCs/>
                <w:i/>
                <w:iCs/>
              </w:rPr>
              <w:t xml:space="preserve">M </w:t>
            </w:r>
            <w:r w:rsidRPr="004D46AC">
              <w:rPr>
                <w:b/>
                <w:bCs/>
              </w:rPr>
              <w:t>(</w:t>
            </w:r>
            <w:r w:rsidRPr="004D46AC">
              <w:rPr>
                <w:b/>
                <w:bCs/>
                <w:i/>
                <w:iCs/>
              </w:rPr>
              <w:t>SD</w:t>
            </w:r>
            <w:r w:rsidRPr="004D46AC">
              <w:rPr>
                <w:b/>
                <w:bCs/>
              </w:rPr>
              <w:t>)</w:t>
            </w:r>
          </w:p>
        </w:tc>
        <w:tc>
          <w:tcPr>
            <w:tcW w:w="2381" w:type="dxa"/>
          </w:tcPr>
          <w:p w14:paraId="79E56EBD" w14:textId="77777777" w:rsidR="003D5CB6" w:rsidRPr="004D46AC" w:rsidRDefault="003D5CB6" w:rsidP="00B518F1">
            <w:pPr>
              <w:spacing w:line="360" w:lineRule="auto"/>
              <w:ind w:firstLine="0"/>
              <w:jc w:val="center"/>
            </w:pPr>
            <w:r w:rsidRPr="004D46AC">
              <w:t>13.06 (5.12)</w:t>
            </w:r>
          </w:p>
        </w:tc>
        <w:tc>
          <w:tcPr>
            <w:tcW w:w="2381" w:type="dxa"/>
          </w:tcPr>
          <w:p w14:paraId="71D6414B" w14:textId="77777777" w:rsidR="003D5CB6" w:rsidRPr="004D46AC" w:rsidRDefault="003D5CB6" w:rsidP="00B518F1">
            <w:pPr>
              <w:spacing w:line="360" w:lineRule="auto"/>
              <w:ind w:firstLine="0"/>
              <w:jc w:val="center"/>
            </w:pPr>
            <w:r w:rsidRPr="004D46AC">
              <w:t>17.77 (6.11)</w:t>
            </w:r>
          </w:p>
        </w:tc>
        <w:tc>
          <w:tcPr>
            <w:tcW w:w="2385" w:type="dxa"/>
          </w:tcPr>
          <w:p w14:paraId="4393C52B" w14:textId="77777777" w:rsidR="003D5CB6" w:rsidRPr="004D46AC" w:rsidRDefault="003D5CB6" w:rsidP="00B518F1">
            <w:pPr>
              <w:spacing w:line="360" w:lineRule="auto"/>
              <w:ind w:firstLine="0"/>
              <w:jc w:val="center"/>
            </w:pPr>
            <w:r w:rsidRPr="004D46AC">
              <w:t>16.82 (6.10)</w:t>
            </w:r>
          </w:p>
        </w:tc>
      </w:tr>
      <w:tr w:rsidR="003D5CB6" w:rsidRPr="004D46AC" w14:paraId="34274E69" w14:textId="77777777" w:rsidTr="00B518F1">
        <w:trPr>
          <w:trHeight w:val="429"/>
        </w:trPr>
        <w:tc>
          <w:tcPr>
            <w:tcW w:w="3710" w:type="dxa"/>
          </w:tcPr>
          <w:p w14:paraId="71E45F16" w14:textId="77777777" w:rsidR="003D5CB6" w:rsidRPr="004D46AC" w:rsidRDefault="003D5CB6" w:rsidP="00B518F1">
            <w:pPr>
              <w:spacing w:line="360" w:lineRule="auto"/>
              <w:ind w:firstLine="0"/>
              <w:rPr>
                <w:b/>
                <w:bCs/>
              </w:rPr>
            </w:pPr>
            <w:r w:rsidRPr="004D46AC">
              <w:rPr>
                <w:b/>
                <w:bCs/>
              </w:rPr>
              <w:t xml:space="preserve">Negative, </w:t>
            </w:r>
            <w:r w:rsidRPr="004D46AC">
              <w:rPr>
                <w:b/>
                <w:bCs/>
                <w:i/>
                <w:iCs/>
              </w:rPr>
              <w:t>M</w:t>
            </w:r>
            <w:r w:rsidRPr="004D46AC">
              <w:rPr>
                <w:b/>
                <w:bCs/>
              </w:rPr>
              <w:t xml:space="preserve"> (</w:t>
            </w:r>
            <w:r w:rsidRPr="004D46AC">
              <w:rPr>
                <w:b/>
                <w:bCs/>
                <w:i/>
                <w:iCs/>
              </w:rPr>
              <w:t>SD</w:t>
            </w:r>
            <w:r w:rsidRPr="004D46AC">
              <w:rPr>
                <w:b/>
                <w:bCs/>
              </w:rPr>
              <w:t>)</w:t>
            </w:r>
          </w:p>
        </w:tc>
        <w:tc>
          <w:tcPr>
            <w:tcW w:w="2381" w:type="dxa"/>
          </w:tcPr>
          <w:p w14:paraId="6120C826" w14:textId="77777777" w:rsidR="003D5CB6" w:rsidRPr="004D46AC" w:rsidRDefault="003D5CB6" w:rsidP="00B518F1">
            <w:pPr>
              <w:spacing w:line="360" w:lineRule="auto"/>
              <w:ind w:firstLine="0"/>
              <w:jc w:val="center"/>
            </w:pPr>
            <w:r w:rsidRPr="004D46AC">
              <w:t>12.27 (5.19)</w:t>
            </w:r>
          </w:p>
        </w:tc>
        <w:tc>
          <w:tcPr>
            <w:tcW w:w="2381" w:type="dxa"/>
          </w:tcPr>
          <w:p w14:paraId="41AB4F11" w14:textId="77777777" w:rsidR="003D5CB6" w:rsidRPr="004D46AC" w:rsidRDefault="003D5CB6" w:rsidP="00B518F1">
            <w:pPr>
              <w:spacing w:line="360" w:lineRule="auto"/>
              <w:ind w:firstLine="0"/>
              <w:jc w:val="center"/>
            </w:pPr>
            <w:r w:rsidRPr="004D46AC">
              <w:t>15.40 (5.93)</w:t>
            </w:r>
          </w:p>
        </w:tc>
        <w:tc>
          <w:tcPr>
            <w:tcW w:w="2385" w:type="dxa"/>
          </w:tcPr>
          <w:p w14:paraId="64052347" w14:textId="77777777" w:rsidR="003D5CB6" w:rsidRPr="004D46AC" w:rsidRDefault="003D5CB6" w:rsidP="00B518F1">
            <w:pPr>
              <w:spacing w:line="360" w:lineRule="auto"/>
              <w:ind w:firstLine="0"/>
              <w:jc w:val="center"/>
            </w:pPr>
            <w:r w:rsidRPr="004D46AC">
              <w:t>16.70 (6.26)</w:t>
            </w:r>
          </w:p>
        </w:tc>
      </w:tr>
      <w:tr w:rsidR="003D5CB6" w:rsidRPr="004D46AC" w14:paraId="21D48ECD" w14:textId="77777777" w:rsidTr="00B518F1">
        <w:trPr>
          <w:trHeight w:val="429"/>
        </w:trPr>
        <w:tc>
          <w:tcPr>
            <w:tcW w:w="3710" w:type="dxa"/>
          </w:tcPr>
          <w:p w14:paraId="62F7D009" w14:textId="77777777" w:rsidR="003D5CB6" w:rsidRPr="004D46AC" w:rsidRDefault="003D5CB6" w:rsidP="00B518F1">
            <w:pPr>
              <w:spacing w:line="360" w:lineRule="auto"/>
              <w:ind w:firstLine="0"/>
              <w:rPr>
                <w:b/>
                <w:bCs/>
              </w:rPr>
            </w:pPr>
            <w:r w:rsidRPr="004D46AC">
              <w:rPr>
                <w:b/>
                <w:bCs/>
              </w:rPr>
              <w:t xml:space="preserve">General, </w:t>
            </w:r>
            <w:r w:rsidRPr="004D46AC">
              <w:rPr>
                <w:b/>
                <w:bCs/>
                <w:i/>
                <w:iCs/>
              </w:rPr>
              <w:t>M</w:t>
            </w:r>
            <w:r w:rsidRPr="004D46AC">
              <w:rPr>
                <w:b/>
                <w:bCs/>
              </w:rPr>
              <w:t xml:space="preserve"> (</w:t>
            </w:r>
            <w:r w:rsidRPr="004D46AC">
              <w:rPr>
                <w:b/>
                <w:bCs/>
                <w:i/>
                <w:iCs/>
              </w:rPr>
              <w:t>SD</w:t>
            </w:r>
            <w:r w:rsidRPr="004D46AC">
              <w:rPr>
                <w:b/>
                <w:bCs/>
              </w:rPr>
              <w:t>)</w:t>
            </w:r>
          </w:p>
        </w:tc>
        <w:tc>
          <w:tcPr>
            <w:tcW w:w="2381" w:type="dxa"/>
          </w:tcPr>
          <w:p w14:paraId="57F4C475" w14:textId="77777777" w:rsidR="003D5CB6" w:rsidRPr="004D46AC" w:rsidRDefault="003D5CB6" w:rsidP="00B518F1">
            <w:pPr>
              <w:spacing w:line="360" w:lineRule="auto"/>
              <w:ind w:firstLine="0"/>
              <w:jc w:val="center"/>
            </w:pPr>
            <w:r w:rsidRPr="004D46AC">
              <w:t>29.08 (9.25)</w:t>
            </w:r>
          </w:p>
        </w:tc>
        <w:tc>
          <w:tcPr>
            <w:tcW w:w="2381" w:type="dxa"/>
          </w:tcPr>
          <w:p w14:paraId="64219884" w14:textId="77777777" w:rsidR="003D5CB6" w:rsidRPr="004D46AC" w:rsidRDefault="003D5CB6" w:rsidP="00B518F1">
            <w:pPr>
              <w:spacing w:line="360" w:lineRule="auto"/>
              <w:ind w:firstLine="0"/>
              <w:jc w:val="center"/>
            </w:pPr>
            <w:r w:rsidRPr="004D46AC">
              <w:t>33.74 (9.24)</w:t>
            </w:r>
          </w:p>
        </w:tc>
        <w:tc>
          <w:tcPr>
            <w:tcW w:w="2385" w:type="dxa"/>
          </w:tcPr>
          <w:p w14:paraId="77E4DBE3" w14:textId="77777777" w:rsidR="003D5CB6" w:rsidRPr="004D46AC" w:rsidRDefault="003D5CB6" w:rsidP="00B518F1">
            <w:pPr>
              <w:spacing w:line="360" w:lineRule="auto"/>
              <w:ind w:firstLine="0"/>
              <w:jc w:val="center"/>
            </w:pPr>
            <w:r w:rsidRPr="004D46AC">
              <w:t>31.66 (9.50)</w:t>
            </w:r>
          </w:p>
        </w:tc>
      </w:tr>
      <w:tr w:rsidR="003D5CB6" w:rsidRPr="004D46AC" w14:paraId="1CABC3EB" w14:textId="77777777" w:rsidTr="00B518F1">
        <w:trPr>
          <w:trHeight w:val="429"/>
        </w:trPr>
        <w:tc>
          <w:tcPr>
            <w:tcW w:w="3710" w:type="dxa"/>
          </w:tcPr>
          <w:p w14:paraId="72770159" w14:textId="77777777" w:rsidR="003D5CB6" w:rsidRPr="004D46AC" w:rsidRDefault="003D5CB6" w:rsidP="00B518F1">
            <w:pPr>
              <w:spacing w:line="360" w:lineRule="auto"/>
              <w:ind w:firstLine="0"/>
              <w:rPr>
                <w:b/>
                <w:bCs/>
              </w:rPr>
            </w:pPr>
            <w:r w:rsidRPr="004D46AC">
              <w:rPr>
                <w:b/>
                <w:bCs/>
              </w:rPr>
              <w:t xml:space="preserve">YMRS, </w:t>
            </w:r>
            <w:r w:rsidRPr="004D46AC">
              <w:rPr>
                <w:b/>
                <w:bCs/>
                <w:i/>
                <w:iCs/>
              </w:rPr>
              <w:t xml:space="preserve">M </w:t>
            </w:r>
            <w:r w:rsidRPr="004D46AC">
              <w:rPr>
                <w:b/>
                <w:bCs/>
              </w:rPr>
              <w:t>(</w:t>
            </w:r>
            <w:r w:rsidRPr="004D46AC">
              <w:rPr>
                <w:b/>
                <w:bCs/>
                <w:i/>
                <w:iCs/>
              </w:rPr>
              <w:t>SD</w:t>
            </w:r>
            <w:r w:rsidRPr="004D46AC">
              <w:rPr>
                <w:b/>
                <w:bCs/>
              </w:rPr>
              <w:t>)</w:t>
            </w:r>
          </w:p>
        </w:tc>
        <w:tc>
          <w:tcPr>
            <w:tcW w:w="2381" w:type="dxa"/>
          </w:tcPr>
          <w:p w14:paraId="5A7B99FC" w14:textId="77777777" w:rsidR="003D5CB6" w:rsidRPr="004D46AC" w:rsidRDefault="003D5CB6" w:rsidP="00B518F1">
            <w:pPr>
              <w:spacing w:line="360" w:lineRule="auto"/>
              <w:ind w:firstLine="0"/>
              <w:jc w:val="center"/>
            </w:pPr>
            <w:r w:rsidRPr="004D46AC">
              <w:t>6.99 (7.73)</w:t>
            </w:r>
          </w:p>
        </w:tc>
        <w:tc>
          <w:tcPr>
            <w:tcW w:w="2381" w:type="dxa"/>
          </w:tcPr>
          <w:p w14:paraId="52CF2CB1" w14:textId="77777777" w:rsidR="003D5CB6" w:rsidRPr="004D46AC" w:rsidRDefault="003D5CB6" w:rsidP="00B518F1">
            <w:pPr>
              <w:spacing w:line="360" w:lineRule="auto"/>
              <w:ind w:firstLine="0"/>
              <w:jc w:val="center"/>
            </w:pPr>
            <w:r w:rsidRPr="004D46AC">
              <w:t>9.67 (7.82)</w:t>
            </w:r>
          </w:p>
        </w:tc>
        <w:tc>
          <w:tcPr>
            <w:tcW w:w="2385" w:type="dxa"/>
          </w:tcPr>
          <w:p w14:paraId="70F25B76" w14:textId="77777777" w:rsidR="003D5CB6" w:rsidRPr="004D46AC" w:rsidRDefault="003D5CB6" w:rsidP="00B518F1">
            <w:pPr>
              <w:spacing w:line="360" w:lineRule="auto"/>
              <w:ind w:firstLine="0"/>
              <w:jc w:val="center"/>
            </w:pPr>
            <w:r w:rsidRPr="004D46AC">
              <w:t>7.45 (6.71)</w:t>
            </w:r>
          </w:p>
        </w:tc>
      </w:tr>
      <w:tr w:rsidR="003D5CB6" w:rsidRPr="004D46AC" w14:paraId="5FF55DBE" w14:textId="77777777" w:rsidTr="00B518F1">
        <w:trPr>
          <w:trHeight w:val="429"/>
        </w:trPr>
        <w:tc>
          <w:tcPr>
            <w:tcW w:w="3710" w:type="dxa"/>
          </w:tcPr>
          <w:p w14:paraId="0487C034" w14:textId="77777777" w:rsidR="003D5CB6" w:rsidRPr="004D46AC" w:rsidRDefault="003D5CB6" w:rsidP="00B518F1">
            <w:pPr>
              <w:spacing w:line="360" w:lineRule="auto"/>
              <w:ind w:firstLine="0"/>
              <w:rPr>
                <w:b/>
                <w:bCs/>
              </w:rPr>
            </w:pPr>
            <w:r w:rsidRPr="004D46AC">
              <w:rPr>
                <w:b/>
                <w:bCs/>
              </w:rPr>
              <w:t xml:space="preserve">MADRS, </w:t>
            </w:r>
            <w:r w:rsidRPr="004D46AC">
              <w:rPr>
                <w:b/>
                <w:bCs/>
                <w:i/>
                <w:iCs/>
              </w:rPr>
              <w:t xml:space="preserve">M </w:t>
            </w:r>
            <w:r w:rsidRPr="004D46AC">
              <w:rPr>
                <w:b/>
                <w:bCs/>
              </w:rPr>
              <w:t>(</w:t>
            </w:r>
            <w:r w:rsidRPr="004D46AC">
              <w:rPr>
                <w:b/>
                <w:bCs/>
                <w:i/>
                <w:iCs/>
              </w:rPr>
              <w:t>SD</w:t>
            </w:r>
            <w:r w:rsidRPr="004D46AC">
              <w:rPr>
                <w:b/>
                <w:bCs/>
              </w:rPr>
              <w:t>)</w:t>
            </w:r>
          </w:p>
        </w:tc>
        <w:tc>
          <w:tcPr>
            <w:tcW w:w="2381" w:type="dxa"/>
          </w:tcPr>
          <w:p w14:paraId="66E53659" w14:textId="77777777" w:rsidR="003D5CB6" w:rsidRPr="004D46AC" w:rsidRDefault="003D5CB6" w:rsidP="00B518F1">
            <w:pPr>
              <w:spacing w:line="360" w:lineRule="auto"/>
              <w:ind w:firstLine="0"/>
              <w:jc w:val="center"/>
            </w:pPr>
            <w:r w:rsidRPr="004D46AC">
              <w:t>11.82 (10.59)</w:t>
            </w:r>
          </w:p>
        </w:tc>
        <w:tc>
          <w:tcPr>
            <w:tcW w:w="2381" w:type="dxa"/>
          </w:tcPr>
          <w:p w14:paraId="0262DBAA" w14:textId="77777777" w:rsidR="003D5CB6" w:rsidRPr="004D46AC" w:rsidRDefault="003D5CB6" w:rsidP="00B518F1">
            <w:pPr>
              <w:spacing w:line="360" w:lineRule="auto"/>
              <w:ind w:firstLine="0"/>
              <w:jc w:val="center"/>
            </w:pPr>
            <w:r w:rsidRPr="004D46AC">
              <w:t>14.31 (10.40)</w:t>
            </w:r>
          </w:p>
        </w:tc>
        <w:tc>
          <w:tcPr>
            <w:tcW w:w="2385" w:type="dxa"/>
          </w:tcPr>
          <w:p w14:paraId="2591A861" w14:textId="77777777" w:rsidR="003D5CB6" w:rsidRPr="004D46AC" w:rsidRDefault="003D5CB6" w:rsidP="00B518F1">
            <w:pPr>
              <w:spacing w:line="360" w:lineRule="auto"/>
              <w:ind w:firstLine="0"/>
              <w:jc w:val="center"/>
            </w:pPr>
            <w:r w:rsidRPr="004D46AC">
              <w:t>8.67 (8.57)</w:t>
            </w:r>
          </w:p>
        </w:tc>
      </w:tr>
      <w:tr w:rsidR="003D5CB6" w:rsidRPr="004D46AC" w14:paraId="65956753" w14:textId="77777777" w:rsidTr="00B518F1">
        <w:trPr>
          <w:trHeight w:val="429"/>
        </w:trPr>
        <w:tc>
          <w:tcPr>
            <w:tcW w:w="3710" w:type="dxa"/>
          </w:tcPr>
          <w:p w14:paraId="631A1DF5" w14:textId="77777777" w:rsidR="003D5CB6" w:rsidRPr="004D46AC" w:rsidRDefault="003D5CB6" w:rsidP="00B518F1">
            <w:pPr>
              <w:spacing w:line="360" w:lineRule="auto"/>
              <w:ind w:firstLine="0"/>
              <w:rPr>
                <w:b/>
                <w:bCs/>
              </w:rPr>
            </w:pPr>
            <w:r w:rsidRPr="004D46AC">
              <w:rPr>
                <w:b/>
                <w:bCs/>
              </w:rPr>
              <w:t>In receipt of medications, Y/N (</w:t>
            </w:r>
            <w:proofErr w:type="gramStart"/>
            <w:r w:rsidRPr="004D46AC">
              <w:rPr>
                <w:b/>
                <w:bCs/>
              </w:rPr>
              <w:t>%)</w:t>
            </w:r>
            <w:r w:rsidRPr="004D46AC">
              <w:rPr>
                <w:b/>
                <w:bCs/>
                <w:vertAlign w:val="superscript"/>
              </w:rPr>
              <w:t>e</w:t>
            </w:r>
            <w:proofErr w:type="gramEnd"/>
            <w:r w:rsidRPr="004D46AC">
              <w:rPr>
                <w:b/>
                <w:bCs/>
                <w:vertAlign w:val="superscript"/>
              </w:rPr>
              <w:t xml:space="preserve"> </w:t>
            </w:r>
          </w:p>
        </w:tc>
        <w:tc>
          <w:tcPr>
            <w:tcW w:w="2381" w:type="dxa"/>
          </w:tcPr>
          <w:p w14:paraId="7BFC3B55" w14:textId="77777777" w:rsidR="003D5CB6" w:rsidRPr="004D46AC" w:rsidRDefault="003D5CB6" w:rsidP="00B518F1">
            <w:pPr>
              <w:spacing w:line="360" w:lineRule="auto"/>
              <w:ind w:firstLine="0"/>
              <w:jc w:val="center"/>
            </w:pPr>
            <w:r w:rsidRPr="004D46AC">
              <w:t>233/15 (93.95/6.05)</w:t>
            </w:r>
          </w:p>
        </w:tc>
        <w:tc>
          <w:tcPr>
            <w:tcW w:w="2381" w:type="dxa"/>
          </w:tcPr>
          <w:p w14:paraId="167D2B56" w14:textId="77777777" w:rsidR="003D5CB6" w:rsidRPr="004D46AC" w:rsidRDefault="003D5CB6" w:rsidP="00B518F1">
            <w:pPr>
              <w:spacing w:line="360" w:lineRule="auto"/>
              <w:ind w:firstLine="0"/>
              <w:jc w:val="center"/>
            </w:pPr>
            <w:r w:rsidRPr="004D46AC">
              <w:t>218/9 (96.04/3.96)</w:t>
            </w:r>
          </w:p>
        </w:tc>
        <w:tc>
          <w:tcPr>
            <w:tcW w:w="2385" w:type="dxa"/>
          </w:tcPr>
          <w:p w14:paraId="5AF434AB" w14:textId="77777777" w:rsidR="003D5CB6" w:rsidRPr="004D46AC" w:rsidRDefault="003D5CB6" w:rsidP="00B518F1">
            <w:pPr>
              <w:spacing w:line="360" w:lineRule="auto"/>
              <w:ind w:firstLine="0"/>
              <w:jc w:val="center"/>
            </w:pPr>
            <w:r w:rsidRPr="004D46AC">
              <w:t>246/9 (96.47/3.53)</w:t>
            </w:r>
          </w:p>
        </w:tc>
      </w:tr>
      <w:tr w:rsidR="003D5CB6" w:rsidRPr="004D46AC" w14:paraId="46C7450D" w14:textId="77777777" w:rsidTr="00B518F1">
        <w:trPr>
          <w:trHeight w:val="429"/>
        </w:trPr>
        <w:tc>
          <w:tcPr>
            <w:tcW w:w="3710" w:type="dxa"/>
          </w:tcPr>
          <w:p w14:paraId="2FA9C7E0" w14:textId="77777777" w:rsidR="003D5CB6" w:rsidRPr="004D46AC" w:rsidRDefault="003D5CB6" w:rsidP="00B518F1">
            <w:pPr>
              <w:spacing w:line="360" w:lineRule="auto"/>
              <w:ind w:firstLine="0"/>
              <w:rPr>
                <w:b/>
                <w:bCs/>
              </w:rPr>
            </w:pPr>
            <w:r w:rsidRPr="004D46AC">
              <w:rPr>
                <w:b/>
                <w:bCs/>
              </w:rPr>
              <w:t xml:space="preserve">Age of first hospitalisation, </w:t>
            </w:r>
            <w:r w:rsidRPr="004D46AC">
              <w:rPr>
                <w:b/>
                <w:bCs/>
                <w:i/>
                <w:iCs/>
              </w:rPr>
              <w:t>M</w:t>
            </w:r>
            <w:r w:rsidRPr="004D46AC">
              <w:rPr>
                <w:b/>
                <w:bCs/>
              </w:rPr>
              <w:t>(</w:t>
            </w:r>
            <w:r w:rsidRPr="004D46AC">
              <w:rPr>
                <w:b/>
                <w:bCs/>
                <w:i/>
                <w:iCs/>
              </w:rPr>
              <w:t>SD</w:t>
            </w:r>
            <w:r w:rsidRPr="004D46AC">
              <w:rPr>
                <w:b/>
                <w:bCs/>
              </w:rPr>
              <w:t>)</w:t>
            </w:r>
            <w:r w:rsidRPr="004D46AC">
              <w:rPr>
                <w:b/>
                <w:bCs/>
                <w:vertAlign w:val="superscript"/>
              </w:rPr>
              <w:t>f</w:t>
            </w:r>
          </w:p>
        </w:tc>
        <w:tc>
          <w:tcPr>
            <w:tcW w:w="2381" w:type="dxa"/>
          </w:tcPr>
          <w:p w14:paraId="1F65A55C" w14:textId="77777777" w:rsidR="003D5CB6" w:rsidRPr="004D46AC" w:rsidRDefault="003D5CB6" w:rsidP="00B518F1">
            <w:pPr>
              <w:spacing w:line="360" w:lineRule="auto"/>
              <w:ind w:firstLine="0"/>
              <w:jc w:val="center"/>
            </w:pPr>
            <w:r w:rsidRPr="004D46AC">
              <w:t>25.43 (9.86)</w:t>
            </w:r>
          </w:p>
        </w:tc>
        <w:tc>
          <w:tcPr>
            <w:tcW w:w="2381" w:type="dxa"/>
          </w:tcPr>
          <w:p w14:paraId="19856AC1" w14:textId="77777777" w:rsidR="003D5CB6" w:rsidRPr="004D46AC" w:rsidRDefault="003D5CB6" w:rsidP="00B518F1">
            <w:pPr>
              <w:spacing w:line="360" w:lineRule="auto"/>
              <w:ind w:firstLine="0"/>
              <w:jc w:val="center"/>
            </w:pPr>
            <w:r w:rsidRPr="004D46AC">
              <w:t>22.70 (9.14)</w:t>
            </w:r>
          </w:p>
        </w:tc>
        <w:tc>
          <w:tcPr>
            <w:tcW w:w="2385" w:type="dxa"/>
          </w:tcPr>
          <w:p w14:paraId="2E5D27A9" w14:textId="77777777" w:rsidR="003D5CB6" w:rsidRPr="004D46AC" w:rsidRDefault="003D5CB6" w:rsidP="00B518F1">
            <w:pPr>
              <w:spacing w:line="360" w:lineRule="auto"/>
              <w:ind w:firstLine="0"/>
              <w:jc w:val="center"/>
            </w:pPr>
            <w:r w:rsidRPr="004D46AC">
              <w:t>22.74 (7.46)</w:t>
            </w:r>
          </w:p>
        </w:tc>
      </w:tr>
      <w:tr w:rsidR="003D5CB6" w:rsidRPr="004D46AC" w14:paraId="1739CC81" w14:textId="77777777" w:rsidTr="00B518F1">
        <w:trPr>
          <w:trHeight w:val="429"/>
        </w:trPr>
        <w:tc>
          <w:tcPr>
            <w:tcW w:w="3710" w:type="dxa"/>
          </w:tcPr>
          <w:p w14:paraId="65B0E893" w14:textId="77777777" w:rsidR="003D5CB6" w:rsidRPr="004D46AC" w:rsidRDefault="003D5CB6" w:rsidP="00B518F1">
            <w:pPr>
              <w:spacing w:line="360" w:lineRule="auto"/>
              <w:ind w:firstLine="0"/>
              <w:rPr>
                <w:b/>
                <w:bCs/>
              </w:rPr>
            </w:pPr>
            <w:r w:rsidRPr="004D46AC">
              <w:rPr>
                <w:b/>
                <w:bCs/>
              </w:rPr>
              <w:t xml:space="preserve">Number of hospitalisations, </w:t>
            </w:r>
            <w:r w:rsidRPr="004D46AC">
              <w:rPr>
                <w:b/>
                <w:bCs/>
                <w:i/>
                <w:iCs/>
              </w:rPr>
              <w:t>M</w:t>
            </w:r>
            <w:r w:rsidRPr="004D46AC">
              <w:rPr>
                <w:b/>
                <w:bCs/>
              </w:rPr>
              <w:t>(</w:t>
            </w:r>
            <w:r w:rsidRPr="004D46AC">
              <w:rPr>
                <w:b/>
                <w:bCs/>
                <w:i/>
                <w:iCs/>
              </w:rPr>
              <w:t>SD</w:t>
            </w:r>
            <w:r w:rsidRPr="004D46AC">
              <w:rPr>
                <w:b/>
                <w:bCs/>
              </w:rPr>
              <w:t>)</w:t>
            </w:r>
            <w:r w:rsidRPr="004D46AC">
              <w:rPr>
                <w:b/>
                <w:bCs/>
                <w:vertAlign w:val="superscript"/>
              </w:rPr>
              <w:t>g</w:t>
            </w:r>
          </w:p>
        </w:tc>
        <w:tc>
          <w:tcPr>
            <w:tcW w:w="2381" w:type="dxa"/>
          </w:tcPr>
          <w:p w14:paraId="4ED73BF9" w14:textId="77777777" w:rsidR="003D5CB6" w:rsidRPr="004D46AC" w:rsidRDefault="003D5CB6" w:rsidP="00B518F1">
            <w:pPr>
              <w:spacing w:line="360" w:lineRule="auto"/>
              <w:ind w:firstLine="0"/>
              <w:jc w:val="center"/>
            </w:pPr>
            <w:r w:rsidRPr="004D46AC">
              <w:t>5.30 (6.20)</w:t>
            </w:r>
          </w:p>
        </w:tc>
        <w:tc>
          <w:tcPr>
            <w:tcW w:w="2381" w:type="dxa"/>
          </w:tcPr>
          <w:p w14:paraId="3224A0DD" w14:textId="77777777" w:rsidR="003D5CB6" w:rsidRPr="004D46AC" w:rsidRDefault="003D5CB6" w:rsidP="00B518F1">
            <w:pPr>
              <w:spacing w:line="360" w:lineRule="auto"/>
              <w:ind w:firstLine="0"/>
              <w:jc w:val="center"/>
            </w:pPr>
            <w:r w:rsidRPr="004D46AC">
              <w:t>6.91 (7.33)</w:t>
            </w:r>
          </w:p>
        </w:tc>
        <w:tc>
          <w:tcPr>
            <w:tcW w:w="2385" w:type="dxa"/>
          </w:tcPr>
          <w:p w14:paraId="423C1D38" w14:textId="77777777" w:rsidR="003D5CB6" w:rsidRPr="004D46AC" w:rsidRDefault="003D5CB6" w:rsidP="00B518F1">
            <w:pPr>
              <w:spacing w:line="360" w:lineRule="auto"/>
              <w:ind w:firstLine="0"/>
              <w:jc w:val="center"/>
            </w:pPr>
            <w:r w:rsidRPr="004D46AC">
              <w:t>5.91 (6.72)</w:t>
            </w:r>
          </w:p>
        </w:tc>
      </w:tr>
      <w:tr w:rsidR="003D5CB6" w:rsidRPr="004D46AC" w14:paraId="316E6DE0" w14:textId="77777777" w:rsidTr="00B518F1">
        <w:trPr>
          <w:trHeight w:val="429"/>
        </w:trPr>
        <w:tc>
          <w:tcPr>
            <w:tcW w:w="3710" w:type="dxa"/>
          </w:tcPr>
          <w:p w14:paraId="1F673E91" w14:textId="77777777" w:rsidR="003D5CB6" w:rsidRPr="004D46AC" w:rsidRDefault="003D5CB6" w:rsidP="00B518F1">
            <w:pPr>
              <w:spacing w:line="360" w:lineRule="auto"/>
              <w:ind w:firstLine="0"/>
            </w:pPr>
            <w:r w:rsidRPr="004D46AC">
              <w:rPr>
                <w:b/>
                <w:bCs/>
              </w:rPr>
              <w:t xml:space="preserve">Age of first psychotic episode, </w:t>
            </w:r>
            <w:r w:rsidRPr="004D46AC">
              <w:rPr>
                <w:b/>
                <w:bCs/>
                <w:i/>
                <w:iCs/>
              </w:rPr>
              <w:t>M</w:t>
            </w:r>
            <w:r w:rsidRPr="004D46AC">
              <w:rPr>
                <w:b/>
                <w:bCs/>
              </w:rPr>
              <w:t>(</w:t>
            </w:r>
            <w:r w:rsidRPr="004D46AC">
              <w:rPr>
                <w:b/>
                <w:bCs/>
                <w:i/>
                <w:iCs/>
              </w:rPr>
              <w:t>SD</w:t>
            </w:r>
            <w:r w:rsidRPr="004D46AC">
              <w:rPr>
                <w:b/>
                <w:bCs/>
              </w:rPr>
              <w:t>)</w:t>
            </w:r>
            <w:r w:rsidRPr="004D46AC">
              <w:rPr>
                <w:b/>
                <w:bCs/>
                <w:vertAlign w:val="superscript"/>
              </w:rPr>
              <w:t>h</w:t>
            </w:r>
          </w:p>
        </w:tc>
        <w:tc>
          <w:tcPr>
            <w:tcW w:w="2381" w:type="dxa"/>
          </w:tcPr>
          <w:p w14:paraId="56D80203" w14:textId="77777777" w:rsidR="003D5CB6" w:rsidRPr="004D46AC" w:rsidRDefault="003D5CB6" w:rsidP="00B518F1">
            <w:pPr>
              <w:spacing w:line="360" w:lineRule="auto"/>
              <w:ind w:firstLine="0"/>
              <w:jc w:val="center"/>
            </w:pPr>
            <w:r w:rsidRPr="004D46AC">
              <w:t>22.27 (9.59)</w:t>
            </w:r>
          </w:p>
        </w:tc>
        <w:tc>
          <w:tcPr>
            <w:tcW w:w="2381" w:type="dxa"/>
          </w:tcPr>
          <w:p w14:paraId="37D215EA" w14:textId="77777777" w:rsidR="003D5CB6" w:rsidRPr="004D46AC" w:rsidRDefault="003D5CB6" w:rsidP="00B518F1">
            <w:pPr>
              <w:spacing w:line="360" w:lineRule="auto"/>
              <w:ind w:firstLine="0"/>
              <w:jc w:val="center"/>
            </w:pPr>
            <w:r w:rsidRPr="004D46AC">
              <w:t>18.76 (8.99)</w:t>
            </w:r>
          </w:p>
        </w:tc>
        <w:tc>
          <w:tcPr>
            <w:tcW w:w="2385" w:type="dxa"/>
          </w:tcPr>
          <w:p w14:paraId="119F9045" w14:textId="77777777" w:rsidR="003D5CB6" w:rsidRPr="004D46AC" w:rsidRDefault="003D5CB6" w:rsidP="00B518F1">
            <w:pPr>
              <w:spacing w:line="360" w:lineRule="auto"/>
              <w:ind w:firstLine="0"/>
              <w:jc w:val="center"/>
            </w:pPr>
            <w:r w:rsidRPr="004D46AC">
              <w:t>20.85 (7.80)</w:t>
            </w:r>
          </w:p>
        </w:tc>
      </w:tr>
    </w:tbl>
    <w:p w14:paraId="7479F6CD" w14:textId="77777777" w:rsidR="003D5CB6" w:rsidRPr="004D46AC" w:rsidRDefault="003D5CB6" w:rsidP="00B518F1">
      <w:pPr>
        <w:spacing w:line="360" w:lineRule="auto"/>
        <w:ind w:firstLine="0"/>
      </w:pPr>
      <w:r w:rsidRPr="004D46AC">
        <w:rPr>
          <w:i/>
          <w:iCs/>
        </w:rPr>
        <w:lastRenderedPageBreak/>
        <w:t>Note</w:t>
      </w:r>
      <w:r w:rsidRPr="004D46AC">
        <w:t>.</w:t>
      </w:r>
      <w:r w:rsidRPr="004D46AC">
        <w:rPr>
          <w:b/>
          <w:bCs/>
        </w:rPr>
        <w:t xml:space="preserve"> </w:t>
      </w:r>
      <w:r w:rsidRPr="004D46AC">
        <w:t>PBD:</w:t>
      </w:r>
      <w:r w:rsidRPr="004D46AC">
        <w:rPr>
          <w:b/>
          <w:bCs/>
        </w:rPr>
        <w:t xml:space="preserve"> </w:t>
      </w:r>
      <w:r w:rsidRPr="004D46AC">
        <w:t>Psychotic Bipolar Disorder; SCA: Schizoaffective Disorder; SCZ: Schizophrenia; PANSS: Positive and Negative Syndrome Scale; YMRS: Young Mania Rating Scale; MADRS: Montgomery-</w:t>
      </w:r>
      <w:proofErr w:type="spellStart"/>
      <w:r w:rsidRPr="004D46AC">
        <w:t>Asberg</w:t>
      </w:r>
      <w:proofErr w:type="spellEnd"/>
      <w:r w:rsidRPr="004D46AC">
        <w:t xml:space="preserve"> Depression Rating Scale.</w:t>
      </w:r>
    </w:p>
    <w:p w14:paraId="05FDFACE" w14:textId="77777777" w:rsidR="003D5CB6" w:rsidRPr="004D46AC" w:rsidRDefault="003D5CB6" w:rsidP="00B518F1">
      <w:pPr>
        <w:spacing w:line="360" w:lineRule="auto"/>
        <w:ind w:firstLine="0"/>
      </w:pPr>
      <w:proofErr w:type="gramStart"/>
      <w:r w:rsidRPr="004D46AC">
        <w:rPr>
          <w:vertAlign w:val="superscript"/>
        </w:rPr>
        <w:t xml:space="preserve">a </w:t>
      </w:r>
      <w:r w:rsidRPr="004D46AC">
        <w:t>Forty-six participants</w:t>
      </w:r>
      <w:proofErr w:type="gramEnd"/>
      <w:r w:rsidRPr="004D46AC">
        <w:t xml:space="preserve"> were excluded due to incomplete assessment on interested variables. Additionally, six participants were relatives of the probands and thus excluded from further analysis.</w:t>
      </w:r>
    </w:p>
    <w:p w14:paraId="7B8B6CB3" w14:textId="77777777" w:rsidR="003D5CB6" w:rsidRPr="004D46AC" w:rsidRDefault="003D5CB6" w:rsidP="00B518F1">
      <w:pPr>
        <w:spacing w:line="360" w:lineRule="auto"/>
        <w:ind w:firstLine="0"/>
      </w:pPr>
      <w:r w:rsidRPr="004D46AC">
        <w:rPr>
          <w:vertAlign w:val="superscript"/>
        </w:rPr>
        <w:t>b</w:t>
      </w:r>
      <w:r w:rsidRPr="004D46AC">
        <w:t xml:space="preserve"> the information was incomplete or missing in </w:t>
      </w:r>
      <w:r w:rsidRPr="004D46AC">
        <w:rPr>
          <w:i/>
          <w:iCs/>
        </w:rPr>
        <w:t>n</w:t>
      </w:r>
      <w:r w:rsidRPr="004D46AC">
        <w:t>=807 participants.</w:t>
      </w:r>
    </w:p>
    <w:p w14:paraId="2ED61440" w14:textId="77777777" w:rsidR="003D5CB6" w:rsidRPr="004D46AC" w:rsidRDefault="003D5CB6" w:rsidP="00B518F1">
      <w:pPr>
        <w:spacing w:line="360" w:lineRule="auto"/>
        <w:ind w:firstLine="0"/>
      </w:pPr>
      <w:r w:rsidRPr="004D46AC">
        <w:rPr>
          <w:vertAlign w:val="superscript"/>
        </w:rPr>
        <w:t>c</w:t>
      </w:r>
      <w:r w:rsidRPr="004D46AC">
        <w:t xml:space="preserve"> the information was incomplete or missing in </w:t>
      </w:r>
      <w:r w:rsidRPr="004D46AC">
        <w:rPr>
          <w:i/>
          <w:iCs/>
        </w:rPr>
        <w:t>n</w:t>
      </w:r>
      <w:r w:rsidRPr="004D46AC">
        <w:t>=772 participants.</w:t>
      </w:r>
    </w:p>
    <w:p w14:paraId="65D3B397" w14:textId="77777777" w:rsidR="003D5CB6" w:rsidRPr="004D46AC" w:rsidRDefault="003D5CB6" w:rsidP="00B518F1">
      <w:pPr>
        <w:spacing w:line="360" w:lineRule="auto"/>
        <w:ind w:firstLine="0"/>
      </w:pPr>
      <w:r w:rsidRPr="004D46AC">
        <w:rPr>
          <w:vertAlign w:val="superscript"/>
        </w:rPr>
        <w:t xml:space="preserve">d </w:t>
      </w:r>
      <w:r w:rsidRPr="004D46AC">
        <w:t>Incomplete responses to relevant variables were distributed as followings: PBD (</w:t>
      </w:r>
      <w:r w:rsidRPr="004D46AC">
        <w:rPr>
          <w:i/>
          <w:iCs/>
        </w:rPr>
        <w:t>n</w:t>
      </w:r>
      <w:r w:rsidRPr="004D46AC">
        <w:t>=13), SCA (</w:t>
      </w:r>
      <w:r w:rsidRPr="004D46AC">
        <w:rPr>
          <w:i/>
          <w:iCs/>
        </w:rPr>
        <w:t>n</w:t>
      </w:r>
      <w:r w:rsidRPr="004D46AC">
        <w:t>=9), and SCZ (</w:t>
      </w:r>
      <w:r w:rsidRPr="004D46AC">
        <w:rPr>
          <w:i/>
          <w:iCs/>
        </w:rPr>
        <w:t>n</w:t>
      </w:r>
      <w:r w:rsidRPr="004D46AC">
        <w:t>=24).</w:t>
      </w:r>
    </w:p>
    <w:p w14:paraId="059D879E" w14:textId="77777777" w:rsidR="003D5CB6" w:rsidRPr="004D46AC" w:rsidRDefault="003D5CB6" w:rsidP="00B518F1">
      <w:pPr>
        <w:spacing w:line="360" w:lineRule="auto"/>
        <w:ind w:firstLine="0"/>
      </w:pPr>
      <w:r w:rsidRPr="004D46AC">
        <w:rPr>
          <w:vertAlign w:val="superscript"/>
        </w:rPr>
        <w:t>e</w:t>
      </w:r>
      <w:r w:rsidRPr="004D46AC">
        <w:t xml:space="preserve"> the information was incomplete or missing in 311 PBD, 315 SCA, and 432 SCZ patients.</w:t>
      </w:r>
    </w:p>
    <w:p w14:paraId="0768711F" w14:textId="77777777" w:rsidR="003D5CB6" w:rsidRPr="004D46AC" w:rsidRDefault="003D5CB6" w:rsidP="00B518F1">
      <w:pPr>
        <w:spacing w:line="360" w:lineRule="auto"/>
        <w:ind w:firstLine="0"/>
      </w:pPr>
      <w:r w:rsidRPr="004D46AC">
        <w:rPr>
          <w:vertAlign w:val="superscript"/>
        </w:rPr>
        <w:t>f</w:t>
      </w:r>
      <w:r w:rsidRPr="004D46AC">
        <w:t xml:space="preserve"> the information was incomplete or missing in 329 PBD, 344 SCA, and 456 SCZ patients.</w:t>
      </w:r>
    </w:p>
    <w:p w14:paraId="4CC878FE" w14:textId="77777777" w:rsidR="003D5CB6" w:rsidRPr="004D46AC" w:rsidRDefault="003D5CB6" w:rsidP="00B518F1">
      <w:pPr>
        <w:spacing w:line="360" w:lineRule="auto"/>
        <w:ind w:firstLine="0"/>
      </w:pPr>
      <w:r w:rsidRPr="004D46AC">
        <w:rPr>
          <w:vertAlign w:val="superscript"/>
        </w:rPr>
        <w:t>g</w:t>
      </w:r>
      <w:r w:rsidRPr="004D46AC">
        <w:t xml:space="preserve"> the information was incomplete or missing in 339 PBD, 358 SCA, and 478 SCZ patients.</w:t>
      </w:r>
    </w:p>
    <w:p w14:paraId="41D69418" w14:textId="77777777" w:rsidR="003D5CB6" w:rsidRPr="004D46AC" w:rsidRDefault="003D5CB6" w:rsidP="00B518F1">
      <w:pPr>
        <w:spacing w:line="360" w:lineRule="auto"/>
        <w:ind w:firstLine="0"/>
      </w:pPr>
      <w:r w:rsidRPr="004D46AC">
        <w:rPr>
          <w:vertAlign w:val="superscript"/>
        </w:rPr>
        <w:t>h</w:t>
      </w:r>
      <w:r w:rsidRPr="004D46AC">
        <w:t xml:space="preserve"> the information was incomplete or missing in 315 PBD, 325 SCA, and 440 SCZ patients.</w:t>
      </w:r>
    </w:p>
    <w:p w14:paraId="5FFC452B" w14:textId="77777777" w:rsidR="003D5CB6" w:rsidRPr="004D46AC" w:rsidRDefault="003D5CB6" w:rsidP="00B518F1">
      <w:pPr>
        <w:ind w:firstLine="0"/>
        <w:rPr>
          <w:rFonts w:eastAsiaTheme="minorEastAsia"/>
          <w:sz w:val="24"/>
          <w:szCs w:val="24"/>
        </w:rPr>
      </w:pPr>
    </w:p>
    <w:p w14:paraId="6BF66466" w14:textId="77777777" w:rsidR="003D5CB6" w:rsidRPr="004D46AC" w:rsidRDefault="003D5CB6" w:rsidP="00B518F1">
      <w:pPr>
        <w:pStyle w:val="3"/>
      </w:pPr>
      <w:r w:rsidRPr="004D46AC">
        <w:t>Assessment tools and variable selection</w:t>
      </w:r>
    </w:p>
    <w:p w14:paraId="66769ED4" w14:textId="77777777" w:rsidR="003D5CB6" w:rsidRPr="004D46AC" w:rsidRDefault="003D5CB6" w:rsidP="00B518F1">
      <w:pPr>
        <w:rPr>
          <w:rFonts w:eastAsiaTheme="minorEastAsia"/>
        </w:rPr>
      </w:pPr>
      <w:r w:rsidRPr="004D46AC">
        <w:t>The Structured Clinical Interview for the Positive and Negative Syndrome Scale (PANSS) was used to assess positive and negative psychotic symptoms as well as symptoms of general psychopathology</w:t>
      </w:r>
      <w:r w:rsidRPr="004D46AC">
        <w:rPr>
          <w:rFonts w:hint="eastAsia"/>
        </w:rPr>
        <w:t xml:space="preserve"> </w:t>
      </w:r>
      <w:r w:rsidRPr="004D46AC">
        <w:fldChar w:fldCharType="begin"/>
      </w:r>
      <w:r w:rsidRPr="004D46AC">
        <w:instrText xml:space="preserve"> ADDIN EN.CITE &lt;EndNote&gt;&lt;Cite&gt;&lt;Author&gt;Kay&lt;/Author&gt;&lt;Year&gt;1987&lt;/Year&gt;&lt;RecNum&gt;409&lt;/RecNum&gt;&lt;DisplayText&gt;(Kay et al., 1987)&lt;/DisplayText&gt;&lt;record&gt;&lt;rec-number&gt;409&lt;/rec-number&gt;&lt;foreign-keys&gt;&lt;key app="EN" db-id="aet009sstawa0hewvt3xwf5atffdw2dt02sw" timestamp="1697825575"&gt;409&lt;/key&gt;&lt;/foreign-keys&gt;&lt;ref-type name="Journal Article"&gt;17&lt;/ref-type&gt;&lt;contributors&gt;&lt;authors&gt;&lt;author&gt;Kay, S. R.&lt;/author&gt;&lt;author&gt;Fiszbein, A.&lt;/author&gt;&lt;author&gt;Opler, L. A.&lt;/author&gt;&lt;/authors&gt;&lt;/contributors&gt;&lt;titles&gt;&lt;title&gt;The positive and negative syndrome scale (PANSS) for schizophrenia&lt;/title&gt;&lt;secondary-title&gt;Schizophr Bull&lt;/secondary-title&gt;&lt;/titles&gt;&lt;periodical&gt;&lt;full-title&gt;Schizophr Bull&lt;/full-title&gt;&lt;/periodical&gt;&lt;pages&gt;261-76&lt;/pages&gt;&lt;volume&gt;13&lt;/volume&gt;&lt;number&gt;2&lt;/number&gt;&lt;keywords&gt;&lt;keyword&gt;Adult&lt;/keyword&gt;&lt;keyword&gt;Aged&lt;/keyword&gt;&lt;keyword&gt;Female&lt;/keyword&gt;&lt;keyword&gt;Humans&lt;/keyword&gt;&lt;keyword&gt;Male&lt;/keyword&gt;&lt;keyword&gt;Middle Aged&lt;/keyword&gt;&lt;keyword&gt;*Psychiatric Status Rating Scales&lt;/keyword&gt;&lt;keyword&gt;Psychometrics&lt;/keyword&gt;&lt;keyword&gt;Schizophrenia/*diagnosis&lt;/keyword&gt;&lt;keyword&gt;Schizophrenic Psychology&lt;/keyword&gt;&lt;/keywords&gt;&lt;dates&gt;&lt;year&gt;1987&lt;/year&gt;&lt;/dates&gt;&lt;isbn&gt;0586-7614 (Print)&amp;#xD;0586-7614 (Linking)&lt;/isbn&gt;&lt;accession-num&gt;3616518&lt;/accession-num&gt;&lt;urls&gt;&lt;related-urls&gt;&lt;url&gt;https://www.ncbi.nlm.nih.gov/pubmed/3616518&lt;/url&gt;&lt;/related-urls&gt;&lt;/urls&gt;&lt;electronic-resource-num&gt;10.1093/schbul/13.2.261&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(Kay et al., 1987)</w:t>
      </w:r>
      <w:r w:rsidRPr="004D46AC">
        <w:fldChar w:fldCharType="end"/>
      </w:r>
      <w:r w:rsidRPr="004D46AC">
        <w:t>. It contains 30 items and the rating score for each item ranges between 1 (i.e., absent) and 7 (i.e., extreme). This tool is considered a gold standard for psychiatric evaluations</w:t>
      </w:r>
      <w:r w:rsidRPr="004D46AC">
        <w:rPr>
          <w:rFonts w:hint="eastAsia"/>
        </w:rPr>
        <w:t xml:space="preserve"> </w:t>
      </w:r>
      <w:r w:rsidRPr="004D46AC">
        <w:fldChar w:fldCharType="begin">
          <w:fldData xml:space="preserve">PEVuZE5vdGU+PENpdGU+PEF1dGhvcj5MaWVjaHRpPC9BdXRob3I+PFllYXI+MjAxNzwvWWVhcj48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</w:fldData>
        </w:fldChar>
      </w:r>
      <w:r w:rsidRPr="004D46AC">
        <w:instrText xml:space="preserve"> ADDIN EN.CITE </w:instrText>
      </w:r>
      <w:r w:rsidRPr="004D46AC">
        <w:fldChar w:fldCharType="begin">
          <w:fldData xml:space="preserve">PEVuZE5vdGU+PENpdGU+PEF1dGhvcj5MaWVjaHRpPC9BdXRob3I+PFllYXI+MjAxNzwvWWVhcj48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</w:fldData>
        </w:fldChar>
      </w:r>
      <w:r w:rsidRPr="004D46AC">
        <w:instrText xml:space="preserve"> ADDIN EN.CITE.DATA </w:instrText>
      </w:r>
      <w:r w:rsidRPr="004D46AC">
        <w:fldChar w:fldCharType="end"/>
      </w:r>
      <w:r w:rsidRPr="004D46AC">
        <w:fldChar w:fldCharType="separate"/>
      </w:r>
      <w:r w:rsidRPr="004D46AC">
        <w:rPr>
          <w:noProof/>
        </w:rPr>
        <w:t>(Liechti et al., 2017)</w:t>
      </w:r>
      <w:r w:rsidRPr="004D46AC">
        <w:fldChar w:fldCharType="end"/>
      </w:r>
      <w:r w:rsidRPr="004D46AC">
        <w:t>. Manic symptoms were evaluated with the Young Mania Rating scales (YMRS), which are widely applied in clinical settings</w:t>
      </w:r>
      <w:r w:rsidRPr="004D46AC">
        <w:rPr>
          <w:rFonts w:hint="eastAsia"/>
        </w:rPr>
        <w:t xml:space="preserve"> </w:t>
      </w:r>
      <w:r w:rsidRPr="004D46AC">
        <w:fldChar w:fldCharType="begin"/>
      </w:r>
      <w:r w:rsidRPr="004D46AC">
        <w:instrText xml:space="preserve"> ADDIN EN.CITE &lt;EndNote&gt;&lt;Cite&gt;&lt;Author&gt;Lukasiewicz&lt;/Author&gt;&lt;Year&gt;2013&lt;/Year&gt;&lt;RecNum&gt;410&lt;/RecNum&gt;&lt;DisplayText&gt;(Lukasiewicz et al., 2013)&lt;/DisplayText&gt;&lt;record&gt;&lt;rec-number&gt;410&lt;/rec-number&gt;&lt;foreign-keys&gt;&lt;key app="EN" db-id="aet009sstawa0hewvt3xwf5atffdw2dt02sw" timestamp="1697827806"&gt;410&lt;/key&gt;&lt;/foreign-keys&gt;&lt;ref-type name="Journal Article"&gt;17&lt;/ref-type&gt;&lt;contributors&gt;&lt;authors&gt;&lt;author&gt;Lukasiewicz, Michael&lt;/author&gt;&lt;author&gt;Gerard, Stephanie&lt;/author&gt;&lt;author&gt;Besnard, Adeline&lt;/author&gt;&lt;author&gt;Falissard, Bruno&lt;/author&gt;&lt;author&gt;Perrin, Elena&lt;/author&gt;&lt;author&gt;Sapin, Helene&lt;/author&gt;&lt;author&gt;Tohen, Mauricio&lt;/author&gt;&lt;author&gt;Reed, Catherine&lt;/author&gt;&lt;author&gt;Azorin, Jean</w:instrText>
      </w:r>
      <w:r w:rsidRPr="004D46AC">
        <w:rPr>
          <w:rFonts w:ascii="Cambria Math" w:hAnsi="Cambria Math" w:cs="Cambria Math"/>
        </w:rPr>
        <w:instrText>‐</w:instrText>
      </w:r>
      <w:r w:rsidRPr="004D46AC">
        <w:instrText>Michel&lt;/author&gt;&lt;author&gt;Emblem Study Group&lt;/author&gt;&lt;/authors&gt;&lt;/contributors&gt;&lt;titles&gt;&lt;title&gt;Young Mania Rating Scale: how to interpret the numbers? Determination of a severity threshold and of the minimal clinically significant difference in the EMBLEM cohort&lt;/title&gt;&lt;secondary-title&gt;International journal of methods in psychiatric research&lt;/secondary-title&gt;&lt;/titles&gt;&lt;periodical&gt;&lt;full-title&gt;International journal of methods in psychiatric research&lt;/full-title&gt;&lt;/periodical&gt;&lt;pages&gt;46-58&lt;/pages&gt;&lt;volume&gt;22&lt;/volume&gt;&lt;number&gt;1&lt;/number&gt;&lt;dates&gt;&lt;year&gt;2013&lt;/year&gt;&lt;/dates&gt;&lt;isbn&gt;1049-8931&lt;/isbn&gt;&lt;urls&gt;&lt;/urls&gt;&lt;/record&gt;&lt;/Cite&gt;&lt;/EndNote&gt;</w:instrText>
      </w:r>
      <w:r w:rsidRPr="004D46AC">
        <w:fldChar w:fldCharType="separate"/>
      </w:r>
      <w:r w:rsidRPr="004D46AC">
        <w:rPr>
          <w:noProof/>
        </w:rPr>
        <w:t>(Lukasiewicz et al., 2013)</w:t>
      </w:r>
      <w:r w:rsidRPr="004D46AC">
        <w:fldChar w:fldCharType="end"/>
      </w:r>
      <w:r w:rsidRPr="004D46AC">
        <w:t xml:space="preserve">. This measure contains 11 items and the rating score for each </w:t>
      </w:r>
      <w:proofErr w:type="gramStart"/>
      <w:r w:rsidRPr="004D46AC">
        <w:t>ranges</w:t>
      </w:r>
      <w:proofErr w:type="gramEnd"/>
      <w:r w:rsidRPr="004D46AC">
        <w:t xml:space="preserve"> either from 0 to 4 or 0 to 8. For example, Elevated Mood is rated from 0 (i.e., absent) to 4 (i.e., euphoria); and Disruptive - Aggressive Behaviour is rated from 0 (i.e., absent) to 8 (i.e., assaultive). Depressive symptoms were assessed using the Montgomery-</w:t>
      </w:r>
      <w:proofErr w:type="spellStart"/>
      <w:r w:rsidRPr="004D46AC">
        <w:t>Asberg</w:t>
      </w:r>
      <w:proofErr w:type="spellEnd"/>
      <w:r w:rsidRPr="004D46AC">
        <w:t xml:space="preserve"> Depression Rating Scale (MADRS), and its validity and sensitivity were supported by prior studies</w:t>
      </w:r>
      <w:r w:rsidRPr="004D46AC">
        <w:fldChar w:fldCharType="begin">
          <w:fldData xml:space="preserve">PEVuZE5vdGU+PENpdGU+PEF1dGhvcj5EYXZpZHNvbjwvQXV0aG9yPjxZZWFyPjE5ODY8L1llYXI+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</w:fldData>
        </w:fldChar>
      </w:r>
      <w:r w:rsidRPr="004D46AC">
        <w:instrText xml:space="preserve"> ADDIN EN.CITE </w:instrText>
      </w:r>
      <w:r w:rsidRPr="004D46AC">
        <w:fldChar w:fldCharType="begin">
          <w:fldData xml:space="preserve">PEVuZE5vdGU+PENpdGU+PEF1dGhvcj5EYXZpZHNvbjwvQXV0aG9yPjxZZWFyPjE5ODY8L1llYXI+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</w:fldData>
        </w:fldChar>
      </w:r>
      <w:r w:rsidRPr="004D46AC">
        <w:instrText xml:space="preserve"> ADDIN EN.CITE.DATA </w:instrText>
      </w:r>
      <w:r w:rsidRPr="004D46AC">
        <w:fldChar w:fldCharType="end"/>
      </w:r>
      <w:r w:rsidRPr="004D46AC">
        <w:fldChar w:fldCharType="separate"/>
      </w:r>
      <w:r w:rsidRPr="004D46AC">
        <w:rPr>
          <w:noProof/>
        </w:rPr>
        <w:t>(Davidson et al., 1986; Khan et al., 2002)</w:t>
      </w:r>
      <w:r w:rsidRPr="004D46AC">
        <w:fldChar w:fldCharType="end"/>
      </w:r>
      <w:r w:rsidRPr="004D46AC">
        <w:t>. The MADRS contains 10 items, with rating scores ranging from 0 to 6, with the higher score reflecting a more severe condition.</w:t>
      </w:r>
    </w:p>
    <w:p w14:paraId="6FB81BEE" w14:textId="69240BB5" w:rsidR="003D5CB6" w:rsidRPr="004D46AC" w:rsidRDefault="003D5CB6" w:rsidP="00B518F1">
      <w:pPr>
        <w:rPr>
          <w:rFonts w:eastAsiaTheme="minorEastAsia"/>
        </w:rPr>
      </w:pPr>
      <w:r w:rsidRPr="004D46AC">
        <w:lastRenderedPageBreak/>
        <w:t>Pilot work indicated that item redundancy (for example between almost identical items P7 in the PANSS and Y9 in YMRS) created considerable distortions in the network structures. Variable selection was therefore conducted in two stages. First, the face validity of all variables was evaluated by the research team and items P1 (i.e., delusion), P7 (i.e., hostility), and general psychiatric symptoms from PANSS as well as M1 (i.e., apparent sadness) from MADRS were excluded due to obvious duplication with other items. The conceptual similarities between the remaining items were determined by the weighted topological overlap (</w:t>
      </w:r>
      <w:proofErr w:type="spellStart"/>
      <w:r w:rsidRPr="004D46AC">
        <w:t>wTO</w:t>
      </w:r>
      <w:proofErr w:type="spellEnd"/>
      <w:r w:rsidRPr="004D46AC">
        <w:t xml:space="preserve">) score; pairs of variables were considered conceptually similar if the score was higher than 0.25 and variables were merged by addition if they met this criterion38. Twenty-six symptom variables were selected for the current analysis. The detailed variable selection procedure and the rationale for specific decisions can be found in </w:t>
      </w:r>
      <w:bookmarkStart w:id="122" w:name="OLE_LINK107"/>
      <w:r w:rsidRPr="004D46AC">
        <w:t xml:space="preserve">Table </w:t>
      </w:r>
      <w:r w:rsidRPr="004D46AC">
        <w:rPr>
          <w:rFonts w:eastAsiaTheme="minorEastAsia" w:hint="eastAsia"/>
        </w:rPr>
        <w:t>C</w:t>
      </w:r>
      <w:r w:rsidR="00D0731C" w:rsidRPr="004D46AC">
        <w:rPr>
          <w:rFonts w:eastAsiaTheme="minorEastAsia" w:hint="eastAsia"/>
        </w:rPr>
        <w:t xml:space="preserve"> </w:t>
      </w:r>
      <w:r w:rsidR="00AD0A74" w:rsidRPr="004D46AC">
        <w:rPr>
          <w:rFonts w:eastAsiaTheme="minorEastAsia" w:hint="eastAsia"/>
        </w:rPr>
        <w:t>1</w:t>
      </w:r>
      <w:bookmarkEnd w:id="122"/>
      <w:r w:rsidRPr="004D46AC">
        <w:t xml:space="preserve">. As a sensitivity test, we repeated all analyses using item selection guided solely by </w:t>
      </w:r>
      <w:proofErr w:type="spellStart"/>
      <w:r w:rsidRPr="004D46AC">
        <w:t>wTO</w:t>
      </w:r>
      <w:proofErr w:type="spellEnd"/>
      <w:r w:rsidRPr="004D46AC">
        <w:t xml:space="preserve"> scores (that is, without first reducing items that, on face-validity, seemed to overlap)</w:t>
      </w:r>
      <w:r w:rsidR="00AD0A74" w:rsidRPr="004D46AC">
        <w:rPr>
          <w:rFonts w:eastAsiaTheme="minorEastAsia" w:hint="eastAsia"/>
        </w:rPr>
        <w:t>, see Table C 2</w:t>
      </w:r>
      <w:r w:rsidRPr="004D46AC">
        <w:t xml:space="preserve">. This made no substantial difference to the results. For example, the correlations between edge weights calculated with our reported method of item selection with those calculated using item scores entirely determined by the </w:t>
      </w:r>
      <w:proofErr w:type="spellStart"/>
      <w:r w:rsidRPr="004D46AC">
        <w:t>wTO</w:t>
      </w:r>
      <w:proofErr w:type="spellEnd"/>
      <w:r w:rsidRPr="004D46AC">
        <w:t xml:space="preserve"> scores were, in all case, &gt; .85.</w:t>
      </w:r>
    </w:p>
    <w:p w14:paraId="05146F67" w14:textId="77777777" w:rsidR="003D5CB6" w:rsidRPr="004D46AC" w:rsidRDefault="003D5CB6" w:rsidP="00B518F1">
      <w:pPr>
        <w:pStyle w:val="3"/>
      </w:pPr>
      <w:r w:rsidRPr="004D46AC">
        <w:t>Statistical Analyses</w:t>
      </w:r>
    </w:p>
    <w:p w14:paraId="7C02724B" w14:textId="77777777" w:rsidR="003D5CB6" w:rsidRPr="004D46AC" w:rsidRDefault="003D5CB6" w:rsidP="00B518F1">
      <w:pPr>
        <w:rPr>
          <w:rFonts w:eastAsiaTheme="minorEastAsia"/>
        </w:rPr>
      </w:pPr>
      <w:r w:rsidRPr="004D46AC">
        <w:rPr>
          <w:rFonts w:eastAsiaTheme="minorEastAsia" w:hint="eastAsia"/>
        </w:rPr>
        <w:t xml:space="preserve"> </w:t>
      </w:r>
      <w:r w:rsidRPr="004D46AC">
        <w:t>All computations were conducted using R studio (version 2023.06.0) with R language (version 4.3.1) as backend. The Kruskal-Wallis rank sum test was used to compare the symptom ratings across multiple groups, and the pair-wise Wilcoxon test was subsequently used to show the results of group to group level comparisons with the p value adjusted by the BH method</w:t>
      </w:r>
      <w:r w:rsidRPr="004D46AC">
        <w:rPr>
          <w:rFonts w:hint="eastAsia"/>
        </w:rPr>
        <w:t xml:space="preserve"> </w:t>
      </w:r>
      <w:r w:rsidRPr="004D46AC">
        <w:fldChar w:fldCharType="begin"/>
      </w:r>
      <w:r w:rsidRPr="004D46AC">
        <w:instrText xml:space="preserve"> ADDIN EN.CITE &lt;EndNote&gt;&lt;Cite&gt;&lt;Author&gt;Benjamini&lt;/Author&gt;&lt;Year&gt;1995&lt;/Year&gt;&lt;RecNum&gt;555&lt;/RecNum&gt;&lt;DisplayText&gt;(Benjamini &amp;amp; Hochberg, 1995)&lt;/DisplayText&gt;&lt;record&gt;&lt;rec-number&gt;555&lt;/rec-number&gt;&lt;foreign-keys&gt;&lt;key app="EN" db-id="aet009sstawa0hewvt3xwf5atffdw2dt02sw" timestamp="1711229612"&gt;555&lt;/key&gt;&lt;/foreign-keys&gt;&lt;ref-type name="Journal Article"&gt;17&lt;/ref-type&gt;&lt;contributors&gt;&lt;authors&gt;&lt;author&gt;Benjamini, Yoav&lt;/author&gt;&lt;author&gt;Hochberg, Yosef&lt;/author&gt;&lt;/authors&gt;&lt;/contributors&gt;&lt;titles&gt;&lt;title&gt;Controlling the False Discovery Rate: A Practical and Powerful Approach to Multiple Testing&lt;/title&gt;&lt;secondary-title&gt;Journal of the Royal Statistical Society Series B: Statistical Methodology&lt;/secondary-title&gt;&lt;/titles&gt;&lt;pages&gt;289-300&lt;/pages&gt;&lt;volume&gt;57&lt;/volume&gt;&lt;number&gt;1&lt;/number&gt;&lt;section&gt;289&lt;/section&gt;&lt;dates&gt;&lt;year&gt;1995&lt;/year&gt;&lt;/dates&gt;&lt;isbn&gt;1369-7412&amp;#xD;1467-9868&lt;/isbn&gt;&lt;urls&gt;&lt;related-urls&gt;&lt;url&gt;https://rss.onlinelibrary.wiley.com/doi/abs/10.1111/j.2517-6161.1995.tb02031.x&lt;/url&gt;&lt;/related-urls&gt;&lt;/urls&gt;&lt;electronic-resource-num&gt;10.1111/j.2517-6161.1995.tb02031.x&lt;/electronic-resource-num&gt;&lt;/record&gt;&lt;/Cite&gt;&lt;/EndNote&gt;</w:instrText>
      </w:r>
      <w:r w:rsidRPr="004D46AC">
        <w:fldChar w:fldCharType="separate"/>
      </w:r>
      <w:r w:rsidRPr="004D46AC">
        <w:rPr>
          <w:noProof/>
        </w:rPr>
        <w:t>(Benjamini &amp; Hochberg, 1995)</w:t>
      </w:r>
      <w:r w:rsidRPr="004D46AC">
        <w:fldChar w:fldCharType="end"/>
      </w:r>
      <w:r w:rsidRPr="004D46AC">
        <w:t>. The Wilcoxon effect size (</w:t>
      </w:r>
      <w:r w:rsidRPr="004D46AC">
        <w:rPr>
          <w:i/>
          <w:iCs/>
        </w:rPr>
        <w:t>r</w:t>
      </w:r>
      <w:r w:rsidRPr="004D46AC">
        <w:t xml:space="preserve">) was reported, with a range between (.10-.29) indicating a small effect size, (.30-.49) representing a moderate effect size, and values higher than .50 considered as a large effect size. </w:t>
      </w:r>
      <w:r w:rsidRPr="004D46AC">
        <w:rPr>
          <w:rFonts w:hint="eastAsia"/>
        </w:rPr>
        <w:t>T</w:t>
      </w:r>
      <w:r w:rsidRPr="004D46AC">
        <w:t xml:space="preserve">he Package </w:t>
      </w:r>
      <w:proofErr w:type="spellStart"/>
      <w:r w:rsidRPr="004D46AC">
        <w:rPr>
          <w:i/>
          <w:iCs/>
        </w:rPr>
        <w:t>bootnet</w:t>
      </w:r>
      <w:proofErr w:type="spellEnd"/>
      <w:r w:rsidRPr="004D46AC">
        <w:t xml:space="preserve"> (version 1.5.6) was utilised to estimate networks and evaluate the network stabilities. The </w:t>
      </w:r>
      <w:proofErr w:type="spellStart"/>
      <w:r w:rsidRPr="004D46AC">
        <w:rPr>
          <w:i/>
          <w:iCs/>
        </w:rPr>
        <w:t>qgraph</w:t>
      </w:r>
      <w:proofErr w:type="spellEnd"/>
      <w:r w:rsidRPr="004D46AC">
        <w:t xml:space="preserve"> package (version 1.9.5) was u</w:t>
      </w:r>
      <w:r w:rsidRPr="004D46AC">
        <w:rPr>
          <w:rFonts w:hint="eastAsia"/>
        </w:rPr>
        <w:t>s</w:t>
      </w:r>
      <w:r w:rsidRPr="004D46AC">
        <w:t xml:space="preserve">ed to compute the centralities and draw relevant graphs. The </w:t>
      </w:r>
      <w:proofErr w:type="spellStart"/>
      <w:r w:rsidRPr="004D46AC">
        <w:rPr>
          <w:i/>
          <w:iCs/>
        </w:rPr>
        <w:t>igraph</w:t>
      </w:r>
      <w:proofErr w:type="spellEnd"/>
      <w:r w:rsidRPr="004D46AC">
        <w:t xml:space="preserve"> package (version 1.5.1) was used to compute the network </w:t>
      </w:r>
      <w:r w:rsidRPr="004D46AC">
        <w:lastRenderedPageBreak/>
        <w:t xml:space="preserve">statistics (e.g., density). The network communities and the stabilities were computed using the package </w:t>
      </w:r>
      <w:proofErr w:type="spellStart"/>
      <w:r w:rsidRPr="004D46AC">
        <w:rPr>
          <w:i/>
          <w:iCs/>
        </w:rPr>
        <w:t>EGAnet</w:t>
      </w:r>
      <w:proofErr w:type="spellEnd"/>
      <w:r w:rsidRPr="004D46AC">
        <w:t xml:space="preserve"> (version 2.02); the </w:t>
      </w:r>
      <w:proofErr w:type="spellStart"/>
      <w:r w:rsidRPr="004D46AC">
        <w:rPr>
          <w:i/>
          <w:iCs/>
        </w:rPr>
        <w:t>wTO</w:t>
      </w:r>
      <w:proofErr w:type="spellEnd"/>
      <w:r w:rsidRPr="004D46AC">
        <w:rPr>
          <w:i/>
          <w:iCs/>
        </w:rPr>
        <w:t xml:space="preserve"> </w:t>
      </w:r>
      <w:r w:rsidRPr="004D46AC">
        <w:t xml:space="preserve">scores were computed using this package via the function </w:t>
      </w:r>
      <w:r w:rsidRPr="004D46AC">
        <w:rPr>
          <w:i/>
          <w:iCs/>
        </w:rPr>
        <w:t>UVA</w:t>
      </w:r>
      <w:r w:rsidRPr="004D46AC">
        <w:t xml:space="preserve"> (Unique Variable Analysis)</w:t>
      </w:r>
      <w:r w:rsidRPr="004D46AC">
        <w:rPr>
          <w:rFonts w:hint="eastAsia"/>
        </w:rPr>
        <w:t xml:space="preserve"> </w:t>
      </w:r>
      <w:r w:rsidRPr="004D46AC">
        <w:fldChar w:fldCharType="begin"/>
      </w:r>
      <w:r w:rsidRPr="004D46AC">
        <w:instrText xml:space="preserve"> ADDIN EN.CITE &lt;EndNote&gt;&lt;Cite&gt;&lt;Author&gt;Christensen&lt;/Author&gt;&lt;Year&gt;2023&lt;/Year&gt;&lt;RecNum&gt;498&lt;/RecNum&gt;&lt;DisplayText&gt;(Christensen et al., 2023)&lt;/DisplayText&gt;&lt;record&gt;&lt;rec-number&gt;498&lt;/rec-number&gt;&lt;foreign-keys&gt;&lt;key app="EN" db-id="aet009sstawa0hewvt3xwf5atffdw2dt02sw" timestamp="1708012971"&gt;498&lt;/key&gt;&lt;/foreign-keys&gt;&lt;ref-type name="Journal Article"&gt;17&lt;/ref-type&gt;&lt;contributors&gt;&lt;authors&gt;&lt;author&gt;Christensen, A. P.&lt;/author&gt;&lt;author&gt;Garrido, L. E.&lt;/author&gt;&lt;author&gt;Golino, H.&lt;/author&gt;&lt;/authors&gt;&lt;/contributors&gt;&lt;auth-address&gt;Department of Psychology and Human Development, Vanderbilt University.&amp;#xD;Escuela de Psicologia, Pontificia Universidad Catolica Madre y Maestra.&amp;#xD;Psychology, University of Virginia.&lt;/auth-address&gt;&lt;titles&gt;&lt;title&gt;Unique Variable Analysis: A Network Psychometrics Method to Detect Local Dependence&lt;/title&gt;&lt;secondary-title&gt;Multivariate Behav Res&lt;/secondary-title&gt;&lt;/titles&gt;&lt;pages&gt;1165-1182&lt;/pages&gt;&lt;volume&gt;58&lt;/volume&gt;&lt;number&gt;6&lt;/number&gt;&lt;edition&gt;20230504&lt;/edition&gt;&lt;keywords&gt;&lt;keyword&gt;Psychometrics/methods&lt;/keyword&gt;&lt;keyword&gt;*Models, Statistical&lt;/keyword&gt;&lt;keyword&gt;Bayes Theorem&lt;/keyword&gt;&lt;keyword&gt;Computer Simulation&lt;/keyword&gt;&lt;keyword&gt;*Models, Theoretical&lt;/keyword&gt;&lt;keyword&gt;Local dependence&lt;/keyword&gt;&lt;keyword&gt;correlated residuals&lt;/keyword&gt;&lt;keyword&gt;minor factors&lt;/keyword&gt;&lt;/keywords&gt;&lt;dates&gt;&lt;year&gt;2023&lt;/year&gt;&lt;pub-dates&gt;&lt;date&gt;Nov-Dec&lt;/date&gt;&lt;/pub-dates&gt;&lt;/dates&gt;&lt;publisher&gt;Routledge&lt;/publisher&gt;&lt;isbn&gt;1532-7906 (Electronic)&amp;#xD;0027-3171 (Linking)&lt;/isbn&gt;&lt;accession-num&gt;37139938&lt;/accession-num&gt;&lt;urls&gt;&lt;related-urls&gt;&lt;url&gt;https://www.ncbi.nlm.nih.gov/pubmed/37139938&lt;/url&gt;&lt;/related-urls&gt;&lt;/urls&gt;&lt;electronic-resource-num&gt;10.1080/00273171.2023.2194606&lt;/electronic-resource-num&gt;&lt;remote-database-name&gt;Medline&lt;/remote-database-name&gt;&lt;remote-database-provider&gt;NLM&lt;/remote-database-provider&gt;&lt;/record&gt;&lt;/Cite&gt;&lt;/EndNote&gt;</w:instrText>
      </w:r>
      <w:r w:rsidRPr="004D46AC">
        <w:fldChar w:fldCharType="separate"/>
      </w:r>
      <w:r w:rsidRPr="004D46AC">
        <w:rPr>
          <w:noProof/>
        </w:rPr>
        <w:t>(Christensen et al., 2023)</w:t>
      </w:r>
      <w:r w:rsidRPr="004D46AC">
        <w:fldChar w:fldCharType="end"/>
      </w:r>
      <w:r w:rsidRPr="004D46AC">
        <w:t xml:space="preserve">. The </w:t>
      </w:r>
      <w:proofErr w:type="spellStart"/>
      <w:r w:rsidRPr="004D46AC">
        <w:rPr>
          <w:i/>
          <w:iCs/>
        </w:rPr>
        <w:t>NetworkComparisonTest</w:t>
      </w:r>
      <w:proofErr w:type="spellEnd"/>
      <w:r w:rsidRPr="004D46AC">
        <w:rPr>
          <w:i/>
          <w:iCs/>
        </w:rPr>
        <w:t xml:space="preserve"> </w:t>
      </w:r>
      <w:r w:rsidRPr="004D46AC">
        <w:t>(version 2.2.2) was used to compare networks.</w:t>
      </w:r>
    </w:p>
    <w:p w14:paraId="04E7AA13" w14:textId="77777777" w:rsidR="003D5CB6" w:rsidRPr="004D46AC" w:rsidRDefault="003D5CB6" w:rsidP="00B518F1">
      <w:pPr>
        <w:pStyle w:val="4"/>
      </w:pPr>
      <w:r w:rsidRPr="004D46AC">
        <w:t>Network estimation</w:t>
      </w:r>
    </w:p>
    <w:p w14:paraId="46745413" w14:textId="77777777" w:rsidR="003D5CB6" w:rsidRPr="004D46AC" w:rsidRDefault="003D5CB6" w:rsidP="00B518F1">
      <w:pPr>
        <w:rPr>
          <w:rFonts w:eastAsiaTheme="minorEastAsia"/>
        </w:rPr>
      </w:pPr>
      <w:r w:rsidRPr="004D46AC">
        <w:t>The network structures for the total patient population as well as subgroups with different diagnoses were estimated by graphic lasso based on extended BIC criterium (</w:t>
      </w:r>
      <w:proofErr w:type="spellStart"/>
      <w:r w:rsidRPr="004D46AC">
        <w:t>EBICglasso</w:t>
      </w:r>
      <w:proofErr w:type="spellEnd"/>
      <w:r w:rsidRPr="004D46AC">
        <w:t>), with a default hyperparameter value (γ</w:t>
      </w:r>
      <w:r w:rsidRPr="004D46AC">
        <w:rPr>
          <w:rFonts w:eastAsiaTheme="minorEastAsia" w:hint="eastAsia"/>
        </w:rPr>
        <w:t xml:space="preserve"> </w:t>
      </w:r>
      <w:r w:rsidRPr="004D46AC">
        <w:t>=</w:t>
      </w:r>
      <w:r w:rsidRPr="004D46AC">
        <w:rPr>
          <w:rFonts w:eastAsiaTheme="minorEastAsia" w:hint="eastAsia"/>
        </w:rPr>
        <w:t xml:space="preserve"> </w:t>
      </w:r>
      <w:r w:rsidRPr="004D46AC">
        <w:t xml:space="preserve">0.5) for regularised networks </w:t>
      </w:r>
      <w:r w:rsidRPr="004D46AC">
        <w:fldChar w:fldCharType="begin"/>
      </w:r>
      <w:r w:rsidRPr="004D46AC">
        <w:instrText xml:space="preserve"> ADDIN EN.CITE &lt;EndNote&gt;&lt;Cite&gt;&lt;Author&gt;Friedman&lt;/Author&gt;&lt;Year&gt;2011&lt;/Year&gt;&lt;RecNum&gt;414&lt;/RecNum&gt;&lt;DisplayText&gt;(Friedman et al., 2011)&lt;/DisplayText&gt;&lt;record&gt;&lt;rec-number&gt;414&lt;/rec-number&gt;&lt;foreign-keys&gt;&lt;key app="EN" db-id="aet009sstawa0hewvt3xwf5atffdw2dt02sw" timestamp="1697878954"&gt;414&lt;/key&gt;&lt;/foreign-keys&gt;&lt;ref-type name="Web Page"&gt;12&lt;/ref-type&gt;&lt;contributors&gt;&lt;authors&gt;&lt;author&gt;Jerome Friedman&lt;/author&gt;&lt;author&gt;Trevor Hastie&lt;/author&gt;&lt;author&gt;Rob Tibshirani&lt;/author&gt;&lt;/authors&gt;&lt;/contributors&gt;&lt;titles&gt;&lt;title&gt;glasso: Graphical lasso-estimation of Gaussian graphical models&lt;/title&gt;&lt;/titles&gt;&lt;edition&gt;R package version 1.7&lt;/edition&gt;&lt;dates&gt;&lt;year&gt;2011&lt;/year&gt;&lt;/dates&gt;&lt;urls&gt;&lt;related-urls&gt;&lt;url&gt;http://CRAN.R-project.org/package=glasso&lt;/url&gt;&lt;/related-urls&gt;&lt;/urls&gt;&lt;/record&gt;&lt;/Cite&gt;&lt;/EndNote&gt;</w:instrText>
      </w:r>
      <w:r w:rsidRPr="004D46AC">
        <w:fldChar w:fldCharType="separate"/>
      </w:r>
      <w:r w:rsidRPr="004D46AC">
        <w:rPr>
          <w:noProof/>
        </w:rPr>
        <w:t>(Friedman et al., 2011)</w:t>
      </w:r>
      <w:r w:rsidRPr="004D46AC">
        <w:fldChar w:fldCharType="end"/>
      </w:r>
      <w:r w:rsidRPr="004D46AC">
        <w:t xml:space="preserve">. No skip structure was involved during the assessment. Spearman correlation/ rank transformations were taken as inputs owing to the skewed distributions of the ratings </w:t>
      </w:r>
      <w:r w:rsidRPr="004D46AC">
        <w:fldChar w:fldCharType="begin"/>
      </w:r>
      <w:r w:rsidRPr="004D46AC">
        <w:instrText xml:space="preserve"> ADDIN EN.CITE &lt;EndNote&gt;&lt;Cite&gt;&lt;Author&gt;Isvoranu&lt;/Author&gt;&lt;Year&gt;2023&lt;/Year&gt;&lt;RecNum&gt;396&lt;/RecNum&gt;&lt;DisplayText&gt;(Isvoranu &amp;amp; Epskamp, 2023)&lt;/DisplayText&gt;&lt;record&gt;&lt;rec-number&gt;396&lt;/rec-number&gt;&lt;foreign-keys&gt;&lt;key app="EN" db-id="aet009sstawa0hewvt3xwf5atffdw2dt02sw" timestamp="1693130327"&gt;396&lt;/key&gt;&lt;/foreign-keys&gt;&lt;ref-type name="Journal Article"&gt;17&lt;/ref-type&gt;&lt;contributors&gt;&lt;authors&gt;&lt;author&gt;Isvoranu, A. M.&lt;/author&gt;&lt;author&gt;Epskamp, S.&lt;/author&gt;&lt;/authors&gt;&lt;/contributors&gt;&lt;auth-address&gt;Department of Psychology, Psychological Methods, University of Amsterdam.&lt;/auth-address&gt;&lt;titles&gt;&lt;title&gt;Which estimation method to choose in network psychometrics? Deriving guidelines for applied researchers&lt;/title&gt;&lt;secondary-title&gt;Psychol Methods&lt;/secondary-title&gt;&lt;/titles&gt;&lt;periodical&gt;&lt;full-title&gt;Psychol Methods&lt;/full-title&gt;&lt;/periodical&gt;&lt;pages&gt;925-946&lt;/pages&gt;&lt;volume&gt;28&lt;/volume&gt;&lt;number&gt;4&lt;/number&gt;&lt;edition&gt;20211129&lt;/edition&gt;&lt;keywords&gt;&lt;keyword&gt;Humans&lt;/keyword&gt;&lt;keyword&gt;Psychometrics&lt;/keyword&gt;&lt;keyword&gt;Computer Simulation&lt;/keyword&gt;&lt;keyword&gt;*Algorithms&lt;/keyword&gt;&lt;keyword&gt;Sample Size&lt;/keyword&gt;&lt;keyword&gt;Normal Distribution&lt;/keyword&gt;&lt;/keywords&gt;&lt;dates&gt;&lt;year&gt;2023&lt;/year&gt;&lt;pub-dates&gt;&lt;date&gt;Aug&lt;/date&gt;&lt;/pub-dates&gt;&lt;/dates&gt;&lt;publisher&gt;American Psychological Association&lt;/publisher&gt;&lt;isbn&gt;1939-1463 (Electronic)&amp;#xD;1082-989X (Linking)&lt;/isbn&gt;&lt;accession-num&gt;34843277&lt;/accession-num&gt;&lt;urls&gt;&lt;related-urls&gt;&lt;url&gt;https://www.ncbi.nlm.nih.gov/pubmed/34843277&lt;/url&gt;&lt;/related-urls&gt;&lt;/urls&gt;&lt;electronic-resource-num&gt;10.1037/met0000439&lt;/electronic-resource-num&gt;&lt;remote-database-name&gt;Medline&lt;/remote-database-name&gt;&lt;remote-database-provider&gt;NLM&lt;/remote-database-provider&gt;&lt;/record&gt;&lt;/Cite&gt;&lt;/EndNote&gt;</w:instrText>
      </w:r>
      <w:r w:rsidRPr="004D46AC">
        <w:fldChar w:fldCharType="separate"/>
      </w:r>
      <w:r w:rsidRPr="004D46AC">
        <w:rPr>
          <w:noProof/>
        </w:rPr>
        <w:t>(Isvoranu &amp; Epskamp, 2023)</w:t>
      </w:r>
      <w:r w:rsidRPr="004D46AC">
        <w:fldChar w:fldCharType="end"/>
      </w:r>
      <w:r w:rsidRPr="004D46AC">
        <w:t>. Three node centralities were calculated: strength (i.e., how strongly a node is connected to other nodes), closeness (i.e., the degree a node is indirectly connected to other nodes), and betweenness (i.e., the degree to which a node acts a mediator connecting two other nodes in the network). Network stability was assessed by nonparametric bootstrapping with 3000 iterations</w:t>
      </w:r>
      <w:r w:rsidRPr="004D46AC">
        <w:rPr>
          <w:rFonts w:hint="eastAsia"/>
        </w:rPr>
        <w:t xml:space="preserve"> </w:t>
      </w:r>
      <w:r w:rsidRPr="004D46AC">
        <w:fldChar w:fldCharType="begin"/>
      </w:r>
      <w:r w:rsidRPr="004D46AC">
        <w:instrText xml:space="preserve"> ADDIN EN.CITE &lt;EndNote&gt;&lt;Cite&gt;&lt;Author&gt;Epskamp&lt;/Author&gt;&lt;Year&gt;2018&lt;/Year&gt;&lt;RecNum&gt;399&lt;/RecNum&gt;&lt;DisplayText&gt;(Epskamp et al., 2018)&lt;/DisplayText&gt;&lt;record&gt;&lt;rec-number&gt;399&lt;/rec-number&gt;&lt;foreign-keys&gt;&lt;key app="EN" db-id="aet009sstawa0hewvt3xwf5atffdw2dt02sw" timestamp="1693511946"&gt;399&lt;/key&gt;&lt;/foreign-keys&gt;&lt;ref-type name="Journal Article"&gt;17&lt;/ref-type&gt;&lt;contributors&gt;&lt;authors&gt;&lt;author&gt;Epskamp, Sacha&lt;/author&gt;&lt;author&gt;Borsboom, Denny&lt;/author&gt;&lt;author&gt;Fried, Eiko I.&lt;/author&gt;&lt;/authors&gt;&lt;/contributors&gt;&lt;titles&gt;&lt;title&gt;Estimating psychological networks and their accuracy: A tutorial paper&lt;/title&gt;&lt;secondary-title&gt;Behavior Research Methods&lt;/secondary-title&gt;&lt;/titles&gt;&lt;periodical&gt;&lt;full-title&gt;Behavior Research Methods&lt;/full-title&gt;&lt;/periodical&gt;&lt;pages&gt;195-212&lt;/pages&gt;&lt;volume&gt;50&lt;/volume&gt;&lt;number&gt;1&lt;/number&gt;&lt;dates&gt;&lt;year&gt;2018&lt;/year&gt;&lt;pub-dates&gt;&lt;date&gt;2018/02/01&lt;/date&gt;&lt;/pub-dates&gt;&lt;/dates&gt;&lt;isbn&gt;1554-3528&lt;/isbn&gt;&lt;urls&gt;&lt;related-urls&gt;&lt;url&gt;https://doi.org/10.3758/s13428-017-0862-1&lt;/url&gt;&lt;/related-urls&gt;&lt;/urls&gt;&lt;electronic-resource-num&gt;10.3758/s13428-017-0862-1&lt;/electronic-resource-num&gt;&lt;/record&gt;&lt;/Cite&gt;&lt;/EndNote&gt;</w:instrText>
      </w:r>
      <w:r w:rsidRPr="004D46AC">
        <w:fldChar w:fldCharType="separate"/>
      </w:r>
      <w:r w:rsidRPr="004D46AC">
        <w:rPr>
          <w:noProof/>
        </w:rPr>
        <w:t>(Epskamp et al., 2018)</w:t>
      </w:r>
      <w:r w:rsidRPr="004D46AC">
        <w:fldChar w:fldCharType="end"/>
      </w:r>
      <w:r w:rsidRPr="004D46AC">
        <w:t xml:space="preserve">. The stability of node statistics was reflected by the Correlation Stability (CS) coefficient, with a range between 0 and .75. For example, a CS coefficient value of .75 indicates that a correlation value of .70 in at least 95% of the sample can be attained with 75% of the sample dropped. A </w:t>
      </w:r>
      <w:proofErr w:type="gramStart"/>
      <w:r w:rsidRPr="004D46AC">
        <w:t>fairly robust</w:t>
      </w:r>
      <w:proofErr w:type="gramEnd"/>
      <w:r w:rsidRPr="004D46AC">
        <w:t xml:space="preserve"> node statistic is indicated by a CS coefficient value larger than .50. The stability of edges can be evaluated by visual inspection of the confidence interval (CI) plot, such that a wider CI suggests less stable edge statistics.</w:t>
      </w:r>
    </w:p>
    <w:p w14:paraId="77CA2714" w14:textId="77777777" w:rsidR="003D5CB6" w:rsidRPr="004D46AC" w:rsidRDefault="003D5CB6" w:rsidP="00B518F1">
      <w:pPr>
        <w:rPr>
          <w:rFonts w:eastAsiaTheme="minorEastAsia"/>
        </w:rPr>
      </w:pPr>
      <w:r w:rsidRPr="004D46AC">
        <w:t>The network communities were computed via Exploratory Graphic Analysis (EGA), which is a network method comparable to exploratory factor analysis</w:t>
      </w:r>
      <w:r w:rsidRPr="004D46AC">
        <w:fldChar w:fldCharType="begin"/>
      </w:r>
      <w:r w:rsidRPr="004D46AC">
        <w:instrText xml:space="preserve"> ADDIN EN.CITE &lt;EndNote&gt;&lt;Cite&gt;&lt;Author&gt;Christensen&lt;/Author&gt;&lt;Year&gt;2021&lt;/Year&gt;&lt;RecNum&gt;417&lt;/RecNum&gt;&lt;DisplayText&gt;(Christensen &amp;amp; Golino, 2021)&lt;/DisplayText&gt;&lt;record&gt;&lt;rec-number&gt;417&lt;/rec-number&gt;&lt;foreign-keys&gt;&lt;key app="EN" db-id="aet009sstawa0hewvt3xwf5atffdw2dt02sw" timestamp="1697890285"&gt;417&lt;/key&gt;&lt;/foreign-keys&gt;&lt;ref-type name="Journal Article"&gt;17&lt;/ref-type&gt;&lt;contributors&gt;&lt;authors&gt;&lt;author&gt;Christensen, Alexander P.&lt;/author&gt;&lt;author&gt;Golino, Hudson&lt;/author&gt;&lt;/authors&gt;&lt;/contributors&gt;&lt;titles&gt;&lt;title&gt;Estimating the Stability of Psychological Dimensions via Bootstrap Exploratory Graph Analysis: A Monte Carlo Simulation and Tutorial&lt;/title&gt;&lt;secondary-title&gt;Psych&lt;/secondary-title&gt;&lt;/titles&gt;&lt;periodical&gt;&lt;full-title&gt;Psych&lt;/full-title&gt;&lt;/periodical&gt;&lt;pages&gt;479-500&lt;/pages&gt;&lt;volume&gt;3&lt;/volume&gt;&lt;number&gt;3&lt;/number&gt;&lt;dates&gt;&lt;year&gt;2021&lt;/year&gt;&lt;/dates&gt;&lt;isbn&gt;2624-8611&lt;/isbn&gt;&lt;accession-num&gt;doi:10.3390/psych3030032&lt;/accession-num&gt;&lt;urls&gt;&lt;related-urls&gt;&lt;url&gt;https://www.mdpi.com/2624-8611/3/3/32&lt;/url&gt;&lt;/related-urls&gt;&lt;/urls&gt;&lt;/record&gt;&lt;/Cite&gt;&lt;/EndNote&gt;</w:instrText>
      </w:r>
      <w:r w:rsidRPr="004D46AC">
        <w:fldChar w:fldCharType="separate"/>
      </w:r>
      <w:r w:rsidRPr="004D46AC">
        <w:rPr>
          <w:noProof/>
        </w:rPr>
        <w:t>(Christensen &amp; Golino, 2021)</w:t>
      </w:r>
      <w:r w:rsidRPr="004D46AC">
        <w:fldChar w:fldCharType="end"/>
      </w:r>
      <w:r w:rsidRPr="004D46AC">
        <w:t xml:space="preserve">. As for the network estimations, spearman correlations were used as inputs in the EGA. The </w:t>
      </w:r>
      <w:proofErr w:type="spellStart"/>
      <w:r w:rsidRPr="004D46AC">
        <w:t>walkstrap</w:t>
      </w:r>
      <w:proofErr w:type="spellEnd"/>
      <w:r w:rsidRPr="004D46AC">
        <w:t xml:space="preserve"> algorithm was used to find densely connected subgroups among all variables</w:t>
      </w:r>
      <w:r w:rsidRPr="004D46AC">
        <w:rPr>
          <w:rFonts w:hint="eastAsia"/>
        </w:rPr>
        <w:t xml:space="preserve"> </w:t>
      </w:r>
      <w:r w:rsidRPr="004D46AC">
        <w:fldChar w:fldCharType="begin"/>
      </w:r>
      <w:r w:rsidRPr="004D46AC">
        <w:instrText xml:space="preserve"> ADDIN EN.CITE &lt;EndNote&gt;&lt;Cite&gt;&lt;Author&gt;Pons&lt;/Author&gt;&lt;Year&gt;2005&lt;/Year&gt;&lt;RecNum&gt;667&lt;/RecNum&gt;&lt;DisplayText&gt;(Pons &amp;amp; Latapy, 2005)&lt;/DisplayText&gt;&lt;record&gt;&lt;rec-number&gt;667&lt;/rec-number&gt;&lt;foreign-keys&gt;&lt;key app="EN" db-id="aet009sstawa0hewvt3xwf5atffdw2dt02sw" timestamp="1721744280"&gt;667&lt;/key&gt;&lt;/foreign-keys&gt;&lt;ref-type name="Conference Proceedings"&gt;10&lt;/ref-type&gt;&lt;contributors&gt;&lt;authors&gt;&lt;author&gt;Pons, Pascal&lt;/author&gt;&lt;author&gt;Latapy, Matthieu&lt;/author&gt;&lt;/authors&gt;&lt;secondary-authors&gt;&lt;author&gt;Yolum, pInar&lt;/author&gt;&lt;author&gt;Güngör, Tunga&lt;/author&gt;&lt;author&gt;Gürgen, Fikret&lt;/author&gt;&lt;author&gt;Özturan, Can&lt;/author&gt;&lt;/secondary-authors&gt;&lt;/contributors&gt;&lt;titles&gt;&lt;title&gt;Computing Communities in Large Networks Using Random Walks&lt;/title&gt;&lt;secondary-title&gt;Computer and Information Sciences - ISCIS 2005&lt;/secondary-title&gt;&lt;/titles&gt;&lt;pages&gt;284-293&lt;/pages&gt;&lt;dates&gt;&lt;year&gt;2005&lt;/year&gt;&lt;pub-dates&gt;&lt;date&gt;2005//&lt;/date&gt;&lt;/pub-dates&gt;&lt;/dates&gt;&lt;pub-location&gt;Berlin, Heidelberg&lt;/pub-location&gt;&lt;publisher&gt;Springer Berlin Heidelberg&lt;/publisher&gt;&lt;isbn&gt;978-3-540-32085-2&lt;/isbn&gt;&lt;urls&gt;&lt;/urls&gt;&lt;/record&gt;&lt;/Cite&gt;&lt;/EndNote&gt;</w:instrText>
      </w:r>
      <w:r w:rsidRPr="004D46AC">
        <w:fldChar w:fldCharType="separate"/>
      </w:r>
      <w:r w:rsidRPr="004D46AC">
        <w:rPr>
          <w:noProof/>
        </w:rPr>
        <w:t>(Pons &amp; Latapy, 2005)</w:t>
      </w:r>
      <w:r w:rsidRPr="004D46AC">
        <w:fldChar w:fldCharType="end"/>
      </w:r>
      <w:r w:rsidRPr="004D46AC">
        <w:t xml:space="preserve">. The empirical structures for all patients and subgroups were plotted. The Total Entropy Fit Index (TEFI) reflects the accuracy of the structure, with lower values indicating better structural fit. The structural consistency and item stability were </w:t>
      </w:r>
      <w:r w:rsidRPr="004D46AC">
        <w:lastRenderedPageBreak/>
        <w:t>evaluated by 1,000 nonparametric iterations; the structural consistency represents the proportion of replicated item compositions in bootstrapped samples, while item stability reflects the proportion of times a node was placed in a specific dimension.</w:t>
      </w:r>
    </w:p>
    <w:p w14:paraId="214A23BA" w14:textId="77777777" w:rsidR="003D5CB6" w:rsidRPr="004D46AC" w:rsidRDefault="003D5CB6" w:rsidP="00B518F1">
      <w:pPr>
        <w:pStyle w:val="4"/>
      </w:pPr>
      <w:r w:rsidRPr="004D46AC">
        <w:t>Network comparison</w:t>
      </w:r>
    </w:p>
    <w:p w14:paraId="34495AFB" w14:textId="77777777" w:rsidR="003D5CB6" w:rsidRPr="004D46AC" w:rsidRDefault="003D5CB6" w:rsidP="00B518F1">
      <w:r w:rsidRPr="004D46AC">
        <w:t>The Network Comparison Test (NCT) was used to examine group differences</w:t>
      </w:r>
      <w:r w:rsidRPr="004D46AC">
        <w:rPr>
          <w:rFonts w:hint="eastAsia"/>
        </w:rPr>
        <w:t xml:space="preserve"> </w:t>
      </w:r>
      <w:r w:rsidRPr="004D46AC">
        <w:fldChar w:fldCharType="begin">
          <w:fldData xml:space="preserve">PEVuZE5vdGU+PENpdGU+PEF1dGhvcj52YW4gQm9ya3VsbzwvQXV0aG9yPjxZZWFyPjIwMjM8L1ll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</w:fldData>
        </w:fldChar>
      </w:r>
      <w:r w:rsidRPr="004D46AC">
        <w:instrText xml:space="preserve"> ADDIN EN.CITE </w:instrText>
      </w:r>
      <w:r w:rsidRPr="004D46AC">
        <w:fldChar w:fldCharType="begin">
          <w:fldData xml:space="preserve">PEVuZE5vdGU+PENpdGU+PEF1dGhvcj52YW4gQm9ya3VsbzwvQXV0aG9yPjxZZWFyPjIwMjM8L1ll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(van Borkulo et al., 2023)</w:t>
      </w:r>
      <w:r w:rsidRPr="004D46AC">
        <w:fldChar w:fldCharType="end"/>
      </w:r>
      <w:r w:rsidRPr="004D46AC">
        <w:t>. Specifically, the invariance of global strength and invariance of network structure (i.e., omnibus test) tests were conducted to compare the global connectedness and the differences in edges by groups with different diagnoses. For illustration, the density (i.e., number of edges with non-zero weights/ the total number of edges) and the MAEW (mean absolute edge weights) of the network were also reported. A post hoc test with BH adjustment was run when the omnibus test was significant. The NCT was computed based on 2000 iterations.</w:t>
      </w:r>
    </w:p>
    <w:p w14:paraId="7D3422CD" w14:textId="77777777" w:rsidR="003D5CB6" w:rsidRPr="004D46AC" w:rsidRDefault="003D5CB6" w:rsidP="00B518F1">
      <w:pPr>
        <w:rPr>
          <w:sz w:val="24"/>
          <w:szCs w:val="24"/>
        </w:rPr>
      </w:pPr>
    </w:p>
    <w:p w14:paraId="54280796" w14:textId="77777777" w:rsidR="003D5CB6" w:rsidRPr="004D46AC" w:rsidRDefault="003D5CB6" w:rsidP="00B518F1">
      <w:pPr>
        <w:ind w:firstLine="0"/>
        <w:rPr>
          <w:rFonts w:eastAsiaTheme="minorEastAsia"/>
          <w:sz w:val="24"/>
          <w:szCs w:val="24"/>
        </w:rPr>
      </w:pPr>
    </w:p>
    <w:p w14:paraId="1EB7DBBD" w14:textId="77777777" w:rsidR="003D5CB6" w:rsidRPr="004D46AC" w:rsidRDefault="003D5CB6" w:rsidP="00B518F1">
      <w:pPr>
        <w:ind w:firstLine="0"/>
        <w:rPr>
          <w:rFonts w:eastAsiaTheme="minorEastAsia"/>
          <w:sz w:val="24"/>
          <w:szCs w:val="24"/>
        </w:rPr>
      </w:pPr>
    </w:p>
    <w:p w14:paraId="0E7597C3" w14:textId="77777777" w:rsidR="003D5CB6" w:rsidRPr="004D46AC" w:rsidRDefault="003D5CB6" w:rsidP="00B518F1">
      <w:pPr>
        <w:ind w:firstLine="0"/>
        <w:rPr>
          <w:rFonts w:eastAsiaTheme="minorEastAsia"/>
          <w:sz w:val="24"/>
          <w:szCs w:val="24"/>
        </w:rPr>
      </w:pPr>
    </w:p>
    <w:p w14:paraId="504BCCDC" w14:textId="77777777" w:rsidR="003D5CB6" w:rsidRPr="004D46AC" w:rsidRDefault="003D5CB6" w:rsidP="00B518F1">
      <w:pPr>
        <w:ind w:firstLine="0"/>
        <w:rPr>
          <w:rFonts w:eastAsiaTheme="minorEastAsia"/>
          <w:sz w:val="24"/>
          <w:szCs w:val="24"/>
        </w:rPr>
      </w:pPr>
    </w:p>
    <w:p w14:paraId="06FEF688" w14:textId="77777777" w:rsidR="003D5CB6" w:rsidRPr="004D46AC" w:rsidRDefault="003D5CB6" w:rsidP="00B518F1">
      <w:pPr>
        <w:ind w:firstLine="0"/>
        <w:rPr>
          <w:rFonts w:eastAsiaTheme="minorEastAsia"/>
          <w:sz w:val="24"/>
          <w:szCs w:val="24"/>
        </w:rPr>
      </w:pPr>
    </w:p>
    <w:p w14:paraId="7E447461" w14:textId="77777777" w:rsidR="003D5CB6" w:rsidRPr="004D46AC" w:rsidRDefault="003D5CB6" w:rsidP="00B518F1">
      <w:pPr>
        <w:ind w:firstLine="0"/>
        <w:rPr>
          <w:rFonts w:eastAsiaTheme="minorEastAsia"/>
          <w:sz w:val="24"/>
          <w:szCs w:val="24"/>
        </w:rPr>
      </w:pPr>
    </w:p>
    <w:p w14:paraId="23319730" w14:textId="77777777" w:rsidR="003D5CB6" w:rsidRPr="004D46AC" w:rsidRDefault="003D5CB6" w:rsidP="00B518F1">
      <w:pPr>
        <w:ind w:firstLine="0"/>
        <w:rPr>
          <w:rFonts w:eastAsiaTheme="minorEastAsia"/>
          <w:sz w:val="24"/>
          <w:szCs w:val="24"/>
        </w:rPr>
      </w:pPr>
    </w:p>
    <w:p w14:paraId="4081E048" w14:textId="77777777" w:rsidR="003D5CB6" w:rsidRPr="004D46AC" w:rsidRDefault="003D5CB6" w:rsidP="00B518F1">
      <w:pPr>
        <w:ind w:firstLine="0"/>
        <w:rPr>
          <w:rFonts w:eastAsiaTheme="minorEastAsia"/>
          <w:sz w:val="24"/>
          <w:szCs w:val="24"/>
        </w:rPr>
      </w:pPr>
    </w:p>
    <w:p w14:paraId="51860DCF" w14:textId="77777777" w:rsidR="003D5CB6" w:rsidRPr="004D46AC" w:rsidRDefault="003D5CB6" w:rsidP="00B518F1">
      <w:pPr>
        <w:ind w:firstLine="0"/>
        <w:rPr>
          <w:rFonts w:eastAsiaTheme="minorEastAsia"/>
          <w:sz w:val="24"/>
          <w:szCs w:val="24"/>
        </w:rPr>
      </w:pPr>
    </w:p>
    <w:p w14:paraId="1ECCAE5F" w14:textId="77777777" w:rsidR="003D5CB6" w:rsidRPr="004D46AC" w:rsidRDefault="003D5CB6" w:rsidP="00B518F1">
      <w:pPr>
        <w:ind w:firstLine="0"/>
        <w:rPr>
          <w:rFonts w:eastAsiaTheme="minorEastAsia"/>
          <w:sz w:val="24"/>
          <w:szCs w:val="24"/>
        </w:rPr>
      </w:pPr>
    </w:p>
    <w:p w14:paraId="2D4A22C4" w14:textId="77777777" w:rsidR="003D5CB6" w:rsidRPr="004D46AC" w:rsidRDefault="003D5CB6" w:rsidP="00B518F1">
      <w:pPr>
        <w:ind w:firstLine="0"/>
        <w:rPr>
          <w:rFonts w:eastAsiaTheme="minorEastAsia"/>
          <w:sz w:val="24"/>
          <w:szCs w:val="24"/>
        </w:rPr>
      </w:pPr>
    </w:p>
    <w:p w14:paraId="10249225" w14:textId="77777777" w:rsidR="003D5CB6" w:rsidRPr="004D46AC" w:rsidRDefault="003D5CB6" w:rsidP="00B518F1">
      <w:pPr>
        <w:ind w:firstLine="0"/>
        <w:rPr>
          <w:rFonts w:eastAsiaTheme="minorEastAsia"/>
          <w:sz w:val="24"/>
          <w:szCs w:val="24"/>
        </w:rPr>
      </w:pPr>
    </w:p>
    <w:p w14:paraId="66076038" w14:textId="77777777" w:rsidR="003D5CB6" w:rsidRPr="004D46AC" w:rsidRDefault="003D5CB6" w:rsidP="00B518F1">
      <w:pPr>
        <w:pStyle w:val="2"/>
      </w:pPr>
      <w:bookmarkStart w:id="123" w:name="_Toc219888770"/>
      <w:r w:rsidRPr="004D46AC">
        <w:lastRenderedPageBreak/>
        <w:t>Results</w:t>
      </w:r>
      <w:bookmarkEnd w:id="123"/>
    </w:p>
    <w:p w14:paraId="440328D3" w14:textId="77777777" w:rsidR="003D5CB6" w:rsidRPr="004D46AC" w:rsidRDefault="003D5CB6" w:rsidP="00B518F1">
      <w:pPr>
        <w:pStyle w:val="3"/>
      </w:pPr>
      <w:r w:rsidRPr="004D46AC">
        <w:t>Comparisons of symptoms between diagnostic groups</w:t>
      </w:r>
    </w:p>
    <w:p w14:paraId="4841F062" w14:textId="15410144" w:rsidR="003D5CB6" w:rsidRPr="004D46AC" w:rsidRDefault="003D5CB6" w:rsidP="00B518F1">
      <w:pPr>
        <w:rPr>
          <w:rFonts w:eastAsiaTheme="minorEastAsia"/>
        </w:rPr>
      </w:pPr>
      <w:r w:rsidRPr="004D46AC">
        <w:t>Significant differences were observed in all symptoms across groups except for Y10 (</w:t>
      </w:r>
      <w:r w:rsidRPr="004D46AC">
        <w:rPr>
          <w:rFonts w:hint="eastAsia"/>
        </w:rPr>
        <w:t>A</w:t>
      </w:r>
      <w:r w:rsidRPr="004D46AC">
        <w:t>ppearance; YMRS). The PBD patients had lowest severity for all psychotic symptoms, except for P4 (Excitement; PANSS). In addition, the SCA patients reported generally higher severity of positive psychotic symptoms, while the SCZ patients had generally higher severity of negative psychotic symptoms. The SCA and PBD patients had comparable severity on most manic symptoms and their symptom scores were both higher than for SCZ patients. However, the pattern was different for Y7 (</w:t>
      </w:r>
      <w:r w:rsidRPr="004D46AC">
        <w:rPr>
          <w:rFonts w:hint="eastAsia"/>
        </w:rPr>
        <w:t>T</w:t>
      </w:r>
      <w:r w:rsidRPr="004D46AC">
        <w:t>hought disorder; YMRS) and Y11 (</w:t>
      </w:r>
      <w:r w:rsidRPr="004D46AC">
        <w:rPr>
          <w:rFonts w:hint="eastAsia"/>
        </w:rPr>
        <w:t>I</w:t>
      </w:r>
      <w:r w:rsidRPr="004D46AC">
        <w:t>nsight; YMRS). The SCA patients reported the most severe thought disorders compared to both SCZ and PBD patients, while the SCZ patients exhibited the poorest insight, followed by SCA and PBD patients. Severities of the most depressive symptoms were ranked in subgroups as following: SCA&gt;PBD&gt;SCZ. Nonetheless, the serveries of M5 (</w:t>
      </w:r>
      <w:r w:rsidRPr="004D46AC">
        <w:rPr>
          <w:rFonts w:hint="eastAsia"/>
        </w:rPr>
        <w:t>R</w:t>
      </w:r>
      <w:r w:rsidRPr="004D46AC">
        <w:t>educed appetite; MADRS), M6 (</w:t>
      </w:r>
      <w:r w:rsidRPr="004D46AC">
        <w:rPr>
          <w:rFonts w:hint="eastAsia"/>
        </w:rPr>
        <w:t>C</w:t>
      </w:r>
      <w:r w:rsidRPr="004D46AC">
        <w:t>oncentration difficulty; MADRS), and SP (</w:t>
      </w:r>
      <w:r w:rsidRPr="004D46AC">
        <w:rPr>
          <w:rFonts w:hint="eastAsia"/>
        </w:rPr>
        <w:t>S</w:t>
      </w:r>
      <w:r w:rsidRPr="004D46AC">
        <w:t xml:space="preserve">leep problems; YMRS and MADRS) did not follow this order. Most of the comparisons exhibited small effect sizes, although some psychotic symptoms, such as hallucinations, showed moderate effect sizes, see Table </w:t>
      </w:r>
      <w:r w:rsidRPr="004D46AC">
        <w:rPr>
          <w:rFonts w:eastAsiaTheme="minorEastAsia" w:hint="eastAsia"/>
        </w:rPr>
        <w:t>C</w:t>
      </w:r>
      <w:r w:rsidR="00D0731C" w:rsidRPr="004D46AC">
        <w:rPr>
          <w:rFonts w:eastAsiaTheme="minorEastAsia" w:hint="eastAsia"/>
        </w:rPr>
        <w:t xml:space="preserve"> 3</w:t>
      </w:r>
      <w:r w:rsidRPr="004D46AC">
        <w:t xml:space="preserve"> for details. </w:t>
      </w:r>
    </w:p>
    <w:p w14:paraId="24AFAF41" w14:textId="77777777" w:rsidR="003D5CB6" w:rsidRPr="004D46AC" w:rsidRDefault="003D5CB6" w:rsidP="00B518F1">
      <w:pPr>
        <w:pStyle w:val="3"/>
      </w:pPr>
      <w:r w:rsidRPr="004D46AC">
        <w:t>Network structure for the total psychotic population</w:t>
      </w:r>
    </w:p>
    <w:p w14:paraId="02E30751" w14:textId="355319BB" w:rsidR="003D5CB6" w:rsidRPr="004D46AC" w:rsidRDefault="003D5CB6" w:rsidP="00B518F1">
      <w:r w:rsidRPr="004D46AC">
        <w:t xml:space="preserve">The network structure in the full sample was very stable; see Figure </w:t>
      </w:r>
      <w:r w:rsidRPr="004D46AC">
        <w:rPr>
          <w:rFonts w:eastAsiaTheme="minorEastAsia" w:hint="eastAsia"/>
        </w:rPr>
        <w:t>3.</w:t>
      </w:r>
      <w:r w:rsidRPr="004D46AC">
        <w:t>1. All node centralities (i.e., strength, closeness, betweenness) exhibited high robustness (</w:t>
      </w:r>
      <w:r w:rsidRPr="004D46AC">
        <w:rPr>
          <w:i/>
          <w:iCs/>
        </w:rPr>
        <w:t>CS coefficient</w:t>
      </w:r>
      <w:r w:rsidRPr="004D46AC">
        <w:t xml:space="preserve"> = .75), and the edge weights CIs were </w:t>
      </w:r>
      <w:proofErr w:type="gramStart"/>
      <w:r w:rsidRPr="004D46AC">
        <w:t>fairly narrow</w:t>
      </w:r>
      <w:proofErr w:type="gramEnd"/>
      <w:r w:rsidRPr="004D46AC">
        <w:t>, see</w:t>
      </w:r>
      <w:r w:rsidRPr="004D46AC">
        <w:rPr>
          <w:rFonts w:eastAsiaTheme="minorEastAsia" w:hint="eastAsia"/>
        </w:rPr>
        <w:t xml:space="preserve"> </w:t>
      </w:r>
      <w:r w:rsidRPr="004D46AC">
        <w:t xml:space="preserve">Figure </w:t>
      </w:r>
      <w:r w:rsidRPr="004D46AC">
        <w:rPr>
          <w:rFonts w:eastAsiaTheme="minorEastAsia" w:hint="eastAsia"/>
        </w:rPr>
        <w:t>C</w:t>
      </w:r>
      <w:r w:rsidR="000B4CBF" w:rsidRPr="004D46AC">
        <w:rPr>
          <w:rFonts w:eastAsiaTheme="minorEastAsia" w:hint="eastAsia"/>
        </w:rPr>
        <w:t xml:space="preserve"> </w:t>
      </w:r>
      <w:r w:rsidRPr="004D46AC">
        <w:t>1</w:t>
      </w:r>
      <w:r w:rsidR="000B4CBF" w:rsidRPr="004D46AC">
        <w:rPr>
          <w:rFonts w:eastAsiaTheme="minorEastAsia" w:hint="eastAsia"/>
        </w:rPr>
        <w:t>a</w:t>
      </w:r>
      <w:r w:rsidRPr="004D46AC">
        <w:t xml:space="preserve"> for details.</w:t>
      </w:r>
    </w:p>
    <w:p w14:paraId="5A9C5277" w14:textId="77777777" w:rsidR="003D5CB6" w:rsidRPr="004D46AC" w:rsidRDefault="003D5CB6" w:rsidP="00B518F1">
      <w:pPr>
        <w:ind w:firstLine="0"/>
        <w:rPr>
          <w:rFonts w:eastAsiaTheme="minorEastAsia"/>
          <w:sz w:val="24"/>
          <w:szCs w:val="24"/>
        </w:rPr>
      </w:pPr>
      <w:r w:rsidRPr="004D46AC">
        <w:rPr>
          <w:noProof/>
        </w:rPr>
        <w:lastRenderedPageBreak/>
        <w:drawing>
          <wp:inline distT="0" distB="0" distL="0" distR="0" wp14:anchorId="290D892B" wp14:editId="07540048">
            <wp:extent cx="5731510" cy="6237605"/>
            <wp:effectExtent l="0" t="0" r="0" b="0"/>
            <wp:docPr id="1453298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98172" name=""/>
                    <pic:cNvPicPr/>
                  </pic:nvPicPr>
                  <pic:blipFill>
                    <a:blip r:embed="rId320"/>
                    <a:stretch>
                      <a:fillRect/>
                    </a:stretch>
                  </pic:blipFill>
                  <pic:spPr>
                    <a:xfrm>
                      <a:off x="0" y="0"/>
                      <a:ext cx="5731510" cy="6237605"/>
                    </a:xfrm>
                    <a:prstGeom prst="rect">
                      <a:avLst/>
                    </a:prstGeom>
                  </pic:spPr>
                </pic:pic>
              </a:graphicData>
            </a:graphic>
          </wp:inline>
        </w:drawing>
      </w:r>
    </w:p>
    <w:p w14:paraId="17BAD558" w14:textId="73CEF3B1" w:rsidR="005B3793" w:rsidRPr="004D46AC" w:rsidRDefault="00515479" w:rsidP="005B3793">
      <w:pPr>
        <w:pStyle w:val="afff0"/>
        <w:spacing w:after="0" w:line="360" w:lineRule="auto"/>
        <w:ind w:firstLine="0"/>
        <w:rPr>
          <w:rFonts w:eastAsiaTheme="minorEastAsia"/>
          <w:b/>
          <w:bCs/>
          <w:i w:val="0"/>
          <w:iCs w:val="0"/>
          <w:color w:val="auto"/>
          <w:sz w:val="22"/>
          <w:szCs w:val="22"/>
        </w:rPr>
      </w:pPr>
      <w:bookmarkStart w:id="124" w:name="_Toc219883927"/>
      <w:bookmarkStart w:id="125" w:name="_Toc219884859"/>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3</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124"/>
      <w:bookmarkEnd w:id="125"/>
      <w:r w:rsidR="004725A0" w:rsidRPr="004D46AC">
        <w:rPr>
          <w:b/>
          <w:bCs/>
          <w:i w:val="0"/>
          <w:iCs w:val="0"/>
          <w:color w:val="auto"/>
          <w:sz w:val="22"/>
          <w:szCs w:val="22"/>
        </w:rPr>
        <w:fldChar w:fldCharType="end"/>
      </w:r>
    </w:p>
    <w:p w14:paraId="4094D7C6" w14:textId="1A4F9EBC" w:rsidR="003D5CB6" w:rsidRPr="004D46AC" w:rsidRDefault="003D5CB6" w:rsidP="005B3793">
      <w:pPr>
        <w:pStyle w:val="afff0"/>
        <w:spacing w:after="0" w:line="360" w:lineRule="auto"/>
        <w:ind w:firstLine="0"/>
        <w:rPr>
          <w:rFonts w:eastAsiaTheme="minorEastAsia"/>
          <w:b/>
          <w:bCs/>
          <w:i w:val="0"/>
          <w:iCs w:val="0"/>
          <w:color w:val="auto"/>
          <w:sz w:val="22"/>
          <w:szCs w:val="22"/>
        </w:rPr>
      </w:pPr>
      <w:bookmarkStart w:id="126" w:name="OLE_LINK93"/>
      <w:r w:rsidRPr="004D46AC">
        <w:rPr>
          <w:rFonts w:eastAsiaTheme="minorEastAsia"/>
          <w:color w:val="auto"/>
          <w:sz w:val="22"/>
          <w:szCs w:val="22"/>
        </w:rPr>
        <w:t xml:space="preserve">Network </w:t>
      </w:r>
      <w:r w:rsidR="00033CC9" w:rsidRPr="004D46AC">
        <w:rPr>
          <w:rFonts w:eastAsiaTheme="minorEastAsia" w:hint="eastAsia"/>
          <w:color w:val="auto"/>
          <w:sz w:val="22"/>
          <w:szCs w:val="22"/>
        </w:rPr>
        <w:t>s</w:t>
      </w:r>
      <w:r w:rsidRPr="004D46AC">
        <w:rPr>
          <w:rFonts w:eastAsiaTheme="minorEastAsia"/>
          <w:color w:val="auto"/>
          <w:sz w:val="22"/>
          <w:szCs w:val="22"/>
        </w:rPr>
        <w:t xml:space="preserve">tructure of </w:t>
      </w:r>
      <w:r w:rsidR="00033CC9" w:rsidRPr="004D46AC">
        <w:rPr>
          <w:rFonts w:eastAsiaTheme="minorEastAsia" w:hint="eastAsia"/>
          <w:color w:val="auto"/>
          <w:sz w:val="22"/>
          <w:szCs w:val="22"/>
        </w:rPr>
        <w:t>s</w:t>
      </w:r>
      <w:r w:rsidRPr="004D46AC">
        <w:rPr>
          <w:rFonts w:eastAsiaTheme="minorEastAsia"/>
          <w:color w:val="auto"/>
          <w:sz w:val="22"/>
          <w:szCs w:val="22"/>
        </w:rPr>
        <w:t xml:space="preserve">elected </w:t>
      </w:r>
      <w:r w:rsidR="00033CC9" w:rsidRPr="004D46AC">
        <w:rPr>
          <w:rFonts w:eastAsiaTheme="minorEastAsia" w:hint="eastAsia"/>
          <w:color w:val="auto"/>
          <w:sz w:val="22"/>
          <w:szCs w:val="22"/>
        </w:rPr>
        <w:t>v</w:t>
      </w:r>
      <w:r w:rsidRPr="004D46AC">
        <w:rPr>
          <w:rFonts w:eastAsiaTheme="minorEastAsia"/>
          <w:color w:val="auto"/>
          <w:sz w:val="22"/>
          <w:szCs w:val="22"/>
        </w:rPr>
        <w:t xml:space="preserve">ariables in </w:t>
      </w:r>
      <w:r w:rsidR="00033CC9" w:rsidRPr="004D46AC">
        <w:rPr>
          <w:rFonts w:eastAsiaTheme="minorEastAsia" w:hint="eastAsia"/>
          <w:color w:val="auto"/>
          <w:sz w:val="22"/>
          <w:szCs w:val="22"/>
        </w:rPr>
        <w:t>g</w:t>
      </w:r>
      <w:r w:rsidRPr="004D46AC">
        <w:rPr>
          <w:rFonts w:eastAsiaTheme="minorEastAsia"/>
          <w:color w:val="auto"/>
          <w:sz w:val="22"/>
          <w:szCs w:val="22"/>
        </w:rPr>
        <w:t xml:space="preserve">eneral and </w:t>
      </w:r>
      <w:r w:rsidR="00033CC9" w:rsidRPr="004D46AC">
        <w:rPr>
          <w:rFonts w:eastAsiaTheme="minorEastAsia" w:hint="eastAsia"/>
          <w:color w:val="auto"/>
          <w:sz w:val="22"/>
          <w:szCs w:val="22"/>
        </w:rPr>
        <w:t>p</w:t>
      </w:r>
      <w:r w:rsidRPr="004D46AC">
        <w:rPr>
          <w:rFonts w:eastAsiaTheme="minorEastAsia"/>
          <w:color w:val="auto"/>
          <w:sz w:val="22"/>
          <w:szCs w:val="22"/>
        </w:rPr>
        <w:t xml:space="preserve">sychotic </w:t>
      </w:r>
      <w:r w:rsidR="00033CC9" w:rsidRPr="004D46AC">
        <w:rPr>
          <w:rFonts w:eastAsiaTheme="minorEastAsia" w:hint="eastAsia"/>
          <w:color w:val="auto"/>
          <w:sz w:val="22"/>
          <w:szCs w:val="22"/>
        </w:rPr>
        <w:t>p</w:t>
      </w:r>
      <w:r w:rsidRPr="004D46AC">
        <w:rPr>
          <w:rFonts w:eastAsiaTheme="minorEastAsia"/>
          <w:color w:val="auto"/>
          <w:sz w:val="22"/>
          <w:szCs w:val="22"/>
        </w:rPr>
        <w:t>atients</w:t>
      </w:r>
    </w:p>
    <w:bookmarkEnd w:id="126"/>
    <w:p w14:paraId="29268BA4" w14:textId="77777777" w:rsidR="003D5CB6" w:rsidRPr="004D46AC" w:rsidRDefault="003D5CB6" w:rsidP="00B518F1">
      <w:pPr>
        <w:spacing w:line="360" w:lineRule="auto"/>
        <w:ind w:firstLine="0"/>
        <w:rPr>
          <w:rFonts w:eastAsiaTheme="minorEastAsia"/>
        </w:rPr>
      </w:pPr>
      <w:r w:rsidRPr="004D46AC">
        <w:rPr>
          <w:rFonts w:eastAsiaTheme="minorEastAsia"/>
          <w:i/>
          <w:iCs/>
        </w:rPr>
        <w:t>Note.</w:t>
      </w:r>
      <w:r w:rsidRPr="004D46AC">
        <w:rPr>
          <w:rFonts w:eastAsiaTheme="minorEastAsia"/>
        </w:rPr>
        <w:t xml:space="preserve"> The node colours were determined by the questionnaire scales. Blue edges represent positive correlations between nodes, and red edges represent negative correlations. </w:t>
      </w:r>
    </w:p>
    <w:p w14:paraId="46C7DBB5" w14:textId="77777777" w:rsidR="003D5CB6" w:rsidRPr="004D46AC" w:rsidRDefault="003D5CB6" w:rsidP="00B518F1">
      <w:pPr>
        <w:spacing w:line="360" w:lineRule="auto"/>
        <w:ind w:firstLine="0"/>
        <w:rPr>
          <w:rFonts w:eastAsiaTheme="minorEastAsia"/>
        </w:rPr>
      </w:pPr>
      <w:r w:rsidRPr="004D46AC">
        <w:rPr>
          <w:rFonts w:eastAsiaTheme="minorEastAsia"/>
        </w:rPr>
        <w:t xml:space="preserve">Positive symptoms: P2 = conceptual disorganisation, P3 = hallucinations, P4 = excitement, P5 = grandiosity, P6 = paranoia/suspiciousness; Negative symptoms: N1 = blunted affect, RC = poor rapport and rigid conversation, WD = withdrawal, N5 = difficulty in abstract thinking, N7 = stereotyped thinking; Manic symptoms: ME = mood/energy elevation, IA = irritability/aggressive-disruptive behaviour, Y3 = sexual interests, Y6 = speed and amount of speech, Y7 = language thought disorder, Y10 = appearance, Y11 = insight; Depressive </w:t>
      </w:r>
      <w:r w:rsidRPr="004D46AC">
        <w:rPr>
          <w:rFonts w:eastAsiaTheme="minorEastAsia"/>
        </w:rPr>
        <w:lastRenderedPageBreak/>
        <w:t xml:space="preserve">symptoms: M2 = reported sadness, M3 = inner tension, M5 = reduced appetite, M6 = concentration difficulty, M7 = retardation, M8 = inability to feel, M9 = pessimistic thoughts, M10 = suicidal thoughts, SP = sleep problems. </w:t>
      </w:r>
    </w:p>
    <w:p w14:paraId="7C449361" w14:textId="77777777" w:rsidR="003D5CB6" w:rsidRPr="004D46AC" w:rsidRDefault="003D5CB6" w:rsidP="00B518F1">
      <w:pPr>
        <w:spacing w:line="360" w:lineRule="auto"/>
        <w:ind w:firstLine="0"/>
        <w:rPr>
          <w:rFonts w:eastAsiaTheme="minorEastAsia"/>
        </w:rPr>
      </w:pPr>
      <w:proofErr w:type="spellStart"/>
      <w:r w:rsidRPr="004D46AC">
        <w:rPr>
          <w:rFonts w:eastAsiaTheme="minorEastAsia"/>
          <w:vertAlign w:val="superscript"/>
        </w:rPr>
        <w:t>a</w:t>
      </w:r>
      <w:proofErr w:type="spellEnd"/>
      <w:r w:rsidRPr="004D46AC">
        <w:rPr>
          <w:rFonts w:eastAsiaTheme="minorEastAsia"/>
          <w:vertAlign w:val="superscript"/>
        </w:rPr>
        <w:t xml:space="preserve"> </w:t>
      </w:r>
      <w:proofErr w:type="gramStart"/>
      <w:r w:rsidRPr="004D46AC">
        <w:rPr>
          <w:rFonts w:eastAsiaTheme="minorEastAsia"/>
        </w:rPr>
        <w:t>The</w:t>
      </w:r>
      <w:proofErr w:type="gramEnd"/>
      <w:r w:rsidRPr="004D46AC">
        <w:rPr>
          <w:rFonts w:eastAsiaTheme="minorEastAsia"/>
        </w:rPr>
        <w:t xml:space="preserve"> overall centrality (</w:t>
      </w:r>
      <w:r w:rsidRPr="004D46AC">
        <w:rPr>
          <w:rFonts w:eastAsiaTheme="minorEastAsia"/>
          <w:i/>
          <w:iCs/>
        </w:rPr>
        <w:t>S</w:t>
      </w:r>
      <w:r w:rsidRPr="004D46AC">
        <w:rPr>
          <w:rFonts w:eastAsiaTheme="minorEastAsia" w:hint="eastAsia"/>
          <w:vertAlign w:val="subscript"/>
        </w:rPr>
        <w:t>0</w:t>
      </w:r>
      <w:r w:rsidRPr="004D46AC">
        <w:rPr>
          <w:rFonts w:eastAsiaTheme="minorEastAsia"/>
        </w:rPr>
        <w:t>) and maximum edge difference (</w:t>
      </w:r>
      <w:r w:rsidRPr="004D46AC">
        <w:rPr>
          <w:rFonts w:eastAsiaTheme="minorEastAsia"/>
          <w:i/>
          <w:iCs/>
        </w:rPr>
        <w:t>M</w:t>
      </w:r>
      <w:r w:rsidRPr="004D46AC">
        <w:rPr>
          <w:rFonts w:eastAsiaTheme="minorEastAsia"/>
        </w:rPr>
        <w:t>) across compared subgroups were: PBD and SCZ (</w:t>
      </w:r>
      <w:r w:rsidRPr="004D46AC">
        <w:rPr>
          <w:rFonts w:eastAsiaTheme="minorEastAsia"/>
          <w:i/>
          <w:iCs/>
        </w:rPr>
        <w:t>S</w:t>
      </w:r>
      <w:r w:rsidRPr="004D46AC">
        <w:rPr>
          <w:rFonts w:eastAsiaTheme="minorEastAsia"/>
          <w:vertAlign w:val="subscript"/>
        </w:rPr>
        <w:t>0</w:t>
      </w:r>
      <w:r w:rsidRPr="004D46AC">
        <w:rPr>
          <w:rFonts w:eastAsiaTheme="minorEastAsia"/>
        </w:rPr>
        <w:t xml:space="preserve"> = 2.20***, </w:t>
      </w:r>
      <w:r w:rsidRPr="004D46AC">
        <w:rPr>
          <w:rFonts w:eastAsiaTheme="minorEastAsia"/>
          <w:i/>
          <w:iCs/>
        </w:rPr>
        <w:t>M</w:t>
      </w:r>
      <w:r w:rsidRPr="004D46AC">
        <w:rPr>
          <w:rFonts w:eastAsiaTheme="minorEastAsia"/>
        </w:rPr>
        <w:t xml:space="preserve"> = </w:t>
      </w:r>
      <w:r w:rsidRPr="004D46AC">
        <w:rPr>
          <w:rFonts w:eastAsiaTheme="minorEastAsia" w:hint="eastAsia"/>
        </w:rPr>
        <w:t>0</w:t>
      </w:r>
      <w:r w:rsidRPr="004D46AC">
        <w:rPr>
          <w:rFonts w:eastAsiaTheme="minorEastAsia"/>
        </w:rPr>
        <w:t>.13), SCA and SCZ (</w:t>
      </w:r>
      <w:r w:rsidRPr="004D46AC">
        <w:rPr>
          <w:rFonts w:eastAsiaTheme="minorEastAsia"/>
          <w:i/>
          <w:iCs/>
        </w:rPr>
        <w:t>S</w:t>
      </w:r>
      <w:r w:rsidRPr="004D46AC">
        <w:rPr>
          <w:rFonts w:eastAsiaTheme="minorEastAsia"/>
          <w:vertAlign w:val="subscript"/>
        </w:rPr>
        <w:t>0</w:t>
      </w:r>
      <w:r w:rsidRPr="004D46AC">
        <w:rPr>
          <w:rFonts w:eastAsiaTheme="minorEastAsia"/>
        </w:rPr>
        <w:t xml:space="preserve"> = 2.07*, </w:t>
      </w:r>
      <w:r w:rsidRPr="004D46AC">
        <w:rPr>
          <w:rFonts w:eastAsiaTheme="minorEastAsia"/>
          <w:i/>
          <w:iCs/>
        </w:rPr>
        <w:t>M</w:t>
      </w:r>
      <w:r w:rsidRPr="004D46AC">
        <w:rPr>
          <w:rFonts w:eastAsiaTheme="minorEastAsia"/>
        </w:rPr>
        <w:t xml:space="preserve"> = </w:t>
      </w:r>
      <w:r w:rsidRPr="004D46AC">
        <w:rPr>
          <w:rFonts w:eastAsiaTheme="minorEastAsia" w:hint="eastAsia"/>
        </w:rPr>
        <w:t>0</w:t>
      </w:r>
      <w:r w:rsidRPr="004D46AC">
        <w:rPr>
          <w:rFonts w:eastAsiaTheme="minorEastAsia"/>
        </w:rPr>
        <w:t>.17), PBD and SCA (</w:t>
      </w:r>
      <w:r w:rsidRPr="004D46AC">
        <w:rPr>
          <w:rFonts w:eastAsiaTheme="minorEastAsia"/>
          <w:i/>
          <w:iCs/>
        </w:rPr>
        <w:t>S</w:t>
      </w:r>
      <w:r w:rsidRPr="004D46AC">
        <w:rPr>
          <w:rFonts w:eastAsiaTheme="minorEastAsia"/>
          <w:vertAlign w:val="subscript"/>
        </w:rPr>
        <w:t>0</w:t>
      </w:r>
      <w:r w:rsidRPr="004D46AC">
        <w:rPr>
          <w:rFonts w:eastAsiaTheme="minorEastAsia"/>
        </w:rPr>
        <w:t xml:space="preserve"> = .18, </w:t>
      </w:r>
      <w:r w:rsidRPr="004D46AC">
        <w:rPr>
          <w:rFonts w:eastAsiaTheme="minorEastAsia"/>
          <w:i/>
          <w:iCs/>
        </w:rPr>
        <w:t>M</w:t>
      </w:r>
      <w:r w:rsidRPr="004D46AC">
        <w:rPr>
          <w:rFonts w:eastAsiaTheme="minorEastAsia"/>
        </w:rPr>
        <w:t xml:space="preserve"> = </w:t>
      </w:r>
      <w:r w:rsidRPr="004D46AC">
        <w:rPr>
          <w:rFonts w:eastAsiaTheme="minorEastAsia" w:hint="eastAsia"/>
        </w:rPr>
        <w:t>0</w:t>
      </w:r>
      <w:r w:rsidRPr="004D46AC">
        <w:rPr>
          <w:rFonts w:eastAsiaTheme="minorEastAsia"/>
        </w:rPr>
        <w:t>.13).</w:t>
      </w:r>
    </w:p>
    <w:p w14:paraId="6DD6EE44" w14:textId="77777777" w:rsidR="003D5CB6" w:rsidRPr="004D46AC" w:rsidRDefault="003D5CB6" w:rsidP="00B518F1">
      <w:pPr>
        <w:spacing w:line="360" w:lineRule="auto"/>
        <w:ind w:firstLine="0"/>
        <w:rPr>
          <w:rFonts w:eastAsiaTheme="minorEastAsia"/>
        </w:rPr>
      </w:pPr>
      <w:r w:rsidRPr="004D46AC">
        <w:rPr>
          <w:rFonts w:eastAsiaTheme="minorEastAsia" w:hint="eastAsia"/>
        </w:rPr>
        <w:t>A</w:t>
      </w:r>
      <w:r w:rsidRPr="004D46AC">
        <w:rPr>
          <w:rFonts w:eastAsiaTheme="minorEastAsia"/>
        </w:rPr>
        <w:t>sterisk</w:t>
      </w:r>
      <w:r w:rsidRPr="004D46AC">
        <w:rPr>
          <w:rFonts w:eastAsiaTheme="minorEastAsia" w:hint="eastAsia"/>
        </w:rPr>
        <w:t>s denote t</w:t>
      </w:r>
      <w:r w:rsidRPr="004D46AC">
        <w:rPr>
          <w:rFonts w:eastAsiaTheme="minorEastAsia"/>
        </w:rPr>
        <w:t>heoretically interesting edge differences: P2</w:t>
      </w:r>
      <w:r w:rsidRPr="004D46AC">
        <w:rPr>
          <w:rFonts w:eastAsiaTheme="minorEastAsia" w:hint="eastAsia"/>
        </w:rPr>
        <w:t>-</w:t>
      </w:r>
      <w:r w:rsidRPr="004D46AC">
        <w:rPr>
          <w:rFonts w:eastAsiaTheme="minorEastAsia"/>
        </w:rPr>
        <w:t>Y7 (SCZ &gt; PBD*/SCA**), M8</w:t>
      </w:r>
      <w:r w:rsidRPr="004D46AC">
        <w:rPr>
          <w:rFonts w:eastAsiaTheme="minorEastAsia" w:hint="eastAsia"/>
        </w:rPr>
        <w:t>-</w:t>
      </w:r>
      <w:r w:rsidRPr="004D46AC">
        <w:rPr>
          <w:rFonts w:eastAsiaTheme="minorEastAsia"/>
        </w:rPr>
        <w:t>M9 (SCA &gt; SCZ**), M2</w:t>
      </w:r>
      <w:r w:rsidRPr="004D46AC">
        <w:rPr>
          <w:rFonts w:eastAsiaTheme="minorEastAsia" w:hint="eastAsia"/>
        </w:rPr>
        <w:t>-</w:t>
      </w:r>
      <w:r w:rsidRPr="004D46AC">
        <w:rPr>
          <w:rFonts w:eastAsiaTheme="minorEastAsia"/>
        </w:rPr>
        <w:t>M9 (PBD &gt; SCA**).</w:t>
      </w:r>
    </w:p>
    <w:p w14:paraId="697F949F" w14:textId="77777777" w:rsidR="003D5CB6" w:rsidRPr="004D46AC" w:rsidRDefault="003D5CB6" w:rsidP="00B518F1">
      <w:pPr>
        <w:spacing w:line="360" w:lineRule="auto"/>
        <w:ind w:firstLine="0"/>
        <w:rPr>
          <w:rFonts w:eastAsiaTheme="minorEastAsia"/>
        </w:rPr>
      </w:pPr>
      <w:r w:rsidRPr="004D46AC">
        <w:rPr>
          <w:rFonts w:eastAsiaTheme="minorEastAsia"/>
        </w:rPr>
        <w:t>*</w:t>
      </w:r>
      <w:r w:rsidRPr="004D46AC">
        <w:rPr>
          <w:rFonts w:eastAsiaTheme="minorEastAsia"/>
          <w:i/>
          <w:iCs/>
        </w:rPr>
        <w:t>p</w:t>
      </w:r>
      <w:r w:rsidRPr="004D46AC">
        <w:rPr>
          <w:rFonts w:eastAsiaTheme="minorEastAsia"/>
        </w:rPr>
        <w:t xml:space="preserve"> &lt; .05, **</w:t>
      </w:r>
      <w:r w:rsidRPr="004D46AC">
        <w:rPr>
          <w:rFonts w:eastAsiaTheme="minorEastAsia"/>
          <w:i/>
          <w:iCs/>
        </w:rPr>
        <w:t>p</w:t>
      </w:r>
      <w:r w:rsidRPr="004D46AC">
        <w:rPr>
          <w:rFonts w:eastAsiaTheme="minorEastAsia"/>
        </w:rPr>
        <w:t xml:space="preserve"> &lt; .01, ***</w:t>
      </w:r>
      <w:r w:rsidRPr="004D46AC">
        <w:rPr>
          <w:rFonts w:eastAsiaTheme="minorEastAsia"/>
          <w:i/>
          <w:iCs/>
        </w:rPr>
        <w:t>p</w:t>
      </w:r>
      <w:r w:rsidRPr="004D46AC">
        <w:rPr>
          <w:rFonts w:eastAsiaTheme="minorEastAsia"/>
        </w:rPr>
        <w:t xml:space="preserve"> &lt; .001.</w:t>
      </w:r>
    </w:p>
    <w:p w14:paraId="5E758395" w14:textId="77777777" w:rsidR="003D5CB6" w:rsidRPr="004D46AC" w:rsidRDefault="003D5CB6" w:rsidP="00B518F1">
      <w:pPr>
        <w:ind w:firstLine="0"/>
        <w:rPr>
          <w:rFonts w:eastAsiaTheme="minorEastAsia"/>
          <w:sz w:val="24"/>
          <w:szCs w:val="24"/>
        </w:rPr>
      </w:pPr>
    </w:p>
    <w:p w14:paraId="5D45D394" w14:textId="465D5CAE" w:rsidR="003D5CB6" w:rsidRPr="004D46AC" w:rsidRDefault="003D5CB6" w:rsidP="00B518F1">
      <w:pPr>
        <w:rPr>
          <w:rFonts w:eastAsiaTheme="minorEastAsia"/>
        </w:rPr>
      </w:pPr>
      <w:r w:rsidRPr="004D46AC">
        <w:t>The density of the network was .51 and the absolute average mean weight was .036. WD (</w:t>
      </w:r>
      <w:r w:rsidRPr="004D46AC">
        <w:rPr>
          <w:rFonts w:hint="eastAsia"/>
        </w:rPr>
        <w:t>W</w:t>
      </w:r>
      <w:r w:rsidRPr="004D46AC">
        <w:t xml:space="preserve">ithdrawal; PANSS) was a bridge symptom linking depressive (e.g., M8, </w:t>
      </w:r>
      <w:r w:rsidRPr="004D46AC">
        <w:rPr>
          <w:rFonts w:hint="eastAsia"/>
        </w:rPr>
        <w:t>I</w:t>
      </w:r>
      <w:r w:rsidRPr="004D46AC">
        <w:t xml:space="preserve">nability to feel; MADRS) to positive symptoms (e.g., P6, </w:t>
      </w:r>
      <w:r w:rsidRPr="004D46AC">
        <w:rPr>
          <w:rFonts w:hint="eastAsia"/>
        </w:rPr>
        <w:t>S</w:t>
      </w:r>
      <w:r w:rsidRPr="004D46AC">
        <w:t>uspiciousness; PANSS). Perhaps not surprisingly, P4 (</w:t>
      </w:r>
      <w:r w:rsidRPr="004D46AC">
        <w:rPr>
          <w:rFonts w:hint="eastAsia"/>
        </w:rPr>
        <w:t>E</w:t>
      </w:r>
      <w:r w:rsidRPr="004D46AC">
        <w:t>xcitement; PANSS) was the node that linked most clearly to manic symptoms such as ME (</w:t>
      </w:r>
      <w:r w:rsidRPr="004D46AC">
        <w:rPr>
          <w:rFonts w:hint="eastAsia"/>
        </w:rPr>
        <w:t>E</w:t>
      </w:r>
      <w:r w:rsidRPr="004D46AC">
        <w:t xml:space="preserve">levated mood; YMRS) and to other positive symptoms (e.g., P5: </w:t>
      </w:r>
      <w:r w:rsidRPr="004D46AC">
        <w:rPr>
          <w:rFonts w:hint="eastAsia"/>
        </w:rPr>
        <w:t>G</w:t>
      </w:r>
      <w:r w:rsidRPr="004D46AC">
        <w:t>randiosity). Manic symptoms were more connected to positive psychotic symptoms while depressive symptoms were more linked to negative psychotic symptoms. The edge with highest weight was N1(Blunt affect: PANSS)-RC (</w:t>
      </w:r>
      <w:r w:rsidRPr="004D46AC">
        <w:rPr>
          <w:rFonts w:hint="eastAsia"/>
        </w:rPr>
        <w:t>P</w:t>
      </w:r>
      <w:r w:rsidRPr="004D46AC">
        <w:t>oor rapport and rigid conversation; PANSS) (</w:t>
      </w:r>
      <w:r w:rsidRPr="004D46AC">
        <w:rPr>
          <w:i/>
          <w:iCs/>
        </w:rPr>
        <w:t>w</w:t>
      </w:r>
      <w:r w:rsidRPr="004D46AC">
        <w:t xml:space="preserve"> = 0.41, 95% BCI [0.37, 0.46])</w:t>
      </w:r>
      <w:r w:rsidRPr="004D46AC">
        <w:rPr>
          <w:rFonts w:eastAsiaTheme="minorEastAsia" w:hint="eastAsia"/>
        </w:rPr>
        <w:t xml:space="preserve">, </w:t>
      </w:r>
      <w:r w:rsidRPr="004D46AC">
        <w:t>whereas the lowest weight was observed on edge N7 (</w:t>
      </w:r>
      <w:r w:rsidRPr="004D46AC">
        <w:rPr>
          <w:rFonts w:hint="eastAsia"/>
        </w:rPr>
        <w:t>S</w:t>
      </w:r>
      <w:r w:rsidRPr="004D46AC">
        <w:t>tereotyped thinking; PANSS)-IA (Irritability/disruptive and aggressive behaviour; YMRS) (</w:t>
      </w:r>
      <w:r w:rsidRPr="004D46AC">
        <w:rPr>
          <w:rFonts w:eastAsiaTheme="minorEastAsia" w:hint="eastAsia"/>
          <w:i/>
          <w:iCs/>
        </w:rPr>
        <w:t xml:space="preserve">w </w:t>
      </w:r>
      <w:r w:rsidRPr="004D46AC">
        <w:t>=</w:t>
      </w:r>
      <w:r w:rsidRPr="004D46AC">
        <w:rPr>
          <w:rFonts w:eastAsiaTheme="minorEastAsia" w:hint="eastAsia"/>
        </w:rPr>
        <w:t xml:space="preserve"> </w:t>
      </w:r>
      <w:r w:rsidRPr="004D46AC">
        <w:t xml:space="preserve">0.001, 95% BCI </w:t>
      </w:r>
      <w:r w:rsidRPr="004D46AC">
        <w:rPr>
          <w:rFonts w:eastAsiaTheme="minorEastAsia" w:hint="eastAsia"/>
        </w:rPr>
        <w:t>[</w:t>
      </w:r>
      <w:r w:rsidRPr="004D46AC">
        <w:t>-0.02</w:t>
      </w:r>
      <w:r w:rsidRPr="004D46AC">
        <w:rPr>
          <w:rFonts w:eastAsiaTheme="minorEastAsia" w:hint="eastAsia"/>
        </w:rPr>
        <w:t xml:space="preserve">, </w:t>
      </w:r>
      <w:r w:rsidRPr="004D46AC">
        <w:t>0.02</w:t>
      </w:r>
      <w:r w:rsidRPr="004D46AC">
        <w:rPr>
          <w:rFonts w:eastAsiaTheme="minorEastAsia" w:hint="eastAsia"/>
        </w:rPr>
        <w:t>]</w:t>
      </w:r>
      <w:r w:rsidRPr="004D46AC">
        <w:t xml:space="preserve">). Full list of all non-zero edges and their statistics can be found in Table </w:t>
      </w:r>
      <w:r w:rsidRPr="004D46AC">
        <w:rPr>
          <w:rFonts w:eastAsiaTheme="minorEastAsia" w:hint="eastAsia"/>
        </w:rPr>
        <w:t>C</w:t>
      </w:r>
      <w:r w:rsidR="00D0731C" w:rsidRPr="004D46AC">
        <w:rPr>
          <w:rFonts w:eastAsiaTheme="minorEastAsia" w:hint="eastAsia"/>
        </w:rPr>
        <w:t xml:space="preserve"> 4</w:t>
      </w:r>
      <w:r w:rsidRPr="004D46AC">
        <w:t>. The node with highest strength in this network was M3 (</w:t>
      </w:r>
      <w:r w:rsidRPr="004D46AC">
        <w:rPr>
          <w:rFonts w:hint="eastAsia"/>
        </w:rPr>
        <w:t>I</w:t>
      </w:r>
      <w:r w:rsidRPr="004D46AC">
        <w:t>nner tension; MADRS), and Y11 (</w:t>
      </w:r>
      <w:r w:rsidRPr="004D46AC">
        <w:rPr>
          <w:rFonts w:hint="eastAsia"/>
        </w:rPr>
        <w:t>I</w:t>
      </w:r>
      <w:r w:rsidRPr="004D46AC">
        <w:t>nsight; YMRS) was the node with lowest strength; the nodes with highest level of betweenness and closeness were M8 (</w:t>
      </w:r>
      <w:r w:rsidRPr="004D46AC">
        <w:rPr>
          <w:rFonts w:hint="eastAsia"/>
        </w:rPr>
        <w:t>I</w:t>
      </w:r>
      <w:r w:rsidRPr="004D46AC">
        <w:t>nability to feel; MADRS) and WD (</w:t>
      </w:r>
      <w:r w:rsidRPr="004D46AC">
        <w:rPr>
          <w:rFonts w:hint="eastAsia"/>
        </w:rPr>
        <w:t>W</w:t>
      </w:r>
      <w:r w:rsidRPr="004D46AC">
        <w:t xml:space="preserve">ithdrawal; PANSS), see Figure </w:t>
      </w:r>
      <w:r w:rsidRPr="004D46AC">
        <w:rPr>
          <w:rFonts w:eastAsiaTheme="minorEastAsia" w:hint="eastAsia"/>
        </w:rPr>
        <w:t>3.</w:t>
      </w:r>
      <w:r w:rsidRPr="004D46AC">
        <w:t xml:space="preserve">2 and Figure </w:t>
      </w:r>
      <w:r w:rsidRPr="004D46AC">
        <w:rPr>
          <w:rFonts w:eastAsiaTheme="minorEastAsia" w:hint="eastAsia"/>
        </w:rPr>
        <w:t>C</w:t>
      </w:r>
      <w:r w:rsidR="000B4CBF" w:rsidRPr="004D46AC">
        <w:rPr>
          <w:rFonts w:eastAsiaTheme="minorEastAsia" w:hint="eastAsia"/>
        </w:rPr>
        <w:t xml:space="preserve"> 2</w:t>
      </w:r>
      <w:r w:rsidRPr="004D46AC">
        <w:t xml:space="preserve"> for details.</w:t>
      </w:r>
    </w:p>
    <w:p w14:paraId="5AD2B68C" w14:textId="77777777" w:rsidR="003D5CB6" w:rsidRPr="004D46AC" w:rsidRDefault="003D5CB6" w:rsidP="00B518F1">
      <w:pPr>
        <w:rPr>
          <w:rFonts w:eastAsiaTheme="minorEastAsia"/>
        </w:rPr>
      </w:pPr>
    </w:p>
    <w:p w14:paraId="60B1F445" w14:textId="77777777" w:rsidR="003D5CB6" w:rsidRPr="004D46AC" w:rsidRDefault="003D5CB6" w:rsidP="00B518F1">
      <w:r w:rsidRPr="004D46AC">
        <w:rPr>
          <w:noProof/>
        </w:rPr>
        <w:lastRenderedPageBreak/>
        <w:t xml:space="preserve">  </w:t>
      </w:r>
      <w:r w:rsidRPr="004D46AC">
        <w:rPr>
          <w:noProof/>
        </w:rPr>
        <w:drawing>
          <wp:inline distT="0" distB="0" distL="0" distR="0" wp14:anchorId="3C9B6C79" wp14:editId="319D3F24">
            <wp:extent cx="5274310" cy="3688715"/>
            <wp:effectExtent l="0" t="0" r="0" b="0"/>
            <wp:docPr id="1165613679" name="Picture 1" descr="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13679" name="Picture 1" descr="散点图&#10;&#10;AI 生成的内容可能不正确。"/>
                    <pic:cNvPicPr/>
                  </pic:nvPicPr>
                  <pic:blipFill>
                    <a:blip r:embed="rId321"/>
                    <a:stretch>
                      <a:fillRect/>
                    </a:stretch>
                  </pic:blipFill>
                  <pic:spPr>
                    <a:xfrm>
                      <a:off x="0" y="0"/>
                      <a:ext cx="5274310" cy="3688715"/>
                    </a:xfrm>
                    <a:prstGeom prst="rect">
                      <a:avLst/>
                    </a:prstGeom>
                  </pic:spPr>
                </pic:pic>
              </a:graphicData>
            </a:graphic>
          </wp:inline>
        </w:drawing>
      </w:r>
    </w:p>
    <w:p w14:paraId="3FAB5C1E" w14:textId="116E990F" w:rsidR="005B3793" w:rsidRPr="004D46AC" w:rsidRDefault="00515479" w:rsidP="005B3793">
      <w:pPr>
        <w:pStyle w:val="afff0"/>
        <w:spacing w:after="0" w:line="360" w:lineRule="auto"/>
        <w:ind w:firstLine="0"/>
        <w:rPr>
          <w:rFonts w:eastAsiaTheme="minorEastAsia"/>
          <w:b/>
          <w:bCs/>
          <w:i w:val="0"/>
          <w:iCs w:val="0"/>
          <w:sz w:val="22"/>
          <w:szCs w:val="22"/>
        </w:rPr>
      </w:pPr>
      <w:bookmarkStart w:id="127" w:name="_Toc219883928"/>
      <w:bookmarkStart w:id="128" w:name="_Toc219884860"/>
      <w:r w:rsidRPr="004D46AC">
        <w:rPr>
          <w:b/>
          <w:bCs/>
          <w:i w:val="0"/>
          <w:iCs w:val="0"/>
          <w:sz w:val="22"/>
          <w:szCs w:val="22"/>
        </w:rPr>
        <w:t xml:space="preserve">Figure </w:t>
      </w:r>
      <w:r w:rsidR="004725A0" w:rsidRPr="004D46AC">
        <w:rPr>
          <w:b/>
          <w:bCs/>
          <w:i w:val="0"/>
          <w:iCs w:val="0"/>
          <w:sz w:val="22"/>
          <w:szCs w:val="22"/>
        </w:rPr>
        <w:fldChar w:fldCharType="begin"/>
      </w:r>
      <w:r w:rsidR="004725A0" w:rsidRPr="004D46AC">
        <w:rPr>
          <w:b/>
          <w:bCs/>
          <w:i w:val="0"/>
          <w:iCs w:val="0"/>
          <w:sz w:val="22"/>
          <w:szCs w:val="22"/>
        </w:rPr>
        <w:instrText xml:space="preserve"> STYLEREF 1 \s </w:instrText>
      </w:r>
      <w:r w:rsidR="004725A0" w:rsidRPr="004D46AC">
        <w:rPr>
          <w:b/>
          <w:bCs/>
          <w:i w:val="0"/>
          <w:iCs w:val="0"/>
          <w:sz w:val="22"/>
          <w:szCs w:val="22"/>
        </w:rPr>
        <w:fldChar w:fldCharType="separate"/>
      </w:r>
      <w:r w:rsidR="004725A0" w:rsidRPr="004D46AC">
        <w:rPr>
          <w:b/>
          <w:bCs/>
          <w:i w:val="0"/>
          <w:iCs w:val="0"/>
          <w:noProof/>
          <w:sz w:val="22"/>
          <w:szCs w:val="22"/>
        </w:rPr>
        <w:t>3</w:t>
      </w:r>
      <w:r w:rsidR="004725A0" w:rsidRPr="004D46AC">
        <w:rPr>
          <w:b/>
          <w:bCs/>
          <w:i w:val="0"/>
          <w:iCs w:val="0"/>
          <w:sz w:val="22"/>
          <w:szCs w:val="22"/>
        </w:rPr>
        <w:fldChar w:fldCharType="end"/>
      </w:r>
      <w:r w:rsidR="004725A0" w:rsidRPr="004D46AC">
        <w:rPr>
          <w:b/>
          <w:bCs/>
          <w:i w:val="0"/>
          <w:iCs w:val="0"/>
          <w:sz w:val="22"/>
          <w:szCs w:val="22"/>
        </w:rPr>
        <w:t>.</w:t>
      </w:r>
      <w:r w:rsidR="004725A0" w:rsidRPr="004D46AC">
        <w:rPr>
          <w:b/>
          <w:bCs/>
          <w:i w:val="0"/>
          <w:iCs w:val="0"/>
          <w:sz w:val="22"/>
          <w:szCs w:val="22"/>
        </w:rPr>
        <w:fldChar w:fldCharType="begin"/>
      </w:r>
      <w:r w:rsidR="004725A0" w:rsidRPr="004D46AC">
        <w:rPr>
          <w:b/>
          <w:bCs/>
          <w:i w:val="0"/>
          <w:iCs w:val="0"/>
          <w:sz w:val="22"/>
          <w:szCs w:val="22"/>
        </w:rPr>
        <w:instrText xml:space="preserve"> SEQ Figure \* ARABIC \s 1 </w:instrText>
      </w:r>
      <w:r w:rsidR="004725A0" w:rsidRPr="004D46AC">
        <w:rPr>
          <w:b/>
          <w:bCs/>
          <w:i w:val="0"/>
          <w:iCs w:val="0"/>
          <w:sz w:val="22"/>
          <w:szCs w:val="22"/>
        </w:rPr>
        <w:fldChar w:fldCharType="separate"/>
      </w:r>
      <w:r w:rsidR="004725A0" w:rsidRPr="004D46AC">
        <w:rPr>
          <w:b/>
          <w:bCs/>
          <w:i w:val="0"/>
          <w:iCs w:val="0"/>
          <w:noProof/>
          <w:sz w:val="22"/>
          <w:szCs w:val="22"/>
        </w:rPr>
        <w:t>2</w:t>
      </w:r>
      <w:bookmarkEnd w:id="127"/>
      <w:bookmarkEnd w:id="128"/>
      <w:r w:rsidR="004725A0" w:rsidRPr="004D46AC">
        <w:rPr>
          <w:b/>
          <w:bCs/>
          <w:i w:val="0"/>
          <w:iCs w:val="0"/>
          <w:sz w:val="22"/>
          <w:szCs w:val="22"/>
        </w:rPr>
        <w:fldChar w:fldCharType="end"/>
      </w:r>
    </w:p>
    <w:p w14:paraId="400DF21F" w14:textId="6FB8C211" w:rsidR="003D5CB6" w:rsidRPr="004D46AC" w:rsidRDefault="003D5CB6" w:rsidP="005B3793">
      <w:pPr>
        <w:pStyle w:val="afff0"/>
        <w:spacing w:after="0" w:line="360" w:lineRule="auto"/>
        <w:ind w:firstLine="0"/>
        <w:rPr>
          <w:rFonts w:eastAsiaTheme="minorEastAsia"/>
          <w:b/>
          <w:bCs/>
          <w:i w:val="0"/>
          <w:iCs w:val="0"/>
          <w:sz w:val="22"/>
          <w:szCs w:val="22"/>
        </w:rPr>
      </w:pPr>
      <w:r w:rsidRPr="004D46AC">
        <w:rPr>
          <w:sz w:val="22"/>
          <w:szCs w:val="22"/>
        </w:rPr>
        <w:t>Node centralities of the estimated network models</w:t>
      </w:r>
    </w:p>
    <w:p w14:paraId="720E655A" w14:textId="77777777" w:rsidR="003D5CB6" w:rsidRPr="004D46AC" w:rsidRDefault="003D5CB6" w:rsidP="00B518F1">
      <w:pPr>
        <w:spacing w:line="360" w:lineRule="auto"/>
        <w:ind w:firstLine="0"/>
      </w:pPr>
      <w:r w:rsidRPr="004D46AC">
        <w:rPr>
          <w:i/>
          <w:iCs/>
        </w:rPr>
        <w:t>Note</w:t>
      </w:r>
      <w:r w:rsidRPr="004D46AC">
        <w:t>. Positive symptoms: P2 (Conceptual disorganisation), P3 (Hallucinations), P4 (Excitement), P5 (Grandiosity), P6 (Paranoia/suspiciousness); Negative symptoms: N1 (blunt affect), RC (poor rapport and rigid conversation), WD (withdrawal), N5 (difficulty in abstract thinking), N7 (stereotyped thinking); Manic symptoms: ME (Mood/energy elevation), IA (Irritability/aggressive-disruptive behaviour), Y3 (Sexual interests), Y6 (Speed and amount of speech), Y7 (Language thought disorder), Y10 (Appearance), Y11 (Insight); Depressive symptoms: M2 (Reported sadness), M3 (Inner tension), M5 (Reduced appetite), M6 (Concentration difficulty), M7 (Retardation), M8 (Inability to feel), M9 (Pessimistic thoughts), M10 (Suicidal thoughts), SP (Sleep problems).</w:t>
      </w:r>
    </w:p>
    <w:p w14:paraId="2D532296" w14:textId="77777777" w:rsidR="003D5CB6" w:rsidRPr="004D46AC" w:rsidRDefault="003D5CB6" w:rsidP="00B518F1">
      <w:pPr>
        <w:spacing w:line="360" w:lineRule="auto"/>
        <w:ind w:firstLine="0"/>
      </w:pPr>
      <w:r w:rsidRPr="004D46AC">
        <w:t>The scale used in this graph was the raw values of coefficients.</w:t>
      </w:r>
    </w:p>
    <w:p w14:paraId="696295C1" w14:textId="77777777" w:rsidR="003D5CB6" w:rsidRPr="004D46AC" w:rsidRDefault="003D5CB6" w:rsidP="00B518F1">
      <w:pPr>
        <w:spacing w:line="360" w:lineRule="auto"/>
        <w:ind w:firstLine="0"/>
        <w:rPr>
          <w:rFonts w:eastAsiaTheme="minorEastAsia"/>
        </w:rPr>
      </w:pPr>
      <w:r w:rsidRPr="004D46AC">
        <w:rPr>
          <w:rFonts w:ascii="Microsoft YaHei" w:eastAsia="Microsoft YaHei" w:hAnsi="Microsoft YaHei" w:cs="Microsoft YaHei" w:hint="eastAsia"/>
        </w:rPr>
        <w:t>※</w:t>
      </w:r>
      <w:r w:rsidRPr="004D46AC">
        <w:t>Node strength statistics with adjusted p values: PBD&gt;SCZ (ME**, Y6**, M8**, M9*), SCA&gt;SCZ (WD**, Y6*).</w:t>
      </w:r>
    </w:p>
    <w:p w14:paraId="0617EEF9" w14:textId="77777777" w:rsidR="003D5CB6" w:rsidRPr="004D46AC" w:rsidRDefault="003D5CB6" w:rsidP="00B518F1">
      <w:pPr>
        <w:spacing w:line="360" w:lineRule="auto"/>
        <w:ind w:firstLine="0"/>
      </w:pPr>
      <w:r w:rsidRPr="004D46AC">
        <w:t>*</w:t>
      </w:r>
      <w:r w:rsidRPr="004D46AC">
        <w:rPr>
          <w:i/>
          <w:iCs/>
        </w:rPr>
        <w:t>p</w:t>
      </w:r>
      <w:r w:rsidRPr="004D46AC">
        <w:rPr>
          <w:rFonts w:eastAsiaTheme="minorEastAsia" w:hint="eastAsia"/>
        </w:rPr>
        <w:t xml:space="preserve"> </w:t>
      </w:r>
      <w:r w:rsidRPr="004D46AC">
        <w:t>&lt;</w:t>
      </w:r>
      <w:r w:rsidRPr="004D46AC">
        <w:rPr>
          <w:rFonts w:eastAsiaTheme="minorEastAsia" w:hint="eastAsia"/>
        </w:rPr>
        <w:t xml:space="preserve"> </w:t>
      </w:r>
      <w:r w:rsidRPr="004D46AC">
        <w:t>.05, **</w:t>
      </w:r>
      <w:r w:rsidRPr="004D46AC">
        <w:rPr>
          <w:i/>
          <w:iCs/>
        </w:rPr>
        <w:t>p</w:t>
      </w:r>
      <w:r w:rsidRPr="004D46AC">
        <w:rPr>
          <w:rFonts w:eastAsiaTheme="minorEastAsia" w:hint="eastAsia"/>
        </w:rPr>
        <w:t xml:space="preserve"> </w:t>
      </w:r>
      <w:r w:rsidRPr="004D46AC">
        <w:t>&lt;</w:t>
      </w:r>
      <w:r w:rsidRPr="004D46AC">
        <w:rPr>
          <w:rFonts w:eastAsiaTheme="minorEastAsia" w:hint="eastAsia"/>
        </w:rPr>
        <w:t xml:space="preserve"> </w:t>
      </w:r>
      <w:r w:rsidRPr="004D46AC">
        <w:t>.01.</w:t>
      </w:r>
    </w:p>
    <w:p w14:paraId="5F378279" w14:textId="77777777" w:rsidR="003D5CB6" w:rsidRPr="004D46AC" w:rsidRDefault="003D5CB6" w:rsidP="00B518F1">
      <w:pPr>
        <w:spacing w:line="360" w:lineRule="auto"/>
        <w:ind w:firstLine="0"/>
        <w:rPr>
          <w:rFonts w:eastAsiaTheme="minorEastAsia"/>
        </w:rPr>
      </w:pPr>
    </w:p>
    <w:p w14:paraId="6F9548C0" w14:textId="77777777" w:rsidR="003D5CB6" w:rsidRPr="004D46AC" w:rsidRDefault="003D5CB6" w:rsidP="00B518F1">
      <w:pPr>
        <w:rPr>
          <w:rFonts w:eastAsiaTheme="minorEastAsia"/>
        </w:rPr>
      </w:pPr>
    </w:p>
    <w:p w14:paraId="4D14E410" w14:textId="77777777" w:rsidR="003D5CB6" w:rsidRPr="004D46AC" w:rsidRDefault="003D5CB6" w:rsidP="00B518F1">
      <w:pPr>
        <w:rPr>
          <w:rFonts w:eastAsiaTheme="minorEastAsia"/>
        </w:rPr>
      </w:pPr>
    </w:p>
    <w:p w14:paraId="357E0C76" w14:textId="77777777" w:rsidR="003D5CB6" w:rsidRPr="004D46AC" w:rsidRDefault="003D5CB6" w:rsidP="00B518F1">
      <w:pPr>
        <w:pStyle w:val="3"/>
      </w:pPr>
      <w:r w:rsidRPr="004D46AC">
        <w:lastRenderedPageBreak/>
        <w:t>Network structures in specific diagnostic groups</w:t>
      </w:r>
    </w:p>
    <w:p w14:paraId="3FB0CBC1" w14:textId="77777777" w:rsidR="003D5CB6" w:rsidRPr="004D46AC" w:rsidRDefault="003D5CB6" w:rsidP="00B518F1">
      <w:pPr>
        <w:pStyle w:val="4"/>
      </w:pPr>
      <w:r w:rsidRPr="004D46AC">
        <w:t>PBD Network</w:t>
      </w:r>
    </w:p>
    <w:p w14:paraId="7C85907D" w14:textId="06B949C5" w:rsidR="003D5CB6" w:rsidRPr="004D46AC" w:rsidRDefault="003D5CB6" w:rsidP="00B518F1">
      <w:r w:rsidRPr="004D46AC">
        <w:t xml:space="preserve">The edge statistics of the PBD network were </w:t>
      </w:r>
      <w:proofErr w:type="gramStart"/>
      <w:r w:rsidRPr="004D46AC">
        <w:t>fairly stable</w:t>
      </w:r>
      <w:proofErr w:type="gramEnd"/>
      <w:r w:rsidRPr="004D46AC">
        <w:t xml:space="preserve">, see Figure </w:t>
      </w:r>
      <w:r w:rsidRPr="004D46AC">
        <w:rPr>
          <w:rFonts w:eastAsiaTheme="minorEastAsia" w:hint="eastAsia"/>
        </w:rPr>
        <w:t>C</w:t>
      </w:r>
      <w:r w:rsidR="000B4CBF" w:rsidRPr="004D46AC">
        <w:rPr>
          <w:rFonts w:eastAsiaTheme="minorEastAsia" w:hint="eastAsia"/>
        </w:rPr>
        <w:t xml:space="preserve"> </w:t>
      </w:r>
      <w:r w:rsidRPr="004D46AC">
        <w:t>1b for detail. The node statistics were stable for strength (</w:t>
      </w:r>
      <w:r w:rsidRPr="004D46AC">
        <w:rPr>
          <w:i/>
          <w:iCs/>
        </w:rPr>
        <w:t>CS coefficient</w:t>
      </w:r>
      <w:r w:rsidRPr="004D46AC">
        <w:rPr>
          <w:rFonts w:eastAsiaTheme="minorEastAsia" w:hint="eastAsia"/>
          <w:i/>
          <w:iCs/>
        </w:rPr>
        <w:t xml:space="preserve"> </w:t>
      </w:r>
      <w:r w:rsidRPr="004D46AC">
        <w:t>= .67), but less stable for closeness (</w:t>
      </w:r>
      <w:r w:rsidRPr="004D46AC">
        <w:rPr>
          <w:i/>
          <w:iCs/>
        </w:rPr>
        <w:t>CS coefficient</w:t>
      </w:r>
      <w:r w:rsidRPr="004D46AC">
        <w:rPr>
          <w:rFonts w:eastAsiaTheme="minorEastAsia" w:hint="eastAsia"/>
          <w:i/>
          <w:iCs/>
        </w:rPr>
        <w:t xml:space="preserve"> </w:t>
      </w:r>
      <w:r w:rsidRPr="004D46AC">
        <w:t>= .44), and betweenness (</w:t>
      </w:r>
      <w:r w:rsidRPr="004D46AC">
        <w:rPr>
          <w:i/>
          <w:iCs/>
        </w:rPr>
        <w:t>CS coefficient</w:t>
      </w:r>
      <w:r w:rsidRPr="004D46AC">
        <w:rPr>
          <w:rFonts w:eastAsiaTheme="minorEastAsia" w:hint="eastAsia"/>
          <w:i/>
          <w:iCs/>
        </w:rPr>
        <w:t xml:space="preserve"> </w:t>
      </w:r>
      <w:r w:rsidRPr="004D46AC">
        <w:t>= .28), meaning that these statistics should be interpreted with caution.</w:t>
      </w:r>
    </w:p>
    <w:p w14:paraId="2B050266" w14:textId="43D689D2" w:rsidR="003D5CB6" w:rsidRPr="004D46AC" w:rsidRDefault="003D5CB6" w:rsidP="00B518F1">
      <w:pPr>
        <w:rPr>
          <w:rFonts w:eastAsiaTheme="minorEastAsia"/>
        </w:rPr>
      </w:pPr>
      <w:r w:rsidRPr="004D46AC">
        <w:t xml:space="preserve">A visualisation of the PBD network can be seen on Figure </w:t>
      </w:r>
      <w:r w:rsidRPr="004D46AC">
        <w:rPr>
          <w:rFonts w:eastAsiaTheme="minorEastAsia" w:hint="eastAsia"/>
        </w:rPr>
        <w:t>3.</w:t>
      </w:r>
      <w:r w:rsidRPr="004D46AC">
        <w:t xml:space="preserve">1. Positive psychotic symptoms (e.g., P4: </w:t>
      </w:r>
      <w:r w:rsidRPr="004D46AC">
        <w:rPr>
          <w:rFonts w:hint="eastAsia"/>
        </w:rPr>
        <w:t>E</w:t>
      </w:r>
      <w:r w:rsidRPr="004D46AC">
        <w:t xml:space="preserve">xcitement, P6: </w:t>
      </w:r>
      <w:r w:rsidRPr="004D46AC">
        <w:rPr>
          <w:rFonts w:hint="eastAsia"/>
        </w:rPr>
        <w:t>S</w:t>
      </w:r>
      <w:r w:rsidRPr="004D46AC">
        <w:t xml:space="preserve">uspiciousness/ persecution; PANSS) were mostly linked with manic symptoms (e.g., Y6: Speed and amount of speech, IA: Irritability/disruptive and aggressive behaviour; YMRS), while negative psychotic symptoms (e.g., WD: </w:t>
      </w:r>
      <w:r w:rsidRPr="004D46AC">
        <w:rPr>
          <w:rFonts w:hint="eastAsia"/>
        </w:rPr>
        <w:t>W</w:t>
      </w:r>
      <w:r w:rsidRPr="004D46AC">
        <w:t xml:space="preserve">ithdrawal; PANSS) were mostly connected with depressive symptoms (e.g., M8: </w:t>
      </w:r>
      <w:r w:rsidRPr="004D46AC">
        <w:rPr>
          <w:rFonts w:hint="eastAsia"/>
        </w:rPr>
        <w:t>I</w:t>
      </w:r>
      <w:r w:rsidRPr="004D46AC">
        <w:t>nability to feel; MADRS). The strongest edge in this network was to the same as that of general population but with lower weights (</w:t>
      </w:r>
      <w:r w:rsidRPr="004D46AC">
        <w:rPr>
          <w:rFonts w:eastAsiaTheme="minorEastAsia" w:hint="eastAsia"/>
          <w:i/>
          <w:iCs/>
        </w:rPr>
        <w:t xml:space="preserve">w </w:t>
      </w:r>
      <w:r w:rsidRPr="004D46AC">
        <w:t>=</w:t>
      </w:r>
      <w:r w:rsidRPr="004D46AC">
        <w:rPr>
          <w:rFonts w:eastAsiaTheme="minorEastAsia" w:hint="eastAsia"/>
        </w:rPr>
        <w:t xml:space="preserve"> </w:t>
      </w:r>
      <w:r w:rsidRPr="004D46AC">
        <w:t>0.38, 95% BCI</w:t>
      </w:r>
      <w:r w:rsidRPr="004D46AC">
        <w:rPr>
          <w:rFonts w:eastAsiaTheme="minorEastAsia" w:hint="eastAsia"/>
        </w:rPr>
        <w:t xml:space="preserve"> [</w:t>
      </w:r>
      <w:r w:rsidRPr="004D46AC">
        <w:t>0.31</w:t>
      </w:r>
      <w:r w:rsidRPr="004D46AC">
        <w:rPr>
          <w:rFonts w:eastAsiaTheme="minorEastAsia" w:hint="eastAsia"/>
        </w:rPr>
        <w:t xml:space="preserve">, </w:t>
      </w:r>
      <w:r w:rsidRPr="004D46AC">
        <w:t>0.47</w:t>
      </w:r>
      <w:r w:rsidRPr="004D46AC">
        <w:rPr>
          <w:rFonts w:eastAsiaTheme="minorEastAsia" w:hint="eastAsia"/>
        </w:rPr>
        <w:t>])</w:t>
      </w:r>
      <w:r w:rsidRPr="004D46AC">
        <w:t>, while the edge with lowest weights was P6 (</w:t>
      </w:r>
      <w:r w:rsidRPr="004D46AC">
        <w:rPr>
          <w:rFonts w:hint="eastAsia"/>
        </w:rPr>
        <w:t>S</w:t>
      </w:r>
      <w:r w:rsidRPr="004D46AC">
        <w:t>uspiciousness/ persecution; PANSS) - M6 (</w:t>
      </w:r>
      <w:r w:rsidRPr="004D46AC">
        <w:rPr>
          <w:rFonts w:hint="eastAsia"/>
        </w:rPr>
        <w:t>C</w:t>
      </w:r>
      <w:r w:rsidRPr="004D46AC">
        <w:t>oncentration difficulties; MADRS) (</w:t>
      </w:r>
      <w:r w:rsidRPr="004D46AC">
        <w:rPr>
          <w:rFonts w:eastAsiaTheme="minorEastAsia" w:hint="eastAsia"/>
          <w:i/>
          <w:iCs/>
        </w:rPr>
        <w:t xml:space="preserve">w </w:t>
      </w:r>
      <w:r w:rsidRPr="004D46AC">
        <w:t>=</w:t>
      </w:r>
      <w:r w:rsidRPr="004D46AC">
        <w:rPr>
          <w:rFonts w:eastAsiaTheme="minorEastAsia" w:hint="eastAsia"/>
        </w:rPr>
        <w:t xml:space="preserve"> </w:t>
      </w:r>
      <w:r w:rsidRPr="004D46AC">
        <w:t>0.001, 95% BCI</w:t>
      </w:r>
      <w:r w:rsidRPr="004D46AC">
        <w:rPr>
          <w:rFonts w:eastAsiaTheme="minorEastAsia" w:hint="eastAsia"/>
        </w:rPr>
        <w:t xml:space="preserve"> [</w:t>
      </w:r>
      <w:r w:rsidRPr="004D46AC">
        <w:t>-0.03</w:t>
      </w:r>
      <w:r w:rsidRPr="004D46AC">
        <w:rPr>
          <w:rFonts w:eastAsiaTheme="minorEastAsia" w:hint="eastAsia"/>
        </w:rPr>
        <w:t>,</w:t>
      </w:r>
      <w:r w:rsidRPr="004D46AC">
        <w:t xml:space="preserve"> 0.04</w:t>
      </w:r>
      <w:r w:rsidRPr="004D46AC">
        <w:rPr>
          <w:rFonts w:eastAsiaTheme="minorEastAsia" w:hint="eastAsia"/>
        </w:rPr>
        <w:t>]</w:t>
      </w:r>
      <w:r w:rsidRPr="004D46AC">
        <w:t xml:space="preserve">). The complete list can be found in Table </w:t>
      </w:r>
      <w:r w:rsidRPr="004D46AC">
        <w:rPr>
          <w:rFonts w:eastAsiaTheme="minorEastAsia" w:hint="eastAsia"/>
        </w:rPr>
        <w:t>C</w:t>
      </w:r>
      <w:r w:rsidR="00D0731C" w:rsidRPr="004D46AC">
        <w:rPr>
          <w:rFonts w:eastAsiaTheme="minorEastAsia" w:hint="eastAsia"/>
        </w:rPr>
        <w:t xml:space="preserve"> 5</w:t>
      </w:r>
      <w:r w:rsidRPr="004D46AC">
        <w:t>. The node with highest degree of strength in this network was M8 (</w:t>
      </w:r>
      <w:r w:rsidRPr="004D46AC">
        <w:rPr>
          <w:rFonts w:hint="eastAsia"/>
        </w:rPr>
        <w:t>I</w:t>
      </w:r>
      <w:r w:rsidRPr="004D46AC">
        <w:t>nability to feel; MADRS), while the node with lowest strength in the network was Y11(</w:t>
      </w:r>
      <w:r w:rsidRPr="004D46AC">
        <w:rPr>
          <w:rFonts w:hint="eastAsia"/>
        </w:rPr>
        <w:t>I</w:t>
      </w:r>
      <w:r w:rsidRPr="004D46AC">
        <w:t xml:space="preserve">nsight; YMRS), see Figure </w:t>
      </w:r>
      <w:r w:rsidRPr="004D46AC">
        <w:rPr>
          <w:rFonts w:eastAsiaTheme="minorEastAsia" w:hint="eastAsia"/>
        </w:rPr>
        <w:t>3.</w:t>
      </w:r>
      <w:r w:rsidRPr="004D46AC">
        <w:t>2.</w:t>
      </w:r>
    </w:p>
    <w:p w14:paraId="7A39C79C" w14:textId="77777777" w:rsidR="003D5CB6" w:rsidRPr="004D46AC" w:rsidRDefault="003D5CB6" w:rsidP="00B518F1">
      <w:pPr>
        <w:pStyle w:val="4"/>
      </w:pPr>
      <w:r w:rsidRPr="004D46AC">
        <w:t>SCA Network</w:t>
      </w:r>
    </w:p>
    <w:p w14:paraId="15ABB398" w14:textId="0D4FB3C8" w:rsidR="003D5CB6" w:rsidRPr="004D46AC" w:rsidRDefault="003D5CB6" w:rsidP="00B518F1">
      <w:pPr>
        <w:rPr>
          <w:rFonts w:eastAsiaTheme="minorEastAsia"/>
        </w:rPr>
      </w:pPr>
      <w:r w:rsidRPr="004D46AC">
        <w:t xml:space="preserve">The Network of SCA patients, shown in Figure </w:t>
      </w:r>
      <w:r w:rsidRPr="004D46AC">
        <w:rPr>
          <w:rFonts w:eastAsiaTheme="minorEastAsia" w:hint="eastAsia"/>
        </w:rPr>
        <w:t>3.</w:t>
      </w:r>
      <w:r w:rsidRPr="004D46AC">
        <w:t>1, was stable in terms of node strength (</w:t>
      </w:r>
      <w:r w:rsidRPr="004D46AC">
        <w:rPr>
          <w:i/>
          <w:iCs/>
        </w:rPr>
        <w:t>CS coefficient</w:t>
      </w:r>
      <w:r w:rsidRPr="004D46AC">
        <w:rPr>
          <w:rFonts w:eastAsiaTheme="minorEastAsia" w:hint="eastAsia"/>
          <w:i/>
          <w:iCs/>
        </w:rPr>
        <w:t xml:space="preserve"> </w:t>
      </w:r>
      <w:r w:rsidRPr="004D46AC">
        <w:t>=</w:t>
      </w:r>
      <w:r w:rsidRPr="004D46AC">
        <w:rPr>
          <w:rFonts w:eastAsiaTheme="minorEastAsia" w:hint="eastAsia"/>
        </w:rPr>
        <w:t xml:space="preserve"> </w:t>
      </w:r>
      <w:r w:rsidRPr="004D46AC">
        <w:t xml:space="preserve">0.59) and edge weights (see Figure </w:t>
      </w:r>
      <w:r w:rsidRPr="004D46AC">
        <w:rPr>
          <w:rFonts w:eastAsiaTheme="minorEastAsia" w:hint="eastAsia"/>
        </w:rPr>
        <w:t>C</w:t>
      </w:r>
      <w:r w:rsidR="000B4CBF" w:rsidRPr="004D46AC">
        <w:rPr>
          <w:rFonts w:eastAsiaTheme="minorEastAsia" w:hint="eastAsia"/>
        </w:rPr>
        <w:t xml:space="preserve"> </w:t>
      </w:r>
      <w:r w:rsidRPr="004D46AC">
        <w:t>1c), but the stabilities of closeness and betweenness were low (</w:t>
      </w:r>
      <w:r w:rsidRPr="004D46AC">
        <w:rPr>
          <w:i/>
          <w:iCs/>
        </w:rPr>
        <w:t>CS coefficient</w:t>
      </w:r>
      <w:r w:rsidRPr="004D46AC">
        <w:rPr>
          <w:rFonts w:eastAsiaTheme="minorEastAsia" w:hint="eastAsia"/>
          <w:i/>
          <w:iCs/>
        </w:rPr>
        <w:t xml:space="preserve"> </w:t>
      </w:r>
      <w:r w:rsidRPr="004D46AC">
        <w:t>=</w:t>
      </w:r>
      <w:r w:rsidRPr="004D46AC">
        <w:rPr>
          <w:rFonts w:eastAsiaTheme="minorEastAsia" w:hint="eastAsia"/>
        </w:rPr>
        <w:t xml:space="preserve"> </w:t>
      </w:r>
      <w:r w:rsidRPr="004D46AC">
        <w:t xml:space="preserve">0.28). The pattern of connections was </w:t>
      </w:r>
      <w:proofErr w:type="gramStart"/>
      <w:r w:rsidRPr="004D46AC">
        <w:t>similar to</w:t>
      </w:r>
      <w:proofErr w:type="gramEnd"/>
      <w:r w:rsidRPr="004D46AC">
        <w:t xml:space="preserve"> that seen in the PBD patients. The strongest edge in the network was N1(Blunt affect; PANSS) - RC (</w:t>
      </w:r>
      <w:r w:rsidRPr="004D46AC">
        <w:rPr>
          <w:rFonts w:hint="eastAsia"/>
        </w:rPr>
        <w:t>P</w:t>
      </w:r>
      <w:r w:rsidRPr="004D46AC">
        <w:t>oor rapport and rigid conversation; PANSS) (</w:t>
      </w:r>
      <w:r w:rsidRPr="004D46AC">
        <w:rPr>
          <w:rFonts w:eastAsiaTheme="minorEastAsia" w:hint="eastAsia"/>
          <w:i/>
          <w:iCs/>
        </w:rPr>
        <w:t xml:space="preserve">w </w:t>
      </w:r>
      <w:r w:rsidRPr="004D46AC">
        <w:t>=</w:t>
      </w:r>
      <w:r w:rsidRPr="004D46AC">
        <w:rPr>
          <w:rFonts w:eastAsiaTheme="minorEastAsia" w:hint="eastAsia"/>
        </w:rPr>
        <w:t xml:space="preserve"> </w:t>
      </w:r>
      <w:r w:rsidRPr="004D46AC">
        <w:t>0.39, 95% BCI</w:t>
      </w:r>
      <w:r w:rsidRPr="004D46AC">
        <w:rPr>
          <w:rFonts w:eastAsiaTheme="minorEastAsia" w:hint="eastAsia"/>
        </w:rPr>
        <w:t xml:space="preserve"> [</w:t>
      </w:r>
      <w:r w:rsidRPr="004D46AC">
        <w:t>0.29</w:t>
      </w:r>
      <w:r w:rsidRPr="004D46AC">
        <w:rPr>
          <w:rFonts w:eastAsiaTheme="minorEastAsia" w:hint="eastAsia"/>
        </w:rPr>
        <w:t xml:space="preserve">, </w:t>
      </w:r>
      <w:r w:rsidRPr="004D46AC">
        <w:t>0.44</w:t>
      </w:r>
      <w:r w:rsidRPr="004D46AC">
        <w:rPr>
          <w:rFonts w:eastAsiaTheme="minorEastAsia" w:hint="eastAsia"/>
        </w:rPr>
        <w:t>]</w:t>
      </w:r>
      <w:r w:rsidRPr="004D46AC">
        <w:t>), while the smallest edge was P6 (</w:t>
      </w:r>
      <w:r w:rsidRPr="004D46AC">
        <w:rPr>
          <w:rFonts w:hint="eastAsia"/>
        </w:rPr>
        <w:t>S</w:t>
      </w:r>
      <w:r w:rsidRPr="004D46AC">
        <w:t>uspiciousness/ persecution; PANSS) - M5 (</w:t>
      </w:r>
      <w:r w:rsidRPr="004D46AC">
        <w:rPr>
          <w:rFonts w:hint="eastAsia"/>
        </w:rPr>
        <w:t>R</w:t>
      </w:r>
      <w:r w:rsidRPr="004D46AC">
        <w:t>educed appetite; MADRS) (</w:t>
      </w:r>
      <w:r w:rsidRPr="004D46AC">
        <w:rPr>
          <w:rFonts w:eastAsiaTheme="minorEastAsia" w:hint="eastAsia"/>
          <w:i/>
          <w:iCs/>
        </w:rPr>
        <w:t xml:space="preserve">w </w:t>
      </w:r>
      <w:r w:rsidRPr="004D46AC">
        <w:t>=</w:t>
      </w:r>
      <w:r w:rsidRPr="004D46AC">
        <w:rPr>
          <w:rFonts w:eastAsiaTheme="minorEastAsia" w:hint="eastAsia"/>
        </w:rPr>
        <w:t xml:space="preserve"> </w:t>
      </w:r>
      <w:r w:rsidRPr="004D46AC">
        <w:t>0.001, 95% BCI</w:t>
      </w:r>
      <w:r w:rsidRPr="004D46AC">
        <w:rPr>
          <w:rFonts w:eastAsiaTheme="minorEastAsia" w:hint="eastAsia"/>
        </w:rPr>
        <w:t xml:space="preserve"> [</w:t>
      </w:r>
      <w:r w:rsidRPr="004D46AC">
        <w:t>-0.03</w:t>
      </w:r>
      <w:r w:rsidRPr="004D46AC">
        <w:rPr>
          <w:rFonts w:eastAsiaTheme="minorEastAsia" w:hint="eastAsia"/>
        </w:rPr>
        <w:t xml:space="preserve">, </w:t>
      </w:r>
      <w:r w:rsidRPr="004D46AC">
        <w:t>0.04</w:t>
      </w:r>
      <w:r w:rsidRPr="004D46AC">
        <w:rPr>
          <w:rFonts w:eastAsiaTheme="minorEastAsia" w:hint="eastAsia"/>
        </w:rPr>
        <w:t>]</w:t>
      </w:r>
      <w:r w:rsidRPr="004D46AC">
        <w:t>), see full list of the edge statistics in</w:t>
      </w:r>
      <w:r w:rsidRPr="004D46AC">
        <w:rPr>
          <w:rFonts w:eastAsiaTheme="minorEastAsia" w:hint="eastAsia"/>
        </w:rPr>
        <w:t xml:space="preserve"> </w:t>
      </w:r>
      <w:r w:rsidRPr="004D46AC">
        <w:t xml:space="preserve">Table </w:t>
      </w:r>
      <w:r w:rsidRPr="004D46AC">
        <w:rPr>
          <w:rFonts w:eastAsiaTheme="minorEastAsia" w:hint="eastAsia"/>
        </w:rPr>
        <w:t>C</w:t>
      </w:r>
      <w:r w:rsidR="00D0731C" w:rsidRPr="004D46AC">
        <w:rPr>
          <w:rFonts w:eastAsiaTheme="minorEastAsia" w:hint="eastAsia"/>
        </w:rPr>
        <w:t xml:space="preserve"> 6</w:t>
      </w:r>
      <w:r w:rsidRPr="004D46AC">
        <w:t xml:space="preserve">. The node with highest strength within this network was WD </w:t>
      </w:r>
      <w:r w:rsidRPr="004D46AC">
        <w:lastRenderedPageBreak/>
        <w:t>(</w:t>
      </w:r>
      <w:r w:rsidRPr="004D46AC">
        <w:rPr>
          <w:rFonts w:hint="eastAsia"/>
        </w:rPr>
        <w:t>W</w:t>
      </w:r>
      <w:r w:rsidRPr="004D46AC">
        <w:t>ithdrawal; PANSS), while the node with lowest degree of strength was Y11(</w:t>
      </w:r>
      <w:r w:rsidRPr="004D46AC">
        <w:rPr>
          <w:rFonts w:hint="eastAsia"/>
        </w:rPr>
        <w:t>I</w:t>
      </w:r>
      <w:r w:rsidRPr="004D46AC">
        <w:t xml:space="preserve">nsight; YMRS), see details in Figure </w:t>
      </w:r>
      <w:r w:rsidRPr="004D46AC">
        <w:rPr>
          <w:rFonts w:eastAsiaTheme="minorEastAsia" w:hint="eastAsia"/>
        </w:rPr>
        <w:t>3.</w:t>
      </w:r>
      <w:r w:rsidRPr="004D46AC">
        <w:t>2.</w:t>
      </w:r>
    </w:p>
    <w:p w14:paraId="771594E0" w14:textId="77777777" w:rsidR="003D5CB6" w:rsidRPr="004D46AC" w:rsidRDefault="003D5CB6" w:rsidP="00B518F1">
      <w:pPr>
        <w:pStyle w:val="4"/>
      </w:pPr>
      <w:r w:rsidRPr="004D46AC">
        <w:t>SCZ Network</w:t>
      </w:r>
    </w:p>
    <w:p w14:paraId="11FD3A3B" w14:textId="45B0AF63" w:rsidR="003D5CB6" w:rsidRPr="004D46AC" w:rsidRDefault="003D5CB6" w:rsidP="00B518F1">
      <w:r w:rsidRPr="004D46AC">
        <w:t>The network of SCZ exhibited good stabilities for node strength (</w:t>
      </w:r>
      <w:r w:rsidRPr="004D46AC">
        <w:rPr>
          <w:i/>
          <w:iCs/>
        </w:rPr>
        <w:t>CS coefficient</w:t>
      </w:r>
      <w:r w:rsidRPr="004D46AC">
        <w:rPr>
          <w:rFonts w:eastAsiaTheme="minorEastAsia" w:hint="eastAsia"/>
          <w:i/>
          <w:iCs/>
        </w:rPr>
        <w:t xml:space="preserve"> </w:t>
      </w:r>
      <w:r w:rsidRPr="004D46AC">
        <w:t>= 0.59) and node closeness (</w:t>
      </w:r>
      <w:r w:rsidRPr="004D46AC">
        <w:rPr>
          <w:i/>
          <w:iCs/>
        </w:rPr>
        <w:t>CS coefficient</w:t>
      </w:r>
      <w:r w:rsidRPr="004D46AC">
        <w:rPr>
          <w:rFonts w:eastAsiaTheme="minorEastAsia" w:hint="eastAsia"/>
          <w:i/>
          <w:iCs/>
        </w:rPr>
        <w:t xml:space="preserve"> </w:t>
      </w:r>
      <w:r w:rsidRPr="004D46AC">
        <w:t>= 0.52), and moderate stability for betweenness (</w:t>
      </w:r>
      <w:r w:rsidRPr="004D46AC">
        <w:rPr>
          <w:i/>
          <w:iCs/>
        </w:rPr>
        <w:t>CS coefficient</w:t>
      </w:r>
      <w:r w:rsidRPr="004D46AC">
        <w:rPr>
          <w:rFonts w:eastAsiaTheme="minorEastAsia" w:hint="eastAsia"/>
          <w:i/>
          <w:iCs/>
        </w:rPr>
        <w:t xml:space="preserve"> </w:t>
      </w:r>
      <w:r w:rsidRPr="004D46AC">
        <w:t xml:space="preserve">= 0.44). The edges were </w:t>
      </w:r>
      <w:proofErr w:type="gramStart"/>
      <w:r w:rsidRPr="004D46AC">
        <w:t>fairly stable</w:t>
      </w:r>
      <w:proofErr w:type="gramEnd"/>
      <w:r w:rsidRPr="004D46AC">
        <w:t xml:space="preserve">, see Figure </w:t>
      </w:r>
      <w:r w:rsidRPr="004D46AC">
        <w:rPr>
          <w:rFonts w:eastAsiaTheme="minorEastAsia" w:hint="eastAsia"/>
        </w:rPr>
        <w:t>C</w:t>
      </w:r>
      <w:r w:rsidR="000B4CBF" w:rsidRPr="004D46AC">
        <w:rPr>
          <w:rFonts w:eastAsiaTheme="minorEastAsia" w:hint="eastAsia"/>
        </w:rPr>
        <w:t xml:space="preserve"> </w:t>
      </w:r>
      <w:r w:rsidRPr="004D46AC">
        <w:t>1d.</w:t>
      </w:r>
    </w:p>
    <w:p w14:paraId="3AAFAFCB" w14:textId="1CF82C56" w:rsidR="003D5CB6" w:rsidRPr="004D46AC" w:rsidRDefault="003D5CB6" w:rsidP="00B518F1">
      <w:pPr>
        <w:rPr>
          <w:rFonts w:eastAsiaTheme="minorEastAsia"/>
        </w:rPr>
      </w:pPr>
      <w:r w:rsidRPr="004D46AC">
        <w:t>The network pattern in SCZ patients is generally similar to the other networks. Nonetheless, a significant difference was observed in the relationship between Y7 (</w:t>
      </w:r>
      <w:r w:rsidRPr="004D46AC">
        <w:rPr>
          <w:rFonts w:hint="eastAsia"/>
        </w:rPr>
        <w:t>T</w:t>
      </w:r>
      <w:r w:rsidRPr="004D46AC">
        <w:t>hought disorder; YMRS) and P2 (</w:t>
      </w:r>
      <w:r w:rsidRPr="004D46AC">
        <w:rPr>
          <w:rFonts w:hint="eastAsia"/>
        </w:rPr>
        <w:t>C</w:t>
      </w:r>
      <w:r w:rsidRPr="004D46AC">
        <w:t xml:space="preserve">onceptual disorganisation; PANSS), see Figure </w:t>
      </w:r>
      <w:r w:rsidRPr="004D46AC">
        <w:rPr>
          <w:rFonts w:eastAsiaTheme="minorEastAsia" w:hint="eastAsia"/>
        </w:rPr>
        <w:t>3.</w:t>
      </w:r>
      <w:r w:rsidRPr="004D46AC">
        <w:t>2. N1(Blunt affect; PANSS) - RC (</w:t>
      </w:r>
      <w:r w:rsidRPr="004D46AC">
        <w:rPr>
          <w:rFonts w:hint="eastAsia"/>
        </w:rPr>
        <w:t>P</w:t>
      </w:r>
      <w:r w:rsidRPr="004D46AC">
        <w:t>oor rapport and rigid conversation; PANSS) (</w:t>
      </w:r>
      <w:r w:rsidRPr="004D46AC">
        <w:rPr>
          <w:rFonts w:eastAsiaTheme="minorEastAsia" w:hint="eastAsia"/>
          <w:i/>
          <w:iCs/>
        </w:rPr>
        <w:t xml:space="preserve">w </w:t>
      </w:r>
      <w:r w:rsidRPr="004D46AC">
        <w:t>=</w:t>
      </w:r>
      <w:r w:rsidRPr="004D46AC">
        <w:rPr>
          <w:rFonts w:eastAsiaTheme="minorEastAsia" w:hint="eastAsia"/>
        </w:rPr>
        <w:t xml:space="preserve"> </w:t>
      </w:r>
      <w:r w:rsidRPr="004D46AC">
        <w:t>0.36, 95% BCI</w:t>
      </w:r>
      <w:r w:rsidRPr="004D46AC">
        <w:rPr>
          <w:rFonts w:eastAsiaTheme="minorEastAsia" w:hint="eastAsia"/>
        </w:rPr>
        <w:t xml:space="preserve"> [</w:t>
      </w:r>
      <w:r w:rsidRPr="004D46AC">
        <w:t>0.29</w:t>
      </w:r>
      <w:r w:rsidRPr="004D46AC">
        <w:rPr>
          <w:rFonts w:eastAsiaTheme="minorEastAsia" w:hint="eastAsia"/>
        </w:rPr>
        <w:t xml:space="preserve">, </w:t>
      </w:r>
      <w:r w:rsidRPr="004D46AC">
        <w:t>0.42</w:t>
      </w:r>
      <w:r w:rsidRPr="004D46AC">
        <w:rPr>
          <w:rFonts w:eastAsiaTheme="minorEastAsia" w:hint="eastAsia"/>
        </w:rPr>
        <w:t>]</w:t>
      </w:r>
      <w:r w:rsidRPr="004D46AC">
        <w:t>) was the edge with highest weight in this network, and the edge with the lowest weight was M5 (</w:t>
      </w:r>
      <w:r w:rsidRPr="004D46AC">
        <w:rPr>
          <w:rFonts w:hint="eastAsia"/>
        </w:rPr>
        <w:t>R</w:t>
      </w:r>
      <w:r w:rsidRPr="004D46AC">
        <w:t>educed appetite; MADRS) - M9 (</w:t>
      </w:r>
      <w:r w:rsidRPr="004D46AC">
        <w:rPr>
          <w:rFonts w:hint="eastAsia"/>
        </w:rPr>
        <w:t>P</w:t>
      </w:r>
      <w:r w:rsidRPr="004D46AC">
        <w:t>essimistic thoughts; MADRS) (</w:t>
      </w:r>
      <w:r w:rsidRPr="004D46AC">
        <w:rPr>
          <w:rFonts w:eastAsiaTheme="minorEastAsia" w:hint="eastAsia"/>
          <w:i/>
          <w:iCs/>
        </w:rPr>
        <w:t xml:space="preserve">w </w:t>
      </w:r>
      <w:r w:rsidRPr="004D46AC">
        <w:t>=</w:t>
      </w:r>
      <w:r w:rsidRPr="004D46AC">
        <w:rPr>
          <w:rFonts w:eastAsiaTheme="minorEastAsia" w:hint="eastAsia"/>
        </w:rPr>
        <w:t xml:space="preserve"> </w:t>
      </w:r>
      <w:r w:rsidRPr="004D46AC">
        <w:t>0.001, 95% BCI</w:t>
      </w:r>
      <w:r w:rsidRPr="004D46AC">
        <w:rPr>
          <w:rFonts w:eastAsiaTheme="minorEastAsia" w:hint="eastAsia"/>
        </w:rPr>
        <w:t xml:space="preserve"> [</w:t>
      </w:r>
      <w:r w:rsidRPr="004D46AC">
        <w:t>-0.04</w:t>
      </w:r>
      <w:r w:rsidRPr="004D46AC">
        <w:rPr>
          <w:rFonts w:eastAsiaTheme="minorEastAsia" w:hint="eastAsia"/>
        </w:rPr>
        <w:t xml:space="preserve">, </w:t>
      </w:r>
      <w:r w:rsidRPr="004D46AC">
        <w:t>0.05</w:t>
      </w:r>
      <w:r w:rsidRPr="004D46AC">
        <w:rPr>
          <w:rFonts w:eastAsiaTheme="minorEastAsia" w:hint="eastAsia"/>
        </w:rPr>
        <w:t>])</w:t>
      </w:r>
      <w:r w:rsidRPr="004D46AC">
        <w:t xml:space="preserve">; see Table </w:t>
      </w:r>
      <w:r w:rsidRPr="004D46AC">
        <w:rPr>
          <w:rFonts w:eastAsiaTheme="minorEastAsia" w:hint="eastAsia"/>
        </w:rPr>
        <w:t>C</w:t>
      </w:r>
      <w:r w:rsidR="00D0731C" w:rsidRPr="004D46AC">
        <w:rPr>
          <w:rFonts w:eastAsiaTheme="minorEastAsia" w:hint="eastAsia"/>
        </w:rPr>
        <w:t xml:space="preserve"> 7</w:t>
      </w:r>
      <w:r w:rsidRPr="004D46AC">
        <w:t xml:space="preserve"> for the full edge list. In this network, the node with highest strength was M3 (</w:t>
      </w:r>
      <w:r w:rsidRPr="004D46AC">
        <w:rPr>
          <w:rFonts w:hint="eastAsia"/>
        </w:rPr>
        <w:t>I</w:t>
      </w:r>
      <w:r w:rsidRPr="004D46AC">
        <w:t>nner tension; MADRS), while the node with lowest strength was Y11 (</w:t>
      </w:r>
      <w:r w:rsidRPr="004D46AC">
        <w:rPr>
          <w:rFonts w:hint="eastAsia"/>
        </w:rPr>
        <w:t>I</w:t>
      </w:r>
      <w:r w:rsidRPr="004D46AC">
        <w:t>nsight; YMRS); the node with highest level of betweenness was Y7 (</w:t>
      </w:r>
      <w:r w:rsidRPr="004D46AC">
        <w:rPr>
          <w:rFonts w:hint="eastAsia"/>
        </w:rPr>
        <w:t>T</w:t>
      </w:r>
      <w:r w:rsidRPr="004D46AC">
        <w:t xml:space="preserve">hought disorder), see Figure </w:t>
      </w:r>
      <w:r w:rsidRPr="004D46AC">
        <w:rPr>
          <w:rFonts w:eastAsiaTheme="minorEastAsia" w:hint="eastAsia"/>
        </w:rPr>
        <w:t>3.</w:t>
      </w:r>
      <w:r w:rsidRPr="004D46AC">
        <w:t>2.</w:t>
      </w:r>
    </w:p>
    <w:p w14:paraId="00F7C7BB" w14:textId="77777777" w:rsidR="003D5CB6" w:rsidRPr="004D46AC" w:rsidRDefault="003D5CB6" w:rsidP="00B518F1">
      <w:pPr>
        <w:pStyle w:val="3"/>
      </w:pPr>
      <w:r w:rsidRPr="004D46AC">
        <w:t>Network communities</w:t>
      </w:r>
    </w:p>
    <w:p w14:paraId="3CB60143" w14:textId="177EA34D" w:rsidR="003D5CB6" w:rsidRPr="004D46AC" w:rsidRDefault="003D5CB6" w:rsidP="00B518F1">
      <w:pPr>
        <w:rPr>
          <w:rFonts w:eastAsiaTheme="minorEastAsia"/>
        </w:rPr>
      </w:pPr>
      <w:r w:rsidRPr="004D46AC">
        <w:t>The number of communities ranged between three for the general sample and PBD group to six for the SCZ group. This variation reflected some symptoms which were not stably attributed to communities in some analyses. Most notably, P3 (</w:t>
      </w:r>
      <w:r w:rsidRPr="004D46AC">
        <w:rPr>
          <w:rFonts w:hint="eastAsia"/>
        </w:rPr>
        <w:t>H</w:t>
      </w:r>
      <w:r w:rsidRPr="004D46AC">
        <w:t>allucinations, PANSS) and P6 (</w:t>
      </w:r>
      <w:r w:rsidRPr="004D46AC">
        <w:rPr>
          <w:rFonts w:hint="eastAsia"/>
        </w:rPr>
        <w:t>S</w:t>
      </w:r>
      <w:r w:rsidRPr="004D46AC">
        <w:t xml:space="preserve">uspiciousness, PANSS) appear with other psychotic symptoms in the general and PBD samples but are not consistently attributed to a community in the SCA and SCZ samples. Across the bootstrapped analyses, the most replicable community consisted of </w:t>
      </w:r>
      <w:proofErr w:type="gramStart"/>
      <w:r w:rsidRPr="004D46AC">
        <w:t>all of</w:t>
      </w:r>
      <w:proofErr w:type="gramEnd"/>
      <w:r w:rsidRPr="004D46AC">
        <w:t xml:space="preserve"> the depressive symptoms; for most of the groups, the structural consistency was higher than 75% and the node replicability was higher than 95%, indicating that the composition of this community was very stable. The communities with lowest stabilities comprised of psychotic symptoms and manic symptoms; interestingly the most stable nodes </w:t>
      </w:r>
      <w:r w:rsidRPr="004D46AC">
        <w:lastRenderedPageBreak/>
        <w:t xml:space="preserve">in the psychosis community were negative symptoms and conceptual disorganisation, see Figure </w:t>
      </w:r>
      <w:r w:rsidRPr="004D46AC">
        <w:rPr>
          <w:rFonts w:eastAsiaTheme="minorEastAsia" w:hint="eastAsia"/>
        </w:rPr>
        <w:t>3.</w:t>
      </w:r>
      <w:r w:rsidRPr="004D46AC">
        <w:t xml:space="preserve">3 and Table </w:t>
      </w:r>
      <w:r w:rsidRPr="004D46AC">
        <w:rPr>
          <w:rFonts w:eastAsiaTheme="minorEastAsia" w:hint="eastAsia"/>
        </w:rPr>
        <w:t>C</w:t>
      </w:r>
      <w:r w:rsidR="00D0731C" w:rsidRPr="004D46AC">
        <w:rPr>
          <w:rFonts w:eastAsiaTheme="minorEastAsia" w:hint="eastAsia"/>
        </w:rPr>
        <w:t xml:space="preserve"> 8</w:t>
      </w:r>
      <w:r w:rsidRPr="004D46AC">
        <w:t xml:space="preserve"> for further details.</w:t>
      </w:r>
    </w:p>
    <w:p w14:paraId="2D5B4740" w14:textId="77777777" w:rsidR="003D5CB6" w:rsidRPr="004D46AC" w:rsidRDefault="003D5CB6" w:rsidP="00B518F1">
      <w:pPr>
        <w:rPr>
          <w:rFonts w:eastAsiaTheme="minorEastAsia"/>
        </w:rPr>
      </w:pPr>
    </w:p>
    <w:p w14:paraId="21C93460" w14:textId="77777777" w:rsidR="003D5CB6" w:rsidRPr="004D46AC" w:rsidRDefault="003D5CB6" w:rsidP="00B518F1">
      <w:r w:rsidRPr="004D46AC">
        <w:rPr>
          <w:noProof/>
        </w:rPr>
        <w:drawing>
          <wp:inline distT="0" distB="0" distL="0" distR="0" wp14:anchorId="788C121B" wp14:editId="309F8155">
            <wp:extent cx="2591448" cy="2005832"/>
            <wp:effectExtent l="0" t="0" r="0" b="0"/>
            <wp:docPr id="365771651" name="Picture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71651" name="Picture 1" descr="图示&#10;&#10;AI 生成的内容可能不正确。"/>
                    <pic:cNvPicPr/>
                  </pic:nvPicPr>
                  <pic:blipFill>
                    <a:blip r:embed="rId322"/>
                    <a:stretch>
                      <a:fillRect/>
                    </a:stretch>
                  </pic:blipFill>
                  <pic:spPr>
                    <a:xfrm>
                      <a:off x="0" y="0"/>
                      <a:ext cx="2614036" cy="2023315"/>
                    </a:xfrm>
                    <a:prstGeom prst="rect">
                      <a:avLst/>
                    </a:prstGeom>
                  </pic:spPr>
                </pic:pic>
              </a:graphicData>
            </a:graphic>
          </wp:inline>
        </w:drawing>
      </w:r>
      <w:r w:rsidRPr="004D46AC">
        <w:rPr>
          <w:noProof/>
        </w:rPr>
        <w:drawing>
          <wp:inline distT="0" distB="0" distL="0" distR="0" wp14:anchorId="72316687" wp14:editId="6C374246">
            <wp:extent cx="2568102" cy="1987760"/>
            <wp:effectExtent l="0" t="0" r="0" b="0"/>
            <wp:docPr id="832263929" name="Picture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3929" name="Picture 1" descr="图示&#10;&#10;AI 生成的内容可能不正确。"/>
                    <pic:cNvPicPr/>
                  </pic:nvPicPr>
                  <pic:blipFill>
                    <a:blip r:embed="rId323"/>
                    <a:stretch>
                      <a:fillRect/>
                    </a:stretch>
                  </pic:blipFill>
                  <pic:spPr>
                    <a:xfrm>
                      <a:off x="0" y="0"/>
                      <a:ext cx="2609144" cy="2019527"/>
                    </a:xfrm>
                    <a:prstGeom prst="rect">
                      <a:avLst/>
                    </a:prstGeom>
                  </pic:spPr>
                </pic:pic>
              </a:graphicData>
            </a:graphic>
          </wp:inline>
        </w:drawing>
      </w:r>
    </w:p>
    <w:p w14:paraId="3EEAFD59" w14:textId="77777777" w:rsidR="003D5CB6" w:rsidRPr="004D46AC" w:rsidRDefault="003D5CB6" w:rsidP="00B518F1">
      <w:r w:rsidRPr="004D46AC">
        <w:rPr>
          <w:noProof/>
        </w:rPr>
        <w:drawing>
          <wp:inline distT="0" distB="0" distL="0" distR="0" wp14:anchorId="1EF673BD" wp14:editId="6FC2DA52">
            <wp:extent cx="2642032" cy="2051662"/>
            <wp:effectExtent l="0" t="0" r="0" b="0"/>
            <wp:docPr id="2085521741" name="Picture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21741" name="Picture 1" descr="图示&#10;&#10;AI 生成的内容可能不正确。"/>
                    <pic:cNvPicPr/>
                  </pic:nvPicPr>
                  <pic:blipFill>
                    <a:blip r:embed="rId324"/>
                    <a:stretch>
                      <a:fillRect/>
                    </a:stretch>
                  </pic:blipFill>
                  <pic:spPr>
                    <a:xfrm>
                      <a:off x="0" y="0"/>
                      <a:ext cx="2653465" cy="2060541"/>
                    </a:xfrm>
                    <a:prstGeom prst="rect">
                      <a:avLst/>
                    </a:prstGeom>
                  </pic:spPr>
                </pic:pic>
              </a:graphicData>
            </a:graphic>
          </wp:inline>
        </w:drawing>
      </w:r>
      <w:r w:rsidRPr="004D46AC">
        <w:rPr>
          <w:noProof/>
        </w:rPr>
        <w:drawing>
          <wp:inline distT="0" distB="0" distL="0" distR="0" wp14:anchorId="213E72A1" wp14:editId="73C04142">
            <wp:extent cx="2591435" cy="2006443"/>
            <wp:effectExtent l="0" t="0" r="0" b="0"/>
            <wp:docPr id="1882956878" name="Picture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56878" name="Picture 1" descr="图示&#10;&#10;AI 生成的内容可能不正确。"/>
                    <pic:cNvPicPr/>
                  </pic:nvPicPr>
                  <pic:blipFill>
                    <a:blip r:embed="rId325"/>
                    <a:stretch>
                      <a:fillRect/>
                    </a:stretch>
                  </pic:blipFill>
                  <pic:spPr>
                    <a:xfrm>
                      <a:off x="0" y="0"/>
                      <a:ext cx="2596278" cy="2010193"/>
                    </a:xfrm>
                    <a:prstGeom prst="rect">
                      <a:avLst/>
                    </a:prstGeom>
                  </pic:spPr>
                </pic:pic>
              </a:graphicData>
            </a:graphic>
          </wp:inline>
        </w:drawing>
      </w:r>
    </w:p>
    <w:p w14:paraId="4575CF4D" w14:textId="6ED8635F" w:rsidR="005B3793" w:rsidRPr="004D46AC" w:rsidRDefault="00515479" w:rsidP="005B3793">
      <w:pPr>
        <w:pStyle w:val="afff0"/>
        <w:spacing w:after="0" w:line="360" w:lineRule="auto"/>
        <w:ind w:firstLine="0"/>
        <w:rPr>
          <w:rFonts w:eastAsiaTheme="minorEastAsia"/>
          <w:b/>
          <w:bCs/>
          <w:i w:val="0"/>
          <w:iCs w:val="0"/>
          <w:sz w:val="22"/>
          <w:szCs w:val="22"/>
        </w:rPr>
      </w:pPr>
      <w:bookmarkStart w:id="129" w:name="_Toc219883929"/>
      <w:bookmarkStart w:id="130" w:name="_Toc219884861"/>
      <w:r w:rsidRPr="004D46AC">
        <w:rPr>
          <w:b/>
          <w:bCs/>
          <w:i w:val="0"/>
          <w:iCs w:val="0"/>
          <w:sz w:val="22"/>
          <w:szCs w:val="22"/>
        </w:rPr>
        <w:t xml:space="preserve">Figure </w:t>
      </w:r>
      <w:r w:rsidR="004725A0" w:rsidRPr="004D46AC">
        <w:rPr>
          <w:b/>
          <w:bCs/>
          <w:i w:val="0"/>
          <w:iCs w:val="0"/>
          <w:sz w:val="22"/>
          <w:szCs w:val="22"/>
        </w:rPr>
        <w:fldChar w:fldCharType="begin"/>
      </w:r>
      <w:r w:rsidR="004725A0" w:rsidRPr="004D46AC">
        <w:rPr>
          <w:b/>
          <w:bCs/>
          <w:i w:val="0"/>
          <w:iCs w:val="0"/>
          <w:sz w:val="22"/>
          <w:szCs w:val="22"/>
        </w:rPr>
        <w:instrText xml:space="preserve"> STYLEREF 1 \s </w:instrText>
      </w:r>
      <w:r w:rsidR="004725A0" w:rsidRPr="004D46AC">
        <w:rPr>
          <w:b/>
          <w:bCs/>
          <w:i w:val="0"/>
          <w:iCs w:val="0"/>
          <w:sz w:val="22"/>
          <w:szCs w:val="22"/>
        </w:rPr>
        <w:fldChar w:fldCharType="separate"/>
      </w:r>
      <w:r w:rsidR="004725A0" w:rsidRPr="004D46AC">
        <w:rPr>
          <w:b/>
          <w:bCs/>
          <w:i w:val="0"/>
          <w:iCs w:val="0"/>
          <w:noProof/>
          <w:sz w:val="22"/>
          <w:szCs w:val="22"/>
        </w:rPr>
        <w:t>3</w:t>
      </w:r>
      <w:r w:rsidR="004725A0" w:rsidRPr="004D46AC">
        <w:rPr>
          <w:b/>
          <w:bCs/>
          <w:i w:val="0"/>
          <w:iCs w:val="0"/>
          <w:sz w:val="22"/>
          <w:szCs w:val="22"/>
        </w:rPr>
        <w:fldChar w:fldCharType="end"/>
      </w:r>
      <w:r w:rsidR="004725A0" w:rsidRPr="004D46AC">
        <w:rPr>
          <w:b/>
          <w:bCs/>
          <w:i w:val="0"/>
          <w:iCs w:val="0"/>
          <w:sz w:val="22"/>
          <w:szCs w:val="22"/>
        </w:rPr>
        <w:t>.</w:t>
      </w:r>
      <w:r w:rsidR="004725A0" w:rsidRPr="004D46AC">
        <w:rPr>
          <w:b/>
          <w:bCs/>
          <w:i w:val="0"/>
          <w:iCs w:val="0"/>
          <w:sz w:val="22"/>
          <w:szCs w:val="22"/>
        </w:rPr>
        <w:fldChar w:fldCharType="begin"/>
      </w:r>
      <w:r w:rsidR="004725A0" w:rsidRPr="004D46AC">
        <w:rPr>
          <w:b/>
          <w:bCs/>
          <w:i w:val="0"/>
          <w:iCs w:val="0"/>
          <w:sz w:val="22"/>
          <w:szCs w:val="22"/>
        </w:rPr>
        <w:instrText xml:space="preserve"> SEQ Figure \* ARABIC \s 1 </w:instrText>
      </w:r>
      <w:r w:rsidR="004725A0" w:rsidRPr="004D46AC">
        <w:rPr>
          <w:b/>
          <w:bCs/>
          <w:i w:val="0"/>
          <w:iCs w:val="0"/>
          <w:sz w:val="22"/>
          <w:szCs w:val="22"/>
        </w:rPr>
        <w:fldChar w:fldCharType="separate"/>
      </w:r>
      <w:r w:rsidR="004725A0" w:rsidRPr="004D46AC">
        <w:rPr>
          <w:b/>
          <w:bCs/>
          <w:i w:val="0"/>
          <w:iCs w:val="0"/>
          <w:noProof/>
          <w:sz w:val="22"/>
          <w:szCs w:val="22"/>
        </w:rPr>
        <w:t>3</w:t>
      </w:r>
      <w:bookmarkEnd w:id="129"/>
      <w:bookmarkEnd w:id="130"/>
      <w:r w:rsidR="004725A0" w:rsidRPr="004D46AC">
        <w:rPr>
          <w:b/>
          <w:bCs/>
          <w:i w:val="0"/>
          <w:iCs w:val="0"/>
          <w:sz w:val="22"/>
          <w:szCs w:val="22"/>
        </w:rPr>
        <w:fldChar w:fldCharType="end"/>
      </w:r>
    </w:p>
    <w:p w14:paraId="3874F778" w14:textId="03DCB76F" w:rsidR="003D5CB6" w:rsidRPr="004D46AC" w:rsidRDefault="003D5CB6" w:rsidP="005B3793">
      <w:pPr>
        <w:pStyle w:val="afff0"/>
        <w:spacing w:after="0" w:line="360" w:lineRule="auto"/>
        <w:ind w:firstLine="0"/>
        <w:rPr>
          <w:rFonts w:eastAsiaTheme="minorEastAsia"/>
          <w:b/>
          <w:bCs/>
          <w:i w:val="0"/>
          <w:iCs w:val="0"/>
          <w:sz w:val="22"/>
          <w:szCs w:val="22"/>
        </w:rPr>
      </w:pPr>
      <w:r w:rsidRPr="004D46AC">
        <w:rPr>
          <w:sz w:val="22"/>
          <w:szCs w:val="22"/>
        </w:rPr>
        <w:t xml:space="preserve">The </w:t>
      </w:r>
      <w:r w:rsidRPr="004D46AC">
        <w:rPr>
          <w:rFonts w:hint="eastAsia"/>
          <w:sz w:val="22"/>
          <w:szCs w:val="22"/>
        </w:rPr>
        <w:t xml:space="preserve">empirical </w:t>
      </w:r>
      <w:r w:rsidRPr="004D46AC">
        <w:rPr>
          <w:sz w:val="22"/>
          <w:szCs w:val="22"/>
        </w:rPr>
        <w:t>network communit</w:t>
      </w:r>
      <w:r w:rsidRPr="004D46AC">
        <w:rPr>
          <w:rFonts w:hint="eastAsia"/>
          <w:sz w:val="22"/>
          <w:szCs w:val="22"/>
        </w:rPr>
        <w:t>ies of affective and psychotic syndromes</w:t>
      </w:r>
      <w:r w:rsidRPr="004D46AC">
        <w:rPr>
          <w:sz w:val="22"/>
          <w:szCs w:val="22"/>
        </w:rPr>
        <w:t xml:space="preserve"> in</w:t>
      </w:r>
      <w:r w:rsidRPr="004D46AC">
        <w:rPr>
          <w:rFonts w:hint="eastAsia"/>
          <w:sz w:val="22"/>
          <w:szCs w:val="22"/>
        </w:rPr>
        <w:t xml:space="preserve"> all patients and subgroups</w:t>
      </w:r>
    </w:p>
    <w:p w14:paraId="7A468EEE" w14:textId="77777777" w:rsidR="003D5CB6" w:rsidRPr="004D46AC" w:rsidRDefault="003D5CB6" w:rsidP="00B518F1">
      <w:pPr>
        <w:spacing w:line="360" w:lineRule="auto"/>
        <w:ind w:firstLine="0"/>
        <w:rPr>
          <w:rFonts w:eastAsiaTheme="minorEastAsia"/>
        </w:rPr>
      </w:pPr>
      <w:r w:rsidRPr="004D46AC">
        <w:rPr>
          <w:i/>
          <w:iCs/>
        </w:rPr>
        <w:t>N</w:t>
      </w:r>
      <w:r w:rsidRPr="004D46AC">
        <w:rPr>
          <w:rFonts w:hint="eastAsia"/>
          <w:i/>
          <w:iCs/>
        </w:rPr>
        <w:t>ote</w:t>
      </w:r>
      <w:r w:rsidRPr="004D46AC">
        <w:rPr>
          <w:rFonts w:hint="eastAsia"/>
        </w:rPr>
        <w:t>. Psychotic symptoms: P2 (Conceptual disorganisation), P3 (Hallucinations), P4 (Excitement), P5 (Grandiosity), P6 (Paranoia/</w:t>
      </w:r>
      <w:r w:rsidRPr="004D46AC">
        <w:t>suspiciousness</w:t>
      </w:r>
      <w:r w:rsidRPr="004D46AC">
        <w:rPr>
          <w:rFonts w:hint="eastAsia"/>
        </w:rPr>
        <w:t>), N1 (</w:t>
      </w:r>
      <w:r w:rsidRPr="004D46AC">
        <w:t>blunt</w:t>
      </w:r>
      <w:r w:rsidRPr="004D46AC">
        <w:rPr>
          <w:rFonts w:hint="eastAsia"/>
        </w:rPr>
        <w:t xml:space="preserve"> affect), RC (poor rapport and rigid conversation), WD (withdrawal), N5 (difficulty in abstract thinking), N7 (stereotyped thinking); Manic symptoms: ME (Mood/energy elevation), IA (Irritability/aggressive-disruptive behaviour), Y3 (Sexual interests), Y6 (Speed and amount of speech), Y7 (Language thought disorder), Y10 (Appearance), Y11 (Insight); Depressive symptoms: M2 (Reported sadness), M3 (Inner tension), M5 (Reduced appetite), M6 (Concentration difficulty), M7 (Retardation), M8 (Inability to feel), M9 (Pessimistic thoughts), M10 (Suicidal thoughts), SP (Sleep problems);</w:t>
      </w:r>
      <w:r w:rsidRPr="004D46AC">
        <w:t xml:space="preserve">The colouring of the nodes and dimensions was determined empirically. Each node is accompanied by a number indicating its stability to the corresponding dimension. The colour and number representing each dimension are </w:t>
      </w:r>
      <w:r w:rsidRPr="004D46AC">
        <w:lastRenderedPageBreak/>
        <w:t>displayed on the right side of the graph of communities</w:t>
      </w:r>
      <w:r w:rsidRPr="004D46AC">
        <w:rPr>
          <w:rFonts w:hint="eastAsia"/>
        </w:rPr>
        <w:t xml:space="preserve">; </w:t>
      </w:r>
      <w:r w:rsidRPr="004D46AC">
        <w:t xml:space="preserve">the number within each node indicates the structural consistency of the dimension. The Total Entropy Fit Index (TFEI) is presented in the </w:t>
      </w:r>
      <w:r w:rsidRPr="004D46AC">
        <w:rPr>
          <w:rFonts w:hint="eastAsia"/>
        </w:rPr>
        <w:t xml:space="preserve">right bottom </w:t>
      </w:r>
      <w:r w:rsidRPr="004D46AC">
        <w:t>of each graph of communities, with lower values suggesting a more accurate structure.</w:t>
      </w:r>
    </w:p>
    <w:p w14:paraId="7FE64694" w14:textId="77777777" w:rsidR="003D5CB6" w:rsidRPr="004D46AC" w:rsidRDefault="003D5CB6" w:rsidP="00B518F1">
      <w:pPr>
        <w:pStyle w:val="3"/>
      </w:pPr>
      <w:r w:rsidRPr="004D46AC">
        <w:t>Network Comparisons by Diagnostic Groups</w:t>
      </w:r>
    </w:p>
    <w:p w14:paraId="402EA15D" w14:textId="777F2B01" w:rsidR="003D5CB6" w:rsidRPr="004D46AC" w:rsidRDefault="003D5CB6" w:rsidP="00B518F1">
      <w:r w:rsidRPr="004D46AC">
        <w:t xml:space="preserve">Densities of the networks of PBD, SCA, and SCZ were .43, .42, and .35 respectively; the MAEWs (mean absolute edge weights) were .033, .033, and .022, see Figure </w:t>
      </w:r>
      <w:r w:rsidRPr="004D46AC">
        <w:rPr>
          <w:rFonts w:eastAsiaTheme="minorEastAsia" w:hint="eastAsia"/>
        </w:rPr>
        <w:t>C</w:t>
      </w:r>
      <w:r w:rsidR="000B4CBF" w:rsidRPr="004D46AC">
        <w:rPr>
          <w:rFonts w:eastAsiaTheme="minorEastAsia" w:hint="eastAsia"/>
        </w:rPr>
        <w:t xml:space="preserve"> 3</w:t>
      </w:r>
      <w:r w:rsidRPr="004D46AC">
        <w:t xml:space="preserve"> for the distribution of the weighted network densities. The networks for PBD (</w:t>
      </w:r>
      <w:r w:rsidRPr="004D46AC">
        <w:rPr>
          <w:i/>
          <w:iCs/>
        </w:rPr>
        <w:t>S</w:t>
      </w:r>
      <w:r w:rsidRPr="004D46AC">
        <w:rPr>
          <w:vertAlign w:val="subscript"/>
        </w:rPr>
        <w:t xml:space="preserve">0 </w:t>
      </w:r>
      <w:r w:rsidRPr="004D46AC">
        <w:t xml:space="preserve">= 2.20, </w:t>
      </w:r>
      <w:r w:rsidRPr="004D46AC">
        <w:rPr>
          <w:i/>
          <w:iCs/>
        </w:rPr>
        <w:t>p</w:t>
      </w:r>
      <w:r w:rsidRPr="004D46AC">
        <w:t xml:space="preserve"> &lt; .001) and SCA (</w:t>
      </w:r>
      <w:r w:rsidRPr="004D46AC">
        <w:rPr>
          <w:i/>
          <w:iCs/>
        </w:rPr>
        <w:t>S</w:t>
      </w:r>
      <w:r w:rsidRPr="004D46AC">
        <w:rPr>
          <w:vertAlign w:val="subscript"/>
        </w:rPr>
        <w:t>0</w:t>
      </w:r>
      <w:r w:rsidRPr="004D46AC">
        <w:t xml:space="preserve"> = 2.07, </w:t>
      </w:r>
      <w:r w:rsidRPr="004D46AC">
        <w:rPr>
          <w:i/>
          <w:iCs/>
        </w:rPr>
        <w:t>p</w:t>
      </w:r>
      <w:r w:rsidRPr="004D46AC">
        <w:t xml:space="preserve"> = .02) patients had a higher global connectivity than that for SCZ patients, but the difference between SCA and PBD patients was not significant (</w:t>
      </w:r>
      <w:r w:rsidRPr="004D46AC">
        <w:rPr>
          <w:i/>
          <w:iCs/>
        </w:rPr>
        <w:t>S</w:t>
      </w:r>
      <w:r w:rsidRPr="004D46AC">
        <w:rPr>
          <w:vertAlign w:val="subscript"/>
        </w:rPr>
        <w:t>0</w:t>
      </w:r>
      <w:r w:rsidRPr="004D46AC">
        <w:t xml:space="preserve"> = 0.12, </w:t>
      </w:r>
      <w:r w:rsidRPr="004D46AC">
        <w:rPr>
          <w:i/>
          <w:iCs/>
        </w:rPr>
        <w:t xml:space="preserve">p </w:t>
      </w:r>
      <w:r w:rsidRPr="004D46AC">
        <w:t>= .81). Omnibus test revealed non-significant differences between network structures of PBD and SCZ (</w:t>
      </w:r>
      <w:r w:rsidRPr="004D46AC">
        <w:rPr>
          <w:i/>
          <w:iCs/>
        </w:rPr>
        <w:t xml:space="preserve">M </w:t>
      </w:r>
      <w:r w:rsidRPr="004D46AC">
        <w:t xml:space="preserve">= 0.13, </w:t>
      </w:r>
      <w:r w:rsidRPr="004D46AC">
        <w:rPr>
          <w:i/>
          <w:iCs/>
        </w:rPr>
        <w:t>p</w:t>
      </w:r>
      <w:r w:rsidRPr="004D46AC">
        <w:t xml:space="preserve"> = .47), SCA and SCZ (</w:t>
      </w:r>
      <w:r w:rsidRPr="004D46AC">
        <w:rPr>
          <w:i/>
          <w:iCs/>
        </w:rPr>
        <w:t>M</w:t>
      </w:r>
      <w:r w:rsidRPr="004D46AC">
        <w:t xml:space="preserve"> = 0.17, </w:t>
      </w:r>
      <w:r w:rsidRPr="004D46AC">
        <w:rPr>
          <w:i/>
          <w:iCs/>
        </w:rPr>
        <w:t xml:space="preserve">p </w:t>
      </w:r>
      <w:r w:rsidRPr="004D46AC">
        <w:t>= .06), and between those for PBD and SCA (</w:t>
      </w:r>
      <w:r w:rsidRPr="004D46AC">
        <w:rPr>
          <w:i/>
          <w:iCs/>
        </w:rPr>
        <w:t>M</w:t>
      </w:r>
      <w:r w:rsidRPr="004D46AC">
        <w:t xml:space="preserve"> = 0.18, </w:t>
      </w:r>
      <w:r w:rsidRPr="004D46AC">
        <w:rPr>
          <w:i/>
          <w:iCs/>
        </w:rPr>
        <w:t>p</w:t>
      </w:r>
      <w:r w:rsidRPr="004D46AC">
        <w:t xml:space="preserve"> = .07). Similarly, the weight matrixes of the edges were highly correlated across all compared networks: PBD and SCA (</w:t>
      </w:r>
      <w:r w:rsidRPr="004D46AC">
        <w:rPr>
          <w:i/>
          <w:iCs/>
        </w:rPr>
        <w:t>r</w:t>
      </w:r>
      <w:r w:rsidRPr="004D46AC">
        <w:rPr>
          <w:rFonts w:eastAsiaTheme="minorEastAsia" w:hint="eastAsia"/>
          <w:i/>
          <w:iCs/>
        </w:rPr>
        <w:t xml:space="preserve"> </w:t>
      </w:r>
      <w:r w:rsidRPr="004D46AC">
        <w:t>=</w:t>
      </w:r>
      <w:r w:rsidRPr="004D46AC">
        <w:rPr>
          <w:rFonts w:eastAsiaTheme="minorEastAsia" w:hint="eastAsia"/>
        </w:rPr>
        <w:t xml:space="preserve"> </w:t>
      </w:r>
      <w:r w:rsidRPr="004D46AC">
        <w:t>.85), PBD and SCZ (</w:t>
      </w:r>
      <w:r w:rsidRPr="004D46AC">
        <w:rPr>
          <w:i/>
          <w:iCs/>
        </w:rPr>
        <w:t>r</w:t>
      </w:r>
      <w:r w:rsidRPr="004D46AC">
        <w:rPr>
          <w:rFonts w:eastAsiaTheme="minorEastAsia" w:hint="eastAsia"/>
          <w:i/>
          <w:iCs/>
        </w:rPr>
        <w:t xml:space="preserve"> </w:t>
      </w:r>
      <w:r w:rsidRPr="004D46AC">
        <w:t>=</w:t>
      </w:r>
      <w:r w:rsidRPr="004D46AC">
        <w:rPr>
          <w:rFonts w:eastAsiaTheme="minorEastAsia" w:hint="eastAsia"/>
        </w:rPr>
        <w:t xml:space="preserve"> </w:t>
      </w:r>
      <w:r w:rsidRPr="004D46AC">
        <w:t>.85), as well as SCA and SCZ (</w:t>
      </w:r>
      <w:r w:rsidRPr="004D46AC">
        <w:rPr>
          <w:i/>
          <w:iCs/>
        </w:rPr>
        <w:t>r</w:t>
      </w:r>
      <w:r w:rsidRPr="004D46AC">
        <w:rPr>
          <w:rFonts w:eastAsiaTheme="minorEastAsia" w:hint="eastAsia"/>
          <w:i/>
          <w:iCs/>
        </w:rPr>
        <w:t xml:space="preserve"> </w:t>
      </w:r>
      <w:r w:rsidRPr="004D46AC">
        <w:t>=</w:t>
      </w:r>
      <w:r w:rsidRPr="004D46AC">
        <w:rPr>
          <w:rFonts w:eastAsiaTheme="minorEastAsia" w:hint="eastAsia"/>
        </w:rPr>
        <w:t xml:space="preserve"> </w:t>
      </w:r>
      <w:r w:rsidRPr="004D46AC">
        <w:t>.83).</w:t>
      </w:r>
    </w:p>
    <w:p w14:paraId="57F14187" w14:textId="7BFD3AEA" w:rsidR="003D5CB6" w:rsidRPr="004D46AC" w:rsidRDefault="003D5CB6" w:rsidP="00B518F1">
      <w:r w:rsidRPr="004D46AC">
        <w:t xml:space="preserve">Regardless of the nonsignificant findings yielded by omnibus tests, an exploratory inspection of the edge variability network plotted in </w:t>
      </w:r>
      <w:r w:rsidRPr="004D46AC">
        <w:rPr>
          <w:rFonts w:eastAsiaTheme="minorEastAsia" w:hint="eastAsia"/>
        </w:rPr>
        <w:t>Figure</w:t>
      </w:r>
      <w:r w:rsidRPr="004D46AC">
        <w:t xml:space="preserve"> </w:t>
      </w:r>
      <w:r w:rsidRPr="004D46AC">
        <w:rPr>
          <w:rFonts w:eastAsiaTheme="minorEastAsia" w:hint="eastAsia"/>
        </w:rPr>
        <w:t>C</w:t>
      </w:r>
      <w:r w:rsidR="000B4CBF" w:rsidRPr="004D46AC">
        <w:rPr>
          <w:rFonts w:eastAsiaTheme="minorEastAsia" w:hint="eastAsia"/>
        </w:rPr>
        <w:t xml:space="preserve"> </w:t>
      </w:r>
      <w:r w:rsidRPr="004D46AC">
        <w:t>4 suggested that the edges P2 (</w:t>
      </w:r>
      <w:r w:rsidRPr="004D46AC">
        <w:rPr>
          <w:rFonts w:hint="eastAsia"/>
        </w:rPr>
        <w:t>C</w:t>
      </w:r>
      <w:r w:rsidRPr="004D46AC">
        <w:t>onceptual disorganisation; PANSS) - Y7 (</w:t>
      </w:r>
      <w:r w:rsidRPr="004D46AC">
        <w:rPr>
          <w:rFonts w:hint="eastAsia"/>
        </w:rPr>
        <w:t>T</w:t>
      </w:r>
      <w:r w:rsidRPr="004D46AC">
        <w:t>hought disorder; YMRS), M2 (</w:t>
      </w:r>
      <w:r w:rsidRPr="004D46AC">
        <w:rPr>
          <w:rFonts w:hint="eastAsia"/>
        </w:rPr>
        <w:t>R</w:t>
      </w:r>
      <w:r w:rsidRPr="004D46AC">
        <w:t>eported sadness; MADRS) - M9 (</w:t>
      </w:r>
      <w:r w:rsidRPr="004D46AC">
        <w:rPr>
          <w:rFonts w:hint="eastAsia"/>
        </w:rPr>
        <w:t>P</w:t>
      </w:r>
      <w:r w:rsidRPr="004D46AC">
        <w:t>essimistic thoughts; MADRS), and M8 (</w:t>
      </w:r>
      <w:r w:rsidRPr="004D46AC">
        <w:rPr>
          <w:rFonts w:hint="eastAsia"/>
        </w:rPr>
        <w:t>I</w:t>
      </w:r>
      <w:r w:rsidRPr="004D46AC">
        <w:t>nability to feel; MADRS) - M9 (</w:t>
      </w:r>
      <w:r w:rsidRPr="004D46AC">
        <w:rPr>
          <w:rFonts w:hint="eastAsia"/>
        </w:rPr>
        <w:t>P</w:t>
      </w:r>
      <w:r w:rsidRPr="004D46AC">
        <w:t>essimistic thoughts; MADRS) exhibited high variabilities in weights across different networks; these edges are theoretically interesting for reasons detailed in the discussion. Therefore, post hoc analyses were conducted to compare the three edges across networks. The permutation test showed that edge weights of P2 - Y7 were higher in SCZ patients than that of SCA (</w:t>
      </w:r>
      <w:r w:rsidRPr="004D46AC">
        <w:rPr>
          <w:i/>
          <w:iCs/>
        </w:rPr>
        <w:t>E</w:t>
      </w:r>
      <w:r w:rsidRPr="004D46AC">
        <w:t xml:space="preserve"> = </w:t>
      </w:r>
      <w:r w:rsidRPr="004D46AC">
        <w:rPr>
          <w:rFonts w:eastAsiaTheme="minorEastAsia" w:hint="eastAsia"/>
        </w:rPr>
        <w:t>0</w:t>
      </w:r>
      <w:r w:rsidRPr="004D46AC">
        <w:t xml:space="preserve">.13, </w:t>
      </w:r>
      <w:proofErr w:type="spellStart"/>
      <w:r w:rsidRPr="004D46AC">
        <w:rPr>
          <w:i/>
          <w:iCs/>
        </w:rPr>
        <w:t>p</w:t>
      </w:r>
      <w:r w:rsidRPr="004D46AC">
        <w:rPr>
          <w:vertAlign w:val="subscript"/>
        </w:rPr>
        <w:t>adjusted</w:t>
      </w:r>
      <w:proofErr w:type="spellEnd"/>
      <w:r w:rsidRPr="004D46AC">
        <w:t xml:space="preserve"> &lt; .01) and PBD (</w:t>
      </w:r>
      <w:r w:rsidRPr="004D46AC">
        <w:rPr>
          <w:i/>
          <w:iCs/>
        </w:rPr>
        <w:t xml:space="preserve">E </w:t>
      </w:r>
      <w:r w:rsidRPr="004D46AC">
        <w:t xml:space="preserve">= </w:t>
      </w:r>
      <w:r w:rsidRPr="004D46AC">
        <w:rPr>
          <w:rFonts w:eastAsiaTheme="minorEastAsia" w:hint="eastAsia"/>
        </w:rPr>
        <w:t>0</w:t>
      </w:r>
      <w:r w:rsidRPr="004D46AC">
        <w:t xml:space="preserve">.13, </w:t>
      </w:r>
      <w:proofErr w:type="spellStart"/>
      <w:r w:rsidRPr="004D46AC">
        <w:rPr>
          <w:i/>
          <w:iCs/>
        </w:rPr>
        <w:t>p</w:t>
      </w:r>
      <w:r w:rsidRPr="004D46AC">
        <w:rPr>
          <w:vertAlign w:val="subscript"/>
        </w:rPr>
        <w:t>adjusted</w:t>
      </w:r>
      <w:proofErr w:type="spellEnd"/>
      <w:r w:rsidRPr="004D46AC">
        <w:rPr>
          <w:i/>
          <w:iCs/>
        </w:rPr>
        <w:t xml:space="preserve"> </w:t>
      </w:r>
      <w:r w:rsidRPr="004D46AC">
        <w:t>= .02) patients.</w:t>
      </w:r>
      <w:r w:rsidRPr="004D46AC">
        <w:rPr>
          <w:rFonts w:hint="eastAsia"/>
        </w:rPr>
        <w:t xml:space="preserve"> </w:t>
      </w:r>
      <w:r w:rsidRPr="004D46AC">
        <w:t>The weights of M2 - M9 were lower in the SCA network than the PBD network (</w:t>
      </w:r>
      <w:r w:rsidRPr="004D46AC">
        <w:rPr>
          <w:i/>
          <w:iCs/>
        </w:rPr>
        <w:t>E</w:t>
      </w:r>
      <w:r w:rsidRPr="004D46AC">
        <w:t xml:space="preserve"> = </w:t>
      </w:r>
      <w:r w:rsidRPr="004D46AC">
        <w:rPr>
          <w:rFonts w:eastAsiaTheme="minorEastAsia" w:hint="eastAsia"/>
        </w:rPr>
        <w:t>0</w:t>
      </w:r>
      <w:r w:rsidRPr="004D46AC">
        <w:t xml:space="preserve">.18, </w:t>
      </w:r>
      <w:proofErr w:type="spellStart"/>
      <w:r w:rsidRPr="004D46AC">
        <w:rPr>
          <w:i/>
          <w:iCs/>
        </w:rPr>
        <w:t>p</w:t>
      </w:r>
      <w:r w:rsidRPr="004D46AC">
        <w:rPr>
          <w:vertAlign w:val="subscript"/>
        </w:rPr>
        <w:t>adjusted</w:t>
      </w:r>
      <w:proofErr w:type="spellEnd"/>
      <w:r w:rsidRPr="004D46AC">
        <w:rPr>
          <w:vertAlign w:val="subscript"/>
        </w:rPr>
        <w:t xml:space="preserve"> </w:t>
      </w:r>
      <w:r w:rsidRPr="004D46AC">
        <w:t>&lt;.01), and the weights of M8 - M9 were lower in the SCZ network than SCA network (</w:t>
      </w:r>
      <w:r w:rsidRPr="004D46AC">
        <w:rPr>
          <w:i/>
          <w:iCs/>
        </w:rPr>
        <w:t>E</w:t>
      </w:r>
      <w:r w:rsidRPr="004D46AC">
        <w:t xml:space="preserve"> = </w:t>
      </w:r>
      <w:r w:rsidRPr="004D46AC">
        <w:rPr>
          <w:rFonts w:eastAsiaTheme="minorEastAsia" w:hint="eastAsia"/>
        </w:rPr>
        <w:t>0</w:t>
      </w:r>
      <w:r w:rsidRPr="004D46AC">
        <w:t xml:space="preserve">.17, </w:t>
      </w:r>
      <w:proofErr w:type="spellStart"/>
      <w:r w:rsidRPr="004D46AC">
        <w:rPr>
          <w:i/>
          <w:iCs/>
        </w:rPr>
        <w:t>p</w:t>
      </w:r>
      <w:r w:rsidRPr="004D46AC">
        <w:rPr>
          <w:vertAlign w:val="subscript"/>
        </w:rPr>
        <w:t>adjusted</w:t>
      </w:r>
      <w:proofErr w:type="spellEnd"/>
      <w:r w:rsidRPr="004D46AC">
        <w:rPr>
          <w:rFonts w:eastAsiaTheme="minorEastAsia" w:hint="eastAsia"/>
          <w:vertAlign w:val="subscript"/>
        </w:rPr>
        <w:t xml:space="preserve"> </w:t>
      </w:r>
      <w:r w:rsidRPr="004D46AC">
        <w:t xml:space="preserve">&lt; .01). The weights of the two edges between depressive symptoms were not statistically different between networks of SCZ and PBD patients, see Table </w:t>
      </w:r>
      <w:r w:rsidRPr="004D46AC">
        <w:rPr>
          <w:rFonts w:eastAsiaTheme="minorEastAsia" w:hint="eastAsia"/>
        </w:rPr>
        <w:t>3.</w:t>
      </w:r>
      <w:r w:rsidRPr="004D46AC">
        <w:t xml:space="preserve">2 and Figure </w:t>
      </w:r>
      <w:r w:rsidRPr="004D46AC">
        <w:rPr>
          <w:rFonts w:eastAsiaTheme="minorEastAsia" w:hint="eastAsia"/>
        </w:rPr>
        <w:t>C</w:t>
      </w:r>
      <w:r w:rsidR="000B4CBF" w:rsidRPr="004D46AC">
        <w:rPr>
          <w:rFonts w:eastAsiaTheme="minorEastAsia" w:hint="eastAsia"/>
        </w:rPr>
        <w:t xml:space="preserve"> 5</w:t>
      </w:r>
      <w:r w:rsidRPr="004D46AC">
        <w:t xml:space="preserve"> for details.</w:t>
      </w:r>
    </w:p>
    <w:p w14:paraId="5D6BC297" w14:textId="77777777" w:rsidR="003D5CB6" w:rsidRPr="004D46AC" w:rsidRDefault="003D5CB6" w:rsidP="00B518F1">
      <w:pPr>
        <w:ind w:firstLine="0"/>
        <w:rPr>
          <w:rFonts w:eastAsiaTheme="minorEastAsia"/>
          <w:sz w:val="24"/>
          <w:szCs w:val="24"/>
        </w:rPr>
      </w:pPr>
    </w:p>
    <w:p w14:paraId="1EF9020F" w14:textId="709B50EB" w:rsidR="005B3793" w:rsidRPr="004D46AC" w:rsidRDefault="00515479" w:rsidP="005B3793">
      <w:pPr>
        <w:pStyle w:val="afff0"/>
        <w:spacing w:after="0" w:line="360" w:lineRule="auto"/>
        <w:ind w:firstLine="0"/>
        <w:rPr>
          <w:rFonts w:eastAsiaTheme="minorEastAsia"/>
          <w:b/>
          <w:bCs/>
          <w:i w:val="0"/>
          <w:iCs w:val="0"/>
          <w:color w:val="auto"/>
          <w:sz w:val="22"/>
          <w:szCs w:val="22"/>
        </w:rPr>
      </w:pPr>
      <w:bookmarkStart w:id="131" w:name="_Toc219883860"/>
      <w:bookmarkStart w:id="132" w:name="_Toc219870612"/>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3</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bookmarkEnd w:id="131"/>
      <w:r w:rsidR="004725A0" w:rsidRPr="004D46AC">
        <w:rPr>
          <w:b/>
          <w:bCs/>
          <w:i w:val="0"/>
          <w:iCs w:val="0"/>
          <w:color w:val="auto"/>
          <w:sz w:val="22"/>
          <w:szCs w:val="22"/>
        </w:rPr>
        <w:fldChar w:fldCharType="end"/>
      </w:r>
      <w:bookmarkEnd w:id="132"/>
    </w:p>
    <w:p w14:paraId="62AB4EEF" w14:textId="11DB23CC" w:rsidR="003D5CB6" w:rsidRPr="004D46AC" w:rsidRDefault="003D5CB6" w:rsidP="005B3793">
      <w:pPr>
        <w:pStyle w:val="afff0"/>
        <w:spacing w:after="0" w:line="360" w:lineRule="auto"/>
        <w:ind w:firstLine="0"/>
        <w:rPr>
          <w:rFonts w:eastAsiaTheme="minorEastAsia"/>
          <w:b/>
          <w:bCs/>
          <w:i w:val="0"/>
          <w:iCs w:val="0"/>
          <w:color w:val="auto"/>
          <w:sz w:val="22"/>
          <w:szCs w:val="22"/>
        </w:rPr>
      </w:pPr>
      <w:r w:rsidRPr="004D46AC">
        <w:rPr>
          <w:color w:val="auto"/>
          <w:sz w:val="22"/>
          <w:szCs w:val="22"/>
        </w:rPr>
        <w:t>The weights of three varied edges and the statistics across networks</w:t>
      </w:r>
    </w:p>
    <w:tbl>
      <w:tblPr>
        <w:tblStyle w:val="afc"/>
        <w:tblW w:w="0" w:type="auto"/>
        <w:tblLook w:val="04A0" w:firstRow="1" w:lastRow="0" w:firstColumn="1" w:lastColumn="0" w:noHBand="0" w:noVBand="1"/>
      </w:tblPr>
      <w:tblGrid>
        <w:gridCol w:w="1787"/>
        <w:gridCol w:w="1787"/>
        <w:gridCol w:w="1787"/>
        <w:gridCol w:w="1787"/>
        <w:gridCol w:w="1787"/>
      </w:tblGrid>
      <w:tr w:rsidR="003D5CB6" w:rsidRPr="004D46AC" w14:paraId="7B5A8078" w14:textId="77777777" w:rsidTr="00B518F1">
        <w:trPr>
          <w:trHeight w:val="293"/>
        </w:trPr>
        <w:tc>
          <w:tcPr>
            <w:tcW w:w="1787" w:type="dxa"/>
            <w:vAlign w:val="center"/>
          </w:tcPr>
          <w:p w14:paraId="6100223B" w14:textId="77777777" w:rsidR="003D5CB6" w:rsidRPr="004D46AC" w:rsidRDefault="003D5CB6" w:rsidP="00B518F1">
            <w:pPr>
              <w:spacing w:line="360" w:lineRule="auto"/>
              <w:ind w:firstLine="0"/>
              <w:rPr>
                <w:szCs w:val="21"/>
              </w:rPr>
            </w:pPr>
            <w:r w:rsidRPr="004D46AC">
              <w:rPr>
                <w:rFonts w:eastAsia="DengXian"/>
                <w:color w:val="000000"/>
                <w:szCs w:val="21"/>
              </w:rPr>
              <w:t>Networks</w:t>
            </w:r>
          </w:p>
        </w:tc>
        <w:tc>
          <w:tcPr>
            <w:tcW w:w="1787" w:type="dxa"/>
            <w:vAlign w:val="center"/>
          </w:tcPr>
          <w:p w14:paraId="5D2E117D" w14:textId="77777777" w:rsidR="003D5CB6" w:rsidRPr="004D46AC" w:rsidRDefault="003D5CB6" w:rsidP="00B518F1">
            <w:pPr>
              <w:spacing w:line="360" w:lineRule="auto"/>
              <w:ind w:firstLine="0"/>
              <w:rPr>
                <w:szCs w:val="21"/>
              </w:rPr>
            </w:pPr>
            <w:r w:rsidRPr="004D46AC">
              <w:rPr>
                <w:rFonts w:eastAsia="DengXian"/>
                <w:color w:val="000000"/>
                <w:szCs w:val="21"/>
              </w:rPr>
              <w:t>PBD</w:t>
            </w:r>
          </w:p>
        </w:tc>
        <w:tc>
          <w:tcPr>
            <w:tcW w:w="1787" w:type="dxa"/>
            <w:vAlign w:val="center"/>
          </w:tcPr>
          <w:p w14:paraId="4B61E35E" w14:textId="77777777" w:rsidR="003D5CB6" w:rsidRPr="004D46AC" w:rsidRDefault="003D5CB6" w:rsidP="00B518F1">
            <w:pPr>
              <w:spacing w:line="360" w:lineRule="auto"/>
              <w:ind w:firstLine="0"/>
              <w:rPr>
                <w:szCs w:val="21"/>
              </w:rPr>
            </w:pPr>
            <w:r w:rsidRPr="004D46AC">
              <w:rPr>
                <w:rFonts w:eastAsia="DengXian"/>
                <w:color w:val="000000"/>
                <w:szCs w:val="21"/>
              </w:rPr>
              <w:t>SCA</w:t>
            </w:r>
          </w:p>
        </w:tc>
        <w:tc>
          <w:tcPr>
            <w:tcW w:w="1787" w:type="dxa"/>
            <w:vAlign w:val="center"/>
          </w:tcPr>
          <w:p w14:paraId="055C69C4" w14:textId="77777777" w:rsidR="003D5CB6" w:rsidRPr="004D46AC" w:rsidRDefault="003D5CB6" w:rsidP="00B518F1">
            <w:pPr>
              <w:spacing w:line="360" w:lineRule="auto"/>
              <w:ind w:firstLine="0"/>
              <w:rPr>
                <w:szCs w:val="21"/>
              </w:rPr>
            </w:pPr>
            <w:r w:rsidRPr="004D46AC">
              <w:rPr>
                <w:rFonts w:eastAsia="DengXian"/>
                <w:color w:val="000000"/>
                <w:szCs w:val="21"/>
              </w:rPr>
              <w:t>SCZ</w:t>
            </w:r>
          </w:p>
        </w:tc>
        <w:tc>
          <w:tcPr>
            <w:tcW w:w="1787" w:type="dxa"/>
            <w:vAlign w:val="bottom"/>
          </w:tcPr>
          <w:p w14:paraId="455224CC" w14:textId="77777777" w:rsidR="003D5CB6" w:rsidRPr="004D46AC" w:rsidRDefault="003D5CB6" w:rsidP="00B518F1">
            <w:pPr>
              <w:spacing w:line="360" w:lineRule="auto"/>
              <w:ind w:firstLine="0"/>
              <w:rPr>
                <w:szCs w:val="21"/>
              </w:rPr>
            </w:pPr>
            <w:r w:rsidRPr="004D46AC">
              <w:rPr>
                <w:rFonts w:eastAsia="DengXian"/>
                <w:color w:val="000000"/>
              </w:rPr>
              <w:t>direction</w:t>
            </w:r>
          </w:p>
        </w:tc>
      </w:tr>
      <w:tr w:rsidR="003D5CB6" w:rsidRPr="004D46AC" w14:paraId="41100F6D" w14:textId="77777777" w:rsidTr="00B518F1">
        <w:trPr>
          <w:trHeight w:val="293"/>
        </w:trPr>
        <w:tc>
          <w:tcPr>
            <w:tcW w:w="1787" w:type="dxa"/>
            <w:vAlign w:val="center"/>
          </w:tcPr>
          <w:p w14:paraId="59FF7E0B" w14:textId="77777777" w:rsidR="003D5CB6" w:rsidRPr="004D46AC" w:rsidRDefault="003D5CB6" w:rsidP="00B518F1">
            <w:pPr>
              <w:spacing w:line="360" w:lineRule="auto"/>
              <w:ind w:firstLine="0"/>
              <w:rPr>
                <w:szCs w:val="21"/>
              </w:rPr>
            </w:pPr>
            <w:r w:rsidRPr="004D46AC">
              <w:rPr>
                <w:rFonts w:eastAsia="DengXian"/>
                <w:color w:val="000000"/>
                <w:szCs w:val="21"/>
              </w:rPr>
              <w:t>P2-Y7</w:t>
            </w:r>
          </w:p>
        </w:tc>
        <w:tc>
          <w:tcPr>
            <w:tcW w:w="1787" w:type="dxa"/>
            <w:vAlign w:val="center"/>
          </w:tcPr>
          <w:p w14:paraId="39934EFA" w14:textId="77777777" w:rsidR="003D5CB6" w:rsidRPr="004D46AC" w:rsidRDefault="003D5CB6" w:rsidP="00B518F1">
            <w:pPr>
              <w:spacing w:line="360" w:lineRule="auto"/>
              <w:ind w:firstLine="0"/>
              <w:rPr>
                <w:szCs w:val="21"/>
              </w:rPr>
            </w:pPr>
            <w:r w:rsidRPr="004D46AC">
              <w:rPr>
                <w:rFonts w:eastAsia="DengXian"/>
                <w:color w:val="000000"/>
                <w:szCs w:val="21"/>
              </w:rPr>
              <w:t>0.03</w:t>
            </w:r>
          </w:p>
        </w:tc>
        <w:tc>
          <w:tcPr>
            <w:tcW w:w="1787" w:type="dxa"/>
            <w:vAlign w:val="center"/>
          </w:tcPr>
          <w:p w14:paraId="6349A4A2" w14:textId="77777777" w:rsidR="003D5CB6" w:rsidRPr="004D46AC" w:rsidRDefault="003D5CB6" w:rsidP="00B518F1">
            <w:pPr>
              <w:spacing w:line="360" w:lineRule="auto"/>
              <w:ind w:firstLine="0"/>
              <w:rPr>
                <w:szCs w:val="21"/>
              </w:rPr>
            </w:pPr>
            <w:r w:rsidRPr="004D46AC">
              <w:rPr>
                <w:rFonts w:eastAsia="DengXian"/>
                <w:color w:val="000000"/>
                <w:szCs w:val="21"/>
              </w:rPr>
              <w:t>0.03</w:t>
            </w:r>
          </w:p>
        </w:tc>
        <w:tc>
          <w:tcPr>
            <w:tcW w:w="1787" w:type="dxa"/>
            <w:vAlign w:val="center"/>
          </w:tcPr>
          <w:p w14:paraId="1B3DD690" w14:textId="77777777" w:rsidR="003D5CB6" w:rsidRPr="004D46AC" w:rsidRDefault="003D5CB6" w:rsidP="00B518F1">
            <w:pPr>
              <w:spacing w:line="360" w:lineRule="auto"/>
              <w:ind w:firstLine="0"/>
              <w:rPr>
                <w:szCs w:val="21"/>
              </w:rPr>
            </w:pPr>
            <w:r w:rsidRPr="004D46AC">
              <w:rPr>
                <w:rFonts w:eastAsia="DengXian"/>
                <w:color w:val="000000"/>
                <w:szCs w:val="21"/>
              </w:rPr>
              <w:t>0.16</w:t>
            </w:r>
          </w:p>
        </w:tc>
        <w:tc>
          <w:tcPr>
            <w:tcW w:w="1787" w:type="dxa"/>
            <w:vAlign w:val="bottom"/>
          </w:tcPr>
          <w:p w14:paraId="2E5D0185" w14:textId="77777777" w:rsidR="003D5CB6" w:rsidRPr="004D46AC" w:rsidRDefault="003D5CB6" w:rsidP="00B518F1">
            <w:pPr>
              <w:spacing w:line="360" w:lineRule="auto"/>
              <w:ind w:firstLine="0"/>
              <w:rPr>
                <w:b/>
                <w:bCs/>
                <w:i/>
                <w:iCs/>
                <w:szCs w:val="21"/>
              </w:rPr>
            </w:pPr>
            <w:r w:rsidRPr="004D46AC">
              <w:rPr>
                <w:rFonts w:eastAsia="DengXian"/>
                <w:color w:val="000000"/>
              </w:rPr>
              <w:t>SCZ&gt;SCA**; SCZ&gt;PBD*</w:t>
            </w:r>
          </w:p>
        </w:tc>
      </w:tr>
      <w:tr w:rsidR="003D5CB6" w:rsidRPr="004D46AC" w14:paraId="416D3003" w14:textId="77777777" w:rsidTr="00B518F1">
        <w:trPr>
          <w:trHeight w:val="293"/>
        </w:trPr>
        <w:tc>
          <w:tcPr>
            <w:tcW w:w="1787" w:type="dxa"/>
            <w:vAlign w:val="center"/>
          </w:tcPr>
          <w:p w14:paraId="202CA6B6" w14:textId="77777777" w:rsidR="003D5CB6" w:rsidRPr="004D46AC" w:rsidRDefault="003D5CB6" w:rsidP="00B518F1">
            <w:pPr>
              <w:spacing w:line="360" w:lineRule="auto"/>
              <w:ind w:firstLine="0"/>
              <w:rPr>
                <w:szCs w:val="21"/>
              </w:rPr>
            </w:pPr>
            <w:r w:rsidRPr="004D46AC">
              <w:rPr>
                <w:rFonts w:eastAsia="DengXian"/>
                <w:color w:val="000000"/>
                <w:szCs w:val="21"/>
              </w:rPr>
              <w:t>M2-M9</w:t>
            </w:r>
          </w:p>
        </w:tc>
        <w:tc>
          <w:tcPr>
            <w:tcW w:w="1787" w:type="dxa"/>
            <w:vAlign w:val="center"/>
          </w:tcPr>
          <w:p w14:paraId="6C044CFC" w14:textId="77777777" w:rsidR="003D5CB6" w:rsidRPr="004D46AC" w:rsidRDefault="003D5CB6" w:rsidP="00B518F1">
            <w:pPr>
              <w:spacing w:line="360" w:lineRule="auto"/>
              <w:ind w:firstLine="0"/>
              <w:rPr>
                <w:szCs w:val="21"/>
              </w:rPr>
            </w:pPr>
            <w:r w:rsidRPr="004D46AC">
              <w:rPr>
                <w:rFonts w:eastAsia="DengXian"/>
                <w:color w:val="000000"/>
                <w:szCs w:val="21"/>
              </w:rPr>
              <w:t>0.22</w:t>
            </w:r>
          </w:p>
        </w:tc>
        <w:tc>
          <w:tcPr>
            <w:tcW w:w="1787" w:type="dxa"/>
            <w:vAlign w:val="center"/>
          </w:tcPr>
          <w:p w14:paraId="7C0A5A93" w14:textId="77777777" w:rsidR="003D5CB6" w:rsidRPr="004D46AC" w:rsidRDefault="003D5CB6" w:rsidP="00B518F1">
            <w:pPr>
              <w:spacing w:line="360" w:lineRule="auto"/>
              <w:ind w:firstLine="0"/>
              <w:rPr>
                <w:szCs w:val="21"/>
              </w:rPr>
            </w:pPr>
            <w:r w:rsidRPr="004D46AC">
              <w:rPr>
                <w:rFonts w:eastAsia="DengXian"/>
                <w:color w:val="000000"/>
                <w:szCs w:val="21"/>
              </w:rPr>
              <w:t>0.04</w:t>
            </w:r>
          </w:p>
        </w:tc>
        <w:tc>
          <w:tcPr>
            <w:tcW w:w="1787" w:type="dxa"/>
            <w:vAlign w:val="center"/>
          </w:tcPr>
          <w:p w14:paraId="3441C37F" w14:textId="77777777" w:rsidR="003D5CB6" w:rsidRPr="004D46AC" w:rsidRDefault="003D5CB6" w:rsidP="00B518F1">
            <w:pPr>
              <w:spacing w:line="360" w:lineRule="auto"/>
              <w:ind w:firstLine="0"/>
              <w:rPr>
                <w:szCs w:val="21"/>
              </w:rPr>
            </w:pPr>
            <w:r w:rsidRPr="004D46AC">
              <w:rPr>
                <w:rFonts w:eastAsia="DengXian"/>
                <w:color w:val="000000"/>
                <w:szCs w:val="21"/>
              </w:rPr>
              <w:t>0.14</w:t>
            </w:r>
          </w:p>
        </w:tc>
        <w:tc>
          <w:tcPr>
            <w:tcW w:w="1787" w:type="dxa"/>
            <w:vAlign w:val="bottom"/>
          </w:tcPr>
          <w:p w14:paraId="59F5AFFC" w14:textId="77777777" w:rsidR="003D5CB6" w:rsidRPr="004D46AC" w:rsidRDefault="003D5CB6" w:rsidP="00B518F1">
            <w:pPr>
              <w:spacing w:line="360" w:lineRule="auto"/>
              <w:ind w:firstLine="0"/>
              <w:rPr>
                <w:b/>
                <w:bCs/>
                <w:i/>
                <w:iCs/>
                <w:szCs w:val="21"/>
              </w:rPr>
            </w:pPr>
            <w:r w:rsidRPr="004D46AC">
              <w:rPr>
                <w:rFonts w:eastAsia="DengXian"/>
                <w:color w:val="000000"/>
              </w:rPr>
              <w:t>PBD&gt;SCA**</w:t>
            </w:r>
          </w:p>
        </w:tc>
      </w:tr>
      <w:tr w:rsidR="003D5CB6" w:rsidRPr="004D46AC" w14:paraId="66D47124" w14:textId="77777777" w:rsidTr="00B518F1">
        <w:trPr>
          <w:trHeight w:val="286"/>
        </w:trPr>
        <w:tc>
          <w:tcPr>
            <w:tcW w:w="1787" w:type="dxa"/>
            <w:vAlign w:val="center"/>
          </w:tcPr>
          <w:p w14:paraId="14D7B849" w14:textId="77777777" w:rsidR="003D5CB6" w:rsidRPr="004D46AC" w:rsidRDefault="003D5CB6" w:rsidP="00B518F1">
            <w:pPr>
              <w:spacing w:line="360" w:lineRule="auto"/>
              <w:ind w:firstLine="0"/>
              <w:rPr>
                <w:szCs w:val="21"/>
              </w:rPr>
            </w:pPr>
            <w:r w:rsidRPr="004D46AC">
              <w:rPr>
                <w:rFonts w:eastAsia="DengXian"/>
                <w:color w:val="000000"/>
                <w:szCs w:val="21"/>
              </w:rPr>
              <w:t>M8-M9</w:t>
            </w:r>
          </w:p>
        </w:tc>
        <w:tc>
          <w:tcPr>
            <w:tcW w:w="1787" w:type="dxa"/>
            <w:vAlign w:val="center"/>
          </w:tcPr>
          <w:p w14:paraId="32C59027" w14:textId="77777777" w:rsidR="003D5CB6" w:rsidRPr="004D46AC" w:rsidRDefault="003D5CB6" w:rsidP="00B518F1">
            <w:pPr>
              <w:spacing w:line="360" w:lineRule="auto"/>
              <w:ind w:firstLine="0"/>
              <w:rPr>
                <w:szCs w:val="21"/>
              </w:rPr>
            </w:pPr>
            <w:r w:rsidRPr="004D46AC">
              <w:rPr>
                <w:rFonts w:eastAsia="DengXian"/>
                <w:color w:val="000000"/>
                <w:szCs w:val="21"/>
              </w:rPr>
              <w:t>0.12</w:t>
            </w:r>
          </w:p>
        </w:tc>
        <w:tc>
          <w:tcPr>
            <w:tcW w:w="1787" w:type="dxa"/>
            <w:vAlign w:val="center"/>
          </w:tcPr>
          <w:p w14:paraId="6037F485" w14:textId="77777777" w:rsidR="003D5CB6" w:rsidRPr="004D46AC" w:rsidRDefault="003D5CB6" w:rsidP="00B518F1">
            <w:pPr>
              <w:spacing w:line="360" w:lineRule="auto"/>
              <w:ind w:firstLine="0"/>
              <w:rPr>
                <w:szCs w:val="21"/>
              </w:rPr>
            </w:pPr>
            <w:r w:rsidRPr="004D46AC">
              <w:rPr>
                <w:rFonts w:eastAsia="DengXian"/>
                <w:color w:val="000000"/>
                <w:szCs w:val="21"/>
              </w:rPr>
              <w:t>0.21</w:t>
            </w:r>
          </w:p>
        </w:tc>
        <w:tc>
          <w:tcPr>
            <w:tcW w:w="1787" w:type="dxa"/>
            <w:vAlign w:val="center"/>
          </w:tcPr>
          <w:p w14:paraId="5DAC6FAD" w14:textId="77777777" w:rsidR="003D5CB6" w:rsidRPr="004D46AC" w:rsidRDefault="003D5CB6" w:rsidP="00B518F1">
            <w:pPr>
              <w:spacing w:line="360" w:lineRule="auto"/>
              <w:ind w:firstLine="0"/>
              <w:rPr>
                <w:szCs w:val="21"/>
              </w:rPr>
            </w:pPr>
            <w:r w:rsidRPr="004D46AC">
              <w:rPr>
                <w:rFonts w:eastAsia="DengXian"/>
                <w:color w:val="000000"/>
                <w:szCs w:val="21"/>
              </w:rPr>
              <w:t>0.05</w:t>
            </w:r>
          </w:p>
        </w:tc>
        <w:tc>
          <w:tcPr>
            <w:tcW w:w="1787" w:type="dxa"/>
            <w:vAlign w:val="bottom"/>
          </w:tcPr>
          <w:p w14:paraId="3B452620" w14:textId="77777777" w:rsidR="003D5CB6" w:rsidRPr="004D46AC" w:rsidRDefault="003D5CB6" w:rsidP="00B518F1">
            <w:pPr>
              <w:spacing w:line="360" w:lineRule="auto"/>
              <w:ind w:firstLine="0"/>
              <w:rPr>
                <w:szCs w:val="21"/>
              </w:rPr>
            </w:pPr>
            <w:r w:rsidRPr="004D46AC">
              <w:rPr>
                <w:rFonts w:eastAsia="DengXian"/>
                <w:color w:val="000000"/>
              </w:rPr>
              <w:t>SCA&gt;SCZ**</w:t>
            </w:r>
          </w:p>
        </w:tc>
      </w:tr>
    </w:tbl>
    <w:p w14:paraId="7F0551E8" w14:textId="77777777" w:rsidR="003D5CB6" w:rsidRPr="004D46AC" w:rsidRDefault="003D5CB6" w:rsidP="00B518F1">
      <w:pPr>
        <w:spacing w:line="360" w:lineRule="auto"/>
        <w:ind w:firstLine="0"/>
        <w:rPr>
          <w:rFonts w:eastAsiaTheme="minorEastAsia"/>
          <w:szCs w:val="21"/>
        </w:rPr>
      </w:pPr>
      <w:r w:rsidRPr="004D46AC">
        <w:rPr>
          <w:rFonts w:hint="eastAsia"/>
          <w:i/>
          <w:iCs/>
          <w:szCs w:val="21"/>
        </w:rPr>
        <w:t>N</w:t>
      </w:r>
      <w:r w:rsidRPr="004D46AC">
        <w:rPr>
          <w:i/>
          <w:iCs/>
          <w:szCs w:val="21"/>
        </w:rPr>
        <w:t>ote</w:t>
      </w:r>
      <w:r w:rsidRPr="004D46AC">
        <w:rPr>
          <w:szCs w:val="21"/>
        </w:rPr>
        <w:t xml:space="preserve">. </w:t>
      </w:r>
      <w:r w:rsidRPr="004D46AC">
        <w:t>PBD:</w:t>
      </w:r>
      <w:r w:rsidRPr="004D46AC">
        <w:rPr>
          <w:b/>
          <w:bCs/>
        </w:rPr>
        <w:t xml:space="preserve"> </w:t>
      </w:r>
      <w:r w:rsidRPr="004D46AC">
        <w:t>Psychotic Bipolar Disorder; SCA: Schizoaffective Disorder; SCZ: Schizophrenia</w:t>
      </w:r>
      <w:r w:rsidRPr="004D46AC">
        <w:rPr>
          <w:rFonts w:eastAsiaTheme="minorEastAsia" w:hint="eastAsia"/>
        </w:rPr>
        <w:t xml:space="preserve">. </w:t>
      </w:r>
      <w:r w:rsidRPr="004D46AC">
        <w:rPr>
          <w:szCs w:val="21"/>
        </w:rPr>
        <w:t>The results were based on 2000 iterations; the p value was adjusted by BH metho</w:t>
      </w:r>
      <w:r w:rsidRPr="004D46AC">
        <w:rPr>
          <w:rFonts w:hint="eastAsia"/>
          <w:szCs w:val="21"/>
        </w:rPr>
        <w:t>d.</w:t>
      </w:r>
    </w:p>
    <w:p w14:paraId="0A243DB3" w14:textId="77777777" w:rsidR="003D5CB6" w:rsidRPr="004D46AC" w:rsidRDefault="003D5CB6" w:rsidP="00B518F1">
      <w:pPr>
        <w:spacing w:line="360" w:lineRule="auto"/>
        <w:ind w:firstLine="0"/>
        <w:rPr>
          <w:rFonts w:eastAsiaTheme="minorEastAsia"/>
        </w:rPr>
      </w:pPr>
      <w:r w:rsidRPr="004D46AC">
        <w:rPr>
          <w:szCs w:val="21"/>
        </w:rPr>
        <w:t>*: p&lt;.05, **: p&lt;.01.</w:t>
      </w:r>
    </w:p>
    <w:p w14:paraId="2B5FBECA" w14:textId="77777777" w:rsidR="003D5CB6" w:rsidRPr="004D46AC" w:rsidRDefault="003D5CB6" w:rsidP="00B518F1">
      <w:pPr>
        <w:ind w:firstLine="0"/>
        <w:rPr>
          <w:rFonts w:eastAsiaTheme="minorEastAsia"/>
          <w:sz w:val="24"/>
          <w:szCs w:val="24"/>
        </w:rPr>
      </w:pPr>
    </w:p>
    <w:p w14:paraId="13271F28" w14:textId="77777777" w:rsidR="003D5CB6" w:rsidRPr="004D46AC" w:rsidRDefault="003D5CB6" w:rsidP="00B518F1">
      <w:pPr>
        <w:ind w:firstLine="0"/>
        <w:rPr>
          <w:rFonts w:eastAsiaTheme="minorEastAsia"/>
          <w:sz w:val="24"/>
          <w:szCs w:val="24"/>
        </w:rPr>
      </w:pPr>
    </w:p>
    <w:p w14:paraId="5EE2F7DA" w14:textId="77777777" w:rsidR="003D5CB6" w:rsidRPr="004D46AC" w:rsidRDefault="003D5CB6" w:rsidP="00B518F1">
      <w:pPr>
        <w:ind w:firstLine="0"/>
        <w:rPr>
          <w:rFonts w:eastAsiaTheme="minorEastAsia"/>
          <w:sz w:val="24"/>
          <w:szCs w:val="24"/>
        </w:rPr>
      </w:pPr>
    </w:p>
    <w:p w14:paraId="444B5A7C" w14:textId="77777777" w:rsidR="003D5CB6" w:rsidRPr="004D46AC" w:rsidRDefault="003D5CB6" w:rsidP="00B518F1">
      <w:pPr>
        <w:ind w:firstLine="0"/>
        <w:rPr>
          <w:rFonts w:eastAsiaTheme="minorEastAsia"/>
          <w:sz w:val="24"/>
          <w:szCs w:val="24"/>
        </w:rPr>
      </w:pPr>
    </w:p>
    <w:p w14:paraId="19DB1D4B" w14:textId="77777777" w:rsidR="003D5CB6" w:rsidRPr="004D46AC" w:rsidRDefault="003D5CB6" w:rsidP="00B518F1">
      <w:pPr>
        <w:ind w:firstLine="0"/>
        <w:rPr>
          <w:rFonts w:eastAsiaTheme="minorEastAsia"/>
          <w:sz w:val="24"/>
          <w:szCs w:val="24"/>
        </w:rPr>
      </w:pPr>
    </w:p>
    <w:p w14:paraId="05FF7C59" w14:textId="77777777" w:rsidR="003D5CB6" w:rsidRPr="004D46AC" w:rsidRDefault="003D5CB6" w:rsidP="00B518F1">
      <w:pPr>
        <w:ind w:firstLine="0"/>
        <w:rPr>
          <w:rFonts w:eastAsiaTheme="minorEastAsia"/>
          <w:sz w:val="24"/>
          <w:szCs w:val="24"/>
        </w:rPr>
      </w:pPr>
    </w:p>
    <w:p w14:paraId="35521B5A" w14:textId="77777777" w:rsidR="003D5CB6" w:rsidRPr="004D46AC" w:rsidRDefault="003D5CB6" w:rsidP="00B518F1">
      <w:pPr>
        <w:ind w:firstLine="0"/>
        <w:rPr>
          <w:rFonts w:eastAsiaTheme="minorEastAsia"/>
          <w:sz w:val="24"/>
          <w:szCs w:val="24"/>
        </w:rPr>
      </w:pPr>
    </w:p>
    <w:p w14:paraId="29F02E4D" w14:textId="77777777" w:rsidR="003D5CB6" w:rsidRPr="004D46AC" w:rsidRDefault="003D5CB6" w:rsidP="00B518F1">
      <w:pPr>
        <w:ind w:firstLine="0"/>
        <w:rPr>
          <w:rFonts w:eastAsiaTheme="minorEastAsia"/>
          <w:sz w:val="24"/>
          <w:szCs w:val="24"/>
        </w:rPr>
      </w:pPr>
    </w:p>
    <w:p w14:paraId="7E2D1B4F" w14:textId="77777777" w:rsidR="003D5CB6" w:rsidRPr="004D46AC" w:rsidRDefault="003D5CB6" w:rsidP="00B518F1">
      <w:pPr>
        <w:ind w:firstLine="0"/>
        <w:rPr>
          <w:rFonts w:eastAsiaTheme="minorEastAsia"/>
          <w:sz w:val="24"/>
          <w:szCs w:val="24"/>
        </w:rPr>
      </w:pPr>
    </w:p>
    <w:p w14:paraId="237D8FA6" w14:textId="77777777" w:rsidR="003D5CB6" w:rsidRPr="004D46AC" w:rsidRDefault="003D5CB6" w:rsidP="00B518F1">
      <w:pPr>
        <w:ind w:firstLine="0"/>
        <w:rPr>
          <w:rFonts w:eastAsiaTheme="minorEastAsia"/>
          <w:sz w:val="24"/>
          <w:szCs w:val="24"/>
        </w:rPr>
      </w:pPr>
    </w:p>
    <w:p w14:paraId="22FCA727" w14:textId="77777777" w:rsidR="003D5CB6" w:rsidRPr="004D46AC" w:rsidRDefault="003D5CB6" w:rsidP="00B518F1">
      <w:pPr>
        <w:ind w:firstLine="0"/>
        <w:rPr>
          <w:rFonts w:eastAsiaTheme="minorEastAsia"/>
          <w:sz w:val="24"/>
          <w:szCs w:val="24"/>
        </w:rPr>
      </w:pPr>
    </w:p>
    <w:p w14:paraId="51A54075" w14:textId="77777777" w:rsidR="003D5CB6" w:rsidRPr="004D46AC" w:rsidRDefault="003D5CB6" w:rsidP="00B518F1">
      <w:pPr>
        <w:ind w:firstLine="0"/>
        <w:rPr>
          <w:rFonts w:eastAsiaTheme="minorEastAsia"/>
          <w:sz w:val="24"/>
          <w:szCs w:val="24"/>
        </w:rPr>
      </w:pPr>
    </w:p>
    <w:p w14:paraId="4BA6B8AC" w14:textId="77777777" w:rsidR="003D5CB6" w:rsidRPr="004D46AC" w:rsidRDefault="003D5CB6" w:rsidP="00B518F1">
      <w:pPr>
        <w:ind w:firstLine="0"/>
        <w:rPr>
          <w:rFonts w:eastAsiaTheme="minorEastAsia"/>
          <w:sz w:val="24"/>
          <w:szCs w:val="24"/>
        </w:rPr>
      </w:pPr>
    </w:p>
    <w:p w14:paraId="5607751A" w14:textId="77777777" w:rsidR="003D5CB6" w:rsidRPr="004D46AC" w:rsidRDefault="003D5CB6" w:rsidP="00B518F1">
      <w:pPr>
        <w:ind w:firstLine="0"/>
        <w:rPr>
          <w:rFonts w:eastAsiaTheme="minorEastAsia"/>
          <w:sz w:val="24"/>
          <w:szCs w:val="24"/>
        </w:rPr>
      </w:pPr>
    </w:p>
    <w:p w14:paraId="1CD84736" w14:textId="77777777" w:rsidR="00CC3324" w:rsidRPr="004D46AC" w:rsidRDefault="00CC3324" w:rsidP="00B518F1">
      <w:pPr>
        <w:ind w:firstLine="0"/>
        <w:rPr>
          <w:rFonts w:eastAsiaTheme="minorEastAsia"/>
          <w:sz w:val="24"/>
          <w:szCs w:val="24"/>
        </w:rPr>
      </w:pPr>
    </w:p>
    <w:p w14:paraId="55734BF0" w14:textId="77777777" w:rsidR="00CC3324" w:rsidRPr="004D46AC" w:rsidRDefault="00CC3324" w:rsidP="00B518F1">
      <w:pPr>
        <w:ind w:firstLine="0"/>
        <w:rPr>
          <w:rFonts w:eastAsiaTheme="minorEastAsia"/>
          <w:sz w:val="24"/>
          <w:szCs w:val="24"/>
        </w:rPr>
      </w:pPr>
    </w:p>
    <w:p w14:paraId="77243F62" w14:textId="77777777" w:rsidR="003D5CB6" w:rsidRPr="004D46AC" w:rsidRDefault="003D5CB6" w:rsidP="00B518F1">
      <w:pPr>
        <w:rPr>
          <w:sz w:val="24"/>
          <w:szCs w:val="24"/>
        </w:rPr>
      </w:pPr>
    </w:p>
    <w:p w14:paraId="44A083BE" w14:textId="77777777" w:rsidR="003D5CB6" w:rsidRPr="004D46AC" w:rsidRDefault="003D5CB6" w:rsidP="00B518F1">
      <w:pPr>
        <w:pStyle w:val="2"/>
      </w:pPr>
      <w:bookmarkStart w:id="133" w:name="_Toc219888771"/>
      <w:r w:rsidRPr="004D46AC">
        <w:lastRenderedPageBreak/>
        <w:t>Discussion</w:t>
      </w:r>
      <w:bookmarkEnd w:id="133"/>
    </w:p>
    <w:p w14:paraId="5CEAF4A7" w14:textId="77777777" w:rsidR="003D5CB6" w:rsidRPr="004D46AC" w:rsidRDefault="003D5CB6" w:rsidP="00B518F1">
      <w:r w:rsidRPr="004D46AC">
        <w:t>The current analysis examined the network structures of affective and psychotic syndromes in patients diagnosed with schizophrenia, schizoaffective disorder or psychotic bipolar disorder. The data was drawn from three high-quality studies with large, representative samples using gold-standard psychiatric assessments conducted by trained clinicians. We used a principled approach to item selection which eliminated redundancy that might otherwise have distorted the findings. Our findings are consistent with the work of Peralta and colleagues</w:t>
      </w:r>
      <w:r w:rsidRPr="004D46AC">
        <w:rPr>
          <w:rFonts w:eastAsiaTheme="minorEastAsia" w:hint="eastAsia"/>
        </w:rPr>
        <w:t xml:space="preserve"> </w:t>
      </w:r>
      <w:r w:rsidRPr="004D46AC">
        <w:fldChar w:fldCharType="begin">
          <w:fldData xml:space="preserve">PEVuZE5vdGU+PENpdGU+PEF1dGhvcj5QZXJhbHRhPC9BdXRob3I+PFllYXI+MjAyMDwvWWVhcj48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PEVuZE5vdGU+PENpdGU+PEF1dGhvcj5QZXJhbHRhPC9BdXRob3I+PFllYXI+MjAyMDwvWWVhcj48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rPr>
          <w:noProof/>
        </w:rPr>
        <w:t>(Victor Peralta et al., 2020; V. Peralta et al., 2020)</w:t>
      </w:r>
      <w:r w:rsidRPr="004D46AC">
        <w:fldChar w:fldCharType="end"/>
      </w:r>
      <w:r w:rsidRPr="004D46AC">
        <w:t xml:space="preserve"> in the relationship between affective and psychotic syndromes. Specifically, the manic symptoms were more linked with positive symptoms while depressive symptoms were more linked with negative symptoms. However, our findings are distinct from the previous work in the following aspects.</w:t>
      </w:r>
    </w:p>
    <w:p w14:paraId="3CB88256" w14:textId="77777777" w:rsidR="003D5CB6" w:rsidRPr="004D46AC" w:rsidRDefault="003D5CB6" w:rsidP="00B518F1">
      <w:r w:rsidRPr="004D46AC">
        <w:t xml:space="preserve">The first and most striking finding, which </w:t>
      </w:r>
      <w:proofErr w:type="gramStart"/>
      <w:r w:rsidRPr="004D46AC">
        <w:t>is in contrast to</w:t>
      </w:r>
      <w:proofErr w:type="gramEnd"/>
      <w:r w:rsidRPr="004D46AC">
        <w:t xml:space="preserve"> the studies by Peralta and colleagues, is that, although symptom ratings differed very considerably between the three diagnostic groups, the network structures were near identical. Based on the definition of statistical dimensions</w:t>
      </w:r>
      <w:r w:rsidRPr="004D46AC">
        <w:rPr>
          <w:rFonts w:hint="eastAsia"/>
        </w:rPr>
        <w:t xml:space="preserve"> </w:t>
      </w:r>
      <w:r w:rsidRPr="004D46AC">
        <w:fldChar w:fldCharType="begin"/>
      </w:r>
      <w:r w:rsidRPr="004D46AC">
        <w:instrText xml:space="preserve"> ADDIN EN.CITE &lt;EndNote&gt;&lt;Cite&gt;&lt;Author&gt;Schmidt&lt;/Author&gt;&lt;Year&gt;2004&lt;/Year&gt;&lt;RecNum&gt;564&lt;/RecNum&gt;&lt;DisplayText&gt;(Hopwood et al., 2023; Schmidt et al., 2004)&lt;/DisplayText&gt;&lt;record&gt;&lt;rec-number&gt;564&lt;/rec-number&gt;&lt;foreign-keys&gt;&lt;key app="EN" db-id="aet009sstawa0hewvt3xwf5atffdw2dt02sw" timestamp="1711386201"&gt;564&lt;/key&gt;&lt;/foreign-keys&gt;&lt;ref-type name="Book"&gt;6&lt;/ref-type&gt;&lt;contributors&gt;&lt;authors&gt;&lt;author&gt;Schmidt, Norman B.&lt;/author&gt;&lt;author&gt;Kotov, Roman&lt;/author&gt;&lt;author&gt;Joiner, Thomas E.&lt;/author&gt;&lt;/authors&gt;&lt;/contributors&gt;&lt;titles&gt;&lt;title&gt;Taxometrics: Toward a new diagnostic scheme for psychopathology&lt;/title&gt;&lt;secondary-title&gt;Taxometrics: Toward a new diagnostic scheme for psychopathology.&lt;/secondary-title&gt;&lt;/titles&gt;&lt;pages&gt;xi, 198-xi, 198&lt;/pages&gt;&lt;keywords&gt;&lt;keyword&gt;*Diagnostic and Statistical Manual&lt;/keyword&gt;&lt;keyword&gt;*Psychodiagnosis&lt;/keyword&gt;&lt;keyword&gt;*Psychopathology&lt;/keyword&gt;&lt;keyword&gt;Taxonomies&lt;/keyword&gt;&lt;/keywords&gt;&lt;dates&gt;&lt;year&gt;2004&lt;/year&gt;&lt;/dates&gt;&lt;pub-location&gt;Washington, DC, US&lt;/pub-location&gt;&lt;publisher&gt;American Psychological Association&lt;/publisher&gt;&lt;isbn&gt;1-59147-142-7&lt;/isbn&gt;&lt;work-type&gt;doi:10.1037/10810-000&lt;/work-type&gt;&lt;urls&gt;&lt;/urls&gt;&lt;electronic-resource-num&gt;10.1037/10810-000&lt;/electronic-resource-num&gt;&lt;/record&gt;&lt;/Cite&gt;&lt;Cite&gt;&lt;Author&gt;Hopwood&lt;/Author&gt;&lt;Year&gt;2023&lt;/Year&gt;&lt;RecNum&gt;565&lt;/RecNum&gt;&lt;record&gt;&lt;rec-number&gt;565&lt;/rec-number&gt;&lt;foreign-keys&gt;&lt;key app="EN" db-id="aet009sstawa0hewvt3xwf5atffdw2dt02sw" timestamp="1711394977"&gt;565&lt;/key&gt;&lt;/foreign-keys&gt;&lt;ref-type name="Journal Article"&gt;17&lt;/ref-type&gt;&lt;contributors&gt;&lt;authors&gt;&lt;author&gt;Hopwood, Christopher J&lt;/author&gt;&lt;author&gt;Morey, Leslie C&lt;/author&gt;&lt;author&gt;Markon, Kristian E&lt;/author&gt;&lt;/authors&gt;&lt;/contributors&gt;&lt;titles&gt;&lt;title&gt;What is a psychopathology dimension?&lt;/title&gt;&lt;secondary-title&gt;Clinical Psychology Review&lt;/secondary-title&gt;&lt;/titles&gt;&lt;periodical&gt;&lt;full-title&gt;Clinical Psychology Review&lt;/full-title&gt;&lt;/periodical&gt;&lt;pages&gt;102356&lt;/pages&gt;&lt;volume&gt;106&lt;/volume&gt;&lt;dates&gt;&lt;year&gt;2023&lt;/year&gt;&lt;/dates&gt;&lt;isbn&gt;0272-7358&lt;/isbn&gt;&lt;urls&gt;&lt;/urls&gt;&lt;/record&gt;&lt;/Cite&gt;&lt;/EndNote&gt;</w:instrText>
      </w:r>
      <w:r w:rsidRPr="004D46AC">
        <w:fldChar w:fldCharType="separate"/>
      </w:r>
      <w:r w:rsidRPr="004D46AC">
        <w:rPr>
          <w:noProof/>
        </w:rPr>
        <w:t>(Hopwood et al., 2023; Schmidt et al., 2004)</w:t>
      </w:r>
      <w:r w:rsidRPr="004D46AC">
        <w:fldChar w:fldCharType="end"/>
      </w:r>
      <w:r w:rsidRPr="004D46AC">
        <w:t>, this similarity would not have been expected if the three diagnoses were reflections of distinct psychopathological processes. Therefore, the findings are consistent with the hypothesis that the same underlying psychopathological processes lead to the varying symptom expressions which, according to the exact symptoms experienced, are then classified during the assessment process (and presumably by clinicians in general psychiatric practice) into the three diagnostic groups. This interpretation is consistent with recent attempts to create new taxonomic models that emphasize the hierarchical nature of disorders (with conventional diagnoses contained within higher-order classifications) such as the three spectra (internalizing, externalizing, reality-impairing) model</w:t>
      </w:r>
      <w:r w:rsidRPr="004D46AC">
        <w:rPr>
          <w:rFonts w:eastAsiaTheme="minorEastAsia" w:hint="eastAsia"/>
        </w:rPr>
        <w:t xml:space="preserve"> </w:t>
      </w:r>
      <w:r w:rsidRPr="004D46AC">
        <w:fldChar w:fldCharType="begin"/>
      </w:r>
      <w:r w:rsidRPr="004D46AC">
        <w:instrText xml:space="preserve"> ADDIN EN.CITE &lt;EndNote&gt;&lt;Cite&gt;&lt;Author&gt;Wright&lt;/Author&gt;&lt;Year&gt;2013&lt;/Year&gt;&lt;RecNum&gt;668&lt;/RecNum&gt;&lt;DisplayText&gt;(Wright et al., 2013)&lt;/DisplayText&gt;&lt;record&gt;&lt;rec-number&gt;668&lt;/rec-number&gt;&lt;foreign-keys&gt;&lt;key app="EN" db-id="aet009sstawa0hewvt3xwf5atffdw2dt02sw" timestamp="1721827452"&gt;668&lt;/key&gt;&lt;/foreign-keys&gt;&lt;ref-type name="Journal Article"&gt;17&lt;/ref-type&gt;&lt;contributors&gt;&lt;authors&gt;&lt;author&gt;Wright, A. G.&lt;/author&gt;&lt;author&gt;Krueger, R. F.&lt;/author&gt;&lt;author&gt;Hobbs, M. J.&lt;/author&gt;&lt;author&gt;Markon, K. E.&lt;/author&gt;&lt;author&gt;Eaton, N. R.&lt;/author&gt;&lt;author&gt;Slade, T.&lt;/author&gt;&lt;/authors&gt;&lt;/contributors&gt;&lt;auth-address&gt;Western Psychiatric Institute and Clinic, University of Pittsburgh School of Medicine, Pittsburgh, PA 15213, USA. wright.aidan@gmail.com&lt;/auth-address&gt;&lt;titles&gt;&lt;title&gt;The structure of psychopathology: toward an expanded quantitative empirical model&lt;/title&gt;&lt;secondary-title&gt;J Abnorm Psychol&lt;/secondary-title&gt;&lt;/titles&gt;&lt;periodical&gt;&lt;full-title&gt;J Abnorm Psychol&lt;/full-title&gt;&lt;/periodical&gt;&lt;pages&gt;281-94&lt;/pages&gt;&lt;volume&gt;122&lt;/volume&gt;&lt;number&gt;1&lt;/number&gt;&lt;edition&gt;20121015&lt;/edition&gt;&lt;keywords&gt;&lt;keyword&gt;Antisocial Personality Disorder/*diagnosis/psychology&lt;/keyword&gt;&lt;keyword&gt;Diagnostic and Statistical Manual of Mental Disorders&lt;/keyword&gt;&lt;keyword&gt;Empirical Research&lt;/keyword&gt;&lt;keyword&gt;Factor Analysis, Statistical&lt;/keyword&gt;&lt;keyword&gt;Humans&lt;/keyword&gt;&lt;keyword&gt;Internal-External Control&lt;/keyword&gt;&lt;keyword&gt;*Models, Psychological&lt;/keyword&gt;&lt;keyword&gt;Multivariate Analysis&lt;/keyword&gt;&lt;/keywords&gt;&lt;dates&gt;&lt;year&gt;2013&lt;/year&gt;&lt;pub-dates&gt;&lt;date&gt;Feb&lt;/date&gt;&lt;/pub-dates&gt;&lt;/dates&gt;&lt;isbn&gt;1939-1846 (Electronic)&amp;#xD;0021-843X (Print)&amp;#xD;0021-843X (Linking)&lt;/isbn&gt;&lt;accession-num&gt;23067258&lt;/accession-num&gt;&lt;urls&gt;&lt;related-urls&gt;&lt;url&gt;https://www.ncbi.nlm.nih.gov/pubmed/23067258&lt;/url&gt;&lt;/related-urls&gt;&lt;/urls&gt;&lt;custom2&gt;PMC3570590&lt;/custom2&gt;&lt;custom6&gt;NIHMS434488&lt;/custom6&gt;&lt;electronic-resource-num&gt;10.1037/a0030133&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(Wright et al., 2013)</w:t>
      </w:r>
      <w:r w:rsidRPr="004D46AC">
        <w:fldChar w:fldCharType="end"/>
      </w:r>
      <w:r w:rsidRPr="004D46AC">
        <w:t xml:space="preserve"> and the </w:t>
      </w:r>
      <w:proofErr w:type="spellStart"/>
      <w:r w:rsidRPr="004D46AC">
        <w:t>HiTOP</w:t>
      </w:r>
      <w:proofErr w:type="spellEnd"/>
      <w:r w:rsidRPr="004D46AC">
        <w:t xml:space="preserve"> approach</w:t>
      </w:r>
      <w:r w:rsidRPr="004D46AC">
        <w:rPr>
          <w:rFonts w:eastAsiaTheme="minorEastAsia" w:hint="eastAsia"/>
        </w:rPr>
        <w:t xml:space="preserve"> </w:t>
      </w:r>
      <w:r w:rsidRPr="004D46AC">
        <w:fldChar w:fldCharType="begin">
          <w:fldData xml:space="preserve">PEVuZE5vdGU+PENpdGU+PEF1dGhvcj5Lb3RvdjwvQXV0aG9yPjxZZWFyPjIwMjE8L1llYXI+PFJl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PEVuZE5vdGU+PENpdGU+PEF1dGhvcj5Lb3RvdjwvQXV0aG9yPjxZZWFyPjIwMjE8L1llYXI+PFJl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rPr>
          <w:noProof/>
        </w:rPr>
        <w:t>(Kotov et al., 2021)</w:t>
      </w:r>
      <w:r w:rsidRPr="004D46AC">
        <w:fldChar w:fldCharType="end"/>
      </w:r>
      <w:r w:rsidRPr="004D46AC">
        <w:t xml:space="preserve">. </w:t>
      </w:r>
    </w:p>
    <w:p w14:paraId="0D6CE4A7" w14:textId="77777777" w:rsidR="003D5CB6" w:rsidRPr="004D46AC" w:rsidRDefault="003D5CB6" w:rsidP="00B518F1">
      <w:r w:rsidRPr="004D46AC">
        <w:t xml:space="preserve">Examination of the individual symptom differences helps clarify this picture. As would be expected, the PBD patients had lowest severity for all psychotic symptoms, except for </w:t>
      </w:r>
      <w:r w:rsidRPr="004D46AC">
        <w:lastRenderedPageBreak/>
        <w:t>excitement. However, unexpectedly perhaps, SCA patients reported the most severe positive psychotic symptoms while, expectedly, the SCZ patients had more severe negative symptoms. The SCA and PBD patients were comparable in the severity of most manic symptoms which were more severe than those observed in SCZ patients.</w:t>
      </w:r>
    </w:p>
    <w:p w14:paraId="258C921E" w14:textId="77777777" w:rsidR="003D5CB6" w:rsidRPr="004D46AC" w:rsidRDefault="003D5CB6" w:rsidP="00B518F1">
      <w:r w:rsidRPr="004D46AC">
        <w:t xml:space="preserve">Examination of the community structures provides further insights that help us to interpret these findings. Although there was inconsistency between the groups, in both the analysis of the sample as a whole and across the diagnoses, depressive and negative symptoms showed the greatest replicability. Positive and manic symptoms, by contrast, were unstable and fluctuated in their placement across communities. In as much as core psychopathological symptoms are likely to lead to stable communities, these findings could suggest that depressive and negative symptom processes are primary drivers of severe mental illness, with positive and manic symptoms possibly being a reaction to them. The node centralities revealed a similar story, as the nodes with highest strength were either depressive (e.g., </w:t>
      </w:r>
      <w:r w:rsidRPr="004D46AC">
        <w:rPr>
          <w:rFonts w:hint="eastAsia"/>
        </w:rPr>
        <w:t>I</w:t>
      </w:r>
      <w:r w:rsidRPr="004D46AC">
        <w:t xml:space="preserve">nability to feel) or negative symptoms (e.g., </w:t>
      </w:r>
      <w:r w:rsidRPr="004D46AC">
        <w:rPr>
          <w:rFonts w:hint="eastAsia"/>
        </w:rPr>
        <w:t>W</w:t>
      </w:r>
      <w:r w:rsidRPr="004D46AC">
        <w:t>ithdrawal) across the subgroups. This interpretation would be consistent with some foundational accounts of severe mental illness. For example, in contrast to the post DSM-III focus on positive symptoms, Kraepelin</w:t>
      </w:r>
      <w:r w:rsidRPr="004D46AC">
        <w:rPr>
          <w:rFonts w:hint="eastAsia"/>
        </w:rPr>
        <w:t xml:space="preserve"> </w:t>
      </w:r>
      <w:r w:rsidRPr="004D46AC">
        <w:fldChar w:fldCharType="begin"/>
      </w:r>
      <w:r w:rsidRPr="004D46AC">
        <w:instrText xml:space="preserve"> ADDIN EN.CITE &lt;EndNote&gt;&lt;Cite&gt;&lt;Author&gt;Kraepelin&lt;/Author&gt;&lt;Year&gt;1899&lt;/Year&gt;&lt;RecNum&gt;502&lt;/RecNum&gt;&lt;DisplayText&gt;(Kraepelin, 1899)&lt;/DisplayText&gt;&lt;record&gt;&lt;rec-number&gt;502&lt;/rec-number&gt;&lt;foreign-keys&gt;&lt;key app="EN" db-id="aet009sstawa0hewvt3xwf5atffdw2dt02sw" timestamp="1709051566"&gt;502&lt;/key&gt;&lt;/foreign-keys&gt;&lt;ref-type name="Book"&gt;6&lt;/ref-type&gt;&lt;contributors&gt;&lt;authors&gt;&lt;author&gt;Emil Kraepelin&lt;/author&gt;&lt;/authors&gt;&lt;/contributors&gt;&lt;titles&gt;&lt;title&gt;Psychiatry: A textbook for students and physicians.&lt;/title&gt;&lt;/titles&gt;&lt;volume&gt;Volume 1 &lt;/volume&gt;&lt;dates&gt;&lt;year&gt;1899&lt;/year&gt;&lt;/dates&gt;&lt;publisher&gt;Watson Publishing International&lt;/publisher&gt;&lt;urls&gt;&lt;/urls&gt;&lt;/record&gt;&lt;/Cite&gt;&lt;/EndNote&gt;</w:instrText>
      </w:r>
      <w:r w:rsidRPr="004D46AC">
        <w:fldChar w:fldCharType="separate"/>
      </w:r>
      <w:r w:rsidRPr="004D46AC">
        <w:rPr>
          <w:noProof/>
        </w:rPr>
        <w:t>(Kraepelin, 1899)</w:t>
      </w:r>
      <w:r w:rsidRPr="004D46AC">
        <w:fldChar w:fldCharType="end"/>
      </w:r>
      <w:r w:rsidRPr="004D46AC">
        <w:t xml:space="preserve"> highlighted negative symptoms as the primary feature of dementia praecox/schizophrenia, and Bleuler argued that the positive symptoms are reactions to fundamental disturbances that included disordered associations, affect, ambivalence, together with autism (conceived of as a flight into a preferred reality), a view taken by more recent phenomenological researchers</w:t>
      </w:r>
      <w:r w:rsidRPr="004D46AC">
        <w:rPr>
          <w:rFonts w:hint="eastAsia"/>
        </w:rPr>
        <w:t xml:space="preserve"> </w:t>
      </w:r>
      <w:r w:rsidRPr="004D46AC">
        <w:fldChar w:fldCharType="begin"/>
      </w:r>
      <w:r w:rsidRPr="004D46AC">
        <w:instrText xml:space="preserve"> ADDIN EN.CITE &lt;EndNote&gt;&lt;Cite&gt;&lt;Author&gt;Parnas&lt;/Author&gt;&lt;Year&gt;2014&lt;/Year&gt;&lt;RecNum&gt;669&lt;/RecNum&gt;&lt;DisplayText&gt;(Parnas &amp;amp; Henriksen, 2014)&lt;/DisplayText&gt;&lt;record&gt;&lt;rec-number&gt;669&lt;/rec-number&gt;&lt;foreign-keys&gt;&lt;key app="EN" db-id="aet009sstawa0hewvt3xwf5atffdw2dt02sw" timestamp="1721827938"&gt;669&lt;/key&gt;&lt;/foreign-keys&gt;&lt;ref-type name="Journal Article"&gt;17&lt;/ref-type&gt;&lt;contributors&gt;&lt;authors&gt;&lt;author&gt;Parnas, J.&lt;/author&gt;&lt;author&gt;Henriksen, M. G.&lt;/author&gt;&lt;/authors&gt;&lt;/contributors&gt;&lt;auth-address&gt;From the Psychiatric Center Hvidovre and the Center for Subjectivity Research, University of Copenhagen, Copenhagen, Denmark.&lt;/auth-address&gt;&lt;titles&gt;&lt;title&gt;Disordered self in the schizophrenia spectrum: a clinical and research perspective&lt;/title&gt;&lt;secondary-title&gt;Harv Rev Psychiatry&lt;/secondary-title&gt;&lt;/titles&gt;&lt;periodical&gt;&lt;full-title&gt;Harv Rev Psychiatry&lt;/full-title&gt;&lt;/periodical&gt;&lt;pages&gt;251-65&lt;/pages&gt;&lt;volume&gt;22&lt;/volume&gt;&lt;number&gt;5&lt;/number&gt;&lt;keywords&gt;&lt;keyword&gt;Awareness/*physiology&lt;/keyword&gt;&lt;keyword&gt;Humans&lt;/keyword&gt;&lt;keyword&gt;Schizophrenia/*physiopathology&lt;/keyword&gt;&lt;keyword&gt;*Self Concept&lt;/keyword&gt;&lt;/keywords&gt;&lt;dates&gt;&lt;year&gt;2014&lt;/year&gt;&lt;pub-dates&gt;&lt;date&gt;Sep-Oct&lt;/date&gt;&lt;/pub-dates&gt;&lt;/dates&gt;&lt;isbn&gt;1465-7309 (Electronic)&amp;#xD;1067-3229 (Print)&amp;#xD;1067-3229 (Linking)&lt;/isbn&gt;&lt;accession-num&gt;25126763&lt;/accession-num&gt;&lt;urls&gt;&lt;related-urls&gt;&lt;url&gt;https://www.ncbi.nlm.nih.gov/pubmed/25126763&lt;/url&gt;&lt;/related-urls&gt;&lt;/urls&gt;&lt;custom2&gt;PMC4219858&lt;/custom2&gt;&lt;electronic-resource-num&gt;10.1097/HRP.0000000000000040&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(Parnas &amp; Henriksen, 2014)</w:t>
      </w:r>
      <w:r w:rsidRPr="004D46AC">
        <w:fldChar w:fldCharType="end"/>
      </w:r>
      <w:r w:rsidRPr="004D46AC">
        <w:t>. Similarly, Karl Abraham argued that manic symptoms are a reaction to underlying depressive processes and this hypothesis has some support from more recent psychopathological investigations</w:t>
      </w:r>
      <w:r w:rsidRPr="004D46AC">
        <w:rPr>
          <w:rFonts w:hint="eastAsia"/>
        </w:rPr>
        <w:t xml:space="preserve"> </w:t>
      </w:r>
      <w:r w:rsidRPr="004D46AC">
        <w:fldChar w:fldCharType="begin">
          <w:fldData xml:space="preserve">PEVuZE5vdGU+PENpdGU+PEF1dGhvcj5aYXZsaXM8L0F1dGhvcj48WWVhcj4yMDIzPC9ZZWFyPjxS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=
</w:fldData>
        </w:fldChar>
      </w:r>
      <w:r w:rsidRPr="004D46AC">
        <w:instrText xml:space="preserve"> ADDIN EN.CITE </w:instrText>
      </w:r>
      <w:r w:rsidRPr="004D46AC">
        <w:fldChar w:fldCharType="begin">
          <w:fldData xml:space="preserve">PEVuZE5vdGU+PENpdGU+PEF1dGhvcj5aYXZsaXM8L0F1dGhvcj48WWVhcj4yMDIzPC9ZZWFyPjxS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=
</w:fldData>
        </w:fldChar>
      </w:r>
      <w:r w:rsidRPr="004D46AC">
        <w:instrText xml:space="preserve"> ADDIN EN.CITE.DATA </w:instrText>
      </w:r>
      <w:r w:rsidRPr="004D46AC">
        <w:fldChar w:fldCharType="end"/>
      </w:r>
      <w:r w:rsidRPr="004D46AC">
        <w:fldChar w:fldCharType="separate"/>
      </w:r>
      <w:r w:rsidRPr="004D46AC">
        <w:rPr>
          <w:noProof/>
        </w:rPr>
        <w:t>(Johnson, 2005; Lyon et al., 1999; Thomas et al., 2007; Zavlis et al., 2023)</w:t>
      </w:r>
      <w:r w:rsidRPr="004D46AC">
        <w:fldChar w:fldCharType="end"/>
      </w:r>
      <w:r w:rsidRPr="004D46AC">
        <w:t>. A possible objection to this interpretation is that it seems inconsistent with the observation that positive symptoms cause great distress and often provoke greatest clinical concern. However, there is evidence that distress in psychosis is more associated with depression and low self-esteem than either positive or negative symptoms</w:t>
      </w:r>
      <w:r w:rsidRPr="004D46AC">
        <w:rPr>
          <w:rFonts w:hint="eastAsia"/>
        </w:rPr>
        <w:t xml:space="preserve"> </w:t>
      </w:r>
      <w:r w:rsidRPr="004D46AC">
        <w:fldChar w:fldCharType="begin"/>
      </w:r>
      <w:r w:rsidRPr="004D46AC">
        <w:instrText xml:space="preserve"> ADDIN EN.CITE &lt;EndNote&gt;&lt;Cite&gt;&lt;Author&gt;Vracotas&lt;/Author&gt;&lt;Year&gt;2007&lt;/Year&gt;&lt;RecNum&gt;670&lt;/RecNum&gt;&lt;DisplayText&gt;(Vracotas et al., 2007)&lt;/DisplayText&gt;&lt;record&gt;&lt;rec-number&gt;670&lt;/rec-number&gt;&lt;foreign-keys&gt;&lt;key app="EN" db-id="aet009sstawa0hewvt3xwf5atffdw2dt02sw" timestamp="1721828045"&gt;670&lt;/key&gt;&lt;/foreign-keys&gt;&lt;ref-type name="Journal Article"&gt;17&lt;/ref-type&gt;&lt;contributors&gt;&lt;authors&gt;&lt;author&gt;Vracotas, Nadia&lt;/author&gt;&lt;author&gt;Schmitz, Norbert&lt;/author&gt;&lt;author&gt;Joober, Ridha&lt;/author&gt;&lt;author&gt;Malla, Ashok&lt;/author&gt;&lt;/authors&gt;&lt;/contributors&gt;&lt;titles&gt;&lt;title&gt;Subjective distress in first</w:instrText>
      </w:r>
      <w:r w:rsidRPr="004D46AC">
        <w:rPr>
          <w:rFonts w:ascii="Cambria Math" w:hAnsi="Cambria Math" w:cs="Cambria Math"/>
        </w:rPr>
        <w:instrText>‐</w:instrText>
      </w:r>
      <w:r w:rsidRPr="004D46AC">
        <w:instrText>episode psychosis: role of symptoms and self</w:instrText>
      </w:r>
      <w:r w:rsidRPr="004D46AC">
        <w:rPr>
          <w:rFonts w:ascii="Cambria Math" w:hAnsi="Cambria Math" w:cs="Cambria Math"/>
        </w:rPr>
        <w:instrText>‐</w:instrText>
      </w:r>
      <w:r w:rsidRPr="004D46AC">
        <w:instrText>esteem&lt;/title&gt;&lt;secondary-title&gt;Early Intervention in Psychiatry&lt;/secondary-title&gt;&lt;/titles&gt;&lt;periodical&gt;&lt;full-title&gt;Early Intervention in Psychiatry&lt;/full-title&gt;&lt;/periodical&gt;&lt;pages&gt;251-258&lt;/pages&gt;&lt;volume&gt;1&lt;/volume&gt;&lt;number&gt;3&lt;/number&gt;&lt;section&gt;251&lt;/section&gt;&lt;keywords&gt;&lt;keyword&gt;anxiety&lt;/keyword&gt;&lt;keyword&gt;depression&lt;/keyword&gt;&lt;keyword&gt;distress&lt;/keyword&gt;&lt;keyword&gt;first-episode&lt;/keyword&gt;&lt;keyword&gt;psychosis&lt;/keyword&gt;&lt;keyword&gt;self-esteem&lt;/keyword&gt;&lt;/keywords&gt;&lt;dates&gt;&lt;year&gt;2007&lt;/year&gt;&lt;pub-dates&gt;&lt;date&gt;2007/08/01&lt;/date&gt;&lt;/pub-dates&gt;&lt;/dates&gt;&lt;publisher&gt;John Wiley &amp;amp; Sons, Ltd&lt;/publisher&gt;&lt;isbn&gt;1751-7885&amp;#xD;1751-7893&lt;/isbn&gt;&lt;urls&gt;&lt;related-urls&gt;&lt;url&gt;https://doi.org/10.1111/j.1751-7893.2007.00034.x&lt;/url&gt;&lt;/related-urls&gt;&lt;/urls&gt;&lt;electronic-resource-num&gt;10.1111/j.1751-7893.2007.00034.x&lt;/electronic-resource-num&gt;&lt;access-date&gt;2024/07/24&lt;/access-date&gt;&lt;/record&gt;&lt;/Cite&gt;&lt;/EndNote&gt;</w:instrText>
      </w:r>
      <w:r w:rsidRPr="004D46AC">
        <w:fldChar w:fldCharType="separate"/>
      </w:r>
      <w:r w:rsidRPr="004D46AC">
        <w:rPr>
          <w:noProof/>
        </w:rPr>
        <w:t>(Vracotas et al., 2007)</w:t>
      </w:r>
      <w:r w:rsidRPr="004D46AC">
        <w:fldChar w:fldCharType="end"/>
      </w:r>
      <w:r w:rsidRPr="004D46AC">
        <w:t xml:space="preserve"> and, in </w:t>
      </w:r>
      <w:r w:rsidRPr="004D46AC">
        <w:lastRenderedPageBreak/>
        <w:t xml:space="preserve">any case, there is no reason to assume that the most distressing symptoms are those that are most central to the disease process (by analogy, in many medical conditions pain is the main source of distress but is not the central pathological process). An implication of our admittedly speculative interpretation of our data is that advances in the treatment of psychosis might be achieved by researchers developing treatments that are more focused on negative emotion and negative symptoms. </w:t>
      </w:r>
    </w:p>
    <w:p w14:paraId="1CCE4C43" w14:textId="77777777" w:rsidR="003D5CB6" w:rsidRPr="004D46AC" w:rsidRDefault="003D5CB6" w:rsidP="00B518F1">
      <w:r w:rsidRPr="004D46AC">
        <w:t>Our exploratory analyses of differences in specific edge weights should be interpreted with caution given the results of omnibus tests and the lack of a priori hypotheses but are nonetheless of potential theoretical interest. The role of cognitive versus affective processes in thought disorder has long been debated. The Bleulerian view that loosening of association was a driving process in schizophrenia has been supported by empirical research</w:t>
      </w:r>
      <w:r w:rsidRPr="004D46AC">
        <w:rPr>
          <w:rFonts w:hint="eastAsia"/>
        </w:rPr>
        <w:t xml:space="preserve"> </w:t>
      </w:r>
      <w:r w:rsidRPr="004D46AC">
        <w:fldChar w:fldCharType="begin">
          <w:fldData xml:space="preserve">PEVuZE5vdGU+PENpdGU+PEF1dGhvcj5TcGl0emVyPC9BdXRob3I+PFllYXI+MTk5MzwvWWVhcj48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</w:fldData>
        </w:fldChar>
      </w:r>
      <w:r w:rsidRPr="004D46AC">
        <w:instrText xml:space="preserve"> ADDIN EN.CITE </w:instrText>
      </w:r>
      <w:r w:rsidRPr="004D46AC">
        <w:fldChar w:fldCharType="begin">
          <w:fldData xml:space="preserve">PEVuZE5vdGU+PENpdGU+PEF1dGhvcj5TcGl0emVyPC9BdXRob3I+PFllYXI+MTk5MzwvWWVhcj48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</w:fldData>
        </w:fldChar>
      </w:r>
      <w:r w:rsidRPr="004D46AC">
        <w:instrText xml:space="preserve"> ADDIN EN.CITE.DATA </w:instrText>
      </w:r>
      <w:r w:rsidRPr="004D46AC">
        <w:fldChar w:fldCharType="end"/>
      </w:r>
      <w:r w:rsidRPr="004D46AC">
        <w:fldChar w:fldCharType="separate"/>
      </w:r>
      <w:r w:rsidRPr="004D46AC">
        <w:rPr>
          <w:noProof/>
        </w:rPr>
        <w:t>(Spitzer et al., 1993)</w:t>
      </w:r>
      <w:r w:rsidRPr="004D46AC">
        <w:fldChar w:fldCharType="end"/>
      </w:r>
      <w:r w:rsidRPr="004D46AC">
        <w:t xml:space="preserve"> suggesting that this process is specifically associated with thought disorder but, at the same time, there is evidence that affective reactivity plays a role in disordered speech in both schizophrenia and bipolar disorder</w:t>
      </w:r>
      <w:r w:rsidRPr="004D46AC">
        <w:rPr>
          <w:rFonts w:hint="eastAsia"/>
        </w:rPr>
        <w:t xml:space="preserve"> </w:t>
      </w:r>
      <w:r w:rsidRPr="004D46AC">
        <w:fldChar w:fldCharType="begin">
          <w:fldData xml:space="preserve">PEVuZE5vdGU+PENpdGU+PEF1dGhvcj5UYWk8L0F1dGhvcj48WWVhcj4yMDA0PC9ZZWFyPjxSZWNO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</w:fldData>
        </w:fldChar>
      </w:r>
      <w:r w:rsidRPr="004D46AC">
        <w:instrText xml:space="preserve"> ADDIN EN.CITE </w:instrText>
      </w:r>
      <w:r w:rsidRPr="004D46AC">
        <w:fldChar w:fldCharType="begin">
          <w:fldData xml:space="preserve">PEVuZE5vdGU+PENpdGU+PEF1dGhvcj5UYWk8L0F1dGhvcj48WWVhcj4yMDA0PC9ZZWFyPjxSZWNO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</w:fldData>
        </w:fldChar>
      </w:r>
      <w:r w:rsidRPr="004D46AC">
        <w:instrText xml:space="preserve"> ADDIN EN.CITE.DATA </w:instrText>
      </w:r>
      <w:r w:rsidRPr="004D46AC">
        <w:fldChar w:fldCharType="end"/>
      </w:r>
      <w:r w:rsidRPr="004D46AC">
        <w:fldChar w:fldCharType="separate"/>
      </w:r>
      <w:r w:rsidRPr="004D46AC">
        <w:rPr>
          <w:noProof/>
        </w:rPr>
        <w:t>(de Sousa et al., 2016; Tai et al., 2004)</w:t>
      </w:r>
      <w:r w:rsidRPr="004D46AC">
        <w:fldChar w:fldCharType="end"/>
      </w:r>
      <w:r w:rsidRPr="004D46AC">
        <w:t>. The network structure observed here suggests that both processes may be important but the high variability in the edge between thought disorder and conceptual disorganisation suggests that this latter process is more important in schizophrenia patients.</w:t>
      </w:r>
    </w:p>
    <w:p w14:paraId="31506522" w14:textId="77777777" w:rsidR="003D5CB6" w:rsidRPr="004D46AC" w:rsidRDefault="003D5CB6" w:rsidP="00B518F1">
      <w:pPr>
        <w:rPr>
          <w:rFonts w:eastAsiaTheme="minorEastAsia"/>
        </w:rPr>
      </w:pPr>
      <w:r w:rsidRPr="004D46AC">
        <w:rPr>
          <w:i/>
          <w:iCs/>
        </w:rPr>
        <w:t>Pessimistic thought</w:t>
      </w:r>
      <w:r w:rsidRPr="004D46AC">
        <w:t xml:space="preserve"> (M9) plays a role in </w:t>
      </w:r>
      <w:proofErr w:type="gramStart"/>
      <w:r w:rsidRPr="004D46AC">
        <w:t>both of the highly</w:t>
      </w:r>
      <w:proofErr w:type="gramEnd"/>
      <w:r w:rsidRPr="004D46AC">
        <w:t xml:space="preserve"> variable edge comparisons in depressive symptoms, in relation to both </w:t>
      </w:r>
      <w:r w:rsidRPr="004D46AC">
        <w:rPr>
          <w:rFonts w:hint="eastAsia"/>
          <w:i/>
          <w:iCs/>
        </w:rPr>
        <w:t>R</w:t>
      </w:r>
      <w:r w:rsidRPr="004D46AC">
        <w:rPr>
          <w:i/>
          <w:iCs/>
        </w:rPr>
        <w:t xml:space="preserve">eported sadness </w:t>
      </w:r>
      <w:r w:rsidRPr="004D46AC">
        <w:t>(M2: MADRS) and M9 and</w:t>
      </w:r>
      <w:r w:rsidRPr="004D46AC">
        <w:rPr>
          <w:rFonts w:hint="eastAsia"/>
        </w:rPr>
        <w:t xml:space="preserve"> </w:t>
      </w:r>
      <w:r w:rsidRPr="004D46AC">
        <w:rPr>
          <w:rFonts w:hint="eastAsia"/>
          <w:i/>
          <w:iCs/>
        </w:rPr>
        <w:t>I</w:t>
      </w:r>
      <w:r w:rsidRPr="004D46AC">
        <w:rPr>
          <w:i/>
          <w:iCs/>
        </w:rPr>
        <w:t>nability to feel</w:t>
      </w:r>
      <w:r w:rsidRPr="004D46AC">
        <w:t xml:space="preserve"> (M8: MADRS). Learned hopelessness theory suggests that a pessimistic attributional (explanatory) style plays a central role in depressed mood</w:t>
      </w:r>
      <w:r w:rsidRPr="004D46AC">
        <w:rPr>
          <w:rFonts w:hint="eastAsia"/>
        </w:rPr>
        <w:t xml:space="preserve"> </w:t>
      </w:r>
      <w:r w:rsidRPr="004D46AC">
        <w:fldChar w:fldCharType="begin"/>
      </w:r>
      <w:r w:rsidRPr="004D46AC">
        <w:instrText xml:space="preserve"> ADDIN EN.CITE &lt;EndNote&gt;&lt;Cite&gt;&lt;Author&gt;Abramson&lt;/Author&gt;&lt;Year&gt;1978&lt;/Year&gt;&lt;RecNum&gt;516&lt;/RecNum&gt;&lt;DisplayText&gt;(Abramson et al., 1978)&lt;/DisplayText&gt;&lt;record&gt;&lt;rec-number&gt;516&lt;/rec-number&gt;&lt;foreign-keys&gt;&lt;key app="EN" db-id="aet009sstawa0hewvt3xwf5atffdw2dt02sw" timestamp="1709672903"&gt;516&lt;/key&gt;&lt;/foreign-keys&gt;&lt;ref-type name="Journal Article"&gt;17&lt;/ref-type&gt;&lt;contributors&gt;&lt;authors&gt;&lt;author&gt;Abramson, L. Y.&lt;/author&gt;&lt;author&gt;Seligman, M. E.&lt;/author&gt;&lt;author&gt;Teasdale, J. D.&lt;/author&gt;&lt;/authors&gt;&lt;/contributors&gt;&lt;titles&gt;&lt;title&gt;Learned helplessness in humans: critique and reformulation&lt;/title&gt;&lt;secondary-title&gt;J Abnorm Psychol&lt;/secondary-title&gt;&lt;/titles&gt;&lt;periodical&gt;&lt;full-title&gt;J Abnorm Psychol&lt;/full-title&gt;&lt;/periodical&gt;&lt;pages&gt;49-74&lt;/pages&gt;&lt;volume&gt;87&lt;/volume&gt;&lt;number&gt;1&lt;/number&gt;&lt;keywords&gt;&lt;keyword&gt;Cognition&lt;/keyword&gt;&lt;keyword&gt;Depression/*psychology&lt;/keyword&gt;&lt;keyword&gt;Humans&lt;/keyword&gt;&lt;keyword&gt;*Models, Psychological&lt;/keyword&gt;&lt;keyword&gt;Motivation&lt;/keyword&gt;&lt;/keywords&gt;&lt;dates&gt;&lt;year&gt;1978&lt;/year&gt;&lt;pub-dates&gt;&lt;date&gt;Feb&lt;/date&gt;&lt;/pub-dates&gt;&lt;/dates&gt;&lt;pub-location&gt;US&lt;/pub-location&gt;&lt;publisher&gt;American Psychological Association&lt;/publisher&gt;&lt;isbn&gt;0021-843X (Print)&amp;#xD;0021-843X (Linking)&lt;/isbn&gt;&lt;accession-num&gt;649856&lt;/accession-num&gt;&lt;urls&gt;&lt;related-urls&gt;&lt;url&gt;https://www.ncbi.nlm.nih.gov/pubmed/649856&lt;/url&gt;&lt;/related-urls&gt;&lt;/urls&gt;&lt;electronic-resource-num&gt;10.1037/0021-843X.87.1.49&lt;/electronic-resource-num&gt;&lt;remote-database-name&gt;Medline&lt;/remote-database-name&gt;&lt;remote-database-provider&gt;NLM&lt;/remote-database-provider&gt;&lt;/record&gt;&lt;/Cite&gt;&lt;/EndNote&gt;</w:instrText>
      </w:r>
      <w:r w:rsidRPr="004D46AC">
        <w:fldChar w:fldCharType="separate"/>
      </w:r>
      <w:r w:rsidRPr="004D46AC">
        <w:rPr>
          <w:noProof/>
        </w:rPr>
        <w:t>(Abramson et al., 1978)</w:t>
      </w:r>
      <w:r w:rsidRPr="004D46AC">
        <w:fldChar w:fldCharType="end"/>
      </w:r>
      <w:r w:rsidRPr="004D46AC">
        <w:t xml:space="preserve"> and this relationship seems reflected in the network model of PBD patients but less so in that of SCA patients. However, it is possible that this is because the SCA patients had both higher pessimism and higher depressed mood than the PBD patients (see Table </w:t>
      </w:r>
      <w:r w:rsidRPr="004D46AC">
        <w:rPr>
          <w:rFonts w:eastAsiaTheme="minorEastAsia" w:hint="eastAsia"/>
        </w:rPr>
        <w:t>3.</w:t>
      </w:r>
      <w:r w:rsidRPr="004D46AC">
        <w:t>2). Meanwhile, the relationship between pessimistic thought and inability to feel (a bridge symptom between depressive and negative symptoms) is more evident in SCA patients than SCZ patients, which is partially in line with a prior report that the relationship was stronger in depressed adolescents than those with subthreshold depression</w:t>
      </w:r>
      <w:r w:rsidRPr="004D46AC">
        <w:rPr>
          <w:rFonts w:hint="eastAsia"/>
        </w:rPr>
        <w:t xml:space="preserve"> </w:t>
      </w:r>
      <w:r w:rsidRPr="004D46AC">
        <w:fldChar w:fldCharType="begin"/>
      </w:r>
      <w:r w:rsidRPr="004D46AC">
        <w:instrText xml:space="preserve"> ADDIN EN.CITE &lt;EndNote&gt;&lt;Cite&gt;&lt;Author&gt;Gutkovich&lt;/Author&gt;&lt;Year&gt;2011&lt;/Year&gt;&lt;RecNum&gt;517&lt;/RecNum&gt;&lt;DisplayText&gt;(Gutkovich et al., 2011)&lt;/DisplayText&gt;&lt;record&gt;&lt;rec-number&gt;517&lt;/rec-number&gt;&lt;foreign-keys&gt;&lt;key app="EN" db-id="aet009sstawa0hewvt3xwf5atffdw2dt02sw" timestamp="1709725575"&gt;517&lt;/key&gt;&lt;/foreign-keys&gt;&lt;ref-type name="Journal Article"&gt;17&lt;/ref-type&gt;&lt;contributors&gt;&lt;authors&gt;&lt;author&gt;Gutkovich, Z.&lt;/author&gt;&lt;author&gt;Morrissey, R. F.&lt;/author&gt;&lt;author&gt;Espaillat, R. K.&lt;/author&gt;&lt;author&gt;Dicker, R.&lt;/author&gt;&lt;/authors&gt;&lt;/contributors&gt;&lt;auth-address&gt;Division of Child and Adolescent Psychiatry, Long Island Jewish Medical Center, Schneider Children&amp;apos;s Hospital, NY 11040, USA.&lt;/auth-address&gt;&lt;titles&gt;&lt;title&gt;Anhedonia and pessimism in hospitalized depressed adolescents&lt;/title&gt;&lt;secondary-title&gt;Depress Res Treat&lt;/secondary-title&gt;&lt;/titles&gt;&lt;pages&gt;795173&lt;/pages&gt;&lt;volume&gt;2011&lt;/volume&gt;&lt;edition&gt;20101012&lt;/edition&gt;&lt;dates&gt;&lt;year&gt;2011&lt;/year&gt;&lt;/dates&gt;&lt;isbn&gt;2090-133X (Electronic)&amp;#xD;2090-1321 (Print)&amp;#xD;2090-1321 (Linking)&lt;/isbn&gt;&lt;accession-num&gt;21197098&lt;/accession-num&gt;&lt;urls&gt;&lt;related-urls&gt;&lt;url&gt;https://www.ncbi.nlm.nih.gov/pubmed/21197098&lt;/url&gt;&lt;/related-urls&gt;&lt;/urls&gt;&lt;custom2&gt;PMC3003959&lt;/custom2&gt;&lt;electronic-resource-num&gt;10.1155/2011/795173&lt;/electronic-resource-num&gt;&lt;remote-database-name&gt;PubMed-not-MEDLINE&lt;/remote-database-name&gt;&lt;remote-database-provider&gt;NLM&lt;/remote-database-provider&gt;&lt;/record&gt;&lt;/Cite&gt;&lt;/EndNote&gt;</w:instrText>
      </w:r>
      <w:r w:rsidRPr="004D46AC">
        <w:fldChar w:fldCharType="separate"/>
      </w:r>
      <w:r w:rsidRPr="004D46AC">
        <w:rPr>
          <w:noProof/>
        </w:rPr>
        <w:t>(Gutkovich et al., 2011)</w:t>
      </w:r>
      <w:r w:rsidRPr="004D46AC">
        <w:fldChar w:fldCharType="end"/>
      </w:r>
      <w:r w:rsidRPr="004D46AC">
        <w:t xml:space="preserve">. </w:t>
      </w:r>
      <w:r w:rsidRPr="004D46AC">
        <w:lastRenderedPageBreak/>
        <w:t>Speculating, it is possible that pessimistic thinking plays a role in both low mood and flat affect but that the former relationship is more evident in PBD patients whereas the latter is more evident is SCA patients. A further speculation is that the attribution style is less significant in the path toward inability to feel and negative symptoms in schizophrenia patients than that in schizoaffective patients. Further research about the relationship between attribution style and both symptoms seems merited.</w:t>
      </w:r>
    </w:p>
    <w:p w14:paraId="74448511" w14:textId="77777777" w:rsidR="003D5CB6" w:rsidRPr="004D46AC" w:rsidRDefault="003D5CB6" w:rsidP="00B518F1">
      <w:pPr>
        <w:pStyle w:val="3"/>
      </w:pPr>
      <w:r w:rsidRPr="004D46AC">
        <w:t>Limitations</w:t>
      </w:r>
    </w:p>
    <w:p w14:paraId="5830934C" w14:textId="6CE79A9A" w:rsidR="003D5CB6" w:rsidRPr="004D46AC" w:rsidRDefault="003D5CB6" w:rsidP="00263DDA">
      <w:r w:rsidRPr="004D46AC">
        <w:t xml:space="preserve">The current study utilised a large sample that was representative of the broad population of patients with psychosis; the data is high </w:t>
      </w:r>
      <w:proofErr w:type="gramStart"/>
      <w:r w:rsidRPr="004D46AC">
        <w:t>quality</w:t>
      </w:r>
      <w:proofErr w:type="gramEnd"/>
      <w:r w:rsidRPr="004D46AC">
        <w:t xml:space="preserve"> and a principled approach was taken to item inclusion. However, our research has the following limitations: 1) Network models assume causal relationships between nodes in the network, but the data is correlational. The link between nodes denotes the probability of joint presence, and this presence is based on cross sectional data, so that the direction of the relationship cannot be determined. Further research is required to establish the direction of influence (e.g., between conceptual disorganisation and thought disorder), for example by longitudinal/ dynamic network analysis. 2) Although the general psychotic population network comprised a large sample size and was very stable, the node centralities (e.g., closeness and betweenness), replicabilities and structural consistencies were quite unstable for some subgroups and symptoms. This could be ameliorated by recruiting even larger samples to more accurately assess and understand networks in diagnostic subgroups. 3) </w:t>
      </w:r>
      <w:r w:rsidR="00D2122F" w:rsidRPr="004D46AC">
        <w:t xml:space="preserve">The clinical scales used (e.g., PANSS, YMRS, MADRS) capture symptoms over </w:t>
      </w:r>
      <w:r w:rsidR="008E2FAB" w:rsidRPr="004D46AC">
        <w:t>several days</w:t>
      </w:r>
      <w:r w:rsidR="00D2122F" w:rsidRPr="004D46AC">
        <w:t>. While assessing clinically stable patients demonstrates that phenomenological overlap persists outside of acute episodes, this cross-sectional snapshot cannot account for the differing longitudinal courses of these illnesses. This is taxonomically critical, as DSM criteria require substantially different symptom durations for a schizophrenia diagnosis (e.g., at least 6 months) compared to bipolar episodes. Therefore, our findings highlight short-term phenomenological similarity among stable patients, but do not inherently establish diagnostic equivalence or a unitary underlying disorder.</w:t>
      </w:r>
      <w:r w:rsidRPr="004D46AC">
        <w:t xml:space="preserve">4) Our analyses did not examine the influence of external factors on </w:t>
      </w:r>
      <w:r w:rsidRPr="004D46AC">
        <w:lastRenderedPageBreak/>
        <w:t>psychopathology (for example, life trauma, which may have effects on specific symptoms). Future work including these factors in network analyses may be informative about the role of the environment in the course of mental illness.</w:t>
      </w:r>
      <w:r w:rsidR="00263DDA" w:rsidRPr="004D46AC">
        <w:t xml:space="preserve"> 5) </w:t>
      </w:r>
      <w:r w:rsidRPr="004D46AC">
        <w:t>A final caveat is that there is no known way of comparing network models with the longer established latent variable models, which have recently suggested a transdiagnostic psychosis latent variable</w:t>
      </w:r>
      <w:r w:rsidRPr="004D46AC">
        <w:rPr>
          <w:rFonts w:eastAsiaTheme="minorEastAsia" w:hint="eastAsia"/>
        </w:rPr>
        <w:t xml:space="preserve"> </w:t>
      </w:r>
      <w:r w:rsidRPr="004D46AC">
        <w:fldChar w:fldCharType="begin">
          <w:fldData xml:space="preserve">PEVuZE5vdGU+PENpdGU+PEF1dGhvcj5SZWluaW5naGF1czwvQXV0aG9yPjxZZWFyPjIwMTM8L1ll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</w:fldData>
        </w:fldChar>
      </w:r>
      <w:r w:rsidRPr="004D46AC">
        <w:instrText xml:space="preserve"> ADDIN EN.CITE </w:instrText>
      </w:r>
      <w:r w:rsidRPr="004D46AC">
        <w:fldChar w:fldCharType="begin">
          <w:fldData xml:space="preserve">PEVuZE5vdGU+PENpdGU+PEF1dGhvcj5SZWluaW5naGF1czwvQXV0aG9yPjxZZWFyPjIwMTM8L1ll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</w:fldData>
        </w:fldChar>
      </w:r>
      <w:r w:rsidRPr="004D46AC">
        <w:instrText xml:space="preserve"> ADDIN EN.CITE.DATA </w:instrText>
      </w:r>
      <w:r w:rsidRPr="004D46AC">
        <w:fldChar w:fldCharType="end"/>
      </w:r>
      <w:r w:rsidRPr="004D46AC">
        <w:fldChar w:fldCharType="separate"/>
      </w:r>
      <w:r w:rsidRPr="004D46AC">
        <w:rPr>
          <w:noProof/>
        </w:rPr>
        <w:t>(Reininghaus et al., 2016; Reininghaus et al., 2013)</w:t>
      </w:r>
      <w:r w:rsidRPr="004D46AC">
        <w:fldChar w:fldCharType="end"/>
      </w:r>
      <w:r w:rsidRPr="004D46AC">
        <w:t>. Indeed, one analysis</w:t>
      </w:r>
      <w:r w:rsidRPr="004D46AC">
        <w:rPr>
          <w:rFonts w:eastAsiaTheme="minorEastAsia" w:hint="eastAsia"/>
        </w:rPr>
        <w:t xml:space="preserve"> </w:t>
      </w:r>
      <w:r w:rsidRPr="004D46AC">
        <w:fldChar w:fldCharType="begin">
          <w:fldData xml:space="preserve">PEVuZE5vdGU+PENpdGU+PEF1dGhvcj5SZWluaW5naGF1czwvQXV0aG9yPjxZZWFyPjIwMTk8L1ll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</w:fldData>
        </w:fldChar>
      </w:r>
      <w:r w:rsidRPr="004D46AC">
        <w:instrText xml:space="preserve"> ADDIN EN.CITE </w:instrText>
      </w:r>
      <w:r w:rsidRPr="004D46AC">
        <w:fldChar w:fldCharType="begin">
          <w:fldData xml:space="preserve">PEVuZE5vdGU+PENpdGU+PEF1dGhvcj5SZWluaW5naGF1czwvQXV0aG9yPjxZZWFyPjIwMTk8L1ll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</w:fldData>
        </w:fldChar>
      </w:r>
      <w:r w:rsidRPr="004D46AC">
        <w:instrText xml:space="preserve"> ADDIN EN.CITE.DATA </w:instrText>
      </w:r>
      <w:r w:rsidRPr="004D46AC">
        <w:fldChar w:fldCharType="end"/>
      </w:r>
      <w:r w:rsidRPr="004D46AC">
        <w:fldChar w:fldCharType="separate"/>
      </w:r>
      <w:r w:rsidRPr="004D46AC">
        <w:rPr>
          <w:noProof/>
        </w:rPr>
        <w:t>(Reininghaus et al., 2019)</w:t>
      </w:r>
      <w:r w:rsidRPr="004D46AC">
        <w:fldChar w:fldCharType="end"/>
      </w:r>
      <w:r w:rsidRPr="004D46AC">
        <w:t xml:space="preserve"> supporting a general psychosis dimension has used a subset (B-SN</w:t>
      </w:r>
      <w:r w:rsidRPr="004D46AC">
        <w:rPr>
          <w:rFonts w:eastAsiaTheme="minorEastAsia" w:hint="eastAsia"/>
        </w:rPr>
        <w:t>I</w:t>
      </w:r>
      <w:r w:rsidRPr="004D46AC">
        <w:t>P</w:t>
      </w:r>
      <w:r w:rsidRPr="004D46AC">
        <w:rPr>
          <w:rFonts w:eastAsiaTheme="minorEastAsia" w:hint="eastAsia"/>
        </w:rPr>
        <w:t>1</w:t>
      </w:r>
      <w:r w:rsidRPr="004D46AC">
        <w:t>) of the data used in the present analyses. Our findings of similar network structures across psychotic populations are in line with the bifactor model assumption that a general psychosis psychopathology factor is important in all diagnostic groups. However, our findings revealed 3 - 6 network communities within different populations, which contrasts to the factors found in abovementioned studies using latent variable approaches. It seems plausible that both underlying latent factors and symptom-to-symptom influences are important in driving psychopathology, with exogenous factors also influencing symptom expression at both levels. However, further methodological advances are required before it will be possible to test models of such complexity.</w:t>
      </w:r>
    </w:p>
    <w:p w14:paraId="5A8FC20B" w14:textId="77777777" w:rsidR="003D5CB6" w:rsidRPr="004D46AC" w:rsidRDefault="003D5CB6" w:rsidP="00B518F1">
      <w:pPr>
        <w:ind w:firstLine="0"/>
        <w:rPr>
          <w:rFonts w:eastAsiaTheme="minorEastAsia"/>
          <w:sz w:val="24"/>
          <w:szCs w:val="24"/>
        </w:rPr>
      </w:pPr>
    </w:p>
    <w:p w14:paraId="58140E5D" w14:textId="77777777" w:rsidR="003D5CB6" w:rsidRPr="004D46AC" w:rsidRDefault="003D5CB6" w:rsidP="00B518F1">
      <w:pPr>
        <w:ind w:firstLine="0"/>
        <w:rPr>
          <w:rFonts w:eastAsiaTheme="minorEastAsia"/>
          <w:sz w:val="24"/>
          <w:szCs w:val="24"/>
        </w:rPr>
      </w:pPr>
    </w:p>
    <w:p w14:paraId="1477F4FB" w14:textId="77777777" w:rsidR="003D5CB6" w:rsidRPr="004D46AC" w:rsidRDefault="003D5CB6" w:rsidP="00B518F1">
      <w:pPr>
        <w:ind w:firstLine="0"/>
        <w:rPr>
          <w:rFonts w:eastAsiaTheme="minorEastAsia"/>
          <w:sz w:val="24"/>
          <w:szCs w:val="24"/>
        </w:rPr>
      </w:pPr>
    </w:p>
    <w:p w14:paraId="58FE09F0" w14:textId="77777777" w:rsidR="003D5CB6" w:rsidRPr="004D46AC" w:rsidRDefault="003D5CB6" w:rsidP="00B518F1">
      <w:pPr>
        <w:ind w:firstLine="0"/>
        <w:rPr>
          <w:rFonts w:eastAsiaTheme="minorEastAsia"/>
          <w:sz w:val="24"/>
          <w:szCs w:val="24"/>
        </w:rPr>
      </w:pPr>
    </w:p>
    <w:p w14:paraId="24D02457" w14:textId="77777777" w:rsidR="003D5CB6" w:rsidRPr="004D46AC" w:rsidRDefault="003D5CB6" w:rsidP="00B518F1">
      <w:pPr>
        <w:ind w:firstLine="0"/>
        <w:rPr>
          <w:rFonts w:eastAsiaTheme="minorEastAsia"/>
          <w:sz w:val="24"/>
          <w:szCs w:val="24"/>
        </w:rPr>
      </w:pPr>
    </w:p>
    <w:p w14:paraId="600EE383" w14:textId="77777777" w:rsidR="003D5CB6" w:rsidRPr="004D46AC" w:rsidRDefault="003D5CB6" w:rsidP="00B518F1">
      <w:pPr>
        <w:ind w:firstLine="0"/>
        <w:rPr>
          <w:rFonts w:eastAsiaTheme="minorEastAsia"/>
          <w:sz w:val="24"/>
          <w:szCs w:val="24"/>
        </w:rPr>
      </w:pPr>
    </w:p>
    <w:p w14:paraId="363B047D" w14:textId="77777777" w:rsidR="003D5CB6" w:rsidRPr="004D46AC" w:rsidRDefault="003D5CB6" w:rsidP="00B518F1">
      <w:pPr>
        <w:ind w:firstLine="0"/>
        <w:rPr>
          <w:rFonts w:eastAsiaTheme="minorEastAsia"/>
          <w:sz w:val="24"/>
          <w:szCs w:val="24"/>
        </w:rPr>
      </w:pPr>
    </w:p>
    <w:p w14:paraId="1127F878" w14:textId="77777777" w:rsidR="003D5CB6" w:rsidRPr="004D46AC" w:rsidRDefault="003D5CB6" w:rsidP="00B518F1">
      <w:pPr>
        <w:ind w:firstLine="0"/>
        <w:rPr>
          <w:rFonts w:eastAsiaTheme="minorEastAsia"/>
          <w:sz w:val="24"/>
          <w:szCs w:val="24"/>
        </w:rPr>
      </w:pPr>
    </w:p>
    <w:p w14:paraId="4573CAE4" w14:textId="77777777" w:rsidR="003D5CB6" w:rsidRPr="004D46AC" w:rsidRDefault="003D5CB6" w:rsidP="00B518F1">
      <w:pPr>
        <w:ind w:firstLine="0"/>
        <w:rPr>
          <w:rFonts w:eastAsiaTheme="minorEastAsia"/>
          <w:sz w:val="24"/>
          <w:szCs w:val="24"/>
        </w:rPr>
      </w:pPr>
    </w:p>
    <w:p w14:paraId="063B689E" w14:textId="77777777" w:rsidR="003D5CB6" w:rsidRPr="004D46AC" w:rsidRDefault="003D5CB6" w:rsidP="00B518F1">
      <w:pPr>
        <w:ind w:firstLine="0"/>
        <w:rPr>
          <w:rFonts w:eastAsiaTheme="minorEastAsia"/>
          <w:sz w:val="24"/>
          <w:szCs w:val="24"/>
        </w:rPr>
      </w:pPr>
    </w:p>
    <w:p w14:paraId="3900294B" w14:textId="77777777" w:rsidR="003D5CB6" w:rsidRPr="004D46AC" w:rsidRDefault="003D5CB6" w:rsidP="00B518F1">
      <w:pPr>
        <w:ind w:firstLine="0"/>
        <w:rPr>
          <w:rFonts w:eastAsiaTheme="minorEastAsia"/>
          <w:sz w:val="24"/>
          <w:szCs w:val="24"/>
        </w:rPr>
      </w:pPr>
    </w:p>
    <w:p w14:paraId="563CFA36" w14:textId="77777777" w:rsidR="003D5CB6" w:rsidRPr="004D46AC" w:rsidRDefault="003D5CB6" w:rsidP="00B518F1">
      <w:pPr>
        <w:pStyle w:val="2"/>
      </w:pPr>
      <w:bookmarkStart w:id="134" w:name="_Toc219888772"/>
      <w:r w:rsidRPr="004D46AC">
        <w:lastRenderedPageBreak/>
        <w:t>Conclusion</w:t>
      </w:r>
      <w:bookmarkEnd w:id="134"/>
    </w:p>
    <w:p w14:paraId="76A99027" w14:textId="7EF8A36B" w:rsidR="0022744D" w:rsidRPr="004D46AC" w:rsidRDefault="00D2122F" w:rsidP="00D2122F">
      <w:pPr>
        <w:rPr>
          <w:rFonts w:eastAsiaTheme="minorEastAsia"/>
          <w:sz w:val="24"/>
          <w:szCs w:val="24"/>
        </w:rPr>
      </w:pPr>
      <w:r w:rsidRPr="004D46AC">
        <w:t>Bipolar disorder, schizoaffective disorder, and schizophrenia exhibit marked similarities in their cross-sectional network topology and the interplay between affective and psychotic syndromes. These results underscore a significant transdiagnostic phenomenological overlap across the psychotic spectrum. However, observed divergences in network communities and specific edge weights suggest that the underlying mechanisms driving symptomatic expression may be distinct across diagnostic groups. Furthermore, while these structural commonalities persist among clinically stable patients, the taxonomic equivalence remains to be established; future investigation is warranted to elucidate whether longitudinal course and symptom dynamics across the affective-psychotic spectrum are truly convergent or remain fundamentally distinct.</w:t>
      </w:r>
    </w:p>
    <w:p w14:paraId="05872C82" w14:textId="77777777" w:rsidR="0022744D" w:rsidRPr="004D46AC" w:rsidRDefault="0022744D" w:rsidP="00B518F1">
      <w:pPr>
        <w:ind w:firstLine="0"/>
        <w:rPr>
          <w:rFonts w:eastAsiaTheme="minorEastAsia"/>
          <w:sz w:val="24"/>
          <w:szCs w:val="24"/>
        </w:rPr>
      </w:pPr>
    </w:p>
    <w:p w14:paraId="3141C479" w14:textId="77777777" w:rsidR="0022744D" w:rsidRPr="004D46AC" w:rsidRDefault="0022744D" w:rsidP="00B518F1">
      <w:pPr>
        <w:ind w:firstLine="0"/>
        <w:rPr>
          <w:rFonts w:eastAsiaTheme="minorEastAsia"/>
          <w:sz w:val="24"/>
          <w:szCs w:val="24"/>
        </w:rPr>
      </w:pPr>
    </w:p>
    <w:p w14:paraId="01C0FC6B" w14:textId="77777777" w:rsidR="0022744D" w:rsidRPr="004D46AC" w:rsidRDefault="0022744D" w:rsidP="00B518F1">
      <w:pPr>
        <w:ind w:firstLine="0"/>
        <w:rPr>
          <w:rFonts w:eastAsiaTheme="minorEastAsia"/>
          <w:sz w:val="24"/>
          <w:szCs w:val="24"/>
        </w:rPr>
      </w:pPr>
    </w:p>
    <w:p w14:paraId="1F00C289" w14:textId="77777777" w:rsidR="003D5CB6" w:rsidRPr="004D46AC" w:rsidRDefault="003D5CB6" w:rsidP="00B518F1">
      <w:pPr>
        <w:ind w:firstLine="0"/>
        <w:rPr>
          <w:rFonts w:eastAsiaTheme="minorEastAsia"/>
          <w:sz w:val="24"/>
          <w:szCs w:val="24"/>
        </w:rPr>
      </w:pPr>
    </w:p>
    <w:p w14:paraId="7B33C221" w14:textId="77777777" w:rsidR="003D5CB6" w:rsidRPr="004D46AC" w:rsidRDefault="003D5CB6" w:rsidP="00B518F1">
      <w:pPr>
        <w:ind w:firstLine="0"/>
        <w:rPr>
          <w:rFonts w:eastAsiaTheme="minorEastAsia"/>
          <w:sz w:val="24"/>
          <w:szCs w:val="24"/>
        </w:rPr>
      </w:pPr>
    </w:p>
    <w:p w14:paraId="0BAB6D51" w14:textId="77777777" w:rsidR="003D5CB6" w:rsidRPr="004D46AC" w:rsidRDefault="003D5CB6" w:rsidP="00B518F1">
      <w:pPr>
        <w:ind w:firstLine="0"/>
        <w:rPr>
          <w:rFonts w:eastAsiaTheme="minorEastAsia"/>
          <w:sz w:val="24"/>
          <w:szCs w:val="24"/>
        </w:rPr>
      </w:pPr>
    </w:p>
    <w:p w14:paraId="4A8D83AF" w14:textId="77777777" w:rsidR="003D5CB6" w:rsidRPr="004D46AC" w:rsidRDefault="003D5CB6" w:rsidP="00B518F1">
      <w:pPr>
        <w:ind w:firstLine="0"/>
        <w:rPr>
          <w:rFonts w:eastAsiaTheme="minorEastAsia"/>
          <w:sz w:val="24"/>
          <w:szCs w:val="24"/>
        </w:rPr>
      </w:pPr>
    </w:p>
    <w:p w14:paraId="3201A073" w14:textId="77777777" w:rsidR="003D5CB6" w:rsidRPr="004D46AC" w:rsidRDefault="003D5CB6" w:rsidP="00B518F1">
      <w:pPr>
        <w:ind w:firstLine="0"/>
        <w:rPr>
          <w:rFonts w:eastAsiaTheme="minorEastAsia"/>
          <w:sz w:val="24"/>
          <w:szCs w:val="24"/>
        </w:rPr>
      </w:pPr>
    </w:p>
    <w:p w14:paraId="03752762" w14:textId="77777777" w:rsidR="003D5CB6" w:rsidRPr="004D46AC" w:rsidRDefault="003D5CB6" w:rsidP="00B518F1">
      <w:pPr>
        <w:ind w:firstLine="0"/>
        <w:rPr>
          <w:rFonts w:eastAsiaTheme="minorEastAsia"/>
          <w:sz w:val="24"/>
          <w:szCs w:val="24"/>
        </w:rPr>
      </w:pPr>
    </w:p>
    <w:p w14:paraId="407498A4" w14:textId="77777777" w:rsidR="003D5CB6" w:rsidRPr="004D46AC" w:rsidRDefault="003D5CB6" w:rsidP="00B518F1">
      <w:pPr>
        <w:ind w:firstLine="0"/>
        <w:rPr>
          <w:rFonts w:eastAsiaTheme="minorEastAsia"/>
          <w:sz w:val="24"/>
          <w:szCs w:val="24"/>
        </w:rPr>
      </w:pPr>
    </w:p>
    <w:p w14:paraId="5410B4B4" w14:textId="77777777" w:rsidR="003D5CB6" w:rsidRPr="004D46AC" w:rsidRDefault="003D5CB6" w:rsidP="00B518F1">
      <w:pPr>
        <w:ind w:firstLine="0"/>
        <w:rPr>
          <w:rFonts w:eastAsiaTheme="minorEastAsia"/>
          <w:sz w:val="24"/>
          <w:szCs w:val="24"/>
        </w:rPr>
      </w:pPr>
    </w:p>
    <w:p w14:paraId="1FF1312A" w14:textId="77777777" w:rsidR="003D5CB6" w:rsidRPr="004D46AC" w:rsidRDefault="003D5CB6" w:rsidP="00B518F1">
      <w:pPr>
        <w:ind w:firstLine="0"/>
        <w:rPr>
          <w:rFonts w:eastAsiaTheme="minorEastAsia"/>
          <w:sz w:val="24"/>
          <w:szCs w:val="24"/>
        </w:rPr>
      </w:pPr>
    </w:p>
    <w:p w14:paraId="02F7CE96" w14:textId="77777777" w:rsidR="003D5CB6" w:rsidRPr="004D46AC" w:rsidRDefault="003D5CB6" w:rsidP="00B518F1">
      <w:pPr>
        <w:ind w:firstLine="0"/>
        <w:rPr>
          <w:rFonts w:eastAsiaTheme="minorEastAsia"/>
          <w:sz w:val="24"/>
          <w:szCs w:val="24"/>
        </w:rPr>
      </w:pPr>
    </w:p>
    <w:p w14:paraId="77BCF80D" w14:textId="77777777" w:rsidR="003D5CB6" w:rsidRPr="004D46AC" w:rsidRDefault="003D5CB6" w:rsidP="00B518F1">
      <w:pPr>
        <w:rPr>
          <w:sz w:val="24"/>
          <w:szCs w:val="24"/>
        </w:rPr>
      </w:pPr>
    </w:p>
    <w:p w14:paraId="27850755" w14:textId="77777777" w:rsidR="003D5CB6" w:rsidRPr="004D46AC" w:rsidRDefault="003D5CB6" w:rsidP="00B518F1">
      <w:pPr>
        <w:pStyle w:val="2"/>
      </w:pPr>
      <w:bookmarkStart w:id="135" w:name="_Toc219888773"/>
      <w:r w:rsidRPr="004D46AC">
        <w:lastRenderedPageBreak/>
        <w:t>References</w:t>
      </w:r>
      <w:bookmarkEnd w:id="135"/>
    </w:p>
    <w:p w14:paraId="357714FB"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eastAsia="DengXian" w:hAnsi="Arial" w:cs="Arial"/>
          <w:noProof/>
          <w:szCs w:val="22"/>
        </w:rPr>
        <w:fldChar w:fldCharType="begin"/>
      </w:r>
      <w:r w:rsidRPr="004D46AC">
        <w:rPr>
          <w:rFonts w:ascii="Arial" w:hAnsi="Arial" w:cs="Arial"/>
          <w:szCs w:val="22"/>
        </w:rPr>
        <w:instrText xml:space="preserve"> ADDIN EN.REFLIST </w:instrText>
      </w:r>
      <w:r w:rsidRPr="004D46AC">
        <w:rPr>
          <w:rFonts w:ascii="Arial" w:eastAsia="DengXian" w:hAnsi="Arial" w:cs="Arial"/>
          <w:noProof/>
          <w:szCs w:val="22"/>
        </w:rPr>
        <w:fldChar w:fldCharType="separate"/>
      </w:r>
      <w:r w:rsidRPr="004D46AC">
        <w:rPr>
          <w:rFonts w:ascii="Arial" w:hAnsi="Arial" w:cs="Arial"/>
          <w:szCs w:val="22"/>
        </w:rPr>
        <w:t xml:space="preserve">Abramson, L. Y., Seligman, M. E., &amp; Teasdale, J. D. (1978). Learned helplessness in humans: critique and reformulation. </w:t>
      </w:r>
      <w:r w:rsidRPr="004D46AC">
        <w:rPr>
          <w:rFonts w:ascii="Arial" w:hAnsi="Arial" w:cs="Arial"/>
          <w:i/>
          <w:szCs w:val="22"/>
        </w:rPr>
        <w:t>J Abnorm Psychol</w:t>
      </w:r>
      <w:r w:rsidRPr="004D46AC">
        <w:rPr>
          <w:rFonts w:ascii="Arial" w:hAnsi="Arial" w:cs="Arial"/>
          <w:szCs w:val="22"/>
        </w:rPr>
        <w:t>,</w:t>
      </w:r>
      <w:r w:rsidRPr="004D46AC">
        <w:rPr>
          <w:rFonts w:ascii="Arial" w:hAnsi="Arial" w:cs="Arial"/>
          <w:i/>
          <w:szCs w:val="22"/>
        </w:rPr>
        <w:t xml:space="preserve"> 87</w:t>
      </w:r>
      <w:r w:rsidRPr="004D46AC">
        <w:rPr>
          <w:rFonts w:ascii="Arial" w:hAnsi="Arial" w:cs="Arial"/>
          <w:szCs w:val="22"/>
        </w:rPr>
        <w:t xml:space="preserve">(1), 49–74. </w:t>
      </w:r>
      <w:hyperlink r:id="rId326" w:history="1">
        <w:r w:rsidRPr="004D46AC">
          <w:rPr>
            <w:rStyle w:val="af5"/>
            <w:rFonts w:ascii="Arial" w:hAnsi="Arial" w:cs="Arial"/>
            <w:szCs w:val="22"/>
          </w:rPr>
          <w:t>https://doi.org/10.1037/0021-843X.87.1.49</w:t>
        </w:r>
      </w:hyperlink>
      <w:r w:rsidRPr="004D46AC">
        <w:rPr>
          <w:rFonts w:ascii="Arial" w:hAnsi="Arial" w:cs="Arial"/>
          <w:szCs w:val="22"/>
        </w:rPr>
        <w:t xml:space="preserve"> </w:t>
      </w:r>
    </w:p>
    <w:p w14:paraId="346CB781"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American Psychiatric Association, i. b. (2022). </w:t>
      </w:r>
      <w:r w:rsidRPr="004D46AC">
        <w:rPr>
          <w:rFonts w:ascii="Arial" w:hAnsi="Arial" w:cs="Arial"/>
          <w:i/>
          <w:szCs w:val="22"/>
        </w:rPr>
        <w:t>Diagnostic and statistical manual of mental disorders : DSM-5-TR</w:t>
      </w:r>
      <w:r w:rsidRPr="004D46AC">
        <w:rPr>
          <w:rFonts w:ascii="Arial" w:hAnsi="Arial" w:cs="Arial"/>
          <w:szCs w:val="22"/>
        </w:rPr>
        <w:t xml:space="preserve"> (5th edition, text revision. ed.). Washington, DC : American Psychiatric Association Publishing, 2022. </w:t>
      </w:r>
    </w:p>
    <w:p w14:paraId="49C88CEE"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Baruch, P., Filteau, M. J., Bouchard, R. H., Pourcher, E., Vincent, P., &amp; Jouvent, R. (1992). The dimensional approach to clinical psychopharmacology: a polysemous concept. </w:t>
      </w:r>
      <w:r w:rsidRPr="004D46AC">
        <w:rPr>
          <w:rFonts w:ascii="Arial" w:hAnsi="Arial" w:cs="Arial"/>
          <w:i/>
          <w:szCs w:val="22"/>
        </w:rPr>
        <w:t>J Psychiatry Neurosci</w:t>
      </w:r>
      <w:r w:rsidRPr="004D46AC">
        <w:rPr>
          <w:rFonts w:ascii="Arial" w:hAnsi="Arial" w:cs="Arial"/>
          <w:szCs w:val="22"/>
        </w:rPr>
        <w:t>,</w:t>
      </w:r>
      <w:r w:rsidRPr="004D46AC">
        <w:rPr>
          <w:rFonts w:ascii="Arial" w:hAnsi="Arial" w:cs="Arial"/>
          <w:i/>
          <w:szCs w:val="22"/>
        </w:rPr>
        <w:t xml:space="preserve"> 17</w:t>
      </w:r>
      <w:r w:rsidRPr="004D46AC">
        <w:rPr>
          <w:rFonts w:ascii="Arial" w:hAnsi="Arial" w:cs="Arial"/>
          <w:szCs w:val="22"/>
        </w:rPr>
        <w:t xml:space="preserve">(2), 55–60. </w:t>
      </w:r>
    </w:p>
    <w:p w14:paraId="2DD361BA"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Benjamini, Y., &amp; Hochberg, Y. (1995). Controlling the False Discovery Rate: A Practical and Powerful Approach to Multiple Testing. </w:t>
      </w:r>
      <w:r w:rsidRPr="004D46AC">
        <w:rPr>
          <w:rFonts w:ascii="Arial" w:hAnsi="Arial" w:cs="Arial"/>
          <w:i/>
          <w:szCs w:val="22"/>
        </w:rPr>
        <w:t>Journal of the Royal Statistical Society Series B: Statistical Methodology</w:t>
      </w:r>
      <w:r w:rsidRPr="004D46AC">
        <w:rPr>
          <w:rFonts w:ascii="Arial" w:hAnsi="Arial" w:cs="Arial"/>
          <w:szCs w:val="22"/>
        </w:rPr>
        <w:t>,</w:t>
      </w:r>
      <w:r w:rsidRPr="004D46AC">
        <w:rPr>
          <w:rFonts w:ascii="Arial" w:hAnsi="Arial" w:cs="Arial"/>
          <w:i/>
          <w:szCs w:val="22"/>
        </w:rPr>
        <w:t xml:space="preserve"> 57</w:t>
      </w:r>
      <w:r w:rsidRPr="004D46AC">
        <w:rPr>
          <w:rFonts w:ascii="Arial" w:hAnsi="Arial" w:cs="Arial"/>
          <w:szCs w:val="22"/>
        </w:rPr>
        <w:t xml:space="preserve">(1), 289–300. </w:t>
      </w:r>
      <w:hyperlink r:id="rId327" w:history="1">
        <w:r w:rsidRPr="004D46AC">
          <w:rPr>
            <w:rStyle w:val="af5"/>
            <w:rFonts w:ascii="Arial" w:hAnsi="Arial" w:cs="Arial"/>
            <w:szCs w:val="22"/>
          </w:rPr>
          <w:t>https://doi.org/10.1111/j.2517-6161.1995.tb02031.x</w:t>
        </w:r>
      </w:hyperlink>
      <w:r w:rsidRPr="004D46AC">
        <w:rPr>
          <w:rFonts w:ascii="Arial" w:hAnsi="Arial" w:cs="Arial"/>
          <w:szCs w:val="22"/>
        </w:rPr>
        <w:t xml:space="preserve"> </w:t>
      </w:r>
    </w:p>
    <w:p w14:paraId="2158D931"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Berrios, G. E., &amp; Beer, D. (1995). Unitary psychosis concept. </w:t>
      </w:r>
      <w:r w:rsidRPr="004D46AC">
        <w:rPr>
          <w:rFonts w:ascii="Arial" w:hAnsi="Arial" w:cs="Arial"/>
          <w:i/>
          <w:szCs w:val="22"/>
        </w:rPr>
        <w:t>A history of clinical psychiatry. London: Athlone</w:t>
      </w:r>
      <w:r w:rsidRPr="004D46AC">
        <w:rPr>
          <w:rFonts w:ascii="Arial" w:hAnsi="Arial" w:cs="Arial"/>
          <w:szCs w:val="22"/>
        </w:rPr>
        <w:t xml:space="preserve">, 313–335. </w:t>
      </w:r>
    </w:p>
    <w:p w14:paraId="6890DE40"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Bipolar, D., Schizophrenia Working Group of the Psychiatric Genomics Consortium. Electronic address, d. r. v. e., Bipolar, D., &amp; Schizophrenia Working Group of the Psychiatric Genomics, C. (2018). Genomic Dissection of Bipolar Disorder and Schizophrenia, Including 28 Subphenotypes. </w:t>
      </w:r>
      <w:r w:rsidRPr="004D46AC">
        <w:rPr>
          <w:rFonts w:ascii="Arial" w:hAnsi="Arial" w:cs="Arial"/>
          <w:i/>
          <w:szCs w:val="22"/>
        </w:rPr>
        <w:t>Cell</w:t>
      </w:r>
      <w:r w:rsidRPr="004D46AC">
        <w:rPr>
          <w:rFonts w:ascii="Arial" w:hAnsi="Arial" w:cs="Arial"/>
          <w:szCs w:val="22"/>
        </w:rPr>
        <w:t>,</w:t>
      </w:r>
      <w:r w:rsidRPr="004D46AC">
        <w:rPr>
          <w:rFonts w:ascii="Arial" w:hAnsi="Arial" w:cs="Arial"/>
          <w:i/>
          <w:szCs w:val="22"/>
        </w:rPr>
        <w:t xml:space="preserve"> 173</w:t>
      </w:r>
      <w:r w:rsidRPr="004D46AC">
        <w:rPr>
          <w:rFonts w:ascii="Arial" w:hAnsi="Arial" w:cs="Arial"/>
          <w:szCs w:val="22"/>
        </w:rPr>
        <w:t xml:space="preserve">(7), 1705–1715 e1716. </w:t>
      </w:r>
      <w:hyperlink r:id="rId328" w:history="1">
        <w:r w:rsidRPr="004D46AC">
          <w:rPr>
            <w:rStyle w:val="af5"/>
            <w:rFonts w:ascii="Arial" w:hAnsi="Arial" w:cs="Arial"/>
            <w:szCs w:val="22"/>
          </w:rPr>
          <w:t>https://doi.org/10.1016/j.cell.2018.05.046</w:t>
        </w:r>
      </w:hyperlink>
      <w:r w:rsidRPr="004D46AC">
        <w:rPr>
          <w:rFonts w:ascii="Arial" w:hAnsi="Arial" w:cs="Arial"/>
          <w:szCs w:val="22"/>
        </w:rPr>
        <w:t xml:space="preserve"> </w:t>
      </w:r>
    </w:p>
    <w:p w14:paraId="18AB38F6"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Bringmann, L. F., &amp; Eronen, M. I. (2018). Don't blame the model: Reconsidering the network approach to psychopathology. </w:t>
      </w:r>
      <w:r w:rsidRPr="004D46AC">
        <w:rPr>
          <w:rFonts w:ascii="Arial" w:hAnsi="Arial" w:cs="Arial"/>
          <w:i/>
          <w:szCs w:val="22"/>
        </w:rPr>
        <w:t>Psychol Rev</w:t>
      </w:r>
      <w:r w:rsidRPr="004D46AC">
        <w:rPr>
          <w:rFonts w:ascii="Arial" w:hAnsi="Arial" w:cs="Arial"/>
          <w:szCs w:val="22"/>
        </w:rPr>
        <w:t>,</w:t>
      </w:r>
      <w:r w:rsidRPr="004D46AC">
        <w:rPr>
          <w:rFonts w:ascii="Arial" w:hAnsi="Arial" w:cs="Arial"/>
          <w:i/>
          <w:szCs w:val="22"/>
        </w:rPr>
        <w:t xml:space="preserve"> 125</w:t>
      </w:r>
      <w:r w:rsidRPr="004D46AC">
        <w:rPr>
          <w:rFonts w:ascii="Arial" w:hAnsi="Arial" w:cs="Arial"/>
          <w:szCs w:val="22"/>
        </w:rPr>
        <w:t xml:space="preserve">(4), 606–615. </w:t>
      </w:r>
      <w:hyperlink r:id="rId329" w:history="1">
        <w:r w:rsidRPr="004D46AC">
          <w:rPr>
            <w:rStyle w:val="af5"/>
            <w:rFonts w:ascii="Arial" w:hAnsi="Arial" w:cs="Arial"/>
            <w:szCs w:val="22"/>
          </w:rPr>
          <w:t>https://doi.org/10.1037/rev0000108</w:t>
        </w:r>
      </w:hyperlink>
      <w:r w:rsidRPr="004D46AC">
        <w:rPr>
          <w:rFonts w:ascii="Arial" w:hAnsi="Arial" w:cs="Arial"/>
          <w:szCs w:val="22"/>
        </w:rPr>
        <w:t xml:space="preserve"> </w:t>
      </w:r>
    </w:p>
    <w:p w14:paraId="7BB4E492"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Christensen, A. P., Garrido, L. E., &amp; Golino, H. (2023). Unique Variable Analysis: A Network Psychometrics Method to Detect Local Dependence. </w:t>
      </w:r>
      <w:r w:rsidRPr="004D46AC">
        <w:rPr>
          <w:rFonts w:ascii="Arial" w:hAnsi="Arial" w:cs="Arial"/>
          <w:i/>
          <w:szCs w:val="22"/>
        </w:rPr>
        <w:t>Multivariate Behav Res</w:t>
      </w:r>
      <w:r w:rsidRPr="004D46AC">
        <w:rPr>
          <w:rFonts w:ascii="Arial" w:hAnsi="Arial" w:cs="Arial"/>
          <w:szCs w:val="22"/>
        </w:rPr>
        <w:t>,</w:t>
      </w:r>
      <w:r w:rsidRPr="004D46AC">
        <w:rPr>
          <w:rFonts w:ascii="Arial" w:hAnsi="Arial" w:cs="Arial"/>
          <w:i/>
          <w:szCs w:val="22"/>
        </w:rPr>
        <w:t xml:space="preserve"> 58</w:t>
      </w:r>
      <w:r w:rsidRPr="004D46AC">
        <w:rPr>
          <w:rFonts w:ascii="Arial" w:hAnsi="Arial" w:cs="Arial"/>
          <w:szCs w:val="22"/>
        </w:rPr>
        <w:t xml:space="preserve">(6), 1165–1182. </w:t>
      </w:r>
      <w:hyperlink r:id="rId330" w:history="1">
        <w:r w:rsidRPr="004D46AC">
          <w:rPr>
            <w:rStyle w:val="af5"/>
            <w:rFonts w:ascii="Arial" w:hAnsi="Arial" w:cs="Arial"/>
            <w:szCs w:val="22"/>
          </w:rPr>
          <w:t>https://doi.org/10.1080/00273171.2023.2194606</w:t>
        </w:r>
      </w:hyperlink>
      <w:r w:rsidRPr="004D46AC">
        <w:rPr>
          <w:rFonts w:ascii="Arial" w:hAnsi="Arial" w:cs="Arial"/>
          <w:szCs w:val="22"/>
        </w:rPr>
        <w:t xml:space="preserve"> </w:t>
      </w:r>
    </w:p>
    <w:p w14:paraId="65B19F83"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Christensen, A. P., &amp; Golino, H. (2021). Estimating the Stability of Psychological Dimensions via Bootstrap Exploratory Graph Analysis: A Monte Carlo Simulation and Tutorial. </w:t>
      </w:r>
      <w:r w:rsidRPr="004D46AC">
        <w:rPr>
          <w:rFonts w:ascii="Arial" w:hAnsi="Arial" w:cs="Arial"/>
          <w:i/>
          <w:szCs w:val="22"/>
        </w:rPr>
        <w:t>Psych</w:t>
      </w:r>
      <w:r w:rsidRPr="004D46AC">
        <w:rPr>
          <w:rFonts w:ascii="Arial" w:hAnsi="Arial" w:cs="Arial"/>
          <w:szCs w:val="22"/>
        </w:rPr>
        <w:t>,</w:t>
      </w:r>
      <w:r w:rsidRPr="004D46AC">
        <w:rPr>
          <w:rFonts w:ascii="Arial" w:hAnsi="Arial" w:cs="Arial"/>
          <w:i/>
          <w:szCs w:val="22"/>
        </w:rPr>
        <w:t xml:space="preserve"> 3</w:t>
      </w:r>
      <w:r w:rsidRPr="004D46AC">
        <w:rPr>
          <w:rFonts w:ascii="Arial" w:hAnsi="Arial" w:cs="Arial"/>
          <w:szCs w:val="22"/>
        </w:rPr>
        <w:t xml:space="preserve">(3), 479–500. </w:t>
      </w:r>
    </w:p>
    <w:p w14:paraId="6A4142C6"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Davidson, J., Turnbull, C. D., Strickland, R., Miller, R., &amp; Graves, K. (1986). The Montgomery-Asberg Depression Scale: reliability and validity. </w:t>
      </w:r>
      <w:r w:rsidRPr="004D46AC">
        <w:rPr>
          <w:rFonts w:ascii="Arial" w:hAnsi="Arial" w:cs="Arial"/>
          <w:i/>
          <w:szCs w:val="22"/>
        </w:rPr>
        <w:t>Acta Psychiatr Scand</w:t>
      </w:r>
      <w:r w:rsidRPr="004D46AC">
        <w:rPr>
          <w:rFonts w:ascii="Arial" w:hAnsi="Arial" w:cs="Arial"/>
          <w:szCs w:val="22"/>
        </w:rPr>
        <w:t>,</w:t>
      </w:r>
      <w:r w:rsidRPr="004D46AC">
        <w:rPr>
          <w:rFonts w:ascii="Arial" w:hAnsi="Arial" w:cs="Arial"/>
          <w:i/>
          <w:szCs w:val="22"/>
        </w:rPr>
        <w:t xml:space="preserve"> 73</w:t>
      </w:r>
      <w:r w:rsidRPr="004D46AC">
        <w:rPr>
          <w:rFonts w:ascii="Arial" w:hAnsi="Arial" w:cs="Arial"/>
          <w:szCs w:val="22"/>
        </w:rPr>
        <w:t xml:space="preserve">(5), 544–548. </w:t>
      </w:r>
      <w:hyperlink r:id="rId331" w:history="1">
        <w:r w:rsidRPr="004D46AC">
          <w:rPr>
            <w:rStyle w:val="af5"/>
            <w:rFonts w:ascii="Arial" w:hAnsi="Arial" w:cs="Arial"/>
            <w:szCs w:val="22"/>
          </w:rPr>
          <w:t>https://doi.org/10.1111/j.1600-0447.1986.tb02723.x</w:t>
        </w:r>
      </w:hyperlink>
      <w:r w:rsidRPr="004D46AC">
        <w:rPr>
          <w:rFonts w:ascii="Arial" w:hAnsi="Arial" w:cs="Arial"/>
          <w:szCs w:val="22"/>
        </w:rPr>
        <w:t xml:space="preserve"> </w:t>
      </w:r>
    </w:p>
    <w:p w14:paraId="64AB8C21"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de Sousa, P., Sellwood, W., Spray, A., &amp; Bentall, R. P. (2016). The affective reactivity of psychotic speech: The role of internal source monitoring in explaining increased </w:t>
      </w:r>
      <w:r w:rsidRPr="004D46AC">
        <w:rPr>
          <w:rFonts w:ascii="Arial" w:hAnsi="Arial" w:cs="Arial"/>
          <w:szCs w:val="22"/>
        </w:rPr>
        <w:lastRenderedPageBreak/>
        <w:t xml:space="preserve">thought disorder under emotional challenge. </w:t>
      </w:r>
      <w:r w:rsidRPr="004D46AC">
        <w:rPr>
          <w:rFonts w:ascii="Arial" w:hAnsi="Arial" w:cs="Arial"/>
          <w:i/>
          <w:szCs w:val="22"/>
        </w:rPr>
        <w:t>Schizophr Res</w:t>
      </w:r>
      <w:r w:rsidRPr="004D46AC">
        <w:rPr>
          <w:rFonts w:ascii="Arial" w:hAnsi="Arial" w:cs="Arial"/>
          <w:szCs w:val="22"/>
        </w:rPr>
        <w:t>,</w:t>
      </w:r>
      <w:r w:rsidRPr="004D46AC">
        <w:rPr>
          <w:rFonts w:ascii="Arial" w:hAnsi="Arial" w:cs="Arial"/>
          <w:i/>
          <w:szCs w:val="22"/>
        </w:rPr>
        <w:t xml:space="preserve"> 172</w:t>
      </w:r>
      <w:r w:rsidRPr="004D46AC">
        <w:rPr>
          <w:rFonts w:ascii="Arial" w:hAnsi="Arial" w:cs="Arial"/>
          <w:szCs w:val="22"/>
        </w:rPr>
        <w:t xml:space="preserve">(1-3), 189–194. </w:t>
      </w:r>
      <w:hyperlink r:id="rId332" w:history="1">
        <w:r w:rsidRPr="004D46AC">
          <w:rPr>
            <w:rStyle w:val="af5"/>
            <w:rFonts w:ascii="Arial" w:hAnsi="Arial" w:cs="Arial"/>
            <w:szCs w:val="22"/>
          </w:rPr>
          <w:t>https://doi.org/10.1016/j.schres.2016.01.049</w:t>
        </w:r>
      </w:hyperlink>
      <w:r w:rsidRPr="004D46AC">
        <w:rPr>
          <w:rFonts w:ascii="Arial" w:hAnsi="Arial" w:cs="Arial"/>
          <w:szCs w:val="22"/>
        </w:rPr>
        <w:t xml:space="preserve"> </w:t>
      </w:r>
    </w:p>
    <w:p w14:paraId="242BC4E7"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Epskamp, S., Borsboom, D., &amp; Fried, E. I. (2018). Estimating psychological networks and their accuracy: A tutorial paper. </w:t>
      </w:r>
      <w:r w:rsidRPr="004D46AC">
        <w:rPr>
          <w:rFonts w:ascii="Arial" w:hAnsi="Arial" w:cs="Arial"/>
          <w:i/>
          <w:szCs w:val="22"/>
        </w:rPr>
        <w:t>Behavior Research Methods</w:t>
      </w:r>
      <w:r w:rsidRPr="004D46AC">
        <w:rPr>
          <w:rFonts w:ascii="Arial" w:hAnsi="Arial" w:cs="Arial"/>
          <w:szCs w:val="22"/>
        </w:rPr>
        <w:t>,</w:t>
      </w:r>
      <w:r w:rsidRPr="004D46AC">
        <w:rPr>
          <w:rFonts w:ascii="Arial" w:hAnsi="Arial" w:cs="Arial"/>
          <w:i/>
          <w:szCs w:val="22"/>
        </w:rPr>
        <w:t xml:space="preserve"> 50</w:t>
      </w:r>
      <w:r w:rsidRPr="004D46AC">
        <w:rPr>
          <w:rFonts w:ascii="Arial" w:hAnsi="Arial" w:cs="Arial"/>
          <w:szCs w:val="22"/>
        </w:rPr>
        <w:t xml:space="preserve">(1), 195–212. </w:t>
      </w:r>
      <w:hyperlink r:id="rId333" w:history="1">
        <w:r w:rsidRPr="004D46AC">
          <w:rPr>
            <w:rStyle w:val="af5"/>
            <w:rFonts w:ascii="Arial" w:hAnsi="Arial" w:cs="Arial"/>
            <w:szCs w:val="22"/>
          </w:rPr>
          <w:t>https://doi.org/10.3758/s13428-017-0862-1</w:t>
        </w:r>
      </w:hyperlink>
      <w:r w:rsidRPr="004D46AC">
        <w:rPr>
          <w:rFonts w:ascii="Arial" w:hAnsi="Arial" w:cs="Arial"/>
          <w:szCs w:val="22"/>
        </w:rPr>
        <w:t xml:space="preserve"> </w:t>
      </w:r>
    </w:p>
    <w:p w14:paraId="3E2D8F82"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Fernandez, A. V. (2019). Phenomenology and dimensional approaches to psychiatric research and classification. </w:t>
      </w:r>
      <w:r w:rsidRPr="004D46AC">
        <w:rPr>
          <w:rFonts w:ascii="Arial" w:hAnsi="Arial" w:cs="Arial"/>
          <w:i/>
          <w:szCs w:val="22"/>
        </w:rPr>
        <w:t>Philosophy, Psychiatry, &amp; Psychology</w:t>
      </w:r>
      <w:r w:rsidRPr="004D46AC">
        <w:rPr>
          <w:rFonts w:ascii="Arial" w:hAnsi="Arial" w:cs="Arial"/>
          <w:szCs w:val="22"/>
        </w:rPr>
        <w:t>,</w:t>
      </w:r>
      <w:r w:rsidRPr="004D46AC">
        <w:rPr>
          <w:rFonts w:ascii="Arial" w:hAnsi="Arial" w:cs="Arial"/>
          <w:i/>
          <w:szCs w:val="22"/>
        </w:rPr>
        <w:t xml:space="preserve"> 26</w:t>
      </w:r>
      <w:r w:rsidRPr="004D46AC">
        <w:rPr>
          <w:rFonts w:ascii="Arial" w:hAnsi="Arial" w:cs="Arial"/>
          <w:szCs w:val="22"/>
        </w:rPr>
        <w:t xml:space="preserve">(1), 65–75. </w:t>
      </w:r>
    </w:p>
    <w:p w14:paraId="74E753E7"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First, M. B., Spitzer, R. L., Gibbon, M., &amp; Williams, J. B. (2007). SCID-I. </w:t>
      </w:r>
      <w:r w:rsidRPr="004D46AC">
        <w:rPr>
          <w:rFonts w:ascii="Arial" w:hAnsi="Arial" w:cs="Arial"/>
          <w:i/>
          <w:szCs w:val="22"/>
        </w:rPr>
        <w:t>Structured Clinical Interview for DSM-IV-TR Axis I Disorders, Research Version</w:t>
      </w:r>
      <w:r w:rsidRPr="004D46AC">
        <w:rPr>
          <w:rFonts w:ascii="Arial" w:hAnsi="Arial" w:cs="Arial"/>
          <w:szCs w:val="22"/>
        </w:rPr>
        <w:t xml:space="preserve">. </w:t>
      </w:r>
    </w:p>
    <w:p w14:paraId="698AB169"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Friedman, J., Hastie, T., &amp; Tibshirani, R. (2011). </w:t>
      </w:r>
      <w:r w:rsidRPr="004D46AC">
        <w:rPr>
          <w:rFonts w:ascii="Arial" w:hAnsi="Arial" w:cs="Arial"/>
          <w:i/>
          <w:szCs w:val="22"/>
        </w:rPr>
        <w:t>glasso: Graphical lasso-estimation of Gaussian graphical models</w:t>
      </w:r>
      <w:r w:rsidRPr="004D46AC">
        <w:rPr>
          <w:rFonts w:ascii="Arial" w:hAnsi="Arial" w:cs="Arial"/>
          <w:szCs w:val="22"/>
        </w:rPr>
        <w:t xml:space="preserve">. </w:t>
      </w:r>
      <w:hyperlink r:id="rId334" w:history="1">
        <w:r w:rsidRPr="004D46AC">
          <w:rPr>
            <w:rStyle w:val="af5"/>
            <w:rFonts w:ascii="Arial" w:hAnsi="Arial" w:cs="Arial"/>
            <w:szCs w:val="22"/>
          </w:rPr>
          <w:t>http://CRAN.R-project.org/package=glasso</w:t>
        </w:r>
      </w:hyperlink>
    </w:p>
    <w:p w14:paraId="08C509F3"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Gutkovich, Z., Morrissey, R. F., Espaillat, R. K., &amp; Dicker, R. (2011). Anhedonia and pessimism in hospitalized depressed adolescents. </w:t>
      </w:r>
      <w:r w:rsidRPr="004D46AC">
        <w:rPr>
          <w:rFonts w:ascii="Arial" w:hAnsi="Arial" w:cs="Arial"/>
          <w:i/>
          <w:szCs w:val="22"/>
        </w:rPr>
        <w:t>Depress Res Treat</w:t>
      </w:r>
      <w:r w:rsidRPr="004D46AC">
        <w:rPr>
          <w:rFonts w:ascii="Arial" w:hAnsi="Arial" w:cs="Arial"/>
          <w:szCs w:val="22"/>
        </w:rPr>
        <w:t>,</w:t>
      </w:r>
      <w:r w:rsidRPr="004D46AC">
        <w:rPr>
          <w:rFonts w:ascii="Arial" w:hAnsi="Arial" w:cs="Arial"/>
          <w:i/>
          <w:szCs w:val="22"/>
        </w:rPr>
        <w:t xml:space="preserve"> 2011</w:t>
      </w:r>
      <w:r w:rsidRPr="004D46AC">
        <w:rPr>
          <w:rFonts w:ascii="Arial" w:hAnsi="Arial" w:cs="Arial"/>
          <w:szCs w:val="22"/>
        </w:rPr>
        <w:t xml:space="preserve">, 795173. </w:t>
      </w:r>
      <w:hyperlink r:id="rId335" w:history="1">
        <w:r w:rsidRPr="004D46AC">
          <w:rPr>
            <w:rStyle w:val="af5"/>
            <w:rFonts w:ascii="Arial" w:hAnsi="Arial" w:cs="Arial"/>
            <w:szCs w:val="22"/>
          </w:rPr>
          <w:t>https://doi.org/10.1155/2011/795173</w:t>
        </w:r>
      </w:hyperlink>
      <w:r w:rsidRPr="004D46AC">
        <w:rPr>
          <w:rFonts w:ascii="Arial" w:hAnsi="Arial" w:cs="Arial"/>
          <w:szCs w:val="22"/>
        </w:rPr>
        <w:t xml:space="preserve"> </w:t>
      </w:r>
    </w:p>
    <w:p w14:paraId="0A1B6BF9"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Hamm, J. P., Ethridge, L. E., Shapiro, J. R., Pearlson, G. D., Tamminga, C. A., Sweeney, J. A., Keshavan, M. S., Thaker, G. K., &amp; Clementz, B. A. (2013). Family history of psychosis moderates early auditory cortical response abnormalities in non-psychotic bipolar disorder. </w:t>
      </w:r>
      <w:r w:rsidRPr="004D46AC">
        <w:rPr>
          <w:rFonts w:ascii="Arial" w:hAnsi="Arial" w:cs="Arial"/>
          <w:i/>
          <w:szCs w:val="22"/>
        </w:rPr>
        <w:t>Bipolar Disord</w:t>
      </w:r>
      <w:r w:rsidRPr="004D46AC">
        <w:rPr>
          <w:rFonts w:ascii="Arial" w:hAnsi="Arial" w:cs="Arial"/>
          <w:szCs w:val="22"/>
        </w:rPr>
        <w:t>,</w:t>
      </w:r>
      <w:r w:rsidRPr="004D46AC">
        <w:rPr>
          <w:rFonts w:ascii="Arial" w:hAnsi="Arial" w:cs="Arial"/>
          <w:i/>
          <w:szCs w:val="22"/>
        </w:rPr>
        <w:t xml:space="preserve"> 15</w:t>
      </w:r>
      <w:r w:rsidRPr="004D46AC">
        <w:rPr>
          <w:rFonts w:ascii="Arial" w:hAnsi="Arial" w:cs="Arial"/>
          <w:szCs w:val="22"/>
        </w:rPr>
        <w:t xml:space="preserve">(7), 774–786. </w:t>
      </w:r>
      <w:hyperlink r:id="rId336" w:history="1">
        <w:r w:rsidRPr="004D46AC">
          <w:rPr>
            <w:rStyle w:val="af5"/>
            <w:rFonts w:ascii="Arial" w:hAnsi="Arial" w:cs="Arial"/>
            <w:szCs w:val="22"/>
          </w:rPr>
          <w:t>https://doi.org/10.1111/bdi.12110</w:t>
        </w:r>
      </w:hyperlink>
      <w:r w:rsidRPr="004D46AC">
        <w:rPr>
          <w:rFonts w:ascii="Arial" w:hAnsi="Arial" w:cs="Arial"/>
          <w:szCs w:val="22"/>
        </w:rPr>
        <w:t xml:space="preserve"> </w:t>
      </w:r>
    </w:p>
    <w:p w14:paraId="5909E7E0"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Hopwood, C. J., Morey, L. C., &amp; Markon, K. E. (2023). What is a psychopathology dimension? </w:t>
      </w:r>
      <w:r w:rsidRPr="004D46AC">
        <w:rPr>
          <w:rFonts w:ascii="Arial" w:hAnsi="Arial" w:cs="Arial"/>
          <w:i/>
          <w:szCs w:val="22"/>
        </w:rPr>
        <w:t>Clinical Psychology Review</w:t>
      </w:r>
      <w:r w:rsidRPr="004D46AC">
        <w:rPr>
          <w:rFonts w:ascii="Arial" w:hAnsi="Arial" w:cs="Arial"/>
          <w:szCs w:val="22"/>
        </w:rPr>
        <w:t>,</w:t>
      </w:r>
      <w:r w:rsidRPr="004D46AC">
        <w:rPr>
          <w:rFonts w:ascii="Arial" w:hAnsi="Arial" w:cs="Arial"/>
          <w:i/>
          <w:szCs w:val="22"/>
        </w:rPr>
        <w:t xml:space="preserve"> 106</w:t>
      </w:r>
      <w:r w:rsidRPr="004D46AC">
        <w:rPr>
          <w:rFonts w:ascii="Arial" w:hAnsi="Arial" w:cs="Arial"/>
          <w:szCs w:val="22"/>
        </w:rPr>
        <w:t xml:space="preserve">, 102356. </w:t>
      </w:r>
    </w:p>
    <w:p w14:paraId="6C1173F5"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Isvoranu, A. M., &amp; Epskamp, S. (2023). Which estimation method to choose in network psychometrics? Deriving guidelines for applied researchers. </w:t>
      </w:r>
      <w:r w:rsidRPr="004D46AC">
        <w:rPr>
          <w:rFonts w:ascii="Arial" w:hAnsi="Arial" w:cs="Arial"/>
          <w:i/>
          <w:szCs w:val="22"/>
        </w:rPr>
        <w:t>Psychol Methods</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(4), 925–946. </w:t>
      </w:r>
      <w:hyperlink r:id="rId337" w:history="1">
        <w:r w:rsidRPr="004D46AC">
          <w:rPr>
            <w:rStyle w:val="af5"/>
            <w:rFonts w:ascii="Arial" w:hAnsi="Arial" w:cs="Arial"/>
            <w:szCs w:val="22"/>
          </w:rPr>
          <w:t>https://doi.org/10.1037/met0000439</w:t>
        </w:r>
      </w:hyperlink>
      <w:r w:rsidRPr="004D46AC">
        <w:rPr>
          <w:rFonts w:ascii="Arial" w:hAnsi="Arial" w:cs="Arial"/>
          <w:szCs w:val="22"/>
        </w:rPr>
        <w:t xml:space="preserve"> </w:t>
      </w:r>
    </w:p>
    <w:p w14:paraId="749A7A4F"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Ivleva, E., Thaker, G., &amp; Tamminga, C. A. (2008). Comparing genes and phenomenology in the major psychoses: schizophrenia and bipolar 1 disorder. </w:t>
      </w:r>
      <w:r w:rsidRPr="004D46AC">
        <w:rPr>
          <w:rFonts w:ascii="Arial" w:hAnsi="Arial" w:cs="Arial"/>
          <w:i/>
          <w:szCs w:val="22"/>
        </w:rPr>
        <w:t>Schizophr Bull</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(4), 734–742. </w:t>
      </w:r>
      <w:hyperlink r:id="rId338" w:history="1">
        <w:r w:rsidRPr="004D46AC">
          <w:rPr>
            <w:rStyle w:val="af5"/>
            <w:rFonts w:ascii="Arial" w:hAnsi="Arial" w:cs="Arial"/>
            <w:szCs w:val="22"/>
          </w:rPr>
          <w:t>https://doi.org/10.1093/schbul/sbn051</w:t>
        </w:r>
      </w:hyperlink>
      <w:r w:rsidRPr="004D46AC">
        <w:rPr>
          <w:rFonts w:ascii="Arial" w:hAnsi="Arial" w:cs="Arial"/>
          <w:szCs w:val="22"/>
        </w:rPr>
        <w:t xml:space="preserve"> </w:t>
      </w:r>
    </w:p>
    <w:p w14:paraId="65530FB9"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Johnson, S. L. (2005). Mania and dysregulation in goal pursuit: a review. </w:t>
      </w:r>
      <w:r w:rsidRPr="004D46AC">
        <w:rPr>
          <w:rFonts w:ascii="Arial" w:hAnsi="Arial" w:cs="Arial"/>
          <w:i/>
          <w:szCs w:val="22"/>
        </w:rPr>
        <w:t>Clin Psychol Rev</w:t>
      </w:r>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(2), 241–262. </w:t>
      </w:r>
      <w:hyperlink r:id="rId339" w:history="1">
        <w:r w:rsidRPr="004D46AC">
          <w:rPr>
            <w:rStyle w:val="af5"/>
            <w:rFonts w:ascii="Arial" w:hAnsi="Arial" w:cs="Arial"/>
            <w:szCs w:val="22"/>
          </w:rPr>
          <w:t>https://doi.org/10.1016/j.cpr.2004.11.002</w:t>
        </w:r>
      </w:hyperlink>
      <w:r w:rsidRPr="004D46AC">
        <w:rPr>
          <w:rFonts w:ascii="Arial" w:hAnsi="Arial" w:cs="Arial"/>
          <w:szCs w:val="22"/>
        </w:rPr>
        <w:t xml:space="preserve"> </w:t>
      </w:r>
    </w:p>
    <w:p w14:paraId="3E8F231E"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Kasanin, J. (1933). The acute schizoaffective psychoses. </w:t>
      </w:r>
      <w:r w:rsidRPr="004D46AC">
        <w:rPr>
          <w:rFonts w:ascii="Arial" w:hAnsi="Arial" w:cs="Arial"/>
          <w:i/>
          <w:szCs w:val="22"/>
        </w:rPr>
        <w:t>American Journal of Psychiatry</w:t>
      </w:r>
      <w:r w:rsidRPr="004D46AC">
        <w:rPr>
          <w:rFonts w:ascii="Arial" w:hAnsi="Arial" w:cs="Arial"/>
          <w:szCs w:val="22"/>
        </w:rPr>
        <w:t>,</w:t>
      </w:r>
      <w:r w:rsidRPr="004D46AC">
        <w:rPr>
          <w:rFonts w:ascii="Arial" w:hAnsi="Arial" w:cs="Arial"/>
          <w:i/>
          <w:szCs w:val="22"/>
        </w:rPr>
        <w:t xml:space="preserve"> 90</w:t>
      </w:r>
      <w:r w:rsidRPr="004D46AC">
        <w:rPr>
          <w:rFonts w:ascii="Arial" w:hAnsi="Arial" w:cs="Arial"/>
          <w:szCs w:val="22"/>
        </w:rPr>
        <w:t xml:space="preserve">(1), 97–126. </w:t>
      </w:r>
    </w:p>
    <w:p w14:paraId="144319DB"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Kay, S. R., Fiszbein, A., &amp; Opler, L. A. (1987). The positive and negative syndrome scale (PANSS) for schizophrenia. </w:t>
      </w:r>
      <w:r w:rsidRPr="004D46AC">
        <w:rPr>
          <w:rFonts w:ascii="Arial" w:hAnsi="Arial" w:cs="Arial"/>
          <w:i/>
          <w:szCs w:val="22"/>
        </w:rPr>
        <w:t>Schizophr Bull</w:t>
      </w:r>
      <w:r w:rsidRPr="004D46AC">
        <w:rPr>
          <w:rFonts w:ascii="Arial" w:hAnsi="Arial" w:cs="Arial"/>
          <w:szCs w:val="22"/>
        </w:rPr>
        <w:t>,</w:t>
      </w:r>
      <w:r w:rsidRPr="004D46AC">
        <w:rPr>
          <w:rFonts w:ascii="Arial" w:hAnsi="Arial" w:cs="Arial"/>
          <w:i/>
          <w:szCs w:val="22"/>
        </w:rPr>
        <w:t xml:space="preserve"> 13</w:t>
      </w:r>
      <w:r w:rsidRPr="004D46AC">
        <w:rPr>
          <w:rFonts w:ascii="Arial" w:hAnsi="Arial" w:cs="Arial"/>
          <w:szCs w:val="22"/>
        </w:rPr>
        <w:t xml:space="preserve">(2), 261–276. </w:t>
      </w:r>
      <w:hyperlink r:id="rId340" w:history="1">
        <w:r w:rsidRPr="004D46AC">
          <w:rPr>
            <w:rStyle w:val="af5"/>
            <w:rFonts w:ascii="Arial" w:hAnsi="Arial" w:cs="Arial"/>
            <w:szCs w:val="22"/>
          </w:rPr>
          <w:t>https://doi.org/10.1093/schbul/13.2.261</w:t>
        </w:r>
      </w:hyperlink>
      <w:r w:rsidRPr="004D46AC">
        <w:rPr>
          <w:rFonts w:ascii="Arial" w:hAnsi="Arial" w:cs="Arial"/>
          <w:szCs w:val="22"/>
        </w:rPr>
        <w:t xml:space="preserve"> </w:t>
      </w:r>
    </w:p>
    <w:p w14:paraId="6D43A5DF"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Khan, A., Khan, S. R., Shankles, E. B., &amp; Polissar, N. L. (2002). Relative sensitivity of the Montgomery-Asberg Depression Rating Scale, the Hamilton Depression rating scale and the Clinical Global Impressions rating scale in antidepressant clinical trials. </w:t>
      </w:r>
      <w:r w:rsidRPr="004D46AC">
        <w:rPr>
          <w:rFonts w:ascii="Arial" w:hAnsi="Arial" w:cs="Arial"/>
          <w:i/>
          <w:szCs w:val="22"/>
        </w:rPr>
        <w:t xml:space="preserve">Int </w:t>
      </w:r>
      <w:r w:rsidRPr="004D46AC">
        <w:rPr>
          <w:rFonts w:ascii="Arial" w:hAnsi="Arial" w:cs="Arial"/>
          <w:i/>
          <w:szCs w:val="22"/>
        </w:rPr>
        <w:lastRenderedPageBreak/>
        <w:t>Clin Psychopharmacol</w:t>
      </w:r>
      <w:r w:rsidRPr="004D46AC">
        <w:rPr>
          <w:rFonts w:ascii="Arial" w:hAnsi="Arial" w:cs="Arial"/>
          <w:szCs w:val="22"/>
        </w:rPr>
        <w:t>,</w:t>
      </w:r>
      <w:r w:rsidRPr="004D46AC">
        <w:rPr>
          <w:rFonts w:ascii="Arial" w:hAnsi="Arial" w:cs="Arial"/>
          <w:i/>
          <w:szCs w:val="22"/>
        </w:rPr>
        <w:t xml:space="preserve"> 17</w:t>
      </w:r>
      <w:r w:rsidRPr="004D46AC">
        <w:rPr>
          <w:rFonts w:ascii="Arial" w:hAnsi="Arial" w:cs="Arial"/>
          <w:szCs w:val="22"/>
        </w:rPr>
        <w:t xml:space="preserve">(6), 281–285. </w:t>
      </w:r>
      <w:hyperlink r:id="rId341" w:history="1">
        <w:r w:rsidRPr="004D46AC">
          <w:rPr>
            <w:rStyle w:val="af5"/>
            <w:rFonts w:ascii="Arial" w:hAnsi="Arial" w:cs="Arial"/>
            <w:szCs w:val="22"/>
          </w:rPr>
          <w:t>https://doi.org/10.1097/00004850-200211000-00003</w:t>
        </w:r>
      </w:hyperlink>
      <w:r w:rsidRPr="004D46AC">
        <w:rPr>
          <w:rFonts w:ascii="Arial" w:hAnsi="Arial" w:cs="Arial"/>
          <w:szCs w:val="22"/>
        </w:rPr>
        <w:t xml:space="preserve"> </w:t>
      </w:r>
    </w:p>
    <w:p w14:paraId="573F4882"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Kotov, R., Chang, S. W., Fochtmann, L. J., Mojtabai, R., Carlson, G. A., Sedler, M. J., &amp; Bromet, E. J. (2011). Schizophrenia in the internalizing-externalizing framework: a third dimension? </w:t>
      </w:r>
      <w:r w:rsidRPr="004D46AC">
        <w:rPr>
          <w:rFonts w:ascii="Arial" w:hAnsi="Arial" w:cs="Arial"/>
          <w:i/>
          <w:szCs w:val="22"/>
        </w:rPr>
        <w:t>Schizophr Bull</w:t>
      </w:r>
      <w:r w:rsidRPr="004D46AC">
        <w:rPr>
          <w:rFonts w:ascii="Arial" w:hAnsi="Arial" w:cs="Arial"/>
          <w:szCs w:val="22"/>
        </w:rPr>
        <w:t>,</w:t>
      </w:r>
      <w:r w:rsidRPr="004D46AC">
        <w:rPr>
          <w:rFonts w:ascii="Arial" w:hAnsi="Arial" w:cs="Arial"/>
          <w:i/>
          <w:szCs w:val="22"/>
        </w:rPr>
        <w:t xml:space="preserve"> 37</w:t>
      </w:r>
      <w:r w:rsidRPr="004D46AC">
        <w:rPr>
          <w:rFonts w:ascii="Arial" w:hAnsi="Arial" w:cs="Arial"/>
          <w:szCs w:val="22"/>
        </w:rPr>
        <w:t xml:space="preserve">(6), 1168–1178. </w:t>
      </w:r>
      <w:hyperlink r:id="rId342" w:history="1">
        <w:r w:rsidRPr="004D46AC">
          <w:rPr>
            <w:rStyle w:val="af5"/>
            <w:rFonts w:ascii="Arial" w:hAnsi="Arial" w:cs="Arial"/>
            <w:szCs w:val="22"/>
          </w:rPr>
          <w:t>https://doi.org/10.1093/schbul/sbq024</w:t>
        </w:r>
      </w:hyperlink>
      <w:r w:rsidRPr="004D46AC">
        <w:rPr>
          <w:rFonts w:ascii="Arial" w:hAnsi="Arial" w:cs="Arial"/>
          <w:szCs w:val="22"/>
        </w:rPr>
        <w:t xml:space="preserve"> </w:t>
      </w:r>
    </w:p>
    <w:p w14:paraId="31CD7DAB"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Kotov, R., Krueger, R. F., Watson, D., Cicero, D. C., Conway, C. C., DeYoung, C. G., Eaton, N. R., Forbes, M. K., Hallquist, M. N., Latzman, R. D., Mullins-Sweatt, S. N., Ruggero, C. J., Simms, L. J., Waldman, I. D., Waszczuk, M. A., &amp; Wright, A. G. C. (2021). The Hierarchical Taxonomy of Psychopathology (HiTOP): A Quantitative Nosology Based on Consensus of Evidence. </w:t>
      </w:r>
      <w:r w:rsidRPr="004D46AC">
        <w:rPr>
          <w:rFonts w:ascii="Arial" w:hAnsi="Arial" w:cs="Arial"/>
          <w:i/>
          <w:szCs w:val="22"/>
        </w:rPr>
        <w:t>Annu Rev Clin Psychol</w:t>
      </w:r>
      <w:r w:rsidRPr="004D46AC">
        <w:rPr>
          <w:rFonts w:ascii="Arial" w:hAnsi="Arial" w:cs="Arial"/>
          <w:szCs w:val="22"/>
        </w:rPr>
        <w:t>,</w:t>
      </w:r>
      <w:r w:rsidRPr="004D46AC">
        <w:rPr>
          <w:rFonts w:ascii="Arial" w:hAnsi="Arial" w:cs="Arial"/>
          <w:i/>
          <w:szCs w:val="22"/>
        </w:rPr>
        <w:t xml:space="preserve"> 17</w:t>
      </w:r>
      <w:r w:rsidRPr="004D46AC">
        <w:rPr>
          <w:rFonts w:ascii="Arial" w:hAnsi="Arial" w:cs="Arial"/>
          <w:szCs w:val="22"/>
        </w:rPr>
        <w:t xml:space="preserve">, 83–108. </w:t>
      </w:r>
      <w:hyperlink r:id="rId343" w:history="1">
        <w:r w:rsidRPr="004D46AC">
          <w:rPr>
            <w:rStyle w:val="af5"/>
            <w:rFonts w:ascii="Arial" w:hAnsi="Arial" w:cs="Arial"/>
            <w:szCs w:val="22"/>
          </w:rPr>
          <w:t>https://doi.org/10.1146/annurev-clinpsy-081219-093304</w:t>
        </w:r>
      </w:hyperlink>
      <w:r w:rsidRPr="004D46AC">
        <w:rPr>
          <w:rFonts w:ascii="Arial" w:hAnsi="Arial" w:cs="Arial"/>
          <w:szCs w:val="22"/>
        </w:rPr>
        <w:t xml:space="preserve"> </w:t>
      </w:r>
    </w:p>
    <w:p w14:paraId="335AC5D0"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Kraepelin, E. (1899). </w:t>
      </w:r>
      <w:r w:rsidRPr="004D46AC">
        <w:rPr>
          <w:rFonts w:ascii="Arial" w:hAnsi="Arial" w:cs="Arial"/>
          <w:i/>
          <w:szCs w:val="22"/>
        </w:rPr>
        <w:t>Psychiatry: A textbook for students and physicians.</w:t>
      </w:r>
      <w:r w:rsidRPr="004D46AC">
        <w:rPr>
          <w:rFonts w:ascii="Arial" w:hAnsi="Arial" w:cs="Arial"/>
          <w:szCs w:val="22"/>
        </w:rPr>
        <w:t xml:space="preserve"> (Vol. Volume 1 ). Watson Publishing International. </w:t>
      </w:r>
    </w:p>
    <w:p w14:paraId="3C639B59"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Liechti, S., Capodilupo, G., Opler, D. J., Opler, M., &amp; Yang, L. H. (2017). A Developmental History of the Positive and Negative Syndrome Scale (PANSS). </w:t>
      </w:r>
      <w:r w:rsidRPr="004D46AC">
        <w:rPr>
          <w:rFonts w:ascii="Arial" w:hAnsi="Arial" w:cs="Arial"/>
          <w:i/>
          <w:szCs w:val="22"/>
        </w:rPr>
        <w:t>Innov Clin Neurosci</w:t>
      </w:r>
      <w:r w:rsidRPr="004D46AC">
        <w:rPr>
          <w:rFonts w:ascii="Arial" w:hAnsi="Arial" w:cs="Arial"/>
          <w:szCs w:val="22"/>
        </w:rPr>
        <w:t>,</w:t>
      </w:r>
      <w:r w:rsidRPr="004D46AC">
        <w:rPr>
          <w:rFonts w:ascii="Arial" w:hAnsi="Arial" w:cs="Arial"/>
          <w:i/>
          <w:szCs w:val="22"/>
        </w:rPr>
        <w:t xml:space="preserve"> 14</w:t>
      </w:r>
      <w:r w:rsidRPr="004D46AC">
        <w:rPr>
          <w:rFonts w:ascii="Arial" w:hAnsi="Arial" w:cs="Arial"/>
          <w:szCs w:val="22"/>
        </w:rPr>
        <w:t xml:space="preserve">(11-12), 12–17. </w:t>
      </w:r>
    </w:p>
    <w:p w14:paraId="544B768E"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Liu, J., Kiehl, K. A., Pearlson, G., Perrone-Bizzozero, N. I., Eichele, T., &amp; Calhoun, V. D. (2009). Genetic determinants of target and novelty-related event-related potentials in the auditory oddball response. </w:t>
      </w:r>
      <w:r w:rsidRPr="004D46AC">
        <w:rPr>
          <w:rFonts w:ascii="Arial" w:hAnsi="Arial" w:cs="Arial"/>
          <w:i/>
          <w:szCs w:val="22"/>
        </w:rPr>
        <w:t>Neuroimage</w:t>
      </w:r>
      <w:r w:rsidRPr="004D46AC">
        <w:rPr>
          <w:rFonts w:ascii="Arial" w:hAnsi="Arial" w:cs="Arial"/>
          <w:szCs w:val="22"/>
        </w:rPr>
        <w:t>,</w:t>
      </w:r>
      <w:r w:rsidRPr="004D46AC">
        <w:rPr>
          <w:rFonts w:ascii="Arial" w:hAnsi="Arial" w:cs="Arial"/>
          <w:i/>
          <w:szCs w:val="22"/>
        </w:rPr>
        <w:t xml:space="preserve"> 46</w:t>
      </w:r>
      <w:r w:rsidRPr="004D46AC">
        <w:rPr>
          <w:rFonts w:ascii="Arial" w:hAnsi="Arial" w:cs="Arial"/>
          <w:szCs w:val="22"/>
        </w:rPr>
        <w:t xml:space="preserve">(3), 809–816. </w:t>
      </w:r>
      <w:hyperlink r:id="rId344" w:history="1">
        <w:r w:rsidRPr="004D46AC">
          <w:rPr>
            <w:rStyle w:val="af5"/>
            <w:rFonts w:ascii="Arial" w:hAnsi="Arial" w:cs="Arial"/>
            <w:szCs w:val="22"/>
          </w:rPr>
          <w:t>https://doi.org/10.1016/j.neuroimage.2009.02.045</w:t>
        </w:r>
      </w:hyperlink>
      <w:r w:rsidRPr="004D46AC">
        <w:rPr>
          <w:rFonts w:ascii="Arial" w:hAnsi="Arial" w:cs="Arial"/>
          <w:szCs w:val="22"/>
        </w:rPr>
        <w:t xml:space="preserve"> </w:t>
      </w:r>
    </w:p>
    <w:p w14:paraId="6E0FFB87"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Lukasiewicz, M., Gerard, S., Besnard, A., Falissard, B., Perrin, E., Sapin, H., Tohen, M., Reed, C., Azorin, J. M., &amp; Group, E. S. (2013). Young Mania Rating Scale: how to interpret the numbers? Determination of a severity threshold and of the minimal clinically significant difference in the EMBLEM cohort. </w:t>
      </w:r>
      <w:r w:rsidRPr="004D46AC">
        <w:rPr>
          <w:rFonts w:ascii="Arial" w:hAnsi="Arial" w:cs="Arial"/>
          <w:i/>
          <w:szCs w:val="22"/>
        </w:rPr>
        <w:t>International journal of methods in psychiatric research</w:t>
      </w:r>
      <w:r w:rsidRPr="004D46AC">
        <w:rPr>
          <w:rFonts w:ascii="Arial" w:hAnsi="Arial" w:cs="Arial"/>
          <w:szCs w:val="22"/>
        </w:rPr>
        <w:t>,</w:t>
      </w:r>
      <w:r w:rsidRPr="004D46AC">
        <w:rPr>
          <w:rFonts w:ascii="Arial" w:hAnsi="Arial" w:cs="Arial"/>
          <w:i/>
          <w:szCs w:val="22"/>
        </w:rPr>
        <w:t xml:space="preserve"> 22</w:t>
      </w:r>
      <w:r w:rsidRPr="004D46AC">
        <w:rPr>
          <w:rFonts w:ascii="Arial" w:hAnsi="Arial" w:cs="Arial"/>
          <w:szCs w:val="22"/>
        </w:rPr>
        <w:t xml:space="preserve">(1), 46–58. </w:t>
      </w:r>
    </w:p>
    <w:p w14:paraId="763150FE"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Lyon, H. M., Startup, M., &amp; Bentall, R. P. (1999). Social cognition and the manic defense: attributions, selective attention, and self-schema in bipolar affective disorder. </w:t>
      </w:r>
      <w:r w:rsidRPr="004D46AC">
        <w:rPr>
          <w:rFonts w:ascii="Arial" w:hAnsi="Arial" w:cs="Arial"/>
          <w:i/>
          <w:szCs w:val="22"/>
        </w:rPr>
        <w:t>J Abnorm Psychol</w:t>
      </w:r>
      <w:r w:rsidRPr="004D46AC">
        <w:rPr>
          <w:rFonts w:ascii="Arial" w:hAnsi="Arial" w:cs="Arial"/>
          <w:szCs w:val="22"/>
        </w:rPr>
        <w:t>,</w:t>
      </w:r>
      <w:r w:rsidRPr="004D46AC">
        <w:rPr>
          <w:rFonts w:ascii="Arial" w:hAnsi="Arial" w:cs="Arial"/>
          <w:i/>
          <w:szCs w:val="22"/>
        </w:rPr>
        <w:t xml:space="preserve"> 108</w:t>
      </w:r>
      <w:r w:rsidRPr="004D46AC">
        <w:rPr>
          <w:rFonts w:ascii="Arial" w:hAnsi="Arial" w:cs="Arial"/>
          <w:szCs w:val="22"/>
        </w:rPr>
        <w:t xml:space="preserve">(2), 273–282. </w:t>
      </w:r>
      <w:hyperlink r:id="rId345" w:history="1">
        <w:r w:rsidRPr="004D46AC">
          <w:rPr>
            <w:rStyle w:val="af5"/>
            <w:rFonts w:ascii="Arial" w:hAnsi="Arial" w:cs="Arial"/>
            <w:szCs w:val="22"/>
          </w:rPr>
          <w:t>https://doi.org/10.1037//0021-843x.108.2.273</w:t>
        </w:r>
      </w:hyperlink>
      <w:r w:rsidRPr="004D46AC">
        <w:rPr>
          <w:rFonts w:ascii="Arial" w:hAnsi="Arial" w:cs="Arial"/>
          <w:szCs w:val="22"/>
        </w:rPr>
        <w:t xml:space="preserve"> </w:t>
      </w:r>
    </w:p>
    <w:p w14:paraId="5CFD104A"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Mulholland, C., &amp; Cooper, S. (2000). The symptom of depression in schizophrenia and its management. </w:t>
      </w:r>
      <w:r w:rsidRPr="004D46AC">
        <w:rPr>
          <w:rFonts w:ascii="Arial" w:hAnsi="Arial" w:cs="Arial"/>
          <w:i/>
          <w:szCs w:val="22"/>
        </w:rPr>
        <w:t>Advances in Psychiatric Treatment</w:t>
      </w:r>
      <w:r w:rsidRPr="004D46AC">
        <w:rPr>
          <w:rFonts w:ascii="Arial" w:hAnsi="Arial" w:cs="Arial"/>
          <w:szCs w:val="22"/>
        </w:rPr>
        <w:t>,</w:t>
      </w:r>
      <w:r w:rsidRPr="004D46AC">
        <w:rPr>
          <w:rFonts w:ascii="Arial" w:hAnsi="Arial" w:cs="Arial"/>
          <w:i/>
          <w:szCs w:val="22"/>
        </w:rPr>
        <w:t xml:space="preserve"> 6</w:t>
      </w:r>
      <w:r w:rsidRPr="004D46AC">
        <w:rPr>
          <w:rFonts w:ascii="Arial" w:hAnsi="Arial" w:cs="Arial"/>
          <w:szCs w:val="22"/>
        </w:rPr>
        <w:t xml:space="preserve">(3), 169–177. </w:t>
      </w:r>
    </w:p>
    <w:p w14:paraId="7366D600"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Palmier-Claus, J. E., Berry, K., Bucci, S., Mansell, W., &amp; Varese, F. (2016). Relationship between childhood adversity and bipolar affective disorder: systematic review and meta-analysis. </w:t>
      </w:r>
      <w:r w:rsidRPr="004D46AC">
        <w:rPr>
          <w:rFonts w:ascii="Arial" w:hAnsi="Arial" w:cs="Arial"/>
          <w:i/>
          <w:szCs w:val="22"/>
        </w:rPr>
        <w:t>Br J Psychiatry</w:t>
      </w:r>
      <w:r w:rsidRPr="004D46AC">
        <w:rPr>
          <w:rFonts w:ascii="Arial" w:hAnsi="Arial" w:cs="Arial"/>
          <w:szCs w:val="22"/>
        </w:rPr>
        <w:t>,</w:t>
      </w:r>
      <w:r w:rsidRPr="004D46AC">
        <w:rPr>
          <w:rFonts w:ascii="Arial" w:hAnsi="Arial" w:cs="Arial"/>
          <w:i/>
          <w:szCs w:val="22"/>
        </w:rPr>
        <w:t xml:space="preserve"> 209</w:t>
      </w:r>
      <w:r w:rsidRPr="004D46AC">
        <w:rPr>
          <w:rFonts w:ascii="Arial" w:hAnsi="Arial" w:cs="Arial"/>
          <w:szCs w:val="22"/>
        </w:rPr>
        <w:t xml:space="preserve">(6), 454–459. </w:t>
      </w:r>
      <w:hyperlink r:id="rId346" w:history="1">
        <w:r w:rsidRPr="004D46AC">
          <w:rPr>
            <w:rStyle w:val="af5"/>
            <w:rFonts w:ascii="Arial" w:hAnsi="Arial" w:cs="Arial"/>
            <w:szCs w:val="22"/>
          </w:rPr>
          <w:t>https://doi.org/10.1192/bjp.bp.115.179655</w:t>
        </w:r>
      </w:hyperlink>
      <w:r w:rsidRPr="004D46AC">
        <w:rPr>
          <w:rFonts w:ascii="Arial" w:hAnsi="Arial" w:cs="Arial"/>
          <w:szCs w:val="22"/>
        </w:rPr>
        <w:t xml:space="preserve"> </w:t>
      </w:r>
    </w:p>
    <w:p w14:paraId="4B2CA626"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Parnas, J., &amp; Henriksen, M. G. (2014). Disordered self in the schizophrenia spectrum: a clinical and research perspective. </w:t>
      </w:r>
      <w:r w:rsidRPr="004D46AC">
        <w:rPr>
          <w:rFonts w:ascii="Arial" w:hAnsi="Arial" w:cs="Arial"/>
          <w:i/>
          <w:szCs w:val="22"/>
        </w:rPr>
        <w:t>Harv Rev Psychiatry</w:t>
      </w:r>
      <w:r w:rsidRPr="004D46AC">
        <w:rPr>
          <w:rFonts w:ascii="Arial" w:hAnsi="Arial" w:cs="Arial"/>
          <w:szCs w:val="22"/>
        </w:rPr>
        <w:t>,</w:t>
      </w:r>
      <w:r w:rsidRPr="004D46AC">
        <w:rPr>
          <w:rFonts w:ascii="Arial" w:hAnsi="Arial" w:cs="Arial"/>
          <w:i/>
          <w:szCs w:val="22"/>
        </w:rPr>
        <w:t xml:space="preserve"> 22</w:t>
      </w:r>
      <w:r w:rsidRPr="004D46AC">
        <w:rPr>
          <w:rFonts w:ascii="Arial" w:hAnsi="Arial" w:cs="Arial"/>
          <w:szCs w:val="22"/>
        </w:rPr>
        <w:t xml:space="preserve">(5), 251–265. </w:t>
      </w:r>
      <w:hyperlink r:id="rId347" w:history="1">
        <w:r w:rsidRPr="004D46AC">
          <w:rPr>
            <w:rStyle w:val="af5"/>
            <w:rFonts w:ascii="Arial" w:hAnsi="Arial" w:cs="Arial"/>
            <w:szCs w:val="22"/>
          </w:rPr>
          <w:t>https://doi.org/10.1097/HRP.0000000000000040</w:t>
        </w:r>
      </w:hyperlink>
      <w:r w:rsidRPr="004D46AC">
        <w:rPr>
          <w:rFonts w:ascii="Arial" w:hAnsi="Arial" w:cs="Arial"/>
          <w:szCs w:val="22"/>
        </w:rPr>
        <w:t xml:space="preserve"> </w:t>
      </w:r>
    </w:p>
    <w:p w14:paraId="0AEEEC3B"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Peralta, V., Gil-Berrozpe, G. J., Librero, J., Sánchez-Torres, A., &amp; Cuesta, M. J. (2020). The Symptom and Domain Structure of Psychotic Disorders: A Network Analysis Approach. </w:t>
      </w:r>
      <w:r w:rsidRPr="004D46AC">
        <w:rPr>
          <w:rFonts w:ascii="Arial" w:hAnsi="Arial" w:cs="Arial"/>
          <w:i/>
          <w:szCs w:val="22"/>
        </w:rPr>
        <w:t>Schizophrenia Bulletin Open</w:t>
      </w:r>
      <w:r w:rsidRPr="004D46AC">
        <w:rPr>
          <w:rFonts w:ascii="Arial" w:hAnsi="Arial" w:cs="Arial"/>
          <w:szCs w:val="22"/>
        </w:rPr>
        <w:t>,</w:t>
      </w:r>
      <w:r w:rsidRPr="004D46AC">
        <w:rPr>
          <w:rFonts w:ascii="Arial" w:hAnsi="Arial" w:cs="Arial"/>
          <w:i/>
          <w:szCs w:val="22"/>
        </w:rPr>
        <w:t xml:space="preserve"> 1</w:t>
      </w:r>
      <w:r w:rsidRPr="004D46AC">
        <w:rPr>
          <w:rFonts w:ascii="Arial" w:hAnsi="Arial" w:cs="Arial"/>
          <w:szCs w:val="22"/>
        </w:rPr>
        <w:t xml:space="preserve">(1), sgaa008. </w:t>
      </w:r>
      <w:hyperlink r:id="rId348" w:history="1">
        <w:r w:rsidRPr="004D46AC">
          <w:rPr>
            <w:rStyle w:val="af5"/>
            <w:rFonts w:ascii="Arial" w:hAnsi="Arial" w:cs="Arial"/>
            <w:szCs w:val="22"/>
          </w:rPr>
          <w:t>https://doi.org/10.1093/schizbullopen/sgaa008</w:t>
        </w:r>
      </w:hyperlink>
      <w:r w:rsidRPr="004D46AC">
        <w:rPr>
          <w:rFonts w:ascii="Arial" w:hAnsi="Arial" w:cs="Arial"/>
          <w:szCs w:val="22"/>
        </w:rPr>
        <w:t xml:space="preserve"> </w:t>
      </w:r>
    </w:p>
    <w:p w14:paraId="0AE9408B"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Peralta, V., Gil-Berrozpe, G. J., Sanchez-Torres, A., &amp; Cuesta, M. J. (2020). The network and dimensionality structure of affective psychoses: an exploratory graph analysis approach. </w:t>
      </w:r>
      <w:r w:rsidRPr="004D46AC">
        <w:rPr>
          <w:rFonts w:ascii="Arial" w:hAnsi="Arial" w:cs="Arial"/>
          <w:i/>
          <w:szCs w:val="22"/>
        </w:rPr>
        <w:t>J Affect Disord</w:t>
      </w:r>
      <w:r w:rsidRPr="004D46AC">
        <w:rPr>
          <w:rFonts w:ascii="Arial" w:hAnsi="Arial" w:cs="Arial"/>
          <w:szCs w:val="22"/>
        </w:rPr>
        <w:t>,</w:t>
      </w:r>
      <w:r w:rsidRPr="004D46AC">
        <w:rPr>
          <w:rFonts w:ascii="Arial" w:hAnsi="Arial" w:cs="Arial"/>
          <w:i/>
          <w:szCs w:val="22"/>
        </w:rPr>
        <w:t xml:space="preserve"> 277</w:t>
      </w:r>
      <w:r w:rsidRPr="004D46AC">
        <w:rPr>
          <w:rFonts w:ascii="Arial" w:hAnsi="Arial" w:cs="Arial"/>
          <w:szCs w:val="22"/>
        </w:rPr>
        <w:t xml:space="preserve">, 182–191. </w:t>
      </w:r>
      <w:hyperlink r:id="rId349" w:history="1">
        <w:r w:rsidRPr="004D46AC">
          <w:rPr>
            <w:rStyle w:val="af5"/>
            <w:rFonts w:ascii="Arial" w:hAnsi="Arial" w:cs="Arial"/>
            <w:szCs w:val="22"/>
          </w:rPr>
          <w:t>https://doi.org/10.1016/j.jad.2020.08.008</w:t>
        </w:r>
      </w:hyperlink>
      <w:r w:rsidRPr="004D46AC">
        <w:rPr>
          <w:rFonts w:ascii="Arial" w:hAnsi="Arial" w:cs="Arial"/>
          <w:szCs w:val="22"/>
        </w:rPr>
        <w:t xml:space="preserve"> </w:t>
      </w:r>
    </w:p>
    <w:p w14:paraId="315DD54F"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Pons, P., &amp; Latapy, M. (2005, 2005//). Computing Communities in Large Networks Using Random Walks. Computer and Information Sciences - ISCIS 2005, Berlin, Heidelberg.</w:t>
      </w:r>
    </w:p>
    <w:p w14:paraId="77CD161B"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Reininghaus, U., Bohnke, J. R., Chavez-Baldini, U., Gibbons, R., Ivleva, E., Clementz, B. A., Pearlson, G. D., Keshavan, M. S., Sweeney, J. A., &amp; Tamminga, C. A. (2019). Transdiagnostic dimensions of psychosis in the Bipolar-Schizophrenia Network on Intermediate Phenotypes (B-SNIP).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18</w:t>
      </w:r>
      <w:r w:rsidRPr="004D46AC">
        <w:rPr>
          <w:rFonts w:ascii="Arial" w:hAnsi="Arial" w:cs="Arial"/>
          <w:szCs w:val="22"/>
        </w:rPr>
        <w:t xml:space="preserve">(1), 67–76. </w:t>
      </w:r>
      <w:hyperlink r:id="rId350" w:history="1">
        <w:r w:rsidRPr="004D46AC">
          <w:rPr>
            <w:rStyle w:val="af5"/>
            <w:rFonts w:ascii="Arial" w:hAnsi="Arial" w:cs="Arial"/>
            <w:szCs w:val="22"/>
          </w:rPr>
          <w:t>https://doi.org/10.1002/wps.20607</w:t>
        </w:r>
      </w:hyperlink>
      <w:r w:rsidRPr="004D46AC">
        <w:rPr>
          <w:rFonts w:ascii="Arial" w:hAnsi="Arial" w:cs="Arial"/>
          <w:szCs w:val="22"/>
        </w:rPr>
        <w:t xml:space="preserve"> </w:t>
      </w:r>
    </w:p>
    <w:p w14:paraId="11D604EB"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Reininghaus, U., Bohnke, J. R., Hosang, G., Farmer, A., Burns, T., McGuffin, P., &amp; Bentall, R. P. (2016). Evaluation of the validity and utility of a transdiagnostic psychosis dimension encompassing schizophrenia and bipolar disorder. </w:t>
      </w:r>
      <w:r w:rsidRPr="004D46AC">
        <w:rPr>
          <w:rFonts w:ascii="Arial" w:hAnsi="Arial" w:cs="Arial"/>
          <w:i/>
          <w:szCs w:val="22"/>
        </w:rPr>
        <w:t>Br J Psychiatry</w:t>
      </w:r>
      <w:r w:rsidRPr="004D46AC">
        <w:rPr>
          <w:rFonts w:ascii="Arial" w:hAnsi="Arial" w:cs="Arial"/>
          <w:szCs w:val="22"/>
        </w:rPr>
        <w:t>,</w:t>
      </w:r>
      <w:r w:rsidRPr="004D46AC">
        <w:rPr>
          <w:rFonts w:ascii="Arial" w:hAnsi="Arial" w:cs="Arial"/>
          <w:i/>
          <w:szCs w:val="22"/>
        </w:rPr>
        <w:t xml:space="preserve"> 209</w:t>
      </w:r>
      <w:r w:rsidRPr="004D46AC">
        <w:rPr>
          <w:rFonts w:ascii="Arial" w:hAnsi="Arial" w:cs="Arial"/>
          <w:szCs w:val="22"/>
        </w:rPr>
        <w:t xml:space="preserve">(2), 107–113. </w:t>
      </w:r>
      <w:hyperlink r:id="rId351" w:history="1">
        <w:r w:rsidRPr="004D46AC">
          <w:rPr>
            <w:rStyle w:val="af5"/>
            <w:rFonts w:ascii="Arial" w:hAnsi="Arial" w:cs="Arial"/>
            <w:szCs w:val="22"/>
          </w:rPr>
          <w:t>https://doi.org/10.1192/bjp.bp.115.167882</w:t>
        </w:r>
      </w:hyperlink>
      <w:r w:rsidRPr="004D46AC">
        <w:rPr>
          <w:rFonts w:ascii="Arial" w:hAnsi="Arial" w:cs="Arial"/>
          <w:szCs w:val="22"/>
        </w:rPr>
        <w:t xml:space="preserve"> </w:t>
      </w:r>
    </w:p>
    <w:p w14:paraId="5A876FA1"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Reininghaus, U., Priebe, S., &amp; Bentall, R. P. (2013). Testing the psychopathology of psychosis: evidence for a general psychosis dimension. </w:t>
      </w:r>
      <w:r w:rsidRPr="004D46AC">
        <w:rPr>
          <w:rFonts w:ascii="Arial" w:hAnsi="Arial" w:cs="Arial"/>
          <w:i/>
          <w:szCs w:val="22"/>
        </w:rPr>
        <w:t>Schizophr Bull</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(4), 884–895. </w:t>
      </w:r>
      <w:hyperlink r:id="rId352" w:history="1">
        <w:r w:rsidRPr="004D46AC">
          <w:rPr>
            <w:rStyle w:val="af5"/>
            <w:rFonts w:ascii="Arial" w:hAnsi="Arial" w:cs="Arial"/>
            <w:szCs w:val="22"/>
          </w:rPr>
          <w:t>https://doi.org/10.1093/schbul/sbr182</w:t>
        </w:r>
      </w:hyperlink>
      <w:r w:rsidRPr="004D46AC">
        <w:rPr>
          <w:rFonts w:ascii="Arial" w:hAnsi="Arial" w:cs="Arial"/>
          <w:szCs w:val="22"/>
        </w:rPr>
        <w:t xml:space="preserve"> </w:t>
      </w:r>
    </w:p>
    <w:p w14:paraId="18D25F8A"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Schmidt, N. B., Kotov, R., &amp; Joiner, T. E. (2004). </w:t>
      </w:r>
      <w:r w:rsidRPr="004D46AC">
        <w:rPr>
          <w:rFonts w:ascii="Arial" w:hAnsi="Arial" w:cs="Arial"/>
          <w:i/>
          <w:szCs w:val="22"/>
        </w:rPr>
        <w:t>Taxometrics: Toward a new diagnostic scheme for psychopathology</w:t>
      </w:r>
      <w:r w:rsidRPr="004D46AC">
        <w:rPr>
          <w:rFonts w:ascii="Arial" w:hAnsi="Arial" w:cs="Arial"/>
          <w:szCs w:val="22"/>
        </w:rPr>
        <w:t xml:space="preserve">  [doi:10.1037/10810-000]. American Psychological Association. </w:t>
      </w:r>
      <w:hyperlink r:id="rId353" w:history="1">
        <w:r w:rsidRPr="004D46AC">
          <w:rPr>
            <w:rStyle w:val="af5"/>
            <w:rFonts w:ascii="Arial" w:hAnsi="Arial" w:cs="Arial"/>
            <w:szCs w:val="22"/>
          </w:rPr>
          <w:t>https://doi.org/10.1037/10810-000</w:t>
        </w:r>
      </w:hyperlink>
      <w:r w:rsidRPr="004D46AC">
        <w:rPr>
          <w:rFonts w:ascii="Arial" w:hAnsi="Arial" w:cs="Arial"/>
          <w:szCs w:val="22"/>
        </w:rPr>
        <w:t xml:space="preserve"> </w:t>
      </w:r>
    </w:p>
    <w:p w14:paraId="59A7E1C3"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Shao, W., Shao, K., &amp; Bentall, R. P. (in press). Comorbid schizophrenia and psychotic symptoms in patients with bipolar disorder: A meta-analysis of the global literature. In.</w:t>
      </w:r>
    </w:p>
    <w:p w14:paraId="188CCB43"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Spitzer, M., Braun, U., Hermle, L., &amp; Maier, S. (1993). Associative semantic network dysfunction in thought-disordered schizophrenic patients: direct evidence from indirect semantic priming. </w:t>
      </w:r>
      <w:r w:rsidRPr="004D46AC">
        <w:rPr>
          <w:rFonts w:ascii="Arial" w:hAnsi="Arial" w:cs="Arial"/>
          <w:i/>
          <w:szCs w:val="22"/>
        </w:rPr>
        <w:t>Biol Psychiatry</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(12), 864–877. </w:t>
      </w:r>
      <w:hyperlink r:id="rId354" w:history="1">
        <w:r w:rsidRPr="004D46AC">
          <w:rPr>
            <w:rStyle w:val="af5"/>
            <w:rFonts w:ascii="Arial" w:hAnsi="Arial" w:cs="Arial"/>
            <w:szCs w:val="22"/>
          </w:rPr>
          <w:t>https://doi.org/10.1016/0006-3223(93)90054-h</w:t>
        </w:r>
      </w:hyperlink>
      <w:r w:rsidRPr="004D46AC">
        <w:rPr>
          <w:rFonts w:ascii="Arial" w:hAnsi="Arial" w:cs="Arial"/>
          <w:szCs w:val="22"/>
        </w:rPr>
        <w:t xml:space="preserve"> </w:t>
      </w:r>
    </w:p>
    <w:p w14:paraId="6C5E7F83"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Tai, S., Haddock, G., &amp; Bentall, R. (2004). The effects of emotional salience on thought disorder in patients with bipolar affective disorder. </w:t>
      </w:r>
      <w:r w:rsidRPr="004D46AC">
        <w:rPr>
          <w:rFonts w:ascii="Arial" w:hAnsi="Arial" w:cs="Arial"/>
          <w:i/>
          <w:szCs w:val="22"/>
        </w:rPr>
        <w:t>Psychol Med</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(5), 803–809. </w:t>
      </w:r>
      <w:hyperlink r:id="rId355" w:history="1">
        <w:r w:rsidRPr="004D46AC">
          <w:rPr>
            <w:rStyle w:val="af5"/>
            <w:rFonts w:ascii="Arial" w:hAnsi="Arial" w:cs="Arial"/>
            <w:szCs w:val="22"/>
          </w:rPr>
          <w:t>https://doi.org/10.1017/s003329170300117x</w:t>
        </w:r>
      </w:hyperlink>
      <w:r w:rsidRPr="004D46AC">
        <w:rPr>
          <w:rFonts w:ascii="Arial" w:hAnsi="Arial" w:cs="Arial"/>
          <w:szCs w:val="22"/>
        </w:rPr>
        <w:t xml:space="preserve"> </w:t>
      </w:r>
    </w:p>
    <w:p w14:paraId="004EAAF2"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Tamminga, C. A., Jim van Os, M., &amp; Elena Ivleva, M. (2020). </w:t>
      </w:r>
      <w:r w:rsidRPr="004D46AC">
        <w:rPr>
          <w:rFonts w:ascii="Arial" w:hAnsi="Arial" w:cs="Arial"/>
          <w:i/>
          <w:szCs w:val="22"/>
        </w:rPr>
        <w:t>Psychotic disorders: Comprehensive conceptualization and treatments</w:t>
      </w:r>
      <w:r w:rsidRPr="004D46AC">
        <w:rPr>
          <w:rFonts w:ascii="Arial" w:hAnsi="Arial" w:cs="Arial"/>
          <w:szCs w:val="22"/>
        </w:rPr>
        <w:t xml:space="preserve">. Oxford University Press. </w:t>
      </w:r>
    </w:p>
    <w:p w14:paraId="6500BE2F"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Tamminga, C. A., Pearlson, G., Keshavan, M., Sweeney, J., Clementz, B., &amp; Thaker, G. (2014). Bipolar and schizophrenia network for intermediate phenotypes: outcomes across the psychosis continuum. </w:t>
      </w:r>
      <w:r w:rsidRPr="004D46AC">
        <w:rPr>
          <w:rFonts w:ascii="Arial" w:hAnsi="Arial" w:cs="Arial"/>
          <w:i/>
          <w:szCs w:val="22"/>
        </w:rPr>
        <w:t>Schizophr Bull</w:t>
      </w:r>
      <w:r w:rsidRPr="004D46AC">
        <w:rPr>
          <w:rFonts w:ascii="Arial" w:hAnsi="Arial" w:cs="Arial"/>
          <w:szCs w:val="22"/>
        </w:rPr>
        <w:t>,</w:t>
      </w:r>
      <w:r w:rsidRPr="004D46AC">
        <w:rPr>
          <w:rFonts w:ascii="Arial" w:hAnsi="Arial" w:cs="Arial"/>
          <w:i/>
          <w:szCs w:val="22"/>
        </w:rPr>
        <w:t xml:space="preserve"> 40 Suppl 2</w:t>
      </w:r>
      <w:r w:rsidRPr="004D46AC">
        <w:rPr>
          <w:rFonts w:ascii="Arial" w:hAnsi="Arial" w:cs="Arial"/>
          <w:szCs w:val="22"/>
        </w:rPr>
        <w:t xml:space="preserve">(Suppl 2), S131–137. </w:t>
      </w:r>
      <w:hyperlink r:id="rId356" w:history="1">
        <w:r w:rsidRPr="004D46AC">
          <w:rPr>
            <w:rStyle w:val="af5"/>
            <w:rFonts w:ascii="Arial" w:hAnsi="Arial" w:cs="Arial"/>
            <w:szCs w:val="22"/>
          </w:rPr>
          <w:t>https://doi.org/10.1093/schbul/sbt179</w:t>
        </w:r>
      </w:hyperlink>
      <w:r w:rsidRPr="004D46AC">
        <w:rPr>
          <w:rFonts w:ascii="Arial" w:hAnsi="Arial" w:cs="Arial"/>
          <w:szCs w:val="22"/>
        </w:rPr>
        <w:t xml:space="preserve"> </w:t>
      </w:r>
    </w:p>
    <w:p w14:paraId="688CFAB9"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Thomas, J., Knowles, R., Tai, S., &amp; Bentall, R. P. (2007). Response styles to depressed mood in bipolar affective disorder. </w:t>
      </w:r>
      <w:r w:rsidRPr="004D46AC">
        <w:rPr>
          <w:rFonts w:ascii="Arial" w:hAnsi="Arial" w:cs="Arial"/>
          <w:i/>
          <w:szCs w:val="22"/>
        </w:rPr>
        <w:t>J Affect Disord</w:t>
      </w:r>
      <w:r w:rsidRPr="004D46AC">
        <w:rPr>
          <w:rFonts w:ascii="Arial" w:hAnsi="Arial" w:cs="Arial"/>
          <w:szCs w:val="22"/>
        </w:rPr>
        <w:t>,</w:t>
      </w:r>
      <w:r w:rsidRPr="004D46AC">
        <w:rPr>
          <w:rFonts w:ascii="Arial" w:hAnsi="Arial" w:cs="Arial"/>
          <w:i/>
          <w:szCs w:val="22"/>
        </w:rPr>
        <w:t xml:space="preserve"> 100</w:t>
      </w:r>
      <w:r w:rsidRPr="004D46AC">
        <w:rPr>
          <w:rFonts w:ascii="Arial" w:hAnsi="Arial" w:cs="Arial"/>
          <w:szCs w:val="22"/>
        </w:rPr>
        <w:t xml:space="preserve">(1-3), 249–252. </w:t>
      </w:r>
      <w:hyperlink r:id="rId357" w:history="1">
        <w:r w:rsidRPr="004D46AC">
          <w:rPr>
            <w:rStyle w:val="af5"/>
            <w:rFonts w:ascii="Arial" w:hAnsi="Arial" w:cs="Arial"/>
            <w:szCs w:val="22"/>
          </w:rPr>
          <w:t>https://doi.org/10.1016/j.jad.2006.10.017</w:t>
        </w:r>
      </w:hyperlink>
      <w:r w:rsidRPr="004D46AC">
        <w:rPr>
          <w:rFonts w:ascii="Arial" w:hAnsi="Arial" w:cs="Arial"/>
          <w:szCs w:val="22"/>
        </w:rPr>
        <w:t xml:space="preserve"> </w:t>
      </w:r>
    </w:p>
    <w:p w14:paraId="037B77C8"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Borkulo, C. D., van Bork, R., Boschloo, L., Kossakowski, J. J., Tio, P., Schoevers, R. A., Borsboom, D., &amp; Waldorp, L. J. (2023). Comparing network structures on three aspects: A permutation test. </w:t>
      </w:r>
      <w:r w:rsidRPr="004D46AC">
        <w:rPr>
          <w:rFonts w:ascii="Arial" w:hAnsi="Arial" w:cs="Arial"/>
          <w:i/>
          <w:szCs w:val="22"/>
        </w:rPr>
        <w:t>Psychol Methods</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(6), 1273–1285. </w:t>
      </w:r>
      <w:hyperlink r:id="rId358" w:history="1">
        <w:r w:rsidRPr="004D46AC">
          <w:rPr>
            <w:rStyle w:val="af5"/>
            <w:rFonts w:ascii="Arial" w:hAnsi="Arial" w:cs="Arial"/>
            <w:szCs w:val="22"/>
          </w:rPr>
          <w:t>https://doi.org/10.1037/met0000476</w:t>
        </w:r>
      </w:hyperlink>
      <w:r w:rsidRPr="004D46AC">
        <w:rPr>
          <w:rFonts w:ascii="Arial" w:hAnsi="Arial" w:cs="Arial"/>
          <w:szCs w:val="22"/>
        </w:rPr>
        <w:t xml:space="preserve"> </w:t>
      </w:r>
    </w:p>
    <w:p w14:paraId="32AEEEB3"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Snellenberg, J. X., &amp; de Candia, T. (2009). Meta-analytic evidence for familial coaggregation of schizophrenia and bipolar disorder. </w:t>
      </w:r>
      <w:r w:rsidRPr="004D46AC">
        <w:rPr>
          <w:rFonts w:ascii="Arial" w:hAnsi="Arial" w:cs="Arial"/>
          <w:i/>
          <w:szCs w:val="22"/>
        </w:rPr>
        <w:t>Arch Gen Psychiatry</w:t>
      </w:r>
      <w:r w:rsidRPr="004D46AC">
        <w:rPr>
          <w:rFonts w:ascii="Arial" w:hAnsi="Arial" w:cs="Arial"/>
          <w:szCs w:val="22"/>
        </w:rPr>
        <w:t>,</w:t>
      </w:r>
      <w:r w:rsidRPr="004D46AC">
        <w:rPr>
          <w:rFonts w:ascii="Arial" w:hAnsi="Arial" w:cs="Arial"/>
          <w:i/>
          <w:szCs w:val="22"/>
        </w:rPr>
        <w:t xml:space="preserve"> 66</w:t>
      </w:r>
      <w:r w:rsidRPr="004D46AC">
        <w:rPr>
          <w:rFonts w:ascii="Arial" w:hAnsi="Arial" w:cs="Arial"/>
          <w:szCs w:val="22"/>
        </w:rPr>
        <w:t xml:space="preserve">(7), 748–755. </w:t>
      </w:r>
      <w:hyperlink r:id="rId359" w:history="1">
        <w:r w:rsidRPr="004D46AC">
          <w:rPr>
            <w:rStyle w:val="af5"/>
            <w:rFonts w:ascii="Arial" w:hAnsi="Arial" w:cs="Arial"/>
            <w:szCs w:val="22"/>
          </w:rPr>
          <w:t>https://doi.org/10.1001/archgenpsychiatry.2009.64</w:t>
        </w:r>
      </w:hyperlink>
      <w:r w:rsidRPr="004D46AC">
        <w:rPr>
          <w:rFonts w:ascii="Arial" w:hAnsi="Arial" w:cs="Arial"/>
          <w:szCs w:val="22"/>
        </w:rPr>
        <w:t xml:space="preserve"> </w:t>
      </w:r>
    </w:p>
    <w:p w14:paraId="7C0827F5"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Vracotas, N., Schmitz, N., Joober, R., &amp; Malla, A. (2007). Subjective distress in first</w:t>
      </w:r>
      <w:r w:rsidRPr="004D46AC">
        <w:rPr>
          <w:rFonts w:ascii="Cambria Math" w:hAnsi="Cambria Math" w:cs="Cambria Math"/>
          <w:szCs w:val="22"/>
        </w:rPr>
        <w:t>‐</w:t>
      </w:r>
      <w:r w:rsidRPr="004D46AC">
        <w:rPr>
          <w:rFonts w:ascii="Arial" w:hAnsi="Arial" w:cs="Arial"/>
          <w:szCs w:val="22"/>
        </w:rPr>
        <w:t>episode psychosis: role of symptoms and self</w:t>
      </w:r>
      <w:r w:rsidRPr="004D46AC">
        <w:rPr>
          <w:rFonts w:ascii="Cambria Math" w:hAnsi="Cambria Math" w:cs="Cambria Math"/>
          <w:szCs w:val="22"/>
        </w:rPr>
        <w:t>‐</w:t>
      </w:r>
      <w:r w:rsidRPr="004D46AC">
        <w:rPr>
          <w:rFonts w:ascii="Arial" w:hAnsi="Arial" w:cs="Arial"/>
          <w:szCs w:val="22"/>
        </w:rPr>
        <w:t xml:space="preserve">esteem. </w:t>
      </w:r>
      <w:r w:rsidRPr="004D46AC">
        <w:rPr>
          <w:rFonts w:ascii="Arial" w:hAnsi="Arial" w:cs="Arial"/>
          <w:i/>
          <w:szCs w:val="22"/>
        </w:rPr>
        <w:t>Early Intervention in Psychiatry</w:t>
      </w:r>
      <w:r w:rsidRPr="004D46AC">
        <w:rPr>
          <w:rFonts w:ascii="Arial" w:hAnsi="Arial" w:cs="Arial"/>
          <w:szCs w:val="22"/>
        </w:rPr>
        <w:t>,</w:t>
      </w:r>
      <w:r w:rsidRPr="004D46AC">
        <w:rPr>
          <w:rFonts w:ascii="Arial" w:hAnsi="Arial" w:cs="Arial"/>
          <w:i/>
          <w:szCs w:val="22"/>
        </w:rPr>
        <w:t xml:space="preserve"> 1</w:t>
      </w:r>
      <w:r w:rsidRPr="004D46AC">
        <w:rPr>
          <w:rFonts w:ascii="Arial" w:hAnsi="Arial" w:cs="Arial"/>
          <w:szCs w:val="22"/>
        </w:rPr>
        <w:t xml:space="preserve">(3), 251–258. </w:t>
      </w:r>
      <w:hyperlink r:id="rId360" w:history="1">
        <w:r w:rsidRPr="004D46AC">
          <w:rPr>
            <w:rStyle w:val="af5"/>
            <w:rFonts w:ascii="Arial" w:hAnsi="Arial" w:cs="Arial"/>
            <w:szCs w:val="22"/>
          </w:rPr>
          <w:t>https://doi.org/10.1111/j.1751-7893.2007.00034.x</w:t>
        </w:r>
      </w:hyperlink>
      <w:r w:rsidRPr="004D46AC">
        <w:rPr>
          <w:rFonts w:ascii="Arial" w:hAnsi="Arial" w:cs="Arial"/>
          <w:szCs w:val="22"/>
        </w:rPr>
        <w:t xml:space="preserve"> </w:t>
      </w:r>
    </w:p>
    <w:p w14:paraId="5FF1E786" w14:textId="77777777" w:rsidR="003D5CB6" w:rsidRPr="004D46AC" w:rsidRDefault="003D5CB6"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Wright, A. G., Krueger, R. F., Hobbs, M. J., Markon, K. E., Eaton, N. R., &amp; Slade, T. (2013). The structure of psychopathology: toward an expanded quantitative empirical model. </w:t>
      </w:r>
      <w:r w:rsidRPr="004D46AC">
        <w:rPr>
          <w:rFonts w:ascii="Arial" w:hAnsi="Arial" w:cs="Arial"/>
          <w:i/>
          <w:szCs w:val="22"/>
        </w:rPr>
        <w:t>J Abnorm Psychol</w:t>
      </w:r>
      <w:r w:rsidRPr="004D46AC">
        <w:rPr>
          <w:rFonts w:ascii="Arial" w:hAnsi="Arial" w:cs="Arial"/>
          <w:szCs w:val="22"/>
        </w:rPr>
        <w:t>,</w:t>
      </w:r>
      <w:r w:rsidRPr="004D46AC">
        <w:rPr>
          <w:rFonts w:ascii="Arial" w:hAnsi="Arial" w:cs="Arial"/>
          <w:i/>
          <w:szCs w:val="22"/>
        </w:rPr>
        <w:t xml:space="preserve"> 122</w:t>
      </w:r>
      <w:r w:rsidRPr="004D46AC">
        <w:rPr>
          <w:rFonts w:ascii="Arial" w:hAnsi="Arial" w:cs="Arial"/>
          <w:szCs w:val="22"/>
        </w:rPr>
        <w:t xml:space="preserve">(1), 281–294. </w:t>
      </w:r>
      <w:hyperlink r:id="rId361" w:history="1">
        <w:r w:rsidRPr="004D46AC">
          <w:rPr>
            <w:rStyle w:val="af5"/>
            <w:rFonts w:ascii="Arial" w:hAnsi="Arial" w:cs="Arial"/>
            <w:szCs w:val="22"/>
          </w:rPr>
          <w:t>https://doi.org/10.1037/a0030133</w:t>
        </w:r>
      </w:hyperlink>
      <w:r w:rsidRPr="004D46AC">
        <w:rPr>
          <w:rFonts w:ascii="Arial" w:hAnsi="Arial" w:cs="Arial"/>
          <w:szCs w:val="22"/>
        </w:rPr>
        <w:t xml:space="preserve"> </w:t>
      </w:r>
    </w:p>
    <w:p w14:paraId="74E1922D" w14:textId="77777777" w:rsidR="007075D9" w:rsidRPr="004D46AC" w:rsidRDefault="003D5CB6" w:rsidP="00613197">
      <w:pPr>
        <w:pStyle w:val="EndNoteBibliography"/>
        <w:spacing w:line="360" w:lineRule="auto"/>
        <w:ind w:left="720" w:hanging="720"/>
        <w:rPr>
          <w:rFonts w:ascii="Arial" w:hAnsi="Arial" w:cs="Arial"/>
          <w:szCs w:val="22"/>
        </w:rPr>
        <w:sectPr w:rsidR="007075D9" w:rsidRPr="004D46AC" w:rsidSect="003A1ED4">
          <w:headerReference w:type="default" r:id="rId362"/>
          <w:pgSz w:w="11906" w:h="16838"/>
          <w:pgMar w:top="1440" w:right="1440" w:bottom="1440" w:left="1440" w:header="851" w:footer="992" w:gutter="0"/>
          <w:cols w:space="720"/>
          <w:docGrid w:linePitch="299"/>
        </w:sectPr>
      </w:pPr>
      <w:r w:rsidRPr="004D46AC">
        <w:rPr>
          <w:rFonts w:ascii="Arial" w:hAnsi="Arial" w:cs="Arial"/>
          <w:szCs w:val="22"/>
        </w:rPr>
        <w:t xml:space="preserve">Zavlis, O., Matheou, A., &amp; Bentall, R. (2023). Identifying the bridge between depression and mania: A machine learning and network approach to bipolar disorder. </w:t>
      </w:r>
      <w:r w:rsidRPr="004D46AC">
        <w:rPr>
          <w:rFonts w:ascii="Arial" w:hAnsi="Arial" w:cs="Arial"/>
          <w:i/>
          <w:szCs w:val="22"/>
        </w:rPr>
        <w:t>Bipolar Disord</w:t>
      </w:r>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(7), 571–582. </w:t>
      </w:r>
      <w:hyperlink r:id="rId363" w:history="1">
        <w:r w:rsidRPr="004D46AC">
          <w:rPr>
            <w:rStyle w:val="af5"/>
            <w:rFonts w:ascii="Arial" w:hAnsi="Arial" w:cs="Arial"/>
            <w:szCs w:val="22"/>
          </w:rPr>
          <w:t>https://doi.org/10.1111/bdi.13316</w:t>
        </w:r>
      </w:hyperlink>
      <w:r w:rsidRPr="004D46AC">
        <w:rPr>
          <w:rFonts w:ascii="Arial" w:hAnsi="Arial" w:cs="Arial"/>
          <w:szCs w:val="22"/>
        </w:rPr>
        <w:t xml:space="preserve"> </w:t>
      </w:r>
      <w:r w:rsidRPr="004D46AC">
        <w:rPr>
          <w:rFonts w:ascii="Arial" w:hAnsi="Arial" w:cs="Arial"/>
          <w:szCs w:val="22"/>
        </w:rPr>
        <w:fldChar w:fldCharType="end"/>
      </w:r>
    </w:p>
    <w:p w14:paraId="3EE54BA6" w14:textId="22D9A918" w:rsidR="007075D9" w:rsidRPr="004D46AC" w:rsidRDefault="007075D9">
      <w:pPr>
        <w:pStyle w:val="1"/>
        <w:numPr>
          <w:ilvl w:val="0"/>
          <w:numId w:val="23"/>
        </w:numPr>
      </w:pPr>
      <w:bookmarkStart w:id="136" w:name="_Hlk216877817"/>
      <w:bookmarkStart w:id="137" w:name="_Toc219888774"/>
      <w:r w:rsidRPr="004D46AC">
        <w:lastRenderedPageBreak/>
        <w:t>The</w:t>
      </w:r>
      <w:r w:rsidRPr="004D46AC">
        <w:rPr>
          <w:rFonts w:hint="eastAsia"/>
        </w:rPr>
        <w:t xml:space="preserve"> </w:t>
      </w:r>
      <w:r w:rsidRPr="004D46AC">
        <w:t>Interplay Between Mood Symptoms and Psychosis Over Two Years: Longitudinal and Structural Relationships Between Manic, Depressive, and Psychotic-Like Experiences</w:t>
      </w:r>
      <w:bookmarkEnd w:id="136"/>
      <w:r w:rsidRPr="004D46AC">
        <w:rPr>
          <w:rStyle w:val="aff5"/>
        </w:rPr>
        <w:footnoteReference w:id="3"/>
      </w:r>
      <w:bookmarkEnd w:id="137"/>
    </w:p>
    <w:p w14:paraId="7D93F099" w14:textId="77777777" w:rsidR="007075D9" w:rsidRPr="004D46AC" w:rsidRDefault="007075D9" w:rsidP="00B518F1">
      <w:pPr>
        <w:pStyle w:val="2"/>
      </w:pPr>
      <w:bookmarkStart w:id="138" w:name="_Toc219888775"/>
      <w:r w:rsidRPr="004D46AC">
        <w:t>Introduction</w:t>
      </w:r>
      <w:bookmarkEnd w:id="138"/>
    </w:p>
    <w:p w14:paraId="2F8220DC" w14:textId="77777777" w:rsidR="007075D9" w:rsidRPr="004D46AC" w:rsidRDefault="007075D9" w:rsidP="00B518F1">
      <w:r w:rsidRPr="004D46AC">
        <w:t>The boundaries between psychiatric disorders have been contested since</w:t>
      </w:r>
      <w:r w:rsidRPr="004D46AC">
        <w:rPr>
          <w:rFonts w:hint="eastAsia"/>
        </w:rPr>
        <w:t xml:space="preserve"> </w:t>
      </w:r>
      <w:r w:rsidRPr="004D46AC">
        <w:fldChar w:fldCharType="begin"/>
      </w:r>
      <w:r w:rsidRPr="004D46AC">
        <w:instrText xml:space="preserve"> ADDIN EN.CITE &lt;EndNote&gt;&lt;Cite AuthorYear="1"&gt;&lt;Author&gt;Kraepelin&lt;/Author&gt;&lt;Year&gt;1899&lt;/Year&gt;&lt;RecNum&gt;502&lt;/RecNum&gt;&lt;DisplayText&gt;Kraepelin (1899)&lt;/DisplayText&gt;&lt;record&gt;&lt;rec-number&gt;502&lt;/rec-number&gt;&lt;foreign-keys&gt;&lt;key app="EN" db-id="aet009sstawa0hewvt3xwf5atffdw2dt02sw" timestamp="1709051566"&gt;502&lt;/key&gt;&lt;/foreign-keys&gt;&lt;ref-type name="Book"&gt;6&lt;/ref-type&gt;&lt;contributors&gt;&lt;authors&gt;&lt;author&gt;Emil Kraepelin&lt;/author&gt;&lt;/authors&gt;&lt;/contributors&gt;&lt;titles&gt;&lt;title&gt;Psychiatry: A textbook for students and physicians.&lt;/title&gt;&lt;/titles&gt;&lt;volume&gt;Volume 1 &lt;/volume&gt;&lt;dates&gt;&lt;year&gt;1899&lt;/year&gt;&lt;/dates&gt;&lt;publisher&gt;Watson Publishing International&lt;/publisher&gt;&lt;urls&gt;&lt;/urls&gt;&lt;/record&gt;&lt;/Cite&gt;&lt;/EndNote&gt;</w:instrText>
      </w:r>
      <w:r w:rsidRPr="004D46AC">
        <w:fldChar w:fldCharType="separate"/>
      </w:r>
      <w:r w:rsidRPr="004D46AC">
        <w:rPr>
          <w:noProof/>
        </w:rPr>
        <w:t>Kraepelin (1899)</w:t>
      </w:r>
      <w:r w:rsidRPr="004D46AC">
        <w:fldChar w:fldCharType="end"/>
      </w:r>
      <w:r w:rsidRPr="004D46AC">
        <w:rPr>
          <w:rFonts w:hint="eastAsia"/>
        </w:rPr>
        <w:t xml:space="preserve"> </w:t>
      </w:r>
      <w:r w:rsidRPr="004D46AC">
        <w:t>and others devised the categorical approach to diagnosis towards the end of the nineteenth century</w:t>
      </w:r>
      <w:r w:rsidRPr="004D46AC">
        <w:rPr>
          <w:rFonts w:hint="eastAsia"/>
        </w:rPr>
        <w:t xml:space="preserve"> </w:t>
      </w:r>
      <w:r w:rsidRPr="004D46AC">
        <w:fldChar w:fldCharType="begin"/>
      </w:r>
      <w:r w:rsidRPr="004D46AC">
        <w:instrText xml:space="preserve"> ADDIN EN.CITE &lt;EndNote&gt;&lt;Cite&gt;&lt;Author&gt;Bentall&lt;/Author&gt;&lt;Year&gt;2004&lt;/Year&gt;&lt;RecNum&gt;333&lt;/RecNum&gt;&lt;DisplayText&gt;(Bentall, 2004)&lt;/DisplayText&gt;&lt;record&gt;&lt;rec-number&gt;333&lt;/rec-number&gt;&lt;foreign-keys&gt;&lt;key app="EN" db-id="aet009sstawa0hewvt3xwf5atffdw2dt02sw" timestamp="1671711735"&gt;333&lt;/key&gt;&lt;/foreign-keys&gt;&lt;ref-type name="Book"&gt;6&lt;/ref-type&gt;&lt;contributors&gt;&lt;authors&gt;&lt;author&gt;Bentall, Richard P.&lt;/author&gt;&lt;/authors&gt;&lt;/contributors&gt;&lt;titles&gt;&lt;title&gt;Madness explained [electronic resource] : psychosis and human nature&lt;/title&gt;&lt;/titles&gt;&lt;keywords&gt;&lt;keyword&gt;Mental illness&lt;/keyword&gt;&lt;keyword&gt;Psychology, Pathological&lt;/keyword&gt;&lt;keyword&gt;Neurology&lt;/keyword&gt;&lt;keyword&gt;Brain -- Diseases&lt;/keyword&gt;&lt;keyword&gt;Criminal psychology&lt;/keyword&gt;&lt;keyword&gt;Mental health&lt;/keyword&gt;&lt;keyword&gt;Psychiatry&lt;/keyword&gt;&lt;keyword&gt;Psychoanalysis&lt;/keyword&gt;&lt;keyword&gt;Disabilities&lt;/keyword&gt;&lt;/keywords&gt;&lt;dates&gt;&lt;year&gt;2004&lt;/year&gt;&lt;/dates&gt;&lt;pub-location&gt;London&lt;/pub-location&gt;&lt;publisher&gt;London : Penguin, 2004&lt;/publisher&gt;&lt;isbn&gt;9780141909325&lt;/isbn&gt;&lt;urls&gt;&lt;/urls&gt;&lt;/record&gt;&lt;/Cite&gt;&lt;/EndNote&gt;</w:instrText>
      </w:r>
      <w:r w:rsidRPr="004D46AC">
        <w:fldChar w:fldCharType="separate"/>
      </w:r>
      <w:r w:rsidRPr="004D46AC">
        <w:rPr>
          <w:noProof/>
        </w:rPr>
        <w:t>(Bentall, 2004)</w:t>
      </w:r>
      <w:r w:rsidRPr="004D46AC">
        <w:fldChar w:fldCharType="end"/>
      </w:r>
      <w:r w:rsidRPr="004D46AC">
        <w:t xml:space="preserve">. Modern psychiatric classifications define disorders as discrete entities derived from observable symptoms. The Diagnostic and Statistical Manual of Mental Disorders (DSM) exemplifies this approach, but has become increasingly complex, creating diagnoses with overlapping features that often blur boundaries </w:t>
      </w:r>
      <w:r w:rsidRPr="004D46AC">
        <w:fldChar w:fldCharType="begin"/>
      </w:r>
      <w:r w:rsidRPr="004D46AC">
        <w:instrText xml:space="preserve"> ADDIN EN.CITE &lt;EndNote&gt;&lt;Cite&gt;&lt;Author&gt;Blashfield&lt;/Author&gt;&lt;Year&gt;2014&lt;/Year&gt;&lt;RecNum&gt;1260&lt;/RecNum&gt;&lt;DisplayText&gt;(Blashfield et al., 2014)&lt;/DisplayText&gt;&lt;record&gt;&lt;rec-number&gt;1260&lt;/rec-number&gt;&lt;foreign-keys&gt;&lt;key app="EN" db-id="aet009sstawa0hewvt3xwf5atffdw2dt02sw" timestamp="1761539421"&gt;1260&lt;/key&gt;&lt;/foreign-keys&gt;&lt;ref-type name="Journal Article"&gt;17&lt;/ref-type&gt;&lt;contributors&gt;&lt;authors&gt;&lt;author&gt;Blashfield, Roger K.&lt;/author&gt;&lt;author&gt;Keeley, Jared W.&lt;/author&gt;&lt;author&gt;Flanagan, Elizabeth H.&lt;/author&gt;&lt;author&gt;Miles, Shannon R.&lt;/author&gt;&lt;/authors&gt;&lt;/contributors&gt;&lt;titles&gt;&lt;title&gt;The Cycle of Classification: DSM-I Through DSM-5&lt;/title&gt;&lt;secondary-title&gt;Annual Review of Clinical Psychology&lt;/secondary-title&gt;&lt;/titles&gt;&lt;periodical&gt;&lt;full-title&gt;Annual review of clinical psychology&lt;/full-title&gt;&lt;/periodical&gt;&lt;pages&gt;25-51&lt;/pages&gt;&lt;volume&gt;10&lt;/volume&gt;&lt;number&gt;Volume 10, 2014&lt;/number&gt;&lt;keywords&gt;&lt;keyword&gt;taxonomy&lt;/keyword&gt;&lt;keyword&gt;psychopathology&lt;/keyword&gt;&lt;keyword&gt;mental disorder&lt;/keyword&gt;&lt;/keywords&gt;&lt;dates&gt;&lt;year&gt;2014&lt;/year&gt;&lt;/dates&gt;&lt;isbn&gt;1548-5951&lt;/isbn&gt;&lt;urls&gt;&lt;related-urls&gt;&lt;url&gt;https://www.annualreviews.org/content/journals/10.1146/annurev-clinpsy-032813-153639&lt;/url&gt;&lt;/related-urls&gt;&lt;/urls&gt;&lt;electronic-resource-num&gt;https://doi.org/10.1146/annurev-clinpsy-032813-153639&lt;/electronic-resource-num&gt;&lt;/record&gt;&lt;/Cite&gt;&lt;/EndNote&gt;</w:instrText>
      </w:r>
      <w:r w:rsidRPr="004D46AC">
        <w:fldChar w:fldCharType="separate"/>
      </w:r>
      <w:r w:rsidRPr="004D46AC">
        <w:rPr>
          <w:noProof/>
        </w:rPr>
        <w:t>(Blashfield et al., 2014)</w:t>
      </w:r>
      <w:r w:rsidRPr="004D46AC">
        <w:fldChar w:fldCharType="end"/>
      </w:r>
      <w:r w:rsidRPr="004D46AC">
        <w:t>. The distinction between schizophrenia</w:t>
      </w:r>
      <w:r w:rsidRPr="004D46AC">
        <w:rPr>
          <w:rFonts w:hint="eastAsia"/>
        </w:rPr>
        <w:t xml:space="preserve"> </w:t>
      </w:r>
      <w:r w:rsidRPr="004D46AC">
        <w:t>spectrum</w:t>
      </w:r>
      <w:r w:rsidRPr="004D46AC">
        <w:rPr>
          <w:rFonts w:hint="eastAsia"/>
        </w:rPr>
        <w:t xml:space="preserve"> disorder (SSD)</w:t>
      </w:r>
      <w:r w:rsidRPr="004D46AC">
        <w:t xml:space="preserve"> and bipolar spectrum disorder (BSD) has been particularly debated. According to the latest diagnostic manuals, BSD is characterized by mood dysregulation (e.g., irritability, mood elevation, depression, and suicidal thoughts), whereas </w:t>
      </w:r>
      <w:r w:rsidRPr="004D46AC">
        <w:rPr>
          <w:rFonts w:hint="eastAsia"/>
        </w:rPr>
        <w:t>SSD</w:t>
      </w:r>
      <w:r w:rsidRPr="004D46AC">
        <w:t xml:space="preserve"> is primarily defined by cognitive and perceptual disturbances (e.g., hallucinations, disorganized speech) and altered beliefs (e.g., delusions) </w:t>
      </w:r>
      <w:r w:rsidRPr="004D46AC">
        <w:fldChar w:fldCharType="begin"/>
      </w:r>
      <w:r w:rsidRPr="004D46AC">
        <w:instrText xml:space="preserve"> ADDIN EN.CITE &lt;EndNote&gt;&lt;Cite&gt;&lt;Author&gt;American Psychiatric Association&lt;/Author&gt;&lt;Year&gt;2022&lt;/Year&gt;&lt;RecNum&gt;340&lt;/RecNum&gt;&lt;DisplayText&gt;(American Psychiatric Association, 2022; WHO, 2022)&lt;/DisplayText&gt;&lt;record&gt;&lt;rec-number&gt;340&lt;/rec-number&gt;&lt;foreign-keys&gt;&lt;key app="EN" db-id="aet009sstawa0hewvt3xwf5atffdw2dt02sw" timestamp="1683987184"&gt;340&lt;/key&gt;&lt;/foreign-keys&gt;&lt;ref-type name="Book"&gt;6&lt;/ref-type&gt;&lt;contributors&gt;&lt;authors&gt;&lt;author&gt;American Psychiatric Association, issuing body&lt;/author&gt;&lt;/authors&gt;&lt;/contributors&gt;&lt;titles&gt;&lt;title&gt;Diagnostic and statistical manual of mental disorders : DSM-5-TR&lt;/title&gt;&lt;secondary-title&gt;DSM-5-TR&lt;/secondary-title&gt;&lt;/titles&gt;&lt;edition&gt;5th edition, text revision.&lt;/edition&gt;&lt;keywords&gt;&lt;keyword&gt;Mental illness -- Classification&lt;/keyword&gt;&lt;keyword&gt;Mental illness -- Diagnosis&lt;/keyword&gt;&lt;keyword&gt;Nosology&lt;/keyword&gt;&lt;keyword&gt;Psychodiagnostics&lt;/keyword&gt;&lt;keyword&gt;Diagnostic and statistical manual of mental disorders. 5th ed&lt;/keyword&gt;&lt;keyword&gt;DSM-5&lt;/keyword&gt;&lt;keyword&gt;DSM-V&lt;/keyword&gt;&lt;/keywords&gt;&lt;dates&gt;&lt;year&gt;2022&lt;/year&gt;&lt;/dates&gt;&lt;pub-location&gt;Washington, DC&lt;/pub-location&gt;&lt;publisher&gt;Washington, DC : American Psychiatric Association Publishing, 2022&lt;/publisher&gt;&lt;isbn&gt;0-89042-578-7&lt;/isbn&gt;&lt;urls&gt;&lt;/urls&gt;&lt;/record&gt;&lt;/Cite&gt;&lt;Cite&gt;&lt;Author&gt;WHO&lt;/Author&gt;&lt;Year&gt;2022&lt;/Year&gt;&lt;RecNum&gt;349&lt;/RecNum&gt;&lt;record&gt;&lt;rec-number&gt;349&lt;/rec-number&gt;&lt;foreign-keys&gt;&lt;key app="EN" db-id="aet009sstawa0hewvt3xwf5atffdw2dt02sw" timestamp="1685367538"&gt;349&lt;/key&gt;&lt;/foreign-keys&gt;&lt;ref-type name="Web Page"&gt;12&lt;/ref-type&gt;&lt;contributors&gt;&lt;authors&gt;&lt;author&gt;WHO&lt;/author&gt;&lt;/authors&gt;&lt;/contributors&gt;&lt;titles&gt;&lt;title&gt;ICD-11 for Mortality and Morbidity Statistics&lt;/title&gt;&lt;/titles&gt;&lt;dates&gt;&lt;year&gt;2022&lt;/year&gt;&lt;/dates&gt;&lt;urls&gt;&lt;related-urls&gt;&lt;url&gt;https://icd.who.int/browse11/l-m/en#/http://id.who.int/icd/entity/613065957&lt;/url&gt;&lt;/related-urls&gt;&lt;/urls&gt;&lt;/record&gt;&lt;/Cite&gt;&lt;/EndNote&gt;</w:instrText>
      </w:r>
      <w:r w:rsidRPr="004D46AC">
        <w:fldChar w:fldCharType="separate"/>
      </w:r>
      <w:r w:rsidRPr="004D46AC">
        <w:rPr>
          <w:noProof/>
        </w:rPr>
        <w:t>(American Psychiatric Association, 2022; WHO, 2022)</w:t>
      </w:r>
      <w:r w:rsidRPr="004D46AC">
        <w:fldChar w:fldCharType="end"/>
      </w:r>
      <w:r w:rsidRPr="004D46AC">
        <w:t>.</w:t>
      </w:r>
    </w:p>
    <w:p w14:paraId="2E335464" w14:textId="77777777" w:rsidR="007075D9" w:rsidRPr="004D46AC" w:rsidRDefault="007075D9" w:rsidP="00B518F1">
      <w:r w:rsidRPr="004D46AC">
        <w:t xml:space="preserve">However, whether schizophrenia </w:t>
      </w:r>
      <w:r w:rsidRPr="004D46AC">
        <w:rPr>
          <w:rFonts w:hint="eastAsia"/>
        </w:rPr>
        <w:t xml:space="preserve">SSD </w:t>
      </w:r>
      <w:r w:rsidRPr="004D46AC">
        <w:t>and BSD are distinct disease entities or variants of a broader underlying illness process remains contested, given significant overlap across multiple domains</w:t>
      </w:r>
      <w:bookmarkStart w:id="139" w:name="OLE_LINK64"/>
      <w:r w:rsidRPr="004D46AC">
        <w:rPr>
          <w:rFonts w:hint="eastAsia"/>
        </w:rPr>
        <w:t xml:space="preserve">: brain </w:t>
      </w:r>
      <w:r w:rsidRPr="004D46AC">
        <w:t>morphology</w:t>
      </w:r>
      <w:r w:rsidRPr="004D46AC">
        <w:rPr>
          <w:rFonts w:hint="eastAsia"/>
        </w:rPr>
        <w:t xml:space="preserve">, genetics and familial </w:t>
      </w:r>
      <w:r w:rsidRPr="004D46AC">
        <w:t>heredity</w:t>
      </w:r>
      <w:r w:rsidRPr="004D46AC">
        <w:rPr>
          <w:rFonts w:hint="eastAsia"/>
        </w:rPr>
        <w:t xml:space="preserve">, neurocognition, and external psychosocial factors </w:t>
      </w:r>
      <w:r w:rsidRPr="004D46AC">
        <w:fldChar w:fldCharType="begin">
          <w:fldData xml:space="preserve">PEVuZE5vdGU+PENpdGU+PEF1dGhvcj5aaG91PC9BdXRob3I+PFllYXI+MjAyNTwvWWVhcj48UmVj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</w:fldData>
        </w:fldChar>
      </w:r>
      <w:r w:rsidRPr="004D46AC">
        <w:instrText xml:space="preserve"> ADDIN EN.CITE </w:instrText>
      </w:r>
      <w:r w:rsidRPr="004D46AC">
        <w:fldChar w:fldCharType="begin">
          <w:fldData xml:space="preserve">PEVuZE5vdGU+PENpdGU+PEF1dGhvcj5aaG91PC9BdXRob3I+PFllYXI+MjAyNTwvWWVhcj48UmVj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</w:fldData>
        </w:fldChar>
      </w:r>
      <w:r w:rsidRPr="004D46AC">
        <w:instrText xml:space="preserve"> ADDIN EN.CITE.DATA </w:instrText>
      </w:r>
      <w:r w:rsidRPr="004D46AC">
        <w:fldChar w:fldCharType="end"/>
      </w:r>
      <w:r w:rsidRPr="004D46AC">
        <w:fldChar w:fldCharType="separate"/>
      </w:r>
      <w:r w:rsidRPr="004D46AC">
        <w:rPr>
          <w:noProof/>
        </w:rPr>
        <w:t>(Birur et al., 2017; Hill et al., 2008; Lichtenstein et al., 2009; Van Snellenberg &amp; de Candia, 2009; Zhou et al., 2025)</w:t>
      </w:r>
      <w:r w:rsidRPr="004D46AC">
        <w:fldChar w:fldCharType="end"/>
      </w:r>
      <w:r w:rsidRPr="004D46AC">
        <w:t>. Psychopathology shows the strongest overlap between these conditions</w:t>
      </w:r>
      <w:r w:rsidRPr="004D46AC">
        <w:rPr>
          <w:rFonts w:ascii="Microsoft YaHei" w:eastAsia="Microsoft YaHei" w:hAnsi="Microsoft YaHei" w:cs="Microsoft YaHei" w:hint="eastAsia"/>
        </w:rPr>
        <w:t>,</w:t>
      </w:r>
      <w:r w:rsidRPr="004D46AC">
        <w:rPr>
          <w:rFonts w:hint="eastAsia"/>
        </w:rPr>
        <w:t xml:space="preserve"> </w:t>
      </w:r>
      <w:bookmarkEnd w:id="139"/>
      <w:r w:rsidRPr="004D46AC">
        <w:t xml:space="preserve">as psychotic features are commonly observed in patients diagnosed with BSD, and mood symptoms are also common in patients diagnosed with schizophrenia </w:t>
      </w:r>
      <w:r w:rsidRPr="004D46AC">
        <w:fldChar w:fldCharType="begin"/>
      </w:r>
      <w:r w:rsidRPr="004D46AC">
        <w:instrText xml:space="preserve"> ADDIN EN.CITE &lt;EndNote&gt;&lt;Cite&gt;&lt;Author&gt;Shao&lt;/Author&gt;&lt;Year&gt;in press&lt;/Year&gt;&lt;RecNum&gt;493&lt;/RecNum&gt;&lt;DisplayText&gt;(Shao et al., in press)&lt;/DisplayText&gt;&lt;record&gt;&lt;rec-number&gt;493&lt;/rec-number&gt;&lt;foreign-keys&gt;&lt;key app="EN" db-id="aet009sstawa0hewvt3xwf5atffdw2dt02sw" timestamp="1706690982"&gt;493&lt;/key&gt;&lt;/foreign-keys&gt;&lt;ref-type name="Manuscript"&gt;36&lt;/ref-type&gt;&lt;contributors&gt;&lt;authors&gt;&lt;author&gt;Wen Shao&lt;/author&gt;&lt;author&gt;Kangning Shao&lt;/author&gt;&lt;author&gt;Richard P Bentall&lt;/author&gt;&lt;/authors&gt;&lt;/contributors&gt;&lt;titles&gt;&lt;title&gt;Comorbid schizophrenia and psychotic symptoms in patients with bipolar disorder: A meta-analysis of the global literature&lt;/title&gt;&lt;/titles&gt;&lt;dates&gt;&lt;year&gt;in press&lt;/year&gt;&lt;/dates&gt;&lt;urls&gt;&lt;/urls&gt;&lt;/record&gt;&lt;/Cite&gt;&lt;/EndNote&gt;</w:instrText>
      </w:r>
      <w:r w:rsidRPr="004D46AC">
        <w:fldChar w:fldCharType="separate"/>
      </w:r>
      <w:r w:rsidRPr="004D46AC">
        <w:rPr>
          <w:noProof/>
        </w:rPr>
        <w:t>(Shao et al., in press)</w:t>
      </w:r>
      <w:r w:rsidRPr="004D46AC">
        <w:fldChar w:fldCharType="end"/>
      </w:r>
      <w:r w:rsidRPr="004D46AC">
        <w:t xml:space="preserve">. Moreover, studies have reported </w:t>
      </w:r>
      <w:r w:rsidRPr="004D46AC">
        <w:rPr>
          <w:rFonts w:hint="eastAsia"/>
        </w:rPr>
        <w:t xml:space="preserve">high </w:t>
      </w:r>
      <w:r w:rsidRPr="004D46AC">
        <w:rPr>
          <w:rFonts w:hint="eastAsia"/>
        </w:rPr>
        <w:lastRenderedPageBreak/>
        <w:t xml:space="preserve">lifetime </w:t>
      </w:r>
      <w:r w:rsidRPr="004D46AC">
        <w:t>comorbidity</w:t>
      </w:r>
      <w:r w:rsidRPr="004D46AC">
        <w:rPr>
          <w:rFonts w:hint="eastAsia"/>
        </w:rPr>
        <w:t xml:space="preserve"> (18.2%) </w:t>
      </w:r>
      <w:r w:rsidRPr="004D46AC">
        <w:t xml:space="preserve">and, importantly, between </w:t>
      </w:r>
      <w:r w:rsidRPr="004D46AC">
        <w:rPr>
          <w:rFonts w:hint="eastAsia"/>
        </w:rPr>
        <w:t>BSD and SSD</w:t>
      </w:r>
      <w:r w:rsidRPr="004D46AC">
        <w:t xml:space="preserve"> </w:t>
      </w:r>
      <w:r w:rsidRPr="004D46AC">
        <w:fldChar w:fldCharType="begin">
          <w:fldData xml:space="preserve">PEVuZE5vdGU+PENpdGU+PEF1dGhvcj5Hb29kd2luPC9BdXRob3I+PFllYXI+MjAwMjwvWWVhcj48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</w:fldData>
        </w:fldChar>
      </w:r>
      <w:r w:rsidRPr="004D46AC">
        <w:instrText xml:space="preserve"> ADDIN EN.CITE </w:instrText>
      </w:r>
      <w:r w:rsidRPr="004D46AC">
        <w:fldChar w:fldCharType="begin">
          <w:fldData xml:space="preserve">PEVuZE5vdGU+PENpdGU+PEF1dGhvcj5Hb29kd2luPC9BdXRob3I+PFllYXI+MjAwMjwvWWVhcj48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</w:fldData>
        </w:fldChar>
      </w:r>
      <w:r w:rsidRPr="004D46AC">
        <w:instrText xml:space="preserve"> ADDIN EN.CITE.DATA </w:instrText>
      </w:r>
      <w:r w:rsidRPr="004D46AC">
        <w:fldChar w:fldCharType="end"/>
      </w:r>
      <w:r w:rsidRPr="004D46AC">
        <w:fldChar w:fldCharType="separate"/>
      </w:r>
      <w:r w:rsidRPr="004D46AC">
        <w:rPr>
          <w:noProof/>
        </w:rPr>
        <w:t>(Goodwin et al., 2002; Jorgensen et al., 2018)</w:t>
      </w:r>
      <w:r w:rsidRPr="004D46AC">
        <w:fldChar w:fldCharType="end"/>
      </w:r>
      <w:r w:rsidRPr="004D46AC">
        <w:rPr>
          <w:rFonts w:hint="eastAsia"/>
        </w:rPr>
        <w:t xml:space="preserve">, </w:t>
      </w:r>
      <w:r w:rsidRPr="004D46AC">
        <w:t>reflecting the instability of these categorical boundaries</w:t>
      </w:r>
      <w:r w:rsidRPr="004D46AC">
        <w:rPr>
          <w:rFonts w:hint="eastAsia"/>
        </w:rPr>
        <w:t>.</w:t>
      </w:r>
    </w:p>
    <w:p w14:paraId="02394A36" w14:textId="77777777" w:rsidR="007075D9" w:rsidRPr="004D46AC" w:rsidRDefault="007075D9" w:rsidP="00B518F1">
      <w:r w:rsidRPr="004D46AC">
        <w:t xml:space="preserve">Beyond symptomatology, overlaps have been identified in aetiological and risk factors such as heritability </w:t>
      </w:r>
      <w:r w:rsidRPr="004D46AC">
        <w:fldChar w:fldCharType="begin"/>
      </w:r>
      <w:r w:rsidRPr="004D46AC">
        <w:instrText xml:space="preserve"> ADDIN EN.CITE &lt;EndNote&gt;&lt;Cite&gt;&lt;Author&gt;Van Snellenberg&lt;/Author&gt;&lt;Year&gt;2009&lt;/Year&gt;&lt;RecNum&gt;372&lt;/RecNum&gt;&lt;DisplayText&gt;(Van Snellenberg &amp;amp; de Candia, 2009)&lt;/DisplayText&gt;&lt;record&gt;&lt;rec-number&gt;372&lt;/rec-number&gt;&lt;foreign-keys&gt;&lt;key app="EN" db-id="aet009sstawa0hewvt3xwf5atffdw2dt02sw" timestamp="1691810681"&gt;372&lt;/key&gt;&lt;/foreign-keys&gt;&lt;ref-type name="Journal Article"&gt;17&lt;/ref-type&gt;&lt;contributors&gt;&lt;authors&gt;&lt;author&gt;Van Snellenberg, J. X.&lt;/author&gt;&lt;author&gt;de Candia, T.&lt;/author&gt;&lt;/authors&gt;&lt;/contributors&gt;&lt;auth-address&gt;Department of Psychology, Columbia University, New York, New York 10027, USA. jared@psych.columbia.edu&lt;/auth-address&gt;&lt;titles&gt;&lt;title&gt;Meta-analytic evidence for familial coaggregation of schizophrenia and bipolar disorder&lt;/title&gt;&lt;secondary-title&gt;Arch Gen Psychiatry&lt;/secondary-title&gt;&lt;/titles&gt;&lt;periodical&gt;&lt;full-title&gt;Arch Gen Psychiatry&lt;/full-title&gt;&lt;/periodical&gt;&lt;pages&gt;748-55&lt;/pages&gt;&lt;volume&gt;66&lt;/volume&gt;&lt;number&gt;7&lt;/number&gt;&lt;keywords&gt;&lt;keyword&gt;Bipolar Disorder/diagnosis/epidemiology/*genetics&lt;/keyword&gt;&lt;keyword&gt;Comorbidity&lt;/keyword&gt;&lt;keyword&gt;Cross-Sectional Studies&lt;/keyword&gt;&lt;keyword&gt;Humans&lt;/keyword&gt;&lt;keyword&gt;Incidence&lt;/keyword&gt;&lt;keyword&gt;Odds Ratio&lt;/keyword&gt;&lt;keyword&gt;Schizophrenia/diagnosis/epidemiology/*genetics&lt;/keyword&gt;&lt;/keywords&gt;&lt;dates&gt;&lt;year&gt;2009&lt;/year&gt;&lt;pub-dates&gt;&lt;date&gt;Jul&lt;/date&gt;&lt;/pub-dates&gt;&lt;/dates&gt;&lt;isbn&gt;1538-3636 (Electronic)&amp;#xD;0003-990X (Linking)&lt;/isbn&gt;&lt;accession-num&gt;19581566&lt;/accession-num&gt;&lt;urls&gt;&lt;related-urls&gt;&lt;url&gt;https://www.ncbi.nlm.nih.gov/pubmed/19581566&lt;/url&gt;&lt;/related-urls&gt;&lt;/urls&gt;&lt;electronic-resource-num&gt;10.1001/archgenpsychiatry.2009.64&lt;/electronic-resource-num&gt;&lt;remote-database-name&gt;Medline&lt;/remote-database-name&gt;&lt;remote-database-provider&gt;NLM&lt;/remote-database-provider&gt;&lt;access-date&gt;8/12/2023&lt;/access-date&gt;&lt;/record&gt;&lt;/Cite&gt;&lt;/EndNote&gt;</w:instrText>
      </w:r>
      <w:r w:rsidRPr="004D46AC">
        <w:fldChar w:fldCharType="separate"/>
      </w:r>
      <w:r w:rsidRPr="004D46AC">
        <w:rPr>
          <w:noProof/>
        </w:rPr>
        <w:t>(Van Snellenberg &amp; de Candia, 2009)</w:t>
      </w:r>
      <w:r w:rsidRPr="004D46AC">
        <w:fldChar w:fldCharType="end"/>
      </w:r>
      <w:r w:rsidRPr="004D46AC">
        <w:t xml:space="preserve">, risk genes </w:t>
      </w:r>
      <w:r w:rsidRPr="004D46AC">
        <w:fldChar w:fldCharType="begin">
          <w:fldData xml:space="preserve">PEVuZE5vdGU+PENpdGU+PEF1dGhvcj5SdWRlcmZlcjwvQXV0aG9yPjxZZWFyPjIwMTg8L1llYXI+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</w:fldData>
        </w:fldChar>
      </w:r>
      <w:r w:rsidRPr="004D46AC">
        <w:instrText xml:space="preserve"> ADDIN EN.CITE </w:instrText>
      </w:r>
      <w:r w:rsidRPr="004D46AC">
        <w:fldChar w:fldCharType="begin">
          <w:fldData xml:space="preserve">PEVuZE5vdGU+PENpdGU+PEF1dGhvcj5SdWRlcmZlcjwvQXV0aG9yPjxZZWFyPjIwMTg8L1llYXI+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</w:fldData>
        </w:fldChar>
      </w:r>
      <w:r w:rsidRPr="004D46AC">
        <w:instrText xml:space="preserve"> ADDIN EN.CITE.DATA </w:instrText>
      </w:r>
      <w:r w:rsidRPr="004D46AC">
        <w:fldChar w:fldCharType="end"/>
      </w:r>
      <w:r w:rsidRPr="004D46AC">
        <w:fldChar w:fldCharType="separate"/>
      </w:r>
      <w:r w:rsidRPr="004D46AC">
        <w:rPr>
          <w:noProof/>
        </w:rPr>
        <w:t>(Ruderfer et al., 2018)</w:t>
      </w:r>
      <w:r w:rsidRPr="004D46AC">
        <w:fldChar w:fldCharType="end"/>
      </w:r>
      <w:r w:rsidRPr="004D46AC">
        <w:t xml:space="preserve"> , brain morphology </w:t>
      </w:r>
      <w:r w:rsidRPr="004D46AC">
        <w:fldChar w:fldCharType="begin"/>
      </w:r>
      <w:r w:rsidRPr="004D46AC">
        <w:instrText xml:space="preserve"> ADDIN EN.CITE &lt;EndNote&gt;&lt;Cite&gt;&lt;Author&gt;Birur&lt;/Author&gt;&lt;Year&gt;2017&lt;/Year&gt;&lt;RecNum&gt;888&lt;/RecNum&gt;&lt;DisplayText&gt;(Birur et al., 2017)&lt;/DisplayText&gt;&lt;record&gt;&lt;rec-number&gt;888&lt;/rec-number&gt;&lt;foreign-keys&gt;&lt;key app="EN" db-id="aet009sstawa0hewvt3xwf5atffdw2dt02sw" timestamp="1740094000"&gt;888&lt;/key&gt;&lt;/foreign-keys&gt;&lt;ref-type name="Journal Article"&gt;17&lt;/ref-type&gt;&lt;contributors&gt;&lt;authors&gt;&lt;author&gt;Birur, B.&lt;/author&gt;&lt;author&gt;Kraguljac, N. V.&lt;/author&gt;&lt;author&gt;Shelton, R. C.&lt;/author&gt;&lt;author&gt;Lahti, A. C.&lt;/author&gt;&lt;/authors&gt;&lt;/contributors&gt;&lt;auth-address&gt;Department of Psychiatry and Behavioral Neurobiology, University of Alabama at Birmingham, Birmingham, AL USA. ISNI: 0000000106344187. GRID: grid.265892.2&lt;/auth-address&gt;&lt;titles&gt;&lt;title&gt;Brain structure, function, and neurochemistry in schizophrenia and bipolar disorder-a systematic review of the magnetic resonance neuroimaging literature&lt;/title&gt;&lt;secondary-title&gt;NPJ Schizophr&lt;/secondary-title&gt;&lt;/titles&gt;&lt;pages&gt;15&lt;/pages&gt;&lt;volume&gt;3&lt;/volume&gt;&lt;number&gt;1&lt;/number&gt;&lt;edition&gt;20170403&lt;/edition&gt;&lt;dates&gt;&lt;year&gt;2017&lt;/year&gt;&lt;/dates&gt;&lt;isbn&gt;2334-265X (Print)&amp;#xD;2334-265X (Electronic)&amp;#xD;2334-265X (Linking)&lt;/isbn&gt;&lt;accession-num&gt;28560261&lt;/accession-num&gt;&lt;urls&gt;&lt;related-urls&gt;&lt;url&gt;https://www.ncbi.nlm.nih.gov/pubmed/28560261&lt;/url&gt;&lt;/related-urls&gt;&lt;/urls&gt;&lt;custom1&gt;The authors declare that they have no competing interests.&lt;/custom1&gt;&lt;custom2&gt;PMC5441538&lt;/custom2&gt;&lt;electronic-resource-num&gt;10.1038/s41537-017-0013-9&lt;/electronic-resource-num&gt;&lt;remote-database-name&gt;PubMed-not-MEDLINE&lt;/remote-database-name&gt;&lt;remote-database-provider&gt;NLM&lt;/remote-database-provider&gt;&lt;/record&gt;&lt;/Cite&gt;&lt;/EndNote&gt;</w:instrText>
      </w:r>
      <w:r w:rsidRPr="004D46AC">
        <w:fldChar w:fldCharType="separate"/>
      </w:r>
      <w:r w:rsidRPr="004D46AC">
        <w:rPr>
          <w:noProof/>
        </w:rPr>
        <w:t>(Birur et al., 2017)</w:t>
      </w:r>
      <w:r w:rsidRPr="004D46AC">
        <w:fldChar w:fldCharType="end"/>
      </w:r>
      <w:r w:rsidRPr="004D46AC">
        <w:t xml:space="preserve"> and cognitive functioning </w:t>
      </w:r>
      <w:r w:rsidRPr="004D46AC">
        <w:fldChar w:fldCharType="begin">
          <w:fldData xml:space="preserve">PEVuZE5vdGU+PENpdGU+PEF1dGhvcj5XYW5nPC9BdXRob3I+PFllYXI+MjAxMzwvWWVhcj48UmVj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</w:fldData>
        </w:fldChar>
      </w:r>
      <w:r w:rsidRPr="004D46AC">
        <w:instrText xml:space="preserve"> ADDIN EN.CITE </w:instrText>
      </w:r>
      <w:r w:rsidRPr="004D46AC">
        <w:fldChar w:fldCharType="begin">
          <w:fldData xml:space="preserve">PEVuZE5vdGU+PENpdGU+PEF1dGhvcj5XYW5nPC9BdXRob3I+PFllYXI+MjAxMzwvWWVhcj48UmVj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</w:fldData>
        </w:fldChar>
      </w:r>
      <w:r w:rsidRPr="004D46AC">
        <w:instrText xml:space="preserve"> ADDIN EN.CITE.DATA </w:instrText>
      </w:r>
      <w:r w:rsidRPr="004D46AC">
        <w:fldChar w:fldCharType="end"/>
      </w:r>
      <w:r w:rsidRPr="004D46AC">
        <w:fldChar w:fldCharType="separate"/>
      </w:r>
      <w:r w:rsidRPr="004D46AC">
        <w:rPr>
          <w:noProof/>
        </w:rPr>
        <w:t>(Wang et al., 2013)</w:t>
      </w:r>
      <w:r w:rsidRPr="004D46AC">
        <w:fldChar w:fldCharType="end"/>
      </w:r>
      <w:r w:rsidRPr="004D46AC">
        <w:t xml:space="preserve">. Dopamine dysregulation has also been implicated in both bipolar disorder and schizophrenia, with dopamine synthesis capacity positively correlated with mania and positive symptoms </w:t>
      </w:r>
      <w:r w:rsidRPr="004D46AC">
        <w:fldChar w:fldCharType="begin"/>
      </w:r>
      <w:r w:rsidRPr="004D46AC">
        <w:instrText xml:space="preserve"> ADDIN EN.CITE &lt;EndNote&gt;&lt;Cite&gt;&lt;Author&gt;Jauhar&lt;/Author&gt;&lt;Year&gt;2017&lt;/Year&gt;&lt;RecNum&gt;921&lt;/RecNum&gt;&lt;DisplayText&gt;(Jauhar et al., 2017)&lt;/DisplayText&gt;&lt;record&gt;&lt;rec-number&gt;921&lt;/rec-number&gt;&lt;foreign-keys&gt;&lt;key app="EN" db-id="aet009sstawa0hewvt3xwf5atffdw2dt02sw" timestamp="1740435410"&gt;921&lt;/key&gt;&lt;/foreign-keys&gt;&lt;ref-type name="Journal Article"&gt;17&lt;/ref-type&gt;&lt;contributors&gt;&lt;authors&gt;&lt;author&gt;Jauhar, Sameer&lt;/author&gt;&lt;author&gt;Nour, Matthew M.&lt;/author&gt;&lt;author&gt;Veronese, Mattia&lt;/author&gt;&lt;author&gt;Rogdaki, Maria&lt;/author&gt;&lt;author&gt;Bonoldi, Ilaria&lt;/author&gt;&lt;author&gt;Azis, Matilda&lt;/author&gt;&lt;author&gt;Turkheimer, Federico&lt;/author&gt;&lt;author&gt;McGuire, Philip&lt;/author&gt;&lt;author&gt;Young, Allan H.&lt;/author&gt;&lt;author&gt;Howes, Oliver D.&lt;/author&gt;&lt;/authors&gt;&lt;/contributors&gt;&lt;titles&gt;&lt;title&gt;A Test of the Transdiagnostic Dopamine Hypothesis of Psychosis Using Positron Emission Tomographic Imaging in Bipolar Affective Disorder and Schizophrenia&lt;/title&gt;&lt;secondary-title&gt;JAMA Psychiatry&lt;/secondary-title&gt;&lt;/titles&gt;&lt;periodical&gt;&lt;full-title&gt;JAMA Psychiatry&lt;/full-title&gt;&lt;/periodical&gt;&lt;pages&gt;1206-1213&lt;/pages&gt;&lt;volume&gt;74&lt;/volume&gt;&lt;number&gt;12&lt;/number&gt;&lt;dates&gt;&lt;year&gt;2017&lt;/year&gt;&lt;/dates&gt;&lt;isbn&gt;2168-622X&lt;/isbn&gt;&lt;urls&gt;&lt;related-urls&gt;&lt;url&gt;https://doi.org/10.1001/jamapsychiatry.2017.2943&lt;/url&gt;&lt;/related-urls&gt;&lt;/urls&gt;&lt;electronic-resource-num&gt;10.1001/jamapsychiatry.2017.2943&lt;/electronic-resource-num&gt;&lt;access-date&gt;2/24/2025&lt;/access-date&gt;&lt;/record&gt;&lt;/Cite&gt;&lt;/EndNote&gt;</w:instrText>
      </w:r>
      <w:r w:rsidRPr="004D46AC">
        <w:fldChar w:fldCharType="separate"/>
      </w:r>
      <w:r w:rsidRPr="004D46AC">
        <w:rPr>
          <w:noProof/>
        </w:rPr>
        <w:t>(Jauhar et al., 2017)</w:t>
      </w:r>
      <w:r w:rsidRPr="004D46AC">
        <w:fldChar w:fldCharType="end"/>
      </w:r>
      <w:r w:rsidRPr="004D46AC">
        <w:t xml:space="preserve">. Experiences of social adversity are also common to both diagnostic groups, including childhood trauma </w:t>
      </w:r>
      <w:r w:rsidRPr="004D46AC">
        <w:fldChar w:fldCharType="begin">
          <w:fldData xml:space="preserve">PEVuZE5vdGU+PENpdGU+PEF1dGhvcj5WYXJlc2U8L0F1dGhvcj48WWVhcj4yMDEyPC9ZZWFyPjxS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</w:fldData>
        </w:fldChar>
      </w:r>
      <w:r w:rsidRPr="004D46AC">
        <w:instrText xml:space="preserve"> ADDIN EN.CITE </w:instrText>
      </w:r>
      <w:r w:rsidRPr="004D46AC">
        <w:fldChar w:fldCharType="begin">
          <w:fldData xml:space="preserve">PEVuZE5vdGU+PENpdGU+PEF1dGhvcj5WYXJlc2U8L0F1dGhvcj48WWVhcj4yMDEyPC9ZZWFyPjxS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</w:fldData>
        </w:fldChar>
      </w:r>
      <w:r w:rsidRPr="004D46AC">
        <w:instrText xml:space="preserve"> ADDIN EN.CITE.DATA </w:instrText>
      </w:r>
      <w:r w:rsidRPr="004D46AC">
        <w:fldChar w:fldCharType="end"/>
      </w:r>
      <w:r w:rsidRPr="004D46AC">
        <w:fldChar w:fldCharType="separate"/>
      </w:r>
      <w:r w:rsidRPr="004D46AC">
        <w:rPr>
          <w:noProof/>
        </w:rPr>
        <w:t>(Palmier-Claus et al., 2016; Varese et al., 2012; Zhou et al., 2025)</w:t>
      </w:r>
      <w:r w:rsidRPr="004D46AC">
        <w:fldChar w:fldCharType="end"/>
      </w:r>
      <w:r w:rsidRPr="004D46AC">
        <w:t xml:space="preserve"> and exposure to urban environments (urbanicity) </w:t>
      </w:r>
      <w:r w:rsidRPr="004D46AC">
        <w:fldChar w:fldCharType="begin">
          <w:fldData xml:space="preserve">PEVuZE5vdGU+PENpdGU+PEF1dGhvcj5HeWxsZW5iZXJnPC9BdXRob3I+PFllYXI+MjAyMjwvWWVh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</w:fldData>
        </w:fldChar>
      </w:r>
      <w:r w:rsidRPr="004D46AC">
        <w:instrText xml:space="preserve"> ADDIN EN.CITE </w:instrText>
      </w:r>
      <w:r w:rsidRPr="004D46AC">
        <w:fldChar w:fldCharType="begin">
          <w:fldData xml:space="preserve">PEVuZE5vdGU+PENpdGU+PEF1dGhvcj5HeWxsZW5iZXJnPC9BdXRob3I+PFllYXI+MjAyMjwvWWVh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</w:fldData>
        </w:fldChar>
      </w:r>
      <w:r w:rsidRPr="004D46AC">
        <w:instrText xml:space="preserve"> ADDIN EN.CITE.DATA </w:instrText>
      </w:r>
      <w:r w:rsidRPr="004D46AC">
        <w:fldChar w:fldCharType="end"/>
      </w:r>
      <w:r w:rsidRPr="004D46AC">
        <w:fldChar w:fldCharType="separate"/>
      </w:r>
      <w:r w:rsidRPr="004D46AC">
        <w:rPr>
          <w:noProof/>
        </w:rPr>
        <w:t>(Gyllenberg et al., 2022; Hardoon et al., 2013; Shevlin et al., 2016)</w:t>
      </w:r>
      <w:r w:rsidRPr="004D46AC">
        <w:fldChar w:fldCharType="end"/>
      </w:r>
      <w:r w:rsidRPr="004D46AC">
        <w:t xml:space="preserve">. </w:t>
      </w:r>
    </w:p>
    <w:p w14:paraId="6AE0B0D6" w14:textId="77777777" w:rsidR="007075D9" w:rsidRPr="004D46AC" w:rsidRDefault="007075D9" w:rsidP="00B518F1">
      <w:r w:rsidRPr="004D46AC">
        <w:t xml:space="preserve">A variety of psychological variables have also been associated with both conditions. For example, insecure attachment is common in both patients with schizophrenia spectrum disorders  </w:t>
      </w:r>
      <w:r w:rsidRPr="004D46AC">
        <w:fldChar w:fldCharType="begin"/>
      </w:r>
      <w:r w:rsidRPr="004D46AC">
        <w:instrText xml:space="preserve"> ADDIN EN.CITE &lt;EndNote&gt;&lt;Cite&gt;&lt;Author&gt;Berry&lt;/Author&gt;&lt;Year&gt;2007&lt;/Year&gt;&lt;RecNum&gt;919&lt;/RecNum&gt;&lt;DisplayText&gt;(Berry et al., 2007)&lt;/DisplayText&gt;&lt;record&gt;&lt;rec-number&gt;919&lt;/rec-number&gt;&lt;foreign-keys&gt;&lt;key app="EN" db-id="aet009sstawa0hewvt3xwf5atffdw2dt02sw" timestamp="1740408554"&gt;919&lt;/key&gt;&lt;/foreign-keys&gt;&lt;ref-type name="Journal Article"&gt;17&lt;/ref-type&gt;&lt;contributors&gt;&lt;authors&gt;&lt;author&gt;Berry, Katherine&lt;/author&gt;&lt;author&gt;Barrowclough, Christine&lt;/author&gt;&lt;author&gt;Wearden, Alison&lt;/author&gt;&lt;/authors&gt;&lt;/contributors&gt;&lt;titles&gt;&lt;title&gt;A review of the role of adult attachment style in psychosis: Unexplored issues and questions for further research&lt;/title&gt;&lt;secondary-title&gt;Clinical Psychology Review&lt;/secondary-title&gt;&lt;/titles&gt;&lt;periodical&gt;&lt;full-title&gt;Clinical Psychology Review&lt;/full-title&gt;&lt;/periodical&gt;&lt;pages&gt;458-475&lt;/pages&gt;&lt;volume&gt;27&lt;/volume&gt;&lt;number&gt;4&lt;/number&gt;&lt;keywords&gt;&lt;keyword&gt;Attachment styles&lt;/keyword&gt;&lt;keyword&gt;Attachment theory&lt;/keyword&gt;&lt;keyword&gt;Measurement&lt;/keyword&gt;&lt;keyword&gt;Psychosis&lt;/keyword&gt;&lt;keyword&gt;Schizophrenia&lt;/keyword&gt;&lt;keyword&gt;Review&lt;/keyword&gt;&lt;/keywords&gt;&lt;dates&gt;&lt;year&gt;2007&lt;/year&gt;&lt;pub-dates&gt;&lt;date&gt;2007/05/01/&lt;/date&gt;&lt;/pub-dates&gt;&lt;/dates&gt;&lt;isbn&gt;0272-7358&lt;/isbn&gt;&lt;urls&gt;&lt;related-urls&gt;&lt;url&gt;https://www.sciencedirect.com/science/article/pii/S0272735806001188&lt;/url&gt;&lt;/related-urls&gt;&lt;/urls&gt;&lt;electronic-resource-num&gt;https://doi.org/10.1016/j.cpr.2006.09.006&lt;/electronic-resource-num&gt;&lt;/record&gt;&lt;/Cite&gt;&lt;/EndNote&gt;</w:instrText>
      </w:r>
      <w:r w:rsidRPr="004D46AC">
        <w:fldChar w:fldCharType="separate"/>
      </w:r>
      <w:r w:rsidRPr="004D46AC">
        <w:rPr>
          <w:noProof/>
        </w:rPr>
        <w:t>(Berry et al., 2007)</w:t>
      </w:r>
      <w:r w:rsidRPr="004D46AC">
        <w:fldChar w:fldCharType="end"/>
      </w:r>
      <w:r w:rsidRPr="004D46AC">
        <w:t xml:space="preserve"> and bipolar disorder </w:t>
      </w:r>
      <w:r w:rsidRPr="004D46AC">
        <w:fldChar w:fldCharType="begin"/>
      </w:r>
      <w:r w:rsidRPr="004D46AC">
        <w:instrText xml:space="preserve"> ADDIN EN.CITE &lt;EndNote&gt;&lt;Cite&gt;&lt;Author&gt;Morriss&lt;/Author&gt;&lt;Year&gt;2009&lt;/Year&gt;&lt;RecNum&gt;1096&lt;/RecNum&gt;&lt;DisplayText&gt;(Morriss et al., 2009)&lt;/DisplayText&gt;&lt;record&gt;&lt;rec-number&gt;1096&lt;/rec-number&gt;&lt;foreign-keys&gt;&lt;key app="EN" db-id="aet009sstawa0hewvt3xwf5atffdw2dt02sw" timestamp="1748861571"&gt;1096&lt;/key&gt;&lt;/foreign-keys&gt;&lt;ref-type name="Journal Article"&gt;17&lt;/ref-type&gt;&lt;contributors&gt;&lt;authors&gt;&lt;author&gt;Morriss, Richard K.&lt;/author&gt;&lt;author&gt;van der Gucht, Emma&lt;/author&gt;&lt;author&gt;Lancaster, Gillian&lt;/author&gt;&lt;author&gt;Bentall, Richard P.&lt;/author&gt;&lt;/authors&gt;&lt;/contributors&gt;&lt;titles&gt;&lt;title&gt;Adult attachment in bipolar 1 disorder&lt;/title&gt;&lt;secondary-title&gt;Psychology and Psychotherapy: Theory, Research and Practice&lt;/secondary-title&gt;&lt;/titles&gt;&lt;periodical&gt;&lt;full-title&gt;Psychology and Psychotherapy: Theory, Research and Practice&lt;/full-title&gt;&lt;/periodical&gt;&lt;pages&gt;267-277&lt;/pages&gt;&lt;volume&gt;82&lt;/volume&gt;&lt;number&gt;3&lt;/number&gt;&lt;dates&gt;&lt;year&gt;2009&lt;/year&gt;&lt;/dates&gt;&lt;isbn&gt;1476-0835&lt;/isbn&gt;&lt;urls&gt;&lt;related-urls&gt;&lt;url&gt;https://bpspsychub.onlinelibrary.wiley.com/doi/abs/10.1348/147608309X415309&lt;/url&gt;&lt;/related-urls&gt;&lt;/urls&gt;&lt;electronic-resource-num&gt;https://doi.org/10.1348/147608309X415309&lt;/electronic-resource-num&gt;&lt;/record&gt;&lt;/Cite&gt;&lt;/EndNote&gt;</w:instrText>
      </w:r>
      <w:r w:rsidRPr="004D46AC">
        <w:fldChar w:fldCharType="separate"/>
      </w:r>
      <w:r w:rsidRPr="004D46AC">
        <w:rPr>
          <w:noProof/>
        </w:rPr>
        <w:t>(Morriss et al., 2009)</w:t>
      </w:r>
      <w:r w:rsidRPr="004D46AC">
        <w:fldChar w:fldCharType="end"/>
      </w:r>
      <w:r w:rsidRPr="004D46AC">
        <w:t xml:space="preserve"> and has been specifically associated with paranoia </w:t>
      </w:r>
      <w:r w:rsidRPr="004D46AC">
        <w:fldChar w:fldCharType="begin"/>
      </w:r>
      <w:r w:rsidRPr="004D46AC">
        <w:instrText xml:space="preserve"> ADDIN EN.CITE &lt;EndNote&gt;&lt;Cite&gt;&lt;Author&gt;Wickham&lt;/Author&gt;&lt;Year&gt;2015&lt;/Year&gt;&lt;RecNum&gt;1089&lt;/RecNum&gt;&lt;DisplayText&gt;(Wickham et al., 2015)&lt;/DisplayText&gt;&lt;record&gt;&lt;rec-number&gt;1089&lt;/rec-number&gt;&lt;foreign-keys&gt;&lt;key app="EN" db-id="aet009sstawa0hewvt3xwf5atffdw2dt02sw" timestamp="1748817997"&gt;1089&lt;/key&gt;&lt;/foreign-keys&gt;&lt;ref-type name="Journal Article"&gt;17&lt;/ref-type&gt;&lt;contributors&gt;&lt;authors&gt;&lt;author&gt;Wickham, S.&lt;/author&gt;&lt;author&gt;Sitko, K.&lt;/author&gt;&lt;author&gt;Bentall, R. P.&lt;/author&gt;&lt;/authors&gt;&lt;/contributors&gt;&lt;titles&gt;&lt;title&gt;Insecure attachment is associated with paranoia but not hallucinations in psychotic patients: the mediating role of negative self-esteem&lt;/title&gt;&lt;secondary-title&gt;Psychological Medicine&lt;/secondary-title&gt;&lt;/titles&gt;&lt;periodical&gt;&lt;full-title&gt;Psychological Medicine&lt;/full-title&gt;&lt;/periodical&gt;&lt;pages&gt;1495-1507&lt;/pages&gt;&lt;volume&gt;45&lt;/volume&gt;&lt;number&gt;7&lt;/number&gt;&lt;edition&gt;2014/11/12&lt;/edition&gt;&lt;keywords&gt;&lt;keyword&gt;Attachment&lt;/keyword&gt;&lt;keyword&gt;hallucinations&lt;/keyword&gt;&lt;keyword&gt;mediation&lt;/keyword&gt;&lt;keyword&gt;paranoia&lt;/keyword&gt;&lt;keyword&gt;self-esteem&lt;/keyword&gt;&lt;/keywords&gt;&lt;dates&gt;&lt;year&gt;2015&lt;/year&gt;&lt;/dates&gt;&lt;publisher&gt;Cambridge University Press&lt;/publisher&gt;&lt;isbn&gt;0033-2917&lt;/isbn&gt;&lt;urls&gt;&lt;related-urls&gt;&lt;url&gt;https://www.cambridge.org/core/product/7B87CD77A4A6AB2024B5D6B2CCEEFC60&lt;/url&gt;&lt;/related-urls&gt;&lt;/urls&gt;&lt;electronic-resource-num&gt;10.1017/S0033291714002633&lt;/electronic-resource-num&gt;&lt;remote-database-name&gt;Cambridge Core&lt;/remote-database-name&gt;&lt;remote-database-provider&gt;Cambridge University Press&lt;/remote-database-provider&gt;&lt;/record&gt;&lt;/Cite&gt;&lt;/EndNote&gt;</w:instrText>
      </w:r>
      <w:r w:rsidRPr="004D46AC">
        <w:fldChar w:fldCharType="separate"/>
      </w:r>
      <w:r w:rsidRPr="004D46AC">
        <w:rPr>
          <w:noProof/>
        </w:rPr>
        <w:t>(Wickham et al., 2015)</w:t>
      </w:r>
      <w:r w:rsidRPr="004D46AC">
        <w:fldChar w:fldCharType="end"/>
      </w:r>
      <w:r w:rsidRPr="004D46AC">
        <w:t xml:space="preserve">, depression </w:t>
      </w:r>
      <w:r w:rsidRPr="004D46AC">
        <w:fldChar w:fldCharType="begin"/>
      </w:r>
      <w:r w:rsidRPr="004D46AC">
        <w:instrText xml:space="preserve"> ADDIN EN.CITE &lt;EndNote&gt;&lt;Cite&gt;&lt;Author&gt;Russo&lt;/Author&gt;&lt;Year&gt;2018&lt;/Year&gt;&lt;RecNum&gt;1085&lt;/RecNum&gt;&lt;DisplayText&gt;(Russo et al., 2018)&lt;/DisplayText&gt;&lt;record&gt;&lt;rec-number&gt;1085&lt;/rec-number&gt;&lt;foreign-keys&gt;&lt;key app="EN" db-id="aet009sstawa0hewvt3xwf5atffdw2dt02sw" timestamp="1748799766"&gt;1085&lt;/key&gt;&lt;/foreign-keys&gt;&lt;ref-type name="Journal Article"&gt;17&lt;/ref-type&gt;&lt;contributors&gt;&lt;authors&gt;&lt;author&gt;Russo, Debra A.&lt;/author&gt;&lt;author&gt;Stochl, Jan&lt;/author&gt;&lt;author&gt;Hodgekins, Joanne&lt;/author&gt;&lt;author&gt;Iglesias-González, Maria&lt;/author&gt;&lt;author&gt;Chipps, Penelope&lt;/author&gt;&lt;author&gt;Painter, Michelle&lt;/author&gt;&lt;author&gt;Jones, Peter B.&lt;/author&gt;&lt;author&gt;Perez, Jesus&lt;/author&gt;&lt;/authors&gt;&lt;/contributors&gt;&lt;titles&gt;&lt;title&gt;Attachment styles and clinical correlates in people at ultra high risk for psychosis&lt;/title&gt;&lt;secondary-title&gt;British Journal of Psychology&lt;/secondary-title&gt;&lt;/titles&gt;&lt;periodical&gt;&lt;full-title&gt;British Journal of Psychology&lt;/full-title&gt;&lt;/periodical&gt;&lt;pages&gt;45-62&lt;/pages&gt;&lt;volume&gt;109&lt;/volume&gt;&lt;number&gt;1&lt;/number&gt;&lt;dates&gt;&lt;year&gt;2018&lt;/year&gt;&lt;/dates&gt;&lt;isbn&gt;0007-1269&lt;/isbn&gt;&lt;urls&gt;&lt;related-urls&gt;&lt;url&gt;https://bpspsychub.onlinelibrary.wiley.com/doi/abs/10.1111/bjop.12249&lt;/url&gt;&lt;/related-urls&gt;&lt;/urls&gt;&lt;electronic-resource-num&gt;https://doi.org/10.1111/bjop.12249&lt;/electronic-resource-num&gt;&lt;/record&gt;&lt;/Cite&gt;&lt;/EndNote&gt;</w:instrText>
      </w:r>
      <w:r w:rsidRPr="004D46AC">
        <w:fldChar w:fldCharType="separate"/>
      </w:r>
      <w:r w:rsidRPr="004D46AC">
        <w:rPr>
          <w:noProof/>
        </w:rPr>
        <w:t>(Russo et al., 2018)</w:t>
      </w:r>
      <w:r w:rsidRPr="004D46AC">
        <w:fldChar w:fldCharType="end"/>
      </w:r>
      <w:r w:rsidRPr="004D46AC">
        <w:t xml:space="preserve"> and stress liability </w:t>
      </w:r>
      <w:r w:rsidRPr="004D46AC">
        <w:fldChar w:fldCharType="begin">
          <w:fldData xml:space="preserve">PEVuZE5vdGU+PENpdGU+PEF1dGhvcj5QdWpqaTwvQXV0aG9yPjxZZWFyPjIwMjM8L1llYXI+PFJl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</w:fldData>
        </w:fldChar>
      </w:r>
      <w:r w:rsidRPr="004D46AC">
        <w:instrText xml:space="preserve"> ADDIN EN.CITE </w:instrText>
      </w:r>
      <w:r w:rsidRPr="004D46AC">
        <w:fldChar w:fldCharType="begin">
          <w:fldData xml:space="preserve">PEVuZE5vdGU+PENpdGU+PEF1dGhvcj5QdWpqaTwvQXV0aG9yPjxZZWFyPjIwMjM8L1llYXI+PFJl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</w:fldData>
        </w:fldChar>
      </w:r>
      <w:r w:rsidRPr="004D46AC">
        <w:instrText xml:space="preserve"> ADDIN EN.CITE.DATA </w:instrText>
      </w:r>
      <w:r w:rsidRPr="004D46AC">
        <w:fldChar w:fldCharType="end"/>
      </w:r>
      <w:r w:rsidRPr="004D46AC">
        <w:fldChar w:fldCharType="separate"/>
      </w:r>
      <w:r w:rsidRPr="004D46AC">
        <w:rPr>
          <w:noProof/>
        </w:rPr>
        <w:t>(Morriss et al., 2025; Pujji, 2023)</w:t>
      </w:r>
      <w:r w:rsidRPr="004D46AC">
        <w:fldChar w:fldCharType="end"/>
      </w:r>
      <w:r w:rsidRPr="004D46AC">
        <w:t xml:space="preserve">. Specific pathways have been identified between different insecure attachment styles - such as the avoidant and anxious styles - and both psychotic and bipolar symptoms </w:t>
      </w:r>
      <w:r w:rsidRPr="004D46AC">
        <w:fldChar w:fldCharType="begin"/>
      </w:r>
      <w:r w:rsidRPr="004D46AC">
        <w:instrText xml:space="preserve"> ADDIN EN.CITE &lt;EndNote&gt;&lt;Cite&gt;&lt;Author&gt;Korver-Nieberg&lt;/Author&gt;&lt;Year&gt;2014&lt;/Year&gt;&lt;RecNum&gt;1087&lt;/RecNum&gt;&lt;DisplayText&gt;(Korver-Nieberg et al., 2014)&lt;/DisplayText&gt;&lt;record&gt;&lt;rec-number&gt;1087&lt;/rec-number&gt;&lt;foreign-keys&gt;&lt;key app="EN" db-id="aet009sstawa0hewvt3xwf5atffdw2dt02sw" timestamp="1748814529"&gt;1087&lt;/key&gt;&lt;/foreign-keys&gt;&lt;ref-type name="Journal Article"&gt;17&lt;/ref-type&gt;&lt;contributors&gt;&lt;authors&gt;&lt;author&gt;Korver-Nieberg, Nikie&lt;/author&gt;&lt;author&gt;Berry, Katherine&lt;/author&gt;&lt;author&gt;Meijer, Carin J.&lt;/author&gt;&lt;author&gt;de Haan, Lieuwe&lt;/author&gt;&lt;/authors&gt;&lt;/contributors&gt;&lt;titles&gt;&lt;title&gt;Adult attachment and psychotic phenomenology in clinical and non-clinical samples: A systematic review&lt;/title&gt;&lt;secondary-title&gt;Psychology and Psychotherapy: Theory, Research and Practice&lt;/secondary-title&gt;&lt;/titles&gt;&lt;periodical&gt;&lt;full-title&gt;Psychology and Psychotherapy: Theory, Research and Practice&lt;/full-title&gt;&lt;/periodical&gt;&lt;pages&gt;127-154&lt;/pages&gt;&lt;volume&gt;87&lt;/volume&gt;&lt;number&gt;2&lt;/number&gt;&lt;dates&gt;&lt;year&gt;2014&lt;/year&gt;&lt;/dates&gt;&lt;isbn&gt;1476-0835&lt;/isbn&gt;&lt;urls&gt;&lt;related-urls&gt;&lt;url&gt;https://bpspsychub.onlinelibrary.wiley.com/doi/abs/10.1111/papt.12010&lt;/url&gt;&lt;/related-urls&gt;&lt;/urls&gt;&lt;electronic-resource-num&gt;https://doi.org/10.1111/papt.12010&lt;/electronic-resource-num&gt;&lt;/record&gt;&lt;/Cite&gt;&lt;/EndNote&gt;</w:instrText>
      </w:r>
      <w:r w:rsidRPr="004D46AC">
        <w:fldChar w:fldCharType="separate"/>
      </w:r>
      <w:r w:rsidRPr="004D46AC">
        <w:rPr>
          <w:noProof/>
        </w:rPr>
        <w:t>(Korver-Nieberg et al., 2014)</w:t>
      </w:r>
      <w:r w:rsidRPr="004D46AC">
        <w:fldChar w:fldCharType="end"/>
      </w:r>
      <w:r w:rsidRPr="004D46AC">
        <w:t>. Intolerance of uncertainty</w:t>
      </w:r>
      <w:r w:rsidRPr="004D46AC">
        <w:rPr>
          <w:rFonts w:hint="eastAsia"/>
        </w:rPr>
        <w:t xml:space="preserve"> (</w:t>
      </w:r>
      <w:proofErr w:type="spellStart"/>
      <w:r w:rsidRPr="004D46AC">
        <w:rPr>
          <w:rFonts w:hint="eastAsia"/>
        </w:rPr>
        <w:t>IoU</w:t>
      </w:r>
      <w:proofErr w:type="spellEnd"/>
      <w:r w:rsidRPr="004D46AC">
        <w:rPr>
          <w:rFonts w:hint="eastAsia"/>
        </w:rPr>
        <w:t>)</w:t>
      </w:r>
      <w:r w:rsidRPr="004D46AC">
        <w:t xml:space="preserve">, has also been found to be associated with negative symptoms, paranoia </w:t>
      </w:r>
      <w:r w:rsidRPr="004D46AC">
        <w:fldChar w:fldCharType="begin">
          <w:fldData xml:space="preserve">PEVuZE5vdGU+PENpdGU+PEF1dGhvcj5Nb3JyaXNzPC9BdXRob3I+PFllYXI+MjAyNTwvWWVhcj48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</w:fldData>
        </w:fldChar>
      </w:r>
      <w:r w:rsidRPr="004D46AC">
        <w:instrText xml:space="preserve"> ADDIN EN.CITE </w:instrText>
      </w:r>
      <w:r w:rsidRPr="004D46AC">
        <w:fldChar w:fldCharType="begin">
          <w:fldData xml:space="preserve">PEVuZE5vdGU+PENpdGU+PEF1dGhvcj5Nb3JyaXNzPC9BdXRob3I+PFllYXI+MjAyNTwvWWVhcj48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</w:fldData>
        </w:fldChar>
      </w:r>
      <w:r w:rsidRPr="004D46AC">
        <w:instrText xml:space="preserve"> ADDIN EN.CITE.DATA </w:instrText>
      </w:r>
      <w:r w:rsidRPr="004D46AC">
        <w:fldChar w:fldCharType="end"/>
      </w:r>
      <w:r w:rsidRPr="004D46AC">
        <w:fldChar w:fldCharType="separate"/>
      </w:r>
      <w:r w:rsidRPr="004D46AC">
        <w:rPr>
          <w:noProof/>
        </w:rPr>
        <w:t>(Lei et al., 2025; Morriss &amp; Ellett, 2025)</w:t>
      </w:r>
      <w:r w:rsidRPr="004D46AC">
        <w:fldChar w:fldCharType="end"/>
      </w:r>
      <w:r w:rsidRPr="004D46AC">
        <w:t xml:space="preserve">, psychotic traits and poor prognosis in BSD patients </w:t>
      </w:r>
      <w:r w:rsidRPr="004D46AC">
        <w:fldChar w:fldCharType="begin"/>
      </w:r>
      <w:r w:rsidRPr="004D46AC">
        <w:instrText xml:space="preserve"> ADDIN EN.CITE &lt;EndNote&gt;&lt;Cite&gt;&lt;Author&gt;Şen&lt;/Author&gt;&lt;Year&gt;2020&lt;/Year&gt;&lt;RecNum&gt;1161&lt;/RecNum&gt;&lt;DisplayText&gt;(Şen &amp;amp; Yıldızhan, 2020)&lt;/DisplayText&gt;&lt;record&gt;&lt;rec-number&gt;1161&lt;/rec-number&gt;&lt;foreign-keys&gt;&lt;key app="EN" db-id="aet009sstawa0hewvt3xwf5atffdw2dt02sw" timestamp="1752407732"&gt;1161&lt;/key&gt;&lt;/foreign-keys&gt;&lt;ref-type name="Journal Article"&gt;17&lt;/ref-type&gt;&lt;contributors&gt;&lt;authors&gt;&lt;author&gt;Şen, Ö&lt;/author&gt;&lt;author&gt;Yıldızhan, E.&lt;/author&gt;&lt;/authors&gt;&lt;/contributors&gt;&lt;titles&gt;&lt;title&gt;Relationship of Intolerance of Uncertainty and Attachment Styles with the Clinical Features of Bipolar Disorder in Remission&lt;/title&gt;&lt;secondary-title&gt;Turk Psikiyatri Derg&lt;/secondary-title&gt;&lt;/titles&gt;&lt;periodical&gt;&lt;full-title&gt;Turk Psikiyatri Derg&lt;/full-title&gt;&lt;/periodical&gt;&lt;pages&gt;174-184&lt;/pages&gt;&lt;volume&gt;31&lt;/volume&gt;&lt;number&gt;3&lt;/number&gt;&lt;keywords&gt;&lt;keyword&gt;Adult&lt;/keyword&gt;&lt;keyword&gt;Bipolar Disorder/*psychology&lt;/keyword&gt;&lt;keyword&gt;Cross-Sectional Studies&lt;/keyword&gt;&lt;keyword&gt;Female&lt;/keyword&gt;&lt;keyword&gt;Humans&lt;/keyword&gt;&lt;keyword&gt;Male&lt;/keyword&gt;&lt;keyword&gt;Middle Aged&lt;/keyword&gt;&lt;keyword&gt;Psychometrics&lt;/keyword&gt;&lt;keyword&gt;Remission Induction&lt;/keyword&gt;&lt;keyword&gt;Suicidal Ideation&lt;/keyword&gt;&lt;keyword&gt;Uncertainty&lt;/keyword&gt;&lt;keyword&gt;Young Adult&lt;/keyword&gt;&lt;/keywords&gt;&lt;dates&gt;&lt;year&gt;2020&lt;/year&gt;&lt;pub-dates&gt;&lt;date&gt;Fall&lt;/date&gt;&lt;/pub-dates&gt;&lt;/dates&gt;&lt;orig-pub&gt;Remisyonda Bipolar Bozuklukta Belirsizliğe Tahammülsüzlük, Bağlanma Biçimleri ve Klinik Özelliklerin İlişkisi.&lt;/orig-pub&gt;&lt;isbn&gt;1300-2163&lt;/isbn&gt;&lt;accession-num&gt;32978953&lt;/accession-num&gt;&lt;urls&gt;&lt;/urls&gt;&lt;electronic-resource-num&gt;10.5080/u25107&lt;/electronic-resource-num&gt;&lt;remote-database-provider&gt;NLM&lt;/remote-database-provider&gt;&lt;language&gt;eng&amp;#xD;tur&lt;/language&gt;&lt;/record&gt;&lt;/Cite&gt;&lt;/EndNote&gt;</w:instrText>
      </w:r>
      <w:r w:rsidRPr="004D46AC">
        <w:fldChar w:fldCharType="separate"/>
      </w:r>
      <w:r w:rsidRPr="004D46AC">
        <w:rPr>
          <w:noProof/>
        </w:rPr>
        <w:t>(Şen &amp; Yıldızhan, 2020)</w:t>
      </w:r>
      <w:r w:rsidRPr="004D46AC">
        <w:fldChar w:fldCharType="end"/>
      </w:r>
      <w:r w:rsidRPr="004D46AC">
        <w:t xml:space="preserve">, although not with the severity of hypomania </w:t>
      </w:r>
      <w:r w:rsidRPr="004D46AC">
        <w:fldChar w:fldCharType="begin"/>
      </w:r>
      <w:r w:rsidRPr="004D46AC">
        <w:instrText xml:space="preserve"> ADDIN EN.CITE &lt;EndNote&gt;&lt;Cite&gt;&lt;Author&gt;Pujji&lt;/Author&gt;&lt;Year&gt;2024&lt;/Year&gt;&lt;RecNum&gt;1158&lt;/RecNum&gt;&lt;DisplayText&gt;(Pujji &amp;amp; Dinzeo, 2024)&lt;/DisplayText&gt;&lt;record&gt;&lt;rec-number&gt;1158&lt;/rec-number&gt;&lt;foreign-keys&gt;&lt;key app="EN" db-id="aet009sstawa0hewvt3xwf5atffdw2dt02sw" timestamp="1752406519"&gt;1158&lt;/key&gt;&lt;/foreign-keys&gt;&lt;ref-type name="Journal Article"&gt;17&lt;/ref-type&gt;&lt;contributors&gt;&lt;authors&gt;&lt;author&gt;Sherry D. Pujji&lt;/author&gt;&lt;author&gt;Thomas J. Dinzeo&lt;/author&gt;&lt;/authors&gt;&lt;/contributors&gt;&lt;auth-address&gt;Dinzeo, Thomas J.: Department of Psychology, Rowan University, 201 Mullica Hill Road, Glassboro, NJ, US, 08028, dinzeo@rowan.edu&lt;/auth-address&gt;&lt;titles&gt;&lt;title&gt;Transdiagnostic connections of the intolerance of uncertainty across schizotypy, mood, obsessive beliefs, and physical health in a college student sample&lt;/title&gt;&lt;/titles&gt;&lt;pages&gt;449-471&lt;/pages&gt;&lt;volume&gt;10&lt;/volume&gt;&lt;keywords&gt;&lt;keyword&gt;*College Students&lt;/keyword&gt;&lt;keyword&gt;*Emotional States&lt;/keyword&gt;&lt;keyword&gt;*Mental Health&lt;/keyword&gt;&lt;keyword&gt;*Physical Health&lt;/keyword&gt;&lt;keyword&gt;*Schizophrenia&lt;/keyword&gt;&lt;keyword&gt;*Schizotypy&lt;/keyword&gt;&lt;keyword&gt;*Negative Emotions&lt;/keyword&gt;&lt;keyword&gt;Intolerance of Uncertainty&lt;/keyword&gt;&lt;/keywords&gt;&lt;dates&gt;&lt;year&gt;2024&lt;/year&gt;&lt;/dates&gt;&lt;pub-location&gt;US&lt;/pub-location&gt;&lt;publisher&gt;Educational Publishing Foundation&lt;/publisher&gt;&lt;isbn&gt;2332-2179(Electronic),2332-2136(Print)&lt;/isbn&gt;&lt;work-type&gt;doi:10.1037/tps0000427&lt;/work-type&gt;&lt;urls&gt;&lt;/urls&gt;&lt;electronic-resource-num&gt;10.1037/tps0000427&lt;/electronic-resource-num&gt;&lt;/record&gt;&lt;/Cite&gt;&lt;/EndNote&gt;</w:instrText>
      </w:r>
      <w:r w:rsidRPr="004D46AC">
        <w:fldChar w:fldCharType="separate"/>
      </w:r>
      <w:r w:rsidRPr="004D46AC">
        <w:rPr>
          <w:noProof/>
        </w:rPr>
        <w:t>(Pujji &amp; Dinzeo, 2024)</w:t>
      </w:r>
      <w:r w:rsidRPr="004D46AC">
        <w:fldChar w:fldCharType="end"/>
      </w:r>
      <w:r w:rsidRPr="004D46AC">
        <w:t xml:space="preserve">. High levels of neuroticism, a trait within the well-known Big Five personality model </w:t>
      </w:r>
      <w:r w:rsidRPr="004D46AC">
        <w:fldChar w:fldCharType="begin"/>
      </w:r>
      <w:r w:rsidRPr="004D46AC">
        <w:instrText xml:space="preserve"> ADDIN EN.CITE &lt;EndNote&gt;&lt;Cite&gt;&lt;Author&gt;Roccas&lt;/Author&gt;&lt;Year&gt;2002&lt;/Year&gt;&lt;RecNum&gt;1262&lt;/RecNum&gt;&lt;DisplayText&gt;(Roccas et al., 2002)&lt;/DisplayText&gt;&lt;record&gt;&lt;rec-number&gt;1262&lt;/rec-number&gt;&lt;foreign-keys&gt;&lt;key app="EN" db-id="aet009sstawa0hewvt3xwf5atffdw2dt02sw" timestamp="1761545466"&gt;1262&lt;/key&gt;&lt;/foreign-keys&gt;&lt;ref-type name="Journal Article"&gt;17&lt;/ref-type&gt;&lt;contributors&gt;&lt;authors&gt;&lt;author&gt;Roccas, Sonia&lt;/author&gt;&lt;author&gt;Sagiv, Lilach&lt;/author&gt;&lt;author&gt;Schwartz, Shalom H.&lt;/author&gt;&lt;author&gt;Knafo, Ariel&lt;/author&gt;&lt;/authors&gt;&lt;/contributors&gt;&lt;titles&gt;&lt;title&gt;The Big Five Personality Factors and Personal Values&lt;/title&gt;&lt;secondary-title&gt;Personality and Social Psychology Bulletin&lt;/secondary-title&gt;&lt;/titles&gt;&lt;periodical&gt;&lt;full-title&gt;Personality and Social Psychology Bulletin&lt;/full-title&gt;&lt;/periodical&gt;&lt;pages&gt;789-801&lt;/pages&gt;&lt;volume&gt;28&lt;/volume&gt;&lt;number&gt;6&lt;/number&gt;&lt;dates&gt;&lt;year&gt;2002&lt;/year&gt;&lt;/dates&gt;&lt;urls&gt;&lt;related-urls&gt;&lt;url&gt;https://journals.sagepub.com/doi/abs/10.1177/0146167202289008&lt;/url&gt;&lt;/related-urls&gt;&lt;/urls&gt;&lt;electronic-resource-num&gt;10.1177/0146167202289008&lt;/electronic-resource-num&gt;&lt;/record&gt;&lt;/Cite&gt;&lt;/EndNote&gt;</w:instrText>
      </w:r>
      <w:r w:rsidRPr="004D46AC">
        <w:fldChar w:fldCharType="separate"/>
      </w:r>
      <w:r w:rsidRPr="004D46AC">
        <w:rPr>
          <w:noProof/>
        </w:rPr>
        <w:t>(Roccas et al., 2002)</w:t>
      </w:r>
      <w:r w:rsidRPr="004D46AC">
        <w:fldChar w:fldCharType="end"/>
      </w:r>
      <w:r w:rsidRPr="004D46AC">
        <w:t xml:space="preserve">, have been consistently observed in patients with both disorders and in their unaffected relatives </w:t>
      </w:r>
      <w:r w:rsidRPr="004D46AC">
        <w:fldChar w:fldCharType="begin">
          <w:fldData xml:space="preserve">PEVuZE5vdGU+PENpdGU+PEF1dGhvcj5IZWVybGVpbjwvQXV0aG9yPjxZZWFyPjE5OTY8L1llYXI+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</w:fldData>
        </w:fldChar>
      </w:r>
      <w:r w:rsidRPr="004D46AC">
        <w:instrText xml:space="preserve"> ADDIN EN.CITE </w:instrText>
      </w:r>
      <w:r w:rsidRPr="004D46AC">
        <w:fldChar w:fldCharType="begin">
          <w:fldData xml:space="preserve">PEVuZE5vdGU+PENpdGU+PEF1dGhvcj5IZWVybGVpbjwvQXV0aG9yPjxZZWFyPjE5OTY8L1llYXI+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</w:fldData>
        </w:fldChar>
      </w:r>
      <w:r w:rsidRPr="004D46AC">
        <w:instrText xml:space="preserve"> ADDIN EN.CITE.DATA </w:instrText>
      </w:r>
      <w:r w:rsidRPr="004D46AC">
        <w:fldChar w:fldCharType="end"/>
      </w:r>
      <w:r w:rsidRPr="004D46AC">
        <w:fldChar w:fldCharType="separate"/>
      </w:r>
      <w:r w:rsidRPr="004D46AC">
        <w:rPr>
          <w:noProof/>
        </w:rPr>
        <w:t>(Heerlein et al., 1996; Yang et al., 2021)</w:t>
      </w:r>
      <w:r w:rsidRPr="004D46AC">
        <w:fldChar w:fldCharType="end"/>
      </w:r>
      <w:r w:rsidRPr="004D46AC">
        <w:t xml:space="preserve">. Similarly, other traits from the Big Five have also been implicated, with evidence supporting associations between higher openness and both mood symptoms and psychotic-like experiences, as well as higher extraversion in patients with BDS </w:t>
      </w:r>
      <w:r w:rsidRPr="004D46AC">
        <w:fldChar w:fldCharType="begin">
          <w:fldData xml:space="preserve">PEVuZE5vdGU+PENpdGU+PEF1dGhvcj5CYWdieTwvQXV0aG9yPjxZZWFyPjE5OTc8L1llYXI+PFJl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</w:fldData>
        </w:fldChar>
      </w:r>
      <w:r w:rsidRPr="004D46AC">
        <w:instrText xml:space="preserve"> ADDIN EN.CITE </w:instrText>
      </w:r>
      <w:r w:rsidRPr="004D46AC">
        <w:fldChar w:fldCharType="begin">
          <w:fldData xml:space="preserve">PEVuZE5vdGU+PENpdGU+PEF1dGhvcj5CYWdieTwvQXV0aG9yPjxZZWFyPjE5OTc8L1llYXI+PFJl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</w:fldData>
        </w:fldChar>
      </w:r>
      <w:r w:rsidRPr="004D46AC">
        <w:instrText xml:space="preserve"> ADDIN EN.CITE.DATA </w:instrText>
      </w:r>
      <w:r w:rsidRPr="004D46AC">
        <w:fldChar w:fldCharType="end"/>
      </w:r>
      <w:r w:rsidRPr="004D46AC">
        <w:fldChar w:fldCharType="separate"/>
      </w:r>
      <w:r w:rsidRPr="004D46AC">
        <w:rPr>
          <w:noProof/>
        </w:rPr>
        <w:t>(Bagby et al., 1997; Jang et al., 2025)</w:t>
      </w:r>
      <w:r w:rsidRPr="004D46AC">
        <w:fldChar w:fldCharType="end"/>
      </w:r>
      <w:r w:rsidRPr="004D46AC">
        <w:t xml:space="preserve">. In contrast, </w:t>
      </w:r>
      <w:r w:rsidRPr="004D46AC">
        <w:lastRenderedPageBreak/>
        <w:t xml:space="preserve">evidence for an association between lower extraversion and depression has been inconsistent </w:t>
      </w:r>
      <w:r w:rsidRPr="004D46AC">
        <w:fldChar w:fldCharType="begin">
          <w:fldData xml:space="preserve">PEVuZE5vdGU+PENpdGU+PEF1dGhvcj5Lb29yZXZhYXI8L0F1dGhvcj48WWVhcj4yMDEzPC9ZZWFy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</w:fldData>
        </w:fldChar>
      </w:r>
      <w:r w:rsidRPr="004D46AC">
        <w:instrText xml:space="preserve"> ADDIN EN.CITE </w:instrText>
      </w:r>
      <w:r w:rsidRPr="004D46AC">
        <w:fldChar w:fldCharType="begin">
          <w:fldData xml:space="preserve">PEVuZE5vdGU+PENpdGU+PEF1dGhvcj5Lb29yZXZhYXI8L0F1dGhvcj48WWVhcj4yMDEzPC9ZZWFy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</w:fldData>
        </w:fldChar>
      </w:r>
      <w:r w:rsidRPr="004D46AC">
        <w:instrText xml:space="preserve"> ADDIN EN.CITE.DATA </w:instrText>
      </w:r>
      <w:r w:rsidRPr="004D46AC">
        <w:fldChar w:fldCharType="end"/>
      </w:r>
      <w:r w:rsidRPr="004D46AC">
        <w:fldChar w:fldCharType="separate"/>
      </w:r>
      <w:r w:rsidRPr="004D46AC">
        <w:rPr>
          <w:noProof/>
        </w:rPr>
        <w:t>(Barnett et al., 2011; Koorevaar et al., 2013)</w:t>
      </w:r>
      <w:r w:rsidRPr="004D46AC">
        <w:fldChar w:fldCharType="end"/>
      </w:r>
      <w:r w:rsidRPr="004D46AC">
        <w:t>.</w:t>
      </w:r>
    </w:p>
    <w:p w14:paraId="48ECFCED" w14:textId="77777777" w:rsidR="007075D9" w:rsidRPr="004D46AC" w:rsidRDefault="007075D9" w:rsidP="00B518F1">
      <w:pPr>
        <w:pStyle w:val="3"/>
      </w:pPr>
      <w:r w:rsidRPr="004D46AC">
        <w:t>Theoretical models</w:t>
      </w:r>
    </w:p>
    <w:p w14:paraId="46AFF254" w14:textId="77777777" w:rsidR="007075D9" w:rsidRPr="004D46AC" w:rsidRDefault="007075D9" w:rsidP="00B518F1">
      <w:r w:rsidRPr="004D46AC">
        <w:t xml:space="preserve">Various models have been proposed to explain the relationship between schizophrenia and BSD. For example, the overlap between the two diagnoses has been interpreted by some scholars as consistent with a unitary psychosis model, which argues that BSD and schizophrenia are different expressions of the same disease process </w:t>
      </w:r>
      <w:r w:rsidRPr="004D46AC">
        <w:fldChar w:fldCharType="begin"/>
      </w:r>
      <w:r w:rsidRPr="004D46AC">
        <w:instrText xml:space="preserve"> ADDIN EN.CITE &lt;EndNote&gt;&lt;Cite&gt;&lt;Author&gt;Berrios&lt;/Author&gt;&lt;Year&gt;1994&lt;/Year&gt;&lt;RecNum&gt;389&lt;/RecNum&gt;&lt;DisplayText&gt;(Berrios &amp;amp; Beer, 1994)&lt;/DisplayText&gt;&lt;record&gt;&lt;rec-number&gt;389&lt;/rec-number&gt;&lt;foreign-keys&gt;&lt;key app="EN" db-id="aet009sstawa0hewvt3xwf5atffdw2dt02sw" timestamp="1692240357"&gt;389&lt;/key&gt;&lt;/foreign-keys&gt;&lt;ref-type name="Journal Article"&gt;17&lt;/ref-type&gt;&lt;contributors&gt;&lt;authors&gt;&lt;author&gt;Berrios, G. E.&lt;/author&gt;&lt;author&gt;Beer, D.&lt;/author&gt;&lt;/authors&gt;&lt;/contributors&gt;&lt;titles&gt;&lt;title&gt;The notion of a unitary psychosis: a conceptual history&lt;/title&gt;&lt;secondary-title&gt;Hist Psychiatry&lt;/secondary-title&gt;&lt;/titles&gt;&lt;pages&gt;13-36&lt;/pages&gt;&lt;volume&gt;5&lt;/volume&gt;&lt;number&gt;17 Pt 1&lt;/number&gt;&lt;keywords&gt;&lt;keyword&gt;History, Modern 1601-&lt;/keyword&gt;&lt;keyword&gt;Humans&lt;/keyword&gt;&lt;keyword&gt;Psychotic Disorders/*history&lt;/keyword&gt;&lt;keyword&gt;Terminology as Topic&lt;/keyword&gt;&lt;/keywords&gt;&lt;dates&gt;&lt;year&gt;1994&lt;/year&gt;&lt;pub-dates&gt;&lt;date&gt;Mar&lt;/date&gt;&lt;/pub-dates&gt;&lt;/dates&gt;&lt;publisher&gt;SAGE Publications Ltd&lt;/publisher&gt;&lt;isbn&gt;0957-154X (Print)&amp;#xD;0957-154X (Linking)&lt;/isbn&gt;&lt;accession-num&gt;11639278&lt;/accession-num&gt;&lt;urls&gt;&lt;related-urls&gt;&lt;url&gt;https://www.ncbi.nlm.nih.gov/pubmed/11639278&lt;/url&gt;&lt;/related-urls&gt;&lt;/urls&gt;&lt;electronic-resource-num&gt;10.1177/0957154X9400501702&lt;/electronic-resource-num&gt;&lt;remote-database-name&gt;Medline&lt;/remote-database-name&gt;&lt;remote-database-provider&gt;HMD&lt;/remote-database-provider&gt;&lt;access-date&gt;2023/08/16&lt;/access-date&gt;&lt;/record&gt;&lt;/Cite&gt;&lt;/EndNote&gt;</w:instrText>
      </w:r>
      <w:r w:rsidRPr="004D46AC">
        <w:fldChar w:fldCharType="separate"/>
      </w:r>
      <w:r w:rsidRPr="004D46AC">
        <w:rPr>
          <w:noProof/>
        </w:rPr>
        <w:t>(Berrios &amp; Beer, 1994)</w:t>
      </w:r>
      <w:r w:rsidRPr="004D46AC">
        <w:fldChar w:fldCharType="end"/>
      </w:r>
      <w:r w:rsidRPr="004D46AC">
        <w:t xml:space="preserve">, whereas others have interpreted it as consistent with a </w:t>
      </w:r>
      <w:proofErr w:type="spellStart"/>
      <w:r w:rsidRPr="004D46AC">
        <w:t>schizo</w:t>
      </w:r>
      <w:proofErr w:type="spellEnd"/>
      <w:r w:rsidRPr="004D46AC">
        <w:rPr>
          <w:rFonts w:hint="eastAsia"/>
        </w:rPr>
        <w:t>-</w:t>
      </w:r>
      <w:r w:rsidRPr="004D46AC">
        <w:t xml:space="preserve">bipolar spectrum model </w:t>
      </w:r>
      <w:r w:rsidRPr="004D46AC">
        <w:fldChar w:fldCharType="begin">
          <w:fldData xml:space="preserve">PEVuZE5vdGU+PENpdGU+PEF1dGhvcj5LZXNoYXZhbjwvQXV0aG9yPjxZZWFyPjIwMTE8L1llYXI+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 </w:instrText>
      </w:r>
      <w:r w:rsidRPr="004D46AC">
        <w:fldChar w:fldCharType="begin">
          <w:fldData xml:space="preserve">PEVuZE5vdGU+PENpdGU+PEF1dGhvcj5LZXNoYXZhbjwvQXV0aG9yPjxZZWFyPjIwMTE8L1llYXI+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EN.CITE.DATA </w:instrText>
      </w:r>
      <w:r w:rsidRPr="004D46AC">
        <w:fldChar w:fldCharType="end"/>
      </w:r>
      <w:r w:rsidRPr="004D46AC">
        <w:fldChar w:fldCharType="separate"/>
      </w:r>
      <w:r w:rsidRPr="004D46AC">
        <w:rPr>
          <w:noProof/>
        </w:rPr>
        <w:t>(Keshavan et al., 2011)</w:t>
      </w:r>
      <w:r w:rsidRPr="004D46AC">
        <w:fldChar w:fldCharType="end"/>
      </w:r>
      <w:r w:rsidRPr="004D46AC">
        <w:t>, which argues that there is a continuum between BSD and schizophrenia, with schizoaffective disorder representing the centre portion of this dimension.</w:t>
      </w:r>
    </w:p>
    <w:p w14:paraId="66F05F5F" w14:textId="77777777" w:rsidR="007075D9" w:rsidRPr="004D46AC" w:rsidRDefault="007075D9" w:rsidP="00B518F1">
      <w:r w:rsidRPr="004D46AC">
        <w:t xml:space="preserve">One way of testing these theories is by using bifactor modelling that decomposes psychopathology into shared (general) and unique (specific) sources of variance. The assumption of this approach is that the factors that are discovered correspond to underlying disease process that are either common to all psychotic disorders (the general factor) or which are related to specific symptom expressions (the specific factors). Studies using this method to analyse symptom covariation in psychotic patients </w:t>
      </w:r>
      <w:r w:rsidRPr="004D46AC">
        <w:fldChar w:fldCharType="begin">
          <w:fldData xml:space="preserve">PEVuZE5vdGU+PENpdGU+PEF1dGhvcj5SZWluaW5naGF1czwvQXV0aG9yPjxZZWFyPjIwMTk8L1ll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</w:fldData>
        </w:fldChar>
      </w:r>
      <w:r w:rsidRPr="004D46AC">
        <w:instrText xml:space="preserve"> ADDIN EN.CITE </w:instrText>
      </w:r>
      <w:r w:rsidRPr="004D46AC">
        <w:fldChar w:fldCharType="begin">
          <w:fldData xml:space="preserve">PEVuZE5vdGU+PENpdGU+PEF1dGhvcj5SZWluaW5naGF1czwvQXV0aG9yPjxZZWFyPjIwMTk8L1ll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</w:fldData>
        </w:fldChar>
      </w:r>
      <w:r w:rsidRPr="004D46AC">
        <w:instrText xml:space="preserve"> ADDIN EN.CITE.DATA </w:instrText>
      </w:r>
      <w:r w:rsidRPr="004D46AC">
        <w:fldChar w:fldCharType="end"/>
      </w:r>
      <w:r w:rsidRPr="004D46AC">
        <w:fldChar w:fldCharType="separate"/>
      </w:r>
      <w:r w:rsidRPr="004D46AC">
        <w:rPr>
          <w:noProof/>
        </w:rPr>
        <w:t>(Reininghaus et al., 2019; Reininghaus et al., 2013)</w:t>
      </w:r>
      <w:r w:rsidRPr="004D46AC">
        <w:fldChar w:fldCharType="end"/>
      </w:r>
      <w:r w:rsidRPr="004D46AC">
        <w:t xml:space="preserve"> and also in the general population (Shevlin et al., 2017) have found evidence for both a general psychosis dimension and specific symptom dimensions corresponding to positive symptoms, negative symptoms, cognitive dysfunction, depression and mania.  A further extension of this idea is the ‘p factor’ model, which proposes a general factor underlying all mental disorders </w:t>
      </w:r>
      <w:r w:rsidRPr="004D46AC">
        <w:fldChar w:fldCharType="begin">
          <w:fldData xml:space="preserve">PEVuZE5vdGU+PENpdGU+PEF1dGhvcj5DYXNwaTwvQXV0aG9yPjxZZWFyPjIwMTQ8L1llYXI+PFJl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</w:fldData>
        </w:fldChar>
      </w:r>
      <w:r w:rsidRPr="004D46AC">
        <w:instrText xml:space="preserve"> ADDIN EN.CITE </w:instrText>
      </w:r>
      <w:r w:rsidRPr="004D46AC">
        <w:fldChar w:fldCharType="begin">
          <w:fldData xml:space="preserve">PEVuZE5vdGU+PENpdGU+PEF1dGhvcj5DYXNwaTwvQXV0aG9yPjxZZWFyPjIwMTQ8L1llYXI+PFJl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(Caspi et al., 2014)</w:t>
      </w:r>
      <w:r w:rsidRPr="004D46AC">
        <w:fldChar w:fldCharType="end"/>
      </w:r>
      <w:r w:rsidRPr="004D46AC">
        <w:t>.</w:t>
      </w:r>
    </w:p>
    <w:p w14:paraId="2E87BE11" w14:textId="77777777" w:rsidR="007075D9" w:rsidRPr="004D46AC" w:rsidRDefault="007075D9" w:rsidP="00B518F1">
      <w:r w:rsidRPr="004D46AC">
        <w:t xml:space="preserve">A more radical challenge to categorical diagnoses is provided by network models which propose that covariations between symptoms can be explained by their dynamic interactions within complex, interrelated systems </w:t>
      </w:r>
      <w:r w:rsidRPr="004D46AC">
        <w:fldChar w:fldCharType="begin"/>
      </w:r>
      <w:r w:rsidRPr="004D46AC">
        <w:instrText xml:space="preserve"> ADDIN EN.CITE &lt;EndNote&gt;&lt;Cite&gt;&lt;Author&gt;Bringmann&lt;/Author&gt;&lt;Year&gt;2018&lt;/Year&gt;&lt;RecNum&gt;489&lt;/RecNum&gt;&lt;DisplayText&gt;(Bringmann &amp;amp; Eronen, 2018)&lt;/DisplayText&gt;&lt;record&gt;&lt;rec-number&gt;489&lt;/rec-number&gt;&lt;foreign-keys&gt;&lt;key app="EN" db-id="aet009sstawa0hewvt3xwf5atffdw2dt02sw" timestamp="1704879143"&gt;489&lt;/key&gt;&lt;/foreign-keys&gt;&lt;ref-type name="Journal Article"&gt;17&lt;/ref-type&gt;&lt;contributors&gt;&lt;authors&gt;&lt;author&gt;Bringmann, L. F.&lt;/author&gt;&lt;author&gt;Eronen, M. I.&lt;/author&gt;&lt;/authors&gt;&lt;/contributors&gt;&lt;auth-address&gt;Department of Psychometrics and Statistics, University of Groningen.&amp;#xD;Department of Theory and History of Psychology, University of Groningen.&lt;/auth-address&gt;&lt;titles&gt;&lt;title&gt;Don&amp;apos;t blame the model: Reconsidering the network approach to psychopathology&lt;/title&gt;&lt;secondary-title&gt;Psychol Rev&lt;/secondary-title&gt;&lt;/titles&gt;&lt;periodical&gt;&lt;full-title&gt;Psychol Rev&lt;/full-title&gt;&lt;/periodical&gt;&lt;pages&gt;606-615&lt;/pages&gt;&lt;volume&gt;125&lt;/volume&gt;&lt;number&gt;4&lt;/number&gt;&lt;keywords&gt;&lt;keyword&gt;Humans&lt;/keyword&gt;&lt;keyword&gt;*Mental Disorders&lt;/keyword&gt;&lt;keyword&gt;*Models, Theoretical&lt;/keyword&gt;&lt;keyword&gt;*Psychopathology&lt;/keyword&gt;&lt;/keywords&gt;&lt;dates&gt;&lt;year&gt;2018&lt;/year&gt;&lt;pub-dates&gt;&lt;date&gt;Jul&lt;/date&gt;&lt;/pub-dates&gt;&lt;/dates&gt;&lt;isbn&gt;1939-1471 (Electronic)&amp;#xD;0033-295X (Linking)&lt;/isbn&gt;&lt;accession-num&gt;29952625&lt;/accession-num&gt;&lt;urls&gt;&lt;related-urls&gt;&lt;url&gt;https://www.ncbi.nlm.nih.gov/pubmed/29952625&lt;/url&gt;&lt;/related-urls&gt;&lt;/urls&gt;&lt;electronic-resource-num&gt;10.1037/rev0000108&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(Bringmann &amp; Eronen, 2018)</w:t>
      </w:r>
      <w:r w:rsidRPr="004D46AC">
        <w:fldChar w:fldCharType="end"/>
      </w:r>
      <w:r w:rsidRPr="004D46AC">
        <w:t xml:space="preserve">. These models assume that observed patterns of relationships between symptoms emerge as a consequence of the way that symptoms influence each other, rather than because they have common underlying psychopathological causes </w:t>
      </w:r>
      <w:r w:rsidRPr="004D46AC">
        <w:fldChar w:fldCharType="begin"/>
      </w:r>
      <w:r w:rsidRPr="004D46AC">
        <w:instrText xml:space="preserve"> ADDIN EN.CITE &lt;EndNote&gt;&lt;Cite&gt;&lt;Author&gt;Borsboom&lt;/Author&gt;&lt;Year&gt;2013&lt;/Year&gt;&lt;RecNum&gt;1231&lt;/RecNum&gt;&lt;DisplayText&gt;(Borsboom &amp;amp; Cramer, 2013)&lt;/DisplayText&gt;&lt;record&gt;&lt;rec-number&gt;1231&lt;/rec-number&gt;&lt;foreign-keys&gt;&lt;key app="EN" db-id="aet009sstawa0hewvt3xwf5atffdw2dt02sw" timestamp="1758615388"&gt;1231&lt;/key&gt;&lt;/foreign-keys&gt;&lt;ref-type name="Journal Article"&gt;17&lt;/ref-type&gt;&lt;contributors&gt;&lt;authors&gt;&lt;author&gt;Borsboom, Denny&lt;/author&gt;&lt;author&gt;Cramer, Angélique O.J.&lt;/author&gt;&lt;/authors&gt;&lt;/contributors&gt;&lt;titles&gt;&lt;title&gt;Network Analysis: An Integrative Approach to the Structure of Psychopathology&lt;/title&gt;&lt;secondary-title&gt;Annual Review of Clinical Psychology&lt;/secondary-title&gt;&lt;/titles&gt;&lt;periodical&gt;&lt;full-title&gt;Annual review of clinical psychology&lt;/full-title&gt;&lt;/periodical&gt;&lt;pages&gt;91-121&lt;/pages&gt;&lt;volume&gt;9&lt;/volume&gt;&lt;number&gt;Volume 9, 2013&lt;/number&gt;&lt;keywords&gt;&lt;keyword&gt;philosophy of science&lt;/keyword&gt;&lt;keyword&gt;network analysis&lt;/keyword&gt;&lt;keyword&gt;latent variable models&lt;/keyword&gt;&lt;keyword&gt;psychopathology&lt;/keyword&gt;&lt;keyword&gt;measurement&lt;/keyword&gt;&lt;keyword&gt;psychometrics&lt;/keyword&gt;&lt;/keywords&gt;&lt;dates&gt;&lt;year&gt;2013&lt;/year&gt;&lt;/dates&gt;&lt;isbn&gt;1548-5951&lt;/isbn&gt;&lt;urls&gt;&lt;related-urls&gt;&lt;url&gt;https://www.annualreviews.org/content/journals/10.1146/annurev-clinpsy-050212-185608&lt;/url&gt;&lt;/related-urls&gt;&lt;/urls&gt;&lt;electronic-resource-num&gt;https://doi.org/10.1146/annurev-clinpsy-050212-185608&lt;/electronic-resource-num&gt;&lt;/record&gt;&lt;/Cite&gt;&lt;/EndNote&gt;</w:instrText>
      </w:r>
      <w:r w:rsidRPr="004D46AC">
        <w:fldChar w:fldCharType="separate"/>
      </w:r>
      <w:r w:rsidRPr="004D46AC">
        <w:rPr>
          <w:noProof/>
        </w:rPr>
        <w:t>(Borsboom &amp; Cramer, 2013)</w:t>
      </w:r>
      <w:r w:rsidRPr="004D46AC">
        <w:fldChar w:fldCharType="end"/>
      </w:r>
      <w:r w:rsidRPr="004D46AC">
        <w:t xml:space="preserve">. For example, </w:t>
      </w:r>
      <w:r w:rsidRPr="004D46AC">
        <w:lastRenderedPageBreak/>
        <w:t xml:space="preserve">using data from a large sample of US psychiatric patients, we have recently shown that symptoms have a common structure in patients diagnosed with schizophrenia, </w:t>
      </w:r>
      <w:r w:rsidRPr="004D46AC">
        <w:rPr>
          <w:rFonts w:hint="eastAsia"/>
        </w:rPr>
        <w:t xml:space="preserve">psychotic </w:t>
      </w:r>
      <w:r w:rsidRPr="004D46AC">
        <w:t>bipolar disorder and schizoaffective disorder, and that the relationships between psychotic symptoms and mania are stronger than the relationships between psychotic symptoms and depression (Shao et al. 2024).</w:t>
      </w:r>
    </w:p>
    <w:p w14:paraId="28936400" w14:textId="77777777" w:rsidR="007075D9" w:rsidRPr="004D46AC" w:rsidRDefault="007075D9" w:rsidP="00B518F1">
      <w:pPr>
        <w:pStyle w:val="3"/>
      </w:pPr>
      <w:r w:rsidRPr="004D46AC">
        <w:t>Relationship between mood and PLEs in the general population</w:t>
      </w:r>
    </w:p>
    <w:p w14:paraId="397014F7" w14:textId="77777777" w:rsidR="007075D9" w:rsidRPr="004D46AC" w:rsidRDefault="007075D9" w:rsidP="00B518F1">
      <w:r w:rsidRPr="004D46AC">
        <w:t xml:space="preserve">Dimensional approaches argue that mental disorders exist along continua, with varying degrees of symptom severity across populations (Claridge, 1985). For instance, psychotic symptoms may manifest as trait-like features (e.g., schizotypal personality) in the general population </w:t>
      </w:r>
      <w:r w:rsidRPr="004D46AC">
        <w:fldChar w:fldCharType="begin"/>
      </w:r>
      <w:r w:rsidRPr="004D46AC">
        <w:instrText xml:space="preserve"> ADDIN EN.CITE &lt;EndNote&gt;&lt;Cite&gt;&lt;Author&gt;Johns&lt;/Author&gt;&lt;Year&gt;2001&lt;/Year&gt;&lt;RecNum&gt;908&lt;/RecNum&gt;&lt;DisplayText&gt;(Johns &amp;amp; van Os, 2001)&lt;/DisplayText&gt;&lt;record&gt;&lt;rec-number&gt;908&lt;/rec-number&gt;&lt;foreign-keys&gt;&lt;key app="EN" db-id="aet009sstawa0hewvt3xwf5atffdw2dt02sw" timestamp="1740351727"&gt;908&lt;/key&gt;&lt;/foreign-keys&gt;&lt;ref-type name="Journal Article"&gt;17&lt;/ref-type&gt;&lt;contributors&gt;&lt;authors&gt;&lt;author&gt;Johns, L. C.&lt;/author&gt;&lt;author&gt;van Os, J.&lt;/author&gt;&lt;/authors&gt;&lt;/contributors&gt;&lt;auth-address&gt;University of Manchester, UK.&lt;/auth-address&gt;&lt;titles&gt;&lt;title&gt;The continuity of psychotic experiences in the general population&lt;/title&gt;&lt;secondary-title&gt;Clin Psychol Rev&lt;/secondary-title&gt;&lt;/titles&gt;&lt;periodical&gt;&lt;full-title&gt;Clin Psychol Rev&lt;/full-title&gt;&lt;/periodical&gt;&lt;pages&gt;1125-41&lt;/pages&gt;&lt;volume&gt;21&lt;/volume&gt;&lt;number&gt;8&lt;/number&gt;&lt;keywords&gt;&lt;keyword&gt;Delusions/epidemiology/etiology&lt;/keyword&gt;&lt;keyword&gt;Hallucinations/epidemiology/etiology&lt;/keyword&gt;&lt;keyword&gt;Humans&lt;/keyword&gt;&lt;keyword&gt;Personality&lt;/keyword&gt;&lt;keyword&gt;Psychotic Disorders/*epidemiology/etiology/psychology&lt;/keyword&gt;&lt;keyword&gt;Risk Factors&lt;/keyword&gt;&lt;keyword&gt;Schizophrenia/epidemiology/etiology&lt;/keyword&gt;&lt;keyword&gt;Schizophrenic Psychology&lt;/keyword&gt;&lt;/keywords&gt;&lt;dates&gt;&lt;year&gt;2001&lt;/year&gt;&lt;pub-dates&gt;&lt;date&gt;Nov&lt;/date&gt;&lt;/pub-dates&gt;&lt;/dates&gt;&lt;isbn&gt;0272-7358 (Print)&amp;#xD;0272-7358 (Linking)&lt;/isbn&gt;&lt;accession-num&gt;11702510&lt;/accession-num&gt;&lt;urls&gt;&lt;related-urls&gt;&lt;url&gt;https://www.ncbi.nlm.nih.gov/pubmed/11702510&lt;/url&gt;&lt;/related-urls&gt;&lt;/urls&gt;&lt;electronic-resource-num&gt;10.1016/s0272-7358(01)00103-9&lt;/electronic-resource-num&gt;&lt;remote-database-name&gt;Medline&lt;/remote-database-name&gt;&lt;remote-database-provider&gt;NLM&lt;/remote-database-provider&gt;&lt;/record&gt;&lt;/Cite&gt;&lt;/EndNote&gt;</w:instrText>
      </w:r>
      <w:r w:rsidRPr="004D46AC">
        <w:fldChar w:fldCharType="separate"/>
      </w:r>
      <w:r w:rsidRPr="004D46AC">
        <w:rPr>
          <w:noProof/>
        </w:rPr>
        <w:t>(Johns &amp; van Os, 2001)</w:t>
      </w:r>
      <w:r w:rsidRPr="004D46AC">
        <w:fldChar w:fldCharType="end"/>
      </w:r>
      <w:r w:rsidRPr="004D46AC">
        <w:t xml:space="preserve"> and the same has been claimed for bipolar symptoms </w:t>
      </w:r>
      <w:r w:rsidRPr="004D46AC">
        <w:fldChar w:fldCharType="begin"/>
      </w:r>
      <w:r w:rsidRPr="004D46AC">
        <w:instrText xml:space="preserve"> ADDIN EN.CITE &lt;EndNote&gt;&lt;Cite&gt;&lt;Author&gt;Angst&lt;/Author&gt;&lt;Year&gt;2005&lt;/Year&gt;&lt;RecNum&gt;1189&lt;/RecNum&gt;&lt;DisplayText&gt;(Angst &amp;amp; Cassano, 2005)&lt;/DisplayText&gt;&lt;record&gt;&lt;rec-number&gt;1189&lt;/rec-number&gt;&lt;foreign-keys&gt;&lt;key app="EN" db-id="aet009sstawa0hewvt3xwf5atffdw2dt02sw" timestamp="1754552687"&gt;1189&lt;/key&gt;&lt;/foreign-keys&gt;&lt;ref-type name="Journal Article"&gt;17&lt;/ref-type&gt;&lt;contributors&gt;&lt;authors&gt;&lt;author&gt;Angst, Jules&lt;/author&gt;&lt;author&gt;Cassano, Giovanni&lt;/author&gt;&lt;/authors&gt;&lt;/contributors&gt;&lt;titles&gt;&lt;title&gt;The mood spectrum: improving the diagnosis of bipolar disorder&lt;/title&gt;&lt;secondary-title&gt;Bipolar Disorders&lt;/secondary-title&gt;&lt;/titles&gt;&lt;periodical&gt;&lt;full-title&gt;Bipolar Disorders&lt;/full-title&gt;&lt;/periodical&gt;&lt;pages&gt;4-12&lt;/pages&gt;&lt;volume&gt;7&lt;/volume&gt;&lt;number&gt;s4&lt;/number&gt;&lt;keywords&gt;&lt;keyword&gt;bipolar disorder&lt;/keyword&gt;&lt;keyword&gt;bipolar spectrum&lt;/keyword&gt;&lt;keyword&gt;depression&lt;/keyword&gt;&lt;keyword&gt;diagnostic criteria&lt;/keyword&gt;&lt;keyword&gt;hypomania&lt;/keyword&gt;&lt;keyword&gt;structured clinical interview&lt;/keyword&gt;&lt;/keywords&gt;&lt;dates&gt;&lt;year&gt;2005&lt;/year&gt;&lt;pub-dates&gt;&lt;date&gt;2005/08/01&lt;/date&gt;&lt;/pub-dates&gt;&lt;/dates&gt;&lt;publisher&gt;John Wiley &amp;amp; Sons, Ltd&lt;/publisher&gt;&lt;isbn&gt;1398-5647&lt;/isbn&gt;&lt;urls&gt;&lt;related-urls&gt;&lt;url&gt;https://doi.org/10.1111/j.1399-5618.2005.00210.x&lt;/url&gt;&lt;/related-urls&gt;&lt;/urls&gt;&lt;electronic-resource-num&gt;https://doi.org/10.1111/j.1399-5618.2005.00210.x&lt;/electronic-resource-num&gt;&lt;access-date&gt;2025/08/07&lt;/access-date&gt;&lt;/record&gt;&lt;/Cite&gt;&lt;/EndNote&gt;</w:instrText>
      </w:r>
      <w:r w:rsidRPr="004D46AC">
        <w:fldChar w:fldCharType="separate"/>
      </w:r>
      <w:r w:rsidRPr="004D46AC">
        <w:rPr>
          <w:noProof/>
        </w:rPr>
        <w:t>(Angst &amp; Cassano, 2005)</w:t>
      </w:r>
      <w:r w:rsidRPr="004D46AC">
        <w:fldChar w:fldCharType="end"/>
      </w:r>
      <w:r w:rsidRPr="004D46AC">
        <w:t xml:space="preserve">. Consistent with this approach, psychotic-like experiences (PLEs) are more common in the general population than episodes meeting the criteria for a diagnosis of severe mental illness </w:t>
      </w:r>
      <w:r w:rsidRPr="004D46AC">
        <w:fldChar w:fldCharType="begin">
          <w:fldData xml:space="preserve">PEVuZE5vdGU+PENpdGU+PEF1dGhvcj52YW4gT3M8L0F1dGhvcj48WWVhcj4yMDA5PC9ZZWFyPjxS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</w:fldData>
        </w:fldChar>
      </w:r>
      <w:r w:rsidRPr="004D46AC">
        <w:instrText xml:space="preserve"> ADDIN EN.CITE </w:instrText>
      </w:r>
      <w:r w:rsidRPr="004D46AC">
        <w:fldChar w:fldCharType="begin">
          <w:fldData xml:space="preserve">PEVuZE5vdGU+PENpdGU+PEF1dGhvcj52YW4gT3M8L0F1dGhvcj48WWVhcj4yMDA5PC9ZZWFyPjxS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</w:fldData>
        </w:fldChar>
      </w:r>
      <w:r w:rsidRPr="004D46AC">
        <w:instrText xml:space="preserve"> ADDIN EN.CITE.DATA </w:instrText>
      </w:r>
      <w:r w:rsidRPr="004D46AC">
        <w:fldChar w:fldCharType="end"/>
      </w:r>
      <w:r w:rsidRPr="004D46AC">
        <w:fldChar w:fldCharType="separate"/>
      </w:r>
      <w:r w:rsidRPr="004D46AC">
        <w:rPr>
          <w:noProof/>
        </w:rPr>
        <w:t>(Bolhuis et al., 2018; van Os et al., 2009)</w:t>
      </w:r>
      <w:r w:rsidRPr="004D46AC">
        <w:fldChar w:fldCharType="end"/>
      </w:r>
      <w:r w:rsidRPr="004D46AC">
        <w:t xml:space="preserve">, are considered part of an extended continuum of psychosis </w:t>
      </w:r>
      <w:r w:rsidRPr="004D46AC">
        <w:fldChar w:fldCharType="begin"/>
      </w:r>
      <w:r w:rsidRPr="004D46AC">
        <w:instrText xml:space="preserve"> ADDIN EN.CITE &lt;EndNote&gt;&lt;Cite&gt;&lt;Author&gt;Kaymaz&lt;/Author&gt;&lt;Year&gt;2010&lt;/Year&gt;&lt;RecNum&gt;1190&lt;/RecNum&gt;&lt;DisplayText&gt;(Kaymaz &amp;amp; van Os, 2010)&lt;/DisplayText&gt;&lt;record&gt;&lt;rec-number&gt;1190&lt;/rec-number&gt;&lt;foreign-keys&gt;&lt;key app="EN" db-id="aet009sstawa0hewvt3xwf5atffdw2dt02sw" timestamp="1754660859"&gt;1190&lt;/key&gt;&lt;/foreign-keys&gt;&lt;ref-type name="Journal Article"&gt;17&lt;/ref-type&gt;&lt;contributors&gt;&lt;authors&gt;&lt;author&gt;Kaymaz, N.&lt;/author&gt;&lt;author&gt;van Os, J.&lt;/author&gt;&lt;/authors&gt;&lt;/contributors&gt;&lt;titles&gt;&lt;title&gt;Extended psychosis phenotype – yes: single continuum – unlikely: A commentary on ‘Why we need more debate on whether psychotic symptoms lie on a continuum with normality’ by David (2010)&lt;/title&gt;&lt;secondary-title&gt;Psychological Medicine&lt;/secondary-title&gt;&lt;/titles&gt;&lt;periodical&gt;&lt;full-title&gt;Psychological Medicine&lt;/full-title&gt;&lt;/periodical&gt;&lt;pages&gt;1963-1966&lt;/pages&gt;&lt;volume&gt;40&lt;/volume&gt;&lt;number&gt;12&lt;/number&gt;&lt;edition&gt;2010/03/18&lt;/edition&gt;&lt;keywords&gt;&lt;keyword&gt;Diagnosis&lt;/keyword&gt;&lt;keyword&gt;psychosis&lt;/keyword&gt;&lt;keyword&gt;risk factors&lt;/keyword&gt;&lt;/keywords&gt;&lt;dates&gt;&lt;year&gt;2010&lt;/year&gt;&lt;/dates&gt;&lt;publisher&gt;Cambridge University Press&lt;/publisher&gt;&lt;isbn&gt;0033-2917&lt;/isbn&gt;&lt;urls&gt;&lt;related-urls&gt;&lt;url&gt;https://www.cambridge.org/core/product/56BF2DDBAE4822AAABD4F64D3ABD833D&lt;/url&gt;&lt;/related-urls&gt;&lt;/urls&gt;&lt;electronic-resource-num&gt;10.1017/S0033291710000358&lt;/electronic-resource-num&gt;&lt;remote-database-name&gt;Cambridge Core&lt;/remote-database-name&gt;&lt;remote-database-provider&gt;Cambridge University Press&lt;/remote-database-provider&gt;&lt;/record&gt;&lt;/Cite&gt;&lt;/EndNote&gt;</w:instrText>
      </w:r>
      <w:r w:rsidRPr="004D46AC">
        <w:fldChar w:fldCharType="separate"/>
      </w:r>
      <w:r w:rsidRPr="004D46AC">
        <w:rPr>
          <w:noProof/>
        </w:rPr>
        <w:t>(Kaymaz &amp; van Os, 2010)</w:t>
      </w:r>
      <w:r w:rsidRPr="004D46AC">
        <w:fldChar w:fldCharType="end"/>
      </w:r>
      <w:r w:rsidRPr="004D46AC">
        <w:t xml:space="preserve"> and have been associated with an elevated risk of developing psychotic disorders </w:t>
      </w:r>
      <w:r w:rsidRPr="004D46AC">
        <w:fldChar w:fldCharType="begin">
          <w:fldData xml:space="preserve">PEVuZE5vdGU+PENpdGU+PEF1dGhvcj5MaW5kZ3JlbjwvQXV0aG9yPjxZZWFyPjIwMjI8L1llYXI+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</w:fldData>
        </w:fldChar>
      </w:r>
      <w:r w:rsidRPr="004D46AC">
        <w:instrText xml:space="preserve"> ADDIN EN.CITE </w:instrText>
      </w:r>
      <w:r w:rsidRPr="004D46AC">
        <w:fldChar w:fldCharType="begin">
          <w:fldData xml:space="preserve">PEVuZE5vdGU+PENpdGU+PEF1dGhvcj5MaW5kZ3JlbjwvQXV0aG9yPjxZZWFyPjIwMjI8L1llYXI+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</w:fldData>
        </w:fldChar>
      </w:r>
      <w:r w:rsidRPr="004D46AC">
        <w:instrText xml:space="preserve"> ADDIN EN.CITE.DATA </w:instrText>
      </w:r>
      <w:r w:rsidRPr="004D46AC">
        <w:fldChar w:fldCharType="end"/>
      </w:r>
      <w:r w:rsidRPr="004D46AC">
        <w:fldChar w:fldCharType="separate"/>
      </w:r>
      <w:r w:rsidRPr="004D46AC">
        <w:rPr>
          <w:noProof/>
        </w:rPr>
        <w:t>(Lindgren et al., 2022)</w:t>
      </w:r>
      <w:r w:rsidRPr="004D46AC">
        <w:fldChar w:fldCharType="end"/>
      </w:r>
      <w:r w:rsidRPr="004D46AC">
        <w:t>.</w:t>
      </w:r>
    </w:p>
    <w:p w14:paraId="1BE10DB7" w14:textId="77777777" w:rsidR="007075D9" w:rsidRPr="004D46AC" w:rsidRDefault="007075D9" w:rsidP="00B518F1">
      <w:r w:rsidRPr="004D46AC">
        <w:t xml:space="preserve">The same questions that have been asked about the relationship between psychotic and BDS symptoms in clinical populations can therefore asked about general population samples. Indeed, correlations between PLEs and hypomanic (subclinical manic) symptoms have been reported in non-clinical populations, as have associations between PLEs and depressive symptoms </w:t>
      </w:r>
      <w:r w:rsidRPr="004D46AC">
        <w:fldChar w:fldCharType="begin">
          <w:fldData xml:space="preserve">PEVuZE5vdGU+PENpdGU+PEF1dGhvcj5TY290dDwvQXV0aG9yPjxZZWFyPjIwMjE8L1llYXI+PFJl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</w:fldData>
        </w:fldChar>
      </w:r>
      <w:r w:rsidRPr="004D46AC">
        <w:instrText xml:space="preserve"> ADDIN EN.CITE </w:instrText>
      </w:r>
      <w:r w:rsidRPr="004D46AC">
        <w:fldChar w:fldCharType="begin">
          <w:fldData xml:space="preserve">PEVuZE5vdGU+PENpdGU+PEF1dGhvcj5TY290dDwvQXV0aG9yPjxZZWFyPjIwMjE8L1llYXI+PFJl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</w:fldData>
        </w:fldChar>
      </w:r>
      <w:r w:rsidRPr="004D46AC">
        <w:instrText xml:space="preserve"> ADDIN EN.CITE.DATA </w:instrText>
      </w:r>
      <w:r w:rsidRPr="004D46AC">
        <w:fldChar w:fldCharType="end"/>
      </w:r>
      <w:r w:rsidRPr="004D46AC">
        <w:fldChar w:fldCharType="separate"/>
      </w:r>
      <w:r w:rsidRPr="004D46AC">
        <w:rPr>
          <w:noProof/>
        </w:rPr>
        <w:t>(Ballesio et al., 2022; Scott et al., 2021)</w:t>
      </w:r>
      <w:r w:rsidRPr="004D46AC">
        <w:fldChar w:fldCharType="end"/>
      </w:r>
      <w:r w:rsidRPr="004D46AC">
        <w:t xml:space="preserve"> and, as already noted, bifactor modelling has been used to garner evidence that a common psychosis factor underlies the expression of bipolar and psychotic-like experiences in a general population sample (Shevlin et al., 2017). </w:t>
      </w:r>
    </w:p>
    <w:p w14:paraId="23D7F1FC" w14:textId="77777777" w:rsidR="007075D9" w:rsidRPr="004D46AC" w:rsidRDefault="007075D9" w:rsidP="00B518F1">
      <w:pPr>
        <w:pStyle w:val="3"/>
        <w:rPr>
          <w:rFonts w:eastAsiaTheme="minorEastAsia"/>
        </w:rPr>
      </w:pPr>
      <w:r w:rsidRPr="004D46AC">
        <w:t>Research gaps and hypotheses</w:t>
      </w:r>
    </w:p>
    <w:p w14:paraId="2E6B157B" w14:textId="77777777" w:rsidR="007075D9" w:rsidRPr="004D46AC" w:rsidRDefault="007075D9" w:rsidP="00B518F1">
      <w:r w:rsidRPr="004D46AC">
        <w:t xml:space="preserve">Important gaps remain in our understanding of the relationship between schizophrenia and BDS symptoms. Network analysis of symptoms has been restricted to patient samples and their replicability in general population samples is unknown. Moreover, </w:t>
      </w:r>
      <w:r w:rsidRPr="004D46AC">
        <w:lastRenderedPageBreak/>
        <w:t xml:space="preserve">much of the research reviewed above has been cross-sectional, limiting the possibility of whether the relationships between schizophrenia and BDS remain constant over time, or the extent to which mood and psychotic symptoms influence each other longitudinally. Moreover, although environmental stressors and psychological variables are known to influence symptom fluctuation, few studies have assessed their evolving interactions with mood and psychotic symptoms over extended periods. </w:t>
      </w:r>
    </w:p>
    <w:p w14:paraId="5D23EDB8" w14:textId="77777777" w:rsidR="007075D9" w:rsidRPr="004D46AC" w:rsidRDefault="007075D9" w:rsidP="00B518F1">
      <w:r w:rsidRPr="004D46AC">
        <w:t>In the current analyses, we address these gaps by using data from a multi-wave mental health survey conducted with a large, representative sample of the UK population which began during the COVID-19 pandemic (McBride et al., 2020). This survey measured psychotic-like experiences and bipolar symptoms at its 5th and 9</w:t>
      </w:r>
      <w:r w:rsidRPr="004D46AC">
        <w:rPr>
          <w:vertAlign w:val="superscript"/>
        </w:rPr>
        <w:t>th</w:t>
      </w:r>
      <w:r w:rsidRPr="004D46AC">
        <w:t xml:space="preserve"> waves, which were approximately two years apart. Our objectives were threefold: (</w:t>
      </w:r>
      <w:proofErr w:type="spellStart"/>
      <w:r w:rsidRPr="004D46AC">
        <w:t>i</w:t>
      </w:r>
      <w:proofErr w:type="spellEnd"/>
      <w:r w:rsidRPr="004D46AC">
        <w:t>) to characterise and compare the network structure linking depressive symptoms, manic symptoms, and psychotic-like experiences (PLEs) across the two time points; (ii) to test cross-sectional and longitudinal associations among these symptom domains; and (iii) to examine whether these relationships were associated with psychosocial factors, including childhood adversity, attachment style, intolerance of uncertainty, personality traits, and urbanicity.</w:t>
      </w:r>
    </w:p>
    <w:p w14:paraId="4663841C" w14:textId="77777777" w:rsidR="007075D9" w:rsidRPr="004D46AC" w:rsidRDefault="007075D9" w:rsidP="00B518F1">
      <w:r w:rsidRPr="004D46AC">
        <w:t>Our pre-registered hypotheses were as follows:</w:t>
      </w:r>
    </w:p>
    <w:p w14:paraId="72CFFEF6" w14:textId="77777777" w:rsidR="007075D9" w:rsidRPr="004D46AC" w:rsidRDefault="007075D9" w:rsidP="00B518F1">
      <w:r w:rsidRPr="004D46AC">
        <w:t>(</w:t>
      </w:r>
      <w:proofErr w:type="spellStart"/>
      <w:r w:rsidRPr="004D46AC">
        <w:t>i</w:t>
      </w:r>
      <w:proofErr w:type="spellEnd"/>
      <w:r w:rsidRPr="004D46AC">
        <w:t xml:space="preserve">) We expected the relationship between mood symptoms and psychosis symptoms would be stronger between mania and PLEs than between depression and PLEs at each time point (replicating </w:t>
      </w:r>
      <w:r w:rsidRPr="004D46AC">
        <w:fldChar w:fldCharType="begin"/>
      </w:r>
      <w:r w:rsidRPr="004D46AC">
        <w:instrText xml:space="preserve"> ADDIN EN.CITE &lt;EndNote&gt;&lt;Cite AuthorYear="1"&gt;&lt;Author&gt;Shao&lt;/Author&gt;&lt;Year&gt;2024&lt;/Year&gt;&lt;RecNum&gt;757&lt;/RecNum&gt;&lt;DisplayText&gt;Shao et al. (2024)&lt;/DisplayText&gt;&lt;record&gt;&lt;rec-number&gt;757&lt;/rec-number&gt;&lt;foreign-keys&gt;&lt;key app="EN" db-id="aet009sstawa0hewvt3xwf5atffdw2dt02sw" timestamp="1728851689"&gt;757&lt;/key&gt;&lt;/foreign-keys&gt;&lt;ref-type name="Journal Article"&gt;17&lt;/ref-type&gt;&lt;contributors&gt;&lt;authors&gt;&lt;author&gt;Wen Shao &lt;/author&gt;&lt;author&gt;Melanie Simmonds-Buckley&lt;/author&gt;&lt;author&gt;Orestis Zavlis&lt;/author&gt;&lt;author&gt;Richard P Bentall&lt;/author&gt;&lt;/authors&gt;&lt;/contributors&gt;&lt;auth-address&gt;Department of Psychology, University of Sheffield, Sheffield S1 2LT, UK.&amp;#xD;Department of Psychology and Language Sciences, University College London, London WC1E 6BT, UK.&lt;/auth-address&gt;&lt;titles&gt;&lt;title&gt;The Common Structure of the Major Psychoses: More Similarities Than Differences in the Network Structures of Schizophrenia, Schizoaffective Disorder, and Psychotic Bipolar Disorder&lt;/title&gt;&lt;secondary-title&gt;Schizophr Bull&lt;/secondary-title&gt;&lt;/titles&gt;&lt;periodical&gt;&lt;full-title&gt;Schizophr Bull&lt;/full-title&gt;&lt;/periodical&gt;&lt;pages&gt;sbae154&lt;/pages&gt;&lt;edition&gt;20240911&lt;/edition&gt;&lt;keywords&gt;&lt;keyword&gt;bipolar&lt;/keyword&gt;&lt;keyword&gt;network&lt;/keyword&gt;&lt;keyword&gt;psychopathology&lt;/keyword&gt;&lt;keyword&gt;schizoaffective&lt;/keyword&gt;&lt;keyword&gt;schizophrenia&lt;/keyword&gt;&lt;/keywords&gt;&lt;dates&gt;&lt;year&gt;2024&lt;/year&gt;&lt;pub-dates&gt;&lt;date&gt;Sep 11&lt;/date&gt;&lt;/pub-dates&gt;&lt;/dates&gt;&lt;isbn&gt;1745-1701 (Electronic)&amp;#xD;0586-7614 (Linking)&lt;/isbn&gt;&lt;accession-num&gt;39259601&lt;/accession-num&gt;&lt;urls&gt;&lt;related-urls&gt;&lt;url&gt;https://www.ncbi.nlm.nih.gov/pubmed/39259601&lt;/url&gt;&lt;/related-urls&gt;&lt;/urls&gt;&lt;electronic-resource-num&gt;10.1093/schbul/sbae154&lt;/electronic-resource-num&gt;&lt;remote-database-name&gt;Publisher&lt;/remote-database-name&gt;&lt;remote-database-provider&gt;NLM&lt;/remote-database-provider&gt;&lt;access-date&gt;10/13/2024&lt;/access-date&gt;&lt;/record&gt;&lt;/Cite&gt;&lt;/EndNote&gt;</w:instrText>
      </w:r>
      <w:r w:rsidRPr="004D46AC">
        <w:fldChar w:fldCharType="separate"/>
      </w:r>
      <w:r w:rsidRPr="004D46AC">
        <w:rPr>
          <w:noProof/>
        </w:rPr>
        <w:t>Shao et al. (2024)</w:t>
      </w:r>
      <w:r w:rsidRPr="004D46AC">
        <w:fldChar w:fldCharType="end"/>
      </w:r>
      <w:r w:rsidRPr="004D46AC">
        <w:t xml:space="preserve"> clinical findings);</w:t>
      </w:r>
    </w:p>
    <w:p w14:paraId="30750693" w14:textId="77777777" w:rsidR="007075D9" w:rsidRPr="004D46AC" w:rsidRDefault="007075D9" w:rsidP="00B518F1">
      <w:r w:rsidRPr="004D46AC">
        <w:t xml:space="preserve">(ii) We expected that the network structure of mood and PLEs would remain stable over </w:t>
      </w:r>
      <w:proofErr w:type="gramStart"/>
      <w:r w:rsidRPr="004D46AC">
        <w:t>time;</w:t>
      </w:r>
      <w:proofErr w:type="gramEnd"/>
    </w:p>
    <w:p w14:paraId="1489FBC3" w14:textId="77777777" w:rsidR="007075D9" w:rsidRPr="004D46AC" w:rsidRDefault="007075D9" w:rsidP="00B518F1">
      <w:r w:rsidRPr="004D46AC">
        <w:t xml:space="preserve">(iii) We expected that the relationships identified in the regression models between mania, depression, and PLEs would be reciprocal. This hypothesis can be divided into cross-sectional and longitudinal predictions: (a) Cross-sectionally, in survey wave 5 - the first point at which mood symptoms and PLEs were comprehensively assessed - we hypothesised a positive relationship between mania and PLEs, as well as between depression and PLEs, and vice versa; (b) Longitudinally, because clinical studies show that </w:t>
      </w:r>
      <w:r w:rsidRPr="004D46AC">
        <w:lastRenderedPageBreak/>
        <w:t>bipolar diagnoses were often preceded by depressive episodes (</w:t>
      </w:r>
      <w:proofErr w:type="spellStart"/>
      <w:r w:rsidRPr="004D46AC">
        <w:t>Benazzi</w:t>
      </w:r>
      <w:proofErr w:type="spellEnd"/>
      <w:r w:rsidRPr="004D46AC">
        <w:t xml:space="preserve">, 2006), we hypothesised that depression at wave 1 of the survey would positively predict mania at wave 5, and that depression at wave 5 would predict mania at wave 9 after adjusting for mania at wave 5. Mania and depression at wave 5 were expected to positively predict PLEs at wave 9 after adjusting for PLEs at wave 5. Furthermore, PLEs at wave 5 were expected to positively predict both depression and mania at Wave 9 after adjusting for mood psychopathology at wave </w:t>
      </w:r>
      <w:proofErr w:type="gramStart"/>
      <w:r w:rsidRPr="004D46AC">
        <w:t>5;</w:t>
      </w:r>
      <w:proofErr w:type="gramEnd"/>
      <w:r w:rsidRPr="004D46AC">
        <w:t xml:space="preserve"> </w:t>
      </w:r>
    </w:p>
    <w:p w14:paraId="0C8C30D3" w14:textId="77777777" w:rsidR="007075D9" w:rsidRPr="004D46AC" w:rsidRDefault="007075D9" w:rsidP="00B518F1">
      <w:r w:rsidRPr="004D46AC">
        <w:t xml:space="preserve">(iv) Based on past psychological research, we expect that insecure attachment styles would positively predict all psychopathologies at wave 9. With respect to personality, we expect that, at waves 5 and 9, neuroticism and openness to experience would predict both mood symptoms and PLEs, whereas extraversion would be positively associated with mania but negatively associated with depression. Intolerance of uncertainty was hypothesised to be positively associated with depression and PLEs but negatively associated with mania at both waves as </w:t>
      </w:r>
      <w:proofErr w:type="spellStart"/>
      <w:r w:rsidRPr="004D46AC">
        <w:t>IoU</w:t>
      </w:r>
      <w:proofErr w:type="spellEnd"/>
      <w:r w:rsidRPr="004D46AC">
        <w:t xml:space="preserve"> reflects a ‘fear of the unknown’ and promotes cautious, avoidant responding </w:t>
      </w:r>
      <w:r w:rsidRPr="004D46AC">
        <w:fldChar w:fldCharType="begin"/>
      </w:r>
      <w:r w:rsidRPr="004D46AC">
        <w:instrText xml:space="preserve"> ADDIN EN.CITE &lt;EndNote&gt;&lt;Cite&gt;&lt;Author&gt;Carleton&lt;/Author&gt;&lt;Year&gt;2016&lt;/Year&gt;&lt;RecNum&gt;1263&lt;/RecNum&gt;&lt;DisplayText&gt;(Carleton, 2016)&lt;/DisplayText&gt;&lt;record&gt;&lt;rec-number&gt;1263&lt;/rec-number&gt;&lt;foreign-keys&gt;&lt;key app="EN" db-id="aet009sstawa0hewvt3xwf5atffdw2dt02sw" timestamp="1761547787"&gt;1263&lt;/key&gt;&lt;/foreign-keys&gt;&lt;ref-type name="Journal Article"&gt;17&lt;/ref-type&gt;&lt;contributors&gt;&lt;authors&gt;&lt;author&gt;Carleton, R. Nicholas&lt;/author&gt;&lt;/authors&gt;&lt;/contributors&gt;&lt;titles&gt;&lt;title&gt;Fear of the unknown: One fear to rule them all?&lt;/title&gt;&lt;secondary-title&gt;Journal of Anxiety Disorders&lt;/secondary-title&gt;&lt;/titles&gt;&lt;periodical&gt;&lt;full-title&gt;Journal of Anxiety Disorders&lt;/full-title&gt;&lt;/periodical&gt;&lt;pages&gt;5-21&lt;/pages&gt;&lt;volume&gt;41&lt;/volume&gt;&lt;keywords&gt;&lt;keyword&gt;Fear of the unknown&lt;/keyword&gt;&lt;keyword&gt;Intolerance of uncertainty&lt;/keyword&gt;&lt;keyword&gt;Anxiety&lt;/keyword&gt;&lt;keyword&gt;Neuroticism&lt;/keyword&gt;&lt;keyword&gt;Fundamental fears&lt;/keyword&gt;&lt;/keywords&gt;&lt;dates&gt;&lt;year&gt;2016&lt;/year&gt;&lt;pub-dates&gt;&lt;date&gt;2016/06/01/&lt;/date&gt;&lt;/pub-dates&gt;&lt;/dates&gt;&lt;isbn&gt;0887-6185&lt;/isbn&gt;&lt;urls&gt;&lt;related-urls&gt;&lt;url&gt;https://www.sciencedirect.com/science/article/pii/S0887618516300469&lt;/url&gt;&lt;/related-urls&gt;&lt;/urls&gt;&lt;electronic-resource-num&gt;https://doi.org/10.1016/j.janxdis.2016.03.011&lt;/electronic-resource-num&gt;&lt;/record&gt;&lt;/Cite&gt;&lt;/EndNote&gt;</w:instrText>
      </w:r>
      <w:r w:rsidRPr="004D46AC">
        <w:fldChar w:fldCharType="separate"/>
      </w:r>
      <w:r w:rsidRPr="004D46AC">
        <w:rPr>
          <w:noProof/>
        </w:rPr>
        <w:t>(Carleton, 2016)</w:t>
      </w:r>
      <w:r w:rsidRPr="004D46AC">
        <w:fldChar w:fldCharType="end"/>
      </w:r>
      <w:r w:rsidRPr="004D46AC">
        <w:t xml:space="preserve">, whereas manic states involve elevated impulsivity, novelty-seeking and risk-taking </w:t>
      </w:r>
      <w:r w:rsidRPr="004D46AC">
        <w:fldChar w:fldCharType="begin"/>
      </w:r>
      <w:r w:rsidRPr="004D46AC">
        <w:instrText xml:space="preserve"> ADDIN EN.CITE &lt;EndNote&gt;&lt;Cite&gt;&lt;Author&gt;American Psychiatric Association&lt;/Author&gt;&lt;Year&gt;2022&lt;/Year&gt;&lt;RecNum&gt;340&lt;/RecNum&gt;&lt;DisplayText&gt;(American Psychiatric Association, 2022)&lt;/DisplayText&gt;&lt;record&gt;&lt;rec-number&gt;340&lt;/rec-number&gt;&lt;foreign-keys&gt;&lt;key app="EN" db-id="aet009sstawa0hewvt3xwf5atffdw2dt02sw" timestamp="1683987184"&gt;340&lt;/key&gt;&lt;/foreign-keys&gt;&lt;ref-type name="Book"&gt;6&lt;/ref-type&gt;&lt;contributors&gt;&lt;authors&gt;&lt;author&gt;American Psychiatric Association, issuing body&lt;/author&gt;&lt;/authors&gt;&lt;/contributors&gt;&lt;titles&gt;&lt;title&gt;Diagnostic and statistical manual of mental disorders : DSM-5-TR&lt;/title&gt;&lt;secondary-title&gt;DSM-5-TR&lt;/secondary-title&gt;&lt;/titles&gt;&lt;edition&gt;5th edition, text revision.&lt;/edition&gt;&lt;keywords&gt;&lt;keyword&gt;Mental illness -- Classification&lt;/keyword&gt;&lt;keyword&gt;Mental illness -- Diagnosis&lt;/keyword&gt;&lt;keyword&gt;Nosology&lt;/keyword&gt;&lt;keyword&gt;Psychodiagnostics&lt;/keyword&gt;&lt;keyword&gt;Diagnostic and statistical manual of mental disorders. 5th ed&lt;/keyword&gt;&lt;keyword&gt;DSM-5&lt;/keyword&gt;&lt;keyword&gt;DSM-V&lt;/keyword&gt;&lt;/keywords&gt;&lt;dates&gt;&lt;year&gt;2022&lt;/year&gt;&lt;/dates&gt;&lt;pub-location&gt;Washington, DC&lt;/pub-location&gt;&lt;publisher&gt;Washington, DC : American Psychiatric Association Publishing, 2022&lt;/publisher&gt;&lt;isbn&gt;0-89042-578-7&lt;/isbn&gt;&lt;urls&gt;&lt;/urls&gt;&lt;/record&gt;&lt;/Cite&gt;&lt;/EndNote&gt;</w:instrText>
      </w:r>
      <w:r w:rsidRPr="004D46AC">
        <w:fldChar w:fldCharType="separate"/>
      </w:r>
      <w:r w:rsidRPr="004D46AC">
        <w:rPr>
          <w:noProof/>
        </w:rPr>
        <w:t>(American Psychiatric Association, 2022)</w:t>
      </w:r>
      <w:r w:rsidRPr="004D46AC">
        <w:fldChar w:fldCharType="end"/>
      </w:r>
      <w:r w:rsidRPr="004D46AC">
        <w:t xml:space="preserve">. Finally, with respect to social determinants, adverse childhood experiences and urbanicity were expected to be positively associated with all psychopathologies at both waves. </w:t>
      </w:r>
    </w:p>
    <w:p w14:paraId="7939BEFA" w14:textId="77777777" w:rsidR="007075D9" w:rsidRPr="004D46AC" w:rsidRDefault="007075D9" w:rsidP="00B518F1"/>
    <w:p w14:paraId="37608318" w14:textId="77777777" w:rsidR="007075D9" w:rsidRPr="004D46AC" w:rsidRDefault="007075D9" w:rsidP="00B518F1"/>
    <w:p w14:paraId="0C91F661" w14:textId="77777777" w:rsidR="007075D9" w:rsidRPr="004D46AC" w:rsidRDefault="007075D9" w:rsidP="00B518F1"/>
    <w:p w14:paraId="56A5A5BA" w14:textId="77777777" w:rsidR="007075D9" w:rsidRPr="004D46AC" w:rsidRDefault="007075D9" w:rsidP="00B518F1"/>
    <w:p w14:paraId="2BD3BD25" w14:textId="77777777" w:rsidR="007075D9" w:rsidRPr="004D46AC" w:rsidRDefault="007075D9" w:rsidP="00B518F1"/>
    <w:p w14:paraId="750BEF7B" w14:textId="77777777" w:rsidR="007075D9" w:rsidRPr="004D46AC" w:rsidRDefault="007075D9" w:rsidP="00B518F1"/>
    <w:p w14:paraId="65EF46FB" w14:textId="77777777" w:rsidR="007075D9" w:rsidRPr="004D46AC" w:rsidRDefault="007075D9" w:rsidP="00B518F1"/>
    <w:p w14:paraId="2782EA6B" w14:textId="77777777" w:rsidR="007075D9" w:rsidRPr="004D46AC" w:rsidRDefault="007075D9" w:rsidP="00B518F1"/>
    <w:p w14:paraId="6467DF8A" w14:textId="77777777" w:rsidR="007075D9" w:rsidRPr="004D46AC" w:rsidRDefault="007075D9" w:rsidP="00B518F1"/>
    <w:p w14:paraId="7FF794B5" w14:textId="77777777" w:rsidR="007075D9" w:rsidRPr="004D46AC" w:rsidRDefault="007075D9" w:rsidP="00B518F1">
      <w:pPr>
        <w:ind w:firstLine="0"/>
        <w:rPr>
          <w:rFonts w:eastAsiaTheme="minorEastAsia"/>
        </w:rPr>
      </w:pPr>
    </w:p>
    <w:p w14:paraId="5810F351" w14:textId="77777777" w:rsidR="007075D9" w:rsidRPr="004D46AC" w:rsidRDefault="007075D9" w:rsidP="00B518F1">
      <w:pPr>
        <w:pStyle w:val="2"/>
        <w:rPr>
          <w:rFonts w:eastAsiaTheme="minorEastAsia"/>
        </w:rPr>
      </w:pPr>
      <w:bookmarkStart w:id="140" w:name="_Toc219888776"/>
      <w:r w:rsidRPr="004D46AC">
        <w:lastRenderedPageBreak/>
        <w:t>Methods</w:t>
      </w:r>
      <w:bookmarkEnd w:id="140"/>
    </w:p>
    <w:p w14:paraId="1D53452B" w14:textId="77777777" w:rsidR="007075D9" w:rsidRPr="004D46AC" w:rsidRDefault="007075D9" w:rsidP="00B518F1">
      <w:pPr>
        <w:pStyle w:val="3"/>
        <w:rPr>
          <w:rFonts w:eastAsiaTheme="minorEastAsia"/>
        </w:rPr>
      </w:pPr>
      <w:r w:rsidRPr="004D46AC">
        <w:t>Transparency and Openness</w:t>
      </w:r>
    </w:p>
    <w:p w14:paraId="1E9134D3" w14:textId="77777777" w:rsidR="007075D9" w:rsidRPr="004D46AC" w:rsidRDefault="007075D9" w:rsidP="00B518F1">
      <w:r w:rsidRPr="004D46AC">
        <w:t>The study hypotheses were preregistered on the Open Science Framework (OSF; https://osf.io/kb5eh). The data are publicly available upon reasonable request (https://osf.io/v2zur/overview). Code for the completion of all analyses is available on this site (</w:t>
      </w:r>
      <w:hyperlink r:id="rId364" w:history="1">
        <w:r w:rsidRPr="004D46AC">
          <w:rPr>
            <w:rStyle w:val="af5"/>
          </w:rPr>
          <w:t>https://osf.io/wy2z9/overview</w:t>
        </w:r>
      </w:hyperlink>
      <w:r w:rsidRPr="004D46AC">
        <w:t>).</w:t>
      </w:r>
      <w:r w:rsidRPr="004D46AC">
        <w:rPr>
          <w:rFonts w:hint="eastAsia"/>
        </w:rPr>
        <w:t xml:space="preserve"> </w:t>
      </w:r>
      <w:r w:rsidRPr="004D46AC">
        <w:t xml:space="preserve">This study was conducted in accordance with the ethical standards of the University of Sheffield Research Ethics Committee and the 1964 Helsinki Declaration and its later amendments. All participants provided informed consent prior to participation, following procedures previously described in </w:t>
      </w:r>
      <w:r w:rsidRPr="004D46AC">
        <w:fldChar w:fldCharType="begin"/>
      </w:r>
      <w:r w:rsidRPr="004D46AC">
        <w:instrText xml:space="preserve"> ADDIN EN.CITE &lt;EndNote&gt;&lt;Cite&gt;&lt;Author&gt;McBride&lt;/Author&gt;&lt;Year&gt;2021&lt;/Year&gt;&lt;RecNum&gt;1238&lt;/RecNum&gt;&lt;DisplayText&gt;(McBride et al., 2021)&lt;/DisplayText&gt;&lt;record&gt;&lt;rec-number&gt;1238&lt;/rec-number&gt;&lt;foreign-keys&gt;&lt;key app="EN" db-id="aet009sstawa0hewvt3xwf5atffdw2dt02sw" timestamp="1758802804"&gt;1238&lt;/key&gt;&lt;/foreign-keys&gt;&lt;ref-type name="Journal Article"&gt;17&lt;/ref-type&gt;&lt;contributors&gt;&lt;authors&gt;&lt;author&gt;McBride, Orla&lt;/author&gt;&lt;author&gt;Murphy, Jamie&lt;/author&gt;&lt;author&gt;Shevlin, Mark&lt;/author&gt;&lt;author&gt;Gibson-Miller, Jilly&lt;/author&gt;&lt;author&gt;Hartman, Todd K.&lt;/author&gt;&lt;author&gt;Hyland, Philip&lt;/author&gt;&lt;author&gt;Levita, Liat&lt;/author&gt;&lt;author&gt;Mason, Liam&lt;/author&gt;&lt;author&gt;Martinez, Anton P.&lt;/author&gt;&lt;author&gt;McKay, Ryan&lt;/author&gt;&lt;author&gt;Stocks, Thomas V. A.&lt;/author&gt;&lt;author&gt;Bennett, Kate M.&lt;/author&gt;&lt;author&gt;Vallières, Frédérique&lt;/author&gt;&lt;author&gt;Karatzias, Thanos&lt;/author&gt;&lt;author&gt;Valiente, Carmen&lt;/author&gt;&lt;author&gt;Vazquez, Carmelo&lt;/author&gt;&lt;author&gt;Bentall, Richard P.&lt;/author&gt;&lt;/authors&gt;&lt;/contributors&gt;&lt;titles&gt;&lt;title&gt;Monitoring the psychological, social, and economic impact of the COVID-19 pandemic in the population: Context, design and conduct of the longitudinal COVID-19 psychological research consortium (C19PRC) study&lt;/title&gt;&lt;secondary-title&gt;International Journal of Methods in Psychiatric Research&lt;/secondary-title&gt;&lt;/titles&gt;&lt;periodical&gt;&lt;full-title&gt;International journal of methods in psychiatric research&lt;/full-title&gt;&lt;/periodical&gt;&lt;pages&gt;e1861&lt;/pages&gt;&lt;volume&gt;30&lt;/volume&gt;&lt;number&gt;1&lt;/number&gt;&lt;keywords&gt;&lt;keyword&gt;COVID-19&lt;/keyword&gt;&lt;keyword&gt;general population&lt;/keyword&gt;&lt;keyword&gt;longitudinal&lt;/keyword&gt;&lt;keyword&gt;psychological&lt;/keyword&gt;&lt;keyword&gt;survey methodology&lt;/keyword&gt;&lt;/keywords&gt;&lt;dates&gt;&lt;year&gt;2021&lt;/year&gt;&lt;pub-dates&gt;&lt;date&gt;2021/03/01&lt;/date&gt;&lt;/pub-dates&gt;&lt;/dates&gt;&lt;publisher&gt;John Wiley &amp;amp; Sons, Ltd&lt;/publisher&gt;&lt;isbn&gt;1049-8931&lt;/isbn&gt;&lt;urls&gt;&lt;related-urls&gt;&lt;url&gt;https://doi.org/10.1002/mpr.1861&lt;/url&gt;&lt;/related-urls&gt;&lt;/urls&gt;&lt;electronic-resource-num&gt;https://doi.org/10.1002/mpr.1861&lt;/electronic-resource-num&gt;&lt;access-date&gt;2025/09/25&lt;/access-date&gt;&lt;/record&gt;&lt;/Cite&gt;&lt;/EndNote&gt;</w:instrText>
      </w:r>
      <w:r w:rsidRPr="004D46AC">
        <w:fldChar w:fldCharType="separate"/>
      </w:r>
      <w:r w:rsidRPr="004D46AC">
        <w:rPr>
          <w:noProof/>
        </w:rPr>
        <w:t>(McBride et al., 2021)</w:t>
      </w:r>
      <w:r w:rsidRPr="004D46AC">
        <w:fldChar w:fldCharType="end"/>
      </w:r>
      <w:r w:rsidRPr="004D46AC">
        <w:t>. The research protocol was approved by the University of Sheffield Ethics Committee (Reference Number 033759), and participant confidentiality and data security were maintained throughout the study.</w:t>
      </w:r>
    </w:p>
    <w:p w14:paraId="43A450F4" w14:textId="77777777" w:rsidR="007075D9" w:rsidRPr="004D46AC" w:rsidRDefault="007075D9" w:rsidP="00B518F1">
      <w:pPr>
        <w:pStyle w:val="3"/>
      </w:pPr>
      <w:r w:rsidRPr="004D46AC">
        <w:t xml:space="preserve">Participants </w:t>
      </w:r>
    </w:p>
    <w:p w14:paraId="11C2735D" w14:textId="77777777" w:rsidR="007075D9" w:rsidRPr="004D46AC" w:rsidRDefault="007075D9" w:rsidP="00B518F1">
      <w:r w:rsidRPr="004D46AC">
        <w:t xml:space="preserve">The analyses were based on data obtained by the COVID-19 Psychological Research Consortium (C19PRC), a longitudinal panel study conducted between 2020 and 2023 </w:t>
      </w:r>
      <w:r w:rsidRPr="004D46AC">
        <w:fldChar w:fldCharType="begin"/>
      </w:r>
      <w:r w:rsidRPr="004D46AC">
        <w:instrText xml:space="preserve"> ADDIN EN.CITE &lt;EndNote&gt;&lt;Cite&gt;&lt;Author&gt;McBride&lt;/Author&gt;&lt;Year&gt;2021&lt;/Year&gt;&lt;RecNum&gt;1238&lt;/RecNum&gt;&lt;DisplayText&gt;(McBride et al., 2021)&lt;/DisplayText&gt;&lt;record&gt;&lt;rec-number&gt;1238&lt;/rec-number&gt;&lt;foreign-keys&gt;&lt;key app="EN" db-id="aet009sstawa0hewvt3xwf5atffdw2dt02sw" timestamp="1758802804"&gt;1238&lt;/key&gt;&lt;/foreign-keys&gt;&lt;ref-type name="Journal Article"&gt;17&lt;/ref-type&gt;&lt;contributors&gt;&lt;authors&gt;&lt;author&gt;McBride, Orla&lt;/author&gt;&lt;author&gt;Murphy, Jamie&lt;/author&gt;&lt;author&gt;Shevlin, Mark&lt;/author&gt;&lt;author&gt;Gibson-Miller, Jilly&lt;/author&gt;&lt;author&gt;Hartman, Todd K.&lt;/author&gt;&lt;author&gt;Hyland, Philip&lt;/author&gt;&lt;author&gt;Levita, Liat&lt;/author&gt;&lt;author&gt;Mason, Liam&lt;/author&gt;&lt;author&gt;Martinez, Anton P.&lt;/author&gt;&lt;author&gt;McKay, Ryan&lt;/author&gt;&lt;author&gt;Stocks, Thomas V. A.&lt;/author&gt;&lt;author&gt;Bennett, Kate M.&lt;/author&gt;&lt;author&gt;Vallières, Frédérique&lt;/author&gt;&lt;author&gt;Karatzias, Thanos&lt;/author&gt;&lt;author&gt;Valiente, Carmen&lt;/author&gt;&lt;author&gt;Vazquez, Carmelo&lt;/author&gt;&lt;author&gt;Bentall, Richard P.&lt;/author&gt;&lt;/authors&gt;&lt;/contributors&gt;&lt;titles&gt;&lt;title&gt;Monitoring the psychological, social, and economic impact of the COVID-19 pandemic in the population: Context, design and conduct of the longitudinal COVID-19 psychological research consortium (C19PRC) study&lt;/title&gt;&lt;secondary-title&gt;International Journal of Methods in Psychiatric Research&lt;/secondary-title&gt;&lt;/titles&gt;&lt;periodical&gt;&lt;full-title&gt;International journal of methods in psychiatric research&lt;/full-title&gt;&lt;/periodical&gt;&lt;pages&gt;e1861&lt;/pages&gt;&lt;volume&gt;30&lt;/volume&gt;&lt;number&gt;1&lt;/number&gt;&lt;keywords&gt;&lt;keyword&gt;COVID-19&lt;/keyword&gt;&lt;keyword&gt;general population&lt;/keyword&gt;&lt;keyword&gt;longitudinal&lt;/keyword&gt;&lt;keyword&gt;psychological&lt;/keyword&gt;&lt;keyword&gt;survey methodology&lt;/keyword&gt;&lt;/keywords&gt;&lt;dates&gt;&lt;year&gt;2021&lt;/year&gt;&lt;pub-dates&gt;&lt;date&gt;2021/03/01&lt;/date&gt;&lt;/pub-dates&gt;&lt;/dates&gt;&lt;publisher&gt;John Wiley &amp;amp; Sons, Ltd&lt;/publisher&gt;&lt;isbn&gt;1049-8931&lt;/isbn&gt;&lt;urls&gt;&lt;related-urls&gt;&lt;url&gt;https://doi.org/10.1002/mpr.1861&lt;/url&gt;&lt;/related-urls&gt;&lt;/urls&gt;&lt;electronic-resource-num&gt;https://doi.org/10.1002/mpr.1861&lt;/electronic-resource-num&gt;&lt;access-date&gt;2025/09/25&lt;/access-date&gt;&lt;/record&gt;&lt;/Cite&gt;&lt;/EndNote&gt;</w:instrText>
      </w:r>
      <w:r w:rsidRPr="004D46AC">
        <w:fldChar w:fldCharType="separate"/>
      </w:r>
      <w:r w:rsidRPr="004D46AC">
        <w:rPr>
          <w:noProof/>
        </w:rPr>
        <w:t>(McBride et al., 2021)</w:t>
      </w:r>
      <w:r w:rsidRPr="004D46AC">
        <w:fldChar w:fldCharType="end"/>
      </w:r>
      <w:r w:rsidRPr="004D46AC">
        <w:t xml:space="preserve">. </w:t>
      </w:r>
      <w:r w:rsidRPr="004D46AC">
        <w:rPr>
          <w:rFonts w:eastAsia="SimSun"/>
          <w:kern w:val="0"/>
          <w14:ligatures w14:val="none"/>
        </w:rPr>
        <w:t>The study comprised nine waves of assessments</w:t>
      </w:r>
      <w:r w:rsidRPr="004D46AC">
        <w:t>, with the first wave recruiting 2,025 participants beginning on the first day of the UK lockdown on March 23</w:t>
      </w:r>
      <w:r w:rsidRPr="004D46AC">
        <w:rPr>
          <w:vertAlign w:val="superscript"/>
        </w:rPr>
        <w:t>rd</w:t>
      </w:r>
      <w:proofErr w:type="gramStart"/>
      <w:r w:rsidRPr="004D46AC">
        <w:t xml:space="preserve"> 2020</w:t>
      </w:r>
      <w:proofErr w:type="gramEnd"/>
      <w:r w:rsidRPr="004D46AC">
        <w:t xml:space="preserve">. In subsequent waves, all participants from previous waves were invited to take part and, from wave 3 onwards, additional participants were recruited to replace dropouts </w:t>
      </w:r>
      <w:proofErr w:type="gramStart"/>
      <w:r w:rsidRPr="004D46AC">
        <w:t>in order to</w:t>
      </w:r>
      <w:proofErr w:type="gramEnd"/>
      <w:r w:rsidRPr="004D46AC">
        <w:t xml:space="preserve"> meet the required sample. Qualtrics recruited the participants, aiming for a quota sample stratified by age, sex, and household income to reflect the UK population at each wave. In this study, our measures of PLEs and bipolar symptoms were available only</w:t>
      </w:r>
      <w:bookmarkStart w:id="141" w:name="OLE_LINK65"/>
      <w:r w:rsidRPr="004D46AC">
        <w:t xml:space="preserve"> at waves 5 </w:t>
      </w:r>
      <w:r w:rsidRPr="004D46AC">
        <w:rPr>
          <w:rFonts w:hint="eastAsia"/>
        </w:rPr>
        <w:t>(</w:t>
      </w:r>
      <w:r w:rsidRPr="004D46AC">
        <w:rPr>
          <w:rFonts w:eastAsia="SimSun"/>
          <w:color w:val="263947"/>
          <w:kern w:val="0"/>
          <w14:ligatures w14:val="none"/>
        </w:rPr>
        <w:t>March-April 2021</w:t>
      </w:r>
      <w:r w:rsidRPr="004D46AC">
        <w:t>) and 9 (</w:t>
      </w:r>
      <w:r w:rsidRPr="004D46AC">
        <w:rPr>
          <w:rFonts w:eastAsia="SimSun"/>
          <w:color w:val="263947"/>
          <w:kern w:val="0"/>
          <w14:ligatures w14:val="none"/>
        </w:rPr>
        <w:t>March-August 2023</w:t>
      </w:r>
      <w:r w:rsidRPr="004D46AC">
        <w:t>),</w:t>
      </w:r>
      <w:bookmarkEnd w:id="141"/>
      <w:r w:rsidRPr="004D46AC">
        <w:t xml:space="preserve"> but we also used data on trait-like and environmental variables from wave 1 (intolerance of uncertainty, personality, and urbanicity, collected March 2020) and from wave 6 (attachment styles, </w:t>
      </w:r>
      <w:r w:rsidRPr="004D46AC">
        <w:rPr>
          <w:rFonts w:eastAsia="SimSun"/>
          <w:color w:val="263947"/>
          <w:kern w:val="0"/>
          <w:lang w:val="en-US"/>
          <w14:ligatures w14:val="none"/>
        </w:rPr>
        <w:t>August-September 2021</w:t>
      </w:r>
      <w:r w:rsidRPr="004D46AC">
        <w:t>).</w:t>
      </w:r>
    </w:p>
    <w:p w14:paraId="38973AD6" w14:textId="3C7192AA" w:rsidR="007075D9" w:rsidRPr="004D46AC" w:rsidRDefault="007075D9" w:rsidP="00705E90">
      <w:pPr>
        <w:rPr>
          <w:rFonts w:eastAsiaTheme="minorEastAsia"/>
        </w:rPr>
      </w:pPr>
      <w:r w:rsidRPr="004D46AC">
        <w:t>In total, the wave 5 dataset comprised 2,377 participants, with a mean age of 51.72 years (</w:t>
      </w:r>
      <w:r w:rsidRPr="004D46AC">
        <w:rPr>
          <w:i/>
          <w:iCs/>
        </w:rPr>
        <w:t>SD</w:t>
      </w:r>
      <w:r w:rsidRPr="004D46AC">
        <w:t xml:space="preserve"> = 14.98). The gender distribution was approximately balanced, with females </w:t>
      </w:r>
      <w:r w:rsidRPr="004D46AC">
        <w:lastRenderedPageBreak/>
        <w:t xml:space="preserve">accounting for 49.62% of the sample. Of these participants, 1,285 also completed the survey at wave 9. Detailed demographic data are shown in Table </w:t>
      </w:r>
      <w:r w:rsidRPr="004D46AC">
        <w:rPr>
          <w:rFonts w:hint="eastAsia"/>
        </w:rPr>
        <w:t>4.1</w:t>
      </w:r>
      <w:r w:rsidRPr="004D46AC">
        <w:t>.</w:t>
      </w:r>
      <w:r w:rsidRPr="004D46AC">
        <w:rPr>
          <w:rFonts w:hint="eastAsia"/>
        </w:rPr>
        <w:t xml:space="preserve"> </w:t>
      </w:r>
      <w:r w:rsidRPr="004D46AC">
        <w:t xml:space="preserve">The distribution of the ethnicity among the participants is detailed in Figure </w:t>
      </w:r>
      <w:r w:rsidRPr="004D46AC">
        <w:rPr>
          <w:rFonts w:hint="eastAsia"/>
        </w:rPr>
        <w:t>D</w:t>
      </w:r>
      <w:r w:rsidR="00904541" w:rsidRPr="004D46AC">
        <w:rPr>
          <w:rFonts w:eastAsiaTheme="minorEastAsia" w:hint="eastAsia"/>
        </w:rPr>
        <w:t xml:space="preserve"> 1</w:t>
      </w:r>
      <w:r w:rsidRPr="004D46AC">
        <w:t>.</w:t>
      </w:r>
    </w:p>
    <w:p w14:paraId="67BFD6AD" w14:textId="77777777" w:rsidR="00CC3324" w:rsidRPr="004D46AC" w:rsidRDefault="00CC3324" w:rsidP="00705E90">
      <w:pPr>
        <w:rPr>
          <w:rFonts w:eastAsiaTheme="minorEastAsia"/>
        </w:rPr>
      </w:pPr>
    </w:p>
    <w:p w14:paraId="3DDFDA55" w14:textId="4F1D91BD" w:rsidR="005B3793" w:rsidRPr="004D46AC" w:rsidRDefault="00515479" w:rsidP="005B3793">
      <w:pPr>
        <w:pStyle w:val="afff0"/>
        <w:spacing w:after="0" w:line="360" w:lineRule="auto"/>
        <w:ind w:firstLine="0"/>
        <w:rPr>
          <w:rFonts w:eastAsiaTheme="minorEastAsia"/>
          <w:b/>
          <w:bCs/>
          <w:i w:val="0"/>
          <w:iCs w:val="0"/>
          <w:color w:val="auto"/>
          <w:sz w:val="22"/>
          <w:szCs w:val="22"/>
        </w:rPr>
      </w:pPr>
      <w:bookmarkStart w:id="142" w:name="_Toc219883861"/>
      <w:bookmarkStart w:id="143" w:name="_Toc219870613"/>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4</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142"/>
      <w:r w:rsidR="004725A0" w:rsidRPr="004D46AC">
        <w:rPr>
          <w:b/>
          <w:bCs/>
          <w:i w:val="0"/>
          <w:iCs w:val="0"/>
          <w:color w:val="auto"/>
          <w:sz w:val="22"/>
          <w:szCs w:val="22"/>
        </w:rPr>
        <w:fldChar w:fldCharType="end"/>
      </w:r>
      <w:bookmarkEnd w:id="143"/>
    </w:p>
    <w:p w14:paraId="7E979DCD" w14:textId="35775B28" w:rsidR="007075D9" w:rsidRPr="004D46AC" w:rsidRDefault="007075D9" w:rsidP="005B3793">
      <w:pPr>
        <w:pStyle w:val="afff0"/>
        <w:spacing w:after="0" w:line="360" w:lineRule="auto"/>
        <w:ind w:firstLine="0"/>
        <w:rPr>
          <w:rFonts w:eastAsiaTheme="minorEastAsia"/>
          <w:b/>
          <w:bCs/>
          <w:i w:val="0"/>
          <w:iCs w:val="0"/>
          <w:color w:val="auto"/>
          <w:sz w:val="22"/>
          <w:szCs w:val="22"/>
        </w:rPr>
      </w:pPr>
      <w:r w:rsidRPr="004D46AC">
        <w:rPr>
          <w:color w:val="auto"/>
          <w:sz w:val="22"/>
          <w:szCs w:val="22"/>
        </w:rPr>
        <w:t xml:space="preserve">Descriptive </w:t>
      </w:r>
      <w:r w:rsidR="00D70BAE" w:rsidRPr="004D46AC">
        <w:rPr>
          <w:rFonts w:eastAsiaTheme="minorEastAsia" w:hint="eastAsia"/>
          <w:color w:val="auto"/>
          <w:sz w:val="22"/>
          <w:szCs w:val="22"/>
        </w:rPr>
        <w:t>s</w:t>
      </w:r>
      <w:r w:rsidRPr="004D46AC">
        <w:rPr>
          <w:color w:val="auto"/>
          <w:sz w:val="22"/>
          <w:szCs w:val="22"/>
        </w:rPr>
        <w:t xml:space="preserve">tatistics of </w:t>
      </w:r>
      <w:r w:rsidR="00D70BAE" w:rsidRPr="004D46AC">
        <w:rPr>
          <w:rFonts w:eastAsiaTheme="minorEastAsia" w:hint="eastAsia"/>
          <w:color w:val="auto"/>
          <w:sz w:val="22"/>
          <w:szCs w:val="22"/>
        </w:rPr>
        <w:t>p</w:t>
      </w:r>
      <w:r w:rsidRPr="004D46AC">
        <w:rPr>
          <w:color w:val="auto"/>
          <w:sz w:val="22"/>
          <w:szCs w:val="22"/>
        </w:rPr>
        <w:t xml:space="preserve">rimary and </w:t>
      </w:r>
      <w:r w:rsidR="00D70BAE" w:rsidRPr="004D46AC">
        <w:rPr>
          <w:rFonts w:eastAsiaTheme="minorEastAsia" w:hint="eastAsia"/>
          <w:color w:val="auto"/>
          <w:sz w:val="22"/>
          <w:szCs w:val="22"/>
        </w:rPr>
        <w:t>s</w:t>
      </w:r>
      <w:r w:rsidRPr="004D46AC">
        <w:rPr>
          <w:color w:val="auto"/>
          <w:sz w:val="22"/>
          <w:szCs w:val="22"/>
        </w:rPr>
        <w:t xml:space="preserve">econdary </w:t>
      </w:r>
      <w:r w:rsidR="00D70BAE" w:rsidRPr="004D46AC">
        <w:rPr>
          <w:rFonts w:eastAsiaTheme="minorEastAsia" w:hint="eastAsia"/>
          <w:color w:val="auto"/>
          <w:sz w:val="22"/>
          <w:szCs w:val="22"/>
        </w:rPr>
        <w:t>m</w:t>
      </w:r>
      <w:r w:rsidRPr="004D46AC">
        <w:rPr>
          <w:color w:val="auto"/>
          <w:sz w:val="22"/>
          <w:szCs w:val="22"/>
        </w:rPr>
        <w:t>easures</w:t>
      </w:r>
    </w:p>
    <w:tbl>
      <w:tblPr>
        <w:tblStyle w:val="afc"/>
        <w:tblW w:w="0" w:type="auto"/>
        <w:tblLook w:val="04A0" w:firstRow="1" w:lastRow="0" w:firstColumn="1" w:lastColumn="0" w:noHBand="0" w:noVBand="1"/>
      </w:tblPr>
      <w:tblGrid>
        <w:gridCol w:w="3157"/>
        <w:gridCol w:w="2508"/>
        <w:gridCol w:w="2631"/>
      </w:tblGrid>
      <w:tr w:rsidR="007075D9" w:rsidRPr="004D46AC" w14:paraId="1F0E3CB1" w14:textId="77777777" w:rsidTr="00B518F1">
        <w:tc>
          <w:tcPr>
            <w:tcW w:w="3157" w:type="dxa"/>
          </w:tcPr>
          <w:p w14:paraId="198DAC8C" w14:textId="77777777" w:rsidR="007075D9" w:rsidRPr="004D46AC" w:rsidRDefault="007075D9" w:rsidP="00705E90">
            <w:pPr>
              <w:spacing w:line="360" w:lineRule="auto"/>
              <w:ind w:firstLine="0"/>
            </w:pPr>
            <w:bookmarkStart w:id="144" w:name="_Toc219857550"/>
            <w:r w:rsidRPr="004D46AC">
              <w:t>Variables (DVs/IVs/COs)</w:t>
            </w:r>
            <w:bookmarkEnd w:id="144"/>
          </w:p>
        </w:tc>
        <w:tc>
          <w:tcPr>
            <w:tcW w:w="2508" w:type="dxa"/>
          </w:tcPr>
          <w:p w14:paraId="6B214010" w14:textId="77777777" w:rsidR="007075D9" w:rsidRPr="004D46AC" w:rsidRDefault="007075D9" w:rsidP="00705E90">
            <w:pPr>
              <w:spacing w:line="360" w:lineRule="auto"/>
              <w:ind w:firstLine="0"/>
            </w:pPr>
            <w:bookmarkStart w:id="145" w:name="_Toc219857551"/>
            <w:r w:rsidRPr="004D46AC">
              <w:t>Wave 5</w:t>
            </w:r>
            <w:bookmarkEnd w:id="145"/>
          </w:p>
        </w:tc>
        <w:tc>
          <w:tcPr>
            <w:tcW w:w="2631" w:type="dxa"/>
          </w:tcPr>
          <w:p w14:paraId="75A39168" w14:textId="77777777" w:rsidR="007075D9" w:rsidRPr="004D46AC" w:rsidRDefault="007075D9" w:rsidP="00705E90">
            <w:pPr>
              <w:spacing w:line="360" w:lineRule="auto"/>
              <w:ind w:firstLine="0"/>
            </w:pPr>
            <w:bookmarkStart w:id="146" w:name="_Toc219857552"/>
            <w:r w:rsidRPr="004D46AC">
              <w:t>Wave 9</w:t>
            </w:r>
            <w:bookmarkEnd w:id="146"/>
          </w:p>
        </w:tc>
      </w:tr>
      <w:tr w:rsidR="007075D9" w:rsidRPr="004D46AC" w14:paraId="0BF2161B" w14:textId="77777777" w:rsidTr="00B518F1">
        <w:tc>
          <w:tcPr>
            <w:tcW w:w="3157" w:type="dxa"/>
          </w:tcPr>
          <w:p w14:paraId="003B1A29" w14:textId="77777777" w:rsidR="007075D9" w:rsidRPr="004D46AC" w:rsidRDefault="007075D9" w:rsidP="00705E90">
            <w:pPr>
              <w:spacing w:line="360" w:lineRule="auto"/>
              <w:ind w:firstLine="0"/>
              <w:rPr>
                <w:i/>
                <w:iCs/>
              </w:rPr>
            </w:pPr>
            <w:bookmarkStart w:id="147" w:name="_Toc219857553"/>
            <w:bookmarkStart w:id="148" w:name="_Hlk212461031"/>
            <w:r w:rsidRPr="004D46AC">
              <w:rPr>
                <w:i/>
                <w:iCs/>
              </w:rPr>
              <w:t>N</w:t>
            </w:r>
            <w:bookmarkEnd w:id="147"/>
            <w:r w:rsidRPr="004D46AC">
              <w:t xml:space="preserve"> </w:t>
            </w:r>
          </w:p>
        </w:tc>
        <w:tc>
          <w:tcPr>
            <w:tcW w:w="2508" w:type="dxa"/>
          </w:tcPr>
          <w:p w14:paraId="766751C9" w14:textId="77777777" w:rsidR="007075D9" w:rsidRPr="004D46AC" w:rsidRDefault="007075D9" w:rsidP="00705E90">
            <w:pPr>
              <w:spacing w:line="360" w:lineRule="auto"/>
              <w:ind w:firstLine="0"/>
            </w:pPr>
            <w:bookmarkStart w:id="149" w:name="_Toc219857554"/>
            <w:r w:rsidRPr="004D46AC">
              <w:t>2377</w:t>
            </w:r>
            <w:bookmarkEnd w:id="149"/>
          </w:p>
        </w:tc>
        <w:tc>
          <w:tcPr>
            <w:tcW w:w="2631" w:type="dxa"/>
          </w:tcPr>
          <w:p w14:paraId="74B98361" w14:textId="77777777" w:rsidR="007075D9" w:rsidRPr="004D46AC" w:rsidRDefault="007075D9" w:rsidP="00705E90">
            <w:pPr>
              <w:spacing w:line="360" w:lineRule="auto"/>
              <w:ind w:firstLine="0"/>
            </w:pPr>
            <w:bookmarkStart w:id="150" w:name="_Toc219857555"/>
            <w:r w:rsidRPr="004D46AC">
              <w:t>1285</w:t>
            </w:r>
            <w:bookmarkEnd w:id="150"/>
          </w:p>
        </w:tc>
      </w:tr>
      <w:tr w:rsidR="007075D9" w:rsidRPr="004D46AC" w14:paraId="1B467950" w14:textId="77777777" w:rsidTr="00B518F1">
        <w:tc>
          <w:tcPr>
            <w:tcW w:w="3157" w:type="dxa"/>
          </w:tcPr>
          <w:p w14:paraId="6146B2A5" w14:textId="77777777" w:rsidR="007075D9" w:rsidRPr="004D46AC" w:rsidRDefault="007075D9" w:rsidP="00705E90">
            <w:pPr>
              <w:spacing w:line="360" w:lineRule="auto"/>
              <w:ind w:firstLine="0"/>
            </w:pPr>
            <w:bookmarkStart w:id="151" w:name="_Toc219857556"/>
            <w:r w:rsidRPr="004D46AC">
              <w:t>Age,</w:t>
            </w:r>
            <w:r w:rsidRPr="004D46AC">
              <w:rPr>
                <w:i/>
                <w:iCs/>
              </w:rPr>
              <w:t xml:space="preserve"> M</w:t>
            </w:r>
            <w:r w:rsidRPr="004D46AC">
              <w:t>(</w:t>
            </w:r>
            <w:r w:rsidRPr="004D46AC">
              <w:rPr>
                <w:i/>
                <w:iCs/>
              </w:rPr>
              <w:t>SD</w:t>
            </w:r>
            <w:r w:rsidRPr="004D46AC">
              <w:t>)</w:t>
            </w:r>
            <w:bookmarkEnd w:id="151"/>
          </w:p>
        </w:tc>
        <w:tc>
          <w:tcPr>
            <w:tcW w:w="2508" w:type="dxa"/>
          </w:tcPr>
          <w:p w14:paraId="70403D8E" w14:textId="77777777" w:rsidR="007075D9" w:rsidRPr="004D46AC" w:rsidRDefault="007075D9" w:rsidP="00705E90">
            <w:pPr>
              <w:spacing w:line="360" w:lineRule="auto"/>
              <w:ind w:firstLine="0"/>
            </w:pPr>
            <w:bookmarkStart w:id="152" w:name="_Toc219857557"/>
            <w:r w:rsidRPr="004D46AC">
              <w:t>51.72 (14.98)</w:t>
            </w:r>
            <w:bookmarkEnd w:id="152"/>
          </w:p>
        </w:tc>
        <w:tc>
          <w:tcPr>
            <w:tcW w:w="2631" w:type="dxa"/>
          </w:tcPr>
          <w:p w14:paraId="6B8653B7" w14:textId="77777777" w:rsidR="007075D9" w:rsidRPr="004D46AC" w:rsidRDefault="007075D9" w:rsidP="00705E90">
            <w:pPr>
              <w:spacing w:line="360" w:lineRule="auto"/>
              <w:ind w:firstLine="0"/>
            </w:pPr>
            <w:bookmarkStart w:id="153" w:name="_Toc219857558"/>
            <w:r w:rsidRPr="004D46AC">
              <w:t>53.98 (14.21)</w:t>
            </w:r>
            <w:bookmarkEnd w:id="153"/>
          </w:p>
        </w:tc>
      </w:tr>
      <w:tr w:rsidR="007075D9" w:rsidRPr="004D46AC" w14:paraId="65E837A0" w14:textId="77777777" w:rsidTr="00B518F1">
        <w:tc>
          <w:tcPr>
            <w:tcW w:w="3157" w:type="dxa"/>
          </w:tcPr>
          <w:p w14:paraId="79A89FD7" w14:textId="77777777" w:rsidR="007075D9" w:rsidRPr="004D46AC" w:rsidRDefault="007075D9" w:rsidP="00705E90">
            <w:pPr>
              <w:spacing w:line="360" w:lineRule="auto"/>
              <w:ind w:firstLine="0"/>
              <w:rPr>
                <w:i/>
                <w:iCs/>
              </w:rPr>
            </w:pPr>
            <w:bookmarkStart w:id="154" w:name="_Toc219857559"/>
            <w:r w:rsidRPr="004D46AC">
              <w:t xml:space="preserve">Female, </w:t>
            </w:r>
            <w:r w:rsidRPr="004D46AC">
              <w:rPr>
                <w:i/>
                <w:iCs/>
              </w:rPr>
              <w:t xml:space="preserve">n </w:t>
            </w:r>
            <w:r w:rsidRPr="004D46AC">
              <w:t>(</w:t>
            </w:r>
            <w:proofErr w:type="gramStart"/>
            <w:r w:rsidRPr="004D46AC">
              <w:t>%)</w:t>
            </w:r>
            <w:r w:rsidRPr="004D46AC">
              <w:rPr>
                <w:vertAlign w:val="superscript"/>
              </w:rPr>
              <w:t>a</w:t>
            </w:r>
            <w:bookmarkEnd w:id="154"/>
            <w:proofErr w:type="gramEnd"/>
          </w:p>
        </w:tc>
        <w:tc>
          <w:tcPr>
            <w:tcW w:w="2508" w:type="dxa"/>
          </w:tcPr>
          <w:p w14:paraId="5508FAA2" w14:textId="77777777" w:rsidR="007075D9" w:rsidRPr="004D46AC" w:rsidRDefault="007075D9" w:rsidP="00705E90">
            <w:pPr>
              <w:spacing w:line="360" w:lineRule="auto"/>
              <w:ind w:firstLine="0"/>
            </w:pPr>
            <w:bookmarkStart w:id="155" w:name="_Toc219857560"/>
            <w:r w:rsidRPr="004D46AC">
              <w:t>1176 (49.62)</w:t>
            </w:r>
            <w:bookmarkEnd w:id="155"/>
            <w:r w:rsidRPr="004D46AC">
              <w:t xml:space="preserve"> </w:t>
            </w:r>
          </w:p>
        </w:tc>
        <w:tc>
          <w:tcPr>
            <w:tcW w:w="2631" w:type="dxa"/>
          </w:tcPr>
          <w:p w14:paraId="5483F8AF" w14:textId="77777777" w:rsidR="007075D9" w:rsidRPr="004D46AC" w:rsidRDefault="007075D9" w:rsidP="00705E90">
            <w:pPr>
              <w:spacing w:line="360" w:lineRule="auto"/>
              <w:ind w:firstLine="0"/>
            </w:pPr>
            <w:bookmarkStart w:id="156" w:name="_Toc219857561"/>
            <w:r w:rsidRPr="004D46AC">
              <w:t>628 (48.95)</w:t>
            </w:r>
            <w:bookmarkEnd w:id="156"/>
          </w:p>
        </w:tc>
      </w:tr>
      <w:tr w:rsidR="007075D9" w:rsidRPr="004D46AC" w14:paraId="07008776" w14:textId="77777777" w:rsidTr="00B518F1">
        <w:tc>
          <w:tcPr>
            <w:tcW w:w="3157" w:type="dxa"/>
          </w:tcPr>
          <w:p w14:paraId="18AADE1A" w14:textId="77777777" w:rsidR="007075D9" w:rsidRPr="004D46AC" w:rsidRDefault="007075D9" w:rsidP="00705E90">
            <w:pPr>
              <w:spacing w:line="360" w:lineRule="auto"/>
              <w:ind w:firstLine="0"/>
            </w:pPr>
            <w:bookmarkStart w:id="157" w:name="_Toc219857562"/>
            <w:bookmarkEnd w:id="148"/>
            <w:r w:rsidRPr="004D46AC">
              <w:t>MDQ</w:t>
            </w:r>
            <w:bookmarkEnd w:id="157"/>
          </w:p>
        </w:tc>
        <w:tc>
          <w:tcPr>
            <w:tcW w:w="2508" w:type="dxa"/>
          </w:tcPr>
          <w:p w14:paraId="6E175147" w14:textId="77777777" w:rsidR="007075D9" w:rsidRPr="004D46AC" w:rsidRDefault="007075D9" w:rsidP="00705E90">
            <w:pPr>
              <w:spacing w:line="360" w:lineRule="auto"/>
              <w:ind w:firstLine="0"/>
            </w:pPr>
          </w:p>
        </w:tc>
        <w:tc>
          <w:tcPr>
            <w:tcW w:w="2631" w:type="dxa"/>
          </w:tcPr>
          <w:p w14:paraId="0F95F5BA" w14:textId="77777777" w:rsidR="007075D9" w:rsidRPr="004D46AC" w:rsidRDefault="007075D9" w:rsidP="00705E90">
            <w:pPr>
              <w:spacing w:line="360" w:lineRule="auto"/>
              <w:ind w:firstLine="0"/>
            </w:pPr>
          </w:p>
        </w:tc>
      </w:tr>
      <w:tr w:rsidR="007075D9" w:rsidRPr="004D46AC" w14:paraId="6150AA80" w14:textId="77777777" w:rsidTr="00B518F1">
        <w:tc>
          <w:tcPr>
            <w:tcW w:w="3157" w:type="dxa"/>
          </w:tcPr>
          <w:p w14:paraId="3A5977C2" w14:textId="77777777" w:rsidR="007075D9" w:rsidRPr="004D46AC" w:rsidRDefault="007075D9" w:rsidP="00705E90">
            <w:pPr>
              <w:spacing w:line="360" w:lineRule="auto"/>
              <w:ind w:firstLine="0"/>
            </w:pPr>
            <w:bookmarkStart w:id="158" w:name="_Toc219857563"/>
            <w:r w:rsidRPr="004D46AC">
              <w:t xml:space="preserve">Total, </w:t>
            </w:r>
            <w:r w:rsidRPr="004D46AC">
              <w:rPr>
                <w:i/>
                <w:iCs/>
              </w:rPr>
              <w:t>M</w:t>
            </w:r>
            <w:r w:rsidRPr="004D46AC">
              <w:t>(</w:t>
            </w:r>
            <w:r w:rsidRPr="004D46AC">
              <w:rPr>
                <w:i/>
                <w:iCs/>
              </w:rPr>
              <w:t>SD</w:t>
            </w:r>
            <w:r w:rsidRPr="004D46AC">
              <w:t>)</w:t>
            </w:r>
            <w:bookmarkEnd w:id="158"/>
          </w:p>
        </w:tc>
        <w:tc>
          <w:tcPr>
            <w:tcW w:w="2508" w:type="dxa"/>
          </w:tcPr>
          <w:p w14:paraId="155428AB" w14:textId="77777777" w:rsidR="007075D9" w:rsidRPr="004D46AC" w:rsidRDefault="007075D9" w:rsidP="00705E90">
            <w:pPr>
              <w:spacing w:line="360" w:lineRule="auto"/>
              <w:ind w:firstLine="0"/>
            </w:pPr>
            <w:bookmarkStart w:id="159" w:name="_Toc219857564"/>
            <w:r w:rsidRPr="004D46AC">
              <w:t>2.24 (3.03)</w:t>
            </w:r>
            <w:bookmarkEnd w:id="159"/>
          </w:p>
        </w:tc>
        <w:tc>
          <w:tcPr>
            <w:tcW w:w="2631" w:type="dxa"/>
          </w:tcPr>
          <w:p w14:paraId="58A8DDC5" w14:textId="77777777" w:rsidR="007075D9" w:rsidRPr="004D46AC" w:rsidRDefault="007075D9" w:rsidP="00705E90">
            <w:pPr>
              <w:spacing w:line="360" w:lineRule="auto"/>
              <w:ind w:firstLine="0"/>
            </w:pPr>
            <w:bookmarkStart w:id="160" w:name="_Toc219857565"/>
            <w:r w:rsidRPr="004D46AC">
              <w:t>1.58 (2.46)</w:t>
            </w:r>
            <w:bookmarkEnd w:id="160"/>
          </w:p>
        </w:tc>
      </w:tr>
      <w:tr w:rsidR="007075D9" w:rsidRPr="004D46AC" w14:paraId="418A11CF" w14:textId="77777777" w:rsidTr="00B518F1">
        <w:tc>
          <w:tcPr>
            <w:tcW w:w="3157" w:type="dxa"/>
          </w:tcPr>
          <w:p w14:paraId="6EA9EBD4" w14:textId="77777777" w:rsidR="007075D9" w:rsidRPr="004D46AC" w:rsidRDefault="007075D9" w:rsidP="00705E90">
            <w:pPr>
              <w:spacing w:line="360" w:lineRule="auto"/>
              <w:ind w:firstLine="0"/>
            </w:pPr>
            <w:bookmarkStart w:id="161" w:name="_Toc219857566"/>
            <w:r w:rsidRPr="004D46AC">
              <w:t xml:space="preserve">Sub clinical, </w:t>
            </w:r>
            <w:r w:rsidRPr="004D46AC">
              <w:rPr>
                <w:i/>
                <w:iCs/>
              </w:rPr>
              <w:t>n</w:t>
            </w:r>
            <w:r w:rsidRPr="004D46AC">
              <w:t xml:space="preserve"> (%)</w:t>
            </w:r>
            <w:bookmarkEnd w:id="161"/>
          </w:p>
        </w:tc>
        <w:tc>
          <w:tcPr>
            <w:tcW w:w="2508" w:type="dxa"/>
          </w:tcPr>
          <w:p w14:paraId="07C92379" w14:textId="77777777" w:rsidR="007075D9" w:rsidRPr="004D46AC" w:rsidRDefault="007075D9" w:rsidP="00705E90">
            <w:pPr>
              <w:spacing w:line="360" w:lineRule="auto"/>
              <w:ind w:firstLine="0"/>
            </w:pPr>
            <w:bookmarkStart w:id="162" w:name="_Toc219857567"/>
            <w:r w:rsidRPr="004D46AC">
              <w:t>137 (5.76)</w:t>
            </w:r>
            <w:bookmarkEnd w:id="162"/>
          </w:p>
        </w:tc>
        <w:tc>
          <w:tcPr>
            <w:tcW w:w="2631" w:type="dxa"/>
          </w:tcPr>
          <w:p w14:paraId="4A628B62" w14:textId="77777777" w:rsidR="007075D9" w:rsidRPr="004D46AC" w:rsidRDefault="007075D9" w:rsidP="00705E90">
            <w:pPr>
              <w:spacing w:line="360" w:lineRule="auto"/>
              <w:ind w:firstLine="0"/>
            </w:pPr>
            <w:bookmarkStart w:id="163" w:name="_Toc219857568"/>
            <w:r w:rsidRPr="004D46AC">
              <w:t>40 (3.11)</w:t>
            </w:r>
            <w:bookmarkEnd w:id="163"/>
          </w:p>
        </w:tc>
      </w:tr>
      <w:tr w:rsidR="007075D9" w:rsidRPr="004D46AC" w14:paraId="4693D313" w14:textId="77777777" w:rsidTr="00B518F1">
        <w:tc>
          <w:tcPr>
            <w:tcW w:w="3157" w:type="dxa"/>
          </w:tcPr>
          <w:p w14:paraId="68D9F88E" w14:textId="77777777" w:rsidR="007075D9" w:rsidRPr="004D46AC" w:rsidRDefault="007075D9" w:rsidP="00705E90">
            <w:pPr>
              <w:spacing w:line="360" w:lineRule="auto"/>
              <w:ind w:firstLine="0"/>
            </w:pPr>
            <w:bookmarkStart w:id="164" w:name="_Toc219857569"/>
            <w:r w:rsidRPr="004D46AC">
              <w:t>PHQ-9</w:t>
            </w:r>
            <w:bookmarkEnd w:id="164"/>
          </w:p>
        </w:tc>
        <w:tc>
          <w:tcPr>
            <w:tcW w:w="2508" w:type="dxa"/>
          </w:tcPr>
          <w:p w14:paraId="0D214EEF" w14:textId="77777777" w:rsidR="007075D9" w:rsidRPr="004D46AC" w:rsidRDefault="007075D9" w:rsidP="00705E90">
            <w:pPr>
              <w:spacing w:line="360" w:lineRule="auto"/>
              <w:ind w:firstLine="0"/>
            </w:pPr>
          </w:p>
        </w:tc>
        <w:tc>
          <w:tcPr>
            <w:tcW w:w="2631" w:type="dxa"/>
          </w:tcPr>
          <w:p w14:paraId="51DDD727" w14:textId="77777777" w:rsidR="007075D9" w:rsidRPr="004D46AC" w:rsidRDefault="007075D9" w:rsidP="00705E90">
            <w:pPr>
              <w:spacing w:line="360" w:lineRule="auto"/>
              <w:ind w:firstLine="0"/>
            </w:pPr>
          </w:p>
        </w:tc>
      </w:tr>
      <w:tr w:rsidR="007075D9" w:rsidRPr="004D46AC" w14:paraId="209EA039" w14:textId="77777777" w:rsidTr="00B518F1">
        <w:tc>
          <w:tcPr>
            <w:tcW w:w="3157" w:type="dxa"/>
          </w:tcPr>
          <w:p w14:paraId="30156CED" w14:textId="77777777" w:rsidR="007075D9" w:rsidRPr="004D46AC" w:rsidRDefault="007075D9" w:rsidP="00705E90">
            <w:pPr>
              <w:spacing w:line="360" w:lineRule="auto"/>
              <w:ind w:firstLine="0"/>
            </w:pPr>
            <w:bookmarkStart w:id="165" w:name="_Toc219857570"/>
            <w:r w:rsidRPr="004D46AC">
              <w:t xml:space="preserve">Total, </w:t>
            </w:r>
            <w:r w:rsidRPr="004D46AC">
              <w:rPr>
                <w:i/>
                <w:iCs/>
              </w:rPr>
              <w:t>M</w:t>
            </w:r>
            <w:r w:rsidRPr="004D46AC">
              <w:t>(</w:t>
            </w:r>
            <w:r w:rsidRPr="004D46AC">
              <w:rPr>
                <w:i/>
                <w:iCs/>
              </w:rPr>
              <w:t>SD</w:t>
            </w:r>
            <w:r w:rsidRPr="004D46AC">
              <w:t>)</w:t>
            </w:r>
            <w:bookmarkEnd w:id="165"/>
          </w:p>
        </w:tc>
        <w:tc>
          <w:tcPr>
            <w:tcW w:w="2508" w:type="dxa"/>
          </w:tcPr>
          <w:p w14:paraId="41007E97" w14:textId="77777777" w:rsidR="007075D9" w:rsidRPr="004D46AC" w:rsidRDefault="007075D9" w:rsidP="00705E90">
            <w:pPr>
              <w:spacing w:line="360" w:lineRule="auto"/>
              <w:ind w:firstLine="0"/>
            </w:pPr>
            <w:bookmarkStart w:id="166" w:name="_Toc219857571"/>
            <w:r w:rsidRPr="004D46AC">
              <w:t>5.47 (6.27)</w:t>
            </w:r>
            <w:bookmarkEnd w:id="166"/>
          </w:p>
        </w:tc>
        <w:tc>
          <w:tcPr>
            <w:tcW w:w="2631" w:type="dxa"/>
          </w:tcPr>
          <w:p w14:paraId="4B052D10" w14:textId="77777777" w:rsidR="007075D9" w:rsidRPr="004D46AC" w:rsidRDefault="007075D9" w:rsidP="00705E90">
            <w:pPr>
              <w:spacing w:line="360" w:lineRule="auto"/>
              <w:ind w:firstLine="0"/>
            </w:pPr>
            <w:bookmarkStart w:id="167" w:name="_Toc219857572"/>
            <w:r w:rsidRPr="004D46AC">
              <w:t>5.30 (6.33)</w:t>
            </w:r>
            <w:bookmarkEnd w:id="167"/>
          </w:p>
        </w:tc>
      </w:tr>
      <w:tr w:rsidR="007075D9" w:rsidRPr="004D46AC" w14:paraId="3F0F23CF" w14:textId="77777777" w:rsidTr="00B518F1">
        <w:tc>
          <w:tcPr>
            <w:tcW w:w="3157" w:type="dxa"/>
          </w:tcPr>
          <w:p w14:paraId="00756348" w14:textId="77777777" w:rsidR="007075D9" w:rsidRPr="004D46AC" w:rsidRDefault="007075D9" w:rsidP="00705E90">
            <w:pPr>
              <w:spacing w:line="360" w:lineRule="auto"/>
              <w:ind w:firstLine="0"/>
            </w:pPr>
            <w:bookmarkStart w:id="168" w:name="_Toc219857573"/>
            <w:r w:rsidRPr="004D46AC">
              <w:t xml:space="preserve">Sub clinical, </w:t>
            </w:r>
            <w:r w:rsidRPr="004D46AC">
              <w:rPr>
                <w:i/>
                <w:iCs/>
              </w:rPr>
              <w:t>n</w:t>
            </w:r>
            <w:r w:rsidRPr="004D46AC">
              <w:t xml:space="preserve"> (%)</w:t>
            </w:r>
            <w:bookmarkEnd w:id="168"/>
          </w:p>
        </w:tc>
        <w:tc>
          <w:tcPr>
            <w:tcW w:w="2508" w:type="dxa"/>
          </w:tcPr>
          <w:p w14:paraId="326E79F4" w14:textId="77777777" w:rsidR="007075D9" w:rsidRPr="004D46AC" w:rsidRDefault="007075D9" w:rsidP="00705E90">
            <w:pPr>
              <w:spacing w:line="360" w:lineRule="auto"/>
              <w:ind w:firstLine="0"/>
            </w:pPr>
            <w:bookmarkStart w:id="169" w:name="_Toc219857574"/>
            <w:r w:rsidRPr="004D46AC">
              <w:t>516 (21.70)</w:t>
            </w:r>
            <w:bookmarkEnd w:id="169"/>
          </w:p>
        </w:tc>
        <w:tc>
          <w:tcPr>
            <w:tcW w:w="2631" w:type="dxa"/>
          </w:tcPr>
          <w:p w14:paraId="53495357" w14:textId="77777777" w:rsidR="007075D9" w:rsidRPr="004D46AC" w:rsidRDefault="007075D9" w:rsidP="00705E90">
            <w:pPr>
              <w:spacing w:line="360" w:lineRule="auto"/>
              <w:ind w:firstLine="0"/>
            </w:pPr>
            <w:bookmarkStart w:id="170" w:name="_Toc219857575"/>
            <w:r w:rsidRPr="004D46AC">
              <w:t>259 (20.16)</w:t>
            </w:r>
            <w:bookmarkEnd w:id="170"/>
          </w:p>
        </w:tc>
      </w:tr>
      <w:tr w:rsidR="007075D9" w:rsidRPr="004D46AC" w14:paraId="62165212" w14:textId="77777777" w:rsidTr="00B518F1">
        <w:tc>
          <w:tcPr>
            <w:tcW w:w="3157" w:type="dxa"/>
          </w:tcPr>
          <w:p w14:paraId="42DD8D46" w14:textId="77777777" w:rsidR="007075D9" w:rsidRPr="004D46AC" w:rsidRDefault="007075D9" w:rsidP="00705E90">
            <w:pPr>
              <w:spacing w:line="360" w:lineRule="auto"/>
              <w:ind w:firstLine="0"/>
            </w:pPr>
            <w:bookmarkStart w:id="171" w:name="_Toc219857576"/>
            <w:r w:rsidRPr="004D46AC">
              <w:t>PSQ</w:t>
            </w:r>
            <w:bookmarkEnd w:id="171"/>
          </w:p>
        </w:tc>
        <w:tc>
          <w:tcPr>
            <w:tcW w:w="2508" w:type="dxa"/>
          </w:tcPr>
          <w:p w14:paraId="48817E70" w14:textId="77777777" w:rsidR="007075D9" w:rsidRPr="004D46AC" w:rsidRDefault="007075D9" w:rsidP="00705E90">
            <w:pPr>
              <w:spacing w:line="360" w:lineRule="auto"/>
              <w:ind w:firstLine="0"/>
            </w:pPr>
          </w:p>
        </w:tc>
        <w:tc>
          <w:tcPr>
            <w:tcW w:w="2631" w:type="dxa"/>
          </w:tcPr>
          <w:p w14:paraId="2ADC5785" w14:textId="77777777" w:rsidR="007075D9" w:rsidRPr="004D46AC" w:rsidRDefault="007075D9" w:rsidP="00705E90">
            <w:pPr>
              <w:spacing w:line="360" w:lineRule="auto"/>
              <w:ind w:firstLine="0"/>
            </w:pPr>
          </w:p>
        </w:tc>
      </w:tr>
      <w:tr w:rsidR="007075D9" w:rsidRPr="004D46AC" w14:paraId="08408A3A" w14:textId="77777777" w:rsidTr="00B518F1">
        <w:tc>
          <w:tcPr>
            <w:tcW w:w="3157" w:type="dxa"/>
          </w:tcPr>
          <w:p w14:paraId="0D5764B1" w14:textId="77777777" w:rsidR="007075D9" w:rsidRPr="004D46AC" w:rsidRDefault="007075D9" w:rsidP="00705E90">
            <w:pPr>
              <w:spacing w:line="360" w:lineRule="auto"/>
              <w:ind w:firstLine="0"/>
            </w:pPr>
            <w:bookmarkStart w:id="172" w:name="_Toc219857577"/>
            <w:r w:rsidRPr="004D46AC">
              <w:t xml:space="preserve">Total, </w:t>
            </w:r>
            <w:r w:rsidRPr="004D46AC">
              <w:rPr>
                <w:i/>
                <w:iCs/>
              </w:rPr>
              <w:t>M</w:t>
            </w:r>
            <w:r w:rsidRPr="004D46AC">
              <w:t>(</w:t>
            </w:r>
            <w:r w:rsidRPr="004D46AC">
              <w:rPr>
                <w:i/>
                <w:iCs/>
              </w:rPr>
              <w:t>SD</w:t>
            </w:r>
            <w:r w:rsidRPr="004D46AC">
              <w:t>)</w:t>
            </w:r>
            <w:bookmarkEnd w:id="172"/>
          </w:p>
        </w:tc>
        <w:tc>
          <w:tcPr>
            <w:tcW w:w="2508" w:type="dxa"/>
          </w:tcPr>
          <w:p w14:paraId="6CBEA035" w14:textId="77777777" w:rsidR="007075D9" w:rsidRPr="004D46AC" w:rsidRDefault="007075D9" w:rsidP="00705E90">
            <w:pPr>
              <w:spacing w:line="360" w:lineRule="auto"/>
              <w:ind w:firstLine="0"/>
            </w:pPr>
            <w:bookmarkStart w:id="173" w:name="_Toc219857578"/>
            <w:r w:rsidRPr="004D46AC">
              <w:t>0.51 (0.89)</w:t>
            </w:r>
            <w:bookmarkEnd w:id="173"/>
          </w:p>
        </w:tc>
        <w:tc>
          <w:tcPr>
            <w:tcW w:w="2631" w:type="dxa"/>
          </w:tcPr>
          <w:p w14:paraId="6814FD26" w14:textId="77777777" w:rsidR="007075D9" w:rsidRPr="004D46AC" w:rsidRDefault="007075D9" w:rsidP="00705E90">
            <w:pPr>
              <w:spacing w:line="360" w:lineRule="auto"/>
              <w:ind w:firstLine="0"/>
            </w:pPr>
            <w:bookmarkStart w:id="174" w:name="_Toc219857579"/>
            <w:r w:rsidRPr="004D46AC">
              <w:t>0.31 (0.69)</w:t>
            </w:r>
            <w:bookmarkEnd w:id="174"/>
          </w:p>
        </w:tc>
      </w:tr>
      <w:tr w:rsidR="007075D9" w:rsidRPr="004D46AC" w14:paraId="1FF436AE" w14:textId="77777777" w:rsidTr="00B518F1">
        <w:tc>
          <w:tcPr>
            <w:tcW w:w="3157" w:type="dxa"/>
          </w:tcPr>
          <w:p w14:paraId="2F038A5E" w14:textId="77777777" w:rsidR="007075D9" w:rsidRPr="004D46AC" w:rsidRDefault="007075D9" w:rsidP="00705E90">
            <w:pPr>
              <w:spacing w:line="360" w:lineRule="auto"/>
              <w:ind w:firstLine="0"/>
            </w:pPr>
            <w:bookmarkStart w:id="175" w:name="_Toc219857580"/>
            <w:r w:rsidRPr="004D46AC">
              <w:t xml:space="preserve">Sub clinical, </w:t>
            </w:r>
            <w:r w:rsidRPr="004D46AC">
              <w:rPr>
                <w:i/>
                <w:iCs/>
              </w:rPr>
              <w:t>n</w:t>
            </w:r>
            <w:r w:rsidRPr="004D46AC">
              <w:t xml:space="preserve"> (%)</w:t>
            </w:r>
            <w:bookmarkEnd w:id="175"/>
          </w:p>
        </w:tc>
        <w:tc>
          <w:tcPr>
            <w:tcW w:w="2508" w:type="dxa"/>
          </w:tcPr>
          <w:p w14:paraId="35E013F0" w14:textId="77777777" w:rsidR="007075D9" w:rsidRPr="004D46AC" w:rsidRDefault="007075D9" w:rsidP="00705E90">
            <w:pPr>
              <w:spacing w:line="360" w:lineRule="auto"/>
              <w:ind w:firstLine="0"/>
            </w:pPr>
            <w:bookmarkStart w:id="176" w:name="_Toc219857581"/>
            <w:r w:rsidRPr="004D46AC">
              <w:t>742 (31.75)</w:t>
            </w:r>
            <w:bookmarkEnd w:id="176"/>
          </w:p>
        </w:tc>
        <w:tc>
          <w:tcPr>
            <w:tcW w:w="2631" w:type="dxa"/>
          </w:tcPr>
          <w:p w14:paraId="7069A538" w14:textId="77777777" w:rsidR="007075D9" w:rsidRPr="004D46AC" w:rsidRDefault="007075D9" w:rsidP="00705E90">
            <w:pPr>
              <w:spacing w:line="360" w:lineRule="auto"/>
              <w:ind w:firstLine="0"/>
            </w:pPr>
            <w:bookmarkStart w:id="177" w:name="_Toc219857582"/>
            <w:r w:rsidRPr="004D46AC">
              <w:t>262 (20.39)</w:t>
            </w:r>
            <w:bookmarkEnd w:id="177"/>
          </w:p>
        </w:tc>
      </w:tr>
      <w:tr w:rsidR="007075D9" w:rsidRPr="004D46AC" w14:paraId="7530EDE9" w14:textId="77777777" w:rsidTr="00B518F1">
        <w:tc>
          <w:tcPr>
            <w:tcW w:w="3157" w:type="dxa"/>
          </w:tcPr>
          <w:p w14:paraId="76E262E3" w14:textId="77777777" w:rsidR="007075D9" w:rsidRPr="004D46AC" w:rsidRDefault="007075D9" w:rsidP="00705E90">
            <w:pPr>
              <w:spacing w:line="360" w:lineRule="auto"/>
              <w:ind w:firstLine="0"/>
            </w:pPr>
            <w:bookmarkStart w:id="178" w:name="_Toc219857583"/>
            <w:r w:rsidRPr="004D46AC">
              <w:t xml:space="preserve">GAD, </w:t>
            </w:r>
            <w:r w:rsidRPr="004D46AC">
              <w:rPr>
                <w:i/>
                <w:iCs/>
              </w:rPr>
              <w:t>M</w:t>
            </w:r>
            <w:r w:rsidRPr="004D46AC">
              <w:t>(</w:t>
            </w:r>
            <w:r w:rsidRPr="004D46AC">
              <w:rPr>
                <w:i/>
                <w:iCs/>
              </w:rPr>
              <w:t>SD</w:t>
            </w:r>
            <w:r w:rsidRPr="004D46AC">
              <w:t>)</w:t>
            </w:r>
            <w:bookmarkEnd w:id="178"/>
          </w:p>
        </w:tc>
        <w:tc>
          <w:tcPr>
            <w:tcW w:w="2508" w:type="dxa"/>
          </w:tcPr>
          <w:p w14:paraId="65F888B6" w14:textId="77777777" w:rsidR="007075D9" w:rsidRPr="004D46AC" w:rsidRDefault="007075D9" w:rsidP="00705E90">
            <w:pPr>
              <w:spacing w:line="360" w:lineRule="auto"/>
              <w:ind w:firstLine="0"/>
            </w:pPr>
            <w:bookmarkStart w:id="179" w:name="_Toc219857584"/>
            <w:r w:rsidRPr="004D46AC">
              <w:t>4.31 (5.50)</w:t>
            </w:r>
            <w:bookmarkEnd w:id="179"/>
          </w:p>
        </w:tc>
        <w:tc>
          <w:tcPr>
            <w:tcW w:w="2631" w:type="dxa"/>
          </w:tcPr>
          <w:p w14:paraId="0AA19DD7" w14:textId="77777777" w:rsidR="007075D9" w:rsidRPr="004D46AC" w:rsidRDefault="007075D9" w:rsidP="00705E90">
            <w:pPr>
              <w:spacing w:line="360" w:lineRule="auto"/>
              <w:ind w:firstLine="0"/>
            </w:pPr>
            <w:bookmarkStart w:id="180" w:name="_Toc219857585"/>
            <w:r w:rsidRPr="004D46AC">
              <w:t>4.66 (5.74)</w:t>
            </w:r>
            <w:bookmarkEnd w:id="180"/>
          </w:p>
        </w:tc>
      </w:tr>
      <w:tr w:rsidR="007075D9" w:rsidRPr="004D46AC" w14:paraId="75325943" w14:textId="77777777" w:rsidTr="00B518F1">
        <w:tc>
          <w:tcPr>
            <w:tcW w:w="3157" w:type="dxa"/>
          </w:tcPr>
          <w:p w14:paraId="7123F54F" w14:textId="77777777" w:rsidR="007075D9" w:rsidRPr="004D46AC" w:rsidRDefault="007075D9" w:rsidP="00705E90">
            <w:pPr>
              <w:spacing w:line="360" w:lineRule="auto"/>
              <w:ind w:firstLine="0"/>
            </w:pPr>
            <w:bookmarkStart w:id="181" w:name="_Toc219857586"/>
            <w:r w:rsidRPr="004D46AC">
              <w:t xml:space="preserve">SSR, </w:t>
            </w:r>
            <w:r w:rsidRPr="004D46AC">
              <w:rPr>
                <w:i/>
                <w:iCs/>
              </w:rPr>
              <w:t>M</w:t>
            </w:r>
            <w:r w:rsidRPr="004D46AC">
              <w:t>(</w:t>
            </w:r>
            <w:r w:rsidRPr="004D46AC">
              <w:rPr>
                <w:i/>
                <w:iCs/>
              </w:rPr>
              <w:t>SD</w:t>
            </w:r>
            <w:r w:rsidRPr="004D46AC">
              <w:t>)</w:t>
            </w:r>
            <w:r w:rsidRPr="004D46AC">
              <w:rPr>
                <w:vertAlign w:val="superscript"/>
              </w:rPr>
              <w:t>b</w:t>
            </w:r>
            <w:bookmarkEnd w:id="181"/>
          </w:p>
        </w:tc>
        <w:tc>
          <w:tcPr>
            <w:tcW w:w="2508" w:type="dxa"/>
          </w:tcPr>
          <w:p w14:paraId="0B86C6AC" w14:textId="77777777" w:rsidR="007075D9" w:rsidRPr="004D46AC" w:rsidRDefault="007075D9" w:rsidP="00705E90">
            <w:pPr>
              <w:spacing w:line="360" w:lineRule="auto"/>
              <w:ind w:firstLine="0"/>
            </w:pPr>
            <w:bookmarkStart w:id="182" w:name="_Toc219857587"/>
            <w:r w:rsidRPr="004D46AC">
              <w:t>5.69 (1.80)</w:t>
            </w:r>
            <w:bookmarkEnd w:id="182"/>
          </w:p>
        </w:tc>
        <w:tc>
          <w:tcPr>
            <w:tcW w:w="2631" w:type="dxa"/>
          </w:tcPr>
          <w:p w14:paraId="4C806869" w14:textId="77777777" w:rsidR="007075D9" w:rsidRPr="004D46AC" w:rsidRDefault="007075D9" w:rsidP="00705E90">
            <w:pPr>
              <w:spacing w:line="360" w:lineRule="auto"/>
              <w:ind w:firstLine="0"/>
            </w:pPr>
            <w:bookmarkStart w:id="183" w:name="_Toc219857588"/>
            <w:r w:rsidRPr="004D46AC">
              <w:t>5.61 (1.80)</w:t>
            </w:r>
            <w:bookmarkEnd w:id="183"/>
          </w:p>
        </w:tc>
      </w:tr>
      <w:tr w:rsidR="007075D9" w:rsidRPr="004D46AC" w14:paraId="717354B2" w14:textId="77777777" w:rsidTr="00B518F1">
        <w:tc>
          <w:tcPr>
            <w:tcW w:w="8296" w:type="dxa"/>
            <w:gridSpan w:val="3"/>
          </w:tcPr>
          <w:p w14:paraId="2797465E" w14:textId="77777777" w:rsidR="007075D9" w:rsidRPr="004D46AC" w:rsidRDefault="007075D9" w:rsidP="00705E90">
            <w:pPr>
              <w:spacing w:line="360" w:lineRule="auto"/>
              <w:ind w:firstLine="0"/>
              <w:rPr>
                <w:b/>
                <w:bCs/>
              </w:rPr>
            </w:pPr>
            <w:bookmarkStart w:id="184" w:name="_Toc219857589"/>
            <w:r w:rsidRPr="004D46AC">
              <w:rPr>
                <w:b/>
                <w:bCs/>
                <w:i/>
                <w:iCs/>
              </w:rPr>
              <w:t xml:space="preserve">IVs from different </w:t>
            </w:r>
            <w:proofErr w:type="spellStart"/>
            <w:r w:rsidRPr="004D46AC">
              <w:rPr>
                <w:b/>
                <w:bCs/>
                <w:i/>
                <w:iCs/>
              </w:rPr>
              <w:t>waves</w:t>
            </w:r>
            <w:r w:rsidRPr="004D46AC">
              <w:rPr>
                <w:b/>
                <w:bCs/>
                <w:i/>
                <w:iCs/>
                <w:vertAlign w:val="superscript"/>
              </w:rPr>
              <w:t>c</w:t>
            </w:r>
            <w:bookmarkEnd w:id="184"/>
            <w:proofErr w:type="spellEnd"/>
          </w:p>
        </w:tc>
      </w:tr>
      <w:tr w:rsidR="007075D9" w:rsidRPr="004D46AC" w14:paraId="6971A036" w14:textId="77777777" w:rsidTr="00B518F1">
        <w:tc>
          <w:tcPr>
            <w:tcW w:w="3157" w:type="dxa"/>
          </w:tcPr>
          <w:p w14:paraId="7085149E" w14:textId="77777777" w:rsidR="007075D9" w:rsidRPr="004D46AC" w:rsidRDefault="007075D9" w:rsidP="00705E90">
            <w:pPr>
              <w:spacing w:line="360" w:lineRule="auto"/>
              <w:ind w:firstLine="0"/>
            </w:pPr>
            <w:bookmarkStart w:id="185" w:name="_Toc219857590"/>
            <w:r w:rsidRPr="004D46AC">
              <w:t xml:space="preserve">Urbanicity, </w:t>
            </w:r>
            <w:r w:rsidRPr="004D46AC">
              <w:rPr>
                <w:i/>
                <w:iCs/>
              </w:rPr>
              <w:t xml:space="preserve">n </w:t>
            </w:r>
            <w:r w:rsidRPr="004D46AC">
              <w:t>(</w:t>
            </w:r>
            <w:proofErr w:type="gramStart"/>
            <w:r w:rsidRPr="004D46AC">
              <w:t>%)</w:t>
            </w:r>
            <w:r w:rsidRPr="004D46AC">
              <w:rPr>
                <w:vertAlign w:val="superscript"/>
              </w:rPr>
              <w:t>d</w:t>
            </w:r>
            <w:bookmarkEnd w:id="185"/>
            <w:proofErr w:type="gramEnd"/>
          </w:p>
        </w:tc>
        <w:tc>
          <w:tcPr>
            <w:tcW w:w="5139" w:type="dxa"/>
            <w:gridSpan w:val="2"/>
          </w:tcPr>
          <w:p w14:paraId="3C74D73A" w14:textId="77777777" w:rsidR="007075D9" w:rsidRPr="004D46AC" w:rsidRDefault="007075D9" w:rsidP="00705E90">
            <w:pPr>
              <w:spacing w:line="360" w:lineRule="auto"/>
              <w:ind w:firstLine="0"/>
            </w:pPr>
            <w:bookmarkStart w:id="186" w:name="_Toc219857591"/>
            <w:r w:rsidRPr="004D46AC">
              <w:t>209 (19.81)</w:t>
            </w:r>
            <w:bookmarkEnd w:id="186"/>
          </w:p>
        </w:tc>
      </w:tr>
      <w:tr w:rsidR="007075D9" w:rsidRPr="004D46AC" w14:paraId="5F66B1BD" w14:textId="77777777" w:rsidTr="00B518F1">
        <w:tc>
          <w:tcPr>
            <w:tcW w:w="3157" w:type="dxa"/>
          </w:tcPr>
          <w:p w14:paraId="471C3725" w14:textId="77777777" w:rsidR="007075D9" w:rsidRPr="004D46AC" w:rsidRDefault="007075D9" w:rsidP="00705E90">
            <w:pPr>
              <w:spacing w:line="360" w:lineRule="auto"/>
              <w:ind w:firstLine="0"/>
            </w:pPr>
            <w:bookmarkStart w:id="187" w:name="_Toc219857592"/>
            <w:r w:rsidRPr="004D46AC">
              <w:t xml:space="preserve">BFI-10, </w:t>
            </w:r>
            <w:r w:rsidRPr="004D46AC">
              <w:rPr>
                <w:i/>
                <w:iCs/>
              </w:rPr>
              <w:t>M</w:t>
            </w:r>
            <w:r w:rsidRPr="004D46AC">
              <w:t>(</w:t>
            </w:r>
            <w:r w:rsidRPr="004D46AC">
              <w:rPr>
                <w:i/>
                <w:iCs/>
              </w:rPr>
              <w:t>SD</w:t>
            </w:r>
            <w:r w:rsidRPr="004D46AC">
              <w:t>)</w:t>
            </w:r>
            <w:r w:rsidRPr="004D46AC">
              <w:rPr>
                <w:vertAlign w:val="superscript"/>
              </w:rPr>
              <w:t>d</w:t>
            </w:r>
            <w:bookmarkEnd w:id="187"/>
          </w:p>
        </w:tc>
        <w:tc>
          <w:tcPr>
            <w:tcW w:w="5139" w:type="dxa"/>
            <w:gridSpan w:val="2"/>
          </w:tcPr>
          <w:p w14:paraId="207C6621" w14:textId="77777777" w:rsidR="007075D9" w:rsidRPr="004D46AC" w:rsidRDefault="007075D9" w:rsidP="00705E90">
            <w:pPr>
              <w:spacing w:line="360" w:lineRule="auto"/>
              <w:ind w:firstLine="0"/>
            </w:pPr>
          </w:p>
        </w:tc>
      </w:tr>
      <w:tr w:rsidR="007075D9" w:rsidRPr="004D46AC" w14:paraId="229D8044" w14:textId="77777777" w:rsidTr="00B518F1">
        <w:tc>
          <w:tcPr>
            <w:tcW w:w="3157" w:type="dxa"/>
          </w:tcPr>
          <w:p w14:paraId="01BD90E2" w14:textId="77777777" w:rsidR="007075D9" w:rsidRPr="004D46AC" w:rsidRDefault="007075D9" w:rsidP="00705E90">
            <w:pPr>
              <w:spacing w:line="360" w:lineRule="auto"/>
              <w:ind w:firstLine="0"/>
            </w:pPr>
            <w:bookmarkStart w:id="188" w:name="_Toc219857593"/>
            <w:r w:rsidRPr="004D46AC">
              <w:t>Openness</w:t>
            </w:r>
            <w:bookmarkEnd w:id="188"/>
          </w:p>
        </w:tc>
        <w:tc>
          <w:tcPr>
            <w:tcW w:w="5139" w:type="dxa"/>
            <w:gridSpan w:val="2"/>
          </w:tcPr>
          <w:p w14:paraId="606BCCD2" w14:textId="77777777" w:rsidR="007075D9" w:rsidRPr="004D46AC" w:rsidRDefault="007075D9" w:rsidP="00705E90">
            <w:pPr>
              <w:spacing w:line="360" w:lineRule="auto"/>
              <w:ind w:firstLine="0"/>
            </w:pPr>
            <w:bookmarkStart w:id="189" w:name="_Toc219857594"/>
            <w:r w:rsidRPr="004D46AC">
              <w:t>6.52 (1.70)</w:t>
            </w:r>
            <w:bookmarkEnd w:id="189"/>
          </w:p>
        </w:tc>
      </w:tr>
      <w:tr w:rsidR="007075D9" w:rsidRPr="004D46AC" w14:paraId="2F11F7C0" w14:textId="77777777" w:rsidTr="00B518F1">
        <w:tc>
          <w:tcPr>
            <w:tcW w:w="3157" w:type="dxa"/>
          </w:tcPr>
          <w:p w14:paraId="0F4E715F" w14:textId="77777777" w:rsidR="007075D9" w:rsidRPr="004D46AC" w:rsidRDefault="007075D9" w:rsidP="00705E90">
            <w:pPr>
              <w:spacing w:line="360" w:lineRule="auto"/>
              <w:ind w:firstLine="0"/>
            </w:pPr>
            <w:bookmarkStart w:id="190" w:name="_Toc219857595"/>
            <w:r w:rsidRPr="004D46AC">
              <w:t>Conscientious</w:t>
            </w:r>
            <w:bookmarkEnd w:id="190"/>
            <w:r w:rsidRPr="004D46AC">
              <w:t xml:space="preserve"> </w:t>
            </w:r>
          </w:p>
        </w:tc>
        <w:tc>
          <w:tcPr>
            <w:tcW w:w="5139" w:type="dxa"/>
            <w:gridSpan w:val="2"/>
          </w:tcPr>
          <w:p w14:paraId="4F5FF39F" w14:textId="77777777" w:rsidR="007075D9" w:rsidRPr="004D46AC" w:rsidRDefault="007075D9" w:rsidP="00705E90">
            <w:pPr>
              <w:spacing w:line="360" w:lineRule="auto"/>
              <w:ind w:firstLine="0"/>
            </w:pPr>
            <w:bookmarkStart w:id="191" w:name="_Toc219857596"/>
            <w:r w:rsidRPr="004D46AC">
              <w:t>7.58 (1.75)</w:t>
            </w:r>
            <w:bookmarkEnd w:id="191"/>
          </w:p>
        </w:tc>
      </w:tr>
      <w:tr w:rsidR="007075D9" w:rsidRPr="004D46AC" w14:paraId="26127B20" w14:textId="77777777" w:rsidTr="00B518F1">
        <w:tc>
          <w:tcPr>
            <w:tcW w:w="3157" w:type="dxa"/>
          </w:tcPr>
          <w:p w14:paraId="5F5A442F" w14:textId="77777777" w:rsidR="007075D9" w:rsidRPr="004D46AC" w:rsidRDefault="007075D9" w:rsidP="00705E90">
            <w:pPr>
              <w:spacing w:line="360" w:lineRule="auto"/>
              <w:ind w:firstLine="0"/>
            </w:pPr>
            <w:bookmarkStart w:id="192" w:name="_Toc219857597"/>
            <w:r w:rsidRPr="004D46AC">
              <w:t>Extraversion</w:t>
            </w:r>
            <w:bookmarkEnd w:id="192"/>
          </w:p>
        </w:tc>
        <w:tc>
          <w:tcPr>
            <w:tcW w:w="5139" w:type="dxa"/>
            <w:gridSpan w:val="2"/>
          </w:tcPr>
          <w:p w14:paraId="24F6AB33" w14:textId="77777777" w:rsidR="007075D9" w:rsidRPr="004D46AC" w:rsidRDefault="007075D9" w:rsidP="00705E90">
            <w:pPr>
              <w:spacing w:line="360" w:lineRule="auto"/>
              <w:ind w:firstLine="0"/>
            </w:pPr>
            <w:bookmarkStart w:id="193" w:name="_Toc219857598"/>
            <w:r w:rsidRPr="004D46AC">
              <w:t>5.75 (1.97)</w:t>
            </w:r>
            <w:bookmarkEnd w:id="193"/>
          </w:p>
        </w:tc>
      </w:tr>
      <w:tr w:rsidR="007075D9" w:rsidRPr="004D46AC" w14:paraId="58BA91C5" w14:textId="77777777" w:rsidTr="00B518F1">
        <w:tc>
          <w:tcPr>
            <w:tcW w:w="3157" w:type="dxa"/>
          </w:tcPr>
          <w:p w14:paraId="2E0A4BEC" w14:textId="77777777" w:rsidR="007075D9" w:rsidRPr="004D46AC" w:rsidRDefault="007075D9" w:rsidP="00705E90">
            <w:pPr>
              <w:spacing w:line="360" w:lineRule="auto"/>
              <w:ind w:firstLine="0"/>
            </w:pPr>
            <w:bookmarkStart w:id="194" w:name="_Toc219857599"/>
            <w:r w:rsidRPr="004D46AC">
              <w:t>Agreeableness</w:t>
            </w:r>
            <w:bookmarkEnd w:id="194"/>
          </w:p>
        </w:tc>
        <w:tc>
          <w:tcPr>
            <w:tcW w:w="5139" w:type="dxa"/>
            <w:gridSpan w:val="2"/>
          </w:tcPr>
          <w:p w14:paraId="5C0F79A5" w14:textId="77777777" w:rsidR="007075D9" w:rsidRPr="004D46AC" w:rsidRDefault="007075D9" w:rsidP="00705E90">
            <w:pPr>
              <w:spacing w:line="360" w:lineRule="auto"/>
              <w:ind w:firstLine="0"/>
            </w:pPr>
            <w:bookmarkStart w:id="195" w:name="_Toc219857600"/>
            <w:r w:rsidRPr="004D46AC">
              <w:t>6.89 (1.63)</w:t>
            </w:r>
            <w:bookmarkEnd w:id="195"/>
          </w:p>
        </w:tc>
      </w:tr>
      <w:tr w:rsidR="007075D9" w:rsidRPr="004D46AC" w14:paraId="754BBFD6" w14:textId="77777777" w:rsidTr="00B518F1">
        <w:tc>
          <w:tcPr>
            <w:tcW w:w="3157" w:type="dxa"/>
          </w:tcPr>
          <w:p w14:paraId="087722D0" w14:textId="77777777" w:rsidR="007075D9" w:rsidRPr="004D46AC" w:rsidRDefault="007075D9" w:rsidP="00705E90">
            <w:pPr>
              <w:spacing w:line="360" w:lineRule="auto"/>
              <w:ind w:firstLine="0"/>
            </w:pPr>
            <w:bookmarkStart w:id="196" w:name="_Toc219857601"/>
            <w:r w:rsidRPr="004D46AC">
              <w:t>Neuroticism</w:t>
            </w:r>
            <w:bookmarkEnd w:id="196"/>
          </w:p>
        </w:tc>
        <w:tc>
          <w:tcPr>
            <w:tcW w:w="5139" w:type="dxa"/>
            <w:gridSpan w:val="2"/>
          </w:tcPr>
          <w:p w14:paraId="5D7F3CC8" w14:textId="77777777" w:rsidR="007075D9" w:rsidRPr="004D46AC" w:rsidRDefault="007075D9" w:rsidP="00705E90">
            <w:pPr>
              <w:spacing w:line="360" w:lineRule="auto"/>
              <w:ind w:firstLine="0"/>
            </w:pPr>
            <w:bookmarkStart w:id="197" w:name="_Toc219857602"/>
            <w:r w:rsidRPr="004D46AC">
              <w:t>5.52 (2.10)</w:t>
            </w:r>
            <w:bookmarkEnd w:id="197"/>
          </w:p>
        </w:tc>
      </w:tr>
      <w:tr w:rsidR="007075D9" w:rsidRPr="004D46AC" w14:paraId="06D1D643" w14:textId="77777777" w:rsidTr="00B518F1">
        <w:tc>
          <w:tcPr>
            <w:tcW w:w="3157" w:type="dxa"/>
          </w:tcPr>
          <w:p w14:paraId="760B6641" w14:textId="77777777" w:rsidR="007075D9" w:rsidRPr="004D46AC" w:rsidRDefault="007075D9" w:rsidP="00705E90">
            <w:pPr>
              <w:spacing w:line="360" w:lineRule="auto"/>
              <w:ind w:firstLine="0"/>
            </w:pPr>
            <w:bookmarkStart w:id="198" w:name="_Toc219857603"/>
            <w:proofErr w:type="spellStart"/>
            <w:r w:rsidRPr="004D46AC">
              <w:t>IoU</w:t>
            </w:r>
            <w:proofErr w:type="spellEnd"/>
            <w:r w:rsidRPr="004D46AC">
              <w:t xml:space="preserve">, </w:t>
            </w:r>
            <w:r w:rsidRPr="004D46AC">
              <w:rPr>
                <w:i/>
                <w:iCs/>
              </w:rPr>
              <w:t>M</w:t>
            </w:r>
            <w:r w:rsidRPr="004D46AC">
              <w:t>(</w:t>
            </w:r>
            <w:r w:rsidRPr="004D46AC">
              <w:rPr>
                <w:i/>
                <w:iCs/>
              </w:rPr>
              <w:t>SD</w:t>
            </w:r>
            <w:r w:rsidRPr="004D46AC">
              <w:t>)</w:t>
            </w:r>
            <w:r w:rsidRPr="004D46AC">
              <w:rPr>
                <w:vertAlign w:val="superscript"/>
              </w:rPr>
              <w:t>d</w:t>
            </w:r>
            <w:bookmarkEnd w:id="198"/>
          </w:p>
        </w:tc>
        <w:tc>
          <w:tcPr>
            <w:tcW w:w="5139" w:type="dxa"/>
            <w:gridSpan w:val="2"/>
          </w:tcPr>
          <w:p w14:paraId="2E5ED303" w14:textId="77777777" w:rsidR="007075D9" w:rsidRPr="004D46AC" w:rsidRDefault="007075D9" w:rsidP="00705E90">
            <w:pPr>
              <w:spacing w:line="360" w:lineRule="auto"/>
              <w:ind w:firstLine="0"/>
            </w:pPr>
          </w:p>
        </w:tc>
      </w:tr>
      <w:tr w:rsidR="007075D9" w:rsidRPr="004D46AC" w14:paraId="19F6DEF5" w14:textId="77777777" w:rsidTr="00B518F1">
        <w:tc>
          <w:tcPr>
            <w:tcW w:w="3157" w:type="dxa"/>
          </w:tcPr>
          <w:p w14:paraId="3B157659" w14:textId="77777777" w:rsidR="007075D9" w:rsidRPr="004D46AC" w:rsidRDefault="007075D9" w:rsidP="00705E90">
            <w:pPr>
              <w:spacing w:line="360" w:lineRule="auto"/>
              <w:ind w:firstLine="0"/>
            </w:pPr>
            <w:bookmarkStart w:id="199" w:name="_Toc219857604"/>
            <w:r w:rsidRPr="004D46AC">
              <w:t>Total</w:t>
            </w:r>
            <w:bookmarkEnd w:id="199"/>
          </w:p>
        </w:tc>
        <w:tc>
          <w:tcPr>
            <w:tcW w:w="5139" w:type="dxa"/>
            <w:gridSpan w:val="2"/>
          </w:tcPr>
          <w:p w14:paraId="4169FC0A" w14:textId="77777777" w:rsidR="007075D9" w:rsidRPr="004D46AC" w:rsidRDefault="007075D9" w:rsidP="00705E90">
            <w:pPr>
              <w:spacing w:line="360" w:lineRule="auto"/>
              <w:ind w:firstLine="0"/>
            </w:pPr>
            <w:bookmarkStart w:id="200" w:name="_Toc219857605"/>
            <w:r w:rsidRPr="004D46AC">
              <w:t>34.27 (8.97)</w:t>
            </w:r>
            <w:bookmarkEnd w:id="200"/>
          </w:p>
        </w:tc>
      </w:tr>
      <w:tr w:rsidR="007075D9" w:rsidRPr="004D46AC" w14:paraId="6B11FD52" w14:textId="77777777" w:rsidTr="00B518F1">
        <w:tc>
          <w:tcPr>
            <w:tcW w:w="3157" w:type="dxa"/>
          </w:tcPr>
          <w:p w14:paraId="2ED40FE2" w14:textId="77777777" w:rsidR="007075D9" w:rsidRPr="004D46AC" w:rsidRDefault="007075D9" w:rsidP="00705E90">
            <w:pPr>
              <w:spacing w:line="360" w:lineRule="auto"/>
              <w:ind w:firstLine="0"/>
            </w:pPr>
            <w:bookmarkStart w:id="201" w:name="_Toc219857606"/>
            <w:r w:rsidRPr="004D46AC">
              <w:t>Inhibitory</w:t>
            </w:r>
            <w:bookmarkEnd w:id="201"/>
          </w:p>
        </w:tc>
        <w:tc>
          <w:tcPr>
            <w:tcW w:w="5139" w:type="dxa"/>
            <w:gridSpan w:val="2"/>
          </w:tcPr>
          <w:p w14:paraId="18721165" w14:textId="77777777" w:rsidR="007075D9" w:rsidRPr="004D46AC" w:rsidRDefault="007075D9" w:rsidP="00705E90">
            <w:pPr>
              <w:spacing w:line="360" w:lineRule="auto"/>
              <w:ind w:firstLine="0"/>
            </w:pPr>
            <w:bookmarkStart w:id="202" w:name="_Toc219857607"/>
            <w:r w:rsidRPr="004D46AC">
              <w:t>12.42 (5.00)</w:t>
            </w:r>
            <w:bookmarkEnd w:id="202"/>
          </w:p>
        </w:tc>
      </w:tr>
      <w:tr w:rsidR="007075D9" w:rsidRPr="004D46AC" w14:paraId="1F3173A0" w14:textId="77777777" w:rsidTr="00B518F1">
        <w:tc>
          <w:tcPr>
            <w:tcW w:w="3157" w:type="dxa"/>
          </w:tcPr>
          <w:p w14:paraId="2C302462" w14:textId="77777777" w:rsidR="007075D9" w:rsidRPr="004D46AC" w:rsidRDefault="007075D9" w:rsidP="00705E90">
            <w:pPr>
              <w:spacing w:line="360" w:lineRule="auto"/>
              <w:ind w:firstLine="0"/>
            </w:pPr>
            <w:bookmarkStart w:id="203" w:name="_Toc219857608"/>
            <w:r w:rsidRPr="004D46AC">
              <w:t>Prospective</w:t>
            </w:r>
            <w:bookmarkEnd w:id="203"/>
          </w:p>
        </w:tc>
        <w:tc>
          <w:tcPr>
            <w:tcW w:w="5139" w:type="dxa"/>
            <w:gridSpan w:val="2"/>
          </w:tcPr>
          <w:p w14:paraId="4DF0852A" w14:textId="77777777" w:rsidR="007075D9" w:rsidRPr="004D46AC" w:rsidRDefault="007075D9" w:rsidP="00705E90">
            <w:pPr>
              <w:spacing w:line="360" w:lineRule="auto"/>
              <w:ind w:firstLine="0"/>
            </w:pPr>
            <w:bookmarkStart w:id="204" w:name="_Toc219857609"/>
            <w:r w:rsidRPr="004D46AC">
              <w:t>21.86 (5.06)</w:t>
            </w:r>
            <w:bookmarkEnd w:id="204"/>
          </w:p>
        </w:tc>
      </w:tr>
      <w:tr w:rsidR="007075D9" w:rsidRPr="004D46AC" w14:paraId="2C2CBB66" w14:textId="77777777" w:rsidTr="00B518F1">
        <w:tc>
          <w:tcPr>
            <w:tcW w:w="3157" w:type="dxa"/>
          </w:tcPr>
          <w:p w14:paraId="472D9306" w14:textId="77777777" w:rsidR="007075D9" w:rsidRPr="004D46AC" w:rsidRDefault="007075D9" w:rsidP="00705E90">
            <w:pPr>
              <w:spacing w:line="360" w:lineRule="auto"/>
              <w:ind w:firstLine="0"/>
            </w:pPr>
            <w:bookmarkStart w:id="205" w:name="_Toc219857610"/>
            <w:r w:rsidRPr="004D46AC">
              <w:t>Attachment,</w:t>
            </w:r>
            <w:r w:rsidRPr="004D46AC">
              <w:rPr>
                <w:i/>
                <w:iCs/>
              </w:rPr>
              <w:t xml:space="preserve"> M</w:t>
            </w:r>
            <w:r w:rsidRPr="004D46AC">
              <w:t>(</w:t>
            </w:r>
            <w:r w:rsidRPr="004D46AC">
              <w:rPr>
                <w:i/>
                <w:iCs/>
              </w:rPr>
              <w:t>SD</w:t>
            </w:r>
            <w:r w:rsidRPr="004D46AC">
              <w:t>)</w:t>
            </w:r>
            <w:r w:rsidRPr="004D46AC">
              <w:rPr>
                <w:vertAlign w:val="superscript"/>
              </w:rPr>
              <w:t>e</w:t>
            </w:r>
            <w:bookmarkEnd w:id="205"/>
          </w:p>
        </w:tc>
        <w:tc>
          <w:tcPr>
            <w:tcW w:w="5139" w:type="dxa"/>
            <w:gridSpan w:val="2"/>
          </w:tcPr>
          <w:p w14:paraId="3A6E151D" w14:textId="77777777" w:rsidR="007075D9" w:rsidRPr="004D46AC" w:rsidRDefault="007075D9" w:rsidP="00705E90">
            <w:pPr>
              <w:spacing w:line="360" w:lineRule="auto"/>
              <w:ind w:firstLine="0"/>
            </w:pPr>
          </w:p>
        </w:tc>
      </w:tr>
      <w:tr w:rsidR="007075D9" w:rsidRPr="004D46AC" w14:paraId="50EC1B97" w14:textId="77777777" w:rsidTr="00B518F1">
        <w:tc>
          <w:tcPr>
            <w:tcW w:w="3157" w:type="dxa"/>
          </w:tcPr>
          <w:p w14:paraId="4B1E04EE" w14:textId="77777777" w:rsidR="007075D9" w:rsidRPr="004D46AC" w:rsidRDefault="007075D9" w:rsidP="00705E90">
            <w:pPr>
              <w:spacing w:line="360" w:lineRule="auto"/>
              <w:ind w:firstLine="0"/>
            </w:pPr>
            <w:bookmarkStart w:id="206" w:name="_Toc219857611"/>
            <w:r w:rsidRPr="004D46AC">
              <w:lastRenderedPageBreak/>
              <w:t>Anxiety</w:t>
            </w:r>
            <w:bookmarkEnd w:id="206"/>
          </w:p>
        </w:tc>
        <w:tc>
          <w:tcPr>
            <w:tcW w:w="5139" w:type="dxa"/>
            <w:gridSpan w:val="2"/>
          </w:tcPr>
          <w:p w14:paraId="59B0063C" w14:textId="77777777" w:rsidR="007075D9" w:rsidRPr="004D46AC" w:rsidRDefault="007075D9" w:rsidP="00705E90">
            <w:pPr>
              <w:spacing w:line="360" w:lineRule="auto"/>
              <w:ind w:firstLine="0"/>
            </w:pPr>
            <w:bookmarkStart w:id="207" w:name="_Toc219857612"/>
            <w:r w:rsidRPr="004D46AC">
              <w:t>19.27 (8.88)</w:t>
            </w:r>
            <w:bookmarkEnd w:id="207"/>
          </w:p>
        </w:tc>
      </w:tr>
      <w:tr w:rsidR="007075D9" w:rsidRPr="004D46AC" w14:paraId="5EE17B31" w14:textId="77777777" w:rsidTr="00B518F1">
        <w:tc>
          <w:tcPr>
            <w:tcW w:w="3157" w:type="dxa"/>
          </w:tcPr>
          <w:p w14:paraId="0CEB49FF" w14:textId="77777777" w:rsidR="007075D9" w:rsidRPr="004D46AC" w:rsidRDefault="007075D9" w:rsidP="00705E90">
            <w:pPr>
              <w:spacing w:line="360" w:lineRule="auto"/>
              <w:ind w:firstLine="0"/>
            </w:pPr>
            <w:bookmarkStart w:id="208" w:name="_Toc219857613"/>
            <w:r w:rsidRPr="004D46AC">
              <w:t>Avoid</w:t>
            </w:r>
            <w:bookmarkEnd w:id="208"/>
          </w:p>
        </w:tc>
        <w:tc>
          <w:tcPr>
            <w:tcW w:w="5139" w:type="dxa"/>
            <w:gridSpan w:val="2"/>
          </w:tcPr>
          <w:p w14:paraId="398282D2" w14:textId="77777777" w:rsidR="007075D9" w:rsidRPr="004D46AC" w:rsidRDefault="007075D9" w:rsidP="00705E90">
            <w:pPr>
              <w:spacing w:line="360" w:lineRule="auto"/>
              <w:ind w:firstLine="0"/>
            </w:pPr>
            <w:bookmarkStart w:id="209" w:name="_Toc219857614"/>
            <w:r w:rsidRPr="004D46AC">
              <w:t>22.99 (7.26)</w:t>
            </w:r>
            <w:bookmarkEnd w:id="209"/>
          </w:p>
        </w:tc>
      </w:tr>
      <w:tr w:rsidR="007075D9" w:rsidRPr="004D46AC" w14:paraId="07E2F26C" w14:textId="77777777" w:rsidTr="00B518F1">
        <w:tc>
          <w:tcPr>
            <w:tcW w:w="3157" w:type="dxa"/>
          </w:tcPr>
          <w:p w14:paraId="0B3FFCE4" w14:textId="77777777" w:rsidR="007075D9" w:rsidRPr="004D46AC" w:rsidRDefault="007075D9" w:rsidP="00705E90">
            <w:pPr>
              <w:spacing w:line="360" w:lineRule="auto"/>
              <w:ind w:firstLine="0"/>
            </w:pPr>
            <w:bookmarkStart w:id="210" w:name="_Toc219857615"/>
            <w:r w:rsidRPr="004D46AC">
              <w:t xml:space="preserve">ACE, </w:t>
            </w:r>
            <w:r w:rsidRPr="004D46AC">
              <w:rPr>
                <w:i/>
                <w:iCs/>
              </w:rPr>
              <w:t>M</w:t>
            </w:r>
            <w:r w:rsidRPr="004D46AC">
              <w:t>(</w:t>
            </w:r>
            <w:r w:rsidRPr="004D46AC">
              <w:rPr>
                <w:i/>
                <w:iCs/>
              </w:rPr>
              <w:t>SD</w:t>
            </w:r>
            <w:r w:rsidRPr="004D46AC">
              <w:t>)</w:t>
            </w:r>
            <w:r w:rsidRPr="004D46AC">
              <w:rPr>
                <w:vertAlign w:val="superscript"/>
              </w:rPr>
              <w:t>f</w:t>
            </w:r>
            <w:bookmarkEnd w:id="210"/>
          </w:p>
        </w:tc>
        <w:tc>
          <w:tcPr>
            <w:tcW w:w="5139" w:type="dxa"/>
            <w:gridSpan w:val="2"/>
          </w:tcPr>
          <w:p w14:paraId="30D5747F" w14:textId="77777777" w:rsidR="007075D9" w:rsidRPr="004D46AC" w:rsidRDefault="007075D9" w:rsidP="00705E90">
            <w:pPr>
              <w:spacing w:line="360" w:lineRule="auto"/>
              <w:ind w:firstLine="0"/>
            </w:pPr>
            <w:bookmarkStart w:id="211" w:name="_Toc219857616"/>
            <w:r w:rsidRPr="004D46AC">
              <w:t>0.80 (1.31)</w:t>
            </w:r>
            <w:bookmarkEnd w:id="211"/>
          </w:p>
        </w:tc>
      </w:tr>
    </w:tbl>
    <w:p w14:paraId="287ADB3F" w14:textId="77777777" w:rsidR="007075D9" w:rsidRPr="004D46AC" w:rsidRDefault="007075D9" w:rsidP="00705E90">
      <w:pPr>
        <w:spacing w:line="360" w:lineRule="auto"/>
        <w:ind w:firstLine="0"/>
        <w:rPr>
          <w:vertAlign w:val="superscript"/>
        </w:rPr>
      </w:pPr>
      <w:r w:rsidRPr="004D46AC">
        <w:rPr>
          <w:i/>
          <w:iCs/>
        </w:rPr>
        <w:t>Note</w:t>
      </w:r>
      <w:r w:rsidRPr="004D46AC">
        <w:rPr>
          <w:bCs/>
        </w:rPr>
        <w:t xml:space="preserve">. </w:t>
      </w:r>
      <w:r w:rsidRPr="004D46AC">
        <w:t>CO: Covariate, DV: Dependent Variable, IV: Independent Variable</w:t>
      </w:r>
      <w:r w:rsidRPr="004D46AC">
        <w:rPr>
          <w:rFonts w:hint="eastAsia"/>
        </w:rPr>
        <w:t xml:space="preserve">. </w:t>
      </w:r>
      <w:r w:rsidRPr="004D46AC">
        <w:t xml:space="preserve">ACE: Adverse childhood events, BFI: Big five personality inventory, GAD: Generalised Anxiety Disorder Questionnaire, </w:t>
      </w:r>
      <w:proofErr w:type="spellStart"/>
      <w:r w:rsidRPr="004D46AC">
        <w:t>IoU</w:t>
      </w:r>
      <w:proofErr w:type="spellEnd"/>
      <w:r w:rsidRPr="004D46AC">
        <w:t>: Intolerance of uncertainty, MDQ: Mood disorder questionnaire, PHQ-9: Patient Health Questionnaire-9, PSQ: Psychosis screening questionnaire; SSR: Subjective Social Ranking.</w:t>
      </w:r>
      <w:r w:rsidRPr="004D46AC">
        <w:rPr>
          <w:vertAlign w:val="superscript"/>
        </w:rPr>
        <w:t xml:space="preserve"> </w:t>
      </w:r>
    </w:p>
    <w:p w14:paraId="0C39DAB4" w14:textId="77777777" w:rsidR="007075D9" w:rsidRPr="004D46AC" w:rsidRDefault="007075D9" w:rsidP="00705E90">
      <w:pPr>
        <w:spacing w:line="360" w:lineRule="auto"/>
        <w:ind w:firstLine="0"/>
      </w:pPr>
      <w:r w:rsidRPr="004D46AC">
        <w:rPr>
          <w:vertAlign w:val="superscript"/>
        </w:rPr>
        <w:t>a</w:t>
      </w:r>
      <w:r w:rsidRPr="004D46AC">
        <w:t xml:space="preserve"> Missing value: wave 5 (n = 7), wave 9 (n = 136).</w:t>
      </w:r>
    </w:p>
    <w:p w14:paraId="2287E490" w14:textId="77777777" w:rsidR="007075D9" w:rsidRPr="004D46AC" w:rsidRDefault="007075D9" w:rsidP="00705E90">
      <w:pPr>
        <w:spacing w:line="360" w:lineRule="auto"/>
        <w:ind w:firstLine="0"/>
      </w:pPr>
      <w:r w:rsidRPr="004D46AC">
        <w:rPr>
          <w:vertAlign w:val="superscript"/>
        </w:rPr>
        <w:t xml:space="preserve">b </w:t>
      </w:r>
      <w:r w:rsidRPr="004D46AC">
        <w:t>Missing value: wave 9 (n = 143).</w:t>
      </w:r>
    </w:p>
    <w:p w14:paraId="5258327E" w14:textId="77777777" w:rsidR="007075D9" w:rsidRPr="004D46AC" w:rsidRDefault="007075D9" w:rsidP="00705E90">
      <w:pPr>
        <w:spacing w:line="360" w:lineRule="auto"/>
        <w:ind w:firstLine="0"/>
      </w:pPr>
      <w:r w:rsidRPr="004D46AC">
        <w:rPr>
          <w:vertAlign w:val="superscript"/>
        </w:rPr>
        <w:t xml:space="preserve">c </w:t>
      </w:r>
      <w:r w:rsidRPr="004D46AC">
        <w:t xml:space="preserve">Baseline (wave1): BFI-10, </w:t>
      </w:r>
      <w:proofErr w:type="spellStart"/>
      <w:r w:rsidRPr="004D46AC">
        <w:t>IoU</w:t>
      </w:r>
      <w:proofErr w:type="spellEnd"/>
      <w:r w:rsidRPr="004D46AC">
        <w:t>, Urbanicity; wave 5: ACE, wave 6: Attachment (assessed by Experiences in Close Relationships-12).</w:t>
      </w:r>
    </w:p>
    <w:p w14:paraId="1C95DEDF" w14:textId="77777777" w:rsidR="007075D9" w:rsidRPr="004D46AC" w:rsidRDefault="007075D9" w:rsidP="00705E90">
      <w:pPr>
        <w:spacing w:line="360" w:lineRule="auto"/>
        <w:ind w:firstLine="0"/>
      </w:pPr>
      <w:r w:rsidRPr="004D46AC">
        <w:rPr>
          <w:vertAlign w:val="superscript"/>
        </w:rPr>
        <w:t xml:space="preserve">d </w:t>
      </w:r>
      <w:r w:rsidRPr="004D46AC">
        <w:t>Missing value: n = 1358.</w:t>
      </w:r>
    </w:p>
    <w:p w14:paraId="3C93D559" w14:textId="77777777" w:rsidR="007075D9" w:rsidRPr="004D46AC" w:rsidRDefault="007075D9" w:rsidP="00705E90">
      <w:pPr>
        <w:spacing w:line="360" w:lineRule="auto"/>
        <w:ind w:firstLine="0"/>
      </w:pPr>
      <w:r w:rsidRPr="004D46AC">
        <w:rPr>
          <w:vertAlign w:val="superscript"/>
        </w:rPr>
        <w:t xml:space="preserve">e </w:t>
      </w:r>
      <w:r w:rsidRPr="004D46AC">
        <w:t>Missing value: n = 1097.</w:t>
      </w:r>
    </w:p>
    <w:p w14:paraId="0E6C83FD" w14:textId="77777777" w:rsidR="007075D9" w:rsidRPr="004D46AC" w:rsidRDefault="007075D9" w:rsidP="00705E90">
      <w:pPr>
        <w:spacing w:line="360" w:lineRule="auto"/>
        <w:ind w:firstLine="0"/>
      </w:pPr>
      <w:r w:rsidRPr="004D46AC">
        <w:rPr>
          <w:vertAlign w:val="superscript"/>
        </w:rPr>
        <w:t xml:space="preserve">f </w:t>
      </w:r>
      <w:r w:rsidRPr="004D46AC">
        <w:t>Missing value: n = 504.</w:t>
      </w:r>
    </w:p>
    <w:p w14:paraId="74102D6A" w14:textId="77777777" w:rsidR="007075D9" w:rsidRPr="004D46AC" w:rsidRDefault="007075D9" w:rsidP="00B518F1">
      <w:pPr>
        <w:spacing w:line="360" w:lineRule="auto"/>
      </w:pPr>
    </w:p>
    <w:p w14:paraId="2BAB37AA" w14:textId="77777777" w:rsidR="007075D9" w:rsidRPr="004D46AC" w:rsidRDefault="007075D9" w:rsidP="00B518F1">
      <w:pPr>
        <w:pStyle w:val="3"/>
      </w:pPr>
      <w:r w:rsidRPr="004D46AC">
        <w:t>Materials</w:t>
      </w:r>
    </w:p>
    <w:p w14:paraId="62834DD9" w14:textId="77777777" w:rsidR="007075D9" w:rsidRPr="004D46AC" w:rsidRDefault="007075D9" w:rsidP="00B518F1">
      <w:pPr>
        <w:pStyle w:val="4"/>
        <w:rPr>
          <w:bCs w:val="0"/>
        </w:rPr>
      </w:pPr>
      <w:r w:rsidRPr="004D46AC">
        <w:rPr>
          <w:rFonts w:hint="eastAsia"/>
        </w:rPr>
        <w:t>Primary symptom measures</w:t>
      </w:r>
    </w:p>
    <w:p w14:paraId="624E568C" w14:textId="77777777" w:rsidR="007075D9" w:rsidRPr="004D46AC" w:rsidRDefault="007075D9" w:rsidP="00B518F1">
      <w:pPr>
        <w:pStyle w:val="5"/>
      </w:pPr>
      <w:r w:rsidRPr="004D46AC">
        <w:t>Patient Health Questionnaire-9 (PHQ-9)</w:t>
      </w:r>
    </w:p>
    <w:p w14:paraId="725B1518" w14:textId="77777777" w:rsidR="007075D9" w:rsidRPr="004D46AC" w:rsidRDefault="007075D9" w:rsidP="00B518F1">
      <w:r w:rsidRPr="004D46AC">
        <w:t xml:space="preserve">The PHQ-9 is a widely used, brief self-report instrument for assessing depression </w:t>
      </w:r>
      <w:r w:rsidRPr="004D46AC">
        <w:fldChar w:fldCharType="begin"/>
      </w:r>
      <w:r w:rsidRPr="004D46AC">
        <w:instrText xml:space="preserve"> ADDIN EN.CITE &lt;EndNote&gt;&lt;Cite&gt;&lt;Author&gt;Kroenke&lt;/Author&gt;&lt;Year&gt;2001&lt;/Year&gt;&lt;RecNum&gt;866&lt;/RecNum&gt;&lt;DisplayText&gt;(Kroenke et al., 2001)&lt;/DisplayText&gt;&lt;record&gt;&lt;rec-number&gt;866&lt;/rec-number&gt;&lt;foreign-keys&gt;&lt;key app="EN" db-id="aet009sstawa0hewvt3xwf5atffdw2dt02sw" timestamp="1738696003"&gt;866&lt;/key&gt;&lt;/foreign-keys&gt;&lt;ref-type name="Journal Article"&gt;17&lt;/ref-type&gt;&lt;contributors&gt;&lt;authors&gt;&lt;author&gt;Kroenke, K.&lt;/author&gt;&lt;author&gt;Spitzer, R. L.&lt;/author&gt;&lt;author&gt;Williams, J. B.&lt;/author&gt;&lt;/authors&gt;&lt;/contributors&gt;&lt;auth-address&gt;Regenstrief Institute for Health Care and Department of Medicine, Indiana University, Indianapolis 46202, USA. kkroenke@regenstrief.org&lt;/auth-address&gt;&lt;titles&gt;&lt;title&gt;The PHQ-9: validity of a brief depression severity measure&lt;/title&gt;&lt;secondary-title&gt;J Gen Intern Med&lt;/secondary-title&gt;&lt;/titles&gt;&lt;periodical&gt;&lt;full-title&gt;J Gen Intern Med&lt;/full-title&gt;&lt;/periodical&gt;&lt;pages&gt;606-13&lt;/pages&gt;&lt;volume&gt;16&lt;/volume&gt;&lt;number&gt;9&lt;/number&gt;&lt;keywords&gt;&lt;keyword&gt;Adult&lt;/keyword&gt;&lt;keyword&gt;Depression/*diagnosis&lt;/keyword&gt;&lt;keyword&gt;Female&lt;/keyword&gt;&lt;keyword&gt;Humans&lt;/keyword&gt;&lt;keyword&gt;Male&lt;/keyword&gt;&lt;keyword&gt;Middle Aged&lt;/keyword&gt;&lt;keyword&gt;Psychological Tests&lt;/keyword&gt;&lt;keyword&gt;Reproducibility of Results&lt;/keyword&gt;&lt;keyword&gt;*Severity of Illness Index&lt;/keyword&gt;&lt;keyword&gt;*Surveys and Questionnaires&lt;/keyword&gt;&lt;/keywords&gt;&lt;dates&gt;&lt;year&gt;2001&lt;/year&gt;&lt;pub-dates&gt;&lt;date&gt;Sep&lt;/date&gt;&lt;/pub-dates&gt;&lt;/dates&gt;&lt;isbn&gt;0884-8734 (Print)&amp;#xD;1525-1497 (Electronic)&amp;#xD;0884-8734 (Linking)&lt;/isbn&gt;&lt;accession-num&gt;11556941&lt;/accession-num&gt;&lt;urls&gt;&lt;related-urls&gt;&lt;url&gt;https://www.ncbi.nlm.nih.gov/pubmed/11556941&lt;/url&gt;&lt;/related-urls&gt;&lt;/urls&gt;&lt;custom2&gt;PMC1495268&lt;/custom2&gt;&lt;electronic-resource-num&gt;10.1046/j.1525-1497.2001.016009606.x&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(Kroenke et al., 2001)</w:t>
      </w:r>
      <w:r w:rsidRPr="004D46AC">
        <w:fldChar w:fldCharType="end"/>
      </w:r>
      <w:r w:rsidRPr="004D46AC">
        <w:t>. It consists of 9 items reflecting key depressive symptoms (e.g., feeling down, depressed, or hopeless), with demonstrated validity and reliability</w:t>
      </w:r>
      <w:r w:rsidRPr="004D46AC">
        <w:rPr>
          <w:noProof/>
        </w:rPr>
        <w:t>.</w:t>
      </w:r>
      <w:r w:rsidRPr="004D46AC">
        <w:t xml:space="preserve"> Each item is rated on a 4-point scale from 0 (not at all) to 3 (nearly every day), with higher scores indicating greater severity; scores above 10 suggest clinical risk for depression </w:t>
      </w:r>
      <w:r w:rsidRPr="004D46AC">
        <w:fldChar w:fldCharType="begin">
          <w:fldData xml:space="preserve">PEVuZE5vdGU+PENpdGU+PEF1dGhvcj5NYW5lYTwvQXV0aG9yPjxZZWFyPjIwMTU8L1llYXI+PFJl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</w:fldData>
        </w:fldChar>
      </w:r>
      <w:r w:rsidRPr="004D46AC">
        <w:instrText xml:space="preserve"> ADDIN EN.CITE </w:instrText>
      </w:r>
      <w:r w:rsidRPr="004D46AC">
        <w:fldChar w:fldCharType="begin">
          <w:fldData xml:space="preserve">PEVuZE5vdGU+PENpdGU+PEF1dGhvcj5NYW5lYTwvQXV0aG9yPjxZZWFyPjIwMTU8L1llYXI+PFJl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(Manea et al., 2015)</w:t>
      </w:r>
      <w:r w:rsidRPr="004D46AC">
        <w:fldChar w:fldCharType="end"/>
      </w:r>
      <w:r w:rsidRPr="004D46AC">
        <w:t>. The PHQ-9 data from waves 1, 5, and 9 were used in regression models, incorporating both total scores and a dichotomized risk status (0: not at risk, 1: at risk). Individual items were included in network models for waves 5 and 9. Cronbach’s alphas for the PHQ-9 at waves 1, 5, and 9 were .91, .93, and .93, respectively, indicating excellent internal consistency across time. We included PHQ-9 severity at wave 5 as a baseline covariate in longitudinal regression models predicting PHQ-9 scores at wave 9.</w:t>
      </w:r>
    </w:p>
    <w:p w14:paraId="2B452A90" w14:textId="77777777" w:rsidR="007075D9" w:rsidRPr="004D46AC" w:rsidRDefault="007075D9" w:rsidP="00B518F1">
      <w:pPr>
        <w:pStyle w:val="5"/>
      </w:pPr>
      <w:r w:rsidRPr="004D46AC">
        <w:lastRenderedPageBreak/>
        <w:t>Psychosis Screening Questionnaire (PSQ)</w:t>
      </w:r>
    </w:p>
    <w:p w14:paraId="177E9F12" w14:textId="77777777" w:rsidR="007075D9" w:rsidRPr="004D46AC" w:rsidRDefault="007075D9" w:rsidP="00B518F1">
      <w:pPr>
        <w:rPr>
          <w:rFonts w:eastAsia="SimSun"/>
          <w:color w:val="263947"/>
          <w:kern w:val="0"/>
          <w14:ligatures w14:val="none"/>
        </w:rPr>
      </w:pPr>
      <w:r w:rsidRPr="004D46AC">
        <w:t xml:space="preserve">The PSQ screens for psychotic-like experiences to assess potential psychosis risk </w:t>
      </w:r>
      <w:r w:rsidRPr="004D46AC">
        <w:fldChar w:fldCharType="begin"/>
      </w:r>
      <w:r w:rsidRPr="004D46AC">
        <w:instrText xml:space="preserve"> ADDIN EN.CITE &lt;EndNote&gt;&lt;Cite&gt;&lt;Author&gt;Bebbington&lt;/Author&gt;&lt;Year&gt;1995&lt;/Year&gt;&lt;RecNum&gt;804&lt;/RecNum&gt;&lt;DisplayText&gt;(Bebbington &amp;amp; Nayani, 1995)&lt;/DisplayText&gt;&lt;record&gt;&lt;rec-number&gt;804&lt;/rec-number&gt;&lt;foreign-keys&gt;&lt;key app="EN" db-id="aet009sstawa0hewvt3xwf5atffdw2dt02sw" timestamp="1734643093"&gt;804&lt;/key&gt;&lt;/foreign-keys&gt;&lt;ref-type name="Journal Article"&gt;17&lt;/ref-type&gt;&lt;contributors&gt;&lt;authors&gt;&lt;author&gt;Bebbington, Paul&lt;/author&gt;&lt;author&gt;Nayani, Tony&lt;/author&gt;&lt;/authors&gt;&lt;/contributors&gt;&lt;titles&gt;&lt;title&gt;The psychosis screening questionnaire&lt;/title&gt;&lt;secondary-title&gt;International Journal of methods in Psychiatric research&lt;/secondary-title&gt;&lt;/titles&gt;&lt;periodical&gt;&lt;full-title&gt;International journal of methods in psychiatric research&lt;/full-title&gt;&lt;/periodical&gt;&lt;dates&gt;&lt;year&gt;1995&lt;/year&gt;&lt;/dates&gt;&lt;isbn&gt;1557-0657&lt;/isbn&gt;&lt;urls&gt;&lt;/urls&gt;&lt;/record&gt;&lt;/Cite&gt;&lt;/EndNote&gt;</w:instrText>
      </w:r>
      <w:r w:rsidRPr="004D46AC">
        <w:fldChar w:fldCharType="separate"/>
      </w:r>
      <w:r w:rsidRPr="004D46AC">
        <w:rPr>
          <w:noProof/>
        </w:rPr>
        <w:t>(Bebbington &amp; Nayani, 1995)</w:t>
      </w:r>
      <w:r w:rsidRPr="004D46AC">
        <w:fldChar w:fldCharType="end"/>
      </w:r>
      <w:r w:rsidRPr="004D46AC">
        <w:t xml:space="preserve">, and has been designed for use in epidemiological studies such as the Adult Psychiatric Morbidity Survey </w:t>
      </w:r>
      <w:r w:rsidRPr="004D46AC">
        <w:fldChar w:fldCharType="begin"/>
      </w:r>
      <w:r w:rsidRPr="004D46AC">
        <w:instrText xml:space="preserve"> ADDIN EN.CITE &lt;EndNote&gt;&lt;Cite&gt;&lt;Author&gt;NHS&lt;/Author&gt;&lt;Year&gt;2024&lt;/Year&gt;&lt;RecNum&gt;802&lt;/RecNum&gt;&lt;DisplayText&gt;(NHS, 2024)&lt;/DisplayText&gt;&lt;record&gt;&lt;rec-number&gt;802&lt;/rec-number&gt;&lt;foreign-keys&gt;&lt;key app="EN" db-id="aet009sstawa0hewvt3xwf5atffdw2dt02sw" timestamp="1734642789"&gt;802&lt;/key&gt;&lt;/foreign-keys&gt;&lt;ref-type name="Web Page"&gt;12&lt;/ref-type&gt;&lt;contributors&gt;&lt;authors&gt;&lt;author&gt;NHS&lt;/author&gt;&lt;/authors&gt;&lt;/contributors&gt;&lt;titles&gt;&lt;title&gt;Adult Psychiatric Morbidity Survey&lt;/title&gt;&lt;/titles&gt;&lt;dates&gt;&lt;year&gt;2024&lt;/year&gt;&lt;/dates&gt;&lt;pub-location&gt;&lt;style face="normal" font="default" size="100%"&gt;the&lt;/style&gt;&lt;style face="normal" font="default" charset="134" size="100%"&gt; &lt;/style&gt;&lt;style face="normal" font="default" size="100%"&gt;UK&lt;/style&gt;&lt;/pub-location&gt;&lt;urls&gt;&lt;related-urls&gt;&lt;url&gt;https://digital.nhs.uk/data-and-information/publications/statistical/adult-psychiatric-morbidity-survey&lt;/url&gt;&lt;/related-urls&gt;&lt;/urls&gt;&lt;/record&gt;&lt;/Cite&gt;&lt;/EndNote&gt;</w:instrText>
      </w:r>
      <w:r w:rsidRPr="004D46AC">
        <w:fldChar w:fldCharType="separate"/>
      </w:r>
      <w:r w:rsidRPr="004D46AC">
        <w:rPr>
          <w:noProof/>
        </w:rPr>
        <w:t>(NHS, 2024)</w:t>
      </w:r>
      <w:r w:rsidRPr="004D46AC">
        <w:fldChar w:fldCharType="end"/>
      </w:r>
      <w:r w:rsidRPr="004D46AC">
        <w:t>. It comprises five sections that ask about symptoms of paranoia (e.g., “</w:t>
      </w:r>
      <w:r w:rsidRPr="004D46AC">
        <w:rPr>
          <w:i/>
          <w:iCs/>
        </w:rPr>
        <w:t>Over the past year, have there been times when you felt that people were against you</w:t>
      </w:r>
      <w:r w:rsidRPr="004D46AC">
        <w:t>?”), hallucinations, unusual thought content (e.g., thought insertion, strange experiences) and hypomania</w:t>
      </w:r>
      <w:r w:rsidRPr="004D46AC">
        <w:rPr>
          <w:rFonts w:asciiTheme="minorEastAsia" w:hAnsiTheme="minorEastAsia"/>
        </w:rPr>
        <w:t xml:space="preserve">. </w:t>
      </w:r>
      <w:r w:rsidRPr="004D46AC">
        <w:t xml:space="preserve">Each section begins with a primary screening question followed by follow-up questions. Only the primary screening questions were used, excluding the hypomania probe (due to overlap with MDQ items). Each response is rated as 0 (No), 1 (Unclear), or 2 (Yes), with higher scores indicating elevated psychosis risk. Individuals who responded “Yes” to one or more primary questions were classified as being at psychosis risk, with this classification demonstrating high sensitivity and specificity,  both &gt; .94 </w:t>
      </w:r>
      <w:r w:rsidRPr="004D46AC">
        <w:fldChar w:fldCharType="begin"/>
      </w:r>
      <w:r w:rsidRPr="004D46AC">
        <w:instrText xml:space="preserve"> ADDIN EN.CITE &lt;EndNote&gt;&lt;Cite&gt;&lt;Author&gt;Bebbington&lt;/Author&gt;&lt;Year&gt;1995&lt;/Year&gt;&lt;RecNum&gt;804&lt;/RecNum&gt;&lt;DisplayText&gt;(Bebbington &amp;amp; Nayani, 1995)&lt;/DisplayText&gt;&lt;record&gt;&lt;rec-number&gt;804&lt;/rec-number&gt;&lt;foreign-keys&gt;&lt;key app="EN" db-id="aet009sstawa0hewvt3xwf5atffdw2dt02sw" timestamp="1734643093"&gt;804&lt;/key&gt;&lt;/foreign-keys&gt;&lt;ref-type name="Journal Article"&gt;17&lt;/ref-type&gt;&lt;contributors&gt;&lt;authors&gt;&lt;author&gt;Bebbington, Paul&lt;/author&gt;&lt;author&gt;Nayani, Tony&lt;/author&gt;&lt;/authors&gt;&lt;/contributors&gt;&lt;titles&gt;&lt;title&gt;The psychosis screening questionnaire&lt;/title&gt;&lt;secondary-title&gt;International Journal of methods in Psychiatric research&lt;/secondary-title&gt;&lt;/titles&gt;&lt;periodical&gt;&lt;full-title&gt;International journal of methods in psychiatric research&lt;/full-title&gt;&lt;/periodical&gt;&lt;dates&gt;&lt;year&gt;1995&lt;/year&gt;&lt;/dates&gt;&lt;isbn&gt;1557-0657&lt;/isbn&gt;&lt;urls&gt;&lt;/urls&gt;&lt;/record&gt;&lt;/Cite&gt;&lt;/EndNote&gt;</w:instrText>
      </w:r>
      <w:r w:rsidRPr="004D46AC">
        <w:fldChar w:fldCharType="separate"/>
      </w:r>
      <w:r w:rsidRPr="004D46AC">
        <w:rPr>
          <w:noProof/>
        </w:rPr>
        <w:t>(Bebbington &amp; Nayani, 1995)</w:t>
      </w:r>
      <w:r w:rsidRPr="004D46AC">
        <w:fldChar w:fldCharType="end"/>
      </w:r>
      <w:r w:rsidRPr="004D46AC">
        <w:t>. The PSQ data from waves 5 and 9 were used in regression models, with both total scores and dichotomised risk classifications. Individual items were included in network models for these waves. We included PSQ severity at wave 5 as a baseline covariate in longitudinal regression models predicting PSQ scores at wave 9.</w:t>
      </w:r>
    </w:p>
    <w:p w14:paraId="6FA93753" w14:textId="77777777" w:rsidR="007075D9" w:rsidRPr="004D46AC" w:rsidRDefault="007075D9" w:rsidP="00B518F1">
      <w:pPr>
        <w:pStyle w:val="5"/>
      </w:pPr>
      <w:r w:rsidRPr="004D46AC">
        <w:t>Mood Disorder Questionnaire (MDQ)</w:t>
      </w:r>
    </w:p>
    <w:p w14:paraId="49BC576C" w14:textId="77777777" w:rsidR="007075D9" w:rsidRPr="004D46AC" w:rsidRDefault="007075D9" w:rsidP="00B518F1">
      <w:pPr>
        <w:rPr>
          <w:b/>
          <w:bCs/>
        </w:rPr>
      </w:pPr>
      <w:r w:rsidRPr="004D46AC">
        <w:t xml:space="preserve">The MDQ includes 13 items that assess manic or hypomanic symptoms </w:t>
      </w:r>
      <w:r w:rsidRPr="004D46AC">
        <w:fldChar w:fldCharType="begin">
          <w:fldData xml:space="preserve">PEVuZE5vdGU+PENpdGU+PEF1dGhvcj5IaXJzY2hmZWxkPC9BdXRob3I+PFllYXI+MjAwMDwvWWVh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==
</w:fldData>
        </w:fldChar>
      </w:r>
      <w:r w:rsidRPr="004D46AC">
        <w:instrText xml:space="preserve"> ADDIN EN.CITE </w:instrText>
      </w:r>
      <w:r w:rsidRPr="004D46AC">
        <w:fldChar w:fldCharType="begin">
          <w:fldData xml:space="preserve">PEVuZE5vdGU+PENpdGU+PEF1dGhvcj5IaXJzY2hmZWxkPC9BdXRob3I+PFllYXI+MjAwMDwvWWVh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==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(Hirschfeld et al., 2000)</w:t>
      </w:r>
      <w:r w:rsidRPr="004D46AC">
        <w:fldChar w:fldCharType="end"/>
      </w:r>
      <w:r w:rsidRPr="004D46AC">
        <w:t xml:space="preserve">, such as increased energy or engaging in risky activities. It has been validated within general population samples with high specificity and good reliability </w:t>
      </w:r>
      <w:r w:rsidRPr="004D46AC">
        <w:fldChar w:fldCharType="begin"/>
      </w:r>
      <w:r w:rsidRPr="004D46AC">
        <w:instrText xml:space="preserve"> ADDIN EN.CITE &lt;EndNote&gt;&lt;Cite&gt;&lt;Author&gt;Hirschfeld&lt;/Author&gt;&lt;Year&gt;2003&lt;/Year&gt;&lt;RecNum&gt;1193&lt;/RecNum&gt;&lt;DisplayText&gt;(Hirschfeld et al., 2003)&lt;/DisplayText&gt;&lt;record&gt;&lt;rec-number&gt;1193&lt;/rec-number&gt;&lt;foreign-keys&gt;&lt;key app="EN" db-id="aet009sstawa0hewvt3xwf5atffdw2dt02sw" timestamp="1754751345"&gt;1193&lt;/key&gt;&lt;/foreign-keys&gt;&lt;ref-type name="Journal Article"&gt;17&lt;/ref-type&gt;&lt;contributors&gt;&lt;authors&gt;&lt;author&gt;Hirschfeld, Robert MA&lt;/author&gt;&lt;author&gt;Holzer, Charles&lt;/author&gt;&lt;author&gt;Calabrese, Joseph R&lt;/author&gt;&lt;author&gt;Weissman, Myrna&lt;/author&gt;&lt;author&gt;Reed, Michael&lt;/author&gt;&lt;author&gt;Davies, Marilyn&lt;/author&gt;&lt;author&gt;Frye, Mark A&lt;/author&gt;&lt;author&gt;Keck, Paul&lt;/author&gt;&lt;author&gt;McElroy, Susan&lt;/author&gt;&lt;author&gt;Lewis, Lydia&lt;/author&gt;&lt;/authors&gt;&lt;/contributors&gt;&lt;titles&gt;&lt;title&gt;Validity of the mood disorder questionnaire: a general population study&lt;/title&gt;&lt;secondary-title&gt;American Journal of Psychiatry&lt;/secondary-title&gt;&lt;/titles&gt;&lt;periodical&gt;&lt;full-title&gt;American Journal of Psychiatry&lt;/full-title&gt;&lt;/periodical&gt;&lt;pages&gt;178-180&lt;/pages&gt;&lt;volume&gt;160&lt;/volume&gt;&lt;number&gt;1&lt;/number&gt;&lt;dates&gt;&lt;year&gt;2003&lt;/year&gt;&lt;/dates&gt;&lt;isbn&gt;0002-953X&lt;/isbn&gt;&lt;urls&gt;&lt;/urls&gt;&lt;/record&gt;&lt;/Cite&gt;&lt;/EndNote&gt;</w:instrText>
      </w:r>
      <w:r w:rsidRPr="004D46AC">
        <w:fldChar w:fldCharType="separate"/>
      </w:r>
      <w:r w:rsidRPr="004D46AC">
        <w:rPr>
          <w:noProof/>
        </w:rPr>
        <w:t>(Hirschfeld et al., 2003)</w:t>
      </w:r>
      <w:r w:rsidRPr="004D46AC">
        <w:fldChar w:fldCharType="end"/>
      </w:r>
      <w:r w:rsidRPr="004D46AC">
        <w:t>. Each item is binary (Yes</w:t>
      </w:r>
      <w:r w:rsidRPr="004D46AC">
        <w:rPr>
          <w:rFonts w:hint="eastAsia"/>
        </w:rPr>
        <w:t xml:space="preserve"> </w:t>
      </w:r>
      <w:r w:rsidRPr="004D46AC">
        <w:t>=</w:t>
      </w:r>
      <w:r w:rsidRPr="004D46AC">
        <w:rPr>
          <w:rFonts w:hint="eastAsia"/>
        </w:rPr>
        <w:t xml:space="preserve"> </w:t>
      </w:r>
      <w:r w:rsidRPr="004D46AC">
        <w:t>1, No</w:t>
      </w:r>
      <w:r w:rsidRPr="004D46AC">
        <w:rPr>
          <w:rFonts w:hint="eastAsia"/>
        </w:rPr>
        <w:t xml:space="preserve"> </w:t>
      </w:r>
      <w:r w:rsidRPr="004D46AC">
        <w:t>=</w:t>
      </w:r>
      <w:r w:rsidRPr="004D46AC">
        <w:rPr>
          <w:rFonts w:hint="eastAsia"/>
        </w:rPr>
        <w:t xml:space="preserve"> </w:t>
      </w:r>
      <w:r w:rsidRPr="004D46AC">
        <w:t xml:space="preserve">0), indicating whether the symptom has ever been present. Higher scores suggest a greater likelihood of bipolar spectrum disorders, with scores above 9 indicating possible bipolar disorder </w:t>
      </w:r>
      <w:r w:rsidRPr="004D46AC">
        <w:fldChar w:fldCharType="begin">
          <w:fldData xml:space="preserve">PEVuZE5vdGU+PENpdGU+PEF1dGhvcj5Ud2lzczwvQXV0aG9yPjxZZWFyPjIwMDg8L1llYXI+PFJl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=
</w:fldData>
        </w:fldChar>
      </w:r>
      <w:r w:rsidRPr="004D46AC">
        <w:instrText xml:space="preserve"> ADDIN EN.CITE </w:instrText>
      </w:r>
      <w:r w:rsidRPr="004D46AC">
        <w:fldChar w:fldCharType="begin">
          <w:fldData xml:space="preserve">PEVuZE5vdGU+PENpdGU+PEF1dGhvcj5Ud2lzczwvQXV0aG9yPjxZZWFyPjIwMDg8L1llYXI+PFJl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=
</w:fldData>
        </w:fldChar>
      </w:r>
      <w:r w:rsidRPr="004D46AC">
        <w:instrText xml:space="preserve"> ADDIN EN.CITE.DATA </w:instrText>
      </w:r>
      <w:r w:rsidRPr="004D46AC">
        <w:fldChar w:fldCharType="end"/>
      </w:r>
      <w:r w:rsidRPr="004D46AC">
        <w:fldChar w:fldCharType="separate"/>
      </w:r>
      <w:r w:rsidRPr="004D46AC">
        <w:rPr>
          <w:noProof/>
        </w:rPr>
        <w:t>(Twiss et al., 2008)</w:t>
      </w:r>
      <w:r w:rsidRPr="004D46AC">
        <w:fldChar w:fldCharType="end"/>
      </w:r>
      <w:r w:rsidRPr="004D46AC">
        <w:t xml:space="preserve">. The MDQ employed different time frames in the two waves (wave 5: past year as in the published questionnaire; wave 9: past month to harmonise with the PSQ); both the total score and a dichotomized risk status were used in regression models, and individual items for network models. Cronbach’s alphas for the MDQ in the current study were .87 and .85 for waves 5 and 9, respectively. </w:t>
      </w:r>
      <w:r w:rsidRPr="004D46AC">
        <w:lastRenderedPageBreak/>
        <w:t xml:space="preserve">We included </w:t>
      </w:r>
      <w:r w:rsidRPr="004D46AC">
        <w:rPr>
          <w:rFonts w:hint="eastAsia"/>
        </w:rPr>
        <w:t>MDQ</w:t>
      </w:r>
      <w:r w:rsidRPr="004D46AC">
        <w:t xml:space="preserve"> severity at wave 5 as a baseline covariate in longitudinal regression models predicting </w:t>
      </w:r>
      <w:r w:rsidRPr="004D46AC">
        <w:rPr>
          <w:rFonts w:hint="eastAsia"/>
        </w:rPr>
        <w:t xml:space="preserve">MDQ </w:t>
      </w:r>
      <w:r w:rsidRPr="004D46AC">
        <w:t>scores at wave 9.</w:t>
      </w:r>
    </w:p>
    <w:p w14:paraId="5972B634" w14:textId="77777777" w:rsidR="007075D9" w:rsidRPr="004D46AC" w:rsidRDefault="007075D9" w:rsidP="00B518F1">
      <w:pPr>
        <w:pStyle w:val="4"/>
      </w:pPr>
      <w:r w:rsidRPr="004D46AC">
        <w:rPr>
          <w:rFonts w:hint="eastAsia"/>
        </w:rPr>
        <w:t>Demographic and psychosocial measures</w:t>
      </w:r>
    </w:p>
    <w:p w14:paraId="20C4DF48" w14:textId="77777777" w:rsidR="007075D9" w:rsidRPr="004D46AC" w:rsidRDefault="007075D9" w:rsidP="00B518F1">
      <w:pPr>
        <w:pStyle w:val="5"/>
        <w:rPr>
          <w:rFonts w:eastAsiaTheme="minorEastAsia"/>
        </w:rPr>
      </w:pPr>
      <w:r w:rsidRPr="004D46AC">
        <w:t>Demographic Variables</w:t>
      </w:r>
    </w:p>
    <w:p w14:paraId="3BB68055" w14:textId="77777777" w:rsidR="007075D9" w:rsidRPr="004D46AC" w:rsidRDefault="007075D9" w:rsidP="00B518F1">
      <w:r w:rsidRPr="004D46AC">
        <w:t xml:space="preserve">We recorded age, gender, urbanicity (residence in a rural or urban area; binary), and Subjective Social Ranking (SSR), often referred to as the </w:t>
      </w:r>
      <w:bookmarkStart w:id="212" w:name="_Hlk209695912"/>
      <w:r w:rsidRPr="004D46AC">
        <w:t xml:space="preserve">MacArthur Social Ladder </w:t>
      </w:r>
      <w:bookmarkEnd w:id="212"/>
      <w:r w:rsidRPr="004D46AC">
        <w:fldChar w:fldCharType="begin"/>
      </w:r>
      <w:r w:rsidRPr="004D46AC">
        <w:instrText xml:space="preserve"> ADDIN EN.CITE &lt;EndNote&gt;&lt;Cite&gt;&lt;Author&gt;Adler&lt;/Author&gt;&lt;Year&gt;2000&lt;/Year&gt;&lt;RecNum&gt;1235&lt;/RecNum&gt;&lt;DisplayText&gt;(Adler et al., 2000)&lt;/DisplayText&gt;&lt;record&gt;&lt;rec-number&gt;1235&lt;/rec-number&gt;&lt;foreign-keys&gt;&lt;key app="EN" db-id="aet009sstawa0hewvt3xwf5atffdw2dt02sw" timestamp="1758713837"&gt;1235&lt;/key&gt;&lt;/foreign-keys&gt;&lt;ref-type name="Journal Article"&gt;17&lt;/ref-type&gt;&lt;contributors&gt;&lt;authors&gt;&lt;author&gt;Adler, Nancy E&lt;/author&gt;&lt;author&gt;Epel, Elissa S&lt;/author&gt;&lt;author&gt;Castellazzo, Grace&lt;/author&gt;&lt;author&gt;Ickovics, Jeannette R&lt;/author&gt;&lt;/authors&gt;&lt;/contributors&gt;&lt;titles&gt;&lt;title&gt;Relationship of subjective and objective social status with psychological and physiological functioning: Preliminary data in healthy, White women&lt;/title&gt;&lt;secondary-title&gt;Health psychology&lt;/secondary-title&gt;&lt;/titles&gt;&lt;periodical&gt;&lt;full-title&gt;Health psychology&lt;/full-title&gt;&lt;/periodical&gt;&lt;pages&gt;586&lt;/pages&gt;&lt;volume&gt;19&lt;/volume&gt;&lt;number&gt;6&lt;/number&gt;&lt;dates&gt;&lt;year&gt;2000&lt;/year&gt;&lt;/dates&gt;&lt;isbn&gt;1930-7810&lt;/isbn&gt;&lt;urls&gt;&lt;/urls&gt;&lt;/record&gt;&lt;/Cite&gt;&lt;/EndNote&gt;</w:instrText>
      </w:r>
      <w:r w:rsidRPr="004D46AC">
        <w:fldChar w:fldCharType="separate"/>
      </w:r>
      <w:r w:rsidRPr="004D46AC">
        <w:rPr>
          <w:noProof/>
        </w:rPr>
        <w:t>(Adler et al., 2000)</w:t>
      </w:r>
      <w:r w:rsidRPr="004D46AC">
        <w:fldChar w:fldCharType="end"/>
      </w:r>
      <w:r w:rsidRPr="004D46AC">
        <w:t>, which assesses an individual’s perceived position within the social hierarchy using a ten-point scale. Urbanicity at wave 1 was included in all models. Age, gender, and SSR were included as covariates, and the waves of data were selected to match the wave of the outcome variable. For example, for Wave 9 PLEs, age, gender, and SSR at Wave 9 were included as covariates.</w:t>
      </w:r>
    </w:p>
    <w:p w14:paraId="6366190A" w14:textId="77777777" w:rsidR="007075D9" w:rsidRPr="004D46AC" w:rsidRDefault="007075D9" w:rsidP="00B518F1">
      <w:pPr>
        <w:pStyle w:val="5"/>
      </w:pPr>
      <w:r w:rsidRPr="004D46AC">
        <w:t>Adverse Childhood Experiences (ACE</w:t>
      </w:r>
      <w:r w:rsidRPr="004D46AC">
        <w:rPr>
          <w:rFonts w:eastAsiaTheme="minorEastAsia" w:hint="eastAsia"/>
        </w:rPr>
        <w:t>s</w:t>
      </w:r>
      <w:r w:rsidRPr="004D46AC">
        <w:t>)</w:t>
      </w:r>
    </w:p>
    <w:p w14:paraId="5EDB7E81" w14:textId="77777777" w:rsidR="007075D9" w:rsidRPr="004D46AC" w:rsidRDefault="007075D9" w:rsidP="00B518F1">
      <w:r w:rsidRPr="004D46AC">
        <w:t xml:space="preserve">The ACE questionnaire assesses childhood adversity </w:t>
      </w:r>
      <w:r w:rsidRPr="004D46AC">
        <w:fldChar w:fldCharType="begin"/>
      </w:r>
      <w:r w:rsidRPr="004D46AC">
        <w:instrText xml:space="preserve"> ADDIN EN.CITE &lt;EndNote&gt;&lt;Cite&gt;&lt;Author&gt;Felitti&lt;/Author&gt;&lt;Year&gt;1998&lt;/Year&gt;&lt;RecNum&gt;872&lt;/RecNum&gt;&lt;DisplayText&gt;(Felitti et al., 1998)&lt;/DisplayText&gt;&lt;record&gt;&lt;rec-number&gt;872&lt;/rec-number&gt;&lt;foreign-keys&gt;&lt;key app="EN" db-id="aet009sstawa0hewvt3xwf5atffdw2dt02sw" timestamp="1738697545"&gt;872&lt;/key&gt;&lt;/foreign-keys&gt;&lt;ref-type name="Journal Article"&gt;17&lt;/ref-type&gt;&lt;contributors&gt;&lt;authors&gt;&lt;author&gt;Felitti, VJ&lt;/author&gt;&lt;author&gt;Anda, RF&lt;/author&gt;&lt;author&gt;Nordenberg, D&lt;/author&gt;&lt;author&gt;Williamson, DF&lt;/author&gt;&lt;/authors&gt;&lt;/contributors&gt;&lt;titles&gt;&lt;title&gt;Adverse childhood experiences and health outcomes in adults: The Ace study&lt;/title&gt;&lt;secondary-title&gt;Journal of Family and Consumer Sciences&lt;/secondary-title&gt;&lt;/titles&gt;&lt;periodical&gt;&lt;full-title&gt;Journal of Family and Consumer Sciences&lt;/full-title&gt;&lt;/periodical&gt;&lt;pages&gt;31&lt;/pages&gt;&lt;volume&gt;90&lt;/volume&gt;&lt;number&gt;3&lt;/number&gt;&lt;dates&gt;&lt;year&gt;1998&lt;/year&gt;&lt;/dates&gt;&lt;isbn&gt;1082-1651&lt;/isbn&gt;&lt;urls&gt;&lt;/urls&gt;&lt;/record&gt;&lt;/Cite&gt;&lt;/EndNote&gt;</w:instrText>
      </w:r>
      <w:r w:rsidRPr="004D46AC">
        <w:fldChar w:fldCharType="separate"/>
      </w:r>
      <w:r w:rsidRPr="004D46AC">
        <w:rPr>
          <w:noProof/>
        </w:rPr>
        <w:t>(Felitti et al., 1998)</w:t>
      </w:r>
      <w:r w:rsidRPr="004D46AC">
        <w:fldChar w:fldCharType="end"/>
      </w:r>
      <w:r w:rsidRPr="004D46AC">
        <w:t>, with binary responses (0</w:t>
      </w:r>
      <w:r w:rsidRPr="004D46AC">
        <w:rPr>
          <w:rFonts w:hint="eastAsia"/>
        </w:rPr>
        <w:t xml:space="preserve"> </w:t>
      </w:r>
      <w:r w:rsidRPr="004D46AC">
        <w:t>=</w:t>
      </w:r>
      <w:r w:rsidRPr="004D46AC">
        <w:rPr>
          <w:rFonts w:hint="eastAsia"/>
        </w:rPr>
        <w:t xml:space="preserve"> </w:t>
      </w:r>
      <w:r w:rsidRPr="004D46AC">
        <w:t>No, 1</w:t>
      </w:r>
      <w:r w:rsidRPr="004D46AC">
        <w:rPr>
          <w:rFonts w:hint="eastAsia"/>
        </w:rPr>
        <w:t xml:space="preserve"> </w:t>
      </w:r>
      <w:r w:rsidRPr="004D46AC">
        <w:t>=</w:t>
      </w:r>
      <w:r w:rsidRPr="004D46AC">
        <w:rPr>
          <w:rFonts w:hint="eastAsia"/>
        </w:rPr>
        <w:t xml:space="preserve"> </w:t>
      </w:r>
      <w:r w:rsidRPr="004D46AC">
        <w:t>Yes). Because of our survey company’s</w:t>
      </w:r>
      <w:r w:rsidRPr="004D46AC">
        <w:rPr>
          <w:rFonts w:hint="eastAsia"/>
        </w:rPr>
        <w:t xml:space="preserve"> </w:t>
      </w:r>
      <w:r w:rsidRPr="004D46AC">
        <w:t>concerns about using the more severe items, the C19PRC project used a shortened version that included 7 forms of adversity: Verbal abuse (e.g., “</w:t>
      </w:r>
      <w:r w:rsidRPr="004D46AC">
        <w:rPr>
          <w:i/>
          <w:iCs/>
        </w:rPr>
        <w:t>Did a parent or other adult in the household often or very often… Swear at you, insult you, put you down, or humiliate you</w:t>
      </w:r>
      <w:r w:rsidRPr="004D46AC">
        <w:t xml:space="preserve">? </w:t>
      </w:r>
      <w:r w:rsidRPr="004D46AC">
        <w:rPr>
          <w:i/>
          <w:iCs/>
        </w:rPr>
        <w:t>Or Act in a way that made you afraid that you might be physically hurt</w:t>
      </w:r>
      <w:r w:rsidRPr="004D46AC">
        <w:t>?”), Emotional neglect, Physical neglect, Parental loss, Alcohol abuse, family history of mental illness, and Parental incarceration. Scores were summed so that higher scores indicate greater childhood adversity. The ACE was administered at wave 5 and was included in all regression models.</w:t>
      </w:r>
    </w:p>
    <w:p w14:paraId="25910DF4" w14:textId="77777777" w:rsidR="007075D9" w:rsidRPr="004D46AC" w:rsidRDefault="007075D9" w:rsidP="00B518F1">
      <w:pPr>
        <w:pStyle w:val="5"/>
      </w:pPr>
      <w:r w:rsidRPr="004D46AC">
        <w:t>Intolerance of Uncertainty Scale (</w:t>
      </w:r>
      <w:proofErr w:type="spellStart"/>
      <w:r w:rsidRPr="004D46AC">
        <w:t>I</w:t>
      </w:r>
      <w:r w:rsidRPr="004D46AC">
        <w:rPr>
          <w:rFonts w:eastAsiaTheme="minorEastAsia"/>
        </w:rPr>
        <w:t>oU</w:t>
      </w:r>
      <w:proofErr w:type="spellEnd"/>
      <w:r w:rsidRPr="004D46AC">
        <w:t>)</w:t>
      </w:r>
    </w:p>
    <w:p w14:paraId="48D1237B" w14:textId="77777777" w:rsidR="007075D9" w:rsidRPr="004D46AC" w:rsidRDefault="007075D9" w:rsidP="00B518F1">
      <w:r w:rsidRPr="004D46AC">
        <w:t xml:space="preserve">The </w:t>
      </w:r>
      <w:proofErr w:type="spellStart"/>
      <w:r w:rsidRPr="004D46AC">
        <w:t>IoU</w:t>
      </w:r>
      <w:proofErr w:type="spellEnd"/>
      <w:r w:rsidRPr="004D46AC">
        <w:t xml:space="preserve"> Scale assesses intolerance of uncertainty, which plays a key role in the development and maintenance of worry </w:t>
      </w:r>
      <w:r w:rsidRPr="004D46AC">
        <w:fldChar w:fldCharType="begin"/>
      </w:r>
      <w:r w:rsidRPr="004D46AC">
        <w:instrText xml:space="preserve"> ADDIN EN.CITE &lt;EndNote&gt;&lt;Cite&gt;&lt;Author&gt;Birrell&lt;/Author&gt;&lt;Year&gt;2011&lt;/Year&gt;&lt;RecNum&gt;873&lt;/RecNum&gt;&lt;DisplayText&gt;(Birrell et al., 2011)&lt;/DisplayText&gt;&lt;record&gt;&lt;rec-number&gt;873&lt;/rec-number&gt;&lt;foreign-keys&gt;&lt;key app="EN" db-id="aet009sstawa0hewvt3xwf5atffdw2dt02sw" timestamp="1738698012"&gt;873&lt;/key&gt;&lt;/foreign-keys&gt;&lt;ref-type name="Journal Article"&gt;17&lt;/ref-type&gt;&lt;contributors&gt;&lt;authors&gt;&lt;author&gt;Birrell, J.&lt;/author&gt;&lt;author&gt;Meares, K.&lt;/author&gt;&lt;author&gt;Wilkinson, A.&lt;/author&gt;&lt;author&gt;Freeston, M.&lt;/author&gt;&lt;/authors&gt;&lt;/contributors&gt;&lt;auth-address&gt;Newcastle University, School of Psychology, 4th Floor Ridley Building, Framlington Place, Newcastle Upon Tyne, NE1 7RU, England, UK. jane.birrell@nhs.net&lt;/auth-address&gt;&lt;titles&gt;&lt;title&gt;Toward a definition of intolerance of uncertainty: a review of factor analytical studies of the Intolerance of Uncertainty Scale&lt;/title&gt;&lt;secondary-title&gt;Clin Psychol Rev&lt;/secondary-title&gt;&lt;/titles&gt;&lt;periodical&gt;&lt;full-title&gt;Clin Psychol Rev&lt;/full-title&gt;&lt;/periodical&gt;&lt;pages&gt;1198-208&lt;/pages&gt;&lt;volume&gt;31&lt;/volume&gt;&lt;number&gt;7&lt;/number&gt;&lt;edition&gt;20110728&lt;/edition&gt;&lt;keywords&gt;&lt;keyword&gt;Anxiety/*psychology&lt;/keyword&gt;&lt;keyword&gt;Anxiety Disorders/*psychology&lt;/keyword&gt;&lt;keyword&gt;Humans&lt;/keyword&gt;&lt;keyword&gt;Models, Psychological&lt;/keyword&gt;&lt;keyword&gt;Psychometrics&lt;/keyword&gt;&lt;keyword&gt;Reproducibility of Results&lt;/keyword&gt;&lt;keyword&gt;*Uncertainty&lt;/keyword&gt;&lt;/keywords&gt;&lt;dates&gt;&lt;year&gt;2011&lt;/year&gt;&lt;pub-dates&gt;&lt;date&gt;Nov&lt;/date&gt;&lt;/pub-dates&gt;&lt;/dates&gt;&lt;isbn&gt;1873-7811 (Electronic)&amp;#xD;0272-7358 (Linking)&lt;/isbn&gt;&lt;accession-num&gt;21871853&lt;/accession-num&gt;&lt;urls&gt;&lt;related-urls&gt;&lt;url&gt;https://www.ncbi.nlm.nih.gov/pubmed/21871853&lt;/url&gt;&lt;/related-urls&gt;&lt;/urls&gt;&lt;electronic-resource-num&gt;10.1016/j.cpr.2011.07.009&lt;/electronic-resource-num&gt;&lt;remote-database-name&gt;Medline&lt;/remote-database-name&gt;&lt;remote-database-provider&gt;NLM&lt;/remote-database-provider&gt;&lt;/record&gt;&lt;/Cite&gt;&lt;/EndNote&gt;</w:instrText>
      </w:r>
      <w:r w:rsidRPr="004D46AC">
        <w:fldChar w:fldCharType="separate"/>
      </w:r>
      <w:r w:rsidRPr="004D46AC">
        <w:rPr>
          <w:noProof/>
        </w:rPr>
        <w:t>(Birrell et al., 2011)</w:t>
      </w:r>
      <w:r w:rsidRPr="004D46AC">
        <w:fldChar w:fldCharType="end"/>
      </w:r>
      <w:r w:rsidRPr="004D46AC">
        <w:t xml:space="preserve">. The short version of the original </w:t>
      </w:r>
      <w:proofErr w:type="spellStart"/>
      <w:r w:rsidRPr="004D46AC">
        <w:t>IoU</w:t>
      </w:r>
      <w:proofErr w:type="spellEnd"/>
      <w:r w:rsidRPr="004D46AC">
        <w:t xml:space="preserve"> scale includes 12 items rated on a 5-point scale (1 = not at all characteristic of me to 5 = entirely characteristic of me) and has shown good internal reliability and construct validity with the original scale </w:t>
      </w:r>
      <w:r w:rsidRPr="004D46AC">
        <w:fldChar w:fldCharType="begin">
          <w:fldData xml:space="preserve">PEVuZE5vdGU+PENpdGU+PEF1dGhvcj5DYXJsZXRvbjwvQXV0aG9yPjxZZWFyPjIwMDc8L1llYXI+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</w:fldData>
        </w:fldChar>
      </w:r>
      <w:r w:rsidRPr="004D46AC">
        <w:instrText xml:space="preserve"> ADDIN EN.CITE </w:instrText>
      </w:r>
      <w:r w:rsidRPr="004D46AC">
        <w:fldChar w:fldCharType="begin">
          <w:fldData xml:space="preserve">PEVuZE5vdGU+PENpdGU+PEF1dGhvcj5DYXJsZXRvbjwvQXV0aG9yPjxZZWFyPjIwMDc8L1llYXI+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</w:fldData>
        </w:fldChar>
      </w:r>
      <w:r w:rsidRPr="004D46AC">
        <w:instrText xml:space="preserve"> ADDIN EN.CITE.DATA </w:instrText>
      </w:r>
      <w:r w:rsidRPr="004D46AC">
        <w:fldChar w:fldCharType="end"/>
      </w:r>
      <w:r w:rsidRPr="004D46AC">
        <w:fldChar w:fldCharType="separate"/>
      </w:r>
      <w:r w:rsidRPr="004D46AC">
        <w:rPr>
          <w:noProof/>
        </w:rPr>
        <w:t>(Buhr &amp; Dugas, 2002; Carleton et al., 2007)</w:t>
      </w:r>
      <w:r w:rsidRPr="004D46AC">
        <w:fldChar w:fldCharType="end"/>
      </w:r>
      <w:r w:rsidRPr="004D46AC">
        <w:t xml:space="preserve">; the Cronbach’s alpha in the current study was .90. Previous research has indicated that </w:t>
      </w:r>
      <w:proofErr w:type="spellStart"/>
      <w:r w:rsidRPr="004D46AC">
        <w:t>IoU</w:t>
      </w:r>
      <w:proofErr w:type="spellEnd"/>
      <w:r w:rsidRPr="004D46AC">
        <w:t xml:space="preserve"> is a stable trait </w:t>
      </w:r>
      <w:r w:rsidRPr="004D46AC">
        <w:fldChar w:fldCharType="begin"/>
      </w:r>
      <w:r w:rsidRPr="004D46AC">
        <w:instrText xml:space="preserve"> ADDIN EN.CITE &lt;EndNote&gt;&lt;Cite&gt;&lt;Author&gt;Shams&lt;/Author&gt;&lt;Year&gt;2023&lt;/Year&gt;&lt;RecNum&gt;1194&lt;/RecNum&gt;&lt;DisplayText&gt;(Shams et al., 2023)&lt;/DisplayText&gt;&lt;record&gt;&lt;rec-number&gt;1194&lt;/rec-number&gt;&lt;foreign-keys&gt;&lt;key app="EN" db-id="aet009sstawa0hewvt3xwf5atffdw2dt02sw" timestamp="1754837635"&gt;1194&lt;/key&gt;&lt;/foreign-keys&gt;&lt;ref-type name="Journal Article"&gt;17&lt;/ref-type&gt;&lt;contributors&gt;&lt;authors&gt;&lt;author&gt;Shams,Malihe&lt;/author&gt;&lt;author&gt;Pardini,Susanna&lt;/author&gt;&lt;author&gt;Del Bianco,Paola&lt;/author&gt;&lt;author&gt;Calabrese,Caterina&lt;/author&gt;&lt;author&gt;De Salvo,Gian Luca&lt;/author&gt;&lt;author&gt;Novara,Caterina&lt;/author&gt;&lt;/authors&gt;&lt;/contributors&gt;&lt;titles&gt;&lt;title&gt;The predictive role of intolerance of uncertainty and trait of worry in breast cancer patients: A prospective, observational, single-center clinical study&lt;/title&gt;&lt;secondary-title&gt;Frontiers in Psychology&lt;/secondary-title&gt;&lt;short-title&gt;IUS and Worry in breast cancer&lt;/short-title&gt;&lt;/titles&gt;&lt;periodical&gt;&lt;full-title&gt;Frontiers in Psychology&lt;/full-title&gt;&lt;/periodical&gt;&lt;volume&gt;Volume 14 - 2023&lt;/volume&gt;&lt;keywords&gt;&lt;keyword&gt;breast cancer,Intolerance of uncertainty (IU),worry,longitudinal study,psychological assessment&lt;/keyword&gt;&lt;/keywords&gt;&lt;dates&gt;&lt;year&gt;2023&lt;/year&gt;&lt;pub-dates&gt;&lt;date&gt;2023-April-17&lt;/date&gt;&lt;/pub-dates&gt;&lt;/dates&gt;&lt;isbn&gt;1664-1078&lt;/isbn&gt;&lt;work-type&gt;Original Research&lt;/work-type&gt;&lt;urls&gt;&lt;related-urls&gt;&lt;url&gt;https://www.frontiersin.org/journals/psychology/articles/10.3389/fpsyg.2023.1092060&lt;/url&gt;&lt;/related-urls&gt;&lt;/urls&gt;&lt;electronic-resource-num&gt;10.3389/fpsyg.2023.1092060&lt;/electronic-resource-num&gt;&lt;language&gt;English&lt;/language&gt;&lt;/record&gt;&lt;/Cite&gt;&lt;/EndNote&gt;</w:instrText>
      </w:r>
      <w:r w:rsidRPr="004D46AC">
        <w:fldChar w:fldCharType="separate"/>
      </w:r>
      <w:r w:rsidRPr="004D46AC">
        <w:rPr>
          <w:noProof/>
        </w:rPr>
        <w:t xml:space="preserve">(Shams </w:t>
      </w:r>
      <w:r w:rsidRPr="004D46AC">
        <w:rPr>
          <w:noProof/>
        </w:rPr>
        <w:lastRenderedPageBreak/>
        <w:t>et al., 2023)</w:t>
      </w:r>
      <w:r w:rsidRPr="004D46AC">
        <w:fldChar w:fldCharType="end"/>
      </w:r>
      <w:r w:rsidRPr="004D46AC">
        <w:t>. Therefore, we included the two subscales (</w:t>
      </w:r>
      <w:proofErr w:type="spellStart"/>
      <w:r w:rsidRPr="004D46AC">
        <w:t>IoU</w:t>
      </w:r>
      <w:proofErr w:type="spellEnd"/>
      <w:r w:rsidRPr="004D46AC">
        <w:t xml:space="preserve">-I: inhibitory; </w:t>
      </w:r>
      <w:proofErr w:type="spellStart"/>
      <w:r w:rsidRPr="004D46AC">
        <w:t>IoU</w:t>
      </w:r>
      <w:proofErr w:type="spellEnd"/>
      <w:r w:rsidRPr="004D46AC">
        <w:t>-P: prospective) measured at wave 1 in all regression models and treated as invariant covariates.</w:t>
      </w:r>
    </w:p>
    <w:p w14:paraId="1A4AF75C" w14:textId="77777777" w:rsidR="007075D9" w:rsidRPr="004D46AC" w:rsidRDefault="007075D9" w:rsidP="00B518F1">
      <w:pPr>
        <w:pStyle w:val="5"/>
      </w:pPr>
      <w:r w:rsidRPr="004D46AC">
        <w:t>Big-Five Inventory (BFI-10)</w:t>
      </w:r>
    </w:p>
    <w:p w14:paraId="49003773" w14:textId="77777777" w:rsidR="007075D9" w:rsidRPr="004D46AC" w:rsidRDefault="007075D9" w:rsidP="00B518F1">
      <w:r w:rsidRPr="004D46AC">
        <w:t>The BFI-10 measures five personality traits: openness, conscientiousness, extraversion, agreeableness, and neuroticism. Each trait is assessed using two items. For example, “</w:t>
      </w:r>
      <w:r w:rsidRPr="004D46AC">
        <w:rPr>
          <w:i/>
          <w:iCs/>
        </w:rPr>
        <w:t>I see myself as someone who is reserved</w:t>
      </w:r>
      <w:r w:rsidRPr="004D46AC">
        <w:t xml:space="preserve">”, is a reversely scored item of extraversion. This short personality questionnaire demonstrates high test-retest reliability and validity when compared to longer scales </w:t>
      </w:r>
      <w:r w:rsidRPr="004D46AC">
        <w:fldChar w:fldCharType="begin"/>
      </w:r>
      <w:r w:rsidRPr="004D46AC">
        <w:instrText xml:space="preserve"> ADDIN EN.CITE &lt;EndNote&gt;&lt;Cite&gt;&lt;Author&gt;Rammstedt&lt;/Author&gt;&lt;Year&gt;2007&lt;/Year&gt;&lt;RecNum&gt;875&lt;/RecNum&gt;&lt;DisplayText&gt;(Rammstedt &amp;amp; John, 2007)&lt;/DisplayText&gt;&lt;record&gt;&lt;rec-number&gt;875&lt;/rec-number&gt;&lt;foreign-keys&gt;&lt;key app="EN" db-id="aet009sstawa0hewvt3xwf5atffdw2dt02sw" timestamp="1738700712"&gt;875&lt;/key&gt;&lt;/foreign-keys&gt;&lt;ref-type name="Journal Article"&gt;17&lt;/ref-type&gt;&lt;contributors&gt;&lt;authors&gt;&lt;author&gt;Rammstedt, Beatrice&lt;/author&gt;&lt;author&gt;John, Oliver P.&lt;/author&gt;&lt;/authors&gt;&lt;/contributors&gt;&lt;titles&gt;&lt;title&gt;Measuring personality in one minute or less: A 10-item short version of the Big Five Inventory in English and German&lt;/title&gt;&lt;secondary-title&gt;Journal of Research in Personality&lt;/secondary-title&gt;&lt;/titles&gt;&lt;periodical&gt;&lt;full-title&gt;Journal of Research in Personality&lt;/full-title&gt;&lt;/periodical&gt;&lt;pages&gt;203-212&lt;/pages&gt;&lt;volume&gt;41&lt;/volume&gt;&lt;number&gt;1&lt;/number&gt;&lt;section&gt;203&lt;/section&gt;&lt;keywords&gt;&lt;keyword&gt;Big Five personality dimensions&lt;/keyword&gt;&lt;keyword&gt;Five-Factor Model&lt;/keyword&gt;&lt;keyword&gt;Short measures&lt;/keyword&gt;&lt;keyword&gt;Reliability&lt;/keyword&gt;&lt;keyword&gt;Validity&lt;/keyword&gt;&lt;keyword&gt;Test construction&lt;/keyword&gt;&lt;/keywords&gt;&lt;dates&gt;&lt;year&gt;2007&lt;/year&gt;&lt;pub-dates&gt;&lt;date&gt;2007/02/01/&lt;/date&gt;&lt;/pub-dates&gt;&lt;/dates&gt;&lt;isbn&gt;00926566&lt;/isbn&gt;&lt;urls&gt;&lt;related-urls&gt;&lt;url&gt;https://www.sciencedirect.com/science/article/pii/S0092656606000195&lt;/url&gt;&lt;/related-urls&gt;&lt;/urls&gt;&lt;electronic-resource-num&gt;10.1016/j.jrp.2006.02.001&lt;/electronic-resource-num&gt;&lt;/record&gt;&lt;/Cite&gt;&lt;/EndNote&gt;</w:instrText>
      </w:r>
      <w:r w:rsidRPr="004D46AC">
        <w:fldChar w:fldCharType="separate"/>
      </w:r>
      <w:r w:rsidRPr="004D46AC">
        <w:rPr>
          <w:noProof/>
        </w:rPr>
        <w:t>(Rammstedt &amp; John, 2007)</w:t>
      </w:r>
      <w:r w:rsidRPr="004D46AC">
        <w:fldChar w:fldCharType="end"/>
      </w:r>
      <w:r w:rsidRPr="004D46AC">
        <w:t>. BFI-10 data from wave 1 were used in regression models and treated as invariant covariates.</w:t>
      </w:r>
    </w:p>
    <w:p w14:paraId="285C0501" w14:textId="77777777" w:rsidR="007075D9" w:rsidRPr="004D46AC" w:rsidRDefault="007075D9" w:rsidP="00B518F1">
      <w:pPr>
        <w:pStyle w:val="5"/>
      </w:pPr>
      <w:r w:rsidRPr="004D46AC">
        <w:t>Generalized Anxiety Disorder Scale (GAD-7)</w:t>
      </w:r>
    </w:p>
    <w:p w14:paraId="6D38C31D" w14:textId="77777777" w:rsidR="007075D9" w:rsidRPr="004D46AC" w:rsidRDefault="007075D9" w:rsidP="00B518F1">
      <w:pPr>
        <w:rPr>
          <w:rFonts w:eastAsia="SimSun"/>
          <w:color w:val="263947"/>
          <w:kern w:val="0"/>
          <w14:ligatures w14:val="none"/>
        </w:rPr>
      </w:pPr>
      <w:r w:rsidRPr="004D46AC">
        <w:t xml:space="preserve">The GAD-7 assesses generalized anxiety using a 4-point scale (1 = not at all to 4 = nearly every day) across seven symptoms in the past week (e.g., trouble relaxing). With a cut-off score of 10 indicating clinical risk. It has demonstrated strong reliability and validity </w:t>
      </w:r>
      <w:r w:rsidRPr="004D46AC">
        <w:fldChar w:fldCharType="begin"/>
      </w:r>
      <w:r w:rsidRPr="004D46AC">
        <w:instrText xml:space="preserve"> ADDIN EN.CITE &lt;EndNote&gt;&lt;Cite&gt;&lt;Author&gt;Spitzer&lt;/Author&gt;&lt;Year&gt;2006&lt;/Year&gt;&lt;RecNum&gt;876&lt;/RecNum&gt;&lt;DisplayText&gt;(Spitzer et al., 2006)&lt;/DisplayText&gt;&lt;record&gt;&lt;rec-number&gt;876&lt;/rec-number&gt;&lt;foreign-keys&gt;&lt;key app="EN" db-id="aet009sstawa0hewvt3xwf5atffdw2dt02sw" timestamp="1738700846"&gt;876&lt;/key&gt;&lt;/foreign-keys&gt;&lt;ref-type name="Journal Article"&gt;17&lt;/ref-type&gt;&lt;contributors&gt;&lt;authors&gt;&lt;author&gt;Spitzer, R. L.&lt;/author&gt;&lt;author&gt;Kroenke, K.&lt;/author&gt;&lt;author&gt;Williams, J. B.&lt;/author&gt;&lt;author&gt;Lowe, B.&lt;/author&gt;&lt;/authors&gt;&lt;/contributors&gt;&lt;auth-address&gt;Biometrics Research Department, New York State Psychiatric Institute, New York, NY 10032, USA. RLS8@Columbia.edu&lt;/auth-address&gt;&lt;titles&gt;&lt;title&gt;A brief measure for assessing generalized anxiety disorder: the GAD-7&lt;/title&gt;&lt;secondary-title&gt;Arch Intern Med&lt;/secondary-title&gt;&lt;/titles&gt;&lt;periodical&gt;&lt;full-title&gt;Arch Intern Med&lt;/full-title&gt;&lt;/periodical&gt;&lt;pages&gt;1092-7&lt;/pages&gt;&lt;volume&gt;166&lt;/volume&gt;&lt;number&gt;10&lt;/number&gt;&lt;keywords&gt;&lt;keyword&gt;Adult&lt;/keyword&gt;&lt;keyword&gt;Anxiety Disorders/*diagnosis/epidemiology&lt;/keyword&gt;&lt;keyword&gt;Female&lt;/keyword&gt;&lt;keyword&gt;Humans&lt;/keyword&gt;&lt;keyword&gt;Incidence&lt;/keyword&gt;&lt;keyword&gt;Male&lt;/keyword&gt;&lt;keyword&gt;*Mental Status Schedule&lt;/keyword&gt;&lt;keyword&gt;Middle Aged&lt;/keyword&gt;&lt;keyword&gt;Reproducibility of Results&lt;/keyword&gt;&lt;keyword&gt;Retrospective Studies&lt;/keyword&gt;&lt;keyword&gt;Surveys and Questionnaires&lt;/keyword&gt;&lt;keyword&gt;United States/epidemiology&lt;/keyword&gt;&lt;/keywords&gt;&lt;dates&gt;&lt;year&gt;2006&lt;/year&gt;&lt;pub-dates&gt;&lt;date&gt;May 22&lt;/date&gt;&lt;/pub-dates&gt;&lt;/dates&gt;&lt;isbn&gt;0003-9926 (Print)&amp;#xD;0003-9926 (Linking)&lt;/isbn&gt;&lt;accession-num&gt;16717171&lt;/accession-num&gt;&lt;urls&gt;&lt;related-urls&gt;&lt;url&gt;https://www.ncbi.nlm.nih.gov/pubmed/16717171&lt;/url&gt;&lt;/related-urls&gt;&lt;/urls&gt;&lt;electronic-resource-num&gt;10.1001/archinte.166.10.1092&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(Spitzer et al., 2006)</w:t>
      </w:r>
      <w:r w:rsidRPr="004D46AC">
        <w:fldChar w:fldCharType="end"/>
      </w:r>
      <w:r w:rsidRPr="004D46AC">
        <w:t xml:space="preserve">. The data of GAD-7 from waves 5 and 9 was included as a covariate across all regression models, as it has been shown to correlate with multiple psychiatric outcomes </w:t>
      </w:r>
      <w:r w:rsidRPr="004D46AC">
        <w:fldChar w:fldCharType="begin"/>
      </w:r>
      <w:r w:rsidRPr="004D46AC">
        <w:instrText xml:space="preserve"> ADDIN EN.CITE &lt;EndNote&gt;&lt;Cite&gt;&lt;Author&gt;Young&lt;/Author&gt;&lt;Year&gt;2012&lt;/Year&gt;&lt;RecNum&gt;937&lt;/RecNum&gt;&lt;DisplayText&gt;(Young et al., 2012)&lt;/DisplayText&gt;&lt;record&gt;&lt;rec-number&gt;937&lt;/rec-number&gt;&lt;foreign-keys&gt;&lt;key app="EN" db-id="aet009sstawa0hewvt3xwf5atffdw2dt02sw" timestamp="1740582623"&gt;937&lt;/key&gt;&lt;/foreign-keys&gt;&lt;ref-type name="Journal Article"&gt;17&lt;/ref-type&gt;&lt;contributors&gt;&lt;authors&gt;&lt;author&gt;Young, Sarah&lt;/author&gt;&lt;author&gt;Pfaff, Danielle&lt;/author&gt;&lt;author&gt;Lewandowski, Kathryn Eve&lt;/author&gt;&lt;author&gt;Ravichandran, Caitlin&lt;/author&gt;&lt;author&gt;Cohen, Bruce M.&lt;/author&gt;&lt;author&gt;Öngür, Dost&lt;/author&gt;&lt;/authors&gt;&lt;/contributors&gt;&lt;titles&gt;&lt;title&gt;Anxiety Disorder Comorbidity in Bipolar Disorder, Schizophrenia and Schizoaffective Disorder&lt;/title&gt;&lt;secondary-title&gt;Psychopathology&lt;/secondary-title&gt;&lt;/titles&gt;&lt;periodical&gt;&lt;full-title&gt;Psychopathology&lt;/full-title&gt;&lt;/periodical&gt;&lt;pages&gt;176-185&lt;/pages&gt;&lt;volume&gt;46&lt;/volume&gt;&lt;number&gt;3&lt;/number&gt;&lt;dates&gt;&lt;year&gt;2012&lt;/year&gt;&lt;/dates&gt;&lt;isbn&gt;0254-4962&lt;/isbn&gt;&lt;urls&gt;&lt;related-urls&gt;&lt;url&gt;https://doi.org/10.1159/000339556&lt;/url&gt;&lt;/related-urls&gt;&lt;/urls&gt;&lt;electronic-resource-num&gt;10.1159/000339556&lt;/electronic-resource-num&gt;&lt;access-date&gt;2/26/2025&lt;/access-date&gt;&lt;/record&gt;&lt;/Cite&gt;&lt;/EndNote&gt;</w:instrText>
      </w:r>
      <w:r w:rsidRPr="004D46AC">
        <w:fldChar w:fldCharType="separate"/>
      </w:r>
      <w:r w:rsidRPr="004D46AC">
        <w:rPr>
          <w:noProof/>
        </w:rPr>
        <w:t>(Young et al., 2012)</w:t>
      </w:r>
      <w:r w:rsidRPr="004D46AC">
        <w:fldChar w:fldCharType="end"/>
      </w:r>
      <w:r w:rsidRPr="004D46AC">
        <w:t>. The Cronbach’s alphas for the two waves in the current study were .95 and .96, indicating excellent internal consistency.</w:t>
      </w:r>
    </w:p>
    <w:p w14:paraId="35A221E0" w14:textId="77777777" w:rsidR="007075D9" w:rsidRPr="004D46AC" w:rsidRDefault="007075D9" w:rsidP="00B518F1">
      <w:pPr>
        <w:pStyle w:val="5"/>
      </w:pPr>
      <w:r w:rsidRPr="004D46AC">
        <w:t>Experiences in Close Relationships-12 (ECR-12)</w:t>
      </w:r>
    </w:p>
    <w:p w14:paraId="27FA6F69" w14:textId="77777777" w:rsidR="007075D9" w:rsidRPr="004D46AC" w:rsidRDefault="007075D9" w:rsidP="00B518F1">
      <w:r w:rsidRPr="004D46AC">
        <w:t xml:space="preserve">Attachment was assessed using the ECR-12 </w:t>
      </w:r>
      <w:r w:rsidRPr="004D46AC">
        <w:fldChar w:fldCharType="begin"/>
      </w:r>
      <w:r w:rsidRPr="004D46AC">
        <w:instrText xml:space="preserve"> ADDIN EN.CITE &lt;EndNote&gt;&lt;Cite&gt;&lt;Author&gt;Lafontaine&lt;/Author&gt;&lt;Year&gt;2016&lt;/Year&gt;&lt;RecNum&gt;877&lt;/RecNum&gt;&lt;DisplayText&gt;(Lafontaine et al., 2016)&lt;/DisplayText&gt;&lt;record&gt;&lt;rec-number&gt;877&lt;/rec-number&gt;&lt;foreign-keys&gt;&lt;key app="EN" db-id="aet009sstawa0hewvt3xwf5atffdw2dt02sw" timestamp="1738811039"&gt;877&lt;/key&gt;&lt;/foreign-keys&gt;&lt;ref-type name="Journal Article"&gt;17&lt;/ref-type&gt;&lt;contributors&gt;&lt;authors&gt;&lt;author&gt;Lafontaine, Marie-France&lt;/author&gt;&lt;author&gt;Brassard, Audrey&lt;/author&gt;&lt;author&gt;Lussier, Yvan&lt;/author&gt;&lt;author&gt;Valois, Pierre&lt;/author&gt;&lt;author&gt;Shaver, Philip R.&lt;/author&gt;&lt;author&gt;Johnson, Susan M.&lt;/author&gt;&lt;/authors&gt;&lt;/contributors&gt;&lt;titles&gt;&lt;title&gt;Selecting the Best Items for a Short-Form of the Experiences in Close Relationships Questionnaire&lt;/title&gt;&lt;secondary-title&gt;European Journal of Psychological Assessment&lt;/secondary-title&gt;&lt;/titles&gt;&lt;periodical&gt;&lt;full-title&gt;European Journal of Psychological Assessment&lt;/full-title&gt;&lt;/periodical&gt;&lt;dates&gt;&lt;year&gt;2016&lt;/year&gt;&lt;pub-dates&gt;&lt;date&gt;01/15&lt;/date&gt;&lt;/pub-dates&gt;&lt;/dates&gt;&lt;urls&gt;&lt;/urls&gt;&lt;electronic-resource-num&gt;10.1037/t51913-000&lt;/electronic-resource-num&gt;&lt;/record&gt;&lt;/Cite&gt;&lt;/EndNote&gt;</w:instrText>
      </w:r>
      <w:r w:rsidRPr="004D46AC">
        <w:fldChar w:fldCharType="separate"/>
      </w:r>
      <w:r w:rsidRPr="004D46AC">
        <w:rPr>
          <w:noProof/>
        </w:rPr>
        <w:t>(Lafontaine et al., 2016)</w:t>
      </w:r>
      <w:r w:rsidRPr="004D46AC">
        <w:fldChar w:fldCharType="end"/>
      </w:r>
      <w:r w:rsidRPr="004D46AC">
        <w:t>. Six items measure attachment anxiety (e.g., “</w:t>
      </w:r>
      <w:r w:rsidRPr="004D46AC">
        <w:rPr>
          <w:i/>
          <w:iCs/>
        </w:rPr>
        <w:t>I worry that people won’t care about me as much as I care about them</w:t>
      </w:r>
      <w:r w:rsidRPr="004D46AC">
        <w:t>”) and six measuring attachment avoidance (e.g., “</w:t>
      </w:r>
      <w:r w:rsidRPr="004D46AC">
        <w:rPr>
          <w:i/>
          <w:iCs/>
        </w:rPr>
        <w:t>I don’t feel comfortable opening up to others</w:t>
      </w:r>
      <w:r w:rsidRPr="004D46AC">
        <w:t xml:space="preserve">”). Participants indicated their agreement with each item on a 7-point Likert scale, ranging from 1 (strongly disagree) to 7 (strongly agree). After reverse-coding negatively worded items, scores were summed to create two subscales: attachment anxiety and attachment avoidance. The original ECR-12 study demonstrated good reliability and validity, and these findings have been replicated in other populations </w:t>
      </w:r>
      <w:r w:rsidRPr="004D46AC">
        <w:fldChar w:fldCharType="begin">
          <w:fldData xml:space="preserve">PEVuZE5vdGU+PENpdGU+PEF1dGhvcj5UYXNjYTwvQXV0aG9yPjxZZWFyPjIwMTg8L1llYXI+PFJl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</w:fldData>
        </w:fldChar>
      </w:r>
      <w:r w:rsidRPr="004D46AC">
        <w:instrText xml:space="preserve"> ADDIN EN.CITE </w:instrText>
      </w:r>
      <w:r w:rsidRPr="004D46AC">
        <w:fldChar w:fldCharType="begin">
          <w:fldData xml:space="preserve">PEVuZE5vdGU+PENpdGU+PEF1dGhvcj5UYXNjYTwvQXV0aG9yPjxZZWFyPjIwMTg8L1llYXI+PFJl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</w:fldData>
        </w:fldChar>
      </w:r>
      <w:r w:rsidRPr="004D46AC">
        <w:instrText xml:space="preserve"> ADDIN EN.CITE.DATA </w:instrText>
      </w:r>
      <w:r w:rsidRPr="004D46AC">
        <w:fldChar w:fldCharType="end"/>
      </w:r>
      <w:r w:rsidRPr="004D46AC">
        <w:fldChar w:fldCharType="separate"/>
      </w:r>
      <w:r w:rsidRPr="004D46AC">
        <w:rPr>
          <w:noProof/>
        </w:rPr>
        <w:t>(Imran et al., 2020; Tasca et al., 2018)</w:t>
      </w:r>
      <w:r w:rsidRPr="004D46AC">
        <w:fldChar w:fldCharType="end"/>
      </w:r>
      <w:r w:rsidRPr="004D46AC">
        <w:t xml:space="preserve">. The Cronbach’s alpha in the current study was .84. The ECR-12 was </w:t>
      </w:r>
      <w:r w:rsidRPr="004D46AC">
        <w:lastRenderedPageBreak/>
        <w:t>administered at Wave 6, and its two subscales (anxiety and avoidance) were incorporated into the longitudinal regression model predicting Wave 9 psychopathology.</w:t>
      </w:r>
    </w:p>
    <w:p w14:paraId="4D90CB3D" w14:textId="77777777" w:rsidR="007075D9" w:rsidRPr="004D46AC" w:rsidRDefault="007075D9" w:rsidP="00B518F1">
      <w:pPr>
        <w:pStyle w:val="3"/>
      </w:pPr>
      <w:r w:rsidRPr="004D46AC">
        <w:t>Statistical plan</w:t>
      </w:r>
    </w:p>
    <w:p w14:paraId="46D1B090" w14:textId="77777777" w:rsidR="007075D9" w:rsidRPr="004D46AC" w:rsidRDefault="007075D9" w:rsidP="00B518F1">
      <w:pPr>
        <w:pStyle w:val="4"/>
      </w:pPr>
      <w:r w:rsidRPr="004D46AC">
        <w:t>Network models</w:t>
      </w:r>
    </w:p>
    <w:p w14:paraId="756F5023" w14:textId="77777777" w:rsidR="007075D9" w:rsidRPr="004D46AC" w:rsidRDefault="007075D9" w:rsidP="00B518F1">
      <w:r w:rsidRPr="004D46AC">
        <w:t xml:space="preserve">For the transdiagnostic analysis, our network model utilized all items from the PHQ-9, MDQ, and PSQ (excluding hypomanic probe) at waves 5 and 9. The mixed graphical model (MGM) was applied as it is capable of estimating a network with variables of mixed types (e.g., binary, categorical, and continuous) </w:t>
      </w:r>
      <w:r w:rsidRPr="004D46AC">
        <w:fldChar w:fldCharType="begin"/>
      </w:r>
      <w:r w:rsidRPr="004D46AC">
        <w:instrText xml:space="preserve"> ADDIN EN.CITE &lt;EndNote&gt;&lt;Cite&gt;&lt;Author&gt;Haslbeck&lt;/Author&gt;&lt;Year&gt;2020&lt;/Year&gt;&lt;RecNum&gt;878&lt;/RecNum&gt;&lt;DisplayText&gt;(Haslbeck &amp;amp; Waldorp, 2020)&lt;/DisplayText&gt;&lt;record&gt;&lt;rec-number&gt;878&lt;/rec-number&gt;&lt;foreign-keys&gt;&lt;key app="EN" db-id="aet009sstawa0hewvt3xwf5atffdw2dt02sw" timestamp="1738921639"&gt;878&lt;/key&gt;&lt;/foreign-keys&gt;&lt;ref-type name="Journal Article"&gt;17&lt;/ref-type&gt;&lt;contributors&gt;&lt;authors&gt;&lt;author&gt;Haslbeck, Jonas M. B.&lt;/author&gt;&lt;author&gt;Waldorp, Lourens J.&lt;/author&gt;&lt;/authors&gt;&lt;/contributors&gt;&lt;titles&gt;&lt;title&gt;mgm: Estimating Time-Varying Mixed Graphical Models in High-Dimensional Data&lt;/title&gt;&lt;secondary-title&gt;Journal of Statistical Software&lt;/secondary-title&gt;&lt;/titles&gt;&lt;periodical&gt;&lt;full-title&gt;Journal of Statistical Software&lt;/full-title&gt;&lt;/periodical&gt;&lt;pages&gt;1 - 46&lt;/pages&gt;&lt;volume&gt;93&lt;/volume&gt;&lt;number&gt;8&lt;/number&gt;&lt;section&gt;Articles&lt;/section&gt;&lt;dates&gt;&lt;year&gt;2020&lt;/year&gt;&lt;pub-dates&gt;&lt;date&gt;04/27&lt;/date&gt;&lt;/pub-dates&gt;&lt;/dates&gt;&lt;isbn&gt;1548-7660&lt;/isbn&gt;&lt;urls&gt;&lt;related-urls&gt;&lt;url&gt;https://www.jstatsoft.org/index.php/jss/article/view/v093i08&lt;/url&gt;&lt;/related-urls&gt;&lt;/urls&gt;&lt;electronic-resource-num&gt;10.18637/jss.v093.i08&lt;/electronic-resource-num&gt;&lt;access-date&gt;2025/02/07&lt;/access-date&gt;&lt;/record&gt;&lt;/Cite&gt;&lt;/EndNote&gt;</w:instrText>
      </w:r>
      <w:r w:rsidRPr="004D46AC">
        <w:fldChar w:fldCharType="separate"/>
      </w:r>
      <w:r w:rsidRPr="004D46AC">
        <w:rPr>
          <w:noProof/>
        </w:rPr>
        <w:t>(Haslbeck &amp; Waldorp, 2020)</w:t>
      </w:r>
      <w:r w:rsidRPr="004D46AC">
        <w:fldChar w:fldCharType="end"/>
      </w:r>
      <w:r w:rsidRPr="004D46AC">
        <w:t>.</w:t>
      </w:r>
    </w:p>
    <w:p w14:paraId="4A624806" w14:textId="26E1FBE4" w:rsidR="007075D9" w:rsidRPr="004D46AC" w:rsidRDefault="007075D9" w:rsidP="00B518F1">
      <w:r w:rsidRPr="004D46AC">
        <w:t>To avoid issues of conceptual overlap among items and their potential influence on network structure, a two-stage selection method was used. First, the Unique Variable Analysis (UVA) was applied, which identifies significant redundancy among pairs of items (high redundancy: weighted topological score &gt; .25); for consistency, only pairs demonstrating high redundancy across both waves were considered. Further, two lab members evaluated whether item pairs with high redundancy exhibited conceptual overlap and decided either to merge them into a new variable by summing their scores or to retain them for conceptual distinctiveness. MDQ items M8 (i.e.,</w:t>
      </w:r>
      <w:r w:rsidRPr="004D46AC">
        <w:rPr>
          <w:rFonts w:hint="eastAsia"/>
        </w:rPr>
        <w:t xml:space="preserve"> </w:t>
      </w:r>
      <w:r w:rsidRPr="004D46AC">
        <w:t>elevated energy) and M9 (i.e., increased goal directed activities) both captured behavioural</w:t>
      </w:r>
      <w:r w:rsidRPr="004D46AC">
        <w:rPr>
          <w:rFonts w:hint="eastAsia"/>
        </w:rPr>
        <w:t xml:space="preserve"> </w:t>
      </w:r>
      <w:r w:rsidRPr="004D46AC">
        <w:t>activation</w:t>
      </w:r>
      <w:r w:rsidRPr="004D46AC">
        <w:rPr>
          <w:rFonts w:hint="eastAsia"/>
        </w:rPr>
        <w:t xml:space="preserve"> </w:t>
      </w:r>
      <w:r w:rsidRPr="004D46AC">
        <w:fldChar w:fldCharType="begin"/>
      </w:r>
      <w:r w:rsidRPr="004D46AC">
        <w:instrText xml:space="preserve"> ADDIN EN.CITE &lt;EndNote&gt;&lt;Cite&gt;&lt;Author&gt;Meyer&lt;/Author&gt;&lt;Year&gt;1999&lt;/Year&gt;&lt;RecNum&gt;1319&lt;/RecNum&gt;&lt;DisplayText&gt;(Meyer et al., 1999)&lt;/DisplayText&gt;&lt;record&gt;&lt;rec-number&gt;1319&lt;/rec-number&gt;&lt;foreign-keys&gt;&lt;key app="EN" db-id="aet009sstawa0hewvt3xwf5atffdw2dt02sw" timestamp="1765285586"&gt;1319&lt;/key&gt;&lt;/foreign-keys&gt;&lt;ref-type name="Journal Article"&gt;17&lt;/ref-type&gt;&lt;contributors&gt;&lt;authors&gt;&lt;author&gt;Meyer, Björn&lt;/author&gt;&lt;author&gt;Johnson, Sheri L.&lt;/author&gt;&lt;author&gt;Carver, Charles S.&lt;/author&gt;&lt;/authors&gt;&lt;/contributors&gt;&lt;titles&gt;&lt;title&gt;Exploring Behavioral Activation and Inhibition Sensitivities Among College Students at Risk for Bipolar Spectrum Symptomatology&lt;/title&gt;&lt;secondary-title&gt;Journal of Psychopathology and Behavioral Assessment&lt;/secondary-title&gt;&lt;/titles&gt;&lt;periodical&gt;&lt;full-title&gt;Journal of Psychopathology and Behavioral Assessment&lt;/full-title&gt;&lt;/periodical&gt;&lt;pages&gt;275-292&lt;/pages&gt;&lt;volume&gt;21&lt;/volume&gt;&lt;number&gt;4&lt;/number&gt;&lt;dates&gt;&lt;year&gt;1999&lt;/year&gt;&lt;pub-dates&gt;&lt;date&gt;1999/12/01&lt;/date&gt;&lt;/pub-dates&gt;&lt;/dates&gt;&lt;isbn&gt;1573-3505&lt;/isbn&gt;&lt;urls&gt;&lt;related-urls&gt;&lt;url&gt;https://doi.org/10.1023/A:1022119414440&lt;/url&gt;&lt;/related-urls&gt;&lt;/urls&gt;&lt;electronic-resource-num&gt;10.1023/A:1022119414440&lt;/electronic-resource-num&gt;&lt;/record&gt;&lt;/Cite&gt;&lt;/EndNote&gt;</w:instrText>
      </w:r>
      <w:r w:rsidRPr="004D46AC">
        <w:fldChar w:fldCharType="separate"/>
      </w:r>
      <w:r w:rsidRPr="004D46AC">
        <w:rPr>
          <w:noProof/>
        </w:rPr>
        <w:t>(Meyer et al., 1999)</w:t>
      </w:r>
      <w:r w:rsidRPr="004D46AC">
        <w:fldChar w:fldCharType="end"/>
      </w:r>
      <w:r w:rsidRPr="004D46AC">
        <w:t xml:space="preserve"> and so were merged into the single variable EI (i.e., M8+M9). The high redundancy between PSQ items P3 (i.e., paranoia probe) and P4 (i.e., strange</w:t>
      </w:r>
      <w:r w:rsidRPr="004D46AC">
        <w:rPr>
          <w:rFonts w:hint="eastAsia"/>
        </w:rPr>
        <w:t xml:space="preserve"> </w:t>
      </w:r>
      <w:r w:rsidRPr="004D46AC">
        <w:t>experiences) was thought to reflect the latter item capturing delusional mood</w:t>
      </w:r>
      <w:r w:rsidRPr="004D46AC">
        <w:rPr>
          <w:rFonts w:hint="eastAsia"/>
        </w:rPr>
        <w:t xml:space="preserve"> </w:t>
      </w:r>
      <w:r w:rsidRPr="004D46AC">
        <w:fldChar w:fldCharType="begin"/>
      </w:r>
      <w:r w:rsidRPr="004D46AC">
        <w:instrText xml:space="preserve"> ADDIN EN.CITE &lt;EndNote&gt;&lt;Cite&gt;&lt;Author&gt;Conrad&lt;/Author&gt;&lt;Year&gt;1958&lt;/Year&gt;&lt;RecNum&gt;1320&lt;/RecNum&gt;&lt;DisplayText&gt;(Conrad, 1958; Mishara, 2010)&lt;/DisplayText&gt;&lt;record&gt;&lt;rec-number&gt;1320&lt;/rec-number&gt;&lt;foreign-keys&gt;&lt;key app="EN" db-id="aet009sstawa0hewvt3xwf5atffdw2dt02sw" timestamp="1765285751"&gt;1320&lt;/key&gt;&lt;/foreign-keys&gt;&lt;ref-type name="Journal Article"&gt;17&lt;/ref-type&gt;&lt;contributors&gt;&lt;authors&gt;&lt;author&gt;Conrad, K&lt;/author&gt;&lt;/authors&gt;&lt;/contributors&gt;&lt;titles&gt;&lt;title&gt;Beginning schizophrenia: attempt for a Gestalt-analysis of delusion&lt;/title&gt;&lt;secondary-title&gt;Selected excerpts taken from&lt;/secondary-title&gt;&lt;/titles&gt;&lt;periodical&gt;&lt;full-title&gt;Selected excerpts taken from&lt;/full-title&gt;&lt;/periodical&gt;&lt;pages&gt;176-193&lt;/pages&gt;&lt;dates&gt;&lt;year&gt;1958&lt;/year&gt;&lt;/dates&gt;&lt;urls&gt;&lt;/urls&gt;&lt;/record&gt;&lt;/Cite&gt;&lt;Cite&gt;&lt;Author&gt;Mishara&lt;/Author&gt;&lt;Year&gt;2010&lt;/Year&gt;&lt;RecNum&gt;1321&lt;/RecNum&gt;&lt;record&gt;&lt;rec-number&gt;1321&lt;/rec-number&gt;&lt;foreign-keys&gt;&lt;key app="EN" db-id="aet009sstawa0hewvt3xwf5atffdw2dt02sw" timestamp="1765285817"&gt;1321&lt;/key&gt;&lt;/foreign-keys&gt;&lt;ref-type name="Journal Article"&gt;17&lt;/ref-type&gt;&lt;contributors&gt;&lt;authors&gt;&lt;author&gt;Mishara, Aaron L&lt;/author&gt;&lt;/authors&gt;&lt;/contributors&gt;&lt;titles&gt;&lt;title&gt;Klaus Conrad (1905–1961): Delusional mood, psychosis, and beginning schizophrenia&lt;/title&gt;&lt;secondary-title&gt;Schizophrenia Bulletin&lt;/secondary-title&gt;&lt;/titles&gt;&lt;periodical&gt;&lt;full-title&gt;Schizophrenia Bulletin&lt;/full-title&gt;&lt;/periodical&gt;&lt;pages&gt;9-13&lt;/pages&gt;&lt;volume&gt;36&lt;/volume&gt;&lt;number&gt;1&lt;/number&gt;&lt;dates&gt;&lt;year&gt;2010&lt;/year&gt;&lt;/dates&gt;&lt;isbn&gt;1745-1701&lt;/isbn&gt;&lt;urls&gt;&lt;/urls&gt;&lt;/record&gt;&lt;/Cite&gt;&lt;/EndNote&gt;</w:instrText>
      </w:r>
      <w:r w:rsidRPr="004D46AC">
        <w:fldChar w:fldCharType="separate"/>
      </w:r>
      <w:r w:rsidRPr="004D46AC">
        <w:rPr>
          <w:noProof/>
        </w:rPr>
        <w:t>(Conrad, 1958; Mishara, 2010)</w:t>
      </w:r>
      <w:r w:rsidRPr="004D46AC">
        <w:fldChar w:fldCharType="end"/>
      </w:r>
      <w:r w:rsidRPr="004D46AC">
        <w:rPr>
          <w:rFonts w:hint="eastAsia"/>
        </w:rPr>
        <w:t xml:space="preserve"> </w:t>
      </w:r>
      <w:r w:rsidRPr="004D46AC">
        <w:t xml:space="preserve">and so these were merged into PS (i.e., P3+P4), see Table </w:t>
      </w:r>
      <w:r w:rsidRPr="004D46AC">
        <w:rPr>
          <w:rFonts w:hint="eastAsia"/>
        </w:rPr>
        <w:t>D</w:t>
      </w:r>
      <w:r w:rsidR="00AD0A74" w:rsidRPr="004D46AC">
        <w:rPr>
          <w:rFonts w:eastAsiaTheme="minorEastAsia" w:hint="eastAsia"/>
        </w:rPr>
        <w:t xml:space="preserve"> </w:t>
      </w:r>
      <w:r w:rsidRPr="004D46AC">
        <w:t>1</w:t>
      </w:r>
      <w:r w:rsidRPr="004D46AC">
        <w:rPr>
          <w:rFonts w:hint="eastAsia"/>
        </w:rPr>
        <w:t xml:space="preserve"> </w:t>
      </w:r>
      <w:r w:rsidRPr="004D46AC">
        <w:t>for detail. F</w:t>
      </w:r>
      <w:r w:rsidRPr="004D46AC">
        <w:rPr>
          <w:rFonts w:eastAsia="SimSun"/>
          <w:color w:val="263947"/>
          <w:kern w:val="0"/>
          <w14:ligatures w14:val="none"/>
        </w:rPr>
        <w:t xml:space="preserve">or each network model, the stability of the network and the global (e.g., global density) as well as local network statistics (e.g., node strength) were reported. </w:t>
      </w:r>
    </w:p>
    <w:p w14:paraId="3771EB04" w14:textId="77777777" w:rsidR="007075D9" w:rsidRPr="004D46AC" w:rsidRDefault="007075D9" w:rsidP="00B518F1">
      <w:r w:rsidRPr="004D46AC">
        <w:t xml:space="preserve">Edge presence was validated using the AND rule, which retains an edge only when both directional estimates are nonzero. The tunning parameter for regularising the network was determined by 10-folds cross validation. Three network centralities were estimated: strength (i.e., nodes with high strength are considered highly influential or central nodes), betweenness (i.e., how well a node serves as a mediator to two other nodes), and closeness </w:t>
      </w:r>
      <w:r w:rsidRPr="004D46AC">
        <w:lastRenderedPageBreak/>
        <w:t>(i.e., the mean distance between each node and the others). The stabilities of the edge and node statistics were examined through the bootstrapping technique (</w:t>
      </w:r>
      <w:proofErr w:type="spellStart"/>
      <w:r w:rsidRPr="004D46AC">
        <w:rPr>
          <w:i/>
          <w:iCs/>
        </w:rPr>
        <w:t>n</w:t>
      </w:r>
      <w:r w:rsidRPr="004D46AC">
        <w:rPr>
          <w:vertAlign w:val="subscript"/>
        </w:rPr>
        <w:t>Boot</w:t>
      </w:r>
      <w:proofErr w:type="spellEnd"/>
      <w:r w:rsidRPr="004D46AC">
        <w:t xml:space="preserve">=2000), and were statistically evaluated using the Correlation Stability (CS) coefficient (0-.75); a value of .50 or higher in CS coefficient is considered an acceptable level of stability </w:t>
      </w:r>
      <w:r w:rsidRPr="004D46AC">
        <w:fldChar w:fldCharType="begin"/>
      </w:r>
      <w:r w:rsidRPr="004D46AC">
        <w:instrText xml:space="preserve"> ADDIN EN.CITE &lt;EndNote&gt;&lt;Cite&gt;&lt;Author&gt;Epskamp&lt;/Author&gt;&lt;Year&gt;2018&lt;/Year&gt;&lt;RecNum&gt;399&lt;/RecNum&gt;&lt;DisplayText&gt;(Epskamp et al., 2018)&lt;/DisplayText&gt;&lt;record&gt;&lt;rec-number&gt;399&lt;/rec-number&gt;&lt;foreign-keys&gt;&lt;key app="EN" db-id="aet009sstawa0hewvt3xwf5atffdw2dt02sw" timestamp="1693511946"&gt;399&lt;/key&gt;&lt;/foreign-keys&gt;&lt;ref-type name="Journal Article"&gt;17&lt;/ref-type&gt;&lt;contributors&gt;&lt;authors&gt;&lt;author&gt;Epskamp, Sacha&lt;/author&gt;&lt;author&gt;Borsboom, Denny&lt;/author&gt;&lt;author&gt;Fried, Eiko I.&lt;/author&gt;&lt;/authors&gt;&lt;/contributors&gt;&lt;titles&gt;&lt;title&gt;Estimating psychological networks and their accuracy: A tutorial paper&lt;/title&gt;&lt;secondary-title&gt;Behavior Research Methods&lt;/secondary-title&gt;&lt;/titles&gt;&lt;periodical&gt;&lt;full-title&gt;Behavior Research Methods&lt;/full-title&gt;&lt;/periodical&gt;&lt;pages&gt;195-212&lt;/pages&gt;&lt;volume&gt;50&lt;/volume&gt;&lt;number&gt;1&lt;/number&gt;&lt;dates&gt;&lt;year&gt;2018&lt;/year&gt;&lt;pub-dates&gt;&lt;date&gt;2018/02/01&lt;/date&gt;&lt;/pub-dates&gt;&lt;/dates&gt;&lt;isbn&gt;1554-3528&lt;/isbn&gt;&lt;urls&gt;&lt;related-urls&gt;&lt;url&gt;https://doi.org/10.3758/s13428-017-0862-1&lt;/url&gt;&lt;/related-urls&gt;&lt;/urls&gt;&lt;electronic-resource-num&gt;10.3758/s13428-017-0862-1&lt;/electronic-resource-num&gt;&lt;/record&gt;&lt;/Cite&gt;&lt;/EndNote&gt;</w:instrText>
      </w:r>
      <w:r w:rsidRPr="004D46AC">
        <w:fldChar w:fldCharType="separate"/>
      </w:r>
      <w:r w:rsidRPr="004D46AC">
        <w:rPr>
          <w:noProof/>
        </w:rPr>
        <w:t>(Epskamp et al., 2018)</w:t>
      </w:r>
      <w:r w:rsidRPr="004D46AC">
        <w:fldChar w:fldCharType="end"/>
      </w:r>
      <w:r w:rsidRPr="004D46AC">
        <w:t xml:space="preserve">. </w:t>
      </w:r>
    </w:p>
    <w:p w14:paraId="2851D451" w14:textId="77777777" w:rsidR="007075D9" w:rsidRPr="004D46AC" w:rsidRDefault="007075D9" w:rsidP="00B518F1">
      <w:r w:rsidRPr="004D46AC">
        <w:t xml:space="preserve">The structural variance of the selected symptoms between the two time points can be explored by two additional analyses: Exploratory graphic analysis (EGA) and Network comparison tests (NCT). EGA was employed to detect groups of closely related items by first estimating a </w:t>
      </w:r>
      <w:proofErr w:type="spellStart"/>
      <w:r w:rsidRPr="004D46AC">
        <w:t>polychoric</w:t>
      </w:r>
      <w:proofErr w:type="spellEnd"/>
      <w:r w:rsidRPr="004D46AC">
        <w:t xml:space="preserve"> correlation matrix and subsequently applying the </w:t>
      </w:r>
      <w:proofErr w:type="spellStart"/>
      <w:r w:rsidRPr="004D46AC">
        <w:t>EBICglasso</w:t>
      </w:r>
      <w:proofErr w:type="spellEnd"/>
      <w:r w:rsidRPr="004D46AC">
        <w:t xml:space="preserve"> procedure for network estimation. In EGA, the </w:t>
      </w:r>
      <w:proofErr w:type="spellStart"/>
      <w:r w:rsidRPr="004D46AC">
        <w:t>EBICglasso</w:t>
      </w:r>
      <w:proofErr w:type="spellEnd"/>
      <w:r w:rsidRPr="004D46AC">
        <w:t xml:space="preserve"> approach is optimised for community detection, facilitating the identification of the latent dimensional structure. The stability of the structures was assessed by generating 2,000 bootstrapped samples from the original dataset. For each EGA model, we report node stability, defined as the proportion of times a node was assigned to the same community across all bootstrapped samples, and structural consistency, defined as the proportion of times a community was replicated across all bootstrapped samples. In addition, the Total Entropy Fit Index (TEFI) is reported as a measure of community structure quality, with lower values indicating that the estimated structure more closely represented the information contained in the original network. The stability across the two waves was also evaluated qualitatively by comparing the compositions of the communities identified in each wave.</w:t>
      </w:r>
    </w:p>
    <w:p w14:paraId="664AF56D" w14:textId="77777777" w:rsidR="007075D9" w:rsidRPr="004D46AC" w:rsidRDefault="007075D9" w:rsidP="00B518F1">
      <w:r w:rsidRPr="004D46AC">
        <w:t>The permutated NCT is an alternative approach to test the similarity between the networks. Two types of comparison statistics can be computed by NCT: (</w:t>
      </w:r>
      <w:proofErr w:type="spellStart"/>
      <w:r w:rsidRPr="004D46AC">
        <w:t>i</w:t>
      </w:r>
      <w:proofErr w:type="spellEnd"/>
      <w:r w:rsidRPr="004D46AC">
        <w:t xml:space="preserve">) the invariant global strength test, which examines whether the overall connectivity of the network, defined as the sum of the absolute edge weights, differs between the two networks; and (ii) the invariant edge strength test, which examines whether specific edge weights differ between the two networks. These comparisons were computed through 2000 iterated samples. If the test reveals significant differences between the models, a post hoc analysis using the Benjamini-Hochberg (BH) method was conducted. The following NCT statistics were reported: </w:t>
      </w:r>
      <w:r w:rsidRPr="004D46AC">
        <w:rPr>
          <w:i/>
          <w:iCs/>
        </w:rPr>
        <w:t>S</w:t>
      </w:r>
      <w:r w:rsidRPr="004D46AC">
        <w:rPr>
          <w:rFonts w:ascii="Cambria Math" w:hAnsi="Cambria Math" w:cs="Cambria Math"/>
          <w:i/>
          <w:iCs/>
        </w:rPr>
        <w:t>₀</w:t>
      </w:r>
      <w:r w:rsidRPr="004D46AC">
        <w:t xml:space="preserve">, representing the difference in global strength between the networks, and </w:t>
      </w:r>
      <w:r w:rsidRPr="004D46AC">
        <w:rPr>
          <w:i/>
          <w:iCs/>
        </w:rPr>
        <w:t>M</w:t>
      </w:r>
      <w:r w:rsidRPr="004D46AC">
        <w:t xml:space="preserve">, </w:t>
      </w:r>
      <w:r w:rsidRPr="004D46AC">
        <w:lastRenderedPageBreak/>
        <w:t>representing the maximum difference in edge weights, along with their corresponding statistical significance (</w:t>
      </w:r>
      <w:r w:rsidRPr="004D46AC">
        <w:rPr>
          <w:i/>
          <w:iCs/>
        </w:rPr>
        <w:t>p</w:t>
      </w:r>
      <w:r w:rsidRPr="004D46AC">
        <w:t xml:space="preserve"> values).</w:t>
      </w:r>
    </w:p>
    <w:p w14:paraId="64B633CE" w14:textId="77777777" w:rsidR="007075D9" w:rsidRPr="004D46AC" w:rsidRDefault="007075D9" w:rsidP="00B518F1">
      <w:pPr>
        <w:pStyle w:val="4"/>
      </w:pPr>
      <w:r w:rsidRPr="004D46AC">
        <w:t>Regression models</w:t>
      </w:r>
    </w:p>
    <w:p w14:paraId="3CEE648A" w14:textId="77777777" w:rsidR="007075D9" w:rsidRPr="004D46AC" w:rsidRDefault="007075D9" w:rsidP="00B518F1">
      <w:r w:rsidRPr="004D46AC">
        <w:t>Generalised linear models were used to examine the cross-sectional as well as longitudinal relationships between variables. PHQ-9, MDQ, and PSQ were treated as outcome variables</w:t>
      </w:r>
      <w:r w:rsidRPr="004D46AC">
        <w:rPr>
          <w:rFonts w:hint="eastAsia"/>
        </w:rPr>
        <w:t xml:space="preserve"> across waves 5 and 9</w:t>
      </w:r>
      <w:r w:rsidRPr="004D46AC">
        <w:t xml:space="preserve">. Raw severity/frequency scores were analysed to assess continuous associations among variables. As a supplementary analysis, dichotomised risk status was used to examine potential risk factors for possible clinical risk conditions (e.g., bipolar disorder and schizophrenia). Only a summary of these supplementary analyses is reported in the main text, with full details provided in the </w:t>
      </w:r>
      <w:r w:rsidRPr="004D46AC">
        <w:rPr>
          <w:rFonts w:hint="eastAsia"/>
        </w:rPr>
        <w:t>appendix D</w:t>
      </w:r>
      <w:r w:rsidRPr="004D46AC">
        <w:t xml:space="preserve">. Two types of regression models were estimated: semi-cross-sectional models, which used outcome and predictor variables from waves 1 and 5, and longitudinal models, which used measures from waves 1, 5, 6, and 9. Detailed design of these models can be found in Figure </w:t>
      </w:r>
      <w:r w:rsidRPr="004D46AC">
        <w:rPr>
          <w:rFonts w:hint="eastAsia"/>
        </w:rPr>
        <w:t>4.</w:t>
      </w:r>
      <w:r w:rsidRPr="004D46AC">
        <w:t xml:space="preserve">1 below. For the regression models, the estimates, standard errors, and </w:t>
      </w:r>
      <w:r w:rsidRPr="004D46AC">
        <w:rPr>
          <w:i/>
          <w:iCs/>
        </w:rPr>
        <w:t>p</w:t>
      </w:r>
      <w:r w:rsidRPr="004D46AC">
        <w:t xml:space="preserve">-values (two-sided alpha = .05) were reported. </w:t>
      </w:r>
    </w:p>
    <w:p w14:paraId="2093E1E5" w14:textId="77777777" w:rsidR="007075D9" w:rsidRPr="004D46AC" w:rsidRDefault="007075D9" w:rsidP="00B518F1"/>
    <w:p w14:paraId="75BD7EAD" w14:textId="35D1DA40" w:rsidR="00515479" w:rsidRPr="004D46AC" w:rsidRDefault="007075D9" w:rsidP="00705E90">
      <w:pPr>
        <w:spacing w:line="360" w:lineRule="auto"/>
        <w:ind w:firstLine="0"/>
        <w:rPr>
          <w:rFonts w:eastAsiaTheme="minorEastAsia"/>
        </w:rPr>
      </w:pPr>
      <w:r w:rsidRPr="004D46AC">
        <w:rPr>
          <w:noProof/>
        </w:rPr>
        <w:lastRenderedPageBreak/>
        <w:drawing>
          <wp:inline distT="0" distB="0" distL="0" distR="0" wp14:anchorId="2C5D8DA2" wp14:editId="1C0F4B02">
            <wp:extent cx="5274310" cy="4131945"/>
            <wp:effectExtent l="0" t="0" r="2540" b="1905"/>
            <wp:docPr id="1209885260"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85260" name="图片 1" descr="图示&#10;&#10;AI 生成的内容可能不正确。"/>
                    <pic:cNvPicPr/>
                  </pic:nvPicPr>
                  <pic:blipFill>
                    <a:blip r:embed="rId365"/>
                    <a:stretch>
                      <a:fillRect/>
                    </a:stretch>
                  </pic:blipFill>
                  <pic:spPr>
                    <a:xfrm>
                      <a:off x="0" y="0"/>
                      <a:ext cx="5274310" cy="4131945"/>
                    </a:xfrm>
                    <a:prstGeom prst="rect">
                      <a:avLst/>
                    </a:prstGeom>
                  </pic:spPr>
                </pic:pic>
              </a:graphicData>
            </a:graphic>
          </wp:inline>
        </w:drawing>
      </w:r>
      <w:bookmarkStart w:id="213" w:name="_Toc219857617"/>
    </w:p>
    <w:p w14:paraId="319649B4" w14:textId="76361077" w:rsidR="005B3793" w:rsidRPr="004D46AC" w:rsidRDefault="00515479" w:rsidP="005B3793">
      <w:pPr>
        <w:pStyle w:val="afff0"/>
        <w:spacing w:after="0" w:line="360" w:lineRule="auto"/>
        <w:ind w:firstLine="0"/>
        <w:rPr>
          <w:rFonts w:eastAsiaTheme="minorEastAsia"/>
          <w:b/>
          <w:bCs/>
          <w:i w:val="0"/>
          <w:iCs w:val="0"/>
          <w:color w:val="auto"/>
          <w:sz w:val="22"/>
          <w:szCs w:val="22"/>
        </w:rPr>
      </w:pPr>
      <w:bookmarkStart w:id="214" w:name="_Toc219883930"/>
      <w:bookmarkStart w:id="215" w:name="_Toc219884862"/>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4</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214"/>
      <w:bookmarkEnd w:id="215"/>
      <w:r w:rsidR="004725A0" w:rsidRPr="004D46AC">
        <w:rPr>
          <w:b/>
          <w:bCs/>
          <w:i w:val="0"/>
          <w:iCs w:val="0"/>
          <w:color w:val="auto"/>
          <w:sz w:val="22"/>
          <w:szCs w:val="22"/>
        </w:rPr>
        <w:fldChar w:fldCharType="end"/>
      </w:r>
      <w:bookmarkStart w:id="216" w:name="_Toc219857618"/>
      <w:bookmarkEnd w:id="213"/>
    </w:p>
    <w:p w14:paraId="7BB2CF7B" w14:textId="186AB000" w:rsidR="007075D9" w:rsidRPr="004D46AC" w:rsidRDefault="007075D9" w:rsidP="005B3793">
      <w:pPr>
        <w:pStyle w:val="afff0"/>
        <w:spacing w:after="0" w:line="360" w:lineRule="auto"/>
        <w:ind w:firstLine="0"/>
        <w:rPr>
          <w:rFonts w:eastAsiaTheme="minorEastAsia"/>
          <w:b/>
          <w:bCs/>
          <w:color w:val="auto"/>
          <w:sz w:val="22"/>
          <w:szCs w:val="22"/>
        </w:rPr>
      </w:pPr>
      <w:r w:rsidRPr="004D46AC">
        <w:rPr>
          <w:color w:val="auto"/>
          <w:sz w:val="22"/>
          <w:szCs w:val="22"/>
        </w:rPr>
        <w:t xml:space="preserve">Diagram of the </w:t>
      </w:r>
      <w:r w:rsidR="00033CC9" w:rsidRPr="004D46AC">
        <w:rPr>
          <w:rFonts w:eastAsiaTheme="minorEastAsia" w:hint="eastAsia"/>
          <w:color w:val="auto"/>
          <w:sz w:val="22"/>
          <w:szCs w:val="22"/>
        </w:rPr>
        <w:t>r</w:t>
      </w:r>
      <w:r w:rsidRPr="004D46AC">
        <w:rPr>
          <w:color w:val="auto"/>
          <w:sz w:val="22"/>
          <w:szCs w:val="22"/>
        </w:rPr>
        <w:t xml:space="preserve">egression </w:t>
      </w:r>
      <w:r w:rsidR="00033CC9" w:rsidRPr="004D46AC">
        <w:rPr>
          <w:rFonts w:eastAsiaTheme="minorEastAsia" w:hint="eastAsia"/>
          <w:color w:val="auto"/>
          <w:sz w:val="22"/>
          <w:szCs w:val="22"/>
        </w:rPr>
        <w:t>m</w:t>
      </w:r>
      <w:r w:rsidRPr="004D46AC">
        <w:rPr>
          <w:color w:val="auto"/>
          <w:sz w:val="22"/>
          <w:szCs w:val="22"/>
        </w:rPr>
        <w:t>odels</w:t>
      </w:r>
      <w:bookmarkEnd w:id="216"/>
    </w:p>
    <w:p w14:paraId="15CE8A23" w14:textId="77777777" w:rsidR="007075D9" w:rsidRPr="004D46AC" w:rsidRDefault="007075D9" w:rsidP="00705E90">
      <w:pPr>
        <w:spacing w:line="360" w:lineRule="auto"/>
        <w:ind w:firstLine="0"/>
      </w:pPr>
      <w:bookmarkStart w:id="217" w:name="_Toc219857619"/>
      <w:r w:rsidRPr="004D46AC">
        <w:rPr>
          <w:i/>
          <w:iCs/>
        </w:rPr>
        <w:t>Note</w:t>
      </w:r>
      <w:r w:rsidRPr="004D46AC">
        <w:t>. Path diagram illustrating the hypothesised regression relationships among psychopathological and psychosocial/demographic independent variables (IVs) and psychopathological dependent variables (DVs) across Waves 1, 5, and 9. Solid lines indicate main predictors, while dashed lines indicate covariates included to control for confounding. W = assessment wave (e.g., W1 = Wave 1). PHQ-9 = Patient Health Questionnaire-9; PSQ = Psychosis Screening Questionnaire; MDQ = Mood Disorder Questionnaire; GAD-7 = Generalised Anxiety Disorder-7; SSR = Subjective Social Ranking; IOU = Intolerance of Uncertainty; ACE = Adverse Childhood Experience; ECR-12 = Experiences in Close Relationships-12; BFI-10 = Big Five Inventory-10 (E = Extraversion, N = Neuroticism, O = Openness).</w:t>
      </w:r>
      <w:bookmarkEnd w:id="217"/>
      <w:r w:rsidRPr="004D46AC">
        <w:t xml:space="preserve"> </w:t>
      </w:r>
    </w:p>
    <w:p w14:paraId="2F961C49" w14:textId="77777777" w:rsidR="007075D9" w:rsidRPr="004D46AC" w:rsidRDefault="007075D9" w:rsidP="00B518F1"/>
    <w:p w14:paraId="2CC7DF82" w14:textId="77777777" w:rsidR="007075D9" w:rsidRPr="004D46AC" w:rsidRDefault="007075D9" w:rsidP="00B518F1">
      <w:r w:rsidRPr="004D46AC">
        <w:rPr>
          <w:rFonts w:eastAsia="SimSun"/>
          <w:kern w:val="0"/>
        </w:rPr>
        <w:t xml:space="preserve">No evidence of multicollinearity was observed, with all Variance Inflation Factor (VIF) values below 5. There were </w:t>
      </w:r>
      <w:r w:rsidRPr="004D46AC">
        <w:t xml:space="preserve">missing values observed for variables assessed at wave 1 (e.g., personality, depression, </w:t>
      </w:r>
      <w:r w:rsidRPr="004D46AC">
        <w:rPr>
          <w:i/>
          <w:iCs/>
        </w:rPr>
        <w:t>n</w:t>
      </w:r>
      <w:r w:rsidRPr="004D46AC">
        <w:t xml:space="preserve"> = 1,385), wave 6 (e.g., attachment, </w:t>
      </w:r>
      <w:r w:rsidRPr="004D46AC">
        <w:rPr>
          <w:i/>
          <w:iCs/>
        </w:rPr>
        <w:t>n</w:t>
      </w:r>
      <w:r w:rsidRPr="004D46AC">
        <w:t xml:space="preserve"> = 1,097), and wave 5 (e.g., adverse childhood events, </w:t>
      </w:r>
      <w:r w:rsidRPr="004D46AC">
        <w:rPr>
          <w:i/>
          <w:iCs/>
        </w:rPr>
        <w:t>n</w:t>
      </w:r>
      <w:r w:rsidRPr="004D46AC">
        <w:t xml:space="preserve"> = 504). Consequently, the sample size for regression models </w:t>
      </w:r>
      <w:r w:rsidRPr="004D46AC">
        <w:lastRenderedPageBreak/>
        <w:t xml:space="preserve">involving these variables decreased significantly, especially the wave 9 regression models (n = 499). </w:t>
      </w:r>
      <w:bookmarkStart w:id="218" w:name="OLE_LINK70"/>
      <w:r w:rsidRPr="004D46AC">
        <w:t>However, a post-hoc power analysis indicated that the wave 9 models had approximately 80% power to detect an overall small-to-moderate effect (R² = .04).</w:t>
      </w:r>
      <w:r w:rsidRPr="004D46AC">
        <w:rPr>
          <w:rFonts w:hint="eastAsia"/>
        </w:rPr>
        <w:t xml:space="preserve"> In addition,</w:t>
      </w:r>
      <w:r w:rsidRPr="004D46AC">
        <w:t xml:space="preserve"> </w:t>
      </w:r>
      <w:bookmarkStart w:id="219" w:name="OLE_LINK60"/>
      <w:r w:rsidRPr="004D46AC">
        <w:rPr>
          <w:rFonts w:hint="eastAsia"/>
        </w:rPr>
        <w:t>a</w:t>
      </w:r>
      <w:r w:rsidRPr="004D46AC">
        <w:t xml:space="preserve"> Wilcoxon rank</w:t>
      </w:r>
      <w:r w:rsidRPr="004D46AC">
        <w:rPr>
          <w:rFonts w:ascii="Cambria Math" w:hAnsi="Cambria Math" w:cs="Cambria Math"/>
        </w:rPr>
        <w:t>‑</w:t>
      </w:r>
      <w:r w:rsidRPr="004D46AC">
        <w:t>sum test showed no significant age difference between participants who remained (</w:t>
      </w:r>
      <w:proofErr w:type="spellStart"/>
      <w:r w:rsidRPr="004D46AC">
        <w:rPr>
          <w:i/>
          <w:iCs/>
        </w:rPr>
        <w:t>Mdn</w:t>
      </w:r>
      <w:proofErr w:type="spellEnd"/>
      <w:r w:rsidRPr="004D46AC">
        <w:t xml:space="preserve"> = 54) and those who dropped out (</w:t>
      </w:r>
      <w:proofErr w:type="spellStart"/>
      <w:r w:rsidRPr="004D46AC">
        <w:rPr>
          <w:i/>
          <w:iCs/>
        </w:rPr>
        <w:t>Mdn</w:t>
      </w:r>
      <w:proofErr w:type="spellEnd"/>
      <w:r w:rsidRPr="004D46AC">
        <w:rPr>
          <w:i/>
          <w:iCs/>
        </w:rPr>
        <w:t xml:space="preserve"> </w:t>
      </w:r>
      <w:r w:rsidRPr="004D46AC">
        <w:t xml:space="preserve">= 52), </w:t>
      </w:r>
      <w:r w:rsidRPr="004D46AC">
        <w:rPr>
          <w:i/>
          <w:iCs/>
        </w:rPr>
        <w:t>W</w:t>
      </w:r>
      <w:r w:rsidRPr="004D46AC">
        <w:t xml:space="preserve"> = 483 448, </w:t>
      </w:r>
      <w:r w:rsidRPr="004D46AC">
        <w:rPr>
          <w:i/>
          <w:iCs/>
        </w:rPr>
        <w:t xml:space="preserve">p </w:t>
      </w:r>
      <w:r w:rsidRPr="004D46AC">
        <w:t>= .15. Similarly, a chi</w:t>
      </w:r>
      <w:r w:rsidRPr="004D46AC">
        <w:rPr>
          <w:rFonts w:ascii="Cambria Math" w:hAnsi="Cambria Math" w:cs="Cambria Math"/>
        </w:rPr>
        <w:t>‑</w:t>
      </w:r>
      <w:r w:rsidRPr="004D46AC">
        <w:t>square test indicated no significant association between gender and attrition, χ</w:t>
      </w:r>
      <w:proofErr w:type="gramStart"/>
      <w:r w:rsidRPr="004D46AC">
        <w:t>²(</w:t>
      </w:r>
      <w:proofErr w:type="gramEnd"/>
      <w:r w:rsidRPr="004D46AC">
        <w:t xml:space="preserve">1, </w:t>
      </w:r>
      <w:r w:rsidRPr="004D46AC">
        <w:rPr>
          <w:i/>
          <w:iCs/>
        </w:rPr>
        <w:t>N</w:t>
      </w:r>
      <w:r w:rsidRPr="004D46AC">
        <w:t xml:space="preserve"> = 2 520) = 1.72, </w:t>
      </w:r>
      <w:r w:rsidRPr="004D46AC">
        <w:rPr>
          <w:i/>
          <w:iCs/>
        </w:rPr>
        <w:t>p</w:t>
      </w:r>
      <w:r w:rsidRPr="004D46AC">
        <w:t xml:space="preserve"> = .19.</w:t>
      </w:r>
      <w:bookmarkEnd w:id="219"/>
      <w:r w:rsidRPr="004D46AC">
        <w:t xml:space="preserve"> These results suggest that attrition was not systematically related to age or gender, reducing concerns about selection bias related to these variables, and that statistical power remained adequate to detect effects of the magnitude reported.</w:t>
      </w:r>
      <w:bookmarkEnd w:id="218"/>
    </w:p>
    <w:p w14:paraId="0AD6408B" w14:textId="77777777" w:rsidR="007075D9" w:rsidRPr="004D46AC" w:rsidRDefault="007075D9" w:rsidP="00B518F1">
      <w:bookmarkStart w:id="220" w:name="OLE_LINK67"/>
      <w:r w:rsidRPr="004D46AC">
        <w:t>Given that the PSQ and MDQ sum scores are count data with skewed distributions, we applied regression models using a Poisson family with a log link function. To account for potential overdispersion (where variance exceeds the mean), we assessed statistical significance using bootstrapped confidence intervals (2,000 resamples). This approach provides robust standard errors and confidence intervals without relying on strict distributional assumptions about variance.</w:t>
      </w:r>
      <w:bookmarkEnd w:id="220"/>
      <w:r w:rsidRPr="004D46AC">
        <w:rPr>
          <w:rFonts w:hint="eastAsia"/>
        </w:rPr>
        <w:t xml:space="preserve"> </w:t>
      </w:r>
      <w:r w:rsidRPr="004D46AC">
        <w:t xml:space="preserve">To facilitate model interpretation, McFadden’s </w:t>
      </w:r>
      <w:r w:rsidRPr="004D46AC">
        <w:rPr>
          <w:i/>
          <w:iCs/>
        </w:rPr>
        <w:t>R²</w:t>
      </w:r>
      <w:r w:rsidRPr="004D46AC">
        <w:t xml:space="preserve"> was used as a goodness-of-fit measure across all models. </w:t>
      </w:r>
    </w:p>
    <w:p w14:paraId="5876BE74" w14:textId="77777777" w:rsidR="007075D9" w:rsidRPr="004D46AC" w:rsidRDefault="007075D9" w:rsidP="00B518F1">
      <w:r w:rsidRPr="004D46AC">
        <w:t xml:space="preserve">All computations were conducted using R (version 4.4.0). The network model utilised packages such as </w:t>
      </w:r>
      <w:proofErr w:type="spellStart"/>
      <w:r w:rsidRPr="004D46AC">
        <w:t>bootnet</w:t>
      </w:r>
      <w:proofErr w:type="spellEnd"/>
      <w:r w:rsidRPr="004D46AC">
        <w:t xml:space="preserve"> (version 1.6.0), </w:t>
      </w:r>
      <w:proofErr w:type="spellStart"/>
      <w:r w:rsidRPr="004D46AC">
        <w:t>qgraph</w:t>
      </w:r>
      <w:proofErr w:type="spellEnd"/>
      <w:r w:rsidRPr="004D46AC">
        <w:t xml:space="preserve"> (version 1.9.8), </w:t>
      </w:r>
      <w:proofErr w:type="spellStart"/>
      <w:r w:rsidRPr="004D46AC">
        <w:t>EGAnet</w:t>
      </w:r>
      <w:proofErr w:type="spellEnd"/>
      <w:r w:rsidRPr="004D46AC">
        <w:t xml:space="preserve"> (version 2.1.0), and </w:t>
      </w:r>
      <w:proofErr w:type="spellStart"/>
      <w:r w:rsidRPr="004D46AC">
        <w:t>NetworkComparisonTest</w:t>
      </w:r>
      <w:proofErr w:type="spellEnd"/>
      <w:r w:rsidRPr="004D46AC">
        <w:t xml:space="preserve"> (version 2.2.2), while the regression models were conducted using lme4 (version 1.1-35.5), car (version 3.1-3), and psych (version 2.4.12). </w:t>
      </w:r>
    </w:p>
    <w:p w14:paraId="5E755D8D" w14:textId="77777777" w:rsidR="007075D9" w:rsidRPr="004D46AC" w:rsidRDefault="007075D9" w:rsidP="00B518F1"/>
    <w:p w14:paraId="5792DC43" w14:textId="77777777" w:rsidR="007075D9" w:rsidRPr="004D46AC" w:rsidRDefault="007075D9" w:rsidP="00B518F1"/>
    <w:p w14:paraId="3818E1B7" w14:textId="77777777" w:rsidR="007075D9" w:rsidRPr="004D46AC" w:rsidRDefault="007075D9" w:rsidP="00B518F1"/>
    <w:p w14:paraId="2D97E81F" w14:textId="77777777" w:rsidR="007075D9" w:rsidRPr="004D46AC" w:rsidRDefault="007075D9" w:rsidP="00B518F1"/>
    <w:p w14:paraId="37B0C168" w14:textId="77777777" w:rsidR="007075D9" w:rsidRPr="004D46AC" w:rsidRDefault="007075D9" w:rsidP="00B518F1"/>
    <w:p w14:paraId="12F88BF3" w14:textId="77777777" w:rsidR="007075D9" w:rsidRPr="004D46AC" w:rsidRDefault="007075D9" w:rsidP="00B518F1"/>
    <w:p w14:paraId="641DA298" w14:textId="77777777" w:rsidR="007075D9" w:rsidRPr="004D46AC" w:rsidRDefault="007075D9" w:rsidP="00B518F1">
      <w:pPr>
        <w:ind w:firstLine="0"/>
        <w:rPr>
          <w:rFonts w:eastAsiaTheme="minorEastAsia"/>
        </w:rPr>
      </w:pPr>
    </w:p>
    <w:p w14:paraId="5FF39FB2" w14:textId="77777777" w:rsidR="007075D9" w:rsidRPr="004D46AC" w:rsidRDefault="007075D9" w:rsidP="00B518F1">
      <w:pPr>
        <w:pStyle w:val="2"/>
      </w:pPr>
      <w:bookmarkStart w:id="221" w:name="_Toc219888777"/>
      <w:r w:rsidRPr="004D46AC">
        <w:lastRenderedPageBreak/>
        <w:t>Results</w:t>
      </w:r>
      <w:bookmarkEnd w:id="221"/>
    </w:p>
    <w:p w14:paraId="204260E2" w14:textId="77777777" w:rsidR="007075D9" w:rsidRPr="004D46AC" w:rsidRDefault="007075D9" w:rsidP="00B518F1">
      <w:r w:rsidRPr="004D46AC">
        <w:t>We first present analyses of the network structures of PLEs and mood symptoms at waves 5 and 9 and test for differences between them.</w:t>
      </w:r>
    </w:p>
    <w:p w14:paraId="2D8B8330" w14:textId="77777777" w:rsidR="007075D9" w:rsidRPr="004D46AC" w:rsidRDefault="007075D9" w:rsidP="00B518F1">
      <w:pPr>
        <w:pStyle w:val="3"/>
      </w:pPr>
      <w:r w:rsidRPr="004D46AC">
        <w:t xml:space="preserve">Stabilities of the network statistics </w:t>
      </w:r>
    </w:p>
    <w:p w14:paraId="5C348E0B" w14:textId="77777777" w:rsidR="007075D9" w:rsidRPr="004D46AC" w:rsidRDefault="007075D9" w:rsidP="00B518F1">
      <w:r w:rsidRPr="004D46AC">
        <w:t xml:space="preserve">For consistency, the 1,285 participants who completed both waves 5 and 9 assessments were considered a valid sample for network estimations of psychopathological symptoms at each wave. Network stability estimates were generally high for both waves 5 and 9 networks. The CS coefficients were as followings: wave 5 (edge weight: .67; node strength: .75; node closeness: .67; node betweenness: .28) and wave 9 (edge weight: .52; node strength: .60; node closeness: .60; node betweenness: .05), suggesting the edge and node statistics were generally stable, except for betweenness, which needs to be interpreted with caution. </w:t>
      </w:r>
    </w:p>
    <w:p w14:paraId="673A3261" w14:textId="77777777" w:rsidR="007075D9" w:rsidRPr="004D46AC" w:rsidRDefault="007075D9" w:rsidP="00B518F1">
      <w:pPr>
        <w:pStyle w:val="3"/>
      </w:pPr>
      <w:r w:rsidRPr="004D46AC">
        <w:t xml:space="preserve">Network composition, structure and connectivity </w:t>
      </w:r>
    </w:p>
    <w:p w14:paraId="3EABB324" w14:textId="5648E53D" w:rsidR="007075D9" w:rsidRPr="004D46AC" w:rsidRDefault="007075D9" w:rsidP="00B518F1">
      <w:r w:rsidRPr="004D46AC">
        <w:t xml:space="preserve">The EGA revealed a network structure (Figure </w:t>
      </w:r>
      <w:r w:rsidRPr="004D46AC">
        <w:rPr>
          <w:rFonts w:hint="eastAsia"/>
        </w:rPr>
        <w:t>D</w:t>
      </w:r>
      <w:r w:rsidR="00904541" w:rsidRPr="004D46AC">
        <w:rPr>
          <w:rFonts w:eastAsiaTheme="minorEastAsia" w:hint="eastAsia"/>
        </w:rPr>
        <w:t xml:space="preserve"> </w:t>
      </w:r>
      <w:r w:rsidRPr="004D46AC">
        <w:t>2) with three communities at waves 5 and 9. These corresponded with depression (e.g., D2: depressed mood or feelings of hopelessness; D4: fatigue), PLEs (e.g., PS: paranoia or strange experience; P5: hallucinations) and mania (e.g., M1: elevated mood, M5: pressured speech or talkativeness,).  Most of the statistics were consistent with little variation between waves. Depression was the most stable community (structural consistency = 1) across both waves. For PLEs, structural consistency was adequate at both waves (.60 at wave 5 and .61 at wave 9)</w:t>
      </w:r>
      <w:r w:rsidRPr="004D46AC">
        <w:rPr>
          <w:rFonts w:ascii="Microsoft YaHei" w:eastAsia="Microsoft YaHei" w:hAnsi="Microsoft YaHei" w:cs="Microsoft YaHei" w:hint="eastAsia"/>
        </w:rPr>
        <w:t>.</w:t>
      </w:r>
    </w:p>
    <w:p w14:paraId="5C04483D" w14:textId="77777777" w:rsidR="007075D9" w:rsidRPr="004D46AC" w:rsidRDefault="007075D9" w:rsidP="00B518F1">
      <w:r w:rsidRPr="004D46AC">
        <w:t>Although the structural consistency of the mania community was high at wave 5 (.92) at wave 9 it was .32, which is below the threshold for stability (&gt; .60). Although most items in this community exhibited high item stability (&gt;</w:t>
      </w:r>
      <w:r w:rsidRPr="004D46AC">
        <w:rPr>
          <w:rFonts w:hint="eastAsia"/>
        </w:rPr>
        <w:t xml:space="preserve"> </w:t>
      </w:r>
      <w:r w:rsidRPr="004D46AC">
        <w:t xml:space="preserve">.80), its composition should be interpreted with caution. This instability appears to be driven by M2 (irritability), M6 (racing thoughts), and M7 (easily distracted), which showed unstable placement - being part of the PLEs community at </w:t>
      </w:r>
      <w:r w:rsidRPr="004D46AC">
        <w:lastRenderedPageBreak/>
        <w:t xml:space="preserve">wave 5 but the mania community at wave 9 - suggesting a complex relationship between subclinical symptoms of mania and psychosis.  </w:t>
      </w:r>
    </w:p>
    <w:p w14:paraId="2B543609" w14:textId="77777777" w:rsidR="007075D9" w:rsidRPr="004D46AC" w:rsidRDefault="007075D9" w:rsidP="00B518F1">
      <w:r w:rsidRPr="004D46AC">
        <w:t>The network densities were .41 at wave 5 and .38 at wave 9. The weighted network densities (average absolute edge weight) were both .09. The NCT revealed that neither the global connectivity (</w:t>
      </w:r>
      <w:r w:rsidRPr="004D46AC">
        <w:rPr>
          <w:i/>
          <w:iCs/>
        </w:rPr>
        <w:t>S</w:t>
      </w:r>
      <w:r w:rsidRPr="004D46AC">
        <w:rPr>
          <w:i/>
          <w:iCs/>
          <w:vertAlign w:val="subscript"/>
        </w:rPr>
        <w:t>0</w:t>
      </w:r>
      <w:r w:rsidRPr="004D46AC">
        <w:t xml:space="preserve"> = 0.20, </w:t>
      </w:r>
      <w:r w:rsidRPr="004D46AC">
        <w:rPr>
          <w:i/>
          <w:iCs/>
        </w:rPr>
        <w:t>p</w:t>
      </w:r>
      <w:r w:rsidRPr="004D46AC">
        <w:t xml:space="preserve"> = .90) nor the network structure (</w:t>
      </w:r>
      <w:r w:rsidRPr="004D46AC">
        <w:rPr>
          <w:i/>
          <w:iCs/>
        </w:rPr>
        <w:t xml:space="preserve">M </w:t>
      </w:r>
      <w:r w:rsidRPr="004D46AC">
        <w:t xml:space="preserve">= 0.54, </w:t>
      </w:r>
      <w:r w:rsidRPr="004D46AC">
        <w:rPr>
          <w:i/>
          <w:iCs/>
        </w:rPr>
        <w:t>p</w:t>
      </w:r>
      <w:r w:rsidRPr="004D46AC">
        <w:t xml:space="preserve"> = .70) were statistically different across the waves.  </w:t>
      </w:r>
    </w:p>
    <w:p w14:paraId="58A9C3FF" w14:textId="77777777" w:rsidR="007075D9" w:rsidRPr="004D46AC" w:rsidRDefault="007075D9" w:rsidP="00B518F1">
      <w:pPr>
        <w:ind w:firstLine="660"/>
      </w:pPr>
    </w:p>
    <w:p w14:paraId="03D0E77B" w14:textId="77777777" w:rsidR="007075D9" w:rsidRPr="004D46AC" w:rsidRDefault="007075D9" w:rsidP="00B518F1">
      <w:pPr>
        <w:pStyle w:val="3"/>
      </w:pPr>
      <w:r w:rsidRPr="004D46AC">
        <w:t xml:space="preserve">Edge and node statistics across waves </w:t>
      </w:r>
    </w:p>
    <w:p w14:paraId="004D04FF" w14:textId="509098F6" w:rsidR="007075D9" w:rsidRPr="004D46AC" w:rsidRDefault="007075D9" w:rsidP="00B518F1">
      <w:r w:rsidRPr="004D46AC">
        <w:t xml:space="preserve">Visual representations of the networks, which are presented in Figure </w:t>
      </w:r>
      <w:r w:rsidRPr="004D46AC">
        <w:rPr>
          <w:rFonts w:hint="eastAsia"/>
        </w:rPr>
        <w:t>4.2</w:t>
      </w:r>
      <w:r w:rsidRPr="004D46AC">
        <w:t>, and some differences are apparent from visual inspection. The node with the highest strength in the wave 5 network was M7 (i.e., easily distracted), whereas M6 (i.e., racing thoughts) was the node with the highest strength in the wave 9 network; these two symptoms were also the nodes exhibiting highest closeness. In both networks, the node with lowest strength was D5 (i.e., feeling of worthlessness), see</w:t>
      </w:r>
      <w:r w:rsidRPr="004D46AC">
        <w:rPr>
          <w:rFonts w:hint="eastAsia"/>
        </w:rPr>
        <w:t xml:space="preserve"> </w:t>
      </w:r>
      <w:r w:rsidRPr="004D46AC">
        <w:t xml:space="preserve">Figure </w:t>
      </w:r>
      <w:r w:rsidR="00904541" w:rsidRPr="004D46AC">
        <w:rPr>
          <w:rFonts w:eastAsiaTheme="minorEastAsia" w:hint="eastAsia"/>
        </w:rPr>
        <w:t xml:space="preserve">D </w:t>
      </w:r>
      <w:r w:rsidRPr="004D46AC">
        <w:rPr>
          <w:rFonts w:hint="eastAsia"/>
        </w:rPr>
        <w:t>3</w:t>
      </w:r>
      <w:r w:rsidRPr="004D46AC">
        <w:t xml:space="preserve"> for details. </w:t>
      </w:r>
    </w:p>
    <w:p w14:paraId="25C55DAA" w14:textId="77777777" w:rsidR="007075D9" w:rsidRPr="004D46AC" w:rsidRDefault="007075D9" w:rsidP="00B518F1"/>
    <w:p w14:paraId="1FA710FD" w14:textId="77777777" w:rsidR="007075D9" w:rsidRPr="004D46AC" w:rsidRDefault="007075D9" w:rsidP="00B518F1">
      <w:pPr>
        <w:rPr>
          <w:b/>
          <w:bCs/>
        </w:rPr>
      </w:pPr>
      <w:r w:rsidRPr="004D46AC">
        <w:rPr>
          <w:noProof/>
        </w:rPr>
        <w:drawing>
          <wp:inline distT="0" distB="0" distL="0" distR="0" wp14:anchorId="11BD4653" wp14:editId="5F9FB299">
            <wp:extent cx="5276850" cy="3556000"/>
            <wp:effectExtent l="0" t="0" r="0" b="6350"/>
            <wp:docPr id="1273134000" name="图片 2" descr="图表, 雷达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图表, 雷达图&#10;&#10;AI 生成的内容可能不正确。"/>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276850" cy="3556000"/>
                    </a:xfrm>
                    <a:prstGeom prst="rect">
                      <a:avLst/>
                    </a:prstGeom>
                    <a:noFill/>
                    <a:ln>
                      <a:noFill/>
                    </a:ln>
                  </pic:spPr>
                </pic:pic>
              </a:graphicData>
            </a:graphic>
          </wp:inline>
        </w:drawing>
      </w:r>
    </w:p>
    <w:p w14:paraId="29E884B8" w14:textId="5AC788CE" w:rsidR="005B3793" w:rsidRPr="004D46AC" w:rsidRDefault="009264C5" w:rsidP="005B3793">
      <w:pPr>
        <w:pStyle w:val="afff0"/>
        <w:spacing w:after="0" w:line="360" w:lineRule="auto"/>
        <w:ind w:firstLine="0"/>
        <w:rPr>
          <w:rFonts w:eastAsiaTheme="minorEastAsia"/>
          <w:b/>
          <w:bCs/>
          <w:i w:val="0"/>
          <w:iCs w:val="0"/>
          <w:color w:val="auto"/>
          <w:sz w:val="22"/>
          <w:szCs w:val="22"/>
        </w:rPr>
      </w:pPr>
      <w:bookmarkStart w:id="222" w:name="_Toc219883931"/>
      <w:bookmarkStart w:id="223" w:name="_Toc219884863"/>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4</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bookmarkEnd w:id="222"/>
      <w:bookmarkEnd w:id="223"/>
      <w:r w:rsidR="004725A0" w:rsidRPr="004D46AC">
        <w:rPr>
          <w:b/>
          <w:bCs/>
          <w:i w:val="0"/>
          <w:iCs w:val="0"/>
          <w:color w:val="auto"/>
          <w:sz w:val="22"/>
          <w:szCs w:val="22"/>
        </w:rPr>
        <w:fldChar w:fldCharType="end"/>
      </w:r>
    </w:p>
    <w:p w14:paraId="20D3C01F" w14:textId="49E87F46" w:rsidR="007075D9" w:rsidRPr="004D46AC" w:rsidRDefault="007075D9" w:rsidP="005B3793">
      <w:pPr>
        <w:pStyle w:val="afff0"/>
        <w:spacing w:after="0" w:line="360" w:lineRule="auto"/>
        <w:ind w:firstLine="0"/>
        <w:rPr>
          <w:b/>
          <w:bCs/>
          <w:color w:val="auto"/>
          <w:sz w:val="22"/>
          <w:szCs w:val="22"/>
        </w:rPr>
      </w:pPr>
      <w:r w:rsidRPr="004D46AC">
        <w:rPr>
          <w:color w:val="auto"/>
          <w:sz w:val="22"/>
          <w:szCs w:val="22"/>
        </w:rPr>
        <w:lastRenderedPageBreak/>
        <w:t xml:space="preserve">Networks of Mood and PLEs </w:t>
      </w:r>
      <w:r w:rsidR="00033CC9" w:rsidRPr="004D46AC">
        <w:rPr>
          <w:rFonts w:eastAsiaTheme="minorEastAsia" w:hint="eastAsia"/>
          <w:color w:val="auto"/>
          <w:sz w:val="22"/>
          <w:szCs w:val="22"/>
        </w:rPr>
        <w:t>a</w:t>
      </w:r>
      <w:r w:rsidRPr="004D46AC">
        <w:rPr>
          <w:color w:val="auto"/>
          <w:sz w:val="22"/>
          <w:szCs w:val="22"/>
        </w:rPr>
        <w:t xml:space="preserve">cross </w:t>
      </w:r>
      <w:r w:rsidR="00033CC9" w:rsidRPr="004D46AC">
        <w:rPr>
          <w:rFonts w:eastAsiaTheme="minorEastAsia" w:hint="eastAsia"/>
          <w:color w:val="auto"/>
          <w:sz w:val="22"/>
          <w:szCs w:val="22"/>
        </w:rPr>
        <w:t>w</w:t>
      </w:r>
      <w:r w:rsidRPr="004D46AC">
        <w:rPr>
          <w:color w:val="auto"/>
          <w:sz w:val="22"/>
          <w:szCs w:val="22"/>
        </w:rPr>
        <w:t>aves</w:t>
      </w:r>
    </w:p>
    <w:p w14:paraId="767E2E2A" w14:textId="77777777" w:rsidR="007075D9" w:rsidRPr="004D46AC" w:rsidRDefault="007075D9" w:rsidP="00705E90">
      <w:pPr>
        <w:spacing w:line="360" w:lineRule="auto"/>
        <w:ind w:firstLine="0"/>
      </w:pPr>
      <w:r w:rsidRPr="004D46AC">
        <w:rPr>
          <w:i/>
          <w:iCs/>
        </w:rPr>
        <w:t>Note</w:t>
      </w:r>
      <w:r w:rsidRPr="004D46AC">
        <w:t>. Blue edge denotes positive correlation, while red edge denotes negative correlation. Depression (PHQ) nodes are represented by blue, Mania (MDQ) nodes by red, and PLEs (PSQ) nodes by purple. No threshold is applied to the graphs.</w:t>
      </w:r>
      <w:r w:rsidRPr="004D46AC">
        <w:rPr>
          <w:rFonts w:hint="eastAsia"/>
        </w:rPr>
        <w:t xml:space="preserve"> </w:t>
      </w:r>
      <w:r w:rsidRPr="004D46AC">
        <w:t>D1: Decreased interest, D2: Depressed mood or feelings of hopelessness, D3: Sleep problems, D4: Fatigue, D5: Poor appetite or overeating, D6: Feelings of worthlessness, D7: Concentration problems, D8: Psychomotor retardation or agitation, D9: Self-harm or suicidal thoughts, EI: Elevated energy or increased goal-directed activity, M1: Elevated mood, M2: Irritability, M3: Elevated self-confidence, M4: Reduced need for sleep, M5: Pressured speech or talkativeness, M6: Racing thoughts, M7: Easily distracted, M10: Increased social activity, M11: Increased sexual interest, M12: Involvement in risky behaviour, M13: Spending money carelessly, P2: Thought insertion, PS: Paranoia or strange experiences, P5: Hallucinations.</w:t>
      </w:r>
    </w:p>
    <w:p w14:paraId="61BDF758" w14:textId="77777777" w:rsidR="007075D9" w:rsidRPr="004D46AC" w:rsidRDefault="007075D9" w:rsidP="00B518F1">
      <w:pPr>
        <w:ind w:firstLine="0"/>
        <w:rPr>
          <w:rFonts w:eastAsiaTheme="minorEastAsia"/>
        </w:rPr>
      </w:pPr>
    </w:p>
    <w:p w14:paraId="4FC6CEFF" w14:textId="5002399B" w:rsidR="007075D9" w:rsidRPr="004D46AC" w:rsidRDefault="007075D9" w:rsidP="00B518F1">
      <w:r w:rsidRPr="004D46AC">
        <w:t>Regarding edge statistics, the two networks displayed slightly different patterns. In the wave 5 network, the edge with the highest weight was M12 (involvement in risky behaviour)</w:t>
      </w:r>
      <w:r w:rsidRPr="004D46AC">
        <w:rPr>
          <w:rFonts w:hint="eastAsia"/>
        </w:rPr>
        <w:t>-</w:t>
      </w:r>
      <w:r w:rsidRPr="004D46AC">
        <w:t>M13 (spending money carelessly) (</w:t>
      </w:r>
      <w:r w:rsidRPr="004D46AC">
        <w:rPr>
          <w:i/>
          <w:iCs/>
        </w:rPr>
        <w:t>W</w:t>
      </w:r>
      <w:r w:rsidRPr="004D46AC">
        <w:t xml:space="preserve"> = 0.90, 95% BCI [0.50, 1.30]), whereas at wave 9, the strongest edge was M6 (racing thoughts)</w:t>
      </w:r>
      <w:r w:rsidRPr="004D46AC">
        <w:rPr>
          <w:rFonts w:hint="eastAsia"/>
        </w:rPr>
        <w:t>-</w:t>
      </w:r>
      <w:r w:rsidRPr="004D46AC">
        <w:t>M7 (easily distracted) (</w:t>
      </w:r>
      <w:r w:rsidRPr="004D46AC">
        <w:rPr>
          <w:i/>
          <w:iCs/>
        </w:rPr>
        <w:t>W</w:t>
      </w:r>
      <w:r w:rsidRPr="004D46AC">
        <w:t xml:space="preserve"> = 0.75, 95% BCI [0.54, 0.95]). The edges with the lowest weights were D4 (fatigue)</w:t>
      </w:r>
      <w:r w:rsidRPr="004D46AC">
        <w:rPr>
          <w:rFonts w:hint="eastAsia"/>
        </w:rPr>
        <w:t>-</w:t>
      </w:r>
      <w:r w:rsidRPr="004D46AC">
        <w:t>D9 (self-harm or suicidal thoughts) at Wave 5 (</w:t>
      </w:r>
      <w:r w:rsidRPr="004D46AC">
        <w:rPr>
          <w:i/>
          <w:iCs/>
        </w:rPr>
        <w:t>W</w:t>
      </w:r>
      <w:r w:rsidRPr="004D46AC">
        <w:t xml:space="preserve"> = </w:t>
      </w:r>
      <w:r w:rsidRPr="004D46AC">
        <w:rPr>
          <w:rFonts w:hint="eastAsia"/>
        </w:rPr>
        <w:t>-</w:t>
      </w:r>
      <w:r w:rsidRPr="004D46AC">
        <w:t>0.03, 95% BCI [</w:t>
      </w:r>
      <w:r w:rsidRPr="004D46AC">
        <w:rPr>
          <w:rFonts w:hint="eastAsia"/>
        </w:rPr>
        <w:t>-</w:t>
      </w:r>
      <w:r w:rsidRPr="004D46AC">
        <w:t>0.10, 0.04]) and D1 (decreased interest)</w:t>
      </w:r>
      <w:r w:rsidRPr="004D46AC">
        <w:rPr>
          <w:rFonts w:hint="eastAsia"/>
        </w:rPr>
        <w:t>-</w:t>
      </w:r>
      <w:r w:rsidRPr="004D46AC">
        <w:t>D8 (psychomotor retardation or agitation) at Wave 9 (</w:t>
      </w:r>
      <w:r w:rsidRPr="004D46AC">
        <w:rPr>
          <w:i/>
          <w:iCs/>
        </w:rPr>
        <w:t>W</w:t>
      </w:r>
      <w:r w:rsidRPr="004D46AC">
        <w:t xml:space="preserve"> = 0.04, 95% BCI [</w:t>
      </w:r>
      <w:r w:rsidRPr="004D46AC">
        <w:rPr>
          <w:rFonts w:hint="eastAsia"/>
        </w:rPr>
        <w:t>-</w:t>
      </w:r>
      <w:r w:rsidRPr="004D46AC">
        <w:t xml:space="preserve">0.04, 0.11]); see Tables </w:t>
      </w:r>
      <w:r w:rsidRPr="004D46AC">
        <w:rPr>
          <w:rFonts w:hint="eastAsia"/>
        </w:rPr>
        <w:t>D</w:t>
      </w:r>
      <w:r w:rsidR="00AD0A74" w:rsidRPr="004D46AC">
        <w:rPr>
          <w:rFonts w:eastAsiaTheme="minorEastAsia" w:hint="eastAsia"/>
        </w:rPr>
        <w:t xml:space="preserve"> </w:t>
      </w:r>
      <w:r w:rsidRPr="004D46AC">
        <w:t>2</w:t>
      </w:r>
      <w:r w:rsidR="00AD0A74" w:rsidRPr="004D46AC">
        <w:rPr>
          <w:rFonts w:eastAsiaTheme="minorEastAsia" w:hint="eastAsia"/>
        </w:rPr>
        <w:t>-3</w:t>
      </w:r>
      <w:r w:rsidRPr="004D46AC">
        <w:t xml:space="preserve"> for details.</w:t>
      </w:r>
    </w:p>
    <w:p w14:paraId="18FFF949" w14:textId="77777777" w:rsidR="007075D9" w:rsidRPr="004D46AC" w:rsidRDefault="007075D9" w:rsidP="00B518F1">
      <w:r w:rsidRPr="004D46AC">
        <w:t>Although the ranking of edge weights was not identical across waves for the mood-PLE pairs, the pattern of the highest-ranked mood-PLE associations was generally consistent, with higher edge weights linking PLEs to mania symptoms compared to depressive symptoms at both waves, consistent with the findings of Shao et al. (2024) with clinical samples. The edge with the highest weight was M4 (reduced need for sleep)-P2 (thought insertion) at wave 5 (</w:t>
      </w:r>
      <w:r w:rsidRPr="004D46AC">
        <w:rPr>
          <w:i/>
          <w:iCs/>
        </w:rPr>
        <w:t>W</w:t>
      </w:r>
      <w:r w:rsidRPr="004D46AC">
        <w:t xml:space="preserve"> = 0.48, 95% BCI [0.10, 0.85]) and M3 (elevated self-confidence)-P5 (hallucinations) at wave 9 (</w:t>
      </w:r>
      <w:r w:rsidRPr="004D46AC">
        <w:rPr>
          <w:i/>
          <w:iCs/>
        </w:rPr>
        <w:t>W</w:t>
      </w:r>
      <w:r w:rsidRPr="004D46AC">
        <w:t xml:space="preserve"> = 0.39, 95% BCI [</w:t>
      </w:r>
      <w:r w:rsidRPr="004D46AC">
        <w:rPr>
          <w:rFonts w:hint="eastAsia"/>
        </w:rPr>
        <w:t>-</w:t>
      </w:r>
      <w:r w:rsidRPr="004D46AC">
        <w:t>0.17, 0.95]). The edge D9 (suicidal thoughts or self-harm)-P5 (hallucinations) was consistent across wave 5 (</w:t>
      </w:r>
      <w:r w:rsidRPr="004D46AC">
        <w:rPr>
          <w:i/>
          <w:iCs/>
        </w:rPr>
        <w:t>W</w:t>
      </w:r>
      <w:r w:rsidRPr="004D46AC">
        <w:t xml:space="preserve"> = 0.09, 95% BCI [</w:t>
      </w:r>
      <w:r w:rsidRPr="004D46AC">
        <w:rPr>
          <w:rFonts w:hint="eastAsia"/>
        </w:rPr>
        <w:t>-</w:t>
      </w:r>
      <w:r w:rsidRPr="004D46AC">
        <w:t>0.10, 0.28]) and wave 9 (</w:t>
      </w:r>
      <w:r w:rsidRPr="004D46AC">
        <w:rPr>
          <w:i/>
          <w:iCs/>
        </w:rPr>
        <w:t>W</w:t>
      </w:r>
      <w:r w:rsidRPr="004D46AC">
        <w:t xml:space="preserve"> = 0.21, 95% BCI [</w:t>
      </w:r>
      <w:r w:rsidRPr="004D46AC">
        <w:rPr>
          <w:rFonts w:hint="eastAsia"/>
        </w:rPr>
        <w:t>-</w:t>
      </w:r>
      <w:r w:rsidRPr="004D46AC">
        <w:t xml:space="preserve">0.11, 0.53]); see Table </w:t>
      </w:r>
      <w:r w:rsidRPr="004D46AC">
        <w:rPr>
          <w:rFonts w:hint="eastAsia"/>
        </w:rPr>
        <w:t>4.</w:t>
      </w:r>
      <w:r w:rsidRPr="004D46AC">
        <w:t>2 for details.</w:t>
      </w:r>
    </w:p>
    <w:p w14:paraId="16B7B91B" w14:textId="77777777" w:rsidR="009264C5" w:rsidRPr="004D46AC" w:rsidRDefault="009264C5" w:rsidP="009264C5">
      <w:pPr>
        <w:pStyle w:val="afff0"/>
        <w:ind w:firstLine="0"/>
        <w:rPr>
          <w:rFonts w:eastAsiaTheme="minorEastAsia"/>
          <w:b/>
          <w:bCs/>
          <w:i w:val="0"/>
          <w:iCs w:val="0"/>
          <w:sz w:val="22"/>
          <w:szCs w:val="22"/>
        </w:rPr>
      </w:pPr>
    </w:p>
    <w:p w14:paraId="31EC804B" w14:textId="55B4A414" w:rsidR="004725A0" w:rsidRPr="004D46AC" w:rsidRDefault="009264C5" w:rsidP="0090577F">
      <w:pPr>
        <w:spacing w:line="360" w:lineRule="auto"/>
        <w:ind w:firstLine="0"/>
        <w:rPr>
          <w:rFonts w:eastAsiaTheme="minorEastAsia"/>
        </w:rPr>
      </w:pPr>
      <w:bookmarkStart w:id="224" w:name="_Toc219883862"/>
      <w:bookmarkStart w:id="225" w:name="_Toc219870614"/>
      <w:r w:rsidRPr="004D46AC">
        <w:rPr>
          <w:b/>
          <w:bCs/>
        </w:rPr>
        <w:t xml:space="preserve">Table </w:t>
      </w:r>
      <w:r w:rsidR="004725A0" w:rsidRPr="004D46AC">
        <w:rPr>
          <w:b/>
          <w:bCs/>
        </w:rPr>
        <w:fldChar w:fldCharType="begin"/>
      </w:r>
      <w:r w:rsidR="004725A0" w:rsidRPr="004D46AC">
        <w:rPr>
          <w:b/>
          <w:bCs/>
        </w:rPr>
        <w:instrText xml:space="preserve"> STYLEREF 1 \s </w:instrText>
      </w:r>
      <w:r w:rsidR="004725A0" w:rsidRPr="004D46AC">
        <w:rPr>
          <w:b/>
          <w:bCs/>
        </w:rPr>
        <w:fldChar w:fldCharType="separate"/>
      </w:r>
      <w:r w:rsidR="004725A0" w:rsidRPr="004D46AC">
        <w:rPr>
          <w:b/>
          <w:bCs/>
          <w:noProof/>
        </w:rPr>
        <w:t>4</w:t>
      </w:r>
      <w:r w:rsidR="004725A0" w:rsidRPr="004D46AC">
        <w:rPr>
          <w:b/>
          <w:bCs/>
        </w:rPr>
        <w:fldChar w:fldCharType="end"/>
      </w:r>
      <w:r w:rsidR="004725A0" w:rsidRPr="004D46AC">
        <w:rPr>
          <w:b/>
          <w:bCs/>
        </w:rPr>
        <w:t>.</w:t>
      </w:r>
      <w:r w:rsidR="004725A0" w:rsidRPr="004D46AC">
        <w:rPr>
          <w:b/>
          <w:bCs/>
        </w:rPr>
        <w:fldChar w:fldCharType="begin"/>
      </w:r>
      <w:r w:rsidR="004725A0" w:rsidRPr="004D46AC">
        <w:rPr>
          <w:b/>
          <w:bCs/>
        </w:rPr>
        <w:instrText xml:space="preserve"> SEQ Table \* ARABIC \s 1 </w:instrText>
      </w:r>
      <w:r w:rsidR="004725A0" w:rsidRPr="004D46AC">
        <w:rPr>
          <w:b/>
          <w:bCs/>
        </w:rPr>
        <w:fldChar w:fldCharType="separate"/>
      </w:r>
      <w:r w:rsidR="004725A0" w:rsidRPr="004D46AC">
        <w:rPr>
          <w:b/>
          <w:bCs/>
          <w:noProof/>
        </w:rPr>
        <w:t>2</w:t>
      </w:r>
      <w:bookmarkEnd w:id="224"/>
      <w:r w:rsidR="004725A0" w:rsidRPr="004D46AC">
        <w:rPr>
          <w:b/>
          <w:bCs/>
        </w:rPr>
        <w:fldChar w:fldCharType="end"/>
      </w:r>
      <w:bookmarkEnd w:id="225"/>
      <w:r w:rsidR="004725A0" w:rsidRPr="004D46AC">
        <w:t xml:space="preserve"> </w:t>
      </w:r>
    </w:p>
    <w:p w14:paraId="299CAEE1" w14:textId="24E33EC0" w:rsidR="007075D9" w:rsidRPr="004D46AC" w:rsidRDefault="004725A0" w:rsidP="0090577F">
      <w:pPr>
        <w:spacing w:line="360" w:lineRule="auto"/>
        <w:ind w:firstLine="0"/>
        <w:rPr>
          <w:rFonts w:eastAsiaTheme="minorEastAsia"/>
          <w:i/>
          <w:iCs/>
        </w:rPr>
      </w:pPr>
      <w:r w:rsidRPr="004D46AC">
        <w:rPr>
          <w:i/>
          <w:iCs/>
        </w:rPr>
        <w:t xml:space="preserve">Top </w:t>
      </w:r>
      <w:r w:rsidR="00D70BAE" w:rsidRPr="004D46AC">
        <w:rPr>
          <w:rFonts w:eastAsiaTheme="minorEastAsia" w:hint="eastAsia"/>
          <w:i/>
          <w:iCs/>
        </w:rPr>
        <w:t>t</w:t>
      </w:r>
      <w:r w:rsidRPr="004D46AC">
        <w:rPr>
          <w:i/>
          <w:iCs/>
        </w:rPr>
        <w:t xml:space="preserve">hree </w:t>
      </w:r>
      <w:r w:rsidR="00D70BAE" w:rsidRPr="004D46AC">
        <w:rPr>
          <w:rFonts w:eastAsiaTheme="minorEastAsia" w:hint="eastAsia"/>
          <w:i/>
          <w:iCs/>
        </w:rPr>
        <w:t>e</w:t>
      </w:r>
      <w:r w:rsidRPr="004D46AC">
        <w:rPr>
          <w:i/>
          <w:iCs/>
        </w:rPr>
        <w:t xml:space="preserve">dge </w:t>
      </w:r>
      <w:r w:rsidR="00D70BAE" w:rsidRPr="004D46AC">
        <w:rPr>
          <w:rFonts w:eastAsiaTheme="minorEastAsia" w:hint="eastAsia"/>
          <w:i/>
          <w:iCs/>
        </w:rPr>
        <w:t>s</w:t>
      </w:r>
      <w:r w:rsidRPr="004D46AC">
        <w:rPr>
          <w:i/>
          <w:iCs/>
        </w:rPr>
        <w:t xml:space="preserve">tatistics </w:t>
      </w:r>
      <w:r w:rsidR="00D70BAE" w:rsidRPr="004D46AC">
        <w:rPr>
          <w:rFonts w:eastAsiaTheme="minorEastAsia" w:hint="eastAsia"/>
          <w:i/>
          <w:iCs/>
        </w:rPr>
        <w:t>a</w:t>
      </w:r>
      <w:r w:rsidRPr="004D46AC">
        <w:rPr>
          <w:i/>
          <w:iCs/>
        </w:rPr>
        <w:t xml:space="preserve">cross </w:t>
      </w:r>
      <w:r w:rsidR="00D70BAE" w:rsidRPr="004D46AC">
        <w:rPr>
          <w:rFonts w:eastAsiaTheme="minorEastAsia" w:hint="eastAsia"/>
          <w:i/>
          <w:iCs/>
        </w:rPr>
        <w:t>t</w:t>
      </w:r>
      <w:r w:rsidRPr="004D46AC">
        <w:rPr>
          <w:i/>
          <w:iCs/>
        </w:rPr>
        <w:t xml:space="preserve">wo </w:t>
      </w:r>
      <w:r w:rsidR="00D70BAE" w:rsidRPr="004D46AC">
        <w:rPr>
          <w:rFonts w:eastAsiaTheme="minorEastAsia" w:hint="eastAsia"/>
          <w:i/>
          <w:iCs/>
        </w:rPr>
        <w:t>w</w:t>
      </w:r>
      <w:r w:rsidRPr="004D46AC">
        <w:rPr>
          <w:i/>
          <w:iCs/>
        </w:rPr>
        <w:t>aves</w:t>
      </w:r>
    </w:p>
    <w:tbl>
      <w:tblPr>
        <w:tblStyle w:val="afc"/>
        <w:tblW w:w="0" w:type="auto"/>
        <w:tblLook w:val="04A0" w:firstRow="1" w:lastRow="0" w:firstColumn="1" w:lastColumn="0" w:noHBand="0" w:noVBand="1"/>
      </w:tblPr>
      <w:tblGrid>
        <w:gridCol w:w="2165"/>
        <w:gridCol w:w="2136"/>
        <w:gridCol w:w="1506"/>
      </w:tblGrid>
      <w:tr w:rsidR="007075D9" w:rsidRPr="004D46AC" w14:paraId="3E6F26FC" w14:textId="77777777" w:rsidTr="00B518F1">
        <w:tc>
          <w:tcPr>
            <w:tcW w:w="2165" w:type="dxa"/>
          </w:tcPr>
          <w:p w14:paraId="7AEDB7EA" w14:textId="77777777" w:rsidR="007075D9" w:rsidRPr="004D46AC" w:rsidRDefault="007075D9" w:rsidP="0090577F">
            <w:pPr>
              <w:spacing w:line="360" w:lineRule="auto"/>
              <w:ind w:firstLine="0"/>
              <w:rPr>
                <w:b/>
                <w:bCs/>
              </w:rPr>
            </w:pPr>
            <w:r w:rsidRPr="004D46AC">
              <w:rPr>
                <w:b/>
                <w:bCs/>
              </w:rPr>
              <w:t xml:space="preserve">Edges </w:t>
            </w:r>
          </w:p>
        </w:tc>
        <w:tc>
          <w:tcPr>
            <w:tcW w:w="2136" w:type="dxa"/>
          </w:tcPr>
          <w:p w14:paraId="0CB58578" w14:textId="77777777" w:rsidR="007075D9" w:rsidRPr="004D46AC" w:rsidRDefault="007075D9" w:rsidP="0090577F">
            <w:pPr>
              <w:spacing w:line="360" w:lineRule="auto"/>
              <w:ind w:firstLine="0"/>
              <w:rPr>
                <w:b/>
                <w:bCs/>
              </w:rPr>
            </w:pPr>
            <w:r w:rsidRPr="004D46AC">
              <w:rPr>
                <w:b/>
                <w:bCs/>
              </w:rPr>
              <w:t>Weights</w:t>
            </w:r>
          </w:p>
        </w:tc>
        <w:tc>
          <w:tcPr>
            <w:tcW w:w="1506" w:type="dxa"/>
          </w:tcPr>
          <w:p w14:paraId="2ACE1101" w14:textId="77777777" w:rsidR="007075D9" w:rsidRPr="004D46AC" w:rsidRDefault="007075D9" w:rsidP="0090577F">
            <w:pPr>
              <w:spacing w:line="360" w:lineRule="auto"/>
              <w:ind w:firstLine="0"/>
              <w:rPr>
                <w:b/>
                <w:bCs/>
              </w:rPr>
            </w:pPr>
            <w:r w:rsidRPr="004D46AC">
              <w:rPr>
                <w:b/>
                <w:bCs/>
              </w:rPr>
              <w:t>95% BCI</w:t>
            </w:r>
          </w:p>
        </w:tc>
      </w:tr>
      <w:tr w:rsidR="007075D9" w:rsidRPr="004D46AC" w14:paraId="6C7619C6" w14:textId="77777777" w:rsidTr="00B518F1">
        <w:tc>
          <w:tcPr>
            <w:tcW w:w="5807" w:type="dxa"/>
            <w:gridSpan w:val="3"/>
          </w:tcPr>
          <w:p w14:paraId="4937604C" w14:textId="77777777" w:rsidR="007075D9" w:rsidRPr="004D46AC" w:rsidRDefault="007075D9" w:rsidP="0090577F">
            <w:pPr>
              <w:spacing w:line="360" w:lineRule="auto"/>
              <w:ind w:firstLine="0"/>
            </w:pPr>
            <w:r w:rsidRPr="004D46AC">
              <w:t>Wave 5 Mania-PLEs</w:t>
            </w:r>
          </w:p>
        </w:tc>
      </w:tr>
      <w:tr w:rsidR="007075D9" w:rsidRPr="004D46AC" w14:paraId="0BF8CF66" w14:textId="77777777" w:rsidTr="00B518F1">
        <w:tc>
          <w:tcPr>
            <w:tcW w:w="2165" w:type="dxa"/>
          </w:tcPr>
          <w:p w14:paraId="09C7BCCA" w14:textId="77777777" w:rsidR="007075D9" w:rsidRPr="004D46AC" w:rsidRDefault="007075D9" w:rsidP="0090577F">
            <w:pPr>
              <w:spacing w:line="360" w:lineRule="auto"/>
              <w:ind w:firstLine="0"/>
            </w:pPr>
            <w:r w:rsidRPr="004D46AC">
              <w:t>M4-P2</w:t>
            </w:r>
          </w:p>
        </w:tc>
        <w:tc>
          <w:tcPr>
            <w:tcW w:w="2136" w:type="dxa"/>
          </w:tcPr>
          <w:p w14:paraId="4EA24E99" w14:textId="77777777" w:rsidR="007075D9" w:rsidRPr="004D46AC" w:rsidRDefault="007075D9" w:rsidP="0090577F">
            <w:pPr>
              <w:spacing w:line="360" w:lineRule="auto"/>
              <w:ind w:firstLine="0"/>
            </w:pPr>
            <w:r w:rsidRPr="004D46AC">
              <w:t>0.48</w:t>
            </w:r>
          </w:p>
        </w:tc>
        <w:tc>
          <w:tcPr>
            <w:tcW w:w="1506" w:type="dxa"/>
          </w:tcPr>
          <w:p w14:paraId="43AE2CC8" w14:textId="77777777" w:rsidR="007075D9" w:rsidRPr="004D46AC" w:rsidRDefault="007075D9" w:rsidP="0090577F">
            <w:pPr>
              <w:spacing w:line="360" w:lineRule="auto"/>
              <w:ind w:firstLine="0"/>
            </w:pPr>
            <w:r w:rsidRPr="004D46AC">
              <w:t>[0.10, 0.85]</w:t>
            </w:r>
          </w:p>
        </w:tc>
      </w:tr>
      <w:tr w:rsidR="007075D9" w:rsidRPr="004D46AC" w14:paraId="487415CF" w14:textId="77777777" w:rsidTr="00B518F1">
        <w:tc>
          <w:tcPr>
            <w:tcW w:w="2165" w:type="dxa"/>
          </w:tcPr>
          <w:p w14:paraId="63392E41" w14:textId="77777777" w:rsidR="007075D9" w:rsidRPr="004D46AC" w:rsidRDefault="007075D9" w:rsidP="0090577F">
            <w:pPr>
              <w:spacing w:line="360" w:lineRule="auto"/>
              <w:ind w:firstLine="0"/>
            </w:pPr>
            <w:r w:rsidRPr="004D46AC">
              <w:t>M12-P5</w:t>
            </w:r>
          </w:p>
        </w:tc>
        <w:tc>
          <w:tcPr>
            <w:tcW w:w="2136" w:type="dxa"/>
          </w:tcPr>
          <w:p w14:paraId="23B06847" w14:textId="77777777" w:rsidR="007075D9" w:rsidRPr="004D46AC" w:rsidRDefault="007075D9" w:rsidP="0090577F">
            <w:pPr>
              <w:spacing w:line="360" w:lineRule="auto"/>
              <w:ind w:firstLine="0"/>
            </w:pPr>
            <w:r w:rsidRPr="004D46AC">
              <w:t>0.25</w:t>
            </w:r>
          </w:p>
        </w:tc>
        <w:tc>
          <w:tcPr>
            <w:tcW w:w="1506" w:type="dxa"/>
          </w:tcPr>
          <w:p w14:paraId="419D3E84" w14:textId="77777777" w:rsidR="007075D9" w:rsidRPr="004D46AC" w:rsidRDefault="007075D9" w:rsidP="0090577F">
            <w:pPr>
              <w:spacing w:line="360" w:lineRule="auto"/>
              <w:ind w:firstLine="0"/>
            </w:pPr>
            <w:r w:rsidRPr="004D46AC">
              <w:t>[-0.12, 0.61]</w:t>
            </w:r>
          </w:p>
        </w:tc>
      </w:tr>
      <w:tr w:rsidR="007075D9" w:rsidRPr="004D46AC" w14:paraId="33418FDF" w14:textId="77777777" w:rsidTr="00B518F1">
        <w:tc>
          <w:tcPr>
            <w:tcW w:w="2165" w:type="dxa"/>
          </w:tcPr>
          <w:p w14:paraId="28758775" w14:textId="77777777" w:rsidR="007075D9" w:rsidRPr="004D46AC" w:rsidRDefault="007075D9" w:rsidP="0090577F">
            <w:pPr>
              <w:spacing w:line="360" w:lineRule="auto"/>
              <w:ind w:firstLine="0"/>
            </w:pPr>
            <w:r w:rsidRPr="004D46AC">
              <w:t>M6-PS</w:t>
            </w:r>
          </w:p>
        </w:tc>
        <w:tc>
          <w:tcPr>
            <w:tcW w:w="2136" w:type="dxa"/>
          </w:tcPr>
          <w:p w14:paraId="3FDA6480" w14:textId="77777777" w:rsidR="007075D9" w:rsidRPr="004D46AC" w:rsidRDefault="007075D9" w:rsidP="0090577F">
            <w:pPr>
              <w:spacing w:line="360" w:lineRule="auto"/>
              <w:ind w:firstLine="0"/>
            </w:pPr>
            <w:r w:rsidRPr="004D46AC">
              <w:t>0.21</w:t>
            </w:r>
          </w:p>
        </w:tc>
        <w:tc>
          <w:tcPr>
            <w:tcW w:w="1506" w:type="dxa"/>
          </w:tcPr>
          <w:p w14:paraId="384E69E7" w14:textId="77777777" w:rsidR="007075D9" w:rsidRPr="004D46AC" w:rsidRDefault="007075D9" w:rsidP="0090577F">
            <w:pPr>
              <w:spacing w:line="360" w:lineRule="auto"/>
              <w:ind w:firstLine="0"/>
            </w:pPr>
            <w:r w:rsidRPr="004D46AC">
              <w:t>[0.09, 0.33]</w:t>
            </w:r>
          </w:p>
        </w:tc>
      </w:tr>
      <w:tr w:rsidR="007075D9" w:rsidRPr="004D46AC" w14:paraId="2C82B600" w14:textId="77777777" w:rsidTr="00B518F1">
        <w:tc>
          <w:tcPr>
            <w:tcW w:w="5807" w:type="dxa"/>
            <w:gridSpan w:val="3"/>
          </w:tcPr>
          <w:p w14:paraId="75392664" w14:textId="77777777" w:rsidR="007075D9" w:rsidRPr="004D46AC" w:rsidRDefault="007075D9" w:rsidP="0090577F">
            <w:pPr>
              <w:spacing w:line="360" w:lineRule="auto"/>
              <w:ind w:firstLine="0"/>
            </w:pPr>
            <w:r w:rsidRPr="004D46AC">
              <w:t>Wave 5 Depression-PLEs</w:t>
            </w:r>
          </w:p>
        </w:tc>
      </w:tr>
      <w:tr w:rsidR="007075D9" w:rsidRPr="004D46AC" w14:paraId="56BE2CD3" w14:textId="77777777" w:rsidTr="00B518F1">
        <w:tc>
          <w:tcPr>
            <w:tcW w:w="2165" w:type="dxa"/>
          </w:tcPr>
          <w:p w14:paraId="2D8CF897" w14:textId="77777777" w:rsidR="007075D9" w:rsidRPr="004D46AC" w:rsidRDefault="007075D9" w:rsidP="0090577F">
            <w:pPr>
              <w:spacing w:line="360" w:lineRule="auto"/>
              <w:ind w:firstLine="0"/>
            </w:pPr>
            <w:r w:rsidRPr="004D46AC">
              <w:t>D8-P2</w:t>
            </w:r>
          </w:p>
        </w:tc>
        <w:tc>
          <w:tcPr>
            <w:tcW w:w="2136" w:type="dxa"/>
          </w:tcPr>
          <w:p w14:paraId="1429837D" w14:textId="77777777" w:rsidR="007075D9" w:rsidRPr="004D46AC" w:rsidRDefault="007075D9" w:rsidP="0090577F">
            <w:pPr>
              <w:spacing w:line="360" w:lineRule="auto"/>
              <w:ind w:firstLine="0"/>
            </w:pPr>
            <w:r w:rsidRPr="004D46AC">
              <w:t>0.20</w:t>
            </w:r>
          </w:p>
        </w:tc>
        <w:tc>
          <w:tcPr>
            <w:tcW w:w="1506" w:type="dxa"/>
          </w:tcPr>
          <w:p w14:paraId="17A60298" w14:textId="77777777" w:rsidR="007075D9" w:rsidRPr="004D46AC" w:rsidRDefault="007075D9" w:rsidP="0090577F">
            <w:pPr>
              <w:spacing w:line="360" w:lineRule="auto"/>
              <w:ind w:firstLine="0"/>
            </w:pPr>
            <w:r w:rsidRPr="004D46AC">
              <w:t>[-0.09, 0.50]</w:t>
            </w:r>
          </w:p>
        </w:tc>
      </w:tr>
      <w:tr w:rsidR="007075D9" w:rsidRPr="004D46AC" w14:paraId="60189C59" w14:textId="77777777" w:rsidTr="00B518F1">
        <w:tc>
          <w:tcPr>
            <w:tcW w:w="2165" w:type="dxa"/>
          </w:tcPr>
          <w:p w14:paraId="58CA8FEA" w14:textId="77777777" w:rsidR="007075D9" w:rsidRPr="004D46AC" w:rsidRDefault="007075D9" w:rsidP="0090577F">
            <w:pPr>
              <w:spacing w:line="360" w:lineRule="auto"/>
              <w:ind w:firstLine="0"/>
            </w:pPr>
            <w:r w:rsidRPr="004D46AC">
              <w:t>D9-P5</w:t>
            </w:r>
          </w:p>
        </w:tc>
        <w:tc>
          <w:tcPr>
            <w:tcW w:w="2136" w:type="dxa"/>
          </w:tcPr>
          <w:p w14:paraId="6DFFE81C" w14:textId="77777777" w:rsidR="007075D9" w:rsidRPr="004D46AC" w:rsidRDefault="007075D9" w:rsidP="0090577F">
            <w:pPr>
              <w:spacing w:line="360" w:lineRule="auto"/>
              <w:ind w:firstLine="0"/>
            </w:pPr>
            <w:r w:rsidRPr="004D46AC">
              <w:t>0.09</w:t>
            </w:r>
          </w:p>
        </w:tc>
        <w:tc>
          <w:tcPr>
            <w:tcW w:w="1506" w:type="dxa"/>
          </w:tcPr>
          <w:p w14:paraId="0D786DCA" w14:textId="77777777" w:rsidR="007075D9" w:rsidRPr="004D46AC" w:rsidRDefault="007075D9" w:rsidP="0090577F">
            <w:pPr>
              <w:spacing w:line="360" w:lineRule="auto"/>
              <w:ind w:firstLine="0"/>
            </w:pPr>
            <w:r w:rsidRPr="004D46AC">
              <w:t>[-0.10, 0.28]</w:t>
            </w:r>
          </w:p>
        </w:tc>
      </w:tr>
      <w:tr w:rsidR="007075D9" w:rsidRPr="004D46AC" w14:paraId="6088AEF7" w14:textId="77777777" w:rsidTr="00B518F1">
        <w:tc>
          <w:tcPr>
            <w:tcW w:w="2165" w:type="dxa"/>
          </w:tcPr>
          <w:p w14:paraId="2B32E47D" w14:textId="77777777" w:rsidR="007075D9" w:rsidRPr="004D46AC" w:rsidRDefault="007075D9" w:rsidP="0090577F">
            <w:pPr>
              <w:spacing w:line="360" w:lineRule="auto"/>
              <w:ind w:firstLine="0"/>
            </w:pPr>
            <w:r w:rsidRPr="004D46AC">
              <w:t>D9-PS</w:t>
            </w:r>
          </w:p>
        </w:tc>
        <w:tc>
          <w:tcPr>
            <w:tcW w:w="2136" w:type="dxa"/>
          </w:tcPr>
          <w:p w14:paraId="5A74674D" w14:textId="77777777" w:rsidR="007075D9" w:rsidRPr="004D46AC" w:rsidRDefault="007075D9" w:rsidP="0090577F">
            <w:pPr>
              <w:spacing w:line="360" w:lineRule="auto"/>
              <w:ind w:firstLine="0"/>
            </w:pPr>
            <w:r w:rsidRPr="004D46AC">
              <w:t>0.08</w:t>
            </w:r>
          </w:p>
        </w:tc>
        <w:tc>
          <w:tcPr>
            <w:tcW w:w="1506" w:type="dxa"/>
          </w:tcPr>
          <w:p w14:paraId="3EABD149" w14:textId="77777777" w:rsidR="007075D9" w:rsidRPr="004D46AC" w:rsidRDefault="007075D9" w:rsidP="0090577F">
            <w:pPr>
              <w:spacing w:line="360" w:lineRule="auto"/>
              <w:ind w:firstLine="0"/>
            </w:pPr>
            <w:r w:rsidRPr="004D46AC">
              <w:t>[-0.02, 0.17]</w:t>
            </w:r>
          </w:p>
        </w:tc>
      </w:tr>
      <w:tr w:rsidR="007075D9" w:rsidRPr="004D46AC" w14:paraId="6B611C5A" w14:textId="77777777" w:rsidTr="00B518F1">
        <w:tc>
          <w:tcPr>
            <w:tcW w:w="5807" w:type="dxa"/>
            <w:gridSpan w:val="3"/>
          </w:tcPr>
          <w:p w14:paraId="76AD2493" w14:textId="77777777" w:rsidR="007075D9" w:rsidRPr="004D46AC" w:rsidRDefault="007075D9" w:rsidP="0090577F">
            <w:pPr>
              <w:spacing w:line="360" w:lineRule="auto"/>
              <w:ind w:firstLine="0"/>
            </w:pPr>
            <w:r w:rsidRPr="004D46AC">
              <w:t>Wave 9 Mania-PLEs</w:t>
            </w:r>
          </w:p>
        </w:tc>
      </w:tr>
      <w:tr w:rsidR="007075D9" w:rsidRPr="004D46AC" w14:paraId="59725906" w14:textId="77777777" w:rsidTr="00B518F1">
        <w:tc>
          <w:tcPr>
            <w:tcW w:w="2165" w:type="dxa"/>
          </w:tcPr>
          <w:p w14:paraId="078999C4" w14:textId="77777777" w:rsidR="007075D9" w:rsidRPr="004D46AC" w:rsidRDefault="007075D9" w:rsidP="0090577F">
            <w:pPr>
              <w:spacing w:line="360" w:lineRule="auto"/>
              <w:ind w:firstLine="0"/>
            </w:pPr>
            <w:r w:rsidRPr="004D46AC">
              <w:t>M3-P5</w:t>
            </w:r>
          </w:p>
        </w:tc>
        <w:tc>
          <w:tcPr>
            <w:tcW w:w="2136" w:type="dxa"/>
          </w:tcPr>
          <w:p w14:paraId="44DCAB6D" w14:textId="77777777" w:rsidR="007075D9" w:rsidRPr="004D46AC" w:rsidRDefault="007075D9" w:rsidP="0090577F">
            <w:pPr>
              <w:spacing w:line="360" w:lineRule="auto"/>
              <w:ind w:firstLine="0"/>
            </w:pPr>
            <w:r w:rsidRPr="004D46AC">
              <w:t>0.39</w:t>
            </w:r>
          </w:p>
        </w:tc>
        <w:tc>
          <w:tcPr>
            <w:tcW w:w="1506" w:type="dxa"/>
          </w:tcPr>
          <w:p w14:paraId="60A9496A" w14:textId="77777777" w:rsidR="007075D9" w:rsidRPr="004D46AC" w:rsidRDefault="007075D9" w:rsidP="0090577F">
            <w:pPr>
              <w:spacing w:line="360" w:lineRule="auto"/>
              <w:ind w:firstLine="0"/>
            </w:pPr>
            <w:r w:rsidRPr="004D46AC">
              <w:t>[-0.17, 0.95]</w:t>
            </w:r>
          </w:p>
        </w:tc>
      </w:tr>
      <w:tr w:rsidR="007075D9" w:rsidRPr="004D46AC" w14:paraId="7D104FF5" w14:textId="77777777" w:rsidTr="00B518F1">
        <w:tc>
          <w:tcPr>
            <w:tcW w:w="2165" w:type="dxa"/>
          </w:tcPr>
          <w:p w14:paraId="12CE1C24" w14:textId="77777777" w:rsidR="007075D9" w:rsidRPr="004D46AC" w:rsidRDefault="007075D9" w:rsidP="0090577F">
            <w:pPr>
              <w:spacing w:line="360" w:lineRule="auto"/>
              <w:ind w:firstLine="0"/>
            </w:pPr>
            <w:r w:rsidRPr="004D46AC">
              <w:t>M6-P2</w:t>
            </w:r>
          </w:p>
        </w:tc>
        <w:tc>
          <w:tcPr>
            <w:tcW w:w="2136" w:type="dxa"/>
          </w:tcPr>
          <w:p w14:paraId="081A4635" w14:textId="77777777" w:rsidR="007075D9" w:rsidRPr="004D46AC" w:rsidRDefault="007075D9" w:rsidP="0090577F">
            <w:pPr>
              <w:spacing w:line="360" w:lineRule="auto"/>
              <w:ind w:firstLine="0"/>
            </w:pPr>
            <w:r w:rsidRPr="004D46AC">
              <w:t>0.37</w:t>
            </w:r>
          </w:p>
        </w:tc>
        <w:tc>
          <w:tcPr>
            <w:tcW w:w="1506" w:type="dxa"/>
          </w:tcPr>
          <w:p w14:paraId="73040A69" w14:textId="77777777" w:rsidR="007075D9" w:rsidRPr="004D46AC" w:rsidRDefault="007075D9" w:rsidP="0090577F">
            <w:pPr>
              <w:spacing w:line="360" w:lineRule="auto"/>
              <w:ind w:firstLine="0"/>
            </w:pPr>
            <w:r w:rsidRPr="004D46AC">
              <w:t>[-0.14, 0.88]</w:t>
            </w:r>
          </w:p>
        </w:tc>
      </w:tr>
      <w:tr w:rsidR="007075D9" w:rsidRPr="004D46AC" w14:paraId="193B377A" w14:textId="77777777" w:rsidTr="00B518F1">
        <w:tc>
          <w:tcPr>
            <w:tcW w:w="2165" w:type="dxa"/>
          </w:tcPr>
          <w:p w14:paraId="75D866E8" w14:textId="77777777" w:rsidR="007075D9" w:rsidRPr="004D46AC" w:rsidRDefault="007075D9" w:rsidP="0090577F">
            <w:pPr>
              <w:spacing w:line="360" w:lineRule="auto"/>
              <w:ind w:firstLine="0"/>
            </w:pPr>
            <w:r w:rsidRPr="004D46AC">
              <w:t>M2-PS</w:t>
            </w:r>
          </w:p>
        </w:tc>
        <w:tc>
          <w:tcPr>
            <w:tcW w:w="2136" w:type="dxa"/>
          </w:tcPr>
          <w:p w14:paraId="09F0CAB2" w14:textId="77777777" w:rsidR="007075D9" w:rsidRPr="004D46AC" w:rsidRDefault="007075D9" w:rsidP="0090577F">
            <w:pPr>
              <w:spacing w:line="360" w:lineRule="auto"/>
              <w:ind w:firstLine="0"/>
            </w:pPr>
            <w:r w:rsidRPr="004D46AC">
              <w:t>0.23</w:t>
            </w:r>
          </w:p>
        </w:tc>
        <w:tc>
          <w:tcPr>
            <w:tcW w:w="1506" w:type="dxa"/>
          </w:tcPr>
          <w:p w14:paraId="759CBE3E" w14:textId="77777777" w:rsidR="007075D9" w:rsidRPr="004D46AC" w:rsidRDefault="007075D9" w:rsidP="0090577F">
            <w:pPr>
              <w:spacing w:line="360" w:lineRule="auto"/>
              <w:ind w:firstLine="0"/>
            </w:pPr>
            <w:r w:rsidRPr="004D46AC">
              <w:t>[0.10, 0.36]</w:t>
            </w:r>
          </w:p>
        </w:tc>
      </w:tr>
      <w:tr w:rsidR="007075D9" w:rsidRPr="004D46AC" w14:paraId="221A9B81" w14:textId="77777777" w:rsidTr="00B518F1">
        <w:tc>
          <w:tcPr>
            <w:tcW w:w="5807" w:type="dxa"/>
            <w:gridSpan w:val="3"/>
          </w:tcPr>
          <w:p w14:paraId="0FCC0CFA" w14:textId="77777777" w:rsidR="007075D9" w:rsidRPr="004D46AC" w:rsidRDefault="007075D9" w:rsidP="0090577F">
            <w:pPr>
              <w:spacing w:line="360" w:lineRule="auto"/>
              <w:ind w:firstLine="0"/>
            </w:pPr>
            <w:r w:rsidRPr="004D46AC">
              <w:t>Wave 9 Depression-PLEs</w:t>
            </w:r>
          </w:p>
        </w:tc>
      </w:tr>
      <w:tr w:rsidR="007075D9" w:rsidRPr="004D46AC" w14:paraId="07529C2D" w14:textId="77777777" w:rsidTr="00B518F1">
        <w:tc>
          <w:tcPr>
            <w:tcW w:w="2165" w:type="dxa"/>
          </w:tcPr>
          <w:p w14:paraId="71CC5EAE" w14:textId="77777777" w:rsidR="007075D9" w:rsidRPr="004D46AC" w:rsidRDefault="007075D9" w:rsidP="0090577F">
            <w:pPr>
              <w:spacing w:line="360" w:lineRule="auto"/>
              <w:ind w:firstLine="0"/>
            </w:pPr>
            <w:r w:rsidRPr="004D46AC">
              <w:t>D9-P5</w:t>
            </w:r>
          </w:p>
        </w:tc>
        <w:tc>
          <w:tcPr>
            <w:tcW w:w="2136" w:type="dxa"/>
          </w:tcPr>
          <w:p w14:paraId="4859299A" w14:textId="77777777" w:rsidR="007075D9" w:rsidRPr="004D46AC" w:rsidRDefault="007075D9" w:rsidP="0090577F">
            <w:pPr>
              <w:spacing w:line="360" w:lineRule="auto"/>
              <w:ind w:firstLine="0"/>
            </w:pPr>
            <w:r w:rsidRPr="004D46AC">
              <w:t>0.21</w:t>
            </w:r>
          </w:p>
        </w:tc>
        <w:tc>
          <w:tcPr>
            <w:tcW w:w="1506" w:type="dxa"/>
          </w:tcPr>
          <w:p w14:paraId="1F9DE478" w14:textId="77777777" w:rsidR="007075D9" w:rsidRPr="004D46AC" w:rsidRDefault="007075D9" w:rsidP="0090577F">
            <w:pPr>
              <w:spacing w:line="360" w:lineRule="auto"/>
              <w:ind w:firstLine="0"/>
            </w:pPr>
            <w:r w:rsidRPr="004D46AC">
              <w:t>[-0.11, 0.53]</w:t>
            </w:r>
          </w:p>
        </w:tc>
      </w:tr>
      <w:tr w:rsidR="007075D9" w:rsidRPr="004D46AC" w14:paraId="15276316" w14:textId="77777777" w:rsidTr="00B518F1">
        <w:tc>
          <w:tcPr>
            <w:tcW w:w="2165" w:type="dxa"/>
          </w:tcPr>
          <w:p w14:paraId="073E0FE4" w14:textId="77777777" w:rsidR="007075D9" w:rsidRPr="004D46AC" w:rsidRDefault="007075D9" w:rsidP="0090577F">
            <w:pPr>
              <w:spacing w:line="360" w:lineRule="auto"/>
              <w:ind w:firstLine="0"/>
            </w:pPr>
            <w:r w:rsidRPr="004D46AC">
              <w:t>D8-P2</w:t>
            </w:r>
          </w:p>
        </w:tc>
        <w:tc>
          <w:tcPr>
            <w:tcW w:w="2136" w:type="dxa"/>
          </w:tcPr>
          <w:p w14:paraId="72F45160" w14:textId="77777777" w:rsidR="007075D9" w:rsidRPr="004D46AC" w:rsidRDefault="007075D9" w:rsidP="0090577F">
            <w:pPr>
              <w:spacing w:line="360" w:lineRule="auto"/>
              <w:ind w:firstLine="0"/>
            </w:pPr>
            <w:r w:rsidRPr="004D46AC">
              <w:t>0.14</w:t>
            </w:r>
          </w:p>
        </w:tc>
        <w:tc>
          <w:tcPr>
            <w:tcW w:w="1506" w:type="dxa"/>
          </w:tcPr>
          <w:p w14:paraId="21E2CEE1" w14:textId="77777777" w:rsidR="007075D9" w:rsidRPr="004D46AC" w:rsidRDefault="007075D9" w:rsidP="0090577F">
            <w:pPr>
              <w:spacing w:line="360" w:lineRule="auto"/>
              <w:ind w:firstLine="0"/>
            </w:pPr>
            <w:r w:rsidRPr="004D46AC">
              <w:t>[-0.11, 0.39]</w:t>
            </w:r>
          </w:p>
        </w:tc>
      </w:tr>
      <w:tr w:rsidR="007075D9" w:rsidRPr="004D46AC" w14:paraId="4EF9F063" w14:textId="77777777" w:rsidTr="00B518F1">
        <w:tc>
          <w:tcPr>
            <w:tcW w:w="2165" w:type="dxa"/>
          </w:tcPr>
          <w:p w14:paraId="2310F233" w14:textId="77777777" w:rsidR="007075D9" w:rsidRPr="004D46AC" w:rsidRDefault="007075D9" w:rsidP="0090577F">
            <w:pPr>
              <w:spacing w:line="360" w:lineRule="auto"/>
              <w:ind w:firstLine="0"/>
            </w:pPr>
            <w:r w:rsidRPr="004D46AC">
              <w:t>D6-PS</w:t>
            </w:r>
          </w:p>
        </w:tc>
        <w:tc>
          <w:tcPr>
            <w:tcW w:w="2136" w:type="dxa"/>
          </w:tcPr>
          <w:p w14:paraId="5C2852A3" w14:textId="77777777" w:rsidR="007075D9" w:rsidRPr="004D46AC" w:rsidRDefault="007075D9" w:rsidP="0090577F">
            <w:pPr>
              <w:spacing w:line="360" w:lineRule="auto"/>
              <w:ind w:firstLine="0"/>
            </w:pPr>
            <w:r w:rsidRPr="004D46AC">
              <w:t>0.13</w:t>
            </w:r>
          </w:p>
        </w:tc>
        <w:tc>
          <w:tcPr>
            <w:tcW w:w="1506" w:type="dxa"/>
          </w:tcPr>
          <w:p w14:paraId="11F71554" w14:textId="77777777" w:rsidR="007075D9" w:rsidRPr="004D46AC" w:rsidRDefault="007075D9" w:rsidP="0090577F">
            <w:pPr>
              <w:spacing w:line="360" w:lineRule="auto"/>
              <w:ind w:firstLine="0"/>
            </w:pPr>
            <w:r w:rsidRPr="004D46AC">
              <w:t>[0.05, 0.22]</w:t>
            </w:r>
          </w:p>
        </w:tc>
      </w:tr>
    </w:tbl>
    <w:p w14:paraId="6587DAA2" w14:textId="763A5F01" w:rsidR="007075D9" w:rsidRPr="004D46AC" w:rsidRDefault="007075D9" w:rsidP="0090577F">
      <w:pPr>
        <w:spacing w:line="360" w:lineRule="auto"/>
        <w:ind w:firstLine="0"/>
      </w:pPr>
      <w:r w:rsidRPr="004D46AC">
        <w:rPr>
          <w:i/>
          <w:iCs/>
        </w:rPr>
        <w:t>Note</w:t>
      </w:r>
      <w:r w:rsidRPr="004D46AC">
        <w:t>. D6: Feeling of self-worthlessness, D8: Psychomotor retardation or agitation, D9: Self-harm or suicidal thoughts, M2: Irritability, M3, Elevated self-confidence, M4: Reduced need for sleep, M6: Racing thoughts, M12: Involvement in risky behaviour, P2: Thought insertion, PS: Paranoia or Strange experience, P5: Hallucinations. BCI: Bootstrapped Confidence Interval; it was derived from 2</w:t>
      </w:r>
      <w:r w:rsidR="00705E90" w:rsidRPr="004D46AC">
        <w:rPr>
          <w:rFonts w:eastAsiaTheme="minorEastAsia" w:hint="eastAsia"/>
        </w:rPr>
        <w:t>,</w:t>
      </w:r>
      <w:r w:rsidRPr="004D46AC">
        <w:t>000 bootstrapped samples, which is reported for reference. the strongest edge that bridges the mood and the three PLEs is presented on the first column by waves.</w:t>
      </w:r>
    </w:p>
    <w:p w14:paraId="27DB5C6F" w14:textId="77777777" w:rsidR="007075D9" w:rsidRPr="004D46AC" w:rsidRDefault="007075D9" w:rsidP="00B518F1"/>
    <w:p w14:paraId="2575D12A" w14:textId="77777777" w:rsidR="007075D9" w:rsidRPr="004D46AC" w:rsidRDefault="007075D9" w:rsidP="00B518F1">
      <w:pPr>
        <w:pStyle w:val="3"/>
      </w:pPr>
      <w:r w:rsidRPr="004D46AC">
        <w:t>Regression models</w:t>
      </w:r>
    </w:p>
    <w:p w14:paraId="33E5ECA2" w14:textId="77777777" w:rsidR="007075D9" w:rsidRPr="004D46AC" w:rsidRDefault="007075D9" w:rsidP="00B518F1">
      <w:r w:rsidRPr="004D46AC">
        <w:t>We now consider regression models examining the interplay between PLEs and mood symptoms at each wave and between waves, and the role of environmental and psychological factors in each type of psychopathology.</w:t>
      </w:r>
    </w:p>
    <w:p w14:paraId="16B3DB6B" w14:textId="77777777" w:rsidR="007075D9" w:rsidRPr="004D46AC" w:rsidRDefault="007075D9" w:rsidP="00B518F1">
      <w:pPr>
        <w:pStyle w:val="4"/>
      </w:pPr>
      <w:r w:rsidRPr="004D46AC">
        <w:lastRenderedPageBreak/>
        <w:t>PLEs</w:t>
      </w:r>
    </w:p>
    <w:p w14:paraId="0CF5662D" w14:textId="77777777" w:rsidR="007075D9" w:rsidRPr="004D46AC" w:rsidRDefault="007075D9" w:rsidP="00B518F1">
      <w:r w:rsidRPr="004D46AC">
        <w:t>The model regressing PLE at wave 5 counts on the predictors accounted for 22% of the total variance. PLEs at wave 5 were more frequently observed in participants with higher ACE frequency (</w:t>
      </w:r>
      <w:r w:rsidRPr="004D46AC">
        <w:rPr>
          <w:i/>
          <w:iCs/>
        </w:rPr>
        <w:t>b</w:t>
      </w:r>
      <w:r w:rsidRPr="004D46AC">
        <w:t xml:space="preserve"> = 0.12, </w:t>
      </w:r>
      <w:r w:rsidRPr="004D46AC">
        <w:rPr>
          <w:i/>
          <w:iCs/>
        </w:rPr>
        <w:t>SE</w:t>
      </w:r>
      <w:r w:rsidRPr="004D46AC">
        <w:t xml:space="preserve"> = 0.04, </w:t>
      </w:r>
      <w:r w:rsidRPr="004D46AC">
        <w:rPr>
          <w:i/>
          <w:iCs/>
        </w:rPr>
        <w:t>p</w:t>
      </w:r>
      <w:r w:rsidRPr="004D46AC">
        <w:t xml:space="preserve"> &lt; .001, 95% BCI [0.06, 0.19]), more severe mania (</w:t>
      </w:r>
      <w:r w:rsidRPr="004D46AC">
        <w:rPr>
          <w:i/>
          <w:iCs/>
        </w:rPr>
        <w:t>b</w:t>
      </w:r>
      <w:r w:rsidRPr="004D46AC">
        <w:t xml:space="preserve"> = 0.12, </w:t>
      </w:r>
      <w:r w:rsidRPr="004D46AC">
        <w:rPr>
          <w:i/>
          <w:iCs/>
        </w:rPr>
        <w:t>SE</w:t>
      </w:r>
      <w:r w:rsidRPr="004D46AC">
        <w:t xml:space="preserve"> = 0.01, </w:t>
      </w:r>
      <w:r w:rsidRPr="004D46AC">
        <w:rPr>
          <w:i/>
          <w:iCs/>
        </w:rPr>
        <w:t>p</w:t>
      </w:r>
      <w:r w:rsidRPr="004D46AC">
        <w:t xml:space="preserve"> &lt; .001, 95% BCI [0.09, 0.15]), higher anxiety levels (</w:t>
      </w:r>
      <w:r w:rsidRPr="004D46AC">
        <w:rPr>
          <w:i/>
          <w:iCs/>
        </w:rPr>
        <w:t>b</w:t>
      </w:r>
      <w:r w:rsidRPr="004D46AC">
        <w:t xml:space="preserve"> = 0.05, </w:t>
      </w:r>
      <w:r w:rsidRPr="004D46AC">
        <w:rPr>
          <w:i/>
          <w:iCs/>
        </w:rPr>
        <w:t>SE</w:t>
      </w:r>
      <w:r w:rsidRPr="004D46AC">
        <w:t xml:space="preserve"> = 0.01, </w:t>
      </w:r>
      <w:r w:rsidRPr="004D46AC">
        <w:rPr>
          <w:i/>
          <w:iCs/>
        </w:rPr>
        <w:t>p</w:t>
      </w:r>
      <w:r w:rsidRPr="004D46AC">
        <w:t xml:space="preserve"> &lt; .001, 95% BCI [0.02, 0.08]), and lower SSR (</w:t>
      </w:r>
      <w:r w:rsidRPr="004D46AC">
        <w:rPr>
          <w:i/>
          <w:iCs/>
        </w:rPr>
        <w:t>b</w:t>
      </w:r>
      <w:r w:rsidRPr="004D46AC">
        <w:t xml:space="preserve"> = </w:t>
      </w:r>
      <w:r w:rsidRPr="004D46AC">
        <w:rPr>
          <w:rFonts w:hint="eastAsia"/>
        </w:rPr>
        <w:t>-</w:t>
      </w:r>
      <w:r w:rsidRPr="004D46AC">
        <w:t xml:space="preserve">0.07, </w:t>
      </w:r>
      <w:r w:rsidRPr="004D46AC">
        <w:rPr>
          <w:i/>
          <w:iCs/>
        </w:rPr>
        <w:t>SE</w:t>
      </w:r>
      <w:r w:rsidRPr="004D46AC">
        <w:t xml:space="preserve"> = 0.03, </w:t>
      </w:r>
      <w:r w:rsidRPr="004D46AC">
        <w:rPr>
          <w:i/>
          <w:iCs/>
        </w:rPr>
        <w:t>p</w:t>
      </w:r>
      <w:r w:rsidRPr="004D46AC">
        <w:t xml:space="preserve"> &lt; .05, 95% BCI [</w:t>
      </w:r>
      <w:r w:rsidRPr="004D46AC">
        <w:rPr>
          <w:rFonts w:hint="eastAsia"/>
        </w:rPr>
        <w:t>-</w:t>
      </w:r>
      <w:r w:rsidRPr="004D46AC">
        <w:t xml:space="preserve">0.12, </w:t>
      </w:r>
      <w:r w:rsidRPr="004D46AC">
        <w:rPr>
          <w:rFonts w:hint="eastAsia"/>
        </w:rPr>
        <w:t>-</w:t>
      </w:r>
      <w:r w:rsidRPr="004D46AC">
        <w:t xml:space="preserve">0.01]); see Table </w:t>
      </w:r>
      <w:r w:rsidRPr="004D46AC">
        <w:rPr>
          <w:rFonts w:hint="eastAsia"/>
        </w:rPr>
        <w:t>4.</w:t>
      </w:r>
      <w:r w:rsidRPr="004D46AC">
        <w:t>3 for details.</w:t>
      </w:r>
    </w:p>
    <w:p w14:paraId="3B3F6568" w14:textId="77777777" w:rsidR="009264C5" w:rsidRPr="004D46AC" w:rsidRDefault="009264C5" w:rsidP="009264C5">
      <w:pPr>
        <w:pStyle w:val="afff0"/>
        <w:ind w:firstLine="0"/>
        <w:rPr>
          <w:rFonts w:eastAsiaTheme="minorEastAsia"/>
          <w:b/>
          <w:bCs/>
          <w:i w:val="0"/>
          <w:iCs w:val="0"/>
          <w:sz w:val="22"/>
          <w:szCs w:val="22"/>
        </w:rPr>
      </w:pPr>
    </w:p>
    <w:p w14:paraId="451B7BFD" w14:textId="0C250519" w:rsidR="004725A0" w:rsidRPr="004D46AC" w:rsidRDefault="009264C5" w:rsidP="0090577F">
      <w:pPr>
        <w:pStyle w:val="afff0"/>
        <w:spacing w:after="0" w:line="360" w:lineRule="auto"/>
        <w:ind w:firstLine="0"/>
        <w:rPr>
          <w:rFonts w:eastAsiaTheme="minorEastAsia"/>
        </w:rPr>
      </w:pPr>
      <w:bookmarkStart w:id="226" w:name="_Toc219883863"/>
      <w:bookmarkStart w:id="227" w:name="_Toc219870615"/>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4</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3</w:t>
      </w:r>
      <w:bookmarkEnd w:id="226"/>
      <w:r w:rsidR="004725A0" w:rsidRPr="004D46AC">
        <w:rPr>
          <w:b/>
          <w:bCs/>
          <w:i w:val="0"/>
          <w:iCs w:val="0"/>
          <w:color w:val="auto"/>
          <w:sz w:val="22"/>
          <w:szCs w:val="22"/>
        </w:rPr>
        <w:fldChar w:fldCharType="end"/>
      </w:r>
      <w:bookmarkEnd w:id="227"/>
      <w:r w:rsidR="004725A0" w:rsidRPr="004D46AC">
        <w:t xml:space="preserve"> </w:t>
      </w:r>
    </w:p>
    <w:p w14:paraId="1CE864EE" w14:textId="30876E82" w:rsidR="007075D9" w:rsidRPr="004D46AC" w:rsidRDefault="004725A0" w:rsidP="0090577F">
      <w:pPr>
        <w:pStyle w:val="afff0"/>
        <w:spacing w:after="0" w:line="360" w:lineRule="auto"/>
        <w:ind w:firstLine="0"/>
        <w:rPr>
          <w:rFonts w:eastAsiaTheme="minorEastAsia"/>
          <w:color w:val="auto"/>
          <w:sz w:val="22"/>
          <w:szCs w:val="22"/>
        </w:rPr>
      </w:pPr>
      <w:r w:rsidRPr="004D46AC">
        <w:rPr>
          <w:color w:val="auto"/>
          <w:sz w:val="22"/>
          <w:szCs w:val="22"/>
        </w:rPr>
        <w:t xml:space="preserve">Count and </w:t>
      </w:r>
      <w:r w:rsidR="00D70BAE" w:rsidRPr="004D46AC">
        <w:rPr>
          <w:rFonts w:eastAsiaTheme="minorEastAsia" w:hint="eastAsia"/>
          <w:color w:val="auto"/>
          <w:sz w:val="22"/>
          <w:szCs w:val="22"/>
        </w:rPr>
        <w:t>c</w:t>
      </w:r>
      <w:r w:rsidRPr="004D46AC">
        <w:rPr>
          <w:color w:val="auto"/>
          <w:sz w:val="22"/>
          <w:szCs w:val="22"/>
        </w:rPr>
        <w:t xml:space="preserve">ontinuous </w:t>
      </w:r>
      <w:r w:rsidR="00D70BAE" w:rsidRPr="004D46AC">
        <w:rPr>
          <w:rFonts w:eastAsiaTheme="minorEastAsia" w:hint="eastAsia"/>
          <w:color w:val="auto"/>
          <w:sz w:val="22"/>
          <w:szCs w:val="22"/>
        </w:rPr>
        <w:t>m</w:t>
      </w:r>
      <w:r w:rsidRPr="004D46AC">
        <w:rPr>
          <w:color w:val="auto"/>
          <w:sz w:val="22"/>
          <w:szCs w:val="22"/>
        </w:rPr>
        <w:t xml:space="preserve">odels </w:t>
      </w:r>
      <w:r w:rsidR="00D70BAE" w:rsidRPr="004D46AC">
        <w:rPr>
          <w:rFonts w:eastAsiaTheme="minorEastAsia" w:hint="eastAsia"/>
          <w:color w:val="auto"/>
          <w:sz w:val="22"/>
          <w:szCs w:val="22"/>
        </w:rPr>
        <w:t>r</w:t>
      </w:r>
      <w:r w:rsidRPr="004D46AC">
        <w:rPr>
          <w:color w:val="auto"/>
          <w:sz w:val="22"/>
          <w:szCs w:val="22"/>
        </w:rPr>
        <w:t xml:space="preserve">egressing on Mood and PLEs </w:t>
      </w:r>
      <w:proofErr w:type="spellStart"/>
      <w:r w:rsidR="00D70BAE" w:rsidRPr="004D46AC">
        <w:rPr>
          <w:rFonts w:eastAsiaTheme="minorEastAsia" w:hint="eastAsia"/>
          <w:color w:val="auto"/>
          <w:sz w:val="22"/>
          <w:szCs w:val="22"/>
        </w:rPr>
        <w:t>aa</w:t>
      </w:r>
      <w:r w:rsidRPr="004D46AC">
        <w:rPr>
          <w:color w:val="auto"/>
          <w:sz w:val="22"/>
          <w:szCs w:val="22"/>
        </w:rPr>
        <w:t>cross</w:t>
      </w:r>
      <w:proofErr w:type="spellEnd"/>
      <w:r w:rsidRPr="004D46AC">
        <w:rPr>
          <w:color w:val="auto"/>
          <w:sz w:val="22"/>
          <w:szCs w:val="22"/>
        </w:rPr>
        <w:t xml:space="preserve"> </w:t>
      </w:r>
      <w:r w:rsidR="00D70BAE" w:rsidRPr="004D46AC">
        <w:rPr>
          <w:rFonts w:eastAsiaTheme="minorEastAsia" w:hint="eastAsia"/>
          <w:color w:val="auto"/>
          <w:sz w:val="22"/>
          <w:szCs w:val="22"/>
        </w:rPr>
        <w:t>w</w:t>
      </w:r>
      <w:r w:rsidRPr="004D46AC">
        <w:rPr>
          <w:color w:val="auto"/>
          <w:sz w:val="22"/>
          <w:szCs w:val="22"/>
        </w:rPr>
        <w:t>aves</w:t>
      </w:r>
    </w:p>
    <w:tbl>
      <w:tblPr>
        <w:tblStyle w:val="afc"/>
        <w:tblW w:w="0" w:type="auto"/>
        <w:tblLook w:val="04A0" w:firstRow="1" w:lastRow="0" w:firstColumn="1" w:lastColumn="0" w:noHBand="0" w:noVBand="1"/>
      </w:tblPr>
      <w:tblGrid>
        <w:gridCol w:w="3227"/>
        <w:gridCol w:w="103"/>
        <w:gridCol w:w="1106"/>
        <w:gridCol w:w="67"/>
        <w:gridCol w:w="767"/>
        <w:gridCol w:w="297"/>
        <w:gridCol w:w="807"/>
        <w:gridCol w:w="1926"/>
      </w:tblGrid>
      <w:tr w:rsidR="007075D9" w:rsidRPr="004D46AC" w14:paraId="5C99A912" w14:textId="77777777" w:rsidTr="00B518F1">
        <w:trPr>
          <w:trHeight w:val="300"/>
        </w:trPr>
        <w:tc>
          <w:tcPr>
            <w:tcW w:w="3227" w:type="dxa"/>
            <w:noWrap/>
            <w:hideMark/>
          </w:tcPr>
          <w:p w14:paraId="1A74CF76" w14:textId="77777777" w:rsidR="007075D9" w:rsidRPr="004D46AC" w:rsidRDefault="007075D9" w:rsidP="0090577F">
            <w:pPr>
              <w:spacing w:line="360" w:lineRule="auto"/>
              <w:ind w:firstLine="0"/>
              <w:rPr>
                <w:b/>
                <w:bCs/>
              </w:rPr>
            </w:pPr>
            <w:r w:rsidRPr="004D46AC">
              <w:rPr>
                <w:b/>
                <w:bCs/>
              </w:rPr>
              <w:t>Variable</w:t>
            </w:r>
          </w:p>
        </w:tc>
        <w:tc>
          <w:tcPr>
            <w:tcW w:w="1276" w:type="dxa"/>
            <w:gridSpan w:val="3"/>
            <w:noWrap/>
            <w:hideMark/>
          </w:tcPr>
          <w:p w14:paraId="0E47A2E9" w14:textId="77777777" w:rsidR="007075D9" w:rsidRPr="004D46AC" w:rsidRDefault="007075D9" w:rsidP="0090577F">
            <w:pPr>
              <w:spacing w:line="360" w:lineRule="auto"/>
              <w:ind w:firstLine="0"/>
              <w:rPr>
                <w:b/>
                <w:bCs/>
              </w:rPr>
            </w:pPr>
            <w:r w:rsidRPr="004D46AC">
              <w:rPr>
                <w:b/>
                <w:bCs/>
              </w:rPr>
              <w:t>Estimate</w:t>
            </w:r>
          </w:p>
        </w:tc>
        <w:tc>
          <w:tcPr>
            <w:tcW w:w="767" w:type="dxa"/>
            <w:noWrap/>
            <w:hideMark/>
          </w:tcPr>
          <w:p w14:paraId="6D416B3B" w14:textId="77777777" w:rsidR="007075D9" w:rsidRPr="004D46AC" w:rsidRDefault="007075D9" w:rsidP="0090577F">
            <w:pPr>
              <w:spacing w:line="360" w:lineRule="auto"/>
              <w:ind w:firstLine="0"/>
              <w:rPr>
                <w:b/>
                <w:bCs/>
              </w:rPr>
            </w:pPr>
            <w:r w:rsidRPr="004D46AC">
              <w:rPr>
                <w:b/>
                <w:bCs/>
              </w:rPr>
              <w:t>se</w:t>
            </w:r>
          </w:p>
        </w:tc>
        <w:tc>
          <w:tcPr>
            <w:tcW w:w="1104" w:type="dxa"/>
            <w:gridSpan w:val="2"/>
            <w:noWrap/>
            <w:hideMark/>
          </w:tcPr>
          <w:p w14:paraId="01BBA52F" w14:textId="77777777" w:rsidR="007075D9" w:rsidRPr="004D46AC" w:rsidRDefault="007075D9" w:rsidP="0090577F">
            <w:pPr>
              <w:spacing w:line="360" w:lineRule="auto"/>
              <w:ind w:firstLine="0"/>
              <w:rPr>
                <w:b/>
                <w:bCs/>
              </w:rPr>
            </w:pPr>
            <w:r w:rsidRPr="004D46AC">
              <w:rPr>
                <w:b/>
                <w:bCs/>
              </w:rPr>
              <w:t>z/t value</w:t>
            </w:r>
          </w:p>
        </w:tc>
        <w:tc>
          <w:tcPr>
            <w:tcW w:w="1926" w:type="dxa"/>
          </w:tcPr>
          <w:p w14:paraId="16BC9B2C" w14:textId="77777777" w:rsidR="007075D9" w:rsidRPr="004D46AC" w:rsidRDefault="007075D9" w:rsidP="0090577F">
            <w:pPr>
              <w:spacing w:line="360" w:lineRule="auto"/>
              <w:ind w:firstLine="0"/>
              <w:rPr>
                <w:b/>
                <w:bCs/>
              </w:rPr>
            </w:pPr>
            <w:r w:rsidRPr="004D46AC">
              <w:rPr>
                <w:b/>
                <w:bCs/>
              </w:rPr>
              <w:t xml:space="preserve"> 95% BCI</w:t>
            </w:r>
          </w:p>
        </w:tc>
      </w:tr>
      <w:tr w:rsidR="007075D9" w:rsidRPr="004D46AC" w14:paraId="00971281" w14:textId="77777777" w:rsidTr="00B518F1">
        <w:trPr>
          <w:trHeight w:val="300"/>
        </w:trPr>
        <w:tc>
          <w:tcPr>
            <w:tcW w:w="8300" w:type="dxa"/>
            <w:gridSpan w:val="8"/>
            <w:noWrap/>
            <w:vAlign w:val="center"/>
          </w:tcPr>
          <w:p w14:paraId="0DF81054" w14:textId="77777777" w:rsidR="007075D9" w:rsidRPr="004D46AC" w:rsidRDefault="007075D9" w:rsidP="0090577F">
            <w:pPr>
              <w:spacing w:line="360" w:lineRule="auto"/>
              <w:ind w:firstLine="0"/>
              <w:rPr>
                <w:b/>
                <w:bCs/>
              </w:rPr>
            </w:pPr>
            <w:r w:rsidRPr="004D46AC">
              <w:rPr>
                <w:b/>
                <w:bCs/>
              </w:rPr>
              <w:t xml:space="preserve">Wave 5 PLEs (Count): McFadden’s </w:t>
            </w:r>
            <w:r w:rsidRPr="004D46AC">
              <w:rPr>
                <w:b/>
                <w:bCs/>
                <w:i/>
                <w:iCs/>
              </w:rPr>
              <w:t>R</w:t>
            </w:r>
            <w:r w:rsidRPr="004D46AC">
              <w:rPr>
                <w:b/>
                <w:bCs/>
                <w:vertAlign w:val="superscript"/>
              </w:rPr>
              <w:t>2</w:t>
            </w:r>
            <w:r w:rsidRPr="004D46AC">
              <w:rPr>
                <w:rFonts w:hint="eastAsia"/>
                <w:b/>
                <w:bCs/>
                <w:vertAlign w:val="superscript"/>
              </w:rPr>
              <w:t xml:space="preserve"> </w:t>
            </w:r>
            <w:r w:rsidRPr="004D46AC">
              <w:rPr>
                <w:b/>
                <w:bCs/>
              </w:rPr>
              <w:t>=</w:t>
            </w:r>
            <w:r w:rsidRPr="004D46AC">
              <w:rPr>
                <w:rFonts w:hint="eastAsia"/>
                <w:b/>
                <w:bCs/>
              </w:rPr>
              <w:t xml:space="preserve"> </w:t>
            </w:r>
            <w:r w:rsidRPr="004D46AC">
              <w:rPr>
                <w:b/>
                <w:bCs/>
              </w:rPr>
              <w:t>.22</w:t>
            </w:r>
          </w:p>
        </w:tc>
      </w:tr>
      <w:tr w:rsidR="007075D9" w:rsidRPr="004D46AC" w14:paraId="4D29D1A1" w14:textId="77777777" w:rsidTr="00B518F1">
        <w:trPr>
          <w:trHeight w:val="300"/>
        </w:trPr>
        <w:tc>
          <w:tcPr>
            <w:tcW w:w="3227" w:type="dxa"/>
            <w:noWrap/>
            <w:vAlign w:val="center"/>
          </w:tcPr>
          <w:p w14:paraId="3EAD83E1" w14:textId="77777777" w:rsidR="007075D9" w:rsidRPr="004D46AC" w:rsidRDefault="007075D9" w:rsidP="0090577F">
            <w:pPr>
              <w:spacing w:line="360" w:lineRule="auto"/>
              <w:ind w:firstLine="0"/>
            </w:pPr>
            <w:r w:rsidRPr="004D46AC">
              <w:t>(Intercept)</w:t>
            </w:r>
          </w:p>
        </w:tc>
        <w:tc>
          <w:tcPr>
            <w:tcW w:w="1276" w:type="dxa"/>
            <w:gridSpan w:val="3"/>
            <w:noWrap/>
            <w:vAlign w:val="center"/>
          </w:tcPr>
          <w:p w14:paraId="21A91E3E" w14:textId="77777777" w:rsidR="007075D9" w:rsidRPr="004D46AC" w:rsidRDefault="007075D9" w:rsidP="0090577F">
            <w:pPr>
              <w:spacing w:line="360" w:lineRule="auto"/>
              <w:ind w:firstLine="0"/>
            </w:pPr>
            <w:r w:rsidRPr="004D46AC">
              <w:t xml:space="preserve">-1.81 </w:t>
            </w:r>
          </w:p>
        </w:tc>
        <w:tc>
          <w:tcPr>
            <w:tcW w:w="767" w:type="dxa"/>
            <w:noWrap/>
            <w:vAlign w:val="center"/>
          </w:tcPr>
          <w:p w14:paraId="6FF9E4BF" w14:textId="77777777" w:rsidR="007075D9" w:rsidRPr="004D46AC" w:rsidRDefault="007075D9" w:rsidP="0090577F">
            <w:pPr>
              <w:spacing w:line="360" w:lineRule="auto"/>
              <w:ind w:firstLine="0"/>
            </w:pPr>
            <w:r w:rsidRPr="004D46AC">
              <w:t>0.47</w:t>
            </w:r>
          </w:p>
        </w:tc>
        <w:tc>
          <w:tcPr>
            <w:tcW w:w="1104" w:type="dxa"/>
            <w:gridSpan w:val="2"/>
            <w:noWrap/>
            <w:vAlign w:val="center"/>
          </w:tcPr>
          <w:p w14:paraId="60C96460" w14:textId="77777777" w:rsidR="007075D9" w:rsidRPr="004D46AC" w:rsidRDefault="007075D9" w:rsidP="0090577F">
            <w:pPr>
              <w:spacing w:line="360" w:lineRule="auto"/>
              <w:ind w:firstLine="0"/>
            </w:pPr>
            <w:r w:rsidRPr="004D46AC">
              <w:t>-3.89</w:t>
            </w:r>
          </w:p>
        </w:tc>
        <w:tc>
          <w:tcPr>
            <w:tcW w:w="1926" w:type="dxa"/>
          </w:tcPr>
          <w:p w14:paraId="291CB3C8" w14:textId="77777777" w:rsidR="007075D9" w:rsidRPr="004D46AC" w:rsidRDefault="007075D9" w:rsidP="0090577F">
            <w:pPr>
              <w:spacing w:line="360" w:lineRule="auto"/>
              <w:ind w:firstLine="0"/>
            </w:pPr>
          </w:p>
        </w:tc>
      </w:tr>
      <w:tr w:rsidR="007075D9" w:rsidRPr="004D46AC" w14:paraId="6D18A56D" w14:textId="77777777" w:rsidTr="00B518F1">
        <w:trPr>
          <w:trHeight w:val="300"/>
        </w:trPr>
        <w:tc>
          <w:tcPr>
            <w:tcW w:w="3227" w:type="dxa"/>
            <w:noWrap/>
            <w:vAlign w:val="center"/>
          </w:tcPr>
          <w:p w14:paraId="585BDC63" w14:textId="77777777" w:rsidR="007075D9" w:rsidRPr="004D46AC" w:rsidRDefault="007075D9" w:rsidP="0090577F">
            <w:pPr>
              <w:spacing w:line="360" w:lineRule="auto"/>
              <w:ind w:firstLine="0"/>
            </w:pPr>
            <w:r w:rsidRPr="004D46AC">
              <w:t>ACEs (W5)</w:t>
            </w:r>
          </w:p>
        </w:tc>
        <w:tc>
          <w:tcPr>
            <w:tcW w:w="1276" w:type="dxa"/>
            <w:gridSpan w:val="3"/>
            <w:noWrap/>
            <w:vAlign w:val="center"/>
          </w:tcPr>
          <w:p w14:paraId="5722A611" w14:textId="77777777" w:rsidR="007075D9" w:rsidRPr="004D46AC" w:rsidRDefault="007075D9" w:rsidP="0090577F">
            <w:pPr>
              <w:spacing w:line="360" w:lineRule="auto"/>
              <w:ind w:firstLine="0"/>
            </w:pPr>
            <w:r w:rsidRPr="004D46AC">
              <w:t>0.12***</w:t>
            </w:r>
          </w:p>
        </w:tc>
        <w:tc>
          <w:tcPr>
            <w:tcW w:w="767" w:type="dxa"/>
            <w:noWrap/>
            <w:vAlign w:val="center"/>
          </w:tcPr>
          <w:p w14:paraId="6749CDCA" w14:textId="77777777" w:rsidR="007075D9" w:rsidRPr="004D46AC" w:rsidRDefault="007075D9" w:rsidP="0090577F">
            <w:pPr>
              <w:spacing w:line="360" w:lineRule="auto"/>
              <w:ind w:firstLine="0"/>
            </w:pPr>
            <w:r w:rsidRPr="004D46AC">
              <w:t>0.04</w:t>
            </w:r>
          </w:p>
        </w:tc>
        <w:tc>
          <w:tcPr>
            <w:tcW w:w="1104" w:type="dxa"/>
            <w:gridSpan w:val="2"/>
            <w:noWrap/>
            <w:vAlign w:val="center"/>
          </w:tcPr>
          <w:p w14:paraId="1568A2A4" w14:textId="77777777" w:rsidR="007075D9" w:rsidRPr="004D46AC" w:rsidRDefault="007075D9" w:rsidP="0090577F">
            <w:pPr>
              <w:spacing w:line="360" w:lineRule="auto"/>
              <w:ind w:firstLine="0"/>
            </w:pPr>
            <w:r w:rsidRPr="004D46AC">
              <w:t>4.00</w:t>
            </w:r>
          </w:p>
        </w:tc>
        <w:tc>
          <w:tcPr>
            <w:tcW w:w="1926" w:type="dxa"/>
          </w:tcPr>
          <w:p w14:paraId="6A342266" w14:textId="77777777" w:rsidR="007075D9" w:rsidRPr="004D46AC" w:rsidRDefault="007075D9" w:rsidP="0090577F">
            <w:pPr>
              <w:spacing w:line="360" w:lineRule="auto"/>
              <w:ind w:firstLine="0"/>
            </w:pPr>
            <w:r w:rsidRPr="004D46AC">
              <w:t>[0.06, 0.19]</w:t>
            </w:r>
          </w:p>
        </w:tc>
      </w:tr>
      <w:tr w:rsidR="007075D9" w:rsidRPr="004D46AC" w14:paraId="3925358B" w14:textId="77777777" w:rsidTr="00B518F1">
        <w:trPr>
          <w:trHeight w:val="300"/>
        </w:trPr>
        <w:tc>
          <w:tcPr>
            <w:tcW w:w="3227" w:type="dxa"/>
            <w:noWrap/>
            <w:vAlign w:val="center"/>
          </w:tcPr>
          <w:p w14:paraId="658F48E5" w14:textId="77777777" w:rsidR="007075D9" w:rsidRPr="004D46AC" w:rsidRDefault="007075D9" w:rsidP="0090577F">
            <w:pPr>
              <w:spacing w:line="360" w:lineRule="auto"/>
              <w:ind w:firstLine="0"/>
            </w:pPr>
            <w:r w:rsidRPr="004D46AC">
              <w:t>Anxiety (W5)</w:t>
            </w:r>
          </w:p>
        </w:tc>
        <w:tc>
          <w:tcPr>
            <w:tcW w:w="1276" w:type="dxa"/>
            <w:gridSpan w:val="3"/>
            <w:noWrap/>
            <w:vAlign w:val="center"/>
          </w:tcPr>
          <w:p w14:paraId="44EC7499" w14:textId="77777777" w:rsidR="007075D9" w:rsidRPr="004D46AC" w:rsidRDefault="007075D9" w:rsidP="0090577F">
            <w:pPr>
              <w:spacing w:line="360" w:lineRule="auto"/>
              <w:ind w:firstLine="0"/>
            </w:pPr>
            <w:r w:rsidRPr="004D46AC">
              <w:t>0.05***</w:t>
            </w:r>
          </w:p>
        </w:tc>
        <w:tc>
          <w:tcPr>
            <w:tcW w:w="767" w:type="dxa"/>
            <w:noWrap/>
            <w:vAlign w:val="center"/>
          </w:tcPr>
          <w:p w14:paraId="3E41F1A4" w14:textId="77777777" w:rsidR="007075D9" w:rsidRPr="004D46AC" w:rsidRDefault="007075D9" w:rsidP="0090577F">
            <w:pPr>
              <w:spacing w:line="360" w:lineRule="auto"/>
              <w:ind w:firstLine="0"/>
            </w:pPr>
            <w:r w:rsidRPr="004D46AC">
              <w:t>0.01</w:t>
            </w:r>
          </w:p>
        </w:tc>
        <w:tc>
          <w:tcPr>
            <w:tcW w:w="1104" w:type="dxa"/>
            <w:gridSpan w:val="2"/>
            <w:noWrap/>
            <w:vAlign w:val="center"/>
          </w:tcPr>
          <w:p w14:paraId="02DFF52D" w14:textId="77777777" w:rsidR="007075D9" w:rsidRPr="004D46AC" w:rsidRDefault="007075D9" w:rsidP="0090577F">
            <w:pPr>
              <w:spacing w:line="360" w:lineRule="auto"/>
              <w:ind w:firstLine="0"/>
            </w:pPr>
            <w:r w:rsidRPr="004D46AC">
              <w:t>3.65</w:t>
            </w:r>
          </w:p>
        </w:tc>
        <w:tc>
          <w:tcPr>
            <w:tcW w:w="1926" w:type="dxa"/>
          </w:tcPr>
          <w:p w14:paraId="64CD7598" w14:textId="77777777" w:rsidR="007075D9" w:rsidRPr="004D46AC" w:rsidRDefault="007075D9" w:rsidP="0090577F">
            <w:pPr>
              <w:spacing w:line="360" w:lineRule="auto"/>
              <w:ind w:firstLine="0"/>
            </w:pPr>
            <w:r w:rsidRPr="004D46AC">
              <w:t>[0.02, 0.08]</w:t>
            </w:r>
          </w:p>
        </w:tc>
      </w:tr>
      <w:tr w:rsidR="007075D9" w:rsidRPr="004D46AC" w14:paraId="659FF025" w14:textId="77777777" w:rsidTr="00B518F1">
        <w:trPr>
          <w:trHeight w:val="300"/>
        </w:trPr>
        <w:tc>
          <w:tcPr>
            <w:tcW w:w="3227" w:type="dxa"/>
            <w:noWrap/>
            <w:vAlign w:val="center"/>
          </w:tcPr>
          <w:p w14:paraId="6383E07F" w14:textId="77777777" w:rsidR="007075D9" w:rsidRPr="004D46AC" w:rsidRDefault="007075D9" w:rsidP="0090577F">
            <w:pPr>
              <w:spacing w:line="360" w:lineRule="auto"/>
              <w:ind w:firstLine="0"/>
            </w:pPr>
            <w:r w:rsidRPr="004D46AC">
              <w:t>Mania (W5)</w:t>
            </w:r>
          </w:p>
        </w:tc>
        <w:tc>
          <w:tcPr>
            <w:tcW w:w="1276" w:type="dxa"/>
            <w:gridSpan w:val="3"/>
            <w:noWrap/>
            <w:vAlign w:val="center"/>
          </w:tcPr>
          <w:p w14:paraId="55486185" w14:textId="77777777" w:rsidR="007075D9" w:rsidRPr="004D46AC" w:rsidRDefault="007075D9" w:rsidP="0090577F">
            <w:pPr>
              <w:spacing w:line="360" w:lineRule="auto"/>
              <w:ind w:firstLine="0"/>
            </w:pPr>
            <w:r w:rsidRPr="004D46AC">
              <w:t>0.12***</w:t>
            </w:r>
          </w:p>
        </w:tc>
        <w:tc>
          <w:tcPr>
            <w:tcW w:w="767" w:type="dxa"/>
            <w:noWrap/>
            <w:vAlign w:val="center"/>
          </w:tcPr>
          <w:p w14:paraId="54D20F0C" w14:textId="77777777" w:rsidR="007075D9" w:rsidRPr="004D46AC" w:rsidRDefault="007075D9" w:rsidP="0090577F">
            <w:pPr>
              <w:spacing w:line="360" w:lineRule="auto"/>
              <w:ind w:firstLine="0"/>
            </w:pPr>
            <w:r w:rsidRPr="004D46AC">
              <w:t>0.01</w:t>
            </w:r>
          </w:p>
        </w:tc>
        <w:tc>
          <w:tcPr>
            <w:tcW w:w="1104" w:type="dxa"/>
            <w:gridSpan w:val="2"/>
            <w:noWrap/>
            <w:vAlign w:val="center"/>
          </w:tcPr>
          <w:p w14:paraId="19981022" w14:textId="77777777" w:rsidR="007075D9" w:rsidRPr="004D46AC" w:rsidRDefault="007075D9" w:rsidP="0090577F">
            <w:pPr>
              <w:spacing w:line="360" w:lineRule="auto"/>
              <w:ind w:firstLine="0"/>
            </w:pPr>
            <w:r w:rsidRPr="004D46AC">
              <w:t>8.55</w:t>
            </w:r>
          </w:p>
        </w:tc>
        <w:tc>
          <w:tcPr>
            <w:tcW w:w="1926" w:type="dxa"/>
          </w:tcPr>
          <w:p w14:paraId="79AFBAD8" w14:textId="77777777" w:rsidR="007075D9" w:rsidRPr="004D46AC" w:rsidRDefault="007075D9" w:rsidP="0090577F">
            <w:pPr>
              <w:spacing w:line="360" w:lineRule="auto"/>
              <w:ind w:firstLine="0"/>
            </w:pPr>
            <w:r w:rsidRPr="004D46AC">
              <w:t>[0.09, 0.15]</w:t>
            </w:r>
          </w:p>
        </w:tc>
      </w:tr>
      <w:tr w:rsidR="007075D9" w:rsidRPr="004D46AC" w14:paraId="47C807F6" w14:textId="77777777" w:rsidTr="00B518F1">
        <w:trPr>
          <w:trHeight w:val="300"/>
        </w:trPr>
        <w:tc>
          <w:tcPr>
            <w:tcW w:w="3227" w:type="dxa"/>
            <w:noWrap/>
            <w:vAlign w:val="center"/>
          </w:tcPr>
          <w:p w14:paraId="43CCA910" w14:textId="77777777" w:rsidR="007075D9" w:rsidRPr="004D46AC" w:rsidRDefault="007075D9" w:rsidP="0090577F">
            <w:pPr>
              <w:spacing w:line="360" w:lineRule="auto"/>
              <w:ind w:firstLine="0"/>
            </w:pPr>
            <w:r w:rsidRPr="004D46AC">
              <w:t>SSR (W5)</w:t>
            </w:r>
          </w:p>
        </w:tc>
        <w:tc>
          <w:tcPr>
            <w:tcW w:w="1276" w:type="dxa"/>
            <w:gridSpan w:val="3"/>
            <w:noWrap/>
            <w:vAlign w:val="center"/>
          </w:tcPr>
          <w:p w14:paraId="1D7E9AB0" w14:textId="77777777" w:rsidR="007075D9" w:rsidRPr="004D46AC" w:rsidRDefault="007075D9" w:rsidP="0090577F">
            <w:pPr>
              <w:spacing w:line="360" w:lineRule="auto"/>
              <w:ind w:firstLine="0"/>
            </w:pPr>
            <w:r w:rsidRPr="004D46AC">
              <w:t>-0.07*</w:t>
            </w:r>
          </w:p>
        </w:tc>
        <w:tc>
          <w:tcPr>
            <w:tcW w:w="767" w:type="dxa"/>
            <w:noWrap/>
            <w:vAlign w:val="center"/>
          </w:tcPr>
          <w:p w14:paraId="1D011D8B" w14:textId="77777777" w:rsidR="007075D9" w:rsidRPr="004D46AC" w:rsidRDefault="007075D9" w:rsidP="0090577F">
            <w:pPr>
              <w:spacing w:line="360" w:lineRule="auto"/>
              <w:ind w:firstLine="0"/>
            </w:pPr>
            <w:r w:rsidRPr="004D46AC">
              <w:t>0.03</w:t>
            </w:r>
          </w:p>
        </w:tc>
        <w:tc>
          <w:tcPr>
            <w:tcW w:w="1104" w:type="dxa"/>
            <w:gridSpan w:val="2"/>
            <w:noWrap/>
            <w:vAlign w:val="center"/>
          </w:tcPr>
          <w:p w14:paraId="4ED71B89" w14:textId="77777777" w:rsidR="007075D9" w:rsidRPr="004D46AC" w:rsidRDefault="007075D9" w:rsidP="0090577F">
            <w:pPr>
              <w:spacing w:line="360" w:lineRule="auto"/>
              <w:ind w:firstLine="0"/>
            </w:pPr>
            <w:r w:rsidRPr="004D46AC">
              <w:t>-2.47</w:t>
            </w:r>
          </w:p>
        </w:tc>
        <w:tc>
          <w:tcPr>
            <w:tcW w:w="1926" w:type="dxa"/>
          </w:tcPr>
          <w:p w14:paraId="2D483FE5" w14:textId="77777777" w:rsidR="007075D9" w:rsidRPr="004D46AC" w:rsidRDefault="007075D9" w:rsidP="0090577F">
            <w:pPr>
              <w:spacing w:line="360" w:lineRule="auto"/>
              <w:ind w:firstLine="0"/>
            </w:pPr>
            <w:r w:rsidRPr="004D46AC">
              <w:t>[-0.12, -0.01]</w:t>
            </w:r>
          </w:p>
        </w:tc>
      </w:tr>
      <w:tr w:rsidR="007075D9" w:rsidRPr="004D46AC" w14:paraId="1FF3F803" w14:textId="77777777" w:rsidTr="00B518F1">
        <w:trPr>
          <w:trHeight w:val="300"/>
        </w:trPr>
        <w:tc>
          <w:tcPr>
            <w:tcW w:w="8300" w:type="dxa"/>
            <w:gridSpan w:val="8"/>
            <w:noWrap/>
            <w:vAlign w:val="center"/>
          </w:tcPr>
          <w:p w14:paraId="5FE6450D" w14:textId="77777777" w:rsidR="007075D9" w:rsidRPr="004D46AC" w:rsidRDefault="007075D9" w:rsidP="0090577F">
            <w:pPr>
              <w:spacing w:line="360" w:lineRule="auto"/>
              <w:ind w:firstLine="0"/>
              <w:rPr>
                <w:b/>
                <w:bCs/>
              </w:rPr>
            </w:pPr>
            <w:r w:rsidRPr="004D46AC">
              <w:rPr>
                <w:b/>
                <w:bCs/>
              </w:rPr>
              <w:t xml:space="preserve">Wave 9 PLEs (Count): McFadden’s </w:t>
            </w:r>
            <w:r w:rsidRPr="004D46AC">
              <w:rPr>
                <w:b/>
                <w:bCs/>
                <w:i/>
                <w:iCs/>
              </w:rPr>
              <w:t>R</w:t>
            </w:r>
            <w:r w:rsidRPr="004D46AC">
              <w:rPr>
                <w:b/>
                <w:bCs/>
                <w:vertAlign w:val="superscript"/>
              </w:rPr>
              <w:t>2</w:t>
            </w:r>
            <w:r w:rsidRPr="004D46AC">
              <w:rPr>
                <w:rFonts w:hint="eastAsia"/>
                <w:b/>
                <w:bCs/>
                <w:vertAlign w:val="superscript"/>
              </w:rPr>
              <w:t xml:space="preserve"> </w:t>
            </w:r>
            <w:r w:rsidRPr="004D46AC">
              <w:rPr>
                <w:b/>
                <w:bCs/>
              </w:rPr>
              <w:t>=</w:t>
            </w:r>
            <w:r w:rsidRPr="004D46AC">
              <w:rPr>
                <w:rFonts w:hint="eastAsia"/>
                <w:b/>
                <w:bCs/>
              </w:rPr>
              <w:t xml:space="preserve"> </w:t>
            </w:r>
            <w:r w:rsidRPr="004D46AC">
              <w:rPr>
                <w:b/>
                <w:bCs/>
              </w:rPr>
              <w:t>.32</w:t>
            </w:r>
          </w:p>
        </w:tc>
      </w:tr>
      <w:tr w:rsidR="007075D9" w:rsidRPr="004D46AC" w14:paraId="08AE4251" w14:textId="77777777" w:rsidTr="00B518F1">
        <w:trPr>
          <w:trHeight w:val="300"/>
        </w:trPr>
        <w:tc>
          <w:tcPr>
            <w:tcW w:w="3227" w:type="dxa"/>
            <w:noWrap/>
            <w:vAlign w:val="center"/>
          </w:tcPr>
          <w:p w14:paraId="6D7E6154" w14:textId="77777777" w:rsidR="007075D9" w:rsidRPr="004D46AC" w:rsidRDefault="007075D9" w:rsidP="0090577F">
            <w:pPr>
              <w:spacing w:line="360" w:lineRule="auto"/>
              <w:ind w:firstLine="0"/>
            </w:pPr>
            <w:r w:rsidRPr="004D46AC">
              <w:t>(Intercept)</w:t>
            </w:r>
          </w:p>
        </w:tc>
        <w:tc>
          <w:tcPr>
            <w:tcW w:w="1276" w:type="dxa"/>
            <w:gridSpan w:val="3"/>
            <w:noWrap/>
            <w:vAlign w:val="center"/>
          </w:tcPr>
          <w:p w14:paraId="2468D658" w14:textId="77777777" w:rsidR="007075D9" w:rsidRPr="004D46AC" w:rsidRDefault="007075D9" w:rsidP="0090577F">
            <w:pPr>
              <w:spacing w:line="360" w:lineRule="auto"/>
              <w:ind w:firstLine="0"/>
            </w:pPr>
            <w:r w:rsidRPr="004D46AC">
              <w:t>-1.68</w:t>
            </w:r>
          </w:p>
        </w:tc>
        <w:tc>
          <w:tcPr>
            <w:tcW w:w="767" w:type="dxa"/>
            <w:noWrap/>
            <w:vAlign w:val="center"/>
          </w:tcPr>
          <w:p w14:paraId="64F3A723" w14:textId="77777777" w:rsidR="007075D9" w:rsidRPr="004D46AC" w:rsidRDefault="007075D9" w:rsidP="0090577F">
            <w:pPr>
              <w:spacing w:line="360" w:lineRule="auto"/>
              <w:ind w:firstLine="0"/>
            </w:pPr>
            <w:r w:rsidRPr="004D46AC">
              <w:t>0.82</w:t>
            </w:r>
          </w:p>
        </w:tc>
        <w:tc>
          <w:tcPr>
            <w:tcW w:w="1104" w:type="dxa"/>
            <w:gridSpan w:val="2"/>
            <w:noWrap/>
            <w:vAlign w:val="center"/>
          </w:tcPr>
          <w:p w14:paraId="725FDA41" w14:textId="77777777" w:rsidR="007075D9" w:rsidRPr="004D46AC" w:rsidRDefault="007075D9" w:rsidP="0090577F">
            <w:pPr>
              <w:spacing w:line="360" w:lineRule="auto"/>
              <w:ind w:firstLine="0"/>
            </w:pPr>
            <w:r w:rsidRPr="004D46AC">
              <w:t>-2.05</w:t>
            </w:r>
          </w:p>
        </w:tc>
        <w:tc>
          <w:tcPr>
            <w:tcW w:w="1926" w:type="dxa"/>
          </w:tcPr>
          <w:p w14:paraId="6244E912" w14:textId="77777777" w:rsidR="007075D9" w:rsidRPr="004D46AC" w:rsidRDefault="007075D9" w:rsidP="0090577F">
            <w:pPr>
              <w:spacing w:line="360" w:lineRule="auto"/>
              <w:ind w:firstLine="0"/>
            </w:pPr>
          </w:p>
        </w:tc>
      </w:tr>
      <w:tr w:rsidR="007075D9" w:rsidRPr="004D46AC" w14:paraId="28AB4DA1" w14:textId="77777777" w:rsidTr="00B518F1">
        <w:trPr>
          <w:trHeight w:val="300"/>
        </w:trPr>
        <w:tc>
          <w:tcPr>
            <w:tcW w:w="3227" w:type="dxa"/>
            <w:noWrap/>
            <w:vAlign w:val="center"/>
          </w:tcPr>
          <w:p w14:paraId="2032CAAF" w14:textId="77777777" w:rsidR="007075D9" w:rsidRPr="004D46AC" w:rsidRDefault="007075D9" w:rsidP="0090577F">
            <w:pPr>
              <w:spacing w:line="360" w:lineRule="auto"/>
              <w:ind w:firstLine="0"/>
            </w:pPr>
            <w:r w:rsidRPr="004D46AC">
              <w:t>ACEs (W5)</w:t>
            </w:r>
          </w:p>
        </w:tc>
        <w:tc>
          <w:tcPr>
            <w:tcW w:w="1276" w:type="dxa"/>
            <w:gridSpan w:val="3"/>
            <w:noWrap/>
            <w:vAlign w:val="center"/>
          </w:tcPr>
          <w:p w14:paraId="57966A53" w14:textId="77777777" w:rsidR="007075D9" w:rsidRPr="004D46AC" w:rsidRDefault="007075D9" w:rsidP="0090577F">
            <w:pPr>
              <w:spacing w:line="360" w:lineRule="auto"/>
              <w:ind w:firstLine="0"/>
            </w:pPr>
            <w:r w:rsidRPr="004D46AC">
              <w:t>0.14**</w:t>
            </w:r>
          </w:p>
        </w:tc>
        <w:tc>
          <w:tcPr>
            <w:tcW w:w="767" w:type="dxa"/>
            <w:noWrap/>
            <w:vAlign w:val="center"/>
          </w:tcPr>
          <w:p w14:paraId="4079C852" w14:textId="77777777" w:rsidR="007075D9" w:rsidRPr="004D46AC" w:rsidRDefault="007075D9" w:rsidP="0090577F">
            <w:pPr>
              <w:spacing w:line="360" w:lineRule="auto"/>
              <w:ind w:firstLine="0"/>
            </w:pPr>
            <w:r w:rsidRPr="004D46AC">
              <w:t>0.05</w:t>
            </w:r>
          </w:p>
        </w:tc>
        <w:tc>
          <w:tcPr>
            <w:tcW w:w="1104" w:type="dxa"/>
            <w:gridSpan w:val="2"/>
            <w:noWrap/>
            <w:vAlign w:val="center"/>
          </w:tcPr>
          <w:p w14:paraId="1B06C749" w14:textId="77777777" w:rsidR="007075D9" w:rsidRPr="004D46AC" w:rsidRDefault="007075D9" w:rsidP="0090577F">
            <w:pPr>
              <w:spacing w:line="360" w:lineRule="auto"/>
              <w:ind w:firstLine="0"/>
            </w:pPr>
            <w:r w:rsidRPr="004D46AC">
              <w:t>2.62</w:t>
            </w:r>
          </w:p>
        </w:tc>
        <w:tc>
          <w:tcPr>
            <w:tcW w:w="1926" w:type="dxa"/>
          </w:tcPr>
          <w:p w14:paraId="6E17F8A9" w14:textId="77777777" w:rsidR="007075D9" w:rsidRPr="004D46AC" w:rsidRDefault="007075D9" w:rsidP="0090577F">
            <w:pPr>
              <w:spacing w:line="360" w:lineRule="auto"/>
              <w:ind w:firstLine="0"/>
            </w:pPr>
            <w:r w:rsidRPr="004D46AC">
              <w:t>[-0.02, 0.25]</w:t>
            </w:r>
          </w:p>
        </w:tc>
      </w:tr>
      <w:tr w:rsidR="007075D9" w:rsidRPr="004D46AC" w14:paraId="3673DF50" w14:textId="77777777" w:rsidTr="00B518F1">
        <w:trPr>
          <w:trHeight w:val="300"/>
        </w:trPr>
        <w:tc>
          <w:tcPr>
            <w:tcW w:w="3227" w:type="dxa"/>
            <w:noWrap/>
            <w:vAlign w:val="center"/>
          </w:tcPr>
          <w:p w14:paraId="4ECDD20F" w14:textId="77777777" w:rsidR="007075D9" w:rsidRPr="004D46AC" w:rsidRDefault="007075D9" w:rsidP="0090577F">
            <w:pPr>
              <w:spacing w:line="360" w:lineRule="auto"/>
              <w:ind w:firstLine="0"/>
            </w:pPr>
            <w:r w:rsidRPr="004D46AC">
              <w:t>Anxiety (W9)</w:t>
            </w:r>
          </w:p>
        </w:tc>
        <w:tc>
          <w:tcPr>
            <w:tcW w:w="1276" w:type="dxa"/>
            <w:gridSpan w:val="3"/>
            <w:noWrap/>
            <w:vAlign w:val="center"/>
          </w:tcPr>
          <w:p w14:paraId="4900689C" w14:textId="77777777" w:rsidR="007075D9" w:rsidRPr="004D46AC" w:rsidRDefault="007075D9" w:rsidP="0090577F">
            <w:pPr>
              <w:spacing w:line="360" w:lineRule="auto"/>
              <w:ind w:firstLine="0"/>
            </w:pPr>
            <w:r w:rsidRPr="004D46AC">
              <w:t>0.06***</w:t>
            </w:r>
          </w:p>
        </w:tc>
        <w:tc>
          <w:tcPr>
            <w:tcW w:w="767" w:type="dxa"/>
            <w:noWrap/>
            <w:vAlign w:val="center"/>
          </w:tcPr>
          <w:p w14:paraId="2FB9F660" w14:textId="77777777" w:rsidR="007075D9" w:rsidRPr="004D46AC" w:rsidRDefault="007075D9" w:rsidP="0090577F">
            <w:pPr>
              <w:spacing w:line="360" w:lineRule="auto"/>
              <w:ind w:firstLine="0"/>
            </w:pPr>
            <w:r w:rsidRPr="004D46AC">
              <w:t>0.02</w:t>
            </w:r>
          </w:p>
        </w:tc>
        <w:tc>
          <w:tcPr>
            <w:tcW w:w="1104" w:type="dxa"/>
            <w:gridSpan w:val="2"/>
            <w:noWrap/>
            <w:vAlign w:val="center"/>
          </w:tcPr>
          <w:p w14:paraId="0C2D8237" w14:textId="77777777" w:rsidR="007075D9" w:rsidRPr="004D46AC" w:rsidRDefault="007075D9" w:rsidP="0090577F">
            <w:pPr>
              <w:spacing w:line="360" w:lineRule="auto"/>
              <w:ind w:firstLine="0"/>
            </w:pPr>
            <w:r w:rsidRPr="004D46AC">
              <w:t>3.44</w:t>
            </w:r>
          </w:p>
        </w:tc>
        <w:tc>
          <w:tcPr>
            <w:tcW w:w="1926" w:type="dxa"/>
          </w:tcPr>
          <w:p w14:paraId="48E93A71" w14:textId="77777777" w:rsidR="007075D9" w:rsidRPr="004D46AC" w:rsidRDefault="007075D9" w:rsidP="0090577F">
            <w:pPr>
              <w:spacing w:line="360" w:lineRule="auto"/>
              <w:ind w:firstLine="0"/>
            </w:pPr>
            <w:r w:rsidRPr="004D46AC">
              <w:t>[0.02, 0.10]</w:t>
            </w:r>
          </w:p>
        </w:tc>
      </w:tr>
      <w:tr w:rsidR="007075D9" w:rsidRPr="004D46AC" w14:paraId="6538F19F" w14:textId="77777777" w:rsidTr="00B518F1">
        <w:trPr>
          <w:trHeight w:val="300"/>
        </w:trPr>
        <w:tc>
          <w:tcPr>
            <w:tcW w:w="3227" w:type="dxa"/>
            <w:noWrap/>
            <w:vAlign w:val="center"/>
          </w:tcPr>
          <w:p w14:paraId="164AC6DF" w14:textId="77777777" w:rsidR="007075D9" w:rsidRPr="004D46AC" w:rsidRDefault="007075D9" w:rsidP="0090577F">
            <w:pPr>
              <w:spacing w:line="360" w:lineRule="auto"/>
              <w:ind w:firstLine="0"/>
            </w:pPr>
            <w:r w:rsidRPr="004D46AC">
              <w:t>PLEs (W5)</w:t>
            </w:r>
          </w:p>
        </w:tc>
        <w:tc>
          <w:tcPr>
            <w:tcW w:w="1276" w:type="dxa"/>
            <w:gridSpan w:val="3"/>
            <w:noWrap/>
            <w:vAlign w:val="center"/>
          </w:tcPr>
          <w:p w14:paraId="4DBC2570" w14:textId="77777777" w:rsidR="007075D9" w:rsidRPr="004D46AC" w:rsidRDefault="007075D9" w:rsidP="0090577F">
            <w:pPr>
              <w:spacing w:line="360" w:lineRule="auto"/>
              <w:ind w:firstLine="0"/>
            </w:pPr>
            <w:r w:rsidRPr="004D46AC">
              <w:t>0.31***</w:t>
            </w:r>
          </w:p>
        </w:tc>
        <w:tc>
          <w:tcPr>
            <w:tcW w:w="767" w:type="dxa"/>
            <w:noWrap/>
            <w:vAlign w:val="center"/>
          </w:tcPr>
          <w:p w14:paraId="45F51E04" w14:textId="77777777" w:rsidR="007075D9" w:rsidRPr="004D46AC" w:rsidRDefault="007075D9" w:rsidP="0090577F">
            <w:pPr>
              <w:spacing w:line="360" w:lineRule="auto"/>
              <w:ind w:firstLine="0"/>
            </w:pPr>
            <w:r w:rsidRPr="004D46AC">
              <w:t>0.08</w:t>
            </w:r>
          </w:p>
        </w:tc>
        <w:tc>
          <w:tcPr>
            <w:tcW w:w="1104" w:type="dxa"/>
            <w:gridSpan w:val="2"/>
            <w:noWrap/>
            <w:vAlign w:val="center"/>
          </w:tcPr>
          <w:p w14:paraId="678D619B" w14:textId="77777777" w:rsidR="007075D9" w:rsidRPr="004D46AC" w:rsidRDefault="007075D9" w:rsidP="0090577F">
            <w:pPr>
              <w:spacing w:line="360" w:lineRule="auto"/>
              <w:ind w:firstLine="0"/>
            </w:pPr>
            <w:r w:rsidRPr="004D46AC">
              <w:t>3.70</w:t>
            </w:r>
          </w:p>
        </w:tc>
        <w:tc>
          <w:tcPr>
            <w:tcW w:w="1926" w:type="dxa"/>
          </w:tcPr>
          <w:p w14:paraId="35E67590" w14:textId="77777777" w:rsidR="007075D9" w:rsidRPr="004D46AC" w:rsidRDefault="007075D9" w:rsidP="0090577F">
            <w:pPr>
              <w:spacing w:line="360" w:lineRule="auto"/>
              <w:ind w:firstLine="0"/>
            </w:pPr>
            <w:r w:rsidRPr="004D46AC">
              <w:t>[0.11, 0.52]</w:t>
            </w:r>
          </w:p>
        </w:tc>
      </w:tr>
      <w:tr w:rsidR="007075D9" w:rsidRPr="004D46AC" w14:paraId="01A1D828" w14:textId="77777777" w:rsidTr="00B518F1">
        <w:trPr>
          <w:trHeight w:val="300"/>
        </w:trPr>
        <w:tc>
          <w:tcPr>
            <w:tcW w:w="3227" w:type="dxa"/>
            <w:noWrap/>
            <w:vAlign w:val="center"/>
          </w:tcPr>
          <w:p w14:paraId="549A5892" w14:textId="77777777" w:rsidR="007075D9" w:rsidRPr="004D46AC" w:rsidRDefault="007075D9" w:rsidP="0090577F">
            <w:pPr>
              <w:spacing w:line="360" w:lineRule="auto"/>
              <w:ind w:firstLine="0"/>
            </w:pPr>
            <w:r w:rsidRPr="004D46AC">
              <w:t>Mania (W5)</w:t>
            </w:r>
          </w:p>
        </w:tc>
        <w:tc>
          <w:tcPr>
            <w:tcW w:w="1276" w:type="dxa"/>
            <w:gridSpan w:val="3"/>
            <w:noWrap/>
            <w:vAlign w:val="center"/>
          </w:tcPr>
          <w:p w14:paraId="4044C3E3" w14:textId="77777777" w:rsidR="007075D9" w:rsidRPr="004D46AC" w:rsidRDefault="007075D9" w:rsidP="0090577F">
            <w:pPr>
              <w:spacing w:line="360" w:lineRule="auto"/>
              <w:ind w:firstLine="0"/>
            </w:pPr>
            <w:r w:rsidRPr="004D46AC">
              <w:t>0.07**</w:t>
            </w:r>
          </w:p>
        </w:tc>
        <w:tc>
          <w:tcPr>
            <w:tcW w:w="767" w:type="dxa"/>
            <w:noWrap/>
            <w:vAlign w:val="center"/>
          </w:tcPr>
          <w:p w14:paraId="291BB60E" w14:textId="77777777" w:rsidR="007075D9" w:rsidRPr="004D46AC" w:rsidRDefault="007075D9" w:rsidP="0090577F">
            <w:pPr>
              <w:spacing w:line="360" w:lineRule="auto"/>
              <w:ind w:firstLine="0"/>
            </w:pPr>
            <w:r w:rsidRPr="004D46AC">
              <w:t>0.03</w:t>
            </w:r>
          </w:p>
        </w:tc>
        <w:tc>
          <w:tcPr>
            <w:tcW w:w="1104" w:type="dxa"/>
            <w:gridSpan w:val="2"/>
            <w:noWrap/>
            <w:vAlign w:val="center"/>
          </w:tcPr>
          <w:p w14:paraId="272401B7" w14:textId="77777777" w:rsidR="007075D9" w:rsidRPr="004D46AC" w:rsidRDefault="007075D9" w:rsidP="0090577F">
            <w:pPr>
              <w:spacing w:line="360" w:lineRule="auto"/>
              <w:ind w:firstLine="0"/>
            </w:pPr>
            <w:r w:rsidRPr="004D46AC">
              <w:t>2.87</w:t>
            </w:r>
          </w:p>
        </w:tc>
        <w:tc>
          <w:tcPr>
            <w:tcW w:w="1926" w:type="dxa"/>
          </w:tcPr>
          <w:p w14:paraId="2B62A006" w14:textId="77777777" w:rsidR="007075D9" w:rsidRPr="004D46AC" w:rsidRDefault="007075D9" w:rsidP="0090577F">
            <w:pPr>
              <w:spacing w:line="360" w:lineRule="auto"/>
              <w:ind w:firstLine="0"/>
            </w:pPr>
            <w:r w:rsidRPr="004D46AC">
              <w:t>[0.03, 0.14]</w:t>
            </w:r>
          </w:p>
        </w:tc>
      </w:tr>
      <w:tr w:rsidR="007075D9" w:rsidRPr="004D46AC" w14:paraId="222AB349" w14:textId="77777777" w:rsidTr="00B518F1">
        <w:trPr>
          <w:trHeight w:val="300"/>
        </w:trPr>
        <w:tc>
          <w:tcPr>
            <w:tcW w:w="8300" w:type="dxa"/>
            <w:gridSpan w:val="8"/>
            <w:noWrap/>
            <w:vAlign w:val="center"/>
          </w:tcPr>
          <w:p w14:paraId="38EE1F11" w14:textId="77777777" w:rsidR="007075D9" w:rsidRPr="004D46AC" w:rsidRDefault="007075D9" w:rsidP="0090577F">
            <w:pPr>
              <w:spacing w:line="360" w:lineRule="auto"/>
              <w:ind w:firstLine="0"/>
              <w:rPr>
                <w:b/>
                <w:bCs/>
              </w:rPr>
            </w:pPr>
            <w:r w:rsidRPr="004D46AC">
              <w:rPr>
                <w:b/>
                <w:bCs/>
              </w:rPr>
              <w:t xml:space="preserve">Wave 5 Depression (Sum): McFadden’s </w:t>
            </w:r>
            <w:r w:rsidRPr="004D46AC">
              <w:rPr>
                <w:b/>
                <w:bCs/>
                <w:i/>
                <w:iCs/>
              </w:rPr>
              <w:t>R</w:t>
            </w:r>
            <w:r w:rsidRPr="004D46AC">
              <w:rPr>
                <w:b/>
                <w:bCs/>
                <w:vertAlign w:val="superscript"/>
              </w:rPr>
              <w:t>2</w:t>
            </w:r>
            <w:r w:rsidRPr="004D46AC">
              <w:rPr>
                <w:rFonts w:hint="eastAsia"/>
                <w:b/>
                <w:bCs/>
                <w:vertAlign w:val="superscript"/>
              </w:rPr>
              <w:t xml:space="preserve"> </w:t>
            </w:r>
            <w:r w:rsidRPr="004D46AC">
              <w:rPr>
                <w:b/>
                <w:bCs/>
              </w:rPr>
              <w:t>=</w:t>
            </w:r>
            <w:r w:rsidRPr="004D46AC">
              <w:rPr>
                <w:rFonts w:hint="eastAsia"/>
                <w:b/>
                <w:bCs/>
              </w:rPr>
              <w:t xml:space="preserve"> </w:t>
            </w:r>
            <w:r w:rsidRPr="004D46AC">
              <w:rPr>
                <w:b/>
                <w:bCs/>
              </w:rPr>
              <w:t>.55</w:t>
            </w:r>
          </w:p>
        </w:tc>
      </w:tr>
      <w:tr w:rsidR="007075D9" w:rsidRPr="004D46AC" w14:paraId="4DA07B5A" w14:textId="77777777" w:rsidTr="00B518F1">
        <w:trPr>
          <w:trHeight w:val="300"/>
        </w:trPr>
        <w:tc>
          <w:tcPr>
            <w:tcW w:w="3227" w:type="dxa"/>
            <w:noWrap/>
            <w:vAlign w:val="center"/>
          </w:tcPr>
          <w:p w14:paraId="5B2CA9DF" w14:textId="77777777" w:rsidR="007075D9" w:rsidRPr="004D46AC" w:rsidRDefault="007075D9" w:rsidP="0090577F">
            <w:pPr>
              <w:spacing w:line="360" w:lineRule="auto"/>
              <w:ind w:firstLine="0"/>
            </w:pPr>
            <w:r w:rsidRPr="004D46AC">
              <w:t>(Intercept)</w:t>
            </w:r>
          </w:p>
        </w:tc>
        <w:tc>
          <w:tcPr>
            <w:tcW w:w="1276" w:type="dxa"/>
            <w:gridSpan w:val="3"/>
            <w:noWrap/>
            <w:vAlign w:val="center"/>
          </w:tcPr>
          <w:p w14:paraId="5B7DAC3F" w14:textId="77777777" w:rsidR="007075D9" w:rsidRPr="004D46AC" w:rsidRDefault="007075D9" w:rsidP="0090577F">
            <w:pPr>
              <w:spacing w:line="360" w:lineRule="auto"/>
              <w:ind w:firstLine="0"/>
            </w:pPr>
            <w:r w:rsidRPr="004D46AC">
              <w:t>0.02</w:t>
            </w:r>
          </w:p>
        </w:tc>
        <w:tc>
          <w:tcPr>
            <w:tcW w:w="767" w:type="dxa"/>
            <w:noWrap/>
            <w:vAlign w:val="center"/>
          </w:tcPr>
          <w:p w14:paraId="7F45DDBA" w14:textId="77777777" w:rsidR="007075D9" w:rsidRPr="004D46AC" w:rsidRDefault="007075D9" w:rsidP="0090577F">
            <w:pPr>
              <w:spacing w:line="360" w:lineRule="auto"/>
              <w:ind w:firstLine="0"/>
            </w:pPr>
            <w:r w:rsidRPr="004D46AC">
              <w:t xml:space="preserve">0.32 </w:t>
            </w:r>
          </w:p>
        </w:tc>
        <w:tc>
          <w:tcPr>
            <w:tcW w:w="1104" w:type="dxa"/>
            <w:gridSpan w:val="2"/>
            <w:noWrap/>
            <w:vAlign w:val="center"/>
          </w:tcPr>
          <w:p w14:paraId="3658178A" w14:textId="77777777" w:rsidR="007075D9" w:rsidRPr="004D46AC" w:rsidRDefault="007075D9" w:rsidP="0090577F">
            <w:pPr>
              <w:spacing w:line="360" w:lineRule="auto"/>
              <w:ind w:firstLine="0"/>
            </w:pPr>
            <w:r w:rsidRPr="004D46AC">
              <w:t>0.06</w:t>
            </w:r>
          </w:p>
        </w:tc>
        <w:tc>
          <w:tcPr>
            <w:tcW w:w="1926" w:type="dxa"/>
          </w:tcPr>
          <w:p w14:paraId="6C8BE36B" w14:textId="77777777" w:rsidR="007075D9" w:rsidRPr="004D46AC" w:rsidRDefault="007075D9" w:rsidP="0090577F">
            <w:pPr>
              <w:spacing w:line="360" w:lineRule="auto"/>
              <w:ind w:firstLine="0"/>
            </w:pPr>
          </w:p>
        </w:tc>
      </w:tr>
      <w:tr w:rsidR="007075D9" w:rsidRPr="004D46AC" w14:paraId="0C52B060" w14:textId="77777777" w:rsidTr="00B518F1">
        <w:trPr>
          <w:trHeight w:val="300"/>
        </w:trPr>
        <w:tc>
          <w:tcPr>
            <w:tcW w:w="3227" w:type="dxa"/>
            <w:noWrap/>
            <w:vAlign w:val="center"/>
          </w:tcPr>
          <w:p w14:paraId="20A912B9" w14:textId="77777777" w:rsidR="007075D9" w:rsidRPr="004D46AC" w:rsidRDefault="007075D9" w:rsidP="0090577F">
            <w:pPr>
              <w:spacing w:line="360" w:lineRule="auto"/>
              <w:ind w:firstLine="0"/>
            </w:pPr>
            <w:r w:rsidRPr="004D46AC">
              <w:t>ACEs (W5)</w:t>
            </w:r>
          </w:p>
        </w:tc>
        <w:tc>
          <w:tcPr>
            <w:tcW w:w="1276" w:type="dxa"/>
            <w:gridSpan w:val="3"/>
            <w:noWrap/>
            <w:vAlign w:val="center"/>
          </w:tcPr>
          <w:p w14:paraId="114013AF" w14:textId="77777777" w:rsidR="007075D9" w:rsidRPr="004D46AC" w:rsidRDefault="007075D9" w:rsidP="0090577F">
            <w:pPr>
              <w:spacing w:line="360" w:lineRule="auto"/>
              <w:ind w:firstLine="0"/>
            </w:pPr>
            <w:r w:rsidRPr="004D46AC">
              <w:t>0.08**</w:t>
            </w:r>
          </w:p>
        </w:tc>
        <w:tc>
          <w:tcPr>
            <w:tcW w:w="767" w:type="dxa"/>
            <w:noWrap/>
            <w:vAlign w:val="center"/>
          </w:tcPr>
          <w:p w14:paraId="623FD732" w14:textId="77777777" w:rsidR="007075D9" w:rsidRPr="004D46AC" w:rsidRDefault="007075D9" w:rsidP="0090577F">
            <w:pPr>
              <w:spacing w:line="360" w:lineRule="auto"/>
              <w:ind w:firstLine="0"/>
            </w:pPr>
            <w:r w:rsidRPr="004D46AC">
              <w:t>0.03</w:t>
            </w:r>
          </w:p>
        </w:tc>
        <w:tc>
          <w:tcPr>
            <w:tcW w:w="1104" w:type="dxa"/>
            <w:gridSpan w:val="2"/>
            <w:noWrap/>
            <w:vAlign w:val="center"/>
          </w:tcPr>
          <w:p w14:paraId="462F82F6" w14:textId="77777777" w:rsidR="007075D9" w:rsidRPr="004D46AC" w:rsidRDefault="007075D9" w:rsidP="0090577F">
            <w:pPr>
              <w:spacing w:line="360" w:lineRule="auto"/>
              <w:ind w:firstLine="0"/>
            </w:pPr>
            <w:r w:rsidRPr="004D46AC">
              <w:t>2.84</w:t>
            </w:r>
          </w:p>
        </w:tc>
        <w:tc>
          <w:tcPr>
            <w:tcW w:w="1926" w:type="dxa"/>
          </w:tcPr>
          <w:p w14:paraId="27C0037E" w14:textId="77777777" w:rsidR="007075D9" w:rsidRPr="004D46AC" w:rsidRDefault="007075D9" w:rsidP="0090577F">
            <w:pPr>
              <w:spacing w:line="360" w:lineRule="auto"/>
              <w:ind w:firstLine="0"/>
            </w:pPr>
            <w:r w:rsidRPr="004D46AC">
              <w:t>[0.03, 0.13]</w:t>
            </w:r>
          </w:p>
        </w:tc>
      </w:tr>
      <w:tr w:rsidR="007075D9" w:rsidRPr="004D46AC" w14:paraId="7C46EF33" w14:textId="77777777" w:rsidTr="00B518F1">
        <w:trPr>
          <w:trHeight w:val="300"/>
        </w:trPr>
        <w:tc>
          <w:tcPr>
            <w:tcW w:w="3227" w:type="dxa"/>
            <w:noWrap/>
            <w:vAlign w:val="center"/>
          </w:tcPr>
          <w:p w14:paraId="5B44FDCF" w14:textId="77777777" w:rsidR="007075D9" w:rsidRPr="004D46AC" w:rsidRDefault="007075D9" w:rsidP="0090577F">
            <w:pPr>
              <w:spacing w:line="360" w:lineRule="auto"/>
              <w:ind w:firstLine="0"/>
            </w:pPr>
            <w:r w:rsidRPr="004D46AC">
              <w:t>Anxiety (W5)</w:t>
            </w:r>
          </w:p>
        </w:tc>
        <w:tc>
          <w:tcPr>
            <w:tcW w:w="1276" w:type="dxa"/>
            <w:gridSpan w:val="3"/>
            <w:noWrap/>
            <w:vAlign w:val="center"/>
          </w:tcPr>
          <w:p w14:paraId="00C9CB1D" w14:textId="77777777" w:rsidR="007075D9" w:rsidRPr="004D46AC" w:rsidRDefault="007075D9" w:rsidP="0090577F">
            <w:pPr>
              <w:spacing w:line="360" w:lineRule="auto"/>
              <w:ind w:firstLine="0"/>
            </w:pPr>
            <w:r w:rsidRPr="004D46AC">
              <w:t>0.12***</w:t>
            </w:r>
          </w:p>
        </w:tc>
        <w:tc>
          <w:tcPr>
            <w:tcW w:w="767" w:type="dxa"/>
            <w:noWrap/>
            <w:vAlign w:val="center"/>
          </w:tcPr>
          <w:p w14:paraId="5881D400" w14:textId="77777777" w:rsidR="007075D9" w:rsidRPr="004D46AC" w:rsidRDefault="007075D9" w:rsidP="0090577F">
            <w:pPr>
              <w:spacing w:line="360" w:lineRule="auto"/>
              <w:ind w:firstLine="0"/>
            </w:pPr>
            <w:r w:rsidRPr="004D46AC">
              <w:t xml:space="preserve">0.01 </w:t>
            </w:r>
          </w:p>
        </w:tc>
        <w:tc>
          <w:tcPr>
            <w:tcW w:w="1104" w:type="dxa"/>
            <w:gridSpan w:val="2"/>
            <w:noWrap/>
            <w:vAlign w:val="center"/>
          </w:tcPr>
          <w:p w14:paraId="07AEF43F" w14:textId="77777777" w:rsidR="007075D9" w:rsidRPr="004D46AC" w:rsidRDefault="007075D9" w:rsidP="0090577F">
            <w:pPr>
              <w:spacing w:line="360" w:lineRule="auto"/>
              <w:ind w:firstLine="0"/>
            </w:pPr>
            <w:r w:rsidRPr="004D46AC">
              <w:t>13.17</w:t>
            </w:r>
          </w:p>
        </w:tc>
        <w:tc>
          <w:tcPr>
            <w:tcW w:w="1926" w:type="dxa"/>
          </w:tcPr>
          <w:p w14:paraId="5DDCD792" w14:textId="77777777" w:rsidR="007075D9" w:rsidRPr="004D46AC" w:rsidRDefault="007075D9" w:rsidP="0090577F">
            <w:pPr>
              <w:spacing w:line="360" w:lineRule="auto"/>
              <w:ind w:firstLine="0"/>
            </w:pPr>
            <w:r w:rsidRPr="004D46AC">
              <w:t>[0.11, 0.14]</w:t>
            </w:r>
          </w:p>
        </w:tc>
      </w:tr>
      <w:tr w:rsidR="007075D9" w:rsidRPr="004D46AC" w14:paraId="47CF6F6D" w14:textId="77777777" w:rsidTr="00B518F1">
        <w:trPr>
          <w:trHeight w:val="300"/>
        </w:trPr>
        <w:tc>
          <w:tcPr>
            <w:tcW w:w="3227" w:type="dxa"/>
            <w:noWrap/>
            <w:vAlign w:val="center"/>
          </w:tcPr>
          <w:p w14:paraId="48537EB3" w14:textId="77777777" w:rsidR="007075D9" w:rsidRPr="004D46AC" w:rsidRDefault="007075D9" w:rsidP="0090577F">
            <w:pPr>
              <w:spacing w:line="360" w:lineRule="auto"/>
              <w:ind w:firstLine="0"/>
            </w:pPr>
            <w:r w:rsidRPr="004D46AC">
              <w:t>Depression (W1)</w:t>
            </w:r>
          </w:p>
        </w:tc>
        <w:tc>
          <w:tcPr>
            <w:tcW w:w="1276" w:type="dxa"/>
            <w:gridSpan w:val="3"/>
            <w:noWrap/>
            <w:vAlign w:val="center"/>
          </w:tcPr>
          <w:p w14:paraId="46306694" w14:textId="77777777" w:rsidR="007075D9" w:rsidRPr="004D46AC" w:rsidRDefault="007075D9" w:rsidP="0090577F">
            <w:pPr>
              <w:spacing w:line="360" w:lineRule="auto"/>
              <w:ind w:firstLine="0"/>
            </w:pPr>
            <w:r w:rsidRPr="004D46AC">
              <w:t>0.04***</w:t>
            </w:r>
          </w:p>
        </w:tc>
        <w:tc>
          <w:tcPr>
            <w:tcW w:w="767" w:type="dxa"/>
            <w:noWrap/>
            <w:vAlign w:val="center"/>
          </w:tcPr>
          <w:p w14:paraId="49DC1588" w14:textId="77777777" w:rsidR="007075D9" w:rsidRPr="004D46AC" w:rsidRDefault="007075D9" w:rsidP="0090577F">
            <w:pPr>
              <w:spacing w:line="360" w:lineRule="auto"/>
              <w:ind w:firstLine="0"/>
            </w:pPr>
            <w:r w:rsidRPr="004D46AC">
              <w:t>0.01</w:t>
            </w:r>
          </w:p>
        </w:tc>
        <w:tc>
          <w:tcPr>
            <w:tcW w:w="1104" w:type="dxa"/>
            <w:gridSpan w:val="2"/>
            <w:noWrap/>
            <w:vAlign w:val="center"/>
          </w:tcPr>
          <w:p w14:paraId="1B32CD1D" w14:textId="77777777" w:rsidR="007075D9" w:rsidRPr="004D46AC" w:rsidRDefault="007075D9" w:rsidP="0090577F">
            <w:pPr>
              <w:spacing w:line="360" w:lineRule="auto"/>
              <w:ind w:firstLine="0"/>
            </w:pPr>
            <w:r w:rsidRPr="004D46AC">
              <w:t>5.02</w:t>
            </w:r>
          </w:p>
        </w:tc>
        <w:tc>
          <w:tcPr>
            <w:tcW w:w="1926" w:type="dxa"/>
          </w:tcPr>
          <w:p w14:paraId="06F388B0" w14:textId="77777777" w:rsidR="007075D9" w:rsidRPr="004D46AC" w:rsidRDefault="007075D9" w:rsidP="0090577F">
            <w:pPr>
              <w:spacing w:line="360" w:lineRule="auto"/>
              <w:ind w:firstLine="0"/>
            </w:pPr>
            <w:r w:rsidRPr="004D46AC">
              <w:t>[0.03, 0.06]</w:t>
            </w:r>
          </w:p>
        </w:tc>
      </w:tr>
      <w:tr w:rsidR="007075D9" w:rsidRPr="004D46AC" w14:paraId="6FC26D16" w14:textId="77777777" w:rsidTr="00B518F1">
        <w:trPr>
          <w:trHeight w:val="300"/>
        </w:trPr>
        <w:tc>
          <w:tcPr>
            <w:tcW w:w="3227" w:type="dxa"/>
            <w:noWrap/>
            <w:vAlign w:val="center"/>
          </w:tcPr>
          <w:p w14:paraId="7BF277DE" w14:textId="77777777" w:rsidR="007075D9" w:rsidRPr="004D46AC" w:rsidRDefault="007075D9" w:rsidP="0090577F">
            <w:pPr>
              <w:spacing w:line="360" w:lineRule="auto"/>
              <w:ind w:firstLine="0"/>
            </w:pPr>
            <w:r w:rsidRPr="004D46AC">
              <w:t>Mania (W5)</w:t>
            </w:r>
          </w:p>
        </w:tc>
        <w:tc>
          <w:tcPr>
            <w:tcW w:w="1276" w:type="dxa"/>
            <w:gridSpan w:val="3"/>
            <w:noWrap/>
            <w:vAlign w:val="center"/>
          </w:tcPr>
          <w:p w14:paraId="1FED8699" w14:textId="77777777" w:rsidR="007075D9" w:rsidRPr="004D46AC" w:rsidRDefault="007075D9" w:rsidP="0090577F">
            <w:pPr>
              <w:spacing w:line="360" w:lineRule="auto"/>
              <w:ind w:firstLine="0"/>
            </w:pPr>
            <w:r w:rsidRPr="004D46AC">
              <w:t xml:space="preserve">0.04** </w:t>
            </w:r>
          </w:p>
        </w:tc>
        <w:tc>
          <w:tcPr>
            <w:tcW w:w="767" w:type="dxa"/>
            <w:noWrap/>
            <w:vAlign w:val="center"/>
          </w:tcPr>
          <w:p w14:paraId="7651544D" w14:textId="77777777" w:rsidR="007075D9" w:rsidRPr="004D46AC" w:rsidRDefault="007075D9" w:rsidP="0090577F">
            <w:pPr>
              <w:spacing w:line="360" w:lineRule="auto"/>
              <w:ind w:firstLine="0"/>
            </w:pPr>
            <w:r w:rsidRPr="004D46AC">
              <w:t>0.01</w:t>
            </w:r>
          </w:p>
        </w:tc>
        <w:tc>
          <w:tcPr>
            <w:tcW w:w="1104" w:type="dxa"/>
            <w:gridSpan w:val="2"/>
            <w:noWrap/>
            <w:vAlign w:val="center"/>
          </w:tcPr>
          <w:p w14:paraId="291BFB12" w14:textId="77777777" w:rsidR="007075D9" w:rsidRPr="004D46AC" w:rsidRDefault="007075D9" w:rsidP="0090577F">
            <w:pPr>
              <w:spacing w:line="360" w:lineRule="auto"/>
              <w:ind w:firstLine="0"/>
            </w:pPr>
            <w:r w:rsidRPr="004D46AC">
              <w:t>3.18</w:t>
            </w:r>
          </w:p>
        </w:tc>
        <w:tc>
          <w:tcPr>
            <w:tcW w:w="1926" w:type="dxa"/>
          </w:tcPr>
          <w:p w14:paraId="317BA700" w14:textId="77777777" w:rsidR="007075D9" w:rsidRPr="004D46AC" w:rsidRDefault="007075D9" w:rsidP="0090577F">
            <w:pPr>
              <w:spacing w:line="360" w:lineRule="auto"/>
              <w:ind w:firstLine="0"/>
            </w:pPr>
            <w:r w:rsidRPr="004D46AC">
              <w:t>[0.02, 0.07]</w:t>
            </w:r>
          </w:p>
        </w:tc>
      </w:tr>
      <w:tr w:rsidR="007075D9" w:rsidRPr="004D46AC" w14:paraId="73D9756A" w14:textId="77777777" w:rsidTr="00B518F1">
        <w:trPr>
          <w:trHeight w:val="300"/>
        </w:trPr>
        <w:tc>
          <w:tcPr>
            <w:tcW w:w="8300" w:type="dxa"/>
            <w:gridSpan w:val="8"/>
            <w:noWrap/>
            <w:vAlign w:val="center"/>
          </w:tcPr>
          <w:p w14:paraId="10DFC6C7" w14:textId="77777777" w:rsidR="007075D9" w:rsidRPr="004D46AC" w:rsidRDefault="007075D9" w:rsidP="0090577F">
            <w:pPr>
              <w:spacing w:line="360" w:lineRule="auto"/>
              <w:ind w:firstLine="0"/>
              <w:rPr>
                <w:b/>
                <w:bCs/>
              </w:rPr>
            </w:pPr>
            <w:r w:rsidRPr="004D46AC">
              <w:rPr>
                <w:b/>
                <w:bCs/>
              </w:rPr>
              <w:t xml:space="preserve">Wave 9 Depression (Sum): McFadden’s </w:t>
            </w:r>
            <w:r w:rsidRPr="004D46AC">
              <w:rPr>
                <w:b/>
                <w:bCs/>
                <w:i/>
                <w:iCs/>
              </w:rPr>
              <w:t>R</w:t>
            </w:r>
            <w:r w:rsidRPr="004D46AC">
              <w:rPr>
                <w:b/>
                <w:bCs/>
                <w:vertAlign w:val="superscript"/>
              </w:rPr>
              <w:t>2</w:t>
            </w:r>
            <w:r w:rsidRPr="004D46AC">
              <w:rPr>
                <w:rFonts w:hint="eastAsia"/>
                <w:b/>
                <w:bCs/>
                <w:vertAlign w:val="superscript"/>
              </w:rPr>
              <w:t xml:space="preserve"> </w:t>
            </w:r>
            <w:r w:rsidRPr="004D46AC">
              <w:rPr>
                <w:b/>
                <w:bCs/>
              </w:rPr>
              <w:t>=</w:t>
            </w:r>
            <w:r w:rsidRPr="004D46AC">
              <w:rPr>
                <w:rFonts w:hint="eastAsia"/>
                <w:b/>
                <w:bCs/>
              </w:rPr>
              <w:t xml:space="preserve"> </w:t>
            </w:r>
            <w:r w:rsidRPr="004D46AC">
              <w:rPr>
                <w:b/>
                <w:bCs/>
              </w:rPr>
              <w:t>.47</w:t>
            </w:r>
          </w:p>
        </w:tc>
      </w:tr>
      <w:tr w:rsidR="007075D9" w:rsidRPr="004D46AC" w14:paraId="6292F9D3" w14:textId="77777777" w:rsidTr="00B518F1">
        <w:trPr>
          <w:trHeight w:val="300"/>
        </w:trPr>
        <w:tc>
          <w:tcPr>
            <w:tcW w:w="3227" w:type="dxa"/>
            <w:noWrap/>
            <w:vAlign w:val="center"/>
          </w:tcPr>
          <w:p w14:paraId="787A5B64" w14:textId="77777777" w:rsidR="007075D9" w:rsidRPr="004D46AC" w:rsidRDefault="007075D9" w:rsidP="0090577F">
            <w:pPr>
              <w:spacing w:line="360" w:lineRule="auto"/>
              <w:ind w:firstLine="0"/>
            </w:pPr>
            <w:r w:rsidRPr="004D46AC">
              <w:t>(Intercept)</w:t>
            </w:r>
          </w:p>
        </w:tc>
        <w:tc>
          <w:tcPr>
            <w:tcW w:w="1276" w:type="dxa"/>
            <w:gridSpan w:val="3"/>
            <w:noWrap/>
            <w:vAlign w:val="center"/>
          </w:tcPr>
          <w:p w14:paraId="0910FD26" w14:textId="77777777" w:rsidR="007075D9" w:rsidRPr="004D46AC" w:rsidRDefault="007075D9" w:rsidP="0090577F">
            <w:pPr>
              <w:spacing w:line="360" w:lineRule="auto"/>
              <w:ind w:firstLine="0"/>
            </w:pPr>
            <w:r w:rsidRPr="004D46AC">
              <w:t>-0.17</w:t>
            </w:r>
          </w:p>
        </w:tc>
        <w:tc>
          <w:tcPr>
            <w:tcW w:w="767" w:type="dxa"/>
            <w:noWrap/>
            <w:vAlign w:val="center"/>
          </w:tcPr>
          <w:p w14:paraId="6BCC4AFB" w14:textId="77777777" w:rsidR="007075D9" w:rsidRPr="004D46AC" w:rsidRDefault="007075D9" w:rsidP="0090577F">
            <w:pPr>
              <w:spacing w:line="360" w:lineRule="auto"/>
              <w:ind w:firstLine="0"/>
            </w:pPr>
            <w:r w:rsidRPr="004D46AC">
              <w:t>0.46</w:t>
            </w:r>
          </w:p>
        </w:tc>
        <w:tc>
          <w:tcPr>
            <w:tcW w:w="1104" w:type="dxa"/>
            <w:gridSpan w:val="2"/>
            <w:noWrap/>
            <w:vAlign w:val="center"/>
          </w:tcPr>
          <w:p w14:paraId="17657785" w14:textId="77777777" w:rsidR="007075D9" w:rsidRPr="004D46AC" w:rsidRDefault="007075D9" w:rsidP="0090577F">
            <w:pPr>
              <w:spacing w:line="360" w:lineRule="auto"/>
              <w:ind w:firstLine="0"/>
            </w:pPr>
            <w:r w:rsidRPr="004D46AC">
              <w:t xml:space="preserve">0.911 </w:t>
            </w:r>
          </w:p>
        </w:tc>
        <w:tc>
          <w:tcPr>
            <w:tcW w:w="1926" w:type="dxa"/>
          </w:tcPr>
          <w:p w14:paraId="2AA6F85E" w14:textId="77777777" w:rsidR="007075D9" w:rsidRPr="004D46AC" w:rsidRDefault="007075D9" w:rsidP="0090577F">
            <w:pPr>
              <w:spacing w:line="360" w:lineRule="auto"/>
              <w:ind w:firstLine="0"/>
            </w:pPr>
          </w:p>
        </w:tc>
      </w:tr>
      <w:tr w:rsidR="007075D9" w:rsidRPr="004D46AC" w14:paraId="26CB82C3" w14:textId="77777777" w:rsidTr="00B518F1">
        <w:trPr>
          <w:trHeight w:val="300"/>
        </w:trPr>
        <w:tc>
          <w:tcPr>
            <w:tcW w:w="3227" w:type="dxa"/>
            <w:noWrap/>
            <w:vAlign w:val="center"/>
          </w:tcPr>
          <w:p w14:paraId="3B86FF06" w14:textId="77777777" w:rsidR="007075D9" w:rsidRPr="004D46AC" w:rsidRDefault="007075D9" w:rsidP="0090577F">
            <w:pPr>
              <w:spacing w:line="360" w:lineRule="auto"/>
              <w:ind w:firstLine="0"/>
            </w:pPr>
            <w:bookmarkStart w:id="228" w:name="_Hlk216182696"/>
            <w:r w:rsidRPr="004D46AC">
              <w:t>ACEs (W5)</w:t>
            </w:r>
          </w:p>
        </w:tc>
        <w:tc>
          <w:tcPr>
            <w:tcW w:w="1276" w:type="dxa"/>
            <w:gridSpan w:val="3"/>
            <w:noWrap/>
            <w:vAlign w:val="center"/>
          </w:tcPr>
          <w:p w14:paraId="44F26E2F" w14:textId="77777777" w:rsidR="007075D9" w:rsidRPr="004D46AC" w:rsidRDefault="007075D9" w:rsidP="0090577F">
            <w:pPr>
              <w:spacing w:line="360" w:lineRule="auto"/>
              <w:ind w:firstLine="0"/>
            </w:pPr>
            <w:r w:rsidRPr="004D46AC">
              <w:t>0.11**</w:t>
            </w:r>
          </w:p>
        </w:tc>
        <w:tc>
          <w:tcPr>
            <w:tcW w:w="767" w:type="dxa"/>
            <w:noWrap/>
            <w:vAlign w:val="center"/>
          </w:tcPr>
          <w:p w14:paraId="2379D539" w14:textId="77777777" w:rsidR="007075D9" w:rsidRPr="004D46AC" w:rsidRDefault="007075D9" w:rsidP="0090577F">
            <w:pPr>
              <w:spacing w:line="360" w:lineRule="auto"/>
              <w:ind w:firstLine="0"/>
            </w:pPr>
            <w:r w:rsidRPr="004D46AC">
              <w:t>0.04</w:t>
            </w:r>
          </w:p>
        </w:tc>
        <w:tc>
          <w:tcPr>
            <w:tcW w:w="1104" w:type="dxa"/>
            <w:gridSpan w:val="2"/>
            <w:noWrap/>
            <w:vAlign w:val="center"/>
          </w:tcPr>
          <w:p w14:paraId="13F59E83" w14:textId="77777777" w:rsidR="007075D9" w:rsidRPr="004D46AC" w:rsidRDefault="007075D9" w:rsidP="0090577F">
            <w:pPr>
              <w:spacing w:line="360" w:lineRule="auto"/>
              <w:ind w:firstLine="0"/>
            </w:pPr>
            <w:r w:rsidRPr="004D46AC">
              <w:t>2.66</w:t>
            </w:r>
          </w:p>
        </w:tc>
        <w:tc>
          <w:tcPr>
            <w:tcW w:w="1926" w:type="dxa"/>
          </w:tcPr>
          <w:p w14:paraId="50CEC0E9" w14:textId="77777777" w:rsidR="007075D9" w:rsidRPr="004D46AC" w:rsidRDefault="007075D9" w:rsidP="0090577F">
            <w:pPr>
              <w:spacing w:line="360" w:lineRule="auto"/>
              <w:ind w:firstLine="0"/>
            </w:pPr>
            <w:r w:rsidRPr="004D46AC">
              <w:t>[0.03, 0.19]</w:t>
            </w:r>
          </w:p>
        </w:tc>
      </w:tr>
      <w:tr w:rsidR="007075D9" w:rsidRPr="004D46AC" w14:paraId="66E674CD" w14:textId="77777777" w:rsidTr="00B518F1">
        <w:trPr>
          <w:trHeight w:val="300"/>
        </w:trPr>
        <w:tc>
          <w:tcPr>
            <w:tcW w:w="3227" w:type="dxa"/>
            <w:noWrap/>
            <w:vAlign w:val="center"/>
          </w:tcPr>
          <w:p w14:paraId="68643DB1" w14:textId="77777777" w:rsidR="007075D9" w:rsidRPr="004D46AC" w:rsidRDefault="007075D9" w:rsidP="0090577F">
            <w:pPr>
              <w:spacing w:line="360" w:lineRule="auto"/>
              <w:ind w:firstLine="0"/>
            </w:pPr>
            <w:r w:rsidRPr="004D46AC">
              <w:t>Depression (W5)</w:t>
            </w:r>
          </w:p>
        </w:tc>
        <w:tc>
          <w:tcPr>
            <w:tcW w:w="1276" w:type="dxa"/>
            <w:gridSpan w:val="3"/>
            <w:noWrap/>
            <w:vAlign w:val="center"/>
          </w:tcPr>
          <w:p w14:paraId="689F9ABF" w14:textId="77777777" w:rsidR="007075D9" w:rsidRPr="004D46AC" w:rsidRDefault="007075D9" w:rsidP="0090577F">
            <w:pPr>
              <w:spacing w:line="360" w:lineRule="auto"/>
              <w:ind w:firstLine="0"/>
            </w:pPr>
            <w:r w:rsidRPr="004D46AC">
              <w:t>0.06***</w:t>
            </w:r>
          </w:p>
        </w:tc>
        <w:tc>
          <w:tcPr>
            <w:tcW w:w="767" w:type="dxa"/>
            <w:noWrap/>
            <w:vAlign w:val="center"/>
          </w:tcPr>
          <w:p w14:paraId="4E007D5C" w14:textId="77777777" w:rsidR="007075D9" w:rsidRPr="004D46AC" w:rsidRDefault="007075D9" w:rsidP="0090577F">
            <w:pPr>
              <w:spacing w:line="360" w:lineRule="auto"/>
              <w:ind w:firstLine="0"/>
            </w:pPr>
            <w:r w:rsidRPr="004D46AC">
              <w:t>0.01</w:t>
            </w:r>
          </w:p>
        </w:tc>
        <w:tc>
          <w:tcPr>
            <w:tcW w:w="1104" w:type="dxa"/>
            <w:gridSpan w:val="2"/>
            <w:noWrap/>
            <w:vAlign w:val="center"/>
          </w:tcPr>
          <w:p w14:paraId="03D60273" w14:textId="77777777" w:rsidR="007075D9" w:rsidRPr="004D46AC" w:rsidRDefault="007075D9" w:rsidP="0090577F">
            <w:pPr>
              <w:spacing w:line="360" w:lineRule="auto"/>
              <w:ind w:firstLine="0"/>
            </w:pPr>
            <w:r w:rsidRPr="004D46AC">
              <w:t>5.30</w:t>
            </w:r>
          </w:p>
        </w:tc>
        <w:tc>
          <w:tcPr>
            <w:tcW w:w="1926" w:type="dxa"/>
          </w:tcPr>
          <w:p w14:paraId="4428A8F4" w14:textId="77777777" w:rsidR="007075D9" w:rsidRPr="004D46AC" w:rsidRDefault="007075D9" w:rsidP="0090577F">
            <w:pPr>
              <w:spacing w:line="360" w:lineRule="auto"/>
              <w:ind w:firstLine="0"/>
            </w:pPr>
            <w:r w:rsidRPr="004D46AC">
              <w:t>[0.04, 0.08]</w:t>
            </w:r>
          </w:p>
        </w:tc>
      </w:tr>
      <w:tr w:rsidR="007075D9" w:rsidRPr="004D46AC" w14:paraId="4908D4F0" w14:textId="77777777" w:rsidTr="00B518F1">
        <w:trPr>
          <w:trHeight w:val="300"/>
        </w:trPr>
        <w:tc>
          <w:tcPr>
            <w:tcW w:w="3227" w:type="dxa"/>
            <w:noWrap/>
            <w:vAlign w:val="center"/>
          </w:tcPr>
          <w:p w14:paraId="321BC659" w14:textId="77777777" w:rsidR="007075D9" w:rsidRPr="004D46AC" w:rsidRDefault="007075D9" w:rsidP="0090577F">
            <w:pPr>
              <w:spacing w:line="360" w:lineRule="auto"/>
              <w:ind w:firstLine="0"/>
            </w:pPr>
            <w:r w:rsidRPr="004D46AC">
              <w:lastRenderedPageBreak/>
              <w:t>Anxiety (W9)</w:t>
            </w:r>
          </w:p>
        </w:tc>
        <w:tc>
          <w:tcPr>
            <w:tcW w:w="1276" w:type="dxa"/>
            <w:gridSpan w:val="3"/>
            <w:noWrap/>
            <w:vAlign w:val="center"/>
          </w:tcPr>
          <w:p w14:paraId="6E95110E" w14:textId="77777777" w:rsidR="007075D9" w:rsidRPr="004D46AC" w:rsidRDefault="007075D9" w:rsidP="0090577F">
            <w:pPr>
              <w:spacing w:line="360" w:lineRule="auto"/>
              <w:ind w:firstLine="0"/>
            </w:pPr>
            <w:r w:rsidRPr="004D46AC">
              <w:t>0.13***</w:t>
            </w:r>
          </w:p>
        </w:tc>
        <w:tc>
          <w:tcPr>
            <w:tcW w:w="767" w:type="dxa"/>
            <w:noWrap/>
            <w:vAlign w:val="center"/>
          </w:tcPr>
          <w:p w14:paraId="67BC4649" w14:textId="77777777" w:rsidR="007075D9" w:rsidRPr="004D46AC" w:rsidRDefault="007075D9" w:rsidP="0090577F">
            <w:pPr>
              <w:spacing w:line="360" w:lineRule="auto"/>
              <w:ind w:firstLine="0"/>
            </w:pPr>
            <w:r w:rsidRPr="004D46AC">
              <w:t>0.03</w:t>
            </w:r>
          </w:p>
        </w:tc>
        <w:tc>
          <w:tcPr>
            <w:tcW w:w="1104" w:type="dxa"/>
            <w:gridSpan w:val="2"/>
            <w:noWrap/>
            <w:vAlign w:val="center"/>
          </w:tcPr>
          <w:p w14:paraId="3CE156A1" w14:textId="77777777" w:rsidR="007075D9" w:rsidRPr="004D46AC" w:rsidRDefault="007075D9" w:rsidP="0090577F">
            <w:pPr>
              <w:spacing w:line="360" w:lineRule="auto"/>
              <w:ind w:firstLine="0"/>
            </w:pPr>
            <w:r w:rsidRPr="004D46AC">
              <w:t>10.90</w:t>
            </w:r>
          </w:p>
        </w:tc>
        <w:tc>
          <w:tcPr>
            <w:tcW w:w="1926" w:type="dxa"/>
          </w:tcPr>
          <w:p w14:paraId="2BC53ED9" w14:textId="77777777" w:rsidR="007075D9" w:rsidRPr="004D46AC" w:rsidRDefault="007075D9" w:rsidP="0090577F">
            <w:pPr>
              <w:spacing w:line="360" w:lineRule="auto"/>
              <w:ind w:firstLine="0"/>
            </w:pPr>
            <w:r w:rsidRPr="004D46AC">
              <w:t>[0.11, 0.15]</w:t>
            </w:r>
          </w:p>
        </w:tc>
      </w:tr>
      <w:tr w:rsidR="007075D9" w:rsidRPr="004D46AC" w14:paraId="711FCCE2" w14:textId="77777777" w:rsidTr="00B518F1">
        <w:trPr>
          <w:trHeight w:val="300"/>
        </w:trPr>
        <w:tc>
          <w:tcPr>
            <w:tcW w:w="3227" w:type="dxa"/>
            <w:noWrap/>
            <w:vAlign w:val="center"/>
          </w:tcPr>
          <w:p w14:paraId="72DDC750" w14:textId="77777777" w:rsidR="007075D9" w:rsidRPr="004D46AC" w:rsidRDefault="007075D9" w:rsidP="0090577F">
            <w:pPr>
              <w:spacing w:line="360" w:lineRule="auto"/>
              <w:ind w:firstLine="0"/>
            </w:pPr>
            <w:proofErr w:type="spellStart"/>
            <w:r w:rsidRPr="004D46AC">
              <w:t>IoU</w:t>
            </w:r>
            <w:proofErr w:type="spellEnd"/>
            <w:r w:rsidRPr="004D46AC">
              <w:t>-P (W1)</w:t>
            </w:r>
          </w:p>
        </w:tc>
        <w:tc>
          <w:tcPr>
            <w:tcW w:w="1276" w:type="dxa"/>
            <w:gridSpan w:val="3"/>
            <w:noWrap/>
            <w:vAlign w:val="center"/>
          </w:tcPr>
          <w:p w14:paraId="413436E2" w14:textId="77777777" w:rsidR="007075D9" w:rsidRPr="004D46AC" w:rsidRDefault="007075D9" w:rsidP="0090577F">
            <w:pPr>
              <w:spacing w:line="360" w:lineRule="auto"/>
              <w:ind w:firstLine="0"/>
            </w:pPr>
            <w:r w:rsidRPr="004D46AC">
              <w:t>0.02*</w:t>
            </w:r>
          </w:p>
        </w:tc>
        <w:tc>
          <w:tcPr>
            <w:tcW w:w="767" w:type="dxa"/>
            <w:noWrap/>
            <w:vAlign w:val="center"/>
          </w:tcPr>
          <w:p w14:paraId="0B2A4875" w14:textId="77777777" w:rsidR="007075D9" w:rsidRPr="004D46AC" w:rsidRDefault="007075D9" w:rsidP="0090577F">
            <w:pPr>
              <w:spacing w:line="360" w:lineRule="auto"/>
              <w:ind w:firstLine="0"/>
            </w:pPr>
            <w:r w:rsidRPr="004D46AC">
              <w:t>0.01</w:t>
            </w:r>
          </w:p>
        </w:tc>
        <w:tc>
          <w:tcPr>
            <w:tcW w:w="1104" w:type="dxa"/>
            <w:gridSpan w:val="2"/>
            <w:noWrap/>
            <w:vAlign w:val="center"/>
          </w:tcPr>
          <w:p w14:paraId="702A6780" w14:textId="77777777" w:rsidR="007075D9" w:rsidRPr="004D46AC" w:rsidRDefault="007075D9" w:rsidP="0090577F">
            <w:pPr>
              <w:spacing w:line="360" w:lineRule="auto"/>
              <w:ind w:firstLine="0"/>
            </w:pPr>
            <w:r w:rsidRPr="004D46AC">
              <w:t>2.13</w:t>
            </w:r>
          </w:p>
        </w:tc>
        <w:tc>
          <w:tcPr>
            <w:tcW w:w="1926" w:type="dxa"/>
          </w:tcPr>
          <w:p w14:paraId="25D17FC7" w14:textId="77777777" w:rsidR="007075D9" w:rsidRPr="004D46AC" w:rsidRDefault="007075D9" w:rsidP="0090577F">
            <w:pPr>
              <w:spacing w:line="360" w:lineRule="auto"/>
              <w:ind w:firstLine="0"/>
            </w:pPr>
            <w:r w:rsidRPr="004D46AC">
              <w:t>[0.003, 0.05]</w:t>
            </w:r>
          </w:p>
        </w:tc>
      </w:tr>
      <w:tr w:rsidR="007075D9" w:rsidRPr="004D46AC" w14:paraId="4A081806" w14:textId="77777777" w:rsidTr="00B518F1">
        <w:trPr>
          <w:trHeight w:val="300"/>
        </w:trPr>
        <w:tc>
          <w:tcPr>
            <w:tcW w:w="3227" w:type="dxa"/>
            <w:noWrap/>
            <w:vAlign w:val="center"/>
          </w:tcPr>
          <w:p w14:paraId="6C03E0E7" w14:textId="77777777" w:rsidR="007075D9" w:rsidRPr="004D46AC" w:rsidRDefault="007075D9" w:rsidP="0090577F">
            <w:pPr>
              <w:spacing w:line="360" w:lineRule="auto"/>
              <w:ind w:firstLine="0"/>
            </w:pPr>
            <w:r w:rsidRPr="004D46AC">
              <w:t>Attachment: Anxiety (W6)</w:t>
            </w:r>
          </w:p>
        </w:tc>
        <w:tc>
          <w:tcPr>
            <w:tcW w:w="1276" w:type="dxa"/>
            <w:gridSpan w:val="3"/>
            <w:noWrap/>
            <w:vAlign w:val="center"/>
          </w:tcPr>
          <w:p w14:paraId="6BD7DFD9" w14:textId="77777777" w:rsidR="007075D9" w:rsidRPr="004D46AC" w:rsidRDefault="007075D9" w:rsidP="0090577F">
            <w:pPr>
              <w:spacing w:line="360" w:lineRule="auto"/>
              <w:ind w:firstLine="0"/>
            </w:pPr>
            <w:r w:rsidRPr="004D46AC">
              <w:t>0.01*</w:t>
            </w:r>
          </w:p>
        </w:tc>
        <w:tc>
          <w:tcPr>
            <w:tcW w:w="767" w:type="dxa"/>
            <w:noWrap/>
            <w:vAlign w:val="center"/>
          </w:tcPr>
          <w:p w14:paraId="53B37141" w14:textId="77777777" w:rsidR="007075D9" w:rsidRPr="004D46AC" w:rsidRDefault="007075D9" w:rsidP="0090577F">
            <w:pPr>
              <w:spacing w:line="360" w:lineRule="auto"/>
              <w:ind w:firstLine="0"/>
            </w:pPr>
            <w:r w:rsidRPr="004D46AC">
              <w:t>0.005</w:t>
            </w:r>
          </w:p>
        </w:tc>
        <w:tc>
          <w:tcPr>
            <w:tcW w:w="1104" w:type="dxa"/>
            <w:gridSpan w:val="2"/>
            <w:noWrap/>
            <w:vAlign w:val="center"/>
          </w:tcPr>
          <w:p w14:paraId="260CBA55" w14:textId="77777777" w:rsidR="007075D9" w:rsidRPr="004D46AC" w:rsidRDefault="007075D9" w:rsidP="0090577F">
            <w:pPr>
              <w:spacing w:line="360" w:lineRule="auto"/>
              <w:ind w:firstLine="0"/>
            </w:pPr>
            <w:r w:rsidRPr="004D46AC">
              <w:t>2.23</w:t>
            </w:r>
          </w:p>
        </w:tc>
        <w:tc>
          <w:tcPr>
            <w:tcW w:w="1926" w:type="dxa"/>
          </w:tcPr>
          <w:p w14:paraId="5155220C" w14:textId="77777777" w:rsidR="007075D9" w:rsidRPr="004D46AC" w:rsidRDefault="007075D9" w:rsidP="0090577F">
            <w:pPr>
              <w:spacing w:line="360" w:lineRule="auto"/>
              <w:ind w:firstLine="0"/>
            </w:pPr>
            <w:r w:rsidRPr="004D46AC">
              <w:t>[0.002, 0.03]</w:t>
            </w:r>
          </w:p>
        </w:tc>
      </w:tr>
      <w:tr w:rsidR="007075D9" w:rsidRPr="004D46AC" w14:paraId="65970246" w14:textId="77777777" w:rsidTr="00B518F1">
        <w:trPr>
          <w:trHeight w:val="300"/>
        </w:trPr>
        <w:tc>
          <w:tcPr>
            <w:tcW w:w="3227" w:type="dxa"/>
            <w:noWrap/>
            <w:vAlign w:val="center"/>
          </w:tcPr>
          <w:p w14:paraId="338E8D13" w14:textId="77777777" w:rsidR="007075D9" w:rsidRPr="004D46AC" w:rsidRDefault="007075D9" w:rsidP="0090577F">
            <w:pPr>
              <w:spacing w:line="360" w:lineRule="auto"/>
              <w:ind w:firstLine="0"/>
            </w:pPr>
            <w:r w:rsidRPr="004D46AC">
              <w:t>PLEs (W5)</w:t>
            </w:r>
          </w:p>
        </w:tc>
        <w:tc>
          <w:tcPr>
            <w:tcW w:w="1276" w:type="dxa"/>
            <w:gridSpan w:val="3"/>
            <w:noWrap/>
            <w:vAlign w:val="center"/>
          </w:tcPr>
          <w:p w14:paraId="7EC6E525" w14:textId="77777777" w:rsidR="007075D9" w:rsidRPr="004D46AC" w:rsidRDefault="007075D9" w:rsidP="0090577F">
            <w:pPr>
              <w:spacing w:line="360" w:lineRule="auto"/>
              <w:ind w:firstLine="0"/>
            </w:pPr>
            <w:r w:rsidRPr="004D46AC">
              <w:t>-0.14*</w:t>
            </w:r>
          </w:p>
        </w:tc>
        <w:tc>
          <w:tcPr>
            <w:tcW w:w="767" w:type="dxa"/>
            <w:noWrap/>
            <w:vAlign w:val="center"/>
          </w:tcPr>
          <w:p w14:paraId="2F51B514" w14:textId="77777777" w:rsidR="007075D9" w:rsidRPr="004D46AC" w:rsidRDefault="007075D9" w:rsidP="0090577F">
            <w:pPr>
              <w:spacing w:line="360" w:lineRule="auto"/>
              <w:ind w:firstLine="0"/>
            </w:pPr>
            <w:r w:rsidRPr="004D46AC">
              <w:t>0.06</w:t>
            </w:r>
          </w:p>
        </w:tc>
        <w:tc>
          <w:tcPr>
            <w:tcW w:w="1104" w:type="dxa"/>
            <w:gridSpan w:val="2"/>
            <w:noWrap/>
            <w:vAlign w:val="center"/>
          </w:tcPr>
          <w:p w14:paraId="6C9C84D3" w14:textId="77777777" w:rsidR="007075D9" w:rsidRPr="004D46AC" w:rsidRDefault="007075D9" w:rsidP="0090577F">
            <w:pPr>
              <w:spacing w:line="360" w:lineRule="auto"/>
              <w:ind w:firstLine="0"/>
            </w:pPr>
            <w:r w:rsidRPr="004D46AC">
              <w:t>-2.28</w:t>
            </w:r>
          </w:p>
        </w:tc>
        <w:tc>
          <w:tcPr>
            <w:tcW w:w="1926" w:type="dxa"/>
          </w:tcPr>
          <w:p w14:paraId="4BA07435" w14:textId="77777777" w:rsidR="007075D9" w:rsidRPr="004D46AC" w:rsidRDefault="007075D9" w:rsidP="0090577F">
            <w:pPr>
              <w:spacing w:line="360" w:lineRule="auto"/>
              <w:ind w:firstLine="0"/>
            </w:pPr>
            <w:r w:rsidRPr="004D46AC">
              <w:t>[-0.27, -0.02]</w:t>
            </w:r>
          </w:p>
        </w:tc>
      </w:tr>
      <w:bookmarkEnd w:id="228"/>
      <w:tr w:rsidR="007075D9" w:rsidRPr="004D46AC" w14:paraId="292CE2BB" w14:textId="77777777" w:rsidTr="00B518F1">
        <w:trPr>
          <w:trHeight w:val="300"/>
        </w:trPr>
        <w:tc>
          <w:tcPr>
            <w:tcW w:w="8300" w:type="dxa"/>
            <w:gridSpan w:val="8"/>
            <w:noWrap/>
            <w:vAlign w:val="center"/>
          </w:tcPr>
          <w:p w14:paraId="6D3F1C48" w14:textId="77777777" w:rsidR="007075D9" w:rsidRPr="004D46AC" w:rsidRDefault="007075D9" w:rsidP="0090577F">
            <w:pPr>
              <w:spacing w:line="360" w:lineRule="auto"/>
              <w:ind w:firstLine="0"/>
              <w:rPr>
                <w:b/>
                <w:bCs/>
              </w:rPr>
            </w:pPr>
            <w:r w:rsidRPr="004D46AC">
              <w:rPr>
                <w:b/>
                <w:bCs/>
              </w:rPr>
              <w:t xml:space="preserve">Wave 5 Mania (Sum): McFadden’s </w:t>
            </w:r>
            <w:r w:rsidRPr="004D46AC">
              <w:rPr>
                <w:b/>
                <w:bCs/>
                <w:i/>
                <w:iCs/>
              </w:rPr>
              <w:t>R</w:t>
            </w:r>
            <w:r w:rsidRPr="004D46AC">
              <w:rPr>
                <w:b/>
                <w:bCs/>
                <w:vertAlign w:val="superscript"/>
              </w:rPr>
              <w:t>2</w:t>
            </w:r>
            <w:r w:rsidRPr="004D46AC">
              <w:rPr>
                <w:rFonts w:hint="eastAsia"/>
                <w:b/>
                <w:bCs/>
                <w:vertAlign w:val="superscript"/>
              </w:rPr>
              <w:t xml:space="preserve"> </w:t>
            </w:r>
            <w:r w:rsidRPr="004D46AC">
              <w:rPr>
                <w:b/>
                <w:bCs/>
              </w:rPr>
              <w:t>=</w:t>
            </w:r>
            <w:r w:rsidRPr="004D46AC">
              <w:rPr>
                <w:rFonts w:hint="eastAsia"/>
                <w:b/>
                <w:bCs/>
              </w:rPr>
              <w:t xml:space="preserve"> </w:t>
            </w:r>
            <w:r w:rsidRPr="004D46AC">
              <w:rPr>
                <w:b/>
                <w:bCs/>
              </w:rPr>
              <w:t>.18</w:t>
            </w:r>
          </w:p>
        </w:tc>
      </w:tr>
      <w:tr w:rsidR="007075D9" w:rsidRPr="004D46AC" w14:paraId="585771AB" w14:textId="77777777" w:rsidTr="00B518F1">
        <w:trPr>
          <w:trHeight w:val="300"/>
        </w:trPr>
        <w:tc>
          <w:tcPr>
            <w:tcW w:w="3227" w:type="dxa"/>
            <w:noWrap/>
            <w:vAlign w:val="center"/>
          </w:tcPr>
          <w:p w14:paraId="3A02DB0D" w14:textId="77777777" w:rsidR="007075D9" w:rsidRPr="004D46AC" w:rsidRDefault="007075D9" w:rsidP="0090577F">
            <w:pPr>
              <w:spacing w:line="360" w:lineRule="auto"/>
              <w:ind w:firstLine="0"/>
            </w:pPr>
            <w:r w:rsidRPr="004D46AC">
              <w:t>(Intercept)</w:t>
            </w:r>
          </w:p>
        </w:tc>
        <w:tc>
          <w:tcPr>
            <w:tcW w:w="1276" w:type="dxa"/>
            <w:gridSpan w:val="3"/>
            <w:noWrap/>
            <w:vAlign w:val="center"/>
          </w:tcPr>
          <w:p w14:paraId="1A9A67A1" w14:textId="77777777" w:rsidR="007075D9" w:rsidRPr="004D46AC" w:rsidRDefault="007075D9" w:rsidP="0090577F">
            <w:pPr>
              <w:spacing w:line="360" w:lineRule="auto"/>
              <w:ind w:firstLine="0"/>
            </w:pPr>
            <w:r w:rsidRPr="004D46AC">
              <w:t>-0.57</w:t>
            </w:r>
          </w:p>
        </w:tc>
        <w:tc>
          <w:tcPr>
            <w:tcW w:w="767" w:type="dxa"/>
            <w:noWrap/>
            <w:vAlign w:val="center"/>
          </w:tcPr>
          <w:p w14:paraId="3086402A" w14:textId="77777777" w:rsidR="007075D9" w:rsidRPr="004D46AC" w:rsidRDefault="007075D9" w:rsidP="0090577F">
            <w:pPr>
              <w:spacing w:line="360" w:lineRule="auto"/>
              <w:ind w:firstLine="0"/>
            </w:pPr>
            <w:r w:rsidRPr="004D46AC">
              <w:t>0.22</w:t>
            </w:r>
          </w:p>
        </w:tc>
        <w:tc>
          <w:tcPr>
            <w:tcW w:w="1104" w:type="dxa"/>
            <w:gridSpan w:val="2"/>
            <w:noWrap/>
            <w:vAlign w:val="center"/>
          </w:tcPr>
          <w:p w14:paraId="29585956" w14:textId="77777777" w:rsidR="007075D9" w:rsidRPr="004D46AC" w:rsidRDefault="007075D9" w:rsidP="0090577F">
            <w:pPr>
              <w:spacing w:line="360" w:lineRule="auto"/>
              <w:ind w:firstLine="0"/>
            </w:pPr>
            <w:r w:rsidRPr="004D46AC">
              <w:t>-2.61</w:t>
            </w:r>
          </w:p>
        </w:tc>
        <w:tc>
          <w:tcPr>
            <w:tcW w:w="1926" w:type="dxa"/>
          </w:tcPr>
          <w:p w14:paraId="3D67F60F" w14:textId="77777777" w:rsidR="007075D9" w:rsidRPr="004D46AC" w:rsidRDefault="007075D9" w:rsidP="0090577F">
            <w:pPr>
              <w:spacing w:line="360" w:lineRule="auto"/>
              <w:ind w:firstLine="0"/>
            </w:pPr>
          </w:p>
        </w:tc>
      </w:tr>
      <w:tr w:rsidR="007075D9" w:rsidRPr="004D46AC" w14:paraId="3FA782F7" w14:textId="77777777" w:rsidTr="00B518F1">
        <w:trPr>
          <w:trHeight w:val="300"/>
        </w:trPr>
        <w:tc>
          <w:tcPr>
            <w:tcW w:w="3227" w:type="dxa"/>
            <w:noWrap/>
            <w:vAlign w:val="center"/>
          </w:tcPr>
          <w:p w14:paraId="2DB08D41" w14:textId="77777777" w:rsidR="007075D9" w:rsidRPr="004D46AC" w:rsidRDefault="007075D9" w:rsidP="0090577F">
            <w:pPr>
              <w:spacing w:line="360" w:lineRule="auto"/>
              <w:ind w:firstLine="0"/>
            </w:pPr>
            <w:r w:rsidRPr="004D46AC">
              <w:t>Age (W5)</w:t>
            </w:r>
          </w:p>
        </w:tc>
        <w:tc>
          <w:tcPr>
            <w:tcW w:w="1276" w:type="dxa"/>
            <w:gridSpan w:val="3"/>
            <w:noWrap/>
            <w:vAlign w:val="center"/>
          </w:tcPr>
          <w:p w14:paraId="6927D22C" w14:textId="77777777" w:rsidR="007075D9" w:rsidRPr="004D46AC" w:rsidRDefault="007075D9" w:rsidP="0090577F">
            <w:pPr>
              <w:spacing w:line="360" w:lineRule="auto"/>
              <w:ind w:firstLine="0"/>
            </w:pPr>
            <w:r w:rsidRPr="004D46AC">
              <w:t>-0.005***</w:t>
            </w:r>
          </w:p>
        </w:tc>
        <w:tc>
          <w:tcPr>
            <w:tcW w:w="767" w:type="dxa"/>
            <w:noWrap/>
            <w:vAlign w:val="center"/>
          </w:tcPr>
          <w:p w14:paraId="37B6E0D7" w14:textId="77777777" w:rsidR="007075D9" w:rsidRPr="004D46AC" w:rsidRDefault="007075D9" w:rsidP="0090577F">
            <w:pPr>
              <w:spacing w:line="360" w:lineRule="auto"/>
              <w:ind w:firstLine="0"/>
            </w:pPr>
            <w:r w:rsidRPr="004D46AC">
              <w:t>0.002</w:t>
            </w:r>
          </w:p>
        </w:tc>
        <w:tc>
          <w:tcPr>
            <w:tcW w:w="1104" w:type="dxa"/>
            <w:gridSpan w:val="2"/>
            <w:noWrap/>
            <w:vAlign w:val="center"/>
          </w:tcPr>
          <w:p w14:paraId="7DDC5F6F" w14:textId="77777777" w:rsidR="007075D9" w:rsidRPr="004D46AC" w:rsidRDefault="007075D9" w:rsidP="0090577F">
            <w:pPr>
              <w:spacing w:line="360" w:lineRule="auto"/>
              <w:ind w:firstLine="0"/>
            </w:pPr>
            <w:r w:rsidRPr="004D46AC">
              <w:t>-3.32</w:t>
            </w:r>
          </w:p>
        </w:tc>
        <w:tc>
          <w:tcPr>
            <w:tcW w:w="1926" w:type="dxa"/>
          </w:tcPr>
          <w:p w14:paraId="0A462288" w14:textId="77777777" w:rsidR="007075D9" w:rsidRPr="004D46AC" w:rsidRDefault="007075D9" w:rsidP="0090577F">
            <w:pPr>
              <w:spacing w:line="360" w:lineRule="auto"/>
              <w:ind w:firstLine="0"/>
            </w:pPr>
            <w:r w:rsidRPr="004D46AC">
              <w:t>[-0.01, 0.0002]</w:t>
            </w:r>
          </w:p>
        </w:tc>
      </w:tr>
      <w:tr w:rsidR="007075D9" w:rsidRPr="004D46AC" w14:paraId="7A67A5B5" w14:textId="77777777" w:rsidTr="00B518F1">
        <w:trPr>
          <w:trHeight w:val="300"/>
        </w:trPr>
        <w:tc>
          <w:tcPr>
            <w:tcW w:w="3227" w:type="dxa"/>
            <w:noWrap/>
            <w:vAlign w:val="center"/>
          </w:tcPr>
          <w:p w14:paraId="1858031E" w14:textId="77777777" w:rsidR="007075D9" w:rsidRPr="004D46AC" w:rsidRDefault="007075D9" w:rsidP="0090577F">
            <w:pPr>
              <w:spacing w:line="360" w:lineRule="auto"/>
              <w:ind w:firstLine="0"/>
            </w:pPr>
            <w:r w:rsidRPr="004D46AC">
              <w:t>Gender (W5)</w:t>
            </w:r>
          </w:p>
        </w:tc>
        <w:tc>
          <w:tcPr>
            <w:tcW w:w="1276" w:type="dxa"/>
            <w:gridSpan w:val="3"/>
            <w:noWrap/>
            <w:vAlign w:val="center"/>
          </w:tcPr>
          <w:p w14:paraId="037C5105" w14:textId="77777777" w:rsidR="007075D9" w:rsidRPr="004D46AC" w:rsidRDefault="007075D9" w:rsidP="0090577F">
            <w:pPr>
              <w:spacing w:line="360" w:lineRule="auto"/>
              <w:ind w:firstLine="0"/>
            </w:pPr>
            <w:r w:rsidRPr="004D46AC">
              <w:t>-0.13**</w:t>
            </w:r>
          </w:p>
        </w:tc>
        <w:tc>
          <w:tcPr>
            <w:tcW w:w="767" w:type="dxa"/>
            <w:noWrap/>
            <w:vAlign w:val="center"/>
          </w:tcPr>
          <w:p w14:paraId="533CEC5B" w14:textId="77777777" w:rsidR="007075D9" w:rsidRPr="004D46AC" w:rsidRDefault="007075D9" w:rsidP="0090577F">
            <w:pPr>
              <w:spacing w:line="360" w:lineRule="auto"/>
              <w:ind w:firstLine="0"/>
            </w:pPr>
            <w:r w:rsidRPr="004D46AC">
              <w:t>0.04</w:t>
            </w:r>
          </w:p>
        </w:tc>
        <w:tc>
          <w:tcPr>
            <w:tcW w:w="1104" w:type="dxa"/>
            <w:gridSpan w:val="2"/>
            <w:noWrap/>
            <w:vAlign w:val="center"/>
          </w:tcPr>
          <w:p w14:paraId="63443A18" w14:textId="77777777" w:rsidR="007075D9" w:rsidRPr="004D46AC" w:rsidRDefault="007075D9" w:rsidP="0090577F">
            <w:pPr>
              <w:spacing w:line="360" w:lineRule="auto"/>
              <w:ind w:firstLine="0"/>
            </w:pPr>
            <w:r w:rsidRPr="004D46AC">
              <w:t>-3.03</w:t>
            </w:r>
          </w:p>
        </w:tc>
        <w:tc>
          <w:tcPr>
            <w:tcW w:w="1926" w:type="dxa"/>
          </w:tcPr>
          <w:p w14:paraId="4B759F28" w14:textId="77777777" w:rsidR="007075D9" w:rsidRPr="004D46AC" w:rsidRDefault="007075D9" w:rsidP="0090577F">
            <w:pPr>
              <w:spacing w:line="360" w:lineRule="auto"/>
              <w:ind w:firstLine="0"/>
            </w:pPr>
            <w:r w:rsidRPr="004D46AC">
              <w:t>[-0.39, 0.01]</w:t>
            </w:r>
          </w:p>
        </w:tc>
      </w:tr>
      <w:tr w:rsidR="007075D9" w:rsidRPr="004D46AC" w14:paraId="170B09C9" w14:textId="77777777" w:rsidTr="00B518F1">
        <w:trPr>
          <w:trHeight w:val="300"/>
        </w:trPr>
        <w:tc>
          <w:tcPr>
            <w:tcW w:w="3227" w:type="dxa"/>
            <w:noWrap/>
            <w:vAlign w:val="center"/>
          </w:tcPr>
          <w:p w14:paraId="754D0B55" w14:textId="77777777" w:rsidR="007075D9" w:rsidRPr="004D46AC" w:rsidRDefault="007075D9" w:rsidP="0090577F">
            <w:pPr>
              <w:spacing w:line="360" w:lineRule="auto"/>
              <w:ind w:firstLine="0"/>
            </w:pPr>
            <w:r w:rsidRPr="004D46AC">
              <w:t>ACEs (W5)</w:t>
            </w:r>
          </w:p>
        </w:tc>
        <w:tc>
          <w:tcPr>
            <w:tcW w:w="1276" w:type="dxa"/>
            <w:gridSpan w:val="3"/>
            <w:noWrap/>
            <w:vAlign w:val="center"/>
          </w:tcPr>
          <w:p w14:paraId="27B8C261" w14:textId="77777777" w:rsidR="007075D9" w:rsidRPr="004D46AC" w:rsidRDefault="007075D9" w:rsidP="0090577F">
            <w:pPr>
              <w:spacing w:line="360" w:lineRule="auto"/>
              <w:ind w:firstLine="0"/>
            </w:pPr>
            <w:r w:rsidRPr="004D46AC">
              <w:t>0.08***</w:t>
            </w:r>
          </w:p>
        </w:tc>
        <w:tc>
          <w:tcPr>
            <w:tcW w:w="767" w:type="dxa"/>
            <w:noWrap/>
            <w:vAlign w:val="center"/>
          </w:tcPr>
          <w:p w14:paraId="7605B882" w14:textId="77777777" w:rsidR="007075D9" w:rsidRPr="004D46AC" w:rsidRDefault="007075D9" w:rsidP="0090577F">
            <w:pPr>
              <w:spacing w:line="360" w:lineRule="auto"/>
              <w:ind w:firstLine="0"/>
            </w:pPr>
            <w:r w:rsidRPr="004D46AC">
              <w:t>0.02</w:t>
            </w:r>
          </w:p>
        </w:tc>
        <w:tc>
          <w:tcPr>
            <w:tcW w:w="1104" w:type="dxa"/>
            <w:gridSpan w:val="2"/>
            <w:noWrap/>
            <w:vAlign w:val="center"/>
          </w:tcPr>
          <w:p w14:paraId="5484590C" w14:textId="77777777" w:rsidR="007075D9" w:rsidRPr="004D46AC" w:rsidRDefault="007075D9" w:rsidP="0090577F">
            <w:pPr>
              <w:spacing w:line="360" w:lineRule="auto"/>
              <w:ind w:firstLine="0"/>
            </w:pPr>
            <w:r w:rsidRPr="004D46AC">
              <w:t>5.05</w:t>
            </w:r>
          </w:p>
        </w:tc>
        <w:tc>
          <w:tcPr>
            <w:tcW w:w="1926" w:type="dxa"/>
          </w:tcPr>
          <w:p w14:paraId="74590B15" w14:textId="77777777" w:rsidR="007075D9" w:rsidRPr="004D46AC" w:rsidRDefault="007075D9" w:rsidP="0090577F">
            <w:pPr>
              <w:spacing w:line="360" w:lineRule="auto"/>
              <w:ind w:firstLine="0"/>
            </w:pPr>
            <w:r w:rsidRPr="004D46AC">
              <w:t>[0.03, 0.14]</w:t>
            </w:r>
          </w:p>
        </w:tc>
      </w:tr>
      <w:tr w:rsidR="007075D9" w:rsidRPr="004D46AC" w14:paraId="59093F19" w14:textId="77777777" w:rsidTr="00B518F1">
        <w:trPr>
          <w:trHeight w:val="300"/>
        </w:trPr>
        <w:tc>
          <w:tcPr>
            <w:tcW w:w="3227" w:type="dxa"/>
            <w:noWrap/>
            <w:vAlign w:val="center"/>
          </w:tcPr>
          <w:p w14:paraId="1D831FE4" w14:textId="77777777" w:rsidR="007075D9" w:rsidRPr="004D46AC" w:rsidRDefault="007075D9" w:rsidP="0090577F">
            <w:pPr>
              <w:spacing w:line="360" w:lineRule="auto"/>
              <w:ind w:firstLine="0"/>
            </w:pPr>
            <w:r w:rsidRPr="004D46AC">
              <w:t>Neuroticism (W1)</w:t>
            </w:r>
          </w:p>
        </w:tc>
        <w:tc>
          <w:tcPr>
            <w:tcW w:w="1276" w:type="dxa"/>
            <w:gridSpan w:val="3"/>
            <w:noWrap/>
            <w:vAlign w:val="center"/>
          </w:tcPr>
          <w:p w14:paraId="4A6B2653" w14:textId="77777777" w:rsidR="007075D9" w:rsidRPr="004D46AC" w:rsidRDefault="007075D9" w:rsidP="0090577F">
            <w:pPr>
              <w:spacing w:line="360" w:lineRule="auto"/>
              <w:ind w:firstLine="0"/>
            </w:pPr>
            <w:r w:rsidRPr="004D46AC">
              <w:t>0.05***</w:t>
            </w:r>
          </w:p>
        </w:tc>
        <w:tc>
          <w:tcPr>
            <w:tcW w:w="767" w:type="dxa"/>
            <w:noWrap/>
            <w:vAlign w:val="center"/>
          </w:tcPr>
          <w:p w14:paraId="0BAA1659" w14:textId="77777777" w:rsidR="007075D9" w:rsidRPr="004D46AC" w:rsidRDefault="007075D9" w:rsidP="0090577F">
            <w:pPr>
              <w:spacing w:line="360" w:lineRule="auto"/>
              <w:ind w:firstLine="0"/>
            </w:pPr>
            <w:r w:rsidRPr="004D46AC">
              <w:t>0.01</w:t>
            </w:r>
          </w:p>
        </w:tc>
        <w:tc>
          <w:tcPr>
            <w:tcW w:w="1104" w:type="dxa"/>
            <w:gridSpan w:val="2"/>
            <w:noWrap/>
            <w:vAlign w:val="center"/>
          </w:tcPr>
          <w:p w14:paraId="1727FFCB" w14:textId="77777777" w:rsidR="007075D9" w:rsidRPr="004D46AC" w:rsidRDefault="007075D9" w:rsidP="0090577F">
            <w:pPr>
              <w:spacing w:line="360" w:lineRule="auto"/>
              <w:ind w:firstLine="0"/>
            </w:pPr>
            <w:r w:rsidRPr="004D46AC">
              <w:t>3.50</w:t>
            </w:r>
          </w:p>
        </w:tc>
        <w:tc>
          <w:tcPr>
            <w:tcW w:w="1926" w:type="dxa"/>
          </w:tcPr>
          <w:p w14:paraId="748CCFB5" w14:textId="77777777" w:rsidR="007075D9" w:rsidRPr="004D46AC" w:rsidRDefault="007075D9" w:rsidP="0090577F">
            <w:pPr>
              <w:spacing w:line="360" w:lineRule="auto"/>
              <w:ind w:firstLine="0"/>
            </w:pPr>
            <w:r w:rsidRPr="004D46AC">
              <w:t>[0.003, 0.10]</w:t>
            </w:r>
          </w:p>
        </w:tc>
      </w:tr>
      <w:tr w:rsidR="007075D9" w:rsidRPr="004D46AC" w14:paraId="6EBDCF0D" w14:textId="77777777" w:rsidTr="00B518F1">
        <w:trPr>
          <w:trHeight w:val="300"/>
        </w:trPr>
        <w:tc>
          <w:tcPr>
            <w:tcW w:w="3227" w:type="dxa"/>
            <w:noWrap/>
            <w:vAlign w:val="center"/>
          </w:tcPr>
          <w:p w14:paraId="52C69519" w14:textId="77777777" w:rsidR="007075D9" w:rsidRPr="004D46AC" w:rsidRDefault="007075D9" w:rsidP="0090577F">
            <w:pPr>
              <w:spacing w:line="360" w:lineRule="auto"/>
              <w:ind w:firstLine="0"/>
            </w:pPr>
            <w:r w:rsidRPr="004D46AC">
              <w:t>Openness (W1)</w:t>
            </w:r>
          </w:p>
        </w:tc>
        <w:tc>
          <w:tcPr>
            <w:tcW w:w="1276" w:type="dxa"/>
            <w:gridSpan w:val="3"/>
            <w:noWrap/>
            <w:vAlign w:val="center"/>
          </w:tcPr>
          <w:p w14:paraId="2752B2F4" w14:textId="77777777" w:rsidR="007075D9" w:rsidRPr="004D46AC" w:rsidRDefault="007075D9" w:rsidP="0090577F">
            <w:pPr>
              <w:spacing w:line="360" w:lineRule="auto"/>
              <w:ind w:firstLine="0"/>
            </w:pPr>
            <w:r w:rsidRPr="004D46AC">
              <w:t>0.03*</w:t>
            </w:r>
          </w:p>
        </w:tc>
        <w:tc>
          <w:tcPr>
            <w:tcW w:w="767" w:type="dxa"/>
            <w:noWrap/>
            <w:vAlign w:val="center"/>
          </w:tcPr>
          <w:p w14:paraId="2AA8106F" w14:textId="77777777" w:rsidR="007075D9" w:rsidRPr="004D46AC" w:rsidRDefault="007075D9" w:rsidP="0090577F">
            <w:pPr>
              <w:spacing w:line="360" w:lineRule="auto"/>
              <w:ind w:firstLine="0"/>
            </w:pPr>
            <w:r w:rsidRPr="004D46AC">
              <w:t>0.01</w:t>
            </w:r>
          </w:p>
        </w:tc>
        <w:tc>
          <w:tcPr>
            <w:tcW w:w="1104" w:type="dxa"/>
            <w:gridSpan w:val="2"/>
            <w:noWrap/>
            <w:vAlign w:val="center"/>
          </w:tcPr>
          <w:p w14:paraId="0C8B4B58" w14:textId="77777777" w:rsidR="007075D9" w:rsidRPr="004D46AC" w:rsidRDefault="007075D9" w:rsidP="0090577F">
            <w:pPr>
              <w:spacing w:line="360" w:lineRule="auto"/>
              <w:ind w:firstLine="0"/>
            </w:pPr>
            <w:r w:rsidRPr="004D46AC">
              <w:t>2.40</w:t>
            </w:r>
          </w:p>
        </w:tc>
        <w:tc>
          <w:tcPr>
            <w:tcW w:w="1926" w:type="dxa"/>
          </w:tcPr>
          <w:p w14:paraId="56D61A5A" w14:textId="77777777" w:rsidR="007075D9" w:rsidRPr="004D46AC" w:rsidRDefault="007075D9" w:rsidP="0090577F">
            <w:pPr>
              <w:spacing w:line="360" w:lineRule="auto"/>
              <w:ind w:firstLine="0"/>
            </w:pPr>
            <w:r w:rsidRPr="004D46AC">
              <w:t>[-0.01, 0.08]</w:t>
            </w:r>
          </w:p>
        </w:tc>
      </w:tr>
      <w:tr w:rsidR="007075D9" w:rsidRPr="004D46AC" w14:paraId="23970EDE" w14:textId="77777777" w:rsidTr="00B518F1">
        <w:trPr>
          <w:trHeight w:val="300"/>
        </w:trPr>
        <w:tc>
          <w:tcPr>
            <w:tcW w:w="3227" w:type="dxa"/>
            <w:noWrap/>
            <w:vAlign w:val="center"/>
          </w:tcPr>
          <w:p w14:paraId="02BD1632" w14:textId="77777777" w:rsidR="007075D9" w:rsidRPr="004D46AC" w:rsidRDefault="007075D9" w:rsidP="0090577F">
            <w:pPr>
              <w:spacing w:line="360" w:lineRule="auto"/>
              <w:ind w:firstLine="0"/>
            </w:pPr>
            <w:r w:rsidRPr="004D46AC">
              <w:t>Extraversion (W1)</w:t>
            </w:r>
          </w:p>
        </w:tc>
        <w:tc>
          <w:tcPr>
            <w:tcW w:w="1276" w:type="dxa"/>
            <w:gridSpan w:val="3"/>
            <w:noWrap/>
            <w:vAlign w:val="center"/>
          </w:tcPr>
          <w:p w14:paraId="2B092201" w14:textId="77777777" w:rsidR="007075D9" w:rsidRPr="004D46AC" w:rsidRDefault="007075D9" w:rsidP="0090577F">
            <w:pPr>
              <w:spacing w:line="360" w:lineRule="auto"/>
              <w:ind w:firstLine="0"/>
            </w:pPr>
            <w:r w:rsidRPr="004D46AC">
              <w:t>0.07***</w:t>
            </w:r>
          </w:p>
        </w:tc>
        <w:tc>
          <w:tcPr>
            <w:tcW w:w="767" w:type="dxa"/>
            <w:noWrap/>
            <w:vAlign w:val="center"/>
          </w:tcPr>
          <w:p w14:paraId="186A4FCB" w14:textId="77777777" w:rsidR="007075D9" w:rsidRPr="004D46AC" w:rsidRDefault="007075D9" w:rsidP="0090577F">
            <w:pPr>
              <w:spacing w:line="360" w:lineRule="auto"/>
              <w:ind w:firstLine="0"/>
            </w:pPr>
            <w:r w:rsidRPr="004D46AC">
              <w:t>0.01</w:t>
            </w:r>
          </w:p>
        </w:tc>
        <w:tc>
          <w:tcPr>
            <w:tcW w:w="1104" w:type="dxa"/>
            <w:gridSpan w:val="2"/>
            <w:noWrap/>
            <w:vAlign w:val="center"/>
          </w:tcPr>
          <w:p w14:paraId="4183D78B" w14:textId="77777777" w:rsidR="007075D9" w:rsidRPr="004D46AC" w:rsidRDefault="007075D9" w:rsidP="0090577F">
            <w:pPr>
              <w:spacing w:line="360" w:lineRule="auto"/>
              <w:ind w:firstLine="0"/>
            </w:pPr>
            <w:r w:rsidRPr="004D46AC">
              <w:t>4.95</w:t>
            </w:r>
          </w:p>
        </w:tc>
        <w:tc>
          <w:tcPr>
            <w:tcW w:w="1926" w:type="dxa"/>
          </w:tcPr>
          <w:p w14:paraId="79F0BD32" w14:textId="77777777" w:rsidR="007075D9" w:rsidRPr="004D46AC" w:rsidRDefault="007075D9" w:rsidP="0090577F">
            <w:pPr>
              <w:spacing w:line="360" w:lineRule="auto"/>
              <w:ind w:firstLine="0"/>
            </w:pPr>
            <w:r w:rsidRPr="004D46AC">
              <w:t>[0.02, 0.12]</w:t>
            </w:r>
          </w:p>
        </w:tc>
      </w:tr>
      <w:tr w:rsidR="007075D9" w:rsidRPr="004D46AC" w14:paraId="207F6E67" w14:textId="77777777" w:rsidTr="00B518F1">
        <w:trPr>
          <w:trHeight w:val="300"/>
        </w:trPr>
        <w:tc>
          <w:tcPr>
            <w:tcW w:w="3227" w:type="dxa"/>
            <w:noWrap/>
            <w:vAlign w:val="center"/>
          </w:tcPr>
          <w:p w14:paraId="75221D1B" w14:textId="77777777" w:rsidR="007075D9" w:rsidRPr="004D46AC" w:rsidRDefault="007075D9" w:rsidP="0090577F">
            <w:pPr>
              <w:spacing w:line="360" w:lineRule="auto"/>
              <w:ind w:firstLine="0"/>
            </w:pPr>
            <w:r w:rsidRPr="004D46AC">
              <w:t>Urbanicity (W1)</w:t>
            </w:r>
          </w:p>
        </w:tc>
        <w:tc>
          <w:tcPr>
            <w:tcW w:w="1276" w:type="dxa"/>
            <w:gridSpan w:val="3"/>
            <w:noWrap/>
            <w:vAlign w:val="center"/>
          </w:tcPr>
          <w:p w14:paraId="38C3996F" w14:textId="77777777" w:rsidR="007075D9" w:rsidRPr="004D46AC" w:rsidRDefault="007075D9" w:rsidP="0090577F">
            <w:pPr>
              <w:spacing w:line="360" w:lineRule="auto"/>
              <w:ind w:firstLine="0"/>
            </w:pPr>
            <w:r w:rsidRPr="004D46AC">
              <w:t>0.20***</w:t>
            </w:r>
          </w:p>
        </w:tc>
        <w:tc>
          <w:tcPr>
            <w:tcW w:w="767" w:type="dxa"/>
            <w:noWrap/>
            <w:vAlign w:val="center"/>
          </w:tcPr>
          <w:p w14:paraId="42E1FE48" w14:textId="77777777" w:rsidR="007075D9" w:rsidRPr="004D46AC" w:rsidRDefault="007075D9" w:rsidP="0090577F">
            <w:pPr>
              <w:spacing w:line="360" w:lineRule="auto"/>
              <w:ind w:firstLine="0"/>
            </w:pPr>
            <w:r w:rsidRPr="004D46AC">
              <w:t>0.05</w:t>
            </w:r>
          </w:p>
        </w:tc>
        <w:tc>
          <w:tcPr>
            <w:tcW w:w="1104" w:type="dxa"/>
            <w:gridSpan w:val="2"/>
            <w:noWrap/>
            <w:vAlign w:val="center"/>
          </w:tcPr>
          <w:p w14:paraId="72E4EA84" w14:textId="77777777" w:rsidR="007075D9" w:rsidRPr="004D46AC" w:rsidRDefault="007075D9" w:rsidP="0090577F">
            <w:pPr>
              <w:spacing w:line="360" w:lineRule="auto"/>
              <w:ind w:firstLine="0"/>
            </w:pPr>
            <w:r w:rsidRPr="004D46AC">
              <w:t>3.60</w:t>
            </w:r>
          </w:p>
        </w:tc>
        <w:tc>
          <w:tcPr>
            <w:tcW w:w="1926" w:type="dxa"/>
          </w:tcPr>
          <w:p w14:paraId="5305CC67" w14:textId="77777777" w:rsidR="007075D9" w:rsidRPr="004D46AC" w:rsidRDefault="007075D9" w:rsidP="0090577F">
            <w:pPr>
              <w:spacing w:line="360" w:lineRule="auto"/>
              <w:ind w:firstLine="0"/>
            </w:pPr>
            <w:r w:rsidRPr="004D46AC">
              <w:t>[-0.01, 0.39]</w:t>
            </w:r>
          </w:p>
        </w:tc>
      </w:tr>
      <w:tr w:rsidR="007075D9" w:rsidRPr="004D46AC" w14:paraId="35B71E89" w14:textId="77777777" w:rsidTr="00B518F1">
        <w:trPr>
          <w:trHeight w:val="300"/>
        </w:trPr>
        <w:tc>
          <w:tcPr>
            <w:tcW w:w="3227" w:type="dxa"/>
            <w:noWrap/>
            <w:vAlign w:val="center"/>
          </w:tcPr>
          <w:p w14:paraId="53BB16DF" w14:textId="77777777" w:rsidR="007075D9" w:rsidRPr="004D46AC" w:rsidRDefault="007075D9" w:rsidP="0090577F">
            <w:pPr>
              <w:spacing w:line="360" w:lineRule="auto"/>
              <w:ind w:firstLine="0"/>
            </w:pPr>
            <w:r w:rsidRPr="004D46AC">
              <w:t>SSR (W5)</w:t>
            </w:r>
          </w:p>
        </w:tc>
        <w:tc>
          <w:tcPr>
            <w:tcW w:w="1276" w:type="dxa"/>
            <w:gridSpan w:val="3"/>
            <w:noWrap/>
            <w:vAlign w:val="center"/>
          </w:tcPr>
          <w:p w14:paraId="4B693E5B" w14:textId="77777777" w:rsidR="007075D9" w:rsidRPr="004D46AC" w:rsidRDefault="007075D9" w:rsidP="0090577F">
            <w:pPr>
              <w:spacing w:line="360" w:lineRule="auto"/>
              <w:ind w:firstLine="0"/>
            </w:pPr>
            <w:r w:rsidRPr="004D46AC">
              <w:t>0.04**</w:t>
            </w:r>
          </w:p>
        </w:tc>
        <w:tc>
          <w:tcPr>
            <w:tcW w:w="767" w:type="dxa"/>
            <w:noWrap/>
            <w:vAlign w:val="center"/>
          </w:tcPr>
          <w:p w14:paraId="1F89FEA1" w14:textId="77777777" w:rsidR="007075D9" w:rsidRPr="004D46AC" w:rsidRDefault="007075D9" w:rsidP="0090577F">
            <w:pPr>
              <w:spacing w:line="360" w:lineRule="auto"/>
              <w:ind w:firstLine="0"/>
            </w:pPr>
            <w:r w:rsidRPr="004D46AC">
              <w:t>0.01</w:t>
            </w:r>
          </w:p>
        </w:tc>
        <w:tc>
          <w:tcPr>
            <w:tcW w:w="1104" w:type="dxa"/>
            <w:gridSpan w:val="2"/>
            <w:noWrap/>
            <w:vAlign w:val="center"/>
          </w:tcPr>
          <w:p w14:paraId="0BFA2A9A" w14:textId="77777777" w:rsidR="007075D9" w:rsidRPr="004D46AC" w:rsidRDefault="007075D9" w:rsidP="0090577F">
            <w:pPr>
              <w:spacing w:line="360" w:lineRule="auto"/>
              <w:ind w:firstLine="0"/>
            </w:pPr>
            <w:r w:rsidRPr="004D46AC">
              <w:t>2.70</w:t>
            </w:r>
          </w:p>
        </w:tc>
        <w:tc>
          <w:tcPr>
            <w:tcW w:w="1926" w:type="dxa"/>
          </w:tcPr>
          <w:p w14:paraId="17410DB2" w14:textId="77777777" w:rsidR="007075D9" w:rsidRPr="004D46AC" w:rsidRDefault="007075D9" w:rsidP="0090577F">
            <w:pPr>
              <w:spacing w:line="360" w:lineRule="auto"/>
              <w:ind w:firstLine="0"/>
            </w:pPr>
            <w:r w:rsidRPr="004D46AC">
              <w:t>[-0.01, 0.08]</w:t>
            </w:r>
          </w:p>
        </w:tc>
      </w:tr>
      <w:tr w:rsidR="007075D9" w:rsidRPr="004D46AC" w14:paraId="0CABC7E3" w14:textId="77777777" w:rsidTr="00B518F1">
        <w:trPr>
          <w:trHeight w:val="300"/>
        </w:trPr>
        <w:tc>
          <w:tcPr>
            <w:tcW w:w="3227" w:type="dxa"/>
            <w:noWrap/>
            <w:vAlign w:val="center"/>
          </w:tcPr>
          <w:p w14:paraId="4D1B4270" w14:textId="77777777" w:rsidR="007075D9" w:rsidRPr="004D46AC" w:rsidRDefault="007075D9" w:rsidP="0090577F">
            <w:pPr>
              <w:spacing w:line="360" w:lineRule="auto"/>
              <w:ind w:firstLine="0"/>
            </w:pPr>
            <w:r w:rsidRPr="004D46AC">
              <w:t>Anxiety (W5)</w:t>
            </w:r>
          </w:p>
        </w:tc>
        <w:tc>
          <w:tcPr>
            <w:tcW w:w="1276" w:type="dxa"/>
            <w:gridSpan w:val="3"/>
            <w:noWrap/>
            <w:vAlign w:val="center"/>
          </w:tcPr>
          <w:p w14:paraId="29D0A645" w14:textId="77777777" w:rsidR="007075D9" w:rsidRPr="004D46AC" w:rsidRDefault="007075D9" w:rsidP="0090577F">
            <w:pPr>
              <w:spacing w:line="360" w:lineRule="auto"/>
              <w:ind w:firstLine="0"/>
            </w:pPr>
            <w:r w:rsidRPr="004D46AC">
              <w:t>0.04***</w:t>
            </w:r>
          </w:p>
        </w:tc>
        <w:tc>
          <w:tcPr>
            <w:tcW w:w="767" w:type="dxa"/>
            <w:noWrap/>
            <w:vAlign w:val="center"/>
          </w:tcPr>
          <w:p w14:paraId="448767E7" w14:textId="77777777" w:rsidR="007075D9" w:rsidRPr="004D46AC" w:rsidRDefault="007075D9" w:rsidP="0090577F">
            <w:pPr>
              <w:spacing w:line="360" w:lineRule="auto"/>
              <w:ind w:firstLine="0"/>
            </w:pPr>
            <w:r w:rsidRPr="004D46AC">
              <w:t>0.005</w:t>
            </w:r>
          </w:p>
        </w:tc>
        <w:tc>
          <w:tcPr>
            <w:tcW w:w="1104" w:type="dxa"/>
            <w:gridSpan w:val="2"/>
            <w:noWrap/>
            <w:vAlign w:val="center"/>
          </w:tcPr>
          <w:p w14:paraId="19A9E3A9" w14:textId="77777777" w:rsidR="007075D9" w:rsidRPr="004D46AC" w:rsidRDefault="007075D9" w:rsidP="0090577F">
            <w:pPr>
              <w:spacing w:line="360" w:lineRule="auto"/>
              <w:ind w:firstLine="0"/>
            </w:pPr>
            <w:r w:rsidRPr="004D46AC">
              <w:t>6.91</w:t>
            </w:r>
          </w:p>
        </w:tc>
        <w:tc>
          <w:tcPr>
            <w:tcW w:w="1926" w:type="dxa"/>
          </w:tcPr>
          <w:p w14:paraId="258F7C99" w14:textId="77777777" w:rsidR="007075D9" w:rsidRPr="004D46AC" w:rsidRDefault="007075D9" w:rsidP="0090577F">
            <w:pPr>
              <w:spacing w:line="360" w:lineRule="auto"/>
              <w:ind w:firstLine="0"/>
            </w:pPr>
            <w:r w:rsidRPr="004D46AC">
              <w:t>[0.02, 0.05]</w:t>
            </w:r>
          </w:p>
        </w:tc>
      </w:tr>
      <w:tr w:rsidR="007075D9" w:rsidRPr="004D46AC" w14:paraId="6102D601" w14:textId="77777777" w:rsidTr="00B518F1">
        <w:trPr>
          <w:trHeight w:val="300"/>
        </w:trPr>
        <w:tc>
          <w:tcPr>
            <w:tcW w:w="3227" w:type="dxa"/>
            <w:noWrap/>
            <w:vAlign w:val="center"/>
          </w:tcPr>
          <w:p w14:paraId="351FFBD3" w14:textId="77777777" w:rsidR="007075D9" w:rsidRPr="004D46AC" w:rsidRDefault="007075D9" w:rsidP="0090577F">
            <w:pPr>
              <w:spacing w:line="360" w:lineRule="auto"/>
              <w:ind w:firstLine="0"/>
            </w:pPr>
            <w:r w:rsidRPr="004D46AC">
              <w:t>Depression (W1)</w:t>
            </w:r>
          </w:p>
        </w:tc>
        <w:tc>
          <w:tcPr>
            <w:tcW w:w="1276" w:type="dxa"/>
            <w:gridSpan w:val="3"/>
            <w:noWrap/>
            <w:vAlign w:val="center"/>
          </w:tcPr>
          <w:p w14:paraId="270C9583" w14:textId="77777777" w:rsidR="007075D9" w:rsidRPr="004D46AC" w:rsidRDefault="007075D9" w:rsidP="0090577F">
            <w:pPr>
              <w:spacing w:line="360" w:lineRule="auto"/>
              <w:ind w:firstLine="0"/>
            </w:pPr>
            <w:r w:rsidRPr="004D46AC">
              <w:t>0.01**</w:t>
            </w:r>
          </w:p>
        </w:tc>
        <w:tc>
          <w:tcPr>
            <w:tcW w:w="767" w:type="dxa"/>
            <w:noWrap/>
            <w:vAlign w:val="center"/>
          </w:tcPr>
          <w:p w14:paraId="28D07D7C" w14:textId="77777777" w:rsidR="007075D9" w:rsidRPr="004D46AC" w:rsidRDefault="007075D9" w:rsidP="0090577F">
            <w:pPr>
              <w:spacing w:line="360" w:lineRule="auto"/>
              <w:ind w:firstLine="0"/>
            </w:pPr>
            <w:r w:rsidRPr="004D46AC">
              <w:t>0.005</w:t>
            </w:r>
          </w:p>
        </w:tc>
        <w:tc>
          <w:tcPr>
            <w:tcW w:w="1104" w:type="dxa"/>
            <w:gridSpan w:val="2"/>
            <w:noWrap/>
            <w:vAlign w:val="center"/>
          </w:tcPr>
          <w:p w14:paraId="616ACF0B" w14:textId="77777777" w:rsidR="007075D9" w:rsidRPr="004D46AC" w:rsidRDefault="007075D9" w:rsidP="0090577F">
            <w:pPr>
              <w:spacing w:line="360" w:lineRule="auto"/>
              <w:ind w:firstLine="0"/>
            </w:pPr>
            <w:r w:rsidRPr="004D46AC">
              <w:t>2.68</w:t>
            </w:r>
          </w:p>
        </w:tc>
        <w:tc>
          <w:tcPr>
            <w:tcW w:w="1926" w:type="dxa"/>
          </w:tcPr>
          <w:p w14:paraId="5995C065" w14:textId="77777777" w:rsidR="007075D9" w:rsidRPr="004D46AC" w:rsidRDefault="007075D9" w:rsidP="0090577F">
            <w:pPr>
              <w:spacing w:line="360" w:lineRule="auto"/>
              <w:ind w:firstLine="0"/>
            </w:pPr>
            <w:r w:rsidRPr="004D46AC">
              <w:t>[-0.01, 0.03]</w:t>
            </w:r>
          </w:p>
        </w:tc>
      </w:tr>
      <w:tr w:rsidR="007075D9" w:rsidRPr="004D46AC" w14:paraId="287D260B" w14:textId="77777777" w:rsidTr="00B518F1">
        <w:trPr>
          <w:trHeight w:val="300"/>
        </w:trPr>
        <w:tc>
          <w:tcPr>
            <w:tcW w:w="3227" w:type="dxa"/>
            <w:noWrap/>
            <w:vAlign w:val="center"/>
          </w:tcPr>
          <w:p w14:paraId="44D8D31B" w14:textId="77777777" w:rsidR="007075D9" w:rsidRPr="004D46AC" w:rsidRDefault="007075D9" w:rsidP="0090577F">
            <w:pPr>
              <w:spacing w:line="360" w:lineRule="auto"/>
              <w:ind w:firstLine="0"/>
            </w:pPr>
            <w:r w:rsidRPr="004D46AC">
              <w:t>PLEs (W5)</w:t>
            </w:r>
          </w:p>
        </w:tc>
        <w:tc>
          <w:tcPr>
            <w:tcW w:w="1276" w:type="dxa"/>
            <w:gridSpan w:val="3"/>
            <w:noWrap/>
            <w:vAlign w:val="center"/>
          </w:tcPr>
          <w:p w14:paraId="4D279E7B" w14:textId="77777777" w:rsidR="007075D9" w:rsidRPr="004D46AC" w:rsidRDefault="007075D9" w:rsidP="0090577F">
            <w:pPr>
              <w:spacing w:line="360" w:lineRule="auto"/>
              <w:ind w:firstLine="0"/>
            </w:pPr>
            <w:r w:rsidRPr="004D46AC">
              <w:t>0.31***</w:t>
            </w:r>
          </w:p>
        </w:tc>
        <w:tc>
          <w:tcPr>
            <w:tcW w:w="767" w:type="dxa"/>
            <w:noWrap/>
            <w:vAlign w:val="center"/>
          </w:tcPr>
          <w:p w14:paraId="03F7AF33" w14:textId="77777777" w:rsidR="007075D9" w:rsidRPr="004D46AC" w:rsidRDefault="007075D9" w:rsidP="0090577F">
            <w:pPr>
              <w:spacing w:line="360" w:lineRule="auto"/>
              <w:ind w:firstLine="0"/>
            </w:pPr>
            <w:r w:rsidRPr="004D46AC">
              <w:t>0.02</w:t>
            </w:r>
          </w:p>
        </w:tc>
        <w:tc>
          <w:tcPr>
            <w:tcW w:w="1104" w:type="dxa"/>
            <w:gridSpan w:val="2"/>
            <w:noWrap/>
            <w:vAlign w:val="center"/>
          </w:tcPr>
          <w:p w14:paraId="5008FB30" w14:textId="77777777" w:rsidR="007075D9" w:rsidRPr="004D46AC" w:rsidRDefault="007075D9" w:rsidP="0090577F">
            <w:pPr>
              <w:spacing w:line="360" w:lineRule="auto"/>
              <w:ind w:firstLine="0"/>
            </w:pPr>
            <w:r w:rsidRPr="004D46AC">
              <w:t>13.25</w:t>
            </w:r>
          </w:p>
        </w:tc>
        <w:tc>
          <w:tcPr>
            <w:tcW w:w="1926" w:type="dxa"/>
          </w:tcPr>
          <w:p w14:paraId="03993B1B" w14:textId="77777777" w:rsidR="007075D9" w:rsidRPr="004D46AC" w:rsidRDefault="007075D9" w:rsidP="0090577F">
            <w:pPr>
              <w:spacing w:line="360" w:lineRule="auto"/>
              <w:ind w:firstLine="0"/>
            </w:pPr>
            <w:r w:rsidRPr="004D46AC">
              <w:t>[0.23, 0.40]</w:t>
            </w:r>
          </w:p>
        </w:tc>
      </w:tr>
      <w:tr w:rsidR="007075D9" w:rsidRPr="004D46AC" w14:paraId="1E7F4938" w14:textId="77777777" w:rsidTr="00B518F1">
        <w:trPr>
          <w:trHeight w:val="300"/>
        </w:trPr>
        <w:tc>
          <w:tcPr>
            <w:tcW w:w="8300" w:type="dxa"/>
            <w:gridSpan w:val="8"/>
            <w:noWrap/>
            <w:vAlign w:val="center"/>
          </w:tcPr>
          <w:p w14:paraId="6429466A" w14:textId="77777777" w:rsidR="007075D9" w:rsidRPr="004D46AC" w:rsidRDefault="007075D9" w:rsidP="0090577F">
            <w:pPr>
              <w:spacing w:line="360" w:lineRule="auto"/>
              <w:ind w:firstLine="0"/>
              <w:rPr>
                <w:b/>
                <w:bCs/>
              </w:rPr>
            </w:pPr>
            <w:r w:rsidRPr="004D46AC">
              <w:rPr>
                <w:b/>
                <w:bCs/>
              </w:rPr>
              <w:t xml:space="preserve">Wave 9 Mania (Sum): McFadden’s </w:t>
            </w:r>
            <w:r w:rsidRPr="004D46AC">
              <w:rPr>
                <w:b/>
                <w:bCs/>
                <w:i/>
                <w:iCs/>
              </w:rPr>
              <w:t>R</w:t>
            </w:r>
            <w:r w:rsidRPr="004D46AC">
              <w:rPr>
                <w:b/>
                <w:bCs/>
                <w:vertAlign w:val="superscript"/>
              </w:rPr>
              <w:t>2</w:t>
            </w:r>
            <w:r w:rsidRPr="004D46AC">
              <w:rPr>
                <w:rFonts w:hint="eastAsia"/>
                <w:b/>
                <w:bCs/>
                <w:vertAlign w:val="superscript"/>
              </w:rPr>
              <w:t xml:space="preserve"> </w:t>
            </w:r>
            <w:r w:rsidRPr="004D46AC">
              <w:rPr>
                <w:b/>
                <w:bCs/>
              </w:rPr>
              <w:t>=</w:t>
            </w:r>
            <w:r w:rsidRPr="004D46AC">
              <w:rPr>
                <w:rFonts w:hint="eastAsia"/>
                <w:b/>
                <w:bCs/>
              </w:rPr>
              <w:t xml:space="preserve"> </w:t>
            </w:r>
            <w:r w:rsidRPr="004D46AC">
              <w:rPr>
                <w:b/>
                <w:bCs/>
              </w:rPr>
              <w:t>.29</w:t>
            </w:r>
          </w:p>
        </w:tc>
      </w:tr>
      <w:tr w:rsidR="007075D9" w:rsidRPr="004D46AC" w14:paraId="7A48BA92" w14:textId="77777777" w:rsidTr="00B518F1">
        <w:trPr>
          <w:trHeight w:val="300"/>
        </w:trPr>
        <w:tc>
          <w:tcPr>
            <w:tcW w:w="3330" w:type="dxa"/>
            <w:gridSpan w:val="2"/>
            <w:noWrap/>
            <w:vAlign w:val="center"/>
          </w:tcPr>
          <w:p w14:paraId="1428B4BA" w14:textId="77777777" w:rsidR="007075D9" w:rsidRPr="004D46AC" w:rsidRDefault="007075D9" w:rsidP="0090577F">
            <w:pPr>
              <w:spacing w:line="360" w:lineRule="auto"/>
              <w:ind w:firstLine="0"/>
            </w:pPr>
            <w:r w:rsidRPr="004D46AC">
              <w:t>(Intercept)</w:t>
            </w:r>
          </w:p>
        </w:tc>
        <w:tc>
          <w:tcPr>
            <w:tcW w:w="1106" w:type="dxa"/>
            <w:noWrap/>
            <w:vAlign w:val="center"/>
          </w:tcPr>
          <w:p w14:paraId="78A9ECB4" w14:textId="77777777" w:rsidR="007075D9" w:rsidRPr="004D46AC" w:rsidRDefault="007075D9" w:rsidP="0090577F">
            <w:pPr>
              <w:spacing w:line="360" w:lineRule="auto"/>
              <w:ind w:firstLine="0"/>
            </w:pPr>
            <w:r w:rsidRPr="004D46AC">
              <w:t>-0.26</w:t>
            </w:r>
          </w:p>
        </w:tc>
        <w:tc>
          <w:tcPr>
            <w:tcW w:w="1131" w:type="dxa"/>
            <w:gridSpan w:val="3"/>
            <w:noWrap/>
            <w:vAlign w:val="center"/>
          </w:tcPr>
          <w:p w14:paraId="29EAAAE1" w14:textId="77777777" w:rsidR="007075D9" w:rsidRPr="004D46AC" w:rsidRDefault="007075D9" w:rsidP="0090577F">
            <w:pPr>
              <w:spacing w:line="360" w:lineRule="auto"/>
              <w:ind w:firstLine="0"/>
            </w:pPr>
            <w:r w:rsidRPr="004D46AC">
              <w:t>0.38</w:t>
            </w:r>
          </w:p>
        </w:tc>
        <w:tc>
          <w:tcPr>
            <w:tcW w:w="807" w:type="dxa"/>
            <w:noWrap/>
            <w:vAlign w:val="center"/>
          </w:tcPr>
          <w:p w14:paraId="2AAA4C63" w14:textId="77777777" w:rsidR="007075D9" w:rsidRPr="004D46AC" w:rsidRDefault="007075D9" w:rsidP="0090577F">
            <w:pPr>
              <w:spacing w:line="360" w:lineRule="auto"/>
              <w:ind w:firstLine="0"/>
            </w:pPr>
            <w:r w:rsidRPr="004D46AC">
              <w:t>-0.67</w:t>
            </w:r>
          </w:p>
        </w:tc>
        <w:tc>
          <w:tcPr>
            <w:tcW w:w="1926" w:type="dxa"/>
          </w:tcPr>
          <w:p w14:paraId="624132DA" w14:textId="77777777" w:rsidR="007075D9" w:rsidRPr="004D46AC" w:rsidRDefault="007075D9" w:rsidP="0090577F">
            <w:pPr>
              <w:spacing w:line="360" w:lineRule="auto"/>
              <w:ind w:firstLine="0"/>
            </w:pPr>
          </w:p>
        </w:tc>
      </w:tr>
      <w:tr w:rsidR="007075D9" w:rsidRPr="004D46AC" w14:paraId="514C07E9" w14:textId="77777777" w:rsidTr="00B518F1">
        <w:trPr>
          <w:trHeight w:val="300"/>
        </w:trPr>
        <w:tc>
          <w:tcPr>
            <w:tcW w:w="3330" w:type="dxa"/>
            <w:gridSpan w:val="2"/>
            <w:noWrap/>
            <w:vAlign w:val="center"/>
          </w:tcPr>
          <w:p w14:paraId="532A6A06" w14:textId="77777777" w:rsidR="007075D9" w:rsidRPr="004D46AC" w:rsidRDefault="007075D9" w:rsidP="0090577F">
            <w:pPr>
              <w:spacing w:line="360" w:lineRule="auto"/>
              <w:ind w:firstLine="0"/>
            </w:pPr>
            <w:r w:rsidRPr="004D46AC">
              <w:t>ACEs (W5)</w:t>
            </w:r>
          </w:p>
        </w:tc>
        <w:tc>
          <w:tcPr>
            <w:tcW w:w="1106" w:type="dxa"/>
            <w:noWrap/>
            <w:vAlign w:val="center"/>
          </w:tcPr>
          <w:p w14:paraId="1D32531B" w14:textId="77777777" w:rsidR="007075D9" w:rsidRPr="004D46AC" w:rsidRDefault="007075D9" w:rsidP="0090577F">
            <w:pPr>
              <w:spacing w:line="360" w:lineRule="auto"/>
              <w:ind w:firstLine="0"/>
            </w:pPr>
            <w:r w:rsidRPr="004D46AC">
              <w:t>0.10***</w:t>
            </w:r>
          </w:p>
        </w:tc>
        <w:tc>
          <w:tcPr>
            <w:tcW w:w="1131" w:type="dxa"/>
            <w:gridSpan w:val="3"/>
            <w:noWrap/>
            <w:vAlign w:val="center"/>
          </w:tcPr>
          <w:p w14:paraId="2EAAEE01" w14:textId="77777777" w:rsidR="007075D9" w:rsidRPr="004D46AC" w:rsidRDefault="007075D9" w:rsidP="0090577F">
            <w:pPr>
              <w:spacing w:line="360" w:lineRule="auto"/>
              <w:ind w:firstLine="0"/>
            </w:pPr>
            <w:r w:rsidRPr="004D46AC">
              <w:t>0.03</w:t>
            </w:r>
          </w:p>
        </w:tc>
        <w:tc>
          <w:tcPr>
            <w:tcW w:w="807" w:type="dxa"/>
            <w:noWrap/>
            <w:vAlign w:val="center"/>
          </w:tcPr>
          <w:p w14:paraId="6E7962DE" w14:textId="77777777" w:rsidR="007075D9" w:rsidRPr="004D46AC" w:rsidRDefault="007075D9" w:rsidP="0090577F">
            <w:pPr>
              <w:spacing w:line="360" w:lineRule="auto"/>
              <w:ind w:firstLine="0"/>
            </w:pPr>
            <w:r w:rsidRPr="004D46AC">
              <w:t>3.73</w:t>
            </w:r>
          </w:p>
        </w:tc>
        <w:tc>
          <w:tcPr>
            <w:tcW w:w="1926" w:type="dxa"/>
          </w:tcPr>
          <w:p w14:paraId="41D2DBEE" w14:textId="77777777" w:rsidR="007075D9" w:rsidRPr="004D46AC" w:rsidRDefault="007075D9" w:rsidP="0090577F">
            <w:pPr>
              <w:spacing w:line="360" w:lineRule="auto"/>
              <w:ind w:firstLine="0"/>
            </w:pPr>
            <w:r w:rsidRPr="004D46AC">
              <w:t>[0.01, 0.19]</w:t>
            </w:r>
          </w:p>
        </w:tc>
      </w:tr>
      <w:tr w:rsidR="007075D9" w:rsidRPr="004D46AC" w14:paraId="3DEAB391" w14:textId="77777777" w:rsidTr="00B518F1">
        <w:trPr>
          <w:trHeight w:val="300"/>
        </w:trPr>
        <w:tc>
          <w:tcPr>
            <w:tcW w:w="3330" w:type="dxa"/>
            <w:gridSpan w:val="2"/>
            <w:noWrap/>
            <w:vAlign w:val="center"/>
          </w:tcPr>
          <w:p w14:paraId="6CD8564D" w14:textId="77777777" w:rsidR="007075D9" w:rsidRPr="004D46AC" w:rsidRDefault="007075D9" w:rsidP="0090577F">
            <w:pPr>
              <w:spacing w:line="360" w:lineRule="auto"/>
              <w:ind w:firstLine="0"/>
            </w:pPr>
            <w:r w:rsidRPr="004D46AC">
              <w:t>Anxiety (W9)</w:t>
            </w:r>
          </w:p>
        </w:tc>
        <w:tc>
          <w:tcPr>
            <w:tcW w:w="1106" w:type="dxa"/>
            <w:noWrap/>
            <w:vAlign w:val="center"/>
          </w:tcPr>
          <w:p w14:paraId="4273ADF3" w14:textId="77777777" w:rsidR="007075D9" w:rsidRPr="004D46AC" w:rsidRDefault="007075D9" w:rsidP="0090577F">
            <w:pPr>
              <w:spacing w:line="360" w:lineRule="auto"/>
              <w:ind w:firstLine="0"/>
            </w:pPr>
            <w:r w:rsidRPr="004D46AC">
              <w:t>0.05***</w:t>
            </w:r>
          </w:p>
        </w:tc>
        <w:tc>
          <w:tcPr>
            <w:tcW w:w="1131" w:type="dxa"/>
            <w:gridSpan w:val="3"/>
            <w:noWrap/>
            <w:vAlign w:val="center"/>
          </w:tcPr>
          <w:p w14:paraId="6AE5255B" w14:textId="77777777" w:rsidR="007075D9" w:rsidRPr="004D46AC" w:rsidRDefault="007075D9" w:rsidP="0090577F">
            <w:pPr>
              <w:spacing w:line="360" w:lineRule="auto"/>
              <w:ind w:firstLine="0"/>
            </w:pPr>
            <w:r w:rsidRPr="004D46AC">
              <w:t>0.008</w:t>
            </w:r>
          </w:p>
        </w:tc>
        <w:tc>
          <w:tcPr>
            <w:tcW w:w="807" w:type="dxa"/>
            <w:noWrap/>
            <w:vAlign w:val="center"/>
          </w:tcPr>
          <w:p w14:paraId="73D70B57" w14:textId="77777777" w:rsidR="007075D9" w:rsidRPr="004D46AC" w:rsidRDefault="007075D9" w:rsidP="0090577F">
            <w:pPr>
              <w:spacing w:line="360" w:lineRule="auto"/>
              <w:ind w:firstLine="0"/>
            </w:pPr>
            <w:r w:rsidRPr="004D46AC">
              <w:t>5.65</w:t>
            </w:r>
          </w:p>
        </w:tc>
        <w:tc>
          <w:tcPr>
            <w:tcW w:w="1926" w:type="dxa"/>
          </w:tcPr>
          <w:p w14:paraId="1BDB0F67" w14:textId="77777777" w:rsidR="007075D9" w:rsidRPr="004D46AC" w:rsidRDefault="007075D9" w:rsidP="0090577F">
            <w:pPr>
              <w:spacing w:line="360" w:lineRule="auto"/>
              <w:ind w:firstLine="0"/>
            </w:pPr>
            <w:r w:rsidRPr="004D46AC">
              <w:t>[0.02, 0.08]</w:t>
            </w:r>
          </w:p>
        </w:tc>
      </w:tr>
      <w:tr w:rsidR="007075D9" w:rsidRPr="004D46AC" w14:paraId="14E4490E" w14:textId="77777777" w:rsidTr="00B518F1">
        <w:trPr>
          <w:trHeight w:val="300"/>
        </w:trPr>
        <w:tc>
          <w:tcPr>
            <w:tcW w:w="3330" w:type="dxa"/>
            <w:gridSpan w:val="2"/>
            <w:noWrap/>
            <w:vAlign w:val="center"/>
          </w:tcPr>
          <w:p w14:paraId="6FF790A6" w14:textId="77777777" w:rsidR="007075D9" w:rsidRPr="004D46AC" w:rsidRDefault="007075D9" w:rsidP="0090577F">
            <w:pPr>
              <w:spacing w:line="360" w:lineRule="auto"/>
              <w:ind w:firstLine="0"/>
            </w:pPr>
            <w:r w:rsidRPr="004D46AC">
              <w:t>Depression (W5)</w:t>
            </w:r>
          </w:p>
        </w:tc>
        <w:tc>
          <w:tcPr>
            <w:tcW w:w="1106" w:type="dxa"/>
            <w:noWrap/>
            <w:vAlign w:val="center"/>
          </w:tcPr>
          <w:p w14:paraId="07751B62" w14:textId="77777777" w:rsidR="007075D9" w:rsidRPr="004D46AC" w:rsidRDefault="007075D9" w:rsidP="0090577F">
            <w:pPr>
              <w:spacing w:line="360" w:lineRule="auto"/>
              <w:ind w:firstLine="0"/>
            </w:pPr>
            <w:r w:rsidRPr="004D46AC">
              <w:t>0.02**</w:t>
            </w:r>
          </w:p>
        </w:tc>
        <w:tc>
          <w:tcPr>
            <w:tcW w:w="1131" w:type="dxa"/>
            <w:gridSpan w:val="3"/>
            <w:noWrap/>
            <w:vAlign w:val="center"/>
          </w:tcPr>
          <w:p w14:paraId="32A82172" w14:textId="77777777" w:rsidR="007075D9" w:rsidRPr="004D46AC" w:rsidRDefault="007075D9" w:rsidP="0090577F">
            <w:pPr>
              <w:spacing w:line="360" w:lineRule="auto"/>
              <w:ind w:firstLine="0"/>
            </w:pPr>
            <w:r w:rsidRPr="004D46AC">
              <w:t>0.007</w:t>
            </w:r>
          </w:p>
        </w:tc>
        <w:tc>
          <w:tcPr>
            <w:tcW w:w="807" w:type="dxa"/>
            <w:noWrap/>
            <w:vAlign w:val="center"/>
          </w:tcPr>
          <w:p w14:paraId="7717D7A5" w14:textId="77777777" w:rsidR="007075D9" w:rsidRPr="004D46AC" w:rsidRDefault="007075D9" w:rsidP="0090577F">
            <w:pPr>
              <w:spacing w:line="360" w:lineRule="auto"/>
              <w:ind w:firstLine="0"/>
            </w:pPr>
            <w:r w:rsidRPr="004D46AC">
              <w:t>2.92</w:t>
            </w:r>
          </w:p>
        </w:tc>
        <w:tc>
          <w:tcPr>
            <w:tcW w:w="1926" w:type="dxa"/>
          </w:tcPr>
          <w:p w14:paraId="68B8CED9" w14:textId="77777777" w:rsidR="007075D9" w:rsidRPr="004D46AC" w:rsidRDefault="007075D9" w:rsidP="0090577F">
            <w:pPr>
              <w:spacing w:line="360" w:lineRule="auto"/>
              <w:ind w:firstLine="0"/>
            </w:pPr>
            <w:r w:rsidRPr="004D46AC">
              <w:t>[0.02, 0.05]</w:t>
            </w:r>
          </w:p>
        </w:tc>
      </w:tr>
      <w:tr w:rsidR="007075D9" w:rsidRPr="004D46AC" w14:paraId="54502E0F" w14:textId="77777777" w:rsidTr="00B518F1">
        <w:trPr>
          <w:trHeight w:val="300"/>
        </w:trPr>
        <w:tc>
          <w:tcPr>
            <w:tcW w:w="3330" w:type="dxa"/>
            <w:gridSpan w:val="2"/>
            <w:noWrap/>
            <w:vAlign w:val="center"/>
          </w:tcPr>
          <w:p w14:paraId="14D358FC" w14:textId="77777777" w:rsidR="007075D9" w:rsidRPr="004D46AC" w:rsidRDefault="007075D9" w:rsidP="0090577F">
            <w:pPr>
              <w:spacing w:line="360" w:lineRule="auto"/>
              <w:ind w:firstLine="0"/>
            </w:pPr>
            <w:r w:rsidRPr="004D46AC">
              <w:t>PLEs (W5)</w:t>
            </w:r>
          </w:p>
        </w:tc>
        <w:tc>
          <w:tcPr>
            <w:tcW w:w="1106" w:type="dxa"/>
            <w:noWrap/>
            <w:vAlign w:val="center"/>
          </w:tcPr>
          <w:p w14:paraId="0B09662F" w14:textId="77777777" w:rsidR="007075D9" w:rsidRPr="004D46AC" w:rsidRDefault="007075D9" w:rsidP="0090577F">
            <w:pPr>
              <w:spacing w:line="360" w:lineRule="auto"/>
              <w:ind w:firstLine="0"/>
            </w:pPr>
            <w:r w:rsidRPr="004D46AC">
              <w:t>0.17***</w:t>
            </w:r>
          </w:p>
        </w:tc>
        <w:tc>
          <w:tcPr>
            <w:tcW w:w="1131" w:type="dxa"/>
            <w:gridSpan w:val="3"/>
            <w:noWrap/>
            <w:vAlign w:val="center"/>
          </w:tcPr>
          <w:p w14:paraId="02A1DA1E" w14:textId="77777777" w:rsidR="007075D9" w:rsidRPr="004D46AC" w:rsidRDefault="007075D9" w:rsidP="0090577F">
            <w:pPr>
              <w:spacing w:line="360" w:lineRule="auto"/>
              <w:ind w:firstLine="0"/>
            </w:pPr>
            <w:r w:rsidRPr="004D46AC">
              <w:t>0.04</w:t>
            </w:r>
          </w:p>
        </w:tc>
        <w:tc>
          <w:tcPr>
            <w:tcW w:w="807" w:type="dxa"/>
            <w:noWrap/>
            <w:vAlign w:val="center"/>
          </w:tcPr>
          <w:p w14:paraId="1639577D" w14:textId="77777777" w:rsidR="007075D9" w:rsidRPr="004D46AC" w:rsidRDefault="007075D9" w:rsidP="0090577F">
            <w:pPr>
              <w:spacing w:line="360" w:lineRule="auto"/>
              <w:ind w:firstLine="0"/>
            </w:pPr>
            <w:r w:rsidRPr="004D46AC">
              <w:t>4.20</w:t>
            </w:r>
          </w:p>
        </w:tc>
        <w:tc>
          <w:tcPr>
            <w:tcW w:w="1926" w:type="dxa"/>
          </w:tcPr>
          <w:p w14:paraId="30DE1ECB" w14:textId="77777777" w:rsidR="007075D9" w:rsidRPr="004D46AC" w:rsidRDefault="007075D9" w:rsidP="0090577F">
            <w:pPr>
              <w:spacing w:line="360" w:lineRule="auto"/>
              <w:ind w:firstLine="0"/>
            </w:pPr>
            <w:r w:rsidRPr="004D46AC">
              <w:t>[-0.003, 0.30]</w:t>
            </w:r>
          </w:p>
        </w:tc>
      </w:tr>
      <w:tr w:rsidR="007075D9" w:rsidRPr="004D46AC" w14:paraId="15ABEEFE" w14:textId="77777777" w:rsidTr="00B518F1">
        <w:trPr>
          <w:trHeight w:val="300"/>
        </w:trPr>
        <w:tc>
          <w:tcPr>
            <w:tcW w:w="3330" w:type="dxa"/>
            <w:gridSpan w:val="2"/>
            <w:noWrap/>
            <w:vAlign w:val="center"/>
          </w:tcPr>
          <w:p w14:paraId="2303C6E6" w14:textId="77777777" w:rsidR="007075D9" w:rsidRPr="004D46AC" w:rsidRDefault="007075D9" w:rsidP="0090577F">
            <w:pPr>
              <w:spacing w:line="360" w:lineRule="auto"/>
              <w:ind w:firstLine="0"/>
            </w:pPr>
            <w:r w:rsidRPr="004D46AC">
              <w:t>Mania (W5)</w:t>
            </w:r>
          </w:p>
        </w:tc>
        <w:tc>
          <w:tcPr>
            <w:tcW w:w="1106" w:type="dxa"/>
            <w:noWrap/>
            <w:vAlign w:val="center"/>
          </w:tcPr>
          <w:p w14:paraId="62F22A0A" w14:textId="77777777" w:rsidR="007075D9" w:rsidRPr="004D46AC" w:rsidRDefault="007075D9" w:rsidP="0090577F">
            <w:pPr>
              <w:spacing w:line="360" w:lineRule="auto"/>
              <w:ind w:firstLine="0"/>
            </w:pPr>
            <w:r w:rsidRPr="004D46AC">
              <w:t>0.11***</w:t>
            </w:r>
          </w:p>
        </w:tc>
        <w:tc>
          <w:tcPr>
            <w:tcW w:w="1131" w:type="dxa"/>
            <w:gridSpan w:val="3"/>
            <w:noWrap/>
            <w:vAlign w:val="center"/>
          </w:tcPr>
          <w:p w14:paraId="7F439C38" w14:textId="77777777" w:rsidR="007075D9" w:rsidRPr="004D46AC" w:rsidRDefault="007075D9" w:rsidP="0090577F">
            <w:pPr>
              <w:spacing w:line="360" w:lineRule="auto"/>
              <w:ind w:firstLine="0"/>
            </w:pPr>
            <w:r w:rsidRPr="004D46AC">
              <w:t>0.01</w:t>
            </w:r>
          </w:p>
        </w:tc>
        <w:tc>
          <w:tcPr>
            <w:tcW w:w="807" w:type="dxa"/>
            <w:noWrap/>
            <w:vAlign w:val="center"/>
          </w:tcPr>
          <w:p w14:paraId="5FCD0156" w14:textId="77777777" w:rsidR="007075D9" w:rsidRPr="004D46AC" w:rsidRDefault="007075D9" w:rsidP="0090577F">
            <w:pPr>
              <w:spacing w:line="360" w:lineRule="auto"/>
              <w:ind w:firstLine="0"/>
            </w:pPr>
            <w:r w:rsidRPr="004D46AC">
              <w:t>9.47</w:t>
            </w:r>
          </w:p>
        </w:tc>
        <w:tc>
          <w:tcPr>
            <w:tcW w:w="1926" w:type="dxa"/>
          </w:tcPr>
          <w:p w14:paraId="56B916C9" w14:textId="77777777" w:rsidR="007075D9" w:rsidRPr="004D46AC" w:rsidRDefault="007075D9" w:rsidP="0090577F">
            <w:pPr>
              <w:spacing w:line="360" w:lineRule="auto"/>
              <w:ind w:firstLine="0"/>
            </w:pPr>
            <w:r w:rsidRPr="004D46AC">
              <w:t>[0.07, 0.16]</w:t>
            </w:r>
          </w:p>
        </w:tc>
      </w:tr>
      <w:tr w:rsidR="007075D9" w:rsidRPr="004D46AC" w14:paraId="16FA1384" w14:textId="77777777" w:rsidTr="00B518F1">
        <w:trPr>
          <w:trHeight w:val="300"/>
        </w:trPr>
        <w:tc>
          <w:tcPr>
            <w:tcW w:w="3330" w:type="dxa"/>
            <w:gridSpan w:val="2"/>
            <w:noWrap/>
            <w:vAlign w:val="center"/>
          </w:tcPr>
          <w:p w14:paraId="7FFC552B" w14:textId="77777777" w:rsidR="007075D9" w:rsidRPr="004D46AC" w:rsidRDefault="007075D9" w:rsidP="0090577F">
            <w:pPr>
              <w:spacing w:line="360" w:lineRule="auto"/>
              <w:ind w:firstLine="0"/>
            </w:pPr>
            <w:proofErr w:type="spellStart"/>
            <w:r w:rsidRPr="004D46AC">
              <w:t>IoU</w:t>
            </w:r>
            <w:proofErr w:type="spellEnd"/>
            <w:r w:rsidRPr="004D46AC">
              <w:t>-I (W1)</w:t>
            </w:r>
          </w:p>
        </w:tc>
        <w:tc>
          <w:tcPr>
            <w:tcW w:w="1106" w:type="dxa"/>
            <w:noWrap/>
            <w:vAlign w:val="center"/>
          </w:tcPr>
          <w:p w14:paraId="0E5C5D18" w14:textId="77777777" w:rsidR="007075D9" w:rsidRPr="004D46AC" w:rsidRDefault="007075D9" w:rsidP="0090577F">
            <w:pPr>
              <w:spacing w:line="360" w:lineRule="auto"/>
              <w:ind w:firstLine="0"/>
            </w:pPr>
            <w:r w:rsidRPr="004D46AC">
              <w:t>-0.04***</w:t>
            </w:r>
          </w:p>
        </w:tc>
        <w:tc>
          <w:tcPr>
            <w:tcW w:w="1131" w:type="dxa"/>
            <w:gridSpan w:val="3"/>
            <w:noWrap/>
            <w:vAlign w:val="center"/>
          </w:tcPr>
          <w:p w14:paraId="086C089C" w14:textId="77777777" w:rsidR="007075D9" w:rsidRPr="004D46AC" w:rsidRDefault="007075D9" w:rsidP="0090577F">
            <w:pPr>
              <w:spacing w:line="360" w:lineRule="auto"/>
              <w:ind w:firstLine="0"/>
            </w:pPr>
            <w:r w:rsidRPr="004D46AC">
              <w:t>0.01</w:t>
            </w:r>
          </w:p>
        </w:tc>
        <w:tc>
          <w:tcPr>
            <w:tcW w:w="807" w:type="dxa"/>
            <w:noWrap/>
            <w:vAlign w:val="center"/>
          </w:tcPr>
          <w:p w14:paraId="33930690" w14:textId="77777777" w:rsidR="007075D9" w:rsidRPr="004D46AC" w:rsidRDefault="007075D9" w:rsidP="0090577F">
            <w:pPr>
              <w:spacing w:line="360" w:lineRule="auto"/>
              <w:ind w:firstLine="0"/>
            </w:pPr>
            <w:r w:rsidRPr="004D46AC">
              <w:t>-3.87</w:t>
            </w:r>
          </w:p>
        </w:tc>
        <w:tc>
          <w:tcPr>
            <w:tcW w:w="1926" w:type="dxa"/>
          </w:tcPr>
          <w:p w14:paraId="2A6F9D80" w14:textId="77777777" w:rsidR="007075D9" w:rsidRPr="004D46AC" w:rsidRDefault="007075D9" w:rsidP="0090577F">
            <w:pPr>
              <w:spacing w:line="360" w:lineRule="auto"/>
              <w:ind w:firstLine="0"/>
            </w:pPr>
            <w:r w:rsidRPr="004D46AC">
              <w:t xml:space="preserve">[-0.09, -0.01] </w:t>
            </w:r>
          </w:p>
        </w:tc>
      </w:tr>
    </w:tbl>
    <w:p w14:paraId="12CB6488" w14:textId="77777777" w:rsidR="007075D9" w:rsidRPr="004D46AC" w:rsidRDefault="007075D9" w:rsidP="0090577F">
      <w:pPr>
        <w:spacing w:line="360" w:lineRule="auto"/>
        <w:ind w:firstLine="0"/>
      </w:pPr>
      <w:r w:rsidRPr="004D46AC">
        <w:rPr>
          <w:i/>
          <w:iCs/>
        </w:rPr>
        <w:t>Note</w:t>
      </w:r>
      <w:r w:rsidRPr="004D46AC">
        <w:t>. BCI = bootstrapped confidence interval; W = assessment wave (e.g., W1 = Wave 1)</w:t>
      </w:r>
      <w:r w:rsidRPr="004D46AC">
        <w:rPr>
          <w:rFonts w:hint="eastAsia"/>
        </w:rPr>
        <w:t>.</w:t>
      </w:r>
      <w:r w:rsidRPr="004D46AC">
        <w:t xml:space="preserve"> ACEs = adverse childhood experiences; </w:t>
      </w:r>
      <w:proofErr w:type="spellStart"/>
      <w:r w:rsidRPr="004D46AC">
        <w:t>IoU</w:t>
      </w:r>
      <w:proofErr w:type="spellEnd"/>
      <w:r w:rsidRPr="004D46AC">
        <w:t xml:space="preserve"> = intolerance of uncertainty (I = inhibitory, P = prospective); PLEs = psychotic-like experiences; SSR = subjective social rank, SSR.</w:t>
      </w:r>
    </w:p>
    <w:p w14:paraId="1FDC6404" w14:textId="77777777" w:rsidR="007075D9" w:rsidRPr="004D46AC" w:rsidRDefault="007075D9" w:rsidP="0090577F">
      <w:pPr>
        <w:spacing w:line="360" w:lineRule="auto"/>
        <w:ind w:firstLine="0"/>
      </w:pPr>
      <w:r w:rsidRPr="004D46AC">
        <w:t>*</w:t>
      </w:r>
      <w:r w:rsidRPr="004D46AC">
        <w:rPr>
          <w:i/>
          <w:iCs/>
        </w:rPr>
        <w:t>p</w:t>
      </w:r>
      <w:r w:rsidRPr="004D46AC">
        <w:t xml:space="preserve"> &lt; .05, **</w:t>
      </w:r>
      <w:r w:rsidRPr="004D46AC">
        <w:rPr>
          <w:i/>
          <w:iCs/>
        </w:rPr>
        <w:t>p</w:t>
      </w:r>
      <w:r w:rsidRPr="004D46AC">
        <w:t xml:space="preserve"> &lt;.01, ***</w:t>
      </w:r>
      <w:r w:rsidRPr="004D46AC">
        <w:rPr>
          <w:i/>
          <w:iCs/>
        </w:rPr>
        <w:t>p</w:t>
      </w:r>
      <w:r w:rsidRPr="004D46AC">
        <w:t xml:space="preserve"> &lt; .001.</w:t>
      </w:r>
    </w:p>
    <w:p w14:paraId="64F5A02D" w14:textId="77777777" w:rsidR="007075D9" w:rsidRPr="004D46AC" w:rsidRDefault="007075D9" w:rsidP="00B518F1">
      <w:pPr>
        <w:pStyle w:val="affc"/>
      </w:pPr>
      <w:r w:rsidRPr="004D46AC">
        <w:t xml:space="preserve">  </w:t>
      </w:r>
    </w:p>
    <w:p w14:paraId="3E0EDD6D" w14:textId="77777777" w:rsidR="007075D9" w:rsidRPr="004D46AC" w:rsidRDefault="007075D9" w:rsidP="00B518F1">
      <w:r w:rsidRPr="004D46AC">
        <w:t>The number of PLEs at Wave 9, after adjusting for PLEs at wave 5, was similarly predicted by anxiety at wave 9 (</w:t>
      </w:r>
      <w:r w:rsidRPr="004D46AC">
        <w:rPr>
          <w:i/>
          <w:iCs/>
        </w:rPr>
        <w:t>b</w:t>
      </w:r>
      <w:r w:rsidRPr="004D46AC">
        <w:t xml:space="preserve"> = 0.06, </w:t>
      </w:r>
      <w:r w:rsidRPr="004D46AC">
        <w:rPr>
          <w:i/>
          <w:iCs/>
        </w:rPr>
        <w:t>SE</w:t>
      </w:r>
      <w:r w:rsidRPr="004D46AC">
        <w:t xml:space="preserve"> = 0.02, </w:t>
      </w:r>
      <w:r w:rsidRPr="004D46AC">
        <w:rPr>
          <w:i/>
          <w:iCs/>
        </w:rPr>
        <w:t>p</w:t>
      </w:r>
      <w:r w:rsidRPr="004D46AC">
        <w:t xml:space="preserve"> &lt; .001, 95% BCI [0.02, 0.10]); mania at wave 5 (</w:t>
      </w:r>
      <w:r w:rsidRPr="004D46AC">
        <w:rPr>
          <w:i/>
          <w:iCs/>
        </w:rPr>
        <w:t>b</w:t>
      </w:r>
      <w:r w:rsidRPr="004D46AC">
        <w:t xml:space="preserve"> = 0.07, </w:t>
      </w:r>
      <w:r w:rsidRPr="004D46AC">
        <w:rPr>
          <w:i/>
          <w:iCs/>
        </w:rPr>
        <w:t>SE</w:t>
      </w:r>
      <w:r w:rsidRPr="004D46AC">
        <w:t xml:space="preserve"> = 0.03, </w:t>
      </w:r>
      <w:r w:rsidRPr="004D46AC">
        <w:rPr>
          <w:i/>
          <w:iCs/>
        </w:rPr>
        <w:t>p</w:t>
      </w:r>
      <w:r w:rsidRPr="004D46AC">
        <w:t xml:space="preserve"> &lt; .01, 95% BCI [0.03, 0.14]); and ACEs (</w:t>
      </w:r>
      <w:r w:rsidRPr="004D46AC">
        <w:rPr>
          <w:i/>
          <w:iCs/>
        </w:rPr>
        <w:t>b</w:t>
      </w:r>
      <w:r w:rsidRPr="004D46AC">
        <w:t xml:space="preserve"> = 0.14, </w:t>
      </w:r>
      <w:r w:rsidRPr="004D46AC">
        <w:rPr>
          <w:i/>
          <w:iCs/>
        </w:rPr>
        <w:t>SE</w:t>
      </w:r>
      <w:r w:rsidRPr="004D46AC">
        <w:t xml:space="preserve"> = 0.05, </w:t>
      </w:r>
      <w:r w:rsidRPr="004D46AC">
        <w:rPr>
          <w:i/>
          <w:iCs/>
        </w:rPr>
        <w:t>p</w:t>
      </w:r>
      <w:r w:rsidRPr="004D46AC">
        <w:t xml:space="preserve"> &lt; .01, 95% BCI [</w:t>
      </w:r>
      <w:r w:rsidRPr="004D46AC">
        <w:rPr>
          <w:rFonts w:hint="eastAsia"/>
        </w:rPr>
        <w:t>-</w:t>
      </w:r>
      <w:r w:rsidRPr="004D46AC">
        <w:t>0.02, 0.25]). The model explained 32% of the total variance.</w:t>
      </w:r>
    </w:p>
    <w:p w14:paraId="5B517AD5" w14:textId="35FFDA13" w:rsidR="007075D9" w:rsidRPr="004D46AC" w:rsidRDefault="007075D9" w:rsidP="00B518F1">
      <w:r w:rsidRPr="004D46AC">
        <w:lastRenderedPageBreak/>
        <w:t xml:space="preserve">The binary models of PLEs were largely consistent with the continuous models, except for the following variations. The wave 5 binary model of PLEs did not find a significant effect of SSR, while </w:t>
      </w:r>
      <w:proofErr w:type="spellStart"/>
      <w:r w:rsidRPr="004D46AC">
        <w:t>IoU</w:t>
      </w:r>
      <w:proofErr w:type="spellEnd"/>
      <w:r w:rsidRPr="004D46AC">
        <w:t>-P exhibited a positive association (</w:t>
      </w:r>
      <w:r w:rsidRPr="004D46AC">
        <w:rPr>
          <w:i/>
          <w:iCs/>
        </w:rPr>
        <w:t>b</w:t>
      </w:r>
      <w:r w:rsidRPr="004D46AC">
        <w:t xml:space="preserve"> = 0.05, </w:t>
      </w:r>
      <w:r w:rsidRPr="004D46AC">
        <w:rPr>
          <w:i/>
          <w:iCs/>
        </w:rPr>
        <w:t>SE</w:t>
      </w:r>
      <w:r w:rsidRPr="004D46AC">
        <w:t xml:space="preserve"> = 0.02, </w:t>
      </w:r>
      <w:r w:rsidRPr="004D46AC">
        <w:rPr>
          <w:i/>
          <w:iCs/>
        </w:rPr>
        <w:t>p</w:t>
      </w:r>
      <w:r w:rsidRPr="004D46AC">
        <w:t xml:space="preserve"> &lt; .05, 95% BCI [0.01, 0.10]). In the wave 9 binary model, no significant effect of ACEs was detected; see Table </w:t>
      </w:r>
      <w:r w:rsidRPr="004D46AC">
        <w:rPr>
          <w:rFonts w:hint="eastAsia"/>
        </w:rPr>
        <w:t>D</w:t>
      </w:r>
      <w:r w:rsidR="00AD0A74" w:rsidRPr="004D46AC">
        <w:rPr>
          <w:rFonts w:eastAsiaTheme="minorEastAsia" w:hint="eastAsia"/>
        </w:rPr>
        <w:t xml:space="preserve"> 4</w:t>
      </w:r>
      <w:r w:rsidRPr="004D46AC">
        <w:t xml:space="preserve"> for details.</w:t>
      </w:r>
    </w:p>
    <w:p w14:paraId="5FE22E38" w14:textId="77777777" w:rsidR="007075D9" w:rsidRPr="004D46AC" w:rsidRDefault="007075D9" w:rsidP="00B518F1">
      <w:pPr>
        <w:pStyle w:val="4"/>
      </w:pPr>
      <w:r w:rsidRPr="004D46AC">
        <w:t>Depression</w:t>
      </w:r>
    </w:p>
    <w:p w14:paraId="03140951" w14:textId="77777777" w:rsidR="007075D9" w:rsidRPr="004D46AC" w:rsidRDefault="007075D9" w:rsidP="00B518F1">
      <w:r w:rsidRPr="004D46AC">
        <w:t>The model predicting the severity of wave 5 depression explained 55% of the total variance. Baseline depression severity (</w:t>
      </w:r>
      <w:r w:rsidRPr="004D46AC">
        <w:rPr>
          <w:i/>
          <w:iCs/>
        </w:rPr>
        <w:t>b</w:t>
      </w:r>
      <w:r w:rsidRPr="004D46AC">
        <w:t xml:space="preserve"> = 0.04, </w:t>
      </w:r>
      <w:r w:rsidRPr="004D46AC">
        <w:rPr>
          <w:i/>
          <w:iCs/>
        </w:rPr>
        <w:t>SE</w:t>
      </w:r>
      <w:r w:rsidRPr="004D46AC">
        <w:t xml:space="preserve"> = 0.01, </w:t>
      </w:r>
      <w:r w:rsidRPr="004D46AC">
        <w:rPr>
          <w:i/>
          <w:iCs/>
        </w:rPr>
        <w:t>p</w:t>
      </w:r>
      <w:r w:rsidRPr="004D46AC">
        <w:t xml:space="preserve"> &lt; .001, 95% BCI [0.03, 0.06]),  ACEs (</w:t>
      </w:r>
      <w:r w:rsidRPr="004D46AC">
        <w:rPr>
          <w:i/>
          <w:iCs/>
        </w:rPr>
        <w:t>b</w:t>
      </w:r>
      <w:r w:rsidRPr="004D46AC">
        <w:t xml:space="preserve"> = 0.08, </w:t>
      </w:r>
      <w:r w:rsidRPr="004D46AC">
        <w:rPr>
          <w:i/>
          <w:iCs/>
        </w:rPr>
        <w:t>SE</w:t>
      </w:r>
      <w:r w:rsidRPr="004D46AC">
        <w:t xml:space="preserve"> = 0.03, </w:t>
      </w:r>
      <w:r w:rsidRPr="004D46AC">
        <w:rPr>
          <w:i/>
          <w:iCs/>
        </w:rPr>
        <w:t>p</w:t>
      </w:r>
      <w:r w:rsidRPr="004D46AC">
        <w:t xml:space="preserve"> &lt; .01, 95% BCI [0.03, 0.13]) and anxiety (</w:t>
      </w:r>
      <w:r w:rsidRPr="004D46AC">
        <w:rPr>
          <w:i/>
          <w:iCs/>
        </w:rPr>
        <w:t>b</w:t>
      </w:r>
      <w:r w:rsidRPr="004D46AC">
        <w:t xml:space="preserve"> = 0.12, </w:t>
      </w:r>
      <w:r w:rsidRPr="004D46AC">
        <w:rPr>
          <w:i/>
          <w:iCs/>
        </w:rPr>
        <w:t>SE</w:t>
      </w:r>
      <w:r w:rsidRPr="004D46AC">
        <w:t xml:space="preserve"> = 0.01, </w:t>
      </w:r>
      <w:r w:rsidRPr="004D46AC">
        <w:rPr>
          <w:i/>
          <w:iCs/>
        </w:rPr>
        <w:t>p</w:t>
      </w:r>
      <w:r w:rsidRPr="004D46AC">
        <w:t xml:space="preserve"> &lt; .001, 95% BCI [0.11, 0.14]) as well as mania severity at wave 5 (</w:t>
      </w:r>
      <w:r w:rsidRPr="004D46AC">
        <w:rPr>
          <w:i/>
          <w:iCs/>
        </w:rPr>
        <w:t>b</w:t>
      </w:r>
      <w:r w:rsidRPr="004D46AC">
        <w:t xml:space="preserve"> = 0.04, </w:t>
      </w:r>
      <w:r w:rsidRPr="004D46AC">
        <w:rPr>
          <w:i/>
          <w:iCs/>
        </w:rPr>
        <w:t>SE</w:t>
      </w:r>
      <w:r w:rsidRPr="004D46AC">
        <w:t xml:space="preserve"> = 0.01, </w:t>
      </w:r>
      <w:r w:rsidRPr="004D46AC">
        <w:rPr>
          <w:i/>
          <w:iCs/>
        </w:rPr>
        <w:t>p</w:t>
      </w:r>
      <w:r w:rsidRPr="004D46AC">
        <w:t xml:space="preserve"> &lt; .01, 95% BCI [0.02, 0.07]) were statistically significant predictors.</w:t>
      </w:r>
    </w:p>
    <w:p w14:paraId="32B61C47" w14:textId="77777777" w:rsidR="007075D9" w:rsidRPr="004D46AC" w:rsidRDefault="007075D9" w:rsidP="00B518F1">
      <w:r w:rsidRPr="004D46AC">
        <w:t>The model of wave 9 depression severity explained 47% of the total variance. ACEs (</w:t>
      </w:r>
      <w:r w:rsidRPr="004D46AC">
        <w:rPr>
          <w:i/>
          <w:iCs/>
        </w:rPr>
        <w:t>b</w:t>
      </w:r>
      <w:r w:rsidRPr="004D46AC">
        <w:t xml:space="preserve"> = 0.11, </w:t>
      </w:r>
      <w:r w:rsidRPr="004D46AC">
        <w:rPr>
          <w:i/>
          <w:iCs/>
        </w:rPr>
        <w:t>SE</w:t>
      </w:r>
      <w:r w:rsidRPr="004D46AC">
        <w:t xml:space="preserve"> = 0.04, </w:t>
      </w:r>
      <w:r w:rsidRPr="004D46AC">
        <w:rPr>
          <w:i/>
          <w:iCs/>
        </w:rPr>
        <w:t>p</w:t>
      </w:r>
      <w:r w:rsidRPr="004D46AC">
        <w:t xml:space="preserve"> &lt; .01, 95% BCI [0.03, 0.19]), wave 9 anxiety (</w:t>
      </w:r>
      <w:r w:rsidRPr="004D46AC">
        <w:rPr>
          <w:i/>
          <w:iCs/>
        </w:rPr>
        <w:t>b</w:t>
      </w:r>
      <w:r w:rsidRPr="004D46AC">
        <w:t xml:space="preserve"> = 0.13, </w:t>
      </w:r>
      <w:r w:rsidRPr="004D46AC">
        <w:rPr>
          <w:i/>
          <w:iCs/>
        </w:rPr>
        <w:t>SE</w:t>
      </w:r>
      <w:r w:rsidRPr="004D46AC">
        <w:t xml:space="preserve"> = 0.03, </w:t>
      </w:r>
      <w:r w:rsidRPr="004D46AC">
        <w:rPr>
          <w:i/>
          <w:iCs/>
        </w:rPr>
        <w:t>p</w:t>
      </w:r>
      <w:r w:rsidRPr="004D46AC">
        <w:t xml:space="preserve"> &lt; .001, 95% BCI [0.11, 0.15]), and wave 5 depression severity (</w:t>
      </w:r>
      <w:r w:rsidRPr="004D46AC">
        <w:rPr>
          <w:i/>
          <w:iCs/>
        </w:rPr>
        <w:t>b</w:t>
      </w:r>
      <w:r w:rsidRPr="004D46AC">
        <w:t xml:space="preserve"> = 0.15, </w:t>
      </w:r>
      <w:r w:rsidRPr="004D46AC">
        <w:rPr>
          <w:i/>
          <w:iCs/>
        </w:rPr>
        <w:t>SE</w:t>
      </w:r>
      <w:r w:rsidRPr="004D46AC">
        <w:t xml:space="preserve"> = 0.04, </w:t>
      </w:r>
      <w:r w:rsidRPr="004D46AC">
        <w:rPr>
          <w:i/>
          <w:iCs/>
        </w:rPr>
        <w:t>p</w:t>
      </w:r>
      <w:r w:rsidRPr="004D46AC">
        <w:t xml:space="preserve"> &lt; .001, 95% BCI [0.07, 0.37]) remained significant predictors of this outcome. In addition, </w:t>
      </w:r>
      <w:proofErr w:type="spellStart"/>
      <w:r w:rsidRPr="004D46AC">
        <w:t>IoU</w:t>
      </w:r>
      <w:proofErr w:type="spellEnd"/>
      <w:r w:rsidRPr="004D46AC">
        <w:t>-P (</w:t>
      </w:r>
      <w:r w:rsidRPr="004D46AC">
        <w:rPr>
          <w:i/>
          <w:iCs/>
        </w:rPr>
        <w:t>b</w:t>
      </w:r>
      <w:r w:rsidRPr="004D46AC">
        <w:t xml:space="preserve"> = 0.02, </w:t>
      </w:r>
      <w:r w:rsidRPr="004D46AC">
        <w:rPr>
          <w:i/>
          <w:iCs/>
        </w:rPr>
        <w:t>SE</w:t>
      </w:r>
      <w:r w:rsidRPr="004D46AC">
        <w:t xml:space="preserve"> = 0.01, </w:t>
      </w:r>
      <w:r w:rsidRPr="004D46AC">
        <w:rPr>
          <w:i/>
          <w:iCs/>
        </w:rPr>
        <w:t>p</w:t>
      </w:r>
      <w:r w:rsidRPr="004D46AC">
        <w:t xml:space="preserve"> &lt; .05, 95% BCI [0.003, 0.05]), anxious attachment style (</w:t>
      </w:r>
      <w:r w:rsidRPr="004D46AC">
        <w:rPr>
          <w:i/>
          <w:iCs/>
        </w:rPr>
        <w:t>b</w:t>
      </w:r>
      <w:r w:rsidRPr="004D46AC">
        <w:t xml:space="preserve"> = 0.01, </w:t>
      </w:r>
      <w:r w:rsidRPr="004D46AC">
        <w:rPr>
          <w:i/>
          <w:iCs/>
        </w:rPr>
        <w:t>SE</w:t>
      </w:r>
      <w:r w:rsidRPr="004D46AC">
        <w:t xml:space="preserve"> = 0.005, </w:t>
      </w:r>
      <w:r w:rsidRPr="004D46AC">
        <w:rPr>
          <w:i/>
          <w:iCs/>
        </w:rPr>
        <w:t>p</w:t>
      </w:r>
      <w:r w:rsidRPr="004D46AC">
        <w:t xml:space="preserve"> &lt; .05, 95% BCI [0.002, 0.03]), and the number of experienced PLEs at Wave 5 (</w:t>
      </w:r>
      <w:r w:rsidRPr="004D46AC">
        <w:rPr>
          <w:i/>
          <w:iCs/>
        </w:rPr>
        <w:t>b</w:t>
      </w:r>
      <w:r w:rsidRPr="004D46AC">
        <w:t xml:space="preserve"> = </w:t>
      </w:r>
      <w:r w:rsidRPr="004D46AC">
        <w:rPr>
          <w:rFonts w:hint="eastAsia"/>
        </w:rPr>
        <w:t>-</w:t>
      </w:r>
      <w:r w:rsidRPr="004D46AC">
        <w:t xml:space="preserve">0.14, </w:t>
      </w:r>
      <w:r w:rsidRPr="004D46AC">
        <w:rPr>
          <w:i/>
          <w:iCs/>
        </w:rPr>
        <w:t>SE</w:t>
      </w:r>
      <w:r w:rsidRPr="004D46AC">
        <w:t xml:space="preserve"> = 0.06, </w:t>
      </w:r>
      <w:r w:rsidRPr="004D46AC">
        <w:rPr>
          <w:i/>
          <w:iCs/>
        </w:rPr>
        <w:t>p</w:t>
      </w:r>
      <w:r w:rsidRPr="004D46AC">
        <w:t xml:space="preserve"> &lt; .05, 95% BCI [</w:t>
      </w:r>
      <w:r w:rsidRPr="004D46AC">
        <w:rPr>
          <w:rFonts w:hint="eastAsia"/>
        </w:rPr>
        <w:t>-</w:t>
      </w:r>
      <w:r w:rsidRPr="004D46AC">
        <w:t xml:space="preserve">0.27, </w:t>
      </w:r>
      <w:r w:rsidRPr="004D46AC">
        <w:rPr>
          <w:rFonts w:hint="eastAsia"/>
        </w:rPr>
        <w:t>-</w:t>
      </w:r>
      <w:r w:rsidRPr="004D46AC">
        <w:t>0.02]) predicted depression severity at Wave 9.</w:t>
      </w:r>
    </w:p>
    <w:p w14:paraId="0F679DF3" w14:textId="20EC2D31" w:rsidR="007075D9" w:rsidRPr="004D46AC" w:rsidRDefault="007075D9" w:rsidP="00B518F1">
      <w:r w:rsidRPr="004D46AC">
        <w:t>Compared to the continuous models, binary models of depression across waves displayed some variations. In the wave 5 model, age was a positive predictor (</w:t>
      </w:r>
      <w:r w:rsidRPr="004D46AC">
        <w:rPr>
          <w:i/>
          <w:iCs/>
        </w:rPr>
        <w:t>b</w:t>
      </w:r>
      <w:r w:rsidRPr="004D46AC">
        <w:t xml:space="preserve"> = 0.02, </w:t>
      </w:r>
      <w:r w:rsidRPr="004D46AC">
        <w:rPr>
          <w:i/>
          <w:iCs/>
        </w:rPr>
        <w:t>SE</w:t>
      </w:r>
      <w:r w:rsidRPr="004D46AC">
        <w:t xml:space="preserve"> = 0.01, </w:t>
      </w:r>
      <w:r w:rsidRPr="004D46AC">
        <w:rPr>
          <w:i/>
          <w:iCs/>
        </w:rPr>
        <w:t>p</w:t>
      </w:r>
      <w:r w:rsidRPr="004D46AC">
        <w:t xml:space="preserve"> &lt; .05, 95% BCI [</w:t>
      </w:r>
      <w:r w:rsidRPr="004D46AC">
        <w:rPr>
          <w:rFonts w:hint="eastAsia"/>
        </w:rPr>
        <w:t>-</w:t>
      </w:r>
      <w:r w:rsidRPr="004D46AC">
        <w:t xml:space="preserve">0.0002, 0.05]), whereas in the wave 9 model, ACEs, attachment style, and experienced PLEs were non-significant; see Table </w:t>
      </w:r>
      <w:r w:rsidRPr="004D46AC">
        <w:rPr>
          <w:rFonts w:hint="eastAsia"/>
        </w:rPr>
        <w:t>D</w:t>
      </w:r>
      <w:r w:rsidR="00AD0A74" w:rsidRPr="004D46AC">
        <w:rPr>
          <w:rFonts w:eastAsiaTheme="minorEastAsia" w:hint="eastAsia"/>
        </w:rPr>
        <w:t xml:space="preserve"> 4</w:t>
      </w:r>
      <w:r w:rsidRPr="004D46AC">
        <w:t xml:space="preserve"> for details.</w:t>
      </w:r>
    </w:p>
    <w:p w14:paraId="152328B4" w14:textId="77777777" w:rsidR="007075D9" w:rsidRPr="004D46AC" w:rsidRDefault="007075D9" w:rsidP="00B518F1">
      <w:pPr>
        <w:pStyle w:val="4"/>
      </w:pPr>
      <w:r w:rsidRPr="004D46AC">
        <w:t>Mania</w:t>
      </w:r>
    </w:p>
    <w:p w14:paraId="00DD486D" w14:textId="77777777" w:rsidR="007075D9" w:rsidRPr="004D46AC" w:rsidRDefault="007075D9" w:rsidP="00B518F1">
      <w:r w:rsidRPr="004D46AC">
        <w:t xml:space="preserve">Mania severity at </w:t>
      </w:r>
      <w:r w:rsidRPr="004D46AC">
        <w:rPr>
          <w:rFonts w:hint="eastAsia"/>
        </w:rPr>
        <w:t>W</w:t>
      </w:r>
      <w:r w:rsidRPr="004D46AC">
        <w:t>ave 5 was predicted by ACEs (</w:t>
      </w:r>
      <w:r w:rsidRPr="004D46AC">
        <w:rPr>
          <w:i/>
          <w:iCs/>
        </w:rPr>
        <w:t>b</w:t>
      </w:r>
      <w:r w:rsidRPr="004D46AC">
        <w:t xml:space="preserve"> = 0.08, </w:t>
      </w:r>
      <w:r w:rsidRPr="004D46AC">
        <w:rPr>
          <w:i/>
          <w:iCs/>
        </w:rPr>
        <w:t>SE</w:t>
      </w:r>
      <w:r w:rsidRPr="004D46AC">
        <w:t xml:space="preserve"> = 0.02, </w:t>
      </w:r>
      <w:r w:rsidRPr="004D46AC">
        <w:rPr>
          <w:i/>
          <w:iCs/>
        </w:rPr>
        <w:t>p</w:t>
      </w:r>
      <w:r w:rsidRPr="004D46AC">
        <w:t xml:space="preserve"> &lt; .001, 95% BCI [0.03, 0.14]); anxiety (</w:t>
      </w:r>
      <w:r w:rsidRPr="004D46AC">
        <w:rPr>
          <w:i/>
          <w:iCs/>
        </w:rPr>
        <w:t>b</w:t>
      </w:r>
      <w:r w:rsidRPr="004D46AC">
        <w:t xml:space="preserve"> = 0.04, </w:t>
      </w:r>
      <w:r w:rsidRPr="004D46AC">
        <w:rPr>
          <w:i/>
          <w:iCs/>
        </w:rPr>
        <w:t>SE</w:t>
      </w:r>
      <w:r w:rsidRPr="004D46AC">
        <w:t xml:space="preserve"> = 0.005, </w:t>
      </w:r>
      <w:r w:rsidRPr="004D46AC">
        <w:rPr>
          <w:i/>
          <w:iCs/>
        </w:rPr>
        <w:t>p</w:t>
      </w:r>
      <w:r w:rsidRPr="004D46AC">
        <w:t xml:space="preserve"> &lt; .001, 95% BCI [0.02, 0.05]); PLEs (</w:t>
      </w:r>
      <w:r w:rsidRPr="004D46AC">
        <w:rPr>
          <w:i/>
          <w:iCs/>
        </w:rPr>
        <w:t>b</w:t>
      </w:r>
      <w:r w:rsidRPr="004D46AC">
        <w:t xml:space="preserve"> = 0.31, </w:t>
      </w:r>
      <w:r w:rsidRPr="004D46AC">
        <w:rPr>
          <w:i/>
          <w:iCs/>
        </w:rPr>
        <w:t>SE</w:t>
      </w:r>
      <w:r w:rsidRPr="004D46AC">
        <w:t xml:space="preserve"> = 0.02, </w:t>
      </w:r>
      <w:r w:rsidRPr="004D46AC">
        <w:rPr>
          <w:i/>
          <w:iCs/>
        </w:rPr>
        <w:t>p</w:t>
      </w:r>
      <w:r w:rsidRPr="004D46AC">
        <w:t xml:space="preserve"> &lt; .001, 95% BCI [0.23, 0.40]); and baseline depression severity (</w:t>
      </w:r>
      <w:r w:rsidRPr="004D46AC">
        <w:rPr>
          <w:i/>
          <w:iCs/>
        </w:rPr>
        <w:t>b</w:t>
      </w:r>
      <w:r w:rsidRPr="004D46AC">
        <w:t xml:space="preserve"> = 0.01, </w:t>
      </w:r>
      <w:r w:rsidRPr="004D46AC">
        <w:rPr>
          <w:i/>
          <w:iCs/>
        </w:rPr>
        <w:t>SE</w:t>
      </w:r>
      <w:r w:rsidRPr="004D46AC">
        <w:t xml:space="preserve"> = 0.005, </w:t>
      </w:r>
      <w:r w:rsidRPr="004D46AC">
        <w:rPr>
          <w:i/>
          <w:iCs/>
        </w:rPr>
        <w:t>p</w:t>
      </w:r>
      <w:r w:rsidRPr="004D46AC">
        <w:t xml:space="preserve"> &lt; .01, 95% BCI [</w:t>
      </w:r>
      <w:r w:rsidRPr="004D46AC">
        <w:rPr>
          <w:rFonts w:hint="eastAsia"/>
        </w:rPr>
        <w:t>-</w:t>
      </w:r>
      <w:r w:rsidRPr="004D46AC">
        <w:t>0.01, 0.03]). Demographic factors such as age (</w:t>
      </w:r>
      <w:r w:rsidRPr="004D46AC">
        <w:rPr>
          <w:i/>
          <w:iCs/>
        </w:rPr>
        <w:t>b</w:t>
      </w:r>
      <w:r w:rsidRPr="004D46AC">
        <w:t xml:space="preserve"> = </w:t>
      </w:r>
      <w:r w:rsidRPr="004D46AC">
        <w:rPr>
          <w:rFonts w:hint="eastAsia"/>
        </w:rPr>
        <w:t>-</w:t>
      </w:r>
      <w:r w:rsidRPr="004D46AC">
        <w:t xml:space="preserve">0.005, </w:t>
      </w:r>
      <w:r w:rsidRPr="004D46AC">
        <w:rPr>
          <w:i/>
          <w:iCs/>
        </w:rPr>
        <w:lastRenderedPageBreak/>
        <w:t>SE</w:t>
      </w:r>
      <w:r w:rsidRPr="004D46AC">
        <w:t xml:space="preserve"> = 0.002, </w:t>
      </w:r>
      <w:r w:rsidRPr="004D46AC">
        <w:rPr>
          <w:i/>
          <w:iCs/>
        </w:rPr>
        <w:t>p</w:t>
      </w:r>
      <w:r w:rsidRPr="004D46AC">
        <w:t xml:space="preserve"> &lt; .001, 95% BCI [</w:t>
      </w:r>
      <w:r w:rsidRPr="004D46AC">
        <w:rPr>
          <w:rFonts w:hint="eastAsia"/>
        </w:rPr>
        <w:t>-</w:t>
      </w:r>
      <w:r w:rsidRPr="004D46AC">
        <w:t>0.01, 0.0002]); gender (</w:t>
      </w:r>
      <w:r w:rsidRPr="004D46AC">
        <w:rPr>
          <w:i/>
          <w:iCs/>
        </w:rPr>
        <w:t>b</w:t>
      </w:r>
      <w:r w:rsidRPr="004D46AC">
        <w:t xml:space="preserve"> = </w:t>
      </w:r>
      <w:r w:rsidRPr="004D46AC">
        <w:rPr>
          <w:rFonts w:hint="eastAsia"/>
        </w:rPr>
        <w:t>-</w:t>
      </w:r>
      <w:r w:rsidRPr="004D46AC">
        <w:t xml:space="preserve">0.13, </w:t>
      </w:r>
      <w:r w:rsidRPr="004D46AC">
        <w:rPr>
          <w:i/>
          <w:iCs/>
        </w:rPr>
        <w:t>SE</w:t>
      </w:r>
      <w:r w:rsidRPr="004D46AC">
        <w:t xml:space="preserve"> = 0.04, </w:t>
      </w:r>
      <w:r w:rsidRPr="004D46AC">
        <w:rPr>
          <w:i/>
          <w:iCs/>
        </w:rPr>
        <w:t>t</w:t>
      </w:r>
      <w:r w:rsidRPr="004D46AC">
        <w:t xml:space="preserve"> = </w:t>
      </w:r>
      <w:r w:rsidRPr="004D46AC">
        <w:rPr>
          <w:rFonts w:hint="eastAsia"/>
        </w:rPr>
        <w:t>-</w:t>
      </w:r>
      <w:r w:rsidRPr="004D46AC">
        <w:t>3.03, 95% BCI [</w:t>
      </w:r>
      <w:r w:rsidRPr="004D46AC">
        <w:rPr>
          <w:rFonts w:hint="eastAsia"/>
        </w:rPr>
        <w:t>-</w:t>
      </w:r>
      <w:r w:rsidRPr="004D46AC">
        <w:t>0.39, 0.01]); SSR (</w:t>
      </w:r>
      <w:r w:rsidRPr="004D46AC">
        <w:rPr>
          <w:i/>
          <w:iCs/>
        </w:rPr>
        <w:t>b</w:t>
      </w:r>
      <w:r w:rsidRPr="004D46AC">
        <w:t xml:space="preserve"> = 0.04, </w:t>
      </w:r>
      <w:r w:rsidRPr="004D46AC">
        <w:rPr>
          <w:i/>
          <w:iCs/>
        </w:rPr>
        <w:t>SE</w:t>
      </w:r>
      <w:r w:rsidRPr="004D46AC">
        <w:t xml:space="preserve"> = 0.01, </w:t>
      </w:r>
      <w:r w:rsidRPr="004D46AC">
        <w:rPr>
          <w:i/>
          <w:iCs/>
        </w:rPr>
        <w:t>p</w:t>
      </w:r>
      <w:r w:rsidRPr="004D46AC">
        <w:t xml:space="preserve"> &lt; .01, 95% BCI [</w:t>
      </w:r>
      <w:r w:rsidRPr="004D46AC">
        <w:rPr>
          <w:rFonts w:hint="eastAsia"/>
        </w:rPr>
        <w:t>-</w:t>
      </w:r>
      <w:r w:rsidRPr="004D46AC">
        <w:t>0.01, 0.08]); and baseline urbanicity (</w:t>
      </w:r>
      <w:r w:rsidRPr="004D46AC">
        <w:rPr>
          <w:i/>
          <w:iCs/>
        </w:rPr>
        <w:t>b</w:t>
      </w:r>
      <w:r w:rsidRPr="004D46AC">
        <w:t xml:space="preserve"> = 0.20, </w:t>
      </w:r>
      <w:r w:rsidRPr="004D46AC">
        <w:rPr>
          <w:i/>
          <w:iCs/>
        </w:rPr>
        <w:t>SE</w:t>
      </w:r>
      <w:r w:rsidRPr="004D46AC">
        <w:t xml:space="preserve"> = 0.05, </w:t>
      </w:r>
      <w:r w:rsidRPr="004D46AC">
        <w:rPr>
          <w:i/>
          <w:iCs/>
        </w:rPr>
        <w:t>p</w:t>
      </w:r>
      <w:r w:rsidRPr="004D46AC">
        <w:t xml:space="preserve"> &lt; .001, 95% BCI [</w:t>
      </w:r>
      <w:r w:rsidRPr="004D46AC">
        <w:rPr>
          <w:rFonts w:hint="eastAsia"/>
        </w:rPr>
        <w:t>-</w:t>
      </w:r>
      <w:r w:rsidRPr="004D46AC">
        <w:t>0.01, 0.39]) also predicted mania severity. Personality traits including neuroticism (</w:t>
      </w:r>
      <w:r w:rsidRPr="004D46AC">
        <w:rPr>
          <w:i/>
          <w:iCs/>
        </w:rPr>
        <w:t>b</w:t>
      </w:r>
      <w:r w:rsidRPr="004D46AC">
        <w:t xml:space="preserve"> = 0.05, </w:t>
      </w:r>
      <w:r w:rsidRPr="004D46AC">
        <w:rPr>
          <w:i/>
          <w:iCs/>
        </w:rPr>
        <w:t>SE</w:t>
      </w:r>
      <w:r w:rsidRPr="004D46AC">
        <w:t xml:space="preserve"> = 0.01, </w:t>
      </w:r>
      <w:r w:rsidRPr="004D46AC">
        <w:rPr>
          <w:i/>
          <w:iCs/>
        </w:rPr>
        <w:t>p</w:t>
      </w:r>
      <w:r w:rsidRPr="004D46AC">
        <w:t xml:space="preserve"> &lt; .001, 95% BCI [0.003, 0.10]); openness to experience (</w:t>
      </w:r>
      <w:r w:rsidRPr="004D46AC">
        <w:rPr>
          <w:i/>
          <w:iCs/>
        </w:rPr>
        <w:t>b</w:t>
      </w:r>
      <w:r w:rsidRPr="004D46AC">
        <w:t xml:space="preserve"> = 0.03, </w:t>
      </w:r>
      <w:r w:rsidRPr="004D46AC">
        <w:rPr>
          <w:i/>
          <w:iCs/>
        </w:rPr>
        <w:t>SE</w:t>
      </w:r>
      <w:r w:rsidRPr="004D46AC">
        <w:t xml:space="preserve"> = 0.01, </w:t>
      </w:r>
      <w:r w:rsidRPr="004D46AC">
        <w:rPr>
          <w:i/>
          <w:iCs/>
        </w:rPr>
        <w:t>p</w:t>
      </w:r>
      <w:r w:rsidRPr="004D46AC">
        <w:t xml:space="preserve"> &lt; .05, 95% BCI [</w:t>
      </w:r>
      <w:r w:rsidRPr="004D46AC">
        <w:rPr>
          <w:rFonts w:hint="eastAsia"/>
        </w:rPr>
        <w:t>-</w:t>
      </w:r>
      <w:r w:rsidRPr="004D46AC">
        <w:t>0.01, 0.08]); and extraversion (</w:t>
      </w:r>
      <w:r w:rsidRPr="004D46AC">
        <w:rPr>
          <w:i/>
          <w:iCs/>
        </w:rPr>
        <w:t>b</w:t>
      </w:r>
      <w:r w:rsidRPr="004D46AC">
        <w:t xml:space="preserve"> = 0.07, </w:t>
      </w:r>
      <w:r w:rsidRPr="004D46AC">
        <w:rPr>
          <w:i/>
          <w:iCs/>
        </w:rPr>
        <w:t>SE</w:t>
      </w:r>
      <w:r w:rsidRPr="004D46AC">
        <w:t xml:space="preserve"> = 0.01, </w:t>
      </w:r>
      <w:r w:rsidRPr="004D46AC">
        <w:rPr>
          <w:i/>
          <w:iCs/>
        </w:rPr>
        <w:t>p</w:t>
      </w:r>
      <w:r w:rsidRPr="004D46AC">
        <w:t xml:space="preserve"> &lt; .001, 95% BCI [0.02, 0.12]) were also significant predictors of mania severity. The model explained 18% of the total variance.</w:t>
      </w:r>
    </w:p>
    <w:p w14:paraId="44303891" w14:textId="77777777" w:rsidR="007075D9" w:rsidRPr="004D46AC" w:rsidRDefault="007075D9" w:rsidP="00B518F1">
      <w:r w:rsidRPr="004D46AC">
        <w:t xml:space="preserve">Mania severity at wave 9 was predicted by </w:t>
      </w:r>
      <w:proofErr w:type="spellStart"/>
      <w:r w:rsidRPr="004D46AC">
        <w:t>IoU</w:t>
      </w:r>
      <w:proofErr w:type="spellEnd"/>
      <w:r w:rsidRPr="004D46AC">
        <w:t>-I (</w:t>
      </w:r>
      <w:r w:rsidRPr="004D46AC">
        <w:rPr>
          <w:i/>
          <w:iCs/>
        </w:rPr>
        <w:t>b</w:t>
      </w:r>
      <w:r w:rsidRPr="004D46AC">
        <w:t xml:space="preserve"> = </w:t>
      </w:r>
      <w:r w:rsidRPr="004D46AC">
        <w:rPr>
          <w:rFonts w:hint="eastAsia"/>
        </w:rPr>
        <w:t>-</w:t>
      </w:r>
      <w:r w:rsidRPr="004D46AC">
        <w:t xml:space="preserve">0.04, </w:t>
      </w:r>
      <w:r w:rsidRPr="004D46AC">
        <w:rPr>
          <w:i/>
          <w:iCs/>
        </w:rPr>
        <w:t>SE</w:t>
      </w:r>
      <w:r w:rsidRPr="004D46AC">
        <w:t xml:space="preserve"> = 0.01, </w:t>
      </w:r>
      <w:r w:rsidRPr="004D46AC">
        <w:rPr>
          <w:i/>
          <w:iCs/>
        </w:rPr>
        <w:t>p</w:t>
      </w:r>
      <w:r w:rsidRPr="004D46AC">
        <w:t xml:space="preserve"> &lt; .001, 95% BCI [</w:t>
      </w:r>
      <w:r w:rsidRPr="004D46AC">
        <w:rPr>
          <w:rFonts w:hint="eastAsia"/>
        </w:rPr>
        <w:t>-</w:t>
      </w:r>
      <w:r w:rsidRPr="004D46AC">
        <w:t xml:space="preserve">0.09, </w:t>
      </w:r>
      <w:r w:rsidRPr="004D46AC">
        <w:rPr>
          <w:rFonts w:hint="eastAsia"/>
        </w:rPr>
        <w:t>-</w:t>
      </w:r>
      <w:r w:rsidRPr="004D46AC">
        <w:t>0.01]). Additionally, wave 9 anxiety (</w:t>
      </w:r>
      <w:r w:rsidRPr="004D46AC">
        <w:rPr>
          <w:i/>
          <w:iCs/>
        </w:rPr>
        <w:t>b</w:t>
      </w:r>
      <w:r w:rsidRPr="004D46AC">
        <w:t xml:space="preserve"> = 0.05, </w:t>
      </w:r>
      <w:r w:rsidRPr="004D46AC">
        <w:rPr>
          <w:i/>
          <w:iCs/>
        </w:rPr>
        <w:t>SE</w:t>
      </w:r>
      <w:r w:rsidRPr="004D46AC">
        <w:t xml:space="preserve"> = 0.008, </w:t>
      </w:r>
      <w:r w:rsidRPr="004D46AC">
        <w:rPr>
          <w:i/>
          <w:iCs/>
        </w:rPr>
        <w:t>p</w:t>
      </w:r>
      <w:r w:rsidRPr="004D46AC">
        <w:t xml:space="preserve"> &lt; .01, 95% BCI [0.02, 0.08]); Wave 5 ACEs (</w:t>
      </w:r>
      <w:r w:rsidRPr="004D46AC">
        <w:rPr>
          <w:i/>
          <w:iCs/>
        </w:rPr>
        <w:t>b</w:t>
      </w:r>
      <w:r w:rsidRPr="004D46AC">
        <w:t xml:space="preserve"> = 0.10, </w:t>
      </w:r>
      <w:r w:rsidRPr="004D46AC">
        <w:rPr>
          <w:i/>
          <w:iCs/>
        </w:rPr>
        <w:t>SE</w:t>
      </w:r>
      <w:r w:rsidRPr="004D46AC">
        <w:t xml:space="preserve"> = 0.03, </w:t>
      </w:r>
      <w:r w:rsidRPr="004D46AC">
        <w:rPr>
          <w:i/>
          <w:iCs/>
        </w:rPr>
        <w:t>p</w:t>
      </w:r>
      <w:r w:rsidRPr="004D46AC">
        <w:t xml:space="preserve"> &lt; .001, 95% BCI [0.01, 0.19]); depression severity (</w:t>
      </w:r>
      <w:r w:rsidRPr="004D46AC">
        <w:rPr>
          <w:i/>
          <w:iCs/>
        </w:rPr>
        <w:t>b</w:t>
      </w:r>
      <w:r w:rsidRPr="004D46AC">
        <w:t xml:space="preserve"> = 0.02, </w:t>
      </w:r>
      <w:r w:rsidRPr="004D46AC">
        <w:rPr>
          <w:i/>
          <w:iCs/>
        </w:rPr>
        <w:t>SE</w:t>
      </w:r>
      <w:r w:rsidRPr="004D46AC">
        <w:t xml:space="preserve"> = 0.007, </w:t>
      </w:r>
      <w:r w:rsidRPr="004D46AC">
        <w:rPr>
          <w:i/>
          <w:iCs/>
        </w:rPr>
        <w:t>p</w:t>
      </w:r>
      <w:r w:rsidRPr="004D46AC">
        <w:t xml:space="preserve"> &lt; .01, 95% BCI [0.02, 0.05]); and the number of experienced PLEs (</w:t>
      </w:r>
      <w:r w:rsidRPr="004D46AC">
        <w:rPr>
          <w:i/>
          <w:iCs/>
        </w:rPr>
        <w:t>b</w:t>
      </w:r>
      <w:r w:rsidRPr="004D46AC">
        <w:t xml:space="preserve"> = 0.17, </w:t>
      </w:r>
      <w:r w:rsidRPr="004D46AC">
        <w:rPr>
          <w:i/>
          <w:iCs/>
        </w:rPr>
        <w:t>SE</w:t>
      </w:r>
      <w:r w:rsidRPr="004D46AC">
        <w:t xml:space="preserve"> = 0.04, </w:t>
      </w:r>
      <w:r w:rsidRPr="004D46AC">
        <w:rPr>
          <w:i/>
          <w:iCs/>
        </w:rPr>
        <w:t>p</w:t>
      </w:r>
      <w:r w:rsidRPr="004D46AC">
        <w:t xml:space="preserve"> &lt; .001, 95% BCI [</w:t>
      </w:r>
      <w:r w:rsidRPr="004D46AC">
        <w:rPr>
          <w:rFonts w:hint="eastAsia"/>
        </w:rPr>
        <w:t>-</w:t>
      </w:r>
      <w:r w:rsidRPr="004D46AC">
        <w:t xml:space="preserve">0.003, 0.30]) were significant predictors of this outcome. The model explained 29% of the total variance. </w:t>
      </w:r>
    </w:p>
    <w:p w14:paraId="08F6EAA5" w14:textId="10B7DB21" w:rsidR="007075D9" w:rsidRPr="004D46AC" w:rsidRDefault="007075D9" w:rsidP="00B518F1">
      <w:r w:rsidRPr="004D46AC">
        <w:t xml:space="preserve">The binary models of mania were less consistent with the count models. Among all significant predictors across waves, only younger age and PLEs in the Wave 5 mania model, and mania severity at Wave 5 and </w:t>
      </w:r>
      <w:proofErr w:type="spellStart"/>
      <w:r w:rsidRPr="004D46AC">
        <w:t>IoU</w:t>
      </w:r>
      <w:proofErr w:type="spellEnd"/>
      <w:r w:rsidRPr="004D46AC">
        <w:t xml:space="preserve">-I in the Wave 9 mania model, remained significant predictors; see Table </w:t>
      </w:r>
      <w:r w:rsidRPr="004D46AC">
        <w:rPr>
          <w:rFonts w:hint="eastAsia"/>
        </w:rPr>
        <w:t>D</w:t>
      </w:r>
      <w:r w:rsidR="00AD0A74" w:rsidRPr="004D46AC">
        <w:rPr>
          <w:rFonts w:eastAsiaTheme="minorEastAsia" w:hint="eastAsia"/>
        </w:rPr>
        <w:t xml:space="preserve"> 4</w:t>
      </w:r>
      <w:r w:rsidRPr="004D46AC">
        <w:t xml:space="preserve"> for details. For ease of interpretation, significant predictors from count and continuous models across waves were summarised in Figure </w:t>
      </w:r>
      <w:r w:rsidRPr="004D46AC">
        <w:rPr>
          <w:rFonts w:hint="eastAsia"/>
        </w:rPr>
        <w:t>4.3</w:t>
      </w:r>
      <w:r w:rsidRPr="004D46AC">
        <w:t>.</w:t>
      </w:r>
    </w:p>
    <w:p w14:paraId="03948453" w14:textId="77777777" w:rsidR="007075D9" w:rsidRPr="004D46AC" w:rsidRDefault="007075D9" w:rsidP="00B518F1"/>
    <w:p w14:paraId="6F4DD4E3" w14:textId="23729595" w:rsidR="009264C5" w:rsidRPr="004D46AC" w:rsidRDefault="007075D9" w:rsidP="0090577F">
      <w:pPr>
        <w:spacing w:line="360" w:lineRule="auto"/>
        <w:rPr>
          <w:rFonts w:eastAsiaTheme="minorEastAsia"/>
          <w:b/>
          <w:bCs/>
        </w:rPr>
      </w:pPr>
      <w:r w:rsidRPr="004D46AC">
        <w:rPr>
          <w:noProof/>
        </w:rPr>
        <w:lastRenderedPageBreak/>
        <w:drawing>
          <wp:inline distT="0" distB="0" distL="0" distR="0" wp14:anchorId="1301DC51" wp14:editId="496DDAE1">
            <wp:extent cx="5274310" cy="3943985"/>
            <wp:effectExtent l="0" t="0" r="0" b="0"/>
            <wp:docPr id="1422760533" name="图片 1" descr="图表, 瀑布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60533" name="图片 1" descr="图表, 瀑布图&#10;&#10;AI 生成的内容可能不正确。"/>
                    <pic:cNvPicPr/>
                  </pic:nvPicPr>
                  <pic:blipFill>
                    <a:blip r:embed="rId367"/>
                    <a:stretch>
                      <a:fillRect/>
                    </a:stretch>
                  </pic:blipFill>
                  <pic:spPr>
                    <a:xfrm>
                      <a:off x="0" y="0"/>
                      <a:ext cx="5274310" cy="3943985"/>
                    </a:xfrm>
                    <a:prstGeom prst="rect">
                      <a:avLst/>
                    </a:prstGeom>
                  </pic:spPr>
                </pic:pic>
              </a:graphicData>
            </a:graphic>
          </wp:inline>
        </w:drawing>
      </w:r>
    </w:p>
    <w:p w14:paraId="5D2B8B00" w14:textId="207F0D6B" w:rsidR="004725A0" w:rsidRPr="004D46AC" w:rsidRDefault="009264C5" w:rsidP="0090577F">
      <w:pPr>
        <w:spacing w:line="360" w:lineRule="auto"/>
        <w:ind w:firstLine="0"/>
        <w:rPr>
          <w:rFonts w:eastAsiaTheme="minorEastAsia"/>
          <w:i/>
          <w:iCs/>
        </w:rPr>
      </w:pPr>
      <w:bookmarkStart w:id="229" w:name="_Toc219883932"/>
      <w:bookmarkStart w:id="230" w:name="_Toc219884864"/>
      <w:r w:rsidRPr="004D46AC">
        <w:rPr>
          <w:b/>
          <w:bCs/>
        </w:rPr>
        <w:t xml:space="preserve">Figure </w:t>
      </w:r>
      <w:r w:rsidR="004725A0" w:rsidRPr="004D46AC">
        <w:rPr>
          <w:b/>
          <w:bCs/>
        </w:rPr>
        <w:fldChar w:fldCharType="begin"/>
      </w:r>
      <w:r w:rsidR="004725A0" w:rsidRPr="004D46AC">
        <w:rPr>
          <w:b/>
          <w:bCs/>
        </w:rPr>
        <w:instrText xml:space="preserve"> STYLEREF 1 \s </w:instrText>
      </w:r>
      <w:r w:rsidR="004725A0" w:rsidRPr="004D46AC">
        <w:rPr>
          <w:b/>
          <w:bCs/>
        </w:rPr>
        <w:fldChar w:fldCharType="separate"/>
      </w:r>
      <w:r w:rsidR="004725A0" w:rsidRPr="004D46AC">
        <w:rPr>
          <w:b/>
          <w:bCs/>
          <w:noProof/>
        </w:rPr>
        <w:t>4</w:t>
      </w:r>
      <w:r w:rsidR="004725A0" w:rsidRPr="004D46AC">
        <w:rPr>
          <w:b/>
          <w:bCs/>
        </w:rPr>
        <w:fldChar w:fldCharType="end"/>
      </w:r>
      <w:r w:rsidR="004725A0" w:rsidRPr="004D46AC">
        <w:rPr>
          <w:b/>
          <w:bCs/>
        </w:rPr>
        <w:t>.</w:t>
      </w:r>
      <w:r w:rsidR="004725A0" w:rsidRPr="004D46AC">
        <w:rPr>
          <w:b/>
          <w:bCs/>
        </w:rPr>
        <w:fldChar w:fldCharType="begin"/>
      </w:r>
      <w:r w:rsidR="004725A0" w:rsidRPr="004D46AC">
        <w:rPr>
          <w:b/>
          <w:bCs/>
        </w:rPr>
        <w:instrText xml:space="preserve"> SEQ Figure \* ARABIC \s 1 </w:instrText>
      </w:r>
      <w:r w:rsidR="004725A0" w:rsidRPr="004D46AC">
        <w:rPr>
          <w:b/>
          <w:bCs/>
        </w:rPr>
        <w:fldChar w:fldCharType="separate"/>
      </w:r>
      <w:r w:rsidR="004725A0" w:rsidRPr="004D46AC">
        <w:rPr>
          <w:b/>
          <w:bCs/>
          <w:noProof/>
        </w:rPr>
        <w:t>3</w:t>
      </w:r>
      <w:bookmarkEnd w:id="229"/>
      <w:bookmarkEnd w:id="230"/>
      <w:r w:rsidR="004725A0" w:rsidRPr="004D46AC">
        <w:rPr>
          <w:b/>
          <w:bCs/>
        </w:rPr>
        <w:fldChar w:fldCharType="end"/>
      </w:r>
      <w:r w:rsidR="004725A0" w:rsidRPr="004D46AC">
        <w:rPr>
          <w:i/>
          <w:iCs/>
        </w:rPr>
        <w:t xml:space="preserve"> </w:t>
      </w:r>
    </w:p>
    <w:p w14:paraId="507B6943" w14:textId="53BDC947" w:rsidR="007075D9" w:rsidRPr="004D46AC" w:rsidRDefault="004725A0" w:rsidP="0090577F">
      <w:pPr>
        <w:spacing w:line="360" w:lineRule="auto"/>
        <w:ind w:firstLine="0"/>
        <w:rPr>
          <w:rFonts w:eastAsiaTheme="minorEastAsia"/>
          <w:i/>
          <w:iCs/>
        </w:rPr>
      </w:pPr>
      <w:r w:rsidRPr="004D46AC">
        <w:rPr>
          <w:i/>
          <w:iCs/>
        </w:rPr>
        <w:t xml:space="preserve">A </w:t>
      </w:r>
      <w:r w:rsidR="00033CC9" w:rsidRPr="004D46AC">
        <w:rPr>
          <w:rFonts w:eastAsiaTheme="minorEastAsia" w:hint="eastAsia"/>
          <w:i/>
          <w:iCs/>
        </w:rPr>
        <w:t>s</w:t>
      </w:r>
      <w:r w:rsidRPr="004D46AC">
        <w:rPr>
          <w:i/>
          <w:iCs/>
        </w:rPr>
        <w:t xml:space="preserve">ummary </w:t>
      </w:r>
      <w:r w:rsidR="00033CC9" w:rsidRPr="004D46AC">
        <w:rPr>
          <w:rFonts w:eastAsiaTheme="minorEastAsia" w:hint="eastAsia"/>
          <w:i/>
          <w:iCs/>
        </w:rPr>
        <w:t>p</w:t>
      </w:r>
      <w:r w:rsidRPr="004D46AC">
        <w:rPr>
          <w:i/>
          <w:iCs/>
        </w:rPr>
        <w:t xml:space="preserve">lot of the </w:t>
      </w:r>
      <w:r w:rsidR="00033CC9" w:rsidRPr="004D46AC">
        <w:rPr>
          <w:rFonts w:eastAsiaTheme="minorEastAsia" w:hint="eastAsia"/>
          <w:i/>
          <w:iCs/>
        </w:rPr>
        <w:t>s</w:t>
      </w:r>
      <w:r w:rsidRPr="004D46AC">
        <w:rPr>
          <w:i/>
          <w:iCs/>
        </w:rPr>
        <w:t xml:space="preserve">ignificant </w:t>
      </w:r>
      <w:r w:rsidR="00033CC9" w:rsidRPr="004D46AC">
        <w:rPr>
          <w:rFonts w:eastAsiaTheme="minorEastAsia" w:hint="eastAsia"/>
          <w:i/>
          <w:iCs/>
        </w:rPr>
        <w:t>p</w:t>
      </w:r>
      <w:r w:rsidRPr="004D46AC">
        <w:rPr>
          <w:i/>
          <w:iCs/>
        </w:rPr>
        <w:t xml:space="preserve">redictors for </w:t>
      </w:r>
      <w:r w:rsidR="00033CC9" w:rsidRPr="004D46AC">
        <w:rPr>
          <w:rFonts w:eastAsiaTheme="minorEastAsia" w:hint="eastAsia"/>
          <w:i/>
          <w:iCs/>
        </w:rPr>
        <w:t>p</w:t>
      </w:r>
      <w:r w:rsidRPr="004D46AC">
        <w:rPr>
          <w:i/>
          <w:iCs/>
        </w:rPr>
        <w:t xml:space="preserve">rimary </w:t>
      </w:r>
      <w:r w:rsidR="00033CC9" w:rsidRPr="004D46AC">
        <w:rPr>
          <w:rFonts w:eastAsiaTheme="minorEastAsia" w:hint="eastAsia"/>
          <w:i/>
          <w:iCs/>
        </w:rPr>
        <w:t>s</w:t>
      </w:r>
      <w:r w:rsidRPr="004D46AC">
        <w:rPr>
          <w:i/>
          <w:iCs/>
        </w:rPr>
        <w:t>ymptoms</w:t>
      </w:r>
    </w:p>
    <w:p w14:paraId="29820A01" w14:textId="77777777" w:rsidR="007075D9" w:rsidRPr="004D46AC" w:rsidRDefault="007075D9" w:rsidP="0090577F">
      <w:pPr>
        <w:spacing w:line="360" w:lineRule="auto"/>
        <w:ind w:firstLine="0"/>
      </w:pPr>
      <w:r w:rsidRPr="004D46AC">
        <w:rPr>
          <w:rFonts w:hint="eastAsia"/>
          <w:i/>
          <w:iCs/>
        </w:rPr>
        <w:t>Note</w:t>
      </w:r>
      <w:r w:rsidRPr="004D46AC">
        <w:rPr>
          <w:rFonts w:hint="eastAsia"/>
        </w:rPr>
        <w:t xml:space="preserve">. </w:t>
      </w:r>
      <w:r w:rsidRPr="004D46AC">
        <w:t>W = assessment wave (e.g., W</w:t>
      </w:r>
      <w:r w:rsidRPr="004D46AC">
        <w:rPr>
          <w:rFonts w:hint="eastAsia"/>
        </w:rPr>
        <w:t>5</w:t>
      </w:r>
      <w:r w:rsidRPr="004D46AC">
        <w:t xml:space="preserve"> = Wave </w:t>
      </w:r>
      <w:r w:rsidRPr="004D46AC">
        <w:rPr>
          <w:rFonts w:hint="eastAsia"/>
        </w:rPr>
        <w:t>5</w:t>
      </w:r>
      <w:r w:rsidRPr="004D46AC">
        <w:t>)</w:t>
      </w:r>
      <w:r w:rsidRPr="004D46AC">
        <w:rPr>
          <w:rFonts w:hint="eastAsia"/>
        </w:rPr>
        <w:t>.</w:t>
      </w:r>
      <w:r w:rsidRPr="004D46AC">
        <w:t xml:space="preserve"> ACEs = adverse childhood experiences;</w:t>
      </w:r>
      <w:r w:rsidRPr="004D46AC">
        <w:rPr>
          <w:rFonts w:hint="eastAsia"/>
        </w:rPr>
        <w:t xml:space="preserve"> GAD = generalised anxiety disorder;</w:t>
      </w:r>
      <w:r w:rsidRPr="004D46AC">
        <w:t xml:space="preserve"> </w:t>
      </w:r>
      <w:proofErr w:type="spellStart"/>
      <w:r w:rsidRPr="004D46AC">
        <w:t>I</w:t>
      </w:r>
      <w:r w:rsidRPr="004D46AC">
        <w:rPr>
          <w:rFonts w:hint="eastAsia"/>
        </w:rPr>
        <w:t>o</w:t>
      </w:r>
      <w:r w:rsidRPr="004D46AC">
        <w:t>U</w:t>
      </w:r>
      <w:proofErr w:type="spellEnd"/>
      <w:r w:rsidRPr="004D46AC">
        <w:t xml:space="preserve"> = intolerance of uncertainty </w:t>
      </w:r>
      <w:r w:rsidRPr="004D46AC">
        <w:rPr>
          <w:rFonts w:hint="eastAsia"/>
        </w:rPr>
        <w:t>I</w:t>
      </w:r>
      <w:r w:rsidRPr="004D46AC">
        <w:t>nhibitory</w:t>
      </w:r>
      <w:r w:rsidRPr="004D46AC">
        <w:rPr>
          <w:rFonts w:hint="eastAsia"/>
        </w:rPr>
        <w:t xml:space="preserve"> and P</w:t>
      </w:r>
      <w:r w:rsidRPr="004D46AC">
        <w:t xml:space="preserve">rospective); </w:t>
      </w:r>
      <w:r w:rsidRPr="004D46AC">
        <w:rPr>
          <w:rFonts w:hint="eastAsia"/>
        </w:rPr>
        <w:t xml:space="preserve">MDQ = mood disorder </w:t>
      </w:r>
      <w:r w:rsidRPr="004D46AC">
        <w:t>questionnaire</w:t>
      </w:r>
      <w:r w:rsidRPr="004D46AC">
        <w:rPr>
          <w:rFonts w:hint="eastAsia"/>
        </w:rPr>
        <w:t xml:space="preserve"> (Self-reported mania);</w:t>
      </w:r>
      <w:r w:rsidRPr="004D46AC">
        <w:t xml:space="preserve"> PLEs = psychotic-like experiences; </w:t>
      </w:r>
      <w:r w:rsidRPr="004D46AC">
        <w:rPr>
          <w:rFonts w:hint="eastAsia"/>
        </w:rPr>
        <w:t xml:space="preserve">PSQ= psychosis screening questionnaire (PLEs); </w:t>
      </w:r>
      <w:r w:rsidRPr="004D46AC">
        <w:t>SSR = subjective social rank</w:t>
      </w:r>
      <w:r w:rsidRPr="004D46AC">
        <w:rPr>
          <w:rFonts w:hint="eastAsia"/>
        </w:rPr>
        <w:t>.</w:t>
      </w:r>
    </w:p>
    <w:p w14:paraId="7CC699F5" w14:textId="77777777" w:rsidR="007075D9" w:rsidRPr="004D46AC" w:rsidRDefault="007075D9" w:rsidP="00B518F1"/>
    <w:p w14:paraId="6A0D44C9" w14:textId="77777777" w:rsidR="007075D9" w:rsidRPr="004D46AC" w:rsidRDefault="007075D9" w:rsidP="00B518F1"/>
    <w:p w14:paraId="1A14CBBB" w14:textId="77777777" w:rsidR="007075D9" w:rsidRPr="004D46AC" w:rsidRDefault="007075D9" w:rsidP="00B518F1"/>
    <w:p w14:paraId="2AD89050" w14:textId="77777777" w:rsidR="007075D9" w:rsidRPr="004D46AC" w:rsidRDefault="007075D9" w:rsidP="00B518F1"/>
    <w:p w14:paraId="51251C90" w14:textId="77777777" w:rsidR="007075D9" w:rsidRPr="004D46AC" w:rsidRDefault="007075D9" w:rsidP="00B518F1"/>
    <w:p w14:paraId="17C58F71" w14:textId="77777777" w:rsidR="007075D9" w:rsidRPr="004D46AC" w:rsidRDefault="007075D9" w:rsidP="00B518F1"/>
    <w:p w14:paraId="111C8E56" w14:textId="77777777" w:rsidR="007075D9" w:rsidRPr="004D46AC" w:rsidRDefault="007075D9" w:rsidP="00B518F1"/>
    <w:p w14:paraId="0F8D3A22" w14:textId="77777777" w:rsidR="007075D9" w:rsidRPr="004D46AC" w:rsidRDefault="007075D9" w:rsidP="00B518F1"/>
    <w:p w14:paraId="37FBE95E" w14:textId="77777777" w:rsidR="007075D9" w:rsidRPr="004D46AC" w:rsidRDefault="007075D9" w:rsidP="00B518F1">
      <w:pPr>
        <w:ind w:firstLine="0"/>
        <w:rPr>
          <w:rFonts w:eastAsiaTheme="minorEastAsia"/>
        </w:rPr>
      </w:pPr>
    </w:p>
    <w:p w14:paraId="56348BC5" w14:textId="77777777" w:rsidR="007075D9" w:rsidRPr="004D46AC" w:rsidRDefault="007075D9" w:rsidP="00B518F1"/>
    <w:p w14:paraId="38E2EF7D" w14:textId="77777777" w:rsidR="007075D9" w:rsidRPr="004D46AC" w:rsidRDefault="007075D9" w:rsidP="00B518F1">
      <w:pPr>
        <w:pStyle w:val="2"/>
      </w:pPr>
      <w:bookmarkStart w:id="231" w:name="_Toc219888778"/>
      <w:r w:rsidRPr="004D46AC">
        <w:lastRenderedPageBreak/>
        <w:t>Discussion</w:t>
      </w:r>
      <w:bookmarkEnd w:id="231"/>
    </w:p>
    <w:p w14:paraId="750A6FF7" w14:textId="77777777" w:rsidR="007075D9" w:rsidRPr="004D46AC" w:rsidRDefault="007075D9" w:rsidP="00B518F1">
      <w:r w:rsidRPr="004D46AC">
        <w:t>The current study utilised longitudinal panel data to clarify how psychotic-like experiences (PLEs) relate to depressive and manic symptoms over time. Four key findings emerged. First, network analyses revealed that PLEs were more strongly related to subclinical manic than to depressive symptoms. Second, these symptom structures were largely stable across a two-year interval. Third, the longitudinal relationship between mood symptoms and psychotic experiences was</w:t>
      </w:r>
      <w:r w:rsidRPr="004D46AC">
        <w:rPr>
          <w:rFonts w:hint="eastAsia"/>
        </w:rPr>
        <w:t xml:space="preserve"> partially</w:t>
      </w:r>
      <w:r w:rsidRPr="004D46AC">
        <w:t xml:space="preserve"> reciprocal, with the clearest bidirectional links occurring between manic symptoms and PLEs. Finally, childhood adversity functioned as a broad risk factor, predicting all symptom domains.</w:t>
      </w:r>
    </w:p>
    <w:p w14:paraId="2C76439A" w14:textId="77777777" w:rsidR="007075D9" w:rsidRPr="004D46AC" w:rsidRDefault="007075D9" w:rsidP="00B518F1">
      <w:r w:rsidRPr="004D46AC">
        <w:t xml:space="preserve">Consistent with our first hypothesis </w:t>
      </w:r>
      <w:r w:rsidRPr="004D46AC">
        <w:rPr>
          <w:rFonts w:hint="eastAsia"/>
        </w:rPr>
        <w:t>and</w:t>
      </w:r>
      <w:r w:rsidRPr="004D46AC">
        <w:t xml:space="preserve"> previous research (Shao et al. 2024),</w:t>
      </w:r>
      <w:r w:rsidRPr="004D46AC">
        <w:rPr>
          <w:rFonts w:hint="eastAsia"/>
        </w:rPr>
        <w:t xml:space="preserve"> </w:t>
      </w:r>
      <w:r w:rsidRPr="004D46AC">
        <w:t xml:space="preserve">the association between manic symptoms and PLEs was stronger than that between depressive symptoms and PLEs, and this pattern remained stable across all networks. This finding suggests that the PLEs (e.g., altered beliefs and perceptions) may co-occur with manic symptoms (e.g., racing thoughts) in the general population. This strong interplay between (hypo)manic and psychotic experiences revealed here, and in our work with psychiatric populations (Shao et al. 2024) may help to explain the longstanding difficulties in drawing boundaries between schizophrenia and bipolar disorders as reviewed in our introduction and, with some caution, can be interpreted as consistent with findings from other approaches, for example latent trait models, which suggest either a close relationship between the disorders (Keshavan, et al., 2011) or that they may be products of common underlying psychopathological processes </w:t>
      </w:r>
      <w:r w:rsidRPr="004D46AC">
        <w:fldChar w:fldCharType="begin">
          <w:fldData xml:space="preserve">PEVuZE5vdGU+PENpdGU+PEF1dGhvcj5SZWluaW5naGF1czwvQXV0aG9yPjxZZWFyPjIwMTM8L1ll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</w:fldData>
        </w:fldChar>
      </w:r>
      <w:r w:rsidRPr="004D46AC">
        <w:instrText xml:space="preserve"> ADDIN EN.CITE </w:instrText>
      </w:r>
      <w:r w:rsidRPr="004D46AC">
        <w:fldChar w:fldCharType="begin">
          <w:fldData xml:space="preserve">PEVuZE5vdGU+PENpdGU+PEF1dGhvcj5SZWluaW5naGF1czwvQXV0aG9yPjxZZWFyPjIwMTM8L1ll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</w:fldData>
        </w:fldChar>
      </w:r>
      <w:r w:rsidRPr="004D46AC">
        <w:instrText xml:space="preserve"> ADDIN EN.CITE.DATA </w:instrText>
      </w:r>
      <w:r w:rsidRPr="004D46AC">
        <w:fldChar w:fldCharType="end"/>
      </w:r>
      <w:r w:rsidRPr="004D46AC">
        <w:fldChar w:fldCharType="separate"/>
      </w:r>
      <w:r w:rsidRPr="004D46AC">
        <w:rPr>
          <w:noProof/>
        </w:rPr>
        <w:t>(Reininghaus et al., 2019; Reininghaus et al., 2013)</w:t>
      </w:r>
      <w:r w:rsidRPr="004D46AC">
        <w:fldChar w:fldCharType="end"/>
      </w:r>
      <w:r w:rsidRPr="004D46AC">
        <w:t>. However, it should be noted that network models make very different assumptions to the models used in these previous studies. In particular, whereas latent trait models start from the assumption that covariation between symptoms reflects underlying factors, network models posit that the same covariation can be accounted for by symptoms mutually influencing each other.</w:t>
      </w:r>
    </w:p>
    <w:p w14:paraId="500C41F0" w14:textId="77777777" w:rsidR="007075D9" w:rsidRPr="004D46AC" w:rsidRDefault="007075D9" w:rsidP="00B518F1">
      <w:r w:rsidRPr="004D46AC">
        <w:rPr>
          <w:rFonts w:hint="eastAsia"/>
        </w:rPr>
        <w:t>The</w:t>
      </w:r>
      <w:r w:rsidRPr="004D46AC">
        <w:t xml:space="preserve"> stable structure of the mood and psychosis networks across the two-year interval is consistent with</w:t>
      </w:r>
      <w:r w:rsidRPr="004D46AC">
        <w:rPr>
          <w:rFonts w:hint="eastAsia"/>
        </w:rPr>
        <w:t xml:space="preserve"> our second hypothesis and, to some extent, </w:t>
      </w:r>
      <w:r w:rsidRPr="004D46AC">
        <w:t xml:space="preserve">previous </w:t>
      </w:r>
      <w:r w:rsidRPr="004D46AC">
        <w:lastRenderedPageBreak/>
        <w:t xml:space="preserve">psychopathological studies using the network approach with healthy populations </w:t>
      </w:r>
      <w:r w:rsidRPr="004D46AC">
        <w:fldChar w:fldCharType="begin">
          <w:fldData xml:space="preserve">PEVuZE5vdGU+PENpdGU+PEF1dGhvcj52YW4gZGVyIFR1aW48L0F1dGhvcj48WWVhcj4yMDIzPC9Z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</w:fldData>
        </w:fldChar>
      </w:r>
      <w:r w:rsidRPr="004D46AC">
        <w:instrText xml:space="preserve"> ADDIN EN.CITE </w:instrText>
      </w:r>
      <w:r w:rsidRPr="004D46AC">
        <w:fldChar w:fldCharType="begin">
          <w:fldData xml:space="preserve">PEVuZE5vdGU+PENpdGU+PEF1dGhvcj52YW4gZGVyIFR1aW48L0F1dGhvcj48WWVhcj4yMDIzPC9Z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</w:fldData>
        </w:fldChar>
      </w:r>
      <w:r w:rsidRPr="004D46AC">
        <w:instrText xml:space="preserve"> ADDIN EN.CITE.DATA </w:instrText>
      </w:r>
      <w:r w:rsidRPr="004D46AC">
        <w:fldChar w:fldCharType="end"/>
      </w:r>
      <w:r w:rsidRPr="004D46AC">
        <w:fldChar w:fldCharType="separate"/>
      </w:r>
      <w:r w:rsidRPr="004D46AC">
        <w:rPr>
          <w:noProof/>
        </w:rPr>
        <w:t>(Funkhouser et al., 2021; van der Tuin et al., 2023)</w:t>
      </w:r>
      <w:r w:rsidRPr="004D46AC">
        <w:fldChar w:fldCharType="end"/>
      </w:r>
      <w:r w:rsidRPr="004D46AC">
        <w:t xml:space="preserve">. The persistence of mood-psychosis network structures over time may reflect enduring cognitive-affective dispositions, consistent with models suggesting that stable patterns of cognitive and emotional responses shape individual differences in psychopathology </w:t>
      </w:r>
      <w:r w:rsidRPr="004D46AC">
        <w:fldChar w:fldCharType="begin"/>
      </w:r>
      <w:r w:rsidRPr="004D46AC">
        <w:instrText xml:space="preserve"> ADDIN EN.CITE &lt;EndNote&gt;&lt;Cite&gt;&lt;Author&gt;Mischel&lt;/Author&gt;&lt;Year&gt;1995&lt;/Year&gt;&lt;RecNum&gt;934&lt;/RecNum&gt;&lt;DisplayText&gt;(Mischel &amp;amp; Shoda, 1995)&lt;/DisplayText&gt;&lt;record&gt;&lt;rec-number&gt;934&lt;/rec-number&gt;&lt;foreign-keys&gt;&lt;key app="EN" db-id="aet009sstawa0hewvt3xwf5atffdw2dt02sw" timestamp="1740521481"&gt;934&lt;/key&gt;&lt;/foreign-keys&gt;&lt;ref-type name="Journal Article"&gt;17&lt;/ref-type&gt;&lt;contributors&gt;&lt;authors&gt;&lt;author&gt;Mischel, W.&lt;/author&gt;&lt;author&gt;Shoda, Y.&lt;/author&gt;&lt;/authors&gt;&lt;/contributors&gt;&lt;auth-address&gt;Department of Psychology, Columbia University, New York, New York 10027, USA.&lt;/auth-address&gt;&lt;titles&gt;&lt;title&gt;A cognitive-affective system theory of personality: reconceptualizing situations, dispositions, dynamics, and invariance in personality structure&lt;/title&gt;&lt;secondary-title&gt;Psychol Rev&lt;/secondary-title&gt;&lt;/titles&gt;&lt;periodical&gt;&lt;full-title&gt;Psychol Rev&lt;/full-title&gt;&lt;/periodical&gt;&lt;pages&gt;246-68&lt;/pages&gt;&lt;volume&gt;102&lt;/volume&gt;&lt;number&gt;2&lt;/number&gt;&lt;keywords&gt;&lt;keyword&gt;*Affect&lt;/keyword&gt;&lt;keyword&gt;*Cognition&lt;/keyword&gt;&lt;keyword&gt;Humans&lt;/keyword&gt;&lt;keyword&gt;Individuality&lt;/keyword&gt;&lt;keyword&gt;*Personality&lt;/keyword&gt;&lt;keyword&gt;Social Behavior&lt;/keyword&gt;&lt;keyword&gt;*Social Environment&lt;/keyword&gt;&lt;/keywords&gt;&lt;dates&gt;&lt;year&gt;1995&lt;/year&gt;&lt;pub-dates&gt;&lt;date&gt;Apr&lt;/date&gt;&lt;/pub-dates&gt;&lt;/dates&gt;&lt;isbn&gt;0033-295X (Print)&amp;#xD;0033-295x&lt;/isbn&gt;&lt;accession-num&gt;7740090&lt;/accession-num&gt;&lt;urls&gt;&lt;/urls&gt;&lt;electronic-resource-num&gt;10.1037/0033-295x.102.2.246&lt;/electronic-resource-num&gt;&lt;remote-database-provider&gt;NLM&lt;/remote-database-provider&gt;&lt;language&gt;eng&lt;/language&gt;&lt;/record&gt;&lt;/Cite&gt;&lt;/EndNote&gt;</w:instrText>
      </w:r>
      <w:r w:rsidRPr="004D46AC">
        <w:fldChar w:fldCharType="separate"/>
      </w:r>
      <w:r w:rsidRPr="004D46AC">
        <w:rPr>
          <w:noProof/>
        </w:rPr>
        <w:t>(Mischel &amp; Shoda, 1995)</w:t>
      </w:r>
      <w:r w:rsidRPr="004D46AC">
        <w:fldChar w:fldCharType="end"/>
      </w:r>
      <w:r w:rsidRPr="004D46AC">
        <w:t>. However, within a network framework, it could reflect relatively stable and enduring influences of different symptoms on each other.</w:t>
      </w:r>
      <w:r w:rsidRPr="004D46AC">
        <w:rPr>
          <w:rFonts w:hint="eastAsia"/>
        </w:rPr>
        <w:t xml:space="preserve"> </w:t>
      </w:r>
      <w:r w:rsidRPr="004D46AC">
        <w:t>The network model proposes two general symptom-network states: a resilient state with relatively sparse connections and a vulnerable state with denser connectivity</w:t>
      </w:r>
      <w:r w:rsidRPr="004D46AC">
        <w:rPr>
          <w:rFonts w:hint="eastAsia"/>
        </w:rPr>
        <w:t xml:space="preserve"> </w:t>
      </w:r>
      <w:r w:rsidRPr="004D46AC">
        <w:fldChar w:fldCharType="begin"/>
      </w:r>
      <w:r w:rsidRPr="004D46AC">
        <w:instrText xml:space="preserve"> ADDIN EN.CITE &lt;EndNote&gt;&lt;Cite&gt;&lt;Author&gt;Borsboom&lt;/Author&gt;&lt;Year&gt;2017&lt;/Year&gt;&lt;RecNum&gt;1313&lt;/RecNum&gt;&lt;DisplayText&gt;(Borsboom, 2017)&lt;/DisplayText&gt;&lt;record&gt;&lt;rec-number&gt;1313&lt;/rec-number&gt;&lt;foreign-keys&gt;&lt;key app="EN" db-id="aet009sstawa0hewvt3xwf5atffdw2dt02sw" timestamp="1764842976"&gt;1313&lt;/key&gt;&lt;/foreign-keys&gt;&lt;ref-type name="Journal Article"&gt;17&lt;/ref-type&gt;&lt;contributors&gt;&lt;authors&gt;&lt;author&gt;Borsboom, Denny&lt;/author&gt;&lt;/authors&gt;&lt;/contributors&gt;&lt;titles&gt;&lt;title&gt;A network theory of mental disorders&lt;/title&gt;&lt;secondary-title&gt;World Psychiatry&lt;/secondary-title&gt;&lt;/titles&gt;&lt;periodical&gt;&lt;full-title&gt;World Psychiatry&lt;/full-title&gt;&lt;/periodical&gt;&lt;pages&gt;5-13&lt;/pages&gt;&lt;volume&gt;16&lt;/volume&gt;&lt;number&gt;1&lt;/number&gt;&lt;keywords&gt;&lt;keyword&gt;Psychopathology&lt;/keyword&gt;&lt;keyword&gt;network approach&lt;/keyword&gt;&lt;keyword&gt;mental disorders&lt;/keyword&gt;&lt;keyword&gt;symptom networks&lt;/keyword&gt;&lt;keyword&gt;mental health&lt;/keyword&gt;&lt;keyword&gt;resilience&lt;/keyword&gt;&lt;keyword&gt;vulnerability&lt;/keyword&gt;&lt;keyword&gt;diagnosis&lt;/keyword&gt;&lt;keyword&gt;treatment&lt;/keyword&gt;&lt;/keywords&gt;&lt;dates&gt;&lt;year&gt;2017&lt;/year&gt;&lt;pub-dates&gt;&lt;date&gt;2017/02/01&lt;/date&gt;&lt;/pub-dates&gt;&lt;/dates&gt;&lt;publisher&gt;John Wiley &amp;amp; Sons, Ltd&lt;/publisher&gt;&lt;isbn&gt;1723-8617&lt;/isbn&gt;&lt;urls&gt;&lt;related-urls&gt;&lt;url&gt;https://doi.org/10.1002/wps.20375&lt;/url&gt;&lt;/related-urls&gt;&lt;/urls&gt;&lt;electronic-resource-num&gt;https://doi.org/10.1002/wps.20375&lt;/electronic-resource-num&gt;&lt;access-date&gt;2025/12/04&lt;/access-date&gt;&lt;/record&gt;&lt;/Cite&gt;&lt;/EndNote&gt;</w:instrText>
      </w:r>
      <w:r w:rsidRPr="004D46AC">
        <w:fldChar w:fldCharType="separate"/>
      </w:r>
      <w:r w:rsidRPr="004D46AC">
        <w:rPr>
          <w:noProof/>
        </w:rPr>
        <w:t>(Borsboom, 2017)</w:t>
      </w:r>
      <w:r w:rsidRPr="004D46AC">
        <w:fldChar w:fldCharType="end"/>
      </w:r>
      <w:r w:rsidRPr="004D46AC">
        <w:t>. Deviations from the stable mood</w:t>
      </w:r>
      <w:r w:rsidRPr="004D46AC">
        <w:rPr>
          <w:rFonts w:hint="eastAsia"/>
        </w:rPr>
        <w:t>-</w:t>
      </w:r>
      <w:r w:rsidRPr="004D46AC">
        <w:t>psychosis structure</w:t>
      </w:r>
      <w:r w:rsidRPr="004D46AC">
        <w:rPr>
          <w:rFonts w:hint="eastAsia"/>
        </w:rPr>
        <w:t>-</w:t>
      </w:r>
      <w:r w:rsidRPr="004D46AC">
        <w:t>such as increases in overall connectivity or strengthening specific edges</w:t>
      </w:r>
      <w:r w:rsidRPr="004D46AC">
        <w:rPr>
          <w:rFonts w:hint="eastAsia"/>
        </w:rPr>
        <w:t>-</w:t>
      </w:r>
      <w:r w:rsidRPr="004D46AC">
        <w:t xml:space="preserve">potentially triggered by stressful life events or developmental challenges, may signal a shift toward a more vulnerable </w:t>
      </w:r>
      <w:r w:rsidRPr="004D46AC">
        <w:rPr>
          <w:rFonts w:hint="eastAsia"/>
        </w:rPr>
        <w:t>state</w:t>
      </w:r>
      <w:r w:rsidRPr="004D46AC">
        <w:t xml:space="preserve">. Such shifts could precede worsening mood or psychotic symptoms and serve as early markers of heightened risk, though this remains speculative. </w:t>
      </w:r>
      <w:bookmarkStart w:id="232" w:name="OLE_LINK59"/>
      <w:r w:rsidRPr="004D46AC">
        <w:t>Variations in mood-psychosis networks across clinical, at-risk, and non-clinical groups, together with the possible influence of external triggers, warrant further investigation.</w:t>
      </w:r>
      <w:r w:rsidRPr="004D46AC">
        <w:rPr>
          <w:rFonts w:hint="eastAsia"/>
        </w:rPr>
        <w:t xml:space="preserve"> </w:t>
      </w:r>
      <w:bookmarkEnd w:id="232"/>
    </w:p>
    <w:p w14:paraId="014A699C" w14:textId="77777777" w:rsidR="007075D9" w:rsidRPr="004D46AC" w:rsidRDefault="007075D9" w:rsidP="00B518F1">
      <w:r w:rsidRPr="004D46AC">
        <w:t>Findings from our regression analyses were partially consistent with the third hypothesis. Specifically, we found evidence of some reciprocity between mood psychopathologies and PLEs.</w:t>
      </w:r>
      <w:r w:rsidRPr="004D46AC">
        <w:rPr>
          <w:rFonts w:hint="eastAsia"/>
        </w:rPr>
        <w:t xml:space="preserve"> </w:t>
      </w:r>
      <w:r w:rsidRPr="004D46AC">
        <w:t xml:space="preserve">After adjusting for baseline severity and other contributing factors, subclinical mania predicted PLEs after two years, and the reverse was also observed. This finding aligns with the reciprocal relationship between bipolar psychotic symptoms observed in our network models and, to some extent, with the occurrence of diagnostic conversion between bipolar disorder and schizophrenia </w:t>
      </w:r>
      <w:r w:rsidRPr="004D46AC">
        <w:fldChar w:fldCharType="begin">
          <w:fldData xml:space="preserve">PEVuZE5vdGU+PENpdGU+PEF1dGhvcj5Kb3JnZW5zZW48L0F1dGhvcj48WWVhcj4yMDE4PC9ZZWFy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=
</w:fldData>
        </w:fldChar>
      </w:r>
      <w:r w:rsidRPr="004D46AC">
        <w:instrText xml:space="preserve"> ADDIN EN.CITE </w:instrText>
      </w:r>
      <w:r w:rsidRPr="004D46AC">
        <w:fldChar w:fldCharType="begin">
          <w:fldData xml:space="preserve">PEVuZE5vdGU+PENpdGU+PEF1dGhvcj5Kb3JnZW5zZW48L0F1dGhvcj48WWVhcj4yMDE4PC9ZZWFy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=
</w:fldData>
        </w:fldChar>
      </w:r>
      <w:r w:rsidRPr="004D46AC">
        <w:instrText xml:space="preserve"> ADDIN EN.CITE.DATA </w:instrText>
      </w:r>
      <w:r w:rsidRPr="004D46AC">
        <w:fldChar w:fldCharType="end"/>
      </w:r>
      <w:r w:rsidRPr="004D46AC">
        <w:fldChar w:fldCharType="separate"/>
      </w:r>
      <w:r w:rsidRPr="004D46AC">
        <w:rPr>
          <w:noProof/>
        </w:rPr>
        <w:t>(Jorgensen et al., 2018; McGrath et al., 2016)</w:t>
      </w:r>
      <w:r w:rsidRPr="004D46AC">
        <w:fldChar w:fldCharType="end"/>
      </w:r>
      <w:r w:rsidRPr="004D46AC">
        <w:t xml:space="preserve">. However, the close connection between clusters of subclinical mania and PLEs as well as their longitudinal reciprocity may also arise from shared pathological mechanisms, which would be consistent with latent trait models. </w:t>
      </w:r>
    </w:p>
    <w:p w14:paraId="1EC23BD9" w14:textId="77777777" w:rsidR="007075D9" w:rsidRPr="004D46AC" w:rsidRDefault="007075D9" w:rsidP="00B518F1">
      <w:r w:rsidRPr="004D46AC">
        <w:t xml:space="preserve">Unexpectedly, depression did not predict PLEs, either in total frequency or dichotomised status, and more frequent PLEs at wave 5 predicted less severe depression at wave 9. This finding, to some extent, suggests that the relationship between PLEs and </w:t>
      </w:r>
      <w:r w:rsidRPr="004D46AC">
        <w:lastRenderedPageBreak/>
        <w:t xml:space="preserve">depressive symptoms may be more complex than a straightforward transdiagnostic liability </w:t>
      </w:r>
      <w:r w:rsidRPr="004D46AC">
        <w:fldChar w:fldCharType="begin"/>
      </w:r>
      <w:r w:rsidRPr="004D46AC">
        <w:instrText xml:space="preserve"> ADDIN EN.CITE &lt;EndNote&gt;&lt;Cite&gt;&lt;Author&gt;McGrath&lt;/Author&gt;&lt;Year&gt;2016&lt;/Year&gt;&lt;RecNum&gt;925&lt;/RecNum&gt;&lt;DisplayText&gt;(McGrath et al., 2016)&lt;/DisplayText&gt;&lt;record&gt;&lt;rec-number&gt;925&lt;/rec-number&gt;&lt;foreign-keys&gt;&lt;key app="EN" db-id="aet009sstawa0hewvt3xwf5atffdw2dt02sw" timestamp="1740512739"&gt;925&lt;/key&gt;&lt;/foreign-keys&gt;&lt;ref-type name="Journal Article"&gt;17&lt;/ref-type&gt;&lt;contributors&gt;&lt;authors&gt;&lt;author&gt;John J. McGrath&lt;/author&gt;&lt;author&gt;Sukanta Saha&lt;/author&gt;&lt;author&gt;Ali Al-Hamzawi&lt;/author&gt;&lt;author&gt;Laura Andrade&lt;/author&gt;&lt;author&gt;Corina Benjet&lt;/author&gt;&lt;author&gt;Evelyn J. Bromet&lt;/author&gt;&lt;author&gt;Mark Oakley Browne&lt;/author&gt;&lt;author&gt;Jose M. Caldas de Almeida&lt;/author&gt;&lt;author&gt;Wai Tat Chiu&lt;/author&gt;&lt;author&gt;Koen Demyttenaere&lt;/author&gt;&lt;author&gt;John Fayyad&lt;/author&gt;&lt;author&gt;Silvia Florescu&lt;/author&gt;&lt;author&gt;Giovanni de Girolamo&lt;/author&gt;&lt;author&gt;Oye Gureje&lt;/author&gt;&lt;author&gt;Josep Maria Haro&lt;/author&gt;&lt;author&gt;Margreet ten Have&lt;/author&gt;&lt;author&gt;Chiyi Hu&lt;/author&gt;&lt;author&gt;Viviane Kovess-Masfety&lt;/author&gt;&lt;author&gt;Carmen C.W. Lim&lt;/author&gt;&lt;author&gt;Fernando Navarro-Mateu&lt;/author&gt;&lt;author&gt;Nancy Sampson&lt;/author&gt;&lt;author&gt;José Posada-Villa&lt;/author&gt;&lt;author&gt;Kenneth S. Kendler&lt;/author&gt;&lt;author&gt;Ronald C. Kessler&lt;/author&gt;&lt;/authors&gt;&lt;/contributors&gt;&lt;titles&gt;&lt;title&gt;The Bidirectional Associations Between Psychotic Experiences and DSM-IV Mental Disorders&lt;/title&gt;&lt;secondary-title&gt;American Journal of Psychiatry&lt;/secondary-title&gt;&lt;/titles&gt;&lt;periodical&gt;&lt;full-title&gt;American Journal of Psychiatry&lt;/full-title&gt;&lt;/periodical&gt;&lt;pages&gt;997-1006&lt;/pages&gt;&lt;volume&gt;173&lt;/volume&gt;&lt;number&gt;10&lt;/number&gt;&lt;dates&gt;&lt;year&gt;2016&lt;/year&gt;&lt;/dates&gt;&lt;accession-num&gt;26988628&lt;/accession-num&gt;&lt;urls&gt;&lt;related-urls&gt;&lt;url&gt;https://psychiatryonline.org/doi/abs/10.1176/appi.ajp.2016.15101293&lt;/url&gt;&lt;/related-urls&gt;&lt;/urls&gt;&lt;electronic-resource-num&gt;10.1176/appi.ajp.2016.15101293&lt;/electronic-resource-num&gt;&lt;/record&gt;&lt;/Cite&gt;&lt;/EndNote&gt;</w:instrText>
      </w:r>
      <w:r w:rsidRPr="004D46AC">
        <w:fldChar w:fldCharType="separate"/>
      </w:r>
      <w:r w:rsidRPr="004D46AC">
        <w:rPr>
          <w:noProof/>
        </w:rPr>
        <w:t>(McGrath et al., 2016)</w:t>
      </w:r>
      <w:r w:rsidRPr="004D46AC">
        <w:fldChar w:fldCharType="end"/>
      </w:r>
      <w:r w:rsidRPr="004D46AC">
        <w:t xml:space="preserve">.  One possible explanation is that individuals with more frequent PLEs may have been more likely to seek help, as suggested by prior work </w:t>
      </w:r>
      <w:r w:rsidRPr="004D46AC">
        <w:fldChar w:fldCharType="begin"/>
      </w:r>
      <w:r w:rsidRPr="004D46AC">
        <w:instrText xml:space="preserve"> ADDIN EN.CITE &lt;EndNote&gt;&lt;Cite&gt;&lt;Author&gt;Misiak&lt;/Author&gt;&lt;Year&gt;2024&lt;/Year&gt;&lt;RecNum&gt;1237&lt;/RecNum&gt;&lt;DisplayText&gt;(Misiak &amp;amp; Frydecka, 2024)&lt;/DisplayText&gt;&lt;record&gt;&lt;rec-number&gt;1237&lt;/rec-number&gt;&lt;foreign-keys&gt;&lt;key app="EN" db-id="aet009sstawa0hewvt3xwf5atffdw2dt02sw" timestamp="1758789439"&gt;1237&lt;/key&gt;&lt;/foreign-keys&gt;&lt;ref-type name="Journal Article"&gt;17&lt;/ref-type&gt;&lt;contributors&gt;&lt;authors&gt;&lt;author&gt;Misiak, Błażej&lt;/author&gt;&lt;author&gt;Frydecka, Dorota&lt;/author&gt;&lt;/authors&gt;&lt;/contributors&gt;&lt;titles&gt;&lt;title&gt;Psychotic-like experiences predict the perceived intent to seek treatment: A network perspective&lt;/title&gt;&lt;secondary-title&gt;Schizophrenia Research&lt;/secondary-title&gt;&lt;/titles&gt;&lt;periodical&gt;&lt;full-title&gt;Schizophrenia Research&lt;/full-title&gt;&lt;/periodical&gt;&lt;pages&gt;100-106&lt;/pages&gt;&lt;volume&gt;266&lt;/volume&gt;&lt;keywords&gt;&lt;keyword&gt;Mental health services&lt;/keyword&gt;&lt;keyword&gt;Help-seeking&lt;/keyword&gt;&lt;keyword&gt;Early intervention&lt;/keyword&gt;&lt;keyword&gt;Psychotic symptoms&lt;/keyword&gt;&lt;/keywords&gt;&lt;dates&gt;&lt;year&gt;2024&lt;/year&gt;&lt;pub-dates&gt;&lt;date&gt;2024/04/01/&lt;/date&gt;&lt;/pub-dates&gt;&lt;/dates&gt;&lt;isbn&gt;0920-9964&lt;/isbn&gt;&lt;urls&gt;&lt;related-urls&gt;&lt;url&gt;https://www.sciencedirect.com/science/article/pii/S0920996424000707&lt;/url&gt;&lt;/related-urls&gt;&lt;/urls&gt;&lt;electronic-resource-num&gt;https://doi.org/10.1016/j.schres.2024.02.033&lt;/electronic-resource-num&gt;&lt;/record&gt;&lt;/Cite&gt;&lt;/EndNote&gt;</w:instrText>
      </w:r>
      <w:r w:rsidRPr="004D46AC">
        <w:fldChar w:fldCharType="separate"/>
      </w:r>
      <w:r w:rsidRPr="004D46AC">
        <w:rPr>
          <w:noProof/>
        </w:rPr>
        <w:t>(Misiak &amp; Frydecka, 2024)</w:t>
      </w:r>
      <w:r w:rsidRPr="004D46AC">
        <w:fldChar w:fldCharType="end"/>
      </w:r>
      <w:r w:rsidRPr="004D46AC">
        <w:t xml:space="preserve">, and such help-seeking could have contributed to reduced depressive symptoms over time. Another explanation could be that PLEs mask depressive symptoms, perhaps through suppressing self-reflection, which has been observed in clinical participants </w:t>
      </w:r>
      <w:r w:rsidRPr="004D46AC">
        <w:fldChar w:fldCharType="begin"/>
      </w:r>
      <w:r w:rsidRPr="004D46AC">
        <w:instrText xml:space="preserve"> ADDIN EN.CITE &lt;EndNote&gt;&lt;Cite&gt;&lt;Author&gt;Palmer&lt;/Author&gt;&lt;Year&gt;2015&lt;/Year&gt;&lt;RecNum&gt;1239&lt;/RecNum&gt;&lt;DisplayText&gt;(Palmer et al., 2015)&lt;/DisplayText&gt;&lt;record&gt;&lt;rec-number&gt;1239&lt;/rec-number&gt;&lt;foreign-keys&gt;&lt;key app="EN" db-id="aet009sstawa0hewvt3xwf5atffdw2dt02sw" timestamp="1760356407"&gt;1239&lt;/key&gt;&lt;/foreign-keys&gt;&lt;ref-type name="Journal Article"&gt;17&lt;/ref-type&gt;&lt;contributors&gt;&lt;authors&gt;&lt;author&gt;Palmer, Emma C.&lt;/author&gt;&lt;author&gt;Gilleen, James&lt;/author&gt;&lt;author&gt;David, Anthony S.&lt;/author&gt;&lt;/authors&gt;&lt;/contributors&gt;&lt;titles&gt;&lt;title&gt;The relationship between cognitive insight and depression in psychosis and schizophrenia: A review and meta-analysis&lt;/title&gt;&lt;secondary-title&gt;Schizophrenia Research&lt;/secondary-title&gt;&lt;/titles&gt;&lt;periodical&gt;&lt;full-title&gt;Schizophrenia Research&lt;/full-title&gt;&lt;/periodical&gt;&lt;pages&gt;261-268&lt;/pages&gt;&lt;volume&gt;166&lt;/volume&gt;&lt;number&gt;1&lt;/number&gt;&lt;keywords&gt;&lt;keyword&gt;Cognitive insight&lt;/keyword&gt;&lt;keyword&gt;Depression&lt;/keyword&gt;&lt;keyword&gt;Mood&lt;/keyword&gt;&lt;keyword&gt;Schizophrenia&lt;/keyword&gt;&lt;/keywords&gt;&lt;dates&gt;&lt;year&gt;2015&lt;/year&gt;&lt;pub-dates&gt;&lt;date&gt;2015/08/01/&lt;/date&gt;&lt;/pub-dates&gt;&lt;/dates&gt;&lt;isbn&gt;0920-9964&lt;/isbn&gt;&lt;urls&gt;&lt;related-urls&gt;&lt;url&gt;https://www.sciencedirect.com/science/article/pii/S0920996415002893&lt;/url&gt;&lt;/related-urls&gt;&lt;/urls&gt;&lt;electronic-resource-num&gt;https://doi.org/10.1016/j.schres.2015.05.032&lt;/electronic-resource-num&gt;&lt;/record&gt;&lt;/Cite&gt;&lt;/EndNote&gt;</w:instrText>
      </w:r>
      <w:r w:rsidRPr="004D46AC">
        <w:fldChar w:fldCharType="separate"/>
      </w:r>
      <w:r w:rsidRPr="004D46AC">
        <w:rPr>
          <w:noProof/>
        </w:rPr>
        <w:t>(Palmer et al., 2015)</w:t>
      </w:r>
      <w:r w:rsidRPr="004D46AC">
        <w:fldChar w:fldCharType="end"/>
      </w:r>
      <w:r w:rsidRPr="004D46AC">
        <w:t>. Finally, the effect could be statistical: the negative association may reflect a suppression effect, as adjusting for baseline depression and psychosocial covariates may have accounted for shared variance, leaving PLEs with a residual inverse relationship to subsequent depression. Certainly, in the present data there is no evidence of depression preceding PLEs.</w:t>
      </w:r>
    </w:p>
    <w:p w14:paraId="1C7EB3D3" w14:textId="77777777" w:rsidR="007075D9" w:rsidRPr="004D46AC" w:rsidRDefault="007075D9" w:rsidP="00B518F1">
      <w:r w:rsidRPr="004D46AC">
        <w:rPr>
          <w:rFonts w:hint="eastAsia"/>
        </w:rPr>
        <w:t>Moreover</w:t>
      </w:r>
      <w:r w:rsidRPr="004D46AC">
        <w:t xml:space="preserve">, a one-way relationship from subclinical depression to mania was observed in the longitudinal regression model, and this pattern was replicated across the two assessment points. This finding aligns with previous </w:t>
      </w:r>
      <w:r w:rsidRPr="004D46AC">
        <w:rPr>
          <w:rFonts w:hint="eastAsia"/>
        </w:rPr>
        <w:t xml:space="preserve">study that </w:t>
      </w:r>
      <w:r w:rsidRPr="004D46AC">
        <w:t>most bipolar patients report depression as their first mood episode</w:t>
      </w:r>
      <w:r w:rsidRPr="004D46AC">
        <w:rPr>
          <w:rFonts w:hint="eastAsia"/>
        </w:rPr>
        <w:t xml:space="preserve"> </w:t>
      </w:r>
      <w:r w:rsidRPr="004D46AC">
        <w:fldChar w:fldCharType="begin"/>
      </w:r>
      <w:r w:rsidRPr="004D46AC">
        <w:instrText xml:space="preserve"> ADDIN EN.CITE &lt;EndNote&gt;&lt;Cite&gt;&lt;Author&gt;Perugi&lt;/Author&gt;&lt;Year&gt;2000&lt;/Year&gt;&lt;RecNum&gt;932&lt;/RecNum&gt;&lt;DisplayText&gt;(Perugi et al., 2000)&lt;/DisplayText&gt;&lt;record&gt;&lt;rec-number&gt;932&lt;/rec-number&gt;&lt;foreign-keys&gt;&lt;key app="EN" db-id="aet009sstawa0hewvt3xwf5atffdw2dt02sw" timestamp="1740520099"&gt;932&lt;/key&gt;&lt;/foreign-keys&gt;&lt;ref-type name="Journal Article"&gt;17&lt;/ref-type&gt;&lt;contributors&gt;&lt;authors&gt;&lt;author&gt;Perugi, Giulio&lt;/author&gt;&lt;author&gt;Micheli, Claudia&lt;/author&gt;&lt;author&gt;Akiskal, Hagop S.&lt;/author&gt;&lt;author&gt;Madaro, Donato&lt;/author&gt;&lt;author&gt;Socci, Cristina&lt;/author&gt;&lt;author&gt;Quilici, Cinzia&lt;/author&gt;&lt;author&gt;Musetti, Laura&lt;/author&gt;&lt;/authors&gt;&lt;/contributors&gt;&lt;titles&gt;&lt;title&gt;Polarity of the first episode, clinical characteristics, and course of manic depressive illness: A systematic retrospective investigation of 320 bipolar I patients&lt;/title&gt;&lt;secondary-title&gt;Comprehensive Psychiatry&lt;/secondary-title&gt;&lt;/titles&gt;&lt;periodical&gt;&lt;full-title&gt;Comprehensive Psychiatry&lt;/full-title&gt;&lt;/periodical&gt;&lt;pages&gt;13-18&lt;/pages&gt;&lt;volume&gt;41&lt;/volume&gt;&lt;number&gt;1&lt;/number&gt;&lt;dates&gt;&lt;year&gt;2000&lt;/year&gt;&lt;pub-dates&gt;&lt;date&gt;2000/01/01/&lt;/date&gt;&lt;/pub-dates&gt;&lt;/dates&gt;&lt;isbn&gt;0010-440X&lt;/isbn&gt;&lt;urls&gt;&lt;related-urls&gt;&lt;url&gt;https://www.sciencedirect.com/science/article/pii/S0010440X00901251&lt;/url&gt;&lt;/related-urls&gt;&lt;/urls&gt;&lt;electronic-resource-num&gt;https://doi.org/10.1016/S0010-440X(00)90125-1&lt;/electronic-resource-num&gt;&lt;/record&gt;&lt;/Cite&gt;&lt;/EndNote&gt;</w:instrText>
      </w:r>
      <w:r w:rsidRPr="004D46AC">
        <w:fldChar w:fldCharType="separate"/>
      </w:r>
      <w:r w:rsidRPr="004D46AC">
        <w:rPr>
          <w:noProof/>
        </w:rPr>
        <w:t>(Perugi et al., 2000)</w:t>
      </w:r>
      <w:r w:rsidRPr="004D46AC">
        <w:fldChar w:fldCharType="end"/>
      </w:r>
      <w:r w:rsidRPr="004D46AC">
        <w:t>. Longitudinally, the onset of mania is predicted by an increase in depression</w:t>
      </w:r>
      <w:r w:rsidRPr="004D46AC">
        <w:rPr>
          <w:rFonts w:hint="eastAsia"/>
        </w:rPr>
        <w:t xml:space="preserve"> </w:t>
      </w:r>
      <w:r w:rsidRPr="004D46AC">
        <w:fldChar w:fldCharType="begin">
          <w:fldData xml:space="preserve">PEVuZE5vdGU+PENpdGU+PEF1dGhvcj5Kb2huc29uPC9BdXRob3I+PFllYXI+MjAxMTwvWWVhcj48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instrText xml:space="preserve"> ADDIN EN.CITE </w:instrText>
      </w:r>
      <w:r w:rsidRPr="004D46AC">
        <w:fldChar w:fldCharType="begin">
          <w:fldData xml:space="preserve">PEVuZE5vdGU+PENpdGU+PEF1dGhvcj5Kb2huc29uPC9BdXRob3I+PFllYXI+MjAxMTwvWWVhcj48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instrText xml:space="preserve"> ADDIN EN.CITE.DATA </w:instrText>
      </w:r>
      <w:r w:rsidRPr="004D46AC">
        <w:fldChar w:fldCharType="end"/>
      </w:r>
      <w:r w:rsidRPr="004D46AC">
        <w:fldChar w:fldCharType="separate"/>
      </w:r>
      <w:r w:rsidRPr="004D46AC">
        <w:rPr>
          <w:noProof/>
        </w:rPr>
        <w:t>(Johnson et al., 2011)</w:t>
      </w:r>
      <w:r w:rsidRPr="004D46AC">
        <w:fldChar w:fldCharType="end"/>
      </w:r>
      <w:r w:rsidRPr="004D46AC">
        <w:rPr>
          <w:rFonts w:hint="eastAsia"/>
        </w:rPr>
        <w:t xml:space="preserve"> </w:t>
      </w:r>
      <w:r w:rsidRPr="004D46AC">
        <w:t>and mania in the absence of a history of depression is extremely rare</w:t>
      </w:r>
      <w:r w:rsidRPr="004D46AC">
        <w:rPr>
          <w:rFonts w:hint="eastAsia"/>
        </w:rPr>
        <w:t xml:space="preserve"> </w:t>
      </w:r>
      <w:r w:rsidRPr="004D46AC">
        <w:fldChar w:fldCharType="begin"/>
      </w:r>
      <w:r w:rsidRPr="004D46AC">
        <w:instrText xml:space="preserve"> ADDIN EN.CITE &lt;EndNote&gt;&lt;Cite&gt;&lt;Author&gt;Stokes&lt;/Author&gt;&lt;Year&gt;2020&lt;/Year&gt;&lt;RecNum&gt;1322&lt;/RecNum&gt;&lt;DisplayText&gt;(Stokes et al., 2020)&lt;/DisplayText&gt;&lt;record&gt;&lt;rec-number&gt;1322&lt;/rec-number&gt;&lt;foreign-keys&gt;&lt;key app="EN" db-id="aet009sstawa0hewvt3xwf5atffdw2dt02sw" timestamp="1765296035"&gt;1322&lt;/key&gt;&lt;/foreign-keys&gt;&lt;ref-type name="Journal Article"&gt;17&lt;/ref-type&gt;&lt;contributors&gt;&lt;authors&gt;&lt;author&gt;Stokes, Paul R. A.&lt;/author&gt;&lt;author&gt;Yalin, Nefize&lt;/author&gt;&lt;author&gt;Mantingh, Tim&lt;/author&gt;&lt;author&gt;Colasanti, Alessandro&lt;/author&gt;&lt;author&gt;Patel, Rashmi&lt;/author&gt;&lt;author&gt;Bellivier, Frank&lt;/author&gt;&lt;author&gt;Leboyer, Marion&lt;/author&gt;&lt;author&gt;Henry, Chantal&lt;/author&gt;&lt;author&gt;Kahn, Jean-Pierre&lt;/author&gt;&lt;author&gt;Etain, Bruno&lt;/author&gt;&lt;author&gt;Young, Allan H.&lt;/author&gt;&lt;/authors&gt;&lt;/contributors&gt;&lt;titles&gt;&lt;title&gt;Unipolar mania: Identification and characterisation of cases in France and the United Kingdom&lt;/title&gt;&lt;secondary-title&gt;Journal of Affective Disorders&lt;/secondary-title&gt;&lt;/titles&gt;&lt;periodical&gt;&lt;full-title&gt;Journal of affective disorders&lt;/full-title&gt;&lt;/periodical&gt;&lt;pages&gt;228-235&lt;/pages&gt;&lt;volume&gt;263&lt;/volume&gt;&lt;keywords&gt;&lt;keyword&gt;Unipolar mania&lt;/keyword&gt;&lt;keyword&gt;Bipolar disorder&lt;/keyword&gt;&lt;keyword&gt;Characteristics&lt;/keyword&gt;&lt;keyword&gt;Identification&lt;/keyword&gt;&lt;/keywords&gt;&lt;dates&gt;&lt;year&gt;2020&lt;/year&gt;&lt;pub-dates&gt;&lt;date&gt;2020/02/15/&lt;/date&gt;&lt;/pub-dates&gt;&lt;/dates&gt;&lt;isbn&gt;0165-0327&lt;/isbn&gt;&lt;urls&gt;&lt;related-urls&gt;&lt;url&gt;https://www.sciencedirect.com/science/article/pii/S0165032719321846&lt;/url&gt;&lt;/related-urls&gt;&lt;/urls&gt;&lt;electronic-resource-num&gt;https://doi.org/10.1016/j.jad.2019.11.024&lt;/electronic-resource-num&gt;&lt;/record&gt;&lt;/Cite&gt;&lt;/EndNote&gt;</w:instrText>
      </w:r>
      <w:r w:rsidRPr="004D46AC">
        <w:fldChar w:fldCharType="separate"/>
      </w:r>
      <w:r w:rsidRPr="004D46AC">
        <w:rPr>
          <w:noProof/>
        </w:rPr>
        <w:t>(Stokes et al., 2020)</w:t>
      </w:r>
      <w:r w:rsidRPr="004D46AC">
        <w:fldChar w:fldCharType="end"/>
      </w:r>
      <w:r w:rsidRPr="004D46AC">
        <w:rPr>
          <w:rFonts w:hint="eastAsia"/>
        </w:rPr>
        <w:t>.</w:t>
      </w:r>
      <w:r w:rsidRPr="004D46AC">
        <w:t xml:space="preserve"> A previous network analysis found that depression and mania may be connected by bridge symptoms such as anhedonia and impulsivity </w:t>
      </w:r>
      <w:r w:rsidRPr="004D46AC">
        <w:fldChar w:fldCharType="begin">
          <w:fldData xml:space="preserve">PEVuZE5vdGU+PENpdGU+PEF1dGhvcj5aYXZsaXM8L0F1dGhvcj48WWVhcj4yMDIzPC9ZZWFyPjxS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</w:fldData>
        </w:fldChar>
      </w:r>
      <w:r w:rsidRPr="004D46AC">
        <w:instrText xml:space="preserve"> ADDIN EN.CITE </w:instrText>
      </w:r>
      <w:r w:rsidRPr="004D46AC">
        <w:fldChar w:fldCharType="begin">
          <w:fldData xml:space="preserve">PEVuZE5vdGU+PENpdGU+PEF1dGhvcj5aYXZsaXM8L0F1dGhvcj48WWVhcj4yMDIzPC9ZZWFyPjxS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</w:fldData>
        </w:fldChar>
      </w:r>
      <w:r w:rsidRPr="004D46AC">
        <w:instrText xml:space="preserve"> ADDIN EN.CITE.DATA </w:instrText>
      </w:r>
      <w:r w:rsidRPr="004D46AC">
        <w:fldChar w:fldCharType="end"/>
      </w:r>
      <w:r w:rsidRPr="004D46AC">
        <w:fldChar w:fldCharType="separate"/>
      </w:r>
      <w:r w:rsidRPr="004D46AC">
        <w:rPr>
          <w:noProof/>
        </w:rPr>
        <w:t>(Zavlis et al., 2023)</w:t>
      </w:r>
      <w:r w:rsidRPr="004D46AC">
        <w:fldChar w:fldCharType="end"/>
      </w:r>
      <w:r w:rsidRPr="004D46AC">
        <w:t xml:space="preserve">. These findings highlight the possibility that depression is part of the bipolar trajectory and support the long-held assumption that depression serves as a prodromal stage of mania </w:t>
      </w:r>
      <w:r w:rsidRPr="004D46AC">
        <w:fldChar w:fldCharType="begin"/>
      </w:r>
      <w:r w:rsidRPr="004D46AC">
        <w:instrText xml:space="preserve"> ADDIN EN.CITE &lt;EndNote&gt;&lt;Cite&gt;&lt;Author&gt;Frank&lt;/Author&gt;&lt;Year&gt;2015&lt;/Year&gt;&lt;RecNum&gt;931&lt;/RecNum&gt;&lt;DisplayText&gt;(Frank et al., 2015)&lt;/DisplayText&gt;&lt;record&gt;&lt;rec-number&gt;931&lt;/rec-number&gt;&lt;foreign-keys&gt;&lt;key app="EN" db-id="aet009sstawa0hewvt3xwf5atffdw2dt02sw" timestamp="1740519633"&gt;931&lt;/key&gt;&lt;/foreign-keys&gt;&lt;ref-type name="Journal Article"&gt;17&lt;/ref-type&gt;&lt;contributors&gt;&lt;authors&gt;&lt;author&gt;Frank, E.&lt;/author&gt;&lt;author&gt;Nimgaonkar, V. L.&lt;/author&gt;&lt;author&gt;Phillips, M. L.&lt;/author&gt;&lt;author&gt;Kupfer, D. J.&lt;/author&gt;&lt;/authors&gt;&lt;/contributors&gt;&lt;auth-address&gt;Departments of Psychiatry and Psychology, Western Psychiatric Institute and Clinic, University of Pittsburgh School of Medicine, Pittsburgh, PA, USA.&lt;/auth-address&gt;&lt;titles&gt;&lt;title&gt;All the world&amp;apos;s a (clinical) stage: rethinking bipolar disorder from a longitudinal perspective&lt;/title&gt;&lt;secondary-title&gt;Mol Psychiatry&lt;/secondary-title&gt;&lt;/titles&gt;&lt;periodical&gt;&lt;full-title&gt;Mol Psychiatry&lt;/full-title&gt;&lt;/periodical&gt;&lt;pages&gt;23-31&lt;/pages&gt;&lt;volume&gt;20&lt;/volume&gt;&lt;number&gt;1&lt;/number&gt;&lt;edition&gt;20140722&lt;/edition&gt;&lt;keywords&gt;&lt;keyword&gt;Bipolar Disorder/*diagnosis/epidemiology/genetics/*therapy&lt;/keyword&gt;&lt;keyword&gt;Comorbidity&lt;/keyword&gt;&lt;keyword&gt;Disease Progression&lt;/keyword&gt;&lt;keyword&gt;Genetic Predisposition to Disease&lt;/keyword&gt;&lt;keyword&gt;Humans&lt;/keyword&gt;&lt;keyword&gt;*Longitudinal Studies&lt;/keyword&gt;&lt;keyword&gt;Models, Biological&lt;/keyword&gt;&lt;keyword&gt;Neuroimaging&lt;/keyword&gt;&lt;keyword&gt;Risk Factors&lt;/keyword&gt;&lt;/keywords&gt;&lt;dates&gt;&lt;year&gt;2015&lt;/year&gt;&lt;pub-dates&gt;&lt;date&gt;Feb&lt;/date&gt;&lt;/pub-dates&gt;&lt;/dates&gt;&lt;isbn&gt;1359-4184 (Print)&amp;#xD;1359-4184&lt;/isbn&gt;&lt;accession-num&gt;25048003&lt;/accession-num&gt;&lt;urls&gt;&lt;/urls&gt;&lt;custom2&gt;PMC4303542&lt;/custom2&gt;&lt;custom6&gt;NIHMS603230&lt;/custom6&gt;&lt;electronic-resource-num&gt;10.1038/mp.2014.71&lt;/electronic-resource-num&gt;&lt;remote-database-provider&gt;NLM&lt;/remote-database-provider&gt;&lt;language&gt;eng&lt;/language&gt;&lt;/record&gt;&lt;/Cite&gt;&lt;/EndNote&gt;</w:instrText>
      </w:r>
      <w:r w:rsidRPr="004D46AC">
        <w:fldChar w:fldCharType="separate"/>
      </w:r>
      <w:r w:rsidRPr="004D46AC">
        <w:rPr>
          <w:noProof/>
        </w:rPr>
        <w:t>(Frank et al., 2015)</w:t>
      </w:r>
      <w:r w:rsidRPr="004D46AC">
        <w:fldChar w:fldCharType="end"/>
      </w:r>
      <w:r w:rsidRPr="004D46AC">
        <w:t>. The absence of the reverse pattern in this study suggests that the transition from mania to depression in clinical bipolar disorder may follow a distinct pathway, highlighting the need for further investigation into the mechanisms underlying bipolar trajectories before and after the onset of illness. Taken with the previous findings of no longitudinal association between depression and PLEs, the picture that emerges is of a complex interplay between mood and psychotic symptoms in which mania is influenced by both preexisting negative mood and a vulnerability to psychosis.</w:t>
      </w:r>
    </w:p>
    <w:p w14:paraId="43C56946" w14:textId="77777777" w:rsidR="007075D9" w:rsidRPr="004D46AC" w:rsidRDefault="007075D9" w:rsidP="00B518F1">
      <w:r w:rsidRPr="004D46AC">
        <w:lastRenderedPageBreak/>
        <w:t>Regarding variables hypothesized to predict symptoms, most of our assumptions were not supported by the findings. The major exception was that childhood adversity consistently predicted nearly all subclinical psychopathologies across the two major assessment waves</w:t>
      </w:r>
      <w:r w:rsidRPr="004D46AC">
        <w:rPr>
          <w:rFonts w:hint="eastAsia"/>
        </w:rPr>
        <w:t xml:space="preserve">, </w:t>
      </w:r>
      <w:r w:rsidRPr="004D46AC">
        <w:t xml:space="preserve">aligning with well-established evidence that childhood adversity is a risk factor for psychosis as well as other severe mental disorders </w:t>
      </w:r>
      <w:r w:rsidRPr="004D46AC">
        <w:fldChar w:fldCharType="begin">
          <w:fldData xml:space="preserve">PEVuZE5vdGU+PENpdGU+PEF1dGhvcj5NYW5kZWxsaTwvQXV0aG9yPjxZZWFyPjIwMTU8L1llYXI+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==
</w:fldData>
        </w:fldChar>
      </w:r>
      <w:r w:rsidRPr="004D46AC">
        <w:instrText xml:space="preserve"> ADDIN EN.CITE </w:instrText>
      </w:r>
      <w:r w:rsidRPr="004D46AC">
        <w:fldChar w:fldCharType="begin">
          <w:fldData xml:space="preserve">PEVuZE5vdGU+PENpdGU+PEF1dGhvcj5NYW5kZWxsaTwvQXV0aG9yPjxZZWFyPjIwMTU8L1llYXI+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==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(Agnew-Blais &amp; Danese, 2016; Mandelli et al., 2015; Zhou et al., 2025)</w:t>
      </w:r>
      <w:r w:rsidRPr="004D46AC">
        <w:fldChar w:fldCharType="end"/>
      </w:r>
      <w:r w:rsidRPr="004D46AC">
        <w:t>. Hence, our findings support the notion that childhood trauma serves as a transdiagnostic risk factor for a variety of psychiatric conditions.</w:t>
      </w:r>
    </w:p>
    <w:p w14:paraId="07648CCB" w14:textId="77777777" w:rsidR="007075D9" w:rsidRPr="004D46AC" w:rsidRDefault="007075D9" w:rsidP="00B518F1">
      <w:r w:rsidRPr="004D46AC">
        <w:t xml:space="preserve">Our regression analyses of other psychological variables yielded inconsistent findings. However, it is worth noting that, at wave 9 (although not at wave 5), subclinical depression and mania exhibited distinct associations with prospective and inhibitory intolerance of uncertainty even after adjusting for confounders such as anxiety severity. Specifically, higher subclinical mania was correlated with lower inhibitory </w:t>
      </w:r>
      <w:proofErr w:type="spellStart"/>
      <w:r w:rsidRPr="004D46AC">
        <w:t>IoU</w:t>
      </w:r>
      <w:proofErr w:type="spellEnd"/>
      <w:r w:rsidRPr="004D46AC">
        <w:t xml:space="preserve">, while higher subclinical depression was correlated with higher prospective </w:t>
      </w:r>
      <w:proofErr w:type="spellStart"/>
      <w:r w:rsidRPr="004D46AC">
        <w:t>IoU</w:t>
      </w:r>
      <w:proofErr w:type="spellEnd"/>
      <w:r w:rsidRPr="004D46AC">
        <w:t xml:space="preserve">. The positive association between depression and prospective </w:t>
      </w:r>
      <w:proofErr w:type="spellStart"/>
      <w:r w:rsidRPr="004D46AC">
        <w:t>IoU</w:t>
      </w:r>
      <w:proofErr w:type="spellEnd"/>
      <w:r w:rsidRPr="004D46AC">
        <w:t xml:space="preserve"> is consistent with prior literature </w:t>
      </w:r>
      <w:r w:rsidRPr="004D46AC">
        <w:fldChar w:fldCharType="begin"/>
      </w:r>
      <w:r w:rsidRPr="004D46AC">
        <w:instrText xml:space="preserve"> ADDIN EN.CITE &lt;EndNote&gt;&lt;Cite&gt;&lt;Author&gt;Gentes&lt;/Author&gt;&lt;Year&gt;2011&lt;/Year&gt;&lt;RecNum&gt;938&lt;/RecNum&gt;&lt;DisplayText&gt;(Gentes &amp;amp; Ruscio, 2011)&lt;/DisplayText&gt;&lt;record&gt;&lt;rec-number&gt;938&lt;/rec-number&gt;&lt;foreign-keys&gt;&lt;key app="EN" db-id="aet009sstawa0hewvt3xwf5atffdw2dt02sw" timestamp="1740583993"&gt;938&lt;/key&gt;&lt;/foreign-keys&gt;&lt;ref-type name="Journal Article"&gt;17&lt;/ref-type&gt;&lt;contributors&gt;&lt;authors&gt;&lt;author&gt;Gentes, Emily L.&lt;/author&gt;&lt;author&gt;Ruscio, Ayelet Meron&lt;/author&gt;&lt;/authors&gt;&lt;/contributors&gt;&lt;titles&gt;&lt;title&gt;A meta-analysis of the relation of intolerance of uncertainty to symptoms of generalized anxiety disorder, major depressive disorder, and obsessive–compulsive disorder&lt;/title&gt;&lt;secondary-title&gt;Clinical Psychology Review&lt;/secondary-title&gt;&lt;/titles&gt;&lt;periodical&gt;&lt;full-title&gt;Clinical Psychology Review&lt;/full-title&gt;&lt;/periodical&gt;&lt;pages&gt;923-933&lt;/pages&gt;&lt;volume&gt;31&lt;/volume&gt;&lt;number&gt;6&lt;/number&gt;&lt;keywords&gt;&lt;keyword&gt;Intolerance of uncertainty&lt;/keyword&gt;&lt;keyword&gt;Generalized anxiety disorder&lt;/keyword&gt;&lt;keyword&gt;Major depressive disorder&lt;/keyword&gt;&lt;keyword&gt;Obsessive–compulsive disorder&lt;/keyword&gt;&lt;/keywords&gt;&lt;dates&gt;&lt;year&gt;2011&lt;/year&gt;&lt;pub-dates&gt;&lt;date&gt;2011/08/01/&lt;/date&gt;&lt;/pub-dates&gt;&lt;/dates&gt;&lt;isbn&gt;0272-7358&lt;/isbn&gt;&lt;urls&gt;&lt;related-urls&gt;&lt;url&gt;https://www.sciencedirect.com/science/article/pii/S0272735811000961&lt;/url&gt;&lt;/related-urls&gt;&lt;/urls&gt;&lt;electronic-resource-num&gt;https://doi.org/10.1016/j.cpr.2011.05.001&lt;/electronic-resource-num&gt;&lt;/record&gt;&lt;/Cite&gt;&lt;/EndNote&gt;</w:instrText>
      </w:r>
      <w:r w:rsidRPr="004D46AC">
        <w:fldChar w:fldCharType="separate"/>
      </w:r>
      <w:r w:rsidRPr="004D46AC">
        <w:rPr>
          <w:noProof/>
        </w:rPr>
        <w:t>(Gentes &amp; Ruscio, 2011)</w:t>
      </w:r>
      <w:r w:rsidRPr="004D46AC">
        <w:fldChar w:fldCharType="end"/>
      </w:r>
      <w:r w:rsidRPr="004D46AC">
        <w:t>. There has been very little</w:t>
      </w:r>
      <w:r w:rsidRPr="004D46AC">
        <w:rPr>
          <w:rFonts w:hint="eastAsia"/>
        </w:rPr>
        <w:t xml:space="preserve"> </w:t>
      </w:r>
      <w:r w:rsidRPr="004D46AC">
        <w:t>research</w:t>
      </w:r>
      <w:r w:rsidRPr="004D46AC">
        <w:rPr>
          <w:rFonts w:hint="eastAsia"/>
        </w:rPr>
        <w:t xml:space="preserve"> </w:t>
      </w:r>
      <w:r w:rsidRPr="004D46AC">
        <w:t xml:space="preserve">examining the relationship between mania and subdimensions of </w:t>
      </w:r>
      <w:proofErr w:type="spellStart"/>
      <w:r w:rsidRPr="004D46AC">
        <w:t>IoU</w:t>
      </w:r>
      <w:bookmarkStart w:id="233" w:name="OLE_LINK63"/>
      <w:proofErr w:type="spellEnd"/>
      <w:r w:rsidRPr="004D46AC">
        <w:t xml:space="preserve"> but the hypomania subdimension of irritability/impulsivity has been found to be positively</w:t>
      </w:r>
      <w:r w:rsidRPr="004D46AC">
        <w:rPr>
          <w:rStyle w:val="af7"/>
          <w:sz w:val="22"/>
          <w:szCs w:val="24"/>
        </w:rPr>
        <w:t xml:space="preserve"> </w:t>
      </w:r>
      <w:r w:rsidRPr="004D46AC">
        <w:t xml:space="preserve">associated with general </w:t>
      </w:r>
      <w:proofErr w:type="spellStart"/>
      <w:r w:rsidRPr="004D46AC">
        <w:t>IoU</w:t>
      </w:r>
      <w:proofErr w:type="spellEnd"/>
      <w:r w:rsidRPr="004D46AC">
        <w:t xml:space="preserve"> </w:t>
      </w:r>
      <w:bookmarkEnd w:id="233"/>
      <w:r w:rsidRPr="004D46AC">
        <w:fldChar w:fldCharType="begin">
          <w:fldData xml:space="preserve">PEVuZE5vdGU+PENpdGU+PEF1dGhvcj5QdWpqaTwvQXV0aG9yPjxZZWFyPjIwMjM8L1llYXI+PFJl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</w:fldData>
        </w:fldChar>
      </w:r>
      <w:r w:rsidRPr="004D46AC">
        <w:instrText xml:space="preserve"> ADDIN EN.CITE </w:instrText>
      </w:r>
      <w:r w:rsidRPr="004D46AC">
        <w:fldChar w:fldCharType="begin">
          <w:fldData xml:space="preserve">PEVuZE5vdGU+PENpdGU+PEF1dGhvcj5QdWpqaTwvQXV0aG9yPjxZZWFyPjIwMjM8L1llYXI+PFJl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</w:fldData>
        </w:fldChar>
      </w:r>
      <w:r w:rsidRPr="004D46AC">
        <w:instrText xml:space="preserve"> ADDIN EN.CITE.DATA </w:instrText>
      </w:r>
      <w:r w:rsidRPr="004D46AC">
        <w:fldChar w:fldCharType="end"/>
      </w:r>
      <w:r w:rsidRPr="004D46AC">
        <w:fldChar w:fldCharType="separate"/>
      </w:r>
      <w:r w:rsidRPr="004D46AC">
        <w:rPr>
          <w:noProof/>
        </w:rPr>
        <w:t>(Pujji, 2023)</w:t>
      </w:r>
      <w:r w:rsidRPr="004D46AC">
        <w:fldChar w:fldCharType="end"/>
      </w:r>
      <w:r w:rsidRPr="004D46AC">
        <w:t>. Our findings extend these observations by suggesting that mania and depression may be associated with distinct cognitive-affective profiles. These findings align with theorising about the behavioural activation and inhibition systems</w:t>
      </w:r>
      <w:r w:rsidRPr="004D46AC">
        <w:rPr>
          <w:rFonts w:hint="eastAsia"/>
        </w:rPr>
        <w:t xml:space="preserve"> </w:t>
      </w:r>
      <w:r w:rsidRPr="004D46AC">
        <w:t>(BAS/BIS</w:t>
      </w:r>
      <w:r w:rsidRPr="004D46AC">
        <w:rPr>
          <w:rFonts w:hint="eastAsia"/>
        </w:rPr>
        <w:t>)</w:t>
      </w:r>
      <w:r w:rsidRPr="004D46AC">
        <w:t xml:space="preserve"> governing motivation</w:t>
      </w:r>
      <w:r w:rsidRPr="004D46AC">
        <w:rPr>
          <w:rFonts w:hint="eastAsia"/>
        </w:rPr>
        <w:t xml:space="preserve"> </w:t>
      </w:r>
      <w:r w:rsidRPr="004D46AC">
        <w:fldChar w:fldCharType="begin"/>
      </w:r>
      <w:r w:rsidRPr="004D46AC">
        <w:instrText xml:space="preserve"> ADDIN EN.CITE &lt;EndNote&gt;&lt;Cite&gt;&lt;Author&gt;Gray&lt;/Author&gt;&lt;Year&gt;1987&lt;/Year&gt;&lt;RecNum&gt;1323&lt;/RecNum&gt;&lt;DisplayText&gt;(Gray, 1987)&lt;/DisplayText&gt;&lt;record&gt;&lt;rec-number&gt;1323&lt;/rec-number&gt;&lt;foreign-keys&gt;&lt;key app="EN" db-id="aet009sstawa0hewvt3xwf5atffdw2dt02sw" timestamp="1765297369"&gt;1323&lt;/key&gt;&lt;/foreign-keys&gt;&lt;ref-type name="Book Section"&gt;5&lt;/ref-type&gt;&lt;contributors&gt;&lt;authors&gt;&lt;author&gt;Gray, Jeffrey A.&lt;/author&gt;&lt;/authors&gt;&lt;/contributors&gt;&lt;titles&gt;&lt;title&gt;The neuropsychology of emotion and personality&lt;/title&gt;&lt;secondary-title&gt;Cognitive neurochemistry.&lt;/secondary-title&gt;&lt;/titles&gt;&lt;pages&gt;171-190&lt;/pages&gt;&lt;keywords&gt;&lt;keyword&gt;*Emotions&lt;/keyword&gt;&lt;keyword&gt;*Mental Disorders&lt;/keyword&gt;&lt;keyword&gt;*Personality&lt;/keyword&gt;&lt;keyword&gt;Alarm Responses&lt;/keyword&gt;&lt;keyword&gt;Brain&lt;/keyword&gt;&lt;keyword&gt;Neuropsychology&lt;/keyword&gt;&lt;keyword&gt;Neurotransmitters&lt;/keyword&gt;&lt;/keywords&gt;&lt;dates&gt;&lt;year&gt;1987&lt;/year&gt;&lt;/dates&gt;&lt;pub-location&gt;New York, NY, US&lt;/pub-location&gt;&lt;publisher&gt;Oxford University Press&lt;/publisher&gt;&lt;isbn&gt;0-19-854225-9 (Hardcover)&lt;/isbn&gt;&lt;urls&gt;&lt;/urls&gt;&lt;/record&gt;&lt;/Cite&gt;&lt;/EndNote&gt;</w:instrText>
      </w:r>
      <w:r w:rsidRPr="004D46AC">
        <w:fldChar w:fldCharType="separate"/>
      </w:r>
      <w:r w:rsidRPr="004D46AC">
        <w:rPr>
          <w:noProof/>
        </w:rPr>
        <w:t>(Gray, 1987)</w:t>
      </w:r>
      <w:r w:rsidRPr="004D46AC">
        <w:fldChar w:fldCharType="end"/>
      </w:r>
      <w:r w:rsidRPr="004D46AC">
        <w:rPr>
          <w:rFonts w:hint="eastAsia"/>
        </w:rPr>
        <w:t xml:space="preserve">. </w:t>
      </w:r>
      <w:r w:rsidRPr="004D46AC">
        <w:t xml:space="preserve">In this framework, depression is hypothesized to be associated with an overactive BIS, leading to heightened sensitivity to uncertainty and a tendency toward excessive caution and avoidance </w:t>
      </w:r>
      <w:r w:rsidRPr="004D46AC">
        <w:fldChar w:fldCharType="begin"/>
      </w:r>
      <w:r w:rsidRPr="004D46AC">
        <w:instrText xml:space="preserve"> ADDIN EN.CITE &lt;EndNote&gt;&lt;Cite&gt;&lt;Author&gt;Pinto-Meza&lt;/Author&gt;&lt;Year&gt;2006&lt;/Year&gt;&lt;RecNum&gt;942&lt;/RecNum&gt;&lt;DisplayText&gt;(Pinto-Meza et al., 2006)&lt;/DisplayText&gt;&lt;record&gt;&lt;rec-number&gt;942&lt;/rec-number&gt;&lt;foreign-keys&gt;&lt;key app="EN" db-id="aet009sstawa0hewvt3xwf5atffdw2dt02sw" timestamp="1740594475"&gt;942&lt;/key&gt;&lt;/foreign-keys&gt;&lt;ref-type name="Journal Article"&gt;17&lt;/ref-type&gt;&lt;contributors&gt;&lt;authors&gt;&lt;author&gt;Pinto-Meza, Alejandra&lt;/author&gt;&lt;author&gt;Caseras, Xavier&lt;/author&gt;&lt;author&gt;Soler, Joaquim&lt;/author&gt;&lt;author&gt;Puigdemont, Dolors&lt;/author&gt;&lt;author&gt;Pérez, Víctor&lt;/author&gt;&lt;author&gt;Torrubia, Rafael&lt;/author&gt;&lt;/authors&gt;&lt;/contributors&gt;&lt;titles&gt;&lt;title&gt;Behavioural Inhibition and Behavioural Activation Systems in current and recovered major depression participants&lt;/title&gt;&lt;secondary-title&gt;Personality and Individual Differences&lt;/secondary-title&gt;&lt;/titles&gt;&lt;periodical&gt;&lt;full-title&gt;Personality and Individual differences&lt;/full-title&gt;&lt;/periodical&gt;&lt;pages&gt;215-226&lt;/pages&gt;&lt;volume&gt;40&lt;/volume&gt;&lt;number&gt;2&lt;/number&gt;&lt;keywords&gt;&lt;keyword&gt;Behavioural Inhibition System&lt;/keyword&gt;&lt;keyword&gt;Behavioural Activation System&lt;/keyword&gt;&lt;keyword&gt;Major depression&lt;/keyword&gt;&lt;keyword&gt;Sensitivity to punishment&lt;/keyword&gt;&lt;keyword&gt;Sensitivity to reward&lt;/keyword&gt;&lt;keyword&gt;SPSRQ&lt;/keyword&gt;&lt;/keywords&gt;&lt;dates&gt;&lt;year&gt;2006&lt;/year&gt;&lt;pub-dates&gt;&lt;date&gt;2006/01/01/&lt;/date&gt;&lt;/pub-dates&gt;&lt;/dates&gt;&lt;isbn&gt;0191-8869&lt;/isbn&gt;&lt;urls&gt;&lt;related-urls&gt;&lt;url&gt;https://www.sciencedirect.com/science/article/pii/S0191886905002394&lt;/url&gt;&lt;/related-urls&gt;&lt;/urls&gt;&lt;electronic-resource-num&gt;https://doi.org/10.1016/j.paid.2005.06.021&lt;/electronic-resource-num&gt;&lt;/record&gt;&lt;/Cite&gt;&lt;/EndNote&gt;</w:instrText>
      </w:r>
      <w:r w:rsidRPr="004D46AC">
        <w:fldChar w:fldCharType="separate"/>
      </w:r>
      <w:r w:rsidRPr="004D46AC">
        <w:rPr>
          <w:noProof/>
        </w:rPr>
        <w:t>(Pinto-Meza et al., 2006)</w:t>
      </w:r>
      <w:r w:rsidRPr="004D46AC">
        <w:fldChar w:fldCharType="end"/>
      </w:r>
      <w:r w:rsidRPr="004D46AC">
        <w:t>. In contrast, mania is hypothesi</w:t>
      </w:r>
      <w:r w:rsidRPr="004D46AC">
        <w:rPr>
          <w:rFonts w:hint="eastAsia"/>
        </w:rPr>
        <w:t>s</w:t>
      </w:r>
      <w:r w:rsidRPr="004D46AC">
        <w:t xml:space="preserve">ed to be associated with an overactive BAS, which promotes impulsivity and risk-taking in uncertain situations </w:t>
      </w:r>
      <w:r w:rsidRPr="004D46AC">
        <w:fldChar w:fldCharType="begin">
          <w:fldData xml:space="preserve">PEVuZE5vdGU+PENpdGU+PEF1dGhvcj5EZW1wc2V5PC9BdXRob3I+PFllYXI+MjAxNzwvWWVhcj48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</w:fldData>
        </w:fldChar>
      </w:r>
      <w:r w:rsidRPr="004D46AC">
        <w:instrText xml:space="preserve"> ADDIN EN.CITE </w:instrText>
      </w:r>
      <w:r w:rsidRPr="004D46AC">
        <w:fldChar w:fldCharType="begin">
          <w:fldData xml:space="preserve">PEVuZE5vdGU+PENpdGU+PEF1dGhvcj5EZW1wc2V5PC9BdXRob3I+PFllYXI+MjAxNzwvWWVhcj48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</w:fldData>
        </w:fldChar>
      </w:r>
      <w:r w:rsidRPr="004D46AC">
        <w:instrText xml:space="preserve"> ADDIN EN.CITE.DATA </w:instrText>
      </w:r>
      <w:r w:rsidRPr="004D46AC">
        <w:fldChar w:fldCharType="end"/>
      </w:r>
      <w:r w:rsidRPr="004D46AC">
        <w:fldChar w:fldCharType="separate"/>
      </w:r>
      <w:r w:rsidRPr="004D46AC">
        <w:rPr>
          <w:noProof/>
        </w:rPr>
        <w:t>(Dempsey et al., 2017; Depue &amp; Iacono, 1989)</w:t>
      </w:r>
      <w:r w:rsidRPr="004D46AC">
        <w:fldChar w:fldCharType="end"/>
      </w:r>
      <w:r w:rsidRPr="004D46AC">
        <w:t xml:space="preserve">. Nonetheless, the evidence linking </w:t>
      </w:r>
      <w:proofErr w:type="spellStart"/>
      <w:r w:rsidRPr="004D46AC">
        <w:t>IoU</w:t>
      </w:r>
      <w:proofErr w:type="spellEnd"/>
      <w:r w:rsidRPr="004D46AC">
        <w:t xml:space="preserve"> to mood psychopathologies and PLEs was not consistent across waves, suggesting that these relationships may be time-sensitive or influenced by other unassessed factors. Future </w:t>
      </w:r>
      <w:r w:rsidRPr="004D46AC">
        <w:lastRenderedPageBreak/>
        <w:t xml:space="preserve">research should address these inconsistencies to better understand the role of </w:t>
      </w:r>
      <w:proofErr w:type="spellStart"/>
      <w:r w:rsidRPr="004D46AC">
        <w:t>IoU</w:t>
      </w:r>
      <w:proofErr w:type="spellEnd"/>
      <w:r w:rsidRPr="004D46AC">
        <w:t xml:space="preserve"> in the development and maintenance of psychopathology.</w:t>
      </w:r>
    </w:p>
    <w:p w14:paraId="377A082F" w14:textId="77777777" w:rsidR="007075D9" w:rsidRPr="004D46AC" w:rsidRDefault="007075D9" w:rsidP="00B518F1">
      <w:pPr>
        <w:pStyle w:val="3"/>
      </w:pPr>
      <w:r w:rsidRPr="004D46AC">
        <w:t>Limitations</w:t>
      </w:r>
    </w:p>
    <w:p w14:paraId="5F98D501" w14:textId="236AE985" w:rsidR="007075D9" w:rsidRPr="004D46AC" w:rsidRDefault="007075D9" w:rsidP="00B518F1">
      <w:pPr>
        <w:ind w:firstLine="660"/>
      </w:pPr>
      <w:r w:rsidRPr="004D46AC">
        <w:t>The current study utilised secondary data with a longitudinal design. However, the generalisability of our findings may be affected by the following limitations: (1) The network analysis did not capture intra-individual variability because the data format was not suitable for a cross-lagged network model. Future research should examine these features using longitudinal panel data with more than three time points; (2) The variations observed in logistic regression and network models may have been influenced by insensitive cutoff values and inconsistencies in the timeframes used in assessment tools. Although the cutoff values have been validated in empirical studies, certain measures, such as the PSQ, may be less sensitive as predictors or outcomes, potentially inflating the observed effects. Future studies could replicate these findings by incorporating diagnostic status defined by gold-standard criteria (e.g., DSM) and ensuring consistency in assessment timeframes; (</w:t>
      </w:r>
      <w:bookmarkStart w:id="234" w:name="OLE_LINK84"/>
      <w:r w:rsidRPr="004D46AC">
        <w:t>3)</w:t>
      </w:r>
      <w:r w:rsidR="00F850AE" w:rsidRPr="004D46AC">
        <w:t xml:space="preserve"> </w:t>
      </w:r>
      <w:bookmarkEnd w:id="234"/>
      <w:r w:rsidR="00C464E0" w:rsidRPr="004D46AC">
        <w:rPr>
          <w:rFonts w:eastAsiaTheme="minorEastAsia" w:hint="eastAsia"/>
        </w:rPr>
        <w:t>T</w:t>
      </w:r>
      <w:r w:rsidR="00C464E0" w:rsidRPr="004D46AC">
        <w:t>his study was informed by a continuum model that assumes a degree of shared psychopathological liability between non-clinical (non-diagnosed) and clinical (diagnosed) populations. Although the present findings provide preliminary support for this perspective, this assumption has important limitations. Specifically, the continuum model may overstate the generalisability of findings from non-clinical populations to clinical populations, despite meaningful differences in neurobiology, symptom severity, functional impairment, and illness course. Moreover, psychopathological processes may be non-linear rather than continuous across the full spectrum. Accordingly, these findings should be interpreted with caution and require further validation using diverse methods, clinical samples, and cross-cultural comparisons.</w:t>
      </w:r>
      <w:r w:rsidR="00C464E0" w:rsidRPr="004D46AC">
        <w:rPr>
          <w:rFonts w:hint="eastAsia"/>
        </w:rPr>
        <w:t xml:space="preserve"> </w:t>
      </w:r>
      <w:r w:rsidRPr="004D46AC">
        <w:rPr>
          <w:rFonts w:hint="eastAsia"/>
        </w:rPr>
        <w:t xml:space="preserve">(4) </w:t>
      </w:r>
      <w:r w:rsidRPr="004D46AC">
        <w:t xml:space="preserve">Data for Wave 5 were collected during the final phase of COVID-19 lockdown in the UK, whereas Wave 9 was conducted well after the lifting of all legal restrictions. Although the stability of symptom networks and longitudinal associations across these two periods suggests that the observed relationships are unlikely to be driven solely by pandemic-related effects, the influence of the broader COVID-19 context cannot be fully </w:t>
      </w:r>
      <w:r w:rsidRPr="004D46AC">
        <w:lastRenderedPageBreak/>
        <w:t>ruled out</w:t>
      </w:r>
      <w:bookmarkStart w:id="235" w:name="OLE_LINK86"/>
      <w:r w:rsidRPr="004D46AC">
        <w:t>.</w:t>
      </w:r>
      <w:r w:rsidR="00DE0F66" w:rsidRPr="004D46AC">
        <w:t xml:space="preserve"> (5) </w:t>
      </w:r>
      <w:bookmarkEnd w:id="235"/>
      <w:r w:rsidR="00C464E0" w:rsidRPr="004D46AC">
        <w:rPr>
          <w:rFonts w:eastAsiaTheme="minorEastAsia" w:hint="eastAsia"/>
        </w:rPr>
        <w:t>T</w:t>
      </w:r>
      <w:r w:rsidR="00C464E0" w:rsidRPr="004D46AC">
        <w:t xml:space="preserve">he high attrition rate in this study raises the possibility of attrition bias. Although no significant differences were observed in age or gender between participants who remained in the study and those who dropped out, this alone does not provide sufficient reassurance that the missing data were unbiased. In particular, the data may not have been missing completely at random, and attrition may have been related to unobserved factors such as illness characteristics, symptom severity, or other clinical variables. This introduces inferential uncertainty and </w:t>
      </w:r>
      <w:r w:rsidR="00C464E0" w:rsidRPr="004D46AC">
        <w:rPr>
          <w:rFonts w:eastAsiaTheme="minorEastAsia" w:hint="eastAsia"/>
        </w:rPr>
        <w:t xml:space="preserve">the findings should be </w:t>
      </w:r>
      <w:r w:rsidR="00C464E0" w:rsidRPr="004D46AC">
        <w:rPr>
          <w:rFonts w:eastAsiaTheme="minorEastAsia"/>
        </w:rPr>
        <w:t>interpreted</w:t>
      </w:r>
      <w:r w:rsidR="00C464E0" w:rsidRPr="004D46AC">
        <w:rPr>
          <w:rFonts w:eastAsiaTheme="minorEastAsia" w:hint="eastAsia"/>
        </w:rPr>
        <w:t xml:space="preserve"> with caution</w:t>
      </w:r>
      <w:r w:rsidR="00C464E0" w:rsidRPr="004D46AC">
        <w:t xml:space="preserve">. Future research should consider more robust approaches to handling missing data, such as multiple imputation, inverse probability weighting, model-based methods, and sensitivity analyses, </w:t>
      </w:r>
      <w:proofErr w:type="gramStart"/>
      <w:r w:rsidR="00C464E0" w:rsidRPr="004D46AC">
        <w:t>in order to</w:t>
      </w:r>
      <w:proofErr w:type="gramEnd"/>
      <w:r w:rsidR="00C464E0" w:rsidRPr="004D46AC">
        <w:t xml:space="preserve"> better estimate and reduce the potential impact of attrition bias on the findings.</w:t>
      </w:r>
    </w:p>
    <w:p w14:paraId="053070B7" w14:textId="77777777" w:rsidR="007075D9" w:rsidRPr="004D46AC" w:rsidRDefault="007075D9" w:rsidP="00B518F1">
      <w:pPr>
        <w:ind w:firstLine="660"/>
      </w:pPr>
    </w:p>
    <w:p w14:paraId="2E60DECB" w14:textId="77777777" w:rsidR="007075D9" w:rsidRPr="004D46AC" w:rsidRDefault="007075D9" w:rsidP="00B518F1"/>
    <w:p w14:paraId="554FE211" w14:textId="77777777" w:rsidR="007075D9" w:rsidRPr="004D46AC" w:rsidRDefault="007075D9" w:rsidP="00B518F1"/>
    <w:p w14:paraId="74A09B96" w14:textId="77777777" w:rsidR="007075D9" w:rsidRPr="004D46AC" w:rsidRDefault="007075D9" w:rsidP="00B518F1"/>
    <w:p w14:paraId="507DBB88" w14:textId="77777777" w:rsidR="007075D9" w:rsidRPr="004D46AC" w:rsidRDefault="007075D9" w:rsidP="00B518F1"/>
    <w:p w14:paraId="02903BEF" w14:textId="77777777" w:rsidR="007075D9" w:rsidRPr="004D46AC" w:rsidRDefault="007075D9" w:rsidP="00B518F1">
      <w:pPr>
        <w:ind w:firstLine="0"/>
        <w:rPr>
          <w:rFonts w:eastAsiaTheme="minorEastAsia"/>
        </w:rPr>
      </w:pPr>
    </w:p>
    <w:p w14:paraId="726AA64E" w14:textId="77777777" w:rsidR="00152EFF" w:rsidRPr="004D46AC" w:rsidRDefault="00152EFF" w:rsidP="00B518F1">
      <w:pPr>
        <w:ind w:firstLine="0"/>
        <w:rPr>
          <w:rFonts w:eastAsiaTheme="minorEastAsia"/>
        </w:rPr>
      </w:pPr>
    </w:p>
    <w:p w14:paraId="08A66FEB" w14:textId="77777777" w:rsidR="00152EFF" w:rsidRPr="004D46AC" w:rsidRDefault="00152EFF" w:rsidP="00B518F1">
      <w:pPr>
        <w:ind w:firstLine="0"/>
        <w:rPr>
          <w:rFonts w:eastAsiaTheme="minorEastAsia"/>
        </w:rPr>
      </w:pPr>
    </w:p>
    <w:p w14:paraId="23E4751E" w14:textId="77777777" w:rsidR="00152EFF" w:rsidRPr="004D46AC" w:rsidRDefault="00152EFF" w:rsidP="00B518F1">
      <w:pPr>
        <w:ind w:firstLine="0"/>
        <w:rPr>
          <w:rFonts w:eastAsiaTheme="minorEastAsia"/>
        </w:rPr>
      </w:pPr>
    </w:p>
    <w:p w14:paraId="190237FD" w14:textId="77777777" w:rsidR="00152EFF" w:rsidRPr="004D46AC" w:rsidRDefault="00152EFF" w:rsidP="00B518F1">
      <w:pPr>
        <w:ind w:firstLine="0"/>
        <w:rPr>
          <w:rFonts w:eastAsiaTheme="minorEastAsia"/>
        </w:rPr>
      </w:pPr>
    </w:p>
    <w:p w14:paraId="1AC177E2" w14:textId="77777777" w:rsidR="00152EFF" w:rsidRPr="004D46AC" w:rsidRDefault="00152EFF" w:rsidP="00B518F1">
      <w:pPr>
        <w:ind w:firstLine="0"/>
        <w:rPr>
          <w:rFonts w:eastAsiaTheme="minorEastAsia"/>
        </w:rPr>
      </w:pPr>
    </w:p>
    <w:p w14:paraId="102105F4" w14:textId="77777777" w:rsidR="00152EFF" w:rsidRPr="004D46AC" w:rsidRDefault="00152EFF" w:rsidP="00B518F1">
      <w:pPr>
        <w:ind w:firstLine="0"/>
        <w:rPr>
          <w:rFonts w:eastAsiaTheme="minorEastAsia"/>
        </w:rPr>
      </w:pPr>
    </w:p>
    <w:p w14:paraId="5B535BB0" w14:textId="77777777" w:rsidR="00152EFF" w:rsidRPr="004D46AC" w:rsidRDefault="00152EFF" w:rsidP="00B518F1">
      <w:pPr>
        <w:ind w:firstLine="0"/>
        <w:rPr>
          <w:rFonts w:eastAsiaTheme="minorEastAsia"/>
        </w:rPr>
      </w:pPr>
    </w:p>
    <w:p w14:paraId="648CAB6D" w14:textId="77777777" w:rsidR="00152EFF" w:rsidRPr="004D46AC" w:rsidRDefault="00152EFF" w:rsidP="00B518F1">
      <w:pPr>
        <w:ind w:firstLine="0"/>
        <w:rPr>
          <w:rFonts w:eastAsiaTheme="minorEastAsia"/>
        </w:rPr>
      </w:pPr>
    </w:p>
    <w:p w14:paraId="467A0E10" w14:textId="77777777" w:rsidR="00152EFF" w:rsidRPr="004D46AC" w:rsidRDefault="00152EFF" w:rsidP="00B518F1">
      <w:pPr>
        <w:ind w:firstLine="0"/>
        <w:rPr>
          <w:rFonts w:eastAsiaTheme="minorEastAsia"/>
        </w:rPr>
      </w:pPr>
    </w:p>
    <w:p w14:paraId="33A4CBB3" w14:textId="77777777" w:rsidR="00152EFF" w:rsidRPr="004D46AC" w:rsidRDefault="00152EFF" w:rsidP="00B518F1">
      <w:pPr>
        <w:ind w:firstLine="0"/>
        <w:rPr>
          <w:rFonts w:eastAsiaTheme="minorEastAsia"/>
        </w:rPr>
      </w:pPr>
    </w:p>
    <w:p w14:paraId="48B0C631" w14:textId="77777777" w:rsidR="00152EFF" w:rsidRPr="004D46AC" w:rsidRDefault="00152EFF" w:rsidP="00B518F1">
      <w:pPr>
        <w:ind w:firstLine="0"/>
        <w:rPr>
          <w:rFonts w:eastAsiaTheme="minorEastAsia"/>
        </w:rPr>
      </w:pPr>
    </w:p>
    <w:p w14:paraId="25AB8EA7" w14:textId="77777777" w:rsidR="00152EFF" w:rsidRPr="004D46AC" w:rsidRDefault="00152EFF" w:rsidP="00B518F1">
      <w:pPr>
        <w:ind w:firstLine="0"/>
        <w:rPr>
          <w:rFonts w:eastAsiaTheme="minorEastAsia"/>
        </w:rPr>
      </w:pPr>
    </w:p>
    <w:p w14:paraId="7A0707BF" w14:textId="77777777" w:rsidR="00152EFF" w:rsidRPr="004D46AC" w:rsidRDefault="00152EFF" w:rsidP="00B518F1">
      <w:pPr>
        <w:ind w:firstLine="0"/>
        <w:rPr>
          <w:rFonts w:eastAsiaTheme="minorEastAsia"/>
        </w:rPr>
      </w:pPr>
    </w:p>
    <w:p w14:paraId="782E7F6D" w14:textId="77777777" w:rsidR="00152EFF" w:rsidRPr="004D46AC" w:rsidRDefault="00152EFF" w:rsidP="00B518F1">
      <w:pPr>
        <w:ind w:firstLine="0"/>
        <w:rPr>
          <w:rFonts w:eastAsiaTheme="minorEastAsia"/>
        </w:rPr>
      </w:pPr>
    </w:p>
    <w:p w14:paraId="5C0BAF12" w14:textId="77777777" w:rsidR="00152EFF" w:rsidRPr="004D46AC" w:rsidRDefault="00152EFF" w:rsidP="00B518F1">
      <w:pPr>
        <w:ind w:firstLine="0"/>
        <w:rPr>
          <w:rFonts w:eastAsiaTheme="minorEastAsia"/>
        </w:rPr>
      </w:pPr>
    </w:p>
    <w:p w14:paraId="0E721F71" w14:textId="77777777" w:rsidR="00152EFF" w:rsidRPr="004D46AC" w:rsidRDefault="00152EFF" w:rsidP="00B518F1">
      <w:pPr>
        <w:ind w:firstLine="0"/>
        <w:rPr>
          <w:rFonts w:eastAsiaTheme="minorEastAsia"/>
        </w:rPr>
      </w:pPr>
    </w:p>
    <w:p w14:paraId="37B4DD8E" w14:textId="77777777" w:rsidR="00152EFF" w:rsidRPr="004D46AC" w:rsidRDefault="00152EFF" w:rsidP="00B518F1">
      <w:pPr>
        <w:ind w:firstLine="0"/>
        <w:rPr>
          <w:rFonts w:eastAsiaTheme="minorEastAsia"/>
        </w:rPr>
      </w:pPr>
    </w:p>
    <w:p w14:paraId="7257E609" w14:textId="298F5FFD" w:rsidR="007075D9" w:rsidRPr="004D46AC" w:rsidRDefault="007075D9" w:rsidP="00B518F1">
      <w:pPr>
        <w:pStyle w:val="2"/>
        <w:rPr>
          <w:rFonts w:eastAsiaTheme="minorEastAsia"/>
        </w:rPr>
      </w:pPr>
      <w:bookmarkStart w:id="236" w:name="_Toc219888779"/>
      <w:r w:rsidRPr="004D46AC">
        <w:t>Conclusion</w:t>
      </w:r>
      <w:bookmarkEnd w:id="236"/>
    </w:p>
    <w:p w14:paraId="3120D98A" w14:textId="1BB00B7B" w:rsidR="007075D9" w:rsidRPr="004D46AC" w:rsidRDefault="007075D9" w:rsidP="00B518F1">
      <w:pPr>
        <w:ind w:firstLineChars="200" w:firstLine="440"/>
      </w:pPr>
      <w:r w:rsidRPr="004D46AC">
        <w:t>This study examined the relationship between mood psychopathologies and PLEs using both network and regression analyses. Our findings indicated a stable network structure, showing that mood symptoms and PLEs - particularly mania and PLEs - remained closely interconnected over a two-year period.</w:t>
      </w:r>
      <w:r w:rsidRPr="004D46AC">
        <w:rPr>
          <w:rFonts w:hint="eastAsia"/>
        </w:rPr>
        <w:t xml:space="preserve"> </w:t>
      </w:r>
      <w:r w:rsidRPr="004D46AC">
        <w:t xml:space="preserve">Additionally, the longitudinal reciprocity between mania and PLEs identified in the regression models provides further evidence of their close relationship and </w:t>
      </w:r>
      <w:r w:rsidR="00152EFF" w:rsidRPr="004D46AC">
        <w:t>may suggest shared psychopathological process between mood and psychosis</w:t>
      </w:r>
      <w:r w:rsidRPr="004D46AC">
        <w:t>.</w:t>
      </w:r>
      <w:r w:rsidRPr="004D46AC">
        <w:rPr>
          <w:rFonts w:hint="eastAsia"/>
        </w:rPr>
        <w:t xml:space="preserve"> </w:t>
      </w:r>
      <w:r w:rsidRPr="004D46AC">
        <w:t xml:space="preserve">While this study benefits from a longitudinal design and multiple analytic approaches, its generalisability to longitudinal symptom variation and clinical settings remains to be demonstrated. Future research should incorporate </w:t>
      </w:r>
      <w:r w:rsidRPr="004D46AC">
        <w:rPr>
          <w:rFonts w:hint="eastAsia"/>
        </w:rPr>
        <w:t xml:space="preserve">more </w:t>
      </w:r>
      <w:r w:rsidRPr="004D46AC">
        <w:t>rigorous longitudinal designs (e.g., EMA: Ecological Momentary Assessment), gold-standard diagnostic criteria, and relevant environmental or psychosocial variables to further explore the interplay between schizophrenia and bipolar symptoms over time.</w:t>
      </w:r>
    </w:p>
    <w:p w14:paraId="54464DB0" w14:textId="77777777" w:rsidR="007075D9" w:rsidRPr="004D46AC" w:rsidRDefault="007075D9" w:rsidP="00B518F1">
      <w:pPr>
        <w:ind w:firstLineChars="200" w:firstLine="440"/>
      </w:pPr>
    </w:p>
    <w:p w14:paraId="281F2883" w14:textId="77777777" w:rsidR="007075D9" w:rsidRPr="004D46AC" w:rsidRDefault="007075D9" w:rsidP="00B518F1">
      <w:pPr>
        <w:ind w:firstLineChars="200" w:firstLine="440"/>
      </w:pPr>
    </w:p>
    <w:p w14:paraId="4E61FFAF" w14:textId="77777777" w:rsidR="007075D9" w:rsidRPr="004D46AC" w:rsidRDefault="007075D9" w:rsidP="00B518F1">
      <w:pPr>
        <w:ind w:firstLineChars="200" w:firstLine="440"/>
      </w:pPr>
    </w:p>
    <w:p w14:paraId="209AAB1A" w14:textId="77777777" w:rsidR="007075D9" w:rsidRPr="004D46AC" w:rsidRDefault="007075D9" w:rsidP="00B518F1">
      <w:pPr>
        <w:ind w:firstLineChars="200" w:firstLine="440"/>
      </w:pPr>
    </w:p>
    <w:p w14:paraId="68A2C5B5" w14:textId="77777777" w:rsidR="007075D9" w:rsidRPr="004D46AC" w:rsidRDefault="007075D9" w:rsidP="00B518F1">
      <w:pPr>
        <w:ind w:firstLineChars="200" w:firstLine="440"/>
      </w:pPr>
    </w:p>
    <w:p w14:paraId="4787929C" w14:textId="77777777" w:rsidR="007075D9" w:rsidRPr="004D46AC" w:rsidRDefault="007075D9" w:rsidP="00B518F1">
      <w:pPr>
        <w:ind w:firstLineChars="200" w:firstLine="440"/>
      </w:pPr>
    </w:p>
    <w:p w14:paraId="37104D0E" w14:textId="77777777" w:rsidR="007075D9" w:rsidRPr="004D46AC" w:rsidRDefault="007075D9" w:rsidP="00B518F1">
      <w:pPr>
        <w:ind w:firstLineChars="200" w:firstLine="440"/>
      </w:pPr>
    </w:p>
    <w:p w14:paraId="0768D886" w14:textId="77777777" w:rsidR="007075D9" w:rsidRPr="004D46AC" w:rsidRDefault="007075D9" w:rsidP="00B518F1">
      <w:pPr>
        <w:rPr>
          <w:rFonts w:eastAsiaTheme="minorEastAsia"/>
        </w:rPr>
      </w:pPr>
    </w:p>
    <w:p w14:paraId="5C473643" w14:textId="77777777" w:rsidR="007075D9" w:rsidRPr="004D46AC" w:rsidRDefault="007075D9" w:rsidP="00B518F1">
      <w:pPr>
        <w:rPr>
          <w:rFonts w:eastAsiaTheme="minorEastAsia"/>
        </w:rPr>
      </w:pPr>
    </w:p>
    <w:p w14:paraId="32F9A146" w14:textId="77777777" w:rsidR="007075D9" w:rsidRPr="004D46AC" w:rsidRDefault="007075D9" w:rsidP="00B518F1">
      <w:pPr>
        <w:rPr>
          <w:rFonts w:eastAsiaTheme="minorEastAsia"/>
        </w:rPr>
      </w:pPr>
    </w:p>
    <w:p w14:paraId="2DACDAB7" w14:textId="77777777" w:rsidR="007075D9" w:rsidRPr="004D46AC" w:rsidRDefault="007075D9" w:rsidP="00B518F1">
      <w:pPr>
        <w:rPr>
          <w:rFonts w:eastAsiaTheme="minorEastAsia"/>
        </w:rPr>
      </w:pPr>
    </w:p>
    <w:p w14:paraId="5B4F619D" w14:textId="77777777" w:rsidR="007075D9" w:rsidRPr="004D46AC" w:rsidRDefault="007075D9" w:rsidP="00B518F1">
      <w:pPr>
        <w:rPr>
          <w:rFonts w:eastAsiaTheme="minorEastAsia"/>
        </w:rPr>
      </w:pPr>
    </w:p>
    <w:p w14:paraId="0F60BAA6" w14:textId="77777777" w:rsidR="007075D9" w:rsidRPr="004D46AC" w:rsidRDefault="007075D9" w:rsidP="00B518F1">
      <w:pPr>
        <w:rPr>
          <w:rFonts w:eastAsiaTheme="minorEastAsia"/>
        </w:rPr>
      </w:pPr>
    </w:p>
    <w:p w14:paraId="0CE53A64" w14:textId="77777777" w:rsidR="007075D9" w:rsidRPr="004D46AC" w:rsidRDefault="007075D9" w:rsidP="00B518F1">
      <w:pPr>
        <w:rPr>
          <w:rFonts w:eastAsiaTheme="minorEastAsia"/>
        </w:rPr>
      </w:pPr>
    </w:p>
    <w:p w14:paraId="50FDB7C3" w14:textId="77777777" w:rsidR="007075D9" w:rsidRPr="004D46AC" w:rsidRDefault="007075D9" w:rsidP="00B518F1">
      <w:pPr>
        <w:pStyle w:val="2"/>
      </w:pPr>
      <w:bookmarkStart w:id="237" w:name="_Toc219888780"/>
      <w:r w:rsidRPr="004D46AC">
        <w:t>References</w:t>
      </w:r>
      <w:bookmarkEnd w:id="237"/>
    </w:p>
    <w:p w14:paraId="307F9ED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Adler, N. E., Epel, E. S., </w:t>
      </w:r>
      <w:proofErr w:type="spellStart"/>
      <w:r w:rsidRPr="004D46AC">
        <w:rPr>
          <w:rFonts w:ascii="Arial" w:hAnsi="Arial" w:cs="Arial"/>
          <w:szCs w:val="22"/>
        </w:rPr>
        <w:t>Castellazzo</w:t>
      </w:r>
      <w:proofErr w:type="spellEnd"/>
      <w:r w:rsidRPr="004D46AC">
        <w:rPr>
          <w:rFonts w:ascii="Arial" w:hAnsi="Arial" w:cs="Arial"/>
          <w:szCs w:val="22"/>
        </w:rPr>
        <w:t xml:space="preserve">, G., &amp; </w:t>
      </w:r>
      <w:proofErr w:type="spellStart"/>
      <w:r w:rsidRPr="004D46AC">
        <w:rPr>
          <w:rFonts w:ascii="Arial" w:hAnsi="Arial" w:cs="Arial"/>
          <w:szCs w:val="22"/>
        </w:rPr>
        <w:t>Ickovics</w:t>
      </w:r>
      <w:proofErr w:type="spellEnd"/>
      <w:r w:rsidRPr="004D46AC">
        <w:rPr>
          <w:rFonts w:ascii="Arial" w:hAnsi="Arial" w:cs="Arial"/>
          <w:szCs w:val="22"/>
        </w:rPr>
        <w:t xml:space="preserve">, J. R. (2000). Relationship of subjective and objective social status with psychological and physiological functioning: Preliminary data in healthy, White women. </w:t>
      </w:r>
      <w:r w:rsidRPr="004D46AC">
        <w:rPr>
          <w:rFonts w:ascii="Arial" w:hAnsi="Arial" w:cs="Arial"/>
          <w:i/>
          <w:szCs w:val="22"/>
        </w:rPr>
        <w:t>Health psychology</w:t>
      </w:r>
      <w:r w:rsidRPr="004D46AC">
        <w:rPr>
          <w:rFonts w:ascii="Arial" w:hAnsi="Arial" w:cs="Arial"/>
          <w:szCs w:val="22"/>
        </w:rPr>
        <w:t>,</w:t>
      </w:r>
      <w:r w:rsidRPr="004D46AC">
        <w:rPr>
          <w:rFonts w:ascii="Arial" w:hAnsi="Arial" w:cs="Arial"/>
          <w:i/>
          <w:szCs w:val="22"/>
        </w:rPr>
        <w:t xml:space="preserve"> 19</w:t>
      </w:r>
      <w:r w:rsidRPr="004D46AC">
        <w:rPr>
          <w:rFonts w:ascii="Arial" w:hAnsi="Arial" w:cs="Arial"/>
          <w:szCs w:val="22"/>
        </w:rPr>
        <w:t xml:space="preserve">(6), 586. </w:t>
      </w:r>
    </w:p>
    <w:p w14:paraId="2AFD604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Agnew-Blais, J., &amp; Danese, A. (2016). Childhood maltreatment and unfavourable clinical outcomes in bipolar disorder: a systematic review and meta-analysis. </w:t>
      </w:r>
      <w:r w:rsidRPr="004D46AC">
        <w:rPr>
          <w:rFonts w:ascii="Arial" w:hAnsi="Arial" w:cs="Arial"/>
          <w:i/>
          <w:szCs w:val="22"/>
        </w:rPr>
        <w:t>The Lancet Psychiatry</w:t>
      </w:r>
      <w:r w:rsidRPr="004D46AC">
        <w:rPr>
          <w:rFonts w:ascii="Arial" w:hAnsi="Arial" w:cs="Arial"/>
          <w:szCs w:val="22"/>
        </w:rPr>
        <w:t>,</w:t>
      </w:r>
      <w:r w:rsidRPr="004D46AC">
        <w:rPr>
          <w:rFonts w:ascii="Arial" w:hAnsi="Arial" w:cs="Arial"/>
          <w:i/>
          <w:szCs w:val="22"/>
        </w:rPr>
        <w:t xml:space="preserve"> 3</w:t>
      </w:r>
      <w:r w:rsidRPr="004D46AC">
        <w:rPr>
          <w:rFonts w:ascii="Arial" w:hAnsi="Arial" w:cs="Arial"/>
          <w:szCs w:val="22"/>
        </w:rPr>
        <w:t xml:space="preserve">(4), 342–349. https://doi.org/10.1016/S2215-0366(15)00544-1 </w:t>
      </w:r>
    </w:p>
    <w:p w14:paraId="5562F97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American Psychiatric Association, </w:t>
      </w:r>
      <w:proofErr w:type="spellStart"/>
      <w:r w:rsidRPr="004D46AC">
        <w:rPr>
          <w:rFonts w:ascii="Arial" w:hAnsi="Arial" w:cs="Arial"/>
          <w:szCs w:val="22"/>
        </w:rPr>
        <w:t>i</w:t>
      </w:r>
      <w:proofErr w:type="spellEnd"/>
      <w:r w:rsidRPr="004D46AC">
        <w:rPr>
          <w:rFonts w:ascii="Arial" w:hAnsi="Arial" w:cs="Arial"/>
          <w:szCs w:val="22"/>
        </w:rPr>
        <w:t xml:space="preserve">. b. (2022). </w:t>
      </w:r>
      <w:r w:rsidRPr="004D46AC">
        <w:rPr>
          <w:rFonts w:ascii="Arial" w:hAnsi="Arial" w:cs="Arial"/>
          <w:i/>
          <w:szCs w:val="22"/>
        </w:rPr>
        <w:t xml:space="preserve">Diagnostic and statistical manual of mental </w:t>
      </w:r>
      <w:proofErr w:type="gramStart"/>
      <w:r w:rsidRPr="004D46AC">
        <w:rPr>
          <w:rFonts w:ascii="Arial" w:hAnsi="Arial" w:cs="Arial"/>
          <w:i/>
          <w:szCs w:val="22"/>
        </w:rPr>
        <w:t>disorders :</w:t>
      </w:r>
      <w:proofErr w:type="gramEnd"/>
      <w:r w:rsidRPr="004D46AC">
        <w:rPr>
          <w:rFonts w:ascii="Arial" w:hAnsi="Arial" w:cs="Arial"/>
          <w:i/>
          <w:szCs w:val="22"/>
        </w:rPr>
        <w:t xml:space="preserve"> DSM-5-TR</w:t>
      </w:r>
      <w:r w:rsidRPr="004D46AC">
        <w:rPr>
          <w:rFonts w:ascii="Arial" w:hAnsi="Arial" w:cs="Arial"/>
          <w:szCs w:val="22"/>
        </w:rPr>
        <w:t xml:space="preserve"> (5th edition, text revision. ed.). Washington, </w:t>
      </w:r>
      <w:proofErr w:type="gramStart"/>
      <w:r w:rsidRPr="004D46AC">
        <w:rPr>
          <w:rFonts w:ascii="Arial" w:hAnsi="Arial" w:cs="Arial"/>
          <w:szCs w:val="22"/>
        </w:rPr>
        <w:t>DC :</w:t>
      </w:r>
      <w:proofErr w:type="gramEnd"/>
      <w:r w:rsidRPr="004D46AC">
        <w:rPr>
          <w:rFonts w:ascii="Arial" w:hAnsi="Arial" w:cs="Arial"/>
          <w:szCs w:val="22"/>
        </w:rPr>
        <w:t xml:space="preserve"> American Psychiatric Association Publishing, 2022. </w:t>
      </w:r>
    </w:p>
    <w:p w14:paraId="5108AE6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Angst, J., &amp; Cassano, G. (2005). The mood spectrum: improving the diagnosis of bipolar disorder. </w:t>
      </w:r>
      <w:r w:rsidRPr="004D46AC">
        <w:rPr>
          <w:rFonts w:ascii="Arial" w:hAnsi="Arial" w:cs="Arial"/>
          <w:i/>
          <w:szCs w:val="22"/>
        </w:rPr>
        <w:t>Bipolar Disorders</w:t>
      </w:r>
      <w:r w:rsidRPr="004D46AC">
        <w:rPr>
          <w:rFonts w:ascii="Arial" w:hAnsi="Arial" w:cs="Arial"/>
          <w:szCs w:val="22"/>
        </w:rPr>
        <w:t>,</w:t>
      </w:r>
      <w:r w:rsidRPr="004D46AC">
        <w:rPr>
          <w:rFonts w:ascii="Arial" w:hAnsi="Arial" w:cs="Arial"/>
          <w:i/>
          <w:szCs w:val="22"/>
        </w:rPr>
        <w:t xml:space="preserve"> 7</w:t>
      </w:r>
      <w:r w:rsidRPr="004D46AC">
        <w:rPr>
          <w:rFonts w:ascii="Arial" w:hAnsi="Arial" w:cs="Arial"/>
          <w:szCs w:val="22"/>
        </w:rPr>
        <w:t xml:space="preserve">(s4), 4–12. https://doi.org/https://doi.org/10.1111/j.1399-5618.2005.00210.x </w:t>
      </w:r>
    </w:p>
    <w:p w14:paraId="5518A34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Bagby, R. M., Bindseil, K. D., Schuller, D. R., Rector, N. A., Young, L. T., Cooke, R. G., Seeman, M. V., McCay, E. A., &amp; Joffe, R. T. (1997). Relationship between the five-factor model of personality and unipolar, bipolar and schizophrenic patients. </w:t>
      </w:r>
      <w:r w:rsidRPr="004D46AC">
        <w:rPr>
          <w:rFonts w:ascii="Arial" w:hAnsi="Arial" w:cs="Arial"/>
          <w:i/>
          <w:szCs w:val="22"/>
        </w:rPr>
        <w:t>Psychiatry Res</w:t>
      </w:r>
      <w:r w:rsidRPr="004D46AC">
        <w:rPr>
          <w:rFonts w:ascii="Arial" w:hAnsi="Arial" w:cs="Arial"/>
          <w:szCs w:val="22"/>
        </w:rPr>
        <w:t>,</w:t>
      </w:r>
      <w:r w:rsidRPr="004D46AC">
        <w:rPr>
          <w:rFonts w:ascii="Arial" w:hAnsi="Arial" w:cs="Arial"/>
          <w:i/>
          <w:szCs w:val="22"/>
        </w:rPr>
        <w:t xml:space="preserve"> 70</w:t>
      </w:r>
      <w:r w:rsidRPr="004D46AC">
        <w:rPr>
          <w:rFonts w:ascii="Arial" w:hAnsi="Arial" w:cs="Arial"/>
          <w:szCs w:val="22"/>
        </w:rPr>
        <w:t xml:space="preserve">(2), 83–94. https://doi.org/10.1016/s0165-1781(97)03096-5 </w:t>
      </w:r>
    </w:p>
    <w:p w14:paraId="2D3BC0A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Ballesio, A., Musetti, A., </w:t>
      </w:r>
      <w:proofErr w:type="spellStart"/>
      <w:r w:rsidRPr="004D46AC">
        <w:rPr>
          <w:rFonts w:ascii="Arial" w:hAnsi="Arial" w:cs="Arial"/>
          <w:szCs w:val="22"/>
        </w:rPr>
        <w:t>Zagaria</w:t>
      </w:r>
      <w:proofErr w:type="spellEnd"/>
      <w:r w:rsidRPr="004D46AC">
        <w:rPr>
          <w:rFonts w:ascii="Arial" w:hAnsi="Arial" w:cs="Arial"/>
          <w:szCs w:val="22"/>
        </w:rPr>
        <w:t xml:space="preserve">, A., Manari, T., Filosa, M., &amp; Franceschini, C. (2022). Depression and mania symptoms mediate the relationship between insomnia and psychotic-like experiences in the general population. </w:t>
      </w:r>
      <w:r w:rsidRPr="004D46AC">
        <w:rPr>
          <w:rFonts w:ascii="Arial" w:hAnsi="Arial" w:cs="Arial"/>
          <w:i/>
          <w:szCs w:val="22"/>
        </w:rPr>
        <w:t>Sleep Epidemiology</w:t>
      </w:r>
      <w:r w:rsidRPr="004D46AC">
        <w:rPr>
          <w:rFonts w:ascii="Arial" w:hAnsi="Arial" w:cs="Arial"/>
          <w:szCs w:val="22"/>
        </w:rPr>
        <w:t>,</w:t>
      </w:r>
      <w:r w:rsidRPr="004D46AC">
        <w:rPr>
          <w:rFonts w:ascii="Arial" w:hAnsi="Arial" w:cs="Arial"/>
          <w:i/>
          <w:szCs w:val="22"/>
        </w:rPr>
        <w:t xml:space="preserve"> 2</w:t>
      </w:r>
      <w:r w:rsidRPr="004D46AC">
        <w:rPr>
          <w:rFonts w:ascii="Arial" w:hAnsi="Arial" w:cs="Arial"/>
          <w:szCs w:val="22"/>
        </w:rPr>
        <w:t xml:space="preserve">, 100019. https://doi.org/https://doi.org/10.1016/j.sleepe.2021.100019 </w:t>
      </w:r>
    </w:p>
    <w:p w14:paraId="685B219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Barnett, J. H., Huang, J., Perlis, R. H., Young, M. M., Rosenbaum, J. F., Nierenberg, A. A., Sachs, G., Nimgaonkar, V. L., </w:t>
      </w:r>
      <w:proofErr w:type="spellStart"/>
      <w:r w:rsidRPr="004D46AC">
        <w:rPr>
          <w:rFonts w:ascii="Arial" w:hAnsi="Arial" w:cs="Arial"/>
          <w:szCs w:val="22"/>
        </w:rPr>
        <w:t>Miklowitz</w:t>
      </w:r>
      <w:proofErr w:type="spellEnd"/>
      <w:r w:rsidRPr="004D46AC">
        <w:rPr>
          <w:rFonts w:ascii="Arial" w:hAnsi="Arial" w:cs="Arial"/>
          <w:szCs w:val="22"/>
        </w:rPr>
        <w:t xml:space="preserve">, D. J., &amp; Smoller, J. W. (2011). Personality and bipolar disorder: dissecting state and trait associations between mood and personality.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41</w:t>
      </w:r>
      <w:r w:rsidRPr="004D46AC">
        <w:rPr>
          <w:rFonts w:ascii="Arial" w:hAnsi="Arial" w:cs="Arial"/>
          <w:szCs w:val="22"/>
        </w:rPr>
        <w:t xml:space="preserve">(8), 1593–1604. https://doi.org/10.1017/S0033291710002333 </w:t>
      </w:r>
    </w:p>
    <w:p w14:paraId="0B252E1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Bebbington, P., &amp; Nayani, T. (1995). The psychosis screening questionnaire. </w:t>
      </w:r>
      <w:r w:rsidRPr="004D46AC">
        <w:rPr>
          <w:rFonts w:ascii="Arial" w:hAnsi="Arial" w:cs="Arial"/>
          <w:i/>
          <w:szCs w:val="22"/>
        </w:rPr>
        <w:t>International journal of methods in psychiatric research</w:t>
      </w:r>
      <w:r w:rsidRPr="004D46AC">
        <w:rPr>
          <w:rFonts w:ascii="Arial" w:hAnsi="Arial" w:cs="Arial"/>
          <w:szCs w:val="22"/>
        </w:rPr>
        <w:t xml:space="preserve">. </w:t>
      </w:r>
    </w:p>
    <w:p w14:paraId="2C653E8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Bentall, R. P. (2004). </w:t>
      </w:r>
      <w:r w:rsidRPr="004D46AC">
        <w:rPr>
          <w:rFonts w:ascii="Arial" w:hAnsi="Arial" w:cs="Arial"/>
          <w:i/>
          <w:szCs w:val="22"/>
        </w:rPr>
        <w:t>Madness explained [electronic resource</w:t>
      </w:r>
      <w:proofErr w:type="gramStart"/>
      <w:r w:rsidRPr="004D46AC">
        <w:rPr>
          <w:rFonts w:ascii="Arial" w:hAnsi="Arial" w:cs="Arial"/>
          <w:i/>
          <w:szCs w:val="22"/>
        </w:rPr>
        <w:t>] :</w:t>
      </w:r>
      <w:proofErr w:type="gramEnd"/>
      <w:r w:rsidRPr="004D46AC">
        <w:rPr>
          <w:rFonts w:ascii="Arial" w:hAnsi="Arial" w:cs="Arial"/>
          <w:i/>
          <w:szCs w:val="22"/>
        </w:rPr>
        <w:t xml:space="preserve"> psychosis and human nature</w:t>
      </w:r>
      <w:r w:rsidRPr="004D46AC">
        <w:rPr>
          <w:rFonts w:ascii="Arial" w:hAnsi="Arial" w:cs="Arial"/>
          <w:szCs w:val="22"/>
        </w:rPr>
        <w:t xml:space="preserve">. </w:t>
      </w:r>
      <w:proofErr w:type="gramStart"/>
      <w:r w:rsidRPr="004D46AC">
        <w:rPr>
          <w:rFonts w:ascii="Arial" w:hAnsi="Arial" w:cs="Arial"/>
          <w:szCs w:val="22"/>
        </w:rPr>
        <w:t>London :</w:t>
      </w:r>
      <w:proofErr w:type="gramEnd"/>
      <w:r w:rsidRPr="004D46AC">
        <w:rPr>
          <w:rFonts w:ascii="Arial" w:hAnsi="Arial" w:cs="Arial"/>
          <w:szCs w:val="22"/>
        </w:rPr>
        <w:t xml:space="preserve"> Penguin, 2004. </w:t>
      </w:r>
    </w:p>
    <w:p w14:paraId="431DBB8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Berrios, G. E., &amp; Beer, D. (1994). The notion of a unitary psychosis: a conceptual history. </w:t>
      </w:r>
      <w:r w:rsidRPr="004D46AC">
        <w:rPr>
          <w:rFonts w:ascii="Arial" w:hAnsi="Arial" w:cs="Arial"/>
          <w:i/>
          <w:szCs w:val="22"/>
        </w:rPr>
        <w:t>Hist Psychiatry</w:t>
      </w:r>
      <w:r w:rsidRPr="004D46AC">
        <w:rPr>
          <w:rFonts w:ascii="Arial" w:hAnsi="Arial" w:cs="Arial"/>
          <w:szCs w:val="22"/>
        </w:rPr>
        <w:t>,</w:t>
      </w:r>
      <w:r w:rsidRPr="004D46AC">
        <w:rPr>
          <w:rFonts w:ascii="Arial" w:hAnsi="Arial" w:cs="Arial"/>
          <w:i/>
          <w:szCs w:val="22"/>
        </w:rPr>
        <w:t xml:space="preserve"> 5</w:t>
      </w:r>
      <w:r w:rsidRPr="004D46AC">
        <w:rPr>
          <w:rFonts w:ascii="Arial" w:hAnsi="Arial" w:cs="Arial"/>
          <w:szCs w:val="22"/>
        </w:rPr>
        <w:t xml:space="preserve">(17 Pt 1), 13–36. https://doi.org/10.1177/0957154X9400501702 </w:t>
      </w:r>
    </w:p>
    <w:p w14:paraId="66AF2F9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Berry, K., Barrowclough, C., &amp; Wearden, A. (2007). A review of the role of adult attachment style in psychosis: Unexplored issues and questions for further research. </w:t>
      </w:r>
      <w:r w:rsidRPr="004D46AC">
        <w:rPr>
          <w:rFonts w:ascii="Arial" w:hAnsi="Arial" w:cs="Arial"/>
          <w:i/>
          <w:szCs w:val="22"/>
        </w:rPr>
        <w:t>Clinical Psychology Review</w:t>
      </w:r>
      <w:r w:rsidRPr="004D46AC">
        <w:rPr>
          <w:rFonts w:ascii="Arial" w:hAnsi="Arial" w:cs="Arial"/>
          <w:szCs w:val="22"/>
        </w:rPr>
        <w:t>,</w:t>
      </w:r>
      <w:r w:rsidRPr="004D46AC">
        <w:rPr>
          <w:rFonts w:ascii="Arial" w:hAnsi="Arial" w:cs="Arial"/>
          <w:i/>
          <w:szCs w:val="22"/>
        </w:rPr>
        <w:t xml:space="preserve"> 27</w:t>
      </w:r>
      <w:r w:rsidRPr="004D46AC">
        <w:rPr>
          <w:rFonts w:ascii="Arial" w:hAnsi="Arial" w:cs="Arial"/>
          <w:szCs w:val="22"/>
        </w:rPr>
        <w:t xml:space="preserve">(4), 458–475. https://doi.org/https://doi.org/10.1016/j.cpr.2006.09.006 </w:t>
      </w:r>
    </w:p>
    <w:p w14:paraId="69C2552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Birrell, J., Meares, K., Wilkinson, A., &amp; Freeston, M. (2011). Toward a definition of intolerance of uncertainty: a review of factor analytical studies of the Intolerance of Uncertainty Scale. </w:t>
      </w:r>
      <w:r w:rsidRPr="004D46AC">
        <w:rPr>
          <w:rFonts w:ascii="Arial" w:hAnsi="Arial" w:cs="Arial"/>
          <w:i/>
          <w:szCs w:val="22"/>
        </w:rPr>
        <w:t xml:space="preserve">Clin </w:t>
      </w:r>
      <w:proofErr w:type="spellStart"/>
      <w:r w:rsidRPr="004D46AC">
        <w:rPr>
          <w:rFonts w:ascii="Arial" w:hAnsi="Arial" w:cs="Arial"/>
          <w:i/>
          <w:szCs w:val="22"/>
        </w:rPr>
        <w:t>Psychol</w:t>
      </w:r>
      <w:proofErr w:type="spellEnd"/>
      <w:r w:rsidRPr="004D46AC">
        <w:rPr>
          <w:rFonts w:ascii="Arial" w:hAnsi="Arial" w:cs="Arial"/>
          <w:i/>
          <w:szCs w:val="22"/>
        </w:rPr>
        <w:t xml:space="preserve"> Rev</w:t>
      </w:r>
      <w:r w:rsidRPr="004D46AC">
        <w:rPr>
          <w:rFonts w:ascii="Arial" w:hAnsi="Arial" w:cs="Arial"/>
          <w:szCs w:val="22"/>
        </w:rPr>
        <w:t>,</w:t>
      </w:r>
      <w:r w:rsidRPr="004D46AC">
        <w:rPr>
          <w:rFonts w:ascii="Arial" w:hAnsi="Arial" w:cs="Arial"/>
          <w:i/>
          <w:szCs w:val="22"/>
        </w:rPr>
        <w:t xml:space="preserve"> 31</w:t>
      </w:r>
      <w:r w:rsidRPr="004D46AC">
        <w:rPr>
          <w:rFonts w:ascii="Arial" w:hAnsi="Arial" w:cs="Arial"/>
          <w:szCs w:val="22"/>
        </w:rPr>
        <w:t xml:space="preserve">(7), 1198–1208. https://doi.org/10.1016/j.cpr.2011.07.009 </w:t>
      </w:r>
    </w:p>
    <w:p w14:paraId="5F499F12"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Birur</w:t>
      </w:r>
      <w:proofErr w:type="spellEnd"/>
      <w:r w:rsidRPr="004D46AC">
        <w:rPr>
          <w:rFonts w:ascii="Arial" w:hAnsi="Arial" w:cs="Arial"/>
          <w:szCs w:val="22"/>
        </w:rPr>
        <w:t xml:space="preserve">, B., </w:t>
      </w:r>
      <w:proofErr w:type="spellStart"/>
      <w:r w:rsidRPr="004D46AC">
        <w:rPr>
          <w:rFonts w:ascii="Arial" w:hAnsi="Arial" w:cs="Arial"/>
          <w:szCs w:val="22"/>
        </w:rPr>
        <w:t>Kraguljac</w:t>
      </w:r>
      <w:proofErr w:type="spellEnd"/>
      <w:r w:rsidRPr="004D46AC">
        <w:rPr>
          <w:rFonts w:ascii="Arial" w:hAnsi="Arial" w:cs="Arial"/>
          <w:szCs w:val="22"/>
        </w:rPr>
        <w:t xml:space="preserve">, N. V., Shelton, R. C., &amp; Lahti, A. C. (2017). Brain structure, function, and neurochemistry in schizophrenia and bipolar disorder-a systematic review of the magnetic resonance neuroimaging literature. </w:t>
      </w:r>
      <w:r w:rsidRPr="004D46AC">
        <w:rPr>
          <w:rFonts w:ascii="Arial" w:hAnsi="Arial" w:cs="Arial"/>
          <w:i/>
          <w:szCs w:val="22"/>
        </w:rPr>
        <w:t xml:space="preserve">NPJ </w:t>
      </w:r>
      <w:proofErr w:type="spellStart"/>
      <w:r w:rsidRPr="004D46AC">
        <w:rPr>
          <w:rFonts w:ascii="Arial" w:hAnsi="Arial" w:cs="Arial"/>
          <w:i/>
          <w:szCs w:val="22"/>
        </w:rPr>
        <w:t>Schizophr</w:t>
      </w:r>
      <w:proofErr w:type="spellEnd"/>
      <w:r w:rsidRPr="004D46AC">
        <w:rPr>
          <w:rFonts w:ascii="Arial" w:hAnsi="Arial" w:cs="Arial"/>
          <w:szCs w:val="22"/>
        </w:rPr>
        <w:t>,</w:t>
      </w:r>
      <w:r w:rsidRPr="004D46AC">
        <w:rPr>
          <w:rFonts w:ascii="Arial" w:hAnsi="Arial" w:cs="Arial"/>
          <w:i/>
          <w:szCs w:val="22"/>
        </w:rPr>
        <w:t xml:space="preserve"> 3</w:t>
      </w:r>
      <w:r w:rsidRPr="004D46AC">
        <w:rPr>
          <w:rFonts w:ascii="Arial" w:hAnsi="Arial" w:cs="Arial"/>
          <w:szCs w:val="22"/>
        </w:rPr>
        <w:t xml:space="preserve">(1), 15. https://doi.org/10.1038/s41537-017-0013-9 </w:t>
      </w:r>
    </w:p>
    <w:p w14:paraId="26685094"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Blashfield</w:t>
      </w:r>
      <w:proofErr w:type="spellEnd"/>
      <w:r w:rsidRPr="004D46AC">
        <w:rPr>
          <w:rFonts w:ascii="Arial" w:hAnsi="Arial" w:cs="Arial"/>
          <w:szCs w:val="22"/>
        </w:rPr>
        <w:t xml:space="preserve">, R. K., Keeley, J. W., Flanagan, E. H., &amp; Miles, S. R. (2014). The Cycle of Classification: DSM-I Through DSM-5. </w:t>
      </w:r>
      <w:r w:rsidRPr="004D46AC">
        <w:rPr>
          <w:rFonts w:ascii="Arial" w:hAnsi="Arial" w:cs="Arial"/>
          <w:i/>
          <w:szCs w:val="22"/>
        </w:rPr>
        <w:t>Annual review of clinical psychology</w:t>
      </w:r>
      <w:r w:rsidRPr="004D46AC">
        <w:rPr>
          <w:rFonts w:ascii="Arial" w:hAnsi="Arial" w:cs="Arial"/>
          <w:szCs w:val="22"/>
        </w:rPr>
        <w:t>,</w:t>
      </w:r>
      <w:r w:rsidRPr="004D46AC">
        <w:rPr>
          <w:rFonts w:ascii="Arial" w:hAnsi="Arial" w:cs="Arial"/>
          <w:i/>
          <w:szCs w:val="22"/>
        </w:rPr>
        <w:t xml:space="preserve"> 10</w:t>
      </w:r>
      <w:r w:rsidRPr="004D46AC">
        <w:rPr>
          <w:rFonts w:ascii="Arial" w:hAnsi="Arial" w:cs="Arial"/>
          <w:szCs w:val="22"/>
        </w:rPr>
        <w:t xml:space="preserve">(Volume 10, 2014), 25–51. https://doi.org/https://doi.org/10.1146/annurev-clinpsy-032813-153639 </w:t>
      </w:r>
    </w:p>
    <w:p w14:paraId="0AE80BD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Bolhuis, K., Koopman-Verhoeff, M. E., Blanken, L. M. E., Cibrev, D., Jaddoe, V. W. V., Verhulst, F. C., </w:t>
      </w:r>
      <w:proofErr w:type="spellStart"/>
      <w:r w:rsidRPr="004D46AC">
        <w:rPr>
          <w:rFonts w:ascii="Arial" w:hAnsi="Arial" w:cs="Arial"/>
          <w:szCs w:val="22"/>
        </w:rPr>
        <w:t>Hillegers</w:t>
      </w:r>
      <w:proofErr w:type="spellEnd"/>
      <w:r w:rsidRPr="004D46AC">
        <w:rPr>
          <w:rFonts w:ascii="Arial" w:hAnsi="Arial" w:cs="Arial"/>
          <w:szCs w:val="22"/>
        </w:rPr>
        <w:t xml:space="preserve">, M. H. J., Kushner, S. A., &amp; Tiemeier, H. (2018). Psychotic-like experiences in pre-adolescence: what precedes the antecedent symptoms of severe mental illness? </w:t>
      </w:r>
      <w:r w:rsidRPr="004D46AC">
        <w:rPr>
          <w:rFonts w:ascii="Arial" w:hAnsi="Arial" w:cs="Arial"/>
          <w:i/>
          <w:szCs w:val="22"/>
        </w:rPr>
        <w:t xml:space="preserve">Acta </w:t>
      </w:r>
      <w:proofErr w:type="spellStart"/>
      <w:r w:rsidRPr="004D46AC">
        <w:rPr>
          <w:rFonts w:ascii="Arial" w:hAnsi="Arial" w:cs="Arial"/>
          <w:i/>
          <w:szCs w:val="22"/>
        </w:rPr>
        <w:t>Psychiatrica</w:t>
      </w:r>
      <w:proofErr w:type="spellEnd"/>
      <w:r w:rsidRPr="004D46AC">
        <w:rPr>
          <w:rFonts w:ascii="Arial" w:hAnsi="Arial" w:cs="Arial"/>
          <w:i/>
          <w:szCs w:val="22"/>
        </w:rPr>
        <w:t xml:space="preserve"> Scandinavica</w:t>
      </w:r>
      <w:r w:rsidRPr="004D46AC">
        <w:rPr>
          <w:rFonts w:ascii="Arial" w:hAnsi="Arial" w:cs="Arial"/>
          <w:szCs w:val="22"/>
        </w:rPr>
        <w:t>,</w:t>
      </w:r>
      <w:r w:rsidRPr="004D46AC">
        <w:rPr>
          <w:rFonts w:ascii="Arial" w:hAnsi="Arial" w:cs="Arial"/>
          <w:i/>
          <w:szCs w:val="22"/>
        </w:rPr>
        <w:t xml:space="preserve"> 138</w:t>
      </w:r>
      <w:r w:rsidRPr="004D46AC">
        <w:rPr>
          <w:rFonts w:ascii="Arial" w:hAnsi="Arial" w:cs="Arial"/>
          <w:szCs w:val="22"/>
        </w:rPr>
        <w:t xml:space="preserve">(1), 15–25. https://doi.org/https://doi.org/10.1111/acps.12891 </w:t>
      </w:r>
    </w:p>
    <w:p w14:paraId="031B1B4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Borsboom, D. (2017). A network theory of mental disorders.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(1), 5–13. https://doi.org/https://doi.org/10.1002/wps.20375 </w:t>
      </w:r>
    </w:p>
    <w:p w14:paraId="41F293B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Borsboom, D., &amp; Cramer, A. O. J. (2013). Network Analysis: An Integrative Approach to the Structure of Psychopathology. </w:t>
      </w:r>
      <w:r w:rsidRPr="004D46AC">
        <w:rPr>
          <w:rFonts w:ascii="Arial" w:hAnsi="Arial" w:cs="Arial"/>
          <w:i/>
          <w:szCs w:val="22"/>
        </w:rPr>
        <w:t>Annual review of clinical psychology</w:t>
      </w:r>
      <w:r w:rsidRPr="004D46AC">
        <w:rPr>
          <w:rFonts w:ascii="Arial" w:hAnsi="Arial" w:cs="Arial"/>
          <w:szCs w:val="22"/>
        </w:rPr>
        <w:t>,</w:t>
      </w:r>
      <w:r w:rsidRPr="004D46AC">
        <w:rPr>
          <w:rFonts w:ascii="Arial" w:hAnsi="Arial" w:cs="Arial"/>
          <w:i/>
          <w:szCs w:val="22"/>
        </w:rPr>
        <w:t xml:space="preserve"> 9</w:t>
      </w:r>
      <w:r w:rsidRPr="004D46AC">
        <w:rPr>
          <w:rFonts w:ascii="Arial" w:hAnsi="Arial" w:cs="Arial"/>
          <w:szCs w:val="22"/>
        </w:rPr>
        <w:t xml:space="preserve">(Volume 9, 2013), 91–121. https://doi.org/https://doi.org/10.1146/annurev-clinpsy-050212-185608 </w:t>
      </w:r>
    </w:p>
    <w:p w14:paraId="121A99C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Bringmann, L. F., &amp; Eronen, M. I. (2018). Don't blame the model: Reconsidering the network approach to psychopathology. </w:t>
      </w:r>
      <w:proofErr w:type="spellStart"/>
      <w:r w:rsidRPr="004D46AC">
        <w:rPr>
          <w:rFonts w:ascii="Arial" w:hAnsi="Arial" w:cs="Arial"/>
          <w:i/>
          <w:szCs w:val="22"/>
        </w:rPr>
        <w:t>Psychol</w:t>
      </w:r>
      <w:proofErr w:type="spellEnd"/>
      <w:r w:rsidRPr="004D46AC">
        <w:rPr>
          <w:rFonts w:ascii="Arial" w:hAnsi="Arial" w:cs="Arial"/>
          <w:i/>
          <w:szCs w:val="22"/>
        </w:rPr>
        <w:t xml:space="preserve"> Rev</w:t>
      </w:r>
      <w:r w:rsidRPr="004D46AC">
        <w:rPr>
          <w:rFonts w:ascii="Arial" w:hAnsi="Arial" w:cs="Arial"/>
          <w:szCs w:val="22"/>
        </w:rPr>
        <w:t>,</w:t>
      </w:r>
      <w:r w:rsidRPr="004D46AC">
        <w:rPr>
          <w:rFonts w:ascii="Arial" w:hAnsi="Arial" w:cs="Arial"/>
          <w:i/>
          <w:szCs w:val="22"/>
        </w:rPr>
        <w:t xml:space="preserve"> 125</w:t>
      </w:r>
      <w:r w:rsidRPr="004D46AC">
        <w:rPr>
          <w:rFonts w:ascii="Arial" w:hAnsi="Arial" w:cs="Arial"/>
          <w:szCs w:val="22"/>
        </w:rPr>
        <w:t xml:space="preserve">(4), 606–615. https://doi.org/10.1037/rev0000108 </w:t>
      </w:r>
    </w:p>
    <w:p w14:paraId="218AF35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Buhr, K., &amp; Dugas, M. J. (2002). The intolerance of uncertainty scale: psychometric properties of the English version. </w:t>
      </w:r>
      <w:r w:rsidRPr="004D46AC">
        <w:rPr>
          <w:rFonts w:ascii="Arial" w:hAnsi="Arial" w:cs="Arial"/>
          <w:i/>
          <w:szCs w:val="22"/>
        </w:rPr>
        <w:t>Behaviour research and therapy</w:t>
      </w:r>
      <w:r w:rsidRPr="004D46AC">
        <w:rPr>
          <w:rFonts w:ascii="Arial" w:hAnsi="Arial" w:cs="Arial"/>
          <w:szCs w:val="22"/>
        </w:rPr>
        <w:t>,</w:t>
      </w:r>
      <w:r w:rsidRPr="004D46AC">
        <w:rPr>
          <w:rFonts w:ascii="Arial" w:hAnsi="Arial" w:cs="Arial"/>
          <w:i/>
          <w:szCs w:val="22"/>
        </w:rPr>
        <w:t xml:space="preserve"> 40</w:t>
      </w:r>
      <w:r w:rsidRPr="004D46AC">
        <w:rPr>
          <w:rFonts w:ascii="Arial" w:hAnsi="Arial" w:cs="Arial"/>
          <w:szCs w:val="22"/>
        </w:rPr>
        <w:t xml:space="preserve">(8), 931–945. https://doi.org/https://doi.org/10.1016/S0005-7967(01)00092-4 </w:t>
      </w:r>
    </w:p>
    <w:p w14:paraId="6AA5137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Carleton, R. N. (2016). Fear of the unknown: One fear to rule them all? </w:t>
      </w:r>
      <w:r w:rsidRPr="004D46AC">
        <w:rPr>
          <w:rFonts w:ascii="Arial" w:hAnsi="Arial" w:cs="Arial"/>
          <w:i/>
          <w:szCs w:val="22"/>
        </w:rPr>
        <w:t>Journal of Anxiety Disorders</w:t>
      </w:r>
      <w:r w:rsidRPr="004D46AC">
        <w:rPr>
          <w:rFonts w:ascii="Arial" w:hAnsi="Arial" w:cs="Arial"/>
          <w:szCs w:val="22"/>
        </w:rPr>
        <w:t>,</w:t>
      </w:r>
      <w:r w:rsidRPr="004D46AC">
        <w:rPr>
          <w:rFonts w:ascii="Arial" w:hAnsi="Arial" w:cs="Arial"/>
          <w:i/>
          <w:szCs w:val="22"/>
        </w:rPr>
        <w:t xml:space="preserve"> 41</w:t>
      </w:r>
      <w:r w:rsidRPr="004D46AC">
        <w:rPr>
          <w:rFonts w:ascii="Arial" w:hAnsi="Arial" w:cs="Arial"/>
          <w:szCs w:val="22"/>
        </w:rPr>
        <w:t xml:space="preserve">, 5–21. https://doi.org/https://doi.org/10.1016/j.janxdis.2016.03.011 </w:t>
      </w:r>
    </w:p>
    <w:p w14:paraId="59E96A9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Carleton, R. N., Norton, M. A. P. J., &amp; Asmundson, G. J. G. (2007). Fearing the unknown: A short version of the Intolerance of Uncertainty Scale. </w:t>
      </w:r>
      <w:r w:rsidRPr="004D46AC">
        <w:rPr>
          <w:rFonts w:ascii="Arial" w:hAnsi="Arial" w:cs="Arial"/>
          <w:i/>
          <w:szCs w:val="22"/>
        </w:rPr>
        <w:t>Journal of Anxiety Disorders</w:t>
      </w:r>
      <w:r w:rsidRPr="004D46AC">
        <w:rPr>
          <w:rFonts w:ascii="Arial" w:hAnsi="Arial" w:cs="Arial"/>
          <w:szCs w:val="22"/>
        </w:rPr>
        <w:t>,</w:t>
      </w:r>
      <w:r w:rsidRPr="004D46AC">
        <w:rPr>
          <w:rFonts w:ascii="Arial" w:hAnsi="Arial" w:cs="Arial"/>
          <w:i/>
          <w:szCs w:val="22"/>
        </w:rPr>
        <w:t xml:space="preserve"> 21</w:t>
      </w:r>
      <w:r w:rsidRPr="004D46AC">
        <w:rPr>
          <w:rFonts w:ascii="Arial" w:hAnsi="Arial" w:cs="Arial"/>
          <w:szCs w:val="22"/>
        </w:rPr>
        <w:t xml:space="preserve">(1), 105–117. https://doi.org/https://doi.org/10.1016/j.janxdis.2006.03.014 </w:t>
      </w:r>
    </w:p>
    <w:p w14:paraId="6AAA137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Caspi, A., Houts, R. M., Belsky, D. W., Goldman-Mellor, S. J., Harrington, H., Israel, S., Meier, M. H., </w:t>
      </w:r>
      <w:proofErr w:type="spellStart"/>
      <w:r w:rsidRPr="004D46AC">
        <w:rPr>
          <w:rFonts w:ascii="Arial" w:hAnsi="Arial" w:cs="Arial"/>
          <w:szCs w:val="22"/>
        </w:rPr>
        <w:t>Ramrakha</w:t>
      </w:r>
      <w:proofErr w:type="spellEnd"/>
      <w:r w:rsidRPr="004D46AC">
        <w:rPr>
          <w:rFonts w:ascii="Arial" w:hAnsi="Arial" w:cs="Arial"/>
          <w:szCs w:val="22"/>
        </w:rPr>
        <w:t xml:space="preserve">, S., Shalev, I., Poulton, R., &amp; Moffitt, T. E. (2014). The p Factor: One General Psychopathology Factor in the Structure of Psychiatric Disorders? </w:t>
      </w:r>
      <w:r w:rsidRPr="004D46AC">
        <w:rPr>
          <w:rFonts w:ascii="Arial" w:hAnsi="Arial" w:cs="Arial"/>
          <w:i/>
          <w:szCs w:val="22"/>
        </w:rPr>
        <w:t xml:space="preserve">Clin </w:t>
      </w:r>
      <w:proofErr w:type="spellStart"/>
      <w:r w:rsidRPr="004D46AC">
        <w:rPr>
          <w:rFonts w:ascii="Arial" w:hAnsi="Arial" w:cs="Arial"/>
          <w:i/>
          <w:szCs w:val="22"/>
        </w:rPr>
        <w:t>Psychol</w:t>
      </w:r>
      <w:proofErr w:type="spellEnd"/>
      <w:r w:rsidRPr="004D46AC">
        <w:rPr>
          <w:rFonts w:ascii="Arial" w:hAnsi="Arial" w:cs="Arial"/>
          <w:i/>
          <w:szCs w:val="22"/>
        </w:rPr>
        <w:t xml:space="preserve"> Sci</w:t>
      </w:r>
      <w:r w:rsidRPr="004D46AC">
        <w:rPr>
          <w:rFonts w:ascii="Arial" w:hAnsi="Arial" w:cs="Arial"/>
          <w:szCs w:val="22"/>
        </w:rPr>
        <w:t>,</w:t>
      </w:r>
      <w:r w:rsidRPr="004D46AC">
        <w:rPr>
          <w:rFonts w:ascii="Arial" w:hAnsi="Arial" w:cs="Arial"/>
          <w:i/>
          <w:szCs w:val="22"/>
        </w:rPr>
        <w:t xml:space="preserve"> 2</w:t>
      </w:r>
      <w:r w:rsidRPr="004D46AC">
        <w:rPr>
          <w:rFonts w:ascii="Arial" w:hAnsi="Arial" w:cs="Arial"/>
          <w:szCs w:val="22"/>
        </w:rPr>
        <w:t xml:space="preserve">(2), 119–137. https://doi.org/10.1177/2167702613497473 </w:t>
      </w:r>
    </w:p>
    <w:p w14:paraId="19B8BCE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Conrad, K. (1958). Beginning schizophrenia: attempt for a Gestalt-analysis of delusion. </w:t>
      </w:r>
      <w:r w:rsidRPr="004D46AC">
        <w:rPr>
          <w:rFonts w:ascii="Arial" w:hAnsi="Arial" w:cs="Arial"/>
          <w:i/>
          <w:szCs w:val="22"/>
        </w:rPr>
        <w:t>Selected excerpts taken from</w:t>
      </w:r>
      <w:r w:rsidRPr="004D46AC">
        <w:rPr>
          <w:rFonts w:ascii="Arial" w:hAnsi="Arial" w:cs="Arial"/>
          <w:szCs w:val="22"/>
        </w:rPr>
        <w:t xml:space="preserve">, 176–193. </w:t>
      </w:r>
    </w:p>
    <w:p w14:paraId="5F34B8F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Dempsey, R. C., Gooding, P. A., &amp; Jones, S. H. (2017). A prospective study of bipolar disorder vulnerability in relation to behavioural activation, behavioural inhibition and dysregulation of the Behavioural Activation System. </w:t>
      </w:r>
      <w:r w:rsidRPr="004D46AC">
        <w:rPr>
          <w:rFonts w:ascii="Arial" w:hAnsi="Arial" w:cs="Arial"/>
          <w:i/>
          <w:szCs w:val="22"/>
        </w:rPr>
        <w:t>European Psychiatry</w:t>
      </w:r>
      <w:r w:rsidRPr="004D46AC">
        <w:rPr>
          <w:rFonts w:ascii="Arial" w:hAnsi="Arial" w:cs="Arial"/>
          <w:szCs w:val="22"/>
        </w:rPr>
        <w:t>,</w:t>
      </w:r>
      <w:r w:rsidRPr="004D46AC">
        <w:rPr>
          <w:rFonts w:ascii="Arial" w:hAnsi="Arial" w:cs="Arial"/>
          <w:i/>
          <w:szCs w:val="22"/>
        </w:rPr>
        <w:t xml:space="preserve"> 44</w:t>
      </w:r>
      <w:r w:rsidRPr="004D46AC">
        <w:rPr>
          <w:rFonts w:ascii="Arial" w:hAnsi="Arial" w:cs="Arial"/>
          <w:szCs w:val="22"/>
        </w:rPr>
        <w:t xml:space="preserve">, 24–29. https://doi.org/10.1016/j.eurpsy.2017.03.005 </w:t>
      </w:r>
    </w:p>
    <w:p w14:paraId="04A9F3D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Depue, R. A., &amp; Iacono, W. G. (1989). Neurobehavioral Aspects of Affective Disorders. </w:t>
      </w:r>
      <w:r w:rsidRPr="004D46AC">
        <w:rPr>
          <w:rFonts w:ascii="Arial" w:hAnsi="Arial" w:cs="Arial"/>
          <w:i/>
          <w:szCs w:val="22"/>
        </w:rPr>
        <w:t>Annual Review of Psychology</w:t>
      </w:r>
      <w:r w:rsidRPr="004D46AC">
        <w:rPr>
          <w:rFonts w:ascii="Arial" w:hAnsi="Arial" w:cs="Arial"/>
          <w:szCs w:val="22"/>
        </w:rPr>
        <w:t>,</w:t>
      </w:r>
      <w:r w:rsidRPr="004D46AC">
        <w:rPr>
          <w:rFonts w:ascii="Arial" w:hAnsi="Arial" w:cs="Arial"/>
          <w:i/>
          <w:szCs w:val="22"/>
        </w:rPr>
        <w:t xml:space="preserve"> 40</w:t>
      </w:r>
      <w:r w:rsidRPr="004D46AC">
        <w:rPr>
          <w:rFonts w:ascii="Arial" w:hAnsi="Arial" w:cs="Arial"/>
          <w:szCs w:val="22"/>
        </w:rPr>
        <w:t xml:space="preserve">(Volume 40, 1989), 457–492. https://doi.org/https://doi.org/10.1146/annurev.ps.40.020189.002325 </w:t>
      </w:r>
    </w:p>
    <w:p w14:paraId="06FD4E57"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Epskamp</w:t>
      </w:r>
      <w:proofErr w:type="spellEnd"/>
      <w:r w:rsidRPr="004D46AC">
        <w:rPr>
          <w:rFonts w:ascii="Arial" w:hAnsi="Arial" w:cs="Arial"/>
          <w:szCs w:val="22"/>
        </w:rPr>
        <w:t xml:space="preserve">, S., Borsboom, D., &amp; Fried, E. I. (2018). Estimating psychological networks and their accuracy: A tutorial paper. </w:t>
      </w:r>
      <w:proofErr w:type="spellStart"/>
      <w:r w:rsidRPr="004D46AC">
        <w:rPr>
          <w:rFonts w:ascii="Arial" w:hAnsi="Arial" w:cs="Arial"/>
          <w:i/>
          <w:szCs w:val="22"/>
        </w:rPr>
        <w:t>Behavior</w:t>
      </w:r>
      <w:proofErr w:type="spellEnd"/>
      <w:r w:rsidRPr="004D46AC">
        <w:rPr>
          <w:rFonts w:ascii="Arial" w:hAnsi="Arial" w:cs="Arial"/>
          <w:i/>
          <w:szCs w:val="22"/>
        </w:rPr>
        <w:t xml:space="preserve"> Research Methods</w:t>
      </w:r>
      <w:r w:rsidRPr="004D46AC">
        <w:rPr>
          <w:rFonts w:ascii="Arial" w:hAnsi="Arial" w:cs="Arial"/>
          <w:szCs w:val="22"/>
        </w:rPr>
        <w:t>,</w:t>
      </w:r>
      <w:r w:rsidRPr="004D46AC">
        <w:rPr>
          <w:rFonts w:ascii="Arial" w:hAnsi="Arial" w:cs="Arial"/>
          <w:i/>
          <w:szCs w:val="22"/>
        </w:rPr>
        <w:t xml:space="preserve"> 50</w:t>
      </w:r>
      <w:r w:rsidRPr="004D46AC">
        <w:rPr>
          <w:rFonts w:ascii="Arial" w:hAnsi="Arial" w:cs="Arial"/>
          <w:szCs w:val="22"/>
        </w:rPr>
        <w:t xml:space="preserve">(1), 195–212. https://doi.org/10.3758/s13428-017-0862-1 </w:t>
      </w:r>
    </w:p>
    <w:p w14:paraId="3EB3060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Felitti, V., Anda, R., Nordenberg, D., &amp; Williamson, D. (1998). Adverse childhood experiences and health outcomes in adults: The Ace study. </w:t>
      </w:r>
      <w:r w:rsidRPr="004D46AC">
        <w:rPr>
          <w:rFonts w:ascii="Arial" w:hAnsi="Arial" w:cs="Arial"/>
          <w:i/>
          <w:szCs w:val="22"/>
        </w:rPr>
        <w:t>Journal of Family and Consumer Sciences</w:t>
      </w:r>
      <w:r w:rsidRPr="004D46AC">
        <w:rPr>
          <w:rFonts w:ascii="Arial" w:hAnsi="Arial" w:cs="Arial"/>
          <w:szCs w:val="22"/>
        </w:rPr>
        <w:t>,</w:t>
      </w:r>
      <w:r w:rsidRPr="004D46AC">
        <w:rPr>
          <w:rFonts w:ascii="Arial" w:hAnsi="Arial" w:cs="Arial"/>
          <w:i/>
          <w:szCs w:val="22"/>
        </w:rPr>
        <w:t xml:space="preserve"> 90</w:t>
      </w:r>
      <w:r w:rsidRPr="004D46AC">
        <w:rPr>
          <w:rFonts w:ascii="Arial" w:hAnsi="Arial" w:cs="Arial"/>
          <w:szCs w:val="22"/>
        </w:rPr>
        <w:t xml:space="preserve">(3), 31. </w:t>
      </w:r>
    </w:p>
    <w:p w14:paraId="74FBB4C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Frank, E., </w:t>
      </w:r>
      <w:proofErr w:type="spellStart"/>
      <w:r w:rsidRPr="004D46AC">
        <w:rPr>
          <w:rFonts w:ascii="Arial" w:hAnsi="Arial" w:cs="Arial"/>
          <w:szCs w:val="22"/>
        </w:rPr>
        <w:t>Nimgaonkar</w:t>
      </w:r>
      <w:proofErr w:type="spellEnd"/>
      <w:r w:rsidRPr="004D46AC">
        <w:rPr>
          <w:rFonts w:ascii="Arial" w:hAnsi="Arial" w:cs="Arial"/>
          <w:szCs w:val="22"/>
        </w:rPr>
        <w:t xml:space="preserve">, V. L., Phillips, M. L., &amp; Kupfer, D. J. (2015). All the world's a (clinical) stage: rethinking bipolar disorder from a longitudinal perspective. </w:t>
      </w:r>
      <w:r w:rsidRPr="004D46AC">
        <w:rPr>
          <w:rFonts w:ascii="Arial" w:hAnsi="Arial" w:cs="Arial"/>
          <w:i/>
          <w:szCs w:val="22"/>
        </w:rPr>
        <w:t>Mol Psychiatry</w:t>
      </w:r>
      <w:r w:rsidRPr="004D46AC">
        <w:rPr>
          <w:rFonts w:ascii="Arial" w:hAnsi="Arial" w:cs="Arial"/>
          <w:szCs w:val="22"/>
        </w:rPr>
        <w:t>,</w:t>
      </w:r>
      <w:r w:rsidRPr="004D46AC">
        <w:rPr>
          <w:rFonts w:ascii="Arial" w:hAnsi="Arial" w:cs="Arial"/>
          <w:i/>
          <w:szCs w:val="22"/>
        </w:rPr>
        <w:t xml:space="preserve"> 20</w:t>
      </w:r>
      <w:r w:rsidRPr="004D46AC">
        <w:rPr>
          <w:rFonts w:ascii="Arial" w:hAnsi="Arial" w:cs="Arial"/>
          <w:szCs w:val="22"/>
        </w:rPr>
        <w:t xml:space="preserve">(1), 23–31. https://doi.org/10.1038/mp.2014.71 </w:t>
      </w:r>
    </w:p>
    <w:p w14:paraId="7754106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Funkhouser, C. J., Chacko, A. A., Correa, K. A., Kaiser, A. J. E., &amp; Shankman, S. A. (2021). Unique longitudinal relationships between symptoms of psychopathology in youth: A cross-lagged panel network analysis in the ABCD study. </w:t>
      </w:r>
      <w:r w:rsidRPr="004D46AC">
        <w:rPr>
          <w:rFonts w:ascii="Arial" w:hAnsi="Arial" w:cs="Arial"/>
          <w:i/>
          <w:szCs w:val="22"/>
        </w:rPr>
        <w:t>Journal of Child Psychology and Psychiatry</w:t>
      </w:r>
      <w:r w:rsidRPr="004D46AC">
        <w:rPr>
          <w:rFonts w:ascii="Arial" w:hAnsi="Arial" w:cs="Arial"/>
          <w:szCs w:val="22"/>
        </w:rPr>
        <w:t>,</w:t>
      </w:r>
      <w:r w:rsidRPr="004D46AC">
        <w:rPr>
          <w:rFonts w:ascii="Arial" w:hAnsi="Arial" w:cs="Arial"/>
          <w:i/>
          <w:szCs w:val="22"/>
        </w:rPr>
        <w:t xml:space="preserve"> 62</w:t>
      </w:r>
      <w:r w:rsidRPr="004D46AC">
        <w:rPr>
          <w:rFonts w:ascii="Arial" w:hAnsi="Arial" w:cs="Arial"/>
          <w:szCs w:val="22"/>
        </w:rPr>
        <w:t xml:space="preserve">(2), 184–194. https://doi.org/https://doi.org/10.1111/jcpp.13256 </w:t>
      </w:r>
    </w:p>
    <w:p w14:paraId="6F057FC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Gentes, E. L., &amp; Ruscio, A. M. (2011). A meta-analysis of the relation of intolerance of uncertainty to symptoms of generalized anxiety disorder, major depressive disorder, and obsessive–compulsive disorder. </w:t>
      </w:r>
      <w:r w:rsidRPr="004D46AC">
        <w:rPr>
          <w:rFonts w:ascii="Arial" w:hAnsi="Arial" w:cs="Arial"/>
          <w:i/>
          <w:szCs w:val="22"/>
        </w:rPr>
        <w:t>Clinical Psychology Review</w:t>
      </w:r>
      <w:r w:rsidRPr="004D46AC">
        <w:rPr>
          <w:rFonts w:ascii="Arial" w:hAnsi="Arial" w:cs="Arial"/>
          <w:szCs w:val="22"/>
        </w:rPr>
        <w:t>,</w:t>
      </w:r>
      <w:r w:rsidRPr="004D46AC">
        <w:rPr>
          <w:rFonts w:ascii="Arial" w:hAnsi="Arial" w:cs="Arial"/>
          <w:i/>
          <w:szCs w:val="22"/>
        </w:rPr>
        <w:t xml:space="preserve"> 31</w:t>
      </w:r>
      <w:r w:rsidRPr="004D46AC">
        <w:rPr>
          <w:rFonts w:ascii="Arial" w:hAnsi="Arial" w:cs="Arial"/>
          <w:szCs w:val="22"/>
        </w:rPr>
        <w:t xml:space="preserve">(6), 923–933. https://doi.org/https://doi.org/10.1016/j.cpr.2011.05.001 </w:t>
      </w:r>
    </w:p>
    <w:p w14:paraId="4104D39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Goodwin, R. D., Stayner, D. A., </w:t>
      </w:r>
      <w:proofErr w:type="spellStart"/>
      <w:r w:rsidRPr="004D46AC">
        <w:rPr>
          <w:rFonts w:ascii="Arial" w:hAnsi="Arial" w:cs="Arial"/>
          <w:szCs w:val="22"/>
        </w:rPr>
        <w:t>Chinman</w:t>
      </w:r>
      <w:proofErr w:type="spellEnd"/>
      <w:r w:rsidRPr="004D46AC">
        <w:rPr>
          <w:rFonts w:ascii="Arial" w:hAnsi="Arial" w:cs="Arial"/>
          <w:szCs w:val="22"/>
        </w:rPr>
        <w:t xml:space="preserve">, M. J., Wu, P., </w:t>
      </w:r>
      <w:proofErr w:type="spellStart"/>
      <w:r w:rsidRPr="004D46AC">
        <w:rPr>
          <w:rFonts w:ascii="Arial" w:hAnsi="Arial" w:cs="Arial"/>
          <w:szCs w:val="22"/>
        </w:rPr>
        <w:t>Tebes</w:t>
      </w:r>
      <w:proofErr w:type="spellEnd"/>
      <w:r w:rsidRPr="004D46AC">
        <w:rPr>
          <w:rFonts w:ascii="Arial" w:hAnsi="Arial" w:cs="Arial"/>
          <w:szCs w:val="22"/>
        </w:rPr>
        <w:t xml:space="preserve">, J. K., &amp; Davidson, L. (2002). The relationship between anxiety and substance use disorders among individuals </w:t>
      </w:r>
      <w:r w:rsidRPr="004D46AC">
        <w:rPr>
          <w:rFonts w:ascii="Arial" w:hAnsi="Arial" w:cs="Arial"/>
          <w:szCs w:val="22"/>
        </w:rPr>
        <w:lastRenderedPageBreak/>
        <w:t xml:space="preserve">with severe affective disorders. </w:t>
      </w:r>
      <w:proofErr w:type="spellStart"/>
      <w:r w:rsidRPr="004D46AC">
        <w:rPr>
          <w:rFonts w:ascii="Arial" w:hAnsi="Arial" w:cs="Arial"/>
          <w:i/>
          <w:szCs w:val="22"/>
        </w:rPr>
        <w:t>Compr</w:t>
      </w:r>
      <w:proofErr w:type="spellEnd"/>
      <w:r w:rsidRPr="004D46AC">
        <w:rPr>
          <w:rFonts w:ascii="Arial" w:hAnsi="Arial" w:cs="Arial"/>
          <w:i/>
          <w:szCs w:val="22"/>
        </w:rPr>
        <w:t xml:space="preserve"> Psychiatry</w:t>
      </w:r>
      <w:r w:rsidRPr="004D46AC">
        <w:rPr>
          <w:rFonts w:ascii="Arial" w:hAnsi="Arial" w:cs="Arial"/>
          <w:szCs w:val="22"/>
        </w:rPr>
        <w:t>,</w:t>
      </w:r>
      <w:r w:rsidRPr="004D46AC">
        <w:rPr>
          <w:rFonts w:ascii="Arial" w:hAnsi="Arial" w:cs="Arial"/>
          <w:i/>
          <w:szCs w:val="22"/>
        </w:rPr>
        <w:t xml:space="preserve"> 43</w:t>
      </w:r>
      <w:r w:rsidRPr="004D46AC">
        <w:rPr>
          <w:rFonts w:ascii="Arial" w:hAnsi="Arial" w:cs="Arial"/>
          <w:szCs w:val="22"/>
        </w:rPr>
        <w:t xml:space="preserve">(4), 245–252. https://doi.org/10.1053/comp.2002.33500 </w:t>
      </w:r>
    </w:p>
    <w:p w14:paraId="7135DB8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Gray, J. A. (1987). The neuropsychology of emotion and personality. In </w:t>
      </w:r>
      <w:r w:rsidRPr="004D46AC">
        <w:rPr>
          <w:rFonts w:ascii="Arial" w:hAnsi="Arial" w:cs="Arial"/>
          <w:i/>
          <w:szCs w:val="22"/>
        </w:rPr>
        <w:t>Cognitive neurochemistry.</w:t>
      </w:r>
      <w:r w:rsidRPr="004D46AC">
        <w:rPr>
          <w:rFonts w:ascii="Arial" w:hAnsi="Arial" w:cs="Arial"/>
          <w:szCs w:val="22"/>
        </w:rPr>
        <w:t xml:space="preserve"> (pp. 171–190). Oxford University Press. </w:t>
      </w:r>
    </w:p>
    <w:p w14:paraId="3A34F46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Gyllenberg, D., </w:t>
      </w:r>
      <w:proofErr w:type="spellStart"/>
      <w:r w:rsidRPr="004D46AC">
        <w:rPr>
          <w:rFonts w:ascii="Arial" w:hAnsi="Arial" w:cs="Arial"/>
          <w:szCs w:val="22"/>
        </w:rPr>
        <w:t>Ristikari</w:t>
      </w:r>
      <w:proofErr w:type="spellEnd"/>
      <w:r w:rsidRPr="004D46AC">
        <w:rPr>
          <w:rFonts w:ascii="Arial" w:hAnsi="Arial" w:cs="Arial"/>
          <w:szCs w:val="22"/>
        </w:rPr>
        <w:t xml:space="preserve">, T., Kelleher, I., </w:t>
      </w:r>
      <w:proofErr w:type="spellStart"/>
      <w:r w:rsidRPr="004D46AC">
        <w:rPr>
          <w:rFonts w:ascii="Arial" w:hAnsi="Arial" w:cs="Arial"/>
          <w:szCs w:val="22"/>
        </w:rPr>
        <w:t>Kääriälä</w:t>
      </w:r>
      <w:proofErr w:type="spellEnd"/>
      <w:r w:rsidRPr="004D46AC">
        <w:rPr>
          <w:rFonts w:ascii="Arial" w:hAnsi="Arial" w:cs="Arial"/>
          <w:szCs w:val="22"/>
        </w:rPr>
        <w:t xml:space="preserve">, A., &amp; Gissler, M. (2022). School performance and later diagnoses of nonaffective psychoses, bipolar disorder, and depression. </w:t>
      </w:r>
      <w:r w:rsidRPr="004D46AC">
        <w:rPr>
          <w:rFonts w:ascii="Arial" w:hAnsi="Arial" w:cs="Arial"/>
          <w:i/>
          <w:szCs w:val="22"/>
        </w:rPr>
        <w:t xml:space="preserve">Acta </w:t>
      </w:r>
      <w:proofErr w:type="spellStart"/>
      <w:r w:rsidRPr="004D46AC">
        <w:rPr>
          <w:rFonts w:ascii="Arial" w:hAnsi="Arial" w:cs="Arial"/>
          <w:i/>
          <w:szCs w:val="22"/>
        </w:rPr>
        <w:t>Psychiatr</w:t>
      </w:r>
      <w:proofErr w:type="spellEnd"/>
      <w:r w:rsidRPr="004D46AC">
        <w:rPr>
          <w:rFonts w:ascii="Arial" w:hAnsi="Arial" w:cs="Arial"/>
          <w:i/>
          <w:szCs w:val="22"/>
        </w:rPr>
        <w:t xml:space="preserve"> Scand</w:t>
      </w:r>
      <w:r w:rsidRPr="004D46AC">
        <w:rPr>
          <w:rFonts w:ascii="Arial" w:hAnsi="Arial" w:cs="Arial"/>
          <w:szCs w:val="22"/>
        </w:rPr>
        <w:t>,</w:t>
      </w:r>
      <w:r w:rsidRPr="004D46AC">
        <w:rPr>
          <w:rFonts w:ascii="Arial" w:hAnsi="Arial" w:cs="Arial"/>
          <w:i/>
          <w:szCs w:val="22"/>
        </w:rPr>
        <w:t xml:space="preserve"> 146</w:t>
      </w:r>
      <w:r w:rsidRPr="004D46AC">
        <w:rPr>
          <w:rFonts w:ascii="Arial" w:hAnsi="Arial" w:cs="Arial"/>
          <w:szCs w:val="22"/>
        </w:rPr>
        <w:t xml:space="preserve">(5), 420–429. https://doi.org/10.1111/acps.13481 </w:t>
      </w:r>
    </w:p>
    <w:p w14:paraId="1C904220"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Hardoon</w:t>
      </w:r>
      <w:proofErr w:type="spellEnd"/>
      <w:r w:rsidRPr="004D46AC">
        <w:rPr>
          <w:rFonts w:ascii="Arial" w:hAnsi="Arial" w:cs="Arial"/>
          <w:szCs w:val="22"/>
        </w:rPr>
        <w:t xml:space="preserve">, S., Hayes, J. F., Blackburn, R., Petersen, I., Walters, K., Nazareth, I., &amp; Osborn, D. P. (2013). Recording of severe mental illness in United Kingdom primary care, 2000-2010. </w:t>
      </w:r>
      <w:r w:rsidRPr="004D46AC">
        <w:rPr>
          <w:rFonts w:ascii="Arial" w:hAnsi="Arial" w:cs="Arial"/>
          <w:i/>
          <w:szCs w:val="22"/>
        </w:rPr>
        <w:t>PLOS ONE</w:t>
      </w:r>
      <w:r w:rsidRPr="004D46AC">
        <w:rPr>
          <w:rFonts w:ascii="Arial" w:hAnsi="Arial" w:cs="Arial"/>
          <w:szCs w:val="22"/>
        </w:rPr>
        <w:t>,</w:t>
      </w:r>
      <w:r w:rsidRPr="004D46AC">
        <w:rPr>
          <w:rFonts w:ascii="Arial" w:hAnsi="Arial" w:cs="Arial"/>
          <w:i/>
          <w:szCs w:val="22"/>
        </w:rPr>
        <w:t xml:space="preserve"> 8</w:t>
      </w:r>
      <w:r w:rsidRPr="004D46AC">
        <w:rPr>
          <w:rFonts w:ascii="Arial" w:hAnsi="Arial" w:cs="Arial"/>
          <w:szCs w:val="22"/>
        </w:rPr>
        <w:t xml:space="preserve">(12), e82365. https://doi.org/10.1371/journal.pone.0082365 </w:t>
      </w:r>
    </w:p>
    <w:p w14:paraId="65457607"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Haslbeck</w:t>
      </w:r>
      <w:proofErr w:type="spellEnd"/>
      <w:r w:rsidRPr="004D46AC">
        <w:rPr>
          <w:rFonts w:ascii="Arial" w:hAnsi="Arial" w:cs="Arial"/>
          <w:szCs w:val="22"/>
        </w:rPr>
        <w:t xml:space="preserve">, J. M. B., &amp; </w:t>
      </w:r>
      <w:proofErr w:type="spellStart"/>
      <w:r w:rsidRPr="004D46AC">
        <w:rPr>
          <w:rFonts w:ascii="Arial" w:hAnsi="Arial" w:cs="Arial"/>
          <w:szCs w:val="22"/>
        </w:rPr>
        <w:t>Waldorp</w:t>
      </w:r>
      <w:proofErr w:type="spellEnd"/>
      <w:r w:rsidRPr="004D46AC">
        <w:rPr>
          <w:rFonts w:ascii="Arial" w:hAnsi="Arial" w:cs="Arial"/>
          <w:szCs w:val="22"/>
        </w:rPr>
        <w:t xml:space="preserve">, L. J. (2020). </w:t>
      </w:r>
      <w:proofErr w:type="spellStart"/>
      <w:r w:rsidRPr="004D46AC">
        <w:rPr>
          <w:rFonts w:ascii="Arial" w:hAnsi="Arial" w:cs="Arial"/>
          <w:szCs w:val="22"/>
        </w:rPr>
        <w:t>mgm</w:t>
      </w:r>
      <w:proofErr w:type="spellEnd"/>
      <w:r w:rsidRPr="004D46AC">
        <w:rPr>
          <w:rFonts w:ascii="Arial" w:hAnsi="Arial" w:cs="Arial"/>
          <w:szCs w:val="22"/>
        </w:rPr>
        <w:t xml:space="preserve">: Estimating Time-Varying Mixed Graphical Models in High-Dimensional Data. </w:t>
      </w:r>
      <w:r w:rsidRPr="004D46AC">
        <w:rPr>
          <w:rFonts w:ascii="Arial" w:hAnsi="Arial" w:cs="Arial"/>
          <w:i/>
          <w:szCs w:val="22"/>
        </w:rPr>
        <w:t>Journal of Statistical Software</w:t>
      </w:r>
      <w:r w:rsidRPr="004D46AC">
        <w:rPr>
          <w:rFonts w:ascii="Arial" w:hAnsi="Arial" w:cs="Arial"/>
          <w:szCs w:val="22"/>
        </w:rPr>
        <w:t>,</w:t>
      </w:r>
      <w:r w:rsidRPr="004D46AC">
        <w:rPr>
          <w:rFonts w:ascii="Arial" w:hAnsi="Arial" w:cs="Arial"/>
          <w:i/>
          <w:szCs w:val="22"/>
        </w:rPr>
        <w:t xml:space="preserve"> 93</w:t>
      </w:r>
      <w:r w:rsidRPr="004D46AC">
        <w:rPr>
          <w:rFonts w:ascii="Arial" w:hAnsi="Arial" w:cs="Arial"/>
          <w:szCs w:val="22"/>
        </w:rPr>
        <w:t xml:space="preserve">(8), 1 – 46. https://doi.org/10.18637/jss.v093.i08 </w:t>
      </w:r>
    </w:p>
    <w:p w14:paraId="34CDD16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Heerlein, A., Santander, J., &amp; Richter, P. (1996). Premorbid personality aspects in mood and schizophrenic disorders. </w:t>
      </w:r>
      <w:proofErr w:type="spellStart"/>
      <w:r w:rsidRPr="004D46AC">
        <w:rPr>
          <w:rFonts w:ascii="Arial" w:hAnsi="Arial" w:cs="Arial"/>
          <w:i/>
          <w:szCs w:val="22"/>
        </w:rPr>
        <w:t>Compr</w:t>
      </w:r>
      <w:proofErr w:type="spellEnd"/>
      <w:r w:rsidRPr="004D46AC">
        <w:rPr>
          <w:rFonts w:ascii="Arial" w:hAnsi="Arial" w:cs="Arial"/>
          <w:i/>
          <w:szCs w:val="22"/>
        </w:rPr>
        <w:t xml:space="preserve"> Psychiatry</w:t>
      </w:r>
      <w:r w:rsidRPr="004D46AC">
        <w:rPr>
          <w:rFonts w:ascii="Arial" w:hAnsi="Arial" w:cs="Arial"/>
          <w:szCs w:val="22"/>
        </w:rPr>
        <w:t>,</w:t>
      </w:r>
      <w:r w:rsidRPr="004D46AC">
        <w:rPr>
          <w:rFonts w:ascii="Arial" w:hAnsi="Arial" w:cs="Arial"/>
          <w:i/>
          <w:szCs w:val="22"/>
        </w:rPr>
        <w:t xml:space="preserve"> 37</w:t>
      </w:r>
      <w:r w:rsidRPr="004D46AC">
        <w:rPr>
          <w:rFonts w:ascii="Arial" w:hAnsi="Arial" w:cs="Arial"/>
          <w:szCs w:val="22"/>
        </w:rPr>
        <w:t xml:space="preserve">(6), 430–434. https://doi.org/10.1016/s0010-440x(96)90026-7 </w:t>
      </w:r>
    </w:p>
    <w:p w14:paraId="56E7DEC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Hill, S. K., Harris, M. S. H., Herbener, E. S., Pavuluri, M., &amp; Sweeney, J. A. (2008). Neurocognitive Allied Phenotypes for Schizophrenia and Bipolar Disorder. </w:t>
      </w:r>
      <w:r w:rsidRPr="004D46AC">
        <w:rPr>
          <w:rFonts w:ascii="Arial" w:hAnsi="Arial" w:cs="Arial"/>
          <w:i/>
          <w:szCs w:val="22"/>
        </w:rPr>
        <w:t>Schizophrenia Bulletin</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(4), 743–759. https://doi.org/10.1093/schbul/sbn027 </w:t>
      </w:r>
    </w:p>
    <w:p w14:paraId="185A10C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Hirschfeld, R. M., Holzer, C., Calabrese, J. R., Weissman, M., Reed, M., Davies, M., Frye, M. A., Keck, P., McElroy, S., &amp; Lewis, L. (2003). Validity of the mood disorder questionnaire: a general population study. </w:t>
      </w:r>
      <w:r w:rsidRPr="004D46AC">
        <w:rPr>
          <w:rFonts w:ascii="Arial" w:hAnsi="Arial" w:cs="Arial"/>
          <w:i/>
          <w:szCs w:val="22"/>
        </w:rPr>
        <w:t>American Journal of Psychiatry</w:t>
      </w:r>
      <w:r w:rsidRPr="004D46AC">
        <w:rPr>
          <w:rFonts w:ascii="Arial" w:hAnsi="Arial" w:cs="Arial"/>
          <w:szCs w:val="22"/>
        </w:rPr>
        <w:t>,</w:t>
      </w:r>
      <w:r w:rsidRPr="004D46AC">
        <w:rPr>
          <w:rFonts w:ascii="Arial" w:hAnsi="Arial" w:cs="Arial"/>
          <w:i/>
          <w:szCs w:val="22"/>
        </w:rPr>
        <w:t xml:space="preserve"> 160</w:t>
      </w:r>
      <w:r w:rsidRPr="004D46AC">
        <w:rPr>
          <w:rFonts w:ascii="Arial" w:hAnsi="Arial" w:cs="Arial"/>
          <w:szCs w:val="22"/>
        </w:rPr>
        <w:t xml:space="preserve">(1), 178–180. </w:t>
      </w:r>
    </w:p>
    <w:p w14:paraId="524324C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Hirschfeld, R. M., Williams, J. B., Spitzer, R. L., Calabrese, J. R., Flynn, L., Keck, P. E., Jr., Lewis, L., McElroy, S. L., Post, R. M., Rapport, D. J., Russell, J. M., Sachs, G. S., &amp; </w:t>
      </w:r>
      <w:proofErr w:type="spellStart"/>
      <w:r w:rsidRPr="004D46AC">
        <w:rPr>
          <w:rFonts w:ascii="Arial" w:hAnsi="Arial" w:cs="Arial"/>
          <w:szCs w:val="22"/>
        </w:rPr>
        <w:t>Zajecka</w:t>
      </w:r>
      <w:proofErr w:type="spellEnd"/>
      <w:r w:rsidRPr="004D46AC">
        <w:rPr>
          <w:rFonts w:ascii="Arial" w:hAnsi="Arial" w:cs="Arial"/>
          <w:szCs w:val="22"/>
        </w:rPr>
        <w:t xml:space="preserve">, J. (2000). Development and validation of a screening instrument for bipolar spectrum disorder: the Mood Disorder Questionnaire. </w:t>
      </w:r>
      <w:r w:rsidRPr="004D46AC">
        <w:rPr>
          <w:rFonts w:ascii="Arial" w:hAnsi="Arial" w:cs="Arial"/>
          <w:i/>
          <w:szCs w:val="22"/>
        </w:rPr>
        <w:t>Am J Psychiatry</w:t>
      </w:r>
      <w:r w:rsidRPr="004D46AC">
        <w:rPr>
          <w:rFonts w:ascii="Arial" w:hAnsi="Arial" w:cs="Arial"/>
          <w:szCs w:val="22"/>
        </w:rPr>
        <w:t>,</w:t>
      </w:r>
      <w:r w:rsidRPr="004D46AC">
        <w:rPr>
          <w:rFonts w:ascii="Arial" w:hAnsi="Arial" w:cs="Arial"/>
          <w:i/>
          <w:szCs w:val="22"/>
        </w:rPr>
        <w:t xml:space="preserve"> 157</w:t>
      </w:r>
      <w:r w:rsidRPr="004D46AC">
        <w:rPr>
          <w:rFonts w:ascii="Arial" w:hAnsi="Arial" w:cs="Arial"/>
          <w:szCs w:val="22"/>
        </w:rPr>
        <w:t xml:space="preserve">(11), 1873–1875. https://doi.org/10.1176/appi.ajp.157.11.1873 </w:t>
      </w:r>
    </w:p>
    <w:p w14:paraId="74E772E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Imran, S., MacBeth, A., Quayle, E., &amp; Chan, S. (2020). Psychometric Properties of the Experiences in Close Relationship Scale (Short Form). </w:t>
      </w:r>
      <w:r w:rsidRPr="004D46AC">
        <w:rPr>
          <w:rFonts w:ascii="Arial" w:hAnsi="Arial" w:cs="Arial"/>
          <w:i/>
          <w:szCs w:val="22"/>
        </w:rPr>
        <w:t>Journal of Psychology and Psychotherapy</w:t>
      </w:r>
      <w:r w:rsidRPr="004D46AC">
        <w:rPr>
          <w:rFonts w:ascii="Arial" w:hAnsi="Arial" w:cs="Arial"/>
          <w:szCs w:val="22"/>
        </w:rPr>
        <w:t>,</w:t>
      </w:r>
      <w:r w:rsidRPr="004D46AC">
        <w:rPr>
          <w:rFonts w:ascii="Arial" w:hAnsi="Arial" w:cs="Arial"/>
          <w:i/>
          <w:szCs w:val="22"/>
        </w:rPr>
        <w:t xml:space="preserve"> 10</w:t>
      </w:r>
      <w:r w:rsidRPr="004D46AC">
        <w:rPr>
          <w:rFonts w:ascii="Arial" w:hAnsi="Arial" w:cs="Arial"/>
          <w:szCs w:val="22"/>
        </w:rPr>
        <w:t xml:space="preserve">(5). </w:t>
      </w:r>
    </w:p>
    <w:p w14:paraId="6E30357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Jang, Y. J., Yassin, W., </w:t>
      </w:r>
      <w:proofErr w:type="spellStart"/>
      <w:r w:rsidRPr="004D46AC">
        <w:rPr>
          <w:rFonts w:ascii="Arial" w:hAnsi="Arial" w:cs="Arial"/>
          <w:szCs w:val="22"/>
        </w:rPr>
        <w:t>Mesholam</w:t>
      </w:r>
      <w:proofErr w:type="spellEnd"/>
      <w:r w:rsidRPr="004D46AC">
        <w:rPr>
          <w:rFonts w:ascii="Arial" w:hAnsi="Arial" w:cs="Arial"/>
          <w:szCs w:val="22"/>
        </w:rPr>
        <w:t xml:space="preserve">-Gately, R., Gershon, E. S., Keedy, S., Pearlson, G. G., Tamminga, C. A., McDowell, J., Parker, D. A., &amp; Sauer, K. (2025). Characterizing the relationship between personality dimensions and psychosis-specific clinical characteristics. </w:t>
      </w:r>
      <w:r w:rsidRPr="004D46AC">
        <w:rPr>
          <w:rFonts w:ascii="Arial" w:hAnsi="Arial" w:cs="Arial"/>
          <w:i/>
          <w:szCs w:val="22"/>
        </w:rPr>
        <w:t>Schizophrenia Research</w:t>
      </w:r>
      <w:r w:rsidRPr="004D46AC">
        <w:rPr>
          <w:rFonts w:ascii="Arial" w:hAnsi="Arial" w:cs="Arial"/>
          <w:szCs w:val="22"/>
        </w:rPr>
        <w:t>,</w:t>
      </w:r>
      <w:r w:rsidRPr="004D46AC">
        <w:rPr>
          <w:rFonts w:ascii="Arial" w:hAnsi="Arial" w:cs="Arial"/>
          <w:i/>
          <w:szCs w:val="22"/>
        </w:rPr>
        <w:t xml:space="preserve"> 276</w:t>
      </w:r>
      <w:r w:rsidRPr="004D46AC">
        <w:rPr>
          <w:rFonts w:ascii="Arial" w:hAnsi="Arial" w:cs="Arial"/>
          <w:szCs w:val="22"/>
        </w:rPr>
        <w:t xml:space="preserve">, 88–96. </w:t>
      </w:r>
    </w:p>
    <w:p w14:paraId="4A7F70B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Jauhar, S., Nour, M. M., Veronese, M., Rogdaki, M., Bonoldi, I., Azis, M., </w:t>
      </w:r>
      <w:proofErr w:type="spellStart"/>
      <w:r w:rsidRPr="004D46AC">
        <w:rPr>
          <w:rFonts w:ascii="Arial" w:hAnsi="Arial" w:cs="Arial"/>
          <w:szCs w:val="22"/>
        </w:rPr>
        <w:t>Turkheimer</w:t>
      </w:r>
      <w:proofErr w:type="spellEnd"/>
      <w:r w:rsidRPr="004D46AC">
        <w:rPr>
          <w:rFonts w:ascii="Arial" w:hAnsi="Arial" w:cs="Arial"/>
          <w:szCs w:val="22"/>
        </w:rPr>
        <w:t xml:space="preserve">, F., McGuire, P., Young, A. H., &amp; Howes, O. D. (2017). A Test of the Transdiagnostic Dopamine Hypothesis of Psychosis Using Positron Emission Tomographic Imaging in Bipolar Affective Disorder and Schizophrenia. </w:t>
      </w:r>
      <w:r w:rsidRPr="004D46AC">
        <w:rPr>
          <w:rFonts w:ascii="Arial" w:hAnsi="Arial" w:cs="Arial"/>
          <w:i/>
          <w:szCs w:val="22"/>
        </w:rPr>
        <w:t>JAMA Psychiatry</w:t>
      </w:r>
      <w:r w:rsidRPr="004D46AC">
        <w:rPr>
          <w:rFonts w:ascii="Arial" w:hAnsi="Arial" w:cs="Arial"/>
          <w:szCs w:val="22"/>
        </w:rPr>
        <w:t>,</w:t>
      </w:r>
      <w:r w:rsidRPr="004D46AC">
        <w:rPr>
          <w:rFonts w:ascii="Arial" w:hAnsi="Arial" w:cs="Arial"/>
          <w:i/>
          <w:szCs w:val="22"/>
        </w:rPr>
        <w:t xml:space="preserve"> 74</w:t>
      </w:r>
      <w:r w:rsidRPr="004D46AC">
        <w:rPr>
          <w:rFonts w:ascii="Arial" w:hAnsi="Arial" w:cs="Arial"/>
          <w:szCs w:val="22"/>
        </w:rPr>
        <w:t xml:space="preserve">(12), 1206–1213. https://doi.org/10.1001/jamapsychiatry.2017.2943 </w:t>
      </w:r>
    </w:p>
    <w:p w14:paraId="1613102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Johns, L. C., &amp; van </w:t>
      </w:r>
      <w:proofErr w:type="spellStart"/>
      <w:r w:rsidRPr="004D46AC">
        <w:rPr>
          <w:rFonts w:ascii="Arial" w:hAnsi="Arial" w:cs="Arial"/>
          <w:szCs w:val="22"/>
        </w:rPr>
        <w:t>Os</w:t>
      </w:r>
      <w:proofErr w:type="spellEnd"/>
      <w:r w:rsidRPr="004D46AC">
        <w:rPr>
          <w:rFonts w:ascii="Arial" w:hAnsi="Arial" w:cs="Arial"/>
          <w:szCs w:val="22"/>
        </w:rPr>
        <w:t xml:space="preserve">, J. (2001). The continuity of psychotic experiences in the general population. </w:t>
      </w:r>
      <w:r w:rsidRPr="004D46AC">
        <w:rPr>
          <w:rFonts w:ascii="Arial" w:hAnsi="Arial" w:cs="Arial"/>
          <w:i/>
          <w:szCs w:val="22"/>
        </w:rPr>
        <w:t xml:space="preserve">Clin </w:t>
      </w:r>
      <w:proofErr w:type="spellStart"/>
      <w:r w:rsidRPr="004D46AC">
        <w:rPr>
          <w:rFonts w:ascii="Arial" w:hAnsi="Arial" w:cs="Arial"/>
          <w:i/>
          <w:szCs w:val="22"/>
        </w:rPr>
        <w:t>Psychol</w:t>
      </w:r>
      <w:proofErr w:type="spellEnd"/>
      <w:r w:rsidRPr="004D46AC">
        <w:rPr>
          <w:rFonts w:ascii="Arial" w:hAnsi="Arial" w:cs="Arial"/>
          <w:i/>
          <w:szCs w:val="22"/>
        </w:rPr>
        <w:t xml:space="preserve"> Rev</w:t>
      </w:r>
      <w:r w:rsidRPr="004D46AC">
        <w:rPr>
          <w:rFonts w:ascii="Arial" w:hAnsi="Arial" w:cs="Arial"/>
          <w:szCs w:val="22"/>
        </w:rPr>
        <w:t>,</w:t>
      </w:r>
      <w:r w:rsidRPr="004D46AC">
        <w:rPr>
          <w:rFonts w:ascii="Arial" w:hAnsi="Arial" w:cs="Arial"/>
          <w:i/>
          <w:szCs w:val="22"/>
        </w:rPr>
        <w:t xml:space="preserve"> 21</w:t>
      </w:r>
      <w:r w:rsidRPr="004D46AC">
        <w:rPr>
          <w:rFonts w:ascii="Arial" w:hAnsi="Arial" w:cs="Arial"/>
          <w:szCs w:val="22"/>
        </w:rPr>
        <w:t xml:space="preserve">(8), 1125–1141. https://doi.org/10.1016/s0272-7358(01)00103-9 </w:t>
      </w:r>
    </w:p>
    <w:p w14:paraId="745F06B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Johnson, S. L., Morriss, R., Scott, J., Paykel, E., Kinderman, P., </w:t>
      </w:r>
      <w:proofErr w:type="spellStart"/>
      <w:r w:rsidRPr="004D46AC">
        <w:rPr>
          <w:rFonts w:ascii="Arial" w:hAnsi="Arial" w:cs="Arial"/>
          <w:szCs w:val="22"/>
        </w:rPr>
        <w:t>Kolamunnage</w:t>
      </w:r>
      <w:proofErr w:type="spellEnd"/>
      <w:r w:rsidRPr="004D46AC">
        <w:rPr>
          <w:rFonts w:ascii="Arial" w:hAnsi="Arial" w:cs="Arial"/>
          <w:szCs w:val="22"/>
        </w:rPr>
        <w:t xml:space="preserve">-Dona, R., &amp; Bentall, R. P. (2011). Depressive and manic symptoms are not opposite poles in bipolar disorder. </w:t>
      </w:r>
      <w:r w:rsidRPr="004D46AC">
        <w:rPr>
          <w:rFonts w:ascii="Arial" w:hAnsi="Arial" w:cs="Arial"/>
          <w:i/>
          <w:szCs w:val="22"/>
        </w:rPr>
        <w:t xml:space="preserve">Acta </w:t>
      </w:r>
      <w:proofErr w:type="spellStart"/>
      <w:r w:rsidRPr="004D46AC">
        <w:rPr>
          <w:rFonts w:ascii="Arial" w:hAnsi="Arial" w:cs="Arial"/>
          <w:i/>
          <w:szCs w:val="22"/>
        </w:rPr>
        <w:t>Psychiatr</w:t>
      </w:r>
      <w:proofErr w:type="spellEnd"/>
      <w:r w:rsidRPr="004D46AC">
        <w:rPr>
          <w:rFonts w:ascii="Arial" w:hAnsi="Arial" w:cs="Arial"/>
          <w:i/>
          <w:szCs w:val="22"/>
        </w:rPr>
        <w:t xml:space="preserve"> Scand</w:t>
      </w:r>
      <w:r w:rsidRPr="004D46AC">
        <w:rPr>
          <w:rFonts w:ascii="Arial" w:hAnsi="Arial" w:cs="Arial"/>
          <w:szCs w:val="22"/>
        </w:rPr>
        <w:t>,</w:t>
      </w:r>
      <w:r w:rsidRPr="004D46AC">
        <w:rPr>
          <w:rFonts w:ascii="Arial" w:hAnsi="Arial" w:cs="Arial"/>
          <w:i/>
          <w:szCs w:val="22"/>
        </w:rPr>
        <w:t xml:space="preserve"> 123</w:t>
      </w:r>
      <w:r w:rsidRPr="004D46AC">
        <w:rPr>
          <w:rFonts w:ascii="Arial" w:hAnsi="Arial" w:cs="Arial"/>
          <w:szCs w:val="22"/>
        </w:rPr>
        <w:t xml:space="preserve">(3), 206–210. https://doi.org/10.1111/j.1600-0447.2010.01602.x </w:t>
      </w:r>
    </w:p>
    <w:p w14:paraId="7C92CD2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Jorgensen, K. B., Nordentoft, M., &amp; </w:t>
      </w:r>
      <w:proofErr w:type="spellStart"/>
      <w:r w:rsidRPr="004D46AC">
        <w:rPr>
          <w:rFonts w:ascii="Arial" w:hAnsi="Arial" w:cs="Arial"/>
          <w:szCs w:val="22"/>
        </w:rPr>
        <w:t>Hjorthoj</w:t>
      </w:r>
      <w:proofErr w:type="spellEnd"/>
      <w:r w:rsidRPr="004D46AC">
        <w:rPr>
          <w:rFonts w:ascii="Arial" w:hAnsi="Arial" w:cs="Arial"/>
          <w:szCs w:val="22"/>
        </w:rPr>
        <w:t xml:space="preserve">, C. (2018). Association between alcohol and substance use disorders and psychiatric service use in patients with severe mental illness: a nationwide Danish register-based cohort study. </w:t>
      </w:r>
      <w:proofErr w:type="spellStart"/>
      <w:r w:rsidRPr="004D46AC">
        <w:rPr>
          <w:rFonts w:ascii="Arial" w:hAnsi="Arial" w:cs="Arial"/>
          <w:i/>
          <w:szCs w:val="22"/>
        </w:rPr>
        <w:t>Psychol</w:t>
      </w:r>
      <w:proofErr w:type="spellEnd"/>
      <w:r w:rsidRPr="004D46AC">
        <w:rPr>
          <w:rFonts w:ascii="Arial" w:hAnsi="Arial" w:cs="Arial"/>
          <w:i/>
          <w:szCs w:val="22"/>
        </w:rPr>
        <w:t xml:space="preserve"> Med</w:t>
      </w:r>
      <w:r w:rsidRPr="004D46AC">
        <w:rPr>
          <w:rFonts w:ascii="Arial" w:hAnsi="Arial" w:cs="Arial"/>
          <w:szCs w:val="22"/>
        </w:rPr>
        <w:t>,</w:t>
      </w:r>
      <w:r w:rsidRPr="004D46AC">
        <w:rPr>
          <w:rFonts w:ascii="Arial" w:hAnsi="Arial" w:cs="Arial"/>
          <w:i/>
          <w:szCs w:val="22"/>
        </w:rPr>
        <w:t xml:space="preserve"> 48</w:t>
      </w:r>
      <w:r w:rsidRPr="004D46AC">
        <w:rPr>
          <w:rFonts w:ascii="Arial" w:hAnsi="Arial" w:cs="Arial"/>
          <w:szCs w:val="22"/>
        </w:rPr>
        <w:t xml:space="preserve">(15), 2592–2600. https://doi.org/10.1017/S0033291718000223 </w:t>
      </w:r>
    </w:p>
    <w:p w14:paraId="26D4AC6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Kaymaz, N., &amp; van </w:t>
      </w:r>
      <w:proofErr w:type="spellStart"/>
      <w:r w:rsidRPr="004D46AC">
        <w:rPr>
          <w:rFonts w:ascii="Arial" w:hAnsi="Arial" w:cs="Arial"/>
          <w:szCs w:val="22"/>
        </w:rPr>
        <w:t>Os</w:t>
      </w:r>
      <w:proofErr w:type="spellEnd"/>
      <w:r w:rsidRPr="004D46AC">
        <w:rPr>
          <w:rFonts w:ascii="Arial" w:hAnsi="Arial" w:cs="Arial"/>
          <w:szCs w:val="22"/>
        </w:rPr>
        <w:t xml:space="preserve">, J. (2010). Extended psychosis phenotype – yes: single continuum – unlikely: A commentary on ‘Why we need more debate on whether psychotic symptoms lie on a continuum with normality’ by David (2010).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40</w:t>
      </w:r>
      <w:r w:rsidRPr="004D46AC">
        <w:rPr>
          <w:rFonts w:ascii="Arial" w:hAnsi="Arial" w:cs="Arial"/>
          <w:szCs w:val="22"/>
        </w:rPr>
        <w:t xml:space="preserve">(12), 1963–1966. https://doi.org/10.1017/S0033291710000358 </w:t>
      </w:r>
    </w:p>
    <w:p w14:paraId="47E5D80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Keshavan, M. S., Morris, D. W., Sweeney, J. A., Pearlson, G., Thaker, G., Seidman, L. J., </w:t>
      </w:r>
      <w:proofErr w:type="spellStart"/>
      <w:r w:rsidRPr="004D46AC">
        <w:rPr>
          <w:rFonts w:ascii="Arial" w:hAnsi="Arial" w:cs="Arial"/>
          <w:szCs w:val="22"/>
        </w:rPr>
        <w:t>Eack</w:t>
      </w:r>
      <w:proofErr w:type="spellEnd"/>
      <w:r w:rsidRPr="004D46AC">
        <w:rPr>
          <w:rFonts w:ascii="Arial" w:hAnsi="Arial" w:cs="Arial"/>
          <w:szCs w:val="22"/>
        </w:rPr>
        <w:t xml:space="preserve">, S. M., &amp; Tamminga, C. (2011). A dimensional approach to the psychosis spectrum between bipolar disorder and schizophrenia: the </w:t>
      </w:r>
      <w:proofErr w:type="spellStart"/>
      <w:r w:rsidRPr="004D46AC">
        <w:rPr>
          <w:rFonts w:ascii="Arial" w:hAnsi="Arial" w:cs="Arial"/>
          <w:szCs w:val="22"/>
        </w:rPr>
        <w:t>Schizo</w:t>
      </w:r>
      <w:proofErr w:type="spellEnd"/>
      <w:r w:rsidRPr="004D46AC">
        <w:rPr>
          <w:rFonts w:ascii="Arial" w:hAnsi="Arial" w:cs="Arial"/>
          <w:szCs w:val="22"/>
        </w:rPr>
        <w:t xml:space="preserve">-Bipolar Scale. </w:t>
      </w:r>
      <w:proofErr w:type="spellStart"/>
      <w:r w:rsidRPr="004D46AC">
        <w:rPr>
          <w:rFonts w:ascii="Arial" w:hAnsi="Arial" w:cs="Arial"/>
          <w:i/>
          <w:szCs w:val="22"/>
        </w:rPr>
        <w:t>Schizophr</w:t>
      </w:r>
      <w:proofErr w:type="spellEnd"/>
      <w:r w:rsidRPr="004D46AC">
        <w:rPr>
          <w:rFonts w:ascii="Arial" w:hAnsi="Arial" w:cs="Arial"/>
          <w:i/>
          <w:szCs w:val="22"/>
        </w:rPr>
        <w:t xml:space="preserve"> Res</w:t>
      </w:r>
      <w:r w:rsidRPr="004D46AC">
        <w:rPr>
          <w:rFonts w:ascii="Arial" w:hAnsi="Arial" w:cs="Arial"/>
          <w:szCs w:val="22"/>
        </w:rPr>
        <w:t>,</w:t>
      </w:r>
      <w:r w:rsidRPr="004D46AC">
        <w:rPr>
          <w:rFonts w:ascii="Arial" w:hAnsi="Arial" w:cs="Arial"/>
          <w:i/>
          <w:szCs w:val="22"/>
        </w:rPr>
        <w:t xml:space="preserve"> 133</w:t>
      </w:r>
      <w:r w:rsidRPr="004D46AC">
        <w:rPr>
          <w:rFonts w:ascii="Arial" w:hAnsi="Arial" w:cs="Arial"/>
          <w:szCs w:val="22"/>
        </w:rPr>
        <w:t xml:space="preserve">(1-3), 250–254. https://doi.org/10.1016/j.schres.2011.09.005 </w:t>
      </w:r>
    </w:p>
    <w:p w14:paraId="579DA018"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Koorevaar</w:t>
      </w:r>
      <w:proofErr w:type="spellEnd"/>
      <w:r w:rsidRPr="004D46AC">
        <w:rPr>
          <w:rFonts w:ascii="Arial" w:hAnsi="Arial" w:cs="Arial"/>
          <w:szCs w:val="22"/>
        </w:rPr>
        <w:t xml:space="preserve">, A. M. L., </w:t>
      </w:r>
      <w:proofErr w:type="spellStart"/>
      <w:r w:rsidRPr="004D46AC">
        <w:rPr>
          <w:rFonts w:ascii="Arial" w:hAnsi="Arial" w:cs="Arial"/>
          <w:szCs w:val="22"/>
        </w:rPr>
        <w:t>Comijs</w:t>
      </w:r>
      <w:proofErr w:type="spellEnd"/>
      <w:r w:rsidRPr="004D46AC">
        <w:rPr>
          <w:rFonts w:ascii="Arial" w:hAnsi="Arial" w:cs="Arial"/>
          <w:szCs w:val="22"/>
        </w:rPr>
        <w:t xml:space="preserve">, H. C., Dhondt, A. D. F., van </w:t>
      </w:r>
      <w:proofErr w:type="spellStart"/>
      <w:r w:rsidRPr="004D46AC">
        <w:rPr>
          <w:rFonts w:ascii="Arial" w:hAnsi="Arial" w:cs="Arial"/>
          <w:szCs w:val="22"/>
        </w:rPr>
        <w:t>Marwijk</w:t>
      </w:r>
      <w:proofErr w:type="spellEnd"/>
      <w:r w:rsidRPr="004D46AC">
        <w:rPr>
          <w:rFonts w:ascii="Arial" w:hAnsi="Arial" w:cs="Arial"/>
          <w:szCs w:val="22"/>
        </w:rPr>
        <w:t xml:space="preserve">, H. W. J., van der Mast, R. C., </w:t>
      </w:r>
      <w:proofErr w:type="spellStart"/>
      <w:r w:rsidRPr="004D46AC">
        <w:rPr>
          <w:rFonts w:ascii="Arial" w:hAnsi="Arial" w:cs="Arial"/>
          <w:szCs w:val="22"/>
        </w:rPr>
        <w:t>Naarding</w:t>
      </w:r>
      <w:proofErr w:type="spellEnd"/>
      <w:r w:rsidRPr="004D46AC">
        <w:rPr>
          <w:rFonts w:ascii="Arial" w:hAnsi="Arial" w:cs="Arial"/>
          <w:szCs w:val="22"/>
        </w:rPr>
        <w:t xml:space="preserve">, P., Oude </w:t>
      </w:r>
      <w:proofErr w:type="spellStart"/>
      <w:r w:rsidRPr="004D46AC">
        <w:rPr>
          <w:rFonts w:ascii="Arial" w:hAnsi="Arial" w:cs="Arial"/>
          <w:szCs w:val="22"/>
        </w:rPr>
        <w:t>Voshaar</w:t>
      </w:r>
      <w:proofErr w:type="spellEnd"/>
      <w:r w:rsidRPr="004D46AC">
        <w:rPr>
          <w:rFonts w:ascii="Arial" w:hAnsi="Arial" w:cs="Arial"/>
          <w:szCs w:val="22"/>
        </w:rPr>
        <w:t xml:space="preserve">, R. C., &amp; Stek, M. L. (2013). Big Five personality and depression diagnosis, severity and age of onset in older adults.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151</w:t>
      </w:r>
      <w:r w:rsidRPr="004D46AC">
        <w:rPr>
          <w:rFonts w:ascii="Arial" w:hAnsi="Arial" w:cs="Arial"/>
          <w:szCs w:val="22"/>
        </w:rPr>
        <w:t xml:space="preserve">(1), 178–185. https://doi.org/https://doi.org/10.1016/j.jad.2013.05.075 </w:t>
      </w:r>
    </w:p>
    <w:p w14:paraId="551395D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Korver-</w:t>
      </w:r>
      <w:proofErr w:type="spellStart"/>
      <w:r w:rsidRPr="004D46AC">
        <w:rPr>
          <w:rFonts w:ascii="Arial" w:hAnsi="Arial" w:cs="Arial"/>
          <w:szCs w:val="22"/>
        </w:rPr>
        <w:t>Nieberg</w:t>
      </w:r>
      <w:proofErr w:type="spellEnd"/>
      <w:r w:rsidRPr="004D46AC">
        <w:rPr>
          <w:rFonts w:ascii="Arial" w:hAnsi="Arial" w:cs="Arial"/>
          <w:szCs w:val="22"/>
        </w:rPr>
        <w:t xml:space="preserve">, N., Berry, K., Meijer, C. J., &amp; de Haan, L. (2014). Adult attachment and psychotic phenomenology in clinical and non-clinical samples: A systematic review. </w:t>
      </w:r>
      <w:r w:rsidRPr="004D46AC">
        <w:rPr>
          <w:rFonts w:ascii="Arial" w:hAnsi="Arial" w:cs="Arial"/>
          <w:i/>
          <w:szCs w:val="22"/>
        </w:rPr>
        <w:t>Psychology and Psychotherapy: Theory, Research and Practice</w:t>
      </w:r>
      <w:r w:rsidRPr="004D46AC">
        <w:rPr>
          <w:rFonts w:ascii="Arial" w:hAnsi="Arial" w:cs="Arial"/>
          <w:szCs w:val="22"/>
        </w:rPr>
        <w:t>,</w:t>
      </w:r>
      <w:r w:rsidRPr="004D46AC">
        <w:rPr>
          <w:rFonts w:ascii="Arial" w:hAnsi="Arial" w:cs="Arial"/>
          <w:i/>
          <w:szCs w:val="22"/>
        </w:rPr>
        <w:t xml:space="preserve"> 87</w:t>
      </w:r>
      <w:r w:rsidRPr="004D46AC">
        <w:rPr>
          <w:rFonts w:ascii="Arial" w:hAnsi="Arial" w:cs="Arial"/>
          <w:szCs w:val="22"/>
        </w:rPr>
        <w:t xml:space="preserve">(2), 127–154. https://doi.org/https://doi.org/10.1111/papt.12010 </w:t>
      </w:r>
    </w:p>
    <w:p w14:paraId="6B68C3E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Kraepelin, E. (1899). </w:t>
      </w:r>
      <w:r w:rsidRPr="004D46AC">
        <w:rPr>
          <w:rFonts w:ascii="Arial" w:hAnsi="Arial" w:cs="Arial"/>
          <w:i/>
          <w:szCs w:val="22"/>
        </w:rPr>
        <w:t>Psychiatry: A textbook for students and physicians.</w:t>
      </w:r>
      <w:r w:rsidRPr="004D46AC">
        <w:rPr>
          <w:rFonts w:ascii="Arial" w:hAnsi="Arial" w:cs="Arial"/>
          <w:szCs w:val="22"/>
        </w:rPr>
        <w:t xml:space="preserve"> (Vol. Volume </w:t>
      </w:r>
      <w:proofErr w:type="gramStart"/>
      <w:r w:rsidRPr="004D46AC">
        <w:rPr>
          <w:rFonts w:ascii="Arial" w:hAnsi="Arial" w:cs="Arial"/>
          <w:szCs w:val="22"/>
        </w:rPr>
        <w:t>1 )</w:t>
      </w:r>
      <w:proofErr w:type="gramEnd"/>
      <w:r w:rsidRPr="004D46AC">
        <w:rPr>
          <w:rFonts w:ascii="Arial" w:hAnsi="Arial" w:cs="Arial"/>
          <w:szCs w:val="22"/>
        </w:rPr>
        <w:t xml:space="preserve">. Watson Publishing International. </w:t>
      </w:r>
    </w:p>
    <w:p w14:paraId="2D31655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Kroenke, K., Spitzer, R. L., &amp; Williams, J. B. (2001). The PHQ-9: validity of a brief depression severity measure. </w:t>
      </w:r>
      <w:r w:rsidRPr="004D46AC">
        <w:rPr>
          <w:rFonts w:ascii="Arial" w:hAnsi="Arial" w:cs="Arial"/>
          <w:i/>
          <w:szCs w:val="22"/>
        </w:rPr>
        <w:t>J Gen Intern Med</w:t>
      </w:r>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(9), 606–613. https://doi.org/10.1046/j.1525-1497.2001.016009606.x </w:t>
      </w:r>
    </w:p>
    <w:p w14:paraId="5B09996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Lafontaine, M.-F., Brassard, A., Lussier, Y., Valois, P., Shaver, P. R., &amp; Johnson, S. M. (2016). Selecting the Best Items for a Short-Form of the Experiences in Close Relationships Questionnaire. </w:t>
      </w:r>
      <w:r w:rsidRPr="004D46AC">
        <w:rPr>
          <w:rFonts w:ascii="Arial" w:hAnsi="Arial" w:cs="Arial"/>
          <w:i/>
          <w:szCs w:val="22"/>
        </w:rPr>
        <w:t>European Journal of Psychological Assessment</w:t>
      </w:r>
      <w:r w:rsidRPr="004D46AC">
        <w:rPr>
          <w:rFonts w:ascii="Arial" w:hAnsi="Arial" w:cs="Arial"/>
          <w:szCs w:val="22"/>
        </w:rPr>
        <w:t xml:space="preserve">. https://doi.org/10.1037/t51913-000 </w:t>
      </w:r>
    </w:p>
    <w:p w14:paraId="1A4E628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Lei, Y., Martinez, A., Huddy, V., Morriss, J., Ellett, L., &amp; Bentall, R. (2025). Intolerance of uncertainty predicts paranoia over time: Evidence from a UK sample. </w:t>
      </w:r>
      <w:r w:rsidRPr="004D46AC">
        <w:rPr>
          <w:rFonts w:ascii="Arial" w:hAnsi="Arial" w:cs="Arial"/>
          <w:i/>
          <w:szCs w:val="22"/>
        </w:rPr>
        <w:t xml:space="preserve">Journal of </w:t>
      </w:r>
      <w:proofErr w:type="spellStart"/>
      <w:r w:rsidRPr="004D46AC">
        <w:rPr>
          <w:rFonts w:ascii="Arial" w:hAnsi="Arial" w:cs="Arial"/>
          <w:i/>
          <w:szCs w:val="22"/>
        </w:rPr>
        <w:t>Behavior</w:t>
      </w:r>
      <w:proofErr w:type="spellEnd"/>
      <w:r w:rsidRPr="004D46AC">
        <w:rPr>
          <w:rFonts w:ascii="Arial" w:hAnsi="Arial" w:cs="Arial"/>
          <w:i/>
          <w:szCs w:val="22"/>
        </w:rPr>
        <w:t xml:space="preserve"> Therapy and Experimental Psychiatry</w:t>
      </w:r>
      <w:r w:rsidRPr="004D46AC">
        <w:rPr>
          <w:rFonts w:ascii="Arial" w:hAnsi="Arial" w:cs="Arial"/>
          <w:szCs w:val="22"/>
        </w:rPr>
        <w:t>,</w:t>
      </w:r>
      <w:r w:rsidRPr="004D46AC">
        <w:rPr>
          <w:rFonts w:ascii="Arial" w:hAnsi="Arial" w:cs="Arial"/>
          <w:i/>
          <w:szCs w:val="22"/>
        </w:rPr>
        <w:t xml:space="preserve"> 89</w:t>
      </w:r>
      <w:r w:rsidRPr="004D46AC">
        <w:rPr>
          <w:rFonts w:ascii="Arial" w:hAnsi="Arial" w:cs="Arial"/>
          <w:szCs w:val="22"/>
        </w:rPr>
        <w:t xml:space="preserve">, 102050. https://doi.org/https://doi.org/10.1016/j.jbtep.2025.102050 </w:t>
      </w:r>
    </w:p>
    <w:p w14:paraId="4C27912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Lichtenstein, P., Yip, B. H., Bjork, C., </w:t>
      </w:r>
      <w:proofErr w:type="spellStart"/>
      <w:r w:rsidRPr="004D46AC">
        <w:rPr>
          <w:rFonts w:ascii="Arial" w:hAnsi="Arial" w:cs="Arial"/>
          <w:szCs w:val="22"/>
        </w:rPr>
        <w:t>Pawitan</w:t>
      </w:r>
      <w:proofErr w:type="spellEnd"/>
      <w:r w:rsidRPr="004D46AC">
        <w:rPr>
          <w:rFonts w:ascii="Arial" w:hAnsi="Arial" w:cs="Arial"/>
          <w:szCs w:val="22"/>
        </w:rPr>
        <w:t xml:space="preserve">, Y., Cannon, T. D., Sullivan, P. F., &amp; Hultman, C. M. (2009). Common genetic determinants of schizophrenia and bipolar disorder in Swedish families: a population-based study. </w:t>
      </w:r>
      <w:r w:rsidRPr="004D46AC">
        <w:rPr>
          <w:rFonts w:ascii="Arial" w:hAnsi="Arial" w:cs="Arial"/>
          <w:i/>
          <w:szCs w:val="22"/>
        </w:rPr>
        <w:t>Lancet</w:t>
      </w:r>
      <w:r w:rsidRPr="004D46AC">
        <w:rPr>
          <w:rFonts w:ascii="Arial" w:hAnsi="Arial" w:cs="Arial"/>
          <w:szCs w:val="22"/>
        </w:rPr>
        <w:t>,</w:t>
      </w:r>
      <w:r w:rsidRPr="004D46AC">
        <w:rPr>
          <w:rFonts w:ascii="Arial" w:hAnsi="Arial" w:cs="Arial"/>
          <w:i/>
          <w:szCs w:val="22"/>
        </w:rPr>
        <w:t xml:space="preserve"> 373</w:t>
      </w:r>
      <w:r w:rsidRPr="004D46AC">
        <w:rPr>
          <w:rFonts w:ascii="Arial" w:hAnsi="Arial" w:cs="Arial"/>
          <w:szCs w:val="22"/>
        </w:rPr>
        <w:t xml:space="preserve">(9659), 234–239. https://doi.org/10.1016/S0140-6736(09)60072-6 </w:t>
      </w:r>
    </w:p>
    <w:p w14:paraId="24F8DF3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Lindgren, M., Numminen, L., Holm, M., Therman, S., &amp; </w:t>
      </w:r>
      <w:proofErr w:type="spellStart"/>
      <w:r w:rsidRPr="004D46AC">
        <w:rPr>
          <w:rFonts w:ascii="Arial" w:hAnsi="Arial" w:cs="Arial"/>
          <w:szCs w:val="22"/>
        </w:rPr>
        <w:t>Tuulio</w:t>
      </w:r>
      <w:proofErr w:type="spellEnd"/>
      <w:r w:rsidRPr="004D46AC">
        <w:rPr>
          <w:rFonts w:ascii="Arial" w:hAnsi="Arial" w:cs="Arial"/>
          <w:szCs w:val="22"/>
        </w:rPr>
        <w:t xml:space="preserve">-Henriksson, A. (2022). Psychotic-like experiences of young adults in the general population predict mental disorders. </w:t>
      </w:r>
      <w:r w:rsidRPr="004D46AC">
        <w:rPr>
          <w:rFonts w:ascii="Arial" w:hAnsi="Arial" w:cs="Arial"/>
          <w:i/>
          <w:szCs w:val="22"/>
        </w:rPr>
        <w:t>Psychiatry Res</w:t>
      </w:r>
      <w:r w:rsidRPr="004D46AC">
        <w:rPr>
          <w:rFonts w:ascii="Arial" w:hAnsi="Arial" w:cs="Arial"/>
          <w:szCs w:val="22"/>
        </w:rPr>
        <w:t>,</w:t>
      </w:r>
      <w:r w:rsidRPr="004D46AC">
        <w:rPr>
          <w:rFonts w:ascii="Arial" w:hAnsi="Arial" w:cs="Arial"/>
          <w:i/>
          <w:szCs w:val="22"/>
        </w:rPr>
        <w:t xml:space="preserve"> 312</w:t>
      </w:r>
      <w:r w:rsidRPr="004D46AC">
        <w:rPr>
          <w:rFonts w:ascii="Arial" w:hAnsi="Arial" w:cs="Arial"/>
          <w:szCs w:val="22"/>
        </w:rPr>
        <w:t xml:space="preserve">, 114543. https://doi.org/10.1016/j.psychres.2022.114543 </w:t>
      </w:r>
    </w:p>
    <w:p w14:paraId="7A97E41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Mandelli, L., Petrelli, C., &amp; </w:t>
      </w:r>
      <w:proofErr w:type="spellStart"/>
      <w:r w:rsidRPr="004D46AC">
        <w:rPr>
          <w:rFonts w:ascii="Arial" w:hAnsi="Arial" w:cs="Arial"/>
          <w:szCs w:val="22"/>
        </w:rPr>
        <w:t>Serretti</w:t>
      </w:r>
      <w:proofErr w:type="spellEnd"/>
      <w:r w:rsidRPr="004D46AC">
        <w:rPr>
          <w:rFonts w:ascii="Arial" w:hAnsi="Arial" w:cs="Arial"/>
          <w:szCs w:val="22"/>
        </w:rPr>
        <w:t xml:space="preserve">, A. (2015). The role of specific early trauma in adult depression: A meta-analysis of published literature. Childhood trauma and adult depression. </w:t>
      </w:r>
      <w:r w:rsidRPr="004D46AC">
        <w:rPr>
          <w:rFonts w:ascii="Arial" w:hAnsi="Arial" w:cs="Arial"/>
          <w:i/>
          <w:szCs w:val="22"/>
        </w:rPr>
        <w:t>European Psychiatry</w:t>
      </w:r>
      <w:r w:rsidRPr="004D46AC">
        <w:rPr>
          <w:rFonts w:ascii="Arial" w:hAnsi="Arial" w:cs="Arial"/>
          <w:szCs w:val="22"/>
        </w:rPr>
        <w:t>,</w:t>
      </w:r>
      <w:r w:rsidRPr="004D46AC">
        <w:rPr>
          <w:rFonts w:ascii="Arial" w:hAnsi="Arial" w:cs="Arial"/>
          <w:i/>
          <w:szCs w:val="22"/>
        </w:rPr>
        <w:t xml:space="preserve"> 30</w:t>
      </w:r>
      <w:r w:rsidRPr="004D46AC">
        <w:rPr>
          <w:rFonts w:ascii="Arial" w:hAnsi="Arial" w:cs="Arial"/>
          <w:szCs w:val="22"/>
        </w:rPr>
        <w:t xml:space="preserve">(6), 665–680. https://doi.org/10.1016/j.eurpsy.2015.04.007 </w:t>
      </w:r>
    </w:p>
    <w:p w14:paraId="30175A5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Manea, L., Gilbody, S., &amp; McMillan, D. (2015). A diagnostic meta-analysis of the Patient Health Questionnaire-9 (PHQ-9) algorithm scoring method as a screen for depression. </w:t>
      </w:r>
      <w:r w:rsidRPr="004D46AC">
        <w:rPr>
          <w:rFonts w:ascii="Arial" w:hAnsi="Arial" w:cs="Arial"/>
          <w:i/>
          <w:szCs w:val="22"/>
        </w:rPr>
        <w:t>General hospital psychiatry</w:t>
      </w:r>
      <w:r w:rsidRPr="004D46AC">
        <w:rPr>
          <w:rFonts w:ascii="Arial" w:hAnsi="Arial" w:cs="Arial"/>
          <w:szCs w:val="22"/>
        </w:rPr>
        <w:t>,</w:t>
      </w:r>
      <w:r w:rsidRPr="004D46AC">
        <w:rPr>
          <w:rFonts w:ascii="Arial" w:hAnsi="Arial" w:cs="Arial"/>
          <w:i/>
          <w:szCs w:val="22"/>
        </w:rPr>
        <w:t xml:space="preserve"> 37</w:t>
      </w:r>
      <w:r w:rsidRPr="004D46AC">
        <w:rPr>
          <w:rFonts w:ascii="Arial" w:hAnsi="Arial" w:cs="Arial"/>
          <w:szCs w:val="22"/>
        </w:rPr>
        <w:t xml:space="preserve">(1), 67–75. https://doi.org/10.1016/j.genhosppsych.2014.09.009 </w:t>
      </w:r>
    </w:p>
    <w:p w14:paraId="0AF2B19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McBride, O., Murphy, J., Shevlin, M., Gibson-Miller, J., Hartman, T. K., Hyland, P., Levita, L., Mason, L., Martinez, A. P., McKay, R., Stocks, T. V. A., Bennett, K. M., </w:t>
      </w:r>
      <w:proofErr w:type="spellStart"/>
      <w:r w:rsidRPr="004D46AC">
        <w:rPr>
          <w:rFonts w:ascii="Arial" w:hAnsi="Arial" w:cs="Arial"/>
          <w:szCs w:val="22"/>
        </w:rPr>
        <w:t>Vallières</w:t>
      </w:r>
      <w:proofErr w:type="spellEnd"/>
      <w:r w:rsidRPr="004D46AC">
        <w:rPr>
          <w:rFonts w:ascii="Arial" w:hAnsi="Arial" w:cs="Arial"/>
          <w:szCs w:val="22"/>
        </w:rPr>
        <w:t xml:space="preserve">, F., </w:t>
      </w:r>
      <w:proofErr w:type="spellStart"/>
      <w:r w:rsidRPr="004D46AC">
        <w:rPr>
          <w:rFonts w:ascii="Arial" w:hAnsi="Arial" w:cs="Arial"/>
          <w:szCs w:val="22"/>
        </w:rPr>
        <w:t>Karatzias</w:t>
      </w:r>
      <w:proofErr w:type="spellEnd"/>
      <w:r w:rsidRPr="004D46AC">
        <w:rPr>
          <w:rFonts w:ascii="Arial" w:hAnsi="Arial" w:cs="Arial"/>
          <w:szCs w:val="22"/>
        </w:rPr>
        <w:t xml:space="preserve">, T., Valiente, C., Vazquez, C., &amp; Bentall, R. P. (2021). Monitoring the psychological, social, and economic impact of the COVID-19 pandemic in the population: Context, design and conduct of the longitudinal COVID-19 psychological research consortium (C19PRC) study. </w:t>
      </w:r>
      <w:r w:rsidRPr="004D46AC">
        <w:rPr>
          <w:rFonts w:ascii="Arial" w:hAnsi="Arial" w:cs="Arial"/>
          <w:i/>
          <w:szCs w:val="22"/>
        </w:rPr>
        <w:t>International journal of methods in psychiatric research</w:t>
      </w:r>
      <w:r w:rsidRPr="004D46AC">
        <w:rPr>
          <w:rFonts w:ascii="Arial" w:hAnsi="Arial" w:cs="Arial"/>
          <w:szCs w:val="22"/>
        </w:rPr>
        <w:t>,</w:t>
      </w:r>
      <w:r w:rsidRPr="004D46AC">
        <w:rPr>
          <w:rFonts w:ascii="Arial" w:hAnsi="Arial" w:cs="Arial"/>
          <w:i/>
          <w:szCs w:val="22"/>
        </w:rPr>
        <w:t xml:space="preserve"> 30</w:t>
      </w:r>
      <w:r w:rsidRPr="004D46AC">
        <w:rPr>
          <w:rFonts w:ascii="Arial" w:hAnsi="Arial" w:cs="Arial"/>
          <w:szCs w:val="22"/>
        </w:rPr>
        <w:t xml:space="preserve">(1), e1861. https://doi.org/https://doi.org/10.1002/mpr.1861 </w:t>
      </w:r>
    </w:p>
    <w:p w14:paraId="1B931DA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McGrath, J. J., Saha, S., Al-</w:t>
      </w:r>
      <w:proofErr w:type="spellStart"/>
      <w:r w:rsidRPr="004D46AC">
        <w:rPr>
          <w:rFonts w:ascii="Arial" w:hAnsi="Arial" w:cs="Arial"/>
          <w:szCs w:val="22"/>
        </w:rPr>
        <w:t>Hamzawi</w:t>
      </w:r>
      <w:proofErr w:type="spellEnd"/>
      <w:r w:rsidRPr="004D46AC">
        <w:rPr>
          <w:rFonts w:ascii="Arial" w:hAnsi="Arial" w:cs="Arial"/>
          <w:szCs w:val="22"/>
        </w:rPr>
        <w:t xml:space="preserve">, A., Andrade, L., </w:t>
      </w:r>
      <w:proofErr w:type="spellStart"/>
      <w:r w:rsidRPr="004D46AC">
        <w:rPr>
          <w:rFonts w:ascii="Arial" w:hAnsi="Arial" w:cs="Arial"/>
          <w:szCs w:val="22"/>
        </w:rPr>
        <w:t>Benjet</w:t>
      </w:r>
      <w:proofErr w:type="spellEnd"/>
      <w:r w:rsidRPr="004D46AC">
        <w:rPr>
          <w:rFonts w:ascii="Arial" w:hAnsi="Arial" w:cs="Arial"/>
          <w:szCs w:val="22"/>
        </w:rPr>
        <w:t xml:space="preserve">, C., </w:t>
      </w:r>
      <w:proofErr w:type="spellStart"/>
      <w:r w:rsidRPr="004D46AC">
        <w:rPr>
          <w:rFonts w:ascii="Arial" w:hAnsi="Arial" w:cs="Arial"/>
          <w:szCs w:val="22"/>
        </w:rPr>
        <w:t>Bromet</w:t>
      </w:r>
      <w:proofErr w:type="spellEnd"/>
      <w:r w:rsidRPr="004D46AC">
        <w:rPr>
          <w:rFonts w:ascii="Arial" w:hAnsi="Arial" w:cs="Arial"/>
          <w:szCs w:val="22"/>
        </w:rPr>
        <w:t xml:space="preserve">, E. J., Browne, M. O., Almeida, J. M. C. d., Chiu, W. T., </w:t>
      </w:r>
      <w:proofErr w:type="spellStart"/>
      <w:r w:rsidRPr="004D46AC">
        <w:rPr>
          <w:rFonts w:ascii="Arial" w:hAnsi="Arial" w:cs="Arial"/>
          <w:szCs w:val="22"/>
        </w:rPr>
        <w:t>Demyttenaere</w:t>
      </w:r>
      <w:proofErr w:type="spellEnd"/>
      <w:r w:rsidRPr="004D46AC">
        <w:rPr>
          <w:rFonts w:ascii="Arial" w:hAnsi="Arial" w:cs="Arial"/>
          <w:szCs w:val="22"/>
        </w:rPr>
        <w:t xml:space="preserve">, K., Fayyad, J., Florescu, S., Girolamo, G. d., </w:t>
      </w:r>
      <w:proofErr w:type="spellStart"/>
      <w:r w:rsidRPr="004D46AC">
        <w:rPr>
          <w:rFonts w:ascii="Arial" w:hAnsi="Arial" w:cs="Arial"/>
          <w:szCs w:val="22"/>
        </w:rPr>
        <w:t>Gureje</w:t>
      </w:r>
      <w:proofErr w:type="spellEnd"/>
      <w:r w:rsidRPr="004D46AC">
        <w:rPr>
          <w:rFonts w:ascii="Arial" w:hAnsi="Arial" w:cs="Arial"/>
          <w:szCs w:val="22"/>
        </w:rPr>
        <w:t xml:space="preserve">, O., Haro, J. M., Have, M. t., Hu, C., </w:t>
      </w:r>
      <w:proofErr w:type="spellStart"/>
      <w:r w:rsidRPr="004D46AC">
        <w:rPr>
          <w:rFonts w:ascii="Arial" w:hAnsi="Arial" w:cs="Arial"/>
          <w:szCs w:val="22"/>
        </w:rPr>
        <w:t>Kovess-Masfety</w:t>
      </w:r>
      <w:proofErr w:type="spellEnd"/>
      <w:r w:rsidRPr="004D46AC">
        <w:rPr>
          <w:rFonts w:ascii="Arial" w:hAnsi="Arial" w:cs="Arial"/>
          <w:szCs w:val="22"/>
        </w:rPr>
        <w:t xml:space="preserve">, V., Lim, C. C. W.,…Kessler, R. C. (2016). The Bidirectional Associations Between Psychotic Experiences and DSM-IV Mental Disorders. </w:t>
      </w:r>
      <w:r w:rsidRPr="004D46AC">
        <w:rPr>
          <w:rFonts w:ascii="Arial" w:hAnsi="Arial" w:cs="Arial"/>
          <w:i/>
          <w:szCs w:val="22"/>
        </w:rPr>
        <w:t>American Journal of Psychiatry</w:t>
      </w:r>
      <w:r w:rsidRPr="004D46AC">
        <w:rPr>
          <w:rFonts w:ascii="Arial" w:hAnsi="Arial" w:cs="Arial"/>
          <w:szCs w:val="22"/>
        </w:rPr>
        <w:t>,</w:t>
      </w:r>
      <w:r w:rsidRPr="004D46AC">
        <w:rPr>
          <w:rFonts w:ascii="Arial" w:hAnsi="Arial" w:cs="Arial"/>
          <w:i/>
          <w:szCs w:val="22"/>
        </w:rPr>
        <w:t xml:space="preserve"> 173</w:t>
      </w:r>
      <w:r w:rsidRPr="004D46AC">
        <w:rPr>
          <w:rFonts w:ascii="Arial" w:hAnsi="Arial" w:cs="Arial"/>
          <w:szCs w:val="22"/>
        </w:rPr>
        <w:t xml:space="preserve">(10), 997–1006. https://doi.org/10.1176/appi.ajp.2016.15101293 </w:t>
      </w:r>
    </w:p>
    <w:p w14:paraId="75E68EC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Meyer, B., Johnson, S. L., &amp; Carver, C. S. (1999). Exploring </w:t>
      </w:r>
      <w:proofErr w:type="spellStart"/>
      <w:r w:rsidRPr="004D46AC">
        <w:rPr>
          <w:rFonts w:ascii="Arial" w:hAnsi="Arial" w:cs="Arial"/>
          <w:szCs w:val="22"/>
        </w:rPr>
        <w:t>Behavioral</w:t>
      </w:r>
      <w:proofErr w:type="spellEnd"/>
      <w:r w:rsidRPr="004D46AC">
        <w:rPr>
          <w:rFonts w:ascii="Arial" w:hAnsi="Arial" w:cs="Arial"/>
          <w:szCs w:val="22"/>
        </w:rPr>
        <w:t xml:space="preserve"> Activation and Inhibition Sensitivities Among College Students at Risk for Bipolar Spectrum Symptomatology. </w:t>
      </w:r>
      <w:r w:rsidRPr="004D46AC">
        <w:rPr>
          <w:rFonts w:ascii="Arial" w:hAnsi="Arial" w:cs="Arial"/>
          <w:i/>
          <w:szCs w:val="22"/>
        </w:rPr>
        <w:t xml:space="preserve">Journal of Psychopathology and </w:t>
      </w:r>
      <w:proofErr w:type="spellStart"/>
      <w:r w:rsidRPr="004D46AC">
        <w:rPr>
          <w:rFonts w:ascii="Arial" w:hAnsi="Arial" w:cs="Arial"/>
          <w:i/>
          <w:szCs w:val="22"/>
        </w:rPr>
        <w:t>Behavioral</w:t>
      </w:r>
      <w:proofErr w:type="spellEnd"/>
      <w:r w:rsidRPr="004D46AC">
        <w:rPr>
          <w:rFonts w:ascii="Arial" w:hAnsi="Arial" w:cs="Arial"/>
          <w:i/>
          <w:szCs w:val="22"/>
        </w:rPr>
        <w:t xml:space="preserve"> Assessment</w:t>
      </w:r>
      <w:r w:rsidRPr="004D46AC">
        <w:rPr>
          <w:rFonts w:ascii="Arial" w:hAnsi="Arial" w:cs="Arial"/>
          <w:szCs w:val="22"/>
        </w:rPr>
        <w:t>,</w:t>
      </w:r>
      <w:r w:rsidRPr="004D46AC">
        <w:rPr>
          <w:rFonts w:ascii="Arial" w:hAnsi="Arial" w:cs="Arial"/>
          <w:i/>
          <w:szCs w:val="22"/>
        </w:rPr>
        <w:t xml:space="preserve"> 21</w:t>
      </w:r>
      <w:r w:rsidRPr="004D46AC">
        <w:rPr>
          <w:rFonts w:ascii="Arial" w:hAnsi="Arial" w:cs="Arial"/>
          <w:szCs w:val="22"/>
        </w:rPr>
        <w:t xml:space="preserve">(4), 275–292. https://doi.org/10.1023/A:1022119414440 </w:t>
      </w:r>
    </w:p>
    <w:p w14:paraId="290037B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Mischel, W., &amp; Shoda, Y. (1995). A cognitive-affective system theory of personality: reconceptualizing situations, dispositions, dynamics, and invariance in personality structure. </w:t>
      </w:r>
      <w:proofErr w:type="spellStart"/>
      <w:r w:rsidRPr="004D46AC">
        <w:rPr>
          <w:rFonts w:ascii="Arial" w:hAnsi="Arial" w:cs="Arial"/>
          <w:i/>
          <w:szCs w:val="22"/>
        </w:rPr>
        <w:t>Psychol</w:t>
      </w:r>
      <w:proofErr w:type="spellEnd"/>
      <w:r w:rsidRPr="004D46AC">
        <w:rPr>
          <w:rFonts w:ascii="Arial" w:hAnsi="Arial" w:cs="Arial"/>
          <w:i/>
          <w:szCs w:val="22"/>
        </w:rPr>
        <w:t xml:space="preserve"> Rev</w:t>
      </w:r>
      <w:r w:rsidRPr="004D46AC">
        <w:rPr>
          <w:rFonts w:ascii="Arial" w:hAnsi="Arial" w:cs="Arial"/>
          <w:szCs w:val="22"/>
        </w:rPr>
        <w:t>,</w:t>
      </w:r>
      <w:r w:rsidRPr="004D46AC">
        <w:rPr>
          <w:rFonts w:ascii="Arial" w:hAnsi="Arial" w:cs="Arial"/>
          <w:i/>
          <w:szCs w:val="22"/>
        </w:rPr>
        <w:t xml:space="preserve"> 102</w:t>
      </w:r>
      <w:r w:rsidRPr="004D46AC">
        <w:rPr>
          <w:rFonts w:ascii="Arial" w:hAnsi="Arial" w:cs="Arial"/>
          <w:szCs w:val="22"/>
        </w:rPr>
        <w:t xml:space="preserve">(2), 246–268. https://doi.org/10.1037/0033-295x.102.2.246 </w:t>
      </w:r>
    </w:p>
    <w:p w14:paraId="08665601"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Mishara</w:t>
      </w:r>
      <w:proofErr w:type="spellEnd"/>
      <w:r w:rsidRPr="004D46AC">
        <w:rPr>
          <w:rFonts w:ascii="Arial" w:hAnsi="Arial" w:cs="Arial"/>
          <w:szCs w:val="22"/>
        </w:rPr>
        <w:t xml:space="preserve">, A. L. (2010). Klaus Conrad (1905–1961): Delusional mood, psychosis, and beginning schizophrenia. </w:t>
      </w:r>
      <w:r w:rsidRPr="004D46AC">
        <w:rPr>
          <w:rFonts w:ascii="Arial" w:hAnsi="Arial" w:cs="Arial"/>
          <w:i/>
          <w:szCs w:val="22"/>
        </w:rPr>
        <w:t>Schizophrenia Bulletin</w:t>
      </w:r>
      <w:r w:rsidRPr="004D46AC">
        <w:rPr>
          <w:rFonts w:ascii="Arial" w:hAnsi="Arial" w:cs="Arial"/>
          <w:szCs w:val="22"/>
        </w:rPr>
        <w:t>,</w:t>
      </w:r>
      <w:r w:rsidRPr="004D46AC">
        <w:rPr>
          <w:rFonts w:ascii="Arial" w:hAnsi="Arial" w:cs="Arial"/>
          <w:i/>
          <w:szCs w:val="22"/>
        </w:rPr>
        <w:t xml:space="preserve"> 36</w:t>
      </w:r>
      <w:r w:rsidRPr="004D46AC">
        <w:rPr>
          <w:rFonts w:ascii="Arial" w:hAnsi="Arial" w:cs="Arial"/>
          <w:szCs w:val="22"/>
        </w:rPr>
        <w:t xml:space="preserve">(1), 9–13. </w:t>
      </w:r>
    </w:p>
    <w:p w14:paraId="58FE14C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Misiak, B., &amp; </w:t>
      </w:r>
      <w:proofErr w:type="spellStart"/>
      <w:r w:rsidRPr="004D46AC">
        <w:rPr>
          <w:rFonts w:ascii="Arial" w:hAnsi="Arial" w:cs="Arial"/>
          <w:szCs w:val="22"/>
        </w:rPr>
        <w:t>Frydecka</w:t>
      </w:r>
      <w:proofErr w:type="spellEnd"/>
      <w:r w:rsidRPr="004D46AC">
        <w:rPr>
          <w:rFonts w:ascii="Arial" w:hAnsi="Arial" w:cs="Arial"/>
          <w:szCs w:val="22"/>
        </w:rPr>
        <w:t xml:space="preserve">, D. (2024). Psychotic-like experiences predict the perceived intent to seek treatment: A network perspective. </w:t>
      </w:r>
      <w:r w:rsidRPr="004D46AC">
        <w:rPr>
          <w:rFonts w:ascii="Arial" w:hAnsi="Arial" w:cs="Arial"/>
          <w:i/>
          <w:szCs w:val="22"/>
        </w:rPr>
        <w:t>Schizophrenia Research</w:t>
      </w:r>
      <w:r w:rsidRPr="004D46AC">
        <w:rPr>
          <w:rFonts w:ascii="Arial" w:hAnsi="Arial" w:cs="Arial"/>
          <w:szCs w:val="22"/>
        </w:rPr>
        <w:t>,</w:t>
      </w:r>
      <w:r w:rsidRPr="004D46AC">
        <w:rPr>
          <w:rFonts w:ascii="Arial" w:hAnsi="Arial" w:cs="Arial"/>
          <w:i/>
          <w:szCs w:val="22"/>
        </w:rPr>
        <w:t xml:space="preserve"> 266</w:t>
      </w:r>
      <w:r w:rsidRPr="004D46AC">
        <w:rPr>
          <w:rFonts w:ascii="Arial" w:hAnsi="Arial" w:cs="Arial"/>
          <w:szCs w:val="22"/>
        </w:rPr>
        <w:t xml:space="preserve">, 100–106. https://doi.org/https://doi.org/10.1016/j.schres.2024.02.033 </w:t>
      </w:r>
    </w:p>
    <w:p w14:paraId="266F8A1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Morriss, J., Butler, D., &amp; Ellett, L. (2025). Intolerance of uncertainty and psychosis: A systematic review. </w:t>
      </w:r>
      <w:r w:rsidRPr="004D46AC">
        <w:rPr>
          <w:rFonts w:ascii="Arial" w:hAnsi="Arial" w:cs="Arial"/>
          <w:i/>
          <w:szCs w:val="22"/>
        </w:rPr>
        <w:t>British Journal of Clinical Psychology</w:t>
      </w:r>
      <w:r w:rsidRPr="004D46AC">
        <w:rPr>
          <w:rFonts w:ascii="Arial" w:hAnsi="Arial" w:cs="Arial"/>
          <w:szCs w:val="22"/>
        </w:rPr>
        <w:t>,</w:t>
      </w:r>
      <w:r w:rsidRPr="004D46AC">
        <w:rPr>
          <w:rFonts w:ascii="Arial" w:hAnsi="Arial" w:cs="Arial"/>
          <w:i/>
          <w:szCs w:val="22"/>
        </w:rPr>
        <w:t xml:space="preserve"> n/a</w:t>
      </w:r>
      <w:r w:rsidRPr="004D46AC">
        <w:rPr>
          <w:rFonts w:ascii="Arial" w:hAnsi="Arial" w:cs="Arial"/>
          <w:szCs w:val="22"/>
        </w:rPr>
        <w:t xml:space="preserve">(n/a). https://doi.org/https://doi.org/10.1111/bjc.12509 </w:t>
      </w:r>
    </w:p>
    <w:p w14:paraId="20110A2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Morriss, J., &amp; Ellett, L. (2025). Intolerance of uncertainty, paranoia, and prodromal symptoms: Comparisons between a schizophrenia spectrum disorder, anxiety disorder and non</w:t>
      </w:r>
      <w:r w:rsidRPr="004D46AC">
        <w:rPr>
          <w:rFonts w:ascii="Cambria Math" w:hAnsi="Cambria Math" w:cs="Cambria Math"/>
          <w:szCs w:val="22"/>
        </w:rPr>
        <w:t>‐</w:t>
      </w:r>
      <w:r w:rsidRPr="004D46AC">
        <w:rPr>
          <w:rFonts w:ascii="Arial" w:hAnsi="Arial" w:cs="Arial"/>
          <w:szCs w:val="22"/>
        </w:rPr>
        <w:t xml:space="preserve">clinical sample. </w:t>
      </w:r>
      <w:r w:rsidRPr="004D46AC">
        <w:rPr>
          <w:rFonts w:ascii="Arial" w:hAnsi="Arial" w:cs="Arial"/>
          <w:i/>
          <w:szCs w:val="22"/>
        </w:rPr>
        <w:t>Psychology and Psychotherapy: Theory, Research and Practice</w:t>
      </w:r>
      <w:r w:rsidRPr="004D46AC">
        <w:rPr>
          <w:rFonts w:ascii="Arial" w:hAnsi="Arial" w:cs="Arial"/>
          <w:szCs w:val="22"/>
        </w:rPr>
        <w:t xml:space="preserve">. </w:t>
      </w:r>
    </w:p>
    <w:p w14:paraId="48BFD27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Morriss, R. K., van der Gucht, E., Lancaster, G., &amp; Bentall, R. P. (2009). Adult attachment in bipolar 1 disorder. </w:t>
      </w:r>
      <w:r w:rsidRPr="004D46AC">
        <w:rPr>
          <w:rFonts w:ascii="Arial" w:hAnsi="Arial" w:cs="Arial"/>
          <w:i/>
          <w:szCs w:val="22"/>
        </w:rPr>
        <w:t>Psychology and Psychotherapy: Theory, Research and Practice</w:t>
      </w:r>
      <w:r w:rsidRPr="004D46AC">
        <w:rPr>
          <w:rFonts w:ascii="Arial" w:hAnsi="Arial" w:cs="Arial"/>
          <w:szCs w:val="22"/>
        </w:rPr>
        <w:t>,</w:t>
      </w:r>
      <w:r w:rsidRPr="004D46AC">
        <w:rPr>
          <w:rFonts w:ascii="Arial" w:hAnsi="Arial" w:cs="Arial"/>
          <w:i/>
          <w:szCs w:val="22"/>
        </w:rPr>
        <w:t xml:space="preserve"> 82</w:t>
      </w:r>
      <w:r w:rsidRPr="004D46AC">
        <w:rPr>
          <w:rFonts w:ascii="Arial" w:hAnsi="Arial" w:cs="Arial"/>
          <w:szCs w:val="22"/>
        </w:rPr>
        <w:t xml:space="preserve">(3), 267–277. https://doi.org/https://doi.org/10.1348/147608309X415309 </w:t>
      </w:r>
    </w:p>
    <w:p w14:paraId="01FAC81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NHS. (2024). </w:t>
      </w:r>
      <w:r w:rsidRPr="004D46AC">
        <w:rPr>
          <w:rFonts w:ascii="Arial" w:hAnsi="Arial" w:cs="Arial"/>
          <w:i/>
          <w:szCs w:val="22"/>
        </w:rPr>
        <w:t>Adult Psychiatric Morbidity Survey</w:t>
      </w:r>
      <w:r w:rsidRPr="004D46AC">
        <w:rPr>
          <w:rFonts w:ascii="Arial" w:hAnsi="Arial" w:cs="Arial"/>
          <w:szCs w:val="22"/>
        </w:rPr>
        <w:t>. https://digital.nhs.uk/data-and-information/publications/statistical/adult-psychiatric-morbidity-survey</w:t>
      </w:r>
    </w:p>
    <w:p w14:paraId="0CDB33E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Palmer, E. C., Gilleen, J., &amp; David, A. S. (2015). The relationship between cognitive insight and depression in psychosis and schizophrenia: A review and meta-analysis. </w:t>
      </w:r>
      <w:r w:rsidRPr="004D46AC">
        <w:rPr>
          <w:rFonts w:ascii="Arial" w:hAnsi="Arial" w:cs="Arial"/>
          <w:i/>
          <w:szCs w:val="22"/>
        </w:rPr>
        <w:t>Schizophrenia Research</w:t>
      </w:r>
      <w:r w:rsidRPr="004D46AC">
        <w:rPr>
          <w:rFonts w:ascii="Arial" w:hAnsi="Arial" w:cs="Arial"/>
          <w:szCs w:val="22"/>
        </w:rPr>
        <w:t>,</w:t>
      </w:r>
      <w:r w:rsidRPr="004D46AC">
        <w:rPr>
          <w:rFonts w:ascii="Arial" w:hAnsi="Arial" w:cs="Arial"/>
          <w:i/>
          <w:szCs w:val="22"/>
        </w:rPr>
        <w:t xml:space="preserve"> 166</w:t>
      </w:r>
      <w:r w:rsidRPr="004D46AC">
        <w:rPr>
          <w:rFonts w:ascii="Arial" w:hAnsi="Arial" w:cs="Arial"/>
          <w:szCs w:val="22"/>
        </w:rPr>
        <w:t xml:space="preserve">(1), 261–268. https://doi.org/https://doi.org/10.1016/j.schres.2015.05.032 </w:t>
      </w:r>
    </w:p>
    <w:p w14:paraId="506245E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Palmier-Claus, J. E., Berry, K., Bucci, S., Mansell, W., &amp; Varese, F. (2016). Relationship between childhood adversity and bipolar affective disorder: systematic review and meta-analysis. </w:t>
      </w:r>
      <w:r w:rsidRPr="004D46AC">
        <w:rPr>
          <w:rFonts w:ascii="Arial" w:hAnsi="Arial" w:cs="Arial"/>
          <w:i/>
          <w:szCs w:val="22"/>
        </w:rPr>
        <w:t>Br J Psychiatry</w:t>
      </w:r>
      <w:r w:rsidRPr="004D46AC">
        <w:rPr>
          <w:rFonts w:ascii="Arial" w:hAnsi="Arial" w:cs="Arial"/>
          <w:szCs w:val="22"/>
        </w:rPr>
        <w:t>,</w:t>
      </w:r>
      <w:r w:rsidRPr="004D46AC">
        <w:rPr>
          <w:rFonts w:ascii="Arial" w:hAnsi="Arial" w:cs="Arial"/>
          <w:i/>
          <w:szCs w:val="22"/>
        </w:rPr>
        <w:t xml:space="preserve"> 209</w:t>
      </w:r>
      <w:r w:rsidRPr="004D46AC">
        <w:rPr>
          <w:rFonts w:ascii="Arial" w:hAnsi="Arial" w:cs="Arial"/>
          <w:szCs w:val="22"/>
        </w:rPr>
        <w:t xml:space="preserve">(6), 454–459. https://doi.org/10.1192/bjp.bp.115.179655 </w:t>
      </w:r>
    </w:p>
    <w:p w14:paraId="6520E030"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Perugi</w:t>
      </w:r>
      <w:proofErr w:type="spellEnd"/>
      <w:r w:rsidRPr="004D46AC">
        <w:rPr>
          <w:rFonts w:ascii="Arial" w:hAnsi="Arial" w:cs="Arial"/>
          <w:szCs w:val="22"/>
        </w:rPr>
        <w:t xml:space="preserve">, G., Micheli, C., </w:t>
      </w:r>
      <w:proofErr w:type="spellStart"/>
      <w:r w:rsidRPr="004D46AC">
        <w:rPr>
          <w:rFonts w:ascii="Arial" w:hAnsi="Arial" w:cs="Arial"/>
          <w:szCs w:val="22"/>
        </w:rPr>
        <w:t>Akiskal</w:t>
      </w:r>
      <w:proofErr w:type="spellEnd"/>
      <w:r w:rsidRPr="004D46AC">
        <w:rPr>
          <w:rFonts w:ascii="Arial" w:hAnsi="Arial" w:cs="Arial"/>
          <w:szCs w:val="22"/>
        </w:rPr>
        <w:t xml:space="preserve">, H. S., </w:t>
      </w:r>
      <w:proofErr w:type="spellStart"/>
      <w:r w:rsidRPr="004D46AC">
        <w:rPr>
          <w:rFonts w:ascii="Arial" w:hAnsi="Arial" w:cs="Arial"/>
          <w:szCs w:val="22"/>
        </w:rPr>
        <w:t>Madaro</w:t>
      </w:r>
      <w:proofErr w:type="spellEnd"/>
      <w:r w:rsidRPr="004D46AC">
        <w:rPr>
          <w:rFonts w:ascii="Arial" w:hAnsi="Arial" w:cs="Arial"/>
          <w:szCs w:val="22"/>
        </w:rPr>
        <w:t xml:space="preserve">, D., Socci, C., Quilici, C., &amp; Musetti, L. (2000). Polarity of the first episode, clinical characteristics, and course of </w:t>
      </w:r>
      <w:proofErr w:type="gramStart"/>
      <w:r w:rsidRPr="004D46AC">
        <w:rPr>
          <w:rFonts w:ascii="Arial" w:hAnsi="Arial" w:cs="Arial"/>
          <w:szCs w:val="22"/>
        </w:rPr>
        <w:t>manic depressive</w:t>
      </w:r>
      <w:proofErr w:type="gramEnd"/>
      <w:r w:rsidRPr="004D46AC">
        <w:rPr>
          <w:rFonts w:ascii="Arial" w:hAnsi="Arial" w:cs="Arial"/>
          <w:szCs w:val="22"/>
        </w:rPr>
        <w:t xml:space="preserve"> illness: A systematic retrospective investigation of 320 bipolar I patients. </w:t>
      </w:r>
      <w:r w:rsidRPr="004D46AC">
        <w:rPr>
          <w:rFonts w:ascii="Arial" w:hAnsi="Arial" w:cs="Arial"/>
          <w:i/>
          <w:szCs w:val="22"/>
        </w:rPr>
        <w:lastRenderedPageBreak/>
        <w:t>Comprehensive Psychiatry</w:t>
      </w:r>
      <w:r w:rsidRPr="004D46AC">
        <w:rPr>
          <w:rFonts w:ascii="Arial" w:hAnsi="Arial" w:cs="Arial"/>
          <w:szCs w:val="22"/>
        </w:rPr>
        <w:t>,</w:t>
      </w:r>
      <w:r w:rsidRPr="004D46AC">
        <w:rPr>
          <w:rFonts w:ascii="Arial" w:hAnsi="Arial" w:cs="Arial"/>
          <w:i/>
          <w:szCs w:val="22"/>
        </w:rPr>
        <w:t xml:space="preserve"> 41</w:t>
      </w:r>
      <w:r w:rsidRPr="004D46AC">
        <w:rPr>
          <w:rFonts w:ascii="Arial" w:hAnsi="Arial" w:cs="Arial"/>
          <w:szCs w:val="22"/>
        </w:rPr>
        <w:t xml:space="preserve">(1), 13–18. https://doi.org/https://doi.org/10.1016/S0010-440X(00)90125-1 </w:t>
      </w:r>
    </w:p>
    <w:p w14:paraId="3945793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Pinto-Meza, A., </w:t>
      </w:r>
      <w:proofErr w:type="spellStart"/>
      <w:r w:rsidRPr="004D46AC">
        <w:rPr>
          <w:rFonts w:ascii="Arial" w:hAnsi="Arial" w:cs="Arial"/>
          <w:szCs w:val="22"/>
        </w:rPr>
        <w:t>Caseras</w:t>
      </w:r>
      <w:proofErr w:type="spellEnd"/>
      <w:r w:rsidRPr="004D46AC">
        <w:rPr>
          <w:rFonts w:ascii="Arial" w:hAnsi="Arial" w:cs="Arial"/>
          <w:szCs w:val="22"/>
        </w:rPr>
        <w:t xml:space="preserve">, X., Soler, J., Puigdemont, D., Pérez, V., &amp; </w:t>
      </w:r>
      <w:proofErr w:type="spellStart"/>
      <w:r w:rsidRPr="004D46AC">
        <w:rPr>
          <w:rFonts w:ascii="Arial" w:hAnsi="Arial" w:cs="Arial"/>
          <w:szCs w:val="22"/>
        </w:rPr>
        <w:t>Torrubia</w:t>
      </w:r>
      <w:proofErr w:type="spellEnd"/>
      <w:r w:rsidRPr="004D46AC">
        <w:rPr>
          <w:rFonts w:ascii="Arial" w:hAnsi="Arial" w:cs="Arial"/>
          <w:szCs w:val="22"/>
        </w:rPr>
        <w:t xml:space="preserve">, R. (2006). Behavioural Inhibition and Behavioural Activation Systems in current and recovered major depression participants. </w:t>
      </w:r>
      <w:r w:rsidRPr="004D46AC">
        <w:rPr>
          <w:rFonts w:ascii="Arial" w:hAnsi="Arial" w:cs="Arial"/>
          <w:i/>
          <w:szCs w:val="22"/>
        </w:rPr>
        <w:t>Personality and Individual differences</w:t>
      </w:r>
      <w:r w:rsidRPr="004D46AC">
        <w:rPr>
          <w:rFonts w:ascii="Arial" w:hAnsi="Arial" w:cs="Arial"/>
          <w:szCs w:val="22"/>
        </w:rPr>
        <w:t>,</w:t>
      </w:r>
      <w:r w:rsidRPr="004D46AC">
        <w:rPr>
          <w:rFonts w:ascii="Arial" w:hAnsi="Arial" w:cs="Arial"/>
          <w:i/>
          <w:szCs w:val="22"/>
        </w:rPr>
        <w:t xml:space="preserve"> 40</w:t>
      </w:r>
      <w:r w:rsidRPr="004D46AC">
        <w:rPr>
          <w:rFonts w:ascii="Arial" w:hAnsi="Arial" w:cs="Arial"/>
          <w:szCs w:val="22"/>
        </w:rPr>
        <w:t xml:space="preserve">(2), 215–226. https://doi.org/https://doi.org/10.1016/j.paid.2005.06.021 </w:t>
      </w:r>
    </w:p>
    <w:p w14:paraId="3947FC69"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Pujji</w:t>
      </w:r>
      <w:proofErr w:type="spellEnd"/>
      <w:r w:rsidRPr="004D46AC">
        <w:rPr>
          <w:rFonts w:ascii="Arial" w:hAnsi="Arial" w:cs="Arial"/>
          <w:szCs w:val="22"/>
        </w:rPr>
        <w:t xml:space="preserve">, S. D. (2023). </w:t>
      </w:r>
      <w:r w:rsidRPr="004D46AC">
        <w:rPr>
          <w:rFonts w:ascii="Arial" w:hAnsi="Arial" w:cs="Arial"/>
          <w:i/>
          <w:szCs w:val="22"/>
        </w:rPr>
        <w:t>The Intolerance of Uncertainty: Transdiagnostic Connections Across Schizophrenia and Mood Spectrums, Obsessive Beliefs, and Physical Health</w:t>
      </w:r>
      <w:r w:rsidRPr="004D46AC">
        <w:rPr>
          <w:rFonts w:ascii="Arial" w:hAnsi="Arial" w:cs="Arial"/>
          <w:szCs w:val="22"/>
        </w:rPr>
        <w:t xml:space="preserve"> (Publication Number 30491765) [Ph.D., Rowan University]. ProQuest Dissertations &amp; Theses Global. United States -- New Jersey. https://www.proquest.com/dissertations-theses/intolerance-uncertainty-transdiagnostic/docview/2818564552/se-2?accountid=13828</w:t>
      </w:r>
    </w:p>
    <w:p w14:paraId="19AB2249" w14:textId="77777777" w:rsidR="007075D9" w:rsidRPr="004D46AC" w:rsidRDefault="007075D9" w:rsidP="00B518F1">
      <w:pPr>
        <w:pStyle w:val="EndNoteBibliography"/>
        <w:spacing w:line="360" w:lineRule="auto"/>
        <w:ind w:left="720" w:hanging="720"/>
        <w:rPr>
          <w:rFonts w:ascii="Arial" w:hAnsi="Arial" w:cs="Arial"/>
          <w:szCs w:val="22"/>
        </w:rPr>
      </w:pPr>
      <w:proofErr w:type="gramStart"/>
      <w:r w:rsidRPr="004D46AC">
        <w:rPr>
          <w:rFonts w:ascii="Arial" w:hAnsi="Arial" w:cs="Arial"/>
          <w:szCs w:val="22"/>
        </w:rPr>
        <w:t>https://libkey.io/libraries/399/openurl?ctx_ver=Z39.88-2004&amp;ctx_enc=info:ofi/enc:UTF-8&amp;rfr_id=info:sid/ProQuest&amp;rft_val_fmt=dissertation&amp;rft.genre=dissertations&amp;rft.jtitle=&amp;rft.atitle=&amp;rft.au=Pujji%2C+Sharanjit+D..</w:t>
      </w:r>
      <w:proofErr w:type="gramEnd"/>
      <w:r w:rsidRPr="004D46AC">
        <w:rPr>
          <w:rFonts w:ascii="Arial" w:hAnsi="Arial" w:cs="Arial"/>
          <w:szCs w:val="22"/>
        </w:rPr>
        <w:t>&amp;</w:t>
      </w:r>
      <w:proofErr w:type="gramStart"/>
      <w:r w:rsidRPr="004D46AC">
        <w:rPr>
          <w:rFonts w:ascii="Arial" w:hAnsi="Arial" w:cs="Arial"/>
          <w:szCs w:val="22"/>
        </w:rPr>
        <w:t>rft.aulast</w:t>
      </w:r>
      <w:proofErr w:type="gramEnd"/>
      <w:r w:rsidRPr="004D46AC">
        <w:rPr>
          <w:rFonts w:ascii="Arial" w:hAnsi="Arial" w:cs="Arial"/>
          <w:szCs w:val="22"/>
        </w:rPr>
        <w:t>=Pujji&amp;</w:t>
      </w:r>
      <w:proofErr w:type="gramStart"/>
      <w:r w:rsidRPr="004D46AC">
        <w:rPr>
          <w:rFonts w:ascii="Arial" w:hAnsi="Arial" w:cs="Arial"/>
          <w:szCs w:val="22"/>
        </w:rPr>
        <w:t>rft.aufirst</w:t>
      </w:r>
      <w:proofErr w:type="gramEnd"/>
      <w:r w:rsidRPr="004D46AC">
        <w:rPr>
          <w:rFonts w:ascii="Arial" w:hAnsi="Arial" w:cs="Arial"/>
          <w:szCs w:val="22"/>
        </w:rPr>
        <w:t>=Sharanjit&amp;</w:t>
      </w:r>
      <w:proofErr w:type="gramStart"/>
      <w:r w:rsidRPr="004D46AC">
        <w:rPr>
          <w:rFonts w:ascii="Arial" w:hAnsi="Arial" w:cs="Arial"/>
          <w:szCs w:val="22"/>
        </w:rPr>
        <w:t>rft.date</w:t>
      </w:r>
      <w:proofErr w:type="gramEnd"/>
      <w:r w:rsidRPr="004D46AC">
        <w:rPr>
          <w:rFonts w:ascii="Arial" w:hAnsi="Arial" w:cs="Arial"/>
          <w:szCs w:val="22"/>
        </w:rPr>
        <w:t>=2023-01-01&amp;</w:t>
      </w:r>
      <w:proofErr w:type="gramStart"/>
      <w:r w:rsidRPr="004D46AC">
        <w:rPr>
          <w:rFonts w:ascii="Arial" w:hAnsi="Arial" w:cs="Arial"/>
          <w:szCs w:val="22"/>
        </w:rPr>
        <w:t>rft.volume</w:t>
      </w:r>
      <w:proofErr w:type="gramEnd"/>
      <w:r w:rsidRPr="004D46AC">
        <w:rPr>
          <w:rFonts w:ascii="Arial" w:hAnsi="Arial" w:cs="Arial"/>
          <w:szCs w:val="22"/>
        </w:rPr>
        <w:t>=&amp;</w:t>
      </w:r>
      <w:proofErr w:type="gramStart"/>
      <w:r w:rsidRPr="004D46AC">
        <w:rPr>
          <w:rFonts w:ascii="Arial" w:hAnsi="Arial" w:cs="Arial"/>
          <w:szCs w:val="22"/>
        </w:rPr>
        <w:t>rft.issue</w:t>
      </w:r>
      <w:proofErr w:type="gramEnd"/>
      <w:r w:rsidRPr="004D46AC">
        <w:rPr>
          <w:rFonts w:ascii="Arial" w:hAnsi="Arial" w:cs="Arial"/>
          <w:szCs w:val="22"/>
        </w:rPr>
        <w:t>=&amp;</w:t>
      </w:r>
      <w:proofErr w:type="gramStart"/>
      <w:r w:rsidRPr="004D46AC">
        <w:rPr>
          <w:rFonts w:ascii="Arial" w:hAnsi="Arial" w:cs="Arial"/>
          <w:szCs w:val="22"/>
        </w:rPr>
        <w:t>rft.spage</w:t>
      </w:r>
      <w:proofErr w:type="gramEnd"/>
      <w:r w:rsidRPr="004D46AC">
        <w:rPr>
          <w:rFonts w:ascii="Arial" w:hAnsi="Arial" w:cs="Arial"/>
          <w:szCs w:val="22"/>
        </w:rPr>
        <w:t>=&amp;</w:t>
      </w:r>
      <w:proofErr w:type="gramStart"/>
      <w:r w:rsidRPr="004D46AC">
        <w:rPr>
          <w:rFonts w:ascii="Arial" w:hAnsi="Arial" w:cs="Arial"/>
          <w:szCs w:val="22"/>
        </w:rPr>
        <w:t>rft.isbn</w:t>
      </w:r>
      <w:proofErr w:type="gramEnd"/>
      <w:r w:rsidRPr="004D46AC">
        <w:rPr>
          <w:rFonts w:ascii="Arial" w:hAnsi="Arial" w:cs="Arial"/>
          <w:szCs w:val="22"/>
        </w:rPr>
        <w:t>=9798379556457&amp;</w:t>
      </w:r>
      <w:proofErr w:type="gramStart"/>
      <w:r w:rsidRPr="004D46AC">
        <w:rPr>
          <w:rFonts w:ascii="Arial" w:hAnsi="Arial" w:cs="Arial"/>
          <w:szCs w:val="22"/>
        </w:rPr>
        <w:t>rft.btitle</w:t>
      </w:r>
      <w:proofErr w:type="gramEnd"/>
      <w:r w:rsidRPr="004D46AC">
        <w:rPr>
          <w:rFonts w:ascii="Arial" w:hAnsi="Arial" w:cs="Arial"/>
          <w:szCs w:val="22"/>
        </w:rPr>
        <w:t>=&amp;</w:t>
      </w:r>
      <w:proofErr w:type="gramStart"/>
      <w:r w:rsidRPr="004D46AC">
        <w:rPr>
          <w:rFonts w:ascii="Arial" w:hAnsi="Arial" w:cs="Arial"/>
          <w:szCs w:val="22"/>
        </w:rPr>
        <w:t>rft.title</w:t>
      </w:r>
      <w:proofErr w:type="gramEnd"/>
      <w:r w:rsidRPr="004D46AC">
        <w:rPr>
          <w:rFonts w:ascii="Arial" w:hAnsi="Arial" w:cs="Arial"/>
          <w:szCs w:val="22"/>
        </w:rPr>
        <w:t>=&amp;</w:t>
      </w:r>
      <w:proofErr w:type="gramStart"/>
      <w:r w:rsidRPr="004D46AC">
        <w:rPr>
          <w:rFonts w:ascii="Arial" w:hAnsi="Arial" w:cs="Arial"/>
          <w:szCs w:val="22"/>
        </w:rPr>
        <w:t>rft.issn</w:t>
      </w:r>
      <w:proofErr w:type="gramEnd"/>
      <w:r w:rsidRPr="004D46AC">
        <w:rPr>
          <w:rFonts w:ascii="Arial" w:hAnsi="Arial" w:cs="Arial"/>
          <w:szCs w:val="22"/>
        </w:rPr>
        <w:t>=&amp;rft_id=</w:t>
      </w:r>
      <w:proofErr w:type="gramStart"/>
      <w:r w:rsidRPr="004D46AC">
        <w:rPr>
          <w:rFonts w:ascii="Arial" w:hAnsi="Arial" w:cs="Arial"/>
          <w:szCs w:val="22"/>
        </w:rPr>
        <w:t>info:doi</w:t>
      </w:r>
      <w:proofErr w:type="gramEnd"/>
      <w:r w:rsidRPr="004D46AC">
        <w:rPr>
          <w:rFonts w:ascii="Arial" w:hAnsi="Arial" w:cs="Arial"/>
          <w:szCs w:val="22"/>
        </w:rPr>
        <w:t>/</w:t>
      </w:r>
    </w:p>
    <w:p w14:paraId="554F11B3"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Pujji</w:t>
      </w:r>
      <w:proofErr w:type="spellEnd"/>
      <w:r w:rsidRPr="004D46AC">
        <w:rPr>
          <w:rFonts w:ascii="Arial" w:hAnsi="Arial" w:cs="Arial"/>
          <w:szCs w:val="22"/>
        </w:rPr>
        <w:t xml:space="preserve">, S. D., &amp; </w:t>
      </w:r>
      <w:proofErr w:type="spellStart"/>
      <w:r w:rsidRPr="004D46AC">
        <w:rPr>
          <w:rFonts w:ascii="Arial" w:hAnsi="Arial" w:cs="Arial"/>
          <w:szCs w:val="22"/>
        </w:rPr>
        <w:t>Dinzeo</w:t>
      </w:r>
      <w:proofErr w:type="spellEnd"/>
      <w:r w:rsidRPr="004D46AC">
        <w:rPr>
          <w:rFonts w:ascii="Arial" w:hAnsi="Arial" w:cs="Arial"/>
          <w:szCs w:val="22"/>
        </w:rPr>
        <w:t>, T. J. (2024). Transdiagnostic connections of the intolerance of uncertainty across schizotypy, mood, obsessive beliefs, and physical health in a college student sample [doi:10.1037/tps0000427].</w:t>
      </w:r>
      <w:r w:rsidRPr="004D46AC">
        <w:rPr>
          <w:rFonts w:ascii="Arial" w:hAnsi="Arial" w:cs="Arial"/>
          <w:i/>
          <w:szCs w:val="22"/>
        </w:rPr>
        <w:t xml:space="preserve"> 10</w:t>
      </w:r>
      <w:r w:rsidRPr="004D46AC">
        <w:rPr>
          <w:rFonts w:ascii="Arial" w:hAnsi="Arial" w:cs="Arial"/>
          <w:szCs w:val="22"/>
        </w:rPr>
        <w:t xml:space="preserve">, 449–471. https://doi.org/10.1037/tps0000427 </w:t>
      </w:r>
    </w:p>
    <w:p w14:paraId="5566EF4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Rammstedt, B., &amp; John, O. P. (2007). Measuring personality in one minute or less: A 10-item short version of the Big Five Inventory in English and German. </w:t>
      </w:r>
      <w:r w:rsidRPr="004D46AC">
        <w:rPr>
          <w:rFonts w:ascii="Arial" w:hAnsi="Arial" w:cs="Arial"/>
          <w:i/>
          <w:szCs w:val="22"/>
        </w:rPr>
        <w:t>Journal of Research in Personality</w:t>
      </w:r>
      <w:r w:rsidRPr="004D46AC">
        <w:rPr>
          <w:rFonts w:ascii="Arial" w:hAnsi="Arial" w:cs="Arial"/>
          <w:szCs w:val="22"/>
        </w:rPr>
        <w:t>,</w:t>
      </w:r>
      <w:r w:rsidRPr="004D46AC">
        <w:rPr>
          <w:rFonts w:ascii="Arial" w:hAnsi="Arial" w:cs="Arial"/>
          <w:i/>
          <w:szCs w:val="22"/>
        </w:rPr>
        <w:t xml:space="preserve"> 41</w:t>
      </w:r>
      <w:r w:rsidRPr="004D46AC">
        <w:rPr>
          <w:rFonts w:ascii="Arial" w:hAnsi="Arial" w:cs="Arial"/>
          <w:szCs w:val="22"/>
        </w:rPr>
        <w:t xml:space="preserve">(1), 203–212. https://doi.org/10.1016/j.jrp.2006.02.001 </w:t>
      </w:r>
    </w:p>
    <w:p w14:paraId="68F70655"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Reininghaus</w:t>
      </w:r>
      <w:proofErr w:type="spellEnd"/>
      <w:r w:rsidRPr="004D46AC">
        <w:rPr>
          <w:rFonts w:ascii="Arial" w:hAnsi="Arial" w:cs="Arial"/>
          <w:szCs w:val="22"/>
        </w:rPr>
        <w:t xml:space="preserve">, U., Bohnke, J. R., Chavez-Baldini, U., Gibbons, R., Ivleva, E., Clementz, B. A., Pearlson, G. D., Keshavan, M. S., Sweeney, J. A., &amp; Tamminga, C. A. (2019). Transdiagnostic dimensions of psychosis in the Bipolar-Schizophrenia Network on Intermediate Phenotypes (B-SNIP).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18</w:t>
      </w:r>
      <w:r w:rsidRPr="004D46AC">
        <w:rPr>
          <w:rFonts w:ascii="Arial" w:hAnsi="Arial" w:cs="Arial"/>
          <w:szCs w:val="22"/>
        </w:rPr>
        <w:t xml:space="preserve">(1), 67–76. https://doi.org/10.1002/wps.20607 </w:t>
      </w:r>
    </w:p>
    <w:p w14:paraId="67BACEE8"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Reininghaus</w:t>
      </w:r>
      <w:proofErr w:type="spellEnd"/>
      <w:r w:rsidRPr="004D46AC">
        <w:rPr>
          <w:rFonts w:ascii="Arial" w:hAnsi="Arial" w:cs="Arial"/>
          <w:szCs w:val="22"/>
        </w:rPr>
        <w:t xml:space="preserve">, U., Priebe, S., &amp; Bentall, R. P. (2013). Testing the psychopathology of psychosis: evidence for a general psychosis dimension.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(4), 884–895. https://doi.org/10.1093/schbul/sbr182 </w:t>
      </w:r>
    </w:p>
    <w:p w14:paraId="04A086EE"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Roccas</w:t>
      </w:r>
      <w:proofErr w:type="spellEnd"/>
      <w:r w:rsidRPr="004D46AC">
        <w:rPr>
          <w:rFonts w:ascii="Arial" w:hAnsi="Arial" w:cs="Arial"/>
          <w:szCs w:val="22"/>
        </w:rPr>
        <w:t xml:space="preserve">, S., Sagiv, L., Schwartz, S. H., &amp; Knafo, A. (2002). The Big Five Personality Factors and Personal Values. </w:t>
      </w:r>
      <w:r w:rsidRPr="004D46AC">
        <w:rPr>
          <w:rFonts w:ascii="Arial" w:hAnsi="Arial" w:cs="Arial"/>
          <w:i/>
          <w:szCs w:val="22"/>
        </w:rPr>
        <w:t>Personality and Social Psychology Bulletin</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(6), 789–801. https://doi.org/10.1177/0146167202289008 </w:t>
      </w:r>
    </w:p>
    <w:p w14:paraId="1D651A7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Ruderfer, D. M., Ripke, S., McQuillin, A., Boocock, J., Stahl, E. A., Pavlides, J. M. W., Mullins, N., Charney, A. W., Ori, A. P. S., </w:t>
      </w:r>
      <w:proofErr w:type="spellStart"/>
      <w:r w:rsidRPr="004D46AC">
        <w:rPr>
          <w:rFonts w:ascii="Arial" w:hAnsi="Arial" w:cs="Arial"/>
          <w:szCs w:val="22"/>
        </w:rPr>
        <w:t>Loohuis</w:t>
      </w:r>
      <w:proofErr w:type="spellEnd"/>
      <w:r w:rsidRPr="004D46AC">
        <w:rPr>
          <w:rFonts w:ascii="Arial" w:hAnsi="Arial" w:cs="Arial"/>
          <w:szCs w:val="22"/>
        </w:rPr>
        <w:t xml:space="preserve">, L. M. O., Domenici, E., Di Florio, A., </w:t>
      </w:r>
      <w:proofErr w:type="spellStart"/>
      <w:r w:rsidRPr="004D46AC">
        <w:rPr>
          <w:rFonts w:ascii="Arial" w:hAnsi="Arial" w:cs="Arial"/>
          <w:szCs w:val="22"/>
        </w:rPr>
        <w:t>Papiol</w:t>
      </w:r>
      <w:proofErr w:type="spellEnd"/>
      <w:r w:rsidRPr="004D46AC">
        <w:rPr>
          <w:rFonts w:ascii="Arial" w:hAnsi="Arial" w:cs="Arial"/>
          <w:szCs w:val="22"/>
        </w:rPr>
        <w:t xml:space="preserve">, S., Kalman, J. L., </w:t>
      </w:r>
      <w:proofErr w:type="spellStart"/>
      <w:r w:rsidRPr="004D46AC">
        <w:rPr>
          <w:rFonts w:ascii="Arial" w:hAnsi="Arial" w:cs="Arial"/>
          <w:szCs w:val="22"/>
        </w:rPr>
        <w:t>Trubetskoy</w:t>
      </w:r>
      <w:proofErr w:type="spellEnd"/>
      <w:r w:rsidRPr="004D46AC">
        <w:rPr>
          <w:rFonts w:ascii="Arial" w:hAnsi="Arial" w:cs="Arial"/>
          <w:szCs w:val="22"/>
        </w:rPr>
        <w:t xml:space="preserve">, V., Adolfsson, R., </w:t>
      </w:r>
      <w:proofErr w:type="spellStart"/>
      <w:r w:rsidRPr="004D46AC">
        <w:rPr>
          <w:rFonts w:ascii="Arial" w:hAnsi="Arial" w:cs="Arial"/>
          <w:szCs w:val="22"/>
        </w:rPr>
        <w:t>Agartz</w:t>
      </w:r>
      <w:proofErr w:type="spellEnd"/>
      <w:r w:rsidRPr="004D46AC">
        <w:rPr>
          <w:rFonts w:ascii="Arial" w:hAnsi="Arial" w:cs="Arial"/>
          <w:szCs w:val="22"/>
        </w:rPr>
        <w:t xml:space="preserve">, I., Agerbo, E., Akil, H.,…Kendler, K. S. (2018). Genomic Dissection of Bipolar Disorder and Schizophrenia, Including 28 </w:t>
      </w:r>
      <w:proofErr w:type="spellStart"/>
      <w:r w:rsidRPr="004D46AC">
        <w:rPr>
          <w:rFonts w:ascii="Arial" w:hAnsi="Arial" w:cs="Arial"/>
          <w:szCs w:val="22"/>
        </w:rPr>
        <w:t>Subphenotypes</w:t>
      </w:r>
      <w:proofErr w:type="spellEnd"/>
      <w:r w:rsidRPr="004D46AC">
        <w:rPr>
          <w:rFonts w:ascii="Arial" w:hAnsi="Arial" w:cs="Arial"/>
          <w:szCs w:val="22"/>
        </w:rPr>
        <w:t xml:space="preserve">. </w:t>
      </w:r>
      <w:r w:rsidRPr="004D46AC">
        <w:rPr>
          <w:rFonts w:ascii="Arial" w:hAnsi="Arial" w:cs="Arial"/>
          <w:i/>
          <w:szCs w:val="22"/>
        </w:rPr>
        <w:t>Cell</w:t>
      </w:r>
      <w:r w:rsidRPr="004D46AC">
        <w:rPr>
          <w:rFonts w:ascii="Arial" w:hAnsi="Arial" w:cs="Arial"/>
          <w:szCs w:val="22"/>
        </w:rPr>
        <w:t>,</w:t>
      </w:r>
      <w:r w:rsidRPr="004D46AC">
        <w:rPr>
          <w:rFonts w:ascii="Arial" w:hAnsi="Arial" w:cs="Arial"/>
          <w:i/>
          <w:szCs w:val="22"/>
        </w:rPr>
        <w:t xml:space="preserve"> 173</w:t>
      </w:r>
      <w:r w:rsidRPr="004D46AC">
        <w:rPr>
          <w:rFonts w:ascii="Arial" w:hAnsi="Arial" w:cs="Arial"/>
          <w:szCs w:val="22"/>
        </w:rPr>
        <w:t xml:space="preserve">(7), 1705–1715.e1716. https://doi.org/10.1016/j.cell.2018.05.046 </w:t>
      </w:r>
    </w:p>
    <w:p w14:paraId="4AB56EC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Russo, D. A., Stochl, J., </w:t>
      </w:r>
      <w:proofErr w:type="spellStart"/>
      <w:r w:rsidRPr="004D46AC">
        <w:rPr>
          <w:rFonts w:ascii="Arial" w:hAnsi="Arial" w:cs="Arial"/>
          <w:szCs w:val="22"/>
        </w:rPr>
        <w:t>Hodgekins</w:t>
      </w:r>
      <w:proofErr w:type="spellEnd"/>
      <w:r w:rsidRPr="004D46AC">
        <w:rPr>
          <w:rFonts w:ascii="Arial" w:hAnsi="Arial" w:cs="Arial"/>
          <w:szCs w:val="22"/>
        </w:rPr>
        <w:t xml:space="preserve">, J., Iglesias-González, M., Chipps, P., Painter, M., Jones, P. B., &amp; Perez, J. (2018). Attachment styles and clinical correlates in people at </w:t>
      </w:r>
      <w:proofErr w:type="spellStart"/>
      <w:r w:rsidRPr="004D46AC">
        <w:rPr>
          <w:rFonts w:ascii="Arial" w:hAnsi="Arial" w:cs="Arial"/>
          <w:szCs w:val="22"/>
        </w:rPr>
        <w:t>ultra high</w:t>
      </w:r>
      <w:proofErr w:type="spellEnd"/>
      <w:r w:rsidRPr="004D46AC">
        <w:rPr>
          <w:rFonts w:ascii="Arial" w:hAnsi="Arial" w:cs="Arial"/>
          <w:szCs w:val="22"/>
        </w:rPr>
        <w:t xml:space="preserve"> risk for psychosis. </w:t>
      </w:r>
      <w:r w:rsidRPr="004D46AC">
        <w:rPr>
          <w:rFonts w:ascii="Arial" w:hAnsi="Arial" w:cs="Arial"/>
          <w:i/>
          <w:szCs w:val="22"/>
        </w:rPr>
        <w:t>British Journal of Psychology</w:t>
      </w:r>
      <w:r w:rsidRPr="004D46AC">
        <w:rPr>
          <w:rFonts w:ascii="Arial" w:hAnsi="Arial" w:cs="Arial"/>
          <w:szCs w:val="22"/>
        </w:rPr>
        <w:t>,</w:t>
      </w:r>
      <w:r w:rsidRPr="004D46AC">
        <w:rPr>
          <w:rFonts w:ascii="Arial" w:hAnsi="Arial" w:cs="Arial"/>
          <w:i/>
          <w:szCs w:val="22"/>
        </w:rPr>
        <w:t xml:space="preserve"> 109</w:t>
      </w:r>
      <w:r w:rsidRPr="004D46AC">
        <w:rPr>
          <w:rFonts w:ascii="Arial" w:hAnsi="Arial" w:cs="Arial"/>
          <w:szCs w:val="22"/>
        </w:rPr>
        <w:t xml:space="preserve">(1), 45–62. https://doi.org/https://doi.org/10.1111/bjop.12249 </w:t>
      </w:r>
    </w:p>
    <w:p w14:paraId="2D675B1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Scott, J., Martin, N. G., Parker, R., </w:t>
      </w:r>
      <w:proofErr w:type="spellStart"/>
      <w:r w:rsidRPr="004D46AC">
        <w:rPr>
          <w:rFonts w:ascii="Arial" w:hAnsi="Arial" w:cs="Arial"/>
          <w:szCs w:val="22"/>
        </w:rPr>
        <w:t>Couvy</w:t>
      </w:r>
      <w:proofErr w:type="spellEnd"/>
      <w:r w:rsidRPr="004D46AC">
        <w:rPr>
          <w:rFonts w:ascii="Arial" w:hAnsi="Arial" w:cs="Arial"/>
          <w:szCs w:val="22"/>
        </w:rPr>
        <w:t xml:space="preserve">-Duchesne, B., Medland, S. E., &amp; Hickie, I. (2021). Prevalence of self-reported subthreshold phenotypes of major mental disorders and their association with functional impairment, treatment and full-threshold syndromes in a community-residing cohort of young adults. </w:t>
      </w:r>
      <w:r w:rsidRPr="004D46AC">
        <w:rPr>
          <w:rFonts w:ascii="Arial" w:hAnsi="Arial" w:cs="Arial"/>
          <w:i/>
          <w:szCs w:val="22"/>
        </w:rPr>
        <w:t>Early Intervention in Psychiatry</w:t>
      </w:r>
      <w:r w:rsidRPr="004D46AC">
        <w:rPr>
          <w:rFonts w:ascii="Arial" w:hAnsi="Arial" w:cs="Arial"/>
          <w:szCs w:val="22"/>
        </w:rPr>
        <w:t>,</w:t>
      </w:r>
      <w:r w:rsidRPr="004D46AC">
        <w:rPr>
          <w:rFonts w:ascii="Arial" w:hAnsi="Arial" w:cs="Arial"/>
          <w:i/>
          <w:szCs w:val="22"/>
        </w:rPr>
        <w:t xml:space="preserve"> 15</w:t>
      </w:r>
      <w:r w:rsidRPr="004D46AC">
        <w:rPr>
          <w:rFonts w:ascii="Arial" w:hAnsi="Arial" w:cs="Arial"/>
          <w:szCs w:val="22"/>
        </w:rPr>
        <w:t xml:space="preserve">(2), 306–313. https://doi.org/https://doi.org/10.1111/eip.12942 </w:t>
      </w:r>
    </w:p>
    <w:p w14:paraId="711EBE9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Şen, Ö., &amp; Yıldızhan, E. (2020). Relationship of Intolerance of Uncertainty and Attachment Styles with the Clinical Features of Bipolar Disorder in Remission. </w:t>
      </w:r>
      <w:r w:rsidRPr="004D46AC">
        <w:rPr>
          <w:rFonts w:ascii="Arial" w:hAnsi="Arial" w:cs="Arial"/>
          <w:i/>
          <w:szCs w:val="22"/>
        </w:rPr>
        <w:t xml:space="preserve">Turk </w:t>
      </w:r>
      <w:proofErr w:type="spellStart"/>
      <w:r w:rsidRPr="004D46AC">
        <w:rPr>
          <w:rFonts w:ascii="Arial" w:hAnsi="Arial" w:cs="Arial"/>
          <w:i/>
          <w:szCs w:val="22"/>
        </w:rPr>
        <w:t>Psikiyatri</w:t>
      </w:r>
      <w:proofErr w:type="spellEnd"/>
      <w:r w:rsidRPr="004D46AC">
        <w:rPr>
          <w:rFonts w:ascii="Arial" w:hAnsi="Arial" w:cs="Arial"/>
          <w:i/>
          <w:szCs w:val="22"/>
        </w:rPr>
        <w:t xml:space="preserve"> Derg</w:t>
      </w:r>
      <w:r w:rsidRPr="004D46AC">
        <w:rPr>
          <w:rFonts w:ascii="Arial" w:hAnsi="Arial" w:cs="Arial"/>
          <w:szCs w:val="22"/>
        </w:rPr>
        <w:t>,</w:t>
      </w:r>
      <w:r w:rsidRPr="004D46AC">
        <w:rPr>
          <w:rFonts w:ascii="Arial" w:hAnsi="Arial" w:cs="Arial"/>
          <w:i/>
          <w:szCs w:val="22"/>
        </w:rPr>
        <w:t xml:space="preserve"> 31</w:t>
      </w:r>
      <w:r w:rsidRPr="004D46AC">
        <w:rPr>
          <w:rFonts w:ascii="Arial" w:hAnsi="Arial" w:cs="Arial"/>
          <w:szCs w:val="22"/>
        </w:rPr>
        <w:t>(3), 174–184. https://doi.org/10.5080/u25107 (</w:t>
      </w:r>
      <w:proofErr w:type="spellStart"/>
      <w:r w:rsidRPr="004D46AC">
        <w:rPr>
          <w:rFonts w:ascii="Arial" w:hAnsi="Arial" w:cs="Arial"/>
          <w:szCs w:val="22"/>
        </w:rPr>
        <w:t>Remisyonda</w:t>
      </w:r>
      <w:proofErr w:type="spellEnd"/>
      <w:r w:rsidRPr="004D46AC">
        <w:rPr>
          <w:rFonts w:ascii="Arial" w:hAnsi="Arial" w:cs="Arial"/>
          <w:szCs w:val="22"/>
        </w:rPr>
        <w:t xml:space="preserve"> Bipolar </w:t>
      </w:r>
      <w:proofErr w:type="spellStart"/>
      <w:r w:rsidRPr="004D46AC">
        <w:rPr>
          <w:rFonts w:ascii="Arial" w:hAnsi="Arial" w:cs="Arial"/>
          <w:szCs w:val="22"/>
        </w:rPr>
        <w:t>Bozuklukta</w:t>
      </w:r>
      <w:proofErr w:type="spellEnd"/>
      <w:r w:rsidRPr="004D46AC">
        <w:rPr>
          <w:rFonts w:ascii="Arial" w:hAnsi="Arial" w:cs="Arial"/>
          <w:szCs w:val="22"/>
        </w:rPr>
        <w:t xml:space="preserve"> </w:t>
      </w:r>
      <w:proofErr w:type="spellStart"/>
      <w:r w:rsidRPr="004D46AC">
        <w:rPr>
          <w:rFonts w:ascii="Arial" w:hAnsi="Arial" w:cs="Arial"/>
          <w:szCs w:val="22"/>
        </w:rPr>
        <w:t>Belirsizliğe</w:t>
      </w:r>
      <w:proofErr w:type="spellEnd"/>
      <w:r w:rsidRPr="004D46AC">
        <w:rPr>
          <w:rFonts w:ascii="Arial" w:hAnsi="Arial" w:cs="Arial"/>
          <w:szCs w:val="22"/>
        </w:rPr>
        <w:t xml:space="preserve"> </w:t>
      </w:r>
      <w:proofErr w:type="spellStart"/>
      <w:r w:rsidRPr="004D46AC">
        <w:rPr>
          <w:rFonts w:ascii="Arial" w:hAnsi="Arial" w:cs="Arial"/>
          <w:szCs w:val="22"/>
        </w:rPr>
        <w:t>Tahammülsüzlük</w:t>
      </w:r>
      <w:proofErr w:type="spellEnd"/>
      <w:r w:rsidRPr="004D46AC">
        <w:rPr>
          <w:rFonts w:ascii="Arial" w:hAnsi="Arial" w:cs="Arial"/>
          <w:szCs w:val="22"/>
        </w:rPr>
        <w:t xml:space="preserve">, </w:t>
      </w:r>
      <w:proofErr w:type="spellStart"/>
      <w:r w:rsidRPr="004D46AC">
        <w:rPr>
          <w:rFonts w:ascii="Arial" w:hAnsi="Arial" w:cs="Arial"/>
          <w:szCs w:val="22"/>
        </w:rPr>
        <w:t>Bağlanma</w:t>
      </w:r>
      <w:proofErr w:type="spellEnd"/>
      <w:r w:rsidRPr="004D46AC">
        <w:rPr>
          <w:rFonts w:ascii="Arial" w:hAnsi="Arial" w:cs="Arial"/>
          <w:szCs w:val="22"/>
        </w:rPr>
        <w:t xml:space="preserve"> </w:t>
      </w:r>
      <w:proofErr w:type="spellStart"/>
      <w:r w:rsidRPr="004D46AC">
        <w:rPr>
          <w:rFonts w:ascii="Arial" w:hAnsi="Arial" w:cs="Arial"/>
          <w:szCs w:val="22"/>
        </w:rPr>
        <w:t>Biçimleri</w:t>
      </w:r>
      <w:proofErr w:type="spellEnd"/>
      <w:r w:rsidRPr="004D46AC">
        <w:rPr>
          <w:rFonts w:ascii="Arial" w:hAnsi="Arial" w:cs="Arial"/>
          <w:szCs w:val="22"/>
        </w:rPr>
        <w:t xml:space="preserve"> </w:t>
      </w:r>
      <w:proofErr w:type="spellStart"/>
      <w:r w:rsidRPr="004D46AC">
        <w:rPr>
          <w:rFonts w:ascii="Arial" w:hAnsi="Arial" w:cs="Arial"/>
          <w:szCs w:val="22"/>
        </w:rPr>
        <w:t>ve</w:t>
      </w:r>
      <w:proofErr w:type="spellEnd"/>
      <w:r w:rsidRPr="004D46AC">
        <w:rPr>
          <w:rFonts w:ascii="Arial" w:hAnsi="Arial" w:cs="Arial"/>
          <w:szCs w:val="22"/>
        </w:rPr>
        <w:t xml:space="preserve"> Klinik </w:t>
      </w:r>
      <w:proofErr w:type="spellStart"/>
      <w:r w:rsidRPr="004D46AC">
        <w:rPr>
          <w:rFonts w:ascii="Arial" w:hAnsi="Arial" w:cs="Arial"/>
          <w:szCs w:val="22"/>
        </w:rPr>
        <w:t>Özelliklerin</w:t>
      </w:r>
      <w:proofErr w:type="spellEnd"/>
      <w:r w:rsidRPr="004D46AC">
        <w:rPr>
          <w:rFonts w:ascii="Arial" w:hAnsi="Arial" w:cs="Arial"/>
          <w:szCs w:val="22"/>
        </w:rPr>
        <w:t xml:space="preserve"> </w:t>
      </w:r>
      <w:proofErr w:type="spellStart"/>
      <w:r w:rsidRPr="004D46AC">
        <w:rPr>
          <w:rFonts w:ascii="Arial" w:hAnsi="Arial" w:cs="Arial"/>
          <w:szCs w:val="22"/>
        </w:rPr>
        <w:t>İlişkisi</w:t>
      </w:r>
      <w:proofErr w:type="spellEnd"/>
      <w:r w:rsidRPr="004D46AC">
        <w:rPr>
          <w:rFonts w:ascii="Arial" w:hAnsi="Arial" w:cs="Arial"/>
          <w:szCs w:val="22"/>
        </w:rPr>
        <w:t xml:space="preserve">.) </w:t>
      </w:r>
    </w:p>
    <w:p w14:paraId="4383D33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Shams, M., Pardini, S., Del Bianco, P., Calabrese, C., De Salvo, G. L., &amp; Novara, C. (2023). The predictive role of intolerance of uncertainty and trait of worry in breast cancer patients: A prospective, observational, single-</w:t>
      </w:r>
      <w:proofErr w:type="spellStart"/>
      <w:r w:rsidRPr="004D46AC">
        <w:rPr>
          <w:rFonts w:ascii="Arial" w:hAnsi="Arial" w:cs="Arial"/>
          <w:szCs w:val="22"/>
        </w:rPr>
        <w:t>center</w:t>
      </w:r>
      <w:proofErr w:type="spellEnd"/>
      <w:r w:rsidRPr="004D46AC">
        <w:rPr>
          <w:rFonts w:ascii="Arial" w:hAnsi="Arial" w:cs="Arial"/>
          <w:szCs w:val="22"/>
        </w:rPr>
        <w:t xml:space="preserve"> clinical study [Original Research]. </w:t>
      </w:r>
      <w:r w:rsidRPr="004D46AC">
        <w:rPr>
          <w:rFonts w:ascii="Arial" w:hAnsi="Arial" w:cs="Arial"/>
          <w:i/>
          <w:szCs w:val="22"/>
        </w:rPr>
        <w:t>Frontiers in Psychology</w:t>
      </w:r>
      <w:r w:rsidRPr="004D46AC">
        <w:rPr>
          <w:rFonts w:ascii="Arial" w:hAnsi="Arial" w:cs="Arial"/>
          <w:szCs w:val="22"/>
        </w:rPr>
        <w:t>,</w:t>
      </w:r>
      <w:r w:rsidRPr="004D46AC">
        <w:rPr>
          <w:rFonts w:ascii="Arial" w:hAnsi="Arial" w:cs="Arial"/>
          <w:i/>
          <w:szCs w:val="22"/>
        </w:rPr>
        <w:t xml:space="preserve"> Volume 14 - 2023</w:t>
      </w:r>
      <w:r w:rsidRPr="004D46AC">
        <w:rPr>
          <w:rFonts w:ascii="Arial" w:hAnsi="Arial" w:cs="Arial"/>
          <w:szCs w:val="22"/>
        </w:rPr>
        <w:t xml:space="preserve">. https://doi.org/10.3389/fpsyg.2023.1092060 </w:t>
      </w:r>
    </w:p>
    <w:p w14:paraId="334AF61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Shao, W., Shao, K., &amp; Bentall, R. P. (in press). Comorbid schizophrenia and psychotic symptoms in patients with bipolar disorder: A meta-analysis of the global literature. In.</w:t>
      </w:r>
    </w:p>
    <w:p w14:paraId="5DD0B08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Shao, W., Simmonds-Buckley, M., </w:t>
      </w:r>
      <w:proofErr w:type="spellStart"/>
      <w:r w:rsidRPr="004D46AC">
        <w:rPr>
          <w:rFonts w:ascii="Arial" w:hAnsi="Arial" w:cs="Arial"/>
          <w:szCs w:val="22"/>
        </w:rPr>
        <w:t>Zavlis</w:t>
      </w:r>
      <w:proofErr w:type="spellEnd"/>
      <w:r w:rsidRPr="004D46AC">
        <w:rPr>
          <w:rFonts w:ascii="Arial" w:hAnsi="Arial" w:cs="Arial"/>
          <w:szCs w:val="22"/>
        </w:rPr>
        <w:t xml:space="preserve">, O., &amp; Bentall, R. P. (2024). The Common Structure of the Major Psychoses: More Similarities Than Differences in the Network Structures of Schizophrenia, Schizoaffective Disorder, and Psychotic Bipolar Disorder.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 xml:space="preserve">, sbae154. https://doi.org/10.1093/schbul/sbae154 </w:t>
      </w:r>
    </w:p>
    <w:p w14:paraId="2A10AD1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Shevlin, M., McElroy, E., Christoffersen, M. N., Elklit, A., Hyland, P., &amp; Murphy, J. (2016). Social, familial and psychological risk factors for psychosis: A birth cohort study using the Danish Registry System. </w:t>
      </w:r>
      <w:r w:rsidRPr="004D46AC">
        <w:rPr>
          <w:rFonts w:ascii="Arial" w:hAnsi="Arial" w:cs="Arial"/>
          <w:i/>
          <w:szCs w:val="22"/>
        </w:rPr>
        <w:t>Psychosis</w:t>
      </w:r>
      <w:r w:rsidRPr="004D46AC">
        <w:rPr>
          <w:rFonts w:ascii="Arial" w:hAnsi="Arial" w:cs="Arial"/>
          <w:szCs w:val="22"/>
        </w:rPr>
        <w:t>,</w:t>
      </w:r>
      <w:r w:rsidRPr="004D46AC">
        <w:rPr>
          <w:rFonts w:ascii="Arial" w:hAnsi="Arial" w:cs="Arial"/>
          <w:i/>
          <w:szCs w:val="22"/>
        </w:rPr>
        <w:t xml:space="preserve"> 8</w:t>
      </w:r>
      <w:r w:rsidRPr="004D46AC">
        <w:rPr>
          <w:rFonts w:ascii="Arial" w:hAnsi="Arial" w:cs="Arial"/>
          <w:szCs w:val="22"/>
        </w:rPr>
        <w:t xml:space="preserve">(2), 95–105. https://doi.org/10.1080/17522439.2015.1113306 </w:t>
      </w:r>
    </w:p>
    <w:p w14:paraId="5CCC3B5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Spitzer, R. L., Kroenke, K., Williams, J. B., &amp; Lowe, B. (2006). A brief measure for assessing generalized anxiety disorder: the GAD-7. </w:t>
      </w:r>
      <w:r w:rsidRPr="004D46AC">
        <w:rPr>
          <w:rFonts w:ascii="Arial" w:hAnsi="Arial" w:cs="Arial"/>
          <w:i/>
          <w:szCs w:val="22"/>
        </w:rPr>
        <w:t>Arch Intern Med</w:t>
      </w:r>
      <w:r w:rsidRPr="004D46AC">
        <w:rPr>
          <w:rFonts w:ascii="Arial" w:hAnsi="Arial" w:cs="Arial"/>
          <w:szCs w:val="22"/>
        </w:rPr>
        <w:t>,</w:t>
      </w:r>
      <w:r w:rsidRPr="004D46AC">
        <w:rPr>
          <w:rFonts w:ascii="Arial" w:hAnsi="Arial" w:cs="Arial"/>
          <w:i/>
          <w:szCs w:val="22"/>
        </w:rPr>
        <w:t xml:space="preserve"> 166</w:t>
      </w:r>
      <w:r w:rsidRPr="004D46AC">
        <w:rPr>
          <w:rFonts w:ascii="Arial" w:hAnsi="Arial" w:cs="Arial"/>
          <w:szCs w:val="22"/>
        </w:rPr>
        <w:t xml:space="preserve">(10), 1092–1097. https://doi.org/10.1001/archinte.166.10.1092 </w:t>
      </w:r>
    </w:p>
    <w:p w14:paraId="220D747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Stokes, P. R. A., </w:t>
      </w:r>
      <w:proofErr w:type="spellStart"/>
      <w:r w:rsidRPr="004D46AC">
        <w:rPr>
          <w:rFonts w:ascii="Arial" w:hAnsi="Arial" w:cs="Arial"/>
          <w:szCs w:val="22"/>
        </w:rPr>
        <w:t>Yalin</w:t>
      </w:r>
      <w:proofErr w:type="spellEnd"/>
      <w:r w:rsidRPr="004D46AC">
        <w:rPr>
          <w:rFonts w:ascii="Arial" w:hAnsi="Arial" w:cs="Arial"/>
          <w:szCs w:val="22"/>
        </w:rPr>
        <w:t xml:space="preserve">, N., </w:t>
      </w:r>
      <w:proofErr w:type="spellStart"/>
      <w:r w:rsidRPr="004D46AC">
        <w:rPr>
          <w:rFonts w:ascii="Arial" w:hAnsi="Arial" w:cs="Arial"/>
          <w:szCs w:val="22"/>
        </w:rPr>
        <w:t>Mantingh</w:t>
      </w:r>
      <w:proofErr w:type="spellEnd"/>
      <w:r w:rsidRPr="004D46AC">
        <w:rPr>
          <w:rFonts w:ascii="Arial" w:hAnsi="Arial" w:cs="Arial"/>
          <w:szCs w:val="22"/>
        </w:rPr>
        <w:t xml:space="preserve">, T., Colasanti, A., Patel, R., </w:t>
      </w:r>
      <w:proofErr w:type="spellStart"/>
      <w:r w:rsidRPr="004D46AC">
        <w:rPr>
          <w:rFonts w:ascii="Arial" w:hAnsi="Arial" w:cs="Arial"/>
          <w:szCs w:val="22"/>
        </w:rPr>
        <w:t>Bellivier</w:t>
      </w:r>
      <w:proofErr w:type="spellEnd"/>
      <w:r w:rsidRPr="004D46AC">
        <w:rPr>
          <w:rFonts w:ascii="Arial" w:hAnsi="Arial" w:cs="Arial"/>
          <w:szCs w:val="22"/>
        </w:rPr>
        <w:t xml:space="preserve">, F., Leboyer, M., Henry, C., Kahn, J.-P., Etain, B., &amp; Young, A. H. (2020). Unipolar mania: Identification and characterisation of cases in France and the United Kingdom.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263</w:t>
      </w:r>
      <w:r w:rsidRPr="004D46AC">
        <w:rPr>
          <w:rFonts w:ascii="Arial" w:hAnsi="Arial" w:cs="Arial"/>
          <w:szCs w:val="22"/>
        </w:rPr>
        <w:t xml:space="preserve">, 228–235. https://doi.org/https://doi.org/10.1016/j.jad.2019.11.024 </w:t>
      </w:r>
    </w:p>
    <w:p w14:paraId="7939B65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Tasca, G. A., </w:t>
      </w:r>
      <w:proofErr w:type="spellStart"/>
      <w:r w:rsidRPr="004D46AC">
        <w:rPr>
          <w:rFonts w:ascii="Arial" w:hAnsi="Arial" w:cs="Arial"/>
          <w:szCs w:val="22"/>
        </w:rPr>
        <w:t>Brugnera</w:t>
      </w:r>
      <w:proofErr w:type="spellEnd"/>
      <w:r w:rsidRPr="004D46AC">
        <w:rPr>
          <w:rFonts w:ascii="Arial" w:hAnsi="Arial" w:cs="Arial"/>
          <w:szCs w:val="22"/>
        </w:rPr>
        <w:t xml:space="preserve">, A., Baldwin, D., Carlucci, S., Compare, A., Balfour, L., Proulx, G., Gick, M., &amp; Lafontaine, M.-F. (2018). Reliability and validity of the Experiences in Close Relationships Scale-12: Attachment dimensions in a clinical sample with eating disorders. </w:t>
      </w:r>
      <w:r w:rsidRPr="004D46AC">
        <w:rPr>
          <w:rFonts w:ascii="Arial" w:hAnsi="Arial" w:cs="Arial"/>
          <w:i/>
          <w:szCs w:val="22"/>
        </w:rPr>
        <w:t>International Journal of Eating Disorders</w:t>
      </w:r>
      <w:r w:rsidRPr="004D46AC">
        <w:rPr>
          <w:rFonts w:ascii="Arial" w:hAnsi="Arial" w:cs="Arial"/>
          <w:szCs w:val="22"/>
        </w:rPr>
        <w:t>,</w:t>
      </w:r>
      <w:r w:rsidRPr="004D46AC">
        <w:rPr>
          <w:rFonts w:ascii="Arial" w:hAnsi="Arial" w:cs="Arial"/>
          <w:i/>
          <w:szCs w:val="22"/>
        </w:rPr>
        <w:t xml:space="preserve"> 51</w:t>
      </w:r>
      <w:r w:rsidRPr="004D46AC">
        <w:rPr>
          <w:rFonts w:ascii="Arial" w:hAnsi="Arial" w:cs="Arial"/>
          <w:szCs w:val="22"/>
        </w:rPr>
        <w:t xml:space="preserve">(1), 18–27. https://doi.org/https://doi.org/10.1002/eat.22807 </w:t>
      </w:r>
    </w:p>
    <w:p w14:paraId="36163CB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Twiss, J., Jones, S., &amp; Anderson, I. (2008). Validation of the Mood Disorder Questionnaire for screening for bipolar disorder in a UK sample. </w:t>
      </w:r>
      <w:r w:rsidRPr="004D46AC">
        <w:rPr>
          <w:rFonts w:ascii="Arial" w:hAnsi="Arial" w:cs="Arial"/>
          <w:i/>
          <w:szCs w:val="22"/>
        </w:rPr>
        <w:t xml:space="preserve">J Affect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110</w:t>
      </w:r>
      <w:r w:rsidRPr="004D46AC">
        <w:rPr>
          <w:rFonts w:ascii="Arial" w:hAnsi="Arial" w:cs="Arial"/>
          <w:szCs w:val="22"/>
        </w:rPr>
        <w:t xml:space="preserve">(1-2), 180–184. https://doi.org/10.1016/j.jad.2007.12.235 </w:t>
      </w:r>
    </w:p>
    <w:p w14:paraId="0E2523F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der Tuin, S., Hoekstra, R. H. A., Booij, S. H., </w:t>
      </w:r>
      <w:proofErr w:type="spellStart"/>
      <w:r w:rsidRPr="004D46AC">
        <w:rPr>
          <w:rFonts w:ascii="Arial" w:hAnsi="Arial" w:cs="Arial"/>
          <w:szCs w:val="22"/>
        </w:rPr>
        <w:t>Oldehinkel</w:t>
      </w:r>
      <w:proofErr w:type="spellEnd"/>
      <w:r w:rsidRPr="004D46AC">
        <w:rPr>
          <w:rFonts w:ascii="Arial" w:hAnsi="Arial" w:cs="Arial"/>
          <w:szCs w:val="22"/>
        </w:rPr>
        <w:t xml:space="preserve">, A. J., </w:t>
      </w:r>
      <w:proofErr w:type="spellStart"/>
      <w:r w:rsidRPr="004D46AC">
        <w:rPr>
          <w:rFonts w:ascii="Arial" w:hAnsi="Arial" w:cs="Arial"/>
          <w:szCs w:val="22"/>
        </w:rPr>
        <w:t>Wardenaar</w:t>
      </w:r>
      <w:proofErr w:type="spellEnd"/>
      <w:r w:rsidRPr="004D46AC">
        <w:rPr>
          <w:rFonts w:ascii="Arial" w:hAnsi="Arial" w:cs="Arial"/>
          <w:szCs w:val="22"/>
        </w:rPr>
        <w:t xml:space="preserve">, K. J., van den Berg, D., Borsboom, D., &amp; Wigman, J. T. W. (2023). Relating stability of individual dynamical networks to change in psychopathology. </w:t>
      </w:r>
      <w:r w:rsidRPr="004D46AC">
        <w:rPr>
          <w:rFonts w:ascii="Arial" w:hAnsi="Arial" w:cs="Arial"/>
          <w:i/>
          <w:szCs w:val="22"/>
        </w:rPr>
        <w:t>PLOS ONE</w:t>
      </w:r>
      <w:r w:rsidRPr="004D46AC">
        <w:rPr>
          <w:rFonts w:ascii="Arial" w:hAnsi="Arial" w:cs="Arial"/>
          <w:szCs w:val="22"/>
        </w:rPr>
        <w:t>,</w:t>
      </w:r>
      <w:r w:rsidRPr="004D46AC">
        <w:rPr>
          <w:rFonts w:ascii="Arial" w:hAnsi="Arial" w:cs="Arial"/>
          <w:i/>
          <w:szCs w:val="22"/>
        </w:rPr>
        <w:t xml:space="preserve"> 18</w:t>
      </w:r>
      <w:r w:rsidRPr="004D46AC">
        <w:rPr>
          <w:rFonts w:ascii="Arial" w:hAnsi="Arial" w:cs="Arial"/>
          <w:szCs w:val="22"/>
        </w:rPr>
        <w:t xml:space="preserve">(11), e0293200. https://doi.org/10.1371/journal.pone.0293200 </w:t>
      </w:r>
    </w:p>
    <w:p w14:paraId="41E14D2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w:t>
      </w:r>
      <w:proofErr w:type="spellStart"/>
      <w:r w:rsidRPr="004D46AC">
        <w:rPr>
          <w:rFonts w:ascii="Arial" w:hAnsi="Arial" w:cs="Arial"/>
          <w:szCs w:val="22"/>
        </w:rPr>
        <w:t>Os</w:t>
      </w:r>
      <w:proofErr w:type="spellEnd"/>
      <w:r w:rsidRPr="004D46AC">
        <w:rPr>
          <w:rFonts w:ascii="Arial" w:hAnsi="Arial" w:cs="Arial"/>
          <w:szCs w:val="22"/>
        </w:rPr>
        <w:t>, J., Linscott, R. J., Myin-</w:t>
      </w:r>
      <w:proofErr w:type="spellStart"/>
      <w:r w:rsidRPr="004D46AC">
        <w:rPr>
          <w:rFonts w:ascii="Arial" w:hAnsi="Arial" w:cs="Arial"/>
          <w:szCs w:val="22"/>
        </w:rPr>
        <w:t>Germeys</w:t>
      </w:r>
      <w:proofErr w:type="spellEnd"/>
      <w:r w:rsidRPr="004D46AC">
        <w:rPr>
          <w:rFonts w:ascii="Arial" w:hAnsi="Arial" w:cs="Arial"/>
          <w:szCs w:val="22"/>
        </w:rPr>
        <w:t xml:space="preserve">, I., </w:t>
      </w:r>
      <w:proofErr w:type="spellStart"/>
      <w:r w:rsidRPr="004D46AC">
        <w:rPr>
          <w:rFonts w:ascii="Arial" w:hAnsi="Arial" w:cs="Arial"/>
          <w:szCs w:val="22"/>
        </w:rPr>
        <w:t>Delespaul</w:t>
      </w:r>
      <w:proofErr w:type="spellEnd"/>
      <w:r w:rsidRPr="004D46AC">
        <w:rPr>
          <w:rFonts w:ascii="Arial" w:hAnsi="Arial" w:cs="Arial"/>
          <w:szCs w:val="22"/>
        </w:rPr>
        <w:t xml:space="preserve">, P., &amp; </w:t>
      </w:r>
      <w:proofErr w:type="spellStart"/>
      <w:r w:rsidRPr="004D46AC">
        <w:rPr>
          <w:rFonts w:ascii="Arial" w:hAnsi="Arial" w:cs="Arial"/>
          <w:szCs w:val="22"/>
        </w:rPr>
        <w:t>Krabbendam</w:t>
      </w:r>
      <w:proofErr w:type="spellEnd"/>
      <w:r w:rsidRPr="004D46AC">
        <w:rPr>
          <w:rFonts w:ascii="Arial" w:hAnsi="Arial" w:cs="Arial"/>
          <w:szCs w:val="22"/>
        </w:rPr>
        <w:t xml:space="preserve">, L. (2009). A systematic review and meta-analysis of the psychosis continuum: evidence for a psychosis proneness-persistence-impairment model of psychotic disorder. </w:t>
      </w:r>
      <w:proofErr w:type="spellStart"/>
      <w:r w:rsidRPr="004D46AC">
        <w:rPr>
          <w:rFonts w:ascii="Arial" w:hAnsi="Arial" w:cs="Arial"/>
          <w:i/>
          <w:szCs w:val="22"/>
        </w:rPr>
        <w:t>Psychol</w:t>
      </w:r>
      <w:proofErr w:type="spellEnd"/>
      <w:r w:rsidRPr="004D46AC">
        <w:rPr>
          <w:rFonts w:ascii="Arial" w:hAnsi="Arial" w:cs="Arial"/>
          <w:i/>
          <w:szCs w:val="22"/>
        </w:rPr>
        <w:t xml:space="preserve"> Med</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(2), 179–195. https://doi.org/10.1017/S0033291708003814 </w:t>
      </w:r>
    </w:p>
    <w:p w14:paraId="7B5A11F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Snellenberg, J. X., &amp; de Candia, T. (2009). Meta-analytic evidence for familial coaggregation of schizophrenia and bipolar disorder. </w:t>
      </w:r>
      <w:r w:rsidRPr="004D46AC">
        <w:rPr>
          <w:rFonts w:ascii="Arial" w:hAnsi="Arial" w:cs="Arial"/>
          <w:i/>
          <w:szCs w:val="22"/>
        </w:rPr>
        <w:t>Arch Gen Psychiatry</w:t>
      </w:r>
      <w:r w:rsidRPr="004D46AC">
        <w:rPr>
          <w:rFonts w:ascii="Arial" w:hAnsi="Arial" w:cs="Arial"/>
          <w:szCs w:val="22"/>
        </w:rPr>
        <w:t>,</w:t>
      </w:r>
      <w:r w:rsidRPr="004D46AC">
        <w:rPr>
          <w:rFonts w:ascii="Arial" w:hAnsi="Arial" w:cs="Arial"/>
          <w:i/>
          <w:szCs w:val="22"/>
        </w:rPr>
        <w:t xml:space="preserve"> 66</w:t>
      </w:r>
      <w:r w:rsidRPr="004D46AC">
        <w:rPr>
          <w:rFonts w:ascii="Arial" w:hAnsi="Arial" w:cs="Arial"/>
          <w:szCs w:val="22"/>
        </w:rPr>
        <w:t xml:space="preserve">(7), 748–755. https://doi.org/10.1001/archgenpsychiatry.2009.64 </w:t>
      </w:r>
    </w:p>
    <w:p w14:paraId="496FCBB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Varese, F., Smeets, F., Drukker, M., </w:t>
      </w:r>
      <w:proofErr w:type="spellStart"/>
      <w:r w:rsidRPr="004D46AC">
        <w:rPr>
          <w:rFonts w:ascii="Arial" w:hAnsi="Arial" w:cs="Arial"/>
          <w:szCs w:val="22"/>
        </w:rPr>
        <w:t>Lieverse</w:t>
      </w:r>
      <w:proofErr w:type="spellEnd"/>
      <w:r w:rsidRPr="004D46AC">
        <w:rPr>
          <w:rFonts w:ascii="Arial" w:hAnsi="Arial" w:cs="Arial"/>
          <w:szCs w:val="22"/>
        </w:rPr>
        <w:t xml:space="preserve">, R., </w:t>
      </w:r>
      <w:proofErr w:type="spellStart"/>
      <w:r w:rsidRPr="004D46AC">
        <w:rPr>
          <w:rFonts w:ascii="Arial" w:hAnsi="Arial" w:cs="Arial"/>
          <w:szCs w:val="22"/>
        </w:rPr>
        <w:t>Lataster</w:t>
      </w:r>
      <w:proofErr w:type="spellEnd"/>
      <w:r w:rsidRPr="004D46AC">
        <w:rPr>
          <w:rFonts w:ascii="Arial" w:hAnsi="Arial" w:cs="Arial"/>
          <w:szCs w:val="22"/>
        </w:rPr>
        <w:t xml:space="preserve">, T., </w:t>
      </w:r>
      <w:proofErr w:type="spellStart"/>
      <w:r w:rsidRPr="004D46AC">
        <w:rPr>
          <w:rFonts w:ascii="Arial" w:hAnsi="Arial" w:cs="Arial"/>
          <w:szCs w:val="22"/>
        </w:rPr>
        <w:t>Viechtbauer</w:t>
      </w:r>
      <w:proofErr w:type="spellEnd"/>
      <w:r w:rsidRPr="004D46AC">
        <w:rPr>
          <w:rFonts w:ascii="Arial" w:hAnsi="Arial" w:cs="Arial"/>
          <w:szCs w:val="22"/>
        </w:rPr>
        <w:t xml:space="preserve">, W., Read, J., van </w:t>
      </w:r>
      <w:proofErr w:type="spellStart"/>
      <w:r w:rsidRPr="004D46AC">
        <w:rPr>
          <w:rFonts w:ascii="Arial" w:hAnsi="Arial" w:cs="Arial"/>
          <w:szCs w:val="22"/>
        </w:rPr>
        <w:t>Os</w:t>
      </w:r>
      <w:proofErr w:type="spellEnd"/>
      <w:r w:rsidRPr="004D46AC">
        <w:rPr>
          <w:rFonts w:ascii="Arial" w:hAnsi="Arial" w:cs="Arial"/>
          <w:szCs w:val="22"/>
        </w:rPr>
        <w:t xml:space="preserve">, J., &amp; Bentall, R. P. (2012). Childhood adversities increase the risk of psychosis: a meta-analysis of patient-control, prospective- and cross-sectional cohort studies.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w:t>
      </w:r>
      <w:r w:rsidRPr="004D46AC">
        <w:rPr>
          <w:rFonts w:ascii="Arial" w:hAnsi="Arial" w:cs="Arial"/>
          <w:i/>
          <w:szCs w:val="22"/>
        </w:rPr>
        <w:t xml:space="preserve"> 38</w:t>
      </w:r>
      <w:r w:rsidRPr="004D46AC">
        <w:rPr>
          <w:rFonts w:ascii="Arial" w:hAnsi="Arial" w:cs="Arial"/>
          <w:szCs w:val="22"/>
        </w:rPr>
        <w:t xml:space="preserve">(4), 661–671. https://doi.org/10.1093/schbul/sbs050 </w:t>
      </w:r>
    </w:p>
    <w:p w14:paraId="60E6A13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Wang, K., Song, L. L., Cheung, E. F., Lui, S. S., Shum, D. H., &amp; Chan, R. C. (2013). Bipolar disorder and schizophrenia share a similar deficit in semantic inhibition: a meta-analysis based on Hayling Sentence Completion Test performance. </w:t>
      </w:r>
      <w:r w:rsidRPr="004D46AC">
        <w:rPr>
          <w:rFonts w:ascii="Arial" w:hAnsi="Arial" w:cs="Arial"/>
          <w:i/>
          <w:szCs w:val="22"/>
        </w:rPr>
        <w:t xml:space="preserve">Prog </w:t>
      </w:r>
      <w:proofErr w:type="spellStart"/>
      <w:r w:rsidRPr="004D46AC">
        <w:rPr>
          <w:rFonts w:ascii="Arial" w:hAnsi="Arial" w:cs="Arial"/>
          <w:i/>
          <w:szCs w:val="22"/>
        </w:rPr>
        <w:t>Neuropsychopharmacol</w:t>
      </w:r>
      <w:proofErr w:type="spellEnd"/>
      <w:r w:rsidRPr="004D46AC">
        <w:rPr>
          <w:rFonts w:ascii="Arial" w:hAnsi="Arial" w:cs="Arial"/>
          <w:i/>
          <w:szCs w:val="22"/>
        </w:rPr>
        <w:t xml:space="preserve"> </w:t>
      </w:r>
      <w:proofErr w:type="spellStart"/>
      <w:r w:rsidRPr="004D46AC">
        <w:rPr>
          <w:rFonts w:ascii="Arial" w:hAnsi="Arial" w:cs="Arial"/>
          <w:i/>
          <w:szCs w:val="22"/>
        </w:rPr>
        <w:t>Biol</w:t>
      </w:r>
      <w:proofErr w:type="spellEnd"/>
      <w:r w:rsidRPr="004D46AC">
        <w:rPr>
          <w:rFonts w:ascii="Arial" w:hAnsi="Arial" w:cs="Arial"/>
          <w:i/>
          <w:szCs w:val="22"/>
        </w:rPr>
        <w:t xml:space="preserve"> Psychiatry</w:t>
      </w:r>
      <w:r w:rsidRPr="004D46AC">
        <w:rPr>
          <w:rFonts w:ascii="Arial" w:hAnsi="Arial" w:cs="Arial"/>
          <w:szCs w:val="22"/>
        </w:rPr>
        <w:t>,</w:t>
      </w:r>
      <w:r w:rsidRPr="004D46AC">
        <w:rPr>
          <w:rFonts w:ascii="Arial" w:hAnsi="Arial" w:cs="Arial"/>
          <w:i/>
          <w:szCs w:val="22"/>
        </w:rPr>
        <w:t xml:space="preserve"> 46</w:t>
      </w:r>
      <w:r w:rsidRPr="004D46AC">
        <w:rPr>
          <w:rFonts w:ascii="Arial" w:hAnsi="Arial" w:cs="Arial"/>
          <w:szCs w:val="22"/>
        </w:rPr>
        <w:t xml:space="preserve">, 153–160. https://doi.org/10.1016/j.pnpbp.2013.07.012 </w:t>
      </w:r>
    </w:p>
    <w:p w14:paraId="0AC3993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WHO. (2022). </w:t>
      </w:r>
      <w:r w:rsidRPr="004D46AC">
        <w:rPr>
          <w:rFonts w:ascii="Arial" w:hAnsi="Arial" w:cs="Arial"/>
          <w:i/>
          <w:szCs w:val="22"/>
        </w:rPr>
        <w:t>ICD-11 for Mortality and Morbidity Statistics</w:t>
      </w:r>
      <w:r w:rsidRPr="004D46AC">
        <w:rPr>
          <w:rFonts w:ascii="Arial" w:hAnsi="Arial" w:cs="Arial"/>
          <w:szCs w:val="22"/>
        </w:rPr>
        <w:t>. https://icd.who.int/browse11/l-m/en#/http://id.who.int/icd/entity/613065957</w:t>
      </w:r>
    </w:p>
    <w:p w14:paraId="0CDAA65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Wickham, S., Sitko, K., &amp; Bentall, R. P. (2015). Insecure attachment is associated with paranoia but not hallucinations in psychotic patients: the mediating role of negative self-esteem.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45</w:t>
      </w:r>
      <w:r w:rsidRPr="004D46AC">
        <w:rPr>
          <w:rFonts w:ascii="Arial" w:hAnsi="Arial" w:cs="Arial"/>
          <w:szCs w:val="22"/>
        </w:rPr>
        <w:t xml:space="preserve">(7), 1495–1507. https://doi.org/10.1017/S0033291714002633 </w:t>
      </w:r>
    </w:p>
    <w:p w14:paraId="3B2BD74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Yang, F., Hong, X., Tao, J., Chen, Y., Zhang, Y., &amp; Xiao, H. (2021). Hair cortisol, social support, personality traits, and clinical course: differences in schizophrenia and bipolar disorder. </w:t>
      </w:r>
      <w:r w:rsidRPr="004D46AC">
        <w:rPr>
          <w:rFonts w:ascii="Arial" w:hAnsi="Arial" w:cs="Arial"/>
          <w:i/>
          <w:szCs w:val="22"/>
        </w:rPr>
        <w:t>Brain Behav</w:t>
      </w:r>
      <w:r w:rsidRPr="004D46AC">
        <w:rPr>
          <w:rFonts w:ascii="Arial" w:hAnsi="Arial" w:cs="Arial"/>
          <w:szCs w:val="22"/>
        </w:rPr>
        <w:t>,</w:t>
      </w:r>
      <w:r w:rsidRPr="004D46AC">
        <w:rPr>
          <w:rFonts w:ascii="Arial" w:hAnsi="Arial" w:cs="Arial"/>
          <w:i/>
          <w:szCs w:val="22"/>
        </w:rPr>
        <w:t xml:space="preserve"> 11</w:t>
      </w:r>
      <w:r w:rsidRPr="004D46AC">
        <w:rPr>
          <w:rFonts w:ascii="Arial" w:hAnsi="Arial" w:cs="Arial"/>
          <w:szCs w:val="22"/>
        </w:rPr>
        <w:t xml:space="preserve">(12), e2412. https://doi.org/10.1002/brb3.2412 </w:t>
      </w:r>
    </w:p>
    <w:p w14:paraId="1BEFAFA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Young, S., Pfaff, D., Lewandowski, K. E., Ravichandran, C., Cohen, B. M., &amp; </w:t>
      </w:r>
      <w:proofErr w:type="spellStart"/>
      <w:r w:rsidRPr="004D46AC">
        <w:rPr>
          <w:rFonts w:ascii="Arial" w:hAnsi="Arial" w:cs="Arial"/>
          <w:szCs w:val="22"/>
        </w:rPr>
        <w:t>Öngür</w:t>
      </w:r>
      <w:proofErr w:type="spellEnd"/>
      <w:r w:rsidRPr="004D46AC">
        <w:rPr>
          <w:rFonts w:ascii="Arial" w:hAnsi="Arial" w:cs="Arial"/>
          <w:szCs w:val="22"/>
        </w:rPr>
        <w:t xml:space="preserve">, D. (2012). Anxiety Disorder Comorbidity in Bipolar Disorder, Schizophrenia and Schizoaffective Disorder. </w:t>
      </w:r>
      <w:r w:rsidRPr="004D46AC">
        <w:rPr>
          <w:rFonts w:ascii="Arial" w:hAnsi="Arial" w:cs="Arial"/>
          <w:i/>
          <w:szCs w:val="22"/>
        </w:rPr>
        <w:t>Psychopathology</w:t>
      </w:r>
      <w:r w:rsidRPr="004D46AC">
        <w:rPr>
          <w:rFonts w:ascii="Arial" w:hAnsi="Arial" w:cs="Arial"/>
          <w:szCs w:val="22"/>
        </w:rPr>
        <w:t>,</w:t>
      </w:r>
      <w:r w:rsidRPr="004D46AC">
        <w:rPr>
          <w:rFonts w:ascii="Arial" w:hAnsi="Arial" w:cs="Arial"/>
          <w:i/>
          <w:szCs w:val="22"/>
        </w:rPr>
        <w:t xml:space="preserve"> 46</w:t>
      </w:r>
      <w:r w:rsidRPr="004D46AC">
        <w:rPr>
          <w:rFonts w:ascii="Arial" w:hAnsi="Arial" w:cs="Arial"/>
          <w:szCs w:val="22"/>
        </w:rPr>
        <w:t xml:space="preserve">(3), 176–185. https://doi.org/10.1159/000339556 </w:t>
      </w:r>
    </w:p>
    <w:p w14:paraId="5532EEEA"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Zavlis</w:t>
      </w:r>
      <w:proofErr w:type="spellEnd"/>
      <w:r w:rsidRPr="004D46AC">
        <w:rPr>
          <w:rFonts w:ascii="Arial" w:hAnsi="Arial" w:cs="Arial"/>
          <w:szCs w:val="22"/>
        </w:rPr>
        <w:t xml:space="preserve">, O., Matheou, A., &amp; Bentall, R. (2023). Identifying the bridge between depression and mania: A machine learning and network approach to bipolar disorder. </w:t>
      </w:r>
      <w:r w:rsidRPr="004D46AC">
        <w:rPr>
          <w:rFonts w:ascii="Arial" w:hAnsi="Arial" w:cs="Arial"/>
          <w:i/>
          <w:szCs w:val="22"/>
        </w:rPr>
        <w:t xml:space="preserve">Bipolar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(7), 571–582. https://doi.org/10.1111/bdi.13316 </w:t>
      </w:r>
    </w:p>
    <w:p w14:paraId="1E045EE7" w14:textId="77777777" w:rsidR="007075D9" w:rsidRPr="004D46AC" w:rsidRDefault="007075D9" w:rsidP="00B518F1">
      <w:pPr>
        <w:pStyle w:val="EndNoteBibliography"/>
        <w:spacing w:line="360" w:lineRule="auto"/>
        <w:ind w:left="720" w:hanging="720"/>
        <w:rPr>
          <w:rFonts w:ascii="Arial" w:hAnsi="Arial" w:cs="Arial"/>
          <w:szCs w:val="22"/>
        </w:rPr>
        <w:sectPr w:rsidR="007075D9" w:rsidRPr="004D46AC" w:rsidSect="003A1ED4">
          <w:headerReference w:type="even" r:id="rId368"/>
          <w:headerReference w:type="default" r:id="rId369"/>
          <w:footerReference w:type="even" r:id="rId370"/>
          <w:footerReference w:type="default" r:id="rId371"/>
          <w:headerReference w:type="first" r:id="rId372"/>
          <w:footerReference w:type="first" r:id="rId373"/>
          <w:pgSz w:w="11906" w:h="16838"/>
          <w:pgMar w:top="1440" w:right="1440" w:bottom="1440" w:left="1440" w:header="851" w:footer="992" w:gutter="0"/>
          <w:cols w:space="720"/>
          <w:docGrid w:linePitch="299"/>
        </w:sectPr>
      </w:pPr>
      <w:r w:rsidRPr="004D46AC">
        <w:rPr>
          <w:rFonts w:ascii="Arial" w:hAnsi="Arial" w:cs="Arial"/>
          <w:szCs w:val="22"/>
        </w:rPr>
        <w:t xml:space="preserve">Zhou, L., Sommer, I. E. C., Yang, P., </w:t>
      </w:r>
      <w:proofErr w:type="spellStart"/>
      <w:r w:rsidRPr="004D46AC">
        <w:rPr>
          <w:rFonts w:ascii="Arial" w:hAnsi="Arial" w:cs="Arial"/>
          <w:szCs w:val="22"/>
        </w:rPr>
        <w:t>Sikirin</w:t>
      </w:r>
      <w:proofErr w:type="spellEnd"/>
      <w:r w:rsidRPr="004D46AC">
        <w:rPr>
          <w:rFonts w:ascii="Arial" w:hAnsi="Arial" w:cs="Arial"/>
          <w:szCs w:val="22"/>
        </w:rPr>
        <w:t xml:space="preserve">, L., </w:t>
      </w:r>
      <w:proofErr w:type="spellStart"/>
      <w:r w:rsidRPr="004D46AC">
        <w:rPr>
          <w:rFonts w:ascii="Arial" w:hAnsi="Arial" w:cs="Arial"/>
          <w:szCs w:val="22"/>
        </w:rPr>
        <w:t>Os</w:t>
      </w:r>
      <w:proofErr w:type="spellEnd"/>
      <w:r w:rsidRPr="004D46AC">
        <w:rPr>
          <w:rFonts w:ascii="Arial" w:hAnsi="Arial" w:cs="Arial"/>
          <w:szCs w:val="22"/>
        </w:rPr>
        <w:t xml:space="preserve">, J. v., Bentall, R. P., Varese, F., &amp; Begemann, M. J. H. (2025). What Do Four Decades of Research Tell Us About the Association Between Childhood Adversity and Psychosis: An Updated and Extended Multi-Level Meta-Analysis. </w:t>
      </w:r>
      <w:r w:rsidRPr="004D46AC">
        <w:rPr>
          <w:rFonts w:ascii="Arial" w:hAnsi="Arial" w:cs="Arial"/>
          <w:i/>
          <w:szCs w:val="22"/>
        </w:rPr>
        <w:t>American Journal of Psychiatry</w:t>
      </w:r>
      <w:r w:rsidRPr="004D46AC">
        <w:rPr>
          <w:rFonts w:ascii="Arial" w:hAnsi="Arial" w:cs="Arial"/>
          <w:szCs w:val="22"/>
        </w:rPr>
        <w:t>,</w:t>
      </w:r>
      <w:r w:rsidRPr="004D46AC">
        <w:rPr>
          <w:rFonts w:ascii="Arial" w:hAnsi="Arial" w:cs="Arial"/>
          <w:i/>
          <w:szCs w:val="22"/>
        </w:rPr>
        <w:t xml:space="preserve"> 182</w:t>
      </w:r>
      <w:r w:rsidRPr="004D46AC">
        <w:rPr>
          <w:rFonts w:ascii="Arial" w:hAnsi="Arial" w:cs="Arial"/>
          <w:szCs w:val="22"/>
        </w:rPr>
        <w:t xml:space="preserve">(4), 360–372. https://doi.org/10.1176/appi.ajp.20240456 </w:t>
      </w:r>
    </w:p>
    <w:p w14:paraId="28B979DE" w14:textId="5B35AB6C" w:rsidR="007075D9" w:rsidRPr="004D46AC" w:rsidRDefault="007075D9">
      <w:pPr>
        <w:pStyle w:val="1"/>
        <w:numPr>
          <w:ilvl w:val="0"/>
          <w:numId w:val="23"/>
        </w:numPr>
      </w:pPr>
      <w:bookmarkStart w:id="238" w:name="_Toc219888781"/>
      <w:r w:rsidRPr="004D46AC">
        <w:lastRenderedPageBreak/>
        <w:t>Tracing Early Anomalies</w:t>
      </w:r>
      <w:r w:rsidRPr="004D46AC">
        <w:rPr>
          <w:rFonts w:hint="eastAsia"/>
        </w:rPr>
        <w:t xml:space="preserve"> of Mania and Psychosis</w:t>
      </w:r>
      <w:r w:rsidRPr="004D46AC">
        <w:t>: Developing a Pluripotential Assessment Tool and Mapping Its Network Dynamics</w:t>
      </w:r>
      <w:r w:rsidRPr="004D46AC">
        <w:rPr>
          <w:rStyle w:val="aff5"/>
        </w:rPr>
        <w:footnoteReference w:id="4"/>
      </w:r>
      <w:bookmarkEnd w:id="238"/>
    </w:p>
    <w:p w14:paraId="6E850B18" w14:textId="77777777" w:rsidR="007075D9" w:rsidRPr="004D46AC" w:rsidRDefault="007075D9" w:rsidP="00B518F1">
      <w:pPr>
        <w:pStyle w:val="2"/>
        <w:rPr>
          <w:rFonts w:eastAsiaTheme="minorEastAsia"/>
        </w:rPr>
      </w:pPr>
      <w:bookmarkStart w:id="240" w:name="_Toc219888782"/>
      <w:r w:rsidRPr="004D46AC">
        <w:t>I</w:t>
      </w:r>
      <w:r w:rsidRPr="004D46AC">
        <w:rPr>
          <w:rFonts w:hint="eastAsia"/>
        </w:rPr>
        <w:t>ntroduction</w:t>
      </w:r>
      <w:bookmarkEnd w:id="240"/>
    </w:p>
    <w:p w14:paraId="01078292" w14:textId="77777777" w:rsidR="007075D9" w:rsidRPr="004D46AC" w:rsidRDefault="007075D9" w:rsidP="00B518F1">
      <w:r w:rsidRPr="004D46AC">
        <w:t>Mental disorders pose a significant public health concern, affecting up to ten million individuals. Severe mental illnesses (SMIs), such as schizophrenia and bipolar spectrum</w:t>
      </w:r>
      <w:r w:rsidRPr="004D46AC">
        <w:rPr>
          <w:rFonts w:hint="eastAsia"/>
        </w:rPr>
        <w:t xml:space="preserve"> </w:t>
      </w:r>
      <w:r w:rsidRPr="004D46AC">
        <w:t>disorder</w:t>
      </w:r>
      <w:r w:rsidRPr="004D46AC">
        <w:rPr>
          <w:rFonts w:hint="eastAsia"/>
        </w:rPr>
        <w:t xml:space="preserve"> (BSD)</w:t>
      </w:r>
      <w:r w:rsidRPr="004D46AC">
        <w:t>, are particularly debilitating, with estimated global prevalence of 2.5% and 4.1%, respectively</w:t>
      </w:r>
      <w:r w:rsidRPr="004D46AC">
        <w:rPr>
          <w:rFonts w:hint="eastAsia"/>
        </w:rPr>
        <w:t xml:space="preserve"> </w:t>
      </w:r>
      <w:r w:rsidRPr="004D46AC">
        <w:t>(WHO, 2022). Schizophrenia is characterised by persistent psychotic symptoms, including delusions and hallucinations, often resulting in severe mental distress and long-term functional impairments</w:t>
      </w:r>
      <w:r w:rsidRPr="004D46AC">
        <w:rPr>
          <w:rFonts w:hint="eastAsia"/>
        </w:rPr>
        <w:t xml:space="preserve"> </w:t>
      </w:r>
      <w:r w:rsidRPr="004D46AC">
        <w:t xml:space="preserve">(American Psychiatric Association, 2022). </w:t>
      </w:r>
      <w:r w:rsidRPr="004D46AC">
        <w:rPr>
          <w:rFonts w:hint="eastAsia"/>
        </w:rPr>
        <w:t xml:space="preserve">BSD </w:t>
      </w:r>
      <w:r w:rsidRPr="004D46AC">
        <w:t xml:space="preserve">manifests as mood dysregulation, irritability, and episodic shifts between manic and depressive states, </w:t>
      </w:r>
      <w:r w:rsidRPr="004D46AC">
        <w:rPr>
          <w:rFonts w:hint="eastAsia"/>
        </w:rPr>
        <w:t xml:space="preserve">with </w:t>
      </w:r>
      <w:r w:rsidRPr="004D46AC">
        <w:t>an increased risk of suicidality. Although</w:t>
      </w:r>
      <w:r w:rsidRPr="004D46AC">
        <w:rPr>
          <w:rFonts w:hint="eastAsia"/>
        </w:rPr>
        <w:t xml:space="preserve"> various</w:t>
      </w:r>
      <w:r w:rsidRPr="004D46AC">
        <w:t xml:space="preserve"> treatment options, </w:t>
      </w:r>
      <w:r w:rsidRPr="004D46AC">
        <w:rPr>
          <w:rFonts w:hint="eastAsia"/>
        </w:rPr>
        <w:t>such as</w:t>
      </w:r>
      <w:r w:rsidRPr="004D46AC">
        <w:t xml:space="preserve"> medications and psychotherapies, have been proposed, managing major psychoses remains a complex challenge. Multiple factors influence treatment outcomes in both the short and long term. For instance, early age of onset and prolonged duration of untreated psychosis have been identified as key contributors to poor prognosis in individuals with psychotic disorders (Díaz-</w:t>
      </w:r>
      <w:proofErr w:type="spellStart"/>
      <w:r w:rsidRPr="004D46AC">
        <w:t>Caneja</w:t>
      </w:r>
      <w:proofErr w:type="spellEnd"/>
      <w:r w:rsidRPr="004D46AC">
        <w:t xml:space="preserve"> et al., 2015). These findings </w:t>
      </w:r>
      <w:r w:rsidRPr="004D46AC">
        <w:rPr>
          <w:rFonts w:hint="eastAsia"/>
        </w:rPr>
        <w:t>stress</w:t>
      </w:r>
      <w:r w:rsidRPr="004D46AC">
        <w:t xml:space="preserve"> the importance of early identification and intervention, not only to improve long-term outcomes for </w:t>
      </w:r>
      <w:r w:rsidRPr="004D46AC">
        <w:rPr>
          <w:rFonts w:hint="eastAsia"/>
        </w:rPr>
        <w:t xml:space="preserve">patients </w:t>
      </w:r>
      <w:r w:rsidRPr="004D46AC">
        <w:t>with major psychoses but also to prevent the progression to full threshold SMIs among general population.</w:t>
      </w:r>
    </w:p>
    <w:p w14:paraId="1828CF6B" w14:textId="77777777" w:rsidR="007075D9" w:rsidRPr="004D46AC" w:rsidRDefault="007075D9" w:rsidP="00B518F1">
      <w:pPr>
        <w:pStyle w:val="3"/>
      </w:pPr>
      <w:r w:rsidRPr="004D46AC">
        <w:rPr>
          <w:rFonts w:eastAsiaTheme="minorEastAsia" w:hint="eastAsia"/>
        </w:rPr>
        <w:t>Early</w:t>
      </w:r>
      <w:r w:rsidRPr="004D46AC">
        <w:t xml:space="preserve"> signs of psychiatric conditions</w:t>
      </w:r>
    </w:p>
    <w:p w14:paraId="70A9EE12" w14:textId="77777777" w:rsidR="007075D9" w:rsidRPr="004D46AC" w:rsidRDefault="007075D9" w:rsidP="00B518F1">
      <w:r w:rsidRPr="004D46AC">
        <w:t xml:space="preserve">Over the past several decades, identifying symptoms, or clusters of symptoms, that precede SMIs has been a central focus of psychiatric research. These features are often </w:t>
      </w:r>
      <w:r w:rsidRPr="004D46AC">
        <w:lastRenderedPageBreak/>
        <w:t>described as early indicators of SMIs, by analogy with the well-established prodromal signs that precede physical illnesses such as infections. Building on this analogy, the notion of a prodromal stage has been adapted within psychiatric clinical staging models to denote the period before the emergence of full-threshold mental illness, during which individuals experience subclinical symptoms</w:t>
      </w:r>
      <w:r w:rsidRPr="004D46AC" w:rsidDel="002C7C39">
        <w:t xml:space="preserve"> </w:t>
      </w:r>
      <w:r w:rsidRPr="004D46AC">
        <w:t>(Power, 2015)</w:t>
      </w:r>
      <w:r w:rsidRPr="004D46AC">
        <w:rPr>
          <w:rFonts w:hint="eastAsia"/>
        </w:rPr>
        <w:t xml:space="preserve">. </w:t>
      </w:r>
      <w:r w:rsidRPr="004D46AC">
        <w:t>These symptoms have been most investigated in populations at risk for psychiatric disorders - for example, those with first-degree relatives diagnosed with schizophrenia or bipolar disorder - and are sometimes referred to as prodromal symptoms. They have been commonly observed in adolescents, affecting more than 50% of individuals at familial risk (Sanches &amp; Soares, 2020). Some of these symptoms such as mood lability, sleep disturbances, and anxiety are nonspecific and overlap with other psychiatric conditions (Hafeman et al., 2016; Iyer et al., 2008). Beyond experiencing subclinical symptoms, youth at high risk also face an increased likelihood of developing SMIs (</w:t>
      </w:r>
      <w:proofErr w:type="spellStart"/>
      <w:r w:rsidRPr="004D46AC">
        <w:t>Birmaher</w:t>
      </w:r>
      <w:proofErr w:type="spellEnd"/>
      <w:r w:rsidRPr="004D46AC">
        <w:t xml:space="preserve"> et al., 2018; Caballero et al., 2023). The trajectory of at-risk symptoms is highly heterogeneous (Conroy et al., 2018), and conversion to </w:t>
      </w:r>
      <w:r w:rsidRPr="004D46AC">
        <w:rPr>
          <w:rFonts w:hint="eastAsia"/>
        </w:rPr>
        <w:t xml:space="preserve">formal psychiatric diagnoses </w:t>
      </w:r>
      <w:r w:rsidRPr="004D46AC">
        <w:t>does not always</w:t>
      </w:r>
      <w:r w:rsidRPr="004D46AC">
        <w:rPr>
          <w:rFonts w:hint="eastAsia"/>
        </w:rPr>
        <w:t xml:space="preserve"> follow</w:t>
      </w:r>
      <w:r w:rsidRPr="004D46AC">
        <w:t xml:space="preserve"> the diagnosis of affected relatives (</w:t>
      </w:r>
      <w:proofErr w:type="spellStart"/>
      <w:r w:rsidRPr="004D46AC">
        <w:t>Fusar</w:t>
      </w:r>
      <w:proofErr w:type="spellEnd"/>
      <w:r w:rsidRPr="004D46AC">
        <w:t xml:space="preserve">-Poli et al., 2013). </w:t>
      </w:r>
    </w:p>
    <w:p w14:paraId="421F28B4" w14:textId="77777777" w:rsidR="007075D9" w:rsidRPr="004D46AC" w:rsidRDefault="007075D9" w:rsidP="00B518F1">
      <w:r w:rsidRPr="004D46AC">
        <w:t>T</w:t>
      </w:r>
      <w:r w:rsidRPr="004D46AC">
        <w:rPr>
          <w:rFonts w:hint="eastAsia"/>
        </w:rPr>
        <w:t xml:space="preserve">he growing interest in this field </w:t>
      </w:r>
      <w:r w:rsidRPr="004D46AC">
        <w:t xml:space="preserve">has </w:t>
      </w:r>
      <w:r w:rsidRPr="004D46AC">
        <w:rPr>
          <w:rFonts w:hint="eastAsia"/>
        </w:rPr>
        <w:t>give</w:t>
      </w:r>
      <w:r w:rsidRPr="004D46AC">
        <w:t>n</w:t>
      </w:r>
      <w:r w:rsidRPr="004D46AC">
        <w:rPr>
          <w:rFonts w:hint="eastAsia"/>
        </w:rPr>
        <w:t xml:space="preserve"> rise to the development of various criteria for at risk states of SMIs. </w:t>
      </w:r>
      <w:r w:rsidRPr="004D46AC">
        <w:t>A</w:t>
      </w:r>
      <w:r w:rsidRPr="004D46AC">
        <w:rPr>
          <w:rFonts w:hint="eastAsia"/>
        </w:rPr>
        <w:t xml:space="preserve">n early and </w:t>
      </w:r>
      <w:r w:rsidRPr="004D46AC">
        <w:t>well-known</w:t>
      </w:r>
      <w:r w:rsidRPr="004D46AC">
        <w:rPr>
          <w:rFonts w:hint="eastAsia"/>
        </w:rPr>
        <w:t xml:space="preserve"> framework is the clinical </w:t>
      </w:r>
      <w:r w:rsidRPr="004D46AC">
        <w:t>ultra-high</w:t>
      </w:r>
      <w:r w:rsidRPr="004D46AC">
        <w:rPr>
          <w:rFonts w:hint="eastAsia"/>
        </w:rPr>
        <w:t xml:space="preserve"> risk (UHR) criteria </w:t>
      </w:r>
      <w:r w:rsidRPr="004D46AC">
        <w:t>(Yung, 2003)</w:t>
      </w:r>
      <w:r w:rsidRPr="004D46AC">
        <w:rPr>
          <w:rFonts w:hint="eastAsia"/>
        </w:rPr>
        <w:t xml:space="preserve">. The criteria specifically targeted </w:t>
      </w:r>
      <w:r w:rsidRPr="004D46AC">
        <w:t>the</w:t>
      </w:r>
      <w:r w:rsidRPr="004D46AC">
        <w:rPr>
          <w:rFonts w:hint="eastAsia"/>
        </w:rPr>
        <w:t xml:space="preserve"> at-risk symptoms of psychosis and </w:t>
      </w:r>
      <w:r w:rsidRPr="004D46AC">
        <w:t>were defined in terms of</w:t>
      </w:r>
      <w:r w:rsidRPr="004D46AC">
        <w:rPr>
          <w:rFonts w:hint="eastAsia"/>
        </w:rPr>
        <w:t xml:space="preserve"> individuals </w:t>
      </w:r>
      <w:r w:rsidRPr="004D46AC">
        <w:t>experiencing</w:t>
      </w:r>
      <w:r w:rsidRPr="004D46AC">
        <w:rPr>
          <w:rFonts w:hint="eastAsia"/>
        </w:rPr>
        <w:t xml:space="preserve"> subthreshold symptoms (e.g., </w:t>
      </w:r>
      <w:r w:rsidRPr="004D46AC">
        <w:t>attenuate</w:t>
      </w:r>
      <w:r w:rsidRPr="004D46AC">
        <w:rPr>
          <w:rFonts w:hint="eastAsia"/>
        </w:rPr>
        <w:t>d or transient psychotic symptoms)</w:t>
      </w:r>
      <w:r w:rsidRPr="004D46AC">
        <w:t>, loss of social functioning</w:t>
      </w:r>
      <w:r w:rsidRPr="004D46AC">
        <w:rPr>
          <w:rFonts w:hint="eastAsia"/>
        </w:rPr>
        <w:t xml:space="preserve"> </w:t>
      </w:r>
      <w:r w:rsidRPr="004D46AC">
        <w:t>and</w:t>
      </w:r>
      <w:r w:rsidRPr="004D46AC">
        <w:rPr>
          <w:rFonts w:hint="eastAsia"/>
        </w:rPr>
        <w:t xml:space="preserve"> having a first degree relative diagnosed with </w:t>
      </w:r>
      <w:r w:rsidRPr="004D46AC">
        <w:t>schizophrenia</w:t>
      </w:r>
      <w:r w:rsidRPr="004D46AC">
        <w:rPr>
          <w:rFonts w:hint="eastAsia"/>
        </w:rPr>
        <w:t xml:space="preserve">. </w:t>
      </w:r>
      <w:r w:rsidRPr="004D46AC">
        <w:t>A meta-analysis of 130 prospective studies using these criteria has found that about a quarter of people meeting these ultra-high-risk criteria transition to psychosis within two-and-a-half years</w:t>
      </w:r>
      <w:r w:rsidRPr="004D46AC">
        <w:rPr>
          <w:rFonts w:hint="eastAsia"/>
        </w:rPr>
        <w:t xml:space="preserve"> </w:t>
      </w:r>
      <w:r w:rsidRPr="004D46AC">
        <w:rPr>
          <w:noProof/>
        </w:rPr>
        <w:t>(Salazar de Pablo et al., 2021)</w:t>
      </w:r>
      <w:r w:rsidRPr="004D46AC">
        <w:rPr>
          <w:rFonts w:hint="eastAsia"/>
        </w:rPr>
        <w:t xml:space="preserve">. </w:t>
      </w:r>
      <w:r w:rsidRPr="004D46AC">
        <w:t>S</w:t>
      </w:r>
      <w:r w:rsidRPr="004D46AC">
        <w:rPr>
          <w:rFonts w:hint="eastAsia"/>
        </w:rPr>
        <w:t>imilarly</w:t>
      </w:r>
      <w:r w:rsidRPr="004D46AC">
        <w:t>, researchers have proposed parallel criteria for a high-risk state for bipolar disorder (BAR)</w:t>
      </w:r>
      <w:r w:rsidRPr="004D46AC">
        <w:rPr>
          <w:rFonts w:hint="eastAsia"/>
        </w:rPr>
        <w:t xml:space="preserve"> </w:t>
      </w:r>
      <w:r w:rsidRPr="004D46AC">
        <w:rPr>
          <w:noProof/>
        </w:rPr>
        <w:t>(Bechdolf et al., 2010)</w:t>
      </w:r>
      <w:r w:rsidRPr="004D46AC">
        <w:rPr>
          <w:rFonts w:hint="eastAsia"/>
        </w:rPr>
        <w:t>;</w:t>
      </w:r>
      <w:r w:rsidRPr="004D46AC">
        <w:t xml:space="preserve"> </w:t>
      </w:r>
      <w:bookmarkStart w:id="241" w:name="OLE_LINK66"/>
      <w:r w:rsidRPr="004D46AC">
        <w:t xml:space="preserve">a </w:t>
      </w:r>
      <w:bookmarkEnd w:id="241"/>
      <w:r w:rsidRPr="004D46AC">
        <w:t xml:space="preserve">BAR state is indicated if individuals have experienced either subclinical mania, depression with cyclothymic features (recurrent subclinical mania or depression that does not meet the criteria), or depression with familial </w:t>
      </w:r>
      <w:r w:rsidRPr="004D46AC">
        <w:lastRenderedPageBreak/>
        <w:t>risk in the past year.</w:t>
      </w:r>
      <w:bookmarkStart w:id="242" w:name="OLE_LINK68"/>
      <w:r w:rsidRPr="004D46AC">
        <w:rPr>
          <w:rFonts w:hint="eastAsia"/>
        </w:rPr>
        <w:t xml:space="preserve"> </w:t>
      </w:r>
      <w:r w:rsidRPr="004D46AC">
        <w:t>Empirical findings regarding the transition rate vary. A study on BAR revealed a transition rate to BSD of 14.3% within a year</w:t>
      </w:r>
      <w:r w:rsidRPr="004D46AC">
        <w:rPr>
          <w:rFonts w:hint="eastAsia"/>
        </w:rPr>
        <w:t xml:space="preserve"> </w:t>
      </w:r>
      <w:r w:rsidRPr="004D46AC">
        <w:rPr>
          <w:noProof/>
        </w:rPr>
        <w:t>(Bechdolf et al., 2014)</w:t>
      </w:r>
      <w:r w:rsidRPr="004D46AC">
        <w:t>, whereas a systematic review on similar criteria (such as clinical high risk for bipolar disorder [CHR-BD]) reported that this figure increased to 23.4% after two years</w:t>
      </w:r>
      <w:r w:rsidRPr="004D46AC">
        <w:rPr>
          <w:rFonts w:hint="eastAsia"/>
        </w:rPr>
        <w:t xml:space="preserve"> </w:t>
      </w:r>
      <w:r w:rsidRPr="004D46AC">
        <w:rPr>
          <w:noProof/>
        </w:rPr>
        <w:t>(Salazar de Pablo et al., 2023)</w:t>
      </w:r>
      <w:r w:rsidRPr="004D46AC">
        <w:rPr>
          <w:rFonts w:hint="eastAsia"/>
        </w:rPr>
        <w:t xml:space="preserve">. </w:t>
      </w:r>
      <w:bookmarkEnd w:id="242"/>
      <w:r w:rsidRPr="004D46AC">
        <w:t>F</w:t>
      </w:r>
      <w:r w:rsidRPr="004D46AC">
        <w:rPr>
          <w:rFonts w:hint="eastAsia"/>
        </w:rPr>
        <w:t xml:space="preserve">urthermore, </w:t>
      </w:r>
      <w:r w:rsidRPr="004D46AC">
        <w:rPr>
          <w:noProof/>
        </w:rPr>
        <w:t>Hartmann et al. (2019)</w:t>
      </w:r>
      <w:r w:rsidRPr="004D46AC">
        <w:rPr>
          <w:rFonts w:hint="eastAsia"/>
        </w:rPr>
        <w:t xml:space="preserve"> </w:t>
      </w:r>
      <w:r w:rsidRPr="004D46AC">
        <w:t>have proposed at-risk criteria for borderline personality disorder (BPD), defining a risk state by the presence of at least two subclinical BPD features (e.g., frantic efforts to avoid abandonment, unstable interpersonal relationships) in the past six months. H</w:t>
      </w:r>
      <w:r w:rsidRPr="004D46AC">
        <w:rPr>
          <w:rFonts w:hint="eastAsia"/>
        </w:rPr>
        <w:t>owever, a</w:t>
      </w:r>
      <w:r w:rsidRPr="004D46AC">
        <w:t xml:space="preserve"> preliminary study suggested that individuals as at risk for BPD were</w:t>
      </w:r>
      <w:r w:rsidRPr="004D46AC">
        <w:rPr>
          <w:rFonts w:hint="eastAsia"/>
        </w:rPr>
        <w:t xml:space="preserve"> all</w:t>
      </w:r>
      <w:r w:rsidRPr="004D46AC">
        <w:t xml:space="preserve"> transitioned to </w:t>
      </w:r>
      <w:r w:rsidRPr="004D46AC">
        <w:rPr>
          <w:rFonts w:hint="eastAsia"/>
        </w:rPr>
        <w:t xml:space="preserve">severe depression during </w:t>
      </w:r>
      <w:r w:rsidRPr="004D46AC">
        <w:t>a 12-month follow-up</w:t>
      </w:r>
      <w:r w:rsidRPr="004D46AC">
        <w:rPr>
          <w:rFonts w:hint="eastAsia"/>
        </w:rPr>
        <w:t xml:space="preserve"> </w:t>
      </w:r>
      <w:r w:rsidRPr="004D46AC">
        <w:rPr>
          <w:noProof/>
        </w:rPr>
        <w:t>(Destrée et al., 2024)</w:t>
      </w:r>
      <w:r w:rsidRPr="004D46AC">
        <w:rPr>
          <w:rFonts w:hint="eastAsia"/>
        </w:rPr>
        <w:t xml:space="preserve">. </w:t>
      </w:r>
    </w:p>
    <w:p w14:paraId="406962DF" w14:textId="77777777" w:rsidR="007075D9" w:rsidRPr="004D46AC" w:rsidRDefault="007075D9" w:rsidP="00B518F1">
      <w:r w:rsidRPr="004D46AC">
        <w:t xml:space="preserve">These findings highlight an important caveat in the field: individuals who meet high-risk criteria for </w:t>
      </w:r>
      <w:r w:rsidRPr="004D46AC">
        <w:rPr>
          <w:rFonts w:hint="eastAsia"/>
        </w:rPr>
        <w:t>SMIs</w:t>
      </w:r>
      <w:r w:rsidRPr="004D46AC">
        <w:t xml:space="preserve"> may not follow a predefined diagnostic trajectory yet may nonetheless go on to develop other forms of psychopathology</w:t>
      </w:r>
      <w:r w:rsidRPr="004D46AC">
        <w:rPr>
          <w:rFonts w:hint="eastAsia"/>
        </w:rPr>
        <w:t xml:space="preserve">. For instance, </w:t>
      </w:r>
      <w:r w:rsidRPr="004D46AC">
        <w:rPr>
          <w:noProof/>
        </w:rPr>
        <w:t>Beck et al. (2019)</w:t>
      </w:r>
      <w:r w:rsidRPr="004D46AC">
        <w:rPr>
          <w:rFonts w:hint="eastAsia"/>
        </w:rPr>
        <w:t xml:space="preserve"> </w:t>
      </w:r>
      <w:r w:rsidRPr="004D46AC">
        <w:t>reviewed existing studies and found that individuals who met criteria for clinical high risk for psychosis</w:t>
      </w:r>
      <w:r w:rsidRPr="004D46AC">
        <w:rPr>
          <w:rFonts w:hint="eastAsia"/>
        </w:rPr>
        <w:t xml:space="preserve"> (CHR-P)</w:t>
      </w:r>
      <w:r w:rsidRPr="004D46AC">
        <w:t xml:space="preserve"> later transitioned to other psychiatric diagnoses, including </w:t>
      </w:r>
      <w:r w:rsidRPr="004D46AC">
        <w:rPr>
          <w:rFonts w:hint="eastAsia"/>
        </w:rPr>
        <w:t>mood disorders (1.3 -14.5%) and personality disorders (3-13%).</w:t>
      </w:r>
      <w:r w:rsidRPr="004D46AC">
        <w:t xml:space="preserve"> The same might be true for the high-risk state for bipolar disorder, as one study found that 4 out of 28 BAR individuals developed psychotic symptoms or disorders, compared with 2 out of 32 non-BAR individuals over a 10-year follow-up </w:t>
      </w:r>
      <w:r w:rsidRPr="004D46AC">
        <w:rPr>
          <w:noProof/>
        </w:rPr>
        <w:t>(Ratheesh et al., 2023)</w:t>
      </w:r>
      <w:r w:rsidRPr="004D46AC">
        <w:t xml:space="preserve">. These observations could be interpreted as evidence of a lack of precision in the high-risk criteria, as </w:t>
      </w:r>
      <w:r w:rsidRPr="004D46AC">
        <w:rPr>
          <w:rFonts w:hint="eastAsia"/>
        </w:rPr>
        <w:t>individuals can simultaneously meet criteria for</w:t>
      </w:r>
      <w:r w:rsidRPr="004D46AC">
        <w:t xml:space="preserve"> different at-risk states</w:t>
      </w:r>
      <w:r w:rsidRPr="004D46AC">
        <w:rPr>
          <w:rFonts w:hint="eastAsia"/>
        </w:rPr>
        <w:t xml:space="preserve"> </w:t>
      </w:r>
      <w:r w:rsidRPr="004D46AC">
        <w:rPr>
          <w:noProof/>
        </w:rPr>
        <w:t>(Fusar-Poli et al., 2018; Lo Buglio et al., 2024)</w:t>
      </w:r>
      <w:r w:rsidRPr="004D46AC">
        <w:t xml:space="preserve">. </w:t>
      </w:r>
      <w:r w:rsidRPr="004D46AC">
        <w:rPr>
          <w:rFonts w:hint="eastAsia"/>
        </w:rPr>
        <w:t>T</w:t>
      </w:r>
      <w:r w:rsidRPr="004D46AC">
        <w:t xml:space="preserve">hey </w:t>
      </w:r>
      <w:r w:rsidRPr="004D46AC">
        <w:rPr>
          <w:rFonts w:hint="eastAsia"/>
        </w:rPr>
        <w:t xml:space="preserve">also </w:t>
      </w:r>
      <w:r w:rsidRPr="004D46AC">
        <w:t>clearly align with the findings in previous chapters, for example that there is substantial symptom overlap between SMIs (see Chapter</w:t>
      </w:r>
      <w:r w:rsidRPr="004D46AC">
        <w:rPr>
          <w:rFonts w:hint="eastAsia"/>
        </w:rPr>
        <w:t xml:space="preserve"> 2</w:t>
      </w:r>
      <w:r w:rsidRPr="004D46AC">
        <w:t xml:space="preserve">); that the symptom structure of different psychotic disorders may be the same even when symptom expression is different (Shao et al., 2024; see Chapter </w:t>
      </w:r>
      <w:r w:rsidRPr="004D46AC">
        <w:rPr>
          <w:rFonts w:hint="eastAsia"/>
        </w:rPr>
        <w:t>3</w:t>
      </w:r>
      <w:r w:rsidRPr="004D46AC">
        <w:t xml:space="preserve">); and that, in the general population, mood disorder symptoms may influence psychotic symptoms and vice-versa (see Chapter </w:t>
      </w:r>
      <w:r w:rsidRPr="004D46AC">
        <w:rPr>
          <w:rFonts w:hint="eastAsia"/>
        </w:rPr>
        <w:t>4</w:t>
      </w:r>
      <w:r w:rsidRPr="004D46AC">
        <w:t>). Indeed, many of the pathological processes underlying these disorders may be shared between them. For example, empirical findings suggest that they have similar genetic architecture, familial risk factors, brain morphology, cognitive dysfunction and social determinants</w:t>
      </w:r>
      <w:r w:rsidRPr="004D46AC">
        <w:rPr>
          <w:rFonts w:hint="eastAsia"/>
        </w:rPr>
        <w:t xml:space="preserve"> </w:t>
      </w:r>
      <w:r w:rsidRPr="004D46AC">
        <w:rPr>
          <w:noProof/>
        </w:rPr>
        <w:t xml:space="preserve">(Ancin et al., 2013; Benabarre et </w:t>
      </w:r>
      <w:r w:rsidRPr="004D46AC">
        <w:rPr>
          <w:noProof/>
        </w:rPr>
        <w:lastRenderedPageBreak/>
        <w:t>al., 2001; Bora et al., 2023; Mancuso et al., 2015; Van Snellenberg &amp; de Candia, 2009; Wang et al., 2013)</w:t>
      </w:r>
      <w:r w:rsidRPr="004D46AC">
        <w:t xml:space="preserve"> (for a review, see Chapter </w:t>
      </w:r>
      <w:r w:rsidRPr="004D46AC">
        <w:rPr>
          <w:rFonts w:hint="eastAsia"/>
        </w:rPr>
        <w:t>1</w:t>
      </w:r>
      <w:r w:rsidRPr="004D46AC">
        <w:t>).</w:t>
      </w:r>
      <w:r w:rsidRPr="004D46AC">
        <w:rPr>
          <w:rFonts w:hint="eastAsia"/>
        </w:rPr>
        <w:t xml:space="preserve"> </w:t>
      </w:r>
    </w:p>
    <w:p w14:paraId="2602EAEB" w14:textId="77777777" w:rsidR="007075D9" w:rsidRPr="004D46AC" w:rsidRDefault="007075D9" w:rsidP="00B518F1">
      <w:r w:rsidRPr="004D46AC">
        <w:t>These observations led researchers at the University of Melbourne to propose the extended Clinical High At-Risk Mental State (CHARMS) criteria</w:t>
      </w:r>
      <w:r w:rsidRPr="004D46AC">
        <w:rPr>
          <w:rFonts w:hint="eastAsia"/>
        </w:rPr>
        <w:t xml:space="preserve"> </w:t>
      </w:r>
      <w:r w:rsidRPr="004D46AC">
        <w:rPr>
          <w:noProof/>
        </w:rPr>
        <w:t>(Hartmann et al., 2019)</w:t>
      </w:r>
      <w:r w:rsidRPr="004D46AC">
        <w:rPr>
          <w:rFonts w:hint="eastAsia"/>
        </w:rPr>
        <w:t xml:space="preserve">, </w:t>
      </w:r>
      <w:r w:rsidRPr="004D46AC">
        <w:t>which suggest that the risk state can be better explained as pluripotential. The non-specific nature of at-risk symptoms may predispose individuals to multiple clinical outcomes, following the continuum of the clinical staging model: from Stage 0 (increased risk for SMIs but no symptoms) and Stage 1 (distress or subclinical symptoms of SMIs with functional change) to Stage 2 and subsequent stages (clinical-level severity).</w:t>
      </w:r>
      <w:r w:rsidRPr="004D46AC">
        <w:rPr>
          <w:rFonts w:hint="eastAsia"/>
        </w:rPr>
        <w:t xml:space="preserve"> </w:t>
      </w:r>
      <w:r w:rsidRPr="004D46AC">
        <w:t>The CHARM</w:t>
      </w:r>
      <w:r w:rsidRPr="004D46AC">
        <w:rPr>
          <w:rFonts w:hint="eastAsia"/>
        </w:rPr>
        <w:t>S</w:t>
      </w:r>
      <w:r w:rsidRPr="004D46AC">
        <w:t xml:space="preserve"> criteria proposed </w:t>
      </w:r>
      <w:r w:rsidRPr="004D46AC">
        <w:rPr>
          <w:rFonts w:hint="eastAsia"/>
        </w:rPr>
        <w:t xml:space="preserve">three broad </w:t>
      </w:r>
      <w:r w:rsidRPr="004D46AC">
        <w:t>categories of transdiagnostic risk states: the trait vulnerability group (psychosis: functional impairments and familial risk; bipolar: depression and/or cyclothymic features as well as familial risk), the attenuated symptoms group (psychotic [abbreviated as APS]; [hypo]mania; depression; borderline personality), and the brief limited intermittent psychotic symptoms (BLIPS) group (similar to APS but, as the name implies, transient)</w:t>
      </w:r>
      <w:r w:rsidRPr="004D46AC">
        <w:rPr>
          <w:rFonts w:hint="eastAsia"/>
        </w:rPr>
        <w:t xml:space="preserve">, for review see </w:t>
      </w:r>
      <w:r w:rsidRPr="004D46AC">
        <w:rPr>
          <w:noProof/>
        </w:rPr>
        <w:t>Hartmann et al. (2019)</w:t>
      </w:r>
      <w:r w:rsidRPr="004D46AC">
        <w:rPr>
          <w:rFonts w:hint="eastAsia"/>
        </w:rPr>
        <w:t xml:space="preserve">. </w:t>
      </w:r>
      <w:r w:rsidRPr="004D46AC">
        <w:t>E</w:t>
      </w:r>
      <w:r w:rsidRPr="004D46AC">
        <w:rPr>
          <w:rFonts w:hint="eastAsia"/>
        </w:rPr>
        <w:t xml:space="preserve">mpirical evidence preliminarily </w:t>
      </w:r>
      <w:r w:rsidRPr="004D46AC">
        <w:t>supports</w:t>
      </w:r>
      <w:r w:rsidRPr="004D46AC">
        <w:rPr>
          <w:rFonts w:hint="eastAsia"/>
        </w:rPr>
        <w:t xml:space="preserve"> the pluripotential idea of at-risk states. </w:t>
      </w:r>
      <w:r w:rsidRPr="004D46AC">
        <w:rPr>
          <w:noProof/>
        </w:rPr>
        <w:t>Hartmann et al. (2021)</w:t>
      </w:r>
      <w:r w:rsidRPr="004D46AC">
        <w:rPr>
          <w:rFonts w:hint="eastAsia"/>
        </w:rPr>
        <w:t xml:space="preserve"> found that</w:t>
      </w:r>
      <w:r w:rsidRPr="004D46AC">
        <w:t xml:space="preserve"> nearly half of the CHARMS individuals meeting multiple criteria for at-risk state</w:t>
      </w:r>
      <w:r w:rsidRPr="004D46AC">
        <w:rPr>
          <w:rFonts w:hint="eastAsia"/>
        </w:rPr>
        <w:t xml:space="preserve">, similar finding has been reported in </w:t>
      </w:r>
      <w:r w:rsidRPr="004D46AC">
        <w:t>Italy</w:t>
      </w:r>
      <w:r w:rsidRPr="004D46AC">
        <w:rPr>
          <w:rFonts w:hint="eastAsia"/>
        </w:rPr>
        <w:t xml:space="preserve"> population </w:t>
      </w:r>
      <w:r w:rsidRPr="004D46AC">
        <w:rPr>
          <w:noProof/>
        </w:rPr>
        <w:t>(Monego et al., 2022)</w:t>
      </w:r>
      <w:r w:rsidRPr="004D46AC">
        <w:rPr>
          <w:rFonts w:hint="eastAsia"/>
        </w:rPr>
        <w:t xml:space="preserve">. </w:t>
      </w:r>
      <w:r w:rsidRPr="004D46AC">
        <w:t>F</w:t>
      </w:r>
      <w:r w:rsidRPr="004D46AC">
        <w:rPr>
          <w:rFonts w:hint="eastAsia"/>
        </w:rPr>
        <w:t xml:space="preserve">urthermore, </w:t>
      </w:r>
      <w:r w:rsidRPr="004D46AC">
        <w:rPr>
          <w:noProof/>
        </w:rPr>
        <w:t>Destrée et al. (2024)</w:t>
      </w:r>
      <w:r w:rsidRPr="004D46AC">
        <w:rPr>
          <w:rFonts w:hint="eastAsia"/>
        </w:rPr>
        <w:t xml:space="preserve"> </w:t>
      </w:r>
      <w:r w:rsidRPr="004D46AC">
        <w:t>evaluated CHARMS longitudinally and found that the transition rates of CHARMS individuals (n = 23) at 6 and 12 months were 17.1% and 27.6%, respectively. Surprisingly, depression was the most frequent initial diagnosis</w:t>
      </w:r>
      <w:r w:rsidRPr="004D46AC">
        <w:rPr>
          <w:rFonts w:hint="eastAsia"/>
        </w:rPr>
        <w:t>;</w:t>
      </w:r>
      <w:r w:rsidRPr="004D46AC">
        <w:t xml:space="preserve"> 9% and 4% of these individuals later developed psychosis and BPD, respectively.</w:t>
      </w:r>
    </w:p>
    <w:p w14:paraId="58FAEE0B" w14:textId="77777777" w:rsidR="007075D9" w:rsidRPr="004D46AC" w:rsidRDefault="007075D9" w:rsidP="00B518F1">
      <w:r w:rsidRPr="004D46AC">
        <w:t xml:space="preserve">Despite the enormous progress made in defining at-risk criteria, reliable and accessible assessment tools remain limited. Comprehensive clinical assessments exist for the prodromal stages of schizophrenia (e.g., SIPS: Structured Interview for Psychosis-Risk Syndromes) and bipolar disorder (e.g., BPSISP: Bipolar Prodrome Symptom Interview &amp; Scale-Prospective), as well as for transdiagnostic applications (e.g., CAARMS: Comprehensive Assessment of At-Risk Mental States) (Correll et al., 2014; Miller et al., </w:t>
      </w:r>
      <w:r w:rsidRPr="004D46AC">
        <w:lastRenderedPageBreak/>
        <w:t>2003; Yung et al., 2005)</w:t>
      </w:r>
      <w:r w:rsidRPr="004D46AC">
        <w:rPr>
          <w:rFonts w:hint="eastAsia"/>
        </w:rPr>
        <w:t>.</w:t>
      </w:r>
      <w:r w:rsidRPr="004D46AC">
        <w:t xml:space="preserve"> However, their complexity and resource demands limit their applicability in broader clinical and community settings.</w:t>
      </w:r>
    </w:p>
    <w:p w14:paraId="2D8B1070" w14:textId="77777777" w:rsidR="007075D9" w:rsidRPr="004D46AC" w:rsidRDefault="007075D9" w:rsidP="00B518F1">
      <w:r w:rsidRPr="004D46AC">
        <w:t>An alternative approach to assessing at-risk status involves the use of self-report measures, yet the available tools are largely confined to psychosis - such as the Prodromal Questionnaire</w:t>
      </w:r>
      <w:r w:rsidRPr="004D46AC">
        <w:rPr>
          <w:rFonts w:hint="eastAsia"/>
        </w:rPr>
        <w:t xml:space="preserve"> (PQ) </w:t>
      </w:r>
      <w:r w:rsidRPr="004D46AC">
        <w:t>(Ising et al., 2012)</w:t>
      </w:r>
      <w:r w:rsidRPr="004D46AC">
        <w:rPr>
          <w:rFonts w:hint="eastAsia"/>
        </w:rPr>
        <w:t xml:space="preserve"> and </w:t>
      </w:r>
      <w:bookmarkStart w:id="243" w:name="OLE_LINK71"/>
      <w:r w:rsidRPr="004D46AC">
        <w:t>Youth Psychosis At-Risk Questionnaire</w:t>
      </w:r>
      <w:bookmarkEnd w:id="243"/>
      <w:r w:rsidRPr="004D46AC">
        <w:rPr>
          <w:rFonts w:hint="eastAsia"/>
        </w:rPr>
        <w:t xml:space="preserve"> </w:t>
      </w:r>
      <w:r w:rsidRPr="004D46AC">
        <w:rPr>
          <w:noProof/>
        </w:rPr>
        <w:t>(Fonseca-Pedrero et al., 2017)</w:t>
      </w:r>
      <w:r w:rsidRPr="004D46AC">
        <w:t>.</w:t>
      </w:r>
      <w:r w:rsidRPr="004D46AC">
        <w:rPr>
          <w:rFonts w:hint="eastAsia"/>
        </w:rPr>
        <w:t xml:space="preserve"> </w:t>
      </w:r>
      <w:r w:rsidRPr="004D46AC">
        <w:t>T</w:t>
      </w:r>
      <w:r w:rsidRPr="004D46AC">
        <w:rPr>
          <w:rFonts w:hint="eastAsia"/>
        </w:rPr>
        <w:t xml:space="preserve">he original version of PQ, for example, includes 82 </w:t>
      </w:r>
      <w:r w:rsidRPr="004D46AC">
        <w:t>items,</w:t>
      </w:r>
      <w:r w:rsidRPr="004D46AC">
        <w:rPr>
          <w:rFonts w:hint="eastAsia"/>
        </w:rPr>
        <w:t xml:space="preserve"> and the shortest version reduced the </w:t>
      </w:r>
      <w:r w:rsidRPr="004D46AC">
        <w:t>number</w:t>
      </w:r>
      <w:r w:rsidRPr="004D46AC">
        <w:rPr>
          <w:rFonts w:hint="eastAsia"/>
        </w:rPr>
        <w:t xml:space="preserve"> to 16 </w:t>
      </w:r>
      <w:r w:rsidRPr="004D46AC">
        <w:rPr>
          <w:noProof/>
        </w:rPr>
        <w:t>(Loewy et al., 2005)</w:t>
      </w:r>
      <w:r w:rsidRPr="004D46AC">
        <w:rPr>
          <w:rFonts w:hint="eastAsia"/>
        </w:rPr>
        <w:t xml:space="preserve">. </w:t>
      </w:r>
      <w:r w:rsidRPr="004D46AC">
        <w:t>T</w:t>
      </w:r>
      <w:r w:rsidRPr="004D46AC">
        <w:rPr>
          <w:rFonts w:hint="eastAsia"/>
        </w:rPr>
        <w:t xml:space="preserve">he scale demonstrated good diagnostic accuracy across various populations </w:t>
      </w:r>
      <w:r w:rsidRPr="004D46AC">
        <w:rPr>
          <w:noProof/>
        </w:rPr>
        <w:t>(Savill et al., 2018)</w:t>
      </w:r>
      <w:r w:rsidRPr="004D46AC">
        <w:rPr>
          <w:rFonts w:hint="eastAsia"/>
        </w:rPr>
        <w:t>. A</w:t>
      </w:r>
      <w:r w:rsidRPr="004D46AC">
        <w:t xml:space="preserve"> comprehensive self-report instrument that captures a broad range of at-risk symptoms across multiple conditions is still lacking. This gap in assessment hinders large-scale screening for the pluripotential nature of at-risk symptoms across different mental health conditions from a transdiagnostic perspective, thereby reducing feasibility in non-clinical and community-based contexts. The development of efficient and scalable screening methods is therefore urgently needed.</w:t>
      </w:r>
      <w:r w:rsidRPr="004D46AC">
        <w:rPr>
          <w:rFonts w:hint="eastAsia"/>
        </w:rPr>
        <w:t xml:space="preserve"> </w:t>
      </w:r>
    </w:p>
    <w:p w14:paraId="4B025681" w14:textId="77777777" w:rsidR="007075D9" w:rsidRPr="004D46AC" w:rsidRDefault="007075D9" w:rsidP="00B518F1">
      <w:pPr>
        <w:pStyle w:val="3"/>
      </w:pPr>
      <w:r w:rsidRPr="004D46AC">
        <w:t>S</w:t>
      </w:r>
      <w:r w:rsidRPr="004D46AC">
        <w:rPr>
          <w:rFonts w:hint="eastAsia"/>
        </w:rPr>
        <w:t>ymptom dynamics of the</w:t>
      </w:r>
      <w:r w:rsidRPr="004D46AC">
        <w:rPr>
          <w:rFonts w:eastAsiaTheme="minorEastAsia" w:hint="eastAsia"/>
        </w:rPr>
        <w:t xml:space="preserve"> mental illness </w:t>
      </w:r>
      <w:r w:rsidRPr="004D46AC">
        <w:t>at-risk</w:t>
      </w:r>
      <w:r w:rsidRPr="004D46AC">
        <w:rPr>
          <w:rFonts w:hint="eastAsia"/>
        </w:rPr>
        <w:t xml:space="preserve"> states</w:t>
      </w:r>
    </w:p>
    <w:p w14:paraId="33BD6715" w14:textId="77777777" w:rsidR="007075D9" w:rsidRPr="004D46AC" w:rsidRDefault="007075D9" w:rsidP="00B518F1">
      <w:r w:rsidRPr="004D46AC">
        <w:t xml:space="preserve">Advances in understanding the nature of at-risk mental states could be achieved by determining their structure. </w:t>
      </w:r>
      <w:r w:rsidRPr="004D46AC">
        <w:rPr>
          <w:rFonts w:hint="eastAsia"/>
        </w:rPr>
        <w:t>R</w:t>
      </w:r>
      <w:r w:rsidRPr="004D46AC">
        <w:t xml:space="preserve">esearchers </w:t>
      </w:r>
      <w:r w:rsidRPr="004D46AC">
        <w:rPr>
          <w:rFonts w:hint="eastAsia"/>
        </w:rPr>
        <w:t>p</w:t>
      </w:r>
      <w:r w:rsidRPr="004D46AC">
        <w:t>reviously have attempted to develop at-risk criteria for specific disorders such as schizophrenia and bipolar disorder</w:t>
      </w:r>
      <w:r w:rsidRPr="004D46AC">
        <w:rPr>
          <w:rFonts w:hint="eastAsia"/>
        </w:rPr>
        <w:t xml:space="preserve"> </w:t>
      </w:r>
      <w:r w:rsidRPr="004D46AC">
        <w:rPr>
          <w:noProof/>
        </w:rPr>
        <w:t>(Bechdolf et al., 2010; Yung et al., 2003)</w:t>
      </w:r>
      <w:r w:rsidRPr="004D46AC">
        <w:t xml:space="preserve">, implicitly assuming that these were disorder-specific, whereas the approach </w:t>
      </w:r>
      <w:r w:rsidRPr="004D46AC">
        <w:rPr>
          <w:rFonts w:hint="eastAsia"/>
        </w:rPr>
        <w:t xml:space="preserve"> took by </w:t>
      </w:r>
      <w:r w:rsidRPr="004D46AC">
        <w:rPr>
          <w:noProof/>
        </w:rPr>
        <w:t>Hartmann et al. (2019)</w:t>
      </w:r>
      <w:r w:rsidRPr="004D46AC">
        <w:rPr>
          <w:rFonts w:hint="eastAsia"/>
        </w:rPr>
        <w:t xml:space="preserve"> </w:t>
      </w:r>
      <w:r w:rsidRPr="004D46AC">
        <w:t xml:space="preserve">seems to assume a single at-risk state comparable to the idea of a unitary psychosis (Berrios and Beer, 1995). Recent developments in statistical modelling have inspired </w:t>
      </w:r>
      <w:r w:rsidRPr="004D46AC">
        <w:rPr>
          <w:rFonts w:hint="eastAsia"/>
        </w:rPr>
        <w:t xml:space="preserve">many seminal </w:t>
      </w:r>
      <w:r w:rsidRPr="004D46AC">
        <w:t xml:space="preserve">theoretical frameworks and provided valuable tools for exploring symptom dynamics which could be applied to studying at-risk states in much the same way that they have been used to study symptom covariation in SMIs. The p-factor model posits a single latent factor underlying multiple forms of psychopathology, while bifactor models suggest that symptom expression can be explained by both general and domain-specific </w:t>
      </w:r>
      <w:proofErr w:type="gramStart"/>
      <w:r w:rsidRPr="004D46AC">
        <w:t xml:space="preserve">factors </w:t>
      </w:r>
      <w:r w:rsidRPr="004D46AC">
        <w:rPr>
          <w:rFonts w:hint="eastAsia"/>
        </w:rPr>
        <w:t xml:space="preserve"> </w:t>
      </w:r>
      <w:r w:rsidRPr="004D46AC">
        <w:t>(</w:t>
      </w:r>
      <w:proofErr w:type="gramEnd"/>
      <w:r w:rsidRPr="004D46AC">
        <w:t>Caspi et al., 2014; DeMars, 2013)</w:t>
      </w:r>
      <w:r w:rsidRPr="004D46AC">
        <w:rPr>
          <w:rFonts w:hint="eastAsia"/>
        </w:rPr>
        <w:t xml:space="preserve">. </w:t>
      </w:r>
      <w:r w:rsidRPr="004D46AC">
        <w:t>T</w:t>
      </w:r>
      <w:r w:rsidRPr="004D46AC">
        <w:rPr>
          <w:rFonts w:hint="eastAsia"/>
        </w:rPr>
        <w:t xml:space="preserve">hese models have received support from </w:t>
      </w:r>
      <w:r w:rsidRPr="004D46AC">
        <w:t>several</w:t>
      </w:r>
      <w:r w:rsidRPr="004D46AC">
        <w:rPr>
          <w:rFonts w:hint="eastAsia"/>
        </w:rPr>
        <w:t xml:space="preserve"> empirical studies </w:t>
      </w:r>
      <w:r w:rsidRPr="004D46AC">
        <w:t>examining</w:t>
      </w:r>
      <w:r w:rsidRPr="004D46AC">
        <w:rPr>
          <w:rFonts w:hint="eastAsia"/>
        </w:rPr>
        <w:t xml:space="preserve"> the symptom structure of SMIs </w:t>
      </w:r>
      <w:r w:rsidRPr="004D46AC">
        <w:lastRenderedPageBreak/>
        <w:t>(</w:t>
      </w:r>
      <w:proofErr w:type="spellStart"/>
      <w:r w:rsidRPr="004D46AC">
        <w:t>Reininghaus</w:t>
      </w:r>
      <w:proofErr w:type="spellEnd"/>
      <w:r w:rsidRPr="004D46AC">
        <w:t xml:space="preserve"> et al., 2019; </w:t>
      </w:r>
      <w:proofErr w:type="spellStart"/>
      <w:r w:rsidRPr="004D46AC">
        <w:t>Reininghaus</w:t>
      </w:r>
      <w:proofErr w:type="spellEnd"/>
      <w:r w:rsidRPr="004D46AC">
        <w:t xml:space="preserve"> et al., 2016; </w:t>
      </w:r>
      <w:proofErr w:type="spellStart"/>
      <w:r w:rsidRPr="004D46AC">
        <w:t>Reininghaus</w:t>
      </w:r>
      <w:proofErr w:type="spellEnd"/>
      <w:r w:rsidRPr="004D46AC">
        <w:t xml:space="preserve"> et al., 2013; Shevlin et al., 2017)</w:t>
      </w:r>
      <w:r w:rsidRPr="004D46AC">
        <w:rPr>
          <w:rFonts w:hint="eastAsia"/>
        </w:rPr>
        <w:t xml:space="preserve">. </w:t>
      </w:r>
      <w:r w:rsidRPr="004D46AC">
        <w:t>Furthermore, the network model offers an alternative lens by conceptualising symptoms as interacting elements within a dynamic system, rather than expressions of latent constructs</w:t>
      </w:r>
      <w:r w:rsidRPr="004D46AC">
        <w:rPr>
          <w:rFonts w:hint="eastAsia"/>
        </w:rPr>
        <w:t xml:space="preserve"> </w:t>
      </w:r>
      <w:r w:rsidRPr="004D46AC">
        <w:t>(</w:t>
      </w:r>
      <w:proofErr w:type="spellStart"/>
      <w:r w:rsidRPr="004D46AC">
        <w:t>Epskamp</w:t>
      </w:r>
      <w:proofErr w:type="spellEnd"/>
      <w:r w:rsidRPr="004D46AC">
        <w:t xml:space="preserve"> et al., 2018). Empirical support for these transdiagnostic mechanisms comes from network analyses demonstrating structural overlap across symptom domains</w:t>
      </w:r>
      <w:r w:rsidRPr="004D46AC">
        <w:rPr>
          <w:rFonts w:hint="eastAsia"/>
        </w:rPr>
        <w:t xml:space="preserve"> </w:t>
      </w:r>
      <w:r w:rsidRPr="004D46AC">
        <w:t>(Shao et al., 2024). Collectively, these theoretical and empirical perspectives challenge traditional categorical classifications and support the view of a fluid boundary between symptom dimensions and diagnostic categories.</w:t>
      </w:r>
    </w:p>
    <w:p w14:paraId="042870C4" w14:textId="77777777" w:rsidR="007075D9" w:rsidRPr="004D46AC" w:rsidRDefault="007075D9" w:rsidP="00B518F1">
      <w:pPr>
        <w:ind w:firstLine="660"/>
      </w:pPr>
      <w:r w:rsidRPr="004D46AC">
        <w:t xml:space="preserve">To date, few studies have examined the network structure of </w:t>
      </w:r>
      <w:r w:rsidRPr="004D46AC">
        <w:rPr>
          <w:rFonts w:hint="eastAsia"/>
        </w:rPr>
        <w:t>at</w:t>
      </w:r>
      <w:r w:rsidRPr="004D46AC">
        <w:t>-</w:t>
      </w:r>
      <w:r w:rsidRPr="004D46AC">
        <w:rPr>
          <w:rFonts w:hint="eastAsia"/>
        </w:rPr>
        <w:t>risk</w:t>
      </w:r>
      <w:r w:rsidRPr="004D46AC">
        <w:t xml:space="preserve"> features using empirically validated </w:t>
      </w:r>
      <w:r w:rsidRPr="004D46AC">
        <w:rPr>
          <w:rFonts w:hint="eastAsia"/>
        </w:rPr>
        <w:t>at-risk assessment</w:t>
      </w:r>
      <w:r w:rsidRPr="004D46AC">
        <w:t>.</w:t>
      </w:r>
      <w:r w:rsidRPr="004D46AC">
        <w:rPr>
          <w:rFonts w:hint="eastAsia"/>
        </w:rPr>
        <w:t xml:space="preserve"> </w:t>
      </w:r>
      <w:r w:rsidRPr="004D46AC">
        <w:t>Fonseca-Pedrero et al. (2020)</w:t>
      </w:r>
      <w:r w:rsidRPr="004D46AC">
        <w:rPr>
          <w:rFonts w:hint="eastAsia"/>
        </w:rPr>
        <w:t xml:space="preserve"> </w:t>
      </w:r>
      <w:r w:rsidRPr="004D46AC">
        <w:t>investigated the network structure of schizotypal traits, APS</w:t>
      </w:r>
      <w:r w:rsidRPr="004D46AC">
        <w:rPr>
          <w:rFonts w:hint="eastAsia"/>
        </w:rPr>
        <w:t xml:space="preserve"> (assessed by PQ)</w:t>
      </w:r>
      <w:r w:rsidRPr="004D46AC">
        <w:t xml:space="preserve">, bipolar-like experiences, and other psychosocial factors in a sample of 1,881 college students. Their findings suggested that bipolar-like experiences were linked to both APS-related distress and schizotypal traits, while APS played a central role in shaping the overall network structure. However, the nodes modelled in the network were scale or subscale scores, so the study did not explore the network at the full symptom level. Consequently, micro-network relationships among APS and bipolar-like experiences remain unexamined. Additionally, conceptual overlap between schizotypal traits and at-risk features was not accounted for before analysis (Pfarr et al., 2023), potentially influencing the network structure. Furthermore, the use of the graphical lasso model, while effective for estimating conditional dependencies, provided limited insight into potential causal relationships </w:t>
      </w:r>
      <w:r w:rsidRPr="004D46AC">
        <w:rPr>
          <w:rFonts w:hint="eastAsia"/>
        </w:rPr>
        <w:t>among</w:t>
      </w:r>
      <w:r w:rsidRPr="004D46AC">
        <w:t xml:space="preserve"> symptoms </w:t>
      </w:r>
      <w:r w:rsidRPr="004D46AC">
        <w:rPr>
          <w:rFonts w:hint="eastAsia"/>
        </w:rPr>
        <w:t>or</w:t>
      </w:r>
      <w:r w:rsidRPr="004D46AC">
        <w:t xml:space="preserve"> syndromes.</w:t>
      </w:r>
      <w:r w:rsidRPr="004D46AC">
        <w:rPr>
          <w:rFonts w:hint="eastAsia"/>
        </w:rPr>
        <w:t xml:space="preserve"> </w:t>
      </w:r>
      <w:r w:rsidRPr="004D46AC">
        <w:t>U</w:t>
      </w:r>
      <w:r w:rsidRPr="004D46AC">
        <w:rPr>
          <w:rFonts w:hint="eastAsia"/>
        </w:rPr>
        <w:t>tilising</w:t>
      </w:r>
      <w:r w:rsidRPr="004D46AC">
        <w:t xml:space="preserve"> a Bayesian network approach, which can identify putative causal relations between symptoms even in cross-sectional data</w:t>
      </w:r>
      <w:r w:rsidRPr="004D46AC">
        <w:rPr>
          <w:rFonts w:hint="eastAsia"/>
        </w:rPr>
        <w:t xml:space="preserve"> </w:t>
      </w:r>
      <w:r w:rsidRPr="004D46AC">
        <w:rPr>
          <w:noProof/>
        </w:rPr>
        <w:t>(Scutari, 2010)</w:t>
      </w:r>
      <w:r w:rsidRPr="004D46AC">
        <w:t xml:space="preserve"> may offer a more nuanced understanding of </w:t>
      </w:r>
      <w:r w:rsidRPr="004D46AC">
        <w:rPr>
          <w:rFonts w:hint="eastAsia"/>
        </w:rPr>
        <w:t>at-risk</w:t>
      </w:r>
      <w:r w:rsidRPr="004D46AC">
        <w:t xml:space="preserve"> </w:t>
      </w:r>
      <w:r w:rsidRPr="004D46AC">
        <w:rPr>
          <w:rFonts w:hint="eastAsia"/>
        </w:rPr>
        <w:t>states</w:t>
      </w:r>
      <w:r w:rsidRPr="004D46AC">
        <w:t xml:space="preserve"> and their underlying dynamics.</w:t>
      </w:r>
    </w:p>
    <w:p w14:paraId="1E7AC468" w14:textId="77777777" w:rsidR="007075D9" w:rsidRPr="004D46AC" w:rsidRDefault="007075D9" w:rsidP="00B518F1">
      <w:pPr>
        <w:pStyle w:val="3"/>
      </w:pPr>
      <w:r w:rsidRPr="004D46AC">
        <w:t>R</w:t>
      </w:r>
      <w:r w:rsidRPr="004D46AC">
        <w:rPr>
          <w:rFonts w:hint="eastAsia"/>
        </w:rPr>
        <w:t>esearch aim, purposes, and hypotheses</w:t>
      </w:r>
    </w:p>
    <w:p w14:paraId="66CD7BE8" w14:textId="77777777" w:rsidR="007075D9" w:rsidRPr="004D46AC" w:rsidRDefault="007075D9" w:rsidP="00B518F1">
      <w:r w:rsidRPr="004D46AC">
        <w:t xml:space="preserve">To address these research gaps, the </w:t>
      </w:r>
      <w:r w:rsidRPr="004D46AC">
        <w:rPr>
          <w:rFonts w:hint="eastAsia"/>
        </w:rPr>
        <w:t>first</w:t>
      </w:r>
      <w:r w:rsidRPr="004D46AC">
        <w:t xml:space="preserve"> aim of the present study was to develop the </w:t>
      </w:r>
      <w:r w:rsidRPr="004D46AC">
        <w:rPr>
          <w:i/>
          <w:iCs/>
        </w:rPr>
        <w:t>Transdiagnostic Risk Assessment and Clinical Evaluation (TRACE)</w:t>
      </w:r>
      <w:r w:rsidRPr="004D46AC">
        <w:t xml:space="preserve"> - a self-report instrument designed to assess a wide spectrum of at-risk symptoms indicative of multiple potential </w:t>
      </w:r>
      <w:r w:rsidRPr="004D46AC">
        <w:lastRenderedPageBreak/>
        <w:t>clinical outcomes. The secondary aim was to explore the structure of at-risk states and the potential network mechanisms underlying the TRACE items.</w:t>
      </w:r>
    </w:p>
    <w:p w14:paraId="741760F9" w14:textId="77777777" w:rsidR="007075D9" w:rsidRPr="004D46AC" w:rsidRDefault="007075D9" w:rsidP="00B518F1">
      <w:r w:rsidRPr="004D46AC">
        <w:t xml:space="preserve">The specific objectives of each </w:t>
      </w:r>
      <w:r w:rsidRPr="004D46AC">
        <w:rPr>
          <w:rFonts w:hint="eastAsia"/>
        </w:rPr>
        <w:t>aim</w:t>
      </w:r>
      <w:r w:rsidRPr="004D46AC">
        <w:t xml:space="preserve"> were as follows:</w:t>
      </w:r>
    </w:p>
    <w:p w14:paraId="3FF02DAA" w14:textId="77777777" w:rsidR="007075D9" w:rsidRPr="004D46AC" w:rsidRDefault="007075D9">
      <w:pPr>
        <w:pStyle w:val="a9"/>
        <w:widowControl w:val="0"/>
        <w:numPr>
          <w:ilvl w:val="0"/>
          <w:numId w:val="3"/>
        </w:numPr>
      </w:pPr>
      <w:r w:rsidRPr="004D46AC">
        <w:t>TRACE Development</w:t>
      </w:r>
    </w:p>
    <w:p w14:paraId="7C149A50" w14:textId="77777777" w:rsidR="007075D9" w:rsidRPr="004D46AC" w:rsidRDefault="007075D9">
      <w:pPr>
        <w:pStyle w:val="a9"/>
        <w:widowControl w:val="0"/>
        <w:numPr>
          <w:ilvl w:val="1"/>
          <w:numId w:val="3"/>
        </w:numPr>
      </w:pPr>
      <w:r w:rsidRPr="004D46AC">
        <w:t>Select appropriate items from existing questionnaires assessing at-risk or subclinical features or symptoms.</w:t>
      </w:r>
    </w:p>
    <w:p w14:paraId="3D70DACF" w14:textId="77777777" w:rsidR="007075D9" w:rsidRPr="004D46AC" w:rsidRDefault="007075D9">
      <w:pPr>
        <w:pStyle w:val="a9"/>
        <w:widowControl w:val="0"/>
        <w:numPr>
          <w:ilvl w:val="1"/>
          <w:numId w:val="3"/>
        </w:numPr>
      </w:pPr>
      <w:r w:rsidRPr="004D46AC">
        <w:t>Validate the structure of the selected items using multiple psychometric methods.</w:t>
      </w:r>
    </w:p>
    <w:p w14:paraId="2D8718D5" w14:textId="77777777" w:rsidR="007075D9" w:rsidRPr="004D46AC" w:rsidRDefault="007075D9">
      <w:pPr>
        <w:pStyle w:val="a9"/>
        <w:widowControl w:val="0"/>
        <w:numPr>
          <w:ilvl w:val="1"/>
          <w:numId w:val="3"/>
        </w:numPr>
      </w:pPr>
      <w:r w:rsidRPr="004D46AC">
        <w:t>Test internal reliability and convergent validity with other psychological measures.</w:t>
      </w:r>
    </w:p>
    <w:p w14:paraId="32D070DB" w14:textId="77777777" w:rsidR="007075D9" w:rsidRPr="004D46AC" w:rsidRDefault="007075D9">
      <w:pPr>
        <w:pStyle w:val="a9"/>
        <w:widowControl w:val="0"/>
        <w:numPr>
          <w:ilvl w:val="1"/>
          <w:numId w:val="3"/>
        </w:numPr>
      </w:pPr>
      <w:r w:rsidRPr="004D46AC">
        <w:t>Conduct exploratory analyses of TRACE items across subgroups.</w:t>
      </w:r>
    </w:p>
    <w:p w14:paraId="0186545C" w14:textId="77777777" w:rsidR="007075D9" w:rsidRPr="004D46AC" w:rsidRDefault="007075D9">
      <w:pPr>
        <w:pStyle w:val="a9"/>
        <w:widowControl w:val="0"/>
        <w:numPr>
          <w:ilvl w:val="0"/>
          <w:numId w:val="3"/>
        </w:numPr>
      </w:pPr>
      <w:r w:rsidRPr="004D46AC">
        <w:rPr>
          <w:rFonts w:hint="eastAsia"/>
        </w:rPr>
        <w:t>Network dynamics of the TRACE</w:t>
      </w:r>
    </w:p>
    <w:p w14:paraId="195EF5E3" w14:textId="77777777" w:rsidR="007075D9" w:rsidRPr="004D46AC" w:rsidRDefault="007075D9">
      <w:pPr>
        <w:pStyle w:val="a9"/>
        <w:widowControl w:val="0"/>
        <w:numPr>
          <w:ilvl w:val="1"/>
          <w:numId w:val="3"/>
        </w:numPr>
      </w:pPr>
      <w:r w:rsidRPr="004D46AC">
        <w:t>Estimate the network structure of TRACE using the Ising model</w:t>
      </w:r>
      <w:r w:rsidRPr="004D46AC">
        <w:rPr>
          <w:rFonts w:hint="eastAsia"/>
        </w:rPr>
        <w:t xml:space="preserve"> (IM)</w:t>
      </w:r>
      <w:r w:rsidRPr="004D46AC">
        <w:t>.</w:t>
      </w:r>
    </w:p>
    <w:p w14:paraId="6B0BBC3C" w14:textId="77777777" w:rsidR="007075D9" w:rsidRPr="004D46AC" w:rsidRDefault="007075D9">
      <w:pPr>
        <w:pStyle w:val="a9"/>
        <w:widowControl w:val="0"/>
        <w:numPr>
          <w:ilvl w:val="1"/>
          <w:numId w:val="3"/>
        </w:numPr>
      </w:pPr>
      <w:r w:rsidRPr="004D46AC">
        <w:t>Compare the connections between different pairs of at-risk dimensions.</w:t>
      </w:r>
    </w:p>
    <w:p w14:paraId="3C414D09" w14:textId="77777777" w:rsidR="007075D9" w:rsidRPr="004D46AC" w:rsidRDefault="007075D9">
      <w:pPr>
        <w:pStyle w:val="a9"/>
        <w:widowControl w:val="0"/>
        <w:numPr>
          <w:ilvl w:val="1"/>
          <w:numId w:val="3"/>
        </w:numPr>
      </w:pPr>
      <w:r w:rsidRPr="004D46AC">
        <w:t>Estimate potential causal relationships among TRACE dimensions using a Bayesian network model</w:t>
      </w:r>
      <w:r w:rsidRPr="004D46AC">
        <w:rPr>
          <w:rFonts w:hint="eastAsia"/>
        </w:rPr>
        <w:t xml:space="preserve"> (BNM)</w:t>
      </w:r>
      <w:r w:rsidRPr="004D46AC">
        <w:t>.</w:t>
      </w:r>
    </w:p>
    <w:p w14:paraId="30351E79" w14:textId="77777777" w:rsidR="007075D9" w:rsidRPr="004D46AC" w:rsidRDefault="007075D9">
      <w:pPr>
        <w:pStyle w:val="a9"/>
        <w:widowControl w:val="0"/>
        <w:numPr>
          <w:ilvl w:val="1"/>
          <w:numId w:val="3"/>
        </w:numPr>
      </w:pPr>
      <w:r w:rsidRPr="004D46AC">
        <w:t>Compare network statistics across different subgroups.</w:t>
      </w:r>
    </w:p>
    <w:p w14:paraId="00DED763" w14:textId="77777777" w:rsidR="007075D9" w:rsidRPr="004D46AC" w:rsidRDefault="007075D9" w:rsidP="00B518F1">
      <w:r w:rsidRPr="004D46AC">
        <w:t xml:space="preserve">Although </w:t>
      </w:r>
      <w:r w:rsidRPr="004D46AC">
        <w:rPr>
          <w:rFonts w:hint="eastAsia"/>
        </w:rPr>
        <w:t>the current</w:t>
      </w:r>
      <w:r w:rsidRPr="004D46AC">
        <w:t xml:space="preserve"> study was primarily exploratory, we hypothesised the following based on existing literature: </w:t>
      </w:r>
    </w:p>
    <w:p w14:paraId="7FF992C1" w14:textId="77777777" w:rsidR="007075D9" w:rsidRPr="004D46AC" w:rsidRDefault="007075D9">
      <w:pPr>
        <w:pStyle w:val="a9"/>
        <w:widowControl w:val="0"/>
        <w:numPr>
          <w:ilvl w:val="0"/>
          <w:numId w:val="4"/>
        </w:numPr>
      </w:pPr>
      <w:r w:rsidRPr="004D46AC">
        <w:rPr>
          <w:rFonts w:hint="eastAsia"/>
        </w:rPr>
        <w:t xml:space="preserve">TRACE Development </w:t>
      </w:r>
    </w:p>
    <w:p w14:paraId="247FF33F" w14:textId="77777777" w:rsidR="007075D9" w:rsidRPr="004D46AC" w:rsidRDefault="007075D9">
      <w:pPr>
        <w:pStyle w:val="a9"/>
        <w:widowControl w:val="0"/>
        <w:numPr>
          <w:ilvl w:val="0"/>
          <w:numId w:val="5"/>
        </w:numPr>
      </w:pPr>
      <w:r w:rsidRPr="004D46AC">
        <w:t>We expected that four dimensions would be identified, as the items were selected to reflect manifestations of risk states associated with bipolar disorder (cyclothymia, hypomania), schizophrenia (APS), and borderline personality disorder (unstable self-image and interpersonal relationships).</w:t>
      </w:r>
    </w:p>
    <w:p w14:paraId="5BA383F0" w14:textId="77777777" w:rsidR="007075D9" w:rsidRPr="004D46AC" w:rsidRDefault="007075D9">
      <w:pPr>
        <w:pStyle w:val="a9"/>
        <w:widowControl w:val="0"/>
        <w:numPr>
          <w:ilvl w:val="0"/>
          <w:numId w:val="5"/>
        </w:numPr>
      </w:pPr>
      <w:r w:rsidRPr="004D46AC">
        <w:t>The TRACE total score and relevant subscale scores will show high convergent validity with existing validated risk-assessment instruments (e.g., the Prodromal Questionnaire), as evidenced by moderate-to-strong correlations (</w:t>
      </w:r>
      <w:r w:rsidRPr="004D46AC">
        <w:rPr>
          <w:i/>
          <w:iCs/>
        </w:rPr>
        <w:t>r</w:t>
      </w:r>
      <w:r w:rsidRPr="004D46AC">
        <w:t xml:space="preserve"> ≥ .50).</w:t>
      </w:r>
    </w:p>
    <w:p w14:paraId="2B09760A" w14:textId="77777777" w:rsidR="007075D9" w:rsidRPr="004D46AC" w:rsidRDefault="007075D9">
      <w:pPr>
        <w:pStyle w:val="a9"/>
        <w:widowControl w:val="0"/>
        <w:numPr>
          <w:ilvl w:val="0"/>
          <w:numId w:val="5"/>
        </w:numPr>
      </w:pPr>
      <w:r w:rsidRPr="004D46AC">
        <w:lastRenderedPageBreak/>
        <w:t xml:space="preserve">At a broad level, items indexing manic-like tendencies and psychotic-like experiences will exhibit stronger cross-domain associations, reflected in higher inter-factor correlations (e.g., </w:t>
      </w:r>
      <w:r w:rsidRPr="004D46AC">
        <w:rPr>
          <w:i/>
          <w:iCs/>
        </w:rPr>
        <w:t xml:space="preserve">r </w:t>
      </w:r>
      <w:r w:rsidRPr="004D46AC">
        <w:t>&gt; .30-.40).</w:t>
      </w:r>
    </w:p>
    <w:p w14:paraId="25022E08" w14:textId="77777777" w:rsidR="007075D9" w:rsidRPr="004D46AC" w:rsidRDefault="007075D9">
      <w:pPr>
        <w:pStyle w:val="a9"/>
        <w:widowControl w:val="0"/>
        <w:numPr>
          <w:ilvl w:val="0"/>
          <w:numId w:val="5"/>
        </w:numPr>
      </w:pPr>
      <w:bookmarkStart w:id="244" w:name="OLE_LINK69"/>
      <w:r w:rsidRPr="004D46AC">
        <w:t>Since gender differences have been observed in the frequency of mood episodes</w:t>
      </w:r>
      <w:r w:rsidRPr="004D46AC">
        <w:rPr>
          <w:rFonts w:hint="eastAsia"/>
        </w:rPr>
        <w:t>, mood dysregulation</w:t>
      </w:r>
      <w:r w:rsidRPr="004D46AC">
        <w:t xml:space="preserve"> and psychosis</w:t>
      </w:r>
      <w:r w:rsidRPr="004D46AC">
        <w:rPr>
          <w:rFonts w:hint="eastAsia"/>
        </w:rPr>
        <w:t xml:space="preserve"> </w:t>
      </w:r>
      <w:r w:rsidRPr="004D46AC">
        <w:rPr>
          <w:noProof/>
        </w:rPr>
        <w:t>(Baldassano et al., 2005; Barajas et al., 2015; Bender et al., 2012)</w:t>
      </w:r>
      <w:r w:rsidRPr="004D46AC">
        <w:rPr>
          <w:rFonts w:hint="eastAsia"/>
        </w:rPr>
        <w:t>,</w:t>
      </w:r>
      <w:r w:rsidRPr="004D46AC">
        <w:t xml:space="preserve"> a gender pattern is anticipated: males are expected to score higher on manic-like and psychotic-like dimensions, whereas females are expected to score higher on depression- and emotion-dysregulation-like dimensions.</w:t>
      </w:r>
    </w:p>
    <w:bookmarkEnd w:id="244"/>
    <w:p w14:paraId="5FACBEEC" w14:textId="77777777" w:rsidR="007075D9" w:rsidRPr="004D46AC" w:rsidRDefault="007075D9">
      <w:pPr>
        <w:pStyle w:val="a9"/>
        <w:widowControl w:val="0"/>
        <w:numPr>
          <w:ilvl w:val="0"/>
          <w:numId w:val="5"/>
        </w:numPr>
      </w:pPr>
      <w:r w:rsidRPr="004D46AC">
        <w:t xml:space="preserve">Participants classified as high risk, based on the TRACE scale cut-off scores, will report significantly higher levels of psychological distress than participants classified as low risk.  </w:t>
      </w:r>
      <w:r w:rsidRPr="004D46AC">
        <w:rPr>
          <w:rFonts w:hint="eastAsia"/>
        </w:rPr>
        <w:t xml:space="preserve"> </w:t>
      </w:r>
      <w:r w:rsidRPr="004D46AC">
        <w:t xml:space="preserve"> </w:t>
      </w:r>
    </w:p>
    <w:p w14:paraId="012551A9" w14:textId="77777777" w:rsidR="007075D9" w:rsidRPr="004D46AC" w:rsidRDefault="007075D9">
      <w:pPr>
        <w:pStyle w:val="a9"/>
        <w:widowControl w:val="0"/>
        <w:numPr>
          <w:ilvl w:val="0"/>
          <w:numId w:val="4"/>
        </w:numPr>
      </w:pPr>
      <w:r w:rsidRPr="004D46AC">
        <w:rPr>
          <w:rFonts w:hint="eastAsia"/>
        </w:rPr>
        <w:t xml:space="preserve">Network </w:t>
      </w:r>
      <w:r w:rsidRPr="004D46AC">
        <w:t>dynamic</w:t>
      </w:r>
      <w:r w:rsidRPr="004D46AC">
        <w:rPr>
          <w:rFonts w:hint="eastAsia"/>
        </w:rPr>
        <w:t>s of TRACE scale</w:t>
      </w:r>
    </w:p>
    <w:p w14:paraId="0FBA5F6B" w14:textId="77777777" w:rsidR="007075D9" w:rsidRPr="004D46AC" w:rsidRDefault="007075D9">
      <w:pPr>
        <w:pStyle w:val="a9"/>
        <w:widowControl w:val="0"/>
        <w:numPr>
          <w:ilvl w:val="0"/>
          <w:numId w:val="6"/>
        </w:numPr>
      </w:pPr>
      <w:r w:rsidRPr="004D46AC">
        <w:t>Reflecting</w:t>
      </w:r>
      <w:r w:rsidRPr="004D46AC">
        <w:rPr>
          <w:rFonts w:hint="eastAsia"/>
        </w:rPr>
        <w:t xml:space="preserve"> the </w:t>
      </w:r>
      <w:r w:rsidRPr="004D46AC">
        <w:t>inter-factor correlations</w:t>
      </w:r>
      <w:r w:rsidRPr="004D46AC">
        <w:rPr>
          <w:rFonts w:hint="eastAsia"/>
        </w:rPr>
        <w:t>, the</w:t>
      </w:r>
      <w:r w:rsidRPr="004D46AC">
        <w:t xml:space="preserve"> symptoms </w:t>
      </w:r>
      <w:r w:rsidRPr="004D46AC">
        <w:rPr>
          <w:rFonts w:hint="eastAsia"/>
        </w:rPr>
        <w:t xml:space="preserve">of </w:t>
      </w:r>
      <w:r w:rsidRPr="004D46AC">
        <w:t xml:space="preserve">the </w:t>
      </w:r>
      <w:r w:rsidRPr="004D46AC">
        <w:rPr>
          <w:rFonts w:hint="eastAsia"/>
        </w:rPr>
        <w:t>mania and psychotic like dimensions</w:t>
      </w:r>
      <w:r w:rsidRPr="004D46AC">
        <w:t xml:space="preserve"> will exhibit greater interconnectivity than other dimension pairs. In particular,</w:t>
      </w:r>
      <w:r w:rsidRPr="004D46AC">
        <w:rPr>
          <w:rFonts w:hint="eastAsia"/>
        </w:rPr>
        <w:t xml:space="preserve"> </w:t>
      </w:r>
      <w:r w:rsidRPr="004D46AC">
        <w:t>(a) the prevalence of non-zero edges between symptoms in these two dimensions will be higher</w:t>
      </w:r>
      <w:r w:rsidRPr="004D46AC">
        <w:rPr>
          <w:rFonts w:hint="eastAsia"/>
        </w:rPr>
        <w:t>;</w:t>
      </w:r>
      <w:r w:rsidRPr="004D46AC">
        <w:t xml:space="preserve"> and</w:t>
      </w:r>
      <w:r w:rsidRPr="004D46AC">
        <w:rPr>
          <w:rFonts w:hint="eastAsia"/>
        </w:rPr>
        <w:t xml:space="preserve"> </w:t>
      </w:r>
      <w:r w:rsidRPr="004D46AC">
        <w:t>(b) the mean absolute edge weight of these connections will exceed that of other inter-domain connections.</w:t>
      </w:r>
      <w:r w:rsidRPr="004D46AC">
        <w:rPr>
          <w:rFonts w:hint="eastAsia"/>
        </w:rPr>
        <w:t xml:space="preserve"> </w:t>
      </w:r>
      <w:r w:rsidRPr="004D46AC">
        <w:t xml:space="preserve">(These predictions follow from the findings in Chapters </w:t>
      </w:r>
      <w:r w:rsidRPr="004D46AC">
        <w:rPr>
          <w:rFonts w:hint="eastAsia"/>
        </w:rPr>
        <w:t>3</w:t>
      </w:r>
      <w:r w:rsidRPr="004D46AC">
        <w:t xml:space="preserve"> (Shao et al., 2025) and</w:t>
      </w:r>
      <w:r w:rsidRPr="004D46AC">
        <w:rPr>
          <w:rFonts w:hint="eastAsia"/>
        </w:rPr>
        <w:t xml:space="preserve"> 4</w:t>
      </w:r>
      <w:r w:rsidRPr="004D46AC">
        <w:t xml:space="preserve"> (C19PRC</w:t>
      </w:r>
      <w:r w:rsidRPr="004D46AC">
        <w:rPr>
          <w:rFonts w:hint="eastAsia"/>
        </w:rPr>
        <w:t xml:space="preserve"> study</w:t>
      </w:r>
      <w:r w:rsidRPr="004D46AC">
        <w:t>)</w:t>
      </w:r>
    </w:p>
    <w:p w14:paraId="7BEB46FD" w14:textId="77777777" w:rsidR="007075D9" w:rsidRPr="004D46AC" w:rsidRDefault="007075D9">
      <w:pPr>
        <w:pStyle w:val="a9"/>
        <w:widowControl w:val="0"/>
        <w:numPr>
          <w:ilvl w:val="0"/>
          <w:numId w:val="6"/>
        </w:numPr>
      </w:pPr>
      <w:bookmarkStart w:id="245" w:name="OLE_LINK72"/>
      <w:r w:rsidRPr="004D46AC">
        <w:t xml:space="preserve">As the risk for psychosis and other mental illnesses peaks during adolescence </w:t>
      </w:r>
      <w:r w:rsidRPr="004D46AC">
        <w:rPr>
          <w:noProof/>
        </w:rPr>
        <w:t>(Solmi et al., 2022)</w:t>
      </w:r>
      <w:r w:rsidRPr="004D46AC">
        <w:rPr>
          <w:rFonts w:hint="eastAsia"/>
        </w:rPr>
        <w:t xml:space="preserve">, </w:t>
      </w:r>
      <w:r w:rsidRPr="004D46AC">
        <w:t>we expect younger participants to show greater vulnerability than their adult counterparts.</w:t>
      </w:r>
      <w:r w:rsidRPr="004D46AC">
        <w:rPr>
          <w:rFonts w:hint="eastAsia"/>
        </w:rPr>
        <w:t xml:space="preserve"> </w:t>
      </w:r>
      <w:r w:rsidRPr="004D46AC">
        <w:t>Specifically, (1) the symptom network among younger participants will be more dynamic and susceptible to change, reflected by higher overall connectivity; and</w:t>
      </w:r>
      <w:r w:rsidRPr="004D46AC">
        <w:rPr>
          <w:rFonts w:hint="eastAsia"/>
        </w:rPr>
        <w:t xml:space="preserve"> </w:t>
      </w:r>
      <w:r w:rsidRPr="004D46AC">
        <w:t>(2) node centrality values will be generally higher in younger participants than in older participants.</w:t>
      </w:r>
    </w:p>
    <w:bookmarkEnd w:id="245"/>
    <w:p w14:paraId="0C0F4951" w14:textId="77777777" w:rsidR="007075D9" w:rsidRPr="004D46AC" w:rsidRDefault="007075D9">
      <w:pPr>
        <w:pStyle w:val="a9"/>
        <w:widowControl w:val="0"/>
        <w:numPr>
          <w:ilvl w:val="0"/>
          <w:numId w:val="6"/>
        </w:numPr>
      </w:pPr>
      <w:r w:rsidRPr="004D46AC">
        <w:t xml:space="preserve">Gender differences in at-risk symptoms will be limited. Specifically, the </w:t>
      </w:r>
      <w:r w:rsidRPr="004D46AC">
        <w:lastRenderedPageBreak/>
        <w:t>overall network structure of at-risk symptoms will be comparable across genders.</w:t>
      </w:r>
    </w:p>
    <w:p w14:paraId="417C6BC9" w14:textId="77777777" w:rsidR="007075D9" w:rsidRPr="004D46AC" w:rsidRDefault="007075D9" w:rsidP="00B518F1">
      <w:pPr>
        <w:pStyle w:val="a9"/>
        <w:ind w:left="1440"/>
      </w:pPr>
    </w:p>
    <w:p w14:paraId="5D3FE32C" w14:textId="77777777" w:rsidR="007075D9" w:rsidRPr="004D46AC" w:rsidRDefault="007075D9" w:rsidP="00B518F1">
      <w:pPr>
        <w:ind w:firstLine="660"/>
      </w:pPr>
      <w:r w:rsidRPr="004D46AC">
        <w:t>The TRACE scale contributes to the field by integrating clinical insight and empirical rigor within a trait-based conceptual framework, thereby enhancing both its theoretical foundation and clinical utility. Network analysis of TRACE items can elucidate underlying mechanisms by examining relationships between symptoms and variations across subgroups. The resulting findings may offer valuable insights for therapeutic development and inform psychoeducational initiatives aimed at preventing early psychological distress among youth populations.</w:t>
      </w:r>
    </w:p>
    <w:p w14:paraId="76FAF110" w14:textId="77777777" w:rsidR="007075D9" w:rsidRPr="004D46AC" w:rsidRDefault="007075D9" w:rsidP="00B518F1">
      <w:pPr>
        <w:ind w:firstLine="660"/>
      </w:pPr>
    </w:p>
    <w:p w14:paraId="13FEEA1A" w14:textId="77777777" w:rsidR="007075D9" w:rsidRPr="004D46AC" w:rsidRDefault="007075D9" w:rsidP="00B518F1">
      <w:pPr>
        <w:ind w:firstLine="660"/>
      </w:pPr>
    </w:p>
    <w:p w14:paraId="3567A184" w14:textId="77777777" w:rsidR="007075D9" w:rsidRPr="004D46AC" w:rsidRDefault="007075D9" w:rsidP="00B518F1">
      <w:pPr>
        <w:ind w:firstLine="660"/>
      </w:pPr>
    </w:p>
    <w:p w14:paraId="63AC1606" w14:textId="77777777" w:rsidR="007075D9" w:rsidRPr="004D46AC" w:rsidRDefault="007075D9" w:rsidP="00B518F1">
      <w:pPr>
        <w:ind w:firstLine="660"/>
      </w:pPr>
    </w:p>
    <w:p w14:paraId="5BD5D28C" w14:textId="77777777" w:rsidR="007075D9" w:rsidRPr="004D46AC" w:rsidRDefault="007075D9" w:rsidP="00B518F1">
      <w:pPr>
        <w:ind w:firstLine="660"/>
      </w:pPr>
    </w:p>
    <w:p w14:paraId="34FB340E" w14:textId="77777777" w:rsidR="007075D9" w:rsidRPr="004D46AC" w:rsidRDefault="007075D9" w:rsidP="00B518F1">
      <w:pPr>
        <w:ind w:firstLine="660"/>
        <w:rPr>
          <w:rFonts w:eastAsiaTheme="minorEastAsia"/>
        </w:rPr>
      </w:pPr>
    </w:p>
    <w:p w14:paraId="2408C5D8" w14:textId="77777777" w:rsidR="007075D9" w:rsidRPr="004D46AC" w:rsidRDefault="007075D9" w:rsidP="00B518F1">
      <w:pPr>
        <w:ind w:firstLine="660"/>
        <w:rPr>
          <w:rFonts w:eastAsiaTheme="minorEastAsia"/>
        </w:rPr>
      </w:pPr>
    </w:p>
    <w:p w14:paraId="7F9AB141" w14:textId="77777777" w:rsidR="007075D9" w:rsidRPr="004D46AC" w:rsidRDefault="007075D9" w:rsidP="00B518F1">
      <w:pPr>
        <w:ind w:firstLine="660"/>
        <w:rPr>
          <w:rFonts w:eastAsiaTheme="minorEastAsia"/>
        </w:rPr>
      </w:pPr>
    </w:p>
    <w:p w14:paraId="6C8EF6E2" w14:textId="77777777" w:rsidR="007075D9" w:rsidRPr="004D46AC" w:rsidRDefault="007075D9" w:rsidP="00B518F1">
      <w:pPr>
        <w:ind w:firstLine="660"/>
        <w:rPr>
          <w:rFonts w:eastAsiaTheme="minorEastAsia"/>
        </w:rPr>
      </w:pPr>
    </w:p>
    <w:p w14:paraId="43A22813" w14:textId="77777777" w:rsidR="007075D9" w:rsidRPr="004D46AC" w:rsidRDefault="007075D9" w:rsidP="00B518F1">
      <w:pPr>
        <w:ind w:firstLine="660"/>
        <w:rPr>
          <w:rFonts w:eastAsiaTheme="minorEastAsia"/>
        </w:rPr>
      </w:pPr>
    </w:p>
    <w:p w14:paraId="3EE83100" w14:textId="77777777" w:rsidR="007075D9" w:rsidRPr="004D46AC" w:rsidRDefault="007075D9" w:rsidP="00B518F1">
      <w:pPr>
        <w:ind w:firstLine="660"/>
        <w:rPr>
          <w:rFonts w:eastAsiaTheme="minorEastAsia"/>
        </w:rPr>
      </w:pPr>
    </w:p>
    <w:p w14:paraId="6CACAD81" w14:textId="77777777" w:rsidR="007075D9" w:rsidRPr="004D46AC" w:rsidRDefault="007075D9" w:rsidP="00B518F1">
      <w:pPr>
        <w:ind w:firstLine="660"/>
        <w:rPr>
          <w:rFonts w:eastAsiaTheme="minorEastAsia"/>
        </w:rPr>
      </w:pPr>
    </w:p>
    <w:p w14:paraId="37892C45" w14:textId="77777777" w:rsidR="007075D9" w:rsidRPr="004D46AC" w:rsidRDefault="007075D9" w:rsidP="00B518F1">
      <w:pPr>
        <w:ind w:firstLine="660"/>
        <w:rPr>
          <w:rFonts w:eastAsiaTheme="minorEastAsia"/>
        </w:rPr>
      </w:pPr>
    </w:p>
    <w:p w14:paraId="24741707" w14:textId="77777777" w:rsidR="007075D9" w:rsidRPr="004D46AC" w:rsidRDefault="007075D9" w:rsidP="00B518F1">
      <w:pPr>
        <w:ind w:firstLine="660"/>
        <w:rPr>
          <w:rFonts w:eastAsiaTheme="minorEastAsia"/>
        </w:rPr>
      </w:pPr>
    </w:p>
    <w:p w14:paraId="14A437B8" w14:textId="77777777" w:rsidR="007075D9" w:rsidRPr="004D46AC" w:rsidRDefault="007075D9" w:rsidP="00B518F1">
      <w:pPr>
        <w:ind w:firstLine="660"/>
        <w:rPr>
          <w:rFonts w:eastAsiaTheme="minorEastAsia"/>
        </w:rPr>
      </w:pPr>
    </w:p>
    <w:p w14:paraId="7AFA4EF4" w14:textId="77777777" w:rsidR="007075D9" w:rsidRPr="004D46AC" w:rsidRDefault="007075D9" w:rsidP="00B518F1">
      <w:pPr>
        <w:pStyle w:val="2"/>
        <w:rPr>
          <w:rFonts w:eastAsiaTheme="minorEastAsia"/>
        </w:rPr>
      </w:pPr>
      <w:bookmarkStart w:id="246" w:name="_Toc219888783"/>
      <w:r w:rsidRPr="004D46AC">
        <w:lastRenderedPageBreak/>
        <w:t>M</w:t>
      </w:r>
      <w:r w:rsidRPr="004D46AC">
        <w:rPr>
          <w:rFonts w:hint="eastAsia"/>
        </w:rPr>
        <w:t>ethods</w:t>
      </w:r>
      <w:bookmarkEnd w:id="246"/>
    </w:p>
    <w:p w14:paraId="6FB3E0EC" w14:textId="77777777" w:rsidR="007075D9" w:rsidRPr="004D46AC" w:rsidRDefault="007075D9" w:rsidP="00B518F1">
      <w:pPr>
        <w:pStyle w:val="3"/>
        <w:rPr>
          <w:rFonts w:eastAsiaTheme="minorEastAsia"/>
        </w:rPr>
      </w:pPr>
      <w:r w:rsidRPr="004D46AC">
        <w:t>P</w:t>
      </w:r>
      <w:r w:rsidRPr="004D46AC">
        <w:rPr>
          <w:rFonts w:hint="eastAsia"/>
        </w:rPr>
        <w:t>articipants</w:t>
      </w:r>
    </w:p>
    <w:p w14:paraId="7B8CB058" w14:textId="1703053E" w:rsidR="009264C5" w:rsidRPr="004D46AC" w:rsidRDefault="007075D9" w:rsidP="00CC3324">
      <w:pPr>
        <w:ind w:firstLine="660"/>
        <w:rPr>
          <w:rFonts w:eastAsiaTheme="minorEastAsia"/>
        </w:rPr>
      </w:pPr>
      <w:r w:rsidRPr="004D46AC">
        <w:t>The current analysis</w:t>
      </w:r>
      <w:r w:rsidRPr="004D46AC">
        <w:rPr>
          <w:rFonts w:hint="eastAsia"/>
        </w:rPr>
        <w:t xml:space="preserve"> recruited participants through the online sampling platform, Qualtrics (</w:t>
      </w:r>
      <w:r w:rsidRPr="004D46AC">
        <w:t>https://www.qualtrics.com/</w:t>
      </w:r>
      <w:r w:rsidRPr="004D46AC">
        <w:rPr>
          <w:rFonts w:hint="eastAsia"/>
        </w:rPr>
        <w:t xml:space="preserve">). </w:t>
      </w:r>
      <w:r w:rsidRPr="004D46AC">
        <w:t>Qualtrics administered quota sampling to a large UK cohort (target N ≈ 2,000), with the following enforced constraints: age (14-17 years: 17.33%; 18-24 years: 27.88%; 25-29 years: 24.14%; 30-36 years: 30.65%), gender (female: 50.52%), and region (North East: 3.99%; North West: 10.95%; Yorkshire and The Humber: 8.23%; East Midlands: 7.22%; West Midlands: 8.86%; East of England: 9.36%; London: 13.48%; South East: 13.77%; South West: 8.43%; Wales: 4.71%; Scotland: 8.18%; Northern Ireland: 2.81%), designed to approximate the target research population and corresponding national distributions.</w:t>
      </w:r>
      <w:r w:rsidRPr="004D46AC">
        <w:rPr>
          <w:rFonts w:hint="eastAsia"/>
        </w:rPr>
        <w:t xml:space="preserve"> </w:t>
      </w:r>
      <w:r w:rsidRPr="004D46AC">
        <w:t xml:space="preserve">A total of 2,043 participants </w:t>
      </w:r>
      <w:r w:rsidRPr="004D46AC">
        <w:rPr>
          <w:rFonts w:hint="eastAsia"/>
        </w:rPr>
        <w:t>were</w:t>
      </w:r>
      <w:r w:rsidRPr="004D46AC">
        <w:t xml:space="preserve"> invited to complete an online survey lasting approximately 15 minutes. The survey included the</w:t>
      </w:r>
      <w:r w:rsidRPr="004D46AC">
        <w:rPr>
          <w:rFonts w:hint="eastAsia"/>
        </w:rPr>
        <w:t xml:space="preserve"> transdiagnostic questionnaire</w:t>
      </w:r>
      <w:r w:rsidRPr="004D46AC">
        <w:t xml:space="preserve"> we developed, along with a series of psychiatric and psychological assessments (described in detail below), and incorporated attention-check questions (e.g., “Select the animal from the list below,” with response options: sleep, food, friends, cat, chocolate). Six participants failed these checks, resulting in 2,037 valid records for analysis. The final sample had a mean age of 25.32 years (SD = 6.43).</w:t>
      </w:r>
      <w:r w:rsidRPr="004D46AC">
        <w:rPr>
          <w:rFonts w:hint="eastAsia"/>
        </w:rPr>
        <w:t xml:space="preserve"> </w:t>
      </w:r>
      <w:r w:rsidRPr="004D46AC">
        <w:t xml:space="preserve">The gender distribution was approximately equal, with females comprising </w:t>
      </w:r>
      <w:r w:rsidRPr="004D46AC">
        <w:rPr>
          <w:rFonts w:hint="eastAsia"/>
        </w:rPr>
        <w:t>50.86</w:t>
      </w:r>
      <w:r w:rsidRPr="004D46AC">
        <w:t>% of the sample</w:t>
      </w:r>
      <w:r w:rsidRPr="004D46AC">
        <w:rPr>
          <w:rFonts w:hint="eastAsia"/>
          <w:b/>
          <w:bCs/>
        </w:rPr>
        <w:t>;</w:t>
      </w:r>
      <w:r w:rsidRPr="004D46AC">
        <w:t xml:space="preserve"> 13 participants did not disclose their gender identity. See Table </w:t>
      </w:r>
      <w:r w:rsidRPr="004D46AC">
        <w:rPr>
          <w:rFonts w:hint="eastAsia"/>
        </w:rPr>
        <w:t>5.</w:t>
      </w:r>
      <w:r w:rsidRPr="004D46AC">
        <w:t>1 for</w:t>
      </w:r>
      <w:r w:rsidRPr="004D46AC">
        <w:rPr>
          <w:rFonts w:hint="eastAsia"/>
          <w:b/>
          <w:bCs/>
        </w:rPr>
        <w:t xml:space="preserve"> </w:t>
      </w:r>
      <w:r w:rsidRPr="004D46AC">
        <w:rPr>
          <w:rFonts w:hint="eastAsia"/>
        </w:rPr>
        <w:t>more</w:t>
      </w:r>
      <w:r w:rsidRPr="004D46AC">
        <w:t xml:space="preserve"> details.</w:t>
      </w:r>
      <w:r w:rsidRPr="004D46AC">
        <w:rPr>
          <w:rFonts w:hint="eastAsia"/>
        </w:rPr>
        <w:t xml:space="preserve">    </w:t>
      </w:r>
    </w:p>
    <w:p w14:paraId="3B9A7283" w14:textId="77777777" w:rsidR="00CC3324" w:rsidRPr="004D46AC" w:rsidRDefault="00CC3324" w:rsidP="00CC3324">
      <w:pPr>
        <w:ind w:firstLine="660"/>
        <w:rPr>
          <w:rFonts w:eastAsiaTheme="minorEastAsia"/>
        </w:rPr>
      </w:pPr>
    </w:p>
    <w:p w14:paraId="7D4BEFCC" w14:textId="6F157C89" w:rsidR="004725A0" w:rsidRPr="004D46AC" w:rsidRDefault="009264C5" w:rsidP="004725A0">
      <w:pPr>
        <w:pStyle w:val="afff0"/>
        <w:ind w:firstLine="0"/>
        <w:rPr>
          <w:rFonts w:eastAsiaTheme="minorEastAsia"/>
          <w:b/>
          <w:bCs/>
          <w:i w:val="0"/>
          <w:iCs w:val="0"/>
          <w:color w:val="auto"/>
          <w:sz w:val="22"/>
          <w:szCs w:val="22"/>
        </w:rPr>
      </w:pPr>
      <w:bookmarkStart w:id="247" w:name="_Toc219883864"/>
      <w:bookmarkStart w:id="248" w:name="_Toc219870616"/>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247"/>
      <w:r w:rsidR="004725A0" w:rsidRPr="004D46AC">
        <w:rPr>
          <w:b/>
          <w:bCs/>
          <w:i w:val="0"/>
          <w:iCs w:val="0"/>
          <w:color w:val="auto"/>
          <w:sz w:val="22"/>
          <w:szCs w:val="22"/>
        </w:rPr>
        <w:fldChar w:fldCharType="end"/>
      </w:r>
      <w:bookmarkEnd w:id="248"/>
      <w:r w:rsidR="004725A0" w:rsidRPr="004D46AC">
        <w:rPr>
          <w:rFonts w:eastAsiaTheme="minorEastAsia" w:hint="eastAsia"/>
          <w:b/>
          <w:bCs/>
          <w:i w:val="0"/>
          <w:iCs w:val="0"/>
          <w:color w:val="auto"/>
          <w:sz w:val="22"/>
          <w:szCs w:val="22"/>
        </w:rPr>
        <w:t xml:space="preserve"> </w:t>
      </w:r>
    </w:p>
    <w:p w14:paraId="1DB8A0C9" w14:textId="319A08AF" w:rsidR="007075D9" w:rsidRPr="004D46AC" w:rsidRDefault="007075D9" w:rsidP="004725A0">
      <w:pPr>
        <w:pStyle w:val="afff0"/>
        <w:ind w:firstLine="0"/>
        <w:rPr>
          <w:rFonts w:eastAsiaTheme="minorEastAsia"/>
          <w:b/>
          <w:bCs/>
          <w:color w:val="auto"/>
          <w:sz w:val="22"/>
          <w:szCs w:val="22"/>
        </w:rPr>
      </w:pPr>
      <w:r w:rsidRPr="004D46AC">
        <w:rPr>
          <w:color w:val="auto"/>
          <w:sz w:val="22"/>
          <w:szCs w:val="22"/>
        </w:rPr>
        <w:t>Basic information about the included participants</w:t>
      </w:r>
    </w:p>
    <w:tbl>
      <w:tblPr>
        <w:tblStyle w:val="afc"/>
        <w:tblW w:w="0" w:type="auto"/>
        <w:tblLook w:val="04A0" w:firstRow="1" w:lastRow="0" w:firstColumn="1" w:lastColumn="0" w:noHBand="0" w:noVBand="1"/>
      </w:tblPr>
      <w:tblGrid>
        <w:gridCol w:w="4955"/>
        <w:gridCol w:w="4061"/>
      </w:tblGrid>
      <w:tr w:rsidR="007075D9" w:rsidRPr="004D46AC" w14:paraId="18C51500" w14:textId="77777777" w:rsidTr="00B518F1">
        <w:tc>
          <w:tcPr>
            <w:tcW w:w="5070" w:type="dxa"/>
          </w:tcPr>
          <w:p w14:paraId="4EFCF5A4" w14:textId="77777777" w:rsidR="007075D9" w:rsidRPr="004D46AC" w:rsidRDefault="007075D9" w:rsidP="008A38FE">
            <w:pPr>
              <w:spacing w:line="360" w:lineRule="auto"/>
              <w:ind w:firstLine="0"/>
              <w:rPr>
                <w:b/>
                <w:bCs/>
              </w:rPr>
            </w:pPr>
            <w:r w:rsidRPr="004D46AC">
              <w:rPr>
                <w:b/>
              </w:rPr>
              <w:t>Variables</w:t>
            </w:r>
          </w:p>
        </w:tc>
        <w:tc>
          <w:tcPr>
            <w:tcW w:w="4172" w:type="dxa"/>
          </w:tcPr>
          <w:p w14:paraId="59687E60" w14:textId="77777777" w:rsidR="007075D9" w:rsidRPr="004D46AC" w:rsidRDefault="007075D9" w:rsidP="008A38FE">
            <w:pPr>
              <w:spacing w:line="360" w:lineRule="auto"/>
              <w:ind w:firstLine="0"/>
              <w:rPr>
                <w:b/>
                <w:bCs/>
              </w:rPr>
            </w:pPr>
            <w:r w:rsidRPr="004D46AC">
              <w:rPr>
                <w:b/>
              </w:rPr>
              <w:t>M (SD) or n (%)</w:t>
            </w:r>
          </w:p>
        </w:tc>
      </w:tr>
      <w:tr w:rsidR="007075D9" w:rsidRPr="004D46AC" w14:paraId="31B6B2A7" w14:textId="77777777" w:rsidTr="00B518F1">
        <w:tc>
          <w:tcPr>
            <w:tcW w:w="5070" w:type="dxa"/>
          </w:tcPr>
          <w:p w14:paraId="5BC35898" w14:textId="77777777" w:rsidR="007075D9" w:rsidRPr="004D46AC" w:rsidRDefault="007075D9" w:rsidP="008A38FE">
            <w:pPr>
              <w:spacing w:line="360" w:lineRule="auto"/>
              <w:ind w:firstLine="0"/>
            </w:pPr>
            <w:r w:rsidRPr="004D46AC">
              <w:t>N</w:t>
            </w:r>
          </w:p>
        </w:tc>
        <w:tc>
          <w:tcPr>
            <w:tcW w:w="4172" w:type="dxa"/>
          </w:tcPr>
          <w:p w14:paraId="702AB6E0" w14:textId="77777777" w:rsidR="007075D9" w:rsidRPr="004D46AC" w:rsidRDefault="007075D9" w:rsidP="008A38FE">
            <w:pPr>
              <w:spacing w:line="360" w:lineRule="auto"/>
              <w:ind w:firstLine="0"/>
            </w:pPr>
            <w:r w:rsidRPr="004D46AC">
              <w:t>2037 (100)</w:t>
            </w:r>
          </w:p>
        </w:tc>
      </w:tr>
      <w:tr w:rsidR="007075D9" w:rsidRPr="004D46AC" w14:paraId="361F21CE" w14:textId="77777777" w:rsidTr="00B518F1">
        <w:tc>
          <w:tcPr>
            <w:tcW w:w="5070" w:type="dxa"/>
          </w:tcPr>
          <w:p w14:paraId="48F06D23" w14:textId="77777777" w:rsidR="007075D9" w:rsidRPr="004D46AC" w:rsidRDefault="007075D9" w:rsidP="008A38FE">
            <w:pPr>
              <w:spacing w:line="360" w:lineRule="auto"/>
              <w:ind w:firstLine="0"/>
            </w:pPr>
            <w:r w:rsidRPr="004D46AC">
              <w:t>Age</w:t>
            </w:r>
          </w:p>
        </w:tc>
        <w:tc>
          <w:tcPr>
            <w:tcW w:w="4172" w:type="dxa"/>
          </w:tcPr>
          <w:p w14:paraId="4A97A198" w14:textId="77777777" w:rsidR="007075D9" w:rsidRPr="004D46AC" w:rsidRDefault="007075D9" w:rsidP="008A38FE">
            <w:pPr>
              <w:spacing w:line="360" w:lineRule="auto"/>
              <w:ind w:firstLine="0"/>
            </w:pPr>
            <w:r w:rsidRPr="004D46AC">
              <w:t>25.32 (6.43)</w:t>
            </w:r>
          </w:p>
        </w:tc>
      </w:tr>
      <w:tr w:rsidR="007075D9" w:rsidRPr="004D46AC" w14:paraId="53893408" w14:textId="77777777" w:rsidTr="00B518F1">
        <w:tc>
          <w:tcPr>
            <w:tcW w:w="5070" w:type="dxa"/>
          </w:tcPr>
          <w:p w14:paraId="6360B0A7" w14:textId="77777777" w:rsidR="007075D9" w:rsidRPr="004D46AC" w:rsidRDefault="007075D9" w:rsidP="008A38FE">
            <w:pPr>
              <w:spacing w:line="360" w:lineRule="auto"/>
              <w:ind w:firstLine="0"/>
            </w:pPr>
            <w:r w:rsidRPr="004D46AC">
              <w:t>Gender (Female)</w:t>
            </w:r>
          </w:p>
        </w:tc>
        <w:tc>
          <w:tcPr>
            <w:tcW w:w="4172" w:type="dxa"/>
          </w:tcPr>
          <w:p w14:paraId="0F65E830" w14:textId="77777777" w:rsidR="007075D9" w:rsidRPr="004D46AC" w:rsidRDefault="007075D9" w:rsidP="008A38FE">
            <w:pPr>
              <w:spacing w:line="360" w:lineRule="auto"/>
              <w:ind w:firstLine="0"/>
            </w:pPr>
            <w:r w:rsidRPr="004D46AC">
              <w:t>1036 (51.19)</w:t>
            </w:r>
          </w:p>
        </w:tc>
      </w:tr>
      <w:tr w:rsidR="007075D9" w:rsidRPr="004D46AC" w14:paraId="5921AF6F" w14:textId="77777777" w:rsidTr="00B518F1">
        <w:tc>
          <w:tcPr>
            <w:tcW w:w="5070" w:type="dxa"/>
          </w:tcPr>
          <w:p w14:paraId="519DF265" w14:textId="77777777" w:rsidR="007075D9" w:rsidRPr="004D46AC" w:rsidRDefault="007075D9" w:rsidP="008A38FE">
            <w:pPr>
              <w:spacing w:line="360" w:lineRule="auto"/>
              <w:ind w:firstLine="0"/>
            </w:pPr>
            <w:r w:rsidRPr="004D46AC">
              <w:t>Ethnicity</w:t>
            </w:r>
          </w:p>
        </w:tc>
        <w:tc>
          <w:tcPr>
            <w:tcW w:w="4172" w:type="dxa"/>
          </w:tcPr>
          <w:p w14:paraId="3368DE37" w14:textId="77777777" w:rsidR="007075D9" w:rsidRPr="004D46AC" w:rsidRDefault="007075D9" w:rsidP="008A38FE">
            <w:pPr>
              <w:spacing w:line="360" w:lineRule="auto"/>
              <w:ind w:firstLine="0"/>
            </w:pPr>
          </w:p>
        </w:tc>
      </w:tr>
      <w:tr w:rsidR="007075D9" w:rsidRPr="004D46AC" w14:paraId="42FBD9D8" w14:textId="77777777" w:rsidTr="00B518F1">
        <w:tc>
          <w:tcPr>
            <w:tcW w:w="5070" w:type="dxa"/>
          </w:tcPr>
          <w:p w14:paraId="7C540BCA" w14:textId="77777777" w:rsidR="007075D9" w:rsidRPr="004D46AC" w:rsidRDefault="007075D9" w:rsidP="008A38FE">
            <w:pPr>
              <w:spacing w:line="360" w:lineRule="auto"/>
              <w:ind w:firstLine="0"/>
            </w:pPr>
            <w:bookmarkStart w:id="249" w:name="_Hlk213247973"/>
            <w:bookmarkStart w:id="250" w:name="_Hlk213247475"/>
            <w:r w:rsidRPr="004D46AC">
              <w:t xml:space="preserve">White </w:t>
            </w:r>
          </w:p>
        </w:tc>
        <w:tc>
          <w:tcPr>
            <w:tcW w:w="4172" w:type="dxa"/>
          </w:tcPr>
          <w:p w14:paraId="3F5535C0" w14:textId="77777777" w:rsidR="007075D9" w:rsidRPr="004D46AC" w:rsidRDefault="007075D9" w:rsidP="008A38FE">
            <w:pPr>
              <w:spacing w:line="360" w:lineRule="auto"/>
              <w:ind w:firstLine="0"/>
            </w:pPr>
            <w:r w:rsidRPr="004D46AC">
              <w:t>1</w:t>
            </w:r>
            <w:r w:rsidRPr="004D46AC">
              <w:rPr>
                <w:rFonts w:hint="eastAsia"/>
              </w:rPr>
              <w:t>349 (</w:t>
            </w:r>
            <w:r w:rsidRPr="004D46AC">
              <w:t>6</w:t>
            </w:r>
            <w:r w:rsidRPr="004D46AC">
              <w:rPr>
                <w:rFonts w:hint="eastAsia"/>
              </w:rPr>
              <w:t>6.22)</w:t>
            </w:r>
          </w:p>
        </w:tc>
      </w:tr>
      <w:tr w:rsidR="007075D9" w:rsidRPr="004D46AC" w14:paraId="742F644C" w14:textId="77777777" w:rsidTr="00B518F1">
        <w:tc>
          <w:tcPr>
            <w:tcW w:w="5070" w:type="dxa"/>
          </w:tcPr>
          <w:p w14:paraId="52E11E2A" w14:textId="77777777" w:rsidR="007075D9" w:rsidRPr="004D46AC" w:rsidRDefault="007075D9" w:rsidP="008A38FE">
            <w:pPr>
              <w:spacing w:line="360" w:lineRule="auto"/>
              <w:ind w:firstLine="0"/>
            </w:pPr>
            <w:r w:rsidRPr="004D46AC">
              <w:rPr>
                <w:rFonts w:hint="eastAsia"/>
              </w:rPr>
              <w:t>Black</w:t>
            </w:r>
          </w:p>
        </w:tc>
        <w:tc>
          <w:tcPr>
            <w:tcW w:w="4172" w:type="dxa"/>
          </w:tcPr>
          <w:p w14:paraId="214F2446" w14:textId="77777777" w:rsidR="007075D9" w:rsidRPr="004D46AC" w:rsidRDefault="007075D9" w:rsidP="008A38FE">
            <w:pPr>
              <w:spacing w:line="360" w:lineRule="auto"/>
              <w:ind w:firstLine="0"/>
            </w:pPr>
            <w:r w:rsidRPr="004D46AC">
              <w:rPr>
                <w:rFonts w:hint="eastAsia"/>
              </w:rPr>
              <w:t>315 (15.46)</w:t>
            </w:r>
          </w:p>
        </w:tc>
      </w:tr>
      <w:tr w:rsidR="007075D9" w:rsidRPr="004D46AC" w14:paraId="1A10F8F7" w14:textId="77777777" w:rsidTr="00B518F1">
        <w:tc>
          <w:tcPr>
            <w:tcW w:w="5070" w:type="dxa"/>
          </w:tcPr>
          <w:p w14:paraId="5927B3C4" w14:textId="77777777" w:rsidR="007075D9" w:rsidRPr="004D46AC" w:rsidRDefault="007075D9" w:rsidP="008A38FE">
            <w:pPr>
              <w:spacing w:line="360" w:lineRule="auto"/>
              <w:ind w:firstLine="0"/>
            </w:pPr>
            <w:r w:rsidRPr="004D46AC">
              <w:rPr>
                <w:rFonts w:hint="eastAsia"/>
              </w:rPr>
              <w:lastRenderedPageBreak/>
              <w:t>Asian</w:t>
            </w:r>
          </w:p>
        </w:tc>
        <w:tc>
          <w:tcPr>
            <w:tcW w:w="4172" w:type="dxa"/>
          </w:tcPr>
          <w:p w14:paraId="63283F4B" w14:textId="77777777" w:rsidR="007075D9" w:rsidRPr="004D46AC" w:rsidRDefault="007075D9" w:rsidP="008A38FE">
            <w:pPr>
              <w:spacing w:line="360" w:lineRule="auto"/>
              <w:ind w:firstLine="0"/>
            </w:pPr>
            <w:r w:rsidRPr="004D46AC">
              <w:t>2</w:t>
            </w:r>
            <w:r w:rsidRPr="004D46AC">
              <w:rPr>
                <w:rFonts w:hint="eastAsia"/>
              </w:rPr>
              <w:t>65 (13.01)</w:t>
            </w:r>
          </w:p>
        </w:tc>
      </w:tr>
      <w:tr w:rsidR="007075D9" w:rsidRPr="004D46AC" w14:paraId="128C9AFE" w14:textId="77777777" w:rsidTr="00B518F1">
        <w:tc>
          <w:tcPr>
            <w:tcW w:w="5070" w:type="dxa"/>
          </w:tcPr>
          <w:p w14:paraId="182BD19B" w14:textId="77777777" w:rsidR="007075D9" w:rsidRPr="004D46AC" w:rsidRDefault="007075D9" w:rsidP="008A38FE">
            <w:pPr>
              <w:spacing w:line="360" w:lineRule="auto"/>
              <w:ind w:firstLine="0"/>
            </w:pPr>
            <w:r w:rsidRPr="004D46AC">
              <w:t>Other</w:t>
            </w:r>
          </w:p>
        </w:tc>
        <w:tc>
          <w:tcPr>
            <w:tcW w:w="4172" w:type="dxa"/>
          </w:tcPr>
          <w:p w14:paraId="6414F1C9" w14:textId="77777777" w:rsidR="007075D9" w:rsidRPr="004D46AC" w:rsidRDefault="007075D9" w:rsidP="008A38FE">
            <w:pPr>
              <w:spacing w:line="360" w:lineRule="auto"/>
              <w:ind w:firstLine="0"/>
            </w:pPr>
            <w:r w:rsidRPr="004D46AC">
              <w:rPr>
                <w:rFonts w:hint="eastAsia"/>
              </w:rPr>
              <w:t>108 (5.30)</w:t>
            </w:r>
          </w:p>
        </w:tc>
      </w:tr>
      <w:bookmarkEnd w:id="249"/>
      <w:tr w:rsidR="007075D9" w:rsidRPr="004D46AC" w14:paraId="41E41214" w14:textId="77777777" w:rsidTr="00B518F1">
        <w:tc>
          <w:tcPr>
            <w:tcW w:w="5070" w:type="dxa"/>
          </w:tcPr>
          <w:p w14:paraId="3722B620" w14:textId="77777777" w:rsidR="007075D9" w:rsidRPr="004D46AC" w:rsidRDefault="007075D9" w:rsidP="008A38FE">
            <w:pPr>
              <w:spacing w:line="360" w:lineRule="auto"/>
              <w:ind w:firstLine="0"/>
            </w:pPr>
            <w:r w:rsidRPr="004D46AC">
              <w:t>Education</w:t>
            </w:r>
          </w:p>
        </w:tc>
        <w:tc>
          <w:tcPr>
            <w:tcW w:w="4172" w:type="dxa"/>
          </w:tcPr>
          <w:p w14:paraId="49B1B7C6" w14:textId="77777777" w:rsidR="007075D9" w:rsidRPr="004D46AC" w:rsidRDefault="007075D9" w:rsidP="008A38FE">
            <w:pPr>
              <w:spacing w:line="360" w:lineRule="auto"/>
              <w:ind w:firstLine="0"/>
            </w:pPr>
          </w:p>
        </w:tc>
      </w:tr>
      <w:tr w:rsidR="007075D9" w:rsidRPr="004D46AC" w14:paraId="1876864A" w14:textId="77777777" w:rsidTr="00B518F1">
        <w:tc>
          <w:tcPr>
            <w:tcW w:w="5070" w:type="dxa"/>
          </w:tcPr>
          <w:p w14:paraId="6596595D" w14:textId="77777777" w:rsidR="007075D9" w:rsidRPr="004D46AC" w:rsidRDefault="007075D9" w:rsidP="008A38FE">
            <w:pPr>
              <w:spacing w:line="360" w:lineRule="auto"/>
              <w:ind w:firstLine="0"/>
            </w:pPr>
            <w:r w:rsidRPr="004D46AC">
              <w:t>Primary</w:t>
            </w:r>
          </w:p>
        </w:tc>
        <w:tc>
          <w:tcPr>
            <w:tcW w:w="4172" w:type="dxa"/>
          </w:tcPr>
          <w:p w14:paraId="53EF254B" w14:textId="77777777" w:rsidR="007075D9" w:rsidRPr="004D46AC" w:rsidRDefault="007075D9" w:rsidP="008A38FE">
            <w:pPr>
              <w:spacing w:line="360" w:lineRule="auto"/>
              <w:ind w:firstLine="0"/>
            </w:pPr>
            <w:r w:rsidRPr="004D46AC">
              <w:t>517</w:t>
            </w:r>
            <w:r w:rsidRPr="004D46AC">
              <w:rPr>
                <w:rFonts w:hint="eastAsia"/>
              </w:rPr>
              <w:t xml:space="preserve"> (25.38)</w:t>
            </w:r>
          </w:p>
        </w:tc>
      </w:tr>
      <w:tr w:rsidR="007075D9" w:rsidRPr="004D46AC" w14:paraId="4DC98F2A" w14:textId="77777777" w:rsidTr="00B518F1">
        <w:tc>
          <w:tcPr>
            <w:tcW w:w="5070" w:type="dxa"/>
          </w:tcPr>
          <w:p w14:paraId="160A88C5" w14:textId="77777777" w:rsidR="007075D9" w:rsidRPr="004D46AC" w:rsidRDefault="007075D9" w:rsidP="008A38FE">
            <w:pPr>
              <w:spacing w:line="360" w:lineRule="auto"/>
              <w:ind w:firstLine="0"/>
            </w:pPr>
            <w:r w:rsidRPr="004D46AC">
              <w:t>Secondary or intermediate</w:t>
            </w:r>
          </w:p>
        </w:tc>
        <w:tc>
          <w:tcPr>
            <w:tcW w:w="4172" w:type="dxa"/>
          </w:tcPr>
          <w:p w14:paraId="2D2DB6C6" w14:textId="77777777" w:rsidR="007075D9" w:rsidRPr="004D46AC" w:rsidRDefault="007075D9" w:rsidP="008A38FE">
            <w:pPr>
              <w:spacing w:line="360" w:lineRule="auto"/>
              <w:ind w:firstLine="0"/>
            </w:pPr>
            <w:r w:rsidRPr="004D46AC">
              <w:t>561</w:t>
            </w:r>
            <w:r w:rsidRPr="004D46AC">
              <w:rPr>
                <w:rFonts w:hint="eastAsia"/>
              </w:rPr>
              <w:t xml:space="preserve"> (27.54)</w:t>
            </w:r>
          </w:p>
        </w:tc>
      </w:tr>
      <w:tr w:rsidR="007075D9" w:rsidRPr="004D46AC" w14:paraId="0F742EB1" w14:textId="77777777" w:rsidTr="00B518F1">
        <w:tc>
          <w:tcPr>
            <w:tcW w:w="5070" w:type="dxa"/>
          </w:tcPr>
          <w:p w14:paraId="488611CD" w14:textId="77777777" w:rsidR="007075D9" w:rsidRPr="004D46AC" w:rsidRDefault="007075D9" w:rsidP="008A38FE">
            <w:pPr>
              <w:spacing w:line="360" w:lineRule="auto"/>
              <w:ind w:firstLine="0"/>
            </w:pPr>
            <w:r w:rsidRPr="004D46AC">
              <w:t>Higher</w:t>
            </w:r>
          </w:p>
        </w:tc>
        <w:tc>
          <w:tcPr>
            <w:tcW w:w="4172" w:type="dxa"/>
          </w:tcPr>
          <w:p w14:paraId="5A65D39E" w14:textId="77777777" w:rsidR="007075D9" w:rsidRPr="004D46AC" w:rsidRDefault="007075D9" w:rsidP="008A38FE">
            <w:pPr>
              <w:spacing w:line="360" w:lineRule="auto"/>
              <w:ind w:firstLine="0"/>
            </w:pPr>
            <w:r w:rsidRPr="004D46AC">
              <w:t>943</w:t>
            </w:r>
            <w:r w:rsidRPr="004D46AC">
              <w:rPr>
                <w:rFonts w:hint="eastAsia"/>
              </w:rPr>
              <w:t xml:space="preserve"> (46.29)</w:t>
            </w:r>
          </w:p>
        </w:tc>
      </w:tr>
      <w:tr w:rsidR="007075D9" w:rsidRPr="004D46AC" w14:paraId="73A2AC15" w14:textId="77777777" w:rsidTr="00B518F1">
        <w:tc>
          <w:tcPr>
            <w:tcW w:w="5070" w:type="dxa"/>
          </w:tcPr>
          <w:p w14:paraId="772FEB0E" w14:textId="77777777" w:rsidR="007075D9" w:rsidRPr="004D46AC" w:rsidRDefault="007075D9" w:rsidP="008A38FE">
            <w:pPr>
              <w:spacing w:line="360" w:lineRule="auto"/>
              <w:ind w:firstLine="0"/>
            </w:pPr>
            <w:r w:rsidRPr="004D46AC">
              <w:t>Other</w:t>
            </w:r>
          </w:p>
        </w:tc>
        <w:tc>
          <w:tcPr>
            <w:tcW w:w="4172" w:type="dxa"/>
          </w:tcPr>
          <w:p w14:paraId="04595F1E" w14:textId="77777777" w:rsidR="007075D9" w:rsidRPr="004D46AC" w:rsidRDefault="007075D9" w:rsidP="008A38FE">
            <w:pPr>
              <w:spacing w:line="360" w:lineRule="auto"/>
              <w:ind w:firstLine="0"/>
            </w:pPr>
            <w:r w:rsidRPr="004D46AC">
              <w:t>16</w:t>
            </w:r>
            <w:r w:rsidRPr="004D46AC">
              <w:rPr>
                <w:rFonts w:hint="eastAsia"/>
              </w:rPr>
              <w:t xml:space="preserve"> (0.79)</w:t>
            </w:r>
          </w:p>
        </w:tc>
      </w:tr>
      <w:tr w:rsidR="007075D9" w:rsidRPr="004D46AC" w14:paraId="1B3CAD13" w14:textId="77777777" w:rsidTr="00B518F1">
        <w:tc>
          <w:tcPr>
            <w:tcW w:w="5070" w:type="dxa"/>
          </w:tcPr>
          <w:p w14:paraId="42B08595" w14:textId="77777777" w:rsidR="007075D9" w:rsidRPr="004D46AC" w:rsidRDefault="007075D9" w:rsidP="008A38FE">
            <w:pPr>
              <w:spacing w:line="360" w:lineRule="auto"/>
              <w:ind w:firstLine="0"/>
            </w:pPr>
            <w:r w:rsidRPr="004D46AC">
              <w:t>Employment</w:t>
            </w:r>
          </w:p>
        </w:tc>
        <w:tc>
          <w:tcPr>
            <w:tcW w:w="4172" w:type="dxa"/>
          </w:tcPr>
          <w:p w14:paraId="09018AF6" w14:textId="77777777" w:rsidR="007075D9" w:rsidRPr="004D46AC" w:rsidRDefault="007075D9" w:rsidP="008A38FE">
            <w:pPr>
              <w:spacing w:line="360" w:lineRule="auto"/>
              <w:ind w:firstLine="0"/>
            </w:pPr>
          </w:p>
        </w:tc>
      </w:tr>
      <w:tr w:rsidR="007075D9" w:rsidRPr="004D46AC" w14:paraId="54295A35" w14:textId="77777777" w:rsidTr="00B518F1">
        <w:tc>
          <w:tcPr>
            <w:tcW w:w="5070" w:type="dxa"/>
          </w:tcPr>
          <w:p w14:paraId="01C8841A" w14:textId="77777777" w:rsidR="007075D9" w:rsidRPr="004D46AC" w:rsidRDefault="007075D9" w:rsidP="008A38FE">
            <w:pPr>
              <w:spacing w:line="360" w:lineRule="auto"/>
              <w:ind w:firstLine="0"/>
            </w:pPr>
            <w:r w:rsidRPr="004D46AC">
              <w:t>S</w:t>
            </w:r>
            <w:r w:rsidRPr="004D46AC">
              <w:rPr>
                <w:rFonts w:hint="eastAsia"/>
              </w:rPr>
              <w:t>tudent</w:t>
            </w:r>
          </w:p>
        </w:tc>
        <w:tc>
          <w:tcPr>
            <w:tcW w:w="4172" w:type="dxa"/>
          </w:tcPr>
          <w:p w14:paraId="048096E4" w14:textId="77777777" w:rsidR="007075D9" w:rsidRPr="004D46AC" w:rsidRDefault="007075D9" w:rsidP="008A38FE">
            <w:pPr>
              <w:spacing w:line="360" w:lineRule="auto"/>
              <w:ind w:firstLine="0"/>
            </w:pPr>
            <w:r w:rsidRPr="004D46AC">
              <w:rPr>
                <w:rFonts w:hint="eastAsia"/>
              </w:rPr>
              <w:t>496 (24.35)</w:t>
            </w:r>
          </w:p>
        </w:tc>
      </w:tr>
      <w:tr w:rsidR="007075D9" w:rsidRPr="004D46AC" w14:paraId="5BB14EB1" w14:textId="77777777" w:rsidTr="00B518F1">
        <w:tc>
          <w:tcPr>
            <w:tcW w:w="5070" w:type="dxa"/>
          </w:tcPr>
          <w:p w14:paraId="5176889F" w14:textId="77777777" w:rsidR="007075D9" w:rsidRPr="004D46AC" w:rsidRDefault="007075D9" w:rsidP="008A38FE">
            <w:pPr>
              <w:spacing w:line="360" w:lineRule="auto"/>
              <w:ind w:firstLine="0"/>
            </w:pPr>
            <w:r w:rsidRPr="004D46AC">
              <w:rPr>
                <w:rFonts w:hint="eastAsia"/>
              </w:rPr>
              <w:t>Employment</w:t>
            </w:r>
          </w:p>
        </w:tc>
        <w:tc>
          <w:tcPr>
            <w:tcW w:w="4172" w:type="dxa"/>
          </w:tcPr>
          <w:p w14:paraId="4B642376" w14:textId="77777777" w:rsidR="007075D9" w:rsidRPr="004D46AC" w:rsidRDefault="007075D9" w:rsidP="008A38FE">
            <w:pPr>
              <w:spacing w:line="360" w:lineRule="auto"/>
              <w:ind w:firstLine="0"/>
            </w:pPr>
            <w:r w:rsidRPr="004D46AC">
              <w:rPr>
                <w:rFonts w:hint="eastAsia"/>
              </w:rPr>
              <w:t>1288 (63.23)</w:t>
            </w:r>
          </w:p>
        </w:tc>
      </w:tr>
      <w:tr w:rsidR="007075D9" w:rsidRPr="004D46AC" w14:paraId="2C368AB1" w14:textId="77777777" w:rsidTr="00B518F1">
        <w:tc>
          <w:tcPr>
            <w:tcW w:w="5070" w:type="dxa"/>
          </w:tcPr>
          <w:p w14:paraId="3C24BA90" w14:textId="77777777" w:rsidR="007075D9" w:rsidRPr="004D46AC" w:rsidRDefault="007075D9" w:rsidP="008A38FE">
            <w:pPr>
              <w:spacing w:line="360" w:lineRule="auto"/>
              <w:ind w:firstLine="0"/>
            </w:pPr>
            <w:r w:rsidRPr="004D46AC">
              <w:rPr>
                <w:rFonts w:hint="eastAsia"/>
              </w:rPr>
              <w:t>Unemployment</w:t>
            </w:r>
          </w:p>
        </w:tc>
        <w:tc>
          <w:tcPr>
            <w:tcW w:w="4172" w:type="dxa"/>
          </w:tcPr>
          <w:p w14:paraId="6815ED1E" w14:textId="77777777" w:rsidR="007075D9" w:rsidRPr="004D46AC" w:rsidRDefault="007075D9" w:rsidP="008A38FE">
            <w:pPr>
              <w:spacing w:line="360" w:lineRule="auto"/>
              <w:ind w:firstLine="0"/>
            </w:pPr>
            <w:r w:rsidRPr="004D46AC">
              <w:rPr>
                <w:rFonts w:hint="eastAsia"/>
              </w:rPr>
              <w:t>222 (10.90)</w:t>
            </w:r>
          </w:p>
        </w:tc>
      </w:tr>
      <w:tr w:rsidR="007075D9" w:rsidRPr="004D46AC" w14:paraId="21246FD1" w14:textId="77777777" w:rsidTr="00B518F1">
        <w:tc>
          <w:tcPr>
            <w:tcW w:w="5070" w:type="dxa"/>
          </w:tcPr>
          <w:p w14:paraId="43736644" w14:textId="77777777" w:rsidR="007075D9" w:rsidRPr="004D46AC" w:rsidRDefault="007075D9" w:rsidP="008A38FE">
            <w:pPr>
              <w:spacing w:line="360" w:lineRule="auto"/>
              <w:ind w:firstLine="0"/>
            </w:pPr>
            <w:r w:rsidRPr="004D46AC">
              <w:rPr>
                <w:rFonts w:hint="eastAsia"/>
              </w:rPr>
              <w:t>Disabled</w:t>
            </w:r>
          </w:p>
        </w:tc>
        <w:tc>
          <w:tcPr>
            <w:tcW w:w="4172" w:type="dxa"/>
          </w:tcPr>
          <w:p w14:paraId="3D2720DC" w14:textId="77777777" w:rsidR="007075D9" w:rsidRPr="004D46AC" w:rsidRDefault="007075D9" w:rsidP="008A38FE">
            <w:pPr>
              <w:spacing w:line="360" w:lineRule="auto"/>
              <w:ind w:firstLine="0"/>
            </w:pPr>
            <w:r w:rsidRPr="004D46AC">
              <w:rPr>
                <w:rFonts w:hint="eastAsia"/>
              </w:rPr>
              <w:t>30 (1.47)</w:t>
            </w:r>
          </w:p>
        </w:tc>
      </w:tr>
      <w:tr w:rsidR="007075D9" w:rsidRPr="004D46AC" w14:paraId="06BCA724" w14:textId="77777777" w:rsidTr="00B518F1">
        <w:tc>
          <w:tcPr>
            <w:tcW w:w="5070" w:type="dxa"/>
          </w:tcPr>
          <w:p w14:paraId="0DE25AE1" w14:textId="77777777" w:rsidR="007075D9" w:rsidRPr="004D46AC" w:rsidRDefault="007075D9" w:rsidP="008A38FE">
            <w:pPr>
              <w:spacing w:line="360" w:lineRule="auto"/>
              <w:ind w:firstLine="0"/>
            </w:pPr>
            <w:r w:rsidRPr="004D46AC">
              <w:rPr>
                <w:rFonts w:hint="eastAsia"/>
              </w:rPr>
              <w:t>Retired</w:t>
            </w:r>
          </w:p>
        </w:tc>
        <w:tc>
          <w:tcPr>
            <w:tcW w:w="4172" w:type="dxa"/>
          </w:tcPr>
          <w:p w14:paraId="3FC514D3" w14:textId="77777777" w:rsidR="007075D9" w:rsidRPr="004D46AC" w:rsidRDefault="007075D9" w:rsidP="008A38FE">
            <w:pPr>
              <w:spacing w:line="360" w:lineRule="auto"/>
              <w:ind w:firstLine="0"/>
            </w:pPr>
            <w:r w:rsidRPr="004D46AC">
              <w:rPr>
                <w:rFonts w:hint="eastAsia"/>
              </w:rPr>
              <w:t>1 (0.05)</w:t>
            </w:r>
          </w:p>
        </w:tc>
      </w:tr>
      <w:tr w:rsidR="007075D9" w:rsidRPr="004D46AC" w14:paraId="03041047" w14:textId="77777777" w:rsidTr="00B518F1">
        <w:tc>
          <w:tcPr>
            <w:tcW w:w="5070" w:type="dxa"/>
          </w:tcPr>
          <w:p w14:paraId="0E64C44E" w14:textId="77777777" w:rsidR="007075D9" w:rsidRPr="004D46AC" w:rsidRDefault="007075D9" w:rsidP="008A38FE">
            <w:pPr>
              <w:spacing w:line="360" w:lineRule="auto"/>
              <w:ind w:firstLine="0"/>
            </w:pPr>
            <w:r w:rsidRPr="004D46AC">
              <w:t>Family history of mental illnesses</w:t>
            </w:r>
          </w:p>
        </w:tc>
        <w:tc>
          <w:tcPr>
            <w:tcW w:w="4172" w:type="dxa"/>
          </w:tcPr>
          <w:p w14:paraId="4ACBAEF7" w14:textId="77777777" w:rsidR="007075D9" w:rsidRPr="004D46AC" w:rsidRDefault="007075D9" w:rsidP="008A38FE">
            <w:pPr>
              <w:spacing w:line="360" w:lineRule="auto"/>
              <w:ind w:firstLine="0"/>
            </w:pPr>
          </w:p>
        </w:tc>
      </w:tr>
      <w:tr w:rsidR="007075D9" w:rsidRPr="004D46AC" w14:paraId="7CC3FB88" w14:textId="77777777" w:rsidTr="00B518F1">
        <w:tc>
          <w:tcPr>
            <w:tcW w:w="5070" w:type="dxa"/>
          </w:tcPr>
          <w:p w14:paraId="4DF11F67" w14:textId="77777777" w:rsidR="007075D9" w:rsidRPr="004D46AC" w:rsidRDefault="007075D9" w:rsidP="008A38FE">
            <w:pPr>
              <w:spacing w:line="360" w:lineRule="auto"/>
              <w:ind w:firstLine="0"/>
            </w:pPr>
            <w:r w:rsidRPr="004D46AC">
              <w:t>YES</w:t>
            </w:r>
          </w:p>
        </w:tc>
        <w:tc>
          <w:tcPr>
            <w:tcW w:w="4172" w:type="dxa"/>
          </w:tcPr>
          <w:p w14:paraId="364E8152" w14:textId="77777777" w:rsidR="007075D9" w:rsidRPr="004D46AC" w:rsidRDefault="007075D9" w:rsidP="008A38FE">
            <w:pPr>
              <w:spacing w:line="360" w:lineRule="auto"/>
              <w:ind w:firstLine="0"/>
            </w:pPr>
            <w:r w:rsidRPr="004D46AC">
              <w:t>739</w:t>
            </w:r>
            <w:r w:rsidRPr="004D46AC">
              <w:rPr>
                <w:rFonts w:hint="eastAsia"/>
              </w:rPr>
              <w:t xml:space="preserve"> (36.28)</w:t>
            </w:r>
          </w:p>
        </w:tc>
      </w:tr>
      <w:tr w:rsidR="007075D9" w:rsidRPr="004D46AC" w14:paraId="16F278B3" w14:textId="77777777" w:rsidTr="00B518F1">
        <w:tc>
          <w:tcPr>
            <w:tcW w:w="5070" w:type="dxa"/>
          </w:tcPr>
          <w:p w14:paraId="05957AF5" w14:textId="77777777" w:rsidR="007075D9" w:rsidRPr="004D46AC" w:rsidRDefault="007075D9" w:rsidP="008A38FE">
            <w:pPr>
              <w:spacing w:line="360" w:lineRule="auto"/>
              <w:ind w:firstLine="0"/>
            </w:pPr>
            <w:r w:rsidRPr="004D46AC">
              <w:t>NO/UNCLEAR</w:t>
            </w:r>
          </w:p>
        </w:tc>
        <w:tc>
          <w:tcPr>
            <w:tcW w:w="4172" w:type="dxa"/>
          </w:tcPr>
          <w:p w14:paraId="529AC7DE" w14:textId="77777777" w:rsidR="007075D9" w:rsidRPr="004D46AC" w:rsidRDefault="007075D9" w:rsidP="008A38FE">
            <w:pPr>
              <w:spacing w:line="360" w:lineRule="auto"/>
              <w:ind w:firstLine="0"/>
            </w:pPr>
            <w:r w:rsidRPr="004D46AC">
              <w:t>1298</w:t>
            </w:r>
            <w:r w:rsidRPr="004D46AC">
              <w:rPr>
                <w:rFonts w:hint="eastAsia"/>
              </w:rPr>
              <w:t xml:space="preserve"> (63.74)</w:t>
            </w:r>
          </w:p>
        </w:tc>
      </w:tr>
    </w:tbl>
    <w:bookmarkEnd w:id="250"/>
    <w:p w14:paraId="6F0D37D4" w14:textId="77777777" w:rsidR="007075D9" w:rsidRPr="004D46AC" w:rsidRDefault="007075D9" w:rsidP="008A38FE">
      <w:pPr>
        <w:spacing w:line="360" w:lineRule="auto"/>
        <w:ind w:firstLine="0"/>
      </w:pPr>
      <w:r w:rsidRPr="004D46AC">
        <w:rPr>
          <w:rFonts w:hint="eastAsia"/>
          <w:i/>
          <w:iCs/>
        </w:rPr>
        <w:t>Note</w:t>
      </w:r>
      <w:r w:rsidRPr="004D46AC">
        <w:rPr>
          <w:rFonts w:hint="eastAsia"/>
        </w:rPr>
        <w:t xml:space="preserve">. </w:t>
      </w:r>
      <w:r w:rsidRPr="004D46AC">
        <w:t>For clarity, ethnicity was categorized into the following groups: White (White British/Irish: n = 1,245; White non-British/Irish: n = 10), Black (Afro-Caribbean: n = 35; African: n = 280), Asian (Chinese: n = 36; Indian: n = 65; Pakistani: n = 102; Bangladeshi: n = 25; Other Asian: n = 37; total = 265), and Other (Arab: n = 15; Other: n = 93).</w:t>
      </w:r>
      <w:r w:rsidRPr="004D46AC">
        <w:rPr>
          <w:rFonts w:hint="eastAsia"/>
        </w:rPr>
        <w:t xml:space="preserve"> </w:t>
      </w:r>
      <w:r w:rsidRPr="004D46AC">
        <w:t>The employment category included full-time (n = 1,003) and part-time (n = 285) positions, whereas the unemployment category included those looking for a job (n = 145) and those not seeking employment (n = 77)</w:t>
      </w:r>
      <w:r w:rsidRPr="004D46AC">
        <w:rPr>
          <w:rFonts w:hint="eastAsia"/>
        </w:rPr>
        <w:t>.</w:t>
      </w:r>
    </w:p>
    <w:p w14:paraId="6923A0D2" w14:textId="77777777" w:rsidR="007075D9" w:rsidRPr="004D46AC" w:rsidRDefault="007075D9" w:rsidP="00B518F1"/>
    <w:p w14:paraId="16DD8C35" w14:textId="77777777" w:rsidR="007075D9" w:rsidRPr="004D46AC" w:rsidRDefault="007075D9" w:rsidP="00B518F1">
      <w:pPr>
        <w:pStyle w:val="3"/>
      </w:pPr>
      <w:r w:rsidRPr="004D46AC">
        <w:t>A</w:t>
      </w:r>
      <w:r w:rsidRPr="004D46AC">
        <w:rPr>
          <w:rFonts w:hint="eastAsia"/>
        </w:rPr>
        <w:t xml:space="preserve">ssessment tools </w:t>
      </w:r>
    </w:p>
    <w:p w14:paraId="4C5880A7" w14:textId="77777777" w:rsidR="007075D9" w:rsidRPr="004D46AC" w:rsidRDefault="007075D9" w:rsidP="00B518F1">
      <w:pPr>
        <w:pStyle w:val="4"/>
        <w:rPr>
          <w:rFonts w:eastAsiaTheme="minorEastAsia"/>
        </w:rPr>
      </w:pPr>
      <w:r w:rsidRPr="004D46AC">
        <w:t>Transdiagnostic Risk Assessment and Clinical Evaluation</w:t>
      </w:r>
      <w:r w:rsidRPr="004D46AC">
        <w:rPr>
          <w:rFonts w:eastAsiaTheme="minorEastAsia" w:hint="eastAsia"/>
        </w:rPr>
        <w:t xml:space="preserve"> (TRACE)</w:t>
      </w:r>
    </w:p>
    <w:p w14:paraId="7A4C77BB" w14:textId="6C145FB1" w:rsidR="007075D9" w:rsidRPr="004D46AC" w:rsidRDefault="007075D9" w:rsidP="00B518F1">
      <w:r w:rsidRPr="004D46AC">
        <w:t xml:space="preserve">TRACE is a transdiagnostic questionnaire designed to assess a range of prodromal features that may predispose youth </w:t>
      </w:r>
      <w:r w:rsidRPr="004D46AC">
        <w:rPr>
          <w:rFonts w:hint="eastAsia"/>
        </w:rPr>
        <w:t>for various psychiatric conditions:</w:t>
      </w:r>
      <w:r w:rsidRPr="004D46AC">
        <w:t xml:space="preserve">  </w:t>
      </w:r>
      <w:r w:rsidRPr="004D46AC">
        <w:rPr>
          <w:rFonts w:hint="eastAsia"/>
        </w:rPr>
        <w:t>BPD, BSD</w:t>
      </w:r>
      <w:r w:rsidRPr="004D46AC">
        <w:t>, schizophrenia.</w:t>
      </w:r>
      <w:r w:rsidRPr="004D46AC">
        <w:rPr>
          <w:rFonts w:hint="eastAsia"/>
        </w:rPr>
        <w:t xml:space="preserve"> </w:t>
      </w:r>
      <w:r w:rsidRPr="004D46AC">
        <w:t>Features of BPD were included due to their strong association with help-seeking behaviour and high prevalence among young people</w:t>
      </w:r>
      <w:r w:rsidRPr="004D46AC">
        <w:rPr>
          <w:rFonts w:hint="eastAsia"/>
        </w:rPr>
        <w:t xml:space="preserve"> </w:t>
      </w:r>
      <w:r w:rsidRPr="004D46AC">
        <w:rPr>
          <w:noProof/>
        </w:rPr>
        <w:t>(Hartmann et al., 2019)</w:t>
      </w:r>
      <w:r w:rsidRPr="004D46AC">
        <w:t>.</w:t>
      </w:r>
      <w:r w:rsidRPr="004D46AC">
        <w:rPr>
          <w:rFonts w:hint="eastAsia"/>
        </w:rPr>
        <w:t xml:space="preserve"> </w:t>
      </w:r>
      <w:r w:rsidRPr="004D46AC">
        <w:rPr>
          <w:rFonts w:eastAsia="Microsoft YaHei"/>
        </w:rPr>
        <w:t xml:space="preserve">We selected 212 items from a thematic synthesis of existing questionnaires assessing early psychosis-related anomalies (e.g., PQ-16: Prodromal Questionnaire-16) and other psychiatric or clinical traits (e.g., General Behaviour Inventory, Hypomania Personality </w:t>
      </w:r>
      <w:r w:rsidRPr="004D46AC">
        <w:rPr>
          <w:rFonts w:eastAsia="Microsoft YaHei"/>
        </w:rPr>
        <w:lastRenderedPageBreak/>
        <w:t>Scale)</w:t>
      </w:r>
      <w:r w:rsidRPr="004D46AC">
        <w:rPr>
          <w:rFonts w:eastAsia="Microsoft YaHei" w:hint="eastAsia"/>
        </w:rPr>
        <w:t>, see Table E</w:t>
      </w:r>
      <w:r w:rsidR="003E095D" w:rsidRPr="004D46AC">
        <w:rPr>
          <w:rFonts w:eastAsia="Microsoft YaHei" w:hint="eastAsia"/>
        </w:rPr>
        <w:t xml:space="preserve"> </w:t>
      </w:r>
      <w:r w:rsidRPr="004D46AC">
        <w:rPr>
          <w:rFonts w:eastAsia="Microsoft YaHei" w:hint="eastAsia"/>
        </w:rPr>
        <w:t xml:space="preserve">1 in appendix </w:t>
      </w:r>
      <w:r w:rsidR="00AD0A74" w:rsidRPr="004D46AC">
        <w:rPr>
          <w:rFonts w:eastAsia="Microsoft YaHei" w:hint="eastAsia"/>
        </w:rPr>
        <w:t>E</w:t>
      </w:r>
      <w:r w:rsidRPr="004D46AC">
        <w:rPr>
          <w:rFonts w:eastAsia="Microsoft YaHei" w:hint="eastAsia"/>
        </w:rPr>
        <w:t>.</w:t>
      </w:r>
      <w:r w:rsidRPr="004D46AC">
        <w:rPr>
          <w:rFonts w:eastAsia="Microsoft YaHei"/>
        </w:rPr>
        <w:t xml:space="preserve"> These items were mapped to risk states defined by established clinical criteria, including BAR (Bipolar At-Risk criteria), CHARMS (Clinical High At-Risk Mental States), and SCID-5 (Structured Clinical Interview for DSM-5 Disorders). Item selection was an iterative process that involved evaluating each item for readability and conceptual appropriateness, as rated by Public and Patient Involvement (PPI) representatives and clinical psychologists. The research panel first assigned an ordinal rating to each item </w:t>
      </w:r>
      <w:r w:rsidRPr="004D46AC">
        <w:rPr>
          <w:rFonts w:eastAsia="Microsoft YaHei" w:hint="eastAsia"/>
        </w:rPr>
        <w:t>(</w:t>
      </w:r>
      <w:r w:rsidRPr="004D46AC">
        <w:rPr>
          <w:rFonts w:eastAsia="Microsoft YaHei"/>
        </w:rPr>
        <w:t xml:space="preserve">keep </w:t>
      </w:r>
      <w:r w:rsidRPr="004D46AC">
        <w:rPr>
          <w:rFonts w:eastAsia="Microsoft YaHei" w:hint="eastAsia"/>
        </w:rPr>
        <w:t>[</w:t>
      </w:r>
      <w:r w:rsidRPr="004D46AC">
        <w:rPr>
          <w:rFonts w:eastAsia="Microsoft YaHei"/>
        </w:rPr>
        <w:t>2</w:t>
      </w:r>
      <w:r w:rsidRPr="004D46AC">
        <w:rPr>
          <w:rFonts w:eastAsia="Microsoft YaHei" w:hint="eastAsia"/>
        </w:rPr>
        <w:t>]</w:t>
      </w:r>
      <w:r w:rsidRPr="004D46AC">
        <w:rPr>
          <w:rFonts w:eastAsia="Microsoft YaHei"/>
        </w:rPr>
        <w:t xml:space="preserve">, unclear </w:t>
      </w:r>
      <w:r w:rsidRPr="004D46AC">
        <w:rPr>
          <w:rFonts w:eastAsia="Microsoft YaHei" w:hint="eastAsia"/>
        </w:rPr>
        <w:t>[</w:t>
      </w:r>
      <w:r w:rsidRPr="004D46AC">
        <w:rPr>
          <w:rFonts w:eastAsia="Microsoft YaHei"/>
        </w:rPr>
        <w:t>1</w:t>
      </w:r>
      <w:r w:rsidRPr="004D46AC">
        <w:rPr>
          <w:rFonts w:eastAsia="Microsoft YaHei" w:hint="eastAsia"/>
        </w:rPr>
        <w:t>]</w:t>
      </w:r>
      <w:r w:rsidRPr="004D46AC">
        <w:rPr>
          <w:rFonts w:eastAsia="Microsoft YaHei"/>
        </w:rPr>
        <w:t xml:space="preserve">, or remove </w:t>
      </w:r>
      <w:r w:rsidRPr="004D46AC">
        <w:rPr>
          <w:rFonts w:eastAsia="Microsoft YaHei" w:hint="eastAsia"/>
        </w:rPr>
        <w:t>[</w:t>
      </w:r>
      <w:r w:rsidRPr="004D46AC">
        <w:rPr>
          <w:rFonts w:eastAsia="Microsoft YaHei"/>
        </w:rPr>
        <w:t>0</w:t>
      </w:r>
      <w:r w:rsidRPr="004D46AC">
        <w:rPr>
          <w:rFonts w:eastAsia="Microsoft YaHei" w:hint="eastAsia"/>
        </w:rPr>
        <w:t xml:space="preserve">]) </w:t>
      </w:r>
      <w:r w:rsidRPr="004D46AC">
        <w:rPr>
          <w:rFonts w:eastAsia="Microsoft YaHei"/>
        </w:rPr>
        <w:t>based on face validity and linguistic quality. Each item was independently rated by three panel members, and items with a total score greater than 3 were retained. The retained items were then reviewed by clinicians and PPI representatives, whose feedback informed the final round of item selection. Any disagreements were resolved through discussion prior to confirming the final item set. The full procedure of item development is available in Figure E</w:t>
      </w:r>
      <w:r w:rsidR="00904541" w:rsidRPr="004D46AC">
        <w:rPr>
          <w:rFonts w:eastAsia="Microsoft YaHei" w:hint="eastAsia"/>
        </w:rPr>
        <w:t xml:space="preserve"> </w:t>
      </w:r>
      <w:r w:rsidRPr="004D46AC">
        <w:rPr>
          <w:rFonts w:eastAsia="Microsoft YaHei"/>
        </w:rPr>
        <w:t>1.</w:t>
      </w:r>
      <w:r w:rsidRPr="004D46AC">
        <w:rPr>
          <w:rFonts w:eastAsia="Microsoft YaHei" w:hint="eastAsia"/>
        </w:rPr>
        <w:t xml:space="preserve"> The </w:t>
      </w:r>
      <w:r w:rsidRPr="004D46AC">
        <w:rPr>
          <w:rFonts w:hint="eastAsia"/>
        </w:rPr>
        <w:t>TRACE scale</w:t>
      </w:r>
      <w:r w:rsidRPr="004D46AC">
        <w:t xml:space="preserve"> utilised a scale adapted from the PQ-16, featuring a binary response to symptom presence, followed by an additional ordinal rating (0-3) to assess perceived distress. To ensure consistency</w:t>
      </w:r>
      <w:r w:rsidRPr="004D46AC">
        <w:rPr>
          <w:rFonts w:hint="eastAsia"/>
        </w:rPr>
        <w:t xml:space="preserve"> between</w:t>
      </w:r>
      <w:r w:rsidRPr="004D46AC">
        <w:t xml:space="preserve"> statements</w:t>
      </w:r>
      <w:r w:rsidRPr="004D46AC">
        <w:rPr>
          <w:rFonts w:hint="eastAsia"/>
        </w:rPr>
        <w:t>, these items</w:t>
      </w:r>
      <w:r w:rsidRPr="004D46AC">
        <w:t xml:space="preserve"> were framed in the first-person narrative (e.g., "</w:t>
      </w:r>
      <w:r w:rsidRPr="004D46AC">
        <w:rPr>
          <w:i/>
          <w:iCs/>
        </w:rPr>
        <w:t>I have been...</w:t>
      </w:r>
      <w:r w:rsidRPr="004D46AC">
        <w:t>")</w:t>
      </w:r>
      <w:r w:rsidRPr="004D46AC">
        <w:rPr>
          <w:rFonts w:hint="eastAsia"/>
        </w:rPr>
        <w:t xml:space="preserve">.  </w:t>
      </w:r>
      <w:r w:rsidRPr="004D46AC">
        <w:t xml:space="preserve">The </w:t>
      </w:r>
      <w:r w:rsidRPr="004D46AC">
        <w:rPr>
          <w:rFonts w:hint="eastAsia"/>
        </w:rPr>
        <w:t xml:space="preserve">full </w:t>
      </w:r>
      <w:r w:rsidRPr="004D46AC">
        <w:t>procedure for the questionnaire development</w:t>
      </w:r>
      <w:r w:rsidRPr="004D46AC">
        <w:rPr>
          <w:rFonts w:hint="eastAsia"/>
        </w:rPr>
        <w:t xml:space="preserve"> and following psychometric </w:t>
      </w:r>
      <w:r w:rsidRPr="004D46AC">
        <w:t xml:space="preserve">validation </w:t>
      </w:r>
      <w:r w:rsidRPr="004D46AC">
        <w:rPr>
          <w:rFonts w:hint="eastAsia"/>
        </w:rPr>
        <w:t>are</w:t>
      </w:r>
      <w:r w:rsidRPr="004D46AC">
        <w:t xml:space="preserve"> presented in Figure </w:t>
      </w:r>
      <w:r w:rsidRPr="004D46AC">
        <w:rPr>
          <w:rFonts w:hint="eastAsia"/>
        </w:rPr>
        <w:t>5.</w:t>
      </w:r>
      <w:r w:rsidRPr="004D46AC">
        <w:t>1. The convergent validity of TRACE can be examined using the psychiatric and psychological measures described below.</w:t>
      </w:r>
      <w:r w:rsidRPr="004D46AC">
        <w:rPr>
          <w:rFonts w:hint="eastAsia"/>
        </w:rPr>
        <w:t xml:space="preserve"> </w:t>
      </w:r>
      <w:r w:rsidRPr="004D46AC">
        <w:t>Further details about the items retained for the psychometric analysis are given in the results section.</w:t>
      </w:r>
    </w:p>
    <w:p w14:paraId="629A44CE" w14:textId="77777777" w:rsidR="007075D9" w:rsidRPr="004D46AC" w:rsidRDefault="007075D9" w:rsidP="00B518F1">
      <w:pPr>
        <w:ind w:firstLine="660"/>
      </w:pPr>
      <w:r w:rsidRPr="004D46AC">
        <w:rPr>
          <w:noProof/>
        </w:rPr>
        <w:drawing>
          <wp:anchor distT="0" distB="0" distL="114300" distR="114300" simplePos="0" relativeHeight="251659264" behindDoc="1" locked="0" layoutInCell="1" allowOverlap="1" wp14:anchorId="1672C035" wp14:editId="4B447C42">
            <wp:simplePos x="0" y="0"/>
            <wp:positionH relativeFrom="margin">
              <wp:align>right</wp:align>
            </wp:positionH>
            <wp:positionV relativeFrom="paragraph">
              <wp:posOffset>243205</wp:posOffset>
            </wp:positionV>
            <wp:extent cx="5731510" cy="2397125"/>
            <wp:effectExtent l="0" t="0" r="2540" b="3175"/>
            <wp:wrapTopAndBottom/>
            <wp:docPr id="762134404"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34404" name="图片 1" descr="图示&#10;&#10;AI 生成的内容可能不正确。"/>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5731510" cy="2397125"/>
                    </a:xfrm>
                    <a:prstGeom prst="rect">
                      <a:avLst/>
                    </a:prstGeom>
                  </pic:spPr>
                </pic:pic>
              </a:graphicData>
            </a:graphic>
            <wp14:sizeRelH relativeFrom="page">
              <wp14:pctWidth>0</wp14:pctWidth>
            </wp14:sizeRelH>
            <wp14:sizeRelV relativeFrom="page">
              <wp14:pctHeight>0</wp14:pctHeight>
            </wp14:sizeRelV>
          </wp:anchor>
        </w:drawing>
      </w:r>
    </w:p>
    <w:p w14:paraId="534E870D" w14:textId="3C5FF05C" w:rsidR="007075D9" w:rsidRPr="004D46AC" w:rsidRDefault="009264C5" w:rsidP="009264C5">
      <w:pPr>
        <w:pStyle w:val="afff0"/>
        <w:ind w:firstLine="0"/>
        <w:rPr>
          <w:b/>
          <w:bCs/>
          <w:i w:val="0"/>
          <w:iCs w:val="0"/>
          <w:color w:val="auto"/>
          <w:sz w:val="22"/>
          <w:szCs w:val="22"/>
        </w:rPr>
      </w:pPr>
      <w:bookmarkStart w:id="251" w:name="_Toc219883933"/>
      <w:bookmarkStart w:id="252" w:name="_Toc219884865"/>
      <w:r w:rsidRPr="004D46AC">
        <w:rPr>
          <w:b/>
          <w:bCs/>
          <w:i w:val="0"/>
          <w:iCs w:val="0"/>
          <w:color w:val="auto"/>
          <w:sz w:val="22"/>
          <w:szCs w:val="22"/>
        </w:rPr>
        <w:lastRenderedPageBreak/>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251"/>
      <w:bookmarkEnd w:id="252"/>
      <w:r w:rsidR="004725A0" w:rsidRPr="004D46AC">
        <w:rPr>
          <w:b/>
          <w:bCs/>
          <w:i w:val="0"/>
          <w:iCs w:val="0"/>
          <w:color w:val="auto"/>
          <w:sz w:val="22"/>
          <w:szCs w:val="22"/>
        </w:rPr>
        <w:fldChar w:fldCharType="end"/>
      </w:r>
    </w:p>
    <w:p w14:paraId="069FCD00" w14:textId="77777777" w:rsidR="007075D9" w:rsidRPr="004D46AC" w:rsidRDefault="007075D9" w:rsidP="008A38FE">
      <w:pPr>
        <w:spacing w:line="360" w:lineRule="auto"/>
        <w:ind w:firstLine="0"/>
        <w:rPr>
          <w:i/>
          <w:iCs/>
        </w:rPr>
      </w:pPr>
      <w:r w:rsidRPr="004D46AC">
        <w:rPr>
          <w:i/>
          <w:iCs/>
        </w:rPr>
        <w:t>Workflow of content-driven item selection and psychometric validation of the TRACE scale</w:t>
      </w:r>
    </w:p>
    <w:p w14:paraId="3B883338" w14:textId="07D6A35C" w:rsidR="007075D9" w:rsidRPr="004D46AC" w:rsidRDefault="007075D9" w:rsidP="008A38FE">
      <w:pPr>
        <w:spacing w:line="360" w:lineRule="auto"/>
        <w:ind w:firstLine="0"/>
      </w:pPr>
      <w:r w:rsidRPr="004D46AC">
        <w:rPr>
          <w:i/>
          <w:iCs/>
        </w:rPr>
        <w:t>Note</w:t>
      </w:r>
      <w:r w:rsidRPr="004D46AC">
        <w:t>. Ellipses (…) indicate that there were additional diagnostic criteria/ questionnaires adopted but not displayed for simplicity</w:t>
      </w:r>
      <w:r w:rsidRPr="004D46AC">
        <w:rPr>
          <w:rFonts w:hint="eastAsia"/>
        </w:rPr>
        <w:t>, see Table E</w:t>
      </w:r>
      <w:r w:rsidR="003E095D" w:rsidRPr="004D46AC">
        <w:rPr>
          <w:rFonts w:eastAsiaTheme="minorEastAsia" w:hint="eastAsia"/>
        </w:rPr>
        <w:t xml:space="preserve"> </w:t>
      </w:r>
      <w:r w:rsidRPr="004D46AC">
        <w:rPr>
          <w:rFonts w:hint="eastAsia"/>
        </w:rPr>
        <w:t>1</w:t>
      </w:r>
      <w:r w:rsidRPr="004D46AC">
        <w:t>. SCID-5 = Structured Clinical Interview for DSM-5 Disorders; CHARMS = Clinical High At-Risk Mental States; BAR = Bipolar At-Risk Criteria; PQ-16 = Prodromal Questionnaire, 16-item version; GBI = General Behaviour Inventory; HPS = Hypomanic Personality Scale; PPI = Public and Patient Involvement.</w:t>
      </w:r>
    </w:p>
    <w:p w14:paraId="7321CA5A" w14:textId="77777777" w:rsidR="007075D9" w:rsidRPr="004D46AC" w:rsidRDefault="007075D9" w:rsidP="00B518F1"/>
    <w:p w14:paraId="725CC4D2" w14:textId="77777777" w:rsidR="007075D9" w:rsidRPr="004D46AC" w:rsidRDefault="007075D9" w:rsidP="00B518F1">
      <w:pPr>
        <w:pStyle w:val="4"/>
        <w:rPr>
          <w:rFonts w:eastAsiaTheme="minorEastAsia"/>
        </w:rPr>
      </w:pPr>
      <w:r w:rsidRPr="004D46AC">
        <w:rPr>
          <w:rFonts w:hint="eastAsia"/>
        </w:rPr>
        <w:t xml:space="preserve">Prodromal questionnaire </w:t>
      </w:r>
      <w:r w:rsidRPr="004D46AC">
        <w:rPr>
          <w:rFonts w:eastAsiaTheme="minorEastAsia" w:hint="eastAsia"/>
        </w:rPr>
        <w:t>16</w:t>
      </w:r>
      <w:r w:rsidRPr="004D46AC">
        <w:t xml:space="preserve"> (</w:t>
      </w:r>
      <w:r w:rsidRPr="004D46AC">
        <w:rPr>
          <w:rFonts w:hint="eastAsia"/>
        </w:rPr>
        <w:t>PQ-16)</w:t>
      </w:r>
    </w:p>
    <w:p w14:paraId="6BF79C4E" w14:textId="77777777" w:rsidR="007075D9" w:rsidRPr="004D46AC" w:rsidRDefault="007075D9" w:rsidP="00B518F1">
      <w:r w:rsidRPr="004D46AC">
        <w:rPr>
          <w:rFonts w:hint="eastAsia"/>
        </w:rPr>
        <w:t xml:space="preserve">PQ-16 is </w:t>
      </w:r>
      <w:r w:rsidRPr="004D46AC">
        <w:t xml:space="preserve">a shortened version of the well-known </w:t>
      </w:r>
      <w:r w:rsidRPr="004D46AC">
        <w:rPr>
          <w:i/>
          <w:iCs/>
        </w:rPr>
        <w:t>Prodromal Questionnaire</w:t>
      </w:r>
      <w:r w:rsidRPr="004D46AC">
        <w:rPr>
          <w:rFonts w:hint="eastAsia"/>
          <w:i/>
          <w:iCs/>
        </w:rPr>
        <w:t xml:space="preserve"> </w:t>
      </w:r>
      <w:r w:rsidRPr="004D46AC">
        <w:rPr>
          <w:noProof/>
        </w:rPr>
        <w:t>(Ising et al., 2012; Loewy et al., 2005)</w:t>
      </w:r>
      <w:r w:rsidRPr="004D46AC">
        <w:rPr>
          <w:rFonts w:hint="eastAsia"/>
        </w:rPr>
        <w:t xml:space="preserve">, </w:t>
      </w:r>
      <w:r w:rsidRPr="004D46AC">
        <w:t>which adapted items from the Schizotypal Personality Scale and the Structured Interview for Prodromal Syndromes. It comprises 16 items assessing perceptual anomalies, unusual thought content, cognitive disorganisation, and negative symptoms. A sample item is, “</w:t>
      </w:r>
      <w:r w:rsidRPr="004D46AC">
        <w:rPr>
          <w:i/>
          <w:iCs/>
        </w:rPr>
        <w:t>I have heard things other people cannot hear, such as voices of people whispering or talking</w:t>
      </w:r>
      <w:r w:rsidRPr="004D46AC">
        <w:t>.” Each item is rated for presence (true or false) and, if endorsed, for the degree of distress on a 4-point scale (0 = no distress to 3 = severe distress). The PQ-16 has demonstrated acceptable diagnostic accuracy</w:t>
      </w:r>
      <w:r w:rsidRPr="004D46AC">
        <w:rPr>
          <w:rFonts w:hint="eastAsia"/>
        </w:rPr>
        <w:t xml:space="preserve"> (cutoff </w:t>
      </w:r>
      <w:r w:rsidRPr="004D46AC">
        <w:t>≥</w:t>
      </w:r>
      <w:r w:rsidRPr="004D46AC">
        <w:rPr>
          <w:rFonts w:hint="eastAsia"/>
        </w:rPr>
        <w:t xml:space="preserve"> 6)</w:t>
      </w:r>
      <w:r w:rsidRPr="004D46AC">
        <w:t>, with approximately 87% sensitivity and specificity for identifying individuals at UHR or with psychosi</w:t>
      </w:r>
      <w:r w:rsidRPr="004D46AC">
        <w:rPr>
          <w:rFonts w:hint="eastAsia"/>
        </w:rPr>
        <w:t>s.</w:t>
      </w:r>
      <w:r w:rsidRPr="004D46AC">
        <w:t xml:space="preserve"> In the current study, PQ-16 showed excellent internal reliability, with a Cronbach’s alpha of .90.</w:t>
      </w:r>
    </w:p>
    <w:p w14:paraId="15344B75" w14:textId="77777777" w:rsidR="007075D9" w:rsidRPr="004D46AC" w:rsidRDefault="007075D9" w:rsidP="00B518F1">
      <w:pPr>
        <w:pStyle w:val="4"/>
      </w:pPr>
      <w:r w:rsidRPr="004D46AC">
        <w:rPr>
          <w:rFonts w:hint="eastAsia"/>
        </w:rPr>
        <w:t>General Anxiety Disorder-7</w:t>
      </w:r>
      <w:r w:rsidRPr="004D46AC">
        <w:t xml:space="preserve"> (</w:t>
      </w:r>
      <w:r w:rsidRPr="004D46AC">
        <w:rPr>
          <w:rFonts w:hint="eastAsia"/>
        </w:rPr>
        <w:t>GAD7)</w:t>
      </w:r>
    </w:p>
    <w:p w14:paraId="123F895E" w14:textId="706B1781" w:rsidR="007075D9" w:rsidRPr="004D46AC" w:rsidRDefault="007075D9" w:rsidP="00B518F1">
      <w:r w:rsidRPr="004D46AC">
        <w:t>The GAD-7 is a seven-item self-report questionnaire designed to assess symptoms that may indicate a risk of generalised anxiety disorder over the past two weeks</w:t>
      </w:r>
      <w:r w:rsidRPr="004D46AC">
        <w:rPr>
          <w:rFonts w:hint="eastAsia"/>
        </w:rPr>
        <w:t xml:space="preserve"> </w:t>
      </w:r>
      <w:r w:rsidRPr="004D46AC">
        <w:t>(Spitzer et al., 2006)</w:t>
      </w:r>
      <w:r w:rsidRPr="004D46AC">
        <w:rPr>
          <w:rFonts w:hint="eastAsia"/>
        </w:rPr>
        <w:t xml:space="preserve">. </w:t>
      </w:r>
      <w:r w:rsidRPr="004D46AC">
        <w:t>It evaluates symptoms such as anxious feelings, excessive worrying, and heightened psychomotor and emotional agitation</w:t>
      </w:r>
      <w:r w:rsidRPr="004D46AC">
        <w:rPr>
          <w:rFonts w:hint="eastAsia"/>
        </w:rPr>
        <w:t xml:space="preserve">. </w:t>
      </w:r>
      <w:r w:rsidRPr="004D46AC">
        <w:t>F</w:t>
      </w:r>
      <w:r w:rsidRPr="004D46AC">
        <w:rPr>
          <w:rFonts w:hint="eastAsia"/>
        </w:rPr>
        <w:t>or instance, how often have you been bothered by feeling nervous, anxious or on edge. These symptoms</w:t>
      </w:r>
      <w:r w:rsidRPr="004D46AC">
        <w:t xml:space="preserve"> are rated on a four-point ordinal scale ranging from not at all (0) to nearly every day (3)</w:t>
      </w:r>
      <w:r w:rsidRPr="004D46AC">
        <w:rPr>
          <w:rFonts w:hint="eastAsia"/>
        </w:rPr>
        <w:t xml:space="preserve">. </w:t>
      </w:r>
      <w:r w:rsidRPr="004D46AC">
        <w:t>A</w:t>
      </w:r>
      <w:r w:rsidRPr="004D46AC">
        <w:rPr>
          <w:rFonts w:hint="eastAsia"/>
        </w:rPr>
        <w:t xml:space="preserve"> possible total score of GAD-7 ranges between 0 and 21, with higher score indicated more severe GAD like </w:t>
      </w:r>
      <w:r w:rsidRPr="004D46AC">
        <w:rPr>
          <w:rFonts w:hint="eastAsia"/>
        </w:rPr>
        <w:lastRenderedPageBreak/>
        <w:t xml:space="preserve">syndromes. </w:t>
      </w:r>
      <w:r w:rsidRPr="004D46AC">
        <w:t>Existing evidence sugges</w:t>
      </w:r>
      <w:r w:rsidR="00CC3324" w:rsidRPr="004D46AC">
        <w:rPr>
          <w:rFonts w:eastAsiaTheme="minorEastAsia" w:hint="eastAsia"/>
        </w:rPr>
        <w:t>ts</w:t>
      </w:r>
      <w:r w:rsidRPr="004D46AC">
        <w:t xml:space="preserve"> a good diagnostic accuracy (cutoff ≥ 8; sensitivity and specificity &gt; 0.80) for GAD-7 in predicting GAD (Plummer et al., 2016)</w:t>
      </w:r>
      <w:r w:rsidRPr="004D46AC">
        <w:rPr>
          <w:rFonts w:hint="eastAsia"/>
        </w:rPr>
        <w:t xml:space="preserve"> and good convergent validity with other psychological and functional constructs. </w:t>
      </w:r>
      <w:r w:rsidRPr="004D46AC">
        <w:t>T</w:t>
      </w:r>
      <w:r w:rsidRPr="004D46AC">
        <w:rPr>
          <w:rFonts w:hint="eastAsia"/>
        </w:rPr>
        <w:t xml:space="preserve">he internal </w:t>
      </w:r>
      <w:r w:rsidRPr="004D46AC">
        <w:t>reliability</w:t>
      </w:r>
      <w:r w:rsidRPr="004D46AC">
        <w:rPr>
          <w:rFonts w:hint="eastAsia"/>
        </w:rPr>
        <w:t xml:space="preserve"> of GAD-7 was excellent in this study sample (Cronbach alpha = .92).</w:t>
      </w:r>
    </w:p>
    <w:p w14:paraId="2A85A807" w14:textId="77777777" w:rsidR="007075D9" w:rsidRPr="004D46AC" w:rsidRDefault="007075D9" w:rsidP="00B518F1">
      <w:pPr>
        <w:pStyle w:val="4"/>
        <w:rPr>
          <w:rFonts w:eastAsiaTheme="minorEastAsia"/>
        </w:rPr>
      </w:pPr>
      <w:r w:rsidRPr="004D46AC">
        <w:rPr>
          <w:rFonts w:hint="eastAsia"/>
        </w:rPr>
        <w:t>Patient heath questionnaire</w:t>
      </w:r>
      <w:r w:rsidRPr="004D46AC">
        <w:rPr>
          <w:rFonts w:eastAsiaTheme="minorEastAsia" w:hint="eastAsia"/>
        </w:rPr>
        <w:t>-8</w:t>
      </w:r>
      <w:r w:rsidRPr="004D46AC">
        <w:rPr>
          <w:rFonts w:hint="eastAsia"/>
        </w:rPr>
        <w:t xml:space="preserve"> (PHQ</w:t>
      </w:r>
      <w:r w:rsidRPr="004D46AC">
        <w:rPr>
          <w:rFonts w:eastAsiaTheme="minorEastAsia" w:hint="eastAsia"/>
        </w:rPr>
        <w:t>8</w:t>
      </w:r>
      <w:r w:rsidRPr="004D46AC">
        <w:rPr>
          <w:rFonts w:hint="eastAsia"/>
        </w:rPr>
        <w:t>)</w:t>
      </w:r>
    </w:p>
    <w:p w14:paraId="648BD5F4" w14:textId="77777777" w:rsidR="007075D9" w:rsidRPr="004D46AC" w:rsidRDefault="007075D9" w:rsidP="00B518F1">
      <w:r w:rsidRPr="004D46AC">
        <w:t xml:space="preserve">The PHQ-8 is a shortened version of the PHQ-9 used to assess depressive symptoms in general and clinical populations (Kroenke et al., 2001; Kroenke et al., 2009). It evaluates depression risk based on symptom frequency over the past two weeks, including items such as feelings of worthlessness, diminished interest or pleasure, psychomotor retardation, and physical complaints (e.g., changes in concentration or appetite). For example, one item asks: </w:t>
      </w:r>
      <w:r w:rsidRPr="004D46AC">
        <w:rPr>
          <w:i/>
          <w:iCs/>
        </w:rPr>
        <w:t>“How often have you been bothered by little interest or pleasure in doing things?”</w:t>
      </w:r>
      <w:r w:rsidRPr="004D46AC">
        <w:t xml:space="preserve"> The questionnaire uses a four-point ordinal scale ranging from not at all (0) to nearly every day (3). The PHQ-8 has demonstrated good diagnostic accuracy</w:t>
      </w:r>
      <w:r w:rsidRPr="004D46AC">
        <w:rPr>
          <w:rFonts w:hint="eastAsia"/>
        </w:rPr>
        <w:t xml:space="preserve"> (cutoff </w:t>
      </w:r>
      <w:r w:rsidRPr="004D46AC">
        <w:t>≥</w:t>
      </w:r>
      <w:r w:rsidRPr="004D46AC">
        <w:rPr>
          <w:rFonts w:hint="eastAsia"/>
        </w:rPr>
        <w:t xml:space="preserve"> 10)</w:t>
      </w:r>
      <w:r w:rsidRPr="004D46AC">
        <w:t xml:space="preserve"> comparable to the PHQ-9 (Shin et al., 2019; Wu et al., 2020). In the current sample, internal reliability was very good (Cronbach’s α = .89).</w:t>
      </w:r>
    </w:p>
    <w:p w14:paraId="639BE16F" w14:textId="77777777" w:rsidR="007075D9" w:rsidRPr="004D46AC" w:rsidRDefault="007075D9" w:rsidP="00B518F1">
      <w:pPr>
        <w:pStyle w:val="4"/>
        <w:rPr>
          <w:rFonts w:eastAsiaTheme="minorEastAsia"/>
        </w:rPr>
      </w:pPr>
      <w:r w:rsidRPr="004D46AC">
        <w:t>Warwick-Edinburgh Mental Wellbeing Scales</w:t>
      </w:r>
      <w:r w:rsidRPr="004D46AC">
        <w:rPr>
          <w:rFonts w:eastAsiaTheme="minorEastAsia" w:hint="eastAsia"/>
        </w:rPr>
        <w:t xml:space="preserve"> (WEMWS)</w:t>
      </w:r>
    </w:p>
    <w:p w14:paraId="6E243976" w14:textId="77777777" w:rsidR="007075D9" w:rsidRPr="004D46AC" w:rsidRDefault="007075D9" w:rsidP="00B518F1">
      <w:r w:rsidRPr="004D46AC">
        <w:t>The WEMWBS is a self-report questionnaire designed to evaluate subjective and psychological wellbeing in the general population over the past two weeks</w:t>
      </w:r>
      <w:r w:rsidRPr="004D46AC">
        <w:rPr>
          <w:rFonts w:hint="eastAsia"/>
        </w:rPr>
        <w:t xml:space="preserve"> </w:t>
      </w:r>
      <w:r w:rsidRPr="004D46AC">
        <w:t>(Tennant et al., 2007)</w:t>
      </w:r>
      <w:r w:rsidRPr="004D46AC">
        <w:rPr>
          <w:rFonts w:hint="eastAsia"/>
        </w:rPr>
        <w:t xml:space="preserve">. </w:t>
      </w:r>
      <w:r w:rsidRPr="004D46AC">
        <w:t xml:space="preserve">It consists of 14 items relating to positive affect, psychological functioning, and social functioning. A sample item is: </w:t>
      </w:r>
      <w:r w:rsidRPr="004D46AC">
        <w:rPr>
          <w:i/>
          <w:iCs/>
        </w:rPr>
        <w:t>“I’ve been feeling useful over the last two weeks.”</w:t>
      </w:r>
      <w:r w:rsidRPr="004D46AC">
        <w:t xml:space="preserve"> Responses are rated on a five-point ordinal scale ranging from none of the time (0) to </w:t>
      </w:r>
      <w:proofErr w:type="gramStart"/>
      <w:r w:rsidRPr="004D46AC">
        <w:t>all of</w:t>
      </w:r>
      <w:proofErr w:type="gramEnd"/>
      <w:r w:rsidRPr="004D46AC">
        <w:t xml:space="preserve"> the time (4), yielding a total score between 0 and 56, with higher scores indicating greater wellbeing. Internal reliability was excellent in the current study sample (Cronbach’s α = .94).</w:t>
      </w:r>
      <w:r w:rsidRPr="004D46AC">
        <w:rPr>
          <w:rFonts w:hint="eastAsia"/>
        </w:rPr>
        <w:t xml:space="preserve">  </w:t>
      </w:r>
    </w:p>
    <w:p w14:paraId="7EBD5169" w14:textId="77777777" w:rsidR="007075D9" w:rsidRPr="004D46AC" w:rsidRDefault="007075D9" w:rsidP="00B518F1">
      <w:pPr>
        <w:pStyle w:val="4"/>
        <w:rPr>
          <w:rFonts w:eastAsiaTheme="minorEastAsia"/>
        </w:rPr>
      </w:pPr>
      <w:r w:rsidRPr="004D46AC">
        <w:t>Sleep Condition Indicator</w:t>
      </w:r>
      <w:r w:rsidRPr="004D46AC">
        <w:rPr>
          <w:rFonts w:eastAsiaTheme="minorEastAsia" w:hint="eastAsia"/>
        </w:rPr>
        <w:t xml:space="preserve"> Scale (SCIS)</w:t>
      </w:r>
    </w:p>
    <w:p w14:paraId="3FE91890" w14:textId="77777777" w:rsidR="007075D9" w:rsidRPr="004D46AC" w:rsidRDefault="007075D9" w:rsidP="00B518F1">
      <w:pPr>
        <w:rPr>
          <w:b/>
          <w:bCs/>
          <w:i/>
          <w:iCs/>
        </w:rPr>
      </w:pPr>
      <w:r w:rsidRPr="004D46AC">
        <w:t>The SCIS is a self-report scale designed to assess insomnia disorder and sleep-related problems in clinical setting</w:t>
      </w:r>
      <w:r w:rsidRPr="004D46AC">
        <w:rPr>
          <w:rFonts w:hint="eastAsia"/>
        </w:rPr>
        <w:t xml:space="preserve">s </w:t>
      </w:r>
      <w:r w:rsidRPr="004D46AC">
        <w:t xml:space="preserve">(Espie et al., 2018; Espie et al., 2014). It consists of eight items assessing insomnia over the past month, grouped into three sections: (a) sleep difficulties during a typical night (e.g., time taken to fall asleep and frequency of </w:t>
      </w:r>
      <w:r w:rsidRPr="004D46AC">
        <w:lastRenderedPageBreak/>
        <w:t>awakenings), (b) the impact of poor sleep on daily functioning (e.g., mood, attention, and general wellbeing), and (c) the duration of the sleep problem. Each item is rated on a five-point reverse ordinal scale (4-0). Although the response options vary slightly across items, higher scores generally indicate less disturbed sleep or fewer negative effects of insomnia. For example, a shorter time taken to fall asleep is scored higher (4), whereas taking more than one hour is scored lower (0). The total score ranges from 0 to 32, with higher scores reflecting better sleep functioning. Initial validation studies demonstrated good convergent validity with the Pittsburgh Sleep Quality Index and the Insomnia Severity Index, and internal reliability was very good in the current study (Cronbach’s α = .87).</w:t>
      </w:r>
    </w:p>
    <w:p w14:paraId="6C602A0C" w14:textId="77777777" w:rsidR="007075D9" w:rsidRPr="004D46AC" w:rsidRDefault="007075D9" w:rsidP="00B518F1">
      <w:pPr>
        <w:pStyle w:val="4"/>
        <w:rPr>
          <w:rFonts w:eastAsiaTheme="minorEastAsia"/>
        </w:rPr>
      </w:pPr>
      <w:r w:rsidRPr="004D46AC">
        <w:t>Everson two-item hopelessness scale</w:t>
      </w:r>
      <w:r w:rsidRPr="004D46AC">
        <w:rPr>
          <w:rFonts w:eastAsiaTheme="minorEastAsia" w:hint="eastAsia"/>
        </w:rPr>
        <w:t xml:space="preserve"> (ETIHS)</w:t>
      </w:r>
    </w:p>
    <w:p w14:paraId="4039F11D" w14:textId="77777777" w:rsidR="007075D9" w:rsidRPr="004D46AC" w:rsidRDefault="007075D9" w:rsidP="00B518F1">
      <w:r w:rsidRPr="004D46AC">
        <w:t>The ETIHS is a self-report questionnaire designed to assess negative expectations about the future in the general population (Everson et al., 1996)</w:t>
      </w:r>
      <w:r w:rsidRPr="004D46AC">
        <w:rPr>
          <w:rFonts w:hint="eastAsia"/>
        </w:rPr>
        <w:t xml:space="preserve">. </w:t>
      </w:r>
      <w:r w:rsidRPr="004D46AC">
        <w:t>It comprises two items: “I feel that it is impossible to reach the goals I would like to strive for” and “The future seems to me to be hopeless, and I can't believe that things are changing for the better.” Responses are rated on a five-point Likert scale (0 = absolutely agree; 1 = somewhat agree; 2 = cannot say; 3 = somewhat disagree; 4 = absolutely disagree). Item scores are reversed, such that higher total scores (ranging from 0 to 8) indicate more positive expectations regarding one’s ability to achieve personal goals</w:t>
      </w:r>
      <w:r w:rsidRPr="004D46AC">
        <w:rPr>
          <w:rFonts w:hint="eastAsia"/>
        </w:rPr>
        <w:t xml:space="preserve"> in the future</w:t>
      </w:r>
      <w:r w:rsidRPr="004D46AC">
        <w:t>.</w:t>
      </w:r>
      <w:r w:rsidRPr="004D46AC">
        <w:rPr>
          <w:rFonts w:hint="eastAsia"/>
        </w:rPr>
        <w:t xml:space="preserve"> </w:t>
      </w:r>
    </w:p>
    <w:p w14:paraId="09E3CEF6" w14:textId="77777777" w:rsidR="007075D9" w:rsidRPr="004D46AC" w:rsidRDefault="007075D9" w:rsidP="00B518F1">
      <w:pPr>
        <w:pStyle w:val="3"/>
        <w:rPr>
          <w:rFonts w:eastAsiaTheme="minorEastAsia"/>
        </w:rPr>
      </w:pPr>
      <w:r w:rsidRPr="004D46AC">
        <w:rPr>
          <w:rFonts w:hint="eastAsia"/>
        </w:rPr>
        <w:t xml:space="preserve"> </w:t>
      </w:r>
      <w:r w:rsidRPr="004D46AC">
        <w:t>A</w:t>
      </w:r>
      <w:r w:rsidRPr="004D46AC">
        <w:rPr>
          <w:rFonts w:hint="eastAsia"/>
        </w:rPr>
        <w:t>naly</w:t>
      </w:r>
      <w:r w:rsidRPr="004D46AC">
        <w:rPr>
          <w:rFonts w:eastAsiaTheme="minorEastAsia" w:hint="eastAsia"/>
        </w:rPr>
        <w:t>tic</w:t>
      </w:r>
      <w:r w:rsidRPr="004D46AC">
        <w:rPr>
          <w:rFonts w:hint="eastAsia"/>
        </w:rPr>
        <w:t xml:space="preserve"> plans</w:t>
      </w:r>
    </w:p>
    <w:p w14:paraId="03877CA7" w14:textId="77777777" w:rsidR="007075D9" w:rsidRPr="004D46AC" w:rsidRDefault="007075D9" w:rsidP="00B518F1">
      <w:r w:rsidRPr="004D46AC">
        <w:t xml:space="preserve">For the psychometric analyses, the data were randomly divided into two smaller subsets. One subset was used for factor exploration (the exploratory dataset; </w:t>
      </w:r>
      <w:r w:rsidRPr="004D46AC">
        <w:rPr>
          <w:i/>
          <w:iCs/>
        </w:rPr>
        <w:t>n</w:t>
      </w:r>
      <w:r w:rsidRPr="004D46AC">
        <w:t xml:space="preserve"> = 1,022), and the other was used for factor confirmation analysis (</w:t>
      </w:r>
      <w:r w:rsidRPr="004D46AC">
        <w:rPr>
          <w:i/>
          <w:iCs/>
        </w:rPr>
        <w:t xml:space="preserve">n </w:t>
      </w:r>
      <w:r w:rsidRPr="004D46AC">
        <w:t>= 1,015). The network analyses were conducted on the full dataset as well as on subgroups defined by the four age divisions and gender.</w:t>
      </w:r>
      <w:r w:rsidRPr="004D46AC">
        <w:rPr>
          <w:rFonts w:hint="eastAsia"/>
        </w:rPr>
        <w:t xml:space="preserve"> </w:t>
      </w:r>
    </w:p>
    <w:p w14:paraId="7FC5B881" w14:textId="77777777" w:rsidR="007075D9" w:rsidRPr="004D46AC" w:rsidRDefault="007075D9" w:rsidP="00B518F1">
      <w:pPr>
        <w:pStyle w:val="4"/>
      </w:pPr>
      <w:r w:rsidRPr="004D46AC">
        <w:t>Psychometric</w:t>
      </w:r>
      <w:r w:rsidRPr="004D46AC">
        <w:rPr>
          <w:rFonts w:hint="eastAsia"/>
        </w:rPr>
        <w:t xml:space="preserve"> analyses </w:t>
      </w:r>
    </w:p>
    <w:p w14:paraId="5F4422A6" w14:textId="77777777" w:rsidR="007075D9" w:rsidRPr="004D46AC" w:rsidRDefault="007075D9" w:rsidP="00B518F1">
      <w:pPr>
        <w:rPr>
          <w:b/>
        </w:rPr>
      </w:pPr>
      <w:r w:rsidRPr="004D46AC">
        <w:t xml:space="preserve">Item-rest analysis was performed to evaluate the correlation between each item and the total score with that item excluded. This assesses each item’s association with the underlying latent construct independent of its own contribution. A cutoff correlation of </w:t>
      </w:r>
      <w:r w:rsidRPr="004D46AC">
        <w:rPr>
          <w:i/>
          <w:iCs/>
        </w:rPr>
        <w:t>r</w:t>
      </w:r>
      <w:r w:rsidRPr="004D46AC">
        <w:t xml:space="preserve"> = .30 </w:t>
      </w:r>
      <w:r w:rsidRPr="004D46AC">
        <w:lastRenderedPageBreak/>
        <w:t>was applied; items with correlations below this threshold were excluded from further analysis.</w:t>
      </w:r>
    </w:p>
    <w:p w14:paraId="53F228D3" w14:textId="77777777" w:rsidR="007075D9" w:rsidRPr="004D46AC" w:rsidRDefault="007075D9" w:rsidP="00B518F1">
      <w:pPr>
        <w:pStyle w:val="5"/>
      </w:pPr>
      <w:r w:rsidRPr="004D46AC">
        <w:t>E</w:t>
      </w:r>
      <w:r w:rsidRPr="004D46AC">
        <w:rPr>
          <w:rFonts w:hint="eastAsia"/>
        </w:rPr>
        <w:t xml:space="preserve">xploratory </w:t>
      </w:r>
      <w:r w:rsidRPr="004D46AC">
        <w:t>G</w:t>
      </w:r>
      <w:r w:rsidRPr="004D46AC">
        <w:rPr>
          <w:rFonts w:hint="eastAsia"/>
        </w:rPr>
        <w:t xml:space="preserve">raph </w:t>
      </w:r>
      <w:r w:rsidRPr="004D46AC">
        <w:t>A</w:t>
      </w:r>
      <w:r w:rsidRPr="004D46AC">
        <w:rPr>
          <w:rFonts w:hint="eastAsia"/>
        </w:rPr>
        <w:t>nalysis</w:t>
      </w:r>
      <w:r w:rsidRPr="004D46AC">
        <w:t xml:space="preserve"> (EGA)</w:t>
      </w:r>
    </w:p>
    <w:p w14:paraId="0C14FD6C" w14:textId="77777777" w:rsidR="007075D9" w:rsidRPr="004D46AC" w:rsidRDefault="007075D9" w:rsidP="00B518F1">
      <w:r w:rsidRPr="004D46AC">
        <w:t xml:space="preserve">EGA was used to examine the structure of these symptoms. EGA is a network theory-based method (see the “Network Analyses” section for a detailed introduction) that evaluates the psychometric structure of items based on the pattern of relationships among them. It has demonstrated performance comparable to traditional psychometric approaches </w:t>
      </w:r>
      <w:r w:rsidRPr="004D46AC">
        <w:rPr>
          <w:noProof/>
        </w:rPr>
        <w:t>(Christensen &amp; Golino, 2021)</w:t>
      </w:r>
      <w:r w:rsidRPr="004D46AC">
        <w:t xml:space="preserve">. In this study, EGA was conducted using a </w:t>
      </w:r>
      <w:proofErr w:type="spellStart"/>
      <w:r w:rsidRPr="004D46AC">
        <w:t>polychoric</w:t>
      </w:r>
      <w:proofErr w:type="spellEnd"/>
      <w:r w:rsidRPr="004D46AC">
        <w:t xml:space="preserve"> correlation matrix as input, and the </w:t>
      </w:r>
      <w:proofErr w:type="spellStart"/>
      <w:r w:rsidRPr="004D46AC">
        <w:t>Walktrap</w:t>
      </w:r>
      <w:proofErr w:type="spellEnd"/>
      <w:r w:rsidRPr="004D46AC">
        <w:t xml:space="preserve"> algorithm was applied to identify communities of items, which are interpreted as latent dimensions. The robustness of the identified structure was assessed via bootstrap resampling (1,000 iterations), yielding two indices: </w:t>
      </w:r>
      <w:r w:rsidRPr="004D46AC">
        <w:rPr>
          <w:i/>
          <w:iCs/>
        </w:rPr>
        <w:t>item stability</w:t>
      </w:r>
      <w:r w:rsidRPr="004D46AC">
        <w:t xml:space="preserve"> and </w:t>
      </w:r>
      <w:r w:rsidRPr="004D46AC">
        <w:rPr>
          <w:i/>
          <w:iCs/>
        </w:rPr>
        <w:t>structural consistency</w:t>
      </w:r>
      <w:r w:rsidRPr="004D46AC">
        <w:t>. Item stability reflects the probability that a given item is consistently assigned to the same community across bootstrap samples, whereas structural consistency indicates the extent to which the overall item composition of each community is replicated across resamples. Both indices range from 0 to 1, with values above .60 generally considered stable.</w:t>
      </w:r>
    </w:p>
    <w:p w14:paraId="1C4AD8C0" w14:textId="77777777" w:rsidR="007075D9" w:rsidRPr="004D46AC" w:rsidRDefault="007075D9" w:rsidP="00B518F1">
      <w:pPr>
        <w:pStyle w:val="5"/>
      </w:pPr>
      <w:r w:rsidRPr="004D46AC">
        <w:t>C</w:t>
      </w:r>
      <w:r w:rsidRPr="004D46AC">
        <w:rPr>
          <w:rFonts w:hint="eastAsia"/>
        </w:rPr>
        <w:t>onfirmatory factor analysis</w:t>
      </w:r>
      <w:r w:rsidRPr="004D46AC">
        <w:t xml:space="preserve"> (CFA) </w:t>
      </w:r>
    </w:p>
    <w:p w14:paraId="7E6A0048" w14:textId="77777777" w:rsidR="007075D9" w:rsidRPr="004D46AC" w:rsidRDefault="007075D9" w:rsidP="00B518F1">
      <w:r w:rsidRPr="004D46AC">
        <w:t>Following the EGA, CFAs were conducted</w:t>
      </w:r>
      <w:r w:rsidRPr="004D46AC">
        <w:rPr>
          <w:rFonts w:hint="eastAsia"/>
        </w:rPr>
        <w:t xml:space="preserve"> using the confirmatory data</w:t>
      </w:r>
      <w:r w:rsidRPr="004D46AC">
        <w:t xml:space="preserve"> to evaluate two</w:t>
      </w:r>
      <w:r w:rsidRPr="004D46AC">
        <w:rPr>
          <w:rFonts w:hint="eastAsia"/>
        </w:rPr>
        <w:t xml:space="preserve"> </w:t>
      </w:r>
      <w:r w:rsidRPr="004D46AC">
        <w:t>models: a standard factor model based on the EGA-derived community structure and a bifactor model comprising a general factor alongside specific factors corresponding to the EGA dimensions. In the standard model, each latent factor was specified to load on its respective set of items. In the bifactor model, all items loaded on a general factor in addition to the</w:t>
      </w:r>
      <w:r w:rsidRPr="004D46AC">
        <w:rPr>
          <w:rFonts w:hint="eastAsia"/>
        </w:rPr>
        <w:t xml:space="preserve"> </w:t>
      </w:r>
      <w:r w:rsidRPr="004D46AC">
        <w:t>specific factors revealed by the EGA, with the general and specific factors constrained to be orthogonal. To aid interpretation, factor variances were fixed at 1, allowing item loadings to be freely estimated.</w:t>
      </w:r>
    </w:p>
    <w:p w14:paraId="4399D5BF" w14:textId="77777777" w:rsidR="007075D9" w:rsidRPr="004D46AC" w:rsidRDefault="007075D9" w:rsidP="00B518F1">
      <w:r w:rsidRPr="004D46AC">
        <w:t xml:space="preserve">Given the ordinal and non-normal distribution of the data, the Weighted Least Squares Mean and Variance adjusted (WLSMV) estimator was employed for both models, consistent with best practice for CFA with ordinal indicators. Model fit and fit indices were </w:t>
      </w:r>
      <w:r w:rsidRPr="004D46AC">
        <w:lastRenderedPageBreak/>
        <w:t>reported following established statistical recommendations.</w:t>
      </w:r>
      <w:r w:rsidRPr="004D46AC">
        <w:rPr>
          <w:rFonts w:hint="eastAsia"/>
        </w:rPr>
        <w:t xml:space="preserve"> </w:t>
      </w:r>
      <w:r w:rsidRPr="004D46AC">
        <w:t>For the standard CFA model, internal consistency and convergent validity were assessed using composite reliability (CR) and average variance extracted (AVE), with CR values of ≥ .70 and AVE values of ≥ .50 considered acceptable. For the bifactor model, analyses focused primarily on the influence of the general factor and the reliability of the multidimensional structure. The Explained Common Variance (ECV) was estimated to quantify the proportion of common variance attributed to the general factor, while the Percent of Uncontaminated Correlations (PUC) indicated the extent to which item correlations were explained by the general dimension. Overall reliability was assessed with omega total (ω), and omega hierarchical (ω</w:t>
      </w:r>
      <w:r w:rsidRPr="004D46AC">
        <w:rPr>
          <w:rFonts w:ascii="Cambria Math" w:hAnsi="Cambria Math" w:cs="Cambria Math"/>
        </w:rPr>
        <w:t>ₕ</w:t>
      </w:r>
      <w:r w:rsidRPr="004D46AC">
        <w:t>) reflected the proportion of variance in total scores attributable to the general factor. Construct replicability (H) was calculated to evaluate the likelihood that the latent constructs could be reproduced across independent samples, and factor determinacy (FD) represented the correlation between estimated and true factor scores. Recommended thresholds of ECV ≥ .70, ω</w:t>
      </w:r>
      <w:r w:rsidRPr="004D46AC">
        <w:rPr>
          <w:rFonts w:ascii="Cambria Math" w:hAnsi="Cambria Math" w:cs="Cambria Math"/>
        </w:rPr>
        <w:t>ₕ</w:t>
      </w:r>
      <w:r w:rsidRPr="004D46AC">
        <w:t xml:space="preserve"> ≥ .80, H ≥ .70, and FD ≥ .90 were used to infer strong saturation of the general factor, supporting essential </w:t>
      </w:r>
      <w:proofErr w:type="spellStart"/>
      <w:r w:rsidRPr="004D46AC">
        <w:t>unidimensionality</w:t>
      </w:r>
      <w:proofErr w:type="spellEnd"/>
      <w:r w:rsidRPr="004D46AC">
        <w:t>.</w:t>
      </w:r>
    </w:p>
    <w:p w14:paraId="7FA9E982" w14:textId="6B19AB48" w:rsidR="007075D9" w:rsidRPr="004D46AC" w:rsidRDefault="007075D9" w:rsidP="00B518F1">
      <w:r w:rsidRPr="004D46AC">
        <w:t>Model fit was evaluated using commonly recommended indices. The chi-square test was reported for descriptive purposes, while acknowledging its sensitivity to large sample sizes. Values of the Comparative Fit Index (CFI) and Tucker</w:t>
      </w:r>
      <w:r w:rsidRPr="004D46AC">
        <w:rPr>
          <w:rFonts w:hint="eastAsia"/>
        </w:rPr>
        <w:t>-</w:t>
      </w:r>
      <w:r w:rsidRPr="004D46AC">
        <w:t>Lewis Index (TLI) of ≥ .90 were interpreted as indicating accep</w:t>
      </w:r>
      <w:r w:rsidR="003E095D" w:rsidRPr="004D46AC">
        <w:rPr>
          <w:rFonts w:eastAsiaTheme="minorEastAsia" w:hint="eastAsia"/>
        </w:rPr>
        <w:t>t</w:t>
      </w:r>
      <w:r w:rsidRPr="004D46AC">
        <w:t xml:space="preserve">able </w:t>
      </w:r>
      <w:r w:rsidR="003E095D" w:rsidRPr="004D46AC">
        <w:rPr>
          <w:rFonts w:eastAsiaTheme="minorEastAsia" w:hint="eastAsia"/>
        </w:rPr>
        <w:t>f</w:t>
      </w:r>
      <w:r w:rsidRPr="004D46AC">
        <w:t>it. Root Mean Square Error of Approximation (RMSEA) and Standardised Root Mean Square Residual (SRMR) values below .08 were also considered indicative of accep</w:t>
      </w:r>
      <w:r w:rsidR="003E095D" w:rsidRPr="004D46AC">
        <w:rPr>
          <w:rFonts w:eastAsiaTheme="minorEastAsia" w:hint="eastAsia"/>
        </w:rPr>
        <w:t>t</w:t>
      </w:r>
      <w:r w:rsidRPr="004D46AC">
        <w:t xml:space="preserve">able </w:t>
      </w:r>
      <w:r w:rsidR="003E095D" w:rsidRPr="004D46AC">
        <w:rPr>
          <w:rFonts w:eastAsiaTheme="minorEastAsia" w:hint="eastAsia"/>
        </w:rPr>
        <w:t>f</w:t>
      </w:r>
      <w:r w:rsidRPr="004D46AC">
        <w:t>it. Given the ordinal and non-normal characteristics of the data, scaled CFI and TLI, alongside robust RMSEA and SRMR estimates, were reported for comparative purposes.</w:t>
      </w:r>
    </w:p>
    <w:p w14:paraId="34701A5C" w14:textId="77777777" w:rsidR="007075D9" w:rsidRPr="004D46AC" w:rsidRDefault="007075D9" w:rsidP="00B518F1">
      <w:pPr>
        <w:pStyle w:val="5"/>
      </w:pPr>
      <w:r w:rsidRPr="004D46AC">
        <w:t>C</w:t>
      </w:r>
      <w:r w:rsidRPr="004D46AC">
        <w:rPr>
          <w:rFonts w:hint="eastAsia"/>
        </w:rPr>
        <w:t>utoff scores</w:t>
      </w:r>
    </w:p>
    <w:p w14:paraId="4BB01842" w14:textId="77777777" w:rsidR="007075D9" w:rsidRPr="004D46AC" w:rsidRDefault="007075D9" w:rsidP="00B518F1">
      <w:r w:rsidRPr="004D46AC">
        <w:t xml:space="preserve">The current study employed statistical approaches to estimate cutoff scores, using two methods. First, a distribution-based statistical cutoff was applied, whereby participants were classified as high-risk if their scores exceeded the 90th percentile; to account for the right-skewed distribution, the 90th percentile was calculated using linear interpolation with </w:t>
      </w:r>
      <w:r w:rsidRPr="004D46AC">
        <w:lastRenderedPageBreak/>
        <w:t>median-unbiased estimation. Second, latent class analysis (LCA) was conducted, a clustering method that assumes individuals belong to unobserved classes, which are reflected in systematic differences in their questionnaire responses.</w:t>
      </w:r>
      <w:r w:rsidRPr="004D46AC">
        <w:rPr>
          <w:rFonts w:hint="eastAsia"/>
        </w:rPr>
        <w:t xml:space="preserve"> </w:t>
      </w:r>
      <w:r w:rsidRPr="004D46AC">
        <w:t xml:space="preserve">We identified two classes (high risk and low risk), as this solution offered greater clinical utility and demonstrated excellent entropy (.90), indicating strong discrimination between classes. The ROC (Receiver Operating Characteristic curve) was then computed using LCA-derived class membership as the reference to determine the cut-off score that best discriminates the two classes. </w:t>
      </w:r>
    </w:p>
    <w:p w14:paraId="3D9F77D7" w14:textId="77777777" w:rsidR="007075D9" w:rsidRPr="004D46AC" w:rsidRDefault="007075D9" w:rsidP="00B518F1">
      <w:pPr>
        <w:pStyle w:val="5"/>
      </w:pPr>
      <w:r w:rsidRPr="004D46AC">
        <w:rPr>
          <w:rFonts w:hint="eastAsia"/>
        </w:rPr>
        <w:t>External validity</w:t>
      </w:r>
    </w:p>
    <w:p w14:paraId="29C5411C" w14:textId="77777777" w:rsidR="007075D9" w:rsidRPr="004D46AC" w:rsidRDefault="007075D9" w:rsidP="00B518F1">
      <w:r w:rsidRPr="004D46AC">
        <w:t>Criterion-related validity was examined was assessed using Cohen’s κ, with the following interpretation: poor (&lt;0), slight (0</w:t>
      </w:r>
      <w:r w:rsidRPr="004D46AC">
        <w:rPr>
          <w:rFonts w:hint="eastAsia"/>
        </w:rPr>
        <w:t>-</w:t>
      </w:r>
      <w:r w:rsidRPr="004D46AC">
        <w:t>.20), fair (.21</w:t>
      </w:r>
      <w:r w:rsidRPr="004D46AC">
        <w:rPr>
          <w:rFonts w:hint="eastAsia"/>
        </w:rPr>
        <w:t>-</w:t>
      </w:r>
      <w:r w:rsidRPr="004D46AC">
        <w:t>.40), moderate (.41</w:t>
      </w:r>
      <w:r w:rsidRPr="004D46AC">
        <w:rPr>
          <w:rFonts w:hint="eastAsia"/>
        </w:rPr>
        <w:t>-</w:t>
      </w:r>
      <w:r w:rsidRPr="004D46AC">
        <w:t>.60), substantial (.61</w:t>
      </w:r>
      <w:r w:rsidRPr="004D46AC">
        <w:rPr>
          <w:rFonts w:hint="eastAsia"/>
        </w:rPr>
        <w:t>-</w:t>
      </w:r>
      <w:r w:rsidRPr="004D46AC">
        <w:t>.80), and almost perfect (.81</w:t>
      </w:r>
      <w:r w:rsidRPr="004D46AC">
        <w:rPr>
          <w:rFonts w:hint="eastAsia"/>
        </w:rPr>
        <w:t>-</w:t>
      </w:r>
      <w:r w:rsidRPr="004D46AC">
        <w:t>1.00), by examining the agreement between the cutoff-derived risk status and risk classifications defined by established thresholds on the PQ-16, PHQ-8, and GAD-7</w:t>
      </w:r>
      <w:r w:rsidRPr="004D46AC">
        <w:rPr>
          <w:rFonts w:hint="eastAsia"/>
        </w:rPr>
        <w:t xml:space="preserve"> </w:t>
      </w:r>
      <w:r w:rsidRPr="004D46AC">
        <w:t>(Landis &amp; Koch, 1977). The proportion of observed agreement (Po; the probability that both raters agree) and the proportion of expected agreement (Pe; the probability of agreement by chance) were also reported</w:t>
      </w:r>
      <w:r w:rsidRPr="004D46AC">
        <w:rPr>
          <w:rFonts w:hint="eastAsia"/>
        </w:rPr>
        <w:t xml:space="preserve"> since kappa value could be misleading when categories are </w:t>
      </w:r>
      <w:r w:rsidRPr="004D46AC">
        <w:t>unbalanced</w:t>
      </w:r>
      <w:r w:rsidRPr="004D46AC">
        <w:rPr>
          <w:rFonts w:hint="eastAsia"/>
        </w:rPr>
        <w:t xml:space="preserve">. </w:t>
      </w:r>
    </w:p>
    <w:p w14:paraId="0F5F8606" w14:textId="77777777" w:rsidR="007075D9" w:rsidRPr="004D46AC" w:rsidRDefault="007075D9" w:rsidP="00B518F1">
      <w:r w:rsidRPr="004D46AC">
        <w:t>Convergent and divergent validity were assessed using Spearman correlations with conceptually related psychopathology measures (PHQ-8, GAD-7, PQ-16) and with negative, healthy-functioning validators (wellbeing and sleep quality). Positive correlations were expected with related measures and negative correlations with well-being, consistent with theoretical assumptions. A permutation ANCOVA (Freedman</w:t>
      </w:r>
      <w:r w:rsidRPr="004D46AC">
        <w:rPr>
          <w:rFonts w:hint="eastAsia"/>
        </w:rPr>
        <w:t>-</w:t>
      </w:r>
      <w:r w:rsidRPr="004D46AC">
        <w:t>Lane, np = 10,000) was conducted comparing LCA cutoff-defined groups while adjusting for Age and Gender groups; it was hypothesised that the high-risk group would score higher on related constructs and lower on negative validators. For interpretation we report adjusted means (</w:t>
      </w:r>
      <w:proofErr w:type="spellStart"/>
      <w:r w:rsidRPr="004D46AC">
        <w:rPr>
          <w:i/>
          <w:iCs/>
        </w:rPr>
        <w:t>M</w:t>
      </w:r>
      <w:r w:rsidRPr="004D46AC">
        <w:rPr>
          <w:i/>
          <w:iCs/>
          <w:vertAlign w:val="subscript"/>
        </w:rPr>
        <w:t>adjusted</w:t>
      </w:r>
      <w:proofErr w:type="spellEnd"/>
      <w:r w:rsidRPr="004D46AC">
        <w:rPr>
          <w:i/>
          <w:iCs/>
        </w:rPr>
        <w:t xml:space="preserve"> </w:t>
      </w:r>
      <w:r w:rsidRPr="004D46AC">
        <w:t xml:space="preserve">± </w:t>
      </w:r>
      <w:r w:rsidRPr="004D46AC">
        <w:rPr>
          <w:i/>
          <w:iCs/>
        </w:rPr>
        <w:t>SE</w:t>
      </w:r>
      <w:r w:rsidRPr="004D46AC">
        <w:t xml:space="preserve">), 95% confidence intervals, permutation </w:t>
      </w:r>
      <w:r w:rsidRPr="004D46AC">
        <w:rPr>
          <w:i/>
          <w:iCs/>
        </w:rPr>
        <w:t>F</w:t>
      </w:r>
      <w:r w:rsidRPr="004D46AC">
        <w:t xml:space="preserve">, </w:t>
      </w:r>
      <w:r w:rsidRPr="004D46AC">
        <w:rPr>
          <w:i/>
          <w:iCs/>
        </w:rPr>
        <w:t>SS</w:t>
      </w:r>
      <w:r w:rsidRPr="004D46AC">
        <w:t xml:space="preserve">, and </w:t>
      </w:r>
      <w:r w:rsidRPr="004D46AC">
        <w:rPr>
          <w:i/>
          <w:iCs/>
        </w:rPr>
        <w:t>p</w:t>
      </w:r>
      <w:r w:rsidRPr="004D46AC">
        <w:t xml:space="preserve"> values, and Cliff’s delta (δ) as a robust effect size.  </w:t>
      </w:r>
    </w:p>
    <w:p w14:paraId="5EA54628" w14:textId="77777777" w:rsidR="007075D9" w:rsidRPr="004D46AC" w:rsidRDefault="007075D9" w:rsidP="00B518F1">
      <w:pPr>
        <w:pStyle w:val="4"/>
      </w:pPr>
      <w:r w:rsidRPr="004D46AC">
        <w:rPr>
          <w:rFonts w:hint="eastAsia"/>
        </w:rPr>
        <w:lastRenderedPageBreak/>
        <w:t xml:space="preserve">Network </w:t>
      </w:r>
      <w:r w:rsidRPr="004D46AC">
        <w:rPr>
          <w:rFonts w:eastAsiaTheme="minorEastAsia" w:hint="eastAsia"/>
        </w:rPr>
        <w:t>analyses</w:t>
      </w:r>
    </w:p>
    <w:p w14:paraId="05814C4B" w14:textId="77777777" w:rsidR="007075D9" w:rsidRPr="004D46AC" w:rsidRDefault="007075D9" w:rsidP="00B518F1">
      <w:r w:rsidRPr="004D46AC">
        <w:rPr>
          <w:rFonts w:hint="eastAsia"/>
        </w:rPr>
        <w:t xml:space="preserve">Network model can be categorised into undirected and directed models. </w:t>
      </w:r>
      <w:r w:rsidRPr="004D46AC">
        <w:t>A</w:t>
      </w:r>
      <w:r w:rsidRPr="004D46AC">
        <w:rPr>
          <w:rFonts w:hint="eastAsia"/>
        </w:rPr>
        <w:t>n undirected</w:t>
      </w:r>
      <w:r w:rsidRPr="004D46AC">
        <w:t xml:space="preserve"> network model comprises multiple nodes connected by edges: nodes represent symptoms and edges represent the statistical relationships between them. In conventional network models, these relationships are typically conditional dependencies, meaning that the association between any two symptoms reflects their unique statistical relationship after controlling for all other variables in the network. A positive edge indicates that the presence (or greater severity) of one symptom is associated with an increased likelihood (or greater severity) of the other, whereas a negative edge indicates the opposite.</w:t>
      </w:r>
      <w:r w:rsidRPr="004D46AC">
        <w:rPr>
          <w:rFonts w:hint="eastAsia"/>
        </w:rPr>
        <w:t xml:space="preserve"> </w:t>
      </w:r>
      <w:r w:rsidRPr="004D46AC">
        <w:t>T</w:t>
      </w:r>
      <w:r w:rsidRPr="004D46AC">
        <w:rPr>
          <w:rFonts w:hint="eastAsia"/>
        </w:rPr>
        <w:t xml:space="preserve">he </w:t>
      </w:r>
      <w:r w:rsidRPr="004D46AC">
        <w:t>connectivity or density</w:t>
      </w:r>
      <w:r w:rsidRPr="004D46AC">
        <w:rPr>
          <w:rFonts w:hint="eastAsia"/>
        </w:rPr>
        <w:t xml:space="preserve"> of the nodes within the network,</w:t>
      </w:r>
      <w:r w:rsidRPr="004D46AC">
        <w:t xml:space="preserve"> </w:t>
      </w:r>
      <w:r w:rsidRPr="004D46AC">
        <w:rPr>
          <w:rFonts w:hint="eastAsia"/>
        </w:rPr>
        <w:t>commonly defined</w:t>
      </w:r>
      <w:r w:rsidRPr="004D46AC">
        <w:t xml:space="preserve"> as the proportion of non-zero edges</w:t>
      </w:r>
      <w:r w:rsidRPr="004D46AC">
        <w:rPr>
          <w:rFonts w:hint="eastAsia"/>
        </w:rPr>
        <w:t xml:space="preserve">, </w:t>
      </w:r>
      <w:r w:rsidRPr="004D46AC">
        <w:t xml:space="preserve">is frequently used as </w:t>
      </w:r>
      <w:r w:rsidRPr="004D46AC">
        <w:rPr>
          <w:rFonts w:hint="eastAsia"/>
        </w:rPr>
        <w:t>an</w:t>
      </w:r>
      <w:r w:rsidRPr="004D46AC">
        <w:t xml:space="preserve"> indicator of </w:t>
      </w:r>
      <w:r w:rsidRPr="004D46AC">
        <w:rPr>
          <w:rFonts w:hint="eastAsia"/>
        </w:rPr>
        <w:t>macro network characteristics</w:t>
      </w:r>
      <w:r w:rsidRPr="004D46AC">
        <w:t xml:space="preserve">: </w:t>
      </w:r>
      <w:r w:rsidRPr="004D46AC">
        <w:rPr>
          <w:rFonts w:hint="eastAsia"/>
        </w:rPr>
        <w:t>a</w:t>
      </w:r>
      <w:r w:rsidRPr="004D46AC">
        <w:t xml:space="preserve"> densely connected network is considered more vulnerable to change because symptoms can activate one another more readily, whereas a sparsely connected network is thought to be more resistant to change and less responsive to intervention.</w:t>
      </w:r>
    </w:p>
    <w:p w14:paraId="4C5891F7" w14:textId="77777777" w:rsidR="007075D9" w:rsidRPr="004D46AC" w:rsidRDefault="007075D9" w:rsidP="00B518F1">
      <w:r w:rsidRPr="004D46AC">
        <w:rPr>
          <w:rFonts w:hint="eastAsia"/>
        </w:rPr>
        <w:t xml:space="preserve">The directed network model shares some features of the undirected one </w:t>
      </w:r>
      <w:r w:rsidRPr="004D46AC">
        <w:t>except that the links between nodes have specified directions</w:t>
      </w:r>
      <w:r w:rsidRPr="004D46AC">
        <w:rPr>
          <w:rFonts w:hint="eastAsia"/>
        </w:rPr>
        <w:t xml:space="preserve"> that determined by complicated algorithms</w:t>
      </w:r>
      <w:r w:rsidRPr="004D46AC">
        <w:t>. The Bayesian network model, as a representative method of this kind, can estimate causal relationships between symptoms using several algorithms. The Inductive Causation</w:t>
      </w:r>
      <w:r w:rsidRPr="004D46AC">
        <w:rPr>
          <w:rFonts w:hint="eastAsia"/>
        </w:rPr>
        <w:t xml:space="preserve"> </w:t>
      </w:r>
      <w:r w:rsidRPr="004D46AC">
        <w:t>algorithm, for example, follows a stepwise procedure: (1) it first identifies the overall structure of the system by constructing a skeleton</w:t>
      </w:r>
      <w:r w:rsidRPr="004D46AC">
        <w:rPr>
          <w:rFonts w:hint="eastAsia"/>
        </w:rPr>
        <w:t xml:space="preserve"> - </w:t>
      </w:r>
      <w:r w:rsidRPr="004D46AC">
        <w:t>a network of connections between symptoms without yet assigning directions or causality; (2) it then detects v-structures, which are small configurations in which two symptoms (parents) jointly influence a common outcome (child); (3) these v-structures enable the algorithm to assign causal directions from parent symptoms to their shared outcome; and (4) the algorithm subsequently determines the directions of the remaining connections through logical deduction, ensuring that no new v-structures are introduced and that no cyclic (looping) relationships are formed.</w:t>
      </w:r>
      <w:r w:rsidRPr="004D46AC">
        <w:rPr>
          <w:rFonts w:hint="eastAsia"/>
        </w:rPr>
        <w:t xml:space="preserve"> </w:t>
      </w:r>
      <w:r w:rsidRPr="004D46AC">
        <w:t xml:space="preserve">In this study, both network models were utilised to explore the structure of at-risk symptoms. The Ising Model (IM) was employed to estimate the undirected </w:t>
      </w:r>
      <w:r w:rsidRPr="004D46AC">
        <w:lastRenderedPageBreak/>
        <w:t>network structure, whereas the Bayesian Network Model (BNM) was applied as a supplementary method to identify the statistical representation of causal relationships. The specific procedures for these methods are detailed below.</w:t>
      </w:r>
    </w:p>
    <w:p w14:paraId="7CE49DD3" w14:textId="77777777" w:rsidR="007075D9" w:rsidRPr="004D46AC" w:rsidRDefault="007075D9" w:rsidP="00B518F1">
      <w:pPr>
        <w:pStyle w:val="5"/>
        <w:rPr>
          <w:rFonts w:eastAsiaTheme="minorEastAsia"/>
        </w:rPr>
      </w:pPr>
      <w:r w:rsidRPr="004D46AC">
        <w:rPr>
          <w:rFonts w:hint="eastAsia"/>
        </w:rPr>
        <w:t>I</w:t>
      </w:r>
      <w:r w:rsidRPr="004D46AC">
        <w:t xml:space="preserve">sing </w:t>
      </w:r>
      <w:r w:rsidRPr="004D46AC">
        <w:rPr>
          <w:rFonts w:hint="eastAsia"/>
        </w:rPr>
        <w:t>M</w:t>
      </w:r>
      <w:r w:rsidRPr="004D46AC">
        <w:t>odel</w:t>
      </w:r>
      <w:r w:rsidRPr="004D46AC">
        <w:rPr>
          <w:rFonts w:eastAsiaTheme="minorEastAsia" w:hint="eastAsia"/>
        </w:rPr>
        <w:t xml:space="preserve"> (IM)</w:t>
      </w:r>
    </w:p>
    <w:p w14:paraId="69879379" w14:textId="77777777" w:rsidR="007075D9" w:rsidRPr="004D46AC" w:rsidRDefault="007075D9" w:rsidP="00B518F1">
      <w:r w:rsidRPr="004D46AC">
        <w:t xml:space="preserve">The IM was estimated using the </w:t>
      </w:r>
      <w:proofErr w:type="spellStart"/>
      <w:r w:rsidRPr="004D46AC">
        <w:t>eLasso</w:t>
      </w:r>
      <w:proofErr w:type="spellEnd"/>
      <w:r w:rsidRPr="004D46AC">
        <w:t xml:space="preserve"> method, which combines L1-regularised logistic regression with model selection based on the Extended Bayesian Information Criterion</w:t>
      </w:r>
      <w:r w:rsidRPr="004D46AC">
        <w:rPr>
          <w:rFonts w:hint="eastAsia"/>
        </w:rPr>
        <w:t xml:space="preserve"> </w:t>
      </w:r>
      <w:r w:rsidRPr="004D46AC">
        <w:t xml:space="preserve">(van </w:t>
      </w:r>
      <w:proofErr w:type="spellStart"/>
      <w:r w:rsidRPr="004D46AC">
        <w:t>Borkulo</w:t>
      </w:r>
      <w:proofErr w:type="spellEnd"/>
      <w:r w:rsidRPr="004D46AC">
        <w:t xml:space="preserve"> et al., 2014). This criterion serves as a goodness-of-fit measure while penalising model complexity to identify the most meaningful relationships between variables. W</w:t>
      </w:r>
      <w:r w:rsidRPr="004D46AC">
        <w:rPr>
          <w:rFonts w:hint="eastAsia"/>
        </w:rPr>
        <w:t xml:space="preserve">e reported </w:t>
      </w:r>
      <w:r w:rsidRPr="004D46AC">
        <w:t>several</w:t>
      </w:r>
      <w:r w:rsidRPr="004D46AC">
        <w:rPr>
          <w:rFonts w:hint="eastAsia"/>
        </w:rPr>
        <w:t xml:space="preserve"> network statistics: </w:t>
      </w:r>
      <w:r w:rsidRPr="004D46AC">
        <w:t xml:space="preserve"> edge weights (reflecting the strength of conditional dependencies</w:t>
      </w:r>
      <w:r w:rsidRPr="004D46AC">
        <w:rPr>
          <w:rFonts w:hint="eastAsia"/>
        </w:rPr>
        <w:t xml:space="preserve"> between symptoms</w:t>
      </w:r>
      <w:r w:rsidRPr="004D46AC">
        <w:t>) and centrality indices (e.g., node strength, defined as the sum of absolute edge weights connecting a given symptom to others) - were reported.</w:t>
      </w:r>
      <w:r w:rsidRPr="004D46AC">
        <w:rPr>
          <w:rFonts w:hint="eastAsia"/>
        </w:rPr>
        <w:t xml:space="preserve"> </w:t>
      </w:r>
      <w:r w:rsidRPr="004D46AC">
        <w:t>Network stability was assessed via non-parametric bootstrapping (boot</w:t>
      </w:r>
      <w:r w:rsidRPr="004D46AC">
        <w:rPr>
          <w:rFonts w:hint="eastAsia"/>
        </w:rPr>
        <w:t xml:space="preserve"> </w:t>
      </w:r>
      <w:r w:rsidRPr="004D46AC">
        <w:rPr>
          <w:i/>
          <w:iCs/>
        </w:rPr>
        <w:t>N</w:t>
      </w:r>
      <w:r w:rsidRPr="004D46AC">
        <w:t xml:space="preserve"> = 2,000), and the stability of centrality measures was evaluated using the correlation stability (CS) coefficient, where values above .50 are considered acceptable. For each network, whether derived from the full sample or subgroup analyses, the stability of edge weights and centrality metrics (node strength, closeness, and betweenness) was reported for reference.</w:t>
      </w:r>
    </w:p>
    <w:p w14:paraId="1131717C" w14:textId="77777777" w:rsidR="007075D9" w:rsidRPr="004D46AC" w:rsidRDefault="007075D9" w:rsidP="00B518F1">
      <w:pPr>
        <w:pStyle w:val="5"/>
        <w:rPr>
          <w:rFonts w:eastAsiaTheme="minorEastAsia"/>
        </w:rPr>
      </w:pPr>
      <w:r w:rsidRPr="004D46AC">
        <w:rPr>
          <w:rStyle w:val="30"/>
          <w:rFonts w:hint="eastAsia"/>
          <w:b/>
          <w:bCs/>
          <w:i/>
          <w:iCs/>
        </w:rPr>
        <w:t>B</w:t>
      </w:r>
      <w:r w:rsidRPr="004D46AC">
        <w:rPr>
          <w:rStyle w:val="30"/>
          <w:b/>
          <w:bCs/>
          <w:i/>
          <w:iCs/>
        </w:rPr>
        <w:t xml:space="preserve">ayesian </w:t>
      </w:r>
      <w:r w:rsidRPr="004D46AC">
        <w:rPr>
          <w:rStyle w:val="30"/>
          <w:rFonts w:hint="eastAsia"/>
          <w:b/>
          <w:bCs/>
          <w:i/>
          <w:iCs/>
        </w:rPr>
        <w:t>N</w:t>
      </w:r>
      <w:r w:rsidRPr="004D46AC">
        <w:rPr>
          <w:rStyle w:val="30"/>
          <w:b/>
          <w:bCs/>
          <w:i/>
          <w:iCs/>
        </w:rPr>
        <w:t xml:space="preserve">etwork </w:t>
      </w:r>
      <w:r w:rsidRPr="004D46AC">
        <w:rPr>
          <w:rStyle w:val="30"/>
          <w:rFonts w:hint="eastAsia"/>
          <w:b/>
          <w:bCs/>
          <w:i/>
          <w:iCs/>
        </w:rPr>
        <w:t>M</w:t>
      </w:r>
      <w:r w:rsidRPr="004D46AC">
        <w:rPr>
          <w:rStyle w:val="30"/>
          <w:b/>
          <w:bCs/>
          <w:i/>
          <w:iCs/>
        </w:rPr>
        <w:t>odel</w:t>
      </w:r>
      <w:r w:rsidRPr="004D46AC">
        <w:rPr>
          <w:rStyle w:val="30"/>
          <w:rFonts w:eastAsiaTheme="minorEastAsia" w:hint="eastAsia"/>
          <w:b/>
          <w:bCs/>
          <w:i/>
          <w:iCs/>
        </w:rPr>
        <w:t xml:space="preserve"> (BNM)</w:t>
      </w:r>
    </w:p>
    <w:p w14:paraId="30DB646F" w14:textId="5771A1AE" w:rsidR="007075D9" w:rsidRPr="004D46AC" w:rsidRDefault="007075D9" w:rsidP="00B518F1">
      <w:r w:rsidRPr="004D46AC">
        <w:t xml:space="preserve">The BNM is a Directed Acyclic Graph (DAG) that represents probabilistic dependencies between variables through directed edges, allowing for causal structure analysis (Scutari, 2010). Unlike </w:t>
      </w:r>
      <w:r w:rsidRPr="004D46AC">
        <w:rPr>
          <w:rFonts w:hint="eastAsia"/>
        </w:rPr>
        <w:t>I</w:t>
      </w:r>
      <w:r w:rsidRPr="004D46AC">
        <w:t>M, which capture undirected conditional dependencies, BNM explicitly encodes parent-child relationships, offering a more mechanistically informed representation of</w:t>
      </w:r>
      <w:r w:rsidRPr="004D46AC">
        <w:rPr>
          <w:rFonts w:hint="eastAsia"/>
        </w:rPr>
        <w:t xml:space="preserve"> the </w:t>
      </w:r>
      <w:r w:rsidRPr="004D46AC">
        <w:t>at-risk</w:t>
      </w:r>
      <w:r w:rsidRPr="004D46AC">
        <w:rPr>
          <w:rFonts w:hint="eastAsia"/>
        </w:rPr>
        <w:t xml:space="preserve"> mental status</w:t>
      </w:r>
      <w:r w:rsidRPr="004D46AC">
        <w:t>.</w:t>
      </w:r>
      <w:r w:rsidRPr="004D46AC">
        <w:rPr>
          <w:rFonts w:hint="eastAsia"/>
        </w:rPr>
        <w:t xml:space="preserve"> </w:t>
      </w:r>
      <w:r w:rsidRPr="004D46AC">
        <w:t>The algorithms for BNM estimation and evaluation were selected based on model fit indices, including the Akaike Information Criterion (AIC)</w:t>
      </w:r>
      <w:r w:rsidRPr="004D46AC">
        <w:rPr>
          <w:rFonts w:hint="eastAsia"/>
        </w:rPr>
        <w:t xml:space="preserve"> and</w:t>
      </w:r>
      <w:r w:rsidRPr="004D46AC">
        <w:t xml:space="preserve"> Bayesian Information Criterion (BIC), to determine the optimal method.</w:t>
      </w:r>
      <w:r w:rsidRPr="004D46AC">
        <w:rPr>
          <w:rFonts w:hint="eastAsia"/>
        </w:rPr>
        <w:t xml:space="preserve"> </w:t>
      </w:r>
      <w:r w:rsidRPr="004D46AC">
        <w:t>The Custom Hybrid Structure Learning Approach, detailed below, integrated both Constraint-Based Learning (CBL) and Score-Based Learning (SBL), and demonstrated the strongest model fit (AIC = -32960.1, BIC = -33176.44).</w:t>
      </w:r>
      <w:r w:rsidRPr="004D46AC">
        <w:rPr>
          <w:rFonts w:hint="eastAsia"/>
        </w:rPr>
        <w:t xml:space="preserve"> </w:t>
      </w:r>
      <w:r w:rsidRPr="004D46AC">
        <w:t xml:space="preserve">CBL: The PC-stable algorithm, using Mutual Information (MI) as the conditional independence test, was employed to identify direct </w:t>
      </w:r>
      <w:r w:rsidRPr="004D46AC">
        <w:lastRenderedPageBreak/>
        <w:t>dependencies. This method was particularly suited for the binary nature of the data, as it efficiently captures nonlinear associations in discrete datasets. SBL: The Hill-Climbing (HC) algorithm was applied to refine the structure, optimizing the BIC score to ensure the best trade-off between model complexity and data likelihood</w:t>
      </w:r>
      <w:r w:rsidRPr="004D46AC">
        <w:rPr>
          <w:rFonts w:hint="eastAsia"/>
        </w:rPr>
        <w:t xml:space="preserve"> </w:t>
      </w:r>
      <w:r w:rsidRPr="004D46AC">
        <w:t>(Scutari, 2017).</w:t>
      </w:r>
      <w:r w:rsidRPr="004D46AC">
        <w:rPr>
          <w:rFonts w:hint="eastAsia"/>
        </w:rPr>
        <w:t xml:space="preserve"> </w:t>
      </w:r>
      <w:r w:rsidRPr="004D46AC">
        <w:t xml:space="preserve">To ensure the robustness of the estimated BN structure, we applied a bootstrapping procedure (N = 2,000 resamples), validating the stability of detected edges. </w:t>
      </w:r>
      <w:bookmarkStart w:id="253" w:name="OLE_LINK76"/>
      <w:r w:rsidRPr="004D46AC">
        <w:t>The final reported network retained only edges present in at least 70% of bootstrap samples, while directionality was considered stable if observed in ≥</w:t>
      </w:r>
      <w:r w:rsidRPr="004D46AC">
        <w:rPr>
          <w:rFonts w:hint="eastAsia"/>
        </w:rPr>
        <w:t xml:space="preserve"> </w:t>
      </w:r>
      <w:r w:rsidRPr="004D46AC">
        <w:t>60% of cases. Edges with directionality between 40-59% were interpreted as bidirectional, accounting for possible reciprocal influences in symptom relationships.</w:t>
      </w:r>
      <w:r w:rsidRPr="004D46AC">
        <w:rPr>
          <w:rFonts w:hint="eastAsia"/>
        </w:rPr>
        <w:t xml:space="preserve"> </w:t>
      </w:r>
      <w:bookmarkEnd w:id="253"/>
      <w:r w:rsidRPr="004D46AC">
        <w:t>Thi</w:t>
      </w:r>
      <w:r w:rsidRPr="004D46AC">
        <w:rPr>
          <w:rFonts w:hint="eastAsia"/>
        </w:rPr>
        <w:t>s</w:t>
      </w:r>
      <w:r w:rsidRPr="004D46AC">
        <w:t xml:space="preserve"> approach ensured that the final </w:t>
      </w:r>
      <w:r w:rsidRPr="004D46AC">
        <w:rPr>
          <w:rFonts w:hint="eastAsia"/>
        </w:rPr>
        <w:t>BNM</w:t>
      </w:r>
      <w:r w:rsidRPr="004D46AC">
        <w:t xml:space="preserve"> represents stable probabilistic dependencies, reducing the influence of sample-specific variations. Thus, only the bootstrapped structure is reported, as it provides an empirically justified and interpretable </w:t>
      </w:r>
      <w:r w:rsidRPr="004D46AC">
        <w:rPr>
          <w:rFonts w:hint="eastAsia"/>
        </w:rPr>
        <w:t xml:space="preserve">dynamics of at-risk states </w:t>
      </w:r>
      <w:r w:rsidRPr="004D46AC">
        <w:t>(Friedman et al., 1999).</w:t>
      </w:r>
    </w:p>
    <w:p w14:paraId="6BA8CD9D" w14:textId="77777777" w:rsidR="007075D9" w:rsidRPr="004D46AC" w:rsidRDefault="007075D9" w:rsidP="00B518F1">
      <w:pPr>
        <w:pStyle w:val="5"/>
        <w:rPr>
          <w:rFonts w:eastAsiaTheme="minorEastAsia"/>
        </w:rPr>
      </w:pPr>
      <w:r w:rsidRPr="004D46AC">
        <w:t>N</w:t>
      </w:r>
      <w:r w:rsidRPr="004D46AC">
        <w:rPr>
          <w:rFonts w:hint="eastAsia"/>
        </w:rPr>
        <w:t>etwork comparisons</w:t>
      </w:r>
      <w:r w:rsidRPr="004D46AC">
        <w:t xml:space="preserve"> test (NCT)</w:t>
      </w:r>
    </w:p>
    <w:p w14:paraId="45E4F154" w14:textId="77777777" w:rsidR="007075D9" w:rsidRPr="004D46AC" w:rsidRDefault="007075D9" w:rsidP="00B518F1">
      <w:pPr>
        <w:rPr>
          <w:b/>
          <w:bCs/>
        </w:rPr>
      </w:pPr>
      <w:r w:rsidRPr="004D46AC">
        <w:t>NCTs were performed to compare age and gender subgroups, with the hyperparameter gamma set to 0.25 to account for binary data</w:t>
      </w:r>
      <w:r w:rsidRPr="004D46AC">
        <w:rPr>
          <w:rFonts w:hint="eastAsia"/>
        </w:rPr>
        <w:t xml:space="preserve"> </w:t>
      </w:r>
      <w:r w:rsidRPr="004D46AC">
        <w:rPr>
          <w:noProof/>
        </w:rPr>
        <w:t>(van Borkulo et al., 2023)</w:t>
      </w:r>
      <w:r w:rsidRPr="004D46AC">
        <w:t>. Global strength (</w:t>
      </w:r>
      <w:r w:rsidRPr="004D46AC">
        <w:rPr>
          <w:i/>
          <w:iCs/>
        </w:rPr>
        <w:t>S</w:t>
      </w:r>
      <w:r w:rsidRPr="004D46AC">
        <w:rPr>
          <w:rFonts w:ascii="Cambria Math" w:hAnsi="Cambria Math" w:cs="Cambria Math"/>
          <w:i/>
          <w:iCs/>
        </w:rPr>
        <w:t>₀</w:t>
      </w:r>
      <w:r w:rsidRPr="004D46AC">
        <w:t>) and maximum edge difference (</w:t>
      </w:r>
      <w:r w:rsidRPr="004D46AC">
        <w:rPr>
          <w:i/>
          <w:iCs/>
        </w:rPr>
        <w:t>E</w:t>
      </w:r>
      <w:r w:rsidRPr="004D46AC">
        <w:t>) were assessed using 2,000 permutations. When either test yielded significant results, post hoc analyses with BH were conducted to examine specific edge differences and variations in node strength across subgroups.</w:t>
      </w:r>
    </w:p>
    <w:p w14:paraId="7B0AEF91" w14:textId="77777777" w:rsidR="007075D9" w:rsidRPr="004D46AC" w:rsidRDefault="007075D9" w:rsidP="00B518F1">
      <w:pPr>
        <w:pStyle w:val="3"/>
      </w:pPr>
      <w:r w:rsidRPr="004D46AC">
        <w:t>S</w:t>
      </w:r>
      <w:r w:rsidRPr="004D46AC">
        <w:rPr>
          <w:rFonts w:hint="eastAsia"/>
        </w:rPr>
        <w:t>tatistics and software</w:t>
      </w:r>
    </w:p>
    <w:p w14:paraId="6D957586" w14:textId="77777777" w:rsidR="007075D9" w:rsidRPr="004D46AC" w:rsidRDefault="007075D9" w:rsidP="00B518F1">
      <w:pPr>
        <w:ind w:firstLine="660"/>
        <w:rPr>
          <w:rFonts w:eastAsiaTheme="minorEastAsia"/>
        </w:rPr>
      </w:pPr>
      <w:r w:rsidRPr="004D46AC">
        <w:t>Descriptive statistics were reported for demographic variables and the TRACE questionnaire. Age, education level, and TRACE distress scores were summarised as means and standard deviations (</w:t>
      </w:r>
      <w:r w:rsidRPr="004D46AC">
        <w:rPr>
          <w:i/>
          <w:iCs/>
        </w:rPr>
        <w:t>M</w:t>
      </w:r>
      <w:r w:rsidRPr="004D46AC">
        <w:t> ± </w:t>
      </w:r>
      <w:r w:rsidRPr="004D46AC">
        <w:rPr>
          <w:i/>
          <w:iCs/>
        </w:rPr>
        <w:t>SD</w:t>
      </w:r>
      <w:r w:rsidRPr="004D46AC">
        <w:t>), while gender, ethnicity, and family history of mental illness were presented as proportions. Differences in TRACE distress scores between groups were assessed using the Wilcoxon rank-sum test, with p-values adjusted using the Benjamini</w:t>
      </w:r>
      <w:r w:rsidRPr="004D46AC">
        <w:rPr>
          <w:rFonts w:hint="eastAsia"/>
        </w:rPr>
        <w:t>-</w:t>
      </w:r>
      <w:r w:rsidRPr="004D46AC">
        <w:t xml:space="preserve">Hochberg method. All analyses were conducted in R. The psych and </w:t>
      </w:r>
      <w:proofErr w:type="spellStart"/>
      <w:r w:rsidRPr="004D46AC">
        <w:t>lavaan</w:t>
      </w:r>
      <w:proofErr w:type="spellEnd"/>
      <w:r w:rsidRPr="004D46AC">
        <w:t xml:space="preserve"> packages were used for psychometric analyses; </w:t>
      </w:r>
      <w:proofErr w:type="spellStart"/>
      <w:r w:rsidRPr="004D46AC">
        <w:t>bnlearn</w:t>
      </w:r>
      <w:proofErr w:type="spellEnd"/>
      <w:r w:rsidRPr="004D46AC">
        <w:t xml:space="preserve">, </w:t>
      </w:r>
      <w:proofErr w:type="spellStart"/>
      <w:r w:rsidRPr="004D46AC">
        <w:t>bootnet</w:t>
      </w:r>
      <w:proofErr w:type="spellEnd"/>
      <w:r w:rsidRPr="004D46AC">
        <w:t xml:space="preserve">, and </w:t>
      </w:r>
      <w:proofErr w:type="spellStart"/>
      <w:r w:rsidRPr="004D46AC">
        <w:t>qgraph</w:t>
      </w:r>
      <w:proofErr w:type="spellEnd"/>
      <w:r w:rsidRPr="004D46AC">
        <w:t xml:space="preserve"> were </w:t>
      </w:r>
      <w:r w:rsidRPr="004D46AC">
        <w:lastRenderedPageBreak/>
        <w:t xml:space="preserve">used for network estimation and visualisation; and the </w:t>
      </w:r>
      <w:proofErr w:type="spellStart"/>
      <w:r w:rsidRPr="004D46AC">
        <w:t>NetworkComparisonTest</w:t>
      </w:r>
      <w:proofErr w:type="spellEnd"/>
      <w:r w:rsidRPr="004D46AC">
        <w:t xml:space="preserve"> package was used to perform the NCT.</w:t>
      </w:r>
    </w:p>
    <w:p w14:paraId="19CA8C98" w14:textId="77777777" w:rsidR="007075D9" w:rsidRPr="004D46AC" w:rsidRDefault="007075D9" w:rsidP="00B518F1">
      <w:pPr>
        <w:ind w:firstLine="660"/>
        <w:rPr>
          <w:rFonts w:eastAsiaTheme="minorEastAsia"/>
        </w:rPr>
      </w:pPr>
    </w:p>
    <w:p w14:paraId="69F6CC15" w14:textId="77777777" w:rsidR="00CC3324" w:rsidRPr="004D46AC" w:rsidRDefault="00CC3324" w:rsidP="00B518F1">
      <w:pPr>
        <w:ind w:firstLine="660"/>
        <w:rPr>
          <w:rFonts w:eastAsiaTheme="minorEastAsia"/>
        </w:rPr>
      </w:pPr>
    </w:p>
    <w:p w14:paraId="6F46ACEE" w14:textId="77777777" w:rsidR="00CC3324" w:rsidRPr="004D46AC" w:rsidRDefault="00CC3324" w:rsidP="00B518F1">
      <w:pPr>
        <w:ind w:firstLine="660"/>
        <w:rPr>
          <w:rFonts w:eastAsiaTheme="minorEastAsia"/>
        </w:rPr>
      </w:pPr>
    </w:p>
    <w:p w14:paraId="49F8F44B" w14:textId="77777777" w:rsidR="00CC3324" w:rsidRPr="004D46AC" w:rsidRDefault="00CC3324" w:rsidP="00B518F1">
      <w:pPr>
        <w:ind w:firstLine="660"/>
        <w:rPr>
          <w:rFonts w:eastAsiaTheme="minorEastAsia"/>
        </w:rPr>
      </w:pPr>
    </w:p>
    <w:p w14:paraId="219599B6" w14:textId="77777777" w:rsidR="00CC3324" w:rsidRPr="004D46AC" w:rsidRDefault="00CC3324" w:rsidP="00B518F1">
      <w:pPr>
        <w:ind w:firstLine="660"/>
        <w:rPr>
          <w:rFonts w:eastAsiaTheme="minorEastAsia"/>
        </w:rPr>
      </w:pPr>
    </w:p>
    <w:p w14:paraId="00D7B7E0" w14:textId="77777777" w:rsidR="00CC3324" w:rsidRPr="004D46AC" w:rsidRDefault="00CC3324" w:rsidP="00B518F1">
      <w:pPr>
        <w:ind w:firstLine="660"/>
        <w:rPr>
          <w:rFonts w:eastAsiaTheme="minorEastAsia"/>
        </w:rPr>
      </w:pPr>
    </w:p>
    <w:p w14:paraId="0458525A" w14:textId="77777777" w:rsidR="00CC3324" w:rsidRPr="004D46AC" w:rsidRDefault="00CC3324" w:rsidP="00B518F1">
      <w:pPr>
        <w:ind w:firstLine="660"/>
        <w:rPr>
          <w:rFonts w:eastAsiaTheme="minorEastAsia"/>
        </w:rPr>
      </w:pPr>
    </w:p>
    <w:p w14:paraId="1AF82AB5" w14:textId="77777777" w:rsidR="00CC3324" w:rsidRPr="004D46AC" w:rsidRDefault="00CC3324" w:rsidP="00B518F1">
      <w:pPr>
        <w:ind w:firstLine="660"/>
        <w:rPr>
          <w:rFonts w:eastAsiaTheme="minorEastAsia"/>
        </w:rPr>
      </w:pPr>
    </w:p>
    <w:p w14:paraId="58D957B5" w14:textId="77777777" w:rsidR="00CC3324" w:rsidRPr="004D46AC" w:rsidRDefault="00CC3324" w:rsidP="00B518F1">
      <w:pPr>
        <w:ind w:firstLine="660"/>
        <w:rPr>
          <w:rFonts w:eastAsiaTheme="minorEastAsia"/>
        </w:rPr>
      </w:pPr>
    </w:p>
    <w:p w14:paraId="22F7B680" w14:textId="77777777" w:rsidR="00CC3324" w:rsidRPr="004D46AC" w:rsidRDefault="00CC3324" w:rsidP="00B518F1">
      <w:pPr>
        <w:ind w:firstLine="660"/>
        <w:rPr>
          <w:rFonts w:eastAsiaTheme="minorEastAsia"/>
        </w:rPr>
      </w:pPr>
    </w:p>
    <w:p w14:paraId="787E5470" w14:textId="77777777" w:rsidR="00CC3324" w:rsidRPr="004D46AC" w:rsidRDefault="00CC3324" w:rsidP="00B518F1">
      <w:pPr>
        <w:ind w:firstLine="660"/>
        <w:rPr>
          <w:rFonts w:eastAsiaTheme="minorEastAsia"/>
        </w:rPr>
      </w:pPr>
    </w:p>
    <w:p w14:paraId="56DC685A" w14:textId="77777777" w:rsidR="00CC3324" w:rsidRPr="004D46AC" w:rsidRDefault="00CC3324" w:rsidP="00B518F1">
      <w:pPr>
        <w:ind w:firstLine="660"/>
        <w:rPr>
          <w:rFonts w:eastAsiaTheme="minorEastAsia"/>
        </w:rPr>
      </w:pPr>
    </w:p>
    <w:p w14:paraId="5B433645" w14:textId="77777777" w:rsidR="00CC3324" w:rsidRPr="004D46AC" w:rsidRDefault="00CC3324" w:rsidP="00B518F1">
      <w:pPr>
        <w:ind w:firstLine="660"/>
        <w:rPr>
          <w:rFonts w:eastAsiaTheme="minorEastAsia"/>
        </w:rPr>
      </w:pPr>
    </w:p>
    <w:p w14:paraId="3231C8D4" w14:textId="77777777" w:rsidR="00CC3324" w:rsidRPr="004D46AC" w:rsidRDefault="00CC3324" w:rsidP="00B518F1">
      <w:pPr>
        <w:ind w:firstLine="660"/>
        <w:rPr>
          <w:rFonts w:eastAsiaTheme="minorEastAsia"/>
        </w:rPr>
      </w:pPr>
    </w:p>
    <w:p w14:paraId="2BB97441" w14:textId="77777777" w:rsidR="00CC3324" w:rsidRPr="004D46AC" w:rsidRDefault="00CC3324" w:rsidP="00B518F1">
      <w:pPr>
        <w:ind w:firstLine="660"/>
        <w:rPr>
          <w:rFonts w:eastAsiaTheme="minorEastAsia"/>
        </w:rPr>
      </w:pPr>
    </w:p>
    <w:p w14:paraId="03D75FA8" w14:textId="77777777" w:rsidR="00CC3324" w:rsidRPr="004D46AC" w:rsidRDefault="00CC3324" w:rsidP="00B518F1">
      <w:pPr>
        <w:ind w:firstLine="660"/>
        <w:rPr>
          <w:rFonts w:eastAsiaTheme="minorEastAsia"/>
        </w:rPr>
      </w:pPr>
    </w:p>
    <w:p w14:paraId="741CD09F" w14:textId="77777777" w:rsidR="00CC3324" w:rsidRPr="004D46AC" w:rsidRDefault="00CC3324" w:rsidP="00B518F1">
      <w:pPr>
        <w:ind w:firstLine="660"/>
        <w:rPr>
          <w:rFonts w:eastAsiaTheme="minorEastAsia"/>
        </w:rPr>
      </w:pPr>
    </w:p>
    <w:p w14:paraId="38B26775" w14:textId="77777777" w:rsidR="00CC3324" w:rsidRPr="004D46AC" w:rsidRDefault="00CC3324" w:rsidP="00B518F1">
      <w:pPr>
        <w:ind w:firstLine="660"/>
        <w:rPr>
          <w:rFonts w:eastAsiaTheme="minorEastAsia"/>
        </w:rPr>
      </w:pPr>
    </w:p>
    <w:p w14:paraId="2A9B050C" w14:textId="77777777" w:rsidR="00CC3324" w:rsidRPr="004D46AC" w:rsidRDefault="00CC3324" w:rsidP="00B518F1">
      <w:pPr>
        <w:ind w:firstLine="660"/>
        <w:rPr>
          <w:rFonts w:eastAsiaTheme="minorEastAsia"/>
        </w:rPr>
      </w:pPr>
    </w:p>
    <w:p w14:paraId="168ED370" w14:textId="77777777" w:rsidR="00CC3324" w:rsidRPr="004D46AC" w:rsidRDefault="00CC3324" w:rsidP="00B518F1">
      <w:pPr>
        <w:ind w:firstLine="660"/>
        <w:rPr>
          <w:rFonts w:eastAsiaTheme="minorEastAsia"/>
        </w:rPr>
      </w:pPr>
    </w:p>
    <w:p w14:paraId="0DC07391" w14:textId="77777777" w:rsidR="00CC3324" w:rsidRPr="004D46AC" w:rsidRDefault="00CC3324" w:rsidP="00B518F1">
      <w:pPr>
        <w:ind w:firstLine="660"/>
        <w:rPr>
          <w:rFonts w:eastAsiaTheme="minorEastAsia"/>
        </w:rPr>
      </w:pPr>
    </w:p>
    <w:p w14:paraId="1D8130EB" w14:textId="77777777" w:rsidR="00CC3324" w:rsidRPr="004D46AC" w:rsidRDefault="00CC3324" w:rsidP="00B518F1">
      <w:pPr>
        <w:ind w:firstLine="660"/>
        <w:rPr>
          <w:rFonts w:eastAsiaTheme="minorEastAsia"/>
        </w:rPr>
      </w:pPr>
    </w:p>
    <w:p w14:paraId="507CB49A" w14:textId="77777777" w:rsidR="00CC3324" w:rsidRPr="004D46AC" w:rsidRDefault="00CC3324" w:rsidP="00B518F1">
      <w:pPr>
        <w:ind w:firstLine="660"/>
        <w:rPr>
          <w:rFonts w:eastAsiaTheme="minorEastAsia"/>
        </w:rPr>
      </w:pPr>
    </w:p>
    <w:p w14:paraId="1659E6D1" w14:textId="77777777" w:rsidR="00CC3324" w:rsidRPr="004D46AC" w:rsidRDefault="00CC3324" w:rsidP="00B518F1">
      <w:pPr>
        <w:ind w:firstLine="660"/>
        <w:rPr>
          <w:rFonts w:eastAsiaTheme="minorEastAsia"/>
        </w:rPr>
      </w:pPr>
    </w:p>
    <w:p w14:paraId="7CDCC25F" w14:textId="77777777" w:rsidR="00CC3324" w:rsidRPr="004D46AC" w:rsidRDefault="00CC3324" w:rsidP="00B518F1">
      <w:pPr>
        <w:ind w:firstLine="660"/>
        <w:rPr>
          <w:rFonts w:eastAsiaTheme="minorEastAsia"/>
        </w:rPr>
      </w:pPr>
    </w:p>
    <w:p w14:paraId="0A8060E3" w14:textId="77777777" w:rsidR="007075D9" w:rsidRPr="004D46AC" w:rsidRDefault="007075D9" w:rsidP="00B518F1">
      <w:pPr>
        <w:pStyle w:val="2"/>
      </w:pPr>
      <w:bookmarkStart w:id="254" w:name="_Toc219888784"/>
      <w:r w:rsidRPr="004D46AC">
        <w:lastRenderedPageBreak/>
        <w:t>R</w:t>
      </w:r>
      <w:r w:rsidRPr="004D46AC">
        <w:rPr>
          <w:rFonts w:hint="eastAsia"/>
        </w:rPr>
        <w:t>esults</w:t>
      </w:r>
      <w:bookmarkEnd w:id="254"/>
    </w:p>
    <w:p w14:paraId="30657929" w14:textId="3EF9361E" w:rsidR="009264C5" w:rsidRPr="004D46AC" w:rsidRDefault="007075D9" w:rsidP="00CC3324">
      <w:pPr>
        <w:rPr>
          <w:rFonts w:eastAsiaTheme="minorEastAsia"/>
        </w:rPr>
      </w:pPr>
      <w:r w:rsidRPr="004D46AC">
        <w:t xml:space="preserve">Based on the criteria for different at-risk mental states, we selected up to three questions to correspond to each symptom domain. 212 candidate items were identified from 28 questionnaires. 71 items passed the face-validity and linguistic-quality checks and were rephrased in the first person and past tense to align with the style of the well-established PQ-16. These items were then reviewed by clinicians, young people, and individuals with lived experience of mental health difficulties to assess readability and clinical appropriateness. Following this review, 37 items were retained for initial psychometric testing, which are detailed in Table </w:t>
      </w:r>
      <w:r w:rsidRPr="004D46AC">
        <w:rPr>
          <w:rFonts w:hint="eastAsia"/>
        </w:rPr>
        <w:t>5.</w:t>
      </w:r>
      <w:r w:rsidRPr="004D46AC">
        <w:t xml:space="preserve">2. </w:t>
      </w:r>
    </w:p>
    <w:p w14:paraId="3CB91AB4" w14:textId="77777777" w:rsidR="00CC3324" w:rsidRPr="004D46AC" w:rsidRDefault="00CC3324" w:rsidP="00CC3324">
      <w:pPr>
        <w:rPr>
          <w:rFonts w:eastAsiaTheme="minorEastAsia"/>
        </w:rPr>
      </w:pPr>
    </w:p>
    <w:p w14:paraId="0BA760DB" w14:textId="00CF9093" w:rsidR="004725A0" w:rsidRPr="004D46AC" w:rsidRDefault="009264C5" w:rsidP="004725A0">
      <w:pPr>
        <w:pStyle w:val="afff0"/>
        <w:ind w:firstLine="0"/>
        <w:rPr>
          <w:rFonts w:eastAsiaTheme="minorEastAsia"/>
          <w:b/>
          <w:bCs/>
          <w:i w:val="0"/>
          <w:iCs w:val="0"/>
          <w:color w:val="auto"/>
          <w:sz w:val="22"/>
          <w:szCs w:val="22"/>
        </w:rPr>
      </w:pPr>
      <w:bookmarkStart w:id="255" w:name="_Toc219883865"/>
      <w:bookmarkStart w:id="256" w:name="_Toc219870617"/>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bookmarkEnd w:id="255"/>
      <w:r w:rsidR="004725A0" w:rsidRPr="004D46AC">
        <w:rPr>
          <w:b/>
          <w:bCs/>
          <w:i w:val="0"/>
          <w:iCs w:val="0"/>
          <w:color w:val="auto"/>
          <w:sz w:val="22"/>
          <w:szCs w:val="22"/>
        </w:rPr>
        <w:fldChar w:fldCharType="end"/>
      </w:r>
      <w:bookmarkEnd w:id="256"/>
    </w:p>
    <w:p w14:paraId="3AB1FE13" w14:textId="38201956" w:rsidR="007075D9" w:rsidRPr="004D46AC" w:rsidRDefault="007075D9" w:rsidP="004725A0">
      <w:pPr>
        <w:pStyle w:val="afff0"/>
        <w:ind w:firstLine="0"/>
        <w:rPr>
          <w:rFonts w:eastAsiaTheme="minorEastAsia"/>
          <w:b/>
          <w:bCs/>
          <w:i w:val="0"/>
          <w:iCs w:val="0"/>
          <w:color w:val="auto"/>
          <w:sz w:val="22"/>
          <w:szCs w:val="22"/>
        </w:rPr>
      </w:pPr>
      <w:r w:rsidRPr="004D46AC">
        <w:rPr>
          <w:color w:val="auto"/>
          <w:sz w:val="22"/>
          <w:szCs w:val="22"/>
        </w:rPr>
        <w:t xml:space="preserve">Full </w:t>
      </w:r>
      <w:r w:rsidR="00D70BAE" w:rsidRPr="004D46AC">
        <w:rPr>
          <w:rFonts w:eastAsiaTheme="minorEastAsia" w:hint="eastAsia"/>
          <w:color w:val="auto"/>
          <w:sz w:val="22"/>
          <w:szCs w:val="22"/>
        </w:rPr>
        <w:t>i</w:t>
      </w:r>
      <w:r w:rsidRPr="004D46AC">
        <w:rPr>
          <w:color w:val="auto"/>
          <w:sz w:val="22"/>
          <w:szCs w:val="22"/>
        </w:rPr>
        <w:t xml:space="preserve">tem </w:t>
      </w:r>
      <w:r w:rsidR="00D70BAE" w:rsidRPr="004D46AC">
        <w:rPr>
          <w:rFonts w:eastAsiaTheme="minorEastAsia" w:hint="eastAsia"/>
          <w:color w:val="auto"/>
          <w:sz w:val="22"/>
          <w:szCs w:val="22"/>
        </w:rPr>
        <w:t>p</w:t>
      </w:r>
      <w:r w:rsidRPr="004D46AC">
        <w:rPr>
          <w:color w:val="auto"/>
          <w:sz w:val="22"/>
          <w:szCs w:val="22"/>
        </w:rPr>
        <w:t xml:space="preserve">ool </w:t>
      </w:r>
      <w:r w:rsidR="00D70BAE" w:rsidRPr="004D46AC">
        <w:rPr>
          <w:rFonts w:eastAsiaTheme="minorEastAsia" w:hint="eastAsia"/>
          <w:color w:val="auto"/>
          <w:sz w:val="22"/>
          <w:szCs w:val="22"/>
        </w:rPr>
        <w:t>p</w:t>
      </w:r>
      <w:r w:rsidRPr="004D46AC">
        <w:rPr>
          <w:color w:val="auto"/>
          <w:sz w:val="22"/>
          <w:szCs w:val="22"/>
        </w:rPr>
        <w:t xml:space="preserve">rior to </w:t>
      </w:r>
      <w:r w:rsidR="00D70BAE" w:rsidRPr="004D46AC">
        <w:rPr>
          <w:rFonts w:eastAsiaTheme="minorEastAsia" w:hint="eastAsia"/>
          <w:color w:val="auto"/>
          <w:sz w:val="22"/>
          <w:szCs w:val="22"/>
        </w:rPr>
        <w:t>p</w:t>
      </w:r>
      <w:r w:rsidRPr="004D46AC">
        <w:rPr>
          <w:color w:val="auto"/>
          <w:sz w:val="22"/>
          <w:szCs w:val="22"/>
        </w:rPr>
        <w:t xml:space="preserve">sychometric </w:t>
      </w:r>
      <w:r w:rsidR="00D70BAE" w:rsidRPr="004D46AC">
        <w:rPr>
          <w:rFonts w:eastAsiaTheme="minorEastAsia" w:hint="eastAsia"/>
          <w:color w:val="auto"/>
          <w:sz w:val="22"/>
          <w:szCs w:val="22"/>
        </w:rPr>
        <w:t>e</w:t>
      </w:r>
      <w:r w:rsidRPr="004D46AC">
        <w:rPr>
          <w:color w:val="auto"/>
          <w:sz w:val="22"/>
          <w:szCs w:val="22"/>
        </w:rPr>
        <w:t>valuation</w:t>
      </w:r>
    </w:p>
    <w:tbl>
      <w:tblPr>
        <w:tblStyle w:val="afc"/>
        <w:tblW w:w="0" w:type="auto"/>
        <w:tblLook w:val="04A0" w:firstRow="1" w:lastRow="0" w:firstColumn="1" w:lastColumn="0" w:noHBand="0" w:noVBand="1"/>
      </w:tblPr>
      <w:tblGrid>
        <w:gridCol w:w="952"/>
        <w:gridCol w:w="8064"/>
      </w:tblGrid>
      <w:tr w:rsidR="007075D9" w:rsidRPr="004D46AC" w14:paraId="132CECEC" w14:textId="77777777" w:rsidTr="00B518F1">
        <w:tc>
          <w:tcPr>
            <w:tcW w:w="959" w:type="dxa"/>
          </w:tcPr>
          <w:p w14:paraId="596CE4F6" w14:textId="77777777" w:rsidR="007075D9" w:rsidRPr="004D46AC" w:rsidRDefault="007075D9" w:rsidP="008A38FE">
            <w:pPr>
              <w:spacing w:line="360" w:lineRule="auto"/>
              <w:ind w:firstLine="0"/>
            </w:pPr>
            <w:r w:rsidRPr="004D46AC">
              <w:t xml:space="preserve">Item </w:t>
            </w:r>
          </w:p>
        </w:tc>
        <w:tc>
          <w:tcPr>
            <w:tcW w:w="8283" w:type="dxa"/>
          </w:tcPr>
          <w:p w14:paraId="419884D6" w14:textId="77777777" w:rsidR="007075D9" w:rsidRPr="004D46AC" w:rsidRDefault="007075D9" w:rsidP="008A38FE">
            <w:pPr>
              <w:spacing w:line="360" w:lineRule="auto"/>
              <w:ind w:firstLine="0"/>
            </w:pPr>
            <w:r w:rsidRPr="004D46AC">
              <w:t>Content</w:t>
            </w:r>
          </w:p>
        </w:tc>
      </w:tr>
      <w:tr w:rsidR="007075D9" w:rsidRPr="004D46AC" w14:paraId="5398C59A" w14:textId="77777777" w:rsidTr="00B518F1">
        <w:tc>
          <w:tcPr>
            <w:tcW w:w="959" w:type="dxa"/>
          </w:tcPr>
          <w:p w14:paraId="3D89D1C8" w14:textId="77777777" w:rsidR="007075D9" w:rsidRPr="004D46AC" w:rsidRDefault="007075D9" w:rsidP="008A38FE">
            <w:pPr>
              <w:spacing w:line="360" w:lineRule="auto"/>
              <w:ind w:firstLine="0"/>
            </w:pPr>
            <w:r w:rsidRPr="004D46AC">
              <w:t>TR1</w:t>
            </w:r>
          </w:p>
        </w:tc>
        <w:tc>
          <w:tcPr>
            <w:tcW w:w="8283" w:type="dxa"/>
          </w:tcPr>
          <w:p w14:paraId="6B41BA66" w14:textId="77777777" w:rsidR="007075D9" w:rsidRPr="004D46AC" w:rsidRDefault="007075D9" w:rsidP="008A38FE">
            <w:pPr>
              <w:spacing w:line="360" w:lineRule="auto"/>
              <w:ind w:firstLine="0"/>
            </w:pPr>
            <w:r w:rsidRPr="004D46AC">
              <w:t xml:space="preserve">I have </w:t>
            </w:r>
            <w:proofErr w:type="gramStart"/>
            <w:r w:rsidRPr="004D46AC">
              <w:t>had motivation</w:t>
            </w:r>
            <w:proofErr w:type="gramEnd"/>
            <w:r w:rsidRPr="004D46AC">
              <w:t xml:space="preserve"> to do things.</w:t>
            </w:r>
          </w:p>
        </w:tc>
      </w:tr>
      <w:tr w:rsidR="007075D9" w:rsidRPr="004D46AC" w14:paraId="56415D12" w14:textId="77777777" w:rsidTr="00B518F1">
        <w:tc>
          <w:tcPr>
            <w:tcW w:w="959" w:type="dxa"/>
          </w:tcPr>
          <w:p w14:paraId="26E18A2D" w14:textId="77777777" w:rsidR="007075D9" w:rsidRPr="004D46AC" w:rsidRDefault="007075D9" w:rsidP="008A38FE">
            <w:pPr>
              <w:spacing w:line="360" w:lineRule="auto"/>
              <w:ind w:firstLine="0"/>
            </w:pPr>
            <w:r w:rsidRPr="004D46AC">
              <w:t>TR2</w:t>
            </w:r>
          </w:p>
        </w:tc>
        <w:tc>
          <w:tcPr>
            <w:tcW w:w="8283" w:type="dxa"/>
          </w:tcPr>
          <w:p w14:paraId="357EA309" w14:textId="77777777" w:rsidR="007075D9" w:rsidRPr="004D46AC" w:rsidRDefault="007075D9" w:rsidP="008A38FE">
            <w:pPr>
              <w:spacing w:line="360" w:lineRule="auto"/>
              <w:ind w:firstLine="0"/>
            </w:pPr>
            <w:r w:rsidRPr="004D46AC">
              <w:t>There have been times when I was so restless that it was impossible for me to sit still.</w:t>
            </w:r>
          </w:p>
        </w:tc>
      </w:tr>
      <w:tr w:rsidR="007075D9" w:rsidRPr="004D46AC" w14:paraId="278FAADE" w14:textId="77777777" w:rsidTr="00B518F1">
        <w:tc>
          <w:tcPr>
            <w:tcW w:w="959" w:type="dxa"/>
          </w:tcPr>
          <w:p w14:paraId="249C5C59" w14:textId="77777777" w:rsidR="007075D9" w:rsidRPr="004D46AC" w:rsidRDefault="007075D9" w:rsidP="008A38FE">
            <w:pPr>
              <w:spacing w:line="360" w:lineRule="auto"/>
              <w:ind w:firstLine="0"/>
            </w:pPr>
            <w:r w:rsidRPr="004D46AC">
              <w:t>TR3</w:t>
            </w:r>
          </w:p>
        </w:tc>
        <w:tc>
          <w:tcPr>
            <w:tcW w:w="8283" w:type="dxa"/>
          </w:tcPr>
          <w:p w14:paraId="1D8F8FE3" w14:textId="77777777" w:rsidR="007075D9" w:rsidRPr="004D46AC" w:rsidRDefault="007075D9" w:rsidP="008A38FE">
            <w:pPr>
              <w:spacing w:line="360" w:lineRule="auto"/>
              <w:ind w:firstLine="0"/>
            </w:pPr>
            <w:r w:rsidRPr="004D46AC">
              <w:t>I have behaved impulsively and later regretted it.</w:t>
            </w:r>
          </w:p>
        </w:tc>
      </w:tr>
      <w:tr w:rsidR="007075D9" w:rsidRPr="004D46AC" w14:paraId="06DE8A1C" w14:textId="77777777" w:rsidTr="00B518F1">
        <w:tc>
          <w:tcPr>
            <w:tcW w:w="959" w:type="dxa"/>
          </w:tcPr>
          <w:p w14:paraId="4D9AD15A" w14:textId="77777777" w:rsidR="007075D9" w:rsidRPr="004D46AC" w:rsidRDefault="007075D9" w:rsidP="008A38FE">
            <w:pPr>
              <w:spacing w:line="360" w:lineRule="auto"/>
              <w:ind w:firstLine="0"/>
            </w:pPr>
            <w:r w:rsidRPr="004D46AC">
              <w:t>TR4</w:t>
            </w:r>
          </w:p>
        </w:tc>
        <w:tc>
          <w:tcPr>
            <w:tcW w:w="8283" w:type="dxa"/>
          </w:tcPr>
          <w:p w14:paraId="475E4735" w14:textId="77777777" w:rsidR="007075D9" w:rsidRPr="004D46AC" w:rsidRDefault="007075D9" w:rsidP="008A38FE">
            <w:pPr>
              <w:spacing w:line="360" w:lineRule="auto"/>
              <w:ind w:firstLine="0"/>
            </w:pPr>
            <w:r w:rsidRPr="004D46AC">
              <w:t>I have had been interested in getting to know other people</w:t>
            </w:r>
          </w:p>
        </w:tc>
      </w:tr>
      <w:tr w:rsidR="007075D9" w:rsidRPr="004D46AC" w14:paraId="23DEC9A1" w14:textId="77777777" w:rsidTr="00B518F1">
        <w:tc>
          <w:tcPr>
            <w:tcW w:w="959" w:type="dxa"/>
          </w:tcPr>
          <w:p w14:paraId="2264FD16" w14:textId="77777777" w:rsidR="007075D9" w:rsidRPr="004D46AC" w:rsidRDefault="007075D9" w:rsidP="008A38FE">
            <w:pPr>
              <w:spacing w:line="360" w:lineRule="auto"/>
              <w:ind w:firstLine="0"/>
            </w:pPr>
            <w:r w:rsidRPr="004D46AC">
              <w:t>TR5</w:t>
            </w:r>
          </w:p>
        </w:tc>
        <w:tc>
          <w:tcPr>
            <w:tcW w:w="8283" w:type="dxa"/>
          </w:tcPr>
          <w:p w14:paraId="174DEF37" w14:textId="77777777" w:rsidR="007075D9" w:rsidRPr="004D46AC" w:rsidRDefault="007075D9" w:rsidP="008A38FE">
            <w:pPr>
              <w:spacing w:line="360" w:lineRule="auto"/>
              <w:ind w:firstLine="0"/>
            </w:pPr>
            <w:r w:rsidRPr="004D46AC">
              <w:t>I have often found that my thoughts were racing.</w:t>
            </w:r>
          </w:p>
        </w:tc>
      </w:tr>
      <w:tr w:rsidR="007075D9" w:rsidRPr="004D46AC" w14:paraId="5F0317E0" w14:textId="77777777" w:rsidTr="00B518F1">
        <w:tc>
          <w:tcPr>
            <w:tcW w:w="959" w:type="dxa"/>
          </w:tcPr>
          <w:p w14:paraId="34E9E541" w14:textId="77777777" w:rsidR="007075D9" w:rsidRPr="004D46AC" w:rsidRDefault="007075D9" w:rsidP="008A38FE">
            <w:pPr>
              <w:spacing w:line="360" w:lineRule="auto"/>
              <w:ind w:firstLine="0"/>
            </w:pPr>
            <w:r w:rsidRPr="004D46AC">
              <w:t>TR6</w:t>
            </w:r>
          </w:p>
        </w:tc>
        <w:tc>
          <w:tcPr>
            <w:tcW w:w="8283" w:type="dxa"/>
          </w:tcPr>
          <w:p w14:paraId="0C0CB832" w14:textId="77777777" w:rsidR="007075D9" w:rsidRPr="004D46AC" w:rsidRDefault="007075D9" w:rsidP="008A38FE">
            <w:pPr>
              <w:spacing w:line="360" w:lineRule="auto"/>
              <w:ind w:firstLine="0"/>
            </w:pPr>
            <w:r w:rsidRPr="004D46AC">
              <w:t>I have heard sounds that were not there.</w:t>
            </w:r>
          </w:p>
        </w:tc>
      </w:tr>
      <w:tr w:rsidR="007075D9" w:rsidRPr="004D46AC" w14:paraId="25941255" w14:textId="77777777" w:rsidTr="00B518F1">
        <w:tc>
          <w:tcPr>
            <w:tcW w:w="959" w:type="dxa"/>
          </w:tcPr>
          <w:p w14:paraId="14B7D1AE" w14:textId="77777777" w:rsidR="007075D9" w:rsidRPr="004D46AC" w:rsidRDefault="007075D9" w:rsidP="008A38FE">
            <w:pPr>
              <w:spacing w:line="360" w:lineRule="auto"/>
              <w:ind w:firstLine="0"/>
            </w:pPr>
            <w:r w:rsidRPr="004D46AC">
              <w:t>TR7</w:t>
            </w:r>
          </w:p>
        </w:tc>
        <w:tc>
          <w:tcPr>
            <w:tcW w:w="8283" w:type="dxa"/>
          </w:tcPr>
          <w:p w14:paraId="6AF3C9DD" w14:textId="77777777" w:rsidR="007075D9" w:rsidRPr="004D46AC" w:rsidRDefault="007075D9" w:rsidP="008A38FE">
            <w:pPr>
              <w:spacing w:line="360" w:lineRule="auto"/>
              <w:ind w:firstLine="0"/>
            </w:pPr>
            <w:r w:rsidRPr="004D46AC">
              <w:t>During the last month, my mood became extremely low for a period of a few days.</w:t>
            </w:r>
          </w:p>
        </w:tc>
      </w:tr>
      <w:tr w:rsidR="007075D9" w:rsidRPr="004D46AC" w14:paraId="531BAA63" w14:textId="77777777" w:rsidTr="00B518F1">
        <w:tc>
          <w:tcPr>
            <w:tcW w:w="959" w:type="dxa"/>
          </w:tcPr>
          <w:p w14:paraId="3C9001D9" w14:textId="77777777" w:rsidR="007075D9" w:rsidRPr="004D46AC" w:rsidRDefault="007075D9" w:rsidP="008A38FE">
            <w:pPr>
              <w:spacing w:line="360" w:lineRule="auto"/>
              <w:ind w:firstLine="0"/>
            </w:pPr>
            <w:bookmarkStart w:id="257" w:name="_Hlk214105828"/>
            <w:r w:rsidRPr="004D46AC">
              <w:t>TR8</w:t>
            </w:r>
          </w:p>
        </w:tc>
        <w:tc>
          <w:tcPr>
            <w:tcW w:w="8283" w:type="dxa"/>
          </w:tcPr>
          <w:p w14:paraId="7BA3B9CB" w14:textId="77777777" w:rsidR="007075D9" w:rsidRPr="004D46AC" w:rsidRDefault="007075D9" w:rsidP="008A38FE">
            <w:pPr>
              <w:spacing w:line="360" w:lineRule="auto"/>
              <w:ind w:firstLine="0"/>
            </w:pPr>
            <w:r w:rsidRPr="004D46AC">
              <w:t>Somebody who I thought was going to be very special quickly turned out to be a huge disappointment.</w:t>
            </w:r>
          </w:p>
        </w:tc>
      </w:tr>
      <w:bookmarkEnd w:id="257"/>
      <w:tr w:rsidR="007075D9" w:rsidRPr="004D46AC" w14:paraId="25941BCA" w14:textId="77777777" w:rsidTr="00B518F1">
        <w:tc>
          <w:tcPr>
            <w:tcW w:w="959" w:type="dxa"/>
          </w:tcPr>
          <w:p w14:paraId="67648BBA" w14:textId="77777777" w:rsidR="007075D9" w:rsidRPr="004D46AC" w:rsidRDefault="007075D9" w:rsidP="008A38FE">
            <w:pPr>
              <w:spacing w:line="360" w:lineRule="auto"/>
              <w:ind w:firstLine="0"/>
            </w:pPr>
            <w:r w:rsidRPr="004D46AC">
              <w:t>TR9</w:t>
            </w:r>
          </w:p>
        </w:tc>
        <w:tc>
          <w:tcPr>
            <w:tcW w:w="8283" w:type="dxa"/>
          </w:tcPr>
          <w:p w14:paraId="175150C4" w14:textId="77777777" w:rsidR="007075D9" w:rsidRPr="004D46AC" w:rsidRDefault="007075D9" w:rsidP="008A38FE">
            <w:pPr>
              <w:spacing w:line="360" w:lineRule="auto"/>
              <w:ind w:firstLine="0"/>
            </w:pPr>
            <w:r w:rsidRPr="004D46AC">
              <w:t>I have felt suddenly distracted by distant sounds that I am not normally aware of.</w:t>
            </w:r>
          </w:p>
        </w:tc>
      </w:tr>
      <w:tr w:rsidR="007075D9" w:rsidRPr="004D46AC" w14:paraId="5B270658" w14:textId="77777777" w:rsidTr="00B518F1">
        <w:tc>
          <w:tcPr>
            <w:tcW w:w="959" w:type="dxa"/>
          </w:tcPr>
          <w:p w14:paraId="3DFACAC8" w14:textId="77777777" w:rsidR="007075D9" w:rsidRPr="004D46AC" w:rsidRDefault="007075D9" w:rsidP="008A38FE">
            <w:pPr>
              <w:spacing w:line="360" w:lineRule="auto"/>
              <w:ind w:firstLine="0"/>
            </w:pPr>
            <w:r w:rsidRPr="004D46AC">
              <w:t>TR10</w:t>
            </w:r>
          </w:p>
        </w:tc>
        <w:tc>
          <w:tcPr>
            <w:tcW w:w="8283" w:type="dxa"/>
          </w:tcPr>
          <w:p w14:paraId="59422F8C" w14:textId="77777777" w:rsidR="007075D9" w:rsidRPr="004D46AC" w:rsidRDefault="007075D9" w:rsidP="008A38FE">
            <w:pPr>
              <w:spacing w:line="360" w:lineRule="auto"/>
              <w:ind w:firstLine="0"/>
            </w:pPr>
            <w:r w:rsidRPr="004D46AC">
              <w:t xml:space="preserve">I have been concerned that my closest friends or co-workers were not </w:t>
            </w:r>
            <w:proofErr w:type="gramStart"/>
            <w:r w:rsidRPr="004D46AC">
              <w:t>really loyal</w:t>
            </w:r>
            <w:proofErr w:type="gramEnd"/>
            <w:r w:rsidRPr="004D46AC">
              <w:t xml:space="preserve"> or trustworthy.</w:t>
            </w:r>
          </w:p>
        </w:tc>
      </w:tr>
      <w:tr w:rsidR="007075D9" w:rsidRPr="004D46AC" w14:paraId="2468BD08" w14:textId="77777777" w:rsidTr="00B518F1">
        <w:tc>
          <w:tcPr>
            <w:tcW w:w="959" w:type="dxa"/>
          </w:tcPr>
          <w:p w14:paraId="032B3ACF" w14:textId="77777777" w:rsidR="007075D9" w:rsidRPr="004D46AC" w:rsidRDefault="007075D9" w:rsidP="008A38FE">
            <w:pPr>
              <w:spacing w:line="360" w:lineRule="auto"/>
              <w:ind w:firstLine="0"/>
            </w:pPr>
            <w:r w:rsidRPr="004D46AC">
              <w:t>TR11</w:t>
            </w:r>
          </w:p>
        </w:tc>
        <w:tc>
          <w:tcPr>
            <w:tcW w:w="8283" w:type="dxa"/>
          </w:tcPr>
          <w:p w14:paraId="2C7BCCB3" w14:textId="77777777" w:rsidR="007075D9" w:rsidRPr="004D46AC" w:rsidRDefault="007075D9" w:rsidP="008A38FE">
            <w:pPr>
              <w:spacing w:line="360" w:lineRule="auto"/>
              <w:ind w:firstLine="0"/>
            </w:pPr>
            <w:r w:rsidRPr="004D46AC">
              <w:t>There have often been times when I had such an excess of energy that I felt little need to sleep at night.</w:t>
            </w:r>
          </w:p>
        </w:tc>
      </w:tr>
      <w:tr w:rsidR="007075D9" w:rsidRPr="004D46AC" w14:paraId="15781456" w14:textId="77777777" w:rsidTr="00B518F1">
        <w:tc>
          <w:tcPr>
            <w:tcW w:w="959" w:type="dxa"/>
          </w:tcPr>
          <w:p w14:paraId="6128A9C1" w14:textId="77777777" w:rsidR="007075D9" w:rsidRPr="004D46AC" w:rsidRDefault="007075D9" w:rsidP="008A38FE">
            <w:pPr>
              <w:spacing w:line="360" w:lineRule="auto"/>
              <w:ind w:firstLine="0"/>
            </w:pPr>
            <w:r w:rsidRPr="004D46AC">
              <w:t>TR12</w:t>
            </w:r>
          </w:p>
        </w:tc>
        <w:tc>
          <w:tcPr>
            <w:tcW w:w="8283" w:type="dxa"/>
          </w:tcPr>
          <w:p w14:paraId="700546C0" w14:textId="77777777" w:rsidR="007075D9" w:rsidRPr="004D46AC" w:rsidRDefault="007075D9" w:rsidP="008A38FE">
            <w:pPr>
              <w:spacing w:line="360" w:lineRule="auto"/>
              <w:ind w:firstLine="0"/>
            </w:pPr>
            <w:r w:rsidRPr="004D46AC">
              <w:t>I have found it easy to organise my thoughts or to find the right words.</w:t>
            </w:r>
          </w:p>
        </w:tc>
      </w:tr>
      <w:tr w:rsidR="007075D9" w:rsidRPr="004D46AC" w14:paraId="6AB313B0" w14:textId="77777777" w:rsidTr="00B518F1">
        <w:tc>
          <w:tcPr>
            <w:tcW w:w="959" w:type="dxa"/>
          </w:tcPr>
          <w:p w14:paraId="3AB0DFF7" w14:textId="77777777" w:rsidR="007075D9" w:rsidRPr="004D46AC" w:rsidRDefault="007075D9" w:rsidP="008A38FE">
            <w:pPr>
              <w:spacing w:line="360" w:lineRule="auto"/>
              <w:ind w:firstLine="0"/>
            </w:pPr>
            <w:r w:rsidRPr="004D46AC">
              <w:t>TR13</w:t>
            </w:r>
          </w:p>
        </w:tc>
        <w:tc>
          <w:tcPr>
            <w:tcW w:w="8283" w:type="dxa"/>
          </w:tcPr>
          <w:p w14:paraId="2E8CCD77" w14:textId="77777777" w:rsidR="007075D9" w:rsidRPr="004D46AC" w:rsidRDefault="007075D9" w:rsidP="008A38FE">
            <w:pPr>
              <w:spacing w:line="360" w:lineRule="auto"/>
              <w:ind w:firstLine="0"/>
            </w:pPr>
            <w:r w:rsidRPr="004D46AC">
              <w:t>I often got into excited moods where it was almost impossible for me to stop talking.</w:t>
            </w:r>
          </w:p>
        </w:tc>
      </w:tr>
      <w:tr w:rsidR="007075D9" w:rsidRPr="004D46AC" w14:paraId="40BBDCE0" w14:textId="77777777" w:rsidTr="00B518F1">
        <w:tc>
          <w:tcPr>
            <w:tcW w:w="959" w:type="dxa"/>
          </w:tcPr>
          <w:p w14:paraId="73072F62" w14:textId="77777777" w:rsidR="007075D9" w:rsidRPr="004D46AC" w:rsidRDefault="007075D9" w:rsidP="008A38FE">
            <w:pPr>
              <w:spacing w:line="360" w:lineRule="auto"/>
              <w:ind w:firstLine="0"/>
            </w:pPr>
            <w:r w:rsidRPr="004D46AC">
              <w:lastRenderedPageBreak/>
              <w:t>TR14</w:t>
            </w:r>
          </w:p>
        </w:tc>
        <w:tc>
          <w:tcPr>
            <w:tcW w:w="8283" w:type="dxa"/>
          </w:tcPr>
          <w:p w14:paraId="75B1CABE" w14:textId="77777777" w:rsidR="007075D9" w:rsidRPr="004D46AC" w:rsidRDefault="007075D9" w:rsidP="008A38FE">
            <w:pPr>
              <w:spacing w:line="360" w:lineRule="auto"/>
              <w:ind w:firstLine="0"/>
            </w:pPr>
            <w:r w:rsidRPr="004D46AC">
              <w:t>I often had moods where I felt so energetic and optimistic that I felt I could outperform almost anyone at anything.</w:t>
            </w:r>
          </w:p>
        </w:tc>
      </w:tr>
      <w:tr w:rsidR="007075D9" w:rsidRPr="004D46AC" w14:paraId="7CC12215" w14:textId="77777777" w:rsidTr="00B518F1">
        <w:tc>
          <w:tcPr>
            <w:tcW w:w="959" w:type="dxa"/>
          </w:tcPr>
          <w:p w14:paraId="02154EFA" w14:textId="77777777" w:rsidR="007075D9" w:rsidRPr="004D46AC" w:rsidRDefault="007075D9" w:rsidP="008A38FE">
            <w:pPr>
              <w:spacing w:line="360" w:lineRule="auto"/>
              <w:ind w:firstLine="0"/>
            </w:pPr>
            <w:r w:rsidRPr="004D46AC">
              <w:t>TR15</w:t>
            </w:r>
          </w:p>
        </w:tc>
        <w:tc>
          <w:tcPr>
            <w:tcW w:w="8283" w:type="dxa"/>
          </w:tcPr>
          <w:p w14:paraId="068378E2" w14:textId="77777777" w:rsidR="007075D9" w:rsidRPr="004D46AC" w:rsidRDefault="007075D9" w:rsidP="008A38FE">
            <w:pPr>
              <w:spacing w:line="360" w:lineRule="auto"/>
              <w:ind w:firstLine="0"/>
            </w:pPr>
            <w:r w:rsidRPr="004D46AC">
              <w:t>I have often felt empty.</w:t>
            </w:r>
          </w:p>
        </w:tc>
      </w:tr>
      <w:tr w:rsidR="007075D9" w:rsidRPr="004D46AC" w14:paraId="4A455255" w14:textId="77777777" w:rsidTr="00B518F1">
        <w:tc>
          <w:tcPr>
            <w:tcW w:w="959" w:type="dxa"/>
          </w:tcPr>
          <w:p w14:paraId="1845885E" w14:textId="77777777" w:rsidR="007075D9" w:rsidRPr="004D46AC" w:rsidRDefault="007075D9" w:rsidP="008A38FE">
            <w:pPr>
              <w:spacing w:line="360" w:lineRule="auto"/>
              <w:ind w:firstLine="0"/>
            </w:pPr>
            <w:r w:rsidRPr="004D46AC">
              <w:t>TR16</w:t>
            </w:r>
          </w:p>
        </w:tc>
        <w:tc>
          <w:tcPr>
            <w:tcW w:w="8283" w:type="dxa"/>
          </w:tcPr>
          <w:p w14:paraId="3E8D355F" w14:textId="77777777" w:rsidR="007075D9" w:rsidRPr="004D46AC" w:rsidRDefault="007075D9" w:rsidP="008A38FE">
            <w:pPr>
              <w:spacing w:line="360" w:lineRule="auto"/>
              <w:ind w:firstLine="0"/>
            </w:pPr>
            <w:r w:rsidRPr="004D46AC">
              <w:t>I have had periods of extreme happiness and high energy lasting several days or more.</w:t>
            </w:r>
          </w:p>
        </w:tc>
      </w:tr>
      <w:tr w:rsidR="007075D9" w:rsidRPr="004D46AC" w14:paraId="4FFB42C6" w14:textId="77777777" w:rsidTr="00B518F1">
        <w:tc>
          <w:tcPr>
            <w:tcW w:w="959" w:type="dxa"/>
          </w:tcPr>
          <w:p w14:paraId="60745208" w14:textId="77777777" w:rsidR="007075D9" w:rsidRPr="004D46AC" w:rsidRDefault="007075D9" w:rsidP="008A38FE">
            <w:pPr>
              <w:spacing w:line="360" w:lineRule="auto"/>
              <w:ind w:firstLine="0"/>
            </w:pPr>
            <w:r w:rsidRPr="004D46AC">
              <w:t>TR17</w:t>
            </w:r>
          </w:p>
        </w:tc>
        <w:tc>
          <w:tcPr>
            <w:tcW w:w="8283" w:type="dxa"/>
          </w:tcPr>
          <w:p w14:paraId="697BDDDC" w14:textId="77777777" w:rsidR="007075D9" w:rsidRPr="004D46AC" w:rsidRDefault="007075D9" w:rsidP="008A38FE">
            <w:pPr>
              <w:spacing w:line="360" w:lineRule="auto"/>
              <w:ind w:firstLine="0"/>
            </w:pPr>
            <w:r w:rsidRPr="004D46AC">
              <w:t>I have confused whether something I experienced was real or imaginary.</w:t>
            </w:r>
          </w:p>
        </w:tc>
      </w:tr>
      <w:tr w:rsidR="007075D9" w:rsidRPr="004D46AC" w14:paraId="26E565C3" w14:textId="77777777" w:rsidTr="00B518F1">
        <w:tc>
          <w:tcPr>
            <w:tcW w:w="959" w:type="dxa"/>
          </w:tcPr>
          <w:p w14:paraId="753D7773" w14:textId="77777777" w:rsidR="007075D9" w:rsidRPr="004D46AC" w:rsidRDefault="007075D9" w:rsidP="008A38FE">
            <w:pPr>
              <w:spacing w:line="360" w:lineRule="auto"/>
              <w:ind w:firstLine="0"/>
            </w:pPr>
            <w:r w:rsidRPr="004D46AC">
              <w:t>TR18</w:t>
            </w:r>
          </w:p>
        </w:tc>
        <w:tc>
          <w:tcPr>
            <w:tcW w:w="8283" w:type="dxa"/>
          </w:tcPr>
          <w:p w14:paraId="521C6898" w14:textId="77777777" w:rsidR="007075D9" w:rsidRPr="004D46AC" w:rsidRDefault="007075D9" w:rsidP="008A38FE">
            <w:pPr>
              <w:spacing w:line="360" w:lineRule="auto"/>
              <w:ind w:firstLine="0"/>
            </w:pPr>
            <w:r w:rsidRPr="004D46AC">
              <w:t>My familiar surroundings have occasionally appeared to be changed, unreal, or strange.</w:t>
            </w:r>
          </w:p>
        </w:tc>
      </w:tr>
      <w:tr w:rsidR="007075D9" w:rsidRPr="004D46AC" w14:paraId="0CFB37FA" w14:textId="77777777" w:rsidTr="00B518F1">
        <w:tc>
          <w:tcPr>
            <w:tcW w:w="959" w:type="dxa"/>
          </w:tcPr>
          <w:p w14:paraId="497DBBD0" w14:textId="77777777" w:rsidR="007075D9" w:rsidRPr="004D46AC" w:rsidRDefault="007075D9" w:rsidP="008A38FE">
            <w:pPr>
              <w:spacing w:line="360" w:lineRule="auto"/>
              <w:ind w:firstLine="0"/>
            </w:pPr>
            <w:r w:rsidRPr="004D46AC">
              <w:t>TR19</w:t>
            </w:r>
          </w:p>
        </w:tc>
        <w:tc>
          <w:tcPr>
            <w:tcW w:w="8283" w:type="dxa"/>
          </w:tcPr>
          <w:p w14:paraId="779AE975" w14:textId="77777777" w:rsidR="007075D9" w:rsidRPr="004D46AC" w:rsidRDefault="007075D9" w:rsidP="008A38FE">
            <w:pPr>
              <w:spacing w:line="360" w:lineRule="auto"/>
              <w:ind w:firstLine="0"/>
            </w:pPr>
            <w:r w:rsidRPr="004D46AC">
              <w:t>I have had periods lasting several days or more when I felt depressed or irritable, and then other periods of several days or more when I felt extremely high, elated, and overflowing with energy.</w:t>
            </w:r>
          </w:p>
        </w:tc>
      </w:tr>
      <w:tr w:rsidR="007075D9" w:rsidRPr="004D46AC" w14:paraId="3ED073EA" w14:textId="77777777" w:rsidTr="00B518F1">
        <w:tc>
          <w:tcPr>
            <w:tcW w:w="959" w:type="dxa"/>
          </w:tcPr>
          <w:p w14:paraId="1C9F18B6" w14:textId="77777777" w:rsidR="007075D9" w:rsidRPr="004D46AC" w:rsidRDefault="007075D9" w:rsidP="008A38FE">
            <w:pPr>
              <w:spacing w:line="360" w:lineRule="auto"/>
              <w:ind w:firstLine="0"/>
            </w:pPr>
            <w:r w:rsidRPr="004D46AC">
              <w:t>TR20</w:t>
            </w:r>
          </w:p>
        </w:tc>
        <w:tc>
          <w:tcPr>
            <w:tcW w:w="8283" w:type="dxa"/>
          </w:tcPr>
          <w:p w14:paraId="1E83BC03" w14:textId="77777777" w:rsidR="007075D9" w:rsidRPr="004D46AC" w:rsidRDefault="007075D9" w:rsidP="008A38FE">
            <w:pPr>
              <w:spacing w:line="360" w:lineRule="auto"/>
              <w:ind w:firstLine="0"/>
            </w:pPr>
            <w:r w:rsidRPr="004D46AC">
              <w:t>I did most of my work during brief periods of intense inspiration.</w:t>
            </w:r>
          </w:p>
        </w:tc>
      </w:tr>
      <w:tr w:rsidR="007075D9" w:rsidRPr="004D46AC" w14:paraId="5EA16415" w14:textId="77777777" w:rsidTr="00B518F1">
        <w:tc>
          <w:tcPr>
            <w:tcW w:w="959" w:type="dxa"/>
          </w:tcPr>
          <w:p w14:paraId="5DFBB405" w14:textId="77777777" w:rsidR="007075D9" w:rsidRPr="004D46AC" w:rsidRDefault="007075D9" w:rsidP="008A38FE">
            <w:pPr>
              <w:spacing w:line="360" w:lineRule="auto"/>
              <w:ind w:firstLine="0"/>
            </w:pPr>
            <w:r w:rsidRPr="004D46AC">
              <w:t>TR21</w:t>
            </w:r>
          </w:p>
        </w:tc>
        <w:tc>
          <w:tcPr>
            <w:tcW w:w="8283" w:type="dxa"/>
          </w:tcPr>
          <w:p w14:paraId="1C35FFC2" w14:textId="77777777" w:rsidR="007075D9" w:rsidRPr="004D46AC" w:rsidRDefault="007075D9" w:rsidP="008A38FE">
            <w:pPr>
              <w:spacing w:line="360" w:lineRule="auto"/>
              <w:ind w:firstLine="0"/>
            </w:pPr>
            <w:r w:rsidRPr="004D46AC">
              <w:t>There have been times when, although I was feeling unusually happy and intensely energetic, almost everything got on my nerves and made me irritable or angry (other than related to the menstrual cycle).</w:t>
            </w:r>
          </w:p>
        </w:tc>
      </w:tr>
      <w:tr w:rsidR="007075D9" w:rsidRPr="004D46AC" w14:paraId="640E8B2F" w14:textId="77777777" w:rsidTr="00B518F1">
        <w:tc>
          <w:tcPr>
            <w:tcW w:w="959" w:type="dxa"/>
          </w:tcPr>
          <w:p w14:paraId="708952B7" w14:textId="77777777" w:rsidR="007075D9" w:rsidRPr="004D46AC" w:rsidRDefault="007075D9" w:rsidP="008A38FE">
            <w:pPr>
              <w:spacing w:line="360" w:lineRule="auto"/>
              <w:ind w:firstLine="0"/>
            </w:pPr>
            <w:r w:rsidRPr="004D46AC">
              <w:t>TR22</w:t>
            </w:r>
          </w:p>
        </w:tc>
        <w:tc>
          <w:tcPr>
            <w:tcW w:w="8283" w:type="dxa"/>
          </w:tcPr>
          <w:p w14:paraId="5F37358F" w14:textId="77777777" w:rsidR="007075D9" w:rsidRPr="004D46AC" w:rsidRDefault="007075D9" w:rsidP="008A38FE">
            <w:pPr>
              <w:spacing w:line="360" w:lineRule="auto"/>
              <w:ind w:firstLine="0"/>
            </w:pPr>
            <w:r w:rsidRPr="004D46AC">
              <w:t>I have thought that I am very important or have abilities that are out of the ordinary.</w:t>
            </w:r>
          </w:p>
        </w:tc>
      </w:tr>
      <w:tr w:rsidR="007075D9" w:rsidRPr="004D46AC" w14:paraId="455BBE09" w14:textId="77777777" w:rsidTr="00B518F1">
        <w:tc>
          <w:tcPr>
            <w:tcW w:w="959" w:type="dxa"/>
          </w:tcPr>
          <w:p w14:paraId="1CFE7AEB" w14:textId="77777777" w:rsidR="007075D9" w:rsidRPr="004D46AC" w:rsidRDefault="007075D9" w:rsidP="008A38FE">
            <w:pPr>
              <w:spacing w:line="360" w:lineRule="auto"/>
              <w:ind w:firstLine="0"/>
            </w:pPr>
            <w:r w:rsidRPr="004D46AC">
              <w:t>TR23</w:t>
            </w:r>
          </w:p>
        </w:tc>
        <w:tc>
          <w:tcPr>
            <w:tcW w:w="8283" w:type="dxa"/>
          </w:tcPr>
          <w:p w14:paraId="69BE51F9" w14:textId="77777777" w:rsidR="007075D9" w:rsidRPr="004D46AC" w:rsidRDefault="007075D9" w:rsidP="008A38FE">
            <w:pPr>
              <w:spacing w:line="360" w:lineRule="auto"/>
              <w:ind w:firstLine="0"/>
            </w:pPr>
            <w:r w:rsidRPr="004D46AC">
              <w:t xml:space="preserve">When something bad happened, my mood changed very </w:t>
            </w:r>
            <w:proofErr w:type="gramStart"/>
            <w:r w:rsidRPr="004D46AC">
              <w:t>quickly</w:t>
            </w:r>
            <w:proofErr w:type="gramEnd"/>
            <w:r w:rsidRPr="004D46AC">
              <w:t xml:space="preserve"> and it took me a long time to calm down.</w:t>
            </w:r>
          </w:p>
        </w:tc>
      </w:tr>
      <w:tr w:rsidR="007075D9" w:rsidRPr="004D46AC" w14:paraId="2BEC8911" w14:textId="77777777" w:rsidTr="00B518F1">
        <w:tc>
          <w:tcPr>
            <w:tcW w:w="959" w:type="dxa"/>
          </w:tcPr>
          <w:p w14:paraId="6B962D6B" w14:textId="77777777" w:rsidR="007075D9" w:rsidRPr="004D46AC" w:rsidRDefault="007075D9" w:rsidP="008A38FE">
            <w:pPr>
              <w:spacing w:line="360" w:lineRule="auto"/>
              <w:ind w:firstLine="0"/>
            </w:pPr>
            <w:r w:rsidRPr="004D46AC">
              <w:t>TR24</w:t>
            </w:r>
          </w:p>
        </w:tc>
        <w:tc>
          <w:tcPr>
            <w:tcW w:w="8283" w:type="dxa"/>
          </w:tcPr>
          <w:p w14:paraId="7B594D04" w14:textId="77777777" w:rsidR="007075D9" w:rsidRPr="004D46AC" w:rsidRDefault="007075D9" w:rsidP="008A38FE">
            <w:pPr>
              <w:spacing w:line="360" w:lineRule="auto"/>
              <w:ind w:firstLine="0"/>
            </w:pPr>
            <w:r w:rsidRPr="004D46AC">
              <w:t>I have sometimes had too many thoughts going through my head without any connection between them.</w:t>
            </w:r>
          </w:p>
        </w:tc>
      </w:tr>
      <w:tr w:rsidR="007075D9" w:rsidRPr="004D46AC" w14:paraId="0CF5A8D2" w14:textId="77777777" w:rsidTr="00B518F1">
        <w:tc>
          <w:tcPr>
            <w:tcW w:w="959" w:type="dxa"/>
          </w:tcPr>
          <w:p w14:paraId="2C531955" w14:textId="77777777" w:rsidR="007075D9" w:rsidRPr="004D46AC" w:rsidRDefault="007075D9" w:rsidP="008A38FE">
            <w:pPr>
              <w:spacing w:line="360" w:lineRule="auto"/>
              <w:ind w:firstLine="0"/>
            </w:pPr>
            <w:r w:rsidRPr="004D46AC">
              <w:t>TR25</w:t>
            </w:r>
          </w:p>
        </w:tc>
        <w:tc>
          <w:tcPr>
            <w:tcW w:w="8283" w:type="dxa"/>
          </w:tcPr>
          <w:p w14:paraId="0AFFA8A6" w14:textId="77777777" w:rsidR="007075D9" w:rsidRPr="004D46AC" w:rsidRDefault="007075D9" w:rsidP="008A38FE">
            <w:pPr>
              <w:spacing w:line="360" w:lineRule="auto"/>
              <w:ind w:firstLine="0"/>
            </w:pPr>
            <w:r w:rsidRPr="004D46AC">
              <w:t>I have felt that everyday things had a special meaning just for me.</w:t>
            </w:r>
          </w:p>
        </w:tc>
      </w:tr>
      <w:tr w:rsidR="007075D9" w:rsidRPr="004D46AC" w14:paraId="7C6409C9" w14:textId="77777777" w:rsidTr="00B518F1">
        <w:tc>
          <w:tcPr>
            <w:tcW w:w="959" w:type="dxa"/>
          </w:tcPr>
          <w:p w14:paraId="475A42D3" w14:textId="77777777" w:rsidR="007075D9" w:rsidRPr="004D46AC" w:rsidRDefault="007075D9" w:rsidP="008A38FE">
            <w:pPr>
              <w:spacing w:line="360" w:lineRule="auto"/>
              <w:ind w:firstLine="0"/>
            </w:pPr>
            <w:r w:rsidRPr="004D46AC">
              <w:t>TR26</w:t>
            </w:r>
          </w:p>
        </w:tc>
        <w:tc>
          <w:tcPr>
            <w:tcW w:w="8283" w:type="dxa"/>
          </w:tcPr>
          <w:p w14:paraId="6CC27DE1" w14:textId="77777777" w:rsidR="007075D9" w:rsidRPr="004D46AC" w:rsidRDefault="007075D9" w:rsidP="008A38FE">
            <w:pPr>
              <w:spacing w:line="360" w:lineRule="auto"/>
              <w:ind w:firstLine="0"/>
            </w:pPr>
            <w:r w:rsidRPr="004D46AC">
              <w:t>I have often felt that I have no idea of who I am or that I have no identity.</w:t>
            </w:r>
          </w:p>
        </w:tc>
      </w:tr>
      <w:tr w:rsidR="007075D9" w:rsidRPr="004D46AC" w14:paraId="51F40D4E" w14:textId="77777777" w:rsidTr="00B518F1">
        <w:tc>
          <w:tcPr>
            <w:tcW w:w="959" w:type="dxa"/>
          </w:tcPr>
          <w:p w14:paraId="24D85756" w14:textId="77777777" w:rsidR="007075D9" w:rsidRPr="004D46AC" w:rsidRDefault="007075D9" w:rsidP="008A38FE">
            <w:pPr>
              <w:spacing w:line="360" w:lineRule="auto"/>
              <w:ind w:firstLine="0"/>
            </w:pPr>
            <w:r w:rsidRPr="004D46AC">
              <w:t>TR27</w:t>
            </w:r>
          </w:p>
        </w:tc>
        <w:tc>
          <w:tcPr>
            <w:tcW w:w="8283" w:type="dxa"/>
          </w:tcPr>
          <w:p w14:paraId="1A9B46B3" w14:textId="77777777" w:rsidR="007075D9" w:rsidRPr="004D46AC" w:rsidRDefault="007075D9" w:rsidP="008A38FE">
            <w:pPr>
              <w:spacing w:line="360" w:lineRule="auto"/>
              <w:ind w:firstLine="0"/>
            </w:pPr>
            <w:r w:rsidRPr="004D46AC">
              <w:t>I have had nothing to say or very little to say.</w:t>
            </w:r>
          </w:p>
        </w:tc>
      </w:tr>
      <w:tr w:rsidR="007075D9" w:rsidRPr="004D46AC" w14:paraId="5CF47D3C" w14:textId="77777777" w:rsidTr="00B518F1">
        <w:tc>
          <w:tcPr>
            <w:tcW w:w="959" w:type="dxa"/>
          </w:tcPr>
          <w:p w14:paraId="1AAF3FBB" w14:textId="77777777" w:rsidR="007075D9" w:rsidRPr="004D46AC" w:rsidRDefault="007075D9" w:rsidP="008A38FE">
            <w:pPr>
              <w:spacing w:line="360" w:lineRule="auto"/>
              <w:ind w:firstLine="0"/>
            </w:pPr>
            <w:r w:rsidRPr="004D46AC">
              <w:t>TR28</w:t>
            </w:r>
          </w:p>
        </w:tc>
        <w:tc>
          <w:tcPr>
            <w:tcW w:w="8283" w:type="dxa"/>
          </w:tcPr>
          <w:p w14:paraId="502CACF8" w14:textId="77777777" w:rsidR="007075D9" w:rsidRPr="004D46AC" w:rsidRDefault="007075D9" w:rsidP="008A38FE">
            <w:pPr>
              <w:spacing w:line="360" w:lineRule="auto"/>
              <w:ind w:firstLine="0"/>
            </w:pPr>
            <w:r w:rsidRPr="004D46AC">
              <w:t>I have got so angry, I have felt like I might lose control. If TRUE: "Anger Control Problems</w:t>
            </w:r>
          </w:p>
        </w:tc>
      </w:tr>
      <w:tr w:rsidR="007075D9" w:rsidRPr="004D46AC" w14:paraId="5A282BF8" w14:textId="77777777" w:rsidTr="00B518F1">
        <w:tc>
          <w:tcPr>
            <w:tcW w:w="959" w:type="dxa"/>
          </w:tcPr>
          <w:p w14:paraId="2A754A27" w14:textId="77777777" w:rsidR="007075D9" w:rsidRPr="004D46AC" w:rsidRDefault="007075D9" w:rsidP="008A38FE">
            <w:pPr>
              <w:spacing w:line="360" w:lineRule="auto"/>
              <w:ind w:firstLine="0"/>
            </w:pPr>
            <w:r w:rsidRPr="004D46AC">
              <w:t>TR29</w:t>
            </w:r>
          </w:p>
        </w:tc>
        <w:tc>
          <w:tcPr>
            <w:tcW w:w="8283" w:type="dxa"/>
          </w:tcPr>
          <w:p w14:paraId="70AA8E76" w14:textId="77777777" w:rsidR="007075D9" w:rsidRPr="004D46AC" w:rsidRDefault="007075D9" w:rsidP="008A38FE">
            <w:pPr>
              <w:spacing w:line="360" w:lineRule="auto"/>
              <w:ind w:firstLine="0"/>
            </w:pPr>
            <w:r w:rsidRPr="004D46AC">
              <w:t>I have mistaken shadows for people or noises for voices.</w:t>
            </w:r>
          </w:p>
        </w:tc>
      </w:tr>
      <w:tr w:rsidR="007075D9" w:rsidRPr="004D46AC" w14:paraId="03E5B107" w14:textId="77777777" w:rsidTr="00B518F1">
        <w:tc>
          <w:tcPr>
            <w:tcW w:w="959" w:type="dxa"/>
          </w:tcPr>
          <w:p w14:paraId="522BA089" w14:textId="77777777" w:rsidR="007075D9" w:rsidRPr="004D46AC" w:rsidRDefault="007075D9" w:rsidP="008A38FE">
            <w:pPr>
              <w:spacing w:line="360" w:lineRule="auto"/>
              <w:ind w:firstLine="0"/>
            </w:pPr>
            <w:r w:rsidRPr="004D46AC">
              <w:t>TR30</w:t>
            </w:r>
          </w:p>
        </w:tc>
        <w:tc>
          <w:tcPr>
            <w:tcW w:w="8283" w:type="dxa"/>
          </w:tcPr>
          <w:p w14:paraId="6EBA80A2" w14:textId="77777777" w:rsidR="007075D9" w:rsidRPr="004D46AC" w:rsidRDefault="007075D9" w:rsidP="008A38FE">
            <w:pPr>
              <w:spacing w:line="360" w:lineRule="auto"/>
              <w:ind w:firstLine="0"/>
            </w:pPr>
            <w:r w:rsidRPr="004D46AC">
              <w:t>I have often had a feeling that something strange and unusual is happening around me.</w:t>
            </w:r>
          </w:p>
        </w:tc>
      </w:tr>
      <w:tr w:rsidR="007075D9" w:rsidRPr="004D46AC" w14:paraId="4A595D27" w14:textId="77777777" w:rsidTr="00B518F1">
        <w:tc>
          <w:tcPr>
            <w:tcW w:w="959" w:type="dxa"/>
          </w:tcPr>
          <w:p w14:paraId="1DC51BDB" w14:textId="77777777" w:rsidR="007075D9" w:rsidRPr="004D46AC" w:rsidRDefault="007075D9" w:rsidP="008A38FE">
            <w:pPr>
              <w:spacing w:line="360" w:lineRule="auto"/>
              <w:ind w:firstLine="0"/>
            </w:pPr>
            <w:r w:rsidRPr="004D46AC">
              <w:t>TR31</w:t>
            </w:r>
          </w:p>
        </w:tc>
        <w:tc>
          <w:tcPr>
            <w:tcW w:w="8283" w:type="dxa"/>
          </w:tcPr>
          <w:p w14:paraId="2DCA70E2" w14:textId="77777777" w:rsidR="007075D9" w:rsidRPr="004D46AC" w:rsidRDefault="007075D9" w:rsidP="008A38FE">
            <w:pPr>
              <w:spacing w:line="360" w:lineRule="auto"/>
              <w:ind w:firstLine="0"/>
            </w:pPr>
            <w:r w:rsidRPr="004D46AC">
              <w:t>I have made desperate efforts to avoid feeling abandoned or being abandoned (e.g., repeatedly called someone to reassure myself that he or she still cared, begged them not to leave me, clung to them physically).</w:t>
            </w:r>
          </w:p>
        </w:tc>
      </w:tr>
      <w:tr w:rsidR="007075D9" w:rsidRPr="004D46AC" w14:paraId="3FD66E1C" w14:textId="77777777" w:rsidTr="00B518F1">
        <w:tc>
          <w:tcPr>
            <w:tcW w:w="959" w:type="dxa"/>
          </w:tcPr>
          <w:p w14:paraId="61576CD8" w14:textId="77777777" w:rsidR="007075D9" w:rsidRPr="004D46AC" w:rsidRDefault="007075D9" w:rsidP="008A38FE">
            <w:pPr>
              <w:spacing w:line="360" w:lineRule="auto"/>
              <w:ind w:firstLine="0"/>
            </w:pPr>
            <w:r w:rsidRPr="004D46AC">
              <w:t>TR32</w:t>
            </w:r>
          </w:p>
        </w:tc>
        <w:tc>
          <w:tcPr>
            <w:tcW w:w="8283" w:type="dxa"/>
          </w:tcPr>
          <w:p w14:paraId="71F785D7" w14:textId="77777777" w:rsidR="007075D9" w:rsidRPr="004D46AC" w:rsidRDefault="007075D9" w:rsidP="008A38FE">
            <w:pPr>
              <w:spacing w:line="360" w:lineRule="auto"/>
              <w:ind w:firstLine="0"/>
            </w:pPr>
            <w:r w:rsidRPr="004D46AC">
              <w:t>In the last month, I have engaged in very pleasurable but reckless and risky activities.</w:t>
            </w:r>
          </w:p>
        </w:tc>
      </w:tr>
      <w:tr w:rsidR="007075D9" w:rsidRPr="004D46AC" w14:paraId="638AE889" w14:textId="77777777" w:rsidTr="00B518F1">
        <w:tc>
          <w:tcPr>
            <w:tcW w:w="959" w:type="dxa"/>
          </w:tcPr>
          <w:p w14:paraId="204AFC52" w14:textId="77777777" w:rsidR="007075D9" w:rsidRPr="004D46AC" w:rsidRDefault="007075D9" w:rsidP="008A38FE">
            <w:pPr>
              <w:spacing w:line="360" w:lineRule="auto"/>
              <w:ind w:firstLine="0"/>
            </w:pPr>
            <w:r w:rsidRPr="004D46AC">
              <w:t>TR33</w:t>
            </w:r>
          </w:p>
        </w:tc>
        <w:tc>
          <w:tcPr>
            <w:tcW w:w="8283" w:type="dxa"/>
          </w:tcPr>
          <w:p w14:paraId="77BE8896" w14:textId="77777777" w:rsidR="007075D9" w:rsidRPr="004D46AC" w:rsidRDefault="007075D9" w:rsidP="008A38FE">
            <w:pPr>
              <w:spacing w:line="360" w:lineRule="auto"/>
              <w:ind w:firstLine="0"/>
            </w:pPr>
            <w:r w:rsidRPr="004D46AC">
              <w:t>I have mistaken shadows for people or noises for voices.</w:t>
            </w:r>
          </w:p>
        </w:tc>
      </w:tr>
      <w:tr w:rsidR="007075D9" w:rsidRPr="004D46AC" w14:paraId="693B92C8" w14:textId="77777777" w:rsidTr="00B518F1">
        <w:tc>
          <w:tcPr>
            <w:tcW w:w="959" w:type="dxa"/>
          </w:tcPr>
          <w:p w14:paraId="6307CE52" w14:textId="77777777" w:rsidR="007075D9" w:rsidRPr="004D46AC" w:rsidRDefault="007075D9" w:rsidP="008A38FE">
            <w:pPr>
              <w:spacing w:line="360" w:lineRule="auto"/>
              <w:ind w:firstLine="0"/>
            </w:pPr>
            <w:r w:rsidRPr="004D46AC">
              <w:t>TR34</w:t>
            </w:r>
          </w:p>
        </w:tc>
        <w:tc>
          <w:tcPr>
            <w:tcW w:w="8283" w:type="dxa"/>
          </w:tcPr>
          <w:p w14:paraId="3D8317F9" w14:textId="77777777" w:rsidR="007075D9" w:rsidRPr="004D46AC" w:rsidRDefault="007075D9" w:rsidP="008A38FE">
            <w:pPr>
              <w:spacing w:line="360" w:lineRule="auto"/>
              <w:ind w:firstLine="0"/>
            </w:pPr>
            <w:r w:rsidRPr="004D46AC">
              <w:t>I have felt emotionally numb.</w:t>
            </w:r>
          </w:p>
        </w:tc>
      </w:tr>
      <w:tr w:rsidR="007075D9" w:rsidRPr="004D46AC" w14:paraId="23C69A96" w14:textId="77777777" w:rsidTr="00B518F1">
        <w:tc>
          <w:tcPr>
            <w:tcW w:w="959" w:type="dxa"/>
          </w:tcPr>
          <w:p w14:paraId="2D7AEF01" w14:textId="77777777" w:rsidR="007075D9" w:rsidRPr="004D46AC" w:rsidRDefault="007075D9" w:rsidP="008A38FE">
            <w:pPr>
              <w:spacing w:line="360" w:lineRule="auto"/>
              <w:ind w:firstLine="0"/>
            </w:pPr>
            <w:r w:rsidRPr="004D46AC">
              <w:lastRenderedPageBreak/>
              <w:t>TR35</w:t>
            </w:r>
          </w:p>
        </w:tc>
        <w:tc>
          <w:tcPr>
            <w:tcW w:w="8283" w:type="dxa"/>
          </w:tcPr>
          <w:p w14:paraId="602FC5DD" w14:textId="77777777" w:rsidR="007075D9" w:rsidRPr="004D46AC" w:rsidRDefault="007075D9" w:rsidP="008A38FE">
            <w:pPr>
              <w:spacing w:line="360" w:lineRule="auto"/>
              <w:ind w:firstLine="0"/>
            </w:pPr>
            <w:r w:rsidRPr="004D46AC">
              <w:t>I have been preoccupied with unusual, magical, or supernatural things or ideas.</w:t>
            </w:r>
          </w:p>
        </w:tc>
      </w:tr>
      <w:tr w:rsidR="007075D9" w:rsidRPr="004D46AC" w14:paraId="2A03E879" w14:textId="77777777" w:rsidTr="00B518F1">
        <w:tc>
          <w:tcPr>
            <w:tcW w:w="959" w:type="dxa"/>
          </w:tcPr>
          <w:p w14:paraId="1525242B" w14:textId="77777777" w:rsidR="007075D9" w:rsidRPr="004D46AC" w:rsidRDefault="007075D9" w:rsidP="008A38FE">
            <w:pPr>
              <w:spacing w:line="360" w:lineRule="auto"/>
              <w:ind w:firstLine="0"/>
            </w:pPr>
            <w:r w:rsidRPr="004D46AC">
              <w:t>TR36</w:t>
            </w:r>
          </w:p>
        </w:tc>
        <w:tc>
          <w:tcPr>
            <w:tcW w:w="8283" w:type="dxa"/>
          </w:tcPr>
          <w:p w14:paraId="4CE93786" w14:textId="77777777" w:rsidR="007075D9" w:rsidRPr="004D46AC" w:rsidRDefault="007075D9" w:rsidP="008A38FE">
            <w:pPr>
              <w:spacing w:line="360" w:lineRule="auto"/>
              <w:ind w:firstLine="0"/>
            </w:pPr>
            <w:r w:rsidRPr="004D46AC">
              <w:t>I have had thoughts that other people would think are strange.</w:t>
            </w:r>
          </w:p>
        </w:tc>
      </w:tr>
      <w:tr w:rsidR="007075D9" w:rsidRPr="004D46AC" w14:paraId="3D23506F" w14:textId="77777777" w:rsidTr="00B518F1">
        <w:tc>
          <w:tcPr>
            <w:tcW w:w="959" w:type="dxa"/>
          </w:tcPr>
          <w:p w14:paraId="72FA26CC" w14:textId="77777777" w:rsidR="007075D9" w:rsidRPr="004D46AC" w:rsidRDefault="007075D9" w:rsidP="008A38FE">
            <w:pPr>
              <w:spacing w:line="360" w:lineRule="auto"/>
              <w:ind w:firstLine="0"/>
            </w:pPr>
            <w:r w:rsidRPr="004D46AC">
              <w:t>TR37</w:t>
            </w:r>
          </w:p>
        </w:tc>
        <w:tc>
          <w:tcPr>
            <w:tcW w:w="8283" w:type="dxa"/>
          </w:tcPr>
          <w:p w14:paraId="01AF4CD6" w14:textId="77777777" w:rsidR="007075D9" w:rsidRPr="004D46AC" w:rsidRDefault="007075D9" w:rsidP="008A38FE">
            <w:pPr>
              <w:spacing w:line="360" w:lineRule="auto"/>
              <w:ind w:firstLine="0"/>
            </w:pPr>
            <w:r w:rsidRPr="004D46AC">
              <w:t>My thinking has felt confused, muddled, or disturbed in some way.</w:t>
            </w:r>
          </w:p>
        </w:tc>
      </w:tr>
    </w:tbl>
    <w:p w14:paraId="0ED18FFE" w14:textId="77777777" w:rsidR="007075D9" w:rsidRPr="004D46AC" w:rsidRDefault="007075D9" w:rsidP="00B518F1"/>
    <w:p w14:paraId="188DA957" w14:textId="77777777" w:rsidR="007075D9" w:rsidRPr="004D46AC" w:rsidRDefault="007075D9" w:rsidP="00B518F1">
      <w:pPr>
        <w:pStyle w:val="3"/>
      </w:pPr>
      <w:r w:rsidRPr="004D46AC">
        <w:t>EGA</w:t>
      </w:r>
    </w:p>
    <w:p w14:paraId="0DA62C93" w14:textId="77777777" w:rsidR="007075D9" w:rsidRPr="004D46AC" w:rsidRDefault="007075D9" w:rsidP="00B518F1">
      <w:r w:rsidRPr="004D46AC">
        <w:t>Item-rest analysis indicated that TR1 and TR4 showed weak correlations with the latent structure (</w:t>
      </w:r>
      <w:r w:rsidRPr="004D46AC">
        <w:rPr>
          <w:i/>
          <w:iCs/>
        </w:rPr>
        <w:t>r</w:t>
      </w:r>
      <w:r w:rsidRPr="004D46AC">
        <w:t xml:space="preserve"> &lt; .30) once their own influence was removed; therefore, both items were excluded from subsequent analyses. EGA initially identified a three-dimensional structure across the 35 items; however, nine items demonstrated insufficient item stability (&lt; .60): TR2 (Restlessness), TR8 (Interpersonal Instability), TR10 (Paranoia), TR11 (Increased Energy), TR28 (Difficulties in Anger Control), TR31 (Fear of Abandonment), TR32 (Reckless Behaviour), TR35 (Magical Thinking), and TR36 (Odd Thoughts). After removing these unstable items, the three-dimensional structure remained, comprising affective-cognitive dysregulation, reality distortion, and hypomania. All three dimensions demonstrated very high structural consistency (&gt; .85). Among the remaining 26 items, item stability was excellent (&gt; .90) for all except TR33, which was also high but slightly below this threshold. The empirical structure of the final 26-item solution is shown in Figure </w:t>
      </w:r>
      <w:r w:rsidRPr="004D46AC">
        <w:rPr>
          <w:rFonts w:hint="eastAsia"/>
        </w:rPr>
        <w:t>5.</w:t>
      </w:r>
      <w:r w:rsidRPr="004D46AC">
        <w:t>2.</w:t>
      </w:r>
    </w:p>
    <w:p w14:paraId="3B08BF32" w14:textId="77777777" w:rsidR="007075D9" w:rsidRPr="004D46AC" w:rsidRDefault="007075D9" w:rsidP="00B518F1">
      <w:pPr>
        <w:ind w:firstLine="660"/>
      </w:pPr>
    </w:p>
    <w:p w14:paraId="599BB90E" w14:textId="77777777" w:rsidR="007075D9" w:rsidRPr="004D46AC" w:rsidRDefault="007075D9" w:rsidP="00B518F1">
      <w:pPr>
        <w:ind w:firstLine="0"/>
        <w:rPr>
          <w:rFonts w:eastAsiaTheme="minorEastAsia"/>
        </w:rPr>
      </w:pPr>
      <w:r w:rsidRPr="004D46AC">
        <w:rPr>
          <w:noProof/>
        </w:rPr>
        <w:lastRenderedPageBreak/>
        <w:drawing>
          <wp:inline distT="0" distB="0" distL="0" distR="0" wp14:anchorId="1D5FC300" wp14:editId="7DC8945D">
            <wp:extent cx="5731510" cy="4105910"/>
            <wp:effectExtent l="0" t="0" r="0" b="0"/>
            <wp:docPr id="803836129" name="图片 1" descr="图表, 图示, 气泡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36129" name="图片 1" descr="图表, 图示, 气泡图&#10;&#10;AI 生成的内容可能不正确。"/>
                    <pic:cNvPicPr/>
                  </pic:nvPicPr>
                  <pic:blipFill>
                    <a:blip r:embed="rId375"/>
                    <a:stretch>
                      <a:fillRect/>
                    </a:stretch>
                  </pic:blipFill>
                  <pic:spPr>
                    <a:xfrm>
                      <a:off x="0" y="0"/>
                      <a:ext cx="5731510" cy="4105910"/>
                    </a:xfrm>
                    <a:prstGeom prst="rect">
                      <a:avLst/>
                    </a:prstGeom>
                  </pic:spPr>
                </pic:pic>
              </a:graphicData>
            </a:graphic>
          </wp:inline>
        </w:drawing>
      </w:r>
    </w:p>
    <w:p w14:paraId="5AAFAB3C" w14:textId="23C78EBB" w:rsidR="004725A0" w:rsidRPr="004D46AC" w:rsidRDefault="009264C5" w:rsidP="004725A0">
      <w:pPr>
        <w:pStyle w:val="afff0"/>
        <w:spacing w:after="0" w:line="360" w:lineRule="auto"/>
        <w:ind w:firstLine="0"/>
        <w:rPr>
          <w:rFonts w:eastAsiaTheme="minorEastAsia"/>
          <w:b/>
          <w:bCs/>
          <w:i w:val="0"/>
          <w:iCs w:val="0"/>
          <w:color w:val="auto"/>
          <w:sz w:val="22"/>
          <w:szCs w:val="22"/>
        </w:rPr>
      </w:pPr>
      <w:bookmarkStart w:id="258" w:name="_Toc219883934"/>
      <w:bookmarkStart w:id="259" w:name="_Toc219884866"/>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bookmarkEnd w:id="258"/>
      <w:bookmarkEnd w:id="259"/>
      <w:r w:rsidR="004725A0" w:rsidRPr="004D46AC">
        <w:rPr>
          <w:b/>
          <w:bCs/>
          <w:i w:val="0"/>
          <w:iCs w:val="0"/>
          <w:color w:val="auto"/>
          <w:sz w:val="22"/>
          <w:szCs w:val="22"/>
        </w:rPr>
        <w:fldChar w:fldCharType="end"/>
      </w:r>
    </w:p>
    <w:p w14:paraId="01C25C82" w14:textId="1128862A" w:rsidR="007075D9" w:rsidRPr="004D46AC" w:rsidRDefault="007075D9" w:rsidP="004725A0">
      <w:pPr>
        <w:pStyle w:val="afff0"/>
        <w:spacing w:after="0" w:line="360" w:lineRule="auto"/>
        <w:ind w:firstLine="0"/>
        <w:rPr>
          <w:b/>
          <w:bCs/>
          <w:color w:val="auto"/>
          <w:sz w:val="22"/>
          <w:szCs w:val="22"/>
        </w:rPr>
      </w:pPr>
      <w:r w:rsidRPr="004D46AC">
        <w:rPr>
          <w:color w:val="auto"/>
          <w:sz w:val="22"/>
          <w:szCs w:val="22"/>
        </w:rPr>
        <w:t>The empirical structure obtained from EGA for the remaining TRACE items</w:t>
      </w:r>
    </w:p>
    <w:p w14:paraId="1863855A" w14:textId="77777777" w:rsidR="007075D9" w:rsidRPr="004D46AC" w:rsidRDefault="007075D9" w:rsidP="008A38FE">
      <w:pPr>
        <w:spacing w:line="360" w:lineRule="auto"/>
        <w:ind w:firstLine="0"/>
      </w:pPr>
      <w:r w:rsidRPr="004D46AC">
        <w:rPr>
          <w:i/>
          <w:iCs/>
        </w:rPr>
        <w:t>Note</w:t>
      </w:r>
      <w:r w:rsidRPr="004D46AC">
        <w:t>. Colours indicate the community (dimension) membership of each node. Values displayed next to the nodes represent item stability, estimated from 1,000 bootstrapped resamples. Structural consistency values for each community are shown in the community nodes at the bottom right.</w:t>
      </w:r>
    </w:p>
    <w:p w14:paraId="3CFF81EC" w14:textId="77777777" w:rsidR="007075D9" w:rsidRPr="004D46AC" w:rsidRDefault="007075D9" w:rsidP="00B518F1"/>
    <w:p w14:paraId="31281C5E" w14:textId="77777777" w:rsidR="007075D9" w:rsidRPr="004D46AC" w:rsidRDefault="007075D9" w:rsidP="00B518F1">
      <w:pPr>
        <w:pStyle w:val="3"/>
      </w:pPr>
      <w:r w:rsidRPr="004D46AC">
        <w:t>CFA</w:t>
      </w:r>
    </w:p>
    <w:p w14:paraId="19868411" w14:textId="75C51F83" w:rsidR="009264C5" w:rsidRPr="004D46AC" w:rsidRDefault="007075D9" w:rsidP="00CC3324">
      <w:pPr>
        <w:rPr>
          <w:rFonts w:eastAsiaTheme="minorEastAsia"/>
        </w:rPr>
      </w:pPr>
      <w:r w:rsidRPr="004D46AC">
        <w:t>CFA was conducted on the refined 26-item measure to evaluate the fit of the previously identified three-factor structure. The model was successfully replicated and demonstrated accep</w:t>
      </w:r>
      <w:r w:rsidR="003E095D" w:rsidRPr="004D46AC">
        <w:rPr>
          <w:rFonts w:eastAsiaTheme="minorEastAsia" w:hint="eastAsia"/>
        </w:rPr>
        <w:t>t</w:t>
      </w:r>
      <w:r w:rsidRPr="004D46AC">
        <w:t xml:space="preserve">able </w:t>
      </w:r>
      <w:r w:rsidR="003E095D" w:rsidRPr="004D46AC">
        <w:rPr>
          <w:rFonts w:eastAsiaTheme="minorEastAsia" w:hint="eastAsia"/>
        </w:rPr>
        <w:t>f</w:t>
      </w:r>
      <w:r w:rsidRPr="004D46AC">
        <w:t xml:space="preserve">it, with a scaled CFI of </w:t>
      </w:r>
      <w:r w:rsidRPr="004D46AC">
        <w:rPr>
          <w:rFonts w:hint="eastAsia"/>
        </w:rPr>
        <w:t>0</w:t>
      </w:r>
      <w:r w:rsidRPr="004D46AC">
        <w:t xml:space="preserve">.93 and TLI of </w:t>
      </w:r>
      <w:r w:rsidRPr="004D46AC">
        <w:rPr>
          <w:rFonts w:hint="eastAsia"/>
        </w:rPr>
        <w:t>0</w:t>
      </w:r>
      <w:r w:rsidRPr="004D46AC">
        <w:t>.92. The robust RMSEA was .073 and the SRMR was .065, both within the acceptable-to-good range. Factor correlations were moderate to high</w:t>
      </w:r>
      <w:r w:rsidRPr="004D46AC">
        <w:rPr>
          <w:rFonts w:hint="eastAsia"/>
        </w:rPr>
        <w:t xml:space="preserve">: </w:t>
      </w:r>
      <w:bookmarkStart w:id="260" w:name="OLE_LINK73"/>
      <w:r w:rsidRPr="004D46AC">
        <w:rPr>
          <w:rFonts w:hint="eastAsia"/>
          <w:i/>
          <w:iCs/>
        </w:rPr>
        <w:t>r</w:t>
      </w:r>
      <w:r w:rsidRPr="004D46AC">
        <w:rPr>
          <w:rFonts w:hint="eastAsia"/>
        </w:rPr>
        <w:t xml:space="preserve"> = </w:t>
      </w:r>
      <w:bookmarkEnd w:id="260"/>
      <w:r w:rsidRPr="004D46AC">
        <w:t>.51 (affective</w:t>
      </w:r>
      <w:r w:rsidRPr="004D46AC">
        <w:rPr>
          <w:rFonts w:hint="eastAsia"/>
        </w:rPr>
        <w:t>-cognitive dysregulation</w:t>
      </w:r>
      <w:r w:rsidRPr="004D46AC">
        <w:t xml:space="preserve"> and </w:t>
      </w:r>
      <w:r w:rsidRPr="004D46AC">
        <w:rPr>
          <w:rFonts w:hint="eastAsia"/>
        </w:rPr>
        <w:t>hypo</w:t>
      </w:r>
      <w:r w:rsidRPr="004D46AC">
        <w:t xml:space="preserve">mania), </w:t>
      </w:r>
      <w:r w:rsidRPr="004D46AC">
        <w:rPr>
          <w:i/>
          <w:iCs/>
        </w:rPr>
        <w:t>r</w:t>
      </w:r>
      <w:r w:rsidRPr="004D46AC">
        <w:t xml:space="preserve"> =.72 (</w:t>
      </w:r>
      <w:r w:rsidRPr="004D46AC">
        <w:rPr>
          <w:rFonts w:hint="eastAsia"/>
        </w:rPr>
        <w:t>reality distortion</w:t>
      </w:r>
      <w:r w:rsidRPr="004D46AC">
        <w:t xml:space="preserve"> and </w:t>
      </w:r>
      <w:r w:rsidRPr="004D46AC">
        <w:rPr>
          <w:rFonts w:hint="eastAsia"/>
        </w:rPr>
        <w:t>hypo</w:t>
      </w:r>
      <w:r w:rsidRPr="004D46AC">
        <w:t xml:space="preserve">mania), and </w:t>
      </w:r>
      <w:r w:rsidRPr="004D46AC">
        <w:rPr>
          <w:i/>
          <w:iCs/>
        </w:rPr>
        <w:t>r</w:t>
      </w:r>
      <w:r w:rsidRPr="004D46AC">
        <w:t xml:space="preserve"> =.79 (affective</w:t>
      </w:r>
      <w:r w:rsidRPr="004D46AC">
        <w:rPr>
          <w:rFonts w:hint="eastAsia"/>
        </w:rPr>
        <w:t>-cognitive dysregulation</w:t>
      </w:r>
      <w:r w:rsidRPr="004D46AC">
        <w:t xml:space="preserve"> and </w:t>
      </w:r>
      <w:r w:rsidRPr="004D46AC">
        <w:rPr>
          <w:rFonts w:hint="eastAsia"/>
        </w:rPr>
        <w:t xml:space="preserve">reality </w:t>
      </w:r>
      <w:r w:rsidRPr="004D46AC">
        <w:t>distortion)</w:t>
      </w:r>
      <w:r w:rsidRPr="004D46AC">
        <w:rPr>
          <w:rFonts w:hint="eastAsia"/>
        </w:rPr>
        <w:t xml:space="preserve">, </w:t>
      </w:r>
      <w:r w:rsidRPr="004D46AC">
        <w:t xml:space="preserve">indicating that the factors were distinct yet strongly related. The model also demonstrated acceptable internal consistency and convergent </w:t>
      </w:r>
      <w:r w:rsidRPr="004D46AC">
        <w:lastRenderedPageBreak/>
        <w:t xml:space="preserve">validity. Composite reliability (CR) estimates were high across factors, ranging from .84 to .88. Average variance extracted (AVE) values ranged from .43 to .57, indicating acceptable convergent validity for most factors. Although the AVE for Factor 1 fell slightly below the commonly recommended threshold of .50, its high CR value suggests that the construct retains adequate reliability. Factor loadings and validity statistics are presented in Table </w:t>
      </w:r>
      <w:r w:rsidRPr="004D46AC">
        <w:rPr>
          <w:rFonts w:hint="eastAsia"/>
        </w:rPr>
        <w:t>5.3</w:t>
      </w:r>
      <w:r w:rsidRPr="004D46AC">
        <w:t>.</w:t>
      </w:r>
    </w:p>
    <w:p w14:paraId="6C0D4EAA" w14:textId="77777777" w:rsidR="00CC3324" w:rsidRPr="004D46AC" w:rsidRDefault="00CC3324" w:rsidP="00CC3324">
      <w:pPr>
        <w:rPr>
          <w:rFonts w:eastAsiaTheme="minorEastAsia"/>
        </w:rPr>
      </w:pPr>
    </w:p>
    <w:p w14:paraId="12AC7549" w14:textId="77777777" w:rsidR="004725A0" w:rsidRPr="004D46AC" w:rsidRDefault="004725A0" w:rsidP="004725A0">
      <w:pPr>
        <w:pStyle w:val="afff0"/>
        <w:spacing w:after="0" w:line="360" w:lineRule="auto"/>
        <w:ind w:firstLine="0"/>
        <w:rPr>
          <w:rFonts w:eastAsiaTheme="minorEastAsia"/>
          <w:b/>
          <w:bCs/>
          <w:i w:val="0"/>
          <w:iCs w:val="0"/>
          <w:color w:val="auto"/>
          <w:sz w:val="22"/>
          <w:szCs w:val="22"/>
        </w:rPr>
      </w:pPr>
      <w:bookmarkStart w:id="261" w:name="_Toc219883866"/>
      <w:r w:rsidRPr="004D46AC">
        <w:rPr>
          <w:b/>
          <w:bCs/>
          <w:i w:val="0"/>
          <w:iCs w:val="0"/>
          <w:color w:val="auto"/>
          <w:sz w:val="22"/>
          <w:szCs w:val="22"/>
        </w:rPr>
        <w:t xml:space="preserve">Table </w:t>
      </w:r>
      <w:r w:rsidRPr="004D46AC">
        <w:rPr>
          <w:b/>
          <w:bCs/>
          <w:i w:val="0"/>
          <w:iCs w:val="0"/>
          <w:color w:val="auto"/>
          <w:sz w:val="22"/>
          <w:szCs w:val="22"/>
        </w:rPr>
        <w:fldChar w:fldCharType="begin"/>
      </w:r>
      <w:r w:rsidRPr="004D46AC">
        <w:rPr>
          <w:b/>
          <w:bCs/>
          <w:i w:val="0"/>
          <w:iCs w:val="0"/>
          <w:color w:val="auto"/>
          <w:sz w:val="22"/>
          <w:szCs w:val="22"/>
        </w:rPr>
        <w:instrText xml:space="preserve"> STYLEREF 1 \s </w:instrText>
      </w:r>
      <w:r w:rsidRPr="004D46AC">
        <w:rPr>
          <w:b/>
          <w:bCs/>
          <w:i w:val="0"/>
          <w:iCs w:val="0"/>
          <w:color w:val="auto"/>
          <w:sz w:val="22"/>
          <w:szCs w:val="22"/>
        </w:rPr>
        <w:fldChar w:fldCharType="separate"/>
      </w:r>
      <w:r w:rsidRPr="004D46AC">
        <w:rPr>
          <w:b/>
          <w:bCs/>
          <w:i w:val="0"/>
          <w:iCs w:val="0"/>
          <w:noProof/>
          <w:color w:val="auto"/>
          <w:sz w:val="22"/>
          <w:szCs w:val="22"/>
        </w:rPr>
        <w:t>5</w:t>
      </w:r>
      <w:r w:rsidRPr="004D46AC">
        <w:rPr>
          <w:b/>
          <w:bCs/>
          <w:i w:val="0"/>
          <w:iCs w:val="0"/>
          <w:color w:val="auto"/>
          <w:sz w:val="22"/>
          <w:szCs w:val="22"/>
        </w:rPr>
        <w:fldChar w:fldCharType="end"/>
      </w:r>
      <w:r w:rsidRPr="004D46AC">
        <w:rPr>
          <w:b/>
          <w:bCs/>
          <w:i w:val="0"/>
          <w:iCs w:val="0"/>
          <w:color w:val="auto"/>
          <w:sz w:val="22"/>
          <w:szCs w:val="22"/>
        </w:rPr>
        <w:t>.</w:t>
      </w:r>
      <w:r w:rsidRPr="004D46AC">
        <w:rPr>
          <w:b/>
          <w:bCs/>
          <w:i w:val="0"/>
          <w:iCs w:val="0"/>
          <w:color w:val="auto"/>
          <w:sz w:val="22"/>
          <w:szCs w:val="22"/>
        </w:rPr>
        <w:fldChar w:fldCharType="begin"/>
      </w:r>
      <w:r w:rsidRPr="004D46AC">
        <w:rPr>
          <w:b/>
          <w:bCs/>
          <w:i w:val="0"/>
          <w:iCs w:val="0"/>
          <w:color w:val="auto"/>
          <w:sz w:val="22"/>
          <w:szCs w:val="22"/>
        </w:rPr>
        <w:instrText xml:space="preserve"> SEQ Table \* ARABIC \s 1 </w:instrText>
      </w:r>
      <w:r w:rsidRPr="004D46AC">
        <w:rPr>
          <w:b/>
          <w:bCs/>
          <w:i w:val="0"/>
          <w:iCs w:val="0"/>
          <w:color w:val="auto"/>
          <w:sz w:val="22"/>
          <w:szCs w:val="22"/>
        </w:rPr>
        <w:fldChar w:fldCharType="separate"/>
      </w:r>
      <w:r w:rsidRPr="004D46AC">
        <w:rPr>
          <w:b/>
          <w:bCs/>
          <w:i w:val="0"/>
          <w:iCs w:val="0"/>
          <w:noProof/>
          <w:color w:val="auto"/>
          <w:sz w:val="22"/>
          <w:szCs w:val="22"/>
        </w:rPr>
        <w:t>3</w:t>
      </w:r>
      <w:bookmarkEnd w:id="261"/>
      <w:r w:rsidRPr="004D46AC">
        <w:rPr>
          <w:b/>
          <w:bCs/>
          <w:i w:val="0"/>
          <w:iCs w:val="0"/>
          <w:color w:val="auto"/>
          <w:sz w:val="22"/>
          <w:szCs w:val="22"/>
        </w:rPr>
        <w:fldChar w:fldCharType="end"/>
      </w:r>
      <w:r w:rsidRPr="004D46AC">
        <w:rPr>
          <w:b/>
          <w:bCs/>
          <w:i w:val="0"/>
          <w:iCs w:val="0"/>
          <w:color w:val="auto"/>
          <w:sz w:val="22"/>
          <w:szCs w:val="22"/>
        </w:rPr>
        <w:t xml:space="preserve"> </w:t>
      </w:r>
    </w:p>
    <w:p w14:paraId="378E9DF5" w14:textId="33EE365A" w:rsidR="007075D9" w:rsidRPr="004D46AC" w:rsidRDefault="004725A0" w:rsidP="004725A0">
      <w:pPr>
        <w:pStyle w:val="afff0"/>
        <w:spacing w:after="0" w:line="360" w:lineRule="auto"/>
        <w:ind w:firstLine="0"/>
        <w:rPr>
          <w:rFonts w:eastAsiaTheme="minorEastAsia"/>
          <w:color w:val="auto"/>
          <w:sz w:val="22"/>
          <w:szCs w:val="22"/>
        </w:rPr>
      </w:pPr>
      <w:r w:rsidRPr="004D46AC">
        <w:rPr>
          <w:color w:val="auto"/>
          <w:sz w:val="22"/>
          <w:szCs w:val="22"/>
        </w:rPr>
        <w:t xml:space="preserve">Factor </w:t>
      </w:r>
      <w:r w:rsidR="00D70BAE" w:rsidRPr="004D46AC">
        <w:rPr>
          <w:rFonts w:eastAsiaTheme="minorEastAsia" w:hint="eastAsia"/>
          <w:color w:val="auto"/>
          <w:sz w:val="22"/>
          <w:szCs w:val="22"/>
        </w:rPr>
        <w:t>l</w:t>
      </w:r>
      <w:r w:rsidRPr="004D46AC">
        <w:rPr>
          <w:color w:val="auto"/>
          <w:sz w:val="22"/>
          <w:szCs w:val="22"/>
        </w:rPr>
        <w:t>oadings of the</w:t>
      </w:r>
      <w:r w:rsidR="00D70BAE" w:rsidRPr="004D46AC">
        <w:rPr>
          <w:rFonts w:eastAsiaTheme="minorEastAsia" w:hint="eastAsia"/>
          <w:color w:val="auto"/>
          <w:sz w:val="22"/>
          <w:szCs w:val="22"/>
        </w:rPr>
        <w:t xml:space="preserve"> </w:t>
      </w:r>
      <w:r w:rsidRPr="004D46AC">
        <w:rPr>
          <w:color w:val="auto"/>
          <w:sz w:val="22"/>
          <w:szCs w:val="22"/>
        </w:rPr>
        <w:t>CFA</w:t>
      </w:r>
    </w:p>
    <w:tbl>
      <w:tblPr>
        <w:tblStyle w:val="afc"/>
        <w:tblW w:w="0" w:type="auto"/>
        <w:tblLook w:val="04A0" w:firstRow="1" w:lastRow="0" w:firstColumn="1" w:lastColumn="0" w:noHBand="0" w:noVBand="1"/>
      </w:tblPr>
      <w:tblGrid>
        <w:gridCol w:w="814"/>
        <w:gridCol w:w="4001"/>
        <w:gridCol w:w="1040"/>
        <w:gridCol w:w="1040"/>
        <w:gridCol w:w="1040"/>
        <w:gridCol w:w="1040"/>
      </w:tblGrid>
      <w:tr w:rsidR="007075D9" w:rsidRPr="004D46AC" w14:paraId="525B2321" w14:textId="77777777" w:rsidTr="00B518F1">
        <w:trPr>
          <w:trHeight w:val="273"/>
        </w:trPr>
        <w:tc>
          <w:tcPr>
            <w:tcW w:w="814" w:type="dxa"/>
          </w:tcPr>
          <w:p w14:paraId="754E8D41" w14:textId="77777777" w:rsidR="007075D9" w:rsidRPr="004D46AC" w:rsidRDefault="007075D9" w:rsidP="008A38FE">
            <w:pPr>
              <w:pStyle w:val="affe"/>
              <w:spacing w:line="360" w:lineRule="auto"/>
              <w:rPr>
                <w:rFonts w:ascii="Arial" w:hAnsi="Arial" w:cs="Arial"/>
                <w:b/>
                <w:bCs/>
                <w:sz w:val="22"/>
                <w:szCs w:val="22"/>
              </w:rPr>
            </w:pPr>
            <w:r w:rsidRPr="004D46AC">
              <w:rPr>
                <w:rFonts w:ascii="Arial" w:hAnsi="Arial" w:cs="Arial"/>
                <w:b/>
                <w:bCs/>
                <w:sz w:val="22"/>
                <w:szCs w:val="22"/>
              </w:rPr>
              <w:t>Items</w:t>
            </w:r>
          </w:p>
        </w:tc>
        <w:tc>
          <w:tcPr>
            <w:tcW w:w="4001" w:type="dxa"/>
          </w:tcPr>
          <w:p w14:paraId="618DDADE" w14:textId="77777777" w:rsidR="007075D9" w:rsidRPr="004D46AC" w:rsidRDefault="007075D9" w:rsidP="008A38FE">
            <w:pPr>
              <w:pStyle w:val="affe"/>
              <w:spacing w:line="360" w:lineRule="auto"/>
              <w:rPr>
                <w:rFonts w:ascii="Arial" w:hAnsi="Arial" w:cs="Arial"/>
                <w:b/>
                <w:bCs/>
                <w:sz w:val="22"/>
                <w:szCs w:val="22"/>
              </w:rPr>
            </w:pPr>
            <w:r w:rsidRPr="004D46AC">
              <w:rPr>
                <w:rFonts w:ascii="Arial" w:hAnsi="Arial" w:cs="Arial"/>
                <w:b/>
                <w:bCs/>
                <w:sz w:val="22"/>
                <w:szCs w:val="22"/>
              </w:rPr>
              <w:t>Short names</w:t>
            </w:r>
          </w:p>
        </w:tc>
        <w:tc>
          <w:tcPr>
            <w:tcW w:w="1040" w:type="dxa"/>
          </w:tcPr>
          <w:p w14:paraId="1A1251FD" w14:textId="77777777" w:rsidR="007075D9" w:rsidRPr="004D46AC" w:rsidRDefault="007075D9" w:rsidP="008A38FE">
            <w:pPr>
              <w:pStyle w:val="affe"/>
              <w:spacing w:line="360" w:lineRule="auto"/>
              <w:rPr>
                <w:rFonts w:ascii="Arial" w:hAnsi="Arial" w:cs="Arial"/>
                <w:b/>
                <w:bCs/>
                <w:sz w:val="22"/>
                <w:szCs w:val="22"/>
              </w:rPr>
            </w:pPr>
            <w:r w:rsidRPr="004D46AC">
              <w:rPr>
                <w:rFonts w:ascii="Arial" w:hAnsi="Arial" w:cs="Arial"/>
                <w:b/>
                <w:bCs/>
                <w:sz w:val="22"/>
                <w:szCs w:val="22"/>
              </w:rPr>
              <w:t>Factor 1</w:t>
            </w:r>
          </w:p>
        </w:tc>
        <w:tc>
          <w:tcPr>
            <w:tcW w:w="1040" w:type="dxa"/>
          </w:tcPr>
          <w:p w14:paraId="4BE01A7F" w14:textId="77777777" w:rsidR="007075D9" w:rsidRPr="004D46AC" w:rsidRDefault="007075D9" w:rsidP="008A38FE">
            <w:pPr>
              <w:pStyle w:val="affe"/>
              <w:spacing w:line="360" w:lineRule="auto"/>
              <w:rPr>
                <w:rFonts w:ascii="Arial" w:hAnsi="Arial" w:cs="Arial"/>
                <w:b/>
                <w:bCs/>
                <w:sz w:val="22"/>
                <w:szCs w:val="22"/>
              </w:rPr>
            </w:pPr>
            <w:r w:rsidRPr="004D46AC">
              <w:rPr>
                <w:rFonts w:ascii="Arial" w:hAnsi="Arial" w:cs="Arial"/>
                <w:b/>
                <w:bCs/>
                <w:sz w:val="22"/>
                <w:szCs w:val="22"/>
              </w:rPr>
              <w:t>Factor 2</w:t>
            </w:r>
          </w:p>
        </w:tc>
        <w:tc>
          <w:tcPr>
            <w:tcW w:w="1040" w:type="dxa"/>
          </w:tcPr>
          <w:p w14:paraId="6F654DD4" w14:textId="77777777" w:rsidR="007075D9" w:rsidRPr="004D46AC" w:rsidRDefault="007075D9" w:rsidP="008A38FE">
            <w:pPr>
              <w:pStyle w:val="affe"/>
              <w:spacing w:line="360" w:lineRule="auto"/>
              <w:rPr>
                <w:rFonts w:ascii="Arial" w:hAnsi="Arial" w:cs="Arial"/>
                <w:b/>
                <w:bCs/>
                <w:sz w:val="22"/>
                <w:szCs w:val="22"/>
              </w:rPr>
            </w:pPr>
            <w:r w:rsidRPr="004D46AC">
              <w:rPr>
                <w:rFonts w:ascii="Arial" w:hAnsi="Arial" w:cs="Arial"/>
                <w:b/>
                <w:bCs/>
                <w:sz w:val="22"/>
                <w:szCs w:val="22"/>
              </w:rPr>
              <w:t>Factor 3</w:t>
            </w:r>
          </w:p>
        </w:tc>
        <w:tc>
          <w:tcPr>
            <w:tcW w:w="1040" w:type="dxa"/>
          </w:tcPr>
          <w:p w14:paraId="1C67BA19" w14:textId="77777777" w:rsidR="007075D9" w:rsidRPr="004D46AC" w:rsidRDefault="007075D9" w:rsidP="008A38FE">
            <w:pPr>
              <w:pStyle w:val="affe"/>
              <w:spacing w:line="360" w:lineRule="auto"/>
              <w:rPr>
                <w:rFonts w:ascii="Arial" w:hAnsi="Arial" w:cs="Arial"/>
                <w:b/>
                <w:bCs/>
                <w:sz w:val="22"/>
                <w:szCs w:val="22"/>
              </w:rPr>
            </w:pPr>
            <w:r w:rsidRPr="004D46AC">
              <w:rPr>
                <w:rFonts w:ascii="Arial" w:hAnsi="Arial" w:cs="Arial"/>
                <w:b/>
                <w:bCs/>
                <w:sz w:val="22"/>
                <w:szCs w:val="22"/>
              </w:rPr>
              <w:t>R</w:t>
            </w:r>
            <w:r w:rsidRPr="004D46AC">
              <w:rPr>
                <w:rFonts w:ascii="Arial" w:hAnsi="Arial" w:cs="Arial"/>
                <w:b/>
                <w:bCs/>
                <w:sz w:val="22"/>
                <w:szCs w:val="22"/>
                <w:vertAlign w:val="superscript"/>
              </w:rPr>
              <w:t>2</w:t>
            </w:r>
          </w:p>
        </w:tc>
      </w:tr>
      <w:tr w:rsidR="007075D9" w:rsidRPr="004D46AC" w14:paraId="014B46C4" w14:textId="77777777" w:rsidTr="00B518F1">
        <w:trPr>
          <w:trHeight w:val="282"/>
        </w:trPr>
        <w:tc>
          <w:tcPr>
            <w:tcW w:w="814" w:type="dxa"/>
          </w:tcPr>
          <w:p w14:paraId="0D5F7EDC"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TR3</w:t>
            </w:r>
          </w:p>
        </w:tc>
        <w:tc>
          <w:tcPr>
            <w:tcW w:w="4001" w:type="dxa"/>
          </w:tcPr>
          <w:p w14:paraId="2392778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Impulsivity</w:t>
            </w:r>
          </w:p>
        </w:tc>
        <w:tc>
          <w:tcPr>
            <w:tcW w:w="1040" w:type="dxa"/>
          </w:tcPr>
          <w:p w14:paraId="4500DD1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.60</w:t>
            </w:r>
          </w:p>
        </w:tc>
        <w:tc>
          <w:tcPr>
            <w:tcW w:w="1040" w:type="dxa"/>
          </w:tcPr>
          <w:p w14:paraId="4D2FCEF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3E24D33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5C7E93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.36</w:t>
            </w:r>
          </w:p>
        </w:tc>
      </w:tr>
      <w:tr w:rsidR="007075D9" w:rsidRPr="004D46AC" w14:paraId="4078296A" w14:textId="77777777" w:rsidTr="00B518F1">
        <w:trPr>
          <w:trHeight w:val="273"/>
        </w:trPr>
        <w:tc>
          <w:tcPr>
            <w:tcW w:w="814" w:type="dxa"/>
          </w:tcPr>
          <w:p w14:paraId="3FE687D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TR5</w:t>
            </w:r>
          </w:p>
        </w:tc>
        <w:tc>
          <w:tcPr>
            <w:tcW w:w="4001" w:type="dxa"/>
          </w:tcPr>
          <w:p w14:paraId="09F7587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Racing thoughts</w:t>
            </w:r>
          </w:p>
        </w:tc>
        <w:tc>
          <w:tcPr>
            <w:tcW w:w="1040" w:type="dxa"/>
          </w:tcPr>
          <w:p w14:paraId="7109CC75"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.59</w:t>
            </w:r>
          </w:p>
        </w:tc>
        <w:tc>
          <w:tcPr>
            <w:tcW w:w="1040" w:type="dxa"/>
          </w:tcPr>
          <w:p w14:paraId="1FF58EA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A6F6B8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0F7CC40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.35</w:t>
            </w:r>
          </w:p>
        </w:tc>
      </w:tr>
      <w:tr w:rsidR="007075D9" w:rsidRPr="004D46AC" w14:paraId="71173CBE" w14:textId="77777777" w:rsidTr="00B518F1">
        <w:trPr>
          <w:trHeight w:val="273"/>
        </w:trPr>
        <w:tc>
          <w:tcPr>
            <w:tcW w:w="814" w:type="dxa"/>
          </w:tcPr>
          <w:p w14:paraId="5CD9932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TR7</w:t>
            </w:r>
          </w:p>
        </w:tc>
        <w:tc>
          <w:tcPr>
            <w:tcW w:w="4001" w:type="dxa"/>
          </w:tcPr>
          <w:p w14:paraId="21F05D7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Low mood</w:t>
            </w:r>
          </w:p>
        </w:tc>
        <w:tc>
          <w:tcPr>
            <w:tcW w:w="1040" w:type="dxa"/>
          </w:tcPr>
          <w:p w14:paraId="1D3DC36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.66</w:t>
            </w:r>
          </w:p>
        </w:tc>
        <w:tc>
          <w:tcPr>
            <w:tcW w:w="1040" w:type="dxa"/>
          </w:tcPr>
          <w:p w14:paraId="657EB40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48CCD69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75524B1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.44</w:t>
            </w:r>
          </w:p>
        </w:tc>
      </w:tr>
      <w:tr w:rsidR="007075D9" w:rsidRPr="004D46AC" w14:paraId="4B1D0EED" w14:textId="77777777" w:rsidTr="00B518F1">
        <w:trPr>
          <w:trHeight w:val="282"/>
        </w:trPr>
        <w:tc>
          <w:tcPr>
            <w:tcW w:w="814" w:type="dxa"/>
          </w:tcPr>
          <w:p w14:paraId="2382363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TR12</w:t>
            </w:r>
          </w:p>
        </w:tc>
        <w:tc>
          <w:tcPr>
            <w:tcW w:w="4001" w:type="dxa"/>
          </w:tcPr>
          <w:p w14:paraId="5567ADA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Disorganized thinking</w:t>
            </w:r>
          </w:p>
        </w:tc>
        <w:tc>
          <w:tcPr>
            <w:tcW w:w="1040" w:type="dxa"/>
          </w:tcPr>
          <w:p w14:paraId="057EDF2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.32</w:t>
            </w:r>
          </w:p>
        </w:tc>
        <w:tc>
          <w:tcPr>
            <w:tcW w:w="1040" w:type="dxa"/>
          </w:tcPr>
          <w:p w14:paraId="6F43A71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116D3775"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5F535C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.10</w:t>
            </w:r>
          </w:p>
        </w:tc>
      </w:tr>
      <w:tr w:rsidR="007075D9" w:rsidRPr="004D46AC" w14:paraId="301AC384" w14:textId="77777777" w:rsidTr="00B518F1">
        <w:trPr>
          <w:trHeight w:val="273"/>
        </w:trPr>
        <w:tc>
          <w:tcPr>
            <w:tcW w:w="814" w:type="dxa"/>
          </w:tcPr>
          <w:p w14:paraId="34D268B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TR15</w:t>
            </w:r>
          </w:p>
        </w:tc>
        <w:tc>
          <w:tcPr>
            <w:tcW w:w="4001" w:type="dxa"/>
          </w:tcPr>
          <w:p w14:paraId="0707634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Emptiness</w:t>
            </w:r>
          </w:p>
        </w:tc>
        <w:tc>
          <w:tcPr>
            <w:tcW w:w="1040" w:type="dxa"/>
          </w:tcPr>
          <w:p w14:paraId="4177B8B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.67</w:t>
            </w:r>
          </w:p>
        </w:tc>
        <w:tc>
          <w:tcPr>
            <w:tcW w:w="1040" w:type="dxa"/>
          </w:tcPr>
          <w:p w14:paraId="28F600E0"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008C544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28A563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.45</w:t>
            </w:r>
          </w:p>
        </w:tc>
      </w:tr>
      <w:tr w:rsidR="007075D9" w:rsidRPr="004D46AC" w14:paraId="4487DC89" w14:textId="77777777" w:rsidTr="00B518F1">
        <w:trPr>
          <w:trHeight w:val="282"/>
        </w:trPr>
        <w:tc>
          <w:tcPr>
            <w:tcW w:w="814" w:type="dxa"/>
          </w:tcPr>
          <w:p w14:paraId="0DCB792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TR19</w:t>
            </w:r>
          </w:p>
        </w:tc>
        <w:tc>
          <w:tcPr>
            <w:tcW w:w="4001" w:type="dxa"/>
          </w:tcPr>
          <w:p w14:paraId="51F2C4D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Mood cycle</w:t>
            </w:r>
          </w:p>
        </w:tc>
        <w:tc>
          <w:tcPr>
            <w:tcW w:w="1040" w:type="dxa"/>
          </w:tcPr>
          <w:p w14:paraId="69761FC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.71</w:t>
            </w:r>
          </w:p>
        </w:tc>
        <w:tc>
          <w:tcPr>
            <w:tcW w:w="1040" w:type="dxa"/>
          </w:tcPr>
          <w:p w14:paraId="73AD9870"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5BDF2A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4312D52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.50</w:t>
            </w:r>
          </w:p>
        </w:tc>
      </w:tr>
      <w:tr w:rsidR="007075D9" w:rsidRPr="004D46AC" w14:paraId="2073477A" w14:textId="77777777" w:rsidTr="00B518F1">
        <w:trPr>
          <w:trHeight w:val="273"/>
        </w:trPr>
        <w:tc>
          <w:tcPr>
            <w:tcW w:w="814" w:type="dxa"/>
          </w:tcPr>
          <w:p w14:paraId="2B24436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TR21</w:t>
            </w:r>
          </w:p>
        </w:tc>
        <w:tc>
          <w:tcPr>
            <w:tcW w:w="4001" w:type="dxa"/>
          </w:tcPr>
          <w:p w14:paraId="293B3CE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Irritability</w:t>
            </w:r>
          </w:p>
        </w:tc>
        <w:tc>
          <w:tcPr>
            <w:tcW w:w="1040" w:type="dxa"/>
          </w:tcPr>
          <w:p w14:paraId="609D673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.71</w:t>
            </w:r>
          </w:p>
        </w:tc>
        <w:tc>
          <w:tcPr>
            <w:tcW w:w="1040" w:type="dxa"/>
          </w:tcPr>
          <w:p w14:paraId="118E041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103F04E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CAAD32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.50</w:t>
            </w:r>
          </w:p>
        </w:tc>
      </w:tr>
      <w:tr w:rsidR="007075D9" w:rsidRPr="004D46AC" w14:paraId="0CCAAFC2" w14:textId="77777777" w:rsidTr="00B518F1">
        <w:trPr>
          <w:trHeight w:val="273"/>
        </w:trPr>
        <w:tc>
          <w:tcPr>
            <w:tcW w:w="814" w:type="dxa"/>
          </w:tcPr>
          <w:p w14:paraId="0189D1A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TR23</w:t>
            </w:r>
          </w:p>
        </w:tc>
        <w:tc>
          <w:tcPr>
            <w:tcW w:w="4001" w:type="dxa"/>
          </w:tcPr>
          <w:p w14:paraId="1F3D1F0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Mood lability</w:t>
            </w:r>
          </w:p>
        </w:tc>
        <w:tc>
          <w:tcPr>
            <w:tcW w:w="1040" w:type="dxa"/>
          </w:tcPr>
          <w:p w14:paraId="06DC393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.68</w:t>
            </w:r>
          </w:p>
        </w:tc>
        <w:tc>
          <w:tcPr>
            <w:tcW w:w="1040" w:type="dxa"/>
          </w:tcPr>
          <w:p w14:paraId="498AF67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731EE7E5"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03B3337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.48</w:t>
            </w:r>
          </w:p>
        </w:tc>
      </w:tr>
      <w:tr w:rsidR="007075D9" w:rsidRPr="004D46AC" w14:paraId="63ACE5BE" w14:textId="77777777" w:rsidTr="00B518F1">
        <w:trPr>
          <w:trHeight w:val="282"/>
        </w:trPr>
        <w:tc>
          <w:tcPr>
            <w:tcW w:w="814" w:type="dxa"/>
          </w:tcPr>
          <w:p w14:paraId="56C5502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TR24</w:t>
            </w:r>
          </w:p>
        </w:tc>
        <w:tc>
          <w:tcPr>
            <w:tcW w:w="4001" w:type="dxa"/>
          </w:tcPr>
          <w:p w14:paraId="6AA2097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Disconnected thoughts</w:t>
            </w:r>
          </w:p>
        </w:tc>
        <w:tc>
          <w:tcPr>
            <w:tcW w:w="1040" w:type="dxa"/>
          </w:tcPr>
          <w:p w14:paraId="6551233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.74</w:t>
            </w:r>
          </w:p>
        </w:tc>
        <w:tc>
          <w:tcPr>
            <w:tcW w:w="1040" w:type="dxa"/>
          </w:tcPr>
          <w:p w14:paraId="74C1F0A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4F39ABB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727DEAF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.55</w:t>
            </w:r>
          </w:p>
        </w:tc>
      </w:tr>
      <w:tr w:rsidR="007075D9" w:rsidRPr="004D46AC" w14:paraId="2EB3435F" w14:textId="77777777" w:rsidTr="00B518F1">
        <w:trPr>
          <w:trHeight w:val="273"/>
        </w:trPr>
        <w:tc>
          <w:tcPr>
            <w:tcW w:w="814" w:type="dxa"/>
          </w:tcPr>
          <w:p w14:paraId="7AF6915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TR26</w:t>
            </w:r>
          </w:p>
        </w:tc>
        <w:tc>
          <w:tcPr>
            <w:tcW w:w="4001" w:type="dxa"/>
          </w:tcPr>
          <w:p w14:paraId="6032EFA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Identity confusion</w:t>
            </w:r>
          </w:p>
        </w:tc>
        <w:tc>
          <w:tcPr>
            <w:tcW w:w="1040" w:type="dxa"/>
          </w:tcPr>
          <w:p w14:paraId="1D21B2D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.70</w:t>
            </w:r>
          </w:p>
        </w:tc>
        <w:tc>
          <w:tcPr>
            <w:tcW w:w="1040" w:type="dxa"/>
          </w:tcPr>
          <w:p w14:paraId="30D79B2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A68235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820002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.49</w:t>
            </w:r>
          </w:p>
        </w:tc>
      </w:tr>
      <w:tr w:rsidR="007075D9" w:rsidRPr="004D46AC" w14:paraId="7951D476" w14:textId="77777777" w:rsidTr="00B518F1">
        <w:trPr>
          <w:trHeight w:val="273"/>
        </w:trPr>
        <w:tc>
          <w:tcPr>
            <w:tcW w:w="814" w:type="dxa"/>
          </w:tcPr>
          <w:p w14:paraId="2E2C4D8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TR27</w:t>
            </w:r>
          </w:p>
        </w:tc>
        <w:tc>
          <w:tcPr>
            <w:tcW w:w="4001" w:type="dxa"/>
          </w:tcPr>
          <w:p w14:paraId="74A63E5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Poverty of speech</w:t>
            </w:r>
          </w:p>
        </w:tc>
        <w:tc>
          <w:tcPr>
            <w:tcW w:w="1040" w:type="dxa"/>
          </w:tcPr>
          <w:p w14:paraId="28B20F0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.61</w:t>
            </w:r>
          </w:p>
        </w:tc>
        <w:tc>
          <w:tcPr>
            <w:tcW w:w="1040" w:type="dxa"/>
          </w:tcPr>
          <w:p w14:paraId="51F6882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79D33F5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3832361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.37</w:t>
            </w:r>
          </w:p>
        </w:tc>
      </w:tr>
      <w:tr w:rsidR="007075D9" w:rsidRPr="004D46AC" w14:paraId="282BEDCF" w14:textId="77777777" w:rsidTr="00B518F1">
        <w:trPr>
          <w:trHeight w:val="282"/>
        </w:trPr>
        <w:tc>
          <w:tcPr>
            <w:tcW w:w="814" w:type="dxa"/>
          </w:tcPr>
          <w:p w14:paraId="5350B75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TR34</w:t>
            </w:r>
          </w:p>
        </w:tc>
        <w:tc>
          <w:tcPr>
            <w:tcW w:w="4001" w:type="dxa"/>
          </w:tcPr>
          <w:p w14:paraId="5A9663D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Emotional numbness</w:t>
            </w:r>
          </w:p>
        </w:tc>
        <w:tc>
          <w:tcPr>
            <w:tcW w:w="1040" w:type="dxa"/>
          </w:tcPr>
          <w:p w14:paraId="568103C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.72</w:t>
            </w:r>
          </w:p>
        </w:tc>
        <w:tc>
          <w:tcPr>
            <w:tcW w:w="1040" w:type="dxa"/>
          </w:tcPr>
          <w:p w14:paraId="2E7AA68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3252B26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993DA5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.52</w:t>
            </w:r>
          </w:p>
        </w:tc>
      </w:tr>
      <w:tr w:rsidR="007075D9" w:rsidRPr="004D46AC" w14:paraId="1FC7C970" w14:textId="77777777" w:rsidTr="00B518F1">
        <w:trPr>
          <w:trHeight w:val="273"/>
        </w:trPr>
        <w:tc>
          <w:tcPr>
            <w:tcW w:w="814" w:type="dxa"/>
          </w:tcPr>
          <w:p w14:paraId="384EEC80"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TR37</w:t>
            </w:r>
          </w:p>
        </w:tc>
        <w:tc>
          <w:tcPr>
            <w:tcW w:w="4001" w:type="dxa"/>
          </w:tcPr>
          <w:p w14:paraId="46D3BD3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Confused thinking</w:t>
            </w:r>
          </w:p>
        </w:tc>
        <w:tc>
          <w:tcPr>
            <w:tcW w:w="1040" w:type="dxa"/>
          </w:tcPr>
          <w:p w14:paraId="440EFB90"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.75</w:t>
            </w:r>
          </w:p>
        </w:tc>
        <w:tc>
          <w:tcPr>
            <w:tcW w:w="1040" w:type="dxa"/>
          </w:tcPr>
          <w:p w14:paraId="0DD5A49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817460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0FE6AEA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.56</w:t>
            </w:r>
          </w:p>
        </w:tc>
      </w:tr>
      <w:tr w:rsidR="007075D9" w:rsidRPr="004D46AC" w14:paraId="26703071" w14:textId="77777777" w:rsidTr="00B518F1">
        <w:trPr>
          <w:trHeight w:val="273"/>
        </w:trPr>
        <w:tc>
          <w:tcPr>
            <w:tcW w:w="814" w:type="dxa"/>
          </w:tcPr>
          <w:p w14:paraId="4E87961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TR6</w:t>
            </w:r>
          </w:p>
        </w:tc>
        <w:tc>
          <w:tcPr>
            <w:tcW w:w="4001" w:type="dxa"/>
          </w:tcPr>
          <w:p w14:paraId="4294F5D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Auditory hallucinations</w:t>
            </w:r>
          </w:p>
        </w:tc>
        <w:tc>
          <w:tcPr>
            <w:tcW w:w="1040" w:type="dxa"/>
          </w:tcPr>
          <w:p w14:paraId="67A8605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4184F9F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.71</w:t>
            </w:r>
          </w:p>
        </w:tc>
        <w:tc>
          <w:tcPr>
            <w:tcW w:w="1040" w:type="dxa"/>
          </w:tcPr>
          <w:p w14:paraId="25775FF0"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FA84BC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.50</w:t>
            </w:r>
          </w:p>
        </w:tc>
      </w:tr>
      <w:tr w:rsidR="007075D9" w:rsidRPr="004D46AC" w14:paraId="4551C711" w14:textId="77777777" w:rsidTr="00B518F1">
        <w:trPr>
          <w:trHeight w:val="282"/>
        </w:trPr>
        <w:tc>
          <w:tcPr>
            <w:tcW w:w="814" w:type="dxa"/>
          </w:tcPr>
          <w:p w14:paraId="38FF316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TR9</w:t>
            </w:r>
          </w:p>
        </w:tc>
        <w:tc>
          <w:tcPr>
            <w:tcW w:w="4001" w:type="dxa"/>
          </w:tcPr>
          <w:p w14:paraId="3116E16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Sound distraction</w:t>
            </w:r>
          </w:p>
        </w:tc>
        <w:tc>
          <w:tcPr>
            <w:tcW w:w="1040" w:type="dxa"/>
          </w:tcPr>
          <w:p w14:paraId="55D32ED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1B823C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.74</w:t>
            </w:r>
          </w:p>
        </w:tc>
        <w:tc>
          <w:tcPr>
            <w:tcW w:w="1040" w:type="dxa"/>
          </w:tcPr>
          <w:p w14:paraId="30415BF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670ED70"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.55</w:t>
            </w:r>
          </w:p>
        </w:tc>
      </w:tr>
      <w:tr w:rsidR="007075D9" w:rsidRPr="004D46AC" w14:paraId="44A7AFF9" w14:textId="77777777" w:rsidTr="00B518F1">
        <w:trPr>
          <w:trHeight w:val="273"/>
        </w:trPr>
        <w:tc>
          <w:tcPr>
            <w:tcW w:w="814" w:type="dxa"/>
          </w:tcPr>
          <w:p w14:paraId="6D4EA7CC"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TR17</w:t>
            </w:r>
          </w:p>
        </w:tc>
        <w:tc>
          <w:tcPr>
            <w:tcW w:w="4001" w:type="dxa"/>
          </w:tcPr>
          <w:p w14:paraId="7D88280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Reality confusion</w:t>
            </w:r>
          </w:p>
        </w:tc>
        <w:tc>
          <w:tcPr>
            <w:tcW w:w="1040" w:type="dxa"/>
          </w:tcPr>
          <w:p w14:paraId="6B749C8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73A627A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.79</w:t>
            </w:r>
          </w:p>
        </w:tc>
        <w:tc>
          <w:tcPr>
            <w:tcW w:w="1040" w:type="dxa"/>
          </w:tcPr>
          <w:p w14:paraId="484D3E6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6603A4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.62</w:t>
            </w:r>
          </w:p>
        </w:tc>
      </w:tr>
      <w:tr w:rsidR="007075D9" w:rsidRPr="004D46AC" w14:paraId="094FA43C" w14:textId="77777777" w:rsidTr="00B518F1">
        <w:trPr>
          <w:trHeight w:val="282"/>
        </w:trPr>
        <w:tc>
          <w:tcPr>
            <w:tcW w:w="814" w:type="dxa"/>
          </w:tcPr>
          <w:p w14:paraId="7016AD8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TR18</w:t>
            </w:r>
          </w:p>
        </w:tc>
        <w:tc>
          <w:tcPr>
            <w:tcW w:w="4001" w:type="dxa"/>
          </w:tcPr>
          <w:p w14:paraId="310D397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Precepted oddity in familiar surroundings</w:t>
            </w:r>
          </w:p>
        </w:tc>
        <w:tc>
          <w:tcPr>
            <w:tcW w:w="1040" w:type="dxa"/>
          </w:tcPr>
          <w:p w14:paraId="63616C8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B8C838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.75</w:t>
            </w:r>
          </w:p>
        </w:tc>
        <w:tc>
          <w:tcPr>
            <w:tcW w:w="1040" w:type="dxa"/>
          </w:tcPr>
          <w:p w14:paraId="489DC24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732220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.56</w:t>
            </w:r>
          </w:p>
        </w:tc>
      </w:tr>
      <w:tr w:rsidR="007075D9" w:rsidRPr="004D46AC" w14:paraId="38CDBF71" w14:textId="77777777" w:rsidTr="00B518F1">
        <w:trPr>
          <w:trHeight w:val="273"/>
        </w:trPr>
        <w:tc>
          <w:tcPr>
            <w:tcW w:w="814" w:type="dxa"/>
          </w:tcPr>
          <w:p w14:paraId="4F5C4EC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TR29</w:t>
            </w:r>
          </w:p>
        </w:tc>
        <w:tc>
          <w:tcPr>
            <w:tcW w:w="4001" w:type="dxa"/>
          </w:tcPr>
          <w:p w14:paraId="23476FA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Pseudo hallucinations</w:t>
            </w:r>
          </w:p>
        </w:tc>
        <w:tc>
          <w:tcPr>
            <w:tcW w:w="1040" w:type="dxa"/>
          </w:tcPr>
          <w:p w14:paraId="069426F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7CA70FB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.74</w:t>
            </w:r>
          </w:p>
        </w:tc>
        <w:tc>
          <w:tcPr>
            <w:tcW w:w="1040" w:type="dxa"/>
          </w:tcPr>
          <w:p w14:paraId="3012DEB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EF6B01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.74</w:t>
            </w:r>
          </w:p>
        </w:tc>
      </w:tr>
      <w:tr w:rsidR="007075D9" w:rsidRPr="004D46AC" w14:paraId="117ADE8B" w14:textId="77777777" w:rsidTr="00B518F1">
        <w:trPr>
          <w:trHeight w:val="273"/>
        </w:trPr>
        <w:tc>
          <w:tcPr>
            <w:tcW w:w="814" w:type="dxa"/>
          </w:tcPr>
          <w:p w14:paraId="4836132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TR30</w:t>
            </w:r>
          </w:p>
        </w:tc>
        <w:tc>
          <w:tcPr>
            <w:tcW w:w="4001" w:type="dxa"/>
          </w:tcPr>
          <w:p w14:paraId="5D8A062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Suspiciousness</w:t>
            </w:r>
          </w:p>
        </w:tc>
        <w:tc>
          <w:tcPr>
            <w:tcW w:w="1040" w:type="dxa"/>
          </w:tcPr>
          <w:p w14:paraId="131BD6F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E12D42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.80</w:t>
            </w:r>
          </w:p>
        </w:tc>
        <w:tc>
          <w:tcPr>
            <w:tcW w:w="1040" w:type="dxa"/>
          </w:tcPr>
          <w:p w14:paraId="2361401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4E3C7F5"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.64</w:t>
            </w:r>
          </w:p>
        </w:tc>
      </w:tr>
      <w:tr w:rsidR="007075D9" w:rsidRPr="004D46AC" w14:paraId="33569940" w14:textId="77777777" w:rsidTr="00B518F1">
        <w:trPr>
          <w:trHeight w:val="282"/>
        </w:trPr>
        <w:tc>
          <w:tcPr>
            <w:tcW w:w="814" w:type="dxa"/>
          </w:tcPr>
          <w:p w14:paraId="31B83A7C"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TR33</w:t>
            </w:r>
          </w:p>
        </w:tc>
        <w:tc>
          <w:tcPr>
            <w:tcW w:w="4001" w:type="dxa"/>
          </w:tcPr>
          <w:p w14:paraId="03A8858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Paranoia</w:t>
            </w:r>
          </w:p>
        </w:tc>
        <w:tc>
          <w:tcPr>
            <w:tcW w:w="1040" w:type="dxa"/>
          </w:tcPr>
          <w:p w14:paraId="73178E1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9B3FB53"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.67</w:t>
            </w:r>
          </w:p>
        </w:tc>
        <w:tc>
          <w:tcPr>
            <w:tcW w:w="1040" w:type="dxa"/>
          </w:tcPr>
          <w:p w14:paraId="38BD84A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997E5C5"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.45</w:t>
            </w:r>
          </w:p>
        </w:tc>
      </w:tr>
      <w:tr w:rsidR="007075D9" w:rsidRPr="004D46AC" w14:paraId="3BD3D2DD" w14:textId="77777777" w:rsidTr="00B518F1">
        <w:trPr>
          <w:trHeight w:val="273"/>
        </w:trPr>
        <w:tc>
          <w:tcPr>
            <w:tcW w:w="814" w:type="dxa"/>
          </w:tcPr>
          <w:p w14:paraId="1C41E83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TR13</w:t>
            </w:r>
          </w:p>
        </w:tc>
        <w:tc>
          <w:tcPr>
            <w:tcW w:w="4001" w:type="dxa"/>
          </w:tcPr>
          <w:p w14:paraId="277585A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Pressured speech/ talkative</w:t>
            </w:r>
          </w:p>
        </w:tc>
        <w:tc>
          <w:tcPr>
            <w:tcW w:w="1040" w:type="dxa"/>
          </w:tcPr>
          <w:p w14:paraId="6294458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D3D5125" w14:textId="77777777" w:rsidR="007075D9" w:rsidRPr="004D46AC" w:rsidRDefault="007075D9" w:rsidP="008A38FE">
            <w:pPr>
              <w:pStyle w:val="affe"/>
              <w:spacing w:line="360" w:lineRule="auto"/>
              <w:rPr>
                <w:rFonts w:ascii="Arial" w:hAnsi="Arial" w:cs="Arial"/>
                <w:sz w:val="22"/>
                <w:szCs w:val="22"/>
              </w:rPr>
            </w:pPr>
          </w:p>
        </w:tc>
        <w:tc>
          <w:tcPr>
            <w:tcW w:w="1040" w:type="dxa"/>
          </w:tcPr>
          <w:p w14:paraId="645EDC3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.73</w:t>
            </w:r>
          </w:p>
        </w:tc>
        <w:tc>
          <w:tcPr>
            <w:tcW w:w="1040" w:type="dxa"/>
          </w:tcPr>
          <w:p w14:paraId="263434A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.53</w:t>
            </w:r>
          </w:p>
        </w:tc>
      </w:tr>
      <w:tr w:rsidR="007075D9" w:rsidRPr="004D46AC" w14:paraId="658EFD0F" w14:textId="77777777" w:rsidTr="00B518F1">
        <w:trPr>
          <w:trHeight w:val="273"/>
        </w:trPr>
        <w:tc>
          <w:tcPr>
            <w:tcW w:w="814" w:type="dxa"/>
          </w:tcPr>
          <w:p w14:paraId="484D41F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lastRenderedPageBreak/>
              <w:t>TR14</w:t>
            </w:r>
          </w:p>
        </w:tc>
        <w:tc>
          <w:tcPr>
            <w:tcW w:w="4001" w:type="dxa"/>
          </w:tcPr>
          <w:p w14:paraId="56E8D78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Elevated self-confidence</w:t>
            </w:r>
          </w:p>
        </w:tc>
        <w:tc>
          <w:tcPr>
            <w:tcW w:w="1040" w:type="dxa"/>
          </w:tcPr>
          <w:p w14:paraId="3DA24438"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151FE5D3" w14:textId="77777777" w:rsidR="007075D9" w:rsidRPr="004D46AC" w:rsidRDefault="007075D9" w:rsidP="008A38FE">
            <w:pPr>
              <w:pStyle w:val="affe"/>
              <w:spacing w:line="360" w:lineRule="auto"/>
              <w:rPr>
                <w:rFonts w:ascii="Arial" w:hAnsi="Arial" w:cs="Arial"/>
                <w:sz w:val="22"/>
                <w:szCs w:val="22"/>
              </w:rPr>
            </w:pPr>
          </w:p>
        </w:tc>
        <w:tc>
          <w:tcPr>
            <w:tcW w:w="1040" w:type="dxa"/>
          </w:tcPr>
          <w:p w14:paraId="03C07C1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.79</w:t>
            </w:r>
          </w:p>
        </w:tc>
        <w:tc>
          <w:tcPr>
            <w:tcW w:w="1040" w:type="dxa"/>
          </w:tcPr>
          <w:p w14:paraId="0A6526D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.62</w:t>
            </w:r>
          </w:p>
        </w:tc>
      </w:tr>
      <w:tr w:rsidR="007075D9" w:rsidRPr="004D46AC" w14:paraId="7A6FDF19" w14:textId="77777777" w:rsidTr="00B518F1">
        <w:trPr>
          <w:trHeight w:val="282"/>
        </w:trPr>
        <w:tc>
          <w:tcPr>
            <w:tcW w:w="814" w:type="dxa"/>
          </w:tcPr>
          <w:p w14:paraId="398F202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TR16</w:t>
            </w:r>
          </w:p>
        </w:tc>
        <w:tc>
          <w:tcPr>
            <w:tcW w:w="4001" w:type="dxa"/>
          </w:tcPr>
          <w:p w14:paraId="42D28EF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Elevated mood or energy</w:t>
            </w:r>
          </w:p>
        </w:tc>
        <w:tc>
          <w:tcPr>
            <w:tcW w:w="1040" w:type="dxa"/>
          </w:tcPr>
          <w:p w14:paraId="22C3055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2EB117F3" w14:textId="77777777" w:rsidR="007075D9" w:rsidRPr="004D46AC" w:rsidRDefault="007075D9" w:rsidP="008A38FE">
            <w:pPr>
              <w:pStyle w:val="affe"/>
              <w:spacing w:line="360" w:lineRule="auto"/>
              <w:rPr>
                <w:rFonts w:ascii="Arial" w:hAnsi="Arial" w:cs="Arial"/>
                <w:sz w:val="22"/>
                <w:szCs w:val="22"/>
              </w:rPr>
            </w:pPr>
          </w:p>
        </w:tc>
        <w:tc>
          <w:tcPr>
            <w:tcW w:w="1040" w:type="dxa"/>
          </w:tcPr>
          <w:p w14:paraId="5AF09F5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.77</w:t>
            </w:r>
          </w:p>
        </w:tc>
        <w:tc>
          <w:tcPr>
            <w:tcW w:w="1040" w:type="dxa"/>
          </w:tcPr>
          <w:p w14:paraId="5C1DB32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.59</w:t>
            </w:r>
          </w:p>
        </w:tc>
      </w:tr>
      <w:tr w:rsidR="007075D9" w:rsidRPr="004D46AC" w14:paraId="02D98A20" w14:textId="77777777" w:rsidTr="00B518F1">
        <w:trPr>
          <w:trHeight w:val="273"/>
        </w:trPr>
        <w:tc>
          <w:tcPr>
            <w:tcW w:w="814" w:type="dxa"/>
          </w:tcPr>
          <w:p w14:paraId="30CEB7CC"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TR20</w:t>
            </w:r>
          </w:p>
        </w:tc>
        <w:tc>
          <w:tcPr>
            <w:tcW w:w="4001" w:type="dxa"/>
          </w:tcPr>
          <w:p w14:paraId="056DCE60"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Increased goal directed activities</w:t>
            </w:r>
          </w:p>
        </w:tc>
        <w:tc>
          <w:tcPr>
            <w:tcW w:w="1040" w:type="dxa"/>
          </w:tcPr>
          <w:p w14:paraId="6092F45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00B59C89" w14:textId="77777777" w:rsidR="007075D9" w:rsidRPr="004D46AC" w:rsidRDefault="007075D9" w:rsidP="008A38FE">
            <w:pPr>
              <w:pStyle w:val="affe"/>
              <w:spacing w:line="360" w:lineRule="auto"/>
              <w:rPr>
                <w:rFonts w:ascii="Arial" w:hAnsi="Arial" w:cs="Arial"/>
                <w:sz w:val="22"/>
                <w:szCs w:val="22"/>
              </w:rPr>
            </w:pPr>
          </w:p>
        </w:tc>
        <w:tc>
          <w:tcPr>
            <w:tcW w:w="1040" w:type="dxa"/>
          </w:tcPr>
          <w:p w14:paraId="5242D3D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.72</w:t>
            </w:r>
          </w:p>
        </w:tc>
        <w:tc>
          <w:tcPr>
            <w:tcW w:w="1040" w:type="dxa"/>
          </w:tcPr>
          <w:p w14:paraId="68C5AF0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.52</w:t>
            </w:r>
          </w:p>
        </w:tc>
      </w:tr>
      <w:tr w:rsidR="007075D9" w:rsidRPr="004D46AC" w14:paraId="7FEC66D2" w14:textId="77777777" w:rsidTr="00B518F1">
        <w:trPr>
          <w:trHeight w:val="282"/>
        </w:trPr>
        <w:tc>
          <w:tcPr>
            <w:tcW w:w="814" w:type="dxa"/>
          </w:tcPr>
          <w:p w14:paraId="6E949F8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TR22</w:t>
            </w:r>
          </w:p>
        </w:tc>
        <w:tc>
          <w:tcPr>
            <w:tcW w:w="4001" w:type="dxa"/>
          </w:tcPr>
          <w:p w14:paraId="56B8D6D6"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Grandiosity</w:t>
            </w:r>
          </w:p>
        </w:tc>
        <w:tc>
          <w:tcPr>
            <w:tcW w:w="1040" w:type="dxa"/>
          </w:tcPr>
          <w:p w14:paraId="0C16A397"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5B8E9525" w14:textId="77777777" w:rsidR="007075D9" w:rsidRPr="004D46AC" w:rsidRDefault="007075D9" w:rsidP="008A38FE">
            <w:pPr>
              <w:pStyle w:val="affe"/>
              <w:spacing w:line="360" w:lineRule="auto"/>
              <w:rPr>
                <w:rFonts w:ascii="Arial" w:hAnsi="Arial" w:cs="Arial"/>
                <w:sz w:val="22"/>
                <w:szCs w:val="22"/>
              </w:rPr>
            </w:pPr>
          </w:p>
        </w:tc>
        <w:tc>
          <w:tcPr>
            <w:tcW w:w="1040" w:type="dxa"/>
          </w:tcPr>
          <w:p w14:paraId="07FC9C9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.81</w:t>
            </w:r>
          </w:p>
        </w:tc>
        <w:tc>
          <w:tcPr>
            <w:tcW w:w="1040" w:type="dxa"/>
          </w:tcPr>
          <w:p w14:paraId="0110E34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.65</w:t>
            </w:r>
          </w:p>
        </w:tc>
      </w:tr>
      <w:tr w:rsidR="007075D9" w:rsidRPr="004D46AC" w14:paraId="529EEB2C" w14:textId="77777777" w:rsidTr="00B518F1">
        <w:trPr>
          <w:trHeight w:val="282"/>
        </w:trPr>
        <w:tc>
          <w:tcPr>
            <w:tcW w:w="814" w:type="dxa"/>
          </w:tcPr>
          <w:p w14:paraId="2B31776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TR25</w:t>
            </w:r>
          </w:p>
        </w:tc>
        <w:tc>
          <w:tcPr>
            <w:tcW w:w="4001" w:type="dxa"/>
          </w:tcPr>
          <w:p w14:paraId="23BFA6F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Idea of reference</w:t>
            </w:r>
          </w:p>
        </w:tc>
        <w:tc>
          <w:tcPr>
            <w:tcW w:w="1040" w:type="dxa"/>
          </w:tcPr>
          <w:p w14:paraId="0A75B3D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w:t>
            </w:r>
          </w:p>
        </w:tc>
        <w:tc>
          <w:tcPr>
            <w:tcW w:w="1040" w:type="dxa"/>
          </w:tcPr>
          <w:p w14:paraId="60820677" w14:textId="77777777" w:rsidR="007075D9" w:rsidRPr="004D46AC" w:rsidRDefault="007075D9" w:rsidP="008A38FE">
            <w:pPr>
              <w:pStyle w:val="affe"/>
              <w:spacing w:line="360" w:lineRule="auto"/>
              <w:rPr>
                <w:rFonts w:ascii="Arial" w:hAnsi="Arial" w:cs="Arial"/>
                <w:sz w:val="22"/>
                <w:szCs w:val="22"/>
              </w:rPr>
            </w:pPr>
          </w:p>
        </w:tc>
        <w:tc>
          <w:tcPr>
            <w:tcW w:w="1040" w:type="dxa"/>
          </w:tcPr>
          <w:p w14:paraId="773EF39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.72</w:t>
            </w:r>
          </w:p>
        </w:tc>
        <w:tc>
          <w:tcPr>
            <w:tcW w:w="1040" w:type="dxa"/>
          </w:tcPr>
          <w:p w14:paraId="45150649"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.52</w:t>
            </w:r>
          </w:p>
        </w:tc>
      </w:tr>
      <w:tr w:rsidR="007075D9" w:rsidRPr="004D46AC" w14:paraId="20ABEE0C" w14:textId="77777777" w:rsidTr="00B518F1">
        <w:trPr>
          <w:trHeight w:val="282"/>
        </w:trPr>
        <w:tc>
          <w:tcPr>
            <w:tcW w:w="4815" w:type="dxa"/>
            <w:gridSpan w:val="2"/>
          </w:tcPr>
          <w:p w14:paraId="35B0C9DB" w14:textId="77777777" w:rsidR="007075D9" w:rsidRPr="004D46AC" w:rsidRDefault="007075D9" w:rsidP="008A38FE">
            <w:pPr>
              <w:pStyle w:val="affe"/>
              <w:spacing w:line="360" w:lineRule="auto"/>
              <w:rPr>
                <w:rFonts w:ascii="Arial" w:hAnsi="Arial" w:cs="Arial"/>
                <w:sz w:val="22"/>
                <w:szCs w:val="22"/>
              </w:rPr>
            </w:pPr>
            <w:bookmarkStart w:id="262" w:name="_Hlk214975932"/>
          </w:p>
        </w:tc>
        <w:tc>
          <w:tcPr>
            <w:tcW w:w="1040" w:type="dxa"/>
          </w:tcPr>
          <w:p w14:paraId="5A3CAC5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Factor 1</w:t>
            </w:r>
          </w:p>
        </w:tc>
        <w:tc>
          <w:tcPr>
            <w:tcW w:w="1040" w:type="dxa"/>
          </w:tcPr>
          <w:p w14:paraId="64ACD1B5"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Factor 2</w:t>
            </w:r>
          </w:p>
        </w:tc>
        <w:tc>
          <w:tcPr>
            <w:tcW w:w="1040" w:type="dxa"/>
          </w:tcPr>
          <w:p w14:paraId="54F604D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Factor 3</w:t>
            </w:r>
          </w:p>
        </w:tc>
        <w:tc>
          <w:tcPr>
            <w:tcW w:w="1040" w:type="dxa"/>
          </w:tcPr>
          <w:p w14:paraId="7D2572A4" w14:textId="77777777" w:rsidR="007075D9" w:rsidRPr="004D46AC" w:rsidRDefault="007075D9" w:rsidP="008A38FE">
            <w:pPr>
              <w:pStyle w:val="affe"/>
              <w:spacing w:line="360" w:lineRule="auto"/>
              <w:rPr>
                <w:rFonts w:ascii="Arial" w:hAnsi="Arial" w:cs="Arial"/>
                <w:sz w:val="22"/>
                <w:szCs w:val="22"/>
              </w:rPr>
            </w:pPr>
          </w:p>
        </w:tc>
      </w:tr>
      <w:tr w:rsidR="007075D9" w:rsidRPr="004D46AC" w14:paraId="2519F353" w14:textId="77777777" w:rsidTr="00B518F1">
        <w:trPr>
          <w:trHeight w:val="282"/>
        </w:trPr>
        <w:tc>
          <w:tcPr>
            <w:tcW w:w="4815" w:type="dxa"/>
            <w:gridSpan w:val="2"/>
          </w:tcPr>
          <w:p w14:paraId="7ED80E8F"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Alpha</w:t>
            </w:r>
          </w:p>
        </w:tc>
        <w:tc>
          <w:tcPr>
            <w:tcW w:w="1040" w:type="dxa"/>
          </w:tcPr>
          <w:p w14:paraId="41B379B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.91</w:t>
            </w:r>
          </w:p>
        </w:tc>
        <w:tc>
          <w:tcPr>
            <w:tcW w:w="1040" w:type="dxa"/>
          </w:tcPr>
          <w:p w14:paraId="1D520FD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.89</w:t>
            </w:r>
          </w:p>
        </w:tc>
        <w:tc>
          <w:tcPr>
            <w:tcW w:w="1040" w:type="dxa"/>
          </w:tcPr>
          <w:p w14:paraId="70359BB1"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.88</w:t>
            </w:r>
          </w:p>
        </w:tc>
        <w:tc>
          <w:tcPr>
            <w:tcW w:w="1040" w:type="dxa"/>
          </w:tcPr>
          <w:p w14:paraId="53A2BC2D" w14:textId="77777777" w:rsidR="007075D9" w:rsidRPr="004D46AC" w:rsidRDefault="007075D9" w:rsidP="008A38FE">
            <w:pPr>
              <w:pStyle w:val="affe"/>
              <w:spacing w:line="360" w:lineRule="auto"/>
              <w:rPr>
                <w:rFonts w:ascii="Arial" w:hAnsi="Arial" w:cs="Arial"/>
                <w:sz w:val="22"/>
                <w:szCs w:val="22"/>
              </w:rPr>
            </w:pPr>
          </w:p>
        </w:tc>
      </w:tr>
      <w:tr w:rsidR="007075D9" w:rsidRPr="004D46AC" w14:paraId="435D4056" w14:textId="77777777" w:rsidTr="00B518F1">
        <w:trPr>
          <w:trHeight w:val="282"/>
        </w:trPr>
        <w:tc>
          <w:tcPr>
            <w:tcW w:w="4815" w:type="dxa"/>
            <w:gridSpan w:val="2"/>
          </w:tcPr>
          <w:p w14:paraId="6F987CFC"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Omega</w:t>
            </w:r>
          </w:p>
        </w:tc>
        <w:tc>
          <w:tcPr>
            <w:tcW w:w="1040" w:type="dxa"/>
          </w:tcPr>
          <w:p w14:paraId="47FFB47A"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.88</w:t>
            </w:r>
          </w:p>
        </w:tc>
        <w:tc>
          <w:tcPr>
            <w:tcW w:w="1040" w:type="dxa"/>
          </w:tcPr>
          <w:p w14:paraId="37BB7992"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.84</w:t>
            </w:r>
          </w:p>
        </w:tc>
        <w:tc>
          <w:tcPr>
            <w:tcW w:w="1040" w:type="dxa"/>
          </w:tcPr>
          <w:p w14:paraId="2E33BA4B"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.84</w:t>
            </w:r>
          </w:p>
        </w:tc>
        <w:tc>
          <w:tcPr>
            <w:tcW w:w="1040" w:type="dxa"/>
          </w:tcPr>
          <w:p w14:paraId="117EAA70" w14:textId="77777777" w:rsidR="007075D9" w:rsidRPr="004D46AC" w:rsidRDefault="007075D9" w:rsidP="008A38FE">
            <w:pPr>
              <w:pStyle w:val="affe"/>
              <w:spacing w:line="360" w:lineRule="auto"/>
              <w:rPr>
                <w:rFonts w:ascii="Arial" w:hAnsi="Arial" w:cs="Arial"/>
                <w:sz w:val="22"/>
                <w:szCs w:val="22"/>
              </w:rPr>
            </w:pPr>
          </w:p>
        </w:tc>
      </w:tr>
      <w:tr w:rsidR="007075D9" w:rsidRPr="004D46AC" w14:paraId="3E349F3B" w14:textId="77777777" w:rsidTr="00B518F1">
        <w:trPr>
          <w:trHeight w:val="282"/>
        </w:trPr>
        <w:tc>
          <w:tcPr>
            <w:tcW w:w="4815" w:type="dxa"/>
            <w:gridSpan w:val="2"/>
          </w:tcPr>
          <w:p w14:paraId="6B79FF2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AVE</w:t>
            </w:r>
          </w:p>
        </w:tc>
        <w:tc>
          <w:tcPr>
            <w:tcW w:w="1040" w:type="dxa"/>
          </w:tcPr>
          <w:p w14:paraId="423F5CA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.43</w:t>
            </w:r>
          </w:p>
        </w:tc>
        <w:tc>
          <w:tcPr>
            <w:tcW w:w="1040" w:type="dxa"/>
          </w:tcPr>
          <w:p w14:paraId="13D35874"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.55</w:t>
            </w:r>
          </w:p>
        </w:tc>
        <w:tc>
          <w:tcPr>
            <w:tcW w:w="1040" w:type="dxa"/>
          </w:tcPr>
          <w:p w14:paraId="2DF51A6E"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sz w:val="22"/>
                <w:szCs w:val="22"/>
              </w:rPr>
              <w:t>.57</w:t>
            </w:r>
          </w:p>
        </w:tc>
        <w:tc>
          <w:tcPr>
            <w:tcW w:w="1040" w:type="dxa"/>
          </w:tcPr>
          <w:p w14:paraId="2F03C1F5" w14:textId="77777777" w:rsidR="007075D9" w:rsidRPr="004D46AC" w:rsidRDefault="007075D9" w:rsidP="008A38FE">
            <w:pPr>
              <w:pStyle w:val="affe"/>
              <w:spacing w:line="360" w:lineRule="auto"/>
              <w:rPr>
                <w:rFonts w:ascii="Arial" w:hAnsi="Arial" w:cs="Arial"/>
                <w:sz w:val="22"/>
                <w:szCs w:val="22"/>
              </w:rPr>
            </w:pPr>
          </w:p>
        </w:tc>
      </w:tr>
    </w:tbl>
    <w:bookmarkEnd w:id="262"/>
    <w:p w14:paraId="03CD825D" w14:textId="77777777" w:rsidR="007075D9" w:rsidRPr="004D46AC" w:rsidRDefault="007075D9" w:rsidP="008A38FE">
      <w:pPr>
        <w:pStyle w:val="affe"/>
        <w:spacing w:line="360" w:lineRule="auto"/>
        <w:rPr>
          <w:rFonts w:ascii="Arial" w:hAnsi="Arial" w:cs="Arial"/>
          <w:sz w:val="22"/>
          <w:szCs w:val="22"/>
        </w:rPr>
      </w:pPr>
      <w:r w:rsidRPr="004D46AC">
        <w:rPr>
          <w:rFonts w:ascii="Arial" w:hAnsi="Arial" w:cs="Arial"/>
          <w:i/>
          <w:iCs/>
          <w:sz w:val="22"/>
          <w:szCs w:val="22"/>
        </w:rPr>
        <w:t>Note</w:t>
      </w:r>
      <w:r w:rsidRPr="004D46AC">
        <w:rPr>
          <w:rFonts w:ascii="Arial" w:hAnsi="Arial" w:cs="Arial"/>
          <w:sz w:val="22"/>
          <w:szCs w:val="22"/>
        </w:rPr>
        <w:t>. Factor loadings represent standardized estimates from the CFA. R</w:t>
      </w:r>
      <w:r w:rsidRPr="004D46AC">
        <w:rPr>
          <w:rFonts w:ascii="Arial" w:hAnsi="Arial" w:cs="Arial"/>
          <w:sz w:val="22"/>
          <w:szCs w:val="22"/>
          <w:vertAlign w:val="superscript"/>
        </w:rPr>
        <w:t>2</w:t>
      </w:r>
      <w:r w:rsidRPr="004D46AC">
        <w:rPr>
          <w:rFonts w:ascii="Arial" w:hAnsi="Arial" w:cs="Arial"/>
          <w:sz w:val="22"/>
          <w:szCs w:val="22"/>
        </w:rPr>
        <w:t xml:space="preserve"> indicates the variance explained by each factor. Alpha = ordinal Cronbach’s alpha; Omega = ordinal McDonald's omega; AVE = average variance extracted. Given the ordinal and skewed nature of the data, Omega and AVE were </w:t>
      </w:r>
      <w:proofErr w:type="spellStart"/>
      <w:r w:rsidRPr="004D46AC">
        <w:rPr>
          <w:rFonts w:ascii="Arial" w:hAnsi="Arial" w:cs="Arial"/>
          <w:sz w:val="22"/>
          <w:szCs w:val="22"/>
        </w:rPr>
        <w:t>prioritised</w:t>
      </w:r>
      <w:proofErr w:type="spellEnd"/>
      <w:r w:rsidRPr="004D46AC">
        <w:rPr>
          <w:rFonts w:ascii="Arial" w:hAnsi="Arial" w:cs="Arial"/>
          <w:sz w:val="22"/>
          <w:szCs w:val="22"/>
        </w:rPr>
        <w:t xml:space="preserve"> for evaluating reliability and validity, while Alpha was reported for reference. Items with loadings below .60 are bolded.</w:t>
      </w:r>
    </w:p>
    <w:p w14:paraId="7E0EDAC9" w14:textId="77777777" w:rsidR="007075D9" w:rsidRPr="004D46AC" w:rsidRDefault="007075D9" w:rsidP="00B518F1">
      <w:pPr>
        <w:rPr>
          <w:rFonts w:eastAsia="DengXian"/>
          <w:b/>
          <w:bCs/>
          <w:kern w:val="0"/>
          <w14:ligatures w14:val="none"/>
        </w:rPr>
      </w:pPr>
    </w:p>
    <w:p w14:paraId="05AB7735" w14:textId="7934163D" w:rsidR="009264C5" w:rsidRPr="004D46AC" w:rsidRDefault="007075D9" w:rsidP="0090577F">
      <w:pPr>
        <w:rPr>
          <w:rFonts w:eastAsiaTheme="minorEastAsia"/>
        </w:rPr>
      </w:pPr>
      <w:r w:rsidRPr="004D46AC">
        <w:t>To further evaluate the factor structure, a bifactor model was tested. This model specified one general factor capturing shared variance across all items, alongside three orthogonal specific factors. The bifactor model demonstrated improved fit relative to the three-factor model (</w:t>
      </w:r>
      <w:r w:rsidRPr="004D46AC">
        <w:rPr>
          <w:i/>
          <w:iCs/>
        </w:rPr>
        <w:t>CFI</w:t>
      </w:r>
      <w:r w:rsidRPr="004D46AC">
        <w:t xml:space="preserve"> = .96, </w:t>
      </w:r>
      <w:r w:rsidRPr="004D46AC">
        <w:rPr>
          <w:i/>
          <w:iCs/>
        </w:rPr>
        <w:t>TLI</w:t>
      </w:r>
      <w:r w:rsidRPr="004D46AC">
        <w:t xml:space="preserve"> = .95, </w:t>
      </w:r>
      <w:r w:rsidRPr="004D46AC">
        <w:rPr>
          <w:i/>
          <w:iCs/>
        </w:rPr>
        <w:t>RMSEA</w:t>
      </w:r>
      <w:r w:rsidRPr="004D46AC">
        <w:t xml:space="preserve"> = .064, 90% CI [.058, .070], </w:t>
      </w:r>
      <w:r w:rsidRPr="004D46AC">
        <w:rPr>
          <w:i/>
          <w:iCs/>
        </w:rPr>
        <w:t>SRMR</w:t>
      </w:r>
      <w:r w:rsidRPr="004D46AC">
        <w:t xml:space="preserve"> = .049). The model is best characterised as an incomplete bifactor structure, whereby some items (</w:t>
      </w:r>
      <w:proofErr w:type="gramStart"/>
      <w:r w:rsidRPr="004D46AC">
        <w:t>with the exception of</w:t>
      </w:r>
      <w:proofErr w:type="gramEnd"/>
      <w:r w:rsidRPr="004D46AC">
        <w:t xml:space="preserve"> auditory hallucinations, those measuring reality distortion) load solely on the general factor and not on any specific factor. Table </w:t>
      </w:r>
      <w:r w:rsidRPr="004D46AC">
        <w:rPr>
          <w:rFonts w:hint="eastAsia"/>
        </w:rPr>
        <w:t>5.4</w:t>
      </w:r>
      <w:r w:rsidRPr="004D46AC">
        <w:t xml:space="preserve"> presents the factor loadings of the model.</w:t>
      </w:r>
    </w:p>
    <w:p w14:paraId="43AF7ACF" w14:textId="77777777" w:rsidR="0090577F" w:rsidRPr="004D46AC" w:rsidRDefault="0090577F" w:rsidP="0090577F">
      <w:pPr>
        <w:rPr>
          <w:rFonts w:eastAsiaTheme="minorEastAsia"/>
        </w:rPr>
      </w:pPr>
    </w:p>
    <w:p w14:paraId="350F30AF" w14:textId="77777777" w:rsidR="004725A0" w:rsidRPr="004D46AC" w:rsidRDefault="009264C5" w:rsidP="004725A0">
      <w:pPr>
        <w:pStyle w:val="afff0"/>
        <w:spacing w:after="0" w:line="360" w:lineRule="auto"/>
        <w:ind w:firstLine="0"/>
        <w:rPr>
          <w:rFonts w:eastAsiaTheme="minorEastAsia"/>
          <w:b/>
          <w:bCs/>
          <w:i w:val="0"/>
          <w:iCs w:val="0"/>
          <w:color w:val="auto"/>
          <w:sz w:val="22"/>
          <w:szCs w:val="22"/>
        </w:rPr>
      </w:pPr>
      <w:bookmarkStart w:id="263" w:name="_Toc219883867"/>
      <w:bookmarkStart w:id="264" w:name="_Toc219870619"/>
      <w:r w:rsidRPr="004D46AC">
        <w:rPr>
          <w:b/>
          <w:bCs/>
          <w:i w:val="0"/>
          <w:iCs w:val="0"/>
          <w:color w:val="auto"/>
          <w:sz w:val="22"/>
          <w:szCs w:val="22"/>
        </w:rPr>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4</w:t>
      </w:r>
      <w:bookmarkEnd w:id="263"/>
      <w:r w:rsidR="004725A0" w:rsidRPr="004D46AC">
        <w:rPr>
          <w:b/>
          <w:bCs/>
          <w:i w:val="0"/>
          <w:iCs w:val="0"/>
          <w:color w:val="auto"/>
          <w:sz w:val="22"/>
          <w:szCs w:val="22"/>
        </w:rPr>
        <w:fldChar w:fldCharType="end"/>
      </w:r>
      <w:bookmarkEnd w:id="264"/>
    </w:p>
    <w:p w14:paraId="2AE78E1D" w14:textId="7A7694F2" w:rsidR="007075D9" w:rsidRPr="004D46AC" w:rsidRDefault="007075D9" w:rsidP="004725A0">
      <w:pPr>
        <w:pStyle w:val="afff0"/>
        <w:spacing w:after="0" w:line="360" w:lineRule="auto"/>
        <w:ind w:firstLine="0"/>
        <w:rPr>
          <w:rFonts w:eastAsiaTheme="minorEastAsia"/>
          <w:b/>
          <w:bCs/>
          <w:color w:val="auto"/>
          <w:sz w:val="22"/>
          <w:szCs w:val="22"/>
        </w:rPr>
      </w:pPr>
      <w:r w:rsidRPr="004D46AC">
        <w:rPr>
          <w:color w:val="auto"/>
          <w:sz w:val="22"/>
          <w:szCs w:val="22"/>
        </w:rPr>
        <w:t xml:space="preserve">Factor </w:t>
      </w:r>
      <w:r w:rsidR="00D70BAE" w:rsidRPr="004D46AC">
        <w:rPr>
          <w:rFonts w:eastAsiaTheme="minorEastAsia" w:hint="eastAsia"/>
          <w:color w:val="auto"/>
          <w:sz w:val="22"/>
          <w:szCs w:val="22"/>
        </w:rPr>
        <w:t>l</w:t>
      </w:r>
      <w:r w:rsidRPr="004D46AC">
        <w:rPr>
          <w:color w:val="auto"/>
          <w:sz w:val="22"/>
          <w:szCs w:val="22"/>
        </w:rPr>
        <w:t xml:space="preserve">oadings of the </w:t>
      </w:r>
      <w:r w:rsidR="00D70BAE" w:rsidRPr="004D46AC">
        <w:rPr>
          <w:rFonts w:eastAsiaTheme="minorEastAsia" w:hint="eastAsia"/>
          <w:color w:val="auto"/>
          <w:sz w:val="22"/>
          <w:szCs w:val="22"/>
        </w:rPr>
        <w:t>b</w:t>
      </w:r>
      <w:r w:rsidRPr="004D46AC">
        <w:rPr>
          <w:color w:val="auto"/>
          <w:sz w:val="22"/>
          <w:szCs w:val="22"/>
        </w:rPr>
        <w:t>i-</w:t>
      </w:r>
      <w:r w:rsidR="00D70BAE" w:rsidRPr="004D46AC">
        <w:rPr>
          <w:rFonts w:eastAsiaTheme="minorEastAsia" w:hint="eastAsia"/>
          <w:color w:val="auto"/>
          <w:sz w:val="22"/>
          <w:szCs w:val="22"/>
        </w:rPr>
        <w:t>f</w:t>
      </w:r>
      <w:r w:rsidRPr="004D46AC">
        <w:rPr>
          <w:color w:val="auto"/>
          <w:sz w:val="22"/>
          <w:szCs w:val="22"/>
        </w:rPr>
        <w:t xml:space="preserve">actor </w:t>
      </w:r>
      <w:r w:rsidR="00D70BAE" w:rsidRPr="004D46AC">
        <w:rPr>
          <w:rFonts w:eastAsiaTheme="minorEastAsia" w:hint="eastAsia"/>
          <w:color w:val="auto"/>
          <w:sz w:val="22"/>
          <w:szCs w:val="22"/>
        </w:rPr>
        <w:t>m</w:t>
      </w:r>
      <w:r w:rsidRPr="004D46AC">
        <w:rPr>
          <w:color w:val="auto"/>
          <w:sz w:val="22"/>
          <w:szCs w:val="22"/>
        </w:rPr>
        <w:t>odel</w:t>
      </w:r>
    </w:p>
    <w:tbl>
      <w:tblPr>
        <w:tblStyle w:val="afc"/>
        <w:tblW w:w="0" w:type="auto"/>
        <w:tblLook w:val="04A0" w:firstRow="1" w:lastRow="0" w:firstColumn="1" w:lastColumn="0" w:noHBand="0" w:noVBand="1"/>
      </w:tblPr>
      <w:tblGrid>
        <w:gridCol w:w="798"/>
        <w:gridCol w:w="4159"/>
        <w:gridCol w:w="673"/>
        <w:gridCol w:w="673"/>
        <w:gridCol w:w="673"/>
        <w:gridCol w:w="674"/>
        <w:gridCol w:w="1366"/>
      </w:tblGrid>
      <w:tr w:rsidR="007075D9" w:rsidRPr="004D46AC" w14:paraId="56BD15E3" w14:textId="77777777" w:rsidTr="00B518F1">
        <w:trPr>
          <w:trHeight w:val="273"/>
        </w:trPr>
        <w:tc>
          <w:tcPr>
            <w:tcW w:w="798" w:type="dxa"/>
          </w:tcPr>
          <w:p w14:paraId="1043B066" w14:textId="77777777" w:rsidR="007075D9" w:rsidRPr="004D46AC" w:rsidRDefault="007075D9" w:rsidP="0090577F">
            <w:pPr>
              <w:spacing w:line="360" w:lineRule="auto"/>
              <w:ind w:firstLine="0"/>
            </w:pPr>
            <w:r w:rsidRPr="004D46AC">
              <w:t>Items</w:t>
            </w:r>
          </w:p>
        </w:tc>
        <w:tc>
          <w:tcPr>
            <w:tcW w:w="4159" w:type="dxa"/>
          </w:tcPr>
          <w:p w14:paraId="0FD305EF" w14:textId="77777777" w:rsidR="007075D9" w:rsidRPr="004D46AC" w:rsidRDefault="007075D9" w:rsidP="0090577F">
            <w:pPr>
              <w:spacing w:line="360" w:lineRule="auto"/>
              <w:ind w:firstLine="0"/>
            </w:pPr>
            <w:r w:rsidRPr="004D46AC">
              <w:t>Short names</w:t>
            </w:r>
          </w:p>
        </w:tc>
        <w:tc>
          <w:tcPr>
            <w:tcW w:w="673" w:type="dxa"/>
          </w:tcPr>
          <w:p w14:paraId="2D97633D" w14:textId="77777777" w:rsidR="007075D9" w:rsidRPr="004D46AC" w:rsidRDefault="007075D9" w:rsidP="0090577F">
            <w:pPr>
              <w:spacing w:line="360" w:lineRule="auto"/>
              <w:ind w:firstLine="0"/>
            </w:pPr>
            <w:r w:rsidRPr="004D46AC">
              <w:t>GF</w:t>
            </w:r>
          </w:p>
        </w:tc>
        <w:tc>
          <w:tcPr>
            <w:tcW w:w="673" w:type="dxa"/>
          </w:tcPr>
          <w:p w14:paraId="23C6E498" w14:textId="77777777" w:rsidR="007075D9" w:rsidRPr="004D46AC" w:rsidRDefault="007075D9" w:rsidP="0090577F">
            <w:pPr>
              <w:spacing w:line="360" w:lineRule="auto"/>
              <w:ind w:firstLine="0"/>
            </w:pPr>
            <w:r w:rsidRPr="004D46AC">
              <w:t>F1</w:t>
            </w:r>
          </w:p>
        </w:tc>
        <w:tc>
          <w:tcPr>
            <w:tcW w:w="673" w:type="dxa"/>
          </w:tcPr>
          <w:p w14:paraId="203C4EFF" w14:textId="77777777" w:rsidR="007075D9" w:rsidRPr="004D46AC" w:rsidRDefault="007075D9" w:rsidP="0090577F">
            <w:pPr>
              <w:spacing w:line="360" w:lineRule="auto"/>
              <w:ind w:firstLine="0"/>
            </w:pPr>
            <w:r w:rsidRPr="004D46AC">
              <w:t>F2</w:t>
            </w:r>
          </w:p>
        </w:tc>
        <w:tc>
          <w:tcPr>
            <w:tcW w:w="674" w:type="dxa"/>
          </w:tcPr>
          <w:p w14:paraId="44AF53D2" w14:textId="77777777" w:rsidR="007075D9" w:rsidRPr="004D46AC" w:rsidRDefault="007075D9" w:rsidP="0090577F">
            <w:pPr>
              <w:spacing w:line="360" w:lineRule="auto"/>
              <w:ind w:firstLine="0"/>
            </w:pPr>
            <w:r w:rsidRPr="004D46AC">
              <w:t>F3</w:t>
            </w:r>
          </w:p>
        </w:tc>
        <w:tc>
          <w:tcPr>
            <w:tcW w:w="1366" w:type="dxa"/>
          </w:tcPr>
          <w:p w14:paraId="152F6832" w14:textId="77777777" w:rsidR="007075D9" w:rsidRPr="004D46AC" w:rsidRDefault="007075D9" w:rsidP="0090577F">
            <w:pPr>
              <w:spacing w:line="360" w:lineRule="auto"/>
              <w:ind w:firstLine="0"/>
            </w:pPr>
            <w:r w:rsidRPr="004D46AC">
              <w:t>R</w:t>
            </w:r>
            <w:r w:rsidRPr="004D46AC">
              <w:rPr>
                <w:vertAlign w:val="superscript"/>
              </w:rPr>
              <w:t>2</w:t>
            </w:r>
            <w:r w:rsidRPr="004D46AC">
              <w:t xml:space="preserve"> (GF/SF)</w:t>
            </w:r>
          </w:p>
        </w:tc>
      </w:tr>
      <w:tr w:rsidR="007075D9" w:rsidRPr="004D46AC" w14:paraId="74588E58" w14:textId="77777777" w:rsidTr="00B518F1">
        <w:trPr>
          <w:trHeight w:val="282"/>
        </w:trPr>
        <w:tc>
          <w:tcPr>
            <w:tcW w:w="798" w:type="dxa"/>
          </w:tcPr>
          <w:p w14:paraId="2EFD897F" w14:textId="77777777" w:rsidR="007075D9" w:rsidRPr="004D46AC" w:rsidRDefault="007075D9" w:rsidP="0090577F">
            <w:pPr>
              <w:spacing w:line="360" w:lineRule="auto"/>
              <w:ind w:firstLine="0"/>
            </w:pPr>
            <w:bookmarkStart w:id="265" w:name="_Hlk214191369"/>
            <w:r w:rsidRPr="004D46AC">
              <w:t>TR3</w:t>
            </w:r>
          </w:p>
        </w:tc>
        <w:tc>
          <w:tcPr>
            <w:tcW w:w="4159" w:type="dxa"/>
          </w:tcPr>
          <w:p w14:paraId="4F90936B" w14:textId="77777777" w:rsidR="007075D9" w:rsidRPr="004D46AC" w:rsidRDefault="007075D9" w:rsidP="0090577F">
            <w:pPr>
              <w:spacing w:line="360" w:lineRule="auto"/>
              <w:ind w:firstLine="0"/>
            </w:pPr>
            <w:r w:rsidRPr="004D46AC">
              <w:t>Impulsivity</w:t>
            </w:r>
          </w:p>
        </w:tc>
        <w:tc>
          <w:tcPr>
            <w:tcW w:w="673" w:type="dxa"/>
          </w:tcPr>
          <w:p w14:paraId="7874583E" w14:textId="77777777" w:rsidR="007075D9" w:rsidRPr="004D46AC" w:rsidRDefault="007075D9" w:rsidP="0090577F">
            <w:pPr>
              <w:spacing w:line="360" w:lineRule="auto"/>
              <w:ind w:firstLine="0"/>
            </w:pPr>
            <w:r w:rsidRPr="004D46AC">
              <w:t>.48</w:t>
            </w:r>
          </w:p>
        </w:tc>
        <w:tc>
          <w:tcPr>
            <w:tcW w:w="673" w:type="dxa"/>
          </w:tcPr>
          <w:p w14:paraId="226A43B4" w14:textId="77777777" w:rsidR="007075D9" w:rsidRPr="004D46AC" w:rsidRDefault="007075D9" w:rsidP="0090577F">
            <w:pPr>
              <w:spacing w:line="360" w:lineRule="auto"/>
              <w:ind w:firstLine="0"/>
            </w:pPr>
            <w:r w:rsidRPr="004D46AC">
              <w:t>.35</w:t>
            </w:r>
          </w:p>
        </w:tc>
        <w:tc>
          <w:tcPr>
            <w:tcW w:w="673" w:type="dxa"/>
          </w:tcPr>
          <w:p w14:paraId="61B4098F" w14:textId="77777777" w:rsidR="007075D9" w:rsidRPr="004D46AC" w:rsidRDefault="007075D9" w:rsidP="0090577F">
            <w:pPr>
              <w:spacing w:line="360" w:lineRule="auto"/>
              <w:ind w:firstLine="0"/>
            </w:pPr>
          </w:p>
        </w:tc>
        <w:tc>
          <w:tcPr>
            <w:tcW w:w="674" w:type="dxa"/>
          </w:tcPr>
          <w:p w14:paraId="52DFA37E" w14:textId="77777777" w:rsidR="007075D9" w:rsidRPr="004D46AC" w:rsidRDefault="007075D9" w:rsidP="0090577F">
            <w:pPr>
              <w:spacing w:line="360" w:lineRule="auto"/>
              <w:ind w:firstLine="0"/>
            </w:pPr>
          </w:p>
        </w:tc>
        <w:tc>
          <w:tcPr>
            <w:tcW w:w="1366" w:type="dxa"/>
          </w:tcPr>
          <w:p w14:paraId="688FEBDE" w14:textId="77777777" w:rsidR="007075D9" w:rsidRPr="004D46AC" w:rsidRDefault="007075D9" w:rsidP="0090577F">
            <w:pPr>
              <w:spacing w:line="360" w:lineRule="auto"/>
              <w:ind w:firstLine="0"/>
            </w:pPr>
            <w:r w:rsidRPr="004D46AC">
              <w:rPr>
                <w:color w:val="000000"/>
              </w:rPr>
              <w:t>.23/ .13</w:t>
            </w:r>
          </w:p>
        </w:tc>
      </w:tr>
      <w:tr w:rsidR="007075D9" w:rsidRPr="004D46AC" w14:paraId="6AF77034" w14:textId="77777777" w:rsidTr="00B518F1">
        <w:trPr>
          <w:trHeight w:val="273"/>
        </w:trPr>
        <w:tc>
          <w:tcPr>
            <w:tcW w:w="798" w:type="dxa"/>
          </w:tcPr>
          <w:p w14:paraId="0459B8FD" w14:textId="77777777" w:rsidR="007075D9" w:rsidRPr="004D46AC" w:rsidRDefault="007075D9" w:rsidP="0090577F">
            <w:pPr>
              <w:spacing w:line="360" w:lineRule="auto"/>
              <w:ind w:firstLine="0"/>
            </w:pPr>
            <w:r w:rsidRPr="004D46AC">
              <w:t>TR5</w:t>
            </w:r>
          </w:p>
        </w:tc>
        <w:tc>
          <w:tcPr>
            <w:tcW w:w="4159" w:type="dxa"/>
          </w:tcPr>
          <w:p w14:paraId="011A6E7F" w14:textId="77777777" w:rsidR="007075D9" w:rsidRPr="004D46AC" w:rsidRDefault="007075D9" w:rsidP="0090577F">
            <w:pPr>
              <w:spacing w:line="360" w:lineRule="auto"/>
              <w:ind w:firstLine="0"/>
            </w:pPr>
            <w:r w:rsidRPr="004D46AC">
              <w:t>Racing thoughts</w:t>
            </w:r>
          </w:p>
        </w:tc>
        <w:tc>
          <w:tcPr>
            <w:tcW w:w="673" w:type="dxa"/>
          </w:tcPr>
          <w:p w14:paraId="6E0DB488" w14:textId="77777777" w:rsidR="007075D9" w:rsidRPr="004D46AC" w:rsidRDefault="007075D9" w:rsidP="0090577F">
            <w:pPr>
              <w:spacing w:line="360" w:lineRule="auto"/>
              <w:ind w:firstLine="0"/>
            </w:pPr>
            <w:r w:rsidRPr="004D46AC">
              <w:t>.38</w:t>
            </w:r>
          </w:p>
        </w:tc>
        <w:tc>
          <w:tcPr>
            <w:tcW w:w="673" w:type="dxa"/>
          </w:tcPr>
          <w:p w14:paraId="1ED3C0AB" w14:textId="77777777" w:rsidR="007075D9" w:rsidRPr="004D46AC" w:rsidRDefault="007075D9" w:rsidP="0090577F">
            <w:pPr>
              <w:spacing w:line="360" w:lineRule="auto"/>
              <w:ind w:firstLine="0"/>
            </w:pPr>
            <w:r w:rsidRPr="004D46AC">
              <w:t>.53</w:t>
            </w:r>
          </w:p>
        </w:tc>
        <w:tc>
          <w:tcPr>
            <w:tcW w:w="673" w:type="dxa"/>
          </w:tcPr>
          <w:p w14:paraId="3C93177E" w14:textId="77777777" w:rsidR="007075D9" w:rsidRPr="004D46AC" w:rsidRDefault="007075D9" w:rsidP="0090577F">
            <w:pPr>
              <w:spacing w:line="360" w:lineRule="auto"/>
              <w:ind w:firstLine="0"/>
            </w:pPr>
          </w:p>
        </w:tc>
        <w:tc>
          <w:tcPr>
            <w:tcW w:w="674" w:type="dxa"/>
          </w:tcPr>
          <w:p w14:paraId="71F91F87" w14:textId="77777777" w:rsidR="007075D9" w:rsidRPr="004D46AC" w:rsidRDefault="007075D9" w:rsidP="0090577F">
            <w:pPr>
              <w:spacing w:line="360" w:lineRule="auto"/>
              <w:ind w:firstLine="0"/>
            </w:pPr>
          </w:p>
        </w:tc>
        <w:tc>
          <w:tcPr>
            <w:tcW w:w="1366" w:type="dxa"/>
          </w:tcPr>
          <w:p w14:paraId="7D3B6750" w14:textId="77777777" w:rsidR="007075D9" w:rsidRPr="004D46AC" w:rsidRDefault="007075D9" w:rsidP="0090577F">
            <w:pPr>
              <w:spacing w:line="360" w:lineRule="auto"/>
              <w:ind w:firstLine="0"/>
            </w:pPr>
            <w:r w:rsidRPr="004D46AC">
              <w:rPr>
                <w:color w:val="000000"/>
              </w:rPr>
              <w:t>.14/ .28</w:t>
            </w:r>
          </w:p>
        </w:tc>
      </w:tr>
      <w:tr w:rsidR="007075D9" w:rsidRPr="004D46AC" w14:paraId="4BDC4AD6" w14:textId="77777777" w:rsidTr="00B518F1">
        <w:trPr>
          <w:trHeight w:val="273"/>
        </w:trPr>
        <w:tc>
          <w:tcPr>
            <w:tcW w:w="798" w:type="dxa"/>
          </w:tcPr>
          <w:p w14:paraId="31987CBE" w14:textId="77777777" w:rsidR="007075D9" w:rsidRPr="004D46AC" w:rsidRDefault="007075D9" w:rsidP="0090577F">
            <w:pPr>
              <w:spacing w:line="360" w:lineRule="auto"/>
              <w:ind w:firstLine="0"/>
            </w:pPr>
            <w:r w:rsidRPr="004D46AC">
              <w:t>TR7</w:t>
            </w:r>
          </w:p>
        </w:tc>
        <w:tc>
          <w:tcPr>
            <w:tcW w:w="4159" w:type="dxa"/>
          </w:tcPr>
          <w:p w14:paraId="41F6569F" w14:textId="77777777" w:rsidR="007075D9" w:rsidRPr="004D46AC" w:rsidRDefault="007075D9" w:rsidP="0090577F">
            <w:pPr>
              <w:spacing w:line="360" w:lineRule="auto"/>
              <w:ind w:firstLine="0"/>
            </w:pPr>
            <w:r w:rsidRPr="004D46AC">
              <w:t>Low mood</w:t>
            </w:r>
          </w:p>
        </w:tc>
        <w:tc>
          <w:tcPr>
            <w:tcW w:w="673" w:type="dxa"/>
          </w:tcPr>
          <w:p w14:paraId="2265E42F" w14:textId="77777777" w:rsidR="007075D9" w:rsidRPr="004D46AC" w:rsidRDefault="007075D9" w:rsidP="0090577F">
            <w:pPr>
              <w:spacing w:line="360" w:lineRule="auto"/>
              <w:ind w:firstLine="0"/>
            </w:pPr>
            <w:r w:rsidRPr="004D46AC">
              <w:t>.43</w:t>
            </w:r>
          </w:p>
        </w:tc>
        <w:tc>
          <w:tcPr>
            <w:tcW w:w="673" w:type="dxa"/>
          </w:tcPr>
          <w:p w14:paraId="39EFB16C" w14:textId="77777777" w:rsidR="007075D9" w:rsidRPr="004D46AC" w:rsidRDefault="007075D9" w:rsidP="0090577F">
            <w:pPr>
              <w:spacing w:line="360" w:lineRule="auto"/>
              <w:ind w:firstLine="0"/>
            </w:pPr>
            <w:r w:rsidRPr="004D46AC">
              <w:t>.57</w:t>
            </w:r>
          </w:p>
        </w:tc>
        <w:tc>
          <w:tcPr>
            <w:tcW w:w="673" w:type="dxa"/>
          </w:tcPr>
          <w:p w14:paraId="3B76479D" w14:textId="77777777" w:rsidR="007075D9" w:rsidRPr="004D46AC" w:rsidRDefault="007075D9" w:rsidP="0090577F">
            <w:pPr>
              <w:spacing w:line="360" w:lineRule="auto"/>
              <w:ind w:firstLine="0"/>
            </w:pPr>
          </w:p>
        </w:tc>
        <w:tc>
          <w:tcPr>
            <w:tcW w:w="674" w:type="dxa"/>
          </w:tcPr>
          <w:p w14:paraId="43A62189" w14:textId="77777777" w:rsidR="007075D9" w:rsidRPr="004D46AC" w:rsidRDefault="007075D9" w:rsidP="0090577F">
            <w:pPr>
              <w:spacing w:line="360" w:lineRule="auto"/>
              <w:ind w:firstLine="0"/>
            </w:pPr>
          </w:p>
        </w:tc>
        <w:tc>
          <w:tcPr>
            <w:tcW w:w="1366" w:type="dxa"/>
          </w:tcPr>
          <w:p w14:paraId="576153E5" w14:textId="77777777" w:rsidR="007075D9" w:rsidRPr="004D46AC" w:rsidRDefault="007075D9" w:rsidP="0090577F">
            <w:pPr>
              <w:spacing w:line="360" w:lineRule="auto"/>
              <w:ind w:firstLine="0"/>
            </w:pPr>
            <w:r w:rsidRPr="004D46AC">
              <w:rPr>
                <w:color w:val="000000"/>
              </w:rPr>
              <w:t>.19/ .33</w:t>
            </w:r>
          </w:p>
        </w:tc>
      </w:tr>
      <w:tr w:rsidR="007075D9" w:rsidRPr="004D46AC" w14:paraId="62C2EEDD" w14:textId="77777777" w:rsidTr="00B518F1">
        <w:trPr>
          <w:trHeight w:val="282"/>
        </w:trPr>
        <w:tc>
          <w:tcPr>
            <w:tcW w:w="798" w:type="dxa"/>
          </w:tcPr>
          <w:p w14:paraId="5D2FDAFE" w14:textId="77777777" w:rsidR="007075D9" w:rsidRPr="004D46AC" w:rsidRDefault="007075D9" w:rsidP="0090577F">
            <w:pPr>
              <w:spacing w:line="360" w:lineRule="auto"/>
              <w:ind w:firstLine="0"/>
            </w:pPr>
            <w:r w:rsidRPr="004D46AC">
              <w:t>TR12</w:t>
            </w:r>
          </w:p>
        </w:tc>
        <w:tc>
          <w:tcPr>
            <w:tcW w:w="4159" w:type="dxa"/>
          </w:tcPr>
          <w:p w14:paraId="0FF127A8" w14:textId="77777777" w:rsidR="007075D9" w:rsidRPr="004D46AC" w:rsidRDefault="007075D9" w:rsidP="0090577F">
            <w:pPr>
              <w:spacing w:line="360" w:lineRule="auto"/>
              <w:ind w:firstLine="0"/>
            </w:pPr>
            <w:r w:rsidRPr="004D46AC">
              <w:t>Disorganized thinking</w:t>
            </w:r>
          </w:p>
        </w:tc>
        <w:tc>
          <w:tcPr>
            <w:tcW w:w="673" w:type="dxa"/>
          </w:tcPr>
          <w:p w14:paraId="318B024B" w14:textId="77777777" w:rsidR="007075D9" w:rsidRPr="004D46AC" w:rsidRDefault="007075D9" w:rsidP="0090577F">
            <w:pPr>
              <w:spacing w:line="360" w:lineRule="auto"/>
              <w:ind w:firstLine="0"/>
            </w:pPr>
            <w:r w:rsidRPr="004D46AC">
              <w:t>.04</w:t>
            </w:r>
          </w:p>
        </w:tc>
        <w:tc>
          <w:tcPr>
            <w:tcW w:w="673" w:type="dxa"/>
          </w:tcPr>
          <w:p w14:paraId="3CE3BBCE" w14:textId="77777777" w:rsidR="007075D9" w:rsidRPr="004D46AC" w:rsidRDefault="007075D9" w:rsidP="0090577F">
            <w:pPr>
              <w:spacing w:line="360" w:lineRule="auto"/>
              <w:ind w:firstLine="0"/>
            </w:pPr>
            <w:r w:rsidRPr="004D46AC">
              <w:t>.65</w:t>
            </w:r>
          </w:p>
        </w:tc>
        <w:tc>
          <w:tcPr>
            <w:tcW w:w="673" w:type="dxa"/>
          </w:tcPr>
          <w:p w14:paraId="07A8AF65" w14:textId="77777777" w:rsidR="007075D9" w:rsidRPr="004D46AC" w:rsidRDefault="007075D9" w:rsidP="0090577F">
            <w:pPr>
              <w:spacing w:line="360" w:lineRule="auto"/>
              <w:ind w:firstLine="0"/>
            </w:pPr>
          </w:p>
        </w:tc>
        <w:tc>
          <w:tcPr>
            <w:tcW w:w="674" w:type="dxa"/>
          </w:tcPr>
          <w:p w14:paraId="6D5D7C32" w14:textId="77777777" w:rsidR="007075D9" w:rsidRPr="004D46AC" w:rsidRDefault="007075D9" w:rsidP="0090577F">
            <w:pPr>
              <w:spacing w:line="360" w:lineRule="auto"/>
              <w:ind w:firstLine="0"/>
            </w:pPr>
          </w:p>
        </w:tc>
        <w:tc>
          <w:tcPr>
            <w:tcW w:w="1366" w:type="dxa"/>
          </w:tcPr>
          <w:p w14:paraId="36728772" w14:textId="77777777" w:rsidR="007075D9" w:rsidRPr="004D46AC" w:rsidRDefault="007075D9" w:rsidP="0090577F">
            <w:pPr>
              <w:spacing w:line="360" w:lineRule="auto"/>
              <w:ind w:firstLine="0"/>
            </w:pPr>
            <w:r w:rsidRPr="004D46AC">
              <w:rPr>
                <w:color w:val="000000"/>
              </w:rPr>
              <w:t>.002/ .42</w:t>
            </w:r>
          </w:p>
        </w:tc>
      </w:tr>
      <w:tr w:rsidR="007075D9" w:rsidRPr="004D46AC" w14:paraId="3EA7D104" w14:textId="77777777" w:rsidTr="00B518F1">
        <w:trPr>
          <w:trHeight w:val="273"/>
        </w:trPr>
        <w:tc>
          <w:tcPr>
            <w:tcW w:w="798" w:type="dxa"/>
          </w:tcPr>
          <w:p w14:paraId="6B5274F1" w14:textId="77777777" w:rsidR="007075D9" w:rsidRPr="004D46AC" w:rsidRDefault="007075D9" w:rsidP="0090577F">
            <w:pPr>
              <w:spacing w:line="360" w:lineRule="auto"/>
              <w:ind w:firstLine="0"/>
            </w:pPr>
            <w:r w:rsidRPr="004D46AC">
              <w:t>TR15</w:t>
            </w:r>
          </w:p>
        </w:tc>
        <w:tc>
          <w:tcPr>
            <w:tcW w:w="4159" w:type="dxa"/>
          </w:tcPr>
          <w:p w14:paraId="555D2787" w14:textId="77777777" w:rsidR="007075D9" w:rsidRPr="004D46AC" w:rsidRDefault="007075D9" w:rsidP="0090577F">
            <w:pPr>
              <w:spacing w:line="360" w:lineRule="auto"/>
              <w:ind w:firstLine="0"/>
            </w:pPr>
            <w:r w:rsidRPr="004D46AC">
              <w:t>Emptiness</w:t>
            </w:r>
          </w:p>
        </w:tc>
        <w:tc>
          <w:tcPr>
            <w:tcW w:w="673" w:type="dxa"/>
          </w:tcPr>
          <w:p w14:paraId="71C2481F" w14:textId="77777777" w:rsidR="007075D9" w:rsidRPr="004D46AC" w:rsidRDefault="007075D9" w:rsidP="0090577F">
            <w:pPr>
              <w:spacing w:line="360" w:lineRule="auto"/>
              <w:ind w:firstLine="0"/>
            </w:pPr>
            <w:r w:rsidRPr="004D46AC">
              <w:t>.44</w:t>
            </w:r>
          </w:p>
        </w:tc>
        <w:tc>
          <w:tcPr>
            <w:tcW w:w="673" w:type="dxa"/>
          </w:tcPr>
          <w:p w14:paraId="4555C48C" w14:textId="77777777" w:rsidR="007075D9" w:rsidRPr="004D46AC" w:rsidRDefault="007075D9" w:rsidP="0090577F">
            <w:pPr>
              <w:spacing w:line="360" w:lineRule="auto"/>
              <w:ind w:firstLine="0"/>
            </w:pPr>
            <w:r w:rsidRPr="004D46AC">
              <w:t>.59</w:t>
            </w:r>
          </w:p>
        </w:tc>
        <w:tc>
          <w:tcPr>
            <w:tcW w:w="673" w:type="dxa"/>
          </w:tcPr>
          <w:p w14:paraId="06620F4C" w14:textId="77777777" w:rsidR="007075D9" w:rsidRPr="004D46AC" w:rsidRDefault="007075D9" w:rsidP="0090577F">
            <w:pPr>
              <w:spacing w:line="360" w:lineRule="auto"/>
              <w:ind w:firstLine="0"/>
            </w:pPr>
          </w:p>
        </w:tc>
        <w:tc>
          <w:tcPr>
            <w:tcW w:w="674" w:type="dxa"/>
          </w:tcPr>
          <w:p w14:paraId="7AF18151" w14:textId="77777777" w:rsidR="007075D9" w:rsidRPr="004D46AC" w:rsidRDefault="007075D9" w:rsidP="0090577F">
            <w:pPr>
              <w:spacing w:line="360" w:lineRule="auto"/>
              <w:ind w:firstLine="0"/>
            </w:pPr>
          </w:p>
        </w:tc>
        <w:tc>
          <w:tcPr>
            <w:tcW w:w="1366" w:type="dxa"/>
          </w:tcPr>
          <w:p w14:paraId="1DFAEECC" w14:textId="77777777" w:rsidR="007075D9" w:rsidRPr="004D46AC" w:rsidRDefault="007075D9" w:rsidP="0090577F">
            <w:pPr>
              <w:spacing w:line="360" w:lineRule="auto"/>
              <w:ind w:firstLine="0"/>
            </w:pPr>
            <w:r w:rsidRPr="004D46AC">
              <w:rPr>
                <w:color w:val="000000"/>
              </w:rPr>
              <w:t>.19/ .35</w:t>
            </w:r>
          </w:p>
        </w:tc>
      </w:tr>
      <w:tr w:rsidR="007075D9" w:rsidRPr="004D46AC" w14:paraId="739170EB" w14:textId="77777777" w:rsidTr="00B518F1">
        <w:trPr>
          <w:trHeight w:val="282"/>
        </w:trPr>
        <w:tc>
          <w:tcPr>
            <w:tcW w:w="798" w:type="dxa"/>
          </w:tcPr>
          <w:p w14:paraId="470A562D" w14:textId="77777777" w:rsidR="007075D9" w:rsidRPr="004D46AC" w:rsidRDefault="007075D9" w:rsidP="0090577F">
            <w:pPr>
              <w:spacing w:line="360" w:lineRule="auto"/>
              <w:ind w:firstLine="0"/>
            </w:pPr>
            <w:r w:rsidRPr="004D46AC">
              <w:lastRenderedPageBreak/>
              <w:t>TR19</w:t>
            </w:r>
          </w:p>
        </w:tc>
        <w:tc>
          <w:tcPr>
            <w:tcW w:w="4159" w:type="dxa"/>
          </w:tcPr>
          <w:p w14:paraId="7298E060" w14:textId="77777777" w:rsidR="007075D9" w:rsidRPr="004D46AC" w:rsidRDefault="007075D9" w:rsidP="0090577F">
            <w:pPr>
              <w:spacing w:line="360" w:lineRule="auto"/>
              <w:ind w:firstLine="0"/>
            </w:pPr>
            <w:r w:rsidRPr="004D46AC">
              <w:t>Mood cycle</w:t>
            </w:r>
          </w:p>
        </w:tc>
        <w:tc>
          <w:tcPr>
            <w:tcW w:w="673" w:type="dxa"/>
          </w:tcPr>
          <w:p w14:paraId="6DE4AF85" w14:textId="77777777" w:rsidR="007075D9" w:rsidRPr="004D46AC" w:rsidRDefault="007075D9" w:rsidP="0090577F">
            <w:pPr>
              <w:spacing w:line="360" w:lineRule="auto"/>
              <w:ind w:firstLine="0"/>
            </w:pPr>
            <w:r w:rsidRPr="004D46AC">
              <w:t>.60</w:t>
            </w:r>
          </w:p>
        </w:tc>
        <w:tc>
          <w:tcPr>
            <w:tcW w:w="673" w:type="dxa"/>
          </w:tcPr>
          <w:p w14:paraId="792E69D7" w14:textId="77777777" w:rsidR="007075D9" w:rsidRPr="004D46AC" w:rsidRDefault="007075D9" w:rsidP="0090577F">
            <w:pPr>
              <w:spacing w:line="360" w:lineRule="auto"/>
              <w:ind w:firstLine="0"/>
            </w:pPr>
            <w:r w:rsidRPr="004D46AC">
              <w:t>.33</w:t>
            </w:r>
          </w:p>
        </w:tc>
        <w:tc>
          <w:tcPr>
            <w:tcW w:w="673" w:type="dxa"/>
          </w:tcPr>
          <w:p w14:paraId="049F45EF" w14:textId="77777777" w:rsidR="007075D9" w:rsidRPr="004D46AC" w:rsidRDefault="007075D9" w:rsidP="0090577F">
            <w:pPr>
              <w:spacing w:line="360" w:lineRule="auto"/>
              <w:ind w:firstLine="0"/>
            </w:pPr>
          </w:p>
        </w:tc>
        <w:tc>
          <w:tcPr>
            <w:tcW w:w="674" w:type="dxa"/>
          </w:tcPr>
          <w:p w14:paraId="6D4A99CB" w14:textId="77777777" w:rsidR="007075D9" w:rsidRPr="004D46AC" w:rsidRDefault="007075D9" w:rsidP="0090577F">
            <w:pPr>
              <w:spacing w:line="360" w:lineRule="auto"/>
              <w:ind w:firstLine="0"/>
            </w:pPr>
          </w:p>
        </w:tc>
        <w:tc>
          <w:tcPr>
            <w:tcW w:w="1366" w:type="dxa"/>
          </w:tcPr>
          <w:p w14:paraId="61FAF4E2" w14:textId="77777777" w:rsidR="007075D9" w:rsidRPr="004D46AC" w:rsidRDefault="007075D9" w:rsidP="0090577F">
            <w:pPr>
              <w:spacing w:line="360" w:lineRule="auto"/>
              <w:ind w:firstLine="0"/>
            </w:pPr>
            <w:r w:rsidRPr="004D46AC">
              <w:rPr>
                <w:color w:val="000000"/>
              </w:rPr>
              <w:t>.36/ .11</w:t>
            </w:r>
          </w:p>
        </w:tc>
      </w:tr>
      <w:tr w:rsidR="007075D9" w:rsidRPr="004D46AC" w14:paraId="0399A691" w14:textId="77777777" w:rsidTr="00B518F1">
        <w:trPr>
          <w:trHeight w:val="273"/>
        </w:trPr>
        <w:tc>
          <w:tcPr>
            <w:tcW w:w="798" w:type="dxa"/>
          </w:tcPr>
          <w:p w14:paraId="2DA5DA03" w14:textId="77777777" w:rsidR="007075D9" w:rsidRPr="004D46AC" w:rsidRDefault="007075D9" w:rsidP="0090577F">
            <w:pPr>
              <w:spacing w:line="360" w:lineRule="auto"/>
              <w:ind w:firstLine="0"/>
            </w:pPr>
            <w:r w:rsidRPr="004D46AC">
              <w:t>TR21</w:t>
            </w:r>
          </w:p>
        </w:tc>
        <w:tc>
          <w:tcPr>
            <w:tcW w:w="4159" w:type="dxa"/>
          </w:tcPr>
          <w:p w14:paraId="4EA97BA2" w14:textId="77777777" w:rsidR="007075D9" w:rsidRPr="004D46AC" w:rsidRDefault="007075D9" w:rsidP="0090577F">
            <w:pPr>
              <w:spacing w:line="360" w:lineRule="auto"/>
              <w:ind w:firstLine="0"/>
            </w:pPr>
            <w:r w:rsidRPr="004D46AC">
              <w:t>Irritability</w:t>
            </w:r>
          </w:p>
        </w:tc>
        <w:tc>
          <w:tcPr>
            <w:tcW w:w="673" w:type="dxa"/>
          </w:tcPr>
          <w:p w14:paraId="56F8C7D2" w14:textId="77777777" w:rsidR="007075D9" w:rsidRPr="004D46AC" w:rsidRDefault="007075D9" w:rsidP="0090577F">
            <w:pPr>
              <w:spacing w:line="360" w:lineRule="auto"/>
              <w:ind w:firstLine="0"/>
            </w:pPr>
            <w:r w:rsidRPr="004D46AC">
              <w:t>.62</w:t>
            </w:r>
          </w:p>
        </w:tc>
        <w:tc>
          <w:tcPr>
            <w:tcW w:w="673" w:type="dxa"/>
          </w:tcPr>
          <w:p w14:paraId="2116B88E" w14:textId="77777777" w:rsidR="007075D9" w:rsidRPr="004D46AC" w:rsidRDefault="007075D9" w:rsidP="0090577F">
            <w:pPr>
              <w:spacing w:line="360" w:lineRule="auto"/>
              <w:ind w:firstLine="0"/>
            </w:pPr>
            <w:r w:rsidRPr="004D46AC">
              <w:t>.30</w:t>
            </w:r>
          </w:p>
        </w:tc>
        <w:tc>
          <w:tcPr>
            <w:tcW w:w="673" w:type="dxa"/>
          </w:tcPr>
          <w:p w14:paraId="7FB2DD53" w14:textId="77777777" w:rsidR="007075D9" w:rsidRPr="004D46AC" w:rsidRDefault="007075D9" w:rsidP="0090577F">
            <w:pPr>
              <w:spacing w:line="360" w:lineRule="auto"/>
              <w:ind w:firstLine="0"/>
            </w:pPr>
          </w:p>
        </w:tc>
        <w:tc>
          <w:tcPr>
            <w:tcW w:w="674" w:type="dxa"/>
          </w:tcPr>
          <w:p w14:paraId="0BE1ACC5" w14:textId="77777777" w:rsidR="007075D9" w:rsidRPr="004D46AC" w:rsidRDefault="007075D9" w:rsidP="0090577F">
            <w:pPr>
              <w:spacing w:line="360" w:lineRule="auto"/>
              <w:ind w:firstLine="0"/>
            </w:pPr>
          </w:p>
        </w:tc>
        <w:tc>
          <w:tcPr>
            <w:tcW w:w="1366" w:type="dxa"/>
          </w:tcPr>
          <w:p w14:paraId="6BADBF88" w14:textId="77777777" w:rsidR="007075D9" w:rsidRPr="004D46AC" w:rsidRDefault="007075D9" w:rsidP="0090577F">
            <w:pPr>
              <w:spacing w:line="360" w:lineRule="auto"/>
              <w:ind w:firstLine="0"/>
            </w:pPr>
            <w:r w:rsidRPr="004D46AC">
              <w:rPr>
                <w:color w:val="000000"/>
              </w:rPr>
              <w:t>.38/ .09</w:t>
            </w:r>
          </w:p>
        </w:tc>
      </w:tr>
      <w:tr w:rsidR="007075D9" w:rsidRPr="004D46AC" w14:paraId="1A7A8675" w14:textId="77777777" w:rsidTr="00B518F1">
        <w:trPr>
          <w:trHeight w:val="273"/>
        </w:trPr>
        <w:tc>
          <w:tcPr>
            <w:tcW w:w="798" w:type="dxa"/>
          </w:tcPr>
          <w:p w14:paraId="3897BA5B" w14:textId="77777777" w:rsidR="007075D9" w:rsidRPr="004D46AC" w:rsidRDefault="007075D9" w:rsidP="0090577F">
            <w:pPr>
              <w:spacing w:line="360" w:lineRule="auto"/>
              <w:ind w:firstLine="0"/>
            </w:pPr>
            <w:r w:rsidRPr="004D46AC">
              <w:t>TR23</w:t>
            </w:r>
          </w:p>
        </w:tc>
        <w:tc>
          <w:tcPr>
            <w:tcW w:w="4159" w:type="dxa"/>
          </w:tcPr>
          <w:p w14:paraId="2FD4F8F2" w14:textId="77777777" w:rsidR="007075D9" w:rsidRPr="004D46AC" w:rsidRDefault="007075D9" w:rsidP="0090577F">
            <w:pPr>
              <w:spacing w:line="360" w:lineRule="auto"/>
              <w:ind w:firstLine="0"/>
            </w:pPr>
            <w:r w:rsidRPr="004D46AC">
              <w:t>Mood lability</w:t>
            </w:r>
          </w:p>
        </w:tc>
        <w:tc>
          <w:tcPr>
            <w:tcW w:w="673" w:type="dxa"/>
          </w:tcPr>
          <w:p w14:paraId="185F251F" w14:textId="77777777" w:rsidR="007075D9" w:rsidRPr="004D46AC" w:rsidRDefault="007075D9" w:rsidP="0090577F">
            <w:pPr>
              <w:spacing w:line="360" w:lineRule="auto"/>
              <w:ind w:firstLine="0"/>
            </w:pPr>
            <w:r w:rsidRPr="004D46AC">
              <w:t>.50</w:t>
            </w:r>
          </w:p>
        </w:tc>
        <w:tc>
          <w:tcPr>
            <w:tcW w:w="673" w:type="dxa"/>
          </w:tcPr>
          <w:p w14:paraId="151FDB80" w14:textId="77777777" w:rsidR="007075D9" w:rsidRPr="004D46AC" w:rsidRDefault="007075D9" w:rsidP="0090577F">
            <w:pPr>
              <w:spacing w:line="360" w:lineRule="auto"/>
              <w:ind w:firstLine="0"/>
            </w:pPr>
            <w:r w:rsidRPr="004D46AC">
              <w:t>.48</w:t>
            </w:r>
          </w:p>
        </w:tc>
        <w:tc>
          <w:tcPr>
            <w:tcW w:w="673" w:type="dxa"/>
          </w:tcPr>
          <w:p w14:paraId="02346AB0" w14:textId="77777777" w:rsidR="007075D9" w:rsidRPr="004D46AC" w:rsidRDefault="007075D9" w:rsidP="0090577F">
            <w:pPr>
              <w:spacing w:line="360" w:lineRule="auto"/>
              <w:ind w:firstLine="0"/>
            </w:pPr>
          </w:p>
        </w:tc>
        <w:tc>
          <w:tcPr>
            <w:tcW w:w="674" w:type="dxa"/>
          </w:tcPr>
          <w:p w14:paraId="2FED835B" w14:textId="77777777" w:rsidR="007075D9" w:rsidRPr="004D46AC" w:rsidRDefault="007075D9" w:rsidP="0090577F">
            <w:pPr>
              <w:spacing w:line="360" w:lineRule="auto"/>
              <w:ind w:firstLine="0"/>
            </w:pPr>
          </w:p>
        </w:tc>
        <w:tc>
          <w:tcPr>
            <w:tcW w:w="1366" w:type="dxa"/>
          </w:tcPr>
          <w:p w14:paraId="45D51459" w14:textId="77777777" w:rsidR="007075D9" w:rsidRPr="004D46AC" w:rsidRDefault="007075D9" w:rsidP="0090577F">
            <w:pPr>
              <w:spacing w:line="360" w:lineRule="auto"/>
              <w:ind w:firstLine="0"/>
            </w:pPr>
            <w:r w:rsidRPr="004D46AC">
              <w:rPr>
                <w:color w:val="000000"/>
              </w:rPr>
              <w:t>.25/ .23</w:t>
            </w:r>
          </w:p>
        </w:tc>
      </w:tr>
      <w:tr w:rsidR="007075D9" w:rsidRPr="004D46AC" w14:paraId="5A3C0AC9" w14:textId="77777777" w:rsidTr="00B518F1">
        <w:trPr>
          <w:trHeight w:val="282"/>
        </w:trPr>
        <w:tc>
          <w:tcPr>
            <w:tcW w:w="798" w:type="dxa"/>
          </w:tcPr>
          <w:p w14:paraId="6984EE19" w14:textId="77777777" w:rsidR="007075D9" w:rsidRPr="004D46AC" w:rsidRDefault="007075D9" w:rsidP="0090577F">
            <w:pPr>
              <w:spacing w:line="360" w:lineRule="auto"/>
              <w:ind w:firstLine="0"/>
            </w:pPr>
            <w:r w:rsidRPr="004D46AC">
              <w:t>TR24</w:t>
            </w:r>
          </w:p>
        </w:tc>
        <w:tc>
          <w:tcPr>
            <w:tcW w:w="4159" w:type="dxa"/>
          </w:tcPr>
          <w:p w14:paraId="2BAF2CBE" w14:textId="77777777" w:rsidR="007075D9" w:rsidRPr="004D46AC" w:rsidRDefault="007075D9" w:rsidP="0090577F">
            <w:pPr>
              <w:spacing w:line="360" w:lineRule="auto"/>
              <w:ind w:firstLine="0"/>
            </w:pPr>
            <w:r w:rsidRPr="004D46AC">
              <w:t>Disconnected thoughts</w:t>
            </w:r>
          </w:p>
        </w:tc>
        <w:tc>
          <w:tcPr>
            <w:tcW w:w="673" w:type="dxa"/>
          </w:tcPr>
          <w:p w14:paraId="7A5451EE" w14:textId="77777777" w:rsidR="007075D9" w:rsidRPr="004D46AC" w:rsidRDefault="007075D9" w:rsidP="0090577F">
            <w:pPr>
              <w:spacing w:line="360" w:lineRule="auto"/>
              <w:ind w:firstLine="0"/>
            </w:pPr>
            <w:r w:rsidRPr="004D46AC">
              <w:t>.60</w:t>
            </w:r>
          </w:p>
        </w:tc>
        <w:tc>
          <w:tcPr>
            <w:tcW w:w="673" w:type="dxa"/>
          </w:tcPr>
          <w:p w14:paraId="0FD820A8" w14:textId="77777777" w:rsidR="007075D9" w:rsidRPr="004D46AC" w:rsidRDefault="007075D9" w:rsidP="0090577F">
            <w:pPr>
              <w:spacing w:line="360" w:lineRule="auto"/>
              <w:ind w:firstLine="0"/>
            </w:pPr>
            <w:r w:rsidRPr="004D46AC">
              <w:t>.42</w:t>
            </w:r>
          </w:p>
        </w:tc>
        <w:tc>
          <w:tcPr>
            <w:tcW w:w="673" w:type="dxa"/>
          </w:tcPr>
          <w:p w14:paraId="716996FC" w14:textId="77777777" w:rsidR="007075D9" w:rsidRPr="004D46AC" w:rsidRDefault="007075D9" w:rsidP="0090577F">
            <w:pPr>
              <w:spacing w:line="360" w:lineRule="auto"/>
              <w:ind w:firstLine="0"/>
            </w:pPr>
          </w:p>
        </w:tc>
        <w:tc>
          <w:tcPr>
            <w:tcW w:w="674" w:type="dxa"/>
          </w:tcPr>
          <w:p w14:paraId="7AD22619" w14:textId="77777777" w:rsidR="007075D9" w:rsidRPr="004D46AC" w:rsidRDefault="007075D9" w:rsidP="0090577F">
            <w:pPr>
              <w:spacing w:line="360" w:lineRule="auto"/>
              <w:ind w:firstLine="0"/>
            </w:pPr>
          </w:p>
        </w:tc>
        <w:tc>
          <w:tcPr>
            <w:tcW w:w="1366" w:type="dxa"/>
          </w:tcPr>
          <w:p w14:paraId="6B0C844A" w14:textId="77777777" w:rsidR="007075D9" w:rsidRPr="004D46AC" w:rsidRDefault="007075D9" w:rsidP="0090577F">
            <w:pPr>
              <w:spacing w:line="360" w:lineRule="auto"/>
              <w:ind w:firstLine="0"/>
            </w:pPr>
            <w:r w:rsidRPr="004D46AC">
              <w:rPr>
                <w:color w:val="000000"/>
              </w:rPr>
              <w:t>.36/ .18</w:t>
            </w:r>
          </w:p>
        </w:tc>
      </w:tr>
      <w:tr w:rsidR="007075D9" w:rsidRPr="004D46AC" w14:paraId="4C0B515D" w14:textId="77777777" w:rsidTr="00B518F1">
        <w:trPr>
          <w:trHeight w:val="273"/>
        </w:trPr>
        <w:tc>
          <w:tcPr>
            <w:tcW w:w="798" w:type="dxa"/>
          </w:tcPr>
          <w:p w14:paraId="4C769D41" w14:textId="77777777" w:rsidR="007075D9" w:rsidRPr="004D46AC" w:rsidRDefault="007075D9" w:rsidP="0090577F">
            <w:pPr>
              <w:spacing w:line="360" w:lineRule="auto"/>
              <w:ind w:firstLine="0"/>
            </w:pPr>
            <w:r w:rsidRPr="004D46AC">
              <w:t>TR26</w:t>
            </w:r>
          </w:p>
        </w:tc>
        <w:tc>
          <w:tcPr>
            <w:tcW w:w="4159" w:type="dxa"/>
          </w:tcPr>
          <w:p w14:paraId="7D7BB774" w14:textId="77777777" w:rsidR="007075D9" w:rsidRPr="004D46AC" w:rsidRDefault="007075D9" w:rsidP="0090577F">
            <w:pPr>
              <w:spacing w:line="360" w:lineRule="auto"/>
              <w:ind w:firstLine="0"/>
            </w:pPr>
            <w:r w:rsidRPr="004D46AC">
              <w:t>Identity confusion</w:t>
            </w:r>
          </w:p>
        </w:tc>
        <w:tc>
          <w:tcPr>
            <w:tcW w:w="673" w:type="dxa"/>
          </w:tcPr>
          <w:p w14:paraId="0E39CC1D" w14:textId="77777777" w:rsidR="007075D9" w:rsidRPr="004D46AC" w:rsidRDefault="007075D9" w:rsidP="0090577F">
            <w:pPr>
              <w:spacing w:line="360" w:lineRule="auto"/>
              <w:ind w:firstLine="0"/>
            </w:pPr>
            <w:r w:rsidRPr="004D46AC">
              <w:t>.54</w:t>
            </w:r>
          </w:p>
        </w:tc>
        <w:tc>
          <w:tcPr>
            <w:tcW w:w="673" w:type="dxa"/>
          </w:tcPr>
          <w:p w14:paraId="5A582876" w14:textId="77777777" w:rsidR="007075D9" w:rsidRPr="004D46AC" w:rsidRDefault="007075D9" w:rsidP="0090577F">
            <w:pPr>
              <w:spacing w:line="360" w:lineRule="auto"/>
              <w:ind w:firstLine="0"/>
            </w:pPr>
            <w:r w:rsidRPr="004D46AC">
              <w:t>.44</w:t>
            </w:r>
          </w:p>
        </w:tc>
        <w:tc>
          <w:tcPr>
            <w:tcW w:w="673" w:type="dxa"/>
          </w:tcPr>
          <w:p w14:paraId="03150BFD" w14:textId="77777777" w:rsidR="007075D9" w:rsidRPr="004D46AC" w:rsidRDefault="007075D9" w:rsidP="0090577F">
            <w:pPr>
              <w:spacing w:line="360" w:lineRule="auto"/>
              <w:ind w:firstLine="0"/>
            </w:pPr>
          </w:p>
        </w:tc>
        <w:tc>
          <w:tcPr>
            <w:tcW w:w="674" w:type="dxa"/>
          </w:tcPr>
          <w:p w14:paraId="5979A992" w14:textId="77777777" w:rsidR="007075D9" w:rsidRPr="004D46AC" w:rsidRDefault="007075D9" w:rsidP="0090577F">
            <w:pPr>
              <w:spacing w:line="360" w:lineRule="auto"/>
              <w:ind w:firstLine="0"/>
            </w:pPr>
          </w:p>
        </w:tc>
        <w:tc>
          <w:tcPr>
            <w:tcW w:w="1366" w:type="dxa"/>
          </w:tcPr>
          <w:p w14:paraId="2B6B3CE1" w14:textId="77777777" w:rsidR="007075D9" w:rsidRPr="004D46AC" w:rsidRDefault="007075D9" w:rsidP="0090577F">
            <w:pPr>
              <w:spacing w:line="360" w:lineRule="auto"/>
              <w:ind w:firstLine="0"/>
            </w:pPr>
            <w:r w:rsidRPr="004D46AC">
              <w:rPr>
                <w:color w:val="000000"/>
              </w:rPr>
              <w:t>.29/ .19</w:t>
            </w:r>
          </w:p>
        </w:tc>
      </w:tr>
      <w:tr w:rsidR="007075D9" w:rsidRPr="004D46AC" w14:paraId="501404F9" w14:textId="77777777" w:rsidTr="00B518F1">
        <w:trPr>
          <w:trHeight w:val="273"/>
        </w:trPr>
        <w:tc>
          <w:tcPr>
            <w:tcW w:w="798" w:type="dxa"/>
          </w:tcPr>
          <w:p w14:paraId="693D3D84" w14:textId="77777777" w:rsidR="007075D9" w:rsidRPr="004D46AC" w:rsidRDefault="007075D9" w:rsidP="0090577F">
            <w:pPr>
              <w:spacing w:line="360" w:lineRule="auto"/>
              <w:ind w:firstLine="0"/>
            </w:pPr>
            <w:r w:rsidRPr="004D46AC">
              <w:t>TR27</w:t>
            </w:r>
          </w:p>
        </w:tc>
        <w:tc>
          <w:tcPr>
            <w:tcW w:w="4159" w:type="dxa"/>
          </w:tcPr>
          <w:p w14:paraId="6D6DDDE5" w14:textId="77777777" w:rsidR="007075D9" w:rsidRPr="004D46AC" w:rsidRDefault="007075D9" w:rsidP="0090577F">
            <w:pPr>
              <w:spacing w:line="360" w:lineRule="auto"/>
              <w:ind w:firstLine="0"/>
            </w:pPr>
            <w:r w:rsidRPr="004D46AC">
              <w:t>Poverty of speech</w:t>
            </w:r>
          </w:p>
        </w:tc>
        <w:tc>
          <w:tcPr>
            <w:tcW w:w="673" w:type="dxa"/>
          </w:tcPr>
          <w:p w14:paraId="2AE69E71" w14:textId="77777777" w:rsidR="007075D9" w:rsidRPr="004D46AC" w:rsidRDefault="007075D9" w:rsidP="0090577F">
            <w:pPr>
              <w:spacing w:line="360" w:lineRule="auto"/>
              <w:ind w:firstLine="0"/>
            </w:pPr>
            <w:r w:rsidRPr="004D46AC">
              <w:t>.51</w:t>
            </w:r>
          </w:p>
        </w:tc>
        <w:tc>
          <w:tcPr>
            <w:tcW w:w="673" w:type="dxa"/>
          </w:tcPr>
          <w:p w14:paraId="6C591F74" w14:textId="77777777" w:rsidR="007075D9" w:rsidRPr="004D46AC" w:rsidRDefault="007075D9" w:rsidP="0090577F">
            <w:pPr>
              <w:spacing w:line="360" w:lineRule="auto"/>
              <w:ind w:firstLine="0"/>
            </w:pPr>
            <w:r w:rsidRPr="004D46AC">
              <w:t>.30</w:t>
            </w:r>
          </w:p>
        </w:tc>
        <w:tc>
          <w:tcPr>
            <w:tcW w:w="673" w:type="dxa"/>
          </w:tcPr>
          <w:p w14:paraId="32188D24" w14:textId="77777777" w:rsidR="007075D9" w:rsidRPr="004D46AC" w:rsidRDefault="007075D9" w:rsidP="0090577F">
            <w:pPr>
              <w:spacing w:line="360" w:lineRule="auto"/>
              <w:ind w:firstLine="0"/>
            </w:pPr>
          </w:p>
        </w:tc>
        <w:tc>
          <w:tcPr>
            <w:tcW w:w="674" w:type="dxa"/>
          </w:tcPr>
          <w:p w14:paraId="72EB7C69" w14:textId="77777777" w:rsidR="007075D9" w:rsidRPr="004D46AC" w:rsidRDefault="007075D9" w:rsidP="0090577F">
            <w:pPr>
              <w:spacing w:line="360" w:lineRule="auto"/>
              <w:ind w:firstLine="0"/>
            </w:pPr>
          </w:p>
        </w:tc>
        <w:tc>
          <w:tcPr>
            <w:tcW w:w="1366" w:type="dxa"/>
          </w:tcPr>
          <w:p w14:paraId="4F10BC48" w14:textId="77777777" w:rsidR="007075D9" w:rsidRPr="004D46AC" w:rsidRDefault="007075D9" w:rsidP="0090577F">
            <w:pPr>
              <w:spacing w:line="360" w:lineRule="auto"/>
              <w:ind w:firstLine="0"/>
            </w:pPr>
            <w:r w:rsidRPr="004D46AC">
              <w:rPr>
                <w:color w:val="000000"/>
              </w:rPr>
              <w:t>.26/ .09</w:t>
            </w:r>
          </w:p>
        </w:tc>
      </w:tr>
      <w:tr w:rsidR="007075D9" w:rsidRPr="004D46AC" w14:paraId="13563331" w14:textId="77777777" w:rsidTr="00B518F1">
        <w:trPr>
          <w:trHeight w:val="282"/>
        </w:trPr>
        <w:tc>
          <w:tcPr>
            <w:tcW w:w="798" w:type="dxa"/>
          </w:tcPr>
          <w:p w14:paraId="2B0FB719" w14:textId="77777777" w:rsidR="007075D9" w:rsidRPr="004D46AC" w:rsidRDefault="007075D9" w:rsidP="0090577F">
            <w:pPr>
              <w:spacing w:line="360" w:lineRule="auto"/>
              <w:ind w:firstLine="0"/>
            </w:pPr>
            <w:r w:rsidRPr="004D46AC">
              <w:t>TR34</w:t>
            </w:r>
          </w:p>
        </w:tc>
        <w:tc>
          <w:tcPr>
            <w:tcW w:w="4159" w:type="dxa"/>
          </w:tcPr>
          <w:p w14:paraId="14F0107A" w14:textId="77777777" w:rsidR="007075D9" w:rsidRPr="004D46AC" w:rsidRDefault="007075D9" w:rsidP="0090577F">
            <w:pPr>
              <w:spacing w:line="360" w:lineRule="auto"/>
              <w:ind w:firstLine="0"/>
            </w:pPr>
            <w:r w:rsidRPr="004D46AC">
              <w:t>Emotional numbness</w:t>
            </w:r>
          </w:p>
        </w:tc>
        <w:tc>
          <w:tcPr>
            <w:tcW w:w="673" w:type="dxa"/>
          </w:tcPr>
          <w:p w14:paraId="58B4DC5B" w14:textId="77777777" w:rsidR="007075D9" w:rsidRPr="004D46AC" w:rsidRDefault="007075D9" w:rsidP="0090577F">
            <w:pPr>
              <w:spacing w:line="360" w:lineRule="auto"/>
              <w:ind w:firstLine="0"/>
            </w:pPr>
            <w:r w:rsidRPr="004D46AC">
              <w:t>.55</w:t>
            </w:r>
          </w:p>
        </w:tc>
        <w:tc>
          <w:tcPr>
            <w:tcW w:w="673" w:type="dxa"/>
          </w:tcPr>
          <w:p w14:paraId="2D766634" w14:textId="77777777" w:rsidR="007075D9" w:rsidRPr="004D46AC" w:rsidRDefault="007075D9" w:rsidP="0090577F">
            <w:pPr>
              <w:spacing w:line="360" w:lineRule="auto"/>
              <w:ind w:firstLine="0"/>
            </w:pPr>
            <w:r w:rsidRPr="004D46AC">
              <w:t>.46</w:t>
            </w:r>
          </w:p>
        </w:tc>
        <w:tc>
          <w:tcPr>
            <w:tcW w:w="673" w:type="dxa"/>
          </w:tcPr>
          <w:p w14:paraId="323B95E2" w14:textId="77777777" w:rsidR="007075D9" w:rsidRPr="004D46AC" w:rsidRDefault="007075D9" w:rsidP="0090577F">
            <w:pPr>
              <w:spacing w:line="360" w:lineRule="auto"/>
              <w:ind w:firstLine="0"/>
            </w:pPr>
          </w:p>
        </w:tc>
        <w:tc>
          <w:tcPr>
            <w:tcW w:w="674" w:type="dxa"/>
          </w:tcPr>
          <w:p w14:paraId="32F1D366" w14:textId="77777777" w:rsidR="007075D9" w:rsidRPr="004D46AC" w:rsidRDefault="007075D9" w:rsidP="0090577F">
            <w:pPr>
              <w:spacing w:line="360" w:lineRule="auto"/>
              <w:ind w:firstLine="0"/>
            </w:pPr>
          </w:p>
        </w:tc>
        <w:tc>
          <w:tcPr>
            <w:tcW w:w="1366" w:type="dxa"/>
          </w:tcPr>
          <w:p w14:paraId="0247B0CC" w14:textId="77777777" w:rsidR="007075D9" w:rsidRPr="004D46AC" w:rsidRDefault="007075D9" w:rsidP="0090577F">
            <w:pPr>
              <w:spacing w:line="360" w:lineRule="auto"/>
              <w:ind w:firstLine="0"/>
            </w:pPr>
            <w:r w:rsidRPr="004D46AC">
              <w:rPr>
                <w:color w:val="000000"/>
              </w:rPr>
              <w:t>.30/ .21</w:t>
            </w:r>
          </w:p>
        </w:tc>
      </w:tr>
      <w:tr w:rsidR="007075D9" w:rsidRPr="004D46AC" w14:paraId="2DE4BDA6" w14:textId="77777777" w:rsidTr="00B518F1">
        <w:trPr>
          <w:trHeight w:val="273"/>
        </w:trPr>
        <w:tc>
          <w:tcPr>
            <w:tcW w:w="798" w:type="dxa"/>
          </w:tcPr>
          <w:p w14:paraId="6CF6914D" w14:textId="77777777" w:rsidR="007075D9" w:rsidRPr="004D46AC" w:rsidRDefault="007075D9" w:rsidP="0090577F">
            <w:pPr>
              <w:spacing w:line="360" w:lineRule="auto"/>
              <w:ind w:firstLine="0"/>
            </w:pPr>
            <w:r w:rsidRPr="004D46AC">
              <w:t>TR37</w:t>
            </w:r>
          </w:p>
        </w:tc>
        <w:tc>
          <w:tcPr>
            <w:tcW w:w="4159" w:type="dxa"/>
          </w:tcPr>
          <w:p w14:paraId="4A313826" w14:textId="77777777" w:rsidR="007075D9" w:rsidRPr="004D46AC" w:rsidRDefault="007075D9" w:rsidP="0090577F">
            <w:pPr>
              <w:spacing w:line="360" w:lineRule="auto"/>
              <w:ind w:firstLine="0"/>
            </w:pPr>
            <w:r w:rsidRPr="004D46AC">
              <w:t>Confused thinking</w:t>
            </w:r>
          </w:p>
        </w:tc>
        <w:tc>
          <w:tcPr>
            <w:tcW w:w="673" w:type="dxa"/>
          </w:tcPr>
          <w:p w14:paraId="5D43E956" w14:textId="77777777" w:rsidR="007075D9" w:rsidRPr="004D46AC" w:rsidRDefault="007075D9" w:rsidP="0090577F">
            <w:pPr>
              <w:spacing w:line="360" w:lineRule="auto"/>
              <w:ind w:firstLine="0"/>
            </w:pPr>
            <w:r w:rsidRPr="004D46AC">
              <w:t>.65</w:t>
            </w:r>
          </w:p>
        </w:tc>
        <w:tc>
          <w:tcPr>
            <w:tcW w:w="673" w:type="dxa"/>
          </w:tcPr>
          <w:p w14:paraId="115B78CA" w14:textId="77777777" w:rsidR="007075D9" w:rsidRPr="004D46AC" w:rsidRDefault="007075D9" w:rsidP="0090577F">
            <w:pPr>
              <w:spacing w:line="360" w:lineRule="auto"/>
              <w:ind w:firstLine="0"/>
            </w:pPr>
            <w:r w:rsidRPr="004D46AC">
              <w:t>.32</w:t>
            </w:r>
          </w:p>
        </w:tc>
        <w:tc>
          <w:tcPr>
            <w:tcW w:w="673" w:type="dxa"/>
          </w:tcPr>
          <w:p w14:paraId="7D358A1D" w14:textId="77777777" w:rsidR="007075D9" w:rsidRPr="004D46AC" w:rsidRDefault="007075D9" w:rsidP="0090577F">
            <w:pPr>
              <w:spacing w:line="360" w:lineRule="auto"/>
              <w:ind w:firstLine="0"/>
            </w:pPr>
          </w:p>
        </w:tc>
        <w:tc>
          <w:tcPr>
            <w:tcW w:w="674" w:type="dxa"/>
          </w:tcPr>
          <w:p w14:paraId="0A00653D" w14:textId="77777777" w:rsidR="007075D9" w:rsidRPr="004D46AC" w:rsidRDefault="007075D9" w:rsidP="0090577F">
            <w:pPr>
              <w:spacing w:line="360" w:lineRule="auto"/>
              <w:ind w:firstLine="0"/>
            </w:pPr>
          </w:p>
        </w:tc>
        <w:tc>
          <w:tcPr>
            <w:tcW w:w="1366" w:type="dxa"/>
          </w:tcPr>
          <w:p w14:paraId="4C387B73" w14:textId="77777777" w:rsidR="007075D9" w:rsidRPr="004D46AC" w:rsidRDefault="007075D9" w:rsidP="0090577F">
            <w:pPr>
              <w:spacing w:line="360" w:lineRule="auto"/>
              <w:ind w:firstLine="0"/>
            </w:pPr>
            <w:r w:rsidRPr="004D46AC">
              <w:rPr>
                <w:color w:val="000000"/>
              </w:rPr>
              <w:t>.42/ .10</w:t>
            </w:r>
          </w:p>
        </w:tc>
      </w:tr>
      <w:tr w:rsidR="007075D9" w:rsidRPr="004D46AC" w14:paraId="572BEBBE" w14:textId="77777777" w:rsidTr="00B518F1">
        <w:trPr>
          <w:trHeight w:val="273"/>
        </w:trPr>
        <w:tc>
          <w:tcPr>
            <w:tcW w:w="798" w:type="dxa"/>
          </w:tcPr>
          <w:p w14:paraId="3B4C5F19" w14:textId="77777777" w:rsidR="007075D9" w:rsidRPr="004D46AC" w:rsidRDefault="007075D9" w:rsidP="0090577F">
            <w:pPr>
              <w:spacing w:line="360" w:lineRule="auto"/>
              <w:ind w:firstLine="0"/>
            </w:pPr>
            <w:r w:rsidRPr="004D46AC">
              <w:t>TR6</w:t>
            </w:r>
          </w:p>
        </w:tc>
        <w:tc>
          <w:tcPr>
            <w:tcW w:w="4159" w:type="dxa"/>
          </w:tcPr>
          <w:p w14:paraId="7BE91B18" w14:textId="77777777" w:rsidR="007075D9" w:rsidRPr="004D46AC" w:rsidRDefault="007075D9" w:rsidP="0090577F">
            <w:pPr>
              <w:spacing w:line="360" w:lineRule="auto"/>
              <w:ind w:firstLine="0"/>
            </w:pPr>
            <w:r w:rsidRPr="004D46AC">
              <w:t>Auditory hallucinations</w:t>
            </w:r>
          </w:p>
        </w:tc>
        <w:tc>
          <w:tcPr>
            <w:tcW w:w="673" w:type="dxa"/>
          </w:tcPr>
          <w:p w14:paraId="38C15FD4" w14:textId="77777777" w:rsidR="007075D9" w:rsidRPr="004D46AC" w:rsidRDefault="007075D9" w:rsidP="0090577F">
            <w:pPr>
              <w:spacing w:line="360" w:lineRule="auto"/>
              <w:ind w:firstLine="0"/>
            </w:pPr>
            <w:r w:rsidRPr="004D46AC">
              <w:t>.68</w:t>
            </w:r>
          </w:p>
        </w:tc>
        <w:tc>
          <w:tcPr>
            <w:tcW w:w="673" w:type="dxa"/>
          </w:tcPr>
          <w:p w14:paraId="6D862872" w14:textId="77777777" w:rsidR="007075D9" w:rsidRPr="004D46AC" w:rsidRDefault="007075D9" w:rsidP="0090577F">
            <w:pPr>
              <w:spacing w:line="360" w:lineRule="auto"/>
              <w:ind w:firstLine="0"/>
            </w:pPr>
          </w:p>
        </w:tc>
        <w:tc>
          <w:tcPr>
            <w:tcW w:w="673" w:type="dxa"/>
          </w:tcPr>
          <w:p w14:paraId="4ECA94D9" w14:textId="77777777" w:rsidR="007075D9" w:rsidRPr="004D46AC" w:rsidRDefault="007075D9" w:rsidP="0090577F">
            <w:pPr>
              <w:spacing w:line="360" w:lineRule="auto"/>
              <w:ind w:firstLine="0"/>
            </w:pPr>
            <w:r w:rsidRPr="004D46AC">
              <w:t>.68</w:t>
            </w:r>
          </w:p>
        </w:tc>
        <w:tc>
          <w:tcPr>
            <w:tcW w:w="674" w:type="dxa"/>
          </w:tcPr>
          <w:p w14:paraId="4CBD375A" w14:textId="77777777" w:rsidR="007075D9" w:rsidRPr="004D46AC" w:rsidRDefault="007075D9" w:rsidP="0090577F">
            <w:pPr>
              <w:spacing w:line="360" w:lineRule="auto"/>
              <w:ind w:firstLine="0"/>
            </w:pPr>
          </w:p>
        </w:tc>
        <w:tc>
          <w:tcPr>
            <w:tcW w:w="1366" w:type="dxa"/>
          </w:tcPr>
          <w:p w14:paraId="12014E77" w14:textId="77777777" w:rsidR="007075D9" w:rsidRPr="004D46AC" w:rsidRDefault="007075D9" w:rsidP="0090577F">
            <w:pPr>
              <w:spacing w:line="360" w:lineRule="auto"/>
              <w:ind w:firstLine="0"/>
            </w:pPr>
            <w:r w:rsidRPr="004D46AC">
              <w:rPr>
                <w:color w:val="000000"/>
              </w:rPr>
              <w:t>.46/ .46</w:t>
            </w:r>
          </w:p>
        </w:tc>
      </w:tr>
      <w:tr w:rsidR="007075D9" w:rsidRPr="004D46AC" w14:paraId="2B9BBD3B" w14:textId="77777777" w:rsidTr="00B518F1">
        <w:trPr>
          <w:trHeight w:val="282"/>
        </w:trPr>
        <w:tc>
          <w:tcPr>
            <w:tcW w:w="798" w:type="dxa"/>
          </w:tcPr>
          <w:p w14:paraId="4AFFC0EC" w14:textId="77777777" w:rsidR="007075D9" w:rsidRPr="004D46AC" w:rsidRDefault="007075D9" w:rsidP="0090577F">
            <w:pPr>
              <w:spacing w:line="360" w:lineRule="auto"/>
              <w:ind w:firstLine="0"/>
            </w:pPr>
            <w:r w:rsidRPr="004D46AC">
              <w:t>TR9</w:t>
            </w:r>
          </w:p>
        </w:tc>
        <w:tc>
          <w:tcPr>
            <w:tcW w:w="4159" w:type="dxa"/>
          </w:tcPr>
          <w:p w14:paraId="509902F6" w14:textId="77777777" w:rsidR="007075D9" w:rsidRPr="004D46AC" w:rsidRDefault="007075D9" w:rsidP="0090577F">
            <w:pPr>
              <w:spacing w:line="360" w:lineRule="auto"/>
              <w:ind w:firstLine="0"/>
            </w:pPr>
            <w:r w:rsidRPr="004D46AC">
              <w:t>Sound distraction</w:t>
            </w:r>
          </w:p>
        </w:tc>
        <w:tc>
          <w:tcPr>
            <w:tcW w:w="673" w:type="dxa"/>
          </w:tcPr>
          <w:p w14:paraId="1913806B" w14:textId="77777777" w:rsidR="007075D9" w:rsidRPr="004D46AC" w:rsidRDefault="007075D9" w:rsidP="0090577F">
            <w:pPr>
              <w:spacing w:line="360" w:lineRule="auto"/>
              <w:ind w:firstLine="0"/>
            </w:pPr>
            <w:r w:rsidRPr="004D46AC">
              <w:t>.73</w:t>
            </w:r>
          </w:p>
        </w:tc>
        <w:tc>
          <w:tcPr>
            <w:tcW w:w="673" w:type="dxa"/>
          </w:tcPr>
          <w:p w14:paraId="1C3255AD" w14:textId="77777777" w:rsidR="007075D9" w:rsidRPr="004D46AC" w:rsidRDefault="007075D9" w:rsidP="0090577F">
            <w:pPr>
              <w:spacing w:line="360" w:lineRule="auto"/>
              <w:ind w:firstLine="0"/>
            </w:pPr>
          </w:p>
        </w:tc>
        <w:tc>
          <w:tcPr>
            <w:tcW w:w="673" w:type="dxa"/>
          </w:tcPr>
          <w:p w14:paraId="520D884A" w14:textId="77777777" w:rsidR="007075D9" w:rsidRPr="004D46AC" w:rsidRDefault="007075D9" w:rsidP="0090577F">
            <w:pPr>
              <w:spacing w:line="360" w:lineRule="auto"/>
              <w:ind w:firstLine="0"/>
            </w:pPr>
            <w:r w:rsidRPr="004D46AC">
              <w:t>.19</w:t>
            </w:r>
          </w:p>
        </w:tc>
        <w:tc>
          <w:tcPr>
            <w:tcW w:w="674" w:type="dxa"/>
          </w:tcPr>
          <w:p w14:paraId="6C3272CB" w14:textId="77777777" w:rsidR="007075D9" w:rsidRPr="004D46AC" w:rsidRDefault="007075D9" w:rsidP="0090577F">
            <w:pPr>
              <w:spacing w:line="360" w:lineRule="auto"/>
              <w:ind w:firstLine="0"/>
            </w:pPr>
          </w:p>
        </w:tc>
        <w:tc>
          <w:tcPr>
            <w:tcW w:w="1366" w:type="dxa"/>
          </w:tcPr>
          <w:p w14:paraId="666AD5DF" w14:textId="77777777" w:rsidR="007075D9" w:rsidRPr="004D46AC" w:rsidRDefault="007075D9" w:rsidP="0090577F">
            <w:pPr>
              <w:spacing w:line="360" w:lineRule="auto"/>
              <w:ind w:firstLine="0"/>
            </w:pPr>
            <w:r w:rsidRPr="004D46AC">
              <w:rPr>
                <w:color w:val="000000"/>
              </w:rPr>
              <w:t>.53/ .03</w:t>
            </w:r>
          </w:p>
        </w:tc>
      </w:tr>
      <w:tr w:rsidR="007075D9" w:rsidRPr="004D46AC" w14:paraId="6EE01372" w14:textId="77777777" w:rsidTr="00B518F1">
        <w:trPr>
          <w:trHeight w:val="273"/>
        </w:trPr>
        <w:tc>
          <w:tcPr>
            <w:tcW w:w="798" w:type="dxa"/>
          </w:tcPr>
          <w:p w14:paraId="10B74585" w14:textId="77777777" w:rsidR="007075D9" w:rsidRPr="004D46AC" w:rsidRDefault="007075D9" w:rsidP="0090577F">
            <w:pPr>
              <w:spacing w:line="360" w:lineRule="auto"/>
              <w:ind w:firstLine="0"/>
            </w:pPr>
            <w:r w:rsidRPr="004D46AC">
              <w:t>TR17</w:t>
            </w:r>
          </w:p>
        </w:tc>
        <w:tc>
          <w:tcPr>
            <w:tcW w:w="4159" w:type="dxa"/>
          </w:tcPr>
          <w:p w14:paraId="61F2C4EC" w14:textId="77777777" w:rsidR="007075D9" w:rsidRPr="004D46AC" w:rsidRDefault="007075D9" w:rsidP="0090577F">
            <w:pPr>
              <w:spacing w:line="360" w:lineRule="auto"/>
              <w:ind w:firstLine="0"/>
            </w:pPr>
            <w:r w:rsidRPr="004D46AC">
              <w:t>Reality confusion</w:t>
            </w:r>
          </w:p>
        </w:tc>
        <w:tc>
          <w:tcPr>
            <w:tcW w:w="673" w:type="dxa"/>
          </w:tcPr>
          <w:p w14:paraId="3979881F" w14:textId="77777777" w:rsidR="007075D9" w:rsidRPr="004D46AC" w:rsidRDefault="007075D9" w:rsidP="0090577F">
            <w:pPr>
              <w:spacing w:line="360" w:lineRule="auto"/>
              <w:ind w:firstLine="0"/>
            </w:pPr>
            <w:r w:rsidRPr="004D46AC">
              <w:t>.80</w:t>
            </w:r>
          </w:p>
        </w:tc>
        <w:tc>
          <w:tcPr>
            <w:tcW w:w="673" w:type="dxa"/>
          </w:tcPr>
          <w:p w14:paraId="0667E6CE" w14:textId="77777777" w:rsidR="007075D9" w:rsidRPr="004D46AC" w:rsidRDefault="007075D9" w:rsidP="0090577F">
            <w:pPr>
              <w:spacing w:line="360" w:lineRule="auto"/>
              <w:ind w:firstLine="0"/>
            </w:pPr>
          </w:p>
        </w:tc>
        <w:tc>
          <w:tcPr>
            <w:tcW w:w="673" w:type="dxa"/>
          </w:tcPr>
          <w:p w14:paraId="5B0E22A2" w14:textId="77777777" w:rsidR="007075D9" w:rsidRPr="004D46AC" w:rsidRDefault="007075D9" w:rsidP="0090577F">
            <w:pPr>
              <w:spacing w:line="360" w:lineRule="auto"/>
              <w:ind w:firstLine="0"/>
            </w:pPr>
            <w:r w:rsidRPr="004D46AC">
              <w:t>.04</w:t>
            </w:r>
          </w:p>
        </w:tc>
        <w:tc>
          <w:tcPr>
            <w:tcW w:w="674" w:type="dxa"/>
          </w:tcPr>
          <w:p w14:paraId="48538ABA" w14:textId="77777777" w:rsidR="007075D9" w:rsidRPr="004D46AC" w:rsidRDefault="007075D9" w:rsidP="0090577F">
            <w:pPr>
              <w:spacing w:line="360" w:lineRule="auto"/>
              <w:ind w:firstLine="0"/>
            </w:pPr>
          </w:p>
        </w:tc>
        <w:tc>
          <w:tcPr>
            <w:tcW w:w="1366" w:type="dxa"/>
          </w:tcPr>
          <w:p w14:paraId="47FDCE4C" w14:textId="77777777" w:rsidR="007075D9" w:rsidRPr="004D46AC" w:rsidRDefault="007075D9" w:rsidP="0090577F">
            <w:pPr>
              <w:spacing w:line="360" w:lineRule="auto"/>
              <w:ind w:firstLine="0"/>
            </w:pPr>
            <w:r w:rsidRPr="004D46AC">
              <w:rPr>
                <w:color w:val="000000"/>
              </w:rPr>
              <w:t>.63/ .002</w:t>
            </w:r>
          </w:p>
        </w:tc>
      </w:tr>
      <w:tr w:rsidR="007075D9" w:rsidRPr="004D46AC" w14:paraId="62D0EF43" w14:textId="77777777" w:rsidTr="00B518F1">
        <w:trPr>
          <w:trHeight w:val="282"/>
        </w:trPr>
        <w:tc>
          <w:tcPr>
            <w:tcW w:w="798" w:type="dxa"/>
          </w:tcPr>
          <w:p w14:paraId="2556F473" w14:textId="77777777" w:rsidR="007075D9" w:rsidRPr="004D46AC" w:rsidRDefault="007075D9" w:rsidP="0090577F">
            <w:pPr>
              <w:spacing w:line="360" w:lineRule="auto"/>
              <w:ind w:firstLine="0"/>
            </w:pPr>
            <w:r w:rsidRPr="004D46AC">
              <w:t>TR18</w:t>
            </w:r>
          </w:p>
        </w:tc>
        <w:tc>
          <w:tcPr>
            <w:tcW w:w="4159" w:type="dxa"/>
          </w:tcPr>
          <w:p w14:paraId="13ECB952" w14:textId="77777777" w:rsidR="007075D9" w:rsidRPr="004D46AC" w:rsidRDefault="007075D9" w:rsidP="0090577F">
            <w:pPr>
              <w:spacing w:line="360" w:lineRule="auto"/>
              <w:ind w:firstLine="0"/>
            </w:pPr>
            <w:r w:rsidRPr="004D46AC">
              <w:t>Precepted oddity in familiar surroundings</w:t>
            </w:r>
          </w:p>
        </w:tc>
        <w:tc>
          <w:tcPr>
            <w:tcW w:w="673" w:type="dxa"/>
          </w:tcPr>
          <w:p w14:paraId="7B8E3496" w14:textId="77777777" w:rsidR="007075D9" w:rsidRPr="004D46AC" w:rsidRDefault="007075D9" w:rsidP="0090577F">
            <w:pPr>
              <w:spacing w:line="360" w:lineRule="auto"/>
              <w:ind w:firstLine="0"/>
            </w:pPr>
            <w:r w:rsidRPr="004D46AC">
              <w:t>.76</w:t>
            </w:r>
          </w:p>
        </w:tc>
        <w:tc>
          <w:tcPr>
            <w:tcW w:w="673" w:type="dxa"/>
          </w:tcPr>
          <w:p w14:paraId="1984485E" w14:textId="77777777" w:rsidR="007075D9" w:rsidRPr="004D46AC" w:rsidRDefault="007075D9" w:rsidP="0090577F">
            <w:pPr>
              <w:spacing w:line="360" w:lineRule="auto"/>
              <w:ind w:firstLine="0"/>
            </w:pPr>
          </w:p>
        </w:tc>
        <w:tc>
          <w:tcPr>
            <w:tcW w:w="673" w:type="dxa"/>
          </w:tcPr>
          <w:p w14:paraId="02D90AF4" w14:textId="77777777" w:rsidR="007075D9" w:rsidRPr="004D46AC" w:rsidRDefault="007075D9" w:rsidP="0090577F">
            <w:pPr>
              <w:spacing w:line="360" w:lineRule="auto"/>
              <w:ind w:firstLine="0"/>
            </w:pPr>
            <w:r w:rsidRPr="004D46AC">
              <w:t>.04</w:t>
            </w:r>
          </w:p>
        </w:tc>
        <w:tc>
          <w:tcPr>
            <w:tcW w:w="674" w:type="dxa"/>
          </w:tcPr>
          <w:p w14:paraId="5B85ED15" w14:textId="77777777" w:rsidR="007075D9" w:rsidRPr="004D46AC" w:rsidRDefault="007075D9" w:rsidP="0090577F">
            <w:pPr>
              <w:spacing w:line="360" w:lineRule="auto"/>
              <w:ind w:firstLine="0"/>
            </w:pPr>
          </w:p>
        </w:tc>
        <w:tc>
          <w:tcPr>
            <w:tcW w:w="1366" w:type="dxa"/>
          </w:tcPr>
          <w:p w14:paraId="3BE5328C" w14:textId="77777777" w:rsidR="007075D9" w:rsidRPr="004D46AC" w:rsidRDefault="007075D9" w:rsidP="0090577F">
            <w:pPr>
              <w:spacing w:line="360" w:lineRule="auto"/>
              <w:ind w:firstLine="0"/>
            </w:pPr>
            <w:r w:rsidRPr="004D46AC">
              <w:rPr>
                <w:color w:val="000000"/>
              </w:rPr>
              <w:t>.57/ .002</w:t>
            </w:r>
          </w:p>
        </w:tc>
      </w:tr>
      <w:tr w:rsidR="007075D9" w:rsidRPr="004D46AC" w14:paraId="7D603EE4" w14:textId="77777777" w:rsidTr="00B518F1">
        <w:trPr>
          <w:trHeight w:val="273"/>
        </w:trPr>
        <w:tc>
          <w:tcPr>
            <w:tcW w:w="798" w:type="dxa"/>
          </w:tcPr>
          <w:p w14:paraId="0477C558" w14:textId="77777777" w:rsidR="007075D9" w:rsidRPr="004D46AC" w:rsidRDefault="007075D9" w:rsidP="0090577F">
            <w:pPr>
              <w:spacing w:line="360" w:lineRule="auto"/>
              <w:ind w:firstLine="0"/>
            </w:pPr>
            <w:r w:rsidRPr="004D46AC">
              <w:t>TR29</w:t>
            </w:r>
          </w:p>
        </w:tc>
        <w:tc>
          <w:tcPr>
            <w:tcW w:w="4159" w:type="dxa"/>
          </w:tcPr>
          <w:p w14:paraId="01DA78F2" w14:textId="77777777" w:rsidR="007075D9" w:rsidRPr="004D46AC" w:rsidRDefault="007075D9" w:rsidP="0090577F">
            <w:pPr>
              <w:spacing w:line="360" w:lineRule="auto"/>
              <w:ind w:firstLine="0"/>
            </w:pPr>
            <w:r w:rsidRPr="004D46AC">
              <w:t>Pseudo hallucinations</w:t>
            </w:r>
          </w:p>
        </w:tc>
        <w:tc>
          <w:tcPr>
            <w:tcW w:w="673" w:type="dxa"/>
          </w:tcPr>
          <w:p w14:paraId="355E8354" w14:textId="77777777" w:rsidR="007075D9" w:rsidRPr="004D46AC" w:rsidRDefault="007075D9" w:rsidP="0090577F">
            <w:pPr>
              <w:spacing w:line="360" w:lineRule="auto"/>
              <w:ind w:firstLine="0"/>
            </w:pPr>
            <w:r w:rsidRPr="004D46AC">
              <w:t>.72</w:t>
            </w:r>
          </w:p>
        </w:tc>
        <w:tc>
          <w:tcPr>
            <w:tcW w:w="673" w:type="dxa"/>
          </w:tcPr>
          <w:p w14:paraId="05E0F5D4" w14:textId="77777777" w:rsidR="007075D9" w:rsidRPr="004D46AC" w:rsidRDefault="007075D9" w:rsidP="0090577F">
            <w:pPr>
              <w:spacing w:line="360" w:lineRule="auto"/>
              <w:ind w:firstLine="0"/>
            </w:pPr>
          </w:p>
        </w:tc>
        <w:tc>
          <w:tcPr>
            <w:tcW w:w="673" w:type="dxa"/>
          </w:tcPr>
          <w:p w14:paraId="224374FF" w14:textId="77777777" w:rsidR="007075D9" w:rsidRPr="004D46AC" w:rsidRDefault="007075D9" w:rsidP="0090577F">
            <w:pPr>
              <w:spacing w:line="360" w:lineRule="auto"/>
              <w:ind w:firstLine="0"/>
            </w:pPr>
            <w:r w:rsidRPr="004D46AC">
              <w:t>.20</w:t>
            </w:r>
          </w:p>
        </w:tc>
        <w:tc>
          <w:tcPr>
            <w:tcW w:w="674" w:type="dxa"/>
          </w:tcPr>
          <w:p w14:paraId="10EC3035" w14:textId="77777777" w:rsidR="007075D9" w:rsidRPr="004D46AC" w:rsidRDefault="007075D9" w:rsidP="0090577F">
            <w:pPr>
              <w:spacing w:line="360" w:lineRule="auto"/>
              <w:ind w:firstLine="0"/>
            </w:pPr>
          </w:p>
        </w:tc>
        <w:tc>
          <w:tcPr>
            <w:tcW w:w="1366" w:type="dxa"/>
          </w:tcPr>
          <w:p w14:paraId="5002255D" w14:textId="77777777" w:rsidR="007075D9" w:rsidRPr="004D46AC" w:rsidRDefault="007075D9" w:rsidP="0090577F">
            <w:pPr>
              <w:spacing w:line="360" w:lineRule="auto"/>
              <w:ind w:firstLine="0"/>
            </w:pPr>
            <w:r w:rsidRPr="004D46AC">
              <w:rPr>
                <w:color w:val="000000"/>
              </w:rPr>
              <w:t>.52/ .04</w:t>
            </w:r>
          </w:p>
        </w:tc>
      </w:tr>
      <w:tr w:rsidR="007075D9" w:rsidRPr="004D46AC" w14:paraId="6AD0D096" w14:textId="77777777" w:rsidTr="00B518F1">
        <w:trPr>
          <w:trHeight w:val="273"/>
        </w:trPr>
        <w:tc>
          <w:tcPr>
            <w:tcW w:w="798" w:type="dxa"/>
          </w:tcPr>
          <w:p w14:paraId="7059B66C" w14:textId="77777777" w:rsidR="007075D9" w:rsidRPr="004D46AC" w:rsidRDefault="007075D9" w:rsidP="0090577F">
            <w:pPr>
              <w:spacing w:line="360" w:lineRule="auto"/>
              <w:ind w:firstLine="0"/>
            </w:pPr>
            <w:r w:rsidRPr="004D46AC">
              <w:t>TR30</w:t>
            </w:r>
          </w:p>
        </w:tc>
        <w:tc>
          <w:tcPr>
            <w:tcW w:w="4159" w:type="dxa"/>
          </w:tcPr>
          <w:p w14:paraId="3CB84858" w14:textId="77777777" w:rsidR="007075D9" w:rsidRPr="004D46AC" w:rsidRDefault="007075D9" w:rsidP="0090577F">
            <w:pPr>
              <w:spacing w:line="360" w:lineRule="auto"/>
              <w:ind w:firstLine="0"/>
            </w:pPr>
            <w:r w:rsidRPr="004D46AC">
              <w:t>Suspiciousness</w:t>
            </w:r>
          </w:p>
        </w:tc>
        <w:tc>
          <w:tcPr>
            <w:tcW w:w="673" w:type="dxa"/>
          </w:tcPr>
          <w:p w14:paraId="04BC1C3B" w14:textId="77777777" w:rsidR="007075D9" w:rsidRPr="004D46AC" w:rsidRDefault="007075D9" w:rsidP="0090577F">
            <w:pPr>
              <w:spacing w:line="360" w:lineRule="auto"/>
              <w:ind w:firstLine="0"/>
            </w:pPr>
            <w:r w:rsidRPr="004D46AC">
              <w:t>.81</w:t>
            </w:r>
          </w:p>
        </w:tc>
        <w:tc>
          <w:tcPr>
            <w:tcW w:w="673" w:type="dxa"/>
          </w:tcPr>
          <w:p w14:paraId="3F93C91E" w14:textId="77777777" w:rsidR="007075D9" w:rsidRPr="004D46AC" w:rsidRDefault="007075D9" w:rsidP="0090577F">
            <w:pPr>
              <w:spacing w:line="360" w:lineRule="auto"/>
              <w:ind w:firstLine="0"/>
            </w:pPr>
          </w:p>
        </w:tc>
        <w:tc>
          <w:tcPr>
            <w:tcW w:w="673" w:type="dxa"/>
          </w:tcPr>
          <w:p w14:paraId="23975AE4" w14:textId="77777777" w:rsidR="007075D9" w:rsidRPr="004D46AC" w:rsidRDefault="007075D9" w:rsidP="0090577F">
            <w:pPr>
              <w:spacing w:line="360" w:lineRule="auto"/>
              <w:ind w:firstLine="0"/>
            </w:pPr>
            <w:r w:rsidRPr="004D46AC">
              <w:t>-.01</w:t>
            </w:r>
          </w:p>
        </w:tc>
        <w:tc>
          <w:tcPr>
            <w:tcW w:w="674" w:type="dxa"/>
          </w:tcPr>
          <w:p w14:paraId="0086B240" w14:textId="77777777" w:rsidR="007075D9" w:rsidRPr="004D46AC" w:rsidRDefault="007075D9" w:rsidP="0090577F">
            <w:pPr>
              <w:spacing w:line="360" w:lineRule="auto"/>
              <w:ind w:firstLine="0"/>
            </w:pPr>
          </w:p>
        </w:tc>
        <w:tc>
          <w:tcPr>
            <w:tcW w:w="1366" w:type="dxa"/>
          </w:tcPr>
          <w:p w14:paraId="4A70F76C" w14:textId="77777777" w:rsidR="007075D9" w:rsidRPr="004D46AC" w:rsidRDefault="007075D9" w:rsidP="0090577F">
            <w:pPr>
              <w:spacing w:line="360" w:lineRule="auto"/>
              <w:ind w:firstLine="0"/>
            </w:pPr>
            <w:r w:rsidRPr="004D46AC">
              <w:rPr>
                <w:color w:val="000000"/>
              </w:rPr>
              <w:t>.66/ .0001</w:t>
            </w:r>
          </w:p>
        </w:tc>
      </w:tr>
      <w:tr w:rsidR="007075D9" w:rsidRPr="004D46AC" w14:paraId="7CC48CE4" w14:textId="77777777" w:rsidTr="00B518F1">
        <w:trPr>
          <w:trHeight w:val="282"/>
        </w:trPr>
        <w:tc>
          <w:tcPr>
            <w:tcW w:w="798" w:type="dxa"/>
          </w:tcPr>
          <w:p w14:paraId="67DEF470" w14:textId="77777777" w:rsidR="007075D9" w:rsidRPr="004D46AC" w:rsidRDefault="007075D9" w:rsidP="0090577F">
            <w:pPr>
              <w:spacing w:line="360" w:lineRule="auto"/>
              <w:ind w:firstLine="0"/>
            </w:pPr>
            <w:r w:rsidRPr="004D46AC">
              <w:t>TR33</w:t>
            </w:r>
          </w:p>
        </w:tc>
        <w:tc>
          <w:tcPr>
            <w:tcW w:w="4159" w:type="dxa"/>
          </w:tcPr>
          <w:p w14:paraId="6F5466E5" w14:textId="77777777" w:rsidR="007075D9" w:rsidRPr="004D46AC" w:rsidRDefault="007075D9" w:rsidP="0090577F">
            <w:pPr>
              <w:spacing w:line="360" w:lineRule="auto"/>
              <w:ind w:firstLine="0"/>
            </w:pPr>
            <w:r w:rsidRPr="004D46AC">
              <w:t>Paranoia</w:t>
            </w:r>
          </w:p>
        </w:tc>
        <w:tc>
          <w:tcPr>
            <w:tcW w:w="673" w:type="dxa"/>
          </w:tcPr>
          <w:p w14:paraId="13FC42D9" w14:textId="77777777" w:rsidR="007075D9" w:rsidRPr="004D46AC" w:rsidRDefault="007075D9" w:rsidP="0090577F">
            <w:pPr>
              <w:spacing w:line="360" w:lineRule="auto"/>
              <w:ind w:firstLine="0"/>
            </w:pPr>
            <w:r w:rsidRPr="004D46AC">
              <w:t>.68</w:t>
            </w:r>
          </w:p>
        </w:tc>
        <w:tc>
          <w:tcPr>
            <w:tcW w:w="673" w:type="dxa"/>
          </w:tcPr>
          <w:p w14:paraId="4F9D48C9" w14:textId="77777777" w:rsidR="007075D9" w:rsidRPr="004D46AC" w:rsidRDefault="007075D9" w:rsidP="0090577F">
            <w:pPr>
              <w:spacing w:line="360" w:lineRule="auto"/>
              <w:ind w:firstLine="0"/>
            </w:pPr>
          </w:p>
        </w:tc>
        <w:tc>
          <w:tcPr>
            <w:tcW w:w="673" w:type="dxa"/>
          </w:tcPr>
          <w:p w14:paraId="5FFE2B92" w14:textId="77777777" w:rsidR="007075D9" w:rsidRPr="004D46AC" w:rsidRDefault="007075D9" w:rsidP="0090577F">
            <w:pPr>
              <w:spacing w:line="360" w:lineRule="auto"/>
              <w:ind w:firstLine="0"/>
            </w:pPr>
            <w:r w:rsidRPr="004D46AC">
              <w:t>-.11</w:t>
            </w:r>
          </w:p>
        </w:tc>
        <w:tc>
          <w:tcPr>
            <w:tcW w:w="674" w:type="dxa"/>
          </w:tcPr>
          <w:p w14:paraId="34DA771A" w14:textId="77777777" w:rsidR="007075D9" w:rsidRPr="004D46AC" w:rsidRDefault="007075D9" w:rsidP="0090577F">
            <w:pPr>
              <w:spacing w:line="360" w:lineRule="auto"/>
              <w:ind w:firstLine="0"/>
            </w:pPr>
          </w:p>
        </w:tc>
        <w:tc>
          <w:tcPr>
            <w:tcW w:w="1366" w:type="dxa"/>
          </w:tcPr>
          <w:p w14:paraId="3C17EBF9" w14:textId="77777777" w:rsidR="007075D9" w:rsidRPr="004D46AC" w:rsidRDefault="007075D9" w:rsidP="0090577F">
            <w:pPr>
              <w:spacing w:line="360" w:lineRule="auto"/>
              <w:ind w:firstLine="0"/>
            </w:pPr>
            <w:r w:rsidRPr="004D46AC">
              <w:rPr>
                <w:color w:val="000000"/>
              </w:rPr>
              <w:t>.46/ .01</w:t>
            </w:r>
          </w:p>
        </w:tc>
      </w:tr>
      <w:tr w:rsidR="007075D9" w:rsidRPr="004D46AC" w14:paraId="3DC26283" w14:textId="77777777" w:rsidTr="00B518F1">
        <w:trPr>
          <w:trHeight w:val="273"/>
        </w:trPr>
        <w:tc>
          <w:tcPr>
            <w:tcW w:w="798" w:type="dxa"/>
          </w:tcPr>
          <w:p w14:paraId="1B5DF413" w14:textId="77777777" w:rsidR="007075D9" w:rsidRPr="004D46AC" w:rsidRDefault="007075D9" w:rsidP="0090577F">
            <w:pPr>
              <w:spacing w:line="360" w:lineRule="auto"/>
              <w:ind w:firstLine="0"/>
            </w:pPr>
            <w:r w:rsidRPr="004D46AC">
              <w:t>TR13</w:t>
            </w:r>
          </w:p>
        </w:tc>
        <w:tc>
          <w:tcPr>
            <w:tcW w:w="4159" w:type="dxa"/>
          </w:tcPr>
          <w:p w14:paraId="7E695072" w14:textId="77777777" w:rsidR="007075D9" w:rsidRPr="004D46AC" w:rsidRDefault="007075D9" w:rsidP="0090577F">
            <w:pPr>
              <w:spacing w:line="360" w:lineRule="auto"/>
              <w:ind w:firstLine="0"/>
            </w:pPr>
            <w:r w:rsidRPr="004D46AC">
              <w:t>Pressured speech/ talkative</w:t>
            </w:r>
          </w:p>
        </w:tc>
        <w:tc>
          <w:tcPr>
            <w:tcW w:w="673" w:type="dxa"/>
          </w:tcPr>
          <w:p w14:paraId="2940138F" w14:textId="77777777" w:rsidR="007075D9" w:rsidRPr="004D46AC" w:rsidRDefault="007075D9" w:rsidP="0090577F">
            <w:pPr>
              <w:spacing w:line="360" w:lineRule="auto"/>
              <w:ind w:firstLine="0"/>
            </w:pPr>
            <w:r w:rsidRPr="004D46AC">
              <w:t>.52</w:t>
            </w:r>
          </w:p>
        </w:tc>
        <w:tc>
          <w:tcPr>
            <w:tcW w:w="673" w:type="dxa"/>
          </w:tcPr>
          <w:p w14:paraId="1A3B2F64" w14:textId="77777777" w:rsidR="007075D9" w:rsidRPr="004D46AC" w:rsidRDefault="007075D9" w:rsidP="0090577F">
            <w:pPr>
              <w:spacing w:line="360" w:lineRule="auto"/>
              <w:ind w:firstLine="0"/>
            </w:pPr>
          </w:p>
        </w:tc>
        <w:tc>
          <w:tcPr>
            <w:tcW w:w="673" w:type="dxa"/>
          </w:tcPr>
          <w:p w14:paraId="6B95CC05" w14:textId="77777777" w:rsidR="007075D9" w:rsidRPr="004D46AC" w:rsidRDefault="007075D9" w:rsidP="0090577F">
            <w:pPr>
              <w:spacing w:line="360" w:lineRule="auto"/>
              <w:ind w:firstLine="0"/>
            </w:pPr>
          </w:p>
        </w:tc>
        <w:tc>
          <w:tcPr>
            <w:tcW w:w="674" w:type="dxa"/>
          </w:tcPr>
          <w:p w14:paraId="6CC0BA99" w14:textId="77777777" w:rsidR="007075D9" w:rsidRPr="004D46AC" w:rsidRDefault="007075D9" w:rsidP="0090577F">
            <w:pPr>
              <w:spacing w:line="360" w:lineRule="auto"/>
              <w:ind w:firstLine="0"/>
            </w:pPr>
            <w:r w:rsidRPr="004D46AC">
              <w:t>.49</w:t>
            </w:r>
          </w:p>
        </w:tc>
        <w:tc>
          <w:tcPr>
            <w:tcW w:w="1366" w:type="dxa"/>
          </w:tcPr>
          <w:p w14:paraId="38C3773E" w14:textId="77777777" w:rsidR="007075D9" w:rsidRPr="004D46AC" w:rsidRDefault="007075D9" w:rsidP="0090577F">
            <w:pPr>
              <w:spacing w:line="360" w:lineRule="auto"/>
              <w:ind w:firstLine="0"/>
            </w:pPr>
            <w:r w:rsidRPr="004D46AC">
              <w:rPr>
                <w:color w:val="000000"/>
              </w:rPr>
              <w:t>.27/ .24</w:t>
            </w:r>
          </w:p>
        </w:tc>
      </w:tr>
      <w:tr w:rsidR="007075D9" w:rsidRPr="004D46AC" w14:paraId="2F51E993" w14:textId="77777777" w:rsidTr="00B518F1">
        <w:trPr>
          <w:trHeight w:val="273"/>
        </w:trPr>
        <w:tc>
          <w:tcPr>
            <w:tcW w:w="798" w:type="dxa"/>
          </w:tcPr>
          <w:p w14:paraId="6549FF06" w14:textId="77777777" w:rsidR="007075D9" w:rsidRPr="004D46AC" w:rsidRDefault="007075D9" w:rsidP="0090577F">
            <w:pPr>
              <w:spacing w:line="360" w:lineRule="auto"/>
              <w:ind w:firstLine="0"/>
            </w:pPr>
            <w:r w:rsidRPr="004D46AC">
              <w:t>TR14</w:t>
            </w:r>
          </w:p>
        </w:tc>
        <w:tc>
          <w:tcPr>
            <w:tcW w:w="4159" w:type="dxa"/>
          </w:tcPr>
          <w:p w14:paraId="62C9754D" w14:textId="77777777" w:rsidR="007075D9" w:rsidRPr="004D46AC" w:rsidRDefault="007075D9" w:rsidP="0090577F">
            <w:pPr>
              <w:spacing w:line="360" w:lineRule="auto"/>
              <w:ind w:firstLine="0"/>
            </w:pPr>
            <w:r w:rsidRPr="004D46AC">
              <w:t>Elevated self-confidence</w:t>
            </w:r>
          </w:p>
        </w:tc>
        <w:tc>
          <w:tcPr>
            <w:tcW w:w="673" w:type="dxa"/>
          </w:tcPr>
          <w:p w14:paraId="65A5E8EE" w14:textId="77777777" w:rsidR="007075D9" w:rsidRPr="004D46AC" w:rsidRDefault="007075D9" w:rsidP="0090577F">
            <w:pPr>
              <w:spacing w:line="360" w:lineRule="auto"/>
              <w:ind w:firstLine="0"/>
            </w:pPr>
            <w:r w:rsidRPr="004D46AC">
              <w:t>.53</w:t>
            </w:r>
          </w:p>
        </w:tc>
        <w:tc>
          <w:tcPr>
            <w:tcW w:w="673" w:type="dxa"/>
          </w:tcPr>
          <w:p w14:paraId="28E5EA20" w14:textId="77777777" w:rsidR="007075D9" w:rsidRPr="004D46AC" w:rsidRDefault="007075D9" w:rsidP="0090577F">
            <w:pPr>
              <w:spacing w:line="360" w:lineRule="auto"/>
              <w:ind w:firstLine="0"/>
            </w:pPr>
          </w:p>
        </w:tc>
        <w:tc>
          <w:tcPr>
            <w:tcW w:w="673" w:type="dxa"/>
          </w:tcPr>
          <w:p w14:paraId="1753842D" w14:textId="77777777" w:rsidR="007075D9" w:rsidRPr="004D46AC" w:rsidRDefault="007075D9" w:rsidP="0090577F">
            <w:pPr>
              <w:spacing w:line="360" w:lineRule="auto"/>
              <w:ind w:firstLine="0"/>
            </w:pPr>
          </w:p>
        </w:tc>
        <w:tc>
          <w:tcPr>
            <w:tcW w:w="674" w:type="dxa"/>
          </w:tcPr>
          <w:p w14:paraId="7A026ED0" w14:textId="77777777" w:rsidR="007075D9" w:rsidRPr="004D46AC" w:rsidRDefault="007075D9" w:rsidP="0090577F">
            <w:pPr>
              <w:spacing w:line="360" w:lineRule="auto"/>
              <w:ind w:firstLine="0"/>
            </w:pPr>
            <w:r w:rsidRPr="004D46AC">
              <w:t>.64</w:t>
            </w:r>
          </w:p>
        </w:tc>
        <w:tc>
          <w:tcPr>
            <w:tcW w:w="1366" w:type="dxa"/>
          </w:tcPr>
          <w:p w14:paraId="4A6211CE" w14:textId="77777777" w:rsidR="007075D9" w:rsidRPr="004D46AC" w:rsidRDefault="007075D9" w:rsidP="0090577F">
            <w:pPr>
              <w:spacing w:line="360" w:lineRule="auto"/>
              <w:ind w:firstLine="0"/>
            </w:pPr>
            <w:r w:rsidRPr="004D46AC">
              <w:rPr>
                <w:color w:val="000000"/>
              </w:rPr>
              <w:t>.28/ .41</w:t>
            </w:r>
          </w:p>
        </w:tc>
      </w:tr>
      <w:tr w:rsidR="007075D9" w:rsidRPr="004D46AC" w14:paraId="51C5DE5C" w14:textId="77777777" w:rsidTr="00B518F1">
        <w:trPr>
          <w:trHeight w:val="282"/>
        </w:trPr>
        <w:tc>
          <w:tcPr>
            <w:tcW w:w="798" w:type="dxa"/>
          </w:tcPr>
          <w:p w14:paraId="747A68CB" w14:textId="77777777" w:rsidR="007075D9" w:rsidRPr="004D46AC" w:rsidRDefault="007075D9" w:rsidP="0090577F">
            <w:pPr>
              <w:spacing w:line="360" w:lineRule="auto"/>
              <w:ind w:firstLine="0"/>
            </w:pPr>
            <w:r w:rsidRPr="004D46AC">
              <w:t>TR16</w:t>
            </w:r>
          </w:p>
        </w:tc>
        <w:tc>
          <w:tcPr>
            <w:tcW w:w="4159" w:type="dxa"/>
          </w:tcPr>
          <w:p w14:paraId="17131D06" w14:textId="77777777" w:rsidR="007075D9" w:rsidRPr="004D46AC" w:rsidRDefault="007075D9" w:rsidP="0090577F">
            <w:pPr>
              <w:spacing w:line="360" w:lineRule="auto"/>
              <w:ind w:firstLine="0"/>
            </w:pPr>
            <w:r w:rsidRPr="004D46AC">
              <w:t>Elevated mood or energy</w:t>
            </w:r>
          </w:p>
        </w:tc>
        <w:tc>
          <w:tcPr>
            <w:tcW w:w="673" w:type="dxa"/>
          </w:tcPr>
          <w:p w14:paraId="534D2A99" w14:textId="77777777" w:rsidR="007075D9" w:rsidRPr="004D46AC" w:rsidRDefault="007075D9" w:rsidP="0090577F">
            <w:pPr>
              <w:spacing w:line="360" w:lineRule="auto"/>
              <w:ind w:firstLine="0"/>
            </w:pPr>
            <w:r w:rsidRPr="004D46AC">
              <w:t>.53</w:t>
            </w:r>
          </w:p>
        </w:tc>
        <w:tc>
          <w:tcPr>
            <w:tcW w:w="673" w:type="dxa"/>
          </w:tcPr>
          <w:p w14:paraId="52680AFE" w14:textId="77777777" w:rsidR="007075D9" w:rsidRPr="004D46AC" w:rsidRDefault="007075D9" w:rsidP="0090577F">
            <w:pPr>
              <w:spacing w:line="360" w:lineRule="auto"/>
              <w:ind w:firstLine="0"/>
            </w:pPr>
          </w:p>
        </w:tc>
        <w:tc>
          <w:tcPr>
            <w:tcW w:w="673" w:type="dxa"/>
          </w:tcPr>
          <w:p w14:paraId="7C7AA330" w14:textId="77777777" w:rsidR="007075D9" w:rsidRPr="004D46AC" w:rsidRDefault="007075D9" w:rsidP="0090577F">
            <w:pPr>
              <w:spacing w:line="360" w:lineRule="auto"/>
              <w:ind w:firstLine="0"/>
            </w:pPr>
          </w:p>
        </w:tc>
        <w:tc>
          <w:tcPr>
            <w:tcW w:w="674" w:type="dxa"/>
          </w:tcPr>
          <w:p w14:paraId="07D35E61" w14:textId="77777777" w:rsidR="007075D9" w:rsidRPr="004D46AC" w:rsidRDefault="007075D9" w:rsidP="0090577F">
            <w:pPr>
              <w:spacing w:line="360" w:lineRule="auto"/>
              <w:ind w:firstLine="0"/>
            </w:pPr>
            <w:r w:rsidRPr="004D46AC">
              <w:t>.58</w:t>
            </w:r>
          </w:p>
        </w:tc>
        <w:tc>
          <w:tcPr>
            <w:tcW w:w="1366" w:type="dxa"/>
          </w:tcPr>
          <w:p w14:paraId="52D85F1E" w14:textId="77777777" w:rsidR="007075D9" w:rsidRPr="004D46AC" w:rsidRDefault="007075D9" w:rsidP="0090577F">
            <w:pPr>
              <w:spacing w:line="360" w:lineRule="auto"/>
              <w:ind w:firstLine="0"/>
            </w:pPr>
            <w:r w:rsidRPr="004D46AC">
              <w:rPr>
                <w:color w:val="000000"/>
              </w:rPr>
              <w:t>.28/ .34</w:t>
            </w:r>
          </w:p>
        </w:tc>
      </w:tr>
      <w:tr w:rsidR="007075D9" w:rsidRPr="004D46AC" w14:paraId="5E28E382" w14:textId="77777777" w:rsidTr="00B518F1">
        <w:trPr>
          <w:trHeight w:val="273"/>
        </w:trPr>
        <w:tc>
          <w:tcPr>
            <w:tcW w:w="798" w:type="dxa"/>
          </w:tcPr>
          <w:p w14:paraId="2EF04ECF" w14:textId="77777777" w:rsidR="007075D9" w:rsidRPr="004D46AC" w:rsidRDefault="007075D9" w:rsidP="0090577F">
            <w:pPr>
              <w:spacing w:line="360" w:lineRule="auto"/>
              <w:ind w:firstLine="0"/>
            </w:pPr>
            <w:r w:rsidRPr="004D46AC">
              <w:t>TR20</w:t>
            </w:r>
          </w:p>
        </w:tc>
        <w:tc>
          <w:tcPr>
            <w:tcW w:w="4159" w:type="dxa"/>
          </w:tcPr>
          <w:p w14:paraId="540C1771" w14:textId="77777777" w:rsidR="007075D9" w:rsidRPr="004D46AC" w:rsidRDefault="007075D9" w:rsidP="0090577F">
            <w:pPr>
              <w:spacing w:line="360" w:lineRule="auto"/>
              <w:ind w:firstLine="0"/>
            </w:pPr>
            <w:r w:rsidRPr="004D46AC">
              <w:t>Increased goal directed activities</w:t>
            </w:r>
          </w:p>
        </w:tc>
        <w:tc>
          <w:tcPr>
            <w:tcW w:w="673" w:type="dxa"/>
          </w:tcPr>
          <w:p w14:paraId="6EEC2563" w14:textId="77777777" w:rsidR="007075D9" w:rsidRPr="004D46AC" w:rsidRDefault="007075D9" w:rsidP="0090577F">
            <w:pPr>
              <w:spacing w:line="360" w:lineRule="auto"/>
              <w:ind w:firstLine="0"/>
            </w:pPr>
            <w:r w:rsidRPr="004D46AC">
              <w:t>.54</w:t>
            </w:r>
          </w:p>
        </w:tc>
        <w:tc>
          <w:tcPr>
            <w:tcW w:w="673" w:type="dxa"/>
          </w:tcPr>
          <w:p w14:paraId="746330E9" w14:textId="77777777" w:rsidR="007075D9" w:rsidRPr="004D46AC" w:rsidRDefault="007075D9" w:rsidP="0090577F">
            <w:pPr>
              <w:spacing w:line="360" w:lineRule="auto"/>
              <w:ind w:firstLine="0"/>
            </w:pPr>
          </w:p>
        </w:tc>
        <w:tc>
          <w:tcPr>
            <w:tcW w:w="673" w:type="dxa"/>
          </w:tcPr>
          <w:p w14:paraId="1C5854DB" w14:textId="77777777" w:rsidR="007075D9" w:rsidRPr="004D46AC" w:rsidRDefault="007075D9" w:rsidP="0090577F">
            <w:pPr>
              <w:spacing w:line="360" w:lineRule="auto"/>
              <w:ind w:firstLine="0"/>
            </w:pPr>
          </w:p>
        </w:tc>
        <w:tc>
          <w:tcPr>
            <w:tcW w:w="674" w:type="dxa"/>
          </w:tcPr>
          <w:p w14:paraId="03BC12EE" w14:textId="77777777" w:rsidR="007075D9" w:rsidRPr="004D46AC" w:rsidRDefault="007075D9" w:rsidP="0090577F">
            <w:pPr>
              <w:spacing w:line="360" w:lineRule="auto"/>
              <w:ind w:firstLine="0"/>
            </w:pPr>
            <w:r w:rsidRPr="004D46AC">
              <w:t>.40</w:t>
            </w:r>
          </w:p>
        </w:tc>
        <w:tc>
          <w:tcPr>
            <w:tcW w:w="1366" w:type="dxa"/>
          </w:tcPr>
          <w:p w14:paraId="612EDEDE" w14:textId="77777777" w:rsidR="007075D9" w:rsidRPr="004D46AC" w:rsidRDefault="007075D9" w:rsidP="0090577F">
            <w:pPr>
              <w:spacing w:line="360" w:lineRule="auto"/>
              <w:ind w:firstLine="0"/>
            </w:pPr>
            <w:r w:rsidRPr="004D46AC">
              <w:rPr>
                <w:color w:val="000000"/>
              </w:rPr>
              <w:t>.29/ .16</w:t>
            </w:r>
          </w:p>
        </w:tc>
      </w:tr>
      <w:tr w:rsidR="007075D9" w:rsidRPr="004D46AC" w14:paraId="64286F56" w14:textId="77777777" w:rsidTr="00B518F1">
        <w:trPr>
          <w:trHeight w:val="282"/>
        </w:trPr>
        <w:tc>
          <w:tcPr>
            <w:tcW w:w="798" w:type="dxa"/>
          </w:tcPr>
          <w:p w14:paraId="61ACCB8A" w14:textId="77777777" w:rsidR="007075D9" w:rsidRPr="004D46AC" w:rsidRDefault="007075D9" w:rsidP="0090577F">
            <w:pPr>
              <w:spacing w:line="360" w:lineRule="auto"/>
              <w:ind w:firstLine="0"/>
            </w:pPr>
            <w:r w:rsidRPr="004D46AC">
              <w:t>TR22</w:t>
            </w:r>
          </w:p>
        </w:tc>
        <w:tc>
          <w:tcPr>
            <w:tcW w:w="4159" w:type="dxa"/>
          </w:tcPr>
          <w:p w14:paraId="3D095AC1" w14:textId="77777777" w:rsidR="007075D9" w:rsidRPr="004D46AC" w:rsidRDefault="007075D9" w:rsidP="0090577F">
            <w:pPr>
              <w:spacing w:line="360" w:lineRule="auto"/>
              <w:ind w:firstLine="0"/>
            </w:pPr>
            <w:r w:rsidRPr="004D46AC">
              <w:t>Grandiosity</w:t>
            </w:r>
          </w:p>
        </w:tc>
        <w:tc>
          <w:tcPr>
            <w:tcW w:w="673" w:type="dxa"/>
          </w:tcPr>
          <w:p w14:paraId="2AEB6DFD" w14:textId="77777777" w:rsidR="007075D9" w:rsidRPr="004D46AC" w:rsidRDefault="007075D9" w:rsidP="0090577F">
            <w:pPr>
              <w:spacing w:line="360" w:lineRule="auto"/>
              <w:ind w:firstLine="0"/>
            </w:pPr>
            <w:r w:rsidRPr="004D46AC">
              <w:t>.57</w:t>
            </w:r>
          </w:p>
        </w:tc>
        <w:tc>
          <w:tcPr>
            <w:tcW w:w="673" w:type="dxa"/>
          </w:tcPr>
          <w:p w14:paraId="24E74E84" w14:textId="77777777" w:rsidR="007075D9" w:rsidRPr="004D46AC" w:rsidRDefault="007075D9" w:rsidP="0090577F">
            <w:pPr>
              <w:spacing w:line="360" w:lineRule="auto"/>
              <w:ind w:firstLine="0"/>
            </w:pPr>
          </w:p>
        </w:tc>
        <w:tc>
          <w:tcPr>
            <w:tcW w:w="673" w:type="dxa"/>
          </w:tcPr>
          <w:p w14:paraId="58BBDBFE" w14:textId="77777777" w:rsidR="007075D9" w:rsidRPr="004D46AC" w:rsidRDefault="007075D9" w:rsidP="0090577F">
            <w:pPr>
              <w:spacing w:line="360" w:lineRule="auto"/>
              <w:ind w:firstLine="0"/>
            </w:pPr>
          </w:p>
        </w:tc>
        <w:tc>
          <w:tcPr>
            <w:tcW w:w="674" w:type="dxa"/>
          </w:tcPr>
          <w:p w14:paraId="39F38866" w14:textId="77777777" w:rsidR="007075D9" w:rsidRPr="004D46AC" w:rsidRDefault="007075D9" w:rsidP="0090577F">
            <w:pPr>
              <w:spacing w:line="360" w:lineRule="auto"/>
              <w:ind w:firstLine="0"/>
            </w:pPr>
            <w:r w:rsidRPr="004D46AC">
              <w:t>.57</w:t>
            </w:r>
          </w:p>
        </w:tc>
        <w:tc>
          <w:tcPr>
            <w:tcW w:w="1366" w:type="dxa"/>
          </w:tcPr>
          <w:p w14:paraId="4EC484D3" w14:textId="77777777" w:rsidR="007075D9" w:rsidRPr="004D46AC" w:rsidRDefault="007075D9" w:rsidP="0090577F">
            <w:pPr>
              <w:spacing w:line="360" w:lineRule="auto"/>
              <w:ind w:firstLine="0"/>
            </w:pPr>
            <w:r w:rsidRPr="004D46AC">
              <w:rPr>
                <w:color w:val="000000"/>
              </w:rPr>
              <w:t>.32/ .32</w:t>
            </w:r>
          </w:p>
        </w:tc>
      </w:tr>
      <w:tr w:rsidR="007075D9" w:rsidRPr="004D46AC" w14:paraId="66FFAEE3" w14:textId="77777777" w:rsidTr="00B518F1">
        <w:trPr>
          <w:trHeight w:val="282"/>
        </w:trPr>
        <w:tc>
          <w:tcPr>
            <w:tcW w:w="798" w:type="dxa"/>
          </w:tcPr>
          <w:p w14:paraId="7E442A87" w14:textId="77777777" w:rsidR="007075D9" w:rsidRPr="004D46AC" w:rsidRDefault="007075D9" w:rsidP="0090577F">
            <w:pPr>
              <w:spacing w:line="360" w:lineRule="auto"/>
              <w:ind w:firstLine="0"/>
            </w:pPr>
            <w:r w:rsidRPr="004D46AC">
              <w:t>TR25</w:t>
            </w:r>
          </w:p>
        </w:tc>
        <w:tc>
          <w:tcPr>
            <w:tcW w:w="4159" w:type="dxa"/>
          </w:tcPr>
          <w:p w14:paraId="182079A7" w14:textId="77777777" w:rsidR="007075D9" w:rsidRPr="004D46AC" w:rsidRDefault="007075D9" w:rsidP="0090577F">
            <w:pPr>
              <w:spacing w:line="360" w:lineRule="auto"/>
              <w:ind w:firstLine="0"/>
            </w:pPr>
            <w:r w:rsidRPr="004D46AC">
              <w:t>Idea of reference</w:t>
            </w:r>
          </w:p>
        </w:tc>
        <w:tc>
          <w:tcPr>
            <w:tcW w:w="673" w:type="dxa"/>
          </w:tcPr>
          <w:p w14:paraId="30E7B1D8" w14:textId="77777777" w:rsidR="007075D9" w:rsidRPr="004D46AC" w:rsidRDefault="007075D9" w:rsidP="0090577F">
            <w:pPr>
              <w:spacing w:line="360" w:lineRule="auto"/>
              <w:ind w:firstLine="0"/>
            </w:pPr>
            <w:r w:rsidRPr="004D46AC">
              <w:t>.50</w:t>
            </w:r>
          </w:p>
        </w:tc>
        <w:tc>
          <w:tcPr>
            <w:tcW w:w="673" w:type="dxa"/>
          </w:tcPr>
          <w:p w14:paraId="439E6B75" w14:textId="77777777" w:rsidR="007075D9" w:rsidRPr="004D46AC" w:rsidRDefault="007075D9" w:rsidP="0090577F">
            <w:pPr>
              <w:spacing w:line="360" w:lineRule="auto"/>
              <w:ind w:firstLine="0"/>
            </w:pPr>
          </w:p>
        </w:tc>
        <w:tc>
          <w:tcPr>
            <w:tcW w:w="673" w:type="dxa"/>
          </w:tcPr>
          <w:p w14:paraId="2F8D45FD" w14:textId="77777777" w:rsidR="007075D9" w:rsidRPr="004D46AC" w:rsidRDefault="007075D9" w:rsidP="0090577F">
            <w:pPr>
              <w:spacing w:line="360" w:lineRule="auto"/>
              <w:ind w:firstLine="0"/>
            </w:pPr>
          </w:p>
        </w:tc>
        <w:tc>
          <w:tcPr>
            <w:tcW w:w="674" w:type="dxa"/>
          </w:tcPr>
          <w:p w14:paraId="59C2D69F" w14:textId="77777777" w:rsidR="007075D9" w:rsidRPr="004D46AC" w:rsidRDefault="007075D9" w:rsidP="0090577F">
            <w:pPr>
              <w:spacing w:line="360" w:lineRule="auto"/>
              <w:ind w:firstLine="0"/>
            </w:pPr>
            <w:r w:rsidRPr="004D46AC">
              <w:t>.54</w:t>
            </w:r>
          </w:p>
        </w:tc>
        <w:tc>
          <w:tcPr>
            <w:tcW w:w="1366" w:type="dxa"/>
          </w:tcPr>
          <w:p w14:paraId="22B07831" w14:textId="77777777" w:rsidR="007075D9" w:rsidRPr="004D46AC" w:rsidRDefault="007075D9" w:rsidP="0090577F">
            <w:pPr>
              <w:spacing w:line="360" w:lineRule="auto"/>
              <w:ind w:firstLine="0"/>
            </w:pPr>
            <w:r w:rsidRPr="004D46AC">
              <w:rPr>
                <w:color w:val="000000"/>
              </w:rPr>
              <w:t>.25/ .29</w:t>
            </w:r>
          </w:p>
        </w:tc>
      </w:tr>
    </w:tbl>
    <w:bookmarkEnd w:id="265"/>
    <w:p w14:paraId="79E5386B" w14:textId="22ADFC78" w:rsidR="007075D9" w:rsidRPr="004D46AC" w:rsidRDefault="007075D9" w:rsidP="0090577F">
      <w:pPr>
        <w:spacing w:line="360" w:lineRule="auto"/>
        <w:ind w:firstLine="0"/>
        <w:rPr>
          <w:rFonts w:eastAsiaTheme="minorEastAsia"/>
        </w:rPr>
      </w:pPr>
      <w:r w:rsidRPr="004D46AC">
        <w:rPr>
          <w:i/>
          <w:iCs/>
        </w:rPr>
        <w:t>Note</w:t>
      </w:r>
      <w:r w:rsidRPr="004D46AC">
        <w:t>. GF = General factor; F1-F3 = Factor 1-Factor 3; GF/SF = proportion of variance explained by general or specific factors.</w:t>
      </w:r>
    </w:p>
    <w:p w14:paraId="69B247AC" w14:textId="77777777" w:rsidR="007075D9" w:rsidRPr="004D46AC" w:rsidRDefault="007075D9" w:rsidP="00B518F1">
      <w:pPr>
        <w:rPr>
          <w:rFonts w:eastAsia="DengXian"/>
          <w:kern w:val="0"/>
          <w14:ligatures w14:val="none"/>
        </w:rPr>
      </w:pPr>
    </w:p>
    <w:p w14:paraId="7774736A" w14:textId="019C4B8F" w:rsidR="007075D9" w:rsidRPr="004D46AC" w:rsidRDefault="007075D9" w:rsidP="00B518F1">
      <w:r w:rsidRPr="004D46AC">
        <w:t>The bifactor structure showed strong saturation of the general factor, with an Explained Common Variance (ECV) of 64% and a Percent of Uncontaminated Correlations (PUC) of 65%. Omega total (ω) was .93, and omega hierarchical (ω</w:t>
      </w:r>
      <w:r w:rsidRPr="004D46AC">
        <w:rPr>
          <w:rFonts w:ascii="Cambria Math" w:hAnsi="Cambria Math" w:cs="Cambria Math"/>
        </w:rPr>
        <w:t>ₕ</w:t>
      </w:r>
      <w:r w:rsidRPr="004D46AC">
        <w:t>) was .75, indicating good overall reliability. At the factor level, construct replicability was accep</w:t>
      </w:r>
      <w:r w:rsidR="003E095D" w:rsidRPr="004D46AC">
        <w:rPr>
          <w:rFonts w:eastAsiaTheme="minorEastAsia" w:hint="eastAsia"/>
        </w:rPr>
        <w:t>t</w:t>
      </w:r>
      <w:r w:rsidRPr="004D46AC">
        <w:t xml:space="preserve">able </w:t>
      </w:r>
      <w:r w:rsidR="003E095D" w:rsidRPr="004D46AC">
        <w:rPr>
          <w:rFonts w:eastAsiaTheme="minorEastAsia" w:hint="eastAsia"/>
        </w:rPr>
        <w:t>f</w:t>
      </w:r>
      <w:r w:rsidRPr="004D46AC">
        <w:t xml:space="preserve">or specific Factor 1 (affective and cognitive dysregulation; H = .79) and specific Factor 3 (hypomania; H = .72), whereas specific Factor 2 (reality distortion) showed weaker replicability (H = .49). This suggests that Factor 2 may not represent a distinct or reliably measured construct </w:t>
      </w:r>
      <w:r w:rsidRPr="004D46AC">
        <w:lastRenderedPageBreak/>
        <w:t>within this model; therefore, interpretations involving this factor should be approached with caution.</w:t>
      </w:r>
    </w:p>
    <w:p w14:paraId="497C92DB" w14:textId="77777777" w:rsidR="007075D9" w:rsidRPr="004D46AC" w:rsidRDefault="007075D9" w:rsidP="00B518F1">
      <w:pPr>
        <w:pStyle w:val="3"/>
      </w:pPr>
      <w:r w:rsidRPr="004D46AC">
        <w:t>E</w:t>
      </w:r>
      <w:r w:rsidRPr="004D46AC">
        <w:rPr>
          <w:rFonts w:hint="eastAsia"/>
        </w:rPr>
        <w:t xml:space="preserve">xternal </w:t>
      </w:r>
      <w:r w:rsidRPr="004D46AC">
        <w:t>validity</w:t>
      </w:r>
      <w:r w:rsidRPr="004D46AC">
        <w:rPr>
          <w:rFonts w:hint="eastAsia"/>
        </w:rPr>
        <w:t xml:space="preserve"> </w:t>
      </w:r>
    </w:p>
    <w:p w14:paraId="4B1AC462" w14:textId="77777777" w:rsidR="007075D9" w:rsidRPr="004D46AC" w:rsidRDefault="007075D9" w:rsidP="00B518F1">
      <w:pPr>
        <w:pStyle w:val="4"/>
      </w:pPr>
      <w:r w:rsidRPr="004D46AC">
        <w:rPr>
          <w:rFonts w:hint="eastAsia"/>
        </w:rPr>
        <w:t>Cutoff scores</w:t>
      </w:r>
    </w:p>
    <w:p w14:paraId="5CECC1DC" w14:textId="77777777" w:rsidR="007075D9" w:rsidRPr="004D46AC" w:rsidRDefault="007075D9" w:rsidP="00B518F1">
      <w:r w:rsidRPr="004D46AC">
        <w:t xml:space="preserve">The estimated cut-off at the 90th percentile was 66, with </w:t>
      </w:r>
      <w:r w:rsidRPr="004D46AC">
        <w:rPr>
          <w:i/>
          <w:iCs/>
        </w:rPr>
        <w:t>n</w:t>
      </w:r>
      <w:r w:rsidRPr="004D46AC">
        <w:t xml:space="preserve"> = 102 participants exceeding this score and thereby classified as a high-risk group, accounting for 10.05% of the confirmatory sample. Meanwhile, the response patterns of the LCA-identified high- and low-risk groups are presented in Figure </w:t>
      </w:r>
      <w:r w:rsidRPr="004D46AC">
        <w:rPr>
          <w:rFonts w:hint="eastAsia"/>
        </w:rPr>
        <w:t>5.</w:t>
      </w:r>
      <w:r w:rsidRPr="004D46AC">
        <w:t>3. ROC analysis indicated that a cut-off score of 46 provided the best discrimination between the high- and low-risk groups, yielding an AUC of .99, with both specificity and sensitivity of .96. Based on the LCA-derived cut-off, 461 participants were classified as high-risk individuals.</w:t>
      </w:r>
    </w:p>
    <w:p w14:paraId="01D60219" w14:textId="77777777" w:rsidR="007075D9" w:rsidRPr="004D46AC" w:rsidRDefault="007075D9" w:rsidP="00B518F1"/>
    <w:p w14:paraId="0A1B1F26" w14:textId="77777777" w:rsidR="007075D9" w:rsidRPr="004D46AC" w:rsidRDefault="007075D9" w:rsidP="00B518F1">
      <w:pPr>
        <w:spacing w:line="360" w:lineRule="auto"/>
        <w:ind w:firstLine="0"/>
        <w:rPr>
          <w:b/>
          <w:bCs/>
        </w:rPr>
      </w:pPr>
      <w:r w:rsidRPr="004D46AC">
        <w:rPr>
          <w:noProof/>
        </w:rPr>
        <w:drawing>
          <wp:inline distT="0" distB="0" distL="0" distR="0" wp14:anchorId="12F0AAED" wp14:editId="35D9F262">
            <wp:extent cx="5731510" cy="2934335"/>
            <wp:effectExtent l="0" t="0" r="0" b="0"/>
            <wp:docPr id="658177679"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77679" name="图片 1" descr="图表, 折线图&#10;&#10;AI 生成的内容可能不正确。"/>
                    <pic:cNvPicPr/>
                  </pic:nvPicPr>
                  <pic:blipFill>
                    <a:blip r:embed="rId376"/>
                    <a:stretch>
                      <a:fillRect/>
                    </a:stretch>
                  </pic:blipFill>
                  <pic:spPr>
                    <a:xfrm>
                      <a:off x="0" y="0"/>
                      <a:ext cx="5731510" cy="2934335"/>
                    </a:xfrm>
                    <a:prstGeom prst="rect">
                      <a:avLst/>
                    </a:prstGeom>
                  </pic:spPr>
                </pic:pic>
              </a:graphicData>
            </a:graphic>
          </wp:inline>
        </w:drawing>
      </w:r>
    </w:p>
    <w:p w14:paraId="66942DEE" w14:textId="77777777" w:rsidR="00581ACE" w:rsidRPr="004D46AC" w:rsidRDefault="00581ACE" w:rsidP="00581ACE">
      <w:pPr>
        <w:pStyle w:val="afff0"/>
        <w:keepNext/>
        <w:ind w:firstLine="0"/>
        <w:rPr>
          <w:rFonts w:eastAsiaTheme="minorEastAsia"/>
          <w:b/>
          <w:bCs/>
          <w:i w:val="0"/>
          <w:iCs w:val="0"/>
          <w:sz w:val="22"/>
          <w:szCs w:val="22"/>
        </w:rPr>
      </w:pPr>
    </w:p>
    <w:p w14:paraId="63B11D8D" w14:textId="77777777" w:rsidR="004725A0" w:rsidRPr="004D46AC" w:rsidRDefault="004725A0" w:rsidP="004725A0">
      <w:pPr>
        <w:pStyle w:val="afff0"/>
        <w:spacing w:after="0" w:line="360" w:lineRule="auto"/>
        <w:ind w:firstLine="0"/>
        <w:rPr>
          <w:rFonts w:eastAsiaTheme="minorEastAsia"/>
          <w:b/>
          <w:bCs/>
          <w:i w:val="0"/>
          <w:iCs w:val="0"/>
          <w:color w:val="auto"/>
          <w:sz w:val="22"/>
          <w:szCs w:val="22"/>
        </w:rPr>
      </w:pPr>
      <w:bookmarkStart w:id="266" w:name="_Toc219883935"/>
      <w:bookmarkStart w:id="267" w:name="_Toc219884867"/>
      <w:r w:rsidRPr="004D46AC">
        <w:rPr>
          <w:b/>
          <w:bCs/>
          <w:i w:val="0"/>
          <w:iCs w:val="0"/>
          <w:color w:val="auto"/>
          <w:sz w:val="22"/>
          <w:szCs w:val="22"/>
        </w:rPr>
        <w:t xml:space="preserve">Figure </w:t>
      </w:r>
      <w:r w:rsidRPr="004D46AC">
        <w:rPr>
          <w:b/>
          <w:bCs/>
          <w:i w:val="0"/>
          <w:iCs w:val="0"/>
          <w:color w:val="auto"/>
          <w:sz w:val="22"/>
          <w:szCs w:val="22"/>
        </w:rPr>
        <w:fldChar w:fldCharType="begin"/>
      </w:r>
      <w:r w:rsidRPr="004D46AC">
        <w:rPr>
          <w:b/>
          <w:bCs/>
          <w:i w:val="0"/>
          <w:iCs w:val="0"/>
          <w:color w:val="auto"/>
          <w:sz w:val="22"/>
          <w:szCs w:val="22"/>
        </w:rPr>
        <w:instrText xml:space="preserve"> STYLEREF 1 \s </w:instrText>
      </w:r>
      <w:r w:rsidRPr="004D46AC">
        <w:rPr>
          <w:b/>
          <w:bCs/>
          <w:i w:val="0"/>
          <w:iCs w:val="0"/>
          <w:color w:val="auto"/>
          <w:sz w:val="22"/>
          <w:szCs w:val="22"/>
        </w:rPr>
        <w:fldChar w:fldCharType="separate"/>
      </w:r>
      <w:r w:rsidRPr="004D46AC">
        <w:rPr>
          <w:b/>
          <w:bCs/>
          <w:i w:val="0"/>
          <w:iCs w:val="0"/>
          <w:noProof/>
          <w:color w:val="auto"/>
          <w:sz w:val="22"/>
          <w:szCs w:val="22"/>
        </w:rPr>
        <w:t>5</w:t>
      </w:r>
      <w:r w:rsidRPr="004D46AC">
        <w:rPr>
          <w:b/>
          <w:bCs/>
          <w:i w:val="0"/>
          <w:iCs w:val="0"/>
          <w:color w:val="auto"/>
          <w:sz w:val="22"/>
          <w:szCs w:val="22"/>
        </w:rPr>
        <w:fldChar w:fldCharType="end"/>
      </w:r>
      <w:r w:rsidRPr="004D46AC">
        <w:rPr>
          <w:b/>
          <w:bCs/>
          <w:i w:val="0"/>
          <w:iCs w:val="0"/>
          <w:color w:val="auto"/>
          <w:sz w:val="22"/>
          <w:szCs w:val="22"/>
        </w:rPr>
        <w:t>.</w:t>
      </w:r>
      <w:r w:rsidRPr="004D46AC">
        <w:rPr>
          <w:b/>
          <w:bCs/>
          <w:i w:val="0"/>
          <w:iCs w:val="0"/>
          <w:color w:val="auto"/>
          <w:sz w:val="22"/>
          <w:szCs w:val="22"/>
        </w:rPr>
        <w:fldChar w:fldCharType="begin"/>
      </w:r>
      <w:r w:rsidRPr="004D46AC">
        <w:rPr>
          <w:b/>
          <w:bCs/>
          <w:i w:val="0"/>
          <w:iCs w:val="0"/>
          <w:color w:val="auto"/>
          <w:sz w:val="22"/>
          <w:szCs w:val="22"/>
        </w:rPr>
        <w:instrText xml:space="preserve"> SEQ Figure \* ARABIC \s 1 </w:instrText>
      </w:r>
      <w:r w:rsidRPr="004D46AC">
        <w:rPr>
          <w:b/>
          <w:bCs/>
          <w:i w:val="0"/>
          <w:iCs w:val="0"/>
          <w:color w:val="auto"/>
          <w:sz w:val="22"/>
          <w:szCs w:val="22"/>
        </w:rPr>
        <w:fldChar w:fldCharType="separate"/>
      </w:r>
      <w:r w:rsidRPr="004D46AC">
        <w:rPr>
          <w:b/>
          <w:bCs/>
          <w:i w:val="0"/>
          <w:iCs w:val="0"/>
          <w:noProof/>
          <w:color w:val="auto"/>
          <w:sz w:val="22"/>
          <w:szCs w:val="22"/>
        </w:rPr>
        <w:t>3</w:t>
      </w:r>
      <w:bookmarkEnd w:id="266"/>
      <w:bookmarkEnd w:id="267"/>
      <w:r w:rsidRPr="004D46AC">
        <w:rPr>
          <w:b/>
          <w:bCs/>
          <w:i w:val="0"/>
          <w:iCs w:val="0"/>
          <w:color w:val="auto"/>
          <w:sz w:val="22"/>
          <w:szCs w:val="22"/>
        </w:rPr>
        <w:fldChar w:fldCharType="end"/>
      </w:r>
      <w:r w:rsidRPr="004D46AC">
        <w:rPr>
          <w:b/>
          <w:bCs/>
          <w:i w:val="0"/>
          <w:iCs w:val="0"/>
          <w:color w:val="auto"/>
          <w:sz w:val="22"/>
          <w:szCs w:val="22"/>
        </w:rPr>
        <w:t xml:space="preserve"> </w:t>
      </w:r>
    </w:p>
    <w:p w14:paraId="4D86B2C6" w14:textId="18CBF635" w:rsidR="007075D9" w:rsidRPr="004D46AC" w:rsidRDefault="004725A0" w:rsidP="004725A0">
      <w:pPr>
        <w:pStyle w:val="afff0"/>
        <w:spacing w:after="0" w:line="360" w:lineRule="auto"/>
        <w:ind w:firstLine="0"/>
        <w:rPr>
          <w:rFonts w:eastAsiaTheme="minorEastAsia"/>
        </w:rPr>
      </w:pPr>
      <w:r w:rsidRPr="004D46AC">
        <w:rPr>
          <w:color w:val="auto"/>
          <w:sz w:val="22"/>
          <w:szCs w:val="22"/>
        </w:rPr>
        <w:t xml:space="preserve">Response patterns by risk groups </w:t>
      </w:r>
      <w:r w:rsidR="007075D9" w:rsidRPr="004D46AC">
        <w:rPr>
          <w:color w:val="auto"/>
          <w:sz w:val="22"/>
          <w:szCs w:val="22"/>
        </w:rPr>
        <w:br/>
        <w:t xml:space="preserve">Note. </w:t>
      </w:r>
      <w:r w:rsidR="007075D9" w:rsidRPr="004D46AC">
        <w:rPr>
          <w:i w:val="0"/>
          <w:iCs w:val="0"/>
          <w:color w:val="auto"/>
          <w:sz w:val="22"/>
          <w:szCs w:val="22"/>
        </w:rPr>
        <w:t xml:space="preserve">Statistics are based on the confirmatory dataset (n = 1,015). Item codes correspond to the following constructs: TR3 = Impulsivity, TR5 = Racing thoughts, TR7 = Low mood, TR12 = Disorganized thinking, TR15 = Emptiness, TR19 = Mood cycle, TR21 = Irritability, TR23 = Mood lability, TR24 = Disconnected thoughts, TR26 = Identity confusion, TR27 = Poverty of speech, TR34 = Emotional numbness, TR37 = Confused thinking, TR6 = Auditory </w:t>
      </w:r>
      <w:r w:rsidR="007075D9" w:rsidRPr="004D46AC">
        <w:rPr>
          <w:i w:val="0"/>
          <w:iCs w:val="0"/>
          <w:color w:val="auto"/>
          <w:sz w:val="22"/>
          <w:szCs w:val="22"/>
        </w:rPr>
        <w:lastRenderedPageBreak/>
        <w:t xml:space="preserve">hallucinations, TR9 = Sound distraction, TR17 = Reality confusion, TR18 = </w:t>
      </w:r>
      <w:proofErr w:type="spellStart"/>
      <w:r w:rsidR="007075D9" w:rsidRPr="004D46AC">
        <w:rPr>
          <w:i w:val="0"/>
          <w:iCs w:val="0"/>
          <w:color w:val="auto"/>
          <w:sz w:val="22"/>
          <w:szCs w:val="22"/>
        </w:rPr>
        <w:t>Percepted</w:t>
      </w:r>
      <w:proofErr w:type="spellEnd"/>
      <w:r w:rsidR="007075D9" w:rsidRPr="004D46AC">
        <w:rPr>
          <w:i w:val="0"/>
          <w:iCs w:val="0"/>
          <w:color w:val="auto"/>
          <w:sz w:val="22"/>
          <w:szCs w:val="22"/>
        </w:rPr>
        <w:t xml:space="preserve"> oddity in familiar surroundings, TR29 = Pseudo hallucinations, TR30 = Suspiciousness, TR33 = Paranoia, TR13 = Pressured speech/talkative, TR14 = Elevated self-confidence, TR16 = Elevated mood or energy, TR20 = Increased goal-directed activities, TR22 = Grandiosity, TR25 = Idea of reference.</w:t>
      </w:r>
    </w:p>
    <w:p w14:paraId="438528B7" w14:textId="77777777" w:rsidR="007075D9" w:rsidRPr="004D46AC" w:rsidRDefault="007075D9" w:rsidP="00B518F1"/>
    <w:p w14:paraId="6677DA62" w14:textId="77777777" w:rsidR="007075D9" w:rsidRPr="004D46AC" w:rsidRDefault="007075D9" w:rsidP="00B518F1">
      <w:pPr>
        <w:pStyle w:val="4"/>
      </w:pPr>
      <w:r w:rsidRPr="004D46AC">
        <w:t>Criterion-related validity</w:t>
      </w:r>
    </w:p>
    <w:p w14:paraId="1F01BCA4" w14:textId="77777777" w:rsidR="007075D9" w:rsidRPr="004D46AC" w:rsidRDefault="007075D9" w:rsidP="00B518F1">
      <w:r w:rsidRPr="004D46AC">
        <w:t>The agreement between the percentile cut-off and the PQ-16 cut-off was very low (Cohen’s κ = .19, 95% CI [.16, .23]; Po = 59%, Pe = 49%). Agreements were similarly low for the PHQ-8 cut-off (Cohen’s κ = .15, 95% CI [.11, .19]; Po = 61%, Pe = 54%), the GAD-7 cut-off (Cohen’s κ = .15, 95% CI [.11, .19]; Po = 60%, Pe = 53%), and self-reported FHR status (Cohen’s κ = .13, 95% CI [.08, .18]; Po = 66%, Pe = 61%). In contrast, agreement between the LCA cut-off and the PQ-16 was substantial (Cohen’s κ = .65, 95% CI [.60, .70]; Po = 82%, Pe = 49%). Agreement between the LCA cut-off and the PHQ-8 (Cohen’s κ = .40, 95% CI [.34, .45]; Po = 70%, Pe = 50%) and FHR status (Cohen’s κ = .22, 95% CI [.16, .28]; Po = 62%, Pe = 51%) was fair, while agreement with the GAD-7 cut-off was moderate (Cohen’s κ = .45, 95% CI [.39, .50]; Po = 73%, Pe = 50%).</w:t>
      </w:r>
    </w:p>
    <w:p w14:paraId="20AEADA8" w14:textId="77777777" w:rsidR="007075D9" w:rsidRPr="004D46AC" w:rsidRDefault="007075D9" w:rsidP="00B518F1">
      <w:pPr>
        <w:pStyle w:val="4"/>
      </w:pPr>
      <w:r w:rsidRPr="004D46AC">
        <w:t>C</w:t>
      </w:r>
      <w:r w:rsidRPr="004D46AC">
        <w:rPr>
          <w:rFonts w:hint="eastAsia"/>
        </w:rPr>
        <w:t>onvergent and divergent validity</w:t>
      </w:r>
    </w:p>
    <w:p w14:paraId="6848C3D8" w14:textId="77777777" w:rsidR="007075D9" w:rsidRPr="004D46AC" w:rsidRDefault="007075D9" w:rsidP="00B518F1">
      <w:r w:rsidRPr="004D46AC">
        <w:t>The TRACE total score was positively associated with the sum scores of the PQ-16 (</w:t>
      </w:r>
      <w:r w:rsidRPr="004D46AC">
        <w:rPr>
          <w:i/>
          <w:iCs/>
        </w:rPr>
        <w:t xml:space="preserve">r </w:t>
      </w:r>
      <w:r w:rsidRPr="004D46AC">
        <w:t xml:space="preserve">= .83, </w:t>
      </w:r>
      <w:r w:rsidRPr="004D46AC">
        <w:rPr>
          <w:i/>
          <w:iCs/>
        </w:rPr>
        <w:t>p</w:t>
      </w:r>
      <w:r w:rsidRPr="004D46AC">
        <w:t xml:space="preserve"> &lt; .001), PHQ-8 (</w:t>
      </w:r>
      <w:r w:rsidRPr="004D46AC">
        <w:rPr>
          <w:i/>
          <w:iCs/>
        </w:rPr>
        <w:t xml:space="preserve">r </w:t>
      </w:r>
      <w:r w:rsidRPr="004D46AC">
        <w:t xml:space="preserve">= .59, </w:t>
      </w:r>
      <w:r w:rsidRPr="004D46AC">
        <w:rPr>
          <w:i/>
          <w:iCs/>
        </w:rPr>
        <w:t>p</w:t>
      </w:r>
      <w:r w:rsidRPr="004D46AC">
        <w:t xml:space="preserve"> &lt; .001), GAD-7 (</w:t>
      </w:r>
      <w:r w:rsidRPr="004D46AC">
        <w:rPr>
          <w:i/>
          <w:iCs/>
        </w:rPr>
        <w:t>r</w:t>
      </w:r>
      <w:r w:rsidRPr="004D46AC">
        <w:t xml:space="preserve"> = .62, </w:t>
      </w:r>
      <w:r w:rsidRPr="004D46AC">
        <w:rPr>
          <w:i/>
          <w:iCs/>
        </w:rPr>
        <w:t>p</w:t>
      </w:r>
      <w:r w:rsidRPr="004D46AC">
        <w:t xml:space="preserve"> &lt; .001), and hopelessness (</w:t>
      </w:r>
      <w:r w:rsidRPr="004D46AC">
        <w:rPr>
          <w:i/>
          <w:iCs/>
        </w:rPr>
        <w:t>r</w:t>
      </w:r>
      <w:r w:rsidRPr="004D46AC">
        <w:t xml:space="preserve"> = .30, </w:t>
      </w:r>
      <w:r w:rsidRPr="004D46AC">
        <w:rPr>
          <w:i/>
          <w:iCs/>
        </w:rPr>
        <w:t>p</w:t>
      </w:r>
      <w:r w:rsidRPr="004D46AC">
        <w:t xml:space="preserve"> &lt; .001), and negatively associated with sleep quality (</w:t>
      </w:r>
      <w:r w:rsidRPr="004D46AC">
        <w:rPr>
          <w:i/>
          <w:iCs/>
        </w:rPr>
        <w:t xml:space="preserve">r </w:t>
      </w:r>
      <w:r w:rsidRPr="004D46AC">
        <w:t xml:space="preserve">= </w:t>
      </w:r>
      <w:r w:rsidRPr="004D46AC">
        <w:rPr>
          <w:rFonts w:hint="eastAsia"/>
        </w:rPr>
        <w:t>-</w:t>
      </w:r>
      <w:r w:rsidRPr="004D46AC">
        <w:t xml:space="preserve">.41, </w:t>
      </w:r>
      <w:r w:rsidRPr="004D46AC">
        <w:rPr>
          <w:i/>
          <w:iCs/>
        </w:rPr>
        <w:t>p</w:t>
      </w:r>
      <w:r w:rsidRPr="004D46AC">
        <w:t xml:space="preserve"> &lt; .001) and wellbeing (</w:t>
      </w:r>
      <w:r w:rsidRPr="004D46AC">
        <w:rPr>
          <w:i/>
          <w:iCs/>
        </w:rPr>
        <w:t>r</w:t>
      </w:r>
      <w:r w:rsidRPr="004D46AC">
        <w:t xml:space="preserve"> = </w:t>
      </w:r>
      <w:r w:rsidRPr="004D46AC">
        <w:rPr>
          <w:rFonts w:hint="eastAsia"/>
        </w:rPr>
        <w:t>-</w:t>
      </w:r>
      <w:r w:rsidRPr="004D46AC">
        <w:t xml:space="preserve">.23, </w:t>
      </w:r>
      <w:r w:rsidRPr="004D46AC">
        <w:rPr>
          <w:i/>
          <w:iCs/>
        </w:rPr>
        <w:t>p</w:t>
      </w:r>
      <w:r w:rsidRPr="004D46AC">
        <w:t xml:space="preserve"> &lt; .001). Correlations between the TRACE subdimensions and the external questionnaires were broadly consistent with those observed for the total score. Specifically, (a) affective-cognitive dysregulation showed positive associations with the PQ-16 (</w:t>
      </w:r>
      <w:r w:rsidRPr="004D46AC">
        <w:rPr>
          <w:i/>
          <w:iCs/>
        </w:rPr>
        <w:t>r</w:t>
      </w:r>
      <w:r w:rsidRPr="004D46AC">
        <w:t xml:space="preserve"> = .72, </w:t>
      </w:r>
      <w:r w:rsidRPr="004D46AC">
        <w:rPr>
          <w:i/>
          <w:iCs/>
        </w:rPr>
        <w:t>p</w:t>
      </w:r>
      <w:r w:rsidRPr="004D46AC">
        <w:t xml:space="preserve"> &lt; .001), PHQ-8 (</w:t>
      </w:r>
      <w:r w:rsidRPr="004D46AC">
        <w:rPr>
          <w:i/>
          <w:iCs/>
        </w:rPr>
        <w:t xml:space="preserve">r </w:t>
      </w:r>
      <w:r w:rsidRPr="004D46AC">
        <w:t xml:space="preserve">= .64, </w:t>
      </w:r>
      <w:r w:rsidRPr="004D46AC">
        <w:rPr>
          <w:i/>
          <w:iCs/>
        </w:rPr>
        <w:t xml:space="preserve">p </w:t>
      </w:r>
      <w:r w:rsidRPr="004D46AC">
        <w:t>&lt; .001), GAD-7 (</w:t>
      </w:r>
      <w:r w:rsidRPr="004D46AC">
        <w:rPr>
          <w:i/>
          <w:iCs/>
        </w:rPr>
        <w:t xml:space="preserve">r </w:t>
      </w:r>
      <w:r w:rsidRPr="004D46AC">
        <w:t xml:space="preserve">= .68, </w:t>
      </w:r>
      <w:r w:rsidRPr="004D46AC">
        <w:rPr>
          <w:i/>
          <w:iCs/>
        </w:rPr>
        <w:t>p</w:t>
      </w:r>
      <w:r w:rsidRPr="004D46AC">
        <w:t xml:space="preserve"> &lt; .001), and hopelessness (</w:t>
      </w:r>
      <w:r w:rsidRPr="004D46AC">
        <w:rPr>
          <w:i/>
          <w:iCs/>
        </w:rPr>
        <w:t>r</w:t>
      </w:r>
      <w:r w:rsidRPr="004D46AC">
        <w:t xml:space="preserve"> = .36, </w:t>
      </w:r>
      <w:r w:rsidRPr="004D46AC">
        <w:rPr>
          <w:i/>
          <w:iCs/>
        </w:rPr>
        <w:t>p</w:t>
      </w:r>
      <w:r w:rsidRPr="004D46AC">
        <w:t xml:space="preserve"> &lt; .001), and negative associations with sleep quality (</w:t>
      </w:r>
      <w:r w:rsidRPr="004D46AC">
        <w:rPr>
          <w:i/>
          <w:iCs/>
        </w:rPr>
        <w:t>r</w:t>
      </w:r>
      <w:r w:rsidRPr="004D46AC">
        <w:t xml:space="preserve"> = </w:t>
      </w:r>
      <w:r w:rsidRPr="004D46AC">
        <w:rPr>
          <w:rFonts w:hint="eastAsia"/>
        </w:rPr>
        <w:t>-</w:t>
      </w:r>
      <w:r w:rsidRPr="004D46AC">
        <w:t xml:space="preserve">.47, </w:t>
      </w:r>
      <w:r w:rsidRPr="004D46AC">
        <w:rPr>
          <w:i/>
          <w:iCs/>
        </w:rPr>
        <w:t>p</w:t>
      </w:r>
      <w:r w:rsidRPr="004D46AC">
        <w:t xml:space="preserve"> &lt; .001) and wellbeing (</w:t>
      </w:r>
      <w:r w:rsidRPr="004D46AC">
        <w:rPr>
          <w:i/>
          <w:iCs/>
        </w:rPr>
        <w:t>r</w:t>
      </w:r>
      <w:r w:rsidRPr="004D46AC">
        <w:t xml:space="preserve"> = </w:t>
      </w:r>
      <w:r w:rsidRPr="004D46AC">
        <w:rPr>
          <w:rFonts w:hint="eastAsia"/>
        </w:rPr>
        <w:t>-</w:t>
      </w:r>
      <w:r w:rsidRPr="004D46AC">
        <w:t xml:space="preserve">.40, </w:t>
      </w:r>
      <w:r w:rsidRPr="004D46AC">
        <w:rPr>
          <w:i/>
          <w:iCs/>
        </w:rPr>
        <w:t>p</w:t>
      </w:r>
      <w:r w:rsidRPr="004D46AC">
        <w:t xml:space="preserve"> &lt; .001); (b) reality distortion was positively associated with the PQ-16 (</w:t>
      </w:r>
      <w:r w:rsidRPr="004D46AC">
        <w:rPr>
          <w:i/>
          <w:iCs/>
        </w:rPr>
        <w:t>r</w:t>
      </w:r>
      <w:r w:rsidRPr="004D46AC">
        <w:t xml:space="preserve"> = .78, </w:t>
      </w:r>
      <w:r w:rsidRPr="004D46AC">
        <w:rPr>
          <w:i/>
          <w:iCs/>
        </w:rPr>
        <w:t>p</w:t>
      </w:r>
      <w:r w:rsidRPr="004D46AC">
        <w:t xml:space="preserve"> &lt; .001), PHQ-8 (</w:t>
      </w:r>
      <w:r w:rsidRPr="004D46AC">
        <w:rPr>
          <w:i/>
          <w:iCs/>
        </w:rPr>
        <w:t>r</w:t>
      </w:r>
      <w:r w:rsidRPr="004D46AC">
        <w:t xml:space="preserve"> = .47, </w:t>
      </w:r>
      <w:r w:rsidRPr="004D46AC">
        <w:rPr>
          <w:i/>
          <w:iCs/>
        </w:rPr>
        <w:t>p</w:t>
      </w:r>
      <w:r w:rsidRPr="004D46AC">
        <w:t xml:space="preserve"> &lt; .001), GAD-7 (</w:t>
      </w:r>
      <w:r w:rsidRPr="004D46AC">
        <w:rPr>
          <w:i/>
          <w:iCs/>
        </w:rPr>
        <w:t>r</w:t>
      </w:r>
      <w:r w:rsidRPr="004D46AC">
        <w:t xml:space="preserve"> = .68, </w:t>
      </w:r>
      <w:r w:rsidRPr="004D46AC">
        <w:rPr>
          <w:i/>
          <w:iCs/>
        </w:rPr>
        <w:t xml:space="preserve">p </w:t>
      </w:r>
      <w:r w:rsidRPr="004D46AC">
        <w:t>&lt; .001), and hopelessness (</w:t>
      </w:r>
      <w:r w:rsidRPr="004D46AC">
        <w:rPr>
          <w:i/>
          <w:iCs/>
        </w:rPr>
        <w:t>r</w:t>
      </w:r>
      <w:r w:rsidRPr="004D46AC">
        <w:t xml:space="preserve"> = .22, </w:t>
      </w:r>
      <w:r w:rsidRPr="004D46AC">
        <w:rPr>
          <w:i/>
          <w:iCs/>
        </w:rPr>
        <w:t xml:space="preserve">p </w:t>
      </w:r>
      <w:r w:rsidRPr="004D46AC">
        <w:t>&lt; .001), and negatively associated with sleep quality (</w:t>
      </w:r>
      <w:r w:rsidRPr="004D46AC">
        <w:rPr>
          <w:i/>
          <w:iCs/>
        </w:rPr>
        <w:t xml:space="preserve">r </w:t>
      </w:r>
      <w:r w:rsidRPr="004D46AC">
        <w:t xml:space="preserve">= </w:t>
      </w:r>
      <w:r w:rsidRPr="004D46AC">
        <w:rPr>
          <w:rFonts w:hint="eastAsia"/>
        </w:rPr>
        <w:t>-</w:t>
      </w:r>
      <w:r w:rsidRPr="004D46AC">
        <w:t xml:space="preserve">.32, </w:t>
      </w:r>
      <w:r w:rsidRPr="004D46AC">
        <w:rPr>
          <w:i/>
          <w:iCs/>
        </w:rPr>
        <w:t>p</w:t>
      </w:r>
      <w:r w:rsidRPr="004D46AC">
        <w:t xml:space="preserve"> &lt; .001) and </w:t>
      </w:r>
      <w:r w:rsidRPr="004D46AC">
        <w:lastRenderedPageBreak/>
        <w:t>wellbeing (</w:t>
      </w:r>
      <w:r w:rsidRPr="004D46AC">
        <w:rPr>
          <w:i/>
          <w:iCs/>
        </w:rPr>
        <w:t>r</w:t>
      </w:r>
      <w:r w:rsidRPr="004D46AC">
        <w:t xml:space="preserve"> = </w:t>
      </w:r>
      <w:r w:rsidRPr="004D46AC">
        <w:rPr>
          <w:rFonts w:hint="eastAsia"/>
        </w:rPr>
        <w:t>-</w:t>
      </w:r>
      <w:r w:rsidRPr="004D46AC">
        <w:t xml:space="preserve">.10, </w:t>
      </w:r>
      <w:r w:rsidRPr="004D46AC">
        <w:rPr>
          <w:i/>
          <w:iCs/>
        </w:rPr>
        <w:t>p</w:t>
      </w:r>
      <w:r w:rsidRPr="004D46AC">
        <w:t xml:space="preserve"> &lt; .001); and (c) hypomania was positively associated with the PQ-16 (</w:t>
      </w:r>
      <w:r w:rsidRPr="004D46AC">
        <w:rPr>
          <w:i/>
          <w:iCs/>
        </w:rPr>
        <w:t>r</w:t>
      </w:r>
      <w:r w:rsidRPr="004D46AC">
        <w:t xml:space="preserve"> = .56, </w:t>
      </w:r>
      <w:r w:rsidRPr="004D46AC">
        <w:rPr>
          <w:i/>
          <w:iCs/>
        </w:rPr>
        <w:t>p</w:t>
      </w:r>
      <w:r w:rsidRPr="004D46AC">
        <w:t xml:space="preserve"> &lt; .001), PHQ-8 (</w:t>
      </w:r>
      <w:r w:rsidRPr="004D46AC">
        <w:rPr>
          <w:i/>
          <w:iCs/>
        </w:rPr>
        <w:t>r</w:t>
      </w:r>
      <w:r w:rsidRPr="004D46AC">
        <w:t xml:space="preserve"> = .19, </w:t>
      </w:r>
      <w:r w:rsidRPr="004D46AC">
        <w:rPr>
          <w:i/>
          <w:iCs/>
        </w:rPr>
        <w:t xml:space="preserve">p </w:t>
      </w:r>
      <w:r w:rsidRPr="004D46AC">
        <w:t>&lt; .001), GAD-7 (</w:t>
      </w:r>
      <w:r w:rsidRPr="004D46AC">
        <w:rPr>
          <w:i/>
          <w:iCs/>
        </w:rPr>
        <w:t xml:space="preserve">r </w:t>
      </w:r>
      <w:r w:rsidRPr="004D46AC">
        <w:t xml:space="preserve">= .21, </w:t>
      </w:r>
      <w:r w:rsidRPr="004D46AC">
        <w:rPr>
          <w:i/>
          <w:iCs/>
        </w:rPr>
        <w:t>p</w:t>
      </w:r>
      <w:r w:rsidRPr="004D46AC">
        <w:t xml:space="preserve"> &lt; .001), hopelessness (</w:t>
      </w:r>
      <w:r w:rsidRPr="004D46AC">
        <w:rPr>
          <w:i/>
          <w:iCs/>
        </w:rPr>
        <w:t>r</w:t>
      </w:r>
      <w:r w:rsidRPr="004D46AC">
        <w:t xml:space="preserve"> = .07, </w:t>
      </w:r>
      <w:r w:rsidRPr="004D46AC">
        <w:rPr>
          <w:i/>
          <w:iCs/>
        </w:rPr>
        <w:t xml:space="preserve">p </w:t>
      </w:r>
      <w:r w:rsidRPr="004D46AC">
        <w:t>&lt; .05), and wellbeing (</w:t>
      </w:r>
      <w:r w:rsidRPr="004D46AC">
        <w:rPr>
          <w:i/>
          <w:iCs/>
        </w:rPr>
        <w:t>r</w:t>
      </w:r>
      <w:r w:rsidRPr="004D46AC">
        <w:t xml:space="preserve"> = .19, </w:t>
      </w:r>
      <w:r w:rsidRPr="004D46AC">
        <w:rPr>
          <w:i/>
          <w:iCs/>
        </w:rPr>
        <w:t>p</w:t>
      </w:r>
      <w:r w:rsidRPr="004D46AC">
        <w:t xml:space="preserve"> &lt; .001), and negatively associated with sleep quality (</w:t>
      </w:r>
      <w:r w:rsidRPr="004D46AC">
        <w:rPr>
          <w:i/>
          <w:iCs/>
        </w:rPr>
        <w:t xml:space="preserve">r </w:t>
      </w:r>
      <w:r w:rsidRPr="004D46AC">
        <w:t xml:space="preserve">= </w:t>
      </w:r>
      <w:r w:rsidRPr="004D46AC">
        <w:rPr>
          <w:rFonts w:hint="eastAsia"/>
        </w:rPr>
        <w:t>-</w:t>
      </w:r>
      <w:r w:rsidRPr="004D46AC">
        <w:t xml:space="preserve">.08, </w:t>
      </w:r>
      <w:r w:rsidRPr="004D46AC">
        <w:rPr>
          <w:i/>
          <w:iCs/>
        </w:rPr>
        <w:t>p</w:t>
      </w:r>
      <w:r w:rsidRPr="004D46AC">
        <w:t xml:space="preserve"> &lt; .05).</w:t>
      </w:r>
      <w:r w:rsidRPr="004D46AC">
        <w:rPr>
          <w:rFonts w:hint="eastAsia"/>
        </w:rPr>
        <w:t xml:space="preserve">  </w:t>
      </w:r>
    </w:p>
    <w:p w14:paraId="4A8E300D" w14:textId="77777777" w:rsidR="007075D9" w:rsidRPr="004D46AC" w:rsidRDefault="007075D9" w:rsidP="00B518F1">
      <w:pPr>
        <w:pStyle w:val="4"/>
        <w:rPr>
          <w:rFonts w:eastAsiaTheme="minorEastAsia"/>
        </w:rPr>
      </w:pPr>
      <w:r w:rsidRPr="004D46AC">
        <w:t>Adjusted Group Differences on External Measures</w:t>
      </w:r>
    </w:p>
    <w:p w14:paraId="4BD642DB" w14:textId="77777777" w:rsidR="007075D9" w:rsidRPr="004D46AC" w:rsidRDefault="007075D9" w:rsidP="00B518F1">
      <w:r w:rsidRPr="004D46AC">
        <w:t xml:space="preserve">After adjusting for the variance contributed by </w:t>
      </w:r>
      <w:r w:rsidRPr="004D46AC">
        <w:rPr>
          <w:rFonts w:hint="eastAsia"/>
        </w:rPr>
        <w:t>a</w:t>
      </w:r>
      <w:r w:rsidRPr="004D46AC">
        <w:t xml:space="preserve">ge and </w:t>
      </w:r>
      <w:r w:rsidRPr="004D46AC">
        <w:rPr>
          <w:rFonts w:hint="eastAsia"/>
        </w:rPr>
        <w:t>ge</w:t>
      </w:r>
      <w:r w:rsidRPr="004D46AC">
        <w:t>nder</w:t>
      </w:r>
      <w:r w:rsidRPr="004D46AC">
        <w:rPr>
          <w:rFonts w:hint="eastAsia"/>
        </w:rPr>
        <w:t xml:space="preserve"> groups, t</w:t>
      </w:r>
      <w:r w:rsidRPr="004D46AC">
        <w:t>he difference on the PQ-16 between the high-risk (</w:t>
      </w:r>
      <w:proofErr w:type="spellStart"/>
      <w:r w:rsidRPr="004D46AC">
        <w:rPr>
          <w:i/>
          <w:iCs/>
        </w:rPr>
        <w:t>M</w:t>
      </w:r>
      <w:r w:rsidRPr="004D46AC">
        <w:rPr>
          <w:vertAlign w:val="subscript"/>
        </w:rPr>
        <w:t>adjusted</w:t>
      </w:r>
      <w:proofErr w:type="spellEnd"/>
      <w:r w:rsidRPr="004D46AC">
        <w:t xml:space="preserve"> = 14.21, </w:t>
      </w:r>
      <w:r w:rsidRPr="004D46AC">
        <w:rPr>
          <w:i/>
          <w:iCs/>
        </w:rPr>
        <w:t>SE</w:t>
      </w:r>
      <w:r w:rsidRPr="004D46AC">
        <w:t xml:space="preserve"> = 0.30, 95% CI [13.62, 14.79]) and low-risk group (</w:t>
      </w:r>
      <w:proofErr w:type="spellStart"/>
      <w:r w:rsidRPr="004D46AC">
        <w:rPr>
          <w:i/>
          <w:iCs/>
        </w:rPr>
        <w:t>M</w:t>
      </w:r>
      <w:r w:rsidRPr="004D46AC">
        <w:rPr>
          <w:vertAlign w:val="subscript"/>
        </w:rPr>
        <w:t>adjusted</w:t>
      </w:r>
      <w:proofErr w:type="spellEnd"/>
      <w:r w:rsidRPr="004D46AC">
        <w:rPr>
          <w:vertAlign w:val="subscript"/>
        </w:rPr>
        <w:t xml:space="preserve"> </w:t>
      </w:r>
      <w:r w:rsidRPr="004D46AC">
        <w:t xml:space="preserve">= 3.38, </w:t>
      </w:r>
      <w:r w:rsidRPr="004D46AC">
        <w:rPr>
          <w:i/>
          <w:iCs/>
        </w:rPr>
        <w:t>SE</w:t>
      </w:r>
      <w:r w:rsidRPr="004D46AC">
        <w:t xml:space="preserve"> = 0.27, 95% CI [2.84, 3.91]) was statistically significant, </w:t>
      </w:r>
      <w:r w:rsidRPr="004D46AC">
        <w:rPr>
          <w:i/>
          <w:iCs/>
        </w:rPr>
        <w:t>F</w:t>
      </w:r>
      <w:r w:rsidRPr="004D46AC">
        <w:rPr>
          <w:rFonts w:hint="eastAsia"/>
          <w:i/>
          <w:iCs/>
        </w:rPr>
        <w:t xml:space="preserve"> </w:t>
      </w:r>
      <w:r w:rsidRPr="004D46AC">
        <w:t xml:space="preserve">(1, 1009) = 734.54, </w:t>
      </w:r>
      <w:r w:rsidRPr="004D46AC">
        <w:rPr>
          <w:i/>
          <w:iCs/>
        </w:rPr>
        <w:t>SS</w:t>
      </w:r>
      <w:r w:rsidRPr="004D46AC">
        <w:t xml:space="preserve"> = </w:t>
      </w:r>
      <w:r w:rsidRPr="004D46AC">
        <w:rPr>
          <w:rFonts w:hint="eastAsia"/>
        </w:rPr>
        <w:t>29279</w:t>
      </w:r>
      <w:r w:rsidRPr="004D46AC">
        <w:t>.</w:t>
      </w:r>
      <w:r w:rsidRPr="004D46AC">
        <w:rPr>
          <w:rFonts w:hint="eastAsia"/>
        </w:rPr>
        <w:t>49</w:t>
      </w:r>
      <w:r w:rsidRPr="004D46AC">
        <w:t xml:space="preserve">, permutation </w:t>
      </w:r>
      <w:r w:rsidRPr="004D46AC">
        <w:rPr>
          <w:i/>
          <w:iCs/>
        </w:rPr>
        <w:t>p</w:t>
      </w:r>
      <w:r w:rsidRPr="004D46AC">
        <w:t xml:space="preserve"> &lt; .001, with a large effect size, </w:t>
      </w:r>
      <w:r w:rsidRPr="004D46AC">
        <w:rPr>
          <w:i/>
          <w:iCs/>
        </w:rPr>
        <w:t xml:space="preserve">δ </w:t>
      </w:r>
      <w:r w:rsidRPr="004D46AC">
        <w:t>= -.815 (95% CI [-.857, -.762])</w:t>
      </w:r>
      <w:r w:rsidRPr="004D46AC">
        <w:rPr>
          <w:rFonts w:hint="eastAsia"/>
        </w:rPr>
        <w:t>,</w:t>
      </w:r>
      <w:r w:rsidRPr="004D46AC">
        <w:t xml:space="preserve"> indicating that scores in the high-risk group are generally higher than in the low-risk group.</w:t>
      </w:r>
      <w:r w:rsidRPr="004D46AC">
        <w:rPr>
          <w:rFonts w:hint="eastAsia"/>
        </w:rPr>
        <w:t xml:space="preserve"> The </w:t>
      </w:r>
      <w:r w:rsidRPr="004D46AC">
        <w:t>high-risk</w:t>
      </w:r>
      <w:r w:rsidRPr="004D46AC">
        <w:rPr>
          <w:rFonts w:hint="eastAsia"/>
        </w:rPr>
        <w:t xml:space="preserve"> group </w:t>
      </w:r>
      <w:r w:rsidRPr="004D46AC">
        <w:t>(</w:t>
      </w:r>
      <w:proofErr w:type="spellStart"/>
      <w:r w:rsidRPr="004D46AC">
        <w:rPr>
          <w:i/>
          <w:iCs/>
        </w:rPr>
        <w:t>M</w:t>
      </w:r>
      <w:r w:rsidRPr="004D46AC">
        <w:rPr>
          <w:vertAlign w:val="subscript"/>
        </w:rPr>
        <w:t>adjusted</w:t>
      </w:r>
      <w:proofErr w:type="spellEnd"/>
      <w:r w:rsidRPr="004D46AC">
        <w:t xml:space="preserve"> = </w:t>
      </w:r>
      <w:r w:rsidRPr="004D46AC">
        <w:rPr>
          <w:rFonts w:hint="eastAsia"/>
        </w:rPr>
        <w:t>12.43</w:t>
      </w:r>
      <w:r w:rsidRPr="004D46AC">
        <w:t xml:space="preserve">, </w:t>
      </w:r>
      <w:r w:rsidRPr="004D46AC">
        <w:rPr>
          <w:i/>
          <w:iCs/>
        </w:rPr>
        <w:t>SE</w:t>
      </w:r>
      <w:r w:rsidRPr="004D46AC">
        <w:t xml:space="preserve"> = 0.</w:t>
      </w:r>
      <w:r w:rsidRPr="004D46AC">
        <w:rPr>
          <w:rFonts w:hint="eastAsia"/>
        </w:rPr>
        <w:t>24</w:t>
      </w:r>
      <w:r w:rsidRPr="004D46AC">
        <w:t>, 95% CI [</w:t>
      </w:r>
      <w:r w:rsidRPr="004D46AC">
        <w:rPr>
          <w:rFonts w:hint="eastAsia"/>
        </w:rPr>
        <w:t>11.90</w:t>
      </w:r>
      <w:r w:rsidRPr="004D46AC">
        <w:t xml:space="preserve">, </w:t>
      </w:r>
      <w:r w:rsidRPr="004D46AC">
        <w:rPr>
          <w:rFonts w:hint="eastAsia"/>
        </w:rPr>
        <w:t>12.90</w:t>
      </w:r>
      <w:r w:rsidRPr="004D46AC">
        <w:t xml:space="preserve">]) </w:t>
      </w:r>
      <w:r w:rsidRPr="004D46AC">
        <w:rPr>
          <w:rFonts w:hint="eastAsia"/>
        </w:rPr>
        <w:t xml:space="preserve">exhibited higher PHQ severity than the </w:t>
      </w:r>
      <w:r w:rsidRPr="004D46AC">
        <w:t>low-risk</w:t>
      </w:r>
      <w:r w:rsidRPr="004D46AC">
        <w:rPr>
          <w:rFonts w:hint="eastAsia"/>
        </w:rPr>
        <w:t xml:space="preserve"> group </w:t>
      </w:r>
      <w:r w:rsidRPr="004D46AC">
        <w:t>(</w:t>
      </w:r>
      <w:proofErr w:type="spellStart"/>
      <w:r w:rsidRPr="004D46AC">
        <w:rPr>
          <w:i/>
          <w:iCs/>
        </w:rPr>
        <w:t>M</w:t>
      </w:r>
      <w:r w:rsidRPr="004D46AC">
        <w:rPr>
          <w:vertAlign w:val="subscript"/>
        </w:rPr>
        <w:t>adjusted</w:t>
      </w:r>
      <w:proofErr w:type="spellEnd"/>
      <w:r w:rsidRPr="004D46AC">
        <w:t xml:space="preserve"> = </w:t>
      </w:r>
      <w:r w:rsidRPr="004D46AC">
        <w:rPr>
          <w:rFonts w:hint="eastAsia"/>
        </w:rPr>
        <w:t>6.44</w:t>
      </w:r>
      <w:r w:rsidRPr="004D46AC">
        <w:t xml:space="preserve">, </w:t>
      </w:r>
      <w:r w:rsidRPr="004D46AC">
        <w:rPr>
          <w:i/>
          <w:iCs/>
        </w:rPr>
        <w:t>SE</w:t>
      </w:r>
      <w:r w:rsidRPr="004D46AC">
        <w:t xml:space="preserve"> = 0.</w:t>
      </w:r>
      <w:r w:rsidRPr="004D46AC">
        <w:rPr>
          <w:rFonts w:hint="eastAsia"/>
        </w:rPr>
        <w:t>22</w:t>
      </w:r>
      <w:r w:rsidRPr="004D46AC">
        <w:t>, 95% CI [</w:t>
      </w:r>
      <w:r w:rsidRPr="004D46AC">
        <w:rPr>
          <w:rFonts w:hint="eastAsia"/>
        </w:rPr>
        <w:t>6.0</w:t>
      </w:r>
      <w:r w:rsidRPr="004D46AC">
        <w:t xml:space="preserve">, </w:t>
      </w:r>
      <w:r w:rsidRPr="004D46AC">
        <w:rPr>
          <w:rFonts w:hint="eastAsia"/>
        </w:rPr>
        <w:t>6.87</w:t>
      </w:r>
      <w:r w:rsidRPr="004D46AC">
        <w:t>])</w:t>
      </w:r>
      <w:r w:rsidRPr="004D46AC">
        <w:rPr>
          <w:rFonts w:hint="eastAsia"/>
        </w:rPr>
        <w:t>. This difference was statistically significant</w:t>
      </w:r>
      <w:r w:rsidRPr="004D46AC">
        <w:rPr>
          <w:rFonts w:hint="eastAsia"/>
          <w:i/>
          <w:iCs/>
        </w:rPr>
        <w:t xml:space="preserve">, </w:t>
      </w:r>
      <w:r w:rsidRPr="004D46AC">
        <w:rPr>
          <w:i/>
          <w:iCs/>
        </w:rPr>
        <w:t>F</w:t>
      </w:r>
      <w:r w:rsidRPr="004D46AC">
        <w:t xml:space="preserve"> (1, 1009) = </w:t>
      </w:r>
      <w:r w:rsidRPr="004D46AC">
        <w:rPr>
          <w:rFonts w:hint="eastAsia"/>
        </w:rPr>
        <w:t>337.11</w:t>
      </w:r>
      <w:r w:rsidRPr="004D46AC">
        <w:t xml:space="preserve">, </w:t>
      </w:r>
      <w:r w:rsidRPr="004D46AC">
        <w:rPr>
          <w:i/>
          <w:iCs/>
        </w:rPr>
        <w:t>SS</w:t>
      </w:r>
      <w:r w:rsidRPr="004D46AC">
        <w:t xml:space="preserve"> = </w:t>
      </w:r>
      <w:r w:rsidRPr="004D46AC">
        <w:rPr>
          <w:rFonts w:hint="eastAsia"/>
        </w:rPr>
        <w:t>8960.20</w:t>
      </w:r>
      <w:r w:rsidRPr="004D46AC">
        <w:t xml:space="preserve">, permutation </w:t>
      </w:r>
      <w:r w:rsidRPr="004D46AC">
        <w:rPr>
          <w:i/>
          <w:iCs/>
        </w:rPr>
        <w:t>p</w:t>
      </w:r>
      <w:r w:rsidRPr="004D46AC">
        <w:t xml:space="preserve"> &lt; .001</w:t>
      </w:r>
      <w:r w:rsidRPr="004D46AC">
        <w:rPr>
          <w:rFonts w:hint="eastAsia"/>
        </w:rPr>
        <w:t>, with a larger effect size,</w:t>
      </w:r>
      <w:r w:rsidRPr="004D46AC">
        <w:rPr>
          <w:i/>
          <w:iCs/>
        </w:rPr>
        <w:t xml:space="preserve"> δ </w:t>
      </w:r>
      <w:r w:rsidRPr="004D46AC">
        <w:t>= -.</w:t>
      </w:r>
      <w:r w:rsidRPr="004D46AC">
        <w:rPr>
          <w:rFonts w:hint="eastAsia"/>
        </w:rPr>
        <w:t>58</w:t>
      </w:r>
      <w:r w:rsidRPr="004D46AC">
        <w:t xml:space="preserve"> (95% CI [-.</w:t>
      </w:r>
      <w:r w:rsidRPr="004D46AC">
        <w:rPr>
          <w:rFonts w:hint="eastAsia"/>
        </w:rPr>
        <w:t>63</w:t>
      </w:r>
      <w:r w:rsidRPr="004D46AC">
        <w:t>, -.</w:t>
      </w:r>
      <w:r w:rsidRPr="004D46AC">
        <w:rPr>
          <w:rFonts w:hint="eastAsia"/>
        </w:rPr>
        <w:t>52</w:t>
      </w:r>
      <w:r w:rsidRPr="004D46AC">
        <w:t>])</w:t>
      </w:r>
      <w:r w:rsidRPr="004D46AC">
        <w:rPr>
          <w:rFonts w:hint="eastAsia"/>
        </w:rPr>
        <w:t xml:space="preserve">.  </w:t>
      </w:r>
      <w:r w:rsidRPr="004D46AC">
        <w:t>I</w:t>
      </w:r>
      <w:r w:rsidRPr="004D46AC">
        <w:rPr>
          <w:rFonts w:hint="eastAsia"/>
        </w:rPr>
        <w:t xml:space="preserve">ndividuals from high-risk group </w:t>
      </w:r>
      <w:r w:rsidRPr="004D46AC">
        <w:t>(</w:t>
      </w:r>
      <w:proofErr w:type="spellStart"/>
      <w:r w:rsidRPr="004D46AC">
        <w:rPr>
          <w:i/>
          <w:iCs/>
        </w:rPr>
        <w:t>M</w:t>
      </w:r>
      <w:r w:rsidRPr="004D46AC">
        <w:rPr>
          <w:vertAlign w:val="subscript"/>
        </w:rPr>
        <w:t>adjusted</w:t>
      </w:r>
      <w:proofErr w:type="spellEnd"/>
      <w:r w:rsidRPr="004D46AC">
        <w:t xml:space="preserve"> = </w:t>
      </w:r>
      <w:r w:rsidRPr="004D46AC">
        <w:rPr>
          <w:rFonts w:hint="eastAsia"/>
        </w:rPr>
        <w:t>11.17</w:t>
      </w:r>
      <w:r w:rsidRPr="004D46AC">
        <w:t xml:space="preserve">, </w:t>
      </w:r>
      <w:r w:rsidRPr="004D46AC">
        <w:rPr>
          <w:i/>
          <w:iCs/>
        </w:rPr>
        <w:t>SE</w:t>
      </w:r>
      <w:r w:rsidRPr="004D46AC">
        <w:t xml:space="preserve"> = 0.2</w:t>
      </w:r>
      <w:r w:rsidRPr="004D46AC">
        <w:rPr>
          <w:rFonts w:hint="eastAsia"/>
        </w:rPr>
        <w:t>3</w:t>
      </w:r>
      <w:r w:rsidRPr="004D46AC">
        <w:t>, 95% CI [</w:t>
      </w:r>
      <w:r w:rsidRPr="004D46AC">
        <w:rPr>
          <w:rFonts w:hint="eastAsia"/>
        </w:rPr>
        <w:t>10.72</w:t>
      </w:r>
      <w:r w:rsidRPr="004D46AC">
        <w:t xml:space="preserve">, </w:t>
      </w:r>
      <w:r w:rsidRPr="004D46AC">
        <w:rPr>
          <w:rFonts w:hint="eastAsia"/>
        </w:rPr>
        <w:t>11.63</w:t>
      </w:r>
      <w:r w:rsidRPr="004D46AC">
        <w:t>])</w:t>
      </w:r>
      <w:r w:rsidRPr="004D46AC">
        <w:rPr>
          <w:rFonts w:hint="eastAsia"/>
        </w:rPr>
        <w:t xml:space="preserve"> reported higher GAD severity than those of low-risk group</w:t>
      </w:r>
      <w:r w:rsidRPr="004D46AC">
        <w:t>(</w:t>
      </w:r>
      <w:proofErr w:type="spellStart"/>
      <w:r w:rsidRPr="004D46AC">
        <w:rPr>
          <w:i/>
          <w:iCs/>
        </w:rPr>
        <w:t>M</w:t>
      </w:r>
      <w:r w:rsidRPr="004D46AC">
        <w:rPr>
          <w:vertAlign w:val="subscript"/>
        </w:rPr>
        <w:t>adjusted</w:t>
      </w:r>
      <w:proofErr w:type="spellEnd"/>
      <w:r w:rsidRPr="004D46AC">
        <w:t xml:space="preserve"> = </w:t>
      </w:r>
      <w:r w:rsidRPr="004D46AC">
        <w:rPr>
          <w:rFonts w:hint="eastAsia"/>
        </w:rPr>
        <w:t>5.14</w:t>
      </w:r>
      <w:r w:rsidRPr="004D46AC">
        <w:t xml:space="preserve">, </w:t>
      </w:r>
      <w:r w:rsidRPr="004D46AC">
        <w:rPr>
          <w:i/>
          <w:iCs/>
        </w:rPr>
        <w:t>SE</w:t>
      </w:r>
      <w:r w:rsidRPr="004D46AC">
        <w:t xml:space="preserve"> = 0.</w:t>
      </w:r>
      <w:r w:rsidRPr="004D46AC">
        <w:rPr>
          <w:rFonts w:hint="eastAsia"/>
        </w:rPr>
        <w:t>21</w:t>
      </w:r>
      <w:r w:rsidRPr="004D46AC">
        <w:t>, 95% CI [</w:t>
      </w:r>
      <w:r w:rsidRPr="004D46AC">
        <w:rPr>
          <w:rFonts w:hint="eastAsia"/>
        </w:rPr>
        <w:t>4.72</w:t>
      </w:r>
      <w:r w:rsidRPr="004D46AC">
        <w:t xml:space="preserve">, </w:t>
      </w:r>
      <w:r w:rsidRPr="004D46AC">
        <w:rPr>
          <w:rFonts w:hint="eastAsia"/>
        </w:rPr>
        <w:t>5.56</w:t>
      </w:r>
      <w:r w:rsidRPr="004D46AC">
        <w:t>])</w:t>
      </w:r>
      <w:r w:rsidRPr="004D46AC">
        <w:rPr>
          <w:rFonts w:hint="eastAsia"/>
        </w:rPr>
        <w:t>, and the difference was statistically significant,</w:t>
      </w:r>
      <w:r w:rsidRPr="004D46AC">
        <w:rPr>
          <w:i/>
          <w:iCs/>
        </w:rPr>
        <w:t xml:space="preserve"> F</w:t>
      </w:r>
      <w:r w:rsidRPr="004D46AC">
        <w:t xml:space="preserve"> (1, 1009) = </w:t>
      </w:r>
      <w:r w:rsidRPr="004D46AC">
        <w:rPr>
          <w:rFonts w:hint="eastAsia"/>
        </w:rPr>
        <w:t>371.06</w:t>
      </w:r>
      <w:r w:rsidRPr="004D46AC">
        <w:t xml:space="preserve">, </w:t>
      </w:r>
      <w:r w:rsidRPr="004D46AC">
        <w:rPr>
          <w:i/>
          <w:iCs/>
        </w:rPr>
        <w:t>SS</w:t>
      </w:r>
      <w:r w:rsidRPr="004D46AC">
        <w:t xml:space="preserve"> = </w:t>
      </w:r>
      <w:r w:rsidRPr="004D46AC">
        <w:rPr>
          <w:rFonts w:hint="eastAsia"/>
        </w:rPr>
        <w:t>9089.10</w:t>
      </w:r>
      <w:r w:rsidRPr="004D46AC">
        <w:t xml:space="preserve">, permutation </w:t>
      </w:r>
      <w:r w:rsidRPr="004D46AC">
        <w:rPr>
          <w:i/>
          <w:iCs/>
        </w:rPr>
        <w:t>p</w:t>
      </w:r>
      <w:r w:rsidRPr="004D46AC">
        <w:t xml:space="preserve"> &lt; .001</w:t>
      </w:r>
      <w:r w:rsidRPr="004D46AC">
        <w:rPr>
          <w:rFonts w:hint="eastAsia"/>
        </w:rPr>
        <w:t xml:space="preserve">, with a larger effect size, </w:t>
      </w:r>
      <w:r w:rsidRPr="004D46AC">
        <w:rPr>
          <w:i/>
          <w:iCs/>
        </w:rPr>
        <w:t xml:space="preserve">δ </w:t>
      </w:r>
      <w:r w:rsidRPr="004D46AC">
        <w:t>= -</w:t>
      </w:r>
      <w:r w:rsidRPr="004D46AC">
        <w:rPr>
          <w:rFonts w:hint="eastAsia"/>
        </w:rPr>
        <w:t>.61</w:t>
      </w:r>
      <w:r w:rsidRPr="004D46AC">
        <w:t xml:space="preserve"> (95% CI [-.</w:t>
      </w:r>
      <w:r w:rsidRPr="004D46AC">
        <w:rPr>
          <w:rFonts w:hint="eastAsia"/>
        </w:rPr>
        <w:t>66</w:t>
      </w:r>
      <w:r w:rsidRPr="004D46AC">
        <w:t>, -.</w:t>
      </w:r>
      <w:r w:rsidRPr="004D46AC">
        <w:rPr>
          <w:rFonts w:hint="eastAsia"/>
        </w:rPr>
        <w:t>55</w:t>
      </w:r>
      <w:r w:rsidRPr="004D46AC">
        <w:t>]).</w:t>
      </w:r>
      <w:r w:rsidRPr="004D46AC">
        <w:rPr>
          <w:rFonts w:hint="eastAsia"/>
        </w:rPr>
        <w:t xml:space="preserve"> </w:t>
      </w:r>
      <w:r w:rsidRPr="004D46AC">
        <w:t>The difference in hopelessness between the high-</w:t>
      </w:r>
      <w:r w:rsidRPr="004D46AC">
        <w:rPr>
          <w:rFonts w:hint="eastAsia"/>
        </w:rPr>
        <w:t>risk (</w:t>
      </w:r>
      <w:proofErr w:type="spellStart"/>
      <w:r w:rsidRPr="004D46AC">
        <w:rPr>
          <w:i/>
          <w:iCs/>
        </w:rPr>
        <w:t>M</w:t>
      </w:r>
      <w:r w:rsidRPr="004D46AC">
        <w:rPr>
          <w:vertAlign w:val="subscript"/>
        </w:rPr>
        <w:t>adjusted</w:t>
      </w:r>
      <w:proofErr w:type="spellEnd"/>
      <w:r w:rsidRPr="004D46AC">
        <w:t xml:space="preserve"> = </w:t>
      </w:r>
      <w:r w:rsidRPr="004D46AC">
        <w:rPr>
          <w:rFonts w:hint="eastAsia"/>
        </w:rPr>
        <w:t>4.61</w:t>
      </w:r>
      <w:r w:rsidRPr="004D46AC">
        <w:t xml:space="preserve">, </w:t>
      </w:r>
      <w:r w:rsidRPr="004D46AC">
        <w:rPr>
          <w:i/>
          <w:iCs/>
        </w:rPr>
        <w:t>SE</w:t>
      </w:r>
      <w:r w:rsidRPr="004D46AC">
        <w:t xml:space="preserve"> = 0.</w:t>
      </w:r>
      <w:r w:rsidRPr="004D46AC">
        <w:rPr>
          <w:rFonts w:hint="eastAsia"/>
        </w:rPr>
        <w:t>11</w:t>
      </w:r>
      <w:r w:rsidRPr="004D46AC">
        <w:t>, 95% CI [</w:t>
      </w:r>
      <w:r w:rsidRPr="004D46AC">
        <w:rPr>
          <w:rFonts w:hint="eastAsia"/>
        </w:rPr>
        <w:t>4.40</w:t>
      </w:r>
      <w:r w:rsidRPr="004D46AC">
        <w:t xml:space="preserve">, </w:t>
      </w:r>
      <w:r w:rsidRPr="004D46AC">
        <w:rPr>
          <w:rFonts w:hint="eastAsia"/>
        </w:rPr>
        <w:t>4.82</w:t>
      </w:r>
      <w:r w:rsidRPr="004D46AC">
        <w:t>]</w:t>
      </w:r>
      <w:r w:rsidRPr="004D46AC">
        <w:rPr>
          <w:rFonts w:hint="eastAsia"/>
        </w:rPr>
        <w:t>)</w:t>
      </w:r>
      <w:r w:rsidRPr="004D46AC">
        <w:t xml:space="preserve"> and low-risk groups</w:t>
      </w:r>
      <w:r w:rsidRPr="004D46AC">
        <w:rPr>
          <w:rFonts w:hint="eastAsia"/>
        </w:rPr>
        <w:t xml:space="preserve"> (</w:t>
      </w:r>
      <w:proofErr w:type="spellStart"/>
      <w:r w:rsidRPr="004D46AC">
        <w:rPr>
          <w:i/>
          <w:iCs/>
        </w:rPr>
        <w:t>M</w:t>
      </w:r>
      <w:r w:rsidRPr="004D46AC">
        <w:rPr>
          <w:vertAlign w:val="subscript"/>
        </w:rPr>
        <w:t>adjusted</w:t>
      </w:r>
      <w:proofErr w:type="spellEnd"/>
      <w:r w:rsidRPr="004D46AC">
        <w:t xml:space="preserve"> = </w:t>
      </w:r>
      <w:r w:rsidRPr="004D46AC">
        <w:rPr>
          <w:rFonts w:hint="eastAsia"/>
        </w:rPr>
        <w:t>3.52</w:t>
      </w:r>
      <w:r w:rsidRPr="004D46AC">
        <w:t xml:space="preserve">, </w:t>
      </w:r>
      <w:r w:rsidRPr="004D46AC">
        <w:rPr>
          <w:i/>
          <w:iCs/>
        </w:rPr>
        <w:t>SE</w:t>
      </w:r>
      <w:r w:rsidRPr="004D46AC">
        <w:t xml:space="preserve"> = 0.</w:t>
      </w:r>
      <w:r w:rsidRPr="004D46AC">
        <w:rPr>
          <w:rFonts w:hint="eastAsia"/>
        </w:rPr>
        <w:t>10</w:t>
      </w:r>
      <w:r w:rsidRPr="004D46AC">
        <w:t>, 95% CI [</w:t>
      </w:r>
      <w:r w:rsidRPr="004D46AC">
        <w:rPr>
          <w:rFonts w:hint="eastAsia"/>
        </w:rPr>
        <w:t>3.32</w:t>
      </w:r>
      <w:r w:rsidRPr="004D46AC">
        <w:t xml:space="preserve">, </w:t>
      </w:r>
      <w:r w:rsidRPr="004D46AC">
        <w:rPr>
          <w:rFonts w:hint="eastAsia"/>
        </w:rPr>
        <w:t>3.71</w:t>
      </w:r>
      <w:r w:rsidRPr="004D46AC">
        <w:t>]</w:t>
      </w:r>
      <w:r w:rsidRPr="004D46AC">
        <w:rPr>
          <w:rFonts w:hint="eastAsia"/>
        </w:rPr>
        <w:t>)</w:t>
      </w:r>
      <w:r w:rsidRPr="004D46AC">
        <w:t xml:space="preserve"> was statistically significant</w:t>
      </w:r>
      <w:r w:rsidRPr="004D46AC">
        <w:rPr>
          <w:rFonts w:hint="eastAsia"/>
        </w:rPr>
        <w:t>,</w:t>
      </w:r>
      <w:r w:rsidRPr="004D46AC">
        <w:rPr>
          <w:i/>
          <w:iCs/>
        </w:rPr>
        <w:t xml:space="preserve"> F</w:t>
      </w:r>
      <w:r w:rsidRPr="004D46AC">
        <w:t xml:space="preserve"> (1, 1009) = </w:t>
      </w:r>
      <w:r w:rsidRPr="004D46AC">
        <w:rPr>
          <w:rFonts w:hint="eastAsia"/>
        </w:rPr>
        <w:t>50.09</w:t>
      </w:r>
      <w:r w:rsidRPr="004D46AC">
        <w:t xml:space="preserve">, </w:t>
      </w:r>
      <w:r w:rsidRPr="004D46AC">
        <w:rPr>
          <w:i/>
          <w:iCs/>
        </w:rPr>
        <w:t>SS</w:t>
      </w:r>
      <w:r w:rsidRPr="004D46AC">
        <w:t xml:space="preserve"> = </w:t>
      </w:r>
      <w:r w:rsidRPr="004D46AC">
        <w:rPr>
          <w:rFonts w:hint="eastAsia"/>
        </w:rPr>
        <w:t>297.38</w:t>
      </w:r>
      <w:r w:rsidRPr="004D46AC">
        <w:t xml:space="preserve">, permutation </w:t>
      </w:r>
      <w:r w:rsidRPr="004D46AC">
        <w:rPr>
          <w:i/>
          <w:iCs/>
        </w:rPr>
        <w:t>p</w:t>
      </w:r>
      <w:r w:rsidRPr="004D46AC">
        <w:t xml:space="preserve"> &lt; .001, with a </w:t>
      </w:r>
      <w:r w:rsidRPr="004D46AC">
        <w:rPr>
          <w:rFonts w:hint="eastAsia"/>
        </w:rPr>
        <w:t>small</w:t>
      </w:r>
      <w:r w:rsidRPr="004D46AC">
        <w:t xml:space="preserve"> effect size</w:t>
      </w:r>
      <w:r w:rsidRPr="004D46AC">
        <w:rPr>
          <w:rFonts w:hint="eastAsia"/>
        </w:rPr>
        <w:t xml:space="preserve">, </w:t>
      </w:r>
      <w:r w:rsidRPr="004D46AC">
        <w:rPr>
          <w:i/>
          <w:iCs/>
        </w:rPr>
        <w:t xml:space="preserve">δ </w:t>
      </w:r>
      <w:r w:rsidRPr="004D46AC">
        <w:t>= -</w:t>
      </w:r>
      <w:r w:rsidRPr="004D46AC">
        <w:rPr>
          <w:rFonts w:hint="eastAsia"/>
        </w:rPr>
        <w:t>.27</w:t>
      </w:r>
      <w:r w:rsidRPr="004D46AC">
        <w:t xml:space="preserve"> (95% CI [-.</w:t>
      </w:r>
      <w:r w:rsidRPr="004D46AC">
        <w:rPr>
          <w:rFonts w:hint="eastAsia"/>
        </w:rPr>
        <w:t>33</w:t>
      </w:r>
      <w:r w:rsidRPr="004D46AC">
        <w:t>, -.</w:t>
      </w:r>
      <w:r w:rsidRPr="004D46AC">
        <w:rPr>
          <w:rFonts w:hint="eastAsia"/>
        </w:rPr>
        <w:t>20</w:t>
      </w:r>
      <w:r w:rsidRPr="004D46AC">
        <w:t>]), indicating that high-risk individuals generally report higher levels of hopelessness than the low-risk group.</w:t>
      </w:r>
    </w:p>
    <w:p w14:paraId="75CFA71E" w14:textId="77777777" w:rsidR="007075D9" w:rsidRPr="004D46AC" w:rsidRDefault="007075D9" w:rsidP="00B518F1">
      <w:r w:rsidRPr="004D46AC">
        <w:t>For the</w:t>
      </w:r>
      <w:r w:rsidRPr="004D46AC">
        <w:rPr>
          <w:rFonts w:hint="eastAsia"/>
        </w:rPr>
        <w:t xml:space="preserve"> o</w:t>
      </w:r>
      <w:r w:rsidRPr="004D46AC">
        <w:t>pposing</w:t>
      </w:r>
      <w:r w:rsidRPr="004D46AC">
        <w:rPr>
          <w:rFonts w:hint="eastAsia"/>
        </w:rPr>
        <w:t xml:space="preserve"> </w:t>
      </w:r>
      <w:r w:rsidRPr="004D46AC">
        <w:t>constructs, the pattern observed in the related constructs was reversed. The difference in sleep quality between the low-risk (</w:t>
      </w:r>
      <w:proofErr w:type="spellStart"/>
      <w:r w:rsidRPr="004D46AC">
        <w:rPr>
          <w:i/>
          <w:iCs/>
        </w:rPr>
        <w:t>M</w:t>
      </w:r>
      <w:r w:rsidRPr="004D46AC">
        <w:rPr>
          <w:vertAlign w:val="subscript"/>
        </w:rPr>
        <w:t>adjusted</w:t>
      </w:r>
      <w:proofErr w:type="spellEnd"/>
      <w:r w:rsidRPr="004D46AC">
        <w:t xml:space="preserve"> = 21.30, </w:t>
      </w:r>
      <w:r w:rsidRPr="004D46AC">
        <w:rPr>
          <w:i/>
          <w:iCs/>
        </w:rPr>
        <w:t>SE</w:t>
      </w:r>
      <w:r w:rsidRPr="004D46AC">
        <w:t xml:space="preserve"> = 0.31, 95% CI [20.60, 21.90]) and high-risk groups (</w:t>
      </w:r>
      <w:proofErr w:type="spellStart"/>
      <w:r w:rsidRPr="004D46AC">
        <w:rPr>
          <w:i/>
          <w:iCs/>
        </w:rPr>
        <w:t>M</w:t>
      </w:r>
      <w:r w:rsidRPr="004D46AC">
        <w:rPr>
          <w:vertAlign w:val="subscript"/>
        </w:rPr>
        <w:t>adjusted</w:t>
      </w:r>
      <w:proofErr w:type="spellEnd"/>
      <w:r w:rsidRPr="004D46AC">
        <w:rPr>
          <w:vertAlign w:val="subscript"/>
        </w:rPr>
        <w:t xml:space="preserve"> </w:t>
      </w:r>
      <w:r w:rsidRPr="004D46AC">
        <w:t xml:space="preserve">= 15.90, </w:t>
      </w:r>
      <w:r w:rsidRPr="004D46AC">
        <w:rPr>
          <w:i/>
          <w:iCs/>
        </w:rPr>
        <w:t xml:space="preserve">SE </w:t>
      </w:r>
      <w:r w:rsidRPr="004D46AC">
        <w:t xml:space="preserve">= 0.34, 95% CI [15.30, 16.60]) was statistically significant, </w:t>
      </w:r>
      <w:r w:rsidRPr="004D46AC">
        <w:rPr>
          <w:i/>
          <w:iCs/>
        </w:rPr>
        <w:t>F</w:t>
      </w:r>
      <w:r w:rsidRPr="004D46AC">
        <w:t xml:space="preserve">(1, 1009) = 133.26, </w:t>
      </w:r>
      <w:r w:rsidRPr="004D46AC">
        <w:rPr>
          <w:i/>
          <w:iCs/>
        </w:rPr>
        <w:t>SS</w:t>
      </w:r>
      <w:r w:rsidRPr="004D46AC">
        <w:t xml:space="preserve"> = 7,049, permutation </w:t>
      </w:r>
      <w:r w:rsidRPr="004D46AC">
        <w:rPr>
          <w:i/>
          <w:iCs/>
        </w:rPr>
        <w:t>p</w:t>
      </w:r>
      <w:r w:rsidRPr="004D46AC">
        <w:t xml:space="preserve"> &lt; .001, with a medium effect size, </w:t>
      </w:r>
      <w:r w:rsidRPr="004D46AC">
        <w:rPr>
          <w:i/>
          <w:iCs/>
        </w:rPr>
        <w:t>δ</w:t>
      </w:r>
      <w:r w:rsidRPr="004D46AC">
        <w:t xml:space="preserve"> = .38 (95% CI [.32, .44]). This indicates that individuals in the </w:t>
      </w:r>
      <w:r w:rsidRPr="004D46AC">
        <w:lastRenderedPageBreak/>
        <w:t>low-risk group reported substantially higher sleep quality than those in the high-risk group.</w:t>
      </w:r>
      <w:r w:rsidRPr="004D46AC">
        <w:rPr>
          <w:rFonts w:hint="eastAsia"/>
        </w:rPr>
        <w:t xml:space="preserve"> Similarly, i</w:t>
      </w:r>
      <w:r w:rsidRPr="004D46AC">
        <w:t>ndividuals in the low-risk group (</w:t>
      </w:r>
      <w:proofErr w:type="spellStart"/>
      <w:r w:rsidRPr="004D46AC">
        <w:rPr>
          <w:i/>
          <w:iCs/>
        </w:rPr>
        <w:t>M</w:t>
      </w:r>
      <w:r w:rsidRPr="004D46AC">
        <w:rPr>
          <w:vertAlign w:val="subscript"/>
        </w:rPr>
        <w:t>adjusted</w:t>
      </w:r>
      <w:proofErr w:type="spellEnd"/>
      <w:r w:rsidRPr="004D46AC">
        <w:t xml:space="preserve"> = 45.70, </w:t>
      </w:r>
      <w:r w:rsidRPr="004D46AC">
        <w:rPr>
          <w:i/>
          <w:iCs/>
        </w:rPr>
        <w:t>SE</w:t>
      </w:r>
      <w:r w:rsidRPr="004D46AC">
        <w:t xml:space="preserve"> = 0.47, 95% CI [44.80, 46.60]) reported higher wellbeing than those in the high-risk group (</w:t>
      </w:r>
      <w:proofErr w:type="spellStart"/>
      <w:r w:rsidRPr="004D46AC">
        <w:rPr>
          <w:i/>
          <w:iCs/>
        </w:rPr>
        <w:t>M</w:t>
      </w:r>
      <w:r w:rsidRPr="004D46AC">
        <w:rPr>
          <w:vertAlign w:val="subscript"/>
        </w:rPr>
        <w:t>adjusted</w:t>
      </w:r>
      <w:proofErr w:type="spellEnd"/>
      <w:r w:rsidRPr="004D46AC">
        <w:t xml:space="preserve"> = 41.20, </w:t>
      </w:r>
      <w:r w:rsidRPr="004D46AC">
        <w:rPr>
          <w:i/>
          <w:iCs/>
        </w:rPr>
        <w:t>SE</w:t>
      </w:r>
      <w:r w:rsidRPr="004D46AC">
        <w:t xml:space="preserve"> = 0.52, 95% CI [40.20, 42.20]). This difference was statistically significant, </w:t>
      </w:r>
      <w:r w:rsidRPr="004D46AC">
        <w:rPr>
          <w:i/>
          <w:iCs/>
        </w:rPr>
        <w:t>F</w:t>
      </w:r>
      <w:r w:rsidRPr="004D46AC">
        <w:rPr>
          <w:rFonts w:hint="eastAsia"/>
        </w:rPr>
        <w:t xml:space="preserve"> </w:t>
      </w:r>
      <w:r w:rsidRPr="004D46AC">
        <w:t xml:space="preserve">(1, 1009) = 42.10, </w:t>
      </w:r>
      <w:r w:rsidRPr="004D46AC">
        <w:rPr>
          <w:i/>
          <w:iCs/>
        </w:rPr>
        <w:t>SS</w:t>
      </w:r>
      <w:r w:rsidRPr="004D46AC">
        <w:t xml:space="preserve"> = 5,052, permutation </w:t>
      </w:r>
      <w:r w:rsidRPr="004D46AC">
        <w:rPr>
          <w:i/>
          <w:iCs/>
        </w:rPr>
        <w:t>p</w:t>
      </w:r>
      <w:r w:rsidRPr="004D46AC">
        <w:t xml:space="preserve"> &lt; .001, with a small effect size, </w:t>
      </w:r>
      <w:r w:rsidRPr="004D46AC">
        <w:rPr>
          <w:i/>
          <w:iCs/>
        </w:rPr>
        <w:t>δ</w:t>
      </w:r>
      <w:r w:rsidRPr="004D46AC">
        <w:t xml:space="preserve"> = .23 (95% CI [.16, .30]), indicating that low-risk individuals tend to report a higher degree of wellbeing than high-risk individuals.</w:t>
      </w:r>
    </w:p>
    <w:p w14:paraId="3A4B28C1" w14:textId="77777777" w:rsidR="007075D9" w:rsidRPr="004D46AC" w:rsidRDefault="007075D9" w:rsidP="00B518F1">
      <w:pPr>
        <w:pStyle w:val="3"/>
        <w:rPr>
          <w:rFonts w:eastAsiaTheme="minorEastAsia"/>
        </w:rPr>
      </w:pPr>
      <w:r w:rsidRPr="004D46AC">
        <w:t>D</w:t>
      </w:r>
      <w:r w:rsidRPr="004D46AC">
        <w:rPr>
          <w:rFonts w:hint="eastAsia"/>
        </w:rPr>
        <w:t>escriptive statistics</w:t>
      </w:r>
      <w:r w:rsidRPr="004D46AC">
        <w:rPr>
          <w:rFonts w:eastAsiaTheme="minorEastAsia" w:hint="eastAsia"/>
        </w:rPr>
        <w:t xml:space="preserve"> of the TRACE scale</w:t>
      </w:r>
    </w:p>
    <w:p w14:paraId="70673B84" w14:textId="6D661BC0" w:rsidR="007075D9" w:rsidRPr="004D46AC" w:rsidRDefault="007075D9" w:rsidP="00B518F1">
      <w:pPr>
        <w:ind w:firstLine="660"/>
      </w:pPr>
      <w:r w:rsidRPr="004D46AC">
        <w:t>The most frequently endorsed TRACE item was TR5 (Racing thoughts), reported by 75.45% of the sample. In contrast, the least commonly endorsed item was TR18 (Perceived oddity in familiar surroundings), experienced by 29.36% of participants. In terms of distress ratings, TR15 (Emptiness) was perceived as the most distressing, with 16.94% of the sample assigning it the highest distress rating. Conversely, TR5 (Racing thoughts) was most frequently rated as the least distressing experience, with 26.22% of participants selecting this rating. See</w:t>
      </w:r>
      <w:r w:rsidRPr="004D46AC">
        <w:rPr>
          <w:rFonts w:hint="eastAsia"/>
        </w:rPr>
        <w:t xml:space="preserve"> </w:t>
      </w:r>
      <w:r w:rsidRPr="004D46AC">
        <w:t xml:space="preserve">Figure </w:t>
      </w:r>
      <w:r w:rsidR="00904541" w:rsidRPr="004D46AC">
        <w:rPr>
          <w:rFonts w:eastAsiaTheme="minorEastAsia" w:hint="eastAsia"/>
        </w:rPr>
        <w:t xml:space="preserve">E </w:t>
      </w:r>
      <w:r w:rsidRPr="004D46AC">
        <w:rPr>
          <w:rFonts w:hint="eastAsia"/>
        </w:rPr>
        <w:t>2</w:t>
      </w:r>
      <w:r w:rsidRPr="004D46AC">
        <w:t xml:space="preserve"> for detailed item-level distributions.</w:t>
      </w:r>
    </w:p>
    <w:p w14:paraId="43633B20" w14:textId="77777777" w:rsidR="007075D9" w:rsidRPr="004D46AC" w:rsidRDefault="007075D9" w:rsidP="00B518F1">
      <w:pPr>
        <w:ind w:firstLine="660"/>
      </w:pPr>
      <w:r w:rsidRPr="004D46AC">
        <w:t>Dimensional comparisons of TRACE total and subscale scores were conducted across gender and age subgroups. No significant differences were found in total distress levels between gender or age groups (</w:t>
      </w:r>
      <w:r w:rsidRPr="004D46AC">
        <w:rPr>
          <w:i/>
          <w:iCs/>
        </w:rPr>
        <w:t>p</w:t>
      </w:r>
      <w:r w:rsidRPr="004D46AC">
        <w:t xml:space="preserve"> &gt; .05). However, differences emerged across specific dimensions: female participants reported significantly higher distress on the affective-cognitive dysregulation dimension compared to males (</w:t>
      </w:r>
      <w:r w:rsidRPr="004D46AC">
        <w:rPr>
          <w:i/>
          <w:iCs/>
        </w:rPr>
        <w:t>p</w:t>
      </w:r>
      <w:r w:rsidRPr="004D46AC">
        <w:t xml:space="preserve"> &lt; .001, </w:t>
      </w:r>
      <w:r w:rsidRPr="004D46AC">
        <w:rPr>
          <w:i/>
          <w:iCs/>
        </w:rPr>
        <w:t>r</w:t>
      </w:r>
      <w:r w:rsidRPr="004D46AC">
        <w:t xml:space="preserve"> = .08), while males reported greater distress on the reality distortion (</w:t>
      </w:r>
      <w:r w:rsidRPr="004D46AC">
        <w:rPr>
          <w:i/>
          <w:iCs/>
        </w:rPr>
        <w:t>p</w:t>
      </w:r>
      <w:r w:rsidRPr="004D46AC">
        <w:t xml:space="preserve"> &lt; .001, </w:t>
      </w:r>
      <w:r w:rsidRPr="004D46AC">
        <w:rPr>
          <w:i/>
          <w:iCs/>
        </w:rPr>
        <w:t>r</w:t>
      </w:r>
      <w:r w:rsidRPr="004D46AC">
        <w:t xml:space="preserve"> = .13) and hypomania (</w:t>
      </w:r>
      <w:r w:rsidRPr="004D46AC">
        <w:rPr>
          <w:i/>
          <w:iCs/>
        </w:rPr>
        <w:t xml:space="preserve">p </w:t>
      </w:r>
      <w:r w:rsidRPr="004D46AC">
        <w:t xml:space="preserve">&lt; .001, </w:t>
      </w:r>
      <w:r w:rsidRPr="004D46AC">
        <w:rPr>
          <w:i/>
          <w:iCs/>
        </w:rPr>
        <w:t>r</w:t>
      </w:r>
      <w:r w:rsidRPr="004D46AC">
        <w:t xml:space="preserve"> = .10); adolescents reported the lowest distress levels for hypomania when compared to all adult subgroups   (</w:t>
      </w:r>
      <w:r w:rsidRPr="004D46AC">
        <w:rPr>
          <w:i/>
          <w:iCs/>
        </w:rPr>
        <w:t>p</w:t>
      </w:r>
      <w:r w:rsidRPr="004D46AC">
        <w:t xml:space="preserve"> &lt; .001, </w:t>
      </w:r>
      <w:proofErr w:type="spellStart"/>
      <w:r w:rsidRPr="004D46AC">
        <w:rPr>
          <w:i/>
          <w:iCs/>
        </w:rPr>
        <w:t>r</w:t>
      </w:r>
      <w:proofErr w:type="spellEnd"/>
      <w:r w:rsidRPr="004D46AC">
        <w:rPr>
          <w:rFonts w:hint="eastAsia"/>
          <w:i/>
          <w:iCs/>
        </w:rPr>
        <w:t xml:space="preserve"> </w:t>
      </w:r>
      <w:r w:rsidRPr="004D46AC">
        <w:t>range = .11</w:t>
      </w:r>
      <w:r w:rsidRPr="004D46AC">
        <w:rPr>
          <w:rFonts w:hint="eastAsia"/>
        </w:rPr>
        <w:t>-</w:t>
      </w:r>
      <w:r w:rsidRPr="004D46AC">
        <w:t>.21). Similarly, younger adults (aged 18</w:t>
      </w:r>
      <w:r w:rsidRPr="004D46AC">
        <w:rPr>
          <w:rFonts w:hint="eastAsia"/>
        </w:rPr>
        <w:t>-</w:t>
      </w:r>
      <w:r w:rsidRPr="004D46AC">
        <w:t>24) reported lower distress for hypomania than participants aged 25</w:t>
      </w:r>
      <w:r w:rsidRPr="004D46AC">
        <w:rPr>
          <w:rFonts w:hint="eastAsia"/>
        </w:rPr>
        <w:t>-</w:t>
      </w:r>
      <w:r w:rsidRPr="004D46AC">
        <w:t>29 (</w:t>
      </w:r>
      <w:r w:rsidRPr="004D46AC">
        <w:rPr>
          <w:i/>
          <w:iCs/>
        </w:rPr>
        <w:t>p</w:t>
      </w:r>
      <w:r w:rsidRPr="004D46AC">
        <w:t xml:space="preserve"> &lt; .001, </w:t>
      </w:r>
      <w:r w:rsidRPr="004D46AC">
        <w:rPr>
          <w:i/>
          <w:iCs/>
        </w:rPr>
        <w:t>r</w:t>
      </w:r>
      <w:r w:rsidRPr="004D46AC">
        <w:t xml:space="preserve"> = .10) and those aged 30-36 (</w:t>
      </w:r>
      <w:r w:rsidRPr="004D46AC">
        <w:rPr>
          <w:i/>
          <w:iCs/>
        </w:rPr>
        <w:t>p</w:t>
      </w:r>
      <w:r w:rsidRPr="004D46AC">
        <w:t xml:space="preserve"> &lt; .05, </w:t>
      </w:r>
      <w:r w:rsidRPr="004D46AC">
        <w:rPr>
          <w:i/>
          <w:iCs/>
        </w:rPr>
        <w:t>r</w:t>
      </w:r>
      <w:r w:rsidRPr="004D46AC">
        <w:t xml:space="preserve"> = .07). see Table </w:t>
      </w:r>
      <w:r w:rsidRPr="004D46AC">
        <w:rPr>
          <w:rFonts w:hint="eastAsia"/>
        </w:rPr>
        <w:t>5.5</w:t>
      </w:r>
      <w:r w:rsidRPr="004D46AC">
        <w:t xml:space="preserve"> for details.  </w:t>
      </w:r>
    </w:p>
    <w:p w14:paraId="50E02459" w14:textId="77777777" w:rsidR="007075D9" w:rsidRPr="004D46AC" w:rsidRDefault="007075D9" w:rsidP="004725A0">
      <w:pPr>
        <w:ind w:firstLine="660"/>
      </w:pPr>
    </w:p>
    <w:p w14:paraId="34C0D20F" w14:textId="77777777" w:rsidR="004725A0" w:rsidRPr="004D46AC" w:rsidRDefault="00581ACE" w:rsidP="004725A0">
      <w:pPr>
        <w:pStyle w:val="afff0"/>
        <w:keepNext/>
        <w:spacing w:after="0" w:line="360" w:lineRule="auto"/>
        <w:ind w:firstLine="0"/>
        <w:rPr>
          <w:rFonts w:eastAsiaTheme="minorEastAsia"/>
          <w:b/>
          <w:bCs/>
          <w:i w:val="0"/>
          <w:iCs w:val="0"/>
          <w:color w:val="auto"/>
          <w:sz w:val="22"/>
          <w:szCs w:val="22"/>
        </w:rPr>
      </w:pPr>
      <w:bookmarkStart w:id="268" w:name="_Toc219883868"/>
      <w:bookmarkStart w:id="269" w:name="_Toc219870620"/>
      <w:r w:rsidRPr="004D46AC">
        <w:rPr>
          <w:b/>
          <w:bCs/>
          <w:i w:val="0"/>
          <w:iCs w:val="0"/>
          <w:color w:val="auto"/>
          <w:sz w:val="22"/>
          <w:szCs w:val="22"/>
        </w:rPr>
        <w:lastRenderedPageBreak/>
        <w:t xml:space="preserve">Table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Table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bookmarkEnd w:id="268"/>
      <w:r w:rsidR="004725A0" w:rsidRPr="004D46AC">
        <w:rPr>
          <w:b/>
          <w:bCs/>
          <w:i w:val="0"/>
          <w:iCs w:val="0"/>
          <w:color w:val="auto"/>
          <w:sz w:val="22"/>
          <w:szCs w:val="22"/>
        </w:rPr>
        <w:fldChar w:fldCharType="end"/>
      </w:r>
      <w:bookmarkEnd w:id="269"/>
    </w:p>
    <w:p w14:paraId="2EF92A21" w14:textId="209950E3" w:rsidR="007075D9" w:rsidRPr="004D46AC" w:rsidRDefault="007075D9" w:rsidP="004725A0">
      <w:pPr>
        <w:pStyle w:val="afff0"/>
        <w:keepNext/>
        <w:spacing w:after="0" w:line="360" w:lineRule="auto"/>
        <w:ind w:firstLine="0"/>
        <w:rPr>
          <w:b/>
          <w:bCs/>
          <w:i w:val="0"/>
          <w:iCs w:val="0"/>
          <w:color w:val="auto"/>
          <w:sz w:val="28"/>
          <w:szCs w:val="28"/>
        </w:rPr>
      </w:pPr>
      <w:r w:rsidRPr="004D46AC">
        <w:rPr>
          <w:color w:val="auto"/>
          <w:sz w:val="22"/>
          <w:szCs w:val="24"/>
        </w:rPr>
        <w:t xml:space="preserve">Descriptive statistics of the </w:t>
      </w:r>
      <w:r w:rsidRPr="004D46AC">
        <w:rPr>
          <w:rFonts w:hint="eastAsia"/>
          <w:color w:val="auto"/>
          <w:sz w:val="22"/>
          <w:szCs w:val="24"/>
        </w:rPr>
        <w:t>interested variables among subgroups</w:t>
      </w:r>
    </w:p>
    <w:tbl>
      <w:tblPr>
        <w:tblStyle w:val="afc"/>
        <w:tblW w:w="8820" w:type="dxa"/>
        <w:tblLook w:val="04A0" w:firstRow="1" w:lastRow="0" w:firstColumn="1" w:lastColumn="0" w:noHBand="0" w:noVBand="1"/>
      </w:tblPr>
      <w:tblGrid>
        <w:gridCol w:w="1526"/>
        <w:gridCol w:w="1060"/>
        <w:gridCol w:w="962"/>
        <w:gridCol w:w="1267"/>
        <w:gridCol w:w="1274"/>
        <w:gridCol w:w="1267"/>
        <w:gridCol w:w="1464"/>
      </w:tblGrid>
      <w:tr w:rsidR="007075D9" w:rsidRPr="004D46AC" w14:paraId="6A2659F2" w14:textId="77777777" w:rsidTr="00B518F1">
        <w:trPr>
          <w:trHeight w:val="245"/>
        </w:trPr>
        <w:tc>
          <w:tcPr>
            <w:tcW w:w="1488" w:type="dxa"/>
          </w:tcPr>
          <w:p w14:paraId="27D204EA" w14:textId="77777777" w:rsidR="007075D9" w:rsidRPr="004D46AC" w:rsidRDefault="007075D9" w:rsidP="0090577F">
            <w:pPr>
              <w:spacing w:line="360" w:lineRule="auto"/>
              <w:ind w:firstLine="0"/>
              <w:rPr>
                <w:i/>
                <w:iCs/>
                <w:szCs w:val="21"/>
              </w:rPr>
            </w:pPr>
            <w:r w:rsidRPr="004D46AC">
              <w:rPr>
                <w:szCs w:val="21"/>
              </w:rPr>
              <w:t>Variables</w:t>
            </w:r>
          </w:p>
        </w:tc>
        <w:tc>
          <w:tcPr>
            <w:tcW w:w="1057" w:type="dxa"/>
          </w:tcPr>
          <w:p w14:paraId="3F133F14" w14:textId="77777777" w:rsidR="007075D9" w:rsidRPr="004D46AC" w:rsidRDefault="007075D9" w:rsidP="0090577F">
            <w:pPr>
              <w:spacing w:line="360" w:lineRule="auto"/>
              <w:ind w:firstLine="0"/>
              <w:rPr>
                <w:szCs w:val="21"/>
              </w:rPr>
            </w:pPr>
            <w:r w:rsidRPr="004D46AC">
              <w:rPr>
                <w:szCs w:val="21"/>
              </w:rPr>
              <w:t>F</w:t>
            </w:r>
            <w:r w:rsidRPr="004D46AC">
              <w:rPr>
                <w:rFonts w:hint="eastAsia"/>
                <w:szCs w:val="21"/>
              </w:rPr>
              <w:t>emales</w:t>
            </w:r>
          </w:p>
        </w:tc>
        <w:tc>
          <w:tcPr>
            <w:tcW w:w="965" w:type="dxa"/>
          </w:tcPr>
          <w:p w14:paraId="6067B356" w14:textId="77777777" w:rsidR="007075D9" w:rsidRPr="004D46AC" w:rsidRDefault="007075D9" w:rsidP="0090577F">
            <w:pPr>
              <w:spacing w:line="360" w:lineRule="auto"/>
              <w:ind w:firstLine="0"/>
              <w:rPr>
                <w:szCs w:val="21"/>
              </w:rPr>
            </w:pPr>
            <w:r w:rsidRPr="004D46AC">
              <w:rPr>
                <w:szCs w:val="21"/>
              </w:rPr>
              <w:t>M</w:t>
            </w:r>
            <w:r w:rsidRPr="004D46AC">
              <w:rPr>
                <w:rFonts w:hint="eastAsia"/>
                <w:szCs w:val="21"/>
              </w:rPr>
              <w:t>ales</w:t>
            </w:r>
          </w:p>
        </w:tc>
        <w:tc>
          <w:tcPr>
            <w:tcW w:w="1276" w:type="dxa"/>
          </w:tcPr>
          <w:p w14:paraId="0557D89E" w14:textId="77777777" w:rsidR="007075D9" w:rsidRPr="004D46AC" w:rsidRDefault="007075D9" w:rsidP="0090577F">
            <w:pPr>
              <w:spacing w:line="360" w:lineRule="auto"/>
              <w:ind w:firstLine="0"/>
              <w:rPr>
                <w:szCs w:val="21"/>
              </w:rPr>
            </w:pPr>
            <w:r w:rsidRPr="004D46AC">
              <w:rPr>
                <w:szCs w:val="21"/>
              </w:rPr>
              <w:t>A</w:t>
            </w:r>
            <w:r w:rsidRPr="004D46AC">
              <w:rPr>
                <w:rFonts w:hint="eastAsia"/>
                <w:szCs w:val="21"/>
              </w:rPr>
              <w:t>ge 14-17</w:t>
            </w:r>
          </w:p>
        </w:tc>
        <w:tc>
          <w:tcPr>
            <w:tcW w:w="1276" w:type="dxa"/>
          </w:tcPr>
          <w:p w14:paraId="161DC7DE" w14:textId="77777777" w:rsidR="007075D9" w:rsidRPr="004D46AC" w:rsidRDefault="007075D9" w:rsidP="0090577F">
            <w:pPr>
              <w:spacing w:line="360" w:lineRule="auto"/>
              <w:ind w:firstLine="0"/>
              <w:rPr>
                <w:szCs w:val="21"/>
              </w:rPr>
            </w:pPr>
            <w:r w:rsidRPr="004D46AC">
              <w:rPr>
                <w:szCs w:val="21"/>
              </w:rPr>
              <w:t>A</w:t>
            </w:r>
            <w:r w:rsidRPr="004D46AC">
              <w:rPr>
                <w:rFonts w:hint="eastAsia"/>
                <w:szCs w:val="21"/>
              </w:rPr>
              <w:t>ge 18-24</w:t>
            </w:r>
          </w:p>
        </w:tc>
        <w:tc>
          <w:tcPr>
            <w:tcW w:w="1276" w:type="dxa"/>
          </w:tcPr>
          <w:p w14:paraId="0F895868" w14:textId="77777777" w:rsidR="007075D9" w:rsidRPr="004D46AC" w:rsidRDefault="007075D9" w:rsidP="0090577F">
            <w:pPr>
              <w:spacing w:line="360" w:lineRule="auto"/>
              <w:ind w:firstLine="0"/>
              <w:rPr>
                <w:szCs w:val="21"/>
              </w:rPr>
            </w:pPr>
            <w:r w:rsidRPr="004D46AC">
              <w:rPr>
                <w:szCs w:val="21"/>
              </w:rPr>
              <w:t>A</w:t>
            </w:r>
            <w:r w:rsidRPr="004D46AC">
              <w:rPr>
                <w:rFonts w:hint="eastAsia"/>
                <w:szCs w:val="21"/>
              </w:rPr>
              <w:t>ge 25-29</w:t>
            </w:r>
          </w:p>
        </w:tc>
        <w:tc>
          <w:tcPr>
            <w:tcW w:w="1482" w:type="dxa"/>
          </w:tcPr>
          <w:p w14:paraId="23114F92" w14:textId="77777777" w:rsidR="007075D9" w:rsidRPr="004D46AC" w:rsidRDefault="007075D9" w:rsidP="0090577F">
            <w:pPr>
              <w:spacing w:line="360" w:lineRule="auto"/>
              <w:ind w:firstLine="0"/>
              <w:rPr>
                <w:szCs w:val="21"/>
              </w:rPr>
            </w:pPr>
            <w:r w:rsidRPr="004D46AC">
              <w:rPr>
                <w:szCs w:val="21"/>
              </w:rPr>
              <w:t>A</w:t>
            </w:r>
            <w:r w:rsidRPr="004D46AC">
              <w:rPr>
                <w:rFonts w:hint="eastAsia"/>
                <w:szCs w:val="21"/>
              </w:rPr>
              <w:t>ge 30-36</w:t>
            </w:r>
          </w:p>
        </w:tc>
      </w:tr>
      <w:tr w:rsidR="007075D9" w:rsidRPr="004D46AC" w14:paraId="3EA0D094" w14:textId="77777777" w:rsidTr="00B518F1">
        <w:trPr>
          <w:trHeight w:val="253"/>
        </w:trPr>
        <w:tc>
          <w:tcPr>
            <w:tcW w:w="1488" w:type="dxa"/>
          </w:tcPr>
          <w:p w14:paraId="5C5584CF" w14:textId="77777777" w:rsidR="007075D9" w:rsidRPr="004D46AC" w:rsidRDefault="007075D9" w:rsidP="0090577F">
            <w:pPr>
              <w:spacing w:line="360" w:lineRule="auto"/>
              <w:ind w:firstLine="0"/>
              <w:rPr>
                <w:szCs w:val="21"/>
              </w:rPr>
            </w:pPr>
            <w:r w:rsidRPr="004D46AC">
              <w:rPr>
                <w:rFonts w:hint="eastAsia"/>
                <w:szCs w:val="21"/>
              </w:rPr>
              <w:t>n</w:t>
            </w:r>
          </w:p>
        </w:tc>
        <w:tc>
          <w:tcPr>
            <w:tcW w:w="1057" w:type="dxa"/>
          </w:tcPr>
          <w:p w14:paraId="57D4E89E" w14:textId="77777777" w:rsidR="007075D9" w:rsidRPr="004D46AC" w:rsidRDefault="007075D9" w:rsidP="0090577F">
            <w:pPr>
              <w:spacing w:line="360" w:lineRule="auto"/>
              <w:ind w:firstLine="0"/>
              <w:rPr>
                <w:szCs w:val="21"/>
              </w:rPr>
            </w:pPr>
            <w:r w:rsidRPr="004D46AC">
              <w:rPr>
                <w:rFonts w:hint="eastAsia"/>
                <w:szCs w:val="21"/>
              </w:rPr>
              <w:t>1036</w:t>
            </w:r>
          </w:p>
        </w:tc>
        <w:tc>
          <w:tcPr>
            <w:tcW w:w="965" w:type="dxa"/>
          </w:tcPr>
          <w:p w14:paraId="1DECD310" w14:textId="77777777" w:rsidR="007075D9" w:rsidRPr="004D46AC" w:rsidRDefault="007075D9" w:rsidP="0090577F">
            <w:pPr>
              <w:spacing w:line="360" w:lineRule="auto"/>
              <w:ind w:firstLine="0"/>
              <w:rPr>
                <w:szCs w:val="21"/>
              </w:rPr>
            </w:pPr>
            <w:r w:rsidRPr="004D46AC">
              <w:rPr>
                <w:rFonts w:hint="eastAsia"/>
                <w:szCs w:val="21"/>
              </w:rPr>
              <w:t>988</w:t>
            </w:r>
          </w:p>
        </w:tc>
        <w:tc>
          <w:tcPr>
            <w:tcW w:w="1276" w:type="dxa"/>
          </w:tcPr>
          <w:p w14:paraId="2169C23D" w14:textId="77777777" w:rsidR="007075D9" w:rsidRPr="004D46AC" w:rsidRDefault="007075D9" w:rsidP="0090577F">
            <w:pPr>
              <w:spacing w:line="360" w:lineRule="auto"/>
              <w:ind w:firstLine="0"/>
              <w:rPr>
                <w:szCs w:val="21"/>
              </w:rPr>
            </w:pPr>
            <w:r w:rsidRPr="004D46AC">
              <w:rPr>
                <w:rFonts w:hint="eastAsia"/>
                <w:szCs w:val="21"/>
              </w:rPr>
              <w:t>353</w:t>
            </w:r>
          </w:p>
        </w:tc>
        <w:tc>
          <w:tcPr>
            <w:tcW w:w="1276" w:type="dxa"/>
          </w:tcPr>
          <w:p w14:paraId="714D6531" w14:textId="77777777" w:rsidR="007075D9" w:rsidRPr="004D46AC" w:rsidRDefault="007075D9" w:rsidP="0090577F">
            <w:pPr>
              <w:spacing w:line="360" w:lineRule="auto"/>
              <w:ind w:firstLine="0"/>
              <w:rPr>
                <w:szCs w:val="21"/>
              </w:rPr>
            </w:pPr>
            <w:r w:rsidRPr="004D46AC">
              <w:rPr>
                <w:rFonts w:hint="eastAsia"/>
                <w:szCs w:val="21"/>
              </w:rPr>
              <w:t>570</w:t>
            </w:r>
          </w:p>
        </w:tc>
        <w:tc>
          <w:tcPr>
            <w:tcW w:w="1276" w:type="dxa"/>
          </w:tcPr>
          <w:p w14:paraId="412FEA22" w14:textId="77777777" w:rsidR="007075D9" w:rsidRPr="004D46AC" w:rsidRDefault="007075D9" w:rsidP="0090577F">
            <w:pPr>
              <w:spacing w:line="360" w:lineRule="auto"/>
              <w:ind w:firstLine="0"/>
              <w:rPr>
                <w:szCs w:val="21"/>
              </w:rPr>
            </w:pPr>
            <w:r w:rsidRPr="004D46AC">
              <w:rPr>
                <w:rFonts w:hint="eastAsia"/>
                <w:szCs w:val="21"/>
              </w:rPr>
              <w:t>485</w:t>
            </w:r>
          </w:p>
        </w:tc>
        <w:tc>
          <w:tcPr>
            <w:tcW w:w="1482" w:type="dxa"/>
          </w:tcPr>
          <w:p w14:paraId="6635F264" w14:textId="77777777" w:rsidR="007075D9" w:rsidRPr="004D46AC" w:rsidRDefault="007075D9" w:rsidP="0090577F">
            <w:pPr>
              <w:spacing w:line="360" w:lineRule="auto"/>
              <w:ind w:firstLine="0"/>
              <w:rPr>
                <w:szCs w:val="21"/>
              </w:rPr>
            </w:pPr>
            <w:r w:rsidRPr="004D46AC">
              <w:rPr>
                <w:rFonts w:hint="eastAsia"/>
                <w:szCs w:val="21"/>
              </w:rPr>
              <w:t>629</w:t>
            </w:r>
          </w:p>
        </w:tc>
      </w:tr>
      <w:tr w:rsidR="007075D9" w:rsidRPr="004D46AC" w14:paraId="4EB37D31" w14:textId="77777777" w:rsidTr="00B518F1">
        <w:trPr>
          <w:trHeight w:val="245"/>
        </w:trPr>
        <w:tc>
          <w:tcPr>
            <w:tcW w:w="1488" w:type="dxa"/>
          </w:tcPr>
          <w:p w14:paraId="3A6E86F9" w14:textId="77777777" w:rsidR="007075D9" w:rsidRPr="004D46AC" w:rsidRDefault="007075D9" w:rsidP="0090577F">
            <w:pPr>
              <w:spacing w:line="360" w:lineRule="auto"/>
              <w:ind w:firstLine="0"/>
              <w:rPr>
                <w:i/>
                <w:iCs/>
                <w:szCs w:val="21"/>
              </w:rPr>
            </w:pPr>
            <w:r w:rsidRPr="004D46AC">
              <w:rPr>
                <w:szCs w:val="21"/>
              </w:rPr>
              <w:t>Age</w:t>
            </w:r>
          </w:p>
        </w:tc>
        <w:tc>
          <w:tcPr>
            <w:tcW w:w="1057" w:type="dxa"/>
          </w:tcPr>
          <w:p w14:paraId="3D3CC3B1" w14:textId="77777777" w:rsidR="007075D9" w:rsidRPr="004D46AC" w:rsidRDefault="007075D9" w:rsidP="0090577F">
            <w:pPr>
              <w:spacing w:line="360" w:lineRule="auto"/>
              <w:ind w:firstLine="0"/>
              <w:rPr>
                <w:szCs w:val="21"/>
              </w:rPr>
            </w:pPr>
            <w:r w:rsidRPr="004D46AC">
              <w:rPr>
                <w:rFonts w:hint="eastAsia"/>
                <w:szCs w:val="21"/>
              </w:rPr>
              <w:t>24.9 (6.56)</w:t>
            </w:r>
          </w:p>
        </w:tc>
        <w:tc>
          <w:tcPr>
            <w:tcW w:w="965" w:type="dxa"/>
          </w:tcPr>
          <w:p w14:paraId="5F2C30D8" w14:textId="77777777" w:rsidR="007075D9" w:rsidRPr="004D46AC" w:rsidRDefault="007075D9" w:rsidP="0090577F">
            <w:pPr>
              <w:spacing w:line="360" w:lineRule="auto"/>
              <w:ind w:firstLine="0"/>
              <w:rPr>
                <w:szCs w:val="21"/>
              </w:rPr>
            </w:pPr>
            <w:r w:rsidRPr="004D46AC">
              <w:rPr>
                <w:rFonts w:hint="eastAsia"/>
                <w:szCs w:val="21"/>
              </w:rPr>
              <w:t>25.8 (6.24)</w:t>
            </w:r>
          </w:p>
        </w:tc>
        <w:tc>
          <w:tcPr>
            <w:tcW w:w="1276" w:type="dxa"/>
          </w:tcPr>
          <w:p w14:paraId="3D5ABC9D" w14:textId="77777777" w:rsidR="007075D9" w:rsidRPr="004D46AC" w:rsidRDefault="007075D9" w:rsidP="0090577F">
            <w:pPr>
              <w:spacing w:line="360" w:lineRule="auto"/>
              <w:ind w:firstLine="0"/>
              <w:rPr>
                <w:szCs w:val="21"/>
              </w:rPr>
            </w:pPr>
            <w:r w:rsidRPr="004D46AC">
              <w:rPr>
                <w:rFonts w:hint="eastAsia"/>
                <w:szCs w:val="21"/>
              </w:rPr>
              <w:t>16 (0.94)</w:t>
            </w:r>
          </w:p>
        </w:tc>
        <w:tc>
          <w:tcPr>
            <w:tcW w:w="1276" w:type="dxa"/>
          </w:tcPr>
          <w:p w14:paraId="5D02AD53" w14:textId="77777777" w:rsidR="007075D9" w:rsidRPr="004D46AC" w:rsidRDefault="007075D9" w:rsidP="0090577F">
            <w:pPr>
              <w:spacing w:line="360" w:lineRule="auto"/>
              <w:ind w:firstLine="0"/>
              <w:rPr>
                <w:szCs w:val="21"/>
              </w:rPr>
            </w:pPr>
            <w:r w:rsidRPr="004D46AC">
              <w:rPr>
                <w:rFonts w:hint="eastAsia"/>
                <w:szCs w:val="21"/>
              </w:rPr>
              <w:t>21.3(2.19)</w:t>
            </w:r>
          </w:p>
        </w:tc>
        <w:tc>
          <w:tcPr>
            <w:tcW w:w="1276" w:type="dxa"/>
          </w:tcPr>
          <w:p w14:paraId="4AC01E45" w14:textId="77777777" w:rsidR="007075D9" w:rsidRPr="004D46AC" w:rsidRDefault="007075D9" w:rsidP="0090577F">
            <w:pPr>
              <w:spacing w:line="360" w:lineRule="auto"/>
              <w:ind w:firstLine="0"/>
              <w:rPr>
                <w:szCs w:val="21"/>
              </w:rPr>
            </w:pPr>
            <w:r w:rsidRPr="004D46AC">
              <w:rPr>
                <w:rFonts w:hint="eastAsia"/>
                <w:szCs w:val="21"/>
              </w:rPr>
              <w:t>27 (1.40)</w:t>
            </w:r>
          </w:p>
        </w:tc>
        <w:tc>
          <w:tcPr>
            <w:tcW w:w="1482" w:type="dxa"/>
          </w:tcPr>
          <w:p w14:paraId="47562418" w14:textId="77777777" w:rsidR="007075D9" w:rsidRPr="004D46AC" w:rsidRDefault="007075D9" w:rsidP="0090577F">
            <w:pPr>
              <w:spacing w:line="360" w:lineRule="auto"/>
              <w:ind w:firstLine="0"/>
              <w:rPr>
                <w:szCs w:val="21"/>
              </w:rPr>
            </w:pPr>
            <w:r w:rsidRPr="004D46AC">
              <w:rPr>
                <w:rFonts w:hint="eastAsia"/>
                <w:szCs w:val="21"/>
              </w:rPr>
              <w:t>32.9 (1.95)</w:t>
            </w:r>
          </w:p>
        </w:tc>
      </w:tr>
      <w:tr w:rsidR="007075D9" w:rsidRPr="004D46AC" w14:paraId="0E5CE5D4" w14:textId="77777777" w:rsidTr="00B518F1">
        <w:trPr>
          <w:trHeight w:val="245"/>
        </w:trPr>
        <w:tc>
          <w:tcPr>
            <w:tcW w:w="1488" w:type="dxa"/>
          </w:tcPr>
          <w:p w14:paraId="56D69DC9" w14:textId="77777777" w:rsidR="007075D9" w:rsidRPr="004D46AC" w:rsidRDefault="007075D9" w:rsidP="0090577F">
            <w:pPr>
              <w:spacing w:line="360" w:lineRule="auto"/>
              <w:ind w:firstLine="0"/>
              <w:rPr>
                <w:i/>
                <w:iCs/>
                <w:szCs w:val="21"/>
              </w:rPr>
            </w:pPr>
            <w:r w:rsidRPr="004D46AC">
              <w:rPr>
                <w:szCs w:val="21"/>
              </w:rPr>
              <w:t>Females</w:t>
            </w:r>
          </w:p>
        </w:tc>
        <w:tc>
          <w:tcPr>
            <w:tcW w:w="1057" w:type="dxa"/>
          </w:tcPr>
          <w:p w14:paraId="027011D3" w14:textId="77777777" w:rsidR="007075D9" w:rsidRPr="004D46AC" w:rsidRDefault="007075D9" w:rsidP="0090577F">
            <w:pPr>
              <w:spacing w:line="360" w:lineRule="auto"/>
              <w:ind w:firstLine="0"/>
              <w:rPr>
                <w:szCs w:val="21"/>
              </w:rPr>
            </w:pPr>
            <w:r w:rsidRPr="004D46AC">
              <w:rPr>
                <w:rFonts w:hint="eastAsia"/>
                <w:szCs w:val="21"/>
              </w:rPr>
              <w:t>100%</w:t>
            </w:r>
          </w:p>
        </w:tc>
        <w:tc>
          <w:tcPr>
            <w:tcW w:w="965" w:type="dxa"/>
          </w:tcPr>
          <w:p w14:paraId="20686B0D" w14:textId="77777777" w:rsidR="007075D9" w:rsidRPr="004D46AC" w:rsidRDefault="007075D9" w:rsidP="0090577F">
            <w:pPr>
              <w:spacing w:line="360" w:lineRule="auto"/>
              <w:ind w:firstLine="0"/>
              <w:rPr>
                <w:szCs w:val="21"/>
              </w:rPr>
            </w:pPr>
            <w:r w:rsidRPr="004D46AC">
              <w:rPr>
                <w:rFonts w:hint="eastAsia"/>
                <w:szCs w:val="21"/>
              </w:rPr>
              <w:t>0%</w:t>
            </w:r>
          </w:p>
        </w:tc>
        <w:tc>
          <w:tcPr>
            <w:tcW w:w="1276" w:type="dxa"/>
          </w:tcPr>
          <w:p w14:paraId="60DF8952" w14:textId="77777777" w:rsidR="007075D9" w:rsidRPr="004D46AC" w:rsidRDefault="007075D9" w:rsidP="0090577F">
            <w:pPr>
              <w:spacing w:line="360" w:lineRule="auto"/>
              <w:ind w:firstLine="0"/>
              <w:rPr>
                <w:szCs w:val="21"/>
              </w:rPr>
            </w:pPr>
            <w:r w:rsidRPr="004D46AC">
              <w:rPr>
                <w:rFonts w:hint="eastAsia"/>
                <w:szCs w:val="21"/>
              </w:rPr>
              <w:t>64.66%</w:t>
            </w:r>
          </w:p>
        </w:tc>
        <w:tc>
          <w:tcPr>
            <w:tcW w:w="1276" w:type="dxa"/>
          </w:tcPr>
          <w:p w14:paraId="7AA3F716" w14:textId="77777777" w:rsidR="007075D9" w:rsidRPr="004D46AC" w:rsidRDefault="007075D9" w:rsidP="0090577F">
            <w:pPr>
              <w:spacing w:line="360" w:lineRule="auto"/>
              <w:ind w:firstLine="0"/>
              <w:rPr>
                <w:szCs w:val="21"/>
              </w:rPr>
            </w:pPr>
            <w:r w:rsidRPr="004D46AC">
              <w:rPr>
                <w:rFonts w:hint="eastAsia"/>
                <w:szCs w:val="21"/>
              </w:rPr>
              <w:t>54.24%</w:t>
            </w:r>
          </w:p>
        </w:tc>
        <w:tc>
          <w:tcPr>
            <w:tcW w:w="1276" w:type="dxa"/>
          </w:tcPr>
          <w:p w14:paraId="7F4B0132" w14:textId="77777777" w:rsidR="007075D9" w:rsidRPr="004D46AC" w:rsidRDefault="007075D9" w:rsidP="0090577F">
            <w:pPr>
              <w:spacing w:line="360" w:lineRule="auto"/>
              <w:ind w:firstLine="0"/>
              <w:rPr>
                <w:szCs w:val="21"/>
              </w:rPr>
            </w:pPr>
            <w:r w:rsidRPr="004D46AC">
              <w:rPr>
                <w:rFonts w:hint="eastAsia"/>
                <w:szCs w:val="21"/>
              </w:rPr>
              <w:t>50.21%</w:t>
            </w:r>
          </w:p>
        </w:tc>
        <w:tc>
          <w:tcPr>
            <w:tcW w:w="1482" w:type="dxa"/>
          </w:tcPr>
          <w:p w14:paraId="7B79E541" w14:textId="77777777" w:rsidR="007075D9" w:rsidRPr="004D46AC" w:rsidRDefault="007075D9" w:rsidP="0090577F">
            <w:pPr>
              <w:spacing w:line="360" w:lineRule="auto"/>
              <w:ind w:firstLine="0"/>
              <w:rPr>
                <w:szCs w:val="21"/>
              </w:rPr>
            </w:pPr>
            <w:r w:rsidRPr="004D46AC">
              <w:rPr>
                <w:rFonts w:hint="eastAsia"/>
                <w:szCs w:val="21"/>
              </w:rPr>
              <w:t>50.64</w:t>
            </w:r>
          </w:p>
        </w:tc>
      </w:tr>
      <w:tr w:rsidR="007075D9" w:rsidRPr="004D46AC" w14:paraId="16E20F44" w14:textId="77777777" w:rsidTr="00B518F1">
        <w:trPr>
          <w:trHeight w:val="492"/>
        </w:trPr>
        <w:tc>
          <w:tcPr>
            <w:tcW w:w="1488" w:type="dxa"/>
          </w:tcPr>
          <w:p w14:paraId="1CE9A932" w14:textId="77777777" w:rsidR="007075D9" w:rsidRPr="004D46AC" w:rsidRDefault="007075D9" w:rsidP="0090577F">
            <w:pPr>
              <w:spacing w:line="360" w:lineRule="auto"/>
              <w:ind w:firstLine="0"/>
              <w:rPr>
                <w:i/>
                <w:iCs/>
                <w:szCs w:val="21"/>
              </w:rPr>
            </w:pPr>
            <w:r w:rsidRPr="004D46AC">
              <w:rPr>
                <w:szCs w:val="21"/>
              </w:rPr>
              <w:t>White British</w:t>
            </w:r>
          </w:p>
        </w:tc>
        <w:tc>
          <w:tcPr>
            <w:tcW w:w="1057" w:type="dxa"/>
          </w:tcPr>
          <w:p w14:paraId="4B0C98F6" w14:textId="77777777" w:rsidR="007075D9" w:rsidRPr="004D46AC" w:rsidRDefault="007075D9" w:rsidP="0090577F">
            <w:pPr>
              <w:spacing w:line="360" w:lineRule="auto"/>
              <w:ind w:firstLine="0"/>
              <w:rPr>
                <w:szCs w:val="21"/>
              </w:rPr>
            </w:pPr>
            <w:r w:rsidRPr="004D46AC">
              <w:rPr>
                <w:rFonts w:hint="eastAsia"/>
                <w:szCs w:val="21"/>
              </w:rPr>
              <w:t>60.3%</w:t>
            </w:r>
          </w:p>
        </w:tc>
        <w:tc>
          <w:tcPr>
            <w:tcW w:w="965" w:type="dxa"/>
          </w:tcPr>
          <w:p w14:paraId="3D54FF3E" w14:textId="77777777" w:rsidR="007075D9" w:rsidRPr="004D46AC" w:rsidRDefault="007075D9" w:rsidP="0090577F">
            <w:pPr>
              <w:spacing w:line="360" w:lineRule="auto"/>
              <w:ind w:firstLine="0"/>
              <w:rPr>
                <w:szCs w:val="21"/>
              </w:rPr>
            </w:pPr>
            <w:r w:rsidRPr="004D46AC">
              <w:rPr>
                <w:rFonts w:hint="eastAsia"/>
                <w:szCs w:val="21"/>
              </w:rPr>
              <w:t>62%</w:t>
            </w:r>
          </w:p>
        </w:tc>
        <w:tc>
          <w:tcPr>
            <w:tcW w:w="1276" w:type="dxa"/>
          </w:tcPr>
          <w:p w14:paraId="00D0BA41" w14:textId="77777777" w:rsidR="007075D9" w:rsidRPr="004D46AC" w:rsidRDefault="007075D9" w:rsidP="0090577F">
            <w:pPr>
              <w:spacing w:line="360" w:lineRule="auto"/>
              <w:ind w:firstLine="0"/>
              <w:rPr>
                <w:szCs w:val="21"/>
              </w:rPr>
            </w:pPr>
            <w:r w:rsidRPr="004D46AC">
              <w:rPr>
                <w:rFonts w:hint="eastAsia"/>
                <w:szCs w:val="21"/>
              </w:rPr>
              <w:t>50.7%</w:t>
            </w:r>
          </w:p>
        </w:tc>
        <w:tc>
          <w:tcPr>
            <w:tcW w:w="1276" w:type="dxa"/>
          </w:tcPr>
          <w:p w14:paraId="62860316" w14:textId="77777777" w:rsidR="007075D9" w:rsidRPr="004D46AC" w:rsidRDefault="007075D9" w:rsidP="0090577F">
            <w:pPr>
              <w:spacing w:line="360" w:lineRule="auto"/>
              <w:ind w:firstLine="0"/>
              <w:rPr>
                <w:szCs w:val="21"/>
              </w:rPr>
            </w:pPr>
            <w:r w:rsidRPr="004D46AC">
              <w:rPr>
                <w:rFonts w:hint="eastAsia"/>
                <w:szCs w:val="21"/>
              </w:rPr>
              <w:t>60.9%</w:t>
            </w:r>
          </w:p>
        </w:tc>
        <w:tc>
          <w:tcPr>
            <w:tcW w:w="1276" w:type="dxa"/>
          </w:tcPr>
          <w:p w14:paraId="4A315B07" w14:textId="77777777" w:rsidR="007075D9" w:rsidRPr="004D46AC" w:rsidRDefault="007075D9" w:rsidP="0090577F">
            <w:pPr>
              <w:spacing w:line="360" w:lineRule="auto"/>
              <w:ind w:firstLine="0"/>
              <w:rPr>
                <w:szCs w:val="21"/>
              </w:rPr>
            </w:pPr>
            <w:r w:rsidRPr="004D46AC">
              <w:rPr>
                <w:rFonts w:hint="eastAsia"/>
                <w:szCs w:val="21"/>
              </w:rPr>
              <w:t>60.2%</w:t>
            </w:r>
          </w:p>
        </w:tc>
        <w:tc>
          <w:tcPr>
            <w:tcW w:w="1482" w:type="dxa"/>
          </w:tcPr>
          <w:p w14:paraId="627E0065" w14:textId="77777777" w:rsidR="007075D9" w:rsidRPr="004D46AC" w:rsidRDefault="007075D9" w:rsidP="0090577F">
            <w:pPr>
              <w:spacing w:line="360" w:lineRule="auto"/>
              <w:ind w:firstLine="0"/>
              <w:rPr>
                <w:szCs w:val="21"/>
              </w:rPr>
            </w:pPr>
            <w:r w:rsidRPr="004D46AC">
              <w:rPr>
                <w:rFonts w:hint="eastAsia"/>
                <w:szCs w:val="21"/>
              </w:rPr>
              <w:t>67.9%</w:t>
            </w:r>
          </w:p>
        </w:tc>
      </w:tr>
      <w:tr w:rsidR="007075D9" w:rsidRPr="004D46AC" w14:paraId="55A40251" w14:textId="77777777" w:rsidTr="00B518F1">
        <w:trPr>
          <w:trHeight w:val="1230"/>
        </w:trPr>
        <w:tc>
          <w:tcPr>
            <w:tcW w:w="1488" w:type="dxa"/>
          </w:tcPr>
          <w:p w14:paraId="79705EBE" w14:textId="77777777" w:rsidR="007075D9" w:rsidRPr="004D46AC" w:rsidRDefault="007075D9" w:rsidP="0090577F">
            <w:pPr>
              <w:spacing w:line="360" w:lineRule="auto"/>
              <w:ind w:firstLine="0"/>
              <w:rPr>
                <w:i/>
                <w:iCs/>
                <w:szCs w:val="21"/>
              </w:rPr>
            </w:pPr>
            <w:r w:rsidRPr="004D46AC">
              <w:rPr>
                <w:szCs w:val="21"/>
              </w:rPr>
              <w:t>Education level</w:t>
            </w:r>
            <w:r w:rsidRPr="004D46AC">
              <w:rPr>
                <w:rFonts w:hint="eastAsia"/>
                <w:szCs w:val="21"/>
              </w:rPr>
              <w:t xml:space="preserve"> (college level and above)</w:t>
            </w:r>
          </w:p>
        </w:tc>
        <w:tc>
          <w:tcPr>
            <w:tcW w:w="1057" w:type="dxa"/>
          </w:tcPr>
          <w:p w14:paraId="66EFA452" w14:textId="77777777" w:rsidR="007075D9" w:rsidRPr="004D46AC" w:rsidRDefault="007075D9" w:rsidP="0090577F">
            <w:pPr>
              <w:spacing w:line="360" w:lineRule="auto"/>
              <w:ind w:firstLine="0"/>
              <w:rPr>
                <w:szCs w:val="21"/>
              </w:rPr>
            </w:pPr>
            <w:r w:rsidRPr="004D46AC">
              <w:rPr>
                <w:rFonts w:hint="eastAsia"/>
                <w:szCs w:val="21"/>
              </w:rPr>
              <w:t>41.3%</w:t>
            </w:r>
          </w:p>
        </w:tc>
        <w:tc>
          <w:tcPr>
            <w:tcW w:w="965" w:type="dxa"/>
          </w:tcPr>
          <w:p w14:paraId="127FBD07" w14:textId="77777777" w:rsidR="007075D9" w:rsidRPr="004D46AC" w:rsidRDefault="007075D9" w:rsidP="0090577F">
            <w:pPr>
              <w:spacing w:line="360" w:lineRule="auto"/>
              <w:ind w:firstLine="0"/>
              <w:rPr>
                <w:szCs w:val="21"/>
              </w:rPr>
            </w:pPr>
            <w:r w:rsidRPr="004D46AC">
              <w:rPr>
                <w:rFonts w:hint="eastAsia"/>
                <w:szCs w:val="21"/>
              </w:rPr>
              <w:t>51.7%</w:t>
            </w:r>
          </w:p>
        </w:tc>
        <w:tc>
          <w:tcPr>
            <w:tcW w:w="1276" w:type="dxa"/>
          </w:tcPr>
          <w:p w14:paraId="498363D9" w14:textId="77777777" w:rsidR="007075D9" w:rsidRPr="004D46AC" w:rsidRDefault="007075D9" w:rsidP="0090577F">
            <w:pPr>
              <w:spacing w:line="360" w:lineRule="auto"/>
              <w:ind w:firstLine="0"/>
              <w:rPr>
                <w:szCs w:val="21"/>
              </w:rPr>
            </w:pPr>
            <w:r w:rsidRPr="004D46AC">
              <w:rPr>
                <w:rFonts w:hint="eastAsia"/>
                <w:szCs w:val="21"/>
              </w:rPr>
              <w:t>0%</w:t>
            </w:r>
          </w:p>
        </w:tc>
        <w:tc>
          <w:tcPr>
            <w:tcW w:w="1276" w:type="dxa"/>
          </w:tcPr>
          <w:p w14:paraId="509A5F69" w14:textId="77777777" w:rsidR="007075D9" w:rsidRPr="004D46AC" w:rsidRDefault="007075D9" w:rsidP="0090577F">
            <w:pPr>
              <w:spacing w:line="360" w:lineRule="auto"/>
              <w:ind w:firstLine="0"/>
              <w:rPr>
                <w:szCs w:val="21"/>
              </w:rPr>
            </w:pPr>
            <w:r w:rsidRPr="004D46AC">
              <w:rPr>
                <w:rFonts w:hint="eastAsia"/>
                <w:szCs w:val="21"/>
              </w:rPr>
              <w:t>34.2%</w:t>
            </w:r>
          </w:p>
        </w:tc>
        <w:tc>
          <w:tcPr>
            <w:tcW w:w="1276" w:type="dxa"/>
          </w:tcPr>
          <w:p w14:paraId="4D4B2858" w14:textId="77777777" w:rsidR="007075D9" w:rsidRPr="004D46AC" w:rsidRDefault="007075D9" w:rsidP="0090577F">
            <w:pPr>
              <w:spacing w:line="360" w:lineRule="auto"/>
              <w:ind w:firstLine="0"/>
              <w:rPr>
                <w:szCs w:val="21"/>
              </w:rPr>
            </w:pPr>
            <w:r w:rsidRPr="004D46AC">
              <w:rPr>
                <w:rFonts w:hint="eastAsia"/>
                <w:szCs w:val="21"/>
              </w:rPr>
              <w:t>64.9%</w:t>
            </w:r>
          </w:p>
        </w:tc>
        <w:tc>
          <w:tcPr>
            <w:tcW w:w="1482" w:type="dxa"/>
          </w:tcPr>
          <w:p w14:paraId="575792B5" w14:textId="77777777" w:rsidR="007075D9" w:rsidRPr="004D46AC" w:rsidRDefault="007075D9" w:rsidP="0090577F">
            <w:pPr>
              <w:spacing w:line="360" w:lineRule="auto"/>
              <w:ind w:firstLine="0"/>
              <w:rPr>
                <w:szCs w:val="21"/>
              </w:rPr>
            </w:pPr>
            <w:r w:rsidRPr="004D46AC">
              <w:rPr>
                <w:rFonts w:hint="eastAsia"/>
                <w:szCs w:val="21"/>
              </w:rPr>
              <w:t>68.7%</w:t>
            </w:r>
          </w:p>
        </w:tc>
      </w:tr>
      <w:tr w:rsidR="007075D9" w:rsidRPr="004D46AC" w14:paraId="3D86DBD3" w14:textId="77777777" w:rsidTr="00B518F1">
        <w:trPr>
          <w:trHeight w:val="984"/>
        </w:trPr>
        <w:tc>
          <w:tcPr>
            <w:tcW w:w="1488" w:type="dxa"/>
          </w:tcPr>
          <w:p w14:paraId="0FF9D218" w14:textId="77777777" w:rsidR="007075D9" w:rsidRPr="004D46AC" w:rsidRDefault="007075D9" w:rsidP="0090577F">
            <w:pPr>
              <w:spacing w:line="360" w:lineRule="auto"/>
              <w:ind w:firstLine="0"/>
              <w:rPr>
                <w:i/>
                <w:iCs/>
                <w:szCs w:val="21"/>
              </w:rPr>
            </w:pPr>
            <w:r w:rsidRPr="004D46AC">
              <w:rPr>
                <w:szCs w:val="21"/>
              </w:rPr>
              <w:t>Family history of mental illness</w:t>
            </w:r>
            <w:r w:rsidRPr="004D46AC">
              <w:rPr>
                <w:rFonts w:hint="eastAsia"/>
                <w:szCs w:val="21"/>
              </w:rPr>
              <w:t xml:space="preserve"> (Yes)</w:t>
            </w:r>
          </w:p>
        </w:tc>
        <w:tc>
          <w:tcPr>
            <w:tcW w:w="1057" w:type="dxa"/>
          </w:tcPr>
          <w:p w14:paraId="7DFD8F13" w14:textId="77777777" w:rsidR="007075D9" w:rsidRPr="004D46AC" w:rsidRDefault="007075D9" w:rsidP="0090577F">
            <w:pPr>
              <w:spacing w:line="360" w:lineRule="auto"/>
              <w:ind w:firstLine="0"/>
              <w:rPr>
                <w:szCs w:val="21"/>
              </w:rPr>
            </w:pPr>
            <w:r w:rsidRPr="004D46AC">
              <w:rPr>
                <w:rFonts w:hint="eastAsia"/>
                <w:szCs w:val="21"/>
              </w:rPr>
              <w:t>37.4%</w:t>
            </w:r>
          </w:p>
        </w:tc>
        <w:tc>
          <w:tcPr>
            <w:tcW w:w="965" w:type="dxa"/>
          </w:tcPr>
          <w:p w14:paraId="0366BA20" w14:textId="77777777" w:rsidR="007075D9" w:rsidRPr="004D46AC" w:rsidRDefault="007075D9" w:rsidP="0090577F">
            <w:pPr>
              <w:spacing w:line="360" w:lineRule="auto"/>
              <w:ind w:firstLine="0"/>
              <w:rPr>
                <w:szCs w:val="21"/>
              </w:rPr>
            </w:pPr>
            <w:r w:rsidRPr="004D46AC">
              <w:rPr>
                <w:rFonts w:hint="eastAsia"/>
                <w:szCs w:val="21"/>
              </w:rPr>
              <w:t>35.2%</w:t>
            </w:r>
          </w:p>
        </w:tc>
        <w:tc>
          <w:tcPr>
            <w:tcW w:w="1276" w:type="dxa"/>
          </w:tcPr>
          <w:p w14:paraId="16FF1899" w14:textId="77777777" w:rsidR="007075D9" w:rsidRPr="004D46AC" w:rsidRDefault="007075D9" w:rsidP="0090577F">
            <w:pPr>
              <w:spacing w:line="360" w:lineRule="auto"/>
              <w:ind w:firstLine="0"/>
              <w:rPr>
                <w:szCs w:val="21"/>
              </w:rPr>
            </w:pPr>
            <w:r w:rsidRPr="004D46AC">
              <w:rPr>
                <w:rFonts w:hint="eastAsia"/>
                <w:szCs w:val="21"/>
              </w:rPr>
              <w:t>26.6%</w:t>
            </w:r>
          </w:p>
        </w:tc>
        <w:tc>
          <w:tcPr>
            <w:tcW w:w="1276" w:type="dxa"/>
          </w:tcPr>
          <w:p w14:paraId="535F572F" w14:textId="77777777" w:rsidR="007075D9" w:rsidRPr="004D46AC" w:rsidRDefault="007075D9" w:rsidP="0090577F">
            <w:pPr>
              <w:spacing w:line="360" w:lineRule="auto"/>
              <w:ind w:firstLine="0"/>
              <w:rPr>
                <w:szCs w:val="21"/>
              </w:rPr>
            </w:pPr>
            <w:r w:rsidRPr="004D46AC">
              <w:rPr>
                <w:rFonts w:hint="eastAsia"/>
                <w:szCs w:val="21"/>
              </w:rPr>
              <w:t>36.5%</w:t>
            </w:r>
          </w:p>
        </w:tc>
        <w:tc>
          <w:tcPr>
            <w:tcW w:w="1276" w:type="dxa"/>
          </w:tcPr>
          <w:p w14:paraId="0BA0895C" w14:textId="77777777" w:rsidR="007075D9" w:rsidRPr="004D46AC" w:rsidRDefault="007075D9" w:rsidP="0090577F">
            <w:pPr>
              <w:spacing w:line="360" w:lineRule="auto"/>
              <w:ind w:firstLine="0"/>
              <w:rPr>
                <w:szCs w:val="21"/>
              </w:rPr>
            </w:pPr>
            <w:r w:rsidRPr="004D46AC">
              <w:rPr>
                <w:rFonts w:hint="eastAsia"/>
                <w:szCs w:val="21"/>
              </w:rPr>
              <w:t>42.5%</w:t>
            </w:r>
          </w:p>
        </w:tc>
        <w:tc>
          <w:tcPr>
            <w:tcW w:w="1482" w:type="dxa"/>
          </w:tcPr>
          <w:p w14:paraId="28C23563" w14:textId="77777777" w:rsidR="007075D9" w:rsidRPr="004D46AC" w:rsidRDefault="007075D9" w:rsidP="0090577F">
            <w:pPr>
              <w:spacing w:line="360" w:lineRule="auto"/>
              <w:ind w:firstLine="0"/>
              <w:rPr>
                <w:szCs w:val="21"/>
              </w:rPr>
            </w:pPr>
            <w:r w:rsidRPr="004D46AC">
              <w:rPr>
                <w:rFonts w:hint="eastAsia"/>
                <w:szCs w:val="21"/>
              </w:rPr>
              <w:t>36.7%</w:t>
            </w:r>
          </w:p>
        </w:tc>
      </w:tr>
      <w:tr w:rsidR="007075D9" w:rsidRPr="004D46AC" w14:paraId="477EF191" w14:textId="77777777" w:rsidTr="00B518F1">
        <w:trPr>
          <w:trHeight w:val="245"/>
        </w:trPr>
        <w:tc>
          <w:tcPr>
            <w:tcW w:w="1488" w:type="dxa"/>
          </w:tcPr>
          <w:p w14:paraId="79AC04B7" w14:textId="77777777" w:rsidR="007075D9" w:rsidRPr="004D46AC" w:rsidRDefault="007075D9" w:rsidP="0090577F">
            <w:pPr>
              <w:spacing w:line="360" w:lineRule="auto"/>
              <w:ind w:firstLine="0"/>
              <w:rPr>
                <w:i/>
                <w:iCs/>
                <w:szCs w:val="21"/>
              </w:rPr>
            </w:pPr>
            <w:r w:rsidRPr="004D46AC">
              <w:rPr>
                <w:szCs w:val="21"/>
              </w:rPr>
              <w:t xml:space="preserve">TRACE </w:t>
            </w:r>
            <w:r w:rsidRPr="004D46AC">
              <w:rPr>
                <w:rFonts w:hint="eastAsia"/>
                <w:szCs w:val="21"/>
              </w:rPr>
              <w:t>total</w:t>
            </w:r>
          </w:p>
        </w:tc>
        <w:tc>
          <w:tcPr>
            <w:tcW w:w="1057" w:type="dxa"/>
          </w:tcPr>
          <w:p w14:paraId="573DE33B" w14:textId="77777777" w:rsidR="007075D9" w:rsidRPr="004D46AC" w:rsidRDefault="007075D9" w:rsidP="0090577F">
            <w:pPr>
              <w:spacing w:line="360" w:lineRule="auto"/>
              <w:ind w:firstLine="0"/>
              <w:rPr>
                <w:szCs w:val="21"/>
              </w:rPr>
            </w:pPr>
            <w:r w:rsidRPr="004D46AC">
              <w:rPr>
                <w:rFonts w:hint="eastAsia"/>
                <w:szCs w:val="21"/>
              </w:rPr>
              <w:t>19.8 (13.9)</w:t>
            </w:r>
          </w:p>
        </w:tc>
        <w:tc>
          <w:tcPr>
            <w:tcW w:w="965" w:type="dxa"/>
          </w:tcPr>
          <w:p w14:paraId="7C4326EC" w14:textId="77777777" w:rsidR="007075D9" w:rsidRPr="004D46AC" w:rsidRDefault="007075D9" w:rsidP="0090577F">
            <w:pPr>
              <w:spacing w:line="360" w:lineRule="auto"/>
              <w:ind w:firstLine="0"/>
              <w:rPr>
                <w:szCs w:val="21"/>
              </w:rPr>
            </w:pPr>
            <w:r w:rsidRPr="004D46AC">
              <w:rPr>
                <w:rFonts w:hint="eastAsia"/>
                <w:szCs w:val="21"/>
              </w:rPr>
              <w:t>20.4 (14.6)</w:t>
            </w:r>
          </w:p>
        </w:tc>
        <w:tc>
          <w:tcPr>
            <w:tcW w:w="1276" w:type="dxa"/>
          </w:tcPr>
          <w:p w14:paraId="3739196E" w14:textId="77777777" w:rsidR="007075D9" w:rsidRPr="004D46AC" w:rsidRDefault="007075D9" w:rsidP="0090577F">
            <w:pPr>
              <w:spacing w:line="360" w:lineRule="auto"/>
              <w:ind w:firstLine="0"/>
              <w:rPr>
                <w:szCs w:val="21"/>
              </w:rPr>
            </w:pPr>
            <w:r w:rsidRPr="004D46AC">
              <w:rPr>
                <w:rFonts w:hint="eastAsia"/>
                <w:szCs w:val="21"/>
              </w:rPr>
              <w:t>19.6 (13.7)</w:t>
            </w:r>
          </w:p>
        </w:tc>
        <w:tc>
          <w:tcPr>
            <w:tcW w:w="1276" w:type="dxa"/>
          </w:tcPr>
          <w:p w14:paraId="249167CE" w14:textId="77777777" w:rsidR="007075D9" w:rsidRPr="004D46AC" w:rsidRDefault="007075D9" w:rsidP="0090577F">
            <w:pPr>
              <w:spacing w:line="360" w:lineRule="auto"/>
              <w:ind w:firstLine="0"/>
              <w:rPr>
                <w:szCs w:val="21"/>
              </w:rPr>
            </w:pPr>
            <w:r w:rsidRPr="004D46AC">
              <w:rPr>
                <w:rFonts w:hint="eastAsia"/>
                <w:szCs w:val="21"/>
              </w:rPr>
              <w:t>19.4 (13.3)</w:t>
            </w:r>
          </w:p>
        </w:tc>
        <w:tc>
          <w:tcPr>
            <w:tcW w:w="1276" w:type="dxa"/>
          </w:tcPr>
          <w:p w14:paraId="79481150" w14:textId="77777777" w:rsidR="007075D9" w:rsidRPr="004D46AC" w:rsidRDefault="007075D9" w:rsidP="0090577F">
            <w:pPr>
              <w:spacing w:line="360" w:lineRule="auto"/>
              <w:ind w:firstLine="0"/>
              <w:rPr>
                <w:szCs w:val="21"/>
              </w:rPr>
            </w:pPr>
            <w:r w:rsidRPr="004D46AC">
              <w:rPr>
                <w:rFonts w:hint="eastAsia"/>
                <w:szCs w:val="21"/>
              </w:rPr>
              <w:t>21.4 (14.4)</w:t>
            </w:r>
          </w:p>
        </w:tc>
        <w:tc>
          <w:tcPr>
            <w:tcW w:w="1482" w:type="dxa"/>
          </w:tcPr>
          <w:p w14:paraId="5CCD3534" w14:textId="77777777" w:rsidR="007075D9" w:rsidRPr="004D46AC" w:rsidRDefault="007075D9" w:rsidP="0090577F">
            <w:pPr>
              <w:spacing w:line="360" w:lineRule="auto"/>
              <w:ind w:firstLine="0"/>
              <w:rPr>
                <w:szCs w:val="21"/>
              </w:rPr>
            </w:pPr>
            <w:r w:rsidRPr="004D46AC">
              <w:rPr>
                <w:rFonts w:hint="eastAsia"/>
                <w:szCs w:val="21"/>
              </w:rPr>
              <w:t>20.0 (15.2)</w:t>
            </w:r>
          </w:p>
        </w:tc>
      </w:tr>
      <w:tr w:rsidR="007075D9" w:rsidRPr="004D46AC" w14:paraId="4B6E1DFE" w14:textId="77777777" w:rsidTr="00B518F1">
        <w:trPr>
          <w:trHeight w:val="738"/>
        </w:trPr>
        <w:tc>
          <w:tcPr>
            <w:tcW w:w="1488" w:type="dxa"/>
          </w:tcPr>
          <w:p w14:paraId="6C06342B" w14:textId="77777777" w:rsidR="007075D9" w:rsidRPr="004D46AC" w:rsidRDefault="007075D9" w:rsidP="0090577F">
            <w:pPr>
              <w:spacing w:line="360" w:lineRule="auto"/>
              <w:ind w:firstLine="0"/>
              <w:rPr>
                <w:i/>
                <w:iCs/>
                <w:szCs w:val="21"/>
              </w:rPr>
            </w:pPr>
            <w:r w:rsidRPr="004D46AC">
              <w:rPr>
                <w:szCs w:val="21"/>
              </w:rPr>
              <w:t>A</w:t>
            </w:r>
            <w:r w:rsidRPr="004D46AC">
              <w:rPr>
                <w:rFonts w:hint="eastAsia"/>
                <w:szCs w:val="21"/>
              </w:rPr>
              <w:t>ffective-</w:t>
            </w:r>
            <w:r w:rsidRPr="004D46AC">
              <w:rPr>
                <w:szCs w:val="21"/>
              </w:rPr>
              <w:t>cognitive</w:t>
            </w:r>
            <w:r w:rsidRPr="004D46AC">
              <w:rPr>
                <w:rFonts w:hint="eastAsia"/>
                <w:szCs w:val="21"/>
              </w:rPr>
              <w:t xml:space="preserve"> dysregulation</w:t>
            </w:r>
            <w:r w:rsidRPr="004D46AC">
              <w:rPr>
                <w:szCs w:val="21"/>
              </w:rPr>
              <w:t xml:space="preserve"> </w:t>
            </w:r>
          </w:p>
        </w:tc>
        <w:tc>
          <w:tcPr>
            <w:tcW w:w="1057" w:type="dxa"/>
          </w:tcPr>
          <w:p w14:paraId="450C566C" w14:textId="77777777" w:rsidR="007075D9" w:rsidRPr="004D46AC" w:rsidRDefault="007075D9" w:rsidP="0090577F">
            <w:pPr>
              <w:spacing w:line="360" w:lineRule="auto"/>
              <w:ind w:firstLine="0"/>
              <w:rPr>
                <w:szCs w:val="21"/>
              </w:rPr>
            </w:pPr>
            <w:r w:rsidRPr="004D46AC">
              <w:rPr>
                <w:rFonts w:hint="eastAsia"/>
                <w:szCs w:val="21"/>
              </w:rPr>
              <w:t>13.2 (</w:t>
            </w:r>
            <w:r w:rsidRPr="004D46AC">
              <w:rPr>
                <w:szCs w:val="21"/>
              </w:rPr>
              <w:t>8.85) *</w:t>
            </w:r>
            <w:r w:rsidRPr="004D46AC">
              <w:rPr>
                <w:rFonts w:hint="eastAsia"/>
                <w:szCs w:val="21"/>
              </w:rPr>
              <w:t>**</w:t>
            </w:r>
          </w:p>
        </w:tc>
        <w:tc>
          <w:tcPr>
            <w:tcW w:w="965" w:type="dxa"/>
          </w:tcPr>
          <w:p w14:paraId="055C505E" w14:textId="77777777" w:rsidR="007075D9" w:rsidRPr="004D46AC" w:rsidRDefault="007075D9" w:rsidP="0090577F">
            <w:pPr>
              <w:spacing w:line="360" w:lineRule="auto"/>
              <w:ind w:firstLine="0"/>
              <w:rPr>
                <w:szCs w:val="21"/>
              </w:rPr>
            </w:pPr>
            <w:r w:rsidRPr="004D46AC">
              <w:rPr>
                <w:rFonts w:hint="eastAsia"/>
                <w:szCs w:val="21"/>
              </w:rPr>
              <w:t>11.8 (8.32)</w:t>
            </w:r>
          </w:p>
        </w:tc>
        <w:tc>
          <w:tcPr>
            <w:tcW w:w="1276" w:type="dxa"/>
          </w:tcPr>
          <w:p w14:paraId="4183E58A" w14:textId="77777777" w:rsidR="007075D9" w:rsidRPr="004D46AC" w:rsidRDefault="007075D9" w:rsidP="0090577F">
            <w:pPr>
              <w:spacing w:line="360" w:lineRule="auto"/>
              <w:ind w:firstLine="0"/>
              <w:rPr>
                <w:szCs w:val="21"/>
              </w:rPr>
            </w:pPr>
            <w:r w:rsidRPr="004D46AC">
              <w:rPr>
                <w:rFonts w:hint="eastAsia"/>
                <w:szCs w:val="21"/>
              </w:rPr>
              <w:t>13.2 (8.93)</w:t>
            </w:r>
          </w:p>
        </w:tc>
        <w:tc>
          <w:tcPr>
            <w:tcW w:w="1276" w:type="dxa"/>
          </w:tcPr>
          <w:p w14:paraId="7C09AC3B" w14:textId="77777777" w:rsidR="007075D9" w:rsidRPr="004D46AC" w:rsidRDefault="007075D9" w:rsidP="0090577F">
            <w:pPr>
              <w:spacing w:line="360" w:lineRule="auto"/>
              <w:ind w:firstLine="0"/>
              <w:rPr>
                <w:szCs w:val="21"/>
              </w:rPr>
            </w:pPr>
            <w:r w:rsidRPr="004D46AC">
              <w:rPr>
                <w:rFonts w:hint="eastAsia"/>
                <w:szCs w:val="21"/>
              </w:rPr>
              <w:t>12.4 (8.34)</w:t>
            </w:r>
          </w:p>
        </w:tc>
        <w:tc>
          <w:tcPr>
            <w:tcW w:w="1276" w:type="dxa"/>
          </w:tcPr>
          <w:p w14:paraId="1A21501E" w14:textId="77777777" w:rsidR="007075D9" w:rsidRPr="004D46AC" w:rsidRDefault="007075D9" w:rsidP="0090577F">
            <w:pPr>
              <w:spacing w:line="360" w:lineRule="auto"/>
              <w:ind w:firstLine="0"/>
              <w:rPr>
                <w:szCs w:val="21"/>
              </w:rPr>
            </w:pPr>
            <w:r w:rsidRPr="004D46AC">
              <w:rPr>
                <w:rFonts w:hint="eastAsia"/>
                <w:szCs w:val="21"/>
              </w:rPr>
              <w:t>13.1 (8.64)</w:t>
            </w:r>
          </w:p>
        </w:tc>
        <w:tc>
          <w:tcPr>
            <w:tcW w:w="1482" w:type="dxa"/>
          </w:tcPr>
          <w:p w14:paraId="0B0B4BF8" w14:textId="77777777" w:rsidR="007075D9" w:rsidRPr="004D46AC" w:rsidRDefault="007075D9" w:rsidP="0090577F">
            <w:pPr>
              <w:spacing w:line="360" w:lineRule="auto"/>
              <w:ind w:firstLine="0"/>
              <w:rPr>
                <w:szCs w:val="21"/>
              </w:rPr>
            </w:pPr>
            <w:r w:rsidRPr="004D46AC">
              <w:rPr>
                <w:rFonts w:hint="eastAsia"/>
                <w:szCs w:val="21"/>
              </w:rPr>
              <w:t>12.0 (8.72)</w:t>
            </w:r>
          </w:p>
        </w:tc>
      </w:tr>
      <w:tr w:rsidR="007075D9" w:rsidRPr="004D46AC" w14:paraId="38AB5A8D" w14:textId="77777777" w:rsidTr="00B518F1">
        <w:trPr>
          <w:trHeight w:val="492"/>
        </w:trPr>
        <w:tc>
          <w:tcPr>
            <w:tcW w:w="1488" w:type="dxa"/>
          </w:tcPr>
          <w:p w14:paraId="5A817C41" w14:textId="77777777" w:rsidR="007075D9" w:rsidRPr="004D46AC" w:rsidRDefault="007075D9" w:rsidP="0090577F">
            <w:pPr>
              <w:spacing w:line="360" w:lineRule="auto"/>
              <w:ind w:firstLine="0"/>
              <w:rPr>
                <w:i/>
                <w:iCs/>
                <w:szCs w:val="21"/>
              </w:rPr>
            </w:pPr>
            <w:r w:rsidRPr="004D46AC">
              <w:rPr>
                <w:szCs w:val="21"/>
              </w:rPr>
              <w:t>R</w:t>
            </w:r>
            <w:r w:rsidRPr="004D46AC">
              <w:rPr>
                <w:rFonts w:hint="eastAsia"/>
                <w:szCs w:val="21"/>
              </w:rPr>
              <w:t>eality distortion</w:t>
            </w:r>
          </w:p>
        </w:tc>
        <w:tc>
          <w:tcPr>
            <w:tcW w:w="1057" w:type="dxa"/>
          </w:tcPr>
          <w:p w14:paraId="3488A16E" w14:textId="77777777" w:rsidR="007075D9" w:rsidRPr="004D46AC" w:rsidRDefault="007075D9" w:rsidP="0090577F">
            <w:pPr>
              <w:spacing w:line="360" w:lineRule="auto"/>
              <w:ind w:firstLine="0"/>
              <w:rPr>
                <w:szCs w:val="21"/>
              </w:rPr>
            </w:pPr>
            <w:r w:rsidRPr="004D46AC">
              <w:rPr>
                <w:rFonts w:hint="eastAsia"/>
                <w:szCs w:val="21"/>
              </w:rPr>
              <w:t>3.46 (4.24)</w:t>
            </w:r>
          </w:p>
        </w:tc>
        <w:tc>
          <w:tcPr>
            <w:tcW w:w="965" w:type="dxa"/>
          </w:tcPr>
          <w:p w14:paraId="78A5CE4D" w14:textId="77777777" w:rsidR="007075D9" w:rsidRPr="004D46AC" w:rsidRDefault="007075D9" w:rsidP="0090577F">
            <w:pPr>
              <w:spacing w:line="360" w:lineRule="auto"/>
              <w:ind w:firstLine="0"/>
              <w:rPr>
                <w:szCs w:val="21"/>
              </w:rPr>
            </w:pPr>
            <w:r w:rsidRPr="004D46AC">
              <w:rPr>
                <w:rFonts w:hint="eastAsia"/>
                <w:szCs w:val="21"/>
              </w:rPr>
              <w:t>4.20 (</w:t>
            </w:r>
            <w:r w:rsidRPr="004D46AC">
              <w:rPr>
                <w:szCs w:val="21"/>
              </w:rPr>
              <w:t>4.54) *</w:t>
            </w:r>
            <w:r w:rsidRPr="004D46AC">
              <w:rPr>
                <w:rFonts w:hint="eastAsia"/>
                <w:szCs w:val="21"/>
              </w:rPr>
              <w:t>**</w:t>
            </w:r>
          </w:p>
        </w:tc>
        <w:tc>
          <w:tcPr>
            <w:tcW w:w="1276" w:type="dxa"/>
          </w:tcPr>
          <w:p w14:paraId="0BE85BE8" w14:textId="77777777" w:rsidR="007075D9" w:rsidRPr="004D46AC" w:rsidRDefault="007075D9" w:rsidP="0090577F">
            <w:pPr>
              <w:spacing w:line="360" w:lineRule="auto"/>
              <w:ind w:firstLine="0"/>
              <w:rPr>
                <w:szCs w:val="21"/>
              </w:rPr>
            </w:pPr>
            <w:r w:rsidRPr="004D46AC">
              <w:rPr>
                <w:rFonts w:hint="eastAsia"/>
                <w:szCs w:val="21"/>
              </w:rPr>
              <w:t>3.86 (4.38)</w:t>
            </w:r>
          </w:p>
        </w:tc>
        <w:tc>
          <w:tcPr>
            <w:tcW w:w="1276" w:type="dxa"/>
          </w:tcPr>
          <w:p w14:paraId="6C1A978A" w14:textId="77777777" w:rsidR="007075D9" w:rsidRPr="004D46AC" w:rsidRDefault="007075D9" w:rsidP="0090577F">
            <w:pPr>
              <w:spacing w:line="360" w:lineRule="auto"/>
              <w:ind w:firstLine="0"/>
              <w:rPr>
                <w:szCs w:val="21"/>
              </w:rPr>
            </w:pPr>
            <w:r w:rsidRPr="004D46AC">
              <w:rPr>
                <w:rFonts w:hint="eastAsia"/>
                <w:szCs w:val="21"/>
              </w:rPr>
              <w:t>3.67 (4.11)</w:t>
            </w:r>
          </w:p>
        </w:tc>
        <w:tc>
          <w:tcPr>
            <w:tcW w:w="1276" w:type="dxa"/>
          </w:tcPr>
          <w:p w14:paraId="5334752E" w14:textId="77777777" w:rsidR="007075D9" w:rsidRPr="004D46AC" w:rsidRDefault="007075D9" w:rsidP="0090577F">
            <w:pPr>
              <w:spacing w:line="360" w:lineRule="auto"/>
              <w:ind w:firstLine="0"/>
              <w:rPr>
                <w:szCs w:val="21"/>
              </w:rPr>
            </w:pPr>
            <w:r w:rsidRPr="004D46AC">
              <w:rPr>
                <w:rFonts w:hint="eastAsia"/>
                <w:szCs w:val="21"/>
              </w:rPr>
              <w:t>4.05 (4.48)</w:t>
            </w:r>
          </w:p>
        </w:tc>
        <w:tc>
          <w:tcPr>
            <w:tcW w:w="1482" w:type="dxa"/>
          </w:tcPr>
          <w:p w14:paraId="1E803CDB" w14:textId="77777777" w:rsidR="007075D9" w:rsidRPr="004D46AC" w:rsidRDefault="007075D9" w:rsidP="0090577F">
            <w:pPr>
              <w:spacing w:line="360" w:lineRule="auto"/>
              <w:ind w:firstLine="0"/>
              <w:rPr>
                <w:szCs w:val="21"/>
              </w:rPr>
            </w:pPr>
            <w:r w:rsidRPr="004D46AC">
              <w:rPr>
                <w:rFonts w:hint="eastAsia"/>
                <w:szCs w:val="21"/>
              </w:rPr>
              <w:t>3.79 (4.62)</w:t>
            </w:r>
          </w:p>
        </w:tc>
      </w:tr>
      <w:tr w:rsidR="007075D9" w:rsidRPr="004D46AC" w14:paraId="775F5368" w14:textId="77777777" w:rsidTr="00B518F1">
        <w:trPr>
          <w:trHeight w:val="499"/>
        </w:trPr>
        <w:tc>
          <w:tcPr>
            <w:tcW w:w="1488" w:type="dxa"/>
          </w:tcPr>
          <w:p w14:paraId="20BDA785" w14:textId="77777777" w:rsidR="007075D9" w:rsidRPr="004D46AC" w:rsidRDefault="007075D9" w:rsidP="0090577F">
            <w:pPr>
              <w:spacing w:line="360" w:lineRule="auto"/>
              <w:ind w:firstLine="0"/>
              <w:rPr>
                <w:i/>
                <w:iCs/>
                <w:szCs w:val="21"/>
              </w:rPr>
            </w:pPr>
            <w:r w:rsidRPr="004D46AC">
              <w:rPr>
                <w:szCs w:val="21"/>
              </w:rPr>
              <w:t xml:space="preserve">Hypomania </w:t>
            </w:r>
          </w:p>
        </w:tc>
        <w:tc>
          <w:tcPr>
            <w:tcW w:w="1057" w:type="dxa"/>
          </w:tcPr>
          <w:p w14:paraId="26D05A0E" w14:textId="77777777" w:rsidR="007075D9" w:rsidRPr="004D46AC" w:rsidRDefault="007075D9" w:rsidP="0090577F">
            <w:pPr>
              <w:spacing w:line="360" w:lineRule="auto"/>
              <w:ind w:firstLine="0"/>
              <w:rPr>
                <w:szCs w:val="21"/>
              </w:rPr>
            </w:pPr>
            <w:r w:rsidRPr="004D46AC">
              <w:rPr>
                <w:rFonts w:hint="eastAsia"/>
                <w:szCs w:val="21"/>
              </w:rPr>
              <w:t>3.12 (3.43)</w:t>
            </w:r>
          </w:p>
        </w:tc>
        <w:tc>
          <w:tcPr>
            <w:tcW w:w="965" w:type="dxa"/>
          </w:tcPr>
          <w:p w14:paraId="221BA288" w14:textId="77777777" w:rsidR="007075D9" w:rsidRPr="004D46AC" w:rsidRDefault="007075D9" w:rsidP="0090577F">
            <w:pPr>
              <w:spacing w:line="360" w:lineRule="auto"/>
              <w:ind w:firstLine="0"/>
              <w:rPr>
                <w:szCs w:val="21"/>
              </w:rPr>
            </w:pPr>
            <w:r w:rsidRPr="004D46AC">
              <w:rPr>
                <w:rFonts w:hint="eastAsia"/>
                <w:szCs w:val="21"/>
              </w:rPr>
              <w:t>4.34 (</w:t>
            </w:r>
            <w:r w:rsidRPr="004D46AC">
              <w:rPr>
                <w:szCs w:val="21"/>
              </w:rPr>
              <w:t>4.26) *</w:t>
            </w:r>
            <w:r w:rsidRPr="004D46AC">
              <w:rPr>
                <w:rFonts w:hint="eastAsia"/>
                <w:szCs w:val="21"/>
              </w:rPr>
              <w:t>**</w:t>
            </w:r>
          </w:p>
        </w:tc>
        <w:tc>
          <w:tcPr>
            <w:tcW w:w="1276" w:type="dxa"/>
          </w:tcPr>
          <w:p w14:paraId="1936EDE9" w14:textId="77777777" w:rsidR="007075D9" w:rsidRPr="004D46AC" w:rsidRDefault="007075D9" w:rsidP="0090577F">
            <w:pPr>
              <w:spacing w:line="360" w:lineRule="auto"/>
              <w:ind w:firstLine="0"/>
              <w:rPr>
                <w:szCs w:val="21"/>
              </w:rPr>
            </w:pPr>
            <w:r w:rsidRPr="004D46AC">
              <w:rPr>
                <w:rFonts w:hint="eastAsia"/>
                <w:szCs w:val="21"/>
              </w:rPr>
              <w:t xml:space="preserve">2.56 (3.06) </w:t>
            </w:r>
            <w:r w:rsidRPr="004D46AC">
              <w:rPr>
                <w:rFonts w:hint="eastAsia"/>
                <w:szCs w:val="21"/>
                <w:vertAlign w:val="superscript"/>
              </w:rPr>
              <w:t>a</w:t>
            </w:r>
          </w:p>
        </w:tc>
        <w:tc>
          <w:tcPr>
            <w:tcW w:w="1276" w:type="dxa"/>
          </w:tcPr>
          <w:p w14:paraId="6B51C774" w14:textId="77777777" w:rsidR="007075D9" w:rsidRPr="004D46AC" w:rsidRDefault="007075D9" w:rsidP="0090577F">
            <w:pPr>
              <w:spacing w:line="360" w:lineRule="auto"/>
              <w:ind w:firstLine="0"/>
              <w:rPr>
                <w:szCs w:val="21"/>
              </w:rPr>
            </w:pPr>
            <w:r w:rsidRPr="004D46AC">
              <w:rPr>
                <w:rFonts w:hint="eastAsia"/>
                <w:szCs w:val="21"/>
              </w:rPr>
              <w:t xml:space="preserve">3.32 (3.42) </w:t>
            </w:r>
            <w:r w:rsidRPr="004D46AC">
              <w:rPr>
                <w:rFonts w:hint="eastAsia"/>
                <w:szCs w:val="21"/>
                <w:vertAlign w:val="superscript"/>
              </w:rPr>
              <w:t>b</w:t>
            </w:r>
          </w:p>
        </w:tc>
        <w:tc>
          <w:tcPr>
            <w:tcW w:w="1276" w:type="dxa"/>
          </w:tcPr>
          <w:p w14:paraId="3B5D95BE" w14:textId="77777777" w:rsidR="007075D9" w:rsidRPr="004D46AC" w:rsidRDefault="007075D9" w:rsidP="0090577F">
            <w:pPr>
              <w:spacing w:line="360" w:lineRule="auto"/>
              <w:ind w:firstLine="0"/>
              <w:rPr>
                <w:szCs w:val="21"/>
              </w:rPr>
            </w:pPr>
            <w:r w:rsidRPr="004D46AC">
              <w:rPr>
                <w:rFonts w:hint="eastAsia"/>
                <w:szCs w:val="21"/>
              </w:rPr>
              <w:t>4.28 (4.12)</w:t>
            </w:r>
          </w:p>
        </w:tc>
        <w:tc>
          <w:tcPr>
            <w:tcW w:w="1482" w:type="dxa"/>
          </w:tcPr>
          <w:p w14:paraId="10466362" w14:textId="77777777" w:rsidR="007075D9" w:rsidRPr="004D46AC" w:rsidRDefault="007075D9" w:rsidP="0090577F">
            <w:pPr>
              <w:spacing w:line="360" w:lineRule="auto"/>
              <w:ind w:firstLine="0"/>
              <w:rPr>
                <w:szCs w:val="21"/>
              </w:rPr>
            </w:pPr>
            <w:r w:rsidRPr="004D46AC">
              <w:rPr>
                <w:rFonts w:hint="eastAsia"/>
                <w:szCs w:val="21"/>
              </w:rPr>
              <w:t>4.24 (4.36)</w:t>
            </w:r>
          </w:p>
        </w:tc>
      </w:tr>
    </w:tbl>
    <w:p w14:paraId="1F0FAE73" w14:textId="77777777" w:rsidR="007075D9" w:rsidRPr="004D46AC" w:rsidRDefault="007075D9" w:rsidP="0090577F">
      <w:pPr>
        <w:spacing w:line="360" w:lineRule="auto"/>
        <w:ind w:firstLine="0"/>
      </w:pPr>
      <w:bookmarkStart w:id="270" w:name="OLE_LINK79"/>
      <w:bookmarkStart w:id="271" w:name="OLE_LINK78"/>
      <w:r w:rsidRPr="004D46AC">
        <w:rPr>
          <w:i/>
          <w:iCs/>
        </w:rPr>
        <w:t>Note</w:t>
      </w:r>
      <w:r w:rsidRPr="004D46AC">
        <w:t>. The number of participants who did not disclose their gender identity was distributed as follows: Age 14-17 (</w:t>
      </w:r>
      <w:r w:rsidRPr="004D46AC">
        <w:rPr>
          <w:i/>
          <w:iCs/>
        </w:rPr>
        <w:t>n</w:t>
      </w:r>
      <w:r w:rsidRPr="004D46AC">
        <w:t xml:space="preserve"> = 5), Age 18-24 (</w:t>
      </w:r>
      <w:r w:rsidRPr="004D46AC">
        <w:rPr>
          <w:i/>
          <w:iCs/>
        </w:rPr>
        <w:t>n</w:t>
      </w:r>
      <w:r w:rsidRPr="004D46AC">
        <w:t xml:space="preserve"> = </w:t>
      </w:r>
      <w:r w:rsidRPr="004D46AC">
        <w:rPr>
          <w:rFonts w:hint="eastAsia"/>
        </w:rPr>
        <w:t>4</w:t>
      </w:r>
      <w:r w:rsidRPr="004D46AC">
        <w:t>), Age 25-29 (</w:t>
      </w:r>
      <w:r w:rsidRPr="004D46AC">
        <w:rPr>
          <w:i/>
          <w:iCs/>
        </w:rPr>
        <w:t xml:space="preserve">n </w:t>
      </w:r>
      <w:r w:rsidRPr="004D46AC">
        <w:t xml:space="preserve">= </w:t>
      </w:r>
      <w:r w:rsidRPr="004D46AC">
        <w:rPr>
          <w:rFonts w:hint="eastAsia"/>
        </w:rPr>
        <w:t>3</w:t>
      </w:r>
      <w:r w:rsidRPr="004D46AC">
        <w:t>), and Age 30-36 (</w:t>
      </w:r>
      <w:r w:rsidRPr="004D46AC">
        <w:rPr>
          <w:i/>
          <w:iCs/>
        </w:rPr>
        <w:t>n</w:t>
      </w:r>
      <w:r w:rsidRPr="004D46AC">
        <w:t xml:space="preserve"> = </w:t>
      </w:r>
      <w:r w:rsidRPr="004D46AC">
        <w:rPr>
          <w:rFonts w:hint="eastAsia"/>
        </w:rPr>
        <w:t>1</w:t>
      </w:r>
      <w:r w:rsidRPr="004D46AC">
        <w:t>).</w:t>
      </w:r>
      <w:r w:rsidRPr="004D46AC">
        <w:rPr>
          <w:rFonts w:hint="eastAsia"/>
        </w:rPr>
        <w:t xml:space="preserve"> </w:t>
      </w:r>
      <w:proofErr w:type="gramStart"/>
      <w:r w:rsidRPr="004D46AC">
        <w:rPr>
          <w:rFonts w:hint="eastAsia"/>
          <w:szCs w:val="21"/>
          <w:vertAlign w:val="superscript"/>
        </w:rPr>
        <w:t>a</w:t>
      </w:r>
      <w:proofErr w:type="gramEnd"/>
      <w:r w:rsidRPr="004D46AC">
        <w:rPr>
          <w:rFonts w:hint="eastAsia"/>
          <w:szCs w:val="21"/>
          <w:vertAlign w:val="superscript"/>
        </w:rPr>
        <w:t xml:space="preserve"> </w:t>
      </w:r>
      <w:r w:rsidRPr="004D46AC">
        <w:rPr>
          <w:rFonts w:hint="eastAsia"/>
          <w:szCs w:val="21"/>
        </w:rPr>
        <w:t xml:space="preserve">Age 18-24/ Age 25-29/ Age 30-36 &gt; Age 14-17***. </w:t>
      </w:r>
      <w:r w:rsidRPr="004D46AC">
        <w:rPr>
          <w:rFonts w:hint="eastAsia"/>
          <w:szCs w:val="21"/>
          <w:vertAlign w:val="superscript"/>
        </w:rPr>
        <w:t xml:space="preserve">b </w:t>
      </w:r>
      <w:r w:rsidRPr="004D46AC">
        <w:rPr>
          <w:rFonts w:hint="eastAsia"/>
          <w:szCs w:val="21"/>
        </w:rPr>
        <w:t xml:space="preserve">Age 25-29***/ Age 30-36* &gt; Age 18-24. </w:t>
      </w:r>
      <w:r w:rsidRPr="004D46AC">
        <w:rPr>
          <w:rFonts w:hint="eastAsia"/>
        </w:rPr>
        <w:t>*</w:t>
      </w:r>
      <w:r w:rsidRPr="004D46AC">
        <w:rPr>
          <w:rFonts w:hint="eastAsia"/>
          <w:i/>
          <w:iCs/>
        </w:rPr>
        <w:t>p</w:t>
      </w:r>
      <w:r w:rsidRPr="004D46AC">
        <w:rPr>
          <w:rFonts w:hint="eastAsia"/>
        </w:rPr>
        <w:t xml:space="preserve"> &lt; .05, **</w:t>
      </w:r>
      <w:r w:rsidRPr="004D46AC">
        <w:rPr>
          <w:rFonts w:hint="eastAsia"/>
          <w:i/>
          <w:iCs/>
        </w:rPr>
        <w:t>p</w:t>
      </w:r>
      <w:r w:rsidRPr="004D46AC">
        <w:rPr>
          <w:rFonts w:hint="eastAsia"/>
        </w:rPr>
        <w:t xml:space="preserve"> &lt; .01, ***</w:t>
      </w:r>
      <w:r w:rsidRPr="004D46AC">
        <w:rPr>
          <w:rFonts w:hint="eastAsia"/>
          <w:i/>
          <w:iCs/>
        </w:rPr>
        <w:t>p</w:t>
      </w:r>
      <w:r w:rsidRPr="004D46AC">
        <w:rPr>
          <w:rFonts w:hint="eastAsia"/>
        </w:rPr>
        <w:t xml:space="preserve"> &lt; .001.</w:t>
      </w:r>
    </w:p>
    <w:bookmarkEnd w:id="270"/>
    <w:p w14:paraId="37A43A62" w14:textId="77777777" w:rsidR="007075D9" w:rsidRPr="004D46AC" w:rsidRDefault="007075D9" w:rsidP="00B518F1">
      <w:pPr>
        <w:spacing w:line="360" w:lineRule="auto"/>
        <w:rPr>
          <w:sz w:val="21"/>
          <w:szCs w:val="21"/>
        </w:rPr>
      </w:pPr>
    </w:p>
    <w:bookmarkEnd w:id="271"/>
    <w:p w14:paraId="32609BD1" w14:textId="77777777" w:rsidR="007075D9" w:rsidRPr="004D46AC" w:rsidRDefault="007075D9" w:rsidP="00B518F1">
      <w:pPr>
        <w:spacing w:line="240" w:lineRule="auto"/>
        <w:rPr>
          <w:sz w:val="21"/>
          <w:szCs w:val="21"/>
        </w:rPr>
      </w:pPr>
    </w:p>
    <w:p w14:paraId="3F466F14" w14:textId="77777777" w:rsidR="007075D9" w:rsidRPr="004D46AC" w:rsidRDefault="007075D9" w:rsidP="00B518F1">
      <w:pPr>
        <w:pStyle w:val="3"/>
      </w:pPr>
      <w:r w:rsidRPr="004D46AC">
        <w:t>N</w:t>
      </w:r>
      <w:r w:rsidRPr="004D46AC">
        <w:rPr>
          <w:rFonts w:hint="eastAsia"/>
        </w:rPr>
        <w:t>etwork statistics</w:t>
      </w:r>
    </w:p>
    <w:p w14:paraId="0C20170E" w14:textId="77777777" w:rsidR="007075D9" w:rsidRPr="004D46AC" w:rsidRDefault="007075D9" w:rsidP="00B518F1">
      <w:pPr>
        <w:pStyle w:val="4"/>
        <w:rPr>
          <w:rFonts w:eastAsiaTheme="minorEastAsia"/>
        </w:rPr>
      </w:pPr>
      <w:r w:rsidRPr="004D46AC">
        <w:rPr>
          <w:rFonts w:eastAsiaTheme="minorEastAsia" w:hint="eastAsia"/>
        </w:rPr>
        <w:t>IM</w:t>
      </w:r>
      <w:r w:rsidRPr="004D46AC">
        <w:rPr>
          <w:rFonts w:hint="eastAsia"/>
        </w:rPr>
        <w:t xml:space="preserve"> in all sample</w:t>
      </w:r>
    </w:p>
    <w:p w14:paraId="46211DD2" w14:textId="77777777" w:rsidR="007075D9" w:rsidRPr="004D46AC" w:rsidRDefault="007075D9" w:rsidP="00B518F1"/>
    <w:p w14:paraId="7F81E1CB" w14:textId="77777777" w:rsidR="007075D9" w:rsidRPr="004D46AC" w:rsidRDefault="007075D9" w:rsidP="00B518F1">
      <w:pPr>
        <w:rPr>
          <w:szCs w:val="21"/>
        </w:rPr>
      </w:pPr>
      <w:r w:rsidRPr="004D46AC">
        <w:rPr>
          <w:noProof/>
        </w:rPr>
        <w:lastRenderedPageBreak/>
        <w:drawing>
          <wp:inline distT="0" distB="0" distL="0" distR="0" wp14:anchorId="05345A7E" wp14:editId="448052CA">
            <wp:extent cx="5274310" cy="3568065"/>
            <wp:effectExtent l="0" t="0" r="0" b="0"/>
            <wp:docPr id="1614417015" name="Picture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17015" name="Picture 1" descr="图示&#10;&#10;AI 生成的内容可能不正确。"/>
                    <pic:cNvPicPr/>
                  </pic:nvPicPr>
                  <pic:blipFill>
                    <a:blip r:embed="rId377"/>
                    <a:stretch>
                      <a:fillRect/>
                    </a:stretch>
                  </pic:blipFill>
                  <pic:spPr>
                    <a:xfrm>
                      <a:off x="0" y="0"/>
                      <a:ext cx="5274310" cy="3568065"/>
                    </a:xfrm>
                    <a:prstGeom prst="rect">
                      <a:avLst/>
                    </a:prstGeom>
                  </pic:spPr>
                </pic:pic>
              </a:graphicData>
            </a:graphic>
          </wp:inline>
        </w:drawing>
      </w:r>
    </w:p>
    <w:p w14:paraId="0A4C7861" w14:textId="77777777" w:rsidR="004725A0" w:rsidRPr="004D46AC" w:rsidRDefault="00581ACE" w:rsidP="004725A0">
      <w:pPr>
        <w:pStyle w:val="afff0"/>
        <w:keepNext/>
        <w:spacing w:after="0" w:line="360" w:lineRule="auto"/>
        <w:ind w:firstLine="0"/>
        <w:rPr>
          <w:rFonts w:eastAsiaTheme="minorEastAsia"/>
          <w:b/>
          <w:bCs/>
          <w:i w:val="0"/>
          <w:iCs w:val="0"/>
          <w:color w:val="auto"/>
          <w:sz w:val="22"/>
          <w:szCs w:val="22"/>
        </w:rPr>
      </w:pPr>
      <w:bookmarkStart w:id="272" w:name="_Toc219883936"/>
      <w:bookmarkStart w:id="273" w:name="_Toc219884868"/>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4</w:t>
      </w:r>
      <w:bookmarkEnd w:id="272"/>
      <w:bookmarkEnd w:id="273"/>
      <w:r w:rsidR="004725A0" w:rsidRPr="004D46AC">
        <w:rPr>
          <w:b/>
          <w:bCs/>
          <w:i w:val="0"/>
          <w:iCs w:val="0"/>
          <w:color w:val="auto"/>
          <w:sz w:val="22"/>
          <w:szCs w:val="22"/>
        </w:rPr>
        <w:fldChar w:fldCharType="end"/>
      </w:r>
    </w:p>
    <w:p w14:paraId="4AAAC721" w14:textId="0F8C19B1" w:rsidR="007075D9" w:rsidRPr="004D46AC" w:rsidRDefault="007075D9" w:rsidP="004725A0">
      <w:pPr>
        <w:pStyle w:val="afff0"/>
        <w:keepNext/>
        <w:spacing w:after="0" w:line="360" w:lineRule="auto"/>
        <w:ind w:firstLine="0"/>
        <w:rPr>
          <w:rFonts w:eastAsiaTheme="minorEastAsia"/>
          <w:b/>
          <w:bCs/>
          <w:i w:val="0"/>
          <w:iCs w:val="0"/>
          <w:color w:val="auto"/>
          <w:sz w:val="22"/>
          <w:szCs w:val="22"/>
        </w:rPr>
      </w:pPr>
      <w:r w:rsidRPr="004D46AC">
        <w:rPr>
          <w:color w:val="auto"/>
          <w:sz w:val="22"/>
          <w:szCs w:val="22"/>
        </w:rPr>
        <w:t>The Ising Model (IM) network structure of prodromal symptoms</w:t>
      </w:r>
    </w:p>
    <w:p w14:paraId="14A60D2A" w14:textId="77777777" w:rsidR="007075D9" w:rsidRPr="004D46AC" w:rsidRDefault="007075D9" w:rsidP="00581ACE">
      <w:pPr>
        <w:spacing w:line="360" w:lineRule="auto"/>
        <w:ind w:firstLine="0"/>
      </w:pPr>
      <w:r w:rsidRPr="004D46AC">
        <w:rPr>
          <w:i/>
          <w:iCs/>
        </w:rPr>
        <w:t>Note.</w:t>
      </w:r>
      <w:r w:rsidRPr="004D46AC">
        <w:t xml:space="preserve"> Blue edges indicate positive relationships, while red edges reflect negative correlations. The threshold for edge weights was set at 0.</w:t>
      </w:r>
      <w:r w:rsidRPr="004D46AC">
        <w:rPr>
          <w:rFonts w:hint="eastAsia"/>
        </w:rPr>
        <w:t>2</w:t>
      </w:r>
      <w:r w:rsidRPr="004D46AC">
        <w:t xml:space="preserve"> to improve readability.</w:t>
      </w:r>
    </w:p>
    <w:p w14:paraId="4153C55F" w14:textId="77777777" w:rsidR="007075D9" w:rsidRPr="004D46AC" w:rsidRDefault="007075D9" w:rsidP="00B518F1"/>
    <w:p w14:paraId="45C7A16E" w14:textId="77777777" w:rsidR="007075D9" w:rsidRPr="004D46AC" w:rsidRDefault="007075D9" w:rsidP="00B518F1">
      <w:pPr>
        <w:ind w:firstLine="660"/>
      </w:pPr>
      <w:r w:rsidRPr="004D46AC">
        <w:t xml:space="preserve">The Ising model structure is presented in Figure </w:t>
      </w:r>
      <w:r w:rsidRPr="004D46AC">
        <w:rPr>
          <w:rFonts w:hint="eastAsia"/>
        </w:rPr>
        <w:t>5.4</w:t>
      </w:r>
      <w:r w:rsidRPr="004D46AC">
        <w:t xml:space="preserve">. </w:t>
      </w:r>
      <w:r w:rsidRPr="004D46AC">
        <w:rPr>
          <w:rFonts w:hint="eastAsia"/>
        </w:rPr>
        <w:t xml:space="preserve"> </w:t>
      </w:r>
      <w:r w:rsidRPr="004D46AC">
        <w:t>T</w:t>
      </w:r>
      <w:r w:rsidRPr="004D46AC">
        <w:rPr>
          <w:rFonts w:hint="eastAsia"/>
        </w:rPr>
        <w:t xml:space="preserve">he node and edge statistics was </w:t>
      </w:r>
      <w:proofErr w:type="gramStart"/>
      <w:r w:rsidRPr="004D46AC">
        <w:rPr>
          <w:rFonts w:hint="eastAsia"/>
        </w:rPr>
        <w:t>fairly stable</w:t>
      </w:r>
      <w:proofErr w:type="gramEnd"/>
      <w:r w:rsidRPr="004D46AC">
        <w:rPr>
          <w:rFonts w:hint="eastAsia"/>
        </w:rPr>
        <w:t xml:space="preserve">, with all CS coefficient value pass .50. </w:t>
      </w:r>
      <w:r w:rsidRPr="004D46AC">
        <w:t>Among all nodes, TR30 (Suspiciousness) exhibited the highest strength centrality, indicating a high level of interconnectedness with other prodromal symptoms. In contrast, TR27 (Poverty of Speech) showed the lowest strength centrality, suggesting a more peripheral position within the network.</w:t>
      </w:r>
      <w:r w:rsidRPr="004D46AC">
        <w:rPr>
          <w:rFonts w:hint="eastAsia"/>
        </w:rPr>
        <w:t xml:space="preserve"> </w:t>
      </w:r>
      <w:r w:rsidRPr="004D46AC">
        <w:t>Regarding bridge centrality, TR26 (Identity Confusion) demonstrated the highest bridge strength, highlighting its role as a key connector between different symptom domains. Conversely, TR13 (</w:t>
      </w:r>
      <w:r w:rsidRPr="004D46AC">
        <w:rPr>
          <w:rFonts w:hint="eastAsia"/>
        </w:rPr>
        <w:t>Pressured speech/ talkative</w:t>
      </w:r>
      <w:r w:rsidRPr="004D46AC">
        <w:t>) had the lowest bridge strength, implying that its associations were largely confined within its own symptom cluster</w:t>
      </w:r>
      <w:r w:rsidRPr="004D46AC">
        <w:rPr>
          <w:rFonts w:hint="eastAsia"/>
        </w:rPr>
        <w:t>, see Figure 5.5 for details.</w:t>
      </w:r>
      <w:r w:rsidRPr="004D46AC">
        <w:rPr>
          <w:i/>
          <w:iCs/>
        </w:rPr>
        <w:t xml:space="preserve"> </w:t>
      </w:r>
      <w:r w:rsidRPr="004D46AC">
        <w:rPr>
          <w:rFonts w:hint="eastAsia"/>
          <w:i/>
          <w:iCs/>
        </w:rPr>
        <w:t xml:space="preserve"> </w:t>
      </w:r>
    </w:p>
    <w:p w14:paraId="1688E396" w14:textId="77777777" w:rsidR="007075D9" w:rsidRPr="004D46AC" w:rsidRDefault="007075D9" w:rsidP="00B518F1">
      <w:pPr>
        <w:jc w:val="center"/>
        <w:rPr>
          <w:i/>
          <w:iCs/>
        </w:rPr>
      </w:pPr>
    </w:p>
    <w:p w14:paraId="1C8FB72E" w14:textId="77777777" w:rsidR="007075D9" w:rsidRPr="004D46AC" w:rsidRDefault="007075D9" w:rsidP="00B518F1">
      <w:pPr>
        <w:rPr>
          <w:szCs w:val="21"/>
        </w:rPr>
      </w:pPr>
      <w:r w:rsidRPr="004D46AC">
        <w:rPr>
          <w:noProof/>
          <w:szCs w:val="21"/>
        </w:rPr>
        <w:lastRenderedPageBreak/>
        <w:drawing>
          <wp:inline distT="0" distB="0" distL="0" distR="0" wp14:anchorId="09F4E002" wp14:editId="1242714A">
            <wp:extent cx="3189514" cy="3191050"/>
            <wp:effectExtent l="0" t="0" r="0" b="0"/>
            <wp:docPr id="608831503" name="Picture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31503" name="Picture 1" descr="图表, 折线图&#10;&#10;AI 生成的内容可能不正确。"/>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205031" cy="3206574"/>
                    </a:xfrm>
                    <a:prstGeom prst="rect">
                      <a:avLst/>
                    </a:prstGeom>
                    <a:noFill/>
                    <a:ln>
                      <a:noFill/>
                    </a:ln>
                  </pic:spPr>
                </pic:pic>
              </a:graphicData>
            </a:graphic>
          </wp:inline>
        </w:drawing>
      </w:r>
    </w:p>
    <w:p w14:paraId="027B0ED0" w14:textId="77777777" w:rsidR="004725A0" w:rsidRPr="004D46AC" w:rsidRDefault="00581ACE" w:rsidP="004725A0">
      <w:pPr>
        <w:pStyle w:val="afff0"/>
        <w:keepNext/>
        <w:spacing w:after="0" w:line="360" w:lineRule="auto"/>
        <w:ind w:firstLine="0"/>
        <w:rPr>
          <w:rFonts w:eastAsiaTheme="minorEastAsia"/>
          <w:b/>
          <w:bCs/>
          <w:i w:val="0"/>
          <w:iCs w:val="0"/>
          <w:color w:val="auto"/>
          <w:sz w:val="22"/>
          <w:szCs w:val="22"/>
        </w:rPr>
      </w:pPr>
      <w:bookmarkStart w:id="274" w:name="_Toc219883937"/>
      <w:bookmarkStart w:id="275" w:name="_Toc219884869"/>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bookmarkEnd w:id="274"/>
      <w:bookmarkEnd w:id="275"/>
      <w:r w:rsidR="004725A0" w:rsidRPr="004D46AC">
        <w:rPr>
          <w:b/>
          <w:bCs/>
          <w:i w:val="0"/>
          <w:iCs w:val="0"/>
          <w:color w:val="auto"/>
          <w:sz w:val="22"/>
          <w:szCs w:val="22"/>
        </w:rPr>
        <w:fldChar w:fldCharType="end"/>
      </w:r>
    </w:p>
    <w:p w14:paraId="6946AF06" w14:textId="4BD13B70" w:rsidR="007075D9" w:rsidRPr="004D46AC" w:rsidRDefault="007075D9" w:rsidP="004725A0">
      <w:pPr>
        <w:pStyle w:val="afff0"/>
        <w:keepNext/>
        <w:spacing w:after="0" w:line="360" w:lineRule="auto"/>
        <w:ind w:firstLine="0"/>
        <w:rPr>
          <w:b/>
          <w:bCs/>
          <w:i w:val="0"/>
          <w:iCs w:val="0"/>
          <w:color w:val="auto"/>
          <w:sz w:val="22"/>
          <w:szCs w:val="22"/>
        </w:rPr>
      </w:pPr>
      <w:r w:rsidRPr="004D46AC">
        <w:rPr>
          <w:color w:val="auto"/>
          <w:sz w:val="22"/>
          <w:szCs w:val="22"/>
        </w:rPr>
        <w:t xml:space="preserve">Node </w:t>
      </w:r>
      <w:r w:rsidR="00033CC9" w:rsidRPr="004D46AC">
        <w:rPr>
          <w:rFonts w:eastAsiaTheme="minorEastAsia" w:hint="eastAsia"/>
          <w:color w:val="auto"/>
          <w:sz w:val="22"/>
          <w:szCs w:val="22"/>
        </w:rPr>
        <w:t>c</w:t>
      </w:r>
      <w:r w:rsidRPr="004D46AC">
        <w:rPr>
          <w:color w:val="auto"/>
          <w:sz w:val="22"/>
          <w:szCs w:val="22"/>
        </w:rPr>
        <w:t xml:space="preserve">entralities in the IM </w:t>
      </w:r>
      <w:r w:rsidR="00033CC9" w:rsidRPr="004D46AC">
        <w:rPr>
          <w:rFonts w:eastAsiaTheme="minorEastAsia" w:hint="eastAsia"/>
          <w:color w:val="auto"/>
          <w:sz w:val="22"/>
          <w:szCs w:val="22"/>
        </w:rPr>
        <w:t>n</w:t>
      </w:r>
      <w:r w:rsidRPr="004D46AC">
        <w:rPr>
          <w:color w:val="auto"/>
          <w:sz w:val="22"/>
          <w:szCs w:val="22"/>
        </w:rPr>
        <w:t xml:space="preserve">etwork </w:t>
      </w:r>
      <w:r w:rsidR="00033CC9" w:rsidRPr="004D46AC">
        <w:rPr>
          <w:rFonts w:eastAsiaTheme="minorEastAsia" w:hint="eastAsia"/>
          <w:color w:val="auto"/>
          <w:sz w:val="22"/>
          <w:szCs w:val="22"/>
        </w:rPr>
        <w:t>s</w:t>
      </w:r>
      <w:r w:rsidRPr="004D46AC">
        <w:rPr>
          <w:color w:val="auto"/>
          <w:sz w:val="22"/>
          <w:szCs w:val="22"/>
        </w:rPr>
        <w:t>tructure</w:t>
      </w:r>
    </w:p>
    <w:p w14:paraId="57B555B7" w14:textId="77777777" w:rsidR="007075D9" w:rsidRPr="004D46AC" w:rsidRDefault="007075D9" w:rsidP="00581ACE">
      <w:pPr>
        <w:spacing w:line="360" w:lineRule="auto"/>
        <w:ind w:firstLine="0"/>
      </w:pPr>
      <w:r w:rsidRPr="004D46AC">
        <w:rPr>
          <w:i/>
          <w:iCs/>
        </w:rPr>
        <w:t>Note</w:t>
      </w:r>
      <w:r w:rsidRPr="004D46AC">
        <w:t>. Centrality values are presented as raw coefficients for both node strength and bridge strength</w:t>
      </w:r>
      <w:r w:rsidRPr="004D46AC">
        <w:rPr>
          <w:rFonts w:hint="eastAsia"/>
        </w:rPr>
        <w:t xml:space="preserve">. </w:t>
      </w:r>
      <w:r w:rsidRPr="004D46AC">
        <w:t>TR3: Impulsivity, TR5: Racing Thoughts, TR7:</w:t>
      </w:r>
      <w:r w:rsidRPr="004D46AC">
        <w:rPr>
          <w:rFonts w:hint="eastAsia"/>
        </w:rPr>
        <w:t xml:space="preserve"> Low mood</w:t>
      </w:r>
      <w:r w:rsidRPr="004D46AC">
        <w:t>, TR12: Disorgani</w:t>
      </w:r>
      <w:r w:rsidRPr="004D46AC">
        <w:rPr>
          <w:rFonts w:hint="eastAsia"/>
        </w:rPr>
        <w:t>s</w:t>
      </w:r>
      <w:r w:rsidRPr="004D46AC">
        <w:t>ed Thinking, TR15: Emptiness, TR19: Mood Cycle, TR21: Irritability, TR23: Mood lability, TR24: Disconnected Thoughts, TR26: Identity Confusion, TR27 Poverty of Speech, TR34 Emotional Numbness, TR37 Confused Thinking</w:t>
      </w:r>
      <w:r w:rsidRPr="004D46AC">
        <w:rPr>
          <w:rFonts w:hint="eastAsia"/>
        </w:rPr>
        <w:t>,</w:t>
      </w:r>
      <w:r w:rsidRPr="004D46AC">
        <w:t>TR6: Auditory Hallucinations, TR9: Sound Distraction, TR17: Reality Confusion, TR18: Precepted oddity in familiar Surroundings, TR29: Pseudo hallucinations, TR30: Suspiciousness, TR33: Paranoia</w:t>
      </w:r>
      <w:r w:rsidRPr="004D46AC">
        <w:rPr>
          <w:rFonts w:hint="eastAsia"/>
        </w:rPr>
        <w:t xml:space="preserve">, </w:t>
      </w:r>
      <w:r w:rsidRPr="004D46AC">
        <w:t>TR13: Pressured speech/ talkative, TR14: Elevated self-confidence, TR16: Elevated mood or energy, TR20: Increased goal directed activities, TR22: Grandiosity, TR25: Idea of reference.</w:t>
      </w:r>
    </w:p>
    <w:p w14:paraId="62A633D5" w14:textId="77777777" w:rsidR="007075D9" w:rsidRPr="004D46AC" w:rsidRDefault="007075D9" w:rsidP="00B518F1">
      <w:pPr>
        <w:jc w:val="center"/>
        <w:rPr>
          <w:i/>
          <w:iCs/>
        </w:rPr>
      </w:pPr>
    </w:p>
    <w:p w14:paraId="1D1F50DE" w14:textId="0DA6D637" w:rsidR="007075D9" w:rsidRPr="004D46AC" w:rsidRDefault="007075D9" w:rsidP="00B518F1">
      <w:pPr>
        <w:ind w:firstLine="660"/>
      </w:pPr>
      <w:r w:rsidRPr="004D46AC">
        <w:t xml:space="preserve">The Ising Model network revealed that the strongest edge was observed within the manic prodrome cluster, specifically between TR22 (Idea of reference) and TR25 (Grandiosity), </w:t>
      </w:r>
      <w:r w:rsidRPr="004D46AC">
        <w:rPr>
          <w:i/>
          <w:iCs/>
        </w:rPr>
        <w:t>w</w:t>
      </w:r>
      <w:r w:rsidRPr="004D46AC">
        <w:t xml:space="preserve"> = 1.14, 95% bootstrap confidence interval (CI) [0.91, 1.37]. In contrast, the weakest edge was found between TR12 (Disorgani</w:t>
      </w:r>
      <w:r w:rsidRPr="004D46AC">
        <w:rPr>
          <w:rFonts w:hint="eastAsia"/>
        </w:rPr>
        <w:t>s</w:t>
      </w:r>
      <w:r w:rsidRPr="004D46AC">
        <w:t xml:space="preserve">ed thinking) and TR34 (Emotional numbness), both from the </w:t>
      </w:r>
      <w:r w:rsidRPr="004D46AC">
        <w:rPr>
          <w:rFonts w:hint="eastAsia"/>
        </w:rPr>
        <w:t>affective-cognitive dysregulation</w:t>
      </w:r>
      <w:r w:rsidRPr="004D46AC">
        <w:t xml:space="preserve"> domains, </w:t>
      </w:r>
      <w:r w:rsidRPr="004D46AC">
        <w:rPr>
          <w:i/>
          <w:iCs/>
        </w:rPr>
        <w:t>w</w:t>
      </w:r>
      <w:r w:rsidRPr="004D46AC">
        <w:t xml:space="preserve"> = 0.03, 95% CI [</w:t>
      </w:r>
      <w:r w:rsidRPr="004D46AC">
        <w:rPr>
          <w:rFonts w:hint="eastAsia"/>
        </w:rPr>
        <w:t>-</w:t>
      </w:r>
      <w:r w:rsidRPr="004D46AC">
        <w:t>0.12, 0.18].</w:t>
      </w:r>
      <w:r w:rsidRPr="004D46AC">
        <w:rPr>
          <w:rFonts w:hint="eastAsia"/>
        </w:rPr>
        <w:t xml:space="preserve"> </w:t>
      </w:r>
      <w:r w:rsidRPr="004D46AC">
        <w:t xml:space="preserve">The strongest cross-domain connections included: (a) TR16 (Elevated mood or energy) and TR19 (Mood cycle), linking the </w:t>
      </w:r>
      <w:r w:rsidRPr="004D46AC">
        <w:rPr>
          <w:rFonts w:hint="eastAsia"/>
        </w:rPr>
        <w:t>affective-cognitive dysregulation</w:t>
      </w:r>
      <w:r w:rsidRPr="004D46AC">
        <w:t xml:space="preserve"> and </w:t>
      </w:r>
      <w:r w:rsidRPr="004D46AC">
        <w:rPr>
          <w:rFonts w:hint="eastAsia"/>
        </w:rPr>
        <w:t>hypomania</w:t>
      </w:r>
      <w:r w:rsidRPr="004D46AC">
        <w:t xml:space="preserve">, </w:t>
      </w:r>
      <w:r w:rsidRPr="004D46AC">
        <w:rPr>
          <w:i/>
          <w:iCs/>
        </w:rPr>
        <w:t xml:space="preserve">w </w:t>
      </w:r>
      <w:r w:rsidRPr="004D46AC">
        <w:t xml:space="preserve">= 0.83, 95% CI [0.59, 1.06]; (b) TR24 (Disconnected thoughts) and TR30 </w:t>
      </w:r>
      <w:r w:rsidRPr="004D46AC">
        <w:lastRenderedPageBreak/>
        <w:t xml:space="preserve">(Suspiciousness), linking the </w:t>
      </w:r>
      <w:r w:rsidRPr="004D46AC">
        <w:rPr>
          <w:rFonts w:hint="eastAsia"/>
        </w:rPr>
        <w:t>affective-cognitive dysregulation</w:t>
      </w:r>
      <w:r w:rsidRPr="004D46AC">
        <w:t xml:space="preserve"> and reality</w:t>
      </w:r>
      <w:r w:rsidRPr="004D46AC">
        <w:rPr>
          <w:rFonts w:hint="eastAsia"/>
        </w:rPr>
        <w:t xml:space="preserve"> distortion</w:t>
      </w:r>
      <w:r w:rsidRPr="004D46AC">
        <w:t xml:space="preserve">, </w:t>
      </w:r>
      <w:r w:rsidRPr="004D46AC">
        <w:rPr>
          <w:i/>
          <w:iCs/>
        </w:rPr>
        <w:t xml:space="preserve">w </w:t>
      </w:r>
      <w:r w:rsidRPr="004D46AC">
        <w:t xml:space="preserve">= 0.53, 95% CI [0.26, 0.80]; and (c) TR25 (Grandiosity) and TR30 (Suspiciousness), linking the </w:t>
      </w:r>
      <w:r w:rsidRPr="004D46AC">
        <w:rPr>
          <w:rFonts w:hint="eastAsia"/>
        </w:rPr>
        <w:t xml:space="preserve">hypomania and </w:t>
      </w:r>
      <w:r w:rsidRPr="004D46AC">
        <w:t>reality</w:t>
      </w:r>
      <w:r w:rsidRPr="004D46AC">
        <w:rPr>
          <w:rFonts w:hint="eastAsia"/>
        </w:rPr>
        <w:t xml:space="preserve"> </w:t>
      </w:r>
      <w:r w:rsidRPr="004D46AC">
        <w:t xml:space="preserve">distortion, </w:t>
      </w:r>
      <w:r w:rsidRPr="004D46AC">
        <w:rPr>
          <w:i/>
          <w:iCs/>
        </w:rPr>
        <w:t>w</w:t>
      </w:r>
      <w:r w:rsidRPr="004D46AC">
        <w:t xml:space="preserve"> = 0.39, 95% CI [0.13, 0.65]</w:t>
      </w:r>
      <w:r w:rsidRPr="004D46AC">
        <w:rPr>
          <w:rFonts w:hint="eastAsia"/>
        </w:rPr>
        <w:t xml:space="preserve">, see Table </w:t>
      </w:r>
      <w:r w:rsidR="003E095D" w:rsidRPr="004D46AC">
        <w:rPr>
          <w:rFonts w:eastAsiaTheme="minorEastAsia" w:hint="eastAsia"/>
        </w:rPr>
        <w:t>E</w:t>
      </w:r>
      <w:r w:rsidR="00AD0A74" w:rsidRPr="004D46AC">
        <w:rPr>
          <w:rFonts w:eastAsiaTheme="minorEastAsia" w:hint="eastAsia"/>
        </w:rPr>
        <w:t xml:space="preserve"> </w:t>
      </w:r>
      <w:r w:rsidRPr="004D46AC">
        <w:rPr>
          <w:rFonts w:hint="eastAsia"/>
        </w:rPr>
        <w:t>2 for reference.</w:t>
      </w:r>
    </w:p>
    <w:p w14:paraId="556E09FF" w14:textId="77777777" w:rsidR="007075D9" w:rsidRPr="004D46AC" w:rsidRDefault="007075D9" w:rsidP="00B518F1">
      <w:pPr>
        <w:ind w:firstLine="660"/>
      </w:pPr>
      <w:r w:rsidRPr="004D46AC">
        <w:t xml:space="preserve">The connectivity (number of edges with non-zero weight/ total number of edges) between dimensions was ranged as followings: </w:t>
      </w:r>
      <w:r w:rsidRPr="004D46AC">
        <w:rPr>
          <w:rFonts w:hint="eastAsia"/>
        </w:rPr>
        <w:t xml:space="preserve">hypomania </w:t>
      </w:r>
      <w:r w:rsidRPr="004D46AC">
        <w:t xml:space="preserve">and </w:t>
      </w:r>
      <w:r w:rsidRPr="004D46AC">
        <w:rPr>
          <w:rFonts w:hint="eastAsia"/>
        </w:rPr>
        <w:t>reality distortion</w:t>
      </w:r>
      <w:r w:rsidRPr="004D46AC">
        <w:t xml:space="preserve"> (23/42, 54.76%), </w:t>
      </w:r>
      <w:r w:rsidRPr="004D46AC">
        <w:rPr>
          <w:rFonts w:hint="eastAsia"/>
        </w:rPr>
        <w:t>reality distortion</w:t>
      </w:r>
      <w:r w:rsidRPr="004D46AC">
        <w:t xml:space="preserve"> and </w:t>
      </w:r>
      <w:r w:rsidRPr="004D46AC">
        <w:rPr>
          <w:rFonts w:hint="eastAsia"/>
        </w:rPr>
        <w:t>affective-cognitive dysregulation</w:t>
      </w:r>
      <w:r w:rsidRPr="004D46AC">
        <w:t xml:space="preserve"> (42/91, 46.15%), and hypomania and </w:t>
      </w:r>
      <w:r w:rsidRPr="004D46AC">
        <w:rPr>
          <w:rFonts w:hint="eastAsia"/>
        </w:rPr>
        <w:t>affective-cognitive dysregulation</w:t>
      </w:r>
      <w:r w:rsidRPr="004D46AC">
        <w:t xml:space="preserve"> (17/78, 21.79%). No significant differences in average absolute edge weights were found between any pair of </w:t>
      </w:r>
      <w:r w:rsidRPr="004D46AC">
        <w:rPr>
          <w:rFonts w:hint="eastAsia"/>
        </w:rPr>
        <w:t>at-risk</w:t>
      </w:r>
      <w:r w:rsidRPr="004D46AC">
        <w:t xml:space="preserve"> domains. All bootstrapped confidence intervals for between-domain comparisons crossed zero across 2,000 samples, indicating a lack of robust differentiation in overall connectivity strength between domains</w:t>
      </w:r>
      <w:r w:rsidRPr="004D46AC">
        <w:rPr>
          <w:rFonts w:hint="eastAsia"/>
        </w:rPr>
        <w:t>.</w:t>
      </w:r>
    </w:p>
    <w:p w14:paraId="7982620F" w14:textId="77777777" w:rsidR="007075D9" w:rsidRPr="004D46AC" w:rsidRDefault="007075D9" w:rsidP="00B518F1">
      <w:pPr>
        <w:pStyle w:val="4"/>
        <w:rPr>
          <w:rFonts w:eastAsiaTheme="minorEastAsia"/>
        </w:rPr>
      </w:pPr>
      <w:r w:rsidRPr="004D46AC">
        <w:rPr>
          <w:rFonts w:hint="eastAsia"/>
        </w:rPr>
        <w:t>BN</w:t>
      </w:r>
      <w:r w:rsidRPr="004D46AC">
        <w:rPr>
          <w:rFonts w:eastAsiaTheme="minorEastAsia" w:hint="eastAsia"/>
        </w:rPr>
        <w:t>M</w:t>
      </w:r>
      <w:r w:rsidRPr="004D46AC">
        <w:rPr>
          <w:rFonts w:hint="eastAsia"/>
        </w:rPr>
        <w:t xml:space="preserve"> in all sample</w:t>
      </w:r>
    </w:p>
    <w:p w14:paraId="19F8E545" w14:textId="77777777" w:rsidR="007075D9" w:rsidRPr="004D46AC" w:rsidRDefault="007075D9" w:rsidP="00B518F1"/>
    <w:p w14:paraId="7C803971" w14:textId="77777777" w:rsidR="007075D9" w:rsidRPr="004D46AC" w:rsidRDefault="007075D9" w:rsidP="00B518F1">
      <w:pPr>
        <w:rPr>
          <w:szCs w:val="21"/>
        </w:rPr>
      </w:pPr>
      <w:r w:rsidRPr="004D46AC">
        <w:rPr>
          <w:noProof/>
        </w:rPr>
        <w:drawing>
          <wp:inline distT="0" distB="0" distL="0" distR="0" wp14:anchorId="1A00DF14" wp14:editId="2E7AC8C6">
            <wp:extent cx="5731510" cy="3797300"/>
            <wp:effectExtent l="0" t="0" r="0" b="0"/>
            <wp:docPr id="776247080" name="图片 1" descr="图片包含 桌子, 小, 项链, 挂&#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47080" name="图片 1" descr="图片包含 桌子, 小, 项链, 挂&#10;&#10;AI 生成的内容可能不正确。"/>
                    <pic:cNvPicPr/>
                  </pic:nvPicPr>
                  <pic:blipFill>
                    <a:blip r:embed="rId379"/>
                    <a:stretch>
                      <a:fillRect/>
                    </a:stretch>
                  </pic:blipFill>
                  <pic:spPr>
                    <a:xfrm>
                      <a:off x="0" y="0"/>
                      <a:ext cx="5731510" cy="3797300"/>
                    </a:xfrm>
                    <a:prstGeom prst="rect">
                      <a:avLst/>
                    </a:prstGeom>
                  </pic:spPr>
                </pic:pic>
              </a:graphicData>
            </a:graphic>
          </wp:inline>
        </w:drawing>
      </w:r>
    </w:p>
    <w:p w14:paraId="76D664C7" w14:textId="77777777" w:rsidR="004725A0" w:rsidRPr="004D46AC" w:rsidRDefault="00581ACE" w:rsidP="004725A0">
      <w:pPr>
        <w:pStyle w:val="afff0"/>
        <w:keepNext/>
        <w:spacing w:after="0" w:line="360" w:lineRule="auto"/>
        <w:ind w:firstLine="0"/>
        <w:rPr>
          <w:rFonts w:eastAsiaTheme="minorEastAsia"/>
          <w:b/>
          <w:bCs/>
          <w:i w:val="0"/>
          <w:iCs w:val="0"/>
          <w:color w:val="auto"/>
          <w:sz w:val="22"/>
          <w:szCs w:val="22"/>
        </w:rPr>
      </w:pPr>
      <w:bookmarkStart w:id="276" w:name="_Toc219883938"/>
      <w:bookmarkStart w:id="277" w:name="_Toc219884870"/>
      <w:r w:rsidRPr="004D46AC">
        <w:rPr>
          <w:b/>
          <w:bCs/>
          <w:i w:val="0"/>
          <w:iCs w:val="0"/>
          <w:color w:val="auto"/>
          <w:sz w:val="22"/>
          <w:szCs w:val="22"/>
        </w:rPr>
        <w:lastRenderedPageBreak/>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5</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6</w:t>
      </w:r>
      <w:bookmarkEnd w:id="276"/>
      <w:bookmarkEnd w:id="277"/>
      <w:r w:rsidR="004725A0" w:rsidRPr="004D46AC">
        <w:rPr>
          <w:b/>
          <w:bCs/>
          <w:i w:val="0"/>
          <w:iCs w:val="0"/>
          <w:color w:val="auto"/>
          <w:sz w:val="22"/>
          <w:szCs w:val="22"/>
        </w:rPr>
        <w:fldChar w:fldCharType="end"/>
      </w:r>
    </w:p>
    <w:p w14:paraId="567A5739" w14:textId="03BE2D72" w:rsidR="007075D9" w:rsidRPr="004D46AC" w:rsidRDefault="007075D9" w:rsidP="004725A0">
      <w:pPr>
        <w:pStyle w:val="afff0"/>
        <w:keepNext/>
        <w:spacing w:after="0" w:line="360" w:lineRule="auto"/>
        <w:ind w:firstLine="0"/>
        <w:rPr>
          <w:rFonts w:eastAsiaTheme="minorEastAsia"/>
          <w:b/>
          <w:bCs/>
          <w:i w:val="0"/>
          <w:iCs w:val="0"/>
          <w:color w:val="auto"/>
          <w:sz w:val="22"/>
          <w:szCs w:val="22"/>
        </w:rPr>
      </w:pPr>
      <w:r w:rsidRPr="004D46AC">
        <w:rPr>
          <w:color w:val="auto"/>
          <w:sz w:val="22"/>
          <w:szCs w:val="22"/>
        </w:rPr>
        <w:t xml:space="preserve">The Bayesian Network (BN) structure of </w:t>
      </w:r>
      <w:r w:rsidRPr="004D46AC">
        <w:rPr>
          <w:rFonts w:hint="eastAsia"/>
          <w:color w:val="auto"/>
          <w:sz w:val="22"/>
          <w:szCs w:val="22"/>
        </w:rPr>
        <w:t xml:space="preserve">at-risk </w:t>
      </w:r>
      <w:r w:rsidRPr="004D46AC">
        <w:rPr>
          <w:color w:val="auto"/>
          <w:sz w:val="22"/>
          <w:szCs w:val="22"/>
        </w:rPr>
        <w:t>symptoms</w:t>
      </w:r>
    </w:p>
    <w:p w14:paraId="2E70F761" w14:textId="77777777" w:rsidR="007075D9" w:rsidRPr="004D46AC" w:rsidRDefault="007075D9" w:rsidP="00581ACE">
      <w:pPr>
        <w:spacing w:line="360" w:lineRule="auto"/>
        <w:ind w:firstLine="0"/>
      </w:pPr>
      <w:r w:rsidRPr="004D46AC">
        <w:rPr>
          <w:i/>
          <w:iCs/>
        </w:rPr>
        <w:t>Note.</w:t>
      </w:r>
      <w:r w:rsidRPr="004D46AC">
        <w:t xml:space="preserve"> Edges indicate the most probable direction of causal influence, estimated from bootstrapped Bayesian Network structures. A directionality threshold of .4</w:t>
      </w:r>
      <w:r w:rsidRPr="004D46AC">
        <w:rPr>
          <w:rFonts w:hint="eastAsia"/>
        </w:rPr>
        <w:t>0</w:t>
      </w:r>
      <w:r w:rsidRPr="004D46AC">
        <w:t xml:space="preserve"> was applied, such that bidirectional arrows are displayed when both directional probabilities exceed .4</w:t>
      </w:r>
      <w:r w:rsidRPr="004D46AC">
        <w:rPr>
          <w:rFonts w:hint="eastAsia"/>
        </w:rPr>
        <w:t>0</w:t>
      </w:r>
      <w:r w:rsidRPr="004D46AC">
        <w:t>, reflecting uncertainty or mutual dependence in the causal ordering of nodes.</w:t>
      </w:r>
    </w:p>
    <w:p w14:paraId="3ECF1DA1" w14:textId="77777777" w:rsidR="007075D9" w:rsidRPr="004D46AC" w:rsidRDefault="007075D9" w:rsidP="00B518F1"/>
    <w:p w14:paraId="2AB077B7" w14:textId="4A352428" w:rsidR="007075D9" w:rsidRPr="004D46AC" w:rsidRDefault="007075D9" w:rsidP="00B518F1">
      <w:pPr>
        <w:ind w:firstLine="660"/>
      </w:pPr>
      <w:r w:rsidRPr="004D46AC">
        <w:t xml:space="preserve">The BNM (Figure </w:t>
      </w:r>
      <w:r w:rsidRPr="004D46AC">
        <w:rPr>
          <w:rFonts w:hint="eastAsia"/>
        </w:rPr>
        <w:t>5.6</w:t>
      </w:r>
      <w:r w:rsidRPr="004D46AC">
        <w:t xml:space="preserve">) revealed meaningful </w:t>
      </w:r>
      <w:r w:rsidRPr="004D46AC">
        <w:rPr>
          <w:rFonts w:hint="eastAsia"/>
        </w:rPr>
        <w:t>causal links</w:t>
      </w:r>
      <w:r w:rsidRPr="004D46AC">
        <w:t xml:space="preserve"> both within and between the three clusters of at-risk mental states.</w:t>
      </w:r>
      <w:r w:rsidRPr="004D46AC">
        <w:rPr>
          <w:rFonts w:hint="eastAsia"/>
        </w:rPr>
        <w:t xml:space="preserve"> </w:t>
      </w:r>
      <w:r w:rsidRPr="004D46AC">
        <w:t>T</w:t>
      </w:r>
      <w:r w:rsidRPr="004D46AC">
        <w:rPr>
          <w:rFonts w:hint="eastAsia"/>
        </w:rPr>
        <w:t xml:space="preserve">he confidence in direction and edge presence is </w:t>
      </w:r>
      <w:r w:rsidRPr="004D46AC">
        <w:t>available</w:t>
      </w:r>
      <w:r w:rsidRPr="004D46AC">
        <w:rPr>
          <w:rFonts w:hint="eastAsia"/>
        </w:rPr>
        <w:t xml:space="preserve"> in Table E</w:t>
      </w:r>
      <w:r w:rsidR="003E095D" w:rsidRPr="004D46AC">
        <w:rPr>
          <w:rFonts w:eastAsiaTheme="minorEastAsia" w:hint="eastAsia"/>
        </w:rPr>
        <w:t xml:space="preserve"> 3</w:t>
      </w:r>
      <w:r w:rsidRPr="004D46AC">
        <w:rPr>
          <w:rFonts w:hint="eastAsia"/>
        </w:rPr>
        <w:t>.</w:t>
      </w:r>
      <w:r w:rsidRPr="004D46AC">
        <w:t xml:space="preserve"> Most directional relationships</w:t>
      </w:r>
      <w:r w:rsidRPr="004D46AC">
        <w:rPr>
          <w:rFonts w:hint="eastAsia"/>
        </w:rPr>
        <w:t xml:space="preserve"> </w:t>
      </w:r>
      <w:r w:rsidRPr="004D46AC">
        <w:t>were identified within clusters rather than across them. In the affective-cognitive dysregulation domain, the</w:t>
      </w:r>
      <w:r w:rsidRPr="004D46AC">
        <w:rPr>
          <w:rFonts w:hint="eastAsia"/>
        </w:rPr>
        <w:t xml:space="preserve"> </w:t>
      </w:r>
      <w:r w:rsidRPr="004D46AC">
        <w:t>directed link from TR15 (Emptiness) to TR12 (Disorganised thinking) emerged as the most confident arc in the entire network. In addition, TR15 was also found to exert probabilistic influences on TR5 (Racing thoughts) and TR26 (Identity confusion), with decreasing confidence approaching the threshold for directionality. Beyond the influence of TR15, TR5 also appeared to be affected by TR25 (Disconnected thoughts). These findings suggest that emotional emptiness may act as a central driver of identity confusion and thought disorganisation.</w:t>
      </w:r>
      <w:r w:rsidRPr="004D46AC">
        <w:rPr>
          <w:rFonts w:hint="eastAsia"/>
        </w:rPr>
        <w:t xml:space="preserve"> </w:t>
      </w:r>
      <w:r w:rsidRPr="004D46AC">
        <w:t>Another notable directed connection within this domain was observed from TR34 (Emotional numbness)</w:t>
      </w:r>
      <w:r w:rsidRPr="004D46AC">
        <w:rPr>
          <w:rFonts w:hint="eastAsia"/>
        </w:rPr>
        <w:t>, also the most connected symptom within this domain,</w:t>
      </w:r>
      <w:r w:rsidRPr="004D46AC">
        <w:t xml:space="preserve"> to TR27 (Poverty of speech), with further probabilistic influences from TR34 to TR7 (Low mood) and TR26. These results suggest that emotional numbness may contribute to reduced affective expression and diminished cognitive engagement, potentially linking affective blunting with thought and speech impoverishment.</w:t>
      </w:r>
      <w:r w:rsidRPr="004D46AC">
        <w:rPr>
          <w:rFonts w:hint="eastAsia"/>
        </w:rPr>
        <w:t xml:space="preserve"> </w:t>
      </w:r>
      <w:r w:rsidRPr="004D46AC">
        <w:t>Collectively, these findings indicate that emotional emptiness and emotional numbness may play pivotal roles in shaping affective and cognitive symptoms within this cluster.</w:t>
      </w:r>
    </w:p>
    <w:p w14:paraId="4EED733B" w14:textId="77777777" w:rsidR="007075D9" w:rsidRPr="004D46AC" w:rsidRDefault="007075D9" w:rsidP="00B518F1">
      <w:pPr>
        <w:ind w:firstLine="660"/>
      </w:pPr>
      <w:r w:rsidRPr="004D46AC">
        <w:t>In the hypomanic domain, TR13 (Pressured speech/Talkativeness) emerged as a child node of TR14 (Elevated self-confidence) and TR16 (Elevated mood or energy), suggesting that elevations in mood and self-image may give rise to cognitive anomalies, such as impairments in executive functioning. TR16 was</w:t>
      </w:r>
      <w:r w:rsidRPr="004D46AC">
        <w:rPr>
          <w:rFonts w:hint="eastAsia"/>
        </w:rPr>
        <w:t xml:space="preserve"> </w:t>
      </w:r>
      <w:r w:rsidRPr="004D46AC">
        <w:t xml:space="preserve">among the most connected nodes </w:t>
      </w:r>
      <w:r w:rsidRPr="004D46AC">
        <w:lastRenderedPageBreak/>
        <w:t>within this domain, although the causal direction of several links remained uncertain. Directed links from TR22 (Grandiosity) to TR14 and TR25 (Ideas of reference) indicate that grandiosity may serve as a common antecedent of alterations in self-identity and related perceptual experiences. Collectively, these findings suggest that elevated mood and energy</w:t>
      </w:r>
      <w:r w:rsidRPr="004D46AC">
        <w:rPr>
          <w:rFonts w:hint="eastAsia"/>
        </w:rPr>
        <w:t xml:space="preserve"> - </w:t>
      </w:r>
      <w:r w:rsidRPr="004D46AC">
        <w:t>and, to a lesser extent, grandiosity</w:t>
      </w:r>
      <w:r w:rsidRPr="004D46AC">
        <w:rPr>
          <w:rFonts w:hint="eastAsia"/>
        </w:rPr>
        <w:t xml:space="preserve"> - </w:t>
      </w:r>
      <w:r w:rsidRPr="004D46AC">
        <w:t xml:space="preserve">may drive many of the symptoms within the hypomanic cluster. </w:t>
      </w:r>
    </w:p>
    <w:p w14:paraId="066A90C7" w14:textId="77777777" w:rsidR="007075D9" w:rsidRPr="004D46AC" w:rsidRDefault="007075D9" w:rsidP="00B518F1">
      <w:pPr>
        <w:ind w:firstLine="660"/>
      </w:pPr>
      <w:r w:rsidRPr="004D46AC">
        <w:t>The causal links within the reality distortion domain were less complex and generally less confident. TR30 (Suspiciousness) appeared to be influenced by TR33 (Paranoia) and to have possible bidirectional relationships with TR17 (Reality confusion) and TR29 (Pseudo-hallucinations). Another meaningful directed link was observed from TR6 (Auditory hallucinations) to TR9 (Sound distraction), suggesting that auditory hallucinations may contribute to increased distractibility by ‘external’ sounds.</w:t>
      </w:r>
    </w:p>
    <w:p w14:paraId="4140DCD0" w14:textId="77777777" w:rsidR="007075D9" w:rsidRPr="004D46AC" w:rsidRDefault="007075D9" w:rsidP="00B518F1">
      <w:pPr>
        <w:ind w:firstLine="660"/>
      </w:pPr>
      <w:r w:rsidRPr="004D46AC">
        <w:t>Only three directed edges were identified across the three domains. Two of these connected the hypomanic and affective-cognitive clusters. The most confident of these was from TR14 (Elevated self-confidence) to TR12 (Disorganised thinking), while a bidirectional association was observed between TR16 (Elevated mood or energy) and TR19 (Mood cycle), highlighting the potential interplay between mood elevation and cognitive dysfunction. The remaining cross-domain link was from TR34 (Emotional numbness) to TR33 (Paranoia), indicating a close connection between negative and psychotic-like traits.</w:t>
      </w:r>
      <w:r w:rsidRPr="004D46AC">
        <w:rPr>
          <w:rFonts w:hint="eastAsia"/>
        </w:rPr>
        <w:t xml:space="preserve"> </w:t>
      </w:r>
    </w:p>
    <w:p w14:paraId="7063EC14" w14:textId="77777777" w:rsidR="007075D9" w:rsidRPr="004D46AC" w:rsidRDefault="007075D9" w:rsidP="00B518F1">
      <w:pPr>
        <w:pStyle w:val="3"/>
        <w:rPr>
          <w:rFonts w:eastAsiaTheme="minorEastAsia"/>
        </w:rPr>
      </w:pPr>
      <w:r w:rsidRPr="004D46AC">
        <w:rPr>
          <w:rFonts w:hint="eastAsia"/>
        </w:rPr>
        <w:t>Network comparison among subgroups</w:t>
      </w:r>
    </w:p>
    <w:p w14:paraId="4464B746" w14:textId="77777777" w:rsidR="007075D9" w:rsidRPr="004D46AC" w:rsidRDefault="007075D9" w:rsidP="00B518F1">
      <w:pPr>
        <w:ind w:firstLine="660"/>
      </w:pPr>
      <w:r w:rsidRPr="004D46AC">
        <w:t>The stabilit</w:t>
      </w:r>
      <w:r w:rsidRPr="004D46AC">
        <w:rPr>
          <w:rFonts w:hint="eastAsia"/>
        </w:rPr>
        <w:t>ies</w:t>
      </w:r>
      <w:r w:rsidRPr="004D46AC">
        <w:t xml:space="preserve"> of </w:t>
      </w:r>
      <w:r w:rsidRPr="004D46AC">
        <w:rPr>
          <w:rFonts w:hint="eastAsia"/>
        </w:rPr>
        <w:t xml:space="preserve">node </w:t>
      </w:r>
      <w:r w:rsidRPr="004D46AC">
        <w:t>centralit</w:t>
      </w:r>
      <w:r w:rsidRPr="004D46AC">
        <w:rPr>
          <w:rFonts w:hint="eastAsia"/>
        </w:rPr>
        <w:t xml:space="preserve">ies and edge statistics were low to moderate (i.e., </w:t>
      </w:r>
      <w:r w:rsidRPr="004D46AC">
        <w:t>CS</w:t>
      </w:r>
      <w:r w:rsidRPr="004D46AC">
        <w:rPr>
          <w:rFonts w:hint="eastAsia"/>
        </w:rPr>
        <w:t xml:space="preserve"> </w:t>
      </w:r>
      <w:r w:rsidRPr="004D46AC">
        <w:t>coefficient</w:t>
      </w:r>
      <w:r w:rsidRPr="004D46AC">
        <w:rPr>
          <w:rFonts w:hint="eastAsia"/>
        </w:rPr>
        <w:t>: 0-.44) for most of the subgroups</w:t>
      </w:r>
      <w:r w:rsidRPr="004D46AC">
        <w:t xml:space="preserve">, </w:t>
      </w:r>
      <w:proofErr w:type="gramStart"/>
      <w:r w:rsidRPr="004D46AC">
        <w:t>with the exception of</w:t>
      </w:r>
      <w:proofErr w:type="gramEnd"/>
      <w:r w:rsidRPr="004D46AC">
        <w:t xml:space="preserve"> edge weights observed in the oldest age group (30</w:t>
      </w:r>
      <w:r w:rsidRPr="004D46AC">
        <w:rPr>
          <w:rFonts w:hint="eastAsia"/>
        </w:rPr>
        <w:t>-</w:t>
      </w:r>
      <w:r w:rsidRPr="004D46AC">
        <w:t>36 years) and gender subgroups. Th</w:t>
      </w:r>
      <w:r w:rsidRPr="004D46AC">
        <w:rPr>
          <w:rFonts w:hint="eastAsia"/>
        </w:rPr>
        <w:t>e low</w:t>
      </w:r>
      <w:r w:rsidRPr="004D46AC">
        <w:t xml:space="preserve"> stability is likely due to smaller subgroup sample sizes. Therefore, findings from the</w:t>
      </w:r>
      <w:r w:rsidRPr="004D46AC">
        <w:rPr>
          <w:rFonts w:hint="eastAsia"/>
        </w:rPr>
        <w:t xml:space="preserve"> </w:t>
      </w:r>
      <w:r w:rsidRPr="004D46AC">
        <w:t>NCT, particularly those involving age group comparisons, should be interpreted with caution.</w:t>
      </w:r>
    </w:p>
    <w:p w14:paraId="66D7C395" w14:textId="77777777" w:rsidR="007075D9" w:rsidRPr="004D46AC" w:rsidRDefault="007075D9" w:rsidP="00B518F1">
      <w:pPr>
        <w:pStyle w:val="4"/>
      </w:pPr>
      <w:r w:rsidRPr="004D46AC">
        <w:rPr>
          <w:rFonts w:hint="eastAsia"/>
        </w:rPr>
        <w:t>IMs in participants of different age groups</w:t>
      </w:r>
    </w:p>
    <w:p w14:paraId="7E770C15" w14:textId="64A804A1" w:rsidR="007075D9" w:rsidRPr="004D46AC" w:rsidRDefault="007075D9" w:rsidP="00B518F1">
      <w:pPr>
        <w:ind w:firstLine="660"/>
      </w:pPr>
      <w:r w:rsidRPr="004D46AC">
        <w:t>The networks for different age groups are visualised in</w:t>
      </w:r>
      <w:r w:rsidRPr="004D46AC">
        <w:rPr>
          <w:rFonts w:hint="eastAsia"/>
        </w:rPr>
        <w:t xml:space="preserve"> </w:t>
      </w:r>
      <w:r w:rsidRPr="004D46AC">
        <w:t>Figure E</w:t>
      </w:r>
      <w:r w:rsidR="00904541" w:rsidRPr="004D46AC">
        <w:rPr>
          <w:rFonts w:eastAsiaTheme="minorEastAsia" w:hint="eastAsia"/>
        </w:rPr>
        <w:t xml:space="preserve"> </w:t>
      </w:r>
      <w:r w:rsidRPr="004D46AC">
        <w:rPr>
          <w:rFonts w:hint="eastAsia"/>
        </w:rPr>
        <w:t>3</w:t>
      </w:r>
      <w:r w:rsidRPr="004D46AC">
        <w:t xml:space="preserve">. A general pattern was observed in node strength, which tended to increase with age. Visual inspection </w:t>
      </w:r>
      <w:r w:rsidRPr="004D46AC">
        <w:lastRenderedPageBreak/>
        <w:t>revealed that the adolescent group (14</w:t>
      </w:r>
      <w:r w:rsidRPr="004D46AC">
        <w:rPr>
          <w:rFonts w:hint="eastAsia"/>
        </w:rPr>
        <w:t>-</w:t>
      </w:r>
      <w:r w:rsidRPr="004D46AC">
        <w:t>17 years old) exhibited lower node strength across most items compared to older participants. For example, nodes such as TR3 (Impulsivity), TR13 (Pressured Speech/Talkative), TR17 (Reality Confusion), TR25 (Idea of Reference), and TR37 (Confused Thinking) showed reduced centrality in adolescents. In contrast, node strength appeared higher among adults, particularly those aged 30</w:t>
      </w:r>
      <w:r w:rsidRPr="004D46AC">
        <w:rPr>
          <w:rFonts w:hint="eastAsia"/>
        </w:rPr>
        <w:t>-</w:t>
      </w:r>
      <w:r w:rsidRPr="004D46AC">
        <w:t>36 years. Notable examples include TR16 (Elevated Mood or Energy), TR20 (Increased Goal-Directed Activity), and TR24 (Disconnected Thoughts).</w:t>
      </w:r>
    </w:p>
    <w:p w14:paraId="3817837B" w14:textId="1CC69418" w:rsidR="007075D9" w:rsidRPr="004D46AC" w:rsidRDefault="007075D9" w:rsidP="00B518F1">
      <w:pPr>
        <w:ind w:firstLine="660"/>
      </w:pPr>
      <w:proofErr w:type="gramStart"/>
      <w:r w:rsidRPr="004D46AC">
        <w:t>With regard to</w:t>
      </w:r>
      <w:proofErr w:type="gramEnd"/>
      <w:r w:rsidRPr="004D46AC">
        <w:t xml:space="preserve"> bridge centrality, TR33 (Paranoia) emerged as the node with the highest bridge strength in both the youngest (14</w:t>
      </w:r>
      <w:r w:rsidRPr="004D46AC">
        <w:rPr>
          <w:rFonts w:hint="eastAsia"/>
        </w:rPr>
        <w:t>-</w:t>
      </w:r>
      <w:r w:rsidRPr="004D46AC">
        <w:t>17 years) and oldest (30</w:t>
      </w:r>
      <w:r w:rsidRPr="004D46AC">
        <w:rPr>
          <w:rFonts w:hint="eastAsia"/>
        </w:rPr>
        <w:t>-</w:t>
      </w:r>
      <w:r w:rsidRPr="004D46AC">
        <w:t>36 years) groups. In contrast, TR30 (Suspiciousness) was the most central bridging node among the two middle age groups (18</w:t>
      </w:r>
      <w:r w:rsidRPr="004D46AC">
        <w:rPr>
          <w:rFonts w:hint="eastAsia"/>
        </w:rPr>
        <w:t>-</w:t>
      </w:r>
      <w:r w:rsidRPr="004D46AC">
        <w:t>29 years). The node with the lowest bridge strength varied across subgroups; however, most such nodes were observed in the youngest group and exhibited a nearly flat line on the graph, indicating minimal cross-domain influence (see Figure E</w:t>
      </w:r>
      <w:r w:rsidR="00904541" w:rsidRPr="004D46AC">
        <w:rPr>
          <w:rFonts w:eastAsiaTheme="minorEastAsia" w:hint="eastAsia"/>
        </w:rPr>
        <w:t xml:space="preserve"> </w:t>
      </w:r>
      <w:r w:rsidRPr="004D46AC">
        <w:rPr>
          <w:rFonts w:hint="eastAsia"/>
        </w:rPr>
        <w:t xml:space="preserve">4 </w:t>
      </w:r>
      <w:r w:rsidRPr="004D46AC">
        <w:t>for details).</w:t>
      </w:r>
    </w:p>
    <w:p w14:paraId="791BD747" w14:textId="53A950AE" w:rsidR="007075D9" w:rsidRPr="004D46AC" w:rsidRDefault="007075D9" w:rsidP="00B518F1">
      <w:pPr>
        <w:ind w:firstLine="660"/>
      </w:pPr>
      <w:r w:rsidRPr="004D46AC">
        <w:t>Edge weights also varied across age groups. For instance, the strongest edge in the youngest group was between TR6 (Auditory Hallucinations) and TR29 (Pseudo-Hallucinations), whereas in the oldest group, it was between TR14 (Elevated Self-Confidence) and TR16 (Elevated Mood or Energy). Notably, only participants aged 18</w:t>
      </w:r>
      <w:r w:rsidRPr="004D46AC">
        <w:rPr>
          <w:rFonts w:hint="eastAsia"/>
        </w:rPr>
        <w:t>-</w:t>
      </w:r>
      <w:r w:rsidRPr="004D46AC">
        <w:t xml:space="preserve">25 years exhibited an edge structure </w:t>
      </w:r>
      <w:proofErr w:type="gramStart"/>
      <w:r w:rsidRPr="004D46AC">
        <w:t>similar to</w:t>
      </w:r>
      <w:proofErr w:type="gramEnd"/>
      <w:r w:rsidRPr="004D46AC">
        <w:t xml:space="preserve"> that of the full sample, which may be attributable to sample size differences across groups. The weakest edge weights also differed across age groups (see Tables </w:t>
      </w:r>
      <w:r w:rsidR="003E095D" w:rsidRPr="004D46AC">
        <w:rPr>
          <w:rFonts w:eastAsiaTheme="minorEastAsia" w:hint="eastAsia"/>
        </w:rPr>
        <w:t>E 4-7</w:t>
      </w:r>
      <w:r w:rsidRPr="004D46AC">
        <w:t xml:space="preserve"> for full edge statistics).</w:t>
      </w:r>
    </w:p>
    <w:p w14:paraId="3C1EB794" w14:textId="77777777" w:rsidR="007075D9" w:rsidRPr="004D46AC" w:rsidRDefault="007075D9" w:rsidP="00B518F1">
      <w:pPr>
        <w:ind w:firstLine="660"/>
      </w:pPr>
      <w:r w:rsidRPr="004D46AC">
        <w:t>At a broader level, the average absolute edge weights (i.e., weighted network density) increased with age and were reported as follows: .07 (14</w:t>
      </w:r>
      <w:r w:rsidRPr="004D46AC">
        <w:rPr>
          <w:rFonts w:hint="eastAsia"/>
        </w:rPr>
        <w:t>-</w:t>
      </w:r>
      <w:r w:rsidRPr="004D46AC">
        <w:t>17 years), .12 (18</w:t>
      </w:r>
      <w:r w:rsidRPr="004D46AC">
        <w:rPr>
          <w:rFonts w:hint="eastAsia"/>
        </w:rPr>
        <w:t>-</w:t>
      </w:r>
      <w:r w:rsidRPr="004D46AC">
        <w:t>24 years), .12 (25</w:t>
      </w:r>
      <w:r w:rsidRPr="004D46AC">
        <w:rPr>
          <w:rFonts w:hint="eastAsia"/>
        </w:rPr>
        <w:t>-</w:t>
      </w:r>
      <w:r w:rsidRPr="004D46AC">
        <w:t>29 years), and .15 (30</w:t>
      </w:r>
      <w:r w:rsidRPr="004D46AC">
        <w:rPr>
          <w:rFonts w:hint="eastAsia"/>
        </w:rPr>
        <w:t>-</w:t>
      </w:r>
      <w:r w:rsidRPr="004D46AC">
        <w:t>36 years). The proportion of non-zero edges was also age-dependent, with the adolescent network exhibiting the lowest density (18%) and the oldest group the highest (41%).</w:t>
      </w:r>
      <w:r w:rsidRPr="004D46AC">
        <w:rPr>
          <w:rFonts w:hint="eastAsia"/>
        </w:rPr>
        <w:t xml:space="preserve"> </w:t>
      </w:r>
      <w:r w:rsidRPr="004D46AC">
        <w:t xml:space="preserve">While no significant differences in network connectivity or structure were observed between the two middle age groups, the Network Comparison Test (NCT) revealed statistically significant differences in global connectivity between the youngest and </w:t>
      </w:r>
      <w:r w:rsidRPr="004D46AC">
        <w:lastRenderedPageBreak/>
        <w:t>oldest groups (</w:t>
      </w:r>
      <w:r w:rsidRPr="004D46AC">
        <w:rPr>
          <w:i/>
          <w:iCs/>
        </w:rPr>
        <w:t>S</w:t>
      </w:r>
      <w:r w:rsidRPr="004D46AC">
        <w:rPr>
          <w:rFonts w:ascii="Cambria Math" w:hAnsi="Cambria Math" w:cs="Cambria Math"/>
        </w:rPr>
        <w:t>₀</w:t>
      </w:r>
      <w:r w:rsidRPr="004D46AC">
        <w:t xml:space="preserve"> = 27.02, </w:t>
      </w:r>
      <w:r w:rsidRPr="004D46AC">
        <w:rPr>
          <w:i/>
          <w:iCs/>
        </w:rPr>
        <w:t>p</w:t>
      </w:r>
      <w:r w:rsidRPr="004D46AC">
        <w:t xml:space="preserve"> &lt; .001), as well as between the 18</w:t>
      </w:r>
      <w:r w:rsidRPr="004D46AC">
        <w:rPr>
          <w:rFonts w:hint="eastAsia"/>
        </w:rPr>
        <w:t>-</w:t>
      </w:r>
      <w:r w:rsidRPr="004D46AC">
        <w:t>24 and 30</w:t>
      </w:r>
      <w:r w:rsidRPr="004D46AC">
        <w:rPr>
          <w:rFonts w:hint="eastAsia"/>
        </w:rPr>
        <w:t>-</w:t>
      </w:r>
      <w:r w:rsidRPr="004D46AC">
        <w:t>36 age groups (</w:t>
      </w:r>
      <w:r w:rsidRPr="004D46AC">
        <w:rPr>
          <w:i/>
          <w:iCs/>
        </w:rPr>
        <w:t>S</w:t>
      </w:r>
      <w:r w:rsidRPr="004D46AC">
        <w:rPr>
          <w:rFonts w:ascii="Cambria Math" w:hAnsi="Cambria Math" w:cs="Cambria Math"/>
        </w:rPr>
        <w:t>₀</w:t>
      </w:r>
      <w:r w:rsidRPr="004D46AC">
        <w:t xml:space="preserve"> = 12.69, </w:t>
      </w:r>
      <w:r w:rsidRPr="004D46AC">
        <w:rPr>
          <w:i/>
          <w:iCs/>
        </w:rPr>
        <w:t>p</w:t>
      </w:r>
      <w:r w:rsidRPr="004D46AC">
        <w:t xml:space="preserve"> &lt; .01). A significant difference in overall network structure was also found between the youngest and oldest groups (</w:t>
      </w:r>
      <w:r w:rsidRPr="004D46AC">
        <w:rPr>
          <w:i/>
          <w:iCs/>
        </w:rPr>
        <w:t>E</w:t>
      </w:r>
      <w:r w:rsidRPr="004D46AC">
        <w:t xml:space="preserve"> = 1.15, </w:t>
      </w:r>
      <w:r w:rsidRPr="004D46AC">
        <w:rPr>
          <w:i/>
          <w:iCs/>
        </w:rPr>
        <w:t xml:space="preserve">p </w:t>
      </w:r>
      <w:r w:rsidRPr="004D46AC">
        <w:t>&lt; .05), prompting a post hoc test.</w:t>
      </w:r>
      <w:r w:rsidRPr="004D46AC">
        <w:rPr>
          <w:rFonts w:hint="eastAsia"/>
        </w:rPr>
        <w:t xml:space="preserve"> </w:t>
      </w:r>
      <w:r w:rsidRPr="004D46AC">
        <w:t>H</w:t>
      </w:r>
      <w:r w:rsidRPr="004D46AC">
        <w:rPr>
          <w:rFonts w:hint="eastAsia"/>
        </w:rPr>
        <w:t xml:space="preserve">owever, the post hoc analysis did not reveal any significant difference between edges, </w:t>
      </w:r>
      <w:r w:rsidRPr="004D46AC">
        <w:t xml:space="preserve">which may reflect limited power or the presence of many </w:t>
      </w:r>
      <w:proofErr w:type="gramStart"/>
      <w:r w:rsidRPr="004D46AC">
        <w:t>small</w:t>
      </w:r>
      <w:r w:rsidRPr="004D46AC">
        <w:rPr>
          <w:rFonts w:hint="eastAsia"/>
        </w:rPr>
        <w:t xml:space="preserve"> </w:t>
      </w:r>
      <w:r w:rsidRPr="004D46AC">
        <w:t>distributed</w:t>
      </w:r>
      <w:proofErr w:type="gramEnd"/>
      <w:r w:rsidRPr="004D46AC">
        <w:t xml:space="preserve"> changes rather than any single large effect.</w:t>
      </w:r>
    </w:p>
    <w:p w14:paraId="01757B1E" w14:textId="77777777" w:rsidR="007075D9" w:rsidRPr="004D46AC" w:rsidRDefault="007075D9" w:rsidP="00B518F1">
      <w:pPr>
        <w:pStyle w:val="4"/>
      </w:pPr>
      <w:r w:rsidRPr="004D46AC">
        <w:rPr>
          <w:rFonts w:hint="eastAsia"/>
        </w:rPr>
        <w:t>IMs in Female and Male</w:t>
      </w:r>
    </w:p>
    <w:p w14:paraId="1300D2EB" w14:textId="092C1D03" w:rsidR="007075D9" w:rsidRPr="004D46AC" w:rsidRDefault="007075D9" w:rsidP="00B518F1">
      <w:pPr>
        <w:ind w:firstLine="660"/>
      </w:pPr>
      <w:r w:rsidRPr="004D46AC">
        <w:t>The IM structures for gender subgroups are presented in Figure E</w:t>
      </w:r>
      <w:r w:rsidR="00904541" w:rsidRPr="004D46AC">
        <w:rPr>
          <w:rFonts w:eastAsiaTheme="minorEastAsia" w:hint="eastAsia"/>
        </w:rPr>
        <w:t xml:space="preserve"> </w:t>
      </w:r>
      <w:r w:rsidRPr="004D46AC">
        <w:rPr>
          <w:rFonts w:hint="eastAsia"/>
        </w:rPr>
        <w:t>5</w:t>
      </w:r>
      <w:r w:rsidRPr="004D46AC">
        <w:t>. Although the networks appeared visually similar between males and females, node-level statistics indicated notable qualitative differences. In the male network, the node with the highest strength was TR17 (Reality Confusion), while in the female network, the nodes</w:t>
      </w:r>
      <w:r w:rsidRPr="004D46AC">
        <w:rPr>
          <w:rFonts w:hint="eastAsia"/>
        </w:rPr>
        <w:t xml:space="preserve"> with highest strength</w:t>
      </w:r>
      <w:r w:rsidRPr="004D46AC">
        <w:t xml:space="preserve"> were TR24 (Disconnected Thoughts) and TR30 (Suspiciousness). The node with the lowest strength was consistent across gender subgroups: TR27 (Poverty of Speech).</w:t>
      </w:r>
    </w:p>
    <w:p w14:paraId="21A82A83" w14:textId="7C61A9B8" w:rsidR="007075D9" w:rsidRPr="004D46AC" w:rsidRDefault="007075D9" w:rsidP="00B518F1">
      <w:pPr>
        <w:ind w:firstLine="660"/>
      </w:pPr>
      <w:r w:rsidRPr="004D46AC">
        <w:t>In terms of bridge strength, TR30 (Suspiciousness) had the highest value in the female network, whereas TR17 (Reality Confusion) held this position in the male network. The nodes with the lowest bridge strength were TR27 and TR7 (Low Mood) for females, and TR15 (Emptiness) for males (see Figure E</w:t>
      </w:r>
      <w:r w:rsidR="00904541" w:rsidRPr="004D46AC">
        <w:rPr>
          <w:rFonts w:eastAsiaTheme="minorEastAsia" w:hint="eastAsia"/>
        </w:rPr>
        <w:t xml:space="preserve"> </w:t>
      </w:r>
      <w:r w:rsidRPr="004D46AC">
        <w:rPr>
          <w:rFonts w:hint="eastAsia"/>
        </w:rPr>
        <w:t>6</w:t>
      </w:r>
      <w:r w:rsidRPr="004D46AC">
        <w:t xml:space="preserve"> for node statistics).</w:t>
      </w:r>
      <w:r w:rsidRPr="004D46AC">
        <w:rPr>
          <w:rFonts w:hint="eastAsia"/>
        </w:rPr>
        <w:t xml:space="preserve"> </w:t>
      </w:r>
      <w:r w:rsidRPr="004D46AC">
        <w:t xml:space="preserve">The edge with the highest weight was consistent with that of the full sample network; however, the weakest edge varied between subgroups (see Tables </w:t>
      </w:r>
      <w:r w:rsidR="003E095D" w:rsidRPr="004D46AC">
        <w:rPr>
          <w:rFonts w:eastAsiaTheme="minorEastAsia" w:hint="eastAsia"/>
        </w:rPr>
        <w:t>E 8-9</w:t>
      </w:r>
      <w:r w:rsidRPr="004D46AC">
        <w:t xml:space="preserve"> for details). </w:t>
      </w:r>
    </w:p>
    <w:p w14:paraId="4B7397DA" w14:textId="77777777" w:rsidR="007075D9" w:rsidRPr="004D46AC" w:rsidRDefault="007075D9" w:rsidP="00B518F1">
      <w:pPr>
        <w:ind w:firstLine="660"/>
      </w:pPr>
      <w:r w:rsidRPr="004D46AC">
        <w:t xml:space="preserve">At the macro level, </w:t>
      </w:r>
      <w:r w:rsidRPr="004D46AC">
        <w:rPr>
          <w:rFonts w:hint="eastAsia"/>
        </w:rPr>
        <w:t xml:space="preserve">the proportion of non-zero edges in the networks of female (42%) and male (45%) were similar, and </w:t>
      </w:r>
      <w:r w:rsidRPr="004D46AC">
        <w:t>the weighted global densities were .14 and .15 for female and male networks, respectively. NCT revealed no statistically significant differences in overall network connectivity</w:t>
      </w:r>
      <w:r w:rsidRPr="004D46AC">
        <w:rPr>
          <w:rFonts w:hint="eastAsia"/>
        </w:rPr>
        <w:t xml:space="preserve"> (</w:t>
      </w:r>
      <w:r w:rsidRPr="004D46AC">
        <w:rPr>
          <w:rFonts w:hint="eastAsia"/>
          <w:i/>
          <w:iCs/>
        </w:rPr>
        <w:t>S</w:t>
      </w:r>
      <w:r w:rsidRPr="004D46AC">
        <w:rPr>
          <w:rFonts w:hint="eastAsia"/>
          <w:vertAlign w:val="subscript"/>
        </w:rPr>
        <w:t xml:space="preserve">0 </w:t>
      </w:r>
      <w:r w:rsidRPr="004D46AC">
        <w:rPr>
          <w:rFonts w:hint="eastAsia"/>
        </w:rPr>
        <w:t xml:space="preserve">= 0.49, </w:t>
      </w:r>
      <w:r w:rsidRPr="004D46AC">
        <w:rPr>
          <w:rFonts w:hint="eastAsia"/>
          <w:i/>
          <w:iCs/>
        </w:rPr>
        <w:t xml:space="preserve">p </w:t>
      </w:r>
      <w:r w:rsidRPr="004D46AC">
        <w:rPr>
          <w:rFonts w:hint="eastAsia"/>
        </w:rPr>
        <w:t>= 0.89)</w:t>
      </w:r>
      <w:r w:rsidRPr="004D46AC">
        <w:t xml:space="preserve"> or structure</w:t>
      </w:r>
      <w:r w:rsidRPr="004D46AC">
        <w:rPr>
          <w:rFonts w:hint="eastAsia"/>
        </w:rPr>
        <w:t xml:space="preserve"> (</w:t>
      </w:r>
      <w:r w:rsidRPr="004D46AC">
        <w:rPr>
          <w:rFonts w:hint="eastAsia"/>
          <w:i/>
          <w:iCs/>
        </w:rPr>
        <w:t xml:space="preserve">E </w:t>
      </w:r>
      <w:r w:rsidRPr="004D46AC">
        <w:rPr>
          <w:rFonts w:hint="eastAsia"/>
        </w:rPr>
        <w:t xml:space="preserve">= 0.58, </w:t>
      </w:r>
      <w:r w:rsidRPr="004D46AC">
        <w:rPr>
          <w:rFonts w:hint="eastAsia"/>
          <w:i/>
          <w:iCs/>
        </w:rPr>
        <w:t xml:space="preserve">p </w:t>
      </w:r>
      <w:r w:rsidRPr="004D46AC">
        <w:rPr>
          <w:rFonts w:hint="eastAsia"/>
        </w:rPr>
        <w:t>= 0.78)</w:t>
      </w:r>
      <w:r w:rsidRPr="004D46AC">
        <w:t xml:space="preserve"> between gender groups.</w:t>
      </w:r>
    </w:p>
    <w:p w14:paraId="2C95677E" w14:textId="77777777" w:rsidR="007075D9" w:rsidRPr="004D46AC" w:rsidRDefault="007075D9" w:rsidP="00B518F1">
      <w:pPr>
        <w:ind w:firstLine="660"/>
      </w:pPr>
    </w:p>
    <w:p w14:paraId="7AB00E1C" w14:textId="77777777" w:rsidR="007075D9" w:rsidRPr="004D46AC" w:rsidRDefault="007075D9" w:rsidP="00B518F1">
      <w:pPr>
        <w:ind w:firstLine="660"/>
      </w:pPr>
    </w:p>
    <w:p w14:paraId="4F1A30FF" w14:textId="77777777" w:rsidR="007075D9" w:rsidRPr="004D46AC" w:rsidRDefault="007075D9" w:rsidP="00B518F1">
      <w:pPr>
        <w:ind w:firstLine="660"/>
      </w:pPr>
    </w:p>
    <w:p w14:paraId="7AA05019" w14:textId="77777777" w:rsidR="007075D9" w:rsidRPr="004D46AC" w:rsidRDefault="007075D9" w:rsidP="00B518F1">
      <w:pPr>
        <w:ind w:firstLine="0"/>
        <w:rPr>
          <w:rFonts w:eastAsiaTheme="minorEastAsia"/>
        </w:rPr>
      </w:pPr>
    </w:p>
    <w:p w14:paraId="732DDA25" w14:textId="77777777" w:rsidR="007075D9" w:rsidRPr="004D46AC" w:rsidRDefault="007075D9" w:rsidP="00B518F1">
      <w:pPr>
        <w:pStyle w:val="2"/>
        <w:rPr>
          <w:rFonts w:eastAsiaTheme="minorEastAsia"/>
        </w:rPr>
      </w:pPr>
      <w:bookmarkStart w:id="278" w:name="_Toc219888785"/>
      <w:r w:rsidRPr="004D46AC">
        <w:lastRenderedPageBreak/>
        <w:t>D</w:t>
      </w:r>
      <w:r w:rsidRPr="004D46AC">
        <w:rPr>
          <w:rFonts w:hint="eastAsia"/>
        </w:rPr>
        <w:t>iscussion</w:t>
      </w:r>
      <w:bookmarkEnd w:id="278"/>
    </w:p>
    <w:p w14:paraId="4116C270" w14:textId="77777777" w:rsidR="007075D9" w:rsidRPr="004D46AC" w:rsidRDefault="007075D9" w:rsidP="00B518F1">
      <w:pPr>
        <w:ind w:firstLine="660"/>
      </w:pPr>
      <w:r w:rsidRPr="004D46AC">
        <w:t xml:space="preserve">The present study developed a scale to assess </w:t>
      </w:r>
      <w:r w:rsidRPr="004D46AC">
        <w:rPr>
          <w:rFonts w:hint="eastAsia"/>
        </w:rPr>
        <w:t>a possible</w:t>
      </w:r>
      <w:r w:rsidRPr="004D46AC">
        <w:t xml:space="preserve"> pluripotential at-risk state and examined the structure of at-risk experiences</w:t>
      </w:r>
      <w:r w:rsidRPr="004D46AC">
        <w:rPr>
          <w:rFonts w:hint="eastAsia"/>
        </w:rPr>
        <w:t xml:space="preserve"> use this scale</w:t>
      </w:r>
      <w:r w:rsidRPr="004D46AC">
        <w:t xml:space="preserve"> among young people in the United Kingdom </w:t>
      </w:r>
      <w:r w:rsidRPr="004D46AC">
        <w:rPr>
          <w:rFonts w:hint="eastAsia"/>
        </w:rPr>
        <w:t>through</w:t>
      </w:r>
      <w:r w:rsidRPr="004D46AC">
        <w:t xml:space="preserve"> a range of psychometric and network-analytic approaches. </w:t>
      </w:r>
    </w:p>
    <w:p w14:paraId="212E2C6A" w14:textId="77777777" w:rsidR="007075D9" w:rsidRPr="004D46AC" w:rsidRDefault="007075D9" w:rsidP="00B518F1">
      <w:pPr>
        <w:pStyle w:val="3"/>
      </w:pPr>
      <w:r w:rsidRPr="004D46AC">
        <w:rPr>
          <w:rFonts w:hint="eastAsia"/>
        </w:rPr>
        <w:t>Psychometric and exploratory findings</w:t>
      </w:r>
    </w:p>
    <w:p w14:paraId="036A9D4D" w14:textId="77777777" w:rsidR="007075D9" w:rsidRPr="004D46AC" w:rsidRDefault="007075D9" w:rsidP="00B518F1">
      <w:pPr>
        <w:ind w:firstLine="660"/>
      </w:pPr>
      <w:r w:rsidRPr="004D46AC">
        <w:t>Our main psychometric and exploratory findings were as follows</w:t>
      </w:r>
      <w:r w:rsidRPr="004D46AC">
        <w:rPr>
          <w:rFonts w:hint="eastAsia"/>
        </w:rPr>
        <w:t xml:space="preserve">: </w:t>
      </w:r>
      <w:r w:rsidRPr="004D46AC">
        <w:t>(1) A three-factor structure emerged, reflecting affective-cognitive dysregulation, hypomania, and reality distortion.</w:t>
      </w:r>
      <w:r w:rsidRPr="004D46AC">
        <w:rPr>
          <w:rFonts w:hint="eastAsia"/>
        </w:rPr>
        <w:t xml:space="preserve"> </w:t>
      </w:r>
      <w:r w:rsidRPr="004D46AC">
        <w:t>(2) The three factors were strongly inter-correlated (</w:t>
      </w:r>
      <w:r w:rsidRPr="004D46AC">
        <w:rPr>
          <w:i/>
          <w:iCs/>
        </w:rPr>
        <w:t>r</w:t>
      </w:r>
      <w:r w:rsidRPr="004D46AC">
        <w:rPr>
          <w:rFonts w:hint="eastAsia"/>
        </w:rPr>
        <w:t xml:space="preserve"> </w:t>
      </w:r>
      <w:r w:rsidRPr="004D46AC">
        <w:t>&gt; .50), and a general factor accounted for a substantial proportion of shared varianc</w:t>
      </w:r>
      <w:r w:rsidRPr="004D46AC">
        <w:rPr>
          <w:rFonts w:hint="eastAsia"/>
        </w:rPr>
        <w:t xml:space="preserve">e. </w:t>
      </w:r>
      <w:r w:rsidRPr="004D46AC">
        <w:t>(3) The TRACE demonstrated robust convergent and divergent validity, showing strong associations with related psychopathology measures and expected negative associations with healthy-functioning indicators; however, the hypomania dimension contributed comparatively little unique variance. (4) Gender differences were observed, with females scoring higher on affective-cognitive dysregulation and males scoring higher on hypomania and reality distortion.</w:t>
      </w:r>
      <w:r w:rsidRPr="004D46AC">
        <w:rPr>
          <w:rFonts w:hint="eastAsia"/>
        </w:rPr>
        <w:t xml:space="preserve"> </w:t>
      </w:r>
      <w:r w:rsidRPr="004D46AC">
        <w:t xml:space="preserve">(5) Age differences </w:t>
      </w:r>
      <w:r w:rsidRPr="004D46AC">
        <w:rPr>
          <w:rFonts w:hint="eastAsia"/>
        </w:rPr>
        <w:t>among groups were not</w:t>
      </w:r>
      <w:r w:rsidRPr="004D46AC">
        <w:t xml:space="preserve"> significant </w:t>
      </w:r>
      <w:r w:rsidRPr="004D46AC">
        <w:rPr>
          <w:rFonts w:hint="eastAsia"/>
        </w:rPr>
        <w:t xml:space="preserve">for most </w:t>
      </w:r>
      <w:r w:rsidRPr="004D46AC">
        <w:t>dimensions except for hypomania.</w:t>
      </w:r>
    </w:p>
    <w:p w14:paraId="2C214EB1" w14:textId="77777777" w:rsidR="007075D9" w:rsidRPr="004D46AC" w:rsidRDefault="007075D9" w:rsidP="00B518F1">
      <w:pPr>
        <w:ind w:firstLine="660"/>
      </w:pPr>
      <w:r w:rsidRPr="004D46AC">
        <w:t xml:space="preserve">Unexpectedly, only three dimensions were identified. The affective-cognitive dysregulation dimension captured affective instabilities (e.g., mood cycles, mood lability) and cognitive disturbances (e.g., racing thoughts, disconnected thinking). The hypomania and reality-distortion dimensions comprised classic symptoms that aligned closely with </w:t>
      </w:r>
      <w:r w:rsidRPr="004D46AC">
        <w:rPr>
          <w:rFonts w:hint="eastAsia"/>
        </w:rPr>
        <w:t xml:space="preserve">  </w:t>
      </w:r>
      <w:r w:rsidRPr="004D46AC">
        <w:t xml:space="preserve">theoretical constructs of at-risk states for mania and psychosis. These findings are partially consistent with the </w:t>
      </w:r>
      <w:proofErr w:type="spellStart"/>
      <w:r w:rsidRPr="004D46AC">
        <w:t>HiTOP</w:t>
      </w:r>
      <w:proofErr w:type="spellEnd"/>
      <w:r w:rsidRPr="004D46AC">
        <w:t xml:space="preserve"> model </w:t>
      </w:r>
      <w:r w:rsidRPr="004D46AC">
        <w:fldChar w:fldCharType="begin">
          <w:fldData xml:space="preserve">PEVuZE5vdGU+PENpdGU+PEF1dGhvcj5Lb3RvdjwvQXV0aG9yPjxZZWFyPjIwMTc8L1llYXI+PFJl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</w:fldData>
        </w:fldChar>
      </w:r>
      <w:r w:rsidRPr="004D46AC">
        <w:instrText xml:space="preserve"> ADDIN EN.CITE </w:instrText>
      </w:r>
      <w:r w:rsidRPr="004D46AC">
        <w:fldChar w:fldCharType="begin">
          <w:fldData xml:space="preserve">PEVuZE5vdGU+PENpdGU+PEF1dGhvcj5Lb3RvdjwvQXV0aG9yPjxZZWFyPjIwMTc8L1llYXI+PFJl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rPr>
          <w:noProof/>
        </w:rPr>
        <w:t>(Kotov et al., 2017; Williams et al., 2024)</w:t>
      </w:r>
      <w:r w:rsidRPr="004D46AC">
        <w:fldChar w:fldCharType="end"/>
      </w:r>
      <w:r w:rsidRPr="004D46AC">
        <w:t>, which proposed three super-spectra (e.g., internalising, externalising and thought disorder), but with several deviations observed. Affective-cognitive dysregulation and reality distortion broadly map onto the spectra of internalising and thought disorder, respectively</w:t>
      </w:r>
      <w:r w:rsidRPr="004D46AC">
        <w:rPr>
          <w:rFonts w:hint="eastAsia"/>
        </w:rPr>
        <w:t xml:space="preserve">. </w:t>
      </w:r>
      <w:r w:rsidRPr="004D46AC">
        <w:t>Hypomania emerged as a distinct dimension, even though its</w:t>
      </w:r>
      <w:r w:rsidRPr="004D46AC">
        <w:rPr>
          <w:rFonts w:hint="eastAsia"/>
        </w:rPr>
        <w:t xml:space="preserve"> severer version</w:t>
      </w:r>
      <w:r w:rsidRPr="004D46AC">
        <w:t xml:space="preserve"> show</w:t>
      </w:r>
      <w:r w:rsidRPr="004D46AC">
        <w:rPr>
          <w:rFonts w:hint="eastAsia"/>
        </w:rPr>
        <w:t>s</w:t>
      </w:r>
      <w:r w:rsidRPr="004D46AC">
        <w:t xml:space="preserve"> conceptual proximity to multiple spectral domains within the </w:t>
      </w:r>
      <w:proofErr w:type="spellStart"/>
      <w:r w:rsidRPr="004D46AC">
        <w:t>HiTOP</w:t>
      </w:r>
      <w:proofErr w:type="spellEnd"/>
      <w:r w:rsidRPr="004D46AC">
        <w:t xml:space="preserve"> framework</w:t>
      </w:r>
      <w:r w:rsidRPr="004D46AC">
        <w:rPr>
          <w:rFonts w:hint="eastAsia"/>
        </w:rPr>
        <w:t xml:space="preserve"> </w:t>
      </w:r>
      <w:r w:rsidRPr="004D46AC">
        <w:fldChar w:fldCharType="begin">
          <w:fldData xml:space="preserve">PEVuZE5vdGU+PENpdGU+PEF1dGhvcj5Gb3JiZXM8L0F1dGhvcj48WWVhcj4yMDIxPC9ZZWFyPjxS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=
</w:fldData>
        </w:fldChar>
      </w:r>
      <w:r w:rsidRPr="004D46AC">
        <w:instrText xml:space="preserve"> ADDIN EN.CITE </w:instrText>
      </w:r>
      <w:r w:rsidRPr="004D46AC">
        <w:fldChar w:fldCharType="begin">
          <w:fldData xml:space="preserve">PEVuZE5vdGU+PENpdGU+PEF1dGhvcj5Gb3JiZXM8L0F1dGhvcj48WWVhcj4yMDIxPC9ZZWFyPjxS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=
</w:fldData>
        </w:fldChar>
      </w:r>
      <w:r w:rsidRPr="004D46AC">
        <w:instrText xml:space="preserve"> ADDIN EN.CITE.DATA </w:instrText>
      </w:r>
      <w:r w:rsidRPr="004D46AC">
        <w:fldChar w:fldCharType="end"/>
      </w:r>
      <w:r w:rsidRPr="004D46AC">
        <w:fldChar w:fldCharType="separate"/>
      </w:r>
      <w:r w:rsidRPr="004D46AC">
        <w:rPr>
          <w:noProof/>
        </w:rPr>
        <w:t>(Forbes et al., 2021; Ruggero et al., 2025)</w:t>
      </w:r>
      <w:r w:rsidRPr="004D46AC">
        <w:fldChar w:fldCharType="end"/>
      </w:r>
      <w:r w:rsidRPr="004D46AC">
        <w:rPr>
          <w:rFonts w:hint="eastAsia"/>
        </w:rPr>
        <w:t>.</w:t>
      </w:r>
      <w:r w:rsidRPr="004D46AC">
        <w:t xml:space="preserve"> This finding differs from</w:t>
      </w:r>
      <w:r w:rsidRPr="004D46AC">
        <w:rPr>
          <w:rFonts w:hint="eastAsia"/>
        </w:rPr>
        <w:t xml:space="preserve"> a patient study conducted by </w:t>
      </w:r>
      <w:r w:rsidRPr="004D46AC">
        <w:fldChar w:fldCharType="begin"/>
      </w:r>
      <w:r w:rsidRPr="004D46AC">
        <w:instrText xml:space="preserve"> ADDIN EN.CITE &lt;EndNote&gt;&lt;Cite AuthorYear="1"&gt;&lt;Author&gt;Ruggero&lt;/Author&gt;&lt;Year&gt;2025&lt;/Year&gt;&lt;RecNum&gt;1288&lt;/RecNum&gt;&lt;DisplayText&gt;Ruggero et al. (2025)&lt;/DisplayText&gt;&lt;record&gt;&lt;rec-number&gt;1288&lt;/rec-number&gt;&lt;foreign-keys&gt;&lt;key app="EN" db-id="aet009sstawa0hewvt3xwf5atffdw2dt02sw" timestamp="1764512249"&gt;1288&lt;/key&gt;&lt;/foreign-keys&gt;&lt;ref-type name="Journal Article"&gt;17&lt;/ref-type&gt;&lt;contributors&gt;&lt;authors&gt;&lt;author&gt;Ruggero, Camilo J.&lt;/author&gt;&lt;author&gt;Jonas, Katherine G.&lt;/author&gt;&lt;author&gt;Busso, Cheyanne&lt;/author&gt;&lt;author&gt;Lian, Wenxuan&lt;/author&gt;&lt;author&gt;Docherty, Anna R.&lt;/author&gt;&lt;author&gt;Shabalin, Andrey A.&lt;/author&gt;&lt;author&gt;Carlson, Gabrielle A.&lt;/author&gt;&lt;author&gt;Bromet, Evelyn J.&lt;/author&gt;&lt;author&gt;Kotov, Roman&lt;/author&gt;&lt;/authors&gt;&lt;/contributors&gt;&lt;titles&gt;&lt;title&gt;Where is mania in the meta-structure of psychopathology?&lt;/title&gt;&lt;secondary-title&gt;Psychological Medicine&lt;/secondary-title&gt;&lt;/titles&gt;&lt;periodical&gt;&lt;full-title&gt;Psychological Medicine&lt;/full-title&gt;&lt;/periodical&gt;&lt;pages&gt;e342&lt;/pages&gt;&lt;volume&gt;55&lt;/volume&gt;&lt;edition&gt;2025/11/12&lt;/edition&gt;&lt;keywords&gt;&lt;keyword&gt;bipolar disorder&lt;/keyword&gt;&lt;keyword&gt;mania&lt;/keyword&gt;&lt;keyword&gt;meta-structure&lt;/keyword&gt;&lt;keyword&gt;nosology&lt;/keyword&gt;&lt;keyword&gt;psychopathology&lt;/keyword&gt;&lt;keyword&gt;psychosis&lt;/keyword&gt;&lt;/keywords&gt;&lt;dates&gt;&lt;year&gt;2025&lt;/year&gt;&lt;/dates&gt;&lt;publisher&gt;Cambridge University Press&lt;/publisher&gt;&lt;isbn&gt;0033-2917&lt;/isbn&gt;&lt;urls&gt;&lt;related-urls&gt;&lt;url&gt;https://www.cambridge.org/core/product/AB2D778E6AFE9B93A19F4EE68016318D&lt;/url&gt;&lt;/related-urls&gt;&lt;/urls&gt;&lt;custom7&gt;e342&lt;/custom7&gt;&lt;electronic-resource-num&gt;10.1017/S0033291725101712&lt;/electronic-resource-num&gt;&lt;remote-database-name&gt;Cambridge Core&lt;/remote-database-name&gt;&lt;remote-database-provider&gt;Cambridge University Press&lt;/remote-database-provider&gt;&lt;/record&gt;&lt;/Cite&gt;&lt;/EndNote&gt;</w:instrText>
      </w:r>
      <w:r w:rsidRPr="004D46AC">
        <w:fldChar w:fldCharType="separate"/>
      </w:r>
      <w:r w:rsidRPr="004D46AC">
        <w:rPr>
          <w:noProof/>
        </w:rPr>
        <w:t>Ruggero et al. (2025)</w:t>
      </w:r>
      <w:r w:rsidRPr="004D46AC">
        <w:fldChar w:fldCharType="end"/>
      </w:r>
      <w:r w:rsidRPr="004D46AC">
        <w:t xml:space="preserve">, which placed </w:t>
      </w:r>
      <w:r w:rsidRPr="004D46AC">
        <w:lastRenderedPageBreak/>
        <w:t>current manic symptoms on the thought disorder dimension.</w:t>
      </w:r>
      <w:r w:rsidRPr="004D46AC">
        <w:rPr>
          <w:rFonts w:hint="eastAsia"/>
        </w:rPr>
        <w:t xml:space="preserve"> </w:t>
      </w:r>
      <w:r w:rsidRPr="004D46AC">
        <w:t xml:space="preserve">This </w:t>
      </w:r>
      <w:r w:rsidRPr="004D46AC">
        <w:rPr>
          <w:rFonts w:hint="eastAsia"/>
        </w:rPr>
        <w:t>inconsistency</w:t>
      </w:r>
      <w:r w:rsidRPr="004D46AC">
        <w:t xml:space="preserve"> may </w:t>
      </w:r>
      <w:r w:rsidRPr="004D46AC">
        <w:rPr>
          <w:rFonts w:hint="eastAsia"/>
        </w:rPr>
        <w:t>come</w:t>
      </w:r>
      <w:r w:rsidRPr="004D46AC">
        <w:t xml:space="preserve"> from differences in sampling or item wording</w:t>
      </w:r>
      <w:r w:rsidRPr="004D46AC">
        <w:rPr>
          <w:rFonts w:hint="eastAsia"/>
        </w:rPr>
        <w:t xml:space="preserve">, as, </w:t>
      </w:r>
      <w:r w:rsidRPr="004D46AC">
        <w:t>even though hypomania and mania items are similar, patients and healthy individuals may interpret them differently.</w:t>
      </w:r>
      <w:r w:rsidRPr="004D46AC">
        <w:rPr>
          <w:rFonts w:hint="eastAsia"/>
        </w:rPr>
        <w:t xml:space="preserve"> </w:t>
      </w:r>
      <w:r w:rsidRPr="004D46AC">
        <w:t xml:space="preserve">Together with the high inter-factor correlation, these findings indicate that hypomania, while separable from internalising and thought-disorder dimensions, also shares considerable covariance with them. This aligns with our bifactor findings showing that a general psychopathological factor accounted for substantial shared variance, consistent with prior studies </w:t>
      </w:r>
      <w:r w:rsidRPr="004D46AC">
        <w:fldChar w:fldCharType="begin">
          <w:fldData xml:space="preserve">PEVuZE5vdGU+PENpdGU+PEF1dGhvcj5DYXJyYWdoZXI8L0F1dGhvcj48WWVhcj4yMDE2PC9ZZWFy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=
</w:fldData>
        </w:fldChar>
      </w:r>
      <w:r w:rsidRPr="004D46AC">
        <w:instrText xml:space="preserve"> ADDIN EN.CITE </w:instrText>
      </w:r>
      <w:r w:rsidRPr="004D46AC">
        <w:fldChar w:fldCharType="begin">
          <w:fldData xml:space="preserve">PEVuZE5vdGU+PENpdGU+PEF1dGhvcj5DYXJyYWdoZXI8L0F1dGhvcj48WWVhcj4yMDE2PC9ZZWFy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=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rPr>
          <w:noProof/>
        </w:rPr>
        <w:t>(Carragher et al., 2016; Caspi &amp; Moffitt, 2018; Williams et al., 2024)</w:t>
      </w:r>
      <w:r w:rsidRPr="004D46AC">
        <w:fldChar w:fldCharType="end"/>
      </w:r>
      <w:r w:rsidRPr="004D46AC">
        <w:t>.</w:t>
      </w:r>
      <w:r w:rsidRPr="004D46AC">
        <w:rPr>
          <w:rFonts w:hint="eastAsia"/>
        </w:rPr>
        <w:t xml:space="preserve"> </w:t>
      </w:r>
      <w:r w:rsidRPr="004D46AC">
        <w:t xml:space="preserve">Nonetheless, the precise positioning of (hypo)mania within the </w:t>
      </w:r>
      <w:proofErr w:type="spellStart"/>
      <w:r w:rsidRPr="004D46AC">
        <w:t>HiTOP</w:t>
      </w:r>
      <w:proofErr w:type="spellEnd"/>
      <w:r w:rsidRPr="004D46AC">
        <w:t xml:space="preserve"> spectrum remains uncertain and warrants additional research using varied timeframes and populations.</w:t>
      </w:r>
      <w:r w:rsidRPr="004D46AC">
        <w:rPr>
          <w:rFonts w:hint="eastAsia"/>
        </w:rPr>
        <w:t xml:space="preserve"> </w:t>
      </w:r>
    </w:p>
    <w:p w14:paraId="14D4AD3A" w14:textId="77777777" w:rsidR="007075D9" w:rsidRPr="004D46AC" w:rsidRDefault="007075D9" w:rsidP="00B518F1">
      <w:pPr>
        <w:ind w:firstLine="660"/>
      </w:pPr>
      <w:r w:rsidRPr="004D46AC">
        <w:t>Furthermore, the affective-cognitive dysregulation factor</w:t>
      </w:r>
      <w:r w:rsidRPr="004D46AC">
        <w:rPr>
          <w:rFonts w:hint="eastAsia"/>
        </w:rPr>
        <w:t xml:space="preserve"> </w:t>
      </w:r>
      <w:r w:rsidRPr="004D46AC">
        <w:t xml:space="preserve">contained symptoms that mirror featuring risk states for several diagnostic pathways. </w:t>
      </w:r>
      <w:r w:rsidRPr="004D46AC">
        <w:rPr>
          <w:rFonts w:hint="eastAsia"/>
        </w:rPr>
        <w:t xml:space="preserve">It is thus difficult to </w:t>
      </w:r>
      <w:r w:rsidRPr="004D46AC">
        <w:t>interpret the overall structure solely through either a categorical or dimensional lens, given the heterogeneous nature of the items and their empirical clustering.</w:t>
      </w:r>
      <w:r w:rsidRPr="004D46AC">
        <w:rPr>
          <w:rFonts w:hint="eastAsia"/>
        </w:rPr>
        <w:t xml:space="preserve"> </w:t>
      </w:r>
      <w:r w:rsidRPr="004D46AC">
        <w:t>Symptoms such as disorganised thinking and poverty of speech are</w:t>
      </w:r>
      <w:r w:rsidRPr="004D46AC">
        <w:rPr>
          <w:rFonts w:hint="eastAsia"/>
        </w:rPr>
        <w:t xml:space="preserve"> clustered with turbulences in cognition and emotion, challenging its</w:t>
      </w:r>
      <w:r w:rsidRPr="004D46AC">
        <w:t xml:space="preserve"> conceptual close</w:t>
      </w:r>
      <w:r w:rsidRPr="004D46AC">
        <w:rPr>
          <w:rFonts w:hint="eastAsia"/>
        </w:rPr>
        <w:t xml:space="preserve">r </w:t>
      </w:r>
      <w:r w:rsidRPr="004D46AC">
        <w:t xml:space="preserve">relationship to </w:t>
      </w:r>
      <w:r w:rsidRPr="004D46AC">
        <w:rPr>
          <w:rFonts w:hint="eastAsia"/>
        </w:rPr>
        <w:t xml:space="preserve">the spectra of </w:t>
      </w:r>
      <w:r w:rsidRPr="004D46AC">
        <w:t>thought</w:t>
      </w:r>
      <w:r w:rsidRPr="004D46AC">
        <w:rPr>
          <w:rFonts w:hint="eastAsia"/>
        </w:rPr>
        <w:t xml:space="preserve"> </w:t>
      </w:r>
      <w:r w:rsidRPr="004D46AC">
        <w:t>disorde</w:t>
      </w:r>
      <w:r w:rsidRPr="004D46AC">
        <w:rPr>
          <w:rFonts w:hint="eastAsia"/>
        </w:rPr>
        <w:t xml:space="preserve">r </w:t>
      </w:r>
      <w:r w:rsidRPr="004D46AC">
        <w:fldChar w:fldCharType="begin">
          <w:fldData xml:space="preserve">PEVuZE5vdGU+PENpdGU+PEF1dGhvcj5XaWxsaWFtczwvQXV0aG9yPjxZZWFyPjIwMjQ8L1llYXI+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</w:fldData>
        </w:fldChar>
      </w:r>
      <w:r w:rsidRPr="004D46AC">
        <w:instrText xml:space="preserve"> ADDIN EN.CITE </w:instrText>
      </w:r>
      <w:r w:rsidRPr="004D46AC">
        <w:fldChar w:fldCharType="begin">
          <w:fldData xml:space="preserve">PEVuZE5vdGU+PENpdGU+PEF1dGhvcj5XaWxsaWFtczwvQXV0aG9yPjxZZWFyPjIwMjQ8L1llYXI+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</w:fldData>
        </w:fldChar>
      </w:r>
      <w:r w:rsidRPr="004D46AC">
        <w:instrText xml:space="preserve"> ADDIN EN.CITE.DATA </w:instrText>
      </w:r>
      <w:r w:rsidRPr="004D46AC">
        <w:fldChar w:fldCharType="end"/>
      </w:r>
      <w:r w:rsidRPr="004D46AC">
        <w:fldChar w:fldCharType="separate"/>
      </w:r>
      <w:r w:rsidRPr="004D46AC">
        <w:rPr>
          <w:noProof/>
        </w:rPr>
        <w:t>(Williams et al., 2024)</w:t>
      </w:r>
      <w:r w:rsidRPr="004D46AC">
        <w:fldChar w:fldCharType="end"/>
      </w:r>
      <w:r w:rsidRPr="004D46AC">
        <w:rPr>
          <w:rFonts w:hint="eastAsia"/>
        </w:rPr>
        <w:t xml:space="preserve">. </w:t>
      </w:r>
      <w:r w:rsidRPr="004D46AC">
        <w:t>Moreover</w:t>
      </w:r>
      <w:r w:rsidRPr="004D46AC">
        <w:rPr>
          <w:rFonts w:hint="eastAsia"/>
        </w:rPr>
        <w:t xml:space="preserve">, classic borderline personality features (e.g., identity confusion) showed perfect </w:t>
      </w:r>
      <w:r w:rsidRPr="004D46AC">
        <w:t>item stability</w:t>
      </w:r>
      <w:r w:rsidRPr="004D46AC">
        <w:rPr>
          <w:rFonts w:hint="eastAsia"/>
        </w:rPr>
        <w:t xml:space="preserve"> in EGA and high factor loading onto this dimension. </w:t>
      </w:r>
      <w:r w:rsidRPr="004D46AC">
        <w:t>This finding is partly consistent with a psychometric study of individuals at clinical high risk, which showed that borderline personality disorder loaded on both mood dysfunction and externalising problems</w:t>
      </w:r>
      <w:r w:rsidRPr="004D46AC">
        <w:rPr>
          <w:rFonts w:hint="eastAsia"/>
        </w:rPr>
        <w:t xml:space="preserve"> </w:t>
      </w:r>
      <w:r w:rsidRPr="004D46AC">
        <w:fldChar w:fldCharType="begin"/>
      </w:r>
      <w:r w:rsidRPr="004D46AC">
        <w:instrText xml:space="preserve"> ADDIN EN.CITE &lt;EndNote&gt;&lt;Cite&gt;&lt;Author&gt;Wright&lt;/Author&gt;&lt;Year&gt;2013&lt;/Year&gt;&lt;RecNum&gt;668&lt;/RecNum&gt;&lt;DisplayText&gt;(Wright et al., 2013)&lt;/DisplayText&gt;&lt;record&gt;&lt;rec-number&gt;668&lt;/rec-number&gt;&lt;foreign-keys&gt;&lt;key app="EN" db-id="aet009sstawa0hewvt3xwf5atffdw2dt02sw" timestamp="1721827452"&gt;668&lt;/key&gt;&lt;/foreign-keys&gt;&lt;ref-type name="Journal Article"&gt;17&lt;/ref-type&gt;&lt;contributors&gt;&lt;authors&gt;&lt;author&gt;Wright, A. G.&lt;/author&gt;&lt;author&gt;Krueger, R. F.&lt;/author&gt;&lt;author&gt;Hobbs, M. J.&lt;/author&gt;&lt;author&gt;Markon, K. E.&lt;/author&gt;&lt;author&gt;Eaton, N. R.&lt;/author&gt;&lt;author&gt;Slade, T.&lt;/author&gt;&lt;/authors&gt;&lt;/contributors&gt;&lt;auth-address&gt;Western Psychiatric Institute and Clinic, University of Pittsburgh School of Medicine, Pittsburgh, PA 15213, USA. wright.aidan@gmail.com&lt;/auth-address&gt;&lt;titles&gt;&lt;title&gt;The structure of psychopathology: toward an expanded quantitative empirical model&lt;/title&gt;&lt;secondary-title&gt;J Abnorm Psychol&lt;/secondary-title&gt;&lt;/titles&gt;&lt;periodical&gt;&lt;full-title&gt;J Abnorm Psychol&lt;/full-title&gt;&lt;/periodical&gt;&lt;pages&gt;281-94&lt;/pages&gt;&lt;volume&gt;122&lt;/volume&gt;&lt;number&gt;1&lt;/number&gt;&lt;edition&gt;20121015&lt;/edition&gt;&lt;keywords&gt;&lt;keyword&gt;Antisocial Personality Disorder/*diagnosis/psychology&lt;/keyword&gt;&lt;keyword&gt;Diagnostic and Statistical Manual of Mental Disorders&lt;/keyword&gt;&lt;keyword&gt;Empirical Research&lt;/keyword&gt;&lt;keyword&gt;Factor Analysis, Statistical&lt;/keyword&gt;&lt;keyword&gt;Humans&lt;/keyword&gt;&lt;keyword&gt;Internal-External Control&lt;/keyword&gt;&lt;keyword&gt;*Models, Psychological&lt;/keyword&gt;&lt;keyword&gt;Multivariate Analysis&lt;/keyword&gt;&lt;/keywords&gt;&lt;dates&gt;&lt;year&gt;2013&lt;/year&gt;&lt;pub-dates&gt;&lt;date&gt;Feb&lt;/date&gt;&lt;/pub-dates&gt;&lt;/dates&gt;&lt;isbn&gt;1939-1846 (Electronic)&amp;#xD;0021-843X (Print)&amp;#xD;0021-843X (Linking)&lt;/isbn&gt;&lt;accession-num&gt;23067258&lt;/accession-num&gt;&lt;urls&gt;&lt;related-urls&gt;&lt;url&gt;https://www.ncbi.nlm.nih.gov/pubmed/23067258&lt;/url&gt;&lt;/related-urls&gt;&lt;/urls&gt;&lt;custom2&gt;PMC3570590&lt;/custom2&gt;&lt;custom6&gt;NIHMS434488&lt;/custom6&gt;&lt;electronic-resource-num&gt;10.1037/a0030133&lt;/electronic-resource-num&gt;&lt;remote-database-name&gt;Medline&lt;/remote-database-name&gt;&lt;remote-database-provider&gt;NLM&lt;/remote-database-provider&gt;&lt;language&gt;eng&lt;/language&gt;&lt;/record&gt;&lt;/Cite&gt;&lt;/EndNote&gt;</w:instrText>
      </w:r>
      <w:r w:rsidRPr="004D46AC">
        <w:fldChar w:fldCharType="separate"/>
      </w:r>
      <w:r w:rsidRPr="004D46AC">
        <w:rPr>
          <w:noProof/>
        </w:rPr>
        <w:t>(Wright et al., 2013)</w:t>
      </w:r>
      <w:r w:rsidRPr="004D46AC">
        <w:fldChar w:fldCharType="end"/>
      </w:r>
      <w:r w:rsidRPr="004D46AC">
        <w:rPr>
          <w:rFonts w:hint="eastAsia"/>
        </w:rPr>
        <w:t xml:space="preserve">. </w:t>
      </w:r>
      <w:r w:rsidRPr="004D46AC">
        <w:t>Similar results have also been reported in other populations</w:t>
      </w:r>
      <w:r w:rsidRPr="004D46AC">
        <w:rPr>
          <w:rFonts w:hint="eastAsia"/>
        </w:rPr>
        <w:t xml:space="preserve"> </w:t>
      </w:r>
      <w:r w:rsidRPr="004D46AC">
        <w:fldChar w:fldCharType="begin"/>
      </w:r>
      <w:r w:rsidRPr="004D46AC">
        <w:instrText xml:space="preserve"> ADDIN EN.CITE &lt;EndNote&gt;&lt;Cite&gt;&lt;Author&gt;Watson&lt;/Author&gt;&lt;Year&gt;2022&lt;/Year&gt;&lt;RecNum&gt;1290&lt;/RecNum&gt;&lt;DisplayText&gt;(Watson et al., 2022)&lt;/DisplayText&gt;&lt;record&gt;&lt;rec-number&gt;1290&lt;/rec-number&gt;&lt;foreign-keys&gt;&lt;key app="EN" db-id="aet009sstawa0hewvt3xwf5atffdw2dt02sw" timestamp="1764559996"&gt;1290&lt;/key&gt;&lt;/foreign-keys&gt;&lt;ref-type name="Journal Article"&gt;17&lt;/ref-type&gt;&lt;contributors&gt;&lt;authors&gt;&lt;author&gt;Watson, David&lt;/author&gt;&lt;author&gt;Levin-Aspenson, Holly F.&lt;/author&gt;&lt;author&gt;Waszczuk, Monika A.&lt;/author&gt;&lt;author&gt;Conway, Christopher C.&lt;/author&gt;&lt;author&gt;Dalgleish, Tim&lt;/author&gt;&lt;author&gt;Dretsch, Michael N.&lt;/author&gt;&lt;author&gt;Eaton, Nicholas R.&lt;/author&gt;&lt;author&gt;Forbes, Miriam K.&lt;/author&gt;&lt;author&gt;Forbush, Kelsie T.&lt;/author&gt;&lt;author&gt;Hobbs, Kelsey A.&lt;/author&gt;&lt;author&gt;Michelini, Giorgia&lt;/author&gt;&lt;author&gt;Nelson, Brady D.&lt;/author&gt;&lt;author&gt;Sellbom, Martin&lt;/author&gt;&lt;author&gt;Slade, Tim&lt;/author&gt;&lt;author&gt;South, Susan C.&lt;/author&gt;&lt;author&gt;Sunderland, Matthew&lt;/author&gt;&lt;author&gt;Waldman, Irwin&lt;/author&gt;&lt;author&gt;Witthöft, Michael&lt;/author&gt;&lt;author&gt;Wright, Aidan G.C.&lt;/author&gt;&lt;author&gt;Kotov, Roman&lt;/author&gt;&lt;author&gt;Krueger, Robert F.&lt;/author&gt;&lt;author&gt;HiTOP Utility Workgroup&lt;/author&gt;&lt;/authors&gt;&lt;/contributors&gt;&lt;titles&gt;&lt;title&gt;Validity and utility of Hierarchical Taxonomy of Psychopathology (HiTOP): III. Emotional dysfunction superspectrum&lt;/title&gt;&lt;secondary-title&gt;World Psychiatry&lt;/secondary-title&gt;&lt;/titles&gt;&lt;periodical&gt;&lt;full-title&gt;World Psychiatry&lt;/full-title&gt;&lt;/periodical&gt;&lt;pages&gt;26-54&lt;/pages&gt;&lt;volume&gt;21&lt;/volume&gt;&lt;number&gt;1&lt;/number&gt;&lt;dates&gt;&lt;year&gt;2022&lt;/year&gt;&lt;/dates&gt;&lt;isbn&gt;1723-8617&lt;/isbn&gt;&lt;urls&gt;&lt;related-urls&gt;&lt;url&gt;https://onlinelibrary.wiley.com/doi/abs/10.1002/wps.20943&lt;/url&gt;&lt;/related-urls&gt;&lt;/urls&gt;&lt;electronic-resource-num&gt;https://doi.org/10.1002/wps.20943&lt;/electronic-resource-num&gt;&lt;/record&gt;&lt;/Cite&gt;&lt;/EndNote&gt;</w:instrText>
      </w:r>
      <w:r w:rsidRPr="004D46AC">
        <w:fldChar w:fldCharType="separate"/>
      </w:r>
      <w:r w:rsidRPr="004D46AC">
        <w:rPr>
          <w:noProof/>
        </w:rPr>
        <w:t>(Watson et al., 2022)</w:t>
      </w:r>
      <w:r w:rsidRPr="004D46AC">
        <w:fldChar w:fldCharType="end"/>
      </w:r>
      <w:r w:rsidRPr="004D46AC">
        <w:rPr>
          <w:rFonts w:hint="eastAsia"/>
        </w:rPr>
        <w:t xml:space="preserve">. </w:t>
      </w:r>
      <w:r w:rsidRPr="004D46AC">
        <w:t>These findings suggest a complex relationship between symptoms that goes beyond their latent entities, inspiring future research on the dynamics within and across</w:t>
      </w:r>
      <w:r w:rsidRPr="004D46AC">
        <w:rPr>
          <w:rFonts w:hint="eastAsia"/>
        </w:rPr>
        <w:t xml:space="preserve"> </w:t>
      </w:r>
      <w:r w:rsidRPr="004D46AC">
        <w:t>clusters</w:t>
      </w:r>
      <w:r w:rsidRPr="004D46AC">
        <w:rPr>
          <w:rFonts w:hint="eastAsia"/>
        </w:rPr>
        <w:t xml:space="preserve">. </w:t>
      </w:r>
    </w:p>
    <w:p w14:paraId="3E064424" w14:textId="77777777" w:rsidR="007075D9" w:rsidRPr="004D46AC" w:rsidRDefault="007075D9" w:rsidP="00B518F1">
      <w:pPr>
        <w:ind w:firstLine="660"/>
      </w:pPr>
      <w:r w:rsidRPr="004D46AC">
        <w:t xml:space="preserve">The TRACE demonstrated strong convergent and divergent validity with external validators. Individuals with higher TRACE scores tended to report greater psychological distress, including attenuated psychotic symptoms, depression, anxiety and hopelessness, as well as poorer sleep quality and wellbeing. This finding is consistent with existing </w:t>
      </w:r>
      <w:r w:rsidRPr="004D46AC">
        <w:lastRenderedPageBreak/>
        <w:t>evidence on the association between at-risk mental states, daily functioning and emotional distress. For instance, the PQ, a comparable measure of risk states, has been associated with poor sleep quality, depression and anxiety in both general and clinical populations</w:t>
      </w:r>
      <w:r w:rsidRPr="004D46AC">
        <w:rPr>
          <w:rFonts w:hint="eastAsia"/>
        </w:rPr>
        <w:t xml:space="preserve"> </w:t>
      </w:r>
      <w:r w:rsidRPr="004D46AC">
        <w:fldChar w:fldCharType="begin">
          <w:fldData xml:space="preserve">PEVuZE5vdGU+PENpdGU+PEF1dGhvcj5NdWxsZW48L0F1dGhvcj48WWVhcj4yMDI2PC9ZZWFyPjxS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</w:fldData>
        </w:fldChar>
      </w:r>
      <w:r w:rsidRPr="004D46AC">
        <w:instrText xml:space="preserve"> ADDIN EN.CITE </w:instrText>
      </w:r>
      <w:r w:rsidRPr="004D46AC">
        <w:fldChar w:fldCharType="begin">
          <w:fldData xml:space="preserve">PEVuZE5vdGU+PENpdGU+PEF1dGhvcj5NdWxsZW48L0F1dGhvcj48WWVhcj4yMDI2PC9ZZWFyPjxS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</w:fldData>
        </w:fldChar>
      </w:r>
      <w:r w:rsidRPr="004D46AC">
        <w:instrText xml:space="preserve"> ADDIN EN.CITE.DATA </w:instrText>
      </w:r>
      <w:r w:rsidRPr="004D46AC">
        <w:fldChar w:fldCharType="end"/>
      </w:r>
      <w:r w:rsidRPr="004D46AC">
        <w:fldChar w:fldCharType="separate"/>
      </w:r>
      <w:r w:rsidRPr="004D46AC">
        <w:rPr>
          <w:noProof/>
        </w:rPr>
        <w:t>(Clarke et al., 2021; Mullen et al., 2026)</w:t>
      </w:r>
      <w:r w:rsidRPr="004D46AC">
        <w:fldChar w:fldCharType="end"/>
      </w:r>
      <w:r w:rsidRPr="004D46AC">
        <w:rPr>
          <w:rFonts w:hint="eastAsia"/>
        </w:rPr>
        <w:t xml:space="preserve">.  </w:t>
      </w:r>
      <w:r w:rsidRPr="004D46AC">
        <w:t>Furthermore, the LCA-defined risk groups showed higher agreement with risk status indicated by external validators (e.g., PHQ-8, GAD-7, PQ-16)—ranging from fair to substantial agreement—than the classes defined using the 90th-percentile approach</w:t>
      </w:r>
      <w:r w:rsidRPr="004D46AC">
        <w:rPr>
          <w:rFonts w:hint="eastAsia"/>
        </w:rPr>
        <w:t xml:space="preserve">; the differences between mental distress and daily functioning were statistically significant, even after adjusting for variance of age and gender. </w:t>
      </w:r>
      <w:r w:rsidRPr="004D46AC">
        <w:t xml:space="preserve"> Although no external gold-standard validator currently exists, LCA identifies groups based on shared symptom-response patterns, offering a more data-driven and potentially clinically meaningful distinction between risk profiles. Consistent with this, our results demonstrate stronger criterion-based validity for the LCA-derived groups than for those identified purely </w:t>
      </w:r>
      <w:proofErr w:type="gramStart"/>
      <w:r w:rsidRPr="004D46AC">
        <w:t>on the basis of</w:t>
      </w:r>
      <w:proofErr w:type="gramEnd"/>
      <w:r w:rsidRPr="004D46AC">
        <w:t xml:space="preserve"> statistical distribution.</w:t>
      </w:r>
      <w:r w:rsidRPr="004D46AC">
        <w:rPr>
          <w:rFonts w:hint="eastAsia"/>
        </w:rPr>
        <w:t xml:space="preserve"> </w:t>
      </w:r>
      <w:r w:rsidRPr="004D46AC">
        <w:t>These findings collectively highlight the scales’ potential as a transdiagnostic, pluripotential risk-screening tool for mental illness. Nevertheless, their predictive utility requires further validation in both at-risk and healthy populations.</w:t>
      </w:r>
    </w:p>
    <w:p w14:paraId="1170EA27" w14:textId="77777777" w:rsidR="007075D9" w:rsidRPr="004D46AC" w:rsidRDefault="007075D9" w:rsidP="00B518F1">
      <w:pPr>
        <w:ind w:firstLine="660"/>
      </w:pPr>
      <w:r w:rsidRPr="004D46AC">
        <w:t>Exploratory analyses revealed noteworthy patterns in TRACE dimensions across age and gender. Contrary to our hypothesis, only the hypomania dimension showed an age-related trend, with older participants reporting more severe distress on this dimension. This finding is partly consistent with established trajectories of mental health difficulties from early adolescence into young adulthood, as documented in several large-scale epidemiological studies across diverse cultural contexts</w:t>
      </w:r>
      <w:r w:rsidRPr="004D46AC">
        <w:rPr>
          <w:rFonts w:hint="eastAsia"/>
        </w:rPr>
        <w:t xml:space="preserve"> </w:t>
      </w:r>
      <w:r w:rsidRPr="004D46AC">
        <w:fldChar w:fldCharType="begin">
          <w:fldData xml:space="preserve">PEVuZE5vdGU+PENpdGU+PEF1dGhvcj5LbGVpbnRqZXM8L0F1dGhvcj48WWVhcj4yMDA2PC9ZZWFy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</w:fldData>
        </w:fldChar>
      </w:r>
      <w:r w:rsidRPr="004D46AC">
        <w:instrText xml:space="preserve"> ADDIN EN.CITE </w:instrText>
      </w:r>
      <w:r w:rsidRPr="004D46AC">
        <w:fldChar w:fldCharType="begin">
          <w:fldData xml:space="preserve">PEVuZE5vdGU+PENpdGU+PEF1dGhvcj5LbGVpbnRqZXM8L0F1dGhvcj48WWVhcj4yMDA2PC9ZZWFy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</w:fldData>
        </w:fldChar>
      </w:r>
      <w:r w:rsidRPr="004D46AC">
        <w:instrText xml:space="preserve"> ADDIN EN.CITE.DATA </w:instrText>
      </w:r>
      <w:r w:rsidRPr="004D46AC">
        <w:fldChar w:fldCharType="end"/>
      </w:r>
      <w:r w:rsidRPr="004D46AC">
        <w:fldChar w:fldCharType="separate"/>
      </w:r>
      <w:r w:rsidRPr="004D46AC">
        <w:rPr>
          <w:noProof/>
        </w:rPr>
        <w:t>(Jones, 2013; Kleintjes et al., 2006; Newman et al., 1996; Wittchen et al., 1998)</w:t>
      </w:r>
      <w:r w:rsidRPr="004D46AC">
        <w:fldChar w:fldCharType="end"/>
      </w:r>
      <w:r w:rsidRPr="004D46AC">
        <w:t>.</w:t>
      </w:r>
      <w:r w:rsidRPr="004D46AC">
        <w:rPr>
          <w:rFonts w:hint="eastAsia"/>
        </w:rPr>
        <w:t xml:space="preserve"> </w:t>
      </w:r>
      <w:r w:rsidRPr="004D46AC">
        <w:t xml:space="preserve">However, other studies have not identified consistent age-related trends across different mental disorders during adolescence </w:t>
      </w:r>
      <w:r w:rsidRPr="004D46AC">
        <w:fldChar w:fldCharType="begin">
          <w:fldData xml:space="preserve">PEVuZE5vdGU+PENpdGU+PEF1dGhvcj5Db2xsaXNoYXc8L0F1dGhvcj48WWVhcj4yMDA0PC9ZZWFy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</w:fldData>
        </w:fldChar>
      </w:r>
      <w:r w:rsidRPr="004D46AC">
        <w:instrText xml:space="preserve"> ADDIN EN.CITE </w:instrText>
      </w:r>
      <w:r w:rsidRPr="004D46AC">
        <w:fldChar w:fldCharType="begin">
          <w:fldData xml:space="preserve">PEVuZE5vdGU+PENpdGU+PEF1dGhvcj5Db2xsaXNoYXc8L0F1dGhvcj48WWVhcj4yMDA0PC9ZZWFy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</w:fldData>
        </w:fldChar>
      </w:r>
      <w:r w:rsidRPr="004D46AC">
        <w:instrText xml:space="preserve"> ADDIN EN.CITE.DATA </w:instrText>
      </w:r>
      <w:r w:rsidRPr="004D46AC">
        <w:fldChar w:fldCharType="end"/>
      </w:r>
      <w:r w:rsidRPr="004D46AC">
        <w:fldChar w:fldCharType="separate"/>
      </w:r>
      <w:r w:rsidRPr="004D46AC">
        <w:rPr>
          <w:noProof/>
        </w:rPr>
        <w:t>(Benjet et al., 2016; Collishaw et al., 2004)</w:t>
      </w:r>
      <w:r w:rsidRPr="004D46AC">
        <w:fldChar w:fldCharType="end"/>
      </w:r>
      <w:r w:rsidRPr="004D46AC">
        <w:rPr>
          <w:rFonts w:hint="eastAsia"/>
        </w:rPr>
        <w:t xml:space="preserve">, </w:t>
      </w:r>
      <w:r w:rsidRPr="004D46AC">
        <w:t>suggesting that the relationship between age and mental health in this developmental period may be nonlinear. Such complexity may be attributable to developmental or environmental factors</w:t>
      </w:r>
      <w:r w:rsidRPr="004D46AC">
        <w:rPr>
          <w:rFonts w:hint="eastAsia"/>
        </w:rPr>
        <w:t xml:space="preserve"> </w:t>
      </w:r>
      <w:r w:rsidRPr="004D46AC">
        <w:fldChar w:fldCharType="begin">
          <w:fldData xml:space="preserve">PEVuZE5vdGU+PENpdGU+PEF1dGhvcj5YaWU8L0F1dGhvcj48WWVhcj4yMDIxPC9ZZWFyPjxSZWNO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</w:fldData>
        </w:fldChar>
      </w:r>
      <w:r w:rsidRPr="004D46AC">
        <w:instrText xml:space="preserve"> ADDIN EN.CITE </w:instrText>
      </w:r>
      <w:r w:rsidRPr="004D46AC">
        <w:fldChar w:fldCharType="begin">
          <w:fldData xml:space="preserve">PEVuZE5vdGU+PENpdGU+PEF1dGhvcj5YaWU8L0F1dGhvcj48WWVhcj4yMDIxPC9ZZWFyPjxSZWNO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</w:fldData>
        </w:fldChar>
      </w:r>
      <w:r w:rsidRPr="004D46AC">
        <w:instrText xml:space="preserve"> ADDIN EN.CITE.DATA </w:instrText>
      </w:r>
      <w:r w:rsidRPr="004D46AC">
        <w:fldChar w:fldCharType="end"/>
      </w:r>
      <w:r w:rsidRPr="004D46AC">
        <w:fldChar w:fldCharType="separate"/>
      </w:r>
      <w:r w:rsidRPr="004D46AC">
        <w:rPr>
          <w:noProof/>
        </w:rPr>
        <w:t>(Xie et al., 2021; Zlotnick et al., 2008)</w:t>
      </w:r>
      <w:r w:rsidRPr="004D46AC">
        <w:fldChar w:fldCharType="end"/>
      </w:r>
      <w:r w:rsidRPr="004D46AC">
        <w:rPr>
          <w:rFonts w:hint="eastAsia"/>
        </w:rPr>
        <w:t xml:space="preserve">. </w:t>
      </w:r>
      <w:r w:rsidRPr="004D46AC">
        <w:t xml:space="preserve">Further research is needed to clarify the developmental trajectory of mental illness and to better </w:t>
      </w:r>
      <w:r w:rsidRPr="004D46AC">
        <w:lastRenderedPageBreak/>
        <w:t>understand the dynamics underlying these patterns, as well as the factors that may moderate these relationships.</w:t>
      </w:r>
      <w:r w:rsidRPr="004D46AC">
        <w:rPr>
          <w:rFonts w:hint="eastAsia"/>
        </w:rPr>
        <w:t xml:space="preserve">  </w:t>
      </w:r>
    </w:p>
    <w:p w14:paraId="33D3A22D" w14:textId="77777777" w:rsidR="007075D9" w:rsidRPr="004D46AC" w:rsidRDefault="007075D9" w:rsidP="00B518F1">
      <w:pPr>
        <w:ind w:firstLine="660"/>
      </w:pPr>
      <w:r w:rsidRPr="004D46AC">
        <w:t>As expected, gender differences were not evident in overall TRACE distress but emerged within specific dimensions. Our findings suggest that female participants may experience greater distress related to emotional and cognitive difficulties, whereas male participants may report higher levels of hypomania and perceptual anomalies.</w:t>
      </w:r>
      <w:r w:rsidRPr="004D46AC">
        <w:rPr>
          <w:rFonts w:hint="eastAsia"/>
        </w:rPr>
        <w:t xml:space="preserve"> </w:t>
      </w:r>
      <w:r w:rsidRPr="004D46AC">
        <w:t>This pattern supports the TRACE’s sensitivity to gender-related variations in symptom presentation</w:t>
      </w:r>
      <w:r w:rsidRPr="004D46AC">
        <w:rPr>
          <w:rFonts w:hint="eastAsia"/>
        </w:rPr>
        <w:t>.</w:t>
      </w:r>
      <w:r w:rsidRPr="004D46AC">
        <w:t xml:space="preserve"> These </w:t>
      </w:r>
      <w:r w:rsidRPr="004D46AC">
        <w:rPr>
          <w:rFonts w:hint="eastAsia"/>
        </w:rPr>
        <w:t xml:space="preserve">findings </w:t>
      </w:r>
      <w:r w:rsidRPr="004D46AC">
        <w:t>are broadly consistent with previous empirical research on clinical symptoms and psychiatric conditions such as depression and psychosis</w:t>
      </w:r>
      <w:r w:rsidRPr="004D46AC">
        <w:rPr>
          <w:rFonts w:hint="eastAsia"/>
        </w:rPr>
        <w:t xml:space="preserve"> in different populations </w:t>
      </w:r>
      <w:r w:rsidRPr="004D46AC">
        <w:fldChar w:fldCharType="begin">
          <w:fldData xml:space="preserve">PEVuZE5vdGU+PENpdGU+PEF1dGhvcj5CZW5kZXI8L0F1dGhvcj48WWVhcj4yMDEyPC9ZZWFyPjxS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</w:fldData>
        </w:fldChar>
      </w:r>
      <w:r w:rsidRPr="004D46AC">
        <w:instrText xml:space="preserve"> ADDIN EN.CITE </w:instrText>
      </w:r>
      <w:r w:rsidRPr="004D46AC">
        <w:fldChar w:fldCharType="begin">
          <w:fldData xml:space="preserve">PEVuZE5vdGU+PENpdGU+PEF1dGhvcj5CZW5kZXI8L0F1dGhvcj48WWVhcj4yMDEyPC9ZZWFyPjxS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</w:fldData>
        </w:fldChar>
      </w:r>
      <w:r w:rsidRPr="004D46AC">
        <w:instrText xml:space="preserve"> ADDIN EN.CITE.DATA </w:instrText>
      </w:r>
      <w:r w:rsidRPr="004D46AC">
        <w:fldChar w:fldCharType="end"/>
      </w:r>
      <w:r w:rsidRPr="004D46AC">
        <w:fldChar w:fldCharType="separate"/>
      </w:r>
      <w:r w:rsidRPr="004D46AC">
        <w:rPr>
          <w:noProof/>
        </w:rPr>
        <w:t>(Barajas et al., 2015; Bender et al., 2012; Carter et al., 2022; Hyde &amp; Mezulis, 2020; Ochoa et al., 2012)</w:t>
      </w:r>
      <w:r w:rsidRPr="004D46AC">
        <w:fldChar w:fldCharType="end"/>
      </w:r>
      <w:r w:rsidRPr="004D46AC">
        <w:t>, with the exception of bipolar disorders. Although substantial evidence indicates that the incidence of bipolar disorder is similar in males and females, gender-related differences in symptom presentation have been frequently observed. For example, some studies have reported that females are more likely to experience depressive episodes, whereas males are more likely to experience manic episodes</w:t>
      </w:r>
      <w:r w:rsidRPr="004D46AC">
        <w:rPr>
          <w:rFonts w:hint="eastAsia"/>
        </w:rPr>
        <w:t xml:space="preserve"> </w:t>
      </w:r>
      <w:r w:rsidRPr="004D46AC">
        <w:fldChar w:fldCharType="begin">
          <w:fldData xml:space="preserve">PEVuZE5vdGU+PENpdGU+PEF1dGhvcj5OaXZvbGk8L0F1dGhvcj48WWVhcj4yMDExPC9ZZWFyPjxS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</w:fldData>
        </w:fldChar>
      </w:r>
      <w:r w:rsidRPr="004D46AC">
        <w:instrText xml:space="preserve"> ADDIN EN.CITE </w:instrText>
      </w:r>
      <w:r w:rsidRPr="004D46AC">
        <w:fldChar w:fldCharType="begin">
          <w:fldData xml:space="preserve">PEVuZE5vdGU+PENpdGU+PEF1dGhvcj5OaXZvbGk8L0F1dGhvcj48WWVhcj4yMDExPC9ZZWFyPjxS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</w:fldData>
        </w:fldChar>
      </w:r>
      <w:r w:rsidRPr="004D46AC">
        <w:instrText xml:space="preserve"> ADDIN EN.CITE.DATA </w:instrText>
      </w:r>
      <w:r w:rsidRPr="004D46AC">
        <w:fldChar w:fldCharType="end"/>
      </w:r>
      <w:r w:rsidRPr="004D46AC">
        <w:fldChar w:fldCharType="separate"/>
      </w:r>
      <w:r w:rsidRPr="004D46AC">
        <w:rPr>
          <w:noProof/>
        </w:rPr>
        <w:t>(Baldassano et al., 2005; Nivoli et al., 2011)</w:t>
      </w:r>
      <w:r w:rsidRPr="004D46AC">
        <w:fldChar w:fldCharType="end"/>
      </w:r>
      <w:r w:rsidRPr="004D46AC">
        <w:rPr>
          <w:rFonts w:hint="eastAsia"/>
        </w:rPr>
        <w:t>,</w:t>
      </w:r>
      <w:r w:rsidRPr="004D46AC">
        <w:t xml:space="preserve"> a pattern that aligns with our findings regarding hypomania and affective</w:t>
      </w:r>
      <w:r w:rsidRPr="004D46AC">
        <w:rPr>
          <w:rFonts w:hint="eastAsia"/>
        </w:rPr>
        <w:t>-</w:t>
      </w:r>
      <w:r w:rsidRPr="004D46AC">
        <w:t>cognitive dysregulation.</w:t>
      </w:r>
      <w:r w:rsidRPr="004D46AC">
        <w:rPr>
          <w:rFonts w:hint="eastAsia"/>
        </w:rPr>
        <w:t xml:space="preserve"> The gender pattern in different at-risk cluster</w:t>
      </w:r>
      <w:r w:rsidRPr="004D46AC">
        <w:t xml:space="preserve"> may be driven by distinct psychosocial and neurobiological mechanisms. The higher distress </w:t>
      </w:r>
      <w:r w:rsidRPr="004D46AC">
        <w:rPr>
          <w:rFonts w:hint="eastAsia"/>
        </w:rPr>
        <w:t>of</w:t>
      </w:r>
      <w:r w:rsidRPr="004D46AC">
        <w:t xml:space="preserve"> </w:t>
      </w:r>
      <w:r w:rsidRPr="004D46AC">
        <w:rPr>
          <w:rFonts w:hint="eastAsia"/>
        </w:rPr>
        <w:t xml:space="preserve">affective-cognitive dysregulation </w:t>
      </w:r>
      <w:r w:rsidRPr="004D46AC">
        <w:t>observed in females may reflect a tendency to engage in emotion-focused coping, particularly rumination, as well as heightened sensitivity of the hypothalamic</w:t>
      </w:r>
      <w:r w:rsidRPr="004D46AC">
        <w:rPr>
          <w:rFonts w:hint="eastAsia"/>
        </w:rPr>
        <w:t>-</w:t>
      </w:r>
      <w:r w:rsidRPr="004D46AC">
        <w:t>pituitary</w:t>
      </w:r>
      <w:r w:rsidRPr="004D46AC">
        <w:rPr>
          <w:rFonts w:hint="eastAsia"/>
        </w:rPr>
        <w:t>-</w:t>
      </w:r>
      <w:r w:rsidRPr="004D46AC">
        <w:t>adrenal axis to stress</w:t>
      </w:r>
      <w:r w:rsidRPr="004D46AC">
        <w:rPr>
          <w:rFonts w:hint="eastAsia"/>
        </w:rPr>
        <w:t xml:space="preserve"> </w:t>
      </w:r>
      <w:r w:rsidRPr="004D46AC">
        <w:fldChar w:fldCharType="begin">
          <w:fldData xml:space="preserve">PEVuZE5vdGU+PENpdGU+PEF1dGhvcj5Kb2huc29uPC9BdXRob3I+PFllYXI+MjAxMzwvWWVhcj48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=
</w:fldData>
        </w:fldChar>
      </w:r>
      <w:r w:rsidRPr="004D46AC">
        <w:instrText xml:space="preserve"> ADDIN EN.CITE </w:instrText>
      </w:r>
      <w:r w:rsidRPr="004D46AC">
        <w:fldChar w:fldCharType="begin">
          <w:fldData xml:space="preserve">PEVuZE5vdGU+PENpdGU+PEF1dGhvcj5Kb2huc29uPC9BdXRob3I+PFllYXI+MjAxMzwvWWVhcj48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=
</w:fldData>
        </w:fldChar>
      </w:r>
      <w:r w:rsidRPr="004D46AC">
        <w:instrText xml:space="preserve"> ADDIN EN.CITE.DATA </w:instrText>
      </w:r>
      <w:r w:rsidRPr="004D46AC">
        <w:fldChar w:fldCharType="end"/>
      </w:r>
      <w:r w:rsidRPr="004D46AC">
        <w:fldChar w:fldCharType="separate"/>
      </w:r>
      <w:r w:rsidRPr="004D46AC">
        <w:rPr>
          <w:noProof/>
        </w:rPr>
        <w:t>(Johnson &amp; Whisman, 2013; Kudielka &amp; Kirschbaum, 2005)</w:t>
      </w:r>
      <w:r w:rsidRPr="004D46AC">
        <w:fldChar w:fldCharType="end"/>
      </w:r>
      <w:r w:rsidRPr="004D46AC">
        <w:t xml:space="preserve">. Conversely, the prominence of </w:t>
      </w:r>
      <w:r w:rsidRPr="004D46AC">
        <w:rPr>
          <w:rFonts w:hint="eastAsia"/>
        </w:rPr>
        <w:t>hypomania and reality distortion</w:t>
      </w:r>
      <w:r w:rsidRPr="004D46AC">
        <w:t xml:space="preserve"> among males may reflect neurodevelopmental vulnerabilities, including heightened dopaminergic activity and androgen-mediated modulation of neural circuits implicated in impulsivity, salience processing, and behavioural disinhibition</w:t>
      </w:r>
      <w:r w:rsidRPr="004D46AC">
        <w:rPr>
          <w:rFonts w:hint="eastAsia"/>
        </w:rPr>
        <w:t xml:space="preserve"> </w:t>
      </w:r>
      <w:r w:rsidRPr="004D46AC">
        <w:fldChar w:fldCharType="begin">
          <w:fldData xml:space="preserve">PEVuZE5vdGU+PENpdGU+PEF1dGhvcj5IZXJtYW5zPC9BdXRob3I+PFllYXI+MjAwODwvWWVhcj48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</w:fldData>
        </w:fldChar>
      </w:r>
      <w:r w:rsidRPr="004D46AC">
        <w:instrText xml:space="preserve"> ADDIN EN.CITE </w:instrText>
      </w:r>
      <w:r w:rsidRPr="004D46AC">
        <w:fldChar w:fldCharType="begin">
          <w:fldData xml:space="preserve">PEVuZE5vdGU+PENpdGU+PEF1dGhvcj5IZXJtYW5zPC9BdXRob3I+PFllYXI+MjAwODwvWWVhcj48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</w:fldData>
        </w:fldChar>
      </w:r>
      <w:r w:rsidRPr="004D46AC">
        <w:instrText xml:space="preserve"> ADDIN EN.CITE.DATA </w:instrText>
      </w:r>
      <w:r w:rsidRPr="004D46AC">
        <w:fldChar w:fldCharType="end"/>
      </w:r>
      <w:r w:rsidRPr="004D46AC">
        <w:fldChar w:fldCharType="separate"/>
      </w:r>
      <w:r w:rsidRPr="004D46AC">
        <w:rPr>
          <w:noProof/>
        </w:rPr>
        <w:t>(Hermans et al., 2008; Howes &amp; Kapur, 2009; Ma-Kellams &amp; Wu, 2020)</w:t>
      </w:r>
      <w:r w:rsidRPr="004D46AC">
        <w:fldChar w:fldCharType="end"/>
      </w:r>
      <w:r w:rsidRPr="004D46AC">
        <w:t>. These patterns suggest sex-linked pathways in the development of at-risk psychopathology and highlight the need for gender-informed approaches in</w:t>
      </w:r>
      <w:r w:rsidRPr="004D46AC">
        <w:rPr>
          <w:rFonts w:hint="eastAsia"/>
        </w:rPr>
        <w:t xml:space="preserve"> early identification</w:t>
      </w:r>
      <w:r w:rsidRPr="004D46AC">
        <w:t xml:space="preserve"> and </w:t>
      </w:r>
      <w:r w:rsidRPr="004D46AC">
        <w:rPr>
          <w:rFonts w:hint="eastAsia"/>
        </w:rPr>
        <w:t>intervention</w:t>
      </w:r>
      <w:r w:rsidRPr="004D46AC">
        <w:t>.</w:t>
      </w:r>
    </w:p>
    <w:p w14:paraId="5901612D" w14:textId="77777777" w:rsidR="007075D9" w:rsidRPr="004D46AC" w:rsidRDefault="007075D9" w:rsidP="00B518F1">
      <w:pPr>
        <w:ind w:firstLine="660"/>
      </w:pPr>
      <w:r w:rsidRPr="004D46AC">
        <w:lastRenderedPageBreak/>
        <w:t>However, other studies have identified gender differences in psychiatric comorbidities, with females reporting higher rates of binge eating and males reporting more frequent substance misuse</w:t>
      </w:r>
      <w:r w:rsidRPr="004D46AC">
        <w:rPr>
          <w:rFonts w:hint="eastAsia"/>
        </w:rPr>
        <w:t xml:space="preserve"> </w:t>
      </w:r>
      <w:r w:rsidRPr="004D46AC">
        <w:fldChar w:fldCharType="begin">
          <w:fldData xml:space="preserve">PEVuZE5vdGU+PENpdGU+PEF1dGhvcj5LZXNzaW5nPC9BdXRob3I+PFllYXI+MjAwNDwvWWVhcj48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</w:fldData>
        </w:fldChar>
      </w:r>
      <w:r w:rsidRPr="004D46AC">
        <w:instrText xml:space="preserve"> ADDIN EN.CITE </w:instrText>
      </w:r>
      <w:r w:rsidRPr="004D46AC">
        <w:fldChar w:fldCharType="begin">
          <w:fldData xml:space="preserve">PEVuZE5vdGU+PENpdGU+PEF1dGhvcj5LZXNzaW5nPC9BdXRob3I+PFllYXI+MjAwNDwvWWVhcj48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</w:fldData>
        </w:fldChar>
      </w:r>
      <w:r w:rsidRPr="004D46AC">
        <w:instrText xml:space="preserve"> ADDIN EN.CITE.DATA </w:instrText>
      </w:r>
      <w:r w:rsidRPr="004D46AC">
        <w:fldChar w:fldCharType="end"/>
      </w:r>
      <w:r w:rsidRPr="004D46AC">
        <w:fldChar w:fldCharType="separate"/>
      </w:r>
      <w:r w:rsidRPr="004D46AC">
        <w:rPr>
          <w:noProof/>
        </w:rPr>
        <w:t>(Kessing, 2004; Suominen et al., 2009)</w:t>
      </w:r>
      <w:r w:rsidRPr="004D46AC">
        <w:fldChar w:fldCharType="end"/>
      </w:r>
      <w:r w:rsidRPr="004D46AC">
        <w:rPr>
          <w:rFonts w:hint="eastAsia"/>
        </w:rPr>
        <w:t xml:space="preserve">. </w:t>
      </w:r>
      <w:r w:rsidRPr="004D46AC">
        <w:t xml:space="preserve">Furthermore, </w:t>
      </w:r>
      <w:r w:rsidRPr="004D46AC">
        <w:fldChar w:fldCharType="begin"/>
      </w:r>
      <w:r w:rsidRPr="004D46AC">
        <w:instrText xml:space="preserve"> ADDIN EN.CITE &lt;EndNote&gt;&lt;Cite AuthorYear="1"&gt;&lt;Author&gt;Douglas&lt;/Author&gt;&lt;Year&gt;2014&lt;/Year&gt;&lt;RecNum&gt;1309&lt;/RecNum&gt;&lt;DisplayText&gt;Douglas and Scott (2014)&lt;/DisplayText&gt;&lt;record&gt;&lt;rec-number&gt;1309&lt;/rec-number&gt;&lt;foreign-keys&gt;&lt;key app="EN" db-id="aet009sstawa0hewvt3xwf5atffdw2dt02sw" timestamp="1764686701"&gt;1309&lt;/key&gt;&lt;/foreign-keys&gt;&lt;ref-type name="Journal Article"&gt;17&lt;/ref-type&gt;&lt;contributors&gt;&lt;authors&gt;&lt;author&gt;Douglas, Jessica&lt;/author&gt;&lt;author&gt;Scott, Jan&lt;/author&gt;&lt;/authors&gt;&lt;/contributors&gt;&lt;titles&gt;&lt;title&gt;A systematic review of gender-specific rates of unipolar and bipolar disorders in community studies of pre-pubertal children&lt;/title&gt;&lt;secondary-title&gt;Bipolar Disorders&lt;/secondary-title&gt;&lt;/titles&gt;&lt;periodical&gt;&lt;full-title&gt;Bipolar Disorders&lt;/full-title&gt;&lt;/periodical&gt;&lt;pages&gt;5-15&lt;/pages&gt;&lt;volume&gt;16&lt;/volume&gt;&lt;number&gt;1&lt;/number&gt;&lt;dates&gt;&lt;year&gt;2014&lt;/year&gt;&lt;/dates&gt;&lt;isbn&gt;1398-5647&lt;/isbn&gt;&lt;urls&gt;&lt;related-urls&gt;&lt;url&gt;https://onlinelibrary.wiley.com/doi/abs/10.1111/bdi.12155&lt;/url&gt;&lt;/related-urls&gt;&lt;/urls&gt;&lt;electronic-resource-num&gt;https://doi.org/10.1111/bdi.12155&lt;/electronic-resource-num&gt;&lt;/record&gt;&lt;/Cite&gt;&lt;/EndNote&gt;</w:instrText>
      </w:r>
      <w:r w:rsidRPr="004D46AC">
        <w:fldChar w:fldCharType="separate"/>
      </w:r>
      <w:r w:rsidRPr="004D46AC">
        <w:t>Douglas and Scott (2014)</w:t>
      </w:r>
      <w:r w:rsidRPr="004D46AC">
        <w:fldChar w:fldCharType="end"/>
      </w:r>
      <w:r w:rsidRPr="004D46AC">
        <w:rPr>
          <w:rFonts w:hint="eastAsia"/>
        </w:rPr>
        <w:t xml:space="preserve"> </w:t>
      </w:r>
      <w:r w:rsidRPr="004D46AC">
        <w:t>review of childhood mood disorders found a reversed pattern, with boys more likely than girls to be diagnosed with depression.</w:t>
      </w:r>
      <w:r w:rsidRPr="004D46AC">
        <w:rPr>
          <w:rFonts w:hint="eastAsia"/>
        </w:rPr>
        <w:t xml:space="preserve"> </w:t>
      </w:r>
      <w:r w:rsidRPr="004D46AC">
        <w:t>The mechanisms underlying these gender differences are therefore likely to be multifaceted and complex. Taken together with the age-related patterns observed in our study, these findings suggest a potential interaction between age and gender that warrants further investigation.</w:t>
      </w:r>
    </w:p>
    <w:p w14:paraId="24F9EA78" w14:textId="77777777" w:rsidR="007075D9" w:rsidRPr="004D46AC" w:rsidRDefault="007075D9" w:rsidP="00B518F1">
      <w:pPr>
        <w:pStyle w:val="3"/>
        <w:rPr>
          <w:rFonts w:eastAsiaTheme="minorEastAsia"/>
        </w:rPr>
      </w:pPr>
      <w:r w:rsidRPr="004D46AC">
        <w:rPr>
          <w:rFonts w:eastAsiaTheme="minorEastAsia" w:hint="eastAsia"/>
        </w:rPr>
        <w:t>Network</w:t>
      </w:r>
      <w:r w:rsidRPr="004D46AC">
        <w:rPr>
          <w:rFonts w:hint="eastAsia"/>
        </w:rPr>
        <w:t xml:space="preserve"> findings</w:t>
      </w:r>
    </w:p>
    <w:p w14:paraId="22A4BF62" w14:textId="77777777" w:rsidR="007075D9" w:rsidRPr="004D46AC" w:rsidRDefault="007075D9" w:rsidP="00B518F1">
      <w:pPr>
        <w:ind w:firstLine="660"/>
      </w:pPr>
      <w:r w:rsidRPr="004D46AC">
        <w:rPr>
          <w:rFonts w:hint="eastAsia"/>
        </w:rPr>
        <w:t xml:space="preserve"> </w:t>
      </w:r>
      <w:r w:rsidRPr="004D46AC">
        <w:t>To further examine the underlying dynamics of the TRACE, we conducted a series of network analyses and obtained the following main findings. In terms of structural mechanisms, the Ising Model indicated that suspiciousness (TR30) was the most strongly connected symptom within the network, whereas identity confusion (TR26) functioned as a pivotal symptom linking affective</w:t>
      </w:r>
      <w:r w:rsidRPr="004D46AC">
        <w:rPr>
          <w:rFonts w:hint="eastAsia"/>
        </w:rPr>
        <w:t>-</w:t>
      </w:r>
      <w:r w:rsidRPr="004D46AC">
        <w:t>cognitive dysregulation with other symptom domains. Hypomania and reality distortion were more densely interconnected than other domain pairs (e.g., hypomania and affective</w:t>
      </w:r>
      <w:r w:rsidRPr="004D46AC">
        <w:rPr>
          <w:rFonts w:hint="eastAsia"/>
        </w:rPr>
        <w:t>-</w:t>
      </w:r>
      <w:r w:rsidRPr="004D46AC">
        <w:t>cognitive dysregulation).</w:t>
      </w:r>
      <w:r w:rsidRPr="004D46AC">
        <w:rPr>
          <w:rFonts w:hint="eastAsia"/>
        </w:rPr>
        <w:t xml:space="preserve"> </w:t>
      </w:r>
      <w:r w:rsidRPr="004D46AC">
        <w:t>The Bayesian Network Model suggested that most causal relationships occurred within each at-risk state cluster, with relatively few relationships observed across clusters. The cognitive</w:t>
      </w:r>
      <w:r w:rsidRPr="004D46AC">
        <w:rPr>
          <w:rFonts w:hint="eastAsia"/>
        </w:rPr>
        <w:t>-</w:t>
      </w:r>
      <w:r w:rsidRPr="004D46AC">
        <w:t>affective cluster served as a bridge connecting hypomania and reality distortion.</w:t>
      </w:r>
      <w:r w:rsidRPr="004D46AC">
        <w:rPr>
          <w:rFonts w:hint="eastAsia"/>
        </w:rPr>
        <w:t xml:space="preserve"> </w:t>
      </w:r>
      <w:r w:rsidRPr="004D46AC">
        <w:t>With respect to structural comparisons, the overall network structures were comparable across male and female participants. A tentative developmental trend also emerged, indicating that adolescents exhibited sparser network connectivity than the older participant groups.</w:t>
      </w:r>
    </w:p>
    <w:p w14:paraId="254ED883" w14:textId="77777777" w:rsidR="007075D9" w:rsidRPr="004D46AC" w:rsidRDefault="007075D9" w:rsidP="00B518F1">
      <w:pPr>
        <w:pStyle w:val="4"/>
      </w:pPr>
      <w:r w:rsidRPr="004D46AC">
        <w:rPr>
          <w:rFonts w:hint="eastAsia"/>
        </w:rPr>
        <w:t>Ising</w:t>
      </w:r>
      <w:r w:rsidRPr="004D46AC">
        <w:rPr>
          <w:rFonts w:eastAsiaTheme="minorEastAsia" w:hint="eastAsia"/>
        </w:rPr>
        <w:t xml:space="preserve"> </w:t>
      </w:r>
      <w:r w:rsidRPr="004D46AC">
        <w:rPr>
          <w:rFonts w:hint="eastAsia"/>
        </w:rPr>
        <w:t xml:space="preserve">model </w:t>
      </w:r>
    </w:p>
    <w:p w14:paraId="5CD4DF1F" w14:textId="77777777" w:rsidR="007075D9" w:rsidRPr="004D46AC" w:rsidRDefault="007075D9" w:rsidP="00B518F1">
      <w:r w:rsidRPr="004D46AC">
        <w:t xml:space="preserve">In the </w:t>
      </w:r>
      <w:r w:rsidRPr="004D46AC">
        <w:rPr>
          <w:rFonts w:hint="eastAsia"/>
        </w:rPr>
        <w:t>IM</w:t>
      </w:r>
      <w:r w:rsidRPr="004D46AC">
        <w:t xml:space="preserve">, suspiciousness (TR30) emerged as the symptom with the highest node strength, </w:t>
      </w:r>
      <w:r w:rsidRPr="004D46AC">
        <w:rPr>
          <w:rFonts w:hint="eastAsia"/>
        </w:rPr>
        <w:t>along with</w:t>
      </w:r>
      <w:r w:rsidRPr="004D46AC">
        <w:t xml:space="preserve"> its</w:t>
      </w:r>
      <w:r w:rsidRPr="004D46AC">
        <w:rPr>
          <w:rFonts w:hint="eastAsia"/>
        </w:rPr>
        <w:t xml:space="preserve"> high</w:t>
      </w:r>
      <w:r w:rsidRPr="004D46AC">
        <w:t xml:space="preserve"> bridge strength supporting its</w:t>
      </w:r>
      <w:r w:rsidRPr="004D46AC">
        <w:rPr>
          <w:rFonts w:hint="eastAsia"/>
        </w:rPr>
        <w:t xml:space="preserve"> importance in the network structure of the at-risk states assessed by TRACE.</w:t>
      </w:r>
      <w:r w:rsidRPr="004D46AC">
        <w:t xml:space="preserve"> The </w:t>
      </w:r>
      <w:r w:rsidRPr="004D46AC">
        <w:rPr>
          <w:rFonts w:hint="eastAsia"/>
        </w:rPr>
        <w:t>finding</w:t>
      </w:r>
      <w:r w:rsidRPr="004D46AC">
        <w:t xml:space="preserve"> can be interpreted through several theoretical models of delusion</w:t>
      </w:r>
      <w:r w:rsidRPr="004D46AC">
        <w:rPr>
          <w:rFonts w:hint="eastAsia"/>
        </w:rPr>
        <w:t xml:space="preserve">al </w:t>
      </w:r>
      <w:r w:rsidRPr="004D46AC">
        <w:t xml:space="preserve">thinking. Theory of mind, as proposed by Frith and Frith (2005), provides a plausible explanation. In this study, disconnected thoughts (TR24), </w:t>
      </w:r>
      <w:r w:rsidRPr="004D46AC">
        <w:lastRenderedPageBreak/>
        <w:t>ideas of reference (TR25), confused thinking (TR37), and paranoia</w:t>
      </w:r>
      <w:r w:rsidRPr="004D46AC">
        <w:rPr>
          <w:rFonts w:hint="eastAsia"/>
        </w:rPr>
        <w:t xml:space="preserve"> (TR33)</w:t>
      </w:r>
      <w:r w:rsidRPr="004D46AC">
        <w:t xml:space="preserve"> - though from different </w:t>
      </w:r>
      <w:r w:rsidRPr="004D46AC">
        <w:rPr>
          <w:rFonts w:hint="eastAsia"/>
        </w:rPr>
        <w:t xml:space="preserve">domains of </w:t>
      </w:r>
      <w:r w:rsidRPr="004D46AC">
        <w:t>at-risk</w:t>
      </w:r>
      <w:r w:rsidRPr="004D46AC">
        <w:rPr>
          <w:rFonts w:hint="eastAsia"/>
        </w:rPr>
        <w:t xml:space="preserve"> states - </w:t>
      </w:r>
      <w:r w:rsidRPr="004D46AC">
        <w:t>were all linked to suspiciousness. This convergence suggests a shared cognitive vulnerability in social reasoning, particularly in the capacity to reason about others’ beliefs, intentions, and behaviours. Such impairments may limit the ability to accurately interpret social cues, increasing the likelihood of misattributions and suspicious ideation. Additional evidence supporting this interpretation has been reported elsewhere (Daniel &amp; Bao Sheng, 2023). On the other hand, according to defence and metacognitive accounts of delusions, suspiciousness may serve as a coping strategy for managing psychological conflict; individuals with delusional beliefs may externali</w:t>
      </w:r>
      <w:r w:rsidRPr="004D46AC">
        <w:rPr>
          <w:rFonts w:hint="eastAsia"/>
        </w:rPr>
        <w:t>s</w:t>
      </w:r>
      <w:r w:rsidRPr="004D46AC">
        <w:t>e negative experiences, thereby alleviating internal distress by attributing perceived hostility to others</w:t>
      </w:r>
      <w:r w:rsidRPr="004D46AC">
        <w:rPr>
          <w:rFonts w:hint="eastAsia"/>
        </w:rPr>
        <w:t xml:space="preserve"> </w:t>
      </w:r>
      <w:r w:rsidRPr="004D46AC">
        <w:fldChar w:fldCharType="begin">
          <w:fldData xml:space="preserve">PEVuZE5vdGU+PENpdGU+PEF1dGhvcj5LaW5kZXJtYW48L0F1dGhvcj48WWVhcj4xOTk2PC9ZZWFy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</w:fldData>
        </w:fldChar>
      </w:r>
      <w:r w:rsidRPr="004D46AC">
        <w:instrText xml:space="preserve"> ADDIN EN.CITE </w:instrText>
      </w:r>
      <w:r w:rsidRPr="004D46AC">
        <w:fldChar w:fldCharType="begin">
          <w:fldData xml:space="preserve">PEVuZE5vdGU+PENpdGU+PEF1dGhvcj5LaW5kZXJtYW48L0F1dGhvcj48WWVhcj4xOTk2PC9ZZWFy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</w:fldData>
        </w:fldChar>
      </w:r>
      <w:r w:rsidRPr="004D46AC">
        <w:instrText xml:space="preserve"> ADDIN EN.CITE.DATA </w:instrText>
      </w:r>
      <w:r w:rsidRPr="004D46AC">
        <w:fldChar w:fldCharType="end"/>
      </w:r>
      <w:r w:rsidRPr="004D46AC">
        <w:fldChar w:fldCharType="separate"/>
      </w:r>
      <w:r w:rsidRPr="004D46AC">
        <w:t>(Kaney &amp; Bentall, 1989; Kinderman &amp; Bentall, 1996; Morrison et al., 2011)</w:t>
      </w:r>
      <w:r w:rsidRPr="004D46AC">
        <w:fldChar w:fldCharType="end"/>
      </w:r>
      <w:r w:rsidRPr="004D46AC">
        <w:t>. The observed associations between identity confusion (TR26) and suspiciousness, and between suspiciousness and paranoia (TR33), is consistent with these interpretations.</w:t>
      </w:r>
      <w:r w:rsidRPr="004D46AC">
        <w:rPr>
          <w:rFonts w:hint="eastAsia"/>
        </w:rPr>
        <w:t xml:space="preserve"> </w:t>
      </w:r>
    </w:p>
    <w:p w14:paraId="6D8097AD" w14:textId="77777777" w:rsidR="007075D9" w:rsidRPr="004D46AC" w:rsidRDefault="007075D9" w:rsidP="00B518F1">
      <w:pPr>
        <w:ind w:firstLine="660"/>
      </w:pPr>
      <w:r w:rsidRPr="004D46AC">
        <w:t xml:space="preserve">The disturbance in self-identity also warrants attention given its strong associations with </w:t>
      </w:r>
      <w:r w:rsidRPr="004D46AC">
        <w:rPr>
          <w:rFonts w:hint="eastAsia"/>
        </w:rPr>
        <w:t>at risk</w:t>
      </w:r>
      <w:r w:rsidRPr="004D46AC">
        <w:t xml:space="preserve"> symptoms across multiple dimensions. This aligns with previous research in adolescents showing that identity confusion is linked to heightened psychological distress and personality dysfunction</w:t>
      </w:r>
      <w:r w:rsidRPr="004D46AC">
        <w:rPr>
          <w:rFonts w:hint="eastAsia"/>
        </w:rPr>
        <w:t xml:space="preserve"> </w:t>
      </w:r>
      <w:r w:rsidRPr="004D46AC">
        <w:fldChar w:fldCharType="begin">
          <w:fldData xml:space="preserve">PEVuZE5vdGU+PENpdGU+PEF1dGhvcj5SYWVtZW48L0F1dGhvcj48WWVhcj4yMDIyPC9ZZWFyPjxS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</w:fldData>
        </w:fldChar>
      </w:r>
      <w:r w:rsidRPr="004D46AC">
        <w:instrText xml:space="preserve"> ADDIN EN.CITE </w:instrText>
      </w:r>
      <w:r w:rsidRPr="004D46AC">
        <w:fldChar w:fldCharType="begin">
          <w:fldData xml:space="preserve">PEVuZE5vdGU+PENpdGU+PEF1dGhvcj5SYWVtZW48L0F1dGhvcj48WWVhcj4yMDIyPC9ZZWFyPjxS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</w:fldData>
        </w:fldChar>
      </w:r>
      <w:r w:rsidRPr="004D46AC">
        <w:instrText xml:space="preserve"> ADDIN EN.CITE.DATA </w:instrText>
      </w:r>
      <w:r w:rsidRPr="004D46AC">
        <w:fldChar w:fldCharType="end"/>
      </w:r>
      <w:r w:rsidRPr="004D46AC">
        <w:fldChar w:fldCharType="separate"/>
      </w:r>
      <w:r w:rsidRPr="004D46AC">
        <w:t>(Kaynak Demir et al., 2009; Raemen et al., 2022)</w:t>
      </w:r>
      <w:r w:rsidRPr="004D46AC">
        <w:fldChar w:fldCharType="end"/>
      </w:r>
      <w:r w:rsidRPr="004D46AC">
        <w:rPr>
          <w:rFonts w:hint="eastAsia"/>
        </w:rPr>
        <w:t>.</w:t>
      </w:r>
      <w:r w:rsidRPr="004D46AC">
        <w:t xml:space="preserve"> Grounded in the model proposed by </w:t>
      </w:r>
      <w:r w:rsidRPr="004D46AC">
        <w:fldChar w:fldCharType="begin"/>
      </w:r>
      <w:r w:rsidRPr="004D46AC">
        <w:instrText xml:space="preserve"> ADDIN EN.CITE &lt;EndNote&gt;&lt;Cite AuthorYear="1"&gt;&lt;Author&gt;Erikson&lt;/Author&gt;&lt;Year&gt;1959&lt;/Year&gt;&lt;RecNum&gt;977&lt;/RecNum&gt;&lt;DisplayText&gt;Erikson (1959)&lt;/DisplayText&gt;&lt;record&gt;&lt;rec-number&gt;977&lt;/rec-number&gt;&lt;foreign-keys&gt;&lt;key app="EN" db-id="aet009sstawa0hewvt3xwf5atffdw2dt02sw" timestamp="1743777014"&gt;977&lt;/key&gt;&lt;/foreign-keys&gt;&lt;ref-type name="Journal Article"&gt;17&lt;/ref-type&gt;&lt;contributors&gt;&lt;authors&gt;&lt;author&gt;Erikson, Erik&lt;/author&gt;&lt;/authors&gt;&lt;/contributors&gt;&lt;titles&gt;&lt;title&gt;Theory of identity development&lt;/title&gt;&lt;secondary-title&gt;E. Erikson, Identity and the life cycle. Nueva York: International Universities Press. Obtenido de http://childdevpsychology. yolasite. com/resources/theory% 20of% 20ident ity% 20erikson. pdf&lt;/secondary-title&gt;&lt;/titles&gt;&lt;periodical&gt;&lt;full-title&gt;E. Erikson, Identity and the life cycle. Nueva York: International Universities Press. Obtenido de http://childdevpsychology. yolasite. com/resources/theory% 20of% 20ident ity% 20erikson. pdf&lt;/full-title&gt;&lt;/periodical&gt;&lt;dates&gt;&lt;year&gt;1959&lt;/year&gt;&lt;/dates&gt;&lt;urls&gt;&lt;/urls&gt;&lt;/record&gt;&lt;/Cite&gt;&lt;/EndNote&gt;</w:instrText>
      </w:r>
      <w:r w:rsidRPr="004D46AC">
        <w:fldChar w:fldCharType="separate"/>
      </w:r>
      <w:r w:rsidRPr="004D46AC">
        <w:t>Erikson (1959)</w:t>
      </w:r>
      <w:r w:rsidRPr="004D46AC">
        <w:fldChar w:fldCharType="end"/>
      </w:r>
      <w:r w:rsidRPr="004D46AC">
        <w:rPr>
          <w:rFonts w:hint="eastAsia"/>
        </w:rPr>
        <w:t xml:space="preserve">, </w:t>
      </w:r>
      <w:r w:rsidRPr="004D46AC">
        <w:t>these findings suggest that difficulties in identity formation during adolescence may serve as a transdiagnostic risk factor, contributing to a range of mental health challenges.</w:t>
      </w:r>
    </w:p>
    <w:p w14:paraId="7947CBDE" w14:textId="77777777" w:rsidR="007075D9" w:rsidRPr="004D46AC" w:rsidRDefault="007075D9" w:rsidP="00B518F1">
      <w:pPr>
        <w:ind w:firstLine="660"/>
      </w:pPr>
      <w:r w:rsidRPr="004D46AC">
        <w:t>The proportion of edge present between manic and psychotic prodromes was the highest among all symptom dimension pairs, suggesting that features within these two domains are more frequently interconnected. This pattern aligns with findings from prior network analyses of mood and psychotic symptoms in individuals with major psychoses, which have reported stronger and more frequent connections between manic and psychotic dimensions than between depressive and psychotic dimensions</w:t>
      </w:r>
      <w:r w:rsidRPr="004D46AC">
        <w:rPr>
          <w:rFonts w:hint="eastAsia"/>
        </w:rPr>
        <w:t xml:space="preserve"> </w:t>
      </w:r>
      <w:r w:rsidRPr="004D46AC">
        <w:fldChar w:fldCharType="begin"/>
      </w:r>
      <w:r w:rsidRPr="004D46AC">
        <w:instrText xml:space="preserve"> ADDIN EN.CITE &lt;EndNote&gt;&lt;Cite&gt;&lt;Author&gt;Shao&lt;/Author&gt;&lt;Year&gt;2024&lt;/Year&gt;&lt;RecNum&gt;757&lt;/RecNum&gt;&lt;DisplayText&gt;(Shao et al., 2024)&lt;/DisplayText&gt;&lt;record&gt;&lt;rec-number&gt;757&lt;/rec-number&gt;&lt;foreign-keys&gt;&lt;key app="EN" db-id="aet009sstawa0hewvt3xwf5atffdw2dt02sw" timestamp="1728851689"&gt;757&lt;/key&gt;&lt;/foreign-keys&gt;&lt;ref-type name="Journal Article"&gt;17&lt;/ref-type&gt;&lt;contributors&gt;&lt;authors&gt;&lt;author&gt;Wen Shao &lt;/author&gt;&lt;author&gt;Melanie Simmonds-Buckley&lt;/author&gt;&lt;author&gt;Orestis Zavlis&lt;/author&gt;&lt;author&gt;Richard P Bentall&lt;/author&gt;&lt;/authors&gt;&lt;/contributors&gt;&lt;auth-address&gt;Department of Psychology, University of Sheffield, Sheffield S1 2LT, UK.&amp;#xD;Department of Psychology and Language Sciences, University College London, London WC1E 6BT, UK.&lt;/auth-address&gt;&lt;titles&gt;&lt;title&gt;The Common Structure of the Major Psychoses: More Similarities Than Differences in the Network Structures of Schizophrenia, Schizoaffective Disorder, and Psychotic Bipolar Disorder&lt;/title&gt;&lt;secondary-title&gt;Schizophr Bull&lt;/secondary-title&gt;&lt;/titles&gt;&lt;periodical&gt;&lt;full-title&gt;Schizophr Bull&lt;/full-title&gt;&lt;/periodical&gt;&lt;pages&gt;sbae154&lt;/pages&gt;&lt;edition&gt;20240911&lt;/edition&gt;&lt;keywords&gt;&lt;keyword&gt;bipolar&lt;/keyword&gt;&lt;keyword&gt;network&lt;/keyword&gt;&lt;keyword&gt;psychopathology&lt;/keyword&gt;&lt;keyword&gt;schizoaffective&lt;/keyword&gt;&lt;keyword&gt;schizophrenia&lt;/keyword&gt;&lt;/keywords&gt;&lt;dates&gt;&lt;year&gt;2024&lt;/year&gt;&lt;pub-dates&gt;&lt;date&gt;Sep 11&lt;/date&gt;&lt;/pub-dates&gt;&lt;/dates&gt;&lt;isbn&gt;1745-1701 (Electronic)&amp;#xD;0586-7614 (Linking)&lt;/isbn&gt;&lt;accession-num&gt;39259601&lt;/accession-num&gt;&lt;urls&gt;&lt;related-urls&gt;&lt;url&gt;https://www.ncbi.nlm.nih.gov/pubmed/39259601&lt;/url&gt;&lt;/related-urls&gt;&lt;/urls&gt;&lt;electronic-resource-num&gt;10.1093/schbul/sbae154&lt;/electronic-resource-num&gt;&lt;remote-database-name&gt;Publisher&lt;/remote-database-name&gt;&lt;remote-database-provider&gt;NLM&lt;/remote-database-provider&gt;&lt;access-date&gt;10/13/2024&lt;/access-date&gt;&lt;/record&gt;&lt;/Cite&gt;&lt;/EndNote&gt;</w:instrText>
      </w:r>
      <w:r w:rsidRPr="004D46AC">
        <w:fldChar w:fldCharType="separate"/>
      </w:r>
      <w:r w:rsidRPr="004D46AC">
        <w:t>(Shao et al., 2024)</w:t>
      </w:r>
      <w:r w:rsidRPr="004D46AC">
        <w:fldChar w:fldCharType="end"/>
      </w:r>
      <w:r w:rsidRPr="004D46AC">
        <w:t xml:space="preserve">. Such results challenge traditional categorical distinctions within major psychoses and instead support the conceptualisation of a fluid boundary between manic and psychotic </w:t>
      </w:r>
      <w:r w:rsidRPr="004D46AC">
        <w:lastRenderedPageBreak/>
        <w:t>symptomatology in the prodromal phase. Nevertheless, the comparable weighted densities across symptom pairs suggest that connection strength and connection count may reflect distinct properties of symptom interactions. Future research should further explore these interrelationships, particularly by identifying high-weight edges and elucidating potential shared mechanisms underlying the convergence between mania and psychosis.</w:t>
      </w:r>
    </w:p>
    <w:p w14:paraId="526505F3" w14:textId="77777777" w:rsidR="007075D9" w:rsidRPr="004D46AC" w:rsidRDefault="007075D9" w:rsidP="00B518F1">
      <w:pPr>
        <w:pStyle w:val="4"/>
        <w:rPr>
          <w:rFonts w:eastAsiaTheme="minorEastAsia"/>
        </w:rPr>
      </w:pPr>
      <w:r w:rsidRPr="004D46AC">
        <w:rPr>
          <w:rFonts w:hint="eastAsia"/>
        </w:rPr>
        <w:t xml:space="preserve">Bayesian </w:t>
      </w:r>
      <w:r w:rsidRPr="004D46AC">
        <w:rPr>
          <w:rFonts w:eastAsiaTheme="minorEastAsia"/>
        </w:rPr>
        <w:t>network</w:t>
      </w:r>
      <w:r w:rsidRPr="004D46AC">
        <w:rPr>
          <w:rFonts w:eastAsiaTheme="minorEastAsia" w:hint="eastAsia"/>
        </w:rPr>
        <w:t xml:space="preserve"> </w:t>
      </w:r>
      <w:r w:rsidRPr="004D46AC">
        <w:rPr>
          <w:rFonts w:hint="eastAsia"/>
        </w:rPr>
        <w:t>model</w:t>
      </w:r>
    </w:p>
    <w:p w14:paraId="08A21053" w14:textId="77777777" w:rsidR="007075D9" w:rsidRPr="004D46AC" w:rsidRDefault="007075D9" w:rsidP="00B518F1">
      <w:r w:rsidRPr="004D46AC">
        <w:t xml:space="preserve">The probabilistic relationships identified by the BNM provided additional information beyond the IM. Specifically, emotional numbness and feelings of emptiness emerged as key initiating nodes and were bidirectionally related. This finding aligns with a recent systematic review </w:t>
      </w:r>
      <w:r w:rsidRPr="004D46AC">
        <w:fldChar w:fldCharType="begin">
          <w:fldData xml:space="preserve">PEVuZE5vdGU+PENpdGU+PEF1dGhvcj5NaWxsZXI8L0F1dGhvcj48WWVhcj4yMDIwPC9ZZWFyPjxS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=
</w:fldData>
        </w:fldChar>
      </w:r>
      <w:r w:rsidRPr="004D46AC">
        <w:instrText xml:space="preserve"> ADDIN EN.CITE </w:instrText>
      </w:r>
      <w:r w:rsidRPr="004D46AC">
        <w:fldChar w:fldCharType="begin">
          <w:fldData xml:space="preserve">PEVuZE5vdGU+PENpdGU+PEF1dGhvcj5NaWxsZXI8L0F1dGhvcj48WWVhcj4yMDIwPC9ZZWFyPjxS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=
</w:fldData>
        </w:fldChar>
      </w:r>
      <w:r w:rsidRPr="004D46AC">
        <w:instrText xml:space="preserve"> ADDIN EN.CITE.DATA </w:instrText>
      </w:r>
      <w:r w:rsidRPr="004D46AC">
        <w:fldChar w:fldCharType="end"/>
      </w:r>
      <w:r w:rsidRPr="004D46AC">
        <w:fldChar w:fldCharType="separate"/>
      </w:r>
      <w:r w:rsidRPr="004D46AC">
        <w:rPr>
          <w:noProof/>
        </w:rPr>
        <w:t>(Miller et al., 2020)</w:t>
      </w:r>
      <w:r w:rsidRPr="004D46AC">
        <w:fldChar w:fldCharType="end"/>
      </w:r>
      <w:r w:rsidRPr="004D46AC">
        <w:t>, and a thematic analysis identifying numbness as a subtheme of chronic emptiness</w:t>
      </w:r>
      <w:r w:rsidRPr="004D46AC">
        <w:rPr>
          <w:rFonts w:hint="eastAsia"/>
        </w:rPr>
        <w:t xml:space="preserve"> </w:t>
      </w:r>
      <w:r w:rsidRPr="004D46AC">
        <w:fldChar w:fldCharType="begin"/>
      </w:r>
      <w:r w:rsidRPr="004D46AC">
        <w:instrText xml:space="preserve"> ADDIN EN.CITE &lt;EndNote&gt;&lt;Cite&gt;&lt;Author&gt;Miller&lt;/Author&gt;&lt;Year&gt;2021&lt;/Year&gt;&lt;RecNum&gt;1240&lt;/RecNum&gt;&lt;DisplayText&gt;(Miller et al., 2021)&lt;/DisplayText&gt;&lt;record&gt;&lt;rec-number&gt;1240&lt;/rec-number&gt;&lt;foreign-keys&gt;&lt;key app="EN" db-id="aet009sstawa0hewvt3xwf5atffdw2dt02sw" timestamp="1760530925"&gt;1240&lt;/key&gt;&lt;/foreign-keys&gt;&lt;ref-type name="Journal Article"&gt;17&lt;/ref-type&gt;&lt;contributors&gt;&lt;authors&gt;&lt;author&gt;Miller, Caitlin E.&lt;/author&gt;&lt;author&gt;Townsend, Michelle L.&lt;/author&gt;&lt;author&gt;Grenyer, Brin F. S.&lt;/author&gt;&lt;/authors&gt;&lt;/contributors&gt;&lt;titles&gt;&lt;title&gt;Understanding chronic feelings of emptiness in borderline personality disorder: a qualitative study&lt;/title&gt;&lt;secondary-title&gt;Borderline Personality Disorder and Emotion Dysregulation&lt;/secondary-title&gt;&lt;/titles&gt;&lt;periodical&gt;&lt;full-title&gt;Borderline personality disorder and emotion dysregulation&lt;/full-title&gt;&lt;/periodical&gt;&lt;pages&gt;24&lt;/pages&gt;&lt;volume&gt;8&lt;/volume&gt;&lt;number&gt;1&lt;/number&gt;&lt;dates&gt;&lt;year&gt;2021&lt;/year&gt;&lt;pub-dates&gt;&lt;date&gt;2021/08/09&lt;/date&gt;&lt;/pub-dates&gt;&lt;/dates&gt;&lt;isbn&gt;2051-6673&lt;/isbn&gt;&lt;urls&gt;&lt;related-urls&gt;&lt;url&gt;https://doi.org/10.1186/s40479-021-00164-8&lt;/url&gt;&lt;/related-urls&gt;&lt;/urls&gt;&lt;electronic-resource-num&gt;10.1186/s40479-021-00164-8&lt;/electronic-resource-num&gt;&lt;/record&gt;&lt;/Cite&gt;&lt;/EndNote&gt;</w:instrText>
      </w:r>
      <w:r w:rsidRPr="004D46AC">
        <w:fldChar w:fldCharType="separate"/>
      </w:r>
      <w:r w:rsidRPr="004D46AC">
        <w:rPr>
          <w:noProof/>
        </w:rPr>
        <w:t>(Miller et al., 2021)</w:t>
      </w:r>
      <w:r w:rsidRPr="004D46AC">
        <w:fldChar w:fldCharType="end"/>
      </w:r>
      <w:r w:rsidRPr="004D46AC">
        <w:rPr>
          <w:rFonts w:hint="eastAsia"/>
        </w:rPr>
        <w:t xml:space="preserve">, </w:t>
      </w:r>
      <w:r w:rsidRPr="004D46AC">
        <w:t>indicating</w:t>
      </w:r>
      <w:r w:rsidRPr="004D46AC">
        <w:rPr>
          <w:rFonts w:hint="eastAsia"/>
        </w:rPr>
        <w:t xml:space="preserve"> </w:t>
      </w:r>
      <w:r w:rsidRPr="004D46AC">
        <w:t>a potential conceptual overlap - or even a causal interdependence - between the two constructs that warrants further investigation.</w:t>
      </w:r>
      <w:r w:rsidRPr="004D46AC">
        <w:rPr>
          <w:rFonts w:hint="eastAsia"/>
        </w:rPr>
        <w:t xml:space="preserve"> </w:t>
      </w:r>
      <w:r w:rsidRPr="004D46AC">
        <w:t>I</w:t>
      </w:r>
      <w:r w:rsidRPr="004D46AC">
        <w:rPr>
          <w:rFonts w:hint="eastAsia"/>
        </w:rPr>
        <w:t xml:space="preserve">n addition, </w:t>
      </w:r>
      <w:r w:rsidRPr="004D46AC">
        <w:t xml:space="preserve">these two symptoms </w:t>
      </w:r>
      <w:r w:rsidRPr="004D46AC">
        <w:rPr>
          <w:rFonts w:hint="eastAsia"/>
        </w:rPr>
        <w:t>align</w:t>
      </w:r>
      <w:r w:rsidRPr="004D46AC">
        <w:t xml:space="preserve"> </w:t>
      </w:r>
      <w:r w:rsidRPr="004D46AC">
        <w:rPr>
          <w:rFonts w:hint="eastAsia"/>
        </w:rPr>
        <w:t>well</w:t>
      </w:r>
      <w:r w:rsidRPr="004D46AC">
        <w:t xml:space="preserve"> with psychoanalytic conceptions of the self. </w:t>
      </w:r>
      <w:r w:rsidRPr="004D46AC">
        <w:rPr>
          <w:rFonts w:hint="eastAsia"/>
        </w:rPr>
        <w:t xml:space="preserve">    </w:t>
      </w:r>
      <w:r w:rsidRPr="004D46AC">
        <w:t xml:space="preserve">Within self-psychology </w:t>
      </w:r>
      <w:r w:rsidRPr="004D46AC">
        <w:fldChar w:fldCharType="begin"/>
      </w:r>
      <w:r w:rsidRPr="004D46AC">
        <w:instrText xml:space="preserve"> ADDIN EN.CITE &lt;EndNote&gt;&lt;Cite&gt;&lt;Author&gt;Kohut&lt;/Author&gt;&lt;Year&gt;1978&lt;/Year&gt;&lt;RecNum&gt;1259&lt;/RecNum&gt;&lt;DisplayText&gt;(Kohut &amp;amp; Wolf, 1978)&lt;/DisplayText&gt;&lt;record&gt;&lt;rec-number&gt;1259&lt;/rec-number&gt;&lt;foreign-keys&gt;&lt;key app="EN" db-id="aet009sstawa0hewvt3xwf5atffdw2dt02sw" timestamp="1761459325"&gt;1259&lt;/key&gt;&lt;/foreign-keys&gt;&lt;ref-type name="Journal Article"&gt;17&lt;/ref-type&gt;&lt;contributors&gt;&lt;authors&gt;&lt;author&gt;Kohut, Heinz&lt;/author&gt;&lt;author&gt;Wolf, Ernest S&lt;/author&gt;&lt;/authors&gt;&lt;/contributors&gt;&lt;titles&gt;&lt;title&gt;The disorders of the self and their treatment: An outline&lt;/title&gt;&lt;secondary-title&gt;International journal of Psychoanalysis&lt;/secondary-title&gt;&lt;/titles&gt;&lt;periodical&gt;&lt;full-title&gt;International journal of Psychoanalysis&lt;/full-title&gt;&lt;/periodical&gt;&lt;pages&gt;413-425&lt;/pages&gt;&lt;volume&gt;59&lt;/volume&gt;&lt;number&gt;4&lt;/number&gt;&lt;dates&gt;&lt;year&gt;1978&lt;/year&gt;&lt;/dates&gt;&lt;urls&gt;&lt;/urls&gt;&lt;/record&gt;&lt;/Cite&gt;&lt;/EndNote&gt;</w:instrText>
      </w:r>
      <w:r w:rsidRPr="004D46AC">
        <w:fldChar w:fldCharType="separate"/>
      </w:r>
      <w:r w:rsidRPr="004D46AC">
        <w:rPr>
          <w:noProof/>
        </w:rPr>
        <w:t>(Kohut &amp; Wolf, 1978)</w:t>
      </w:r>
      <w:r w:rsidRPr="004D46AC">
        <w:fldChar w:fldCharType="end"/>
      </w:r>
      <w:r w:rsidRPr="004D46AC">
        <w:t>, disruptions in the cohesion of self-representations are understood to produce identity diffusion and a correspondingly fragmented affective life.</w:t>
      </w:r>
      <w:r w:rsidRPr="004D46AC">
        <w:rPr>
          <w:rFonts w:hint="eastAsia"/>
        </w:rPr>
        <w:t xml:space="preserve"> </w:t>
      </w:r>
      <w:r w:rsidRPr="004D46AC">
        <w:t>Our findings extend these classical formulations by suggesting a mutually reinforcing process between a weakened sense of self and the subjective experience of voidness or detachment from affect. This interpretation is supported by both the IM and, more concretely, by the BNM structure, which positioned identity confusion as a downstream (child) node of emotional numbness and emptiness. These findings are partially consistent with recent network analyses of borderline personality disorder features</w:t>
      </w:r>
      <w:r w:rsidRPr="004D46AC">
        <w:rPr>
          <w:rFonts w:hint="eastAsia"/>
        </w:rPr>
        <w:t xml:space="preserve"> </w:t>
      </w:r>
      <w:r w:rsidRPr="004D46AC">
        <w:fldChar w:fldCharType="begin">
          <w:fldData xml:space="preserve">PEVuZE5vdGU+PENpdGU+PEF1dGhvcj5KaW3DqW5lejwvQXV0aG9yPjxZZWFyPjIwMjU8L1llYXI+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</w:fldData>
        </w:fldChar>
      </w:r>
      <w:r w:rsidRPr="004D46AC">
        <w:instrText xml:space="preserve"> ADDIN EN.CITE </w:instrText>
      </w:r>
      <w:r w:rsidRPr="004D46AC">
        <w:fldChar w:fldCharType="begin">
          <w:fldData xml:space="preserve">PEVuZE5vdGU+PENpdGU+PEF1dGhvcj5KaW3DqW5lejwvQXV0aG9yPjxZZWFyPjIwMjU8L1llYXI+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</w:fldData>
        </w:fldChar>
      </w:r>
      <w:r w:rsidRPr="004D46AC">
        <w:instrText xml:space="preserve"> ADDIN EN.CITE.DATA </w:instrText>
      </w:r>
      <w:r w:rsidRPr="004D46AC">
        <w:fldChar w:fldCharType="end"/>
      </w:r>
      <w:r w:rsidRPr="004D46AC">
        <w:fldChar w:fldCharType="separate"/>
      </w:r>
      <w:r w:rsidRPr="004D46AC">
        <w:rPr>
          <w:noProof/>
        </w:rPr>
        <w:t>(Jiménez et al., 2025; Snoek et al., 2024)</w:t>
      </w:r>
      <w:r w:rsidRPr="004D46AC">
        <w:fldChar w:fldCharType="end"/>
      </w:r>
      <w:r w:rsidRPr="004D46AC">
        <w:rPr>
          <w:rFonts w:hint="eastAsia"/>
        </w:rPr>
        <w:t>.</w:t>
      </w:r>
    </w:p>
    <w:p w14:paraId="4C58F9D9" w14:textId="77777777" w:rsidR="007075D9" w:rsidRPr="004D46AC" w:rsidRDefault="007075D9" w:rsidP="00B518F1">
      <w:pPr>
        <w:ind w:firstLine="660"/>
      </w:pPr>
      <w:r w:rsidRPr="004D46AC">
        <w:t xml:space="preserve">Beyond disturbances of self-representation, </w:t>
      </w:r>
      <w:r w:rsidRPr="004D46AC">
        <w:rPr>
          <w:rFonts w:hint="eastAsia"/>
        </w:rPr>
        <w:t xml:space="preserve">these states </w:t>
      </w:r>
      <w:r w:rsidRPr="004D46AC">
        <w:t>also contributed to a cascade of emotional distress and cognitive dysfunction. Both symptoms were associated with low mood; moreover, emotional numbness was linked to poverty of speech</w:t>
      </w:r>
      <w:r w:rsidRPr="004D46AC">
        <w:rPr>
          <w:rFonts w:hint="eastAsia"/>
        </w:rPr>
        <w:t xml:space="preserve"> </w:t>
      </w:r>
      <w:r w:rsidRPr="004D46AC">
        <w:t>whereas emptiness was associated with thought disturbance</w:t>
      </w:r>
      <w:r w:rsidRPr="004D46AC">
        <w:rPr>
          <w:rFonts w:hint="eastAsia"/>
        </w:rPr>
        <w:t>.</w:t>
      </w:r>
      <w:r w:rsidRPr="004D46AC">
        <w:t xml:space="preserve"> From a cognitive perspective, individuals exhibiting emotional blunting may experience impairments in retrieving emotionally salient content from memory, leading to reduced lexical diversity and </w:t>
      </w:r>
      <w:r w:rsidRPr="004D46AC">
        <w:lastRenderedPageBreak/>
        <w:t xml:space="preserve">contributing to the poverty of speech. This account is partially supported by evidence indicating that </w:t>
      </w:r>
      <w:r w:rsidRPr="004D46AC">
        <w:rPr>
          <w:rFonts w:hint="eastAsia"/>
        </w:rPr>
        <w:t xml:space="preserve">psychotic </w:t>
      </w:r>
      <w:r w:rsidRPr="004D46AC">
        <w:t>patients with</w:t>
      </w:r>
      <w:r w:rsidRPr="004D46AC">
        <w:rPr>
          <w:rFonts w:hint="eastAsia"/>
        </w:rPr>
        <w:t xml:space="preserve"> blunt affect </w:t>
      </w:r>
      <w:r w:rsidRPr="004D46AC">
        <w:t>show deficits in recogni</w:t>
      </w:r>
      <w:r w:rsidRPr="004D46AC">
        <w:rPr>
          <w:rFonts w:hint="eastAsia"/>
        </w:rPr>
        <w:t>s</w:t>
      </w:r>
      <w:r w:rsidRPr="004D46AC">
        <w:t xml:space="preserve">ing </w:t>
      </w:r>
      <w:r w:rsidRPr="004D46AC">
        <w:rPr>
          <w:rFonts w:hint="eastAsia"/>
        </w:rPr>
        <w:t>v</w:t>
      </w:r>
      <w:r w:rsidRPr="004D46AC">
        <w:t xml:space="preserve">ocal </w:t>
      </w:r>
      <w:r w:rsidRPr="004D46AC">
        <w:fldChar w:fldCharType="begin"/>
      </w:r>
      <w:r w:rsidRPr="004D46AC">
        <w:instrText xml:space="preserve"> ADDIN EN.CITE &lt;EndNote&gt;&lt;Cite&gt;&lt;Author&gt;Hoekert&lt;/Author&gt;&lt;Year&gt;2007&lt;/Year&gt;&lt;RecNum&gt;1247&lt;/RecNum&gt;&lt;DisplayText&gt;(Hoekert et al., 2007)&lt;/DisplayText&gt;&lt;record&gt;&lt;rec-number&gt;1247&lt;/rec-number&gt;&lt;foreign-keys&gt;&lt;key app="EN" db-id="aet009sstawa0hewvt3xwf5atffdw2dt02sw" timestamp="1760794369"&gt;1247&lt;/key&gt;&lt;/foreign-keys&gt;&lt;ref-type name="Journal Article"&gt;17&lt;/ref-type&gt;&lt;contributors&gt;&lt;authors&gt;&lt;author&gt;Hoekert, Marjolijn&lt;/author&gt;&lt;author&gt;Kahn, René S.&lt;/author&gt;&lt;author&gt;Pijnenborg, Marieke&lt;/author&gt;&lt;author&gt;Aleman, André&lt;/author&gt;&lt;/authors&gt;&lt;/contributors&gt;&lt;titles&gt;&lt;title&gt;Impaired recognition and expression of emotional prosody in schizophrenia: Review and meta-analysis&lt;/title&gt;&lt;secondary-title&gt;Schizophrenia Research&lt;/secondary-title&gt;&lt;/titles&gt;&lt;periodical&gt;&lt;full-title&gt;Schizophrenia Research&lt;/full-title&gt;&lt;/periodical&gt;&lt;pages&gt;135-145&lt;/pages&gt;&lt;volume&gt;96&lt;/volume&gt;&lt;number&gt;1&lt;/number&gt;&lt;keywords&gt;&lt;keyword&gt;Schizophrenia&lt;/keyword&gt;&lt;keyword&gt;Prosody&lt;/keyword&gt;&lt;keyword&gt;Emotion&lt;/keyword&gt;&lt;keyword&gt;Expression&lt;/keyword&gt;&lt;keyword&gt;Perception&lt;/keyword&gt;&lt;/keywords&gt;&lt;dates&gt;&lt;year&gt;2007&lt;/year&gt;&lt;pub-dates&gt;&lt;date&gt;2007/11/01/&lt;/date&gt;&lt;/pub-dates&gt;&lt;/dates&gt;&lt;isbn&gt;0920-9964&lt;/isbn&gt;&lt;urls&gt;&lt;related-urls&gt;&lt;url&gt;https://www.sciencedirect.com/science/article/pii/S0920996407003222&lt;/url&gt;&lt;/related-urls&gt;&lt;/urls&gt;&lt;electronic-resource-num&gt;https://doi.org/10.1016/j.schres.2007.07.023&lt;/electronic-resource-num&gt;&lt;/record&gt;&lt;/Cite&gt;&lt;/EndNote&gt;</w:instrText>
      </w:r>
      <w:r w:rsidRPr="004D46AC">
        <w:fldChar w:fldCharType="separate"/>
      </w:r>
      <w:r w:rsidRPr="004D46AC">
        <w:rPr>
          <w:noProof/>
        </w:rPr>
        <w:t>(Hoekert et al., 2007)</w:t>
      </w:r>
      <w:r w:rsidRPr="004D46AC">
        <w:fldChar w:fldCharType="end"/>
      </w:r>
      <w:r w:rsidRPr="004D46AC">
        <w:t xml:space="preserve"> and </w:t>
      </w:r>
      <w:r w:rsidRPr="004D46AC">
        <w:rPr>
          <w:rFonts w:hint="eastAsia"/>
        </w:rPr>
        <w:t>f</w:t>
      </w:r>
      <w:r w:rsidRPr="004D46AC">
        <w:t xml:space="preserve">acial affect </w:t>
      </w:r>
      <w:r w:rsidRPr="004D46AC">
        <w:fldChar w:fldCharType="begin"/>
      </w:r>
      <w:r w:rsidRPr="004D46AC">
        <w:instrText xml:space="preserve"> ADDIN EN.CITE &lt;EndNote&gt;&lt;Cite&gt;&lt;Author&gt;Kohler&lt;/Author&gt;&lt;Year&gt;2000&lt;/Year&gt;&lt;RecNum&gt;1248&lt;/RecNum&gt;&lt;DisplayText&gt;(Kohler et al., 2000)&lt;/DisplayText&gt;&lt;record&gt;&lt;rec-number&gt;1248&lt;/rec-number&gt;&lt;foreign-keys&gt;&lt;key app="EN" db-id="aet009sstawa0hewvt3xwf5atffdw2dt02sw" timestamp="1760794698"&gt;1248&lt;/key&gt;&lt;/foreign-keys&gt;&lt;ref-type name="Journal Article"&gt;17&lt;/ref-type&gt;&lt;contributors&gt;&lt;authors&gt;&lt;author&gt;Kohler, Christian G.&lt;/author&gt;&lt;author&gt;Bilker, Warren&lt;/author&gt;&lt;author&gt;Hagendoorn, Michael&lt;/author&gt;&lt;author&gt;Gur, Raquel E.&lt;/author&gt;&lt;author&gt;Gur, Ruben C.&lt;/author&gt;&lt;/authors&gt;&lt;/contributors&gt;&lt;titles&gt;&lt;title&gt;Emotion recognition deficit in schizophrenia: association with symptomatology and cognition&lt;/title&gt;&lt;secondary-title&gt;Biological Psychiatry&lt;/secondary-title&gt;&lt;/titles&gt;&lt;periodical&gt;&lt;full-title&gt;Biological Psychiatry&lt;/full-title&gt;&lt;/periodical&gt;&lt;pages&gt;127-136&lt;/pages&gt;&lt;volume&gt;48&lt;/volume&gt;&lt;number&gt;2&lt;/number&gt;&lt;keywords&gt;&lt;keyword&gt;Emotion recognition&lt;/keyword&gt;&lt;keyword&gt;schizophrenia&lt;/keyword&gt;&lt;keyword&gt;gender&lt;/keyword&gt;&lt;keyword&gt;cognition&lt;/keyword&gt;&lt;/keywords&gt;&lt;dates&gt;&lt;year&gt;2000&lt;/year&gt;&lt;pub-dates&gt;&lt;date&gt;2000/07/15/&lt;/date&gt;&lt;/pub-dates&gt;&lt;/dates&gt;&lt;isbn&gt;0006-3223&lt;/isbn&gt;&lt;urls&gt;&lt;related-urls&gt;&lt;url&gt;https://www.sciencedirect.com/science/article/pii/S0006322300008477&lt;/url&gt;&lt;/related-urls&gt;&lt;/urls&gt;&lt;electronic-resource-num&gt;https://doi.org/10.1016/S0006-3223(00)00847-7&lt;/electronic-resource-num&gt;&lt;/record&gt;&lt;/Cite&gt;&lt;/EndNote&gt;</w:instrText>
      </w:r>
      <w:r w:rsidRPr="004D46AC">
        <w:fldChar w:fldCharType="separate"/>
      </w:r>
      <w:r w:rsidRPr="004D46AC">
        <w:rPr>
          <w:noProof/>
        </w:rPr>
        <w:t>(Kohler et al., 2000)</w:t>
      </w:r>
      <w:r w:rsidRPr="004D46AC">
        <w:fldChar w:fldCharType="end"/>
      </w:r>
      <w:r w:rsidRPr="004D46AC">
        <w:t xml:space="preserve">. Future research could employ targeted cognitive paradigms to systematically investigate the mechanisms underlying memory retrieval under conditions of </w:t>
      </w:r>
      <w:r w:rsidRPr="004D46AC">
        <w:rPr>
          <w:rFonts w:hint="eastAsia"/>
        </w:rPr>
        <w:t xml:space="preserve">blunt affect. </w:t>
      </w:r>
      <w:r w:rsidRPr="004D46AC">
        <w:t>Thought disorgani</w:t>
      </w:r>
      <w:r w:rsidRPr="004D46AC">
        <w:rPr>
          <w:rFonts w:hint="eastAsia"/>
        </w:rPr>
        <w:t>s</w:t>
      </w:r>
      <w:r w:rsidRPr="004D46AC">
        <w:t>ation could represent an active cognitive attempt to cope with emotional emptiness, whereby individuals engage in ruminative searching for meaning</w:t>
      </w:r>
      <w:r w:rsidRPr="004D46AC">
        <w:rPr>
          <w:rFonts w:hint="eastAsia"/>
        </w:rPr>
        <w:t xml:space="preserve"> </w:t>
      </w:r>
      <w:r w:rsidRPr="004D46AC">
        <w:fldChar w:fldCharType="begin"/>
      </w:r>
      <w:r w:rsidRPr="004D46AC">
        <w:instrText xml:space="preserve"> ADDIN EN.CITE &lt;EndNote&gt;&lt;Cite&gt;&lt;Author&gt;Miller&lt;/Author&gt;&lt;Year&gt;2021&lt;/Year&gt;&lt;RecNum&gt;1240&lt;/RecNum&gt;&lt;DisplayText&gt;(Miller et al., 2021)&lt;/DisplayText&gt;&lt;record&gt;&lt;rec-number&gt;1240&lt;/rec-number&gt;&lt;foreign-keys&gt;&lt;key app="EN" db-id="aet009sstawa0hewvt3xwf5atffdw2dt02sw" timestamp="1760530925"&gt;1240&lt;/key&gt;&lt;/foreign-keys&gt;&lt;ref-type name="Journal Article"&gt;17&lt;/ref-type&gt;&lt;contributors&gt;&lt;authors&gt;&lt;author&gt;Miller, Caitlin E.&lt;/author&gt;&lt;author&gt;Townsend, Michelle L.&lt;/author&gt;&lt;author&gt;Grenyer, Brin F. S.&lt;/author&gt;&lt;/authors&gt;&lt;/contributors&gt;&lt;titles&gt;&lt;title&gt;Understanding chronic feelings of emptiness in borderline personality disorder: a qualitative study&lt;/title&gt;&lt;secondary-title&gt;Borderline Personality Disorder and Emotion Dysregulation&lt;/secondary-title&gt;&lt;/titles&gt;&lt;periodical&gt;&lt;full-title&gt;Borderline personality disorder and emotion dysregulation&lt;/full-title&gt;&lt;/periodical&gt;&lt;pages&gt;24&lt;/pages&gt;&lt;volume&gt;8&lt;/volume&gt;&lt;number&gt;1&lt;/number&gt;&lt;dates&gt;&lt;year&gt;2021&lt;/year&gt;&lt;pub-dates&gt;&lt;date&gt;2021/08/09&lt;/date&gt;&lt;/pub-dates&gt;&lt;/dates&gt;&lt;isbn&gt;2051-6673&lt;/isbn&gt;&lt;urls&gt;&lt;related-urls&gt;&lt;url&gt;https://doi.org/10.1186/s40479-021-00164-8&lt;/url&gt;&lt;/related-urls&gt;&lt;/urls&gt;&lt;electronic-resource-num&gt;10.1186/s40479-021-00164-8&lt;/electronic-resource-num&gt;&lt;/record&gt;&lt;/Cite&gt;&lt;/EndNote&gt;</w:instrText>
      </w:r>
      <w:r w:rsidRPr="004D46AC">
        <w:fldChar w:fldCharType="separate"/>
      </w:r>
      <w:r w:rsidRPr="004D46AC">
        <w:rPr>
          <w:noProof/>
        </w:rPr>
        <w:t>(Miller et al., 2021)</w:t>
      </w:r>
      <w:r w:rsidRPr="004D46AC">
        <w:fldChar w:fldCharType="end"/>
      </w:r>
      <w:r w:rsidRPr="004D46AC">
        <w:t>. This process, while compensatory, may paradoxically intensify cognitive fragmentation and contribute to disorgani</w:t>
      </w:r>
      <w:r w:rsidRPr="004D46AC">
        <w:rPr>
          <w:rFonts w:hint="eastAsia"/>
        </w:rPr>
        <w:t>s</w:t>
      </w:r>
      <w:r w:rsidRPr="004D46AC">
        <w:t>ed thought patterns</w:t>
      </w:r>
      <w:r w:rsidRPr="004D46AC">
        <w:rPr>
          <w:rFonts w:hint="eastAsia"/>
        </w:rPr>
        <w:t xml:space="preserve"> </w:t>
      </w:r>
      <w:r w:rsidRPr="004D46AC">
        <w:fldChar w:fldCharType="begin"/>
      </w:r>
      <w:r w:rsidRPr="004D46AC">
        <w:instrText xml:space="preserve"> ADDIN EN.CITE &lt;EndNote&gt;&lt;Cite&gt;&lt;Author&gt;Palaniyappan&lt;/Author&gt;&lt;Year&gt;2025&lt;/Year&gt;&lt;RecNum&gt;1249&lt;/RecNum&gt;&lt;DisplayText&gt;(Palaniyappan et al., 2025)&lt;/DisplayText&gt;&lt;record&gt;&lt;rec-number&gt;1249&lt;/rec-number&gt;&lt;foreign-keys&gt;&lt;key app="EN" db-id="aet009sstawa0hewvt3xwf5atffdw2dt02sw" timestamp="1760805379"&gt;1249&lt;/key&gt;&lt;/foreign-keys&gt;&lt;ref-type name="Journal Article"&gt;17&lt;/ref-type&gt;&lt;contributors&gt;&lt;authors&gt;&lt;author&gt;Palaniyappan, Lena&lt;/author&gt;&lt;author&gt;Wang, Yingqi Laetitia&lt;/author&gt;&lt;author&gt;Meister, Fiona&lt;/author&gt;&lt;/authors&gt;&lt;/contributors&gt;&lt;titles&gt;&lt;title&gt;Disorganisation and depression: a re-examination of how we think and speak when depressed&lt;/title&gt;&lt;secondary-title&gt;European Archives of Psychiatry and Clinical Neuroscience&lt;/secondary-title&gt;&lt;/titles&gt;&lt;periodical&gt;&lt;full-title&gt;European Archives of Psychiatry and Clinical Neuroscience&lt;/full-title&gt;&lt;/periodical&gt;&lt;dates&gt;&lt;year&gt;2025&lt;/year&gt;&lt;pub-dates&gt;&lt;date&gt;2025/04/02&lt;/date&gt;&lt;/pub-dates&gt;&lt;/dates&gt;&lt;isbn&gt;1433-8491&lt;/isbn&gt;&lt;urls&gt;&lt;related-urls&gt;&lt;url&gt;https://doi.org/10.1007/s00406-025-01994-1&lt;/url&gt;&lt;/related-urls&gt;&lt;/urls&gt;&lt;electronic-resource-num&gt;10.1007/s00406-025-01994-1&lt;/electronic-resource-num&gt;&lt;/record&gt;&lt;/Cite&gt;&lt;/EndNote&gt;</w:instrText>
      </w:r>
      <w:r w:rsidRPr="004D46AC">
        <w:fldChar w:fldCharType="separate"/>
      </w:r>
      <w:r w:rsidRPr="004D46AC">
        <w:rPr>
          <w:noProof/>
        </w:rPr>
        <w:t>(Palaniyappan et al., 2025)</w:t>
      </w:r>
      <w:r w:rsidRPr="004D46AC">
        <w:fldChar w:fldCharType="end"/>
      </w:r>
      <w:r w:rsidRPr="004D46AC">
        <w:t>.</w:t>
      </w:r>
      <w:r w:rsidRPr="004D46AC">
        <w:rPr>
          <w:rFonts w:hint="eastAsia"/>
        </w:rPr>
        <w:t xml:space="preserve"> </w:t>
      </w:r>
      <w:r w:rsidRPr="004D46AC">
        <w:t>Taken together with prior correlational evidence</w:t>
      </w:r>
      <w:r w:rsidRPr="004D46AC">
        <w:rPr>
          <w:rFonts w:hint="eastAsia"/>
        </w:rPr>
        <w:t xml:space="preserve"> </w:t>
      </w:r>
      <w:r w:rsidRPr="004D46AC">
        <w:fldChar w:fldCharType="begin"/>
      </w:r>
      <w:r w:rsidRPr="004D46AC">
        <w:instrText xml:space="preserve"> ADDIN EN.CITE &lt;EndNote&gt;&lt;Cite&gt;&lt;Author&gt;D’Agostino&lt;/Author&gt;&lt;Year&gt;2020&lt;/Year&gt;&lt;RecNum&gt;1245&lt;/RecNum&gt;&lt;DisplayText&gt;(D’Agostino et al., 2020)&lt;/DisplayText&gt;&lt;record&gt;&lt;rec-number&gt;1245&lt;/rec-number&gt;&lt;foreign-keys&gt;&lt;key app="EN" db-id="aet009sstawa0hewvt3xwf5atffdw2dt02sw" timestamp="1760683118"&gt;1245&lt;/key&gt;&lt;/foreign-keys&gt;&lt;ref-type name="Journal Article"&gt;17&lt;/ref-type&gt;&lt;contributors&gt;&lt;authors&gt;&lt;author&gt;D’Agostino, Alessandra&lt;/author&gt;&lt;author&gt;Pepi, Raffaele&lt;/author&gt;&lt;author&gt;Rossi Monti, Mario&lt;/author&gt;&lt;author&gt;Starcevic, Vladan&lt;/author&gt;&lt;/authors&gt;&lt;/contributors&gt;&lt;titles&gt;&lt;title&gt;The Feeling of Emptiness: A Review of a Complex Subjective Experience&lt;/title&gt;&lt;secondary-title&gt;Harvard Review of Psychiatry&lt;/secondary-title&gt;&lt;/titles&gt;&lt;periodical&gt;&lt;full-title&gt;Harvard Review of Psychiatry&lt;/full-title&gt;&lt;/periodical&gt;&lt;volume&gt;28&lt;/volume&gt;&lt;number&gt;5&lt;/number&gt;&lt;keywords&gt;&lt;keyword&gt;borderline personality disorder&lt;/keyword&gt;&lt;keyword&gt;boredom&lt;/keyword&gt;&lt;keyword&gt;depression&lt;/keyword&gt;&lt;keyword&gt;emptiness&lt;/keyword&gt;&lt;keyword&gt;suicidality&lt;/keyword&gt;&lt;/keywords&gt;&lt;dates&gt;&lt;year&gt;2020&lt;/year&gt;&lt;/dates&gt;&lt;isbn&gt;1465-7309&lt;/isbn&gt;&lt;urls&gt;&lt;related-urls&gt;&lt;url&gt;https://journals.lww.com/hrpjournal/fulltext/2020/09000/the_feeling_of_emptiness__a_review_of_a_complex.1.aspx&lt;/url&gt;&lt;/related-urls&gt;&lt;/urls&gt;&lt;/record&gt;&lt;/Cite&gt;&lt;/EndNote&gt;</w:instrText>
      </w:r>
      <w:r w:rsidRPr="004D46AC">
        <w:fldChar w:fldCharType="separate"/>
      </w:r>
      <w:r w:rsidRPr="004D46AC">
        <w:rPr>
          <w:noProof/>
        </w:rPr>
        <w:t>(D’Agostino et al., 2020)</w:t>
      </w:r>
      <w:r w:rsidRPr="004D46AC">
        <w:fldChar w:fldCharType="end"/>
      </w:r>
      <w:r w:rsidRPr="004D46AC">
        <w:t>, these findings suggest that both symptoms may represent transdiagnostic liabilities spanning multiple psychiatric conditions</w:t>
      </w:r>
      <w:r w:rsidRPr="004D46AC">
        <w:rPr>
          <w:rFonts w:hint="eastAsia"/>
        </w:rPr>
        <w:t>. Consequently</w:t>
      </w:r>
      <w:r w:rsidRPr="004D46AC">
        <w:t>, early-stage therapeutic interventions and psychoeducation aimed at restoring self-object functions may mitigate progression to more pervasive affective and cognitive impairment.</w:t>
      </w:r>
    </w:p>
    <w:p w14:paraId="0C75CE6E" w14:textId="77777777" w:rsidR="007075D9" w:rsidRPr="004D46AC" w:rsidRDefault="007075D9" w:rsidP="00B518F1">
      <w:pPr>
        <w:ind w:firstLine="660"/>
      </w:pPr>
      <w:r w:rsidRPr="004D46AC">
        <w:t>A</w:t>
      </w:r>
      <w:r w:rsidRPr="004D46AC">
        <w:rPr>
          <w:rFonts w:hint="eastAsia"/>
        </w:rPr>
        <w:t xml:space="preserve">nother noteworthy finding is that the most influential symptoms within hypomania was elevated mood or energy, which is consistent with the IM and several other network models </w:t>
      </w:r>
      <w:r w:rsidRPr="004D46AC">
        <w:fldChar w:fldCharType="begin">
          <w:fldData xml:space="preserve">PEVuZE5vdGU+PENpdGU+PEF1dGhvcj5CcmlnYW50aTwvQXV0aG9yPjxZZWFyPjIwMjE8L1llYXI+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</w:fldData>
        </w:fldChar>
      </w:r>
      <w:r w:rsidRPr="004D46AC">
        <w:instrText xml:space="preserve"> ADDIN EN.CITE </w:instrText>
      </w:r>
      <w:r w:rsidRPr="004D46AC">
        <w:fldChar w:fldCharType="begin">
          <w:fldData xml:space="preserve">PEVuZE5vdGU+PENpdGU+PEF1dGhvcj5CcmlnYW50aTwvQXV0aG9yPjxZZWFyPjIwMjE8L1llYXI+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</w:fldData>
        </w:fldChar>
      </w:r>
      <w:r w:rsidRPr="004D46AC">
        <w:instrText xml:space="preserve"> ADDIN EN.CITE.DATA </w:instrText>
      </w:r>
      <w:r w:rsidRPr="004D46AC">
        <w:fldChar w:fldCharType="end"/>
      </w:r>
      <w:r w:rsidRPr="004D46AC">
        <w:fldChar w:fldCharType="separate"/>
      </w:r>
      <w:r w:rsidRPr="004D46AC">
        <w:rPr>
          <w:noProof/>
        </w:rPr>
        <w:t>(Briganti et al., 2021; Shao et al., 2024)</w:t>
      </w:r>
      <w:r w:rsidRPr="004D46AC">
        <w:fldChar w:fldCharType="end"/>
      </w:r>
      <w:r w:rsidRPr="004D46AC">
        <w:rPr>
          <w:rFonts w:hint="eastAsia"/>
        </w:rPr>
        <w:t xml:space="preserve">. </w:t>
      </w:r>
      <w:r w:rsidRPr="004D46AC">
        <w:t>Grandiosity</w:t>
      </w:r>
      <w:r w:rsidRPr="004D46AC">
        <w:rPr>
          <w:rFonts w:hint="eastAsia"/>
        </w:rPr>
        <w:t xml:space="preserve"> also demonstrated high influence over the hypomania states; it</w:t>
      </w:r>
      <w:r w:rsidRPr="004D46AC">
        <w:t xml:space="preserve"> contribute</w:t>
      </w:r>
      <w:r w:rsidRPr="004D46AC">
        <w:rPr>
          <w:rFonts w:hint="eastAsia"/>
        </w:rPr>
        <w:t>d</w:t>
      </w:r>
      <w:r w:rsidRPr="004D46AC">
        <w:t xml:space="preserve"> to ideas of reference is consistent with their co-occurrence in schizophrenia and bipolar disorder </w:t>
      </w:r>
      <w:r w:rsidRPr="004D46AC">
        <w:fldChar w:fldCharType="begin">
          <w:fldData xml:space="preserve">PEVuZE5vdGU+PENpdGU+PEF1dGhvcj5DYXJsc29uPC9BdXRob3I+PFllYXI+MTk3MzwvWWVhcj48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</w:fldData>
        </w:fldChar>
      </w:r>
      <w:r w:rsidRPr="004D46AC">
        <w:instrText xml:space="preserve"> ADDIN EN.CITE </w:instrText>
      </w:r>
      <w:r w:rsidRPr="004D46AC">
        <w:fldChar w:fldCharType="begin">
          <w:fldData xml:space="preserve">PEVuZE5vdGU+PENpdGU+PEF1dGhvcj5DYXJsc29uPC9BdXRob3I+PFllYXI+MTk3MzwvWWVhcj48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</w:fldData>
        </w:fldChar>
      </w:r>
      <w:r w:rsidRPr="004D46AC">
        <w:instrText xml:space="preserve"> ADDIN EN.CITE.DATA </w:instrText>
      </w:r>
      <w:r w:rsidRPr="004D46AC">
        <w:fldChar w:fldCharType="end"/>
      </w:r>
      <w:r w:rsidRPr="004D46AC">
        <w:fldChar w:fldCharType="separate"/>
      </w:r>
      <w:r w:rsidRPr="004D46AC">
        <w:rPr>
          <w:noProof/>
        </w:rPr>
        <w:t>(Carlson &amp; Goodwin, 1973; Tibbo et al., 2000)</w:t>
      </w:r>
      <w:r w:rsidRPr="004D46AC">
        <w:fldChar w:fldCharType="end"/>
      </w:r>
      <w:r w:rsidRPr="004D46AC">
        <w:rPr>
          <w:rFonts w:hint="eastAsia"/>
        </w:rPr>
        <w:t>;  i</w:t>
      </w:r>
      <w:r w:rsidRPr="004D46AC">
        <w:t xml:space="preserve">ndividuals with grandiose priors </w:t>
      </w:r>
      <w:r w:rsidRPr="004D46AC">
        <w:rPr>
          <w:rFonts w:hint="eastAsia"/>
        </w:rPr>
        <w:t xml:space="preserve">may </w:t>
      </w:r>
      <w:r w:rsidRPr="004D46AC">
        <w:t>selectively seek and interpret ambiguous cues as self-relevant, using ideas of reference as experiential “evidence” that reinforces their biased beliefs</w:t>
      </w:r>
      <w:r w:rsidRPr="004D46AC">
        <w:rPr>
          <w:rFonts w:hint="eastAsia"/>
        </w:rPr>
        <w:t xml:space="preserve">, </w:t>
      </w:r>
      <w:r w:rsidRPr="004D46AC">
        <w:t>a process likely amplified by reasoning deficits such as a</w:t>
      </w:r>
      <w:r w:rsidRPr="004D46AC">
        <w:rPr>
          <w:rFonts w:hint="eastAsia"/>
        </w:rPr>
        <w:t xml:space="preserve"> confirmation and</w:t>
      </w:r>
      <w:r w:rsidRPr="004D46AC">
        <w:t xml:space="preserve"> jumping-to-conclusions bias</w:t>
      </w:r>
      <w:r w:rsidRPr="004D46AC">
        <w:rPr>
          <w:rFonts w:hint="eastAsia"/>
        </w:rPr>
        <w:t xml:space="preserve"> </w:t>
      </w:r>
      <w:r w:rsidRPr="004D46AC">
        <w:fldChar w:fldCharType="begin"/>
      </w:r>
      <w:r w:rsidRPr="004D46AC">
        <w:instrText xml:space="preserve"> ADDIN EN.CITE &lt;EndNote&gt;&lt;Cite&gt;&lt;Author&gt;Knowles&lt;/Author&gt;&lt;Year&gt;2011&lt;/Year&gt;&lt;RecNum&gt;465&lt;/RecNum&gt;&lt;DisplayText&gt;(Knowles et al., 2011)&lt;/DisplayText&gt;&lt;record&gt;&lt;rec-number&gt;465&lt;/rec-number&gt;&lt;foreign-keys&gt;&lt;key app="EN" db-id="aet009sstawa0hewvt3xwf5atffdw2dt02sw" timestamp="1702572049"&gt;465&lt;/key&gt;&lt;/foreign-keys&gt;&lt;ref-type name="Journal Article"&gt;17&lt;/ref-type&gt;&lt;contributors&gt;&lt;authors&gt;&lt;author&gt;Knowles, R.&lt;/author&gt;&lt;author&gt;McCarthy-Jones, S.&lt;/author&gt;&lt;author&gt;Rowse, G.&lt;/author&gt;&lt;/authors&gt;&lt;/contributors&gt;&lt;auth-address&gt;University of Sheffield, UK. r.knowles@sheffield.ac.uk&lt;/auth-address&gt;&lt;titles&gt;&lt;title&gt;Grandiose delusions: a review and theoretical integration of cognitive and affective perspectives&lt;/title&gt;&lt;secondary-title&gt;Clin Psychol Rev&lt;/secondary-title&gt;&lt;/titles&gt;&lt;periodical&gt;&lt;full-title&gt;Clin Psychol Rev&lt;/full-title&gt;&lt;/periodical&gt;&lt;pages&gt;684-96&lt;/pages&gt;&lt;volume&gt;31&lt;/volume&gt;&lt;number&gt;4&lt;/number&gt;&lt;edition&gt;20110305&lt;/edition&gt;&lt;keywords&gt;&lt;keyword&gt;*Affect&lt;/keyword&gt;&lt;keyword&gt;*Cognition&lt;/keyword&gt;&lt;keyword&gt;Delusions/*epidemiology/*psychology&lt;/keyword&gt;&lt;keyword&gt;Humans&lt;/keyword&gt;&lt;keyword&gt;Prevalence&lt;/keyword&gt;&lt;keyword&gt;Thinking&lt;/keyword&gt;&lt;/keywords&gt;&lt;dates&gt;&lt;year&gt;2011&lt;/year&gt;&lt;pub-dates&gt;&lt;date&gt;Jun&lt;/date&gt;&lt;/pub-dates&gt;&lt;/dates&gt;&lt;isbn&gt;1873-7811 (Electronic)&amp;#xD;0272-7358 (Linking)&lt;/isbn&gt;&lt;accession-num&gt;21482326&lt;/accession-num&gt;&lt;urls&gt;&lt;related-urls&gt;&lt;url&gt;https://www.ncbi.nlm.nih.gov/pubmed/21482326&lt;/url&gt;&lt;/related-urls&gt;&lt;/urls&gt;&lt;electronic-resource-num&gt;10.1016/j.cpr.2011.02.009&lt;/electronic-resource-num&gt;&lt;remote-database-name&gt;Medline&lt;/remote-database-name&gt;&lt;remote-database-provider&gt;NLM&lt;/remote-database-provider&gt;&lt;/record&gt;&lt;/Cite&gt;&lt;/EndNote&gt;</w:instrText>
      </w:r>
      <w:r w:rsidRPr="004D46AC">
        <w:fldChar w:fldCharType="separate"/>
      </w:r>
      <w:r w:rsidRPr="004D46AC">
        <w:rPr>
          <w:noProof/>
        </w:rPr>
        <w:t>(Knowles et al., 2011)</w:t>
      </w:r>
      <w:r w:rsidRPr="004D46AC">
        <w:fldChar w:fldCharType="end"/>
      </w:r>
      <w:r w:rsidRPr="004D46AC">
        <w:t>.</w:t>
      </w:r>
      <w:r w:rsidRPr="004D46AC">
        <w:rPr>
          <w:rFonts w:hint="eastAsia"/>
        </w:rPr>
        <w:t xml:space="preserve">  </w:t>
      </w:r>
      <w:r w:rsidRPr="004D46AC">
        <w:t xml:space="preserve">Grandiosity can be double-edged: while it may contribute to psychological distress, it can also foster motivation for goal-directed activity. This observation aligns with recent large-cohort evidence suggesting that grandiose ideas can provide individuals with a sense of purpose and make life feel more worthwhile </w:t>
      </w:r>
      <w:r w:rsidRPr="004D46AC">
        <w:fldChar w:fldCharType="begin">
          <w:fldData xml:space="preserve">PEVuZE5vdGU+PENpdGU+PEF1dGhvcj5Jc2hhbTwvQXV0aG9yPjxZZWFyPjIwMjI8L1llYXI+PFJl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</w:fldData>
        </w:fldChar>
      </w:r>
      <w:r w:rsidRPr="004D46AC">
        <w:instrText xml:space="preserve"> ADDIN EN.CITE </w:instrText>
      </w:r>
      <w:r w:rsidRPr="004D46AC">
        <w:fldChar w:fldCharType="begin">
          <w:fldData xml:space="preserve">PEVuZE5vdGU+PENpdGU+PEF1dGhvcj5Jc2hhbTwvQXV0aG9yPjxZZWFyPjIwMjI8L1llYXI+PFJl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</w:fldData>
        </w:fldChar>
      </w:r>
      <w:r w:rsidRPr="004D46AC">
        <w:instrText xml:space="preserve"> ADDIN EN.CITE.DATA </w:instrText>
      </w:r>
      <w:r w:rsidRPr="004D46AC">
        <w:fldChar w:fldCharType="end"/>
      </w:r>
      <w:r w:rsidRPr="004D46AC">
        <w:fldChar w:fldCharType="separate"/>
      </w:r>
      <w:r w:rsidRPr="004D46AC">
        <w:rPr>
          <w:noProof/>
        </w:rPr>
        <w:t>(Isham et al., 2022)</w:t>
      </w:r>
      <w:r w:rsidRPr="004D46AC">
        <w:fldChar w:fldCharType="end"/>
      </w:r>
      <w:r w:rsidRPr="004D46AC">
        <w:rPr>
          <w:rFonts w:hint="eastAsia"/>
        </w:rPr>
        <w:t xml:space="preserve">, </w:t>
      </w:r>
      <w:r w:rsidRPr="004D46AC">
        <w:t xml:space="preserve">and </w:t>
      </w:r>
      <w:r w:rsidRPr="004D46AC">
        <w:rPr>
          <w:rFonts w:hint="eastAsia"/>
        </w:rPr>
        <w:t>similar finding has been reported in other population</w:t>
      </w:r>
      <w:r w:rsidRPr="004D46AC">
        <w:t>s</w:t>
      </w:r>
      <w:r w:rsidRPr="004D46AC">
        <w:rPr>
          <w:rFonts w:hint="eastAsia"/>
        </w:rPr>
        <w:t xml:space="preserve"> </w:t>
      </w:r>
      <w:r w:rsidRPr="004D46AC">
        <w:fldChar w:fldCharType="begin"/>
      </w:r>
      <w:r w:rsidRPr="004D46AC">
        <w:instrText xml:space="preserve"> ADDIN EN.CITE &lt;EndNote&gt;&lt;Cite&gt;&lt;Author&gt;Lee&lt;/Author&gt;&lt;Year&gt;2025&lt;/Year&gt;&lt;RecNum&gt;1255&lt;/RecNum&gt;&lt;DisplayText&gt;(Lee et al., 2025)&lt;/DisplayText&gt;&lt;record&gt;&lt;rec-number&gt;1255&lt;/rec-number&gt;&lt;foreign-keys&gt;&lt;key app="EN" db-id="aet009sstawa0hewvt3xwf5atffdw2dt02sw" timestamp="1760974531"&gt;1255&lt;/key&gt;&lt;/foreign-keys&gt;&lt;ref-type name="Journal Article"&gt;17&lt;/ref-type&gt;&lt;contributors&gt;&lt;authors&gt;&lt;author&gt;Lee, Tingko&lt;/author&gt;&lt;author&gt;Liu, Chih-Hsing&lt;/author&gt;&lt;author&gt;Gan, Bernard&lt;/author&gt;&lt;author&gt;Yang, Cheng-Kuei&lt;/author&gt;&lt;/authors&gt;&lt;/contributors&gt;&lt;titles&gt;&lt;title&gt;The double-edged sword of narcissism: influences of university students’ grandiose and vulnerable narcissism on entrepreneurial intention&lt;/title&gt;&lt;secondary-title&gt;Asia Pacific Journal of Management&lt;/secondary-title&gt;&lt;/titles&gt;&lt;periodical&gt;&lt;full-title&gt;Asia Pacific Journal of Management&lt;/full-title&gt;&lt;/periodical&gt;&lt;pages&gt;333-369&lt;/pages&gt;&lt;volume&gt;42&lt;/volume&gt;&lt;number&gt;1&lt;/number&gt;&lt;dates&gt;&lt;year&gt;2025&lt;/year&gt;&lt;pub-dates&gt;&lt;date&gt;2025/03/01&lt;/date&gt;&lt;/pub-dates&gt;&lt;/dates&gt;&lt;isbn&gt;1572-9958&lt;/isbn&gt;&lt;urls&gt;&lt;related-urls&gt;&lt;url&gt;https://doi.org/10.1007/s10490-023-09934-0&lt;/url&gt;&lt;/related-urls&gt;&lt;/urls&gt;&lt;electronic-resource-num&gt;10.1007/s10490-023-09934-0&lt;/electronic-resource-num&gt;&lt;/record&gt;&lt;/Cite&gt;&lt;/EndNote&gt;</w:instrText>
      </w:r>
      <w:r w:rsidRPr="004D46AC">
        <w:fldChar w:fldCharType="separate"/>
      </w:r>
      <w:r w:rsidRPr="004D46AC">
        <w:rPr>
          <w:noProof/>
        </w:rPr>
        <w:t>(Lee et al., 2025)</w:t>
      </w:r>
      <w:r w:rsidRPr="004D46AC">
        <w:fldChar w:fldCharType="end"/>
      </w:r>
      <w:r w:rsidRPr="004D46AC">
        <w:rPr>
          <w:rFonts w:hint="eastAsia"/>
        </w:rPr>
        <w:t xml:space="preserve">. </w:t>
      </w:r>
      <w:r w:rsidRPr="004D46AC">
        <w:t>C</w:t>
      </w:r>
      <w:r w:rsidRPr="004D46AC">
        <w:rPr>
          <w:rFonts w:hint="eastAsia"/>
        </w:rPr>
        <w:t xml:space="preserve">ollectively, these findings suggest that the hypomania state may drive by the </w:t>
      </w:r>
      <w:r w:rsidRPr="004D46AC">
        <w:rPr>
          <w:rFonts w:hint="eastAsia"/>
        </w:rPr>
        <w:lastRenderedPageBreak/>
        <w:t xml:space="preserve">interaction between delusion and mood elevation, which is partially in line with a </w:t>
      </w:r>
      <w:r w:rsidRPr="004D46AC">
        <w:t>theoretical</w:t>
      </w:r>
      <w:r w:rsidRPr="004D46AC">
        <w:rPr>
          <w:rFonts w:hint="eastAsia"/>
        </w:rPr>
        <w:t xml:space="preserve"> model of grandiose delusions</w:t>
      </w:r>
      <w:r w:rsidRPr="004D46AC">
        <w:t xml:space="preserve"> </w:t>
      </w:r>
      <w:r w:rsidRPr="004D46AC">
        <w:fldChar w:fldCharType="begin"/>
      </w:r>
      <w:r w:rsidRPr="004D46AC">
        <w:instrText xml:space="preserve"> ADDIN EN.CITE &lt;EndNote&gt;&lt;Cite&gt;&lt;Author&gt;Knowles&lt;/Author&gt;&lt;Year&gt;2011&lt;/Year&gt;&lt;RecNum&gt;465&lt;/RecNum&gt;&lt;DisplayText&gt;(Knowles et al., 2011)&lt;/DisplayText&gt;&lt;record&gt;&lt;rec-number&gt;465&lt;/rec-number&gt;&lt;foreign-keys&gt;&lt;key app="EN" db-id="aet009sstawa0hewvt3xwf5atffdw2dt02sw" timestamp="1702572049"&gt;465&lt;/key&gt;&lt;/foreign-keys&gt;&lt;ref-type name="Journal Article"&gt;17&lt;/ref-type&gt;&lt;contributors&gt;&lt;authors&gt;&lt;author&gt;Knowles, R.&lt;/author&gt;&lt;author&gt;McCarthy-Jones, S.&lt;/author&gt;&lt;author&gt;Rowse, G.&lt;/author&gt;&lt;/authors&gt;&lt;/contributors&gt;&lt;auth-address&gt;University of Sheffield, UK. r.knowles@sheffield.ac.uk&lt;/auth-address&gt;&lt;titles&gt;&lt;title&gt;Grandiose delusions: a review and theoretical integration of cognitive and affective perspectives&lt;/title&gt;&lt;secondary-title&gt;Clin Psychol Rev&lt;/secondary-title&gt;&lt;/titles&gt;&lt;periodical&gt;&lt;full-title&gt;Clin Psychol Rev&lt;/full-title&gt;&lt;/periodical&gt;&lt;pages&gt;684-96&lt;/pages&gt;&lt;volume&gt;31&lt;/volume&gt;&lt;number&gt;4&lt;/number&gt;&lt;edition&gt;20110305&lt;/edition&gt;&lt;keywords&gt;&lt;keyword&gt;*Affect&lt;/keyword&gt;&lt;keyword&gt;*Cognition&lt;/keyword&gt;&lt;keyword&gt;Delusions/*epidemiology/*psychology&lt;/keyword&gt;&lt;keyword&gt;Humans&lt;/keyword&gt;&lt;keyword&gt;Prevalence&lt;/keyword&gt;&lt;keyword&gt;Thinking&lt;/keyword&gt;&lt;/keywords&gt;&lt;dates&gt;&lt;year&gt;2011&lt;/year&gt;&lt;pub-dates&gt;&lt;date&gt;Jun&lt;/date&gt;&lt;/pub-dates&gt;&lt;/dates&gt;&lt;isbn&gt;1873-7811 (Electronic)&amp;#xD;0272-7358 (Linking)&lt;/isbn&gt;&lt;accession-num&gt;21482326&lt;/accession-num&gt;&lt;urls&gt;&lt;related-urls&gt;&lt;url&gt;https://www.ncbi.nlm.nih.gov/pubmed/21482326&lt;/url&gt;&lt;/related-urls&gt;&lt;/urls&gt;&lt;electronic-resource-num&gt;10.1016/j.cpr.2011.02.009&lt;/electronic-resource-num&gt;&lt;remote-database-name&gt;Medline&lt;/remote-database-name&gt;&lt;remote-database-provider&gt;NLM&lt;/remote-database-provider&gt;&lt;/record&gt;&lt;/Cite&gt;&lt;/EndNote&gt;</w:instrText>
      </w:r>
      <w:r w:rsidRPr="004D46AC">
        <w:fldChar w:fldCharType="separate"/>
      </w:r>
      <w:r w:rsidRPr="004D46AC">
        <w:rPr>
          <w:noProof/>
        </w:rPr>
        <w:t>(Knowles et al., 2011)</w:t>
      </w:r>
      <w:r w:rsidRPr="004D46AC">
        <w:fldChar w:fldCharType="end"/>
      </w:r>
      <w:r w:rsidRPr="004D46AC">
        <w:rPr>
          <w:rFonts w:hint="eastAsia"/>
        </w:rPr>
        <w:t>.</w:t>
      </w:r>
    </w:p>
    <w:p w14:paraId="1E7D0836" w14:textId="77777777" w:rsidR="007075D9" w:rsidRPr="004D46AC" w:rsidRDefault="007075D9" w:rsidP="00B518F1">
      <w:pPr>
        <w:ind w:firstLine="660"/>
      </w:pPr>
      <w:bookmarkStart w:id="279" w:name="OLE_LINK75"/>
      <w:bookmarkStart w:id="280" w:name="OLE_LINK74"/>
      <w:r w:rsidRPr="004D46AC">
        <w:t>Most causal links were found within each at-risk cluster. This finding provides strong support for topological modularity (clear communities within the network</w:t>
      </w:r>
      <w:r w:rsidRPr="004D46AC">
        <w:rPr>
          <w:rFonts w:hint="eastAsia"/>
        </w:rPr>
        <w:t xml:space="preserve"> of symptoms</w:t>
      </w:r>
      <w:r w:rsidRPr="004D46AC">
        <w:t>), challenging the traditional assumption that local symptom clusters are solely caused by a shared latent entity</w:t>
      </w:r>
      <w:r w:rsidRPr="004D46AC">
        <w:rPr>
          <w:rFonts w:hint="eastAsia"/>
        </w:rPr>
        <w:t xml:space="preserve"> </w:t>
      </w:r>
      <w:r w:rsidRPr="004D46AC">
        <w:fldChar w:fldCharType="begin"/>
      </w:r>
      <w:r w:rsidRPr="004D46AC">
        <w:instrText xml:space="preserve"> ADDIN EN.CITE &lt;EndNote&gt;&lt;Cite&gt;&lt;Author&gt;Kendler&lt;/Author&gt;&lt;Year&gt;2011&lt;/Year&gt;&lt;RecNum&gt;1349&lt;/RecNum&gt;&lt;DisplayText&gt;(Kendler et al., 2011)&lt;/DisplayText&gt;&lt;record&gt;&lt;rec-number&gt;1349&lt;/rec-number&gt;&lt;foreign-keys&gt;&lt;key app="EN" db-id="aet009sstawa0hewvt3xwf5atffdw2dt02sw" timestamp="1766226866"&gt;1349&lt;/key&gt;&lt;/foreign-keys&gt;&lt;ref-type name="Journal Article"&gt;17&lt;/ref-type&gt;&lt;contributors&gt;&lt;authors&gt;&lt;author&gt;Kendler, K. S.&lt;/author&gt;&lt;author&gt;Zachar, P.&lt;/author&gt;&lt;author&gt;Craver, C.&lt;/author&gt;&lt;/authors&gt;&lt;/contributors&gt;&lt;titles&gt;&lt;title&gt;What kinds of things are psychiatric disorders?&lt;/title&gt;&lt;secondary-title&gt;Psychological Medicine&lt;/secondary-title&gt;&lt;/titles&gt;&lt;periodical&gt;&lt;full-title&gt;Psychological Medicine&lt;/full-title&gt;&lt;/periodical&gt;&lt;pages&gt;1143-1150&lt;/pages&gt;&lt;volume&gt;41&lt;/volume&gt;&lt;number&gt;6&lt;/number&gt;&lt;edition&gt;2010/09/22&lt;/edition&gt;&lt;keywords&gt;&lt;keyword&gt;Essentialism&lt;/keyword&gt;&lt;keyword&gt;kinds&lt;/keyword&gt;&lt;keyword&gt;philosophy&lt;/keyword&gt;&lt;keyword&gt;psychiatric disorders&lt;/keyword&gt;&lt;/keywords&gt;&lt;dates&gt;&lt;year&gt;2011&lt;/year&gt;&lt;/dates&gt;&lt;publisher&gt;Cambridge University Press&lt;/publisher&gt;&lt;isbn&gt;0033-2917&lt;/isbn&gt;&lt;urls&gt;&lt;related-urls&gt;&lt;url&gt;https://www.cambridge.org/core/product/0E09E96725B4831DB5D5EBADF88C8361&lt;/url&gt;&lt;/related-urls&gt;&lt;/urls&gt;&lt;electronic-resource-num&gt;10.1017/S0033291710001844&lt;/electronic-resource-num&gt;&lt;remote-database-name&gt;Cambridge Core&lt;/remote-database-name&gt;&lt;remote-database-provider&gt;Cambridge University Press&lt;/remote-database-provider&gt;&lt;/record&gt;&lt;/Cite&gt;&lt;/EndNote&gt;</w:instrText>
      </w:r>
      <w:r w:rsidRPr="004D46AC">
        <w:fldChar w:fldCharType="separate"/>
      </w:r>
      <w:r w:rsidRPr="004D46AC">
        <w:rPr>
          <w:noProof/>
        </w:rPr>
        <w:t>(Kendler et al., 2011)</w:t>
      </w:r>
      <w:r w:rsidRPr="004D46AC">
        <w:fldChar w:fldCharType="end"/>
      </w:r>
      <w:r w:rsidRPr="004D46AC">
        <w:t>. Instead, this implies that psychiatric syndromes are characterized by distinct internal structural dependencies, a pattern consistent with network-based models of psychopathology</w:t>
      </w:r>
      <w:r w:rsidRPr="004D46AC">
        <w:rPr>
          <w:rFonts w:hint="eastAsia"/>
        </w:rPr>
        <w:t xml:space="preserve"> </w:t>
      </w:r>
      <w:bookmarkEnd w:id="279"/>
      <w:r w:rsidRPr="004D46AC">
        <w:fldChar w:fldCharType="begin"/>
      </w:r>
      <w:r w:rsidRPr="004D46AC">
        <w:instrText xml:space="preserve"> ADDIN EN.CITE &lt;EndNote&gt;&lt;Cite&gt;&lt;Author&gt;Borsboom&lt;/Author&gt;&lt;Year&gt;2013&lt;/Year&gt;&lt;RecNum&gt;1231&lt;/RecNum&gt;&lt;DisplayText&gt;(Borsboom &amp;amp; Cramer, 2013)&lt;/DisplayText&gt;&lt;record&gt;&lt;rec-number&gt;1231&lt;/rec-number&gt;&lt;foreign-keys&gt;&lt;key app="EN" db-id="aet009sstawa0hewvt3xwf5atffdw2dt02sw" timestamp="1758615388"&gt;1231&lt;/key&gt;&lt;/foreign-keys&gt;&lt;ref-type name="Journal Article"&gt;17&lt;/ref-type&gt;&lt;contributors&gt;&lt;authors&gt;&lt;author&gt;Borsboom, Denny&lt;/author&gt;&lt;author&gt;Cramer, Angélique O.J.&lt;/author&gt;&lt;/authors&gt;&lt;/contributors&gt;&lt;titles&gt;&lt;title&gt;Network Analysis: An Integrative Approach to the Structure of Psychopathology&lt;/title&gt;&lt;secondary-title&gt;Annual Review of Clinical Psychology&lt;/secondary-title&gt;&lt;/titles&gt;&lt;periodical&gt;&lt;full-title&gt;Annual review of clinical psychology&lt;/full-title&gt;&lt;/periodical&gt;&lt;pages&gt;91-121&lt;/pages&gt;&lt;volume&gt;9&lt;/volume&gt;&lt;number&gt;Volume 9, 2013&lt;/number&gt;&lt;keywords&gt;&lt;keyword&gt;philosophy of science&lt;/keyword&gt;&lt;keyword&gt;network analysis&lt;/keyword&gt;&lt;keyword&gt;latent variable models&lt;/keyword&gt;&lt;keyword&gt;psychopathology&lt;/keyword&gt;&lt;keyword&gt;measurement&lt;/keyword&gt;&lt;keyword&gt;psychometrics&lt;/keyword&gt;&lt;/keywords&gt;&lt;dates&gt;&lt;year&gt;2013&lt;/year&gt;&lt;/dates&gt;&lt;isbn&gt;1548-5951&lt;/isbn&gt;&lt;urls&gt;&lt;related-urls&gt;&lt;url&gt;https://www.annualreviews.org/content/journals/10.1146/annurev-clinpsy-050212-185608&lt;/url&gt;&lt;/related-urls&gt;&lt;/urls&gt;&lt;electronic-resource-num&gt;https://doi.org/10.1146/annurev-clinpsy-050212-185608&lt;/electronic-resource-num&gt;&lt;/record&gt;&lt;/Cite&gt;&lt;/EndNote&gt;</w:instrText>
      </w:r>
      <w:r w:rsidRPr="004D46AC">
        <w:fldChar w:fldCharType="separate"/>
      </w:r>
      <w:r w:rsidRPr="004D46AC">
        <w:rPr>
          <w:noProof/>
        </w:rPr>
        <w:t>(Borsboom &amp; Cramer, 2013)</w:t>
      </w:r>
      <w:r w:rsidRPr="004D46AC">
        <w:fldChar w:fldCharType="end"/>
      </w:r>
      <w:r w:rsidRPr="004D46AC">
        <w:t xml:space="preserve">. </w:t>
      </w:r>
      <w:bookmarkEnd w:id="280"/>
      <w:r w:rsidRPr="004D46AC">
        <w:t>Although no direct causal relationship was identified between hypomania and reality distortion, the affective-cognitive dimension may serve as a bridge linking these two symptom clusters.</w:t>
      </w:r>
      <w:r w:rsidRPr="004D46AC">
        <w:rPr>
          <w:rFonts w:hint="eastAsia"/>
        </w:rPr>
        <w:t xml:space="preserve"> </w:t>
      </w:r>
      <w:r w:rsidRPr="004D46AC">
        <w:t>Mood dysregulation as a precursor to thought disorder has been documented in case studies for nearly a century</w:t>
      </w:r>
      <w:r w:rsidRPr="004D46AC" w:rsidDel="00F5025B">
        <w:t xml:space="preserve"> </w:t>
      </w:r>
      <w:r w:rsidRPr="004D46AC">
        <w:fldChar w:fldCharType="begin"/>
      </w:r>
      <w:r w:rsidRPr="004D46AC">
        <w:instrText xml:space="preserve"> ADDIN EN.CITE &lt;EndNote&gt;&lt;Cite&gt;&lt;Author&gt;Kasanin&lt;/Author&gt;&lt;Year&gt;1933&lt;/Year&gt;&lt;RecNum&gt;457&lt;/RecNum&gt;&lt;DisplayText&gt;(Kasanin, 1933)&lt;/DisplayText&gt;&lt;record&gt;&lt;rec-number&gt;457&lt;/rec-number&gt;&lt;foreign-keys&gt;&lt;key app="EN" db-id="aet009sstawa0hewvt3xwf5atffdw2dt02sw" timestamp="1702571171"&gt;457&lt;/key&gt;&lt;/foreign-keys&gt;&lt;ref-type name="Journal Article"&gt;17&lt;/ref-type&gt;&lt;contributors&gt;&lt;authors&gt;&lt;author&gt;Kasanin, JACOB&lt;/author&gt;&lt;/authors&gt;&lt;/contributors&gt;&lt;titles&gt;&lt;title&gt;The acute schizoaffective psychoses&lt;/title&gt;&lt;secondary-title&gt;American Journal of Psychiatry&lt;/secondary-title&gt;&lt;/titles&gt;&lt;periodical&gt;&lt;full-title&gt;American Journal of Psychiatry&lt;/full-title&gt;&lt;/periodical&gt;&lt;pages&gt;97-126&lt;/pages&gt;&lt;volume&gt;90&lt;/volume&gt;&lt;number&gt;1&lt;/number&gt;&lt;dates&gt;&lt;year&gt;1933&lt;/year&gt;&lt;/dates&gt;&lt;isbn&gt;0002-953X&lt;/isbn&gt;&lt;urls&gt;&lt;/urls&gt;&lt;/record&gt;&lt;/Cite&gt;&lt;/EndNote&gt;</w:instrText>
      </w:r>
      <w:r w:rsidRPr="004D46AC">
        <w:fldChar w:fldCharType="separate"/>
      </w:r>
      <w:r w:rsidRPr="004D46AC">
        <w:t>(Kasanin, 1933)</w:t>
      </w:r>
      <w:r w:rsidRPr="004D46AC">
        <w:fldChar w:fldCharType="end"/>
      </w:r>
      <w:r w:rsidRPr="004D46AC">
        <w:t xml:space="preserve">. Consistent with these early </w:t>
      </w:r>
      <w:r w:rsidRPr="004D46AC">
        <w:rPr>
          <w:rFonts w:hint="eastAsia"/>
        </w:rPr>
        <w:t>case events</w:t>
      </w:r>
      <w:r w:rsidRPr="004D46AC">
        <w:t>, our findings revealed a pathway from mood elevation (TR16) to racing thoughts (TR5), mediated by mood cycling (TR19) and disconnected thoughts (TR24). The IM similarly identified denser connections among these symptoms. Together, these results challenge the long-standing view that thought disorder is a defining hallmark of schizophrenia</w:t>
      </w:r>
      <w:r w:rsidRPr="004D46AC">
        <w:rPr>
          <w:rFonts w:hint="eastAsia"/>
        </w:rPr>
        <w:t xml:space="preserve"> </w:t>
      </w:r>
      <w:r w:rsidRPr="004D46AC">
        <w:fldChar w:fldCharType="begin">
          <w:fldData xml:space="preserve">PEVuZE5vdGU+PENpdGU+PEF1dGhvcj5CbGV1bGVyPC9BdXRob3I+PFllYXI+MTk1MDwvWWVhcj48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=
</w:fldData>
        </w:fldChar>
      </w:r>
      <w:r w:rsidRPr="004D46AC">
        <w:instrText xml:space="preserve"> ADDIN EN.CITE </w:instrText>
      </w:r>
      <w:r w:rsidRPr="004D46AC">
        <w:fldChar w:fldCharType="begin">
          <w:fldData xml:space="preserve">PEVuZE5vdGU+PENpdGU+PEF1dGhvcj5CbGV1bGVyPC9BdXRob3I+PFllYXI+MTk1MDwvWWVhcj48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=
</w:fldData>
        </w:fldChar>
      </w:r>
      <w:r w:rsidRPr="004D46AC">
        <w:instrText xml:space="preserve"> ADDIN EN.CITE.DATA </w:instrText>
      </w:r>
      <w:r w:rsidRPr="004D46AC">
        <w:fldChar w:fldCharType="end"/>
      </w:r>
      <w:r w:rsidRPr="004D46AC">
        <w:fldChar w:fldCharType="separate"/>
      </w:r>
      <w:r w:rsidRPr="004D46AC">
        <w:t>(Bleuler, 1950; Carpenter et al., 1973)</w:t>
      </w:r>
      <w:r w:rsidRPr="004D46AC">
        <w:fldChar w:fldCharType="end"/>
      </w:r>
      <w:r w:rsidRPr="004D46AC">
        <w:t>, which holds that disorgani</w:t>
      </w:r>
      <w:r w:rsidRPr="004D46AC">
        <w:rPr>
          <w:rFonts w:hint="eastAsia"/>
        </w:rPr>
        <w:t>s</w:t>
      </w:r>
      <w:r w:rsidRPr="004D46AC">
        <w:t>ed thinking primarily arises from psychotic processes. Instead, our data suggest that cognitive disorgani</w:t>
      </w:r>
      <w:r w:rsidRPr="004D46AC">
        <w:rPr>
          <w:rFonts w:hint="eastAsia"/>
        </w:rPr>
        <w:t>s</w:t>
      </w:r>
      <w:r w:rsidRPr="004D46AC">
        <w:t>ation may be equally—or even more—strongly shaped by manic processes than by psychotic ones, lending empirical support to prior discussions that conceptuali</w:t>
      </w:r>
      <w:r w:rsidRPr="004D46AC">
        <w:rPr>
          <w:rFonts w:hint="eastAsia"/>
        </w:rPr>
        <w:t>s</w:t>
      </w:r>
      <w:r w:rsidRPr="004D46AC">
        <w:t>e thought disorganization as a potential anomaly of severe mood disturbance</w:t>
      </w:r>
      <w:r w:rsidRPr="004D46AC" w:rsidDel="00F5025B">
        <w:t xml:space="preserve"> </w:t>
      </w:r>
      <w:r w:rsidRPr="004D46AC">
        <w:fldChar w:fldCharType="begin"/>
      </w:r>
      <w:r w:rsidRPr="004D46AC">
        <w:instrText xml:space="preserve"> ADDIN EN.CITE &lt;EndNote&gt;&lt;Cite&gt;&lt;Author&gt;Raymond Lake&lt;/Author&gt;&lt;Year&gt;2008&lt;/Year&gt;&lt;RecNum&gt;1254&lt;/RecNum&gt;&lt;DisplayText&gt;(Raymond Lake, 2008)&lt;/DisplayText&gt;&lt;record&gt;&lt;rec-number&gt;1254&lt;/rec-number&gt;&lt;foreign-keys&gt;&lt;key app="EN" db-id="aet009sstawa0hewvt3xwf5atffdw2dt02sw" timestamp="1760889262"&gt;1254&lt;/key&gt;&lt;/foreign-keys&gt;&lt;ref-type name="Journal Article"&gt;17&lt;/ref-type&gt;&lt;contributors&gt;&lt;authors&gt;&lt;author&gt;Raymond Lake, C.&lt;/author&gt;&lt;/authors&gt;&lt;/contributors&gt;&lt;titles&gt;&lt;title&gt;Disorders of Thought Are Severe Mood Disorders: the Selective Attention Defect in Mania Challenges the Kraepelinian Dichotomy—A Review&lt;/title&gt;&lt;secondary-title&gt;Schizophrenia Bulletin&lt;/secondary-title&gt;&lt;/titles&gt;&lt;periodical&gt;&lt;full-title&gt;Schizophrenia Bulletin&lt;/full-title&gt;&lt;/periodical&gt;&lt;pages&gt;109-117&lt;/pages&gt;&lt;volume&gt;34&lt;/volume&gt;&lt;number&gt;1&lt;/number&gt;&lt;dates&gt;&lt;year&gt;2008&lt;/year&gt;&lt;/dates&gt;&lt;isbn&gt;0586-7614&lt;/isbn&gt;&lt;urls&gt;&lt;related-urls&gt;&lt;url&gt;https://doi.org/10.1093/schbul/sbm035&lt;/url&gt;&lt;/related-urls&gt;&lt;/urls&gt;&lt;electronic-resource-num&gt;10.1093/schbul/sbm035&lt;/electronic-resource-num&gt;&lt;access-date&gt;10/19/2025&lt;/access-date&gt;&lt;/record&gt;&lt;/Cite&gt;&lt;/EndNote&gt;</w:instrText>
      </w:r>
      <w:r w:rsidRPr="004D46AC">
        <w:fldChar w:fldCharType="separate"/>
      </w:r>
      <w:r w:rsidRPr="004D46AC">
        <w:rPr>
          <w:noProof/>
        </w:rPr>
        <w:t>(Raymond Lake, 2008)</w:t>
      </w:r>
      <w:r w:rsidRPr="004D46AC">
        <w:fldChar w:fldCharType="end"/>
      </w:r>
      <w:r w:rsidRPr="004D46AC">
        <w:rPr>
          <w:rFonts w:hint="eastAsia"/>
        </w:rPr>
        <w:t>.</w:t>
      </w:r>
      <w:r w:rsidRPr="004D46AC">
        <w:t xml:space="preserve"> This interpretation is </w:t>
      </w:r>
      <w:r w:rsidRPr="004D46AC">
        <w:rPr>
          <w:rFonts w:hint="eastAsia"/>
        </w:rPr>
        <w:t xml:space="preserve">in line </w:t>
      </w:r>
      <w:r w:rsidRPr="004D46AC">
        <w:t>with empirical findings demonstrating that individuals with bipolar disorder exhibit levels of positive thought disorder comparable to those seen in schizophrenia</w:t>
      </w:r>
      <w:r w:rsidRPr="004D46AC">
        <w:rPr>
          <w:rFonts w:hint="eastAsia"/>
        </w:rPr>
        <w:t xml:space="preserve"> </w:t>
      </w:r>
      <w:r w:rsidRPr="004D46AC">
        <w:fldChar w:fldCharType="begin">
          <w:fldData xml:space="preserve">PEVuZE5vdGU+PENpdGU+PEF1dGhvcj5ZYWxpbmNldGluPC9BdXRob3I+PFllYXI+MjAxNzwvWWVh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</w:fldData>
        </w:fldChar>
      </w:r>
      <w:r w:rsidRPr="004D46AC">
        <w:instrText xml:space="preserve"> ADDIN EN.CITE </w:instrText>
      </w:r>
      <w:r w:rsidRPr="004D46AC">
        <w:fldChar w:fldCharType="begin">
          <w:fldData xml:space="preserve">PEVuZE5vdGU+PENpdGU+PEF1dGhvcj5ZYWxpbmNldGluPC9BdXRob3I+PFllYXI+MjAxNzwvWWVh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</w:fldData>
        </w:fldChar>
      </w:r>
      <w:r w:rsidRPr="004D46AC">
        <w:instrText xml:space="preserve"> ADDIN EN.CITE.DATA </w:instrText>
      </w:r>
      <w:r w:rsidRPr="004D46AC">
        <w:fldChar w:fldCharType="end"/>
      </w:r>
      <w:r w:rsidRPr="004D46AC">
        <w:fldChar w:fldCharType="separate"/>
      </w:r>
      <w:r w:rsidRPr="004D46AC">
        <w:t>(Yalincetin et al., 2017)</w:t>
      </w:r>
      <w:r w:rsidRPr="004D46AC">
        <w:fldChar w:fldCharType="end"/>
      </w:r>
      <w:r w:rsidRPr="004D46AC">
        <w:t>, and that mood-salient material exacerbates disorganised speech in cognitive experiments</w:t>
      </w:r>
      <w:r w:rsidRPr="004D46AC">
        <w:rPr>
          <w:rFonts w:hint="eastAsia"/>
        </w:rPr>
        <w:t xml:space="preserve"> among patients with </w:t>
      </w:r>
      <w:r w:rsidRPr="004D46AC">
        <w:t>SMIs</w:t>
      </w:r>
      <w:r w:rsidRPr="004D46AC" w:rsidDel="00107048">
        <w:rPr>
          <w:rFonts w:hint="eastAsia"/>
        </w:rPr>
        <w:t xml:space="preserve"> </w:t>
      </w:r>
      <w:r w:rsidRPr="004D46AC">
        <w:fldChar w:fldCharType="begin">
          <w:fldData xml:space="preserve">PEVuZE5vdGU+PENpdGU+PEF1dGhvcj5UYWk8L0F1dGhvcj48WWVhcj4yMDA0PC9ZZWFyPjxSZWNO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</w:fldData>
        </w:fldChar>
      </w:r>
      <w:r w:rsidRPr="004D46AC">
        <w:instrText xml:space="preserve"> ADDIN EN.CITE </w:instrText>
      </w:r>
      <w:r w:rsidRPr="004D46AC">
        <w:fldChar w:fldCharType="begin">
          <w:fldData xml:space="preserve">PEVuZE5vdGU+PENpdGU+PEF1dGhvcj5UYWk8L0F1dGhvcj48WWVhcj4yMDA0PC9ZZWFyPjxSZWNO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</w:fldData>
        </w:fldChar>
      </w:r>
      <w:r w:rsidRPr="004D46AC">
        <w:instrText xml:space="preserve"> ADDIN EN.CITE.DATA </w:instrText>
      </w:r>
      <w:r w:rsidRPr="004D46AC">
        <w:fldChar w:fldCharType="end"/>
      </w:r>
      <w:r w:rsidRPr="004D46AC">
        <w:fldChar w:fldCharType="separate"/>
      </w:r>
      <w:r w:rsidRPr="004D46AC">
        <w:t>(de Sousa et al., 2016; Haddock et al., 1995; Tai et al., 2004)</w:t>
      </w:r>
      <w:r w:rsidRPr="004D46AC">
        <w:fldChar w:fldCharType="end"/>
      </w:r>
      <w:r w:rsidRPr="004D46AC">
        <w:rPr>
          <w:rFonts w:hint="eastAsia"/>
        </w:rPr>
        <w:t>.</w:t>
      </w:r>
    </w:p>
    <w:p w14:paraId="3DB0C693" w14:textId="77777777" w:rsidR="007075D9" w:rsidRPr="004D46AC" w:rsidRDefault="007075D9" w:rsidP="00B518F1">
      <w:pPr>
        <w:ind w:firstLine="660"/>
      </w:pPr>
      <w:r w:rsidRPr="004D46AC">
        <w:t xml:space="preserve">Furthermore, the emergence of </w:t>
      </w:r>
      <w:r w:rsidRPr="004D46AC">
        <w:rPr>
          <w:rFonts w:hint="eastAsia"/>
        </w:rPr>
        <w:t>reality distortion</w:t>
      </w:r>
      <w:r w:rsidRPr="004D46AC">
        <w:t xml:space="preserve"> as a downstream outcome - albeit marked by only a single directed edge</w:t>
      </w:r>
      <w:r w:rsidRPr="004D46AC">
        <w:rPr>
          <w:rFonts w:hint="eastAsia"/>
        </w:rPr>
        <w:t xml:space="preserve"> - </w:t>
      </w:r>
      <w:r w:rsidRPr="004D46AC">
        <w:t xml:space="preserve">from </w:t>
      </w:r>
      <w:r w:rsidRPr="004D46AC">
        <w:rPr>
          <w:rFonts w:hint="eastAsia"/>
        </w:rPr>
        <w:t>affective cognitive dysregulation</w:t>
      </w:r>
      <w:r w:rsidRPr="004D46AC">
        <w:t xml:space="preserve"> is not entirely unexpected. This observation partially aligns with Bleuler’s seminal account of </w:t>
      </w:r>
      <w:r w:rsidRPr="004D46AC">
        <w:lastRenderedPageBreak/>
        <w:t>schizophrenia, wherein ‘primary’ symptoms</w:t>
      </w:r>
      <w:r w:rsidRPr="004D46AC">
        <w:rPr>
          <w:rFonts w:hint="eastAsia"/>
        </w:rPr>
        <w:t xml:space="preserve"> </w:t>
      </w:r>
      <w:r w:rsidRPr="004D46AC">
        <w:t>such as disturbances in affect, association, and cognition</w:t>
      </w:r>
      <w:r w:rsidRPr="004D46AC">
        <w:rPr>
          <w:rFonts w:hint="eastAsia"/>
        </w:rPr>
        <w:t xml:space="preserve">, </w:t>
      </w:r>
      <w:r w:rsidRPr="004D46AC">
        <w:t>are thought to give rise to ‘secondary’ manifestations, including hallucinations and delusions</w:t>
      </w:r>
      <w:r w:rsidRPr="004D46AC">
        <w:rPr>
          <w:rFonts w:hint="eastAsia"/>
        </w:rPr>
        <w:t xml:space="preserve"> </w:t>
      </w:r>
      <w:r w:rsidRPr="004D46AC">
        <w:fldChar w:fldCharType="begin"/>
      </w:r>
      <w:r w:rsidRPr="004D46AC">
        <w:instrText xml:space="preserve"> ADDIN EN.CITE &lt;EndNote&gt;&lt;Cite&gt;&lt;Author&gt;Bleuler&lt;/Author&gt;&lt;Year&gt;1950&lt;/Year&gt;&lt;RecNum&gt;452&lt;/RecNum&gt;&lt;DisplayText&gt;(Bleuler, 1950)&lt;/DisplayText&gt;&lt;record&gt;&lt;rec-number&gt;452&lt;/rec-number&gt;&lt;foreign-keys&gt;&lt;key app="EN" db-id="aet009sstawa0hewvt3xwf5atffdw2dt02sw" timestamp="1702570060"&gt;452&lt;/key&gt;&lt;/foreign-keys&gt;&lt;ref-type name="Journal Article"&gt;17&lt;/ref-type&gt;&lt;contributors&gt;&lt;authors&gt;&lt;author&gt;Bleuler, Eugen&lt;/author&gt;&lt;/authors&gt;&lt;/contributors&gt;&lt;titles&gt;&lt;title&gt;Dementia praecox or the group of schizophrenias&lt;/title&gt;&lt;/titles&gt;&lt;dates&gt;&lt;year&gt;1950&lt;/year&gt;&lt;/dates&gt;&lt;urls&gt;&lt;/urls&gt;&lt;/record&gt;&lt;/Cite&gt;&lt;/EndNote&gt;</w:instrText>
      </w:r>
      <w:r w:rsidRPr="004D46AC">
        <w:fldChar w:fldCharType="separate"/>
      </w:r>
      <w:r w:rsidRPr="004D46AC">
        <w:t>(Bleuler, 1950)</w:t>
      </w:r>
      <w:r w:rsidRPr="004D46AC">
        <w:fldChar w:fldCharType="end"/>
      </w:r>
      <w:r w:rsidRPr="004D46AC">
        <w:t xml:space="preserve">. Within this framework, psychotic features are conceptualised as consequences of cognitive and emotional disruptions. However, in our model, </w:t>
      </w:r>
      <w:r w:rsidRPr="004D46AC">
        <w:rPr>
          <w:rFonts w:hint="eastAsia"/>
        </w:rPr>
        <w:t xml:space="preserve">only </w:t>
      </w:r>
      <w:r w:rsidRPr="004D46AC">
        <w:t xml:space="preserve">paranoia appears to be influenced by </w:t>
      </w:r>
      <w:r w:rsidRPr="004D46AC">
        <w:rPr>
          <w:rFonts w:hint="eastAsia"/>
        </w:rPr>
        <w:t xml:space="preserve">these primary drives, in spite only </w:t>
      </w:r>
      <w:r w:rsidRPr="004D46AC">
        <w:t xml:space="preserve">emotional numbness, suggesting </w:t>
      </w:r>
      <w:r w:rsidRPr="004D46AC">
        <w:rPr>
          <w:rFonts w:hint="eastAsia"/>
        </w:rPr>
        <w:t>an</w:t>
      </w:r>
      <w:r w:rsidRPr="004D46AC">
        <w:t xml:space="preserve"> affective pathway to delusional ideation. This finding warrants further investigation, particularly given the apparent absence of strong links between cognitive disorganisation and psychotic symptoms</w:t>
      </w:r>
      <w:r w:rsidRPr="004D46AC">
        <w:rPr>
          <w:rFonts w:hint="eastAsia"/>
        </w:rPr>
        <w:t xml:space="preserve">, </w:t>
      </w:r>
      <w:r w:rsidRPr="004D46AC">
        <w:t>despite longstanding theoretical assumptions about their close association</w:t>
      </w:r>
      <w:r w:rsidRPr="004D46AC">
        <w:rPr>
          <w:rFonts w:hint="eastAsia"/>
        </w:rPr>
        <w:t>s</w:t>
      </w:r>
      <w:r w:rsidRPr="004D46AC">
        <w:t>.</w:t>
      </w:r>
    </w:p>
    <w:p w14:paraId="41BECFC4" w14:textId="77777777" w:rsidR="007075D9" w:rsidRPr="004D46AC" w:rsidRDefault="007075D9" w:rsidP="00B518F1">
      <w:pPr>
        <w:ind w:firstLine="660"/>
      </w:pPr>
      <w:r w:rsidRPr="004D46AC">
        <w:t>I</w:t>
      </w:r>
      <w:r w:rsidRPr="004D46AC">
        <w:rPr>
          <w:rFonts w:hint="eastAsia"/>
        </w:rPr>
        <w:t xml:space="preserve">t is worth </w:t>
      </w:r>
      <w:r w:rsidRPr="004D46AC">
        <w:t>noting</w:t>
      </w:r>
      <w:r w:rsidRPr="004D46AC">
        <w:rPr>
          <w:rFonts w:hint="eastAsia"/>
        </w:rPr>
        <w:t xml:space="preserve"> that</w:t>
      </w:r>
      <w:r w:rsidRPr="004D46AC">
        <w:t xml:space="preserve"> some findings from the BNM diverged from those yielded by the IM. </w:t>
      </w:r>
      <w:r w:rsidRPr="004D46AC">
        <w:rPr>
          <w:rFonts w:hint="eastAsia"/>
        </w:rPr>
        <w:t>In particular</w:t>
      </w:r>
      <w:r w:rsidRPr="004D46AC">
        <w:t xml:space="preserve">, the BNM showed no statistically robust causal relationships between </w:t>
      </w:r>
      <w:r w:rsidRPr="004D46AC">
        <w:rPr>
          <w:rFonts w:hint="eastAsia"/>
        </w:rPr>
        <w:t xml:space="preserve">hypomania </w:t>
      </w:r>
      <w:r w:rsidRPr="004D46AC">
        <w:t xml:space="preserve">and </w:t>
      </w:r>
      <w:r w:rsidRPr="004D46AC">
        <w:rPr>
          <w:rFonts w:hint="eastAsia"/>
        </w:rPr>
        <w:t xml:space="preserve">reality </w:t>
      </w:r>
      <w:proofErr w:type="gramStart"/>
      <w:r w:rsidRPr="004D46AC">
        <w:t>distortion, and</w:t>
      </w:r>
      <w:proofErr w:type="gramEnd"/>
      <w:r w:rsidRPr="004D46AC">
        <w:t xml:space="preserve"> identified only a single directed edge between</w:t>
      </w:r>
      <w:r w:rsidRPr="004D46AC">
        <w:rPr>
          <w:rFonts w:hint="eastAsia"/>
        </w:rPr>
        <w:t xml:space="preserve"> reality </w:t>
      </w:r>
      <w:r w:rsidRPr="004D46AC">
        <w:t xml:space="preserve">distortion and </w:t>
      </w:r>
      <w:r w:rsidRPr="004D46AC">
        <w:rPr>
          <w:rFonts w:hint="eastAsia"/>
        </w:rPr>
        <w:t>affective-cognitive dysregulation</w:t>
      </w:r>
      <w:r w:rsidRPr="004D46AC">
        <w:t>. This contrasts with the</w:t>
      </w:r>
      <w:r w:rsidRPr="004D46AC">
        <w:rPr>
          <w:rFonts w:hint="eastAsia"/>
        </w:rPr>
        <w:t xml:space="preserve"> close interactions between </w:t>
      </w:r>
      <w:r w:rsidRPr="004D46AC">
        <w:t>hypomania and</w:t>
      </w:r>
      <w:r w:rsidRPr="004D46AC">
        <w:rPr>
          <w:rFonts w:hint="eastAsia"/>
        </w:rPr>
        <w:t xml:space="preserve"> reality distortion observed in</w:t>
      </w:r>
      <w:r w:rsidRPr="004D46AC">
        <w:t xml:space="preserve"> IM results. Such discrepancies may suggest that the IM captures a shared latent liability underlying the co-occurrence of symptoms across </w:t>
      </w:r>
      <w:r w:rsidRPr="004D46AC">
        <w:rPr>
          <w:rFonts w:hint="eastAsia"/>
        </w:rPr>
        <w:t xml:space="preserve">at-risk </w:t>
      </w:r>
      <w:r w:rsidRPr="004D46AC">
        <w:t>domains</w:t>
      </w:r>
      <w:r w:rsidRPr="004D46AC">
        <w:rPr>
          <w:rFonts w:hint="eastAsia"/>
        </w:rPr>
        <w:t xml:space="preserve">, </w:t>
      </w:r>
      <w:r w:rsidRPr="004D46AC">
        <w:t xml:space="preserve">an interpretation consistent with longstanding evidence of overlap across the SMIs. For instance, bipolar disorder and schizophrenia have been shown to share genetic vulnerability, patterns of familial aggregation, and similar neurobiological alterations </w:t>
      </w:r>
      <w:r w:rsidRPr="004D46AC">
        <w:fldChar w:fldCharType="begin">
          <w:fldData xml:space="preserve">PEVuZE5vdGU+PENpdGU+PEF1dGhvcj5WYW4gU25lbGxlbmJlcmc8L0F1dGhvcj48WWVhcj4yMDA5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</w:fldData>
        </w:fldChar>
      </w:r>
      <w:r w:rsidRPr="004D46AC">
        <w:instrText xml:space="preserve"> ADDIN EN.CITE </w:instrText>
      </w:r>
      <w:r w:rsidRPr="004D46AC">
        <w:fldChar w:fldCharType="begin">
          <w:fldData xml:space="preserve">PEVuZE5vdGU+PENpdGU+PEF1dGhvcj5WYW4gU25lbGxlbmJlcmc8L0F1dGhvcj48WWVhcj4yMDA5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</w:fldData>
        </w:fldChar>
      </w:r>
      <w:r w:rsidRPr="004D46AC">
        <w:instrText xml:space="preserve"> ADDIN EN.CITE.DATA </w:instrText>
      </w:r>
      <w:r w:rsidRPr="004D46AC">
        <w:fldChar w:fldCharType="end"/>
      </w:r>
      <w:r w:rsidRPr="004D46AC">
        <w:fldChar w:fldCharType="separate"/>
      </w:r>
      <w:r w:rsidRPr="004D46AC">
        <w:t>(Bigdeli et al., 2021; Van Snellenberg &amp; de Candia, 2009; Yamada et al., 2020)</w:t>
      </w:r>
      <w:r w:rsidRPr="004D46AC">
        <w:fldChar w:fldCharType="end"/>
      </w:r>
      <w:r w:rsidRPr="004D46AC">
        <w:t>.</w:t>
      </w:r>
      <w:r w:rsidRPr="004D46AC">
        <w:rPr>
          <w:rFonts w:hint="eastAsia"/>
        </w:rPr>
        <w:t xml:space="preserve"> Similarly</w:t>
      </w:r>
      <w:r w:rsidRPr="004D46AC">
        <w:t xml:space="preserve">, schizophrenia has traditionally been characterised by the </w:t>
      </w:r>
      <w:r w:rsidRPr="004D46AC">
        <w:rPr>
          <w:rFonts w:hint="eastAsia"/>
        </w:rPr>
        <w:t>manifestations</w:t>
      </w:r>
      <w:r w:rsidRPr="004D46AC">
        <w:t xml:space="preserve"> of both negative and positive psychotic symptoms.</w:t>
      </w:r>
      <w:r w:rsidRPr="004D46AC">
        <w:rPr>
          <w:rFonts w:hint="eastAsia"/>
        </w:rPr>
        <w:t xml:space="preserve"> </w:t>
      </w:r>
      <w:r w:rsidRPr="004D46AC">
        <w:t>These findings lend support to transdiagnostic frameworks, such as the general psychopathology (‘p’) factor and bifactor models</w:t>
      </w:r>
      <w:r w:rsidRPr="004D46AC">
        <w:rPr>
          <w:rFonts w:hint="eastAsia"/>
        </w:rPr>
        <w:t>,</w:t>
      </w:r>
      <w:r w:rsidRPr="004D46AC">
        <w:t xml:space="preserve"> propos</w:t>
      </w:r>
      <w:r w:rsidRPr="004D46AC">
        <w:rPr>
          <w:rFonts w:hint="eastAsia"/>
        </w:rPr>
        <w:t>ing</w:t>
      </w:r>
      <w:r w:rsidRPr="004D46AC">
        <w:t xml:space="preserve"> that a substantial proportion of variance in symptom expression is attributable to a latent general facto</w:t>
      </w:r>
      <w:r w:rsidRPr="004D46AC">
        <w:rPr>
          <w:rFonts w:hint="eastAsia"/>
        </w:rPr>
        <w:t xml:space="preserve">r </w:t>
      </w:r>
      <w:r w:rsidRPr="004D46AC">
        <w:fldChar w:fldCharType="begin">
          <w:fldData xml:space="preserve">PEVuZE5vdGU+PENpdGU+PEF1dGhvcj5DYXNwaTwvQXV0aG9yPjxZZWFyPjIwMTQ8L1llYXI+PFJl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</w:fldData>
        </w:fldChar>
      </w:r>
      <w:r w:rsidRPr="004D46AC">
        <w:instrText xml:space="preserve"> ADDIN EN.CITE </w:instrText>
      </w:r>
      <w:r w:rsidRPr="004D46AC">
        <w:fldChar w:fldCharType="begin">
          <w:fldData xml:space="preserve">PEVuZE5vdGU+PENpdGU+PEF1dGhvcj5DYXNwaTwvQXV0aG9yPjxZZWFyPjIwMTQ8L1llYXI+PFJl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</w:fldData>
        </w:fldChar>
      </w:r>
      <w:r w:rsidRPr="004D46AC">
        <w:instrText xml:space="preserve"> ADDIN EN.CITE.DATA </w:instrText>
      </w:r>
      <w:r w:rsidRPr="004D46AC">
        <w:fldChar w:fldCharType="end"/>
      </w:r>
      <w:r w:rsidRPr="004D46AC">
        <w:fldChar w:fldCharType="separate"/>
      </w:r>
      <w:r w:rsidRPr="004D46AC">
        <w:t>(Caspi et al., 2014; Reininghaus et al., 2016)</w:t>
      </w:r>
      <w:r w:rsidRPr="004D46AC">
        <w:fldChar w:fldCharType="end"/>
      </w:r>
      <w:r w:rsidRPr="004D46AC">
        <w:t>. An alternative interpretation is that the BNM, based on DAGs,</w:t>
      </w:r>
      <w:r w:rsidRPr="004D46AC">
        <w:rPr>
          <w:rFonts w:hint="eastAsia"/>
        </w:rPr>
        <w:t xml:space="preserve"> is incapable of detecting loop back influences, </w:t>
      </w:r>
      <w:r w:rsidRPr="004D46AC">
        <w:t xml:space="preserve">mutual influences that are more readily detected through the undirected structure of the IM. Future research should examine how genetic, neurobiological, and cognitive mechanisms interact to produce distinct clinical profiles, and consider applying alternative modelling approaches </w:t>
      </w:r>
      <w:r w:rsidRPr="004D46AC">
        <w:lastRenderedPageBreak/>
        <w:t xml:space="preserve">(e.g., temporal, or dynamic network models) to better capture the complex, and potentially bidirectional, nature of symptom interactions across diagnostic boundaries. </w:t>
      </w:r>
    </w:p>
    <w:p w14:paraId="50356E4A" w14:textId="77777777" w:rsidR="007075D9" w:rsidRPr="004D46AC" w:rsidRDefault="007075D9" w:rsidP="00B518F1">
      <w:pPr>
        <w:pStyle w:val="3"/>
        <w:rPr>
          <w:rFonts w:eastAsiaTheme="minorEastAsia"/>
        </w:rPr>
      </w:pPr>
      <w:r w:rsidRPr="004D46AC">
        <w:t>A</w:t>
      </w:r>
      <w:r w:rsidRPr="004D46AC">
        <w:rPr>
          <w:rFonts w:hint="eastAsia"/>
        </w:rPr>
        <w:t>ge differences in the psychopathological manifestations</w:t>
      </w:r>
    </w:p>
    <w:p w14:paraId="2CD4EFCA" w14:textId="77777777" w:rsidR="007075D9" w:rsidRPr="004D46AC" w:rsidRDefault="007075D9" w:rsidP="00B518F1">
      <w:pPr>
        <w:ind w:firstLine="660"/>
      </w:pPr>
      <w:bookmarkStart w:id="281" w:name="OLE_LINK62"/>
      <w:r w:rsidRPr="004D46AC">
        <w:t>P</w:t>
      </w:r>
      <w:r w:rsidRPr="004D46AC">
        <w:rPr>
          <w:rFonts w:hint="eastAsia"/>
        </w:rPr>
        <w:t>artially consistent with the dimensional finding</w:t>
      </w:r>
      <w:r w:rsidRPr="004D46AC">
        <w:t xml:space="preserve">, a developmental pattern emerged in the broader symptom network structure. Specifically, older participants reported greater distress in both domains and, at a macro level, exhibited higher network connectivity and more differentiated structural patterns. These findings are consistent with previous research indicating that older age and longer illness duration are associated with more severe manifestations of </w:t>
      </w:r>
      <w:r w:rsidRPr="004D46AC">
        <w:rPr>
          <w:rFonts w:hint="eastAsia"/>
        </w:rPr>
        <w:t xml:space="preserve">SMIs </w:t>
      </w:r>
      <w:r w:rsidRPr="004D46AC">
        <w:fldChar w:fldCharType="begin">
          <w:fldData xml:space="preserve">PEVuZE5vdGU+PENpdGU+PEF1dGhvcj5DaGFrcmFiYXJ0aTwvQXV0aG9yPjxZZWFyPjIwMjI8L1ll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=
</w:fldData>
        </w:fldChar>
      </w:r>
      <w:r w:rsidRPr="004D46AC">
        <w:instrText xml:space="preserve"> ADDIN EN.CITE </w:instrText>
      </w:r>
      <w:r w:rsidRPr="004D46AC">
        <w:fldChar w:fldCharType="begin">
          <w:fldData xml:space="preserve">PEVuZE5vdGU+PENpdGU+PEF1dGhvcj5DaGFrcmFiYXJ0aTwvQXV0aG9yPjxZZWFyPjIwMjI8L1ll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=
</w:fldData>
        </w:fldChar>
      </w:r>
      <w:r w:rsidRPr="004D46AC">
        <w:instrText xml:space="preserve"> ADDIN EN.CITE.DATA </w:instrText>
      </w:r>
      <w:r w:rsidRPr="004D46AC">
        <w:fldChar w:fldCharType="end"/>
      </w:r>
      <w:r w:rsidRPr="004D46AC">
        <w:fldChar w:fldCharType="separate"/>
      </w:r>
      <w:r w:rsidRPr="004D46AC">
        <w:rPr>
          <w:noProof/>
        </w:rPr>
        <w:t>(Altamura et al., 2015; Chakrabarti &amp; Singh, 2022; Penttilä et al., 2014)</w:t>
      </w:r>
      <w:r w:rsidRPr="004D46AC">
        <w:fldChar w:fldCharType="end"/>
      </w:r>
      <w:r w:rsidRPr="004D46AC">
        <w:t xml:space="preserve">. Such patterns lend partial support to the conceptualisation of psychopathology as a developmental process. Older individuals, being more cognitively and emotionally mature, may experience more complex and interactive symptom dynamics. This interpretation is echoed by neurodevelopmental studies demonstrating increased neural integration and connectivity with age </w:t>
      </w:r>
      <w:r w:rsidRPr="004D46AC">
        <w:rPr>
          <w:rFonts w:hint="eastAsia"/>
        </w:rPr>
        <w:t>from adolescence to</w:t>
      </w:r>
      <w:r w:rsidRPr="004D46AC">
        <w:t xml:space="preserve"> mid-life </w:t>
      </w:r>
      <w:r w:rsidRPr="004D46AC">
        <w:fldChar w:fldCharType="begin"/>
      </w:r>
      <w:r w:rsidRPr="004D46AC">
        <w:instrText xml:space="preserve"> ADDIN EN.CITE &lt;EndNote&gt;&lt;Cite&gt;&lt;Author&gt;Edde&lt;/Author&gt;&lt;Year&gt;2021&lt;/Year&gt;&lt;RecNum&gt;992&lt;/RecNum&gt;&lt;DisplayText&gt;(Edde et al., 2021)&lt;/DisplayText&gt;&lt;record&gt;&lt;rec-number&gt;992&lt;/rec-number&gt;&lt;foreign-keys&gt;&lt;key app="EN" db-id="aet009sstawa0hewvt3xwf5atffdw2dt02sw" timestamp="1744066606"&gt;992&lt;/key&gt;&lt;/foreign-keys&gt;&lt;ref-type name="Journal Article"&gt;17&lt;/ref-type&gt;&lt;contributors&gt;&lt;authors&gt;&lt;author&gt;Edde, Manon&lt;/author&gt;&lt;author&gt;Leroux, Gaëlle&lt;/author&gt;&lt;author&gt;Altena, Ellemarije&lt;/author&gt;&lt;author&gt;Chanraud, Sandra&lt;/author&gt;&lt;/authors&gt;&lt;/contributors&gt;&lt;titles&gt;&lt;title&gt;Functional brain connectivity changes across the human life span: From fetal development to old age&lt;/title&gt;&lt;secondary-title&gt;Journal of Neuroscience Research&lt;/secondary-title&gt;&lt;/titles&gt;&lt;periodical&gt;&lt;full-title&gt;Journal of Neuroscience Research&lt;/full-title&gt;&lt;/periodical&gt;&lt;pages&gt;236-262&lt;/pages&gt;&lt;volume&gt;99&lt;/volume&gt;&lt;number&gt;1&lt;/number&gt;&lt;keywords&gt;&lt;keyword&gt;functional connectivity&lt;/keyword&gt;&lt;keyword&gt;healthy adults&lt;/keyword&gt;&lt;keyword&gt;normal aging&lt;/keyword&gt;&lt;keyword&gt;typical development&lt;/keyword&gt;&lt;/keywords&gt;&lt;dates&gt;&lt;year&gt;2021&lt;/year&gt;&lt;pub-dates&gt;&lt;date&gt;2021/01/01&lt;/date&gt;&lt;/pub-dates&gt;&lt;/dates&gt;&lt;publisher&gt;John Wiley &amp;amp; Sons, Ltd&lt;/publisher&gt;&lt;isbn&gt;0360-4012&lt;/isbn&gt;&lt;urls&gt;&lt;related-urls&gt;&lt;url&gt;https://doi.org/10.1002/jnr.24669&lt;/url&gt;&lt;/related-urls&gt;&lt;/urls&gt;&lt;electronic-resource-num&gt;https://doi.org/10.1002/jnr.24669&lt;/electronic-resource-num&gt;&lt;access-date&gt;2025/04/07&lt;/access-date&gt;&lt;/record&gt;&lt;/Cite&gt;&lt;/EndNote&gt;</w:instrText>
      </w:r>
      <w:r w:rsidRPr="004D46AC">
        <w:fldChar w:fldCharType="separate"/>
      </w:r>
      <w:r w:rsidRPr="004D46AC">
        <w:t>(Edde et al., 2021)</w:t>
      </w:r>
      <w:r w:rsidRPr="004D46AC">
        <w:fldChar w:fldCharType="end"/>
      </w:r>
      <w:r w:rsidRPr="004D46AC">
        <w:t xml:space="preserve">. Similarly, the lower bridge and node </w:t>
      </w:r>
      <w:r w:rsidRPr="004D46AC">
        <w:rPr>
          <w:rFonts w:hint="eastAsia"/>
        </w:rPr>
        <w:t xml:space="preserve">strength of all at-risk features </w:t>
      </w:r>
      <w:r w:rsidRPr="004D46AC">
        <w:t>observed among younger participants may reflect a less consolidated symptom structure. Nevertheless, evidence supporting this idea ha</w:t>
      </w:r>
      <w:r w:rsidRPr="004D46AC">
        <w:rPr>
          <w:rFonts w:hint="eastAsia"/>
        </w:rPr>
        <w:t>s</w:t>
      </w:r>
      <w:r w:rsidRPr="004D46AC">
        <w:t xml:space="preserve"> been mixed </w:t>
      </w:r>
      <w:r w:rsidRPr="004D46AC">
        <w:fldChar w:fldCharType="begin">
          <w:fldData xml:space="preserve">PEVuZE5vdGU+PENpdGU+PEF1dGhvcj5QZXRlcnM8L0F1dGhvcj48WWVhcj4yMDIzPC9ZZWFyPjxS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</w:fldData>
        </w:fldChar>
      </w:r>
      <w:r w:rsidRPr="004D46AC">
        <w:instrText xml:space="preserve"> ADDIN EN.CITE </w:instrText>
      </w:r>
      <w:r w:rsidRPr="004D46AC">
        <w:fldChar w:fldCharType="begin">
          <w:fldData xml:space="preserve">PEVuZE5vdGU+PENpdGU+PEF1dGhvcj5QZXRlcnM8L0F1dGhvcj48WWVhcj4yMDIzPC9ZZWFyPjxS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(Contractor et al., 2013; Hybels et al., 2012; Lahey et al., 2008; Peters et al., 2023; Rouquette et al., 2018; Schlechter et al., 2023)</w:t>
      </w:r>
      <w:r w:rsidRPr="004D46AC">
        <w:fldChar w:fldCharType="end"/>
      </w:r>
      <w:r w:rsidRPr="004D46AC">
        <w:t>, with some reporting structural invariance in symptom networks between</w:t>
      </w:r>
      <w:r w:rsidRPr="004D46AC">
        <w:rPr>
          <w:rFonts w:hint="eastAsia"/>
        </w:rPr>
        <w:t xml:space="preserve"> different age groups</w:t>
      </w:r>
      <w:r w:rsidRPr="004D46AC">
        <w:t xml:space="preserve">, particularly within defined diagnostic </w:t>
      </w:r>
      <w:r w:rsidRPr="004D46AC">
        <w:rPr>
          <w:rFonts w:hint="eastAsia"/>
        </w:rPr>
        <w:t>populations</w:t>
      </w:r>
      <w:r w:rsidRPr="004D46AC">
        <w:t xml:space="preserve">. Furthermore, the present findings, </w:t>
      </w:r>
      <w:r w:rsidRPr="004D46AC">
        <w:rPr>
          <w:rFonts w:hint="eastAsia"/>
        </w:rPr>
        <w:t>specifically</w:t>
      </w:r>
      <w:r w:rsidRPr="004D46AC">
        <w:t xml:space="preserve"> those concerning the adolescent subgroup, should be interpreted cautiously due to the relatively smaller sample size in this group, which may affect the stability and generalisability of the estimated networks (see Limitations for further discussion). Future research should more rigorously examine structural invariance across developmental stages to better understand the dynamic nature of psychopathology.</w:t>
      </w:r>
    </w:p>
    <w:bookmarkEnd w:id="281"/>
    <w:p w14:paraId="7FFFE93A" w14:textId="77777777" w:rsidR="007075D9" w:rsidRPr="004D46AC" w:rsidRDefault="007075D9" w:rsidP="00B518F1">
      <w:pPr>
        <w:pStyle w:val="3"/>
        <w:rPr>
          <w:rFonts w:eastAsiaTheme="minorEastAsia"/>
        </w:rPr>
      </w:pPr>
      <w:r w:rsidRPr="004D46AC">
        <w:rPr>
          <w:rFonts w:eastAsiaTheme="minorEastAsia" w:hint="eastAsia"/>
        </w:rPr>
        <w:t>Gender</w:t>
      </w:r>
      <w:r w:rsidRPr="004D46AC">
        <w:rPr>
          <w:rFonts w:hint="eastAsia"/>
        </w:rPr>
        <w:t xml:space="preserve"> differences in the psychopathological manifestations</w:t>
      </w:r>
    </w:p>
    <w:p w14:paraId="17A355E7" w14:textId="77777777" w:rsidR="007075D9" w:rsidRPr="004D46AC" w:rsidRDefault="007075D9" w:rsidP="00B518F1">
      <w:pPr>
        <w:ind w:firstLine="660"/>
      </w:pPr>
      <w:r w:rsidRPr="004D46AC">
        <w:rPr>
          <w:rFonts w:hint="eastAsia"/>
        </w:rPr>
        <w:t>Consistent with similar level of general TRACE distress across genders and our expectation, m</w:t>
      </w:r>
      <w:r w:rsidRPr="004D46AC">
        <w:t>ales and females exhibited similar symptom interrelations</w:t>
      </w:r>
      <w:r w:rsidRPr="004D46AC">
        <w:rPr>
          <w:rFonts w:hint="eastAsia"/>
        </w:rPr>
        <w:t>, which</w:t>
      </w:r>
      <w:r w:rsidRPr="004D46AC">
        <w:t xml:space="preserve"> suggest</w:t>
      </w:r>
      <w:r w:rsidRPr="004D46AC">
        <w:rPr>
          <w:rFonts w:hint="eastAsia"/>
        </w:rPr>
        <w:t>s</w:t>
      </w:r>
      <w:r w:rsidRPr="004D46AC">
        <w:t xml:space="preserve"> </w:t>
      </w:r>
      <w:r w:rsidRPr="004D46AC">
        <w:lastRenderedPageBreak/>
        <w:t>that the underlying pattern of symptom interrelationships is broadly comparable between males and females. This</w:t>
      </w:r>
      <w:r w:rsidRPr="004D46AC">
        <w:rPr>
          <w:rFonts w:hint="eastAsia"/>
        </w:rPr>
        <w:t xml:space="preserve"> </w:t>
      </w:r>
      <w:r w:rsidRPr="004D46AC">
        <w:t>reflects findings from</w:t>
      </w:r>
      <w:r w:rsidRPr="004D46AC">
        <w:rPr>
          <w:rFonts w:hint="eastAsia"/>
        </w:rPr>
        <w:t xml:space="preserve"> </w:t>
      </w:r>
      <w:r w:rsidRPr="004D46AC">
        <w:fldChar w:fldCharType="begin"/>
      </w:r>
      <w:r w:rsidRPr="004D46AC">
        <w:instrText xml:space="preserve"> ADDIN EN.CITE &lt;EndNote&gt;&lt;Cite AuthorYear="1"&gt;&lt;Author&gt;Shao&lt;/Author&gt;&lt;Year&gt;2024&lt;/Year&gt;&lt;RecNum&gt;757&lt;/RecNum&gt;&lt;DisplayText&gt;Shao et al. (2024)&lt;/DisplayText&gt;&lt;record&gt;&lt;rec-number&gt;757&lt;/rec-number&gt;&lt;foreign-keys&gt;&lt;key app="EN" db-id="aet009sstawa0hewvt3xwf5atffdw2dt02sw" timestamp="1728851689"&gt;757&lt;/key&gt;&lt;/foreign-keys&gt;&lt;ref-type name="Journal Article"&gt;17&lt;/ref-type&gt;&lt;contributors&gt;&lt;authors&gt;&lt;author&gt;Wen Shao &lt;/author&gt;&lt;author&gt;Melanie Simmonds-Buckley&lt;/author&gt;&lt;author&gt;Orestis Zavlis&lt;/author&gt;&lt;author&gt;Richard P Bentall&lt;/author&gt;&lt;/authors&gt;&lt;/contributors&gt;&lt;auth-address&gt;Department of Psychology, University of Sheffield, Sheffield S1 2LT, UK.&amp;#xD;Department of Psychology and Language Sciences, University College London, London WC1E 6BT, UK.&lt;/auth-address&gt;&lt;titles&gt;&lt;title&gt;The Common Structure of the Major Psychoses: More Similarities Than Differences in the Network Structures of Schizophrenia, Schizoaffective Disorder, and Psychotic Bipolar Disorder&lt;/title&gt;&lt;secondary-title&gt;Schizophr Bull&lt;/secondary-title&gt;&lt;/titles&gt;&lt;periodical&gt;&lt;full-title&gt;Schizophr Bull&lt;/full-title&gt;&lt;/periodical&gt;&lt;pages&gt;sbae154&lt;/pages&gt;&lt;edition&gt;20240911&lt;/edition&gt;&lt;keywords&gt;&lt;keyword&gt;bipolar&lt;/keyword&gt;&lt;keyword&gt;network&lt;/keyword&gt;&lt;keyword&gt;psychopathology&lt;/keyword&gt;&lt;keyword&gt;schizoaffective&lt;/keyword&gt;&lt;keyword&gt;schizophrenia&lt;/keyword&gt;&lt;/keywords&gt;&lt;dates&gt;&lt;year&gt;2024&lt;/year&gt;&lt;pub-dates&gt;&lt;date&gt;Sep 11&lt;/date&gt;&lt;/pub-dates&gt;&lt;/dates&gt;&lt;isbn&gt;1745-1701 (Electronic)&amp;#xD;0586-7614 (Linking)&lt;/isbn&gt;&lt;accession-num&gt;39259601&lt;/accession-num&gt;&lt;urls&gt;&lt;related-urls&gt;&lt;url&gt;https://www.ncbi.nlm.nih.gov/pubmed/39259601&lt;/url&gt;&lt;/related-urls&gt;&lt;/urls&gt;&lt;electronic-resource-num&gt;10.1093/schbul/sbae154&lt;/electronic-resource-num&gt;&lt;remote-database-name&gt;Publisher&lt;/remote-database-name&gt;&lt;remote-database-provider&gt;NLM&lt;/remote-database-provider&gt;&lt;access-date&gt;10/13/2024&lt;/access-date&gt;&lt;/record&gt;&lt;/Cite&gt;&lt;/EndNote&gt;</w:instrText>
      </w:r>
      <w:r w:rsidRPr="004D46AC">
        <w:fldChar w:fldCharType="separate"/>
      </w:r>
      <w:r w:rsidRPr="004D46AC">
        <w:t>Shao et al. (2024)</w:t>
      </w:r>
      <w:r w:rsidRPr="004D46AC">
        <w:fldChar w:fldCharType="end"/>
      </w:r>
      <w:r w:rsidRPr="004D46AC">
        <w:t>, who reported structural invariance among patients with major psychoses</w:t>
      </w:r>
      <w:r w:rsidRPr="004D46AC">
        <w:rPr>
          <w:rFonts w:hint="eastAsia"/>
        </w:rPr>
        <w:t xml:space="preserve">. </w:t>
      </w:r>
      <w:r w:rsidRPr="004D46AC">
        <w:t>T</w:t>
      </w:r>
      <w:r w:rsidRPr="004D46AC">
        <w:rPr>
          <w:rFonts w:hint="eastAsia"/>
        </w:rPr>
        <w:t>he similar symptom structure</w:t>
      </w:r>
      <w:r w:rsidRPr="004D46AC">
        <w:t xml:space="preserve"> aligns with transdiagnostic models of psychopathology, such as the </w:t>
      </w:r>
      <w:proofErr w:type="gramStart"/>
      <w:r w:rsidRPr="004D46AC">
        <w:t>aforementioned ‘p’</w:t>
      </w:r>
      <w:proofErr w:type="gramEnd"/>
      <w:r w:rsidRPr="004D46AC">
        <w:t xml:space="preserve"> factor</w:t>
      </w:r>
      <w:r w:rsidRPr="004D46AC">
        <w:rPr>
          <w:rFonts w:hint="eastAsia"/>
        </w:rPr>
        <w:t xml:space="preserve"> model</w:t>
      </w:r>
      <w:r w:rsidRPr="004D46AC">
        <w:t>, which posits a shared underlying liability across individuals, irrespective of specific symptom presentations.</w:t>
      </w:r>
    </w:p>
    <w:p w14:paraId="70232DE5" w14:textId="77777777" w:rsidR="007075D9" w:rsidRPr="004D46AC" w:rsidRDefault="007075D9" w:rsidP="00B518F1">
      <w:pPr>
        <w:pStyle w:val="3"/>
        <w:rPr>
          <w:rFonts w:eastAsiaTheme="minorEastAsia"/>
        </w:rPr>
      </w:pPr>
      <w:r w:rsidRPr="004D46AC">
        <w:rPr>
          <w:rFonts w:eastAsiaTheme="minorEastAsia" w:hint="eastAsia"/>
        </w:rPr>
        <w:t>I</w:t>
      </w:r>
      <w:r w:rsidRPr="004D46AC">
        <w:rPr>
          <w:rFonts w:hint="eastAsia"/>
        </w:rPr>
        <w:t>mplications</w:t>
      </w:r>
    </w:p>
    <w:p w14:paraId="10A4A620" w14:textId="77777777" w:rsidR="007075D9" w:rsidRPr="004D46AC" w:rsidRDefault="007075D9" w:rsidP="00B518F1">
      <w:pPr>
        <w:ind w:firstLine="660"/>
      </w:pPr>
      <w:r w:rsidRPr="004D46AC">
        <w:t xml:space="preserve">The TRACE scale demonstrated strong internal reliability and promising external validity. Although it currently lacks a gold-standard external validator, the cutoff value identified through LCA provides a useful preliminary </w:t>
      </w:r>
      <w:r w:rsidRPr="004D46AC">
        <w:rPr>
          <w:rFonts w:hint="eastAsia"/>
        </w:rPr>
        <w:t xml:space="preserve">screener </w:t>
      </w:r>
      <w:r w:rsidRPr="004D46AC">
        <w:t>for detecting a potential pluripotential risk state. Its clinical utility, however, requires further empirical support. Several implications emerging from the present findings warrant careful consideration.</w:t>
      </w:r>
    </w:p>
    <w:p w14:paraId="1785DDE3" w14:textId="77777777" w:rsidR="007075D9" w:rsidRPr="004D46AC" w:rsidRDefault="007075D9" w:rsidP="00B518F1">
      <w:pPr>
        <w:ind w:firstLine="660"/>
      </w:pPr>
      <w:r w:rsidRPr="004D46AC">
        <w:t>Although overall distress and the global TRACE network structure were similar across genders, the subdimension profiles revealed meaningful differences: females showed higher affective-cognitive dysregulation, while males exhibited higher hypomania and reality distortion. These gender-linked patterns suggest that therapeutic considerations will be most useful when targeted at specific symptom dimensions rather than global distress (e.g., focusing on emotion-regulation strategies for affective-cognitive dysregulation or behavioural/activation approaches for hypomanic features)</w:t>
      </w:r>
      <w:r w:rsidRPr="004D46AC">
        <w:rPr>
          <w:rFonts w:hint="eastAsia"/>
        </w:rPr>
        <w:t>.</w:t>
      </w:r>
    </w:p>
    <w:p w14:paraId="059E1327" w14:textId="77777777" w:rsidR="007075D9" w:rsidRPr="004D46AC" w:rsidRDefault="007075D9" w:rsidP="00B518F1">
      <w:pPr>
        <w:ind w:firstLine="660"/>
      </w:pPr>
      <w:r w:rsidRPr="004D46AC">
        <w:t xml:space="preserve">An age-related pattern emerged in the hypomania dimension and, more tentatively, in aspects of the network structure. The network analyses suggested that older participants may display a more interconnected and differentiated configuration of at-risk features. According to network theory, highly connected networks are thought to be more susceptible to the activation and maintenance of psychological distress, whereas loosely connected networks may be relatively more resilient </w:t>
      </w:r>
      <w:r w:rsidRPr="004D46AC">
        <w:fldChar w:fldCharType="begin"/>
      </w:r>
      <w:r w:rsidRPr="004D46AC">
        <w:instrText xml:space="preserve"> ADDIN EN.CITE &lt;EndNote&gt;&lt;Cite&gt;&lt;Author&gt;Borsboom&lt;/Author&gt;&lt;Year&gt;2017&lt;/Year&gt;&lt;RecNum&gt;1313&lt;/RecNum&gt;&lt;DisplayText&gt;(Borsboom, 2017)&lt;/DisplayText&gt;&lt;record&gt;&lt;rec-number&gt;1313&lt;/rec-number&gt;&lt;foreign-keys&gt;&lt;key app="EN" db-id="aet009sstawa0hewvt3xwf5atffdw2dt02sw" timestamp="1764842976"&gt;1313&lt;/key&gt;&lt;/foreign-keys&gt;&lt;ref-type name="Journal Article"&gt;17&lt;/ref-type&gt;&lt;contributors&gt;&lt;authors&gt;&lt;author&gt;Borsboom, Denny&lt;/author&gt;&lt;/authors&gt;&lt;/contributors&gt;&lt;titles&gt;&lt;title&gt;A network theory of mental disorders&lt;/title&gt;&lt;secondary-title&gt;World Psychiatry&lt;/secondary-title&gt;&lt;/titles&gt;&lt;periodical&gt;&lt;full-title&gt;World Psychiatry&lt;/full-title&gt;&lt;/periodical&gt;&lt;pages&gt;5-13&lt;/pages&gt;&lt;volume&gt;16&lt;/volume&gt;&lt;number&gt;1&lt;/number&gt;&lt;keywords&gt;&lt;keyword&gt;Psychopathology&lt;/keyword&gt;&lt;keyword&gt;network approach&lt;/keyword&gt;&lt;keyword&gt;mental disorders&lt;/keyword&gt;&lt;keyword&gt;symptom networks&lt;/keyword&gt;&lt;keyword&gt;mental health&lt;/keyword&gt;&lt;keyword&gt;resilience&lt;/keyword&gt;&lt;keyword&gt;vulnerability&lt;/keyword&gt;&lt;keyword&gt;diagnosis&lt;/keyword&gt;&lt;keyword&gt;treatment&lt;/keyword&gt;&lt;/keywords&gt;&lt;dates&gt;&lt;year&gt;2017&lt;/year&gt;&lt;pub-dates&gt;&lt;date&gt;2017/02/01&lt;/date&gt;&lt;/pub-dates&gt;&lt;/dates&gt;&lt;publisher&gt;John Wiley &amp;amp; Sons, Ltd&lt;/publisher&gt;&lt;isbn&gt;1723-8617&lt;/isbn&gt;&lt;urls&gt;&lt;related-urls&gt;&lt;url&gt;https://doi.org/10.1002/wps.20375&lt;/url&gt;&lt;/related-urls&gt;&lt;/urls&gt;&lt;electronic-resource-num&gt;https://doi.org/10.1002/wps.20375&lt;/electronic-resource-num&gt;&lt;access-date&gt;2025/12/04&lt;/access-date&gt;&lt;/record&gt;&lt;/Cite&gt;&lt;/EndNote&gt;</w:instrText>
      </w:r>
      <w:r w:rsidRPr="004D46AC">
        <w:fldChar w:fldCharType="separate"/>
      </w:r>
      <w:r w:rsidRPr="004D46AC">
        <w:rPr>
          <w:noProof/>
        </w:rPr>
        <w:t>(Borsboom, 2017)</w:t>
      </w:r>
      <w:r w:rsidRPr="004D46AC">
        <w:fldChar w:fldCharType="end"/>
      </w:r>
      <w:r w:rsidRPr="004D46AC">
        <w:rPr>
          <w:rFonts w:hint="eastAsia"/>
        </w:rPr>
        <w:t xml:space="preserve">. </w:t>
      </w:r>
      <w:r w:rsidRPr="004D46AC">
        <w:t>F</w:t>
      </w:r>
      <w:r w:rsidRPr="004D46AC">
        <w:rPr>
          <w:rFonts w:hint="eastAsia"/>
        </w:rPr>
        <w:t xml:space="preserve">ollowing this, </w:t>
      </w:r>
      <w:r w:rsidRPr="004D46AC">
        <w:t>younger participants</w:t>
      </w:r>
      <w:r w:rsidRPr="004D46AC">
        <w:rPr>
          <w:rFonts w:hint="eastAsia"/>
        </w:rPr>
        <w:t xml:space="preserve"> </w:t>
      </w:r>
      <w:r w:rsidRPr="004D46AC">
        <w:t>might be more amenable to low-intensity, preventive approaches such as psychoeducation and early stress-management strategies. In contrast, older participants</w:t>
      </w:r>
      <w:r w:rsidRPr="004D46AC">
        <w:rPr>
          <w:rFonts w:hint="eastAsia"/>
        </w:rPr>
        <w:t xml:space="preserve"> </w:t>
      </w:r>
      <w:r w:rsidRPr="004D46AC">
        <w:t xml:space="preserve">may require more structured or targeted psychological interventions, or where appropriate, </w:t>
      </w:r>
      <w:r w:rsidRPr="004D46AC">
        <w:lastRenderedPageBreak/>
        <w:t>pharmacological support. These implications should, however, be considered provisional and viewed as hypotheses for future longitudinal work rather than definitive clinical recommendations.</w:t>
      </w:r>
    </w:p>
    <w:p w14:paraId="1C516FCD" w14:textId="77777777" w:rsidR="007075D9" w:rsidRPr="004D46AC" w:rsidRDefault="007075D9" w:rsidP="00B518F1">
      <w:pPr>
        <w:ind w:firstLine="660"/>
      </w:pPr>
      <w:r w:rsidRPr="004D46AC">
        <w:t>The identified symptom interactions may inform early intervention strategies for young people with subclinical mental distress by highlighting potential targets for support. Early cognitive and psychosocial anomalies</w:t>
      </w:r>
      <w:r w:rsidRPr="004D46AC">
        <w:rPr>
          <w:rFonts w:hint="eastAsia"/>
        </w:rPr>
        <w:t xml:space="preserve"> (e.g.,</w:t>
      </w:r>
      <w:r w:rsidRPr="004D46AC">
        <w:t xml:space="preserve"> suspiciousness and identity confusion</w:t>
      </w:r>
      <w:r w:rsidRPr="004D46AC">
        <w:rPr>
          <w:rFonts w:hint="eastAsia"/>
        </w:rPr>
        <w:t xml:space="preserve">) </w:t>
      </w:r>
      <w:r w:rsidRPr="004D46AC">
        <w:t>may serve as key indicators for managing prodromal difficulties. Although suspiciousness is relatively common in the general population, its escalation, particularly when accompanied by maladaptive coping strategies, can increase the likelihood of paranoid distress</w:t>
      </w:r>
      <w:r w:rsidRPr="004D46AC">
        <w:rPr>
          <w:rFonts w:hint="eastAsia"/>
        </w:rPr>
        <w:t xml:space="preserve"> </w:t>
      </w:r>
      <w:r w:rsidRPr="004D46AC">
        <w:fldChar w:fldCharType="begin"/>
      </w:r>
      <w:r w:rsidRPr="004D46AC">
        <w:instrText xml:space="preserve"> ADDIN EN.CITE &lt;EndNote&gt;&lt;Cite&gt;&lt;Author&gt;Freeman&lt;/Author&gt;&lt;Year&gt;2005&lt;/Year&gt;&lt;RecNum&gt;995&lt;/RecNum&gt;&lt;DisplayText&gt;(Freeman et al., 2005)&lt;/DisplayText&gt;&lt;record&gt;&lt;rec-number&gt;995&lt;/rec-number&gt;&lt;foreign-keys&gt;&lt;key app="EN" db-id="aet009sstawa0hewvt3xwf5atffdw2dt02sw" timestamp="1744138863"&gt;995&lt;/key&gt;&lt;/foreign-keys&gt;&lt;ref-type name="Journal Article"&gt;17&lt;/ref-type&gt;&lt;contributors&gt;&lt;authors&gt;&lt;author&gt;Freeman, D.&lt;/author&gt;&lt;author&gt;Garety, P. A.&lt;/author&gt;&lt;author&gt;Bebbington, P. E.&lt;/author&gt;&lt;author&gt;Smith, B.&lt;/author&gt;&lt;author&gt;Rollinson, R.&lt;/author&gt;&lt;author&gt;Fowler, D.&lt;/author&gt;&lt;author&gt;Kuipers, E.&lt;/author&gt;&lt;author&gt;Ray, K.&lt;/author&gt;&lt;author&gt;Dunn, G.&lt;/author&gt;&lt;/authors&gt;&lt;/contributors&gt;&lt;auth-address&gt;Department of Psychology, PO Box 77, Institute of Psychiatry, Denmark Hill, London SE5 8AF, UK. D.Freeman@iop.kcl.ac.uk&lt;/auth-address&gt;&lt;titles&gt;&lt;title&gt;Psychological investigation of the structure of paranoia in a non-clinical population&lt;/title&gt;&lt;secondary-title&gt;Br J Psychiatry&lt;/secondary-title&gt;&lt;/titles&gt;&lt;periodical&gt;&lt;full-title&gt;Br J Psychiatry&lt;/full-title&gt;&lt;/periodical&gt;&lt;pages&gt;427-35&lt;/pages&gt;&lt;volume&gt;186&lt;/volume&gt;&lt;keywords&gt;&lt;keyword&gt;Adaptation, Psychological&lt;/keyword&gt;&lt;keyword&gt;Adolescent&lt;/keyword&gt;&lt;keyword&gt;Adult&lt;/keyword&gt;&lt;keyword&gt;Attitude to Health&lt;/keyword&gt;&lt;keyword&gt;Female&lt;/keyword&gt;&lt;keyword&gt;Humans&lt;/keyword&gt;&lt;keyword&gt;Male&lt;/keyword&gt;&lt;keyword&gt;Middle Aged&lt;/keyword&gt;&lt;keyword&gt;Paranoid Disorders/*psychology&lt;/keyword&gt;&lt;keyword&gt;Psychological Tests/standards&lt;/keyword&gt;&lt;keyword&gt;Sensitivity and Specificity&lt;/keyword&gt;&lt;keyword&gt;Surveys and Questionnaires/standards&lt;/keyword&gt;&lt;keyword&gt;*Thinking&lt;/keyword&gt;&lt;/keywords&gt;&lt;dates&gt;&lt;year&gt;2005&lt;/year&gt;&lt;pub-dates&gt;&lt;date&gt;May&lt;/date&gt;&lt;/pub-dates&gt;&lt;/dates&gt;&lt;isbn&gt;0007-1250 (Print)&amp;#xD;0007-1250&lt;/isbn&gt;&lt;accession-num&gt;15863749&lt;/accession-num&gt;&lt;urls&gt;&lt;/urls&gt;&lt;electronic-resource-num&gt;10.1192/bjp.186.5.427&lt;/electronic-resource-num&gt;&lt;remote-database-provider&gt;NLM&lt;/remote-database-provider&gt;&lt;language&gt;eng&lt;/language&gt;&lt;/record&gt;&lt;/Cite&gt;&lt;/EndNote&gt;</w:instrText>
      </w:r>
      <w:r w:rsidRPr="004D46AC">
        <w:fldChar w:fldCharType="separate"/>
      </w:r>
      <w:r w:rsidRPr="004D46AC">
        <w:t>(Freeman et al., 2005)</w:t>
      </w:r>
      <w:r w:rsidRPr="004D46AC">
        <w:fldChar w:fldCharType="end"/>
      </w:r>
      <w:r w:rsidRPr="004D46AC">
        <w:t>. Similarly, identity confusion</w:t>
      </w:r>
      <w:r w:rsidRPr="004D46AC">
        <w:rPr>
          <w:rFonts w:hint="eastAsia"/>
        </w:rPr>
        <w:t xml:space="preserve">, </w:t>
      </w:r>
      <w:r w:rsidRPr="004D46AC">
        <w:t>identified in this study as a central bridge symptom</w:t>
      </w:r>
      <w:r w:rsidRPr="004D46AC">
        <w:rPr>
          <w:rFonts w:hint="eastAsia"/>
        </w:rPr>
        <w:t xml:space="preserve">, </w:t>
      </w:r>
      <w:r w:rsidRPr="004D46AC">
        <w:t xml:space="preserve">may disrupt self-coherence and broader psychological functioning, potentially instigating a range of mental health difficulties </w:t>
      </w:r>
      <w:r w:rsidRPr="004D46AC">
        <w:fldChar w:fldCharType="begin"/>
      </w:r>
      <w:r w:rsidRPr="004D46AC">
        <w:instrText xml:space="preserve"> ADDIN EN.CITE &lt;EndNote&gt;&lt;Cite&gt;&lt;Author&gt;Klimstra&lt;/Author&gt;&lt;Year&gt;2017&lt;/Year&gt;&lt;RecNum&gt;994&lt;/RecNum&gt;&lt;DisplayText&gt;(Klimstra &amp;amp; Denissen, 2017)&lt;/DisplayText&gt;&lt;record&gt;&lt;rec-number&gt;994&lt;/rec-number&gt;&lt;foreign-keys&gt;&lt;key app="EN" db-id="aet009sstawa0hewvt3xwf5atffdw2dt02sw" timestamp="1744138541"&gt;994&lt;/key&gt;&lt;/foreign-keys&gt;&lt;ref-type name="Journal Article"&gt;17&lt;/ref-type&gt;&lt;contributors&gt;&lt;authors&gt;&lt;author&gt;Klimstra, T. A.&lt;/author&gt;&lt;author&gt;Denissen, J. J. A.&lt;/author&gt;&lt;/authors&gt;&lt;/contributors&gt;&lt;auth-address&gt;Department of Developmental Psychology, Tilburg University.&lt;/auth-address&gt;&lt;titles&gt;&lt;title&gt;A theoretical framework for the associations between identity and psychopathology&lt;/title&gt;&lt;secondary-title&gt;Dev Psychol&lt;/secondary-title&gt;&lt;/titles&gt;&lt;periodical&gt;&lt;full-title&gt;Dev Psychol&lt;/full-title&gt;&lt;/periodical&gt;&lt;pages&gt;2052-2065&lt;/pages&gt;&lt;volume&gt;53&lt;/volume&gt;&lt;number&gt;11&lt;/number&gt;&lt;keywords&gt;&lt;keyword&gt;Humans&lt;/keyword&gt;&lt;keyword&gt;Identification, Psychological&lt;/keyword&gt;&lt;keyword&gt;*Mental Disorders&lt;/keyword&gt;&lt;keyword&gt;*Models, Psychological&lt;/keyword&gt;&lt;keyword&gt;Research Design&lt;/keyword&gt;&lt;keyword&gt;*Self Concept&lt;/keyword&gt;&lt;keyword&gt;Social Identification&lt;/keyword&gt;&lt;/keywords&gt;&lt;dates&gt;&lt;year&gt;2017&lt;/year&gt;&lt;pub-dates&gt;&lt;date&gt;Nov&lt;/date&gt;&lt;/pub-dates&gt;&lt;/dates&gt;&lt;isbn&gt;0012-1649&lt;/isbn&gt;&lt;accession-num&gt;29094969&lt;/accession-num&gt;&lt;urls&gt;&lt;/urls&gt;&lt;electronic-resource-num&gt;10.1037/dev0000356&lt;/electronic-resource-num&gt;&lt;remote-database-provider&gt;NLM&lt;/remote-database-provider&gt;&lt;language&gt;eng&lt;/language&gt;&lt;/record&gt;&lt;/Cite&gt;&lt;/EndNote&gt;</w:instrText>
      </w:r>
      <w:r w:rsidRPr="004D46AC">
        <w:fldChar w:fldCharType="separate"/>
      </w:r>
      <w:r w:rsidRPr="004D46AC">
        <w:t>(Klimstra &amp; Denissen, 2017)</w:t>
      </w:r>
      <w:r w:rsidRPr="004D46AC">
        <w:fldChar w:fldCharType="end"/>
      </w:r>
      <w:r w:rsidRPr="004D46AC">
        <w:t xml:space="preserve"> . Targeted interventions, including cognitive-behavioural therapy (CBT) and psychoeducation, could reduce risk by addressing these high-centrality symptoms. Furthermore, strengthening cognitive mechanisms such as theory of mind (</w:t>
      </w:r>
      <w:proofErr w:type="spellStart"/>
      <w:r w:rsidRPr="004D46AC">
        <w:t>ToM</w:t>
      </w:r>
      <w:proofErr w:type="spellEnd"/>
      <w:r w:rsidRPr="004D46AC">
        <w:t>) may offer additional protection against the development of psychosis, as supported by prior evidence</w:t>
      </w:r>
      <w:r w:rsidRPr="004D46AC">
        <w:rPr>
          <w:rFonts w:hint="eastAsia"/>
        </w:rPr>
        <w:t xml:space="preserve"> </w:t>
      </w:r>
      <w:r w:rsidRPr="004D46AC">
        <w:fldChar w:fldCharType="begin">
          <w:fldData xml:space="preserve">PEVuZE5vdGU+PENpdGU+PEF1dGhvcj5Cb3JhPC9BdXRob3I+PFllYXI+MjAwOTwvWWVhcj48UmVj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</w:fldData>
        </w:fldChar>
      </w:r>
      <w:r w:rsidRPr="004D46AC">
        <w:instrText xml:space="preserve"> ADDIN EN.CITE </w:instrText>
      </w:r>
      <w:r w:rsidRPr="004D46AC">
        <w:fldChar w:fldCharType="begin">
          <w:fldData xml:space="preserve">PEVuZE5vdGU+PENpdGU+PEF1dGhvcj5Cb3JhPC9BdXRob3I+PFllYXI+MjAwOTwvWWVhcj48UmVj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</w:fldData>
        </w:fldChar>
      </w:r>
      <w:r w:rsidRPr="004D46AC">
        <w:instrText xml:space="preserve"> ADDIN EN.CITE.DATA </w:instrText>
      </w:r>
      <w:r w:rsidRPr="004D46AC">
        <w:fldChar w:fldCharType="end"/>
      </w:r>
      <w:r w:rsidRPr="004D46AC">
        <w:fldChar w:fldCharType="separate"/>
      </w:r>
      <w:r w:rsidRPr="004D46AC">
        <w:t>(Bora et al., 2009; Murphy et al., 2018; So et al., 2016; Tiernan et al., 2014)</w:t>
      </w:r>
      <w:r w:rsidRPr="004D46AC">
        <w:fldChar w:fldCharType="end"/>
      </w:r>
      <w:r w:rsidRPr="004D46AC">
        <w:t>. Still, these implications should be drawn carefully, as the network approach has methodological constraints and the observed associations do not imply causation.</w:t>
      </w:r>
    </w:p>
    <w:p w14:paraId="7B3ABA86" w14:textId="77777777" w:rsidR="007075D9" w:rsidRPr="004D46AC" w:rsidRDefault="007075D9" w:rsidP="00B518F1">
      <w:pPr>
        <w:pStyle w:val="3"/>
        <w:rPr>
          <w:rFonts w:eastAsiaTheme="minorEastAsia"/>
        </w:rPr>
      </w:pPr>
      <w:r w:rsidRPr="004D46AC">
        <w:rPr>
          <w:rFonts w:hint="eastAsia"/>
        </w:rPr>
        <w:t xml:space="preserve">Limitations </w:t>
      </w:r>
    </w:p>
    <w:p w14:paraId="1712A995" w14:textId="77777777" w:rsidR="007075D9" w:rsidRPr="004D46AC" w:rsidRDefault="007075D9" w:rsidP="00B518F1">
      <w:pPr>
        <w:ind w:firstLine="660"/>
      </w:pPr>
      <w:r w:rsidRPr="004D46AC">
        <w:t>The TRACE demonstrated good validity and reliability, benefiting from a nationally representative sample and robust statistical analyses. Moreover, the network structure was explored in an innovative manner, with consistent findings observed across models and populations. However, the generalisability of these findings to external populations or contexts may be limited for the following reasons.</w:t>
      </w:r>
      <w:r w:rsidRPr="004D46AC">
        <w:rPr>
          <w:rFonts w:hint="eastAsia"/>
        </w:rPr>
        <w:t xml:space="preserve"> </w:t>
      </w:r>
    </w:p>
    <w:p w14:paraId="42007931" w14:textId="77777777" w:rsidR="007075D9" w:rsidRPr="004D46AC" w:rsidRDefault="007075D9" w:rsidP="00B518F1">
      <w:pPr>
        <w:ind w:firstLine="660"/>
      </w:pPr>
      <w:r w:rsidRPr="004D46AC">
        <w:t xml:space="preserve">Psychometric findings should be interpreted considering several limitations. First, the present study was conducted using an online survey. Although multiple quality-control procedures were implemented to enhance data robustness, the results may still have been </w:t>
      </w:r>
      <w:r w:rsidRPr="004D46AC">
        <w:lastRenderedPageBreak/>
        <w:t xml:space="preserve">influenced by response biases, such as inattentive or satisficing responding, as well as variations in the contexts in which participants completed the survey. Future research should seek to replicate these findings using study designs that allow for </w:t>
      </w:r>
      <w:r w:rsidRPr="004D46AC">
        <w:rPr>
          <w:rFonts w:hint="eastAsia"/>
        </w:rPr>
        <w:t>more rigorous control over</w:t>
      </w:r>
      <w:r w:rsidRPr="004D46AC">
        <w:t xml:space="preserve"> </w:t>
      </w:r>
      <w:r w:rsidRPr="004D46AC">
        <w:rPr>
          <w:rFonts w:hint="eastAsia"/>
        </w:rPr>
        <w:t>testing procedure</w:t>
      </w:r>
      <w:r w:rsidRPr="004D46AC">
        <w:t xml:space="preserve"> (e.g., standardised testing environments).</w:t>
      </w:r>
      <w:r w:rsidRPr="004D46AC">
        <w:rPr>
          <w:rFonts w:hint="eastAsia"/>
        </w:rPr>
        <w:t xml:space="preserve"> </w:t>
      </w:r>
      <w:r w:rsidRPr="004D46AC">
        <w:t>Second,</w:t>
      </w:r>
      <w:r w:rsidRPr="004D46AC">
        <w:rPr>
          <w:rFonts w:hint="eastAsia"/>
        </w:rPr>
        <w:t xml:space="preserve"> </w:t>
      </w:r>
      <w:r w:rsidRPr="004D46AC">
        <w:t>the current design of the TRACE may be limited by the still incomplete understanding of at-risk states. Only features from a subset of conditions were included, while others were omitted. For example, somatic symptoms have been shown to predict the onset of mental illness longitudinally. Future research should aim to develop more comprehensive assessments as the understanding of at-risk states advances.</w:t>
      </w:r>
      <w:r w:rsidRPr="004D46AC">
        <w:rPr>
          <w:rFonts w:hint="eastAsia"/>
        </w:rPr>
        <w:t xml:space="preserve"> </w:t>
      </w:r>
      <w:r w:rsidRPr="004D46AC">
        <w:t>Third and most importantly, although advanced statistical methods were used to identify latent classes from the empirical data, it remains unclear how well the high-risk status corresponds with other clinical assessments, as well as its validity within at-risk populations. Further research is warranted to examine this issue using established clinical tools and in well-defined at-risk groups.</w:t>
      </w:r>
      <w:r w:rsidRPr="004D46AC">
        <w:rPr>
          <w:rFonts w:hint="eastAsia"/>
        </w:rPr>
        <w:t xml:space="preserve"> </w:t>
      </w:r>
    </w:p>
    <w:p w14:paraId="6532BF34" w14:textId="558FBD9A" w:rsidR="007075D9" w:rsidRPr="004D46AC" w:rsidRDefault="007075D9" w:rsidP="00CC3324">
      <w:pPr>
        <w:ind w:firstLine="660"/>
        <w:rPr>
          <w:rFonts w:eastAsiaTheme="minorEastAsia"/>
        </w:rPr>
      </w:pPr>
      <w:r w:rsidRPr="004D46AC">
        <w:t>Similarly, the network findings may be subject to several limitations. First, the self-report nature of the questionnaire, combined with online data collection, may have introduced reporting biases. Future studies should aim to replicate these findings using structured clinical interviews (e.g., SIPS, BPSS-P). Secondly, Bayesian network models derived from cross-sectional data provide limited evidence regarding causality. Furthermore, standard BN algorithms are constrained to DAGs and cannot explicitly model cyclic relationships. Consequently, edges with unstable directionality (confidence index 40%59%) were interpreted as potential bidirectional relationships. This interpretation aligns with theoretical expectations of symptom reciprocity, effectively representing statistical equivalence in a cross-sectional model.</w:t>
      </w:r>
      <w:r w:rsidRPr="004D46AC">
        <w:rPr>
          <w:rFonts w:hint="eastAsia"/>
        </w:rPr>
        <w:t xml:space="preserve"> </w:t>
      </w:r>
      <w:r w:rsidRPr="004D46AC">
        <w:t>Therefore, longitudinal designs are required to definitively map temporal feedback loops.</w:t>
      </w:r>
      <w:r w:rsidRPr="004D46AC">
        <w:rPr>
          <w:rFonts w:hint="eastAsia"/>
        </w:rPr>
        <w:t xml:space="preserve"> </w:t>
      </w:r>
      <w:r w:rsidRPr="004D46AC">
        <w:t>Third, the limited sample size in the adolescent subgroup may have reduced the stability and generalisability of age-related network comparisons, as indicated by lower correlation stability coefficients. Future research should replicate these analyses with larger developmental subsamples to improve statistical power and robustness.</w:t>
      </w:r>
      <w:r w:rsidRPr="004D46AC">
        <w:rPr>
          <w:rFonts w:hint="eastAsia"/>
        </w:rPr>
        <w:t xml:space="preserve"> </w:t>
      </w:r>
    </w:p>
    <w:p w14:paraId="66DE14B1" w14:textId="77777777" w:rsidR="007075D9" w:rsidRPr="004D46AC" w:rsidRDefault="007075D9" w:rsidP="00B518F1">
      <w:pPr>
        <w:pStyle w:val="2"/>
      </w:pPr>
      <w:bookmarkStart w:id="282" w:name="_Toc219888786"/>
      <w:r w:rsidRPr="004D46AC">
        <w:rPr>
          <w:rFonts w:hint="eastAsia"/>
        </w:rPr>
        <w:lastRenderedPageBreak/>
        <w:t>Conclusion</w:t>
      </w:r>
      <w:bookmarkEnd w:id="282"/>
    </w:p>
    <w:p w14:paraId="70CCAC3B" w14:textId="77777777" w:rsidR="007075D9" w:rsidRPr="004D46AC" w:rsidRDefault="007075D9" w:rsidP="00B518F1">
      <w:pPr>
        <w:ind w:firstLine="660"/>
      </w:pPr>
      <w:r w:rsidRPr="004D46AC">
        <w:t>To summarise, the present study developed the TRACE and evaluated its structure in a large UK cohort of young people. The TRACE comprised three highly correlated dimensions</w:t>
      </w:r>
      <w:r w:rsidRPr="004D46AC">
        <w:rPr>
          <w:rFonts w:hint="eastAsia"/>
        </w:rPr>
        <w:t xml:space="preserve"> (e.g., </w:t>
      </w:r>
      <w:r w:rsidRPr="004D46AC">
        <w:t>affective-cognitive dysregulation, reality distortion and hypomania</w:t>
      </w:r>
      <w:r w:rsidRPr="004D46AC">
        <w:rPr>
          <w:rFonts w:hint="eastAsia"/>
        </w:rPr>
        <w:t xml:space="preserve">) </w:t>
      </w:r>
      <w:r w:rsidRPr="004D46AC">
        <w:t>which demonstrated excellent structural validity and reliability. Latent class-derived cut-offs also showed strong convergent and divergent validity with external psychopathology measures, supporting the utility of the TRACE as a rapid screening tool for a potential pluripotential at-risk state.</w:t>
      </w:r>
      <w:r w:rsidRPr="004D46AC">
        <w:rPr>
          <w:rFonts w:hint="eastAsia"/>
        </w:rPr>
        <w:t xml:space="preserve"> </w:t>
      </w:r>
      <w:r w:rsidRPr="004D46AC">
        <w:t xml:space="preserve">Through the application of Ising and Bayesian network models, we also provided novel insights into the structure of </w:t>
      </w:r>
      <w:r w:rsidRPr="004D46AC">
        <w:rPr>
          <w:rFonts w:hint="eastAsia"/>
        </w:rPr>
        <w:t xml:space="preserve">at-risk symptoms in young </w:t>
      </w:r>
      <w:r w:rsidRPr="004D46AC">
        <w:t>people. Findings highlighted the central roles of suspiciousness and identity confusion within symptom networks and suggested that cognitive</w:t>
      </w:r>
      <w:r w:rsidRPr="004D46AC">
        <w:rPr>
          <w:rFonts w:hint="eastAsia"/>
        </w:rPr>
        <w:t>-</w:t>
      </w:r>
      <w:r w:rsidRPr="004D46AC">
        <w:t xml:space="preserve">affective </w:t>
      </w:r>
      <w:r w:rsidRPr="004D46AC">
        <w:rPr>
          <w:rFonts w:hint="eastAsia"/>
        </w:rPr>
        <w:t>dysregulation</w:t>
      </w:r>
      <w:r w:rsidRPr="004D46AC">
        <w:t xml:space="preserve"> may precede the emergence of psychiatric disorders. Although age- and gender-related differences in symptom severity were observed, the broader structural organisation of symptoms remained largely stable, aligning with transdiagnostic frameworks such as the general “p” factor. These results further offer preliminary support for developmental and gender-specific pathways in the expression of </w:t>
      </w:r>
      <w:r w:rsidRPr="004D46AC">
        <w:rPr>
          <w:rFonts w:hint="eastAsia"/>
        </w:rPr>
        <w:t>at-risk</w:t>
      </w:r>
      <w:r w:rsidRPr="004D46AC">
        <w:t xml:space="preserve"> psychopathology.</w:t>
      </w:r>
      <w:r w:rsidRPr="004D46AC">
        <w:rPr>
          <w:rFonts w:hint="eastAsia"/>
        </w:rPr>
        <w:t xml:space="preserve"> </w:t>
      </w:r>
      <w:r w:rsidRPr="004D46AC">
        <w:t xml:space="preserve">Importantly, the findings identify potential intervention targets—such as suspiciousness, identity confusion and affective dysregulation—for early identification and prevention of progression toward </w:t>
      </w:r>
      <w:r w:rsidRPr="004D46AC">
        <w:rPr>
          <w:rFonts w:hint="eastAsia"/>
        </w:rPr>
        <w:t>severe mental illnesses</w:t>
      </w:r>
      <w:r w:rsidRPr="004D46AC">
        <w:t xml:space="preserve">. Future research should aim to replicate </w:t>
      </w:r>
      <w:r w:rsidRPr="004D46AC">
        <w:rPr>
          <w:rFonts w:hint="eastAsia"/>
        </w:rPr>
        <w:t>or</w:t>
      </w:r>
      <w:r w:rsidRPr="004D46AC">
        <w:t xml:space="preserve"> refine the TRACE in diverse populations, evaluate its validity using structured clinical interviews, and investigate the longitudinal development of these symptom structures. In addition, applying modelling approaches capable of inferring temporal and causal relationships will be essential for tracing pathways from at-risk symptoms to the onset of </w:t>
      </w:r>
      <w:r w:rsidRPr="004D46AC">
        <w:rPr>
          <w:rFonts w:hint="eastAsia"/>
        </w:rPr>
        <w:t>psychiatric conditions</w:t>
      </w:r>
      <w:r w:rsidRPr="004D46AC">
        <w:t>.</w:t>
      </w:r>
    </w:p>
    <w:p w14:paraId="76F83CC8" w14:textId="77777777" w:rsidR="007075D9" w:rsidRPr="004D46AC" w:rsidRDefault="007075D9" w:rsidP="00B518F1">
      <w:pPr>
        <w:ind w:firstLine="660"/>
      </w:pPr>
    </w:p>
    <w:p w14:paraId="2C40AD7C" w14:textId="77777777" w:rsidR="007075D9" w:rsidRPr="004D46AC" w:rsidRDefault="007075D9" w:rsidP="00B518F1">
      <w:pPr>
        <w:ind w:firstLine="0"/>
        <w:rPr>
          <w:rFonts w:eastAsiaTheme="minorEastAsia"/>
        </w:rPr>
      </w:pPr>
    </w:p>
    <w:p w14:paraId="484C2605" w14:textId="77777777" w:rsidR="007075D9" w:rsidRPr="004D46AC" w:rsidRDefault="007075D9" w:rsidP="00B518F1">
      <w:pPr>
        <w:ind w:firstLine="660"/>
      </w:pPr>
    </w:p>
    <w:p w14:paraId="2C5B5B98" w14:textId="77777777" w:rsidR="007075D9" w:rsidRPr="004D46AC" w:rsidRDefault="007075D9" w:rsidP="00B518F1"/>
    <w:p w14:paraId="47D59E86" w14:textId="5CBFBAAF" w:rsidR="007075D9" w:rsidRPr="004D46AC" w:rsidRDefault="007075D9" w:rsidP="00B518F1">
      <w:pPr>
        <w:pStyle w:val="2"/>
        <w:rPr>
          <w:rFonts w:eastAsiaTheme="minorEastAsia"/>
        </w:rPr>
      </w:pPr>
      <w:bookmarkStart w:id="283" w:name="_Toc219888787"/>
      <w:r w:rsidRPr="004D46AC">
        <w:lastRenderedPageBreak/>
        <w:t>R</w:t>
      </w:r>
      <w:r w:rsidRPr="004D46AC">
        <w:rPr>
          <w:rFonts w:hint="eastAsia"/>
        </w:rPr>
        <w:t>eferenc</w:t>
      </w:r>
      <w:bookmarkEnd w:id="283"/>
      <w:r w:rsidR="004A63C4" w:rsidRPr="004D46AC">
        <w:rPr>
          <w:rFonts w:eastAsiaTheme="minorEastAsia" w:hint="eastAsia"/>
        </w:rPr>
        <w:t>es</w:t>
      </w:r>
    </w:p>
    <w:p w14:paraId="692F5F6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Altamura, A. C., Marta, S., &amp; and </w:t>
      </w:r>
      <w:proofErr w:type="spellStart"/>
      <w:r w:rsidRPr="004D46AC">
        <w:rPr>
          <w:rFonts w:ascii="Arial" w:hAnsi="Arial" w:cs="Arial"/>
          <w:szCs w:val="22"/>
        </w:rPr>
        <w:t>Buoli</w:t>
      </w:r>
      <w:proofErr w:type="spellEnd"/>
      <w:r w:rsidRPr="004D46AC">
        <w:rPr>
          <w:rFonts w:ascii="Arial" w:hAnsi="Arial" w:cs="Arial"/>
          <w:szCs w:val="22"/>
        </w:rPr>
        <w:t xml:space="preserve">, M. (2015). Is duration of illness really influencing outcome in major psychoses? </w:t>
      </w:r>
      <w:r w:rsidRPr="004D46AC">
        <w:rPr>
          <w:rFonts w:ascii="Arial" w:hAnsi="Arial" w:cs="Arial"/>
          <w:i/>
          <w:szCs w:val="22"/>
        </w:rPr>
        <w:t>Nordic Journal of Psychiatry</w:t>
      </w:r>
      <w:r w:rsidRPr="004D46AC">
        <w:rPr>
          <w:rFonts w:ascii="Arial" w:hAnsi="Arial" w:cs="Arial"/>
          <w:szCs w:val="22"/>
        </w:rPr>
        <w:t>,</w:t>
      </w:r>
      <w:r w:rsidRPr="004D46AC">
        <w:rPr>
          <w:rFonts w:ascii="Arial" w:hAnsi="Arial" w:cs="Arial"/>
          <w:i/>
          <w:szCs w:val="22"/>
        </w:rPr>
        <w:t xml:space="preserve"> 69</w:t>
      </w:r>
      <w:r w:rsidRPr="004D46AC">
        <w:rPr>
          <w:rFonts w:ascii="Arial" w:hAnsi="Arial" w:cs="Arial"/>
          <w:szCs w:val="22"/>
        </w:rPr>
        <w:t xml:space="preserve">(6), 1685-1699. https://doi.org/10.3109/08039488.2014.990919 </w:t>
      </w:r>
    </w:p>
    <w:p w14:paraId="596B113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American Psychiatric Association, </w:t>
      </w:r>
      <w:proofErr w:type="spellStart"/>
      <w:r w:rsidRPr="004D46AC">
        <w:rPr>
          <w:rFonts w:ascii="Arial" w:hAnsi="Arial" w:cs="Arial"/>
          <w:szCs w:val="22"/>
        </w:rPr>
        <w:t>i</w:t>
      </w:r>
      <w:proofErr w:type="spellEnd"/>
      <w:r w:rsidRPr="004D46AC">
        <w:rPr>
          <w:rFonts w:ascii="Arial" w:hAnsi="Arial" w:cs="Arial"/>
          <w:szCs w:val="22"/>
        </w:rPr>
        <w:t xml:space="preserve">. b. (2022). </w:t>
      </w:r>
      <w:r w:rsidRPr="004D46AC">
        <w:rPr>
          <w:rFonts w:ascii="Arial" w:hAnsi="Arial" w:cs="Arial"/>
          <w:i/>
          <w:szCs w:val="22"/>
        </w:rPr>
        <w:t xml:space="preserve">Diagnostic and statistical manual of mental </w:t>
      </w:r>
      <w:proofErr w:type="gramStart"/>
      <w:r w:rsidRPr="004D46AC">
        <w:rPr>
          <w:rFonts w:ascii="Arial" w:hAnsi="Arial" w:cs="Arial"/>
          <w:i/>
          <w:szCs w:val="22"/>
        </w:rPr>
        <w:t>disorders :</w:t>
      </w:r>
      <w:proofErr w:type="gramEnd"/>
      <w:r w:rsidRPr="004D46AC">
        <w:rPr>
          <w:rFonts w:ascii="Arial" w:hAnsi="Arial" w:cs="Arial"/>
          <w:i/>
          <w:szCs w:val="22"/>
        </w:rPr>
        <w:t xml:space="preserve"> DSM-5-TR</w:t>
      </w:r>
      <w:r w:rsidRPr="004D46AC">
        <w:rPr>
          <w:rFonts w:ascii="Arial" w:hAnsi="Arial" w:cs="Arial"/>
          <w:szCs w:val="22"/>
        </w:rPr>
        <w:t xml:space="preserve"> (5th edition, text revision. ed.). Washington, </w:t>
      </w:r>
      <w:proofErr w:type="gramStart"/>
      <w:r w:rsidRPr="004D46AC">
        <w:rPr>
          <w:rFonts w:ascii="Arial" w:hAnsi="Arial" w:cs="Arial"/>
          <w:szCs w:val="22"/>
        </w:rPr>
        <w:t>DC :</w:t>
      </w:r>
      <w:proofErr w:type="gramEnd"/>
      <w:r w:rsidRPr="004D46AC">
        <w:rPr>
          <w:rFonts w:ascii="Arial" w:hAnsi="Arial" w:cs="Arial"/>
          <w:szCs w:val="22"/>
        </w:rPr>
        <w:t xml:space="preserve"> American Psychiatric Association Publishing, 2022. </w:t>
      </w:r>
    </w:p>
    <w:p w14:paraId="7B811471"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Ancin</w:t>
      </w:r>
      <w:proofErr w:type="spellEnd"/>
      <w:r w:rsidRPr="004D46AC">
        <w:rPr>
          <w:rFonts w:ascii="Arial" w:hAnsi="Arial" w:cs="Arial"/>
          <w:szCs w:val="22"/>
        </w:rPr>
        <w:t xml:space="preserve">, I., Cabranes, J. A., Santos, J. L., Sanchez-Morla, E., &amp; Barabash, A. (2013). Executive deficits: a continuum schizophrenia-bipolar disorder or specific to schizophrenia? </w:t>
      </w:r>
      <w:r w:rsidRPr="004D46AC">
        <w:rPr>
          <w:rFonts w:ascii="Arial" w:hAnsi="Arial" w:cs="Arial"/>
          <w:i/>
          <w:szCs w:val="22"/>
        </w:rPr>
        <w:t xml:space="preserve">J </w:t>
      </w:r>
      <w:proofErr w:type="spellStart"/>
      <w:r w:rsidRPr="004D46AC">
        <w:rPr>
          <w:rFonts w:ascii="Arial" w:hAnsi="Arial" w:cs="Arial"/>
          <w:i/>
          <w:szCs w:val="22"/>
        </w:rPr>
        <w:t>Psychiatr</w:t>
      </w:r>
      <w:proofErr w:type="spellEnd"/>
      <w:r w:rsidRPr="004D46AC">
        <w:rPr>
          <w:rFonts w:ascii="Arial" w:hAnsi="Arial" w:cs="Arial"/>
          <w:i/>
          <w:szCs w:val="22"/>
        </w:rPr>
        <w:t xml:space="preserve"> Res</w:t>
      </w:r>
      <w:r w:rsidRPr="004D46AC">
        <w:rPr>
          <w:rFonts w:ascii="Arial" w:hAnsi="Arial" w:cs="Arial"/>
          <w:szCs w:val="22"/>
        </w:rPr>
        <w:t>,</w:t>
      </w:r>
      <w:r w:rsidRPr="004D46AC">
        <w:rPr>
          <w:rFonts w:ascii="Arial" w:hAnsi="Arial" w:cs="Arial"/>
          <w:i/>
          <w:szCs w:val="22"/>
        </w:rPr>
        <w:t xml:space="preserve"> 47</w:t>
      </w:r>
      <w:r w:rsidRPr="004D46AC">
        <w:rPr>
          <w:rFonts w:ascii="Arial" w:hAnsi="Arial" w:cs="Arial"/>
          <w:szCs w:val="22"/>
        </w:rPr>
        <w:t xml:space="preserve">(11), 1564-1571. https://doi.org/10.1016/j.jpsychires.2013.07.008 </w:t>
      </w:r>
    </w:p>
    <w:p w14:paraId="21FA379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Baldassano, C. F., Marangell, L. B., Gyulai, L., Nassir Ghaemi, S., Joffe, H., Kim, D. R., </w:t>
      </w:r>
      <w:proofErr w:type="spellStart"/>
      <w:r w:rsidRPr="004D46AC">
        <w:rPr>
          <w:rFonts w:ascii="Arial" w:hAnsi="Arial" w:cs="Arial"/>
          <w:szCs w:val="22"/>
        </w:rPr>
        <w:t>Sagduyu</w:t>
      </w:r>
      <w:proofErr w:type="spellEnd"/>
      <w:r w:rsidRPr="004D46AC">
        <w:rPr>
          <w:rFonts w:ascii="Arial" w:hAnsi="Arial" w:cs="Arial"/>
          <w:szCs w:val="22"/>
        </w:rPr>
        <w:t xml:space="preserve">, K., Truman, C. J., Wisniewski, S. R., Sachs, G. S., &amp; Cohen, L. S. (2005). Gender differences in bipolar disorder: retrospective data from the first 500 STEP-BD participants. </w:t>
      </w:r>
      <w:r w:rsidRPr="004D46AC">
        <w:rPr>
          <w:rFonts w:ascii="Arial" w:hAnsi="Arial" w:cs="Arial"/>
          <w:i/>
          <w:szCs w:val="22"/>
        </w:rPr>
        <w:t>Bipolar Disorders</w:t>
      </w:r>
      <w:r w:rsidRPr="004D46AC">
        <w:rPr>
          <w:rFonts w:ascii="Arial" w:hAnsi="Arial" w:cs="Arial"/>
          <w:szCs w:val="22"/>
        </w:rPr>
        <w:t>,</w:t>
      </w:r>
      <w:r w:rsidRPr="004D46AC">
        <w:rPr>
          <w:rFonts w:ascii="Arial" w:hAnsi="Arial" w:cs="Arial"/>
          <w:i/>
          <w:szCs w:val="22"/>
        </w:rPr>
        <w:t xml:space="preserve"> 7</w:t>
      </w:r>
      <w:r w:rsidRPr="004D46AC">
        <w:rPr>
          <w:rFonts w:ascii="Arial" w:hAnsi="Arial" w:cs="Arial"/>
          <w:szCs w:val="22"/>
        </w:rPr>
        <w:t xml:space="preserve">(5), 465-470. https://doi.org/https://doi.org/10.1111/j.1399-5618.2005.00237.x </w:t>
      </w:r>
    </w:p>
    <w:p w14:paraId="1733CED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Barajas, A., Ochoa, S., Obiols, J. E., &amp; </w:t>
      </w:r>
      <w:proofErr w:type="spellStart"/>
      <w:r w:rsidRPr="004D46AC">
        <w:rPr>
          <w:rFonts w:ascii="Arial" w:hAnsi="Arial" w:cs="Arial"/>
          <w:szCs w:val="22"/>
        </w:rPr>
        <w:t>Lalucat</w:t>
      </w:r>
      <w:proofErr w:type="spellEnd"/>
      <w:r w:rsidRPr="004D46AC">
        <w:rPr>
          <w:rFonts w:ascii="Arial" w:hAnsi="Arial" w:cs="Arial"/>
          <w:szCs w:val="22"/>
        </w:rPr>
        <w:t xml:space="preserve">-Jo, L. (2015). Gender Differences in Individuals at High-Risk of Psychosis: A Comprehensive Literature Review. </w:t>
      </w:r>
      <w:r w:rsidRPr="004D46AC">
        <w:rPr>
          <w:rFonts w:ascii="Arial" w:hAnsi="Arial" w:cs="Arial"/>
          <w:i/>
          <w:szCs w:val="22"/>
        </w:rPr>
        <w:t>The Scientific World Journal</w:t>
      </w:r>
      <w:r w:rsidRPr="004D46AC">
        <w:rPr>
          <w:rFonts w:ascii="Arial" w:hAnsi="Arial" w:cs="Arial"/>
          <w:szCs w:val="22"/>
        </w:rPr>
        <w:t>,</w:t>
      </w:r>
      <w:r w:rsidRPr="004D46AC">
        <w:rPr>
          <w:rFonts w:ascii="Arial" w:hAnsi="Arial" w:cs="Arial"/>
          <w:i/>
          <w:szCs w:val="22"/>
        </w:rPr>
        <w:t xml:space="preserve"> 2015</w:t>
      </w:r>
      <w:r w:rsidRPr="004D46AC">
        <w:rPr>
          <w:rFonts w:ascii="Arial" w:hAnsi="Arial" w:cs="Arial"/>
          <w:szCs w:val="22"/>
        </w:rPr>
        <w:t xml:space="preserve">(1), 430735. https://doi.org/https://doi.org/10.1155/2015/430735 </w:t>
      </w:r>
    </w:p>
    <w:p w14:paraId="3993A570"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Bechdolf</w:t>
      </w:r>
      <w:proofErr w:type="spellEnd"/>
      <w:r w:rsidRPr="004D46AC">
        <w:rPr>
          <w:rFonts w:ascii="Arial" w:hAnsi="Arial" w:cs="Arial"/>
          <w:szCs w:val="22"/>
        </w:rPr>
        <w:t xml:space="preserve">, A., Nelson, B., Cotton, S. M., </w:t>
      </w:r>
      <w:proofErr w:type="spellStart"/>
      <w:r w:rsidRPr="004D46AC">
        <w:rPr>
          <w:rFonts w:ascii="Arial" w:hAnsi="Arial" w:cs="Arial"/>
          <w:szCs w:val="22"/>
        </w:rPr>
        <w:t>Chanen</w:t>
      </w:r>
      <w:proofErr w:type="spellEnd"/>
      <w:r w:rsidRPr="004D46AC">
        <w:rPr>
          <w:rFonts w:ascii="Arial" w:hAnsi="Arial" w:cs="Arial"/>
          <w:szCs w:val="22"/>
        </w:rPr>
        <w:t xml:space="preserve">, A., Thompson, A., Kettle, J., Conus, P., Amminger, G. P., Yung, A. R., Berk, M., &amp; McGorry, P. D. (2010). A preliminary evaluation of the validity of at-risk criteria for bipolar disorders in help-seeking adolescents and young adults. </w:t>
      </w:r>
      <w:r w:rsidRPr="004D46AC">
        <w:rPr>
          <w:rFonts w:ascii="Arial" w:hAnsi="Arial" w:cs="Arial"/>
          <w:i/>
          <w:szCs w:val="22"/>
        </w:rPr>
        <w:t xml:space="preserve">J Affect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127</w:t>
      </w:r>
      <w:r w:rsidRPr="004D46AC">
        <w:rPr>
          <w:rFonts w:ascii="Arial" w:hAnsi="Arial" w:cs="Arial"/>
          <w:szCs w:val="22"/>
        </w:rPr>
        <w:t xml:space="preserve">(1-3), 316-320. https://doi.org/10.1016/j.jad.2010.06.016 </w:t>
      </w:r>
    </w:p>
    <w:p w14:paraId="703E9985"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Bechdolf</w:t>
      </w:r>
      <w:proofErr w:type="spellEnd"/>
      <w:r w:rsidRPr="004D46AC">
        <w:rPr>
          <w:rFonts w:ascii="Arial" w:hAnsi="Arial" w:cs="Arial"/>
          <w:szCs w:val="22"/>
        </w:rPr>
        <w:t xml:space="preserve">, A., Ratheesh, A., Cotton, S. M., Nelson, B., </w:t>
      </w:r>
      <w:proofErr w:type="spellStart"/>
      <w:r w:rsidRPr="004D46AC">
        <w:rPr>
          <w:rFonts w:ascii="Arial" w:hAnsi="Arial" w:cs="Arial"/>
          <w:szCs w:val="22"/>
        </w:rPr>
        <w:t>Chanen</w:t>
      </w:r>
      <w:proofErr w:type="spellEnd"/>
      <w:r w:rsidRPr="004D46AC">
        <w:rPr>
          <w:rFonts w:ascii="Arial" w:hAnsi="Arial" w:cs="Arial"/>
          <w:szCs w:val="22"/>
        </w:rPr>
        <w:t xml:space="preserve">, A. M., Betts, J., Bingmann, T., Yung, A. R., Berk, M., &amp; McGorry, P. D. (2014). The predictive validity of bipolar at-risk (prodromal) criteria in help-seeking adolescents and young adults: a prospective study. </w:t>
      </w:r>
      <w:r w:rsidRPr="004D46AC">
        <w:rPr>
          <w:rFonts w:ascii="Arial" w:hAnsi="Arial" w:cs="Arial"/>
          <w:i/>
          <w:szCs w:val="22"/>
        </w:rPr>
        <w:t>Bipolar Disorders</w:t>
      </w:r>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(5), 493-504. https://doi.org/https://doi.org/10.1111/bdi.12205 </w:t>
      </w:r>
    </w:p>
    <w:p w14:paraId="2C94695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Beck, K., Andreou, C., </w:t>
      </w:r>
      <w:proofErr w:type="spellStart"/>
      <w:r w:rsidRPr="004D46AC">
        <w:rPr>
          <w:rFonts w:ascii="Arial" w:hAnsi="Arial" w:cs="Arial"/>
          <w:szCs w:val="22"/>
        </w:rPr>
        <w:t>Studerus</w:t>
      </w:r>
      <w:proofErr w:type="spellEnd"/>
      <w:r w:rsidRPr="004D46AC">
        <w:rPr>
          <w:rFonts w:ascii="Arial" w:hAnsi="Arial" w:cs="Arial"/>
          <w:szCs w:val="22"/>
        </w:rPr>
        <w:t xml:space="preserve">, E., Heitz, U., </w:t>
      </w:r>
      <w:proofErr w:type="spellStart"/>
      <w:r w:rsidRPr="004D46AC">
        <w:rPr>
          <w:rFonts w:ascii="Arial" w:hAnsi="Arial" w:cs="Arial"/>
          <w:szCs w:val="22"/>
        </w:rPr>
        <w:t>Ittig</w:t>
      </w:r>
      <w:proofErr w:type="spellEnd"/>
      <w:r w:rsidRPr="004D46AC">
        <w:rPr>
          <w:rFonts w:ascii="Arial" w:hAnsi="Arial" w:cs="Arial"/>
          <w:szCs w:val="22"/>
        </w:rPr>
        <w:t xml:space="preserve">, S., Leanza, L., &amp; </w:t>
      </w:r>
      <w:proofErr w:type="spellStart"/>
      <w:r w:rsidRPr="004D46AC">
        <w:rPr>
          <w:rFonts w:ascii="Arial" w:hAnsi="Arial" w:cs="Arial"/>
          <w:szCs w:val="22"/>
        </w:rPr>
        <w:t>Riecher</w:t>
      </w:r>
      <w:proofErr w:type="spellEnd"/>
      <w:r w:rsidRPr="004D46AC">
        <w:rPr>
          <w:rFonts w:ascii="Arial" w:hAnsi="Arial" w:cs="Arial"/>
          <w:szCs w:val="22"/>
        </w:rPr>
        <w:t xml:space="preserve">-Rössler, A. (2019). Clinical and functional long-term outcome of patients at clinical high risk (CHR) for psychosis without transition to psychosis: A systematic review. </w:t>
      </w:r>
      <w:r w:rsidRPr="004D46AC">
        <w:rPr>
          <w:rFonts w:ascii="Arial" w:hAnsi="Arial" w:cs="Arial"/>
          <w:i/>
          <w:szCs w:val="22"/>
        </w:rPr>
        <w:t>Schizophrenia Research</w:t>
      </w:r>
      <w:r w:rsidRPr="004D46AC">
        <w:rPr>
          <w:rFonts w:ascii="Arial" w:hAnsi="Arial" w:cs="Arial"/>
          <w:szCs w:val="22"/>
        </w:rPr>
        <w:t>,</w:t>
      </w:r>
      <w:r w:rsidRPr="004D46AC">
        <w:rPr>
          <w:rFonts w:ascii="Arial" w:hAnsi="Arial" w:cs="Arial"/>
          <w:i/>
          <w:szCs w:val="22"/>
        </w:rPr>
        <w:t xml:space="preserve"> 210</w:t>
      </w:r>
      <w:r w:rsidRPr="004D46AC">
        <w:rPr>
          <w:rFonts w:ascii="Arial" w:hAnsi="Arial" w:cs="Arial"/>
          <w:szCs w:val="22"/>
        </w:rPr>
        <w:t xml:space="preserve">, 39-47. https://doi.org/https://doi.org/10.1016/j.schres.2018.12.047 </w:t>
      </w:r>
    </w:p>
    <w:p w14:paraId="549B2446"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lastRenderedPageBreak/>
        <w:t>Benabarre</w:t>
      </w:r>
      <w:proofErr w:type="spellEnd"/>
      <w:r w:rsidRPr="004D46AC">
        <w:rPr>
          <w:rFonts w:ascii="Arial" w:hAnsi="Arial" w:cs="Arial"/>
          <w:szCs w:val="22"/>
        </w:rPr>
        <w:t xml:space="preserve">, A., Vieta, E., Colom, F., Martinez-Aran, A., </w:t>
      </w:r>
      <w:proofErr w:type="spellStart"/>
      <w:r w:rsidRPr="004D46AC">
        <w:rPr>
          <w:rFonts w:ascii="Arial" w:hAnsi="Arial" w:cs="Arial"/>
          <w:szCs w:val="22"/>
        </w:rPr>
        <w:t>Reinares</w:t>
      </w:r>
      <w:proofErr w:type="spellEnd"/>
      <w:r w:rsidRPr="004D46AC">
        <w:rPr>
          <w:rFonts w:ascii="Arial" w:hAnsi="Arial" w:cs="Arial"/>
          <w:szCs w:val="22"/>
        </w:rPr>
        <w:t xml:space="preserve">, M., &amp; Gasto, C. (2001). Bipolar disorder, schizoaffective disorder and schizophrenia: epidemiologic, clinical and prognostic differences. </w:t>
      </w:r>
      <w:proofErr w:type="spellStart"/>
      <w:r w:rsidRPr="004D46AC">
        <w:rPr>
          <w:rFonts w:ascii="Arial" w:hAnsi="Arial" w:cs="Arial"/>
          <w:i/>
          <w:szCs w:val="22"/>
        </w:rPr>
        <w:t>Eur</w:t>
      </w:r>
      <w:proofErr w:type="spellEnd"/>
      <w:r w:rsidRPr="004D46AC">
        <w:rPr>
          <w:rFonts w:ascii="Arial" w:hAnsi="Arial" w:cs="Arial"/>
          <w:i/>
          <w:szCs w:val="22"/>
        </w:rPr>
        <w:t xml:space="preserve"> Psychiatry</w:t>
      </w:r>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(3), 167-172. https://doi.org/10.1016/s0924-9338(01)00559-4 </w:t>
      </w:r>
    </w:p>
    <w:p w14:paraId="5ECB653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Bender, P. K., Reinholdt-Dunne, M. L., Esbjørn, B. H., &amp; Pons, F. (2012). Emotion dysregulation and anxiety in children and adolescents: Gender differences. </w:t>
      </w:r>
      <w:r w:rsidRPr="004D46AC">
        <w:rPr>
          <w:rFonts w:ascii="Arial" w:hAnsi="Arial" w:cs="Arial"/>
          <w:i/>
          <w:szCs w:val="22"/>
        </w:rPr>
        <w:t>Personality and Individual differences</w:t>
      </w:r>
      <w:r w:rsidRPr="004D46AC">
        <w:rPr>
          <w:rFonts w:ascii="Arial" w:hAnsi="Arial" w:cs="Arial"/>
          <w:szCs w:val="22"/>
        </w:rPr>
        <w:t>,</w:t>
      </w:r>
      <w:r w:rsidRPr="004D46AC">
        <w:rPr>
          <w:rFonts w:ascii="Arial" w:hAnsi="Arial" w:cs="Arial"/>
          <w:i/>
          <w:szCs w:val="22"/>
        </w:rPr>
        <w:t xml:space="preserve"> 53</w:t>
      </w:r>
      <w:r w:rsidRPr="004D46AC">
        <w:rPr>
          <w:rFonts w:ascii="Arial" w:hAnsi="Arial" w:cs="Arial"/>
          <w:szCs w:val="22"/>
        </w:rPr>
        <w:t xml:space="preserve">(3), 284-288. https://doi.org/https://doi.org/10.1016/j.paid.2012.03.027 </w:t>
      </w:r>
    </w:p>
    <w:p w14:paraId="3BF63237"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Benjet</w:t>
      </w:r>
      <w:proofErr w:type="spellEnd"/>
      <w:r w:rsidRPr="004D46AC">
        <w:rPr>
          <w:rFonts w:ascii="Arial" w:hAnsi="Arial" w:cs="Arial"/>
          <w:szCs w:val="22"/>
        </w:rPr>
        <w:t xml:space="preserve">, C., Borges, G., Méndez, E., Albor, Y., Casanova, L., Orozco, R., Curiel, T., </w:t>
      </w:r>
      <w:proofErr w:type="spellStart"/>
      <w:r w:rsidRPr="004D46AC">
        <w:rPr>
          <w:rFonts w:ascii="Arial" w:hAnsi="Arial" w:cs="Arial"/>
          <w:szCs w:val="22"/>
        </w:rPr>
        <w:t>Fleiz</w:t>
      </w:r>
      <w:proofErr w:type="spellEnd"/>
      <w:r w:rsidRPr="004D46AC">
        <w:rPr>
          <w:rFonts w:ascii="Arial" w:hAnsi="Arial" w:cs="Arial"/>
          <w:szCs w:val="22"/>
        </w:rPr>
        <w:t xml:space="preserve">, C., &amp; Medina-Mora, M. E. (2016). Eight-year incidence of psychiatric disorders and service use from adolescence to early adulthood: longitudinal follow-up of the Mexican Adolescent Mental Health Survey. </w:t>
      </w:r>
      <w:r w:rsidRPr="004D46AC">
        <w:rPr>
          <w:rFonts w:ascii="Arial" w:hAnsi="Arial" w:cs="Arial"/>
          <w:i/>
          <w:szCs w:val="22"/>
        </w:rPr>
        <w:t>European Child &amp; Adolescent Psychiatry</w:t>
      </w:r>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(2), 163-173. https://doi.org/10.1007/s00787-015-0721-5 </w:t>
      </w:r>
    </w:p>
    <w:p w14:paraId="6EF135E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Bigdeli, T. B., Fanous, A. H., Li, Y., Rajeevan, N., Sayward, F., Genovese, G., Gupta, R., Radhakrishnan, K., Malhotra, A. K., Sun, N., Lu, Q., Hu, Y., Li, B., Chen, Q., Mane, S., Miller, P., Cheung, K. H., Gur, R. E., Greenwood, T. A.,…Harvey, P. D. (2021). Genome-Wide Association Studies of Schizophrenia and Bipolar Disorder in a Diverse Cohort of US Veterans.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w:t>
      </w:r>
      <w:r w:rsidRPr="004D46AC">
        <w:rPr>
          <w:rFonts w:ascii="Arial" w:hAnsi="Arial" w:cs="Arial"/>
          <w:i/>
          <w:szCs w:val="22"/>
        </w:rPr>
        <w:t xml:space="preserve"> 47</w:t>
      </w:r>
      <w:r w:rsidRPr="004D46AC">
        <w:rPr>
          <w:rFonts w:ascii="Arial" w:hAnsi="Arial" w:cs="Arial"/>
          <w:szCs w:val="22"/>
        </w:rPr>
        <w:t xml:space="preserve">(2), 517-529. https://doi.org/10.1093/schbul/sbaa133 </w:t>
      </w:r>
    </w:p>
    <w:p w14:paraId="36ADDB86"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Birmaher</w:t>
      </w:r>
      <w:proofErr w:type="spellEnd"/>
      <w:r w:rsidRPr="004D46AC">
        <w:rPr>
          <w:rFonts w:ascii="Arial" w:hAnsi="Arial" w:cs="Arial"/>
          <w:szCs w:val="22"/>
        </w:rPr>
        <w:t xml:space="preserve">, B., Merranko, J. A., Goldstein, T. R., Gill, M. K., Goldstein, B. I., Hower, H., Yen, S., Hafeman, D., Strober, M., Diler, R. S., Axelson, D., Ryan, N. D., &amp; Keller, M. B. (2018). A Risk Calculator to Predict the Individual Risk of Conversion </w:t>
      </w:r>
      <w:proofErr w:type="gramStart"/>
      <w:r w:rsidRPr="004D46AC">
        <w:rPr>
          <w:rFonts w:ascii="Arial" w:hAnsi="Arial" w:cs="Arial"/>
          <w:szCs w:val="22"/>
        </w:rPr>
        <w:t>From</w:t>
      </w:r>
      <w:proofErr w:type="gramEnd"/>
      <w:r w:rsidRPr="004D46AC">
        <w:rPr>
          <w:rFonts w:ascii="Arial" w:hAnsi="Arial" w:cs="Arial"/>
          <w:szCs w:val="22"/>
        </w:rPr>
        <w:t xml:space="preserve"> Subthreshold Bipolar Symptoms to Bipolar Disorder I or II in Youth. </w:t>
      </w:r>
      <w:r w:rsidRPr="004D46AC">
        <w:rPr>
          <w:rFonts w:ascii="Arial" w:hAnsi="Arial" w:cs="Arial"/>
          <w:i/>
          <w:szCs w:val="22"/>
        </w:rPr>
        <w:t>Journal of the American Academy of Child &amp; Adolescent Psychiatry</w:t>
      </w:r>
      <w:r w:rsidRPr="004D46AC">
        <w:rPr>
          <w:rFonts w:ascii="Arial" w:hAnsi="Arial" w:cs="Arial"/>
          <w:szCs w:val="22"/>
        </w:rPr>
        <w:t>,</w:t>
      </w:r>
      <w:r w:rsidRPr="004D46AC">
        <w:rPr>
          <w:rFonts w:ascii="Arial" w:hAnsi="Arial" w:cs="Arial"/>
          <w:i/>
          <w:szCs w:val="22"/>
        </w:rPr>
        <w:t xml:space="preserve"> 57</w:t>
      </w:r>
      <w:r w:rsidRPr="004D46AC">
        <w:rPr>
          <w:rFonts w:ascii="Arial" w:hAnsi="Arial" w:cs="Arial"/>
          <w:szCs w:val="22"/>
        </w:rPr>
        <w:t xml:space="preserve">(10), 755-763.e754. https://doi.org/10.1016/j.jaac.2018.05.023 </w:t>
      </w:r>
    </w:p>
    <w:p w14:paraId="46CB803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Bleuler, E. (1950). Dementia praecox or the group of schizophrenias. </w:t>
      </w:r>
    </w:p>
    <w:p w14:paraId="0802A45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Bora, E., Verim, B., Akgul, O., </w:t>
      </w:r>
      <w:proofErr w:type="spellStart"/>
      <w:r w:rsidRPr="004D46AC">
        <w:rPr>
          <w:rFonts w:ascii="Arial" w:hAnsi="Arial" w:cs="Arial"/>
          <w:szCs w:val="22"/>
        </w:rPr>
        <w:t>Ildiz</w:t>
      </w:r>
      <w:proofErr w:type="spellEnd"/>
      <w:r w:rsidRPr="004D46AC">
        <w:rPr>
          <w:rFonts w:ascii="Arial" w:hAnsi="Arial" w:cs="Arial"/>
          <w:szCs w:val="22"/>
        </w:rPr>
        <w:t xml:space="preserve">, A., Ceylan, D., Alptekin, K., </w:t>
      </w:r>
      <w:proofErr w:type="spellStart"/>
      <w:r w:rsidRPr="004D46AC">
        <w:rPr>
          <w:rFonts w:ascii="Arial" w:hAnsi="Arial" w:cs="Arial"/>
          <w:szCs w:val="22"/>
        </w:rPr>
        <w:t>Ozerdem</w:t>
      </w:r>
      <w:proofErr w:type="spellEnd"/>
      <w:r w:rsidRPr="004D46AC">
        <w:rPr>
          <w:rFonts w:ascii="Arial" w:hAnsi="Arial" w:cs="Arial"/>
          <w:szCs w:val="22"/>
        </w:rPr>
        <w:t xml:space="preserve">, A., &amp; </w:t>
      </w:r>
      <w:proofErr w:type="spellStart"/>
      <w:r w:rsidRPr="004D46AC">
        <w:rPr>
          <w:rFonts w:ascii="Arial" w:hAnsi="Arial" w:cs="Arial"/>
          <w:szCs w:val="22"/>
        </w:rPr>
        <w:t>Akdede</w:t>
      </w:r>
      <w:proofErr w:type="spellEnd"/>
      <w:r w:rsidRPr="004D46AC">
        <w:rPr>
          <w:rFonts w:ascii="Arial" w:hAnsi="Arial" w:cs="Arial"/>
          <w:szCs w:val="22"/>
        </w:rPr>
        <w:t xml:space="preserve">, B. B. (2023). Clinical and developmental characteristics of cognitive subgroups in a transdiagnostic sample of schizophrenia spectrum disorders and bipolar disorder. </w:t>
      </w:r>
      <w:proofErr w:type="spellStart"/>
      <w:r w:rsidRPr="004D46AC">
        <w:rPr>
          <w:rFonts w:ascii="Arial" w:hAnsi="Arial" w:cs="Arial"/>
          <w:i/>
          <w:szCs w:val="22"/>
        </w:rPr>
        <w:t>Eur</w:t>
      </w:r>
      <w:proofErr w:type="spellEnd"/>
      <w:r w:rsidRPr="004D46AC">
        <w:rPr>
          <w:rFonts w:ascii="Arial" w:hAnsi="Arial" w:cs="Arial"/>
          <w:i/>
          <w:szCs w:val="22"/>
        </w:rPr>
        <w:t xml:space="preserve"> </w:t>
      </w:r>
      <w:proofErr w:type="spellStart"/>
      <w:r w:rsidRPr="004D46AC">
        <w:rPr>
          <w:rFonts w:ascii="Arial" w:hAnsi="Arial" w:cs="Arial"/>
          <w:i/>
          <w:szCs w:val="22"/>
        </w:rPr>
        <w:t>Neuropsychopharmacol</w:t>
      </w:r>
      <w:proofErr w:type="spellEnd"/>
      <w:r w:rsidRPr="004D46AC">
        <w:rPr>
          <w:rFonts w:ascii="Arial" w:hAnsi="Arial" w:cs="Arial"/>
          <w:szCs w:val="22"/>
        </w:rPr>
        <w:t>,</w:t>
      </w:r>
      <w:r w:rsidRPr="004D46AC">
        <w:rPr>
          <w:rFonts w:ascii="Arial" w:hAnsi="Arial" w:cs="Arial"/>
          <w:i/>
          <w:szCs w:val="22"/>
        </w:rPr>
        <w:t xml:space="preserve"> 68</w:t>
      </w:r>
      <w:r w:rsidRPr="004D46AC">
        <w:rPr>
          <w:rFonts w:ascii="Arial" w:hAnsi="Arial" w:cs="Arial"/>
          <w:szCs w:val="22"/>
        </w:rPr>
        <w:t xml:space="preserve">, 47-56. https://doi.org/10.1016/j.euroneuro.2022.12.005 </w:t>
      </w:r>
    </w:p>
    <w:p w14:paraId="68672F5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Bora, E., Yücel, M., &amp; Pantelis, C. (2009). Theory of mind impairment: a distinct trait</w:t>
      </w:r>
      <w:r w:rsidRPr="004D46AC">
        <w:rPr>
          <w:rFonts w:ascii="Cambria Math" w:hAnsi="Cambria Math" w:cs="Cambria Math"/>
          <w:szCs w:val="22"/>
        </w:rPr>
        <w:t>‐</w:t>
      </w:r>
      <w:r w:rsidRPr="004D46AC">
        <w:rPr>
          <w:rFonts w:ascii="Arial" w:hAnsi="Arial" w:cs="Arial"/>
          <w:szCs w:val="22"/>
        </w:rPr>
        <w:t xml:space="preserve">marker for schizophrenia spectrum disorders and bipolar disorder? </w:t>
      </w:r>
      <w:r w:rsidRPr="004D46AC">
        <w:rPr>
          <w:rFonts w:ascii="Arial" w:hAnsi="Arial" w:cs="Arial"/>
          <w:i/>
          <w:szCs w:val="22"/>
        </w:rPr>
        <w:t xml:space="preserve">Acta </w:t>
      </w:r>
      <w:proofErr w:type="spellStart"/>
      <w:r w:rsidRPr="004D46AC">
        <w:rPr>
          <w:rFonts w:ascii="Arial" w:hAnsi="Arial" w:cs="Arial"/>
          <w:i/>
          <w:szCs w:val="22"/>
        </w:rPr>
        <w:t>Psychiatrica</w:t>
      </w:r>
      <w:proofErr w:type="spellEnd"/>
      <w:r w:rsidRPr="004D46AC">
        <w:rPr>
          <w:rFonts w:ascii="Arial" w:hAnsi="Arial" w:cs="Arial"/>
          <w:i/>
          <w:szCs w:val="22"/>
        </w:rPr>
        <w:t xml:space="preserve"> Scandinavica</w:t>
      </w:r>
      <w:r w:rsidRPr="004D46AC">
        <w:rPr>
          <w:rFonts w:ascii="Arial" w:hAnsi="Arial" w:cs="Arial"/>
          <w:szCs w:val="22"/>
        </w:rPr>
        <w:t>,</w:t>
      </w:r>
      <w:r w:rsidRPr="004D46AC">
        <w:rPr>
          <w:rFonts w:ascii="Arial" w:hAnsi="Arial" w:cs="Arial"/>
          <w:i/>
          <w:szCs w:val="22"/>
        </w:rPr>
        <w:t xml:space="preserve"> 120</w:t>
      </w:r>
      <w:r w:rsidRPr="004D46AC">
        <w:rPr>
          <w:rFonts w:ascii="Arial" w:hAnsi="Arial" w:cs="Arial"/>
          <w:szCs w:val="22"/>
        </w:rPr>
        <w:t xml:space="preserve">(4), 253-264. </w:t>
      </w:r>
    </w:p>
    <w:p w14:paraId="5990DE7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Borsboom, D. (2017). A network theory of mental disorders.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(1), 5-13. https://doi.org/https://doi.org/10.1002/wps.20375 </w:t>
      </w:r>
    </w:p>
    <w:p w14:paraId="25B4949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Borsboom, D., &amp; Cramer, A. O. J. (2013). Network Analysis: An Integrative Approach to the Structure of Psychopathology. </w:t>
      </w:r>
      <w:r w:rsidRPr="004D46AC">
        <w:rPr>
          <w:rFonts w:ascii="Arial" w:hAnsi="Arial" w:cs="Arial"/>
          <w:i/>
          <w:szCs w:val="22"/>
        </w:rPr>
        <w:t>Annual review of clinical psychology</w:t>
      </w:r>
      <w:r w:rsidRPr="004D46AC">
        <w:rPr>
          <w:rFonts w:ascii="Arial" w:hAnsi="Arial" w:cs="Arial"/>
          <w:szCs w:val="22"/>
        </w:rPr>
        <w:t>,</w:t>
      </w:r>
      <w:r w:rsidRPr="004D46AC">
        <w:rPr>
          <w:rFonts w:ascii="Arial" w:hAnsi="Arial" w:cs="Arial"/>
          <w:i/>
          <w:szCs w:val="22"/>
        </w:rPr>
        <w:t xml:space="preserve"> 9</w:t>
      </w:r>
      <w:r w:rsidRPr="004D46AC">
        <w:rPr>
          <w:rFonts w:ascii="Arial" w:hAnsi="Arial" w:cs="Arial"/>
          <w:szCs w:val="22"/>
        </w:rPr>
        <w:t xml:space="preserve">(Volume 9, 2013), 91-121. https://doi.org/https://doi.org/10.1146/annurev-clinpsy-050212-185608 </w:t>
      </w:r>
    </w:p>
    <w:p w14:paraId="1BB43DC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Briganti, G., Kornreich, C., &amp; Linkowski, P. (2021). A network structure of manic symptoms. </w:t>
      </w:r>
      <w:r w:rsidRPr="004D46AC">
        <w:rPr>
          <w:rFonts w:ascii="Arial" w:hAnsi="Arial" w:cs="Arial"/>
          <w:i/>
          <w:szCs w:val="22"/>
        </w:rPr>
        <w:t xml:space="preserve">Brain and </w:t>
      </w:r>
      <w:proofErr w:type="spellStart"/>
      <w:r w:rsidRPr="004D46AC">
        <w:rPr>
          <w:rFonts w:ascii="Arial" w:hAnsi="Arial" w:cs="Arial"/>
          <w:i/>
          <w:szCs w:val="22"/>
        </w:rPr>
        <w:t>Behavior</w:t>
      </w:r>
      <w:proofErr w:type="spellEnd"/>
      <w:r w:rsidRPr="004D46AC">
        <w:rPr>
          <w:rFonts w:ascii="Arial" w:hAnsi="Arial" w:cs="Arial"/>
          <w:szCs w:val="22"/>
        </w:rPr>
        <w:t>,</w:t>
      </w:r>
      <w:r w:rsidRPr="004D46AC">
        <w:rPr>
          <w:rFonts w:ascii="Arial" w:hAnsi="Arial" w:cs="Arial"/>
          <w:i/>
          <w:szCs w:val="22"/>
        </w:rPr>
        <w:t xml:space="preserve"> 11</w:t>
      </w:r>
      <w:r w:rsidRPr="004D46AC">
        <w:rPr>
          <w:rFonts w:ascii="Arial" w:hAnsi="Arial" w:cs="Arial"/>
          <w:szCs w:val="22"/>
        </w:rPr>
        <w:t xml:space="preserve">(3), e02010. https://doi.org/https://doi.org/10.1002/brb3.2010 </w:t>
      </w:r>
    </w:p>
    <w:p w14:paraId="6CB25FC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Caballero, N., Machiraju, S., Diomino, A., Kennedy, L., Kadivar, A., &amp; Cadenhead, K. S. (2023). Recent updates on predicting conversion in youth at clinical high risk for psychosis. </w:t>
      </w:r>
      <w:r w:rsidRPr="004D46AC">
        <w:rPr>
          <w:rFonts w:ascii="Arial" w:hAnsi="Arial" w:cs="Arial"/>
          <w:i/>
          <w:szCs w:val="22"/>
        </w:rPr>
        <w:t>Current psychiatry reports</w:t>
      </w:r>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(11), 683-698. </w:t>
      </w:r>
    </w:p>
    <w:p w14:paraId="1211D58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Carlson, G. A., &amp; Goodwin, F. K. (1973). The Stages of Mania: A Longitudinal Analysis of the Manic Episode. </w:t>
      </w:r>
      <w:r w:rsidRPr="004D46AC">
        <w:rPr>
          <w:rFonts w:ascii="Arial" w:hAnsi="Arial" w:cs="Arial"/>
          <w:i/>
          <w:szCs w:val="22"/>
        </w:rPr>
        <w:t>Archives of General Psychiatry</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(2), 221-228. https://doi.org/10.1001/archpsyc.1973.01750320053009 </w:t>
      </w:r>
    </w:p>
    <w:p w14:paraId="513A3DC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Carpenter, W. T., Jr., Strauss, J. S., &amp; </w:t>
      </w:r>
      <w:proofErr w:type="spellStart"/>
      <w:r w:rsidRPr="004D46AC">
        <w:rPr>
          <w:rFonts w:ascii="Arial" w:hAnsi="Arial" w:cs="Arial"/>
          <w:szCs w:val="22"/>
        </w:rPr>
        <w:t>Muleh</w:t>
      </w:r>
      <w:proofErr w:type="spellEnd"/>
      <w:r w:rsidRPr="004D46AC">
        <w:rPr>
          <w:rFonts w:ascii="Arial" w:hAnsi="Arial" w:cs="Arial"/>
          <w:szCs w:val="22"/>
        </w:rPr>
        <w:t xml:space="preserve">, S. (1973). Are there pathognomonic symptoms in schizophrenia? An empiric investigation of Schneider's first-rank symptoms. </w:t>
      </w:r>
      <w:r w:rsidRPr="004D46AC">
        <w:rPr>
          <w:rFonts w:ascii="Arial" w:hAnsi="Arial" w:cs="Arial"/>
          <w:i/>
          <w:szCs w:val="22"/>
        </w:rPr>
        <w:t>Arch Gen Psychiatry</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(6), 847-852. https://doi.org/10.1001/archpsyc.1973.01750360069010 </w:t>
      </w:r>
    </w:p>
    <w:p w14:paraId="426157B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Carragher, N., </w:t>
      </w:r>
      <w:proofErr w:type="spellStart"/>
      <w:r w:rsidRPr="004D46AC">
        <w:rPr>
          <w:rFonts w:ascii="Arial" w:hAnsi="Arial" w:cs="Arial"/>
          <w:szCs w:val="22"/>
        </w:rPr>
        <w:t>Teesson</w:t>
      </w:r>
      <w:proofErr w:type="spellEnd"/>
      <w:r w:rsidRPr="004D46AC">
        <w:rPr>
          <w:rFonts w:ascii="Arial" w:hAnsi="Arial" w:cs="Arial"/>
          <w:szCs w:val="22"/>
        </w:rPr>
        <w:t xml:space="preserve">, M., Sunderland, M., Newton, N. C., Krueger, R. F., Conrod, P. J., Barrett, E. L., Champion, K. E., Nair, N. K., &amp; Slade, T. (2016). The structure of adolescent psychopathology: a symptom-level analysis.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46</w:t>
      </w:r>
      <w:r w:rsidRPr="004D46AC">
        <w:rPr>
          <w:rFonts w:ascii="Arial" w:hAnsi="Arial" w:cs="Arial"/>
          <w:szCs w:val="22"/>
        </w:rPr>
        <w:t xml:space="preserve">(5), 981-994. https://doi.org/10.1017/S0033291715002470 </w:t>
      </w:r>
    </w:p>
    <w:p w14:paraId="2B6F899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Carter, B., Wootten, J., Archie, S., Terry, A. L., &amp; Anderson, K. K. (2022). Sex and gender differences in symptoms of early psychosis: a systematic review and meta-analysis. </w:t>
      </w:r>
      <w:r w:rsidRPr="004D46AC">
        <w:rPr>
          <w:rFonts w:ascii="Arial" w:hAnsi="Arial" w:cs="Arial"/>
          <w:i/>
          <w:szCs w:val="22"/>
        </w:rPr>
        <w:t>Archives of Women's Mental Health</w:t>
      </w:r>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(4), 679-691. https://doi.org/10.1007/s00737-022-01247-3 </w:t>
      </w:r>
    </w:p>
    <w:p w14:paraId="70FEF5F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Caspi, A., Houts, R. M., Belsky, D. W., Goldman-Mellor, S. J., Harrington, H., Israel, S., Meier, M. H., </w:t>
      </w:r>
      <w:proofErr w:type="spellStart"/>
      <w:r w:rsidRPr="004D46AC">
        <w:rPr>
          <w:rFonts w:ascii="Arial" w:hAnsi="Arial" w:cs="Arial"/>
          <w:szCs w:val="22"/>
        </w:rPr>
        <w:t>Ramrakha</w:t>
      </w:r>
      <w:proofErr w:type="spellEnd"/>
      <w:r w:rsidRPr="004D46AC">
        <w:rPr>
          <w:rFonts w:ascii="Arial" w:hAnsi="Arial" w:cs="Arial"/>
          <w:szCs w:val="22"/>
        </w:rPr>
        <w:t xml:space="preserve">, S., Shalev, I., Poulton, R., &amp; Moffitt, T. E. (2014). The p Factor: One General Psychopathology Factor in the Structure of Psychiatric Disorders? </w:t>
      </w:r>
      <w:r w:rsidRPr="004D46AC">
        <w:rPr>
          <w:rFonts w:ascii="Arial" w:hAnsi="Arial" w:cs="Arial"/>
          <w:i/>
          <w:szCs w:val="22"/>
        </w:rPr>
        <w:t xml:space="preserve">Clin </w:t>
      </w:r>
      <w:proofErr w:type="spellStart"/>
      <w:r w:rsidRPr="004D46AC">
        <w:rPr>
          <w:rFonts w:ascii="Arial" w:hAnsi="Arial" w:cs="Arial"/>
          <w:i/>
          <w:szCs w:val="22"/>
        </w:rPr>
        <w:t>Psychol</w:t>
      </w:r>
      <w:proofErr w:type="spellEnd"/>
      <w:r w:rsidRPr="004D46AC">
        <w:rPr>
          <w:rFonts w:ascii="Arial" w:hAnsi="Arial" w:cs="Arial"/>
          <w:i/>
          <w:szCs w:val="22"/>
        </w:rPr>
        <w:t xml:space="preserve"> Sci</w:t>
      </w:r>
      <w:r w:rsidRPr="004D46AC">
        <w:rPr>
          <w:rFonts w:ascii="Arial" w:hAnsi="Arial" w:cs="Arial"/>
          <w:szCs w:val="22"/>
        </w:rPr>
        <w:t>,</w:t>
      </w:r>
      <w:r w:rsidRPr="004D46AC">
        <w:rPr>
          <w:rFonts w:ascii="Arial" w:hAnsi="Arial" w:cs="Arial"/>
          <w:i/>
          <w:szCs w:val="22"/>
        </w:rPr>
        <w:t xml:space="preserve"> 2</w:t>
      </w:r>
      <w:r w:rsidRPr="004D46AC">
        <w:rPr>
          <w:rFonts w:ascii="Arial" w:hAnsi="Arial" w:cs="Arial"/>
          <w:szCs w:val="22"/>
        </w:rPr>
        <w:t xml:space="preserve">(2), 119-137. https://doi.org/10.1177/2167702613497473 </w:t>
      </w:r>
    </w:p>
    <w:p w14:paraId="003006B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Caspi, A., &amp; Moffitt, T. E. (2018). All for One and One for All: Mental Disorders in One Dimension. </w:t>
      </w:r>
      <w:r w:rsidRPr="004D46AC">
        <w:rPr>
          <w:rFonts w:ascii="Arial" w:hAnsi="Arial" w:cs="Arial"/>
          <w:i/>
          <w:szCs w:val="22"/>
        </w:rPr>
        <w:t>American Journal of Psychiatry</w:t>
      </w:r>
      <w:r w:rsidRPr="004D46AC">
        <w:rPr>
          <w:rFonts w:ascii="Arial" w:hAnsi="Arial" w:cs="Arial"/>
          <w:szCs w:val="22"/>
        </w:rPr>
        <w:t>,</w:t>
      </w:r>
      <w:r w:rsidRPr="004D46AC">
        <w:rPr>
          <w:rFonts w:ascii="Arial" w:hAnsi="Arial" w:cs="Arial"/>
          <w:i/>
          <w:szCs w:val="22"/>
        </w:rPr>
        <w:t xml:space="preserve"> 175</w:t>
      </w:r>
      <w:r w:rsidRPr="004D46AC">
        <w:rPr>
          <w:rFonts w:ascii="Arial" w:hAnsi="Arial" w:cs="Arial"/>
          <w:szCs w:val="22"/>
        </w:rPr>
        <w:t xml:space="preserve">(9), 831-844. https://doi.org/10.1176/appi.ajp.2018.17121383 %M 29621902 </w:t>
      </w:r>
    </w:p>
    <w:p w14:paraId="4D7D59B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Chakrabarti, S., &amp; Singh, N. (2022). Psychotic symptoms in bipolar disorder and their impact on the illness: A systematic review. </w:t>
      </w:r>
      <w:r w:rsidRPr="004D46AC">
        <w:rPr>
          <w:rFonts w:ascii="Arial" w:hAnsi="Arial" w:cs="Arial"/>
          <w:i/>
          <w:szCs w:val="22"/>
        </w:rPr>
        <w:t>World J Psychiatry</w:t>
      </w:r>
      <w:r w:rsidRPr="004D46AC">
        <w:rPr>
          <w:rFonts w:ascii="Arial" w:hAnsi="Arial" w:cs="Arial"/>
          <w:szCs w:val="22"/>
        </w:rPr>
        <w:t>,</w:t>
      </w:r>
      <w:r w:rsidRPr="004D46AC">
        <w:rPr>
          <w:rFonts w:ascii="Arial" w:hAnsi="Arial" w:cs="Arial"/>
          <w:i/>
          <w:szCs w:val="22"/>
        </w:rPr>
        <w:t xml:space="preserve"> 12</w:t>
      </w:r>
      <w:r w:rsidRPr="004D46AC">
        <w:rPr>
          <w:rFonts w:ascii="Arial" w:hAnsi="Arial" w:cs="Arial"/>
          <w:szCs w:val="22"/>
        </w:rPr>
        <w:t xml:space="preserve">(9), 1204-1232. https://doi.org/10.5498/wjp.v12.i9.1204 </w:t>
      </w:r>
    </w:p>
    <w:p w14:paraId="5CE6A74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Christensen, A. P., &amp; Golino, H. (2021). Estimating the Stability of Psychological Dimensions via Bootstrap Exploratory Graph Analysis: A Monte Carlo Simulation and Tutorial. </w:t>
      </w:r>
      <w:r w:rsidRPr="004D46AC">
        <w:rPr>
          <w:rFonts w:ascii="Arial" w:hAnsi="Arial" w:cs="Arial"/>
          <w:i/>
          <w:szCs w:val="22"/>
        </w:rPr>
        <w:t>Psych</w:t>
      </w:r>
      <w:r w:rsidRPr="004D46AC">
        <w:rPr>
          <w:rFonts w:ascii="Arial" w:hAnsi="Arial" w:cs="Arial"/>
          <w:szCs w:val="22"/>
        </w:rPr>
        <w:t>,</w:t>
      </w:r>
      <w:r w:rsidRPr="004D46AC">
        <w:rPr>
          <w:rFonts w:ascii="Arial" w:hAnsi="Arial" w:cs="Arial"/>
          <w:i/>
          <w:szCs w:val="22"/>
        </w:rPr>
        <w:t xml:space="preserve"> 3</w:t>
      </w:r>
      <w:r w:rsidRPr="004D46AC">
        <w:rPr>
          <w:rFonts w:ascii="Arial" w:hAnsi="Arial" w:cs="Arial"/>
          <w:szCs w:val="22"/>
        </w:rPr>
        <w:t xml:space="preserve">(3), 479-500. </w:t>
      </w:r>
    </w:p>
    <w:p w14:paraId="17AC3E1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Clarke, S., Hanna, D., Davidson, S., Shannon, C., &amp; Mulholland, C. (2021). The association between sleep quality and attenuated psychotic symptoms. </w:t>
      </w:r>
      <w:r w:rsidRPr="004D46AC">
        <w:rPr>
          <w:rFonts w:ascii="Arial" w:hAnsi="Arial" w:cs="Arial"/>
          <w:i/>
          <w:szCs w:val="22"/>
        </w:rPr>
        <w:t>Early Intervention in Psychiatry</w:t>
      </w:r>
      <w:r w:rsidRPr="004D46AC">
        <w:rPr>
          <w:rFonts w:ascii="Arial" w:hAnsi="Arial" w:cs="Arial"/>
          <w:szCs w:val="22"/>
        </w:rPr>
        <w:t>,</w:t>
      </w:r>
      <w:r w:rsidRPr="004D46AC">
        <w:rPr>
          <w:rFonts w:ascii="Arial" w:hAnsi="Arial" w:cs="Arial"/>
          <w:i/>
          <w:szCs w:val="22"/>
        </w:rPr>
        <w:t xml:space="preserve"> 15</w:t>
      </w:r>
      <w:r w:rsidRPr="004D46AC">
        <w:rPr>
          <w:rFonts w:ascii="Arial" w:hAnsi="Arial" w:cs="Arial"/>
          <w:szCs w:val="22"/>
        </w:rPr>
        <w:t xml:space="preserve">(4), 837-848. https://doi.org/https://doi.org/10.1111/eip.13020 </w:t>
      </w:r>
    </w:p>
    <w:p w14:paraId="45D5BB8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Collishaw, S., Maughan, B., Goodman, R., &amp; Pickles, A. (2004). Time trends in adolescent mental health. </w:t>
      </w:r>
      <w:r w:rsidRPr="004D46AC">
        <w:rPr>
          <w:rFonts w:ascii="Arial" w:hAnsi="Arial" w:cs="Arial"/>
          <w:i/>
          <w:szCs w:val="22"/>
        </w:rPr>
        <w:t>Journal of Child Psychology and Psychiatry</w:t>
      </w:r>
      <w:r w:rsidRPr="004D46AC">
        <w:rPr>
          <w:rFonts w:ascii="Arial" w:hAnsi="Arial" w:cs="Arial"/>
          <w:szCs w:val="22"/>
        </w:rPr>
        <w:t>,</w:t>
      </w:r>
      <w:r w:rsidRPr="004D46AC">
        <w:rPr>
          <w:rFonts w:ascii="Arial" w:hAnsi="Arial" w:cs="Arial"/>
          <w:i/>
          <w:szCs w:val="22"/>
        </w:rPr>
        <w:t xml:space="preserve"> 45</w:t>
      </w:r>
      <w:r w:rsidRPr="004D46AC">
        <w:rPr>
          <w:rFonts w:ascii="Arial" w:hAnsi="Arial" w:cs="Arial"/>
          <w:szCs w:val="22"/>
        </w:rPr>
        <w:t xml:space="preserve">(8), 1350-1362. https://doi.org/https://doi.org/10.1111/j.1469-7610.2004.00335.x </w:t>
      </w:r>
    </w:p>
    <w:p w14:paraId="33885AC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Conroy, S. K., Francis, M. M., &amp; </w:t>
      </w:r>
      <w:proofErr w:type="spellStart"/>
      <w:r w:rsidRPr="004D46AC">
        <w:rPr>
          <w:rFonts w:ascii="Arial" w:hAnsi="Arial" w:cs="Arial"/>
          <w:szCs w:val="22"/>
        </w:rPr>
        <w:t>Hulvershorn</w:t>
      </w:r>
      <w:proofErr w:type="spellEnd"/>
      <w:r w:rsidRPr="004D46AC">
        <w:rPr>
          <w:rFonts w:ascii="Arial" w:hAnsi="Arial" w:cs="Arial"/>
          <w:szCs w:val="22"/>
        </w:rPr>
        <w:t xml:space="preserve">, L. A. (2018). Identifying and Treating the Prodromal Phases of Bipolar Disorder and Schizophrenia. </w:t>
      </w:r>
      <w:r w:rsidRPr="004D46AC">
        <w:rPr>
          <w:rFonts w:ascii="Arial" w:hAnsi="Arial" w:cs="Arial"/>
          <w:i/>
          <w:szCs w:val="22"/>
        </w:rPr>
        <w:t>Current Treatment Options in Psychiatry</w:t>
      </w:r>
      <w:r w:rsidRPr="004D46AC">
        <w:rPr>
          <w:rFonts w:ascii="Arial" w:hAnsi="Arial" w:cs="Arial"/>
          <w:szCs w:val="22"/>
        </w:rPr>
        <w:t>,</w:t>
      </w:r>
      <w:r w:rsidRPr="004D46AC">
        <w:rPr>
          <w:rFonts w:ascii="Arial" w:hAnsi="Arial" w:cs="Arial"/>
          <w:i/>
          <w:szCs w:val="22"/>
        </w:rPr>
        <w:t xml:space="preserve"> 5</w:t>
      </w:r>
      <w:r w:rsidRPr="004D46AC">
        <w:rPr>
          <w:rFonts w:ascii="Arial" w:hAnsi="Arial" w:cs="Arial"/>
          <w:szCs w:val="22"/>
        </w:rPr>
        <w:t xml:space="preserve">(1), 113-128. https://doi.org/10.1007/s40501-018-0138-0 </w:t>
      </w:r>
    </w:p>
    <w:p w14:paraId="111030C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Contractor, A. A., Layne, C. M., Steinberg, A. M., Ostrowski, S. A., Ford, J. D., &amp; Elhai, J. D. (2013). Do gender and age moderate the symptom structure of PTSD? Findings from a national clinical sample of children and adolescents. </w:t>
      </w:r>
      <w:r w:rsidRPr="004D46AC">
        <w:rPr>
          <w:rFonts w:ascii="Arial" w:hAnsi="Arial" w:cs="Arial"/>
          <w:i/>
          <w:szCs w:val="22"/>
        </w:rPr>
        <w:t>Psychiatry Research</w:t>
      </w:r>
      <w:r w:rsidRPr="004D46AC">
        <w:rPr>
          <w:rFonts w:ascii="Arial" w:hAnsi="Arial" w:cs="Arial"/>
          <w:szCs w:val="22"/>
        </w:rPr>
        <w:t>,</w:t>
      </w:r>
      <w:r w:rsidRPr="004D46AC">
        <w:rPr>
          <w:rFonts w:ascii="Arial" w:hAnsi="Arial" w:cs="Arial"/>
          <w:i/>
          <w:szCs w:val="22"/>
        </w:rPr>
        <w:t xml:space="preserve"> 210</w:t>
      </w:r>
      <w:r w:rsidRPr="004D46AC">
        <w:rPr>
          <w:rFonts w:ascii="Arial" w:hAnsi="Arial" w:cs="Arial"/>
          <w:szCs w:val="22"/>
        </w:rPr>
        <w:t xml:space="preserve">(3), 1056-1064. https://doi.org/https://doi.org/10.1016/j.psychres.2013.09.012 </w:t>
      </w:r>
    </w:p>
    <w:p w14:paraId="352B447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Correll, C. U., </w:t>
      </w:r>
      <w:proofErr w:type="spellStart"/>
      <w:r w:rsidRPr="004D46AC">
        <w:rPr>
          <w:rFonts w:ascii="Arial" w:hAnsi="Arial" w:cs="Arial"/>
          <w:szCs w:val="22"/>
        </w:rPr>
        <w:t>Olvet</w:t>
      </w:r>
      <w:proofErr w:type="spellEnd"/>
      <w:r w:rsidRPr="004D46AC">
        <w:rPr>
          <w:rFonts w:ascii="Arial" w:hAnsi="Arial" w:cs="Arial"/>
          <w:szCs w:val="22"/>
        </w:rPr>
        <w:t xml:space="preserve">, D. M., </w:t>
      </w:r>
      <w:proofErr w:type="spellStart"/>
      <w:r w:rsidRPr="004D46AC">
        <w:rPr>
          <w:rFonts w:ascii="Arial" w:hAnsi="Arial" w:cs="Arial"/>
          <w:szCs w:val="22"/>
        </w:rPr>
        <w:t>Auther</w:t>
      </w:r>
      <w:proofErr w:type="spellEnd"/>
      <w:r w:rsidRPr="004D46AC">
        <w:rPr>
          <w:rFonts w:ascii="Arial" w:hAnsi="Arial" w:cs="Arial"/>
          <w:szCs w:val="22"/>
        </w:rPr>
        <w:t xml:space="preserve">, A. M., Hauser, M., Kishimoto, T., Carrión, R. E., Snyder, S., &amp; </w:t>
      </w:r>
      <w:proofErr w:type="spellStart"/>
      <w:r w:rsidRPr="004D46AC">
        <w:rPr>
          <w:rFonts w:ascii="Arial" w:hAnsi="Arial" w:cs="Arial"/>
          <w:szCs w:val="22"/>
        </w:rPr>
        <w:t>Cornblatt</w:t>
      </w:r>
      <w:proofErr w:type="spellEnd"/>
      <w:r w:rsidRPr="004D46AC">
        <w:rPr>
          <w:rFonts w:ascii="Arial" w:hAnsi="Arial" w:cs="Arial"/>
          <w:szCs w:val="22"/>
        </w:rPr>
        <w:t xml:space="preserve">, B. A. (2014). The Bipolar Prodrome Symptom Interview and Scale-Prospective (BPSS-P): description and validation in a psychiatric sample and healthy controls. </w:t>
      </w:r>
      <w:r w:rsidRPr="004D46AC">
        <w:rPr>
          <w:rFonts w:ascii="Arial" w:hAnsi="Arial" w:cs="Arial"/>
          <w:i/>
          <w:szCs w:val="22"/>
        </w:rPr>
        <w:t xml:space="preserve">Bipolar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(5), 505-522. https://doi.org/10.1111/bdi.12209 </w:t>
      </w:r>
    </w:p>
    <w:p w14:paraId="57EF4A3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D’Agostino, A., Pepi, R., Rossi Monti, M., &amp; Starcevic, V. (2020). The Feeling of Emptiness: A Review of a Complex Subjective Experience. </w:t>
      </w:r>
      <w:r w:rsidRPr="004D46AC">
        <w:rPr>
          <w:rFonts w:ascii="Arial" w:hAnsi="Arial" w:cs="Arial"/>
          <w:i/>
          <w:szCs w:val="22"/>
        </w:rPr>
        <w:t>Harvard Review of Psychiatry</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(5). </w:t>
      </w:r>
    </w:p>
    <w:p w14:paraId="11FF4C3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de Sousa, P., Sellwood, W., Spray, A., &amp; Bentall, R. P. (2016). The affective reactivity of psychotic speech: The role of internal source monitoring in explaining increased thought disorder under emotional challenge. </w:t>
      </w:r>
      <w:proofErr w:type="spellStart"/>
      <w:r w:rsidRPr="004D46AC">
        <w:rPr>
          <w:rFonts w:ascii="Arial" w:hAnsi="Arial" w:cs="Arial"/>
          <w:i/>
          <w:szCs w:val="22"/>
        </w:rPr>
        <w:t>Schizophr</w:t>
      </w:r>
      <w:proofErr w:type="spellEnd"/>
      <w:r w:rsidRPr="004D46AC">
        <w:rPr>
          <w:rFonts w:ascii="Arial" w:hAnsi="Arial" w:cs="Arial"/>
          <w:i/>
          <w:szCs w:val="22"/>
        </w:rPr>
        <w:t xml:space="preserve"> Res</w:t>
      </w:r>
      <w:r w:rsidRPr="004D46AC">
        <w:rPr>
          <w:rFonts w:ascii="Arial" w:hAnsi="Arial" w:cs="Arial"/>
          <w:szCs w:val="22"/>
        </w:rPr>
        <w:t>,</w:t>
      </w:r>
      <w:r w:rsidRPr="004D46AC">
        <w:rPr>
          <w:rFonts w:ascii="Arial" w:hAnsi="Arial" w:cs="Arial"/>
          <w:i/>
          <w:szCs w:val="22"/>
        </w:rPr>
        <w:t xml:space="preserve"> 172</w:t>
      </w:r>
      <w:r w:rsidRPr="004D46AC">
        <w:rPr>
          <w:rFonts w:ascii="Arial" w:hAnsi="Arial" w:cs="Arial"/>
          <w:szCs w:val="22"/>
        </w:rPr>
        <w:t xml:space="preserve">(1-3), 189-194. https://doi.org/10.1016/j.schres.2016.01.049 </w:t>
      </w:r>
    </w:p>
    <w:p w14:paraId="0A1CB0B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DeMars, C. E. (2013). A Tutorial on Interpreting Bifactor Model Scores. </w:t>
      </w:r>
      <w:r w:rsidRPr="004D46AC">
        <w:rPr>
          <w:rFonts w:ascii="Arial" w:hAnsi="Arial" w:cs="Arial"/>
          <w:i/>
          <w:szCs w:val="22"/>
        </w:rPr>
        <w:t>International Journal of Testing</w:t>
      </w:r>
      <w:r w:rsidRPr="004D46AC">
        <w:rPr>
          <w:rFonts w:ascii="Arial" w:hAnsi="Arial" w:cs="Arial"/>
          <w:szCs w:val="22"/>
        </w:rPr>
        <w:t>,</w:t>
      </w:r>
      <w:r w:rsidRPr="004D46AC">
        <w:rPr>
          <w:rFonts w:ascii="Arial" w:hAnsi="Arial" w:cs="Arial"/>
          <w:i/>
          <w:szCs w:val="22"/>
        </w:rPr>
        <w:t xml:space="preserve"> 13</w:t>
      </w:r>
      <w:r w:rsidRPr="004D46AC">
        <w:rPr>
          <w:rFonts w:ascii="Arial" w:hAnsi="Arial" w:cs="Arial"/>
          <w:szCs w:val="22"/>
        </w:rPr>
        <w:t xml:space="preserve">(4), 354-378. https://doi.org/10.1080/15305058.2013.799067 </w:t>
      </w:r>
    </w:p>
    <w:p w14:paraId="09B3BC7D"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Destrée</w:t>
      </w:r>
      <w:proofErr w:type="spellEnd"/>
      <w:r w:rsidRPr="004D46AC">
        <w:rPr>
          <w:rFonts w:ascii="Arial" w:hAnsi="Arial" w:cs="Arial"/>
          <w:szCs w:val="22"/>
        </w:rPr>
        <w:t xml:space="preserve">, L., McGorry, P., Chanen, A., Ratheesh, A., Davey, C., Polari, A., </w:t>
      </w:r>
      <w:proofErr w:type="spellStart"/>
      <w:r w:rsidRPr="004D46AC">
        <w:rPr>
          <w:rFonts w:ascii="Arial" w:hAnsi="Arial" w:cs="Arial"/>
          <w:szCs w:val="22"/>
        </w:rPr>
        <w:t>Amminger</w:t>
      </w:r>
      <w:proofErr w:type="spellEnd"/>
      <w:r w:rsidRPr="004D46AC">
        <w:rPr>
          <w:rFonts w:ascii="Arial" w:hAnsi="Arial" w:cs="Arial"/>
          <w:szCs w:val="22"/>
        </w:rPr>
        <w:t xml:space="preserve">, P., Yuen, H. P., Hartmann, J., Dwyer, D., Spooner, R., &amp; Nelson, B. (2024). Transdiagnostic risk identification: A validation study of the Clinical High </w:t>
      </w:r>
      <w:proofErr w:type="gramStart"/>
      <w:r w:rsidRPr="004D46AC">
        <w:rPr>
          <w:rFonts w:ascii="Arial" w:hAnsi="Arial" w:cs="Arial"/>
          <w:szCs w:val="22"/>
        </w:rPr>
        <w:t>At</w:t>
      </w:r>
      <w:proofErr w:type="gramEnd"/>
      <w:r w:rsidRPr="004D46AC">
        <w:rPr>
          <w:rFonts w:ascii="Arial" w:hAnsi="Arial" w:cs="Arial"/>
          <w:szCs w:val="22"/>
        </w:rPr>
        <w:t xml:space="preserve"> Risk Mental State (CHARMS) criteria. </w:t>
      </w:r>
      <w:r w:rsidRPr="004D46AC">
        <w:rPr>
          <w:rFonts w:ascii="Arial" w:hAnsi="Arial" w:cs="Arial"/>
          <w:i/>
          <w:szCs w:val="22"/>
        </w:rPr>
        <w:t>Psychiatry Research</w:t>
      </w:r>
      <w:r w:rsidRPr="004D46AC">
        <w:rPr>
          <w:rFonts w:ascii="Arial" w:hAnsi="Arial" w:cs="Arial"/>
          <w:szCs w:val="22"/>
        </w:rPr>
        <w:t>,</w:t>
      </w:r>
      <w:r w:rsidRPr="004D46AC">
        <w:rPr>
          <w:rFonts w:ascii="Arial" w:hAnsi="Arial" w:cs="Arial"/>
          <w:i/>
          <w:szCs w:val="22"/>
        </w:rPr>
        <w:t xml:space="preserve"> 333</w:t>
      </w:r>
      <w:r w:rsidRPr="004D46AC">
        <w:rPr>
          <w:rFonts w:ascii="Arial" w:hAnsi="Arial" w:cs="Arial"/>
          <w:szCs w:val="22"/>
        </w:rPr>
        <w:t xml:space="preserve">, 115745. https://doi.org/https://doi.org/10.1016/j.psychres.2024.115745 </w:t>
      </w:r>
    </w:p>
    <w:p w14:paraId="4F52CBB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Díaz-</w:t>
      </w:r>
      <w:proofErr w:type="spellStart"/>
      <w:r w:rsidRPr="004D46AC">
        <w:rPr>
          <w:rFonts w:ascii="Arial" w:hAnsi="Arial" w:cs="Arial"/>
          <w:szCs w:val="22"/>
        </w:rPr>
        <w:t>Caneja</w:t>
      </w:r>
      <w:proofErr w:type="spellEnd"/>
      <w:r w:rsidRPr="004D46AC">
        <w:rPr>
          <w:rFonts w:ascii="Arial" w:hAnsi="Arial" w:cs="Arial"/>
          <w:szCs w:val="22"/>
        </w:rPr>
        <w:t xml:space="preserve">, C. M., Pina-Camacho, L., Rodríguez-Quiroga, A., </w:t>
      </w:r>
      <w:proofErr w:type="spellStart"/>
      <w:r w:rsidRPr="004D46AC">
        <w:rPr>
          <w:rFonts w:ascii="Arial" w:hAnsi="Arial" w:cs="Arial"/>
          <w:szCs w:val="22"/>
        </w:rPr>
        <w:t>Fraguas</w:t>
      </w:r>
      <w:proofErr w:type="spellEnd"/>
      <w:r w:rsidRPr="004D46AC">
        <w:rPr>
          <w:rFonts w:ascii="Arial" w:hAnsi="Arial" w:cs="Arial"/>
          <w:szCs w:val="22"/>
        </w:rPr>
        <w:t xml:space="preserve">, D., </w:t>
      </w:r>
      <w:proofErr w:type="spellStart"/>
      <w:r w:rsidRPr="004D46AC">
        <w:rPr>
          <w:rFonts w:ascii="Arial" w:hAnsi="Arial" w:cs="Arial"/>
          <w:szCs w:val="22"/>
        </w:rPr>
        <w:t>Parellada</w:t>
      </w:r>
      <w:proofErr w:type="spellEnd"/>
      <w:r w:rsidRPr="004D46AC">
        <w:rPr>
          <w:rFonts w:ascii="Arial" w:hAnsi="Arial" w:cs="Arial"/>
          <w:szCs w:val="22"/>
        </w:rPr>
        <w:t xml:space="preserve">, M., &amp; Arango, C. (2015). Predictors of outcome in early-onset psychosis: a systematic review. </w:t>
      </w:r>
      <w:r w:rsidRPr="004D46AC">
        <w:rPr>
          <w:rFonts w:ascii="Arial" w:hAnsi="Arial" w:cs="Arial"/>
          <w:i/>
          <w:szCs w:val="22"/>
        </w:rPr>
        <w:t>NPJ schizophrenia</w:t>
      </w:r>
      <w:r w:rsidRPr="004D46AC">
        <w:rPr>
          <w:rFonts w:ascii="Arial" w:hAnsi="Arial" w:cs="Arial"/>
          <w:szCs w:val="22"/>
        </w:rPr>
        <w:t>,</w:t>
      </w:r>
      <w:r w:rsidRPr="004D46AC">
        <w:rPr>
          <w:rFonts w:ascii="Arial" w:hAnsi="Arial" w:cs="Arial"/>
          <w:i/>
          <w:szCs w:val="22"/>
        </w:rPr>
        <w:t xml:space="preserve"> 1</w:t>
      </w:r>
      <w:r w:rsidRPr="004D46AC">
        <w:rPr>
          <w:rFonts w:ascii="Arial" w:hAnsi="Arial" w:cs="Arial"/>
          <w:szCs w:val="22"/>
        </w:rPr>
        <w:t xml:space="preserve">(1), 14005. https://doi.org/10.1038/npjschz.2014.5 </w:t>
      </w:r>
    </w:p>
    <w:p w14:paraId="365F2B0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Douglas, J., &amp; Scott, J. (2014). A systematic review of gender-specific rates of unipolar and bipolar disorders in community studies of pre-pubertal children. </w:t>
      </w:r>
      <w:r w:rsidRPr="004D46AC">
        <w:rPr>
          <w:rFonts w:ascii="Arial" w:hAnsi="Arial" w:cs="Arial"/>
          <w:i/>
          <w:szCs w:val="22"/>
        </w:rPr>
        <w:t>Bipolar Disorders</w:t>
      </w:r>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(1), 5-15. https://doi.org/https://doi.org/10.1111/bdi.12155 </w:t>
      </w:r>
    </w:p>
    <w:p w14:paraId="7C02F18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Edde, M., Leroux, G., Altena, E., &amp; </w:t>
      </w:r>
      <w:proofErr w:type="spellStart"/>
      <w:r w:rsidRPr="004D46AC">
        <w:rPr>
          <w:rFonts w:ascii="Arial" w:hAnsi="Arial" w:cs="Arial"/>
          <w:szCs w:val="22"/>
        </w:rPr>
        <w:t>Chanraud</w:t>
      </w:r>
      <w:proofErr w:type="spellEnd"/>
      <w:r w:rsidRPr="004D46AC">
        <w:rPr>
          <w:rFonts w:ascii="Arial" w:hAnsi="Arial" w:cs="Arial"/>
          <w:szCs w:val="22"/>
        </w:rPr>
        <w:t xml:space="preserve">, S. (2021). Functional brain connectivity changes across the human life span: From </w:t>
      </w:r>
      <w:proofErr w:type="spellStart"/>
      <w:r w:rsidRPr="004D46AC">
        <w:rPr>
          <w:rFonts w:ascii="Arial" w:hAnsi="Arial" w:cs="Arial"/>
          <w:szCs w:val="22"/>
        </w:rPr>
        <w:t>fetal</w:t>
      </w:r>
      <w:proofErr w:type="spellEnd"/>
      <w:r w:rsidRPr="004D46AC">
        <w:rPr>
          <w:rFonts w:ascii="Arial" w:hAnsi="Arial" w:cs="Arial"/>
          <w:szCs w:val="22"/>
        </w:rPr>
        <w:t xml:space="preserve"> development to old age. </w:t>
      </w:r>
      <w:r w:rsidRPr="004D46AC">
        <w:rPr>
          <w:rFonts w:ascii="Arial" w:hAnsi="Arial" w:cs="Arial"/>
          <w:i/>
          <w:szCs w:val="22"/>
        </w:rPr>
        <w:t>Journal of Neuroscience Research</w:t>
      </w:r>
      <w:r w:rsidRPr="004D46AC">
        <w:rPr>
          <w:rFonts w:ascii="Arial" w:hAnsi="Arial" w:cs="Arial"/>
          <w:szCs w:val="22"/>
        </w:rPr>
        <w:t>,</w:t>
      </w:r>
      <w:r w:rsidRPr="004D46AC">
        <w:rPr>
          <w:rFonts w:ascii="Arial" w:hAnsi="Arial" w:cs="Arial"/>
          <w:i/>
          <w:szCs w:val="22"/>
        </w:rPr>
        <w:t xml:space="preserve"> 99</w:t>
      </w:r>
      <w:r w:rsidRPr="004D46AC">
        <w:rPr>
          <w:rFonts w:ascii="Arial" w:hAnsi="Arial" w:cs="Arial"/>
          <w:szCs w:val="22"/>
        </w:rPr>
        <w:t xml:space="preserve">(1), 236-262. https://doi.org/https://doi.org/10.1002/jnr.24669 </w:t>
      </w:r>
    </w:p>
    <w:p w14:paraId="17F7B7A9"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Epskamp</w:t>
      </w:r>
      <w:proofErr w:type="spellEnd"/>
      <w:r w:rsidRPr="004D46AC">
        <w:rPr>
          <w:rFonts w:ascii="Arial" w:hAnsi="Arial" w:cs="Arial"/>
          <w:szCs w:val="22"/>
        </w:rPr>
        <w:t xml:space="preserve">, S., Borsboom, D., &amp; Fried, E. I. (2018). Estimating psychological networks and their accuracy: A tutorial paper. </w:t>
      </w:r>
      <w:proofErr w:type="spellStart"/>
      <w:r w:rsidRPr="004D46AC">
        <w:rPr>
          <w:rFonts w:ascii="Arial" w:hAnsi="Arial" w:cs="Arial"/>
          <w:i/>
          <w:szCs w:val="22"/>
        </w:rPr>
        <w:t>Behav</w:t>
      </w:r>
      <w:proofErr w:type="spellEnd"/>
      <w:r w:rsidRPr="004D46AC">
        <w:rPr>
          <w:rFonts w:ascii="Arial" w:hAnsi="Arial" w:cs="Arial"/>
          <w:i/>
          <w:szCs w:val="22"/>
        </w:rPr>
        <w:t xml:space="preserve"> Res Methods</w:t>
      </w:r>
      <w:r w:rsidRPr="004D46AC">
        <w:rPr>
          <w:rFonts w:ascii="Arial" w:hAnsi="Arial" w:cs="Arial"/>
          <w:szCs w:val="22"/>
        </w:rPr>
        <w:t>,</w:t>
      </w:r>
      <w:r w:rsidRPr="004D46AC">
        <w:rPr>
          <w:rFonts w:ascii="Arial" w:hAnsi="Arial" w:cs="Arial"/>
          <w:i/>
          <w:szCs w:val="22"/>
        </w:rPr>
        <w:t xml:space="preserve"> 50</w:t>
      </w:r>
      <w:r w:rsidRPr="004D46AC">
        <w:rPr>
          <w:rFonts w:ascii="Arial" w:hAnsi="Arial" w:cs="Arial"/>
          <w:szCs w:val="22"/>
        </w:rPr>
        <w:t xml:space="preserve">(1), 195-212. https://doi.org/10.3758/s13428-017-0862-1 </w:t>
      </w:r>
    </w:p>
    <w:p w14:paraId="154D812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Erikson, E. (1959). Theory of identity development. </w:t>
      </w:r>
      <w:r w:rsidRPr="004D46AC">
        <w:rPr>
          <w:rFonts w:ascii="Arial" w:hAnsi="Arial" w:cs="Arial"/>
          <w:i/>
          <w:szCs w:val="22"/>
        </w:rPr>
        <w:t xml:space="preserve">E. Erikson, Identity and the life cycle. Nueva York: International Universities Press. </w:t>
      </w:r>
      <w:proofErr w:type="spellStart"/>
      <w:r w:rsidRPr="004D46AC">
        <w:rPr>
          <w:rFonts w:ascii="Arial" w:hAnsi="Arial" w:cs="Arial"/>
          <w:i/>
          <w:szCs w:val="22"/>
        </w:rPr>
        <w:t>Obtenido</w:t>
      </w:r>
      <w:proofErr w:type="spellEnd"/>
      <w:r w:rsidRPr="004D46AC">
        <w:rPr>
          <w:rFonts w:ascii="Arial" w:hAnsi="Arial" w:cs="Arial"/>
          <w:i/>
          <w:szCs w:val="22"/>
        </w:rPr>
        <w:t xml:space="preserve"> de http://childdevpsychology. </w:t>
      </w:r>
      <w:proofErr w:type="spellStart"/>
      <w:r w:rsidRPr="004D46AC">
        <w:rPr>
          <w:rFonts w:ascii="Arial" w:hAnsi="Arial" w:cs="Arial"/>
          <w:i/>
          <w:szCs w:val="22"/>
        </w:rPr>
        <w:t>yolasite</w:t>
      </w:r>
      <w:proofErr w:type="spellEnd"/>
      <w:r w:rsidRPr="004D46AC">
        <w:rPr>
          <w:rFonts w:ascii="Arial" w:hAnsi="Arial" w:cs="Arial"/>
          <w:i/>
          <w:szCs w:val="22"/>
        </w:rPr>
        <w:t xml:space="preserve">. com/resources/theory% 20of% 20ident </w:t>
      </w:r>
      <w:proofErr w:type="spellStart"/>
      <w:r w:rsidRPr="004D46AC">
        <w:rPr>
          <w:rFonts w:ascii="Arial" w:hAnsi="Arial" w:cs="Arial"/>
          <w:i/>
          <w:szCs w:val="22"/>
        </w:rPr>
        <w:t>ity</w:t>
      </w:r>
      <w:proofErr w:type="spellEnd"/>
      <w:r w:rsidRPr="004D46AC">
        <w:rPr>
          <w:rFonts w:ascii="Arial" w:hAnsi="Arial" w:cs="Arial"/>
          <w:i/>
          <w:szCs w:val="22"/>
        </w:rPr>
        <w:t>% 20erikson. pdf</w:t>
      </w:r>
      <w:r w:rsidRPr="004D46AC">
        <w:rPr>
          <w:rFonts w:ascii="Arial" w:hAnsi="Arial" w:cs="Arial"/>
          <w:szCs w:val="22"/>
        </w:rPr>
        <w:t xml:space="preserve">. </w:t>
      </w:r>
    </w:p>
    <w:p w14:paraId="595F5AF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Espie, C. A., Farias Machado, P., Carl, J. R., Kyle, S. D., Cape, J., Siriwardena, A. N., &amp; Luik, A. I. (2018). The Sleep Condition Indicator: reference values derived from a sample of 200 000 adults. </w:t>
      </w:r>
      <w:r w:rsidRPr="004D46AC">
        <w:rPr>
          <w:rFonts w:ascii="Arial" w:hAnsi="Arial" w:cs="Arial"/>
          <w:i/>
          <w:szCs w:val="22"/>
        </w:rPr>
        <w:t>Journal of Sleep Research</w:t>
      </w:r>
      <w:r w:rsidRPr="004D46AC">
        <w:rPr>
          <w:rFonts w:ascii="Arial" w:hAnsi="Arial" w:cs="Arial"/>
          <w:szCs w:val="22"/>
        </w:rPr>
        <w:t>,</w:t>
      </w:r>
      <w:r w:rsidRPr="004D46AC">
        <w:rPr>
          <w:rFonts w:ascii="Arial" w:hAnsi="Arial" w:cs="Arial"/>
          <w:i/>
          <w:szCs w:val="22"/>
        </w:rPr>
        <w:t xml:space="preserve"> 27</w:t>
      </w:r>
      <w:r w:rsidRPr="004D46AC">
        <w:rPr>
          <w:rFonts w:ascii="Arial" w:hAnsi="Arial" w:cs="Arial"/>
          <w:szCs w:val="22"/>
        </w:rPr>
        <w:t xml:space="preserve">(3), e12643. https://doi.org/https://doi.org/10.1111/jsr.12643 </w:t>
      </w:r>
    </w:p>
    <w:p w14:paraId="3A32050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Espie, C. A., Kyle, S. D., Hames, P., Gardani, M., Fleming, L., &amp; Cape, J. (2014). The Sleep Condition Indicator: a clinical screening tool to evaluate insomnia disorder. </w:t>
      </w:r>
      <w:r w:rsidRPr="004D46AC">
        <w:rPr>
          <w:rFonts w:ascii="Arial" w:hAnsi="Arial" w:cs="Arial"/>
          <w:i/>
          <w:szCs w:val="22"/>
        </w:rPr>
        <w:t>BMJ Open</w:t>
      </w:r>
      <w:r w:rsidRPr="004D46AC">
        <w:rPr>
          <w:rFonts w:ascii="Arial" w:hAnsi="Arial" w:cs="Arial"/>
          <w:szCs w:val="22"/>
        </w:rPr>
        <w:t>,</w:t>
      </w:r>
      <w:r w:rsidRPr="004D46AC">
        <w:rPr>
          <w:rFonts w:ascii="Arial" w:hAnsi="Arial" w:cs="Arial"/>
          <w:i/>
          <w:szCs w:val="22"/>
        </w:rPr>
        <w:t xml:space="preserve"> 4</w:t>
      </w:r>
      <w:r w:rsidRPr="004D46AC">
        <w:rPr>
          <w:rFonts w:ascii="Arial" w:hAnsi="Arial" w:cs="Arial"/>
          <w:szCs w:val="22"/>
        </w:rPr>
        <w:t xml:space="preserve">(3), e004183. https://doi.org/10.1136/bmjopen-2013-004183 </w:t>
      </w:r>
    </w:p>
    <w:p w14:paraId="2BF8DAE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Everson, S. A., Goldberg, D. E., Kaplan, G. A., Cohen, R. D., </w:t>
      </w:r>
      <w:proofErr w:type="spellStart"/>
      <w:r w:rsidRPr="004D46AC">
        <w:rPr>
          <w:rFonts w:ascii="Arial" w:hAnsi="Arial" w:cs="Arial"/>
          <w:szCs w:val="22"/>
        </w:rPr>
        <w:t>Pukkala</w:t>
      </w:r>
      <w:proofErr w:type="spellEnd"/>
      <w:r w:rsidRPr="004D46AC">
        <w:rPr>
          <w:rFonts w:ascii="Arial" w:hAnsi="Arial" w:cs="Arial"/>
          <w:szCs w:val="22"/>
        </w:rPr>
        <w:t xml:space="preserve">, E., </w:t>
      </w:r>
      <w:proofErr w:type="spellStart"/>
      <w:r w:rsidRPr="004D46AC">
        <w:rPr>
          <w:rFonts w:ascii="Arial" w:hAnsi="Arial" w:cs="Arial"/>
          <w:szCs w:val="22"/>
        </w:rPr>
        <w:t>Tuomilehto</w:t>
      </w:r>
      <w:proofErr w:type="spellEnd"/>
      <w:r w:rsidRPr="004D46AC">
        <w:rPr>
          <w:rFonts w:ascii="Arial" w:hAnsi="Arial" w:cs="Arial"/>
          <w:szCs w:val="22"/>
        </w:rPr>
        <w:t xml:space="preserve">, J., &amp; Salonen, J. T. (1996). Hopelessness and Risk of Mortality and Incidence of Myocardial Infarction and Cancer. </w:t>
      </w:r>
      <w:r w:rsidRPr="004D46AC">
        <w:rPr>
          <w:rFonts w:ascii="Arial" w:hAnsi="Arial" w:cs="Arial"/>
          <w:i/>
          <w:szCs w:val="22"/>
        </w:rPr>
        <w:t>Biopsychosocial Science and Medicine</w:t>
      </w:r>
      <w:r w:rsidRPr="004D46AC">
        <w:rPr>
          <w:rFonts w:ascii="Arial" w:hAnsi="Arial" w:cs="Arial"/>
          <w:szCs w:val="22"/>
        </w:rPr>
        <w:t>,</w:t>
      </w:r>
      <w:r w:rsidRPr="004D46AC">
        <w:rPr>
          <w:rFonts w:ascii="Arial" w:hAnsi="Arial" w:cs="Arial"/>
          <w:i/>
          <w:szCs w:val="22"/>
        </w:rPr>
        <w:t xml:space="preserve"> 58</w:t>
      </w:r>
      <w:r w:rsidRPr="004D46AC">
        <w:rPr>
          <w:rFonts w:ascii="Arial" w:hAnsi="Arial" w:cs="Arial"/>
          <w:szCs w:val="22"/>
        </w:rPr>
        <w:t xml:space="preserve">(2). </w:t>
      </w:r>
    </w:p>
    <w:p w14:paraId="04F3A51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Fonseca-Pedrero, E., Ortuño-Sierra, J., </w:t>
      </w:r>
      <w:proofErr w:type="spellStart"/>
      <w:r w:rsidRPr="004D46AC">
        <w:rPr>
          <w:rFonts w:ascii="Arial" w:hAnsi="Arial" w:cs="Arial"/>
          <w:szCs w:val="22"/>
        </w:rPr>
        <w:t>Chocarro</w:t>
      </w:r>
      <w:proofErr w:type="spellEnd"/>
      <w:r w:rsidRPr="004D46AC">
        <w:rPr>
          <w:rFonts w:ascii="Arial" w:hAnsi="Arial" w:cs="Arial"/>
          <w:szCs w:val="22"/>
        </w:rPr>
        <w:t xml:space="preserve">, E., Inchausti, F., </w:t>
      </w:r>
      <w:proofErr w:type="spellStart"/>
      <w:r w:rsidRPr="004D46AC">
        <w:rPr>
          <w:rFonts w:ascii="Arial" w:hAnsi="Arial" w:cs="Arial"/>
          <w:szCs w:val="22"/>
        </w:rPr>
        <w:t>Debbané</w:t>
      </w:r>
      <w:proofErr w:type="spellEnd"/>
      <w:r w:rsidRPr="004D46AC">
        <w:rPr>
          <w:rFonts w:ascii="Arial" w:hAnsi="Arial" w:cs="Arial"/>
          <w:szCs w:val="22"/>
        </w:rPr>
        <w:t xml:space="preserve">, M., &amp; </w:t>
      </w:r>
      <w:proofErr w:type="spellStart"/>
      <w:r w:rsidRPr="004D46AC">
        <w:rPr>
          <w:rFonts w:ascii="Arial" w:hAnsi="Arial" w:cs="Arial"/>
          <w:szCs w:val="22"/>
        </w:rPr>
        <w:t>Bobes</w:t>
      </w:r>
      <w:proofErr w:type="spellEnd"/>
      <w:r w:rsidRPr="004D46AC">
        <w:rPr>
          <w:rFonts w:ascii="Arial" w:hAnsi="Arial" w:cs="Arial"/>
          <w:szCs w:val="22"/>
        </w:rPr>
        <w:t xml:space="preserve">, J. (2017). Psychosis risk screening: Validation of the youth psychosis at-risk questionnaire - brief in a community-derived sample of adolescents. </w:t>
      </w:r>
      <w:r w:rsidRPr="004D46AC">
        <w:rPr>
          <w:rFonts w:ascii="Arial" w:hAnsi="Arial" w:cs="Arial"/>
          <w:i/>
          <w:szCs w:val="22"/>
        </w:rPr>
        <w:t>International journal of methods in psychiatric research</w:t>
      </w:r>
      <w:r w:rsidRPr="004D46AC">
        <w:rPr>
          <w:rFonts w:ascii="Arial" w:hAnsi="Arial" w:cs="Arial"/>
          <w:szCs w:val="22"/>
        </w:rPr>
        <w:t>,</w:t>
      </w:r>
      <w:r w:rsidRPr="004D46AC">
        <w:rPr>
          <w:rFonts w:ascii="Arial" w:hAnsi="Arial" w:cs="Arial"/>
          <w:i/>
          <w:szCs w:val="22"/>
        </w:rPr>
        <w:t xml:space="preserve"> 26</w:t>
      </w:r>
      <w:r w:rsidRPr="004D46AC">
        <w:rPr>
          <w:rFonts w:ascii="Arial" w:hAnsi="Arial" w:cs="Arial"/>
          <w:szCs w:val="22"/>
        </w:rPr>
        <w:t xml:space="preserve">(4), e1543. https://doi.org/https://doi.org/10.1002/mpr.1543 </w:t>
      </w:r>
    </w:p>
    <w:p w14:paraId="1210576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Fonseca-Pedrero, E., Ortuño-Sierra, J., Inchausti, F., Rodríguez-</w:t>
      </w:r>
      <w:proofErr w:type="spellStart"/>
      <w:r w:rsidRPr="004D46AC">
        <w:rPr>
          <w:rFonts w:ascii="Arial" w:hAnsi="Arial" w:cs="Arial"/>
          <w:szCs w:val="22"/>
        </w:rPr>
        <w:t>Testal</w:t>
      </w:r>
      <w:proofErr w:type="spellEnd"/>
      <w:r w:rsidRPr="004D46AC">
        <w:rPr>
          <w:rFonts w:ascii="Arial" w:hAnsi="Arial" w:cs="Arial"/>
          <w:szCs w:val="22"/>
        </w:rPr>
        <w:t xml:space="preserve">, J. F., &amp; </w:t>
      </w:r>
      <w:proofErr w:type="spellStart"/>
      <w:r w:rsidRPr="004D46AC">
        <w:rPr>
          <w:rFonts w:ascii="Arial" w:hAnsi="Arial" w:cs="Arial"/>
          <w:szCs w:val="22"/>
        </w:rPr>
        <w:t>Debbané</w:t>
      </w:r>
      <w:proofErr w:type="spellEnd"/>
      <w:r w:rsidRPr="004D46AC">
        <w:rPr>
          <w:rFonts w:ascii="Arial" w:hAnsi="Arial" w:cs="Arial"/>
          <w:szCs w:val="22"/>
        </w:rPr>
        <w:t xml:space="preserve">, M. (2020). Beyond Clinical High-Risk State for Psychosis: The Network Structure of Multidimensional Psychosis Liability in Adolescents [Original Research]. </w:t>
      </w:r>
      <w:r w:rsidRPr="004D46AC">
        <w:rPr>
          <w:rFonts w:ascii="Arial" w:hAnsi="Arial" w:cs="Arial"/>
          <w:i/>
          <w:szCs w:val="22"/>
        </w:rPr>
        <w:t>Frontiers in Psychiatry</w:t>
      </w:r>
      <w:r w:rsidRPr="004D46AC">
        <w:rPr>
          <w:rFonts w:ascii="Arial" w:hAnsi="Arial" w:cs="Arial"/>
          <w:szCs w:val="22"/>
        </w:rPr>
        <w:t>,</w:t>
      </w:r>
      <w:r w:rsidRPr="004D46AC">
        <w:rPr>
          <w:rFonts w:ascii="Arial" w:hAnsi="Arial" w:cs="Arial"/>
          <w:i/>
          <w:szCs w:val="22"/>
        </w:rPr>
        <w:t xml:space="preserve"> 10</w:t>
      </w:r>
      <w:r w:rsidRPr="004D46AC">
        <w:rPr>
          <w:rFonts w:ascii="Arial" w:hAnsi="Arial" w:cs="Arial"/>
          <w:szCs w:val="22"/>
        </w:rPr>
        <w:t xml:space="preserve">. https://doi.org/10.3389/fpsyt.2019.00967 </w:t>
      </w:r>
    </w:p>
    <w:p w14:paraId="17F5657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Forbes, M. K., Sunderland, M., </w:t>
      </w:r>
      <w:proofErr w:type="spellStart"/>
      <w:r w:rsidRPr="004D46AC">
        <w:rPr>
          <w:rFonts w:ascii="Arial" w:hAnsi="Arial" w:cs="Arial"/>
          <w:szCs w:val="22"/>
        </w:rPr>
        <w:t>Rapee</w:t>
      </w:r>
      <w:proofErr w:type="spellEnd"/>
      <w:r w:rsidRPr="004D46AC">
        <w:rPr>
          <w:rFonts w:ascii="Arial" w:hAnsi="Arial" w:cs="Arial"/>
          <w:szCs w:val="22"/>
        </w:rPr>
        <w:t xml:space="preserve">, R. M., </w:t>
      </w:r>
      <w:proofErr w:type="spellStart"/>
      <w:r w:rsidRPr="004D46AC">
        <w:rPr>
          <w:rFonts w:ascii="Arial" w:hAnsi="Arial" w:cs="Arial"/>
          <w:szCs w:val="22"/>
        </w:rPr>
        <w:t>Batterham</w:t>
      </w:r>
      <w:proofErr w:type="spellEnd"/>
      <w:r w:rsidRPr="004D46AC">
        <w:rPr>
          <w:rFonts w:ascii="Arial" w:hAnsi="Arial" w:cs="Arial"/>
          <w:szCs w:val="22"/>
        </w:rPr>
        <w:t xml:space="preserve">, P. J., </w:t>
      </w:r>
      <w:proofErr w:type="spellStart"/>
      <w:r w:rsidRPr="004D46AC">
        <w:rPr>
          <w:rFonts w:ascii="Arial" w:hAnsi="Arial" w:cs="Arial"/>
          <w:szCs w:val="22"/>
        </w:rPr>
        <w:t>Calear</w:t>
      </w:r>
      <w:proofErr w:type="spellEnd"/>
      <w:r w:rsidRPr="004D46AC">
        <w:rPr>
          <w:rFonts w:ascii="Arial" w:hAnsi="Arial" w:cs="Arial"/>
          <w:szCs w:val="22"/>
        </w:rPr>
        <w:t xml:space="preserve">, A. L., Carragher, N., Ruggero, C., Zimmerman, M., Baillie, A. J., Lynch, S. J., </w:t>
      </w:r>
      <w:proofErr w:type="spellStart"/>
      <w:r w:rsidRPr="004D46AC">
        <w:rPr>
          <w:rFonts w:ascii="Arial" w:hAnsi="Arial" w:cs="Arial"/>
          <w:szCs w:val="22"/>
        </w:rPr>
        <w:t>Mewton</w:t>
      </w:r>
      <w:proofErr w:type="spellEnd"/>
      <w:r w:rsidRPr="004D46AC">
        <w:rPr>
          <w:rFonts w:ascii="Arial" w:hAnsi="Arial" w:cs="Arial"/>
          <w:szCs w:val="22"/>
        </w:rPr>
        <w:t xml:space="preserve">, L., Slade, T., &amp; Krueger, R. F. (2021). A Detailed Hierarchical Model of Psychopathology: From Individual Symptoms up to the General Factor of Psychopathology. </w:t>
      </w:r>
      <w:r w:rsidRPr="004D46AC">
        <w:rPr>
          <w:rFonts w:ascii="Arial" w:hAnsi="Arial" w:cs="Arial"/>
          <w:i/>
          <w:szCs w:val="22"/>
        </w:rPr>
        <w:t>Clinical Psychological Science</w:t>
      </w:r>
      <w:r w:rsidRPr="004D46AC">
        <w:rPr>
          <w:rFonts w:ascii="Arial" w:hAnsi="Arial" w:cs="Arial"/>
          <w:szCs w:val="22"/>
        </w:rPr>
        <w:t>,</w:t>
      </w:r>
      <w:r w:rsidRPr="004D46AC">
        <w:rPr>
          <w:rFonts w:ascii="Arial" w:hAnsi="Arial" w:cs="Arial"/>
          <w:i/>
          <w:szCs w:val="22"/>
        </w:rPr>
        <w:t xml:space="preserve"> 9</w:t>
      </w:r>
      <w:r w:rsidRPr="004D46AC">
        <w:rPr>
          <w:rFonts w:ascii="Arial" w:hAnsi="Arial" w:cs="Arial"/>
          <w:szCs w:val="22"/>
        </w:rPr>
        <w:t xml:space="preserve">(2), 139-168. https://doi.org/10.1177/2167702620954799 </w:t>
      </w:r>
    </w:p>
    <w:p w14:paraId="3C42E47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Freeman, D., </w:t>
      </w:r>
      <w:proofErr w:type="spellStart"/>
      <w:r w:rsidRPr="004D46AC">
        <w:rPr>
          <w:rFonts w:ascii="Arial" w:hAnsi="Arial" w:cs="Arial"/>
          <w:szCs w:val="22"/>
        </w:rPr>
        <w:t>Garety</w:t>
      </w:r>
      <w:proofErr w:type="spellEnd"/>
      <w:r w:rsidRPr="004D46AC">
        <w:rPr>
          <w:rFonts w:ascii="Arial" w:hAnsi="Arial" w:cs="Arial"/>
          <w:szCs w:val="22"/>
        </w:rPr>
        <w:t xml:space="preserve">, P. A., Bebbington, P. E., Smith, B., Rollinson, R., Fowler, D., Kuipers, E., Ray, K., &amp; Dunn, G. (2005). Psychological investigation of the structure of </w:t>
      </w:r>
      <w:r w:rsidRPr="004D46AC">
        <w:rPr>
          <w:rFonts w:ascii="Arial" w:hAnsi="Arial" w:cs="Arial"/>
          <w:szCs w:val="22"/>
        </w:rPr>
        <w:lastRenderedPageBreak/>
        <w:t xml:space="preserve">paranoia in a non-clinical population. </w:t>
      </w:r>
      <w:r w:rsidRPr="004D46AC">
        <w:rPr>
          <w:rFonts w:ascii="Arial" w:hAnsi="Arial" w:cs="Arial"/>
          <w:i/>
          <w:szCs w:val="22"/>
        </w:rPr>
        <w:t>Br J Psychiatry</w:t>
      </w:r>
      <w:r w:rsidRPr="004D46AC">
        <w:rPr>
          <w:rFonts w:ascii="Arial" w:hAnsi="Arial" w:cs="Arial"/>
          <w:szCs w:val="22"/>
        </w:rPr>
        <w:t>,</w:t>
      </w:r>
      <w:r w:rsidRPr="004D46AC">
        <w:rPr>
          <w:rFonts w:ascii="Arial" w:hAnsi="Arial" w:cs="Arial"/>
          <w:i/>
          <w:szCs w:val="22"/>
        </w:rPr>
        <w:t xml:space="preserve"> 186</w:t>
      </w:r>
      <w:r w:rsidRPr="004D46AC">
        <w:rPr>
          <w:rFonts w:ascii="Arial" w:hAnsi="Arial" w:cs="Arial"/>
          <w:szCs w:val="22"/>
        </w:rPr>
        <w:t xml:space="preserve">, 427-435. https://doi.org/10.1192/bjp.186.5.427 </w:t>
      </w:r>
    </w:p>
    <w:p w14:paraId="6D439FB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Friedman, N., </w:t>
      </w:r>
      <w:proofErr w:type="spellStart"/>
      <w:r w:rsidRPr="004D46AC">
        <w:rPr>
          <w:rFonts w:ascii="Arial" w:hAnsi="Arial" w:cs="Arial"/>
          <w:szCs w:val="22"/>
        </w:rPr>
        <w:t>Goldszmidt</w:t>
      </w:r>
      <w:proofErr w:type="spellEnd"/>
      <w:r w:rsidRPr="004D46AC">
        <w:rPr>
          <w:rFonts w:ascii="Arial" w:hAnsi="Arial" w:cs="Arial"/>
          <w:szCs w:val="22"/>
        </w:rPr>
        <w:t xml:space="preserve">, M., &amp; Wyner, A. (1999). </w:t>
      </w:r>
      <w:r w:rsidRPr="004D46AC">
        <w:rPr>
          <w:rFonts w:ascii="Arial" w:hAnsi="Arial" w:cs="Arial"/>
          <w:i/>
          <w:szCs w:val="22"/>
        </w:rPr>
        <w:t xml:space="preserve">Data analysis with </w:t>
      </w:r>
      <w:proofErr w:type="spellStart"/>
      <w:r w:rsidRPr="004D46AC">
        <w:rPr>
          <w:rFonts w:ascii="Arial" w:hAnsi="Arial" w:cs="Arial"/>
          <w:i/>
          <w:szCs w:val="22"/>
        </w:rPr>
        <w:t>bayesian</w:t>
      </w:r>
      <w:proofErr w:type="spellEnd"/>
      <w:r w:rsidRPr="004D46AC">
        <w:rPr>
          <w:rFonts w:ascii="Arial" w:hAnsi="Arial" w:cs="Arial"/>
          <w:i/>
          <w:szCs w:val="22"/>
        </w:rPr>
        <w:t xml:space="preserve"> networks: a bootstrap approach</w:t>
      </w:r>
      <w:r w:rsidRPr="004D46AC">
        <w:rPr>
          <w:rFonts w:ascii="Arial" w:hAnsi="Arial" w:cs="Arial"/>
          <w:szCs w:val="22"/>
        </w:rPr>
        <w:t xml:space="preserve"> Proceedings of the Fifteenth conference on Uncertainty in artificial intelligence, Stockholm, Sweden. </w:t>
      </w:r>
    </w:p>
    <w:p w14:paraId="565229CF"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Fusar</w:t>
      </w:r>
      <w:proofErr w:type="spellEnd"/>
      <w:r w:rsidRPr="004D46AC">
        <w:rPr>
          <w:rFonts w:ascii="Arial" w:hAnsi="Arial" w:cs="Arial"/>
          <w:szCs w:val="22"/>
        </w:rPr>
        <w:t xml:space="preserve">-Poli, P., Bechdolf, A., Taylor, M. J., </w:t>
      </w:r>
      <w:proofErr w:type="spellStart"/>
      <w:r w:rsidRPr="004D46AC">
        <w:rPr>
          <w:rFonts w:ascii="Arial" w:hAnsi="Arial" w:cs="Arial"/>
          <w:szCs w:val="22"/>
        </w:rPr>
        <w:t>Bonoldi</w:t>
      </w:r>
      <w:proofErr w:type="spellEnd"/>
      <w:r w:rsidRPr="004D46AC">
        <w:rPr>
          <w:rFonts w:ascii="Arial" w:hAnsi="Arial" w:cs="Arial"/>
          <w:szCs w:val="22"/>
        </w:rPr>
        <w:t xml:space="preserve">, I., Carpenter, W. T., Yung, A. R., &amp; McGuire, P. (2013). At risk for schizophrenic or affective psychoses? A meta-analysis of DSM/ICD diagnostic outcomes in individuals at high clinical risk.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(4), 923-932. https://doi.org/10.1093/schbul/sbs060 </w:t>
      </w:r>
    </w:p>
    <w:p w14:paraId="291AC23E"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Fusar</w:t>
      </w:r>
      <w:proofErr w:type="spellEnd"/>
      <w:r w:rsidRPr="004D46AC">
        <w:rPr>
          <w:rFonts w:ascii="Arial" w:hAnsi="Arial" w:cs="Arial"/>
          <w:szCs w:val="22"/>
        </w:rPr>
        <w:t xml:space="preserve">-Poli, P., De Micheli, A., </w:t>
      </w:r>
      <w:proofErr w:type="spellStart"/>
      <w:r w:rsidRPr="004D46AC">
        <w:rPr>
          <w:rFonts w:ascii="Arial" w:hAnsi="Arial" w:cs="Arial"/>
          <w:szCs w:val="22"/>
        </w:rPr>
        <w:t>Rocchetti</w:t>
      </w:r>
      <w:proofErr w:type="spellEnd"/>
      <w:r w:rsidRPr="004D46AC">
        <w:rPr>
          <w:rFonts w:ascii="Arial" w:hAnsi="Arial" w:cs="Arial"/>
          <w:szCs w:val="22"/>
        </w:rPr>
        <w:t xml:space="preserve">, M., </w:t>
      </w:r>
      <w:proofErr w:type="spellStart"/>
      <w:r w:rsidRPr="004D46AC">
        <w:rPr>
          <w:rFonts w:ascii="Arial" w:hAnsi="Arial" w:cs="Arial"/>
          <w:szCs w:val="22"/>
        </w:rPr>
        <w:t>Cappucciati</w:t>
      </w:r>
      <w:proofErr w:type="spellEnd"/>
      <w:r w:rsidRPr="004D46AC">
        <w:rPr>
          <w:rFonts w:ascii="Arial" w:hAnsi="Arial" w:cs="Arial"/>
          <w:szCs w:val="22"/>
        </w:rPr>
        <w:t>, M., Ramella-</w:t>
      </w:r>
      <w:proofErr w:type="spellStart"/>
      <w:r w:rsidRPr="004D46AC">
        <w:rPr>
          <w:rFonts w:ascii="Arial" w:hAnsi="Arial" w:cs="Arial"/>
          <w:szCs w:val="22"/>
        </w:rPr>
        <w:t>Cravaro</w:t>
      </w:r>
      <w:proofErr w:type="spellEnd"/>
      <w:r w:rsidRPr="004D46AC">
        <w:rPr>
          <w:rFonts w:ascii="Arial" w:hAnsi="Arial" w:cs="Arial"/>
          <w:szCs w:val="22"/>
        </w:rPr>
        <w:t xml:space="preserve">, V., Rutigliano, G., Bonoldi, I., McGuire, P., &amp; Falkenberg, I. (2018). </w:t>
      </w:r>
      <w:proofErr w:type="spellStart"/>
      <w:r w:rsidRPr="004D46AC">
        <w:rPr>
          <w:rFonts w:ascii="Arial" w:hAnsi="Arial" w:cs="Arial"/>
          <w:szCs w:val="22"/>
        </w:rPr>
        <w:t>Semistructured</w:t>
      </w:r>
      <w:proofErr w:type="spellEnd"/>
      <w:r w:rsidRPr="004D46AC">
        <w:rPr>
          <w:rFonts w:ascii="Arial" w:hAnsi="Arial" w:cs="Arial"/>
          <w:szCs w:val="22"/>
        </w:rPr>
        <w:t xml:space="preserve"> Interview for Bipolar </w:t>
      </w:r>
      <w:proofErr w:type="gramStart"/>
      <w:r w:rsidRPr="004D46AC">
        <w:rPr>
          <w:rFonts w:ascii="Arial" w:hAnsi="Arial" w:cs="Arial"/>
          <w:szCs w:val="22"/>
        </w:rPr>
        <w:t>At</w:t>
      </w:r>
      <w:proofErr w:type="gramEnd"/>
      <w:r w:rsidRPr="004D46AC">
        <w:rPr>
          <w:rFonts w:ascii="Arial" w:hAnsi="Arial" w:cs="Arial"/>
          <w:szCs w:val="22"/>
        </w:rPr>
        <w:t xml:space="preserve"> Risk States (SIBARS). </w:t>
      </w:r>
      <w:r w:rsidRPr="004D46AC">
        <w:rPr>
          <w:rFonts w:ascii="Arial" w:hAnsi="Arial" w:cs="Arial"/>
          <w:i/>
          <w:szCs w:val="22"/>
        </w:rPr>
        <w:t>Psychiatry Research</w:t>
      </w:r>
      <w:r w:rsidRPr="004D46AC">
        <w:rPr>
          <w:rFonts w:ascii="Arial" w:hAnsi="Arial" w:cs="Arial"/>
          <w:szCs w:val="22"/>
        </w:rPr>
        <w:t>,</w:t>
      </w:r>
      <w:r w:rsidRPr="004D46AC">
        <w:rPr>
          <w:rFonts w:ascii="Arial" w:hAnsi="Arial" w:cs="Arial"/>
          <w:i/>
          <w:szCs w:val="22"/>
        </w:rPr>
        <w:t xml:space="preserve"> 264</w:t>
      </w:r>
      <w:r w:rsidRPr="004D46AC">
        <w:rPr>
          <w:rFonts w:ascii="Arial" w:hAnsi="Arial" w:cs="Arial"/>
          <w:szCs w:val="22"/>
        </w:rPr>
        <w:t xml:space="preserve">, 302-309. https://doi.org/https://doi.org/10.1016/j.psychres.2018.03.074 </w:t>
      </w:r>
    </w:p>
    <w:p w14:paraId="029A886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Haddock, G., Wolfenden, M., Lowens, I., Tarrier, N., &amp; Bentall, R. P. (1995). Effect of emotional salience on thought disorder in patients with schizophrenia. </w:t>
      </w:r>
      <w:r w:rsidRPr="004D46AC">
        <w:rPr>
          <w:rFonts w:ascii="Arial" w:hAnsi="Arial" w:cs="Arial"/>
          <w:i/>
          <w:szCs w:val="22"/>
        </w:rPr>
        <w:t>Br J Psychiatry</w:t>
      </w:r>
      <w:r w:rsidRPr="004D46AC">
        <w:rPr>
          <w:rFonts w:ascii="Arial" w:hAnsi="Arial" w:cs="Arial"/>
          <w:szCs w:val="22"/>
        </w:rPr>
        <w:t>,</w:t>
      </w:r>
      <w:r w:rsidRPr="004D46AC">
        <w:rPr>
          <w:rFonts w:ascii="Arial" w:hAnsi="Arial" w:cs="Arial"/>
          <w:i/>
          <w:szCs w:val="22"/>
        </w:rPr>
        <w:t xml:space="preserve"> 167</w:t>
      </w:r>
      <w:r w:rsidRPr="004D46AC">
        <w:rPr>
          <w:rFonts w:ascii="Arial" w:hAnsi="Arial" w:cs="Arial"/>
          <w:szCs w:val="22"/>
        </w:rPr>
        <w:t xml:space="preserve">(5), 618-620. https://doi.org/10.1192/bjp.167.5.618 </w:t>
      </w:r>
    </w:p>
    <w:p w14:paraId="7D6FED5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Hafeman, D. M., Merranko, J., Axelson, D., Goldstein, B. I., Goldstein, T., Monk, K., Hickey, M. B., Sakolsky, D., </w:t>
      </w:r>
      <w:proofErr w:type="spellStart"/>
      <w:r w:rsidRPr="004D46AC">
        <w:rPr>
          <w:rFonts w:ascii="Arial" w:hAnsi="Arial" w:cs="Arial"/>
          <w:szCs w:val="22"/>
        </w:rPr>
        <w:t>Diler</w:t>
      </w:r>
      <w:proofErr w:type="spellEnd"/>
      <w:r w:rsidRPr="004D46AC">
        <w:rPr>
          <w:rFonts w:ascii="Arial" w:hAnsi="Arial" w:cs="Arial"/>
          <w:szCs w:val="22"/>
        </w:rPr>
        <w:t xml:space="preserve">, R., Iyengar, S., Brent, D., Kupfer, D., &amp; </w:t>
      </w:r>
      <w:proofErr w:type="spellStart"/>
      <w:r w:rsidRPr="004D46AC">
        <w:rPr>
          <w:rFonts w:ascii="Arial" w:hAnsi="Arial" w:cs="Arial"/>
          <w:szCs w:val="22"/>
        </w:rPr>
        <w:t>Birmaher</w:t>
      </w:r>
      <w:proofErr w:type="spellEnd"/>
      <w:r w:rsidRPr="004D46AC">
        <w:rPr>
          <w:rFonts w:ascii="Arial" w:hAnsi="Arial" w:cs="Arial"/>
          <w:szCs w:val="22"/>
        </w:rPr>
        <w:t xml:space="preserve">, B. (2016). Toward the Definition of a Bipolar Prodrome: Dimensional Predictors of Bipolar Spectrum Disorders in At-Risk Youths. </w:t>
      </w:r>
      <w:r w:rsidRPr="004D46AC">
        <w:rPr>
          <w:rFonts w:ascii="Arial" w:hAnsi="Arial" w:cs="Arial"/>
          <w:i/>
          <w:szCs w:val="22"/>
        </w:rPr>
        <w:t>Am J Psychiatry</w:t>
      </w:r>
      <w:r w:rsidRPr="004D46AC">
        <w:rPr>
          <w:rFonts w:ascii="Arial" w:hAnsi="Arial" w:cs="Arial"/>
          <w:szCs w:val="22"/>
        </w:rPr>
        <w:t>,</w:t>
      </w:r>
      <w:r w:rsidRPr="004D46AC">
        <w:rPr>
          <w:rFonts w:ascii="Arial" w:hAnsi="Arial" w:cs="Arial"/>
          <w:i/>
          <w:szCs w:val="22"/>
        </w:rPr>
        <w:t xml:space="preserve"> 173</w:t>
      </w:r>
      <w:r w:rsidRPr="004D46AC">
        <w:rPr>
          <w:rFonts w:ascii="Arial" w:hAnsi="Arial" w:cs="Arial"/>
          <w:szCs w:val="22"/>
        </w:rPr>
        <w:t xml:space="preserve">(7), 695-704. https://doi.org/10.1176/appi.ajp.2015.15040414 </w:t>
      </w:r>
    </w:p>
    <w:p w14:paraId="49F15AE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Hartmann, J. A., McGorry, P. D., Destree, L., </w:t>
      </w:r>
      <w:proofErr w:type="spellStart"/>
      <w:r w:rsidRPr="004D46AC">
        <w:rPr>
          <w:rFonts w:ascii="Arial" w:hAnsi="Arial" w:cs="Arial"/>
          <w:szCs w:val="22"/>
        </w:rPr>
        <w:t>Amminger</w:t>
      </w:r>
      <w:proofErr w:type="spellEnd"/>
      <w:r w:rsidRPr="004D46AC">
        <w:rPr>
          <w:rFonts w:ascii="Arial" w:hAnsi="Arial" w:cs="Arial"/>
          <w:szCs w:val="22"/>
        </w:rPr>
        <w:t xml:space="preserve">, G. P., Chanen, A. M., Davey, C. G., Ghieh, R., Polari, A., Ratheesh, A., Yuen, H. P., &amp; Nelson, B. (2021). Pluripotential Risk and Clinical Staging: Theoretical Considerations and Preliminary Data </w:t>
      </w:r>
      <w:proofErr w:type="gramStart"/>
      <w:r w:rsidRPr="004D46AC">
        <w:rPr>
          <w:rFonts w:ascii="Arial" w:hAnsi="Arial" w:cs="Arial"/>
          <w:szCs w:val="22"/>
        </w:rPr>
        <w:t>From</w:t>
      </w:r>
      <w:proofErr w:type="gramEnd"/>
      <w:r w:rsidRPr="004D46AC">
        <w:rPr>
          <w:rFonts w:ascii="Arial" w:hAnsi="Arial" w:cs="Arial"/>
          <w:szCs w:val="22"/>
        </w:rPr>
        <w:t xml:space="preserve"> a Transdiagnostic Risk Identification Approach [Hypothesis and Theory]. </w:t>
      </w:r>
      <w:r w:rsidRPr="004D46AC">
        <w:rPr>
          <w:rFonts w:ascii="Arial" w:hAnsi="Arial" w:cs="Arial"/>
          <w:i/>
          <w:szCs w:val="22"/>
        </w:rPr>
        <w:t>Frontiers in Psychiatry</w:t>
      </w:r>
      <w:r w:rsidRPr="004D46AC">
        <w:rPr>
          <w:rFonts w:ascii="Arial" w:hAnsi="Arial" w:cs="Arial"/>
          <w:szCs w:val="22"/>
        </w:rPr>
        <w:t>,</w:t>
      </w:r>
      <w:r w:rsidRPr="004D46AC">
        <w:rPr>
          <w:rFonts w:ascii="Arial" w:hAnsi="Arial" w:cs="Arial"/>
          <w:i/>
          <w:szCs w:val="22"/>
        </w:rPr>
        <w:t xml:space="preserve"> Volume 11 - 2020</w:t>
      </w:r>
      <w:r w:rsidRPr="004D46AC">
        <w:rPr>
          <w:rFonts w:ascii="Arial" w:hAnsi="Arial" w:cs="Arial"/>
          <w:szCs w:val="22"/>
        </w:rPr>
        <w:t xml:space="preserve">. https://doi.org/10.3389/fpsyt.2020.553578 </w:t>
      </w:r>
    </w:p>
    <w:p w14:paraId="4B3A471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Hartmann, J. A., Nelson, B., Spooner, R., Paul Amminger, G., Chanen, A., Davey, C. G., McHugh, M., Ratheesh, A., Treen, D., Yuen, H. P., &amp; McGorry, P. D. (2019). Broad clinical high-risk mental state (CHARMS): Methodology of a cohort study validating criteria for pluripotent risk. </w:t>
      </w:r>
      <w:r w:rsidRPr="004D46AC">
        <w:rPr>
          <w:rFonts w:ascii="Arial" w:hAnsi="Arial" w:cs="Arial"/>
          <w:i/>
          <w:szCs w:val="22"/>
        </w:rPr>
        <w:t xml:space="preserve">Early </w:t>
      </w:r>
      <w:proofErr w:type="spellStart"/>
      <w:r w:rsidRPr="004D46AC">
        <w:rPr>
          <w:rFonts w:ascii="Arial" w:hAnsi="Arial" w:cs="Arial"/>
          <w:i/>
          <w:szCs w:val="22"/>
        </w:rPr>
        <w:t>Interv</w:t>
      </w:r>
      <w:proofErr w:type="spellEnd"/>
      <w:r w:rsidRPr="004D46AC">
        <w:rPr>
          <w:rFonts w:ascii="Arial" w:hAnsi="Arial" w:cs="Arial"/>
          <w:i/>
          <w:szCs w:val="22"/>
        </w:rPr>
        <w:t xml:space="preserve"> Psychiatry</w:t>
      </w:r>
      <w:r w:rsidRPr="004D46AC">
        <w:rPr>
          <w:rFonts w:ascii="Arial" w:hAnsi="Arial" w:cs="Arial"/>
          <w:szCs w:val="22"/>
        </w:rPr>
        <w:t>,</w:t>
      </w:r>
      <w:r w:rsidRPr="004D46AC">
        <w:rPr>
          <w:rFonts w:ascii="Arial" w:hAnsi="Arial" w:cs="Arial"/>
          <w:i/>
          <w:szCs w:val="22"/>
        </w:rPr>
        <w:t xml:space="preserve"> 13</w:t>
      </w:r>
      <w:r w:rsidRPr="004D46AC">
        <w:rPr>
          <w:rFonts w:ascii="Arial" w:hAnsi="Arial" w:cs="Arial"/>
          <w:szCs w:val="22"/>
        </w:rPr>
        <w:t xml:space="preserve">(3), 379-386. https://doi.org/10.1111/eip.12483 </w:t>
      </w:r>
    </w:p>
    <w:p w14:paraId="15C5DCA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Hermans, E. J., Ramsey, N. F., &amp; van Honk, J. (2008). Exogenous Testosterone Enhances Responsiveness to Social Threat in the Neural Circuitry of Social Aggression in Humans. </w:t>
      </w:r>
      <w:r w:rsidRPr="004D46AC">
        <w:rPr>
          <w:rFonts w:ascii="Arial" w:hAnsi="Arial" w:cs="Arial"/>
          <w:i/>
          <w:szCs w:val="22"/>
        </w:rPr>
        <w:t>Biological Psychiatry</w:t>
      </w:r>
      <w:r w:rsidRPr="004D46AC">
        <w:rPr>
          <w:rFonts w:ascii="Arial" w:hAnsi="Arial" w:cs="Arial"/>
          <w:szCs w:val="22"/>
        </w:rPr>
        <w:t>,</w:t>
      </w:r>
      <w:r w:rsidRPr="004D46AC">
        <w:rPr>
          <w:rFonts w:ascii="Arial" w:hAnsi="Arial" w:cs="Arial"/>
          <w:i/>
          <w:szCs w:val="22"/>
        </w:rPr>
        <w:t xml:space="preserve"> 63</w:t>
      </w:r>
      <w:r w:rsidRPr="004D46AC">
        <w:rPr>
          <w:rFonts w:ascii="Arial" w:hAnsi="Arial" w:cs="Arial"/>
          <w:szCs w:val="22"/>
        </w:rPr>
        <w:t xml:space="preserve">(3), 263-270. https://doi.org/10.1016/j.biopsych.2007.05.013 </w:t>
      </w:r>
    </w:p>
    <w:p w14:paraId="62AFAFD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Hoekert, M., Kahn, R. S., </w:t>
      </w:r>
      <w:proofErr w:type="spellStart"/>
      <w:r w:rsidRPr="004D46AC">
        <w:rPr>
          <w:rFonts w:ascii="Arial" w:hAnsi="Arial" w:cs="Arial"/>
          <w:szCs w:val="22"/>
        </w:rPr>
        <w:t>Pijnenborg</w:t>
      </w:r>
      <w:proofErr w:type="spellEnd"/>
      <w:r w:rsidRPr="004D46AC">
        <w:rPr>
          <w:rFonts w:ascii="Arial" w:hAnsi="Arial" w:cs="Arial"/>
          <w:szCs w:val="22"/>
        </w:rPr>
        <w:t xml:space="preserve">, M., &amp; Aleman, A. (2007). Impaired recognition and expression of emotional prosody in schizophrenia: Review and meta-analysis. </w:t>
      </w:r>
      <w:r w:rsidRPr="004D46AC">
        <w:rPr>
          <w:rFonts w:ascii="Arial" w:hAnsi="Arial" w:cs="Arial"/>
          <w:i/>
          <w:szCs w:val="22"/>
        </w:rPr>
        <w:lastRenderedPageBreak/>
        <w:t>Schizophrenia Research</w:t>
      </w:r>
      <w:r w:rsidRPr="004D46AC">
        <w:rPr>
          <w:rFonts w:ascii="Arial" w:hAnsi="Arial" w:cs="Arial"/>
          <w:szCs w:val="22"/>
        </w:rPr>
        <w:t>,</w:t>
      </w:r>
      <w:r w:rsidRPr="004D46AC">
        <w:rPr>
          <w:rFonts w:ascii="Arial" w:hAnsi="Arial" w:cs="Arial"/>
          <w:i/>
          <w:szCs w:val="22"/>
        </w:rPr>
        <w:t xml:space="preserve"> 96</w:t>
      </w:r>
      <w:r w:rsidRPr="004D46AC">
        <w:rPr>
          <w:rFonts w:ascii="Arial" w:hAnsi="Arial" w:cs="Arial"/>
          <w:szCs w:val="22"/>
        </w:rPr>
        <w:t xml:space="preserve">(1), 135-145. https://doi.org/https://doi.org/10.1016/j.schres.2007.07.023 </w:t>
      </w:r>
    </w:p>
    <w:p w14:paraId="08F9A08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Howes, O. D., &amp; Kapur, S. (2009). The Dopamine Hypothesis of Schizophrenia: Version III—The Final Common Pathway. </w:t>
      </w:r>
      <w:r w:rsidRPr="004D46AC">
        <w:rPr>
          <w:rFonts w:ascii="Arial" w:hAnsi="Arial" w:cs="Arial"/>
          <w:i/>
          <w:szCs w:val="22"/>
        </w:rPr>
        <w:t>Schizophrenia Bulletin</w:t>
      </w:r>
      <w:r w:rsidRPr="004D46AC">
        <w:rPr>
          <w:rFonts w:ascii="Arial" w:hAnsi="Arial" w:cs="Arial"/>
          <w:szCs w:val="22"/>
        </w:rPr>
        <w:t>,</w:t>
      </w:r>
      <w:r w:rsidRPr="004D46AC">
        <w:rPr>
          <w:rFonts w:ascii="Arial" w:hAnsi="Arial" w:cs="Arial"/>
          <w:i/>
          <w:szCs w:val="22"/>
        </w:rPr>
        <w:t xml:space="preserve"> 35</w:t>
      </w:r>
      <w:r w:rsidRPr="004D46AC">
        <w:rPr>
          <w:rFonts w:ascii="Arial" w:hAnsi="Arial" w:cs="Arial"/>
          <w:szCs w:val="22"/>
        </w:rPr>
        <w:t xml:space="preserve">(3), 549-562. https://doi.org/10.1093/schbul/sbp006 </w:t>
      </w:r>
    </w:p>
    <w:p w14:paraId="6B90113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Hybels, C. F., Landerman, L. R., &amp; Blazer, D. G. (2012). Age differences in symptom expression in patients with major depression. </w:t>
      </w:r>
      <w:r w:rsidRPr="004D46AC">
        <w:rPr>
          <w:rFonts w:ascii="Arial" w:hAnsi="Arial" w:cs="Arial"/>
          <w:i/>
          <w:szCs w:val="22"/>
        </w:rPr>
        <w:t>International Journal of Geriatric Psychiatry</w:t>
      </w:r>
      <w:r w:rsidRPr="004D46AC">
        <w:rPr>
          <w:rFonts w:ascii="Arial" w:hAnsi="Arial" w:cs="Arial"/>
          <w:szCs w:val="22"/>
        </w:rPr>
        <w:t>,</w:t>
      </w:r>
      <w:r w:rsidRPr="004D46AC">
        <w:rPr>
          <w:rFonts w:ascii="Arial" w:hAnsi="Arial" w:cs="Arial"/>
          <w:i/>
          <w:szCs w:val="22"/>
        </w:rPr>
        <w:t xml:space="preserve"> 27</w:t>
      </w:r>
      <w:r w:rsidRPr="004D46AC">
        <w:rPr>
          <w:rFonts w:ascii="Arial" w:hAnsi="Arial" w:cs="Arial"/>
          <w:szCs w:val="22"/>
        </w:rPr>
        <w:t xml:space="preserve">(6), 601-611. https://doi.org/https://doi.org/10.1002/gps.2759 </w:t>
      </w:r>
    </w:p>
    <w:p w14:paraId="10F1515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Hyde, J. S., &amp; </w:t>
      </w:r>
      <w:proofErr w:type="spellStart"/>
      <w:r w:rsidRPr="004D46AC">
        <w:rPr>
          <w:rFonts w:ascii="Arial" w:hAnsi="Arial" w:cs="Arial"/>
          <w:szCs w:val="22"/>
        </w:rPr>
        <w:t>Mezulis</w:t>
      </w:r>
      <w:proofErr w:type="spellEnd"/>
      <w:r w:rsidRPr="004D46AC">
        <w:rPr>
          <w:rFonts w:ascii="Arial" w:hAnsi="Arial" w:cs="Arial"/>
          <w:szCs w:val="22"/>
        </w:rPr>
        <w:t xml:space="preserve">, A. H. (2020). Gender Differences in Depression: Biological, Affective, Cognitive, and Sociocultural Factors. </w:t>
      </w:r>
      <w:r w:rsidRPr="004D46AC">
        <w:rPr>
          <w:rFonts w:ascii="Arial" w:hAnsi="Arial" w:cs="Arial"/>
          <w:i/>
          <w:szCs w:val="22"/>
        </w:rPr>
        <w:t>Harvard Review of Psychiatry</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(1). </w:t>
      </w:r>
    </w:p>
    <w:p w14:paraId="14CA088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Isham, L., Sheng Loe, B., Hicks, A., Wilson, N., Bird, J. C., Bentall, R. P., &amp; Freeman, D. (2022). The meaning in grandiose delusions: measure development and cohort studies in clinical psychosis and non-clinical general population groups in the UK and Ireland. </w:t>
      </w:r>
      <w:r w:rsidRPr="004D46AC">
        <w:rPr>
          <w:rFonts w:ascii="Arial" w:hAnsi="Arial" w:cs="Arial"/>
          <w:i/>
          <w:szCs w:val="22"/>
        </w:rPr>
        <w:t>Lancet Psychiatry</w:t>
      </w:r>
      <w:r w:rsidRPr="004D46AC">
        <w:rPr>
          <w:rFonts w:ascii="Arial" w:hAnsi="Arial" w:cs="Arial"/>
          <w:szCs w:val="22"/>
        </w:rPr>
        <w:t>,</w:t>
      </w:r>
      <w:r w:rsidRPr="004D46AC">
        <w:rPr>
          <w:rFonts w:ascii="Arial" w:hAnsi="Arial" w:cs="Arial"/>
          <w:i/>
          <w:szCs w:val="22"/>
        </w:rPr>
        <w:t xml:space="preserve"> 9</w:t>
      </w:r>
      <w:r w:rsidRPr="004D46AC">
        <w:rPr>
          <w:rFonts w:ascii="Arial" w:hAnsi="Arial" w:cs="Arial"/>
          <w:szCs w:val="22"/>
        </w:rPr>
        <w:t xml:space="preserve">(10), 792-803. https://doi.org/10.1016/S2215-0366(22)00236-X </w:t>
      </w:r>
    </w:p>
    <w:p w14:paraId="25B5733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Ising, H. K., Veling, W., Loewy, R. L., Rietveld, M. W., </w:t>
      </w:r>
      <w:proofErr w:type="spellStart"/>
      <w:r w:rsidRPr="004D46AC">
        <w:rPr>
          <w:rFonts w:ascii="Arial" w:hAnsi="Arial" w:cs="Arial"/>
          <w:szCs w:val="22"/>
        </w:rPr>
        <w:t>Rietdijk</w:t>
      </w:r>
      <w:proofErr w:type="spellEnd"/>
      <w:r w:rsidRPr="004D46AC">
        <w:rPr>
          <w:rFonts w:ascii="Arial" w:hAnsi="Arial" w:cs="Arial"/>
          <w:szCs w:val="22"/>
        </w:rPr>
        <w:t xml:space="preserve">, J., Dragt, S., Klaassen, R. M., Nieman, D. H., </w:t>
      </w:r>
      <w:proofErr w:type="spellStart"/>
      <w:r w:rsidRPr="004D46AC">
        <w:rPr>
          <w:rFonts w:ascii="Arial" w:hAnsi="Arial" w:cs="Arial"/>
          <w:szCs w:val="22"/>
        </w:rPr>
        <w:t>Wunderink</w:t>
      </w:r>
      <w:proofErr w:type="spellEnd"/>
      <w:r w:rsidRPr="004D46AC">
        <w:rPr>
          <w:rFonts w:ascii="Arial" w:hAnsi="Arial" w:cs="Arial"/>
          <w:szCs w:val="22"/>
        </w:rPr>
        <w:t xml:space="preserve">, L., </w:t>
      </w:r>
      <w:proofErr w:type="spellStart"/>
      <w:r w:rsidRPr="004D46AC">
        <w:rPr>
          <w:rFonts w:ascii="Arial" w:hAnsi="Arial" w:cs="Arial"/>
          <w:szCs w:val="22"/>
        </w:rPr>
        <w:t>Linszen</w:t>
      </w:r>
      <w:proofErr w:type="spellEnd"/>
      <w:r w:rsidRPr="004D46AC">
        <w:rPr>
          <w:rFonts w:ascii="Arial" w:hAnsi="Arial" w:cs="Arial"/>
          <w:szCs w:val="22"/>
        </w:rPr>
        <w:t xml:space="preserve">, D. H., &amp; van der Gaag, M. (2012). The validity of the 16-item version of the Prodromal Questionnaire (PQ-16) to screen for </w:t>
      </w:r>
      <w:proofErr w:type="spellStart"/>
      <w:r w:rsidRPr="004D46AC">
        <w:rPr>
          <w:rFonts w:ascii="Arial" w:hAnsi="Arial" w:cs="Arial"/>
          <w:szCs w:val="22"/>
        </w:rPr>
        <w:t>ultra high</w:t>
      </w:r>
      <w:proofErr w:type="spellEnd"/>
      <w:r w:rsidRPr="004D46AC">
        <w:rPr>
          <w:rFonts w:ascii="Arial" w:hAnsi="Arial" w:cs="Arial"/>
          <w:szCs w:val="22"/>
        </w:rPr>
        <w:t xml:space="preserve"> risk of developing psychosis in the general help-seeking population.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w:t>
      </w:r>
      <w:r w:rsidRPr="004D46AC">
        <w:rPr>
          <w:rFonts w:ascii="Arial" w:hAnsi="Arial" w:cs="Arial"/>
          <w:i/>
          <w:szCs w:val="22"/>
        </w:rPr>
        <w:t xml:space="preserve"> 38</w:t>
      </w:r>
      <w:r w:rsidRPr="004D46AC">
        <w:rPr>
          <w:rFonts w:ascii="Arial" w:hAnsi="Arial" w:cs="Arial"/>
          <w:szCs w:val="22"/>
        </w:rPr>
        <w:t xml:space="preserve">(6), 1288-1296. https://doi.org/10.1093/schbul/sbs068 </w:t>
      </w:r>
    </w:p>
    <w:p w14:paraId="3D12C95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Iyer, S. N., </w:t>
      </w:r>
      <w:proofErr w:type="spellStart"/>
      <w:r w:rsidRPr="004D46AC">
        <w:rPr>
          <w:rFonts w:ascii="Arial" w:hAnsi="Arial" w:cs="Arial"/>
          <w:szCs w:val="22"/>
        </w:rPr>
        <w:t>Boekestyn</w:t>
      </w:r>
      <w:proofErr w:type="spellEnd"/>
      <w:r w:rsidRPr="004D46AC">
        <w:rPr>
          <w:rFonts w:ascii="Arial" w:hAnsi="Arial" w:cs="Arial"/>
          <w:szCs w:val="22"/>
        </w:rPr>
        <w:t xml:space="preserve">, L., Cassidy, C. M., King, S., Joober, R., &amp; Malla, A. K. (2008). Signs and symptoms in the pre-psychotic phase: description and implications for diagnostic trajectories. </w:t>
      </w:r>
      <w:proofErr w:type="spellStart"/>
      <w:r w:rsidRPr="004D46AC">
        <w:rPr>
          <w:rFonts w:ascii="Arial" w:hAnsi="Arial" w:cs="Arial"/>
          <w:i/>
          <w:szCs w:val="22"/>
        </w:rPr>
        <w:t>Psychol</w:t>
      </w:r>
      <w:proofErr w:type="spellEnd"/>
      <w:r w:rsidRPr="004D46AC">
        <w:rPr>
          <w:rFonts w:ascii="Arial" w:hAnsi="Arial" w:cs="Arial"/>
          <w:i/>
          <w:szCs w:val="22"/>
        </w:rPr>
        <w:t xml:space="preserve"> Med</w:t>
      </w:r>
      <w:r w:rsidRPr="004D46AC">
        <w:rPr>
          <w:rFonts w:ascii="Arial" w:hAnsi="Arial" w:cs="Arial"/>
          <w:szCs w:val="22"/>
        </w:rPr>
        <w:t>,</w:t>
      </w:r>
      <w:r w:rsidRPr="004D46AC">
        <w:rPr>
          <w:rFonts w:ascii="Arial" w:hAnsi="Arial" w:cs="Arial"/>
          <w:i/>
          <w:szCs w:val="22"/>
        </w:rPr>
        <w:t xml:space="preserve"> 38</w:t>
      </w:r>
      <w:r w:rsidRPr="004D46AC">
        <w:rPr>
          <w:rFonts w:ascii="Arial" w:hAnsi="Arial" w:cs="Arial"/>
          <w:szCs w:val="22"/>
        </w:rPr>
        <w:t xml:space="preserve">(8), 1147-1156. https://doi.org/10.1017/s0033291708003152 </w:t>
      </w:r>
    </w:p>
    <w:p w14:paraId="14C31B2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Jiménez, S., Arango de Montis, I., &amp; Garza-Villarreal, E. A. (2025). Longitudinal dynamics between the central nodes in the symptoms network of borderline personality disorder: An intraindividual network analysis.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372</w:t>
      </w:r>
      <w:r w:rsidRPr="004D46AC">
        <w:rPr>
          <w:rFonts w:ascii="Arial" w:hAnsi="Arial" w:cs="Arial"/>
          <w:szCs w:val="22"/>
        </w:rPr>
        <w:t xml:space="preserve">, 431-439. https://doi.org/https://doi.org/10.1016/j.jad.2024.12.005 </w:t>
      </w:r>
    </w:p>
    <w:p w14:paraId="1BF6378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Johnson, D. P., &amp; Whisman, M. A. (2013). Gender differences in rumination: A meta-analysis. </w:t>
      </w:r>
      <w:r w:rsidRPr="004D46AC">
        <w:rPr>
          <w:rFonts w:ascii="Arial" w:hAnsi="Arial" w:cs="Arial"/>
          <w:i/>
          <w:szCs w:val="22"/>
        </w:rPr>
        <w:t>Personality and Individual differences</w:t>
      </w:r>
      <w:r w:rsidRPr="004D46AC">
        <w:rPr>
          <w:rFonts w:ascii="Arial" w:hAnsi="Arial" w:cs="Arial"/>
          <w:szCs w:val="22"/>
        </w:rPr>
        <w:t>,</w:t>
      </w:r>
      <w:r w:rsidRPr="004D46AC">
        <w:rPr>
          <w:rFonts w:ascii="Arial" w:hAnsi="Arial" w:cs="Arial"/>
          <w:i/>
          <w:szCs w:val="22"/>
        </w:rPr>
        <w:t xml:space="preserve"> 55</w:t>
      </w:r>
      <w:r w:rsidRPr="004D46AC">
        <w:rPr>
          <w:rFonts w:ascii="Arial" w:hAnsi="Arial" w:cs="Arial"/>
          <w:szCs w:val="22"/>
        </w:rPr>
        <w:t xml:space="preserve">(4), 367-374. https://doi.org/https://doi.org/10.1016/j.paid.2013.03.019 </w:t>
      </w:r>
    </w:p>
    <w:p w14:paraId="4FBD405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Jones, P. B. (2013). Adult mental health disorders and their age at onset. </w:t>
      </w:r>
      <w:r w:rsidRPr="004D46AC">
        <w:rPr>
          <w:rFonts w:ascii="Arial" w:hAnsi="Arial" w:cs="Arial"/>
          <w:i/>
          <w:szCs w:val="22"/>
        </w:rPr>
        <w:t>British Journal of Psychiatry</w:t>
      </w:r>
      <w:r w:rsidRPr="004D46AC">
        <w:rPr>
          <w:rFonts w:ascii="Arial" w:hAnsi="Arial" w:cs="Arial"/>
          <w:szCs w:val="22"/>
        </w:rPr>
        <w:t>,</w:t>
      </w:r>
      <w:r w:rsidRPr="004D46AC">
        <w:rPr>
          <w:rFonts w:ascii="Arial" w:hAnsi="Arial" w:cs="Arial"/>
          <w:i/>
          <w:szCs w:val="22"/>
        </w:rPr>
        <w:t xml:space="preserve"> 202</w:t>
      </w:r>
      <w:r w:rsidRPr="004D46AC">
        <w:rPr>
          <w:rFonts w:ascii="Arial" w:hAnsi="Arial" w:cs="Arial"/>
          <w:szCs w:val="22"/>
        </w:rPr>
        <w:t xml:space="preserve">(s54), s5-s10. https://doi.org/10.1192/bjp.bp.112.119164 </w:t>
      </w:r>
    </w:p>
    <w:p w14:paraId="2A5AEF1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Kaney, S., &amp; Bentall, R. P. (1989). Persecutory delusions and attributional style. </w:t>
      </w:r>
      <w:r w:rsidRPr="004D46AC">
        <w:rPr>
          <w:rFonts w:ascii="Arial" w:hAnsi="Arial" w:cs="Arial"/>
          <w:i/>
          <w:szCs w:val="22"/>
        </w:rPr>
        <w:t xml:space="preserve">Br J Med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62</w:t>
      </w:r>
      <w:r w:rsidRPr="004D46AC">
        <w:rPr>
          <w:rFonts w:ascii="Arial" w:hAnsi="Arial" w:cs="Arial"/>
          <w:szCs w:val="22"/>
        </w:rPr>
        <w:t xml:space="preserve">(2), 191-198. https://doi.org/10.1111/j.2044-8341.1989.tb02826.x </w:t>
      </w:r>
    </w:p>
    <w:p w14:paraId="7D937E93"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Kasanin</w:t>
      </w:r>
      <w:proofErr w:type="spellEnd"/>
      <w:r w:rsidRPr="004D46AC">
        <w:rPr>
          <w:rFonts w:ascii="Arial" w:hAnsi="Arial" w:cs="Arial"/>
          <w:szCs w:val="22"/>
        </w:rPr>
        <w:t xml:space="preserve">, J. (1933). The acute schizoaffective psychoses. </w:t>
      </w:r>
      <w:r w:rsidRPr="004D46AC">
        <w:rPr>
          <w:rFonts w:ascii="Arial" w:hAnsi="Arial" w:cs="Arial"/>
          <w:i/>
          <w:szCs w:val="22"/>
        </w:rPr>
        <w:t>American Journal of Psychiatry</w:t>
      </w:r>
      <w:r w:rsidRPr="004D46AC">
        <w:rPr>
          <w:rFonts w:ascii="Arial" w:hAnsi="Arial" w:cs="Arial"/>
          <w:szCs w:val="22"/>
        </w:rPr>
        <w:t>,</w:t>
      </w:r>
      <w:r w:rsidRPr="004D46AC">
        <w:rPr>
          <w:rFonts w:ascii="Arial" w:hAnsi="Arial" w:cs="Arial"/>
          <w:i/>
          <w:szCs w:val="22"/>
        </w:rPr>
        <w:t xml:space="preserve"> 90</w:t>
      </w:r>
      <w:r w:rsidRPr="004D46AC">
        <w:rPr>
          <w:rFonts w:ascii="Arial" w:hAnsi="Arial" w:cs="Arial"/>
          <w:szCs w:val="22"/>
        </w:rPr>
        <w:t xml:space="preserve">(1), 97-126. </w:t>
      </w:r>
    </w:p>
    <w:p w14:paraId="1E6BCE3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Kaynak Demir, H., </w:t>
      </w:r>
      <w:proofErr w:type="spellStart"/>
      <w:r w:rsidRPr="004D46AC">
        <w:rPr>
          <w:rFonts w:ascii="Arial" w:hAnsi="Arial" w:cs="Arial"/>
          <w:szCs w:val="22"/>
        </w:rPr>
        <w:t>Dereboy</w:t>
      </w:r>
      <w:proofErr w:type="spellEnd"/>
      <w:r w:rsidRPr="004D46AC">
        <w:rPr>
          <w:rFonts w:ascii="Arial" w:hAnsi="Arial" w:cs="Arial"/>
          <w:szCs w:val="22"/>
        </w:rPr>
        <w:t xml:space="preserve">, F., &amp; </w:t>
      </w:r>
      <w:proofErr w:type="spellStart"/>
      <w:r w:rsidRPr="004D46AC">
        <w:rPr>
          <w:rFonts w:ascii="Arial" w:hAnsi="Arial" w:cs="Arial"/>
          <w:szCs w:val="22"/>
        </w:rPr>
        <w:t>Dereboy</w:t>
      </w:r>
      <w:proofErr w:type="spellEnd"/>
      <w:r w:rsidRPr="004D46AC">
        <w:rPr>
          <w:rFonts w:ascii="Arial" w:hAnsi="Arial" w:cs="Arial"/>
          <w:szCs w:val="22"/>
        </w:rPr>
        <w:t xml:space="preserve">, C. (2009). [Identity confusion and psychopathology in late adolescence]. </w:t>
      </w:r>
      <w:r w:rsidRPr="004D46AC">
        <w:rPr>
          <w:rFonts w:ascii="Arial" w:hAnsi="Arial" w:cs="Arial"/>
          <w:i/>
          <w:szCs w:val="22"/>
        </w:rPr>
        <w:t xml:space="preserve">Turk </w:t>
      </w:r>
      <w:proofErr w:type="spellStart"/>
      <w:r w:rsidRPr="004D46AC">
        <w:rPr>
          <w:rFonts w:ascii="Arial" w:hAnsi="Arial" w:cs="Arial"/>
          <w:i/>
          <w:szCs w:val="22"/>
        </w:rPr>
        <w:t>Psikiyatri</w:t>
      </w:r>
      <w:proofErr w:type="spellEnd"/>
      <w:r w:rsidRPr="004D46AC">
        <w:rPr>
          <w:rFonts w:ascii="Arial" w:hAnsi="Arial" w:cs="Arial"/>
          <w:i/>
          <w:szCs w:val="22"/>
        </w:rPr>
        <w:t xml:space="preserve"> Derg</w:t>
      </w:r>
      <w:r w:rsidRPr="004D46AC">
        <w:rPr>
          <w:rFonts w:ascii="Arial" w:hAnsi="Arial" w:cs="Arial"/>
          <w:szCs w:val="22"/>
        </w:rPr>
        <w:t>,</w:t>
      </w:r>
      <w:r w:rsidRPr="004D46AC">
        <w:rPr>
          <w:rFonts w:ascii="Arial" w:hAnsi="Arial" w:cs="Arial"/>
          <w:i/>
          <w:szCs w:val="22"/>
        </w:rPr>
        <w:t xml:space="preserve"> 20</w:t>
      </w:r>
      <w:r w:rsidRPr="004D46AC">
        <w:rPr>
          <w:rFonts w:ascii="Arial" w:hAnsi="Arial" w:cs="Arial"/>
          <w:szCs w:val="22"/>
        </w:rPr>
        <w:t>(3), 227-235. (</w:t>
      </w:r>
      <w:proofErr w:type="spellStart"/>
      <w:r w:rsidRPr="004D46AC">
        <w:rPr>
          <w:rFonts w:ascii="Arial" w:hAnsi="Arial" w:cs="Arial"/>
          <w:szCs w:val="22"/>
        </w:rPr>
        <w:t>Gençlerde</w:t>
      </w:r>
      <w:proofErr w:type="spellEnd"/>
      <w:r w:rsidRPr="004D46AC">
        <w:rPr>
          <w:rFonts w:ascii="Arial" w:hAnsi="Arial" w:cs="Arial"/>
          <w:szCs w:val="22"/>
        </w:rPr>
        <w:t xml:space="preserve"> </w:t>
      </w:r>
      <w:proofErr w:type="spellStart"/>
      <w:r w:rsidRPr="004D46AC">
        <w:rPr>
          <w:rFonts w:ascii="Arial" w:hAnsi="Arial" w:cs="Arial"/>
          <w:szCs w:val="22"/>
        </w:rPr>
        <w:t>Kimlik</w:t>
      </w:r>
      <w:proofErr w:type="spellEnd"/>
      <w:r w:rsidRPr="004D46AC">
        <w:rPr>
          <w:rFonts w:ascii="Arial" w:hAnsi="Arial" w:cs="Arial"/>
          <w:szCs w:val="22"/>
        </w:rPr>
        <w:t xml:space="preserve"> Bocalamasi </w:t>
      </w:r>
      <w:proofErr w:type="spellStart"/>
      <w:r w:rsidRPr="004D46AC">
        <w:rPr>
          <w:rFonts w:ascii="Arial" w:hAnsi="Arial" w:cs="Arial"/>
          <w:szCs w:val="22"/>
        </w:rPr>
        <w:t>ve</w:t>
      </w:r>
      <w:proofErr w:type="spellEnd"/>
      <w:r w:rsidRPr="004D46AC">
        <w:rPr>
          <w:rFonts w:ascii="Arial" w:hAnsi="Arial" w:cs="Arial"/>
          <w:szCs w:val="22"/>
        </w:rPr>
        <w:t xml:space="preserve"> </w:t>
      </w:r>
      <w:proofErr w:type="spellStart"/>
      <w:r w:rsidRPr="004D46AC">
        <w:rPr>
          <w:rFonts w:ascii="Arial" w:hAnsi="Arial" w:cs="Arial"/>
          <w:szCs w:val="22"/>
        </w:rPr>
        <w:t>Psikopatoloji</w:t>
      </w:r>
      <w:proofErr w:type="spellEnd"/>
      <w:r w:rsidRPr="004D46AC">
        <w:rPr>
          <w:rFonts w:ascii="Arial" w:hAnsi="Arial" w:cs="Arial"/>
          <w:szCs w:val="22"/>
        </w:rPr>
        <w:t xml:space="preserve">.) </w:t>
      </w:r>
    </w:p>
    <w:p w14:paraId="28D2840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Kendler, K. S., Zachar, P., &amp; Craver, C. (2011). What kinds of things are psychiatric disorders?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41</w:t>
      </w:r>
      <w:r w:rsidRPr="004D46AC">
        <w:rPr>
          <w:rFonts w:ascii="Arial" w:hAnsi="Arial" w:cs="Arial"/>
          <w:szCs w:val="22"/>
        </w:rPr>
        <w:t xml:space="preserve">(6), 1143-1150. https://doi.org/10.1017/S0033291710001844 </w:t>
      </w:r>
    </w:p>
    <w:p w14:paraId="2F1F999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Kessing, L. V. (2004). Gender differences in the phenomenology of bipolar disorder. </w:t>
      </w:r>
      <w:r w:rsidRPr="004D46AC">
        <w:rPr>
          <w:rFonts w:ascii="Arial" w:hAnsi="Arial" w:cs="Arial"/>
          <w:i/>
          <w:szCs w:val="22"/>
        </w:rPr>
        <w:t xml:space="preserve">Bipolar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6</w:t>
      </w:r>
      <w:r w:rsidRPr="004D46AC">
        <w:rPr>
          <w:rFonts w:ascii="Arial" w:hAnsi="Arial" w:cs="Arial"/>
          <w:szCs w:val="22"/>
        </w:rPr>
        <w:t xml:space="preserve">(5), 421-425. https://doi.org/10.1111/j.1399-5618.2004.00135.x </w:t>
      </w:r>
    </w:p>
    <w:p w14:paraId="6A53432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Kinderman, P., &amp; Bentall, R. P. (1996). Self-discrepancies and persecutory delusions: evidence for a model of paranoid ideation. </w:t>
      </w:r>
      <w:r w:rsidRPr="004D46AC">
        <w:rPr>
          <w:rFonts w:ascii="Arial" w:hAnsi="Arial" w:cs="Arial"/>
          <w:i/>
          <w:szCs w:val="22"/>
        </w:rPr>
        <w:t xml:space="preserve">J </w:t>
      </w:r>
      <w:proofErr w:type="spellStart"/>
      <w:r w:rsidRPr="004D46AC">
        <w:rPr>
          <w:rFonts w:ascii="Arial" w:hAnsi="Arial" w:cs="Arial"/>
          <w:i/>
          <w:szCs w:val="22"/>
        </w:rPr>
        <w:t>Abnorm</w:t>
      </w:r>
      <w:proofErr w:type="spellEnd"/>
      <w:r w:rsidRPr="004D46AC">
        <w:rPr>
          <w:rFonts w:ascii="Arial" w:hAnsi="Arial" w:cs="Arial"/>
          <w:i/>
          <w:szCs w:val="22"/>
        </w:rPr>
        <w:t xml:space="preserve">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105</w:t>
      </w:r>
      <w:r w:rsidRPr="004D46AC">
        <w:rPr>
          <w:rFonts w:ascii="Arial" w:hAnsi="Arial" w:cs="Arial"/>
          <w:szCs w:val="22"/>
        </w:rPr>
        <w:t xml:space="preserve">(1), 106-113. https://doi.org/10.1037//0021-843x.105.1.106 </w:t>
      </w:r>
    </w:p>
    <w:p w14:paraId="17439266"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Kleintjes</w:t>
      </w:r>
      <w:proofErr w:type="spellEnd"/>
      <w:r w:rsidRPr="004D46AC">
        <w:rPr>
          <w:rFonts w:ascii="Arial" w:hAnsi="Arial" w:cs="Arial"/>
          <w:szCs w:val="22"/>
        </w:rPr>
        <w:t xml:space="preserve">, S., </w:t>
      </w:r>
      <w:proofErr w:type="spellStart"/>
      <w:r w:rsidRPr="004D46AC">
        <w:rPr>
          <w:rFonts w:ascii="Arial" w:hAnsi="Arial" w:cs="Arial"/>
          <w:szCs w:val="22"/>
        </w:rPr>
        <w:t>Flisher</w:t>
      </w:r>
      <w:proofErr w:type="spellEnd"/>
      <w:r w:rsidRPr="004D46AC">
        <w:rPr>
          <w:rFonts w:ascii="Arial" w:hAnsi="Arial" w:cs="Arial"/>
          <w:szCs w:val="22"/>
        </w:rPr>
        <w:t xml:space="preserve">, A. J., Fick, M., </w:t>
      </w:r>
      <w:proofErr w:type="spellStart"/>
      <w:r w:rsidRPr="004D46AC">
        <w:rPr>
          <w:rFonts w:ascii="Arial" w:hAnsi="Arial" w:cs="Arial"/>
          <w:szCs w:val="22"/>
        </w:rPr>
        <w:t>Railoun</w:t>
      </w:r>
      <w:proofErr w:type="spellEnd"/>
      <w:r w:rsidRPr="004D46AC">
        <w:rPr>
          <w:rFonts w:ascii="Arial" w:hAnsi="Arial" w:cs="Arial"/>
          <w:szCs w:val="22"/>
        </w:rPr>
        <w:t xml:space="preserve">, A., Lund, C., </w:t>
      </w:r>
      <w:proofErr w:type="spellStart"/>
      <w:r w:rsidRPr="004D46AC">
        <w:rPr>
          <w:rFonts w:ascii="Arial" w:hAnsi="Arial" w:cs="Arial"/>
          <w:szCs w:val="22"/>
        </w:rPr>
        <w:t>Molteno</w:t>
      </w:r>
      <w:proofErr w:type="spellEnd"/>
      <w:r w:rsidRPr="004D46AC">
        <w:rPr>
          <w:rFonts w:ascii="Arial" w:hAnsi="Arial" w:cs="Arial"/>
          <w:szCs w:val="22"/>
        </w:rPr>
        <w:t xml:space="preserve">, C., &amp; Robertson, B. A. (2006). The prevalence of mental disorders among children, adolescents and adults in the Western Cape, South Africa. </w:t>
      </w:r>
      <w:r w:rsidRPr="004D46AC">
        <w:rPr>
          <w:rFonts w:ascii="Arial" w:hAnsi="Arial" w:cs="Arial"/>
          <w:i/>
          <w:szCs w:val="22"/>
        </w:rPr>
        <w:t>African Journal of Psychiatry</w:t>
      </w:r>
      <w:r w:rsidRPr="004D46AC">
        <w:rPr>
          <w:rFonts w:ascii="Arial" w:hAnsi="Arial" w:cs="Arial"/>
          <w:szCs w:val="22"/>
        </w:rPr>
        <w:t>,</w:t>
      </w:r>
      <w:r w:rsidRPr="004D46AC">
        <w:rPr>
          <w:rFonts w:ascii="Arial" w:hAnsi="Arial" w:cs="Arial"/>
          <w:i/>
          <w:szCs w:val="22"/>
        </w:rPr>
        <w:t xml:space="preserve"> 9</w:t>
      </w:r>
      <w:r w:rsidRPr="004D46AC">
        <w:rPr>
          <w:rFonts w:ascii="Arial" w:hAnsi="Arial" w:cs="Arial"/>
          <w:szCs w:val="22"/>
        </w:rPr>
        <w:t xml:space="preserve">, 157-160. https://doi.org/10.4314/ajpsy.v9i3.30217 </w:t>
      </w:r>
    </w:p>
    <w:p w14:paraId="16541020"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Klimstra</w:t>
      </w:r>
      <w:proofErr w:type="spellEnd"/>
      <w:r w:rsidRPr="004D46AC">
        <w:rPr>
          <w:rFonts w:ascii="Arial" w:hAnsi="Arial" w:cs="Arial"/>
          <w:szCs w:val="22"/>
        </w:rPr>
        <w:t xml:space="preserve">, T. A., &amp; Denissen, J. J. A. (2017). A theoretical framework for the associations between identity and psychopathology. </w:t>
      </w:r>
      <w:r w:rsidRPr="004D46AC">
        <w:rPr>
          <w:rFonts w:ascii="Arial" w:hAnsi="Arial" w:cs="Arial"/>
          <w:i/>
          <w:szCs w:val="22"/>
        </w:rPr>
        <w:t xml:space="preserve">Dev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53</w:t>
      </w:r>
      <w:r w:rsidRPr="004D46AC">
        <w:rPr>
          <w:rFonts w:ascii="Arial" w:hAnsi="Arial" w:cs="Arial"/>
          <w:szCs w:val="22"/>
        </w:rPr>
        <w:t xml:space="preserve">(11), 2052-2065. https://doi.org/10.1037/dev0000356 </w:t>
      </w:r>
    </w:p>
    <w:p w14:paraId="31FB508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Knowles, R., McCarthy-Jones, S., &amp; Rowse, G. (2011). Grandiose delusions: a review and theoretical integration of cognitive and affective perspectives. </w:t>
      </w:r>
      <w:r w:rsidRPr="004D46AC">
        <w:rPr>
          <w:rFonts w:ascii="Arial" w:hAnsi="Arial" w:cs="Arial"/>
          <w:i/>
          <w:szCs w:val="22"/>
        </w:rPr>
        <w:t xml:space="preserve">Clin </w:t>
      </w:r>
      <w:proofErr w:type="spellStart"/>
      <w:r w:rsidRPr="004D46AC">
        <w:rPr>
          <w:rFonts w:ascii="Arial" w:hAnsi="Arial" w:cs="Arial"/>
          <w:i/>
          <w:szCs w:val="22"/>
        </w:rPr>
        <w:t>Psychol</w:t>
      </w:r>
      <w:proofErr w:type="spellEnd"/>
      <w:r w:rsidRPr="004D46AC">
        <w:rPr>
          <w:rFonts w:ascii="Arial" w:hAnsi="Arial" w:cs="Arial"/>
          <w:i/>
          <w:szCs w:val="22"/>
        </w:rPr>
        <w:t xml:space="preserve"> Rev</w:t>
      </w:r>
      <w:r w:rsidRPr="004D46AC">
        <w:rPr>
          <w:rFonts w:ascii="Arial" w:hAnsi="Arial" w:cs="Arial"/>
          <w:szCs w:val="22"/>
        </w:rPr>
        <w:t>,</w:t>
      </w:r>
      <w:r w:rsidRPr="004D46AC">
        <w:rPr>
          <w:rFonts w:ascii="Arial" w:hAnsi="Arial" w:cs="Arial"/>
          <w:i/>
          <w:szCs w:val="22"/>
        </w:rPr>
        <w:t xml:space="preserve"> 31</w:t>
      </w:r>
      <w:r w:rsidRPr="004D46AC">
        <w:rPr>
          <w:rFonts w:ascii="Arial" w:hAnsi="Arial" w:cs="Arial"/>
          <w:szCs w:val="22"/>
        </w:rPr>
        <w:t xml:space="preserve">(4), 684-696. https://doi.org/10.1016/j.cpr.2011.02.009 </w:t>
      </w:r>
    </w:p>
    <w:p w14:paraId="114D07A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Kohler, C. G., Bilker, W., </w:t>
      </w:r>
      <w:proofErr w:type="spellStart"/>
      <w:r w:rsidRPr="004D46AC">
        <w:rPr>
          <w:rFonts w:ascii="Arial" w:hAnsi="Arial" w:cs="Arial"/>
          <w:szCs w:val="22"/>
        </w:rPr>
        <w:t>Hagendoorn</w:t>
      </w:r>
      <w:proofErr w:type="spellEnd"/>
      <w:r w:rsidRPr="004D46AC">
        <w:rPr>
          <w:rFonts w:ascii="Arial" w:hAnsi="Arial" w:cs="Arial"/>
          <w:szCs w:val="22"/>
        </w:rPr>
        <w:t xml:space="preserve">, M., Gur, R. E., &amp; Gur, R. C. (2000). Emotion recognition deficit in schizophrenia: association with symptomatology and cognition. </w:t>
      </w:r>
      <w:r w:rsidRPr="004D46AC">
        <w:rPr>
          <w:rFonts w:ascii="Arial" w:hAnsi="Arial" w:cs="Arial"/>
          <w:i/>
          <w:szCs w:val="22"/>
        </w:rPr>
        <w:t>Biological Psychiatry</w:t>
      </w:r>
      <w:r w:rsidRPr="004D46AC">
        <w:rPr>
          <w:rFonts w:ascii="Arial" w:hAnsi="Arial" w:cs="Arial"/>
          <w:szCs w:val="22"/>
        </w:rPr>
        <w:t>,</w:t>
      </w:r>
      <w:r w:rsidRPr="004D46AC">
        <w:rPr>
          <w:rFonts w:ascii="Arial" w:hAnsi="Arial" w:cs="Arial"/>
          <w:i/>
          <w:szCs w:val="22"/>
        </w:rPr>
        <w:t xml:space="preserve"> 48</w:t>
      </w:r>
      <w:r w:rsidRPr="004D46AC">
        <w:rPr>
          <w:rFonts w:ascii="Arial" w:hAnsi="Arial" w:cs="Arial"/>
          <w:szCs w:val="22"/>
        </w:rPr>
        <w:t xml:space="preserve">(2), 127-136. https://doi.org/https://doi.org/10.1016/S0006-3223(00)00847-7 </w:t>
      </w:r>
    </w:p>
    <w:p w14:paraId="532BB63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Kohut, H., &amp; Wolf, E. S. (1978). The disorders of the self and their treatment: An outline. </w:t>
      </w:r>
      <w:r w:rsidRPr="004D46AC">
        <w:rPr>
          <w:rFonts w:ascii="Arial" w:hAnsi="Arial" w:cs="Arial"/>
          <w:i/>
          <w:szCs w:val="22"/>
        </w:rPr>
        <w:t>International journal of Psychoanalysis</w:t>
      </w:r>
      <w:r w:rsidRPr="004D46AC">
        <w:rPr>
          <w:rFonts w:ascii="Arial" w:hAnsi="Arial" w:cs="Arial"/>
          <w:szCs w:val="22"/>
        </w:rPr>
        <w:t>,</w:t>
      </w:r>
      <w:r w:rsidRPr="004D46AC">
        <w:rPr>
          <w:rFonts w:ascii="Arial" w:hAnsi="Arial" w:cs="Arial"/>
          <w:i/>
          <w:szCs w:val="22"/>
        </w:rPr>
        <w:t xml:space="preserve"> 59</w:t>
      </w:r>
      <w:r w:rsidRPr="004D46AC">
        <w:rPr>
          <w:rFonts w:ascii="Arial" w:hAnsi="Arial" w:cs="Arial"/>
          <w:szCs w:val="22"/>
        </w:rPr>
        <w:t xml:space="preserve">(4), 413-425. </w:t>
      </w:r>
    </w:p>
    <w:p w14:paraId="4EFA0AF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Kotov, R., Krueger, R. F., Watson, D., Achenbach, T. M., Althoff, R. R., Bagby, R. M., Brown, T. A., Carpenter, W. T., Caspi, A., Clark, L. A., Eaton, N. R., Forbes, M. K., Forbush, K. T., Goldberg, D., Hasin, D., Hyman, S. E., Ivanova, M. Y., Lynam, D. R., Markon, K.,…Zimmerman, M. (2017). The Hierarchical Taxonomy of Psychopathology (</w:t>
      </w:r>
      <w:proofErr w:type="spellStart"/>
      <w:r w:rsidRPr="004D46AC">
        <w:rPr>
          <w:rFonts w:ascii="Arial" w:hAnsi="Arial" w:cs="Arial"/>
          <w:szCs w:val="22"/>
        </w:rPr>
        <w:t>HiTOP</w:t>
      </w:r>
      <w:proofErr w:type="spellEnd"/>
      <w:r w:rsidRPr="004D46AC">
        <w:rPr>
          <w:rFonts w:ascii="Arial" w:hAnsi="Arial" w:cs="Arial"/>
          <w:szCs w:val="22"/>
        </w:rPr>
        <w:t xml:space="preserve">): A dimensional alternative to traditional </w:t>
      </w:r>
      <w:proofErr w:type="spellStart"/>
      <w:r w:rsidRPr="004D46AC">
        <w:rPr>
          <w:rFonts w:ascii="Arial" w:hAnsi="Arial" w:cs="Arial"/>
          <w:szCs w:val="22"/>
        </w:rPr>
        <w:t>nosologies</w:t>
      </w:r>
      <w:proofErr w:type="spellEnd"/>
      <w:r w:rsidRPr="004D46AC">
        <w:rPr>
          <w:rFonts w:ascii="Arial" w:hAnsi="Arial" w:cs="Arial"/>
          <w:szCs w:val="22"/>
        </w:rPr>
        <w:t xml:space="preserve">. </w:t>
      </w:r>
      <w:r w:rsidRPr="004D46AC">
        <w:rPr>
          <w:rFonts w:ascii="Arial" w:hAnsi="Arial" w:cs="Arial"/>
          <w:i/>
          <w:szCs w:val="22"/>
        </w:rPr>
        <w:t xml:space="preserve">J </w:t>
      </w:r>
      <w:proofErr w:type="spellStart"/>
      <w:r w:rsidRPr="004D46AC">
        <w:rPr>
          <w:rFonts w:ascii="Arial" w:hAnsi="Arial" w:cs="Arial"/>
          <w:i/>
          <w:szCs w:val="22"/>
        </w:rPr>
        <w:t>Abnorm</w:t>
      </w:r>
      <w:proofErr w:type="spellEnd"/>
      <w:r w:rsidRPr="004D46AC">
        <w:rPr>
          <w:rFonts w:ascii="Arial" w:hAnsi="Arial" w:cs="Arial"/>
          <w:i/>
          <w:szCs w:val="22"/>
        </w:rPr>
        <w:t xml:space="preserve">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126</w:t>
      </w:r>
      <w:r w:rsidRPr="004D46AC">
        <w:rPr>
          <w:rFonts w:ascii="Arial" w:hAnsi="Arial" w:cs="Arial"/>
          <w:szCs w:val="22"/>
        </w:rPr>
        <w:t xml:space="preserve">(4), 454-477. https://doi.org/10.1037/abn0000258 </w:t>
      </w:r>
    </w:p>
    <w:p w14:paraId="698354E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Kroenke, K., Spitzer, R. L., &amp; Williams, J. B. (2001). The PHQ-9: validity of a brief depression severity measure. </w:t>
      </w:r>
      <w:r w:rsidRPr="004D46AC">
        <w:rPr>
          <w:rFonts w:ascii="Arial" w:hAnsi="Arial" w:cs="Arial"/>
          <w:i/>
          <w:szCs w:val="22"/>
        </w:rPr>
        <w:t>J Gen Intern Med</w:t>
      </w:r>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(9), 606-613. https://doi.org/10.1046/j.1525-1497.2001.016009606.x </w:t>
      </w:r>
    </w:p>
    <w:p w14:paraId="6E5E3F4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Kroenke, K., </w:t>
      </w:r>
      <w:proofErr w:type="spellStart"/>
      <w:r w:rsidRPr="004D46AC">
        <w:rPr>
          <w:rFonts w:ascii="Arial" w:hAnsi="Arial" w:cs="Arial"/>
          <w:szCs w:val="22"/>
        </w:rPr>
        <w:t>Strine</w:t>
      </w:r>
      <w:proofErr w:type="spellEnd"/>
      <w:r w:rsidRPr="004D46AC">
        <w:rPr>
          <w:rFonts w:ascii="Arial" w:hAnsi="Arial" w:cs="Arial"/>
          <w:szCs w:val="22"/>
        </w:rPr>
        <w:t xml:space="preserve">, T. W., Spitzer, R. L., Williams, J. B. W., Berry, J. T., &amp; Mokdad, A. H. (2009). The PHQ-8 as a measure of current depression in the general population.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114</w:t>
      </w:r>
      <w:r w:rsidRPr="004D46AC">
        <w:rPr>
          <w:rFonts w:ascii="Arial" w:hAnsi="Arial" w:cs="Arial"/>
          <w:szCs w:val="22"/>
        </w:rPr>
        <w:t xml:space="preserve">(1), 163-173. https://doi.org/https://doi.org/10.1016/j.jad.2008.06.026 </w:t>
      </w:r>
    </w:p>
    <w:p w14:paraId="30AF24B8"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Kudielka</w:t>
      </w:r>
      <w:proofErr w:type="spellEnd"/>
      <w:r w:rsidRPr="004D46AC">
        <w:rPr>
          <w:rFonts w:ascii="Arial" w:hAnsi="Arial" w:cs="Arial"/>
          <w:szCs w:val="22"/>
        </w:rPr>
        <w:t xml:space="preserve">, B. M., &amp; Kirschbaum, C. (2005). Sex differences in HPA axis responses to stress: a review. </w:t>
      </w:r>
      <w:r w:rsidRPr="004D46AC">
        <w:rPr>
          <w:rFonts w:ascii="Arial" w:hAnsi="Arial" w:cs="Arial"/>
          <w:i/>
          <w:szCs w:val="22"/>
        </w:rPr>
        <w:t>Biological Psychology</w:t>
      </w:r>
      <w:r w:rsidRPr="004D46AC">
        <w:rPr>
          <w:rFonts w:ascii="Arial" w:hAnsi="Arial" w:cs="Arial"/>
          <w:szCs w:val="22"/>
        </w:rPr>
        <w:t>,</w:t>
      </w:r>
      <w:r w:rsidRPr="004D46AC">
        <w:rPr>
          <w:rFonts w:ascii="Arial" w:hAnsi="Arial" w:cs="Arial"/>
          <w:i/>
          <w:szCs w:val="22"/>
        </w:rPr>
        <w:t xml:space="preserve"> 69</w:t>
      </w:r>
      <w:r w:rsidRPr="004D46AC">
        <w:rPr>
          <w:rFonts w:ascii="Arial" w:hAnsi="Arial" w:cs="Arial"/>
          <w:szCs w:val="22"/>
        </w:rPr>
        <w:t xml:space="preserve">(1), 113-132. https://doi.org/https://doi.org/10.1016/j.biopsycho.2004.11.009 </w:t>
      </w:r>
    </w:p>
    <w:p w14:paraId="4A20861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Lahey, B. B., </w:t>
      </w:r>
      <w:proofErr w:type="spellStart"/>
      <w:r w:rsidRPr="004D46AC">
        <w:rPr>
          <w:rFonts w:ascii="Arial" w:hAnsi="Arial" w:cs="Arial"/>
          <w:szCs w:val="22"/>
        </w:rPr>
        <w:t>Rathouz</w:t>
      </w:r>
      <w:proofErr w:type="spellEnd"/>
      <w:r w:rsidRPr="004D46AC">
        <w:rPr>
          <w:rFonts w:ascii="Arial" w:hAnsi="Arial" w:cs="Arial"/>
          <w:szCs w:val="22"/>
        </w:rPr>
        <w:t xml:space="preserve">, P. J., Van Hulle, C., Urbano, R. C., Krueger, R. F., Applegate, B., </w:t>
      </w:r>
      <w:proofErr w:type="spellStart"/>
      <w:r w:rsidRPr="004D46AC">
        <w:rPr>
          <w:rFonts w:ascii="Arial" w:hAnsi="Arial" w:cs="Arial"/>
          <w:szCs w:val="22"/>
        </w:rPr>
        <w:t>Garriock</w:t>
      </w:r>
      <w:proofErr w:type="spellEnd"/>
      <w:r w:rsidRPr="004D46AC">
        <w:rPr>
          <w:rFonts w:ascii="Arial" w:hAnsi="Arial" w:cs="Arial"/>
          <w:szCs w:val="22"/>
        </w:rPr>
        <w:t xml:space="preserve">, H. A., Chapman, D. A., &amp; Waldman, I. D. (2008). Testing structural models of DSM-IV symptoms of common forms of child and adolescent psychopathology. </w:t>
      </w:r>
      <w:r w:rsidRPr="004D46AC">
        <w:rPr>
          <w:rFonts w:ascii="Arial" w:hAnsi="Arial" w:cs="Arial"/>
          <w:i/>
          <w:szCs w:val="22"/>
        </w:rPr>
        <w:t xml:space="preserve">J </w:t>
      </w:r>
      <w:proofErr w:type="spellStart"/>
      <w:r w:rsidRPr="004D46AC">
        <w:rPr>
          <w:rFonts w:ascii="Arial" w:hAnsi="Arial" w:cs="Arial"/>
          <w:i/>
          <w:szCs w:val="22"/>
        </w:rPr>
        <w:t>Abnorm</w:t>
      </w:r>
      <w:proofErr w:type="spellEnd"/>
      <w:r w:rsidRPr="004D46AC">
        <w:rPr>
          <w:rFonts w:ascii="Arial" w:hAnsi="Arial" w:cs="Arial"/>
          <w:i/>
          <w:szCs w:val="22"/>
        </w:rPr>
        <w:t xml:space="preserve"> Child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36</w:t>
      </w:r>
      <w:r w:rsidRPr="004D46AC">
        <w:rPr>
          <w:rFonts w:ascii="Arial" w:hAnsi="Arial" w:cs="Arial"/>
          <w:szCs w:val="22"/>
        </w:rPr>
        <w:t xml:space="preserve">(2), 187-206. https://doi.org/10.1007/s10802-007-9169-5 </w:t>
      </w:r>
    </w:p>
    <w:p w14:paraId="5CC481E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Landis, J. R., &amp; Koch, G. G. (1977). The Measurement of Observer Agreement for Categorical Data. </w:t>
      </w:r>
      <w:r w:rsidRPr="004D46AC">
        <w:rPr>
          <w:rFonts w:ascii="Arial" w:hAnsi="Arial" w:cs="Arial"/>
          <w:i/>
          <w:szCs w:val="22"/>
        </w:rPr>
        <w:t>Biometrics</w:t>
      </w:r>
      <w:r w:rsidRPr="004D46AC">
        <w:rPr>
          <w:rFonts w:ascii="Arial" w:hAnsi="Arial" w:cs="Arial"/>
          <w:szCs w:val="22"/>
        </w:rPr>
        <w:t>,</w:t>
      </w:r>
      <w:r w:rsidRPr="004D46AC">
        <w:rPr>
          <w:rFonts w:ascii="Arial" w:hAnsi="Arial" w:cs="Arial"/>
          <w:i/>
          <w:szCs w:val="22"/>
        </w:rPr>
        <w:t xml:space="preserve"> 33</w:t>
      </w:r>
      <w:r w:rsidRPr="004D46AC">
        <w:rPr>
          <w:rFonts w:ascii="Arial" w:hAnsi="Arial" w:cs="Arial"/>
          <w:szCs w:val="22"/>
        </w:rPr>
        <w:t xml:space="preserve">(1), 159-174. https://doi.org/10.2307/2529310 </w:t>
      </w:r>
    </w:p>
    <w:p w14:paraId="79B9916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Lee, T., Liu, C.-H., Gan, B., &amp; Yang, C.-K. (2025). The double-edged sword of narcissism: influences of university students’ grandiose and vulnerable narcissism on entrepreneurial intention. </w:t>
      </w:r>
      <w:r w:rsidRPr="004D46AC">
        <w:rPr>
          <w:rFonts w:ascii="Arial" w:hAnsi="Arial" w:cs="Arial"/>
          <w:i/>
          <w:szCs w:val="22"/>
        </w:rPr>
        <w:t>Asia Pacific Journal of Management</w:t>
      </w:r>
      <w:r w:rsidRPr="004D46AC">
        <w:rPr>
          <w:rFonts w:ascii="Arial" w:hAnsi="Arial" w:cs="Arial"/>
          <w:szCs w:val="22"/>
        </w:rPr>
        <w:t>,</w:t>
      </w:r>
      <w:r w:rsidRPr="004D46AC">
        <w:rPr>
          <w:rFonts w:ascii="Arial" w:hAnsi="Arial" w:cs="Arial"/>
          <w:i/>
          <w:szCs w:val="22"/>
        </w:rPr>
        <w:t xml:space="preserve"> 42</w:t>
      </w:r>
      <w:r w:rsidRPr="004D46AC">
        <w:rPr>
          <w:rFonts w:ascii="Arial" w:hAnsi="Arial" w:cs="Arial"/>
          <w:szCs w:val="22"/>
        </w:rPr>
        <w:t xml:space="preserve">(1), 333-369. https://doi.org/10.1007/s10490-023-09934-0 </w:t>
      </w:r>
    </w:p>
    <w:p w14:paraId="5F0C059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Lo Buglio, G., Boldrini, T., Polari, A., Fiorentino, F., Nelson, B., Solmi, M., Lingiardi, V., &amp; </w:t>
      </w:r>
      <w:proofErr w:type="spellStart"/>
      <w:r w:rsidRPr="004D46AC">
        <w:rPr>
          <w:rFonts w:ascii="Arial" w:hAnsi="Arial" w:cs="Arial"/>
          <w:szCs w:val="22"/>
        </w:rPr>
        <w:t>Tanzilli</w:t>
      </w:r>
      <w:proofErr w:type="spellEnd"/>
      <w:r w:rsidRPr="004D46AC">
        <w:rPr>
          <w:rFonts w:ascii="Arial" w:hAnsi="Arial" w:cs="Arial"/>
          <w:szCs w:val="22"/>
        </w:rPr>
        <w:t xml:space="preserve">, A. (2024). Harmonizing early intervention strategies: scoping review of clinical high risk for psychosis and borderline personality disorder [Systematic Review]. </w:t>
      </w:r>
      <w:r w:rsidRPr="004D46AC">
        <w:rPr>
          <w:rFonts w:ascii="Arial" w:hAnsi="Arial" w:cs="Arial"/>
          <w:i/>
          <w:szCs w:val="22"/>
        </w:rPr>
        <w:t xml:space="preserve">Front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15</w:t>
      </w:r>
      <w:r w:rsidRPr="004D46AC">
        <w:rPr>
          <w:rFonts w:ascii="Arial" w:hAnsi="Arial" w:cs="Arial"/>
          <w:szCs w:val="22"/>
        </w:rPr>
        <w:t xml:space="preserve">, 1381864. https://doi.org/10.3389/fpsyg.2024.1381864 </w:t>
      </w:r>
    </w:p>
    <w:p w14:paraId="6B40592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Loewy, R. L., Bearden, C. E., Johnson, J. K., Raine, A., &amp; Cannon, T. D. (2005). The prodromal questionnaire (PQ): Preliminary validation of a self-report screening measure for prodromal and psychotic syndromes. </w:t>
      </w:r>
      <w:r w:rsidRPr="004D46AC">
        <w:rPr>
          <w:rFonts w:ascii="Arial" w:hAnsi="Arial" w:cs="Arial"/>
          <w:i/>
          <w:szCs w:val="22"/>
        </w:rPr>
        <w:t>Schizophrenia Research</w:t>
      </w:r>
      <w:r w:rsidRPr="004D46AC">
        <w:rPr>
          <w:rFonts w:ascii="Arial" w:hAnsi="Arial" w:cs="Arial"/>
          <w:szCs w:val="22"/>
        </w:rPr>
        <w:t>,</w:t>
      </w:r>
      <w:r w:rsidRPr="004D46AC">
        <w:rPr>
          <w:rFonts w:ascii="Arial" w:hAnsi="Arial" w:cs="Arial"/>
          <w:i/>
          <w:szCs w:val="22"/>
        </w:rPr>
        <w:t xml:space="preserve"> 79</w:t>
      </w:r>
      <w:r w:rsidRPr="004D46AC">
        <w:rPr>
          <w:rFonts w:ascii="Arial" w:hAnsi="Arial" w:cs="Arial"/>
          <w:szCs w:val="22"/>
        </w:rPr>
        <w:t xml:space="preserve">(1), 117-125. https://doi.org/https://doi.org/10.1016/j.schres.2005.03.007 </w:t>
      </w:r>
    </w:p>
    <w:p w14:paraId="1EA86C4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Ma-Kellams, C., &amp; Wu, M. S. (2020). Gender, </w:t>
      </w:r>
      <w:proofErr w:type="spellStart"/>
      <w:r w:rsidRPr="004D46AC">
        <w:rPr>
          <w:rFonts w:ascii="Arial" w:hAnsi="Arial" w:cs="Arial"/>
          <w:szCs w:val="22"/>
        </w:rPr>
        <w:t>behavioral</w:t>
      </w:r>
      <w:proofErr w:type="spellEnd"/>
      <w:r w:rsidRPr="004D46AC">
        <w:rPr>
          <w:rFonts w:ascii="Arial" w:hAnsi="Arial" w:cs="Arial"/>
          <w:szCs w:val="22"/>
        </w:rPr>
        <w:t xml:space="preserve"> inhibition/activation, and emotional reactions to negative natural and social events. </w:t>
      </w:r>
      <w:r w:rsidRPr="004D46AC">
        <w:rPr>
          <w:rFonts w:ascii="Arial" w:hAnsi="Arial" w:cs="Arial"/>
          <w:i/>
          <w:szCs w:val="22"/>
        </w:rPr>
        <w:t>Personality and Individual differences</w:t>
      </w:r>
      <w:r w:rsidRPr="004D46AC">
        <w:rPr>
          <w:rFonts w:ascii="Arial" w:hAnsi="Arial" w:cs="Arial"/>
          <w:szCs w:val="22"/>
        </w:rPr>
        <w:t>,</w:t>
      </w:r>
      <w:r w:rsidRPr="004D46AC">
        <w:rPr>
          <w:rFonts w:ascii="Arial" w:hAnsi="Arial" w:cs="Arial"/>
          <w:i/>
          <w:szCs w:val="22"/>
        </w:rPr>
        <w:t xml:space="preserve"> 157</w:t>
      </w:r>
      <w:r w:rsidRPr="004D46AC">
        <w:rPr>
          <w:rFonts w:ascii="Arial" w:hAnsi="Arial" w:cs="Arial"/>
          <w:szCs w:val="22"/>
        </w:rPr>
        <w:t xml:space="preserve">, 109809. https://doi.org/https://doi.org/10.1016/j.paid.2019.109809 </w:t>
      </w:r>
    </w:p>
    <w:p w14:paraId="3E4ED49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Mancuso, S. G., Morgan, V. A., Mitchell, P. B., Berk, M., Young, A., &amp; Castle, D. J. (2015). A comparison of schizophrenia, schizoaffective disorder, and bipolar disorder: Results from the Second Australian national psychosis survey. </w:t>
      </w:r>
      <w:r w:rsidRPr="004D46AC">
        <w:rPr>
          <w:rFonts w:ascii="Arial" w:hAnsi="Arial" w:cs="Arial"/>
          <w:i/>
          <w:szCs w:val="22"/>
        </w:rPr>
        <w:t xml:space="preserve">J Affect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172</w:t>
      </w:r>
      <w:r w:rsidRPr="004D46AC">
        <w:rPr>
          <w:rFonts w:ascii="Arial" w:hAnsi="Arial" w:cs="Arial"/>
          <w:szCs w:val="22"/>
        </w:rPr>
        <w:t xml:space="preserve">, 30-37. https://doi.org/10.1016/j.jad.2014.09.035 </w:t>
      </w:r>
    </w:p>
    <w:p w14:paraId="713F1EF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Miller, C. E., Townsend, M. L., Day, N. J. S., &amp; </w:t>
      </w:r>
      <w:proofErr w:type="spellStart"/>
      <w:r w:rsidRPr="004D46AC">
        <w:rPr>
          <w:rFonts w:ascii="Arial" w:hAnsi="Arial" w:cs="Arial"/>
          <w:szCs w:val="22"/>
        </w:rPr>
        <w:t>Grenyer</w:t>
      </w:r>
      <w:proofErr w:type="spellEnd"/>
      <w:r w:rsidRPr="004D46AC">
        <w:rPr>
          <w:rFonts w:ascii="Arial" w:hAnsi="Arial" w:cs="Arial"/>
          <w:szCs w:val="22"/>
        </w:rPr>
        <w:t xml:space="preserve">, B. F. S. (2020). Measuring the shadows: A systematic review of chronic emptiness in borderline personality disorder. </w:t>
      </w:r>
      <w:r w:rsidRPr="004D46AC">
        <w:rPr>
          <w:rFonts w:ascii="Arial" w:hAnsi="Arial" w:cs="Arial"/>
          <w:i/>
          <w:szCs w:val="22"/>
        </w:rPr>
        <w:t>PLOS ONE</w:t>
      </w:r>
      <w:r w:rsidRPr="004D46AC">
        <w:rPr>
          <w:rFonts w:ascii="Arial" w:hAnsi="Arial" w:cs="Arial"/>
          <w:szCs w:val="22"/>
        </w:rPr>
        <w:t>,</w:t>
      </w:r>
      <w:r w:rsidRPr="004D46AC">
        <w:rPr>
          <w:rFonts w:ascii="Arial" w:hAnsi="Arial" w:cs="Arial"/>
          <w:i/>
          <w:szCs w:val="22"/>
        </w:rPr>
        <w:t xml:space="preserve"> 15</w:t>
      </w:r>
      <w:r w:rsidRPr="004D46AC">
        <w:rPr>
          <w:rFonts w:ascii="Arial" w:hAnsi="Arial" w:cs="Arial"/>
          <w:szCs w:val="22"/>
        </w:rPr>
        <w:t xml:space="preserve">(7). https://doi.org/https://doi.org/10.1371/journal.pone.0233970 </w:t>
      </w:r>
    </w:p>
    <w:p w14:paraId="1D93CFB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Miller, C. E., Townsend, M. L., &amp; </w:t>
      </w:r>
      <w:proofErr w:type="spellStart"/>
      <w:r w:rsidRPr="004D46AC">
        <w:rPr>
          <w:rFonts w:ascii="Arial" w:hAnsi="Arial" w:cs="Arial"/>
          <w:szCs w:val="22"/>
        </w:rPr>
        <w:t>Grenyer</w:t>
      </w:r>
      <w:proofErr w:type="spellEnd"/>
      <w:r w:rsidRPr="004D46AC">
        <w:rPr>
          <w:rFonts w:ascii="Arial" w:hAnsi="Arial" w:cs="Arial"/>
          <w:szCs w:val="22"/>
        </w:rPr>
        <w:t xml:space="preserve">, B. F. S. (2021). Understanding chronic feelings of emptiness in borderline personality disorder: a qualitative study. </w:t>
      </w:r>
      <w:r w:rsidRPr="004D46AC">
        <w:rPr>
          <w:rFonts w:ascii="Arial" w:hAnsi="Arial" w:cs="Arial"/>
          <w:i/>
          <w:szCs w:val="22"/>
        </w:rPr>
        <w:t xml:space="preserve">Borderline </w:t>
      </w:r>
      <w:r w:rsidRPr="004D46AC">
        <w:rPr>
          <w:rFonts w:ascii="Arial" w:hAnsi="Arial" w:cs="Arial"/>
          <w:i/>
          <w:szCs w:val="22"/>
        </w:rPr>
        <w:lastRenderedPageBreak/>
        <w:t>personality disorder and emotion dysregulation</w:t>
      </w:r>
      <w:r w:rsidRPr="004D46AC">
        <w:rPr>
          <w:rFonts w:ascii="Arial" w:hAnsi="Arial" w:cs="Arial"/>
          <w:szCs w:val="22"/>
        </w:rPr>
        <w:t>,</w:t>
      </w:r>
      <w:r w:rsidRPr="004D46AC">
        <w:rPr>
          <w:rFonts w:ascii="Arial" w:hAnsi="Arial" w:cs="Arial"/>
          <w:i/>
          <w:szCs w:val="22"/>
        </w:rPr>
        <w:t xml:space="preserve"> 8</w:t>
      </w:r>
      <w:r w:rsidRPr="004D46AC">
        <w:rPr>
          <w:rFonts w:ascii="Arial" w:hAnsi="Arial" w:cs="Arial"/>
          <w:szCs w:val="22"/>
        </w:rPr>
        <w:t xml:space="preserve">(1), 24. https://doi.org/10.1186/s40479-021-00164-8 </w:t>
      </w:r>
    </w:p>
    <w:p w14:paraId="4A9434D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Miller, T. J., </w:t>
      </w:r>
      <w:proofErr w:type="spellStart"/>
      <w:r w:rsidRPr="004D46AC">
        <w:rPr>
          <w:rFonts w:ascii="Arial" w:hAnsi="Arial" w:cs="Arial"/>
          <w:szCs w:val="22"/>
        </w:rPr>
        <w:t>Mcglashan</w:t>
      </w:r>
      <w:proofErr w:type="spellEnd"/>
      <w:r w:rsidRPr="004D46AC">
        <w:rPr>
          <w:rFonts w:ascii="Arial" w:hAnsi="Arial" w:cs="Arial"/>
          <w:szCs w:val="22"/>
        </w:rPr>
        <w:t xml:space="preserve">, T. H., Rosen, J. L., Cadenhead, K., Ventura, J., </w:t>
      </w:r>
      <w:proofErr w:type="spellStart"/>
      <w:r w:rsidRPr="004D46AC">
        <w:rPr>
          <w:rFonts w:ascii="Arial" w:hAnsi="Arial" w:cs="Arial"/>
          <w:szCs w:val="22"/>
        </w:rPr>
        <w:t>Mcfarlane</w:t>
      </w:r>
      <w:proofErr w:type="spellEnd"/>
      <w:r w:rsidRPr="004D46AC">
        <w:rPr>
          <w:rFonts w:ascii="Arial" w:hAnsi="Arial" w:cs="Arial"/>
          <w:szCs w:val="22"/>
        </w:rPr>
        <w:t xml:space="preserve">, W., Perkins, D. O., Pearlson, G. D., &amp; Woods, S. W. (2003). Prodromal assessment with the structured interview for prodromal syndromes and the scale of prodromal symptoms: predictive validity, interrater reliability, and training to reliability. </w:t>
      </w:r>
      <w:r w:rsidRPr="004D46AC">
        <w:rPr>
          <w:rFonts w:ascii="Arial" w:hAnsi="Arial" w:cs="Arial"/>
          <w:i/>
          <w:szCs w:val="22"/>
        </w:rPr>
        <w:t>Schizophrenia Bulletin</w:t>
      </w:r>
      <w:r w:rsidRPr="004D46AC">
        <w:rPr>
          <w:rFonts w:ascii="Arial" w:hAnsi="Arial" w:cs="Arial"/>
          <w:szCs w:val="22"/>
        </w:rPr>
        <w:t>,</w:t>
      </w:r>
      <w:r w:rsidRPr="004D46AC">
        <w:rPr>
          <w:rFonts w:ascii="Arial" w:hAnsi="Arial" w:cs="Arial"/>
          <w:i/>
          <w:szCs w:val="22"/>
        </w:rPr>
        <w:t xml:space="preserve"> 29</w:t>
      </w:r>
      <w:r w:rsidRPr="004D46AC">
        <w:rPr>
          <w:rFonts w:ascii="Arial" w:hAnsi="Arial" w:cs="Arial"/>
          <w:szCs w:val="22"/>
        </w:rPr>
        <w:t xml:space="preserve">(4), 703-715. </w:t>
      </w:r>
    </w:p>
    <w:p w14:paraId="32BBC6AA"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Monego</w:t>
      </w:r>
      <w:proofErr w:type="spellEnd"/>
      <w:r w:rsidRPr="004D46AC">
        <w:rPr>
          <w:rFonts w:ascii="Arial" w:hAnsi="Arial" w:cs="Arial"/>
          <w:szCs w:val="22"/>
        </w:rPr>
        <w:t xml:space="preserve">, E., Cremonese, C., Gentili, F., </w:t>
      </w:r>
      <w:proofErr w:type="spellStart"/>
      <w:r w:rsidRPr="004D46AC">
        <w:rPr>
          <w:rFonts w:ascii="Arial" w:hAnsi="Arial" w:cs="Arial"/>
          <w:szCs w:val="22"/>
        </w:rPr>
        <w:t>Fusar</w:t>
      </w:r>
      <w:proofErr w:type="spellEnd"/>
      <w:r w:rsidRPr="004D46AC">
        <w:rPr>
          <w:rFonts w:ascii="Arial" w:hAnsi="Arial" w:cs="Arial"/>
          <w:szCs w:val="22"/>
        </w:rPr>
        <w:t xml:space="preserve">-Poli, P., Shah, J. L., &amp; Solmi, M. (2022). Clinical high at-risk mental state in young subjects accessing a mental disorder prevention service in Italy. </w:t>
      </w:r>
      <w:r w:rsidRPr="004D46AC">
        <w:rPr>
          <w:rFonts w:ascii="Arial" w:hAnsi="Arial" w:cs="Arial"/>
          <w:i/>
          <w:szCs w:val="22"/>
        </w:rPr>
        <w:t>Psychiatry Research</w:t>
      </w:r>
      <w:r w:rsidRPr="004D46AC">
        <w:rPr>
          <w:rFonts w:ascii="Arial" w:hAnsi="Arial" w:cs="Arial"/>
          <w:szCs w:val="22"/>
        </w:rPr>
        <w:t>,</w:t>
      </w:r>
      <w:r w:rsidRPr="004D46AC">
        <w:rPr>
          <w:rFonts w:ascii="Arial" w:hAnsi="Arial" w:cs="Arial"/>
          <w:i/>
          <w:szCs w:val="22"/>
        </w:rPr>
        <w:t xml:space="preserve"> 316</w:t>
      </w:r>
      <w:r w:rsidRPr="004D46AC">
        <w:rPr>
          <w:rFonts w:ascii="Arial" w:hAnsi="Arial" w:cs="Arial"/>
          <w:szCs w:val="22"/>
        </w:rPr>
        <w:t xml:space="preserve">, 114710. https://doi.org/https://doi.org/10.1016/j.psychres.2022.114710 </w:t>
      </w:r>
    </w:p>
    <w:p w14:paraId="68C1483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Morrison, A. P., Gumley, A. I., Ashcroft, K., Manousos, I. R., White, R., Gillan, K., Wells, A., &amp; Kingdon, D. (2011). Metacognition and persecutory delusions: tests of a metacognitive model in a clinical population and comparisons with non-patients. </w:t>
      </w:r>
      <w:r w:rsidRPr="004D46AC">
        <w:rPr>
          <w:rFonts w:ascii="Arial" w:hAnsi="Arial" w:cs="Arial"/>
          <w:i/>
          <w:szCs w:val="22"/>
        </w:rPr>
        <w:t xml:space="preserve">Br J Clin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50</w:t>
      </w:r>
      <w:r w:rsidRPr="004D46AC">
        <w:rPr>
          <w:rFonts w:ascii="Arial" w:hAnsi="Arial" w:cs="Arial"/>
          <w:szCs w:val="22"/>
        </w:rPr>
        <w:t xml:space="preserve">(3), 223-233. https://doi.org/10.1348/014466510x511141 </w:t>
      </w:r>
    </w:p>
    <w:p w14:paraId="59FB50D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Mullen, T. M. D., Shaw, A. M., Bernier, E., Weiss, D. M., </w:t>
      </w:r>
      <w:proofErr w:type="spellStart"/>
      <w:r w:rsidRPr="004D46AC">
        <w:rPr>
          <w:rFonts w:ascii="Arial" w:hAnsi="Arial" w:cs="Arial"/>
          <w:szCs w:val="22"/>
        </w:rPr>
        <w:t>Fanburg</w:t>
      </w:r>
      <w:proofErr w:type="spellEnd"/>
      <w:r w:rsidRPr="004D46AC">
        <w:rPr>
          <w:rFonts w:ascii="Arial" w:hAnsi="Arial" w:cs="Arial"/>
          <w:szCs w:val="22"/>
        </w:rPr>
        <w:t xml:space="preserve">, J. T., Hagler, D. Q., Herlihy, K. A., Hyman, P. L., &amp; Woodberry, K. A. (2026). Examining the predictive value of anxiety, depression, and suicidal ideation screening in determining psychosis risk. </w:t>
      </w:r>
      <w:r w:rsidRPr="004D46AC">
        <w:rPr>
          <w:rFonts w:ascii="Arial" w:hAnsi="Arial" w:cs="Arial"/>
          <w:i/>
          <w:szCs w:val="22"/>
        </w:rPr>
        <w:t>Journal of Psychiatric Research</w:t>
      </w:r>
      <w:r w:rsidRPr="004D46AC">
        <w:rPr>
          <w:rFonts w:ascii="Arial" w:hAnsi="Arial" w:cs="Arial"/>
          <w:szCs w:val="22"/>
        </w:rPr>
        <w:t>,</w:t>
      </w:r>
      <w:r w:rsidRPr="004D46AC">
        <w:rPr>
          <w:rFonts w:ascii="Arial" w:hAnsi="Arial" w:cs="Arial"/>
          <w:i/>
          <w:szCs w:val="22"/>
        </w:rPr>
        <w:t xml:space="preserve"> 192</w:t>
      </w:r>
      <w:r w:rsidRPr="004D46AC">
        <w:rPr>
          <w:rFonts w:ascii="Arial" w:hAnsi="Arial" w:cs="Arial"/>
          <w:szCs w:val="22"/>
        </w:rPr>
        <w:t xml:space="preserve">, 196-201. https://doi.org/https://doi.org/10.1016/j.jpsychires.2025.10.022 </w:t>
      </w:r>
    </w:p>
    <w:p w14:paraId="195A696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Murphy, P., Bentall, R. P., Freeman, D., O'Rourke, S., &amp; Hutton, P. (2018). The paranoia as defence model of persecutory delusions: a systematic review and meta-analysis. </w:t>
      </w:r>
      <w:r w:rsidRPr="004D46AC">
        <w:rPr>
          <w:rFonts w:ascii="Arial" w:hAnsi="Arial" w:cs="Arial"/>
          <w:i/>
          <w:szCs w:val="22"/>
        </w:rPr>
        <w:t>The Lancet Psychiatry</w:t>
      </w:r>
      <w:r w:rsidRPr="004D46AC">
        <w:rPr>
          <w:rFonts w:ascii="Arial" w:hAnsi="Arial" w:cs="Arial"/>
          <w:szCs w:val="22"/>
        </w:rPr>
        <w:t>,</w:t>
      </w:r>
      <w:r w:rsidRPr="004D46AC">
        <w:rPr>
          <w:rFonts w:ascii="Arial" w:hAnsi="Arial" w:cs="Arial"/>
          <w:i/>
          <w:szCs w:val="22"/>
        </w:rPr>
        <w:t xml:space="preserve"> 5</w:t>
      </w:r>
      <w:r w:rsidRPr="004D46AC">
        <w:rPr>
          <w:rFonts w:ascii="Arial" w:hAnsi="Arial" w:cs="Arial"/>
          <w:szCs w:val="22"/>
        </w:rPr>
        <w:t xml:space="preserve">(11), 913-929. https://doi.org/10.1016/S2215-0366(18)30339-0 </w:t>
      </w:r>
    </w:p>
    <w:p w14:paraId="3C899D6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Newman, D. L., Moffitt, T. E., Caspi, A., </w:t>
      </w:r>
      <w:proofErr w:type="spellStart"/>
      <w:r w:rsidRPr="004D46AC">
        <w:rPr>
          <w:rFonts w:ascii="Arial" w:hAnsi="Arial" w:cs="Arial"/>
          <w:szCs w:val="22"/>
        </w:rPr>
        <w:t>Magdol</w:t>
      </w:r>
      <w:proofErr w:type="spellEnd"/>
      <w:r w:rsidRPr="004D46AC">
        <w:rPr>
          <w:rFonts w:ascii="Arial" w:hAnsi="Arial" w:cs="Arial"/>
          <w:szCs w:val="22"/>
        </w:rPr>
        <w:t xml:space="preserve">, L., Silva, P. A., &amp; Stanton, W. R. (1996). Psychiatric disorder in a birth cohort of young adults: Prevalence, comorbidity, clinical significance, and new case incidence from ages 11 to 21. </w:t>
      </w:r>
      <w:r w:rsidRPr="004D46AC">
        <w:rPr>
          <w:rFonts w:ascii="Arial" w:hAnsi="Arial" w:cs="Arial"/>
          <w:i/>
          <w:szCs w:val="22"/>
        </w:rPr>
        <w:t>Journal of Consulting and Clinical Psychology</w:t>
      </w:r>
      <w:r w:rsidRPr="004D46AC">
        <w:rPr>
          <w:rFonts w:ascii="Arial" w:hAnsi="Arial" w:cs="Arial"/>
          <w:szCs w:val="22"/>
        </w:rPr>
        <w:t>,</w:t>
      </w:r>
      <w:r w:rsidRPr="004D46AC">
        <w:rPr>
          <w:rFonts w:ascii="Arial" w:hAnsi="Arial" w:cs="Arial"/>
          <w:i/>
          <w:szCs w:val="22"/>
        </w:rPr>
        <w:t xml:space="preserve"> 64</w:t>
      </w:r>
      <w:r w:rsidRPr="004D46AC">
        <w:rPr>
          <w:rFonts w:ascii="Arial" w:hAnsi="Arial" w:cs="Arial"/>
          <w:szCs w:val="22"/>
        </w:rPr>
        <w:t xml:space="preserve">(3), 552-562. https://doi.org/10.1037/0022-006X.64.3.552 </w:t>
      </w:r>
    </w:p>
    <w:p w14:paraId="06697415"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Nivoli</w:t>
      </w:r>
      <w:proofErr w:type="spellEnd"/>
      <w:r w:rsidRPr="004D46AC">
        <w:rPr>
          <w:rFonts w:ascii="Arial" w:hAnsi="Arial" w:cs="Arial"/>
          <w:szCs w:val="22"/>
        </w:rPr>
        <w:t xml:space="preserve">, A. M. A., </w:t>
      </w:r>
      <w:proofErr w:type="spellStart"/>
      <w:r w:rsidRPr="004D46AC">
        <w:rPr>
          <w:rFonts w:ascii="Arial" w:hAnsi="Arial" w:cs="Arial"/>
          <w:szCs w:val="22"/>
        </w:rPr>
        <w:t>Pacchiarotti</w:t>
      </w:r>
      <w:proofErr w:type="spellEnd"/>
      <w:r w:rsidRPr="004D46AC">
        <w:rPr>
          <w:rFonts w:ascii="Arial" w:hAnsi="Arial" w:cs="Arial"/>
          <w:szCs w:val="22"/>
        </w:rPr>
        <w:t xml:space="preserve">, I., Rosa, A. R., Popovic, D., </w:t>
      </w:r>
      <w:proofErr w:type="spellStart"/>
      <w:r w:rsidRPr="004D46AC">
        <w:rPr>
          <w:rFonts w:ascii="Arial" w:hAnsi="Arial" w:cs="Arial"/>
          <w:szCs w:val="22"/>
        </w:rPr>
        <w:t>Murru</w:t>
      </w:r>
      <w:proofErr w:type="spellEnd"/>
      <w:r w:rsidRPr="004D46AC">
        <w:rPr>
          <w:rFonts w:ascii="Arial" w:hAnsi="Arial" w:cs="Arial"/>
          <w:szCs w:val="22"/>
        </w:rPr>
        <w:t xml:space="preserve">, A., Valenti, M., Bonnin, C. M., Grande, I., Sanchez-Moreno, J., Vieta, E., &amp; Colom, F. (2011). Gender differences in a cohort study of 604 bipolar patients: The role of predominant polarity.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133</w:t>
      </w:r>
      <w:r w:rsidRPr="004D46AC">
        <w:rPr>
          <w:rFonts w:ascii="Arial" w:hAnsi="Arial" w:cs="Arial"/>
          <w:szCs w:val="22"/>
        </w:rPr>
        <w:t xml:space="preserve">(3), 443-449. https://doi.org/https://doi.org/10.1016/j.jad.2011.04.055 </w:t>
      </w:r>
    </w:p>
    <w:p w14:paraId="16970B6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Ochoa, S., </w:t>
      </w:r>
      <w:proofErr w:type="spellStart"/>
      <w:r w:rsidRPr="004D46AC">
        <w:rPr>
          <w:rFonts w:ascii="Arial" w:hAnsi="Arial" w:cs="Arial"/>
          <w:szCs w:val="22"/>
        </w:rPr>
        <w:t>Usall</w:t>
      </w:r>
      <w:proofErr w:type="spellEnd"/>
      <w:r w:rsidRPr="004D46AC">
        <w:rPr>
          <w:rFonts w:ascii="Arial" w:hAnsi="Arial" w:cs="Arial"/>
          <w:szCs w:val="22"/>
        </w:rPr>
        <w:t xml:space="preserve">, J., Cobo, J., </w:t>
      </w:r>
      <w:proofErr w:type="spellStart"/>
      <w:r w:rsidRPr="004D46AC">
        <w:rPr>
          <w:rFonts w:ascii="Arial" w:hAnsi="Arial" w:cs="Arial"/>
          <w:szCs w:val="22"/>
        </w:rPr>
        <w:t>Labad</w:t>
      </w:r>
      <w:proofErr w:type="spellEnd"/>
      <w:r w:rsidRPr="004D46AC">
        <w:rPr>
          <w:rFonts w:ascii="Arial" w:hAnsi="Arial" w:cs="Arial"/>
          <w:szCs w:val="22"/>
        </w:rPr>
        <w:t xml:space="preserve">, X., &amp; Kulkarni, J. (2012). Gender Differences in Schizophrenia and First-Episode Psychosis: A Comprehensive Literature Review. </w:t>
      </w:r>
      <w:r w:rsidRPr="004D46AC">
        <w:rPr>
          <w:rFonts w:ascii="Arial" w:hAnsi="Arial" w:cs="Arial"/>
          <w:i/>
          <w:szCs w:val="22"/>
        </w:rPr>
        <w:t>Schizophrenia Research and Treatment</w:t>
      </w:r>
      <w:r w:rsidRPr="004D46AC">
        <w:rPr>
          <w:rFonts w:ascii="Arial" w:hAnsi="Arial" w:cs="Arial"/>
          <w:szCs w:val="22"/>
        </w:rPr>
        <w:t>,</w:t>
      </w:r>
      <w:r w:rsidRPr="004D46AC">
        <w:rPr>
          <w:rFonts w:ascii="Arial" w:hAnsi="Arial" w:cs="Arial"/>
          <w:i/>
          <w:szCs w:val="22"/>
        </w:rPr>
        <w:t xml:space="preserve"> 2012</w:t>
      </w:r>
      <w:r w:rsidRPr="004D46AC">
        <w:rPr>
          <w:rFonts w:ascii="Arial" w:hAnsi="Arial" w:cs="Arial"/>
          <w:szCs w:val="22"/>
        </w:rPr>
        <w:t xml:space="preserve">(1), 916198. https://doi.org/https://doi.org/10.1155/2012/916198 </w:t>
      </w:r>
    </w:p>
    <w:p w14:paraId="3B9DCDC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Palaniyappan, L., Wang, Y. L., &amp; Meister, F. (2025). Disorganisation and depression: a re-examination of how we think and speak when depressed. </w:t>
      </w:r>
      <w:r w:rsidRPr="004D46AC">
        <w:rPr>
          <w:rFonts w:ascii="Arial" w:hAnsi="Arial" w:cs="Arial"/>
          <w:i/>
          <w:szCs w:val="22"/>
        </w:rPr>
        <w:t>European Archives of Psychiatry and Clinical Neuroscience</w:t>
      </w:r>
      <w:r w:rsidRPr="004D46AC">
        <w:rPr>
          <w:rFonts w:ascii="Arial" w:hAnsi="Arial" w:cs="Arial"/>
          <w:szCs w:val="22"/>
        </w:rPr>
        <w:t xml:space="preserve">. https://doi.org/10.1007/s00406-025-01994-1 </w:t>
      </w:r>
    </w:p>
    <w:p w14:paraId="2FEC373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Penttilä, M., Jääskeläinen, E., Hirvonen, N., </w:t>
      </w:r>
      <w:proofErr w:type="spellStart"/>
      <w:r w:rsidRPr="004D46AC">
        <w:rPr>
          <w:rFonts w:ascii="Arial" w:hAnsi="Arial" w:cs="Arial"/>
          <w:szCs w:val="22"/>
        </w:rPr>
        <w:t>Isohanni</w:t>
      </w:r>
      <w:proofErr w:type="spellEnd"/>
      <w:r w:rsidRPr="004D46AC">
        <w:rPr>
          <w:rFonts w:ascii="Arial" w:hAnsi="Arial" w:cs="Arial"/>
          <w:szCs w:val="22"/>
        </w:rPr>
        <w:t xml:space="preserve">, M., &amp; Miettunen, J. (2014). Duration of untreated psychosis as predictor of long-term outcome in schizophrenia: systematic review and meta-analysis. </w:t>
      </w:r>
      <w:r w:rsidRPr="004D46AC">
        <w:rPr>
          <w:rFonts w:ascii="Arial" w:hAnsi="Arial" w:cs="Arial"/>
          <w:i/>
          <w:szCs w:val="22"/>
        </w:rPr>
        <w:t>British Journal of Psychiatry</w:t>
      </w:r>
      <w:r w:rsidRPr="004D46AC">
        <w:rPr>
          <w:rFonts w:ascii="Arial" w:hAnsi="Arial" w:cs="Arial"/>
          <w:szCs w:val="22"/>
        </w:rPr>
        <w:t>,</w:t>
      </w:r>
      <w:r w:rsidRPr="004D46AC">
        <w:rPr>
          <w:rFonts w:ascii="Arial" w:hAnsi="Arial" w:cs="Arial"/>
          <w:i/>
          <w:szCs w:val="22"/>
        </w:rPr>
        <w:t xml:space="preserve"> 205</w:t>
      </w:r>
      <w:r w:rsidRPr="004D46AC">
        <w:rPr>
          <w:rFonts w:ascii="Arial" w:hAnsi="Arial" w:cs="Arial"/>
          <w:szCs w:val="22"/>
        </w:rPr>
        <w:t xml:space="preserve">(2), 88-94. https://doi.org/10.1192/bjp.bp.113.127753 </w:t>
      </w:r>
    </w:p>
    <w:p w14:paraId="140E1BD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Peters, J. R., Crowe, M. L., Morgan, T., Zimmerman, M., Sharp, C., Grilo, C. M., </w:t>
      </w:r>
      <w:proofErr w:type="spellStart"/>
      <w:r w:rsidRPr="004D46AC">
        <w:rPr>
          <w:rFonts w:ascii="Arial" w:hAnsi="Arial" w:cs="Arial"/>
          <w:szCs w:val="22"/>
        </w:rPr>
        <w:t>Sanislow</w:t>
      </w:r>
      <w:proofErr w:type="spellEnd"/>
      <w:r w:rsidRPr="004D46AC">
        <w:rPr>
          <w:rFonts w:ascii="Arial" w:hAnsi="Arial" w:cs="Arial"/>
          <w:szCs w:val="22"/>
        </w:rPr>
        <w:t xml:space="preserve">, C. A., Shea, M. T., </w:t>
      </w:r>
      <w:proofErr w:type="spellStart"/>
      <w:r w:rsidRPr="004D46AC">
        <w:rPr>
          <w:rFonts w:ascii="Arial" w:hAnsi="Arial" w:cs="Arial"/>
          <w:szCs w:val="22"/>
        </w:rPr>
        <w:t>Zanarini</w:t>
      </w:r>
      <w:proofErr w:type="spellEnd"/>
      <w:r w:rsidRPr="004D46AC">
        <w:rPr>
          <w:rFonts w:ascii="Arial" w:hAnsi="Arial" w:cs="Arial"/>
          <w:szCs w:val="22"/>
        </w:rPr>
        <w:t xml:space="preserve">, M. C., McGlashan, T. H., Morey, L. C., </w:t>
      </w:r>
      <w:proofErr w:type="spellStart"/>
      <w:r w:rsidRPr="004D46AC">
        <w:rPr>
          <w:rFonts w:ascii="Arial" w:hAnsi="Arial" w:cs="Arial"/>
          <w:szCs w:val="22"/>
        </w:rPr>
        <w:t>Skodol</w:t>
      </w:r>
      <w:proofErr w:type="spellEnd"/>
      <w:r w:rsidRPr="004D46AC">
        <w:rPr>
          <w:rFonts w:ascii="Arial" w:hAnsi="Arial" w:cs="Arial"/>
          <w:szCs w:val="22"/>
        </w:rPr>
        <w:t xml:space="preserve">, A. E., &amp; Yen, S. (2023). Borderline personality disorder symptom networks across adolescent and adult clinical samples: examining symptom centrality and replicability.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53</w:t>
      </w:r>
      <w:r w:rsidRPr="004D46AC">
        <w:rPr>
          <w:rFonts w:ascii="Arial" w:hAnsi="Arial" w:cs="Arial"/>
          <w:szCs w:val="22"/>
        </w:rPr>
        <w:t xml:space="preserve">(7), 2946-2953. https://doi.org/10.1017/S0033291721004931 </w:t>
      </w:r>
    </w:p>
    <w:p w14:paraId="7C4F7E3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Pfarr, J.-K., Meller, T., Evermann, U., Sahakyan, L., </w:t>
      </w:r>
      <w:proofErr w:type="spellStart"/>
      <w:r w:rsidRPr="004D46AC">
        <w:rPr>
          <w:rFonts w:ascii="Arial" w:hAnsi="Arial" w:cs="Arial"/>
          <w:szCs w:val="22"/>
        </w:rPr>
        <w:t>Kwapil</w:t>
      </w:r>
      <w:proofErr w:type="spellEnd"/>
      <w:r w:rsidRPr="004D46AC">
        <w:rPr>
          <w:rFonts w:ascii="Arial" w:hAnsi="Arial" w:cs="Arial"/>
          <w:szCs w:val="22"/>
        </w:rPr>
        <w:t xml:space="preserve">, T. R., &amp; Nenadić, I. (2023). Trait schizotypy and the psychosis prodrome: Current standard assessment of extended psychosis spectrum phenotypes. </w:t>
      </w:r>
      <w:r w:rsidRPr="004D46AC">
        <w:rPr>
          <w:rFonts w:ascii="Arial" w:hAnsi="Arial" w:cs="Arial"/>
          <w:i/>
          <w:szCs w:val="22"/>
        </w:rPr>
        <w:t>Schizophrenia Research</w:t>
      </w:r>
      <w:r w:rsidRPr="004D46AC">
        <w:rPr>
          <w:rFonts w:ascii="Arial" w:hAnsi="Arial" w:cs="Arial"/>
          <w:szCs w:val="22"/>
        </w:rPr>
        <w:t>,</w:t>
      </w:r>
      <w:r w:rsidRPr="004D46AC">
        <w:rPr>
          <w:rFonts w:ascii="Arial" w:hAnsi="Arial" w:cs="Arial"/>
          <w:i/>
          <w:szCs w:val="22"/>
        </w:rPr>
        <w:t xml:space="preserve"> 254</w:t>
      </w:r>
      <w:r w:rsidRPr="004D46AC">
        <w:rPr>
          <w:rFonts w:ascii="Arial" w:hAnsi="Arial" w:cs="Arial"/>
          <w:szCs w:val="22"/>
        </w:rPr>
        <w:t xml:space="preserve">, 208-217. https://doi.org/https://doi.org/10.1016/j.schres.2023.03.004 </w:t>
      </w:r>
    </w:p>
    <w:p w14:paraId="10AA062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Plummer, F., Manea, L., </w:t>
      </w:r>
      <w:proofErr w:type="spellStart"/>
      <w:r w:rsidRPr="004D46AC">
        <w:rPr>
          <w:rFonts w:ascii="Arial" w:hAnsi="Arial" w:cs="Arial"/>
          <w:szCs w:val="22"/>
        </w:rPr>
        <w:t>Trepel</w:t>
      </w:r>
      <w:proofErr w:type="spellEnd"/>
      <w:r w:rsidRPr="004D46AC">
        <w:rPr>
          <w:rFonts w:ascii="Arial" w:hAnsi="Arial" w:cs="Arial"/>
          <w:szCs w:val="22"/>
        </w:rPr>
        <w:t xml:space="preserve">, D., &amp; McMillan, D. (2016). Screening for anxiety disorders with the GAD-7 and GAD-2: a systematic review and diagnostic </w:t>
      </w:r>
      <w:proofErr w:type="spellStart"/>
      <w:r w:rsidRPr="004D46AC">
        <w:rPr>
          <w:rFonts w:ascii="Arial" w:hAnsi="Arial" w:cs="Arial"/>
          <w:szCs w:val="22"/>
        </w:rPr>
        <w:t>metaanalysis</w:t>
      </w:r>
      <w:proofErr w:type="spellEnd"/>
      <w:r w:rsidRPr="004D46AC">
        <w:rPr>
          <w:rFonts w:ascii="Arial" w:hAnsi="Arial" w:cs="Arial"/>
          <w:szCs w:val="22"/>
        </w:rPr>
        <w:t xml:space="preserve">. </w:t>
      </w:r>
      <w:r w:rsidRPr="004D46AC">
        <w:rPr>
          <w:rFonts w:ascii="Arial" w:hAnsi="Arial" w:cs="Arial"/>
          <w:i/>
          <w:szCs w:val="22"/>
        </w:rPr>
        <w:t>General hospital psychiatry</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 24-31. https://doi.org/https://doi.org/10.1016/j.genhosppsych.2015.11.005 </w:t>
      </w:r>
    </w:p>
    <w:p w14:paraId="65BA0D7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Power, P. (2015). Intervening early in bipolar disorder in young people: a review of the clinical staging model. </w:t>
      </w:r>
      <w:proofErr w:type="spellStart"/>
      <w:r w:rsidRPr="004D46AC">
        <w:rPr>
          <w:rFonts w:ascii="Arial" w:hAnsi="Arial" w:cs="Arial"/>
          <w:i/>
          <w:szCs w:val="22"/>
        </w:rPr>
        <w:t>Ir</w:t>
      </w:r>
      <w:proofErr w:type="spellEnd"/>
      <w:r w:rsidRPr="004D46AC">
        <w:rPr>
          <w:rFonts w:ascii="Arial" w:hAnsi="Arial" w:cs="Arial"/>
          <w:i/>
          <w:szCs w:val="22"/>
        </w:rPr>
        <w:t xml:space="preserve"> J </w:t>
      </w:r>
      <w:proofErr w:type="spellStart"/>
      <w:r w:rsidRPr="004D46AC">
        <w:rPr>
          <w:rFonts w:ascii="Arial" w:hAnsi="Arial" w:cs="Arial"/>
          <w:i/>
          <w:szCs w:val="22"/>
        </w:rPr>
        <w:t>Psychol</w:t>
      </w:r>
      <w:proofErr w:type="spellEnd"/>
      <w:r w:rsidRPr="004D46AC">
        <w:rPr>
          <w:rFonts w:ascii="Arial" w:hAnsi="Arial" w:cs="Arial"/>
          <w:i/>
          <w:szCs w:val="22"/>
        </w:rPr>
        <w:t xml:space="preserve"> Med</w:t>
      </w:r>
      <w:r w:rsidRPr="004D46AC">
        <w:rPr>
          <w:rFonts w:ascii="Arial" w:hAnsi="Arial" w:cs="Arial"/>
          <w:szCs w:val="22"/>
        </w:rPr>
        <w:t>,</w:t>
      </w:r>
      <w:r w:rsidRPr="004D46AC">
        <w:rPr>
          <w:rFonts w:ascii="Arial" w:hAnsi="Arial" w:cs="Arial"/>
          <w:i/>
          <w:szCs w:val="22"/>
        </w:rPr>
        <w:t xml:space="preserve"> 32</w:t>
      </w:r>
      <w:r w:rsidRPr="004D46AC">
        <w:rPr>
          <w:rFonts w:ascii="Arial" w:hAnsi="Arial" w:cs="Arial"/>
          <w:szCs w:val="22"/>
        </w:rPr>
        <w:t xml:space="preserve">(1), 31-43. https://doi.org/10.1017/ipm.2014.72 </w:t>
      </w:r>
    </w:p>
    <w:p w14:paraId="2DA329C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Raemen, L., Claes, L., </w:t>
      </w:r>
      <w:proofErr w:type="spellStart"/>
      <w:r w:rsidRPr="004D46AC">
        <w:rPr>
          <w:rFonts w:ascii="Arial" w:hAnsi="Arial" w:cs="Arial"/>
          <w:szCs w:val="22"/>
        </w:rPr>
        <w:t>Palmeroni</w:t>
      </w:r>
      <w:proofErr w:type="spellEnd"/>
      <w:r w:rsidRPr="004D46AC">
        <w:rPr>
          <w:rFonts w:ascii="Arial" w:hAnsi="Arial" w:cs="Arial"/>
          <w:szCs w:val="22"/>
        </w:rPr>
        <w:t xml:space="preserve">, N., </w:t>
      </w:r>
      <w:proofErr w:type="spellStart"/>
      <w:r w:rsidRPr="004D46AC">
        <w:rPr>
          <w:rFonts w:ascii="Arial" w:hAnsi="Arial" w:cs="Arial"/>
          <w:szCs w:val="22"/>
        </w:rPr>
        <w:t>Buelens</w:t>
      </w:r>
      <w:proofErr w:type="spellEnd"/>
      <w:r w:rsidRPr="004D46AC">
        <w:rPr>
          <w:rFonts w:ascii="Arial" w:hAnsi="Arial" w:cs="Arial"/>
          <w:szCs w:val="22"/>
        </w:rPr>
        <w:t xml:space="preserve">, T., </w:t>
      </w:r>
      <w:proofErr w:type="spellStart"/>
      <w:r w:rsidRPr="004D46AC">
        <w:rPr>
          <w:rFonts w:ascii="Arial" w:hAnsi="Arial" w:cs="Arial"/>
          <w:szCs w:val="22"/>
        </w:rPr>
        <w:t>Vankerckhoven</w:t>
      </w:r>
      <w:proofErr w:type="spellEnd"/>
      <w:r w:rsidRPr="004D46AC">
        <w:rPr>
          <w:rFonts w:ascii="Arial" w:hAnsi="Arial" w:cs="Arial"/>
          <w:szCs w:val="22"/>
        </w:rPr>
        <w:t xml:space="preserve">, L., &amp; Luyckx, K. (2022). Identity formation and psychopathological symptoms in adolescence: Examining developmental trajectories and co-development. </w:t>
      </w:r>
      <w:r w:rsidRPr="004D46AC">
        <w:rPr>
          <w:rFonts w:ascii="Arial" w:hAnsi="Arial" w:cs="Arial"/>
          <w:i/>
          <w:szCs w:val="22"/>
        </w:rPr>
        <w:t>Journal of Applied Developmental Psychology</w:t>
      </w:r>
      <w:r w:rsidRPr="004D46AC">
        <w:rPr>
          <w:rFonts w:ascii="Arial" w:hAnsi="Arial" w:cs="Arial"/>
          <w:szCs w:val="22"/>
        </w:rPr>
        <w:t>,</w:t>
      </w:r>
      <w:r w:rsidRPr="004D46AC">
        <w:rPr>
          <w:rFonts w:ascii="Arial" w:hAnsi="Arial" w:cs="Arial"/>
          <w:i/>
          <w:szCs w:val="22"/>
        </w:rPr>
        <w:t xml:space="preserve"> 83</w:t>
      </w:r>
      <w:r w:rsidRPr="004D46AC">
        <w:rPr>
          <w:rFonts w:ascii="Arial" w:hAnsi="Arial" w:cs="Arial"/>
          <w:szCs w:val="22"/>
        </w:rPr>
        <w:t xml:space="preserve">, 101473. https://doi.org/https://doi.org/10.1016/j.appdev.2022.101473 </w:t>
      </w:r>
    </w:p>
    <w:p w14:paraId="678797A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Ratheesh, A., Hammond, D., Watson, M., Betts, J., Siegel, E., McGorry, P., Berk, M., Cotton, S., </w:t>
      </w:r>
      <w:proofErr w:type="spellStart"/>
      <w:r w:rsidRPr="004D46AC">
        <w:rPr>
          <w:rFonts w:ascii="Arial" w:hAnsi="Arial" w:cs="Arial"/>
          <w:szCs w:val="22"/>
        </w:rPr>
        <w:t>Chanen</w:t>
      </w:r>
      <w:proofErr w:type="spellEnd"/>
      <w:r w:rsidRPr="004D46AC">
        <w:rPr>
          <w:rFonts w:ascii="Arial" w:hAnsi="Arial" w:cs="Arial"/>
          <w:szCs w:val="22"/>
        </w:rPr>
        <w:t xml:space="preserve">, A., Nelson, B., &amp; </w:t>
      </w:r>
      <w:proofErr w:type="spellStart"/>
      <w:r w:rsidRPr="004D46AC">
        <w:rPr>
          <w:rFonts w:ascii="Arial" w:hAnsi="Arial" w:cs="Arial"/>
          <w:szCs w:val="22"/>
        </w:rPr>
        <w:t>Bechdolf</w:t>
      </w:r>
      <w:proofErr w:type="spellEnd"/>
      <w:r w:rsidRPr="004D46AC">
        <w:rPr>
          <w:rFonts w:ascii="Arial" w:hAnsi="Arial" w:cs="Arial"/>
          <w:szCs w:val="22"/>
        </w:rPr>
        <w:t xml:space="preserve">, A. (2023). Bipolar At-Risk Criteria and Risk of Bipolar Disorder Over 10 or More Years. </w:t>
      </w:r>
      <w:r w:rsidRPr="004D46AC">
        <w:rPr>
          <w:rFonts w:ascii="Arial" w:hAnsi="Arial" w:cs="Arial"/>
          <w:i/>
          <w:szCs w:val="22"/>
        </w:rPr>
        <w:t>JAMA Network Open</w:t>
      </w:r>
      <w:r w:rsidRPr="004D46AC">
        <w:rPr>
          <w:rFonts w:ascii="Arial" w:hAnsi="Arial" w:cs="Arial"/>
          <w:szCs w:val="22"/>
        </w:rPr>
        <w:t>,</w:t>
      </w:r>
      <w:r w:rsidRPr="004D46AC">
        <w:rPr>
          <w:rFonts w:ascii="Arial" w:hAnsi="Arial" w:cs="Arial"/>
          <w:i/>
          <w:szCs w:val="22"/>
        </w:rPr>
        <w:t xml:space="preserve"> 6</w:t>
      </w:r>
      <w:r w:rsidRPr="004D46AC">
        <w:rPr>
          <w:rFonts w:ascii="Arial" w:hAnsi="Arial" w:cs="Arial"/>
          <w:szCs w:val="22"/>
        </w:rPr>
        <w:t xml:space="preserve">(9), e2334078-e2334078. https://doi.org/10.1001/jamanetworkopen.2023.34078 </w:t>
      </w:r>
    </w:p>
    <w:p w14:paraId="57D2D1D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Raymond Lake, C. (2008). Disorders of Thought Are Severe Mood Disorders: </w:t>
      </w:r>
      <w:proofErr w:type="gramStart"/>
      <w:r w:rsidRPr="004D46AC">
        <w:rPr>
          <w:rFonts w:ascii="Arial" w:hAnsi="Arial" w:cs="Arial"/>
          <w:szCs w:val="22"/>
        </w:rPr>
        <w:t>the</w:t>
      </w:r>
      <w:proofErr w:type="gramEnd"/>
      <w:r w:rsidRPr="004D46AC">
        <w:rPr>
          <w:rFonts w:ascii="Arial" w:hAnsi="Arial" w:cs="Arial"/>
          <w:szCs w:val="22"/>
        </w:rPr>
        <w:t xml:space="preserve"> Selective Attention Defect in Mania Challenges the Kraepelinian Dichotomy—A Review. </w:t>
      </w:r>
      <w:r w:rsidRPr="004D46AC">
        <w:rPr>
          <w:rFonts w:ascii="Arial" w:hAnsi="Arial" w:cs="Arial"/>
          <w:i/>
          <w:szCs w:val="22"/>
        </w:rPr>
        <w:t>Schizophrenia Bulletin</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(1), 109-117. https://doi.org/10.1093/schbul/sbm035 </w:t>
      </w:r>
    </w:p>
    <w:p w14:paraId="4DC9FB74"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Reininghaus</w:t>
      </w:r>
      <w:proofErr w:type="spellEnd"/>
      <w:r w:rsidRPr="004D46AC">
        <w:rPr>
          <w:rFonts w:ascii="Arial" w:hAnsi="Arial" w:cs="Arial"/>
          <w:szCs w:val="22"/>
        </w:rPr>
        <w:t xml:space="preserve">, U., Bohnke, J. R., Chavez-Baldini, U., Gibbons, R., Ivleva, E., Clementz, B. A., Pearlson, G. D., Keshavan, M. S., Sweeney, J. A., &amp; Tamminga, C. A. (2019). Transdiagnostic dimensions of psychosis in the Bipolar-Schizophrenia Network on </w:t>
      </w:r>
      <w:r w:rsidRPr="004D46AC">
        <w:rPr>
          <w:rFonts w:ascii="Arial" w:hAnsi="Arial" w:cs="Arial"/>
          <w:szCs w:val="22"/>
        </w:rPr>
        <w:lastRenderedPageBreak/>
        <w:t xml:space="preserve">Intermediate Phenotypes (B-SNIP).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18</w:t>
      </w:r>
      <w:r w:rsidRPr="004D46AC">
        <w:rPr>
          <w:rFonts w:ascii="Arial" w:hAnsi="Arial" w:cs="Arial"/>
          <w:szCs w:val="22"/>
        </w:rPr>
        <w:t xml:space="preserve">(1), 67-76. https://doi.org/10.1002/wps.20607 </w:t>
      </w:r>
    </w:p>
    <w:p w14:paraId="58C067C2"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Reininghaus</w:t>
      </w:r>
      <w:proofErr w:type="spellEnd"/>
      <w:r w:rsidRPr="004D46AC">
        <w:rPr>
          <w:rFonts w:ascii="Arial" w:hAnsi="Arial" w:cs="Arial"/>
          <w:szCs w:val="22"/>
        </w:rPr>
        <w:t xml:space="preserve">, U., Bohnke, J. R., Hosang, G., Farmer, A., Burns, T., McGuffin, P., &amp; Bentall, R. P. (2016). Evaluation of the validity and utility of a transdiagnostic psychosis dimension encompassing schizophrenia and bipolar disorder. </w:t>
      </w:r>
      <w:r w:rsidRPr="004D46AC">
        <w:rPr>
          <w:rFonts w:ascii="Arial" w:hAnsi="Arial" w:cs="Arial"/>
          <w:i/>
          <w:szCs w:val="22"/>
        </w:rPr>
        <w:t>Br J Psychiatry</w:t>
      </w:r>
      <w:r w:rsidRPr="004D46AC">
        <w:rPr>
          <w:rFonts w:ascii="Arial" w:hAnsi="Arial" w:cs="Arial"/>
          <w:szCs w:val="22"/>
        </w:rPr>
        <w:t>,</w:t>
      </w:r>
      <w:r w:rsidRPr="004D46AC">
        <w:rPr>
          <w:rFonts w:ascii="Arial" w:hAnsi="Arial" w:cs="Arial"/>
          <w:i/>
          <w:szCs w:val="22"/>
        </w:rPr>
        <w:t xml:space="preserve"> 209</w:t>
      </w:r>
      <w:r w:rsidRPr="004D46AC">
        <w:rPr>
          <w:rFonts w:ascii="Arial" w:hAnsi="Arial" w:cs="Arial"/>
          <w:szCs w:val="22"/>
        </w:rPr>
        <w:t xml:space="preserve">(2), 107-113. https://doi.org/10.1192/bjp.bp.115.167882 </w:t>
      </w:r>
    </w:p>
    <w:p w14:paraId="6859566A"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Reininghaus</w:t>
      </w:r>
      <w:proofErr w:type="spellEnd"/>
      <w:r w:rsidRPr="004D46AC">
        <w:rPr>
          <w:rFonts w:ascii="Arial" w:hAnsi="Arial" w:cs="Arial"/>
          <w:szCs w:val="22"/>
        </w:rPr>
        <w:t xml:space="preserve">, U., Priebe, S., &amp; Bentall, R. P. (2013). Testing the psychopathology of psychosis: evidence for a general psychosis dimension.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(4), 884-895. https://doi.org/10.1093/schbul/sbr182 </w:t>
      </w:r>
    </w:p>
    <w:p w14:paraId="465511A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Rouquette, A., </w:t>
      </w:r>
      <w:proofErr w:type="spellStart"/>
      <w:r w:rsidRPr="004D46AC">
        <w:rPr>
          <w:rFonts w:ascii="Arial" w:hAnsi="Arial" w:cs="Arial"/>
          <w:szCs w:val="22"/>
        </w:rPr>
        <w:t>Pingault</w:t>
      </w:r>
      <w:proofErr w:type="spellEnd"/>
      <w:r w:rsidRPr="004D46AC">
        <w:rPr>
          <w:rFonts w:ascii="Arial" w:hAnsi="Arial" w:cs="Arial"/>
          <w:szCs w:val="22"/>
        </w:rPr>
        <w:t xml:space="preserve">, J.-B., Fried, E. I., Orri, M., </w:t>
      </w:r>
      <w:proofErr w:type="spellStart"/>
      <w:r w:rsidRPr="004D46AC">
        <w:rPr>
          <w:rFonts w:ascii="Arial" w:hAnsi="Arial" w:cs="Arial"/>
          <w:szCs w:val="22"/>
        </w:rPr>
        <w:t>Falissard</w:t>
      </w:r>
      <w:proofErr w:type="spellEnd"/>
      <w:r w:rsidRPr="004D46AC">
        <w:rPr>
          <w:rFonts w:ascii="Arial" w:hAnsi="Arial" w:cs="Arial"/>
          <w:szCs w:val="22"/>
        </w:rPr>
        <w:t xml:space="preserve">, B., Kossakowski, J. J., Vitaro, F., Tremblay, R., Cote, S. M., &amp; Borsboom, D. (2018). Emotional and </w:t>
      </w:r>
      <w:proofErr w:type="spellStart"/>
      <w:r w:rsidRPr="004D46AC">
        <w:rPr>
          <w:rFonts w:ascii="Arial" w:hAnsi="Arial" w:cs="Arial"/>
          <w:szCs w:val="22"/>
        </w:rPr>
        <w:t>Behavioral</w:t>
      </w:r>
      <w:proofErr w:type="spellEnd"/>
      <w:r w:rsidRPr="004D46AC">
        <w:rPr>
          <w:rFonts w:ascii="Arial" w:hAnsi="Arial" w:cs="Arial"/>
          <w:szCs w:val="22"/>
        </w:rPr>
        <w:t xml:space="preserve"> Symptom Network Structure in Elementary School Girls and Association </w:t>
      </w:r>
      <w:proofErr w:type="gramStart"/>
      <w:r w:rsidRPr="004D46AC">
        <w:rPr>
          <w:rFonts w:ascii="Arial" w:hAnsi="Arial" w:cs="Arial"/>
          <w:szCs w:val="22"/>
        </w:rPr>
        <w:t>With</w:t>
      </w:r>
      <w:proofErr w:type="gramEnd"/>
      <w:r w:rsidRPr="004D46AC">
        <w:rPr>
          <w:rFonts w:ascii="Arial" w:hAnsi="Arial" w:cs="Arial"/>
          <w:szCs w:val="22"/>
        </w:rPr>
        <w:t xml:space="preserve"> Anxiety Disorders and Depression in Adolescence and Early Adulthood: A Network Analysis. </w:t>
      </w:r>
      <w:r w:rsidRPr="004D46AC">
        <w:rPr>
          <w:rFonts w:ascii="Arial" w:hAnsi="Arial" w:cs="Arial"/>
          <w:i/>
          <w:szCs w:val="22"/>
        </w:rPr>
        <w:t>JAMA Psychiatry</w:t>
      </w:r>
      <w:r w:rsidRPr="004D46AC">
        <w:rPr>
          <w:rFonts w:ascii="Arial" w:hAnsi="Arial" w:cs="Arial"/>
          <w:szCs w:val="22"/>
        </w:rPr>
        <w:t>,</w:t>
      </w:r>
      <w:r w:rsidRPr="004D46AC">
        <w:rPr>
          <w:rFonts w:ascii="Arial" w:hAnsi="Arial" w:cs="Arial"/>
          <w:i/>
          <w:szCs w:val="22"/>
        </w:rPr>
        <w:t xml:space="preserve"> 75</w:t>
      </w:r>
      <w:r w:rsidRPr="004D46AC">
        <w:rPr>
          <w:rFonts w:ascii="Arial" w:hAnsi="Arial" w:cs="Arial"/>
          <w:szCs w:val="22"/>
        </w:rPr>
        <w:t xml:space="preserve">(11), 1173-1181. https://doi.org/10.1001/jamapsychiatry.2018.2119 </w:t>
      </w:r>
    </w:p>
    <w:p w14:paraId="4892F1C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Ruggero, C. J., Jonas, K. G., Busso, C., Lian, W., Docherty, A. R., Shabalin, A. A., Carlson, G. A., </w:t>
      </w:r>
      <w:proofErr w:type="spellStart"/>
      <w:r w:rsidRPr="004D46AC">
        <w:rPr>
          <w:rFonts w:ascii="Arial" w:hAnsi="Arial" w:cs="Arial"/>
          <w:szCs w:val="22"/>
        </w:rPr>
        <w:t>Bromet</w:t>
      </w:r>
      <w:proofErr w:type="spellEnd"/>
      <w:r w:rsidRPr="004D46AC">
        <w:rPr>
          <w:rFonts w:ascii="Arial" w:hAnsi="Arial" w:cs="Arial"/>
          <w:szCs w:val="22"/>
        </w:rPr>
        <w:t xml:space="preserve">, E. J., &amp; Kotov, R. (2025). Where is mania in the meta-structure of psychopathology?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55</w:t>
      </w:r>
      <w:r w:rsidRPr="004D46AC">
        <w:rPr>
          <w:rFonts w:ascii="Arial" w:hAnsi="Arial" w:cs="Arial"/>
          <w:szCs w:val="22"/>
        </w:rPr>
        <w:t xml:space="preserve">, e342, Article e342. https://doi.org/10.1017/S0033291725101712 </w:t>
      </w:r>
    </w:p>
    <w:p w14:paraId="485275C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Salazar de Pablo, G., Cabras, A., Pereira, J., Castro Santos, H., de Diego, H., Catalan, A., González-Pinto, A., </w:t>
      </w:r>
      <w:proofErr w:type="spellStart"/>
      <w:r w:rsidRPr="004D46AC">
        <w:rPr>
          <w:rFonts w:ascii="Arial" w:hAnsi="Arial" w:cs="Arial"/>
          <w:szCs w:val="22"/>
        </w:rPr>
        <w:t>Birmaher</w:t>
      </w:r>
      <w:proofErr w:type="spellEnd"/>
      <w:r w:rsidRPr="004D46AC">
        <w:rPr>
          <w:rFonts w:ascii="Arial" w:hAnsi="Arial" w:cs="Arial"/>
          <w:szCs w:val="22"/>
        </w:rPr>
        <w:t xml:space="preserve">, B., Correll, C. U., &amp; </w:t>
      </w:r>
      <w:proofErr w:type="spellStart"/>
      <w:r w:rsidRPr="004D46AC">
        <w:rPr>
          <w:rFonts w:ascii="Arial" w:hAnsi="Arial" w:cs="Arial"/>
          <w:szCs w:val="22"/>
        </w:rPr>
        <w:t>Fusar</w:t>
      </w:r>
      <w:proofErr w:type="spellEnd"/>
      <w:r w:rsidRPr="004D46AC">
        <w:rPr>
          <w:rFonts w:ascii="Arial" w:hAnsi="Arial" w:cs="Arial"/>
          <w:szCs w:val="22"/>
        </w:rPr>
        <w:t xml:space="preserve">-Poli, P. (2023). Predicting bipolar </w:t>
      </w:r>
      <w:proofErr w:type="gramStart"/>
      <w:r w:rsidRPr="004D46AC">
        <w:rPr>
          <w:rFonts w:ascii="Arial" w:hAnsi="Arial" w:cs="Arial"/>
          <w:szCs w:val="22"/>
        </w:rPr>
        <w:t>disorder</w:t>
      </w:r>
      <w:proofErr w:type="gramEnd"/>
      <w:r w:rsidRPr="004D46AC">
        <w:rPr>
          <w:rFonts w:ascii="Arial" w:hAnsi="Arial" w:cs="Arial"/>
          <w:szCs w:val="22"/>
        </w:rPr>
        <w:t xml:space="preserve"> I/II in individuals at clinical high-risk: Results from a systematic review.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325</w:t>
      </w:r>
      <w:r w:rsidRPr="004D46AC">
        <w:rPr>
          <w:rFonts w:ascii="Arial" w:hAnsi="Arial" w:cs="Arial"/>
          <w:szCs w:val="22"/>
        </w:rPr>
        <w:t xml:space="preserve">, 778-786. https://doi.org/https://doi.org/10.1016/j.jad.2023.01.045 </w:t>
      </w:r>
    </w:p>
    <w:p w14:paraId="1E7C166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Salazar de Pablo, G., Radua, J., Pereira, J., </w:t>
      </w:r>
      <w:proofErr w:type="spellStart"/>
      <w:r w:rsidRPr="004D46AC">
        <w:rPr>
          <w:rFonts w:ascii="Arial" w:hAnsi="Arial" w:cs="Arial"/>
          <w:szCs w:val="22"/>
        </w:rPr>
        <w:t>Bonoldi</w:t>
      </w:r>
      <w:proofErr w:type="spellEnd"/>
      <w:r w:rsidRPr="004D46AC">
        <w:rPr>
          <w:rFonts w:ascii="Arial" w:hAnsi="Arial" w:cs="Arial"/>
          <w:szCs w:val="22"/>
        </w:rPr>
        <w:t xml:space="preserve">, I., </w:t>
      </w:r>
      <w:proofErr w:type="spellStart"/>
      <w:r w:rsidRPr="004D46AC">
        <w:rPr>
          <w:rFonts w:ascii="Arial" w:hAnsi="Arial" w:cs="Arial"/>
          <w:szCs w:val="22"/>
        </w:rPr>
        <w:t>Arienti</w:t>
      </w:r>
      <w:proofErr w:type="spellEnd"/>
      <w:r w:rsidRPr="004D46AC">
        <w:rPr>
          <w:rFonts w:ascii="Arial" w:hAnsi="Arial" w:cs="Arial"/>
          <w:szCs w:val="22"/>
        </w:rPr>
        <w:t xml:space="preserve">, V., Besana, F., </w:t>
      </w:r>
      <w:proofErr w:type="spellStart"/>
      <w:r w:rsidRPr="004D46AC">
        <w:rPr>
          <w:rFonts w:ascii="Arial" w:hAnsi="Arial" w:cs="Arial"/>
          <w:szCs w:val="22"/>
        </w:rPr>
        <w:t>Soardo</w:t>
      </w:r>
      <w:proofErr w:type="spellEnd"/>
      <w:r w:rsidRPr="004D46AC">
        <w:rPr>
          <w:rFonts w:ascii="Arial" w:hAnsi="Arial" w:cs="Arial"/>
          <w:szCs w:val="22"/>
        </w:rPr>
        <w:t xml:space="preserve">, L., Cabras, A., </w:t>
      </w:r>
      <w:proofErr w:type="spellStart"/>
      <w:r w:rsidRPr="004D46AC">
        <w:rPr>
          <w:rFonts w:ascii="Arial" w:hAnsi="Arial" w:cs="Arial"/>
          <w:szCs w:val="22"/>
        </w:rPr>
        <w:t>Fortea</w:t>
      </w:r>
      <w:proofErr w:type="spellEnd"/>
      <w:r w:rsidRPr="004D46AC">
        <w:rPr>
          <w:rFonts w:ascii="Arial" w:hAnsi="Arial" w:cs="Arial"/>
          <w:szCs w:val="22"/>
        </w:rPr>
        <w:t xml:space="preserve">, L., Catalan, A., </w:t>
      </w:r>
      <w:proofErr w:type="spellStart"/>
      <w:r w:rsidRPr="004D46AC">
        <w:rPr>
          <w:rFonts w:ascii="Arial" w:hAnsi="Arial" w:cs="Arial"/>
          <w:szCs w:val="22"/>
        </w:rPr>
        <w:t>Vaquerizo</w:t>
      </w:r>
      <w:proofErr w:type="spellEnd"/>
      <w:r w:rsidRPr="004D46AC">
        <w:rPr>
          <w:rFonts w:ascii="Arial" w:hAnsi="Arial" w:cs="Arial"/>
          <w:szCs w:val="22"/>
        </w:rPr>
        <w:t xml:space="preserve">-Serrano, J., </w:t>
      </w:r>
      <w:proofErr w:type="spellStart"/>
      <w:r w:rsidRPr="004D46AC">
        <w:rPr>
          <w:rFonts w:ascii="Arial" w:hAnsi="Arial" w:cs="Arial"/>
          <w:szCs w:val="22"/>
        </w:rPr>
        <w:t>Coronelli</w:t>
      </w:r>
      <w:proofErr w:type="spellEnd"/>
      <w:r w:rsidRPr="004D46AC">
        <w:rPr>
          <w:rFonts w:ascii="Arial" w:hAnsi="Arial" w:cs="Arial"/>
          <w:szCs w:val="22"/>
        </w:rPr>
        <w:t xml:space="preserve">, F., Kaur, S., Da Silva, J., Shin, J. I., Solmi, M., Brondino, N., Politi, P., McGuire, P., &amp; </w:t>
      </w:r>
      <w:proofErr w:type="spellStart"/>
      <w:r w:rsidRPr="004D46AC">
        <w:rPr>
          <w:rFonts w:ascii="Arial" w:hAnsi="Arial" w:cs="Arial"/>
          <w:szCs w:val="22"/>
        </w:rPr>
        <w:t>Fusar</w:t>
      </w:r>
      <w:proofErr w:type="spellEnd"/>
      <w:r w:rsidRPr="004D46AC">
        <w:rPr>
          <w:rFonts w:ascii="Arial" w:hAnsi="Arial" w:cs="Arial"/>
          <w:szCs w:val="22"/>
        </w:rPr>
        <w:t xml:space="preserve">-Poli, P. (2021). Probability of Transition to Psychosis in Individuals at Clinical High Risk: An Updated Meta-analysis. </w:t>
      </w:r>
      <w:r w:rsidRPr="004D46AC">
        <w:rPr>
          <w:rFonts w:ascii="Arial" w:hAnsi="Arial" w:cs="Arial"/>
          <w:i/>
          <w:szCs w:val="22"/>
        </w:rPr>
        <w:t>JAMA Psychiatry</w:t>
      </w:r>
      <w:r w:rsidRPr="004D46AC">
        <w:rPr>
          <w:rFonts w:ascii="Arial" w:hAnsi="Arial" w:cs="Arial"/>
          <w:szCs w:val="22"/>
        </w:rPr>
        <w:t>,</w:t>
      </w:r>
      <w:r w:rsidRPr="004D46AC">
        <w:rPr>
          <w:rFonts w:ascii="Arial" w:hAnsi="Arial" w:cs="Arial"/>
          <w:i/>
          <w:szCs w:val="22"/>
        </w:rPr>
        <w:t xml:space="preserve"> 78</w:t>
      </w:r>
      <w:r w:rsidRPr="004D46AC">
        <w:rPr>
          <w:rFonts w:ascii="Arial" w:hAnsi="Arial" w:cs="Arial"/>
          <w:szCs w:val="22"/>
        </w:rPr>
        <w:t xml:space="preserve">(9), 970-978. https://doi.org/10.1001/jamapsychiatry.2021.0830 </w:t>
      </w:r>
    </w:p>
    <w:p w14:paraId="1974241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Sanches, M., &amp; Soares, J. C. (2020). Prevention of Bipolar Disorder: Are We Almost There? </w:t>
      </w:r>
      <w:r w:rsidRPr="004D46AC">
        <w:rPr>
          <w:rFonts w:ascii="Arial" w:hAnsi="Arial" w:cs="Arial"/>
          <w:i/>
          <w:szCs w:val="22"/>
        </w:rPr>
        <w:t xml:space="preserve">Current </w:t>
      </w:r>
      <w:proofErr w:type="spellStart"/>
      <w:r w:rsidRPr="004D46AC">
        <w:rPr>
          <w:rFonts w:ascii="Arial" w:hAnsi="Arial" w:cs="Arial"/>
          <w:i/>
          <w:szCs w:val="22"/>
        </w:rPr>
        <w:t>Behavioral</w:t>
      </w:r>
      <w:proofErr w:type="spellEnd"/>
      <w:r w:rsidRPr="004D46AC">
        <w:rPr>
          <w:rFonts w:ascii="Arial" w:hAnsi="Arial" w:cs="Arial"/>
          <w:i/>
          <w:szCs w:val="22"/>
        </w:rPr>
        <w:t xml:space="preserve"> Neuroscience Reports</w:t>
      </w:r>
      <w:r w:rsidRPr="004D46AC">
        <w:rPr>
          <w:rFonts w:ascii="Arial" w:hAnsi="Arial" w:cs="Arial"/>
          <w:szCs w:val="22"/>
        </w:rPr>
        <w:t>,</w:t>
      </w:r>
      <w:r w:rsidRPr="004D46AC">
        <w:rPr>
          <w:rFonts w:ascii="Arial" w:hAnsi="Arial" w:cs="Arial"/>
          <w:i/>
          <w:szCs w:val="22"/>
        </w:rPr>
        <w:t xml:space="preserve"> 7</w:t>
      </w:r>
      <w:r w:rsidRPr="004D46AC">
        <w:rPr>
          <w:rFonts w:ascii="Arial" w:hAnsi="Arial" w:cs="Arial"/>
          <w:szCs w:val="22"/>
        </w:rPr>
        <w:t xml:space="preserve">(2), 62-67. https://doi.org/10.1007/s40473-020-00203-8 </w:t>
      </w:r>
    </w:p>
    <w:p w14:paraId="179A5D4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Savill, M., D'Ambrosio, J., Cannon, T. D., &amp; Loewy, R. L. (2018). Psychosis risk screening in different populations using the Prodromal Questionnaire: A systematic review. </w:t>
      </w:r>
      <w:r w:rsidRPr="004D46AC">
        <w:rPr>
          <w:rFonts w:ascii="Arial" w:hAnsi="Arial" w:cs="Arial"/>
          <w:i/>
          <w:szCs w:val="22"/>
        </w:rPr>
        <w:t xml:space="preserve">Early </w:t>
      </w:r>
      <w:proofErr w:type="spellStart"/>
      <w:r w:rsidRPr="004D46AC">
        <w:rPr>
          <w:rFonts w:ascii="Arial" w:hAnsi="Arial" w:cs="Arial"/>
          <w:i/>
          <w:szCs w:val="22"/>
        </w:rPr>
        <w:t>Interv</w:t>
      </w:r>
      <w:proofErr w:type="spellEnd"/>
      <w:r w:rsidRPr="004D46AC">
        <w:rPr>
          <w:rFonts w:ascii="Arial" w:hAnsi="Arial" w:cs="Arial"/>
          <w:i/>
          <w:szCs w:val="22"/>
        </w:rPr>
        <w:t xml:space="preserve"> Psychiatry</w:t>
      </w:r>
      <w:r w:rsidRPr="004D46AC">
        <w:rPr>
          <w:rFonts w:ascii="Arial" w:hAnsi="Arial" w:cs="Arial"/>
          <w:szCs w:val="22"/>
        </w:rPr>
        <w:t>,</w:t>
      </w:r>
      <w:r w:rsidRPr="004D46AC">
        <w:rPr>
          <w:rFonts w:ascii="Arial" w:hAnsi="Arial" w:cs="Arial"/>
          <w:i/>
          <w:szCs w:val="22"/>
        </w:rPr>
        <w:t xml:space="preserve"> 12</w:t>
      </w:r>
      <w:r w:rsidRPr="004D46AC">
        <w:rPr>
          <w:rFonts w:ascii="Arial" w:hAnsi="Arial" w:cs="Arial"/>
          <w:szCs w:val="22"/>
        </w:rPr>
        <w:t xml:space="preserve">(1), 3-14. https://doi.org/10.1111/eip.12446 </w:t>
      </w:r>
    </w:p>
    <w:p w14:paraId="17FA3AF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Schlechter, P., Ford, T. J., &amp; Neufeld, S. A. S. (2023). The development of depressive symptoms in older adults from a network perspective in the English Longitudinal Study of Ageing. </w:t>
      </w:r>
      <w:r w:rsidRPr="004D46AC">
        <w:rPr>
          <w:rFonts w:ascii="Arial" w:hAnsi="Arial" w:cs="Arial"/>
          <w:i/>
          <w:szCs w:val="22"/>
        </w:rPr>
        <w:t>Translational Psychiatry</w:t>
      </w:r>
      <w:r w:rsidRPr="004D46AC">
        <w:rPr>
          <w:rFonts w:ascii="Arial" w:hAnsi="Arial" w:cs="Arial"/>
          <w:szCs w:val="22"/>
        </w:rPr>
        <w:t>,</w:t>
      </w:r>
      <w:r w:rsidRPr="004D46AC">
        <w:rPr>
          <w:rFonts w:ascii="Arial" w:hAnsi="Arial" w:cs="Arial"/>
          <w:i/>
          <w:szCs w:val="22"/>
        </w:rPr>
        <w:t xml:space="preserve"> 13</w:t>
      </w:r>
      <w:r w:rsidRPr="004D46AC">
        <w:rPr>
          <w:rFonts w:ascii="Arial" w:hAnsi="Arial" w:cs="Arial"/>
          <w:szCs w:val="22"/>
        </w:rPr>
        <w:t xml:space="preserve">(1), 363. https://doi.org/10.1038/s41398-023-02659-0 </w:t>
      </w:r>
    </w:p>
    <w:p w14:paraId="75B540C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Scutari, M. (2010). Learning Bayesian Networks with the </w:t>
      </w:r>
      <w:proofErr w:type="spellStart"/>
      <w:r w:rsidRPr="004D46AC">
        <w:rPr>
          <w:rFonts w:ascii="Arial" w:hAnsi="Arial" w:cs="Arial"/>
          <w:szCs w:val="22"/>
        </w:rPr>
        <w:t>bnlearn</w:t>
      </w:r>
      <w:proofErr w:type="spellEnd"/>
      <w:r w:rsidRPr="004D46AC">
        <w:rPr>
          <w:rFonts w:ascii="Arial" w:hAnsi="Arial" w:cs="Arial"/>
          <w:szCs w:val="22"/>
        </w:rPr>
        <w:t xml:space="preserve"> R Package. </w:t>
      </w:r>
      <w:r w:rsidRPr="004D46AC">
        <w:rPr>
          <w:rFonts w:ascii="Arial" w:hAnsi="Arial" w:cs="Arial"/>
          <w:i/>
          <w:szCs w:val="22"/>
        </w:rPr>
        <w:t>Journal of Statistical Software</w:t>
      </w:r>
      <w:r w:rsidRPr="004D46AC">
        <w:rPr>
          <w:rFonts w:ascii="Arial" w:hAnsi="Arial" w:cs="Arial"/>
          <w:szCs w:val="22"/>
        </w:rPr>
        <w:t>,</w:t>
      </w:r>
      <w:r w:rsidRPr="004D46AC">
        <w:rPr>
          <w:rFonts w:ascii="Arial" w:hAnsi="Arial" w:cs="Arial"/>
          <w:i/>
          <w:szCs w:val="22"/>
        </w:rPr>
        <w:t xml:space="preserve"> 35</w:t>
      </w:r>
      <w:r w:rsidRPr="004D46AC">
        <w:rPr>
          <w:rFonts w:ascii="Arial" w:hAnsi="Arial" w:cs="Arial"/>
          <w:szCs w:val="22"/>
        </w:rPr>
        <w:t xml:space="preserve">(3), 1 - 22. https://doi.org/10.18637/jss.v035.i03 </w:t>
      </w:r>
    </w:p>
    <w:p w14:paraId="4583798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Scutari, M. (2017). Bayesian network constraint-based structure learning algorithms: Parallel and optimized implementations in the </w:t>
      </w:r>
      <w:proofErr w:type="spellStart"/>
      <w:r w:rsidRPr="004D46AC">
        <w:rPr>
          <w:rFonts w:ascii="Arial" w:hAnsi="Arial" w:cs="Arial"/>
          <w:szCs w:val="22"/>
        </w:rPr>
        <w:t>bnlearn</w:t>
      </w:r>
      <w:proofErr w:type="spellEnd"/>
      <w:r w:rsidRPr="004D46AC">
        <w:rPr>
          <w:rFonts w:ascii="Arial" w:hAnsi="Arial" w:cs="Arial"/>
          <w:szCs w:val="22"/>
        </w:rPr>
        <w:t xml:space="preserve"> R package. </w:t>
      </w:r>
      <w:r w:rsidRPr="004D46AC">
        <w:rPr>
          <w:rFonts w:ascii="Arial" w:hAnsi="Arial" w:cs="Arial"/>
          <w:i/>
          <w:szCs w:val="22"/>
        </w:rPr>
        <w:t>Journal of Statistical Software</w:t>
      </w:r>
      <w:r w:rsidRPr="004D46AC">
        <w:rPr>
          <w:rFonts w:ascii="Arial" w:hAnsi="Arial" w:cs="Arial"/>
          <w:szCs w:val="22"/>
        </w:rPr>
        <w:t>,</w:t>
      </w:r>
      <w:r w:rsidRPr="004D46AC">
        <w:rPr>
          <w:rFonts w:ascii="Arial" w:hAnsi="Arial" w:cs="Arial"/>
          <w:i/>
          <w:szCs w:val="22"/>
        </w:rPr>
        <w:t xml:space="preserve"> 77</w:t>
      </w:r>
      <w:r w:rsidRPr="004D46AC">
        <w:rPr>
          <w:rFonts w:ascii="Arial" w:hAnsi="Arial" w:cs="Arial"/>
          <w:szCs w:val="22"/>
        </w:rPr>
        <w:t xml:space="preserve">, 1-20. </w:t>
      </w:r>
    </w:p>
    <w:p w14:paraId="5FD9D22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Shao, W., Simmonds-Buckley, M., </w:t>
      </w:r>
      <w:proofErr w:type="spellStart"/>
      <w:r w:rsidRPr="004D46AC">
        <w:rPr>
          <w:rFonts w:ascii="Arial" w:hAnsi="Arial" w:cs="Arial"/>
          <w:szCs w:val="22"/>
        </w:rPr>
        <w:t>Zavlis</w:t>
      </w:r>
      <w:proofErr w:type="spellEnd"/>
      <w:r w:rsidRPr="004D46AC">
        <w:rPr>
          <w:rFonts w:ascii="Arial" w:hAnsi="Arial" w:cs="Arial"/>
          <w:szCs w:val="22"/>
        </w:rPr>
        <w:t xml:space="preserve">, O., &amp; Bentall, R. P. (2024). The Common Structure of the Major Psychoses: More Similarities Than Differences in the Network Structures of Schizophrenia, Schizoaffective Disorder, and Psychotic Bipolar Disorder.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 xml:space="preserve">, sbae154. https://doi.org/10.1093/schbul/sbae154 </w:t>
      </w:r>
    </w:p>
    <w:p w14:paraId="425F54F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Shevlin, M., McElroy, E., Bentall, R. P., </w:t>
      </w:r>
      <w:proofErr w:type="spellStart"/>
      <w:r w:rsidRPr="004D46AC">
        <w:rPr>
          <w:rFonts w:ascii="Arial" w:hAnsi="Arial" w:cs="Arial"/>
          <w:szCs w:val="22"/>
        </w:rPr>
        <w:t>Reininghaus</w:t>
      </w:r>
      <w:proofErr w:type="spellEnd"/>
      <w:r w:rsidRPr="004D46AC">
        <w:rPr>
          <w:rFonts w:ascii="Arial" w:hAnsi="Arial" w:cs="Arial"/>
          <w:szCs w:val="22"/>
        </w:rPr>
        <w:t xml:space="preserve">, U., &amp; Murphy, J. (2017). The Psychosis Continuum: Testing a Bifactor Model of Psychosis in a General Population Sample. </w:t>
      </w:r>
      <w:proofErr w:type="spellStart"/>
      <w:r w:rsidRPr="004D46AC">
        <w:rPr>
          <w:rFonts w:ascii="Arial" w:hAnsi="Arial" w:cs="Arial"/>
          <w:i/>
          <w:szCs w:val="22"/>
        </w:rPr>
        <w:t>Schizophr</w:t>
      </w:r>
      <w:proofErr w:type="spellEnd"/>
      <w:r w:rsidRPr="004D46AC">
        <w:rPr>
          <w:rFonts w:ascii="Arial" w:hAnsi="Arial" w:cs="Arial"/>
          <w:i/>
          <w:szCs w:val="22"/>
        </w:rPr>
        <w:t xml:space="preserve"> Bull</w:t>
      </w:r>
      <w:r w:rsidRPr="004D46AC">
        <w:rPr>
          <w:rFonts w:ascii="Arial" w:hAnsi="Arial" w:cs="Arial"/>
          <w:szCs w:val="22"/>
        </w:rPr>
        <w:t>,</w:t>
      </w:r>
      <w:r w:rsidRPr="004D46AC">
        <w:rPr>
          <w:rFonts w:ascii="Arial" w:hAnsi="Arial" w:cs="Arial"/>
          <w:i/>
          <w:szCs w:val="22"/>
        </w:rPr>
        <w:t xml:space="preserve"> 43</w:t>
      </w:r>
      <w:r w:rsidRPr="004D46AC">
        <w:rPr>
          <w:rFonts w:ascii="Arial" w:hAnsi="Arial" w:cs="Arial"/>
          <w:szCs w:val="22"/>
        </w:rPr>
        <w:t xml:space="preserve">(1), 133-141. https://doi.org/10.1093/schbul/sbw067 </w:t>
      </w:r>
    </w:p>
    <w:p w14:paraId="5E4C6AA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Shin, C., Lee, S.-H., Han, K.-M., Yoon, H.-K., &amp; Han, C. (2019). Comparison of the Usefulness of the PHQ-8 and PHQ-9 for Screening for Major Depressive Disorder: Analysis of Psychiatric Outpatient Data. </w:t>
      </w:r>
      <w:r w:rsidRPr="004D46AC">
        <w:rPr>
          <w:rFonts w:ascii="Arial" w:hAnsi="Arial" w:cs="Arial"/>
          <w:i/>
          <w:szCs w:val="22"/>
        </w:rPr>
        <w:t xml:space="preserve">Psychiatry </w:t>
      </w:r>
      <w:proofErr w:type="spellStart"/>
      <w:r w:rsidRPr="004D46AC">
        <w:rPr>
          <w:rFonts w:ascii="Arial" w:hAnsi="Arial" w:cs="Arial"/>
          <w:i/>
          <w:szCs w:val="22"/>
        </w:rPr>
        <w:t>Investig</w:t>
      </w:r>
      <w:proofErr w:type="spellEnd"/>
      <w:r w:rsidRPr="004D46AC">
        <w:rPr>
          <w:rFonts w:ascii="Arial" w:hAnsi="Arial" w:cs="Arial"/>
          <w:szCs w:val="22"/>
        </w:rPr>
        <w:t>,</w:t>
      </w:r>
      <w:r w:rsidRPr="004D46AC">
        <w:rPr>
          <w:rFonts w:ascii="Arial" w:hAnsi="Arial" w:cs="Arial"/>
          <w:i/>
          <w:szCs w:val="22"/>
        </w:rPr>
        <w:t xml:space="preserve"> 16</w:t>
      </w:r>
      <w:r w:rsidRPr="004D46AC">
        <w:rPr>
          <w:rFonts w:ascii="Arial" w:hAnsi="Arial" w:cs="Arial"/>
          <w:szCs w:val="22"/>
        </w:rPr>
        <w:t xml:space="preserve">(4), 300-305. https://doi.org/10.30773/pi.2019.02.01 </w:t>
      </w:r>
    </w:p>
    <w:p w14:paraId="34A4E628"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Snoek, A., Edens, R., van </w:t>
      </w:r>
      <w:proofErr w:type="spellStart"/>
      <w:r w:rsidRPr="004D46AC">
        <w:rPr>
          <w:rFonts w:ascii="Arial" w:hAnsi="Arial" w:cs="Arial"/>
          <w:szCs w:val="22"/>
        </w:rPr>
        <w:t>Ballegooijen</w:t>
      </w:r>
      <w:proofErr w:type="spellEnd"/>
      <w:r w:rsidRPr="004D46AC">
        <w:rPr>
          <w:rFonts w:ascii="Arial" w:hAnsi="Arial" w:cs="Arial"/>
          <w:szCs w:val="22"/>
        </w:rPr>
        <w:t xml:space="preserve">, W., Dekker, J., Beekman, A. T. F., &amp; </w:t>
      </w:r>
      <w:proofErr w:type="spellStart"/>
      <w:r w:rsidRPr="004D46AC">
        <w:rPr>
          <w:rFonts w:ascii="Arial" w:hAnsi="Arial" w:cs="Arial"/>
          <w:szCs w:val="22"/>
        </w:rPr>
        <w:t>Thomaes</w:t>
      </w:r>
      <w:proofErr w:type="spellEnd"/>
      <w:r w:rsidRPr="004D46AC">
        <w:rPr>
          <w:rFonts w:ascii="Arial" w:hAnsi="Arial" w:cs="Arial"/>
          <w:szCs w:val="22"/>
        </w:rPr>
        <w:t xml:space="preserve">, K. (2024). A network perspective on posttraumatic stress disorder and comorbid borderline personality disorder symptoms. </w:t>
      </w:r>
      <w:r w:rsidRPr="004D46AC">
        <w:rPr>
          <w:rFonts w:ascii="Arial" w:hAnsi="Arial" w:cs="Arial"/>
          <w:i/>
          <w:szCs w:val="22"/>
        </w:rPr>
        <w:t xml:space="preserve">European journal of </w:t>
      </w:r>
      <w:proofErr w:type="spellStart"/>
      <w:r w:rsidRPr="004D46AC">
        <w:rPr>
          <w:rFonts w:ascii="Arial" w:hAnsi="Arial" w:cs="Arial"/>
          <w:i/>
          <w:szCs w:val="22"/>
        </w:rPr>
        <w:t>psychotraumatology</w:t>
      </w:r>
      <w:proofErr w:type="spellEnd"/>
      <w:r w:rsidRPr="004D46AC">
        <w:rPr>
          <w:rFonts w:ascii="Arial" w:hAnsi="Arial" w:cs="Arial"/>
          <w:szCs w:val="22"/>
        </w:rPr>
        <w:t>,</w:t>
      </w:r>
      <w:r w:rsidRPr="004D46AC">
        <w:rPr>
          <w:rFonts w:ascii="Arial" w:hAnsi="Arial" w:cs="Arial"/>
          <w:i/>
          <w:szCs w:val="22"/>
        </w:rPr>
        <w:t xml:space="preserve"> 15</w:t>
      </w:r>
      <w:r w:rsidRPr="004D46AC">
        <w:rPr>
          <w:rFonts w:ascii="Arial" w:hAnsi="Arial" w:cs="Arial"/>
          <w:szCs w:val="22"/>
        </w:rPr>
        <w:t xml:space="preserve">(1), 2367815. https://doi.org/10.1080/20008066.2024.2367815 </w:t>
      </w:r>
    </w:p>
    <w:p w14:paraId="351E63A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So, S. H.-w., Siu, N. Y.-f., Wong, H.-l., Chan, W., &amp; </w:t>
      </w:r>
      <w:proofErr w:type="spellStart"/>
      <w:r w:rsidRPr="004D46AC">
        <w:rPr>
          <w:rFonts w:ascii="Arial" w:hAnsi="Arial" w:cs="Arial"/>
          <w:szCs w:val="22"/>
        </w:rPr>
        <w:t>Garety</w:t>
      </w:r>
      <w:proofErr w:type="spellEnd"/>
      <w:r w:rsidRPr="004D46AC">
        <w:rPr>
          <w:rFonts w:ascii="Arial" w:hAnsi="Arial" w:cs="Arial"/>
          <w:szCs w:val="22"/>
        </w:rPr>
        <w:t xml:space="preserve">, P. A. (2016). ‘Jumping to conclusions’ data-gathering bias in psychosis and other psychiatric disorders—Two meta-analyses of comparisons between patients and healthy individuals. </w:t>
      </w:r>
      <w:r w:rsidRPr="004D46AC">
        <w:rPr>
          <w:rFonts w:ascii="Arial" w:hAnsi="Arial" w:cs="Arial"/>
          <w:i/>
          <w:szCs w:val="22"/>
        </w:rPr>
        <w:t>Clinical Psychology Review</w:t>
      </w:r>
      <w:r w:rsidRPr="004D46AC">
        <w:rPr>
          <w:rFonts w:ascii="Arial" w:hAnsi="Arial" w:cs="Arial"/>
          <w:szCs w:val="22"/>
        </w:rPr>
        <w:t>,</w:t>
      </w:r>
      <w:r w:rsidRPr="004D46AC">
        <w:rPr>
          <w:rFonts w:ascii="Arial" w:hAnsi="Arial" w:cs="Arial"/>
          <w:i/>
          <w:szCs w:val="22"/>
        </w:rPr>
        <w:t xml:space="preserve"> 46</w:t>
      </w:r>
      <w:r w:rsidRPr="004D46AC">
        <w:rPr>
          <w:rFonts w:ascii="Arial" w:hAnsi="Arial" w:cs="Arial"/>
          <w:szCs w:val="22"/>
        </w:rPr>
        <w:t xml:space="preserve">, 151-167. </w:t>
      </w:r>
    </w:p>
    <w:p w14:paraId="69E2A0D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Solmi, M., </w:t>
      </w:r>
      <w:proofErr w:type="spellStart"/>
      <w:r w:rsidRPr="004D46AC">
        <w:rPr>
          <w:rFonts w:ascii="Arial" w:hAnsi="Arial" w:cs="Arial"/>
          <w:szCs w:val="22"/>
        </w:rPr>
        <w:t>Radua</w:t>
      </w:r>
      <w:proofErr w:type="spellEnd"/>
      <w:r w:rsidRPr="004D46AC">
        <w:rPr>
          <w:rFonts w:ascii="Arial" w:hAnsi="Arial" w:cs="Arial"/>
          <w:szCs w:val="22"/>
        </w:rPr>
        <w:t xml:space="preserve">, J., </w:t>
      </w:r>
      <w:proofErr w:type="spellStart"/>
      <w:r w:rsidRPr="004D46AC">
        <w:rPr>
          <w:rFonts w:ascii="Arial" w:hAnsi="Arial" w:cs="Arial"/>
          <w:szCs w:val="22"/>
        </w:rPr>
        <w:t>Olivola</w:t>
      </w:r>
      <w:proofErr w:type="spellEnd"/>
      <w:r w:rsidRPr="004D46AC">
        <w:rPr>
          <w:rFonts w:ascii="Arial" w:hAnsi="Arial" w:cs="Arial"/>
          <w:szCs w:val="22"/>
        </w:rPr>
        <w:t xml:space="preserve">, M., Croce, E., </w:t>
      </w:r>
      <w:proofErr w:type="spellStart"/>
      <w:r w:rsidRPr="004D46AC">
        <w:rPr>
          <w:rFonts w:ascii="Arial" w:hAnsi="Arial" w:cs="Arial"/>
          <w:szCs w:val="22"/>
        </w:rPr>
        <w:t>Soardo</w:t>
      </w:r>
      <w:proofErr w:type="spellEnd"/>
      <w:r w:rsidRPr="004D46AC">
        <w:rPr>
          <w:rFonts w:ascii="Arial" w:hAnsi="Arial" w:cs="Arial"/>
          <w:szCs w:val="22"/>
        </w:rPr>
        <w:t xml:space="preserve">, L., Salazar de Pablo, G., Il Shin, J., Kirkbride, J. B., Jones, P., Kim, J. H., Kim, J. Y., Carvalho, A. F., Seeman, M. V., Correll, C. U., &amp; </w:t>
      </w:r>
      <w:proofErr w:type="spellStart"/>
      <w:r w:rsidRPr="004D46AC">
        <w:rPr>
          <w:rFonts w:ascii="Arial" w:hAnsi="Arial" w:cs="Arial"/>
          <w:szCs w:val="22"/>
        </w:rPr>
        <w:t>Fusar</w:t>
      </w:r>
      <w:proofErr w:type="spellEnd"/>
      <w:r w:rsidRPr="004D46AC">
        <w:rPr>
          <w:rFonts w:ascii="Arial" w:hAnsi="Arial" w:cs="Arial"/>
          <w:szCs w:val="22"/>
        </w:rPr>
        <w:t xml:space="preserve">-Poli, P. (2022). Age at onset of mental disorders worldwide: large-scale meta-analysis of 192 epidemiological studies. </w:t>
      </w:r>
      <w:r w:rsidRPr="004D46AC">
        <w:rPr>
          <w:rFonts w:ascii="Arial" w:hAnsi="Arial" w:cs="Arial"/>
          <w:i/>
          <w:szCs w:val="22"/>
        </w:rPr>
        <w:t>Molecular Psychiatry</w:t>
      </w:r>
      <w:r w:rsidRPr="004D46AC">
        <w:rPr>
          <w:rFonts w:ascii="Arial" w:hAnsi="Arial" w:cs="Arial"/>
          <w:szCs w:val="22"/>
        </w:rPr>
        <w:t>,</w:t>
      </w:r>
      <w:r w:rsidRPr="004D46AC">
        <w:rPr>
          <w:rFonts w:ascii="Arial" w:hAnsi="Arial" w:cs="Arial"/>
          <w:i/>
          <w:szCs w:val="22"/>
        </w:rPr>
        <w:t xml:space="preserve"> 27</w:t>
      </w:r>
      <w:r w:rsidRPr="004D46AC">
        <w:rPr>
          <w:rFonts w:ascii="Arial" w:hAnsi="Arial" w:cs="Arial"/>
          <w:szCs w:val="22"/>
        </w:rPr>
        <w:t xml:space="preserve">(1), 281-295. https://doi.org/10.1038/s41380-021-01161-7 </w:t>
      </w:r>
    </w:p>
    <w:p w14:paraId="36412C6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Spitzer, R. L., Kroenke, K., Williams, J. B., &amp; Lowe, B. (2006). A brief measure for assessing generalized anxiety disorder: the GAD-7. </w:t>
      </w:r>
      <w:r w:rsidRPr="004D46AC">
        <w:rPr>
          <w:rFonts w:ascii="Arial" w:hAnsi="Arial" w:cs="Arial"/>
          <w:i/>
          <w:szCs w:val="22"/>
        </w:rPr>
        <w:t>Arch Intern Med</w:t>
      </w:r>
      <w:r w:rsidRPr="004D46AC">
        <w:rPr>
          <w:rFonts w:ascii="Arial" w:hAnsi="Arial" w:cs="Arial"/>
          <w:szCs w:val="22"/>
        </w:rPr>
        <w:t>,</w:t>
      </w:r>
      <w:r w:rsidRPr="004D46AC">
        <w:rPr>
          <w:rFonts w:ascii="Arial" w:hAnsi="Arial" w:cs="Arial"/>
          <w:i/>
          <w:szCs w:val="22"/>
        </w:rPr>
        <w:t xml:space="preserve"> 166</w:t>
      </w:r>
      <w:r w:rsidRPr="004D46AC">
        <w:rPr>
          <w:rFonts w:ascii="Arial" w:hAnsi="Arial" w:cs="Arial"/>
          <w:szCs w:val="22"/>
        </w:rPr>
        <w:t xml:space="preserve">(10), 1092-1097. https://doi.org/10.1001/archinte.166.10.1092 </w:t>
      </w:r>
    </w:p>
    <w:p w14:paraId="7D512C2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Suominen, K., Mantere, O., Valtonen, H., </w:t>
      </w:r>
      <w:proofErr w:type="spellStart"/>
      <w:r w:rsidRPr="004D46AC">
        <w:rPr>
          <w:rFonts w:ascii="Arial" w:hAnsi="Arial" w:cs="Arial"/>
          <w:szCs w:val="22"/>
        </w:rPr>
        <w:t>Arvilommi</w:t>
      </w:r>
      <w:proofErr w:type="spellEnd"/>
      <w:r w:rsidRPr="004D46AC">
        <w:rPr>
          <w:rFonts w:ascii="Arial" w:hAnsi="Arial" w:cs="Arial"/>
          <w:szCs w:val="22"/>
        </w:rPr>
        <w:t xml:space="preserve">, P., </w:t>
      </w:r>
      <w:proofErr w:type="spellStart"/>
      <w:r w:rsidRPr="004D46AC">
        <w:rPr>
          <w:rFonts w:ascii="Arial" w:hAnsi="Arial" w:cs="Arial"/>
          <w:szCs w:val="22"/>
        </w:rPr>
        <w:t>Leppämäki</w:t>
      </w:r>
      <w:proofErr w:type="spellEnd"/>
      <w:r w:rsidRPr="004D46AC">
        <w:rPr>
          <w:rFonts w:ascii="Arial" w:hAnsi="Arial" w:cs="Arial"/>
          <w:szCs w:val="22"/>
        </w:rPr>
        <w:t xml:space="preserve">, S., &amp; Isometsä, E. (2009). Gender differences in bipolar disorder type I and II. </w:t>
      </w:r>
      <w:r w:rsidRPr="004D46AC">
        <w:rPr>
          <w:rFonts w:ascii="Arial" w:hAnsi="Arial" w:cs="Arial"/>
          <w:i/>
          <w:szCs w:val="22"/>
        </w:rPr>
        <w:t xml:space="preserve">Acta </w:t>
      </w:r>
      <w:proofErr w:type="spellStart"/>
      <w:r w:rsidRPr="004D46AC">
        <w:rPr>
          <w:rFonts w:ascii="Arial" w:hAnsi="Arial" w:cs="Arial"/>
          <w:i/>
          <w:szCs w:val="22"/>
        </w:rPr>
        <w:t>Psychiatrica</w:t>
      </w:r>
      <w:proofErr w:type="spellEnd"/>
      <w:r w:rsidRPr="004D46AC">
        <w:rPr>
          <w:rFonts w:ascii="Arial" w:hAnsi="Arial" w:cs="Arial"/>
          <w:i/>
          <w:szCs w:val="22"/>
        </w:rPr>
        <w:t xml:space="preserve"> Scandinavica</w:t>
      </w:r>
      <w:r w:rsidRPr="004D46AC">
        <w:rPr>
          <w:rFonts w:ascii="Arial" w:hAnsi="Arial" w:cs="Arial"/>
          <w:szCs w:val="22"/>
        </w:rPr>
        <w:t>,</w:t>
      </w:r>
      <w:r w:rsidRPr="004D46AC">
        <w:rPr>
          <w:rFonts w:ascii="Arial" w:hAnsi="Arial" w:cs="Arial"/>
          <w:i/>
          <w:szCs w:val="22"/>
        </w:rPr>
        <w:t xml:space="preserve"> 120</w:t>
      </w:r>
      <w:r w:rsidRPr="004D46AC">
        <w:rPr>
          <w:rFonts w:ascii="Arial" w:hAnsi="Arial" w:cs="Arial"/>
          <w:szCs w:val="22"/>
        </w:rPr>
        <w:t xml:space="preserve">(6), 464-473. https://doi.org/https://doi.org/10.1111/j.1600-0447.2009.01407.x </w:t>
      </w:r>
    </w:p>
    <w:p w14:paraId="2E17D1F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Tai, S., Haddock, G., &amp; Bentall, R. (2004). The effects of emotional salience on thought disorder in patients with bipolar affective disorder. </w:t>
      </w:r>
      <w:proofErr w:type="spellStart"/>
      <w:r w:rsidRPr="004D46AC">
        <w:rPr>
          <w:rFonts w:ascii="Arial" w:hAnsi="Arial" w:cs="Arial"/>
          <w:i/>
          <w:szCs w:val="22"/>
        </w:rPr>
        <w:t>Psychol</w:t>
      </w:r>
      <w:proofErr w:type="spellEnd"/>
      <w:r w:rsidRPr="004D46AC">
        <w:rPr>
          <w:rFonts w:ascii="Arial" w:hAnsi="Arial" w:cs="Arial"/>
          <w:i/>
          <w:szCs w:val="22"/>
        </w:rPr>
        <w:t xml:space="preserve"> Med</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(5), 803-809. https://doi.org/10.1017/s003329170300117x </w:t>
      </w:r>
    </w:p>
    <w:p w14:paraId="62DF166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Tennant, R., Hiller, L., Fishwick, R., Platt, S., Joseph, S., Weich, S., Parkinson, J., Secker, J., &amp; Stewart-Brown, S. (2007). The Warwick-Edinburgh Mental Well-being Scale (WEMWBS): development and UK validation. </w:t>
      </w:r>
      <w:r w:rsidRPr="004D46AC">
        <w:rPr>
          <w:rFonts w:ascii="Arial" w:hAnsi="Arial" w:cs="Arial"/>
          <w:i/>
          <w:szCs w:val="22"/>
        </w:rPr>
        <w:t>Health and Quality of Life Outcomes</w:t>
      </w:r>
      <w:r w:rsidRPr="004D46AC">
        <w:rPr>
          <w:rFonts w:ascii="Arial" w:hAnsi="Arial" w:cs="Arial"/>
          <w:szCs w:val="22"/>
        </w:rPr>
        <w:t>,</w:t>
      </w:r>
      <w:r w:rsidRPr="004D46AC">
        <w:rPr>
          <w:rFonts w:ascii="Arial" w:hAnsi="Arial" w:cs="Arial"/>
          <w:i/>
          <w:szCs w:val="22"/>
        </w:rPr>
        <w:t xml:space="preserve"> 5</w:t>
      </w:r>
      <w:r w:rsidRPr="004D46AC">
        <w:rPr>
          <w:rFonts w:ascii="Arial" w:hAnsi="Arial" w:cs="Arial"/>
          <w:szCs w:val="22"/>
        </w:rPr>
        <w:t xml:space="preserve">(1), 63. https://doi.org/10.1186/1477-7525-5-63 </w:t>
      </w:r>
    </w:p>
    <w:p w14:paraId="236B11D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Tibbo, P., Kroetsch, M., Chue, P., &amp; Warneke, L. (2000). Obsessive-compulsive disorder in schizophrenia. </w:t>
      </w:r>
      <w:r w:rsidRPr="004D46AC">
        <w:rPr>
          <w:rFonts w:ascii="Arial" w:hAnsi="Arial" w:cs="Arial"/>
          <w:i/>
          <w:szCs w:val="22"/>
        </w:rPr>
        <w:t>Journal of Psychiatric Research</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(2), 139-146. https://doi.org/https://doi.org/10.1016/S0022-3956(99)00048-5 </w:t>
      </w:r>
    </w:p>
    <w:p w14:paraId="5D97FCD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Tiernan, B., Tracey, R., &amp; Shannon, C. (2014). Paranoia and self-concepts in psychosis: A systematic review of the literature. </w:t>
      </w:r>
      <w:r w:rsidRPr="004D46AC">
        <w:rPr>
          <w:rFonts w:ascii="Arial" w:hAnsi="Arial" w:cs="Arial"/>
          <w:i/>
          <w:szCs w:val="22"/>
        </w:rPr>
        <w:t>Psychiatry Research</w:t>
      </w:r>
      <w:r w:rsidRPr="004D46AC">
        <w:rPr>
          <w:rFonts w:ascii="Arial" w:hAnsi="Arial" w:cs="Arial"/>
          <w:szCs w:val="22"/>
        </w:rPr>
        <w:t>,</w:t>
      </w:r>
      <w:r w:rsidRPr="004D46AC">
        <w:rPr>
          <w:rFonts w:ascii="Arial" w:hAnsi="Arial" w:cs="Arial"/>
          <w:i/>
          <w:szCs w:val="22"/>
        </w:rPr>
        <w:t xml:space="preserve"> 216</w:t>
      </w:r>
      <w:r w:rsidRPr="004D46AC">
        <w:rPr>
          <w:rFonts w:ascii="Arial" w:hAnsi="Arial" w:cs="Arial"/>
          <w:szCs w:val="22"/>
        </w:rPr>
        <w:t xml:space="preserve">(3), 303-313. https://doi.org/https://doi.org/10.1016/j.psychres.2014.02.003 </w:t>
      </w:r>
    </w:p>
    <w:p w14:paraId="2ACC4DA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w:t>
      </w:r>
      <w:proofErr w:type="spellStart"/>
      <w:r w:rsidRPr="004D46AC">
        <w:rPr>
          <w:rFonts w:ascii="Arial" w:hAnsi="Arial" w:cs="Arial"/>
          <w:szCs w:val="22"/>
        </w:rPr>
        <w:t>Borkulo</w:t>
      </w:r>
      <w:proofErr w:type="spellEnd"/>
      <w:r w:rsidRPr="004D46AC">
        <w:rPr>
          <w:rFonts w:ascii="Arial" w:hAnsi="Arial" w:cs="Arial"/>
          <w:szCs w:val="22"/>
        </w:rPr>
        <w:t xml:space="preserve">, C. D., Borsboom, D., </w:t>
      </w:r>
      <w:proofErr w:type="spellStart"/>
      <w:r w:rsidRPr="004D46AC">
        <w:rPr>
          <w:rFonts w:ascii="Arial" w:hAnsi="Arial" w:cs="Arial"/>
          <w:szCs w:val="22"/>
        </w:rPr>
        <w:t>Epskamp</w:t>
      </w:r>
      <w:proofErr w:type="spellEnd"/>
      <w:r w:rsidRPr="004D46AC">
        <w:rPr>
          <w:rFonts w:ascii="Arial" w:hAnsi="Arial" w:cs="Arial"/>
          <w:szCs w:val="22"/>
        </w:rPr>
        <w:t xml:space="preserve">, S., Blanken, T. F., </w:t>
      </w:r>
      <w:proofErr w:type="spellStart"/>
      <w:r w:rsidRPr="004D46AC">
        <w:rPr>
          <w:rFonts w:ascii="Arial" w:hAnsi="Arial" w:cs="Arial"/>
          <w:szCs w:val="22"/>
        </w:rPr>
        <w:t>Boschloo</w:t>
      </w:r>
      <w:proofErr w:type="spellEnd"/>
      <w:r w:rsidRPr="004D46AC">
        <w:rPr>
          <w:rFonts w:ascii="Arial" w:hAnsi="Arial" w:cs="Arial"/>
          <w:szCs w:val="22"/>
        </w:rPr>
        <w:t xml:space="preserve">, L., </w:t>
      </w:r>
      <w:proofErr w:type="spellStart"/>
      <w:r w:rsidRPr="004D46AC">
        <w:rPr>
          <w:rFonts w:ascii="Arial" w:hAnsi="Arial" w:cs="Arial"/>
          <w:szCs w:val="22"/>
        </w:rPr>
        <w:t>Schoevers</w:t>
      </w:r>
      <w:proofErr w:type="spellEnd"/>
      <w:r w:rsidRPr="004D46AC">
        <w:rPr>
          <w:rFonts w:ascii="Arial" w:hAnsi="Arial" w:cs="Arial"/>
          <w:szCs w:val="22"/>
        </w:rPr>
        <w:t xml:space="preserve">, R. A., &amp; </w:t>
      </w:r>
      <w:proofErr w:type="spellStart"/>
      <w:r w:rsidRPr="004D46AC">
        <w:rPr>
          <w:rFonts w:ascii="Arial" w:hAnsi="Arial" w:cs="Arial"/>
          <w:szCs w:val="22"/>
        </w:rPr>
        <w:t>Waldorp</w:t>
      </w:r>
      <w:proofErr w:type="spellEnd"/>
      <w:r w:rsidRPr="004D46AC">
        <w:rPr>
          <w:rFonts w:ascii="Arial" w:hAnsi="Arial" w:cs="Arial"/>
          <w:szCs w:val="22"/>
        </w:rPr>
        <w:t xml:space="preserve">, L. J. (2014). A new method for constructing networks from binary data. </w:t>
      </w:r>
      <w:r w:rsidRPr="004D46AC">
        <w:rPr>
          <w:rFonts w:ascii="Arial" w:hAnsi="Arial" w:cs="Arial"/>
          <w:i/>
          <w:szCs w:val="22"/>
        </w:rPr>
        <w:t>Scientific Reports</w:t>
      </w:r>
      <w:r w:rsidRPr="004D46AC">
        <w:rPr>
          <w:rFonts w:ascii="Arial" w:hAnsi="Arial" w:cs="Arial"/>
          <w:szCs w:val="22"/>
        </w:rPr>
        <w:t>,</w:t>
      </w:r>
      <w:r w:rsidRPr="004D46AC">
        <w:rPr>
          <w:rFonts w:ascii="Arial" w:hAnsi="Arial" w:cs="Arial"/>
          <w:i/>
          <w:szCs w:val="22"/>
        </w:rPr>
        <w:t xml:space="preserve"> 4</w:t>
      </w:r>
      <w:r w:rsidRPr="004D46AC">
        <w:rPr>
          <w:rFonts w:ascii="Arial" w:hAnsi="Arial" w:cs="Arial"/>
          <w:szCs w:val="22"/>
        </w:rPr>
        <w:t xml:space="preserve">(1), 5918. https://doi.org/10.1038/srep05918 </w:t>
      </w:r>
    </w:p>
    <w:p w14:paraId="7ACBCF5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w:t>
      </w:r>
      <w:proofErr w:type="spellStart"/>
      <w:r w:rsidRPr="004D46AC">
        <w:rPr>
          <w:rFonts w:ascii="Arial" w:hAnsi="Arial" w:cs="Arial"/>
          <w:szCs w:val="22"/>
        </w:rPr>
        <w:t>Borkulo</w:t>
      </w:r>
      <w:proofErr w:type="spellEnd"/>
      <w:r w:rsidRPr="004D46AC">
        <w:rPr>
          <w:rFonts w:ascii="Arial" w:hAnsi="Arial" w:cs="Arial"/>
          <w:szCs w:val="22"/>
        </w:rPr>
        <w:t xml:space="preserve">, C. D., van Bork, R., </w:t>
      </w:r>
      <w:proofErr w:type="spellStart"/>
      <w:r w:rsidRPr="004D46AC">
        <w:rPr>
          <w:rFonts w:ascii="Arial" w:hAnsi="Arial" w:cs="Arial"/>
          <w:szCs w:val="22"/>
        </w:rPr>
        <w:t>Boschloo</w:t>
      </w:r>
      <w:proofErr w:type="spellEnd"/>
      <w:r w:rsidRPr="004D46AC">
        <w:rPr>
          <w:rFonts w:ascii="Arial" w:hAnsi="Arial" w:cs="Arial"/>
          <w:szCs w:val="22"/>
        </w:rPr>
        <w:t xml:space="preserve">, L., Kossakowski, J. J., Tio, P., </w:t>
      </w:r>
      <w:proofErr w:type="spellStart"/>
      <w:r w:rsidRPr="004D46AC">
        <w:rPr>
          <w:rFonts w:ascii="Arial" w:hAnsi="Arial" w:cs="Arial"/>
          <w:szCs w:val="22"/>
        </w:rPr>
        <w:t>Schoevers</w:t>
      </w:r>
      <w:proofErr w:type="spellEnd"/>
      <w:r w:rsidRPr="004D46AC">
        <w:rPr>
          <w:rFonts w:ascii="Arial" w:hAnsi="Arial" w:cs="Arial"/>
          <w:szCs w:val="22"/>
        </w:rPr>
        <w:t xml:space="preserve">, R. A., Borsboom, D., &amp; </w:t>
      </w:r>
      <w:proofErr w:type="spellStart"/>
      <w:r w:rsidRPr="004D46AC">
        <w:rPr>
          <w:rFonts w:ascii="Arial" w:hAnsi="Arial" w:cs="Arial"/>
          <w:szCs w:val="22"/>
        </w:rPr>
        <w:t>Waldorp</w:t>
      </w:r>
      <w:proofErr w:type="spellEnd"/>
      <w:r w:rsidRPr="004D46AC">
        <w:rPr>
          <w:rFonts w:ascii="Arial" w:hAnsi="Arial" w:cs="Arial"/>
          <w:szCs w:val="22"/>
        </w:rPr>
        <w:t xml:space="preserve">, L. J. (2023). Comparing network structures on three aspects: A permutation test. </w:t>
      </w:r>
      <w:proofErr w:type="spellStart"/>
      <w:r w:rsidRPr="004D46AC">
        <w:rPr>
          <w:rFonts w:ascii="Arial" w:hAnsi="Arial" w:cs="Arial"/>
          <w:i/>
          <w:szCs w:val="22"/>
        </w:rPr>
        <w:t>Psychol</w:t>
      </w:r>
      <w:proofErr w:type="spellEnd"/>
      <w:r w:rsidRPr="004D46AC">
        <w:rPr>
          <w:rFonts w:ascii="Arial" w:hAnsi="Arial" w:cs="Arial"/>
          <w:i/>
          <w:szCs w:val="22"/>
        </w:rPr>
        <w:t xml:space="preserve"> Methods</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(6), 1273-1285. https://doi.org/10.1037/met0000476 </w:t>
      </w:r>
    </w:p>
    <w:p w14:paraId="77DD337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Van Snellenberg, J. X., &amp; de Candia, T. (2009). Meta-analytic evidence for familial coaggregation of schizophrenia and bipolar disorder. </w:t>
      </w:r>
      <w:r w:rsidRPr="004D46AC">
        <w:rPr>
          <w:rFonts w:ascii="Arial" w:hAnsi="Arial" w:cs="Arial"/>
          <w:i/>
          <w:szCs w:val="22"/>
        </w:rPr>
        <w:t>Arch Gen Psychiatry</w:t>
      </w:r>
      <w:r w:rsidRPr="004D46AC">
        <w:rPr>
          <w:rFonts w:ascii="Arial" w:hAnsi="Arial" w:cs="Arial"/>
          <w:szCs w:val="22"/>
        </w:rPr>
        <w:t>,</w:t>
      </w:r>
      <w:r w:rsidRPr="004D46AC">
        <w:rPr>
          <w:rFonts w:ascii="Arial" w:hAnsi="Arial" w:cs="Arial"/>
          <w:i/>
          <w:szCs w:val="22"/>
        </w:rPr>
        <w:t xml:space="preserve"> 66</w:t>
      </w:r>
      <w:r w:rsidRPr="004D46AC">
        <w:rPr>
          <w:rFonts w:ascii="Arial" w:hAnsi="Arial" w:cs="Arial"/>
          <w:szCs w:val="22"/>
        </w:rPr>
        <w:t xml:space="preserve">(7), 748-755. https://doi.org/10.1001/archgenpsychiatry.2009.64 </w:t>
      </w:r>
    </w:p>
    <w:p w14:paraId="7C0D0CF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Wang, K., Song, L. L., Cheung, E. F., Lui, S. S., Shum, D. H., &amp; Chan, R. C. (2013). Bipolar disorder and schizophrenia share a similar deficit in semantic inhibition: a meta-analysis based on Hayling Sentence Completion Test performance. </w:t>
      </w:r>
      <w:r w:rsidRPr="004D46AC">
        <w:rPr>
          <w:rFonts w:ascii="Arial" w:hAnsi="Arial" w:cs="Arial"/>
          <w:i/>
          <w:szCs w:val="22"/>
        </w:rPr>
        <w:t xml:space="preserve">Prog </w:t>
      </w:r>
      <w:proofErr w:type="spellStart"/>
      <w:r w:rsidRPr="004D46AC">
        <w:rPr>
          <w:rFonts w:ascii="Arial" w:hAnsi="Arial" w:cs="Arial"/>
          <w:i/>
          <w:szCs w:val="22"/>
        </w:rPr>
        <w:t>Neuropsychopharmacol</w:t>
      </w:r>
      <w:proofErr w:type="spellEnd"/>
      <w:r w:rsidRPr="004D46AC">
        <w:rPr>
          <w:rFonts w:ascii="Arial" w:hAnsi="Arial" w:cs="Arial"/>
          <w:i/>
          <w:szCs w:val="22"/>
        </w:rPr>
        <w:t xml:space="preserve"> </w:t>
      </w:r>
      <w:proofErr w:type="spellStart"/>
      <w:r w:rsidRPr="004D46AC">
        <w:rPr>
          <w:rFonts w:ascii="Arial" w:hAnsi="Arial" w:cs="Arial"/>
          <w:i/>
          <w:szCs w:val="22"/>
        </w:rPr>
        <w:t>Biol</w:t>
      </w:r>
      <w:proofErr w:type="spellEnd"/>
      <w:r w:rsidRPr="004D46AC">
        <w:rPr>
          <w:rFonts w:ascii="Arial" w:hAnsi="Arial" w:cs="Arial"/>
          <w:i/>
          <w:szCs w:val="22"/>
        </w:rPr>
        <w:t xml:space="preserve"> Psychiatry</w:t>
      </w:r>
      <w:r w:rsidRPr="004D46AC">
        <w:rPr>
          <w:rFonts w:ascii="Arial" w:hAnsi="Arial" w:cs="Arial"/>
          <w:szCs w:val="22"/>
        </w:rPr>
        <w:t>,</w:t>
      </w:r>
      <w:r w:rsidRPr="004D46AC">
        <w:rPr>
          <w:rFonts w:ascii="Arial" w:hAnsi="Arial" w:cs="Arial"/>
          <w:i/>
          <w:szCs w:val="22"/>
        </w:rPr>
        <w:t xml:space="preserve"> 46</w:t>
      </w:r>
      <w:r w:rsidRPr="004D46AC">
        <w:rPr>
          <w:rFonts w:ascii="Arial" w:hAnsi="Arial" w:cs="Arial"/>
          <w:szCs w:val="22"/>
        </w:rPr>
        <w:t xml:space="preserve">, 153-160. https://doi.org/10.1016/j.pnpbp.2013.07.012 </w:t>
      </w:r>
    </w:p>
    <w:p w14:paraId="1BB72F6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Watson, D., Levin-Aspenson, H. F., </w:t>
      </w:r>
      <w:proofErr w:type="spellStart"/>
      <w:r w:rsidRPr="004D46AC">
        <w:rPr>
          <w:rFonts w:ascii="Arial" w:hAnsi="Arial" w:cs="Arial"/>
          <w:szCs w:val="22"/>
        </w:rPr>
        <w:t>Waszczuk</w:t>
      </w:r>
      <w:proofErr w:type="spellEnd"/>
      <w:r w:rsidRPr="004D46AC">
        <w:rPr>
          <w:rFonts w:ascii="Arial" w:hAnsi="Arial" w:cs="Arial"/>
          <w:szCs w:val="22"/>
        </w:rPr>
        <w:t xml:space="preserve">, M. A., Conway, C. C., Dalgleish, T., </w:t>
      </w:r>
      <w:proofErr w:type="spellStart"/>
      <w:r w:rsidRPr="004D46AC">
        <w:rPr>
          <w:rFonts w:ascii="Arial" w:hAnsi="Arial" w:cs="Arial"/>
          <w:szCs w:val="22"/>
        </w:rPr>
        <w:t>Dretsch</w:t>
      </w:r>
      <w:proofErr w:type="spellEnd"/>
      <w:r w:rsidRPr="004D46AC">
        <w:rPr>
          <w:rFonts w:ascii="Arial" w:hAnsi="Arial" w:cs="Arial"/>
          <w:szCs w:val="22"/>
        </w:rPr>
        <w:t xml:space="preserve">, M. N., Eaton, N. R., Forbes, M. K., Forbush, K. T., Hobbs, K. A., Michelini, G., Nelson, B. D., </w:t>
      </w:r>
      <w:proofErr w:type="spellStart"/>
      <w:r w:rsidRPr="004D46AC">
        <w:rPr>
          <w:rFonts w:ascii="Arial" w:hAnsi="Arial" w:cs="Arial"/>
          <w:szCs w:val="22"/>
        </w:rPr>
        <w:t>Sellbom</w:t>
      </w:r>
      <w:proofErr w:type="spellEnd"/>
      <w:r w:rsidRPr="004D46AC">
        <w:rPr>
          <w:rFonts w:ascii="Arial" w:hAnsi="Arial" w:cs="Arial"/>
          <w:szCs w:val="22"/>
        </w:rPr>
        <w:t xml:space="preserve">, M., Slade, T., South, S. C., Sunderland, M., Waldman, I., </w:t>
      </w:r>
      <w:proofErr w:type="spellStart"/>
      <w:r w:rsidRPr="004D46AC">
        <w:rPr>
          <w:rFonts w:ascii="Arial" w:hAnsi="Arial" w:cs="Arial"/>
          <w:szCs w:val="22"/>
        </w:rPr>
        <w:t>Witthöft</w:t>
      </w:r>
      <w:proofErr w:type="spellEnd"/>
      <w:r w:rsidRPr="004D46AC">
        <w:rPr>
          <w:rFonts w:ascii="Arial" w:hAnsi="Arial" w:cs="Arial"/>
          <w:szCs w:val="22"/>
        </w:rPr>
        <w:t>, M., Wright, A. G. C.,…Workgroup, H. U. (2022). Validity and utility of Hierarchical Taxonomy of Psychopathology (</w:t>
      </w:r>
      <w:proofErr w:type="spellStart"/>
      <w:r w:rsidRPr="004D46AC">
        <w:rPr>
          <w:rFonts w:ascii="Arial" w:hAnsi="Arial" w:cs="Arial"/>
          <w:szCs w:val="22"/>
        </w:rPr>
        <w:t>HiTOP</w:t>
      </w:r>
      <w:proofErr w:type="spellEnd"/>
      <w:r w:rsidRPr="004D46AC">
        <w:rPr>
          <w:rFonts w:ascii="Arial" w:hAnsi="Arial" w:cs="Arial"/>
          <w:szCs w:val="22"/>
        </w:rPr>
        <w:t xml:space="preserve">): III. Emotional dysfunction </w:t>
      </w:r>
      <w:proofErr w:type="spellStart"/>
      <w:r w:rsidRPr="004D46AC">
        <w:rPr>
          <w:rFonts w:ascii="Arial" w:hAnsi="Arial" w:cs="Arial"/>
          <w:szCs w:val="22"/>
        </w:rPr>
        <w:lastRenderedPageBreak/>
        <w:t>superspectrum</w:t>
      </w:r>
      <w:proofErr w:type="spellEnd"/>
      <w:r w:rsidRPr="004D46AC">
        <w:rPr>
          <w:rFonts w:ascii="Arial" w:hAnsi="Arial" w:cs="Arial"/>
          <w:szCs w:val="22"/>
        </w:rPr>
        <w:t xml:space="preserve">.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21</w:t>
      </w:r>
      <w:r w:rsidRPr="004D46AC">
        <w:rPr>
          <w:rFonts w:ascii="Arial" w:hAnsi="Arial" w:cs="Arial"/>
          <w:szCs w:val="22"/>
        </w:rPr>
        <w:t xml:space="preserve">(1), 26-54. https://doi.org/https://doi.org/10.1002/wps.20943 </w:t>
      </w:r>
    </w:p>
    <w:p w14:paraId="5DA1795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WHO. (2022). </w:t>
      </w:r>
      <w:r w:rsidRPr="004D46AC">
        <w:rPr>
          <w:rFonts w:ascii="Arial" w:hAnsi="Arial" w:cs="Arial"/>
          <w:i/>
          <w:szCs w:val="22"/>
        </w:rPr>
        <w:t>World mental health report: Transforming mental health for all</w:t>
      </w:r>
      <w:r w:rsidRPr="004D46AC">
        <w:rPr>
          <w:rFonts w:ascii="Arial" w:hAnsi="Arial" w:cs="Arial"/>
          <w:szCs w:val="22"/>
        </w:rPr>
        <w:t xml:space="preserve">. World Health Organization. </w:t>
      </w:r>
    </w:p>
    <w:p w14:paraId="16BA294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Williams, T. F., Williams, A. L., Cowan, H. R., Walker, E. F., Cannon, T. D., Bearden, C. E., Keshavan, M., Cornblatt, B. A., Addington, J., Woods, S. W., Perkins, D. O., </w:t>
      </w:r>
      <w:proofErr w:type="spellStart"/>
      <w:r w:rsidRPr="004D46AC">
        <w:rPr>
          <w:rFonts w:ascii="Arial" w:hAnsi="Arial" w:cs="Arial"/>
          <w:szCs w:val="22"/>
        </w:rPr>
        <w:t>Mathalon</w:t>
      </w:r>
      <w:proofErr w:type="spellEnd"/>
      <w:r w:rsidRPr="004D46AC">
        <w:rPr>
          <w:rFonts w:ascii="Arial" w:hAnsi="Arial" w:cs="Arial"/>
          <w:szCs w:val="22"/>
        </w:rPr>
        <w:t xml:space="preserve">, D. H., Cadenhead, K. S., Stone, W. S., &amp; Mittal, V. A. (2024). The hierarchical taxonomy of psychopathology in clinical high risk for psychosis: Validation and extension. </w:t>
      </w:r>
      <w:r w:rsidRPr="004D46AC">
        <w:rPr>
          <w:rFonts w:ascii="Arial" w:hAnsi="Arial" w:cs="Arial"/>
          <w:i/>
          <w:szCs w:val="22"/>
        </w:rPr>
        <w:t xml:space="preserve">J </w:t>
      </w:r>
      <w:proofErr w:type="spellStart"/>
      <w:r w:rsidRPr="004D46AC">
        <w:rPr>
          <w:rFonts w:ascii="Arial" w:hAnsi="Arial" w:cs="Arial"/>
          <w:i/>
          <w:szCs w:val="22"/>
        </w:rPr>
        <w:t>Psychopathol</w:t>
      </w:r>
      <w:proofErr w:type="spellEnd"/>
      <w:r w:rsidRPr="004D46AC">
        <w:rPr>
          <w:rFonts w:ascii="Arial" w:hAnsi="Arial" w:cs="Arial"/>
          <w:i/>
          <w:szCs w:val="22"/>
        </w:rPr>
        <w:t xml:space="preserve"> Clin Sci</w:t>
      </w:r>
      <w:r w:rsidRPr="004D46AC">
        <w:rPr>
          <w:rFonts w:ascii="Arial" w:hAnsi="Arial" w:cs="Arial"/>
          <w:szCs w:val="22"/>
        </w:rPr>
        <w:t>,</w:t>
      </w:r>
      <w:r w:rsidRPr="004D46AC">
        <w:rPr>
          <w:rFonts w:ascii="Arial" w:hAnsi="Arial" w:cs="Arial"/>
          <w:i/>
          <w:szCs w:val="22"/>
        </w:rPr>
        <w:t xml:space="preserve"> 133</w:t>
      </w:r>
      <w:r w:rsidRPr="004D46AC">
        <w:rPr>
          <w:rFonts w:ascii="Arial" w:hAnsi="Arial" w:cs="Arial"/>
          <w:szCs w:val="22"/>
        </w:rPr>
        <w:t xml:space="preserve">(3), 235-244. https://doi.org/10.1037/abn0000893 </w:t>
      </w:r>
    </w:p>
    <w:p w14:paraId="7ECD39C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Wittchen, H. U., Nelson, C. B., &amp; Lachner, G. (1998). Prevalence of mental disorders and psychosocial impairments in adolescents and young adults.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28</w:t>
      </w:r>
      <w:r w:rsidRPr="004D46AC">
        <w:rPr>
          <w:rFonts w:ascii="Arial" w:hAnsi="Arial" w:cs="Arial"/>
          <w:szCs w:val="22"/>
        </w:rPr>
        <w:t xml:space="preserve">(1), 109-126. https://doi.org/10.1017/S0033291797005928 </w:t>
      </w:r>
    </w:p>
    <w:p w14:paraId="222DF2EA"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Wright, A. G., Krueger, R. F., Hobbs, M. J., Markon, K. E., Eaton, N. R., &amp; Slade, T. (2013). The structure of psychopathology: toward an expanded quantitative empirical model. </w:t>
      </w:r>
      <w:r w:rsidRPr="004D46AC">
        <w:rPr>
          <w:rFonts w:ascii="Arial" w:hAnsi="Arial" w:cs="Arial"/>
          <w:i/>
          <w:szCs w:val="22"/>
        </w:rPr>
        <w:t xml:space="preserve">J </w:t>
      </w:r>
      <w:proofErr w:type="spellStart"/>
      <w:r w:rsidRPr="004D46AC">
        <w:rPr>
          <w:rFonts w:ascii="Arial" w:hAnsi="Arial" w:cs="Arial"/>
          <w:i/>
          <w:szCs w:val="22"/>
        </w:rPr>
        <w:t>Abnorm</w:t>
      </w:r>
      <w:proofErr w:type="spellEnd"/>
      <w:r w:rsidRPr="004D46AC">
        <w:rPr>
          <w:rFonts w:ascii="Arial" w:hAnsi="Arial" w:cs="Arial"/>
          <w:i/>
          <w:szCs w:val="22"/>
        </w:rPr>
        <w:t xml:space="preserve">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122</w:t>
      </w:r>
      <w:r w:rsidRPr="004D46AC">
        <w:rPr>
          <w:rFonts w:ascii="Arial" w:hAnsi="Arial" w:cs="Arial"/>
          <w:szCs w:val="22"/>
        </w:rPr>
        <w:t xml:space="preserve">(1), 281-294. https://doi.org/10.1037/a0030133 </w:t>
      </w:r>
    </w:p>
    <w:p w14:paraId="57CCC54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Wu, Y., Levis, B., Riehm, K. E., Saadat, N., Levis, A. W., Azar, M., Rice, D. B., Boruff, J., Cuijpers, P., Gilbody, S., Ioannidis, J. P. A., Kloda, L. A., McMillan, D., Patten, S. B., Shrier, I., </w:t>
      </w:r>
      <w:proofErr w:type="spellStart"/>
      <w:r w:rsidRPr="004D46AC">
        <w:rPr>
          <w:rFonts w:ascii="Arial" w:hAnsi="Arial" w:cs="Arial"/>
          <w:szCs w:val="22"/>
        </w:rPr>
        <w:t>Ziegelstein</w:t>
      </w:r>
      <w:proofErr w:type="spellEnd"/>
      <w:r w:rsidRPr="004D46AC">
        <w:rPr>
          <w:rFonts w:ascii="Arial" w:hAnsi="Arial" w:cs="Arial"/>
          <w:szCs w:val="22"/>
        </w:rPr>
        <w:t xml:space="preserve">, R. C., Akena, D. H., </w:t>
      </w:r>
      <w:proofErr w:type="spellStart"/>
      <w:r w:rsidRPr="004D46AC">
        <w:rPr>
          <w:rFonts w:ascii="Arial" w:hAnsi="Arial" w:cs="Arial"/>
          <w:szCs w:val="22"/>
        </w:rPr>
        <w:t>Arroll</w:t>
      </w:r>
      <w:proofErr w:type="spellEnd"/>
      <w:r w:rsidRPr="004D46AC">
        <w:rPr>
          <w:rFonts w:ascii="Arial" w:hAnsi="Arial" w:cs="Arial"/>
          <w:szCs w:val="22"/>
        </w:rPr>
        <w:t xml:space="preserve">, B., Ayalon, L.,…Thombs, B. D. (2020). Equivalency of the diagnostic accuracy of the PHQ-8 and PHQ-9: a systematic review and individual participant data meta-analysis.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50</w:t>
      </w:r>
      <w:r w:rsidRPr="004D46AC">
        <w:rPr>
          <w:rFonts w:ascii="Arial" w:hAnsi="Arial" w:cs="Arial"/>
          <w:szCs w:val="22"/>
        </w:rPr>
        <w:t xml:space="preserve">(8), 1368-1380. https://doi.org/10.1017/S0033291719001314 </w:t>
      </w:r>
    </w:p>
    <w:p w14:paraId="65B8756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Xie, S., Zhang, X., Cheng, W., &amp; Yang, Z. (2021). Adolescent anxiety disorders and the developing brain: comparing neuroimaging findings in adolescents and adults. </w:t>
      </w:r>
      <w:r w:rsidRPr="004D46AC">
        <w:rPr>
          <w:rFonts w:ascii="Arial" w:hAnsi="Arial" w:cs="Arial"/>
          <w:i/>
          <w:szCs w:val="22"/>
        </w:rPr>
        <w:t>General Psychiatry</w:t>
      </w:r>
      <w:r w:rsidRPr="004D46AC">
        <w:rPr>
          <w:rFonts w:ascii="Arial" w:hAnsi="Arial" w:cs="Arial"/>
          <w:szCs w:val="22"/>
        </w:rPr>
        <w:t>,</w:t>
      </w:r>
      <w:r w:rsidRPr="004D46AC">
        <w:rPr>
          <w:rFonts w:ascii="Arial" w:hAnsi="Arial" w:cs="Arial"/>
          <w:i/>
          <w:szCs w:val="22"/>
        </w:rPr>
        <w:t xml:space="preserve"> 34</w:t>
      </w:r>
      <w:r w:rsidRPr="004D46AC">
        <w:rPr>
          <w:rFonts w:ascii="Arial" w:hAnsi="Arial" w:cs="Arial"/>
          <w:szCs w:val="22"/>
        </w:rPr>
        <w:t xml:space="preserve">(4), e100411. https://doi.org/10.1136/gpsych-2020-100411 </w:t>
      </w:r>
    </w:p>
    <w:p w14:paraId="707CD6FE"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Yalincetin</w:t>
      </w:r>
      <w:proofErr w:type="spellEnd"/>
      <w:r w:rsidRPr="004D46AC">
        <w:rPr>
          <w:rFonts w:ascii="Arial" w:hAnsi="Arial" w:cs="Arial"/>
          <w:szCs w:val="22"/>
        </w:rPr>
        <w:t xml:space="preserve">, B., Bora, E., </w:t>
      </w:r>
      <w:proofErr w:type="spellStart"/>
      <w:r w:rsidRPr="004D46AC">
        <w:rPr>
          <w:rFonts w:ascii="Arial" w:hAnsi="Arial" w:cs="Arial"/>
          <w:szCs w:val="22"/>
        </w:rPr>
        <w:t>Binbay</w:t>
      </w:r>
      <w:proofErr w:type="spellEnd"/>
      <w:r w:rsidRPr="004D46AC">
        <w:rPr>
          <w:rFonts w:ascii="Arial" w:hAnsi="Arial" w:cs="Arial"/>
          <w:szCs w:val="22"/>
        </w:rPr>
        <w:t xml:space="preserve">, T., Ulas, H., </w:t>
      </w:r>
      <w:proofErr w:type="spellStart"/>
      <w:r w:rsidRPr="004D46AC">
        <w:rPr>
          <w:rFonts w:ascii="Arial" w:hAnsi="Arial" w:cs="Arial"/>
          <w:szCs w:val="22"/>
        </w:rPr>
        <w:t>Akdede</w:t>
      </w:r>
      <w:proofErr w:type="spellEnd"/>
      <w:r w:rsidRPr="004D46AC">
        <w:rPr>
          <w:rFonts w:ascii="Arial" w:hAnsi="Arial" w:cs="Arial"/>
          <w:szCs w:val="22"/>
        </w:rPr>
        <w:t xml:space="preserve">, B. B., &amp; Alptekin, K. (2017). Formal thought disorder in schizophrenia and bipolar disorder: A systematic review and meta-analysis. </w:t>
      </w:r>
      <w:proofErr w:type="spellStart"/>
      <w:r w:rsidRPr="004D46AC">
        <w:rPr>
          <w:rFonts w:ascii="Arial" w:hAnsi="Arial" w:cs="Arial"/>
          <w:i/>
          <w:szCs w:val="22"/>
        </w:rPr>
        <w:t>Schizophr</w:t>
      </w:r>
      <w:proofErr w:type="spellEnd"/>
      <w:r w:rsidRPr="004D46AC">
        <w:rPr>
          <w:rFonts w:ascii="Arial" w:hAnsi="Arial" w:cs="Arial"/>
          <w:i/>
          <w:szCs w:val="22"/>
        </w:rPr>
        <w:t xml:space="preserve"> Res</w:t>
      </w:r>
      <w:r w:rsidRPr="004D46AC">
        <w:rPr>
          <w:rFonts w:ascii="Arial" w:hAnsi="Arial" w:cs="Arial"/>
          <w:szCs w:val="22"/>
        </w:rPr>
        <w:t>,</w:t>
      </w:r>
      <w:r w:rsidRPr="004D46AC">
        <w:rPr>
          <w:rFonts w:ascii="Arial" w:hAnsi="Arial" w:cs="Arial"/>
          <w:i/>
          <w:szCs w:val="22"/>
        </w:rPr>
        <w:t xml:space="preserve"> 185</w:t>
      </w:r>
      <w:r w:rsidRPr="004D46AC">
        <w:rPr>
          <w:rFonts w:ascii="Arial" w:hAnsi="Arial" w:cs="Arial"/>
          <w:szCs w:val="22"/>
        </w:rPr>
        <w:t xml:space="preserve">, 2-8. https://doi.org/10.1016/j.schres.2016.12.015 </w:t>
      </w:r>
    </w:p>
    <w:p w14:paraId="0050C1AB"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Yamada, Y., Matsumoto, M., Iijima, K., &amp; Sumiyoshi, T. (2020). Specificity and Continuity of Schizophrenia and Bipolar Disorder: Relation to Biomarkers. </w:t>
      </w:r>
      <w:r w:rsidRPr="004D46AC">
        <w:rPr>
          <w:rFonts w:ascii="Arial" w:hAnsi="Arial" w:cs="Arial"/>
          <w:i/>
          <w:szCs w:val="22"/>
        </w:rPr>
        <w:t>Curr Pharm Des</w:t>
      </w:r>
      <w:r w:rsidRPr="004D46AC">
        <w:rPr>
          <w:rFonts w:ascii="Arial" w:hAnsi="Arial" w:cs="Arial"/>
          <w:szCs w:val="22"/>
        </w:rPr>
        <w:t>,</w:t>
      </w:r>
      <w:r w:rsidRPr="004D46AC">
        <w:rPr>
          <w:rFonts w:ascii="Arial" w:hAnsi="Arial" w:cs="Arial"/>
          <w:i/>
          <w:szCs w:val="22"/>
        </w:rPr>
        <w:t xml:space="preserve"> 26</w:t>
      </w:r>
      <w:r w:rsidRPr="004D46AC">
        <w:rPr>
          <w:rFonts w:ascii="Arial" w:hAnsi="Arial" w:cs="Arial"/>
          <w:szCs w:val="22"/>
        </w:rPr>
        <w:t xml:space="preserve">(2), 191-200. https://doi.org/10.2174/1381612825666191216153508 </w:t>
      </w:r>
    </w:p>
    <w:p w14:paraId="3522661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Yung, A. R. (2003). Commentary: The Schizophrenia Prodrome: A High-Risk Concept. </w:t>
      </w:r>
      <w:r w:rsidRPr="004D46AC">
        <w:rPr>
          <w:rFonts w:ascii="Arial" w:hAnsi="Arial" w:cs="Arial"/>
          <w:i/>
          <w:szCs w:val="22"/>
        </w:rPr>
        <w:t>Schizophrenia Bulletin</w:t>
      </w:r>
      <w:r w:rsidRPr="004D46AC">
        <w:rPr>
          <w:rFonts w:ascii="Arial" w:hAnsi="Arial" w:cs="Arial"/>
          <w:szCs w:val="22"/>
        </w:rPr>
        <w:t>,</w:t>
      </w:r>
      <w:r w:rsidRPr="004D46AC">
        <w:rPr>
          <w:rFonts w:ascii="Arial" w:hAnsi="Arial" w:cs="Arial"/>
          <w:i/>
          <w:szCs w:val="22"/>
        </w:rPr>
        <w:t xml:space="preserve"> 29</w:t>
      </w:r>
      <w:r w:rsidRPr="004D46AC">
        <w:rPr>
          <w:rFonts w:ascii="Arial" w:hAnsi="Arial" w:cs="Arial"/>
          <w:szCs w:val="22"/>
        </w:rPr>
        <w:t xml:space="preserve">(4), 859-865. https://doi.org/10.1093/oxfordjournals.schbul.a007052 </w:t>
      </w:r>
    </w:p>
    <w:p w14:paraId="03B4015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Yung, A. R., Phillips, L. J., Yuen, H. P., Francey, S. M., McFarlane, C. A., Hallgren, M., &amp; McGorry, P. D. (2003). Psychosis prediction: 12-month follow up of a high-risk </w:t>
      </w:r>
      <w:r w:rsidRPr="004D46AC">
        <w:rPr>
          <w:rFonts w:ascii="Arial" w:hAnsi="Arial" w:cs="Arial"/>
          <w:szCs w:val="22"/>
        </w:rPr>
        <w:lastRenderedPageBreak/>
        <w:t xml:space="preserve">("prodromal") group. </w:t>
      </w:r>
      <w:proofErr w:type="spellStart"/>
      <w:r w:rsidRPr="004D46AC">
        <w:rPr>
          <w:rFonts w:ascii="Arial" w:hAnsi="Arial" w:cs="Arial"/>
          <w:i/>
          <w:szCs w:val="22"/>
        </w:rPr>
        <w:t>Schizophr</w:t>
      </w:r>
      <w:proofErr w:type="spellEnd"/>
      <w:r w:rsidRPr="004D46AC">
        <w:rPr>
          <w:rFonts w:ascii="Arial" w:hAnsi="Arial" w:cs="Arial"/>
          <w:i/>
          <w:szCs w:val="22"/>
        </w:rPr>
        <w:t xml:space="preserve"> Res</w:t>
      </w:r>
      <w:r w:rsidRPr="004D46AC">
        <w:rPr>
          <w:rFonts w:ascii="Arial" w:hAnsi="Arial" w:cs="Arial"/>
          <w:szCs w:val="22"/>
        </w:rPr>
        <w:t>,</w:t>
      </w:r>
      <w:r w:rsidRPr="004D46AC">
        <w:rPr>
          <w:rFonts w:ascii="Arial" w:hAnsi="Arial" w:cs="Arial"/>
          <w:i/>
          <w:szCs w:val="22"/>
        </w:rPr>
        <w:t xml:space="preserve"> 60</w:t>
      </w:r>
      <w:r w:rsidRPr="004D46AC">
        <w:rPr>
          <w:rFonts w:ascii="Arial" w:hAnsi="Arial" w:cs="Arial"/>
          <w:szCs w:val="22"/>
        </w:rPr>
        <w:t xml:space="preserve">(1), 21-32. https://doi.org/10.1016/s0920-9964(02)00167-6 </w:t>
      </w:r>
    </w:p>
    <w:p w14:paraId="2BA50FB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Yung, A. R., Yung, A. R., Pan Yuen, H., McGorry, P. D., Phillips, L. J., Kelly, D., </w:t>
      </w:r>
      <w:proofErr w:type="spellStart"/>
      <w:r w:rsidRPr="004D46AC">
        <w:rPr>
          <w:rFonts w:ascii="Arial" w:hAnsi="Arial" w:cs="Arial"/>
          <w:szCs w:val="22"/>
        </w:rPr>
        <w:t>Dell'olio</w:t>
      </w:r>
      <w:proofErr w:type="spellEnd"/>
      <w:r w:rsidRPr="004D46AC">
        <w:rPr>
          <w:rFonts w:ascii="Arial" w:hAnsi="Arial" w:cs="Arial"/>
          <w:szCs w:val="22"/>
        </w:rPr>
        <w:t xml:space="preserve">, M., Francey, S. M., Cosgrave, E. M., Killackey, E., Stanford, C., Godfrey, K., &amp; Buckby, J. (2005). Mapping the Onset of Psychosis: The Comprehensive Assessment of At-Risk Mental States. </w:t>
      </w:r>
      <w:r w:rsidRPr="004D46AC">
        <w:rPr>
          <w:rFonts w:ascii="Arial" w:hAnsi="Arial" w:cs="Arial"/>
          <w:i/>
          <w:szCs w:val="22"/>
        </w:rPr>
        <w:t>Australian &amp; New Zealand Journal of Psychiatry</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(11-12), 964-971. https://doi.org/10.1080/j.1440-1614.2005.01714.x </w:t>
      </w:r>
    </w:p>
    <w:p w14:paraId="7658015E" w14:textId="77777777" w:rsidR="007075D9" w:rsidRPr="004D46AC" w:rsidRDefault="007075D9" w:rsidP="00B518F1">
      <w:pPr>
        <w:pStyle w:val="EndNoteBibliography"/>
        <w:spacing w:line="360" w:lineRule="auto"/>
        <w:ind w:left="720" w:hanging="720"/>
        <w:rPr>
          <w:rFonts w:ascii="Arial" w:hAnsi="Arial" w:cs="Arial"/>
          <w:szCs w:val="22"/>
        </w:rPr>
        <w:sectPr w:rsidR="007075D9" w:rsidRPr="004D46AC" w:rsidSect="007075D9">
          <w:headerReference w:type="default" r:id="rId380"/>
          <w:pgSz w:w="11906" w:h="16838"/>
          <w:pgMar w:top="1440" w:right="1440" w:bottom="1440" w:left="1440" w:header="708" w:footer="708" w:gutter="0"/>
          <w:cols w:space="708"/>
          <w:docGrid w:linePitch="360"/>
        </w:sectPr>
      </w:pPr>
      <w:r w:rsidRPr="004D46AC">
        <w:rPr>
          <w:rFonts w:ascii="Arial" w:hAnsi="Arial" w:cs="Arial"/>
          <w:szCs w:val="22"/>
        </w:rPr>
        <w:t xml:space="preserve">Zlotnick, C., Johnson, J., Kohn, R., Vicente, B., Rioseco, P., &amp; Saldivia, S. (2008). Childhood trauma, trauma in adulthood, and psychiatric diagnoses: results from a community sample. </w:t>
      </w:r>
      <w:r w:rsidRPr="004D46AC">
        <w:rPr>
          <w:rFonts w:ascii="Arial" w:hAnsi="Arial" w:cs="Arial"/>
          <w:i/>
          <w:szCs w:val="22"/>
        </w:rPr>
        <w:t>Comprehensive Psychiatry</w:t>
      </w:r>
      <w:r w:rsidRPr="004D46AC">
        <w:rPr>
          <w:rFonts w:ascii="Arial" w:hAnsi="Arial" w:cs="Arial"/>
          <w:szCs w:val="22"/>
        </w:rPr>
        <w:t>,</w:t>
      </w:r>
      <w:r w:rsidRPr="004D46AC">
        <w:rPr>
          <w:rFonts w:ascii="Arial" w:hAnsi="Arial" w:cs="Arial"/>
          <w:i/>
          <w:szCs w:val="22"/>
        </w:rPr>
        <w:t xml:space="preserve"> 49</w:t>
      </w:r>
      <w:r w:rsidRPr="004D46AC">
        <w:rPr>
          <w:rFonts w:ascii="Arial" w:hAnsi="Arial" w:cs="Arial"/>
          <w:szCs w:val="22"/>
        </w:rPr>
        <w:t xml:space="preserve">(2), 163-169. https://doi.org/https://doi.org/10.1016/j.comppsych.2007.08.007 </w:t>
      </w:r>
    </w:p>
    <w:p w14:paraId="29396DF5" w14:textId="59435761" w:rsidR="007075D9" w:rsidRPr="004D46AC" w:rsidRDefault="007075D9">
      <w:pPr>
        <w:pStyle w:val="1"/>
        <w:numPr>
          <w:ilvl w:val="0"/>
          <w:numId w:val="23"/>
        </w:numPr>
      </w:pPr>
      <w:bookmarkStart w:id="284" w:name="_Toc219888788"/>
      <w:r w:rsidRPr="004D46AC">
        <w:rPr>
          <w:rFonts w:hint="eastAsia"/>
        </w:rPr>
        <w:lastRenderedPageBreak/>
        <w:t>G</w:t>
      </w:r>
      <w:r w:rsidRPr="004D46AC">
        <w:t xml:space="preserve">eneral </w:t>
      </w:r>
      <w:r w:rsidRPr="004D46AC">
        <w:rPr>
          <w:rFonts w:hint="eastAsia"/>
        </w:rPr>
        <w:t>D</w:t>
      </w:r>
      <w:r w:rsidRPr="004D46AC">
        <w:t xml:space="preserve">iscussion and </w:t>
      </w:r>
      <w:r w:rsidRPr="004D46AC">
        <w:rPr>
          <w:rFonts w:hint="eastAsia"/>
        </w:rPr>
        <w:t>C</w:t>
      </w:r>
      <w:r w:rsidRPr="004D46AC">
        <w:t>onclusion</w:t>
      </w:r>
      <w:bookmarkEnd w:id="284"/>
    </w:p>
    <w:p w14:paraId="1B3C1EC2" w14:textId="77777777" w:rsidR="007075D9" w:rsidRPr="004D46AC" w:rsidRDefault="007075D9" w:rsidP="00B518F1">
      <w:pPr>
        <w:pStyle w:val="2"/>
        <w:rPr>
          <w:i/>
          <w:iCs/>
        </w:rPr>
      </w:pPr>
      <w:bookmarkStart w:id="285" w:name="_Toc219888789"/>
      <w:r w:rsidRPr="004D46AC">
        <w:t>Introduction</w:t>
      </w:r>
      <w:bookmarkEnd w:id="285"/>
    </w:p>
    <w:p w14:paraId="6C74A847" w14:textId="77777777" w:rsidR="007075D9" w:rsidRPr="004D46AC" w:rsidRDefault="007075D9" w:rsidP="00B518F1">
      <w:r w:rsidRPr="004D46AC">
        <w:t xml:space="preserve">Since Kraepelin first proposed the dichotomy separating schizophrenia from bipolar spectrum disorders (BSD), the question of whether these conditions represent distinct diagnostic categories or variations of a single disease process has persisted for more than a century. Empirical evidence indicates that schizophrenia and BSD share </w:t>
      </w:r>
      <w:r w:rsidRPr="004D46AC">
        <w:rPr>
          <w:rFonts w:hint="eastAsia"/>
        </w:rPr>
        <w:t xml:space="preserve">many </w:t>
      </w:r>
      <w:r w:rsidRPr="004D46AC">
        <w:t>biological, psychological, and environmental determinants. M</w:t>
      </w:r>
      <w:r w:rsidRPr="004D46AC">
        <w:rPr>
          <w:rFonts w:hint="eastAsia"/>
        </w:rPr>
        <w:t>eanwhile</w:t>
      </w:r>
      <w:r w:rsidRPr="004D46AC">
        <w:t>, important differences exist—differences that appear to be largely quantitative rather than qualitative. Much of the existing   evidence adopts a dimensional perspective, yet many underlying mechanisms behind their psychopathological overlap remain poorly understood. For instance, the factors contributing to the shared symptomatology across schizophrenia and BSD are still unclear. Recent advances in statistical modelling and theoretical frameworks have introduced new methodological tools that enable more fine-grained investigations of symptom patterns and dimensions. These approaches offer an opportunity to examine schizophrenia and BSD not only dimensionally but also at the symptom level. The primary aim of this thesis was to utili</w:t>
      </w:r>
      <w:r w:rsidRPr="004D46AC">
        <w:rPr>
          <w:rFonts w:hint="eastAsia"/>
        </w:rPr>
        <w:t>s</w:t>
      </w:r>
      <w:r w:rsidRPr="004D46AC">
        <w:t>e these state-of-the-art methodological approaches to investigate the mechanisms underlying the psychopatholog</w:t>
      </w:r>
      <w:r w:rsidRPr="004D46AC">
        <w:rPr>
          <w:rFonts w:hint="eastAsia"/>
        </w:rPr>
        <w:t>ies of</w:t>
      </w:r>
      <w:r w:rsidRPr="004D46AC">
        <w:t xml:space="preserve"> schizophrenia and BSD, thereby contributing to a more nuanced understanding of </w:t>
      </w:r>
      <w:r w:rsidRPr="004D46AC">
        <w:rPr>
          <w:rFonts w:hint="eastAsia"/>
        </w:rPr>
        <w:t xml:space="preserve">the mechanisms behind the </w:t>
      </w:r>
      <w:r w:rsidRPr="004D46AC">
        <w:t>blurred</w:t>
      </w:r>
      <w:r w:rsidRPr="004D46AC">
        <w:rPr>
          <w:rFonts w:hint="eastAsia"/>
        </w:rPr>
        <w:t xml:space="preserve"> boundary</w:t>
      </w:r>
      <w:r w:rsidRPr="004D46AC">
        <w:t>.</w:t>
      </w:r>
    </w:p>
    <w:p w14:paraId="5268A7A6" w14:textId="77777777" w:rsidR="007075D9" w:rsidRPr="004D46AC" w:rsidRDefault="007075D9" w:rsidP="00B518F1">
      <w:r w:rsidRPr="004D46AC">
        <w:t>This thesis comprises six chapters that collectively examine the mechanisms underlying the psychopathological overlap between BSD and schizophrenia. It aimed to address three primary questions: (1) to what extent BSD overlaps with schizophrenia, (2) what psychopathological mechanisms underpin this overlap, and (3) how generalisable these mechanisms are across different populations, time and stages of illness. Chapter 1</w:t>
      </w:r>
      <w:r w:rsidRPr="004D46AC">
        <w:rPr>
          <w:rFonts w:hint="eastAsia"/>
        </w:rPr>
        <w:t xml:space="preserve"> </w:t>
      </w:r>
      <w:r w:rsidRPr="004D46AC">
        <w:t xml:space="preserve">provides a general introduction and establishes the theoretical background for the empirical studies. Chapter 2 presents a systematic review investigating the point and lifetime prevalence of schizophrenia and psychosis (including diagnostic conversion) among individuals with BSD. Chapter 3 explores symptom dynamics in schizophrenia and BSD using patient data and network analytic methods. Chapter 4 evaluates the long-term stability </w:t>
      </w:r>
      <w:r w:rsidRPr="004D46AC">
        <w:lastRenderedPageBreak/>
        <w:t>of these symptom dynamics and their generalisability in a non-clinical population, and it further examines the longitudinal relationships between BSD and schizophrenia using progression models. Chapter 5 develops a transdiagnostic screening tool for pluripotential at-risk symptoms and investigates its underlying network structure to determine whether early-stage patterns of BSD and schizophrenia resemble those observed in (sub)clinical psychosis and mood symptoms. Finally, this chapter serves as a chain that links these findings across studies, discusses the theoretical, clinical, and methodological implications, and presents the overall conclusions of the thesis.</w:t>
      </w:r>
    </w:p>
    <w:p w14:paraId="13F46EE3" w14:textId="77777777" w:rsidR="007075D9" w:rsidRPr="004D46AC" w:rsidRDefault="007075D9" w:rsidP="00B518F1"/>
    <w:p w14:paraId="234EBD4E" w14:textId="77777777" w:rsidR="007075D9" w:rsidRPr="004D46AC" w:rsidRDefault="007075D9" w:rsidP="00B518F1"/>
    <w:p w14:paraId="1EC10DB7" w14:textId="77777777" w:rsidR="007075D9" w:rsidRPr="004D46AC" w:rsidRDefault="007075D9" w:rsidP="00B518F1"/>
    <w:p w14:paraId="6F37D7AE" w14:textId="77777777" w:rsidR="007075D9" w:rsidRPr="004D46AC" w:rsidRDefault="007075D9" w:rsidP="00B518F1"/>
    <w:p w14:paraId="4C5A22E0" w14:textId="77777777" w:rsidR="007075D9" w:rsidRPr="004D46AC" w:rsidRDefault="007075D9" w:rsidP="00B518F1"/>
    <w:p w14:paraId="38F8BE2C" w14:textId="77777777" w:rsidR="007075D9" w:rsidRPr="004D46AC" w:rsidRDefault="007075D9" w:rsidP="00B518F1"/>
    <w:p w14:paraId="39A46CCF" w14:textId="77777777" w:rsidR="007075D9" w:rsidRPr="004D46AC" w:rsidRDefault="007075D9" w:rsidP="00B518F1"/>
    <w:p w14:paraId="73EF1E55" w14:textId="77777777" w:rsidR="007075D9" w:rsidRPr="004D46AC" w:rsidRDefault="007075D9" w:rsidP="00B518F1"/>
    <w:p w14:paraId="376B9A9D" w14:textId="77777777" w:rsidR="007075D9" w:rsidRPr="004D46AC" w:rsidRDefault="007075D9" w:rsidP="00B518F1"/>
    <w:p w14:paraId="36175D11" w14:textId="77777777" w:rsidR="007075D9" w:rsidRPr="004D46AC" w:rsidRDefault="007075D9" w:rsidP="00B518F1"/>
    <w:p w14:paraId="395A1B76" w14:textId="77777777" w:rsidR="007075D9" w:rsidRPr="004D46AC" w:rsidRDefault="007075D9" w:rsidP="00B518F1"/>
    <w:p w14:paraId="50DC3FE1" w14:textId="77777777" w:rsidR="007075D9" w:rsidRPr="004D46AC" w:rsidRDefault="007075D9" w:rsidP="00B518F1"/>
    <w:p w14:paraId="2C8B758E" w14:textId="77777777" w:rsidR="007075D9" w:rsidRPr="004D46AC" w:rsidRDefault="007075D9" w:rsidP="00B518F1"/>
    <w:p w14:paraId="7D2981C1" w14:textId="77777777" w:rsidR="007075D9" w:rsidRPr="004D46AC" w:rsidRDefault="007075D9" w:rsidP="00B518F1"/>
    <w:p w14:paraId="3C63B9A8" w14:textId="77777777" w:rsidR="007075D9" w:rsidRPr="004D46AC" w:rsidRDefault="007075D9" w:rsidP="00B518F1"/>
    <w:p w14:paraId="58D63547" w14:textId="77777777" w:rsidR="007075D9" w:rsidRPr="004D46AC" w:rsidRDefault="007075D9" w:rsidP="00B518F1"/>
    <w:p w14:paraId="2CC6B711" w14:textId="77777777" w:rsidR="007075D9" w:rsidRPr="004D46AC" w:rsidRDefault="007075D9" w:rsidP="00B518F1"/>
    <w:p w14:paraId="5E69CB95" w14:textId="77777777" w:rsidR="007075D9" w:rsidRPr="004D46AC" w:rsidRDefault="007075D9" w:rsidP="00B518F1"/>
    <w:p w14:paraId="1BB40D1D" w14:textId="77777777" w:rsidR="007075D9" w:rsidRPr="004D46AC" w:rsidRDefault="007075D9" w:rsidP="00B518F1"/>
    <w:p w14:paraId="6567E048" w14:textId="77777777" w:rsidR="007075D9" w:rsidRPr="004D46AC" w:rsidRDefault="007075D9" w:rsidP="00B518F1"/>
    <w:p w14:paraId="5D1426B0" w14:textId="77777777" w:rsidR="007075D9" w:rsidRPr="004D46AC" w:rsidRDefault="007075D9" w:rsidP="00B518F1">
      <w:pPr>
        <w:pStyle w:val="2"/>
      </w:pPr>
      <w:bookmarkStart w:id="286" w:name="_Toc219888790"/>
      <w:r w:rsidRPr="004D46AC">
        <w:lastRenderedPageBreak/>
        <w:t>Synthesis of Findings</w:t>
      </w:r>
      <w:bookmarkEnd w:id="286"/>
      <w:r w:rsidRPr="004D46AC">
        <w:t xml:space="preserve"> </w:t>
      </w:r>
      <w:r w:rsidRPr="004D46AC">
        <w:rPr>
          <w:rFonts w:hint="eastAsia"/>
        </w:rPr>
        <w:t xml:space="preserve">  </w:t>
      </w:r>
    </w:p>
    <w:p w14:paraId="691D036E" w14:textId="77777777" w:rsidR="007075D9" w:rsidRPr="004D46AC" w:rsidRDefault="007075D9" w:rsidP="00B518F1">
      <w:pPr>
        <w:pStyle w:val="3"/>
      </w:pPr>
      <w:r w:rsidRPr="004D46AC">
        <w:t xml:space="preserve">To what extent did these two conditions overlap  </w:t>
      </w:r>
    </w:p>
    <w:p w14:paraId="19197678" w14:textId="77777777" w:rsidR="007075D9" w:rsidRPr="004D46AC" w:rsidRDefault="007075D9" w:rsidP="00B518F1">
      <w:r w:rsidRPr="004D46AC">
        <w:t xml:space="preserve"> Findings from Chapter 2 revealed that psychosis is common in patients with BSD, occurring either in its narrow diagnostic forms (e.g., lifetime diagnosis, conversion to schizophrenia, or first-rank symptoms) or broader symptomatic forms (e.g., general psychotic symptoms). These phenomena were particularly evident in patients with Bipolar I Disorder. The meta-regression findings, alongside the current conceptualisation of Bipolar I Disorder in the diagnostic manual, indicated a robust and close relationship between mania and psychosis. These findings suggest that the symptom overlap is not</w:t>
      </w:r>
      <w:r w:rsidRPr="004D46AC">
        <w:rPr>
          <w:rFonts w:hint="eastAsia"/>
        </w:rPr>
        <w:t xml:space="preserve">, </w:t>
      </w:r>
      <w:r w:rsidRPr="004D46AC">
        <w:t>at least in patients with BSD</w:t>
      </w:r>
      <w:r w:rsidRPr="004D46AC">
        <w:rPr>
          <w:rFonts w:hint="eastAsia"/>
        </w:rPr>
        <w:t xml:space="preserve">, </w:t>
      </w:r>
      <w:r w:rsidRPr="004D46AC">
        <w:t xml:space="preserve">a result of </w:t>
      </w:r>
      <w:r w:rsidRPr="004D46AC">
        <w:rPr>
          <w:rFonts w:hint="eastAsia"/>
        </w:rPr>
        <w:t>assessment</w:t>
      </w:r>
      <w:r w:rsidRPr="004D46AC">
        <w:t xml:space="preserve"> errors, but </w:t>
      </w:r>
      <w:r w:rsidRPr="004D46AC">
        <w:rPr>
          <w:rFonts w:hint="eastAsia"/>
        </w:rPr>
        <w:t>mostly</w:t>
      </w:r>
      <w:r w:rsidRPr="004D46AC">
        <w:t xml:space="preserve"> an integral part of the disease trajectory. This strong empirical association served as the foundation for the subsequent chapters to investigate the underlying symptomatic mechanisms using novel approaches.</w:t>
      </w:r>
    </w:p>
    <w:p w14:paraId="00E29577" w14:textId="77777777" w:rsidR="007075D9" w:rsidRPr="004D46AC" w:rsidRDefault="007075D9" w:rsidP="00B518F1">
      <w:pPr>
        <w:pStyle w:val="3"/>
      </w:pPr>
      <w:r w:rsidRPr="004D46AC">
        <w:t>S</w:t>
      </w:r>
      <w:r w:rsidRPr="004D46AC">
        <w:rPr>
          <w:rFonts w:hint="eastAsia"/>
        </w:rPr>
        <w:t xml:space="preserve">ymptom dynamics underlying the close </w:t>
      </w:r>
      <w:r w:rsidRPr="004D46AC">
        <w:t>relationship</w:t>
      </w:r>
    </w:p>
    <w:p w14:paraId="0F8CAEBB" w14:textId="77777777" w:rsidR="007075D9" w:rsidRPr="004D46AC" w:rsidRDefault="007075D9" w:rsidP="00B518F1">
      <w:r w:rsidRPr="004D46AC">
        <w:t>A</w:t>
      </w:r>
      <w:r w:rsidRPr="004D46AC">
        <w:rPr>
          <w:rFonts w:hint="eastAsia"/>
        </w:rPr>
        <w:t xml:space="preserve"> general pattern </w:t>
      </w:r>
      <w:r w:rsidRPr="004D46AC">
        <w:t xml:space="preserve">that </w:t>
      </w:r>
      <w:r w:rsidRPr="004D46AC">
        <w:rPr>
          <w:rFonts w:hint="eastAsia"/>
        </w:rPr>
        <w:t xml:space="preserve">emerged in </w:t>
      </w:r>
      <w:r w:rsidRPr="004D46AC">
        <w:t xml:space="preserve">the </w:t>
      </w:r>
      <w:r w:rsidRPr="004D46AC">
        <w:rPr>
          <w:rFonts w:hint="eastAsia"/>
        </w:rPr>
        <w:t xml:space="preserve">network analyses of symptoms of mood and psychosis in most </w:t>
      </w:r>
      <w:r w:rsidRPr="004D46AC">
        <w:t>population</w:t>
      </w:r>
      <w:r w:rsidRPr="004D46AC">
        <w:rPr>
          <w:rFonts w:hint="eastAsia"/>
        </w:rPr>
        <w:t xml:space="preserve">s or assessments </w:t>
      </w:r>
      <w:r w:rsidRPr="004D46AC">
        <w:t>was</w:t>
      </w:r>
      <w:r w:rsidRPr="004D46AC">
        <w:rPr>
          <w:rFonts w:hint="eastAsia"/>
        </w:rPr>
        <w:t xml:space="preserve"> that the connections were denser </w:t>
      </w:r>
      <w:r w:rsidRPr="004D46AC">
        <w:t xml:space="preserve">between </w:t>
      </w:r>
      <w:r w:rsidRPr="004D46AC">
        <w:rPr>
          <w:rFonts w:hint="eastAsia"/>
        </w:rPr>
        <w:t>symptoms of psychosis (or attenuated psychotic symptoms)</w:t>
      </w:r>
      <w:r w:rsidRPr="004D46AC">
        <w:t xml:space="preserve"> </w:t>
      </w:r>
      <w:r w:rsidRPr="004D46AC">
        <w:rPr>
          <w:rFonts w:hint="eastAsia"/>
        </w:rPr>
        <w:t xml:space="preserve">and (hypo)mania, which means that the mania and psychosis tend to </w:t>
      </w:r>
      <w:r w:rsidRPr="004D46AC">
        <w:t>cooccur more often</w:t>
      </w:r>
      <w:r w:rsidRPr="004D46AC">
        <w:rPr>
          <w:rFonts w:hint="eastAsia"/>
        </w:rPr>
        <w:t xml:space="preserve">. These </w:t>
      </w:r>
      <w:r w:rsidRPr="004D46AC">
        <w:t>findings</w:t>
      </w:r>
      <w:r w:rsidRPr="004D46AC">
        <w:rPr>
          <w:rFonts w:hint="eastAsia"/>
        </w:rPr>
        <w:t xml:space="preserve"> are consistent with the meta-analytic findings.</w:t>
      </w:r>
      <w:r w:rsidRPr="004D46AC">
        <w:t xml:space="preserve"> However, findings regarding the local characteristics of the networks, such as node </w:t>
      </w:r>
      <w:r w:rsidRPr="004D46AC">
        <w:rPr>
          <w:rFonts w:hint="eastAsia"/>
        </w:rPr>
        <w:t xml:space="preserve">and </w:t>
      </w:r>
      <w:r w:rsidRPr="004D46AC">
        <w:t>edge statistics,</w:t>
      </w:r>
      <w:r w:rsidRPr="004D46AC">
        <w:rPr>
          <w:rFonts w:hint="eastAsia"/>
        </w:rPr>
        <w:t xml:space="preserve"> as well as broad feature</w:t>
      </w:r>
      <w:r w:rsidRPr="004D46AC">
        <w:t>s</w:t>
      </w:r>
      <w:r w:rsidRPr="004D46AC">
        <w:rPr>
          <w:rFonts w:hint="eastAsia"/>
        </w:rPr>
        <w:t xml:space="preserve"> (i.e., network cluster)</w:t>
      </w:r>
      <w:r w:rsidRPr="004D46AC">
        <w:t xml:space="preserve"> varied across studies, possibly due to the </w:t>
      </w:r>
      <w:r w:rsidRPr="004D46AC">
        <w:rPr>
          <w:rFonts w:hint="eastAsia"/>
        </w:rPr>
        <w:t>methodological varia</w:t>
      </w:r>
      <w:r w:rsidRPr="004D46AC">
        <w:t>tions</w:t>
      </w:r>
      <w:r w:rsidRPr="004D46AC">
        <w:rPr>
          <w:rFonts w:hint="eastAsia"/>
        </w:rPr>
        <w:t xml:space="preserve"> (e.g., sample size, different populations, assessment tools)</w:t>
      </w:r>
      <w:r w:rsidRPr="004D46AC">
        <w:t xml:space="preserve">. </w:t>
      </w:r>
    </w:p>
    <w:p w14:paraId="2317EDC4" w14:textId="77777777" w:rsidR="007075D9" w:rsidRPr="004D46AC" w:rsidRDefault="007075D9" w:rsidP="00B518F1">
      <w:pPr>
        <w:pStyle w:val="4"/>
        <w:rPr>
          <w:rFonts w:eastAsiaTheme="minorEastAsia"/>
        </w:rPr>
      </w:pPr>
      <w:r w:rsidRPr="004D46AC">
        <w:t>Nodes/ symptoms</w:t>
      </w:r>
    </w:p>
    <w:p w14:paraId="68092F29" w14:textId="77777777" w:rsidR="007075D9" w:rsidRPr="004D46AC" w:rsidRDefault="007075D9" w:rsidP="00B518F1">
      <w:r w:rsidRPr="004D46AC">
        <w:t xml:space="preserve">In Chapter </w:t>
      </w:r>
      <w:r w:rsidRPr="004D46AC">
        <w:rPr>
          <w:rFonts w:hint="eastAsia"/>
        </w:rPr>
        <w:t>3</w:t>
      </w:r>
      <w:r w:rsidRPr="004D46AC">
        <w:t xml:space="preserve">, the top three symptoms with the highest strength (i.e., those most strongly connected with other symptoms) within the patient networks were broadly consistent across diagnostic groups. Across all patients, inner tension, inability to feel, and withdrawal showed the greatest strength. This pattern was reflected within specific diagnoses: for psychotic bipolar disorder (PBD: inability to feel, inner tension, mood/energy elevation), schizophrenia (SCZ: inner tension, inability to feel, thought disorder), and schizoaffective </w:t>
      </w:r>
      <w:r w:rsidRPr="004D46AC">
        <w:lastRenderedPageBreak/>
        <w:t>disorder (SCA: withdrawal, sadness, thought disorder). Although the specific rankings varied slightly, these consistently high-strength symptoms may point to shared underlying affective and interpersonal processes, such as heightened psychological anxiety and reduced emotional engagement, across these patient groups. Consistent with this, highly prevalent comorbid anxiety disorders have been reported in psychotic patients</w:t>
      </w:r>
      <w:r w:rsidRPr="004D46AC">
        <w:rPr>
          <w:rFonts w:hint="eastAsia"/>
        </w:rPr>
        <w:t xml:space="preserve"> </w:t>
      </w:r>
      <w:r w:rsidRPr="004D46AC">
        <w:rPr>
          <w:noProof/>
        </w:rPr>
        <w:t>(Simon, 2009)</w:t>
      </w:r>
      <w:r w:rsidRPr="004D46AC">
        <w:rPr>
          <w:rFonts w:hint="eastAsia"/>
        </w:rPr>
        <w:t xml:space="preserve">. </w:t>
      </w:r>
      <w:r w:rsidRPr="004D46AC">
        <w:t>Similar findings regarding anhedonia</w:t>
      </w:r>
      <w:r w:rsidRPr="004D46AC">
        <w:rPr>
          <w:rFonts w:hint="eastAsia"/>
        </w:rPr>
        <w:t xml:space="preserve">, </w:t>
      </w:r>
      <w:r w:rsidRPr="004D46AC">
        <w:t>a</w:t>
      </w:r>
      <w:r w:rsidRPr="004D46AC">
        <w:rPr>
          <w:rFonts w:hint="eastAsia"/>
        </w:rPr>
        <w:t xml:space="preserve"> superordinate construct</w:t>
      </w:r>
      <w:r w:rsidRPr="004D46AC">
        <w:t xml:space="preserve"> of withdrawal or reduced emotional engagement</w:t>
      </w:r>
      <w:r w:rsidRPr="004D46AC">
        <w:rPr>
          <w:rFonts w:hint="eastAsia"/>
        </w:rPr>
        <w:t>,</w:t>
      </w:r>
      <w:r w:rsidRPr="004D46AC">
        <w:t xml:space="preserve"> have been reported in both network analyses and dimensional comparisons of patients with various psychiatric conditions</w:t>
      </w:r>
      <w:r w:rsidRPr="004D46AC">
        <w:rPr>
          <w:rFonts w:hint="eastAsia"/>
        </w:rPr>
        <w:t xml:space="preserve"> </w:t>
      </w:r>
      <w:r w:rsidRPr="004D46AC">
        <w:rPr>
          <w:noProof/>
        </w:rPr>
        <w:t>(Guineau et al., 2023; Trøstheim et al., 2020)</w:t>
      </w:r>
      <w:r w:rsidRPr="004D46AC">
        <w:rPr>
          <w:rFonts w:hint="eastAsia"/>
        </w:rPr>
        <w:t xml:space="preserve">. </w:t>
      </w:r>
      <w:r w:rsidRPr="004D46AC">
        <w:t>In these studies, anhedonia was found to be more severe in patients than in healthy controls and exhibited the highest strength as a node in a network of anxiety, depression, attention deficits, and autism.</w:t>
      </w:r>
    </w:p>
    <w:p w14:paraId="43632DDF" w14:textId="77777777" w:rsidR="007075D9" w:rsidRPr="004D46AC" w:rsidRDefault="007075D9" w:rsidP="00B518F1">
      <w:r w:rsidRPr="004D46AC">
        <w:t>The pattern</w:t>
      </w:r>
      <w:r w:rsidRPr="004D46AC">
        <w:rPr>
          <w:rFonts w:hint="eastAsia"/>
        </w:rPr>
        <w:t xml:space="preserve"> found in general population</w:t>
      </w:r>
      <w:r w:rsidRPr="004D46AC">
        <w:t xml:space="preserve"> (Chapter </w:t>
      </w:r>
      <w:r w:rsidRPr="004D46AC">
        <w:rPr>
          <w:rFonts w:hint="eastAsia"/>
        </w:rPr>
        <w:t>4</w:t>
      </w:r>
      <w:r w:rsidRPr="004D46AC">
        <w:t>)</w:t>
      </w:r>
      <w:r w:rsidRPr="004D46AC">
        <w:rPr>
          <w:rFonts w:hint="eastAsia"/>
        </w:rPr>
        <w:t xml:space="preserve"> was different from the patients</w:t>
      </w:r>
      <w:r w:rsidRPr="004D46AC">
        <w:t>. Analyses of the C19PRC dataset indicate the symptoms with the highest strength are best characteri</w:t>
      </w:r>
      <w:r w:rsidRPr="004D46AC">
        <w:rPr>
          <w:rFonts w:hint="eastAsia"/>
        </w:rPr>
        <w:t>s</w:t>
      </w:r>
      <w:r w:rsidRPr="004D46AC">
        <w:t xml:space="preserve">ed as subclinical </w:t>
      </w:r>
      <w:r w:rsidRPr="004D46AC">
        <w:rPr>
          <w:rFonts w:hint="eastAsia"/>
        </w:rPr>
        <w:t>manic</w:t>
      </w:r>
      <w:r w:rsidRPr="004D46AC">
        <w:t>-like features</w:t>
      </w:r>
      <w:r w:rsidRPr="004D46AC">
        <w:rPr>
          <w:rFonts w:hint="eastAsia"/>
        </w:rPr>
        <w:t xml:space="preserve">, </w:t>
      </w:r>
      <w:r w:rsidRPr="004D46AC">
        <w:t>including</w:t>
      </w:r>
      <w:r w:rsidRPr="004D46AC">
        <w:rPr>
          <w:rFonts w:hint="eastAsia"/>
        </w:rPr>
        <w:t xml:space="preserve"> </w:t>
      </w:r>
      <w:r w:rsidRPr="004D46AC">
        <w:t xml:space="preserve">elevated self-confidence, distractibility, risk-taking (wave 5), and racing thoughts (wave 9). This activation-oriented profile may contrast with the </w:t>
      </w:r>
      <w:r w:rsidRPr="004D46AC">
        <w:rPr>
          <w:rFonts w:hint="eastAsia"/>
        </w:rPr>
        <w:t>anxiety</w:t>
      </w:r>
      <w:r w:rsidRPr="004D46AC">
        <w:t xml:space="preserve"> and withdrawal pattern seen in clinical patient</w:t>
      </w:r>
      <w:r w:rsidRPr="004D46AC">
        <w:rPr>
          <w:rFonts w:hint="eastAsia"/>
        </w:rPr>
        <w:t xml:space="preserve">s. </w:t>
      </w:r>
      <w:r w:rsidRPr="004D46AC">
        <w:t>T</w:t>
      </w:r>
      <w:r w:rsidRPr="004D46AC">
        <w:rPr>
          <w:rFonts w:hint="eastAsia"/>
        </w:rPr>
        <w:t xml:space="preserve">his finding is consistent with empirical evidence that (hypo)mania lies on the continuum of bipolar </w:t>
      </w:r>
      <w:r w:rsidRPr="004D46AC">
        <w:t>spectrum</w:t>
      </w:r>
      <w:r w:rsidRPr="004D46AC">
        <w:rPr>
          <w:rFonts w:hint="eastAsia"/>
        </w:rPr>
        <w:t xml:space="preserve"> </w:t>
      </w:r>
      <w:r w:rsidRPr="004D46AC">
        <w:rPr>
          <w:noProof/>
        </w:rPr>
        <w:t>(Gamma et al., 2008)</w:t>
      </w:r>
      <w:r w:rsidRPr="004D46AC">
        <w:rPr>
          <w:rFonts w:hint="eastAsia"/>
        </w:rPr>
        <w:t xml:space="preserve"> cess that </w:t>
      </w:r>
      <w:r w:rsidRPr="004D46AC">
        <w:t>correlates</w:t>
      </w:r>
      <w:r w:rsidRPr="004D46AC">
        <w:rPr>
          <w:rFonts w:hint="eastAsia"/>
        </w:rPr>
        <w:t xml:space="preserve"> with many other psychopathological features, such as affect instability, distress, </w:t>
      </w:r>
      <w:r w:rsidRPr="004D46AC">
        <w:t>hallucinatory</w:t>
      </w:r>
      <w:r w:rsidRPr="004D46AC">
        <w:rPr>
          <w:rFonts w:hint="eastAsia"/>
        </w:rPr>
        <w:t xml:space="preserve"> experiences, and conduct problems </w:t>
      </w:r>
      <w:r w:rsidRPr="004D46AC">
        <w:rPr>
          <w:noProof/>
        </w:rPr>
        <w:t>(Bentall et al., 2011; Kwapil et al., 2011; Sperry &amp; Kwapil, 2017, 2022; Walsh et al., 2012)</w:t>
      </w:r>
      <w:r w:rsidRPr="004D46AC">
        <w:rPr>
          <w:rFonts w:hint="eastAsia"/>
        </w:rPr>
        <w:t xml:space="preserve">. </w:t>
      </w:r>
      <w:r w:rsidRPr="004D46AC">
        <w:t>This contrast suggests that there may be a tipping point between different states</w:t>
      </w:r>
      <w:r w:rsidRPr="004D46AC">
        <w:rPr>
          <w:rFonts w:hint="eastAsia"/>
        </w:rPr>
        <w:t xml:space="preserve"> </w:t>
      </w:r>
      <w:r w:rsidRPr="004D46AC">
        <w:rPr>
          <w:noProof/>
        </w:rPr>
        <w:t>(Scheffer et al., 2009)</w:t>
      </w:r>
      <w:r w:rsidRPr="004D46AC">
        <w:t>, in which the network dynamics of healthy individuals are driven by behavioural activation and reward pursuit</w:t>
      </w:r>
      <w:r w:rsidRPr="004D46AC">
        <w:rPr>
          <w:rFonts w:hint="eastAsia"/>
        </w:rPr>
        <w:t xml:space="preserve"> </w:t>
      </w:r>
      <w:r w:rsidRPr="004D46AC">
        <w:rPr>
          <w:noProof/>
        </w:rPr>
        <w:t>(Depue &amp; Collins, 1999)</w:t>
      </w:r>
      <w:r w:rsidRPr="004D46AC">
        <w:rPr>
          <w:rFonts w:hint="eastAsia"/>
        </w:rPr>
        <w:t>, while pathological state</w:t>
      </w:r>
      <w:r w:rsidRPr="004D46AC">
        <w:t>s are</w:t>
      </w:r>
      <w:r w:rsidRPr="004D46AC">
        <w:rPr>
          <w:rFonts w:hint="eastAsia"/>
        </w:rPr>
        <w:t xml:space="preserve"> maintained by </w:t>
      </w:r>
      <w:r w:rsidRPr="004D46AC">
        <w:t>behaviour</w:t>
      </w:r>
      <w:r w:rsidRPr="004D46AC">
        <w:rPr>
          <w:rFonts w:hint="eastAsia"/>
        </w:rPr>
        <w:t xml:space="preserve"> inhibition and experiential avoidance </w:t>
      </w:r>
      <w:r w:rsidRPr="004D46AC">
        <w:rPr>
          <w:noProof/>
        </w:rPr>
        <w:t>(Hayes et al., 1996)</w:t>
      </w:r>
      <w:r w:rsidRPr="004D46AC">
        <w:rPr>
          <w:rFonts w:hint="eastAsia"/>
        </w:rPr>
        <w:t xml:space="preserve">. </w:t>
      </w:r>
      <w:r w:rsidRPr="004D46AC">
        <w:t>However, this variation could be also introduced by the measurement differences since the measures used in the C19PRC study did not include negative symptoms</w:t>
      </w:r>
      <w:r w:rsidRPr="004D46AC">
        <w:rPr>
          <w:rFonts w:hint="eastAsia"/>
        </w:rPr>
        <w:t xml:space="preserve"> (or experiences)</w:t>
      </w:r>
      <w:r w:rsidRPr="004D46AC">
        <w:t xml:space="preserve"> as well as some psychotic features.</w:t>
      </w:r>
    </w:p>
    <w:p w14:paraId="4EE38A72" w14:textId="77777777" w:rsidR="007075D9" w:rsidRPr="004D46AC" w:rsidRDefault="007075D9" w:rsidP="00B518F1">
      <w:r w:rsidRPr="004D46AC">
        <w:lastRenderedPageBreak/>
        <w:t>Interpreting the at-risk symptoms (Chapter 5) in a comparative manner</w:t>
      </w:r>
      <w:r w:rsidRPr="004D46AC">
        <w:rPr>
          <w:rFonts w:hint="eastAsia"/>
        </w:rPr>
        <w:t xml:space="preserve"> with </w:t>
      </w:r>
      <w:r w:rsidRPr="004D46AC">
        <w:t xml:space="preserve">the </w:t>
      </w:r>
      <w:r w:rsidRPr="004D46AC">
        <w:rPr>
          <w:rFonts w:hint="eastAsia"/>
        </w:rPr>
        <w:t xml:space="preserve">above </w:t>
      </w:r>
      <w:r w:rsidRPr="004D46AC">
        <w:t>discussed</w:t>
      </w:r>
      <w:r w:rsidRPr="004D46AC">
        <w:rPr>
          <w:rFonts w:hint="eastAsia"/>
        </w:rPr>
        <w:t xml:space="preserve"> populations</w:t>
      </w:r>
      <w:r w:rsidRPr="004D46AC">
        <w:t xml:space="preserve"> is challenging because the measure used, the TRACE, was specifically designed to assess multiple at-risk domains (e.g., affective–cognitive dysregulation, reality distortion, hypomania), rather than mapping directly onto the symptom dimensions used in the general-population (C19PRC) or patient samples. In TRACE, the strongest symptoms reflected attenuated psychotic features (e.g., suspiciousness) and affective–cognitive dysregulation (e.g., disconnected thoughts, feelings of emptiness). These appear to function as common psychological starting points within the at-risk phenotype, consistent with theories emphasising early disruptions in salience attribution and affective–cognitive control</w:t>
      </w:r>
      <w:r w:rsidRPr="004D46AC">
        <w:rPr>
          <w:rFonts w:hint="eastAsia"/>
        </w:rPr>
        <w:t xml:space="preserve"> </w:t>
      </w:r>
      <w:r w:rsidRPr="004D46AC">
        <w:rPr>
          <w:noProof/>
        </w:rPr>
        <w:t>(Fusar-Poli et al., 2013)</w:t>
      </w:r>
      <w:r w:rsidRPr="004D46AC">
        <w:t>.</w:t>
      </w:r>
      <w:r w:rsidRPr="004D46AC">
        <w:rPr>
          <w:rFonts w:hint="eastAsia"/>
          <w:b/>
          <w:bCs/>
        </w:rPr>
        <w:t xml:space="preserve"> </w:t>
      </w:r>
      <w:r w:rsidRPr="004D46AC">
        <w:t>However, this pattern differs from the hyperactivation, or inhibition profiles identified in the C19PRC data and in clinical patient networks. Such inconsistencies</w:t>
      </w:r>
      <w:r w:rsidRPr="004D46AC">
        <w:rPr>
          <w:rFonts w:hint="eastAsia"/>
        </w:rPr>
        <w:t xml:space="preserve"> are likely introduced by</w:t>
      </w:r>
      <w:r w:rsidRPr="004D46AC">
        <w:t xml:space="preserve"> differences in measurement</w:t>
      </w:r>
      <w:r w:rsidRPr="004D46AC">
        <w:rPr>
          <w:rFonts w:hint="eastAsia"/>
        </w:rPr>
        <w:t xml:space="preserve"> and </w:t>
      </w:r>
      <w:r w:rsidRPr="004D46AC">
        <w:t>conceptualisation</w:t>
      </w:r>
      <w:r w:rsidRPr="004D46AC">
        <w:rPr>
          <w:rFonts w:hint="eastAsia"/>
        </w:rPr>
        <w:t xml:space="preserve"> between at risk states and (sub)clinical symptoms of mood and psychosis</w:t>
      </w:r>
      <w:r w:rsidRPr="004D46AC">
        <w:t>.</w:t>
      </w:r>
    </w:p>
    <w:p w14:paraId="0A43075E" w14:textId="77777777" w:rsidR="007075D9" w:rsidRPr="004D46AC" w:rsidRDefault="007075D9" w:rsidP="00B518F1">
      <w:pPr>
        <w:pStyle w:val="4"/>
        <w:rPr>
          <w:rFonts w:eastAsiaTheme="minorEastAsia"/>
        </w:rPr>
      </w:pPr>
      <w:r w:rsidRPr="004D46AC">
        <w:t>E</w:t>
      </w:r>
      <w:r w:rsidRPr="004D46AC">
        <w:rPr>
          <w:rFonts w:hint="eastAsia"/>
        </w:rPr>
        <w:t xml:space="preserve">dge/ </w:t>
      </w:r>
      <w:r w:rsidRPr="004D46AC">
        <w:t>relationship</w:t>
      </w:r>
      <w:r w:rsidRPr="004D46AC">
        <w:rPr>
          <w:rFonts w:hint="eastAsia"/>
        </w:rPr>
        <w:t xml:space="preserve"> between symptoms</w:t>
      </w:r>
    </w:p>
    <w:p w14:paraId="487E4D5B" w14:textId="77777777" w:rsidR="007075D9" w:rsidRPr="004D46AC" w:rsidRDefault="007075D9" w:rsidP="00B518F1">
      <w:r w:rsidRPr="004D46AC">
        <w:t xml:space="preserve">Edge statistics in Chapter </w:t>
      </w:r>
      <w:r w:rsidRPr="004D46AC">
        <w:rPr>
          <w:rFonts w:hint="eastAsia"/>
        </w:rPr>
        <w:t>3</w:t>
      </w:r>
      <w:r w:rsidRPr="004D46AC">
        <w:t xml:space="preserve"> revealed that the edge with the highest strength was between blunted affect</w:t>
      </w:r>
      <w:r w:rsidRPr="004D46AC">
        <w:rPr>
          <w:rFonts w:hint="eastAsia"/>
        </w:rPr>
        <w:t xml:space="preserve"> and</w:t>
      </w:r>
      <w:r w:rsidRPr="004D46AC">
        <w:t xml:space="preserve"> poor rapport</w:t>
      </w:r>
      <w:r w:rsidRPr="004D46AC">
        <w:rPr>
          <w:rFonts w:hint="eastAsia"/>
        </w:rPr>
        <w:t xml:space="preserve">/ </w:t>
      </w:r>
      <w:r w:rsidRPr="004D46AC">
        <w:t xml:space="preserve">rigid conversation. This finding is consistent across different patient groups, suggesting that reduced emotional experience and expression, as well as concurrent social coldness, are generalisable to all psychotic patients. In Chapter 4, however, the edges with the highest strength were not consistent across two time points: an impulsivity-featured edge (spending money carelessly and involvement in risky behaviours) was strongest at Wave 5, whereas a cognitive dysregulation-featured edge (racing thoughts and being easily distracted) was strongest at Wave 9. This variance can be attributed to the different time frames used at the two points (lifetime at Wave 5 and past month at Wave 9); thus, hypomania-induced cognitive dysregulation is more likely the normative connection in common populations than impulsivity. Similarly, in the at-risk network (Chapter </w:t>
      </w:r>
      <w:r w:rsidRPr="004D46AC">
        <w:rPr>
          <w:rFonts w:hint="eastAsia"/>
        </w:rPr>
        <w:t>5</w:t>
      </w:r>
      <w:r w:rsidRPr="004D46AC">
        <w:t xml:space="preserve">), the edge with the highest strength was between grandiosity and ideas of reference, which belongs to the hypomania cluster. This difference between patients and the healthy population might </w:t>
      </w:r>
      <w:r w:rsidRPr="004D46AC">
        <w:lastRenderedPageBreak/>
        <w:t>reflect variance in symptom dynamics between these populations, which warrants further investigation.</w:t>
      </w:r>
    </w:p>
    <w:p w14:paraId="306A7C58" w14:textId="77777777" w:rsidR="007075D9" w:rsidRPr="004D46AC" w:rsidRDefault="007075D9" w:rsidP="00B518F1">
      <w:r w:rsidRPr="004D46AC">
        <w:t xml:space="preserve">Although the number of connections between mood and psychotic symptoms appear to be denser between manic and positive symptoms, there were variations among the top ranked edges between these symptoms in networks of healthy and patient populations that may implicate different mechanisms in symptoms. In patient networks, the connections between mood and positive symptoms were dominated by manic symptoms, the top three being mood or energy elevation, pressured speech, and thought disorder, which all connected to excitement. The first connection emerged between depression and positive symptoms was a loose connection (concentration difficulties and hallucinations, edge weight &lt; 0.05) whereas the strongest connections between depression and psychotic symptoms were found </w:t>
      </w:r>
      <w:r w:rsidRPr="004D46AC">
        <w:rPr>
          <w:rFonts w:hint="eastAsia"/>
        </w:rPr>
        <w:t>between</w:t>
      </w:r>
      <w:r w:rsidRPr="004D46AC">
        <w:t xml:space="preserve"> depression</w:t>
      </w:r>
      <w:r w:rsidRPr="004D46AC">
        <w:rPr>
          <w:rFonts w:hint="eastAsia"/>
        </w:rPr>
        <w:t xml:space="preserve"> and negative symptoms</w:t>
      </w:r>
      <w:r w:rsidRPr="004D46AC">
        <w:t xml:space="preserve"> (e.g., inability to feel and withdrawal</w:t>
      </w:r>
      <w:r w:rsidRPr="004D46AC">
        <w:rPr>
          <w:rFonts w:hint="eastAsia"/>
        </w:rPr>
        <w:t>, edge weights = 0.23</w:t>
      </w:r>
      <w:r w:rsidRPr="004D46AC">
        <w:t>).</w:t>
      </w:r>
      <w:r w:rsidRPr="004D46AC">
        <w:rPr>
          <w:rFonts w:hint="eastAsia"/>
        </w:rPr>
        <w:t xml:space="preserve"> </w:t>
      </w:r>
      <w:r w:rsidRPr="004D46AC">
        <w:t xml:space="preserve">Although the study in Chapter </w:t>
      </w:r>
      <w:r w:rsidRPr="004D46AC">
        <w:rPr>
          <w:rFonts w:hint="eastAsia"/>
        </w:rPr>
        <w:t>4</w:t>
      </w:r>
      <w:r w:rsidRPr="004D46AC">
        <w:t xml:space="preserve"> was conducted in a healthy population and used different measures, there were consistencies in the connection between mood and psychosis, in which the pattern between mania and positive symptoms was retained. Interestingly, denser connections were found among at-risk symptoms, particularly between hypomania and reality distortion (attenuated psychosis). However, more robust comparisons </w:t>
      </w:r>
      <w:r w:rsidRPr="004D46AC">
        <w:rPr>
          <w:rFonts w:hint="eastAsia"/>
        </w:rPr>
        <w:t xml:space="preserve">on the absolute edge weights </w:t>
      </w:r>
      <w:r w:rsidRPr="004D46AC">
        <w:t xml:space="preserve">of different </w:t>
      </w:r>
      <w:r w:rsidRPr="004D46AC">
        <w:rPr>
          <w:rFonts w:hint="eastAsia"/>
        </w:rPr>
        <w:t>cluster</w:t>
      </w:r>
      <w:r w:rsidRPr="004D46AC">
        <w:t xml:space="preserve"> pairs (e.g., the affective-cognitive dysregulation and reality distortion pair versus the hypomania and reality distortion pair) did not yield significant findings. Nevertheless, taking the findings from the network and regression models (Chapter </w:t>
      </w:r>
      <w:r w:rsidRPr="004D46AC">
        <w:rPr>
          <w:rFonts w:hint="eastAsia"/>
        </w:rPr>
        <w:t>4</w:t>
      </w:r>
      <w:r w:rsidRPr="004D46AC">
        <w:t>) together, the coupling between mania and psychosis</w:t>
      </w:r>
      <w:r w:rsidRPr="004D46AC">
        <w:rPr>
          <w:rFonts w:hint="eastAsia"/>
        </w:rPr>
        <w:t xml:space="preserve">, </w:t>
      </w:r>
      <w:r w:rsidRPr="004D46AC">
        <w:t>either in terms of valid connections or predictive effects</w:t>
      </w:r>
      <w:r w:rsidRPr="004D46AC">
        <w:rPr>
          <w:rFonts w:hint="eastAsia"/>
        </w:rPr>
        <w:t xml:space="preserve">, </w:t>
      </w:r>
      <w:r w:rsidRPr="004D46AC">
        <w:t>appears to be consistent across populations. These findings provide strong support for a transdiagnostic approach to psychiatry over the traditional categorical taxonomy.</w:t>
      </w:r>
    </w:p>
    <w:p w14:paraId="0030FF1C" w14:textId="77777777" w:rsidR="007075D9" w:rsidRPr="004D46AC" w:rsidRDefault="007075D9" w:rsidP="00B518F1">
      <w:r w:rsidRPr="004D46AC">
        <w:t xml:space="preserve">Although Chapters </w:t>
      </w:r>
      <w:r w:rsidRPr="004D46AC">
        <w:rPr>
          <w:rFonts w:hint="eastAsia"/>
        </w:rPr>
        <w:t>3</w:t>
      </w:r>
      <w:r w:rsidRPr="004D46AC">
        <w:t xml:space="preserve"> and </w:t>
      </w:r>
      <w:r w:rsidRPr="004D46AC">
        <w:rPr>
          <w:rFonts w:hint="eastAsia"/>
        </w:rPr>
        <w:t xml:space="preserve">4 </w:t>
      </w:r>
      <w:r w:rsidRPr="004D46AC">
        <w:t>utili</w:t>
      </w:r>
      <w:r w:rsidRPr="004D46AC">
        <w:rPr>
          <w:rFonts w:hint="eastAsia"/>
        </w:rPr>
        <w:t>s</w:t>
      </w:r>
      <w:r w:rsidRPr="004D46AC">
        <w:t>ed similar symptom measures (assessing depression, mania, and psychosis or psychotic-like experiences), Chapter 5 employed distinct dimensional constructs (affective-cognitive dysregulation, hypomania, and reality distortion). Despite the</w:t>
      </w:r>
      <w:r w:rsidRPr="004D46AC">
        <w:rPr>
          <w:rFonts w:hint="eastAsia"/>
        </w:rPr>
        <w:t xml:space="preserve"> </w:t>
      </w:r>
      <w:r w:rsidRPr="004D46AC">
        <w:t xml:space="preserve">variations in assessment tools, there are consistencies between </w:t>
      </w:r>
      <w:r w:rsidRPr="004D46AC">
        <w:lastRenderedPageBreak/>
        <w:t xml:space="preserve">Chapters </w:t>
      </w:r>
      <w:r w:rsidRPr="004D46AC">
        <w:rPr>
          <w:rFonts w:hint="eastAsia"/>
        </w:rPr>
        <w:t>4</w:t>
      </w:r>
      <w:r w:rsidRPr="004D46AC">
        <w:t xml:space="preserve"> and </w:t>
      </w:r>
      <w:r w:rsidRPr="004D46AC">
        <w:rPr>
          <w:rFonts w:hint="eastAsia"/>
        </w:rPr>
        <w:t>5</w:t>
      </w:r>
      <w:r w:rsidRPr="004D46AC">
        <w:t xml:space="preserve">, as well as between Chapters </w:t>
      </w:r>
      <w:r w:rsidRPr="004D46AC">
        <w:rPr>
          <w:rFonts w:hint="eastAsia"/>
        </w:rPr>
        <w:t>3</w:t>
      </w:r>
      <w:r w:rsidRPr="004D46AC">
        <w:t xml:space="preserve"> and </w:t>
      </w:r>
      <w:r w:rsidRPr="004D46AC">
        <w:rPr>
          <w:rFonts w:hint="eastAsia"/>
        </w:rPr>
        <w:t>5</w:t>
      </w:r>
      <w:r w:rsidRPr="004D46AC">
        <w:t xml:space="preserve">, at the micro-level (symptom-to-symptom interactions). The populations in Chapters </w:t>
      </w:r>
      <w:r w:rsidRPr="004D46AC">
        <w:rPr>
          <w:rFonts w:hint="eastAsia"/>
        </w:rPr>
        <w:t>4</w:t>
      </w:r>
      <w:r w:rsidRPr="004D46AC">
        <w:t xml:space="preserve"> and </w:t>
      </w:r>
      <w:r w:rsidRPr="004D46AC">
        <w:rPr>
          <w:rFonts w:hint="eastAsia"/>
        </w:rPr>
        <w:t>5</w:t>
      </w:r>
      <w:r w:rsidRPr="004D46AC">
        <w:t xml:space="preserve"> were fundamentally similar (mostly healthy individuals), except that the participants in Chapter 5 were significantly younger. However, all three networks (including the two from Chapter 4 estimated at different time points) featured a strongest edge connecting symptoms within the (hypo)mania cluster: specifically, subclinical mania-induced reckless behaviours and cognitive dysfunction in the Chapter 4 networks, and delusional thinking (grandiosity and ideas of reference) in the Chapter 5 network. These findings, along with the node strength discussed in the previous section, suggest that symptom patterns </w:t>
      </w:r>
      <w:r w:rsidRPr="004D46AC">
        <w:rPr>
          <w:rFonts w:hint="eastAsia"/>
        </w:rPr>
        <w:t xml:space="preserve">may </w:t>
      </w:r>
      <w:r w:rsidRPr="004D46AC">
        <w:t>differ between healthy participants and stable patients in terms of local network statistics.</w:t>
      </w:r>
    </w:p>
    <w:p w14:paraId="72B77F0E" w14:textId="77777777" w:rsidR="007075D9" w:rsidRPr="004D46AC" w:rsidRDefault="007075D9" w:rsidP="00B518F1">
      <w:r w:rsidRPr="004D46AC">
        <w:t xml:space="preserve">Conversely, between Chapter </w:t>
      </w:r>
      <w:r w:rsidRPr="004D46AC">
        <w:rPr>
          <w:rFonts w:hint="eastAsia"/>
        </w:rPr>
        <w:t>3</w:t>
      </w:r>
      <w:r w:rsidRPr="004D46AC">
        <w:t xml:space="preserve"> and 5, there were significant differences in the study populations (clinical versus non-clinical) and assessments (structured clinical interview</w:t>
      </w:r>
      <w:r w:rsidRPr="004D46AC">
        <w:rPr>
          <w:rFonts w:hint="eastAsia"/>
        </w:rPr>
        <w:t xml:space="preserve"> on clinical symptoms</w:t>
      </w:r>
      <w:r w:rsidRPr="004D46AC">
        <w:t xml:space="preserve"> versus self-reported risk</w:t>
      </w:r>
      <w:r w:rsidRPr="004D46AC">
        <w:rPr>
          <w:rFonts w:hint="eastAsia"/>
        </w:rPr>
        <w:t xml:space="preserve"> states</w:t>
      </w:r>
      <w:r w:rsidRPr="004D46AC">
        <w:t>). Nevertheless, there were similarities between the two networks. For example, a similar dominating edge between reduced emotional salience and social coldness observed in the patient sample was identified in individuals assessed by at-risk measures, where emotional numbness was connected to poverty of speech. This finding implies that symptom-symptom interactions are robust across different populations but may vary in connection strength or symptom severity, in line with both network and dimensional models.</w:t>
      </w:r>
    </w:p>
    <w:p w14:paraId="04922A89" w14:textId="77777777" w:rsidR="007075D9" w:rsidRPr="004D46AC" w:rsidRDefault="007075D9" w:rsidP="00B518F1">
      <w:pPr>
        <w:pStyle w:val="4"/>
      </w:pPr>
      <w:r w:rsidRPr="004D46AC">
        <w:t xml:space="preserve">Network communities/ Item placement </w:t>
      </w:r>
    </w:p>
    <w:p w14:paraId="76768197" w14:textId="77777777" w:rsidR="007075D9" w:rsidRPr="004D46AC" w:rsidRDefault="007075D9" w:rsidP="00B518F1">
      <w:r w:rsidRPr="004D46AC">
        <w:t>T</w:t>
      </w:r>
      <w:r w:rsidRPr="004D46AC">
        <w:rPr>
          <w:rFonts w:hint="eastAsia"/>
        </w:rPr>
        <w:t xml:space="preserve">he macro </w:t>
      </w:r>
      <w:r w:rsidRPr="004D46AC">
        <w:t>profile</w:t>
      </w:r>
      <w:r w:rsidRPr="004D46AC">
        <w:rPr>
          <w:rFonts w:hint="eastAsia"/>
        </w:rPr>
        <w:t xml:space="preserve"> of the network of mood and psychosis appears to be stable across patients and healthy individuals at different time points. </w:t>
      </w:r>
      <w:r w:rsidRPr="004D46AC">
        <w:t>T</w:t>
      </w:r>
      <w:r w:rsidRPr="004D46AC">
        <w:rPr>
          <w:rFonts w:hint="eastAsia"/>
        </w:rPr>
        <w:t xml:space="preserve">here were several common facts that remained valid across different datasets. </w:t>
      </w:r>
      <w:r w:rsidRPr="004D46AC">
        <w:t>T</w:t>
      </w:r>
      <w:r w:rsidRPr="004D46AC">
        <w:rPr>
          <w:rFonts w:hint="eastAsia"/>
        </w:rPr>
        <w:t>o begin with</w:t>
      </w:r>
      <w:r w:rsidRPr="004D46AC">
        <w:t>, the depression community was the most stable among patients as well as healthy individuals, with most nodes achieving very high item stability (&gt; 85%) within this community; this indicates that most depressive symptoms are structurally stable and share mutual relationships with their surrounding symptoms. This finding is partially consistent with existing findings in which depression or depressive traits form a stable community</w:t>
      </w:r>
      <w:r w:rsidRPr="004D46AC">
        <w:rPr>
          <w:rFonts w:hint="eastAsia"/>
        </w:rPr>
        <w:t xml:space="preserve"> </w:t>
      </w:r>
      <w:r w:rsidRPr="004D46AC">
        <w:rPr>
          <w:noProof/>
        </w:rPr>
        <w:t xml:space="preserve">(Belvederi Murri et al., 2020; Ribeiro Santiago et </w:t>
      </w:r>
      <w:r w:rsidRPr="004D46AC">
        <w:rPr>
          <w:noProof/>
        </w:rPr>
        <w:lastRenderedPageBreak/>
        <w:t>al., 2022)</w:t>
      </w:r>
      <w:r w:rsidRPr="004D46AC">
        <w:rPr>
          <w:rFonts w:hint="eastAsia"/>
        </w:rPr>
        <w:t xml:space="preserve">. </w:t>
      </w:r>
      <w:r w:rsidRPr="004D46AC">
        <w:t>Contrary findings are only observed in studies exploring highly comorbid conditions, such as depression and anxiety</w:t>
      </w:r>
      <w:r w:rsidRPr="004D46AC">
        <w:rPr>
          <w:rFonts w:hint="eastAsia"/>
        </w:rPr>
        <w:t xml:space="preserve"> </w:t>
      </w:r>
      <w:r w:rsidRPr="004D46AC">
        <w:rPr>
          <w:noProof/>
        </w:rPr>
        <w:t>(Huang et al., 2025)</w:t>
      </w:r>
      <w:r w:rsidRPr="004D46AC">
        <w:t>, or in studies with limited sample sizes that may lack sufficient power to identify stable symptom clustering</w:t>
      </w:r>
      <w:r w:rsidRPr="004D46AC">
        <w:rPr>
          <w:rFonts w:hint="eastAsia"/>
        </w:rPr>
        <w:t xml:space="preserve"> </w:t>
      </w:r>
      <w:r w:rsidRPr="004D46AC">
        <w:rPr>
          <w:noProof/>
        </w:rPr>
        <w:t>(Peralta et al., 2020)</w:t>
      </w:r>
      <w:r w:rsidRPr="004D46AC">
        <w:rPr>
          <w:rFonts w:hint="eastAsia"/>
        </w:rPr>
        <w:t xml:space="preserve">. </w:t>
      </w:r>
      <w:r w:rsidRPr="004D46AC">
        <w:t>However, this does not contradict our findings, as a network model is an interactive system composed of symptoms; the structure can be altered by the inclusion of different symptom sets, particularly those of highly comorbid conditions, which are expected to cluster together due to their similarities and high likelihood of co-occurrenc</w:t>
      </w:r>
      <w:r w:rsidRPr="004D46AC">
        <w:rPr>
          <w:rFonts w:hint="eastAsia"/>
        </w:rPr>
        <w:t xml:space="preserve">e. </w:t>
      </w:r>
      <w:r w:rsidRPr="004D46AC">
        <w:t>Though psychometrically stable as a unique community, this finding does not support the view that depression is</w:t>
      </w:r>
      <w:r w:rsidRPr="004D46AC">
        <w:rPr>
          <w:rFonts w:hint="eastAsia"/>
        </w:rPr>
        <w:t xml:space="preserve"> fully</w:t>
      </w:r>
      <w:r w:rsidRPr="004D46AC">
        <w:t xml:space="preserve"> independent of mania and psychosis</w:t>
      </w:r>
      <w:r w:rsidRPr="004D46AC">
        <w:rPr>
          <w:rFonts w:hint="eastAsia"/>
        </w:rPr>
        <w:t xml:space="preserve"> since they are connected in network local statistics</w:t>
      </w:r>
      <w:r w:rsidRPr="004D46AC">
        <w:t xml:space="preserve">, which is in line with </w:t>
      </w:r>
      <w:r w:rsidRPr="004D46AC">
        <w:rPr>
          <w:rFonts w:hint="eastAsia"/>
        </w:rPr>
        <w:t xml:space="preserve">existing </w:t>
      </w:r>
      <w:r w:rsidRPr="004D46AC">
        <w:t>network</w:t>
      </w:r>
      <w:r w:rsidRPr="004D46AC">
        <w:rPr>
          <w:rFonts w:hint="eastAsia"/>
        </w:rPr>
        <w:t xml:space="preserve"> models </w:t>
      </w:r>
      <w:r w:rsidRPr="004D46AC">
        <w:rPr>
          <w:noProof/>
        </w:rPr>
        <w:t>(Granö et al., 2023; Zavlis et al., 2023)</w:t>
      </w:r>
      <w:r w:rsidRPr="004D46AC">
        <w:t xml:space="preserve">. These findings suggest that classic depression symptoms, without external interference, are more likely to function as a self-sustaining system - consistent with a prior study on the network dynamics of depression </w:t>
      </w:r>
      <w:r w:rsidRPr="004D46AC">
        <w:rPr>
          <w:noProof/>
        </w:rPr>
        <w:t>(Cramer et al., 2016)</w:t>
      </w:r>
      <w:r w:rsidRPr="004D46AC">
        <w:rPr>
          <w:rFonts w:hint="eastAsia"/>
        </w:rPr>
        <w:t xml:space="preserve">. </w:t>
      </w:r>
    </w:p>
    <w:p w14:paraId="3B56640F" w14:textId="77777777" w:rsidR="007075D9" w:rsidRPr="004D46AC" w:rsidRDefault="007075D9" w:rsidP="00B518F1">
      <w:r w:rsidRPr="004D46AC">
        <w:t xml:space="preserve">Manic and positive symptoms tend to ‘cross-load’, with some items exhibiting low item stability within their conceptual communities, especially across different patient groups. As a result, these communities are highly unstable. For example, in Chapter 4, manic symptoms such as irritability, racing thoughts, and distractibility were placed within the mania cluster at Wave 9 but clustered together with PLEs at Wave 5. Similar findings were observed in Chapter </w:t>
      </w:r>
      <w:r w:rsidRPr="004D46AC">
        <w:rPr>
          <w:rFonts w:hint="eastAsia"/>
        </w:rPr>
        <w:t>3</w:t>
      </w:r>
      <w:r w:rsidRPr="004D46AC">
        <w:t xml:space="preserve"> across patients with SMIs. This finding is in line with the denser connection and longitudinal interplay between mania and psychosis observed in the regression models in Chapters </w:t>
      </w:r>
      <w:r w:rsidRPr="004D46AC">
        <w:rPr>
          <w:rFonts w:hint="eastAsia"/>
        </w:rPr>
        <w:t>3</w:t>
      </w:r>
      <w:r w:rsidRPr="004D46AC">
        <w:t xml:space="preserve"> and </w:t>
      </w:r>
      <w:r w:rsidRPr="004D46AC">
        <w:rPr>
          <w:rFonts w:hint="eastAsia"/>
        </w:rPr>
        <w:t>4</w:t>
      </w:r>
      <w:r w:rsidRPr="004D46AC">
        <w:t>.</w:t>
      </w:r>
      <w:r w:rsidRPr="004D46AC">
        <w:rPr>
          <w:rFonts w:hint="eastAsia"/>
        </w:rPr>
        <w:t xml:space="preserve"> </w:t>
      </w:r>
      <w:r w:rsidRPr="004D46AC">
        <w:t>There are several explanations for this concurrence. First, the two syndromes m</w:t>
      </w:r>
      <w:r w:rsidRPr="004D46AC">
        <w:rPr>
          <w:rFonts w:hint="eastAsia"/>
        </w:rPr>
        <w:t>ight be induced by similar external situations</w:t>
      </w:r>
      <w:r w:rsidRPr="004D46AC">
        <w:t>. This is supported by the findings from Chapter 4 identifying childhood adversity as a common predictor for all psychopathologies both cross-sectionally and longitudinally, as well as by a recent systematic review highlighting childhood trauma as a universal risk factor for SMIs</w:t>
      </w:r>
      <w:r w:rsidRPr="004D46AC">
        <w:rPr>
          <w:rFonts w:hint="eastAsia"/>
        </w:rPr>
        <w:t xml:space="preserve"> </w:t>
      </w:r>
      <w:r w:rsidRPr="004D46AC">
        <w:rPr>
          <w:noProof/>
        </w:rPr>
        <w:t>(Hogg et al., 2023)</w:t>
      </w:r>
      <w:r w:rsidRPr="004D46AC">
        <w:rPr>
          <w:rFonts w:hint="eastAsia"/>
          <w:noProof/>
        </w:rPr>
        <w:t xml:space="preserve">. </w:t>
      </w:r>
      <w:r w:rsidRPr="004D46AC">
        <w:t xml:space="preserve">Another possible reason is that the manifestations of mania and psychosis are caused by a similar latent entity; this aligns with the dimensional framework of the ‘p’ factor and bifactor models, in which a common factor explains much of the variance across </w:t>
      </w:r>
      <w:r w:rsidRPr="004D46AC">
        <w:lastRenderedPageBreak/>
        <w:t>different factors, consistent with the psychometric findings in Chapter 5 and existing findings on psychosis</w:t>
      </w:r>
      <w:r w:rsidRPr="004D46AC">
        <w:rPr>
          <w:rFonts w:hint="eastAsia"/>
        </w:rPr>
        <w:t xml:space="preserve"> </w:t>
      </w:r>
      <w:r w:rsidRPr="004D46AC">
        <w:rPr>
          <w:noProof/>
        </w:rPr>
        <w:t>(Reininghaus et al., 2019)</w:t>
      </w:r>
      <w:r w:rsidRPr="004D46AC">
        <w:rPr>
          <w:rFonts w:hint="eastAsia"/>
        </w:rPr>
        <w:t xml:space="preserve">. </w:t>
      </w:r>
      <w:r w:rsidRPr="004D46AC">
        <w:t xml:space="preserve">Finally, this psychopathological overlap may also arise from shared psychological mechanisms. For example, impaired Theory of Mind is implicated in </w:t>
      </w:r>
      <w:r w:rsidRPr="004D46AC">
        <w:rPr>
          <w:rFonts w:hint="eastAsia"/>
        </w:rPr>
        <w:t xml:space="preserve">both </w:t>
      </w:r>
      <w:r w:rsidRPr="004D46AC">
        <w:t>BSD and schizophrenia</w:t>
      </w:r>
      <w:r w:rsidRPr="004D46AC">
        <w:rPr>
          <w:rFonts w:hint="eastAsia"/>
        </w:rPr>
        <w:t xml:space="preserve"> patients </w:t>
      </w:r>
      <w:r w:rsidRPr="004D46AC">
        <w:rPr>
          <w:noProof/>
        </w:rPr>
        <w:t>(Bora et al., 2009)</w:t>
      </w:r>
      <w:r w:rsidRPr="004D46AC">
        <w:t xml:space="preserve">, which may contribute to the observed psychopathological overlap in </w:t>
      </w:r>
      <w:r w:rsidRPr="004D46AC">
        <w:rPr>
          <w:rFonts w:hint="eastAsia"/>
        </w:rPr>
        <w:t xml:space="preserve">these populations </w:t>
      </w:r>
      <w:r w:rsidRPr="004D46AC">
        <w:rPr>
          <w:noProof/>
        </w:rPr>
        <w:t>(Bora et al., 2016; Park, 2018; Wang et al., 2018)</w:t>
      </w:r>
      <w:r w:rsidRPr="004D46AC">
        <w:t>.</w:t>
      </w:r>
    </w:p>
    <w:p w14:paraId="7C4963FE" w14:textId="77777777" w:rsidR="007075D9" w:rsidRPr="004D46AC" w:rsidRDefault="007075D9" w:rsidP="00B518F1">
      <w:pPr>
        <w:pStyle w:val="3"/>
      </w:pPr>
      <w:r w:rsidRPr="004D46AC">
        <w:rPr>
          <w:rFonts w:hint="eastAsia"/>
        </w:rPr>
        <w:t>Implications</w:t>
      </w:r>
    </w:p>
    <w:p w14:paraId="268E1198" w14:textId="77777777" w:rsidR="007075D9" w:rsidRPr="004D46AC" w:rsidRDefault="007075D9" w:rsidP="00B518F1">
      <w:r w:rsidRPr="004D46AC">
        <w:t xml:space="preserve">The findings from the current thesis </w:t>
      </w:r>
      <w:r w:rsidRPr="004D46AC">
        <w:rPr>
          <w:rFonts w:hint="eastAsia"/>
        </w:rPr>
        <w:t xml:space="preserve">may make people </w:t>
      </w:r>
      <w:r w:rsidRPr="004D46AC">
        <w:t>pondering what constitutes a mental disorder. T</w:t>
      </w:r>
      <w:r w:rsidRPr="004D46AC">
        <w:rPr>
          <w:rFonts w:hint="eastAsia"/>
        </w:rPr>
        <w:t>raditionally</w:t>
      </w:r>
      <w:r w:rsidRPr="004D46AC">
        <w:t>, mental conditions have been conceptuali</w:t>
      </w:r>
      <w:r w:rsidRPr="004D46AC">
        <w:rPr>
          <w:rFonts w:hint="eastAsia"/>
        </w:rPr>
        <w:t>s</w:t>
      </w:r>
      <w:r w:rsidRPr="004D46AC">
        <w:t>ed according to the common cause (or latent factor) model, in which a latent disease entity causes observable symptoms. This view aligns with the human predisposition for categori</w:t>
      </w:r>
      <w:r w:rsidRPr="004D46AC">
        <w:rPr>
          <w:rFonts w:hint="eastAsia"/>
        </w:rPr>
        <w:t>s</w:t>
      </w:r>
      <w:r w:rsidRPr="004D46AC">
        <w:t>ation</w:t>
      </w:r>
      <w:r w:rsidRPr="004D46AC">
        <w:rPr>
          <w:rFonts w:hint="eastAsia"/>
        </w:rPr>
        <w:t xml:space="preserve"> (e.g., cognitive economy)</w:t>
      </w:r>
      <w:r w:rsidRPr="004D46AC">
        <w:t xml:space="preserve"> and the Kraepelinian tradition</w:t>
      </w:r>
      <w:r w:rsidRPr="004D46AC">
        <w:rPr>
          <w:rFonts w:hint="eastAsia"/>
        </w:rPr>
        <w:t xml:space="preserve"> </w:t>
      </w:r>
      <w:r w:rsidRPr="004D46AC">
        <w:rPr>
          <w:noProof/>
        </w:rPr>
        <w:t>(Kraepelin, 1899; Rosch &amp; Lloyd, 1975)</w:t>
      </w:r>
      <w:r w:rsidRPr="004D46AC">
        <w:rPr>
          <w:rFonts w:hint="eastAsia"/>
        </w:rPr>
        <w:t>, which</w:t>
      </w:r>
      <w:r w:rsidRPr="004D46AC">
        <w:t xml:space="preserve"> has inspired the long-standing search for discrete physical causes of mental illness (e.g., brain diseases). However, accumulating evidence suggests this is unlikely, as the latent entity is a statistical construct, and a clear biological locus for mental disorders remains elusive, with attempts to identify such loci having thus far been of limited success</w:t>
      </w:r>
      <w:r w:rsidRPr="004D46AC">
        <w:rPr>
          <w:rFonts w:hint="eastAsia"/>
        </w:rPr>
        <w:t xml:space="preserve"> </w:t>
      </w:r>
      <w:r w:rsidRPr="004D46AC">
        <w:rPr>
          <w:noProof/>
        </w:rPr>
        <w:t>(Andreassen et al., 2023)</w:t>
      </w:r>
      <w:r w:rsidRPr="004D46AC">
        <w:t>.</w:t>
      </w:r>
      <w:r w:rsidRPr="004D46AC">
        <w:rPr>
          <w:rFonts w:hint="eastAsia"/>
        </w:rPr>
        <w:t xml:space="preserve"> </w:t>
      </w:r>
    </w:p>
    <w:p w14:paraId="3345B3AF" w14:textId="77777777" w:rsidR="007075D9" w:rsidRPr="004D46AC" w:rsidRDefault="007075D9" w:rsidP="00B518F1">
      <w:r w:rsidRPr="004D46AC">
        <w:t xml:space="preserve">Alternatively, the network model assumes that a disorder arises directly from </w:t>
      </w:r>
      <w:proofErr w:type="gramStart"/>
      <w:r w:rsidRPr="004D46AC">
        <w:t>the  causal</w:t>
      </w:r>
      <w:proofErr w:type="gramEnd"/>
      <w:r w:rsidRPr="004D46AC">
        <w:t xml:space="preserve"> interactions among its symptoms</w:t>
      </w:r>
      <w:r w:rsidRPr="004D46AC">
        <w:rPr>
          <w:rFonts w:hint="eastAsia"/>
        </w:rPr>
        <w:t xml:space="preserve"> </w:t>
      </w:r>
      <w:r w:rsidRPr="004D46AC">
        <w:rPr>
          <w:noProof/>
        </w:rPr>
        <w:t>(Borsboom &amp; Cramer, 2013)</w:t>
      </w:r>
      <w:r w:rsidRPr="004D46AC">
        <w:t>.</w:t>
      </w:r>
      <w:r w:rsidRPr="004D46AC">
        <w:rPr>
          <w:rFonts w:hint="eastAsia"/>
        </w:rPr>
        <w:t xml:space="preserve"> </w:t>
      </w:r>
      <w:r w:rsidRPr="004D46AC">
        <w:t>From this perspective, a mental disorder is defined as a stable pattern of relationships between observable behavioural and mental anomalies. This view is partially supported by the findings of this thesis: the symptom patterns observed were generally similar in symptom interrelationship but differ in the symptom centralities between clinical and non-clinical populations. Less direct evidence can be found in the network structure and connectivity between patients with SMIs in Chapter</w:t>
      </w:r>
      <w:r w:rsidRPr="004D46AC">
        <w:rPr>
          <w:rFonts w:hint="eastAsia"/>
        </w:rPr>
        <w:t xml:space="preserve"> 3</w:t>
      </w:r>
      <w:r w:rsidRPr="004D46AC">
        <w:t>, and in network studies of treatment efficacy in patients with anxiety and eating disorders</w:t>
      </w:r>
      <w:r w:rsidRPr="004D46AC">
        <w:rPr>
          <w:rFonts w:hint="eastAsia"/>
        </w:rPr>
        <w:t xml:space="preserve"> </w:t>
      </w:r>
      <w:r w:rsidRPr="004D46AC">
        <w:rPr>
          <w:noProof/>
        </w:rPr>
        <w:t>(Ding et al., 2024; Smith et al., 2019)</w:t>
      </w:r>
      <w:r w:rsidRPr="004D46AC">
        <w:t>, in which the network statistics were broadly similar.</w:t>
      </w:r>
      <w:r w:rsidRPr="004D46AC">
        <w:rPr>
          <w:rFonts w:hint="eastAsia"/>
        </w:rPr>
        <w:t xml:space="preserve"> </w:t>
      </w:r>
      <w:r w:rsidRPr="004D46AC">
        <w:t xml:space="preserve">The dimensional model of psychiatry suggests that individuals exhibit quantitatively different degrees of symptom severity depending on their clinical status </w:t>
      </w:r>
      <w:r w:rsidRPr="004D46AC">
        <w:lastRenderedPageBreak/>
        <w:t>(healthy or ill). However, network theory and findings from this thesis suggest a complementary perspective: The centrality pattern of the symptom network might differ between healthy individuals and people with SMIs, as illustrated in the hypothetical networks in Figure 6.1.</w:t>
      </w:r>
    </w:p>
    <w:p w14:paraId="140B14A6" w14:textId="77777777" w:rsidR="007075D9" w:rsidRPr="004D46AC" w:rsidRDefault="007075D9" w:rsidP="00B518F1"/>
    <w:p w14:paraId="0823D024" w14:textId="77777777" w:rsidR="007075D9" w:rsidRPr="004D46AC" w:rsidRDefault="007075D9" w:rsidP="00B518F1">
      <w:pPr>
        <w:ind w:firstLine="0"/>
      </w:pPr>
      <w:r w:rsidRPr="004D46AC">
        <w:rPr>
          <w:noProof/>
        </w:rPr>
        <w:drawing>
          <wp:inline distT="0" distB="0" distL="0" distR="0" wp14:anchorId="37752AD9" wp14:editId="24F99549">
            <wp:extent cx="5731510" cy="5374640"/>
            <wp:effectExtent l="0" t="0" r="2540" b="0"/>
            <wp:docPr id="778423490"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23490" name="图片 1" descr="图示&#10;&#10;AI 生成的内容可能不正确。"/>
                    <pic:cNvPicPr/>
                  </pic:nvPicPr>
                  <pic:blipFill>
                    <a:blip r:embed="rId381"/>
                    <a:stretch>
                      <a:fillRect/>
                    </a:stretch>
                  </pic:blipFill>
                  <pic:spPr>
                    <a:xfrm>
                      <a:off x="0" y="0"/>
                      <a:ext cx="5731510" cy="5374640"/>
                    </a:xfrm>
                    <a:prstGeom prst="rect">
                      <a:avLst/>
                    </a:prstGeom>
                  </pic:spPr>
                </pic:pic>
              </a:graphicData>
            </a:graphic>
          </wp:inline>
        </w:drawing>
      </w:r>
    </w:p>
    <w:p w14:paraId="7F9EDD18" w14:textId="4BC23E79" w:rsidR="00052B86" w:rsidRPr="004D46AC" w:rsidRDefault="00052B86" w:rsidP="00052B86">
      <w:pPr>
        <w:pStyle w:val="afff0"/>
        <w:keepNext/>
        <w:spacing w:line="360" w:lineRule="auto"/>
        <w:ind w:firstLine="0"/>
        <w:rPr>
          <w:b/>
          <w:bCs/>
          <w:i w:val="0"/>
          <w:iCs w:val="0"/>
          <w:color w:val="auto"/>
          <w:sz w:val="22"/>
          <w:szCs w:val="22"/>
        </w:rPr>
      </w:pPr>
      <w:bookmarkStart w:id="287" w:name="_Toc219883939"/>
      <w:bookmarkStart w:id="288" w:name="_Toc219884871"/>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6</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1</w:t>
      </w:r>
      <w:bookmarkEnd w:id="287"/>
      <w:bookmarkEnd w:id="288"/>
      <w:r w:rsidR="004725A0" w:rsidRPr="004D46AC">
        <w:rPr>
          <w:b/>
          <w:bCs/>
          <w:i w:val="0"/>
          <w:iCs w:val="0"/>
          <w:color w:val="auto"/>
          <w:sz w:val="22"/>
          <w:szCs w:val="22"/>
        </w:rPr>
        <w:fldChar w:fldCharType="end"/>
      </w:r>
    </w:p>
    <w:p w14:paraId="2671700F" w14:textId="77777777" w:rsidR="007075D9" w:rsidRPr="004D46AC" w:rsidRDefault="007075D9" w:rsidP="00052B86">
      <w:pPr>
        <w:spacing w:line="360" w:lineRule="auto"/>
        <w:ind w:firstLine="0"/>
      </w:pPr>
      <w:bookmarkStart w:id="289" w:name="OLE_LINK94"/>
      <w:r w:rsidRPr="004D46AC">
        <w:rPr>
          <w:i/>
          <w:iCs/>
        </w:rPr>
        <w:t>The hypothesised psychopathological models following network modelling and findings from this thesis</w:t>
      </w:r>
    </w:p>
    <w:bookmarkEnd w:id="289"/>
    <w:p w14:paraId="68E4BDD2" w14:textId="77777777" w:rsidR="007075D9" w:rsidRPr="004D46AC" w:rsidRDefault="007075D9" w:rsidP="00052B86">
      <w:pPr>
        <w:spacing w:line="360" w:lineRule="auto"/>
        <w:ind w:firstLine="0"/>
      </w:pPr>
      <w:r w:rsidRPr="004D46AC">
        <w:rPr>
          <w:i/>
          <w:iCs/>
        </w:rPr>
        <w:t>Note.</w:t>
      </w:r>
      <w:r w:rsidRPr="004D46AC">
        <w:t xml:space="preserve"> The network structure is a simulated figure used to illustrate hypothesised psychopathological patterns across populations. A wider edge indicates a stronger relationship within the network, and node centrality is illustrated using different node sizes, </w:t>
      </w:r>
      <w:r w:rsidRPr="004D46AC">
        <w:lastRenderedPageBreak/>
        <w:t xml:space="preserve">with healthy individuals featuring mania symptoms and patients with SMIs featuring negative psychosis. </w:t>
      </w:r>
      <w:proofErr w:type="spellStart"/>
      <w:r w:rsidRPr="004D46AC">
        <w:t>NegPsy</w:t>
      </w:r>
      <w:proofErr w:type="spellEnd"/>
      <w:r w:rsidRPr="004D46AC">
        <w:t xml:space="preserve"> is illustrated as a dashed node as it was not included in the network analysis in Chapter 4. </w:t>
      </w:r>
      <w:proofErr w:type="spellStart"/>
      <w:r w:rsidRPr="004D46AC">
        <w:t>Anx</w:t>
      </w:r>
      <w:proofErr w:type="spellEnd"/>
      <w:r w:rsidRPr="004D46AC">
        <w:t xml:space="preserve"> = anxiety; Dep = depression; Man = (hypo)mania; </w:t>
      </w:r>
      <w:proofErr w:type="spellStart"/>
      <w:r w:rsidRPr="004D46AC">
        <w:t>PosPsy</w:t>
      </w:r>
      <w:proofErr w:type="spellEnd"/>
      <w:r w:rsidRPr="004D46AC">
        <w:t xml:space="preserve"> = positive psychosis; </w:t>
      </w:r>
      <w:proofErr w:type="spellStart"/>
      <w:r w:rsidRPr="004D46AC">
        <w:t>NegPsy</w:t>
      </w:r>
      <w:proofErr w:type="spellEnd"/>
      <w:r w:rsidRPr="004D46AC">
        <w:t xml:space="preserve"> = negative psychosis.</w:t>
      </w:r>
    </w:p>
    <w:p w14:paraId="2A532158" w14:textId="77777777" w:rsidR="007075D9" w:rsidRPr="004D46AC" w:rsidRDefault="007075D9" w:rsidP="00B518F1">
      <w:pPr>
        <w:spacing w:line="360" w:lineRule="auto"/>
      </w:pPr>
    </w:p>
    <w:p w14:paraId="5232F0B4" w14:textId="77777777" w:rsidR="007075D9" w:rsidRPr="004D46AC" w:rsidRDefault="007075D9" w:rsidP="00B518F1">
      <w:r w:rsidRPr="004D46AC">
        <w:t xml:space="preserve">These findings may have clinical utility by informing mental illness screening and structured diagnostic interviews, in which symptom patterns could serve as a reference for determining the need for mental health care. For example, symptom severity may function as an important indicator of clinical intervention; however, symptom </w:t>
      </w:r>
      <w:r w:rsidRPr="004D46AC">
        <w:rPr>
          <w:rFonts w:hint="eastAsia"/>
        </w:rPr>
        <w:t>pattern</w:t>
      </w:r>
      <w:r w:rsidRPr="004D46AC">
        <w:t xml:space="preserve"> may also provide </w:t>
      </w:r>
      <w:r w:rsidRPr="004D46AC">
        <w:rPr>
          <w:rFonts w:hint="eastAsia"/>
        </w:rPr>
        <w:t>significant insight</w:t>
      </w:r>
      <w:r w:rsidRPr="004D46AC">
        <w:t xml:space="preserve"> relevant to diagnosis and treatment planning. Nevertheless, this interpretation remains largely speculative, as no direct quantitative comparisons were conducted between clinical and healthy populations in the present study. Moreover, item selection was not fully consistent, as negative symptoms or experiences were not assessed in healthy individuals. Future research should examine symptom network dynamics using longitudinal designs to evaluate whether models of mental illness remain consistent across both clinical and non-clinical populations.</w:t>
      </w:r>
    </w:p>
    <w:p w14:paraId="07490B07" w14:textId="77777777" w:rsidR="007075D9" w:rsidRPr="004D46AC" w:rsidRDefault="007075D9" w:rsidP="00B518F1">
      <w:r w:rsidRPr="004D46AC">
        <w:t xml:space="preserve">Furthermore, this thesis identified </w:t>
      </w:r>
      <w:r w:rsidRPr="004D46AC">
        <w:rPr>
          <w:rFonts w:hint="eastAsia"/>
        </w:rPr>
        <w:t>psychopathological</w:t>
      </w:r>
      <w:r w:rsidRPr="004D46AC">
        <w:t xml:space="preserve"> mechanisms linking mood and positive psychotic symptoms that appear largely invariant across time and populations. These findings challenge the rigid dichotomy between schizophrenia and </w:t>
      </w:r>
      <w:r w:rsidRPr="004D46AC">
        <w:rPr>
          <w:rFonts w:hint="eastAsia"/>
        </w:rPr>
        <w:t>BSD</w:t>
      </w:r>
      <w:r w:rsidRPr="004D46AC">
        <w:t xml:space="preserve"> by delineating two distinct bridging pathways: the manic–psychotic bridge, mediated by dysfunctions in behavioural activation and thought disturbance, and the depressive–psychotic bridge, mediated by negative self-evaluation and suppressed emotional expression. Theoretically, these pathways align with multi-level </w:t>
      </w:r>
      <w:r w:rsidRPr="004D46AC">
        <w:rPr>
          <w:rFonts w:hint="eastAsia"/>
        </w:rPr>
        <w:t xml:space="preserve">biopsychosocial </w:t>
      </w:r>
      <w:r w:rsidRPr="004D46AC">
        <w:t>models. Biological models posit shared dopaminergic dysregulation, characterised by hyper- or hypo-activation</w:t>
      </w:r>
      <w:r w:rsidRPr="004D46AC">
        <w:rPr>
          <w:rFonts w:hint="eastAsia"/>
        </w:rPr>
        <w:t xml:space="preserve"> </w:t>
      </w:r>
      <w:r w:rsidRPr="004D46AC">
        <w:rPr>
          <w:noProof/>
        </w:rPr>
        <w:t>(Berk et al., 2007; Howes &amp; Kapur, 2009)</w:t>
      </w:r>
      <w:r w:rsidRPr="004D46AC">
        <w:t>; psychological models conceptualise delusions as ego-defence mechanisms against negative self-stigma</w:t>
      </w:r>
      <w:r w:rsidRPr="004D46AC">
        <w:rPr>
          <w:rFonts w:hint="eastAsia"/>
        </w:rPr>
        <w:t xml:space="preserve"> </w:t>
      </w:r>
      <w:r w:rsidRPr="004D46AC">
        <w:rPr>
          <w:noProof/>
        </w:rPr>
        <w:t>(Kaney &amp; Bentall, 1992)</w:t>
      </w:r>
      <w:r w:rsidRPr="004D46AC">
        <w:t>; and behavioural models emphasise dysfunctions in the Behavioural Activation and Behavioural Inhibition Systems</w:t>
      </w:r>
      <w:r w:rsidRPr="004D46AC">
        <w:rPr>
          <w:rFonts w:hint="eastAsia"/>
        </w:rPr>
        <w:t xml:space="preserve"> </w:t>
      </w:r>
      <w:r w:rsidRPr="004D46AC">
        <w:rPr>
          <w:noProof/>
        </w:rPr>
        <w:t>(Meyer et al., 1999)</w:t>
      </w:r>
      <w:r w:rsidRPr="004D46AC">
        <w:t>.</w:t>
      </w:r>
    </w:p>
    <w:p w14:paraId="1838B2A9" w14:textId="77777777" w:rsidR="007075D9" w:rsidRPr="004D46AC" w:rsidRDefault="007075D9" w:rsidP="00B518F1"/>
    <w:p w14:paraId="522AA9D4" w14:textId="77777777" w:rsidR="007075D9" w:rsidRPr="004D46AC" w:rsidRDefault="007075D9" w:rsidP="00B518F1">
      <w:pPr>
        <w:ind w:firstLine="0"/>
      </w:pPr>
      <w:r w:rsidRPr="004D46AC">
        <w:rPr>
          <w:noProof/>
        </w:rPr>
        <w:lastRenderedPageBreak/>
        <w:drawing>
          <wp:inline distT="0" distB="0" distL="0" distR="0" wp14:anchorId="15E0CBD1" wp14:editId="6BF7D08A">
            <wp:extent cx="5731510" cy="5123815"/>
            <wp:effectExtent l="0" t="0" r="2540" b="635"/>
            <wp:docPr id="1223516554"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16554" name="图片 1" descr="图示&#10;&#10;AI 生成的内容可能不正确。"/>
                    <pic:cNvPicPr/>
                  </pic:nvPicPr>
                  <pic:blipFill>
                    <a:blip r:embed="rId382"/>
                    <a:stretch>
                      <a:fillRect/>
                    </a:stretch>
                  </pic:blipFill>
                  <pic:spPr>
                    <a:xfrm>
                      <a:off x="0" y="0"/>
                      <a:ext cx="5731510" cy="5123815"/>
                    </a:xfrm>
                    <a:prstGeom prst="rect">
                      <a:avLst/>
                    </a:prstGeom>
                  </pic:spPr>
                </pic:pic>
              </a:graphicData>
            </a:graphic>
          </wp:inline>
        </w:drawing>
      </w:r>
    </w:p>
    <w:p w14:paraId="2C473526" w14:textId="0F22C249" w:rsidR="00052B86" w:rsidRPr="004D46AC" w:rsidRDefault="00052B86" w:rsidP="00052B86">
      <w:pPr>
        <w:pStyle w:val="afff0"/>
        <w:keepNext/>
        <w:spacing w:line="360" w:lineRule="auto"/>
        <w:ind w:firstLine="0"/>
        <w:rPr>
          <w:b/>
          <w:bCs/>
          <w:i w:val="0"/>
          <w:iCs w:val="0"/>
          <w:color w:val="auto"/>
          <w:sz w:val="22"/>
          <w:szCs w:val="22"/>
        </w:rPr>
      </w:pPr>
      <w:bookmarkStart w:id="290" w:name="_Toc219883940"/>
      <w:bookmarkStart w:id="291" w:name="_Toc219884872"/>
      <w:r w:rsidRPr="004D46AC">
        <w:rPr>
          <w:b/>
          <w:bCs/>
          <w:i w:val="0"/>
          <w:iCs w:val="0"/>
          <w:color w:val="auto"/>
          <w:sz w:val="22"/>
          <w:szCs w:val="22"/>
        </w:rPr>
        <w:t xml:space="preserve">Figure </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STYLEREF 1 \s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6</w:t>
      </w:r>
      <w:r w:rsidR="004725A0" w:rsidRPr="004D46AC">
        <w:rPr>
          <w:b/>
          <w:bCs/>
          <w:i w:val="0"/>
          <w:iCs w:val="0"/>
          <w:color w:val="auto"/>
          <w:sz w:val="22"/>
          <w:szCs w:val="22"/>
        </w:rPr>
        <w:fldChar w:fldCharType="end"/>
      </w:r>
      <w:r w:rsidR="004725A0" w:rsidRPr="004D46AC">
        <w:rPr>
          <w:b/>
          <w:bCs/>
          <w:i w:val="0"/>
          <w:iCs w:val="0"/>
          <w:color w:val="auto"/>
          <w:sz w:val="22"/>
          <w:szCs w:val="22"/>
        </w:rPr>
        <w:t>.</w:t>
      </w:r>
      <w:r w:rsidR="004725A0" w:rsidRPr="004D46AC">
        <w:rPr>
          <w:b/>
          <w:bCs/>
          <w:i w:val="0"/>
          <w:iCs w:val="0"/>
          <w:color w:val="auto"/>
          <w:sz w:val="22"/>
          <w:szCs w:val="22"/>
        </w:rPr>
        <w:fldChar w:fldCharType="begin"/>
      </w:r>
      <w:r w:rsidR="004725A0" w:rsidRPr="004D46AC">
        <w:rPr>
          <w:b/>
          <w:bCs/>
          <w:i w:val="0"/>
          <w:iCs w:val="0"/>
          <w:color w:val="auto"/>
          <w:sz w:val="22"/>
          <w:szCs w:val="22"/>
        </w:rPr>
        <w:instrText xml:space="preserve"> SEQ Figure \* ARABIC \s 1 </w:instrText>
      </w:r>
      <w:r w:rsidR="004725A0" w:rsidRPr="004D46AC">
        <w:rPr>
          <w:b/>
          <w:bCs/>
          <w:i w:val="0"/>
          <w:iCs w:val="0"/>
          <w:color w:val="auto"/>
          <w:sz w:val="22"/>
          <w:szCs w:val="22"/>
        </w:rPr>
        <w:fldChar w:fldCharType="separate"/>
      </w:r>
      <w:r w:rsidR="004725A0" w:rsidRPr="004D46AC">
        <w:rPr>
          <w:b/>
          <w:bCs/>
          <w:i w:val="0"/>
          <w:iCs w:val="0"/>
          <w:noProof/>
          <w:color w:val="auto"/>
          <w:sz w:val="22"/>
          <w:szCs w:val="22"/>
        </w:rPr>
        <w:t>2</w:t>
      </w:r>
      <w:bookmarkEnd w:id="290"/>
      <w:bookmarkEnd w:id="291"/>
      <w:r w:rsidR="004725A0" w:rsidRPr="004D46AC">
        <w:rPr>
          <w:b/>
          <w:bCs/>
          <w:i w:val="0"/>
          <w:iCs w:val="0"/>
          <w:color w:val="auto"/>
          <w:sz w:val="22"/>
          <w:szCs w:val="22"/>
        </w:rPr>
        <w:fldChar w:fldCharType="end"/>
      </w:r>
    </w:p>
    <w:p w14:paraId="31742D3E" w14:textId="77777777" w:rsidR="007075D9" w:rsidRPr="004D46AC" w:rsidRDefault="007075D9" w:rsidP="00052B86">
      <w:pPr>
        <w:spacing w:line="360" w:lineRule="auto"/>
        <w:ind w:firstLine="0"/>
        <w:rPr>
          <w:i/>
          <w:iCs/>
        </w:rPr>
      </w:pPr>
      <w:r w:rsidRPr="004D46AC">
        <w:rPr>
          <w:i/>
          <w:iCs/>
        </w:rPr>
        <w:t>A hierarchical model integrating transdiagnostic and categorical approaches</w:t>
      </w:r>
      <w:r w:rsidRPr="004D46AC">
        <w:rPr>
          <w:rFonts w:hint="eastAsia"/>
          <w:i/>
          <w:iCs/>
        </w:rPr>
        <w:t xml:space="preserve"> </w:t>
      </w:r>
    </w:p>
    <w:p w14:paraId="50F874E5" w14:textId="77777777" w:rsidR="007075D9" w:rsidRPr="004D46AC" w:rsidRDefault="007075D9" w:rsidP="00052B86">
      <w:pPr>
        <w:spacing w:line="360" w:lineRule="auto"/>
        <w:ind w:firstLine="0"/>
      </w:pPr>
      <w:r w:rsidRPr="004D46AC">
        <w:rPr>
          <w:i/>
          <w:iCs/>
        </w:rPr>
        <w:t>Note.</w:t>
      </w:r>
      <w:r w:rsidRPr="004D46AC">
        <w:t xml:space="preserve"> </w:t>
      </w:r>
      <w:r w:rsidRPr="004D46AC">
        <w:rPr>
          <w:rFonts w:hint="eastAsia"/>
        </w:rPr>
        <w:t>T</w:t>
      </w:r>
      <w:r w:rsidRPr="004D46AC">
        <w:t xml:space="preserve">he diagram demonstrates how specific symptom dimensions (Middle Tier) bridge the gap between a shared latent liability (LPC) and distinct clinical diagnoses (BSD and SZ). Solid lines indicate primary symptom clusters; dashed lines represent shared or secondary features; MAN = mania; DEP = depression; ANX = anxiety; </w:t>
      </w:r>
      <w:proofErr w:type="spellStart"/>
      <w:r w:rsidRPr="004D46AC">
        <w:t>PosPsy</w:t>
      </w:r>
      <w:proofErr w:type="spellEnd"/>
      <w:r w:rsidRPr="004D46AC">
        <w:t xml:space="preserve"> = positive psychosis; </w:t>
      </w:r>
      <w:proofErr w:type="spellStart"/>
      <w:r w:rsidRPr="004D46AC">
        <w:t>NegPsy</w:t>
      </w:r>
      <w:proofErr w:type="spellEnd"/>
      <w:r w:rsidRPr="004D46AC">
        <w:t xml:space="preserve"> = negative psychosis.</w:t>
      </w:r>
    </w:p>
    <w:p w14:paraId="66A95912" w14:textId="77777777" w:rsidR="007075D9" w:rsidRPr="004D46AC" w:rsidRDefault="007075D9" w:rsidP="00B518F1"/>
    <w:p w14:paraId="09CAE641" w14:textId="77777777" w:rsidR="007075D9" w:rsidRPr="004D46AC" w:rsidRDefault="007075D9" w:rsidP="00B518F1">
      <w:r w:rsidRPr="004D46AC">
        <w:t xml:space="preserve">Although Schizophrenia (SZ) and Bipolar Spectrum Disorders (BSD) appear distinct in current diagnostic systems like the DSM-5, they may share an underlying vulnerability. Figure 6.2 illustrates a hybrid model: it maps how a shared Latent Psychopathological Construct (LPC) manifests through specific symptom dimensions, which are then grouped </w:t>
      </w:r>
      <w:r w:rsidRPr="004D46AC">
        <w:lastRenderedPageBreak/>
        <w:t>into our traditional clinical diagnoses.</w:t>
      </w:r>
      <w:r w:rsidRPr="004D46AC">
        <w:rPr>
          <w:rFonts w:hint="eastAsia"/>
        </w:rPr>
        <w:t xml:space="preserve"> </w:t>
      </w:r>
      <w:r w:rsidRPr="004D46AC">
        <w:t xml:space="preserve">As observed in Chapter </w:t>
      </w:r>
      <w:r w:rsidRPr="004D46AC">
        <w:rPr>
          <w:rFonts w:hint="eastAsia"/>
        </w:rPr>
        <w:t>3</w:t>
      </w:r>
      <w:r w:rsidRPr="004D46AC">
        <w:t xml:space="preserve">, conceptual disorganisation was uniquely central to the schizophrenia network, whereas it was negligible in the schizoaffective and bipolar networks. This distinction does not contradict the </w:t>
      </w:r>
      <w:r w:rsidRPr="004D46AC">
        <w:rPr>
          <w:rFonts w:hint="eastAsia"/>
        </w:rPr>
        <w:t>main claim</w:t>
      </w:r>
      <w:r w:rsidRPr="004D46AC">
        <w:t>; rather, it suggests that while the latent psychopathological processes are shared, the phenotypic manifestation varies depending on the strength of specific disorder-specific nodes (e.g., thought disorder</w:t>
      </w:r>
      <w:r w:rsidRPr="004D46AC">
        <w:rPr>
          <w:rFonts w:hint="eastAsia"/>
        </w:rPr>
        <w:t xml:space="preserve"> </w:t>
      </w:r>
      <w:r w:rsidRPr="004D46AC">
        <w:t>and</w:t>
      </w:r>
      <w:r w:rsidRPr="004D46AC">
        <w:rPr>
          <w:rFonts w:hint="eastAsia"/>
        </w:rPr>
        <w:t xml:space="preserve"> conceptual disorganisation in schizophrenia</w:t>
      </w:r>
      <w:r w:rsidRPr="004D46AC">
        <w:t>).</w:t>
      </w:r>
      <w:r w:rsidRPr="004D46AC">
        <w:rPr>
          <w:rFonts w:hint="eastAsia"/>
        </w:rPr>
        <w:t xml:space="preserve"> </w:t>
      </w:r>
      <w:r w:rsidRPr="004D46AC">
        <w:t>In addition, while the current 'symptom map' offers a detailed topography of the mood–psychosis interface, it does not fully elucidate the causal mechanisms underlying diagnostic conversion or stability. Several potential moderating constructs (e.g., external events, Theory of Mind, subjective phenomenological experiences, coping strategies, attributional biases) were absent from the current models. Future studies should, therefore, explore how these specific cognitive and environmental factors modulate the identified psychopathological processes to determine why individuals follow different diagnostic trajectories within the SMI spectrum.</w:t>
      </w:r>
      <w:r w:rsidRPr="004D46AC">
        <w:rPr>
          <w:rFonts w:hint="eastAsia"/>
        </w:rPr>
        <w:t xml:space="preserve"> </w:t>
      </w:r>
      <w:r w:rsidRPr="004D46AC">
        <w:t>M</w:t>
      </w:r>
      <w:r w:rsidRPr="004D46AC">
        <w:rPr>
          <w:rFonts w:hint="eastAsia"/>
        </w:rPr>
        <w:t xml:space="preserve">oreover, the Chapter 5 </w:t>
      </w:r>
      <w:r w:rsidRPr="004D46AC">
        <w:t>carried</w:t>
      </w:r>
      <w:r w:rsidRPr="004D46AC">
        <w:rPr>
          <w:rFonts w:hint="eastAsia"/>
        </w:rPr>
        <w:t xml:space="preserve"> add on values to abovementioned findings in the field of early intervention. </w:t>
      </w:r>
      <w:r w:rsidRPr="004D46AC">
        <w:t>Highly</w:t>
      </w:r>
      <w:r w:rsidRPr="004D46AC">
        <w:rPr>
          <w:rFonts w:hint="eastAsia"/>
        </w:rPr>
        <w:t xml:space="preserve"> influential symptoms (e.g., symptom with highest strength) should be considered as potential risk marker in young people present at mental health services. T</w:t>
      </w:r>
      <w:r w:rsidRPr="004D46AC">
        <w:t xml:space="preserve">hese findings </w:t>
      </w:r>
      <w:r w:rsidRPr="004D46AC">
        <w:rPr>
          <w:rFonts w:hint="eastAsia"/>
        </w:rPr>
        <w:t>lend a strong support</w:t>
      </w:r>
      <w:r w:rsidRPr="004D46AC">
        <w:t xml:space="preserve"> for a transdiagnostic approach. T</w:t>
      </w:r>
      <w:r w:rsidRPr="004D46AC">
        <w:rPr>
          <w:rFonts w:hint="eastAsia"/>
        </w:rPr>
        <w:t>reatment management and strategies</w:t>
      </w:r>
      <w:r w:rsidRPr="004D46AC">
        <w:t xml:space="preserve"> should target these specific symptom dynamics (e.g., </w:t>
      </w:r>
      <w:r w:rsidRPr="004D46AC">
        <w:rPr>
          <w:rFonts w:hint="eastAsia"/>
        </w:rPr>
        <w:t xml:space="preserve">symptom with high </w:t>
      </w:r>
      <w:r w:rsidRPr="004D46AC">
        <w:t>strength</w:t>
      </w:r>
      <w:r w:rsidRPr="004D46AC">
        <w:rPr>
          <w:rFonts w:hint="eastAsia"/>
        </w:rPr>
        <w:t>, driving nodes of TRACEs</w:t>
      </w:r>
      <w:r w:rsidRPr="004D46AC">
        <w:t xml:space="preserve">) rather than treating </w:t>
      </w:r>
      <w:r w:rsidRPr="004D46AC">
        <w:rPr>
          <w:rFonts w:hint="eastAsia"/>
        </w:rPr>
        <w:t>specific psychiatric diagnosis, which aligns</w:t>
      </w:r>
      <w:r w:rsidRPr="004D46AC">
        <w:t xml:space="preserve"> with recent guidelines for SMI</w:t>
      </w:r>
      <w:r w:rsidRPr="004D46AC">
        <w:rPr>
          <w:rFonts w:hint="eastAsia"/>
        </w:rPr>
        <w:t xml:space="preserve">s </w:t>
      </w:r>
      <w:r w:rsidRPr="004D46AC">
        <w:rPr>
          <w:noProof/>
        </w:rPr>
        <w:t>(Keramatian et al., 2023; McCutcheon et al., 2025)</w:t>
      </w:r>
      <w:r w:rsidRPr="004D46AC">
        <w:rPr>
          <w:rFonts w:hint="eastAsia"/>
        </w:rPr>
        <w:t>.</w:t>
      </w:r>
      <w:r w:rsidRPr="004D46AC">
        <w:t xml:space="preserve"> </w:t>
      </w:r>
    </w:p>
    <w:p w14:paraId="47EFEF81" w14:textId="77777777" w:rsidR="007075D9" w:rsidRPr="004D46AC" w:rsidRDefault="007075D9" w:rsidP="00B518F1">
      <w:pPr>
        <w:pStyle w:val="3"/>
      </w:pPr>
      <w:r w:rsidRPr="004D46AC">
        <w:rPr>
          <w:rFonts w:eastAsiaTheme="minorEastAsia"/>
        </w:rPr>
        <w:t>G</w:t>
      </w:r>
      <w:r w:rsidRPr="004D46AC">
        <w:rPr>
          <w:rFonts w:eastAsiaTheme="minorEastAsia" w:hint="eastAsia"/>
        </w:rPr>
        <w:t>enera</w:t>
      </w:r>
      <w:r w:rsidRPr="004D46AC">
        <w:rPr>
          <w:rFonts w:hint="eastAsia"/>
        </w:rPr>
        <w:t>l limitations and future directions</w:t>
      </w:r>
    </w:p>
    <w:p w14:paraId="5AC401ED" w14:textId="77777777" w:rsidR="007075D9" w:rsidRPr="004D46AC" w:rsidRDefault="007075D9" w:rsidP="00B518F1">
      <w:r w:rsidRPr="004D46AC">
        <w:t>The current study employed multiple methodological approaches and samples to examine the psychopathological mechanisms linking mood and psychosis; however, the generalisability of the main findings may be limited for several reasons.</w:t>
      </w:r>
    </w:p>
    <w:p w14:paraId="2C8AC7AD" w14:textId="77777777" w:rsidR="007075D9" w:rsidRPr="004D46AC" w:rsidRDefault="007075D9" w:rsidP="00B518F1">
      <w:r w:rsidRPr="004D46AC">
        <w:t xml:space="preserve">First, the use of a strict longitudinal design was limited. Consequently, most network mechanisms were derived from cross-sectional data, which constrains causal inference and may limit the external validity of the identified psychopathological pathways. Longitudinal </w:t>
      </w:r>
      <w:r w:rsidRPr="004D46AC">
        <w:lastRenderedPageBreak/>
        <w:t>network approaches, including panel designs or ecological momentary assessment (EMA), are warranted to evaluate the temporal stability and external validity of these findings.</w:t>
      </w:r>
    </w:p>
    <w:p w14:paraId="631B04DF" w14:textId="77777777" w:rsidR="007075D9" w:rsidRPr="004D46AC" w:rsidRDefault="007075D9" w:rsidP="00B518F1">
      <w:r w:rsidRPr="004D46AC">
        <w:t>Second, the network analyses did not employ covariate-adjusted symptom networks. Adjusting for external variables can substantially alter network structure and reduce cross-study comparability, particularly when different sets of confounders are included. Psychosocial variables (e.g., personality traits, attachment styles, or trauma exposure) are highly heterogeneous, theory-dependent, and inconsistently measured across studies. Adjusting for such factors may therefore yield networks that reflect study-specific modelling decisions rather than shared symptom-level relationships. To facilitate comparability and synthesis across studies, the present work focused on unadjusted networks. Future research should systematically assess the robustness of network structures across populations and clinically relevant subgroups</w:t>
      </w:r>
      <w:r w:rsidRPr="004D46AC">
        <w:rPr>
          <w:rFonts w:hint="eastAsia"/>
        </w:rPr>
        <w:t xml:space="preserve"> as well as mood </w:t>
      </w:r>
      <w:proofErr w:type="gramStart"/>
      <w:r w:rsidRPr="004D46AC">
        <w:t>episodes, and</w:t>
      </w:r>
      <w:proofErr w:type="gramEnd"/>
      <w:r w:rsidRPr="004D46AC">
        <w:t xml:space="preserve"> explicitly test how different adjustment strategies influence network topology and replicability.</w:t>
      </w:r>
    </w:p>
    <w:p w14:paraId="1E96D4BA" w14:textId="77777777" w:rsidR="007075D9" w:rsidRPr="004D46AC" w:rsidRDefault="007075D9" w:rsidP="00B518F1">
      <w:r w:rsidRPr="004D46AC">
        <w:t>Third, although several psychosocial factors have been associated with mood and psychotic symptoms in regression-based analyses, the present thesis did not model their influence within a network framework. As a result, how distinct psychosocial factors interact with symptom dynamics to shape the psychopathological processes underlying mood and psychosis remains unclear. Future studies could incorporate psychosocial variables directly into network models to clarify their mechanistic roles in symptom interrelations.</w:t>
      </w:r>
    </w:p>
    <w:p w14:paraId="1B6BA4C3" w14:textId="77777777" w:rsidR="007075D9" w:rsidRPr="004D46AC" w:rsidRDefault="007075D9" w:rsidP="00B518F1">
      <w:r w:rsidRPr="004D46AC">
        <w:t>Fourth, the clinical samples were restricted to individuals with bipolar I disorder with psychotic features. It therefore remains unclear to what extent the identified mechanisms generalise to other bipolar subtypes. Symptom dynamics in bipolar II disorder and non-psychotic bipolar presentations remain less well understood, and future studies should examine differences in mood–psychosis network structures across bipolar subtypes.</w:t>
      </w:r>
    </w:p>
    <w:p w14:paraId="0B9C815E" w14:textId="308D38A0" w:rsidR="007075D9" w:rsidRPr="004D46AC" w:rsidRDefault="007075D9" w:rsidP="00B518F1">
      <w:r w:rsidRPr="004D46AC">
        <w:t xml:space="preserve">Finally, negative symptoms or </w:t>
      </w:r>
      <w:r w:rsidR="00152EFF" w:rsidRPr="004D46AC">
        <w:t>negative psychotic- like</w:t>
      </w:r>
      <w:r w:rsidRPr="004D46AC">
        <w:t xml:space="preserve"> experiences were not included in the network analyses of healthy individuals, limiting the comparability of network structures between clinical and non-clinical samples. Future research should employ more </w:t>
      </w:r>
      <w:r w:rsidRPr="004D46AC">
        <w:lastRenderedPageBreak/>
        <w:t>comprehensive assessments of psychotic experiences in non-clinical populations to enhance comparability.</w:t>
      </w:r>
    </w:p>
    <w:p w14:paraId="0E1BB34A" w14:textId="77777777" w:rsidR="007075D9" w:rsidRPr="004D46AC" w:rsidRDefault="007075D9" w:rsidP="00B518F1">
      <w:r w:rsidRPr="004D46AC">
        <w:tab/>
      </w:r>
    </w:p>
    <w:p w14:paraId="57B9E3F1" w14:textId="77777777" w:rsidR="007075D9" w:rsidRPr="004D46AC" w:rsidRDefault="007075D9" w:rsidP="00B518F1"/>
    <w:p w14:paraId="116A6806" w14:textId="77777777" w:rsidR="007075D9" w:rsidRPr="004D46AC" w:rsidRDefault="007075D9" w:rsidP="00B518F1"/>
    <w:p w14:paraId="3A256EFE" w14:textId="77777777" w:rsidR="007075D9" w:rsidRPr="004D46AC" w:rsidRDefault="007075D9" w:rsidP="00B518F1"/>
    <w:p w14:paraId="491FE4AF" w14:textId="77777777" w:rsidR="007075D9" w:rsidRPr="004D46AC" w:rsidRDefault="007075D9" w:rsidP="00B518F1"/>
    <w:p w14:paraId="6794E251" w14:textId="77777777" w:rsidR="007075D9" w:rsidRPr="004D46AC" w:rsidRDefault="007075D9" w:rsidP="00B518F1"/>
    <w:p w14:paraId="55BB27F9" w14:textId="77777777" w:rsidR="007075D9" w:rsidRPr="004D46AC" w:rsidRDefault="007075D9" w:rsidP="00B518F1"/>
    <w:p w14:paraId="07F9608A" w14:textId="77777777" w:rsidR="007075D9" w:rsidRPr="004D46AC" w:rsidRDefault="007075D9" w:rsidP="00B518F1"/>
    <w:p w14:paraId="04F942E3" w14:textId="77777777" w:rsidR="007075D9" w:rsidRPr="004D46AC" w:rsidRDefault="007075D9" w:rsidP="00B518F1"/>
    <w:p w14:paraId="6987AD25" w14:textId="77777777" w:rsidR="007075D9" w:rsidRPr="004D46AC" w:rsidRDefault="007075D9" w:rsidP="00B518F1"/>
    <w:p w14:paraId="150A4481" w14:textId="77777777" w:rsidR="007075D9" w:rsidRPr="004D46AC" w:rsidRDefault="007075D9" w:rsidP="00B518F1"/>
    <w:p w14:paraId="45F2B718" w14:textId="77777777" w:rsidR="007075D9" w:rsidRPr="004D46AC" w:rsidRDefault="007075D9" w:rsidP="00B518F1"/>
    <w:p w14:paraId="0B66F055" w14:textId="77777777" w:rsidR="007075D9" w:rsidRPr="004D46AC" w:rsidRDefault="007075D9" w:rsidP="00B518F1"/>
    <w:p w14:paraId="071EB3D7" w14:textId="77777777" w:rsidR="007075D9" w:rsidRPr="004D46AC" w:rsidRDefault="007075D9" w:rsidP="00B518F1"/>
    <w:p w14:paraId="3FE5F31B" w14:textId="77777777" w:rsidR="007075D9" w:rsidRPr="004D46AC" w:rsidRDefault="007075D9" w:rsidP="00B518F1"/>
    <w:p w14:paraId="73AC2EE5" w14:textId="77777777" w:rsidR="007075D9" w:rsidRPr="004D46AC" w:rsidRDefault="007075D9" w:rsidP="00B518F1"/>
    <w:p w14:paraId="2F8FEA19" w14:textId="77777777" w:rsidR="007075D9" w:rsidRPr="004D46AC" w:rsidRDefault="007075D9" w:rsidP="00B518F1"/>
    <w:p w14:paraId="3F1491EE" w14:textId="77777777" w:rsidR="007075D9" w:rsidRPr="004D46AC" w:rsidRDefault="007075D9" w:rsidP="00B518F1"/>
    <w:p w14:paraId="132F30EE" w14:textId="77777777" w:rsidR="007075D9" w:rsidRPr="004D46AC" w:rsidRDefault="007075D9" w:rsidP="00B518F1"/>
    <w:p w14:paraId="1474C94B" w14:textId="77777777" w:rsidR="007075D9" w:rsidRPr="004D46AC" w:rsidRDefault="007075D9" w:rsidP="00B518F1"/>
    <w:p w14:paraId="5F5B09E0" w14:textId="77777777" w:rsidR="007075D9" w:rsidRPr="004D46AC" w:rsidRDefault="007075D9" w:rsidP="00B518F1"/>
    <w:p w14:paraId="4296C917" w14:textId="77777777" w:rsidR="007075D9" w:rsidRPr="004D46AC" w:rsidRDefault="007075D9" w:rsidP="00B518F1"/>
    <w:p w14:paraId="2DAD54B8" w14:textId="77777777" w:rsidR="007075D9" w:rsidRPr="004D46AC" w:rsidRDefault="007075D9" w:rsidP="00B518F1"/>
    <w:p w14:paraId="6D97D6C1" w14:textId="77777777" w:rsidR="007075D9" w:rsidRPr="004D46AC" w:rsidRDefault="007075D9" w:rsidP="00B518F1"/>
    <w:p w14:paraId="7516A7FD" w14:textId="77777777" w:rsidR="007075D9" w:rsidRPr="004D46AC" w:rsidRDefault="007075D9" w:rsidP="00B518F1">
      <w:pPr>
        <w:pStyle w:val="2"/>
      </w:pPr>
      <w:bookmarkStart w:id="292" w:name="_Toc219888791"/>
      <w:r w:rsidRPr="004D46AC">
        <w:lastRenderedPageBreak/>
        <w:t>Concluding remark</w:t>
      </w:r>
      <w:bookmarkEnd w:id="292"/>
    </w:p>
    <w:p w14:paraId="01379B1C" w14:textId="77777777" w:rsidR="007075D9" w:rsidRPr="004D46AC" w:rsidRDefault="007075D9" w:rsidP="00B518F1">
      <w:r w:rsidRPr="004D46AC">
        <w:t>This thesis examined the long-debated psychopathological distinction between schizophrenia and bipolar spectrum disorders (BSD) from a network perspective. The symptom structures of mood and psychosis were investigated using multiple assessment tools, including structured interviews and self-report measures of mood- and psychosis-related experiences, as well as risk states, across diverse populations (clinical, non-clinical, and younger samples).</w:t>
      </w:r>
    </w:p>
    <w:p w14:paraId="4D4640EF" w14:textId="77777777" w:rsidR="007075D9" w:rsidRPr="004D46AC" w:rsidRDefault="007075D9" w:rsidP="00B518F1">
      <w:r w:rsidRPr="004D46AC">
        <w:t>Across methodological approaches and population groups, mania and psychosis were closely interconnected. Behavioural activation (e.g., elevated mood and energy, impulsivity, irritability), thought disturbance (e.g., thought disorder and racing thoughts), negative self-evaluation, and reduced emotional expression emerged as key symptoms linking these domains. Regression analyses further revealed longitudinal interplay between mood and psychotic symptoms at a dimensional level.</w:t>
      </w:r>
    </w:p>
    <w:p w14:paraId="6DBCE1F0" w14:textId="3C920225" w:rsidR="0062425C" w:rsidRPr="004D46AC" w:rsidRDefault="0062425C" w:rsidP="0062425C">
      <w:bookmarkStart w:id="293" w:name="OLE_LINK77"/>
      <w:r w:rsidRPr="004D46AC">
        <w:t>However, the Kraepelinian account of mental illness remains central, particularly his emphasis that diagnostic distinctions should be grounded in longitudinal course rather than isolated symptom presentations. In this context, the observed overlap between BSD and schizophrenia in the present study is better understood as reflecting phenomenological similarit</w:t>
      </w:r>
      <w:r w:rsidRPr="004D46AC">
        <w:rPr>
          <w:rFonts w:eastAsiaTheme="minorEastAsia" w:hint="eastAsia"/>
        </w:rPr>
        <w:t xml:space="preserve">y, </w:t>
      </w:r>
      <w:r w:rsidRPr="004D46AC">
        <w:t>shared features at the level of symptoms or experiences</w:t>
      </w:r>
      <w:r w:rsidRPr="004D46AC">
        <w:rPr>
          <w:rFonts w:eastAsiaTheme="minorEastAsia" w:hint="eastAsia"/>
        </w:rPr>
        <w:t xml:space="preserve">, </w:t>
      </w:r>
      <w:r w:rsidRPr="004D46AC">
        <w:t>rather than taxonomic equivalence.</w:t>
      </w:r>
      <w:r w:rsidRPr="004D46AC">
        <w:rPr>
          <w:rFonts w:eastAsiaTheme="minorEastAsia" w:hint="eastAsia"/>
        </w:rPr>
        <w:t xml:space="preserve"> </w:t>
      </w:r>
      <w:r w:rsidRPr="004D46AC">
        <w:t xml:space="preserve">Accordingly, while these findings support a transdiagnostic perspective suggesting partially shared underlying psychopathological processes across mood and psychotic disorders, they do not </w:t>
      </w:r>
      <w:r w:rsidR="0091254A" w:rsidRPr="004D46AC">
        <w:t>conclusively</w:t>
      </w:r>
      <w:r w:rsidRPr="004D46AC">
        <w:t xml:space="preserve"> challenge the validity of maintaining BSD and schizophrenia as distinct diagnostic entities. As Kraepelin highlighted, diagnostic validity depends on multiple converging validators beyond symptom similarity, including </w:t>
      </w:r>
      <w:r w:rsidRPr="004D46AC">
        <w:rPr>
          <w:rFonts w:eastAsiaTheme="minorEastAsia" w:hint="eastAsia"/>
        </w:rPr>
        <w:t>clinical, biological, social and psychometric factors</w:t>
      </w:r>
      <w:r w:rsidRPr="004D46AC">
        <w:t>.</w:t>
      </w:r>
      <w:r w:rsidRPr="004D46AC">
        <w:rPr>
          <w:rFonts w:eastAsiaTheme="minorEastAsia" w:hint="eastAsia"/>
        </w:rPr>
        <w:t xml:space="preserve"> </w:t>
      </w:r>
      <w:r w:rsidRPr="004D46AC">
        <w:t>Therefore, the current cross-sectional findings should be interpreted cautiously: they indicate potential shared processes within a broader psychopathological spectrum, but do not</w:t>
      </w:r>
      <w:r w:rsidR="0091254A" w:rsidRPr="004D46AC">
        <w:t>, on their own,</w:t>
      </w:r>
      <w:r w:rsidRPr="004D46AC">
        <w:t xml:space="preserve"> provide sufficient evidence to collapse established diagnostic boundaries. A full reconsideration of the Kraepelinian </w:t>
      </w:r>
      <w:r w:rsidRPr="004D46AC">
        <w:lastRenderedPageBreak/>
        <w:t>dichotomy would require longitudinal and multidisciplinary evidence, which remains an ongoing area of investigation.</w:t>
      </w:r>
    </w:p>
    <w:bookmarkEnd w:id="293"/>
    <w:p w14:paraId="01C852BF" w14:textId="2DC2506E" w:rsidR="007075D9" w:rsidRPr="004D46AC" w:rsidRDefault="007075D9" w:rsidP="00B518F1">
      <w:r w:rsidRPr="004D46AC">
        <w:t>The generalisability of these findings is limited by the predominantly cross-sectional design and certain methodological inconsistencies, such as variation in item selection across samples. Future studies should examine the robustness of mood</w:t>
      </w:r>
      <w:r w:rsidR="0038285E" w:rsidRPr="004D46AC">
        <w:t xml:space="preserve"> - </w:t>
      </w:r>
      <w:r w:rsidRPr="004D46AC">
        <w:t>psychosis interactions across different clinical populations and methodological designs, particularly using longitudinal approaches, to allow stronger inferences regarding causal relationships.</w:t>
      </w:r>
    </w:p>
    <w:p w14:paraId="7D1B204E" w14:textId="77777777" w:rsidR="007075D9" w:rsidRPr="004D46AC" w:rsidRDefault="007075D9" w:rsidP="00B518F1"/>
    <w:p w14:paraId="14B35603" w14:textId="77777777" w:rsidR="007075D9" w:rsidRPr="004D46AC" w:rsidRDefault="007075D9" w:rsidP="00B518F1">
      <w:pPr>
        <w:rPr>
          <w:rFonts w:eastAsiaTheme="minorEastAsia"/>
        </w:rPr>
      </w:pPr>
    </w:p>
    <w:p w14:paraId="3EF77D71" w14:textId="77777777" w:rsidR="007075D9" w:rsidRPr="004D46AC" w:rsidRDefault="007075D9" w:rsidP="00B518F1">
      <w:pPr>
        <w:rPr>
          <w:rFonts w:eastAsiaTheme="minorEastAsia"/>
        </w:rPr>
      </w:pPr>
    </w:p>
    <w:p w14:paraId="3794356A" w14:textId="77777777" w:rsidR="007075D9" w:rsidRPr="004D46AC" w:rsidRDefault="007075D9" w:rsidP="00B518F1">
      <w:pPr>
        <w:rPr>
          <w:rFonts w:eastAsiaTheme="minorEastAsia"/>
        </w:rPr>
      </w:pPr>
      <w:r w:rsidRPr="004D46AC">
        <w:rPr>
          <w:rFonts w:hint="eastAsia"/>
        </w:rPr>
        <w:t xml:space="preserve">  </w:t>
      </w:r>
    </w:p>
    <w:p w14:paraId="4BB2B416" w14:textId="77777777" w:rsidR="0062425C" w:rsidRPr="004D46AC" w:rsidRDefault="0062425C" w:rsidP="00B518F1">
      <w:pPr>
        <w:rPr>
          <w:rFonts w:eastAsiaTheme="minorEastAsia"/>
        </w:rPr>
      </w:pPr>
    </w:p>
    <w:p w14:paraId="7F5F8630" w14:textId="77777777" w:rsidR="0062425C" w:rsidRPr="004D46AC" w:rsidRDefault="0062425C" w:rsidP="00B518F1">
      <w:pPr>
        <w:rPr>
          <w:rFonts w:eastAsiaTheme="minorEastAsia"/>
        </w:rPr>
      </w:pPr>
    </w:p>
    <w:p w14:paraId="75214A9E" w14:textId="77777777" w:rsidR="0062425C" w:rsidRPr="004D46AC" w:rsidRDefault="0062425C" w:rsidP="00B518F1">
      <w:pPr>
        <w:rPr>
          <w:rFonts w:eastAsiaTheme="minorEastAsia"/>
        </w:rPr>
      </w:pPr>
    </w:p>
    <w:p w14:paraId="2983C6FD" w14:textId="77777777" w:rsidR="0062425C" w:rsidRPr="004D46AC" w:rsidRDefault="0062425C" w:rsidP="00B518F1">
      <w:pPr>
        <w:rPr>
          <w:rFonts w:eastAsiaTheme="minorEastAsia"/>
        </w:rPr>
      </w:pPr>
    </w:p>
    <w:p w14:paraId="6CE703DC" w14:textId="77777777" w:rsidR="0062425C" w:rsidRPr="004D46AC" w:rsidRDefault="0062425C" w:rsidP="00B518F1">
      <w:pPr>
        <w:rPr>
          <w:rFonts w:eastAsiaTheme="minorEastAsia"/>
        </w:rPr>
      </w:pPr>
    </w:p>
    <w:p w14:paraId="40C73A65" w14:textId="77777777" w:rsidR="0062425C" w:rsidRPr="004D46AC" w:rsidRDefault="0062425C" w:rsidP="00B518F1">
      <w:pPr>
        <w:rPr>
          <w:rFonts w:eastAsiaTheme="minorEastAsia"/>
        </w:rPr>
      </w:pPr>
    </w:p>
    <w:p w14:paraId="79A96DF2" w14:textId="77777777" w:rsidR="0062425C" w:rsidRPr="004D46AC" w:rsidRDefault="0062425C" w:rsidP="00B518F1">
      <w:pPr>
        <w:rPr>
          <w:rFonts w:eastAsiaTheme="minorEastAsia"/>
        </w:rPr>
      </w:pPr>
    </w:p>
    <w:p w14:paraId="4DEB9E8B" w14:textId="77777777" w:rsidR="0062425C" w:rsidRPr="004D46AC" w:rsidRDefault="0062425C" w:rsidP="00B518F1">
      <w:pPr>
        <w:rPr>
          <w:rFonts w:eastAsiaTheme="minorEastAsia"/>
        </w:rPr>
      </w:pPr>
    </w:p>
    <w:p w14:paraId="02024623" w14:textId="77777777" w:rsidR="0062425C" w:rsidRPr="004D46AC" w:rsidRDefault="0062425C" w:rsidP="00B518F1">
      <w:pPr>
        <w:rPr>
          <w:rFonts w:eastAsiaTheme="minorEastAsia"/>
        </w:rPr>
      </w:pPr>
    </w:p>
    <w:p w14:paraId="1F27BF0B" w14:textId="77777777" w:rsidR="0062425C" w:rsidRPr="004D46AC" w:rsidRDefault="0062425C" w:rsidP="00B518F1">
      <w:pPr>
        <w:rPr>
          <w:rFonts w:eastAsiaTheme="minorEastAsia"/>
        </w:rPr>
      </w:pPr>
    </w:p>
    <w:p w14:paraId="272EAD05" w14:textId="77777777" w:rsidR="0062425C" w:rsidRPr="004D46AC" w:rsidRDefault="0062425C" w:rsidP="00B518F1">
      <w:pPr>
        <w:rPr>
          <w:rFonts w:eastAsiaTheme="minorEastAsia"/>
        </w:rPr>
      </w:pPr>
    </w:p>
    <w:p w14:paraId="6F221D9E" w14:textId="77777777" w:rsidR="0062425C" w:rsidRPr="004D46AC" w:rsidRDefault="0062425C" w:rsidP="00B518F1">
      <w:pPr>
        <w:rPr>
          <w:rFonts w:eastAsiaTheme="minorEastAsia"/>
        </w:rPr>
      </w:pPr>
    </w:p>
    <w:p w14:paraId="69BD1C78" w14:textId="77777777" w:rsidR="0062425C" w:rsidRPr="004D46AC" w:rsidRDefault="0062425C" w:rsidP="00B518F1">
      <w:pPr>
        <w:rPr>
          <w:rFonts w:eastAsiaTheme="minorEastAsia"/>
        </w:rPr>
      </w:pPr>
    </w:p>
    <w:p w14:paraId="7C2FC49B" w14:textId="77777777" w:rsidR="0062425C" w:rsidRPr="004D46AC" w:rsidRDefault="0062425C" w:rsidP="00B518F1">
      <w:pPr>
        <w:rPr>
          <w:rFonts w:eastAsiaTheme="minorEastAsia"/>
        </w:rPr>
      </w:pPr>
    </w:p>
    <w:p w14:paraId="5CF9C35B" w14:textId="77777777" w:rsidR="0062425C" w:rsidRPr="004D46AC" w:rsidRDefault="0062425C" w:rsidP="00B518F1">
      <w:pPr>
        <w:rPr>
          <w:rFonts w:eastAsiaTheme="minorEastAsia"/>
        </w:rPr>
      </w:pPr>
    </w:p>
    <w:p w14:paraId="07B5DBBD" w14:textId="77777777" w:rsidR="0062425C" w:rsidRPr="004D46AC" w:rsidRDefault="0062425C" w:rsidP="00B518F1">
      <w:pPr>
        <w:rPr>
          <w:rFonts w:eastAsiaTheme="minorEastAsia"/>
        </w:rPr>
      </w:pPr>
    </w:p>
    <w:p w14:paraId="25F2F9F7" w14:textId="77777777" w:rsidR="0062425C" w:rsidRPr="004D46AC" w:rsidRDefault="0062425C" w:rsidP="00B518F1">
      <w:pPr>
        <w:rPr>
          <w:rFonts w:eastAsiaTheme="minorEastAsia"/>
        </w:rPr>
      </w:pPr>
    </w:p>
    <w:p w14:paraId="4BD1E36C" w14:textId="69C507A2" w:rsidR="007075D9" w:rsidRPr="004D46AC" w:rsidRDefault="007075D9" w:rsidP="00B518F1">
      <w:pPr>
        <w:pStyle w:val="2"/>
        <w:rPr>
          <w:rFonts w:eastAsiaTheme="minorEastAsia"/>
        </w:rPr>
      </w:pPr>
      <w:bookmarkStart w:id="294" w:name="_Toc219888792"/>
      <w:r w:rsidRPr="004D46AC">
        <w:rPr>
          <w:rFonts w:hint="eastAsia"/>
        </w:rPr>
        <w:lastRenderedPageBreak/>
        <w:t>Reference</w:t>
      </w:r>
      <w:bookmarkEnd w:id="294"/>
      <w:r w:rsidR="004A63C4" w:rsidRPr="004D46AC">
        <w:rPr>
          <w:rFonts w:eastAsiaTheme="minorEastAsia" w:hint="eastAsia"/>
        </w:rPr>
        <w:t>s</w:t>
      </w:r>
    </w:p>
    <w:p w14:paraId="4E0E7DC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Andreassen, O. A., Hindley, G. F. L., Frei, O., &amp; Smeland, O. B. (2023). New insights from the last decade of research in psychiatric genetics: discoveries, challenges and clinical implications.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22</w:t>
      </w:r>
      <w:r w:rsidRPr="004D46AC">
        <w:rPr>
          <w:rFonts w:ascii="Arial" w:hAnsi="Arial" w:cs="Arial"/>
          <w:szCs w:val="22"/>
        </w:rPr>
        <w:t xml:space="preserve">(1), 4–24. https://doi.org/https://doi.org/10.1002/wps.21034 </w:t>
      </w:r>
    </w:p>
    <w:p w14:paraId="1CFB0E96"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Belvederi</w:t>
      </w:r>
      <w:proofErr w:type="spellEnd"/>
      <w:r w:rsidRPr="004D46AC">
        <w:rPr>
          <w:rFonts w:ascii="Arial" w:hAnsi="Arial" w:cs="Arial"/>
          <w:szCs w:val="22"/>
        </w:rPr>
        <w:t xml:space="preserve"> Murri, M., Caruso, R., </w:t>
      </w:r>
      <w:proofErr w:type="spellStart"/>
      <w:r w:rsidRPr="004D46AC">
        <w:rPr>
          <w:rFonts w:ascii="Arial" w:hAnsi="Arial" w:cs="Arial"/>
          <w:szCs w:val="22"/>
        </w:rPr>
        <w:t>Ounalli</w:t>
      </w:r>
      <w:proofErr w:type="spellEnd"/>
      <w:r w:rsidRPr="004D46AC">
        <w:rPr>
          <w:rFonts w:ascii="Arial" w:hAnsi="Arial" w:cs="Arial"/>
          <w:szCs w:val="22"/>
        </w:rPr>
        <w:t xml:space="preserve">, H., </w:t>
      </w:r>
      <w:proofErr w:type="spellStart"/>
      <w:r w:rsidRPr="004D46AC">
        <w:rPr>
          <w:rFonts w:ascii="Arial" w:hAnsi="Arial" w:cs="Arial"/>
          <w:szCs w:val="22"/>
        </w:rPr>
        <w:t>Zerbinati</w:t>
      </w:r>
      <w:proofErr w:type="spellEnd"/>
      <w:r w:rsidRPr="004D46AC">
        <w:rPr>
          <w:rFonts w:ascii="Arial" w:hAnsi="Arial" w:cs="Arial"/>
          <w:szCs w:val="22"/>
        </w:rPr>
        <w:t xml:space="preserve">, L., Berretti, E., Costa, S., Recla, E., </w:t>
      </w:r>
      <w:proofErr w:type="spellStart"/>
      <w:r w:rsidRPr="004D46AC">
        <w:rPr>
          <w:rFonts w:ascii="Arial" w:hAnsi="Arial" w:cs="Arial"/>
          <w:szCs w:val="22"/>
        </w:rPr>
        <w:t>Folesani</w:t>
      </w:r>
      <w:proofErr w:type="spellEnd"/>
      <w:r w:rsidRPr="004D46AC">
        <w:rPr>
          <w:rFonts w:ascii="Arial" w:hAnsi="Arial" w:cs="Arial"/>
          <w:szCs w:val="22"/>
        </w:rPr>
        <w:t xml:space="preserve">, F., Kissane, D., Nanni, M. G., &amp; Grassi, L. (2020). The relationship between demoralization and depressive symptoms among patients from the general hospital: network and exploratory graph analysis.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276</w:t>
      </w:r>
      <w:r w:rsidRPr="004D46AC">
        <w:rPr>
          <w:rFonts w:ascii="Arial" w:hAnsi="Arial" w:cs="Arial"/>
          <w:szCs w:val="22"/>
        </w:rPr>
        <w:t xml:space="preserve">, 137–146. https://doi.org/https://doi.org/10.1016/j.jad.2020.06.074 </w:t>
      </w:r>
    </w:p>
    <w:p w14:paraId="666B502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Bentall, R. P., Myin-</w:t>
      </w:r>
      <w:proofErr w:type="spellStart"/>
      <w:r w:rsidRPr="004D46AC">
        <w:rPr>
          <w:rFonts w:ascii="Arial" w:hAnsi="Arial" w:cs="Arial"/>
          <w:szCs w:val="22"/>
        </w:rPr>
        <w:t>Germeys</w:t>
      </w:r>
      <w:proofErr w:type="spellEnd"/>
      <w:r w:rsidRPr="004D46AC">
        <w:rPr>
          <w:rFonts w:ascii="Arial" w:hAnsi="Arial" w:cs="Arial"/>
          <w:szCs w:val="22"/>
        </w:rPr>
        <w:t xml:space="preserve">, I., Smith, A., Knowles, R., Jones, S. H., Smith, T., &amp; Tai, S. J. (2011). Hypomanic Personality, Stability of Self-Esteem and Response Styles to Negative Mood. </w:t>
      </w:r>
      <w:r w:rsidRPr="004D46AC">
        <w:rPr>
          <w:rFonts w:ascii="Arial" w:hAnsi="Arial" w:cs="Arial"/>
          <w:i/>
          <w:szCs w:val="22"/>
        </w:rPr>
        <w:t>Clinical Psychology &amp; Psychotherapy</w:t>
      </w:r>
      <w:r w:rsidRPr="004D46AC">
        <w:rPr>
          <w:rFonts w:ascii="Arial" w:hAnsi="Arial" w:cs="Arial"/>
          <w:szCs w:val="22"/>
        </w:rPr>
        <w:t>,</w:t>
      </w:r>
      <w:r w:rsidRPr="004D46AC">
        <w:rPr>
          <w:rFonts w:ascii="Arial" w:hAnsi="Arial" w:cs="Arial"/>
          <w:i/>
          <w:szCs w:val="22"/>
        </w:rPr>
        <w:t xml:space="preserve"> 18</w:t>
      </w:r>
      <w:r w:rsidRPr="004D46AC">
        <w:rPr>
          <w:rFonts w:ascii="Arial" w:hAnsi="Arial" w:cs="Arial"/>
          <w:szCs w:val="22"/>
        </w:rPr>
        <w:t xml:space="preserve">(5), 397–410. https://doi.org/https://doi.org/10.1002/cpp.780 </w:t>
      </w:r>
    </w:p>
    <w:p w14:paraId="3DEFDDB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Berk, M., Dodd, S., Kauer-Sant’Anna, M., Malhi, G. S., </w:t>
      </w:r>
      <w:proofErr w:type="spellStart"/>
      <w:r w:rsidRPr="004D46AC">
        <w:rPr>
          <w:rFonts w:ascii="Arial" w:hAnsi="Arial" w:cs="Arial"/>
          <w:szCs w:val="22"/>
        </w:rPr>
        <w:t>Bourin</w:t>
      </w:r>
      <w:proofErr w:type="spellEnd"/>
      <w:r w:rsidRPr="004D46AC">
        <w:rPr>
          <w:rFonts w:ascii="Arial" w:hAnsi="Arial" w:cs="Arial"/>
          <w:szCs w:val="22"/>
        </w:rPr>
        <w:t xml:space="preserve">, M., Kapczinski, F., &amp; Norman, T. (2007). Dopamine dysregulation syndrome: implications for a dopamine hypothesis of bipolar disorder. </w:t>
      </w:r>
      <w:r w:rsidRPr="004D46AC">
        <w:rPr>
          <w:rFonts w:ascii="Arial" w:hAnsi="Arial" w:cs="Arial"/>
          <w:i/>
          <w:szCs w:val="22"/>
        </w:rPr>
        <w:t xml:space="preserve">Acta </w:t>
      </w:r>
      <w:proofErr w:type="spellStart"/>
      <w:r w:rsidRPr="004D46AC">
        <w:rPr>
          <w:rFonts w:ascii="Arial" w:hAnsi="Arial" w:cs="Arial"/>
          <w:i/>
          <w:szCs w:val="22"/>
        </w:rPr>
        <w:t>Psychiatrica</w:t>
      </w:r>
      <w:proofErr w:type="spellEnd"/>
      <w:r w:rsidRPr="004D46AC">
        <w:rPr>
          <w:rFonts w:ascii="Arial" w:hAnsi="Arial" w:cs="Arial"/>
          <w:i/>
          <w:szCs w:val="22"/>
        </w:rPr>
        <w:t xml:space="preserve"> Scandinavica</w:t>
      </w:r>
      <w:r w:rsidRPr="004D46AC">
        <w:rPr>
          <w:rFonts w:ascii="Arial" w:hAnsi="Arial" w:cs="Arial"/>
          <w:szCs w:val="22"/>
        </w:rPr>
        <w:t>,</w:t>
      </w:r>
      <w:r w:rsidRPr="004D46AC">
        <w:rPr>
          <w:rFonts w:ascii="Arial" w:hAnsi="Arial" w:cs="Arial"/>
          <w:i/>
          <w:szCs w:val="22"/>
        </w:rPr>
        <w:t xml:space="preserve"> 116</w:t>
      </w:r>
      <w:r w:rsidRPr="004D46AC">
        <w:rPr>
          <w:rFonts w:ascii="Arial" w:hAnsi="Arial" w:cs="Arial"/>
          <w:szCs w:val="22"/>
        </w:rPr>
        <w:t xml:space="preserve">(s434), 41–49. https://doi.org/https://doi.org/10.1111/j.1600-0447.2007.01058.x </w:t>
      </w:r>
    </w:p>
    <w:p w14:paraId="36186EC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Bora, E., Bartholomeusz, C., &amp; Pantelis, C. (2016). Meta-analysis of Theory of Mind (</w:t>
      </w:r>
      <w:proofErr w:type="spellStart"/>
      <w:r w:rsidRPr="004D46AC">
        <w:rPr>
          <w:rFonts w:ascii="Arial" w:hAnsi="Arial" w:cs="Arial"/>
          <w:szCs w:val="22"/>
        </w:rPr>
        <w:t>ToM</w:t>
      </w:r>
      <w:proofErr w:type="spellEnd"/>
      <w:r w:rsidRPr="004D46AC">
        <w:rPr>
          <w:rFonts w:ascii="Arial" w:hAnsi="Arial" w:cs="Arial"/>
          <w:szCs w:val="22"/>
        </w:rPr>
        <w:t xml:space="preserve">) impairment in bipolar disorder.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46</w:t>
      </w:r>
      <w:r w:rsidRPr="004D46AC">
        <w:rPr>
          <w:rFonts w:ascii="Arial" w:hAnsi="Arial" w:cs="Arial"/>
          <w:szCs w:val="22"/>
        </w:rPr>
        <w:t xml:space="preserve">(2), 253–264. </w:t>
      </w:r>
    </w:p>
    <w:p w14:paraId="625E607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Bora, E., Yücel, M., &amp; Pantelis, C. (2009). Theory of mind impairment: a distinct trait</w:t>
      </w:r>
      <w:r w:rsidRPr="004D46AC">
        <w:rPr>
          <w:rFonts w:ascii="Cambria Math" w:hAnsi="Cambria Math" w:cs="Cambria Math"/>
          <w:szCs w:val="22"/>
        </w:rPr>
        <w:t>‐</w:t>
      </w:r>
      <w:r w:rsidRPr="004D46AC">
        <w:rPr>
          <w:rFonts w:ascii="Arial" w:hAnsi="Arial" w:cs="Arial"/>
          <w:szCs w:val="22"/>
        </w:rPr>
        <w:t xml:space="preserve">marker for schizophrenia spectrum disorders and bipolar disorder? </w:t>
      </w:r>
      <w:r w:rsidRPr="004D46AC">
        <w:rPr>
          <w:rFonts w:ascii="Arial" w:hAnsi="Arial" w:cs="Arial"/>
          <w:i/>
          <w:szCs w:val="22"/>
        </w:rPr>
        <w:t xml:space="preserve">Acta </w:t>
      </w:r>
      <w:proofErr w:type="spellStart"/>
      <w:r w:rsidRPr="004D46AC">
        <w:rPr>
          <w:rFonts w:ascii="Arial" w:hAnsi="Arial" w:cs="Arial"/>
          <w:i/>
          <w:szCs w:val="22"/>
        </w:rPr>
        <w:t>Psychiatrica</w:t>
      </w:r>
      <w:proofErr w:type="spellEnd"/>
      <w:r w:rsidRPr="004D46AC">
        <w:rPr>
          <w:rFonts w:ascii="Arial" w:hAnsi="Arial" w:cs="Arial"/>
          <w:i/>
          <w:szCs w:val="22"/>
        </w:rPr>
        <w:t xml:space="preserve"> Scandinavica</w:t>
      </w:r>
      <w:r w:rsidRPr="004D46AC">
        <w:rPr>
          <w:rFonts w:ascii="Arial" w:hAnsi="Arial" w:cs="Arial"/>
          <w:szCs w:val="22"/>
        </w:rPr>
        <w:t>,</w:t>
      </w:r>
      <w:r w:rsidRPr="004D46AC">
        <w:rPr>
          <w:rFonts w:ascii="Arial" w:hAnsi="Arial" w:cs="Arial"/>
          <w:i/>
          <w:szCs w:val="22"/>
        </w:rPr>
        <w:t xml:space="preserve"> 120</w:t>
      </w:r>
      <w:r w:rsidRPr="004D46AC">
        <w:rPr>
          <w:rFonts w:ascii="Arial" w:hAnsi="Arial" w:cs="Arial"/>
          <w:szCs w:val="22"/>
        </w:rPr>
        <w:t xml:space="preserve">(4), 253–264. </w:t>
      </w:r>
    </w:p>
    <w:p w14:paraId="59A8B550"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Borsboom, D., &amp; Cramer, A. O. J. (2013). Network Analysis: An Integrative Approach to the Structure of Psychopathology. </w:t>
      </w:r>
      <w:r w:rsidRPr="004D46AC">
        <w:rPr>
          <w:rFonts w:ascii="Arial" w:hAnsi="Arial" w:cs="Arial"/>
          <w:i/>
          <w:szCs w:val="22"/>
        </w:rPr>
        <w:t>Annual review of clinical psychology</w:t>
      </w:r>
      <w:r w:rsidRPr="004D46AC">
        <w:rPr>
          <w:rFonts w:ascii="Arial" w:hAnsi="Arial" w:cs="Arial"/>
          <w:szCs w:val="22"/>
        </w:rPr>
        <w:t>,</w:t>
      </w:r>
      <w:r w:rsidRPr="004D46AC">
        <w:rPr>
          <w:rFonts w:ascii="Arial" w:hAnsi="Arial" w:cs="Arial"/>
          <w:i/>
          <w:szCs w:val="22"/>
        </w:rPr>
        <w:t xml:space="preserve"> 9</w:t>
      </w:r>
      <w:r w:rsidRPr="004D46AC">
        <w:rPr>
          <w:rFonts w:ascii="Arial" w:hAnsi="Arial" w:cs="Arial"/>
          <w:szCs w:val="22"/>
        </w:rPr>
        <w:t xml:space="preserve">(Volume 9, 2013), 91–121. https://doi.org/https://doi.org/10.1146/annurev-clinpsy-050212-185608 </w:t>
      </w:r>
    </w:p>
    <w:p w14:paraId="38409B5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Cramer, A. O. J., van </w:t>
      </w:r>
      <w:proofErr w:type="spellStart"/>
      <w:r w:rsidRPr="004D46AC">
        <w:rPr>
          <w:rFonts w:ascii="Arial" w:hAnsi="Arial" w:cs="Arial"/>
          <w:szCs w:val="22"/>
        </w:rPr>
        <w:t>Borkulo</w:t>
      </w:r>
      <w:proofErr w:type="spellEnd"/>
      <w:r w:rsidRPr="004D46AC">
        <w:rPr>
          <w:rFonts w:ascii="Arial" w:hAnsi="Arial" w:cs="Arial"/>
          <w:szCs w:val="22"/>
        </w:rPr>
        <w:t xml:space="preserve">, C. D., </w:t>
      </w:r>
      <w:proofErr w:type="spellStart"/>
      <w:r w:rsidRPr="004D46AC">
        <w:rPr>
          <w:rFonts w:ascii="Arial" w:hAnsi="Arial" w:cs="Arial"/>
          <w:szCs w:val="22"/>
        </w:rPr>
        <w:t>Giltay</w:t>
      </w:r>
      <w:proofErr w:type="spellEnd"/>
      <w:r w:rsidRPr="004D46AC">
        <w:rPr>
          <w:rFonts w:ascii="Arial" w:hAnsi="Arial" w:cs="Arial"/>
          <w:szCs w:val="22"/>
        </w:rPr>
        <w:t xml:space="preserve">, E. J., van der Maas, H. L. J., Kendler, K. S., Scheffer, M., &amp; Borsboom, D. (2016). Major Depression as a Complex Dynamic System. </w:t>
      </w:r>
      <w:r w:rsidRPr="004D46AC">
        <w:rPr>
          <w:rFonts w:ascii="Arial" w:hAnsi="Arial" w:cs="Arial"/>
          <w:i/>
          <w:szCs w:val="22"/>
        </w:rPr>
        <w:t>PLOS ONE</w:t>
      </w:r>
      <w:r w:rsidRPr="004D46AC">
        <w:rPr>
          <w:rFonts w:ascii="Arial" w:hAnsi="Arial" w:cs="Arial"/>
          <w:szCs w:val="22"/>
        </w:rPr>
        <w:t>,</w:t>
      </w:r>
      <w:r w:rsidRPr="004D46AC">
        <w:rPr>
          <w:rFonts w:ascii="Arial" w:hAnsi="Arial" w:cs="Arial"/>
          <w:i/>
          <w:szCs w:val="22"/>
        </w:rPr>
        <w:t xml:space="preserve"> 11</w:t>
      </w:r>
      <w:r w:rsidRPr="004D46AC">
        <w:rPr>
          <w:rFonts w:ascii="Arial" w:hAnsi="Arial" w:cs="Arial"/>
          <w:szCs w:val="22"/>
        </w:rPr>
        <w:t xml:space="preserve">(12), e0167490. https://doi.org/10.1371/journal.pone.0167490 </w:t>
      </w:r>
    </w:p>
    <w:p w14:paraId="219484A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Depue, R. A., &amp; Collins, P. F. (1999). Neurobiology of the structure of personality: Dopamine, facilitation of incentive motivation, and extraversion. </w:t>
      </w:r>
      <w:proofErr w:type="spellStart"/>
      <w:r w:rsidRPr="004D46AC">
        <w:rPr>
          <w:rFonts w:ascii="Arial" w:hAnsi="Arial" w:cs="Arial"/>
          <w:i/>
          <w:szCs w:val="22"/>
        </w:rPr>
        <w:t>Behavioral</w:t>
      </w:r>
      <w:proofErr w:type="spellEnd"/>
      <w:r w:rsidRPr="004D46AC">
        <w:rPr>
          <w:rFonts w:ascii="Arial" w:hAnsi="Arial" w:cs="Arial"/>
          <w:i/>
          <w:szCs w:val="22"/>
        </w:rPr>
        <w:t xml:space="preserve"> and Brain Sciences</w:t>
      </w:r>
      <w:r w:rsidRPr="004D46AC">
        <w:rPr>
          <w:rFonts w:ascii="Arial" w:hAnsi="Arial" w:cs="Arial"/>
          <w:szCs w:val="22"/>
        </w:rPr>
        <w:t>,</w:t>
      </w:r>
      <w:r w:rsidRPr="004D46AC">
        <w:rPr>
          <w:rFonts w:ascii="Arial" w:hAnsi="Arial" w:cs="Arial"/>
          <w:i/>
          <w:szCs w:val="22"/>
        </w:rPr>
        <w:t xml:space="preserve"> 22</w:t>
      </w:r>
      <w:r w:rsidRPr="004D46AC">
        <w:rPr>
          <w:rFonts w:ascii="Arial" w:hAnsi="Arial" w:cs="Arial"/>
          <w:szCs w:val="22"/>
        </w:rPr>
        <w:t xml:space="preserve">(3), 491–517. https://doi.org/10.1017/S0140525X99002046 </w:t>
      </w:r>
    </w:p>
    <w:p w14:paraId="59B1633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Ding, F., Li, N., Zhang, S., Li, J., Jing, Z., &amp; Zhao, Y. (2024). Network comparison analysis of comorbid depression and anxiety disorder in a large clinical sample before and after </w:t>
      </w:r>
      <w:r w:rsidRPr="004D46AC">
        <w:rPr>
          <w:rFonts w:ascii="Arial" w:hAnsi="Arial" w:cs="Arial"/>
          <w:szCs w:val="22"/>
        </w:rPr>
        <w:lastRenderedPageBreak/>
        <w:t xml:space="preserve">treatment. </w:t>
      </w:r>
      <w:r w:rsidRPr="004D46AC">
        <w:rPr>
          <w:rFonts w:ascii="Arial" w:hAnsi="Arial" w:cs="Arial"/>
          <w:i/>
          <w:szCs w:val="22"/>
        </w:rPr>
        <w:t>Current Psychology</w:t>
      </w:r>
      <w:r w:rsidRPr="004D46AC">
        <w:rPr>
          <w:rFonts w:ascii="Arial" w:hAnsi="Arial" w:cs="Arial"/>
          <w:szCs w:val="22"/>
        </w:rPr>
        <w:t>,</w:t>
      </w:r>
      <w:r w:rsidRPr="004D46AC">
        <w:rPr>
          <w:rFonts w:ascii="Arial" w:hAnsi="Arial" w:cs="Arial"/>
          <w:i/>
          <w:szCs w:val="22"/>
        </w:rPr>
        <w:t xml:space="preserve"> 43</w:t>
      </w:r>
      <w:r w:rsidRPr="004D46AC">
        <w:rPr>
          <w:rFonts w:ascii="Arial" w:hAnsi="Arial" w:cs="Arial"/>
          <w:szCs w:val="22"/>
        </w:rPr>
        <w:t xml:space="preserve">(15), 13267–13278. https://doi.org/10.1007/s12144-023-05308-3 </w:t>
      </w:r>
    </w:p>
    <w:p w14:paraId="05381471"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Fusar</w:t>
      </w:r>
      <w:proofErr w:type="spellEnd"/>
      <w:r w:rsidRPr="004D46AC">
        <w:rPr>
          <w:rFonts w:ascii="Arial" w:hAnsi="Arial" w:cs="Arial"/>
          <w:szCs w:val="22"/>
        </w:rPr>
        <w:t xml:space="preserve">-Poli, P., Borgwardt, S., </w:t>
      </w:r>
      <w:proofErr w:type="spellStart"/>
      <w:r w:rsidRPr="004D46AC">
        <w:rPr>
          <w:rFonts w:ascii="Arial" w:hAnsi="Arial" w:cs="Arial"/>
          <w:szCs w:val="22"/>
        </w:rPr>
        <w:t>Bechdolf</w:t>
      </w:r>
      <w:proofErr w:type="spellEnd"/>
      <w:r w:rsidRPr="004D46AC">
        <w:rPr>
          <w:rFonts w:ascii="Arial" w:hAnsi="Arial" w:cs="Arial"/>
          <w:szCs w:val="22"/>
        </w:rPr>
        <w:t xml:space="preserve">, A., Addington, J., </w:t>
      </w:r>
      <w:proofErr w:type="spellStart"/>
      <w:r w:rsidRPr="004D46AC">
        <w:rPr>
          <w:rFonts w:ascii="Arial" w:hAnsi="Arial" w:cs="Arial"/>
          <w:szCs w:val="22"/>
        </w:rPr>
        <w:t>Riecher</w:t>
      </w:r>
      <w:proofErr w:type="spellEnd"/>
      <w:r w:rsidRPr="004D46AC">
        <w:rPr>
          <w:rFonts w:ascii="Arial" w:hAnsi="Arial" w:cs="Arial"/>
          <w:szCs w:val="22"/>
        </w:rPr>
        <w:t xml:space="preserve">-Rössler, A., Schultze-Lutter, F., Keshavan, M., Wood, S., </w:t>
      </w:r>
      <w:proofErr w:type="spellStart"/>
      <w:r w:rsidRPr="004D46AC">
        <w:rPr>
          <w:rFonts w:ascii="Arial" w:hAnsi="Arial" w:cs="Arial"/>
          <w:szCs w:val="22"/>
        </w:rPr>
        <w:t>Ruhrmann</w:t>
      </w:r>
      <w:proofErr w:type="spellEnd"/>
      <w:r w:rsidRPr="004D46AC">
        <w:rPr>
          <w:rFonts w:ascii="Arial" w:hAnsi="Arial" w:cs="Arial"/>
          <w:szCs w:val="22"/>
        </w:rPr>
        <w:t xml:space="preserve">, S., Seidman, L. J., </w:t>
      </w:r>
      <w:proofErr w:type="spellStart"/>
      <w:r w:rsidRPr="004D46AC">
        <w:rPr>
          <w:rFonts w:ascii="Arial" w:hAnsi="Arial" w:cs="Arial"/>
          <w:szCs w:val="22"/>
        </w:rPr>
        <w:t>Valmaggia</w:t>
      </w:r>
      <w:proofErr w:type="spellEnd"/>
      <w:r w:rsidRPr="004D46AC">
        <w:rPr>
          <w:rFonts w:ascii="Arial" w:hAnsi="Arial" w:cs="Arial"/>
          <w:szCs w:val="22"/>
        </w:rPr>
        <w:t xml:space="preserve">, L., Cannon, T., </w:t>
      </w:r>
      <w:proofErr w:type="spellStart"/>
      <w:r w:rsidRPr="004D46AC">
        <w:rPr>
          <w:rFonts w:ascii="Arial" w:hAnsi="Arial" w:cs="Arial"/>
          <w:szCs w:val="22"/>
        </w:rPr>
        <w:t>Velthorst</w:t>
      </w:r>
      <w:proofErr w:type="spellEnd"/>
      <w:r w:rsidRPr="004D46AC">
        <w:rPr>
          <w:rFonts w:ascii="Arial" w:hAnsi="Arial" w:cs="Arial"/>
          <w:szCs w:val="22"/>
        </w:rPr>
        <w:t xml:space="preserve">, E., De Haan, L., </w:t>
      </w:r>
      <w:proofErr w:type="spellStart"/>
      <w:r w:rsidRPr="004D46AC">
        <w:rPr>
          <w:rFonts w:ascii="Arial" w:hAnsi="Arial" w:cs="Arial"/>
          <w:szCs w:val="22"/>
        </w:rPr>
        <w:t>Cornblatt</w:t>
      </w:r>
      <w:proofErr w:type="spellEnd"/>
      <w:r w:rsidRPr="004D46AC">
        <w:rPr>
          <w:rFonts w:ascii="Arial" w:hAnsi="Arial" w:cs="Arial"/>
          <w:szCs w:val="22"/>
        </w:rPr>
        <w:t xml:space="preserve">, B., Bonoldi, I., Birchwood, M., McGlashan, T., Carpenter, W.,…Yung, A. (2013). The Psychosis High-Risk State: A Comprehensive State-of-the-Art Review. </w:t>
      </w:r>
      <w:r w:rsidRPr="004D46AC">
        <w:rPr>
          <w:rFonts w:ascii="Arial" w:hAnsi="Arial" w:cs="Arial"/>
          <w:i/>
          <w:szCs w:val="22"/>
        </w:rPr>
        <w:t>JAMA Psychiatry</w:t>
      </w:r>
      <w:r w:rsidRPr="004D46AC">
        <w:rPr>
          <w:rFonts w:ascii="Arial" w:hAnsi="Arial" w:cs="Arial"/>
          <w:szCs w:val="22"/>
        </w:rPr>
        <w:t>,</w:t>
      </w:r>
      <w:r w:rsidRPr="004D46AC">
        <w:rPr>
          <w:rFonts w:ascii="Arial" w:hAnsi="Arial" w:cs="Arial"/>
          <w:i/>
          <w:szCs w:val="22"/>
        </w:rPr>
        <w:t xml:space="preserve"> 70</w:t>
      </w:r>
      <w:r w:rsidRPr="004D46AC">
        <w:rPr>
          <w:rFonts w:ascii="Arial" w:hAnsi="Arial" w:cs="Arial"/>
          <w:szCs w:val="22"/>
        </w:rPr>
        <w:t xml:space="preserve">(1), 107–120. https://doi.org/10.1001/jamapsychiatry.2013.269 </w:t>
      </w:r>
    </w:p>
    <w:p w14:paraId="5374F643"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Gamma, A., Angst, J., </w:t>
      </w:r>
      <w:proofErr w:type="spellStart"/>
      <w:r w:rsidRPr="004D46AC">
        <w:rPr>
          <w:rFonts w:ascii="Arial" w:hAnsi="Arial" w:cs="Arial"/>
          <w:szCs w:val="22"/>
        </w:rPr>
        <w:t>Ajdacic</w:t>
      </w:r>
      <w:proofErr w:type="spellEnd"/>
      <w:r w:rsidRPr="004D46AC">
        <w:rPr>
          <w:rFonts w:ascii="Arial" w:hAnsi="Arial" w:cs="Arial"/>
          <w:szCs w:val="22"/>
        </w:rPr>
        <w:t xml:space="preserve">-Gross, V., &amp; Rössler, W. (2008). Are </w:t>
      </w:r>
      <w:proofErr w:type="spellStart"/>
      <w:r w:rsidRPr="004D46AC">
        <w:rPr>
          <w:rFonts w:ascii="Arial" w:hAnsi="Arial" w:cs="Arial"/>
          <w:szCs w:val="22"/>
        </w:rPr>
        <w:t>hypomanics</w:t>
      </w:r>
      <w:proofErr w:type="spellEnd"/>
      <w:r w:rsidRPr="004D46AC">
        <w:rPr>
          <w:rFonts w:ascii="Arial" w:hAnsi="Arial" w:cs="Arial"/>
          <w:szCs w:val="22"/>
        </w:rPr>
        <w:t xml:space="preserve"> the happier normals?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111</w:t>
      </w:r>
      <w:r w:rsidRPr="004D46AC">
        <w:rPr>
          <w:rFonts w:ascii="Arial" w:hAnsi="Arial" w:cs="Arial"/>
          <w:szCs w:val="22"/>
        </w:rPr>
        <w:t xml:space="preserve">(2), 235–243. https://doi.org/https://doi.org/10.1016/j.jad.2008.02.020 </w:t>
      </w:r>
    </w:p>
    <w:p w14:paraId="49183F8E"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Granö</w:t>
      </w:r>
      <w:proofErr w:type="spellEnd"/>
      <w:r w:rsidRPr="004D46AC">
        <w:rPr>
          <w:rFonts w:ascii="Arial" w:hAnsi="Arial" w:cs="Arial"/>
          <w:szCs w:val="22"/>
        </w:rPr>
        <w:t xml:space="preserve">, N., Lintula, S., Therman, S., </w:t>
      </w:r>
      <w:proofErr w:type="spellStart"/>
      <w:r w:rsidRPr="004D46AC">
        <w:rPr>
          <w:rFonts w:ascii="Arial" w:hAnsi="Arial" w:cs="Arial"/>
          <w:szCs w:val="22"/>
        </w:rPr>
        <w:t>Marttunen</w:t>
      </w:r>
      <w:proofErr w:type="spellEnd"/>
      <w:r w:rsidRPr="004D46AC">
        <w:rPr>
          <w:rFonts w:ascii="Arial" w:hAnsi="Arial" w:cs="Arial"/>
          <w:szCs w:val="22"/>
        </w:rPr>
        <w:t xml:space="preserve">, M., Lång, U., &amp; Ranta, K. (2023). Factor and network analysis of psychosis-like experiences and depressive symptoms in a sample of Finnish adolescents entering psychiatric services. </w:t>
      </w:r>
      <w:r w:rsidRPr="004D46AC">
        <w:rPr>
          <w:rFonts w:ascii="Arial" w:hAnsi="Arial" w:cs="Arial"/>
          <w:i/>
          <w:szCs w:val="22"/>
        </w:rPr>
        <w:t>Early Intervention in Psychiatry</w:t>
      </w:r>
      <w:r w:rsidRPr="004D46AC">
        <w:rPr>
          <w:rFonts w:ascii="Arial" w:hAnsi="Arial" w:cs="Arial"/>
          <w:szCs w:val="22"/>
        </w:rPr>
        <w:t>,</w:t>
      </w:r>
      <w:r w:rsidRPr="004D46AC">
        <w:rPr>
          <w:rFonts w:ascii="Arial" w:hAnsi="Arial" w:cs="Arial"/>
          <w:i/>
          <w:szCs w:val="22"/>
        </w:rPr>
        <w:t xml:space="preserve"> 17</w:t>
      </w:r>
      <w:r w:rsidRPr="004D46AC">
        <w:rPr>
          <w:rFonts w:ascii="Arial" w:hAnsi="Arial" w:cs="Arial"/>
          <w:szCs w:val="22"/>
        </w:rPr>
        <w:t xml:space="preserve">(12), 1199–1206. https://doi.org/https://doi.org/10.1111/eip.13417 </w:t>
      </w:r>
    </w:p>
    <w:p w14:paraId="424B14E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Guineau, M. G., </w:t>
      </w:r>
      <w:proofErr w:type="spellStart"/>
      <w:r w:rsidRPr="004D46AC">
        <w:rPr>
          <w:rFonts w:ascii="Arial" w:hAnsi="Arial" w:cs="Arial"/>
          <w:szCs w:val="22"/>
        </w:rPr>
        <w:t>Ikani</w:t>
      </w:r>
      <w:proofErr w:type="spellEnd"/>
      <w:r w:rsidRPr="004D46AC">
        <w:rPr>
          <w:rFonts w:ascii="Arial" w:hAnsi="Arial" w:cs="Arial"/>
          <w:szCs w:val="22"/>
        </w:rPr>
        <w:t xml:space="preserve">, N., Rinck, M., Collard, R. M., van Eijndhoven, P., </w:t>
      </w:r>
      <w:proofErr w:type="spellStart"/>
      <w:r w:rsidRPr="004D46AC">
        <w:rPr>
          <w:rFonts w:ascii="Arial" w:hAnsi="Arial" w:cs="Arial"/>
          <w:szCs w:val="22"/>
        </w:rPr>
        <w:t>Tendolkar</w:t>
      </w:r>
      <w:proofErr w:type="spellEnd"/>
      <w:r w:rsidRPr="004D46AC">
        <w:rPr>
          <w:rFonts w:ascii="Arial" w:hAnsi="Arial" w:cs="Arial"/>
          <w:szCs w:val="22"/>
        </w:rPr>
        <w:t xml:space="preserve">, I., Schene, A. H., Becker, E. S., &amp; </w:t>
      </w:r>
      <w:proofErr w:type="spellStart"/>
      <w:r w:rsidRPr="004D46AC">
        <w:rPr>
          <w:rFonts w:ascii="Arial" w:hAnsi="Arial" w:cs="Arial"/>
          <w:szCs w:val="22"/>
        </w:rPr>
        <w:t>Vrijsen</w:t>
      </w:r>
      <w:proofErr w:type="spellEnd"/>
      <w:r w:rsidRPr="004D46AC">
        <w:rPr>
          <w:rFonts w:ascii="Arial" w:hAnsi="Arial" w:cs="Arial"/>
          <w:szCs w:val="22"/>
        </w:rPr>
        <w:t xml:space="preserve">, J. N. (2023). Anhedonia as a transdiagnostic symptom across psychological disorders: a network approach.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53</w:t>
      </w:r>
      <w:r w:rsidRPr="004D46AC">
        <w:rPr>
          <w:rFonts w:ascii="Arial" w:hAnsi="Arial" w:cs="Arial"/>
          <w:szCs w:val="22"/>
        </w:rPr>
        <w:t xml:space="preserve">(9), 3908–3919. https://doi.org/10.1017/S0033291722000575 </w:t>
      </w:r>
    </w:p>
    <w:p w14:paraId="556DFED1"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Hayes, S. C., Wilson, K. G., Gifford, E. V., Follette, V. M., &amp; Strosahl, K. (1996). Experimental avoidance and </w:t>
      </w:r>
      <w:proofErr w:type="spellStart"/>
      <w:r w:rsidRPr="004D46AC">
        <w:rPr>
          <w:rFonts w:ascii="Arial" w:hAnsi="Arial" w:cs="Arial"/>
          <w:szCs w:val="22"/>
        </w:rPr>
        <w:t>behavioral</w:t>
      </w:r>
      <w:proofErr w:type="spellEnd"/>
      <w:r w:rsidRPr="004D46AC">
        <w:rPr>
          <w:rFonts w:ascii="Arial" w:hAnsi="Arial" w:cs="Arial"/>
          <w:szCs w:val="22"/>
        </w:rPr>
        <w:t xml:space="preserve"> disorders: a functional dimensional approach to diagnosis and treatment. </w:t>
      </w:r>
      <w:r w:rsidRPr="004D46AC">
        <w:rPr>
          <w:rFonts w:ascii="Arial" w:hAnsi="Arial" w:cs="Arial"/>
          <w:i/>
          <w:szCs w:val="22"/>
        </w:rPr>
        <w:t xml:space="preserve">J Consult Clin </w:t>
      </w:r>
      <w:proofErr w:type="spellStart"/>
      <w:r w:rsidRPr="004D46AC">
        <w:rPr>
          <w:rFonts w:ascii="Arial" w:hAnsi="Arial" w:cs="Arial"/>
          <w:i/>
          <w:szCs w:val="22"/>
        </w:rPr>
        <w:t>Psychol</w:t>
      </w:r>
      <w:proofErr w:type="spellEnd"/>
      <w:r w:rsidRPr="004D46AC">
        <w:rPr>
          <w:rFonts w:ascii="Arial" w:hAnsi="Arial" w:cs="Arial"/>
          <w:szCs w:val="22"/>
        </w:rPr>
        <w:t>,</w:t>
      </w:r>
      <w:r w:rsidRPr="004D46AC">
        <w:rPr>
          <w:rFonts w:ascii="Arial" w:hAnsi="Arial" w:cs="Arial"/>
          <w:i/>
          <w:szCs w:val="22"/>
        </w:rPr>
        <w:t xml:space="preserve"> 64</w:t>
      </w:r>
      <w:r w:rsidRPr="004D46AC">
        <w:rPr>
          <w:rFonts w:ascii="Arial" w:hAnsi="Arial" w:cs="Arial"/>
          <w:szCs w:val="22"/>
        </w:rPr>
        <w:t xml:space="preserve">(6), 1152–1168. https://doi.org/10.1037//0022-006x.64.6.1152 </w:t>
      </w:r>
    </w:p>
    <w:p w14:paraId="77D57F6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Hogg, B., </w:t>
      </w:r>
      <w:proofErr w:type="spellStart"/>
      <w:r w:rsidRPr="004D46AC">
        <w:rPr>
          <w:rFonts w:ascii="Arial" w:hAnsi="Arial" w:cs="Arial"/>
          <w:szCs w:val="22"/>
        </w:rPr>
        <w:t>Gardoki</w:t>
      </w:r>
      <w:proofErr w:type="spellEnd"/>
      <w:r w:rsidRPr="004D46AC">
        <w:rPr>
          <w:rFonts w:ascii="Arial" w:hAnsi="Arial" w:cs="Arial"/>
          <w:szCs w:val="22"/>
        </w:rPr>
        <w:t xml:space="preserve">-Souto, I., Valiente-Gómez, A., Rosa, A. R., </w:t>
      </w:r>
      <w:proofErr w:type="spellStart"/>
      <w:r w:rsidRPr="004D46AC">
        <w:rPr>
          <w:rFonts w:ascii="Arial" w:hAnsi="Arial" w:cs="Arial"/>
          <w:szCs w:val="22"/>
        </w:rPr>
        <w:t>Fortea</w:t>
      </w:r>
      <w:proofErr w:type="spellEnd"/>
      <w:r w:rsidRPr="004D46AC">
        <w:rPr>
          <w:rFonts w:ascii="Arial" w:hAnsi="Arial" w:cs="Arial"/>
          <w:szCs w:val="22"/>
        </w:rPr>
        <w:t xml:space="preserve">, L., </w:t>
      </w:r>
      <w:proofErr w:type="spellStart"/>
      <w:r w:rsidRPr="004D46AC">
        <w:rPr>
          <w:rFonts w:ascii="Arial" w:hAnsi="Arial" w:cs="Arial"/>
          <w:szCs w:val="22"/>
        </w:rPr>
        <w:t>Radua</w:t>
      </w:r>
      <w:proofErr w:type="spellEnd"/>
      <w:r w:rsidRPr="004D46AC">
        <w:rPr>
          <w:rFonts w:ascii="Arial" w:hAnsi="Arial" w:cs="Arial"/>
          <w:szCs w:val="22"/>
        </w:rPr>
        <w:t xml:space="preserve">, J., Amann, B. L., &amp; Moreno-Alcázar, A. (2023). Psychological trauma as a transdiagnostic risk factor for mental disorder: an umbrella meta-analysis. </w:t>
      </w:r>
      <w:r w:rsidRPr="004D46AC">
        <w:rPr>
          <w:rFonts w:ascii="Arial" w:hAnsi="Arial" w:cs="Arial"/>
          <w:i/>
          <w:szCs w:val="22"/>
        </w:rPr>
        <w:t>European Archives of Psychiatry and Clinical Neuroscience</w:t>
      </w:r>
      <w:r w:rsidRPr="004D46AC">
        <w:rPr>
          <w:rFonts w:ascii="Arial" w:hAnsi="Arial" w:cs="Arial"/>
          <w:szCs w:val="22"/>
        </w:rPr>
        <w:t>,</w:t>
      </w:r>
      <w:r w:rsidRPr="004D46AC">
        <w:rPr>
          <w:rFonts w:ascii="Arial" w:hAnsi="Arial" w:cs="Arial"/>
          <w:i/>
          <w:szCs w:val="22"/>
        </w:rPr>
        <w:t xml:space="preserve"> 273</w:t>
      </w:r>
      <w:r w:rsidRPr="004D46AC">
        <w:rPr>
          <w:rFonts w:ascii="Arial" w:hAnsi="Arial" w:cs="Arial"/>
          <w:szCs w:val="22"/>
        </w:rPr>
        <w:t xml:space="preserve">(2), 397–410. https://doi.org/10.1007/s00406-022-01495-5 </w:t>
      </w:r>
    </w:p>
    <w:p w14:paraId="5485665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Howes, O. D., &amp; Kapur, S. (2009). The Dopamine Hypothesis of Schizophrenia: Version III—The Final Common Pathway. </w:t>
      </w:r>
      <w:r w:rsidRPr="004D46AC">
        <w:rPr>
          <w:rFonts w:ascii="Arial" w:hAnsi="Arial" w:cs="Arial"/>
          <w:i/>
          <w:szCs w:val="22"/>
        </w:rPr>
        <w:t>Schizophrenia Bulletin</w:t>
      </w:r>
      <w:r w:rsidRPr="004D46AC">
        <w:rPr>
          <w:rFonts w:ascii="Arial" w:hAnsi="Arial" w:cs="Arial"/>
          <w:szCs w:val="22"/>
        </w:rPr>
        <w:t>,</w:t>
      </w:r>
      <w:r w:rsidRPr="004D46AC">
        <w:rPr>
          <w:rFonts w:ascii="Arial" w:hAnsi="Arial" w:cs="Arial"/>
          <w:i/>
          <w:szCs w:val="22"/>
        </w:rPr>
        <w:t xml:space="preserve"> 35</w:t>
      </w:r>
      <w:r w:rsidRPr="004D46AC">
        <w:rPr>
          <w:rFonts w:ascii="Arial" w:hAnsi="Arial" w:cs="Arial"/>
          <w:szCs w:val="22"/>
        </w:rPr>
        <w:t xml:space="preserve">(3), 549–562. https://doi.org/10.1093/schbul/sbp006 </w:t>
      </w:r>
    </w:p>
    <w:p w14:paraId="1CB3DBDE"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Huang, J., Tang, A., Li, Q., Chen, F., Ye, S., Song, L., &amp; Qiu, P. (2025). Network analysis of sleep disorders, depression and anxiety symptoms among community older adults. </w:t>
      </w:r>
      <w:r w:rsidRPr="004D46AC">
        <w:rPr>
          <w:rFonts w:ascii="Arial" w:hAnsi="Arial" w:cs="Arial"/>
          <w:i/>
          <w:szCs w:val="22"/>
        </w:rPr>
        <w:t>BMC Geriatrics</w:t>
      </w:r>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(1), 694. https://doi.org/10.1186/s12877-025-06381-y </w:t>
      </w:r>
    </w:p>
    <w:p w14:paraId="3B06995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Kaney, S., &amp; Bentall, R. P. (1992). Persecutory delusions and the self-serving bias. Evidence from a contingency judgment task. </w:t>
      </w:r>
      <w:r w:rsidRPr="004D46AC">
        <w:rPr>
          <w:rFonts w:ascii="Arial" w:hAnsi="Arial" w:cs="Arial"/>
          <w:i/>
          <w:szCs w:val="22"/>
        </w:rPr>
        <w:t xml:space="preserve">J </w:t>
      </w:r>
      <w:proofErr w:type="spellStart"/>
      <w:r w:rsidRPr="004D46AC">
        <w:rPr>
          <w:rFonts w:ascii="Arial" w:hAnsi="Arial" w:cs="Arial"/>
          <w:i/>
          <w:szCs w:val="22"/>
        </w:rPr>
        <w:t>Nerv</w:t>
      </w:r>
      <w:proofErr w:type="spellEnd"/>
      <w:r w:rsidRPr="004D46AC">
        <w:rPr>
          <w:rFonts w:ascii="Arial" w:hAnsi="Arial" w:cs="Arial"/>
          <w:i/>
          <w:szCs w:val="22"/>
        </w:rPr>
        <w:t xml:space="preserve"> Ment Dis</w:t>
      </w:r>
      <w:r w:rsidRPr="004D46AC">
        <w:rPr>
          <w:rFonts w:ascii="Arial" w:hAnsi="Arial" w:cs="Arial"/>
          <w:szCs w:val="22"/>
        </w:rPr>
        <w:t>,</w:t>
      </w:r>
      <w:r w:rsidRPr="004D46AC">
        <w:rPr>
          <w:rFonts w:ascii="Arial" w:hAnsi="Arial" w:cs="Arial"/>
          <w:i/>
          <w:szCs w:val="22"/>
        </w:rPr>
        <w:t xml:space="preserve"> 180</w:t>
      </w:r>
      <w:r w:rsidRPr="004D46AC">
        <w:rPr>
          <w:rFonts w:ascii="Arial" w:hAnsi="Arial" w:cs="Arial"/>
          <w:szCs w:val="22"/>
        </w:rPr>
        <w:t xml:space="preserve">(12), 773–780. https://doi.org/10.1097/00005053-199212000-00006 </w:t>
      </w:r>
    </w:p>
    <w:p w14:paraId="073528E0"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lastRenderedPageBreak/>
        <w:t>Keramatian</w:t>
      </w:r>
      <w:proofErr w:type="spellEnd"/>
      <w:r w:rsidRPr="004D46AC">
        <w:rPr>
          <w:rFonts w:ascii="Arial" w:hAnsi="Arial" w:cs="Arial"/>
          <w:szCs w:val="22"/>
        </w:rPr>
        <w:t xml:space="preserve">, K., Chithra, N. K., &amp; </w:t>
      </w:r>
      <w:proofErr w:type="spellStart"/>
      <w:r w:rsidRPr="004D46AC">
        <w:rPr>
          <w:rFonts w:ascii="Arial" w:hAnsi="Arial" w:cs="Arial"/>
          <w:szCs w:val="22"/>
        </w:rPr>
        <w:t>Yatham</w:t>
      </w:r>
      <w:proofErr w:type="spellEnd"/>
      <w:r w:rsidRPr="004D46AC">
        <w:rPr>
          <w:rFonts w:ascii="Arial" w:hAnsi="Arial" w:cs="Arial"/>
          <w:szCs w:val="22"/>
        </w:rPr>
        <w:t xml:space="preserve">, L. N. (2023). The CANMAT and ISBD Guidelines for the Treatment of Bipolar Disorder: Summary and a 2023 Update of Evidence. </w:t>
      </w:r>
      <w:r w:rsidRPr="004D46AC">
        <w:rPr>
          <w:rFonts w:ascii="Arial" w:hAnsi="Arial" w:cs="Arial"/>
          <w:i/>
          <w:szCs w:val="22"/>
        </w:rPr>
        <w:t>Focus</w:t>
      </w:r>
      <w:r w:rsidRPr="004D46AC">
        <w:rPr>
          <w:rFonts w:ascii="Arial" w:hAnsi="Arial" w:cs="Arial"/>
          <w:szCs w:val="22"/>
        </w:rPr>
        <w:t>,</w:t>
      </w:r>
      <w:r w:rsidRPr="004D46AC">
        <w:rPr>
          <w:rFonts w:ascii="Arial" w:hAnsi="Arial" w:cs="Arial"/>
          <w:i/>
          <w:szCs w:val="22"/>
        </w:rPr>
        <w:t xml:space="preserve"> 21</w:t>
      </w:r>
      <w:r w:rsidRPr="004D46AC">
        <w:rPr>
          <w:rFonts w:ascii="Arial" w:hAnsi="Arial" w:cs="Arial"/>
          <w:szCs w:val="22"/>
        </w:rPr>
        <w:t xml:space="preserve">(4), 344–353. https://doi.org/10.1176/appi.focus.20230009 </w:t>
      </w:r>
    </w:p>
    <w:p w14:paraId="1D6DC86F"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Kraepelin, E. (1899). </w:t>
      </w:r>
      <w:r w:rsidRPr="004D46AC">
        <w:rPr>
          <w:rFonts w:ascii="Arial" w:hAnsi="Arial" w:cs="Arial"/>
          <w:i/>
          <w:szCs w:val="22"/>
        </w:rPr>
        <w:t>Psychiatry: A textbook for students and physicians.</w:t>
      </w:r>
      <w:r w:rsidRPr="004D46AC">
        <w:rPr>
          <w:rFonts w:ascii="Arial" w:hAnsi="Arial" w:cs="Arial"/>
          <w:szCs w:val="22"/>
        </w:rPr>
        <w:t xml:space="preserve"> (Vol. Volume </w:t>
      </w:r>
      <w:proofErr w:type="gramStart"/>
      <w:r w:rsidRPr="004D46AC">
        <w:rPr>
          <w:rFonts w:ascii="Arial" w:hAnsi="Arial" w:cs="Arial"/>
          <w:szCs w:val="22"/>
        </w:rPr>
        <w:t>1 )</w:t>
      </w:r>
      <w:proofErr w:type="gramEnd"/>
      <w:r w:rsidRPr="004D46AC">
        <w:rPr>
          <w:rFonts w:ascii="Arial" w:hAnsi="Arial" w:cs="Arial"/>
          <w:szCs w:val="22"/>
        </w:rPr>
        <w:t xml:space="preserve">. Watson Publishing International. </w:t>
      </w:r>
    </w:p>
    <w:p w14:paraId="17AF0080"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Kwapil</w:t>
      </w:r>
      <w:proofErr w:type="spellEnd"/>
      <w:r w:rsidRPr="004D46AC">
        <w:rPr>
          <w:rFonts w:ascii="Arial" w:hAnsi="Arial" w:cs="Arial"/>
          <w:szCs w:val="22"/>
        </w:rPr>
        <w:t>, T. R., Barrantes-Vidal, N., Armistead, M. S., Hope, G. A., Brown, L. H., Silvia, P. J., &amp; Myin-</w:t>
      </w:r>
      <w:proofErr w:type="spellStart"/>
      <w:r w:rsidRPr="004D46AC">
        <w:rPr>
          <w:rFonts w:ascii="Arial" w:hAnsi="Arial" w:cs="Arial"/>
          <w:szCs w:val="22"/>
        </w:rPr>
        <w:t>Germeys</w:t>
      </w:r>
      <w:proofErr w:type="spellEnd"/>
      <w:r w:rsidRPr="004D46AC">
        <w:rPr>
          <w:rFonts w:ascii="Arial" w:hAnsi="Arial" w:cs="Arial"/>
          <w:szCs w:val="22"/>
        </w:rPr>
        <w:t xml:space="preserve">, I. (2011). The expression of bipolar spectrum psychopathology in daily life. </w:t>
      </w:r>
      <w:r w:rsidRPr="004D46AC">
        <w:rPr>
          <w:rFonts w:ascii="Arial" w:hAnsi="Arial" w:cs="Arial"/>
          <w:i/>
          <w:szCs w:val="22"/>
        </w:rPr>
        <w:t>Journal of affective disorders</w:t>
      </w:r>
      <w:r w:rsidRPr="004D46AC">
        <w:rPr>
          <w:rFonts w:ascii="Arial" w:hAnsi="Arial" w:cs="Arial"/>
          <w:szCs w:val="22"/>
        </w:rPr>
        <w:t>,</w:t>
      </w:r>
      <w:r w:rsidRPr="004D46AC">
        <w:rPr>
          <w:rFonts w:ascii="Arial" w:hAnsi="Arial" w:cs="Arial"/>
          <w:i/>
          <w:szCs w:val="22"/>
        </w:rPr>
        <w:t xml:space="preserve"> 130</w:t>
      </w:r>
      <w:r w:rsidRPr="004D46AC">
        <w:rPr>
          <w:rFonts w:ascii="Arial" w:hAnsi="Arial" w:cs="Arial"/>
          <w:szCs w:val="22"/>
        </w:rPr>
        <w:t xml:space="preserve">(1), 166–170. https://doi.org/https://doi.org/10.1016/j.jad.2010.10.025 </w:t>
      </w:r>
    </w:p>
    <w:p w14:paraId="2FB2EE7D"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McCutcheon, R. A., Pillinger, T., Varvari, I., Halstead, S., Ayinde, O. O., Crossley, N. A., Correll, C. U., Hahn, M., Howes, O. D., Kane, J. M., Kabir, T., Konradsson-Geuken, Å., Lennox, B., Hui, C. L. M., Rossell, S. L., Solmi, M., Sommer, I. E., Taipale, H., Uchida, H.,…Siskind, D. (2025). INTEGRATE: international guidelines for the algorithmic treatment of schizophrenia. </w:t>
      </w:r>
      <w:r w:rsidRPr="004D46AC">
        <w:rPr>
          <w:rFonts w:ascii="Arial" w:hAnsi="Arial" w:cs="Arial"/>
          <w:i/>
          <w:szCs w:val="22"/>
        </w:rPr>
        <w:t>The Lancet Psychiatry</w:t>
      </w:r>
      <w:r w:rsidRPr="004D46AC">
        <w:rPr>
          <w:rFonts w:ascii="Arial" w:hAnsi="Arial" w:cs="Arial"/>
          <w:szCs w:val="22"/>
        </w:rPr>
        <w:t>,</w:t>
      </w:r>
      <w:r w:rsidRPr="004D46AC">
        <w:rPr>
          <w:rFonts w:ascii="Arial" w:hAnsi="Arial" w:cs="Arial"/>
          <w:i/>
          <w:szCs w:val="22"/>
        </w:rPr>
        <w:t xml:space="preserve"> 12</w:t>
      </w:r>
      <w:r w:rsidRPr="004D46AC">
        <w:rPr>
          <w:rFonts w:ascii="Arial" w:hAnsi="Arial" w:cs="Arial"/>
          <w:szCs w:val="22"/>
        </w:rPr>
        <w:t xml:space="preserve">(5), 384–394. https://doi.org/10.1016/S2215-0366(25)00031-8 </w:t>
      </w:r>
    </w:p>
    <w:p w14:paraId="7E740FE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Meyer, B., Johnson, S. L., &amp; Carver, C. S. (1999). Exploring </w:t>
      </w:r>
      <w:proofErr w:type="spellStart"/>
      <w:r w:rsidRPr="004D46AC">
        <w:rPr>
          <w:rFonts w:ascii="Arial" w:hAnsi="Arial" w:cs="Arial"/>
          <w:szCs w:val="22"/>
        </w:rPr>
        <w:t>Behavioral</w:t>
      </w:r>
      <w:proofErr w:type="spellEnd"/>
      <w:r w:rsidRPr="004D46AC">
        <w:rPr>
          <w:rFonts w:ascii="Arial" w:hAnsi="Arial" w:cs="Arial"/>
          <w:szCs w:val="22"/>
        </w:rPr>
        <w:t xml:space="preserve"> Activation and Inhibition Sensitivities Among College Students at Risk for Bipolar Spectrum Symptomatology. </w:t>
      </w:r>
      <w:r w:rsidRPr="004D46AC">
        <w:rPr>
          <w:rFonts w:ascii="Arial" w:hAnsi="Arial" w:cs="Arial"/>
          <w:i/>
          <w:szCs w:val="22"/>
        </w:rPr>
        <w:t xml:space="preserve">Journal of Psychopathology and </w:t>
      </w:r>
      <w:proofErr w:type="spellStart"/>
      <w:r w:rsidRPr="004D46AC">
        <w:rPr>
          <w:rFonts w:ascii="Arial" w:hAnsi="Arial" w:cs="Arial"/>
          <w:i/>
          <w:szCs w:val="22"/>
        </w:rPr>
        <w:t>Behavioral</w:t>
      </w:r>
      <w:proofErr w:type="spellEnd"/>
      <w:r w:rsidRPr="004D46AC">
        <w:rPr>
          <w:rFonts w:ascii="Arial" w:hAnsi="Arial" w:cs="Arial"/>
          <w:i/>
          <w:szCs w:val="22"/>
        </w:rPr>
        <w:t xml:space="preserve"> Assessment</w:t>
      </w:r>
      <w:r w:rsidRPr="004D46AC">
        <w:rPr>
          <w:rFonts w:ascii="Arial" w:hAnsi="Arial" w:cs="Arial"/>
          <w:szCs w:val="22"/>
        </w:rPr>
        <w:t>,</w:t>
      </w:r>
      <w:r w:rsidRPr="004D46AC">
        <w:rPr>
          <w:rFonts w:ascii="Arial" w:hAnsi="Arial" w:cs="Arial"/>
          <w:i/>
          <w:szCs w:val="22"/>
        </w:rPr>
        <w:t xml:space="preserve"> 21</w:t>
      </w:r>
      <w:r w:rsidRPr="004D46AC">
        <w:rPr>
          <w:rFonts w:ascii="Arial" w:hAnsi="Arial" w:cs="Arial"/>
          <w:szCs w:val="22"/>
        </w:rPr>
        <w:t xml:space="preserve">(4), 275–292. https://doi.org/10.1023/A:1022119414440 </w:t>
      </w:r>
    </w:p>
    <w:p w14:paraId="45929FE7"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Park, S. (2018). A Study on the Theory of Mind Deficits and Delusions in Schizophrenic Patients. </w:t>
      </w:r>
      <w:r w:rsidRPr="004D46AC">
        <w:rPr>
          <w:rFonts w:ascii="Arial" w:hAnsi="Arial" w:cs="Arial"/>
          <w:i/>
          <w:szCs w:val="22"/>
        </w:rPr>
        <w:t>Issues in Mental Health Nursing</w:t>
      </w:r>
      <w:r w:rsidRPr="004D46AC">
        <w:rPr>
          <w:rFonts w:ascii="Arial" w:hAnsi="Arial" w:cs="Arial"/>
          <w:szCs w:val="22"/>
        </w:rPr>
        <w:t>,</w:t>
      </w:r>
      <w:r w:rsidRPr="004D46AC">
        <w:rPr>
          <w:rFonts w:ascii="Arial" w:hAnsi="Arial" w:cs="Arial"/>
          <w:i/>
          <w:szCs w:val="22"/>
        </w:rPr>
        <w:t xml:space="preserve"> 39</w:t>
      </w:r>
      <w:r w:rsidRPr="004D46AC">
        <w:rPr>
          <w:rFonts w:ascii="Arial" w:hAnsi="Arial" w:cs="Arial"/>
          <w:szCs w:val="22"/>
        </w:rPr>
        <w:t xml:space="preserve">(3), 269–274. https://doi.org/10.1080/01612840.2017.1378782 </w:t>
      </w:r>
    </w:p>
    <w:p w14:paraId="250D475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Peralta, V., Gil-Berrozpe, G. J., Sanchez-Torres, A., &amp; Cuesta, M. J. (2020). The network and dimensionality structure of affective psychoses: an exploratory graph analysis approach. </w:t>
      </w:r>
      <w:r w:rsidRPr="004D46AC">
        <w:rPr>
          <w:rFonts w:ascii="Arial" w:hAnsi="Arial" w:cs="Arial"/>
          <w:i/>
          <w:szCs w:val="22"/>
        </w:rPr>
        <w:t xml:space="preserve">J Affect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277</w:t>
      </w:r>
      <w:r w:rsidRPr="004D46AC">
        <w:rPr>
          <w:rFonts w:ascii="Arial" w:hAnsi="Arial" w:cs="Arial"/>
          <w:szCs w:val="22"/>
        </w:rPr>
        <w:t xml:space="preserve">, 182–191. https://doi.org/10.1016/j.jad.2020.08.008 </w:t>
      </w:r>
    </w:p>
    <w:p w14:paraId="0976E06D"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Reininghaus</w:t>
      </w:r>
      <w:proofErr w:type="spellEnd"/>
      <w:r w:rsidRPr="004D46AC">
        <w:rPr>
          <w:rFonts w:ascii="Arial" w:hAnsi="Arial" w:cs="Arial"/>
          <w:szCs w:val="22"/>
        </w:rPr>
        <w:t xml:space="preserve">, U., Bohnke, J. R., Chavez-Baldini, U., Gibbons, R., Ivleva, E., Clementz, B. A., Pearlson, G. D., Keshavan, M. S., Sweeney, J. A., &amp; Tamminga, C. A. (2019). Transdiagnostic dimensions of psychosis in the Bipolar-Schizophrenia Network on Intermediate Phenotypes (B-SNIP). </w:t>
      </w:r>
      <w:r w:rsidRPr="004D46AC">
        <w:rPr>
          <w:rFonts w:ascii="Arial" w:hAnsi="Arial" w:cs="Arial"/>
          <w:i/>
          <w:szCs w:val="22"/>
        </w:rPr>
        <w:t>World Psychiatry</w:t>
      </w:r>
      <w:r w:rsidRPr="004D46AC">
        <w:rPr>
          <w:rFonts w:ascii="Arial" w:hAnsi="Arial" w:cs="Arial"/>
          <w:szCs w:val="22"/>
        </w:rPr>
        <w:t>,</w:t>
      </w:r>
      <w:r w:rsidRPr="004D46AC">
        <w:rPr>
          <w:rFonts w:ascii="Arial" w:hAnsi="Arial" w:cs="Arial"/>
          <w:i/>
          <w:szCs w:val="22"/>
        </w:rPr>
        <w:t xml:space="preserve"> 18</w:t>
      </w:r>
      <w:r w:rsidRPr="004D46AC">
        <w:rPr>
          <w:rFonts w:ascii="Arial" w:hAnsi="Arial" w:cs="Arial"/>
          <w:szCs w:val="22"/>
        </w:rPr>
        <w:t xml:space="preserve">(1), 67–76. https://doi.org/10.1002/wps.20607 </w:t>
      </w:r>
    </w:p>
    <w:p w14:paraId="308C66D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Ribeiro Santiago, P. H., Manzini, D., Haag, D., Roberts, R., Smithers, L. G., &amp; Jamieson, L. (2022). Exploratory Graph Analysis of the Strengths and Difficulties Questionnaire in the Longitudinal Study of Australian Children. </w:t>
      </w:r>
      <w:r w:rsidRPr="004D46AC">
        <w:rPr>
          <w:rFonts w:ascii="Arial" w:hAnsi="Arial" w:cs="Arial"/>
          <w:i/>
          <w:szCs w:val="22"/>
        </w:rPr>
        <w:t>Assessment</w:t>
      </w:r>
      <w:r w:rsidRPr="004D46AC">
        <w:rPr>
          <w:rFonts w:ascii="Arial" w:hAnsi="Arial" w:cs="Arial"/>
          <w:szCs w:val="22"/>
        </w:rPr>
        <w:t>,</w:t>
      </w:r>
      <w:r w:rsidRPr="004D46AC">
        <w:rPr>
          <w:rFonts w:ascii="Arial" w:hAnsi="Arial" w:cs="Arial"/>
          <w:i/>
          <w:szCs w:val="22"/>
        </w:rPr>
        <w:t xml:space="preserve"> 29</w:t>
      </w:r>
      <w:r w:rsidRPr="004D46AC">
        <w:rPr>
          <w:rFonts w:ascii="Arial" w:hAnsi="Arial" w:cs="Arial"/>
          <w:szCs w:val="22"/>
        </w:rPr>
        <w:t xml:space="preserve">(8), 1622–1640. https://doi.org/10.1177/10731911211024338 </w:t>
      </w:r>
    </w:p>
    <w:p w14:paraId="1551937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Rosch, E. E., &amp; Lloyd, B. B. E. (1975). Cognition and Categorization. </w:t>
      </w:r>
      <w:r w:rsidRPr="004D46AC">
        <w:rPr>
          <w:rFonts w:ascii="Arial" w:hAnsi="Arial" w:cs="Arial"/>
          <w:i/>
          <w:szCs w:val="22"/>
        </w:rPr>
        <w:t>American Journal of Psychology</w:t>
      </w:r>
      <w:r w:rsidRPr="004D46AC">
        <w:rPr>
          <w:rFonts w:ascii="Arial" w:hAnsi="Arial" w:cs="Arial"/>
          <w:szCs w:val="22"/>
        </w:rPr>
        <w:t>,</w:t>
      </w:r>
      <w:r w:rsidRPr="004D46AC">
        <w:rPr>
          <w:rFonts w:ascii="Arial" w:hAnsi="Arial" w:cs="Arial"/>
          <w:i/>
          <w:szCs w:val="22"/>
        </w:rPr>
        <w:t xml:space="preserve"> 92</w:t>
      </w:r>
      <w:r w:rsidRPr="004D46AC">
        <w:rPr>
          <w:rFonts w:ascii="Arial" w:hAnsi="Arial" w:cs="Arial"/>
          <w:szCs w:val="22"/>
        </w:rPr>
        <w:t xml:space="preserve">(3). </w:t>
      </w:r>
    </w:p>
    <w:p w14:paraId="7592AB12"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lastRenderedPageBreak/>
        <w:t xml:space="preserve">Scheffer, M., </w:t>
      </w:r>
      <w:proofErr w:type="spellStart"/>
      <w:r w:rsidRPr="004D46AC">
        <w:rPr>
          <w:rFonts w:ascii="Arial" w:hAnsi="Arial" w:cs="Arial"/>
          <w:szCs w:val="22"/>
        </w:rPr>
        <w:t>Bascompte</w:t>
      </w:r>
      <w:proofErr w:type="spellEnd"/>
      <w:r w:rsidRPr="004D46AC">
        <w:rPr>
          <w:rFonts w:ascii="Arial" w:hAnsi="Arial" w:cs="Arial"/>
          <w:szCs w:val="22"/>
        </w:rPr>
        <w:t xml:space="preserve">, J., Brock, W. A., </w:t>
      </w:r>
      <w:proofErr w:type="spellStart"/>
      <w:r w:rsidRPr="004D46AC">
        <w:rPr>
          <w:rFonts w:ascii="Arial" w:hAnsi="Arial" w:cs="Arial"/>
          <w:szCs w:val="22"/>
        </w:rPr>
        <w:t>Brovkin</w:t>
      </w:r>
      <w:proofErr w:type="spellEnd"/>
      <w:r w:rsidRPr="004D46AC">
        <w:rPr>
          <w:rFonts w:ascii="Arial" w:hAnsi="Arial" w:cs="Arial"/>
          <w:szCs w:val="22"/>
        </w:rPr>
        <w:t xml:space="preserve">, V., Carpenter, S. R., Dakos, V., Held, H., van Nes, E. H., Rietkerk, M., &amp; Sugihara, G. (2009). Early-warning signals for critical transitions. </w:t>
      </w:r>
      <w:r w:rsidRPr="004D46AC">
        <w:rPr>
          <w:rFonts w:ascii="Arial" w:hAnsi="Arial" w:cs="Arial"/>
          <w:i/>
          <w:szCs w:val="22"/>
        </w:rPr>
        <w:t>Nature</w:t>
      </w:r>
      <w:r w:rsidRPr="004D46AC">
        <w:rPr>
          <w:rFonts w:ascii="Arial" w:hAnsi="Arial" w:cs="Arial"/>
          <w:szCs w:val="22"/>
        </w:rPr>
        <w:t>,</w:t>
      </w:r>
      <w:r w:rsidRPr="004D46AC">
        <w:rPr>
          <w:rFonts w:ascii="Arial" w:hAnsi="Arial" w:cs="Arial"/>
          <w:i/>
          <w:szCs w:val="22"/>
        </w:rPr>
        <w:t xml:space="preserve"> 461</w:t>
      </w:r>
      <w:r w:rsidRPr="004D46AC">
        <w:rPr>
          <w:rFonts w:ascii="Arial" w:hAnsi="Arial" w:cs="Arial"/>
          <w:szCs w:val="22"/>
        </w:rPr>
        <w:t xml:space="preserve">(7260), 53–59. https://doi.org/10.1038/nature08227 </w:t>
      </w:r>
    </w:p>
    <w:p w14:paraId="16B9BAE4"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Simon, N. M. (2009). Generalized anxiety disorder and psychiatric comorbidities such as depression, bipolar disorder, and substance abuse. </w:t>
      </w:r>
      <w:r w:rsidRPr="004D46AC">
        <w:rPr>
          <w:rFonts w:ascii="Arial" w:hAnsi="Arial" w:cs="Arial"/>
          <w:i/>
          <w:szCs w:val="22"/>
        </w:rPr>
        <w:t>J Clin Psychiatry</w:t>
      </w:r>
      <w:r w:rsidRPr="004D46AC">
        <w:rPr>
          <w:rFonts w:ascii="Arial" w:hAnsi="Arial" w:cs="Arial"/>
          <w:szCs w:val="22"/>
        </w:rPr>
        <w:t>,</w:t>
      </w:r>
      <w:r w:rsidRPr="004D46AC">
        <w:rPr>
          <w:rFonts w:ascii="Arial" w:hAnsi="Arial" w:cs="Arial"/>
          <w:i/>
          <w:szCs w:val="22"/>
        </w:rPr>
        <w:t xml:space="preserve"> 70 </w:t>
      </w:r>
      <w:proofErr w:type="spellStart"/>
      <w:r w:rsidRPr="004D46AC">
        <w:rPr>
          <w:rFonts w:ascii="Arial" w:hAnsi="Arial" w:cs="Arial"/>
          <w:i/>
          <w:szCs w:val="22"/>
        </w:rPr>
        <w:t>Suppl</w:t>
      </w:r>
      <w:proofErr w:type="spellEnd"/>
      <w:r w:rsidRPr="004D46AC">
        <w:rPr>
          <w:rFonts w:ascii="Arial" w:hAnsi="Arial" w:cs="Arial"/>
          <w:i/>
          <w:szCs w:val="22"/>
        </w:rPr>
        <w:t xml:space="preserve"> 2</w:t>
      </w:r>
      <w:r w:rsidRPr="004D46AC">
        <w:rPr>
          <w:rFonts w:ascii="Arial" w:hAnsi="Arial" w:cs="Arial"/>
          <w:szCs w:val="22"/>
        </w:rPr>
        <w:t xml:space="preserve">, 10–14. https://doi.org/10.4088/jcp.s.7002.02 </w:t>
      </w:r>
    </w:p>
    <w:p w14:paraId="6E437F49"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Smith, K. E., Mason, T. B., Crosby, R. D., Cao, L., Leonard, R. C., </w:t>
      </w:r>
      <w:proofErr w:type="spellStart"/>
      <w:r w:rsidRPr="004D46AC">
        <w:rPr>
          <w:rFonts w:ascii="Arial" w:hAnsi="Arial" w:cs="Arial"/>
          <w:szCs w:val="22"/>
        </w:rPr>
        <w:t>Wetterneck</w:t>
      </w:r>
      <w:proofErr w:type="spellEnd"/>
      <w:r w:rsidRPr="004D46AC">
        <w:rPr>
          <w:rFonts w:ascii="Arial" w:hAnsi="Arial" w:cs="Arial"/>
          <w:szCs w:val="22"/>
        </w:rPr>
        <w:t xml:space="preserve">, C. T., Smith, B. E. R., Farrell, N. R., Riemann, B. C., Wonderlich, S. A., &amp; Moessner, M. (2019). A comparative network analysis of eating disorder psychopathology and co-occurring depression and anxiety symptoms before and after treatment. </w:t>
      </w:r>
      <w:r w:rsidRPr="004D46AC">
        <w:rPr>
          <w:rFonts w:ascii="Arial" w:hAnsi="Arial" w:cs="Arial"/>
          <w:i/>
          <w:szCs w:val="22"/>
        </w:rPr>
        <w:t>Psychological Medicine</w:t>
      </w:r>
      <w:r w:rsidRPr="004D46AC">
        <w:rPr>
          <w:rFonts w:ascii="Arial" w:hAnsi="Arial" w:cs="Arial"/>
          <w:szCs w:val="22"/>
        </w:rPr>
        <w:t>,</w:t>
      </w:r>
      <w:r w:rsidRPr="004D46AC">
        <w:rPr>
          <w:rFonts w:ascii="Arial" w:hAnsi="Arial" w:cs="Arial"/>
          <w:i/>
          <w:szCs w:val="22"/>
        </w:rPr>
        <w:t xml:space="preserve"> 49</w:t>
      </w:r>
      <w:r w:rsidRPr="004D46AC">
        <w:rPr>
          <w:rFonts w:ascii="Arial" w:hAnsi="Arial" w:cs="Arial"/>
          <w:szCs w:val="22"/>
        </w:rPr>
        <w:t xml:space="preserve">(2), 314–324. https://doi.org/10.1017/S0033291718000867 </w:t>
      </w:r>
    </w:p>
    <w:p w14:paraId="2E77182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Sperry, S. H., &amp; </w:t>
      </w:r>
      <w:proofErr w:type="spellStart"/>
      <w:r w:rsidRPr="004D46AC">
        <w:rPr>
          <w:rFonts w:ascii="Arial" w:hAnsi="Arial" w:cs="Arial"/>
          <w:szCs w:val="22"/>
        </w:rPr>
        <w:t>Kwapil</w:t>
      </w:r>
      <w:proofErr w:type="spellEnd"/>
      <w:r w:rsidRPr="004D46AC">
        <w:rPr>
          <w:rFonts w:ascii="Arial" w:hAnsi="Arial" w:cs="Arial"/>
          <w:szCs w:val="22"/>
        </w:rPr>
        <w:t xml:space="preserve">, T. R. (2017). What can daily life assessment tell us about the bipolar spectrum? </w:t>
      </w:r>
      <w:r w:rsidRPr="004D46AC">
        <w:rPr>
          <w:rFonts w:ascii="Arial" w:hAnsi="Arial" w:cs="Arial"/>
          <w:i/>
          <w:szCs w:val="22"/>
        </w:rPr>
        <w:t>Psychiatry Research</w:t>
      </w:r>
      <w:r w:rsidRPr="004D46AC">
        <w:rPr>
          <w:rFonts w:ascii="Arial" w:hAnsi="Arial" w:cs="Arial"/>
          <w:szCs w:val="22"/>
        </w:rPr>
        <w:t>,</w:t>
      </w:r>
      <w:r w:rsidRPr="004D46AC">
        <w:rPr>
          <w:rFonts w:ascii="Arial" w:hAnsi="Arial" w:cs="Arial"/>
          <w:i/>
          <w:szCs w:val="22"/>
        </w:rPr>
        <w:t xml:space="preserve"> 252</w:t>
      </w:r>
      <w:r w:rsidRPr="004D46AC">
        <w:rPr>
          <w:rFonts w:ascii="Arial" w:hAnsi="Arial" w:cs="Arial"/>
          <w:szCs w:val="22"/>
        </w:rPr>
        <w:t xml:space="preserve">, 51–56. https://doi.org/https://doi.org/10.1016/j.psychres.2017.02.045 </w:t>
      </w:r>
    </w:p>
    <w:p w14:paraId="29E60A66"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Sperry, S. H., &amp; </w:t>
      </w:r>
      <w:proofErr w:type="spellStart"/>
      <w:r w:rsidRPr="004D46AC">
        <w:rPr>
          <w:rFonts w:ascii="Arial" w:hAnsi="Arial" w:cs="Arial"/>
          <w:szCs w:val="22"/>
        </w:rPr>
        <w:t>Kwapil</w:t>
      </w:r>
      <w:proofErr w:type="spellEnd"/>
      <w:r w:rsidRPr="004D46AC">
        <w:rPr>
          <w:rFonts w:ascii="Arial" w:hAnsi="Arial" w:cs="Arial"/>
          <w:szCs w:val="22"/>
        </w:rPr>
        <w:t xml:space="preserve">, T. R. (2022). Bipolar spectrum psychopathology is associated with altered emotion dynamics across multiple timescales. </w:t>
      </w:r>
      <w:r w:rsidRPr="004D46AC">
        <w:rPr>
          <w:rFonts w:ascii="Arial" w:hAnsi="Arial" w:cs="Arial"/>
          <w:i/>
          <w:szCs w:val="22"/>
        </w:rPr>
        <w:t>Emotion</w:t>
      </w:r>
      <w:r w:rsidRPr="004D46AC">
        <w:rPr>
          <w:rFonts w:ascii="Arial" w:hAnsi="Arial" w:cs="Arial"/>
          <w:szCs w:val="22"/>
        </w:rPr>
        <w:t>,</w:t>
      </w:r>
      <w:r w:rsidRPr="004D46AC">
        <w:rPr>
          <w:rFonts w:ascii="Arial" w:hAnsi="Arial" w:cs="Arial"/>
          <w:i/>
          <w:szCs w:val="22"/>
        </w:rPr>
        <w:t xml:space="preserve"> 22</w:t>
      </w:r>
      <w:r w:rsidRPr="004D46AC">
        <w:rPr>
          <w:rFonts w:ascii="Arial" w:hAnsi="Arial" w:cs="Arial"/>
          <w:szCs w:val="22"/>
        </w:rPr>
        <w:t xml:space="preserve">(4), 627–640. https://doi.org/10.1037/emo0000759 </w:t>
      </w:r>
    </w:p>
    <w:p w14:paraId="7929C56A" w14:textId="77777777" w:rsidR="007075D9" w:rsidRPr="004D46AC" w:rsidRDefault="007075D9" w:rsidP="00B518F1">
      <w:pPr>
        <w:pStyle w:val="EndNoteBibliography"/>
        <w:spacing w:line="360" w:lineRule="auto"/>
        <w:ind w:left="720" w:hanging="720"/>
        <w:rPr>
          <w:rFonts w:ascii="Arial" w:hAnsi="Arial" w:cs="Arial"/>
          <w:szCs w:val="22"/>
        </w:rPr>
      </w:pPr>
      <w:proofErr w:type="spellStart"/>
      <w:r w:rsidRPr="004D46AC">
        <w:rPr>
          <w:rFonts w:ascii="Arial" w:hAnsi="Arial" w:cs="Arial"/>
          <w:szCs w:val="22"/>
        </w:rPr>
        <w:t>Trøstheim</w:t>
      </w:r>
      <w:proofErr w:type="spellEnd"/>
      <w:r w:rsidRPr="004D46AC">
        <w:rPr>
          <w:rFonts w:ascii="Arial" w:hAnsi="Arial" w:cs="Arial"/>
          <w:szCs w:val="22"/>
        </w:rPr>
        <w:t xml:space="preserve">, M., Eikemo, M., Meir, R., Hansen, I., Paul, E., Kroll, S. L., Garland, E. L., &amp; Leknes, S. (2020). Assessment of Anhedonia in Adults </w:t>
      </w:r>
      <w:proofErr w:type="gramStart"/>
      <w:r w:rsidRPr="004D46AC">
        <w:rPr>
          <w:rFonts w:ascii="Arial" w:hAnsi="Arial" w:cs="Arial"/>
          <w:szCs w:val="22"/>
        </w:rPr>
        <w:t>With</w:t>
      </w:r>
      <w:proofErr w:type="gramEnd"/>
      <w:r w:rsidRPr="004D46AC">
        <w:rPr>
          <w:rFonts w:ascii="Arial" w:hAnsi="Arial" w:cs="Arial"/>
          <w:szCs w:val="22"/>
        </w:rPr>
        <w:t xml:space="preserve"> and Without Mental Illness: A Systematic Review and Meta-analysis. </w:t>
      </w:r>
      <w:r w:rsidRPr="004D46AC">
        <w:rPr>
          <w:rFonts w:ascii="Arial" w:hAnsi="Arial" w:cs="Arial"/>
          <w:i/>
          <w:szCs w:val="22"/>
        </w:rPr>
        <w:t>JAMA Network Open</w:t>
      </w:r>
      <w:r w:rsidRPr="004D46AC">
        <w:rPr>
          <w:rFonts w:ascii="Arial" w:hAnsi="Arial" w:cs="Arial"/>
          <w:szCs w:val="22"/>
        </w:rPr>
        <w:t>,</w:t>
      </w:r>
      <w:r w:rsidRPr="004D46AC">
        <w:rPr>
          <w:rFonts w:ascii="Arial" w:hAnsi="Arial" w:cs="Arial"/>
          <w:i/>
          <w:szCs w:val="22"/>
        </w:rPr>
        <w:t xml:space="preserve"> 3</w:t>
      </w:r>
      <w:r w:rsidRPr="004D46AC">
        <w:rPr>
          <w:rFonts w:ascii="Arial" w:hAnsi="Arial" w:cs="Arial"/>
          <w:szCs w:val="22"/>
        </w:rPr>
        <w:t xml:space="preserve">(8), e2013233–e2013233. https://doi.org/10.1001/jamanetworkopen.2020.13233 </w:t>
      </w:r>
    </w:p>
    <w:p w14:paraId="528775F5"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Walsh, M. A., Royal, A., Brown, L. H., Barrantes-Vidal, N., &amp; </w:t>
      </w:r>
      <w:proofErr w:type="spellStart"/>
      <w:r w:rsidRPr="004D46AC">
        <w:rPr>
          <w:rFonts w:ascii="Arial" w:hAnsi="Arial" w:cs="Arial"/>
          <w:szCs w:val="22"/>
        </w:rPr>
        <w:t>Kwapil</w:t>
      </w:r>
      <w:proofErr w:type="spellEnd"/>
      <w:r w:rsidRPr="004D46AC">
        <w:rPr>
          <w:rFonts w:ascii="Arial" w:hAnsi="Arial" w:cs="Arial"/>
          <w:szCs w:val="22"/>
        </w:rPr>
        <w:t xml:space="preserve">, T. R. (2012). Looking for bipolar spectrum psychopathology: identification and expression in daily life. </w:t>
      </w:r>
      <w:r w:rsidRPr="004D46AC">
        <w:rPr>
          <w:rFonts w:ascii="Arial" w:hAnsi="Arial" w:cs="Arial"/>
          <w:i/>
          <w:szCs w:val="22"/>
        </w:rPr>
        <w:t>Comprehensive Psychiatry</w:t>
      </w:r>
      <w:r w:rsidRPr="004D46AC">
        <w:rPr>
          <w:rFonts w:ascii="Arial" w:hAnsi="Arial" w:cs="Arial"/>
          <w:szCs w:val="22"/>
        </w:rPr>
        <w:t>,</w:t>
      </w:r>
      <w:r w:rsidRPr="004D46AC">
        <w:rPr>
          <w:rFonts w:ascii="Arial" w:hAnsi="Arial" w:cs="Arial"/>
          <w:i/>
          <w:szCs w:val="22"/>
        </w:rPr>
        <w:t xml:space="preserve"> 53</w:t>
      </w:r>
      <w:r w:rsidRPr="004D46AC">
        <w:rPr>
          <w:rFonts w:ascii="Arial" w:hAnsi="Arial" w:cs="Arial"/>
          <w:szCs w:val="22"/>
        </w:rPr>
        <w:t xml:space="preserve">(5), 409–421. https://doi.org/https://doi.org/10.1016/j.comppsych.2011.06.006 </w:t>
      </w:r>
    </w:p>
    <w:p w14:paraId="31C51AFC" w14:textId="77777777" w:rsidR="007075D9" w:rsidRPr="004D46AC" w:rsidRDefault="007075D9" w:rsidP="00B518F1">
      <w:pPr>
        <w:pStyle w:val="EndNoteBibliography"/>
        <w:spacing w:line="360" w:lineRule="auto"/>
        <w:ind w:left="720" w:hanging="720"/>
        <w:rPr>
          <w:rFonts w:ascii="Arial" w:hAnsi="Arial" w:cs="Arial"/>
          <w:szCs w:val="22"/>
        </w:rPr>
      </w:pPr>
      <w:r w:rsidRPr="004D46AC">
        <w:rPr>
          <w:rFonts w:ascii="Arial" w:hAnsi="Arial" w:cs="Arial"/>
          <w:szCs w:val="22"/>
        </w:rPr>
        <w:t xml:space="preserve">Wang, Y.-y., Wang, Y., Zou, Y.-m., Ni, K., Tian, X., Sun, H.-w., Lui, S. S. Y., Cheung, E. F. C., Suckling, J., &amp; Chan, R. C. K. (2018). Theory of mind impairment and its clinical correlates in patients with schizophrenia, major depressive disorder and bipolar disorder. </w:t>
      </w:r>
      <w:r w:rsidRPr="004D46AC">
        <w:rPr>
          <w:rFonts w:ascii="Arial" w:hAnsi="Arial" w:cs="Arial"/>
          <w:i/>
          <w:szCs w:val="22"/>
        </w:rPr>
        <w:t>Schizophrenia Research</w:t>
      </w:r>
      <w:r w:rsidRPr="004D46AC">
        <w:rPr>
          <w:rFonts w:ascii="Arial" w:hAnsi="Arial" w:cs="Arial"/>
          <w:szCs w:val="22"/>
        </w:rPr>
        <w:t>,</w:t>
      </w:r>
      <w:r w:rsidRPr="004D46AC">
        <w:rPr>
          <w:rFonts w:ascii="Arial" w:hAnsi="Arial" w:cs="Arial"/>
          <w:i/>
          <w:szCs w:val="22"/>
        </w:rPr>
        <w:t xml:space="preserve"> 197</w:t>
      </w:r>
      <w:r w:rsidRPr="004D46AC">
        <w:rPr>
          <w:rFonts w:ascii="Arial" w:hAnsi="Arial" w:cs="Arial"/>
          <w:szCs w:val="22"/>
        </w:rPr>
        <w:t xml:space="preserve">, 349–356. https://doi.org/https://doi.org/10.1016/j.schres.2017.11.003 </w:t>
      </w:r>
    </w:p>
    <w:p w14:paraId="71A90D5C" w14:textId="77777777" w:rsidR="007075D9" w:rsidRPr="004D46AC" w:rsidRDefault="007075D9" w:rsidP="00B518F1">
      <w:pPr>
        <w:pStyle w:val="EndNoteBibliography"/>
        <w:spacing w:line="360" w:lineRule="auto"/>
        <w:ind w:left="720" w:hanging="720"/>
        <w:rPr>
          <w:rFonts w:ascii="Arial" w:eastAsiaTheme="minorEastAsia" w:hAnsi="Arial" w:cs="Arial"/>
          <w:szCs w:val="22"/>
        </w:rPr>
        <w:sectPr w:rsidR="007075D9" w:rsidRPr="004D46AC" w:rsidSect="007075D9">
          <w:pgSz w:w="11906" w:h="16838"/>
          <w:pgMar w:top="1440" w:right="1440" w:bottom="1440" w:left="1440" w:header="708" w:footer="708" w:gutter="0"/>
          <w:cols w:space="708"/>
          <w:docGrid w:linePitch="360"/>
        </w:sectPr>
      </w:pPr>
      <w:proofErr w:type="spellStart"/>
      <w:r w:rsidRPr="004D46AC">
        <w:rPr>
          <w:rFonts w:ascii="Arial" w:hAnsi="Arial" w:cs="Arial"/>
          <w:szCs w:val="22"/>
        </w:rPr>
        <w:t>Zavlis</w:t>
      </w:r>
      <w:proofErr w:type="spellEnd"/>
      <w:r w:rsidRPr="004D46AC">
        <w:rPr>
          <w:rFonts w:ascii="Arial" w:hAnsi="Arial" w:cs="Arial"/>
          <w:szCs w:val="22"/>
        </w:rPr>
        <w:t xml:space="preserve">, O., Matheou, A., &amp; Bentall, R. (2023). Identifying the bridge between depression and mania: A machine learning and network approach to bipolar disorder. </w:t>
      </w:r>
      <w:r w:rsidRPr="004D46AC">
        <w:rPr>
          <w:rFonts w:ascii="Arial" w:hAnsi="Arial" w:cs="Arial"/>
          <w:i/>
          <w:szCs w:val="22"/>
        </w:rPr>
        <w:t xml:space="preserve">Bipolar </w:t>
      </w:r>
      <w:proofErr w:type="spellStart"/>
      <w:r w:rsidRPr="004D46AC">
        <w:rPr>
          <w:rFonts w:ascii="Arial" w:hAnsi="Arial" w:cs="Arial"/>
          <w:i/>
          <w:szCs w:val="22"/>
        </w:rPr>
        <w:t>Disord</w:t>
      </w:r>
      <w:proofErr w:type="spellEnd"/>
      <w:r w:rsidRPr="004D46AC">
        <w:rPr>
          <w:rFonts w:ascii="Arial" w:hAnsi="Arial" w:cs="Arial"/>
          <w:szCs w:val="22"/>
        </w:rPr>
        <w:t>,</w:t>
      </w:r>
      <w:r w:rsidRPr="004D46AC">
        <w:rPr>
          <w:rFonts w:ascii="Arial" w:hAnsi="Arial" w:cs="Arial"/>
          <w:i/>
          <w:szCs w:val="22"/>
        </w:rPr>
        <w:t xml:space="preserve"> 25</w:t>
      </w:r>
      <w:r w:rsidRPr="004D46AC">
        <w:rPr>
          <w:rFonts w:ascii="Arial" w:hAnsi="Arial" w:cs="Arial"/>
          <w:szCs w:val="22"/>
        </w:rPr>
        <w:t xml:space="preserve">(7), 571–582. </w:t>
      </w:r>
      <w:hyperlink r:id="rId383" w:history="1">
        <w:r w:rsidRPr="004D46AC">
          <w:rPr>
            <w:rStyle w:val="af5"/>
            <w:rFonts w:ascii="Arial" w:hAnsi="Arial" w:cs="Arial"/>
            <w:szCs w:val="22"/>
          </w:rPr>
          <w:t>https://doi.org/10.1111/bdi.13316</w:t>
        </w:r>
      </w:hyperlink>
      <w:r w:rsidRPr="004D46AC">
        <w:rPr>
          <w:rFonts w:ascii="Arial" w:eastAsiaTheme="minorEastAsia" w:hAnsi="Arial" w:cs="Arial"/>
          <w:szCs w:val="22"/>
        </w:rPr>
        <w:t xml:space="preserve">   </w:t>
      </w:r>
    </w:p>
    <w:p w14:paraId="7EF1068A" w14:textId="063A25D3" w:rsidR="007075D9" w:rsidRPr="004D46AC" w:rsidRDefault="00D41749" w:rsidP="00D41749">
      <w:pPr>
        <w:pStyle w:val="1"/>
      </w:pPr>
      <w:bookmarkStart w:id="295" w:name="_Toc219888793"/>
      <w:r w:rsidRPr="004D46AC">
        <w:rPr>
          <w:rFonts w:hint="eastAsia"/>
        </w:rPr>
        <w:lastRenderedPageBreak/>
        <w:t>Appendixes</w:t>
      </w:r>
      <w:bookmarkEnd w:id="295"/>
      <w:r w:rsidR="007075D9" w:rsidRPr="004D46AC">
        <w:t xml:space="preserve"> </w:t>
      </w:r>
    </w:p>
    <w:p w14:paraId="7F94CF72" w14:textId="1EE297C4" w:rsidR="007075D9" w:rsidRPr="004D46AC" w:rsidRDefault="00D41749" w:rsidP="00D41749">
      <w:pPr>
        <w:pStyle w:val="2"/>
        <w:spacing w:line="360" w:lineRule="auto"/>
      </w:pPr>
      <w:bookmarkStart w:id="296" w:name="_Toc219888794"/>
      <w:r w:rsidRPr="004D46AC">
        <w:rPr>
          <w:rFonts w:eastAsiaTheme="minorEastAsia" w:hint="eastAsia"/>
        </w:rPr>
        <w:t xml:space="preserve">Appendix A: </w:t>
      </w:r>
      <w:r w:rsidR="007075D9" w:rsidRPr="004D46AC">
        <w:t>Supplementary Files for Chapter 1</w:t>
      </w:r>
      <w:bookmarkEnd w:id="296"/>
    </w:p>
    <w:p w14:paraId="02C55E1E" w14:textId="69CD4E7B" w:rsidR="00052B86" w:rsidRPr="004D46AC" w:rsidRDefault="00052B86" w:rsidP="00B34E55">
      <w:pPr>
        <w:pStyle w:val="afff0"/>
        <w:spacing w:after="0"/>
        <w:ind w:firstLine="0"/>
        <w:rPr>
          <w:b/>
          <w:bCs/>
          <w:i w:val="0"/>
          <w:iCs w:val="0"/>
          <w:color w:val="auto"/>
          <w:sz w:val="22"/>
          <w:szCs w:val="22"/>
        </w:rPr>
      </w:pPr>
      <w:bookmarkStart w:id="297" w:name="_Toc219870621"/>
      <w:r w:rsidRPr="004D46AC">
        <w:rPr>
          <w:b/>
          <w:bCs/>
          <w:i w:val="0"/>
          <w:iCs w:val="0"/>
          <w:color w:val="auto"/>
          <w:sz w:val="22"/>
          <w:szCs w:val="22"/>
        </w:rPr>
        <w:t xml:space="preserve">Table A </w:t>
      </w:r>
      <w:r w:rsidRPr="004D46AC">
        <w:rPr>
          <w:b/>
          <w:bCs/>
          <w:i w:val="0"/>
          <w:iCs w:val="0"/>
          <w:color w:val="auto"/>
          <w:sz w:val="22"/>
          <w:szCs w:val="22"/>
        </w:rPr>
        <w:fldChar w:fldCharType="begin"/>
      </w:r>
      <w:r w:rsidRPr="004D46AC">
        <w:rPr>
          <w:b/>
          <w:bCs/>
          <w:i w:val="0"/>
          <w:iCs w:val="0"/>
          <w:color w:val="auto"/>
          <w:sz w:val="22"/>
          <w:szCs w:val="22"/>
        </w:rPr>
        <w:instrText xml:space="preserve"> SEQ Table_A \* ARABIC </w:instrText>
      </w:r>
      <w:r w:rsidRPr="004D46AC">
        <w:rPr>
          <w:b/>
          <w:bCs/>
          <w:i w:val="0"/>
          <w:iCs w:val="0"/>
          <w:color w:val="auto"/>
          <w:sz w:val="22"/>
          <w:szCs w:val="22"/>
        </w:rPr>
        <w:fldChar w:fldCharType="separate"/>
      </w:r>
      <w:r w:rsidR="004719F3" w:rsidRPr="004D46AC">
        <w:rPr>
          <w:b/>
          <w:bCs/>
          <w:i w:val="0"/>
          <w:iCs w:val="0"/>
          <w:noProof/>
          <w:color w:val="auto"/>
          <w:sz w:val="22"/>
          <w:szCs w:val="22"/>
        </w:rPr>
        <w:t>1</w:t>
      </w:r>
      <w:bookmarkEnd w:id="297"/>
      <w:r w:rsidRPr="004D46AC">
        <w:rPr>
          <w:b/>
          <w:bCs/>
          <w:i w:val="0"/>
          <w:iCs w:val="0"/>
          <w:color w:val="auto"/>
          <w:sz w:val="22"/>
          <w:szCs w:val="22"/>
        </w:rPr>
        <w:fldChar w:fldCharType="end"/>
      </w:r>
    </w:p>
    <w:p w14:paraId="633EC526" w14:textId="77777777" w:rsidR="007075D9" w:rsidRPr="004D46AC" w:rsidRDefault="007075D9" w:rsidP="00052B86">
      <w:pPr>
        <w:spacing w:line="240" w:lineRule="auto"/>
        <w:ind w:firstLine="0"/>
        <w:rPr>
          <w:i/>
          <w:iCs/>
        </w:rPr>
      </w:pPr>
      <w:r w:rsidRPr="004D46AC">
        <w:rPr>
          <w:i/>
          <w:iCs/>
        </w:rPr>
        <w:t>The evolvement of diagnostic criteria for schizophrenia since DSM III</w:t>
      </w:r>
    </w:p>
    <w:tbl>
      <w:tblPr>
        <w:tblStyle w:val="afc"/>
        <w:tblW w:w="0" w:type="auto"/>
        <w:tblLook w:val="04A0" w:firstRow="1" w:lastRow="0" w:firstColumn="1" w:lastColumn="0" w:noHBand="0" w:noVBand="1"/>
      </w:tblPr>
      <w:tblGrid>
        <w:gridCol w:w="651"/>
        <w:gridCol w:w="2039"/>
        <w:gridCol w:w="1660"/>
        <w:gridCol w:w="1519"/>
        <w:gridCol w:w="1650"/>
        <w:gridCol w:w="1497"/>
      </w:tblGrid>
      <w:tr w:rsidR="007075D9" w:rsidRPr="004D46AC" w14:paraId="107F5345" w14:textId="77777777" w:rsidTr="00B518F1">
        <w:trPr>
          <w:trHeight w:val="863"/>
        </w:trPr>
        <w:tc>
          <w:tcPr>
            <w:tcW w:w="817" w:type="dxa"/>
          </w:tcPr>
          <w:p w14:paraId="7A1E202A" w14:textId="77777777" w:rsidR="007075D9" w:rsidRPr="004D46AC" w:rsidRDefault="007075D9" w:rsidP="00052B86">
            <w:pPr>
              <w:spacing w:line="240" w:lineRule="auto"/>
              <w:ind w:firstLine="0"/>
            </w:pPr>
          </w:p>
        </w:tc>
        <w:tc>
          <w:tcPr>
            <w:tcW w:w="1508" w:type="dxa"/>
          </w:tcPr>
          <w:p w14:paraId="70C4D188" w14:textId="77777777" w:rsidR="007075D9" w:rsidRPr="004D46AC" w:rsidRDefault="007075D9" w:rsidP="00052B86">
            <w:pPr>
              <w:spacing w:line="240" w:lineRule="auto"/>
              <w:ind w:firstLine="0"/>
            </w:pPr>
            <w:r w:rsidRPr="004D46AC">
              <w:t>Criteria</w:t>
            </w:r>
          </w:p>
        </w:tc>
        <w:tc>
          <w:tcPr>
            <w:tcW w:w="1628" w:type="dxa"/>
          </w:tcPr>
          <w:p w14:paraId="49A74C5C" w14:textId="77777777" w:rsidR="007075D9" w:rsidRPr="004D46AC" w:rsidRDefault="007075D9" w:rsidP="00052B86">
            <w:pPr>
              <w:spacing w:line="240" w:lineRule="auto"/>
              <w:ind w:firstLine="0"/>
            </w:pPr>
            <w:r w:rsidRPr="004D46AC">
              <w:t>Functioning</w:t>
            </w:r>
          </w:p>
        </w:tc>
        <w:tc>
          <w:tcPr>
            <w:tcW w:w="1490" w:type="dxa"/>
          </w:tcPr>
          <w:p w14:paraId="32294C4D" w14:textId="77777777" w:rsidR="007075D9" w:rsidRPr="004D46AC" w:rsidRDefault="007075D9" w:rsidP="00052B86">
            <w:pPr>
              <w:spacing w:line="240" w:lineRule="auto"/>
              <w:ind w:firstLine="0"/>
            </w:pPr>
            <w:r w:rsidRPr="004D46AC">
              <w:t>Course</w:t>
            </w:r>
          </w:p>
        </w:tc>
        <w:tc>
          <w:tcPr>
            <w:tcW w:w="1614" w:type="dxa"/>
          </w:tcPr>
          <w:p w14:paraId="7560E882" w14:textId="77777777" w:rsidR="007075D9" w:rsidRPr="004D46AC" w:rsidRDefault="007075D9" w:rsidP="00052B86">
            <w:pPr>
              <w:spacing w:line="240" w:lineRule="auto"/>
              <w:ind w:firstLine="0"/>
            </w:pPr>
            <w:r w:rsidRPr="004D46AC">
              <w:t>Types</w:t>
            </w:r>
          </w:p>
        </w:tc>
        <w:tc>
          <w:tcPr>
            <w:tcW w:w="1465" w:type="dxa"/>
          </w:tcPr>
          <w:p w14:paraId="21C4A875" w14:textId="77777777" w:rsidR="007075D9" w:rsidRPr="004D46AC" w:rsidRDefault="007075D9" w:rsidP="00052B86">
            <w:pPr>
              <w:spacing w:line="240" w:lineRule="auto"/>
              <w:ind w:firstLine="0"/>
            </w:pPr>
            <w:r w:rsidRPr="004D46AC">
              <w:t xml:space="preserve">Boundary issue </w:t>
            </w:r>
          </w:p>
        </w:tc>
      </w:tr>
      <w:tr w:rsidR="007075D9" w:rsidRPr="004D46AC" w14:paraId="056C51FB" w14:textId="77777777" w:rsidTr="00B518F1">
        <w:trPr>
          <w:trHeight w:val="6352"/>
        </w:trPr>
        <w:tc>
          <w:tcPr>
            <w:tcW w:w="817" w:type="dxa"/>
          </w:tcPr>
          <w:p w14:paraId="7FAA2B78" w14:textId="77777777" w:rsidR="007075D9" w:rsidRPr="004D46AC" w:rsidRDefault="007075D9" w:rsidP="00052B86">
            <w:pPr>
              <w:spacing w:line="240" w:lineRule="auto"/>
              <w:ind w:firstLine="0"/>
            </w:pPr>
            <w:r w:rsidRPr="004D46AC">
              <w:t>DSM III</w:t>
            </w:r>
          </w:p>
        </w:tc>
        <w:tc>
          <w:tcPr>
            <w:tcW w:w="1508" w:type="dxa"/>
          </w:tcPr>
          <w:p w14:paraId="3E529DA5" w14:textId="77777777" w:rsidR="007075D9" w:rsidRPr="004D46AC" w:rsidRDefault="007075D9" w:rsidP="00052B86">
            <w:pPr>
              <w:spacing w:line="240" w:lineRule="auto"/>
              <w:ind w:firstLine="0"/>
            </w:pPr>
            <w:r w:rsidRPr="004D46AC">
              <w:t xml:space="preserve">At least one of the followings: (1) Delusions (bizarre, persecution or jealous with hallucinations, others) with hallucinations; (2) auditory hallucinations (commentary, conversation, mood incongruent), (3) thought speech disorder accompanied by psychotic symptoms, catatonia or disorganised behaviour </w:t>
            </w:r>
          </w:p>
        </w:tc>
        <w:tc>
          <w:tcPr>
            <w:tcW w:w="1628" w:type="dxa"/>
          </w:tcPr>
          <w:p w14:paraId="027690F2" w14:textId="77777777" w:rsidR="007075D9" w:rsidRPr="004D46AC" w:rsidRDefault="007075D9" w:rsidP="00052B86">
            <w:pPr>
              <w:spacing w:line="240" w:lineRule="auto"/>
              <w:ind w:firstLine="0"/>
            </w:pPr>
            <w:r w:rsidRPr="004D46AC">
              <w:t xml:space="preserve">Deterioration from previous level of capacities for Social, work, self-care activities. </w:t>
            </w:r>
          </w:p>
        </w:tc>
        <w:tc>
          <w:tcPr>
            <w:tcW w:w="1490" w:type="dxa"/>
          </w:tcPr>
          <w:p w14:paraId="19A34AC4" w14:textId="77777777" w:rsidR="007075D9" w:rsidRPr="004D46AC" w:rsidRDefault="007075D9" w:rsidP="00052B86">
            <w:pPr>
              <w:spacing w:line="240" w:lineRule="auto"/>
              <w:ind w:firstLine="0"/>
            </w:pPr>
            <w:r w:rsidRPr="004D46AC">
              <w:t>Continuous signs of illness for at least six months in lifetime, include an active phase of the characteristics with or without prodromal or residual features. The age of onset (prodromal or active stage) is before 45.</w:t>
            </w:r>
          </w:p>
        </w:tc>
        <w:tc>
          <w:tcPr>
            <w:tcW w:w="1614" w:type="dxa"/>
          </w:tcPr>
          <w:p w14:paraId="2877F32F" w14:textId="77777777" w:rsidR="007075D9" w:rsidRPr="004D46AC" w:rsidRDefault="007075D9" w:rsidP="00052B86">
            <w:pPr>
              <w:spacing w:line="240" w:lineRule="auto"/>
              <w:ind w:firstLine="0"/>
            </w:pPr>
            <w:r w:rsidRPr="004D46AC">
              <w:t>Disorganised (incoherence, absence of systematic delusions, blunted affect); Catatonic; Paranoia; Undifferentiated; Residual</w:t>
            </w:r>
          </w:p>
        </w:tc>
        <w:tc>
          <w:tcPr>
            <w:tcW w:w="1465" w:type="dxa"/>
          </w:tcPr>
          <w:p w14:paraId="1CB9227A" w14:textId="77777777" w:rsidR="007075D9" w:rsidRPr="004D46AC" w:rsidRDefault="007075D9" w:rsidP="00052B86">
            <w:pPr>
              <w:spacing w:line="240" w:lineRule="auto"/>
              <w:ind w:firstLine="0"/>
            </w:pPr>
            <w:r w:rsidRPr="004D46AC">
              <w:t xml:space="preserve">Schizophrenia is made when affective syndromes presented after active phase and the duration are relatively short to course of psychosis; </w:t>
            </w:r>
          </w:p>
        </w:tc>
      </w:tr>
      <w:tr w:rsidR="007075D9" w:rsidRPr="004D46AC" w14:paraId="7CDB8A99" w14:textId="77777777" w:rsidTr="00B518F1">
        <w:trPr>
          <w:trHeight w:val="579"/>
        </w:trPr>
        <w:tc>
          <w:tcPr>
            <w:tcW w:w="817" w:type="dxa"/>
          </w:tcPr>
          <w:p w14:paraId="2791AB61" w14:textId="77777777" w:rsidR="007075D9" w:rsidRPr="004D46AC" w:rsidRDefault="007075D9" w:rsidP="00052B86">
            <w:pPr>
              <w:spacing w:line="240" w:lineRule="auto"/>
              <w:ind w:firstLine="0"/>
            </w:pPr>
            <w:r w:rsidRPr="004D46AC">
              <w:t>DSM III R</w:t>
            </w:r>
          </w:p>
        </w:tc>
        <w:tc>
          <w:tcPr>
            <w:tcW w:w="1508" w:type="dxa"/>
          </w:tcPr>
          <w:p w14:paraId="1A686DA0" w14:textId="77777777" w:rsidR="007075D9" w:rsidRPr="004D46AC" w:rsidRDefault="007075D9" w:rsidP="00052B86">
            <w:pPr>
              <w:spacing w:line="240" w:lineRule="auto"/>
              <w:ind w:firstLine="0"/>
            </w:pPr>
            <w:r w:rsidRPr="004D46AC">
              <w:t>At least one of the followings lasted longer than 1 week:</w:t>
            </w:r>
          </w:p>
          <w:p w14:paraId="33424E3F" w14:textId="77777777" w:rsidR="007075D9" w:rsidRPr="004D46AC" w:rsidRDefault="007075D9">
            <w:pPr>
              <w:pStyle w:val="a9"/>
              <w:widowControl w:val="0"/>
              <w:numPr>
                <w:ilvl w:val="0"/>
                <w:numId w:val="7"/>
              </w:numPr>
              <w:spacing w:line="240" w:lineRule="auto"/>
              <w:ind w:firstLine="0"/>
              <w:contextualSpacing w:val="0"/>
            </w:pPr>
            <w:r w:rsidRPr="004D46AC">
              <w:t xml:space="preserve">two of the followings: delusions, prominent hallucinations, loose associations, catatonic behaviour, flat </w:t>
            </w:r>
            <w:proofErr w:type="gramStart"/>
            <w:r w:rsidRPr="004D46AC">
              <w:t>affect;</w:t>
            </w:r>
            <w:proofErr w:type="gramEnd"/>
            <w:r w:rsidRPr="004D46AC">
              <w:t xml:space="preserve"> </w:t>
            </w:r>
          </w:p>
          <w:p w14:paraId="11C0866E" w14:textId="77777777" w:rsidR="007075D9" w:rsidRPr="004D46AC" w:rsidRDefault="007075D9">
            <w:pPr>
              <w:pStyle w:val="a9"/>
              <w:widowControl w:val="0"/>
              <w:numPr>
                <w:ilvl w:val="0"/>
                <w:numId w:val="7"/>
              </w:numPr>
              <w:spacing w:line="240" w:lineRule="auto"/>
              <w:ind w:firstLine="0"/>
              <w:contextualSpacing w:val="0"/>
            </w:pPr>
            <w:r w:rsidRPr="004D46AC">
              <w:t xml:space="preserve">bizarre </w:t>
            </w:r>
            <w:proofErr w:type="gramStart"/>
            <w:r w:rsidRPr="004D46AC">
              <w:t>delusions;</w:t>
            </w:r>
            <w:proofErr w:type="gramEnd"/>
          </w:p>
          <w:p w14:paraId="21F1DEA3" w14:textId="77777777" w:rsidR="007075D9" w:rsidRPr="004D46AC" w:rsidRDefault="007075D9">
            <w:pPr>
              <w:pStyle w:val="a9"/>
              <w:widowControl w:val="0"/>
              <w:numPr>
                <w:ilvl w:val="0"/>
                <w:numId w:val="7"/>
              </w:numPr>
              <w:spacing w:line="240" w:lineRule="auto"/>
              <w:ind w:firstLine="0"/>
              <w:contextualSpacing w:val="0"/>
            </w:pPr>
            <w:r w:rsidRPr="004D46AC">
              <w:t xml:space="preserve">prominent hallucinations (voice </w:t>
            </w:r>
            <w:r w:rsidRPr="004D46AC">
              <w:lastRenderedPageBreak/>
              <w:t>commentary, conversation)</w:t>
            </w:r>
          </w:p>
        </w:tc>
        <w:tc>
          <w:tcPr>
            <w:tcW w:w="1628" w:type="dxa"/>
          </w:tcPr>
          <w:p w14:paraId="56F6E14A" w14:textId="77777777" w:rsidR="007075D9" w:rsidRPr="004D46AC" w:rsidRDefault="007075D9" w:rsidP="00052B86">
            <w:pPr>
              <w:spacing w:line="240" w:lineRule="auto"/>
              <w:ind w:firstLine="0"/>
            </w:pPr>
            <w:r w:rsidRPr="004D46AC">
              <w:lastRenderedPageBreak/>
              <w:t xml:space="preserve">…markedly below the highest level of functioning in abovementioned areas. </w:t>
            </w:r>
          </w:p>
        </w:tc>
        <w:tc>
          <w:tcPr>
            <w:tcW w:w="1490" w:type="dxa"/>
          </w:tcPr>
          <w:p w14:paraId="582DB810" w14:textId="77777777" w:rsidR="007075D9" w:rsidRPr="004D46AC" w:rsidRDefault="007075D9" w:rsidP="00052B86">
            <w:pPr>
              <w:spacing w:line="240" w:lineRule="auto"/>
              <w:ind w:firstLine="0"/>
            </w:pPr>
            <w:r w:rsidRPr="004D46AC">
              <w:t>…</w:t>
            </w:r>
          </w:p>
          <w:p w14:paraId="6CFB1208" w14:textId="77777777" w:rsidR="007075D9" w:rsidRPr="004D46AC" w:rsidRDefault="007075D9" w:rsidP="00052B86">
            <w:pPr>
              <w:spacing w:line="240" w:lineRule="auto"/>
              <w:ind w:firstLine="0"/>
            </w:pPr>
            <w:r w:rsidRPr="004D46AC">
              <w:t>Classification of the course: sub chronic, chronic, sub chronic with acute exacerbation, chronic with acute exacerbation, in remission, unspecified.</w:t>
            </w:r>
          </w:p>
        </w:tc>
        <w:tc>
          <w:tcPr>
            <w:tcW w:w="1614" w:type="dxa"/>
          </w:tcPr>
          <w:p w14:paraId="76EF9D09" w14:textId="77777777" w:rsidR="007075D9" w:rsidRPr="004D46AC" w:rsidRDefault="007075D9" w:rsidP="00052B86">
            <w:pPr>
              <w:spacing w:line="240" w:lineRule="auto"/>
              <w:ind w:firstLine="0"/>
            </w:pPr>
            <w:r w:rsidRPr="004D46AC">
              <w:t>…</w:t>
            </w:r>
          </w:p>
        </w:tc>
        <w:tc>
          <w:tcPr>
            <w:tcW w:w="1465" w:type="dxa"/>
          </w:tcPr>
          <w:p w14:paraId="61686445" w14:textId="77777777" w:rsidR="007075D9" w:rsidRPr="004D46AC" w:rsidRDefault="007075D9" w:rsidP="00052B86">
            <w:pPr>
              <w:spacing w:line="240" w:lineRule="auto"/>
              <w:ind w:firstLine="0"/>
            </w:pPr>
            <w:r w:rsidRPr="004D46AC">
              <w:t>…</w:t>
            </w:r>
          </w:p>
        </w:tc>
      </w:tr>
      <w:tr w:rsidR="007075D9" w:rsidRPr="004D46AC" w14:paraId="2EEC5CFE" w14:textId="77777777" w:rsidTr="00B518F1">
        <w:trPr>
          <w:trHeight w:val="294"/>
        </w:trPr>
        <w:tc>
          <w:tcPr>
            <w:tcW w:w="817" w:type="dxa"/>
          </w:tcPr>
          <w:p w14:paraId="0D610021" w14:textId="77777777" w:rsidR="007075D9" w:rsidRPr="004D46AC" w:rsidRDefault="007075D9" w:rsidP="00052B86">
            <w:pPr>
              <w:spacing w:line="240" w:lineRule="auto"/>
              <w:ind w:firstLine="0"/>
            </w:pPr>
            <w:r w:rsidRPr="004D46AC">
              <w:t>ICD 10</w:t>
            </w:r>
          </w:p>
        </w:tc>
        <w:tc>
          <w:tcPr>
            <w:tcW w:w="1508" w:type="dxa"/>
          </w:tcPr>
          <w:p w14:paraId="5D4E9EDE" w14:textId="77777777" w:rsidR="007075D9" w:rsidRPr="004D46AC" w:rsidRDefault="007075D9" w:rsidP="00052B86">
            <w:pPr>
              <w:spacing w:line="240" w:lineRule="auto"/>
              <w:ind w:firstLine="0"/>
            </w:pPr>
            <w:r w:rsidRPr="004D46AC">
              <w:t>At least one of the followings:</w:t>
            </w:r>
          </w:p>
          <w:p w14:paraId="2C31A349" w14:textId="77777777" w:rsidR="007075D9" w:rsidRPr="004D46AC" w:rsidRDefault="007075D9" w:rsidP="00052B86">
            <w:pPr>
              <w:spacing w:line="240" w:lineRule="auto"/>
              <w:ind w:firstLine="0"/>
            </w:pPr>
            <w:r w:rsidRPr="004D46AC">
              <w:t xml:space="preserve">a) thought echo, insertion, withdrawal, or </w:t>
            </w:r>
            <w:proofErr w:type="gramStart"/>
            <w:r w:rsidRPr="004D46AC">
              <w:t>broadcasting;</w:t>
            </w:r>
            <w:proofErr w:type="gramEnd"/>
          </w:p>
          <w:p w14:paraId="0751EBEF" w14:textId="77777777" w:rsidR="007075D9" w:rsidRPr="004D46AC" w:rsidRDefault="007075D9" w:rsidP="00052B86">
            <w:pPr>
              <w:spacing w:line="240" w:lineRule="auto"/>
              <w:ind w:firstLine="0"/>
            </w:pPr>
            <w:r w:rsidRPr="004D46AC">
              <w:t xml:space="preserve">b) delusions of control, influence, or </w:t>
            </w:r>
            <w:proofErr w:type="gramStart"/>
            <w:r w:rsidRPr="004D46AC">
              <w:t>passivity;</w:t>
            </w:r>
            <w:proofErr w:type="gramEnd"/>
          </w:p>
          <w:p w14:paraId="6CD4DD14" w14:textId="77777777" w:rsidR="007075D9" w:rsidRPr="004D46AC" w:rsidRDefault="007075D9" w:rsidP="00052B86">
            <w:pPr>
              <w:spacing w:line="240" w:lineRule="auto"/>
              <w:ind w:firstLine="0"/>
            </w:pPr>
            <w:r w:rsidRPr="004D46AC">
              <w:t>c) hallucinations (voice commentary, conversation</w:t>
            </w:r>
            <w:proofErr w:type="gramStart"/>
            <w:r w:rsidRPr="004D46AC">
              <w:t>);</w:t>
            </w:r>
            <w:proofErr w:type="gramEnd"/>
          </w:p>
          <w:p w14:paraId="3D323D61" w14:textId="77777777" w:rsidR="007075D9" w:rsidRPr="004D46AC" w:rsidRDefault="007075D9" w:rsidP="00052B86">
            <w:pPr>
              <w:spacing w:line="240" w:lineRule="auto"/>
              <w:ind w:firstLine="0"/>
            </w:pPr>
            <w:r w:rsidRPr="004D46AC">
              <w:t>d) persistent delusions (culturally inappropriate and completely impossible).</w:t>
            </w:r>
          </w:p>
          <w:p w14:paraId="4B69887B" w14:textId="77777777" w:rsidR="007075D9" w:rsidRPr="004D46AC" w:rsidRDefault="007075D9" w:rsidP="00052B86">
            <w:pPr>
              <w:spacing w:line="240" w:lineRule="auto"/>
              <w:ind w:firstLine="0"/>
            </w:pPr>
          </w:p>
          <w:p w14:paraId="2AA5B326" w14:textId="77777777" w:rsidR="007075D9" w:rsidRPr="004D46AC" w:rsidRDefault="007075D9" w:rsidP="00052B86">
            <w:pPr>
              <w:spacing w:line="240" w:lineRule="auto"/>
              <w:ind w:firstLine="0"/>
            </w:pPr>
            <w:r w:rsidRPr="004D46AC">
              <w:t>Or at least two of the followings:</w:t>
            </w:r>
          </w:p>
          <w:p w14:paraId="31D671D4" w14:textId="77777777" w:rsidR="007075D9" w:rsidRPr="004D46AC" w:rsidRDefault="007075D9" w:rsidP="00052B86">
            <w:pPr>
              <w:spacing w:line="240" w:lineRule="auto"/>
              <w:ind w:firstLine="0"/>
            </w:pPr>
            <w:r w:rsidRPr="004D46AC">
              <w:t xml:space="preserve">a) persistent </w:t>
            </w:r>
            <w:proofErr w:type="gramStart"/>
            <w:r w:rsidRPr="004D46AC">
              <w:t>hallucinations;</w:t>
            </w:r>
            <w:proofErr w:type="gramEnd"/>
          </w:p>
          <w:p w14:paraId="0AD98E43" w14:textId="77777777" w:rsidR="007075D9" w:rsidRPr="004D46AC" w:rsidRDefault="007075D9" w:rsidP="00052B86">
            <w:pPr>
              <w:spacing w:line="240" w:lineRule="auto"/>
              <w:ind w:firstLine="0"/>
            </w:pPr>
            <w:r w:rsidRPr="004D46AC">
              <w:t xml:space="preserve">b) thought </w:t>
            </w:r>
            <w:proofErr w:type="gramStart"/>
            <w:r w:rsidRPr="004D46AC">
              <w:t>disorder;</w:t>
            </w:r>
            <w:proofErr w:type="gramEnd"/>
          </w:p>
          <w:p w14:paraId="57335550" w14:textId="77777777" w:rsidR="007075D9" w:rsidRPr="004D46AC" w:rsidRDefault="007075D9" w:rsidP="00052B86">
            <w:pPr>
              <w:spacing w:line="240" w:lineRule="auto"/>
              <w:ind w:firstLine="0"/>
            </w:pPr>
            <w:r w:rsidRPr="004D46AC">
              <w:t>c) catatonia</w:t>
            </w:r>
          </w:p>
          <w:p w14:paraId="675CC802" w14:textId="77777777" w:rsidR="007075D9" w:rsidRPr="004D46AC" w:rsidRDefault="007075D9" w:rsidP="00052B86">
            <w:pPr>
              <w:spacing w:line="240" w:lineRule="auto"/>
              <w:ind w:firstLine="0"/>
            </w:pPr>
            <w:r w:rsidRPr="004D46AC">
              <w:t>d) negative symptoms</w:t>
            </w:r>
          </w:p>
          <w:p w14:paraId="6D71EEC8" w14:textId="77777777" w:rsidR="007075D9" w:rsidRPr="004D46AC" w:rsidRDefault="007075D9" w:rsidP="00052B86">
            <w:pPr>
              <w:spacing w:line="240" w:lineRule="auto"/>
              <w:ind w:firstLine="0"/>
            </w:pPr>
          </w:p>
        </w:tc>
        <w:tc>
          <w:tcPr>
            <w:tcW w:w="1628" w:type="dxa"/>
          </w:tcPr>
          <w:p w14:paraId="46E26ABD" w14:textId="77777777" w:rsidR="007075D9" w:rsidRPr="004D46AC" w:rsidRDefault="007075D9" w:rsidP="00052B86">
            <w:pPr>
              <w:spacing w:line="240" w:lineRule="auto"/>
              <w:ind w:firstLine="0"/>
            </w:pPr>
            <w:r w:rsidRPr="004D46AC">
              <w:t>Not applicable</w:t>
            </w:r>
          </w:p>
        </w:tc>
        <w:tc>
          <w:tcPr>
            <w:tcW w:w="1490" w:type="dxa"/>
          </w:tcPr>
          <w:p w14:paraId="7725A6B4" w14:textId="77777777" w:rsidR="007075D9" w:rsidRPr="004D46AC" w:rsidRDefault="007075D9" w:rsidP="00052B86">
            <w:pPr>
              <w:spacing w:line="240" w:lineRule="auto"/>
              <w:ind w:firstLine="0"/>
            </w:pPr>
            <w:r w:rsidRPr="004D46AC">
              <w:t>Course is based on observation for at least one year.</w:t>
            </w:r>
          </w:p>
          <w:p w14:paraId="7A79439E" w14:textId="77777777" w:rsidR="007075D9" w:rsidRPr="004D46AC" w:rsidRDefault="007075D9" w:rsidP="00052B86">
            <w:pPr>
              <w:spacing w:line="240" w:lineRule="auto"/>
              <w:ind w:firstLine="0"/>
            </w:pPr>
            <w:r w:rsidRPr="004D46AC">
              <w:t>Classification:</w:t>
            </w:r>
          </w:p>
          <w:p w14:paraId="19240AE6" w14:textId="77777777" w:rsidR="007075D9" w:rsidRPr="004D46AC" w:rsidRDefault="007075D9" w:rsidP="00052B86">
            <w:pPr>
              <w:spacing w:line="240" w:lineRule="auto"/>
              <w:ind w:firstLine="0"/>
            </w:pPr>
            <w:proofErr w:type="gramStart"/>
            <w:r w:rsidRPr="004D46AC">
              <w:t>Continuous;</w:t>
            </w:r>
            <w:proofErr w:type="gramEnd"/>
          </w:p>
          <w:p w14:paraId="16C2CED5" w14:textId="77777777" w:rsidR="007075D9" w:rsidRPr="004D46AC" w:rsidRDefault="007075D9" w:rsidP="00052B86">
            <w:pPr>
              <w:spacing w:line="240" w:lineRule="auto"/>
              <w:ind w:firstLine="0"/>
            </w:pPr>
            <w:r w:rsidRPr="004D46AC">
              <w:t xml:space="preserve">Episodic with progressive </w:t>
            </w:r>
            <w:proofErr w:type="gramStart"/>
            <w:r w:rsidRPr="004D46AC">
              <w:t>deficit;</w:t>
            </w:r>
            <w:proofErr w:type="gramEnd"/>
          </w:p>
          <w:p w14:paraId="4A857A79" w14:textId="77777777" w:rsidR="007075D9" w:rsidRPr="004D46AC" w:rsidRDefault="007075D9" w:rsidP="00052B86">
            <w:pPr>
              <w:spacing w:line="240" w:lineRule="auto"/>
              <w:ind w:firstLine="0"/>
            </w:pPr>
            <w:r w:rsidRPr="004D46AC">
              <w:t xml:space="preserve">Episodic with stable </w:t>
            </w:r>
            <w:proofErr w:type="gramStart"/>
            <w:r w:rsidRPr="004D46AC">
              <w:t>deficit;</w:t>
            </w:r>
            <w:proofErr w:type="gramEnd"/>
          </w:p>
          <w:p w14:paraId="7DB85D87" w14:textId="77777777" w:rsidR="007075D9" w:rsidRPr="004D46AC" w:rsidRDefault="007075D9" w:rsidP="00052B86">
            <w:pPr>
              <w:spacing w:line="240" w:lineRule="auto"/>
              <w:ind w:firstLine="0"/>
            </w:pPr>
            <w:r w:rsidRPr="004D46AC">
              <w:t xml:space="preserve">Episodic </w:t>
            </w:r>
            <w:proofErr w:type="gramStart"/>
            <w:r w:rsidRPr="004D46AC">
              <w:t>remittent;</w:t>
            </w:r>
            <w:proofErr w:type="gramEnd"/>
          </w:p>
          <w:p w14:paraId="24E901A0" w14:textId="77777777" w:rsidR="007075D9" w:rsidRPr="004D46AC" w:rsidRDefault="007075D9" w:rsidP="00052B86">
            <w:pPr>
              <w:spacing w:line="240" w:lineRule="auto"/>
              <w:ind w:firstLine="0"/>
            </w:pPr>
            <w:r w:rsidRPr="004D46AC">
              <w:t xml:space="preserve">Incomplete </w:t>
            </w:r>
            <w:proofErr w:type="gramStart"/>
            <w:r w:rsidRPr="004D46AC">
              <w:t>remission;</w:t>
            </w:r>
            <w:proofErr w:type="gramEnd"/>
          </w:p>
          <w:p w14:paraId="19F01B16" w14:textId="77777777" w:rsidR="007075D9" w:rsidRPr="004D46AC" w:rsidRDefault="007075D9" w:rsidP="00052B86">
            <w:pPr>
              <w:spacing w:line="240" w:lineRule="auto"/>
              <w:ind w:firstLine="0"/>
            </w:pPr>
            <w:r w:rsidRPr="004D46AC">
              <w:t xml:space="preserve">Complete </w:t>
            </w:r>
            <w:proofErr w:type="gramStart"/>
            <w:r w:rsidRPr="004D46AC">
              <w:t>remission;</w:t>
            </w:r>
            <w:proofErr w:type="gramEnd"/>
          </w:p>
          <w:p w14:paraId="2B4BEB2B" w14:textId="77777777" w:rsidR="007075D9" w:rsidRPr="004D46AC" w:rsidRDefault="007075D9" w:rsidP="00052B86">
            <w:pPr>
              <w:spacing w:line="240" w:lineRule="auto"/>
              <w:ind w:firstLine="0"/>
            </w:pPr>
            <w:proofErr w:type="gramStart"/>
            <w:r w:rsidRPr="004D46AC">
              <w:t>Other;</w:t>
            </w:r>
            <w:proofErr w:type="gramEnd"/>
          </w:p>
          <w:p w14:paraId="1A8991BD" w14:textId="77777777" w:rsidR="007075D9" w:rsidRPr="004D46AC" w:rsidRDefault="007075D9" w:rsidP="00052B86">
            <w:pPr>
              <w:spacing w:line="240" w:lineRule="auto"/>
              <w:ind w:firstLine="0"/>
            </w:pPr>
            <w:r w:rsidRPr="004D46AC">
              <w:t xml:space="preserve">Course uncertain, period of observation too short. </w:t>
            </w:r>
          </w:p>
        </w:tc>
        <w:tc>
          <w:tcPr>
            <w:tcW w:w="1614" w:type="dxa"/>
          </w:tcPr>
          <w:p w14:paraId="2AA8AD38" w14:textId="77777777" w:rsidR="007075D9" w:rsidRPr="004D46AC" w:rsidRDefault="007075D9" w:rsidP="00052B86">
            <w:pPr>
              <w:spacing w:line="240" w:lineRule="auto"/>
              <w:ind w:firstLine="0"/>
            </w:pPr>
            <w:r w:rsidRPr="004D46AC">
              <w:t xml:space="preserve">Paranoid, hebephrenic, catatonic, and undifferentiated schizophrenia   </w:t>
            </w:r>
          </w:p>
        </w:tc>
        <w:tc>
          <w:tcPr>
            <w:tcW w:w="1465" w:type="dxa"/>
          </w:tcPr>
          <w:p w14:paraId="240A019B" w14:textId="77777777" w:rsidR="007075D9" w:rsidRPr="004D46AC" w:rsidRDefault="007075D9" w:rsidP="00052B86">
            <w:pPr>
              <w:spacing w:line="240" w:lineRule="auto"/>
              <w:ind w:firstLine="0"/>
            </w:pPr>
            <w:r w:rsidRPr="004D46AC">
              <w:t>The criteria must meet before the onset any mood episode</w:t>
            </w:r>
          </w:p>
        </w:tc>
      </w:tr>
      <w:tr w:rsidR="007075D9" w:rsidRPr="004D46AC" w14:paraId="049DF2C1" w14:textId="77777777" w:rsidTr="00B518F1">
        <w:trPr>
          <w:trHeight w:val="294"/>
        </w:trPr>
        <w:tc>
          <w:tcPr>
            <w:tcW w:w="817" w:type="dxa"/>
          </w:tcPr>
          <w:p w14:paraId="3CB85344" w14:textId="77777777" w:rsidR="007075D9" w:rsidRPr="004D46AC" w:rsidRDefault="007075D9" w:rsidP="00052B86">
            <w:pPr>
              <w:spacing w:line="240" w:lineRule="auto"/>
              <w:ind w:firstLine="0"/>
            </w:pPr>
            <w:r w:rsidRPr="004D46AC">
              <w:t>DSM IV</w:t>
            </w:r>
          </w:p>
        </w:tc>
        <w:tc>
          <w:tcPr>
            <w:tcW w:w="1508" w:type="dxa"/>
          </w:tcPr>
          <w:p w14:paraId="065F2D20" w14:textId="77777777" w:rsidR="007075D9" w:rsidRPr="004D46AC" w:rsidRDefault="007075D9" w:rsidP="00052B86">
            <w:pPr>
              <w:spacing w:line="240" w:lineRule="auto"/>
              <w:ind w:firstLine="0"/>
            </w:pPr>
            <w:r w:rsidRPr="004D46AC">
              <w:t>At least two of the followings frequently presented during a month period:</w:t>
            </w:r>
          </w:p>
          <w:p w14:paraId="0C52DACD" w14:textId="77777777" w:rsidR="007075D9" w:rsidRPr="004D46AC" w:rsidRDefault="007075D9">
            <w:pPr>
              <w:pStyle w:val="a9"/>
              <w:widowControl w:val="0"/>
              <w:numPr>
                <w:ilvl w:val="0"/>
                <w:numId w:val="8"/>
              </w:numPr>
              <w:spacing w:line="240" w:lineRule="auto"/>
              <w:ind w:firstLine="0"/>
              <w:contextualSpacing w:val="0"/>
            </w:pPr>
            <w:r w:rsidRPr="004D46AC">
              <w:t>delusions</w:t>
            </w:r>
          </w:p>
          <w:p w14:paraId="61A0AA76" w14:textId="77777777" w:rsidR="007075D9" w:rsidRPr="004D46AC" w:rsidRDefault="007075D9">
            <w:pPr>
              <w:pStyle w:val="a9"/>
              <w:widowControl w:val="0"/>
              <w:numPr>
                <w:ilvl w:val="0"/>
                <w:numId w:val="8"/>
              </w:numPr>
              <w:spacing w:line="240" w:lineRule="auto"/>
              <w:ind w:firstLine="0"/>
              <w:contextualSpacing w:val="0"/>
            </w:pPr>
            <w:r w:rsidRPr="004D46AC">
              <w:t>hallucinations</w:t>
            </w:r>
          </w:p>
          <w:p w14:paraId="6BB84F59" w14:textId="77777777" w:rsidR="007075D9" w:rsidRPr="004D46AC" w:rsidRDefault="007075D9">
            <w:pPr>
              <w:pStyle w:val="a9"/>
              <w:widowControl w:val="0"/>
              <w:numPr>
                <w:ilvl w:val="0"/>
                <w:numId w:val="8"/>
              </w:numPr>
              <w:spacing w:line="240" w:lineRule="auto"/>
              <w:ind w:firstLine="0"/>
              <w:contextualSpacing w:val="0"/>
            </w:pPr>
            <w:r w:rsidRPr="004D46AC">
              <w:t>disorganised speech</w:t>
            </w:r>
          </w:p>
          <w:p w14:paraId="18C90B69" w14:textId="77777777" w:rsidR="007075D9" w:rsidRPr="004D46AC" w:rsidRDefault="007075D9">
            <w:pPr>
              <w:pStyle w:val="a9"/>
              <w:widowControl w:val="0"/>
              <w:numPr>
                <w:ilvl w:val="0"/>
                <w:numId w:val="8"/>
              </w:numPr>
              <w:spacing w:line="240" w:lineRule="auto"/>
              <w:ind w:firstLine="0"/>
              <w:contextualSpacing w:val="0"/>
            </w:pPr>
            <w:r w:rsidRPr="004D46AC">
              <w:t>grossly disorganised or catatonic behaviour</w:t>
            </w:r>
          </w:p>
          <w:p w14:paraId="73C77B35" w14:textId="77777777" w:rsidR="007075D9" w:rsidRPr="004D46AC" w:rsidRDefault="007075D9">
            <w:pPr>
              <w:pStyle w:val="a9"/>
              <w:widowControl w:val="0"/>
              <w:numPr>
                <w:ilvl w:val="0"/>
                <w:numId w:val="8"/>
              </w:numPr>
              <w:spacing w:line="240" w:lineRule="auto"/>
              <w:ind w:firstLine="0"/>
              <w:contextualSpacing w:val="0"/>
            </w:pPr>
            <w:r w:rsidRPr="004D46AC">
              <w:t>negative symptoms</w:t>
            </w:r>
          </w:p>
        </w:tc>
        <w:tc>
          <w:tcPr>
            <w:tcW w:w="1628" w:type="dxa"/>
          </w:tcPr>
          <w:p w14:paraId="46CE85B5" w14:textId="77777777" w:rsidR="007075D9" w:rsidRPr="004D46AC" w:rsidRDefault="007075D9" w:rsidP="00052B86">
            <w:pPr>
              <w:spacing w:line="240" w:lineRule="auto"/>
              <w:ind w:firstLine="0"/>
            </w:pPr>
            <w:r w:rsidRPr="004D46AC">
              <w:t>Markedly lower level Social/ occupation functioning than the time before illness onset.</w:t>
            </w:r>
          </w:p>
        </w:tc>
        <w:tc>
          <w:tcPr>
            <w:tcW w:w="1490" w:type="dxa"/>
          </w:tcPr>
          <w:p w14:paraId="7BEC487E" w14:textId="77777777" w:rsidR="007075D9" w:rsidRPr="004D46AC" w:rsidRDefault="007075D9" w:rsidP="00052B86">
            <w:pPr>
              <w:spacing w:line="240" w:lineRule="auto"/>
              <w:ind w:firstLine="0"/>
            </w:pPr>
            <w:r w:rsidRPr="004D46AC">
              <w:t>… during premorbid or residual periods, the signs may manifest as only negative symptoms or two or more attenuated psychotic symptoms.</w:t>
            </w:r>
          </w:p>
          <w:p w14:paraId="32A5FE83" w14:textId="77777777" w:rsidR="007075D9" w:rsidRPr="004D46AC" w:rsidRDefault="007075D9" w:rsidP="00052B86">
            <w:pPr>
              <w:spacing w:line="240" w:lineRule="auto"/>
              <w:ind w:firstLine="0"/>
            </w:pPr>
            <w:r w:rsidRPr="004D46AC">
              <w:t xml:space="preserve">Classifications: episodic with </w:t>
            </w:r>
            <w:proofErr w:type="spellStart"/>
            <w:r w:rsidRPr="004D46AC">
              <w:t>interepisode</w:t>
            </w:r>
            <w:proofErr w:type="spellEnd"/>
            <w:r w:rsidRPr="004D46AC">
              <w:t xml:space="preserve"> residual </w:t>
            </w:r>
            <w:proofErr w:type="gramStart"/>
            <w:r w:rsidRPr="004D46AC">
              <w:t>symptoms;</w:t>
            </w:r>
            <w:proofErr w:type="gramEnd"/>
          </w:p>
          <w:p w14:paraId="2521C16E" w14:textId="77777777" w:rsidR="007075D9" w:rsidRPr="004D46AC" w:rsidRDefault="007075D9" w:rsidP="00052B86">
            <w:pPr>
              <w:spacing w:line="240" w:lineRule="auto"/>
              <w:ind w:firstLine="0"/>
            </w:pPr>
            <w:r w:rsidRPr="004D46AC">
              <w:t xml:space="preserve">Episodic with no </w:t>
            </w:r>
            <w:proofErr w:type="spellStart"/>
            <w:r w:rsidRPr="004D46AC">
              <w:t>interepisode</w:t>
            </w:r>
            <w:proofErr w:type="spellEnd"/>
            <w:r w:rsidRPr="004D46AC">
              <w:t xml:space="preserve"> residual </w:t>
            </w:r>
            <w:r w:rsidRPr="004D46AC">
              <w:lastRenderedPageBreak/>
              <w:t>symptoms; continuous; single episode in partial remission; single episode in full remission; other or unspecified pattern</w:t>
            </w:r>
          </w:p>
        </w:tc>
        <w:tc>
          <w:tcPr>
            <w:tcW w:w="1614" w:type="dxa"/>
          </w:tcPr>
          <w:p w14:paraId="1B066AA3" w14:textId="77777777" w:rsidR="007075D9" w:rsidRPr="004D46AC" w:rsidRDefault="007075D9" w:rsidP="00052B86">
            <w:pPr>
              <w:spacing w:line="240" w:lineRule="auto"/>
              <w:ind w:firstLine="0"/>
            </w:pPr>
            <w:r w:rsidRPr="004D46AC">
              <w:lastRenderedPageBreak/>
              <w:t>…</w:t>
            </w:r>
          </w:p>
        </w:tc>
        <w:tc>
          <w:tcPr>
            <w:tcW w:w="1465" w:type="dxa"/>
          </w:tcPr>
          <w:p w14:paraId="6035A23D" w14:textId="77777777" w:rsidR="007075D9" w:rsidRPr="004D46AC" w:rsidRDefault="007075D9" w:rsidP="00052B86">
            <w:pPr>
              <w:spacing w:line="240" w:lineRule="auto"/>
              <w:ind w:firstLine="0"/>
            </w:pPr>
            <w:r w:rsidRPr="004D46AC">
              <w:t xml:space="preserve">Exclusion of schizoaffective and affective disorders: a) non concurrent occurrence of psychotic and affective syndrome, b) if cooccur, the affective duration is brief relative to the active phase of schizophrenia  </w:t>
            </w:r>
          </w:p>
        </w:tc>
      </w:tr>
      <w:tr w:rsidR="007075D9" w:rsidRPr="004D46AC" w14:paraId="1BBCE99F" w14:textId="77777777" w:rsidTr="00B518F1">
        <w:trPr>
          <w:trHeight w:val="285"/>
        </w:trPr>
        <w:tc>
          <w:tcPr>
            <w:tcW w:w="817" w:type="dxa"/>
          </w:tcPr>
          <w:p w14:paraId="3A767B81" w14:textId="77777777" w:rsidR="007075D9" w:rsidRPr="004D46AC" w:rsidRDefault="007075D9" w:rsidP="00052B86">
            <w:pPr>
              <w:spacing w:line="240" w:lineRule="auto"/>
              <w:ind w:firstLine="0"/>
            </w:pPr>
            <w:r w:rsidRPr="004D46AC">
              <w:t>DSM IV TR</w:t>
            </w:r>
          </w:p>
        </w:tc>
        <w:tc>
          <w:tcPr>
            <w:tcW w:w="1508" w:type="dxa"/>
          </w:tcPr>
          <w:p w14:paraId="6E6CCFD7" w14:textId="77777777" w:rsidR="007075D9" w:rsidRPr="004D46AC" w:rsidRDefault="007075D9" w:rsidP="00052B86">
            <w:pPr>
              <w:spacing w:line="240" w:lineRule="auto"/>
              <w:ind w:firstLine="0"/>
            </w:pPr>
            <w:r w:rsidRPr="004D46AC">
              <w:t>…</w:t>
            </w:r>
          </w:p>
        </w:tc>
        <w:tc>
          <w:tcPr>
            <w:tcW w:w="1628" w:type="dxa"/>
          </w:tcPr>
          <w:p w14:paraId="5F6E4BFC" w14:textId="77777777" w:rsidR="007075D9" w:rsidRPr="004D46AC" w:rsidRDefault="007075D9" w:rsidP="00052B86">
            <w:pPr>
              <w:spacing w:line="240" w:lineRule="auto"/>
              <w:ind w:firstLine="0"/>
            </w:pPr>
            <w:r w:rsidRPr="004D46AC">
              <w:t>…</w:t>
            </w:r>
          </w:p>
        </w:tc>
        <w:tc>
          <w:tcPr>
            <w:tcW w:w="1490" w:type="dxa"/>
          </w:tcPr>
          <w:p w14:paraId="2565FD82" w14:textId="77777777" w:rsidR="007075D9" w:rsidRPr="004D46AC" w:rsidRDefault="007075D9" w:rsidP="00052B86">
            <w:pPr>
              <w:spacing w:line="240" w:lineRule="auto"/>
              <w:ind w:firstLine="0"/>
            </w:pPr>
            <w:r w:rsidRPr="004D46AC">
              <w:t>…</w:t>
            </w:r>
          </w:p>
          <w:p w14:paraId="54BB1A79" w14:textId="77777777" w:rsidR="007075D9" w:rsidRPr="004D46AC" w:rsidRDefault="007075D9" w:rsidP="00052B86">
            <w:pPr>
              <w:spacing w:line="240" w:lineRule="auto"/>
              <w:ind w:firstLine="0"/>
            </w:pPr>
          </w:p>
        </w:tc>
        <w:tc>
          <w:tcPr>
            <w:tcW w:w="1614" w:type="dxa"/>
          </w:tcPr>
          <w:p w14:paraId="28F38147" w14:textId="77777777" w:rsidR="007075D9" w:rsidRPr="004D46AC" w:rsidRDefault="007075D9" w:rsidP="00052B86">
            <w:pPr>
              <w:spacing w:line="240" w:lineRule="auto"/>
              <w:ind w:firstLine="0"/>
            </w:pPr>
            <w:r w:rsidRPr="004D46AC">
              <w:t>…</w:t>
            </w:r>
          </w:p>
        </w:tc>
        <w:tc>
          <w:tcPr>
            <w:tcW w:w="1465" w:type="dxa"/>
          </w:tcPr>
          <w:p w14:paraId="20B35B29" w14:textId="77777777" w:rsidR="007075D9" w:rsidRPr="004D46AC" w:rsidRDefault="007075D9" w:rsidP="00052B86">
            <w:pPr>
              <w:spacing w:line="240" w:lineRule="auto"/>
              <w:ind w:firstLine="0"/>
            </w:pPr>
            <w:r w:rsidRPr="004D46AC">
              <w:t>…</w:t>
            </w:r>
          </w:p>
        </w:tc>
      </w:tr>
      <w:tr w:rsidR="007075D9" w:rsidRPr="004D46AC" w14:paraId="55A50C49" w14:textId="77777777" w:rsidTr="00B518F1">
        <w:trPr>
          <w:trHeight w:val="294"/>
        </w:trPr>
        <w:tc>
          <w:tcPr>
            <w:tcW w:w="817" w:type="dxa"/>
          </w:tcPr>
          <w:p w14:paraId="395B354E" w14:textId="77777777" w:rsidR="007075D9" w:rsidRPr="004D46AC" w:rsidRDefault="007075D9" w:rsidP="00052B86">
            <w:pPr>
              <w:spacing w:line="240" w:lineRule="auto"/>
              <w:ind w:firstLine="0"/>
            </w:pPr>
            <w:r w:rsidRPr="004D46AC">
              <w:t>DSM V</w:t>
            </w:r>
          </w:p>
        </w:tc>
        <w:tc>
          <w:tcPr>
            <w:tcW w:w="1508" w:type="dxa"/>
          </w:tcPr>
          <w:p w14:paraId="7B18C22E" w14:textId="77777777" w:rsidR="007075D9" w:rsidRPr="004D46AC" w:rsidRDefault="007075D9" w:rsidP="00052B86">
            <w:pPr>
              <w:spacing w:line="240" w:lineRule="auto"/>
              <w:ind w:firstLine="0"/>
            </w:pPr>
            <w:r w:rsidRPr="004D46AC">
              <w:t>At least two of the followings frequently presented during a month period; at least one of these must be 1), 2), or 3):</w:t>
            </w:r>
          </w:p>
          <w:p w14:paraId="7FDE5E89" w14:textId="77777777" w:rsidR="007075D9" w:rsidRPr="004D46AC" w:rsidRDefault="007075D9">
            <w:pPr>
              <w:pStyle w:val="a9"/>
              <w:widowControl w:val="0"/>
              <w:numPr>
                <w:ilvl w:val="0"/>
                <w:numId w:val="9"/>
              </w:numPr>
              <w:spacing w:line="240" w:lineRule="auto"/>
              <w:ind w:firstLine="0"/>
              <w:contextualSpacing w:val="0"/>
            </w:pPr>
            <w:r w:rsidRPr="004D46AC">
              <w:t>delusions</w:t>
            </w:r>
          </w:p>
          <w:p w14:paraId="10DDA97B" w14:textId="77777777" w:rsidR="007075D9" w:rsidRPr="004D46AC" w:rsidRDefault="007075D9">
            <w:pPr>
              <w:pStyle w:val="a9"/>
              <w:widowControl w:val="0"/>
              <w:numPr>
                <w:ilvl w:val="0"/>
                <w:numId w:val="9"/>
              </w:numPr>
              <w:spacing w:line="240" w:lineRule="auto"/>
              <w:ind w:firstLine="0"/>
              <w:contextualSpacing w:val="0"/>
            </w:pPr>
            <w:r w:rsidRPr="004D46AC">
              <w:t>hallucinations</w:t>
            </w:r>
          </w:p>
          <w:p w14:paraId="22BB82F7" w14:textId="77777777" w:rsidR="007075D9" w:rsidRPr="004D46AC" w:rsidRDefault="007075D9">
            <w:pPr>
              <w:pStyle w:val="a9"/>
              <w:widowControl w:val="0"/>
              <w:numPr>
                <w:ilvl w:val="0"/>
                <w:numId w:val="9"/>
              </w:numPr>
              <w:spacing w:line="240" w:lineRule="auto"/>
              <w:ind w:firstLine="0"/>
              <w:contextualSpacing w:val="0"/>
            </w:pPr>
            <w:r w:rsidRPr="004D46AC">
              <w:t>disorganised speech</w:t>
            </w:r>
          </w:p>
          <w:p w14:paraId="0E9C08D0" w14:textId="77777777" w:rsidR="007075D9" w:rsidRPr="004D46AC" w:rsidRDefault="007075D9">
            <w:pPr>
              <w:pStyle w:val="a9"/>
              <w:widowControl w:val="0"/>
              <w:numPr>
                <w:ilvl w:val="0"/>
                <w:numId w:val="9"/>
              </w:numPr>
              <w:spacing w:line="240" w:lineRule="auto"/>
              <w:ind w:firstLine="0"/>
              <w:contextualSpacing w:val="0"/>
            </w:pPr>
            <w:r w:rsidRPr="004D46AC">
              <w:t>grossly disorganised or catatonic behaviour</w:t>
            </w:r>
          </w:p>
          <w:p w14:paraId="130AC731" w14:textId="77777777" w:rsidR="007075D9" w:rsidRPr="004D46AC" w:rsidRDefault="007075D9">
            <w:pPr>
              <w:pStyle w:val="a9"/>
              <w:widowControl w:val="0"/>
              <w:numPr>
                <w:ilvl w:val="0"/>
                <w:numId w:val="9"/>
              </w:numPr>
              <w:spacing w:line="240" w:lineRule="auto"/>
              <w:ind w:firstLine="0"/>
              <w:contextualSpacing w:val="0"/>
            </w:pPr>
            <w:r w:rsidRPr="004D46AC">
              <w:t>negative symptoms</w:t>
            </w:r>
          </w:p>
        </w:tc>
        <w:tc>
          <w:tcPr>
            <w:tcW w:w="1628" w:type="dxa"/>
          </w:tcPr>
          <w:p w14:paraId="1F885C0C" w14:textId="77777777" w:rsidR="007075D9" w:rsidRPr="004D46AC" w:rsidRDefault="007075D9" w:rsidP="00052B86">
            <w:pPr>
              <w:spacing w:line="240" w:lineRule="auto"/>
              <w:ind w:firstLine="0"/>
            </w:pPr>
            <w:r w:rsidRPr="004D46AC">
              <w:t>…</w:t>
            </w:r>
          </w:p>
        </w:tc>
        <w:tc>
          <w:tcPr>
            <w:tcW w:w="1490" w:type="dxa"/>
          </w:tcPr>
          <w:p w14:paraId="4D400982" w14:textId="77777777" w:rsidR="007075D9" w:rsidRPr="004D46AC" w:rsidRDefault="007075D9" w:rsidP="00052B86">
            <w:pPr>
              <w:spacing w:line="240" w:lineRule="auto"/>
              <w:ind w:firstLine="0"/>
            </w:pPr>
            <w:r w:rsidRPr="004D46AC">
              <w:t>…</w:t>
            </w:r>
          </w:p>
          <w:p w14:paraId="2CB98F34" w14:textId="77777777" w:rsidR="007075D9" w:rsidRPr="004D46AC" w:rsidRDefault="007075D9" w:rsidP="00052B86">
            <w:pPr>
              <w:spacing w:line="240" w:lineRule="auto"/>
              <w:ind w:firstLine="0"/>
            </w:pPr>
            <w:r w:rsidRPr="004D46AC">
              <w:t xml:space="preserve">Classification: </w:t>
            </w:r>
          </w:p>
          <w:p w14:paraId="65B78299" w14:textId="77777777" w:rsidR="007075D9" w:rsidRPr="004D46AC" w:rsidRDefault="007075D9" w:rsidP="00052B86">
            <w:pPr>
              <w:spacing w:line="240" w:lineRule="auto"/>
              <w:ind w:firstLine="0"/>
            </w:pPr>
            <w:r w:rsidRPr="004D46AC">
              <w:t xml:space="preserve">First episode, currently in acute </w:t>
            </w:r>
            <w:proofErr w:type="gramStart"/>
            <w:r w:rsidRPr="004D46AC">
              <w:t>episode;</w:t>
            </w:r>
            <w:proofErr w:type="gramEnd"/>
          </w:p>
          <w:p w14:paraId="4C1A1713" w14:textId="77777777" w:rsidR="007075D9" w:rsidRPr="004D46AC" w:rsidRDefault="007075D9" w:rsidP="00052B86">
            <w:pPr>
              <w:spacing w:line="240" w:lineRule="auto"/>
              <w:ind w:firstLine="0"/>
            </w:pPr>
            <w:r w:rsidRPr="004D46AC">
              <w:t xml:space="preserve">…, currently in partial </w:t>
            </w:r>
            <w:proofErr w:type="gramStart"/>
            <w:r w:rsidRPr="004D46AC">
              <w:t>remission;</w:t>
            </w:r>
            <w:proofErr w:type="gramEnd"/>
          </w:p>
          <w:p w14:paraId="1FF41889" w14:textId="77777777" w:rsidR="007075D9" w:rsidRPr="004D46AC" w:rsidRDefault="007075D9" w:rsidP="00052B86">
            <w:pPr>
              <w:spacing w:line="240" w:lineRule="auto"/>
              <w:ind w:firstLine="0"/>
            </w:pPr>
            <w:r w:rsidRPr="004D46AC">
              <w:t xml:space="preserve">…, currently in full </w:t>
            </w:r>
            <w:proofErr w:type="gramStart"/>
            <w:r w:rsidRPr="004D46AC">
              <w:t>remission;</w:t>
            </w:r>
            <w:proofErr w:type="gramEnd"/>
          </w:p>
          <w:p w14:paraId="725DF112" w14:textId="77777777" w:rsidR="007075D9" w:rsidRPr="004D46AC" w:rsidRDefault="007075D9" w:rsidP="00052B86">
            <w:pPr>
              <w:spacing w:line="240" w:lineRule="auto"/>
              <w:ind w:firstLine="0"/>
            </w:pPr>
            <w:r w:rsidRPr="004D46AC">
              <w:t xml:space="preserve">Multiple episodes, </w:t>
            </w:r>
            <w:proofErr w:type="gramStart"/>
            <w:r w:rsidRPr="004D46AC">
              <w:t>…;</w:t>
            </w:r>
            <w:proofErr w:type="gramEnd"/>
          </w:p>
          <w:p w14:paraId="18F62D50" w14:textId="77777777" w:rsidR="007075D9" w:rsidRPr="004D46AC" w:rsidRDefault="007075D9" w:rsidP="00052B86">
            <w:pPr>
              <w:spacing w:line="240" w:lineRule="auto"/>
              <w:ind w:firstLine="0"/>
            </w:pPr>
            <w:r w:rsidRPr="004D46AC">
              <w:t>….</w:t>
            </w:r>
          </w:p>
          <w:p w14:paraId="37350D96" w14:textId="77777777" w:rsidR="007075D9" w:rsidRPr="004D46AC" w:rsidRDefault="007075D9" w:rsidP="00052B86">
            <w:pPr>
              <w:spacing w:line="240" w:lineRule="auto"/>
              <w:ind w:firstLine="0"/>
            </w:pPr>
            <w:proofErr w:type="gramStart"/>
            <w:r w:rsidRPr="004D46AC">
              <w:t>Continuous;</w:t>
            </w:r>
            <w:proofErr w:type="gramEnd"/>
          </w:p>
          <w:p w14:paraId="0956FDD3" w14:textId="77777777" w:rsidR="007075D9" w:rsidRPr="004D46AC" w:rsidRDefault="007075D9" w:rsidP="00052B86">
            <w:pPr>
              <w:spacing w:line="240" w:lineRule="auto"/>
              <w:ind w:firstLine="0"/>
            </w:pPr>
            <w:r w:rsidRPr="004D46AC">
              <w:t>Unspecified.</w:t>
            </w:r>
          </w:p>
        </w:tc>
        <w:tc>
          <w:tcPr>
            <w:tcW w:w="1614" w:type="dxa"/>
          </w:tcPr>
          <w:p w14:paraId="69544252" w14:textId="77777777" w:rsidR="007075D9" w:rsidRPr="004D46AC" w:rsidRDefault="007075D9" w:rsidP="00052B86">
            <w:pPr>
              <w:spacing w:line="240" w:lineRule="auto"/>
              <w:ind w:firstLine="0"/>
            </w:pPr>
            <w:r w:rsidRPr="004D46AC">
              <w:t>…</w:t>
            </w:r>
          </w:p>
        </w:tc>
        <w:tc>
          <w:tcPr>
            <w:tcW w:w="1465" w:type="dxa"/>
          </w:tcPr>
          <w:p w14:paraId="6081263E" w14:textId="77777777" w:rsidR="007075D9" w:rsidRPr="004D46AC" w:rsidRDefault="007075D9" w:rsidP="00052B86">
            <w:pPr>
              <w:spacing w:line="240" w:lineRule="auto"/>
              <w:ind w:firstLine="0"/>
            </w:pPr>
            <w:r w:rsidRPr="004D46AC">
              <w:t>…</w:t>
            </w:r>
          </w:p>
        </w:tc>
      </w:tr>
      <w:tr w:rsidR="007075D9" w:rsidRPr="004D46AC" w14:paraId="3F72EAB8" w14:textId="77777777" w:rsidTr="00B518F1">
        <w:trPr>
          <w:trHeight w:val="285"/>
        </w:trPr>
        <w:tc>
          <w:tcPr>
            <w:tcW w:w="817" w:type="dxa"/>
          </w:tcPr>
          <w:p w14:paraId="37D53EB6" w14:textId="77777777" w:rsidR="007075D9" w:rsidRPr="004D46AC" w:rsidRDefault="007075D9" w:rsidP="00052B86">
            <w:pPr>
              <w:spacing w:line="240" w:lineRule="auto"/>
              <w:ind w:firstLine="0"/>
            </w:pPr>
            <w:r w:rsidRPr="004D46AC">
              <w:t>ICD 11</w:t>
            </w:r>
          </w:p>
        </w:tc>
        <w:tc>
          <w:tcPr>
            <w:tcW w:w="1508" w:type="dxa"/>
          </w:tcPr>
          <w:p w14:paraId="0AD39F11" w14:textId="77777777" w:rsidR="007075D9" w:rsidRPr="004D46AC" w:rsidRDefault="007075D9" w:rsidP="00052B86">
            <w:pPr>
              <w:spacing w:line="240" w:lineRule="auto"/>
              <w:ind w:firstLine="0"/>
            </w:pPr>
            <w:r w:rsidRPr="004D46AC">
              <w:t>At least two of the followings must be present most of the time for a period of 1 months or more:</w:t>
            </w:r>
          </w:p>
          <w:p w14:paraId="738A0592" w14:textId="77777777" w:rsidR="007075D9" w:rsidRPr="004D46AC" w:rsidRDefault="007075D9" w:rsidP="00052B86">
            <w:pPr>
              <w:spacing w:line="240" w:lineRule="auto"/>
              <w:ind w:firstLine="0"/>
            </w:pPr>
            <w:r w:rsidRPr="004D46AC">
              <w:t xml:space="preserve">a) persistent </w:t>
            </w:r>
            <w:proofErr w:type="gramStart"/>
            <w:r w:rsidRPr="004D46AC">
              <w:t>delusions;</w:t>
            </w:r>
            <w:proofErr w:type="gramEnd"/>
          </w:p>
          <w:p w14:paraId="1104AD4D" w14:textId="77777777" w:rsidR="007075D9" w:rsidRPr="004D46AC" w:rsidRDefault="007075D9" w:rsidP="00052B86">
            <w:pPr>
              <w:spacing w:line="240" w:lineRule="auto"/>
              <w:ind w:firstLine="0"/>
            </w:pPr>
            <w:r w:rsidRPr="004D46AC">
              <w:t xml:space="preserve">b) persistent </w:t>
            </w:r>
            <w:proofErr w:type="gramStart"/>
            <w:r w:rsidRPr="004D46AC">
              <w:t>hallucinations;</w:t>
            </w:r>
            <w:proofErr w:type="gramEnd"/>
          </w:p>
          <w:p w14:paraId="7B790ECD" w14:textId="77777777" w:rsidR="007075D9" w:rsidRPr="004D46AC" w:rsidRDefault="007075D9" w:rsidP="00052B86">
            <w:pPr>
              <w:spacing w:line="240" w:lineRule="auto"/>
              <w:ind w:firstLine="0"/>
            </w:pPr>
            <w:r w:rsidRPr="004D46AC">
              <w:t xml:space="preserve">c) disorganised </w:t>
            </w:r>
            <w:proofErr w:type="gramStart"/>
            <w:r w:rsidRPr="004D46AC">
              <w:t>thinking;</w:t>
            </w:r>
            <w:proofErr w:type="gramEnd"/>
          </w:p>
          <w:p w14:paraId="6E39D8A3" w14:textId="77777777" w:rsidR="007075D9" w:rsidRPr="004D46AC" w:rsidRDefault="007075D9" w:rsidP="00052B86">
            <w:pPr>
              <w:spacing w:line="240" w:lineRule="auto"/>
              <w:ind w:firstLine="0"/>
            </w:pPr>
            <w:r w:rsidRPr="004D46AC">
              <w:t xml:space="preserve">d) experiences of influence, passivity or </w:t>
            </w:r>
            <w:proofErr w:type="gramStart"/>
            <w:r w:rsidRPr="004D46AC">
              <w:t>control;</w:t>
            </w:r>
            <w:proofErr w:type="gramEnd"/>
          </w:p>
          <w:p w14:paraId="3C38E352" w14:textId="77777777" w:rsidR="007075D9" w:rsidRPr="004D46AC" w:rsidRDefault="007075D9" w:rsidP="00052B86">
            <w:pPr>
              <w:spacing w:line="240" w:lineRule="auto"/>
              <w:ind w:firstLine="0"/>
            </w:pPr>
            <w:r w:rsidRPr="004D46AC">
              <w:t xml:space="preserve">e) negative </w:t>
            </w:r>
            <w:proofErr w:type="gramStart"/>
            <w:r w:rsidRPr="004D46AC">
              <w:t>symptoms;</w:t>
            </w:r>
            <w:proofErr w:type="gramEnd"/>
          </w:p>
          <w:p w14:paraId="6D758F3D" w14:textId="77777777" w:rsidR="007075D9" w:rsidRPr="004D46AC" w:rsidRDefault="007075D9" w:rsidP="00052B86">
            <w:pPr>
              <w:spacing w:line="240" w:lineRule="auto"/>
              <w:ind w:firstLine="0"/>
            </w:pPr>
            <w:r w:rsidRPr="004D46AC">
              <w:lastRenderedPageBreak/>
              <w:t xml:space="preserve">f) disorganised </w:t>
            </w:r>
            <w:proofErr w:type="gramStart"/>
            <w:r w:rsidRPr="004D46AC">
              <w:t>behaviour;</w:t>
            </w:r>
            <w:proofErr w:type="gramEnd"/>
          </w:p>
          <w:p w14:paraId="5204F7D1" w14:textId="77777777" w:rsidR="007075D9" w:rsidRPr="004D46AC" w:rsidRDefault="007075D9" w:rsidP="00052B86">
            <w:pPr>
              <w:spacing w:line="240" w:lineRule="auto"/>
              <w:ind w:firstLine="0"/>
            </w:pPr>
            <w:r w:rsidRPr="004D46AC">
              <w:t xml:space="preserve">g) psychomotor disturbance </w:t>
            </w:r>
          </w:p>
        </w:tc>
        <w:tc>
          <w:tcPr>
            <w:tcW w:w="1628" w:type="dxa"/>
          </w:tcPr>
          <w:p w14:paraId="23A3F30E" w14:textId="77777777" w:rsidR="007075D9" w:rsidRPr="004D46AC" w:rsidRDefault="007075D9" w:rsidP="00052B86">
            <w:pPr>
              <w:spacing w:line="240" w:lineRule="auto"/>
              <w:ind w:firstLine="0"/>
            </w:pPr>
            <w:r w:rsidRPr="004D46AC">
              <w:lastRenderedPageBreak/>
              <w:t>Not applicable</w:t>
            </w:r>
          </w:p>
        </w:tc>
        <w:tc>
          <w:tcPr>
            <w:tcW w:w="1490" w:type="dxa"/>
          </w:tcPr>
          <w:p w14:paraId="63B029AA" w14:textId="77777777" w:rsidR="007075D9" w:rsidRPr="004D46AC" w:rsidRDefault="007075D9" w:rsidP="00052B86">
            <w:pPr>
              <w:spacing w:line="240" w:lineRule="auto"/>
              <w:ind w:firstLine="0"/>
            </w:pPr>
            <w:r w:rsidRPr="004D46AC">
              <w:t>First episode (symptomatic, remission, unspecified</w:t>
            </w:r>
            <w:proofErr w:type="gramStart"/>
            <w:r w:rsidRPr="004D46AC">
              <w:t>);</w:t>
            </w:r>
            <w:proofErr w:type="gramEnd"/>
          </w:p>
          <w:p w14:paraId="783B46D5" w14:textId="77777777" w:rsidR="007075D9" w:rsidRPr="004D46AC" w:rsidRDefault="007075D9" w:rsidP="00052B86">
            <w:pPr>
              <w:spacing w:line="240" w:lineRule="auto"/>
              <w:ind w:firstLine="0"/>
            </w:pPr>
            <w:r w:rsidRPr="004D46AC">
              <w:t>Multiple episodes (…</w:t>
            </w:r>
            <w:proofErr w:type="gramStart"/>
            <w:r w:rsidRPr="004D46AC">
              <w:t>);</w:t>
            </w:r>
            <w:proofErr w:type="gramEnd"/>
          </w:p>
          <w:p w14:paraId="15193EAF" w14:textId="77777777" w:rsidR="007075D9" w:rsidRPr="004D46AC" w:rsidRDefault="007075D9" w:rsidP="00052B86">
            <w:pPr>
              <w:spacing w:line="240" w:lineRule="auto"/>
              <w:ind w:firstLine="0"/>
            </w:pPr>
            <w:r w:rsidRPr="004D46AC">
              <w:t>Continuous (…); other specified episodes; episode unspecified.</w:t>
            </w:r>
          </w:p>
        </w:tc>
        <w:tc>
          <w:tcPr>
            <w:tcW w:w="1614" w:type="dxa"/>
          </w:tcPr>
          <w:p w14:paraId="0486893C" w14:textId="77777777" w:rsidR="007075D9" w:rsidRPr="004D46AC" w:rsidRDefault="007075D9" w:rsidP="00052B86">
            <w:pPr>
              <w:spacing w:line="240" w:lineRule="auto"/>
              <w:ind w:firstLine="0"/>
            </w:pPr>
            <w:r w:rsidRPr="004D46AC">
              <w:t>Not applicable</w:t>
            </w:r>
          </w:p>
        </w:tc>
        <w:tc>
          <w:tcPr>
            <w:tcW w:w="1465" w:type="dxa"/>
          </w:tcPr>
          <w:p w14:paraId="384B651D" w14:textId="77777777" w:rsidR="007075D9" w:rsidRPr="004D46AC" w:rsidRDefault="007075D9" w:rsidP="00052B86">
            <w:pPr>
              <w:spacing w:line="240" w:lineRule="auto"/>
              <w:ind w:firstLine="0"/>
            </w:pPr>
            <w:r w:rsidRPr="004D46AC">
              <w:t xml:space="preserve">Psychotic symptoms in mood disorder are mood congruent. If the criteria of mood disorder and schizophrenia disorder are met concurrently, then diagnosis of schizoaffective disorder is </w:t>
            </w:r>
            <w:r w:rsidRPr="004D46AC">
              <w:lastRenderedPageBreak/>
              <w:t>appropriate to make.</w:t>
            </w:r>
          </w:p>
        </w:tc>
      </w:tr>
      <w:tr w:rsidR="007075D9" w:rsidRPr="004D46AC" w14:paraId="50AF8DEA" w14:textId="77777777" w:rsidTr="00B518F1">
        <w:trPr>
          <w:trHeight w:val="294"/>
        </w:trPr>
        <w:tc>
          <w:tcPr>
            <w:tcW w:w="817" w:type="dxa"/>
          </w:tcPr>
          <w:p w14:paraId="36A35EE0" w14:textId="77777777" w:rsidR="007075D9" w:rsidRPr="004D46AC" w:rsidRDefault="007075D9" w:rsidP="00052B86">
            <w:pPr>
              <w:spacing w:line="240" w:lineRule="auto"/>
              <w:ind w:firstLine="0"/>
            </w:pPr>
            <w:r w:rsidRPr="004D46AC">
              <w:lastRenderedPageBreak/>
              <w:t>DSM V TR</w:t>
            </w:r>
          </w:p>
        </w:tc>
        <w:tc>
          <w:tcPr>
            <w:tcW w:w="1508" w:type="dxa"/>
          </w:tcPr>
          <w:p w14:paraId="347B7C89" w14:textId="77777777" w:rsidR="007075D9" w:rsidRPr="004D46AC" w:rsidRDefault="007075D9" w:rsidP="00052B86">
            <w:pPr>
              <w:spacing w:line="240" w:lineRule="auto"/>
              <w:ind w:firstLine="0"/>
            </w:pPr>
            <w:r w:rsidRPr="004D46AC">
              <w:t>…</w:t>
            </w:r>
          </w:p>
        </w:tc>
        <w:tc>
          <w:tcPr>
            <w:tcW w:w="1628" w:type="dxa"/>
          </w:tcPr>
          <w:p w14:paraId="0065605A" w14:textId="77777777" w:rsidR="007075D9" w:rsidRPr="004D46AC" w:rsidRDefault="007075D9" w:rsidP="00052B86">
            <w:pPr>
              <w:spacing w:line="240" w:lineRule="auto"/>
              <w:ind w:firstLine="0"/>
            </w:pPr>
            <w:r w:rsidRPr="004D46AC">
              <w:t>…</w:t>
            </w:r>
          </w:p>
        </w:tc>
        <w:tc>
          <w:tcPr>
            <w:tcW w:w="1490" w:type="dxa"/>
          </w:tcPr>
          <w:p w14:paraId="4C2E023C" w14:textId="77777777" w:rsidR="007075D9" w:rsidRPr="004D46AC" w:rsidRDefault="007075D9" w:rsidP="00052B86">
            <w:pPr>
              <w:spacing w:line="240" w:lineRule="auto"/>
              <w:ind w:firstLine="0"/>
            </w:pPr>
            <w:r w:rsidRPr="004D46AC">
              <w:t>…</w:t>
            </w:r>
          </w:p>
        </w:tc>
        <w:tc>
          <w:tcPr>
            <w:tcW w:w="1614" w:type="dxa"/>
          </w:tcPr>
          <w:p w14:paraId="1C1891B7" w14:textId="77777777" w:rsidR="007075D9" w:rsidRPr="004D46AC" w:rsidRDefault="007075D9" w:rsidP="00052B86">
            <w:pPr>
              <w:spacing w:line="240" w:lineRule="auto"/>
              <w:ind w:firstLine="0"/>
            </w:pPr>
            <w:r w:rsidRPr="004D46AC">
              <w:t>…</w:t>
            </w:r>
          </w:p>
        </w:tc>
        <w:tc>
          <w:tcPr>
            <w:tcW w:w="1465" w:type="dxa"/>
          </w:tcPr>
          <w:p w14:paraId="759ADA24" w14:textId="77777777" w:rsidR="007075D9" w:rsidRPr="004D46AC" w:rsidRDefault="007075D9" w:rsidP="00052B86">
            <w:pPr>
              <w:spacing w:line="240" w:lineRule="auto"/>
              <w:ind w:firstLine="0"/>
            </w:pPr>
            <w:r w:rsidRPr="004D46AC">
              <w:t>…</w:t>
            </w:r>
          </w:p>
        </w:tc>
      </w:tr>
    </w:tbl>
    <w:p w14:paraId="79E42724" w14:textId="77777777" w:rsidR="007075D9" w:rsidRPr="004D46AC" w:rsidRDefault="007075D9" w:rsidP="00052B86">
      <w:pPr>
        <w:spacing w:line="240" w:lineRule="auto"/>
        <w:ind w:firstLine="0"/>
      </w:pPr>
      <w:r w:rsidRPr="004D46AC">
        <w:t>Note. the … means that the content in this block is the same as the previous.</w:t>
      </w:r>
    </w:p>
    <w:p w14:paraId="40BE87D0" w14:textId="77777777" w:rsidR="007075D9" w:rsidRPr="004D46AC" w:rsidRDefault="007075D9" w:rsidP="00B518F1">
      <w:pPr>
        <w:spacing w:line="360" w:lineRule="auto"/>
      </w:pPr>
    </w:p>
    <w:p w14:paraId="686D1A97" w14:textId="77777777" w:rsidR="007075D9" w:rsidRPr="004D46AC" w:rsidRDefault="007075D9" w:rsidP="00B518F1">
      <w:pPr>
        <w:spacing w:line="360" w:lineRule="auto"/>
      </w:pPr>
    </w:p>
    <w:p w14:paraId="3CA1FF81" w14:textId="77777777" w:rsidR="007075D9" w:rsidRPr="004D46AC" w:rsidRDefault="007075D9" w:rsidP="00B518F1">
      <w:pPr>
        <w:spacing w:line="360" w:lineRule="auto"/>
      </w:pPr>
    </w:p>
    <w:p w14:paraId="2DD3B9E0" w14:textId="77777777" w:rsidR="007075D9" w:rsidRPr="004D46AC" w:rsidRDefault="007075D9" w:rsidP="00B518F1">
      <w:pPr>
        <w:spacing w:line="360" w:lineRule="auto"/>
      </w:pPr>
    </w:p>
    <w:p w14:paraId="2E8EA131" w14:textId="77777777" w:rsidR="007075D9" w:rsidRPr="004D46AC" w:rsidRDefault="007075D9" w:rsidP="00B518F1">
      <w:pPr>
        <w:spacing w:line="360" w:lineRule="auto"/>
      </w:pPr>
    </w:p>
    <w:p w14:paraId="30CA8DF9" w14:textId="77777777" w:rsidR="007075D9" w:rsidRPr="004D46AC" w:rsidRDefault="007075D9" w:rsidP="00B518F1">
      <w:pPr>
        <w:spacing w:line="360" w:lineRule="auto"/>
      </w:pPr>
    </w:p>
    <w:p w14:paraId="65B553A2" w14:textId="77777777" w:rsidR="007075D9" w:rsidRPr="004D46AC" w:rsidRDefault="007075D9" w:rsidP="00B518F1">
      <w:pPr>
        <w:spacing w:line="360" w:lineRule="auto"/>
      </w:pPr>
    </w:p>
    <w:p w14:paraId="7856674F" w14:textId="77777777" w:rsidR="007075D9" w:rsidRPr="004D46AC" w:rsidRDefault="007075D9" w:rsidP="00B518F1">
      <w:pPr>
        <w:spacing w:line="360" w:lineRule="auto"/>
        <w:rPr>
          <w:rFonts w:eastAsiaTheme="minorEastAsia"/>
        </w:rPr>
      </w:pPr>
    </w:p>
    <w:p w14:paraId="10912A0A" w14:textId="77777777" w:rsidR="00CC3324" w:rsidRPr="004D46AC" w:rsidRDefault="00CC3324" w:rsidP="00B518F1">
      <w:pPr>
        <w:spacing w:line="360" w:lineRule="auto"/>
        <w:rPr>
          <w:rFonts w:eastAsiaTheme="minorEastAsia"/>
        </w:rPr>
      </w:pPr>
    </w:p>
    <w:p w14:paraId="001407CA" w14:textId="77777777" w:rsidR="00CC3324" w:rsidRPr="004D46AC" w:rsidRDefault="00CC3324" w:rsidP="00B518F1">
      <w:pPr>
        <w:spacing w:line="360" w:lineRule="auto"/>
        <w:rPr>
          <w:rFonts w:eastAsiaTheme="minorEastAsia"/>
        </w:rPr>
      </w:pPr>
    </w:p>
    <w:p w14:paraId="6CE5DBF0" w14:textId="77777777" w:rsidR="00CC3324" w:rsidRPr="004D46AC" w:rsidRDefault="00CC3324" w:rsidP="00B518F1">
      <w:pPr>
        <w:spacing w:line="360" w:lineRule="auto"/>
        <w:rPr>
          <w:rFonts w:eastAsiaTheme="minorEastAsia"/>
        </w:rPr>
      </w:pPr>
    </w:p>
    <w:p w14:paraId="55B51EBC" w14:textId="77777777" w:rsidR="00CC3324" w:rsidRPr="004D46AC" w:rsidRDefault="00CC3324" w:rsidP="00B518F1">
      <w:pPr>
        <w:spacing w:line="360" w:lineRule="auto"/>
        <w:rPr>
          <w:rFonts w:eastAsiaTheme="minorEastAsia"/>
        </w:rPr>
      </w:pPr>
    </w:p>
    <w:p w14:paraId="73FB6F1A" w14:textId="77777777" w:rsidR="00CC3324" w:rsidRPr="004D46AC" w:rsidRDefault="00CC3324" w:rsidP="00B518F1">
      <w:pPr>
        <w:spacing w:line="360" w:lineRule="auto"/>
        <w:rPr>
          <w:rFonts w:eastAsiaTheme="minorEastAsia"/>
        </w:rPr>
      </w:pPr>
    </w:p>
    <w:p w14:paraId="704B9C06" w14:textId="77777777" w:rsidR="00CC3324" w:rsidRPr="004D46AC" w:rsidRDefault="00CC3324" w:rsidP="00B518F1">
      <w:pPr>
        <w:spacing w:line="360" w:lineRule="auto"/>
        <w:rPr>
          <w:rFonts w:eastAsiaTheme="minorEastAsia"/>
        </w:rPr>
      </w:pPr>
    </w:p>
    <w:p w14:paraId="5E4EC885" w14:textId="77777777" w:rsidR="00CC3324" w:rsidRPr="004D46AC" w:rsidRDefault="00CC3324" w:rsidP="00B518F1">
      <w:pPr>
        <w:spacing w:line="360" w:lineRule="auto"/>
        <w:rPr>
          <w:rFonts w:eastAsiaTheme="minorEastAsia"/>
        </w:rPr>
      </w:pPr>
    </w:p>
    <w:p w14:paraId="442DFDAC" w14:textId="77777777" w:rsidR="00CC3324" w:rsidRPr="004D46AC" w:rsidRDefault="00CC3324" w:rsidP="00B518F1">
      <w:pPr>
        <w:spacing w:line="360" w:lineRule="auto"/>
        <w:rPr>
          <w:rFonts w:eastAsiaTheme="minorEastAsia"/>
        </w:rPr>
      </w:pPr>
    </w:p>
    <w:p w14:paraId="74895284" w14:textId="77777777" w:rsidR="00CC3324" w:rsidRPr="004D46AC" w:rsidRDefault="00CC3324" w:rsidP="00B518F1">
      <w:pPr>
        <w:spacing w:line="360" w:lineRule="auto"/>
        <w:rPr>
          <w:rFonts w:eastAsiaTheme="minorEastAsia"/>
        </w:rPr>
      </w:pPr>
    </w:p>
    <w:p w14:paraId="63BBF234" w14:textId="77777777" w:rsidR="00CC3324" w:rsidRPr="004D46AC" w:rsidRDefault="00CC3324" w:rsidP="00B518F1">
      <w:pPr>
        <w:spacing w:line="360" w:lineRule="auto"/>
        <w:rPr>
          <w:rFonts w:eastAsiaTheme="minorEastAsia"/>
        </w:rPr>
      </w:pPr>
    </w:p>
    <w:p w14:paraId="2396E6F0" w14:textId="77777777" w:rsidR="00CC3324" w:rsidRPr="004D46AC" w:rsidRDefault="00CC3324" w:rsidP="00B518F1">
      <w:pPr>
        <w:spacing w:line="360" w:lineRule="auto"/>
        <w:rPr>
          <w:rFonts w:eastAsiaTheme="minorEastAsia"/>
        </w:rPr>
      </w:pPr>
    </w:p>
    <w:p w14:paraId="2D57C9E2" w14:textId="77777777" w:rsidR="00CC3324" w:rsidRPr="004D46AC" w:rsidRDefault="00CC3324" w:rsidP="00B518F1">
      <w:pPr>
        <w:spacing w:line="360" w:lineRule="auto"/>
        <w:rPr>
          <w:rFonts w:eastAsiaTheme="minorEastAsia"/>
        </w:rPr>
      </w:pPr>
    </w:p>
    <w:p w14:paraId="45F97106" w14:textId="77777777" w:rsidR="00CC3324" w:rsidRPr="004D46AC" w:rsidRDefault="00CC3324" w:rsidP="00B518F1">
      <w:pPr>
        <w:spacing w:line="360" w:lineRule="auto"/>
        <w:rPr>
          <w:rFonts w:eastAsiaTheme="minorEastAsia"/>
        </w:rPr>
      </w:pPr>
    </w:p>
    <w:p w14:paraId="5FF5DFF4" w14:textId="77777777" w:rsidR="00CC3324" w:rsidRPr="004D46AC" w:rsidRDefault="00CC3324" w:rsidP="00B518F1">
      <w:pPr>
        <w:spacing w:line="360" w:lineRule="auto"/>
        <w:rPr>
          <w:rFonts w:eastAsiaTheme="minorEastAsia"/>
        </w:rPr>
      </w:pPr>
    </w:p>
    <w:p w14:paraId="1535230B" w14:textId="77777777" w:rsidR="00CC3324" w:rsidRPr="004D46AC" w:rsidRDefault="00CC3324" w:rsidP="00B518F1">
      <w:pPr>
        <w:spacing w:line="360" w:lineRule="auto"/>
        <w:rPr>
          <w:rFonts w:eastAsiaTheme="minorEastAsia"/>
        </w:rPr>
      </w:pPr>
    </w:p>
    <w:p w14:paraId="25C62C66" w14:textId="77777777" w:rsidR="007075D9" w:rsidRPr="004D46AC" w:rsidRDefault="007075D9" w:rsidP="00052B86">
      <w:pPr>
        <w:spacing w:line="240" w:lineRule="auto"/>
        <w:ind w:firstLine="0"/>
      </w:pPr>
    </w:p>
    <w:p w14:paraId="5EED78DF" w14:textId="128AD3B5" w:rsidR="00052B86" w:rsidRPr="004D46AC" w:rsidRDefault="00052B86" w:rsidP="00052B86">
      <w:pPr>
        <w:pStyle w:val="afff0"/>
        <w:spacing w:after="0"/>
        <w:ind w:firstLine="0"/>
        <w:rPr>
          <w:b/>
          <w:bCs/>
          <w:i w:val="0"/>
          <w:iCs w:val="0"/>
          <w:color w:val="auto"/>
          <w:sz w:val="22"/>
          <w:szCs w:val="22"/>
        </w:rPr>
      </w:pPr>
      <w:bookmarkStart w:id="298" w:name="_Toc219870622"/>
      <w:r w:rsidRPr="004D46AC">
        <w:rPr>
          <w:b/>
          <w:bCs/>
          <w:i w:val="0"/>
          <w:iCs w:val="0"/>
          <w:color w:val="auto"/>
          <w:sz w:val="22"/>
          <w:szCs w:val="22"/>
        </w:rPr>
        <w:lastRenderedPageBreak/>
        <w:t xml:space="preserve">Table A </w:t>
      </w:r>
      <w:r w:rsidRPr="004D46AC">
        <w:rPr>
          <w:b/>
          <w:bCs/>
          <w:i w:val="0"/>
          <w:iCs w:val="0"/>
          <w:color w:val="auto"/>
          <w:sz w:val="22"/>
          <w:szCs w:val="22"/>
        </w:rPr>
        <w:fldChar w:fldCharType="begin"/>
      </w:r>
      <w:r w:rsidRPr="004D46AC">
        <w:rPr>
          <w:b/>
          <w:bCs/>
          <w:i w:val="0"/>
          <w:iCs w:val="0"/>
          <w:color w:val="auto"/>
          <w:sz w:val="22"/>
          <w:szCs w:val="22"/>
        </w:rPr>
        <w:instrText xml:space="preserve"> SEQ Table_A \* ARABIC </w:instrText>
      </w:r>
      <w:r w:rsidRPr="004D46AC">
        <w:rPr>
          <w:b/>
          <w:bCs/>
          <w:i w:val="0"/>
          <w:iCs w:val="0"/>
          <w:color w:val="auto"/>
          <w:sz w:val="22"/>
          <w:szCs w:val="22"/>
        </w:rPr>
        <w:fldChar w:fldCharType="separate"/>
      </w:r>
      <w:r w:rsidR="004719F3" w:rsidRPr="004D46AC">
        <w:rPr>
          <w:b/>
          <w:bCs/>
          <w:i w:val="0"/>
          <w:iCs w:val="0"/>
          <w:noProof/>
          <w:color w:val="auto"/>
          <w:sz w:val="22"/>
          <w:szCs w:val="22"/>
        </w:rPr>
        <w:t>2</w:t>
      </w:r>
      <w:bookmarkEnd w:id="298"/>
      <w:r w:rsidRPr="004D46AC">
        <w:rPr>
          <w:b/>
          <w:bCs/>
          <w:i w:val="0"/>
          <w:iCs w:val="0"/>
          <w:color w:val="auto"/>
          <w:sz w:val="22"/>
          <w:szCs w:val="22"/>
        </w:rPr>
        <w:fldChar w:fldCharType="end"/>
      </w:r>
    </w:p>
    <w:p w14:paraId="6A8E1F9F" w14:textId="77777777" w:rsidR="007075D9" w:rsidRPr="004D46AC" w:rsidRDefault="007075D9" w:rsidP="00052B86">
      <w:pPr>
        <w:spacing w:line="240" w:lineRule="auto"/>
        <w:ind w:firstLine="0"/>
        <w:rPr>
          <w:i/>
          <w:iCs/>
        </w:rPr>
      </w:pPr>
      <w:r w:rsidRPr="004D46AC">
        <w:rPr>
          <w:i/>
          <w:iCs/>
        </w:rPr>
        <w:t>The evolvement of diagnostic criteria for bipolar disorder since DSM III</w:t>
      </w:r>
    </w:p>
    <w:tbl>
      <w:tblPr>
        <w:tblStyle w:val="afc"/>
        <w:tblW w:w="0" w:type="auto"/>
        <w:tblLook w:val="04A0" w:firstRow="1" w:lastRow="0" w:firstColumn="1" w:lastColumn="0" w:noHBand="0" w:noVBand="1"/>
      </w:tblPr>
      <w:tblGrid>
        <w:gridCol w:w="635"/>
        <w:gridCol w:w="2543"/>
        <w:gridCol w:w="1324"/>
        <w:gridCol w:w="1376"/>
        <w:gridCol w:w="1658"/>
        <w:gridCol w:w="1480"/>
      </w:tblGrid>
      <w:tr w:rsidR="007075D9" w:rsidRPr="004D46AC" w14:paraId="54D06E06" w14:textId="77777777" w:rsidTr="00B518F1">
        <w:trPr>
          <w:trHeight w:val="863"/>
        </w:trPr>
        <w:tc>
          <w:tcPr>
            <w:tcW w:w="1336" w:type="dxa"/>
          </w:tcPr>
          <w:p w14:paraId="696012EA" w14:textId="77777777" w:rsidR="007075D9" w:rsidRPr="004D46AC" w:rsidRDefault="007075D9" w:rsidP="00052B86">
            <w:pPr>
              <w:spacing w:line="240" w:lineRule="auto"/>
              <w:ind w:firstLine="0"/>
            </w:pPr>
          </w:p>
        </w:tc>
        <w:tc>
          <w:tcPr>
            <w:tcW w:w="2905" w:type="dxa"/>
          </w:tcPr>
          <w:p w14:paraId="25C29A63" w14:textId="77777777" w:rsidR="007075D9" w:rsidRPr="004D46AC" w:rsidRDefault="007075D9" w:rsidP="00052B86">
            <w:pPr>
              <w:spacing w:line="240" w:lineRule="auto"/>
              <w:ind w:firstLine="0"/>
            </w:pPr>
            <w:r w:rsidRPr="004D46AC">
              <w:t>Criteria</w:t>
            </w:r>
          </w:p>
        </w:tc>
        <w:tc>
          <w:tcPr>
            <w:tcW w:w="2066" w:type="dxa"/>
          </w:tcPr>
          <w:p w14:paraId="35A999B6" w14:textId="77777777" w:rsidR="007075D9" w:rsidRPr="004D46AC" w:rsidRDefault="007075D9" w:rsidP="00052B86">
            <w:pPr>
              <w:spacing w:line="240" w:lineRule="auto"/>
              <w:ind w:firstLine="0"/>
            </w:pPr>
            <w:r w:rsidRPr="004D46AC">
              <w:t>Functioning</w:t>
            </w:r>
          </w:p>
        </w:tc>
        <w:tc>
          <w:tcPr>
            <w:tcW w:w="2664" w:type="dxa"/>
          </w:tcPr>
          <w:p w14:paraId="467ABB7A" w14:textId="77777777" w:rsidR="007075D9" w:rsidRPr="004D46AC" w:rsidRDefault="007075D9" w:rsidP="00052B86">
            <w:pPr>
              <w:spacing w:line="240" w:lineRule="auto"/>
              <w:ind w:firstLine="0"/>
            </w:pPr>
            <w:r w:rsidRPr="004D46AC">
              <w:t>Course</w:t>
            </w:r>
          </w:p>
        </w:tc>
        <w:tc>
          <w:tcPr>
            <w:tcW w:w="2431" w:type="dxa"/>
          </w:tcPr>
          <w:p w14:paraId="6D77016C" w14:textId="77777777" w:rsidR="007075D9" w:rsidRPr="004D46AC" w:rsidRDefault="007075D9" w:rsidP="00052B86">
            <w:pPr>
              <w:spacing w:line="240" w:lineRule="auto"/>
              <w:ind w:firstLine="0"/>
            </w:pPr>
            <w:r w:rsidRPr="004D46AC">
              <w:t>Types</w:t>
            </w:r>
          </w:p>
        </w:tc>
        <w:tc>
          <w:tcPr>
            <w:tcW w:w="2611" w:type="dxa"/>
          </w:tcPr>
          <w:p w14:paraId="097E7EBA" w14:textId="77777777" w:rsidR="007075D9" w:rsidRPr="004D46AC" w:rsidRDefault="007075D9" w:rsidP="00052B86">
            <w:pPr>
              <w:spacing w:line="240" w:lineRule="auto"/>
              <w:ind w:firstLine="0"/>
            </w:pPr>
            <w:r w:rsidRPr="004D46AC">
              <w:t xml:space="preserve">Boundary issue </w:t>
            </w:r>
          </w:p>
        </w:tc>
      </w:tr>
      <w:tr w:rsidR="007075D9" w:rsidRPr="004D46AC" w14:paraId="4763F501" w14:textId="77777777" w:rsidTr="00B518F1">
        <w:trPr>
          <w:trHeight w:val="274"/>
        </w:trPr>
        <w:tc>
          <w:tcPr>
            <w:tcW w:w="1336" w:type="dxa"/>
          </w:tcPr>
          <w:p w14:paraId="5B19CED2" w14:textId="77777777" w:rsidR="007075D9" w:rsidRPr="004D46AC" w:rsidRDefault="007075D9" w:rsidP="00052B86">
            <w:pPr>
              <w:spacing w:line="240" w:lineRule="auto"/>
              <w:ind w:firstLine="0"/>
            </w:pPr>
            <w:r w:rsidRPr="004D46AC">
              <w:t>DSM III</w:t>
            </w:r>
          </w:p>
        </w:tc>
        <w:tc>
          <w:tcPr>
            <w:tcW w:w="2905" w:type="dxa"/>
          </w:tcPr>
          <w:p w14:paraId="082024AF" w14:textId="77777777" w:rsidR="007075D9" w:rsidRPr="004D46AC" w:rsidRDefault="007075D9" w:rsidP="00052B86">
            <w:pPr>
              <w:spacing w:line="240" w:lineRule="auto"/>
              <w:ind w:firstLine="0"/>
            </w:pPr>
            <w:r w:rsidRPr="004D46AC">
              <w:t>The essential feature of bipolar disorder is whether there has been a manic episode:</w:t>
            </w:r>
          </w:p>
          <w:p w14:paraId="542C119C" w14:textId="77777777" w:rsidR="007075D9" w:rsidRPr="004D46AC" w:rsidRDefault="007075D9">
            <w:pPr>
              <w:pStyle w:val="a9"/>
              <w:widowControl w:val="0"/>
              <w:numPr>
                <w:ilvl w:val="0"/>
                <w:numId w:val="10"/>
              </w:numPr>
              <w:spacing w:line="240" w:lineRule="auto"/>
              <w:ind w:firstLine="0"/>
              <w:contextualSpacing w:val="0"/>
            </w:pPr>
            <w:r w:rsidRPr="004D46AC">
              <w:t xml:space="preserve">At least one distinctive period with elevated, expansive, or irritable mood that is predominant or persistent during the course, lasted for more than a </w:t>
            </w:r>
            <w:proofErr w:type="gramStart"/>
            <w:r w:rsidRPr="004D46AC">
              <w:t>week;</w:t>
            </w:r>
            <w:proofErr w:type="gramEnd"/>
          </w:p>
          <w:p w14:paraId="39AC64D0" w14:textId="77777777" w:rsidR="007075D9" w:rsidRPr="004D46AC" w:rsidRDefault="007075D9">
            <w:pPr>
              <w:pStyle w:val="a9"/>
              <w:widowControl w:val="0"/>
              <w:numPr>
                <w:ilvl w:val="0"/>
                <w:numId w:val="10"/>
              </w:numPr>
              <w:spacing w:line="240" w:lineRule="auto"/>
              <w:ind w:firstLine="0"/>
              <w:contextualSpacing w:val="0"/>
            </w:pPr>
            <w:r w:rsidRPr="004D46AC">
              <w:t xml:space="preserve"> During the course, at least three, or four if the mood is only irritable, of the followings have persisted and been presented to a significant degree:</w:t>
            </w:r>
          </w:p>
          <w:p w14:paraId="25A462EB" w14:textId="77777777" w:rsidR="007075D9" w:rsidRPr="004D46AC" w:rsidRDefault="007075D9">
            <w:pPr>
              <w:pStyle w:val="a9"/>
              <w:widowControl w:val="0"/>
              <w:numPr>
                <w:ilvl w:val="0"/>
                <w:numId w:val="11"/>
              </w:numPr>
              <w:spacing w:line="240" w:lineRule="auto"/>
              <w:ind w:firstLine="0"/>
              <w:contextualSpacing w:val="0"/>
            </w:pPr>
            <w:r w:rsidRPr="004D46AC">
              <w:t>Increased activity or physical restlessness</w:t>
            </w:r>
          </w:p>
          <w:p w14:paraId="2E73A5AB" w14:textId="77777777" w:rsidR="007075D9" w:rsidRPr="004D46AC" w:rsidRDefault="007075D9">
            <w:pPr>
              <w:pStyle w:val="a9"/>
              <w:widowControl w:val="0"/>
              <w:numPr>
                <w:ilvl w:val="0"/>
                <w:numId w:val="11"/>
              </w:numPr>
              <w:spacing w:line="240" w:lineRule="auto"/>
              <w:ind w:firstLine="0"/>
              <w:contextualSpacing w:val="0"/>
            </w:pPr>
            <w:r w:rsidRPr="004D46AC">
              <w:t>More talkative</w:t>
            </w:r>
          </w:p>
          <w:p w14:paraId="25A751DC" w14:textId="77777777" w:rsidR="007075D9" w:rsidRPr="004D46AC" w:rsidRDefault="007075D9">
            <w:pPr>
              <w:pStyle w:val="a9"/>
              <w:widowControl w:val="0"/>
              <w:numPr>
                <w:ilvl w:val="0"/>
                <w:numId w:val="11"/>
              </w:numPr>
              <w:spacing w:line="240" w:lineRule="auto"/>
              <w:ind w:firstLine="0"/>
              <w:contextualSpacing w:val="0"/>
            </w:pPr>
            <w:r w:rsidRPr="004D46AC">
              <w:t>Racing thoughts</w:t>
            </w:r>
          </w:p>
          <w:p w14:paraId="1EFC3C5E" w14:textId="77777777" w:rsidR="007075D9" w:rsidRPr="004D46AC" w:rsidRDefault="007075D9">
            <w:pPr>
              <w:pStyle w:val="a9"/>
              <w:widowControl w:val="0"/>
              <w:numPr>
                <w:ilvl w:val="0"/>
                <w:numId w:val="11"/>
              </w:numPr>
              <w:spacing w:line="240" w:lineRule="auto"/>
              <w:ind w:firstLine="0"/>
              <w:contextualSpacing w:val="0"/>
            </w:pPr>
            <w:r w:rsidRPr="004D46AC">
              <w:t>Inflated self-esteem (grandiosity, which maybe delusional)</w:t>
            </w:r>
          </w:p>
          <w:p w14:paraId="4DA494A6" w14:textId="77777777" w:rsidR="007075D9" w:rsidRPr="004D46AC" w:rsidRDefault="007075D9">
            <w:pPr>
              <w:pStyle w:val="a9"/>
              <w:widowControl w:val="0"/>
              <w:numPr>
                <w:ilvl w:val="0"/>
                <w:numId w:val="11"/>
              </w:numPr>
              <w:spacing w:line="240" w:lineRule="auto"/>
              <w:ind w:firstLine="0"/>
              <w:contextualSpacing w:val="0"/>
            </w:pPr>
            <w:r w:rsidRPr="004D46AC">
              <w:t>Decreased need for sleep</w:t>
            </w:r>
          </w:p>
          <w:p w14:paraId="3DE78E7B" w14:textId="77777777" w:rsidR="007075D9" w:rsidRPr="004D46AC" w:rsidRDefault="007075D9">
            <w:pPr>
              <w:pStyle w:val="a9"/>
              <w:widowControl w:val="0"/>
              <w:numPr>
                <w:ilvl w:val="0"/>
                <w:numId w:val="11"/>
              </w:numPr>
              <w:spacing w:line="240" w:lineRule="auto"/>
              <w:ind w:firstLine="0"/>
              <w:contextualSpacing w:val="0"/>
            </w:pPr>
            <w:r w:rsidRPr="004D46AC">
              <w:t>Distractibility</w:t>
            </w:r>
          </w:p>
          <w:p w14:paraId="7751C6EB" w14:textId="77777777" w:rsidR="007075D9" w:rsidRPr="004D46AC" w:rsidRDefault="007075D9">
            <w:pPr>
              <w:pStyle w:val="a9"/>
              <w:widowControl w:val="0"/>
              <w:numPr>
                <w:ilvl w:val="0"/>
                <w:numId w:val="11"/>
              </w:numPr>
              <w:spacing w:line="240" w:lineRule="auto"/>
              <w:ind w:firstLine="0"/>
              <w:contextualSpacing w:val="0"/>
            </w:pPr>
            <w:r w:rsidRPr="004D46AC">
              <w:t>Excessive involvement in activities that are potentially having painful consequences</w:t>
            </w:r>
          </w:p>
          <w:p w14:paraId="17491518" w14:textId="77777777" w:rsidR="007075D9" w:rsidRPr="004D46AC" w:rsidRDefault="007075D9" w:rsidP="00052B86">
            <w:pPr>
              <w:spacing w:line="240" w:lineRule="auto"/>
              <w:ind w:firstLine="0"/>
            </w:pPr>
            <w:r w:rsidRPr="004D46AC">
              <w:t>Depressive episode:</w:t>
            </w:r>
          </w:p>
          <w:p w14:paraId="69BAE699" w14:textId="77777777" w:rsidR="007075D9" w:rsidRPr="004D46AC" w:rsidRDefault="007075D9">
            <w:pPr>
              <w:pStyle w:val="a9"/>
              <w:widowControl w:val="0"/>
              <w:numPr>
                <w:ilvl w:val="0"/>
                <w:numId w:val="17"/>
              </w:numPr>
              <w:spacing w:line="240" w:lineRule="auto"/>
              <w:ind w:firstLine="0"/>
              <w:contextualSpacing w:val="0"/>
            </w:pPr>
            <w:r w:rsidRPr="004D46AC">
              <w:t xml:space="preserve">Dysphoric mood </w:t>
            </w:r>
            <w:r w:rsidRPr="004D46AC">
              <w:lastRenderedPageBreak/>
              <w:t xml:space="preserve">(e.g., sad, hopeless, irritable) or loss of interest. The mood disturbance is prominent and persistent. The mood is not necessarily dominant and does not swich from one to </w:t>
            </w:r>
            <w:proofErr w:type="gramStart"/>
            <w:r w:rsidRPr="004D46AC">
              <w:t>another;</w:t>
            </w:r>
            <w:proofErr w:type="gramEnd"/>
          </w:p>
          <w:p w14:paraId="422D7437" w14:textId="77777777" w:rsidR="007075D9" w:rsidRPr="004D46AC" w:rsidRDefault="007075D9">
            <w:pPr>
              <w:pStyle w:val="a9"/>
              <w:widowControl w:val="0"/>
              <w:numPr>
                <w:ilvl w:val="0"/>
                <w:numId w:val="17"/>
              </w:numPr>
              <w:spacing w:line="240" w:lineRule="auto"/>
              <w:ind w:firstLine="0"/>
              <w:contextualSpacing w:val="0"/>
            </w:pPr>
            <w:r w:rsidRPr="004D46AC">
              <w:t>At least four of the followings has each been presented nearly every day in at least two weeks.</w:t>
            </w:r>
          </w:p>
          <w:p w14:paraId="64D04CC0" w14:textId="77777777" w:rsidR="007075D9" w:rsidRPr="004D46AC" w:rsidRDefault="007075D9">
            <w:pPr>
              <w:pStyle w:val="a9"/>
              <w:widowControl w:val="0"/>
              <w:numPr>
                <w:ilvl w:val="0"/>
                <w:numId w:val="18"/>
              </w:numPr>
              <w:spacing w:line="240" w:lineRule="auto"/>
              <w:ind w:firstLine="0"/>
              <w:contextualSpacing w:val="0"/>
            </w:pPr>
            <w:r w:rsidRPr="004D46AC">
              <w:t xml:space="preserve">Poor </w:t>
            </w:r>
            <w:proofErr w:type="gramStart"/>
            <w:r w:rsidRPr="004D46AC">
              <w:t>appetite;</w:t>
            </w:r>
            <w:proofErr w:type="gramEnd"/>
            <w:r w:rsidRPr="004D46AC">
              <w:t xml:space="preserve"> </w:t>
            </w:r>
          </w:p>
          <w:p w14:paraId="261D5BBC" w14:textId="77777777" w:rsidR="007075D9" w:rsidRPr="004D46AC" w:rsidRDefault="007075D9">
            <w:pPr>
              <w:pStyle w:val="a9"/>
              <w:widowControl w:val="0"/>
              <w:numPr>
                <w:ilvl w:val="0"/>
                <w:numId w:val="18"/>
              </w:numPr>
              <w:spacing w:line="240" w:lineRule="auto"/>
              <w:ind w:firstLine="0"/>
              <w:contextualSpacing w:val="0"/>
            </w:pPr>
            <w:r w:rsidRPr="004D46AC">
              <w:t xml:space="preserve">Insomnia and </w:t>
            </w:r>
            <w:proofErr w:type="gramStart"/>
            <w:r w:rsidRPr="004D46AC">
              <w:t>hyposomnia;</w:t>
            </w:r>
            <w:proofErr w:type="gramEnd"/>
          </w:p>
          <w:p w14:paraId="4F550A0C" w14:textId="77777777" w:rsidR="007075D9" w:rsidRPr="004D46AC" w:rsidRDefault="007075D9">
            <w:pPr>
              <w:pStyle w:val="a9"/>
              <w:widowControl w:val="0"/>
              <w:numPr>
                <w:ilvl w:val="0"/>
                <w:numId w:val="18"/>
              </w:numPr>
              <w:spacing w:line="240" w:lineRule="auto"/>
              <w:ind w:firstLine="0"/>
              <w:contextualSpacing w:val="0"/>
            </w:pPr>
            <w:r w:rsidRPr="004D46AC">
              <w:t xml:space="preserve">Psychomotor agitation or </w:t>
            </w:r>
            <w:proofErr w:type="gramStart"/>
            <w:r w:rsidRPr="004D46AC">
              <w:t>retardation;</w:t>
            </w:r>
            <w:proofErr w:type="gramEnd"/>
          </w:p>
          <w:p w14:paraId="0C6F4488" w14:textId="77777777" w:rsidR="007075D9" w:rsidRPr="004D46AC" w:rsidRDefault="007075D9">
            <w:pPr>
              <w:pStyle w:val="a9"/>
              <w:widowControl w:val="0"/>
              <w:numPr>
                <w:ilvl w:val="0"/>
                <w:numId w:val="18"/>
              </w:numPr>
              <w:spacing w:line="240" w:lineRule="auto"/>
              <w:ind w:firstLine="0"/>
              <w:contextualSpacing w:val="0"/>
            </w:pPr>
            <w:r w:rsidRPr="004D46AC">
              <w:t xml:space="preserve">Loss of interest or </w:t>
            </w:r>
            <w:proofErr w:type="gramStart"/>
            <w:r w:rsidRPr="004D46AC">
              <w:t>pleasure;</w:t>
            </w:r>
            <w:proofErr w:type="gramEnd"/>
          </w:p>
          <w:p w14:paraId="23A4C48A" w14:textId="77777777" w:rsidR="007075D9" w:rsidRPr="004D46AC" w:rsidRDefault="007075D9">
            <w:pPr>
              <w:pStyle w:val="a9"/>
              <w:widowControl w:val="0"/>
              <w:numPr>
                <w:ilvl w:val="0"/>
                <w:numId w:val="18"/>
              </w:numPr>
              <w:spacing w:line="240" w:lineRule="auto"/>
              <w:ind w:firstLine="0"/>
              <w:contextualSpacing w:val="0"/>
            </w:pPr>
            <w:proofErr w:type="gramStart"/>
            <w:r w:rsidRPr="004D46AC">
              <w:t>Fatigue;</w:t>
            </w:r>
            <w:proofErr w:type="gramEnd"/>
          </w:p>
          <w:p w14:paraId="03149F47" w14:textId="77777777" w:rsidR="007075D9" w:rsidRPr="004D46AC" w:rsidRDefault="007075D9">
            <w:pPr>
              <w:pStyle w:val="a9"/>
              <w:widowControl w:val="0"/>
              <w:numPr>
                <w:ilvl w:val="0"/>
                <w:numId w:val="18"/>
              </w:numPr>
              <w:spacing w:line="240" w:lineRule="auto"/>
              <w:ind w:firstLine="0"/>
              <w:contextualSpacing w:val="0"/>
            </w:pPr>
            <w:r w:rsidRPr="004D46AC">
              <w:t xml:space="preserve">Diminished ability to think or </w:t>
            </w:r>
            <w:proofErr w:type="gramStart"/>
            <w:r w:rsidRPr="004D46AC">
              <w:t>concentrate;</w:t>
            </w:r>
            <w:proofErr w:type="gramEnd"/>
          </w:p>
          <w:p w14:paraId="492F22A9" w14:textId="77777777" w:rsidR="007075D9" w:rsidRPr="004D46AC" w:rsidRDefault="007075D9">
            <w:pPr>
              <w:pStyle w:val="a9"/>
              <w:widowControl w:val="0"/>
              <w:numPr>
                <w:ilvl w:val="0"/>
                <w:numId w:val="18"/>
              </w:numPr>
              <w:spacing w:line="240" w:lineRule="auto"/>
              <w:ind w:firstLine="0"/>
              <w:contextualSpacing w:val="0"/>
            </w:pPr>
            <w:r w:rsidRPr="004D46AC">
              <w:t>Recurrent suicidal ideation or attempt.</w:t>
            </w:r>
          </w:p>
        </w:tc>
        <w:tc>
          <w:tcPr>
            <w:tcW w:w="2066" w:type="dxa"/>
          </w:tcPr>
          <w:p w14:paraId="30518C42" w14:textId="77777777" w:rsidR="007075D9" w:rsidRPr="004D46AC" w:rsidRDefault="007075D9" w:rsidP="00052B86">
            <w:pPr>
              <w:spacing w:line="240" w:lineRule="auto"/>
              <w:ind w:firstLine="0"/>
            </w:pPr>
            <w:r w:rsidRPr="004D46AC">
              <w:lastRenderedPageBreak/>
              <w:t>Not applicable</w:t>
            </w:r>
          </w:p>
        </w:tc>
        <w:tc>
          <w:tcPr>
            <w:tcW w:w="2664" w:type="dxa"/>
          </w:tcPr>
          <w:p w14:paraId="437E88CF" w14:textId="77777777" w:rsidR="007075D9" w:rsidRPr="004D46AC" w:rsidRDefault="007075D9" w:rsidP="00052B86">
            <w:pPr>
              <w:spacing w:line="240" w:lineRule="auto"/>
              <w:ind w:firstLine="0"/>
            </w:pPr>
            <w:r w:rsidRPr="004D46AC">
              <w:t>Classification: in remission, with psychotic features (mood incongruent or congruent), without psychotic features, unspecified.</w:t>
            </w:r>
          </w:p>
        </w:tc>
        <w:tc>
          <w:tcPr>
            <w:tcW w:w="2431" w:type="dxa"/>
          </w:tcPr>
          <w:p w14:paraId="685335F4" w14:textId="77777777" w:rsidR="007075D9" w:rsidRPr="004D46AC" w:rsidRDefault="007075D9" w:rsidP="00052B86">
            <w:pPr>
              <w:spacing w:line="240" w:lineRule="auto"/>
              <w:ind w:firstLine="0"/>
            </w:pPr>
            <w:r w:rsidRPr="004D46AC">
              <w:t>Mixed (manic and depressive episodes are intermixed or rapidly alternating every few days; depressive symptoms are prominent and last at least a full day)</w:t>
            </w:r>
          </w:p>
          <w:p w14:paraId="5B49B9CA" w14:textId="77777777" w:rsidR="007075D9" w:rsidRPr="004D46AC" w:rsidRDefault="007075D9" w:rsidP="00052B86">
            <w:pPr>
              <w:spacing w:line="240" w:lineRule="auto"/>
              <w:ind w:firstLine="0"/>
            </w:pPr>
            <w:r w:rsidRPr="004D46AC">
              <w:t>Manic (currently in this episode)</w:t>
            </w:r>
          </w:p>
          <w:p w14:paraId="366966A8" w14:textId="77777777" w:rsidR="007075D9" w:rsidRPr="004D46AC" w:rsidRDefault="007075D9" w:rsidP="00052B86">
            <w:pPr>
              <w:spacing w:line="240" w:lineRule="auto"/>
              <w:ind w:firstLine="0"/>
            </w:pPr>
            <w:r w:rsidRPr="004D46AC">
              <w:t>Depressed (has had one or more manic episode in lifetime, and currently in depressive episode)</w:t>
            </w:r>
          </w:p>
        </w:tc>
        <w:tc>
          <w:tcPr>
            <w:tcW w:w="2611" w:type="dxa"/>
          </w:tcPr>
          <w:p w14:paraId="04940092" w14:textId="77777777" w:rsidR="007075D9" w:rsidRPr="004D46AC" w:rsidRDefault="007075D9" w:rsidP="00052B86">
            <w:pPr>
              <w:spacing w:line="240" w:lineRule="auto"/>
              <w:ind w:firstLine="0"/>
            </w:pPr>
            <w:r w:rsidRPr="004D46AC">
              <w:t xml:space="preserve">The mood incongruent delusions or hallucinations does not prevail when mood syndrome is </w:t>
            </w:r>
            <w:proofErr w:type="gramStart"/>
            <w:r w:rsidRPr="004D46AC">
              <w:t>absent;</w:t>
            </w:r>
            <w:proofErr w:type="gramEnd"/>
          </w:p>
          <w:p w14:paraId="3CE683BB" w14:textId="77777777" w:rsidR="007075D9" w:rsidRPr="004D46AC" w:rsidRDefault="007075D9" w:rsidP="00052B86">
            <w:pPr>
              <w:spacing w:line="240" w:lineRule="auto"/>
              <w:ind w:firstLine="0"/>
            </w:pPr>
            <w:r w:rsidRPr="004D46AC">
              <w:t>Not superimposed by psychotic disorders</w:t>
            </w:r>
          </w:p>
          <w:p w14:paraId="72587A97" w14:textId="77777777" w:rsidR="007075D9" w:rsidRPr="004D46AC" w:rsidRDefault="007075D9" w:rsidP="00052B86">
            <w:pPr>
              <w:spacing w:line="240" w:lineRule="auto"/>
              <w:ind w:firstLine="0"/>
            </w:pPr>
          </w:p>
        </w:tc>
      </w:tr>
      <w:tr w:rsidR="007075D9" w:rsidRPr="004D46AC" w14:paraId="61118065" w14:textId="77777777" w:rsidTr="00B518F1">
        <w:trPr>
          <w:trHeight w:val="579"/>
        </w:trPr>
        <w:tc>
          <w:tcPr>
            <w:tcW w:w="1336" w:type="dxa"/>
          </w:tcPr>
          <w:p w14:paraId="60BB14D5" w14:textId="77777777" w:rsidR="007075D9" w:rsidRPr="004D46AC" w:rsidRDefault="007075D9" w:rsidP="00052B86">
            <w:pPr>
              <w:spacing w:line="240" w:lineRule="auto"/>
              <w:ind w:firstLine="0"/>
            </w:pPr>
            <w:r w:rsidRPr="004D46AC">
              <w:t>DSM III R</w:t>
            </w:r>
          </w:p>
        </w:tc>
        <w:tc>
          <w:tcPr>
            <w:tcW w:w="2905" w:type="dxa"/>
          </w:tcPr>
          <w:p w14:paraId="041B17AF" w14:textId="77777777" w:rsidR="007075D9" w:rsidRPr="004D46AC" w:rsidRDefault="007075D9" w:rsidP="00052B86">
            <w:pPr>
              <w:spacing w:line="240" w:lineRule="auto"/>
              <w:ind w:firstLine="0"/>
            </w:pPr>
            <w:r w:rsidRPr="004D46AC">
              <w:t>A manic syndrome includes symptoms and functioning impairments, while hypomanic syndrome only includes symptoms:</w:t>
            </w:r>
          </w:p>
          <w:p w14:paraId="1E68420F" w14:textId="77777777" w:rsidR="007075D9" w:rsidRPr="004D46AC" w:rsidRDefault="007075D9">
            <w:pPr>
              <w:pStyle w:val="a9"/>
              <w:widowControl w:val="0"/>
              <w:numPr>
                <w:ilvl w:val="0"/>
                <w:numId w:val="12"/>
              </w:numPr>
              <w:spacing w:line="240" w:lineRule="auto"/>
              <w:ind w:firstLine="0"/>
              <w:contextualSpacing w:val="0"/>
            </w:pPr>
            <w:r w:rsidRPr="004D46AC">
              <w:t>A distinctive period of abnormally and persistently elevated, expansive, or irritable mood.</w:t>
            </w:r>
          </w:p>
          <w:p w14:paraId="20BAF6BE" w14:textId="77777777" w:rsidR="007075D9" w:rsidRPr="004D46AC" w:rsidRDefault="007075D9">
            <w:pPr>
              <w:pStyle w:val="a9"/>
              <w:widowControl w:val="0"/>
              <w:numPr>
                <w:ilvl w:val="0"/>
                <w:numId w:val="12"/>
              </w:numPr>
              <w:spacing w:line="240" w:lineRule="auto"/>
              <w:ind w:firstLine="0"/>
              <w:contextualSpacing w:val="0"/>
            </w:pPr>
            <w:r w:rsidRPr="004D46AC">
              <w:t xml:space="preserve">During this period, three or four (only irritable mood) </w:t>
            </w:r>
            <w:r w:rsidRPr="004D46AC">
              <w:lastRenderedPageBreak/>
              <w:t>of the followings …:</w:t>
            </w:r>
          </w:p>
          <w:p w14:paraId="3F98A0D4" w14:textId="77777777" w:rsidR="007075D9" w:rsidRPr="004D46AC" w:rsidRDefault="007075D9">
            <w:pPr>
              <w:pStyle w:val="a9"/>
              <w:widowControl w:val="0"/>
              <w:numPr>
                <w:ilvl w:val="0"/>
                <w:numId w:val="13"/>
              </w:numPr>
              <w:spacing w:line="240" w:lineRule="auto"/>
              <w:ind w:firstLine="0"/>
              <w:contextualSpacing w:val="0"/>
            </w:pPr>
            <w:r w:rsidRPr="004D46AC">
              <w:t xml:space="preserve">Inflated self-esteem or </w:t>
            </w:r>
            <w:proofErr w:type="gramStart"/>
            <w:r w:rsidRPr="004D46AC">
              <w:t>grandiosity;</w:t>
            </w:r>
            <w:proofErr w:type="gramEnd"/>
          </w:p>
          <w:p w14:paraId="5D5EBBA2" w14:textId="77777777" w:rsidR="007075D9" w:rsidRPr="004D46AC" w:rsidRDefault="007075D9" w:rsidP="00052B86">
            <w:pPr>
              <w:spacing w:line="240" w:lineRule="auto"/>
              <w:ind w:left="360" w:firstLine="0"/>
            </w:pPr>
            <w:r w:rsidRPr="004D46AC">
              <w:t>…the rest is the same as DSM III</w:t>
            </w:r>
          </w:p>
          <w:p w14:paraId="16510ECB" w14:textId="77777777" w:rsidR="007075D9" w:rsidRPr="004D46AC" w:rsidRDefault="007075D9" w:rsidP="00052B86">
            <w:pPr>
              <w:spacing w:line="240" w:lineRule="auto"/>
              <w:ind w:firstLine="0"/>
            </w:pPr>
            <w:r w:rsidRPr="004D46AC">
              <w:t>A depressive syndrome includes five of the followings during the course (14 days, nearly every day), and at least one of the symptoms is either depressed mood or decreased interests:</w:t>
            </w:r>
          </w:p>
          <w:p w14:paraId="3EB14C86" w14:textId="77777777" w:rsidR="007075D9" w:rsidRPr="004D46AC" w:rsidRDefault="007075D9">
            <w:pPr>
              <w:pStyle w:val="a9"/>
              <w:widowControl w:val="0"/>
              <w:numPr>
                <w:ilvl w:val="0"/>
                <w:numId w:val="19"/>
              </w:numPr>
              <w:spacing w:line="240" w:lineRule="auto"/>
              <w:ind w:firstLine="0"/>
              <w:contextualSpacing w:val="0"/>
            </w:pPr>
            <w:r w:rsidRPr="004D46AC">
              <w:t xml:space="preserve">Depressed </w:t>
            </w:r>
            <w:proofErr w:type="gramStart"/>
            <w:r w:rsidRPr="004D46AC">
              <w:t>mood;</w:t>
            </w:r>
            <w:proofErr w:type="gramEnd"/>
          </w:p>
          <w:p w14:paraId="32D19529" w14:textId="77777777" w:rsidR="007075D9" w:rsidRPr="004D46AC" w:rsidRDefault="007075D9" w:rsidP="00052B86">
            <w:pPr>
              <w:spacing w:line="240" w:lineRule="auto"/>
              <w:ind w:firstLine="0"/>
            </w:pPr>
            <w:r w:rsidRPr="004D46AC">
              <w:t>… (7 symptoms are same as DSM III)</w:t>
            </w:r>
          </w:p>
          <w:p w14:paraId="2D540FA0" w14:textId="77777777" w:rsidR="007075D9" w:rsidRPr="004D46AC" w:rsidRDefault="007075D9" w:rsidP="00052B86">
            <w:pPr>
              <w:spacing w:line="240" w:lineRule="auto"/>
              <w:ind w:firstLine="0"/>
            </w:pPr>
            <w:r w:rsidRPr="004D46AC">
              <w:t>(9) Feeling of worthlessness or inappropriate guilt.</w:t>
            </w:r>
          </w:p>
        </w:tc>
        <w:tc>
          <w:tcPr>
            <w:tcW w:w="2066" w:type="dxa"/>
          </w:tcPr>
          <w:p w14:paraId="0CE83CC7" w14:textId="77777777" w:rsidR="007075D9" w:rsidRPr="004D46AC" w:rsidRDefault="007075D9" w:rsidP="00052B86">
            <w:pPr>
              <w:spacing w:line="240" w:lineRule="auto"/>
              <w:ind w:firstLine="0"/>
            </w:pPr>
            <w:r w:rsidRPr="004D46AC">
              <w:lastRenderedPageBreak/>
              <w:t>Marked impairment in occupational or social functioning, potentially harmful to self or others.</w:t>
            </w:r>
          </w:p>
        </w:tc>
        <w:tc>
          <w:tcPr>
            <w:tcW w:w="2664" w:type="dxa"/>
          </w:tcPr>
          <w:p w14:paraId="447054FE" w14:textId="77777777" w:rsidR="007075D9" w:rsidRPr="004D46AC" w:rsidRDefault="007075D9" w:rsidP="00052B86">
            <w:pPr>
              <w:spacing w:line="240" w:lineRule="auto"/>
              <w:ind w:firstLine="0"/>
            </w:pPr>
            <w:r w:rsidRPr="004D46AC">
              <w:t xml:space="preserve">Mild, moderate, severe with or without psychotic features (mood congruent or incongruent), in partial or full remission, unspecified. </w:t>
            </w:r>
          </w:p>
        </w:tc>
        <w:tc>
          <w:tcPr>
            <w:tcW w:w="2431" w:type="dxa"/>
          </w:tcPr>
          <w:p w14:paraId="24795EAE" w14:textId="77777777" w:rsidR="007075D9" w:rsidRPr="004D46AC" w:rsidRDefault="007075D9" w:rsidP="00052B86">
            <w:pPr>
              <w:spacing w:line="240" w:lineRule="auto"/>
              <w:ind w:firstLine="0"/>
            </w:pPr>
            <w:r w:rsidRPr="004D46AC">
              <w:t>…</w:t>
            </w:r>
          </w:p>
        </w:tc>
        <w:tc>
          <w:tcPr>
            <w:tcW w:w="2611" w:type="dxa"/>
          </w:tcPr>
          <w:p w14:paraId="5F31FAD9" w14:textId="77777777" w:rsidR="007075D9" w:rsidRPr="004D46AC" w:rsidRDefault="007075D9" w:rsidP="00052B86">
            <w:pPr>
              <w:spacing w:line="240" w:lineRule="auto"/>
              <w:ind w:firstLine="0"/>
            </w:pPr>
            <w:r w:rsidRPr="004D46AC">
              <w:t xml:space="preserve">No hallucinations or delusions lasted for more than two weeks when prominent mood syndrome is </w:t>
            </w:r>
            <w:proofErr w:type="gramStart"/>
            <w:r w:rsidRPr="004D46AC">
              <w:t>absent;</w:t>
            </w:r>
            <w:proofErr w:type="gramEnd"/>
          </w:p>
          <w:p w14:paraId="1B71352B" w14:textId="77777777" w:rsidR="007075D9" w:rsidRPr="004D46AC" w:rsidRDefault="007075D9" w:rsidP="00052B86">
            <w:pPr>
              <w:spacing w:line="240" w:lineRule="auto"/>
              <w:ind w:firstLine="0"/>
            </w:pPr>
            <w:r w:rsidRPr="004D46AC">
              <w:t>…</w:t>
            </w:r>
          </w:p>
        </w:tc>
      </w:tr>
      <w:tr w:rsidR="007075D9" w:rsidRPr="004D46AC" w14:paraId="4EF025C1" w14:textId="77777777" w:rsidTr="00B518F1">
        <w:trPr>
          <w:trHeight w:val="294"/>
        </w:trPr>
        <w:tc>
          <w:tcPr>
            <w:tcW w:w="1336" w:type="dxa"/>
          </w:tcPr>
          <w:p w14:paraId="7777915C" w14:textId="77777777" w:rsidR="007075D9" w:rsidRPr="004D46AC" w:rsidRDefault="007075D9" w:rsidP="00052B86">
            <w:pPr>
              <w:spacing w:line="240" w:lineRule="auto"/>
              <w:ind w:firstLine="0"/>
            </w:pPr>
            <w:r w:rsidRPr="004D46AC">
              <w:t>ICD 10</w:t>
            </w:r>
          </w:p>
        </w:tc>
        <w:tc>
          <w:tcPr>
            <w:tcW w:w="2905" w:type="dxa"/>
          </w:tcPr>
          <w:p w14:paraId="41105B20" w14:textId="77777777" w:rsidR="007075D9" w:rsidRPr="004D46AC" w:rsidRDefault="007075D9" w:rsidP="00052B86">
            <w:pPr>
              <w:spacing w:line="240" w:lineRule="auto"/>
              <w:ind w:firstLine="0"/>
            </w:pPr>
            <w:r w:rsidRPr="004D46AC">
              <w:t>Episodes are featured by a switch to an episode of opposite or mixed polarity or by a remission.</w:t>
            </w:r>
          </w:p>
          <w:p w14:paraId="2B84B943" w14:textId="77777777" w:rsidR="007075D9" w:rsidRPr="004D46AC" w:rsidRDefault="007075D9" w:rsidP="00052B86">
            <w:pPr>
              <w:spacing w:line="240" w:lineRule="auto"/>
              <w:ind w:firstLine="0"/>
            </w:pPr>
            <w:r w:rsidRPr="004D46AC">
              <w:t xml:space="preserve">Mania: </w:t>
            </w:r>
          </w:p>
          <w:p w14:paraId="1DC402A1" w14:textId="77777777" w:rsidR="007075D9" w:rsidRPr="004D46AC" w:rsidRDefault="007075D9">
            <w:pPr>
              <w:pStyle w:val="a9"/>
              <w:widowControl w:val="0"/>
              <w:numPr>
                <w:ilvl w:val="0"/>
                <w:numId w:val="14"/>
              </w:numPr>
              <w:spacing w:line="240" w:lineRule="auto"/>
              <w:ind w:firstLine="0"/>
              <w:contextualSpacing w:val="0"/>
            </w:pPr>
            <w:r w:rsidRPr="004D46AC">
              <w:t>Predominantly elevated, expansive, or irritable mood. The abnormalities must be prominent and last for more than a week.</w:t>
            </w:r>
          </w:p>
          <w:p w14:paraId="03A59250" w14:textId="77777777" w:rsidR="007075D9" w:rsidRPr="004D46AC" w:rsidRDefault="007075D9">
            <w:pPr>
              <w:pStyle w:val="a9"/>
              <w:widowControl w:val="0"/>
              <w:numPr>
                <w:ilvl w:val="0"/>
                <w:numId w:val="14"/>
              </w:numPr>
              <w:spacing w:line="240" w:lineRule="auto"/>
              <w:ind w:firstLine="0"/>
              <w:contextualSpacing w:val="0"/>
            </w:pPr>
            <w:r w:rsidRPr="004D46AC">
              <w:t>at least three or four (same as DSM III) of the followings:</w:t>
            </w:r>
          </w:p>
          <w:p w14:paraId="01EAC6E8" w14:textId="77777777" w:rsidR="007075D9" w:rsidRPr="004D46AC" w:rsidRDefault="007075D9" w:rsidP="00052B86">
            <w:pPr>
              <w:spacing w:line="240" w:lineRule="auto"/>
              <w:ind w:left="360" w:firstLine="0"/>
            </w:pPr>
            <w:r w:rsidRPr="004D46AC">
              <w:t>… (seven of the symptoms is identical to DSM III-R)</w:t>
            </w:r>
          </w:p>
          <w:p w14:paraId="26DD5C78" w14:textId="77777777" w:rsidR="007075D9" w:rsidRPr="004D46AC" w:rsidRDefault="007075D9">
            <w:pPr>
              <w:pStyle w:val="a9"/>
              <w:widowControl w:val="0"/>
              <w:numPr>
                <w:ilvl w:val="0"/>
                <w:numId w:val="11"/>
              </w:numPr>
              <w:spacing w:line="240" w:lineRule="auto"/>
              <w:ind w:firstLine="0"/>
              <w:contextualSpacing w:val="0"/>
            </w:pPr>
            <w:r w:rsidRPr="004D46AC">
              <w:t>loss of normal social inhibitions (inappropriate behaviour in certain situations)</w:t>
            </w:r>
          </w:p>
          <w:p w14:paraId="15312531" w14:textId="77777777" w:rsidR="007075D9" w:rsidRPr="004D46AC" w:rsidRDefault="007075D9">
            <w:pPr>
              <w:pStyle w:val="a9"/>
              <w:widowControl w:val="0"/>
              <w:numPr>
                <w:ilvl w:val="0"/>
                <w:numId w:val="11"/>
              </w:numPr>
              <w:spacing w:line="240" w:lineRule="auto"/>
              <w:ind w:firstLine="0"/>
              <w:contextualSpacing w:val="0"/>
            </w:pPr>
            <w:r w:rsidRPr="004D46AC">
              <w:t>marked sexual energy or indiscretions.</w:t>
            </w:r>
          </w:p>
          <w:p w14:paraId="196C78C2" w14:textId="77777777" w:rsidR="007075D9" w:rsidRPr="004D46AC" w:rsidRDefault="007075D9" w:rsidP="00052B86">
            <w:pPr>
              <w:spacing w:line="240" w:lineRule="auto"/>
              <w:ind w:firstLine="0"/>
            </w:pPr>
          </w:p>
          <w:p w14:paraId="7161678A" w14:textId="77777777" w:rsidR="007075D9" w:rsidRPr="004D46AC" w:rsidRDefault="007075D9" w:rsidP="00052B86">
            <w:pPr>
              <w:spacing w:line="240" w:lineRule="auto"/>
              <w:ind w:firstLine="0"/>
            </w:pPr>
            <w:r w:rsidRPr="004D46AC">
              <w:t>Hypomania:</w:t>
            </w:r>
          </w:p>
          <w:p w14:paraId="40CE1AC2" w14:textId="77777777" w:rsidR="007075D9" w:rsidRPr="004D46AC" w:rsidRDefault="007075D9">
            <w:pPr>
              <w:pStyle w:val="a9"/>
              <w:widowControl w:val="0"/>
              <w:numPr>
                <w:ilvl w:val="0"/>
                <w:numId w:val="15"/>
              </w:numPr>
              <w:spacing w:line="240" w:lineRule="auto"/>
              <w:ind w:firstLine="0"/>
              <w:contextualSpacing w:val="0"/>
            </w:pPr>
            <w:r w:rsidRPr="004D46AC">
              <w:t xml:space="preserve">at least 4 days </w:t>
            </w:r>
            <w:r w:rsidRPr="004D46AC">
              <w:lastRenderedPageBreak/>
              <w:t xml:space="preserve">of elevated or irritable </w:t>
            </w:r>
            <w:proofErr w:type="gramStart"/>
            <w:r w:rsidRPr="004D46AC">
              <w:t>mood;</w:t>
            </w:r>
            <w:proofErr w:type="gramEnd"/>
          </w:p>
          <w:p w14:paraId="3DE5679B" w14:textId="77777777" w:rsidR="007075D9" w:rsidRPr="004D46AC" w:rsidRDefault="007075D9">
            <w:pPr>
              <w:pStyle w:val="a9"/>
              <w:widowControl w:val="0"/>
              <w:numPr>
                <w:ilvl w:val="0"/>
                <w:numId w:val="15"/>
              </w:numPr>
              <w:spacing w:line="240" w:lineRule="auto"/>
              <w:ind w:firstLine="0"/>
              <w:contextualSpacing w:val="0"/>
            </w:pPr>
            <w:r w:rsidRPr="004D46AC">
              <w:t>at least three of the followings:</w:t>
            </w:r>
          </w:p>
          <w:p w14:paraId="24C48B10" w14:textId="77777777" w:rsidR="007075D9" w:rsidRPr="004D46AC" w:rsidRDefault="007075D9">
            <w:pPr>
              <w:pStyle w:val="a9"/>
              <w:widowControl w:val="0"/>
              <w:numPr>
                <w:ilvl w:val="0"/>
                <w:numId w:val="16"/>
              </w:numPr>
              <w:spacing w:line="240" w:lineRule="auto"/>
              <w:ind w:firstLine="0"/>
              <w:contextualSpacing w:val="0"/>
            </w:pPr>
            <w:r w:rsidRPr="004D46AC">
              <w:t xml:space="preserve">increased activity or physical </w:t>
            </w:r>
            <w:proofErr w:type="gramStart"/>
            <w:r w:rsidRPr="004D46AC">
              <w:t>restlessness;</w:t>
            </w:r>
            <w:proofErr w:type="gramEnd"/>
          </w:p>
          <w:p w14:paraId="2317B1EA" w14:textId="77777777" w:rsidR="007075D9" w:rsidRPr="004D46AC" w:rsidRDefault="007075D9">
            <w:pPr>
              <w:pStyle w:val="a9"/>
              <w:widowControl w:val="0"/>
              <w:numPr>
                <w:ilvl w:val="0"/>
                <w:numId w:val="16"/>
              </w:numPr>
              <w:spacing w:line="240" w:lineRule="auto"/>
              <w:ind w:firstLine="0"/>
              <w:contextualSpacing w:val="0"/>
            </w:pPr>
            <w:r w:rsidRPr="004D46AC">
              <w:t xml:space="preserve">increased </w:t>
            </w:r>
            <w:proofErr w:type="gramStart"/>
            <w:r w:rsidRPr="004D46AC">
              <w:t>talkativeness;</w:t>
            </w:r>
            <w:proofErr w:type="gramEnd"/>
          </w:p>
          <w:p w14:paraId="5F113453" w14:textId="77777777" w:rsidR="007075D9" w:rsidRPr="004D46AC" w:rsidRDefault="007075D9">
            <w:pPr>
              <w:pStyle w:val="a9"/>
              <w:widowControl w:val="0"/>
              <w:numPr>
                <w:ilvl w:val="0"/>
                <w:numId w:val="16"/>
              </w:numPr>
              <w:spacing w:line="240" w:lineRule="auto"/>
              <w:ind w:firstLine="0"/>
              <w:contextualSpacing w:val="0"/>
            </w:pPr>
            <w:proofErr w:type="gramStart"/>
            <w:r w:rsidRPr="004D46AC">
              <w:t>distractibility;</w:t>
            </w:r>
            <w:proofErr w:type="gramEnd"/>
          </w:p>
          <w:p w14:paraId="32113795" w14:textId="77777777" w:rsidR="007075D9" w:rsidRPr="004D46AC" w:rsidRDefault="007075D9">
            <w:pPr>
              <w:pStyle w:val="a9"/>
              <w:widowControl w:val="0"/>
              <w:numPr>
                <w:ilvl w:val="0"/>
                <w:numId w:val="16"/>
              </w:numPr>
              <w:spacing w:line="240" w:lineRule="auto"/>
              <w:ind w:firstLine="0"/>
              <w:contextualSpacing w:val="0"/>
            </w:pPr>
            <w:r w:rsidRPr="004D46AC">
              <w:t xml:space="preserve">decreased need for </w:t>
            </w:r>
            <w:proofErr w:type="gramStart"/>
            <w:r w:rsidRPr="004D46AC">
              <w:t>sleep;</w:t>
            </w:r>
            <w:proofErr w:type="gramEnd"/>
          </w:p>
          <w:p w14:paraId="598E2A64" w14:textId="77777777" w:rsidR="007075D9" w:rsidRPr="004D46AC" w:rsidRDefault="007075D9">
            <w:pPr>
              <w:pStyle w:val="a9"/>
              <w:widowControl w:val="0"/>
              <w:numPr>
                <w:ilvl w:val="0"/>
                <w:numId w:val="16"/>
              </w:numPr>
              <w:spacing w:line="240" w:lineRule="auto"/>
              <w:ind w:firstLine="0"/>
              <w:contextualSpacing w:val="0"/>
            </w:pPr>
            <w:r w:rsidRPr="004D46AC">
              <w:t xml:space="preserve">increased sexual </w:t>
            </w:r>
            <w:proofErr w:type="gramStart"/>
            <w:r w:rsidRPr="004D46AC">
              <w:t>energy;</w:t>
            </w:r>
            <w:proofErr w:type="gramEnd"/>
          </w:p>
          <w:p w14:paraId="3DFD214F" w14:textId="77777777" w:rsidR="007075D9" w:rsidRPr="004D46AC" w:rsidRDefault="007075D9">
            <w:pPr>
              <w:pStyle w:val="a9"/>
              <w:widowControl w:val="0"/>
              <w:numPr>
                <w:ilvl w:val="0"/>
                <w:numId w:val="16"/>
              </w:numPr>
              <w:spacing w:line="240" w:lineRule="auto"/>
              <w:ind w:firstLine="0"/>
              <w:contextualSpacing w:val="0"/>
            </w:pPr>
            <w:r w:rsidRPr="004D46AC">
              <w:t xml:space="preserve">reckless or irresponsible </w:t>
            </w:r>
            <w:proofErr w:type="gramStart"/>
            <w:r w:rsidRPr="004D46AC">
              <w:t>behaviour;</w:t>
            </w:r>
            <w:proofErr w:type="gramEnd"/>
          </w:p>
          <w:p w14:paraId="32F3AB84" w14:textId="77777777" w:rsidR="007075D9" w:rsidRPr="004D46AC" w:rsidRDefault="007075D9">
            <w:pPr>
              <w:pStyle w:val="a9"/>
              <w:widowControl w:val="0"/>
              <w:numPr>
                <w:ilvl w:val="0"/>
                <w:numId w:val="16"/>
              </w:numPr>
              <w:spacing w:line="240" w:lineRule="auto"/>
              <w:ind w:firstLine="0"/>
              <w:contextualSpacing w:val="0"/>
            </w:pPr>
            <w:r w:rsidRPr="004D46AC">
              <w:t>increased sociability or over-familiarity</w:t>
            </w:r>
          </w:p>
          <w:p w14:paraId="4907BC4C" w14:textId="77777777" w:rsidR="007075D9" w:rsidRPr="004D46AC" w:rsidRDefault="007075D9" w:rsidP="00052B86">
            <w:pPr>
              <w:spacing w:line="240" w:lineRule="auto"/>
              <w:ind w:firstLine="0"/>
            </w:pPr>
            <w:r w:rsidRPr="004D46AC">
              <w:t>Depressive episode:</w:t>
            </w:r>
          </w:p>
          <w:p w14:paraId="48CF852D" w14:textId="77777777" w:rsidR="007075D9" w:rsidRPr="004D46AC" w:rsidRDefault="007075D9" w:rsidP="00052B86">
            <w:pPr>
              <w:spacing w:line="240" w:lineRule="auto"/>
              <w:ind w:firstLine="0"/>
            </w:pPr>
            <w:r w:rsidRPr="004D46AC">
              <w:t>The episode should last for at least 14 days, with no (hypo)manic symptoms sufficient to meet (hypo)manic episodes. at least four of the followings should present in the course to meet the somatic syndrome:</w:t>
            </w:r>
          </w:p>
          <w:p w14:paraId="5C34F9D2" w14:textId="77777777" w:rsidR="007075D9" w:rsidRPr="004D46AC" w:rsidRDefault="007075D9">
            <w:pPr>
              <w:pStyle w:val="a9"/>
              <w:widowControl w:val="0"/>
              <w:numPr>
                <w:ilvl w:val="0"/>
                <w:numId w:val="20"/>
              </w:numPr>
              <w:spacing w:line="240" w:lineRule="auto"/>
              <w:ind w:firstLine="0"/>
              <w:contextualSpacing w:val="0"/>
            </w:pPr>
            <w:r w:rsidRPr="004D46AC">
              <w:t xml:space="preserve">marked loss of interest or </w:t>
            </w:r>
            <w:proofErr w:type="gramStart"/>
            <w:r w:rsidRPr="004D46AC">
              <w:t>pleasure;</w:t>
            </w:r>
            <w:proofErr w:type="gramEnd"/>
          </w:p>
          <w:p w14:paraId="7760CB65" w14:textId="77777777" w:rsidR="007075D9" w:rsidRPr="004D46AC" w:rsidRDefault="007075D9">
            <w:pPr>
              <w:pStyle w:val="a9"/>
              <w:widowControl w:val="0"/>
              <w:numPr>
                <w:ilvl w:val="0"/>
                <w:numId w:val="20"/>
              </w:numPr>
              <w:spacing w:line="240" w:lineRule="auto"/>
              <w:ind w:firstLine="0"/>
              <w:contextualSpacing w:val="0"/>
            </w:pPr>
            <w:r w:rsidRPr="004D46AC">
              <w:t xml:space="preserve"> lack of emotion </w:t>
            </w:r>
            <w:proofErr w:type="gramStart"/>
            <w:r w:rsidRPr="004D46AC">
              <w:t>reactions;</w:t>
            </w:r>
            <w:proofErr w:type="gramEnd"/>
          </w:p>
          <w:p w14:paraId="5767E74A" w14:textId="77777777" w:rsidR="007075D9" w:rsidRPr="004D46AC" w:rsidRDefault="007075D9">
            <w:pPr>
              <w:pStyle w:val="a9"/>
              <w:widowControl w:val="0"/>
              <w:numPr>
                <w:ilvl w:val="0"/>
                <w:numId w:val="20"/>
              </w:numPr>
              <w:spacing w:line="240" w:lineRule="auto"/>
              <w:ind w:firstLine="0"/>
              <w:contextualSpacing w:val="0"/>
            </w:pPr>
            <w:r w:rsidRPr="004D46AC">
              <w:t>Early waking (2 hours early than usual</w:t>
            </w:r>
            <w:proofErr w:type="gramStart"/>
            <w:r w:rsidRPr="004D46AC">
              <w:t>);</w:t>
            </w:r>
            <w:proofErr w:type="gramEnd"/>
          </w:p>
          <w:p w14:paraId="4820D6A0" w14:textId="77777777" w:rsidR="007075D9" w:rsidRPr="004D46AC" w:rsidRDefault="007075D9">
            <w:pPr>
              <w:pStyle w:val="a9"/>
              <w:widowControl w:val="0"/>
              <w:numPr>
                <w:ilvl w:val="0"/>
                <w:numId w:val="20"/>
              </w:numPr>
              <w:spacing w:line="240" w:lineRule="auto"/>
              <w:ind w:firstLine="0"/>
              <w:contextualSpacing w:val="0"/>
            </w:pPr>
            <w:r w:rsidRPr="004D46AC">
              <w:t xml:space="preserve">Depression worse in </w:t>
            </w:r>
            <w:proofErr w:type="gramStart"/>
            <w:r w:rsidRPr="004D46AC">
              <w:t>morning;</w:t>
            </w:r>
            <w:proofErr w:type="gramEnd"/>
          </w:p>
          <w:p w14:paraId="2ED6A2AD" w14:textId="77777777" w:rsidR="007075D9" w:rsidRPr="004D46AC" w:rsidRDefault="007075D9">
            <w:pPr>
              <w:pStyle w:val="a9"/>
              <w:widowControl w:val="0"/>
              <w:numPr>
                <w:ilvl w:val="0"/>
                <w:numId w:val="20"/>
              </w:numPr>
              <w:spacing w:line="240" w:lineRule="auto"/>
              <w:ind w:firstLine="0"/>
              <w:contextualSpacing w:val="0"/>
            </w:pPr>
            <w:r w:rsidRPr="004D46AC">
              <w:t xml:space="preserve">Psychomotor retardation or </w:t>
            </w:r>
            <w:proofErr w:type="gramStart"/>
            <w:r w:rsidRPr="004D46AC">
              <w:t>agitation;</w:t>
            </w:r>
            <w:proofErr w:type="gramEnd"/>
          </w:p>
          <w:p w14:paraId="7B2B858F" w14:textId="77777777" w:rsidR="007075D9" w:rsidRPr="004D46AC" w:rsidRDefault="007075D9">
            <w:pPr>
              <w:pStyle w:val="a9"/>
              <w:widowControl w:val="0"/>
              <w:numPr>
                <w:ilvl w:val="0"/>
                <w:numId w:val="20"/>
              </w:numPr>
              <w:spacing w:line="240" w:lineRule="auto"/>
              <w:ind w:firstLine="0"/>
              <w:contextualSpacing w:val="0"/>
            </w:pPr>
            <w:r w:rsidRPr="004D46AC">
              <w:t xml:space="preserve">Marked loss of </w:t>
            </w:r>
            <w:proofErr w:type="gramStart"/>
            <w:r w:rsidRPr="004D46AC">
              <w:t>appetite;</w:t>
            </w:r>
            <w:proofErr w:type="gramEnd"/>
          </w:p>
          <w:p w14:paraId="4FAFC06D" w14:textId="77777777" w:rsidR="007075D9" w:rsidRPr="004D46AC" w:rsidRDefault="007075D9">
            <w:pPr>
              <w:pStyle w:val="a9"/>
              <w:widowControl w:val="0"/>
              <w:numPr>
                <w:ilvl w:val="0"/>
                <w:numId w:val="20"/>
              </w:numPr>
              <w:spacing w:line="240" w:lineRule="auto"/>
              <w:ind w:firstLine="0"/>
              <w:contextualSpacing w:val="0"/>
            </w:pPr>
            <w:r w:rsidRPr="004D46AC">
              <w:t>Significant weight loss (5% or more</w:t>
            </w:r>
            <w:proofErr w:type="gramStart"/>
            <w:r w:rsidRPr="004D46AC">
              <w:t>);</w:t>
            </w:r>
            <w:proofErr w:type="gramEnd"/>
          </w:p>
          <w:p w14:paraId="2475EAA5" w14:textId="77777777" w:rsidR="007075D9" w:rsidRPr="004D46AC" w:rsidRDefault="007075D9">
            <w:pPr>
              <w:pStyle w:val="a9"/>
              <w:widowControl w:val="0"/>
              <w:numPr>
                <w:ilvl w:val="0"/>
                <w:numId w:val="20"/>
              </w:numPr>
              <w:spacing w:line="240" w:lineRule="auto"/>
              <w:ind w:firstLine="0"/>
              <w:contextualSpacing w:val="0"/>
            </w:pPr>
            <w:r w:rsidRPr="004D46AC">
              <w:t xml:space="preserve">Marked loss of libido. </w:t>
            </w:r>
          </w:p>
        </w:tc>
        <w:tc>
          <w:tcPr>
            <w:tcW w:w="2066" w:type="dxa"/>
          </w:tcPr>
          <w:p w14:paraId="5AB775A3" w14:textId="77777777" w:rsidR="007075D9" w:rsidRPr="004D46AC" w:rsidRDefault="007075D9" w:rsidP="00052B86">
            <w:pPr>
              <w:spacing w:line="240" w:lineRule="auto"/>
              <w:ind w:firstLine="0"/>
            </w:pPr>
            <w:r w:rsidRPr="004D46AC">
              <w:lastRenderedPageBreak/>
              <w:t>The manic and hypomanic episode have severe and some interruptions with personal functioning in daily life, respectively.</w:t>
            </w:r>
          </w:p>
        </w:tc>
        <w:tc>
          <w:tcPr>
            <w:tcW w:w="2664" w:type="dxa"/>
          </w:tcPr>
          <w:p w14:paraId="4B28C2CF" w14:textId="77777777" w:rsidR="007075D9" w:rsidRPr="004D46AC" w:rsidRDefault="007075D9" w:rsidP="00052B86">
            <w:pPr>
              <w:spacing w:line="240" w:lineRule="auto"/>
              <w:ind w:firstLine="0"/>
            </w:pPr>
            <w:r w:rsidRPr="004D46AC">
              <w:t xml:space="preserve">Bipolar affective disorder, current episode hypomanic/ manic with or without psychotic symptoms/ moderate or mild depression/ severe depression with or without psychotic symptoms/ mixed/ in remission. Other bipolar affective disorder, bipolar affective disorders, unspecified. </w:t>
            </w:r>
          </w:p>
        </w:tc>
        <w:tc>
          <w:tcPr>
            <w:tcW w:w="2431" w:type="dxa"/>
          </w:tcPr>
          <w:p w14:paraId="75C65BCF" w14:textId="77777777" w:rsidR="007075D9" w:rsidRPr="004D46AC" w:rsidRDefault="007075D9" w:rsidP="00052B86">
            <w:pPr>
              <w:spacing w:line="240" w:lineRule="auto"/>
              <w:ind w:firstLine="0"/>
            </w:pPr>
            <w:r w:rsidRPr="004D46AC">
              <w:t>Manic, hypomanic, mixed (a mixture or rapid alternation of manic, hypomanic, depressive, symptoms), depressive episodes.</w:t>
            </w:r>
          </w:p>
        </w:tc>
        <w:tc>
          <w:tcPr>
            <w:tcW w:w="2611" w:type="dxa"/>
          </w:tcPr>
          <w:p w14:paraId="55BD0185" w14:textId="77777777" w:rsidR="007075D9" w:rsidRPr="004D46AC" w:rsidRDefault="007075D9" w:rsidP="00052B86">
            <w:pPr>
              <w:spacing w:line="240" w:lineRule="auto"/>
              <w:ind w:firstLine="0"/>
            </w:pPr>
            <w:r w:rsidRPr="004D46AC">
              <w:t xml:space="preserve">Non-Schneider symptoms can present in patients (e.g., grandiose, persecutory delusions) with bipolar affective disorders. </w:t>
            </w:r>
          </w:p>
        </w:tc>
      </w:tr>
      <w:tr w:rsidR="007075D9" w:rsidRPr="004D46AC" w14:paraId="00A153E0" w14:textId="77777777" w:rsidTr="00B518F1">
        <w:trPr>
          <w:trHeight w:val="294"/>
        </w:trPr>
        <w:tc>
          <w:tcPr>
            <w:tcW w:w="1336" w:type="dxa"/>
          </w:tcPr>
          <w:p w14:paraId="6DE5402A" w14:textId="77777777" w:rsidR="007075D9" w:rsidRPr="004D46AC" w:rsidRDefault="007075D9" w:rsidP="00052B86">
            <w:pPr>
              <w:spacing w:line="240" w:lineRule="auto"/>
              <w:ind w:firstLine="0"/>
            </w:pPr>
            <w:r w:rsidRPr="004D46AC">
              <w:lastRenderedPageBreak/>
              <w:t>DSM IV</w:t>
            </w:r>
          </w:p>
        </w:tc>
        <w:tc>
          <w:tcPr>
            <w:tcW w:w="2905" w:type="dxa"/>
          </w:tcPr>
          <w:p w14:paraId="0EDB9069" w14:textId="77777777" w:rsidR="007075D9" w:rsidRPr="004D46AC" w:rsidRDefault="007075D9" w:rsidP="00052B86">
            <w:pPr>
              <w:spacing w:line="240" w:lineRule="auto"/>
              <w:ind w:firstLine="0"/>
            </w:pPr>
            <w:r w:rsidRPr="004D46AC">
              <w:t>Manic episode same as DSM III-R; hypomanic episode is milder than manic episode in that the mood abnormalities lasted for at least four days, and the rest are the same as mania.</w:t>
            </w:r>
          </w:p>
          <w:p w14:paraId="183FB715" w14:textId="77777777" w:rsidR="007075D9" w:rsidRPr="004D46AC" w:rsidRDefault="007075D9" w:rsidP="00052B86">
            <w:pPr>
              <w:spacing w:line="240" w:lineRule="auto"/>
              <w:ind w:firstLine="0"/>
            </w:pPr>
            <w:r w:rsidRPr="004D46AC">
              <w:t>Depressive episode same as DSM III-R.</w:t>
            </w:r>
          </w:p>
        </w:tc>
        <w:tc>
          <w:tcPr>
            <w:tcW w:w="2066" w:type="dxa"/>
          </w:tcPr>
          <w:p w14:paraId="5F5F572D" w14:textId="77777777" w:rsidR="007075D9" w:rsidRPr="004D46AC" w:rsidRDefault="007075D9" w:rsidP="00052B86">
            <w:pPr>
              <w:spacing w:line="240" w:lineRule="auto"/>
              <w:ind w:firstLine="0"/>
            </w:pPr>
            <w:r w:rsidRPr="004D46AC">
              <w:t>The hypomania induced mood disturbance and functional impairment are not severe but observable by others.</w:t>
            </w:r>
          </w:p>
        </w:tc>
        <w:tc>
          <w:tcPr>
            <w:tcW w:w="2664" w:type="dxa"/>
          </w:tcPr>
          <w:p w14:paraId="67A03C2D" w14:textId="77777777" w:rsidR="007075D9" w:rsidRPr="004D46AC" w:rsidRDefault="007075D9" w:rsidP="00052B86">
            <w:pPr>
              <w:spacing w:line="240" w:lineRule="auto"/>
              <w:ind w:firstLine="0"/>
            </w:pPr>
            <w:r w:rsidRPr="004D46AC">
              <w:t>Same as DSM III R</w:t>
            </w:r>
          </w:p>
        </w:tc>
        <w:tc>
          <w:tcPr>
            <w:tcW w:w="2431" w:type="dxa"/>
          </w:tcPr>
          <w:p w14:paraId="09317A98" w14:textId="77777777" w:rsidR="007075D9" w:rsidRPr="004D46AC" w:rsidRDefault="007075D9" w:rsidP="00052B86">
            <w:pPr>
              <w:spacing w:line="240" w:lineRule="auto"/>
              <w:ind w:firstLine="0"/>
            </w:pPr>
            <w:r w:rsidRPr="004D46AC">
              <w:t>Bipolar I (one or more manic episode accompanied with depressive episodes), II (one or more depressive episodes with at least one hypomanic episode), and NOS disorder (none other specified); Cyclothymic disorder.</w:t>
            </w:r>
          </w:p>
        </w:tc>
        <w:tc>
          <w:tcPr>
            <w:tcW w:w="2611" w:type="dxa"/>
          </w:tcPr>
          <w:p w14:paraId="4A38D071" w14:textId="77777777" w:rsidR="007075D9" w:rsidRPr="004D46AC" w:rsidRDefault="007075D9" w:rsidP="00052B86">
            <w:pPr>
              <w:spacing w:line="240" w:lineRule="auto"/>
              <w:ind w:firstLine="0"/>
            </w:pPr>
            <w:r w:rsidRPr="004D46AC">
              <w:t>Not mentioned.</w:t>
            </w:r>
          </w:p>
        </w:tc>
      </w:tr>
      <w:tr w:rsidR="007075D9" w:rsidRPr="004D46AC" w14:paraId="66E7B39B" w14:textId="77777777" w:rsidTr="00B518F1">
        <w:trPr>
          <w:trHeight w:val="285"/>
        </w:trPr>
        <w:tc>
          <w:tcPr>
            <w:tcW w:w="1336" w:type="dxa"/>
          </w:tcPr>
          <w:p w14:paraId="481B5D2A" w14:textId="77777777" w:rsidR="007075D9" w:rsidRPr="004D46AC" w:rsidRDefault="007075D9" w:rsidP="00052B86">
            <w:pPr>
              <w:spacing w:line="240" w:lineRule="auto"/>
              <w:ind w:firstLine="0"/>
            </w:pPr>
            <w:r w:rsidRPr="004D46AC">
              <w:t>DSM IV TR</w:t>
            </w:r>
          </w:p>
        </w:tc>
        <w:tc>
          <w:tcPr>
            <w:tcW w:w="2905" w:type="dxa"/>
          </w:tcPr>
          <w:p w14:paraId="5CD1F537" w14:textId="77777777" w:rsidR="007075D9" w:rsidRPr="004D46AC" w:rsidRDefault="007075D9" w:rsidP="00052B86">
            <w:pPr>
              <w:spacing w:line="240" w:lineRule="auto"/>
              <w:ind w:firstLine="0"/>
            </w:pPr>
            <w:r w:rsidRPr="004D46AC">
              <w:t>No change</w:t>
            </w:r>
          </w:p>
        </w:tc>
        <w:tc>
          <w:tcPr>
            <w:tcW w:w="2066" w:type="dxa"/>
          </w:tcPr>
          <w:p w14:paraId="7DB925EE" w14:textId="77777777" w:rsidR="007075D9" w:rsidRPr="004D46AC" w:rsidRDefault="007075D9" w:rsidP="00052B86">
            <w:pPr>
              <w:spacing w:line="240" w:lineRule="auto"/>
              <w:ind w:firstLine="0"/>
            </w:pPr>
            <w:r w:rsidRPr="004D46AC">
              <w:t>No change</w:t>
            </w:r>
          </w:p>
        </w:tc>
        <w:tc>
          <w:tcPr>
            <w:tcW w:w="2664" w:type="dxa"/>
          </w:tcPr>
          <w:p w14:paraId="42F10B54" w14:textId="77777777" w:rsidR="007075D9" w:rsidRPr="004D46AC" w:rsidRDefault="007075D9" w:rsidP="00052B86">
            <w:pPr>
              <w:spacing w:line="240" w:lineRule="auto"/>
              <w:ind w:firstLine="0"/>
            </w:pPr>
            <w:r w:rsidRPr="004D46AC">
              <w:t>No change</w:t>
            </w:r>
          </w:p>
        </w:tc>
        <w:tc>
          <w:tcPr>
            <w:tcW w:w="2431" w:type="dxa"/>
          </w:tcPr>
          <w:p w14:paraId="344C76B3" w14:textId="77777777" w:rsidR="007075D9" w:rsidRPr="004D46AC" w:rsidRDefault="007075D9" w:rsidP="00052B86">
            <w:pPr>
              <w:spacing w:line="240" w:lineRule="auto"/>
              <w:ind w:firstLine="0"/>
            </w:pPr>
            <w:r w:rsidRPr="004D46AC">
              <w:t>No change</w:t>
            </w:r>
          </w:p>
        </w:tc>
        <w:tc>
          <w:tcPr>
            <w:tcW w:w="2611" w:type="dxa"/>
          </w:tcPr>
          <w:p w14:paraId="74727B0E" w14:textId="77777777" w:rsidR="007075D9" w:rsidRPr="004D46AC" w:rsidRDefault="007075D9" w:rsidP="00052B86">
            <w:pPr>
              <w:spacing w:line="240" w:lineRule="auto"/>
              <w:ind w:firstLine="0"/>
            </w:pPr>
            <w:r w:rsidRPr="004D46AC">
              <w:t>Not mentioned.</w:t>
            </w:r>
          </w:p>
        </w:tc>
      </w:tr>
      <w:tr w:rsidR="007075D9" w:rsidRPr="004D46AC" w14:paraId="557017AF" w14:textId="77777777" w:rsidTr="00B518F1">
        <w:trPr>
          <w:trHeight w:val="294"/>
        </w:trPr>
        <w:tc>
          <w:tcPr>
            <w:tcW w:w="1336" w:type="dxa"/>
          </w:tcPr>
          <w:p w14:paraId="61E23452" w14:textId="77777777" w:rsidR="007075D9" w:rsidRPr="004D46AC" w:rsidRDefault="007075D9" w:rsidP="00052B86">
            <w:pPr>
              <w:spacing w:line="240" w:lineRule="auto"/>
              <w:ind w:firstLine="0"/>
            </w:pPr>
            <w:r w:rsidRPr="004D46AC">
              <w:t>DSM V</w:t>
            </w:r>
          </w:p>
        </w:tc>
        <w:tc>
          <w:tcPr>
            <w:tcW w:w="2905" w:type="dxa"/>
          </w:tcPr>
          <w:p w14:paraId="3DFE2706" w14:textId="77777777" w:rsidR="007075D9" w:rsidRPr="004D46AC" w:rsidRDefault="007075D9" w:rsidP="00052B86">
            <w:pPr>
              <w:spacing w:line="240" w:lineRule="auto"/>
              <w:ind w:firstLine="0"/>
            </w:pPr>
            <w:r w:rsidRPr="004D46AC">
              <w:t>No change</w:t>
            </w:r>
          </w:p>
        </w:tc>
        <w:tc>
          <w:tcPr>
            <w:tcW w:w="2066" w:type="dxa"/>
          </w:tcPr>
          <w:p w14:paraId="5A2BE6F9" w14:textId="77777777" w:rsidR="007075D9" w:rsidRPr="004D46AC" w:rsidRDefault="007075D9" w:rsidP="00052B86">
            <w:pPr>
              <w:spacing w:line="240" w:lineRule="auto"/>
              <w:ind w:firstLine="0"/>
            </w:pPr>
            <w:r w:rsidRPr="004D46AC">
              <w:t xml:space="preserve">No change </w:t>
            </w:r>
          </w:p>
        </w:tc>
        <w:tc>
          <w:tcPr>
            <w:tcW w:w="2664" w:type="dxa"/>
          </w:tcPr>
          <w:p w14:paraId="6148B778" w14:textId="77777777" w:rsidR="007075D9" w:rsidRPr="004D46AC" w:rsidRDefault="007075D9" w:rsidP="00052B86">
            <w:pPr>
              <w:spacing w:line="240" w:lineRule="auto"/>
              <w:ind w:firstLine="0"/>
            </w:pPr>
            <w:r w:rsidRPr="004D46AC">
              <w:t>No change</w:t>
            </w:r>
          </w:p>
        </w:tc>
        <w:tc>
          <w:tcPr>
            <w:tcW w:w="2431" w:type="dxa"/>
          </w:tcPr>
          <w:p w14:paraId="3DB36EB4" w14:textId="77777777" w:rsidR="007075D9" w:rsidRPr="004D46AC" w:rsidRDefault="007075D9" w:rsidP="00052B86">
            <w:pPr>
              <w:spacing w:line="240" w:lineRule="auto"/>
              <w:ind w:firstLine="0"/>
            </w:pPr>
            <w:r w:rsidRPr="004D46AC">
              <w:t>Bipolar I (meet criteria of manic episode; the episode may have been preceded or followed by hypomanic or depressive episodes</w:t>
            </w:r>
            <w:proofErr w:type="gramStart"/>
            <w:r w:rsidRPr="004D46AC">
              <w:t>);</w:t>
            </w:r>
            <w:proofErr w:type="gramEnd"/>
          </w:p>
          <w:p w14:paraId="27AACFC0" w14:textId="77777777" w:rsidR="007075D9" w:rsidRPr="004D46AC" w:rsidRDefault="007075D9" w:rsidP="00052B86">
            <w:pPr>
              <w:spacing w:line="240" w:lineRule="auto"/>
              <w:ind w:firstLine="0"/>
            </w:pPr>
            <w:r w:rsidRPr="004D46AC">
              <w:t>Bipolar II (meet current or past criteria for hypomanic and depressive episodes).</w:t>
            </w:r>
          </w:p>
        </w:tc>
        <w:tc>
          <w:tcPr>
            <w:tcW w:w="2611" w:type="dxa"/>
          </w:tcPr>
          <w:p w14:paraId="5EF0C2DA" w14:textId="77777777" w:rsidR="007075D9" w:rsidRPr="004D46AC" w:rsidRDefault="007075D9" w:rsidP="00052B86">
            <w:pPr>
              <w:spacing w:line="240" w:lineRule="auto"/>
              <w:ind w:firstLine="0"/>
            </w:pPr>
            <w:r w:rsidRPr="004D46AC">
              <w:t xml:space="preserve">Bipolar I </w:t>
            </w:r>
            <w:proofErr w:type="gramStart"/>
            <w:r w:rsidRPr="004D46AC">
              <w:t>is</w:t>
            </w:r>
            <w:proofErr w:type="gramEnd"/>
            <w:r w:rsidRPr="004D46AC">
              <w:t xml:space="preserve"> not mentioned. Bipolar II must be differentiated with psychotic disorders, which featured by psychotic symptoms occurred in the absence of prominent mood symptoms. the course can also be differentiated by accompanying symptoms, previous course and family history.</w:t>
            </w:r>
          </w:p>
        </w:tc>
      </w:tr>
      <w:tr w:rsidR="007075D9" w:rsidRPr="004D46AC" w14:paraId="55B1C704" w14:textId="77777777" w:rsidTr="00B518F1">
        <w:trPr>
          <w:trHeight w:val="285"/>
        </w:trPr>
        <w:tc>
          <w:tcPr>
            <w:tcW w:w="1336" w:type="dxa"/>
          </w:tcPr>
          <w:p w14:paraId="48498365" w14:textId="77777777" w:rsidR="007075D9" w:rsidRPr="004D46AC" w:rsidRDefault="007075D9" w:rsidP="00052B86">
            <w:pPr>
              <w:spacing w:line="240" w:lineRule="auto"/>
              <w:ind w:firstLine="0"/>
            </w:pPr>
            <w:r w:rsidRPr="004D46AC">
              <w:t>ICD 11</w:t>
            </w:r>
          </w:p>
        </w:tc>
        <w:tc>
          <w:tcPr>
            <w:tcW w:w="2905" w:type="dxa"/>
          </w:tcPr>
          <w:p w14:paraId="474285F8" w14:textId="77777777" w:rsidR="007075D9" w:rsidRPr="004D46AC" w:rsidRDefault="007075D9" w:rsidP="00052B86">
            <w:pPr>
              <w:spacing w:line="240" w:lineRule="auto"/>
              <w:ind w:firstLine="0"/>
            </w:pPr>
            <w:r w:rsidRPr="004D46AC">
              <w:t>Depressive episode:</w:t>
            </w:r>
          </w:p>
          <w:p w14:paraId="5E1A517C" w14:textId="77777777" w:rsidR="007075D9" w:rsidRPr="004D46AC" w:rsidRDefault="007075D9" w:rsidP="00052B86">
            <w:pPr>
              <w:spacing w:line="240" w:lineRule="auto"/>
              <w:ind w:firstLine="0"/>
            </w:pPr>
            <w:r w:rsidRPr="004D46AC">
              <w:t xml:space="preserve">In at least 14 days, more than five of the </w:t>
            </w:r>
            <w:r w:rsidRPr="004D46AC">
              <w:lastRenderedPageBreak/>
              <w:t>followings’ symptoms presented for most of the day nearly every day:</w:t>
            </w:r>
          </w:p>
          <w:p w14:paraId="32B4EC72" w14:textId="77777777" w:rsidR="007075D9" w:rsidRPr="004D46AC" w:rsidRDefault="007075D9">
            <w:pPr>
              <w:pStyle w:val="a9"/>
              <w:widowControl w:val="0"/>
              <w:numPr>
                <w:ilvl w:val="0"/>
                <w:numId w:val="21"/>
              </w:numPr>
              <w:spacing w:line="240" w:lineRule="auto"/>
              <w:ind w:firstLine="0"/>
              <w:contextualSpacing w:val="0"/>
            </w:pPr>
            <w:r w:rsidRPr="004D46AC">
              <w:t>Affective cluster (depressed mood, diminished interest or pleasure</w:t>
            </w:r>
            <w:proofErr w:type="gramStart"/>
            <w:r w:rsidRPr="004D46AC">
              <w:t>);</w:t>
            </w:r>
            <w:proofErr w:type="gramEnd"/>
          </w:p>
          <w:p w14:paraId="61DFA88E" w14:textId="77777777" w:rsidR="007075D9" w:rsidRPr="004D46AC" w:rsidRDefault="007075D9">
            <w:pPr>
              <w:pStyle w:val="a9"/>
              <w:widowControl w:val="0"/>
              <w:numPr>
                <w:ilvl w:val="0"/>
                <w:numId w:val="21"/>
              </w:numPr>
              <w:spacing w:line="240" w:lineRule="auto"/>
              <w:ind w:firstLine="0"/>
              <w:contextualSpacing w:val="0"/>
            </w:pPr>
            <w:r w:rsidRPr="004D46AC">
              <w:t>Cognitive behaviour cluster (reduced ability to concentrate, low self-worth, excessive or inappropriate guilt, hopeless, recurrent suicidal thoughts or attempts</w:t>
            </w:r>
            <w:proofErr w:type="gramStart"/>
            <w:r w:rsidRPr="004D46AC">
              <w:t>);</w:t>
            </w:r>
            <w:proofErr w:type="gramEnd"/>
          </w:p>
          <w:p w14:paraId="5C5232F0" w14:textId="77777777" w:rsidR="007075D9" w:rsidRPr="004D46AC" w:rsidRDefault="007075D9">
            <w:pPr>
              <w:pStyle w:val="a9"/>
              <w:widowControl w:val="0"/>
              <w:numPr>
                <w:ilvl w:val="0"/>
                <w:numId w:val="21"/>
              </w:numPr>
              <w:spacing w:line="240" w:lineRule="auto"/>
              <w:ind w:firstLine="0"/>
              <w:contextualSpacing w:val="0"/>
            </w:pPr>
            <w:r w:rsidRPr="004D46AC">
              <w:t>Neurovegetative cluster (disturbed sleep, significant change in appetite or weight, psychomotor retardation or agitation, fatigue)</w:t>
            </w:r>
          </w:p>
          <w:p w14:paraId="58791BD8" w14:textId="77777777" w:rsidR="007075D9" w:rsidRPr="004D46AC" w:rsidRDefault="007075D9" w:rsidP="00052B86">
            <w:pPr>
              <w:spacing w:line="240" w:lineRule="auto"/>
              <w:ind w:firstLine="0"/>
            </w:pPr>
            <w:r w:rsidRPr="004D46AC">
              <w:t>Manic episode:</w:t>
            </w:r>
          </w:p>
          <w:p w14:paraId="392E1492" w14:textId="77777777" w:rsidR="007075D9" w:rsidRPr="004D46AC" w:rsidRDefault="007075D9" w:rsidP="00052B86">
            <w:pPr>
              <w:spacing w:line="240" w:lineRule="auto"/>
              <w:ind w:firstLine="0"/>
            </w:pPr>
            <w:r w:rsidRPr="004D46AC">
              <w:t>Both of the following features occurring concurrently and persisting for most of the day, nearly every day for at least 7 days:</w:t>
            </w:r>
          </w:p>
          <w:p w14:paraId="37D7FC7B" w14:textId="77777777" w:rsidR="007075D9" w:rsidRPr="004D46AC" w:rsidRDefault="007075D9">
            <w:pPr>
              <w:pStyle w:val="a9"/>
              <w:widowControl w:val="0"/>
              <w:numPr>
                <w:ilvl w:val="0"/>
                <w:numId w:val="22"/>
              </w:numPr>
              <w:spacing w:line="240" w:lineRule="auto"/>
              <w:ind w:firstLine="0"/>
              <w:contextualSpacing w:val="0"/>
            </w:pPr>
            <w:r w:rsidRPr="004D46AC">
              <w:t xml:space="preserve">Euphoria, irritable, expansive </w:t>
            </w:r>
            <w:proofErr w:type="gramStart"/>
            <w:r w:rsidRPr="004D46AC">
              <w:t>mood;</w:t>
            </w:r>
            <w:proofErr w:type="gramEnd"/>
          </w:p>
          <w:p w14:paraId="73FDD38C" w14:textId="77777777" w:rsidR="007075D9" w:rsidRPr="004D46AC" w:rsidRDefault="007075D9">
            <w:pPr>
              <w:pStyle w:val="a9"/>
              <w:widowControl w:val="0"/>
              <w:numPr>
                <w:ilvl w:val="0"/>
                <w:numId w:val="22"/>
              </w:numPr>
              <w:spacing w:line="240" w:lineRule="auto"/>
              <w:ind w:firstLine="0"/>
              <w:contextualSpacing w:val="0"/>
            </w:pPr>
            <w:r w:rsidRPr="004D46AC">
              <w:t xml:space="preserve">Increased activity or </w:t>
            </w:r>
            <w:proofErr w:type="gramStart"/>
            <w:r w:rsidRPr="004D46AC">
              <w:t>energy;</w:t>
            </w:r>
            <w:proofErr w:type="gramEnd"/>
          </w:p>
          <w:p w14:paraId="6BA98C08" w14:textId="77777777" w:rsidR="007075D9" w:rsidRPr="004D46AC" w:rsidRDefault="007075D9">
            <w:pPr>
              <w:pStyle w:val="a9"/>
              <w:widowControl w:val="0"/>
              <w:numPr>
                <w:ilvl w:val="0"/>
                <w:numId w:val="22"/>
              </w:numPr>
              <w:spacing w:line="240" w:lineRule="auto"/>
              <w:ind w:firstLine="0"/>
              <w:contextualSpacing w:val="0"/>
            </w:pPr>
            <w:r w:rsidRPr="004D46AC">
              <w:t xml:space="preserve">Increased talkativeness or pressured </w:t>
            </w:r>
            <w:proofErr w:type="gramStart"/>
            <w:r w:rsidRPr="004D46AC">
              <w:t>speech;</w:t>
            </w:r>
            <w:proofErr w:type="gramEnd"/>
          </w:p>
          <w:p w14:paraId="626DF794" w14:textId="77777777" w:rsidR="007075D9" w:rsidRPr="004D46AC" w:rsidRDefault="007075D9">
            <w:pPr>
              <w:pStyle w:val="a9"/>
              <w:widowControl w:val="0"/>
              <w:numPr>
                <w:ilvl w:val="0"/>
                <w:numId w:val="22"/>
              </w:numPr>
              <w:spacing w:line="240" w:lineRule="auto"/>
              <w:ind w:firstLine="0"/>
              <w:contextualSpacing w:val="0"/>
            </w:pPr>
            <w:r w:rsidRPr="004D46AC">
              <w:t xml:space="preserve">Racing </w:t>
            </w:r>
            <w:proofErr w:type="gramStart"/>
            <w:r w:rsidRPr="004D46AC">
              <w:t>thoughts;</w:t>
            </w:r>
            <w:proofErr w:type="gramEnd"/>
          </w:p>
          <w:p w14:paraId="2FBFDF87" w14:textId="77777777" w:rsidR="007075D9" w:rsidRPr="004D46AC" w:rsidRDefault="007075D9">
            <w:pPr>
              <w:pStyle w:val="a9"/>
              <w:widowControl w:val="0"/>
              <w:numPr>
                <w:ilvl w:val="0"/>
                <w:numId w:val="22"/>
              </w:numPr>
              <w:spacing w:line="240" w:lineRule="auto"/>
              <w:ind w:firstLine="0"/>
              <w:contextualSpacing w:val="0"/>
            </w:pPr>
            <w:r w:rsidRPr="004D46AC">
              <w:t xml:space="preserve">Increased self-esteem or </w:t>
            </w:r>
            <w:proofErr w:type="gramStart"/>
            <w:r w:rsidRPr="004D46AC">
              <w:t>grandiosity;</w:t>
            </w:r>
            <w:proofErr w:type="gramEnd"/>
          </w:p>
          <w:p w14:paraId="6EEF140F" w14:textId="77777777" w:rsidR="007075D9" w:rsidRPr="004D46AC" w:rsidRDefault="007075D9">
            <w:pPr>
              <w:pStyle w:val="a9"/>
              <w:widowControl w:val="0"/>
              <w:numPr>
                <w:ilvl w:val="0"/>
                <w:numId w:val="22"/>
              </w:numPr>
              <w:spacing w:line="240" w:lineRule="auto"/>
              <w:ind w:firstLine="0"/>
              <w:contextualSpacing w:val="0"/>
            </w:pPr>
            <w:r w:rsidRPr="004D46AC">
              <w:t xml:space="preserve">Decreased need for </w:t>
            </w:r>
            <w:proofErr w:type="gramStart"/>
            <w:r w:rsidRPr="004D46AC">
              <w:t>sleep;</w:t>
            </w:r>
            <w:proofErr w:type="gramEnd"/>
          </w:p>
          <w:p w14:paraId="64E1715E" w14:textId="77777777" w:rsidR="007075D9" w:rsidRPr="004D46AC" w:rsidRDefault="007075D9">
            <w:pPr>
              <w:pStyle w:val="a9"/>
              <w:widowControl w:val="0"/>
              <w:numPr>
                <w:ilvl w:val="0"/>
                <w:numId w:val="22"/>
              </w:numPr>
              <w:spacing w:line="240" w:lineRule="auto"/>
              <w:ind w:firstLine="0"/>
              <w:contextualSpacing w:val="0"/>
            </w:pPr>
            <w:proofErr w:type="gramStart"/>
            <w:r w:rsidRPr="004D46AC">
              <w:t>Distractibility;</w:t>
            </w:r>
            <w:proofErr w:type="gramEnd"/>
          </w:p>
          <w:p w14:paraId="37C70EF9" w14:textId="77777777" w:rsidR="007075D9" w:rsidRPr="004D46AC" w:rsidRDefault="007075D9">
            <w:pPr>
              <w:pStyle w:val="a9"/>
              <w:widowControl w:val="0"/>
              <w:numPr>
                <w:ilvl w:val="0"/>
                <w:numId w:val="22"/>
              </w:numPr>
              <w:spacing w:line="240" w:lineRule="auto"/>
              <w:ind w:firstLine="0"/>
              <w:contextualSpacing w:val="0"/>
            </w:pPr>
            <w:r w:rsidRPr="004D46AC">
              <w:t xml:space="preserve">Impulsive reckless </w:t>
            </w:r>
            <w:proofErr w:type="gramStart"/>
            <w:r w:rsidRPr="004D46AC">
              <w:t>behaviour;</w:t>
            </w:r>
            <w:proofErr w:type="gramEnd"/>
          </w:p>
          <w:p w14:paraId="6A96288B" w14:textId="77777777" w:rsidR="007075D9" w:rsidRPr="004D46AC" w:rsidRDefault="007075D9">
            <w:pPr>
              <w:pStyle w:val="a9"/>
              <w:widowControl w:val="0"/>
              <w:numPr>
                <w:ilvl w:val="0"/>
                <w:numId w:val="22"/>
              </w:numPr>
              <w:spacing w:line="240" w:lineRule="auto"/>
              <w:ind w:firstLine="0"/>
              <w:contextualSpacing w:val="0"/>
            </w:pPr>
            <w:r w:rsidRPr="004D46AC">
              <w:t xml:space="preserve">Increased goal directed </w:t>
            </w:r>
            <w:proofErr w:type="gramStart"/>
            <w:r w:rsidRPr="004D46AC">
              <w:t>activities;</w:t>
            </w:r>
            <w:proofErr w:type="gramEnd"/>
          </w:p>
          <w:p w14:paraId="1D9E3E48" w14:textId="77777777" w:rsidR="007075D9" w:rsidRPr="004D46AC" w:rsidRDefault="007075D9" w:rsidP="00052B86">
            <w:pPr>
              <w:spacing w:line="240" w:lineRule="auto"/>
              <w:ind w:firstLine="0"/>
            </w:pPr>
            <w:r w:rsidRPr="004D46AC">
              <w:t xml:space="preserve">Hypomania the symptoms lasted </w:t>
            </w:r>
            <w:r w:rsidRPr="004D46AC">
              <w:lastRenderedPageBreak/>
              <w:t xml:space="preserve">several </w:t>
            </w:r>
            <w:proofErr w:type="gramStart"/>
            <w:r w:rsidRPr="004D46AC">
              <w:t>days, and</w:t>
            </w:r>
            <w:proofErr w:type="gramEnd"/>
            <w:r w:rsidRPr="004D46AC">
              <w:t xml:space="preserve"> are generally the same as mania.</w:t>
            </w:r>
          </w:p>
          <w:p w14:paraId="5AC80534" w14:textId="77777777" w:rsidR="007075D9" w:rsidRPr="004D46AC" w:rsidRDefault="007075D9" w:rsidP="00052B86">
            <w:pPr>
              <w:spacing w:line="240" w:lineRule="auto"/>
              <w:ind w:firstLine="0"/>
            </w:pPr>
            <w:r w:rsidRPr="004D46AC">
              <w:t>Mixed episode: The presence of several prominent manic and several prominent depressive symptoms consistent with those observed in Manic Episodes and Depressive Episodes, which either occur simultaneously or alternate very rapidly (from day to day or within the same day). Symptoms must include an altered mood state consistent with a Manic and/or Depressive Episode (i.e., depressed, dysphoric, euphoric or expansive mood), and be present most of the day, nearly every day, during a period of at least 2 weeks, unless shortened by a treatment intervention.</w:t>
            </w:r>
          </w:p>
        </w:tc>
        <w:tc>
          <w:tcPr>
            <w:tcW w:w="2066" w:type="dxa"/>
          </w:tcPr>
          <w:p w14:paraId="467C8CCF" w14:textId="77777777" w:rsidR="007075D9" w:rsidRPr="004D46AC" w:rsidRDefault="007075D9" w:rsidP="00052B86">
            <w:pPr>
              <w:spacing w:line="240" w:lineRule="auto"/>
              <w:ind w:firstLine="0"/>
            </w:pPr>
            <w:r w:rsidRPr="004D46AC">
              <w:lastRenderedPageBreak/>
              <w:t xml:space="preserve">The mood disturbance results in </w:t>
            </w:r>
            <w:r w:rsidRPr="004D46AC">
              <w:lastRenderedPageBreak/>
              <w:t>significant impairment in personal, family, social, educational, occupational, or other important areas of functioning. If functioning is maintained, it is only through significant additional effort.</w:t>
            </w:r>
          </w:p>
        </w:tc>
        <w:tc>
          <w:tcPr>
            <w:tcW w:w="2664" w:type="dxa"/>
          </w:tcPr>
          <w:p w14:paraId="3332B0C6" w14:textId="77777777" w:rsidR="007075D9" w:rsidRPr="004D46AC" w:rsidRDefault="007075D9" w:rsidP="00052B86">
            <w:pPr>
              <w:spacing w:line="240" w:lineRule="auto"/>
              <w:ind w:firstLine="0"/>
            </w:pPr>
            <w:r w:rsidRPr="004D46AC">
              <w:lastRenderedPageBreak/>
              <w:t xml:space="preserve">Bipolar type +episode </w:t>
            </w:r>
            <w:r w:rsidRPr="004D46AC">
              <w:lastRenderedPageBreak/>
              <w:t>name+ severity (with or without psychotic features, only applicable to severe mood episode)</w:t>
            </w:r>
          </w:p>
        </w:tc>
        <w:tc>
          <w:tcPr>
            <w:tcW w:w="2431" w:type="dxa"/>
          </w:tcPr>
          <w:p w14:paraId="3AB47206" w14:textId="77777777" w:rsidR="007075D9" w:rsidRPr="004D46AC" w:rsidRDefault="007075D9" w:rsidP="00052B86">
            <w:pPr>
              <w:spacing w:line="240" w:lineRule="auto"/>
              <w:ind w:firstLine="0"/>
            </w:pPr>
            <w:r w:rsidRPr="004D46AC">
              <w:lastRenderedPageBreak/>
              <w:t xml:space="preserve">Bipolar type I disorder is an episodic mood </w:t>
            </w:r>
            <w:r w:rsidRPr="004D46AC">
              <w:lastRenderedPageBreak/>
              <w:t>disorder defined by the occurrence of one or more manic or mixed episodes. Bipolar type II disorder is an episodic mood disorder defined by the occurrence of one or more hypomanic episodes and at least one depressive episode.</w:t>
            </w:r>
          </w:p>
        </w:tc>
        <w:tc>
          <w:tcPr>
            <w:tcW w:w="2611" w:type="dxa"/>
          </w:tcPr>
          <w:p w14:paraId="37871EB5" w14:textId="77777777" w:rsidR="007075D9" w:rsidRPr="004D46AC" w:rsidRDefault="007075D9" w:rsidP="00052B86">
            <w:pPr>
              <w:spacing w:line="240" w:lineRule="auto"/>
              <w:ind w:firstLine="0"/>
            </w:pPr>
            <w:r w:rsidRPr="004D46AC">
              <w:lastRenderedPageBreak/>
              <w:t xml:space="preserve">Delusions related to experiences </w:t>
            </w:r>
            <w:r w:rsidRPr="004D46AC">
              <w:lastRenderedPageBreak/>
              <w:t>of influence, passivity or control (e.g., the experience that thoughts or actions are not generated by the person, are being placed in one’s mind or withdrawn from one’s mind by others, or that thoughts are being broadcast to others) can also occur, but less commonly than in Schizophrenia and Schizoaffective Disorder. </w:t>
            </w:r>
          </w:p>
        </w:tc>
      </w:tr>
      <w:tr w:rsidR="007075D9" w:rsidRPr="004D46AC" w14:paraId="54623554" w14:textId="77777777" w:rsidTr="00B518F1">
        <w:trPr>
          <w:trHeight w:val="294"/>
        </w:trPr>
        <w:tc>
          <w:tcPr>
            <w:tcW w:w="1336" w:type="dxa"/>
          </w:tcPr>
          <w:p w14:paraId="202CC650" w14:textId="77777777" w:rsidR="007075D9" w:rsidRPr="004D46AC" w:rsidRDefault="007075D9" w:rsidP="00052B86">
            <w:pPr>
              <w:spacing w:line="240" w:lineRule="auto"/>
              <w:ind w:firstLine="0"/>
            </w:pPr>
            <w:r w:rsidRPr="004D46AC">
              <w:lastRenderedPageBreak/>
              <w:t>DSM V TR</w:t>
            </w:r>
          </w:p>
        </w:tc>
        <w:tc>
          <w:tcPr>
            <w:tcW w:w="2905" w:type="dxa"/>
          </w:tcPr>
          <w:p w14:paraId="70C0A714" w14:textId="77777777" w:rsidR="007075D9" w:rsidRPr="004D46AC" w:rsidRDefault="007075D9" w:rsidP="00052B86">
            <w:pPr>
              <w:spacing w:line="240" w:lineRule="auto"/>
              <w:ind w:firstLine="0"/>
            </w:pPr>
            <w:r w:rsidRPr="004D46AC">
              <w:t>No change</w:t>
            </w:r>
          </w:p>
        </w:tc>
        <w:tc>
          <w:tcPr>
            <w:tcW w:w="2066" w:type="dxa"/>
          </w:tcPr>
          <w:p w14:paraId="29D69710" w14:textId="77777777" w:rsidR="007075D9" w:rsidRPr="004D46AC" w:rsidRDefault="007075D9" w:rsidP="00052B86">
            <w:pPr>
              <w:spacing w:line="240" w:lineRule="auto"/>
              <w:ind w:firstLine="0"/>
            </w:pPr>
            <w:r w:rsidRPr="004D46AC">
              <w:t>No change</w:t>
            </w:r>
          </w:p>
        </w:tc>
        <w:tc>
          <w:tcPr>
            <w:tcW w:w="2664" w:type="dxa"/>
          </w:tcPr>
          <w:p w14:paraId="286E10C3" w14:textId="77777777" w:rsidR="007075D9" w:rsidRPr="004D46AC" w:rsidRDefault="007075D9" w:rsidP="00052B86">
            <w:pPr>
              <w:spacing w:line="240" w:lineRule="auto"/>
              <w:ind w:firstLine="0"/>
            </w:pPr>
            <w:r w:rsidRPr="004D46AC">
              <w:t>No change</w:t>
            </w:r>
          </w:p>
        </w:tc>
        <w:tc>
          <w:tcPr>
            <w:tcW w:w="2431" w:type="dxa"/>
          </w:tcPr>
          <w:p w14:paraId="2185DB6A" w14:textId="77777777" w:rsidR="007075D9" w:rsidRPr="004D46AC" w:rsidRDefault="007075D9" w:rsidP="00052B86">
            <w:pPr>
              <w:spacing w:line="240" w:lineRule="auto"/>
              <w:ind w:firstLine="0"/>
            </w:pPr>
            <w:r w:rsidRPr="004D46AC">
              <w:t>No change</w:t>
            </w:r>
          </w:p>
        </w:tc>
        <w:tc>
          <w:tcPr>
            <w:tcW w:w="2611" w:type="dxa"/>
          </w:tcPr>
          <w:p w14:paraId="273F2B6E" w14:textId="77777777" w:rsidR="007075D9" w:rsidRPr="004D46AC" w:rsidRDefault="007075D9" w:rsidP="00052B86">
            <w:pPr>
              <w:spacing w:line="240" w:lineRule="auto"/>
              <w:ind w:firstLine="0"/>
            </w:pPr>
            <w:r w:rsidRPr="004D46AC">
              <w:t xml:space="preserve">Bipolar I with psychotic features (BDP) should be differentiated with schizoaffective disorder (SCA) in that SCA features concurrent manic and depressive episode with active schizophrenia which delusions or hallucinations occur for at least two weeks in the </w:t>
            </w:r>
            <w:r w:rsidRPr="004D46AC">
              <w:lastRenderedPageBreak/>
              <w:t>absence of manic or depressive episodes.  The psychotic symptoms in bipolar I occurred exclusively during manic or depressive episodes.</w:t>
            </w:r>
          </w:p>
          <w:p w14:paraId="3D71DE19" w14:textId="77777777" w:rsidR="007075D9" w:rsidRPr="004D46AC" w:rsidRDefault="007075D9" w:rsidP="00052B86">
            <w:pPr>
              <w:spacing w:line="240" w:lineRule="auto"/>
              <w:ind w:firstLine="0"/>
            </w:pPr>
            <w:r w:rsidRPr="004D46AC">
              <w:t>Bipolar II should be differentiated with schizophrenia and schizoaffective disorder in that the psychotic features have occurred exclusively during major depressive episodes. while the schizophrenia (depressive episode is relatively brief compared to schizophrenia course) or schizoaffective (same as bipolar I) disorder are different.</w:t>
            </w:r>
          </w:p>
        </w:tc>
      </w:tr>
    </w:tbl>
    <w:p w14:paraId="56A4C5F5" w14:textId="77777777" w:rsidR="007075D9" w:rsidRPr="004D46AC" w:rsidRDefault="007075D9" w:rsidP="00052B86">
      <w:pPr>
        <w:spacing w:line="240" w:lineRule="auto"/>
        <w:ind w:firstLine="0"/>
      </w:pPr>
      <w:r w:rsidRPr="004D46AC">
        <w:rPr>
          <w:i/>
          <w:iCs/>
        </w:rPr>
        <w:lastRenderedPageBreak/>
        <w:t>Note</w:t>
      </w:r>
      <w:r w:rsidRPr="004D46AC">
        <w:t>. the … means that the content in this block is the same as the previous.</w:t>
      </w:r>
    </w:p>
    <w:p w14:paraId="0A4B3E2B" w14:textId="77777777" w:rsidR="007075D9" w:rsidRPr="004D46AC" w:rsidRDefault="007075D9" w:rsidP="00B518F1">
      <w:pPr>
        <w:spacing w:line="360" w:lineRule="auto"/>
      </w:pPr>
    </w:p>
    <w:p w14:paraId="039CBC42" w14:textId="77777777" w:rsidR="007075D9" w:rsidRPr="004D46AC" w:rsidRDefault="007075D9" w:rsidP="00B518F1">
      <w:pPr>
        <w:spacing w:line="360" w:lineRule="auto"/>
      </w:pPr>
    </w:p>
    <w:p w14:paraId="2EEEF224" w14:textId="77777777" w:rsidR="007075D9" w:rsidRPr="004D46AC" w:rsidRDefault="007075D9" w:rsidP="00B518F1">
      <w:pPr>
        <w:spacing w:line="360" w:lineRule="auto"/>
      </w:pPr>
    </w:p>
    <w:p w14:paraId="0CF7514E" w14:textId="77777777" w:rsidR="007075D9" w:rsidRPr="004D46AC" w:rsidRDefault="007075D9" w:rsidP="00B518F1">
      <w:pPr>
        <w:spacing w:line="360" w:lineRule="auto"/>
        <w:rPr>
          <w:rFonts w:eastAsiaTheme="minorEastAsia"/>
        </w:rPr>
      </w:pPr>
    </w:p>
    <w:p w14:paraId="78154B91" w14:textId="28650621" w:rsidR="00052B86" w:rsidRPr="004D46AC" w:rsidRDefault="00052B86" w:rsidP="00052B86">
      <w:pPr>
        <w:pStyle w:val="afff0"/>
        <w:spacing w:after="0"/>
        <w:ind w:firstLine="0"/>
        <w:rPr>
          <w:b/>
          <w:bCs/>
          <w:i w:val="0"/>
          <w:iCs w:val="0"/>
          <w:color w:val="auto"/>
          <w:sz w:val="22"/>
          <w:szCs w:val="22"/>
        </w:rPr>
      </w:pPr>
      <w:bookmarkStart w:id="299" w:name="_Toc219870623"/>
      <w:bookmarkStart w:id="300" w:name="_Toc168833033"/>
      <w:r w:rsidRPr="004D46AC">
        <w:rPr>
          <w:b/>
          <w:bCs/>
          <w:i w:val="0"/>
          <w:iCs w:val="0"/>
          <w:color w:val="auto"/>
          <w:sz w:val="22"/>
          <w:szCs w:val="22"/>
        </w:rPr>
        <w:lastRenderedPageBreak/>
        <w:t xml:space="preserve">Table A </w:t>
      </w:r>
      <w:r w:rsidRPr="004D46AC">
        <w:rPr>
          <w:b/>
          <w:bCs/>
          <w:i w:val="0"/>
          <w:iCs w:val="0"/>
          <w:color w:val="auto"/>
          <w:sz w:val="22"/>
          <w:szCs w:val="22"/>
        </w:rPr>
        <w:fldChar w:fldCharType="begin"/>
      </w:r>
      <w:r w:rsidRPr="004D46AC">
        <w:rPr>
          <w:b/>
          <w:bCs/>
          <w:i w:val="0"/>
          <w:iCs w:val="0"/>
          <w:color w:val="auto"/>
          <w:sz w:val="22"/>
          <w:szCs w:val="22"/>
        </w:rPr>
        <w:instrText xml:space="preserve"> SEQ Table_A \* ARABIC </w:instrText>
      </w:r>
      <w:r w:rsidRPr="004D46AC">
        <w:rPr>
          <w:b/>
          <w:bCs/>
          <w:i w:val="0"/>
          <w:iCs w:val="0"/>
          <w:color w:val="auto"/>
          <w:sz w:val="22"/>
          <w:szCs w:val="22"/>
        </w:rPr>
        <w:fldChar w:fldCharType="separate"/>
      </w:r>
      <w:r w:rsidR="004719F3" w:rsidRPr="004D46AC">
        <w:rPr>
          <w:b/>
          <w:bCs/>
          <w:i w:val="0"/>
          <w:iCs w:val="0"/>
          <w:noProof/>
          <w:color w:val="auto"/>
          <w:sz w:val="22"/>
          <w:szCs w:val="22"/>
        </w:rPr>
        <w:t>3</w:t>
      </w:r>
      <w:bookmarkEnd w:id="299"/>
      <w:r w:rsidRPr="004D46AC">
        <w:rPr>
          <w:b/>
          <w:bCs/>
          <w:i w:val="0"/>
          <w:iCs w:val="0"/>
          <w:color w:val="auto"/>
          <w:sz w:val="22"/>
          <w:szCs w:val="22"/>
        </w:rPr>
        <w:fldChar w:fldCharType="end"/>
      </w:r>
    </w:p>
    <w:p w14:paraId="45E38B2A" w14:textId="77777777" w:rsidR="007075D9" w:rsidRPr="004D46AC" w:rsidRDefault="007075D9" w:rsidP="00052B86">
      <w:pPr>
        <w:spacing w:line="240" w:lineRule="auto"/>
        <w:ind w:firstLine="0"/>
        <w:rPr>
          <w:i/>
          <w:iCs/>
        </w:rPr>
      </w:pPr>
      <w:r w:rsidRPr="004D46AC">
        <w:rPr>
          <w:i/>
          <w:iCs/>
        </w:rPr>
        <w:t>BAR (Bipolar at risk) criteria</w:t>
      </w:r>
      <w:bookmarkEnd w:id="300"/>
    </w:p>
    <w:tbl>
      <w:tblPr>
        <w:tblStyle w:val="afc"/>
        <w:tblW w:w="0" w:type="auto"/>
        <w:tblLook w:val="04A0" w:firstRow="1" w:lastRow="0" w:firstColumn="1" w:lastColumn="0" w:noHBand="0" w:noVBand="1"/>
      </w:tblPr>
      <w:tblGrid>
        <w:gridCol w:w="2130"/>
        <w:gridCol w:w="2130"/>
        <w:gridCol w:w="2131"/>
        <w:gridCol w:w="2131"/>
      </w:tblGrid>
      <w:tr w:rsidR="007075D9" w:rsidRPr="004D46AC" w14:paraId="50F26F07" w14:textId="77777777" w:rsidTr="00B518F1">
        <w:tc>
          <w:tcPr>
            <w:tcW w:w="2130" w:type="dxa"/>
          </w:tcPr>
          <w:p w14:paraId="455EAE70" w14:textId="77777777" w:rsidR="007075D9" w:rsidRPr="004D46AC" w:rsidRDefault="007075D9" w:rsidP="00052B86">
            <w:pPr>
              <w:spacing w:line="240" w:lineRule="auto"/>
              <w:ind w:firstLine="0"/>
              <w:rPr>
                <w:b/>
                <w:bCs/>
              </w:rPr>
            </w:pPr>
            <w:r w:rsidRPr="004D46AC">
              <w:rPr>
                <w:b/>
                <w:bCs/>
              </w:rPr>
              <w:t>Conditions</w:t>
            </w:r>
          </w:p>
        </w:tc>
        <w:tc>
          <w:tcPr>
            <w:tcW w:w="2130" w:type="dxa"/>
          </w:tcPr>
          <w:p w14:paraId="5C56D2E8" w14:textId="77777777" w:rsidR="007075D9" w:rsidRPr="004D46AC" w:rsidRDefault="007075D9" w:rsidP="00052B86">
            <w:pPr>
              <w:spacing w:line="240" w:lineRule="auto"/>
              <w:ind w:firstLine="0"/>
              <w:rPr>
                <w:b/>
                <w:bCs/>
              </w:rPr>
            </w:pPr>
            <w:r w:rsidRPr="004D46AC">
              <w:rPr>
                <w:rFonts w:hint="eastAsia"/>
                <w:b/>
                <w:bCs/>
              </w:rPr>
              <w:t>M</w:t>
            </w:r>
            <w:r w:rsidRPr="004D46AC">
              <w:rPr>
                <w:b/>
                <w:bCs/>
              </w:rPr>
              <w:t>ania</w:t>
            </w:r>
          </w:p>
        </w:tc>
        <w:tc>
          <w:tcPr>
            <w:tcW w:w="2131" w:type="dxa"/>
          </w:tcPr>
          <w:p w14:paraId="09E5EE6B" w14:textId="77777777" w:rsidR="007075D9" w:rsidRPr="004D46AC" w:rsidRDefault="007075D9" w:rsidP="00052B86">
            <w:pPr>
              <w:spacing w:line="240" w:lineRule="auto"/>
              <w:ind w:firstLine="0"/>
              <w:rPr>
                <w:b/>
                <w:bCs/>
              </w:rPr>
            </w:pPr>
            <w:r w:rsidRPr="004D46AC">
              <w:rPr>
                <w:rFonts w:hint="eastAsia"/>
                <w:b/>
                <w:bCs/>
              </w:rPr>
              <w:t>D</w:t>
            </w:r>
            <w:r w:rsidRPr="004D46AC">
              <w:rPr>
                <w:b/>
                <w:bCs/>
              </w:rPr>
              <w:t>epression</w:t>
            </w:r>
          </w:p>
        </w:tc>
        <w:tc>
          <w:tcPr>
            <w:tcW w:w="2131" w:type="dxa"/>
          </w:tcPr>
          <w:p w14:paraId="54F83412" w14:textId="77777777" w:rsidR="007075D9" w:rsidRPr="004D46AC" w:rsidRDefault="007075D9" w:rsidP="00052B86">
            <w:pPr>
              <w:spacing w:line="240" w:lineRule="auto"/>
              <w:ind w:firstLine="0"/>
              <w:rPr>
                <w:b/>
                <w:bCs/>
              </w:rPr>
            </w:pPr>
            <w:r w:rsidRPr="004D46AC">
              <w:rPr>
                <w:rFonts w:hint="eastAsia"/>
                <w:b/>
                <w:bCs/>
              </w:rPr>
              <w:t>C</w:t>
            </w:r>
            <w:r w:rsidRPr="004D46AC">
              <w:rPr>
                <w:b/>
                <w:bCs/>
              </w:rPr>
              <w:t xml:space="preserve">yclothymia </w:t>
            </w:r>
          </w:p>
        </w:tc>
      </w:tr>
      <w:tr w:rsidR="007075D9" w:rsidRPr="004D46AC" w14:paraId="3258F062" w14:textId="77777777" w:rsidTr="00B518F1">
        <w:tc>
          <w:tcPr>
            <w:tcW w:w="2130" w:type="dxa"/>
          </w:tcPr>
          <w:p w14:paraId="7F9A4D3C" w14:textId="77777777" w:rsidR="007075D9" w:rsidRPr="004D46AC" w:rsidRDefault="007075D9" w:rsidP="00052B86">
            <w:pPr>
              <w:spacing w:line="240" w:lineRule="auto"/>
              <w:ind w:firstLine="0"/>
            </w:pPr>
            <w:r w:rsidRPr="004D46AC">
              <w:t xml:space="preserve">Abnormal or persistent </w:t>
            </w:r>
          </w:p>
        </w:tc>
        <w:tc>
          <w:tcPr>
            <w:tcW w:w="2130" w:type="dxa"/>
          </w:tcPr>
          <w:p w14:paraId="5D91F400" w14:textId="77777777" w:rsidR="007075D9" w:rsidRPr="004D46AC" w:rsidRDefault="007075D9" w:rsidP="00052B86">
            <w:pPr>
              <w:spacing w:line="240" w:lineRule="auto"/>
              <w:ind w:firstLine="0"/>
            </w:pPr>
            <w:r w:rsidRPr="004D46AC">
              <w:t>Elevated, expansive, or irritated mood (at least two consecutive days| less than four days)</w:t>
            </w:r>
          </w:p>
        </w:tc>
        <w:tc>
          <w:tcPr>
            <w:tcW w:w="2131" w:type="dxa"/>
          </w:tcPr>
          <w:p w14:paraId="434A91EC" w14:textId="77777777" w:rsidR="007075D9" w:rsidRPr="004D46AC" w:rsidRDefault="007075D9" w:rsidP="00052B86">
            <w:pPr>
              <w:spacing w:line="240" w:lineRule="auto"/>
              <w:ind w:firstLine="0"/>
            </w:pPr>
            <w:r w:rsidRPr="004D46AC">
              <w:t>Depressed mood, loss of interest or pleasure (at least one week)</w:t>
            </w:r>
          </w:p>
        </w:tc>
        <w:tc>
          <w:tcPr>
            <w:tcW w:w="2131" w:type="dxa"/>
          </w:tcPr>
          <w:p w14:paraId="1ECCD01F" w14:textId="77777777" w:rsidR="007075D9" w:rsidRPr="004D46AC" w:rsidRDefault="007075D9" w:rsidP="00052B86">
            <w:pPr>
              <w:spacing w:line="240" w:lineRule="auto"/>
              <w:ind w:firstLine="0"/>
            </w:pPr>
            <w:r w:rsidRPr="004D46AC">
              <w:t>Numerous episodes of mania or depressive symptoms (four cumulative days in lifetime| not meeting the criteria for mania)</w:t>
            </w:r>
          </w:p>
        </w:tc>
      </w:tr>
      <w:tr w:rsidR="007075D9" w:rsidRPr="004D46AC" w14:paraId="76CC7E10" w14:textId="77777777" w:rsidTr="00B518F1">
        <w:tc>
          <w:tcPr>
            <w:tcW w:w="2130" w:type="dxa"/>
            <w:vMerge w:val="restart"/>
          </w:tcPr>
          <w:p w14:paraId="190A9F25" w14:textId="77777777" w:rsidR="007075D9" w:rsidRPr="004D46AC" w:rsidRDefault="007075D9" w:rsidP="00052B86">
            <w:pPr>
              <w:spacing w:line="240" w:lineRule="auto"/>
              <w:ind w:firstLine="0"/>
            </w:pPr>
            <w:r w:rsidRPr="004D46AC">
              <w:t>Mania: two or more symptoms, three if irritated mood.</w:t>
            </w:r>
          </w:p>
          <w:p w14:paraId="4788031E" w14:textId="77777777" w:rsidR="007075D9" w:rsidRPr="004D46AC" w:rsidRDefault="007075D9" w:rsidP="00052B86">
            <w:pPr>
              <w:spacing w:line="240" w:lineRule="auto"/>
              <w:ind w:firstLine="0"/>
            </w:pPr>
          </w:p>
          <w:p w14:paraId="47EC63F9" w14:textId="77777777" w:rsidR="007075D9" w:rsidRPr="004D46AC" w:rsidRDefault="007075D9" w:rsidP="00052B86">
            <w:pPr>
              <w:spacing w:line="240" w:lineRule="auto"/>
              <w:ind w:firstLine="0"/>
            </w:pPr>
            <w:r w:rsidRPr="004D46AC">
              <w:t>Depression: two or more symptoms</w:t>
            </w:r>
          </w:p>
        </w:tc>
        <w:tc>
          <w:tcPr>
            <w:tcW w:w="2130" w:type="dxa"/>
          </w:tcPr>
          <w:p w14:paraId="52C42BA3" w14:textId="77777777" w:rsidR="007075D9" w:rsidRPr="004D46AC" w:rsidRDefault="007075D9" w:rsidP="00052B86">
            <w:pPr>
              <w:spacing w:line="240" w:lineRule="auto"/>
              <w:ind w:firstLine="0"/>
            </w:pPr>
            <w:r w:rsidRPr="004D46AC">
              <w:t>Inflated self-esteem or grandiosity</w:t>
            </w:r>
          </w:p>
        </w:tc>
        <w:tc>
          <w:tcPr>
            <w:tcW w:w="2131" w:type="dxa"/>
          </w:tcPr>
          <w:p w14:paraId="4ACAE06F" w14:textId="77777777" w:rsidR="007075D9" w:rsidRPr="004D46AC" w:rsidRDefault="007075D9" w:rsidP="00052B86">
            <w:pPr>
              <w:spacing w:line="240" w:lineRule="auto"/>
              <w:ind w:firstLine="0"/>
            </w:pPr>
            <w:r w:rsidRPr="004D46AC">
              <w:t>Significant weight loss</w:t>
            </w:r>
          </w:p>
        </w:tc>
        <w:tc>
          <w:tcPr>
            <w:tcW w:w="2131" w:type="dxa"/>
          </w:tcPr>
          <w:p w14:paraId="6410E275" w14:textId="77777777" w:rsidR="007075D9" w:rsidRPr="004D46AC" w:rsidRDefault="007075D9" w:rsidP="00052B86">
            <w:pPr>
              <w:spacing w:line="240" w:lineRule="auto"/>
              <w:ind w:firstLine="0"/>
            </w:pPr>
          </w:p>
        </w:tc>
      </w:tr>
      <w:tr w:rsidR="007075D9" w:rsidRPr="004D46AC" w14:paraId="64480586" w14:textId="77777777" w:rsidTr="00B518F1">
        <w:tc>
          <w:tcPr>
            <w:tcW w:w="2130" w:type="dxa"/>
            <w:vMerge/>
          </w:tcPr>
          <w:p w14:paraId="1E0D2AAB" w14:textId="77777777" w:rsidR="007075D9" w:rsidRPr="004D46AC" w:rsidRDefault="007075D9" w:rsidP="00052B86">
            <w:pPr>
              <w:spacing w:line="240" w:lineRule="auto"/>
              <w:ind w:firstLine="0"/>
            </w:pPr>
          </w:p>
        </w:tc>
        <w:tc>
          <w:tcPr>
            <w:tcW w:w="2130" w:type="dxa"/>
          </w:tcPr>
          <w:p w14:paraId="7A2AA986" w14:textId="77777777" w:rsidR="007075D9" w:rsidRPr="004D46AC" w:rsidRDefault="007075D9" w:rsidP="00052B86">
            <w:pPr>
              <w:spacing w:line="240" w:lineRule="auto"/>
              <w:ind w:firstLine="0"/>
            </w:pPr>
            <w:r w:rsidRPr="004D46AC">
              <w:t>Decreased need for sleep</w:t>
            </w:r>
          </w:p>
        </w:tc>
        <w:tc>
          <w:tcPr>
            <w:tcW w:w="2131" w:type="dxa"/>
          </w:tcPr>
          <w:p w14:paraId="51B67DDA" w14:textId="77777777" w:rsidR="007075D9" w:rsidRPr="004D46AC" w:rsidRDefault="007075D9" w:rsidP="00052B86">
            <w:pPr>
              <w:spacing w:line="240" w:lineRule="auto"/>
              <w:ind w:firstLine="0"/>
            </w:pPr>
            <w:r w:rsidRPr="004D46AC">
              <w:t>Insomnia or hypersomnia nearly every day</w:t>
            </w:r>
          </w:p>
        </w:tc>
        <w:tc>
          <w:tcPr>
            <w:tcW w:w="2131" w:type="dxa"/>
          </w:tcPr>
          <w:p w14:paraId="6106FDEB" w14:textId="77777777" w:rsidR="007075D9" w:rsidRPr="004D46AC" w:rsidRDefault="007075D9" w:rsidP="00052B86">
            <w:pPr>
              <w:spacing w:line="240" w:lineRule="auto"/>
              <w:ind w:firstLine="0"/>
            </w:pPr>
          </w:p>
        </w:tc>
      </w:tr>
      <w:tr w:rsidR="007075D9" w:rsidRPr="004D46AC" w14:paraId="0AC697BE" w14:textId="77777777" w:rsidTr="00B518F1">
        <w:tc>
          <w:tcPr>
            <w:tcW w:w="2130" w:type="dxa"/>
            <w:vMerge/>
          </w:tcPr>
          <w:p w14:paraId="3A08C7C3" w14:textId="77777777" w:rsidR="007075D9" w:rsidRPr="004D46AC" w:rsidRDefault="007075D9" w:rsidP="00052B86">
            <w:pPr>
              <w:spacing w:line="240" w:lineRule="auto"/>
              <w:ind w:firstLine="0"/>
            </w:pPr>
          </w:p>
        </w:tc>
        <w:tc>
          <w:tcPr>
            <w:tcW w:w="2130" w:type="dxa"/>
          </w:tcPr>
          <w:p w14:paraId="7DE454C2" w14:textId="77777777" w:rsidR="007075D9" w:rsidRPr="004D46AC" w:rsidRDefault="007075D9" w:rsidP="00052B86">
            <w:pPr>
              <w:spacing w:line="240" w:lineRule="auto"/>
              <w:ind w:firstLine="0"/>
            </w:pPr>
            <w:r w:rsidRPr="004D46AC">
              <w:t>More talkative than usual or pressure to keep talking</w:t>
            </w:r>
          </w:p>
        </w:tc>
        <w:tc>
          <w:tcPr>
            <w:tcW w:w="2131" w:type="dxa"/>
          </w:tcPr>
          <w:p w14:paraId="3B949D46" w14:textId="77777777" w:rsidR="007075D9" w:rsidRPr="004D46AC" w:rsidRDefault="007075D9" w:rsidP="00052B86">
            <w:pPr>
              <w:spacing w:line="240" w:lineRule="auto"/>
              <w:ind w:firstLine="0"/>
            </w:pPr>
            <w:r w:rsidRPr="004D46AC">
              <w:t>Psychomotor retardation or agitation</w:t>
            </w:r>
          </w:p>
        </w:tc>
        <w:tc>
          <w:tcPr>
            <w:tcW w:w="2131" w:type="dxa"/>
          </w:tcPr>
          <w:p w14:paraId="4F625794" w14:textId="77777777" w:rsidR="007075D9" w:rsidRPr="004D46AC" w:rsidRDefault="007075D9" w:rsidP="00052B86">
            <w:pPr>
              <w:spacing w:line="240" w:lineRule="auto"/>
              <w:ind w:firstLine="0"/>
            </w:pPr>
          </w:p>
        </w:tc>
      </w:tr>
      <w:tr w:rsidR="007075D9" w:rsidRPr="004D46AC" w14:paraId="15186D12" w14:textId="77777777" w:rsidTr="00B518F1">
        <w:tc>
          <w:tcPr>
            <w:tcW w:w="2130" w:type="dxa"/>
            <w:vMerge/>
          </w:tcPr>
          <w:p w14:paraId="7FB818BB" w14:textId="77777777" w:rsidR="007075D9" w:rsidRPr="004D46AC" w:rsidRDefault="007075D9" w:rsidP="00052B86">
            <w:pPr>
              <w:spacing w:line="240" w:lineRule="auto"/>
              <w:ind w:firstLine="0"/>
            </w:pPr>
          </w:p>
        </w:tc>
        <w:tc>
          <w:tcPr>
            <w:tcW w:w="2130" w:type="dxa"/>
          </w:tcPr>
          <w:p w14:paraId="5499AD6D" w14:textId="77777777" w:rsidR="007075D9" w:rsidRPr="004D46AC" w:rsidRDefault="007075D9" w:rsidP="00052B86">
            <w:pPr>
              <w:spacing w:line="240" w:lineRule="auto"/>
              <w:ind w:firstLine="0"/>
            </w:pPr>
            <w:r w:rsidRPr="004D46AC">
              <w:t>Flight of ideas</w:t>
            </w:r>
          </w:p>
        </w:tc>
        <w:tc>
          <w:tcPr>
            <w:tcW w:w="2131" w:type="dxa"/>
          </w:tcPr>
          <w:p w14:paraId="269F133A" w14:textId="77777777" w:rsidR="007075D9" w:rsidRPr="004D46AC" w:rsidRDefault="007075D9" w:rsidP="00052B86">
            <w:pPr>
              <w:spacing w:line="240" w:lineRule="auto"/>
              <w:ind w:firstLine="0"/>
            </w:pPr>
            <w:r w:rsidRPr="004D46AC">
              <w:t>Fatigue or loss of energy</w:t>
            </w:r>
          </w:p>
        </w:tc>
        <w:tc>
          <w:tcPr>
            <w:tcW w:w="2131" w:type="dxa"/>
          </w:tcPr>
          <w:p w14:paraId="3FB16FBD" w14:textId="77777777" w:rsidR="007075D9" w:rsidRPr="004D46AC" w:rsidRDefault="007075D9" w:rsidP="00052B86">
            <w:pPr>
              <w:spacing w:line="240" w:lineRule="auto"/>
              <w:ind w:firstLine="0"/>
            </w:pPr>
          </w:p>
        </w:tc>
      </w:tr>
      <w:tr w:rsidR="007075D9" w:rsidRPr="004D46AC" w14:paraId="7967B384" w14:textId="77777777" w:rsidTr="00B518F1">
        <w:tc>
          <w:tcPr>
            <w:tcW w:w="2130" w:type="dxa"/>
            <w:vMerge/>
          </w:tcPr>
          <w:p w14:paraId="651D02FC" w14:textId="77777777" w:rsidR="007075D9" w:rsidRPr="004D46AC" w:rsidRDefault="007075D9" w:rsidP="00052B86">
            <w:pPr>
              <w:spacing w:line="240" w:lineRule="auto"/>
              <w:ind w:firstLine="0"/>
            </w:pPr>
          </w:p>
        </w:tc>
        <w:tc>
          <w:tcPr>
            <w:tcW w:w="2130" w:type="dxa"/>
          </w:tcPr>
          <w:p w14:paraId="25086746" w14:textId="77777777" w:rsidR="007075D9" w:rsidRPr="004D46AC" w:rsidRDefault="007075D9" w:rsidP="00052B86">
            <w:pPr>
              <w:spacing w:line="240" w:lineRule="auto"/>
              <w:ind w:firstLine="0"/>
            </w:pPr>
            <w:r w:rsidRPr="004D46AC">
              <w:t>Distractibility</w:t>
            </w:r>
          </w:p>
        </w:tc>
        <w:tc>
          <w:tcPr>
            <w:tcW w:w="2131" w:type="dxa"/>
          </w:tcPr>
          <w:p w14:paraId="4E6EA738" w14:textId="77777777" w:rsidR="007075D9" w:rsidRPr="004D46AC" w:rsidRDefault="007075D9" w:rsidP="00052B86">
            <w:pPr>
              <w:spacing w:line="240" w:lineRule="auto"/>
              <w:ind w:firstLine="0"/>
            </w:pPr>
            <w:r w:rsidRPr="004D46AC">
              <w:t>Feeling of worthlessness, or excessive or inappropriate guilt</w:t>
            </w:r>
          </w:p>
        </w:tc>
        <w:tc>
          <w:tcPr>
            <w:tcW w:w="2131" w:type="dxa"/>
          </w:tcPr>
          <w:p w14:paraId="0611F16E" w14:textId="77777777" w:rsidR="007075D9" w:rsidRPr="004D46AC" w:rsidRDefault="007075D9" w:rsidP="00052B86">
            <w:pPr>
              <w:spacing w:line="240" w:lineRule="auto"/>
              <w:ind w:firstLine="0"/>
            </w:pPr>
          </w:p>
        </w:tc>
      </w:tr>
      <w:tr w:rsidR="007075D9" w:rsidRPr="004D46AC" w14:paraId="50AADF07" w14:textId="77777777" w:rsidTr="00B518F1">
        <w:tc>
          <w:tcPr>
            <w:tcW w:w="2130" w:type="dxa"/>
            <w:vMerge/>
          </w:tcPr>
          <w:p w14:paraId="1A5ED5C0" w14:textId="77777777" w:rsidR="007075D9" w:rsidRPr="004D46AC" w:rsidRDefault="007075D9" w:rsidP="00052B86">
            <w:pPr>
              <w:spacing w:line="240" w:lineRule="auto"/>
              <w:ind w:firstLine="0"/>
            </w:pPr>
          </w:p>
        </w:tc>
        <w:tc>
          <w:tcPr>
            <w:tcW w:w="2130" w:type="dxa"/>
          </w:tcPr>
          <w:p w14:paraId="433AF7E6" w14:textId="77777777" w:rsidR="007075D9" w:rsidRPr="004D46AC" w:rsidRDefault="007075D9" w:rsidP="00052B86">
            <w:pPr>
              <w:spacing w:line="240" w:lineRule="auto"/>
              <w:ind w:firstLine="0"/>
            </w:pPr>
            <w:r w:rsidRPr="004D46AC">
              <w:t>Increased goal-directed activity or psychomotor agitation</w:t>
            </w:r>
          </w:p>
        </w:tc>
        <w:tc>
          <w:tcPr>
            <w:tcW w:w="2131" w:type="dxa"/>
          </w:tcPr>
          <w:p w14:paraId="48450187" w14:textId="77777777" w:rsidR="007075D9" w:rsidRPr="004D46AC" w:rsidRDefault="007075D9" w:rsidP="00052B86">
            <w:pPr>
              <w:spacing w:line="240" w:lineRule="auto"/>
              <w:ind w:firstLine="0"/>
            </w:pPr>
            <w:r w:rsidRPr="004D46AC">
              <w:t>Diminished ability to think or concentrate</w:t>
            </w:r>
          </w:p>
        </w:tc>
        <w:tc>
          <w:tcPr>
            <w:tcW w:w="2131" w:type="dxa"/>
          </w:tcPr>
          <w:p w14:paraId="1A58831E" w14:textId="77777777" w:rsidR="007075D9" w:rsidRPr="004D46AC" w:rsidRDefault="007075D9" w:rsidP="00052B86">
            <w:pPr>
              <w:spacing w:line="240" w:lineRule="auto"/>
              <w:ind w:firstLine="0"/>
            </w:pPr>
          </w:p>
        </w:tc>
      </w:tr>
      <w:tr w:rsidR="007075D9" w:rsidRPr="004D46AC" w14:paraId="720C6AD7" w14:textId="77777777" w:rsidTr="00B518F1">
        <w:tc>
          <w:tcPr>
            <w:tcW w:w="2130" w:type="dxa"/>
            <w:vMerge/>
          </w:tcPr>
          <w:p w14:paraId="463AF42C" w14:textId="77777777" w:rsidR="007075D9" w:rsidRPr="004D46AC" w:rsidRDefault="007075D9" w:rsidP="00052B86">
            <w:pPr>
              <w:spacing w:line="240" w:lineRule="auto"/>
              <w:ind w:firstLine="0"/>
            </w:pPr>
          </w:p>
        </w:tc>
        <w:tc>
          <w:tcPr>
            <w:tcW w:w="2130" w:type="dxa"/>
          </w:tcPr>
          <w:p w14:paraId="5EB613A6" w14:textId="77777777" w:rsidR="007075D9" w:rsidRPr="004D46AC" w:rsidRDefault="007075D9" w:rsidP="00052B86">
            <w:pPr>
              <w:spacing w:line="240" w:lineRule="auto"/>
              <w:ind w:firstLine="0"/>
            </w:pPr>
          </w:p>
        </w:tc>
        <w:tc>
          <w:tcPr>
            <w:tcW w:w="2131" w:type="dxa"/>
          </w:tcPr>
          <w:p w14:paraId="0A1CB514" w14:textId="77777777" w:rsidR="007075D9" w:rsidRPr="004D46AC" w:rsidRDefault="007075D9" w:rsidP="00052B86">
            <w:pPr>
              <w:spacing w:line="240" w:lineRule="auto"/>
              <w:ind w:firstLine="0"/>
            </w:pPr>
            <w:r w:rsidRPr="004D46AC">
              <w:t>Recurrent thoughts of death, recurrent suicidal ideation</w:t>
            </w:r>
          </w:p>
        </w:tc>
        <w:tc>
          <w:tcPr>
            <w:tcW w:w="2131" w:type="dxa"/>
          </w:tcPr>
          <w:p w14:paraId="0A5B77B7" w14:textId="77777777" w:rsidR="007075D9" w:rsidRPr="004D46AC" w:rsidRDefault="007075D9" w:rsidP="00052B86">
            <w:pPr>
              <w:spacing w:line="240" w:lineRule="auto"/>
              <w:ind w:firstLine="0"/>
            </w:pPr>
          </w:p>
        </w:tc>
      </w:tr>
    </w:tbl>
    <w:p w14:paraId="616B9F42" w14:textId="77777777" w:rsidR="007075D9" w:rsidRPr="004D46AC" w:rsidRDefault="007075D9" w:rsidP="00052B86">
      <w:pPr>
        <w:spacing w:line="240" w:lineRule="auto"/>
        <w:ind w:firstLine="0"/>
      </w:pPr>
      <w:r w:rsidRPr="004D46AC">
        <w:rPr>
          <w:i/>
          <w:iCs/>
        </w:rPr>
        <w:t>Note</w:t>
      </w:r>
      <w:r w:rsidRPr="004D46AC">
        <w:t xml:space="preserve">.  BAR = Bipolar </w:t>
      </w:r>
      <w:proofErr w:type="gramStart"/>
      <w:r w:rsidRPr="004D46AC">
        <w:t>At</w:t>
      </w:r>
      <w:proofErr w:type="gramEnd"/>
      <w:r w:rsidRPr="004D46AC">
        <w:t xml:space="preserve"> Risk. This table outlines the diagnostic thresholds for identifying individuals at risk of bipolar disorder across three categories: Mania, Depression, and Cyclothymia. The first row defines the necessary entry criteria, specifying the required mood state and duration (e.g., manic symptoms must last between 2 and 4 days). The subsequent rows list specific </w:t>
      </w:r>
      <w:proofErr w:type="gramStart"/>
      <w:r w:rsidRPr="004D46AC">
        <w:t>symptoms;</w:t>
      </w:r>
      <w:proofErr w:type="gramEnd"/>
      <w:r w:rsidRPr="004D46AC">
        <w:t xml:space="preserve"> the "Conditions" column specifies the cutoff for these, requiring at least two symptoms for mania (or three if the mood is only irritable) and at least two symptoms for depression. Cyclothymia is defined by the cumulative history of these sub-threshold episodes rather than a single acute event.</w:t>
      </w:r>
    </w:p>
    <w:p w14:paraId="78C98934" w14:textId="77777777" w:rsidR="007075D9" w:rsidRPr="004D46AC" w:rsidRDefault="007075D9" w:rsidP="00B518F1">
      <w:pPr>
        <w:spacing w:line="360" w:lineRule="auto"/>
      </w:pPr>
    </w:p>
    <w:p w14:paraId="66A1951C" w14:textId="77777777" w:rsidR="007075D9" w:rsidRPr="004D46AC" w:rsidRDefault="007075D9" w:rsidP="00B518F1">
      <w:pPr>
        <w:spacing w:line="360" w:lineRule="auto"/>
      </w:pPr>
    </w:p>
    <w:p w14:paraId="5FE251E0" w14:textId="77777777" w:rsidR="007075D9" w:rsidRPr="004D46AC" w:rsidRDefault="007075D9" w:rsidP="00B518F1">
      <w:pPr>
        <w:spacing w:line="360" w:lineRule="auto"/>
      </w:pPr>
    </w:p>
    <w:p w14:paraId="086BDE23" w14:textId="77777777" w:rsidR="007075D9" w:rsidRPr="004D46AC" w:rsidRDefault="007075D9" w:rsidP="00B518F1">
      <w:pPr>
        <w:spacing w:line="360" w:lineRule="auto"/>
      </w:pPr>
    </w:p>
    <w:p w14:paraId="0E62CBE9" w14:textId="77777777" w:rsidR="00CC3324" w:rsidRPr="004D46AC" w:rsidRDefault="00CC3324" w:rsidP="00CC3324"/>
    <w:p w14:paraId="14FFBE6F" w14:textId="0A35058E" w:rsidR="004719F3" w:rsidRPr="004D46AC" w:rsidRDefault="004719F3" w:rsidP="004719F3">
      <w:pPr>
        <w:pStyle w:val="afff0"/>
        <w:spacing w:after="0"/>
        <w:ind w:firstLine="0"/>
        <w:rPr>
          <w:b/>
          <w:bCs/>
          <w:i w:val="0"/>
          <w:iCs w:val="0"/>
          <w:color w:val="auto"/>
          <w:sz w:val="22"/>
          <w:szCs w:val="22"/>
        </w:rPr>
      </w:pPr>
      <w:bookmarkStart w:id="301" w:name="_Toc219870624"/>
      <w:bookmarkStart w:id="302" w:name="_Toc168833034"/>
      <w:r w:rsidRPr="004D46AC">
        <w:rPr>
          <w:b/>
          <w:bCs/>
          <w:i w:val="0"/>
          <w:iCs w:val="0"/>
          <w:color w:val="auto"/>
          <w:sz w:val="22"/>
          <w:szCs w:val="22"/>
        </w:rPr>
        <w:lastRenderedPageBreak/>
        <w:t xml:space="preserve">Table A </w:t>
      </w:r>
      <w:r w:rsidRPr="004D46AC">
        <w:rPr>
          <w:b/>
          <w:bCs/>
          <w:i w:val="0"/>
          <w:iCs w:val="0"/>
          <w:color w:val="auto"/>
          <w:sz w:val="22"/>
          <w:szCs w:val="22"/>
        </w:rPr>
        <w:fldChar w:fldCharType="begin"/>
      </w:r>
      <w:r w:rsidRPr="004D46AC">
        <w:rPr>
          <w:b/>
          <w:bCs/>
          <w:i w:val="0"/>
          <w:iCs w:val="0"/>
          <w:color w:val="auto"/>
          <w:sz w:val="22"/>
          <w:szCs w:val="22"/>
        </w:rPr>
        <w:instrText xml:space="preserve"> SEQ Table_A \* ARABIC </w:instrText>
      </w:r>
      <w:r w:rsidRPr="004D46AC">
        <w:rPr>
          <w:b/>
          <w:bCs/>
          <w:i w:val="0"/>
          <w:iCs w:val="0"/>
          <w:color w:val="auto"/>
          <w:sz w:val="22"/>
          <w:szCs w:val="22"/>
        </w:rPr>
        <w:fldChar w:fldCharType="separate"/>
      </w:r>
      <w:r w:rsidRPr="004D46AC">
        <w:rPr>
          <w:b/>
          <w:bCs/>
          <w:i w:val="0"/>
          <w:iCs w:val="0"/>
          <w:noProof/>
          <w:color w:val="auto"/>
          <w:sz w:val="22"/>
          <w:szCs w:val="22"/>
        </w:rPr>
        <w:t>4</w:t>
      </w:r>
      <w:bookmarkEnd w:id="301"/>
      <w:r w:rsidRPr="004D46AC">
        <w:rPr>
          <w:b/>
          <w:bCs/>
          <w:i w:val="0"/>
          <w:iCs w:val="0"/>
          <w:color w:val="auto"/>
          <w:sz w:val="22"/>
          <w:szCs w:val="22"/>
        </w:rPr>
        <w:fldChar w:fldCharType="end"/>
      </w:r>
    </w:p>
    <w:p w14:paraId="6943F228" w14:textId="0B018A9D" w:rsidR="007075D9" w:rsidRPr="004D46AC" w:rsidRDefault="00B34E55" w:rsidP="004719F3">
      <w:pPr>
        <w:spacing w:line="240" w:lineRule="auto"/>
        <w:ind w:firstLine="0"/>
        <w:rPr>
          <w:i/>
          <w:iCs/>
        </w:rPr>
      </w:pPr>
      <w:r w:rsidRPr="004D46AC">
        <w:rPr>
          <w:rFonts w:eastAsiaTheme="minorEastAsia" w:hint="eastAsia"/>
          <w:i/>
          <w:iCs/>
        </w:rPr>
        <w:t>CHARMS</w:t>
      </w:r>
      <w:r w:rsidR="007075D9" w:rsidRPr="004D46AC">
        <w:rPr>
          <w:i/>
          <w:iCs/>
        </w:rPr>
        <w:t xml:space="preserve"> criteria (bipolar)</w:t>
      </w:r>
      <w:bookmarkEnd w:id="302"/>
    </w:p>
    <w:tbl>
      <w:tblPr>
        <w:tblStyle w:val="afc"/>
        <w:tblW w:w="8627" w:type="dxa"/>
        <w:tblLook w:val="04A0" w:firstRow="1" w:lastRow="0" w:firstColumn="1" w:lastColumn="0" w:noHBand="0" w:noVBand="1"/>
      </w:tblPr>
      <w:tblGrid>
        <w:gridCol w:w="2875"/>
        <w:gridCol w:w="2875"/>
        <w:gridCol w:w="2877"/>
      </w:tblGrid>
      <w:tr w:rsidR="007075D9" w:rsidRPr="004D46AC" w14:paraId="30C00308" w14:textId="77777777" w:rsidTr="00B518F1">
        <w:trPr>
          <w:trHeight w:val="512"/>
        </w:trPr>
        <w:tc>
          <w:tcPr>
            <w:tcW w:w="2875" w:type="dxa"/>
          </w:tcPr>
          <w:p w14:paraId="6EADD579" w14:textId="77777777" w:rsidR="007075D9" w:rsidRPr="004D46AC" w:rsidRDefault="007075D9" w:rsidP="004719F3">
            <w:pPr>
              <w:spacing w:line="240" w:lineRule="auto"/>
              <w:ind w:firstLine="0"/>
            </w:pPr>
          </w:p>
        </w:tc>
        <w:tc>
          <w:tcPr>
            <w:tcW w:w="5752" w:type="dxa"/>
            <w:gridSpan w:val="2"/>
          </w:tcPr>
          <w:p w14:paraId="1DE38735" w14:textId="77777777" w:rsidR="007075D9" w:rsidRPr="004D46AC" w:rsidRDefault="007075D9" w:rsidP="004719F3">
            <w:pPr>
              <w:spacing w:line="240" w:lineRule="auto"/>
              <w:ind w:firstLine="0"/>
              <w:rPr>
                <w:b/>
                <w:bCs/>
              </w:rPr>
            </w:pPr>
            <w:r w:rsidRPr="004D46AC">
              <w:rPr>
                <w:b/>
                <w:bCs/>
              </w:rPr>
              <w:t>Bipolar trait vulnerability</w:t>
            </w:r>
          </w:p>
          <w:p w14:paraId="3CC6C6A9" w14:textId="77777777" w:rsidR="007075D9" w:rsidRPr="004D46AC" w:rsidRDefault="007075D9" w:rsidP="004719F3">
            <w:pPr>
              <w:spacing w:line="240" w:lineRule="auto"/>
              <w:ind w:firstLine="0"/>
              <w:rPr>
                <w:b/>
                <w:bCs/>
              </w:rPr>
            </w:pPr>
            <w:r w:rsidRPr="004D46AC">
              <w:rPr>
                <w:b/>
                <w:bCs/>
              </w:rPr>
              <w:t>(depression</w:t>
            </w:r>
            <w:r w:rsidRPr="004D46AC">
              <w:rPr>
                <w:rFonts w:hint="eastAsia"/>
                <w:b/>
                <w:bCs/>
              </w:rPr>
              <w:t xml:space="preserve"> </w:t>
            </w:r>
            <w:r w:rsidRPr="004D46AC">
              <w:rPr>
                <w:b/>
                <w:bCs/>
              </w:rPr>
              <w:t>+ cyclothymic features</w:t>
            </w:r>
            <w:r w:rsidRPr="004D46AC">
              <w:rPr>
                <w:rFonts w:hint="eastAsia"/>
                <w:b/>
                <w:bCs/>
              </w:rPr>
              <w:t xml:space="preserve"> </w:t>
            </w:r>
            <w:r w:rsidRPr="004D46AC">
              <w:rPr>
                <w:b/>
                <w:bCs/>
              </w:rPr>
              <w:t>+ genetic risk)</w:t>
            </w:r>
          </w:p>
        </w:tc>
      </w:tr>
      <w:tr w:rsidR="007075D9" w:rsidRPr="004D46AC" w14:paraId="00AFF280" w14:textId="77777777" w:rsidTr="00B518F1">
        <w:trPr>
          <w:trHeight w:val="258"/>
        </w:trPr>
        <w:tc>
          <w:tcPr>
            <w:tcW w:w="2875" w:type="dxa"/>
          </w:tcPr>
          <w:p w14:paraId="5141283E" w14:textId="77777777" w:rsidR="007075D9" w:rsidRPr="004D46AC" w:rsidRDefault="007075D9" w:rsidP="004719F3">
            <w:pPr>
              <w:spacing w:line="240" w:lineRule="auto"/>
              <w:ind w:firstLine="0"/>
              <w:rPr>
                <w:b/>
                <w:bCs/>
              </w:rPr>
            </w:pPr>
            <w:r w:rsidRPr="004D46AC">
              <w:rPr>
                <w:b/>
                <w:bCs/>
              </w:rPr>
              <w:t>AND</w:t>
            </w:r>
          </w:p>
        </w:tc>
        <w:tc>
          <w:tcPr>
            <w:tcW w:w="2875" w:type="dxa"/>
          </w:tcPr>
          <w:p w14:paraId="4BB1A04C" w14:textId="77777777" w:rsidR="007075D9" w:rsidRPr="004D46AC" w:rsidRDefault="007075D9" w:rsidP="004719F3">
            <w:pPr>
              <w:spacing w:line="240" w:lineRule="auto"/>
              <w:ind w:firstLine="0"/>
              <w:rPr>
                <w:b/>
                <w:bCs/>
              </w:rPr>
            </w:pPr>
            <w:r w:rsidRPr="004D46AC">
              <w:rPr>
                <w:b/>
                <w:bCs/>
              </w:rPr>
              <w:t xml:space="preserve">Depression </w:t>
            </w:r>
          </w:p>
        </w:tc>
        <w:tc>
          <w:tcPr>
            <w:tcW w:w="2877" w:type="dxa"/>
          </w:tcPr>
          <w:p w14:paraId="785F7246" w14:textId="77777777" w:rsidR="007075D9" w:rsidRPr="004D46AC" w:rsidRDefault="007075D9" w:rsidP="004719F3">
            <w:pPr>
              <w:spacing w:line="240" w:lineRule="auto"/>
              <w:ind w:firstLine="0"/>
              <w:rPr>
                <w:b/>
                <w:bCs/>
              </w:rPr>
            </w:pPr>
            <w:r w:rsidRPr="004D46AC">
              <w:rPr>
                <w:b/>
                <w:bCs/>
              </w:rPr>
              <w:t>Cyclothymic features</w:t>
            </w:r>
          </w:p>
        </w:tc>
      </w:tr>
      <w:tr w:rsidR="007075D9" w:rsidRPr="004D46AC" w14:paraId="2E37408C" w14:textId="77777777" w:rsidTr="00B518F1">
        <w:trPr>
          <w:trHeight w:val="258"/>
        </w:trPr>
        <w:tc>
          <w:tcPr>
            <w:tcW w:w="2875" w:type="dxa"/>
          </w:tcPr>
          <w:p w14:paraId="78F6D0C5" w14:textId="77777777" w:rsidR="007075D9" w:rsidRPr="004D46AC" w:rsidRDefault="007075D9" w:rsidP="004719F3">
            <w:pPr>
              <w:spacing w:line="240" w:lineRule="auto"/>
              <w:ind w:firstLine="0"/>
            </w:pPr>
          </w:p>
        </w:tc>
        <w:tc>
          <w:tcPr>
            <w:tcW w:w="2875" w:type="dxa"/>
          </w:tcPr>
          <w:p w14:paraId="2FB3FF38" w14:textId="77777777" w:rsidR="007075D9" w:rsidRPr="004D46AC" w:rsidRDefault="007075D9" w:rsidP="004719F3">
            <w:pPr>
              <w:spacing w:line="240" w:lineRule="auto"/>
              <w:ind w:firstLine="0"/>
            </w:pPr>
            <w:r w:rsidRPr="004D46AC">
              <w:t>Depressed mood, or loss of interest or pleasure (at least 1 week| two of the symptoms below)</w:t>
            </w:r>
          </w:p>
        </w:tc>
        <w:tc>
          <w:tcPr>
            <w:tcW w:w="2877" w:type="dxa"/>
          </w:tcPr>
          <w:p w14:paraId="2752CAB5" w14:textId="77777777" w:rsidR="007075D9" w:rsidRPr="004D46AC" w:rsidRDefault="007075D9" w:rsidP="004719F3">
            <w:pPr>
              <w:spacing w:line="240" w:lineRule="auto"/>
              <w:ind w:firstLine="0"/>
            </w:pPr>
            <w:r w:rsidRPr="004D46AC">
              <w:t>High or low mood (at least 6 cumulative months| less than 2 consecutive months without symptoms| three of the symptoms below)</w:t>
            </w:r>
          </w:p>
        </w:tc>
      </w:tr>
      <w:tr w:rsidR="007075D9" w:rsidRPr="004D46AC" w14:paraId="47908996" w14:textId="77777777" w:rsidTr="00B518F1">
        <w:trPr>
          <w:trHeight w:val="258"/>
        </w:trPr>
        <w:tc>
          <w:tcPr>
            <w:tcW w:w="2875" w:type="dxa"/>
          </w:tcPr>
          <w:p w14:paraId="18B3F694" w14:textId="77777777" w:rsidR="007075D9" w:rsidRPr="004D46AC" w:rsidRDefault="007075D9" w:rsidP="004719F3">
            <w:pPr>
              <w:spacing w:line="240" w:lineRule="auto"/>
              <w:ind w:firstLine="0"/>
            </w:pPr>
          </w:p>
        </w:tc>
        <w:tc>
          <w:tcPr>
            <w:tcW w:w="2875" w:type="dxa"/>
          </w:tcPr>
          <w:p w14:paraId="4B075CB0" w14:textId="77777777" w:rsidR="007075D9" w:rsidRPr="004D46AC" w:rsidRDefault="007075D9" w:rsidP="004719F3">
            <w:pPr>
              <w:spacing w:line="240" w:lineRule="auto"/>
              <w:ind w:firstLine="0"/>
            </w:pPr>
            <w:r w:rsidRPr="004D46AC">
              <w:t>Significant weight loss</w:t>
            </w:r>
          </w:p>
        </w:tc>
        <w:tc>
          <w:tcPr>
            <w:tcW w:w="2877" w:type="dxa"/>
          </w:tcPr>
          <w:p w14:paraId="747BAC5E" w14:textId="77777777" w:rsidR="007075D9" w:rsidRPr="004D46AC" w:rsidRDefault="007075D9" w:rsidP="004719F3">
            <w:pPr>
              <w:spacing w:line="240" w:lineRule="auto"/>
              <w:ind w:firstLine="0"/>
            </w:pPr>
            <w:r w:rsidRPr="004D46AC">
              <w:t>Decreased need for sleep</w:t>
            </w:r>
          </w:p>
        </w:tc>
      </w:tr>
      <w:tr w:rsidR="007075D9" w:rsidRPr="004D46AC" w14:paraId="1F943269" w14:textId="77777777" w:rsidTr="00B518F1">
        <w:trPr>
          <w:trHeight w:val="253"/>
        </w:trPr>
        <w:tc>
          <w:tcPr>
            <w:tcW w:w="2875" w:type="dxa"/>
          </w:tcPr>
          <w:p w14:paraId="0EFB07A7" w14:textId="77777777" w:rsidR="007075D9" w:rsidRPr="004D46AC" w:rsidRDefault="007075D9" w:rsidP="004719F3">
            <w:pPr>
              <w:spacing w:line="240" w:lineRule="auto"/>
              <w:ind w:firstLine="0"/>
            </w:pPr>
          </w:p>
        </w:tc>
        <w:tc>
          <w:tcPr>
            <w:tcW w:w="2875" w:type="dxa"/>
          </w:tcPr>
          <w:p w14:paraId="4F614212" w14:textId="77777777" w:rsidR="007075D9" w:rsidRPr="004D46AC" w:rsidRDefault="007075D9" w:rsidP="004719F3">
            <w:pPr>
              <w:spacing w:line="240" w:lineRule="auto"/>
              <w:ind w:firstLine="0"/>
            </w:pPr>
            <w:r w:rsidRPr="004D46AC">
              <w:t>Insomnia or hypersomnia nearly every day</w:t>
            </w:r>
          </w:p>
        </w:tc>
        <w:tc>
          <w:tcPr>
            <w:tcW w:w="2877" w:type="dxa"/>
          </w:tcPr>
          <w:p w14:paraId="6130936A" w14:textId="77777777" w:rsidR="007075D9" w:rsidRPr="004D46AC" w:rsidRDefault="007075D9" w:rsidP="004719F3">
            <w:pPr>
              <w:spacing w:line="240" w:lineRule="auto"/>
              <w:ind w:firstLine="0"/>
            </w:pPr>
            <w:r w:rsidRPr="004D46AC">
              <w:t>Increased energy</w:t>
            </w:r>
          </w:p>
        </w:tc>
      </w:tr>
      <w:tr w:rsidR="007075D9" w:rsidRPr="004D46AC" w14:paraId="26671287" w14:textId="77777777" w:rsidTr="00B518F1">
        <w:trPr>
          <w:trHeight w:val="258"/>
        </w:trPr>
        <w:tc>
          <w:tcPr>
            <w:tcW w:w="2875" w:type="dxa"/>
          </w:tcPr>
          <w:p w14:paraId="135EA503" w14:textId="77777777" w:rsidR="007075D9" w:rsidRPr="004D46AC" w:rsidRDefault="007075D9" w:rsidP="004719F3">
            <w:pPr>
              <w:spacing w:line="240" w:lineRule="auto"/>
              <w:ind w:firstLine="0"/>
            </w:pPr>
          </w:p>
        </w:tc>
        <w:tc>
          <w:tcPr>
            <w:tcW w:w="2875" w:type="dxa"/>
          </w:tcPr>
          <w:p w14:paraId="30ED26C7" w14:textId="77777777" w:rsidR="007075D9" w:rsidRPr="004D46AC" w:rsidRDefault="007075D9" w:rsidP="004719F3">
            <w:pPr>
              <w:spacing w:line="240" w:lineRule="auto"/>
              <w:ind w:firstLine="0"/>
            </w:pPr>
            <w:r w:rsidRPr="004D46AC">
              <w:t>Psychomotor retardation or agitation</w:t>
            </w:r>
          </w:p>
        </w:tc>
        <w:tc>
          <w:tcPr>
            <w:tcW w:w="2877" w:type="dxa"/>
          </w:tcPr>
          <w:p w14:paraId="14F56D19" w14:textId="77777777" w:rsidR="007075D9" w:rsidRPr="004D46AC" w:rsidRDefault="007075D9" w:rsidP="004719F3">
            <w:pPr>
              <w:spacing w:line="240" w:lineRule="auto"/>
              <w:ind w:firstLine="0"/>
            </w:pPr>
            <w:r w:rsidRPr="004D46AC">
              <w:t>Inflated self-esteem or grandiosity</w:t>
            </w:r>
          </w:p>
        </w:tc>
      </w:tr>
      <w:tr w:rsidR="007075D9" w:rsidRPr="004D46AC" w14:paraId="79E984C2" w14:textId="77777777" w:rsidTr="00B518F1">
        <w:trPr>
          <w:trHeight w:val="258"/>
        </w:trPr>
        <w:tc>
          <w:tcPr>
            <w:tcW w:w="2875" w:type="dxa"/>
          </w:tcPr>
          <w:p w14:paraId="5B3E9298" w14:textId="77777777" w:rsidR="007075D9" w:rsidRPr="004D46AC" w:rsidRDefault="007075D9" w:rsidP="004719F3">
            <w:pPr>
              <w:spacing w:line="240" w:lineRule="auto"/>
              <w:ind w:firstLine="0"/>
            </w:pPr>
          </w:p>
        </w:tc>
        <w:tc>
          <w:tcPr>
            <w:tcW w:w="2875" w:type="dxa"/>
          </w:tcPr>
          <w:p w14:paraId="0A8AAAFD" w14:textId="77777777" w:rsidR="007075D9" w:rsidRPr="004D46AC" w:rsidRDefault="007075D9" w:rsidP="004719F3">
            <w:pPr>
              <w:spacing w:line="240" w:lineRule="auto"/>
              <w:ind w:firstLine="0"/>
            </w:pPr>
            <w:r w:rsidRPr="004D46AC">
              <w:t>Fatigue or loss of energy</w:t>
            </w:r>
          </w:p>
        </w:tc>
        <w:tc>
          <w:tcPr>
            <w:tcW w:w="2877" w:type="dxa"/>
          </w:tcPr>
          <w:p w14:paraId="04CE5041" w14:textId="77777777" w:rsidR="007075D9" w:rsidRPr="004D46AC" w:rsidRDefault="007075D9" w:rsidP="004719F3">
            <w:pPr>
              <w:spacing w:line="240" w:lineRule="auto"/>
              <w:ind w:firstLine="0"/>
            </w:pPr>
            <w:r w:rsidRPr="004D46AC">
              <w:t>Increased goal directed activity</w:t>
            </w:r>
          </w:p>
        </w:tc>
      </w:tr>
      <w:tr w:rsidR="007075D9" w:rsidRPr="004D46AC" w14:paraId="24569673" w14:textId="77777777" w:rsidTr="00B518F1">
        <w:trPr>
          <w:trHeight w:val="258"/>
        </w:trPr>
        <w:tc>
          <w:tcPr>
            <w:tcW w:w="2875" w:type="dxa"/>
          </w:tcPr>
          <w:p w14:paraId="0E96FAB2" w14:textId="77777777" w:rsidR="007075D9" w:rsidRPr="004D46AC" w:rsidRDefault="007075D9" w:rsidP="004719F3">
            <w:pPr>
              <w:spacing w:line="240" w:lineRule="auto"/>
              <w:ind w:firstLine="0"/>
            </w:pPr>
          </w:p>
        </w:tc>
        <w:tc>
          <w:tcPr>
            <w:tcW w:w="2875" w:type="dxa"/>
          </w:tcPr>
          <w:p w14:paraId="511C27A6" w14:textId="77777777" w:rsidR="007075D9" w:rsidRPr="004D46AC" w:rsidRDefault="007075D9" w:rsidP="004719F3">
            <w:pPr>
              <w:spacing w:line="240" w:lineRule="auto"/>
              <w:ind w:firstLine="0"/>
            </w:pPr>
            <w:r w:rsidRPr="004D46AC">
              <w:t>Feeling of worthlessness, or excessive or inappropriate guilt</w:t>
            </w:r>
          </w:p>
        </w:tc>
        <w:tc>
          <w:tcPr>
            <w:tcW w:w="2877" w:type="dxa"/>
          </w:tcPr>
          <w:p w14:paraId="4029F2DB" w14:textId="77777777" w:rsidR="007075D9" w:rsidRPr="004D46AC" w:rsidRDefault="007075D9" w:rsidP="004719F3">
            <w:pPr>
              <w:spacing w:line="240" w:lineRule="auto"/>
              <w:ind w:firstLine="0"/>
            </w:pPr>
            <w:r w:rsidRPr="004D46AC">
              <w:t>Restlessness</w:t>
            </w:r>
          </w:p>
        </w:tc>
      </w:tr>
      <w:tr w:rsidR="007075D9" w:rsidRPr="004D46AC" w14:paraId="6DAC1822" w14:textId="77777777" w:rsidTr="00B518F1">
        <w:trPr>
          <w:trHeight w:val="258"/>
        </w:trPr>
        <w:tc>
          <w:tcPr>
            <w:tcW w:w="2875" w:type="dxa"/>
          </w:tcPr>
          <w:p w14:paraId="28D679EB" w14:textId="77777777" w:rsidR="007075D9" w:rsidRPr="004D46AC" w:rsidRDefault="007075D9" w:rsidP="004719F3">
            <w:pPr>
              <w:spacing w:line="240" w:lineRule="auto"/>
              <w:ind w:firstLine="0"/>
            </w:pPr>
          </w:p>
        </w:tc>
        <w:tc>
          <w:tcPr>
            <w:tcW w:w="2875" w:type="dxa"/>
          </w:tcPr>
          <w:p w14:paraId="470FF26E" w14:textId="77777777" w:rsidR="007075D9" w:rsidRPr="004D46AC" w:rsidRDefault="007075D9" w:rsidP="004719F3">
            <w:pPr>
              <w:spacing w:line="240" w:lineRule="auto"/>
              <w:ind w:firstLine="0"/>
            </w:pPr>
            <w:r w:rsidRPr="004D46AC">
              <w:t>Diminished ability to think or concentrate</w:t>
            </w:r>
          </w:p>
        </w:tc>
        <w:tc>
          <w:tcPr>
            <w:tcW w:w="2877" w:type="dxa"/>
          </w:tcPr>
          <w:p w14:paraId="49D4396E" w14:textId="77777777" w:rsidR="007075D9" w:rsidRPr="004D46AC" w:rsidRDefault="007075D9" w:rsidP="004719F3">
            <w:pPr>
              <w:spacing w:line="240" w:lineRule="auto"/>
              <w:ind w:firstLine="0"/>
            </w:pPr>
            <w:r w:rsidRPr="004D46AC">
              <w:t>More talkative than usual or pressure to keep talking</w:t>
            </w:r>
          </w:p>
        </w:tc>
      </w:tr>
      <w:tr w:rsidR="007075D9" w:rsidRPr="004D46AC" w14:paraId="761A3A9C" w14:textId="77777777" w:rsidTr="00B518F1">
        <w:trPr>
          <w:trHeight w:val="258"/>
        </w:trPr>
        <w:tc>
          <w:tcPr>
            <w:tcW w:w="2875" w:type="dxa"/>
          </w:tcPr>
          <w:p w14:paraId="7E26D51F" w14:textId="77777777" w:rsidR="007075D9" w:rsidRPr="004D46AC" w:rsidRDefault="007075D9" w:rsidP="004719F3">
            <w:pPr>
              <w:spacing w:line="240" w:lineRule="auto"/>
              <w:ind w:firstLine="0"/>
            </w:pPr>
          </w:p>
        </w:tc>
        <w:tc>
          <w:tcPr>
            <w:tcW w:w="2875" w:type="dxa"/>
          </w:tcPr>
          <w:p w14:paraId="32CB015F" w14:textId="77777777" w:rsidR="007075D9" w:rsidRPr="004D46AC" w:rsidRDefault="007075D9" w:rsidP="004719F3">
            <w:pPr>
              <w:spacing w:line="240" w:lineRule="auto"/>
              <w:ind w:firstLine="0"/>
            </w:pPr>
            <w:r w:rsidRPr="004D46AC">
              <w:t>Recurrent thoughts of death, recurrent suicidal ideation</w:t>
            </w:r>
          </w:p>
        </w:tc>
        <w:tc>
          <w:tcPr>
            <w:tcW w:w="2877" w:type="dxa"/>
          </w:tcPr>
          <w:p w14:paraId="31005DC6" w14:textId="77777777" w:rsidR="007075D9" w:rsidRPr="004D46AC" w:rsidRDefault="007075D9" w:rsidP="004719F3">
            <w:pPr>
              <w:spacing w:line="240" w:lineRule="auto"/>
              <w:ind w:firstLine="0"/>
            </w:pPr>
            <w:r w:rsidRPr="004D46AC">
              <w:t>Unusual ideas, clear thinking</w:t>
            </w:r>
          </w:p>
        </w:tc>
      </w:tr>
      <w:tr w:rsidR="007075D9" w:rsidRPr="004D46AC" w14:paraId="4BE3FC29" w14:textId="77777777" w:rsidTr="00B518F1">
        <w:trPr>
          <w:trHeight w:val="258"/>
        </w:trPr>
        <w:tc>
          <w:tcPr>
            <w:tcW w:w="2875" w:type="dxa"/>
          </w:tcPr>
          <w:p w14:paraId="67477006" w14:textId="77777777" w:rsidR="007075D9" w:rsidRPr="004D46AC" w:rsidRDefault="007075D9" w:rsidP="004719F3">
            <w:pPr>
              <w:spacing w:line="240" w:lineRule="auto"/>
              <w:ind w:firstLine="0"/>
            </w:pPr>
          </w:p>
        </w:tc>
        <w:tc>
          <w:tcPr>
            <w:tcW w:w="2875" w:type="dxa"/>
          </w:tcPr>
          <w:p w14:paraId="3AA19209" w14:textId="77777777" w:rsidR="007075D9" w:rsidRPr="004D46AC" w:rsidRDefault="007075D9" w:rsidP="004719F3">
            <w:pPr>
              <w:spacing w:line="240" w:lineRule="auto"/>
              <w:ind w:firstLine="0"/>
            </w:pPr>
          </w:p>
        </w:tc>
        <w:tc>
          <w:tcPr>
            <w:tcW w:w="2877" w:type="dxa"/>
          </w:tcPr>
          <w:p w14:paraId="636C46C6" w14:textId="77777777" w:rsidR="007075D9" w:rsidRPr="004D46AC" w:rsidRDefault="007075D9" w:rsidP="004719F3">
            <w:pPr>
              <w:spacing w:line="240" w:lineRule="auto"/>
              <w:ind w:firstLine="0"/>
            </w:pPr>
            <w:r w:rsidRPr="004D46AC">
              <w:t>Troublesome behaviour</w:t>
            </w:r>
          </w:p>
        </w:tc>
      </w:tr>
      <w:tr w:rsidR="007075D9" w:rsidRPr="004D46AC" w14:paraId="0600CEDC" w14:textId="77777777" w:rsidTr="00B518F1">
        <w:trPr>
          <w:trHeight w:val="258"/>
        </w:trPr>
        <w:tc>
          <w:tcPr>
            <w:tcW w:w="2875" w:type="dxa"/>
          </w:tcPr>
          <w:p w14:paraId="044D8FC2" w14:textId="77777777" w:rsidR="007075D9" w:rsidRPr="004D46AC" w:rsidRDefault="007075D9" w:rsidP="004719F3">
            <w:pPr>
              <w:spacing w:line="240" w:lineRule="auto"/>
              <w:ind w:firstLine="0"/>
            </w:pPr>
          </w:p>
        </w:tc>
        <w:tc>
          <w:tcPr>
            <w:tcW w:w="2875" w:type="dxa"/>
          </w:tcPr>
          <w:p w14:paraId="2E90B74E" w14:textId="77777777" w:rsidR="007075D9" w:rsidRPr="004D46AC" w:rsidRDefault="007075D9" w:rsidP="004719F3">
            <w:pPr>
              <w:spacing w:line="240" w:lineRule="auto"/>
              <w:ind w:firstLine="0"/>
            </w:pPr>
          </w:p>
        </w:tc>
        <w:tc>
          <w:tcPr>
            <w:tcW w:w="2877" w:type="dxa"/>
          </w:tcPr>
          <w:p w14:paraId="00D4FD29" w14:textId="77777777" w:rsidR="007075D9" w:rsidRPr="004D46AC" w:rsidRDefault="007075D9" w:rsidP="004719F3">
            <w:pPr>
              <w:spacing w:line="240" w:lineRule="auto"/>
              <w:ind w:firstLine="0"/>
            </w:pPr>
            <w:r w:rsidRPr="004D46AC">
              <w:t>Inappropriate sense of humour</w:t>
            </w:r>
          </w:p>
        </w:tc>
      </w:tr>
      <w:tr w:rsidR="007075D9" w:rsidRPr="004D46AC" w14:paraId="33F1AD22" w14:textId="77777777" w:rsidTr="00B518F1">
        <w:trPr>
          <w:trHeight w:val="258"/>
        </w:trPr>
        <w:tc>
          <w:tcPr>
            <w:tcW w:w="2875" w:type="dxa"/>
          </w:tcPr>
          <w:p w14:paraId="680C93E7" w14:textId="77777777" w:rsidR="007075D9" w:rsidRPr="004D46AC" w:rsidRDefault="007075D9" w:rsidP="004719F3">
            <w:pPr>
              <w:spacing w:line="240" w:lineRule="auto"/>
              <w:ind w:firstLine="0"/>
              <w:rPr>
                <w:b/>
                <w:bCs/>
              </w:rPr>
            </w:pPr>
            <w:r w:rsidRPr="004D46AC">
              <w:rPr>
                <w:b/>
                <w:bCs/>
              </w:rPr>
              <w:t>NOT</w:t>
            </w:r>
          </w:p>
        </w:tc>
        <w:tc>
          <w:tcPr>
            <w:tcW w:w="5752" w:type="dxa"/>
            <w:gridSpan w:val="2"/>
          </w:tcPr>
          <w:p w14:paraId="45930348" w14:textId="77777777" w:rsidR="007075D9" w:rsidRPr="004D46AC" w:rsidRDefault="007075D9" w:rsidP="004719F3">
            <w:pPr>
              <w:spacing w:line="240" w:lineRule="auto"/>
              <w:ind w:firstLine="0"/>
            </w:pPr>
            <w:r w:rsidRPr="004D46AC">
              <w:t xml:space="preserve">1) episode caused by direct physiological effects of a substance or condition; 2) cause a clinically significant drop in functioning. </w:t>
            </w:r>
          </w:p>
        </w:tc>
      </w:tr>
      <w:tr w:rsidR="007075D9" w:rsidRPr="004D46AC" w14:paraId="66042511" w14:textId="77777777" w:rsidTr="00B518F1">
        <w:trPr>
          <w:trHeight w:val="258"/>
        </w:trPr>
        <w:tc>
          <w:tcPr>
            <w:tcW w:w="2875" w:type="dxa"/>
          </w:tcPr>
          <w:p w14:paraId="598BD23C" w14:textId="77777777" w:rsidR="007075D9" w:rsidRPr="004D46AC" w:rsidRDefault="007075D9" w:rsidP="004719F3">
            <w:pPr>
              <w:spacing w:line="240" w:lineRule="auto"/>
              <w:ind w:firstLine="0"/>
              <w:rPr>
                <w:b/>
                <w:bCs/>
              </w:rPr>
            </w:pPr>
            <w:r w:rsidRPr="004D46AC">
              <w:rPr>
                <w:b/>
                <w:bCs/>
              </w:rPr>
              <w:t>OR</w:t>
            </w:r>
          </w:p>
        </w:tc>
        <w:tc>
          <w:tcPr>
            <w:tcW w:w="5752" w:type="dxa"/>
            <w:gridSpan w:val="2"/>
          </w:tcPr>
          <w:p w14:paraId="640D1C50" w14:textId="77777777" w:rsidR="007075D9" w:rsidRPr="004D46AC" w:rsidRDefault="007075D9" w:rsidP="004719F3">
            <w:pPr>
              <w:spacing w:line="240" w:lineRule="auto"/>
              <w:ind w:firstLine="0"/>
            </w:pPr>
            <w:r w:rsidRPr="004D46AC">
              <w:t>first degree relative with bipolar disorder</w:t>
            </w:r>
          </w:p>
        </w:tc>
      </w:tr>
    </w:tbl>
    <w:p w14:paraId="480EEE9E" w14:textId="77777777" w:rsidR="007075D9" w:rsidRPr="004D46AC" w:rsidRDefault="007075D9" w:rsidP="004719F3">
      <w:pPr>
        <w:spacing w:line="240" w:lineRule="auto"/>
        <w:ind w:firstLine="0"/>
      </w:pPr>
      <w:r w:rsidRPr="004D46AC">
        <w:rPr>
          <w:rFonts w:hint="eastAsia"/>
          <w:i/>
          <w:iCs/>
        </w:rPr>
        <w:t>Note</w:t>
      </w:r>
      <w:r w:rsidRPr="004D46AC">
        <w:rPr>
          <w:rFonts w:hint="eastAsia"/>
        </w:rPr>
        <w:t xml:space="preserve">. </w:t>
      </w:r>
      <w:r w:rsidRPr="004D46AC">
        <w:t xml:space="preserve">This table details the criteria for identifying Bipolar Trait Vulnerability, defined by a combination of depressive and cyclothymic features alongside genetic risk. The "AND" section establishes the core inclusion criteria: individuals must exhibit Depression (requiring a duration of at least one week and the presence of </w:t>
      </w:r>
      <w:r w:rsidRPr="004D46AC">
        <w:rPr>
          <w:rFonts w:hint="eastAsia"/>
        </w:rPr>
        <w:t>&gt; 1</w:t>
      </w:r>
      <w:r w:rsidRPr="004D46AC">
        <w:t xml:space="preserve"> listed symptoms) in conjunction with Cyclothymic features (requiring </w:t>
      </w:r>
      <w:r w:rsidRPr="004D46AC">
        <w:rPr>
          <w:rFonts w:hint="eastAsia"/>
        </w:rPr>
        <w:t>&gt; 5</w:t>
      </w:r>
      <w:r w:rsidRPr="004D46AC">
        <w:t xml:space="preserve"> cumulative months of mood instability and </w:t>
      </w:r>
      <w:r w:rsidRPr="004D46AC">
        <w:rPr>
          <w:rFonts w:hint="eastAsia"/>
        </w:rPr>
        <w:t>&gt; 2</w:t>
      </w:r>
      <w:r w:rsidRPr="004D46AC">
        <w:t xml:space="preserve"> listed symptoms). The "NOT" row specifies exclusion criteria, ruling out episodes induced by substances or those causing clinically significant functional impairment. The "OR" row accounts for genetic liability, indicating the relevance of having a first-degree relative with bipolar disorder.</w:t>
      </w:r>
    </w:p>
    <w:p w14:paraId="7FE4FD62" w14:textId="77777777" w:rsidR="007075D9" w:rsidRPr="004D46AC" w:rsidRDefault="007075D9" w:rsidP="004719F3">
      <w:pPr>
        <w:spacing w:line="240" w:lineRule="auto"/>
        <w:ind w:firstLine="0"/>
      </w:pPr>
    </w:p>
    <w:p w14:paraId="0ED99E94" w14:textId="77777777" w:rsidR="007075D9" w:rsidRPr="004D46AC" w:rsidRDefault="007075D9" w:rsidP="00B518F1">
      <w:pPr>
        <w:spacing w:line="360" w:lineRule="auto"/>
      </w:pPr>
    </w:p>
    <w:p w14:paraId="4DA53E8D" w14:textId="77777777" w:rsidR="007075D9" w:rsidRPr="004D46AC" w:rsidRDefault="007075D9" w:rsidP="00B518F1">
      <w:pPr>
        <w:spacing w:line="360" w:lineRule="auto"/>
      </w:pPr>
    </w:p>
    <w:p w14:paraId="575D7632" w14:textId="77777777" w:rsidR="007075D9" w:rsidRPr="004D46AC" w:rsidRDefault="007075D9" w:rsidP="00B518F1">
      <w:pPr>
        <w:spacing w:line="360" w:lineRule="auto"/>
      </w:pPr>
    </w:p>
    <w:p w14:paraId="75E7DAA8" w14:textId="77777777" w:rsidR="007075D9" w:rsidRPr="004D46AC" w:rsidRDefault="007075D9" w:rsidP="00CC3324">
      <w:pPr>
        <w:spacing w:line="360" w:lineRule="auto"/>
        <w:ind w:firstLine="0"/>
        <w:rPr>
          <w:rFonts w:eastAsiaTheme="minorEastAsia"/>
        </w:rPr>
      </w:pPr>
    </w:p>
    <w:p w14:paraId="5ABC5D0F" w14:textId="77777777" w:rsidR="007075D9" w:rsidRPr="004D46AC" w:rsidRDefault="007075D9" w:rsidP="004719F3">
      <w:pPr>
        <w:spacing w:line="240" w:lineRule="auto"/>
        <w:ind w:firstLine="0"/>
      </w:pPr>
    </w:p>
    <w:p w14:paraId="5B0530E0" w14:textId="1490A2DD" w:rsidR="004719F3" w:rsidRPr="004D46AC" w:rsidRDefault="004719F3" w:rsidP="004719F3">
      <w:pPr>
        <w:pStyle w:val="afff0"/>
        <w:spacing w:after="0"/>
        <w:ind w:firstLine="0"/>
        <w:rPr>
          <w:b/>
          <w:bCs/>
          <w:i w:val="0"/>
          <w:iCs w:val="0"/>
          <w:color w:val="auto"/>
          <w:sz w:val="22"/>
          <w:szCs w:val="22"/>
        </w:rPr>
      </w:pPr>
      <w:bookmarkStart w:id="303" w:name="_Toc219870625"/>
      <w:bookmarkStart w:id="304" w:name="_Toc168833035"/>
      <w:r w:rsidRPr="004D46AC">
        <w:rPr>
          <w:b/>
          <w:bCs/>
          <w:i w:val="0"/>
          <w:iCs w:val="0"/>
          <w:color w:val="auto"/>
          <w:sz w:val="22"/>
          <w:szCs w:val="22"/>
        </w:rPr>
        <w:lastRenderedPageBreak/>
        <w:t xml:space="preserve">Table A </w:t>
      </w:r>
      <w:r w:rsidRPr="004D46AC">
        <w:rPr>
          <w:b/>
          <w:bCs/>
          <w:i w:val="0"/>
          <w:iCs w:val="0"/>
          <w:color w:val="auto"/>
          <w:sz w:val="22"/>
          <w:szCs w:val="22"/>
        </w:rPr>
        <w:fldChar w:fldCharType="begin"/>
      </w:r>
      <w:r w:rsidRPr="004D46AC">
        <w:rPr>
          <w:b/>
          <w:bCs/>
          <w:i w:val="0"/>
          <w:iCs w:val="0"/>
          <w:color w:val="auto"/>
          <w:sz w:val="22"/>
          <w:szCs w:val="22"/>
        </w:rPr>
        <w:instrText xml:space="preserve"> SEQ Table_A \* ARABIC </w:instrText>
      </w:r>
      <w:r w:rsidRPr="004D46AC">
        <w:rPr>
          <w:b/>
          <w:bCs/>
          <w:i w:val="0"/>
          <w:iCs w:val="0"/>
          <w:color w:val="auto"/>
          <w:sz w:val="22"/>
          <w:szCs w:val="22"/>
        </w:rPr>
        <w:fldChar w:fldCharType="separate"/>
      </w:r>
      <w:r w:rsidRPr="004D46AC">
        <w:rPr>
          <w:b/>
          <w:bCs/>
          <w:i w:val="0"/>
          <w:iCs w:val="0"/>
          <w:noProof/>
          <w:color w:val="auto"/>
          <w:sz w:val="22"/>
          <w:szCs w:val="22"/>
        </w:rPr>
        <w:t>5</w:t>
      </w:r>
      <w:bookmarkEnd w:id="303"/>
      <w:r w:rsidRPr="004D46AC">
        <w:rPr>
          <w:b/>
          <w:bCs/>
          <w:i w:val="0"/>
          <w:iCs w:val="0"/>
          <w:color w:val="auto"/>
          <w:sz w:val="22"/>
          <w:szCs w:val="22"/>
        </w:rPr>
        <w:fldChar w:fldCharType="end"/>
      </w:r>
    </w:p>
    <w:p w14:paraId="61DA5FE5" w14:textId="3BCE8EA2" w:rsidR="007075D9" w:rsidRPr="004D46AC" w:rsidRDefault="00B34E55" w:rsidP="004719F3">
      <w:pPr>
        <w:spacing w:line="240" w:lineRule="auto"/>
        <w:ind w:firstLine="0"/>
        <w:rPr>
          <w:i/>
          <w:iCs/>
        </w:rPr>
      </w:pPr>
      <w:r w:rsidRPr="004D46AC">
        <w:rPr>
          <w:rFonts w:eastAsiaTheme="minorEastAsia" w:hint="eastAsia"/>
          <w:i/>
          <w:iCs/>
        </w:rPr>
        <w:t>CHARMS</w:t>
      </w:r>
      <w:r w:rsidR="007075D9" w:rsidRPr="004D46AC">
        <w:rPr>
          <w:i/>
          <w:iCs/>
        </w:rPr>
        <w:t xml:space="preserve"> criteria (attenuated symptoms)</w:t>
      </w:r>
      <w:bookmarkEnd w:id="304"/>
    </w:p>
    <w:tbl>
      <w:tblPr>
        <w:tblStyle w:val="afc"/>
        <w:tblW w:w="8482" w:type="dxa"/>
        <w:tblLook w:val="04A0" w:firstRow="1" w:lastRow="0" w:firstColumn="1" w:lastColumn="0" w:noHBand="0" w:noVBand="1"/>
      </w:tblPr>
      <w:tblGrid>
        <w:gridCol w:w="925"/>
        <w:gridCol w:w="7557"/>
      </w:tblGrid>
      <w:tr w:rsidR="007075D9" w:rsidRPr="004D46AC" w14:paraId="04244A02" w14:textId="77777777" w:rsidTr="00B518F1">
        <w:trPr>
          <w:trHeight w:val="74"/>
        </w:trPr>
        <w:tc>
          <w:tcPr>
            <w:tcW w:w="925" w:type="dxa"/>
          </w:tcPr>
          <w:p w14:paraId="119DB5AD" w14:textId="77777777" w:rsidR="007075D9" w:rsidRPr="004D46AC" w:rsidRDefault="007075D9" w:rsidP="004719F3">
            <w:pPr>
              <w:spacing w:line="240" w:lineRule="auto"/>
              <w:ind w:firstLine="0"/>
            </w:pPr>
          </w:p>
        </w:tc>
        <w:tc>
          <w:tcPr>
            <w:tcW w:w="7557" w:type="dxa"/>
          </w:tcPr>
          <w:p w14:paraId="6A4F6D62" w14:textId="77777777" w:rsidR="007075D9" w:rsidRPr="004D46AC" w:rsidRDefault="007075D9" w:rsidP="004719F3">
            <w:pPr>
              <w:spacing w:line="240" w:lineRule="auto"/>
              <w:ind w:firstLine="0"/>
              <w:rPr>
                <w:b/>
                <w:bCs/>
              </w:rPr>
            </w:pPr>
            <w:r w:rsidRPr="004D46AC">
              <w:rPr>
                <w:b/>
                <w:bCs/>
              </w:rPr>
              <w:t>Psychotic (CAARMS)</w:t>
            </w:r>
          </w:p>
        </w:tc>
      </w:tr>
      <w:tr w:rsidR="007075D9" w:rsidRPr="004D46AC" w14:paraId="22529AF2" w14:textId="77777777" w:rsidTr="00B518F1">
        <w:trPr>
          <w:trHeight w:val="383"/>
        </w:trPr>
        <w:tc>
          <w:tcPr>
            <w:tcW w:w="925" w:type="dxa"/>
          </w:tcPr>
          <w:p w14:paraId="7F37D66F" w14:textId="77777777" w:rsidR="007075D9" w:rsidRPr="004D46AC" w:rsidRDefault="007075D9" w:rsidP="004719F3">
            <w:pPr>
              <w:spacing w:line="240" w:lineRule="auto"/>
              <w:ind w:firstLine="0"/>
            </w:pPr>
          </w:p>
        </w:tc>
        <w:tc>
          <w:tcPr>
            <w:tcW w:w="7557" w:type="dxa"/>
          </w:tcPr>
          <w:p w14:paraId="1C2A6ADF" w14:textId="77777777" w:rsidR="007075D9" w:rsidRPr="004D46AC" w:rsidRDefault="007075D9" w:rsidP="004719F3">
            <w:pPr>
              <w:spacing w:line="240" w:lineRule="auto"/>
              <w:ind w:firstLine="0"/>
            </w:pPr>
            <w:r w:rsidRPr="004D46AC">
              <w:t>Unusual thought content, non-bizarre ideas (3-5, intensity)</w:t>
            </w:r>
          </w:p>
        </w:tc>
      </w:tr>
      <w:tr w:rsidR="007075D9" w:rsidRPr="004D46AC" w14:paraId="3E23D70A" w14:textId="77777777" w:rsidTr="00B518F1">
        <w:trPr>
          <w:trHeight w:val="228"/>
        </w:trPr>
        <w:tc>
          <w:tcPr>
            <w:tcW w:w="925" w:type="dxa"/>
          </w:tcPr>
          <w:p w14:paraId="560EF6A7" w14:textId="77777777" w:rsidR="007075D9" w:rsidRPr="004D46AC" w:rsidRDefault="007075D9" w:rsidP="004719F3">
            <w:pPr>
              <w:spacing w:line="240" w:lineRule="auto"/>
              <w:ind w:firstLine="0"/>
            </w:pPr>
          </w:p>
        </w:tc>
        <w:tc>
          <w:tcPr>
            <w:tcW w:w="7557" w:type="dxa"/>
          </w:tcPr>
          <w:p w14:paraId="17193C1D" w14:textId="77777777" w:rsidR="007075D9" w:rsidRPr="004D46AC" w:rsidRDefault="007075D9" w:rsidP="004719F3">
            <w:pPr>
              <w:spacing w:line="240" w:lineRule="auto"/>
              <w:ind w:firstLine="0"/>
            </w:pPr>
            <w:r w:rsidRPr="004D46AC">
              <w:t>Perceptual abnormality (3-4, intensity)</w:t>
            </w:r>
          </w:p>
        </w:tc>
      </w:tr>
      <w:tr w:rsidR="007075D9" w:rsidRPr="004D46AC" w14:paraId="113BB907" w14:textId="77777777" w:rsidTr="00B518F1">
        <w:trPr>
          <w:trHeight w:val="305"/>
        </w:trPr>
        <w:tc>
          <w:tcPr>
            <w:tcW w:w="925" w:type="dxa"/>
          </w:tcPr>
          <w:p w14:paraId="7FFD5E70" w14:textId="77777777" w:rsidR="007075D9" w:rsidRPr="004D46AC" w:rsidRDefault="007075D9" w:rsidP="004719F3">
            <w:pPr>
              <w:spacing w:line="240" w:lineRule="auto"/>
              <w:ind w:firstLine="0"/>
            </w:pPr>
          </w:p>
        </w:tc>
        <w:tc>
          <w:tcPr>
            <w:tcW w:w="7557" w:type="dxa"/>
          </w:tcPr>
          <w:p w14:paraId="361CFDA7" w14:textId="77777777" w:rsidR="007075D9" w:rsidRPr="004D46AC" w:rsidRDefault="007075D9" w:rsidP="004719F3">
            <w:pPr>
              <w:spacing w:line="240" w:lineRule="auto"/>
              <w:ind w:firstLine="0"/>
            </w:pPr>
            <w:r w:rsidRPr="004D46AC">
              <w:t>And/ or disorganised speech (4-5, intensity)</w:t>
            </w:r>
          </w:p>
        </w:tc>
      </w:tr>
      <w:tr w:rsidR="007075D9" w:rsidRPr="004D46AC" w14:paraId="3A56CE88" w14:textId="77777777" w:rsidTr="00B518F1">
        <w:trPr>
          <w:trHeight w:val="305"/>
        </w:trPr>
        <w:tc>
          <w:tcPr>
            <w:tcW w:w="925" w:type="dxa"/>
          </w:tcPr>
          <w:p w14:paraId="3B35EE5A" w14:textId="77777777" w:rsidR="007075D9" w:rsidRPr="004D46AC" w:rsidRDefault="007075D9" w:rsidP="004719F3">
            <w:pPr>
              <w:spacing w:line="240" w:lineRule="auto"/>
              <w:ind w:firstLine="0"/>
            </w:pPr>
            <w:r w:rsidRPr="004D46AC">
              <w:t>AND</w:t>
            </w:r>
          </w:p>
        </w:tc>
        <w:tc>
          <w:tcPr>
            <w:tcW w:w="7557" w:type="dxa"/>
          </w:tcPr>
          <w:p w14:paraId="1F05BE00" w14:textId="77777777" w:rsidR="007075D9" w:rsidRPr="004D46AC" w:rsidRDefault="007075D9" w:rsidP="004719F3">
            <w:pPr>
              <w:spacing w:line="240" w:lineRule="auto"/>
              <w:ind w:firstLine="0"/>
            </w:pPr>
            <w:r w:rsidRPr="004D46AC">
              <w:t>Unusual thought content, non-bizarre ideas, perceptual abnormalities, and /or disorganised speech (3-6, frequency)</w:t>
            </w:r>
          </w:p>
        </w:tc>
      </w:tr>
      <w:tr w:rsidR="007075D9" w:rsidRPr="004D46AC" w14:paraId="711833F5" w14:textId="77777777" w:rsidTr="00B518F1">
        <w:trPr>
          <w:trHeight w:val="593"/>
        </w:trPr>
        <w:tc>
          <w:tcPr>
            <w:tcW w:w="925" w:type="dxa"/>
          </w:tcPr>
          <w:p w14:paraId="2F3E0AA7" w14:textId="77777777" w:rsidR="007075D9" w:rsidRPr="004D46AC" w:rsidRDefault="007075D9" w:rsidP="004719F3">
            <w:pPr>
              <w:spacing w:line="240" w:lineRule="auto"/>
              <w:ind w:firstLine="0"/>
              <w:rPr>
                <w:b/>
                <w:bCs/>
              </w:rPr>
            </w:pPr>
            <w:r w:rsidRPr="004D46AC">
              <w:rPr>
                <w:b/>
                <w:bCs/>
              </w:rPr>
              <w:t>OR</w:t>
            </w:r>
          </w:p>
        </w:tc>
        <w:tc>
          <w:tcPr>
            <w:tcW w:w="7557" w:type="dxa"/>
          </w:tcPr>
          <w:p w14:paraId="7A2B7AF0" w14:textId="77777777" w:rsidR="007075D9" w:rsidRPr="004D46AC" w:rsidRDefault="007075D9" w:rsidP="004719F3">
            <w:pPr>
              <w:spacing w:line="240" w:lineRule="auto"/>
              <w:ind w:firstLine="0"/>
            </w:pPr>
            <w:r w:rsidRPr="004D46AC">
              <w:t>Perceptual abnormalities (5-6 intensity), unusual thought content, non-bizarre ideas, and/ or disorganised speech (6, intensity)</w:t>
            </w:r>
          </w:p>
        </w:tc>
      </w:tr>
      <w:tr w:rsidR="007075D9" w:rsidRPr="004D46AC" w14:paraId="71707A52" w14:textId="77777777" w:rsidTr="00B518F1">
        <w:trPr>
          <w:trHeight w:val="74"/>
        </w:trPr>
        <w:tc>
          <w:tcPr>
            <w:tcW w:w="925" w:type="dxa"/>
          </w:tcPr>
          <w:p w14:paraId="488E3810" w14:textId="77777777" w:rsidR="007075D9" w:rsidRPr="004D46AC" w:rsidRDefault="007075D9" w:rsidP="004719F3">
            <w:pPr>
              <w:spacing w:line="240" w:lineRule="auto"/>
              <w:ind w:firstLine="0"/>
            </w:pPr>
            <w:r w:rsidRPr="004D46AC">
              <w:t>AND</w:t>
            </w:r>
          </w:p>
        </w:tc>
        <w:tc>
          <w:tcPr>
            <w:tcW w:w="7557" w:type="dxa"/>
          </w:tcPr>
          <w:p w14:paraId="1309939C" w14:textId="77777777" w:rsidR="007075D9" w:rsidRPr="004D46AC" w:rsidRDefault="007075D9" w:rsidP="004719F3">
            <w:pPr>
              <w:spacing w:line="240" w:lineRule="auto"/>
              <w:ind w:firstLine="0"/>
            </w:pPr>
            <w:r w:rsidRPr="004D46AC">
              <w:t>Unusual thought content, non-bizarre ideas, perceptual abnormalities, and /or disorganised speech (3, frequency)</w:t>
            </w:r>
          </w:p>
        </w:tc>
      </w:tr>
      <w:tr w:rsidR="007075D9" w:rsidRPr="004D46AC" w14:paraId="11A2C0FD" w14:textId="77777777" w:rsidTr="00B518F1">
        <w:trPr>
          <w:trHeight w:val="74"/>
        </w:trPr>
        <w:tc>
          <w:tcPr>
            <w:tcW w:w="925" w:type="dxa"/>
          </w:tcPr>
          <w:p w14:paraId="031193E7" w14:textId="77777777" w:rsidR="007075D9" w:rsidRPr="004D46AC" w:rsidRDefault="007075D9" w:rsidP="004719F3">
            <w:pPr>
              <w:spacing w:line="240" w:lineRule="auto"/>
              <w:ind w:firstLine="0"/>
              <w:rPr>
                <w:b/>
                <w:bCs/>
              </w:rPr>
            </w:pPr>
            <w:r w:rsidRPr="004D46AC">
              <w:t xml:space="preserve">Time </w:t>
            </w:r>
          </w:p>
        </w:tc>
        <w:tc>
          <w:tcPr>
            <w:tcW w:w="7557" w:type="dxa"/>
          </w:tcPr>
          <w:p w14:paraId="5463BEFD" w14:textId="77777777" w:rsidR="007075D9" w:rsidRPr="004D46AC" w:rsidRDefault="007075D9" w:rsidP="004719F3">
            <w:pPr>
              <w:spacing w:line="240" w:lineRule="auto"/>
              <w:ind w:firstLine="0"/>
              <w:rPr>
                <w:b/>
                <w:bCs/>
              </w:rPr>
            </w:pPr>
            <w:r w:rsidRPr="004D46AC">
              <w:t>Symptoms presented for less than 1 week in the last year</w:t>
            </w:r>
          </w:p>
        </w:tc>
      </w:tr>
      <w:tr w:rsidR="007075D9" w:rsidRPr="004D46AC" w14:paraId="61C9810F" w14:textId="77777777" w:rsidTr="00B518F1">
        <w:trPr>
          <w:trHeight w:val="74"/>
        </w:trPr>
        <w:tc>
          <w:tcPr>
            <w:tcW w:w="925" w:type="dxa"/>
          </w:tcPr>
          <w:p w14:paraId="2BD2628F" w14:textId="77777777" w:rsidR="007075D9" w:rsidRPr="004D46AC" w:rsidRDefault="007075D9" w:rsidP="004719F3">
            <w:pPr>
              <w:spacing w:line="240" w:lineRule="auto"/>
              <w:ind w:firstLine="0"/>
            </w:pPr>
          </w:p>
        </w:tc>
        <w:tc>
          <w:tcPr>
            <w:tcW w:w="7557" w:type="dxa"/>
          </w:tcPr>
          <w:p w14:paraId="411BC7B7" w14:textId="77777777" w:rsidR="007075D9" w:rsidRPr="004D46AC" w:rsidRDefault="007075D9" w:rsidP="004719F3">
            <w:pPr>
              <w:spacing w:line="240" w:lineRule="auto"/>
              <w:ind w:firstLine="0"/>
              <w:rPr>
                <w:b/>
                <w:bCs/>
              </w:rPr>
            </w:pPr>
            <w:r w:rsidRPr="004D46AC">
              <w:rPr>
                <w:b/>
                <w:bCs/>
              </w:rPr>
              <w:t>Brief limited intermittent psychotic symptoms (CAARMS)</w:t>
            </w:r>
          </w:p>
        </w:tc>
      </w:tr>
      <w:tr w:rsidR="007075D9" w:rsidRPr="004D46AC" w14:paraId="0B8B2634" w14:textId="77777777" w:rsidTr="00B518F1">
        <w:trPr>
          <w:trHeight w:val="74"/>
        </w:trPr>
        <w:tc>
          <w:tcPr>
            <w:tcW w:w="925" w:type="dxa"/>
          </w:tcPr>
          <w:p w14:paraId="0A690487" w14:textId="77777777" w:rsidR="007075D9" w:rsidRPr="004D46AC" w:rsidRDefault="007075D9" w:rsidP="004719F3">
            <w:pPr>
              <w:spacing w:line="240" w:lineRule="auto"/>
              <w:ind w:firstLine="0"/>
            </w:pPr>
          </w:p>
        </w:tc>
        <w:tc>
          <w:tcPr>
            <w:tcW w:w="7557" w:type="dxa"/>
          </w:tcPr>
          <w:p w14:paraId="79DF6DFB" w14:textId="77777777" w:rsidR="007075D9" w:rsidRPr="004D46AC" w:rsidRDefault="007075D9" w:rsidP="004719F3">
            <w:pPr>
              <w:spacing w:line="240" w:lineRule="auto"/>
              <w:ind w:firstLine="0"/>
            </w:pPr>
            <w:r w:rsidRPr="004D46AC">
              <w:t>Perceptual abnormalities (5-6 intensity), unusual thought content, non-bizarre ideas, and/ or disorganised speech (6, intensity)</w:t>
            </w:r>
          </w:p>
        </w:tc>
      </w:tr>
      <w:tr w:rsidR="007075D9" w:rsidRPr="004D46AC" w14:paraId="6FDE61C6" w14:textId="77777777" w:rsidTr="00B518F1">
        <w:trPr>
          <w:trHeight w:val="74"/>
        </w:trPr>
        <w:tc>
          <w:tcPr>
            <w:tcW w:w="925" w:type="dxa"/>
          </w:tcPr>
          <w:p w14:paraId="744561A5" w14:textId="77777777" w:rsidR="007075D9" w:rsidRPr="004D46AC" w:rsidRDefault="007075D9" w:rsidP="004719F3">
            <w:pPr>
              <w:spacing w:line="240" w:lineRule="auto"/>
              <w:ind w:firstLine="0"/>
            </w:pPr>
            <w:r w:rsidRPr="004D46AC">
              <w:t>AND</w:t>
            </w:r>
          </w:p>
        </w:tc>
        <w:tc>
          <w:tcPr>
            <w:tcW w:w="7557" w:type="dxa"/>
          </w:tcPr>
          <w:p w14:paraId="24BFDF18" w14:textId="77777777" w:rsidR="007075D9" w:rsidRPr="004D46AC" w:rsidRDefault="007075D9" w:rsidP="004719F3">
            <w:pPr>
              <w:spacing w:line="240" w:lineRule="auto"/>
              <w:ind w:firstLine="0"/>
            </w:pPr>
            <w:r w:rsidRPr="004D46AC">
              <w:t>Unusual thought content, non-bizarre ideas, perceptual abnormalities, and /or disorganised speech (4-6, frequency)</w:t>
            </w:r>
          </w:p>
        </w:tc>
      </w:tr>
      <w:tr w:rsidR="007075D9" w:rsidRPr="004D46AC" w14:paraId="038D499C" w14:textId="77777777" w:rsidTr="00B518F1">
        <w:trPr>
          <w:trHeight w:val="74"/>
        </w:trPr>
        <w:tc>
          <w:tcPr>
            <w:tcW w:w="925" w:type="dxa"/>
          </w:tcPr>
          <w:p w14:paraId="4159E2C3" w14:textId="77777777" w:rsidR="007075D9" w:rsidRPr="004D46AC" w:rsidRDefault="007075D9" w:rsidP="004719F3">
            <w:pPr>
              <w:spacing w:line="240" w:lineRule="auto"/>
              <w:ind w:firstLine="0"/>
            </w:pPr>
            <w:r w:rsidRPr="004D46AC">
              <w:t>Time</w:t>
            </w:r>
          </w:p>
        </w:tc>
        <w:tc>
          <w:tcPr>
            <w:tcW w:w="7557" w:type="dxa"/>
          </w:tcPr>
          <w:p w14:paraId="305D3A2B" w14:textId="77777777" w:rsidR="007075D9" w:rsidRPr="004D46AC" w:rsidRDefault="007075D9" w:rsidP="004719F3">
            <w:pPr>
              <w:spacing w:line="240" w:lineRule="auto"/>
              <w:ind w:firstLine="0"/>
              <w:rPr>
                <w:b/>
                <w:bCs/>
              </w:rPr>
            </w:pPr>
            <w:r w:rsidRPr="004D46AC">
              <w:t>Symptoms presented for less than 1 week in the last year</w:t>
            </w:r>
          </w:p>
        </w:tc>
      </w:tr>
      <w:tr w:rsidR="007075D9" w:rsidRPr="004D46AC" w14:paraId="7F37392B" w14:textId="77777777" w:rsidTr="00B518F1">
        <w:trPr>
          <w:trHeight w:val="72"/>
        </w:trPr>
        <w:tc>
          <w:tcPr>
            <w:tcW w:w="925" w:type="dxa"/>
          </w:tcPr>
          <w:p w14:paraId="5E4D8BCF" w14:textId="77777777" w:rsidR="007075D9" w:rsidRPr="004D46AC" w:rsidRDefault="007075D9" w:rsidP="004719F3">
            <w:pPr>
              <w:spacing w:line="240" w:lineRule="auto"/>
              <w:ind w:firstLine="0"/>
            </w:pPr>
          </w:p>
        </w:tc>
        <w:tc>
          <w:tcPr>
            <w:tcW w:w="7557" w:type="dxa"/>
          </w:tcPr>
          <w:p w14:paraId="5FF96F7F" w14:textId="77777777" w:rsidR="007075D9" w:rsidRPr="004D46AC" w:rsidRDefault="007075D9" w:rsidP="004719F3">
            <w:pPr>
              <w:spacing w:line="240" w:lineRule="auto"/>
              <w:ind w:firstLine="0"/>
              <w:rPr>
                <w:b/>
                <w:bCs/>
              </w:rPr>
            </w:pPr>
            <w:r w:rsidRPr="004D46AC">
              <w:rPr>
                <w:b/>
                <w:bCs/>
              </w:rPr>
              <w:t xml:space="preserve">(Hypo)manic (SCID-5) </w:t>
            </w:r>
          </w:p>
        </w:tc>
      </w:tr>
      <w:tr w:rsidR="007075D9" w:rsidRPr="004D46AC" w14:paraId="0E69DF95" w14:textId="77777777" w:rsidTr="00B518F1">
        <w:trPr>
          <w:trHeight w:val="72"/>
        </w:trPr>
        <w:tc>
          <w:tcPr>
            <w:tcW w:w="925" w:type="dxa"/>
          </w:tcPr>
          <w:p w14:paraId="04992541" w14:textId="77777777" w:rsidR="007075D9" w:rsidRPr="004D46AC" w:rsidRDefault="007075D9" w:rsidP="004719F3">
            <w:pPr>
              <w:spacing w:line="240" w:lineRule="auto"/>
              <w:ind w:firstLine="0"/>
            </w:pPr>
            <w:r w:rsidRPr="004D46AC">
              <w:t>A</w:t>
            </w:r>
          </w:p>
        </w:tc>
        <w:tc>
          <w:tcPr>
            <w:tcW w:w="7557" w:type="dxa"/>
          </w:tcPr>
          <w:p w14:paraId="0236E132" w14:textId="77777777" w:rsidR="007075D9" w:rsidRPr="004D46AC" w:rsidRDefault="007075D9" w:rsidP="004719F3">
            <w:pPr>
              <w:spacing w:line="240" w:lineRule="auto"/>
              <w:ind w:firstLine="0"/>
            </w:pPr>
            <w:r w:rsidRPr="004D46AC">
              <w:t xml:space="preserve">Abnormally and persistently elevated, expansive or irritable mood </w:t>
            </w:r>
          </w:p>
        </w:tc>
      </w:tr>
      <w:tr w:rsidR="007075D9" w:rsidRPr="004D46AC" w14:paraId="2E628458" w14:textId="77777777" w:rsidTr="00B518F1">
        <w:trPr>
          <w:trHeight w:val="72"/>
        </w:trPr>
        <w:tc>
          <w:tcPr>
            <w:tcW w:w="925" w:type="dxa"/>
          </w:tcPr>
          <w:p w14:paraId="0EB31540" w14:textId="77777777" w:rsidR="007075D9" w:rsidRPr="004D46AC" w:rsidRDefault="007075D9" w:rsidP="004719F3">
            <w:pPr>
              <w:spacing w:line="240" w:lineRule="auto"/>
              <w:ind w:firstLine="0"/>
            </w:pPr>
            <w:r w:rsidRPr="004D46AC">
              <w:t>B</w:t>
            </w:r>
          </w:p>
        </w:tc>
        <w:tc>
          <w:tcPr>
            <w:tcW w:w="7557" w:type="dxa"/>
          </w:tcPr>
          <w:p w14:paraId="0742F29F" w14:textId="77777777" w:rsidR="007075D9" w:rsidRPr="004D46AC" w:rsidRDefault="007075D9" w:rsidP="004719F3">
            <w:pPr>
              <w:spacing w:line="240" w:lineRule="auto"/>
              <w:ind w:firstLine="0"/>
            </w:pPr>
            <w:r w:rsidRPr="004D46AC">
              <w:t>Inflated self-esteem or grandiosity</w:t>
            </w:r>
          </w:p>
        </w:tc>
      </w:tr>
      <w:tr w:rsidR="007075D9" w:rsidRPr="004D46AC" w14:paraId="20DBFD80" w14:textId="77777777" w:rsidTr="00B518F1">
        <w:trPr>
          <w:trHeight w:val="72"/>
        </w:trPr>
        <w:tc>
          <w:tcPr>
            <w:tcW w:w="925" w:type="dxa"/>
          </w:tcPr>
          <w:p w14:paraId="147C01DB" w14:textId="77777777" w:rsidR="007075D9" w:rsidRPr="004D46AC" w:rsidRDefault="007075D9" w:rsidP="004719F3">
            <w:pPr>
              <w:spacing w:line="240" w:lineRule="auto"/>
              <w:ind w:firstLine="0"/>
            </w:pPr>
          </w:p>
        </w:tc>
        <w:tc>
          <w:tcPr>
            <w:tcW w:w="7557" w:type="dxa"/>
          </w:tcPr>
          <w:p w14:paraId="745FF8E2" w14:textId="77777777" w:rsidR="007075D9" w:rsidRPr="004D46AC" w:rsidRDefault="007075D9" w:rsidP="004719F3">
            <w:pPr>
              <w:spacing w:line="240" w:lineRule="auto"/>
              <w:ind w:firstLine="0"/>
            </w:pPr>
            <w:r w:rsidRPr="004D46AC">
              <w:t>Decreased need for sleep</w:t>
            </w:r>
          </w:p>
        </w:tc>
      </w:tr>
      <w:tr w:rsidR="007075D9" w:rsidRPr="004D46AC" w14:paraId="2814787B" w14:textId="77777777" w:rsidTr="00B518F1">
        <w:trPr>
          <w:trHeight w:val="72"/>
        </w:trPr>
        <w:tc>
          <w:tcPr>
            <w:tcW w:w="925" w:type="dxa"/>
          </w:tcPr>
          <w:p w14:paraId="3298D3AB" w14:textId="77777777" w:rsidR="007075D9" w:rsidRPr="004D46AC" w:rsidRDefault="007075D9" w:rsidP="004719F3">
            <w:pPr>
              <w:spacing w:line="240" w:lineRule="auto"/>
              <w:ind w:firstLine="0"/>
            </w:pPr>
          </w:p>
        </w:tc>
        <w:tc>
          <w:tcPr>
            <w:tcW w:w="7557" w:type="dxa"/>
          </w:tcPr>
          <w:p w14:paraId="2BFD1B7E" w14:textId="77777777" w:rsidR="007075D9" w:rsidRPr="004D46AC" w:rsidRDefault="007075D9" w:rsidP="004719F3">
            <w:pPr>
              <w:spacing w:line="240" w:lineRule="auto"/>
              <w:ind w:firstLine="0"/>
            </w:pPr>
            <w:r w:rsidRPr="004D46AC">
              <w:t>More talkative than usual or pressure to keep talking</w:t>
            </w:r>
          </w:p>
        </w:tc>
      </w:tr>
      <w:tr w:rsidR="007075D9" w:rsidRPr="004D46AC" w14:paraId="2821C799" w14:textId="77777777" w:rsidTr="00B518F1">
        <w:trPr>
          <w:trHeight w:val="72"/>
        </w:trPr>
        <w:tc>
          <w:tcPr>
            <w:tcW w:w="925" w:type="dxa"/>
          </w:tcPr>
          <w:p w14:paraId="345EDA01" w14:textId="77777777" w:rsidR="007075D9" w:rsidRPr="004D46AC" w:rsidRDefault="007075D9" w:rsidP="004719F3">
            <w:pPr>
              <w:spacing w:line="240" w:lineRule="auto"/>
              <w:ind w:firstLine="0"/>
            </w:pPr>
          </w:p>
        </w:tc>
        <w:tc>
          <w:tcPr>
            <w:tcW w:w="7557" w:type="dxa"/>
          </w:tcPr>
          <w:p w14:paraId="35DE319B" w14:textId="77777777" w:rsidR="007075D9" w:rsidRPr="004D46AC" w:rsidRDefault="007075D9" w:rsidP="004719F3">
            <w:pPr>
              <w:spacing w:line="240" w:lineRule="auto"/>
              <w:ind w:firstLine="0"/>
            </w:pPr>
            <w:r w:rsidRPr="004D46AC">
              <w:t>Flight of ideas</w:t>
            </w:r>
          </w:p>
        </w:tc>
      </w:tr>
      <w:tr w:rsidR="007075D9" w:rsidRPr="004D46AC" w14:paraId="0C677C34" w14:textId="77777777" w:rsidTr="00B518F1">
        <w:trPr>
          <w:trHeight w:val="72"/>
        </w:trPr>
        <w:tc>
          <w:tcPr>
            <w:tcW w:w="925" w:type="dxa"/>
          </w:tcPr>
          <w:p w14:paraId="32F30C94" w14:textId="77777777" w:rsidR="007075D9" w:rsidRPr="004D46AC" w:rsidRDefault="007075D9" w:rsidP="004719F3">
            <w:pPr>
              <w:spacing w:line="240" w:lineRule="auto"/>
              <w:ind w:firstLine="0"/>
            </w:pPr>
          </w:p>
        </w:tc>
        <w:tc>
          <w:tcPr>
            <w:tcW w:w="7557" w:type="dxa"/>
          </w:tcPr>
          <w:p w14:paraId="313654FF" w14:textId="77777777" w:rsidR="007075D9" w:rsidRPr="004D46AC" w:rsidRDefault="007075D9" w:rsidP="004719F3">
            <w:pPr>
              <w:spacing w:line="240" w:lineRule="auto"/>
              <w:ind w:firstLine="0"/>
            </w:pPr>
            <w:r w:rsidRPr="004D46AC">
              <w:t>Distractibility</w:t>
            </w:r>
          </w:p>
        </w:tc>
      </w:tr>
      <w:tr w:rsidR="007075D9" w:rsidRPr="004D46AC" w14:paraId="6C2AF05C" w14:textId="77777777" w:rsidTr="00B518F1">
        <w:trPr>
          <w:trHeight w:val="72"/>
        </w:trPr>
        <w:tc>
          <w:tcPr>
            <w:tcW w:w="925" w:type="dxa"/>
          </w:tcPr>
          <w:p w14:paraId="791487E4" w14:textId="77777777" w:rsidR="007075D9" w:rsidRPr="004D46AC" w:rsidRDefault="007075D9" w:rsidP="004719F3">
            <w:pPr>
              <w:spacing w:line="240" w:lineRule="auto"/>
              <w:ind w:firstLine="0"/>
            </w:pPr>
          </w:p>
        </w:tc>
        <w:tc>
          <w:tcPr>
            <w:tcW w:w="7557" w:type="dxa"/>
          </w:tcPr>
          <w:p w14:paraId="23AE2E17" w14:textId="77777777" w:rsidR="007075D9" w:rsidRPr="004D46AC" w:rsidRDefault="007075D9" w:rsidP="004719F3">
            <w:pPr>
              <w:spacing w:line="240" w:lineRule="auto"/>
              <w:ind w:firstLine="0"/>
            </w:pPr>
            <w:r w:rsidRPr="004D46AC">
              <w:t>Increased goal directed activity/ psychomotor agitation</w:t>
            </w:r>
          </w:p>
        </w:tc>
      </w:tr>
      <w:tr w:rsidR="007075D9" w:rsidRPr="004D46AC" w14:paraId="22FEC652" w14:textId="77777777" w:rsidTr="00B518F1">
        <w:trPr>
          <w:trHeight w:val="72"/>
        </w:trPr>
        <w:tc>
          <w:tcPr>
            <w:tcW w:w="925" w:type="dxa"/>
          </w:tcPr>
          <w:p w14:paraId="4653E89E" w14:textId="77777777" w:rsidR="007075D9" w:rsidRPr="004D46AC" w:rsidRDefault="007075D9" w:rsidP="004719F3">
            <w:pPr>
              <w:spacing w:line="240" w:lineRule="auto"/>
              <w:ind w:firstLine="0"/>
            </w:pPr>
          </w:p>
        </w:tc>
        <w:tc>
          <w:tcPr>
            <w:tcW w:w="7557" w:type="dxa"/>
          </w:tcPr>
          <w:p w14:paraId="1C0FBE28" w14:textId="77777777" w:rsidR="007075D9" w:rsidRPr="004D46AC" w:rsidRDefault="007075D9" w:rsidP="004719F3">
            <w:pPr>
              <w:spacing w:line="240" w:lineRule="auto"/>
              <w:ind w:firstLine="0"/>
            </w:pPr>
            <w:r w:rsidRPr="004D46AC">
              <w:t>Excessive involvement in pleasurable activities which have a high potential for painful consequences</w:t>
            </w:r>
          </w:p>
        </w:tc>
      </w:tr>
      <w:tr w:rsidR="007075D9" w:rsidRPr="004D46AC" w14:paraId="3C7E3A5E" w14:textId="77777777" w:rsidTr="00B518F1">
        <w:trPr>
          <w:trHeight w:val="72"/>
        </w:trPr>
        <w:tc>
          <w:tcPr>
            <w:tcW w:w="925" w:type="dxa"/>
          </w:tcPr>
          <w:p w14:paraId="230AFDB3" w14:textId="77777777" w:rsidR="007075D9" w:rsidRPr="004D46AC" w:rsidRDefault="007075D9" w:rsidP="004719F3">
            <w:pPr>
              <w:spacing w:line="240" w:lineRule="auto"/>
              <w:ind w:firstLine="0"/>
            </w:pPr>
            <w:r w:rsidRPr="004D46AC">
              <w:t>Criteria</w:t>
            </w:r>
          </w:p>
        </w:tc>
        <w:tc>
          <w:tcPr>
            <w:tcW w:w="7557" w:type="dxa"/>
          </w:tcPr>
          <w:p w14:paraId="77B3818F" w14:textId="77777777" w:rsidR="007075D9" w:rsidRPr="004D46AC" w:rsidRDefault="007075D9" w:rsidP="004719F3">
            <w:pPr>
              <w:spacing w:line="240" w:lineRule="auto"/>
              <w:ind w:firstLine="0"/>
            </w:pPr>
            <w:proofErr w:type="gramStart"/>
            <w:r w:rsidRPr="004D46AC">
              <w:t>A and</w:t>
            </w:r>
            <w:proofErr w:type="gramEnd"/>
            <w:r w:rsidRPr="004D46AC">
              <w:t xml:space="preserve"> two symptoms of B (3 if irritability) for at least two days</w:t>
            </w:r>
          </w:p>
        </w:tc>
      </w:tr>
      <w:tr w:rsidR="007075D9" w:rsidRPr="004D46AC" w14:paraId="000067D6" w14:textId="77777777" w:rsidTr="00B518F1">
        <w:trPr>
          <w:trHeight w:val="72"/>
        </w:trPr>
        <w:tc>
          <w:tcPr>
            <w:tcW w:w="925" w:type="dxa"/>
          </w:tcPr>
          <w:p w14:paraId="519205E2" w14:textId="77777777" w:rsidR="007075D9" w:rsidRPr="004D46AC" w:rsidRDefault="007075D9" w:rsidP="004719F3">
            <w:pPr>
              <w:spacing w:line="240" w:lineRule="auto"/>
              <w:ind w:firstLine="0"/>
            </w:pPr>
          </w:p>
        </w:tc>
        <w:tc>
          <w:tcPr>
            <w:tcW w:w="7557" w:type="dxa"/>
          </w:tcPr>
          <w:p w14:paraId="69F891DB" w14:textId="77777777" w:rsidR="007075D9" w:rsidRPr="004D46AC" w:rsidRDefault="007075D9" w:rsidP="004719F3">
            <w:pPr>
              <w:spacing w:line="240" w:lineRule="auto"/>
              <w:ind w:firstLine="0"/>
            </w:pPr>
            <w:r w:rsidRPr="004D46AC">
              <w:rPr>
                <w:b/>
                <w:bCs/>
              </w:rPr>
              <w:t>Moderate depression (SCID-5)</w:t>
            </w:r>
          </w:p>
        </w:tc>
      </w:tr>
      <w:tr w:rsidR="007075D9" w:rsidRPr="004D46AC" w14:paraId="66B93D26" w14:textId="77777777" w:rsidTr="00B518F1">
        <w:trPr>
          <w:trHeight w:val="72"/>
        </w:trPr>
        <w:tc>
          <w:tcPr>
            <w:tcW w:w="925" w:type="dxa"/>
          </w:tcPr>
          <w:p w14:paraId="2A9C3816" w14:textId="77777777" w:rsidR="007075D9" w:rsidRPr="004D46AC" w:rsidRDefault="007075D9" w:rsidP="004719F3">
            <w:pPr>
              <w:spacing w:line="240" w:lineRule="auto"/>
              <w:ind w:firstLine="0"/>
            </w:pPr>
            <w:r w:rsidRPr="004D46AC">
              <w:t>A</w:t>
            </w:r>
          </w:p>
        </w:tc>
        <w:tc>
          <w:tcPr>
            <w:tcW w:w="7557" w:type="dxa"/>
          </w:tcPr>
          <w:p w14:paraId="46207870" w14:textId="77777777" w:rsidR="007075D9" w:rsidRPr="004D46AC" w:rsidRDefault="007075D9" w:rsidP="004719F3">
            <w:pPr>
              <w:spacing w:line="240" w:lineRule="auto"/>
              <w:ind w:firstLine="0"/>
            </w:pPr>
            <w:r w:rsidRPr="004D46AC">
              <w:t>Depressed mood, or loss of interest or pleasure (at least 1 week| two of the symptoms below)</w:t>
            </w:r>
          </w:p>
        </w:tc>
      </w:tr>
      <w:tr w:rsidR="007075D9" w:rsidRPr="004D46AC" w14:paraId="1238CF56" w14:textId="77777777" w:rsidTr="00B518F1">
        <w:trPr>
          <w:trHeight w:val="72"/>
        </w:trPr>
        <w:tc>
          <w:tcPr>
            <w:tcW w:w="925" w:type="dxa"/>
          </w:tcPr>
          <w:p w14:paraId="6B6BBA30" w14:textId="77777777" w:rsidR="007075D9" w:rsidRPr="004D46AC" w:rsidRDefault="007075D9" w:rsidP="004719F3">
            <w:pPr>
              <w:spacing w:line="240" w:lineRule="auto"/>
              <w:ind w:firstLine="0"/>
            </w:pPr>
            <w:r w:rsidRPr="004D46AC">
              <w:t>B</w:t>
            </w:r>
          </w:p>
        </w:tc>
        <w:tc>
          <w:tcPr>
            <w:tcW w:w="7557" w:type="dxa"/>
          </w:tcPr>
          <w:p w14:paraId="1ED2A60C" w14:textId="77777777" w:rsidR="007075D9" w:rsidRPr="004D46AC" w:rsidRDefault="007075D9" w:rsidP="004719F3">
            <w:pPr>
              <w:spacing w:line="240" w:lineRule="auto"/>
              <w:ind w:firstLine="0"/>
            </w:pPr>
            <w:r w:rsidRPr="004D46AC">
              <w:t>Significant weight loss</w:t>
            </w:r>
          </w:p>
        </w:tc>
      </w:tr>
      <w:tr w:rsidR="007075D9" w:rsidRPr="004D46AC" w14:paraId="0370B4D7" w14:textId="77777777" w:rsidTr="00B518F1">
        <w:trPr>
          <w:trHeight w:val="72"/>
        </w:trPr>
        <w:tc>
          <w:tcPr>
            <w:tcW w:w="925" w:type="dxa"/>
          </w:tcPr>
          <w:p w14:paraId="2876D9D4" w14:textId="77777777" w:rsidR="007075D9" w:rsidRPr="004D46AC" w:rsidRDefault="007075D9" w:rsidP="004719F3">
            <w:pPr>
              <w:spacing w:line="240" w:lineRule="auto"/>
              <w:ind w:firstLine="0"/>
            </w:pPr>
          </w:p>
        </w:tc>
        <w:tc>
          <w:tcPr>
            <w:tcW w:w="7557" w:type="dxa"/>
          </w:tcPr>
          <w:p w14:paraId="728F6DB5" w14:textId="77777777" w:rsidR="007075D9" w:rsidRPr="004D46AC" w:rsidRDefault="007075D9" w:rsidP="004719F3">
            <w:pPr>
              <w:spacing w:line="240" w:lineRule="auto"/>
              <w:ind w:firstLine="0"/>
            </w:pPr>
            <w:r w:rsidRPr="004D46AC">
              <w:t>Insomnia or hypersomnia nearly every day</w:t>
            </w:r>
          </w:p>
        </w:tc>
      </w:tr>
      <w:tr w:rsidR="007075D9" w:rsidRPr="004D46AC" w14:paraId="306A053C" w14:textId="77777777" w:rsidTr="00B518F1">
        <w:trPr>
          <w:trHeight w:val="72"/>
        </w:trPr>
        <w:tc>
          <w:tcPr>
            <w:tcW w:w="925" w:type="dxa"/>
          </w:tcPr>
          <w:p w14:paraId="15D647CB" w14:textId="77777777" w:rsidR="007075D9" w:rsidRPr="004D46AC" w:rsidRDefault="007075D9" w:rsidP="004719F3">
            <w:pPr>
              <w:spacing w:line="240" w:lineRule="auto"/>
              <w:ind w:firstLine="0"/>
            </w:pPr>
          </w:p>
        </w:tc>
        <w:tc>
          <w:tcPr>
            <w:tcW w:w="7557" w:type="dxa"/>
          </w:tcPr>
          <w:p w14:paraId="588CE640" w14:textId="77777777" w:rsidR="007075D9" w:rsidRPr="004D46AC" w:rsidRDefault="007075D9" w:rsidP="004719F3">
            <w:pPr>
              <w:spacing w:line="240" w:lineRule="auto"/>
              <w:ind w:firstLine="0"/>
            </w:pPr>
            <w:r w:rsidRPr="004D46AC">
              <w:t>Psychomotor retardation or agitation</w:t>
            </w:r>
          </w:p>
        </w:tc>
      </w:tr>
      <w:tr w:rsidR="007075D9" w:rsidRPr="004D46AC" w14:paraId="79EFDFBF" w14:textId="77777777" w:rsidTr="00B518F1">
        <w:trPr>
          <w:trHeight w:val="72"/>
        </w:trPr>
        <w:tc>
          <w:tcPr>
            <w:tcW w:w="925" w:type="dxa"/>
          </w:tcPr>
          <w:p w14:paraId="6E579C6C" w14:textId="77777777" w:rsidR="007075D9" w:rsidRPr="004D46AC" w:rsidRDefault="007075D9" w:rsidP="004719F3">
            <w:pPr>
              <w:spacing w:line="240" w:lineRule="auto"/>
              <w:ind w:firstLine="0"/>
            </w:pPr>
          </w:p>
        </w:tc>
        <w:tc>
          <w:tcPr>
            <w:tcW w:w="7557" w:type="dxa"/>
          </w:tcPr>
          <w:p w14:paraId="3218BBF8" w14:textId="77777777" w:rsidR="007075D9" w:rsidRPr="004D46AC" w:rsidRDefault="007075D9" w:rsidP="004719F3">
            <w:pPr>
              <w:spacing w:line="240" w:lineRule="auto"/>
              <w:ind w:firstLine="0"/>
            </w:pPr>
            <w:r w:rsidRPr="004D46AC">
              <w:t>Fatigue or loss of energy</w:t>
            </w:r>
          </w:p>
        </w:tc>
      </w:tr>
      <w:tr w:rsidR="007075D9" w:rsidRPr="004D46AC" w14:paraId="505A3E1A" w14:textId="77777777" w:rsidTr="00B518F1">
        <w:trPr>
          <w:trHeight w:val="72"/>
        </w:trPr>
        <w:tc>
          <w:tcPr>
            <w:tcW w:w="925" w:type="dxa"/>
          </w:tcPr>
          <w:p w14:paraId="0267AD9C" w14:textId="77777777" w:rsidR="007075D9" w:rsidRPr="004D46AC" w:rsidRDefault="007075D9" w:rsidP="004719F3">
            <w:pPr>
              <w:spacing w:line="240" w:lineRule="auto"/>
              <w:ind w:firstLine="0"/>
            </w:pPr>
          </w:p>
        </w:tc>
        <w:tc>
          <w:tcPr>
            <w:tcW w:w="7557" w:type="dxa"/>
          </w:tcPr>
          <w:p w14:paraId="5E7BD9AA" w14:textId="77777777" w:rsidR="007075D9" w:rsidRPr="004D46AC" w:rsidRDefault="007075D9" w:rsidP="004719F3">
            <w:pPr>
              <w:spacing w:line="240" w:lineRule="auto"/>
              <w:ind w:firstLine="0"/>
            </w:pPr>
            <w:r w:rsidRPr="004D46AC">
              <w:t>Feeling of worthlessness, or excessive or inappropriate guilt</w:t>
            </w:r>
          </w:p>
        </w:tc>
      </w:tr>
      <w:tr w:rsidR="007075D9" w:rsidRPr="004D46AC" w14:paraId="6AC17537" w14:textId="77777777" w:rsidTr="00B518F1">
        <w:trPr>
          <w:trHeight w:val="72"/>
        </w:trPr>
        <w:tc>
          <w:tcPr>
            <w:tcW w:w="925" w:type="dxa"/>
          </w:tcPr>
          <w:p w14:paraId="310D5924" w14:textId="77777777" w:rsidR="007075D9" w:rsidRPr="004D46AC" w:rsidRDefault="007075D9" w:rsidP="004719F3">
            <w:pPr>
              <w:spacing w:line="240" w:lineRule="auto"/>
              <w:ind w:firstLine="0"/>
            </w:pPr>
          </w:p>
        </w:tc>
        <w:tc>
          <w:tcPr>
            <w:tcW w:w="7557" w:type="dxa"/>
          </w:tcPr>
          <w:p w14:paraId="682190EB" w14:textId="77777777" w:rsidR="007075D9" w:rsidRPr="004D46AC" w:rsidRDefault="007075D9" w:rsidP="004719F3">
            <w:pPr>
              <w:spacing w:line="240" w:lineRule="auto"/>
              <w:ind w:firstLine="0"/>
            </w:pPr>
            <w:r w:rsidRPr="004D46AC">
              <w:t>Diminished ability to think or concentrate</w:t>
            </w:r>
          </w:p>
        </w:tc>
      </w:tr>
      <w:tr w:rsidR="007075D9" w:rsidRPr="004D46AC" w14:paraId="17FFF7CC" w14:textId="77777777" w:rsidTr="00B518F1">
        <w:trPr>
          <w:trHeight w:val="72"/>
        </w:trPr>
        <w:tc>
          <w:tcPr>
            <w:tcW w:w="925" w:type="dxa"/>
          </w:tcPr>
          <w:p w14:paraId="1ABAA3C3" w14:textId="77777777" w:rsidR="007075D9" w:rsidRPr="004D46AC" w:rsidRDefault="007075D9" w:rsidP="004719F3">
            <w:pPr>
              <w:spacing w:line="240" w:lineRule="auto"/>
              <w:ind w:firstLine="0"/>
            </w:pPr>
          </w:p>
        </w:tc>
        <w:tc>
          <w:tcPr>
            <w:tcW w:w="7557" w:type="dxa"/>
          </w:tcPr>
          <w:p w14:paraId="05292F15" w14:textId="77777777" w:rsidR="007075D9" w:rsidRPr="004D46AC" w:rsidRDefault="007075D9" w:rsidP="004719F3">
            <w:pPr>
              <w:spacing w:line="240" w:lineRule="auto"/>
              <w:ind w:firstLine="0"/>
            </w:pPr>
            <w:r w:rsidRPr="004D46AC">
              <w:t>Recurrent thoughts of death, recurrent suicidal ideation</w:t>
            </w:r>
          </w:p>
        </w:tc>
      </w:tr>
      <w:tr w:rsidR="007075D9" w:rsidRPr="004D46AC" w14:paraId="1F63CFC3" w14:textId="77777777" w:rsidTr="00B518F1">
        <w:trPr>
          <w:trHeight w:val="72"/>
        </w:trPr>
        <w:tc>
          <w:tcPr>
            <w:tcW w:w="925" w:type="dxa"/>
          </w:tcPr>
          <w:p w14:paraId="51D2054E" w14:textId="77777777" w:rsidR="007075D9" w:rsidRPr="004D46AC" w:rsidRDefault="007075D9" w:rsidP="004719F3">
            <w:pPr>
              <w:spacing w:line="240" w:lineRule="auto"/>
              <w:ind w:firstLine="0"/>
            </w:pPr>
            <w:r w:rsidRPr="004D46AC">
              <w:t>C</w:t>
            </w:r>
          </w:p>
        </w:tc>
        <w:tc>
          <w:tcPr>
            <w:tcW w:w="7557" w:type="dxa"/>
          </w:tcPr>
          <w:p w14:paraId="01226405" w14:textId="77777777" w:rsidR="007075D9" w:rsidRPr="004D46AC" w:rsidRDefault="007075D9" w:rsidP="004719F3">
            <w:pPr>
              <w:spacing w:line="240" w:lineRule="auto"/>
              <w:ind w:firstLine="0"/>
            </w:pPr>
            <w:r w:rsidRPr="004D46AC">
              <w:t>The MDE is not due to direct physiological effects of a substance, or causes clinically significant drop in functioning, and not be better accounted for by bereavement.</w:t>
            </w:r>
          </w:p>
        </w:tc>
      </w:tr>
      <w:tr w:rsidR="007075D9" w:rsidRPr="004D46AC" w14:paraId="240C5B17" w14:textId="77777777" w:rsidTr="00B518F1">
        <w:trPr>
          <w:trHeight w:val="72"/>
        </w:trPr>
        <w:tc>
          <w:tcPr>
            <w:tcW w:w="925" w:type="dxa"/>
          </w:tcPr>
          <w:p w14:paraId="53262B4E" w14:textId="77777777" w:rsidR="007075D9" w:rsidRPr="004D46AC" w:rsidRDefault="007075D9" w:rsidP="004719F3">
            <w:pPr>
              <w:spacing w:line="240" w:lineRule="auto"/>
              <w:ind w:firstLine="0"/>
            </w:pPr>
            <w:r w:rsidRPr="004D46AC">
              <w:t>Criteria</w:t>
            </w:r>
          </w:p>
        </w:tc>
        <w:tc>
          <w:tcPr>
            <w:tcW w:w="7557" w:type="dxa"/>
          </w:tcPr>
          <w:p w14:paraId="7A582EE7" w14:textId="77777777" w:rsidR="007075D9" w:rsidRPr="004D46AC" w:rsidRDefault="007075D9" w:rsidP="004719F3">
            <w:pPr>
              <w:spacing w:line="240" w:lineRule="auto"/>
              <w:ind w:firstLine="0"/>
            </w:pPr>
            <w:r w:rsidRPr="004D46AC">
              <w:t>A+B (at least 5 symptoms) +C, at least two weeks</w:t>
            </w:r>
          </w:p>
        </w:tc>
      </w:tr>
      <w:tr w:rsidR="007075D9" w:rsidRPr="004D46AC" w14:paraId="28693B11" w14:textId="77777777" w:rsidTr="00B518F1">
        <w:trPr>
          <w:trHeight w:val="72"/>
        </w:trPr>
        <w:tc>
          <w:tcPr>
            <w:tcW w:w="925" w:type="dxa"/>
          </w:tcPr>
          <w:p w14:paraId="090F4EE9" w14:textId="77777777" w:rsidR="007075D9" w:rsidRPr="004D46AC" w:rsidRDefault="007075D9" w:rsidP="004719F3">
            <w:pPr>
              <w:spacing w:line="240" w:lineRule="auto"/>
              <w:ind w:firstLine="0"/>
            </w:pPr>
          </w:p>
        </w:tc>
        <w:tc>
          <w:tcPr>
            <w:tcW w:w="7557" w:type="dxa"/>
          </w:tcPr>
          <w:p w14:paraId="2B52F40C" w14:textId="77777777" w:rsidR="007075D9" w:rsidRPr="004D46AC" w:rsidRDefault="007075D9" w:rsidP="004719F3">
            <w:pPr>
              <w:spacing w:line="240" w:lineRule="auto"/>
              <w:ind w:firstLine="0"/>
              <w:rPr>
                <w:b/>
                <w:bCs/>
              </w:rPr>
            </w:pPr>
            <w:r w:rsidRPr="004D46AC">
              <w:rPr>
                <w:b/>
                <w:bCs/>
              </w:rPr>
              <w:t>Borderline personality (SCID-5-PD)</w:t>
            </w:r>
          </w:p>
        </w:tc>
      </w:tr>
      <w:tr w:rsidR="007075D9" w:rsidRPr="004D46AC" w14:paraId="54053DA3" w14:textId="77777777" w:rsidTr="00B518F1">
        <w:trPr>
          <w:trHeight w:val="72"/>
        </w:trPr>
        <w:tc>
          <w:tcPr>
            <w:tcW w:w="925" w:type="dxa"/>
          </w:tcPr>
          <w:p w14:paraId="680BB252" w14:textId="77777777" w:rsidR="007075D9" w:rsidRPr="004D46AC" w:rsidRDefault="007075D9" w:rsidP="004719F3">
            <w:pPr>
              <w:spacing w:line="240" w:lineRule="auto"/>
              <w:ind w:firstLine="0"/>
            </w:pPr>
            <w:r w:rsidRPr="004D46AC">
              <w:t>List</w:t>
            </w:r>
          </w:p>
        </w:tc>
        <w:tc>
          <w:tcPr>
            <w:tcW w:w="7557" w:type="dxa"/>
          </w:tcPr>
          <w:p w14:paraId="23C4E801" w14:textId="77777777" w:rsidR="007075D9" w:rsidRPr="004D46AC" w:rsidRDefault="007075D9" w:rsidP="004719F3">
            <w:pPr>
              <w:spacing w:line="240" w:lineRule="auto"/>
              <w:ind w:firstLine="0"/>
            </w:pPr>
            <w:r w:rsidRPr="004D46AC">
              <w:t>Frantic efforts to avoid real or imagined abandonment</w:t>
            </w:r>
          </w:p>
        </w:tc>
      </w:tr>
      <w:tr w:rsidR="007075D9" w:rsidRPr="004D46AC" w14:paraId="3C841807" w14:textId="77777777" w:rsidTr="00B518F1">
        <w:trPr>
          <w:trHeight w:val="72"/>
        </w:trPr>
        <w:tc>
          <w:tcPr>
            <w:tcW w:w="925" w:type="dxa"/>
          </w:tcPr>
          <w:p w14:paraId="681A76CC" w14:textId="77777777" w:rsidR="007075D9" w:rsidRPr="004D46AC" w:rsidRDefault="007075D9" w:rsidP="004719F3">
            <w:pPr>
              <w:spacing w:line="240" w:lineRule="auto"/>
              <w:ind w:firstLine="0"/>
            </w:pPr>
          </w:p>
        </w:tc>
        <w:tc>
          <w:tcPr>
            <w:tcW w:w="7557" w:type="dxa"/>
          </w:tcPr>
          <w:p w14:paraId="5A4C4F1E" w14:textId="77777777" w:rsidR="007075D9" w:rsidRPr="004D46AC" w:rsidRDefault="007075D9" w:rsidP="004719F3">
            <w:pPr>
              <w:spacing w:line="240" w:lineRule="auto"/>
              <w:ind w:firstLine="0"/>
            </w:pPr>
            <w:r w:rsidRPr="004D46AC">
              <w:t>A pattern of unstable and intense interpersonal relationships characterised by alternating between extremes of idealisation and devaluation</w:t>
            </w:r>
          </w:p>
        </w:tc>
      </w:tr>
      <w:tr w:rsidR="007075D9" w:rsidRPr="004D46AC" w14:paraId="53977F8B" w14:textId="77777777" w:rsidTr="00B518F1">
        <w:trPr>
          <w:trHeight w:val="72"/>
        </w:trPr>
        <w:tc>
          <w:tcPr>
            <w:tcW w:w="925" w:type="dxa"/>
          </w:tcPr>
          <w:p w14:paraId="329A8E20" w14:textId="77777777" w:rsidR="007075D9" w:rsidRPr="004D46AC" w:rsidRDefault="007075D9" w:rsidP="004719F3">
            <w:pPr>
              <w:spacing w:line="240" w:lineRule="auto"/>
              <w:ind w:firstLine="0"/>
            </w:pPr>
          </w:p>
        </w:tc>
        <w:tc>
          <w:tcPr>
            <w:tcW w:w="7557" w:type="dxa"/>
          </w:tcPr>
          <w:p w14:paraId="6E4B2356" w14:textId="77777777" w:rsidR="007075D9" w:rsidRPr="004D46AC" w:rsidRDefault="007075D9" w:rsidP="004719F3">
            <w:pPr>
              <w:spacing w:line="240" w:lineRule="auto"/>
              <w:ind w:firstLine="0"/>
            </w:pPr>
            <w:r w:rsidRPr="004D46AC">
              <w:t>Identity disturbance: markedly and persistently unstable self-image or sense of self.</w:t>
            </w:r>
          </w:p>
        </w:tc>
      </w:tr>
      <w:tr w:rsidR="007075D9" w:rsidRPr="004D46AC" w14:paraId="6CBDD72E" w14:textId="77777777" w:rsidTr="00B518F1">
        <w:trPr>
          <w:trHeight w:val="72"/>
        </w:trPr>
        <w:tc>
          <w:tcPr>
            <w:tcW w:w="925" w:type="dxa"/>
          </w:tcPr>
          <w:p w14:paraId="7604E783" w14:textId="77777777" w:rsidR="007075D9" w:rsidRPr="004D46AC" w:rsidRDefault="007075D9" w:rsidP="004719F3">
            <w:pPr>
              <w:spacing w:line="240" w:lineRule="auto"/>
              <w:ind w:firstLine="0"/>
            </w:pPr>
          </w:p>
        </w:tc>
        <w:tc>
          <w:tcPr>
            <w:tcW w:w="7557" w:type="dxa"/>
          </w:tcPr>
          <w:p w14:paraId="35327BA2" w14:textId="77777777" w:rsidR="007075D9" w:rsidRPr="004D46AC" w:rsidRDefault="007075D9" w:rsidP="004719F3">
            <w:pPr>
              <w:spacing w:line="240" w:lineRule="auto"/>
              <w:ind w:firstLine="0"/>
            </w:pPr>
            <w:r w:rsidRPr="004D46AC">
              <w:t>Impulsivity in at least 2 areas that are potentially self-damaging (e.g., spending, sex, substance abuse, reckless driving and binge eating). This does not include suicidal or self-harming behaviour.</w:t>
            </w:r>
          </w:p>
        </w:tc>
      </w:tr>
      <w:tr w:rsidR="007075D9" w:rsidRPr="004D46AC" w14:paraId="04DCA614" w14:textId="77777777" w:rsidTr="00B518F1">
        <w:trPr>
          <w:trHeight w:val="72"/>
        </w:trPr>
        <w:tc>
          <w:tcPr>
            <w:tcW w:w="925" w:type="dxa"/>
          </w:tcPr>
          <w:p w14:paraId="49F4FE0A" w14:textId="77777777" w:rsidR="007075D9" w:rsidRPr="004D46AC" w:rsidRDefault="007075D9" w:rsidP="004719F3">
            <w:pPr>
              <w:spacing w:line="240" w:lineRule="auto"/>
              <w:ind w:firstLine="0"/>
            </w:pPr>
          </w:p>
        </w:tc>
        <w:tc>
          <w:tcPr>
            <w:tcW w:w="7557" w:type="dxa"/>
          </w:tcPr>
          <w:p w14:paraId="56C2A910" w14:textId="77777777" w:rsidR="007075D9" w:rsidRPr="004D46AC" w:rsidRDefault="007075D9" w:rsidP="004719F3">
            <w:pPr>
              <w:spacing w:line="240" w:lineRule="auto"/>
              <w:ind w:firstLine="0"/>
            </w:pPr>
            <w:r w:rsidRPr="004D46AC">
              <w:t>Recurrent suicidal behaviour, gestures, or threats, or self-mutilating behaviour</w:t>
            </w:r>
          </w:p>
        </w:tc>
      </w:tr>
      <w:tr w:rsidR="007075D9" w:rsidRPr="004D46AC" w14:paraId="176DDEB8" w14:textId="77777777" w:rsidTr="00B518F1">
        <w:trPr>
          <w:trHeight w:val="72"/>
        </w:trPr>
        <w:tc>
          <w:tcPr>
            <w:tcW w:w="925" w:type="dxa"/>
          </w:tcPr>
          <w:p w14:paraId="1FDC09E3" w14:textId="77777777" w:rsidR="007075D9" w:rsidRPr="004D46AC" w:rsidRDefault="007075D9" w:rsidP="004719F3">
            <w:pPr>
              <w:spacing w:line="240" w:lineRule="auto"/>
              <w:ind w:firstLine="0"/>
            </w:pPr>
          </w:p>
        </w:tc>
        <w:tc>
          <w:tcPr>
            <w:tcW w:w="7557" w:type="dxa"/>
          </w:tcPr>
          <w:p w14:paraId="5773FAEB" w14:textId="77777777" w:rsidR="007075D9" w:rsidRPr="004D46AC" w:rsidRDefault="007075D9" w:rsidP="004719F3">
            <w:pPr>
              <w:spacing w:line="240" w:lineRule="auto"/>
              <w:ind w:firstLine="0"/>
            </w:pPr>
            <w:r w:rsidRPr="004D46AC">
              <w:t>Affective instability due to a marked reactivity of mood-intense feelings that can last from a few hours to a few days</w:t>
            </w:r>
          </w:p>
        </w:tc>
      </w:tr>
      <w:tr w:rsidR="007075D9" w:rsidRPr="004D46AC" w14:paraId="2C740F91" w14:textId="77777777" w:rsidTr="00B518F1">
        <w:trPr>
          <w:trHeight w:val="72"/>
        </w:trPr>
        <w:tc>
          <w:tcPr>
            <w:tcW w:w="925" w:type="dxa"/>
          </w:tcPr>
          <w:p w14:paraId="6D05E80C" w14:textId="77777777" w:rsidR="007075D9" w:rsidRPr="004D46AC" w:rsidRDefault="007075D9" w:rsidP="004719F3">
            <w:pPr>
              <w:spacing w:line="240" w:lineRule="auto"/>
              <w:ind w:firstLine="0"/>
            </w:pPr>
          </w:p>
        </w:tc>
        <w:tc>
          <w:tcPr>
            <w:tcW w:w="7557" w:type="dxa"/>
          </w:tcPr>
          <w:p w14:paraId="16A3FED6" w14:textId="77777777" w:rsidR="007075D9" w:rsidRPr="004D46AC" w:rsidRDefault="007075D9" w:rsidP="004719F3">
            <w:pPr>
              <w:spacing w:line="240" w:lineRule="auto"/>
              <w:ind w:firstLine="0"/>
            </w:pPr>
            <w:r w:rsidRPr="004D46AC">
              <w:t xml:space="preserve">Chronic feelings of emptiness </w:t>
            </w:r>
          </w:p>
        </w:tc>
      </w:tr>
      <w:tr w:rsidR="007075D9" w:rsidRPr="004D46AC" w14:paraId="7BA75F87" w14:textId="77777777" w:rsidTr="00B518F1">
        <w:trPr>
          <w:trHeight w:val="72"/>
        </w:trPr>
        <w:tc>
          <w:tcPr>
            <w:tcW w:w="925" w:type="dxa"/>
          </w:tcPr>
          <w:p w14:paraId="7B85ED83" w14:textId="77777777" w:rsidR="007075D9" w:rsidRPr="004D46AC" w:rsidRDefault="007075D9" w:rsidP="004719F3">
            <w:pPr>
              <w:spacing w:line="240" w:lineRule="auto"/>
              <w:ind w:firstLine="0"/>
            </w:pPr>
          </w:p>
        </w:tc>
        <w:tc>
          <w:tcPr>
            <w:tcW w:w="7557" w:type="dxa"/>
          </w:tcPr>
          <w:p w14:paraId="5BF5B180" w14:textId="77777777" w:rsidR="007075D9" w:rsidRPr="004D46AC" w:rsidRDefault="007075D9" w:rsidP="004719F3">
            <w:pPr>
              <w:spacing w:line="240" w:lineRule="auto"/>
              <w:ind w:firstLine="0"/>
            </w:pPr>
            <w:r w:rsidRPr="004D46AC">
              <w:t xml:space="preserve">Inappropriate intense anger or difficult controlling anger </w:t>
            </w:r>
          </w:p>
        </w:tc>
      </w:tr>
      <w:tr w:rsidR="007075D9" w:rsidRPr="004D46AC" w14:paraId="2663399E" w14:textId="77777777" w:rsidTr="00B518F1">
        <w:trPr>
          <w:trHeight w:val="72"/>
        </w:trPr>
        <w:tc>
          <w:tcPr>
            <w:tcW w:w="925" w:type="dxa"/>
          </w:tcPr>
          <w:p w14:paraId="5F08AAB0" w14:textId="77777777" w:rsidR="007075D9" w:rsidRPr="004D46AC" w:rsidRDefault="007075D9" w:rsidP="004719F3">
            <w:pPr>
              <w:spacing w:line="240" w:lineRule="auto"/>
              <w:ind w:firstLine="0"/>
            </w:pPr>
          </w:p>
        </w:tc>
        <w:tc>
          <w:tcPr>
            <w:tcW w:w="7557" w:type="dxa"/>
          </w:tcPr>
          <w:p w14:paraId="6A890A76" w14:textId="77777777" w:rsidR="007075D9" w:rsidRPr="004D46AC" w:rsidRDefault="007075D9" w:rsidP="004719F3">
            <w:pPr>
              <w:spacing w:line="240" w:lineRule="auto"/>
              <w:ind w:firstLine="0"/>
            </w:pPr>
            <w:r w:rsidRPr="004D46AC">
              <w:t>Transient, stress-related paranoia ideas or severe dissociative symptoms</w:t>
            </w:r>
          </w:p>
        </w:tc>
      </w:tr>
      <w:tr w:rsidR="007075D9" w:rsidRPr="004D46AC" w14:paraId="4EFBD17C" w14:textId="77777777" w:rsidTr="00B518F1">
        <w:trPr>
          <w:trHeight w:val="72"/>
        </w:trPr>
        <w:tc>
          <w:tcPr>
            <w:tcW w:w="925" w:type="dxa"/>
          </w:tcPr>
          <w:p w14:paraId="47A639B1" w14:textId="77777777" w:rsidR="007075D9" w:rsidRPr="004D46AC" w:rsidRDefault="007075D9" w:rsidP="004719F3">
            <w:pPr>
              <w:spacing w:line="240" w:lineRule="auto"/>
              <w:ind w:firstLine="0"/>
            </w:pPr>
            <w:r w:rsidRPr="004D46AC">
              <w:t>Criteria</w:t>
            </w:r>
          </w:p>
        </w:tc>
        <w:tc>
          <w:tcPr>
            <w:tcW w:w="7557" w:type="dxa"/>
          </w:tcPr>
          <w:p w14:paraId="4F00063A" w14:textId="77777777" w:rsidR="007075D9" w:rsidRPr="004D46AC" w:rsidRDefault="007075D9" w:rsidP="004719F3">
            <w:pPr>
              <w:spacing w:line="240" w:lineRule="auto"/>
              <w:ind w:firstLine="0"/>
            </w:pPr>
            <w:r w:rsidRPr="004D46AC">
              <w:t>2-4 symptoms from the list and lasted for at least 6 months</w:t>
            </w:r>
          </w:p>
        </w:tc>
      </w:tr>
    </w:tbl>
    <w:p w14:paraId="2DA069E6" w14:textId="77777777" w:rsidR="007075D9" w:rsidRPr="004D46AC" w:rsidRDefault="007075D9" w:rsidP="004719F3">
      <w:pPr>
        <w:spacing w:line="240" w:lineRule="auto"/>
        <w:ind w:firstLine="0"/>
        <w:sectPr w:rsidR="007075D9" w:rsidRPr="004D46AC" w:rsidSect="007075D9">
          <w:pgSz w:w="11906" w:h="16838"/>
          <w:pgMar w:top="1440" w:right="1440" w:bottom="1440" w:left="1440" w:header="851" w:footer="992" w:gutter="0"/>
          <w:cols w:space="425"/>
          <w:docGrid w:type="lines" w:linePitch="326"/>
        </w:sectPr>
      </w:pPr>
      <w:r w:rsidRPr="004D46AC">
        <w:rPr>
          <w:i/>
          <w:iCs/>
        </w:rPr>
        <w:t>Note</w:t>
      </w:r>
      <w:r w:rsidRPr="004D46AC">
        <w:t xml:space="preserve">. This table outlines the criteria for Attenuated Symptoms across five domains. The Psychotic (CAARMS) section requires sub-threshold positive symptoms (rated by intensity and frequency) or brief episodes of higher intensity that resolved spontaneously within one week. Similarly, Brief Limited Intermittent Psychotic Symptoms (BLIPS) are defined by higher intensity symptoms lasting less than one week. The (Hypo)manic criteria require elevated or irritable mood (Criterion A) plus </w:t>
      </w:r>
      <w:r w:rsidRPr="004D46AC">
        <w:rPr>
          <w:rFonts w:hint="eastAsia"/>
        </w:rPr>
        <w:t xml:space="preserve">&gt; </w:t>
      </w:r>
      <w:r w:rsidRPr="004D46AC">
        <w:t xml:space="preserve">2 associated symptoms (Criterion B; or 3 if mood is only irritable) lasting at least two days. Moderate Depression is defined by the presence of core mood symptoms (Criterion A) plus </w:t>
      </w:r>
      <w:r w:rsidRPr="004D46AC">
        <w:rPr>
          <w:rFonts w:hint="eastAsia"/>
        </w:rPr>
        <w:t>&gt; 4</w:t>
      </w:r>
      <w:r w:rsidRPr="004D46AC">
        <w:t xml:space="preserve"> total symptoms from Criteria A and B combined, lasting at least two weeks, without functional impairment (Criterion C). finally, Borderline Personality features are assessed via the SCID-5-PD, requiring 2–4 characteristic symptoms (e.g., frantic efforts to avoid abandonment, identity disturbance) persisting for at least 6 months.</w:t>
      </w:r>
    </w:p>
    <w:p w14:paraId="7E0B6CF3" w14:textId="77777777" w:rsidR="007075D9" w:rsidRPr="004D46AC" w:rsidRDefault="007075D9" w:rsidP="00D41749">
      <w:pPr>
        <w:pStyle w:val="2"/>
        <w:rPr>
          <w:i/>
          <w:iCs/>
        </w:rPr>
      </w:pPr>
      <w:bookmarkStart w:id="305" w:name="_Toc219888795"/>
      <w:r w:rsidRPr="004D46AC">
        <w:lastRenderedPageBreak/>
        <w:t>Appendix B: Supplementary Files for Chapter 2</w:t>
      </w:r>
      <w:bookmarkEnd w:id="305"/>
    </w:p>
    <w:p w14:paraId="175FA2A9" w14:textId="77777777" w:rsidR="007075D9" w:rsidRPr="004D46AC" w:rsidRDefault="007075D9" w:rsidP="00B518F1">
      <w:pPr>
        <w:pStyle w:val="3"/>
      </w:pPr>
      <w:r w:rsidRPr="004D46AC">
        <w:t>T</w:t>
      </w:r>
      <w:r w:rsidRPr="004D46AC">
        <w:rPr>
          <w:rFonts w:hint="eastAsia"/>
        </w:rPr>
        <w:t>ables and figures</w:t>
      </w:r>
    </w:p>
    <w:p w14:paraId="4AEFF4F3" w14:textId="2527A05B" w:rsidR="007075D9" w:rsidRPr="004D46AC" w:rsidRDefault="00D41749" w:rsidP="00D41749">
      <w:pPr>
        <w:pStyle w:val="afff0"/>
        <w:spacing w:after="0"/>
        <w:ind w:firstLine="0"/>
        <w:rPr>
          <w:rFonts w:eastAsiaTheme="minorEastAsia"/>
          <w:b/>
          <w:bCs/>
          <w:i w:val="0"/>
          <w:iCs w:val="0"/>
          <w:color w:val="auto"/>
          <w:sz w:val="22"/>
          <w:szCs w:val="22"/>
        </w:rPr>
      </w:pPr>
      <w:bookmarkStart w:id="306" w:name="_Toc225271023"/>
      <w:r w:rsidRPr="004D46AC">
        <w:rPr>
          <w:b/>
          <w:bCs/>
          <w:i w:val="0"/>
          <w:iCs w:val="0"/>
          <w:color w:val="auto"/>
          <w:sz w:val="22"/>
          <w:szCs w:val="22"/>
        </w:rPr>
        <w:t xml:space="preserve">Table B </w:t>
      </w:r>
      <w:r w:rsidRPr="004D46AC">
        <w:rPr>
          <w:b/>
          <w:bCs/>
          <w:i w:val="0"/>
          <w:iCs w:val="0"/>
          <w:color w:val="auto"/>
          <w:sz w:val="22"/>
          <w:szCs w:val="22"/>
        </w:rPr>
        <w:fldChar w:fldCharType="begin"/>
      </w:r>
      <w:r w:rsidRPr="004D46AC">
        <w:rPr>
          <w:b/>
          <w:bCs/>
          <w:i w:val="0"/>
          <w:iCs w:val="0"/>
          <w:color w:val="auto"/>
          <w:sz w:val="22"/>
          <w:szCs w:val="22"/>
        </w:rPr>
        <w:instrText xml:space="preserve"> SEQ Table_B \* ARABIC </w:instrText>
      </w:r>
      <w:r w:rsidRPr="004D46AC">
        <w:rPr>
          <w:b/>
          <w:bCs/>
          <w:i w:val="0"/>
          <w:iCs w:val="0"/>
          <w:color w:val="auto"/>
          <w:sz w:val="22"/>
          <w:szCs w:val="22"/>
        </w:rPr>
        <w:fldChar w:fldCharType="separate"/>
      </w:r>
      <w:r w:rsidR="009864DB" w:rsidRPr="004D46AC">
        <w:rPr>
          <w:b/>
          <w:bCs/>
          <w:i w:val="0"/>
          <w:iCs w:val="0"/>
          <w:noProof/>
          <w:color w:val="auto"/>
          <w:sz w:val="22"/>
          <w:szCs w:val="22"/>
        </w:rPr>
        <w:t>1</w:t>
      </w:r>
      <w:bookmarkEnd w:id="306"/>
      <w:r w:rsidRPr="004D46AC">
        <w:rPr>
          <w:b/>
          <w:bCs/>
          <w:i w:val="0"/>
          <w:iCs w:val="0"/>
          <w:color w:val="auto"/>
          <w:sz w:val="22"/>
          <w:szCs w:val="22"/>
        </w:rPr>
        <w:fldChar w:fldCharType="end"/>
      </w:r>
    </w:p>
    <w:p w14:paraId="7294FA05" w14:textId="77777777" w:rsidR="007075D9" w:rsidRPr="004D46AC" w:rsidRDefault="007075D9" w:rsidP="00D41749">
      <w:pPr>
        <w:spacing w:line="240" w:lineRule="auto"/>
        <w:ind w:firstLine="0"/>
        <w:rPr>
          <w:i/>
          <w:iCs/>
        </w:rPr>
      </w:pPr>
      <w:r w:rsidRPr="004D46AC">
        <w:rPr>
          <w:i/>
          <w:iCs/>
        </w:rPr>
        <w:t>Search strategies for synthesis of comorbid schizophrenia and psychosis</w:t>
      </w:r>
    </w:p>
    <w:tbl>
      <w:tblPr>
        <w:tblStyle w:val="afc"/>
        <w:tblW w:w="0" w:type="auto"/>
        <w:tblLook w:val="04A0" w:firstRow="1" w:lastRow="0" w:firstColumn="1" w:lastColumn="0" w:noHBand="0" w:noVBand="1"/>
      </w:tblPr>
      <w:tblGrid>
        <w:gridCol w:w="2405"/>
        <w:gridCol w:w="5891"/>
      </w:tblGrid>
      <w:tr w:rsidR="007075D9" w:rsidRPr="004D46AC" w14:paraId="3568F485" w14:textId="77777777" w:rsidTr="00B518F1">
        <w:tc>
          <w:tcPr>
            <w:tcW w:w="2405" w:type="dxa"/>
          </w:tcPr>
          <w:p w14:paraId="584899A9" w14:textId="77777777" w:rsidR="007075D9" w:rsidRPr="004D46AC" w:rsidRDefault="007075D9" w:rsidP="00D41749">
            <w:pPr>
              <w:spacing w:line="240" w:lineRule="auto"/>
              <w:ind w:firstLine="0"/>
            </w:pPr>
            <w:r w:rsidRPr="004D46AC">
              <w:t>Database</w:t>
            </w:r>
          </w:p>
        </w:tc>
        <w:tc>
          <w:tcPr>
            <w:tcW w:w="5891" w:type="dxa"/>
          </w:tcPr>
          <w:p w14:paraId="743BCE5E" w14:textId="77777777" w:rsidR="007075D9" w:rsidRPr="004D46AC" w:rsidRDefault="007075D9" w:rsidP="00D41749">
            <w:pPr>
              <w:spacing w:line="240" w:lineRule="auto"/>
              <w:ind w:firstLine="0"/>
            </w:pPr>
            <w:r w:rsidRPr="004D46AC">
              <w:t>Boolean formula</w:t>
            </w:r>
          </w:p>
        </w:tc>
      </w:tr>
      <w:tr w:rsidR="007075D9" w:rsidRPr="004D46AC" w14:paraId="478C4F76" w14:textId="77777777" w:rsidTr="00B518F1">
        <w:tc>
          <w:tcPr>
            <w:tcW w:w="2405" w:type="dxa"/>
          </w:tcPr>
          <w:p w14:paraId="16795C46" w14:textId="77777777" w:rsidR="007075D9" w:rsidRPr="004D46AC" w:rsidRDefault="007075D9" w:rsidP="00D41749">
            <w:pPr>
              <w:spacing w:line="240" w:lineRule="auto"/>
              <w:ind w:firstLine="0"/>
            </w:pPr>
            <w:r w:rsidRPr="004D46AC">
              <w:t>Psych INFO</w:t>
            </w:r>
          </w:p>
        </w:tc>
        <w:tc>
          <w:tcPr>
            <w:tcW w:w="5891" w:type="dxa"/>
          </w:tcPr>
          <w:p w14:paraId="48D5A79F" w14:textId="77777777" w:rsidR="007075D9" w:rsidRPr="004D46AC" w:rsidRDefault="007075D9" w:rsidP="00D41749">
            <w:pPr>
              <w:spacing w:line="240" w:lineRule="auto"/>
              <w:ind w:firstLine="0"/>
            </w:pPr>
            <w:r w:rsidRPr="004D46AC">
              <w:t>((schizophrenia or psychosis or psychotic) and (bipolar or manic-depressive or mania) and (prevalence or proportion or rate or comorbid*)</w:t>
            </w:r>
            <w:proofErr w:type="gramStart"/>
            <w:r w:rsidRPr="004D46AC">
              <w:t>).ab.</w:t>
            </w:r>
            <w:proofErr w:type="gramEnd"/>
            <w:r w:rsidRPr="004D46AC">
              <w:t xml:space="preserve"> or ((schizophrenia or psychosis or psychotic) and (bipolar or manic-depressive or mania) and (prevalence or proportion or rate or comorbid*)).</w:t>
            </w:r>
            <w:proofErr w:type="spellStart"/>
            <w:r w:rsidRPr="004D46AC">
              <w:t>ti</w:t>
            </w:r>
            <w:proofErr w:type="spellEnd"/>
            <w:r w:rsidRPr="004D46AC">
              <w:t>.</w:t>
            </w:r>
          </w:p>
        </w:tc>
      </w:tr>
      <w:tr w:rsidR="007075D9" w:rsidRPr="004D46AC" w14:paraId="0DB30DF3" w14:textId="77777777" w:rsidTr="00B518F1">
        <w:tc>
          <w:tcPr>
            <w:tcW w:w="2405" w:type="dxa"/>
          </w:tcPr>
          <w:p w14:paraId="6CD12D64" w14:textId="77777777" w:rsidR="007075D9" w:rsidRPr="004D46AC" w:rsidRDefault="007075D9" w:rsidP="00D41749">
            <w:pPr>
              <w:spacing w:line="240" w:lineRule="auto"/>
              <w:ind w:firstLine="0"/>
            </w:pPr>
            <w:r w:rsidRPr="004D46AC">
              <w:t>Web of Science</w:t>
            </w:r>
          </w:p>
        </w:tc>
        <w:tc>
          <w:tcPr>
            <w:tcW w:w="5891" w:type="dxa"/>
          </w:tcPr>
          <w:p w14:paraId="2FC75921" w14:textId="77777777" w:rsidR="007075D9" w:rsidRPr="004D46AC" w:rsidRDefault="007075D9" w:rsidP="00D41749">
            <w:pPr>
              <w:spacing w:line="240" w:lineRule="auto"/>
              <w:ind w:firstLine="0"/>
            </w:pPr>
            <w:r w:rsidRPr="004D46AC">
              <w:t>(AB=(schizophrenia) OR AB=(psychosis) OR AB=(psychotic)) AND (AB=(bipolar) OR AB=(mania) OR AB=(manic-depressive)) AND (AB=(prevalence) OR AB=(proportion) OR AB=(rate) OR AB=(comorbid*))</w:t>
            </w:r>
          </w:p>
        </w:tc>
      </w:tr>
      <w:tr w:rsidR="007075D9" w:rsidRPr="004D46AC" w14:paraId="4BEF8CA5" w14:textId="77777777" w:rsidTr="00B518F1">
        <w:tc>
          <w:tcPr>
            <w:tcW w:w="2405" w:type="dxa"/>
          </w:tcPr>
          <w:p w14:paraId="292AD748" w14:textId="77777777" w:rsidR="007075D9" w:rsidRPr="004D46AC" w:rsidRDefault="007075D9" w:rsidP="00D41749">
            <w:pPr>
              <w:spacing w:line="240" w:lineRule="auto"/>
              <w:ind w:firstLine="0"/>
            </w:pPr>
            <w:r w:rsidRPr="004D46AC">
              <w:rPr>
                <w:rFonts w:eastAsia="Times New Roman"/>
                <w:color w:val="333333"/>
              </w:rPr>
              <w:t>MEDLINE</w:t>
            </w:r>
          </w:p>
        </w:tc>
        <w:tc>
          <w:tcPr>
            <w:tcW w:w="5891" w:type="dxa"/>
          </w:tcPr>
          <w:p w14:paraId="6B919AE1" w14:textId="77777777" w:rsidR="007075D9" w:rsidRPr="004D46AC" w:rsidRDefault="007075D9" w:rsidP="00D41749">
            <w:pPr>
              <w:spacing w:line="240" w:lineRule="auto"/>
              <w:ind w:firstLine="0"/>
            </w:pPr>
            <w:r w:rsidRPr="004D46AC">
              <w:t>((schizophrenia [Title/Abstract]) OR (psychosis [Title/Abstract]) OR (psychotic [Title/Abstract])) AND ((bipolar [Title/Abstract]) OR (manic- depressive [Title/Abstract]) OR (mania [Title/Abstract])) AND ((prevalence [Title/Abstract]) OR (proportion [Title/Abstract]) OR (rate [Title/Abstract]))</w:t>
            </w:r>
          </w:p>
        </w:tc>
      </w:tr>
    </w:tbl>
    <w:p w14:paraId="3FF366CA" w14:textId="77777777" w:rsidR="007075D9" w:rsidRPr="004D46AC" w:rsidRDefault="007075D9" w:rsidP="00B518F1"/>
    <w:p w14:paraId="77BB2CD8" w14:textId="77777777" w:rsidR="007075D9" w:rsidRPr="004D46AC" w:rsidRDefault="007075D9" w:rsidP="00B518F1"/>
    <w:p w14:paraId="62B45606" w14:textId="77777777" w:rsidR="007075D9" w:rsidRPr="004D46AC" w:rsidRDefault="007075D9" w:rsidP="00B518F1"/>
    <w:p w14:paraId="3B551240" w14:textId="77777777" w:rsidR="007075D9" w:rsidRPr="004D46AC" w:rsidRDefault="007075D9" w:rsidP="00B518F1"/>
    <w:p w14:paraId="49A9F492" w14:textId="77777777" w:rsidR="007075D9" w:rsidRPr="004D46AC" w:rsidRDefault="007075D9" w:rsidP="00B518F1"/>
    <w:p w14:paraId="18185E48" w14:textId="77777777" w:rsidR="007075D9" w:rsidRPr="004D46AC" w:rsidRDefault="007075D9" w:rsidP="00B518F1"/>
    <w:p w14:paraId="79E5B071" w14:textId="77777777" w:rsidR="007075D9" w:rsidRPr="004D46AC" w:rsidRDefault="007075D9" w:rsidP="00B518F1"/>
    <w:p w14:paraId="7BAED968" w14:textId="77777777" w:rsidR="007075D9" w:rsidRPr="004D46AC" w:rsidRDefault="007075D9" w:rsidP="00B518F1"/>
    <w:p w14:paraId="7DD75C72" w14:textId="77777777" w:rsidR="007075D9" w:rsidRPr="004D46AC" w:rsidRDefault="007075D9" w:rsidP="00B518F1"/>
    <w:p w14:paraId="4A027062" w14:textId="77777777" w:rsidR="007075D9" w:rsidRPr="004D46AC" w:rsidRDefault="007075D9" w:rsidP="00B518F1"/>
    <w:p w14:paraId="5A9E39E4" w14:textId="77777777" w:rsidR="007075D9" w:rsidRPr="004D46AC" w:rsidRDefault="007075D9" w:rsidP="00B518F1"/>
    <w:p w14:paraId="031FB4F3" w14:textId="77777777" w:rsidR="007075D9" w:rsidRPr="004D46AC" w:rsidRDefault="007075D9" w:rsidP="00B518F1"/>
    <w:p w14:paraId="726D8EF0" w14:textId="77777777" w:rsidR="007075D9" w:rsidRPr="004D46AC" w:rsidRDefault="007075D9" w:rsidP="00B518F1"/>
    <w:p w14:paraId="70118406" w14:textId="77777777" w:rsidR="007075D9" w:rsidRPr="004D46AC" w:rsidRDefault="007075D9" w:rsidP="00B518F1"/>
    <w:p w14:paraId="6B02CE3E" w14:textId="77777777" w:rsidR="007075D9" w:rsidRPr="004D46AC" w:rsidRDefault="007075D9" w:rsidP="00B518F1"/>
    <w:p w14:paraId="06DE3B7B" w14:textId="77777777" w:rsidR="007075D9" w:rsidRPr="004D46AC" w:rsidRDefault="007075D9" w:rsidP="00D41749">
      <w:pPr>
        <w:ind w:firstLine="0"/>
        <w:rPr>
          <w:rFonts w:eastAsiaTheme="minorEastAsia"/>
        </w:rPr>
      </w:pPr>
    </w:p>
    <w:p w14:paraId="49596228" w14:textId="5D05F1C5" w:rsidR="00D41749" w:rsidRPr="004D46AC" w:rsidRDefault="00D41749" w:rsidP="00D41749">
      <w:pPr>
        <w:pStyle w:val="afff0"/>
        <w:spacing w:after="0"/>
        <w:ind w:firstLine="0"/>
        <w:rPr>
          <w:b/>
          <w:bCs/>
          <w:i w:val="0"/>
          <w:iCs w:val="0"/>
          <w:sz w:val="22"/>
          <w:szCs w:val="22"/>
        </w:rPr>
      </w:pPr>
      <w:bookmarkStart w:id="307" w:name="_Toc225271024"/>
      <w:r w:rsidRPr="004D46AC">
        <w:rPr>
          <w:b/>
          <w:bCs/>
          <w:i w:val="0"/>
          <w:iCs w:val="0"/>
          <w:sz w:val="22"/>
          <w:szCs w:val="22"/>
        </w:rPr>
        <w:lastRenderedPageBreak/>
        <w:t xml:space="preserve">Table B </w:t>
      </w:r>
      <w:r w:rsidRPr="004D46AC">
        <w:rPr>
          <w:b/>
          <w:bCs/>
          <w:i w:val="0"/>
          <w:iCs w:val="0"/>
          <w:sz w:val="22"/>
          <w:szCs w:val="22"/>
        </w:rPr>
        <w:fldChar w:fldCharType="begin"/>
      </w:r>
      <w:r w:rsidRPr="004D46AC">
        <w:rPr>
          <w:b/>
          <w:bCs/>
          <w:i w:val="0"/>
          <w:iCs w:val="0"/>
          <w:sz w:val="22"/>
          <w:szCs w:val="22"/>
        </w:rPr>
        <w:instrText xml:space="preserve"> SEQ Table_B \* ARABIC </w:instrText>
      </w:r>
      <w:r w:rsidRPr="004D46AC">
        <w:rPr>
          <w:b/>
          <w:bCs/>
          <w:i w:val="0"/>
          <w:iCs w:val="0"/>
          <w:sz w:val="22"/>
          <w:szCs w:val="22"/>
        </w:rPr>
        <w:fldChar w:fldCharType="separate"/>
      </w:r>
      <w:r w:rsidR="009864DB" w:rsidRPr="004D46AC">
        <w:rPr>
          <w:b/>
          <w:bCs/>
          <w:i w:val="0"/>
          <w:iCs w:val="0"/>
          <w:noProof/>
          <w:sz w:val="22"/>
          <w:szCs w:val="22"/>
        </w:rPr>
        <w:t>2</w:t>
      </w:r>
      <w:bookmarkEnd w:id="307"/>
      <w:r w:rsidRPr="004D46AC">
        <w:rPr>
          <w:b/>
          <w:bCs/>
          <w:i w:val="0"/>
          <w:iCs w:val="0"/>
          <w:sz w:val="22"/>
          <w:szCs w:val="22"/>
        </w:rPr>
        <w:fldChar w:fldCharType="end"/>
      </w:r>
    </w:p>
    <w:p w14:paraId="10907706" w14:textId="77777777" w:rsidR="007075D9" w:rsidRPr="004D46AC" w:rsidRDefault="007075D9" w:rsidP="00D41749">
      <w:pPr>
        <w:spacing w:line="240" w:lineRule="auto"/>
        <w:ind w:firstLine="0"/>
        <w:rPr>
          <w:i/>
          <w:iCs/>
        </w:rPr>
      </w:pPr>
      <w:r w:rsidRPr="004D46AC">
        <w:rPr>
          <w:i/>
          <w:iCs/>
        </w:rPr>
        <w:t>Search strategies for synthesis of comorbid delusions</w:t>
      </w:r>
    </w:p>
    <w:tbl>
      <w:tblPr>
        <w:tblStyle w:val="afc"/>
        <w:tblW w:w="0" w:type="auto"/>
        <w:tblLook w:val="04A0" w:firstRow="1" w:lastRow="0" w:firstColumn="1" w:lastColumn="0" w:noHBand="0" w:noVBand="1"/>
      </w:tblPr>
      <w:tblGrid>
        <w:gridCol w:w="2405"/>
        <w:gridCol w:w="5891"/>
      </w:tblGrid>
      <w:tr w:rsidR="007075D9" w:rsidRPr="004D46AC" w14:paraId="291FEAF7" w14:textId="77777777" w:rsidTr="00B518F1">
        <w:tc>
          <w:tcPr>
            <w:tcW w:w="2405" w:type="dxa"/>
          </w:tcPr>
          <w:p w14:paraId="1132EA76" w14:textId="77777777" w:rsidR="007075D9" w:rsidRPr="004D46AC" w:rsidRDefault="007075D9" w:rsidP="00D41749">
            <w:pPr>
              <w:spacing w:line="240" w:lineRule="auto"/>
              <w:ind w:firstLine="0"/>
            </w:pPr>
            <w:r w:rsidRPr="004D46AC">
              <w:t>Database</w:t>
            </w:r>
          </w:p>
        </w:tc>
        <w:tc>
          <w:tcPr>
            <w:tcW w:w="5891" w:type="dxa"/>
          </w:tcPr>
          <w:p w14:paraId="69597D11" w14:textId="77777777" w:rsidR="007075D9" w:rsidRPr="004D46AC" w:rsidRDefault="007075D9" w:rsidP="00D41749">
            <w:pPr>
              <w:spacing w:line="240" w:lineRule="auto"/>
              <w:ind w:firstLine="0"/>
            </w:pPr>
            <w:r w:rsidRPr="004D46AC">
              <w:t>Boolean formula</w:t>
            </w:r>
          </w:p>
        </w:tc>
      </w:tr>
      <w:tr w:rsidR="007075D9" w:rsidRPr="004D46AC" w14:paraId="1C044250" w14:textId="77777777" w:rsidTr="00B518F1">
        <w:tc>
          <w:tcPr>
            <w:tcW w:w="2405" w:type="dxa"/>
          </w:tcPr>
          <w:p w14:paraId="4885CDE3" w14:textId="77777777" w:rsidR="007075D9" w:rsidRPr="004D46AC" w:rsidRDefault="007075D9" w:rsidP="00D41749">
            <w:pPr>
              <w:spacing w:line="240" w:lineRule="auto"/>
              <w:ind w:firstLine="0"/>
            </w:pPr>
            <w:r w:rsidRPr="004D46AC">
              <w:t>Psych INFO</w:t>
            </w:r>
          </w:p>
        </w:tc>
        <w:tc>
          <w:tcPr>
            <w:tcW w:w="5891" w:type="dxa"/>
          </w:tcPr>
          <w:p w14:paraId="5038543B" w14:textId="77777777" w:rsidR="007075D9" w:rsidRPr="004D46AC" w:rsidRDefault="007075D9" w:rsidP="00D41749">
            <w:pPr>
              <w:spacing w:line="240" w:lineRule="auto"/>
              <w:ind w:firstLine="0"/>
            </w:pPr>
            <w:r w:rsidRPr="004D46AC">
              <w:t xml:space="preserve">((schizophrenia or psychosis or psychotic) and (bipolar or manic-depressive or mania) and </w:t>
            </w:r>
            <w:proofErr w:type="spellStart"/>
            <w:r w:rsidRPr="004D46AC">
              <w:t>delu</w:t>
            </w:r>
            <w:proofErr w:type="spellEnd"/>
            <w:r w:rsidRPr="004D46AC">
              <w:t>*</w:t>
            </w:r>
            <w:proofErr w:type="gramStart"/>
            <w:r w:rsidRPr="004D46AC">
              <w:t>).ab.</w:t>
            </w:r>
            <w:proofErr w:type="gramEnd"/>
            <w:r w:rsidRPr="004D46AC">
              <w:t xml:space="preserve"> or ((schizophrenia or psychosis or psychotic) and (bipolar or manic-depressive or mania) and </w:t>
            </w:r>
            <w:proofErr w:type="spellStart"/>
            <w:r w:rsidRPr="004D46AC">
              <w:t>delu</w:t>
            </w:r>
            <w:proofErr w:type="spellEnd"/>
            <w:r w:rsidRPr="004D46AC">
              <w:t>*).</w:t>
            </w:r>
            <w:proofErr w:type="spellStart"/>
            <w:r w:rsidRPr="004D46AC">
              <w:t>ti</w:t>
            </w:r>
            <w:proofErr w:type="spellEnd"/>
            <w:r w:rsidRPr="004D46AC">
              <w:t>.</w:t>
            </w:r>
          </w:p>
        </w:tc>
      </w:tr>
      <w:tr w:rsidR="007075D9" w:rsidRPr="004D46AC" w14:paraId="1A717940" w14:textId="77777777" w:rsidTr="00B518F1">
        <w:tc>
          <w:tcPr>
            <w:tcW w:w="2405" w:type="dxa"/>
          </w:tcPr>
          <w:p w14:paraId="6A70B999" w14:textId="77777777" w:rsidR="007075D9" w:rsidRPr="004D46AC" w:rsidRDefault="007075D9" w:rsidP="00D41749">
            <w:pPr>
              <w:spacing w:line="240" w:lineRule="auto"/>
              <w:ind w:firstLine="0"/>
            </w:pPr>
            <w:r w:rsidRPr="004D46AC">
              <w:t>Web of Science</w:t>
            </w:r>
          </w:p>
        </w:tc>
        <w:tc>
          <w:tcPr>
            <w:tcW w:w="5891" w:type="dxa"/>
          </w:tcPr>
          <w:p w14:paraId="018D07D0" w14:textId="77777777" w:rsidR="007075D9" w:rsidRPr="004D46AC" w:rsidRDefault="007075D9" w:rsidP="00D41749">
            <w:pPr>
              <w:spacing w:line="240" w:lineRule="auto"/>
              <w:ind w:firstLine="0"/>
            </w:pPr>
            <w:r w:rsidRPr="004D46AC">
              <w:t>(AB=(schizophrenia) OR AB=(psychosis) OR AB=(psychotic)) AND (AB=(bipolar) OR AB=(mania) OR AB=(manic-depressive)) AND AB=(</w:t>
            </w:r>
            <w:proofErr w:type="spellStart"/>
            <w:r w:rsidRPr="004D46AC">
              <w:t>delu</w:t>
            </w:r>
            <w:proofErr w:type="spellEnd"/>
            <w:r w:rsidRPr="004D46AC">
              <w:t>*)</w:t>
            </w:r>
          </w:p>
        </w:tc>
      </w:tr>
      <w:tr w:rsidR="007075D9" w:rsidRPr="004D46AC" w14:paraId="72B6F31A" w14:textId="77777777" w:rsidTr="00B518F1">
        <w:tc>
          <w:tcPr>
            <w:tcW w:w="2405" w:type="dxa"/>
          </w:tcPr>
          <w:p w14:paraId="0E45590E" w14:textId="77777777" w:rsidR="007075D9" w:rsidRPr="004D46AC" w:rsidRDefault="007075D9" w:rsidP="00D41749">
            <w:pPr>
              <w:spacing w:line="240" w:lineRule="auto"/>
              <w:ind w:firstLine="0"/>
            </w:pPr>
            <w:r w:rsidRPr="004D46AC">
              <w:rPr>
                <w:rFonts w:eastAsia="Times New Roman"/>
                <w:color w:val="333333"/>
              </w:rPr>
              <w:t>MEDLINE</w:t>
            </w:r>
          </w:p>
        </w:tc>
        <w:tc>
          <w:tcPr>
            <w:tcW w:w="5891" w:type="dxa"/>
          </w:tcPr>
          <w:p w14:paraId="15763409" w14:textId="77777777" w:rsidR="007075D9" w:rsidRPr="004D46AC" w:rsidRDefault="007075D9" w:rsidP="00D41749">
            <w:pPr>
              <w:spacing w:line="240" w:lineRule="auto"/>
              <w:ind w:firstLine="0"/>
            </w:pPr>
            <w:r w:rsidRPr="004D46AC">
              <w:t>((schizophrenia [Title/Abstract]) OR (psychosis [Title/Abstract]) OR (psychotic [Title/Abstract])) AND ((bipolar [Title/Abstract]) OR (manic- depressive [Title/Abstract]) OR (mania [Title/Abstract])) AND (</w:t>
            </w:r>
            <w:proofErr w:type="spellStart"/>
            <w:r w:rsidRPr="004D46AC">
              <w:t>delu</w:t>
            </w:r>
            <w:proofErr w:type="spellEnd"/>
            <w:r w:rsidRPr="004D46AC">
              <w:t>* [Title/Abstract])</w:t>
            </w:r>
          </w:p>
        </w:tc>
      </w:tr>
    </w:tbl>
    <w:p w14:paraId="6F992CFB" w14:textId="77777777" w:rsidR="007075D9" w:rsidRPr="004D46AC" w:rsidRDefault="007075D9" w:rsidP="00D41749">
      <w:pPr>
        <w:spacing w:line="240" w:lineRule="auto"/>
        <w:ind w:firstLine="0"/>
        <w:rPr>
          <w:b/>
          <w:bCs/>
        </w:rPr>
      </w:pPr>
    </w:p>
    <w:p w14:paraId="625F9D6E" w14:textId="77777777" w:rsidR="007075D9" w:rsidRPr="004D46AC" w:rsidRDefault="007075D9" w:rsidP="00B518F1">
      <w:pPr>
        <w:rPr>
          <w:b/>
          <w:bCs/>
        </w:rPr>
      </w:pPr>
    </w:p>
    <w:p w14:paraId="092775BB" w14:textId="77777777" w:rsidR="007075D9" w:rsidRPr="004D46AC" w:rsidRDefault="007075D9" w:rsidP="00B518F1">
      <w:pPr>
        <w:rPr>
          <w:b/>
          <w:bCs/>
        </w:rPr>
      </w:pPr>
    </w:p>
    <w:p w14:paraId="49DC4892" w14:textId="77777777" w:rsidR="007075D9" w:rsidRPr="004D46AC" w:rsidRDefault="007075D9" w:rsidP="00B518F1">
      <w:pPr>
        <w:rPr>
          <w:b/>
          <w:bCs/>
        </w:rPr>
      </w:pPr>
    </w:p>
    <w:p w14:paraId="22D8E760" w14:textId="77777777" w:rsidR="007075D9" w:rsidRPr="004D46AC" w:rsidRDefault="007075D9" w:rsidP="00B518F1">
      <w:pPr>
        <w:rPr>
          <w:b/>
          <w:bCs/>
        </w:rPr>
      </w:pPr>
    </w:p>
    <w:p w14:paraId="76311BA6" w14:textId="77777777" w:rsidR="007075D9" w:rsidRPr="004D46AC" w:rsidRDefault="007075D9" w:rsidP="00B518F1">
      <w:pPr>
        <w:rPr>
          <w:b/>
          <w:bCs/>
        </w:rPr>
      </w:pPr>
    </w:p>
    <w:p w14:paraId="54FE9DF9" w14:textId="77777777" w:rsidR="007075D9" w:rsidRPr="004D46AC" w:rsidRDefault="007075D9" w:rsidP="00B518F1">
      <w:pPr>
        <w:rPr>
          <w:b/>
          <w:bCs/>
        </w:rPr>
      </w:pPr>
    </w:p>
    <w:p w14:paraId="46FF3E3C" w14:textId="77777777" w:rsidR="007075D9" w:rsidRPr="004D46AC" w:rsidRDefault="007075D9" w:rsidP="00B518F1">
      <w:pPr>
        <w:rPr>
          <w:b/>
          <w:bCs/>
        </w:rPr>
      </w:pPr>
    </w:p>
    <w:p w14:paraId="49036966" w14:textId="77777777" w:rsidR="007075D9" w:rsidRPr="004D46AC" w:rsidRDefault="007075D9" w:rsidP="00B518F1">
      <w:pPr>
        <w:rPr>
          <w:b/>
          <w:bCs/>
        </w:rPr>
      </w:pPr>
    </w:p>
    <w:p w14:paraId="22EF5396" w14:textId="77777777" w:rsidR="007075D9" w:rsidRPr="004D46AC" w:rsidRDefault="007075D9" w:rsidP="00B518F1">
      <w:pPr>
        <w:rPr>
          <w:b/>
          <w:bCs/>
        </w:rPr>
      </w:pPr>
    </w:p>
    <w:p w14:paraId="526659B0" w14:textId="77777777" w:rsidR="007075D9" w:rsidRPr="004D46AC" w:rsidRDefault="007075D9" w:rsidP="00B518F1">
      <w:pPr>
        <w:rPr>
          <w:b/>
          <w:bCs/>
        </w:rPr>
      </w:pPr>
    </w:p>
    <w:p w14:paraId="3B8B979E" w14:textId="77777777" w:rsidR="007075D9" w:rsidRPr="004D46AC" w:rsidRDefault="007075D9" w:rsidP="00B518F1">
      <w:pPr>
        <w:rPr>
          <w:b/>
          <w:bCs/>
        </w:rPr>
      </w:pPr>
    </w:p>
    <w:p w14:paraId="75446AB4" w14:textId="77777777" w:rsidR="007075D9" w:rsidRPr="004D46AC" w:rsidRDefault="007075D9" w:rsidP="00B518F1">
      <w:pPr>
        <w:rPr>
          <w:b/>
          <w:bCs/>
        </w:rPr>
      </w:pPr>
    </w:p>
    <w:p w14:paraId="5CBE6137" w14:textId="77777777" w:rsidR="007075D9" w:rsidRPr="004D46AC" w:rsidRDefault="007075D9" w:rsidP="00B518F1">
      <w:pPr>
        <w:rPr>
          <w:b/>
          <w:bCs/>
        </w:rPr>
      </w:pPr>
    </w:p>
    <w:p w14:paraId="0EA4757E" w14:textId="77777777" w:rsidR="007075D9" w:rsidRPr="004D46AC" w:rsidRDefault="007075D9" w:rsidP="00B518F1">
      <w:pPr>
        <w:rPr>
          <w:b/>
          <w:bCs/>
        </w:rPr>
      </w:pPr>
    </w:p>
    <w:p w14:paraId="563C1593" w14:textId="77777777" w:rsidR="007075D9" w:rsidRPr="004D46AC" w:rsidRDefault="007075D9" w:rsidP="00B518F1">
      <w:pPr>
        <w:rPr>
          <w:b/>
          <w:bCs/>
        </w:rPr>
      </w:pPr>
    </w:p>
    <w:p w14:paraId="5A148816" w14:textId="77777777" w:rsidR="007075D9" w:rsidRPr="004D46AC" w:rsidRDefault="007075D9" w:rsidP="00B518F1">
      <w:pPr>
        <w:rPr>
          <w:b/>
          <w:bCs/>
        </w:rPr>
      </w:pPr>
    </w:p>
    <w:p w14:paraId="60B58C1B" w14:textId="77777777" w:rsidR="007075D9" w:rsidRPr="004D46AC" w:rsidRDefault="007075D9" w:rsidP="00B518F1">
      <w:pPr>
        <w:rPr>
          <w:b/>
          <w:bCs/>
        </w:rPr>
      </w:pPr>
    </w:p>
    <w:p w14:paraId="2FCCD907" w14:textId="77777777" w:rsidR="007075D9" w:rsidRPr="004D46AC" w:rsidRDefault="007075D9" w:rsidP="00B518F1">
      <w:pPr>
        <w:rPr>
          <w:b/>
          <w:bCs/>
        </w:rPr>
      </w:pPr>
    </w:p>
    <w:p w14:paraId="273B3419" w14:textId="77777777" w:rsidR="007075D9" w:rsidRPr="004D46AC" w:rsidRDefault="007075D9" w:rsidP="00D41749">
      <w:pPr>
        <w:ind w:firstLine="0"/>
        <w:rPr>
          <w:rFonts w:eastAsiaTheme="minorEastAsia"/>
          <w:b/>
          <w:bCs/>
        </w:rPr>
      </w:pPr>
    </w:p>
    <w:p w14:paraId="0C1F8484" w14:textId="17666C54" w:rsidR="00D41749" w:rsidRPr="004D46AC" w:rsidRDefault="00D41749" w:rsidP="00D41749">
      <w:pPr>
        <w:pStyle w:val="afff0"/>
        <w:spacing w:after="0"/>
        <w:ind w:firstLine="0"/>
        <w:rPr>
          <w:b/>
          <w:bCs/>
          <w:i w:val="0"/>
          <w:iCs w:val="0"/>
          <w:sz w:val="22"/>
          <w:szCs w:val="22"/>
        </w:rPr>
      </w:pPr>
      <w:bookmarkStart w:id="308" w:name="_Toc225271025"/>
      <w:r w:rsidRPr="004D46AC">
        <w:rPr>
          <w:b/>
          <w:bCs/>
          <w:i w:val="0"/>
          <w:iCs w:val="0"/>
          <w:sz w:val="22"/>
          <w:szCs w:val="22"/>
        </w:rPr>
        <w:lastRenderedPageBreak/>
        <w:t xml:space="preserve">Table B </w:t>
      </w:r>
      <w:r w:rsidRPr="004D46AC">
        <w:rPr>
          <w:b/>
          <w:bCs/>
          <w:i w:val="0"/>
          <w:iCs w:val="0"/>
          <w:sz w:val="22"/>
          <w:szCs w:val="22"/>
        </w:rPr>
        <w:fldChar w:fldCharType="begin"/>
      </w:r>
      <w:r w:rsidRPr="004D46AC">
        <w:rPr>
          <w:b/>
          <w:bCs/>
          <w:i w:val="0"/>
          <w:iCs w:val="0"/>
          <w:sz w:val="22"/>
          <w:szCs w:val="22"/>
        </w:rPr>
        <w:instrText xml:space="preserve"> SEQ Table_B \* ARABIC </w:instrText>
      </w:r>
      <w:r w:rsidRPr="004D46AC">
        <w:rPr>
          <w:b/>
          <w:bCs/>
          <w:i w:val="0"/>
          <w:iCs w:val="0"/>
          <w:sz w:val="22"/>
          <w:szCs w:val="22"/>
        </w:rPr>
        <w:fldChar w:fldCharType="separate"/>
      </w:r>
      <w:r w:rsidR="009864DB" w:rsidRPr="004D46AC">
        <w:rPr>
          <w:b/>
          <w:bCs/>
          <w:i w:val="0"/>
          <w:iCs w:val="0"/>
          <w:noProof/>
          <w:sz w:val="22"/>
          <w:szCs w:val="22"/>
        </w:rPr>
        <w:t>3</w:t>
      </w:r>
      <w:bookmarkEnd w:id="308"/>
      <w:r w:rsidRPr="004D46AC">
        <w:rPr>
          <w:b/>
          <w:bCs/>
          <w:i w:val="0"/>
          <w:iCs w:val="0"/>
          <w:sz w:val="22"/>
          <w:szCs w:val="22"/>
        </w:rPr>
        <w:fldChar w:fldCharType="end"/>
      </w:r>
    </w:p>
    <w:p w14:paraId="342EAC59" w14:textId="77777777" w:rsidR="007075D9" w:rsidRPr="004D46AC" w:rsidRDefault="007075D9" w:rsidP="00D41749">
      <w:pPr>
        <w:spacing w:line="240" w:lineRule="auto"/>
        <w:ind w:firstLine="0"/>
        <w:rPr>
          <w:i/>
          <w:iCs/>
        </w:rPr>
      </w:pPr>
      <w:r w:rsidRPr="004D46AC">
        <w:rPr>
          <w:i/>
          <w:iCs/>
        </w:rPr>
        <w:t>Search strategies for synthesis of comorbid hallucinations</w:t>
      </w:r>
    </w:p>
    <w:tbl>
      <w:tblPr>
        <w:tblStyle w:val="afc"/>
        <w:tblW w:w="0" w:type="auto"/>
        <w:tblLook w:val="04A0" w:firstRow="1" w:lastRow="0" w:firstColumn="1" w:lastColumn="0" w:noHBand="0" w:noVBand="1"/>
      </w:tblPr>
      <w:tblGrid>
        <w:gridCol w:w="2405"/>
        <w:gridCol w:w="5891"/>
      </w:tblGrid>
      <w:tr w:rsidR="007075D9" w:rsidRPr="004D46AC" w14:paraId="59990A1B" w14:textId="77777777" w:rsidTr="00B518F1">
        <w:tc>
          <w:tcPr>
            <w:tcW w:w="2405" w:type="dxa"/>
          </w:tcPr>
          <w:p w14:paraId="7D96AE7E" w14:textId="77777777" w:rsidR="007075D9" w:rsidRPr="004D46AC" w:rsidRDefault="007075D9" w:rsidP="00D41749">
            <w:pPr>
              <w:spacing w:line="240" w:lineRule="auto"/>
              <w:ind w:firstLine="0"/>
            </w:pPr>
            <w:r w:rsidRPr="004D46AC">
              <w:t>Database</w:t>
            </w:r>
          </w:p>
        </w:tc>
        <w:tc>
          <w:tcPr>
            <w:tcW w:w="5891" w:type="dxa"/>
          </w:tcPr>
          <w:p w14:paraId="18B101A6" w14:textId="77777777" w:rsidR="007075D9" w:rsidRPr="004D46AC" w:rsidRDefault="007075D9" w:rsidP="00D41749">
            <w:pPr>
              <w:spacing w:line="240" w:lineRule="auto"/>
              <w:ind w:firstLine="0"/>
            </w:pPr>
            <w:r w:rsidRPr="004D46AC">
              <w:t>Boolean formula</w:t>
            </w:r>
          </w:p>
        </w:tc>
      </w:tr>
      <w:tr w:rsidR="007075D9" w:rsidRPr="004D46AC" w14:paraId="41E0140B" w14:textId="77777777" w:rsidTr="00B518F1">
        <w:tc>
          <w:tcPr>
            <w:tcW w:w="2405" w:type="dxa"/>
          </w:tcPr>
          <w:p w14:paraId="5F258E9D" w14:textId="77777777" w:rsidR="007075D9" w:rsidRPr="004D46AC" w:rsidRDefault="007075D9" w:rsidP="00D41749">
            <w:pPr>
              <w:spacing w:line="240" w:lineRule="auto"/>
              <w:ind w:firstLine="0"/>
            </w:pPr>
            <w:r w:rsidRPr="004D46AC">
              <w:t>Psych INFO</w:t>
            </w:r>
          </w:p>
        </w:tc>
        <w:tc>
          <w:tcPr>
            <w:tcW w:w="5891" w:type="dxa"/>
          </w:tcPr>
          <w:p w14:paraId="3EDD10F3" w14:textId="77777777" w:rsidR="007075D9" w:rsidRPr="004D46AC" w:rsidRDefault="007075D9" w:rsidP="00D41749">
            <w:pPr>
              <w:spacing w:line="240" w:lineRule="auto"/>
              <w:ind w:firstLine="0"/>
            </w:pPr>
            <w:r w:rsidRPr="004D46AC">
              <w:t xml:space="preserve">((schizophrenia or psychosis or psychotic) and (bipolar or manic-depressive or mania) and </w:t>
            </w:r>
            <w:proofErr w:type="spellStart"/>
            <w:r w:rsidRPr="004D46AC">
              <w:t>hallucinat</w:t>
            </w:r>
            <w:proofErr w:type="spellEnd"/>
            <w:r w:rsidRPr="004D46AC">
              <w:t>*</w:t>
            </w:r>
            <w:proofErr w:type="gramStart"/>
            <w:r w:rsidRPr="004D46AC">
              <w:t>).ab.</w:t>
            </w:r>
            <w:proofErr w:type="gramEnd"/>
            <w:r w:rsidRPr="004D46AC">
              <w:t xml:space="preserve"> or ((schizophrenia or psychosis or psychotic) and (bipolar or manic-depressive or mania) and </w:t>
            </w:r>
            <w:proofErr w:type="spellStart"/>
            <w:r w:rsidRPr="004D46AC">
              <w:t>hallucinat</w:t>
            </w:r>
            <w:proofErr w:type="spellEnd"/>
            <w:r w:rsidRPr="004D46AC">
              <w:t>*).</w:t>
            </w:r>
            <w:proofErr w:type="spellStart"/>
            <w:r w:rsidRPr="004D46AC">
              <w:t>ti</w:t>
            </w:r>
            <w:proofErr w:type="spellEnd"/>
            <w:r w:rsidRPr="004D46AC">
              <w:t>.</w:t>
            </w:r>
          </w:p>
        </w:tc>
      </w:tr>
      <w:tr w:rsidR="007075D9" w:rsidRPr="004D46AC" w14:paraId="28B2BFFC" w14:textId="77777777" w:rsidTr="00B518F1">
        <w:tc>
          <w:tcPr>
            <w:tcW w:w="2405" w:type="dxa"/>
          </w:tcPr>
          <w:p w14:paraId="4C6DB4B3" w14:textId="77777777" w:rsidR="007075D9" w:rsidRPr="004D46AC" w:rsidRDefault="007075D9" w:rsidP="00D41749">
            <w:pPr>
              <w:spacing w:line="240" w:lineRule="auto"/>
              <w:ind w:firstLine="0"/>
            </w:pPr>
            <w:r w:rsidRPr="004D46AC">
              <w:t>Web of Science</w:t>
            </w:r>
          </w:p>
        </w:tc>
        <w:tc>
          <w:tcPr>
            <w:tcW w:w="5891" w:type="dxa"/>
          </w:tcPr>
          <w:p w14:paraId="27BA148A" w14:textId="77777777" w:rsidR="007075D9" w:rsidRPr="004D46AC" w:rsidRDefault="007075D9" w:rsidP="00D41749">
            <w:pPr>
              <w:spacing w:line="240" w:lineRule="auto"/>
              <w:ind w:firstLine="0"/>
            </w:pPr>
            <w:r w:rsidRPr="004D46AC">
              <w:t>(AB=(schizophrenia) OR AB=(psychosis) OR AB=(psychotic)) AND (AB=(bipolar) OR AB=(mania) OR AB=(manic-depressive)) AND AB=(</w:t>
            </w:r>
            <w:proofErr w:type="spellStart"/>
            <w:r w:rsidRPr="004D46AC">
              <w:t>hallucinat</w:t>
            </w:r>
            <w:proofErr w:type="spellEnd"/>
            <w:r w:rsidRPr="004D46AC">
              <w:t>*)</w:t>
            </w:r>
          </w:p>
        </w:tc>
      </w:tr>
      <w:tr w:rsidR="007075D9" w:rsidRPr="004D46AC" w14:paraId="0B8E9F19" w14:textId="77777777" w:rsidTr="00B518F1">
        <w:tc>
          <w:tcPr>
            <w:tcW w:w="2405" w:type="dxa"/>
          </w:tcPr>
          <w:p w14:paraId="6C7BF5D2" w14:textId="77777777" w:rsidR="007075D9" w:rsidRPr="004D46AC" w:rsidRDefault="007075D9" w:rsidP="00D41749">
            <w:pPr>
              <w:spacing w:line="240" w:lineRule="auto"/>
              <w:ind w:firstLine="0"/>
            </w:pPr>
            <w:r w:rsidRPr="004D46AC">
              <w:rPr>
                <w:rFonts w:eastAsia="Times New Roman"/>
                <w:color w:val="333333"/>
              </w:rPr>
              <w:t>MEDLINE</w:t>
            </w:r>
          </w:p>
        </w:tc>
        <w:tc>
          <w:tcPr>
            <w:tcW w:w="5891" w:type="dxa"/>
          </w:tcPr>
          <w:p w14:paraId="6A9259DF" w14:textId="77777777" w:rsidR="007075D9" w:rsidRPr="004D46AC" w:rsidRDefault="007075D9" w:rsidP="00D41749">
            <w:pPr>
              <w:spacing w:line="240" w:lineRule="auto"/>
              <w:ind w:firstLine="0"/>
            </w:pPr>
            <w:r w:rsidRPr="004D46AC">
              <w:t>((schizophrenia [Title/Abstract]) OR (psychosis [Title/Abstract]) OR (psychotic [Title/Abstract])) AND ((bipolar [Title/Abstract]) OR (manic- depressive [Title/Abstract]) OR (mania [Title/Abstract])) AND (</w:t>
            </w:r>
            <w:proofErr w:type="spellStart"/>
            <w:r w:rsidRPr="004D46AC">
              <w:t>hallucinat</w:t>
            </w:r>
            <w:proofErr w:type="spellEnd"/>
            <w:r w:rsidRPr="004D46AC">
              <w:t>* [Title/Abstract])</w:t>
            </w:r>
          </w:p>
        </w:tc>
      </w:tr>
    </w:tbl>
    <w:p w14:paraId="797A48D0" w14:textId="77777777" w:rsidR="007075D9" w:rsidRPr="004D46AC" w:rsidRDefault="007075D9" w:rsidP="00B518F1">
      <w:pPr>
        <w:rPr>
          <w:b/>
          <w:bCs/>
        </w:rPr>
      </w:pPr>
    </w:p>
    <w:p w14:paraId="63483F62" w14:textId="77777777" w:rsidR="007075D9" w:rsidRPr="004D46AC" w:rsidRDefault="007075D9" w:rsidP="00B518F1">
      <w:pPr>
        <w:rPr>
          <w:b/>
          <w:bCs/>
        </w:rPr>
      </w:pPr>
    </w:p>
    <w:p w14:paraId="65B47B20" w14:textId="77777777" w:rsidR="007075D9" w:rsidRPr="004D46AC" w:rsidRDefault="007075D9" w:rsidP="00B518F1">
      <w:pPr>
        <w:rPr>
          <w:b/>
          <w:bCs/>
        </w:rPr>
      </w:pPr>
    </w:p>
    <w:p w14:paraId="57E46360" w14:textId="77777777" w:rsidR="007075D9" w:rsidRPr="004D46AC" w:rsidRDefault="007075D9" w:rsidP="00B518F1">
      <w:pPr>
        <w:rPr>
          <w:b/>
          <w:bCs/>
        </w:rPr>
      </w:pPr>
    </w:p>
    <w:p w14:paraId="6FC5312A" w14:textId="77777777" w:rsidR="007075D9" w:rsidRPr="004D46AC" w:rsidRDefault="007075D9" w:rsidP="00B518F1">
      <w:pPr>
        <w:rPr>
          <w:b/>
          <w:bCs/>
        </w:rPr>
      </w:pPr>
    </w:p>
    <w:p w14:paraId="7AFC098C" w14:textId="77777777" w:rsidR="007075D9" w:rsidRPr="004D46AC" w:rsidRDefault="007075D9" w:rsidP="00B518F1">
      <w:pPr>
        <w:rPr>
          <w:b/>
          <w:bCs/>
        </w:rPr>
      </w:pPr>
    </w:p>
    <w:p w14:paraId="32073247" w14:textId="77777777" w:rsidR="007075D9" w:rsidRPr="004D46AC" w:rsidRDefault="007075D9" w:rsidP="00B518F1">
      <w:pPr>
        <w:rPr>
          <w:b/>
          <w:bCs/>
        </w:rPr>
      </w:pPr>
    </w:p>
    <w:p w14:paraId="59208F5B" w14:textId="77777777" w:rsidR="007075D9" w:rsidRPr="004D46AC" w:rsidRDefault="007075D9" w:rsidP="00B518F1">
      <w:pPr>
        <w:rPr>
          <w:b/>
          <w:bCs/>
        </w:rPr>
      </w:pPr>
    </w:p>
    <w:p w14:paraId="51286D6D" w14:textId="77777777" w:rsidR="007075D9" w:rsidRPr="004D46AC" w:rsidRDefault="007075D9" w:rsidP="00B518F1">
      <w:pPr>
        <w:rPr>
          <w:b/>
          <w:bCs/>
        </w:rPr>
      </w:pPr>
    </w:p>
    <w:p w14:paraId="16FAC07F" w14:textId="77777777" w:rsidR="007075D9" w:rsidRPr="004D46AC" w:rsidRDefault="007075D9" w:rsidP="00B518F1">
      <w:pPr>
        <w:rPr>
          <w:b/>
          <w:bCs/>
        </w:rPr>
      </w:pPr>
    </w:p>
    <w:p w14:paraId="2CB79012" w14:textId="77777777" w:rsidR="007075D9" w:rsidRPr="004D46AC" w:rsidRDefault="007075D9" w:rsidP="00B518F1">
      <w:pPr>
        <w:rPr>
          <w:b/>
          <w:bCs/>
        </w:rPr>
      </w:pPr>
    </w:p>
    <w:p w14:paraId="191EC467" w14:textId="77777777" w:rsidR="007075D9" w:rsidRPr="004D46AC" w:rsidRDefault="007075D9" w:rsidP="00B518F1">
      <w:pPr>
        <w:rPr>
          <w:b/>
          <w:bCs/>
        </w:rPr>
      </w:pPr>
    </w:p>
    <w:p w14:paraId="4C61704B" w14:textId="77777777" w:rsidR="007075D9" w:rsidRPr="004D46AC" w:rsidRDefault="007075D9" w:rsidP="00B518F1">
      <w:pPr>
        <w:rPr>
          <w:b/>
          <w:bCs/>
        </w:rPr>
      </w:pPr>
    </w:p>
    <w:p w14:paraId="511DD505" w14:textId="77777777" w:rsidR="007075D9" w:rsidRPr="004D46AC" w:rsidRDefault="007075D9" w:rsidP="00B518F1">
      <w:pPr>
        <w:rPr>
          <w:b/>
          <w:bCs/>
        </w:rPr>
      </w:pPr>
    </w:p>
    <w:p w14:paraId="0082109D" w14:textId="77777777" w:rsidR="007075D9" w:rsidRPr="004D46AC" w:rsidRDefault="007075D9" w:rsidP="00B518F1">
      <w:pPr>
        <w:rPr>
          <w:b/>
          <w:bCs/>
        </w:rPr>
      </w:pPr>
    </w:p>
    <w:p w14:paraId="18C40AD0" w14:textId="77777777" w:rsidR="007075D9" w:rsidRPr="004D46AC" w:rsidRDefault="007075D9" w:rsidP="00B518F1">
      <w:pPr>
        <w:rPr>
          <w:b/>
          <w:bCs/>
        </w:rPr>
      </w:pPr>
    </w:p>
    <w:p w14:paraId="33DF94BF" w14:textId="77777777" w:rsidR="007075D9" w:rsidRPr="004D46AC" w:rsidRDefault="007075D9" w:rsidP="00B518F1">
      <w:pPr>
        <w:rPr>
          <w:b/>
          <w:bCs/>
        </w:rPr>
      </w:pPr>
    </w:p>
    <w:p w14:paraId="235A37CC" w14:textId="77777777" w:rsidR="007075D9" w:rsidRPr="004D46AC" w:rsidRDefault="007075D9" w:rsidP="00B518F1">
      <w:pPr>
        <w:rPr>
          <w:b/>
          <w:bCs/>
        </w:rPr>
      </w:pPr>
    </w:p>
    <w:p w14:paraId="571B451E" w14:textId="77777777" w:rsidR="007075D9" w:rsidRPr="004D46AC" w:rsidRDefault="007075D9" w:rsidP="00B518F1">
      <w:pPr>
        <w:rPr>
          <w:b/>
          <w:bCs/>
        </w:rPr>
      </w:pPr>
    </w:p>
    <w:p w14:paraId="4C377457" w14:textId="77777777" w:rsidR="007075D9" w:rsidRPr="004D46AC" w:rsidRDefault="007075D9" w:rsidP="00B518F1">
      <w:pPr>
        <w:rPr>
          <w:b/>
          <w:bCs/>
        </w:rPr>
      </w:pPr>
    </w:p>
    <w:p w14:paraId="06770713" w14:textId="77777777" w:rsidR="007075D9" w:rsidRPr="004D46AC" w:rsidRDefault="007075D9" w:rsidP="00B518F1">
      <w:pPr>
        <w:rPr>
          <w:b/>
          <w:bCs/>
        </w:rPr>
      </w:pPr>
    </w:p>
    <w:p w14:paraId="245A5F2D" w14:textId="7D85EC61" w:rsidR="00D41749" w:rsidRPr="004D46AC" w:rsidRDefault="00D41749" w:rsidP="00D41749">
      <w:pPr>
        <w:pStyle w:val="afff0"/>
        <w:spacing w:after="0"/>
        <w:ind w:firstLine="0"/>
        <w:rPr>
          <w:b/>
          <w:bCs/>
          <w:i w:val="0"/>
          <w:iCs w:val="0"/>
          <w:color w:val="auto"/>
          <w:sz w:val="22"/>
          <w:szCs w:val="22"/>
        </w:rPr>
      </w:pPr>
      <w:bookmarkStart w:id="309" w:name="_Toc225271026"/>
      <w:r w:rsidRPr="004D46AC">
        <w:rPr>
          <w:b/>
          <w:bCs/>
          <w:i w:val="0"/>
          <w:iCs w:val="0"/>
          <w:color w:val="auto"/>
          <w:sz w:val="22"/>
          <w:szCs w:val="22"/>
        </w:rPr>
        <w:t xml:space="preserve">Table B </w:t>
      </w:r>
      <w:r w:rsidRPr="004D46AC">
        <w:rPr>
          <w:b/>
          <w:bCs/>
          <w:i w:val="0"/>
          <w:iCs w:val="0"/>
          <w:color w:val="auto"/>
          <w:sz w:val="22"/>
          <w:szCs w:val="22"/>
        </w:rPr>
        <w:fldChar w:fldCharType="begin"/>
      </w:r>
      <w:r w:rsidRPr="004D46AC">
        <w:rPr>
          <w:b/>
          <w:bCs/>
          <w:i w:val="0"/>
          <w:iCs w:val="0"/>
          <w:color w:val="auto"/>
          <w:sz w:val="22"/>
          <w:szCs w:val="22"/>
        </w:rPr>
        <w:instrText xml:space="preserve"> SEQ Table_B \* ARABIC </w:instrText>
      </w:r>
      <w:r w:rsidRPr="004D46AC">
        <w:rPr>
          <w:b/>
          <w:bCs/>
          <w:i w:val="0"/>
          <w:iCs w:val="0"/>
          <w:color w:val="auto"/>
          <w:sz w:val="22"/>
          <w:szCs w:val="22"/>
        </w:rPr>
        <w:fldChar w:fldCharType="separate"/>
      </w:r>
      <w:r w:rsidR="009864DB" w:rsidRPr="004D46AC">
        <w:rPr>
          <w:b/>
          <w:bCs/>
          <w:i w:val="0"/>
          <w:iCs w:val="0"/>
          <w:noProof/>
          <w:color w:val="auto"/>
          <w:sz w:val="22"/>
          <w:szCs w:val="22"/>
        </w:rPr>
        <w:t>4</w:t>
      </w:r>
      <w:bookmarkEnd w:id="309"/>
      <w:r w:rsidRPr="004D46AC">
        <w:rPr>
          <w:b/>
          <w:bCs/>
          <w:i w:val="0"/>
          <w:iCs w:val="0"/>
          <w:color w:val="auto"/>
          <w:sz w:val="22"/>
          <w:szCs w:val="22"/>
        </w:rPr>
        <w:fldChar w:fldCharType="end"/>
      </w:r>
    </w:p>
    <w:p w14:paraId="6A767DED" w14:textId="77777777" w:rsidR="007075D9" w:rsidRPr="004D46AC" w:rsidRDefault="007075D9" w:rsidP="00D41749">
      <w:pPr>
        <w:spacing w:line="240" w:lineRule="auto"/>
        <w:ind w:firstLine="0"/>
        <w:rPr>
          <w:i/>
          <w:iCs/>
        </w:rPr>
      </w:pPr>
      <w:r w:rsidRPr="004D46AC">
        <w:rPr>
          <w:i/>
          <w:iCs/>
        </w:rPr>
        <w:t>Search strategies for synthesis of comorbid thought disorders</w:t>
      </w:r>
    </w:p>
    <w:tbl>
      <w:tblPr>
        <w:tblStyle w:val="afc"/>
        <w:tblW w:w="0" w:type="auto"/>
        <w:tblLook w:val="04A0" w:firstRow="1" w:lastRow="0" w:firstColumn="1" w:lastColumn="0" w:noHBand="0" w:noVBand="1"/>
      </w:tblPr>
      <w:tblGrid>
        <w:gridCol w:w="2405"/>
        <w:gridCol w:w="5891"/>
      </w:tblGrid>
      <w:tr w:rsidR="007075D9" w:rsidRPr="004D46AC" w14:paraId="5A824303" w14:textId="77777777" w:rsidTr="00B518F1">
        <w:tc>
          <w:tcPr>
            <w:tcW w:w="2405" w:type="dxa"/>
          </w:tcPr>
          <w:p w14:paraId="5EC9DFD0" w14:textId="77777777" w:rsidR="007075D9" w:rsidRPr="004D46AC" w:rsidRDefault="007075D9" w:rsidP="00D41749">
            <w:pPr>
              <w:spacing w:line="240" w:lineRule="auto"/>
              <w:ind w:firstLine="0"/>
            </w:pPr>
            <w:r w:rsidRPr="004D46AC">
              <w:t>Database</w:t>
            </w:r>
          </w:p>
        </w:tc>
        <w:tc>
          <w:tcPr>
            <w:tcW w:w="5891" w:type="dxa"/>
          </w:tcPr>
          <w:p w14:paraId="019C0BED" w14:textId="77777777" w:rsidR="007075D9" w:rsidRPr="004D46AC" w:rsidRDefault="007075D9" w:rsidP="00D41749">
            <w:pPr>
              <w:spacing w:line="240" w:lineRule="auto"/>
              <w:ind w:firstLine="0"/>
            </w:pPr>
            <w:r w:rsidRPr="004D46AC">
              <w:t>Boolean formula</w:t>
            </w:r>
          </w:p>
        </w:tc>
      </w:tr>
      <w:tr w:rsidR="007075D9" w:rsidRPr="004D46AC" w14:paraId="59B7F258" w14:textId="77777777" w:rsidTr="00B518F1">
        <w:tc>
          <w:tcPr>
            <w:tcW w:w="2405" w:type="dxa"/>
          </w:tcPr>
          <w:p w14:paraId="5251A19B" w14:textId="77777777" w:rsidR="007075D9" w:rsidRPr="004D46AC" w:rsidRDefault="007075D9" w:rsidP="00D41749">
            <w:pPr>
              <w:spacing w:line="240" w:lineRule="auto"/>
              <w:ind w:firstLine="0"/>
            </w:pPr>
            <w:r w:rsidRPr="004D46AC">
              <w:t>Psych INFO</w:t>
            </w:r>
          </w:p>
        </w:tc>
        <w:tc>
          <w:tcPr>
            <w:tcW w:w="5891" w:type="dxa"/>
          </w:tcPr>
          <w:p w14:paraId="20B1A29C" w14:textId="77777777" w:rsidR="007075D9" w:rsidRPr="004D46AC" w:rsidRDefault="007075D9" w:rsidP="00D41749">
            <w:pPr>
              <w:spacing w:line="240" w:lineRule="auto"/>
              <w:ind w:firstLine="0"/>
            </w:pPr>
            <w:r w:rsidRPr="004D46AC">
              <w:t>((schizophrenia or psychosis or psychotic) and (bipolar or manic-depressive or mania) and (thought disorder or disorganized)</w:t>
            </w:r>
            <w:proofErr w:type="gramStart"/>
            <w:r w:rsidRPr="004D46AC">
              <w:t>).ab.</w:t>
            </w:r>
            <w:proofErr w:type="gramEnd"/>
            <w:r w:rsidRPr="004D46AC">
              <w:t xml:space="preserve"> or ((schizophrenia or psychosis or psychotic) and (bipolar or manic-depressive or mania) and (thought disorder or disorganized)).</w:t>
            </w:r>
            <w:proofErr w:type="spellStart"/>
            <w:r w:rsidRPr="004D46AC">
              <w:t>ti</w:t>
            </w:r>
            <w:proofErr w:type="spellEnd"/>
            <w:r w:rsidRPr="004D46AC">
              <w:t>.</w:t>
            </w:r>
          </w:p>
        </w:tc>
      </w:tr>
      <w:tr w:rsidR="007075D9" w:rsidRPr="004D46AC" w14:paraId="12D61DB4" w14:textId="77777777" w:rsidTr="00B518F1">
        <w:tc>
          <w:tcPr>
            <w:tcW w:w="2405" w:type="dxa"/>
          </w:tcPr>
          <w:p w14:paraId="00D8F23D" w14:textId="77777777" w:rsidR="007075D9" w:rsidRPr="004D46AC" w:rsidRDefault="007075D9" w:rsidP="00D41749">
            <w:pPr>
              <w:spacing w:line="240" w:lineRule="auto"/>
              <w:ind w:firstLine="0"/>
            </w:pPr>
            <w:r w:rsidRPr="004D46AC">
              <w:t>Web of Science</w:t>
            </w:r>
          </w:p>
        </w:tc>
        <w:tc>
          <w:tcPr>
            <w:tcW w:w="5891" w:type="dxa"/>
          </w:tcPr>
          <w:p w14:paraId="1DD1C097" w14:textId="77777777" w:rsidR="007075D9" w:rsidRPr="004D46AC" w:rsidRDefault="007075D9" w:rsidP="00D41749">
            <w:pPr>
              <w:spacing w:line="240" w:lineRule="auto"/>
              <w:ind w:firstLine="0"/>
            </w:pPr>
            <w:r w:rsidRPr="004D46AC">
              <w:t xml:space="preserve">(AB=(schizophrenia) OR AB=(psychosis) OR AB=(psychotic)) AND (AB=(bipolar) OR AB=(mania) OR AB=(manic-depressive)) </w:t>
            </w:r>
            <w:proofErr w:type="gramStart"/>
            <w:r w:rsidRPr="004D46AC">
              <w:t>AND(</w:t>
            </w:r>
            <w:proofErr w:type="gramEnd"/>
            <w:r w:rsidRPr="004D46AC">
              <w:t>AB</w:t>
            </w:r>
            <w:proofErr w:type="gramStart"/>
            <w:r w:rsidRPr="004D46AC">
              <w:t>=(</w:t>
            </w:r>
            <w:proofErr w:type="gramEnd"/>
            <w:r w:rsidRPr="004D46AC">
              <w:t>thought disorder) OR AB=(disorganized))</w:t>
            </w:r>
          </w:p>
        </w:tc>
      </w:tr>
      <w:tr w:rsidR="007075D9" w:rsidRPr="004D46AC" w14:paraId="6DC8B0C8" w14:textId="77777777" w:rsidTr="00B518F1">
        <w:tc>
          <w:tcPr>
            <w:tcW w:w="2405" w:type="dxa"/>
          </w:tcPr>
          <w:p w14:paraId="3B3E2DE3" w14:textId="77777777" w:rsidR="007075D9" w:rsidRPr="004D46AC" w:rsidRDefault="007075D9" w:rsidP="00D41749">
            <w:pPr>
              <w:spacing w:line="240" w:lineRule="auto"/>
              <w:ind w:firstLine="0"/>
            </w:pPr>
            <w:r w:rsidRPr="004D46AC">
              <w:rPr>
                <w:rFonts w:eastAsia="Times New Roman"/>
                <w:color w:val="333333"/>
              </w:rPr>
              <w:t>MEDLINE</w:t>
            </w:r>
          </w:p>
        </w:tc>
        <w:tc>
          <w:tcPr>
            <w:tcW w:w="5891" w:type="dxa"/>
          </w:tcPr>
          <w:p w14:paraId="5B733518" w14:textId="77777777" w:rsidR="007075D9" w:rsidRPr="004D46AC" w:rsidRDefault="007075D9" w:rsidP="00D41749">
            <w:pPr>
              <w:spacing w:line="240" w:lineRule="auto"/>
              <w:ind w:firstLine="0"/>
            </w:pPr>
            <w:r w:rsidRPr="004D46AC">
              <w:t>((schizophrenia [Title/Abstract]) OR (psychosis [Title/Abstract]) OR (psychotic [Title/Abstract])) AND ((bipolar [Title/Abstract]) OR (manic- depressive [Title/Abstract]) OR (mania [Title/Abstract])) AND ((thought disorder [Title/Abstract]) OR (disorganized [Title/Abstract]))</w:t>
            </w:r>
          </w:p>
        </w:tc>
      </w:tr>
    </w:tbl>
    <w:p w14:paraId="4732EB68" w14:textId="77777777" w:rsidR="007075D9" w:rsidRPr="004D46AC" w:rsidRDefault="007075D9" w:rsidP="00B518F1">
      <w:pPr>
        <w:rPr>
          <w:b/>
          <w:bCs/>
        </w:rPr>
      </w:pPr>
    </w:p>
    <w:p w14:paraId="077DCD46" w14:textId="77777777" w:rsidR="007075D9" w:rsidRPr="004D46AC" w:rsidRDefault="007075D9" w:rsidP="00B518F1">
      <w:pPr>
        <w:rPr>
          <w:b/>
          <w:bCs/>
        </w:rPr>
      </w:pPr>
    </w:p>
    <w:p w14:paraId="0038BDC4" w14:textId="77777777" w:rsidR="007075D9" w:rsidRPr="004D46AC" w:rsidRDefault="007075D9" w:rsidP="00B518F1">
      <w:pPr>
        <w:rPr>
          <w:b/>
          <w:bCs/>
        </w:rPr>
      </w:pPr>
    </w:p>
    <w:p w14:paraId="1BD4B8AF" w14:textId="77777777" w:rsidR="007075D9" w:rsidRPr="004D46AC" w:rsidRDefault="007075D9" w:rsidP="00B518F1">
      <w:pPr>
        <w:rPr>
          <w:b/>
          <w:bCs/>
        </w:rPr>
      </w:pPr>
    </w:p>
    <w:p w14:paraId="4ABDD90F" w14:textId="77777777" w:rsidR="007075D9" w:rsidRPr="004D46AC" w:rsidRDefault="007075D9" w:rsidP="00B518F1">
      <w:pPr>
        <w:rPr>
          <w:b/>
          <w:bCs/>
        </w:rPr>
      </w:pPr>
    </w:p>
    <w:p w14:paraId="703CE140" w14:textId="77777777" w:rsidR="007075D9" w:rsidRPr="004D46AC" w:rsidRDefault="007075D9" w:rsidP="00B518F1">
      <w:pPr>
        <w:rPr>
          <w:b/>
          <w:bCs/>
        </w:rPr>
      </w:pPr>
    </w:p>
    <w:p w14:paraId="6A9A350E" w14:textId="77777777" w:rsidR="007075D9" w:rsidRPr="004D46AC" w:rsidRDefault="007075D9" w:rsidP="00B518F1">
      <w:pPr>
        <w:rPr>
          <w:b/>
          <w:bCs/>
        </w:rPr>
      </w:pPr>
    </w:p>
    <w:p w14:paraId="38F24E00" w14:textId="77777777" w:rsidR="007075D9" w:rsidRPr="004D46AC" w:rsidRDefault="007075D9" w:rsidP="00B518F1">
      <w:pPr>
        <w:rPr>
          <w:b/>
          <w:bCs/>
        </w:rPr>
      </w:pPr>
    </w:p>
    <w:p w14:paraId="42A72FC4" w14:textId="77777777" w:rsidR="007075D9" w:rsidRPr="004D46AC" w:rsidRDefault="007075D9" w:rsidP="00B518F1">
      <w:pPr>
        <w:rPr>
          <w:b/>
          <w:bCs/>
        </w:rPr>
      </w:pPr>
    </w:p>
    <w:p w14:paraId="22E03CE9" w14:textId="77777777" w:rsidR="007075D9" w:rsidRPr="004D46AC" w:rsidRDefault="007075D9" w:rsidP="00B518F1">
      <w:pPr>
        <w:rPr>
          <w:b/>
          <w:bCs/>
        </w:rPr>
      </w:pPr>
    </w:p>
    <w:p w14:paraId="0F8D6DCC" w14:textId="77777777" w:rsidR="007075D9" w:rsidRPr="004D46AC" w:rsidRDefault="007075D9" w:rsidP="00B518F1">
      <w:pPr>
        <w:rPr>
          <w:b/>
          <w:bCs/>
        </w:rPr>
      </w:pPr>
    </w:p>
    <w:p w14:paraId="3FB9D299" w14:textId="77777777" w:rsidR="007075D9" w:rsidRPr="004D46AC" w:rsidRDefault="007075D9" w:rsidP="00B518F1">
      <w:pPr>
        <w:rPr>
          <w:b/>
          <w:bCs/>
        </w:rPr>
      </w:pPr>
    </w:p>
    <w:p w14:paraId="56D106DB" w14:textId="77777777" w:rsidR="007075D9" w:rsidRPr="004D46AC" w:rsidRDefault="007075D9" w:rsidP="00B518F1">
      <w:pPr>
        <w:rPr>
          <w:b/>
          <w:bCs/>
        </w:rPr>
      </w:pPr>
    </w:p>
    <w:p w14:paraId="2C00E025" w14:textId="77777777" w:rsidR="007075D9" w:rsidRPr="004D46AC" w:rsidRDefault="007075D9" w:rsidP="00B518F1">
      <w:pPr>
        <w:rPr>
          <w:b/>
          <w:bCs/>
        </w:rPr>
      </w:pPr>
    </w:p>
    <w:p w14:paraId="38A3A417" w14:textId="77777777" w:rsidR="007075D9" w:rsidRPr="004D46AC" w:rsidRDefault="007075D9" w:rsidP="00B518F1">
      <w:pPr>
        <w:rPr>
          <w:b/>
          <w:bCs/>
        </w:rPr>
      </w:pPr>
    </w:p>
    <w:p w14:paraId="78DAC61E" w14:textId="77777777" w:rsidR="007075D9" w:rsidRPr="004D46AC" w:rsidRDefault="007075D9" w:rsidP="00B518F1">
      <w:pPr>
        <w:rPr>
          <w:b/>
          <w:bCs/>
        </w:rPr>
      </w:pPr>
    </w:p>
    <w:p w14:paraId="7BEF5CD7" w14:textId="77777777" w:rsidR="007075D9" w:rsidRPr="004D46AC" w:rsidRDefault="007075D9" w:rsidP="00B518F1">
      <w:pPr>
        <w:rPr>
          <w:b/>
          <w:bCs/>
        </w:rPr>
      </w:pPr>
    </w:p>
    <w:p w14:paraId="57B1FFDF" w14:textId="1EFA5F56" w:rsidR="00D41749" w:rsidRPr="004D46AC" w:rsidRDefault="00D41749" w:rsidP="00D41749">
      <w:pPr>
        <w:pStyle w:val="afff0"/>
        <w:spacing w:after="0"/>
        <w:ind w:firstLine="0"/>
        <w:rPr>
          <w:rFonts w:eastAsiaTheme="minorEastAsia"/>
          <w:b/>
          <w:bCs/>
          <w:i w:val="0"/>
          <w:iCs w:val="0"/>
          <w:color w:val="auto"/>
          <w:sz w:val="22"/>
          <w:szCs w:val="22"/>
        </w:rPr>
      </w:pPr>
      <w:bookmarkStart w:id="310" w:name="_Toc225271027"/>
      <w:r w:rsidRPr="004D46AC">
        <w:rPr>
          <w:b/>
          <w:bCs/>
          <w:i w:val="0"/>
          <w:iCs w:val="0"/>
          <w:color w:val="auto"/>
          <w:sz w:val="22"/>
          <w:szCs w:val="22"/>
        </w:rPr>
        <w:lastRenderedPageBreak/>
        <w:t xml:space="preserve">Table B </w:t>
      </w:r>
      <w:r w:rsidRPr="004D46AC">
        <w:rPr>
          <w:b/>
          <w:bCs/>
          <w:i w:val="0"/>
          <w:iCs w:val="0"/>
          <w:color w:val="auto"/>
          <w:sz w:val="22"/>
          <w:szCs w:val="22"/>
        </w:rPr>
        <w:fldChar w:fldCharType="begin"/>
      </w:r>
      <w:r w:rsidRPr="004D46AC">
        <w:rPr>
          <w:b/>
          <w:bCs/>
          <w:i w:val="0"/>
          <w:iCs w:val="0"/>
          <w:color w:val="auto"/>
          <w:sz w:val="22"/>
          <w:szCs w:val="22"/>
        </w:rPr>
        <w:instrText xml:space="preserve"> SEQ Table_B \* ARABIC </w:instrText>
      </w:r>
      <w:r w:rsidRPr="004D46AC">
        <w:rPr>
          <w:b/>
          <w:bCs/>
          <w:i w:val="0"/>
          <w:iCs w:val="0"/>
          <w:color w:val="auto"/>
          <w:sz w:val="22"/>
          <w:szCs w:val="22"/>
        </w:rPr>
        <w:fldChar w:fldCharType="separate"/>
      </w:r>
      <w:r w:rsidR="009864DB" w:rsidRPr="004D46AC">
        <w:rPr>
          <w:b/>
          <w:bCs/>
          <w:i w:val="0"/>
          <w:iCs w:val="0"/>
          <w:noProof/>
          <w:color w:val="auto"/>
          <w:sz w:val="22"/>
          <w:szCs w:val="22"/>
        </w:rPr>
        <w:t>5</w:t>
      </w:r>
      <w:bookmarkEnd w:id="310"/>
      <w:r w:rsidRPr="004D46AC">
        <w:rPr>
          <w:b/>
          <w:bCs/>
          <w:i w:val="0"/>
          <w:iCs w:val="0"/>
          <w:color w:val="auto"/>
          <w:sz w:val="22"/>
          <w:szCs w:val="22"/>
        </w:rPr>
        <w:fldChar w:fldCharType="end"/>
      </w:r>
    </w:p>
    <w:p w14:paraId="61AE5651" w14:textId="50473B12" w:rsidR="007075D9" w:rsidRPr="004D46AC" w:rsidRDefault="007075D9" w:rsidP="00D41749">
      <w:pPr>
        <w:spacing w:line="240" w:lineRule="auto"/>
        <w:ind w:firstLine="0"/>
        <w:rPr>
          <w:i/>
          <w:iCs/>
        </w:rPr>
      </w:pPr>
      <w:r w:rsidRPr="004D46AC">
        <w:rPr>
          <w:i/>
          <w:iCs/>
        </w:rPr>
        <w:t xml:space="preserve">The coding method for included variables </w:t>
      </w:r>
    </w:p>
    <w:tbl>
      <w:tblPr>
        <w:tblStyle w:val="afc"/>
        <w:tblW w:w="0" w:type="auto"/>
        <w:tblLook w:val="04A0" w:firstRow="1" w:lastRow="0" w:firstColumn="1" w:lastColumn="0" w:noHBand="0" w:noVBand="1"/>
      </w:tblPr>
      <w:tblGrid>
        <w:gridCol w:w="2074"/>
        <w:gridCol w:w="2074"/>
        <w:gridCol w:w="2074"/>
        <w:gridCol w:w="2074"/>
      </w:tblGrid>
      <w:tr w:rsidR="007075D9" w:rsidRPr="004D46AC" w14:paraId="55F198B2" w14:textId="77777777" w:rsidTr="00B518F1">
        <w:tc>
          <w:tcPr>
            <w:tcW w:w="2074" w:type="dxa"/>
          </w:tcPr>
          <w:p w14:paraId="78324B72" w14:textId="77777777" w:rsidR="007075D9" w:rsidRPr="004D46AC" w:rsidRDefault="007075D9" w:rsidP="00D41749">
            <w:pPr>
              <w:spacing w:line="240" w:lineRule="auto"/>
              <w:ind w:firstLine="0"/>
              <w:rPr>
                <w:b/>
                <w:bCs/>
              </w:rPr>
            </w:pPr>
            <w:r w:rsidRPr="004D46AC">
              <w:rPr>
                <w:b/>
                <w:bCs/>
              </w:rPr>
              <w:t>Variable name</w:t>
            </w:r>
          </w:p>
        </w:tc>
        <w:tc>
          <w:tcPr>
            <w:tcW w:w="2074" w:type="dxa"/>
          </w:tcPr>
          <w:p w14:paraId="3C855571" w14:textId="77777777" w:rsidR="007075D9" w:rsidRPr="004D46AC" w:rsidRDefault="007075D9" w:rsidP="00D41749">
            <w:pPr>
              <w:spacing w:line="240" w:lineRule="auto"/>
              <w:ind w:firstLine="0"/>
              <w:rPr>
                <w:b/>
                <w:bCs/>
              </w:rPr>
            </w:pPr>
            <w:r w:rsidRPr="004D46AC">
              <w:rPr>
                <w:b/>
                <w:bCs/>
              </w:rPr>
              <w:t>Description</w:t>
            </w:r>
          </w:p>
        </w:tc>
        <w:tc>
          <w:tcPr>
            <w:tcW w:w="2074" w:type="dxa"/>
          </w:tcPr>
          <w:p w14:paraId="622BA1CC" w14:textId="77777777" w:rsidR="007075D9" w:rsidRPr="004D46AC" w:rsidRDefault="007075D9" w:rsidP="00D41749">
            <w:pPr>
              <w:spacing w:line="240" w:lineRule="auto"/>
              <w:ind w:firstLine="0"/>
              <w:rPr>
                <w:b/>
                <w:bCs/>
              </w:rPr>
            </w:pPr>
            <w:r w:rsidRPr="004D46AC">
              <w:rPr>
                <w:b/>
                <w:bCs/>
              </w:rPr>
              <w:t>Type</w:t>
            </w:r>
          </w:p>
        </w:tc>
        <w:tc>
          <w:tcPr>
            <w:tcW w:w="2074" w:type="dxa"/>
          </w:tcPr>
          <w:p w14:paraId="3EEAEF78" w14:textId="77777777" w:rsidR="007075D9" w:rsidRPr="004D46AC" w:rsidRDefault="007075D9" w:rsidP="00D41749">
            <w:pPr>
              <w:spacing w:line="240" w:lineRule="auto"/>
              <w:ind w:firstLine="0"/>
              <w:rPr>
                <w:b/>
                <w:bCs/>
              </w:rPr>
            </w:pPr>
            <w:r w:rsidRPr="004D46AC">
              <w:rPr>
                <w:b/>
                <w:bCs/>
              </w:rPr>
              <w:t xml:space="preserve">Coding </w:t>
            </w:r>
          </w:p>
        </w:tc>
      </w:tr>
      <w:tr w:rsidR="007075D9" w:rsidRPr="004D46AC" w14:paraId="67EC0AA6" w14:textId="77777777" w:rsidTr="00B518F1">
        <w:tc>
          <w:tcPr>
            <w:tcW w:w="2074" w:type="dxa"/>
          </w:tcPr>
          <w:p w14:paraId="307BD728" w14:textId="77777777" w:rsidR="007075D9" w:rsidRPr="004D46AC" w:rsidRDefault="007075D9" w:rsidP="00D41749">
            <w:pPr>
              <w:spacing w:line="240" w:lineRule="auto"/>
              <w:ind w:firstLine="0"/>
            </w:pPr>
            <w:r w:rsidRPr="004D46AC">
              <w:t>Gender</w:t>
            </w:r>
          </w:p>
        </w:tc>
        <w:tc>
          <w:tcPr>
            <w:tcW w:w="2074" w:type="dxa"/>
          </w:tcPr>
          <w:p w14:paraId="19F9E1FD" w14:textId="77777777" w:rsidR="007075D9" w:rsidRPr="004D46AC" w:rsidRDefault="007075D9" w:rsidP="00D41749">
            <w:pPr>
              <w:spacing w:line="240" w:lineRule="auto"/>
              <w:ind w:firstLine="0"/>
            </w:pPr>
            <w:r w:rsidRPr="004D46AC">
              <w:t>Sex identity of the participants</w:t>
            </w:r>
          </w:p>
        </w:tc>
        <w:tc>
          <w:tcPr>
            <w:tcW w:w="2074" w:type="dxa"/>
          </w:tcPr>
          <w:p w14:paraId="225F7330" w14:textId="77777777" w:rsidR="007075D9" w:rsidRPr="004D46AC" w:rsidRDefault="007075D9" w:rsidP="00D41749">
            <w:pPr>
              <w:spacing w:line="240" w:lineRule="auto"/>
              <w:ind w:firstLine="0"/>
            </w:pPr>
            <w:r w:rsidRPr="004D46AC">
              <w:t>Categorical</w:t>
            </w:r>
          </w:p>
        </w:tc>
        <w:tc>
          <w:tcPr>
            <w:tcW w:w="2074" w:type="dxa"/>
          </w:tcPr>
          <w:p w14:paraId="42D2CED4" w14:textId="77777777" w:rsidR="007075D9" w:rsidRPr="004D46AC" w:rsidRDefault="007075D9" w:rsidP="00D41749">
            <w:pPr>
              <w:spacing w:line="240" w:lineRule="auto"/>
              <w:ind w:firstLine="0"/>
            </w:pPr>
            <w:r w:rsidRPr="004D46AC">
              <w:t>0=male,</w:t>
            </w:r>
          </w:p>
          <w:p w14:paraId="2C55856A" w14:textId="77777777" w:rsidR="007075D9" w:rsidRPr="004D46AC" w:rsidRDefault="007075D9" w:rsidP="00D41749">
            <w:pPr>
              <w:spacing w:line="240" w:lineRule="auto"/>
              <w:ind w:firstLine="0"/>
            </w:pPr>
            <w:r w:rsidRPr="004D46AC">
              <w:t>1=female.</w:t>
            </w:r>
          </w:p>
        </w:tc>
      </w:tr>
      <w:tr w:rsidR="007075D9" w:rsidRPr="004D46AC" w14:paraId="69CE43D7" w14:textId="77777777" w:rsidTr="00B518F1">
        <w:tc>
          <w:tcPr>
            <w:tcW w:w="2074" w:type="dxa"/>
          </w:tcPr>
          <w:p w14:paraId="656165A8" w14:textId="77777777" w:rsidR="007075D9" w:rsidRPr="004D46AC" w:rsidRDefault="007075D9" w:rsidP="00D41749">
            <w:pPr>
              <w:spacing w:line="240" w:lineRule="auto"/>
              <w:ind w:firstLine="0"/>
            </w:pPr>
            <w:r w:rsidRPr="004D46AC">
              <w:t>Age</w:t>
            </w:r>
          </w:p>
        </w:tc>
        <w:tc>
          <w:tcPr>
            <w:tcW w:w="2074" w:type="dxa"/>
          </w:tcPr>
          <w:p w14:paraId="6485D8B0" w14:textId="77777777" w:rsidR="007075D9" w:rsidRPr="004D46AC" w:rsidRDefault="007075D9" w:rsidP="00D41749">
            <w:pPr>
              <w:spacing w:line="240" w:lineRule="auto"/>
              <w:ind w:firstLine="0"/>
            </w:pPr>
            <w:r w:rsidRPr="004D46AC">
              <w:t>Age at assessment</w:t>
            </w:r>
          </w:p>
        </w:tc>
        <w:tc>
          <w:tcPr>
            <w:tcW w:w="2074" w:type="dxa"/>
          </w:tcPr>
          <w:p w14:paraId="7DD6BF09" w14:textId="77777777" w:rsidR="007075D9" w:rsidRPr="004D46AC" w:rsidRDefault="007075D9" w:rsidP="00D41749">
            <w:pPr>
              <w:spacing w:line="240" w:lineRule="auto"/>
              <w:ind w:firstLine="0"/>
            </w:pPr>
            <w:r w:rsidRPr="004D46AC">
              <w:t>Numeric (mean or median value)</w:t>
            </w:r>
          </w:p>
        </w:tc>
        <w:tc>
          <w:tcPr>
            <w:tcW w:w="2074" w:type="dxa"/>
          </w:tcPr>
          <w:p w14:paraId="326BBA13" w14:textId="77777777" w:rsidR="007075D9" w:rsidRPr="004D46AC" w:rsidRDefault="007075D9" w:rsidP="00D41749">
            <w:pPr>
              <w:spacing w:line="240" w:lineRule="auto"/>
              <w:ind w:firstLine="0"/>
            </w:pPr>
            <w:r w:rsidRPr="004D46AC">
              <w:t>Default</w:t>
            </w:r>
          </w:p>
        </w:tc>
      </w:tr>
      <w:tr w:rsidR="007075D9" w:rsidRPr="004D46AC" w14:paraId="5E25FE19" w14:textId="77777777" w:rsidTr="00B518F1">
        <w:tc>
          <w:tcPr>
            <w:tcW w:w="2074" w:type="dxa"/>
          </w:tcPr>
          <w:p w14:paraId="290D8040" w14:textId="77777777" w:rsidR="007075D9" w:rsidRPr="004D46AC" w:rsidRDefault="007075D9" w:rsidP="00D41749">
            <w:pPr>
              <w:spacing w:line="240" w:lineRule="auto"/>
              <w:ind w:firstLine="0"/>
            </w:pPr>
            <w:r w:rsidRPr="004D46AC">
              <w:t>Study IDs</w:t>
            </w:r>
          </w:p>
        </w:tc>
        <w:tc>
          <w:tcPr>
            <w:tcW w:w="2074" w:type="dxa"/>
          </w:tcPr>
          <w:p w14:paraId="05FDD55F" w14:textId="77777777" w:rsidR="007075D9" w:rsidRPr="004D46AC" w:rsidRDefault="007075D9" w:rsidP="00D41749">
            <w:pPr>
              <w:spacing w:line="240" w:lineRule="auto"/>
              <w:ind w:firstLine="0"/>
            </w:pPr>
            <w:proofErr w:type="gramStart"/>
            <w:r w:rsidRPr="004D46AC">
              <w:t>In order to</w:t>
            </w:r>
            <w:proofErr w:type="gramEnd"/>
            <w:r w:rsidRPr="004D46AC">
              <w:t xml:space="preserve"> manage the dataset numbers were assigned to each study sequentially, from 1 to n. </w:t>
            </w:r>
          </w:p>
        </w:tc>
        <w:tc>
          <w:tcPr>
            <w:tcW w:w="2074" w:type="dxa"/>
          </w:tcPr>
          <w:p w14:paraId="75EF40E0" w14:textId="77777777" w:rsidR="007075D9" w:rsidRPr="004D46AC" w:rsidRDefault="007075D9" w:rsidP="00D41749">
            <w:pPr>
              <w:spacing w:line="240" w:lineRule="auto"/>
              <w:ind w:firstLine="0"/>
            </w:pPr>
            <w:r w:rsidRPr="004D46AC">
              <w:t xml:space="preserve">Numeric </w:t>
            </w:r>
          </w:p>
        </w:tc>
        <w:tc>
          <w:tcPr>
            <w:tcW w:w="2074" w:type="dxa"/>
          </w:tcPr>
          <w:p w14:paraId="7698C762" w14:textId="77777777" w:rsidR="007075D9" w:rsidRPr="004D46AC" w:rsidRDefault="007075D9" w:rsidP="00D41749">
            <w:pPr>
              <w:spacing w:line="240" w:lineRule="auto"/>
              <w:ind w:firstLine="0"/>
            </w:pPr>
            <w:r w:rsidRPr="004D46AC">
              <w:t>Default</w:t>
            </w:r>
          </w:p>
        </w:tc>
      </w:tr>
      <w:tr w:rsidR="007075D9" w:rsidRPr="004D46AC" w14:paraId="057998C1" w14:textId="77777777" w:rsidTr="00B518F1">
        <w:tc>
          <w:tcPr>
            <w:tcW w:w="2074" w:type="dxa"/>
          </w:tcPr>
          <w:p w14:paraId="7291FCE4" w14:textId="77777777" w:rsidR="007075D9" w:rsidRPr="004D46AC" w:rsidRDefault="007075D9" w:rsidP="00D41749">
            <w:pPr>
              <w:spacing w:line="240" w:lineRule="auto"/>
              <w:ind w:firstLine="0"/>
            </w:pPr>
            <w:r w:rsidRPr="004D46AC">
              <w:t>Publication year</w:t>
            </w:r>
          </w:p>
        </w:tc>
        <w:tc>
          <w:tcPr>
            <w:tcW w:w="2074" w:type="dxa"/>
          </w:tcPr>
          <w:p w14:paraId="659FA1AD" w14:textId="77777777" w:rsidR="007075D9" w:rsidRPr="004D46AC" w:rsidRDefault="007075D9" w:rsidP="00D41749">
            <w:pPr>
              <w:spacing w:line="240" w:lineRule="auto"/>
              <w:ind w:firstLine="0"/>
            </w:pPr>
            <w:r w:rsidRPr="004D46AC">
              <w:t xml:space="preserve">The year that the article has been published </w:t>
            </w:r>
          </w:p>
        </w:tc>
        <w:tc>
          <w:tcPr>
            <w:tcW w:w="2074" w:type="dxa"/>
          </w:tcPr>
          <w:p w14:paraId="380A4496" w14:textId="77777777" w:rsidR="007075D9" w:rsidRPr="004D46AC" w:rsidRDefault="007075D9" w:rsidP="00D41749">
            <w:pPr>
              <w:spacing w:line="240" w:lineRule="auto"/>
              <w:ind w:firstLine="0"/>
            </w:pPr>
            <w:r w:rsidRPr="004D46AC">
              <w:t>Numeric</w:t>
            </w:r>
          </w:p>
        </w:tc>
        <w:tc>
          <w:tcPr>
            <w:tcW w:w="2074" w:type="dxa"/>
          </w:tcPr>
          <w:p w14:paraId="7CF6070E" w14:textId="77777777" w:rsidR="007075D9" w:rsidRPr="004D46AC" w:rsidRDefault="007075D9" w:rsidP="00D41749">
            <w:pPr>
              <w:spacing w:line="240" w:lineRule="auto"/>
              <w:ind w:firstLine="0"/>
            </w:pPr>
            <w:r w:rsidRPr="004D46AC">
              <w:t>Default</w:t>
            </w:r>
          </w:p>
        </w:tc>
      </w:tr>
      <w:tr w:rsidR="007075D9" w:rsidRPr="004D46AC" w14:paraId="1A8CDE98" w14:textId="77777777" w:rsidTr="00B518F1">
        <w:tc>
          <w:tcPr>
            <w:tcW w:w="2074" w:type="dxa"/>
          </w:tcPr>
          <w:p w14:paraId="24E5D08C" w14:textId="77777777" w:rsidR="007075D9" w:rsidRPr="004D46AC" w:rsidRDefault="007075D9" w:rsidP="00D41749">
            <w:pPr>
              <w:spacing w:line="240" w:lineRule="auto"/>
              <w:ind w:firstLine="0"/>
            </w:pPr>
            <w:r w:rsidRPr="004D46AC">
              <w:t>Sampling method</w:t>
            </w:r>
          </w:p>
        </w:tc>
        <w:tc>
          <w:tcPr>
            <w:tcW w:w="2074" w:type="dxa"/>
          </w:tcPr>
          <w:p w14:paraId="1F7E59B0" w14:textId="77777777" w:rsidR="007075D9" w:rsidRPr="004D46AC" w:rsidRDefault="007075D9" w:rsidP="00D41749">
            <w:pPr>
              <w:spacing w:line="240" w:lineRule="auto"/>
              <w:ind w:firstLine="0"/>
            </w:pPr>
            <w:r w:rsidRPr="004D46AC">
              <w:t>The way participants have been sampled</w:t>
            </w:r>
          </w:p>
        </w:tc>
        <w:tc>
          <w:tcPr>
            <w:tcW w:w="2074" w:type="dxa"/>
          </w:tcPr>
          <w:p w14:paraId="4D436BB6" w14:textId="77777777" w:rsidR="007075D9" w:rsidRPr="004D46AC" w:rsidRDefault="007075D9" w:rsidP="00D41749">
            <w:pPr>
              <w:spacing w:line="240" w:lineRule="auto"/>
              <w:ind w:firstLine="0"/>
            </w:pPr>
            <w:r w:rsidRPr="004D46AC">
              <w:t>Nominal</w:t>
            </w:r>
          </w:p>
        </w:tc>
        <w:tc>
          <w:tcPr>
            <w:tcW w:w="2074" w:type="dxa"/>
          </w:tcPr>
          <w:p w14:paraId="2E87F67E" w14:textId="77777777" w:rsidR="007075D9" w:rsidRPr="004D46AC" w:rsidRDefault="007075D9" w:rsidP="00D41749">
            <w:pPr>
              <w:spacing w:line="240" w:lineRule="auto"/>
              <w:ind w:firstLine="0"/>
            </w:pPr>
            <w:r w:rsidRPr="004D46AC">
              <w:t>0=convenient,</w:t>
            </w:r>
          </w:p>
          <w:p w14:paraId="3107FD4A" w14:textId="77777777" w:rsidR="007075D9" w:rsidRPr="004D46AC" w:rsidRDefault="007075D9" w:rsidP="00D41749">
            <w:pPr>
              <w:spacing w:line="240" w:lineRule="auto"/>
              <w:ind w:firstLine="0"/>
            </w:pPr>
            <w:r w:rsidRPr="004D46AC">
              <w:t>1=probabilistic.</w:t>
            </w:r>
          </w:p>
        </w:tc>
      </w:tr>
      <w:tr w:rsidR="007075D9" w:rsidRPr="004D46AC" w14:paraId="7DDC6559" w14:textId="77777777" w:rsidTr="00B518F1">
        <w:tc>
          <w:tcPr>
            <w:tcW w:w="2074" w:type="dxa"/>
          </w:tcPr>
          <w:p w14:paraId="29443779" w14:textId="77777777" w:rsidR="007075D9" w:rsidRPr="004D46AC" w:rsidRDefault="007075D9" w:rsidP="00D41749">
            <w:pPr>
              <w:spacing w:line="240" w:lineRule="auto"/>
              <w:ind w:firstLine="0"/>
            </w:pPr>
            <w:r w:rsidRPr="004D46AC">
              <w:t xml:space="preserve">Multicentre study </w:t>
            </w:r>
          </w:p>
        </w:tc>
        <w:tc>
          <w:tcPr>
            <w:tcW w:w="2074" w:type="dxa"/>
          </w:tcPr>
          <w:p w14:paraId="3910F706" w14:textId="77777777" w:rsidR="007075D9" w:rsidRPr="004D46AC" w:rsidRDefault="007075D9" w:rsidP="00D41749">
            <w:pPr>
              <w:spacing w:line="240" w:lineRule="auto"/>
              <w:ind w:firstLine="0"/>
            </w:pPr>
            <w:r w:rsidRPr="004D46AC">
              <w:t>Whether the participants have been recruited via multi centre</w:t>
            </w:r>
          </w:p>
        </w:tc>
        <w:tc>
          <w:tcPr>
            <w:tcW w:w="2074" w:type="dxa"/>
          </w:tcPr>
          <w:p w14:paraId="5AE16164" w14:textId="77777777" w:rsidR="007075D9" w:rsidRPr="004D46AC" w:rsidRDefault="007075D9" w:rsidP="00D41749">
            <w:pPr>
              <w:spacing w:line="240" w:lineRule="auto"/>
              <w:ind w:firstLine="0"/>
            </w:pPr>
            <w:r w:rsidRPr="004D46AC">
              <w:t xml:space="preserve">Nominal </w:t>
            </w:r>
          </w:p>
        </w:tc>
        <w:tc>
          <w:tcPr>
            <w:tcW w:w="2074" w:type="dxa"/>
          </w:tcPr>
          <w:p w14:paraId="13622CB9" w14:textId="77777777" w:rsidR="007075D9" w:rsidRPr="004D46AC" w:rsidRDefault="007075D9" w:rsidP="00D41749">
            <w:pPr>
              <w:spacing w:line="240" w:lineRule="auto"/>
              <w:ind w:firstLine="0"/>
            </w:pPr>
            <w:r w:rsidRPr="004D46AC">
              <w:t>0=single,</w:t>
            </w:r>
          </w:p>
          <w:p w14:paraId="385A5E32" w14:textId="77777777" w:rsidR="007075D9" w:rsidRPr="004D46AC" w:rsidRDefault="007075D9" w:rsidP="00D41749">
            <w:pPr>
              <w:spacing w:line="240" w:lineRule="auto"/>
              <w:ind w:firstLine="0"/>
            </w:pPr>
            <w:r w:rsidRPr="004D46AC">
              <w:t>1=multicentre.</w:t>
            </w:r>
          </w:p>
        </w:tc>
      </w:tr>
      <w:tr w:rsidR="007075D9" w:rsidRPr="004D46AC" w14:paraId="2C93ABEA" w14:textId="77777777" w:rsidTr="00B518F1">
        <w:tc>
          <w:tcPr>
            <w:tcW w:w="2074" w:type="dxa"/>
          </w:tcPr>
          <w:p w14:paraId="0B290896" w14:textId="77777777" w:rsidR="007075D9" w:rsidRPr="004D46AC" w:rsidRDefault="007075D9" w:rsidP="00D41749">
            <w:pPr>
              <w:spacing w:line="240" w:lineRule="auto"/>
              <w:ind w:firstLine="0"/>
            </w:pPr>
            <w:r w:rsidRPr="004D46AC">
              <w:t>Study quality</w:t>
            </w:r>
          </w:p>
        </w:tc>
        <w:tc>
          <w:tcPr>
            <w:tcW w:w="2074" w:type="dxa"/>
          </w:tcPr>
          <w:p w14:paraId="403B22B5" w14:textId="77777777" w:rsidR="007075D9" w:rsidRPr="004D46AC" w:rsidRDefault="007075D9" w:rsidP="00D41749">
            <w:pPr>
              <w:spacing w:line="240" w:lineRule="auto"/>
              <w:ind w:firstLine="0"/>
            </w:pPr>
            <w:r w:rsidRPr="004D46AC">
              <w:t>Overall quality of the study, rated via the JBI checklist</w:t>
            </w:r>
          </w:p>
        </w:tc>
        <w:tc>
          <w:tcPr>
            <w:tcW w:w="2074" w:type="dxa"/>
          </w:tcPr>
          <w:p w14:paraId="37AF46C8" w14:textId="77777777" w:rsidR="007075D9" w:rsidRPr="004D46AC" w:rsidRDefault="007075D9" w:rsidP="00D41749">
            <w:pPr>
              <w:spacing w:line="240" w:lineRule="auto"/>
              <w:ind w:firstLine="0"/>
            </w:pPr>
            <w:r w:rsidRPr="004D46AC">
              <w:t xml:space="preserve">Numeric </w:t>
            </w:r>
          </w:p>
        </w:tc>
        <w:tc>
          <w:tcPr>
            <w:tcW w:w="2074" w:type="dxa"/>
          </w:tcPr>
          <w:p w14:paraId="5A3B3601" w14:textId="77777777" w:rsidR="007075D9" w:rsidRPr="004D46AC" w:rsidRDefault="007075D9" w:rsidP="00D41749">
            <w:pPr>
              <w:spacing w:line="240" w:lineRule="auto"/>
              <w:ind w:firstLine="0"/>
            </w:pPr>
            <w:r w:rsidRPr="004D46AC">
              <w:t>Default</w:t>
            </w:r>
          </w:p>
        </w:tc>
      </w:tr>
      <w:tr w:rsidR="007075D9" w:rsidRPr="004D46AC" w14:paraId="13A11798" w14:textId="77777777" w:rsidTr="00B518F1">
        <w:tc>
          <w:tcPr>
            <w:tcW w:w="2074" w:type="dxa"/>
          </w:tcPr>
          <w:p w14:paraId="38370AE6" w14:textId="77777777" w:rsidR="007075D9" w:rsidRPr="004D46AC" w:rsidRDefault="007075D9" w:rsidP="00D41749">
            <w:pPr>
              <w:spacing w:line="240" w:lineRule="auto"/>
              <w:ind w:firstLine="0"/>
            </w:pPr>
            <w:r w:rsidRPr="004D46AC">
              <w:t>First level evidence</w:t>
            </w:r>
          </w:p>
        </w:tc>
        <w:tc>
          <w:tcPr>
            <w:tcW w:w="2074" w:type="dxa"/>
          </w:tcPr>
          <w:p w14:paraId="32A9D9B2" w14:textId="77777777" w:rsidR="007075D9" w:rsidRPr="004D46AC" w:rsidRDefault="007075D9" w:rsidP="00D41749">
            <w:pPr>
              <w:spacing w:line="240" w:lineRule="auto"/>
              <w:ind w:firstLine="0"/>
            </w:pPr>
            <w:r w:rsidRPr="004D46AC">
              <w:t>Whether the patient was consecutively recruited</w:t>
            </w:r>
          </w:p>
        </w:tc>
        <w:tc>
          <w:tcPr>
            <w:tcW w:w="2074" w:type="dxa"/>
          </w:tcPr>
          <w:p w14:paraId="391147B9" w14:textId="77777777" w:rsidR="007075D9" w:rsidRPr="004D46AC" w:rsidRDefault="007075D9" w:rsidP="00D41749">
            <w:pPr>
              <w:spacing w:line="240" w:lineRule="auto"/>
              <w:ind w:firstLine="0"/>
            </w:pPr>
            <w:r w:rsidRPr="004D46AC">
              <w:t xml:space="preserve">Nominal </w:t>
            </w:r>
          </w:p>
        </w:tc>
        <w:tc>
          <w:tcPr>
            <w:tcW w:w="2074" w:type="dxa"/>
          </w:tcPr>
          <w:p w14:paraId="66F957AD" w14:textId="77777777" w:rsidR="007075D9" w:rsidRPr="004D46AC" w:rsidRDefault="007075D9" w:rsidP="00D41749">
            <w:pPr>
              <w:spacing w:line="240" w:lineRule="auto"/>
              <w:ind w:firstLine="0"/>
            </w:pPr>
            <w:r w:rsidRPr="004D46AC">
              <w:t>0=non-consecutive,</w:t>
            </w:r>
          </w:p>
          <w:p w14:paraId="06A56F07" w14:textId="77777777" w:rsidR="007075D9" w:rsidRPr="004D46AC" w:rsidRDefault="007075D9" w:rsidP="00D41749">
            <w:pPr>
              <w:spacing w:line="240" w:lineRule="auto"/>
              <w:ind w:firstLine="0"/>
            </w:pPr>
            <w:r w:rsidRPr="004D46AC">
              <w:t>1=consecutive.</w:t>
            </w:r>
          </w:p>
        </w:tc>
      </w:tr>
      <w:tr w:rsidR="007075D9" w:rsidRPr="004D46AC" w14:paraId="278CBD28" w14:textId="77777777" w:rsidTr="00B518F1">
        <w:tc>
          <w:tcPr>
            <w:tcW w:w="2074" w:type="dxa"/>
          </w:tcPr>
          <w:p w14:paraId="2612D09A" w14:textId="77777777" w:rsidR="007075D9" w:rsidRPr="004D46AC" w:rsidRDefault="007075D9" w:rsidP="00D41749">
            <w:pPr>
              <w:spacing w:line="240" w:lineRule="auto"/>
              <w:ind w:firstLine="0"/>
            </w:pPr>
            <w:r w:rsidRPr="004D46AC">
              <w:t>Patient type</w:t>
            </w:r>
          </w:p>
        </w:tc>
        <w:tc>
          <w:tcPr>
            <w:tcW w:w="2074" w:type="dxa"/>
          </w:tcPr>
          <w:p w14:paraId="3AD96821" w14:textId="77777777" w:rsidR="007075D9" w:rsidRPr="004D46AC" w:rsidRDefault="007075D9" w:rsidP="00D41749">
            <w:pPr>
              <w:spacing w:line="240" w:lineRule="auto"/>
              <w:ind w:firstLine="0"/>
            </w:pPr>
            <w:r w:rsidRPr="004D46AC">
              <w:t>Sampling source</w:t>
            </w:r>
          </w:p>
        </w:tc>
        <w:tc>
          <w:tcPr>
            <w:tcW w:w="2074" w:type="dxa"/>
          </w:tcPr>
          <w:p w14:paraId="417C9F11" w14:textId="77777777" w:rsidR="007075D9" w:rsidRPr="004D46AC" w:rsidRDefault="007075D9" w:rsidP="00D41749">
            <w:pPr>
              <w:spacing w:line="240" w:lineRule="auto"/>
              <w:ind w:firstLine="0"/>
            </w:pPr>
            <w:r w:rsidRPr="004D46AC">
              <w:t>Nominal</w:t>
            </w:r>
          </w:p>
        </w:tc>
        <w:tc>
          <w:tcPr>
            <w:tcW w:w="2074" w:type="dxa"/>
          </w:tcPr>
          <w:p w14:paraId="64EF2A49" w14:textId="77777777" w:rsidR="007075D9" w:rsidRPr="004D46AC" w:rsidRDefault="007075D9" w:rsidP="00D41749">
            <w:pPr>
              <w:spacing w:line="240" w:lineRule="auto"/>
              <w:ind w:firstLine="0"/>
            </w:pPr>
            <w:r w:rsidRPr="004D46AC">
              <w:t>1=outpatient, 2=mixed,</w:t>
            </w:r>
          </w:p>
          <w:p w14:paraId="46362DED" w14:textId="77777777" w:rsidR="007075D9" w:rsidRPr="004D46AC" w:rsidRDefault="007075D9" w:rsidP="00D41749">
            <w:pPr>
              <w:spacing w:line="240" w:lineRule="auto"/>
              <w:ind w:firstLine="0"/>
            </w:pPr>
            <w:r w:rsidRPr="004D46AC">
              <w:t>3=inpatient.</w:t>
            </w:r>
          </w:p>
        </w:tc>
      </w:tr>
      <w:tr w:rsidR="007075D9" w:rsidRPr="004D46AC" w14:paraId="43044FB6" w14:textId="77777777" w:rsidTr="00B518F1">
        <w:tc>
          <w:tcPr>
            <w:tcW w:w="2074" w:type="dxa"/>
          </w:tcPr>
          <w:p w14:paraId="5D417C20" w14:textId="77777777" w:rsidR="007075D9" w:rsidRPr="004D46AC" w:rsidRDefault="007075D9" w:rsidP="00D41749">
            <w:pPr>
              <w:spacing w:line="240" w:lineRule="auto"/>
              <w:ind w:firstLine="0"/>
            </w:pPr>
            <w:r w:rsidRPr="004D46AC">
              <w:t>Clinical status</w:t>
            </w:r>
          </w:p>
        </w:tc>
        <w:tc>
          <w:tcPr>
            <w:tcW w:w="2074" w:type="dxa"/>
          </w:tcPr>
          <w:p w14:paraId="3443B43D" w14:textId="77777777" w:rsidR="007075D9" w:rsidRPr="004D46AC" w:rsidRDefault="007075D9" w:rsidP="00D41749">
            <w:pPr>
              <w:spacing w:line="240" w:lineRule="auto"/>
              <w:ind w:firstLine="0"/>
            </w:pPr>
            <w:r w:rsidRPr="004D46AC">
              <w:t>Whether patient was in an active state of the disorder</w:t>
            </w:r>
          </w:p>
        </w:tc>
        <w:tc>
          <w:tcPr>
            <w:tcW w:w="2074" w:type="dxa"/>
          </w:tcPr>
          <w:p w14:paraId="24664F1F" w14:textId="77777777" w:rsidR="007075D9" w:rsidRPr="004D46AC" w:rsidRDefault="007075D9" w:rsidP="00D41749">
            <w:pPr>
              <w:spacing w:line="240" w:lineRule="auto"/>
              <w:ind w:firstLine="0"/>
            </w:pPr>
            <w:r w:rsidRPr="004D46AC">
              <w:t>Nominal</w:t>
            </w:r>
          </w:p>
        </w:tc>
        <w:tc>
          <w:tcPr>
            <w:tcW w:w="2074" w:type="dxa"/>
          </w:tcPr>
          <w:p w14:paraId="03F60C44" w14:textId="77777777" w:rsidR="007075D9" w:rsidRPr="004D46AC" w:rsidRDefault="007075D9" w:rsidP="00D41749">
            <w:pPr>
              <w:spacing w:line="240" w:lineRule="auto"/>
              <w:ind w:firstLine="0"/>
            </w:pPr>
            <w:r w:rsidRPr="004D46AC">
              <w:t>0= euthymic,</w:t>
            </w:r>
          </w:p>
          <w:p w14:paraId="1141426E" w14:textId="77777777" w:rsidR="007075D9" w:rsidRPr="004D46AC" w:rsidRDefault="007075D9" w:rsidP="00D41749">
            <w:pPr>
              <w:spacing w:line="240" w:lineRule="auto"/>
              <w:ind w:firstLine="0"/>
            </w:pPr>
            <w:r w:rsidRPr="004D46AC">
              <w:t>1= mixed,</w:t>
            </w:r>
          </w:p>
          <w:p w14:paraId="0F9E3282" w14:textId="77777777" w:rsidR="007075D9" w:rsidRPr="004D46AC" w:rsidRDefault="007075D9" w:rsidP="00D41749">
            <w:pPr>
              <w:spacing w:line="240" w:lineRule="auto"/>
              <w:ind w:firstLine="0"/>
            </w:pPr>
            <w:r w:rsidRPr="004D46AC">
              <w:t>2= acute/active.</w:t>
            </w:r>
          </w:p>
        </w:tc>
      </w:tr>
      <w:tr w:rsidR="007075D9" w:rsidRPr="004D46AC" w14:paraId="27EEE6E0" w14:textId="77777777" w:rsidTr="00B518F1">
        <w:tc>
          <w:tcPr>
            <w:tcW w:w="2074" w:type="dxa"/>
          </w:tcPr>
          <w:p w14:paraId="1772D296" w14:textId="77777777" w:rsidR="007075D9" w:rsidRPr="004D46AC" w:rsidRDefault="007075D9" w:rsidP="00D41749">
            <w:pPr>
              <w:spacing w:line="240" w:lineRule="auto"/>
              <w:ind w:firstLine="0"/>
            </w:pPr>
            <w:r w:rsidRPr="004D46AC">
              <w:t>Age of onset</w:t>
            </w:r>
          </w:p>
        </w:tc>
        <w:tc>
          <w:tcPr>
            <w:tcW w:w="2074" w:type="dxa"/>
          </w:tcPr>
          <w:p w14:paraId="2B057353" w14:textId="77777777" w:rsidR="007075D9" w:rsidRPr="004D46AC" w:rsidRDefault="007075D9" w:rsidP="00D41749">
            <w:pPr>
              <w:spacing w:line="240" w:lineRule="auto"/>
              <w:ind w:firstLine="0"/>
            </w:pPr>
            <w:r w:rsidRPr="004D46AC">
              <w:t>the number of years after the first diagnosis or first episode onset of the disorder</w:t>
            </w:r>
          </w:p>
        </w:tc>
        <w:tc>
          <w:tcPr>
            <w:tcW w:w="2074" w:type="dxa"/>
          </w:tcPr>
          <w:p w14:paraId="0B25FECA" w14:textId="77777777" w:rsidR="007075D9" w:rsidRPr="004D46AC" w:rsidRDefault="007075D9" w:rsidP="00D41749">
            <w:pPr>
              <w:spacing w:line="240" w:lineRule="auto"/>
              <w:ind w:firstLine="0"/>
            </w:pPr>
            <w:r w:rsidRPr="004D46AC">
              <w:t>Numeric (mean or median value)</w:t>
            </w:r>
          </w:p>
        </w:tc>
        <w:tc>
          <w:tcPr>
            <w:tcW w:w="2074" w:type="dxa"/>
          </w:tcPr>
          <w:p w14:paraId="4BAC315F" w14:textId="77777777" w:rsidR="007075D9" w:rsidRPr="004D46AC" w:rsidRDefault="007075D9" w:rsidP="00D41749">
            <w:pPr>
              <w:spacing w:line="240" w:lineRule="auto"/>
              <w:ind w:firstLine="0"/>
            </w:pPr>
            <w:r w:rsidRPr="004D46AC">
              <w:t>Default</w:t>
            </w:r>
          </w:p>
        </w:tc>
      </w:tr>
      <w:tr w:rsidR="007075D9" w:rsidRPr="004D46AC" w14:paraId="0B1240AD" w14:textId="77777777" w:rsidTr="00B518F1">
        <w:tc>
          <w:tcPr>
            <w:tcW w:w="2074" w:type="dxa"/>
          </w:tcPr>
          <w:p w14:paraId="131BDF4B" w14:textId="77777777" w:rsidR="007075D9" w:rsidRPr="004D46AC" w:rsidRDefault="007075D9" w:rsidP="00D41749">
            <w:pPr>
              <w:spacing w:line="240" w:lineRule="auto"/>
              <w:ind w:firstLine="0"/>
            </w:pPr>
            <w:r w:rsidRPr="004D46AC">
              <w:t>Bipolar Type</w:t>
            </w:r>
          </w:p>
        </w:tc>
        <w:tc>
          <w:tcPr>
            <w:tcW w:w="2074" w:type="dxa"/>
          </w:tcPr>
          <w:p w14:paraId="2F51F167" w14:textId="77777777" w:rsidR="007075D9" w:rsidRPr="004D46AC" w:rsidRDefault="007075D9" w:rsidP="00D41749">
            <w:pPr>
              <w:spacing w:line="240" w:lineRule="auto"/>
              <w:ind w:firstLine="0"/>
            </w:pPr>
            <w:r w:rsidRPr="004D46AC">
              <w:t>the type of the bipolar diagnosis</w:t>
            </w:r>
          </w:p>
        </w:tc>
        <w:tc>
          <w:tcPr>
            <w:tcW w:w="2074" w:type="dxa"/>
          </w:tcPr>
          <w:p w14:paraId="75A6B5E3" w14:textId="77777777" w:rsidR="007075D9" w:rsidRPr="004D46AC" w:rsidRDefault="007075D9" w:rsidP="00D41749">
            <w:pPr>
              <w:spacing w:line="240" w:lineRule="auto"/>
              <w:ind w:firstLine="0"/>
            </w:pPr>
            <w:r w:rsidRPr="004D46AC">
              <w:t>Nominal</w:t>
            </w:r>
          </w:p>
        </w:tc>
        <w:tc>
          <w:tcPr>
            <w:tcW w:w="2074" w:type="dxa"/>
          </w:tcPr>
          <w:p w14:paraId="179CAB85" w14:textId="77777777" w:rsidR="007075D9" w:rsidRPr="004D46AC" w:rsidRDefault="007075D9" w:rsidP="00D41749">
            <w:pPr>
              <w:spacing w:line="240" w:lineRule="auto"/>
              <w:ind w:firstLine="0"/>
            </w:pPr>
            <w:r w:rsidRPr="004D46AC">
              <w:t>Bipolar II Disorder=0,</w:t>
            </w:r>
          </w:p>
          <w:p w14:paraId="706CD013" w14:textId="77777777" w:rsidR="007075D9" w:rsidRPr="004D46AC" w:rsidRDefault="007075D9" w:rsidP="00D41749">
            <w:pPr>
              <w:spacing w:line="240" w:lineRule="auto"/>
              <w:ind w:firstLine="0"/>
            </w:pPr>
            <w:r w:rsidRPr="004D46AC">
              <w:t>Bipolar Spectrum Disorder=1.</w:t>
            </w:r>
          </w:p>
          <w:p w14:paraId="1977630A" w14:textId="77777777" w:rsidR="007075D9" w:rsidRPr="004D46AC" w:rsidRDefault="007075D9" w:rsidP="00D41749">
            <w:pPr>
              <w:spacing w:line="240" w:lineRule="auto"/>
              <w:ind w:firstLine="0"/>
            </w:pPr>
            <w:r w:rsidRPr="004D46AC">
              <w:t>Bipolar I Disorder=2, Psychotic Bipolar Disorder=3.</w:t>
            </w:r>
          </w:p>
          <w:p w14:paraId="141F2D1C" w14:textId="77777777" w:rsidR="007075D9" w:rsidRPr="004D46AC" w:rsidRDefault="007075D9" w:rsidP="00D41749">
            <w:pPr>
              <w:spacing w:line="240" w:lineRule="auto"/>
              <w:ind w:firstLine="0"/>
            </w:pPr>
          </w:p>
        </w:tc>
      </w:tr>
      <w:tr w:rsidR="007075D9" w:rsidRPr="004D46AC" w14:paraId="60DEEB28" w14:textId="77777777" w:rsidTr="00B518F1">
        <w:tc>
          <w:tcPr>
            <w:tcW w:w="2074" w:type="dxa"/>
          </w:tcPr>
          <w:p w14:paraId="5647D47C" w14:textId="77777777" w:rsidR="007075D9" w:rsidRPr="004D46AC" w:rsidRDefault="007075D9" w:rsidP="00D41749">
            <w:pPr>
              <w:spacing w:line="240" w:lineRule="auto"/>
              <w:ind w:firstLine="0"/>
            </w:pPr>
            <w:r w:rsidRPr="004D46AC">
              <w:lastRenderedPageBreak/>
              <w:t>Manic</w:t>
            </w:r>
          </w:p>
        </w:tc>
        <w:tc>
          <w:tcPr>
            <w:tcW w:w="2074" w:type="dxa"/>
          </w:tcPr>
          <w:p w14:paraId="1CAF7643" w14:textId="77777777" w:rsidR="007075D9" w:rsidRPr="004D46AC" w:rsidRDefault="007075D9" w:rsidP="00D41749">
            <w:pPr>
              <w:spacing w:line="240" w:lineRule="auto"/>
              <w:ind w:firstLine="0"/>
            </w:pPr>
            <w:r w:rsidRPr="004D46AC">
              <w:t>The rate of patient with current/ predominant manic episode</w:t>
            </w:r>
          </w:p>
        </w:tc>
        <w:tc>
          <w:tcPr>
            <w:tcW w:w="2074" w:type="dxa"/>
          </w:tcPr>
          <w:p w14:paraId="12589A52" w14:textId="77777777" w:rsidR="007075D9" w:rsidRPr="004D46AC" w:rsidRDefault="007075D9" w:rsidP="00D41749">
            <w:pPr>
              <w:spacing w:line="240" w:lineRule="auto"/>
              <w:ind w:firstLine="0"/>
            </w:pPr>
            <w:r w:rsidRPr="004D46AC">
              <w:t>Numeric</w:t>
            </w:r>
          </w:p>
        </w:tc>
        <w:tc>
          <w:tcPr>
            <w:tcW w:w="2074" w:type="dxa"/>
          </w:tcPr>
          <w:p w14:paraId="6C24F52F" w14:textId="77777777" w:rsidR="007075D9" w:rsidRPr="004D46AC" w:rsidRDefault="007075D9" w:rsidP="00D41749">
            <w:pPr>
              <w:spacing w:line="240" w:lineRule="auto"/>
              <w:ind w:firstLine="0"/>
            </w:pPr>
            <w:r w:rsidRPr="004D46AC">
              <w:t>Default</w:t>
            </w:r>
          </w:p>
        </w:tc>
      </w:tr>
      <w:tr w:rsidR="007075D9" w:rsidRPr="004D46AC" w14:paraId="3E31C975" w14:textId="77777777" w:rsidTr="00B518F1">
        <w:tc>
          <w:tcPr>
            <w:tcW w:w="2074" w:type="dxa"/>
          </w:tcPr>
          <w:p w14:paraId="62F04AB3" w14:textId="77777777" w:rsidR="007075D9" w:rsidRPr="004D46AC" w:rsidRDefault="007075D9" w:rsidP="00D41749">
            <w:pPr>
              <w:spacing w:line="240" w:lineRule="auto"/>
              <w:ind w:firstLine="0"/>
            </w:pPr>
            <w:r w:rsidRPr="004D46AC">
              <w:t>Depression</w:t>
            </w:r>
          </w:p>
        </w:tc>
        <w:tc>
          <w:tcPr>
            <w:tcW w:w="2074" w:type="dxa"/>
          </w:tcPr>
          <w:p w14:paraId="376EA7D1" w14:textId="77777777" w:rsidR="007075D9" w:rsidRPr="004D46AC" w:rsidRDefault="007075D9" w:rsidP="00D41749">
            <w:pPr>
              <w:spacing w:line="240" w:lineRule="auto"/>
              <w:ind w:firstLine="0"/>
            </w:pPr>
            <w:r w:rsidRPr="004D46AC">
              <w:t>The rate of patient with current/ predominant depressive episode</w:t>
            </w:r>
          </w:p>
        </w:tc>
        <w:tc>
          <w:tcPr>
            <w:tcW w:w="2074" w:type="dxa"/>
          </w:tcPr>
          <w:p w14:paraId="2B28E142" w14:textId="77777777" w:rsidR="007075D9" w:rsidRPr="004D46AC" w:rsidRDefault="007075D9" w:rsidP="00D41749">
            <w:pPr>
              <w:spacing w:line="240" w:lineRule="auto"/>
              <w:ind w:firstLine="0"/>
            </w:pPr>
            <w:r w:rsidRPr="004D46AC">
              <w:t>Numeric</w:t>
            </w:r>
          </w:p>
        </w:tc>
        <w:tc>
          <w:tcPr>
            <w:tcW w:w="2074" w:type="dxa"/>
          </w:tcPr>
          <w:p w14:paraId="5A565CC5" w14:textId="77777777" w:rsidR="007075D9" w:rsidRPr="004D46AC" w:rsidRDefault="007075D9" w:rsidP="00D41749">
            <w:pPr>
              <w:spacing w:line="240" w:lineRule="auto"/>
              <w:ind w:firstLine="0"/>
            </w:pPr>
            <w:r w:rsidRPr="004D46AC">
              <w:t>Default</w:t>
            </w:r>
          </w:p>
        </w:tc>
      </w:tr>
      <w:tr w:rsidR="007075D9" w:rsidRPr="004D46AC" w14:paraId="40E0E163" w14:textId="77777777" w:rsidTr="00B518F1">
        <w:tc>
          <w:tcPr>
            <w:tcW w:w="2074" w:type="dxa"/>
          </w:tcPr>
          <w:p w14:paraId="170A69D2" w14:textId="77777777" w:rsidR="007075D9" w:rsidRPr="004D46AC" w:rsidRDefault="007075D9" w:rsidP="00D41749">
            <w:pPr>
              <w:spacing w:line="240" w:lineRule="auto"/>
              <w:ind w:firstLine="0"/>
            </w:pPr>
            <w:r w:rsidRPr="004D46AC">
              <w:t>Episode type</w:t>
            </w:r>
          </w:p>
        </w:tc>
        <w:tc>
          <w:tcPr>
            <w:tcW w:w="2074" w:type="dxa"/>
          </w:tcPr>
          <w:p w14:paraId="058A4860" w14:textId="77777777" w:rsidR="007075D9" w:rsidRPr="004D46AC" w:rsidRDefault="007075D9" w:rsidP="00D41749">
            <w:pPr>
              <w:spacing w:line="240" w:lineRule="auto"/>
              <w:ind w:firstLine="0"/>
            </w:pPr>
            <w:r w:rsidRPr="004D46AC">
              <w:t>Whether the polarity is predominant?  (for sub analysis of psychosis in different mood episode)</w:t>
            </w:r>
          </w:p>
        </w:tc>
        <w:tc>
          <w:tcPr>
            <w:tcW w:w="2074" w:type="dxa"/>
          </w:tcPr>
          <w:p w14:paraId="25074F5D" w14:textId="77777777" w:rsidR="007075D9" w:rsidRPr="004D46AC" w:rsidRDefault="007075D9" w:rsidP="00D41749">
            <w:pPr>
              <w:spacing w:line="240" w:lineRule="auto"/>
              <w:ind w:firstLine="0"/>
            </w:pPr>
            <w:r w:rsidRPr="004D46AC">
              <w:t>Binary</w:t>
            </w:r>
          </w:p>
        </w:tc>
        <w:tc>
          <w:tcPr>
            <w:tcW w:w="2074" w:type="dxa"/>
          </w:tcPr>
          <w:p w14:paraId="247C5703" w14:textId="77777777" w:rsidR="007075D9" w:rsidRPr="004D46AC" w:rsidRDefault="007075D9" w:rsidP="00D41749">
            <w:pPr>
              <w:spacing w:line="240" w:lineRule="auto"/>
              <w:ind w:firstLine="0"/>
            </w:pPr>
            <w:r w:rsidRPr="004D46AC">
              <w:t xml:space="preserve">0=recent </w:t>
            </w:r>
          </w:p>
          <w:p w14:paraId="5122D8B8" w14:textId="77777777" w:rsidR="007075D9" w:rsidRPr="004D46AC" w:rsidRDefault="007075D9" w:rsidP="00D41749">
            <w:pPr>
              <w:spacing w:line="240" w:lineRule="auto"/>
              <w:ind w:firstLine="0"/>
            </w:pPr>
            <w:r w:rsidRPr="004D46AC">
              <w:t>1=predominant</w:t>
            </w:r>
          </w:p>
        </w:tc>
      </w:tr>
      <w:tr w:rsidR="007075D9" w:rsidRPr="004D46AC" w14:paraId="01DEAF36" w14:textId="77777777" w:rsidTr="00B518F1">
        <w:tc>
          <w:tcPr>
            <w:tcW w:w="2074" w:type="dxa"/>
          </w:tcPr>
          <w:p w14:paraId="0E3364F1" w14:textId="77777777" w:rsidR="007075D9" w:rsidRPr="004D46AC" w:rsidRDefault="007075D9" w:rsidP="00D41749">
            <w:pPr>
              <w:spacing w:line="240" w:lineRule="auto"/>
              <w:ind w:firstLine="0"/>
            </w:pPr>
            <w:r w:rsidRPr="004D46AC">
              <w:t>Mixed</w:t>
            </w:r>
          </w:p>
        </w:tc>
        <w:tc>
          <w:tcPr>
            <w:tcW w:w="2074" w:type="dxa"/>
          </w:tcPr>
          <w:p w14:paraId="64B41A16" w14:textId="77777777" w:rsidR="007075D9" w:rsidRPr="004D46AC" w:rsidRDefault="007075D9" w:rsidP="00D41749">
            <w:pPr>
              <w:spacing w:line="240" w:lineRule="auto"/>
              <w:ind w:firstLine="0"/>
            </w:pPr>
            <w:r w:rsidRPr="004D46AC">
              <w:t>The rate of patient with current/ predominant mixed episode</w:t>
            </w:r>
          </w:p>
        </w:tc>
        <w:tc>
          <w:tcPr>
            <w:tcW w:w="2074" w:type="dxa"/>
          </w:tcPr>
          <w:p w14:paraId="6C59A218" w14:textId="77777777" w:rsidR="007075D9" w:rsidRPr="004D46AC" w:rsidRDefault="007075D9" w:rsidP="00D41749">
            <w:pPr>
              <w:spacing w:line="240" w:lineRule="auto"/>
              <w:ind w:firstLine="0"/>
            </w:pPr>
            <w:r w:rsidRPr="004D46AC">
              <w:t xml:space="preserve">Numeric </w:t>
            </w:r>
          </w:p>
        </w:tc>
        <w:tc>
          <w:tcPr>
            <w:tcW w:w="2074" w:type="dxa"/>
          </w:tcPr>
          <w:p w14:paraId="45AC6655" w14:textId="77777777" w:rsidR="007075D9" w:rsidRPr="004D46AC" w:rsidRDefault="007075D9" w:rsidP="00D41749">
            <w:pPr>
              <w:spacing w:line="240" w:lineRule="auto"/>
              <w:ind w:firstLine="0"/>
            </w:pPr>
            <w:r w:rsidRPr="004D46AC">
              <w:t>Default</w:t>
            </w:r>
          </w:p>
        </w:tc>
      </w:tr>
      <w:tr w:rsidR="007075D9" w:rsidRPr="004D46AC" w14:paraId="2622577B" w14:textId="77777777" w:rsidTr="00B518F1">
        <w:tc>
          <w:tcPr>
            <w:tcW w:w="2074" w:type="dxa"/>
          </w:tcPr>
          <w:p w14:paraId="56F46669" w14:textId="77777777" w:rsidR="007075D9" w:rsidRPr="004D46AC" w:rsidRDefault="007075D9" w:rsidP="00D41749">
            <w:pPr>
              <w:spacing w:line="240" w:lineRule="auto"/>
              <w:ind w:firstLine="0"/>
            </w:pPr>
            <w:r w:rsidRPr="004D46AC">
              <w:t>Type of delusions</w:t>
            </w:r>
          </w:p>
        </w:tc>
        <w:tc>
          <w:tcPr>
            <w:tcW w:w="2074" w:type="dxa"/>
          </w:tcPr>
          <w:p w14:paraId="7909A209" w14:textId="77777777" w:rsidR="007075D9" w:rsidRPr="004D46AC" w:rsidRDefault="007075D9" w:rsidP="00D41749">
            <w:pPr>
              <w:spacing w:line="240" w:lineRule="auto"/>
              <w:ind w:firstLine="0"/>
            </w:pPr>
            <w:r w:rsidRPr="004D46AC">
              <w:t>whether the delusion was general or specific</w:t>
            </w:r>
          </w:p>
        </w:tc>
        <w:tc>
          <w:tcPr>
            <w:tcW w:w="2074" w:type="dxa"/>
          </w:tcPr>
          <w:p w14:paraId="019A2697" w14:textId="77777777" w:rsidR="007075D9" w:rsidRPr="004D46AC" w:rsidRDefault="007075D9" w:rsidP="00D41749">
            <w:pPr>
              <w:spacing w:line="240" w:lineRule="auto"/>
              <w:ind w:firstLine="0"/>
            </w:pPr>
            <w:r w:rsidRPr="004D46AC">
              <w:t xml:space="preserve">Nominal </w:t>
            </w:r>
          </w:p>
        </w:tc>
        <w:tc>
          <w:tcPr>
            <w:tcW w:w="2074" w:type="dxa"/>
          </w:tcPr>
          <w:p w14:paraId="11C710F3" w14:textId="77777777" w:rsidR="007075D9" w:rsidRPr="004D46AC" w:rsidRDefault="007075D9" w:rsidP="00D41749">
            <w:pPr>
              <w:spacing w:line="240" w:lineRule="auto"/>
              <w:ind w:firstLine="0"/>
            </w:pPr>
            <w:r w:rsidRPr="004D46AC">
              <w:t>0=specific,</w:t>
            </w:r>
          </w:p>
          <w:p w14:paraId="1CE2068F" w14:textId="77777777" w:rsidR="007075D9" w:rsidRPr="004D46AC" w:rsidRDefault="007075D9" w:rsidP="00D41749">
            <w:pPr>
              <w:spacing w:line="240" w:lineRule="auto"/>
              <w:ind w:firstLine="0"/>
            </w:pPr>
            <w:r w:rsidRPr="004D46AC">
              <w:t>1=general.</w:t>
            </w:r>
          </w:p>
        </w:tc>
      </w:tr>
      <w:tr w:rsidR="007075D9" w:rsidRPr="004D46AC" w14:paraId="5D69D58C" w14:textId="77777777" w:rsidTr="00B518F1">
        <w:tc>
          <w:tcPr>
            <w:tcW w:w="2074" w:type="dxa"/>
          </w:tcPr>
          <w:p w14:paraId="0E82DC5F" w14:textId="77777777" w:rsidR="007075D9" w:rsidRPr="004D46AC" w:rsidRDefault="007075D9" w:rsidP="00D41749">
            <w:pPr>
              <w:spacing w:line="240" w:lineRule="auto"/>
              <w:ind w:firstLine="0"/>
            </w:pPr>
            <w:r w:rsidRPr="004D46AC">
              <w:t>Type of hallucinations</w:t>
            </w:r>
          </w:p>
        </w:tc>
        <w:tc>
          <w:tcPr>
            <w:tcW w:w="2074" w:type="dxa"/>
          </w:tcPr>
          <w:p w14:paraId="4D4CD9B4" w14:textId="77777777" w:rsidR="007075D9" w:rsidRPr="004D46AC" w:rsidRDefault="007075D9" w:rsidP="00D41749">
            <w:pPr>
              <w:spacing w:line="240" w:lineRule="auto"/>
              <w:ind w:firstLine="0"/>
            </w:pPr>
            <w:r w:rsidRPr="004D46AC">
              <w:t>whether the hallucination was general or specific</w:t>
            </w:r>
          </w:p>
        </w:tc>
        <w:tc>
          <w:tcPr>
            <w:tcW w:w="2074" w:type="dxa"/>
          </w:tcPr>
          <w:p w14:paraId="18489E87" w14:textId="77777777" w:rsidR="007075D9" w:rsidRPr="004D46AC" w:rsidRDefault="007075D9" w:rsidP="00D41749">
            <w:pPr>
              <w:spacing w:line="240" w:lineRule="auto"/>
              <w:ind w:firstLine="0"/>
            </w:pPr>
            <w:r w:rsidRPr="004D46AC">
              <w:t>Nominal</w:t>
            </w:r>
          </w:p>
        </w:tc>
        <w:tc>
          <w:tcPr>
            <w:tcW w:w="2074" w:type="dxa"/>
          </w:tcPr>
          <w:p w14:paraId="34F671D1" w14:textId="77777777" w:rsidR="007075D9" w:rsidRPr="004D46AC" w:rsidRDefault="007075D9" w:rsidP="00D41749">
            <w:pPr>
              <w:spacing w:line="240" w:lineRule="auto"/>
              <w:ind w:firstLine="0"/>
            </w:pPr>
            <w:r w:rsidRPr="004D46AC">
              <w:t>0=specific,</w:t>
            </w:r>
          </w:p>
          <w:p w14:paraId="6D79316B" w14:textId="77777777" w:rsidR="007075D9" w:rsidRPr="004D46AC" w:rsidRDefault="007075D9" w:rsidP="00D41749">
            <w:pPr>
              <w:spacing w:line="240" w:lineRule="auto"/>
              <w:ind w:firstLine="0"/>
            </w:pPr>
            <w:r w:rsidRPr="004D46AC">
              <w:t>1=general.</w:t>
            </w:r>
          </w:p>
        </w:tc>
      </w:tr>
      <w:tr w:rsidR="007075D9" w:rsidRPr="004D46AC" w14:paraId="47661F05" w14:textId="77777777" w:rsidTr="00B518F1">
        <w:tc>
          <w:tcPr>
            <w:tcW w:w="2074" w:type="dxa"/>
          </w:tcPr>
          <w:p w14:paraId="4032497B" w14:textId="77777777" w:rsidR="007075D9" w:rsidRPr="004D46AC" w:rsidRDefault="007075D9" w:rsidP="00D41749">
            <w:pPr>
              <w:spacing w:line="240" w:lineRule="auto"/>
              <w:ind w:firstLine="0"/>
            </w:pPr>
            <w:r w:rsidRPr="004D46AC">
              <w:t>Type of thought disorder</w:t>
            </w:r>
          </w:p>
        </w:tc>
        <w:tc>
          <w:tcPr>
            <w:tcW w:w="2074" w:type="dxa"/>
          </w:tcPr>
          <w:p w14:paraId="6439C38E" w14:textId="77777777" w:rsidR="007075D9" w:rsidRPr="004D46AC" w:rsidRDefault="007075D9" w:rsidP="00D41749">
            <w:pPr>
              <w:spacing w:line="240" w:lineRule="auto"/>
              <w:ind w:firstLine="0"/>
            </w:pPr>
            <w:r w:rsidRPr="004D46AC">
              <w:t xml:space="preserve">whether the thought disorder was general or specific </w:t>
            </w:r>
          </w:p>
        </w:tc>
        <w:tc>
          <w:tcPr>
            <w:tcW w:w="2074" w:type="dxa"/>
          </w:tcPr>
          <w:p w14:paraId="1710108E" w14:textId="77777777" w:rsidR="007075D9" w:rsidRPr="004D46AC" w:rsidRDefault="007075D9" w:rsidP="00D41749">
            <w:pPr>
              <w:spacing w:line="240" w:lineRule="auto"/>
              <w:ind w:firstLine="0"/>
            </w:pPr>
            <w:r w:rsidRPr="004D46AC">
              <w:t>Nominal</w:t>
            </w:r>
          </w:p>
        </w:tc>
        <w:tc>
          <w:tcPr>
            <w:tcW w:w="2074" w:type="dxa"/>
          </w:tcPr>
          <w:p w14:paraId="5E57D5A0" w14:textId="77777777" w:rsidR="007075D9" w:rsidRPr="004D46AC" w:rsidRDefault="007075D9" w:rsidP="00D41749">
            <w:pPr>
              <w:spacing w:line="240" w:lineRule="auto"/>
              <w:ind w:firstLine="0"/>
            </w:pPr>
            <w:r w:rsidRPr="004D46AC">
              <w:t>0=specific,</w:t>
            </w:r>
          </w:p>
          <w:p w14:paraId="6AAB443F" w14:textId="77777777" w:rsidR="007075D9" w:rsidRPr="004D46AC" w:rsidRDefault="007075D9" w:rsidP="00D41749">
            <w:pPr>
              <w:spacing w:line="240" w:lineRule="auto"/>
              <w:ind w:firstLine="0"/>
            </w:pPr>
            <w:r w:rsidRPr="004D46AC">
              <w:t>1=general.</w:t>
            </w:r>
          </w:p>
        </w:tc>
      </w:tr>
      <w:tr w:rsidR="007075D9" w:rsidRPr="004D46AC" w14:paraId="094B25CB" w14:textId="77777777" w:rsidTr="00B518F1">
        <w:tc>
          <w:tcPr>
            <w:tcW w:w="8296" w:type="dxa"/>
            <w:gridSpan w:val="4"/>
          </w:tcPr>
          <w:p w14:paraId="33C0DF81" w14:textId="77777777" w:rsidR="007075D9" w:rsidRPr="004D46AC" w:rsidRDefault="007075D9" w:rsidP="00D41749">
            <w:pPr>
              <w:spacing w:line="240" w:lineRule="auto"/>
              <w:ind w:firstLine="0"/>
              <w:rPr>
                <w:b/>
                <w:bCs/>
              </w:rPr>
            </w:pPr>
            <w:r w:rsidRPr="004D46AC">
              <w:rPr>
                <w:b/>
                <w:bCs/>
              </w:rPr>
              <w:t>Outcome variables</w:t>
            </w:r>
          </w:p>
        </w:tc>
      </w:tr>
      <w:tr w:rsidR="007075D9" w:rsidRPr="004D46AC" w14:paraId="354D9A86" w14:textId="77777777" w:rsidTr="00B518F1">
        <w:tc>
          <w:tcPr>
            <w:tcW w:w="2074" w:type="dxa"/>
          </w:tcPr>
          <w:p w14:paraId="22F58CA1" w14:textId="77777777" w:rsidR="007075D9" w:rsidRPr="004D46AC" w:rsidRDefault="007075D9" w:rsidP="00D41749">
            <w:pPr>
              <w:spacing w:line="240" w:lineRule="auto"/>
              <w:ind w:firstLine="0"/>
            </w:pPr>
            <w:r w:rsidRPr="004D46AC">
              <w:t>Rate of comorbid schizophrenia</w:t>
            </w:r>
          </w:p>
        </w:tc>
        <w:tc>
          <w:tcPr>
            <w:tcW w:w="2074" w:type="dxa"/>
          </w:tcPr>
          <w:p w14:paraId="4120B296" w14:textId="77777777" w:rsidR="007075D9" w:rsidRPr="004D46AC" w:rsidRDefault="007075D9" w:rsidP="00D41749">
            <w:pPr>
              <w:spacing w:line="240" w:lineRule="auto"/>
              <w:ind w:firstLine="0"/>
            </w:pPr>
            <w:r w:rsidRPr="004D46AC">
              <w:t>Whether bipolar patients had/have schizophrenia diagnosis (current/ lifetime)</w:t>
            </w:r>
          </w:p>
        </w:tc>
        <w:tc>
          <w:tcPr>
            <w:tcW w:w="2074" w:type="dxa"/>
          </w:tcPr>
          <w:p w14:paraId="1E7003E1" w14:textId="77777777" w:rsidR="007075D9" w:rsidRPr="004D46AC" w:rsidRDefault="007075D9" w:rsidP="00D41749">
            <w:pPr>
              <w:spacing w:line="240" w:lineRule="auto"/>
              <w:ind w:firstLine="0"/>
            </w:pPr>
            <w:r w:rsidRPr="004D46AC">
              <w:t>Numeric</w:t>
            </w:r>
          </w:p>
        </w:tc>
        <w:tc>
          <w:tcPr>
            <w:tcW w:w="2074" w:type="dxa"/>
          </w:tcPr>
          <w:p w14:paraId="4A518AFB" w14:textId="77777777" w:rsidR="007075D9" w:rsidRPr="004D46AC" w:rsidRDefault="007075D9" w:rsidP="00D41749">
            <w:pPr>
              <w:spacing w:line="240" w:lineRule="auto"/>
              <w:ind w:firstLine="0"/>
            </w:pPr>
            <w:r w:rsidRPr="004D46AC">
              <w:t>Default</w:t>
            </w:r>
          </w:p>
        </w:tc>
      </w:tr>
      <w:tr w:rsidR="007075D9" w:rsidRPr="004D46AC" w14:paraId="50EAAB94" w14:textId="77777777" w:rsidTr="00B518F1">
        <w:tc>
          <w:tcPr>
            <w:tcW w:w="2074" w:type="dxa"/>
          </w:tcPr>
          <w:p w14:paraId="7D2DCA43" w14:textId="77777777" w:rsidR="007075D9" w:rsidRPr="004D46AC" w:rsidRDefault="007075D9" w:rsidP="00D41749">
            <w:pPr>
              <w:spacing w:line="240" w:lineRule="auto"/>
              <w:ind w:firstLine="0"/>
            </w:pPr>
            <w:r w:rsidRPr="004D46AC">
              <w:t>Rate of comorbid psychosis</w:t>
            </w:r>
          </w:p>
        </w:tc>
        <w:tc>
          <w:tcPr>
            <w:tcW w:w="2074" w:type="dxa"/>
          </w:tcPr>
          <w:p w14:paraId="60B56665" w14:textId="77777777" w:rsidR="007075D9" w:rsidRPr="004D46AC" w:rsidRDefault="007075D9" w:rsidP="00D41749">
            <w:pPr>
              <w:spacing w:line="240" w:lineRule="auto"/>
              <w:ind w:firstLine="0"/>
            </w:pPr>
            <w:r w:rsidRPr="004D46AC">
              <w:t>Whether bipolar patients had/have comorbid psychosis (current/ lifetime)</w:t>
            </w:r>
          </w:p>
        </w:tc>
        <w:tc>
          <w:tcPr>
            <w:tcW w:w="2074" w:type="dxa"/>
          </w:tcPr>
          <w:p w14:paraId="2A262CD9" w14:textId="77777777" w:rsidR="007075D9" w:rsidRPr="004D46AC" w:rsidRDefault="007075D9" w:rsidP="00D41749">
            <w:pPr>
              <w:spacing w:line="240" w:lineRule="auto"/>
              <w:ind w:firstLine="0"/>
            </w:pPr>
            <w:r w:rsidRPr="004D46AC">
              <w:t>Numeric</w:t>
            </w:r>
          </w:p>
        </w:tc>
        <w:tc>
          <w:tcPr>
            <w:tcW w:w="2074" w:type="dxa"/>
          </w:tcPr>
          <w:p w14:paraId="159359DA" w14:textId="77777777" w:rsidR="007075D9" w:rsidRPr="004D46AC" w:rsidRDefault="007075D9" w:rsidP="00D41749">
            <w:pPr>
              <w:spacing w:line="240" w:lineRule="auto"/>
              <w:ind w:firstLine="0"/>
            </w:pPr>
            <w:r w:rsidRPr="004D46AC">
              <w:t>Default</w:t>
            </w:r>
          </w:p>
        </w:tc>
      </w:tr>
      <w:tr w:rsidR="007075D9" w:rsidRPr="004D46AC" w14:paraId="625A6157" w14:textId="77777777" w:rsidTr="00B518F1">
        <w:tc>
          <w:tcPr>
            <w:tcW w:w="2074" w:type="dxa"/>
          </w:tcPr>
          <w:p w14:paraId="55C52D1F" w14:textId="77777777" w:rsidR="007075D9" w:rsidRPr="004D46AC" w:rsidRDefault="007075D9" w:rsidP="00D41749">
            <w:pPr>
              <w:spacing w:line="240" w:lineRule="auto"/>
              <w:ind w:firstLine="0"/>
            </w:pPr>
            <w:r w:rsidRPr="004D46AC">
              <w:t>Rate of comorbid delusions</w:t>
            </w:r>
          </w:p>
        </w:tc>
        <w:tc>
          <w:tcPr>
            <w:tcW w:w="2074" w:type="dxa"/>
          </w:tcPr>
          <w:p w14:paraId="0860EEBC" w14:textId="77777777" w:rsidR="007075D9" w:rsidRPr="004D46AC" w:rsidRDefault="007075D9" w:rsidP="00D41749">
            <w:pPr>
              <w:spacing w:line="240" w:lineRule="auto"/>
              <w:ind w:firstLine="0"/>
            </w:pPr>
            <w:r w:rsidRPr="004D46AC">
              <w:t>Whether bipolar patients had/have concurrent delusions (lifetime/ current)</w:t>
            </w:r>
          </w:p>
        </w:tc>
        <w:tc>
          <w:tcPr>
            <w:tcW w:w="2074" w:type="dxa"/>
          </w:tcPr>
          <w:p w14:paraId="09B34810" w14:textId="77777777" w:rsidR="007075D9" w:rsidRPr="004D46AC" w:rsidRDefault="007075D9" w:rsidP="00D41749">
            <w:pPr>
              <w:spacing w:line="240" w:lineRule="auto"/>
              <w:ind w:firstLine="0"/>
            </w:pPr>
            <w:r w:rsidRPr="004D46AC">
              <w:t>Numeric</w:t>
            </w:r>
          </w:p>
        </w:tc>
        <w:tc>
          <w:tcPr>
            <w:tcW w:w="2074" w:type="dxa"/>
          </w:tcPr>
          <w:p w14:paraId="3DE05645" w14:textId="77777777" w:rsidR="007075D9" w:rsidRPr="004D46AC" w:rsidRDefault="007075D9" w:rsidP="00D41749">
            <w:pPr>
              <w:spacing w:line="240" w:lineRule="auto"/>
              <w:ind w:firstLine="0"/>
            </w:pPr>
            <w:r w:rsidRPr="004D46AC">
              <w:t>Default</w:t>
            </w:r>
          </w:p>
        </w:tc>
      </w:tr>
      <w:tr w:rsidR="007075D9" w:rsidRPr="004D46AC" w14:paraId="6DE9B3B8" w14:textId="77777777" w:rsidTr="00B518F1">
        <w:tc>
          <w:tcPr>
            <w:tcW w:w="2074" w:type="dxa"/>
          </w:tcPr>
          <w:p w14:paraId="4055435D" w14:textId="77777777" w:rsidR="007075D9" w:rsidRPr="004D46AC" w:rsidRDefault="007075D9" w:rsidP="00D41749">
            <w:pPr>
              <w:spacing w:line="240" w:lineRule="auto"/>
              <w:ind w:firstLine="0"/>
            </w:pPr>
            <w:r w:rsidRPr="004D46AC">
              <w:t>Rate of comorbid hallucinations</w:t>
            </w:r>
          </w:p>
        </w:tc>
        <w:tc>
          <w:tcPr>
            <w:tcW w:w="2074" w:type="dxa"/>
          </w:tcPr>
          <w:p w14:paraId="22060AD2" w14:textId="77777777" w:rsidR="007075D9" w:rsidRPr="004D46AC" w:rsidRDefault="007075D9" w:rsidP="00D41749">
            <w:pPr>
              <w:spacing w:line="240" w:lineRule="auto"/>
              <w:ind w:firstLine="0"/>
            </w:pPr>
            <w:r w:rsidRPr="004D46AC">
              <w:t>Whether bipolar patients had/have concurrent hallucinations (lifetime/ current)</w:t>
            </w:r>
          </w:p>
        </w:tc>
        <w:tc>
          <w:tcPr>
            <w:tcW w:w="2074" w:type="dxa"/>
          </w:tcPr>
          <w:p w14:paraId="5CD9F16E" w14:textId="77777777" w:rsidR="007075D9" w:rsidRPr="004D46AC" w:rsidRDefault="007075D9" w:rsidP="00D41749">
            <w:pPr>
              <w:spacing w:line="240" w:lineRule="auto"/>
              <w:ind w:firstLine="0"/>
            </w:pPr>
            <w:r w:rsidRPr="004D46AC">
              <w:t>Numeric</w:t>
            </w:r>
          </w:p>
        </w:tc>
        <w:tc>
          <w:tcPr>
            <w:tcW w:w="2074" w:type="dxa"/>
          </w:tcPr>
          <w:p w14:paraId="300FEC51" w14:textId="77777777" w:rsidR="007075D9" w:rsidRPr="004D46AC" w:rsidRDefault="007075D9" w:rsidP="00D41749">
            <w:pPr>
              <w:spacing w:line="240" w:lineRule="auto"/>
              <w:ind w:firstLine="0"/>
            </w:pPr>
            <w:r w:rsidRPr="004D46AC">
              <w:t>Default</w:t>
            </w:r>
          </w:p>
        </w:tc>
      </w:tr>
      <w:tr w:rsidR="007075D9" w:rsidRPr="004D46AC" w14:paraId="057311E3" w14:textId="77777777" w:rsidTr="00B518F1">
        <w:tc>
          <w:tcPr>
            <w:tcW w:w="2074" w:type="dxa"/>
          </w:tcPr>
          <w:p w14:paraId="39A080F2" w14:textId="77777777" w:rsidR="007075D9" w:rsidRPr="004D46AC" w:rsidRDefault="007075D9" w:rsidP="00D41749">
            <w:pPr>
              <w:spacing w:line="240" w:lineRule="auto"/>
              <w:ind w:firstLine="0"/>
            </w:pPr>
            <w:r w:rsidRPr="004D46AC">
              <w:t>Rate of comorbid thought disorder</w:t>
            </w:r>
          </w:p>
        </w:tc>
        <w:tc>
          <w:tcPr>
            <w:tcW w:w="2074" w:type="dxa"/>
          </w:tcPr>
          <w:p w14:paraId="5D7F9B5B" w14:textId="77777777" w:rsidR="007075D9" w:rsidRPr="004D46AC" w:rsidRDefault="007075D9" w:rsidP="00D41749">
            <w:pPr>
              <w:spacing w:line="240" w:lineRule="auto"/>
              <w:ind w:firstLine="0"/>
            </w:pPr>
            <w:r w:rsidRPr="004D46AC">
              <w:t xml:space="preserve">Whether bipolar patients had/have concurrent thought </w:t>
            </w:r>
            <w:r w:rsidRPr="004D46AC">
              <w:lastRenderedPageBreak/>
              <w:t>disorder (lifetime/ current)</w:t>
            </w:r>
          </w:p>
        </w:tc>
        <w:tc>
          <w:tcPr>
            <w:tcW w:w="2074" w:type="dxa"/>
          </w:tcPr>
          <w:p w14:paraId="0377CAED" w14:textId="77777777" w:rsidR="007075D9" w:rsidRPr="004D46AC" w:rsidRDefault="007075D9" w:rsidP="00D41749">
            <w:pPr>
              <w:spacing w:line="240" w:lineRule="auto"/>
              <w:ind w:firstLine="0"/>
            </w:pPr>
            <w:r w:rsidRPr="004D46AC">
              <w:lastRenderedPageBreak/>
              <w:t>Numeric</w:t>
            </w:r>
          </w:p>
        </w:tc>
        <w:tc>
          <w:tcPr>
            <w:tcW w:w="2074" w:type="dxa"/>
          </w:tcPr>
          <w:p w14:paraId="25B0A9E9" w14:textId="77777777" w:rsidR="007075D9" w:rsidRPr="004D46AC" w:rsidRDefault="007075D9" w:rsidP="00D41749">
            <w:pPr>
              <w:spacing w:line="240" w:lineRule="auto"/>
              <w:ind w:firstLine="0"/>
            </w:pPr>
            <w:r w:rsidRPr="004D46AC">
              <w:t>Default</w:t>
            </w:r>
          </w:p>
        </w:tc>
      </w:tr>
      <w:tr w:rsidR="007075D9" w:rsidRPr="004D46AC" w14:paraId="51C05FAC" w14:textId="77777777" w:rsidTr="00B518F1">
        <w:tc>
          <w:tcPr>
            <w:tcW w:w="8296" w:type="dxa"/>
            <w:gridSpan w:val="4"/>
          </w:tcPr>
          <w:p w14:paraId="2A81D475" w14:textId="77777777" w:rsidR="007075D9" w:rsidRPr="004D46AC" w:rsidRDefault="007075D9" w:rsidP="00D41749">
            <w:pPr>
              <w:spacing w:line="240" w:lineRule="auto"/>
              <w:ind w:firstLine="0"/>
              <w:rPr>
                <w:b/>
                <w:bCs/>
              </w:rPr>
            </w:pPr>
            <w:r w:rsidRPr="004D46AC">
              <w:rPr>
                <w:b/>
                <w:bCs/>
              </w:rPr>
              <w:t>Variables not involved in the analysis</w:t>
            </w:r>
          </w:p>
        </w:tc>
      </w:tr>
      <w:tr w:rsidR="007075D9" w:rsidRPr="004D46AC" w14:paraId="13E611CE" w14:textId="77777777" w:rsidTr="00B518F1">
        <w:tc>
          <w:tcPr>
            <w:tcW w:w="2074" w:type="dxa"/>
          </w:tcPr>
          <w:p w14:paraId="5C233B26" w14:textId="77777777" w:rsidR="007075D9" w:rsidRPr="004D46AC" w:rsidRDefault="007075D9" w:rsidP="00D41749">
            <w:pPr>
              <w:spacing w:line="240" w:lineRule="auto"/>
              <w:ind w:firstLine="0"/>
            </w:pPr>
            <w:r w:rsidRPr="004D46AC">
              <w:t>Diagnostic standard</w:t>
            </w:r>
          </w:p>
        </w:tc>
        <w:tc>
          <w:tcPr>
            <w:tcW w:w="2074" w:type="dxa"/>
          </w:tcPr>
          <w:p w14:paraId="4EA10FB3" w14:textId="77777777" w:rsidR="007075D9" w:rsidRPr="004D46AC" w:rsidRDefault="007075D9" w:rsidP="00D41749">
            <w:pPr>
              <w:spacing w:line="240" w:lineRule="auto"/>
              <w:ind w:firstLine="0"/>
            </w:pPr>
            <w:r w:rsidRPr="004D46AC">
              <w:t>The criteria used for diagnosis</w:t>
            </w:r>
          </w:p>
        </w:tc>
        <w:tc>
          <w:tcPr>
            <w:tcW w:w="2074" w:type="dxa"/>
          </w:tcPr>
          <w:p w14:paraId="13E41947" w14:textId="77777777" w:rsidR="007075D9" w:rsidRPr="004D46AC" w:rsidRDefault="007075D9" w:rsidP="00D41749">
            <w:pPr>
              <w:spacing w:line="240" w:lineRule="auto"/>
              <w:ind w:firstLine="0"/>
            </w:pPr>
            <w:r w:rsidRPr="004D46AC">
              <w:t>Nominal</w:t>
            </w:r>
          </w:p>
        </w:tc>
        <w:tc>
          <w:tcPr>
            <w:tcW w:w="2074" w:type="dxa"/>
          </w:tcPr>
          <w:p w14:paraId="30AA64B4" w14:textId="77777777" w:rsidR="007075D9" w:rsidRPr="004D46AC" w:rsidRDefault="007075D9" w:rsidP="00D41749">
            <w:pPr>
              <w:spacing w:line="240" w:lineRule="auto"/>
              <w:ind w:firstLine="0"/>
            </w:pPr>
            <w:r w:rsidRPr="004D46AC">
              <w:t>DSM, ICD, RDC etc.</w:t>
            </w:r>
          </w:p>
        </w:tc>
      </w:tr>
      <w:tr w:rsidR="007075D9" w:rsidRPr="004D46AC" w14:paraId="7F5F456C" w14:textId="77777777" w:rsidTr="00B518F1">
        <w:tc>
          <w:tcPr>
            <w:tcW w:w="2074" w:type="dxa"/>
          </w:tcPr>
          <w:p w14:paraId="7C45B917" w14:textId="77777777" w:rsidR="007075D9" w:rsidRPr="004D46AC" w:rsidRDefault="007075D9" w:rsidP="00D41749">
            <w:pPr>
              <w:spacing w:line="240" w:lineRule="auto"/>
              <w:ind w:firstLine="0"/>
            </w:pPr>
            <w:r w:rsidRPr="004D46AC">
              <w:t>Assessment tools</w:t>
            </w:r>
          </w:p>
        </w:tc>
        <w:tc>
          <w:tcPr>
            <w:tcW w:w="2074" w:type="dxa"/>
          </w:tcPr>
          <w:p w14:paraId="19DA9C79" w14:textId="77777777" w:rsidR="007075D9" w:rsidRPr="004D46AC" w:rsidRDefault="007075D9" w:rsidP="00D41749">
            <w:pPr>
              <w:spacing w:line="240" w:lineRule="auto"/>
              <w:ind w:firstLine="0"/>
            </w:pPr>
            <w:r w:rsidRPr="004D46AC">
              <w:t>The tools used for assessment, specifically the psychiatric symptoms</w:t>
            </w:r>
          </w:p>
        </w:tc>
        <w:tc>
          <w:tcPr>
            <w:tcW w:w="2074" w:type="dxa"/>
          </w:tcPr>
          <w:p w14:paraId="72B17DD5" w14:textId="77777777" w:rsidR="007075D9" w:rsidRPr="004D46AC" w:rsidRDefault="007075D9" w:rsidP="00D41749">
            <w:pPr>
              <w:spacing w:line="240" w:lineRule="auto"/>
              <w:ind w:firstLine="0"/>
            </w:pPr>
            <w:r w:rsidRPr="004D46AC">
              <w:t xml:space="preserve">Nominal </w:t>
            </w:r>
          </w:p>
        </w:tc>
        <w:tc>
          <w:tcPr>
            <w:tcW w:w="2074" w:type="dxa"/>
          </w:tcPr>
          <w:p w14:paraId="1E355735" w14:textId="77777777" w:rsidR="007075D9" w:rsidRPr="004D46AC" w:rsidRDefault="007075D9" w:rsidP="00D41749">
            <w:pPr>
              <w:spacing w:line="240" w:lineRule="auto"/>
              <w:ind w:firstLine="0"/>
            </w:pPr>
            <w:r w:rsidRPr="004D46AC">
              <w:t>PANSS, YMRS etc.</w:t>
            </w:r>
          </w:p>
        </w:tc>
      </w:tr>
      <w:tr w:rsidR="007075D9" w:rsidRPr="004D46AC" w14:paraId="0C65C66D" w14:textId="77777777" w:rsidTr="00B518F1">
        <w:tc>
          <w:tcPr>
            <w:tcW w:w="2074" w:type="dxa"/>
          </w:tcPr>
          <w:p w14:paraId="04F730C8" w14:textId="77777777" w:rsidR="007075D9" w:rsidRPr="004D46AC" w:rsidRDefault="007075D9" w:rsidP="00D41749">
            <w:pPr>
              <w:spacing w:line="240" w:lineRule="auto"/>
              <w:ind w:firstLine="0"/>
            </w:pPr>
            <w:r w:rsidRPr="004D46AC">
              <w:t>Location</w:t>
            </w:r>
          </w:p>
        </w:tc>
        <w:tc>
          <w:tcPr>
            <w:tcW w:w="2074" w:type="dxa"/>
          </w:tcPr>
          <w:p w14:paraId="1A17158A" w14:textId="77777777" w:rsidR="007075D9" w:rsidRPr="004D46AC" w:rsidRDefault="007075D9" w:rsidP="00D41749">
            <w:pPr>
              <w:spacing w:line="240" w:lineRule="auto"/>
              <w:ind w:firstLine="0"/>
            </w:pPr>
            <w:r w:rsidRPr="004D46AC">
              <w:t>The place where the study was conducted</w:t>
            </w:r>
          </w:p>
        </w:tc>
        <w:tc>
          <w:tcPr>
            <w:tcW w:w="2074" w:type="dxa"/>
          </w:tcPr>
          <w:p w14:paraId="02A22168" w14:textId="77777777" w:rsidR="007075D9" w:rsidRPr="004D46AC" w:rsidRDefault="007075D9" w:rsidP="00D41749">
            <w:pPr>
              <w:spacing w:line="240" w:lineRule="auto"/>
              <w:ind w:firstLine="0"/>
            </w:pPr>
            <w:r w:rsidRPr="004D46AC">
              <w:t xml:space="preserve">Nominal </w:t>
            </w:r>
          </w:p>
        </w:tc>
        <w:tc>
          <w:tcPr>
            <w:tcW w:w="2074" w:type="dxa"/>
          </w:tcPr>
          <w:p w14:paraId="20E85731" w14:textId="77777777" w:rsidR="007075D9" w:rsidRPr="004D46AC" w:rsidRDefault="007075D9" w:rsidP="00D41749">
            <w:pPr>
              <w:spacing w:line="240" w:lineRule="auto"/>
              <w:ind w:firstLine="0"/>
            </w:pPr>
            <w:proofErr w:type="gramStart"/>
            <w:r w:rsidRPr="004D46AC">
              <w:t>AL ,CN</w:t>
            </w:r>
            <w:proofErr w:type="gramEnd"/>
            <w:r w:rsidRPr="004D46AC">
              <w:t xml:space="preserve">, DZ etc. </w:t>
            </w:r>
          </w:p>
        </w:tc>
      </w:tr>
    </w:tbl>
    <w:p w14:paraId="377A02FD" w14:textId="77777777" w:rsidR="007075D9" w:rsidRPr="004D46AC" w:rsidRDefault="007075D9" w:rsidP="00D41749">
      <w:pPr>
        <w:spacing w:line="240" w:lineRule="auto"/>
        <w:ind w:firstLine="0"/>
      </w:pPr>
      <w:r w:rsidRPr="004D46AC">
        <w:rPr>
          <w:i/>
          <w:iCs/>
        </w:rPr>
        <w:t>Note</w:t>
      </w:r>
      <w:r w:rsidRPr="004D46AC">
        <w:t>.</w:t>
      </w:r>
      <w:r w:rsidRPr="004D46AC">
        <w:rPr>
          <w:b/>
          <w:bCs/>
        </w:rPr>
        <w:t xml:space="preserve"> </w:t>
      </w:r>
      <w:r w:rsidRPr="004D46AC">
        <w:t>the lifetime or current psychosis was mainly decided by semantic descriptions</w:t>
      </w:r>
      <w:r w:rsidRPr="004D46AC">
        <w:rPr>
          <w:b/>
          <w:bCs/>
        </w:rPr>
        <w:t>.</w:t>
      </w:r>
      <w:r w:rsidRPr="004D46AC">
        <w:t xml:space="preserve"> For instance, patient diagnosed by structured clinical interview for DSM IV as having psychotic features </w:t>
      </w:r>
      <w:proofErr w:type="gramStart"/>
      <w:r w:rsidRPr="004D46AC">
        <w:t>are considered to be</w:t>
      </w:r>
      <w:proofErr w:type="gramEnd"/>
      <w:r w:rsidRPr="004D46AC">
        <w:t xml:space="preserve"> suffering from a current or recent condition unless otherwise specified</w:t>
      </w:r>
      <w:r w:rsidRPr="004D46AC">
        <w:rPr>
          <w:b/>
          <w:bCs/>
        </w:rPr>
        <w:t>;</w:t>
      </w:r>
      <w:r w:rsidRPr="004D46AC">
        <w:t xml:space="preserve"> the highest rate of a specific type of the psychotic condition was recorded in case the prevalence of general hallucinations, delusions, and thought disorder was not reported,</w:t>
      </w:r>
    </w:p>
    <w:p w14:paraId="5ED17103" w14:textId="77777777" w:rsidR="007075D9" w:rsidRPr="004D46AC" w:rsidRDefault="007075D9" w:rsidP="00B518F1">
      <w:pPr>
        <w:rPr>
          <w:b/>
          <w:bCs/>
        </w:rPr>
      </w:pPr>
    </w:p>
    <w:p w14:paraId="23E95669" w14:textId="77777777" w:rsidR="007075D9" w:rsidRPr="004D46AC" w:rsidRDefault="007075D9" w:rsidP="00B518F1">
      <w:pPr>
        <w:rPr>
          <w:b/>
          <w:bCs/>
        </w:rPr>
      </w:pPr>
    </w:p>
    <w:p w14:paraId="49A4B736" w14:textId="77777777" w:rsidR="007075D9" w:rsidRPr="004D46AC" w:rsidRDefault="007075D9" w:rsidP="00B518F1">
      <w:pPr>
        <w:rPr>
          <w:b/>
          <w:bCs/>
        </w:rPr>
      </w:pPr>
    </w:p>
    <w:p w14:paraId="4F156DE1" w14:textId="77777777" w:rsidR="007075D9" w:rsidRPr="004D46AC" w:rsidRDefault="007075D9" w:rsidP="00B518F1">
      <w:pPr>
        <w:rPr>
          <w:b/>
          <w:bCs/>
        </w:rPr>
      </w:pPr>
    </w:p>
    <w:p w14:paraId="042533B9" w14:textId="77777777" w:rsidR="007075D9" w:rsidRPr="004D46AC" w:rsidRDefault="007075D9" w:rsidP="00B518F1">
      <w:pPr>
        <w:rPr>
          <w:b/>
          <w:bCs/>
        </w:rPr>
      </w:pPr>
    </w:p>
    <w:p w14:paraId="223DF1A9" w14:textId="77777777" w:rsidR="007075D9" w:rsidRPr="004D46AC" w:rsidRDefault="007075D9" w:rsidP="00B518F1">
      <w:pPr>
        <w:rPr>
          <w:b/>
          <w:bCs/>
        </w:rPr>
      </w:pPr>
    </w:p>
    <w:p w14:paraId="3D6CB5BD" w14:textId="77777777" w:rsidR="007075D9" w:rsidRPr="004D46AC" w:rsidRDefault="007075D9" w:rsidP="00B518F1">
      <w:pPr>
        <w:rPr>
          <w:b/>
          <w:bCs/>
        </w:rPr>
      </w:pPr>
    </w:p>
    <w:p w14:paraId="0E84E93B" w14:textId="77777777" w:rsidR="007075D9" w:rsidRPr="004D46AC" w:rsidRDefault="007075D9" w:rsidP="00B518F1">
      <w:pPr>
        <w:rPr>
          <w:b/>
          <w:bCs/>
        </w:rPr>
      </w:pPr>
    </w:p>
    <w:p w14:paraId="1BF4408C" w14:textId="77777777" w:rsidR="007075D9" w:rsidRPr="004D46AC" w:rsidRDefault="007075D9" w:rsidP="00B518F1">
      <w:pPr>
        <w:rPr>
          <w:b/>
          <w:bCs/>
        </w:rPr>
      </w:pPr>
    </w:p>
    <w:p w14:paraId="045CF29C" w14:textId="77777777" w:rsidR="007075D9" w:rsidRPr="004D46AC" w:rsidRDefault="007075D9" w:rsidP="00B518F1">
      <w:pPr>
        <w:rPr>
          <w:b/>
          <w:bCs/>
        </w:rPr>
      </w:pPr>
    </w:p>
    <w:p w14:paraId="7CD4038A" w14:textId="77777777" w:rsidR="007075D9" w:rsidRPr="004D46AC" w:rsidRDefault="007075D9" w:rsidP="00B518F1">
      <w:pPr>
        <w:rPr>
          <w:b/>
          <w:bCs/>
        </w:rPr>
      </w:pPr>
    </w:p>
    <w:p w14:paraId="6C98C02A" w14:textId="77777777" w:rsidR="007075D9" w:rsidRPr="004D46AC" w:rsidRDefault="007075D9" w:rsidP="00B518F1">
      <w:pPr>
        <w:rPr>
          <w:b/>
          <w:bCs/>
        </w:rPr>
      </w:pPr>
    </w:p>
    <w:p w14:paraId="3B10EEFD" w14:textId="77777777" w:rsidR="007075D9" w:rsidRPr="004D46AC" w:rsidRDefault="007075D9" w:rsidP="00B518F1">
      <w:pPr>
        <w:rPr>
          <w:b/>
          <w:bCs/>
        </w:rPr>
      </w:pPr>
    </w:p>
    <w:p w14:paraId="13AD30C3" w14:textId="77777777" w:rsidR="007075D9" w:rsidRPr="004D46AC" w:rsidRDefault="007075D9" w:rsidP="00B518F1">
      <w:pPr>
        <w:rPr>
          <w:b/>
          <w:bCs/>
        </w:rPr>
      </w:pPr>
    </w:p>
    <w:p w14:paraId="76345BF0" w14:textId="77777777" w:rsidR="007075D9" w:rsidRPr="004D46AC" w:rsidRDefault="007075D9" w:rsidP="00B518F1">
      <w:pPr>
        <w:rPr>
          <w:b/>
          <w:bCs/>
        </w:rPr>
      </w:pPr>
    </w:p>
    <w:p w14:paraId="51B801BE" w14:textId="77777777" w:rsidR="007075D9" w:rsidRPr="004D46AC" w:rsidRDefault="007075D9" w:rsidP="00B518F1">
      <w:pPr>
        <w:rPr>
          <w:b/>
          <w:bCs/>
        </w:rPr>
      </w:pPr>
    </w:p>
    <w:p w14:paraId="1B27C418" w14:textId="77777777" w:rsidR="007075D9" w:rsidRPr="004D46AC" w:rsidRDefault="007075D9" w:rsidP="00B518F1">
      <w:pPr>
        <w:rPr>
          <w:b/>
          <w:bCs/>
        </w:rPr>
      </w:pPr>
    </w:p>
    <w:p w14:paraId="5F9AA00A" w14:textId="77777777" w:rsidR="007075D9" w:rsidRPr="004D46AC" w:rsidRDefault="007075D9" w:rsidP="00B518F1">
      <w:pPr>
        <w:rPr>
          <w:b/>
          <w:bCs/>
        </w:rPr>
      </w:pPr>
    </w:p>
    <w:p w14:paraId="13012DEF" w14:textId="77777777" w:rsidR="00D41749" w:rsidRPr="004D46AC" w:rsidRDefault="00D41749" w:rsidP="00D41749">
      <w:pPr>
        <w:pStyle w:val="afff0"/>
        <w:ind w:firstLine="0"/>
        <w:rPr>
          <w:rFonts w:eastAsiaTheme="minorEastAsia"/>
        </w:rPr>
      </w:pPr>
    </w:p>
    <w:p w14:paraId="0EB02896" w14:textId="0E5902B9" w:rsidR="00D41749" w:rsidRPr="004D46AC" w:rsidRDefault="00D41749" w:rsidP="00D41749">
      <w:pPr>
        <w:pStyle w:val="afff0"/>
        <w:spacing w:after="0"/>
        <w:ind w:firstLine="0"/>
        <w:rPr>
          <w:b/>
          <w:bCs/>
          <w:i w:val="0"/>
          <w:iCs w:val="0"/>
          <w:color w:val="auto"/>
          <w:sz w:val="22"/>
          <w:szCs w:val="22"/>
        </w:rPr>
      </w:pPr>
      <w:bookmarkStart w:id="311" w:name="_Toc225271028"/>
      <w:r w:rsidRPr="004D46AC">
        <w:rPr>
          <w:b/>
          <w:bCs/>
          <w:i w:val="0"/>
          <w:iCs w:val="0"/>
          <w:color w:val="auto"/>
          <w:sz w:val="22"/>
          <w:szCs w:val="22"/>
        </w:rPr>
        <w:lastRenderedPageBreak/>
        <w:t xml:space="preserve">Table B </w:t>
      </w:r>
      <w:r w:rsidRPr="004D46AC">
        <w:rPr>
          <w:b/>
          <w:bCs/>
          <w:i w:val="0"/>
          <w:iCs w:val="0"/>
          <w:color w:val="auto"/>
          <w:sz w:val="22"/>
          <w:szCs w:val="22"/>
        </w:rPr>
        <w:fldChar w:fldCharType="begin"/>
      </w:r>
      <w:r w:rsidRPr="004D46AC">
        <w:rPr>
          <w:b/>
          <w:bCs/>
          <w:i w:val="0"/>
          <w:iCs w:val="0"/>
          <w:color w:val="auto"/>
          <w:sz w:val="22"/>
          <w:szCs w:val="22"/>
        </w:rPr>
        <w:instrText xml:space="preserve"> SEQ Table_B \* ARABIC </w:instrText>
      </w:r>
      <w:r w:rsidRPr="004D46AC">
        <w:rPr>
          <w:b/>
          <w:bCs/>
          <w:i w:val="0"/>
          <w:iCs w:val="0"/>
          <w:color w:val="auto"/>
          <w:sz w:val="22"/>
          <w:szCs w:val="22"/>
        </w:rPr>
        <w:fldChar w:fldCharType="separate"/>
      </w:r>
      <w:r w:rsidR="009864DB" w:rsidRPr="004D46AC">
        <w:rPr>
          <w:b/>
          <w:bCs/>
          <w:i w:val="0"/>
          <w:iCs w:val="0"/>
          <w:noProof/>
          <w:color w:val="auto"/>
          <w:sz w:val="22"/>
          <w:szCs w:val="22"/>
        </w:rPr>
        <w:t>6</w:t>
      </w:r>
      <w:bookmarkEnd w:id="311"/>
      <w:r w:rsidRPr="004D46AC">
        <w:rPr>
          <w:b/>
          <w:bCs/>
          <w:i w:val="0"/>
          <w:iCs w:val="0"/>
          <w:color w:val="auto"/>
          <w:sz w:val="22"/>
          <w:szCs w:val="22"/>
        </w:rPr>
        <w:fldChar w:fldCharType="end"/>
      </w:r>
    </w:p>
    <w:p w14:paraId="2750A158" w14:textId="2140BB93" w:rsidR="007075D9" w:rsidRPr="004D46AC" w:rsidRDefault="007075D9" w:rsidP="00D41749">
      <w:pPr>
        <w:spacing w:line="240" w:lineRule="auto"/>
        <w:ind w:firstLine="0"/>
        <w:rPr>
          <w:i/>
          <w:iCs/>
        </w:rPr>
      </w:pPr>
      <w:r w:rsidRPr="004D46AC">
        <w:rPr>
          <w:i/>
          <w:iCs/>
        </w:rPr>
        <w:t xml:space="preserve">The </w:t>
      </w:r>
      <w:r w:rsidR="00D70BAE" w:rsidRPr="004D46AC">
        <w:rPr>
          <w:rFonts w:eastAsiaTheme="minorEastAsia" w:hint="eastAsia"/>
          <w:i/>
          <w:iCs/>
        </w:rPr>
        <w:t>a</w:t>
      </w:r>
      <w:r w:rsidRPr="004D46AC">
        <w:rPr>
          <w:i/>
          <w:iCs/>
        </w:rPr>
        <w:t xml:space="preserve">bbreviated </w:t>
      </w:r>
      <w:r w:rsidR="00D70BAE" w:rsidRPr="004D46AC">
        <w:rPr>
          <w:rFonts w:eastAsiaTheme="minorEastAsia" w:hint="eastAsia"/>
          <w:i/>
          <w:iCs/>
        </w:rPr>
        <w:t>t</w:t>
      </w:r>
      <w:r w:rsidRPr="004D46AC">
        <w:rPr>
          <w:i/>
          <w:iCs/>
        </w:rPr>
        <w:t xml:space="preserve">erms and </w:t>
      </w:r>
      <w:r w:rsidR="00D70BAE" w:rsidRPr="004D46AC">
        <w:rPr>
          <w:rFonts w:eastAsiaTheme="minorEastAsia" w:hint="eastAsia"/>
          <w:i/>
          <w:iCs/>
        </w:rPr>
        <w:t>f</w:t>
      </w:r>
      <w:r w:rsidRPr="004D46AC">
        <w:rPr>
          <w:i/>
          <w:iCs/>
        </w:rPr>
        <w:t xml:space="preserve">ull </w:t>
      </w:r>
      <w:r w:rsidR="00D70BAE" w:rsidRPr="004D46AC">
        <w:rPr>
          <w:rFonts w:eastAsiaTheme="minorEastAsia" w:hint="eastAsia"/>
          <w:i/>
          <w:iCs/>
        </w:rPr>
        <w:t>n</w:t>
      </w:r>
      <w:r w:rsidRPr="004D46AC">
        <w:rPr>
          <w:i/>
          <w:iCs/>
        </w:rPr>
        <w:t>ames</w:t>
      </w:r>
    </w:p>
    <w:tbl>
      <w:tblPr>
        <w:tblStyle w:val="afc"/>
        <w:tblW w:w="0" w:type="auto"/>
        <w:tblLook w:val="04A0" w:firstRow="1" w:lastRow="0" w:firstColumn="1" w:lastColumn="0" w:noHBand="0" w:noVBand="1"/>
      </w:tblPr>
      <w:tblGrid>
        <w:gridCol w:w="1696"/>
        <w:gridCol w:w="6600"/>
      </w:tblGrid>
      <w:tr w:rsidR="007075D9" w:rsidRPr="004D46AC" w14:paraId="173233D4" w14:textId="77777777" w:rsidTr="00B518F1">
        <w:tc>
          <w:tcPr>
            <w:tcW w:w="1696" w:type="dxa"/>
          </w:tcPr>
          <w:p w14:paraId="5B4A6E88" w14:textId="77777777" w:rsidR="007075D9" w:rsidRPr="004D46AC" w:rsidRDefault="007075D9" w:rsidP="00D41749">
            <w:pPr>
              <w:spacing w:line="240" w:lineRule="auto"/>
              <w:ind w:firstLine="0"/>
            </w:pPr>
            <w:r w:rsidRPr="004D46AC">
              <w:t>Short name</w:t>
            </w:r>
          </w:p>
        </w:tc>
        <w:tc>
          <w:tcPr>
            <w:tcW w:w="6600" w:type="dxa"/>
          </w:tcPr>
          <w:p w14:paraId="517F2EC6" w14:textId="77777777" w:rsidR="007075D9" w:rsidRPr="004D46AC" w:rsidRDefault="007075D9" w:rsidP="00D41749">
            <w:pPr>
              <w:spacing w:line="240" w:lineRule="auto"/>
              <w:ind w:firstLine="0"/>
            </w:pPr>
            <w:r w:rsidRPr="004D46AC">
              <w:t>Full name</w:t>
            </w:r>
          </w:p>
        </w:tc>
      </w:tr>
      <w:tr w:rsidR="007075D9" w:rsidRPr="004D46AC" w14:paraId="2AA01908" w14:textId="77777777" w:rsidTr="00B518F1">
        <w:tc>
          <w:tcPr>
            <w:tcW w:w="1696" w:type="dxa"/>
          </w:tcPr>
          <w:p w14:paraId="7BFB13F2" w14:textId="77777777" w:rsidR="007075D9" w:rsidRPr="004D46AC" w:rsidRDefault="007075D9" w:rsidP="00D41749">
            <w:pPr>
              <w:spacing w:line="240" w:lineRule="auto"/>
              <w:ind w:firstLine="0"/>
            </w:pPr>
            <w:r w:rsidRPr="004D46AC">
              <w:t>AMDP</w:t>
            </w:r>
          </w:p>
        </w:tc>
        <w:tc>
          <w:tcPr>
            <w:tcW w:w="6600" w:type="dxa"/>
          </w:tcPr>
          <w:p w14:paraId="6A391323" w14:textId="77777777" w:rsidR="007075D9" w:rsidRPr="004D46AC" w:rsidRDefault="007075D9" w:rsidP="00D41749">
            <w:pPr>
              <w:spacing w:line="240" w:lineRule="auto"/>
              <w:ind w:firstLine="0"/>
            </w:pPr>
            <w:r w:rsidRPr="004D46AC">
              <w:t>Association for Methodology and Documentation in Psychiatry</w:t>
            </w:r>
          </w:p>
        </w:tc>
      </w:tr>
      <w:tr w:rsidR="007075D9" w:rsidRPr="004D46AC" w14:paraId="5658AE50" w14:textId="77777777" w:rsidTr="00B518F1">
        <w:tc>
          <w:tcPr>
            <w:tcW w:w="1696" w:type="dxa"/>
          </w:tcPr>
          <w:p w14:paraId="5AED1049" w14:textId="77777777" w:rsidR="007075D9" w:rsidRPr="004D46AC" w:rsidRDefault="007075D9" w:rsidP="00D41749">
            <w:pPr>
              <w:spacing w:line="240" w:lineRule="auto"/>
              <w:ind w:firstLine="0"/>
            </w:pPr>
            <w:r w:rsidRPr="004D46AC">
              <w:t>BISS</w:t>
            </w:r>
          </w:p>
        </w:tc>
        <w:tc>
          <w:tcPr>
            <w:tcW w:w="6600" w:type="dxa"/>
          </w:tcPr>
          <w:p w14:paraId="5396AC31" w14:textId="77777777" w:rsidR="007075D9" w:rsidRPr="004D46AC" w:rsidRDefault="007075D9" w:rsidP="00D41749">
            <w:pPr>
              <w:spacing w:line="240" w:lineRule="auto"/>
              <w:ind w:firstLine="0"/>
            </w:pPr>
            <w:r w:rsidRPr="004D46AC">
              <w:t xml:space="preserve">Bipolar Inventory of Symptoms Scale </w:t>
            </w:r>
          </w:p>
        </w:tc>
      </w:tr>
      <w:tr w:rsidR="007075D9" w:rsidRPr="004D46AC" w14:paraId="396B91A1" w14:textId="77777777" w:rsidTr="00B518F1">
        <w:tc>
          <w:tcPr>
            <w:tcW w:w="1696" w:type="dxa"/>
          </w:tcPr>
          <w:p w14:paraId="23241D17" w14:textId="77777777" w:rsidR="007075D9" w:rsidRPr="004D46AC" w:rsidRDefault="007075D9" w:rsidP="00D41749">
            <w:pPr>
              <w:spacing w:line="240" w:lineRule="auto"/>
              <w:ind w:firstLine="0"/>
            </w:pPr>
            <w:r w:rsidRPr="004D46AC">
              <w:t>BPRS</w:t>
            </w:r>
          </w:p>
        </w:tc>
        <w:tc>
          <w:tcPr>
            <w:tcW w:w="6600" w:type="dxa"/>
          </w:tcPr>
          <w:p w14:paraId="3B7CAFA8" w14:textId="77777777" w:rsidR="007075D9" w:rsidRPr="004D46AC" w:rsidRDefault="007075D9" w:rsidP="00D41749">
            <w:pPr>
              <w:spacing w:line="240" w:lineRule="auto"/>
              <w:ind w:firstLine="0"/>
            </w:pPr>
            <w:r w:rsidRPr="004D46AC">
              <w:t>Brief Psychiatric Rating Scale</w:t>
            </w:r>
          </w:p>
        </w:tc>
      </w:tr>
      <w:tr w:rsidR="007075D9" w:rsidRPr="004D46AC" w14:paraId="617FFEB9" w14:textId="77777777" w:rsidTr="00B518F1">
        <w:tc>
          <w:tcPr>
            <w:tcW w:w="1696" w:type="dxa"/>
          </w:tcPr>
          <w:p w14:paraId="6EBE9FE8" w14:textId="77777777" w:rsidR="007075D9" w:rsidRPr="004D46AC" w:rsidRDefault="007075D9" w:rsidP="00D41749">
            <w:pPr>
              <w:spacing w:line="240" w:lineRule="auto"/>
              <w:ind w:firstLine="0"/>
            </w:pPr>
            <w:r w:rsidRPr="004D46AC">
              <w:t>CAPE</w:t>
            </w:r>
          </w:p>
        </w:tc>
        <w:tc>
          <w:tcPr>
            <w:tcW w:w="6600" w:type="dxa"/>
          </w:tcPr>
          <w:p w14:paraId="22097FFE" w14:textId="77777777" w:rsidR="007075D9" w:rsidRPr="004D46AC" w:rsidRDefault="007075D9" w:rsidP="00D41749">
            <w:pPr>
              <w:spacing w:line="240" w:lineRule="auto"/>
              <w:ind w:firstLine="0"/>
            </w:pPr>
            <w:r w:rsidRPr="004D46AC">
              <w:t>Community Assessment of Psychic Experiences</w:t>
            </w:r>
          </w:p>
        </w:tc>
      </w:tr>
      <w:tr w:rsidR="007075D9" w:rsidRPr="004D46AC" w14:paraId="7996FE3B" w14:textId="77777777" w:rsidTr="00B518F1">
        <w:tc>
          <w:tcPr>
            <w:tcW w:w="1696" w:type="dxa"/>
          </w:tcPr>
          <w:p w14:paraId="065BFC0B" w14:textId="77777777" w:rsidR="007075D9" w:rsidRPr="004D46AC" w:rsidRDefault="007075D9" w:rsidP="00D41749">
            <w:pPr>
              <w:spacing w:line="240" w:lineRule="auto"/>
              <w:ind w:firstLine="0"/>
            </w:pPr>
            <w:r w:rsidRPr="004D46AC">
              <w:t>CGI</w:t>
            </w:r>
          </w:p>
        </w:tc>
        <w:tc>
          <w:tcPr>
            <w:tcW w:w="6600" w:type="dxa"/>
          </w:tcPr>
          <w:p w14:paraId="11E0D6A4" w14:textId="77777777" w:rsidR="007075D9" w:rsidRPr="004D46AC" w:rsidRDefault="007075D9" w:rsidP="00D41749">
            <w:pPr>
              <w:spacing w:line="240" w:lineRule="auto"/>
              <w:ind w:firstLine="0"/>
            </w:pPr>
            <w:r w:rsidRPr="004D46AC">
              <w:t>Clinical Global Impression</w:t>
            </w:r>
          </w:p>
        </w:tc>
      </w:tr>
      <w:tr w:rsidR="007075D9" w:rsidRPr="004D46AC" w14:paraId="587FA24B" w14:textId="77777777" w:rsidTr="00B518F1">
        <w:tc>
          <w:tcPr>
            <w:tcW w:w="1696" w:type="dxa"/>
          </w:tcPr>
          <w:p w14:paraId="30A42787" w14:textId="77777777" w:rsidR="007075D9" w:rsidRPr="004D46AC" w:rsidRDefault="007075D9" w:rsidP="00D41749">
            <w:pPr>
              <w:spacing w:line="240" w:lineRule="auto"/>
              <w:ind w:firstLine="0"/>
            </w:pPr>
            <w:r w:rsidRPr="004D46AC">
              <w:t>CIDI</w:t>
            </w:r>
          </w:p>
        </w:tc>
        <w:tc>
          <w:tcPr>
            <w:tcW w:w="6600" w:type="dxa"/>
          </w:tcPr>
          <w:p w14:paraId="248D36E5" w14:textId="77777777" w:rsidR="007075D9" w:rsidRPr="004D46AC" w:rsidRDefault="007075D9" w:rsidP="00D41749">
            <w:pPr>
              <w:spacing w:line="240" w:lineRule="auto"/>
              <w:ind w:firstLine="0"/>
            </w:pPr>
            <w:r w:rsidRPr="004D46AC">
              <w:t>Composite International Diagnostic Interview</w:t>
            </w:r>
          </w:p>
        </w:tc>
      </w:tr>
      <w:tr w:rsidR="007075D9" w:rsidRPr="004D46AC" w14:paraId="4E346FED" w14:textId="77777777" w:rsidTr="00B518F1">
        <w:tc>
          <w:tcPr>
            <w:tcW w:w="1696" w:type="dxa"/>
          </w:tcPr>
          <w:p w14:paraId="3381EC71" w14:textId="77777777" w:rsidR="007075D9" w:rsidRPr="004D46AC" w:rsidRDefault="007075D9" w:rsidP="00D41749">
            <w:pPr>
              <w:spacing w:line="240" w:lineRule="auto"/>
              <w:ind w:firstLine="0"/>
            </w:pPr>
            <w:r w:rsidRPr="004D46AC">
              <w:t>CMBT</w:t>
            </w:r>
          </w:p>
        </w:tc>
        <w:tc>
          <w:tcPr>
            <w:tcW w:w="6600" w:type="dxa"/>
          </w:tcPr>
          <w:p w14:paraId="1A5872AF" w14:textId="77777777" w:rsidR="007075D9" w:rsidRPr="004D46AC" w:rsidRDefault="007075D9" w:rsidP="00D41749">
            <w:pPr>
              <w:spacing w:line="240" w:lineRule="auto"/>
              <w:ind w:firstLine="0"/>
            </w:pPr>
            <w:r w:rsidRPr="004D46AC">
              <w:t xml:space="preserve">Comprehensive measure of bizarre-idiosyncratic thinking </w:t>
            </w:r>
          </w:p>
        </w:tc>
      </w:tr>
      <w:tr w:rsidR="007075D9" w:rsidRPr="004D46AC" w14:paraId="63E41A2C" w14:textId="77777777" w:rsidTr="00B518F1">
        <w:tc>
          <w:tcPr>
            <w:tcW w:w="1696" w:type="dxa"/>
          </w:tcPr>
          <w:p w14:paraId="4CB6B475" w14:textId="77777777" w:rsidR="007075D9" w:rsidRPr="004D46AC" w:rsidRDefault="007075D9" w:rsidP="00D41749">
            <w:pPr>
              <w:spacing w:line="240" w:lineRule="auto"/>
              <w:ind w:firstLine="0"/>
            </w:pPr>
            <w:r w:rsidRPr="004D46AC">
              <w:t>CORE</w:t>
            </w:r>
          </w:p>
        </w:tc>
        <w:tc>
          <w:tcPr>
            <w:tcW w:w="6600" w:type="dxa"/>
          </w:tcPr>
          <w:p w14:paraId="1835D2C9" w14:textId="77777777" w:rsidR="007075D9" w:rsidRPr="004D46AC" w:rsidRDefault="007075D9" w:rsidP="00D41749">
            <w:pPr>
              <w:spacing w:line="240" w:lineRule="auto"/>
              <w:ind w:firstLine="0"/>
            </w:pPr>
            <w:r w:rsidRPr="004D46AC">
              <w:t>Core system (see Parker et al., 2000)</w:t>
            </w:r>
          </w:p>
        </w:tc>
      </w:tr>
      <w:tr w:rsidR="007075D9" w:rsidRPr="004D46AC" w14:paraId="0A544BCC" w14:textId="77777777" w:rsidTr="00B518F1">
        <w:tc>
          <w:tcPr>
            <w:tcW w:w="1696" w:type="dxa"/>
          </w:tcPr>
          <w:p w14:paraId="40CCE9D1" w14:textId="77777777" w:rsidR="007075D9" w:rsidRPr="004D46AC" w:rsidRDefault="007075D9" w:rsidP="00D41749">
            <w:pPr>
              <w:spacing w:line="240" w:lineRule="auto"/>
              <w:ind w:firstLine="0"/>
            </w:pPr>
            <w:r w:rsidRPr="004D46AC">
              <w:t>DCR10</w:t>
            </w:r>
          </w:p>
        </w:tc>
        <w:tc>
          <w:tcPr>
            <w:tcW w:w="6600" w:type="dxa"/>
          </w:tcPr>
          <w:p w14:paraId="1032DCFB" w14:textId="77777777" w:rsidR="007075D9" w:rsidRPr="004D46AC" w:rsidRDefault="007075D9" w:rsidP="00D41749">
            <w:pPr>
              <w:spacing w:line="240" w:lineRule="auto"/>
              <w:ind w:firstLine="0"/>
            </w:pPr>
            <w:r w:rsidRPr="004D46AC">
              <w:t>Diagnostic criteria for research-10 (DCR10) criteria</w:t>
            </w:r>
          </w:p>
        </w:tc>
      </w:tr>
      <w:tr w:rsidR="007075D9" w:rsidRPr="004D46AC" w14:paraId="5EB8BBDC" w14:textId="77777777" w:rsidTr="00B518F1">
        <w:tc>
          <w:tcPr>
            <w:tcW w:w="1696" w:type="dxa"/>
          </w:tcPr>
          <w:p w14:paraId="5EEC96F1" w14:textId="77777777" w:rsidR="007075D9" w:rsidRPr="004D46AC" w:rsidRDefault="007075D9" w:rsidP="00D41749">
            <w:pPr>
              <w:spacing w:line="240" w:lineRule="auto"/>
              <w:ind w:firstLine="0"/>
            </w:pPr>
            <w:r w:rsidRPr="004D46AC">
              <w:t>DCUPR</w:t>
            </w:r>
          </w:p>
        </w:tc>
        <w:tc>
          <w:tcPr>
            <w:tcW w:w="6600" w:type="dxa"/>
          </w:tcPr>
          <w:p w14:paraId="3567807B" w14:textId="77777777" w:rsidR="007075D9" w:rsidRPr="004D46AC" w:rsidRDefault="007075D9" w:rsidP="00D41749">
            <w:pPr>
              <w:spacing w:line="240" w:lineRule="auto"/>
              <w:ind w:firstLine="0"/>
            </w:pPr>
            <w:r w:rsidRPr="004D46AC">
              <w:t>Diagnostic Criteria for Use in Psychiatric Research</w:t>
            </w:r>
          </w:p>
        </w:tc>
      </w:tr>
      <w:tr w:rsidR="007075D9" w:rsidRPr="004D46AC" w14:paraId="6D82E3F3" w14:textId="77777777" w:rsidTr="00B518F1">
        <w:tc>
          <w:tcPr>
            <w:tcW w:w="1696" w:type="dxa"/>
          </w:tcPr>
          <w:p w14:paraId="700BC434" w14:textId="77777777" w:rsidR="007075D9" w:rsidRPr="004D46AC" w:rsidRDefault="007075D9" w:rsidP="00D41749">
            <w:pPr>
              <w:spacing w:line="240" w:lineRule="auto"/>
              <w:ind w:firstLine="0"/>
            </w:pPr>
            <w:r w:rsidRPr="004D46AC">
              <w:t>DI-PAD</w:t>
            </w:r>
          </w:p>
        </w:tc>
        <w:tc>
          <w:tcPr>
            <w:tcW w:w="6600" w:type="dxa"/>
          </w:tcPr>
          <w:p w14:paraId="0E730491" w14:textId="77777777" w:rsidR="007075D9" w:rsidRPr="004D46AC" w:rsidRDefault="007075D9" w:rsidP="00D41749">
            <w:pPr>
              <w:spacing w:line="240" w:lineRule="auto"/>
              <w:ind w:firstLine="0"/>
            </w:pPr>
            <w:r w:rsidRPr="004D46AC">
              <w:t>Diagnostic Interview for Psychosis and Affective Disorders</w:t>
            </w:r>
          </w:p>
        </w:tc>
      </w:tr>
      <w:tr w:rsidR="007075D9" w:rsidRPr="004D46AC" w14:paraId="43BC62F8" w14:textId="77777777" w:rsidTr="00B518F1">
        <w:tc>
          <w:tcPr>
            <w:tcW w:w="1696" w:type="dxa"/>
          </w:tcPr>
          <w:p w14:paraId="516FC0BC" w14:textId="77777777" w:rsidR="007075D9" w:rsidRPr="004D46AC" w:rsidRDefault="007075D9" w:rsidP="00D41749">
            <w:pPr>
              <w:spacing w:line="240" w:lineRule="auto"/>
              <w:ind w:firstLine="0"/>
            </w:pPr>
            <w:r w:rsidRPr="004D46AC">
              <w:t>DIGS</w:t>
            </w:r>
          </w:p>
        </w:tc>
        <w:tc>
          <w:tcPr>
            <w:tcW w:w="6600" w:type="dxa"/>
          </w:tcPr>
          <w:p w14:paraId="4741D605" w14:textId="77777777" w:rsidR="007075D9" w:rsidRPr="004D46AC" w:rsidRDefault="007075D9" w:rsidP="00D41749">
            <w:pPr>
              <w:spacing w:line="240" w:lineRule="auto"/>
              <w:ind w:firstLine="0"/>
            </w:pPr>
            <w:r w:rsidRPr="004D46AC">
              <w:t>Diagnostic Interview for Genetic Studies</w:t>
            </w:r>
          </w:p>
        </w:tc>
      </w:tr>
      <w:tr w:rsidR="007075D9" w:rsidRPr="004D46AC" w14:paraId="5ED1807F" w14:textId="77777777" w:rsidTr="00B518F1">
        <w:tc>
          <w:tcPr>
            <w:tcW w:w="1696" w:type="dxa"/>
          </w:tcPr>
          <w:p w14:paraId="2D2DA62D" w14:textId="77777777" w:rsidR="007075D9" w:rsidRPr="004D46AC" w:rsidRDefault="007075D9" w:rsidP="00D41749">
            <w:pPr>
              <w:spacing w:line="240" w:lineRule="auto"/>
              <w:ind w:firstLine="0"/>
            </w:pPr>
            <w:r w:rsidRPr="004D46AC">
              <w:t>DIP</w:t>
            </w:r>
          </w:p>
        </w:tc>
        <w:tc>
          <w:tcPr>
            <w:tcW w:w="6600" w:type="dxa"/>
          </w:tcPr>
          <w:p w14:paraId="4B4CDD45" w14:textId="77777777" w:rsidR="007075D9" w:rsidRPr="004D46AC" w:rsidRDefault="007075D9" w:rsidP="00D41749">
            <w:pPr>
              <w:spacing w:line="240" w:lineRule="auto"/>
              <w:ind w:firstLine="0"/>
            </w:pPr>
            <w:r w:rsidRPr="004D46AC">
              <w:t>Diagnostic Interview for Psychosis</w:t>
            </w:r>
          </w:p>
        </w:tc>
      </w:tr>
      <w:tr w:rsidR="007075D9" w:rsidRPr="004D46AC" w14:paraId="53F56EF9" w14:textId="77777777" w:rsidTr="00B518F1">
        <w:tc>
          <w:tcPr>
            <w:tcW w:w="1696" w:type="dxa"/>
          </w:tcPr>
          <w:p w14:paraId="263B7F93" w14:textId="77777777" w:rsidR="007075D9" w:rsidRPr="004D46AC" w:rsidRDefault="007075D9" w:rsidP="00D41749">
            <w:pPr>
              <w:spacing w:line="240" w:lineRule="auto"/>
              <w:ind w:firstLine="0"/>
            </w:pPr>
            <w:r w:rsidRPr="004D46AC">
              <w:t>DIS</w:t>
            </w:r>
          </w:p>
        </w:tc>
        <w:tc>
          <w:tcPr>
            <w:tcW w:w="6600" w:type="dxa"/>
          </w:tcPr>
          <w:p w14:paraId="5399F268" w14:textId="77777777" w:rsidR="007075D9" w:rsidRPr="004D46AC" w:rsidRDefault="007075D9" w:rsidP="00D41749">
            <w:pPr>
              <w:spacing w:line="240" w:lineRule="auto"/>
              <w:ind w:firstLine="0"/>
            </w:pPr>
            <w:r w:rsidRPr="004D46AC">
              <w:t>National Institute of Mental Health Diagnostic Interview Schedule</w:t>
            </w:r>
          </w:p>
        </w:tc>
      </w:tr>
      <w:tr w:rsidR="007075D9" w:rsidRPr="004D46AC" w14:paraId="25FE7D7F" w14:textId="77777777" w:rsidTr="00B518F1">
        <w:tc>
          <w:tcPr>
            <w:tcW w:w="1696" w:type="dxa"/>
          </w:tcPr>
          <w:p w14:paraId="09AF3594" w14:textId="77777777" w:rsidR="007075D9" w:rsidRPr="004D46AC" w:rsidRDefault="007075D9" w:rsidP="00D41749">
            <w:pPr>
              <w:spacing w:line="240" w:lineRule="auto"/>
              <w:ind w:firstLine="0"/>
            </w:pPr>
            <w:r w:rsidRPr="004D46AC">
              <w:t>DSM</w:t>
            </w:r>
          </w:p>
        </w:tc>
        <w:tc>
          <w:tcPr>
            <w:tcW w:w="6600" w:type="dxa"/>
          </w:tcPr>
          <w:p w14:paraId="21A7308E" w14:textId="77777777" w:rsidR="007075D9" w:rsidRPr="004D46AC" w:rsidRDefault="007075D9" w:rsidP="00D41749">
            <w:pPr>
              <w:spacing w:line="240" w:lineRule="auto"/>
              <w:ind w:firstLine="0"/>
            </w:pPr>
            <w:r w:rsidRPr="004D46AC">
              <w:t>Diagnostic and Statistical Manual of Mental Disorders</w:t>
            </w:r>
          </w:p>
        </w:tc>
      </w:tr>
      <w:tr w:rsidR="007075D9" w:rsidRPr="004D46AC" w14:paraId="014EE4CC" w14:textId="77777777" w:rsidTr="00B518F1">
        <w:tc>
          <w:tcPr>
            <w:tcW w:w="1696" w:type="dxa"/>
          </w:tcPr>
          <w:p w14:paraId="2F2136AC" w14:textId="77777777" w:rsidR="007075D9" w:rsidRPr="004D46AC" w:rsidRDefault="007075D9" w:rsidP="00D41749">
            <w:pPr>
              <w:spacing w:line="240" w:lineRule="auto"/>
              <w:ind w:firstLine="0"/>
            </w:pPr>
            <w:r w:rsidRPr="004D46AC">
              <w:t>EMA</w:t>
            </w:r>
          </w:p>
        </w:tc>
        <w:tc>
          <w:tcPr>
            <w:tcW w:w="6600" w:type="dxa"/>
          </w:tcPr>
          <w:p w14:paraId="283B2D8B" w14:textId="77777777" w:rsidR="007075D9" w:rsidRPr="004D46AC" w:rsidRDefault="007075D9" w:rsidP="00D41749">
            <w:pPr>
              <w:spacing w:line="240" w:lineRule="auto"/>
              <w:ind w:firstLine="0"/>
            </w:pPr>
            <w:r w:rsidRPr="004D46AC">
              <w:t>Ecological Momentary Assessments</w:t>
            </w:r>
          </w:p>
        </w:tc>
      </w:tr>
      <w:tr w:rsidR="007075D9" w:rsidRPr="004D46AC" w14:paraId="3DE92E45" w14:textId="77777777" w:rsidTr="00B518F1">
        <w:tc>
          <w:tcPr>
            <w:tcW w:w="1696" w:type="dxa"/>
          </w:tcPr>
          <w:p w14:paraId="4AAC1B88" w14:textId="77777777" w:rsidR="007075D9" w:rsidRPr="004D46AC" w:rsidRDefault="007075D9" w:rsidP="00D41749">
            <w:pPr>
              <w:spacing w:line="240" w:lineRule="auto"/>
              <w:ind w:firstLine="0"/>
            </w:pPr>
            <w:proofErr w:type="spellStart"/>
            <w:r w:rsidRPr="004D46AC">
              <w:t>HoNOS</w:t>
            </w:r>
            <w:proofErr w:type="spellEnd"/>
          </w:p>
        </w:tc>
        <w:tc>
          <w:tcPr>
            <w:tcW w:w="6600" w:type="dxa"/>
          </w:tcPr>
          <w:p w14:paraId="47A91DCD" w14:textId="77777777" w:rsidR="007075D9" w:rsidRPr="004D46AC" w:rsidRDefault="007075D9" w:rsidP="00D41749">
            <w:pPr>
              <w:spacing w:line="240" w:lineRule="auto"/>
              <w:ind w:firstLine="0"/>
            </w:pPr>
            <w:r w:rsidRPr="004D46AC">
              <w:t>Health of the Nations Outcome Scale</w:t>
            </w:r>
          </w:p>
        </w:tc>
      </w:tr>
      <w:tr w:rsidR="007075D9" w:rsidRPr="004D46AC" w14:paraId="2E6C8777" w14:textId="77777777" w:rsidTr="00B518F1">
        <w:tc>
          <w:tcPr>
            <w:tcW w:w="1696" w:type="dxa"/>
          </w:tcPr>
          <w:p w14:paraId="35A0DD04" w14:textId="77777777" w:rsidR="007075D9" w:rsidRPr="004D46AC" w:rsidRDefault="007075D9" w:rsidP="00D41749">
            <w:pPr>
              <w:spacing w:line="240" w:lineRule="auto"/>
              <w:ind w:firstLine="0"/>
            </w:pPr>
            <w:r w:rsidRPr="004D46AC">
              <w:t>ICD</w:t>
            </w:r>
          </w:p>
        </w:tc>
        <w:tc>
          <w:tcPr>
            <w:tcW w:w="6600" w:type="dxa"/>
          </w:tcPr>
          <w:p w14:paraId="774BB505" w14:textId="77777777" w:rsidR="007075D9" w:rsidRPr="004D46AC" w:rsidRDefault="007075D9" w:rsidP="00D41749">
            <w:pPr>
              <w:spacing w:line="240" w:lineRule="auto"/>
              <w:ind w:firstLine="0"/>
            </w:pPr>
            <w:r w:rsidRPr="004D46AC">
              <w:t>International Classification of Diseases</w:t>
            </w:r>
          </w:p>
        </w:tc>
      </w:tr>
      <w:tr w:rsidR="007075D9" w:rsidRPr="004D46AC" w14:paraId="20200407" w14:textId="77777777" w:rsidTr="00B518F1">
        <w:tc>
          <w:tcPr>
            <w:tcW w:w="1696" w:type="dxa"/>
          </w:tcPr>
          <w:p w14:paraId="1495A372" w14:textId="77777777" w:rsidR="007075D9" w:rsidRPr="004D46AC" w:rsidRDefault="007075D9" w:rsidP="00D41749">
            <w:pPr>
              <w:spacing w:line="240" w:lineRule="auto"/>
              <w:ind w:firstLine="0"/>
            </w:pPr>
            <w:r w:rsidRPr="004D46AC">
              <w:t>MDQ</w:t>
            </w:r>
          </w:p>
        </w:tc>
        <w:tc>
          <w:tcPr>
            <w:tcW w:w="6600" w:type="dxa"/>
          </w:tcPr>
          <w:p w14:paraId="4BABFD44" w14:textId="77777777" w:rsidR="007075D9" w:rsidRPr="004D46AC" w:rsidRDefault="007075D9" w:rsidP="00D41749">
            <w:pPr>
              <w:spacing w:line="240" w:lineRule="auto"/>
              <w:ind w:firstLine="0"/>
            </w:pPr>
            <w:r w:rsidRPr="004D46AC">
              <w:t>Mood Disorder Questionnaire</w:t>
            </w:r>
          </w:p>
        </w:tc>
      </w:tr>
      <w:tr w:rsidR="007075D9" w:rsidRPr="004D46AC" w14:paraId="023781ED" w14:textId="77777777" w:rsidTr="00B518F1">
        <w:tc>
          <w:tcPr>
            <w:tcW w:w="1696" w:type="dxa"/>
          </w:tcPr>
          <w:p w14:paraId="074750B8" w14:textId="77777777" w:rsidR="007075D9" w:rsidRPr="004D46AC" w:rsidRDefault="007075D9" w:rsidP="00D41749">
            <w:pPr>
              <w:spacing w:line="240" w:lineRule="auto"/>
              <w:ind w:firstLine="0"/>
            </w:pPr>
            <w:r w:rsidRPr="004D46AC">
              <w:t>MDS</w:t>
            </w:r>
          </w:p>
        </w:tc>
        <w:tc>
          <w:tcPr>
            <w:tcW w:w="6600" w:type="dxa"/>
          </w:tcPr>
          <w:p w14:paraId="55F063F5" w14:textId="77777777" w:rsidR="007075D9" w:rsidRPr="004D46AC" w:rsidRDefault="007075D9" w:rsidP="00D41749">
            <w:pPr>
              <w:spacing w:line="240" w:lineRule="auto"/>
              <w:ind w:firstLine="0"/>
            </w:pPr>
            <w:r w:rsidRPr="004D46AC">
              <w:t>Minimum Data Set (MDS) 2.0 admission assessment</w:t>
            </w:r>
          </w:p>
        </w:tc>
      </w:tr>
      <w:tr w:rsidR="007075D9" w:rsidRPr="004D46AC" w14:paraId="55DEF9CD" w14:textId="77777777" w:rsidTr="00B518F1">
        <w:tc>
          <w:tcPr>
            <w:tcW w:w="1696" w:type="dxa"/>
          </w:tcPr>
          <w:p w14:paraId="2680255C" w14:textId="77777777" w:rsidR="007075D9" w:rsidRPr="004D46AC" w:rsidRDefault="007075D9" w:rsidP="00D41749">
            <w:pPr>
              <w:spacing w:line="240" w:lineRule="auto"/>
              <w:ind w:firstLine="0"/>
            </w:pPr>
            <w:r w:rsidRPr="004D46AC">
              <w:t>MINI</w:t>
            </w:r>
          </w:p>
        </w:tc>
        <w:tc>
          <w:tcPr>
            <w:tcW w:w="6600" w:type="dxa"/>
          </w:tcPr>
          <w:p w14:paraId="1D26001C" w14:textId="77777777" w:rsidR="007075D9" w:rsidRPr="004D46AC" w:rsidRDefault="007075D9" w:rsidP="00D41749">
            <w:pPr>
              <w:spacing w:line="240" w:lineRule="auto"/>
              <w:ind w:firstLine="0"/>
            </w:pPr>
            <w:r w:rsidRPr="004D46AC">
              <w:t>Mini-International Neuropsychiatric Interview</w:t>
            </w:r>
          </w:p>
        </w:tc>
      </w:tr>
      <w:tr w:rsidR="007075D9" w:rsidRPr="004D46AC" w14:paraId="2DF3AE63" w14:textId="77777777" w:rsidTr="00B518F1">
        <w:tc>
          <w:tcPr>
            <w:tcW w:w="1696" w:type="dxa"/>
          </w:tcPr>
          <w:p w14:paraId="66222030" w14:textId="77777777" w:rsidR="007075D9" w:rsidRPr="004D46AC" w:rsidRDefault="007075D9" w:rsidP="00D41749">
            <w:pPr>
              <w:spacing w:line="240" w:lineRule="auto"/>
              <w:ind w:firstLine="0"/>
            </w:pPr>
            <w:r w:rsidRPr="004D46AC">
              <w:t>OPCRIT</w:t>
            </w:r>
          </w:p>
        </w:tc>
        <w:tc>
          <w:tcPr>
            <w:tcW w:w="6600" w:type="dxa"/>
          </w:tcPr>
          <w:p w14:paraId="4639AECC" w14:textId="77777777" w:rsidR="007075D9" w:rsidRPr="004D46AC" w:rsidRDefault="007075D9" w:rsidP="00D41749">
            <w:pPr>
              <w:spacing w:line="240" w:lineRule="auto"/>
              <w:ind w:firstLine="0"/>
            </w:pPr>
            <w:r w:rsidRPr="004D46AC">
              <w:t>Operational Criteria Checklist for Psychotic Illness</w:t>
            </w:r>
          </w:p>
        </w:tc>
      </w:tr>
      <w:tr w:rsidR="007075D9" w:rsidRPr="004D46AC" w14:paraId="153A3F15" w14:textId="77777777" w:rsidTr="00B518F1">
        <w:tc>
          <w:tcPr>
            <w:tcW w:w="1696" w:type="dxa"/>
          </w:tcPr>
          <w:p w14:paraId="7875E37A" w14:textId="77777777" w:rsidR="007075D9" w:rsidRPr="004D46AC" w:rsidRDefault="007075D9" w:rsidP="00D41749">
            <w:pPr>
              <w:spacing w:line="240" w:lineRule="auto"/>
              <w:ind w:firstLine="0"/>
            </w:pPr>
            <w:r w:rsidRPr="004D46AC">
              <w:t>ORSM</w:t>
            </w:r>
          </w:p>
        </w:tc>
        <w:tc>
          <w:tcPr>
            <w:tcW w:w="6600" w:type="dxa"/>
          </w:tcPr>
          <w:p w14:paraId="5DA4C584" w14:textId="77777777" w:rsidR="007075D9" w:rsidRPr="004D46AC" w:rsidRDefault="007075D9" w:rsidP="00D41749">
            <w:pPr>
              <w:spacing w:line="240" w:lineRule="auto"/>
              <w:ind w:firstLine="0"/>
            </w:pPr>
            <w:r w:rsidRPr="004D46AC">
              <w:t>Observer-Rated Scale for Mania</w:t>
            </w:r>
          </w:p>
        </w:tc>
      </w:tr>
      <w:tr w:rsidR="007075D9" w:rsidRPr="004D46AC" w14:paraId="363332E5" w14:textId="77777777" w:rsidTr="00B518F1">
        <w:tc>
          <w:tcPr>
            <w:tcW w:w="1696" w:type="dxa"/>
          </w:tcPr>
          <w:p w14:paraId="7692D235" w14:textId="77777777" w:rsidR="007075D9" w:rsidRPr="004D46AC" w:rsidRDefault="007075D9" w:rsidP="00D41749">
            <w:pPr>
              <w:spacing w:line="240" w:lineRule="auto"/>
              <w:ind w:firstLine="0"/>
            </w:pPr>
            <w:r w:rsidRPr="004D46AC">
              <w:t>PANSS</w:t>
            </w:r>
          </w:p>
        </w:tc>
        <w:tc>
          <w:tcPr>
            <w:tcW w:w="6600" w:type="dxa"/>
          </w:tcPr>
          <w:p w14:paraId="79972353" w14:textId="77777777" w:rsidR="007075D9" w:rsidRPr="004D46AC" w:rsidRDefault="007075D9" w:rsidP="00D41749">
            <w:pPr>
              <w:spacing w:line="240" w:lineRule="auto"/>
              <w:ind w:firstLine="0"/>
            </w:pPr>
            <w:r w:rsidRPr="004D46AC">
              <w:t>Positive and Negative Syndrome Scale</w:t>
            </w:r>
          </w:p>
        </w:tc>
      </w:tr>
      <w:tr w:rsidR="007075D9" w:rsidRPr="004D46AC" w14:paraId="7A1BC17E" w14:textId="77777777" w:rsidTr="00B518F1">
        <w:tc>
          <w:tcPr>
            <w:tcW w:w="1696" w:type="dxa"/>
          </w:tcPr>
          <w:p w14:paraId="65344BE3" w14:textId="77777777" w:rsidR="007075D9" w:rsidRPr="004D46AC" w:rsidRDefault="007075D9" w:rsidP="00D41749">
            <w:pPr>
              <w:spacing w:line="240" w:lineRule="auto"/>
              <w:ind w:firstLine="0"/>
            </w:pPr>
            <w:r w:rsidRPr="004D46AC">
              <w:t>PDI</w:t>
            </w:r>
          </w:p>
        </w:tc>
        <w:tc>
          <w:tcPr>
            <w:tcW w:w="6600" w:type="dxa"/>
          </w:tcPr>
          <w:p w14:paraId="2250355C" w14:textId="77777777" w:rsidR="007075D9" w:rsidRPr="004D46AC" w:rsidRDefault="007075D9" w:rsidP="00D41749">
            <w:pPr>
              <w:spacing w:line="240" w:lineRule="auto"/>
              <w:ind w:firstLine="0"/>
            </w:pPr>
            <w:r w:rsidRPr="004D46AC">
              <w:t>Peters et al Delusions Inventory</w:t>
            </w:r>
          </w:p>
        </w:tc>
      </w:tr>
      <w:tr w:rsidR="007075D9" w:rsidRPr="004D46AC" w14:paraId="4FFA6A91" w14:textId="77777777" w:rsidTr="00B518F1">
        <w:tc>
          <w:tcPr>
            <w:tcW w:w="1696" w:type="dxa"/>
          </w:tcPr>
          <w:p w14:paraId="15DAEC06" w14:textId="77777777" w:rsidR="007075D9" w:rsidRPr="004D46AC" w:rsidRDefault="007075D9" w:rsidP="00D41749">
            <w:pPr>
              <w:spacing w:line="240" w:lineRule="auto"/>
              <w:ind w:firstLine="0"/>
            </w:pPr>
            <w:r w:rsidRPr="004D46AC">
              <w:t>PSE</w:t>
            </w:r>
          </w:p>
        </w:tc>
        <w:tc>
          <w:tcPr>
            <w:tcW w:w="6600" w:type="dxa"/>
          </w:tcPr>
          <w:p w14:paraId="0A9D4F5D" w14:textId="77777777" w:rsidR="007075D9" w:rsidRPr="004D46AC" w:rsidRDefault="007075D9" w:rsidP="00D41749">
            <w:pPr>
              <w:spacing w:line="240" w:lineRule="auto"/>
              <w:ind w:firstLine="0"/>
            </w:pPr>
            <w:r w:rsidRPr="004D46AC">
              <w:t>Present State Examination</w:t>
            </w:r>
          </w:p>
        </w:tc>
      </w:tr>
      <w:tr w:rsidR="007075D9" w:rsidRPr="004D46AC" w14:paraId="347729DC" w14:textId="77777777" w:rsidTr="00B518F1">
        <w:tc>
          <w:tcPr>
            <w:tcW w:w="1696" w:type="dxa"/>
          </w:tcPr>
          <w:p w14:paraId="54D716F7" w14:textId="77777777" w:rsidR="007075D9" w:rsidRPr="004D46AC" w:rsidRDefault="007075D9" w:rsidP="00D41749">
            <w:pPr>
              <w:spacing w:line="240" w:lineRule="auto"/>
              <w:ind w:firstLine="0"/>
            </w:pPr>
            <w:r w:rsidRPr="004D46AC">
              <w:t>RDC</w:t>
            </w:r>
          </w:p>
        </w:tc>
        <w:tc>
          <w:tcPr>
            <w:tcW w:w="6600" w:type="dxa"/>
          </w:tcPr>
          <w:p w14:paraId="5A98D6D9" w14:textId="77777777" w:rsidR="007075D9" w:rsidRPr="004D46AC" w:rsidRDefault="007075D9" w:rsidP="00D41749">
            <w:pPr>
              <w:spacing w:line="240" w:lineRule="auto"/>
              <w:ind w:firstLine="0"/>
            </w:pPr>
            <w:r w:rsidRPr="004D46AC">
              <w:t>Research Diagnostic Criteria</w:t>
            </w:r>
          </w:p>
        </w:tc>
      </w:tr>
      <w:tr w:rsidR="007075D9" w:rsidRPr="004D46AC" w14:paraId="61224EA5" w14:textId="77777777" w:rsidTr="00B518F1">
        <w:tc>
          <w:tcPr>
            <w:tcW w:w="1696" w:type="dxa"/>
          </w:tcPr>
          <w:p w14:paraId="5A8DAD65" w14:textId="77777777" w:rsidR="007075D9" w:rsidRPr="004D46AC" w:rsidRDefault="007075D9" w:rsidP="00D41749">
            <w:pPr>
              <w:spacing w:line="240" w:lineRule="auto"/>
              <w:ind w:firstLine="0"/>
            </w:pPr>
            <w:r w:rsidRPr="004D46AC">
              <w:t>RPMIP</w:t>
            </w:r>
          </w:p>
        </w:tc>
        <w:tc>
          <w:tcPr>
            <w:tcW w:w="6600" w:type="dxa"/>
          </w:tcPr>
          <w:p w14:paraId="0841D8AE" w14:textId="77777777" w:rsidR="007075D9" w:rsidRPr="004D46AC" w:rsidRDefault="007075D9" w:rsidP="00D41749">
            <w:pPr>
              <w:spacing w:line="240" w:lineRule="auto"/>
              <w:ind w:firstLine="0"/>
            </w:pPr>
            <w:r w:rsidRPr="004D46AC">
              <w:t xml:space="preserve">Royal Park </w:t>
            </w:r>
            <w:proofErr w:type="spellStart"/>
            <w:r w:rsidRPr="004D46AC">
              <w:t>Multidiagnostic</w:t>
            </w:r>
            <w:proofErr w:type="spellEnd"/>
            <w:r w:rsidRPr="004D46AC">
              <w:t xml:space="preserve"> Instrument for Psychosis</w:t>
            </w:r>
          </w:p>
        </w:tc>
      </w:tr>
      <w:tr w:rsidR="007075D9" w:rsidRPr="004D46AC" w14:paraId="2660B061" w14:textId="77777777" w:rsidTr="00B518F1">
        <w:tc>
          <w:tcPr>
            <w:tcW w:w="1696" w:type="dxa"/>
          </w:tcPr>
          <w:p w14:paraId="7C2FFC0F" w14:textId="77777777" w:rsidR="007075D9" w:rsidRPr="004D46AC" w:rsidRDefault="007075D9" w:rsidP="00D41749">
            <w:pPr>
              <w:spacing w:line="240" w:lineRule="auto"/>
              <w:ind w:firstLine="0"/>
            </w:pPr>
            <w:r w:rsidRPr="004D46AC">
              <w:t>SADS</w:t>
            </w:r>
          </w:p>
        </w:tc>
        <w:tc>
          <w:tcPr>
            <w:tcW w:w="6600" w:type="dxa"/>
          </w:tcPr>
          <w:p w14:paraId="57E5CFC5" w14:textId="77777777" w:rsidR="007075D9" w:rsidRPr="004D46AC" w:rsidRDefault="007075D9" w:rsidP="00D41749">
            <w:pPr>
              <w:spacing w:line="240" w:lineRule="auto"/>
              <w:ind w:firstLine="0"/>
            </w:pPr>
            <w:r w:rsidRPr="004D46AC">
              <w:t>Schedule for Affective Disorder and Schizophrenia</w:t>
            </w:r>
          </w:p>
        </w:tc>
      </w:tr>
      <w:tr w:rsidR="007075D9" w:rsidRPr="004D46AC" w14:paraId="3B66A8BD" w14:textId="77777777" w:rsidTr="00B518F1">
        <w:tc>
          <w:tcPr>
            <w:tcW w:w="1696" w:type="dxa"/>
          </w:tcPr>
          <w:p w14:paraId="665B3DB9" w14:textId="77777777" w:rsidR="007075D9" w:rsidRPr="004D46AC" w:rsidRDefault="007075D9" w:rsidP="00D41749">
            <w:pPr>
              <w:spacing w:line="240" w:lineRule="auto"/>
              <w:ind w:firstLine="0"/>
            </w:pPr>
            <w:r w:rsidRPr="004D46AC">
              <w:t>SAPS</w:t>
            </w:r>
          </w:p>
        </w:tc>
        <w:tc>
          <w:tcPr>
            <w:tcW w:w="6600" w:type="dxa"/>
          </w:tcPr>
          <w:p w14:paraId="555BBCCB" w14:textId="77777777" w:rsidR="007075D9" w:rsidRPr="004D46AC" w:rsidRDefault="007075D9" w:rsidP="00D41749">
            <w:pPr>
              <w:spacing w:line="240" w:lineRule="auto"/>
              <w:ind w:firstLine="0"/>
            </w:pPr>
            <w:r w:rsidRPr="004D46AC">
              <w:t>Scale for the Assessment of Positive Symptoms</w:t>
            </w:r>
          </w:p>
        </w:tc>
      </w:tr>
      <w:tr w:rsidR="007075D9" w:rsidRPr="004D46AC" w14:paraId="22AA1256" w14:textId="77777777" w:rsidTr="00B518F1">
        <w:tc>
          <w:tcPr>
            <w:tcW w:w="1696" w:type="dxa"/>
          </w:tcPr>
          <w:p w14:paraId="6C643133" w14:textId="77777777" w:rsidR="007075D9" w:rsidRPr="004D46AC" w:rsidRDefault="007075D9" w:rsidP="00D41749">
            <w:pPr>
              <w:spacing w:line="240" w:lineRule="auto"/>
              <w:ind w:firstLine="0"/>
            </w:pPr>
            <w:r w:rsidRPr="004D46AC">
              <w:t>SID</w:t>
            </w:r>
          </w:p>
        </w:tc>
        <w:tc>
          <w:tcPr>
            <w:tcW w:w="6600" w:type="dxa"/>
          </w:tcPr>
          <w:p w14:paraId="5AC069DC" w14:textId="77777777" w:rsidR="007075D9" w:rsidRPr="004D46AC" w:rsidRDefault="007075D9" w:rsidP="00D41749">
            <w:pPr>
              <w:spacing w:line="240" w:lineRule="auto"/>
              <w:ind w:firstLine="0"/>
            </w:pPr>
            <w:r w:rsidRPr="004D46AC">
              <w:t>Semi structured Interview for Depression</w:t>
            </w:r>
          </w:p>
        </w:tc>
      </w:tr>
      <w:tr w:rsidR="007075D9" w:rsidRPr="004D46AC" w14:paraId="10B3B01B" w14:textId="77777777" w:rsidTr="00B518F1">
        <w:tc>
          <w:tcPr>
            <w:tcW w:w="1696" w:type="dxa"/>
          </w:tcPr>
          <w:p w14:paraId="718E38EB" w14:textId="77777777" w:rsidR="007075D9" w:rsidRPr="004D46AC" w:rsidRDefault="007075D9" w:rsidP="00D41749">
            <w:pPr>
              <w:spacing w:line="240" w:lineRule="auto"/>
              <w:ind w:firstLine="0"/>
            </w:pPr>
            <w:r w:rsidRPr="004D46AC">
              <w:t>SCID</w:t>
            </w:r>
          </w:p>
        </w:tc>
        <w:tc>
          <w:tcPr>
            <w:tcW w:w="6600" w:type="dxa"/>
          </w:tcPr>
          <w:p w14:paraId="782A7ABE" w14:textId="77777777" w:rsidR="007075D9" w:rsidRPr="004D46AC" w:rsidRDefault="007075D9" w:rsidP="00D41749">
            <w:pPr>
              <w:spacing w:line="240" w:lineRule="auto"/>
              <w:ind w:firstLine="0"/>
            </w:pPr>
            <w:r w:rsidRPr="004D46AC">
              <w:t>Structured Clinical Interview for DSM</w:t>
            </w:r>
          </w:p>
        </w:tc>
      </w:tr>
      <w:tr w:rsidR="007075D9" w:rsidRPr="004D46AC" w14:paraId="1DA08439" w14:textId="77777777" w:rsidTr="00B518F1">
        <w:tc>
          <w:tcPr>
            <w:tcW w:w="1696" w:type="dxa"/>
          </w:tcPr>
          <w:p w14:paraId="5877B0A2" w14:textId="77777777" w:rsidR="007075D9" w:rsidRPr="004D46AC" w:rsidRDefault="007075D9" w:rsidP="00D41749">
            <w:pPr>
              <w:spacing w:line="240" w:lineRule="auto"/>
              <w:ind w:firstLine="0"/>
            </w:pPr>
            <w:r w:rsidRPr="004D46AC">
              <w:t>SCAN</w:t>
            </w:r>
          </w:p>
        </w:tc>
        <w:tc>
          <w:tcPr>
            <w:tcW w:w="6600" w:type="dxa"/>
          </w:tcPr>
          <w:p w14:paraId="02C012DE" w14:textId="77777777" w:rsidR="007075D9" w:rsidRPr="004D46AC" w:rsidRDefault="007075D9" w:rsidP="00D41749">
            <w:pPr>
              <w:spacing w:line="240" w:lineRule="auto"/>
              <w:ind w:firstLine="0"/>
            </w:pPr>
            <w:r w:rsidRPr="004D46AC">
              <w:t>Schedule for Clinical Assessment in Neuropsychiatry</w:t>
            </w:r>
          </w:p>
        </w:tc>
      </w:tr>
      <w:tr w:rsidR="007075D9" w:rsidRPr="004D46AC" w14:paraId="70240432" w14:textId="77777777" w:rsidTr="00B518F1">
        <w:tc>
          <w:tcPr>
            <w:tcW w:w="1696" w:type="dxa"/>
          </w:tcPr>
          <w:p w14:paraId="31FD53AE" w14:textId="77777777" w:rsidR="007075D9" w:rsidRPr="004D46AC" w:rsidRDefault="007075D9" w:rsidP="00D41749">
            <w:pPr>
              <w:spacing w:line="240" w:lineRule="auto"/>
              <w:ind w:firstLine="0"/>
            </w:pPr>
            <w:r w:rsidRPr="004D46AC">
              <w:t>WGSQ</w:t>
            </w:r>
          </w:p>
        </w:tc>
        <w:tc>
          <w:tcPr>
            <w:tcW w:w="6600" w:type="dxa"/>
          </w:tcPr>
          <w:p w14:paraId="5E8003F0" w14:textId="77777777" w:rsidR="007075D9" w:rsidRPr="004D46AC" w:rsidRDefault="007075D9" w:rsidP="00D41749">
            <w:pPr>
              <w:spacing w:line="240" w:lineRule="auto"/>
              <w:ind w:firstLine="0"/>
            </w:pPr>
            <w:r w:rsidRPr="004D46AC">
              <w:t>Wirthlin group survey questionnaire (claimed to be comparable to SCID)</w:t>
            </w:r>
          </w:p>
        </w:tc>
      </w:tr>
      <w:tr w:rsidR="007075D9" w:rsidRPr="004D46AC" w14:paraId="7E06C7B7" w14:textId="77777777" w:rsidTr="00B518F1">
        <w:tc>
          <w:tcPr>
            <w:tcW w:w="1696" w:type="dxa"/>
          </w:tcPr>
          <w:p w14:paraId="30C1F597" w14:textId="77777777" w:rsidR="007075D9" w:rsidRPr="004D46AC" w:rsidRDefault="007075D9" w:rsidP="00D41749">
            <w:pPr>
              <w:spacing w:line="240" w:lineRule="auto"/>
              <w:ind w:firstLine="0"/>
            </w:pPr>
            <w:r w:rsidRPr="004D46AC">
              <w:t>YMRS</w:t>
            </w:r>
          </w:p>
        </w:tc>
        <w:tc>
          <w:tcPr>
            <w:tcW w:w="6600" w:type="dxa"/>
          </w:tcPr>
          <w:p w14:paraId="1BF76C69" w14:textId="77777777" w:rsidR="007075D9" w:rsidRPr="004D46AC" w:rsidRDefault="007075D9" w:rsidP="00D41749">
            <w:pPr>
              <w:spacing w:line="240" w:lineRule="auto"/>
              <w:ind w:firstLine="0"/>
            </w:pPr>
            <w:r w:rsidRPr="004D46AC">
              <w:t>Young Mania Rating Scale</w:t>
            </w:r>
          </w:p>
        </w:tc>
      </w:tr>
    </w:tbl>
    <w:p w14:paraId="6528B3EF" w14:textId="77777777" w:rsidR="007075D9" w:rsidRPr="004D46AC" w:rsidRDefault="007075D9" w:rsidP="00B518F1">
      <w:pPr>
        <w:rPr>
          <w:b/>
          <w:bCs/>
        </w:rPr>
      </w:pPr>
    </w:p>
    <w:p w14:paraId="658BCCC9" w14:textId="77777777" w:rsidR="007075D9" w:rsidRPr="004D46AC" w:rsidRDefault="007075D9" w:rsidP="00B518F1"/>
    <w:p w14:paraId="3F3C299D" w14:textId="77777777" w:rsidR="007075D9" w:rsidRPr="004D46AC" w:rsidRDefault="007075D9" w:rsidP="00B518F1"/>
    <w:p w14:paraId="021549C6" w14:textId="77777777" w:rsidR="007075D9" w:rsidRPr="004D46AC" w:rsidRDefault="007075D9" w:rsidP="00B518F1"/>
    <w:p w14:paraId="05BBED53" w14:textId="77777777" w:rsidR="007075D9" w:rsidRPr="004D46AC" w:rsidRDefault="007075D9" w:rsidP="00B518F1"/>
    <w:p w14:paraId="158C4C12" w14:textId="77777777" w:rsidR="007075D9" w:rsidRPr="004D46AC" w:rsidRDefault="007075D9" w:rsidP="00B518F1"/>
    <w:p w14:paraId="424EFA83" w14:textId="77777777" w:rsidR="007075D9" w:rsidRPr="004D46AC" w:rsidRDefault="007075D9" w:rsidP="00B518F1"/>
    <w:p w14:paraId="5BCAA45A" w14:textId="44CC68F7" w:rsidR="00D41749" w:rsidRPr="004D46AC" w:rsidRDefault="00D41749" w:rsidP="00D41749">
      <w:pPr>
        <w:pStyle w:val="afff0"/>
        <w:spacing w:after="0"/>
        <w:ind w:firstLine="0"/>
        <w:rPr>
          <w:b/>
          <w:bCs/>
          <w:i w:val="0"/>
          <w:iCs w:val="0"/>
          <w:color w:val="auto"/>
          <w:sz w:val="22"/>
          <w:szCs w:val="22"/>
        </w:rPr>
      </w:pPr>
      <w:bookmarkStart w:id="312" w:name="_Toc225271029"/>
      <w:r w:rsidRPr="004D46AC">
        <w:rPr>
          <w:b/>
          <w:bCs/>
          <w:i w:val="0"/>
          <w:iCs w:val="0"/>
          <w:color w:val="auto"/>
          <w:sz w:val="22"/>
          <w:szCs w:val="22"/>
        </w:rPr>
        <w:lastRenderedPageBreak/>
        <w:t xml:space="preserve">Table B </w:t>
      </w:r>
      <w:r w:rsidRPr="004D46AC">
        <w:rPr>
          <w:b/>
          <w:bCs/>
          <w:i w:val="0"/>
          <w:iCs w:val="0"/>
          <w:color w:val="auto"/>
          <w:sz w:val="22"/>
          <w:szCs w:val="22"/>
        </w:rPr>
        <w:fldChar w:fldCharType="begin"/>
      </w:r>
      <w:r w:rsidRPr="004D46AC">
        <w:rPr>
          <w:b/>
          <w:bCs/>
          <w:i w:val="0"/>
          <w:iCs w:val="0"/>
          <w:color w:val="auto"/>
          <w:sz w:val="22"/>
          <w:szCs w:val="22"/>
        </w:rPr>
        <w:instrText xml:space="preserve"> SEQ Table_B \* ARABIC </w:instrText>
      </w:r>
      <w:r w:rsidRPr="004D46AC">
        <w:rPr>
          <w:b/>
          <w:bCs/>
          <w:i w:val="0"/>
          <w:iCs w:val="0"/>
          <w:color w:val="auto"/>
          <w:sz w:val="22"/>
          <w:szCs w:val="22"/>
        </w:rPr>
        <w:fldChar w:fldCharType="separate"/>
      </w:r>
      <w:r w:rsidR="009864DB" w:rsidRPr="004D46AC">
        <w:rPr>
          <w:b/>
          <w:bCs/>
          <w:i w:val="0"/>
          <w:iCs w:val="0"/>
          <w:noProof/>
          <w:color w:val="auto"/>
          <w:sz w:val="22"/>
          <w:szCs w:val="22"/>
        </w:rPr>
        <w:t>7</w:t>
      </w:r>
      <w:bookmarkEnd w:id="312"/>
      <w:r w:rsidRPr="004D46AC">
        <w:rPr>
          <w:b/>
          <w:bCs/>
          <w:i w:val="0"/>
          <w:iCs w:val="0"/>
          <w:color w:val="auto"/>
          <w:sz w:val="22"/>
          <w:szCs w:val="22"/>
        </w:rPr>
        <w:fldChar w:fldCharType="end"/>
      </w:r>
    </w:p>
    <w:p w14:paraId="2E0C47BC" w14:textId="77777777" w:rsidR="007075D9" w:rsidRPr="004D46AC" w:rsidRDefault="007075D9" w:rsidP="00D41749">
      <w:pPr>
        <w:spacing w:line="240" w:lineRule="auto"/>
        <w:ind w:firstLine="0"/>
        <w:rPr>
          <w:i/>
          <w:iCs/>
        </w:rPr>
      </w:pPr>
      <w:r w:rsidRPr="004D46AC">
        <w:rPr>
          <w:i/>
          <w:iCs/>
        </w:rPr>
        <w:t>Lifetime psychosis in bipolar patients with mixed episode</w:t>
      </w:r>
    </w:p>
    <w:tbl>
      <w:tblPr>
        <w:tblStyle w:val="afc"/>
        <w:tblW w:w="0" w:type="auto"/>
        <w:tblLook w:val="04A0" w:firstRow="1" w:lastRow="0" w:firstColumn="1" w:lastColumn="0" w:noHBand="0" w:noVBand="1"/>
      </w:tblPr>
      <w:tblGrid>
        <w:gridCol w:w="1522"/>
        <w:gridCol w:w="1348"/>
        <w:gridCol w:w="1349"/>
        <w:gridCol w:w="1349"/>
        <w:gridCol w:w="1349"/>
        <w:gridCol w:w="1349"/>
      </w:tblGrid>
      <w:tr w:rsidR="007075D9" w:rsidRPr="004D46AC" w14:paraId="074CCADE" w14:textId="77777777" w:rsidTr="00B518F1">
        <w:trPr>
          <w:trHeight w:val="645"/>
        </w:trPr>
        <w:tc>
          <w:tcPr>
            <w:tcW w:w="1522" w:type="dxa"/>
          </w:tcPr>
          <w:p w14:paraId="2828C48D" w14:textId="77777777" w:rsidR="007075D9" w:rsidRPr="004D46AC" w:rsidRDefault="007075D9" w:rsidP="00D41749">
            <w:pPr>
              <w:spacing w:line="240" w:lineRule="auto"/>
              <w:ind w:firstLine="0"/>
            </w:pPr>
            <w:r w:rsidRPr="004D46AC">
              <w:t>Study</w:t>
            </w:r>
          </w:p>
        </w:tc>
        <w:tc>
          <w:tcPr>
            <w:tcW w:w="1348" w:type="dxa"/>
          </w:tcPr>
          <w:p w14:paraId="3F09131D" w14:textId="77777777" w:rsidR="007075D9" w:rsidRPr="004D46AC" w:rsidRDefault="007075D9" w:rsidP="00D41749">
            <w:pPr>
              <w:spacing w:line="240" w:lineRule="auto"/>
              <w:ind w:firstLine="0"/>
            </w:pPr>
            <w:r w:rsidRPr="004D46AC">
              <w:t>Study location</w:t>
            </w:r>
          </w:p>
        </w:tc>
        <w:tc>
          <w:tcPr>
            <w:tcW w:w="1349" w:type="dxa"/>
          </w:tcPr>
          <w:p w14:paraId="5A2F1AB9" w14:textId="77777777" w:rsidR="007075D9" w:rsidRPr="004D46AC" w:rsidRDefault="007075D9" w:rsidP="00D41749">
            <w:pPr>
              <w:spacing w:line="240" w:lineRule="auto"/>
              <w:ind w:firstLine="0"/>
            </w:pPr>
            <w:r w:rsidRPr="004D46AC">
              <w:t>Patient type</w:t>
            </w:r>
          </w:p>
        </w:tc>
        <w:tc>
          <w:tcPr>
            <w:tcW w:w="1349" w:type="dxa"/>
          </w:tcPr>
          <w:p w14:paraId="5C210738" w14:textId="77777777" w:rsidR="007075D9" w:rsidRPr="004D46AC" w:rsidRDefault="007075D9" w:rsidP="00D41749">
            <w:pPr>
              <w:spacing w:line="240" w:lineRule="auto"/>
              <w:ind w:firstLine="0"/>
            </w:pPr>
            <w:r w:rsidRPr="004D46AC">
              <w:t>Patient number</w:t>
            </w:r>
          </w:p>
        </w:tc>
        <w:tc>
          <w:tcPr>
            <w:tcW w:w="1349" w:type="dxa"/>
          </w:tcPr>
          <w:p w14:paraId="7A1ECB47" w14:textId="77777777" w:rsidR="007075D9" w:rsidRPr="004D46AC" w:rsidRDefault="007075D9" w:rsidP="00D41749">
            <w:pPr>
              <w:spacing w:line="240" w:lineRule="auto"/>
              <w:ind w:firstLine="0"/>
            </w:pPr>
            <w:r w:rsidRPr="004D46AC">
              <w:t>Diagnosis</w:t>
            </w:r>
          </w:p>
        </w:tc>
        <w:tc>
          <w:tcPr>
            <w:tcW w:w="1349" w:type="dxa"/>
          </w:tcPr>
          <w:p w14:paraId="0A695E21" w14:textId="77777777" w:rsidR="007075D9" w:rsidRPr="004D46AC" w:rsidRDefault="007075D9" w:rsidP="00D41749">
            <w:pPr>
              <w:spacing w:line="240" w:lineRule="auto"/>
              <w:ind w:firstLine="0"/>
            </w:pPr>
            <w:r w:rsidRPr="004D46AC">
              <w:t>Lifetime psychosis</w:t>
            </w:r>
          </w:p>
        </w:tc>
      </w:tr>
      <w:tr w:rsidR="007075D9" w:rsidRPr="004D46AC" w14:paraId="18092FC9" w14:textId="77777777" w:rsidTr="00B518F1">
        <w:trPr>
          <w:trHeight w:val="968"/>
        </w:trPr>
        <w:tc>
          <w:tcPr>
            <w:tcW w:w="1522" w:type="dxa"/>
          </w:tcPr>
          <w:p w14:paraId="280F66F0" w14:textId="77777777" w:rsidR="007075D9" w:rsidRPr="004D46AC" w:rsidRDefault="007075D9" w:rsidP="00D41749">
            <w:pPr>
              <w:spacing w:line="240" w:lineRule="auto"/>
              <w:ind w:firstLine="0"/>
            </w:pPr>
            <w:r w:rsidRPr="004D46AC">
              <w:fldChar w:fldCharType="begin"/>
            </w:r>
            <w:r w:rsidRPr="004D46AC">
              <w:instrText xml:space="preserve"> ADDIN EN.CITE &lt;EndNote&gt;&lt;Cite AuthorYear="1"&gt;&lt;Author&gt;Keck&lt;/Author&gt;&lt;Year&gt;2003&lt;/Year&gt;&lt;RecNum&gt;5&lt;/RecNum&gt;&lt;DisplayText&gt;Keck et al. (2003)&lt;/DisplayText&gt;&lt;record&gt;&lt;rec-number&gt;5&lt;/rec-number&gt;&lt;foreign-keys&gt;&lt;key app="EN" db-id="aet009sstawa0hewvt3xwf5atffdw2dt02sw" timestamp="1664712042"&gt;5&lt;/key&gt;&lt;/foreign-keys&gt;&lt;ref-type name="Journal Article"&gt;17&lt;/ref-type&gt;&lt;contributors&gt;&lt;authors&gt;&lt;author&gt;Keck, P. E., Jr.&lt;/author&gt;&lt;author&gt;McElroy, S. L.&lt;/author&gt;&lt;author&gt;Havens, J. R.&lt;/author&gt;&lt;author&gt;Altshuler, L. L.&lt;/author&gt;&lt;author&gt;Nolen, W. A.&lt;/author&gt;&lt;author&gt;Frye, M. A.&lt;/author&gt;&lt;author&gt;Suppes, T.&lt;/author&gt;&lt;author&gt;Denicoff, K. D.&lt;/author&gt;&lt;author&gt;Kupka, R.&lt;/author&gt;&lt;author&gt;Leverich, G. S.&lt;/author&gt;&lt;author&gt;Rush, A. J.&lt;/author&gt;&lt;author&gt;Post, R. M.&lt;/author&gt;&lt;/authors&gt;&lt;/contributors&gt;&lt;auth-address&gt;Department of Psychiatry, University of Cincinnati College of Medicine, OH 45267-0559, USA.&lt;/auth-address&gt;&lt;titles&gt;&lt;title&gt;Psychosis in bipolar disorder: phenomenology and impact on morbidity and course of illness&lt;/title&gt;&lt;secondary-title&gt;Compr Psychiatry&lt;/secondary-title&gt;&lt;/titles&gt;&lt;periodical&gt;&lt;full-title&gt;Compr Psychiatry&lt;/full-title&gt;&lt;/periodical&gt;&lt;pages&gt;263-9&lt;/pages&gt;&lt;volume&gt;44&lt;/volume&gt;&lt;number&gt;4&lt;/number&gt;&lt;keywords&gt;&lt;keyword&gt;Adolescent&lt;/keyword&gt;&lt;keyword&gt;Bipolar Disorder/epidemiology/*psychology/rehabilitation&lt;/keyword&gt;&lt;keyword&gt;Demography&lt;/keyword&gt;&lt;keyword&gt;Diagnostic and Statistical Manual of Mental Disorders&lt;/keyword&gt;&lt;keyword&gt;Disease Progression&lt;/keyword&gt;&lt;keyword&gt;Female&lt;/keyword&gt;&lt;keyword&gt;Hospitalization&lt;/keyword&gt;&lt;keyword&gt;Humans&lt;/keyword&gt;&lt;keyword&gt;Male&lt;/keyword&gt;&lt;keyword&gt;Prevalence&lt;/keyword&gt;&lt;keyword&gt;Psychotic Disorders/epidemiology/*etiology/rehabilitation&lt;/keyword&gt;&lt;keyword&gt;Severity of Illness Index&lt;/keyword&gt;&lt;/keywords&gt;&lt;dates&gt;&lt;year&gt;2003&lt;/year&gt;&lt;pub-dates&gt;&lt;date&gt;Jul-Aug&lt;/date&gt;&lt;/pub-dates&gt;&lt;/dates&gt;&lt;isbn&gt;0010-440X (Print)&amp;#xD;0010-440x&lt;/isbn&gt;&lt;accession-num&gt;12923703&lt;/accession-num&gt;&lt;urls&gt;&lt;/urls&gt;&lt;electronic-resource-num&gt;10.1016/s0010-440x(03)00089-0&lt;/electronic-resource-num&gt;&lt;remote-database-provider&gt;NLM&lt;/remote-database-provider&gt;&lt;language&gt;eng&lt;/language&gt;&lt;/record&gt;&lt;/Cite&gt;&lt;/EndNote&gt;</w:instrText>
            </w:r>
            <w:r w:rsidRPr="004D46AC">
              <w:fldChar w:fldCharType="separate"/>
            </w:r>
            <w:r w:rsidRPr="004D46AC">
              <w:rPr>
                <w:noProof/>
              </w:rPr>
              <w:t>Keck et al. (2003)</w:t>
            </w:r>
            <w:r w:rsidRPr="004D46AC">
              <w:fldChar w:fldCharType="end"/>
            </w:r>
          </w:p>
        </w:tc>
        <w:tc>
          <w:tcPr>
            <w:tcW w:w="1348" w:type="dxa"/>
          </w:tcPr>
          <w:p w14:paraId="71ECD92E" w14:textId="77777777" w:rsidR="007075D9" w:rsidRPr="004D46AC" w:rsidRDefault="007075D9" w:rsidP="00D41749">
            <w:pPr>
              <w:spacing w:line="240" w:lineRule="auto"/>
              <w:ind w:firstLine="0"/>
            </w:pPr>
            <w:r w:rsidRPr="004D46AC">
              <w:t>USA</w:t>
            </w:r>
          </w:p>
        </w:tc>
        <w:tc>
          <w:tcPr>
            <w:tcW w:w="1349" w:type="dxa"/>
          </w:tcPr>
          <w:p w14:paraId="2654AB4E" w14:textId="77777777" w:rsidR="007075D9" w:rsidRPr="004D46AC" w:rsidRDefault="007075D9" w:rsidP="00D41749">
            <w:pPr>
              <w:spacing w:line="240" w:lineRule="auto"/>
              <w:ind w:firstLine="0"/>
            </w:pPr>
            <w:r w:rsidRPr="004D46AC">
              <w:t>Outpatient</w:t>
            </w:r>
          </w:p>
        </w:tc>
        <w:tc>
          <w:tcPr>
            <w:tcW w:w="1349" w:type="dxa"/>
          </w:tcPr>
          <w:p w14:paraId="193C90E7" w14:textId="77777777" w:rsidR="007075D9" w:rsidRPr="004D46AC" w:rsidRDefault="007075D9" w:rsidP="00D41749">
            <w:pPr>
              <w:spacing w:line="240" w:lineRule="auto"/>
              <w:ind w:firstLine="0"/>
            </w:pPr>
            <w:r w:rsidRPr="004D46AC">
              <w:t>223 Bipolar I patients</w:t>
            </w:r>
          </w:p>
        </w:tc>
        <w:tc>
          <w:tcPr>
            <w:tcW w:w="1349" w:type="dxa"/>
          </w:tcPr>
          <w:p w14:paraId="438F9EEC" w14:textId="77777777" w:rsidR="007075D9" w:rsidRPr="004D46AC" w:rsidRDefault="007075D9" w:rsidP="00D41749">
            <w:pPr>
              <w:spacing w:line="240" w:lineRule="auto"/>
              <w:ind w:firstLine="0"/>
            </w:pPr>
            <w:r w:rsidRPr="004D46AC">
              <w:t>DSM4</w:t>
            </w:r>
          </w:p>
        </w:tc>
        <w:tc>
          <w:tcPr>
            <w:tcW w:w="1349" w:type="dxa"/>
          </w:tcPr>
          <w:p w14:paraId="77D095A1" w14:textId="77777777" w:rsidR="007075D9" w:rsidRPr="004D46AC" w:rsidRDefault="007075D9" w:rsidP="00D41749">
            <w:pPr>
              <w:spacing w:line="240" w:lineRule="auto"/>
              <w:ind w:firstLine="0"/>
            </w:pPr>
            <w:r w:rsidRPr="004D46AC">
              <w:t>67.71% (n=151)</w:t>
            </w:r>
          </w:p>
        </w:tc>
      </w:tr>
      <w:tr w:rsidR="007075D9" w:rsidRPr="004D46AC" w14:paraId="4BD89F2D" w14:textId="77777777" w:rsidTr="00B518F1">
        <w:trPr>
          <w:trHeight w:val="968"/>
        </w:trPr>
        <w:tc>
          <w:tcPr>
            <w:tcW w:w="1522" w:type="dxa"/>
          </w:tcPr>
          <w:p w14:paraId="337AF3E2" w14:textId="77777777" w:rsidR="007075D9" w:rsidRPr="004D46AC" w:rsidRDefault="007075D9" w:rsidP="00D41749">
            <w:pPr>
              <w:spacing w:line="240" w:lineRule="auto"/>
              <w:ind w:firstLine="0"/>
            </w:pPr>
            <w:r w:rsidRPr="004D46AC">
              <w:fldChar w:fldCharType="begin"/>
            </w:r>
            <w:r w:rsidRPr="004D46AC">
              <w:instrText xml:space="preserve"> ADDIN EN.CITE &lt;EndNote&gt;&lt;Cite AuthorYear="1"&gt;&lt;Author&gt;Andrade-Nascimento&lt;/Author&gt;&lt;Year&gt;2011&lt;/Year&gt;&lt;RecNum&gt;473&lt;/RecNum&gt;&lt;DisplayText&gt;Andrade-Nascimento et al. (2011)&lt;/DisplayText&gt;&lt;record&gt;&lt;rec-number&gt;473&lt;/rec-number&gt;&lt;foreign-keys&gt;&lt;key app="EN" db-id="aet009sstawa0hewvt3xwf5atffdw2dt02sw" timestamp="1702581920"&gt;473&lt;/key&gt;&lt;/foreign-keys&gt;&lt;ref-type name="Journal Article"&gt;17&lt;/ref-type&gt;&lt;contributors&gt;&lt;authors&gt;&lt;author&gt;Andrade-Nascimento, M.&lt;/author&gt;&lt;author&gt;Miranda-Scippa, Â&lt;/author&gt;&lt;author&gt;Nery-Fernandes, F.&lt;/author&gt;&lt;author&gt;Kapczinski, F.&lt;/author&gt;&lt;author&gt;Quarantini, L. C.&lt;/author&gt;&lt;/authors&gt;&lt;/contributors&gt;&lt;auth-address&gt;University Hospital- Psychiatry Service, Universidade Federal da Bahia, Salvador, BA, Brazil. monica@uefs.br&lt;/auth-address&gt;&lt;titles&gt;&lt;title&gt;The identification of unipolar mania subtype based on anxiety comorbidity&lt;/title&gt;&lt;secondary-title&gt;J Affect Disord&lt;/secondary-title&gt;&lt;/titles&gt;&lt;periodical&gt;&lt;full-title&gt;J Affect Disord&lt;/full-title&gt;&lt;/periodical&gt;&lt;pages&gt;356-9&lt;/pages&gt;&lt;volume&gt;132&lt;/volume&gt;&lt;number&gt;3&lt;/number&gt;&lt;edition&gt;20110402&lt;/edition&gt;&lt;keywords&gt;&lt;keyword&gt;Adult&lt;/keyword&gt;&lt;keyword&gt;Affect&lt;/keyword&gt;&lt;keyword&gt;Anxiety/psychology&lt;/keyword&gt;&lt;keyword&gt;Bipolar Disorder/classification/*diagnosis/*psychology&lt;/keyword&gt;&lt;keyword&gt;Depression/psychology&lt;/keyword&gt;&lt;keyword&gt;Depressive Disorder/diagnosis/epidemiology&lt;/keyword&gt;&lt;keyword&gt;Diagnosis, Differential&lt;/keyword&gt;&lt;keyword&gt;Diagnostic and Statistical Manual of Mental Disorders&lt;/keyword&gt;&lt;keyword&gt;Female&lt;/keyword&gt;&lt;keyword&gt;Humans&lt;/keyword&gt;&lt;keyword&gt;Male&lt;/keyword&gt;&lt;keyword&gt;Middle Aged&lt;/keyword&gt;&lt;keyword&gt;Psychotic Disorders/diagnosis&lt;/keyword&gt;&lt;keyword&gt;Severity of Illness Index&lt;/keyword&gt;&lt;/keywords&gt;&lt;dates&gt;&lt;year&gt;2011&lt;/year&gt;&lt;pub-dates&gt;&lt;date&gt;Aug&lt;/date&gt;&lt;/pub-dates&gt;&lt;/dates&gt;&lt;isbn&gt;0165-0327&lt;/isbn&gt;&lt;accession-num&gt;21459455&lt;/accession-num&gt;&lt;urls&gt;&lt;/urls&gt;&lt;electronic-resource-num&gt;10.1016/j.jad.2011.03.005&lt;/electronic-resource-num&gt;&lt;remote-database-provider&gt;NLM&lt;/remote-database-provider&gt;&lt;language&gt;eng&lt;/language&gt;&lt;/record&gt;&lt;/Cite&gt;&lt;/EndNote&gt;</w:instrText>
            </w:r>
            <w:r w:rsidRPr="004D46AC">
              <w:fldChar w:fldCharType="separate"/>
            </w:r>
            <w:r w:rsidRPr="004D46AC">
              <w:rPr>
                <w:noProof/>
              </w:rPr>
              <w:t>Andrade-Nascimento et al. (2011)</w:t>
            </w:r>
            <w:r w:rsidRPr="004D46AC">
              <w:fldChar w:fldCharType="end"/>
            </w:r>
          </w:p>
        </w:tc>
        <w:tc>
          <w:tcPr>
            <w:tcW w:w="1348" w:type="dxa"/>
          </w:tcPr>
          <w:p w14:paraId="0EEAF1FB" w14:textId="77777777" w:rsidR="007075D9" w:rsidRPr="004D46AC" w:rsidRDefault="007075D9" w:rsidP="00D41749">
            <w:pPr>
              <w:spacing w:line="240" w:lineRule="auto"/>
              <w:ind w:firstLine="0"/>
            </w:pPr>
            <w:r w:rsidRPr="004D46AC">
              <w:t>Brazil</w:t>
            </w:r>
          </w:p>
        </w:tc>
        <w:tc>
          <w:tcPr>
            <w:tcW w:w="1349" w:type="dxa"/>
          </w:tcPr>
          <w:p w14:paraId="6651EB98" w14:textId="77777777" w:rsidR="007075D9" w:rsidRPr="004D46AC" w:rsidRDefault="007075D9" w:rsidP="00D41749">
            <w:pPr>
              <w:spacing w:line="240" w:lineRule="auto"/>
              <w:ind w:firstLine="0"/>
            </w:pPr>
            <w:r w:rsidRPr="004D46AC">
              <w:t>Outpatient</w:t>
            </w:r>
          </w:p>
        </w:tc>
        <w:tc>
          <w:tcPr>
            <w:tcW w:w="1349" w:type="dxa"/>
          </w:tcPr>
          <w:p w14:paraId="6FC81602" w14:textId="77777777" w:rsidR="007075D9" w:rsidRPr="004D46AC" w:rsidRDefault="007075D9" w:rsidP="00D41749">
            <w:pPr>
              <w:spacing w:line="240" w:lineRule="auto"/>
              <w:ind w:firstLine="0"/>
            </w:pPr>
            <w:r w:rsidRPr="004D46AC">
              <w:t>282 Bipolar I patients</w:t>
            </w:r>
          </w:p>
        </w:tc>
        <w:tc>
          <w:tcPr>
            <w:tcW w:w="1349" w:type="dxa"/>
          </w:tcPr>
          <w:p w14:paraId="6A014B3A" w14:textId="77777777" w:rsidR="007075D9" w:rsidRPr="004D46AC" w:rsidRDefault="007075D9" w:rsidP="00D41749">
            <w:pPr>
              <w:spacing w:line="240" w:lineRule="auto"/>
              <w:ind w:firstLine="0"/>
            </w:pPr>
            <w:r w:rsidRPr="004D46AC">
              <w:t>DSM4</w:t>
            </w:r>
          </w:p>
        </w:tc>
        <w:tc>
          <w:tcPr>
            <w:tcW w:w="1349" w:type="dxa"/>
          </w:tcPr>
          <w:p w14:paraId="4EAFDDB1" w14:textId="77777777" w:rsidR="007075D9" w:rsidRPr="004D46AC" w:rsidRDefault="007075D9" w:rsidP="00D41749">
            <w:pPr>
              <w:spacing w:line="240" w:lineRule="auto"/>
              <w:ind w:firstLine="0"/>
            </w:pPr>
            <w:r w:rsidRPr="004D46AC">
              <w:t>47.52% (n=134)</w:t>
            </w:r>
          </w:p>
        </w:tc>
      </w:tr>
      <w:tr w:rsidR="007075D9" w:rsidRPr="004D46AC" w14:paraId="37560CAE" w14:textId="77777777" w:rsidTr="00B518F1">
        <w:trPr>
          <w:trHeight w:val="957"/>
        </w:trPr>
        <w:tc>
          <w:tcPr>
            <w:tcW w:w="1522" w:type="dxa"/>
          </w:tcPr>
          <w:p w14:paraId="505F4CF3" w14:textId="77777777" w:rsidR="007075D9" w:rsidRPr="004D46AC" w:rsidRDefault="007075D9" w:rsidP="00D41749">
            <w:pPr>
              <w:spacing w:line="240" w:lineRule="auto"/>
              <w:ind w:firstLine="0"/>
            </w:pPr>
            <w:r w:rsidRPr="004D46AC">
              <w:fldChar w:fldCharType="begin"/>
            </w:r>
            <w:r w:rsidRPr="004D46AC">
              <w:instrText xml:space="preserve"> ADDIN EN.CITE &lt;EndNote&gt;&lt;Cite AuthorYear="1"&gt;&lt;Author&gt;Ferentinos&lt;/Author&gt;&lt;Year&gt;2017&lt;/Year&gt;&lt;RecNum&gt;61&lt;/RecNum&gt;&lt;DisplayText&gt;Ferentinos et al. (2017)&lt;/DisplayText&gt;&lt;record&gt;&lt;rec-number&gt;61&lt;/rec-number&gt;&lt;foreign-keys&gt;&lt;key app="EN" db-id="aet009sstawa0hewvt3xwf5atffdw2dt02sw" timestamp="1665134077"&gt;61&lt;/key&gt;&lt;/foreign-keys&gt;&lt;ref-type name="Journal Article"&gt;17&lt;/ref-type&gt;&lt;contributors&gt;&lt;authors&gt;&lt;author&gt;Ferentinos, Panagiotis&lt;/author&gt;&lt;author&gt;Fountoulakis, Konstantinos N.&lt;/author&gt;&lt;author&gt;Lewis, Cathryn M.&lt;/author&gt;&lt;author&gt;Porichi, Evgenia&lt;/author&gt;&lt;author&gt;Dikeos, Dimitris&lt;/author&gt;&lt;author&gt;Papageorgiou, Charalambos&lt;/author&gt;&lt;author&gt;Douzenis, Athanassios&lt;/author&gt;&lt;/authors&gt;&lt;/contributors&gt;&lt;titles&gt;&lt;title&gt;Validating a two-dimensional bipolar spectrum model integrating DSM-5&amp;apos;s mixed features specifier for Major Depressive Disorder&lt;/title&gt;&lt;secondary-title&gt;Comprehensive Psychiatry&lt;/secondary-title&gt;&lt;/titles&gt;&lt;periodical&gt;&lt;full-title&gt;Comprehensive Psychiatry&lt;/full-title&gt;&lt;/periodical&gt;&lt;pages&gt;89-99&lt;/pages&gt;&lt;volume&gt;77&lt;/volume&gt;&lt;dates&gt;&lt;year&gt;2017&lt;/year&gt;&lt;pub-dates&gt;&lt;date&gt;2017/08/01/&lt;/date&gt;&lt;/pub-dates&gt;&lt;/dates&gt;&lt;isbn&gt;0010-440X&lt;/isbn&gt;&lt;urls&gt;&lt;related-urls&gt;&lt;url&gt;https://www.sciencedirect.com/science/article/pii/S0010440X17300597&lt;/url&gt;&lt;/related-urls&gt;&lt;/urls&gt;&lt;electronic-resource-num&gt;https://doi.org/10.1016/j.comppsych.2017.06.007&lt;/electronic-resource-num&gt;&lt;/record&gt;&lt;/Cite&gt;&lt;/EndNote&gt;</w:instrText>
            </w:r>
            <w:r w:rsidRPr="004D46AC">
              <w:fldChar w:fldCharType="separate"/>
            </w:r>
            <w:r w:rsidRPr="004D46AC">
              <w:rPr>
                <w:noProof/>
              </w:rPr>
              <w:t>Ferentinos et al. (2017)</w:t>
            </w:r>
            <w:r w:rsidRPr="004D46AC">
              <w:fldChar w:fldCharType="end"/>
            </w:r>
          </w:p>
        </w:tc>
        <w:tc>
          <w:tcPr>
            <w:tcW w:w="1348" w:type="dxa"/>
          </w:tcPr>
          <w:p w14:paraId="7317EAAE" w14:textId="77777777" w:rsidR="007075D9" w:rsidRPr="004D46AC" w:rsidRDefault="007075D9" w:rsidP="00D41749">
            <w:pPr>
              <w:spacing w:line="240" w:lineRule="auto"/>
              <w:ind w:firstLine="0"/>
            </w:pPr>
            <w:r w:rsidRPr="004D46AC">
              <w:t>Greece</w:t>
            </w:r>
          </w:p>
        </w:tc>
        <w:tc>
          <w:tcPr>
            <w:tcW w:w="1349" w:type="dxa"/>
          </w:tcPr>
          <w:p w14:paraId="7792FE55" w14:textId="77777777" w:rsidR="007075D9" w:rsidRPr="004D46AC" w:rsidRDefault="007075D9" w:rsidP="00D41749">
            <w:pPr>
              <w:spacing w:line="240" w:lineRule="auto"/>
              <w:ind w:firstLine="0"/>
            </w:pPr>
            <w:r w:rsidRPr="004D46AC">
              <w:t>Outpatient</w:t>
            </w:r>
          </w:p>
        </w:tc>
        <w:tc>
          <w:tcPr>
            <w:tcW w:w="1349" w:type="dxa"/>
          </w:tcPr>
          <w:p w14:paraId="5D33FD16" w14:textId="77777777" w:rsidR="007075D9" w:rsidRPr="004D46AC" w:rsidRDefault="007075D9" w:rsidP="00D41749">
            <w:pPr>
              <w:spacing w:line="240" w:lineRule="auto"/>
              <w:ind w:firstLine="0"/>
            </w:pPr>
            <w:r w:rsidRPr="004D46AC">
              <w:t>50 BSD patients</w:t>
            </w:r>
          </w:p>
        </w:tc>
        <w:tc>
          <w:tcPr>
            <w:tcW w:w="1349" w:type="dxa"/>
          </w:tcPr>
          <w:p w14:paraId="2E8118B9" w14:textId="77777777" w:rsidR="007075D9" w:rsidRPr="004D46AC" w:rsidRDefault="007075D9" w:rsidP="00D41749">
            <w:pPr>
              <w:spacing w:line="240" w:lineRule="auto"/>
              <w:ind w:firstLine="0"/>
            </w:pPr>
            <w:r w:rsidRPr="004D46AC">
              <w:t>DSM</w:t>
            </w:r>
          </w:p>
        </w:tc>
        <w:tc>
          <w:tcPr>
            <w:tcW w:w="1349" w:type="dxa"/>
          </w:tcPr>
          <w:p w14:paraId="299E41FB" w14:textId="77777777" w:rsidR="007075D9" w:rsidRPr="004D46AC" w:rsidRDefault="007075D9" w:rsidP="00D41749">
            <w:pPr>
              <w:spacing w:line="240" w:lineRule="auto"/>
              <w:ind w:firstLine="0"/>
            </w:pPr>
            <w:r w:rsidRPr="004D46AC">
              <w:t>22% (n=11)</w:t>
            </w:r>
          </w:p>
        </w:tc>
      </w:tr>
      <w:tr w:rsidR="007075D9" w:rsidRPr="004D46AC" w14:paraId="37D130AD" w14:textId="77777777" w:rsidTr="00B518F1">
        <w:trPr>
          <w:trHeight w:val="645"/>
        </w:trPr>
        <w:tc>
          <w:tcPr>
            <w:tcW w:w="1522" w:type="dxa"/>
          </w:tcPr>
          <w:p w14:paraId="7B314886" w14:textId="77777777" w:rsidR="007075D9" w:rsidRPr="004D46AC" w:rsidRDefault="007075D9" w:rsidP="00D41749">
            <w:pPr>
              <w:spacing w:line="240" w:lineRule="auto"/>
              <w:ind w:firstLine="0"/>
            </w:pPr>
            <w:r w:rsidRPr="004D46AC">
              <w:fldChar w:fldCharType="begin">
                <w:fldData xml:space="preserve">PEVuZE5vdGU+PENpdGUgQXV0aG9yWWVhcj0iMSI+PEF1dGhvcj5QYWNjaGlhcm90dGk8L0F1dGhv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</w:fldData>
              </w:fldChar>
            </w:r>
            <w:r w:rsidRPr="004D46AC">
              <w:instrText xml:space="preserve"> ADDIN EN.CITE </w:instrText>
            </w:r>
            <w:r w:rsidRPr="004D46AC">
              <w:fldChar w:fldCharType="begin">
                <w:fldData xml:space="preserve">PEVuZE5vdGU+PENpdGUgQXV0aG9yWWVhcj0iMSI+PEF1dGhvcj5QYWNjaGlhcm90dGk8L0F1dGhv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</w:fldData>
              </w:fldChar>
            </w:r>
            <w:r w:rsidRPr="004D46AC">
              <w:instrText xml:space="preserve"> ADDIN EN.CITE.DATA </w:instrText>
            </w:r>
            <w:r w:rsidRPr="004D46AC">
              <w:fldChar w:fldCharType="end"/>
            </w:r>
            <w:r w:rsidRPr="004D46AC">
              <w:fldChar w:fldCharType="separate"/>
            </w:r>
            <w:r w:rsidRPr="004D46AC">
              <w:rPr>
                <w:noProof/>
              </w:rPr>
              <w:t>Pacchiarotti et al. (2011)</w:t>
            </w:r>
            <w:r w:rsidRPr="004D46AC">
              <w:fldChar w:fldCharType="end"/>
            </w:r>
          </w:p>
        </w:tc>
        <w:tc>
          <w:tcPr>
            <w:tcW w:w="1348" w:type="dxa"/>
          </w:tcPr>
          <w:p w14:paraId="2CB82A4D" w14:textId="77777777" w:rsidR="007075D9" w:rsidRPr="004D46AC" w:rsidRDefault="007075D9" w:rsidP="00D41749">
            <w:pPr>
              <w:spacing w:line="240" w:lineRule="auto"/>
              <w:ind w:firstLine="0"/>
            </w:pPr>
            <w:r w:rsidRPr="004D46AC">
              <w:t>Italy</w:t>
            </w:r>
          </w:p>
        </w:tc>
        <w:tc>
          <w:tcPr>
            <w:tcW w:w="1349" w:type="dxa"/>
          </w:tcPr>
          <w:p w14:paraId="303B9BEC" w14:textId="77777777" w:rsidR="007075D9" w:rsidRPr="004D46AC" w:rsidRDefault="007075D9" w:rsidP="00D41749">
            <w:pPr>
              <w:spacing w:line="240" w:lineRule="auto"/>
              <w:ind w:firstLine="0"/>
            </w:pPr>
            <w:r w:rsidRPr="004D46AC">
              <w:t xml:space="preserve">Inpatient </w:t>
            </w:r>
          </w:p>
        </w:tc>
        <w:tc>
          <w:tcPr>
            <w:tcW w:w="1349" w:type="dxa"/>
          </w:tcPr>
          <w:p w14:paraId="79D97F4D" w14:textId="77777777" w:rsidR="007075D9" w:rsidRPr="004D46AC" w:rsidRDefault="007075D9" w:rsidP="00D41749">
            <w:pPr>
              <w:spacing w:line="240" w:lineRule="auto"/>
              <w:ind w:firstLine="0"/>
            </w:pPr>
            <w:r w:rsidRPr="004D46AC">
              <w:t>88 Bipolar I patients</w:t>
            </w:r>
          </w:p>
        </w:tc>
        <w:tc>
          <w:tcPr>
            <w:tcW w:w="1349" w:type="dxa"/>
          </w:tcPr>
          <w:p w14:paraId="27F5B39F" w14:textId="77777777" w:rsidR="007075D9" w:rsidRPr="004D46AC" w:rsidRDefault="007075D9" w:rsidP="00D41749">
            <w:pPr>
              <w:spacing w:line="240" w:lineRule="auto"/>
              <w:ind w:firstLine="0"/>
            </w:pPr>
            <w:r w:rsidRPr="004D46AC">
              <w:t>DSM4TR</w:t>
            </w:r>
          </w:p>
        </w:tc>
        <w:tc>
          <w:tcPr>
            <w:tcW w:w="1349" w:type="dxa"/>
          </w:tcPr>
          <w:p w14:paraId="17F89DFA" w14:textId="77777777" w:rsidR="007075D9" w:rsidRPr="004D46AC" w:rsidRDefault="007075D9" w:rsidP="00D41749">
            <w:pPr>
              <w:spacing w:line="240" w:lineRule="auto"/>
              <w:ind w:firstLine="0"/>
            </w:pPr>
            <w:r w:rsidRPr="004D46AC">
              <w:t>57.95% (n=51)</w:t>
            </w:r>
          </w:p>
        </w:tc>
      </w:tr>
    </w:tbl>
    <w:p w14:paraId="6F4520CE" w14:textId="77777777" w:rsidR="007075D9" w:rsidRPr="004D46AC" w:rsidRDefault="007075D9" w:rsidP="00D41749">
      <w:pPr>
        <w:spacing w:line="240" w:lineRule="auto"/>
        <w:ind w:firstLine="0"/>
      </w:pPr>
    </w:p>
    <w:p w14:paraId="4A08755F" w14:textId="77777777" w:rsidR="007075D9" w:rsidRPr="004D46AC" w:rsidRDefault="007075D9" w:rsidP="00D41749">
      <w:pPr>
        <w:spacing w:line="240" w:lineRule="auto"/>
        <w:ind w:firstLine="0"/>
      </w:pPr>
    </w:p>
    <w:p w14:paraId="418BA523" w14:textId="77777777" w:rsidR="007075D9" w:rsidRPr="004D46AC" w:rsidRDefault="007075D9" w:rsidP="00D41749">
      <w:pPr>
        <w:spacing w:line="240" w:lineRule="auto"/>
        <w:ind w:firstLine="0"/>
        <w:rPr>
          <w:rFonts w:eastAsiaTheme="minorEastAsia"/>
        </w:rPr>
      </w:pPr>
    </w:p>
    <w:p w14:paraId="3D4D6436" w14:textId="77777777" w:rsidR="009864DB" w:rsidRPr="004D46AC" w:rsidRDefault="009864DB" w:rsidP="00D41749">
      <w:pPr>
        <w:spacing w:line="240" w:lineRule="auto"/>
        <w:ind w:firstLine="0"/>
        <w:rPr>
          <w:rFonts w:eastAsiaTheme="minorEastAsia"/>
        </w:rPr>
      </w:pPr>
    </w:p>
    <w:p w14:paraId="6F4DDD35" w14:textId="77777777" w:rsidR="009864DB" w:rsidRPr="004D46AC" w:rsidRDefault="009864DB" w:rsidP="00D41749">
      <w:pPr>
        <w:spacing w:line="240" w:lineRule="auto"/>
        <w:ind w:firstLine="0"/>
        <w:rPr>
          <w:rFonts w:eastAsiaTheme="minorEastAsia"/>
        </w:rPr>
      </w:pPr>
    </w:p>
    <w:p w14:paraId="4D44D4DC" w14:textId="77777777" w:rsidR="009864DB" w:rsidRPr="004D46AC" w:rsidRDefault="009864DB" w:rsidP="00D41749">
      <w:pPr>
        <w:spacing w:line="240" w:lineRule="auto"/>
        <w:ind w:firstLine="0"/>
        <w:rPr>
          <w:rFonts w:eastAsiaTheme="minorEastAsia"/>
        </w:rPr>
      </w:pPr>
    </w:p>
    <w:p w14:paraId="6ED0D21B" w14:textId="77777777" w:rsidR="009864DB" w:rsidRPr="004D46AC" w:rsidRDefault="009864DB" w:rsidP="00D41749">
      <w:pPr>
        <w:spacing w:line="240" w:lineRule="auto"/>
        <w:ind w:firstLine="0"/>
        <w:rPr>
          <w:rFonts w:eastAsiaTheme="minorEastAsia"/>
        </w:rPr>
      </w:pPr>
    </w:p>
    <w:p w14:paraId="4FF4C638" w14:textId="77777777" w:rsidR="009864DB" w:rsidRPr="004D46AC" w:rsidRDefault="009864DB" w:rsidP="00D41749">
      <w:pPr>
        <w:spacing w:line="240" w:lineRule="auto"/>
        <w:ind w:firstLine="0"/>
        <w:rPr>
          <w:rFonts w:eastAsiaTheme="minorEastAsia"/>
        </w:rPr>
      </w:pPr>
    </w:p>
    <w:p w14:paraId="4E828E16" w14:textId="77777777" w:rsidR="009864DB" w:rsidRPr="004D46AC" w:rsidRDefault="009864DB" w:rsidP="00D41749">
      <w:pPr>
        <w:spacing w:line="240" w:lineRule="auto"/>
        <w:ind w:firstLine="0"/>
        <w:rPr>
          <w:rFonts w:eastAsiaTheme="minorEastAsia"/>
        </w:rPr>
      </w:pPr>
    </w:p>
    <w:p w14:paraId="4D3BFEEF" w14:textId="77777777" w:rsidR="009864DB" w:rsidRPr="004D46AC" w:rsidRDefault="009864DB" w:rsidP="00D41749">
      <w:pPr>
        <w:spacing w:line="240" w:lineRule="auto"/>
        <w:ind w:firstLine="0"/>
        <w:rPr>
          <w:rFonts w:eastAsiaTheme="minorEastAsia"/>
        </w:rPr>
      </w:pPr>
    </w:p>
    <w:p w14:paraId="23CD9C9F" w14:textId="77777777" w:rsidR="009864DB" w:rsidRPr="004D46AC" w:rsidRDefault="009864DB" w:rsidP="00D41749">
      <w:pPr>
        <w:spacing w:line="240" w:lineRule="auto"/>
        <w:ind w:firstLine="0"/>
        <w:rPr>
          <w:rFonts w:eastAsiaTheme="minorEastAsia"/>
        </w:rPr>
      </w:pPr>
    </w:p>
    <w:p w14:paraId="34C06621" w14:textId="77777777" w:rsidR="009864DB" w:rsidRPr="004D46AC" w:rsidRDefault="009864DB" w:rsidP="00D41749">
      <w:pPr>
        <w:spacing w:line="240" w:lineRule="auto"/>
        <w:ind w:firstLine="0"/>
        <w:rPr>
          <w:rFonts w:eastAsiaTheme="minorEastAsia"/>
        </w:rPr>
      </w:pPr>
    </w:p>
    <w:p w14:paraId="228B6990" w14:textId="77777777" w:rsidR="009864DB" w:rsidRPr="004D46AC" w:rsidRDefault="009864DB" w:rsidP="00D41749">
      <w:pPr>
        <w:spacing w:line="240" w:lineRule="auto"/>
        <w:ind w:firstLine="0"/>
        <w:rPr>
          <w:rFonts w:eastAsiaTheme="minorEastAsia"/>
        </w:rPr>
      </w:pPr>
    </w:p>
    <w:p w14:paraId="74C0BDE6" w14:textId="77777777" w:rsidR="009864DB" w:rsidRPr="004D46AC" w:rsidRDefault="009864DB" w:rsidP="00D41749">
      <w:pPr>
        <w:spacing w:line="240" w:lineRule="auto"/>
        <w:ind w:firstLine="0"/>
        <w:rPr>
          <w:rFonts w:eastAsiaTheme="minorEastAsia"/>
        </w:rPr>
      </w:pPr>
    </w:p>
    <w:p w14:paraId="0000EEE3" w14:textId="77777777" w:rsidR="009864DB" w:rsidRPr="004D46AC" w:rsidRDefault="009864DB" w:rsidP="00D41749">
      <w:pPr>
        <w:spacing w:line="240" w:lineRule="auto"/>
        <w:ind w:firstLine="0"/>
        <w:rPr>
          <w:rFonts w:eastAsiaTheme="minorEastAsia"/>
        </w:rPr>
      </w:pPr>
    </w:p>
    <w:p w14:paraId="2C376E90" w14:textId="77777777" w:rsidR="009864DB" w:rsidRPr="004D46AC" w:rsidRDefault="009864DB" w:rsidP="00D41749">
      <w:pPr>
        <w:spacing w:line="240" w:lineRule="auto"/>
        <w:ind w:firstLine="0"/>
        <w:rPr>
          <w:rFonts w:eastAsiaTheme="minorEastAsia"/>
        </w:rPr>
      </w:pPr>
    </w:p>
    <w:p w14:paraId="4667F793" w14:textId="77777777" w:rsidR="009864DB" w:rsidRPr="004D46AC" w:rsidRDefault="009864DB" w:rsidP="00D41749">
      <w:pPr>
        <w:spacing w:line="240" w:lineRule="auto"/>
        <w:ind w:firstLine="0"/>
        <w:rPr>
          <w:rFonts w:eastAsiaTheme="minorEastAsia"/>
        </w:rPr>
      </w:pPr>
    </w:p>
    <w:p w14:paraId="783D5002" w14:textId="77777777" w:rsidR="009864DB" w:rsidRPr="004D46AC" w:rsidRDefault="009864DB" w:rsidP="00D41749">
      <w:pPr>
        <w:spacing w:line="240" w:lineRule="auto"/>
        <w:ind w:firstLine="0"/>
        <w:rPr>
          <w:rFonts w:eastAsiaTheme="minorEastAsia"/>
        </w:rPr>
      </w:pPr>
    </w:p>
    <w:p w14:paraId="43EE4EBA" w14:textId="77777777" w:rsidR="009864DB" w:rsidRPr="004D46AC" w:rsidRDefault="009864DB" w:rsidP="00D41749">
      <w:pPr>
        <w:spacing w:line="240" w:lineRule="auto"/>
        <w:ind w:firstLine="0"/>
        <w:rPr>
          <w:rFonts w:eastAsiaTheme="minorEastAsia"/>
        </w:rPr>
      </w:pPr>
    </w:p>
    <w:p w14:paraId="7EBE01E7" w14:textId="77777777" w:rsidR="009864DB" w:rsidRPr="004D46AC" w:rsidRDefault="009864DB" w:rsidP="00D41749">
      <w:pPr>
        <w:spacing w:line="240" w:lineRule="auto"/>
        <w:ind w:firstLine="0"/>
        <w:rPr>
          <w:rFonts w:eastAsiaTheme="minorEastAsia"/>
        </w:rPr>
      </w:pPr>
    </w:p>
    <w:p w14:paraId="178C711D" w14:textId="77777777" w:rsidR="009864DB" w:rsidRPr="004D46AC" w:rsidRDefault="009864DB" w:rsidP="00D41749">
      <w:pPr>
        <w:spacing w:line="240" w:lineRule="auto"/>
        <w:ind w:firstLine="0"/>
        <w:rPr>
          <w:rFonts w:eastAsiaTheme="minorEastAsia"/>
        </w:rPr>
      </w:pPr>
    </w:p>
    <w:p w14:paraId="77B4CBD9" w14:textId="77777777" w:rsidR="009864DB" w:rsidRPr="004D46AC" w:rsidRDefault="009864DB" w:rsidP="00D41749">
      <w:pPr>
        <w:spacing w:line="240" w:lineRule="auto"/>
        <w:ind w:firstLine="0"/>
        <w:rPr>
          <w:rFonts w:eastAsiaTheme="minorEastAsia"/>
        </w:rPr>
      </w:pPr>
    </w:p>
    <w:p w14:paraId="27505FB8" w14:textId="77777777" w:rsidR="009864DB" w:rsidRPr="004D46AC" w:rsidRDefault="009864DB" w:rsidP="00D41749">
      <w:pPr>
        <w:spacing w:line="240" w:lineRule="auto"/>
        <w:ind w:firstLine="0"/>
        <w:rPr>
          <w:rFonts w:eastAsiaTheme="minorEastAsia"/>
        </w:rPr>
      </w:pPr>
    </w:p>
    <w:p w14:paraId="0E105EC4" w14:textId="77777777" w:rsidR="009864DB" w:rsidRPr="004D46AC" w:rsidRDefault="009864DB" w:rsidP="00D41749">
      <w:pPr>
        <w:spacing w:line="240" w:lineRule="auto"/>
        <w:ind w:firstLine="0"/>
        <w:rPr>
          <w:rFonts w:eastAsiaTheme="minorEastAsia"/>
        </w:rPr>
      </w:pPr>
    </w:p>
    <w:p w14:paraId="7CC26134" w14:textId="77777777" w:rsidR="009864DB" w:rsidRPr="004D46AC" w:rsidRDefault="009864DB" w:rsidP="00D41749">
      <w:pPr>
        <w:spacing w:line="240" w:lineRule="auto"/>
        <w:ind w:firstLine="0"/>
        <w:rPr>
          <w:rFonts w:eastAsiaTheme="minorEastAsia"/>
        </w:rPr>
      </w:pPr>
    </w:p>
    <w:p w14:paraId="5CFB5277" w14:textId="77777777" w:rsidR="009864DB" w:rsidRPr="004D46AC" w:rsidRDefault="009864DB" w:rsidP="00D41749">
      <w:pPr>
        <w:spacing w:line="240" w:lineRule="auto"/>
        <w:ind w:firstLine="0"/>
        <w:rPr>
          <w:rFonts w:eastAsiaTheme="minorEastAsia"/>
        </w:rPr>
      </w:pPr>
    </w:p>
    <w:p w14:paraId="3F068DF6" w14:textId="77777777" w:rsidR="009864DB" w:rsidRPr="004D46AC" w:rsidRDefault="009864DB" w:rsidP="00D41749">
      <w:pPr>
        <w:spacing w:line="240" w:lineRule="auto"/>
        <w:ind w:firstLine="0"/>
        <w:rPr>
          <w:rFonts w:eastAsiaTheme="minorEastAsia"/>
        </w:rPr>
      </w:pPr>
    </w:p>
    <w:p w14:paraId="607DEA97" w14:textId="77777777" w:rsidR="009864DB" w:rsidRPr="004D46AC" w:rsidRDefault="009864DB" w:rsidP="00D41749">
      <w:pPr>
        <w:spacing w:line="240" w:lineRule="auto"/>
        <w:ind w:firstLine="0"/>
        <w:rPr>
          <w:rFonts w:eastAsiaTheme="minorEastAsia"/>
        </w:rPr>
      </w:pPr>
    </w:p>
    <w:p w14:paraId="0D7FDF67" w14:textId="77777777" w:rsidR="009864DB" w:rsidRPr="004D46AC" w:rsidRDefault="009864DB" w:rsidP="00D41749">
      <w:pPr>
        <w:spacing w:line="240" w:lineRule="auto"/>
        <w:ind w:firstLine="0"/>
        <w:rPr>
          <w:rFonts w:eastAsiaTheme="minorEastAsia"/>
        </w:rPr>
      </w:pPr>
    </w:p>
    <w:p w14:paraId="0559BE66" w14:textId="77777777" w:rsidR="009864DB" w:rsidRPr="004D46AC" w:rsidRDefault="009864DB" w:rsidP="00D41749">
      <w:pPr>
        <w:spacing w:line="240" w:lineRule="auto"/>
        <w:ind w:firstLine="0"/>
        <w:rPr>
          <w:rFonts w:eastAsiaTheme="minorEastAsia"/>
        </w:rPr>
      </w:pPr>
    </w:p>
    <w:p w14:paraId="5355E2BB" w14:textId="77777777" w:rsidR="009864DB" w:rsidRPr="004D46AC" w:rsidRDefault="009864DB" w:rsidP="00D41749">
      <w:pPr>
        <w:spacing w:line="240" w:lineRule="auto"/>
        <w:ind w:firstLine="0"/>
        <w:rPr>
          <w:rFonts w:eastAsiaTheme="minorEastAsia"/>
        </w:rPr>
      </w:pPr>
    </w:p>
    <w:p w14:paraId="00AA987B" w14:textId="77777777" w:rsidR="009864DB" w:rsidRPr="004D46AC" w:rsidRDefault="009864DB" w:rsidP="00D41749">
      <w:pPr>
        <w:spacing w:line="240" w:lineRule="auto"/>
        <w:ind w:firstLine="0"/>
        <w:rPr>
          <w:rFonts w:eastAsiaTheme="minorEastAsia"/>
        </w:rPr>
      </w:pPr>
    </w:p>
    <w:p w14:paraId="7641156D" w14:textId="77777777" w:rsidR="009864DB" w:rsidRPr="004D46AC" w:rsidRDefault="009864DB" w:rsidP="00D41749">
      <w:pPr>
        <w:spacing w:line="240" w:lineRule="auto"/>
        <w:ind w:firstLine="0"/>
        <w:rPr>
          <w:rFonts w:eastAsiaTheme="minorEastAsia"/>
        </w:rPr>
      </w:pPr>
    </w:p>
    <w:p w14:paraId="5C89A0AB" w14:textId="77777777" w:rsidR="009864DB" w:rsidRPr="004D46AC" w:rsidRDefault="009864DB" w:rsidP="00D41749">
      <w:pPr>
        <w:spacing w:line="240" w:lineRule="auto"/>
        <w:ind w:firstLine="0"/>
        <w:rPr>
          <w:rFonts w:eastAsiaTheme="minorEastAsia"/>
        </w:rPr>
      </w:pPr>
    </w:p>
    <w:p w14:paraId="5615ED13" w14:textId="77777777" w:rsidR="009864DB" w:rsidRPr="004D46AC" w:rsidRDefault="009864DB" w:rsidP="00D41749">
      <w:pPr>
        <w:spacing w:line="240" w:lineRule="auto"/>
        <w:ind w:firstLine="0"/>
        <w:rPr>
          <w:rFonts w:eastAsiaTheme="minorEastAsia"/>
        </w:rPr>
      </w:pPr>
    </w:p>
    <w:p w14:paraId="60649394" w14:textId="77777777" w:rsidR="009864DB" w:rsidRPr="004D46AC" w:rsidRDefault="009864DB" w:rsidP="00D41749">
      <w:pPr>
        <w:spacing w:line="240" w:lineRule="auto"/>
        <w:ind w:firstLine="0"/>
        <w:rPr>
          <w:rFonts w:eastAsiaTheme="minorEastAsia"/>
        </w:rPr>
      </w:pPr>
    </w:p>
    <w:p w14:paraId="49F538FC" w14:textId="00994478" w:rsidR="009864DB" w:rsidRPr="004D46AC" w:rsidRDefault="009864DB" w:rsidP="009864DB">
      <w:pPr>
        <w:pStyle w:val="afff0"/>
        <w:ind w:firstLine="0"/>
        <w:rPr>
          <w:rFonts w:eastAsiaTheme="minorEastAsia"/>
          <w:b/>
          <w:bCs/>
          <w:i w:val="0"/>
          <w:iCs w:val="0"/>
          <w:sz w:val="22"/>
          <w:szCs w:val="22"/>
        </w:rPr>
      </w:pPr>
      <w:bookmarkStart w:id="313" w:name="_Toc225271030"/>
      <w:r w:rsidRPr="004D46AC">
        <w:rPr>
          <w:b/>
          <w:bCs/>
          <w:i w:val="0"/>
          <w:iCs w:val="0"/>
          <w:sz w:val="22"/>
          <w:szCs w:val="22"/>
        </w:rPr>
        <w:lastRenderedPageBreak/>
        <w:t xml:space="preserve">Table B </w:t>
      </w:r>
      <w:r w:rsidRPr="004D46AC">
        <w:rPr>
          <w:b/>
          <w:bCs/>
          <w:i w:val="0"/>
          <w:iCs w:val="0"/>
          <w:sz w:val="22"/>
          <w:szCs w:val="22"/>
        </w:rPr>
        <w:fldChar w:fldCharType="begin"/>
      </w:r>
      <w:r w:rsidRPr="004D46AC">
        <w:rPr>
          <w:b/>
          <w:bCs/>
          <w:i w:val="0"/>
          <w:iCs w:val="0"/>
          <w:sz w:val="22"/>
          <w:szCs w:val="22"/>
        </w:rPr>
        <w:instrText xml:space="preserve"> SEQ Table_B \* ARABIC </w:instrText>
      </w:r>
      <w:r w:rsidRPr="004D46AC">
        <w:rPr>
          <w:b/>
          <w:bCs/>
          <w:i w:val="0"/>
          <w:iCs w:val="0"/>
          <w:sz w:val="22"/>
          <w:szCs w:val="22"/>
        </w:rPr>
        <w:fldChar w:fldCharType="separate"/>
      </w:r>
      <w:r w:rsidRPr="004D46AC">
        <w:rPr>
          <w:b/>
          <w:bCs/>
          <w:i w:val="0"/>
          <w:iCs w:val="0"/>
          <w:noProof/>
          <w:sz w:val="22"/>
          <w:szCs w:val="22"/>
        </w:rPr>
        <w:t>8</w:t>
      </w:r>
      <w:bookmarkEnd w:id="313"/>
      <w:r w:rsidRPr="004D46AC">
        <w:rPr>
          <w:b/>
          <w:bCs/>
          <w:i w:val="0"/>
          <w:iCs w:val="0"/>
          <w:sz w:val="22"/>
          <w:szCs w:val="22"/>
        </w:rPr>
        <w:fldChar w:fldCharType="end"/>
      </w:r>
    </w:p>
    <w:p w14:paraId="69230641" w14:textId="77777777" w:rsidR="009864DB" w:rsidRPr="004D46AC" w:rsidRDefault="009864DB" w:rsidP="009864DB">
      <w:pPr>
        <w:spacing w:line="240" w:lineRule="auto"/>
        <w:ind w:firstLine="0"/>
        <w:rPr>
          <w:rFonts w:eastAsiaTheme="minorEastAsia"/>
          <w:i/>
          <w:iCs/>
        </w:rPr>
      </w:pPr>
      <w:bookmarkStart w:id="314" w:name="OLE_LINK85"/>
      <w:r w:rsidRPr="004D46AC">
        <w:rPr>
          <w:rFonts w:eastAsiaTheme="minorEastAsia"/>
          <w:i/>
          <w:iCs/>
        </w:rPr>
        <w:t xml:space="preserve">Include studies in the synthesis of comorbid schizophrenia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2"/>
        <w:gridCol w:w="721"/>
        <w:gridCol w:w="733"/>
        <w:gridCol w:w="940"/>
        <w:gridCol w:w="1341"/>
        <w:gridCol w:w="790"/>
        <w:gridCol w:w="584"/>
        <w:gridCol w:w="503"/>
        <w:gridCol w:w="468"/>
        <w:gridCol w:w="1078"/>
        <w:gridCol w:w="676"/>
      </w:tblGrid>
      <w:tr w:rsidR="009864DB" w:rsidRPr="004D46AC" w14:paraId="0D2253A1" w14:textId="77777777" w:rsidTr="00B518F1">
        <w:trPr>
          <w:trHeight w:val="539"/>
        </w:trPr>
        <w:tc>
          <w:tcPr>
            <w:tcW w:w="1712" w:type="dxa"/>
          </w:tcPr>
          <w:p w14:paraId="7FB3C7D9" w14:textId="77777777" w:rsidR="009864DB" w:rsidRPr="004D46AC" w:rsidRDefault="009864DB" w:rsidP="009864DB">
            <w:pPr>
              <w:spacing w:line="240" w:lineRule="auto"/>
              <w:ind w:firstLine="0"/>
              <w:rPr>
                <w:rFonts w:eastAsiaTheme="minorEastAsia"/>
              </w:rPr>
            </w:pPr>
            <w:bookmarkStart w:id="315" w:name="_Hlk222560163"/>
            <w:r w:rsidRPr="004D46AC">
              <w:rPr>
                <w:rFonts w:eastAsiaTheme="minorEastAsia"/>
              </w:rPr>
              <w:t xml:space="preserve">Study </w:t>
            </w:r>
          </w:p>
        </w:tc>
        <w:tc>
          <w:tcPr>
            <w:tcW w:w="1194" w:type="dxa"/>
          </w:tcPr>
          <w:p w14:paraId="2F06C0AD" w14:textId="77777777" w:rsidR="009864DB" w:rsidRPr="004D46AC" w:rsidRDefault="009864DB" w:rsidP="009864DB">
            <w:pPr>
              <w:spacing w:line="240" w:lineRule="auto"/>
              <w:ind w:firstLine="0"/>
              <w:rPr>
                <w:rFonts w:eastAsiaTheme="minorEastAsia"/>
              </w:rPr>
            </w:pPr>
            <w:r w:rsidRPr="004D46AC">
              <w:rPr>
                <w:rFonts w:eastAsiaTheme="minorEastAsia"/>
              </w:rPr>
              <w:t>JBI score</w:t>
            </w:r>
          </w:p>
        </w:tc>
        <w:tc>
          <w:tcPr>
            <w:tcW w:w="1120" w:type="dxa"/>
          </w:tcPr>
          <w:p w14:paraId="311A759B" w14:textId="77777777" w:rsidR="009864DB" w:rsidRPr="004D46AC" w:rsidRDefault="009864DB" w:rsidP="009864DB">
            <w:pPr>
              <w:spacing w:line="240" w:lineRule="auto"/>
              <w:ind w:firstLine="0"/>
              <w:rPr>
                <w:rFonts w:eastAsiaTheme="minorEastAsia"/>
              </w:rPr>
            </w:pPr>
            <w:r w:rsidRPr="004D46AC">
              <w:rPr>
                <w:rFonts w:eastAsiaTheme="minorEastAsia"/>
              </w:rPr>
              <w:t>Age</w:t>
            </w:r>
          </w:p>
        </w:tc>
        <w:tc>
          <w:tcPr>
            <w:tcW w:w="1271" w:type="dxa"/>
          </w:tcPr>
          <w:p w14:paraId="5F1E7D18" w14:textId="77777777" w:rsidR="009864DB" w:rsidRPr="004D46AC" w:rsidRDefault="009864DB" w:rsidP="009864DB">
            <w:pPr>
              <w:spacing w:line="240" w:lineRule="auto"/>
              <w:ind w:firstLine="0"/>
              <w:rPr>
                <w:rFonts w:eastAsiaTheme="minorEastAsia"/>
              </w:rPr>
            </w:pPr>
            <w:r w:rsidRPr="004D46AC">
              <w:rPr>
                <w:rFonts w:eastAsiaTheme="minorEastAsia"/>
              </w:rPr>
              <w:t>Criteria</w:t>
            </w:r>
          </w:p>
        </w:tc>
        <w:tc>
          <w:tcPr>
            <w:tcW w:w="1944" w:type="dxa"/>
          </w:tcPr>
          <w:p w14:paraId="2FB1EDFE" w14:textId="77777777" w:rsidR="009864DB" w:rsidRPr="004D46AC" w:rsidRDefault="009864DB" w:rsidP="009864DB">
            <w:pPr>
              <w:spacing w:line="240" w:lineRule="auto"/>
              <w:ind w:firstLine="0"/>
              <w:rPr>
                <w:rFonts w:eastAsiaTheme="minorEastAsia"/>
              </w:rPr>
            </w:pPr>
            <w:r w:rsidRPr="004D46AC">
              <w:rPr>
                <w:rFonts w:eastAsiaTheme="minorEastAsia"/>
              </w:rPr>
              <w:t>Assessment</w:t>
            </w:r>
          </w:p>
        </w:tc>
        <w:tc>
          <w:tcPr>
            <w:tcW w:w="1052" w:type="dxa"/>
          </w:tcPr>
          <w:p w14:paraId="5803EECE" w14:textId="77777777" w:rsidR="009864DB" w:rsidRPr="004D46AC" w:rsidRDefault="009864DB" w:rsidP="009864DB">
            <w:pPr>
              <w:spacing w:line="240" w:lineRule="auto"/>
              <w:ind w:firstLine="0"/>
              <w:rPr>
                <w:rFonts w:eastAsiaTheme="minorEastAsia"/>
              </w:rPr>
            </w:pPr>
            <w:r w:rsidRPr="004D46AC">
              <w:rPr>
                <w:rFonts w:eastAsiaTheme="minorEastAsia"/>
              </w:rPr>
              <w:t>N</w:t>
            </w:r>
          </w:p>
        </w:tc>
        <w:tc>
          <w:tcPr>
            <w:tcW w:w="1028" w:type="dxa"/>
          </w:tcPr>
          <w:p w14:paraId="29ED4442" w14:textId="77777777" w:rsidR="009864DB" w:rsidRPr="004D46AC" w:rsidRDefault="009864DB" w:rsidP="009864DB">
            <w:pPr>
              <w:spacing w:line="240" w:lineRule="auto"/>
              <w:ind w:firstLine="0"/>
              <w:rPr>
                <w:rFonts w:eastAsiaTheme="minorEastAsia"/>
              </w:rPr>
            </w:pPr>
            <w:r w:rsidRPr="004D46AC">
              <w:rPr>
                <w:rFonts w:eastAsiaTheme="minorEastAsia"/>
              </w:rPr>
              <w:t>Pop</w:t>
            </w:r>
          </w:p>
        </w:tc>
        <w:tc>
          <w:tcPr>
            <w:tcW w:w="1022" w:type="dxa"/>
          </w:tcPr>
          <w:p w14:paraId="0E604F47" w14:textId="77777777" w:rsidR="009864DB" w:rsidRPr="004D46AC" w:rsidRDefault="009864DB" w:rsidP="009864DB">
            <w:pPr>
              <w:spacing w:line="240" w:lineRule="auto"/>
              <w:ind w:firstLine="0"/>
              <w:rPr>
                <w:rFonts w:eastAsiaTheme="minorEastAsia"/>
              </w:rPr>
            </w:pPr>
            <w:r w:rsidRPr="004D46AC">
              <w:rPr>
                <w:rFonts w:eastAsiaTheme="minorEastAsia"/>
              </w:rPr>
              <w:t>BD</w:t>
            </w:r>
          </w:p>
          <w:p w14:paraId="1FCE0C38" w14:textId="77777777" w:rsidR="009864DB" w:rsidRPr="004D46AC" w:rsidRDefault="009864DB" w:rsidP="009864DB">
            <w:pPr>
              <w:spacing w:line="240" w:lineRule="auto"/>
              <w:ind w:firstLine="0"/>
              <w:rPr>
                <w:rFonts w:eastAsiaTheme="minorEastAsia"/>
              </w:rPr>
            </w:pPr>
          </w:p>
        </w:tc>
        <w:tc>
          <w:tcPr>
            <w:tcW w:w="1022" w:type="dxa"/>
          </w:tcPr>
          <w:p w14:paraId="3EB78760" w14:textId="77777777" w:rsidR="009864DB" w:rsidRPr="004D46AC" w:rsidRDefault="009864DB" w:rsidP="009864DB">
            <w:pPr>
              <w:spacing w:line="240" w:lineRule="auto"/>
              <w:ind w:firstLine="0"/>
              <w:rPr>
                <w:rFonts w:eastAsiaTheme="minorEastAsia"/>
              </w:rPr>
            </w:pPr>
            <w:r w:rsidRPr="004D46AC">
              <w:rPr>
                <w:rFonts w:eastAsiaTheme="minorEastAsia"/>
              </w:rPr>
              <w:t>TF</w:t>
            </w:r>
          </w:p>
        </w:tc>
        <w:tc>
          <w:tcPr>
            <w:tcW w:w="1657" w:type="dxa"/>
          </w:tcPr>
          <w:p w14:paraId="21D14F36" w14:textId="77777777" w:rsidR="009864DB" w:rsidRPr="004D46AC" w:rsidRDefault="009864DB" w:rsidP="009864DB">
            <w:pPr>
              <w:spacing w:line="240" w:lineRule="auto"/>
              <w:ind w:firstLine="0"/>
              <w:rPr>
                <w:rFonts w:eastAsiaTheme="minorEastAsia"/>
              </w:rPr>
            </w:pPr>
            <w:r w:rsidRPr="004D46AC">
              <w:rPr>
                <w:rFonts w:eastAsiaTheme="minorEastAsia"/>
              </w:rPr>
              <w:t>Cotype</w:t>
            </w:r>
          </w:p>
        </w:tc>
        <w:tc>
          <w:tcPr>
            <w:tcW w:w="1022" w:type="dxa"/>
          </w:tcPr>
          <w:p w14:paraId="75D87C37" w14:textId="77777777" w:rsidR="009864DB" w:rsidRPr="004D46AC" w:rsidRDefault="009864DB" w:rsidP="009864DB">
            <w:pPr>
              <w:spacing w:line="240" w:lineRule="auto"/>
              <w:ind w:firstLine="0"/>
              <w:rPr>
                <w:rFonts w:eastAsiaTheme="minorEastAsia"/>
              </w:rPr>
            </w:pPr>
            <w:r w:rsidRPr="004D46AC">
              <w:rPr>
                <w:rFonts w:eastAsiaTheme="minorEastAsia"/>
              </w:rPr>
              <w:t>Co (n)</w:t>
            </w:r>
          </w:p>
        </w:tc>
      </w:tr>
      <w:bookmarkEnd w:id="315"/>
      <w:tr w:rsidR="009864DB" w:rsidRPr="004D46AC" w14:paraId="58B82C90" w14:textId="77777777" w:rsidTr="00B518F1">
        <w:trPr>
          <w:trHeight w:val="508"/>
        </w:trPr>
        <w:tc>
          <w:tcPr>
            <w:tcW w:w="1712" w:type="dxa"/>
          </w:tcPr>
          <w:p w14:paraId="78EEEE86"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AuthorYear="1"&gt;&lt;Author&gt;Zolezzi&lt;/Author&gt;&lt;Year&gt;2017&lt;/Year&gt;&lt;RecNum&gt;4&lt;/RecNum&gt;&lt;DisplayText&gt;Zolezzi et al. (2017)&lt;/DisplayText&gt;&lt;record&gt;&lt;rec-number&gt;4&lt;/rec-number&gt;&lt;foreign-keys&gt;&lt;key app="EN" db-id="aet009sstawa0hewvt3xwf5atffdw2dt02sw" timestamp="1664711687"&gt;4&lt;/key&gt;&lt;/foreign-keys&gt;&lt;ref-type name="Journal Article"&gt;17&lt;/ref-type&gt;&lt;contributors&gt;&lt;authors&gt;&lt;author&gt;Zolezzi, M.&lt;/author&gt;&lt;author&gt;Abdulrhim, S.&lt;/author&gt;&lt;author&gt;Isleem, N.&lt;/author&gt;&lt;author&gt;Zahrah, F.&lt;/author&gt;&lt;author&gt;Eltorki, Y.&lt;/author&gt;&lt;/authors&gt;&lt;/contributors&gt;&lt;auth-address&gt;Clinical Pharmacy and Practice.&amp;#xD;College of Pharmacy, Qatar University.&amp;#xD;Department of Pharmacy, Hamad Medical Corporation Mental Health Hospital, Doha, Qatar.&lt;/auth-address&gt;&lt;titles&gt;&lt;title&gt;Medical comorbidities in patients with serious mental illness: a retrospective study of mental health patients attending an outpatient clinic in Qatar&lt;/title&gt;&lt;secondary-title&gt;Neuropsychiatr Dis Treat&lt;/secondary-title&gt;&lt;/titles&gt;&lt;periodical&gt;&lt;full-title&gt;Neuropsychiatr Dis Treat&lt;/full-title&gt;&lt;/periodical&gt;&lt;pages&gt;2411-2418&lt;/pages&gt;&lt;volume&gt;13&lt;/volume&gt;&lt;edition&gt;20170915&lt;/edition&gt;&lt;keywords&gt;&lt;keyword&gt;medical comorbidities&lt;/keyword&gt;&lt;keyword&gt;physical illness&lt;/keyword&gt;&lt;keyword&gt;psychiatric patients&lt;/keyword&gt;&lt;keyword&gt;serious mental illness&lt;/keyword&gt;&lt;/keywords&gt;&lt;dates&gt;&lt;year&gt;2017&lt;/year&gt;&lt;/dates&gt;&lt;isbn&gt;1176-6328 (Print)&amp;#xD;1178-2021 (Electronic)&amp;#xD;1176-6328 (Linking)&lt;/isbn&gt;&lt;accession-num&gt;28979128&lt;/accession-num&gt;&lt;urls&gt;&lt;related-urls&gt;&lt;url&gt;https://www.ncbi.nlm.nih.gov/pubmed/28979128&lt;/url&gt;&lt;/related-urls&gt;&lt;/urls&gt;&lt;custom1&gt;Disclosure The authors report no conflicts of interest in this work.&lt;/custom1&gt;&lt;custom2&gt;PMC5608084&lt;/custom2&gt;&lt;electronic-resource-num&gt;10.2147/NDT.S141448&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Zolezzi et al. (2017)</w:t>
            </w:r>
            <w:r w:rsidRPr="004D46AC">
              <w:rPr>
                <w:rFonts w:eastAsiaTheme="minorEastAsia"/>
              </w:rPr>
              <w:fldChar w:fldCharType="end"/>
            </w:r>
          </w:p>
        </w:tc>
        <w:tc>
          <w:tcPr>
            <w:tcW w:w="1194" w:type="dxa"/>
            <w:vAlign w:val="center"/>
          </w:tcPr>
          <w:p w14:paraId="01417CE0" w14:textId="77777777" w:rsidR="009864DB" w:rsidRPr="004D46AC" w:rsidRDefault="009864DB" w:rsidP="009864DB">
            <w:pPr>
              <w:spacing w:line="240" w:lineRule="auto"/>
              <w:ind w:firstLine="0"/>
              <w:rPr>
                <w:rFonts w:eastAsiaTheme="minorEastAsia"/>
              </w:rPr>
            </w:pPr>
            <w:r w:rsidRPr="004D46AC">
              <w:rPr>
                <w:rFonts w:eastAsiaTheme="minorEastAsia"/>
              </w:rPr>
              <w:t>4</w:t>
            </w:r>
          </w:p>
        </w:tc>
        <w:tc>
          <w:tcPr>
            <w:tcW w:w="1120" w:type="dxa"/>
            <w:vAlign w:val="center"/>
          </w:tcPr>
          <w:p w14:paraId="486049F5" w14:textId="77777777" w:rsidR="009864DB" w:rsidRPr="004D46AC" w:rsidRDefault="009864DB" w:rsidP="009864DB">
            <w:pPr>
              <w:spacing w:line="240" w:lineRule="auto"/>
              <w:ind w:firstLine="0"/>
              <w:rPr>
                <w:rFonts w:eastAsiaTheme="minorEastAsia"/>
              </w:rPr>
            </w:pPr>
            <w:r w:rsidRPr="004D46AC">
              <w:rPr>
                <w:rFonts w:eastAsiaTheme="minorEastAsia"/>
              </w:rPr>
              <w:t>41.2</w:t>
            </w:r>
          </w:p>
        </w:tc>
        <w:tc>
          <w:tcPr>
            <w:tcW w:w="1271" w:type="dxa"/>
            <w:vAlign w:val="center"/>
          </w:tcPr>
          <w:p w14:paraId="310218C4" w14:textId="77777777" w:rsidR="009864DB" w:rsidRPr="004D46AC" w:rsidRDefault="009864DB" w:rsidP="009864DB">
            <w:pPr>
              <w:spacing w:line="240" w:lineRule="auto"/>
              <w:ind w:firstLine="0"/>
              <w:rPr>
                <w:rFonts w:eastAsiaTheme="minorEastAsia"/>
              </w:rPr>
            </w:pPr>
            <w:r w:rsidRPr="004D46AC">
              <w:rPr>
                <w:rFonts w:eastAsiaTheme="minorEastAsia"/>
              </w:rPr>
              <w:t>DSM</w:t>
            </w:r>
          </w:p>
        </w:tc>
        <w:tc>
          <w:tcPr>
            <w:tcW w:w="1944" w:type="dxa"/>
            <w:vAlign w:val="center"/>
          </w:tcPr>
          <w:p w14:paraId="387CF790"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2D32196B" w14:textId="77777777" w:rsidR="009864DB" w:rsidRPr="004D46AC" w:rsidRDefault="009864DB" w:rsidP="009864DB">
            <w:pPr>
              <w:spacing w:line="240" w:lineRule="auto"/>
              <w:ind w:firstLine="0"/>
              <w:rPr>
                <w:rFonts w:eastAsiaTheme="minorEastAsia"/>
              </w:rPr>
            </w:pPr>
            <w:r w:rsidRPr="004D46AC">
              <w:rPr>
                <w:rFonts w:eastAsiaTheme="minorEastAsia"/>
              </w:rPr>
              <w:t>63</w:t>
            </w:r>
          </w:p>
        </w:tc>
        <w:tc>
          <w:tcPr>
            <w:tcW w:w="1028" w:type="dxa"/>
            <w:vAlign w:val="center"/>
          </w:tcPr>
          <w:p w14:paraId="7605E9FF"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5BEECA74"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72D9B6DA"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2548CCEC" w14:textId="77777777" w:rsidR="009864DB" w:rsidRPr="004D46AC" w:rsidRDefault="009864DB" w:rsidP="009864DB">
            <w:pPr>
              <w:spacing w:line="240" w:lineRule="auto"/>
              <w:ind w:firstLine="0"/>
              <w:rPr>
                <w:rFonts w:eastAsiaTheme="minorEastAsia"/>
              </w:rPr>
            </w:pPr>
            <w:r w:rsidRPr="004D46AC">
              <w:rPr>
                <w:rFonts w:eastAsiaTheme="minorEastAsia"/>
              </w:rPr>
              <w:t>psychotic</w:t>
            </w:r>
          </w:p>
        </w:tc>
        <w:tc>
          <w:tcPr>
            <w:tcW w:w="1022" w:type="dxa"/>
            <w:vAlign w:val="center"/>
          </w:tcPr>
          <w:p w14:paraId="74EA39CC" w14:textId="77777777" w:rsidR="009864DB" w:rsidRPr="004D46AC" w:rsidRDefault="009864DB" w:rsidP="009864DB">
            <w:pPr>
              <w:spacing w:line="240" w:lineRule="auto"/>
              <w:ind w:firstLine="0"/>
              <w:rPr>
                <w:rFonts w:eastAsiaTheme="minorEastAsia"/>
              </w:rPr>
            </w:pPr>
            <w:r w:rsidRPr="004D46AC">
              <w:rPr>
                <w:rFonts w:eastAsiaTheme="minorEastAsia"/>
              </w:rPr>
              <w:t>2</w:t>
            </w:r>
          </w:p>
        </w:tc>
      </w:tr>
      <w:tr w:rsidR="009864DB" w:rsidRPr="004D46AC" w14:paraId="58CA7AD8" w14:textId="77777777" w:rsidTr="00B518F1">
        <w:trPr>
          <w:trHeight w:val="508"/>
        </w:trPr>
        <w:tc>
          <w:tcPr>
            <w:tcW w:w="1712" w:type="dxa"/>
          </w:tcPr>
          <w:p w14:paraId="2C92680E"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AuthorYear="1"&gt;&lt;Author&gt;Hsieh&lt;/Author&gt;&lt;Year&gt;2016&lt;/Year&gt;&lt;RecNum&gt;1&lt;/RecNum&gt;&lt;DisplayText&gt;Hsieh et al. (2016)&lt;/DisplayText&gt;&lt;record&gt;&lt;rec-number&gt;1&lt;/rec-number&gt;&lt;foreign-keys&gt;&lt;key app="EN" db-id="aet009sstawa0hewvt3xwf5atffdw2dt02sw" timestamp="1664711477"&gt;1&lt;/key&gt;&lt;/foreign-keys&gt;&lt;ref-type name="Journal Article"&gt;17&lt;/ref-type&gt;&lt;contributors&gt;&lt;authors&gt;&lt;author&gt;Hsieh, C. J.&lt;/author&gt;&lt;author&gt;Godwin, D.&lt;/author&gt;&lt;author&gt;Mamah, D.&lt;/author&gt;&lt;/authors&gt;&lt;/contributors&gt;&lt;auth-address&gt;Saint Louis University School of Medicine, St. Louis, MO, USA; Department of Psychiatry, Washington University Medical School, St. Louis, MO, USA.&amp;#xD;Department of Psychiatry, Washington University Medical School , St. Louis, MO , USA.&lt;/auth-address&gt;&lt;titles&gt;&lt;title&gt;Utility of Washington Early Recognition Center Self-Report Screening Questionnaires in the Assessment of Patients with Schizophrenia and Bipolar Disorder&lt;/title&gt;&lt;secondary-title&gt;Front Psychiatry&lt;/secondary-title&gt;&lt;/titles&gt;&lt;periodical&gt;&lt;full-title&gt;Front Psychiatry&lt;/full-title&gt;&lt;/periodical&gt;&lt;pages&gt;149&lt;/pages&gt;&lt;volume&gt;7&lt;/volume&gt;&lt;edition&gt;20160826&lt;/edition&gt;&lt;keywords&gt;&lt;keyword&gt;Wercap&lt;/keyword&gt;&lt;keyword&gt;bipolar disorder&lt;/keyword&gt;&lt;keyword&gt;psychosis&lt;/keyword&gt;&lt;keyword&gt;questionnaire&lt;/keyword&gt;&lt;keyword&gt;schizophrenia&lt;/keyword&gt;&lt;keyword&gt;stress&lt;/keyword&gt;&lt;/keywords&gt;&lt;dates&gt;&lt;year&gt;2016&lt;/year&gt;&lt;/dates&gt;&lt;isbn&gt;1664-0640 (Print)&amp;#xD;1664-0640 (Electronic)&amp;#xD;1664-0640 (Linking)&lt;/isbn&gt;&lt;accession-num&gt;27616996&lt;/accession-num&gt;&lt;urls&gt;&lt;related-urls&gt;&lt;url&gt;https://www.ncbi.nlm.nih.gov/pubmed/27616996&lt;/url&gt;&lt;/related-urls&gt;&lt;/urls&gt;&lt;custom2&gt;PMC4999826&lt;/custom2&gt;&lt;electronic-resource-num&gt;10.3389/fpsyt.2016.00149&lt;/electronic-resource-num&gt;&lt;remote-database-name&gt;PubMed-no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Hsieh et al. (2016)</w:t>
            </w:r>
            <w:r w:rsidRPr="004D46AC">
              <w:rPr>
                <w:rFonts w:eastAsiaTheme="minorEastAsia"/>
              </w:rPr>
              <w:fldChar w:fldCharType="end"/>
            </w:r>
          </w:p>
        </w:tc>
        <w:tc>
          <w:tcPr>
            <w:tcW w:w="1194" w:type="dxa"/>
            <w:vAlign w:val="center"/>
          </w:tcPr>
          <w:p w14:paraId="07AEAF77"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538E1B8E" w14:textId="77777777" w:rsidR="009864DB" w:rsidRPr="004D46AC" w:rsidRDefault="009864DB" w:rsidP="009864DB">
            <w:pPr>
              <w:spacing w:line="240" w:lineRule="auto"/>
              <w:ind w:firstLine="0"/>
              <w:rPr>
                <w:rFonts w:eastAsiaTheme="minorEastAsia"/>
              </w:rPr>
            </w:pPr>
            <w:r w:rsidRPr="004D46AC">
              <w:rPr>
                <w:rFonts w:eastAsiaTheme="minorEastAsia"/>
              </w:rPr>
              <w:t>25.1</w:t>
            </w:r>
          </w:p>
        </w:tc>
        <w:tc>
          <w:tcPr>
            <w:tcW w:w="1271" w:type="dxa"/>
            <w:vAlign w:val="center"/>
          </w:tcPr>
          <w:p w14:paraId="0DC400B0"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335B1B35" w14:textId="77777777" w:rsidR="009864DB" w:rsidRPr="004D46AC" w:rsidRDefault="009864DB" w:rsidP="009864DB">
            <w:pPr>
              <w:spacing w:line="240" w:lineRule="auto"/>
              <w:ind w:firstLine="0"/>
              <w:rPr>
                <w:rFonts w:eastAsiaTheme="minorEastAsia"/>
              </w:rPr>
            </w:pPr>
            <w:r w:rsidRPr="004D46AC">
              <w:rPr>
                <w:rFonts w:eastAsiaTheme="minorEastAsia"/>
              </w:rPr>
              <w:t>SCID</w:t>
            </w:r>
          </w:p>
        </w:tc>
        <w:tc>
          <w:tcPr>
            <w:tcW w:w="1052" w:type="dxa"/>
            <w:vAlign w:val="center"/>
          </w:tcPr>
          <w:p w14:paraId="492F8DBB" w14:textId="77777777" w:rsidR="009864DB" w:rsidRPr="004D46AC" w:rsidRDefault="009864DB" w:rsidP="009864DB">
            <w:pPr>
              <w:spacing w:line="240" w:lineRule="auto"/>
              <w:ind w:firstLine="0"/>
              <w:rPr>
                <w:rFonts w:eastAsiaTheme="minorEastAsia"/>
              </w:rPr>
            </w:pPr>
            <w:r w:rsidRPr="004D46AC">
              <w:rPr>
                <w:rFonts w:eastAsiaTheme="minorEastAsia"/>
              </w:rPr>
              <w:t>35</w:t>
            </w:r>
          </w:p>
        </w:tc>
        <w:tc>
          <w:tcPr>
            <w:tcW w:w="1028" w:type="dxa"/>
            <w:vAlign w:val="center"/>
          </w:tcPr>
          <w:p w14:paraId="405D11BB"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4D7E01C2"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76164C9C"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5085F468"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3DFE1DD0" w14:textId="77777777" w:rsidR="009864DB" w:rsidRPr="004D46AC" w:rsidRDefault="009864DB" w:rsidP="009864DB">
            <w:pPr>
              <w:spacing w:line="240" w:lineRule="auto"/>
              <w:ind w:firstLine="0"/>
              <w:rPr>
                <w:rFonts w:eastAsiaTheme="minorEastAsia"/>
              </w:rPr>
            </w:pPr>
            <w:r w:rsidRPr="004D46AC">
              <w:rPr>
                <w:rFonts w:eastAsiaTheme="minorEastAsia"/>
              </w:rPr>
              <w:t>0</w:t>
            </w:r>
          </w:p>
        </w:tc>
      </w:tr>
      <w:tr w:rsidR="009864DB" w:rsidRPr="004D46AC" w14:paraId="637ADD64" w14:textId="77777777" w:rsidTr="00B518F1">
        <w:trPr>
          <w:trHeight w:val="508"/>
        </w:trPr>
        <w:tc>
          <w:tcPr>
            <w:tcW w:w="1712" w:type="dxa"/>
          </w:tcPr>
          <w:p w14:paraId="6AD798D7"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Hsu et al. (2015)</w:t>
            </w:r>
            <w:r w:rsidRPr="004D46AC">
              <w:rPr>
                <w:rFonts w:eastAsiaTheme="minorEastAsia"/>
              </w:rPr>
              <w:fldChar w:fldCharType="end"/>
            </w:r>
          </w:p>
        </w:tc>
        <w:tc>
          <w:tcPr>
            <w:tcW w:w="1194" w:type="dxa"/>
            <w:vAlign w:val="center"/>
          </w:tcPr>
          <w:p w14:paraId="6C0F7148" w14:textId="77777777" w:rsidR="009864DB" w:rsidRPr="004D46AC" w:rsidRDefault="009864DB" w:rsidP="009864DB">
            <w:pPr>
              <w:spacing w:line="240" w:lineRule="auto"/>
              <w:ind w:firstLine="0"/>
              <w:rPr>
                <w:rFonts w:eastAsiaTheme="minorEastAsia"/>
              </w:rPr>
            </w:pPr>
            <w:r w:rsidRPr="004D46AC">
              <w:rPr>
                <w:rFonts w:eastAsiaTheme="minorEastAsia"/>
              </w:rPr>
              <w:t>7</w:t>
            </w:r>
          </w:p>
        </w:tc>
        <w:tc>
          <w:tcPr>
            <w:tcW w:w="1120" w:type="dxa"/>
            <w:vAlign w:val="center"/>
          </w:tcPr>
          <w:p w14:paraId="2779B6B1" w14:textId="77777777" w:rsidR="009864DB" w:rsidRPr="004D46AC" w:rsidRDefault="009864DB" w:rsidP="009864DB">
            <w:pPr>
              <w:spacing w:line="240" w:lineRule="auto"/>
              <w:ind w:firstLine="0"/>
              <w:rPr>
                <w:rFonts w:eastAsiaTheme="minorEastAsia"/>
              </w:rPr>
            </w:pPr>
            <w:r w:rsidRPr="004D46AC">
              <w:rPr>
                <w:rFonts w:eastAsiaTheme="minorEastAsia"/>
              </w:rPr>
              <w:t>40.2</w:t>
            </w:r>
          </w:p>
        </w:tc>
        <w:tc>
          <w:tcPr>
            <w:tcW w:w="1271" w:type="dxa"/>
            <w:vAlign w:val="center"/>
          </w:tcPr>
          <w:p w14:paraId="03626E8F" w14:textId="77777777" w:rsidR="009864DB" w:rsidRPr="004D46AC" w:rsidRDefault="009864DB" w:rsidP="009864DB">
            <w:pPr>
              <w:spacing w:line="240" w:lineRule="auto"/>
              <w:ind w:firstLine="0"/>
              <w:rPr>
                <w:rFonts w:eastAsiaTheme="minorEastAsia"/>
              </w:rPr>
            </w:pPr>
            <w:r w:rsidRPr="004D46AC">
              <w:rPr>
                <w:rFonts w:eastAsiaTheme="minorEastAsia"/>
              </w:rPr>
              <w:t>ICD9</w:t>
            </w:r>
          </w:p>
        </w:tc>
        <w:tc>
          <w:tcPr>
            <w:tcW w:w="1944" w:type="dxa"/>
            <w:vAlign w:val="center"/>
          </w:tcPr>
          <w:p w14:paraId="723817A6"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6CF021E1" w14:textId="77777777" w:rsidR="009864DB" w:rsidRPr="004D46AC" w:rsidRDefault="009864DB" w:rsidP="009864DB">
            <w:pPr>
              <w:spacing w:line="240" w:lineRule="auto"/>
              <w:ind w:firstLine="0"/>
              <w:rPr>
                <w:rFonts w:eastAsiaTheme="minorEastAsia"/>
              </w:rPr>
            </w:pPr>
            <w:r w:rsidRPr="004D46AC">
              <w:rPr>
                <w:rFonts w:eastAsiaTheme="minorEastAsia"/>
              </w:rPr>
              <w:t>21060</w:t>
            </w:r>
          </w:p>
        </w:tc>
        <w:tc>
          <w:tcPr>
            <w:tcW w:w="1028" w:type="dxa"/>
            <w:vAlign w:val="center"/>
          </w:tcPr>
          <w:p w14:paraId="5350A834"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5851A948"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4FD8198E"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305933BB"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692249EC" w14:textId="77777777" w:rsidR="009864DB" w:rsidRPr="004D46AC" w:rsidRDefault="009864DB" w:rsidP="009864DB">
            <w:pPr>
              <w:spacing w:line="240" w:lineRule="auto"/>
              <w:ind w:firstLine="0"/>
              <w:rPr>
                <w:rFonts w:eastAsiaTheme="minorEastAsia"/>
              </w:rPr>
            </w:pPr>
            <w:r w:rsidRPr="004D46AC">
              <w:rPr>
                <w:rFonts w:eastAsiaTheme="minorEastAsia"/>
              </w:rPr>
              <w:t>1116</w:t>
            </w:r>
          </w:p>
        </w:tc>
      </w:tr>
      <w:tr w:rsidR="009864DB" w:rsidRPr="004D46AC" w14:paraId="260C1B33" w14:textId="77777777" w:rsidTr="00B518F1">
        <w:trPr>
          <w:trHeight w:val="762"/>
        </w:trPr>
        <w:tc>
          <w:tcPr>
            <w:tcW w:w="1712" w:type="dxa"/>
          </w:tcPr>
          <w:p w14:paraId="7B8C2C6D"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Jorgensen et al. (2018)</w:t>
            </w:r>
            <w:r w:rsidRPr="004D46AC">
              <w:rPr>
                <w:rFonts w:eastAsiaTheme="minorEastAsia"/>
              </w:rPr>
              <w:fldChar w:fldCharType="end"/>
            </w:r>
          </w:p>
        </w:tc>
        <w:tc>
          <w:tcPr>
            <w:tcW w:w="1194" w:type="dxa"/>
            <w:vAlign w:val="center"/>
          </w:tcPr>
          <w:p w14:paraId="4B914F67" w14:textId="77777777" w:rsidR="009864DB" w:rsidRPr="004D46AC" w:rsidRDefault="009864DB" w:rsidP="009864DB">
            <w:pPr>
              <w:spacing w:line="240" w:lineRule="auto"/>
              <w:ind w:firstLine="0"/>
              <w:rPr>
                <w:rFonts w:eastAsiaTheme="minorEastAsia"/>
              </w:rPr>
            </w:pPr>
            <w:r w:rsidRPr="004D46AC">
              <w:rPr>
                <w:rFonts w:eastAsiaTheme="minorEastAsia"/>
              </w:rPr>
              <w:t>7</w:t>
            </w:r>
          </w:p>
        </w:tc>
        <w:tc>
          <w:tcPr>
            <w:tcW w:w="1120" w:type="dxa"/>
            <w:vAlign w:val="center"/>
          </w:tcPr>
          <w:p w14:paraId="209FFB5C" w14:textId="77777777" w:rsidR="009864DB" w:rsidRPr="004D46AC" w:rsidRDefault="009864DB" w:rsidP="009864DB">
            <w:pPr>
              <w:spacing w:line="240" w:lineRule="auto"/>
              <w:ind w:firstLine="0"/>
              <w:rPr>
                <w:rFonts w:eastAsiaTheme="minorEastAsia"/>
              </w:rPr>
            </w:pPr>
            <w:r w:rsidRPr="004D46AC">
              <w:rPr>
                <w:rFonts w:eastAsiaTheme="minorEastAsia"/>
              </w:rPr>
              <w:t>NA</w:t>
            </w:r>
          </w:p>
        </w:tc>
        <w:tc>
          <w:tcPr>
            <w:tcW w:w="1271" w:type="dxa"/>
            <w:vAlign w:val="center"/>
          </w:tcPr>
          <w:p w14:paraId="347AC334" w14:textId="77777777" w:rsidR="009864DB" w:rsidRPr="004D46AC" w:rsidRDefault="009864DB" w:rsidP="009864DB">
            <w:pPr>
              <w:spacing w:line="240" w:lineRule="auto"/>
              <w:ind w:firstLine="0"/>
              <w:rPr>
                <w:rFonts w:eastAsiaTheme="minorEastAsia"/>
              </w:rPr>
            </w:pPr>
            <w:r w:rsidRPr="004D46AC">
              <w:rPr>
                <w:rFonts w:eastAsiaTheme="minorEastAsia"/>
              </w:rPr>
              <w:t>ICD</w:t>
            </w:r>
          </w:p>
        </w:tc>
        <w:tc>
          <w:tcPr>
            <w:tcW w:w="1944" w:type="dxa"/>
            <w:vAlign w:val="center"/>
          </w:tcPr>
          <w:p w14:paraId="649F6001"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5132F675" w14:textId="77777777" w:rsidR="009864DB" w:rsidRPr="004D46AC" w:rsidRDefault="009864DB" w:rsidP="009864DB">
            <w:pPr>
              <w:spacing w:line="240" w:lineRule="auto"/>
              <w:ind w:firstLine="0"/>
              <w:rPr>
                <w:rFonts w:eastAsiaTheme="minorEastAsia"/>
              </w:rPr>
            </w:pPr>
            <w:r w:rsidRPr="004D46AC">
              <w:rPr>
                <w:rFonts w:eastAsiaTheme="minorEastAsia"/>
              </w:rPr>
              <w:t>10560</w:t>
            </w:r>
          </w:p>
        </w:tc>
        <w:tc>
          <w:tcPr>
            <w:tcW w:w="1028" w:type="dxa"/>
            <w:vAlign w:val="center"/>
          </w:tcPr>
          <w:p w14:paraId="2B25B627"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60C9D33A"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39B948D7"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657" w:type="dxa"/>
            <w:vAlign w:val="center"/>
          </w:tcPr>
          <w:p w14:paraId="142C21BF"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7C17545B" w14:textId="77777777" w:rsidR="009864DB" w:rsidRPr="004D46AC" w:rsidRDefault="009864DB" w:rsidP="009864DB">
            <w:pPr>
              <w:spacing w:line="240" w:lineRule="auto"/>
              <w:ind w:firstLine="0"/>
              <w:rPr>
                <w:rFonts w:eastAsiaTheme="minorEastAsia"/>
              </w:rPr>
            </w:pPr>
            <w:r w:rsidRPr="004D46AC">
              <w:rPr>
                <w:rFonts w:eastAsiaTheme="minorEastAsia"/>
              </w:rPr>
              <w:t>681</w:t>
            </w:r>
          </w:p>
        </w:tc>
      </w:tr>
      <w:tr w:rsidR="009864DB" w:rsidRPr="004D46AC" w14:paraId="724A2FFF" w14:textId="77777777" w:rsidTr="00B518F1">
        <w:trPr>
          <w:trHeight w:val="762"/>
        </w:trPr>
        <w:tc>
          <w:tcPr>
            <w:tcW w:w="1712" w:type="dxa"/>
          </w:tcPr>
          <w:p w14:paraId="397C3BFC"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Patterson-Lomba et al. (2019)</w:t>
            </w:r>
            <w:r w:rsidRPr="004D46AC">
              <w:rPr>
                <w:rFonts w:eastAsiaTheme="minorEastAsia"/>
              </w:rPr>
              <w:fldChar w:fldCharType="end"/>
            </w:r>
          </w:p>
        </w:tc>
        <w:tc>
          <w:tcPr>
            <w:tcW w:w="1194" w:type="dxa"/>
            <w:vAlign w:val="center"/>
          </w:tcPr>
          <w:p w14:paraId="6E15FED2"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5CDDBB0B" w14:textId="77777777" w:rsidR="009864DB" w:rsidRPr="004D46AC" w:rsidRDefault="009864DB" w:rsidP="009864DB">
            <w:pPr>
              <w:spacing w:line="240" w:lineRule="auto"/>
              <w:ind w:firstLine="0"/>
              <w:rPr>
                <w:rFonts w:eastAsiaTheme="minorEastAsia"/>
              </w:rPr>
            </w:pPr>
            <w:r w:rsidRPr="004D46AC">
              <w:rPr>
                <w:rFonts w:eastAsiaTheme="minorEastAsia"/>
              </w:rPr>
              <w:t>39.6</w:t>
            </w:r>
          </w:p>
        </w:tc>
        <w:tc>
          <w:tcPr>
            <w:tcW w:w="1271" w:type="dxa"/>
            <w:vAlign w:val="center"/>
          </w:tcPr>
          <w:p w14:paraId="415D7F78" w14:textId="77777777" w:rsidR="009864DB" w:rsidRPr="004D46AC" w:rsidRDefault="009864DB" w:rsidP="009864DB">
            <w:pPr>
              <w:spacing w:line="240" w:lineRule="auto"/>
              <w:ind w:firstLine="0"/>
              <w:rPr>
                <w:rFonts w:eastAsiaTheme="minorEastAsia"/>
              </w:rPr>
            </w:pPr>
            <w:r w:rsidRPr="004D46AC">
              <w:rPr>
                <w:rFonts w:eastAsiaTheme="minorEastAsia"/>
              </w:rPr>
              <w:t>ICD</w:t>
            </w:r>
          </w:p>
        </w:tc>
        <w:tc>
          <w:tcPr>
            <w:tcW w:w="1944" w:type="dxa"/>
            <w:vAlign w:val="center"/>
          </w:tcPr>
          <w:p w14:paraId="3AEFFCB4"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23BE64A0" w14:textId="77777777" w:rsidR="009864DB" w:rsidRPr="004D46AC" w:rsidRDefault="009864DB" w:rsidP="009864DB">
            <w:pPr>
              <w:spacing w:line="240" w:lineRule="auto"/>
              <w:ind w:firstLine="0"/>
              <w:rPr>
                <w:rFonts w:eastAsiaTheme="minorEastAsia"/>
              </w:rPr>
            </w:pPr>
            <w:r w:rsidRPr="004D46AC">
              <w:rPr>
                <w:rFonts w:eastAsiaTheme="minorEastAsia"/>
              </w:rPr>
              <w:t>69736</w:t>
            </w:r>
          </w:p>
        </w:tc>
        <w:tc>
          <w:tcPr>
            <w:tcW w:w="1028" w:type="dxa"/>
            <w:vAlign w:val="center"/>
          </w:tcPr>
          <w:p w14:paraId="5A2722CB"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2A6EA954"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7262BE59"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512D5D6F" w14:textId="77777777" w:rsidR="009864DB" w:rsidRPr="004D46AC" w:rsidRDefault="009864DB" w:rsidP="009864DB">
            <w:pPr>
              <w:spacing w:line="240" w:lineRule="auto"/>
              <w:ind w:firstLine="0"/>
              <w:rPr>
                <w:rFonts w:eastAsiaTheme="minorEastAsia"/>
              </w:rPr>
            </w:pPr>
            <w:r w:rsidRPr="004D46AC">
              <w:rPr>
                <w:rFonts w:eastAsiaTheme="minorEastAsia"/>
              </w:rPr>
              <w:t>psychotic</w:t>
            </w:r>
          </w:p>
        </w:tc>
        <w:tc>
          <w:tcPr>
            <w:tcW w:w="1022" w:type="dxa"/>
            <w:vAlign w:val="center"/>
          </w:tcPr>
          <w:p w14:paraId="546643F7" w14:textId="77777777" w:rsidR="009864DB" w:rsidRPr="004D46AC" w:rsidRDefault="009864DB" w:rsidP="009864DB">
            <w:pPr>
              <w:spacing w:line="240" w:lineRule="auto"/>
              <w:ind w:firstLine="0"/>
              <w:rPr>
                <w:rFonts w:eastAsiaTheme="minorEastAsia"/>
              </w:rPr>
            </w:pPr>
            <w:r w:rsidRPr="004D46AC">
              <w:rPr>
                <w:rFonts w:eastAsiaTheme="minorEastAsia"/>
              </w:rPr>
              <w:t>3013</w:t>
            </w:r>
          </w:p>
        </w:tc>
      </w:tr>
      <w:tr w:rsidR="009864DB" w:rsidRPr="004D46AC" w14:paraId="0491BC23" w14:textId="77777777" w:rsidTr="00B518F1">
        <w:trPr>
          <w:trHeight w:val="1016"/>
        </w:trPr>
        <w:tc>
          <w:tcPr>
            <w:tcW w:w="1712" w:type="dxa"/>
          </w:tcPr>
          <w:p w14:paraId="23203E9A"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AuthorYear="1"&gt;&lt;Author&gt;Almeida&lt;/Author&gt;&lt;Year&gt;2002&lt;/Year&gt;&lt;RecNum&gt;9&lt;/RecNum&gt;&lt;DisplayText&gt;Almeida and Fenner (2002)&lt;/DisplayText&gt;&lt;record&gt;&lt;rec-number&gt;9&lt;/rec-number&gt;&lt;foreign-keys&gt;&lt;key app="EN" db-id="aet009sstawa0hewvt3xwf5atffdw2dt02sw" timestamp="1664714044"&gt;9&lt;/key&gt;&lt;/foreign-keys&gt;&lt;ref-type name="Journal Article"&gt;17&lt;/ref-type&gt;&lt;contributors&gt;&lt;authors&gt;&lt;author&gt;Almeida, O. P.&lt;/author&gt;&lt;author&gt;Fenner, S.&lt;/author&gt;&lt;/authors&gt;&lt;/contributors&gt;&lt;auth-address&gt;Department of Psychiatry and Behavioural Science, University of Western Australia, Perth, Australia. osvalm@cyllene.uwa.edu.au&lt;/auth-address&gt;&lt;titles&gt;&lt;title&gt;Bipolar disorder: similarities and differences between patients with illness onset before and after 65 years of age&lt;/title&gt;&lt;secondary-title&gt;Int Psychogeriatr&lt;/secondary-title&gt;&lt;/titles&gt;&lt;periodical&gt;&lt;full-title&gt;Int Psychogeriatr&lt;/full-title&gt;&lt;/periodical&gt;&lt;pages&gt;311-22&lt;/pages&gt;&lt;volume&gt;14&lt;/volume&gt;&lt;number&gt;3&lt;/number&gt;&lt;keywords&gt;&lt;keyword&gt;Age Distribution&lt;/keyword&gt;&lt;keyword&gt;Age of Onset&lt;/keyword&gt;&lt;keyword&gt;Aged&lt;/keyword&gt;&lt;keyword&gt;Aging&lt;/keyword&gt;&lt;keyword&gt;Bipolar Disorder/*diagnosis/*epidemiology/physiopathology&lt;/keyword&gt;&lt;keyword&gt;Brain/physiopathology&lt;/keyword&gt;&lt;keyword&gt;Female&lt;/keyword&gt;&lt;keyword&gt;Humans&lt;/keyword&gt;&lt;keyword&gt;Male&lt;/keyword&gt;&lt;keyword&gt;Prevalence&lt;/keyword&gt;&lt;keyword&gt;Sex Distribution&lt;/keyword&gt;&lt;/keywords&gt;&lt;dates&gt;&lt;year&gt;2002&lt;/year&gt;&lt;pub-dates&gt;&lt;date&gt;Sep&lt;/date&gt;&lt;/pub-dates&gt;&lt;/dates&gt;&lt;isbn&gt;1041-6102 (Print)&amp;#xD;1041-6102 (Linking)&lt;/isbn&gt;&lt;accession-num&gt;12475092&lt;/accession-num&gt;&lt;urls&gt;&lt;related-urls&gt;&lt;url&gt;https://www.ncbi.nlm.nih.gov/pubmed/12475092&lt;/url&gt;&lt;/related-urls&gt;&lt;/urls&gt;&lt;electronic-resource-num&gt;10.1017/s1041610202008517&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Almeida and Fenner (2002)</w:t>
            </w:r>
            <w:r w:rsidRPr="004D46AC">
              <w:rPr>
                <w:rFonts w:eastAsiaTheme="minorEastAsia"/>
              </w:rPr>
              <w:fldChar w:fldCharType="end"/>
            </w:r>
          </w:p>
        </w:tc>
        <w:tc>
          <w:tcPr>
            <w:tcW w:w="1194" w:type="dxa"/>
            <w:vAlign w:val="center"/>
          </w:tcPr>
          <w:p w14:paraId="270E6241"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6DDC15F3" w14:textId="77777777" w:rsidR="009864DB" w:rsidRPr="004D46AC" w:rsidRDefault="009864DB" w:rsidP="009864DB">
            <w:pPr>
              <w:spacing w:line="240" w:lineRule="auto"/>
              <w:ind w:firstLine="0"/>
              <w:rPr>
                <w:rFonts w:eastAsiaTheme="minorEastAsia"/>
              </w:rPr>
            </w:pPr>
            <w:r w:rsidRPr="004D46AC">
              <w:rPr>
                <w:rFonts w:eastAsiaTheme="minorEastAsia"/>
              </w:rPr>
              <w:t>34.4</w:t>
            </w:r>
          </w:p>
        </w:tc>
        <w:tc>
          <w:tcPr>
            <w:tcW w:w="1271" w:type="dxa"/>
            <w:vAlign w:val="center"/>
          </w:tcPr>
          <w:p w14:paraId="2F431047" w14:textId="77777777" w:rsidR="009864DB" w:rsidRPr="004D46AC" w:rsidRDefault="009864DB" w:rsidP="009864DB">
            <w:pPr>
              <w:spacing w:line="240" w:lineRule="auto"/>
              <w:ind w:firstLine="0"/>
              <w:rPr>
                <w:rFonts w:eastAsiaTheme="minorEastAsia"/>
              </w:rPr>
            </w:pPr>
            <w:r w:rsidRPr="004D46AC">
              <w:rPr>
                <w:rFonts w:eastAsiaTheme="minorEastAsia"/>
              </w:rPr>
              <w:t>ICD9</w:t>
            </w:r>
          </w:p>
        </w:tc>
        <w:tc>
          <w:tcPr>
            <w:tcW w:w="1944" w:type="dxa"/>
            <w:vAlign w:val="center"/>
          </w:tcPr>
          <w:p w14:paraId="3AD43727"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7A54B851" w14:textId="77777777" w:rsidR="009864DB" w:rsidRPr="004D46AC" w:rsidRDefault="009864DB" w:rsidP="009864DB">
            <w:pPr>
              <w:spacing w:line="240" w:lineRule="auto"/>
              <w:ind w:firstLine="0"/>
              <w:rPr>
                <w:rFonts w:eastAsiaTheme="minorEastAsia"/>
              </w:rPr>
            </w:pPr>
            <w:r w:rsidRPr="004D46AC">
              <w:rPr>
                <w:rFonts w:eastAsiaTheme="minorEastAsia"/>
              </w:rPr>
              <w:t>6182</w:t>
            </w:r>
          </w:p>
        </w:tc>
        <w:tc>
          <w:tcPr>
            <w:tcW w:w="1028" w:type="dxa"/>
            <w:vAlign w:val="center"/>
          </w:tcPr>
          <w:p w14:paraId="1F3003DF"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10115303"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03AA5B22"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3976CDF1" w14:textId="77777777" w:rsidR="009864DB" w:rsidRPr="004D46AC" w:rsidRDefault="009864DB" w:rsidP="009864DB">
            <w:pPr>
              <w:spacing w:line="240" w:lineRule="auto"/>
              <w:ind w:firstLine="0"/>
              <w:rPr>
                <w:rFonts w:eastAsiaTheme="minorEastAsia"/>
              </w:rPr>
            </w:pPr>
            <w:r w:rsidRPr="004D46AC">
              <w:rPr>
                <w:rFonts w:eastAsiaTheme="minorEastAsia"/>
              </w:rPr>
              <w:t>psychotic</w:t>
            </w:r>
          </w:p>
        </w:tc>
        <w:tc>
          <w:tcPr>
            <w:tcW w:w="1022" w:type="dxa"/>
            <w:vAlign w:val="center"/>
          </w:tcPr>
          <w:p w14:paraId="1DC75EEF" w14:textId="77777777" w:rsidR="009864DB" w:rsidRPr="004D46AC" w:rsidRDefault="009864DB" w:rsidP="009864DB">
            <w:pPr>
              <w:spacing w:line="240" w:lineRule="auto"/>
              <w:ind w:firstLine="0"/>
              <w:rPr>
                <w:rFonts w:eastAsiaTheme="minorEastAsia"/>
              </w:rPr>
            </w:pPr>
            <w:r w:rsidRPr="004D46AC">
              <w:rPr>
                <w:rFonts w:eastAsiaTheme="minorEastAsia"/>
              </w:rPr>
              <w:t>91</w:t>
            </w:r>
          </w:p>
        </w:tc>
      </w:tr>
      <w:tr w:rsidR="009864DB" w:rsidRPr="004D46AC" w14:paraId="075DCF7F" w14:textId="77777777" w:rsidTr="00B518F1">
        <w:trPr>
          <w:trHeight w:val="508"/>
        </w:trPr>
        <w:tc>
          <w:tcPr>
            <w:tcW w:w="1712" w:type="dxa"/>
          </w:tcPr>
          <w:p w14:paraId="65EB3EDD"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Palzes et al. (2020)</w:t>
            </w:r>
            <w:r w:rsidRPr="004D46AC">
              <w:rPr>
                <w:rFonts w:eastAsiaTheme="minorEastAsia"/>
              </w:rPr>
              <w:fldChar w:fldCharType="end"/>
            </w:r>
          </w:p>
        </w:tc>
        <w:tc>
          <w:tcPr>
            <w:tcW w:w="1194" w:type="dxa"/>
            <w:vAlign w:val="center"/>
          </w:tcPr>
          <w:p w14:paraId="0CD78E50"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447B475D" w14:textId="77777777" w:rsidR="009864DB" w:rsidRPr="004D46AC" w:rsidRDefault="009864DB" w:rsidP="009864DB">
            <w:pPr>
              <w:spacing w:line="240" w:lineRule="auto"/>
              <w:ind w:firstLine="0"/>
              <w:rPr>
                <w:rFonts w:eastAsiaTheme="minorEastAsia"/>
              </w:rPr>
            </w:pPr>
            <w:r w:rsidRPr="004D46AC">
              <w:rPr>
                <w:rFonts w:eastAsiaTheme="minorEastAsia"/>
              </w:rPr>
              <w:t>46</w:t>
            </w:r>
          </w:p>
        </w:tc>
        <w:tc>
          <w:tcPr>
            <w:tcW w:w="1271" w:type="dxa"/>
            <w:vAlign w:val="center"/>
          </w:tcPr>
          <w:p w14:paraId="486D8C62" w14:textId="77777777" w:rsidR="009864DB" w:rsidRPr="004D46AC" w:rsidRDefault="009864DB" w:rsidP="009864DB">
            <w:pPr>
              <w:spacing w:line="240" w:lineRule="auto"/>
              <w:ind w:firstLine="0"/>
              <w:rPr>
                <w:rFonts w:eastAsiaTheme="minorEastAsia"/>
              </w:rPr>
            </w:pPr>
            <w:r w:rsidRPr="004D46AC">
              <w:rPr>
                <w:rFonts w:eastAsiaTheme="minorEastAsia"/>
              </w:rPr>
              <w:t>ICD</w:t>
            </w:r>
          </w:p>
        </w:tc>
        <w:tc>
          <w:tcPr>
            <w:tcW w:w="1944" w:type="dxa"/>
            <w:vAlign w:val="center"/>
          </w:tcPr>
          <w:p w14:paraId="2DAF5E06"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3BB6DE87" w14:textId="77777777" w:rsidR="009864DB" w:rsidRPr="004D46AC" w:rsidRDefault="009864DB" w:rsidP="009864DB">
            <w:pPr>
              <w:spacing w:line="240" w:lineRule="auto"/>
              <w:ind w:firstLine="0"/>
              <w:rPr>
                <w:rFonts w:eastAsiaTheme="minorEastAsia"/>
              </w:rPr>
            </w:pPr>
            <w:r w:rsidRPr="004D46AC">
              <w:rPr>
                <w:rFonts w:eastAsiaTheme="minorEastAsia"/>
              </w:rPr>
              <w:t>21150</w:t>
            </w:r>
          </w:p>
        </w:tc>
        <w:tc>
          <w:tcPr>
            <w:tcW w:w="1028" w:type="dxa"/>
            <w:vAlign w:val="center"/>
          </w:tcPr>
          <w:p w14:paraId="7183AC6B"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637A7ABB"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6CC34D7E"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1B80DAC1"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3954DAE2" w14:textId="77777777" w:rsidR="009864DB" w:rsidRPr="004D46AC" w:rsidRDefault="009864DB" w:rsidP="009864DB">
            <w:pPr>
              <w:spacing w:line="240" w:lineRule="auto"/>
              <w:ind w:firstLine="0"/>
              <w:rPr>
                <w:rFonts w:eastAsiaTheme="minorEastAsia"/>
              </w:rPr>
            </w:pPr>
            <w:r w:rsidRPr="004D46AC">
              <w:rPr>
                <w:rFonts w:eastAsiaTheme="minorEastAsia"/>
              </w:rPr>
              <w:t>371</w:t>
            </w:r>
          </w:p>
        </w:tc>
      </w:tr>
      <w:tr w:rsidR="009864DB" w:rsidRPr="004D46AC" w14:paraId="51D100F4" w14:textId="77777777" w:rsidTr="00B518F1">
        <w:trPr>
          <w:trHeight w:val="755"/>
        </w:trPr>
        <w:tc>
          <w:tcPr>
            <w:tcW w:w="1712" w:type="dxa"/>
          </w:tcPr>
          <w:p w14:paraId="34EDE1E0"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AuthorYear="1"&gt;&lt;Author&gt;Abu Nazel&lt;/Author&gt;&lt;Year&gt;2017&lt;/Year&gt;&lt;RecNum&gt;11&lt;/RecNum&gt;&lt;DisplayText&gt;Abu Nazel et al. (2017)&lt;/DisplayText&gt;&lt;record&gt;&lt;rec-number&gt;11&lt;/rec-number&gt;&lt;foreign-keys&gt;&lt;key app="EN" db-id="aet009sstawa0hewvt3xwf5atffdw2dt02sw" timestamp="1664715585"&gt;11&lt;/key&gt;&lt;/foreign-keys&gt;&lt;ref-type name="Journal Article"&gt;17&lt;/ref-type&gt;&lt;contributors&gt;&lt;authors&gt;&lt;author&gt;Abu Nazel, Mervat&lt;/author&gt;&lt;author&gt;Elkady, Heba&lt;/author&gt;&lt;author&gt;Abd Allah, Sherif&lt;/author&gt;&lt;author&gt;Ibrahim, Riham&lt;/author&gt;&lt;/authors&gt;&lt;/contributors&gt;&lt;titles&gt;&lt;title&gt;Pattern and correlates of tobacco smoking among mentally ill male patients in El-Mamoura Psychiatric Hospital, Alexandria, Egypt&lt;/title&gt;&lt;secondary-title&gt;Journal of Egyptian Public Health Association&lt;/secondary-title&gt;&lt;/titles&gt;&lt;periodical&gt;&lt;full-title&gt;Journal of Egyptian Public Health Association&lt;/full-title&gt;&lt;/periodical&gt;&lt;pages&gt;167-176&lt;/pages&gt;&lt;volume&gt;92&lt;/volume&gt;&lt;number&gt;3&lt;/number&gt;&lt;section&gt;167&lt;/section&gt;&lt;dates&gt;&lt;year&gt;2017&lt;/year&gt;&lt;pub-dates&gt;&lt;date&gt;12/01&lt;/date&gt;&lt;/pub-dates&gt;&lt;/dates&gt;&lt;isbn&gt;2090-262X&lt;/isbn&gt;&lt;urls&gt;&lt;/urls&gt;&lt;electronic-resource-num&gt;10.21608/epx.2017.16397&lt;/electronic-resource-num&gt;&lt;/record&gt;&lt;/Cite&gt;&lt;/EndNote&gt;</w:instrText>
            </w:r>
            <w:r w:rsidRPr="004D46AC">
              <w:rPr>
                <w:rFonts w:eastAsiaTheme="minorEastAsia"/>
              </w:rPr>
              <w:fldChar w:fldCharType="separate"/>
            </w:r>
            <w:r w:rsidRPr="004D46AC">
              <w:rPr>
                <w:rFonts w:eastAsiaTheme="minorEastAsia"/>
              </w:rPr>
              <w:t>Abu Nazel et al. (2017)</w:t>
            </w:r>
            <w:r w:rsidRPr="004D46AC">
              <w:rPr>
                <w:rFonts w:eastAsiaTheme="minorEastAsia"/>
              </w:rPr>
              <w:fldChar w:fldCharType="end"/>
            </w:r>
          </w:p>
        </w:tc>
        <w:tc>
          <w:tcPr>
            <w:tcW w:w="1194" w:type="dxa"/>
            <w:vAlign w:val="center"/>
          </w:tcPr>
          <w:p w14:paraId="24FF24B2"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6B2F7DBA" w14:textId="77777777" w:rsidR="009864DB" w:rsidRPr="004D46AC" w:rsidRDefault="009864DB" w:rsidP="009864DB">
            <w:pPr>
              <w:spacing w:line="240" w:lineRule="auto"/>
              <w:ind w:firstLine="0"/>
              <w:rPr>
                <w:rFonts w:eastAsiaTheme="minorEastAsia"/>
              </w:rPr>
            </w:pPr>
            <w:r w:rsidRPr="004D46AC">
              <w:rPr>
                <w:rFonts w:eastAsiaTheme="minorEastAsia"/>
              </w:rPr>
              <w:t>37.9</w:t>
            </w:r>
          </w:p>
        </w:tc>
        <w:tc>
          <w:tcPr>
            <w:tcW w:w="1271" w:type="dxa"/>
            <w:vAlign w:val="center"/>
          </w:tcPr>
          <w:p w14:paraId="17F74A33"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04E6434C"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10B07A00" w14:textId="77777777" w:rsidR="009864DB" w:rsidRPr="004D46AC" w:rsidRDefault="009864DB" w:rsidP="009864DB">
            <w:pPr>
              <w:spacing w:line="240" w:lineRule="auto"/>
              <w:ind w:firstLine="0"/>
              <w:rPr>
                <w:rFonts w:eastAsiaTheme="minorEastAsia"/>
              </w:rPr>
            </w:pPr>
            <w:r w:rsidRPr="004D46AC">
              <w:rPr>
                <w:rFonts w:eastAsiaTheme="minorEastAsia"/>
              </w:rPr>
              <w:t>49</w:t>
            </w:r>
          </w:p>
        </w:tc>
        <w:tc>
          <w:tcPr>
            <w:tcW w:w="1028" w:type="dxa"/>
            <w:vAlign w:val="center"/>
          </w:tcPr>
          <w:p w14:paraId="5D451F1A"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3FC6FEC3"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50286245"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384ECC54"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ssd</w:t>
            </w:r>
            <w:proofErr w:type="spellEnd"/>
          </w:p>
        </w:tc>
        <w:tc>
          <w:tcPr>
            <w:tcW w:w="1022" w:type="dxa"/>
            <w:vAlign w:val="center"/>
          </w:tcPr>
          <w:p w14:paraId="4201957F" w14:textId="77777777" w:rsidR="009864DB" w:rsidRPr="004D46AC" w:rsidRDefault="009864DB" w:rsidP="009864DB">
            <w:pPr>
              <w:spacing w:line="240" w:lineRule="auto"/>
              <w:ind w:firstLine="0"/>
              <w:rPr>
                <w:rFonts w:eastAsiaTheme="minorEastAsia"/>
              </w:rPr>
            </w:pPr>
            <w:r w:rsidRPr="004D46AC">
              <w:rPr>
                <w:rFonts w:eastAsiaTheme="minorEastAsia"/>
              </w:rPr>
              <w:t>11</w:t>
            </w:r>
          </w:p>
        </w:tc>
      </w:tr>
      <w:tr w:rsidR="009864DB" w:rsidRPr="004D46AC" w14:paraId="27CA88CC" w14:textId="77777777" w:rsidTr="00B518F1">
        <w:trPr>
          <w:trHeight w:val="508"/>
        </w:trPr>
        <w:tc>
          <w:tcPr>
            <w:tcW w:w="1712" w:type="dxa"/>
          </w:tcPr>
          <w:p w14:paraId="5A1E65FC"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Kamat et al. (2008)</w:t>
            </w:r>
            <w:r w:rsidRPr="004D46AC">
              <w:rPr>
                <w:rFonts w:eastAsiaTheme="minorEastAsia"/>
              </w:rPr>
              <w:fldChar w:fldCharType="end"/>
            </w:r>
          </w:p>
        </w:tc>
        <w:tc>
          <w:tcPr>
            <w:tcW w:w="1194" w:type="dxa"/>
            <w:vAlign w:val="center"/>
          </w:tcPr>
          <w:p w14:paraId="5B3B4A1D"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0C972503" w14:textId="77777777" w:rsidR="009864DB" w:rsidRPr="004D46AC" w:rsidRDefault="009864DB" w:rsidP="009864DB">
            <w:pPr>
              <w:spacing w:line="240" w:lineRule="auto"/>
              <w:ind w:firstLine="0"/>
              <w:rPr>
                <w:rFonts w:eastAsiaTheme="minorEastAsia"/>
              </w:rPr>
            </w:pPr>
            <w:r w:rsidRPr="004D46AC">
              <w:rPr>
                <w:rFonts w:eastAsiaTheme="minorEastAsia"/>
              </w:rPr>
              <w:t>NA</w:t>
            </w:r>
          </w:p>
        </w:tc>
        <w:tc>
          <w:tcPr>
            <w:tcW w:w="1271" w:type="dxa"/>
            <w:vAlign w:val="center"/>
          </w:tcPr>
          <w:p w14:paraId="1D739BD7" w14:textId="77777777" w:rsidR="009864DB" w:rsidRPr="004D46AC" w:rsidRDefault="009864DB" w:rsidP="009864DB">
            <w:pPr>
              <w:spacing w:line="240" w:lineRule="auto"/>
              <w:ind w:firstLine="0"/>
              <w:rPr>
                <w:rFonts w:eastAsiaTheme="minorEastAsia"/>
              </w:rPr>
            </w:pPr>
            <w:r w:rsidRPr="004D46AC">
              <w:rPr>
                <w:rFonts w:eastAsiaTheme="minorEastAsia"/>
              </w:rPr>
              <w:t>MDQ</w:t>
            </w:r>
          </w:p>
        </w:tc>
        <w:tc>
          <w:tcPr>
            <w:tcW w:w="1944" w:type="dxa"/>
            <w:vAlign w:val="center"/>
          </w:tcPr>
          <w:p w14:paraId="772E3FF9" w14:textId="77777777" w:rsidR="009864DB" w:rsidRPr="004D46AC" w:rsidRDefault="009864DB" w:rsidP="009864DB">
            <w:pPr>
              <w:spacing w:line="240" w:lineRule="auto"/>
              <w:ind w:firstLine="0"/>
              <w:rPr>
                <w:rFonts w:eastAsiaTheme="minorEastAsia"/>
              </w:rPr>
            </w:pPr>
            <w:r w:rsidRPr="004D46AC">
              <w:rPr>
                <w:rFonts w:eastAsiaTheme="minorEastAsia"/>
              </w:rPr>
              <w:t>MDQ</w:t>
            </w:r>
          </w:p>
        </w:tc>
        <w:tc>
          <w:tcPr>
            <w:tcW w:w="1052" w:type="dxa"/>
            <w:vAlign w:val="center"/>
          </w:tcPr>
          <w:p w14:paraId="44592E7D" w14:textId="77777777" w:rsidR="009864DB" w:rsidRPr="004D46AC" w:rsidRDefault="009864DB" w:rsidP="009864DB">
            <w:pPr>
              <w:spacing w:line="240" w:lineRule="auto"/>
              <w:ind w:firstLine="0"/>
              <w:rPr>
                <w:rFonts w:eastAsiaTheme="minorEastAsia"/>
              </w:rPr>
            </w:pPr>
            <w:r w:rsidRPr="004D46AC">
              <w:rPr>
                <w:rFonts w:eastAsiaTheme="minorEastAsia"/>
              </w:rPr>
              <w:t>94</w:t>
            </w:r>
          </w:p>
        </w:tc>
        <w:tc>
          <w:tcPr>
            <w:tcW w:w="1028" w:type="dxa"/>
            <w:vAlign w:val="center"/>
          </w:tcPr>
          <w:p w14:paraId="2C595524"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7A2416D9"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558D7BB1"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657" w:type="dxa"/>
            <w:vAlign w:val="center"/>
          </w:tcPr>
          <w:p w14:paraId="2FCF0EB1" w14:textId="77777777" w:rsidR="009864DB" w:rsidRPr="004D46AC" w:rsidRDefault="009864DB" w:rsidP="009864DB">
            <w:pPr>
              <w:spacing w:line="240" w:lineRule="auto"/>
              <w:ind w:firstLine="0"/>
              <w:rPr>
                <w:rFonts w:eastAsiaTheme="minorEastAsia"/>
              </w:rPr>
            </w:pPr>
            <w:r w:rsidRPr="004D46AC">
              <w:rPr>
                <w:rFonts w:eastAsiaTheme="minorEastAsia"/>
              </w:rPr>
              <w:t>psychotic</w:t>
            </w:r>
          </w:p>
        </w:tc>
        <w:tc>
          <w:tcPr>
            <w:tcW w:w="1022" w:type="dxa"/>
            <w:vAlign w:val="center"/>
          </w:tcPr>
          <w:p w14:paraId="35736A87" w14:textId="77777777" w:rsidR="009864DB" w:rsidRPr="004D46AC" w:rsidRDefault="009864DB" w:rsidP="009864DB">
            <w:pPr>
              <w:spacing w:line="240" w:lineRule="auto"/>
              <w:ind w:firstLine="0"/>
              <w:rPr>
                <w:rFonts w:eastAsiaTheme="minorEastAsia"/>
              </w:rPr>
            </w:pPr>
            <w:r w:rsidRPr="004D46AC">
              <w:rPr>
                <w:rFonts w:eastAsiaTheme="minorEastAsia"/>
              </w:rPr>
              <w:t>9</w:t>
            </w:r>
          </w:p>
        </w:tc>
      </w:tr>
      <w:tr w:rsidR="009864DB" w:rsidRPr="004D46AC" w14:paraId="4962F7B3" w14:textId="77777777" w:rsidTr="00B518F1">
        <w:trPr>
          <w:trHeight w:val="762"/>
        </w:trPr>
        <w:tc>
          <w:tcPr>
            <w:tcW w:w="1712" w:type="dxa"/>
          </w:tcPr>
          <w:p w14:paraId="1FEEC617"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(Goodwin et al., 2002)</w:t>
            </w:r>
            <w:r w:rsidRPr="004D46AC">
              <w:rPr>
                <w:rFonts w:eastAsiaTheme="minorEastAsia"/>
              </w:rPr>
              <w:fldChar w:fldCharType="end"/>
            </w:r>
          </w:p>
        </w:tc>
        <w:tc>
          <w:tcPr>
            <w:tcW w:w="1194" w:type="dxa"/>
            <w:vAlign w:val="center"/>
          </w:tcPr>
          <w:p w14:paraId="26321AE0"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6B3DD7E4" w14:textId="77777777" w:rsidR="009864DB" w:rsidRPr="004D46AC" w:rsidRDefault="009864DB" w:rsidP="009864DB">
            <w:pPr>
              <w:spacing w:line="240" w:lineRule="auto"/>
              <w:ind w:firstLine="0"/>
              <w:rPr>
                <w:rFonts w:eastAsiaTheme="minorEastAsia"/>
              </w:rPr>
            </w:pPr>
            <w:r w:rsidRPr="004D46AC">
              <w:rPr>
                <w:rFonts w:eastAsiaTheme="minorEastAsia"/>
              </w:rPr>
              <w:t>NA</w:t>
            </w:r>
          </w:p>
        </w:tc>
        <w:tc>
          <w:tcPr>
            <w:tcW w:w="1271" w:type="dxa"/>
            <w:vAlign w:val="center"/>
          </w:tcPr>
          <w:p w14:paraId="3E9041D6" w14:textId="77777777" w:rsidR="009864DB" w:rsidRPr="004D46AC" w:rsidRDefault="009864DB" w:rsidP="009864DB">
            <w:pPr>
              <w:spacing w:line="240" w:lineRule="auto"/>
              <w:ind w:firstLine="0"/>
              <w:rPr>
                <w:rFonts w:eastAsiaTheme="minorEastAsia"/>
              </w:rPr>
            </w:pPr>
            <w:r w:rsidRPr="004D46AC">
              <w:rPr>
                <w:rFonts w:eastAsiaTheme="minorEastAsia"/>
              </w:rPr>
              <w:t>DSM3</w:t>
            </w:r>
          </w:p>
        </w:tc>
        <w:tc>
          <w:tcPr>
            <w:tcW w:w="1944" w:type="dxa"/>
            <w:vAlign w:val="center"/>
          </w:tcPr>
          <w:p w14:paraId="3F3A79E5" w14:textId="77777777" w:rsidR="009864DB" w:rsidRPr="004D46AC" w:rsidRDefault="009864DB" w:rsidP="009864DB">
            <w:pPr>
              <w:spacing w:line="240" w:lineRule="auto"/>
              <w:ind w:firstLine="0"/>
              <w:rPr>
                <w:rFonts w:eastAsiaTheme="minorEastAsia"/>
              </w:rPr>
            </w:pPr>
            <w:r w:rsidRPr="004D46AC">
              <w:rPr>
                <w:rFonts w:eastAsiaTheme="minorEastAsia"/>
              </w:rPr>
              <w:t>SCID</w:t>
            </w:r>
          </w:p>
        </w:tc>
        <w:tc>
          <w:tcPr>
            <w:tcW w:w="1052" w:type="dxa"/>
            <w:vAlign w:val="center"/>
          </w:tcPr>
          <w:p w14:paraId="41632726" w14:textId="77777777" w:rsidR="009864DB" w:rsidRPr="004D46AC" w:rsidRDefault="009864DB" w:rsidP="009864DB">
            <w:pPr>
              <w:spacing w:line="240" w:lineRule="auto"/>
              <w:ind w:firstLine="0"/>
              <w:rPr>
                <w:rFonts w:eastAsiaTheme="minorEastAsia"/>
              </w:rPr>
            </w:pPr>
            <w:r w:rsidRPr="004D46AC">
              <w:rPr>
                <w:rFonts w:eastAsiaTheme="minorEastAsia"/>
              </w:rPr>
              <w:t>33</w:t>
            </w:r>
          </w:p>
        </w:tc>
        <w:tc>
          <w:tcPr>
            <w:tcW w:w="1028" w:type="dxa"/>
            <w:vAlign w:val="center"/>
          </w:tcPr>
          <w:p w14:paraId="13E1B84C"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5567E6C4"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0E0CDF06"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1ED49949"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5D095085" w14:textId="77777777" w:rsidR="009864DB" w:rsidRPr="004D46AC" w:rsidRDefault="009864DB" w:rsidP="009864DB">
            <w:pPr>
              <w:spacing w:line="240" w:lineRule="auto"/>
              <w:ind w:firstLine="0"/>
              <w:rPr>
                <w:rFonts w:eastAsiaTheme="minorEastAsia"/>
              </w:rPr>
            </w:pPr>
            <w:r w:rsidRPr="004D46AC">
              <w:rPr>
                <w:rFonts w:eastAsiaTheme="minorEastAsia"/>
              </w:rPr>
              <w:t>6</w:t>
            </w:r>
          </w:p>
        </w:tc>
      </w:tr>
      <w:tr w:rsidR="009864DB" w:rsidRPr="004D46AC" w14:paraId="1CB210DB" w14:textId="77777777" w:rsidTr="00B518F1">
        <w:trPr>
          <w:trHeight w:val="508"/>
        </w:trPr>
        <w:tc>
          <w:tcPr>
            <w:tcW w:w="1712" w:type="dxa"/>
          </w:tcPr>
          <w:p w14:paraId="74C571C1"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Morgan et al. (2012)</w:t>
            </w:r>
            <w:r w:rsidRPr="004D46AC">
              <w:rPr>
                <w:rFonts w:eastAsiaTheme="minorEastAsia"/>
              </w:rPr>
              <w:fldChar w:fldCharType="end"/>
            </w:r>
          </w:p>
        </w:tc>
        <w:tc>
          <w:tcPr>
            <w:tcW w:w="1194" w:type="dxa"/>
            <w:vAlign w:val="center"/>
          </w:tcPr>
          <w:p w14:paraId="55A9F040"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737299E5" w14:textId="77777777" w:rsidR="009864DB" w:rsidRPr="004D46AC" w:rsidRDefault="009864DB" w:rsidP="009864DB">
            <w:pPr>
              <w:spacing w:line="240" w:lineRule="auto"/>
              <w:ind w:firstLine="0"/>
              <w:rPr>
                <w:rFonts w:eastAsiaTheme="minorEastAsia"/>
              </w:rPr>
            </w:pPr>
            <w:r w:rsidRPr="004D46AC">
              <w:rPr>
                <w:rFonts w:eastAsiaTheme="minorEastAsia"/>
              </w:rPr>
              <w:t>NA</w:t>
            </w:r>
          </w:p>
        </w:tc>
        <w:tc>
          <w:tcPr>
            <w:tcW w:w="1271" w:type="dxa"/>
            <w:vAlign w:val="center"/>
          </w:tcPr>
          <w:p w14:paraId="0E86CD72"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64844D94" w14:textId="77777777" w:rsidR="009864DB" w:rsidRPr="004D46AC" w:rsidRDefault="009864DB" w:rsidP="009864DB">
            <w:pPr>
              <w:spacing w:line="240" w:lineRule="auto"/>
              <w:ind w:firstLine="0"/>
              <w:rPr>
                <w:rFonts w:eastAsiaTheme="minorEastAsia"/>
              </w:rPr>
            </w:pPr>
            <w:r w:rsidRPr="004D46AC">
              <w:rPr>
                <w:rFonts w:eastAsiaTheme="minorEastAsia"/>
              </w:rPr>
              <w:t>SCID-P</w:t>
            </w:r>
          </w:p>
        </w:tc>
        <w:tc>
          <w:tcPr>
            <w:tcW w:w="1052" w:type="dxa"/>
            <w:vAlign w:val="center"/>
          </w:tcPr>
          <w:p w14:paraId="42A10553" w14:textId="77777777" w:rsidR="009864DB" w:rsidRPr="004D46AC" w:rsidRDefault="009864DB" w:rsidP="009864DB">
            <w:pPr>
              <w:spacing w:line="240" w:lineRule="auto"/>
              <w:ind w:firstLine="0"/>
              <w:rPr>
                <w:rFonts w:eastAsiaTheme="minorEastAsia"/>
              </w:rPr>
            </w:pPr>
            <w:r w:rsidRPr="004D46AC">
              <w:rPr>
                <w:rFonts w:eastAsiaTheme="minorEastAsia"/>
              </w:rPr>
              <w:t>231</w:t>
            </w:r>
          </w:p>
        </w:tc>
        <w:tc>
          <w:tcPr>
            <w:tcW w:w="1028" w:type="dxa"/>
            <w:vAlign w:val="center"/>
          </w:tcPr>
          <w:p w14:paraId="365623D5"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21A984B0"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7F541366"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57792A7D"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sca</w:t>
            </w:r>
            <w:proofErr w:type="spellEnd"/>
          </w:p>
        </w:tc>
        <w:tc>
          <w:tcPr>
            <w:tcW w:w="1022" w:type="dxa"/>
            <w:vAlign w:val="center"/>
          </w:tcPr>
          <w:p w14:paraId="5E5FCFC1" w14:textId="77777777" w:rsidR="009864DB" w:rsidRPr="004D46AC" w:rsidRDefault="009864DB" w:rsidP="009864DB">
            <w:pPr>
              <w:spacing w:line="240" w:lineRule="auto"/>
              <w:ind w:firstLine="0"/>
              <w:rPr>
                <w:rFonts w:eastAsiaTheme="minorEastAsia"/>
              </w:rPr>
            </w:pPr>
            <w:r w:rsidRPr="004D46AC">
              <w:rPr>
                <w:rFonts w:eastAsiaTheme="minorEastAsia"/>
              </w:rPr>
              <w:t>8</w:t>
            </w:r>
          </w:p>
        </w:tc>
      </w:tr>
      <w:tr w:rsidR="009864DB" w:rsidRPr="004D46AC" w14:paraId="232DCB98" w14:textId="77777777" w:rsidTr="00B518F1">
        <w:trPr>
          <w:trHeight w:val="293"/>
        </w:trPr>
        <w:tc>
          <w:tcPr>
            <w:tcW w:w="1712" w:type="dxa"/>
          </w:tcPr>
          <w:p w14:paraId="763D710E" w14:textId="77777777" w:rsidR="009864DB" w:rsidRPr="004D46AC" w:rsidRDefault="009864DB" w:rsidP="009864DB">
            <w:pPr>
              <w:spacing w:line="240" w:lineRule="auto"/>
              <w:ind w:firstLine="0"/>
              <w:rPr>
                <w:rFonts w:eastAsiaTheme="minorEastAsia"/>
              </w:rPr>
            </w:pPr>
            <w:r w:rsidRPr="004D46AC">
              <w:rPr>
                <w:rFonts w:eastAsiaTheme="minorEastAsia"/>
              </w:rPr>
              <w:t xml:space="preserve">Lev-Ran et al. (2013) </w:t>
            </w:r>
          </w:p>
        </w:tc>
        <w:tc>
          <w:tcPr>
            <w:tcW w:w="1194" w:type="dxa"/>
            <w:vAlign w:val="center"/>
          </w:tcPr>
          <w:p w14:paraId="2E271B93" w14:textId="77777777" w:rsidR="009864DB" w:rsidRPr="004D46AC" w:rsidRDefault="009864DB" w:rsidP="009864DB">
            <w:pPr>
              <w:spacing w:line="240" w:lineRule="auto"/>
              <w:ind w:firstLine="0"/>
              <w:rPr>
                <w:rFonts w:eastAsiaTheme="minorEastAsia"/>
              </w:rPr>
            </w:pPr>
            <w:r w:rsidRPr="004D46AC">
              <w:rPr>
                <w:rFonts w:eastAsiaTheme="minorEastAsia"/>
              </w:rPr>
              <w:t>7</w:t>
            </w:r>
          </w:p>
        </w:tc>
        <w:tc>
          <w:tcPr>
            <w:tcW w:w="1120" w:type="dxa"/>
            <w:vAlign w:val="center"/>
          </w:tcPr>
          <w:p w14:paraId="2D59A90D" w14:textId="77777777" w:rsidR="009864DB" w:rsidRPr="004D46AC" w:rsidRDefault="009864DB" w:rsidP="009864DB">
            <w:pPr>
              <w:spacing w:line="240" w:lineRule="auto"/>
              <w:ind w:firstLine="0"/>
              <w:rPr>
                <w:rFonts w:eastAsiaTheme="minorEastAsia"/>
              </w:rPr>
            </w:pPr>
            <w:r w:rsidRPr="004D46AC">
              <w:rPr>
                <w:rFonts w:eastAsiaTheme="minorEastAsia"/>
              </w:rPr>
              <w:t>NA</w:t>
            </w:r>
          </w:p>
        </w:tc>
        <w:tc>
          <w:tcPr>
            <w:tcW w:w="1271" w:type="dxa"/>
            <w:vAlign w:val="center"/>
          </w:tcPr>
          <w:p w14:paraId="63B7189C"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0237FE0E"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391A0959" w14:textId="77777777" w:rsidR="009864DB" w:rsidRPr="004D46AC" w:rsidRDefault="009864DB" w:rsidP="009864DB">
            <w:pPr>
              <w:spacing w:line="240" w:lineRule="auto"/>
              <w:ind w:firstLine="0"/>
              <w:rPr>
                <w:rFonts w:eastAsiaTheme="minorEastAsia"/>
              </w:rPr>
            </w:pPr>
            <w:r w:rsidRPr="004D46AC">
              <w:rPr>
                <w:rFonts w:eastAsiaTheme="minorEastAsia"/>
              </w:rPr>
              <w:t>1905</w:t>
            </w:r>
          </w:p>
        </w:tc>
        <w:tc>
          <w:tcPr>
            <w:tcW w:w="1028" w:type="dxa"/>
            <w:vAlign w:val="center"/>
          </w:tcPr>
          <w:p w14:paraId="36E55FE5"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189CA664"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4CA807C5"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653EE84E" w14:textId="77777777" w:rsidR="009864DB" w:rsidRPr="004D46AC" w:rsidRDefault="009864DB" w:rsidP="009864DB">
            <w:pPr>
              <w:spacing w:line="240" w:lineRule="auto"/>
              <w:ind w:firstLine="0"/>
              <w:rPr>
                <w:rFonts w:eastAsiaTheme="minorEastAsia"/>
              </w:rPr>
            </w:pPr>
            <w:r w:rsidRPr="004D46AC">
              <w:rPr>
                <w:rFonts w:eastAsiaTheme="minorEastAsia"/>
              </w:rPr>
              <w:t>psychotic</w:t>
            </w:r>
          </w:p>
        </w:tc>
        <w:tc>
          <w:tcPr>
            <w:tcW w:w="1022" w:type="dxa"/>
            <w:vAlign w:val="center"/>
          </w:tcPr>
          <w:p w14:paraId="3962ED13" w14:textId="77777777" w:rsidR="009864DB" w:rsidRPr="004D46AC" w:rsidRDefault="009864DB" w:rsidP="009864DB">
            <w:pPr>
              <w:spacing w:line="240" w:lineRule="auto"/>
              <w:ind w:firstLine="0"/>
              <w:rPr>
                <w:rFonts w:eastAsiaTheme="minorEastAsia"/>
              </w:rPr>
            </w:pPr>
            <w:r w:rsidRPr="004D46AC">
              <w:rPr>
                <w:rFonts w:eastAsiaTheme="minorEastAsia"/>
              </w:rPr>
              <w:t>63</w:t>
            </w:r>
          </w:p>
        </w:tc>
      </w:tr>
      <w:tr w:rsidR="009864DB" w:rsidRPr="004D46AC" w14:paraId="414C6DED" w14:textId="77777777" w:rsidTr="00B518F1">
        <w:trPr>
          <w:trHeight w:val="144"/>
        </w:trPr>
        <w:tc>
          <w:tcPr>
            <w:tcW w:w="1712" w:type="dxa"/>
          </w:tcPr>
          <w:p w14:paraId="2EE849F5" w14:textId="77777777" w:rsidR="009864DB" w:rsidRPr="004D46AC" w:rsidRDefault="009864DB" w:rsidP="009864DB">
            <w:pPr>
              <w:spacing w:line="240" w:lineRule="auto"/>
              <w:ind w:firstLine="0"/>
              <w:rPr>
                <w:rFonts w:eastAsiaTheme="minorEastAsia"/>
              </w:rPr>
            </w:pPr>
            <w:r w:rsidRPr="004D46AC">
              <w:rPr>
                <w:rFonts w:eastAsiaTheme="minorEastAsia"/>
              </w:rPr>
              <w:t>Allardyce et al. (2018);</w:t>
            </w:r>
          </w:p>
        </w:tc>
        <w:tc>
          <w:tcPr>
            <w:tcW w:w="1194" w:type="dxa"/>
            <w:vAlign w:val="center"/>
          </w:tcPr>
          <w:p w14:paraId="2069F746"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1C4005E8" w14:textId="77777777" w:rsidR="009864DB" w:rsidRPr="004D46AC" w:rsidRDefault="009864DB" w:rsidP="009864DB">
            <w:pPr>
              <w:spacing w:line="240" w:lineRule="auto"/>
              <w:ind w:firstLine="0"/>
              <w:rPr>
                <w:rFonts w:eastAsiaTheme="minorEastAsia"/>
              </w:rPr>
            </w:pPr>
            <w:r w:rsidRPr="004D46AC">
              <w:rPr>
                <w:rFonts w:eastAsiaTheme="minorEastAsia"/>
              </w:rPr>
              <w:t>46</w:t>
            </w:r>
          </w:p>
        </w:tc>
        <w:tc>
          <w:tcPr>
            <w:tcW w:w="1271" w:type="dxa"/>
            <w:vAlign w:val="center"/>
          </w:tcPr>
          <w:p w14:paraId="5F2F6813" w14:textId="77777777" w:rsidR="009864DB" w:rsidRPr="004D46AC" w:rsidRDefault="009864DB" w:rsidP="009864DB">
            <w:pPr>
              <w:spacing w:line="240" w:lineRule="auto"/>
              <w:ind w:firstLine="0"/>
              <w:rPr>
                <w:rFonts w:eastAsiaTheme="minorEastAsia"/>
              </w:rPr>
            </w:pPr>
            <w:r w:rsidRPr="004D46AC">
              <w:rPr>
                <w:rFonts w:eastAsiaTheme="minorEastAsia"/>
              </w:rPr>
              <w:t>RDC</w:t>
            </w:r>
          </w:p>
        </w:tc>
        <w:tc>
          <w:tcPr>
            <w:tcW w:w="1944" w:type="dxa"/>
            <w:vAlign w:val="center"/>
          </w:tcPr>
          <w:p w14:paraId="38B89617" w14:textId="77777777" w:rsidR="009864DB" w:rsidRPr="004D46AC" w:rsidRDefault="009864DB" w:rsidP="009864DB">
            <w:pPr>
              <w:spacing w:line="240" w:lineRule="auto"/>
              <w:ind w:firstLine="0"/>
              <w:rPr>
                <w:rFonts w:eastAsiaTheme="minorEastAsia"/>
              </w:rPr>
            </w:pPr>
            <w:r w:rsidRPr="004D46AC">
              <w:rPr>
                <w:rFonts w:eastAsiaTheme="minorEastAsia"/>
              </w:rPr>
              <w:t>SCAN</w:t>
            </w:r>
          </w:p>
        </w:tc>
        <w:tc>
          <w:tcPr>
            <w:tcW w:w="1052" w:type="dxa"/>
            <w:vAlign w:val="center"/>
          </w:tcPr>
          <w:p w14:paraId="1C62CD7E" w14:textId="77777777" w:rsidR="009864DB" w:rsidRPr="004D46AC" w:rsidRDefault="009864DB" w:rsidP="009864DB">
            <w:pPr>
              <w:spacing w:line="240" w:lineRule="auto"/>
              <w:ind w:firstLine="0"/>
              <w:rPr>
                <w:rFonts w:eastAsiaTheme="minorEastAsia"/>
              </w:rPr>
            </w:pPr>
            <w:r w:rsidRPr="004D46AC">
              <w:rPr>
                <w:rFonts w:eastAsiaTheme="minorEastAsia"/>
              </w:rPr>
              <w:t>4339</w:t>
            </w:r>
          </w:p>
        </w:tc>
        <w:tc>
          <w:tcPr>
            <w:tcW w:w="1028" w:type="dxa"/>
            <w:vAlign w:val="center"/>
          </w:tcPr>
          <w:p w14:paraId="15722C26"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58146B52"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22660780"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3F3A83C1"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sca</w:t>
            </w:r>
            <w:proofErr w:type="spellEnd"/>
          </w:p>
        </w:tc>
        <w:tc>
          <w:tcPr>
            <w:tcW w:w="1022" w:type="dxa"/>
            <w:vAlign w:val="center"/>
          </w:tcPr>
          <w:p w14:paraId="42DD5D2D" w14:textId="77777777" w:rsidR="009864DB" w:rsidRPr="004D46AC" w:rsidRDefault="009864DB" w:rsidP="009864DB">
            <w:pPr>
              <w:spacing w:line="240" w:lineRule="auto"/>
              <w:ind w:firstLine="0"/>
              <w:rPr>
                <w:rFonts w:eastAsiaTheme="minorEastAsia"/>
              </w:rPr>
            </w:pPr>
            <w:r w:rsidRPr="004D46AC">
              <w:rPr>
                <w:rFonts w:eastAsiaTheme="minorEastAsia"/>
              </w:rPr>
              <w:t>356</w:t>
            </w:r>
          </w:p>
        </w:tc>
      </w:tr>
      <w:tr w:rsidR="009864DB" w:rsidRPr="004D46AC" w14:paraId="112B22A9" w14:textId="77777777" w:rsidTr="00B518F1">
        <w:trPr>
          <w:trHeight w:val="144"/>
        </w:trPr>
        <w:tc>
          <w:tcPr>
            <w:tcW w:w="1712" w:type="dxa"/>
          </w:tcPr>
          <w:p w14:paraId="2C21EA20"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Kupfer et al. (2005); Niitsu et al. (2015)</w:t>
            </w:r>
            <w:r w:rsidRPr="004D46AC">
              <w:rPr>
                <w:rFonts w:eastAsiaTheme="minorEastAsia"/>
              </w:rPr>
              <w:fldChar w:fldCharType="end"/>
            </w:r>
          </w:p>
        </w:tc>
        <w:tc>
          <w:tcPr>
            <w:tcW w:w="1194" w:type="dxa"/>
            <w:vAlign w:val="center"/>
          </w:tcPr>
          <w:p w14:paraId="2C1F9CFA"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53D5E402" w14:textId="77777777" w:rsidR="009864DB" w:rsidRPr="004D46AC" w:rsidRDefault="009864DB" w:rsidP="009864DB">
            <w:pPr>
              <w:spacing w:line="240" w:lineRule="auto"/>
              <w:ind w:firstLine="0"/>
              <w:rPr>
                <w:rFonts w:eastAsiaTheme="minorEastAsia"/>
              </w:rPr>
            </w:pPr>
            <w:r w:rsidRPr="004D46AC">
              <w:rPr>
                <w:rFonts w:eastAsiaTheme="minorEastAsia"/>
              </w:rPr>
              <w:t>40.78</w:t>
            </w:r>
          </w:p>
        </w:tc>
        <w:tc>
          <w:tcPr>
            <w:tcW w:w="1271" w:type="dxa"/>
            <w:vAlign w:val="center"/>
          </w:tcPr>
          <w:p w14:paraId="4F98FB9D"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3AF99C8A" w14:textId="77777777" w:rsidR="009864DB" w:rsidRPr="004D46AC" w:rsidRDefault="009864DB" w:rsidP="009864DB">
            <w:pPr>
              <w:spacing w:line="240" w:lineRule="auto"/>
              <w:ind w:firstLine="0"/>
              <w:rPr>
                <w:rFonts w:eastAsiaTheme="minorEastAsia"/>
              </w:rPr>
            </w:pPr>
            <w:r w:rsidRPr="004D46AC">
              <w:rPr>
                <w:rFonts w:eastAsiaTheme="minorEastAsia"/>
              </w:rPr>
              <w:t>SCID</w:t>
            </w:r>
          </w:p>
        </w:tc>
        <w:tc>
          <w:tcPr>
            <w:tcW w:w="1052" w:type="dxa"/>
            <w:vAlign w:val="center"/>
          </w:tcPr>
          <w:p w14:paraId="14F72032" w14:textId="77777777" w:rsidR="009864DB" w:rsidRPr="004D46AC" w:rsidRDefault="009864DB" w:rsidP="009864DB">
            <w:pPr>
              <w:spacing w:line="240" w:lineRule="auto"/>
              <w:ind w:firstLine="0"/>
              <w:rPr>
                <w:rFonts w:eastAsiaTheme="minorEastAsia"/>
              </w:rPr>
            </w:pPr>
            <w:r w:rsidRPr="004D46AC">
              <w:rPr>
                <w:rFonts w:eastAsiaTheme="minorEastAsia"/>
              </w:rPr>
              <w:t>2718</w:t>
            </w:r>
          </w:p>
        </w:tc>
        <w:tc>
          <w:tcPr>
            <w:tcW w:w="1028" w:type="dxa"/>
            <w:vAlign w:val="center"/>
          </w:tcPr>
          <w:p w14:paraId="679ACB45"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3874FD3E"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7B2411EE"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31D0D292"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sca</w:t>
            </w:r>
            <w:proofErr w:type="spellEnd"/>
          </w:p>
        </w:tc>
        <w:tc>
          <w:tcPr>
            <w:tcW w:w="1022" w:type="dxa"/>
            <w:vAlign w:val="center"/>
          </w:tcPr>
          <w:p w14:paraId="332AEF4D" w14:textId="77777777" w:rsidR="009864DB" w:rsidRPr="004D46AC" w:rsidRDefault="009864DB" w:rsidP="009864DB">
            <w:pPr>
              <w:spacing w:line="240" w:lineRule="auto"/>
              <w:ind w:firstLine="0"/>
              <w:rPr>
                <w:rFonts w:eastAsiaTheme="minorEastAsia"/>
              </w:rPr>
            </w:pPr>
            <w:r w:rsidRPr="004D46AC">
              <w:rPr>
                <w:rFonts w:eastAsiaTheme="minorEastAsia"/>
              </w:rPr>
              <w:t>248</w:t>
            </w:r>
          </w:p>
        </w:tc>
      </w:tr>
      <w:tr w:rsidR="009864DB" w:rsidRPr="004D46AC" w14:paraId="205F7F02" w14:textId="77777777" w:rsidTr="00B518F1">
        <w:trPr>
          <w:trHeight w:val="144"/>
        </w:trPr>
        <w:tc>
          <w:tcPr>
            <w:tcW w:w="1712" w:type="dxa"/>
          </w:tcPr>
          <w:p w14:paraId="3EDD5E06"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AuthorYear="1"&gt;&lt;Author&gt;Okasha&lt;/Author&gt;&lt;Year&gt;2023&lt;/Year&gt;&lt;RecNum&gt;212&lt;/RecNum&gt;&lt;DisplayText&gt;Okasha et al. (2023)&lt;/DisplayText&gt;&lt;record&gt;&lt;rec-number&gt;212&lt;/rec-number&gt;&lt;foreign-keys&gt;&lt;key app="EN" db-id="aet009sstawa0hewvt3xwf5atffdw2dt02sw" timestamp="1665996316"&gt;212&lt;/key&gt;&lt;/foreign-keys&gt;&lt;ref-type name="Journal Article"&gt;17&lt;/ref-type&gt;&lt;contributors&gt;&lt;authors&gt;&lt;author&gt;Okasha, T. A.&lt;/author&gt;&lt;author&gt;Abdel Maksoud, M.&lt;/author&gt;&lt;author&gt;Moneum, D. M. A.&lt;/author&gt;&lt;author&gt;Hegazy Ali, D.&lt;/author&gt;&lt;/authors&gt;&lt;/contributors&gt;&lt;auth-address&gt;Okasha Institute of Psychiatry, Faculty of Medicine, Ain Shams University, Cairo, Egypt.&lt;/auth-address&gt;&lt;titles&gt;&lt;title&gt;Management challenges and choices in patients with bipolar disorder: An Egyptian observational study&lt;/title&gt;&lt;secondary-title&gt;Int J Soc Psychiatry&lt;/secondary-title&gt;&lt;/titles&gt;&lt;periodical&gt;&lt;full-title&gt;Int J Soc Psychiatry&lt;/full-title&gt;&lt;/periodical&gt;&lt;pages&gt;370-377&lt;/pages&gt;&lt;volume&gt;69&lt;/volume&gt;&lt;number&gt;2&lt;/number&gt;&lt;edition&gt;20220504&lt;/edition&gt;&lt;keywords&gt;&lt;keyword&gt;Male&lt;/keyword&gt;&lt;keyword&gt;Female&lt;/keyword&gt;&lt;keyword&gt;Humans&lt;/keyword&gt;&lt;keyword&gt;*Bipolar Disorder/psychology&lt;/keyword&gt;&lt;keyword&gt;*Depressive Disorder, Major&lt;/keyword&gt;&lt;keyword&gt;Egypt&lt;/keyword&gt;&lt;keyword&gt;*Antipsychotic Agents/therapeutic use&lt;/keyword&gt;&lt;keyword&gt;*Psychotic Disorders&lt;/keyword&gt;&lt;keyword&gt;Diagnostic and Statistical Manual of Mental Disorders&lt;/keyword&gt;&lt;keyword&gt;Bipolar disorder&lt;/keyword&gt;&lt;keyword&gt;Egyptian patients&lt;/keyword&gt;&lt;keyword&gt;Management in bipolar disorder&lt;/keyword&gt;&lt;keyword&gt;observational study&lt;/keyword&gt;&lt;/keywords&gt;&lt;dates&gt;&lt;year&gt;2023&lt;/year&gt;&lt;pub-dates&gt;&lt;date&gt;Mar&lt;/date&gt;&lt;/pub-dates&gt;&lt;/dates&gt;&lt;isbn&gt;1741-2854 (Electronic)&amp;#xD;0020-7640 (Linking)&lt;/isbn&gt;&lt;accession-num&gt;35506634&lt;/accession-num&gt;&lt;urls&gt;&lt;related-urls&gt;&lt;url&gt;https://www.ncbi.nlm.nih.gov/pubmed/35506634&lt;/url&gt;&lt;/related-urls&gt;&lt;/urls&gt;&lt;electronic-resource-num&gt;10.1177/00207640221092707&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Okasha et al. (2023)</w:t>
            </w:r>
            <w:r w:rsidRPr="004D46AC">
              <w:rPr>
                <w:rFonts w:eastAsiaTheme="minorEastAsia"/>
              </w:rPr>
              <w:fldChar w:fldCharType="end"/>
            </w:r>
          </w:p>
        </w:tc>
        <w:tc>
          <w:tcPr>
            <w:tcW w:w="1194" w:type="dxa"/>
            <w:vAlign w:val="center"/>
          </w:tcPr>
          <w:p w14:paraId="4D6CE199" w14:textId="77777777" w:rsidR="009864DB" w:rsidRPr="004D46AC" w:rsidRDefault="009864DB" w:rsidP="009864DB">
            <w:pPr>
              <w:spacing w:line="240" w:lineRule="auto"/>
              <w:ind w:firstLine="0"/>
              <w:rPr>
                <w:rFonts w:eastAsiaTheme="minorEastAsia"/>
              </w:rPr>
            </w:pPr>
            <w:r w:rsidRPr="004D46AC">
              <w:rPr>
                <w:rFonts w:eastAsiaTheme="minorEastAsia"/>
              </w:rPr>
              <w:t>8</w:t>
            </w:r>
          </w:p>
        </w:tc>
        <w:tc>
          <w:tcPr>
            <w:tcW w:w="1120" w:type="dxa"/>
            <w:vAlign w:val="center"/>
          </w:tcPr>
          <w:p w14:paraId="6517871E" w14:textId="77777777" w:rsidR="009864DB" w:rsidRPr="004D46AC" w:rsidRDefault="009864DB" w:rsidP="009864DB">
            <w:pPr>
              <w:spacing w:line="240" w:lineRule="auto"/>
              <w:ind w:firstLine="0"/>
              <w:rPr>
                <w:rFonts w:eastAsiaTheme="minorEastAsia"/>
              </w:rPr>
            </w:pPr>
            <w:r w:rsidRPr="004D46AC">
              <w:rPr>
                <w:rFonts w:eastAsiaTheme="minorEastAsia"/>
              </w:rPr>
              <w:t>34.4</w:t>
            </w:r>
          </w:p>
        </w:tc>
        <w:tc>
          <w:tcPr>
            <w:tcW w:w="1271" w:type="dxa"/>
            <w:vAlign w:val="center"/>
          </w:tcPr>
          <w:p w14:paraId="52A77040"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7C8A25BB" w14:textId="77777777" w:rsidR="009864DB" w:rsidRPr="004D46AC" w:rsidRDefault="009864DB" w:rsidP="009864DB">
            <w:pPr>
              <w:spacing w:line="240" w:lineRule="auto"/>
              <w:ind w:firstLine="0"/>
              <w:rPr>
                <w:rFonts w:eastAsiaTheme="minorEastAsia"/>
              </w:rPr>
            </w:pPr>
            <w:r w:rsidRPr="004D46AC">
              <w:rPr>
                <w:rFonts w:eastAsiaTheme="minorEastAsia"/>
              </w:rPr>
              <w:t>SCID</w:t>
            </w:r>
          </w:p>
        </w:tc>
        <w:tc>
          <w:tcPr>
            <w:tcW w:w="1052" w:type="dxa"/>
            <w:vAlign w:val="center"/>
          </w:tcPr>
          <w:p w14:paraId="5AD67902" w14:textId="77777777" w:rsidR="009864DB" w:rsidRPr="004D46AC" w:rsidRDefault="009864DB" w:rsidP="009864DB">
            <w:pPr>
              <w:spacing w:line="240" w:lineRule="auto"/>
              <w:ind w:firstLine="0"/>
              <w:rPr>
                <w:rFonts w:eastAsiaTheme="minorEastAsia"/>
              </w:rPr>
            </w:pPr>
            <w:r w:rsidRPr="004D46AC">
              <w:rPr>
                <w:rFonts w:eastAsiaTheme="minorEastAsia"/>
              </w:rPr>
              <w:t>300</w:t>
            </w:r>
          </w:p>
        </w:tc>
        <w:tc>
          <w:tcPr>
            <w:tcW w:w="1028" w:type="dxa"/>
            <w:vAlign w:val="center"/>
          </w:tcPr>
          <w:p w14:paraId="70ED2827"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552A459F"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51BDBC81"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657" w:type="dxa"/>
            <w:vAlign w:val="center"/>
          </w:tcPr>
          <w:p w14:paraId="76F56F3C"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40B950DA" w14:textId="77777777" w:rsidR="009864DB" w:rsidRPr="004D46AC" w:rsidRDefault="009864DB" w:rsidP="009864DB">
            <w:pPr>
              <w:spacing w:line="240" w:lineRule="auto"/>
              <w:ind w:firstLine="0"/>
              <w:rPr>
                <w:rFonts w:eastAsiaTheme="minorEastAsia"/>
              </w:rPr>
            </w:pPr>
            <w:r w:rsidRPr="004D46AC">
              <w:rPr>
                <w:rFonts w:eastAsiaTheme="minorEastAsia"/>
              </w:rPr>
              <w:t>22</w:t>
            </w:r>
          </w:p>
        </w:tc>
      </w:tr>
      <w:tr w:rsidR="009864DB" w:rsidRPr="004D46AC" w14:paraId="40F09C46" w14:textId="77777777" w:rsidTr="00B518F1">
        <w:trPr>
          <w:trHeight w:val="144"/>
        </w:trPr>
        <w:tc>
          <w:tcPr>
            <w:tcW w:w="1712" w:type="dxa"/>
          </w:tcPr>
          <w:p w14:paraId="0A9831F7"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Ng et al. (2021)</w:t>
            </w:r>
            <w:r w:rsidRPr="004D46AC">
              <w:rPr>
                <w:rFonts w:eastAsiaTheme="minorEastAsia"/>
              </w:rPr>
              <w:fldChar w:fldCharType="end"/>
            </w:r>
          </w:p>
        </w:tc>
        <w:tc>
          <w:tcPr>
            <w:tcW w:w="1194" w:type="dxa"/>
            <w:vAlign w:val="center"/>
          </w:tcPr>
          <w:p w14:paraId="0BC19A17"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1D41112A" w14:textId="77777777" w:rsidR="009864DB" w:rsidRPr="004D46AC" w:rsidRDefault="009864DB" w:rsidP="009864DB">
            <w:pPr>
              <w:spacing w:line="240" w:lineRule="auto"/>
              <w:ind w:firstLine="0"/>
              <w:rPr>
                <w:rFonts w:eastAsiaTheme="minorEastAsia"/>
              </w:rPr>
            </w:pPr>
            <w:r w:rsidRPr="004D46AC">
              <w:rPr>
                <w:rFonts w:eastAsiaTheme="minorEastAsia"/>
              </w:rPr>
              <w:t>NA</w:t>
            </w:r>
          </w:p>
        </w:tc>
        <w:tc>
          <w:tcPr>
            <w:tcW w:w="1271" w:type="dxa"/>
            <w:vAlign w:val="center"/>
          </w:tcPr>
          <w:p w14:paraId="643C438F" w14:textId="77777777" w:rsidR="009864DB" w:rsidRPr="004D46AC" w:rsidRDefault="009864DB" w:rsidP="009864DB">
            <w:pPr>
              <w:spacing w:line="240" w:lineRule="auto"/>
              <w:ind w:firstLine="0"/>
              <w:rPr>
                <w:rFonts w:eastAsiaTheme="minorEastAsia"/>
              </w:rPr>
            </w:pPr>
            <w:r w:rsidRPr="004D46AC">
              <w:rPr>
                <w:rFonts w:eastAsiaTheme="minorEastAsia"/>
              </w:rPr>
              <w:t>ICD9</w:t>
            </w:r>
          </w:p>
        </w:tc>
        <w:tc>
          <w:tcPr>
            <w:tcW w:w="1944" w:type="dxa"/>
            <w:vAlign w:val="center"/>
          </w:tcPr>
          <w:p w14:paraId="76F8B3D7"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3E1838B7" w14:textId="77777777" w:rsidR="009864DB" w:rsidRPr="004D46AC" w:rsidRDefault="009864DB" w:rsidP="009864DB">
            <w:pPr>
              <w:spacing w:line="240" w:lineRule="auto"/>
              <w:ind w:firstLine="0"/>
              <w:rPr>
                <w:rFonts w:eastAsiaTheme="minorEastAsia"/>
              </w:rPr>
            </w:pPr>
            <w:r w:rsidRPr="004D46AC">
              <w:rPr>
                <w:rFonts w:eastAsiaTheme="minorEastAsia"/>
              </w:rPr>
              <w:t>53434</w:t>
            </w:r>
          </w:p>
        </w:tc>
        <w:tc>
          <w:tcPr>
            <w:tcW w:w="1028" w:type="dxa"/>
            <w:vAlign w:val="center"/>
          </w:tcPr>
          <w:p w14:paraId="424496D4"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5C5B0E64"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2C440831"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48FB0EED"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62786CBE" w14:textId="77777777" w:rsidR="009864DB" w:rsidRPr="004D46AC" w:rsidRDefault="009864DB" w:rsidP="009864DB">
            <w:pPr>
              <w:spacing w:line="240" w:lineRule="auto"/>
              <w:ind w:firstLine="0"/>
              <w:rPr>
                <w:rFonts w:eastAsiaTheme="minorEastAsia"/>
              </w:rPr>
            </w:pPr>
            <w:r w:rsidRPr="004D46AC">
              <w:rPr>
                <w:rFonts w:eastAsiaTheme="minorEastAsia"/>
              </w:rPr>
              <w:t>7844</w:t>
            </w:r>
          </w:p>
        </w:tc>
      </w:tr>
      <w:tr w:rsidR="009864DB" w:rsidRPr="004D46AC" w14:paraId="52499EB7" w14:textId="77777777" w:rsidTr="00B518F1">
        <w:trPr>
          <w:trHeight w:val="144"/>
        </w:trPr>
        <w:tc>
          <w:tcPr>
            <w:tcW w:w="1712" w:type="dxa"/>
          </w:tcPr>
          <w:p w14:paraId="69A80ECE" w14:textId="77777777" w:rsidR="009864DB" w:rsidRPr="004D46AC" w:rsidRDefault="009864DB" w:rsidP="009864DB">
            <w:pPr>
              <w:spacing w:line="240" w:lineRule="auto"/>
              <w:ind w:firstLine="0"/>
              <w:rPr>
                <w:rFonts w:eastAsiaTheme="minorEastAsia"/>
              </w:rPr>
            </w:pPr>
            <w:r w:rsidRPr="004D46AC">
              <w:rPr>
                <w:rFonts w:eastAsiaTheme="minorEastAsia"/>
              </w:rPr>
              <w:lastRenderedPageBreak/>
              <w:t>Almeida et al. (2019);</w:t>
            </w:r>
          </w:p>
        </w:tc>
        <w:tc>
          <w:tcPr>
            <w:tcW w:w="1194" w:type="dxa"/>
            <w:vAlign w:val="center"/>
          </w:tcPr>
          <w:p w14:paraId="6F4CEBD2"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74FFC235" w14:textId="77777777" w:rsidR="009864DB" w:rsidRPr="004D46AC" w:rsidRDefault="009864DB" w:rsidP="009864DB">
            <w:pPr>
              <w:spacing w:line="240" w:lineRule="auto"/>
              <w:ind w:firstLine="0"/>
              <w:rPr>
                <w:rFonts w:eastAsiaTheme="minorEastAsia"/>
              </w:rPr>
            </w:pPr>
            <w:r w:rsidRPr="004D46AC">
              <w:rPr>
                <w:rFonts w:eastAsiaTheme="minorEastAsia"/>
              </w:rPr>
              <w:t>72.5</w:t>
            </w:r>
          </w:p>
        </w:tc>
        <w:tc>
          <w:tcPr>
            <w:tcW w:w="1271" w:type="dxa"/>
            <w:vAlign w:val="center"/>
          </w:tcPr>
          <w:p w14:paraId="12CA7340" w14:textId="77777777" w:rsidR="009864DB" w:rsidRPr="004D46AC" w:rsidRDefault="009864DB" w:rsidP="009864DB">
            <w:pPr>
              <w:spacing w:line="240" w:lineRule="auto"/>
              <w:ind w:firstLine="0"/>
              <w:rPr>
                <w:rFonts w:eastAsiaTheme="minorEastAsia"/>
              </w:rPr>
            </w:pPr>
            <w:r w:rsidRPr="004D46AC">
              <w:rPr>
                <w:rFonts w:eastAsiaTheme="minorEastAsia"/>
              </w:rPr>
              <w:t>ICD</w:t>
            </w:r>
          </w:p>
        </w:tc>
        <w:tc>
          <w:tcPr>
            <w:tcW w:w="1944" w:type="dxa"/>
            <w:vAlign w:val="center"/>
          </w:tcPr>
          <w:p w14:paraId="7BB42BCC"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4A01313D" w14:textId="77777777" w:rsidR="009864DB" w:rsidRPr="004D46AC" w:rsidRDefault="009864DB" w:rsidP="009864DB">
            <w:pPr>
              <w:spacing w:line="240" w:lineRule="auto"/>
              <w:ind w:firstLine="0"/>
              <w:rPr>
                <w:rFonts w:eastAsiaTheme="minorEastAsia"/>
              </w:rPr>
            </w:pPr>
            <w:r w:rsidRPr="004D46AC">
              <w:rPr>
                <w:rFonts w:eastAsiaTheme="minorEastAsia"/>
              </w:rPr>
              <w:t>302</w:t>
            </w:r>
          </w:p>
        </w:tc>
        <w:tc>
          <w:tcPr>
            <w:tcW w:w="1028" w:type="dxa"/>
            <w:vAlign w:val="center"/>
          </w:tcPr>
          <w:p w14:paraId="2ACABC04"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3E9BAA8A"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022" w:type="dxa"/>
            <w:vAlign w:val="center"/>
          </w:tcPr>
          <w:p w14:paraId="74EA35BD"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657" w:type="dxa"/>
            <w:vAlign w:val="center"/>
          </w:tcPr>
          <w:p w14:paraId="581C8A0C" w14:textId="77777777" w:rsidR="009864DB" w:rsidRPr="004D46AC" w:rsidRDefault="009864DB" w:rsidP="009864DB">
            <w:pPr>
              <w:spacing w:line="240" w:lineRule="auto"/>
              <w:ind w:firstLine="0"/>
              <w:rPr>
                <w:rFonts w:eastAsiaTheme="minorEastAsia"/>
              </w:rPr>
            </w:pPr>
            <w:r w:rsidRPr="004D46AC">
              <w:rPr>
                <w:rFonts w:eastAsiaTheme="minorEastAsia"/>
              </w:rPr>
              <w:t>psychotic</w:t>
            </w:r>
          </w:p>
        </w:tc>
        <w:tc>
          <w:tcPr>
            <w:tcW w:w="1022" w:type="dxa"/>
            <w:vAlign w:val="center"/>
          </w:tcPr>
          <w:p w14:paraId="59E8C7E6" w14:textId="77777777" w:rsidR="009864DB" w:rsidRPr="004D46AC" w:rsidRDefault="009864DB" w:rsidP="009864DB">
            <w:pPr>
              <w:spacing w:line="240" w:lineRule="auto"/>
              <w:ind w:firstLine="0"/>
              <w:rPr>
                <w:rFonts w:eastAsiaTheme="minorEastAsia"/>
              </w:rPr>
            </w:pPr>
            <w:r w:rsidRPr="004D46AC">
              <w:rPr>
                <w:rFonts w:eastAsiaTheme="minorEastAsia"/>
              </w:rPr>
              <w:t>51</w:t>
            </w:r>
          </w:p>
        </w:tc>
      </w:tr>
      <w:tr w:rsidR="009864DB" w:rsidRPr="004D46AC" w14:paraId="0D0D24F9" w14:textId="77777777" w:rsidTr="00B518F1">
        <w:trPr>
          <w:trHeight w:val="144"/>
        </w:trPr>
        <w:tc>
          <w:tcPr>
            <w:tcW w:w="1712" w:type="dxa"/>
          </w:tcPr>
          <w:p w14:paraId="6D5ABC5A"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Kendler et al. (2023)</w:t>
            </w:r>
            <w:r w:rsidRPr="004D46AC">
              <w:rPr>
                <w:rFonts w:eastAsiaTheme="minorEastAsia"/>
              </w:rPr>
              <w:fldChar w:fldCharType="end"/>
            </w:r>
          </w:p>
        </w:tc>
        <w:tc>
          <w:tcPr>
            <w:tcW w:w="1194" w:type="dxa"/>
            <w:vAlign w:val="center"/>
          </w:tcPr>
          <w:p w14:paraId="4CF8BBC9" w14:textId="77777777" w:rsidR="009864DB" w:rsidRPr="004D46AC" w:rsidRDefault="009864DB" w:rsidP="009864DB">
            <w:pPr>
              <w:spacing w:line="240" w:lineRule="auto"/>
              <w:ind w:firstLine="0"/>
              <w:rPr>
                <w:rFonts w:eastAsiaTheme="minorEastAsia"/>
              </w:rPr>
            </w:pPr>
            <w:r w:rsidRPr="004D46AC">
              <w:rPr>
                <w:rFonts w:eastAsiaTheme="minorEastAsia"/>
              </w:rPr>
              <w:t>7</w:t>
            </w:r>
          </w:p>
        </w:tc>
        <w:tc>
          <w:tcPr>
            <w:tcW w:w="1120" w:type="dxa"/>
            <w:vAlign w:val="center"/>
          </w:tcPr>
          <w:p w14:paraId="7D48E7DB" w14:textId="77777777" w:rsidR="009864DB" w:rsidRPr="004D46AC" w:rsidRDefault="009864DB" w:rsidP="009864DB">
            <w:pPr>
              <w:spacing w:line="240" w:lineRule="auto"/>
              <w:ind w:firstLine="0"/>
              <w:rPr>
                <w:rFonts w:eastAsiaTheme="minorEastAsia"/>
              </w:rPr>
            </w:pPr>
            <w:r w:rsidRPr="004D46AC">
              <w:rPr>
                <w:rFonts w:eastAsiaTheme="minorEastAsia"/>
              </w:rPr>
              <w:t>36.4</w:t>
            </w:r>
          </w:p>
        </w:tc>
        <w:tc>
          <w:tcPr>
            <w:tcW w:w="1271" w:type="dxa"/>
            <w:vAlign w:val="center"/>
          </w:tcPr>
          <w:p w14:paraId="70F3B497" w14:textId="77777777" w:rsidR="009864DB" w:rsidRPr="004D46AC" w:rsidRDefault="009864DB" w:rsidP="009864DB">
            <w:pPr>
              <w:spacing w:line="240" w:lineRule="auto"/>
              <w:ind w:firstLine="0"/>
              <w:rPr>
                <w:rFonts w:eastAsiaTheme="minorEastAsia"/>
              </w:rPr>
            </w:pPr>
            <w:r w:rsidRPr="004D46AC">
              <w:rPr>
                <w:rFonts w:eastAsiaTheme="minorEastAsia"/>
              </w:rPr>
              <w:t>ICD10</w:t>
            </w:r>
          </w:p>
        </w:tc>
        <w:tc>
          <w:tcPr>
            <w:tcW w:w="1944" w:type="dxa"/>
            <w:vAlign w:val="center"/>
          </w:tcPr>
          <w:p w14:paraId="506404C2"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281762B7" w14:textId="77777777" w:rsidR="009864DB" w:rsidRPr="004D46AC" w:rsidRDefault="009864DB" w:rsidP="009864DB">
            <w:pPr>
              <w:spacing w:line="240" w:lineRule="auto"/>
              <w:ind w:firstLine="0"/>
              <w:rPr>
                <w:rFonts w:eastAsiaTheme="minorEastAsia"/>
              </w:rPr>
            </w:pPr>
            <w:r w:rsidRPr="004D46AC">
              <w:rPr>
                <w:rFonts w:eastAsiaTheme="minorEastAsia"/>
              </w:rPr>
              <w:t>13530</w:t>
            </w:r>
          </w:p>
        </w:tc>
        <w:tc>
          <w:tcPr>
            <w:tcW w:w="1028" w:type="dxa"/>
            <w:vAlign w:val="center"/>
          </w:tcPr>
          <w:p w14:paraId="2432D0F6"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4C8735F9"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7A2E6BAB"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61E573A2"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scz</w:t>
            </w:r>
            <w:proofErr w:type="spellEnd"/>
          </w:p>
        </w:tc>
        <w:tc>
          <w:tcPr>
            <w:tcW w:w="1022" w:type="dxa"/>
            <w:vAlign w:val="center"/>
          </w:tcPr>
          <w:p w14:paraId="3A91F913" w14:textId="77777777" w:rsidR="009864DB" w:rsidRPr="004D46AC" w:rsidRDefault="009864DB" w:rsidP="009864DB">
            <w:pPr>
              <w:spacing w:line="240" w:lineRule="auto"/>
              <w:ind w:firstLine="0"/>
              <w:rPr>
                <w:rFonts w:eastAsiaTheme="minorEastAsia"/>
              </w:rPr>
            </w:pPr>
            <w:r w:rsidRPr="004D46AC">
              <w:rPr>
                <w:rFonts w:eastAsiaTheme="minorEastAsia"/>
              </w:rPr>
              <w:t>325</w:t>
            </w:r>
          </w:p>
        </w:tc>
      </w:tr>
      <w:tr w:rsidR="009864DB" w:rsidRPr="004D46AC" w14:paraId="318A10CD" w14:textId="77777777" w:rsidTr="00B518F1">
        <w:trPr>
          <w:trHeight w:val="144"/>
        </w:trPr>
        <w:tc>
          <w:tcPr>
            <w:tcW w:w="1712" w:type="dxa"/>
          </w:tcPr>
          <w:p w14:paraId="4C501A7B"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Bora et al. (2007)</w:t>
            </w:r>
            <w:r w:rsidRPr="004D46AC">
              <w:rPr>
                <w:rFonts w:eastAsiaTheme="minorEastAsia"/>
              </w:rPr>
              <w:fldChar w:fldCharType="end"/>
            </w:r>
          </w:p>
        </w:tc>
        <w:tc>
          <w:tcPr>
            <w:tcW w:w="1194" w:type="dxa"/>
            <w:vAlign w:val="center"/>
          </w:tcPr>
          <w:p w14:paraId="3814B91A"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0E0DDAD0" w14:textId="77777777" w:rsidR="009864DB" w:rsidRPr="004D46AC" w:rsidRDefault="009864DB" w:rsidP="009864DB">
            <w:pPr>
              <w:spacing w:line="240" w:lineRule="auto"/>
              <w:ind w:firstLine="0"/>
              <w:rPr>
                <w:rFonts w:eastAsiaTheme="minorEastAsia"/>
              </w:rPr>
            </w:pPr>
            <w:r w:rsidRPr="004D46AC">
              <w:rPr>
                <w:rFonts w:eastAsiaTheme="minorEastAsia"/>
              </w:rPr>
              <w:t>37.97</w:t>
            </w:r>
          </w:p>
        </w:tc>
        <w:tc>
          <w:tcPr>
            <w:tcW w:w="1271" w:type="dxa"/>
            <w:vAlign w:val="center"/>
          </w:tcPr>
          <w:p w14:paraId="4490122A"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66159C5D" w14:textId="77777777" w:rsidR="009864DB" w:rsidRPr="004D46AC" w:rsidRDefault="009864DB" w:rsidP="009864DB">
            <w:pPr>
              <w:spacing w:line="240" w:lineRule="auto"/>
              <w:ind w:firstLine="0"/>
              <w:rPr>
                <w:rFonts w:eastAsiaTheme="minorEastAsia"/>
              </w:rPr>
            </w:pPr>
            <w:r w:rsidRPr="004D46AC">
              <w:rPr>
                <w:rFonts w:eastAsiaTheme="minorEastAsia"/>
              </w:rPr>
              <w:t>SCID</w:t>
            </w:r>
          </w:p>
        </w:tc>
        <w:tc>
          <w:tcPr>
            <w:tcW w:w="1052" w:type="dxa"/>
            <w:vAlign w:val="center"/>
          </w:tcPr>
          <w:p w14:paraId="661C8415" w14:textId="77777777" w:rsidR="009864DB" w:rsidRPr="004D46AC" w:rsidRDefault="009864DB" w:rsidP="009864DB">
            <w:pPr>
              <w:spacing w:line="240" w:lineRule="auto"/>
              <w:ind w:firstLine="0"/>
              <w:rPr>
                <w:rFonts w:eastAsiaTheme="minorEastAsia"/>
              </w:rPr>
            </w:pPr>
            <w:r w:rsidRPr="004D46AC">
              <w:rPr>
                <w:rFonts w:eastAsiaTheme="minorEastAsia"/>
              </w:rPr>
              <w:t>65</w:t>
            </w:r>
          </w:p>
        </w:tc>
        <w:tc>
          <w:tcPr>
            <w:tcW w:w="1028" w:type="dxa"/>
            <w:vAlign w:val="center"/>
          </w:tcPr>
          <w:p w14:paraId="6F0413D6"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0A79DC67"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0008FF03" w14:textId="77777777" w:rsidR="009864DB" w:rsidRPr="004D46AC" w:rsidRDefault="009864DB" w:rsidP="009864DB">
            <w:pPr>
              <w:spacing w:line="240" w:lineRule="auto"/>
              <w:ind w:firstLine="0"/>
              <w:rPr>
                <w:rFonts w:eastAsiaTheme="minorEastAsia"/>
              </w:rPr>
            </w:pPr>
            <w:r w:rsidRPr="004D46AC">
              <w:rPr>
                <w:rFonts w:eastAsiaTheme="minorEastAsia"/>
              </w:rPr>
              <w:t>1</w:t>
            </w:r>
          </w:p>
        </w:tc>
        <w:tc>
          <w:tcPr>
            <w:tcW w:w="1657" w:type="dxa"/>
            <w:vAlign w:val="center"/>
          </w:tcPr>
          <w:p w14:paraId="742BD447"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507B9EDB" w14:textId="77777777" w:rsidR="009864DB" w:rsidRPr="004D46AC" w:rsidRDefault="009864DB" w:rsidP="009864DB">
            <w:pPr>
              <w:spacing w:line="240" w:lineRule="auto"/>
              <w:ind w:firstLine="0"/>
              <w:rPr>
                <w:rFonts w:eastAsiaTheme="minorEastAsia"/>
              </w:rPr>
            </w:pPr>
            <w:r w:rsidRPr="004D46AC">
              <w:rPr>
                <w:rFonts w:eastAsiaTheme="minorEastAsia"/>
              </w:rPr>
              <w:t>2</w:t>
            </w:r>
          </w:p>
        </w:tc>
      </w:tr>
      <w:tr w:rsidR="009864DB" w:rsidRPr="004D46AC" w14:paraId="340C67BA" w14:textId="77777777" w:rsidTr="00B518F1">
        <w:trPr>
          <w:trHeight w:val="144"/>
        </w:trPr>
        <w:tc>
          <w:tcPr>
            <w:tcW w:w="1712" w:type="dxa"/>
          </w:tcPr>
          <w:p w14:paraId="18B348C4"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AuthorYear="1"&gt;&lt;Author&gt;Tohen&lt;/Author&gt;&lt;Year&gt;1992&lt;/Year&gt;&lt;RecNum&gt;300&lt;/RecNum&gt;&lt;DisplayText&gt;Tohen et al. (1992)&lt;/DisplayText&gt;&lt;record&gt;&lt;rec-number&gt;300&lt;/rec-number&gt;&lt;foreign-keys&gt;&lt;key app="EN" db-id="aet009sstawa0hewvt3xwf5atffdw2dt02sw" timestamp="1666489195"&gt;300&lt;/key&gt;&lt;/foreign-keys&gt;&lt;ref-type name="Journal Article"&gt;17&lt;/ref-type&gt;&lt;contributors&gt;&lt;authors&gt;&lt;author&gt;Tohen, M.&lt;/author&gt;&lt;author&gt;Tsuang, M. T.&lt;/author&gt;&lt;author&gt;Goodwin, D. C.&lt;/author&gt;&lt;/authors&gt;&lt;/contributors&gt;&lt;auth-address&gt;Department of Psychiatry, Harvard Medical School, Boston, MA.&lt;/auth-address&gt;&lt;titles&gt;&lt;title&gt;Prediction of outcome in mania by mood-congruent or mood-incongruent psychotic features&lt;/title&gt;&lt;secondary-title&gt;Am J Psychiatry&lt;/secondary-title&gt;&lt;/titles&gt;&lt;periodical&gt;&lt;full-title&gt;Am J Psychiatry&lt;/full-title&gt;&lt;/periodical&gt;&lt;pages&gt;1580-4&lt;/pages&gt;&lt;volume&gt;149&lt;/volume&gt;&lt;number&gt;11&lt;/number&gt;&lt;keywords&gt;&lt;keyword&gt;Adult&lt;/keyword&gt;&lt;keyword&gt;Bipolar Disorder/classification/*diagnosis/psychology&lt;/keyword&gt;&lt;keyword&gt;Delusions/psychology&lt;/keyword&gt;&lt;keyword&gt;Employment&lt;/keyword&gt;&lt;keyword&gt;Female&lt;/keyword&gt;&lt;keyword&gt;Follow-Up Studies&lt;/keyword&gt;&lt;keyword&gt;Hallucinations/diagnosis/psychology&lt;/keyword&gt;&lt;keyword&gt;Humans&lt;/keyword&gt;&lt;keyword&gt;Male&lt;/keyword&gt;&lt;keyword&gt;Odds Ratio&lt;/keyword&gt;&lt;keyword&gt;Probability&lt;/keyword&gt;&lt;keyword&gt;Prognosis&lt;/keyword&gt;&lt;keyword&gt;Proportional Hazards Models&lt;/keyword&gt;&lt;keyword&gt;Psychiatric Status Rating Scales&lt;/keyword&gt;&lt;keyword&gt;Recurrence&lt;/keyword&gt;&lt;keyword&gt;Residence Characteristics&lt;/keyword&gt;&lt;keyword&gt;Sex Factors&lt;/keyword&gt;&lt;keyword&gt;Survival Analysis&lt;/keyword&gt;&lt;/keywords&gt;&lt;dates&gt;&lt;year&gt;1992&lt;/year&gt;&lt;pub-dates&gt;&lt;date&gt;Nov&lt;/date&gt;&lt;/pub-dates&gt;&lt;/dates&gt;&lt;isbn&gt;0002-953X (Print)&amp;#xD;0002-953X (Linking)&lt;/isbn&gt;&lt;accession-num&gt;1415828&lt;/accession-num&gt;&lt;urls&gt;&lt;related-urls&gt;&lt;url&gt;https://www.ncbi.nlm.nih.gov/pubmed/1415828&lt;/url&gt;&lt;/related-urls&gt;&lt;/urls&gt;&lt;electronic-resource-num&gt;10.1176/ajp.149.11.1580&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Tohen et al. (1992)</w:t>
            </w:r>
            <w:r w:rsidRPr="004D46AC">
              <w:rPr>
                <w:rFonts w:eastAsiaTheme="minorEastAsia"/>
              </w:rPr>
              <w:fldChar w:fldCharType="end"/>
            </w:r>
          </w:p>
        </w:tc>
        <w:tc>
          <w:tcPr>
            <w:tcW w:w="1194" w:type="dxa"/>
            <w:vAlign w:val="center"/>
          </w:tcPr>
          <w:p w14:paraId="30FB34D6"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3026C0F9" w14:textId="77777777" w:rsidR="009864DB" w:rsidRPr="004D46AC" w:rsidRDefault="009864DB" w:rsidP="009864DB">
            <w:pPr>
              <w:spacing w:line="240" w:lineRule="auto"/>
              <w:ind w:firstLine="0"/>
              <w:rPr>
                <w:rFonts w:eastAsiaTheme="minorEastAsia"/>
              </w:rPr>
            </w:pPr>
            <w:r w:rsidRPr="004D46AC">
              <w:rPr>
                <w:rFonts w:eastAsiaTheme="minorEastAsia"/>
              </w:rPr>
              <w:t>30</w:t>
            </w:r>
          </w:p>
        </w:tc>
        <w:tc>
          <w:tcPr>
            <w:tcW w:w="1271" w:type="dxa"/>
            <w:vAlign w:val="center"/>
          </w:tcPr>
          <w:p w14:paraId="59C5D205" w14:textId="77777777" w:rsidR="009864DB" w:rsidRPr="004D46AC" w:rsidRDefault="009864DB" w:rsidP="009864DB">
            <w:pPr>
              <w:spacing w:line="240" w:lineRule="auto"/>
              <w:ind w:firstLine="0"/>
              <w:rPr>
                <w:rFonts w:eastAsiaTheme="minorEastAsia"/>
              </w:rPr>
            </w:pPr>
            <w:r w:rsidRPr="004D46AC">
              <w:rPr>
                <w:rFonts w:eastAsiaTheme="minorEastAsia"/>
              </w:rPr>
              <w:t>DSM3</w:t>
            </w:r>
          </w:p>
        </w:tc>
        <w:tc>
          <w:tcPr>
            <w:tcW w:w="1944" w:type="dxa"/>
            <w:vAlign w:val="center"/>
          </w:tcPr>
          <w:p w14:paraId="1516E130" w14:textId="77777777" w:rsidR="009864DB" w:rsidRPr="004D46AC" w:rsidRDefault="009864DB" w:rsidP="009864DB">
            <w:pPr>
              <w:spacing w:line="240" w:lineRule="auto"/>
              <w:ind w:firstLine="0"/>
              <w:rPr>
                <w:rFonts w:eastAsiaTheme="minorEastAsia"/>
              </w:rPr>
            </w:pPr>
            <w:r w:rsidRPr="004D46AC">
              <w:rPr>
                <w:rFonts w:eastAsiaTheme="minorEastAsia"/>
              </w:rPr>
              <w:t>DIS</w:t>
            </w:r>
          </w:p>
        </w:tc>
        <w:tc>
          <w:tcPr>
            <w:tcW w:w="1052" w:type="dxa"/>
            <w:vAlign w:val="center"/>
          </w:tcPr>
          <w:p w14:paraId="29C999F9" w14:textId="77777777" w:rsidR="009864DB" w:rsidRPr="004D46AC" w:rsidRDefault="009864DB" w:rsidP="009864DB">
            <w:pPr>
              <w:spacing w:line="240" w:lineRule="auto"/>
              <w:ind w:firstLine="0"/>
              <w:rPr>
                <w:rFonts w:eastAsiaTheme="minorEastAsia"/>
              </w:rPr>
            </w:pPr>
            <w:r w:rsidRPr="004D46AC">
              <w:rPr>
                <w:rFonts w:eastAsiaTheme="minorEastAsia"/>
              </w:rPr>
              <w:t>54</w:t>
            </w:r>
          </w:p>
        </w:tc>
        <w:tc>
          <w:tcPr>
            <w:tcW w:w="1028" w:type="dxa"/>
            <w:vAlign w:val="center"/>
          </w:tcPr>
          <w:p w14:paraId="3624AD64"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381C9731"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3BE0FFAE"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41BD77A0"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1CA2FE8F" w14:textId="77777777" w:rsidR="009864DB" w:rsidRPr="004D46AC" w:rsidRDefault="009864DB" w:rsidP="009864DB">
            <w:pPr>
              <w:spacing w:line="240" w:lineRule="auto"/>
              <w:ind w:firstLine="0"/>
              <w:rPr>
                <w:rFonts w:eastAsiaTheme="minorEastAsia"/>
              </w:rPr>
            </w:pPr>
            <w:r w:rsidRPr="004D46AC">
              <w:rPr>
                <w:rFonts w:eastAsiaTheme="minorEastAsia"/>
              </w:rPr>
              <w:t>11</w:t>
            </w:r>
          </w:p>
        </w:tc>
      </w:tr>
      <w:tr w:rsidR="009864DB" w:rsidRPr="004D46AC" w14:paraId="1FC0A674" w14:textId="77777777" w:rsidTr="00B518F1">
        <w:trPr>
          <w:trHeight w:val="144"/>
        </w:trPr>
        <w:tc>
          <w:tcPr>
            <w:tcW w:w="1712" w:type="dxa"/>
          </w:tcPr>
          <w:p w14:paraId="5AF411C0"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AuthorYear="1"&gt;&lt;Author&gt;Das&lt;/Author&gt;&lt;Year&gt;1993&lt;/Year&gt;&lt;RecNum&gt;245&lt;/RecNum&gt;&lt;DisplayText&gt;Das and Khanna (1993)&lt;/DisplayText&gt;&lt;record&gt;&lt;rec-number&gt;245&lt;/rec-number&gt;&lt;foreign-keys&gt;&lt;key app="EN" db-id="aet009sstawa0hewvt3xwf5atffdw2dt02sw" timestamp="1666257238"&gt;245&lt;/key&gt;&lt;/foreign-keys&gt;&lt;ref-type name="Journal Article"&gt;17&lt;/ref-type&gt;&lt;contributors&gt;&lt;authors&gt;&lt;author&gt;Das, A.&lt;/author&gt;&lt;author&gt;Khanna, R.&lt;/author&gt;&lt;/authors&gt;&lt;/contributors&gt;&lt;auth-address&gt;Department of Psychiatry, Central Institute of Psychiatry, Kanke, Ranchi, India.&lt;/auth-address&gt;&lt;titles&gt;&lt;title&gt;Organic manic syndrome: causative factors, phenomenology and immediate outcome&lt;/title&gt;&lt;secondary-title&gt;J Affect Disord&lt;/secondary-title&gt;&lt;/titles&gt;&lt;periodical&gt;&lt;full-title&gt;J Affect Disord&lt;/full-title&gt;&lt;/periodical&gt;&lt;pages&gt;147-53&lt;/pages&gt;&lt;volume&gt;27&lt;/volume&gt;&lt;number&gt;3&lt;/number&gt;&lt;keywords&gt;&lt;keyword&gt;Adult&lt;/keyword&gt;&lt;keyword&gt;Bipolar Disorder/chemically induced/*etiology/psychology&lt;/keyword&gt;&lt;keyword&gt;Diagnosis, Differential&lt;/keyword&gt;&lt;keyword&gt;Female&lt;/keyword&gt;&lt;keyword&gt;Humans&lt;/keyword&gt;&lt;keyword&gt;Male&lt;/keyword&gt;&lt;keyword&gt;Middle Aged&lt;/keyword&gt;&lt;keyword&gt;Neurocognitive Disorders/*etiology/psychology&lt;/keyword&gt;&lt;keyword&gt;Psychiatric Status Rating Scales&lt;/keyword&gt;&lt;keyword&gt;Psychoses, Substance-Induced/*etiology/psychology&lt;/keyword&gt;&lt;/keywords&gt;&lt;dates&gt;&lt;year&gt;1993&lt;/year&gt;&lt;pub-dates&gt;&lt;date&gt;Mar&lt;/date&gt;&lt;/pub-dates&gt;&lt;/dates&gt;&lt;isbn&gt;0165-0327 (Print)&amp;#xD;0165-0327 (Linking)&lt;/isbn&gt;&lt;accession-num&gt;8478503&lt;/accession-num&gt;&lt;urls&gt;&lt;related-urls&gt;&lt;url&gt;https://www.ncbi.nlm.nih.gov/pubmed/8478503&lt;/url&gt;&lt;/related-urls&gt;&lt;/urls&gt;&lt;electronic-resource-num&gt;10.1016/0165-0327(93)90002-2&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Das and Khanna (1993)</w:t>
            </w:r>
            <w:r w:rsidRPr="004D46AC">
              <w:rPr>
                <w:rFonts w:eastAsiaTheme="minorEastAsia"/>
              </w:rPr>
              <w:fldChar w:fldCharType="end"/>
            </w:r>
          </w:p>
        </w:tc>
        <w:tc>
          <w:tcPr>
            <w:tcW w:w="1194" w:type="dxa"/>
            <w:vAlign w:val="center"/>
          </w:tcPr>
          <w:p w14:paraId="6059E204"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7340A98A" w14:textId="77777777" w:rsidR="009864DB" w:rsidRPr="004D46AC" w:rsidRDefault="009864DB" w:rsidP="009864DB">
            <w:pPr>
              <w:spacing w:line="240" w:lineRule="auto"/>
              <w:ind w:firstLine="0"/>
              <w:rPr>
                <w:rFonts w:eastAsiaTheme="minorEastAsia"/>
              </w:rPr>
            </w:pPr>
            <w:r w:rsidRPr="004D46AC">
              <w:rPr>
                <w:rFonts w:eastAsiaTheme="minorEastAsia"/>
              </w:rPr>
              <w:t>31.93</w:t>
            </w:r>
          </w:p>
        </w:tc>
        <w:tc>
          <w:tcPr>
            <w:tcW w:w="1271" w:type="dxa"/>
            <w:vAlign w:val="center"/>
          </w:tcPr>
          <w:p w14:paraId="12B4F72A" w14:textId="77777777" w:rsidR="009864DB" w:rsidRPr="004D46AC" w:rsidRDefault="009864DB" w:rsidP="009864DB">
            <w:pPr>
              <w:spacing w:line="240" w:lineRule="auto"/>
              <w:ind w:firstLine="0"/>
              <w:rPr>
                <w:rFonts w:eastAsiaTheme="minorEastAsia"/>
              </w:rPr>
            </w:pPr>
            <w:r w:rsidRPr="004D46AC">
              <w:rPr>
                <w:rFonts w:eastAsiaTheme="minorEastAsia"/>
              </w:rPr>
              <w:t>DSM3R</w:t>
            </w:r>
          </w:p>
        </w:tc>
        <w:tc>
          <w:tcPr>
            <w:tcW w:w="1944" w:type="dxa"/>
            <w:vAlign w:val="center"/>
          </w:tcPr>
          <w:p w14:paraId="437ACC9E"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59089261" w14:textId="77777777" w:rsidR="009864DB" w:rsidRPr="004D46AC" w:rsidRDefault="009864DB" w:rsidP="009864DB">
            <w:pPr>
              <w:spacing w:line="240" w:lineRule="auto"/>
              <w:ind w:firstLine="0"/>
              <w:rPr>
                <w:rFonts w:eastAsiaTheme="minorEastAsia"/>
              </w:rPr>
            </w:pPr>
            <w:r w:rsidRPr="004D46AC">
              <w:rPr>
                <w:rFonts w:eastAsiaTheme="minorEastAsia"/>
              </w:rPr>
              <w:t>60</w:t>
            </w:r>
          </w:p>
        </w:tc>
        <w:tc>
          <w:tcPr>
            <w:tcW w:w="1028" w:type="dxa"/>
            <w:vAlign w:val="center"/>
          </w:tcPr>
          <w:p w14:paraId="38E469EE"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2DC0AF5F"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5414962B"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34D1D47A"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70D11287" w14:textId="77777777" w:rsidR="009864DB" w:rsidRPr="004D46AC" w:rsidRDefault="009864DB" w:rsidP="009864DB">
            <w:pPr>
              <w:spacing w:line="240" w:lineRule="auto"/>
              <w:ind w:firstLine="0"/>
              <w:rPr>
                <w:rFonts w:eastAsiaTheme="minorEastAsia"/>
              </w:rPr>
            </w:pPr>
            <w:r w:rsidRPr="004D46AC">
              <w:rPr>
                <w:rFonts w:eastAsiaTheme="minorEastAsia"/>
              </w:rPr>
              <w:t>2</w:t>
            </w:r>
          </w:p>
        </w:tc>
      </w:tr>
      <w:tr w:rsidR="009864DB" w:rsidRPr="004D46AC" w14:paraId="7D3D928E" w14:textId="77777777" w:rsidTr="00B518F1">
        <w:trPr>
          <w:trHeight w:val="144"/>
        </w:trPr>
        <w:tc>
          <w:tcPr>
            <w:tcW w:w="1712" w:type="dxa"/>
          </w:tcPr>
          <w:p w14:paraId="3CBE68B6"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&lt;EndNote&gt;&lt;Cite AuthorYear="1"&gt;&lt;Author&gt;Sethi&lt;/Author&gt;&lt;Year&gt;1993&lt;/Year&gt;&lt;RecNum&gt;257&lt;/RecNum&gt;&lt;DisplayText&gt;Sethi and Khanna (1993)&lt;/DisplayText&gt;&lt;record&gt;&lt;rec-number&gt;257&lt;/rec-number&gt;&lt;foreign-keys&gt;&lt;key app="EN" db-id="aet009sstawa0hewvt3xwf5atffdw2dt02sw" timestamp="1666337668"&gt;257&lt;/key&gt;&lt;/foreign-keys&gt;&lt;ref-type name="Journal Article"&gt;17&lt;/ref-type&gt;&lt;contributors&gt;&lt;authors&gt;&lt;author&gt;Sethi, S.&lt;/author&gt;&lt;author&gt;Khanna, R.&lt;/author&gt;&lt;/authors&gt;&lt;/contributors&gt;&lt;auth-address&gt;Central Institute of Psychiatry, Kanke, Ranchi, India.&lt;/auth-address&gt;&lt;titles&gt;&lt;title&gt;Phenomenology of mania in eastern India&lt;/title&gt;&lt;secondary-title&gt;Psychopathology&lt;/secondary-title&gt;&lt;/titles&gt;&lt;periodical&gt;&lt;full-title&gt;Psychopathology&lt;/full-title&gt;&lt;/periodical&gt;&lt;pages&gt;274-8&lt;/pages&gt;&lt;volume&gt;26&lt;/volume&gt;&lt;number&gt;5-6&lt;/number&gt;&lt;keywords&gt;&lt;keyword&gt;Adolescent&lt;/keyword&gt;&lt;keyword&gt;Adult&lt;/keyword&gt;&lt;keyword&gt;Bipolar Disorder/classification/*diagnosis/psychology&lt;/keyword&gt;&lt;keyword&gt;*Cross-Cultural Comparison&lt;/keyword&gt;&lt;keyword&gt;*Developing Countries&lt;/keyword&gt;&lt;keyword&gt;Female&lt;/keyword&gt;&lt;keyword&gt;Humans&lt;/keyword&gt;&lt;keyword&gt;India&lt;/keyword&gt;&lt;keyword&gt;Male&lt;/keyword&gt;&lt;keyword&gt;Middle Aged&lt;/keyword&gt;&lt;keyword&gt;Psychiatric Status Rating Scales&lt;/keyword&gt;&lt;/keywords&gt;&lt;dates&gt;&lt;year&gt;1993&lt;/year&gt;&lt;/dates&gt;&lt;isbn&gt;0254-4962 (Print)&amp;#xD;0254-4962 (Linking)&lt;/isbn&gt;&lt;accession-num&gt;8190847&lt;/accession-num&gt;&lt;urls&gt;&lt;related-urls&gt;&lt;url&gt;https://www.ncbi.nlm.nih.gov/pubmed/8190847&lt;/url&gt;&lt;/related-urls&gt;&lt;/urls&gt;&lt;electronic-resource-num&gt;10.1159/000284833&lt;/electronic-resource-num&gt;&lt;remote-database-name&gt;Medline&lt;/remote-database-name&gt;&lt;remote-database-provider&gt;NLM&lt;/remote-database-provider&gt;&lt;language&gt;eng&lt;/language&gt;&lt;/record&gt;&lt;/Cite&gt;&lt;/EndNote&gt;</w:instrText>
            </w:r>
            <w:r w:rsidRPr="004D46AC">
              <w:rPr>
                <w:rFonts w:eastAsiaTheme="minorEastAsia"/>
              </w:rPr>
              <w:fldChar w:fldCharType="separate"/>
            </w:r>
            <w:r w:rsidRPr="004D46AC">
              <w:rPr>
                <w:rFonts w:eastAsiaTheme="minorEastAsia"/>
              </w:rPr>
              <w:t>Sethi and Khanna (1993)</w:t>
            </w:r>
            <w:r w:rsidRPr="004D46AC">
              <w:rPr>
                <w:rFonts w:eastAsiaTheme="minorEastAsia"/>
              </w:rPr>
              <w:fldChar w:fldCharType="end"/>
            </w:r>
          </w:p>
        </w:tc>
        <w:tc>
          <w:tcPr>
            <w:tcW w:w="1194" w:type="dxa"/>
            <w:vAlign w:val="center"/>
          </w:tcPr>
          <w:p w14:paraId="6FC3ED46"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4A728A7E" w14:textId="77777777" w:rsidR="009864DB" w:rsidRPr="004D46AC" w:rsidRDefault="009864DB" w:rsidP="009864DB">
            <w:pPr>
              <w:spacing w:line="240" w:lineRule="auto"/>
              <w:ind w:firstLine="0"/>
              <w:rPr>
                <w:rFonts w:eastAsiaTheme="minorEastAsia"/>
              </w:rPr>
            </w:pPr>
            <w:r w:rsidRPr="004D46AC">
              <w:rPr>
                <w:rFonts w:eastAsiaTheme="minorEastAsia"/>
              </w:rPr>
              <w:t>27.7</w:t>
            </w:r>
          </w:p>
        </w:tc>
        <w:tc>
          <w:tcPr>
            <w:tcW w:w="1271" w:type="dxa"/>
            <w:vAlign w:val="center"/>
          </w:tcPr>
          <w:p w14:paraId="2737EB8D" w14:textId="77777777" w:rsidR="009864DB" w:rsidRPr="004D46AC" w:rsidRDefault="009864DB" w:rsidP="009864DB">
            <w:pPr>
              <w:spacing w:line="240" w:lineRule="auto"/>
              <w:ind w:firstLine="0"/>
              <w:rPr>
                <w:rFonts w:eastAsiaTheme="minorEastAsia"/>
              </w:rPr>
            </w:pPr>
            <w:r w:rsidRPr="004D46AC">
              <w:rPr>
                <w:rFonts w:eastAsiaTheme="minorEastAsia"/>
              </w:rPr>
              <w:t>DSM3R</w:t>
            </w:r>
          </w:p>
        </w:tc>
        <w:tc>
          <w:tcPr>
            <w:tcW w:w="1944" w:type="dxa"/>
            <w:vAlign w:val="center"/>
          </w:tcPr>
          <w:p w14:paraId="275449A7" w14:textId="77777777" w:rsidR="009864DB" w:rsidRPr="004D46AC" w:rsidRDefault="009864DB" w:rsidP="009864DB">
            <w:pPr>
              <w:spacing w:line="240" w:lineRule="auto"/>
              <w:ind w:firstLine="0"/>
              <w:rPr>
                <w:rFonts w:eastAsiaTheme="minorEastAsia"/>
              </w:rPr>
            </w:pPr>
            <w:r w:rsidRPr="004D46AC">
              <w:rPr>
                <w:rFonts w:eastAsiaTheme="minorEastAsia"/>
              </w:rPr>
              <w:t>PSE</w:t>
            </w:r>
          </w:p>
        </w:tc>
        <w:tc>
          <w:tcPr>
            <w:tcW w:w="1052" w:type="dxa"/>
            <w:vAlign w:val="center"/>
          </w:tcPr>
          <w:p w14:paraId="679A65CE" w14:textId="77777777" w:rsidR="009864DB" w:rsidRPr="004D46AC" w:rsidRDefault="009864DB" w:rsidP="009864DB">
            <w:pPr>
              <w:spacing w:line="240" w:lineRule="auto"/>
              <w:ind w:firstLine="0"/>
              <w:rPr>
                <w:rFonts w:eastAsiaTheme="minorEastAsia"/>
              </w:rPr>
            </w:pPr>
            <w:r w:rsidRPr="004D46AC">
              <w:rPr>
                <w:rFonts w:eastAsiaTheme="minorEastAsia"/>
              </w:rPr>
              <w:t>100</w:t>
            </w:r>
          </w:p>
        </w:tc>
        <w:tc>
          <w:tcPr>
            <w:tcW w:w="1028" w:type="dxa"/>
            <w:vAlign w:val="center"/>
          </w:tcPr>
          <w:p w14:paraId="29407D62"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2A16E182"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4AD607F3"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0FFBD94F"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4BCC71FB" w14:textId="77777777" w:rsidR="009864DB" w:rsidRPr="004D46AC" w:rsidRDefault="009864DB" w:rsidP="009864DB">
            <w:pPr>
              <w:spacing w:line="240" w:lineRule="auto"/>
              <w:ind w:firstLine="0"/>
              <w:rPr>
                <w:rFonts w:eastAsiaTheme="minorEastAsia"/>
              </w:rPr>
            </w:pPr>
            <w:r w:rsidRPr="004D46AC">
              <w:rPr>
                <w:rFonts w:eastAsiaTheme="minorEastAsia"/>
              </w:rPr>
              <w:t>15</w:t>
            </w:r>
          </w:p>
        </w:tc>
      </w:tr>
      <w:tr w:rsidR="009864DB" w:rsidRPr="004D46AC" w14:paraId="5D9C1198" w14:textId="77777777" w:rsidTr="00B518F1">
        <w:trPr>
          <w:trHeight w:val="144"/>
        </w:trPr>
        <w:tc>
          <w:tcPr>
            <w:tcW w:w="1712" w:type="dxa"/>
          </w:tcPr>
          <w:p w14:paraId="3E2C52C3"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Gorgulu et al. (2021)</w:t>
            </w:r>
            <w:r w:rsidRPr="004D46AC">
              <w:rPr>
                <w:rFonts w:eastAsiaTheme="minorEastAsia"/>
              </w:rPr>
              <w:fldChar w:fldCharType="end"/>
            </w:r>
          </w:p>
        </w:tc>
        <w:tc>
          <w:tcPr>
            <w:tcW w:w="1194" w:type="dxa"/>
            <w:vAlign w:val="center"/>
          </w:tcPr>
          <w:p w14:paraId="456FE260"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704C470D" w14:textId="77777777" w:rsidR="009864DB" w:rsidRPr="004D46AC" w:rsidRDefault="009864DB" w:rsidP="009864DB">
            <w:pPr>
              <w:spacing w:line="240" w:lineRule="auto"/>
              <w:ind w:firstLine="0"/>
              <w:rPr>
                <w:rFonts w:eastAsiaTheme="minorEastAsia"/>
              </w:rPr>
            </w:pPr>
            <w:r w:rsidRPr="004D46AC">
              <w:rPr>
                <w:rFonts w:eastAsiaTheme="minorEastAsia"/>
              </w:rPr>
              <w:t>41.94</w:t>
            </w:r>
          </w:p>
        </w:tc>
        <w:tc>
          <w:tcPr>
            <w:tcW w:w="1271" w:type="dxa"/>
            <w:vAlign w:val="center"/>
          </w:tcPr>
          <w:p w14:paraId="394EB72F" w14:textId="77777777" w:rsidR="009864DB" w:rsidRPr="004D46AC" w:rsidRDefault="009864DB" w:rsidP="009864DB">
            <w:pPr>
              <w:spacing w:line="240" w:lineRule="auto"/>
              <w:ind w:firstLine="0"/>
              <w:rPr>
                <w:rFonts w:eastAsiaTheme="minorEastAsia"/>
              </w:rPr>
            </w:pPr>
            <w:r w:rsidRPr="004D46AC">
              <w:rPr>
                <w:rFonts w:eastAsiaTheme="minorEastAsia"/>
              </w:rPr>
              <w:t>DSM5</w:t>
            </w:r>
          </w:p>
        </w:tc>
        <w:tc>
          <w:tcPr>
            <w:tcW w:w="1944" w:type="dxa"/>
            <w:vAlign w:val="center"/>
          </w:tcPr>
          <w:p w14:paraId="1BD64A7C"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06F44AAC" w14:textId="77777777" w:rsidR="009864DB" w:rsidRPr="004D46AC" w:rsidRDefault="009864DB" w:rsidP="009864DB">
            <w:pPr>
              <w:spacing w:line="240" w:lineRule="auto"/>
              <w:ind w:firstLine="0"/>
              <w:rPr>
                <w:rFonts w:eastAsiaTheme="minorEastAsia"/>
              </w:rPr>
            </w:pPr>
            <w:r w:rsidRPr="004D46AC">
              <w:rPr>
                <w:rFonts w:eastAsiaTheme="minorEastAsia"/>
              </w:rPr>
              <w:t>80</w:t>
            </w:r>
          </w:p>
        </w:tc>
        <w:tc>
          <w:tcPr>
            <w:tcW w:w="1028" w:type="dxa"/>
            <w:vAlign w:val="center"/>
          </w:tcPr>
          <w:p w14:paraId="64E150DE"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32E8512E"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157F2735"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4A0FD965"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5D13D9EC" w14:textId="77777777" w:rsidR="009864DB" w:rsidRPr="004D46AC" w:rsidRDefault="009864DB" w:rsidP="009864DB">
            <w:pPr>
              <w:spacing w:line="240" w:lineRule="auto"/>
              <w:ind w:firstLine="0"/>
              <w:rPr>
                <w:rFonts w:eastAsiaTheme="minorEastAsia"/>
              </w:rPr>
            </w:pPr>
            <w:r w:rsidRPr="004D46AC">
              <w:rPr>
                <w:rFonts w:eastAsiaTheme="minorEastAsia"/>
              </w:rPr>
              <w:t>7</w:t>
            </w:r>
          </w:p>
        </w:tc>
      </w:tr>
      <w:tr w:rsidR="009864DB" w:rsidRPr="004D46AC" w14:paraId="2F2E22E9" w14:textId="77777777" w:rsidTr="00B518F1">
        <w:trPr>
          <w:trHeight w:val="144"/>
        </w:trPr>
        <w:tc>
          <w:tcPr>
            <w:tcW w:w="1712" w:type="dxa"/>
          </w:tcPr>
          <w:p w14:paraId="475BCC69"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Gonzalez-Pinto et al. (2003)</w:t>
            </w:r>
            <w:r w:rsidRPr="004D46AC">
              <w:rPr>
                <w:rFonts w:eastAsiaTheme="minorEastAsia"/>
              </w:rPr>
              <w:fldChar w:fldCharType="end"/>
            </w:r>
          </w:p>
        </w:tc>
        <w:tc>
          <w:tcPr>
            <w:tcW w:w="1194" w:type="dxa"/>
            <w:vAlign w:val="center"/>
          </w:tcPr>
          <w:p w14:paraId="27BDA9F8" w14:textId="77777777" w:rsidR="009864DB" w:rsidRPr="004D46AC" w:rsidRDefault="009864DB" w:rsidP="009864DB">
            <w:pPr>
              <w:spacing w:line="240" w:lineRule="auto"/>
              <w:ind w:firstLine="0"/>
              <w:rPr>
                <w:rFonts w:eastAsiaTheme="minorEastAsia"/>
              </w:rPr>
            </w:pPr>
            <w:r w:rsidRPr="004D46AC">
              <w:rPr>
                <w:rFonts w:eastAsiaTheme="minorEastAsia"/>
              </w:rPr>
              <w:t>5</w:t>
            </w:r>
          </w:p>
        </w:tc>
        <w:tc>
          <w:tcPr>
            <w:tcW w:w="1120" w:type="dxa"/>
            <w:vAlign w:val="center"/>
          </w:tcPr>
          <w:p w14:paraId="322E500F" w14:textId="77777777" w:rsidR="009864DB" w:rsidRPr="004D46AC" w:rsidRDefault="009864DB" w:rsidP="009864DB">
            <w:pPr>
              <w:spacing w:line="240" w:lineRule="auto"/>
              <w:ind w:firstLine="0"/>
              <w:rPr>
                <w:rFonts w:eastAsiaTheme="minorEastAsia"/>
              </w:rPr>
            </w:pPr>
            <w:r w:rsidRPr="004D46AC">
              <w:rPr>
                <w:rFonts w:eastAsiaTheme="minorEastAsia"/>
              </w:rPr>
              <w:t>36.9</w:t>
            </w:r>
          </w:p>
        </w:tc>
        <w:tc>
          <w:tcPr>
            <w:tcW w:w="1271" w:type="dxa"/>
            <w:vAlign w:val="center"/>
          </w:tcPr>
          <w:p w14:paraId="35C2156F"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71BD0FD3" w14:textId="77777777" w:rsidR="009864DB" w:rsidRPr="004D46AC" w:rsidRDefault="009864DB" w:rsidP="009864DB">
            <w:pPr>
              <w:spacing w:line="240" w:lineRule="auto"/>
              <w:ind w:firstLine="0"/>
              <w:rPr>
                <w:rFonts w:eastAsiaTheme="minorEastAsia"/>
              </w:rPr>
            </w:pPr>
            <w:r w:rsidRPr="004D46AC">
              <w:rPr>
                <w:rFonts w:eastAsiaTheme="minorEastAsia"/>
              </w:rPr>
              <w:t>SAPS</w:t>
            </w:r>
          </w:p>
        </w:tc>
        <w:tc>
          <w:tcPr>
            <w:tcW w:w="1052" w:type="dxa"/>
            <w:vAlign w:val="center"/>
          </w:tcPr>
          <w:p w14:paraId="7D14FCF2" w14:textId="77777777" w:rsidR="009864DB" w:rsidRPr="004D46AC" w:rsidRDefault="009864DB" w:rsidP="009864DB">
            <w:pPr>
              <w:spacing w:line="240" w:lineRule="auto"/>
              <w:ind w:firstLine="0"/>
              <w:rPr>
                <w:rFonts w:eastAsiaTheme="minorEastAsia"/>
              </w:rPr>
            </w:pPr>
            <w:r w:rsidRPr="004D46AC">
              <w:rPr>
                <w:rFonts w:eastAsiaTheme="minorEastAsia"/>
              </w:rPr>
              <w:t>103</w:t>
            </w:r>
          </w:p>
        </w:tc>
        <w:tc>
          <w:tcPr>
            <w:tcW w:w="1028" w:type="dxa"/>
            <w:vAlign w:val="center"/>
          </w:tcPr>
          <w:p w14:paraId="2938D450"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0435D968"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20E2242E"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1E92B16F"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7CADB60E" w14:textId="77777777" w:rsidR="009864DB" w:rsidRPr="004D46AC" w:rsidRDefault="009864DB" w:rsidP="009864DB">
            <w:pPr>
              <w:spacing w:line="240" w:lineRule="auto"/>
              <w:ind w:firstLine="0"/>
              <w:rPr>
                <w:rFonts w:eastAsiaTheme="minorEastAsia"/>
              </w:rPr>
            </w:pPr>
            <w:r w:rsidRPr="004D46AC">
              <w:rPr>
                <w:rFonts w:eastAsiaTheme="minorEastAsia"/>
              </w:rPr>
              <w:t>23</w:t>
            </w:r>
          </w:p>
        </w:tc>
      </w:tr>
      <w:tr w:rsidR="009864DB" w:rsidRPr="004D46AC" w14:paraId="7B15D4D3" w14:textId="77777777" w:rsidTr="00B518F1">
        <w:trPr>
          <w:trHeight w:val="508"/>
        </w:trPr>
        <w:tc>
          <w:tcPr>
            <w:tcW w:w="1712" w:type="dxa"/>
          </w:tcPr>
          <w:p w14:paraId="17FE06CF" w14:textId="77777777" w:rsidR="009864DB" w:rsidRPr="004D46AC" w:rsidRDefault="009864DB" w:rsidP="009864DB">
            <w:pPr>
              <w:spacing w:line="240" w:lineRule="auto"/>
              <w:ind w:firstLine="0"/>
              <w:rPr>
                <w:rFonts w:eastAsiaTheme="minorEastAsia"/>
              </w:rPr>
            </w:pPr>
            <w:r w:rsidRPr="004D46AC">
              <w:rPr>
                <w:rFonts w:eastAsiaTheme="minorEastAsia" w:hint="eastAsia"/>
              </w:rPr>
              <w:t>Yan et al. (1982)</w:t>
            </w:r>
          </w:p>
        </w:tc>
        <w:tc>
          <w:tcPr>
            <w:tcW w:w="1194" w:type="dxa"/>
            <w:vAlign w:val="center"/>
          </w:tcPr>
          <w:p w14:paraId="0757F597"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547552C8" w14:textId="77777777" w:rsidR="009864DB" w:rsidRPr="004D46AC" w:rsidRDefault="009864DB" w:rsidP="009864DB">
            <w:pPr>
              <w:spacing w:line="240" w:lineRule="auto"/>
              <w:ind w:firstLine="0"/>
              <w:rPr>
                <w:rFonts w:eastAsiaTheme="minorEastAsia"/>
              </w:rPr>
            </w:pPr>
            <w:r w:rsidRPr="004D46AC">
              <w:rPr>
                <w:rFonts w:eastAsiaTheme="minorEastAsia"/>
              </w:rPr>
              <w:t>31.51</w:t>
            </w:r>
          </w:p>
        </w:tc>
        <w:tc>
          <w:tcPr>
            <w:tcW w:w="1271" w:type="dxa"/>
            <w:vAlign w:val="center"/>
          </w:tcPr>
          <w:p w14:paraId="33F5B3F3" w14:textId="77777777" w:rsidR="009864DB" w:rsidRPr="004D46AC" w:rsidRDefault="009864DB" w:rsidP="009864DB">
            <w:pPr>
              <w:spacing w:line="240" w:lineRule="auto"/>
              <w:ind w:firstLine="0"/>
              <w:rPr>
                <w:rFonts w:eastAsiaTheme="minorEastAsia"/>
              </w:rPr>
            </w:pPr>
            <w:r w:rsidRPr="004D46AC">
              <w:rPr>
                <w:rFonts w:eastAsiaTheme="minorEastAsia"/>
              </w:rPr>
              <w:t>mixed</w:t>
            </w:r>
          </w:p>
        </w:tc>
        <w:tc>
          <w:tcPr>
            <w:tcW w:w="1944" w:type="dxa"/>
            <w:vAlign w:val="center"/>
          </w:tcPr>
          <w:p w14:paraId="74053D54" w14:textId="77777777" w:rsidR="009864DB" w:rsidRPr="004D46AC" w:rsidRDefault="009864DB" w:rsidP="009864DB">
            <w:pPr>
              <w:spacing w:line="240" w:lineRule="auto"/>
              <w:ind w:firstLine="0"/>
              <w:rPr>
                <w:rFonts w:eastAsiaTheme="minorEastAsia"/>
              </w:rPr>
            </w:pPr>
            <w:r w:rsidRPr="004D46AC">
              <w:rPr>
                <w:rFonts w:eastAsiaTheme="minorEastAsia"/>
              </w:rPr>
              <w:t>unclear</w:t>
            </w:r>
          </w:p>
        </w:tc>
        <w:tc>
          <w:tcPr>
            <w:tcW w:w="1052" w:type="dxa"/>
            <w:vAlign w:val="center"/>
          </w:tcPr>
          <w:p w14:paraId="080EA75F" w14:textId="77777777" w:rsidR="009864DB" w:rsidRPr="004D46AC" w:rsidRDefault="009864DB" w:rsidP="009864DB">
            <w:pPr>
              <w:spacing w:line="240" w:lineRule="auto"/>
              <w:ind w:firstLine="0"/>
              <w:rPr>
                <w:rFonts w:eastAsiaTheme="minorEastAsia"/>
              </w:rPr>
            </w:pPr>
            <w:r w:rsidRPr="004D46AC">
              <w:rPr>
                <w:rFonts w:eastAsiaTheme="minorEastAsia"/>
              </w:rPr>
              <w:t>108</w:t>
            </w:r>
          </w:p>
        </w:tc>
        <w:tc>
          <w:tcPr>
            <w:tcW w:w="1028" w:type="dxa"/>
            <w:vAlign w:val="center"/>
          </w:tcPr>
          <w:p w14:paraId="353791B3"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2FDD3D9F"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5591BC13"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52E91166"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524D507E" w14:textId="77777777" w:rsidR="009864DB" w:rsidRPr="004D46AC" w:rsidRDefault="009864DB" w:rsidP="009864DB">
            <w:pPr>
              <w:spacing w:line="240" w:lineRule="auto"/>
              <w:ind w:firstLine="0"/>
              <w:rPr>
                <w:rFonts w:eastAsiaTheme="minorEastAsia"/>
              </w:rPr>
            </w:pPr>
            <w:r w:rsidRPr="004D46AC">
              <w:rPr>
                <w:rFonts w:eastAsiaTheme="minorEastAsia"/>
              </w:rPr>
              <w:t>4</w:t>
            </w:r>
          </w:p>
        </w:tc>
      </w:tr>
      <w:tr w:rsidR="009864DB" w:rsidRPr="004D46AC" w14:paraId="14E53D34" w14:textId="77777777" w:rsidTr="00B518F1">
        <w:trPr>
          <w:trHeight w:val="144"/>
        </w:trPr>
        <w:tc>
          <w:tcPr>
            <w:tcW w:w="1712" w:type="dxa"/>
          </w:tcPr>
          <w:p w14:paraId="0F92A7CE"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Carlson et al. (2012)</w:t>
            </w:r>
            <w:r w:rsidRPr="004D46AC">
              <w:rPr>
                <w:rFonts w:eastAsiaTheme="minorEastAsia"/>
              </w:rPr>
              <w:fldChar w:fldCharType="end"/>
            </w:r>
          </w:p>
        </w:tc>
        <w:tc>
          <w:tcPr>
            <w:tcW w:w="1194" w:type="dxa"/>
            <w:vAlign w:val="center"/>
          </w:tcPr>
          <w:p w14:paraId="083C34C6" w14:textId="77777777" w:rsidR="009864DB" w:rsidRPr="004D46AC" w:rsidRDefault="009864DB" w:rsidP="009864DB">
            <w:pPr>
              <w:spacing w:line="240" w:lineRule="auto"/>
              <w:ind w:firstLine="0"/>
              <w:rPr>
                <w:rFonts w:eastAsiaTheme="minorEastAsia"/>
              </w:rPr>
            </w:pPr>
            <w:r w:rsidRPr="004D46AC">
              <w:rPr>
                <w:rFonts w:eastAsiaTheme="minorEastAsia"/>
              </w:rPr>
              <w:t>6</w:t>
            </w:r>
          </w:p>
        </w:tc>
        <w:tc>
          <w:tcPr>
            <w:tcW w:w="1120" w:type="dxa"/>
            <w:vAlign w:val="center"/>
          </w:tcPr>
          <w:p w14:paraId="08C1467B" w14:textId="77777777" w:rsidR="009864DB" w:rsidRPr="004D46AC" w:rsidRDefault="009864DB" w:rsidP="009864DB">
            <w:pPr>
              <w:spacing w:line="240" w:lineRule="auto"/>
              <w:ind w:firstLine="0"/>
              <w:rPr>
                <w:rFonts w:eastAsiaTheme="minorEastAsia"/>
              </w:rPr>
            </w:pPr>
            <w:r w:rsidRPr="004D46AC">
              <w:rPr>
                <w:rFonts w:eastAsiaTheme="minorEastAsia"/>
              </w:rPr>
              <w:t>29.3</w:t>
            </w:r>
          </w:p>
        </w:tc>
        <w:tc>
          <w:tcPr>
            <w:tcW w:w="1271" w:type="dxa"/>
            <w:vAlign w:val="center"/>
          </w:tcPr>
          <w:p w14:paraId="79B99926" w14:textId="77777777" w:rsidR="009864DB" w:rsidRPr="004D46AC" w:rsidRDefault="009864DB" w:rsidP="009864DB">
            <w:pPr>
              <w:spacing w:line="240" w:lineRule="auto"/>
              <w:ind w:firstLine="0"/>
              <w:rPr>
                <w:rFonts w:eastAsiaTheme="minorEastAsia"/>
              </w:rPr>
            </w:pPr>
            <w:r w:rsidRPr="004D46AC">
              <w:rPr>
                <w:rFonts w:eastAsiaTheme="minorEastAsia"/>
              </w:rPr>
              <w:t>DSM3R</w:t>
            </w:r>
          </w:p>
        </w:tc>
        <w:tc>
          <w:tcPr>
            <w:tcW w:w="1944" w:type="dxa"/>
            <w:vAlign w:val="center"/>
          </w:tcPr>
          <w:p w14:paraId="6035370C" w14:textId="77777777" w:rsidR="009864DB" w:rsidRPr="004D46AC" w:rsidRDefault="009864DB" w:rsidP="009864DB">
            <w:pPr>
              <w:spacing w:line="240" w:lineRule="auto"/>
              <w:ind w:firstLine="0"/>
              <w:rPr>
                <w:rFonts w:eastAsiaTheme="minorEastAsia"/>
              </w:rPr>
            </w:pPr>
            <w:r w:rsidRPr="004D46AC">
              <w:rPr>
                <w:rFonts w:eastAsiaTheme="minorEastAsia"/>
              </w:rPr>
              <w:t>SCID</w:t>
            </w:r>
          </w:p>
        </w:tc>
        <w:tc>
          <w:tcPr>
            <w:tcW w:w="1052" w:type="dxa"/>
            <w:vAlign w:val="center"/>
          </w:tcPr>
          <w:p w14:paraId="748DA517" w14:textId="77777777" w:rsidR="009864DB" w:rsidRPr="004D46AC" w:rsidRDefault="009864DB" w:rsidP="009864DB">
            <w:pPr>
              <w:spacing w:line="240" w:lineRule="auto"/>
              <w:ind w:firstLine="0"/>
              <w:rPr>
                <w:rFonts w:eastAsiaTheme="minorEastAsia"/>
              </w:rPr>
            </w:pPr>
            <w:r w:rsidRPr="004D46AC">
              <w:rPr>
                <w:rFonts w:eastAsiaTheme="minorEastAsia"/>
              </w:rPr>
              <w:t>126</w:t>
            </w:r>
          </w:p>
        </w:tc>
        <w:tc>
          <w:tcPr>
            <w:tcW w:w="1028" w:type="dxa"/>
            <w:vAlign w:val="center"/>
          </w:tcPr>
          <w:p w14:paraId="79036C79"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13654762" w14:textId="77777777" w:rsidR="009864DB" w:rsidRPr="004D46AC" w:rsidRDefault="009864DB" w:rsidP="009864DB">
            <w:pPr>
              <w:spacing w:line="240" w:lineRule="auto"/>
              <w:ind w:firstLine="0"/>
              <w:rPr>
                <w:rFonts w:eastAsiaTheme="minorEastAsia"/>
              </w:rPr>
            </w:pPr>
            <w:r w:rsidRPr="004D46AC">
              <w:rPr>
                <w:rFonts w:eastAsiaTheme="minorEastAsia"/>
              </w:rPr>
              <w:t>3</w:t>
            </w:r>
          </w:p>
        </w:tc>
        <w:tc>
          <w:tcPr>
            <w:tcW w:w="1022" w:type="dxa"/>
            <w:vAlign w:val="center"/>
          </w:tcPr>
          <w:p w14:paraId="2F7043F5"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00EBE12E"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742A46A6" w14:textId="77777777" w:rsidR="009864DB" w:rsidRPr="004D46AC" w:rsidRDefault="009864DB" w:rsidP="009864DB">
            <w:pPr>
              <w:spacing w:line="240" w:lineRule="auto"/>
              <w:ind w:firstLine="0"/>
              <w:rPr>
                <w:rFonts w:eastAsiaTheme="minorEastAsia"/>
              </w:rPr>
            </w:pPr>
            <w:r w:rsidRPr="004D46AC">
              <w:rPr>
                <w:rFonts w:eastAsiaTheme="minorEastAsia"/>
              </w:rPr>
              <w:t>35</w:t>
            </w:r>
          </w:p>
        </w:tc>
      </w:tr>
      <w:tr w:rsidR="009864DB" w:rsidRPr="004D46AC" w14:paraId="4D3194E0" w14:textId="77777777" w:rsidTr="00B518F1">
        <w:trPr>
          <w:trHeight w:val="762"/>
        </w:trPr>
        <w:tc>
          <w:tcPr>
            <w:tcW w:w="1712" w:type="dxa"/>
          </w:tcPr>
          <w:p w14:paraId="3969AC50" w14:textId="77777777" w:rsidR="009864DB" w:rsidRPr="004D46AC" w:rsidRDefault="009864DB" w:rsidP="009864DB">
            <w:pPr>
              <w:spacing w:line="240" w:lineRule="auto"/>
              <w:ind w:firstLine="0"/>
              <w:rPr>
                <w:rFonts w:eastAsiaTheme="minorEastAsia"/>
              </w:rPr>
            </w:pPr>
            <w:r w:rsidRPr="004D46AC">
              <w:rPr>
                <w:rFonts w:eastAsiaTheme="minorEastAsia"/>
              </w:rPr>
              <w:fldChar w:fldCharType="begin"/>
            </w:r>
            <w:r w:rsidRPr="004D46AC">
              <w:rPr>
                <w:rFonts w:eastAsiaTheme="minorEastAsia"/>
              </w:rPr>
              <w:instrText xml:space="preserve"> ADDIN EN.CITE </w:instrText>
            </w:r>
            <w:r w:rsidRPr="004D46AC">
              <w:rPr>
                <w:rFonts w:eastAsiaTheme="minorEastAsia"/>
              </w:rPr>
              <w:fldChar w:fldCharType="begin"/>
            </w:r>
            <w:r w:rsidRPr="004D46AC">
              <w:rPr>
                <w:rFonts w:eastAsiaTheme="minorEastAsia"/>
              </w:rPr>
              <w:instrText xml:space="preserve"> ADDIN EN.CITE.DATA </w:instrText>
            </w:r>
            <w:r w:rsidRPr="004D46AC">
              <w:rPr>
                <w:rFonts w:eastAsiaTheme="minorEastAsia"/>
              </w:rPr>
              <w:fldChar w:fldCharType="end"/>
            </w:r>
            <w:r w:rsidRPr="004D46AC">
              <w:rPr>
                <w:rFonts w:eastAsiaTheme="minorEastAsia"/>
              </w:rPr>
              <w:fldChar w:fldCharType="separate"/>
            </w:r>
            <w:r w:rsidRPr="004D46AC">
              <w:rPr>
                <w:rFonts w:eastAsiaTheme="minorEastAsia"/>
              </w:rPr>
              <w:t>Kennedy et al. (2004)</w:t>
            </w:r>
            <w:r w:rsidRPr="004D46AC">
              <w:rPr>
                <w:rFonts w:eastAsiaTheme="minorEastAsia"/>
              </w:rPr>
              <w:fldChar w:fldCharType="end"/>
            </w:r>
          </w:p>
        </w:tc>
        <w:tc>
          <w:tcPr>
            <w:tcW w:w="1194" w:type="dxa"/>
            <w:vAlign w:val="center"/>
          </w:tcPr>
          <w:p w14:paraId="26044A49" w14:textId="77777777" w:rsidR="009864DB" w:rsidRPr="004D46AC" w:rsidRDefault="009864DB" w:rsidP="009864DB">
            <w:pPr>
              <w:spacing w:line="240" w:lineRule="auto"/>
              <w:ind w:firstLine="0"/>
              <w:rPr>
                <w:rFonts w:eastAsiaTheme="minorEastAsia"/>
              </w:rPr>
            </w:pPr>
            <w:r w:rsidRPr="004D46AC">
              <w:rPr>
                <w:rFonts w:eastAsiaTheme="minorEastAsia"/>
              </w:rPr>
              <w:t>4</w:t>
            </w:r>
          </w:p>
        </w:tc>
        <w:tc>
          <w:tcPr>
            <w:tcW w:w="1120" w:type="dxa"/>
            <w:vAlign w:val="center"/>
          </w:tcPr>
          <w:p w14:paraId="0DA2A877" w14:textId="77777777" w:rsidR="009864DB" w:rsidRPr="004D46AC" w:rsidRDefault="009864DB" w:rsidP="009864DB">
            <w:pPr>
              <w:spacing w:line="240" w:lineRule="auto"/>
              <w:ind w:firstLine="0"/>
              <w:rPr>
                <w:rFonts w:eastAsiaTheme="minorEastAsia"/>
              </w:rPr>
            </w:pPr>
            <w:r w:rsidRPr="004D46AC">
              <w:rPr>
                <w:rFonts w:eastAsiaTheme="minorEastAsia"/>
              </w:rPr>
              <w:t>NA</w:t>
            </w:r>
          </w:p>
        </w:tc>
        <w:tc>
          <w:tcPr>
            <w:tcW w:w="1271" w:type="dxa"/>
            <w:vAlign w:val="center"/>
          </w:tcPr>
          <w:p w14:paraId="34259DD2" w14:textId="77777777" w:rsidR="009864DB" w:rsidRPr="004D46AC" w:rsidRDefault="009864DB" w:rsidP="009864DB">
            <w:pPr>
              <w:spacing w:line="240" w:lineRule="auto"/>
              <w:ind w:firstLine="0"/>
              <w:rPr>
                <w:rFonts w:eastAsiaTheme="minorEastAsia"/>
              </w:rPr>
            </w:pPr>
            <w:r w:rsidRPr="004D46AC">
              <w:rPr>
                <w:rFonts w:eastAsiaTheme="minorEastAsia"/>
              </w:rPr>
              <w:t>DSM4</w:t>
            </w:r>
          </w:p>
        </w:tc>
        <w:tc>
          <w:tcPr>
            <w:tcW w:w="1944" w:type="dxa"/>
            <w:vAlign w:val="center"/>
          </w:tcPr>
          <w:p w14:paraId="22244ACC" w14:textId="77777777" w:rsidR="009864DB" w:rsidRPr="004D46AC" w:rsidRDefault="009864DB" w:rsidP="009864DB">
            <w:pPr>
              <w:spacing w:line="240" w:lineRule="auto"/>
              <w:ind w:firstLine="0"/>
              <w:rPr>
                <w:rFonts w:eastAsiaTheme="minorEastAsia"/>
              </w:rPr>
            </w:pPr>
            <w:r w:rsidRPr="004D46AC">
              <w:rPr>
                <w:rFonts w:eastAsiaTheme="minorEastAsia"/>
              </w:rPr>
              <w:t>OPCRIT</w:t>
            </w:r>
          </w:p>
        </w:tc>
        <w:tc>
          <w:tcPr>
            <w:tcW w:w="1052" w:type="dxa"/>
            <w:vAlign w:val="center"/>
          </w:tcPr>
          <w:p w14:paraId="65562EDA" w14:textId="77777777" w:rsidR="009864DB" w:rsidRPr="004D46AC" w:rsidRDefault="009864DB" w:rsidP="009864DB">
            <w:pPr>
              <w:spacing w:line="240" w:lineRule="auto"/>
              <w:ind w:firstLine="0"/>
              <w:rPr>
                <w:rFonts w:eastAsiaTheme="minorEastAsia"/>
              </w:rPr>
            </w:pPr>
            <w:r w:rsidRPr="004D46AC">
              <w:rPr>
                <w:rFonts w:eastAsiaTheme="minorEastAsia"/>
              </w:rPr>
              <w:t>246</w:t>
            </w:r>
          </w:p>
        </w:tc>
        <w:tc>
          <w:tcPr>
            <w:tcW w:w="1028" w:type="dxa"/>
            <w:vAlign w:val="center"/>
          </w:tcPr>
          <w:p w14:paraId="36504A9F"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414B7F0B" w14:textId="77777777" w:rsidR="009864DB" w:rsidRPr="004D46AC" w:rsidRDefault="009864DB" w:rsidP="009864DB">
            <w:pPr>
              <w:spacing w:line="240" w:lineRule="auto"/>
              <w:ind w:firstLine="0"/>
              <w:rPr>
                <w:rFonts w:eastAsiaTheme="minorEastAsia"/>
              </w:rPr>
            </w:pPr>
            <w:r w:rsidRPr="004D46AC">
              <w:rPr>
                <w:rFonts w:eastAsiaTheme="minorEastAsia"/>
              </w:rPr>
              <w:t>2</w:t>
            </w:r>
          </w:p>
        </w:tc>
        <w:tc>
          <w:tcPr>
            <w:tcW w:w="1022" w:type="dxa"/>
            <w:vAlign w:val="center"/>
          </w:tcPr>
          <w:p w14:paraId="08559534" w14:textId="77777777" w:rsidR="009864DB" w:rsidRPr="004D46AC" w:rsidRDefault="009864DB" w:rsidP="009864DB">
            <w:pPr>
              <w:spacing w:line="240" w:lineRule="auto"/>
              <w:ind w:firstLine="0"/>
              <w:rPr>
                <w:rFonts w:eastAsiaTheme="minorEastAsia"/>
              </w:rPr>
            </w:pPr>
            <w:r w:rsidRPr="004D46AC">
              <w:rPr>
                <w:rFonts w:eastAsiaTheme="minorEastAsia"/>
              </w:rPr>
              <w:t>0</w:t>
            </w:r>
          </w:p>
        </w:tc>
        <w:tc>
          <w:tcPr>
            <w:tcW w:w="1657" w:type="dxa"/>
            <w:vAlign w:val="center"/>
          </w:tcPr>
          <w:p w14:paraId="564994F3" w14:textId="77777777" w:rsidR="009864DB" w:rsidRPr="004D46AC" w:rsidRDefault="009864DB" w:rsidP="009864DB">
            <w:pPr>
              <w:spacing w:line="240" w:lineRule="auto"/>
              <w:ind w:firstLine="0"/>
              <w:rPr>
                <w:rFonts w:eastAsiaTheme="minorEastAsia"/>
              </w:rPr>
            </w:pPr>
            <w:proofErr w:type="spellStart"/>
            <w:r w:rsidRPr="004D46AC">
              <w:rPr>
                <w:rFonts w:eastAsiaTheme="minorEastAsia"/>
              </w:rPr>
              <w:t>frs</w:t>
            </w:r>
            <w:proofErr w:type="spellEnd"/>
          </w:p>
        </w:tc>
        <w:tc>
          <w:tcPr>
            <w:tcW w:w="1022" w:type="dxa"/>
            <w:vAlign w:val="center"/>
          </w:tcPr>
          <w:p w14:paraId="5FE41CCC" w14:textId="77777777" w:rsidR="009864DB" w:rsidRPr="004D46AC" w:rsidRDefault="009864DB" w:rsidP="009864DB">
            <w:pPr>
              <w:spacing w:line="240" w:lineRule="auto"/>
              <w:ind w:firstLine="0"/>
              <w:rPr>
                <w:rFonts w:eastAsiaTheme="minorEastAsia"/>
              </w:rPr>
            </w:pPr>
            <w:r w:rsidRPr="004D46AC">
              <w:rPr>
                <w:rFonts w:eastAsiaTheme="minorEastAsia"/>
              </w:rPr>
              <w:t>30</w:t>
            </w:r>
          </w:p>
        </w:tc>
      </w:tr>
    </w:tbl>
    <w:p w14:paraId="02293C41" w14:textId="77777777" w:rsidR="009864DB" w:rsidRPr="004D46AC" w:rsidRDefault="009864DB" w:rsidP="009864DB">
      <w:pPr>
        <w:spacing w:line="240" w:lineRule="auto"/>
        <w:ind w:firstLine="0"/>
        <w:rPr>
          <w:rFonts w:eastAsiaTheme="minorEastAsia"/>
          <w:lang w:val="en-US"/>
        </w:rPr>
      </w:pPr>
      <w:r w:rsidRPr="004D46AC">
        <w:rPr>
          <w:rFonts w:eastAsiaTheme="minorEastAsia"/>
          <w:i/>
          <w:iCs/>
        </w:rPr>
        <w:t>Note</w:t>
      </w:r>
      <w:r w:rsidRPr="004D46AC">
        <w:rPr>
          <w:rFonts w:eastAsiaTheme="minorEastAsia" w:hint="eastAsia"/>
        </w:rPr>
        <w:t>.</w:t>
      </w:r>
      <w:r w:rsidRPr="004D46AC">
        <w:rPr>
          <w:rFonts w:eastAsiaTheme="minorEastAsia"/>
        </w:rPr>
        <w:t xml:space="preserve"> The JBI score refers to the study quality score rated by the JBI checklist (range = 0-9). Pop denotes the patient population (1 = outpatient, 2 = mixed, 3 = inpatient). Criteria specify the diagnostic criteria used, while Assessment refers to the interview tools employed (See Table S6 for details).</w:t>
      </w:r>
      <w:r w:rsidRPr="004D46AC">
        <w:rPr>
          <w:rFonts w:eastAsiaTheme="minorEastAsia" w:hint="eastAsia"/>
          <w:lang w:val="en-US"/>
        </w:rPr>
        <w:t xml:space="preserve"> </w:t>
      </w:r>
      <w:r w:rsidRPr="004D46AC">
        <w:rPr>
          <w:rFonts w:eastAsiaTheme="minorEastAsia"/>
        </w:rPr>
        <w:t xml:space="preserve">BD represents the bipolar diagnosis subtype (0 = BD II, 1 = BSD, 2 = BD I, 3 = Psychotic BD). TF indicates the timeframe (0 = current, 1 = lifetime). Cotype refers to the comorbidity type (psychotic = psychotic disorders, </w:t>
      </w:r>
      <w:proofErr w:type="spellStart"/>
      <w:r w:rsidRPr="004D46AC">
        <w:rPr>
          <w:rFonts w:eastAsiaTheme="minorEastAsia"/>
        </w:rPr>
        <w:t>scz</w:t>
      </w:r>
      <w:proofErr w:type="spellEnd"/>
      <w:r w:rsidRPr="004D46AC">
        <w:rPr>
          <w:rFonts w:eastAsiaTheme="minorEastAsia"/>
        </w:rPr>
        <w:t xml:space="preserve"> = schizophrenia, </w:t>
      </w:r>
      <w:proofErr w:type="spellStart"/>
      <w:r w:rsidRPr="004D46AC">
        <w:rPr>
          <w:rFonts w:eastAsiaTheme="minorEastAsia"/>
        </w:rPr>
        <w:t>sca</w:t>
      </w:r>
      <w:proofErr w:type="spellEnd"/>
      <w:r w:rsidRPr="004D46AC">
        <w:rPr>
          <w:rFonts w:eastAsiaTheme="minorEastAsia"/>
        </w:rPr>
        <w:t xml:space="preserve"> = schizoaffective disorders, </w:t>
      </w:r>
      <w:proofErr w:type="spellStart"/>
      <w:r w:rsidRPr="004D46AC">
        <w:rPr>
          <w:rFonts w:eastAsiaTheme="minorEastAsia"/>
        </w:rPr>
        <w:t>frs</w:t>
      </w:r>
      <w:proofErr w:type="spellEnd"/>
      <w:r w:rsidRPr="004D46AC">
        <w:rPr>
          <w:rFonts w:eastAsiaTheme="minorEastAsia"/>
        </w:rPr>
        <w:t xml:space="preserve"> = first rank symptoms).</w:t>
      </w:r>
      <w:r w:rsidRPr="004D46AC">
        <w:rPr>
          <w:rFonts w:eastAsiaTheme="minorEastAsia" w:hint="eastAsia"/>
          <w:lang w:val="en-US"/>
        </w:rPr>
        <w:t xml:space="preserve"> Co (n): number of patients with this condition.</w:t>
      </w:r>
    </w:p>
    <w:bookmarkEnd w:id="314"/>
    <w:p w14:paraId="634ECCE7" w14:textId="77777777" w:rsidR="009864DB" w:rsidRPr="004D46AC" w:rsidRDefault="009864DB" w:rsidP="00D41749">
      <w:pPr>
        <w:spacing w:line="240" w:lineRule="auto"/>
        <w:ind w:firstLine="0"/>
        <w:rPr>
          <w:rFonts w:eastAsiaTheme="minorEastAsia"/>
        </w:rPr>
      </w:pPr>
    </w:p>
    <w:p w14:paraId="254B1193" w14:textId="77777777" w:rsidR="007075D9" w:rsidRPr="004D46AC" w:rsidRDefault="007075D9" w:rsidP="00D41749">
      <w:pPr>
        <w:spacing w:line="240" w:lineRule="auto"/>
        <w:ind w:firstLine="0"/>
      </w:pPr>
    </w:p>
    <w:p w14:paraId="72861E02" w14:textId="77777777" w:rsidR="009864DB" w:rsidRPr="004D46AC" w:rsidRDefault="009864DB" w:rsidP="009864DB">
      <w:pPr>
        <w:spacing w:line="240" w:lineRule="auto"/>
        <w:ind w:left="720" w:hanging="720"/>
      </w:pPr>
      <w:r w:rsidRPr="004D46AC">
        <w:t>Reference:</w:t>
      </w:r>
    </w:p>
    <w:p w14:paraId="1E3A31E2" w14:textId="77777777" w:rsidR="009864DB" w:rsidRPr="004D46AC" w:rsidRDefault="009864DB" w:rsidP="009864DB">
      <w:pPr>
        <w:spacing w:line="240" w:lineRule="auto"/>
        <w:ind w:left="720" w:hanging="720"/>
      </w:pPr>
      <w:r w:rsidRPr="004D46AC">
        <w:t xml:space="preserve">Abu Nazel, M., Elkady, H., Abd Allah, S., &amp; Ibrahim, R. (2017). Pattern and correlates of tobacco smoking among mentally ill male patients in El-Mamoura Psychiatric Hospital, Alexandria, Egypt. Journal of Egyptian Public Health Association, 92(3), 167–176. https://doi.org/10.21608/epx.2017.16397 </w:t>
      </w:r>
    </w:p>
    <w:p w14:paraId="39986805" w14:textId="77777777" w:rsidR="009864DB" w:rsidRPr="004D46AC" w:rsidRDefault="009864DB" w:rsidP="009864DB">
      <w:pPr>
        <w:spacing w:line="240" w:lineRule="auto"/>
        <w:ind w:left="720" w:hanging="720"/>
      </w:pPr>
      <w:r w:rsidRPr="004D46AC">
        <w:t xml:space="preserve">Almeida, O. P., &amp; Fenner, S. (2002). Bipolar disorder: similarities and differences between patients with illness onset before and after 65 years of age. Int </w:t>
      </w:r>
      <w:proofErr w:type="spellStart"/>
      <w:r w:rsidRPr="004D46AC">
        <w:t>Psychogeriatr</w:t>
      </w:r>
      <w:proofErr w:type="spellEnd"/>
      <w:r w:rsidRPr="004D46AC">
        <w:t xml:space="preserve">, 14(3), 311–322. https://doi.org/10.1017/s1041610202008517 </w:t>
      </w:r>
    </w:p>
    <w:p w14:paraId="26DB5525" w14:textId="77777777" w:rsidR="009864DB" w:rsidRPr="004D46AC" w:rsidRDefault="009864DB" w:rsidP="009864DB">
      <w:pPr>
        <w:spacing w:line="240" w:lineRule="auto"/>
        <w:ind w:left="720" w:hanging="720"/>
      </w:pPr>
      <w:r w:rsidRPr="004D46AC">
        <w:t xml:space="preserve">Bora, E., </w:t>
      </w:r>
      <w:proofErr w:type="spellStart"/>
      <w:r w:rsidRPr="004D46AC">
        <w:t>Vahip</w:t>
      </w:r>
      <w:proofErr w:type="spellEnd"/>
      <w:r w:rsidRPr="004D46AC">
        <w:t xml:space="preserve">, S., Akdeniz, F., Gonul, A. S., </w:t>
      </w:r>
      <w:proofErr w:type="spellStart"/>
      <w:r w:rsidRPr="004D46AC">
        <w:t>Eryavuz</w:t>
      </w:r>
      <w:proofErr w:type="spellEnd"/>
      <w:r w:rsidRPr="004D46AC">
        <w:t xml:space="preserve">, A., </w:t>
      </w:r>
      <w:proofErr w:type="spellStart"/>
      <w:r w:rsidRPr="004D46AC">
        <w:t>Ogut</w:t>
      </w:r>
      <w:proofErr w:type="spellEnd"/>
      <w:r w:rsidRPr="004D46AC">
        <w:t xml:space="preserve">, M., &amp; Alkan, M. (2007). The effect of previous psychotic mood episodes on cognitive impairment in euthymic bipolar patients. Bipolar </w:t>
      </w:r>
      <w:proofErr w:type="spellStart"/>
      <w:r w:rsidRPr="004D46AC">
        <w:t>Disord</w:t>
      </w:r>
      <w:proofErr w:type="spellEnd"/>
      <w:r w:rsidRPr="004D46AC">
        <w:t xml:space="preserve">, 9(5), 468–477. https://doi.org/10.1111/j.1399-5618.2007.00469.x </w:t>
      </w:r>
    </w:p>
    <w:p w14:paraId="475E314D" w14:textId="77777777" w:rsidR="009864DB" w:rsidRPr="004D46AC" w:rsidRDefault="009864DB" w:rsidP="009864DB">
      <w:pPr>
        <w:spacing w:line="240" w:lineRule="auto"/>
        <w:ind w:left="720" w:hanging="720"/>
      </w:pPr>
      <w:r w:rsidRPr="004D46AC">
        <w:lastRenderedPageBreak/>
        <w:t xml:space="preserve">Carlson, G. A., Kotov, R., Chang, S. W., Ruggero, C., &amp; </w:t>
      </w:r>
      <w:proofErr w:type="spellStart"/>
      <w:r w:rsidRPr="004D46AC">
        <w:t>Bromet</w:t>
      </w:r>
      <w:proofErr w:type="spellEnd"/>
      <w:r w:rsidRPr="004D46AC">
        <w:t xml:space="preserve">, E. J. (2012). Early determinants of four-year clinical outcomes in bipolar disorder with psychosis. Bipolar </w:t>
      </w:r>
      <w:proofErr w:type="spellStart"/>
      <w:r w:rsidRPr="004D46AC">
        <w:t>Disord</w:t>
      </w:r>
      <w:proofErr w:type="spellEnd"/>
      <w:r w:rsidRPr="004D46AC">
        <w:t xml:space="preserve">, 14(1), 19–30. https://doi.org/10.1111/j.1399-5618.2012.00982.x </w:t>
      </w:r>
    </w:p>
    <w:p w14:paraId="03962E0B" w14:textId="77777777" w:rsidR="009864DB" w:rsidRPr="004D46AC" w:rsidRDefault="009864DB" w:rsidP="009864DB">
      <w:pPr>
        <w:spacing w:line="240" w:lineRule="auto"/>
        <w:ind w:left="720" w:hanging="720"/>
      </w:pPr>
      <w:r w:rsidRPr="004D46AC">
        <w:t xml:space="preserve">Das, A., &amp; Khanna, R. (1993). Organic manic syndrome: causative factors, phenomenology and immediate outcome. J Affect </w:t>
      </w:r>
      <w:proofErr w:type="spellStart"/>
      <w:r w:rsidRPr="004D46AC">
        <w:t>Disord</w:t>
      </w:r>
      <w:proofErr w:type="spellEnd"/>
      <w:r w:rsidRPr="004D46AC">
        <w:t xml:space="preserve">, 27(3), 147–153. https://doi.org/10.1016/0165-0327(93)90002-2 </w:t>
      </w:r>
    </w:p>
    <w:p w14:paraId="33711205" w14:textId="77777777" w:rsidR="009864DB" w:rsidRPr="004D46AC" w:rsidRDefault="009864DB" w:rsidP="009864DB">
      <w:pPr>
        <w:spacing w:line="240" w:lineRule="auto"/>
        <w:ind w:left="720" w:hanging="720"/>
      </w:pPr>
      <w:r w:rsidRPr="004D46AC">
        <w:t xml:space="preserve">Gonzalez-Pinto, A., van </w:t>
      </w:r>
      <w:proofErr w:type="spellStart"/>
      <w:r w:rsidRPr="004D46AC">
        <w:t>Os</w:t>
      </w:r>
      <w:proofErr w:type="spellEnd"/>
      <w:r w:rsidRPr="004D46AC">
        <w:t xml:space="preserve">, J., Perez de Heredia, J. L., Mosquera, F., Aldama, A., </w:t>
      </w:r>
      <w:proofErr w:type="spellStart"/>
      <w:r w:rsidRPr="004D46AC">
        <w:t>Lalaguna</w:t>
      </w:r>
      <w:proofErr w:type="spellEnd"/>
      <w:r w:rsidRPr="004D46AC">
        <w:t xml:space="preserve">, B., Gutierrez, M., &amp; Mico, J. A. (2003). Age-dependence of Schneiderian psychotic symptoms in bipolar patients. </w:t>
      </w:r>
      <w:proofErr w:type="spellStart"/>
      <w:r w:rsidRPr="004D46AC">
        <w:t>Schizophr</w:t>
      </w:r>
      <w:proofErr w:type="spellEnd"/>
      <w:r w:rsidRPr="004D46AC">
        <w:t xml:space="preserve"> Res, 61(2-3), 157–162. https://doi.org/10.1016/s0920-9964(02)00320-1 </w:t>
      </w:r>
    </w:p>
    <w:p w14:paraId="13CD223C" w14:textId="77777777" w:rsidR="009864DB" w:rsidRPr="004D46AC" w:rsidRDefault="009864DB" w:rsidP="009864DB">
      <w:pPr>
        <w:spacing w:line="240" w:lineRule="auto"/>
        <w:ind w:left="720" w:hanging="720"/>
      </w:pPr>
      <w:r w:rsidRPr="004D46AC">
        <w:t xml:space="preserve">Goodwin, R. D., Stayner, D. A., </w:t>
      </w:r>
      <w:proofErr w:type="spellStart"/>
      <w:r w:rsidRPr="004D46AC">
        <w:t>Chinman</w:t>
      </w:r>
      <w:proofErr w:type="spellEnd"/>
      <w:r w:rsidRPr="004D46AC">
        <w:t xml:space="preserve">, M. J., Wu, P., </w:t>
      </w:r>
      <w:proofErr w:type="spellStart"/>
      <w:r w:rsidRPr="004D46AC">
        <w:t>Tebes</w:t>
      </w:r>
      <w:proofErr w:type="spellEnd"/>
      <w:r w:rsidRPr="004D46AC">
        <w:t xml:space="preserve">, J. K., &amp; Davidson, L. (2002). The relationship between anxiety and substance use disorders among individuals with severe affective disorders. </w:t>
      </w:r>
      <w:proofErr w:type="spellStart"/>
      <w:r w:rsidRPr="004D46AC">
        <w:t>Compr</w:t>
      </w:r>
      <w:proofErr w:type="spellEnd"/>
      <w:r w:rsidRPr="004D46AC">
        <w:t xml:space="preserve"> Psychiatry, 43(4), 245–252. https://doi.org/10.1053/comp.2002.33500 </w:t>
      </w:r>
    </w:p>
    <w:p w14:paraId="3FA71829" w14:textId="77777777" w:rsidR="009864DB" w:rsidRPr="004D46AC" w:rsidRDefault="009864DB" w:rsidP="009864DB">
      <w:pPr>
        <w:spacing w:line="240" w:lineRule="auto"/>
        <w:ind w:left="720" w:hanging="720"/>
      </w:pPr>
      <w:proofErr w:type="spellStart"/>
      <w:r w:rsidRPr="004D46AC">
        <w:t>Gorgulu</w:t>
      </w:r>
      <w:proofErr w:type="spellEnd"/>
      <w:r w:rsidRPr="004D46AC">
        <w:t xml:space="preserve">, Y., </w:t>
      </w:r>
      <w:proofErr w:type="spellStart"/>
      <w:r w:rsidRPr="004D46AC">
        <w:t>Uluturk</w:t>
      </w:r>
      <w:proofErr w:type="spellEnd"/>
      <w:r w:rsidRPr="004D46AC">
        <w:t xml:space="preserve">, M. K., &amp; </w:t>
      </w:r>
      <w:proofErr w:type="spellStart"/>
      <w:r w:rsidRPr="004D46AC">
        <w:t>Palabiyik</w:t>
      </w:r>
      <w:proofErr w:type="spellEnd"/>
      <w:r w:rsidRPr="004D46AC">
        <w:t xml:space="preserve">, O. (2021). Comparison of serum BDNF, IL-1beta, IL-6, TNF-alpha, CRP and leucocyte levels in unipolar mania and bipolar disorder. Acta </w:t>
      </w:r>
      <w:proofErr w:type="spellStart"/>
      <w:r w:rsidRPr="004D46AC">
        <w:t>Neuropsychiatr</w:t>
      </w:r>
      <w:proofErr w:type="spellEnd"/>
      <w:r w:rsidRPr="004D46AC">
        <w:t xml:space="preserve">, 33(6), 317–322. https://doi.org/10.1017/neu.2021.25 </w:t>
      </w:r>
    </w:p>
    <w:p w14:paraId="0856B7DC" w14:textId="77777777" w:rsidR="009864DB" w:rsidRPr="004D46AC" w:rsidRDefault="009864DB" w:rsidP="009864DB">
      <w:pPr>
        <w:spacing w:line="240" w:lineRule="auto"/>
        <w:ind w:left="720" w:hanging="720"/>
      </w:pPr>
      <w:r w:rsidRPr="004D46AC">
        <w:t xml:space="preserve">Hsieh, C. J., Godwin, D., &amp; Mamah, D. (2016). Utility of Washington Early Recognition </w:t>
      </w:r>
      <w:proofErr w:type="spellStart"/>
      <w:r w:rsidRPr="004D46AC">
        <w:t>Center</w:t>
      </w:r>
      <w:proofErr w:type="spellEnd"/>
      <w:r w:rsidRPr="004D46AC">
        <w:t xml:space="preserve"> Self-Report Screening Questionnaires in the Assessment of Patients with Schizophrenia and Bipolar Disorder. Front Psychiatry, 7, 149. https://doi.org/10.3389/fpsyt.2016.00149 </w:t>
      </w:r>
    </w:p>
    <w:p w14:paraId="01D83A08" w14:textId="77777777" w:rsidR="009864DB" w:rsidRPr="004D46AC" w:rsidRDefault="009864DB" w:rsidP="009864DB">
      <w:pPr>
        <w:spacing w:line="240" w:lineRule="auto"/>
        <w:ind w:left="720" w:hanging="720"/>
      </w:pPr>
      <w:r w:rsidRPr="004D46AC">
        <w:t xml:space="preserve">Hsu, Y. C., Hsu, C. C., Chang, K. H., Lee, C. Y., Chong, L. W., Wang, Y. C., &amp; Kao, C. H. (2015). Increased Subsequent Risk of Peptic Ulcer Diseases in Patients </w:t>
      </w:r>
      <w:proofErr w:type="gramStart"/>
      <w:r w:rsidRPr="004D46AC">
        <w:t>With</w:t>
      </w:r>
      <w:proofErr w:type="gramEnd"/>
      <w:r w:rsidRPr="004D46AC">
        <w:t xml:space="preserve"> Bipolar Disorders. Medicine (Baltimore), 94(29), e1203. https://doi.org/10.1097/MD.0000000000001203 </w:t>
      </w:r>
    </w:p>
    <w:p w14:paraId="5F3706D7" w14:textId="77777777" w:rsidR="009864DB" w:rsidRPr="004D46AC" w:rsidRDefault="009864DB" w:rsidP="009864DB">
      <w:pPr>
        <w:spacing w:line="240" w:lineRule="auto"/>
        <w:ind w:left="720" w:hanging="720"/>
      </w:pPr>
      <w:r w:rsidRPr="004D46AC">
        <w:t xml:space="preserve">Jorgensen, K. B., Nordentoft, M., &amp; </w:t>
      </w:r>
      <w:proofErr w:type="spellStart"/>
      <w:r w:rsidRPr="004D46AC">
        <w:t>Hjorthoj</w:t>
      </w:r>
      <w:proofErr w:type="spellEnd"/>
      <w:r w:rsidRPr="004D46AC">
        <w:t xml:space="preserve">, C. (2018). Association between alcohol and substance use disorders and psychiatric service use in patients with severe mental illness: a nationwide Danish register-based cohort study. </w:t>
      </w:r>
      <w:proofErr w:type="spellStart"/>
      <w:r w:rsidRPr="004D46AC">
        <w:t>Psychol</w:t>
      </w:r>
      <w:proofErr w:type="spellEnd"/>
      <w:r w:rsidRPr="004D46AC">
        <w:t xml:space="preserve"> Med, 48(15), 2592–2600. https://doi.org/10.1017/S0033291718000223 </w:t>
      </w:r>
    </w:p>
    <w:p w14:paraId="5D0E6050" w14:textId="77777777" w:rsidR="009864DB" w:rsidRPr="004D46AC" w:rsidRDefault="009864DB" w:rsidP="009864DB">
      <w:pPr>
        <w:spacing w:line="240" w:lineRule="auto"/>
        <w:ind w:left="720" w:hanging="720"/>
      </w:pPr>
      <w:r w:rsidRPr="004D46AC">
        <w:t xml:space="preserve">Kamat, S. A., Rajagopalan, K., Pethick, N., Willey, V., Bullano, M., &amp; Hassan, M. (2008). Prevalence and humanistic impact of potential misdiagnosis of bipolar disorder among patients with major depressive disorder in a commercially insured population. J Manag Care Pharm, 14(7), 631–642. </w:t>
      </w:r>
    </w:p>
    <w:p w14:paraId="0B91D7B9" w14:textId="77777777" w:rsidR="009864DB" w:rsidRPr="004D46AC" w:rsidRDefault="009864DB" w:rsidP="009864DB">
      <w:pPr>
        <w:spacing w:line="240" w:lineRule="auto"/>
        <w:ind w:left="720" w:hanging="720"/>
      </w:pPr>
      <w:r w:rsidRPr="004D46AC">
        <w:t xml:space="preserve">Kendler, K. S., Ohlsson, H., Sundquist, J., &amp; Sundquist, K. (2023). Selecting cases of major psychiatric and substance use disorders in Swedish national registries </w:t>
      </w:r>
      <w:proofErr w:type="gramStart"/>
      <w:r w:rsidRPr="004D46AC">
        <w:t>on the basis of</w:t>
      </w:r>
      <w:proofErr w:type="gramEnd"/>
      <w:r w:rsidRPr="004D46AC">
        <w:t xml:space="preserve"> clinical features to maximize the strength or specificity of the genetic risk. Mol Psychiatry, 28(12), 5195–5205. https://doi.org/10.1038/s41380-023-02156-2 </w:t>
      </w:r>
    </w:p>
    <w:p w14:paraId="750D94F1" w14:textId="77777777" w:rsidR="009864DB" w:rsidRPr="004D46AC" w:rsidRDefault="009864DB" w:rsidP="009864DB">
      <w:pPr>
        <w:spacing w:line="240" w:lineRule="auto"/>
        <w:ind w:left="720" w:hanging="720"/>
      </w:pPr>
      <w:r w:rsidRPr="004D46AC">
        <w:t xml:space="preserve">Kennedy, N., Boydell, J., van </w:t>
      </w:r>
      <w:proofErr w:type="spellStart"/>
      <w:r w:rsidRPr="004D46AC">
        <w:t>Os</w:t>
      </w:r>
      <w:proofErr w:type="spellEnd"/>
      <w:r w:rsidRPr="004D46AC">
        <w:t xml:space="preserve">, J., &amp; Murray, R. M. (2004). Ethnic differences in first clinical presentation of bipolar disorder: results from an epidemiological study. J Affect </w:t>
      </w:r>
      <w:proofErr w:type="spellStart"/>
      <w:r w:rsidRPr="004D46AC">
        <w:t>Disord</w:t>
      </w:r>
      <w:proofErr w:type="spellEnd"/>
      <w:r w:rsidRPr="004D46AC">
        <w:t xml:space="preserve">, 83(2-3), 161–168. https://doi.org/10.1016/j.jad.2004.06.006 </w:t>
      </w:r>
    </w:p>
    <w:p w14:paraId="2517DF5B" w14:textId="77777777" w:rsidR="009864DB" w:rsidRPr="004D46AC" w:rsidRDefault="009864DB" w:rsidP="009864DB">
      <w:pPr>
        <w:spacing w:line="240" w:lineRule="auto"/>
        <w:ind w:left="720" w:hanging="720"/>
      </w:pPr>
      <w:r w:rsidRPr="004D46AC">
        <w:t xml:space="preserve">Kupfer, D. J., Frank, E., </w:t>
      </w:r>
      <w:proofErr w:type="spellStart"/>
      <w:r w:rsidRPr="004D46AC">
        <w:t>Grochocinski</w:t>
      </w:r>
      <w:proofErr w:type="spellEnd"/>
      <w:r w:rsidRPr="004D46AC">
        <w:t xml:space="preserve">, V. J., Houck, P. R., &amp; Brown, C. (2005). </w:t>
      </w:r>
      <w:proofErr w:type="gramStart"/>
      <w:r w:rsidRPr="004D46AC">
        <w:t>African-American</w:t>
      </w:r>
      <w:proofErr w:type="gramEnd"/>
      <w:r w:rsidRPr="004D46AC">
        <w:t xml:space="preserve"> participants in a bipolar disorder registry: clinical and treatment characteristics. Bipolar </w:t>
      </w:r>
      <w:proofErr w:type="spellStart"/>
      <w:r w:rsidRPr="004D46AC">
        <w:t>Disord</w:t>
      </w:r>
      <w:proofErr w:type="spellEnd"/>
      <w:r w:rsidRPr="004D46AC">
        <w:t xml:space="preserve">, 7(1), 82–88. https://doi.org/10.1111/j.1399-5618.2004.00163.x </w:t>
      </w:r>
    </w:p>
    <w:p w14:paraId="1FE07F00" w14:textId="77777777" w:rsidR="009864DB" w:rsidRPr="004D46AC" w:rsidRDefault="009864DB" w:rsidP="009864DB">
      <w:pPr>
        <w:spacing w:line="240" w:lineRule="auto"/>
        <w:ind w:left="720" w:hanging="720"/>
      </w:pPr>
      <w:r w:rsidRPr="004D46AC">
        <w:t xml:space="preserve">Morgan, V. A., Waterreus, A., Jablensky, A., Mackinnon, A., McGrath, J. J., Carr, V., Bush, R., Castle, D., Cohen, M., Harvey, C., Galletly, C., Stain, H. J., Neil, A. L., McGorry, P., Hocking, B., Shah, S., &amp; Saw, S. (2012). People living with psychotic illness in 2010: the second Australian national survey of psychosis. </w:t>
      </w:r>
      <w:proofErr w:type="spellStart"/>
      <w:r w:rsidRPr="004D46AC">
        <w:t>Aust</w:t>
      </w:r>
      <w:proofErr w:type="spellEnd"/>
      <w:r w:rsidRPr="004D46AC">
        <w:t xml:space="preserve"> N Z J Psychiatry, 46(8), 735–752. https://doi.org/10.1177/0004867412449877 </w:t>
      </w:r>
    </w:p>
    <w:p w14:paraId="0274EDC8" w14:textId="77777777" w:rsidR="009864DB" w:rsidRPr="004D46AC" w:rsidRDefault="009864DB" w:rsidP="009864DB">
      <w:pPr>
        <w:spacing w:line="240" w:lineRule="auto"/>
        <w:ind w:left="720" w:hanging="720"/>
      </w:pPr>
      <w:r w:rsidRPr="004D46AC">
        <w:t xml:space="preserve">Ng, V. W. S., Man, K. K. C., Gao, L., Chan, E. W., Lee, E. H. M., Hayes, J. F., &amp; Wong, I. C. K. (2021). Bipolar disorder prevalence and psychotropic medication utilisation in Hong Kong and the United Kingdom [https://doi.org/10.1002/pds.5318]. </w:t>
      </w:r>
      <w:proofErr w:type="spellStart"/>
      <w:r w:rsidRPr="004D46AC">
        <w:t>Pharmacoepidemiol</w:t>
      </w:r>
      <w:proofErr w:type="spellEnd"/>
      <w:r w:rsidRPr="004D46AC">
        <w:t xml:space="preserve"> Drug Saf, 30(11), 1588–1600. https://doi.org/10.1002/pds.5318 </w:t>
      </w:r>
    </w:p>
    <w:p w14:paraId="5AD2CFC5" w14:textId="77777777" w:rsidR="009864DB" w:rsidRPr="004D46AC" w:rsidRDefault="009864DB" w:rsidP="009864DB">
      <w:pPr>
        <w:spacing w:line="240" w:lineRule="auto"/>
        <w:ind w:left="720" w:hanging="720"/>
      </w:pPr>
      <w:proofErr w:type="spellStart"/>
      <w:r w:rsidRPr="004D46AC">
        <w:lastRenderedPageBreak/>
        <w:t>Niitsu</w:t>
      </w:r>
      <w:proofErr w:type="spellEnd"/>
      <w:r w:rsidRPr="004D46AC">
        <w:t xml:space="preserve">, T., Fabbri, C., &amp; </w:t>
      </w:r>
      <w:proofErr w:type="spellStart"/>
      <w:r w:rsidRPr="004D46AC">
        <w:t>Serretti</w:t>
      </w:r>
      <w:proofErr w:type="spellEnd"/>
      <w:r w:rsidRPr="004D46AC">
        <w:t xml:space="preserve">, A. (2015). Predictors of switch from depression to mania in bipolar disorder. J </w:t>
      </w:r>
      <w:proofErr w:type="spellStart"/>
      <w:r w:rsidRPr="004D46AC">
        <w:t>Psychiatr</w:t>
      </w:r>
      <w:proofErr w:type="spellEnd"/>
      <w:r w:rsidRPr="004D46AC">
        <w:t xml:space="preserve"> Res, 66-67, 45–53. https://doi.org/10.1016/j.jpsychires.2015.04.014 </w:t>
      </w:r>
    </w:p>
    <w:p w14:paraId="6479A8A9" w14:textId="77777777" w:rsidR="009864DB" w:rsidRPr="004D46AC" w:rsidRDefault="009864DB" w:rsidP="009864DB">
      <w:pPr>
        <w:spacing w:line="240" w:lineRule="auto"/>
        <w:ind w:left="720" w:hanging="720"/>
      </w:pPr>
      <w:r w:rsidRPr="004D46AC">
        <w:t xml:space="preserve">Okasha, T. A., Abdel Maksoud, M., </w:t>
      </w:r>
      <w:proofErr w:type="spellStart"/>
      <w:r w:rsidRPr="004D46AC">
        <w:t>Moneum</w:t>
      </w:r>
      <w:proofErr w:type="spellEnd"/>
      <w:r w:rsidRPr="004D46AC">
        <w:t xml:space="preserve">, D. M. A., &amp; Hegazy Ali, D. (2023). Management challenges and choices in patients with bipolar disorder: An Egyptian observational study. Int J Soc Psychiatry, 69(2), 370–377. https://doi.org/10.1177/00207640221092707 </w:t>
      </w:r>
    </w:p>
    <w:p w14:paraId="2A48420C" w14:textId="77777777" w:rsidR="009864DB" w:rsidRPr="004D46AC" w:rsidRDefault="009864DB" w:rsidP="009864DB">
      <w:pPr>
        <w:spacing w:line="240" w:lineRule="auto"/>
        <w:ind w:left="720" w:hanging="720"/>
      </w:pPr>
      <w:proofErr w:type="spellStart"/>
      <w:r w:rsidRPr="004D46AC">
        <w:t>Palzes</w:t>
      </w:r>
      <w:proofErr w:type="spellEnd"/>
      <w:r w:rsidRPr="004D46AC">
        <w:t xml:space="preserve">, V. A., Parthasarathy, S., Chi, F. W., Kline-Simon, A. H., Lu, Y., Weisner, C., Ross, T. B., Elson, J., &amp; Sterling, S. A. (2020). Associations Between Psychiatric Disorders and Alcohol Consumption Levels in an Adult Primary Care Population. Alcohol Clin Exp Res, 44(12), 2536–2544. https://doi.org/10.1111/acer.14477 </w:t>
      </w:r>
    </w:p>
    <w:p w14:paraId="311A9A5B" w14:textId="77777777" w:rsidR="009864DB" w:rsidRPr="004D46AC" w:rsidRDefault="009864DB" w:rsidP="009864DB">
      <w:pPr>
        <w:spacing w:line="240" w:lineRule="auto"/>
        <w:ind w:left="720" w:hanging="720"/>
      </w:pPr>
      <w:r w:rsidRPr="004D46AC">
        <w:t xml:space="preserve">Patterson-Lomba, O., Ayyagari, R., &amp; Carroll, B. (2019). Risk assessment and prediction of TD incidence in psychiatric patients taking concomitant antipsychotics: a retrospective data analysis. BMC </w:t>
      </w:r>
      <w:proofErr w:type="spellStart"/>
      <w:r w:rsidRPr="004D46AC">
        <w:t>Neurol</w:t>
      </w:r>
      <w:proofErr w:type="spellEnd"/>
      <w:r w:rsidRPr="004D46AC">
        <w:t xml:space="preserve">, 19(1), 174. https://doi.org/10.1186/s12883-019-1385-4 </w:t>
      </w:r>
    </w:p>
    <w:p w14:paraId="64A06049" w14:textId="77777777" w:rsidR="009864DB" w:rsidRPr="004D46AC" w:rsidRDefault="009864DB" w:rsidP="009864DB">
      <w:pPr>
        <w:spacing w:line="240" w:lineRule="auto"/>
        <w:ind w:left="720" w:hanging="720"/>
      </w:pPr>
      <w:r w:rsidRPr="004D46AC">
        <w:t xml:space="preserve">Sethi, S., &amp; Khanna, R. (1993). Phenomenology of mania in eastern India. Psychopathology, 26(5-6), 274–278. https://doi.org/10.1159/000284833 </w:t>
      </w:r>
    </w:p>
    <w:p w14:paraId="779AB871" w14:textId="77777777" w:rsidR="009864DB" w:rsidRPr="004D46AC" w:rsidRDefault="009864DB" w:rsidP="009864DB">
      <w:pPr>
        <w:spacing w:line="240" w:lineRule="auto"/>
        <w:ind w:left="720" w:hanging="720"/>
      </w:pPr>
      <w:r w:rsidRPr="004D46AC">
        <w:t xml:space="preserve">Shan-Ming, Y., Deyi, C., Zhen, C. Y., </w:t>
      </w:r>
      <w:proofErr w:type="spellStart"/>
      <w:r w:rsidRPr="004D46AC">
        <w:t>Jingsu</w:t>
      </w:r>
      <w:proofErr w:type="spellEnd"/>
      <w:r w:rsidRPr="004D46AC">
        <w:t xml:space="preserve">, J., &amp; Taylor, M. A. (1982). Prevalence and characteristics of mania in Chinese inpatients: a prospective study. Am J Psychiatry, 139(9), 1150–1153. https://doi.org/10.1176/ajp.139.9.1150 </w:t>
      </w:r>
    </w:p>
    <w:p w14:paraId="05A2C4C9" w14:textId="77777777" w:rsidR="009864DB" w:rsidRPr="004D46AC" w:rsidRDefault="009864DB" w:rsidP="009864DB">
      <w:pPr>
        <w:spacing w:line="240" w:lineRule="auto"/>
        <w:ind w:left="720" w:hanging="720"/>
      </w:pPr>
      <w:r w:rsidRPr="004D46AC">
        <w:t xml:space="preserve">Tohen, M., </w:t>
      </w:r>
      <w:proofErr w:type="spellStart"/>
      <w:r w:rsidRPr="004D46AC">
        <w:t>Tsuang</w:t>
      </w:r>
      <w:proofErr w:type="spellEnd"/>
      <w:r w:rsidRPr="004D46AC">
        <w:t xml:space="preserve">, M. T., &amp; Goodwin, D. C. (1992). Prediction of outcome in mania by mood-congruent or mood-incongruent psychotic features. Am J Psychiatry, 149(11), 1580–1584. https://doi.org/10.1176/ajp.149.11.1580 </w:t>
      </w:r>
    </w:p>
    <w:p w14:paraId="5063FEB4" w14:textId="77777777" w:rsidR="009864DB" w:rsidRPr="004D46AC" w:rsidRDefault="009864DB" w:rsidP="009864DB">
      <w:pPr>
        <w:spacing w:line="240" w:lineRule="auto"/>
        <w:ind w:left="720" w:hanging="720"/>
        <w:rPr>
          <w:rFonts w:eastAsiaTheme="minorEastAsia"/>
        </w:rPr>
      </w:pPr>
      <w:r w:rsidRPr="004D46AC">
        <w:t xml:space="preserve">Zolezzi, M., Abdulrhim, S., </w:t>
      </w:r>
      <w:proofErr w:type="spellStart"/>
      <w:r w:rsidRPr="004D46AC">
        <w:t>Isleem</w:t>
      </w:r>
      <w:proofErr w:type="spellEnd"/>
      <w:r w:rsidRPr="004D46AC">
        <w:t xml:space="preserve">, N., Zahrah, F., &amp; </w:t>
      </w:r>
      <w:proofErr w:type="spellStart"/>
      <w:r w:rsidRPr="004D46AC">
        <w:t>Eltorki</w:t>
      </w:r>
      <w:proofErr w:type="spellEnd"/>
      <w:r w:rsidRPr="004D46AC">
        <w:t xml:space="preserve">, Y. (2017). Medical comorbidities in patients with serious mental illness: a retrospective study of mental health patients attending an outpatient clinic in Qatar. </w:t>
      </w:r>
      <w:proofErr w:type="spellStart"/>
      <w:r w:rsidRPr="004D46AC">
        <w:t>Neuropsychiatr</w:t>
      </w:r>
      <w:proofErr w:type="spellEnd"/>
      <w:r w:rsidRPr="004D46AC">
        <w:t xml:space="preserve"> Dis Treat, 13, 2411–2418. https://doi.org/10.2147/NDT.S141448 </w:t>
      </w:r>
    </w:p>
    <w:p w14:paraId="1ACBB4CA" w14:textId="77777777" w:rsidR="009864DB" w:rsidRPr="004D46AC" w:rsidRDefault="009864DB" w:rsidP="009864DB">
      <w:pPr>
        <w:spacing w:line="240" w:lineRule="auto"/>
        <w:ind w:left="720" w:hanging="720"/>
        <w:rPr>
          <w:rFonts w:eastAsiaTheme="minorEastAsia"/>
        </w:rPr>
      </w:pPr>
    </w:p>
    <w:p w14:paraId="1919FFCC" w14:textId="77777777" w:rsidR="009864DB" w:rsidRPr="004D46AC" w:rsidRDefault="009864DB" w:rsidP="009864DB">
      <w:pPr>
        <w:spacing w:line="240" w:lineRule="auto"/>
        <w:ind w:left="720" w:hanging="720"/>
        <w:rPr>
          <w:rFonts w:eastAsiaTheme="minorEastAsia"/>
        </w:rPr>
      </w:pPr>
    </w:p>
    <w:p w14:paraId="0F804040" w14:textId="77777777" w:rsidR="009864DB" w:rsidRPr="004D46AC" w:rsidRDefault="009864DB" w:rsidP="009864DB">
      <w:pPr>
        <w:spacing w:line="240" w:lineRule="auto"/>
        <w:ind w:left="720" w:hanging="720"/>
        <w:rPr>
          <w:rFonts w:eastAsiaTheme="minorEastAsia"/>
        </w:rPr>
      </w:pPr>
    </w:p>
    <w:p w14:paraId="5EBF35C1" w14:textId="77777777" w:rsidR="009864DB" w:rsidRPr="004D46AC" w:rsidRDefault="009864DB" w:rsidP="009864DB">
      <w:pPr>
        <w:spacing w:line="240" w:lineRule="auto"/>
        <w:ind w:left="720" w:hanging="720"/>
        <w:rPr>
          <w:rFonts w:eastAsiaTheme="minorEastAsia"/>
        </w:rPr>
      </w:pPr>
    </w:p>
    <w:p w14:paraId="48B7AF77" w14:textId="77777777" w:rsidR="009864DB" w:rsidRPr="004D46AC" w:rsidRDefault="009864DB" w:rsidP="009864DB">
      <w:pPr>
        <w:spacing w:line="240" w:lineRule="auto"/>
        <w:ind w:left="720" w:hanging="720"/>
        <w:rPr>
          <w:rFonts w:eastAsiaTheme="minorEastAsia"/>
        </w:rPr>
      </w:pPr>
    </w:p>
    <w:p w14:paraId="46E591DE" w14:textId="77777777" w:rsidR="009864DB" w:rsidRPr="004D46AC" w:rsidRDefault="009864DB" w:rsidP="009864DB">
      <w:pPr>
        <w:spacing w:line="240" w:lineRule="auto"/>
        <w:ind w:left="720" w:hanging="720"/>
        <w:rPr>
          <w:rFonts w:eastAsiaTheme="minorEastAsia"/>
        </w:rPr>
      </w:pPr>
    </w:p>
    <w:p w14:paraId="2A71F722" w14:textId="77777777" w:rsidR="009864DB" w:rsidRPr="004D46AC" w:rsidRDefault="009864DB" w:rsidP="009864DB">
      <w:pPr>
        <w:spacing w:line="240" w:lineRule="auto"/>
        <w:ind w:left="720" w:hanging="720"/>
        <w:rPr>
          <w:rFonts w:eastAsiaTheme="minorEastAsia"/>
        </w:rPr>
      </w:pPr>
    </w:p>
    <w:p w14:paraId="57F99DE3" w14:textId="77777777" w:rsidR="009864DB" w:rsidRPr="004D46AC" w:rsidRDefault="009864DB" w:rsidP="009864DB">
      <w:pPr>
        <w:spacing w:line="240" w:lineRule="auto"/>
        <w:ind w:left="720" w:hanging="720"/>
        <w:rPr>
          <w:rFonts w:eastAsiaTheme="minorEastAsia"/>
        </w:rPr>
      </w:pPr>
    </w:p>
    <w:p w14:paraId="735F3A4F" w14:textId="77777777" w:rsidR="009864DB" w:rsidRPr="004D46AC" w:rsidRDefault="009864DB" w:rsidP="009864DB">
      <w:pPr>
        <w:spacing w:line="240" w:lineRule="auto"/>
        <w:ind w:left="720" w:hanging="720"/>
        <w:rPr>
          <w:rFonts w:eastAsiaTheme="minorEastAsia"/>
        </w:rPr>
      </w:pPr>
    </w:p>
    <w:p w14:paraId="4BDD7FAF" w14:textId="77777777" w:rsidR="009864DB" w:rsidRPr="004D46AC" w:rsidRDefault="009864DB" w:rsidP="009864DB">
      <w:pPr>
        <w:spacing w:line="240" w:lineRule="auto"/>
        <w:ind w:left="720" w:hanging="720"/>
        <w:rPr>
          <w:rFonts w:eastAsiaTheme="minorEastAsia"/>
        </w:rPr>
      </w:pPr>
    </w:p>
    <w:p w14:paraId="1CD23D6F" w14:textId="77777777" w:rsidR="009864DB" w:rsidRPr="004D46AC" w:rsidRDefault="009864DB" w:rsidP="009864DB">
      <w:pPr>
        <w:spacing w:line="240" w:lineRule="auto"/>
        <w:ind w:left="720" w:hanging="720"/>
        <w:rPr>
          <w:rFonts w:eastAsiaTheme="minorEastAsia"/>
        </w:rPr>
      </w:pPr>
    </w:p>
    <w:p w14:paraId="2C77DA08" w14:textId="77777777" w:rsidR="009864DB" w:rsidRPr="004D46AC" w:rsidRDefault="009864DB" w:rsidP="009864DB">
      <w:pPr>
        <w:spacing w:line="240" w:lineRule="auto"/>
        <w:ind w:left="720" w:hanging="720"/>
        <w:rPr>
          <w:rFonts w:eastAsiaTheme="minorEastAsia"/>
        </w:rPr>
      </w:pPr>
    </w:p>
    <w:p w14:paraId="0EE77048" w14:textId="77777777" w:rsidR="009864DB" w:rsidRPr="004D46AC" w:rsidRDefault="009864DB" w:rsidP="009864DB">
      <w:pPr>
        <w:spacing w:line="240" w:lineRule="auto"/>
        <w:ind w:left="720" w:hanging="720"/>
        <w:rPr>
          <w:rFonts w:eastAsiaTheme="minorEastAsia"/>
        </w:rPr>
      </w:pPr>
    </w:p>
    <w:p w14:paraId="104395CB" w14:textId="77777777" w:rsidR="009864DB" w:rsidRPr="004D46AC" w:rsidRDefault="009864DB" w:rsidP="009864DB">
      <w:pPr>
        <w:spacing w:line="240" w:lineRule="auto"/>
        <w:ind w:left="720" w:hanging="720"/>
        <w:rPr>
          <w:rFonts w:eastAsiaTheme="minorEastAsia"/>
        </w:rPr>
      </w:pPr>
    </w:p>
    <w:p w14:paraId="387B5913" w14:textId="77777777" w:rsidR="009864DB" w:rsidRPr="004D46AC" w:rsidRDefault="009864DB" w:rsidP="009864DB">
      <w:pPr>
        <w:spacing w:line="240" w:lineRule="auto"/>
        <w:ind w:left="720" w:hanging="720"/>
        <w:rPr>
          <w:rFonts w:eastAsiaTheme="minorEastAsia"/>
        </w:rPr>
      </w:pPr>
    </w:p>
    <w:p w14:paraId="12E58C12" w14:textId="77777777" w:rsidR="009864DB" w:rsidRPr="004D46AC" w:rsidRDefault="009864DB" w:rsidP="009864DB">
      <w:pPr>
        <w:spacing w:line="240" w:lineRule="auto"/>
        <w:ind w:left="720" w:hanging="720"/>
        <w:rPr>
          <w:rFonts w:eastAsiaTheme="minorEastAsia"/>
        </w:rPr>
      </w:pPr>
    </w:p>
    <w:p w14:paraId="7EAD7F1A" w14:textId="77777777" w:rsidR="009864DB" w:rsidRPr="004D46AC" w:rsidRDefault="009864DB" w:rsidP="009864DB">
      <w:pPr>
        <w:spacing w:line="240" w:lineRule="auto"/>
        <w:ind w:left="720" w:hanging="720"/>
        <w:rPr>
          <w:rFonts w:eastAsiaTheme="minorEastAsia"/>
        </w:rPr>
      </w:pPr>
    </w:p>
    <w:p w14:paraId="3CD8C15E" w14:textId="77777777" w:rsidR="009864DB" w:rsidRPr="004D46AC" w:rsidRDefault="009864DB" w:rsidP="009864DB">
      <w:pPr>
        <w:spacing w:line="240" w:lineRule="auto"/>
        <w:ind w:left="720" w:hanging="720"/>
        <w:rPr>
          <w:rFonts w:eastAsiaTheme="minorEastAsia"/>
        </w:rPr>
      </w:pPr>
    </w:p>
    <w:p w14:paraId="3E224318" w14:textId="77777777" w:rsidR="009864DB" w:rsidRPr="004D46AC" w:rsidRDefault="009864DB" w:rsidP="009864DB">
      <w:pPr>
        <w:spacing w:line="240" w:lineRule="auto"/>
        <w:ind w:left="720" w:hanging="720"/>
        <w:rPr>
          <w:rFonts w:eastAsiaTheme="minorEastAsia"/>
        </w:rPr>
      </w:pPr>
    </w:p>
    <w:p w14:paraId="6FCD427E" w14:textId="77777777" w:rsidR="009864DB" w:rsidRPr="004D46AC" w:rsidRDefault="009864DB" w:rsidP="009864DB">
      <w:pPr>
        <w:spacing w:line="240" w:lineRule="auto"/>
        <w:ind w:left="720" w:hanging="720"/>
        <w:rPr>
          <w:rFonts w:eastAsiaTheme="minorEastAsia"/>
        </w:rPr>
      </w:pPr>
    </w:p>
    <w:p w14:paraId="3FED84B4" w14:textId="77777777" w:rsidR="009864DB" w:rsidRPr="004D46AC" w:rsidRDefault="009864DB" w:rsidP="009864DB">
      <w:pPr>
        <w:spacing w:line="240" w:lineRule="auto"/>
        <w:ind w:left="720" w:hanging="720"/>
        <w:rPr>
          <w:rFonts w:eastAsiaTheme="minorEastAsia"/>
        </w:rPr>
      </w:pPr>
    </w:p>
    <w:p w14:paraId="6AF806C8" w14:textId="77777777" w:rsidR="009864DB" w:rsidRPr="004D46AC" w:rsidRDefault="009864DB" w:rsidP="009864DB">
      <w:pPr>
        <w:spacing w:line="240" w:lineRule="auto"/>
        <w:ind w:left="720" w:hanging="720"/>
        <w:rPr>
          <w:rFonts w:eastAsiaTheme="minorEastAsia"/>
        </w:rPr>
      </w:pPr>
    </w:p>
    <w:p w14:paraId="6D547CA3" w14:textId="77777777" w:rsidR="009864DB" w:rsidRPr="004D46AC" w:rsidRDefault="009864DB" w:rsidP="009864DB">
      <w:pPr>
        <w:spacing w:line="240" w:lineRule="auto"/>
        <w:ind w:left="720" w:hanging="720"/>
        <w:rPr>
          <w:rFonts w:eastAsiaTheme="minorEastAsia"/>
        </w:rPr>
      </w:pPr>
    </w:p>
    <w:p w14:paraId="3C0AA624" w14:textId="77777777" w:rsidR="009864DB" w:rsidRPr="004D46AC" w:rsidRDefault="009864DB" w:rsidP="009864DB">
      <w:pPr>
        <w:spacing w:line="240" w:lineRule="auto"/>
        <w:ind w:left="720" w:hanging="720"/>
        <w:rPr>
          <w:rFonts w:eastAsiaTheme="minorEastAsia"/>
        </w:rPr>
      </w:pPr>
    </w:p>
    <w:p w14:paraId="7E7F211A" w14:textId="77777777" w:rsidR="009864DB" w:rsidRPr="004D46AC" w:rsidRDefault="009864DB" w:rsidP="009864DB">
      <w:pPr>
        <w:spacing w:line="240" w:lineRule="auto"/>
        <w:ind w:left="720" w:hanging="720"/>
        <w:rPr>
          <w:rFonts w:eastAsiaTheme="minorEastAsia"/>
        </w:rPr>
      </w:pPr>
    </w:p>
    <w:p w14:paraId="402F7823" w14:textId="77777777" w:rsidR="009864DB" w:rsidRPr="004D46AC" w:rsidRDefault="009864DB" w:rsidP="009864DB">
      <w:pPr>
        <w:spacing w:line="240" w:lineRule="auto"/>
        <w:ind w:left="720" w:hanging="720"/>
        <w:rPr>
          <w:rFonts w:eastAsiaTheme="minorEastAsia"/>
        </w:rPr>
      </w:pPr>
    </w:p>
    <w:p w14:paraId="16FFE1D5" w14:textId="77777777" w:rsidR="009864DB" w:rsidRPr="004D46AC" w:rsidRDefault="009864DB" w:rsidP="009864DB">
      <w:pPr>
        <w:spacing w:line="240" w:lineRule="auto"/>
        <w:ind w:left="720" w:hanging="720"/>
        <w:rPr>
          <w:rFonts w:eastAsiaTheme="minorEastAsia"/>
        </w:rPr>
      </w:pPr>
    </w:p>
    <w:p w14:paraId="732617D8" w14:textId="77777777" w:rsidR="009864DB" w:rsidRPr="004D46AC" w:rsidRDefault="009864DB" w:rsidP="009864DB">
      <w:pPr>
        <w:spacing w:line="240" w:lineRule="auto"/>
        <w:ind w:left="720" w:hanging="720"/>
        <w:rPr>
          <w:rFonts w:eastAsiaTheme="minorEastAsia"/>
        </w:rPr>
      </w:pPr>
    </w:p>
    <w:p w14:paraId="67EBC80E" w14:textId="0D227DA1" w:rsidR="009864DB" w:rsidRPr="004D46AC" w:rsidRDefault="009864DB" w:rsidP="009864DB">
      <w:pPr>
        <w:pStyle w:val="afff0"/>
        <w:ind w:firstLine="0"/>
        <w:rPr>
          <w:rFonts w:eastAsiaTheme="minorEastAsia"/>
          <w:b/>
          <w:bCs/>
          <w:i w:val="0"/>
          <w:iCs w:val="0"/>
        </w:rPr>
      </w:pPr>
      <w:bookmarkStart w:id="316" w:name="_Toc225271031"/>
      <w:r w:rsidRPr="004D46AC">
        <w:rPr>
          <w:b/>
          <w:bCs/>
          <w:i w:val="0"/>
          <w:iCs w:val="0"/>
        </w:rPr>
        <w:lastRenderedPageBreak/>
        <w:t xml:space="preserve">Table B </w:t>
      </w:r>
      <w:r w:rsidRPr="004D46AC">
        <w:rPr>
          <w:b/>
          <w:bCs/>
          <w:i w:val="0"/>
          <w:iCs w:val="0"/>
        </w:rPr>
        <w:fldChar w:fldCharType="begin"/>
      </w:r>
      <w:r w:rsidRPr="004D46AC">
        <w:rPr>
          <w:b/>
          <w:bCs/>
          <w:i w:val="0"/>
          <w:iCs w:val="0"/>
        </w:rPr>
        <w:instrText xml:space="preserve"> SEQ Table_B \* ARABIC </w:instrText>
      </w:r>
      <w:r w:rsidRPr="004D46AC">
        <w:rPr>
          <w:b/>
          <w:bCs/>
          <w:i w:val="0"/>
          <w:iCs w:val="0"/>
        </w:rPr>
        <w:fldChar w:fldCharType="separate"/>
      </w:r>
      <w:r w:rsidRPr="004D46AC">
        <w:rPr>
          <w:b/>
          <w:bCs/>
          <w:i w:val="0"/>
          <w:iCs w:val="0"/>
          <w:noProof/>
        </w:rPr>
        <w:t>9</w:t>
      </w:r>
      <w:bookmarkEnd w:id="316"/>
      <w:r w:rsidRPr="004D46AC">
        <w:rPr>
          <w:b/>
          <w:bCs/>
          <w:i w:val="0"/>
          <w:iCs w:val="0"/>
        </w:rPr>
        <w:fldChar w:fldCharType="end"/>
      </w:r>
    </w:p>
    <w:p w14:paraId="5BB1E7A6" w14:textId="77777777" w:rsidR="009864DB" w:rsidRPr="004D46AC" w:rsidRDefault="009864DB" w:rsidP="009864DB">
      <w:pPr>
        <w:spacing w:line="240" w:lineRule="auto"/>
        <w:ind w:firstLine="0"/>
        <w:rPr>
          <w:i/>
          <w:iCs/>
        </w:rPr>
      </w:pPr>
      <w:r w:rsidRPr="004D46AC">
        <w:rPr>
          <w:i/>
          <w:iCs/>
        </w:rPr>
        <w:t>Include studies in the synthesis of comorbid psychosis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0"/>
        <w:gridCol w:w="648"/>
        <w:gridCol w:w="660"/>
        <w:gridCol w:w="945"/>
        <w:gridCol w:w="1182"/>
        <w:gridCol w:w="808"/>
        <w:gridCol w:w="798"/>
        <w:gridCol w:w="462"/>
        <w:gridCol w:w="433"/>
        <w:gridCol w:w="696"/>
        <w:gridCol w:w="611"/>
        <w:gridCol w:w="537"/>
        <w:gridCol w:w="6"/>
      </w:tblGrid>
      <w:tr w:rsidR="009864DB" w:rsidRPr="004D46AC" w14:paraId="01A5A3F3" w14:textId="77777777" w:rsidTr="00B518F1">
        <w:tc>
          <w:tcPr>
            <w:tcW w:w="1476" w:type="dxa"/>
          </w:tcPr>
          <w:p w14:paraId="5310A179" w14:textId="77777777" w:rsidR="009864DB" w:rsidRPr="004D46AC" w:rsidRDefault="009864DB" w:rsidP="009864DB">
            <w:pPr>
              <w:spacing w:line="240" w:lineRule="auto"/>
              <w:ind w:firstLine="0"/>
            </w:pPr>
            <w:r w:rsidRPr="004D46AC">
              <w:t xml:space="preserve">Study </w:t>
            </w:r>
          </w:p>
        </w:tc>
        <w:tc>
          <w:tcPr>
            <w:tcW w:w="754" w:type="dxa"/>
          </w:tcPr>
          <w:p w14:paraId="400F7473" w14:textId="77777777" w:rsidR="009864DB" w:rsidRPr="004D46AC" w:rsidRDefault="009864DB" w:rsidP="009864DB">
            <w:pPr>
              <w:spacing w:line="240" w:lineRule="auto"/>
              <w:ind w:firstLine="0"/>
            </w:pPr>
            <w:r w:rsidRPr="004D46AC">
              <w:t>JBI score</w:t>
            </w:r>
          </w:p>
        </w:tc>
        <w:tc>
          <w:tcPr>
            <w:tcW w:w="766" w:type="dxa"/>
          </w:tcPr>
          <w:p w14:paraId="2BF34349" w14:textId="77777777" w:rsidR="009864DB" w:rsidRPr="004D46AC" w:rsidRDefault="009864DB" w:rsidP="009864DB">
            <w:pPr>
              <w:spacing w:line="240" w:lineRule="auto"/>
              <w:ind w:firstLine="0"/>
            </w:pPr>
            <w:r w:rsidRPr="004D46AC">
              <w:t>Age</w:t>
            </w:r>
          </w:p>
        </w:tc>
        <w:tc>
          <w:tcPr>
            <w:tcW w:w="1096" w:type="dxa"/>
          </w:tcPr>
          <w:p w14:paraId="2E690363" w14:textId="77777777" w:rsidR="009864DB" w:rsidRPr="004D46AC" w:rsidRDefault="009864DB" w:rsidP="009864DB">
            <w:pPr>
              <w:spacing w:line="240" w:lineRule="auto"/>
              <w:ind w:firstLine="0"/>
            </w:pPr>
            <w:r w:rsidRPr="004D46AC">
              <w:t>Criteria</w:t>
            </w:r>
          </w:p>
        </w:tc>
        <w:tc>
          <w:tcPr>
            <w:tcW w:w="1415" w:type="dxa"/>
          </w:tcPr>
          <w:p w14:paraId="0DB3CBD4" w14:textId="77777777" w:rsidR="009864DB" w:rsidRPr="004D46AC" w:rsidRDefault="009864DB" w:rsidP="009864DB">
            <w:pPr>
              <w:spacing w:line="240" w:lineRule="auto"/>
              <w:ind w:firstLine="0"/>
            </w:pPr>
            <w:r w:rsidRPr="004D46AC">
              <w:t>Assessment</w:t>
            </w:r>
          </w:p>
        </w:tc>
        <w:tc>
          <w:tcPr>
            <w:tcW w:w="876" w:type="dxa"/>
          </w:tcPr>
          <w:p w14:paraId="459F35D8" w14:textId="77777777" w:rsidR="009864DB" w:rsidRPr="004D46AC" w:rsidRDefault="009864DB" w:rsidP="009864DB">
            <w:pPr>
              <w:spacing w:line="240" w:lineRule="auto"/>
              <w:ind w:firstLine="0"/>
            </w:pPr>
            <w:r w:rsidRPr="004D46AC">
              <w:t>N</w:t>
            </w:r>
          </w:p>
        </w:tc>
        <w:tc>
          <w:tcPr>
            <w:tcW w:w="986" w:type="dxa"/>
          </w:tcPr>
          <w:p w14:paraId="07E1714B" w14:textId="77777777" w:rsidR="009864DB" w:rsidRPr="004D46AC" w:rsidRDefault="009864DB" w:rsidP="009864DB">
            <w:pPr>
              <w:spacing w:line="240" w:lineRule="auto"/>
              <w:ind w:firstLine="0"/>
            </w:pPr>
            <w:r w:rsidRPr="004D46AC">
              <w:t>Pop</w:t>
            </w:r>
          </w:p>
        </w:tc>
        <w:tc>
          <w:tcPr>
            <w:tcW w:w="751" w:type="dxa"/>
          </w:tcPr>
          <w:p w14:paraId="6EC40B35" w14:textId="77777777" w:rsidR="009864DB" w:rsidRPr="004D46AC" w:rsidRDefault="009864DB" w:rsidP="009864DB">
            <w:pPr>
              <w:spacing w:line="240" w:lineRule="auto"/>
              <w:ind w:firstLine="0"/>
            </w:pPr>
            <w:r w:rsidRPr="004D46AC">
              <w:t>BD</w:t>
            </w:r>
          </w:p>
          <w:p w14:paraId="71EEDC99" w14:textId="77777777" w:rsidR="009864DB" w:rsidRPr="004D46AC" w:rsidRDefault="009864DB" w:rsidP="009864DB">
            <w:pPr>
              <w:spacing w:line="240" w:lineRule="auto"/>
              <w:ind w:firstLine="0"/>
            </w:pPr>
          </w:p>
        </w:tc>
        <w:tc>
          <w:tcPr>
            <w:tcW w:w="752" w:type="dxa"/>
          </w:tcPr>
          <w:p w14:paraId="7391CC98" w14:textId="77777777" w:rsidR="009864DB" w:rsidRPr="004D46AC" w:rsidRDefault="009864DB" w:rsidP="009864DB">
            <w:pPr>
              <w:spacing w:line="240" w:lineRule="auto"/>
              <w:ind w:firstLine="0"/>
            </w:pPr>
            <w:r w:rsidRPr="004D46AC">
              <w:t>TF</w:t>
            </w:r>
          </w:p>
        </w:tc>
        <w:tc>
          <w:tcPr>
            <w:tcW w:w="1296" w:type="dxa"/>
          </w:tcPr>
          <w:p w14:paraId="3B62DC87" w14:textId="77777777" w:rsidR="009864DB" w:rsidRPr="004D46AC" w:rsidRDefault="009864DB" w:rsidP="009864DB">
            <w:pPr>
              <w:spacing w:line="240" w:lineRule="auto"/>
              <w:ind w:firstLine="0"/>
            </w:pPr>
            <w:r w:rsidRPr="004D46AC">
              <w:t>Co (n)</w:t>
            </w:r>
          </w:p>
        </w:tc>
        <w:tc>
          <w:tcPr>
            <w:tcW w:w="752" w:type="dxa"/>
          </w:tcPr>
          <w:p w14:paraId="5AB303E1" w14:textId="77777777" w:rsidR="009864DB" w:rsidRPr="004D46AC" w:rsidRDefault="009864DB" w:rsidP="009864DB">
            <w:pPr>
              <w:spacing w:line="240" w:lineRule="auto"/>
              <w:ind w:firstLine="0"/>
            </w:pPr>
            <w:r w:rsidRPr="004D46AC">
              <w:t>Co MC (n)</w:t>
            </w:r>
          </w:p>
        </w:tc>
        <w:tc>
          <w:tcPr>
            <w:tcW w:w="789" w:type="dxa"/>
            <w:gridSpan w:val="2"/>
          </w:tcPr>
          <w:p w14:paraId="20A8AA9A" w14:textId="77777777" w:rsidR="009864DB" w:rsidRPr="004D46AC" w:rsidRDefault="009864DB" w:rsidP="009864DB">
            <w:pPr>
              <w:spacing w:line="240" w:lineRule="auto"/>
              <w:ind w:firstLine="0"/>
            </w:pPr>
            <w:r w:rsidRPr="004D46AC">
              <w:t>Co MIC (n)</w:t>
            </w:r>
          </w:p>
        </w:tc>
      </w:tr>
      <w:tr w:rsidR="009864DB" w:rsidRPr="004D46AC" w14:paraId="3A813F07" w14:textId="77777777" w:rsidTr="00B518F1">
        <w:tc>
          <w:tcPr>
            <w:tcW w:w="1476" w:type="dxa"/>
          </w:tcPr>
          <w:p w14:paraId="4A8F5820" w14:textId="77777777" w:rsidR="009864DB" w:rsidRPr="004D46AC" w:rsidRDefault="009864DB" w:rsidP="009864DB">
            <w:pPr>
              <w:spacing w:line="240" w:lineRule="auto"/>
              <w:ind w:firstLine="0"/>
            </w:pPr>
            <w:r w:rsidRPr="004D46AC">
              <w:fldChar w:fldCharType="begin">
                <w:fldData xml:space="preserve">PEVuZE5vdGU+PENpdGUgQXV0aG9yWWVhcj0iMSI+PEF1dGhvcj5Bc2FhZDwvQXV0aG9yPjxZZWFy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instrText xml:space="preserve"> ADDIN EN.CITE </w:instrText>
            </w:r>
            <w:r w:rsidRPr="004D46AC">
              <w:fldChar w:fldCharType="begin">
                <w:fldData xml:space="preserve">PEVuZE5vdGU+PENpdGUgQXV0aG9yWWVhcj0iMSI+PEF1dGhvcj5Bc2FhZDwvQXV0aG9yPjxZZWFy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instrText xml:space="preserve"> ADDIN EN.CITE.DATA </w:instrText>
            </w:r>
            <w:r w:rsidRPr="004D46AC">
              <w:fldChar w:fldCharType="end"/>
            </w:r>
            <w:r w:rsidRPr="004D46AC">
              <w:fldChar w:fldCharType="separate"/>
            </w:r>
            <w:r w:rsidRPr="004D46AC">
              <w:t>Asaad et al. (2014)</w:t>
            </w:r>
            <w:r w:rsidRPr="004D46AC">
              <w:fldChar w:fldCharType="end"/>
            </w:r>
          </w:p>
        </w:tc>
        <w:tc>
          <w:tcPr>
            <w:tcW w:w="754" w:type="dxa"/>
            <w:vAlign w:val="center"/>
          </w:tcPr>
          <w:p w14:paraId="78349BF7" w14:textId="77777777" w:rsidR="009864DB" w:rsidRPr="004D46AC" w:rsidRDefault="009864DB" w:rsidP="009864DB">
            <w:pPr>
              <w:spacing w:line="240" w:lineRule="auto"/>
              <w:ind w:firstLine="0"/>
            </w:pPr>
            <w:r w:rsidRPr="004D46AC">
              <w:t>7</w:t>
            </w:r>
          </w:p>
        </w:tc>
        <w:tc>
          <w:tcPr>
            <w:tcW w:w="766" w:type="dxa"/>
            <w:vAlign w:val="center"/>
          </w:tcPr>
          <w:p w14:paraId="15503DF5" w14:textId="77777777" w:rsidR="009864DB" w:rsidRPr="004D46AC" w:rsidRDefault="009864DB" w:rsidP="009864DB">
            <w:pPr>
              <w:spacing w:line="240" w:lineRule="auto"/>
              <w:ind w:firstLine="0"/>
            </w:pPr>
            <w:r w:rsidRPr="004D46AC">
              <w:t>34.65</w:t>
            </w:r>
          </w:p>
        </w:tc>
        <w:tc>
          <w:tcPr>
            <w:tcW w:w="1096" w:type="dxa"/>
            <w:vAlign w:val="center"/>
          </w:tcPr>
          <w:p w14:paraId="426590C8" w14:textId="77777777" w:rsidR="009864DB" w:rsidRPr="004D46AC" w:rsidRDefault="009864DB" w:rsidP="009864DB">
            <w:pPr>
              <w:spacing w:line="240" w:lineRule="auto"/>
              <w:ind w:firstLine="0"/>
            </w:pPr>
            <w:r w:rsidRPr="004D46AC">
              <w:t>DSM4</w:t>
            </w:r>
          </w:p>
        </w:tc>
        <w:tc>
          <w:tcPr>
            <w:tcW w:w="1415" w:type="dxa"/>
            <w:vAlign w:val="center"/>
          </w:tcPr>
          <w:p w14:paraId="4D702C03" w14:textId="77777777" w:rsidR="009864DB" w:rsidRPr="004D46AC" w:rsidRDefault="009864DB" w:rsidP="009864DB">
            <w:pPr>
              <w:spacing w:line="240" w:lineRule="auto"/>
              <w:ind w:firstLine="0"/>
            </w:pPr>
            <w:r w:rsidRPr="004D46AC">
              <w:t>SCID</w:t>
            </w:r>
          </w:p>
        </w:tc>
        <w:tc>
          <w:tcPr>
            <w:tcW w:w="876" w:type="dxa"/>
            <w:vAlign w:val="center"/>
          </w:tcPr>
          <w:p w14:paraId="63554362" w14:textId="77777777" w:rsidR="009864DB" w:rsidRPr="004D46AC" w:rsidRDefault="009864DB" w:rsidP="009864DB">
            <w:pPr>
              <w:spacing w:line="240" w:lineRule="auto"/>
              <w:ind w:firstLine="0"/>
            </w:pPr>
            <w:r w:rsidRPr="004D46AC">
              <w:t>350</w:t>
            </w:r>
          </w:p>
        </w:tc>
        <w:tc>
          <w:tcPr>
            <w:tcW w:w="986" w:type="dxa"/>
            <w:vAlign w:val="center"/>
          </w:tcPr>
          <w:p w14:paraId="5906EDB4" w14:textId="77777777" w:rsidR="009864DB" w:rsidRPr="004D46AC" w:rsidRDefault="009864DB" w:rsidP="009864DB">
            <w:pPr>
              <w:spacing w:line="240" w:lineRule="auto"/>
              <w:ind w:firstLine="0"/>
            </w:pPr>
            <w:r w:rsidRPr="004D46AC">
              <w:t>unclear</w:t>
            </w:r>
          </w:p>
        </w:tc>
        <w:tc>
          <w:tcPr>
            <w:tcW w:w="751" w:type="dxa"/>
            <w:vAlign w:val="center"/>
          </w:tcPr>
          <w:p w14:paraId="79D9E9D4" w14:textId="77777777" w:rsidR="009864DB" w:rsidRPr="004D46AC" w:rsidRDefault="009864DB" w:rsidP="009864DB">
            <w:pPr>
              <w:spacing w:line="240" w:lineRule="auto"/>
              <w:ind w:firstLine="0"/>
            </w:pPr>
            <w:r w:rsidRPr="004D46AC">
              <w:t>1</w:t>
            </w:r>
          </w:p>
        </w:tc>
        <w:tc>
          <w:tcPr>
            <w:tcW w:w="752" w:type="dxa"/>
            <w:vAlign w:val="center"/>
          </w:tcPr>
          <w:p w14:paraId="37EC693F" w14:textId="77777777" w:rsidR="009864DB" w:rsidRPr="004D46AC" w:rsidRDefault="009864DB" w:rsidP="009864DB">
            <w:pPr>
              <w:spacing w:line="240" w:lineRule="auto"/>
              <w:ind w:firstLine="0"/>
            </w:pPr>
            <w:r w:rsidRPr="004D46AC">
              <w:t>0</w:t>
            </w:r>
          </w:p>
        </w:tc>
        <w:tc>
          <w:tcPr>
            <w:tcW w:w="1296" w:type="dxa"/>
          </w:tcPr>
          <w:p w14:paraId="038E59DA" w14:textId="77777777" w:rsidR="009864DB" w:rsidRPr="004D46AC" w:rsidRDefault="009864DB" w:rsidP="009864DB">
            <w:pPr>
              <w:spacing w:line="240" w:lineRule="auto"/>
              <w:ind w:firstLine="0"/>
            </w:pPr>
            <w:r w:rsidRPr="004D46AC">
              <w:t>192</w:t>
            </w:r>
          </w:p>
        </w:tc>
        <w:tc>
          <w:tcPr>
            <w:tcW w:w="752" w:type="dxa"/>
            <w:vAlign w:val="center"/>
          </w:tcPr>
          <w:p w14:paraId="0719AA02" w14:textId="77777777" w:rsidR="009864DB" w:rsidRPr="004D46AC" w:rsidRDefault="009864DB" w:rsidP="009864DB">
            <w:pPr>
              <w:spacing w:line="240" w:lineRule="auto"/>
              <w:ind w:firstLine="0"/>
            </w:pPr>
            <w:r w:rsidRPr="004D46AC">
              <w:t>149</w:t>
            </w:r>
          </w:p>
        </w:tc>
        <w:tc>
          <w:tcPr>
            <w:tcW w:w="789" w:type="dxa"/>
            <w:gridSpan w:val="2"/>
            <w:vAlign w:val="center"/>
          </w:tcPr>
          <w:p w14:paraId="7E9BCFD6" w14:textId="77777777" w:rsidR="009864DB" w:rsidRPr="004D46AC" w:rsidRDefault="009864DB" w:rsidP="009864DB">
            <w:pPr>
              <w:spacing w:line="240" w:lineRule="auto"/>
              <w:ind w:firstLine="0"/>
            </w:pPr>
            <w:r w:rsidRPr="004D46AC">
              <w:t>43</w:t>
            </w:r>
          </w:p>
        </w:tc>
      </w:tr>
      <w:tr w:rsidR="009864DB" w:rsidRPr="004D46AC" w14:paraId="785B3C30" w14:textId="77777777" w:rsidTr="00B518F1">
        <w:tc>
          <w:tcPr>
            <w:tcW w:w="1476" w:type="dxa"/>
          </w:tcPr>
          <w:p w14:paraId="0B5BB3CE" w14:textId="77777777" w:rsidR="009864DB" w:rsidRPr="004D46AC" w:rsidRDefault="009864DB" w:rsidP="009864DB">
            <w:pPr>
              <w:spacing w:line="240" w:lineRule="auto"/>
              <w:ind w:firstLine="0"/>
            </w:pPr>
            <w:r w:rsidRPr="004D46AC">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instrText xml:space="preserve"> ADDIN EN.CITE </w:instrText>
            </w:r>
            <w:r w:rsidRPr="004D46AC">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instrText xml:space="preserve"> ADDIN EN.CITE.DATA </w:instrText>
            </w:r>
            <w:r w:rsidRPr="004D46AC">
              <w:fldChar w:fldCharType="end"/>
            </w:r>
            <w:r w:rsidRPr="004D46AC">
              <w:fldChar w:fldCharType="separate"/>
            </w:r>
            <w:r w:rsidRPr="004D46AC">
              <w:t>Keck et al. (2003)</w:t>
            </w:r>
            <w:r w:rsidRPr="004D46AC">
              <w:fldChar w:fldCharType="end"/>
            </w:r>
          </w:p>
        </w:tc>
        <w:tc>
          <w:tcPr>
            <w:tcW w:w="754" w:type="dxa"/>
            <w:vAlign w:val="center"/>
          </w:tcPr>
          <w:p w14:paraId="580DAB85" w14:textId="77777777" w:rsidR="009864DB" w:rsidRPr="004D46AC" w:rsidRDefault="009864DB" w:rsidP="009864DB">
            <w:pPr>
              <w:spacing w:line="240" w:lineRule="auto"/>
              <w:ind w:firstLine="0"/>
            </w:pPr>
            <w:r w:rsidRPr="004D46AC">
              <w:t>7</w:t>
            </w:r>
          </w:p>
        </w:tc>
        <w:tc>
          <w:tcPr>
            <w:tcW w:w="766" w:type="dxa"/>
            <w:vAlign w:val="center"/>
          </w:tcPr>
          <w:p w14:paraId="1F79E44F" w14:textId="77777777" w:rsidR="009864DB" w:rsidRPr="004D46AC" w:rsidRDefault="009864DB" w:rsidP="009864DB">
            <w:pPr>
              <w:spacing w:line="240" w:lineRule="auto"/>
              <w:ind w:firstLine="0"/>
            </w:pPr>
            <w:r w:rsidRPr="004D46AC">
              <w:t>41.32</w:t>
            </w:r>
          </w:p>
        </w:tc>
        <w:tc>
          <w:tcPr>
            <w:tcW w:w="1096" w:type="dxa"/>
            <w:vAlign w:val="center"/>
          </w:tcPr>
          <w:p w14:paraId="2238801F" w14:textId="77777777" w:rsidR="009864DB" w:rsidRPr="004D46AC" w:rsidRDefault="009864DB" w:rsidP="009864DB">
            <w:pPr>
              <w:spacing w:line="240" w:lineRule="auto"/>
              <w:ind w:firstLine="0"/>
            </w:pPr>
            <w:r w:rsidRPr="004D46AC">
              <w:t>DSM4</w:t>
            </w:r>
          </w:p>
        </w:tc>
        <w:tc>
          <w:tcPr>
            <w:tcW w:w="1415" w:type="dxa"/>
            <w:vAlign w:val="center"/>
          </w:tcPr>
          <w:p w14:paraId="6C97DB6F" w14:textId="77777777" w:rsidR="009864DB" w:rsidRPr="004D46AC" w:rsidRDefault="009864DB" w:rsidP="009864DB">
            <w:pPr>
              <w:spacing w:line="240" w:lineRule="auto"/>
              <w:ind w:firstLine="0"/>
            </w:pPr>
            <w:r w:rsidRPr="004D46AC">
              <w:t>SCID-P</w:t>
            </w:r>
          </w:p>
        </w:tc>
        <w:tc>
          <w:tcPr>
            <w:tcW w:w="876" w:type="dxa"/>
            <w:vAlign w:val="center"/>
          </w:tcPr>
          <w:p w14:paraId="18CA17AE" w14:textId="77777777" w:rsidR="009864DB" w:rsidRPr="004D46AC" w:rsidRDefault="009864DB" w:rsidP="009864DB">
            <w:pPr>
              <w:spacing w:line="240" w:lineRule="auto"/>
              <w:ind w:firstLine="0"/>
            </w:pPr>
            <w:r w:rsidRPr="004D46AC">
              <w:t>352</w:t>
            </w:r>
          </w:p>
        </w:tc>
        <w:tc>
          <w:tcPr>
            <w:tcW w:w="986" w:type="dxa"/>
            <w:vAlign w:val="center"/>
          </w:tcPr>
          <w:p w14:paraId="1BFB267C" w14:textId="77777777" w:rsidR="009864DB" w:rsidRPr="004D46AC" w:rsidRDefault="009864DB" w:rsidP="009864DB">
            <w:pPr>
              <w:spacing w:line="240" w:lineRule="auto"/>
              <w:ind w:firstLine="0"/>
            </w:pPr>
            <w:r w:rsidRPr="004D46AC">
              <w:t>1</w:t>
            </w:r>
          </w:p>
        </w:tc>
        <w:tc>
          <w:tcPr>
            <w:tcW w:w="751" w:type="dxa"/>
            <w:vAlign w:val="center"/>
          </w:tcPr>
          <w:p w14:paraId="0D002656" w14:textId="77777777" w:rsidR="009864DB" w:rsidRPr="004D46AC" w:rsidRDefault="009864DB" w:rsidP="009864DB">
            <w:pPr>
              <w:spacing w:line="240" w:lineRule="auto"/>
              <w:ind w:firstLine="0"/>
            </w:pPr>
            <w:r w:rsidRPr="004D46AC">
              <w:t>2</w:t>
            </w:r>
          </w:p>
        </w:tc>
        <w:tc>
          <w:tcPr>
            <w:tcW w:w="752" w:type="dxa"/>
            <w:vAlign w:val="center"/>
          </w:tcPr>
          <w:p w14:paraId="59CB6910" w14:textId="77777777" w:rsidR="009864DB" w:rsidRPr="004D46AC" w:rsidRDefault="009864DB" w:rsidP="009864DB">
            <w:pPr>
              <w:spacing w:line="240" w:lineRule="auto"/>
              <w:ind w:firstLine="0"/>
            </w:pPr>
            <w:r w:rsidRPr="004D46AC">
              <w:t>2</w:t>
            </w:r>
          </w:p>
        </w:tc>
        <w:tc>
          <w:tcPr>
            <w:tcW w:w="1296" w:type="dxa"/>
            <w:vAlign w:val="center"/>
          </w:tcPr>
          <w:p w14:paraId="6B8A7103" w14:textId="77777777" w:rsidR="009864DB" w:rsidRPr="004D46AC" w:rsidRDefault="009864DB" w:rsidP="009864DB">
            <w:pPr>
              <w:spacing w:line="240" w:lineRule="auto"/>
              <w:ind w:firstLine="0"/>
            </w:pPr>
            <w:r w:rsidRPr="004D46AC">
              <w:t>238</w:t>
            </w:r>
          </w:p>
        </w:tc>
        <w:tc>
          <w:tcPr>
            <w:tcW w:w="752" w:type="dxa"/>
            <w:vAlign w:val="center"/>
          </w:tcPr>
          <w:p w14:paraId="391E7700" w14:textId="77777777" w:rsidR="009864DB" w:rsidRPr="004D46AC" w:rsidRDefault="009864DB" w:rsidP="009864DB">
            <w:pPr>
              <w:spacing w:line="240" w:lineRule="auto"/>
              <w:ind w:firstLine="0"/>
            </w:pPr>
            <w:r w:rsidRPr="004D46AC">
              <w:t>136</w:t>
            </w:r>
          </w:p>
        </w:tc>
        <w:tc>
          <w:tcPr>
            <w:tcW w:w="789" w:type="dxa"/>
            <w:gridSpan w:val="2"/>
            <w:vAlign w:val="center"/>
          </w:tcPr>
          <w:p w14:paraId="60C81F07" w14:textId="77777777" w:rsidR="009864DB" w:rsidRPr="004D46AC" w:rsidRDefault="009864DB" w:rsidP="009864DB">
            <w:pPr>
              <w:spacing w:line="240" w:lineRule="auto"/>
              <w:ind w:firstLine="0"/>
            </w:pPr>
            <w:r w:rsidRPr="004D46AC">
              <w:t>102</w:t>
            </w:r>
          </w:p>
        </w:tc>
      </w:tr>
      <w:tr w:rsidR="009864DB" w:rsidRPr="004D46AC" w14:paraId="0912D7C2" w14:textId="77777777" w:rsidTr="00B518F1">
        <w:tc>
          <w:tcPr>
            <w:tcW w:w="1476" w:type="dxa"/>
          </w:tcPr>
          <w:p w14:paraId="5F20E5D0" w14:textId="77777777" w:rsidR="009864DB" w:rsidRPr="004D46AC" w:rsidRDefault="009864DB" w:rsidP="009864DB">
            <w:pPr>
              <w:spacing w:line="240" w:lineRule="auto"/>
              <w:ind w:firstLine="0"/>
            </w:pPr>
            <w:r w:rsidRPr="004D46AC">
              <w:fldChar w:fldCharType="begin">
                <w:fldData xml:space="preserve">PEVuZE5vdGU+PENpdGUgQXV0aG9yWWVhcj0iMSI+PEF1dGhvcj5DaGFuPC9BdXRob3I+PFllYXI+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instrText xml:space="preserve"> ADDIN EN.CITE </w:instrText>
            </w:r>
            <w:r w:rsidRPr="004D46AC">
              <w:fldChar w:fldCharType="begin">
                <w:fldData xml:space="preserve">PEVuZE5vdGU+PENpdGUgQXV0aG9yWWVhcj0iMSI+PEF1dGhvcj5DaGFuPC9BdXRob3I+PFllYXI+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instrText xml:space="preserve"> ADDIN EN.CITE.DATA </w:instrText>
            </w:r>
            <w:r w:rsidRPr="004D46AC">
              <w:fldChar w:fldCharType="end"/>
            </w:r>
            <w:r w:rsidRPr="004D46AC">
              <w:fldChar w:fldCharType="separate"/>
            </w:r>
            <w:r w:rsidRPr="004D46AC">
              <w:t>Chan et al. (2019)</w:t>
            </w:r>
            <w:r w:rsidRPr="004D46AC">
              <w:fldChar w:fldCharType="end"/>
            </w:r>
          </w:p>
        </w:tc>
        <w:tc>
          <w:tcPr>
            <w:tcW w:w="754" w:type="dxa"/>
            <w:vAlign w:val="center"/>
          </w:tcPr>
          <w:p w14:paraId="0C1D3774" w14:textId="77777777" w:rsidR="009864DB" w:rsidRPr="004D46AC" w:rsidRDefault="009864DB" w:rsidP="009864DB">
            <w:pPr>
              <w:spacing w:line="240" w:lineRule="auto"/>
              <w:ind w:firstLine="0"/>
            </w:pPr>
            <w:r w:rsidRPr="004D46AC">
              <w:t>6</w:t>
            </w:r>
          </w:p>
        </w:tc>
        <w:tc>
          <w:tcPr>
            <w:tcW w:w="766" w:type="dxa"/>
            <w:vAlign w:val="center"/>
          </w:tcPr>
          <w:p w14:paraId="57E51D47" w14:textId="77777777" w:rsidR="009864DB" w:rsidRPr="004D46AC" w:rsidRDefault="009864DB" w:rsidP="009864DB">
            <w:pPr>
              <w:spacing w:line="240" w:lineRule="auto"/>
              <w:ind w:firstLine="0"/>
            </w:pPr>
            <w:r w:rsidRPr="004D46AC">
              <w:t>46.95</w:t>
            </w:r>
          </w:p>
        </w:tc>
        <w:tc>
          <w:tcPr>
            <w:tcW w:w="1096" w:type="dxa"/>
            <w:vAlign w:val="center"/>
          </w:tcPr>
          <w:p w14:paraId="0BA11938" w14:textId="77777777" w:rsidR="009864DB" w:rsidRPr="004D46AC" w:rsidRDefault="009864DB" w:rsidP="009864DB">
            <w:pPr>
              <w:spacing w:line="240" w:lineRule="auto"/>
              <w:ind w:firstLine="0"/>
            </w:pPr>
            <w:r w:rsidRPr="004D46AC">
              <w:t>DSM5</w:t>
            </w:r>
          </w:p>
        </w:tc>
        <w:tc>
          <w:tcPr>
            <w:tcW w:w="1415" w:type="dxa"/>
            <w:vAlign w:val="center"/>
          </w:tcPr>
          <w:p w14:paraId="3E512673" w14:textId="77777777" w:rsidR="009864DB" w:rsidRPr="004D46AC" w:rsidRDefault="009864DB" w:rsidP="009864DB">
            <w:pPr>
              <w:spacing w:line="240" w:lineRule="auto"/>
              <w:ind w:firstLine="0"/>
            </w:pPr>
            <w:r w:rsidRPr="004D46AC">
              <w:t>SCID</w:t>
            </w:r>
          </w:p>
        </w:tc>
        <w:tc>
          <w:tcPr>
            <w:tcW w:w="876" w:type="dxa"/>
            <w:vAlign w:val="center"/>
          </w:tcPr>
          <w:p w14:paraId="4A3CF0F4" w14:textId="77777777" w:rsidR="009864DB" w:rsidRPr="004D46AC" w:rsidRDefault="009864DB" w:rsidP="009864DB">
            <w:pPr>
              <w:spacing w:line="240" w:lineRule="auto"/>
              <w:ind w:firstLine="0"/>
            </w:pPr>
            <w:r w:rsidRPr="004D46AC">
              <w:t>104</w:t>
            </w:r>
          </w:p>
        </w:tc>
        <w:tc>
          <w:tcPr>
            <w:tcW w:w="986" w:type="dxa"/>
            <w:vAlign w:val="center"/>
          </w:tcPr>
          <w:p w14:paraId="1EF49F0D" w14:textId="77777777" w:rsidR="009864DB" w:rsidRPr="004D46AC" w:rsidRDefault="009864DB" w:rsidP="009864DB">
            <w:pPr>
              <w:spacing w:line="240" w:lineRule="auto"/>
              <w:ind w:firstLine="0"/>
            </w:pPr>
            <w:r w:rsidRPr="004D46AC">
              <w:t>1</w:t>
            </w:r>
          </w:p>
        </w:tc>
        <w:tc>
          <w:tcPr>
            <w:tcW w:w="751" w:type="dxa"/>
            <w:vAlign w:val="center"/>
          </w:tcPr>
          <w:p w14:paraId="29868A78" w14:textId="77777777" w:rsidR="009864DB" w:rsidRPr="004D46AC" w:rsidRDefault="009864DB" w:rsidP="009864DB">
            <w:pPr>
              <w:spacing w:line="240" w:lineRule="auto"/>
              <w:ind w:firstLine="0"/>
            </w:pPr>
            <w:r w:rsidRPr="004D46AC">
              <w:t>1</w:t>
            </w:r>
          </w:p>
        </w:tc>
        <w:tc>
          <w:tcPr>
            <w:tcW w:w="752" w:type="dxa"/>
            <w:vAlign w:val="center"/>
          </w:tcPr>
          <w:p w14:paraId="297AE1C8" w14:textId="77777777" w:rsidR="009864DB" w:rsidRPr="004D46AC" w:rsidRDefault="009864DB" w:rsidP="009864DB">
            <w:pPr>
              <w:spacing w:line="240" w:lineRule="auto"/>
              <w:ind w:firstLine="0"/>
            </w:pPr>
            <w:r w:rsidRPr="004D46AC">
              <w:t>2</w:t>
            </w:r>
          </w:p>
        </w:tc>
        <w:tc>
          <w:tcPr>
            <w:tcW w:w="1296" w:type="dxa"/>
            <w:vAlign w:val="center"/>
          </w:tcPr>
          <w:p w14:paraId="6A34745E" w14:textId="77777777" w:rsidR="009864DB" w:rsidRPr="004D46AC" w:rsidRDefault="009864DB" w:rsidP="009864DB">
            <w:pPr>
              <w:spacing w:line="240" w:lineRule="auto"/>
              <w:ind w:firstLine="0"/>
            </w:pPr>
            <w:r w:rsidRPr="004D46AC">
              <w:t>56</w:t>
            </w:r>
          </w:p>
        </w:tc>
        <w:tc>
          <w:tcPr>
            <w:tcW w:w="752" w:type="dxa"/>
            <w:vAlign w:val="center"/>
          </w:tcPr>
          <w:p w14:paraId="79613B9F" w14:textId="77777777" w:rsidR="009864DB" w:rsidRPr="004D46AC" w:rsidRDefault="009864DB" w:rsidP="009864DB">
            <w:pPr>
              <w:spacing w:line="240" w:lineRule="auto"/>
              <w:ind w:firstLine="0"/>
            </w:pPr>
            <w:r w:rsidRPr="004D46AC">
              <w:t>NA</w:t>
            </w:r>
          </w:p>
        </w:tc>
        <w:tc>
          <w:tcPr>
            <w:tcW w:w="789" w:type="dxa"/>
            <w:gridSpan w:val="2"/>
            <w:vAlign w:val="center"/>
          </w:tcPr>
          <w:p w14:paraId="22393E2C" w14:textId="77777777" w:rsidR="009864DB" w:rsidRPr="004D46AC" w:rsidRDefault="009864DB" w:rsidP="009864DB">
            <w:pPr>
              <w:spacing w:line="240" w:lineRule="auto"/>
              <w:ind w:firstLine="0"/>
            </w:pPr>
            <w:r w:rsidRPr="004D46AC">
              <w:t>NA</w:t>
            </w:r>
          </w:p>
        </w:tc>
      </w:tr>
      <w:tr w:rsidR="009864DB" w:rsidRPr="004D46AC" w14:paraId="5741DEA8" w14:textId="77777777" w:rsidTr="00B518F1">
        <w:tc>
          <w:tcPr>
            <w:tcW w:w="1476" w:type="dxa"/>
          </w:tcPr>
          <w:p w14:paraId="32EBE2AD" w14:textId="77777777" w:rsidR="009864DB" w:rsidRPr="004D46AC" w:rsidRDefault="009864DB" w:rsidP="009864DB">
            <w:pPr>
              <w:spacing w:line="240" w:lineRule="auto"/>
              <w:ind w:firstLine="0"/>
            </w:pPr>
            <w:r w:rsidRPr="004D46AC">
              <w:fldChar w:fldCharType="begin">
                <w:fldData xml:space="preserve">PEVuZE5vdGU+PENpdGUgQXV0aG9yWWVhcj0iMSI+PEF1dGhvcj5Pc3BpbmE8L0F1dGhvcj48WWVh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</w:fldData>
              </w:fldChar>
            </w:r>
            <w:r w:rsidRPr="004D46AC">
              <w:instrText xml:space="preserve"> ADDIN EN.CITE </w:instrText>
            </w:r>
            <w:r w:rsidRPr="004D46AC">
              <w:fldChar w:fldCharType="begin">
                <w:fldData xml:space="preserve">PEVuZE5vdGU+PENpdGUgQXV0aG9yWWVhcj0iMSI+PEF1dGhvcj5Pc3BpbmE8L0F1dGhvcj48WWVh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</w:fldData>
              </w:fldChar>
            </w:r>
            <w:r w:rsidRPr="004D46AC">
              <w:instrText xml:space="preserve"> ADDIN EN.CITE.DATA </w:instrText>
            </w:r>
            <w:r w:rsidRPr="004D46AC">
              <w:fldChar w:fldCharType="end"/>
            </w:r>
            <w:r w:rsidRPr="004D46AC">
              <w:fldChar w:fldCharType="separate"/>
            </w:r>
            <w:r w:rsidRPr="004D46AC">
              <w:t>Ospina et al. (2016)</w:t>
            </w:r>
            <w:r w:rsidRPr="004D46AC">
              <w:fldChar w:fldCharType="end"/>
            </w:r>
          </w:p>
        </w:tc>
        <w:tc>
          <w:tcPr>
            <w:tcW w:w="754" w:type="dxa"/>
            <w:vAlign w:val="center"/>
          </w:tcPr>
          <w:p w14:paraId="1E63DF57" w14:textId="77777777" w:rsidR="009864DB" w:rsidRPr="004D46AC" w:rsidRDefault="009864DB" w:rsidP="009864DB">
            <w:pPr>
              <w:spacing w:line="240" w:lineRule="auto"/>
              <w:ind w:firstLine="0"/>
            </w:pPr>
            <w:r w:rsidRPr="004D46AC">
              <w:t>5</w:t>
            </w:r>
          </w:p>
        </w:tc>
        <w:tc>
          <w:tcPr>
            <w:tcW w:w="766" w:type="dxa"/>
            <w:vAlign w:val="center"/>
          </w:tcPr>
          <w:p w14:paraId="787BD3EF" w14:textId="77777777" w:rsidR="009864DB" w:rsidRPr="004D46AC" w:rsidRDefault="009864DB" w:rsidP="009864DB">
            <w:pPr>
              <w:spacing w:line="240" w:lineRule="auto"/>
              <w:ind w:firstLine="0"/>
            </w:pPr>
            <w:r w:rsidRPr="004D46AC">
              <w:t>47.22</w:t>
            </w:r>
          </w:p>
        </w:tc>
        <w:tc>
          <w:tcPr>
            <w:tcW w:w="1096" w:type="dxa"/>
            <w:vAlign w:val="center"/>
          </w:tcPr>
          <w:p w14:paraId="417E7508" w14:textId="77777777" w:rsidR="009864DB" w:rsidRPr="004D46AC" w:rsidRDefault="009864DB" w:rsidP="009864DB">
            <w:pPr>
              <w:spacing w:line="240" w:lineRule="auto"/>
              <w:ind w:firstLine="0"/>
            </w:pPr>
            <w:r w:rsidRPr="004D46AC">
              <w:t>DSM4</w:t>
            </w:r>
          </w:p>
        </w:tc>
        <w:tc>
          <w:tcPr>
            <w:tcW w:w="1415" w:type="dxa"/>
            <w:vAlign w:val="center"/>
          </w:tcPr>
          <w:p w14:paraId="2B5C7B77" w14:textId="77777777" w:rsidR="009864DB" w:rsidRPr="004D46AC" w:rsidRDefault="009864DB" w:rsidP="009864DB">
            <w:pPr>
              <w:spacing w:line="240" w:lineRule="auto"/>
              <w:ind w:firstLine="0"/>
            </w:pPr>
            <w:r w:rsidRPr="004D46AC">
              <w:t>SCID</w:t>
            </w:r>
          </w:p>
        </w:tc>
        <w:tc>
          <w:tcPr>
            <w:tcW w:w="876" w:type="dxa"/>
            <w:vAlign w:val="center"/>
          </w:tcPr>
          <w:p w14:paraId="15F9499E" w14:textId="77777777" w:rsidR="009864DB" w:rsidRPr="004D46AC" w:rsidRDefault="009864DB" w:rsidP="009864DB">
            <w:pPr>
              <w:spacing w:line="240" w:lineRule="auto"/>
              <w:ind w:firstLine="0"/>
            </w:pPr>
            <w:r w:rsidRPr="004D46AC">
              <w:t>105</w:t>
            </w:r>
          </w:p>
        </w:tc>
        <w:tc>
          <w:tcPr>
            <w:tcW w:w="986" w:type="dxa"/>
            <w:vAlign w:val="center"/>
          </w:tcPr>
          <w:p w14:paraId="1789ED85" w14:textId="77777777" w:rsidR="009864DB" w:rsidRPr="004D46AC" w:rsidRDefault="009864DB" w:rsidP="009864DB">
            <w:pPr>
              <w:spacing w:line="240" w:lineRule="auto"/>
              <w:ind w:firstLine="0"/>
            </w:pPr>
            <w:r w:rsidRPr="004D46AC">
              <w:t>unclear</w:t>
            </w:r>
          </w:p>
        </w:tc>
        <w:tc>
          <w:tcPr>
            <w:tcW w:w="751" w:type="dxa"/>
            <w:vAlign w:val="center"/>
          </w:tcPr>
          <w:p w14:paraId="2169C6DC" w14:textId="77777777" w:rsidR="009864DB" w:rsidRPr="004D46AC" w:rsidRDefault="009864DB" w:rsidP="009864DB">
            <w:pPr>
              <w:spacing w:line="240" w:lineRule="auto"/>
              <w:ind w:firstLine="0"/>
            </w:pPr>
            <w:r w:rsidRPr="004D46AC">
              <w:t>1</w:t>
            </w:r>
          </w:p>
        </w:tc>
        <w:tc>
          <w:tcPr>
            <w:tcW w:w="752" w:type="dxa"/>
            <w:vAlign w:val="center"/>
          </w:tcPr>
          <w:p w14:paraId="71FE9A98" w14:textId="77777777" w:rsidR="009864DB" w:rsidRPr="004D46AC" w:rsidRDefault="009864DB" w:rsidP="009864DB">
            <w:pPr>
              <w:spacing w:line="240" w:lineRule="auto"/>
              <w:ind w:firstLine="0"/>
            </w:pPr>
            <w:r w:rsidRPr="004D46AC">
              <w:t>2</w:t>
            </w:r>
          </w:p>
        </w:tc>
        <w:tc>
          <w:tcPr>
            <w:tcW w:w="1296" w:type="dxa"/>
            <w:vAlign w:val="center"/>
          </w:tcPr>
          <w:p w14:paraId="4F7DADA8" w14:textId="77777777" w:rsidR="009864DB" w:rsidRPr="004D46AC" w:rsidRDefault="009864DB" w:rsidP="009864DB">
            <w:pPr>
              <w:spacing w:line="240" w:lineRule="auto"/>
              <w:ind w:firstLine="0"/>
            </w:pPr>
            <w:r w:rsidRPr="004D46AC">
              <w:t>43</w:t>
            </w:r>
          </w:p>
        </w:tc>
        <w:tc>
          <w:tcPr>
            <w:tcW w:w="752" w:type="dxa"/>
            <w:vAlign w:val="center"/>
          </w:tcPr>
          <w:p w14:paraId="237BEA5D" w14:textId="77777777" w:rsidR="009864DB" w:rsidRPr="004D46AC" w:rsidRDefault="009864DB" w:rsidP="009864DB">
            <w:pPr>
              <w:spacing w:line="240" w:lineRule="auto"/>
              <w:ind w:firstLine="0"/>
            </w:pPr>
            <w:r w:rsidRPr="004D46AC">
              <w:t>NA</w:t>
            </w:r>
          </w:p>
        </w:tc>
        <w:tc>
          <w:tcPr>
            <w:tcW w:w="789" w:type="dxa"/>
            <w:gridSpan w:val="2"/>
            <w:vAlign w:val="center"/>
          </w:tcPr>
          <w:p w14:paraId="63DAAD93" w14:textId="77777777" w:rsidR="009864DB" w:rsidRPr="004D46AC" w:rsidRDefault="009864DB" w:rsidP="009864DB">
            <w:pPr>
              <w:spacing w:line="240" w:lineRule="auto"/>
              <w:ind w:firstLine="0"/>
            </w:pPr>
            <w:r w:rsidRPr="004D46AC">
              <w:t>NA</w:t>
            </w:r>
          </w:p>
        </w:tc>
      </w:tr>
      <w:tr w:rsidR="009864DB" w:rsidRPr="004D46AC" w14:paraId="5748DC8C" w14:textId="77777777" w:rsidTr="00B518F1">
        <w:tc>
          <w:tcPr>
            <w:tcW w:w="1476" w:type="dxa"/>
          </w:tcPr>
          <w:p w14:paraId="1507AF59" w14:textId="77777777" w:rsidR="009864DB" w:rsidRPr="004D46AC" w:rsidRDefault="009864DB" w:rsidP="009864DB">
            <w:pPr>
              <w:spacing w:line="240" w:lineRule="auto"/>
              <w:ind w:firstLine="0"/>
            </w:pPr>
            <w:r w:rsidRPr="004D46AC">
              <w:fldChar w:fldCharType="begin">
                <w:fldData xml:space="preserve">PEVuZE5vdGU+PENpdGUgQXV0aG9yWWVhcj0iMSI+PEF1dGhvcj5CcmFnYTwvQXV0aG9yPjxZZWFy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instrText xml:space="preserve"> ADDIN EN.CITE </w:instrText>
            </w:r>
            <w:r w:rsidRPr="004D46AC">
              <w:fldChar w:fldCharType="begin">
                <w:fldData xml:space="preserve">PEVuZE5vdGU+PENpdGUgQXV0aG9yWWVhcj0iMSI+PEF1dGhvcj5CcmFnYTwvQXV0aG9yPjxZZWFy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Braga et al. (2012)</w:t>
            </w:r>
            <w:r w:rsidRPr="004D46AC">
              <w:fldChar w:fldCharType="end"/>
            </w:r>
          </w:p>
        </w:tc>
        <w:tc>
          <w:tcPr>
            <w:tcW w:w="754" w:type="dxa"/>
            <w:vAlign w:val="center"/>
          </w:tcPr>
          <w:p w14:paraId="62DE946A" w14:textId="77777777" w:rsidR="009864DB" w:rsidRPr="004D46AC" w:rsidRDefault="009864DB" w:rsidP="009864DB">
            <w:pPr>
              <w:spacing w:line="240" w:lineRule="auto"/>
              <w:ind w:firstLine="0"/>
            </w:pPr>
            <w:r w:rsidRPr="004D46AC">
              <w:t>7</w:t>
            </w:r>
          </w:p>
        </w:tc>
        <w:tc>
          <w:tcPr>
            <w:tcW w:w="766" w:type="dxa"/>
            <w:vAlign w:val="center"/>
          </w:tcPr>
          <w:p w14:paraId="0FF0915C" w14:textId="77777777" w:rsidR="009864DB" w:rsidRPr="004D46AC" w:rsidRDefault="009864DB" w:rsidP="009864DB">
            <w:pPr>
              <w:spacing w:line="240" w:lineRule="auto"/>
              <w:ind w:firstLine="0"/>
            </w:pPr>
            <w:r w:rsidRPr="004D46AC">
              <w:t>36.7</w:t>
            </w:r>
          </w:p>
        </w:tc>
        <w:tc>
          <w:tcPr>
            <w:tcW w:w="1096" w:type="dxa"/>
            <w:vAlign w:val="center"/>
          </w:tcPr>
          <w:p w14:paraId="1B052AA6" w14:textId="77777777" w:rsidR="009864DB" w:rsidRPr="004D46AC" w:rsidRDefault="009864DB" w:rsidP="009864DB">
            <w:pPr>
              <w:spacing w:line="240" w:lineRule="auto"/>
              <w:ind w:firstLine="0"/>
            </w:pPr>
            <w:r w:rsidRPr="004D46AC">
              <w:t>DSM4</w:t>
            </w:r>
          </w:p>
        </w:tc>
        <w:tc>
          <w:tcPr>
            <w:tcW w:w="1415" w:type="dxa"/>
            <w:vAlign w:val="center"/>
          </w:tcPr>
          <w:p w14:paraId="3041ECEF" w14:textId="77777777" w:rsidR="009864DB" w:rsidRPr="004D46AC" w:rsidRDefault="009864DB" w:rsidP="009864DB">
            <w:pPr>
              <w:spacing w:line="240" w:lineRule="auto"/>
              <w:ind w:firstLine="0"/>
            </w:pPr>
            <w:r w:rsidRPr="004D46AC">
              <w:t>SCID</w:t>
            </w:r>
          </w:p>
        </w:tc>
        <w:tc>
          <w:tcPr>
            <w:tcW w:w="876" w:type="dxa"/>
            <w:vAlign w:val="center"/>
          </w:tcPr>
          <w:p w14:paraId="6C2B635D" w14:textId="77777777" w:rsidR="009864DB" w:rsidRPr="004D46AC" w:rsidRDefault="009864DB" w:rsidP="009864DB">
            <w:pPr>
              <w:spacing w:line="240" w:lineRule="auto"/>
              <w:ind w:firstLine="0"/>
            </w:pPr>
            <w:r w:rsidRPr="004D46AC">
              <w:t>200</w:t>
            </w:r>
          </w:p>
        </w:tc>
        <w:tc>
          <w:tcPr>
            <w:tcW w:w="986" w:type="dxa"/>
            <w:vAlign w:val="center"/>
          </w:tcPr>
          <w:p w14:paraId="578FDF1E" w14:textId="77777777" w:rsidR="009864DB" w:rsidRPr="004D46AC" w:rsidRDefault="009864DB" w:rsidP="009864DB">
            <w:pPr>
              <w:spacing w:line="240" w:lineRule="auto"/>
              <w:ind w:firstLine="0"/>
            </w:pPr>
            <w:r w:rsidRPr="004D46AC">
              <w:t>unclear</w:t>
            </w:r>
          </w:p>
        </w:tc>
        <w:tc>
          <w:tcPr>
            <w:tcW w:w="751" w:type="dxa"/>
            <w:vAlign w:val="center"/>
          </w:tcPr>
          <w:p w14:paraId="456F7750" w14:textId="77777777" w:rsidR="009864DB" w:rsidRPr="004D46AC" w:rsidRDefault="009864DB" w:rsidP="009864DB">
            <w:pPr>
              <w:spacing w:line="240" w:lineRule="auto"/>
              <w:ind w:firstLine="0"/>
            </w:pPr>
            <w:r w:rsidRPr="004D46AC">
              <w:t>2</w:t>
            </w:r>
          </w:p>
        </w:tc>
        <w:tc>
          <w:tcPr>
            <w:tcW w:w="752" w:type="dxa"/>
            <w:vAlign w:val="center"/>
          </w:tcPr>
          <w:p w14:paraId="604103BD" w14:textId="77777777" w:rsidR="009864DB" w:rsidRPr="004D46AC" w:rsidRDefault="009864DB" w:rsidP="009864DB">
            <w:pPr>
              <w:spacing w:line="240" w:lineRule="auto"/>
              <w:ind w:firstLine="0"/>
            </w:pPr>
            <w:r w:rsidRPr="004D46AC">
              <w:t>2</w:t>
            </w:r>
          </w:p>
        </w:tc>
        <w:tc>
          <w:tcPr>
            <w:tcW w:w="1296" w:type="dxa"/>
            <w:vAlign w:val="center"/>
          </w:tcPr>
          <w:p w14:paraId="39395508" w14:textId="77777777" w:rsidR="009864DB" w:rsidRPr="004D46AC" w:rsidRDefault="009864DB" w:rsidP="009864DB">
            <w:pPr>
              <w:spacing w:line="240" w:lineRule="auto"/>
              <w:ind w:firstLine="0"/>
            </w:pPr>
            <w:r w:rsidRPr="004D46AC">
              <w:t>143</w:t>
            </w:r>
          </w:p>
        </w:tc>
        <w:tc>
          <w:tcPr>
            <w:tcW w:w="752" w:type="dxa"/>
            <w:vAlign w:val="center"/>
          </w:tcPr>
          <w:p w14:paraId="677FF8E8" w14:textId="77777777" w:rsidR="009864DB" w:rsidRPr="004D46AC" w:rsidRDefault="009864DB" w:rsidP="009864DB">
            <w:pPr>
              <w:spacing w:line="240" w:lineRule="auto"/>
              <w:ind w:firstLine="0"/>
            </w:pPr>
            <w:r w:rsidRPr="004D46AC">
              <w:t>NA</w:t>
            </w:r>
          </w:p>
        </w:tc>
        <w:tc>
          <w:tcPr>
            <w:tcW w:w="789" w:type="dxa"/>
            <w:gridSpan w:val="2"/>
            <w:vAlign w:val="center"/>
          </w:tcPr>
          <w:p w14:paraId="337CD6CA" w14:textId="77777777" w:rsidR="009864DB" w:rsidRPr="004D46AC" w:rsidRDefault="009864DB" w:rsidP="009864DB">
            <w:pPr>
              <w:spacing w:line="240" w:lineRule="auto"/>
              <w:ind w:firstLine="0"/>
            </w:pPr>
            <w:r w:rsidRPr="004D46AC">
              <w:t>NA</w:t>
            </w:r>
          </w:p>
        </w:tc>
      </w:tr>
      <w:tr w:rsidR="009864DB" w:rsidRPr="004D46AC" w14:paraId="2C8CEC1D" w14:textId="77777777" w:rsidTr="00B518F1">
        <w:tc>
          <w:tcPr>
            <w:tcW w:w="1476" w:type="dxa"/>
          </w:tcPr>
          <w:p w14:paraId="2141C68C" w14:textId="77777777" w:rsidR="009864DB" w:rsidRPr="004D46AC" w:rsidRDefault="009864DB" w:rsidP="009864DB">
            <w:pPr>
              <w:spacing w:line="240" w:lineRule="auto"/>
              <w:ind w:firstLine="0"/>
            </w:pPr>
            <w:r w:rsidRPr="004D46AC">
              <w:fldChar w:fldCharType="begin">
                <w:fldData xml:space="preserve">PEVuZE5vdGU+PENpdGUgQXV0aG9yWWVhcj0iMSI+PEF1dGhvcj5BbmRyYWRlLU5hc2NpbWVudG88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</w:fldData>
              </w:fldChar>
            </w:r>
            <w:r w:rsidRPr="004D46AC">
              <w:instrText xml:space="preserve"> ADDIN EN.CITE </w:instrText>
            </w:r>
            <w:r w:rsidRPr="004D46AC">
              <w:fldChar w:fldCharType="begin">
                <w:fldData xml:space="preserve">PEVuZE5vdGU+PENpdGUgQXV0aG9yWWVhcj0iMSI+PEF1dGhvcj5BbmRyYWRlLU5hc2NpbWVudG88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</w:fldData>
              </w:fldChar>
            </w:r>
            <w:r w:rsidRPr="004D46AC">
              <w:instrText xml:space="preserve"> ADDIN EN.CITE.DATA </w:instrText>
            </w:r>
            <w:r w:rsidRPr="004D46AC">
              <w:fldChar w:fldCharType="end"/>
            </w:r>
            <w:r w:rsidRPr="004D46AC">
              <w:fldChar w:fldCharType="separate"/>
            </w:r>
            <w:r w:rsidRPr="004D46AC">
              <w:t>Andrade-Nascimento et al. (2011)</w:t>
            </w:r>
            <w:r w:rsidRPr="004D46AC">
              <w:fldChar w:fldCharType="end"/>
            </w:r>
          </w:p>
        </w:tc>
        <w:tc>
          <w:tcPr>
            <w:tcW w:w="754" w:type="dxa"/>
            <w:vAlign w:val="center"/>
          </w:tcPr>
          <w:p w14:paraId="736A9A9C" w14:textId="77777777" w:rsidR="009864DB" w:rsidRPr="004D46AC" w:rsidRDefault="009864DB" w:rsidP="009864DB">
            <w:pPr>
              <w:spacing w:line="240" w:lineRule="auto"/>
              <w:ind w:firstLine="0"/>
            </w:pPr>
            <w:r w:rsidRPr="004D46AC">
              <w:t>7</w:t>
            </w:r>
          </w:p>
        </w:tc>
        <w:tc>
          <w:tcPr>
            <w:tcW w:w="766" w:type="dxa"/>
            <w:vAlign w:val="center"/>
          </w:tcPr>
          <w:p w14:paraId="5BBA43E3" w14:textId="77777777" w:rsidR="009864DB" w:rsidRPr="004D46AC" w:rsidRDefault="009864DB" w:rsidP="009864DB">
            <w:pPr>
              <w:spacing w:line="240" w:lineRule="auto"/>
              <w:ind w:firstLine="0"/>
            </w:pPr>
            <w:r w:rsidRPr="004D46AC">
              <w:t>41.6</w:t>
            </w:r>
          </w:p>
        </w:tc>
        <w:tc>
          <w:tcPr>
            <w:tcW w:w="1096" w:type="dxa"/>
            <w:vAlign w:val="center"/>
          </w:tcPr>
          <w:p w14:paraId="13CB46FD" w14:textId="77777777" w:rsidR="009864DB" w:rsidRPr="004D46AC" w:rsidRDefault="009864DB" w:rsidP="009864DB">
            <w:pPr>
              <w:spacing w:line="240" w:lineRule="auto"/>
              <w:ind w:firstLine="0"/>
            </w:pPr>
            <w:r w:rsidRPr="004D46AC">
              <w:t>DSM4</w:t>
            </w:r>
          </w:p>
        </w:tc>
        <w:tc>
          <w:tcPr>
            <w:tcW w:w="1415" w:type="dxa"/>
            <w:vAlign w:val="center"/>
          </w:tcPr>
          <w:p w14:paraId="786F247C" w14:textId="77777777" w:rsidR="009864DB" w:rsidRPr="004D46AC" w:rsidRDefault="009864DB" w:rsidP="009864DB">
            <w:pPr>
              <w:spacing w:line="240" w:lineRule="auto"/>
              <w:ind w:firstLine="0"/>
            </w:pPr>
            <w:r w:rsidRPr="004D46AC">
              <w:t>SCID</w:t>
            </w:r>
          </w:p>
        </w:tc>
        <w:tc>
          <w:tcPr>
            <w:tcW w:w="876" w:type="dxa"/>
            <w:vAlign w:val="center"/>
          </w:tcPr>
          <w:p w14:paraId="5AD79B50" w14:textId="77777777" w:rsidR="009864DB" w:rsidRPr="004D46AC" w:rsidRDefault="009864DB" w:rsidP="009864DB">
            <w:pPr>
              <w:spacing w:line="240" w:lineRule="auto"/>
              <w:ind w:firstLine="0"/>
            </w:pPr>
            <w:r w:rsidRPr="004D46AC">
              <w:t>298</w:t>
            </w:r>
          </w:p>
        </w:tc>
        <w:tc>
          <w:tcPr>
            <w:tcW w:w="986" w:type="dxa"/>
            <w:vAlign w:val="center"/>
          </w:tcPr>
          <w:p w14:paraId="1C6E260E" w14:textId="77777777" w:rsidR="009864DB" w:rsidRPr="004D46AC" w:rsidRDefault="009864DB" w:rsidP="009864DB">
            <w:pPr>
              <w:spacing w:line="240" w:lineRule="auto"/>
              <w:ind w:firstLine="0"/>
            </w:pPr>
            <w:r w:rsidRPr="004D46AC">
              <w:t>1</w:t>
            </w:r>
          </w:p>
        </w:tc>
        <w:tc>
          <w:tcPr>
            <w:tcW w:w="751" w:type="dxa"/>
            <w:vAlign w:val="center"/>
          </w:tcPr>
          <w:p w14:paraId="48B6A055" w14:textId="77777777" w:rsidR="009864DB" w:rsidRPr="004D46AC" w:rsidRDefault="009864DB" w:rsidP="009864DB">
            <w:pPr>
              <w:spacing w:line="240" w:lineRule="auto"/>
              <w:ind w:firstLine="0"/>
            </w:pPr>
            <w:r w:rsidRPr="004D46AC">
              <w:t>2</w:t>
            </w:r>
          </w:p>
        </w:tc>
        <w:tc>
          <w:tcPr>
            <w:tcW w:w="752" w:type="dxa"/>
            <w:vAlign w:val="center"/>
          </w:tcPr>
          <w:p w14:paraId="2131AE07" w14:textId="77777777" w:rsidR="009864DB" w:rsidRPr="004D46AC" w:rsidRDefault="009864DB" w:rsidP="009864DB">
            <w:pPr>
              <w:spacing w:line="240" w:lineRule="auto"/>
              <w:ind w:firstLine="0"/>
            </w:pPr>
            <w:r w:rsidRPr="004D46AC">
              <w:t>2</w:t>
            </w:r>
          </w:p>
        </w:tc>
        <w:tc>
          <w:tcPr>
            <w:tcW w:w="1296" w:type="dxa"/>
            <w:vAlign w:val="center"/>
          </w:tcPr>
          <w:p w14:paraId="09EE1185" w14:textId="77777777" w:rsidR="009864DB" w:rsidRPr="004D46AC" w:rsidRDefault="009864DB" w:rsidP="009864DB">
            <w:pPr>
              <w:spacing w:line="240" w:lineRule="auto"/>
              <w:ind w:firstLine="0"/>
            </w:pPr>
            <w:r w:rsidRPr="004D46AC">
              <w:t>144</w:t>
            </w:r>
          </w:p>
        </w:tc>
        <w:tc>
          <w:tcPr>
            <w:tcW w:w="752" w:type="dxa"/>
            <w:vAlign w:val="center"/>
          </w:tcPr>
          <w:p w14:paraId="0D22E007" w14:textId="77777777" w:rsidR="009864DB" w:rsidRPr="004D46AC" w:rsidRDefault="009864DB" w:rsidP="009864DB">
            <w:pPr>
              <w:spacing w:line="240" w:lineRule="auto"/>
              <w:ind w:firstLine="0"/>
            </w:pPr>
            <w:r w:rsidRPr="004D46AC">
              <w:t>NA</w:t>
            </w:r>
          </w:p>
        </w:tc>
        <w:tc>
          <w:tcPr>
            <w:tcW w:w="789" w:type="dxa"/>
            <w:gridSpan w:val="2"/>
            <w:vAlign w:val="center"/>
          </w:tcPr>
          <w:p w14:paraId="0DF935AD" w14:textId="77777777" w:rsidR="009864DB" w:rsidRPr="004D46AC" w:rsidRDefault="009864DB" w:rsidP="009864DB">
            <w:pPr>
              <w:spacing w:line="240" w:lineRule="auto"/>
              <w:ind w:firstLine="0"/>
            </w:pPr>
            <w:r w:rsidRPr="004D46AC">
              <w:t>NA</w:t>
            </w:r>
          </w:p>
        </w:tc>
      </w:tr>
      <w:tr w:rsidR="009864DB" w:rsidRPr="004D46AC" w14:paraId="3DEB5B55" w14:textId="77777777" w:rsidTr="00B518F1">
        <w:tc>
          <w:tcPr>
            <w:tcW w:w="1476" w:type="dxa"/>
          </w:tcPr>
          <w:p w14:paraId="354AEC34" w14:textId="77777777" w:rsidR="009864DB" w:rsidRPr="004D46AC" w:rsidRDefault="009864DB" w:rsidP="009864DB">
            <w:pPr>
              <w:spacing w:line="240" w:lineRule="auto"/>
              <w:ind w:firstLine="0"/>
            </w:pPr>
            <w:r w:rsidRPr="004D46AC">
              <w:fldChar w:fldCharType="begin">
                <w:fldData xml:space="preserve">PEVuZE5vdGU+PENpdGUgQXV0aG9yWWVhcj0iMSI+PEF1dGhvcj5LYXVlci1TYW50JmFwb3M7QW5u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</w:fldData>
              </w:fldChar>
            </w:r>
            <w:r w:rsidRPr="004D46AC">
              <w:instrText xml:space="preserve"> ADDIN EN.CITE </w:instrText>
            </w:r>
            <w:r w:rsidRPr="004D46AC">
              <w:fldChar w:fldCharType="begin">
                <w:fldData xml:space="preserve">PEVuZE5vdGU+PENpdGUgQXV0aG9yWWVhcj0iMSI+PEF1dGhvcj5LYXVlci1TYW50JmFwb3M7QW5u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</w:fldData>
              </w:fldChar>
            </w:r>
            <w:r w:rsidRPr="004D46AC">
              <w:instrText xml:space="preserve"> ADDIN EN.CITE.DATA </w:instrText>
            </w:r>
            <w:r w:rsidRPr="004D46AC">
              <w:fldChar w:fldCharType="end"/>
            </w:r>
            <w:r w:rsidRPr="004D46AC">
              <w:fldChar w:fldCharType="separate"/>
            </w:r>
            <w:r w:rsidRPr="004D46AC">
              <w:t>Kauer-Sant'Anna et al. (2009)</w:t>
            </w:r>
            <w:r w:rsidRPr="004D46AC">
              <w:fldChar w:fldCharType="end"/>
            </w:r>
          </w:p>
        </w:tc>
        <w:tc>
          <w:tcPr>
            <w:tcW w:w="754" w:type="dxa"/>
            <w:vAlign w:val="center"/>
          </w:tcPr>
          <w:p w14:paraId="16544E4D" w14:textId="77777777" w:rsidR="009864DB" w:rsidRPr="004D46AC" w:rsidRDefault="009864DB" w:rsidP="009864DB">
            <w:pPr>
              <w:spacing w:line="240" w:lineRule="auto"/>
              <w:ind w:firstLine="0"/>
            </w:pPr>
            <w:r w:rsidRPr="004D46AC">
              <w:t>6</w:t>
            </w:r>
          </w:p>
        </w:tc>
        <w:tc>
          <w:tcPr>
            <w:tcW w:w="766" w:type="dxa"/>
            <w:vAlign w:val="center"/>
          </w:tcPr>
          <w:p w14:paraId="3B4C976C" w14:textId="77777777" w:rsidR="009864DB" w:rsidRPr="004D46AC" w:rsidRDefault="009864DB" w:rsidP="009864DB">
            <w:pPr>
              <w:spacing w:line="240" w:lineRule="auto"/>
              <w:ind w:firstLine="0"/>
            </w:pPr>
            <w:r w:rsidRPr="004D46AC">
              <w:t>22.19</w:t>
            </w:r>
          </w:p>
        </w:tc>
        <w:tc>
          <w:tcPr>
            <w:tcW w:w="1096" w:type="dxa"/>
            <w:vAlign w:val="center"/>
          </w:tcPr>
          <w:p w14:paraId="0459CD99" w14:textId="77777777" w:rsidR="009864DB" w:rsidRPr="004D46AC" w:rsidRDefault="009864DB" w:rsidP="009864DB">
            <w:pPr>
              <w:spacing w:line="240" w:lineRule="auto"/>
              <w:ind w:firstLine="0"/>
            </w:pPr>
            <w:r w:rsidRPr="004D46AC">
              <w:t>DSM4</w:t>
            </w:r>
          </w:p>
        </w:tc>
        <w:tc>
          <w:tcPr>
            <w:tcW w:w="1415" w:type="dxa"/>
            <w:vAlign w:val="center"/>
          </w:tcPr>
          <w:p w14:paraId="04312560" w14:textId="77777777" w:rsidR="009864DB" w:rsidRPr="004D46AC" w:rsidRDefault="009864DB" w:rsidP="009864DB">
            <w:pPr>
              <w:spacing w:line="240" w:lineRule="auto"/>
              <w:ind w:firstLine="0"/>
            </w:pPr>
            <w:r w:rsidRPr="004D46AC">
              <w:t>MINI</w:t>
            </w:r>
          </w:p>
        </w:tc>
        <w:tc>
          <w:tcPr>
            <w:tcW w:w="876" w:type="dxa"/>
            <w:vAlign w:val="center"/>
          </w:tcPr>
          <w:p w14:paraId="6C738F97" w14:textId="77777777" w:rsidR="009864DB" w:rsidRPr="004D46AC" w:rsidRDefault="009864DB" w:rsidP="009864DB">
            <w:pPr>
              <w:spacing w:line="240" w:lineRule="auto"/>
              <w:ind w:firstLine="0"/>
            </w:pPr>
            <w:r w:rsidRPr="004D46AC">
              <w:t>53</w:t>
            </w:r>
          </w:p>
        </w:tc>
        <w:tc>
          <w:tcPr>
            <w:tcW w:w="986" w:type="dxa"/>
            <w:vAlign w:val="center"/>
          </w:tcPr>
          <w:p w14:paraId="28588B25" w14:textId="77777777" w:rsidR="009864DB" w:rsidRPr="004D46AC" w:rsidRDefault="009864DB" w:rsidP="009864DB">
            <w:pPr>
              <w:spacing w:line="240" w:lineRule="auto"/>
              <w:ind w:firstLine="0"/>
            </w:pPr>
            <w:r w:rsidRPr="004D46AC">
              <w:t>1</w:t>
            </w:r>
          </w:p>
        </w:tc>
        <w:tc>
          <w:tcPr>
            <w:tcW w:w="751" w:type="dxa"/>
            <w:vAlign w:val="center"/>
          </w:tcPr>
          <w:p w14:paraId="67DEC482" w14:textId="77777777" w:rsidR="009864DB" w:rsidRPr="004D46AC" w:rsidRDefault="009864DB" w:rsidP="009864DB">
            <w:pPr>
              <w:spacing w:line="240" w:lineRule="auto"/>
              <w:ind w:firstLine="0"/>
            </w:pPr>
            <w:r w:rsidRPr="004D46AC">
              <w:t>2</w:t>
            </w:r>
          </w:p>
        </w:tc>
        <w:tc>
          <w:tcPr>
            <w:tcW w:w="752" w:type="dxa"/>
            <w:vAlign w:val="center"/>
          </w:tcPr>
          <w:p w14:paraId="6825A6A9" w14:textId="77777777" w:rsidR="009864DB" w:rsidRPr="004D46AC" w:rsidRDefault="009864DB" w:rsidP="009864DB">
            <w:pPr>
              <w:spacing w:line="240" w:lineRule="auto"/>
              <w:ind w:firstLine="0"/>
            </w:pPr>
            <w:r w:rsidRPr="004D46AC">
              <w:t>0</w:t>
            </w:r>
          </w:p>
        </w:tc>
        <w:tc>
          <w:tcPr>
            <w:tcW w:w="1296" w:type="dxa"/>
            <w:vAlign w:val="center"/>
          </w:tcPr>
          <w:p w14:paraId="07778FC5" w14:textId="77777777" w:rsidR="009864DB" w:rsidRPr="004D46AC" w:rsidRDefault="009864DB" w:rsidP="009864DB">
            <w:pPr>
              <w:spacing w:line="240" w:lineRule="auto"/>
              <w:ind w:firstLine="0"/>
            </w:pPr>
            <w:r w:rsidRPr="004D46AC">
              <w:t>8</w:t>
            </w:r>
          </w:p>
        </w:tc>
        <w:tc>
          <w:tcPr>
            <w:tcW w:w="752" w:type="dxa"/>
            <w:vAlign w:val="center"/>
          </w:tcPr>
          <w:p w14:paraId="10D31B09" w14:textId="77777777" w:rsidR="009864DB" w:rsidRPr="004D46AC" w:rsidRDefault="009864DB" w:rsidP="009864DB">
            <w:pPr>
              <w:spacing w:line="240" w:lineRule="auto"/>
              <w:ind w:firstLine="0"/>
            </w:pPr>
            <w:r w:rsidRPr="004D46AC">
              <w:t>NA</w:t>
            </w:r>
          </w:p>
        </w:tc>
        <w:tc>
          <w:tcPr>
            <w:tcW w:w="789" w:type="dxa"/>
            <w:gridSpan w:val="2"/>
            <w:vAlign w:val="center"/>
          </w:tcPr>
          <w:p w14:paraId="0DC0F107" w14:textId="77777777" w:rsidR="009864DB" w:rsidRPr="004D46AC" w:rsidRDefault="009864DB" w:rsidP="009864DB">
            <w:pPr>
              <w:spacing w:line="240" w:lineRule="auto"/>
              <w:ind w:firstLine="0"/>
            </w:pPr>
            <w:r w:rsidRPr="004D46AC">
              <w:t>NA</w:t>
            </w:r>
          </w:p>
        </w:tc>
      </w:tr>
      <w:tr w:rsidR="009864DB" w:rsidRPr="004D46AC" w14:paraId="6C4C43F8" w14:textId="77777777" w:rsidTr="00B518F1">
        <w:tc>
          <w:tcPr>
            <w:tcW w:w="1476" w:type="dxa"/>
          </w:tcPr>
          <w:p w14:paraId="091B91CA" w14:textId="77777777" w:rsidR="009864DB" w:rsidRPr="004D46AC" w:rsidRDefault="009864DB" w:rsidP="009864DB">
            <w:pPr>
              <w:spacing w:line="240" w:lineRule="auto"/>
              <w:ind w:firstLine="0"/>
            </w:pPr>
            <w:r w:rsidRPr="004D46AC">
              <w:fldChar w:fldCharType="begin">
                <w:fldData xml:space="preserve">PEVuZE5vdGU+PENpdGUgQXV0aG9yWWVhcj0iMSI+PEF1dGhvcj52YW4gT3M8L0F1dGhvcj48WWVh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 </w:instrText>
            </w:r>
            <w:r w:rsidRPr="004D46AC">
              <w:fldChar w:fldCharType="begin">
                <w:fldData xml:space="preserve">PEVuZE5vdGU+PENpdGUgQXV0aG9yWWVhcj0iMSI+PEF1dGhvcj52YW4gT3M8L0F1dGhvcj48WWVh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EN.CITE.DATA </w:instrText>
            </w:r>
            <w:r w:rsidRPr="004D46AC">
              <w:fldChar w:fldCharType="end"/>
            </w:r>
            <w:r w:rsidRPr="004D46AC">
              <w:fldChar w:fldCharType="separate"/>
            </w:r>
            <w:r w:rsidRPr="004D46AC">
              <w:t>van Os et al. (2007)</w:t>
            </w:r>
            <w:r w:rsidRPr="004D46AC">
              <w:fldChar w:fldCharType="end"/>
            </w:r>
          </w:p>
        </w:tc>
        <w:tc>
          <w:tcPr>
            <w:tcW w:w="754" w:type="dxa"/>
            <w:vAlign w:val="center"/>
          </w:tcPr>
          <w:p w14:paraId="01B4B7EC" w14:textId="77777777" w:rsidR="009864DB" w:rsidRPr="004D46AC" w:rsidRDefault="009864DB" w:rsidP="009864DB">
            <w:pPr>
              <w:spacing w:line="240" w:lineRule="auto"/>
              <w:ind w:firstLine="0"/>
            </w:pPr>
            <w:r w:rsidRPr="004D46AC">
              <w:t>7</w:t>
            </w:r>
          </w:p>
        </w:tc>
        <w:tc>
          <w:tcPr>
            <w:tcW w:w="766" w:type="dxa"/>
            <w:vAlign w:val="center"/>
          </w:tcPr>
          <w:p w14:paraId="0D007B6E" w14:textId="77777777" w:rsidR="009864DB" w:rsidRPr="004D46AC" w:rsidRDefault="009864DB" w:rsidP="009864DB">
            <w:pPr>
              <w:spacing w:line="240" w:lineRule="auto"/>
              <w:ind w:firstLine="0"/>
            </w:pPr>
            <w:r w:rsidRPr="004D46AC">
              <w:t>44.6</w:t>
            </w:r>
          </w:p>
        </w:tc>
        <w:tc>
          <w:tcPr>
            <w:tcW w:w="1096" w:type="dxa"/>
            <w:vAlign w:val="center"/>
          </w:tcPr>
          <w:p w14:paraId="668BE242" w14:textId="77777777" w:rsidR="009864DB" w:rsidRPr="004D46AC" w:rsidRDefault="009864DB" w:rsidP="009864DB">
            <w:pPr>
              <w:spacing w:line="240" w:lineRule="auto"/>
              <w:ind w:firstLine="0"/>
            </w:pPr>
            <w:r w:rsidRPr="004D46AC">
              <w:t>mixed</w:t>
            </w:r>
          </w:p>
        </w:tc>
        <w:tc>
          <w:tcPr>
            <w:tcW w:w="1415" w:type="dxa"/>
            <w:vAlign w:val="center"/>
          </w:tcPr>
          <w:p w14:paraId="1F73F0C2" w14:textId="77777777" w:rsidR="009864DB" w:rsidRPr="004D46AC" w:rsidRDefault="009864DB" w:rsidP="009864DB">
            <w:pPr>
              <w:spacing w:line="240" w:lineRule="auto"/>
              <w:ind w:firstLine="0"/>
            </w:pPr>
            <w:r w:rsidRPr="004D46AC">
              <w:t>CGI</w:t>
            </w:r>
          </w:p>
        </w:tc>
        <w:tc>
          <w:tcPr>
            <w:tcW w:w="876" w:type="dxa"/>
            <w:vAlign w:val="center"/>
          </w:tcPr>
          <w:p w14:paraId="3DE81785" w14:textId="77777777" w:rsidR="009864DB" w:rsidRPr="004D46AC" w:rsidRDefault="009864DB" w:rsidP="009864DB">
            <w:pPr>
              <w:spacing w:line="240" w:lineRule="auto"/>
              <w:ind w:firstLine="0"/>
            </w:pPr>
            <w:r w:rsidRPr="004D46AC">
              <w:t>3459</w:t>
            </w:r>
          </w:p>
        </w:tc>
        <w:tc>
          <w:tcPr>
            <w:tcW w:w="986" w:type="dxa"/>
            <w:vAlign w:val="center"/>
          </w:tcPr>
          <w:p w14:paraId="0BDB2961" w14:textId="77777777" w:rsidR="009864DB" w:rsidRPr="004D46AC" w:rsidRDefault="009864DB" w:rsidP="009864DB">
            <w:pPr>
              <w:spacing w:line="240" w:lineRule="auto"/>
              <w:ind w:firstLine="0"/>
            </w:pPr>
            <w:r w:rsidRPr="004D46AC">
              <w:t>2</w:t>
            </w:r>
          </w:p>
        </w:tc>
        <w:tc>
          <w:tcPr>
            <w:tcW w:w="751" w:type="dxa"/>
            <w:vAlign w:val="center"/>
          </w:tcPr>
          <w:p w14:paraId="71CF1C77" w14:textId="77777777" w:rsidR="009864DB" w:rsidRPr="004D46AC" w:rsidRDefault="009864DB" w:rsidP="009864DB">
            <w:pPr>
              <w:spacing w:line="240" w:lineRule="auto"/>
              <w:ind w:firstLine="0"/>
            </w:pPr>
            <w:r w:rsidRPr="004D46AC">
              <w:t>2</w:t>
            </w:r>
          </w:p>
        </w:tc>
        <w:tc>
          <w:tcPr>
            <w:tcW w:w="752" w:type="dxa"/>
            <w:vAlign w:val="center"/>
          </w:tcPr>
          <w:p w14:paraId="31840435" w14:textId="77777777" w:rsidR="009864DB" w:rsidRPr="004D46AC" w:rsidRDefault="009864DB" w:rsidP="009864DB">
            <w:pPr>
              <w:spacing w:line="240" w:lineRule="auto"/>
              <w:ind w:firstLine="0"/>
            </w:pPr>
            <w:r w:rsidRPr="004D46AC">
              <w:t>0</w:t>
            </w:r>
          </w:p>
        </w:tc>
        <w:tc>
          <w:tcPr>
            <w:tcW w:w="1296" w:type="dxa"/>
            <w:vAlign w:val="center"/>
          </w:tcPr>
          <w:p w14:paraId="30A22C36" w14:textId="77777777" w:rsidR="009864DB" w:rsidRPr="004D46AC" w:rsidRDefault="009864DB" w:rsidP="009864DB">
            <w:pPr>
              <w:spacing w:line="240" w:lineRule="auto"/>
              <w:ind w:firstLine="0"/>
            </w:pPr>
            <w:r w:rsidRPr="004D46AC">
              <w:t>1849</w:t>
            </w:r>
          </w:p>
        </w:tc>
        <w:tc>
          <w:tcPr>
            <w:tcW w:w="752" w:type="dxa"/>
            <w:vAlign w:val="center"/>
          </w:tcPr>
          <w:p w14:paraId="5886EDFB" w14:textId="77777777" w:rsidR="009864DB" w:rsidRPr="004D46AC" w:rsidRDefault="009864DB" w:rsidP="009864DB">
            <w:pPr>
              <w:spacing w:line="240" w:lineRule="auto"/>
              <w:ind w:firstLine="0"/>
            </w:pPr>
            <w:r w:rsidRPr="004D46AC">
              <w:t>NA</w:t>
            </w:r>
          </w:p>
        </w:tc>
        <w:tc>
          <w:tcPr>
            <w:tcW w:w="789" w:type="dxa"/>
            <w:gridSpan w:val="2"/>
            <w:vAlign w:val="center"/>
          </w:tcPr>
          <w:p w14:paraId="4B649245" w14:textId="77777777" w:rsidR="009864DB" w:rsidRPr="004D46AC" w:rsidRDefault="009864DB" w:rsidP="009864DB">
            <w:pPr>
              <w:spacing w:line="240" w:lineRule="auto"/>
              <w:ind w:firstLine="0"/>
            </w:pPr>
            <w:r w:rsidRPr="004D46AC">
              <w:t>NA</w:t>
            </w:r>
          </w:p>
        </w:tc>
      </w:tr>
      <w:tr w:rsidR="009864DB" w:rsidRPr="004D46AC" w14:paraId="1AE5A57B" w14:textId="77777777" w:rsidTr="00B518F1">
        <w:tc>
          <w:tcPr>
            <w:tcW w:w="1476" w:type="dxa"/>
          </w:tcPr>
          <w:p w14:paraId="44D8784E" w14:textId="77777777" w:rsidR="009864DB" w:rsidRPr="004D46AC" w:rsidRDefault="009864DB" w:rsidP="009864DB">
            <w:pPr>
              <w:spacing w:line="240" w:lineRule="auto"/>
              <w:ind w:firstLine="0"/>
            </w:pPr>
            <w:r w:rsidRPr="004D46AC">
              <w:fldChar w:fldCharType="begin">
                <w:fldData xml:space="preserve">PEVuZE5vdGU+PENpdGUgQXV0aG9yWWVhcj0iMSI+PEF1dGhvcj5LaWxib3VybmU8L0F1dGhvcj48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</w:fldData>
              </w:fldChar>
            </w:r>
            <w:r w:rsidRPr="004D46AC">
              <w:instrText xml:space="preserve"> ADDIN EN.CITE </w:instrText>
            </w:r>
            <w:r w:rsidRPr="004D46AC">
              <w:fldChar w:fldCharType="begin">
                <w:fldData xml:space="preserve">PEVuZE5vdGU+PENpdGUgQXV0aG9yWWVhcj0iMSI+PEF1dGhvcj5LaWxib3VybmU8L0F1dGhvcj48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</w:fldData>
              </w:fldChar>
            </w:r>
            <w:r w:rsidRPr="004D46AC">
              <w:instrText xml:space="preserve"> ADDIN EN.CITE.DATA </w:instrText>
            </w:r>
            <w:r w:rsidRPr="004D46AC">
              <w:fldChar w:fldCharType="end"/>
            </w:r>
            <w:r w:rsidRPr="004D46AC">
              <w:fldChar w:fldCharType="separate"/>
            </w:r>
            <w:r w:rsidRPr="004D46AC">
              <w:t>Kilbourne et al. (2005)</w:t>
            </w:r>
            <w:r w:rsidRPr="004D46AC">
              <w:fldChar w:fldCharType="end"/>
            </w:r>
          </w:p>
        </w:tc>
        <w:tc>
          <w:tcPr>
            <w:tcW w:w="754" w:type="dxa"/>
            <w:vAlign w:val="center"/>
          </w:tcPr>
          <w:p w14:paraId="3F8C21E0" w14:textId="77777777" w:rsidR="009864DB" w:rsidRPr="004D46AC" w:rsidRDefault="009864DB" w:rsidP="009864DB">
            <w:pPr>
              <w:spacing w:line="240" w:lineRule="auto"/>
              <w:ind w:firstLine="0"/>
            </w:pPr>
            <w:r w:rsidRPr="004D46AC">
              <w:t>5</w:t>
            </w:r>
          </w:p>
        </w:tc>
        <w:tc>
          <w:tcPr>
            <w:tcW w:w="766" w:type="dxa"/>
            <w:vAlign w:val="center"/>
          </w:tcPr>
          <w:p w14:paraId="7DFC6A89" w14:textId="77777777" w:rsidR="009864DB" w:rsidRPr="004D46AC" w:rsidRDefault="009864DB" w:rsidP="009864DB">
            <w:pPr>
              <w:spacing w:line="240" w:lineRule="auto"/>
              <w:ind w:firstLine="0"/>
            </w:pPr>
            <w:r w:rsidRPr="004D46AC">
              <w:t>46.6</w:t>
            </w:r>
          </w:p>
        </w:tc>
        <w:tc>
          <w:tcPr>
            <w:tcW w:w="1096" w:type="dxa"/>
            <w:vAlign w:val="center"/>
          </w:tcPr>
          <w:p w14:paraId="578FF3A4" w14:textId="77777777" w:rsidR="009864DB" w:rsidRPr="004D46AC" w:rsidRDefault="009864DB" w:rsidP="009864DB">
            <w:pPr>
              <w:spacing w:line="240" w:lineRule="auto"/>
              <w:ind w:firstLine="0"/>
            </w:pPr>
            <w:r w:rsidRPr="004D46AC">
              <w:t>DSM4</w:t>
            </w:r>
          </w:p>
        </w:tc>
        <w:tc>
          <w:tcPr>
            <w:tcW w:w="1415" w:type="dxa"/>
            <w:vAlign w:val="center"/>
          </w:tcPr>
          <w:p w14:paraId="4882CDBE" w14:textId="77777777" w:rsidR="009864DB" w:rsidRPr="004D46AC" w:rsidRDefault="009864DB" w:rsidP="009864DB">
            <w:pPr>
              <w:spacing w:line="240" w:lineRule="auto"/>
              <w:ind w:firstLine="0"/>
            </w:pPr>
            <w:r w:rsidRPr="004D46AC">
              <w:t>SCID</w:t>
            </w:r>
          </w:p>
        </w:tc>
        <w:tc>
          <w:tcPr>
            <w:tcW w:w="876" w:type="dxa"/>
            <w:vAlign w:val="center"/>
          </w:tcPr>
          <w:p w14:paraId="5D1BD2D4" w14:textId="77777777" w:rsidR="009864DB" w:rsidRPr="004D46AC" w:rsidRDefault="009864DB" w:rsidP="009864DB">
            <w:pPr>
              <w:spacing w:line="240" w:lineRule="auto"/>
              <w:ind w:firstLine="0"/>
            </w:pPr>
            <w:r w:rsidRPr="004D46AC">
              <w:t>330</w:t>
            </w:r>
          </w:p>
        </w:tc>
        <w:tc>
          <w:tcPr>
            <w:tcW w:w="986" w:type="dxa"/>
            <w:vAlign w:val="center"/>
          </w:tcPr>
          <w:p w14:paraId="0F7402EF" w14:textId="77777777" w:rsidR="009864DB" w:rsidRPr="004D46AC" w:rsidRDefault="009864DB" w:rsidP="009864DB">
            <w:pPr>
              <w:spacing w:line="240" w:lineRule="auto"/>
              <w:ind w:firstLine="0"/>
            </w:pPr>
            <w:r w:rsidRPr="004D46AC">
              <w:t>3</w:t>
            </w:r>
          </w:p>
        </w:tc>
        <w:tc>
          <w:tcPr>
            <w:tcW w:w="751" w:type="dxa"/>
            <w:vAlign w:val="center"/>
          </w:tcPr>
          <w:p w14:paraId="70A13E39" w14:textId="77777777" w:rsidR="009864DB" w:rsidRPr="004D46AC" w:rsidRDefault="009864DB" w:rsidP="009864DB">
            <w:pPr>
              <w:spacing w:line="240" w:lineRule="auto"/>
              <w:ind w:firstLine="0"/>
            </w:pPr>
            <w:r w:rsidRPr="004D46AC">
              <w:t>1</w:t>
            </w:r>
          </w:p>
        </w:tc>
        <w:tc>
          <w:tcPr>
            <w:tcW w:w="752" w:type="dxa"/>
            <w:vAlign w:val="center"/>
          </w:tcPr>
          <w:p w14:paraId="74DD01C5" w14:textId="77777777" w:rsidR="009864DB" w:rsidRPr="004D46AC" w:rsidRDefault="009864DB" w:rsidP="009864DB">
            <w:pPr>
              <w:spacing w:line="240" w:lineRule="auto"/>
              <w:ind w:firstLine="0"/>
            </w:pPr>
            <w:r w:rsidRPr="004D46AC">
              <w:t>0</w:t>
            </w:r>
          </w:p>
        </w:tc>
        <w:tc>
          <w:tcPr>
            <w:tcW w:w="1296" w:type="dxa"/>
            <w:vAlign w:val="center"/>
          </w:tcPr>
          <w:p w14:paraId="5D99E683" w14:textId="77777777" w:rsidR="009864DB" w:rsidRPr="004D46AC" w:rsidRDefault="009864DB" w:rsidP="009864DB">
            <w:pPr>
              <w:spacing w:line="240" w:lineRule="auto"/>
              <w:ind w:firstLine="0"/>
            </w:pPr>
            <w:r w:rsidRPr="004D46AC">
              <w:t>112</w:t>
            </w:r>
          </w:p>
        </w:tc>
        <w:tc>
          <w:tcPr>
            <w:tcW w:w="752" w:type="dxa"/>
            <w:vAlign w:val="center"/>
          </w:tcPr>
          <w:p w14:paraId="742D2AD8" w14:textId="77777777" w:rsidR="009864DB" w:rsidRPr="004D46AC" w:rsidRDefault="009864DB" w:rsidP="009864DB">
            <w:pPr>
              <w:spacing w:line="240" w:lineRule="auto"/>
              <w:ind w:firstLine="0"/>
            </w:pPr>
            <w:r w:rsidRPr="004D46AC">
              <w:t>NA</w:t>
            </w:r>
          </w:p>
        </w:tc>
        <w:tc>
          <w:tcPr>
            <w:tcW w:w="789" w:type="dxa"/>
            <w:gridSpan w:val="2"/>
            <w:vAlign w:val="center"/>
          </w:tcPr>
          <w:p w14:paraId="03D198F5" w14:textId="77777777" w:rsidR="009864DB" w:rsidRPr="004D46AC" w:rsidRDefault="009864DB" w:rsidP="009864DB">
            <w:pPr>
              <w:spacing w:line="240" w:lineRule="auto"/>
              <w:ind w:firstLine="0"/>
            </w:pPr>
            <w:r w:rsidRPr="004D46AC">
              <w:t>NA</w:t>
            </w:r>
          </w:p>
        </w:tc>
      </w:tr>
      <w:tr w:rsidR="009864DB" w:rsidRPr="004D46AC" w14:paraId="757B68D4" w14:textId="77777777" w:rsidTr="00B518F1">
        <w:tc>
          <w:tcPr>
            <w:tcW w:w="1476" w:type="dxa"/>
          </w:tcPr>
          <w:p w14:paraId="770A152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AuthorYear="1"&gt;&lt;Author&gt;Kessing&lt;/Author&gt;&lt;Year&gt;2004&lt;/Year&gt;&lt;RecNum&gt;27&lt;/RecNum&gt;&lt;DisplayText&gt;Kessing (2004)&lt;/DisplayText&gt;&lt;record&gt;&lt;rec-number&gt;27&lt;/rec-number&gt;&lt;foreign-keys&gt;&lt;key app="EN" db-id="aet009sstawa0hewvt3xwf5atffdw2dt02sw" timestamp="1664797396"&gt;27&lt;/key&gt;&lt;/foreign-keys&gt;&lt;ref-type name="Journal Article"&gt;17&lt;/ref-type&gt;&lt;contributors&gt;&lt;authors&gt;&lt;author&gt;Kessing, L. V.&lt;/author&gt;&lt;/authors&gt;&lt;/contributors&gt;&lt;auth-address&gt;Department of Psychiatry, University of Copenhagen, Rigshospitalet, Copenhagen, Denmark. lars.kessing@rh.dk&lt;/auth-address&gt;&lt;titles&gt;&lt;title&gt;Gender differences in the phenomenology of bipolar disorder&lt;/title&gt;&lt;secondary-title&gt;Bipolar Disord&lt;/secondary-title&gt;&lt;/titles&gt;&lt;periodical&gt;&lt;full-title&gt;Bipolar Disord&lt;/full-title&gt;&lt;/periodical&gt;&lt;pages&gt;421-5&lt;/pages&gt;&lt;volume&gt;6&lt;/volume&gt;&lt;number&gt;5&lt;/number&gt;&lt;keywords&gt;&lt;keyword&gt;Bipolar Disorder/diagnosis/*epidemiology/*psychology&lt;/keyword&gt;&lt;keyword&gt;Depression/epidemiology&lt;/keyword&gt;&lt;keyword&gt;Female&lt;/keyword&gt;&lt;keyword&gt;Humans&lt;/keyword&gt;&lt;keyword&gt;International Classification of Diseases&lt;/keyword&gt;&lt;keyword&gt;Male&lt;/keyword&gt;&lt;keyword&gt;Middle Aged&lt;/keyword&gt;&lt;keyword&gt;Prevalence&lt;/keyword&gt;&lt;keyword&gt;Sex Distribution&lt;/keyword&gt;&lt;/keywords&gt;&lt;dates&gt;&lt;year&gt;2004&lt;/year&gt;&lt;pub-dates&gt;&lt;date&gt;Oct&lt;/date&gt;&lt;/pub-dates&gt;&lt;/dates&gt;&lt;isbn&gt;1398-5647 (Print)&amp;#xD;1398-5647 (Linking)&lt;/isbn&gt;&lt;accession-num&gt;15383135&lt;/accession-num&gt;&lt;urls&gt;&lt;related-urls&gt;&lt;url&gt;https://www.ncbi.nlm.nih.gov/pubmed/15383135&lt;/url&gt;&lt;/related-urls&gt;&lt;/urls&gt;&lt;electronic-resource-num&gt;10.1111/j.1399-5618.2004.00135.x&lt;/electronic-resource-num&gt;&lt;remote-database-name&gt;Medline&lt;/remote-database-name&gt;&lt;remote-database-provider&gt;NLM&lt;/remote-database-provider&gt;&lt;language&gt;eng&lt;/language&gt;&lt;/record&gt;&lt;/Cite&gt;&lt;/EndNote&gt;</w:instrText>
            </w:r>
            <w:r w:rsidRPr="004D46AC">
              <w:fldChar w:fldCharType="separate"/>
            </w:r>
            <w:r w:rsidRPr="004D46AC">
              <w:t>Kessing (2004)</w:t>
            </w:r>
            <w:r w:rsidRPr="004D46AC">
              <w:fldChar w:fldCharType="end"/>
            </w:r>
          </w:p>
        </w:tc>
        <w:tc>
          <w:tcPr>
            <w:tcW w:w="754" w:type="dxa"/>
            <w:vAlign w:val="center"/>
          </w:tcPr>
          <w:p w14:paraId="58DB7A13" w14:textId="77777777" w:rsidR="009864DB" w:rsidRPr="004D46AC" w:rsidRDefault="009864DB" w:rsidP="009864DB">
            <w:pPr>
              <w:spacing w:line="240" w:lineRule="auto"/>
              <w:ind w:firstLine="0"/>
            </w:pPr>
            <w:r w:rsidRPr="004D46AC">
              <w:t>6</w:t>
            </w:r>
          </w:p>
        </w:tc>
        <w:tc>
          <w:tcPr>
            <w:tcW w:w="766" w:type="dxa"/>
            <w:vAlign w:val="center"/>
          </w:tcPr>
          <w:p w14:paraId="76E7082F" w14:textId="77777777" w:rsidR="009864DB" w:rsidRPr="004D46AC" w:rsidRDefault="009864DB" w:rsidP="009864DB">
            <w:pPr>
              <w:spacing w:line="240" w:lineRule="auto"/>
              <w:ind w:firstLine="0"/>
            </w:pPr>
            <w:r w:rsidRPr="004D46AC">
              <w:t>NA</w:t>
            </w:r>
          </w:p>
        </w:tc>
        <w:tc>
          <w:tcPr>
            <w:tcW w:w="1096" w:type="dxa"/>
            <w:vAlign w:val="center"/>
          </w:tcPr>
          <w:p w14:paraId="1831F8C0" w14:textId="77777777" w:rsidR="009864DB" w:rsidRPr="004D46AC" w:rsidRDefault="009864DB" w:rsidP="009864DB">
            <w:pPr>
              <w:spacing w:line="240" w:lineRule="auto"/>
              <w:ind w:firstLine="0"/>
            </w:pPr>
            <w:r w:rsidRPr="004D46AC">
              <w:t>ICD10</w:t>
            </w:r>
          </w:p>
        </w:tc>
        <w:tc>
          <w:tcPr>
            <w:tcW w:w="1415" w:type="dxa"/>
            <w:vAlign w:val="center"/>
          </w:tcPr>
          <w:p w14:paraId="50209306" w14:textId="77777777" w:rsidR="009864DB" w:rsidRPr="004D46AC" w:rsidRDefault="009864DB" w:rsidP="009864DB">
            <w:pPr>
              <w:spacing w:line="240" w:lineRule="auto"/>
              <w:ind w:firstLine="0"/>
            </w:pPr>
            <w:r w:rsidRPr="004D46AC">
              <w:t>unclear</w:t>
            </w:r>
          </w:p>
        </w:tc>
        <w:tc>
          <w:tcPr>
            <w:tcW w:w="876" w:type="dxa"/>
            <w:vAlign w:val="center"/>
          </w:tcPr>
          <w:p w14:paraId="0CB52CA4" w14:textId="77777777" w:rsidR="009864DB" w:rsidRPr="004D46AC" w:rsidRDefault="009864DB" w:rsidP="009864DB">
            <w:pPr>
              <w:spacing w:line="240" w:lineRule="auto"/>
              <w:ind w:firstLine="0"/>
            </w:pPr>
            <w:r w:rsidRPr="004D46AC">
              <w:t>1719</w:t>
            </w:r>
          </w:p>
        </w:tc>
        <w:tc>
          <w:tcPr>
            <w:tcW w:w="986" w:type="dxa"/>
            <w:vAlign w:val="center"/>
          </w:tcPr>
          <w:p w14:paraId="1D7E52CB" w14:textId="77777777" w:rsidR="009864DB" w:rsidRPr="004D46AC" w:rsidRDefault="009864DB" w:rsidP="009864DB">
            <w:pPr>
              <w:spacing w:line="240" w:lineRule="auto"/>
              <w:ind w:firstLine="0"/>
            </w:pPr>
            <w:r w:rsidRPr="004D46AC">
              <w:t>2</w:t>
            </w:r>
          </w:p>
        </w:tc>
        <w:tc>
          <w:tcPr>
            <w:tcW w:w="751" w:type="dxa"/>
            <w:vAlign w:val="center"/>
          </w:tcPr>
          <w:p w14:paraId="123AE69A" w14:textId="77777777" w:rsidR="009864DB" w:rsidRPr="004D46AC" w:rsidRDefault="009864DB" w:rsidP="009864DB">
            <w:pPr>
              <w:spacing w:line="240" w:lineRule="auto"/>
              <w:ind w:firstLine="0"/>
            </w:pPr>
            <w:r w:rsidRPr="004D46AC">
              <w:t>1</w:t>
            </w:r>
          </w:p>
        </w:tc>
        <w:tc>
          <w:tcPr>
            <w:tcW w:w="752" w:type="dxa"/>
            <w:vAlign w:val="center"/>
          </w:tcPr>
          <w:p w14:paraId="78AD65E7" w14:textId="77777777" w:rsidR="009864DB" w:rsidRPr="004D46AC" w:rsidRDefault="009864DB" w:rsidP="009864DB">
            <w:pPr>
              <w:spacing w:line="240" w:lineRule="auto"/>
              <w:ind w:firstLine="0"/>
            </w:pPr>
            <w:r w:rsidRPr="004D46AC">
              <w:t>0</w:t>
            </w:r>
          </w:p>
        </w:tc>
        <w:tc>
          <w:tcPr>
            <w:tcW w:w="1296" w:type="dxa"/>
            <w:vAlign w:val="center"/>
          </w:tcPr>
          <w:p w14:paraId="2F2B4575" w14:textId="77777777" w:rsidR="009864DB" w:rsidRPr="004D46AC" w:rsidRDefault="009864DB" w:rsidP="009864DB">
            <w:pPr>
              <w:spacing w:line="240" w:lineRule="auto"/>
              <w:ind w:firstLine="0"/>
            </w:pPr>
            <w:r w:rsidRPr="004D46AC">
              <w:t>908</w:t>
            </w:r>
          </w:p>
        </w:tc>
        <w:tc>
          <w:tcPr>
            <w:tcW w:w="752" w:type="dxa"/>
            <w:vAlign w:val="center"/>
          </w:tcPr>
          <w:p w14:paraId="2A145AC5" w14:textId="77777777" w:rsidR="009864DB" w:rsidRPr="004D46AC" w:rsidRDefault="009864DB" w:rsidP="009864DB">
            <w:pPr>
              <w:spacing w:line="240" w:lineRule="auto"/>
              <w:ind w:firstLine="0"/>
            </w:pPr>
            <w:r w:rsidRPr="004D46AC">
              <w:t>NA</w:t>
            </w:r>
          </w:p>
        </w:tc>
        <w:tc>
          <w:tcPr>
            <w:tcW w:w="789" w:type="dxa"/>
            <w:gridSpan w:val="2"/>
            <w:vAlign w:val="center"/>
          </w:tcPr>
          <w:p w14:paraId="69EAF30F" w14:textId="77777777" w:rsidR="009864DB" w:rsidRPr="004D46AC" w:rsidRDefault="009864DB" w:rsidP="009864DB">
            <w:pPr>
              <w:spacing w:line="240" w:lineRule="auto"/>
              <w:ind w:firstLine="0"/>
            </w:pPr>
            <w:r w:rsidRPr="004D46AC">
              <w:t>NA</w:t>
            </w:r>
          </w:p>
        </w:tc>
      </w:tr>
      <w:tr w:rsidR="009864DB" w:rsidRPr="004D46AC" w14:paraId="6D9022B9" w14:textId="77777777" w:rsidTr="00B518F1">
        <w:trPr>
          <w:gridAfter w:val="1"/>
          <w:wAfter w:w="37" w:type="dxa"/>
        </w:trPr>
        <w:tc>
          <w:tcPr>
            <w:tcW w:w="1476" w:type="dxa"/>
          </w:tcPr>
          <w:p w14:paraId="1A7179D0" w14:textId="77777777" w:rsidR="009864DB" w:rsidRPr="004D46AC" w:rsidRDefault="009864DB" w:rsidP="009864DB">
            <w:pPr>
              <w:spacing w:line="240" w:lineRule="auto"/>
              <w:ind w:firstLine="0"/>
            </w:pPr>
            <w:r w:rsidRPr="004D46AC">
              <w:fldChar w:fldCharType="begin"/>
            </w:r>
            <w:r w:rsidRPr="004D46AC">
              <w:instrText xml:space="preserve"> ADDIN EN.CITE &lt;EndNote&gt;&lt;Cite&gt;&lt;Author&gt;Frangou&lt;/Author&gt;&lt;Year&gt;2002&lt;/Year&gt;&lt;RecNum&gt;28&lt;/RecNum&gt;&lt;DisplayText&gt;(Frangou, 2002)&lt;/DisplayText&gt;&lt;record&gt;&lt;rec-number&gt;28&lt;/rec-number&gt;&lt;foreign-keys&gt;&lt;key app="EN" db-id="aet009sstawa0hewvt3xwf5atffdw2dt02sw" timestamp="1664799397"&gt;28&lt;/key&gt;&lt;/foreign-keys&gt;&lt;ref-type name="Journal Article"&gt;17&lt;/ref-type&gt;&lt;contributors&gt;&lt;authors&gt;&lt;author&gt;Frangou, S.&lt;/author&gt;&lt;/authors&gt;&lt;/contributors&gt;&lt;auth-address&gt;Section of Neurobiology of Psychosis, Institute of Psychiatry, De Crespigny Park, London, UK.&lt;/auth-address&gt;&lt;titles&gt;&lt;title&gt;Predictors of outcome in a representative population of bipolar disorder&lt;/title&gt;&lt;secondary-title&gt;Bipolar Disord&lt;/secondary-title&gt;&lt;/titles&gt;&lt;periodical&gt;&lt;full-title&gt;Bipolar Disord&lt;/full-title&gt;&lt;/periodical&gt;&lt;pages&gt;41-2&lt;/pages&gt;&lt;volume&gt;4 Suppl 1&lt;/volume&gt;&lt;keywords&gt;&lt;keyword&gt;Adult&lt;/keyword&gt;&lt;keyword&gt;Age of Onset&lt;/keyword&gt;&lt;keyword&gt;Bipolar Disorder/diagnosis/*psychology&lt;/keyword&gt;&lt;keyword&gt;*Cognition&lt;/keyword&gt;&lt;keyword&gt;Female&lt;/keyword&gt;&lt;keyword&gt;Follow-Up Studies&lt;/keyword&gt;&lt;keyword&gt;Humans&lt;/keyword&gt;&lt;keyword&gt;Male&lt;/keyword&gt;&lt;keyword&gt;Middle Aged&lt;/keyword&gt;&lt;keyword&gt;Prognosis&lt;/keyword&gt;&lt;keyword&gt;Psychiatric Status Rating Scales&lt;/keyword&gt;&lt;keyword&gt;Sex Factors&lt;/keyword&gt;&lt;keyword&gt;Social Adjustment&lt;/keyword&gt;&lt;keyword&gt;Wechsler Scales/statistics &amp;amp; numerical data&lt;/keyword&gt;&lt;/keywords&gt;&lt;dates&gt;&lt;year&gt;2002&lt;/year&gt;&lt;/dates&gt;&lt;isbn&gt;1398-5647 (Print)&amp;#xD;1398-5647 (Linking)&lt;/isbn&gt;&lt;accession-num&gt;12479676&lt;/accession-num&gt;&lt;urls&gt;&lt;related-urls&gt;&lt;url&gt;https://www.ncbi.nlm.nih.gov/pubmed/12479676&lt;/url&gt;&lt;/related-urls&gt;&lt;/urls&gt;&lt;electronic-resource-num&gt;10.1034/j.1399-5618.4.s1.13.x&lt;/electronic-resource-num&gt;&lt;remote-database-name&gt;Medline&lt;/remote-database-name&gt;&lt;remote-database-provider&gt;NLM&lt;/remote-database-provider&gt;&lt;language&gt;eng&lt;/language&gt;&lt;/record&gt;&lt;/Cite&gt;&lt;/EndNote&gt;</w:instrText>
            </w:r>
            <w:r w:rsidRPr="004D46AC">
              <w:fldChar w:fldCharType="separate"/>
            </w:r>
            <w:r w:rsidRPr="004D46AC">
              <w:t>(Frangou, 2002)</w:t>
            </w:r>
            <w:r w:rsidRPr="004D46AC">
              <w:fldChar w:fldCharType="end"/>
            </w:r>
          </w:p>
        </w:tc>
        <w:tc>
          <w:tcPr>
            <w:tcW w:w="754" w:type="dxa"/>
            <w:vAlign w:val="center"/>
          </w:tcPr>
          <w:p w14:paraId="0E5AF084" w14:textId="77777777" w:rsidR="009864DB" w:rsidRPr="004D46AC" w:rsidRDefault="009864DB" w:rsidP="009864DB">
            <w:pPr>
              <w:spacing w:line="240" w:lineRule="auto"/>
              <w:ind w:firstLine="0"/>
            </w:pPr>
            <w:r w:rsidRPr="004D46AC">
              <w:t>5</w:t>
            </w:r>
          </w:p>
        </w:tc>
        <w:tc>
          <w:tcPr>
            <w:tcW w:w="766" w:type="dxa"/>
            <w:vAlign w:val="center"/>
          </w:tcPr>
          <w:p w14:paraId="51C9A429" w14:textId="77777777" w:rsidR="009864DB" w:rsidRPr="004D46AC" w:rsidRDefault="009864DB" w:rsidP="009864DB">
            <w:pPr>
              <w:spacing w:line="240" w:lineRule="auto"/>
              <w:ind w:firstLine="0"/>
            </w:pPr>
            <w:r w:rsidRPr="004D46AC">
              <w:t>42</w:t>
            </w:r>
          </w:p>
        </w:tc>
        <w:tc>
          <w:tcPr>
            <w:tcW w:w="1096" w:type="dxa"/>
            <w:vAlign w:val="center"/>
          </w:tcPr>
          <w:p w14:paraId="3FAB992D" w14:textId="77777777" w:rsidR="009864DB" w:rsidRPr="004D46AC" w:rsidRDefault="009864DB" w:rsidP="009864DB">
            <w:pPr>
              <w:spacing w:line="240" w:lineRule="auto"/>
              <w:ind w:firstLine="0"/>
            </w:pPr>
            <w:r w:rsidRPr="004D46AC">
              <w:t>DSM4</w:t>
            </w:r>
          </w:p>
        </w:tc>
        <w:tc>
          <w:tcPr>
            <w:tcW w:w="1415" w:type="dxa"/>
            <w:vAlign w:val="center"/>
          </w:tcPr>
          <w:p w14:paraId="35203CD9" w14:textId="77777777" w:rsidR="009864DB" w:rsidRPr="004D46AC" w:rsidRDefault="009864DB" w:rsidP="009864DB">
            <w:pPr>
              <w:spacing w:line="240" w:lineRule="auto"/>
              <w:ind w:firstLine="0"/>
            </w:pPr>
            <w:r w:rsidRPr="004D46AC">
              <w:t>SCID</w:t>
            </w:r>
          </w:p>
        </w:tc>
        <w:tc>
          <w:tcPr>
            <w:tcW w:w="876" w:type="dxa"/>
            <w:vAlign w:val="center"/>
          </w:tcPr>
          <w:p w14:paraId="30CB2115" w14:textId="77777777" w:rsidR="009864DB" w:rsidRPr="004D46AC" w:rsidRDefault="009864DB" w:rsidP="009864DB">
            <w:pPr>
              <w:spacing w:line="240" w:lineRule="auto"/>
              <w:ind w:firstLine="0"/>
            </w:pPr>
            <w:r w:rsidRPr="004D46AC">
              <w:t>63</w:t>
            </w:r>
          </w:p>
        </w:tc>
        <w:tc>
          <w:tcPr>
            <w:tcW w:w="986" w:type="dxa"/>
            <w:vAlign w:val="center"/>
          </w:tcPr>
          <w:p w14:paraId="7BC0EAB5" w14:textId="77777777" w:rsidR="009864DB" w:rsidRPr="004D46AC" w:rsidRDefault="009864DB" w:rsidP="009864DB">
            <w:pPr>
              <w:spacing w:line="240" w:lineRule="auto"/>
              <w:ind w:firstLine="0"/>
            </w:pPr>
            <w:r w:rsidRPr="004D46AC">
              <w:t>unclear</w:t>
            </w:r>
          </w:p>
        </w:tc>
        <w:tc>
          <w:tcPr>
            <w:tcW w:w="751" w:type="dxa"/>
            <w:vAlign w:val="center"/>
          </w:tcPr>
          <w:p w14:paraId="32F917EB" w14:textId="77777777" w:rsidR="009864DB" w:rsidRPr="004D46AC" w:rsidRDefault="009864DB" w:rsidP="009864DB">
            <w:pPr>
              <w:spacing w:line="240" w:lineRule="auto"/>
              <w:ind w:firstLine="0"/>
            </w:pPr>
            <w:r w:rsidRPr="004D46AC">
              <w:t>2</w:t>
            </w:r>
          </w:p>
        </w:tc>
        <w:tc>
          <w:tcPr>
            <w:tcW w:w="752" w:type="dxa"/>
            <w:vAlign w:val="center"/>
          </w:tcPr>
          <w:p w14:paraId="19175715" w14:textId="77777777" w:rsidR="009864DB" w:rsidRPr="004D46AC" w:rsidRDefault="009864DB" w:rsidP="009864DB">
            <w:pPr>
              <w:spacing w:line="240" w:lineRule="auto"/>
              <w:ind w:firstLine="0"/>
            </w:pPr>
            <w:r w:rsidRPr="004D46AC">
              <w:t>2</w:t>
            </w:r>
          </w:p>
        </w:tc>
        <w:tc>
          <w:tcPr>
            <w:tcW w:w="1296" w:type="dxa"/>
          </w:tcPr>
          <w:p w14:paraId="2F7489C3" w14:textId="77777777" w:rsidR="009864DB" w:rsidRPr="004D46AC" w:rsidRDefault="009864DB" w:rsidP="009864DB">
            <w:pPr>
              <w:spacing w:line="240" w:lineRule="auto"/>
              <w:ind w:firstLine="0"/>
            </w:pPr>
            <w:r w:rsidRPr="004D46AC">
              <w:t>39</w:t>
            </w:r>
          </w:p>
        </w:tc>
        <w:tc>
          <w:tcPr>
            <w:tcW w:w="752" w:type="dxa"/>
            <w:vAlign w:val="center"/>
          </w:tcPr>
          <w:p w14:paraId="24D5BC1B" w14:textId="77777777" w:rsidR="009864DB" w:rsidRPr="004D46AC" w:rsidRDefault="009864DB" w:rsidP="009864DB">
            <w:pPr>
              <w:spacing w:line="240" w:lineRule="auto"/>
              <w:ind w:firstLine="0"/>
            </w:pPr>
            <w:r w:rsidRPr="004D46AC">
              <w:t>NA</w:t>
            </w:r>
          </w:p>
        </w:tc>
        <w:tc>
          <w:tcPr>
            <w:tcW w:w="752" w:type="dxa"/>
            <w:vAlign w:val="center"/>
          </w:tcPr>
          <w:p w14:paraId="369E2F7A" w14:textId="77777777" w:rsidR="009864DB" w:rsidRPr="004D46AC" w:rsidRDefault="009864DB" w:rsidP="009864DB">
            <w:pPr>
              <w:spacing w:line="240" w:lineRule="auto"/>
              <w:ind w:firstLine="0"/>
            </w:pPr>
            <w:r w:rsidRPr="004D46AC">
              <w:t>NA</w:t>
            </w:r>
          </w:p>
        </w:tc>
      </w:tr>
      <w:tr w:rsidR="009864DB" w:rsidRPr="004D46AC" w14:paraId="1B96DF81" w14:textId="77777777" w:rsidTr="00B518F1">
        <w:tc>
          <w:tcPr>
            <w:tcW w:w="1476" w:type="dxa"/>
          </w:tcPr>
          <w:p w14:paraId="4D911761" w14:textId="77777777" w:rsidR="009864DB" w:rsidRPr="004D46AC" w:rsidRDefault="009864DB" w:rsidP="009864DB">
            <w:pPr>
              <w:spacing w:line="240" w:lineRule="auto"/>
              <w:ind w:firstLine="0"/>
            </w:pPr>
            <w:r w:rsidRPr="004D46AC">
              <w:fldChar w:fldCharType="begin">
                <w:fldData xml:space="preserve">PEVuZE5vdGU+PENpdGUgQXV0aG9yWWVhcj0iMSI+PEF1dGhvcj5CYWxsZXN0ZXI8L0F1dGhvcj48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</w:fldData>
              </w:fldChar>
            </w:r>
            <w:r w:rsidRPr="004D46AC">
              <w:instrText xml:space="preserve"> ADDIN EN.CITE </w:instrText>
            </w:r>
            <w:r w:rsidRPr="004D46AC">
              <w:fldChar w:fldCharType="begin">
                <w:fldData xml:space="preserve">PEVuZE5vdGU+PENpdGUgQXV0aG9yWWVhcj0iMSI+PEF1dGhvcj5CYWxsZXN0ZXI8L0F1dGhvcj48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</w:fldData>
              </w:fldChar>
            </w:r>
            <w:r w:rsidRPr="004D46AC">
              <w:instrText xml:space="preserve"> ADDIN EN.CITE.DATA </w:instrText>
            </w:r>
            <w:r w:rsidRPr="004D46AC">
              <w:fldChar w:fldCharType="end"/>
            </w:r>
            <w:r w:rsidRPr="004D46AC">
              <w:fldChar w:fldCharType="separate"/>
            </w:r>
            <w:r w:rsidRPr="004D46AC">
              <w:t>Ballester et al. (2014)</w:t>
            </w:r>
            <w:r w:rsidRPr="004D46AC">
              <w:fldChar w:fldCharType="end"/>
            </w:r>
          </w:p>
        </w:tc>
        <w:tc>
          <w:tcPr>
            <w:tcW w:w="754" w:type="dxa"/>
            <w:vAlign w:val="center"/>
          </w:tcPr>
          <w:p w14:paraId="523ACDF6" w14:textId="77777777" w:rsidR="009864DB" w:rsidRPr="004D46AC" w:rsidRDefault="009864DB" w:rsidP="009864DB">
            <w:pPr>
              <w:spacing w:line="240" w:lineRule="auto"/>
              <w:ind w:firstLine="0"/>
            </w:pPr>
            <w:r w:rsidRPr="004D46AC">
              <w:t>5</w:t>
            </w:r>
          </w:p>
        </w:tc>
        <w:tc>
          <w:tcPr>
            <w:tcW w:w="766" w:type="dxa"/>
            <w:vAlign w:val="center"/>
          </w:tcPr>
          <w:p w14:paraId="34FC3B85" w14:textId="77777777" w:rsidR="009864DB" w:rsidRPr="004D46AC" w:rsidRDefault="009864DB" w:rsidP="009864DB">
            <w:pPr>
              <w:spacing w:line="240" w:lineRule="auto"/>
              <w:ind w:firstLine="0"/>
            </w:pPr>
            <w:r w:rsidRPr="004D46AC">
              <w:t>38.99</w:t>
            </w:r>
          </w:p>
        </w:tc>
        <w:tc>
          <w:tcPr>
            <w:tcW w:w="1096" w:type="dxa"/>
            <w:vAlign w:val="center"/>
          </w:tcPr>
          <w:p w14:paraId="4B843F66" w14:textId="77777777" w:rsidR="009864DB" w:rsidRPr="004D46AC" w:rsidRDefault="009864DB" w:rsidP="009864DB">
            <w:pPr>
              <w:spacing w:line="240" w:lineRule="auto"/>
              <w:ind w:firstLine="0"/>
            </w:pPr>
            <w:r w:rsidRPr="004D46AC">
              <w:t>DSM4</w:t>
            </w:r>
          </w:p>
        </w:tc>
        <w:tc>
          <w:tcPr>
            <w:tcW w:w="1415" w:type="dxa"/>
            <w:vAlign w:val="center"/>
          </w:tcPr>
          <w:p w14:paraId="2B80FCFB" w14:textId="77777777" w:rsidR="009864DB" w:rsidRPr="004D46AC" w:rsidRDefault="009864DB" w:rsidP="009864DB">
            <w:pPr>
              <w:spacing w:line="240" w:lineRule="auto"/>
              <w:ind w:firstLine="0"/>
            </w:pPr>
            <w:r w:rsidRPr="004D46AC">
              <w:t>SCID</w:t>
            </w:r>
          </w:p>
        </w:tc>
        <w:tc>
          <w:tcPr>
            <w:tcW w:w="876" w:type="dxa"/>
            <w:vAlign w:val="center"/>
          </w:tcPr>
          <w:p w14:paraId="0E75E342" w14:textId="77777777" w:rsidR="009864DB" w:rsidRPr="004D46AC" w:rsidRDefault="009864DB" w:rsidP="009864DB">
            <w:pPr>
              <w:spacing w:line="240" w:lineRule="auto"/>
              <w:ind w:firstLine="0"/>
            </w:pPr>
            <w:r w:rsidRPr="004D46AC">
              <w:t>227</w:t>
            </w:r>
          </w:p>
        </w:tc>
        <w:tc>
          <w:tcPr>
            <w:tcW w:w="986" w:type="dxa"/>
            <w:vAlign w:val="center"/>
          </w:tcPr>
          <w:p w14:paraId="5B9C05AF" w14:textId="77777777" w:rsidR="009864DB" w:rsidRPr="004D46AC" w:rsidRDefault="009864DB" w:rsidP="009864DB">
            <w:pPr>
              <w:spacing w:line="240" w:lineRule="auto"/>
              <w:ind w:firstLine="0"/>
            </w:pPr>
            <w:r w:rsidRPr="004D46AC">
              <w:t>2</w:t>
            </w:r>
          </w:p>
        </w:tc>
        <w:tc>
          <w:tcPr>
            <w:tcW w:w="751" w:type="dxa"/>
            <w:vAlign w:val="center"/>
          </w:tcPr>
          <w:p w14:paraId="0B92F8F2" w14:textId="77777777" w:rsidR="009864DB" w:rsidRPr="004D46AC" w:rsidRDefault="009864DB" w:rsidP="009864DB">
            <w:pPr>
              <w:spacing w:line="240" w:lineRule="auto"/>
              <w:ind w:firstLine="0"/>
            </w:pPr>
            <w:r w:rsidRPr="004D46AC">
              <w:t>1</w:t>
            </w:r>
          </w:p>
        </w:tc>
        <w:tc>
          <w:tcPr>
            <w:tcW w:w="752" w:type="dxa"/>
            <w:vAlign w:val="center"/>
          </w:tcPr>
          <w:p w14:paraId="206524BF" w14:textId="77777777" w:rsidR="009864DB" w:rsidRPr="004D46AC" w:rsidRDefault="009864DB" w:rsidP="009864DB">
            <w:pPr>
              <w:spacing w:line="240" w:lineRule="auto"/>
              <w:ind w:firstLine="0"/>
            </w:pPr>
            <w:r w:rsidRPr="004D46AC">
              <w:t>0</w:t>
            </w:r>
          </w:p>
        </w:tc>
        <w:tc>
          <w:tcPr>
            <w:tcW w:w="1296" w:type="dxa"/>
          </w:tcPr>
          <w:p w14:paraId="633F7C24" w14:textId="77777777" w:rsidR="009864DB" w:rsidRPr="004D46AC" w:rsidRDefault="009864DB" w:rsidP="009864DB">
            <w:pPr>
              <w:spacing w:line="240" w:lineRule="auto"/>
              <w:ind w:firstLine="0"/>
            </w:pPr>
            <w:r w:rsidRPr="004D46AC">
              <w:t>24</w:t>
            </w:r>
          </w:p>
        </w:tc>
        <w:tc>
          <w:tcPr>
            <w:tcW w:w="752" w:type="dxa"/>
            <w:vAlign w:val="center"/>
          </w:tcPr>
          <w:p w14:paraId="158A593B" w14:textId="77777777" w:rsidR="009864DB" w:rsidRPr="004D46AC" w:rsidRDefault="009864DB" w:rsidP="009864DB">
            <w:pPr>
              <w:spacing w:line="240" w:lineRule="auto"/>
              <w:ind w:firstLine="0"/>
            </w:pPr>
            <w:r w:rsidRPr="004D46AC">
              <w:t>NA</w:t>
            </w:r>
          </w:p>
        </w:tc>
        <w:tc>
          <w:tcPr>
            <w:tcW w:w="789" w:type="dxa"/>
            <w:gridSpan w:val="2"/>
            <w:vAlign w:val="center"/>
          </w:tcPr>
          <w:p w14:paraId="778DF257" w14:textId="77777777" w:rsidR="009864DB" w:rsidRPr="004D46AC" w:rsidRDefault="009864DB" w:rsidP="009864DB">
            <w:pPr>
              <w:spacing w:line="240" w:lineRule="auto"/>
              <w:ind w:firstLine="0"/>
            </w:pPr>
            <w:r w:rsidRPr="004D46AC">
              <w:t>NA</w:t>
            </w:r>
          </w:p>
        </w:tc>
      </w:tr>
      <w:tr w:rsidR="009864DB" w:rsidRPr="004D46AC" w14:paraId="29980556" w14:textId="77777777" w:rsidTr="00B518F1">
        <w:tc>
          <w:tcPr>
            <w:tcW w:w="1476" w:type="dxa"/>
          </w:tcPr>
          <w:p w14:paraId="060920EC"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AuthorYear="1"&gt;&lt;Author&gt;Cardoso&lt;/Author&gt;&lt;Year&gt;2008&lt;/Year&gt;&lt;RecNum&gt;31&lt;/RecNum&gt;&lt;DisplayText&gt;Cardoso et al. (2008)&lt;/DisplayText&gt;&lt;record&gt;&lt;rec-number&gt;31&lt;/rec-number&gt;&lt;foreign-keys&gt;&lt;key app="EN" db-id="aet009sstawa0hewvt3xwf5atffdw2dt02sw" timestamp="1664802997"&gt;31&lt;/key&gt;&lt;/foreign-keys&gt;&lt;ref-type name="Journal Article"&gt;17&lt;/ref-type&gt;&lt;contributors&gt;&lt;authors&gt;&lt;author&gt;Cardoso, B. M.&lt;/author&gt;&lt;author&gt;Kauer Sant&amp;apos;Anna, M.&lt;/author&gt;&lt;author&gt;Dias, V. V.&lt;/author&gt;&lt;author&gt;Andreazza, A. C.&lt;/author&gt;&lt;author&gt;Cereser, K. M.&lt;/author&gt;&lt;author&gt;Kapczinski, F.&lt;/author&gt;&lt;/authors&gt;&lt;/contributors&gt;&lt;auth-address&gt;Bipolar Disorders Program and Laboratory of Molecular Psychiatry, Hospital de Clinicas de Porto Alegre, Brazil.&lt;/auth-address&gt;&lt;titles&gt;&lt;title&gt;The impact of co-morbid alcohol use disorder in bipolar patients&lt;/title&gt;&lt;secondary-title&gt;Alcohol&lt;/secondary-title&gt;&lt;/titles&gt;&lt;periodical&gt;&lt;full-title&gt;Alcohol&lt;/full-title&gt;&lt;/periodical&gt;&lt;pages&gt;451-7&lt;/pages&gt;&lt;volume&gt;42&lt;/volume&gt;&lt;number&gt;6&lt;/number&gt;&lt;keywords&gt;&lt;keyword&gt;Adult&lt;/keyword&gt;&lt;keyword&gt;Alcoholism/*epidemiology&lt;/keyword&gt;&lt;keyword&gt;Anxiety Disorders/epidemiology&lt;/keyword&gt;&lt;keyword&gt;Bipolar Disorder/*epidemiology&lt;/keyword&gt;&lt;keyword&gt;Brazil/epidemiology&lt;/keyword&gt;&lt;keyword&gt;Comorbidity&lt;/keyword&gt;&lt;keyword&gt;Cross-Sectional Studies&lt;/keyword&gt;&lt;keyword&gt;Female&lt;/keyword&gt;&lt;keyword&gt;Humans&lt;/keyword&gt;&lt;keyword&gt;Male&lt;/keyword&gt;&lt;keyword&gt;Middle Aged&lt;/keyword&gt;&lt;keyword&gt;Substance-Related Disorders/epidemiology&lt;/keyword&gt;&lt;keyword&gt;Suicide, Attempted/statistics &amp;amp; numerical data&lt;/keyword&gt;&lt;/keywords&gt;&lt;dates&gt;&lt;year&gt;2008&lt;/year&gt;&lt;pub-dates&gt;&lt;date&gt;Sep&lt;/date&gt;&lt;/pub-dates&gt;&lt;/dates&gt;&lt;isbn&gt;0741-8329 (Print)&amp;#xD;0741-8329 (Linking)&lt;/isbn&gt;&lt;accession-num&gt;18760714&lt;/accession-num&gt;&lt;urls&gt;&lt;related-urls&gt;&lt;url&gt;https://www.ncbi.nlm.nih.gov/pubmed/18760714&lt;/url&gt;&lt;/related-urls&gt;&lt;/urls&gt;&lt;electronic-resource-num&gt;10.1016/j.alcohol.2008.05.003&lt;/electronic-resource-num&gt;&lt;remote-database-name&gt;Medline&lt;/remote-database-name&gt;&lt;remote-database-provider&gt;NLM&lt;/remote-database-provider&gt;&lt;language&gt;eng&lt;/language&gt;&lt;/record&gt;&lt;/Cite&gt;&lt;/EndNote&gt;</w:instrText>
            </w:r>
            <w:r w:rsidRPr="004D46AC">
              <w:fldChar w:fldCharType="separate"/>
            </w:r>
            <w:r w:rsidRPr="004D46AC">
              <w:t>Cardoso et al. (2008)</w:t>
            </w:r>
            <w:r w:rsidRPr="004D46AC">
              <w:fldChar w:fldCharType="end"/>
            </w:r>
          </w:p>
        </w:tc>
        <w:tc>
          <w:tcPr>
            <w:tcW w:w="754" w:type="dxa"/>
            <w:vAlign w:val="center"/>
          </w:tcPr>
          <w:p w14:paraId="2740B509" w14:textId="77777777" w:rsidR="009864DB" w:rsidRPr="004D46AC" w:rsidRDefault="009864DB" w:rsidP="009864DB">
            <w:pPr>
              <w:spacing w:line="240" w:lineRule="auto"/>
              <w:ind w:firstLine="0"/>
            </w:pPr>
            <w:r w:rsidRPr="004D46AC">
              <w:t>6</w:t>
            </w:r>
          </w:p>
        </w:tc>
        <w:tc>
          <w:tcPr>
            <w:tcW w:w="766" w:type="dxa"/>
            <w:vAlign w:val="center"/>
          </w:tcPr>
          <w:p w14:paraId="786DCFB1" w14:textId="77777777" w:rsidR="009864DB" w:rsidRPr="004D46AC" w:rsidRDefault="009864DB" w:rsidP="009864DB">
            <w:pPr>
              <w:spacing w:line="240" w:lineRule="auto"/>
              <w:ind w:firstLine="0"/>
            </w:pPr>
            <w:r w:rsidRPr="004D46AC">
              <w:t>42.8</w:t>
            </w:r>
          </w:p>
        </w:tc>
        <w:tc>
          <w:tcPr>
            <w:tcW w:w="1096" w:type="dxa"/>
            <w:vAlign w:val="center"/>
          </w:tcPr>
          <w:p w14:paraId="27C5A6B3" w14:textId="77777777" w:rsidR="009864DB" w:rsidRPr="004D46AC" w:rsidRDefault="009864DB" w:rsidP="009864DB">
            <w:pPr>
              <w:spacing w:line="240" w:lineRule="auto"/>
              <w:ind w:firstLine="0"/>
            </w:pPr>
            <w:r w:rsidRPr="004D46AC">
              <w:t>DSM4</w:t>
            </w:r>
          </w:p>
        </w:tc>
        <w:tc>
          <w:tcPr>
            <w:tcW w:w="1415" w:type="dxa"/>
            <w:vAlign w:val="center"/>
          </w:tcPr>
          <w:p w14:paraId="6498DBFE" w14:textId="77777777" w:rsidR="009864DB" w:rsidRPr="004D46AC" w:rsidRDefault="009864DB" w:rsidP="009864DB">
            <w:pPr>
              <w:spacing w:line="240" w:lineRule="auto"/>
              <w:ind w:firstLine="0"/>
            </w:pPr>
            <w:r w:rsidRPr="004D46AC">
              <w:t>SCID</w:t>
            </w:r>
          </w:p>
        </w:tc>
        <w:tc>
          <w:tcPr>
            <w:tcW w:w="876" w:type="dxa"/>
            <w:vAlign w:val="center"/>
          </w:tcPr>
          <w:p w14:paraId="573C9D9A" w14:textId="77777777" w:rsidR="009864DB" w:rsidRPr="004D46AC" w:rsidRDefault="009864DB" w:rsidP="009864DB">
            <w:pPr>
              <w:spacing w:line="240" w:lineRule="auto"/>
              <w:ind w:firstLine="0"/>
            </w:pPr>
            <w:r w:rsidRPr="004D46AC">
              <w:t>178</w:t>
            </w:r>
          </w:p>
        </w:tc>
        <w:tc>
          <w:tcPr>
            <w:tcW w:w="986" w:type="dxa"/>
            <w:vAlign w:val="center"/>
          </w:tcPr>
          <w:p w14:paraId="4B77003A" w14:textId="77777777" w:rsidR="009864DB" w:rsidRPr="004D46AC" w:rsidRDefault="009864DB" w:rsidP="009864DB">
            <w:pPr>
              <w:spacing w:line="240" w:lineRule="auto"/>
              <w:ind w:firstLine="0"/>
            </w:pPr>
            <w:r w:rsidRPr="004D46AC">
              <w:t>1</w:t>
            </w:r>
          </w:p>
        </w:tc>
        <w:tc>
          <w:tcPr>
            <w:tcW w:w="751" w:type="dxa"/>
            <w:vAlign w:val="center"/>
          </w:tcPr>
          <w:p w14:paraId="2F507E66" w14:textId="77777777" w:rsidR="009864DB" w:rsidRPr="004D46AC" w:rsidRDefault="009864DB" w:rsidP="009864DB">
            <w:pPr>
              <w:spacing w:line="240" w:lineRule="auto"/>
              <w:ind w:firstLine="0"/>
            </w:pPr>
            <w:r w:rsidRPr="004D46AC">
              <w:t>1</w:t>
            </w:r>
          </w:p>
        </w:tc>
        <w:tc>
          <w:tcPr>
            <w:tcW w:w="752" w:type="dxa"/>
            <w:vAlign w:val="center"/>
          </w:tcPr>
          <w:p w14:paraId="3E0DD3EA" w14:textId="77777777" w:rsidR="009864DB" w:rsidRPr="004D46AC" w:rsidRDefault="009864DB" w:rsidP="009864DB">
            <w:pPr>
              <w:spacing w:line="240" w:lineRule="auto"/>
              <w:ind w:firstLine="0"/>
            </w:pPr>
            <w:r w:rsidRPr="004D46AC">
              <w:t>2</w:t>
            </w:r>
          </w:p>
        </w:tc>
        <w:tc>
          <w:tcPr>
            <w:tcW w:w="1296" w:type="dxa"/>
            <w:vAlign w:val="center"/>
          </w:tcPr>
          <w:p w14:paraId="33878F13" w14:textId="77777777" w:rsidR="009864DB" w:rsidRPr="004D46AC" w:rsidRDefault="009864DB" w:rsidP="009864DB">
            <w:pPr>
              <w:spacing w:line="240" w:lineRule="auto"/>
              <w:ind w:firstLine="0"/>
            </w:pPr>
            <w:r w:rsidRPr="004D46AC">
              <w:t>83</w:t>
            </w:r>
          </w:p>
        </w:tc>
        <w:tc>
          <w:tcPr>
            <w:tcW w:w="752" w:type="dxa"/>
            <w:vAlign w:val="center"/>
          </w:tcPr>
          <w:p w14:paraId="7288A849" w14:textId="77777777" w:rsidR="009864DB" w:rsidRPr="004D46AC" w:rsidRDefault="009864DB" w:rsidP="009864DB">
            <w:pPr>
              <w:spacing w:line="240" w:lineRule="auto"/>
              <w:ind w:firstLine="0"/>
            </w:pPr>
            <w:r w:rsidRPr="004D46AC">
              <w:t>NA</w:t>
            </w:r>
          </w:p>
        </w:tc>
        <w:tc>
          <w:tcPr>
            <w:tcW w:w="789" w:type="dxa"/>
            <w:gridSpan w:val="2"/>
            <w:vAlign w:val="center"/>
          </w:tcPr>
          <w:p w14:paraId="7FACF74B" w14:textId="77777777" w:rsidR="009864DB" w:rsidRPr="004D46AC" w:rsidRDefault="009864DB" w:rsidP="009864DB">
            <w:pPr>
              <w:spacing w:line="240" w:lineRule="auto"/>
              <w:ind w:firstLine="0"/>
            </w:pPr>
            <w:r w:rsidRPr="004D46AC">
              <w:t>NA</w:t>
            </w:r>
          </w:p>
        </w:tc>
      </w:tr>
      <w:tr w:rsidR="009864DB" w:rsidRPr="004D46AC" w14:paraId="487B8465" w14:textId="77777777" w:rsidTr="00B518F1">
        <w:tc>
          <w:tcPr>
            <w:tcW w:w="1476" w:type="dxa"/>
          </w:tcPr>
          <w:p w14:paraId="48118F48" w14:textId="77777777" w:rsidR="009864DB" w:rsidRPr="004D46AC" w:rsidRDefault="009864DB" w:rsidP="009864DB">
            <w:pPr>
              <w:spacing w:line="240" w:lineRule="auto"/>
              <w:ind w:firstLine="0"/>
            </w:pPr>
            <w:r w:rsidRPr="004D46AC">
              <w:fldChar w:fldCharType="begin">
                <w:fldData xml:space="preserve">PEVuZE5vdGU+PENpdGUgQXV0aG9yWWVhcj0iMSI+PEF1dGhvcj5EYWxrbmVyPC9BdXRob3I+PFll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</w:fldData>
              </w:fldChar>
            </w:r>
            <w:r w:rsidRPr="004D46AC">
              <w:instrText xml:space="preserve"> ADDIN EN.CITE </w:instrText>
            </w:r>
            <w:r w:rsidRPr="004D46AC">
              <w:fldChar w:fldCharType="begin">
                <w:fldData xml:space="preserve">PEVuZE5vdGU+PENpdGUgQXV0aG9yWWVhcj0iMSI+PEF1dGhvcj5EYWxrbmVyPC9BdXRob3I+PFll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</w:fldData>
              </w:fldChar>
            </w:r>
            <w:r w:rsidRPr="004D46AC">
              <w:instrText xml:space="preserve"> ADDIN EN.CITE.DATA </w:instrText>
            </w:r>
            <w:r w:rsidRPr="004D46AC">
              <w:fldChar w:fldCharType="end"/>
            </w:r>
            <w:r w:rsidRPr="004D46AC">
              <w:fldChar w:fldCharType="separate"/>
            </w:r>
            <w:r w:rsidRPr="004D46AC">
              <w:t>Dalkner et al. (2021)</w:t>
            </w:r>
            <w:r w:rsidRPr="004D46AC">
              <w:fldChar w:fldCharType="end"/>
            </w:r>
          </w:p>
        </w:tc>
        <w:tc>
          <w:tcPr>
            <w:tcW w:w="754" w:type="dxa"/>
            <w:vAlign w:val="center"/>
          </w:tcPr>
          <w:p w14:paraId="64B28B3B" w14:textId="77777777" w:rsidR="009864DB" w:rsidRPr="004D46AC" w:rsidRDefault="009864DB" w:rsidP="009864DB">
            <w:pPr>
              <w:spacing w:line="240" w:lineRule="auto"/>
              <w:ind w:firstLine="0"/>
            </w:pPr>
            <w:r w:rsidRPr="004D46AC">
              <w:t>6</w:t>
            </w:r>
          </w:p>
        </w:tc>
        <w:tc>
          <w:tcPr>
            <w:tcW w:w="766" w:type="dxa"/>
            <w:vAlign w:val="center"/>
          </w:tcPr>
          <w:p w14:paraId="30943A9D" w14:textId="77777777" w:rsidR="009864DB" w:rsidRPr="004D46AC" w:rsidRDefault="009864DB" w:rsidP="009864DB">
            <w:pPr>
              <w:spacing w:line="240" w:lineRule="auto"/>
              <w:ind w:firstLine="0"/>
            </w:pPr>
            <w:r w:rsidRPr="004D46AC">
              <w:t>42.41</w:t>
            </w:r>
          </w:p>
        </w:tc>
        <w:tc>
          <w:tcPr>
            <w:tcW w:w="1096" w:type="dxa"/>
            <w:vAlign w:val="center"/>
          </w:tcPr>
          <w:p w14:paraId="41996D41" w14:textId="77777777" w:rsidR="009864DB" w:rsidRPr="004D46AC" w:rsidRDefault="009864DB" w:rsidP="009864DB">
            <w:pPr>
              <w:spacing w:line="240" w:lineRule="auto"/>
              <w:ind w:firstLine="0"/>
            </w:pPr>
            <w:r w:rsidRPr="004D46AC">
              <w:t>DSM4</w:t>
            </w:r>
          </w:p>
        </w:tc>
        <w:tc>
          <w:tcPr>
            <w:tcW w:w="1415" w:type="dxa"/>
            <w:vAlign w:val="center"/>
          </w:tcPr>
          <w:p w14:paraId="360136BF" w14:textId="77777777" w:rsidR="009864DB" w:rsidRPr="004D46AC" w:rsidRDefault="009864DB" w:rsidP="009864DB">
            <w:pPr>
              <w:spacing w:line="240" w:lineRule="auto"/>
              <w:ind w:firstLine="0"/>
            </w:pPr>
            <w:r w:rsidRPr="004D46AC">
              <w:t>SCID</w:t>
            </w:r>
          </w:p>
        </w:tc>
        <w:tc>
          <w:tcPr>
            <w:tcW w:w="876" w:type="dxa"/>
            <w:vAlign w:val="center"/>
          </w:tcPr>
          <w:p w14:paraId="679E18F2" w14:textId="77777777" w:rsidR="009864DB" w:rsidRPr="004D46AC" w:rsidRDefault="009864DB" w:rsidP="009864DB">
            <w:pPr>
              <w:spacing w:line="240" w:lineRule="auto"/>
              <w:ind w:firstLine="0"/>
            </w:pPr>
            <w:r w:rsidRPr="004D46AC">
              <w:t>148</w:t>
            </w:r>
          </w:p>
        </w:tc>
        <w:tc>
          <w:tcPr>
            <w:tcW w:w="986" w:type="dxa"/>
            <w:vAlign w:val="center"/>
          </w:tcPr>
          <w:p w14:paraId="372FFAC5" w14:textId="77777777" w:rsidR="009864DB" w:rsidRPr="004D46AC" w:rsidRDefault="009864DB" w:rsidP="009864DB">
            <w:pPr>
              <w:spacing w:line="240" w:lineRule="auto"/>
              <w:ind w:firstLine="0"/>
            </w:pPr>
            <w:r w:rsidRPr="004D46AC">
              <w:t>1</w:t>
            </w:r>
          </w:p>
        </w:tc>
        <w:tc>
          <w:tcPr>
            <w:tcW w:w="751" w:type="dxa"/>
            <w:vAlign w:val="center"/>
          </w:tcPr>
          <w:p w14:paraId="46B41EE6" w14:textId="77777777" w:rsidR="009864DB" w:rsidRPr="004D46AC" w:rsidRDefault="009864DB" w:rsidP="009864DB">
            <w:pPr>
              <w:spacing w:line="240" w:lineRule="auto"/>
              <w:ind w:firstLine="0"/>
            </w:pPr>
            <w:r w:rsidRPr="004D46AC">
              <w:t>1</w:t>
            </w:r>
          </w:p>
        </w:tc>
        <w:tc>
          <w:tcPr>
            <w:tcW w:w="752" w:type="dxa"/>
            <w:vAlign w:val="center"/>
          </w:tcPr>
          <w:p w14:paraId="07123466" w14:textId="77777777" w:rsidR="009864DB" w:rsidRPr="004D46AC" w:rsidRDefault="009864DB" w:rsidP="009864DB">
            <w:pPr>
              <w:spacing w:line="240" w:lineRule="auto"/>
              <w:ind w:firstLine="0"/>
            </w:pPr>
            <w:r w:rsidRPr="004D46AC">
              <w:t>2</w:t>
            </w:r>
          </w:p>
        </w:tc>
        <w:tc>
          <w:tcPr>
            <w:tcW w:w="1296" w:type="dxa"/>
            <w:vAlign w:val="center"/>
          </w:tcPr>
          <w:p w14:paraId="6070F489" w14:textId="77777777" w:rsidR="009864DB" w:rsidRPr="004D46AC" w:rsidRDefault="009864DB" w:rsidP="009864DB">
            <w:pPr>
              <w:spacing w:line="240" w:lineRule="auto"/>
              <w:ind w:firstLine="0"/>
            </w:pPr>
            <w:r w:rsidRPr="004D46AC">
              <w:t>85</w:t>
            </w:r>
          </w:p>
        </w:tc>
        <w:tc>
          <w:tcPr>
            <w:tcW w:w="752" w:type="dxa"/>
            <w:vAlign w:val="center"/>
          </w:tcPr>
          <w:p w14:paraId="6862108C" w14:textId="77777777" w:rsidR="009864DB" w:rsidRPr="004D46AC" w:rsidRDefault="009864DB" w:rsidP="009864DB">
            <w:pPr>
              <w:spacing w:line="240" w:lineRule="auto"/>
              <w:ind w:firstLine="0"/>
            </w:pPr>
            <w:r w:rsidRPr="004D46AC">
              <w:t>NA</w:t>
            </w:r>
          </w:p>
        </w:tc>
        <w:tc>
          <w:tcPr>
            <w:tcW w:w="789" w:type="dxa"/>
            <w:gridSpan w:val="2"/>
            <w:vAlign w:val="center"/>
          </w:tcPr>
          <w:p w14:paraId="1521B077" w14:textId="77777777" w:rsidR="009864DB" w:rsidRPr="004D46AC" w:rsidRDefault="009864DB" w:rsidP="009864DB">
            <w:pPr>
              <w:spacing w:line="240" w:lineRule="auto"/>
              <w:ind w:firstLine="0"/>
            </w:pPr>
            <w:r w:rsidRPr="004D46AC">
              <w:t>NA</w:t>
            </w:r>
          </w:p>
        </w:tc>
      </w:tr>
      <w:tr w:rsidR="009864DB" w:rsidRPr="004D46AC" w14:paraId="22D3C254" w14:textId="77777777" w:rsidTr="00B518F1">
        <w:tc>
          <w:tcPr>
            <w:tcW w:w="1476" w:type="dxa"/>
          </w:tcPr>
          <w:p w14:paraId="4592F54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AuthorYear="1"&gt;&lt;Author&gt;Janicak&lt;/Author&gt;&lt;Year&gt;1998&lt;/Year&gt;&lt;RecNum&gt;33&lt;/RecNum&gt;&lt;DisplayText&gt;Janicak et al. (1998)&lt;/DisplayText&gt;&lt;record&gt;&lt;rec-number&gt;33&lt;/rec-number&gt;&lt;foreign-keys&gt;&lt;key app="EN" db-id="aet009sstawa0hewvt3xwf5atffdw2dt02sw" timestamp="1664813400"&gt;33&lt;/key&gt;&lt;/foreign-keys&gt;&lt;ref-type name="Journal Article"&gt;17&lt;/ref-type&gt;&lt;contributors&gt;&lt;authors&gt;&lt;author&gt;Janicak, P. G.&lt;/author&gt;&lt;author&gt;Sharma, R. P.&lt;/author&gt;&lt;author&gt;Pandey, G.&lt;/author&gt;&lt;author&gt;Davis, J. M.&lt;/author&gt;&lt;/authors&gt;&lt;/contributors&gt;&lt;auth-address&gt;Psychiatric Institute, University of Illinois at Chicago 60612, USA.&lt;/auth-address&gt;&lt;titles&gt;&lt;title&gt;Verapamil for the treatment of acute mania: a double-blind, placebo-controlled trial&lt;/title&gt;&lt;secondary-title&gt;Am J Psychiatry&lt;/secondary-title&gt;&lt;/titles&gt;&lt;periodical&gt;&lt;full-title&gt;Am J Psychiatry&lt;/full-title&gt;&lt;/periodical&gt;&lt;pages&gt;972-3&lt;/pages&gt;&lt;volume&gt;155&lt;/volume&gt;&lt;number&gt;7&lt;/number&gt;&lt;keywords&gt;&lt;keyword&gt;Acute Disease&lt;/keyword&gt;&lt;keyword&gt;Adult&lt;/keyword&gt;&lt;keyword&gt;Bipolar Disorder/*drug therapy/psychology&lt;/keyword&gt;&lt;keyword&gt;Calcium Channel Blockers/administration &amp;amp; dosage/*therapeutic use&lt;/keyword&gt;&lt;keyword&gt;Double-Blind Method&lt;/keyword&gt;&lt;keyword&gt;Drug Administration Schedule&lt;/keyword&gt;&lt;keyword&gt;Female&lt;/keyword&gt;&lt;keyword&gt;Hospitalization&lt;/keyword&gt;&lt;keyword&gt;Humans&lt;/keyword&gt;&lt;keyword&gt;Male&lt;/keyword&gt;&lt;keyword&gt;Placebos&lt;/keyword&gt;&lt;keyword&gt;Psychiatric Status Rating Scales&lt;/keyword&gt;&lt;keyword&gt;Treatment Outcome&lt;/keyword&gt;&lt;keyword&gt;Verapamil/administration &amp;amp; dosage/*therapeutic use&lt;/keyword&gt;&lt;/keywords&gt;&lt;dates&gt;&lt;year&gt;1998&lt;/year&gt;&lt;pub-dates&gt;&lt;date&gt;Jul&lt;/date&gt;&lt;/pub-dates&gt;&lt;/dates&gt;&lt;isbn&gt;0002-953X (Print)&amp;#xD;0002-953X (Linking)&lt;/isbn&gt;&lt;accession-num&gt;9659868&lt;/accession-num&gt;&lt;urls&gt;&lt;related-urls&gt;&lt;url&gt;https://www.ncbi.nlm.nih.gov/pubmed/9659868&lt;/url&gt;&lt;/related-urls&gt;&lt;/urls&gt;&lt;electronic-resource-num&gt;10.1176/ajp.155.7.972&lt;/electronic-resource-num&gt;&lt;remote-database-name&gt;Medline&lt;/remote-database-name&gt;&lt;remote-database-provider&gt;NLM&lt;/remote-database-provider&gt;&lt;language&gt;eng&lt;/language&gt;&lt;/record&gt;&lt;/Cite&gt;&lt;/EndNote&gt;</w:instrText>
            </w:r>
            <w:r w:rsidRPr="004D46AC">
              <w:fldChar w:fldCharType="separate"/>
            </w:r>
            <w:r w:rsidRPr="004D46AC">
              <w:t>Janicak et al. (1998)</w:t>
            </w:r>
            <w:r w:rsidRPr="004D46AC">
              <w:fldChar w:fldCharType="end"/>
            </w:r>
          </w:p>
        </w:tc>
        <w:tc>
          <w:tcPr>
            <w:tcW w:w="754" w:type="dxa"/>
            <w:vAlign w:val="center"/>
          </w:tcPr>
          <w:p w14:paraId="31D77AEF" w14:textId="77777777" w:rsidR="009864DB" w:rsidRPr="004D46AC" w:rsidRDefault="009864DB" w:rsidP="009864DB">
            <w:pPr>
              <w:spacing w:line="240" w:lineRule="auto"/>
              <w:ind w:firstLine="0"/>
            </w:pPr>
            <w:r w:rsidRPr="004D46AC">
              <w:t>5</w:t>
            </w:r>
          </w:p>
        </w:tc>
        <w:tc>
          <w:tcPr>
            <w:tcW w:w="766" w:type="dxa"/>
            <w:vAlign w:val="center"/>
          </w:tcPr>
          <w:p w14:paraId="3293DEC5" w14:textId="77777777" w:rsidR="009864DB" w:rsidRPr="004D46AC" w:rsidRDefault="009864DB" w:rsidP="009864DB">
            <w:pPr>
              <w:spacing w:line="240" w:lineRule="auto"/>
              <w:ind w:firstLine="0"/>
            </w:pPr>
            <w:r w:rsidRPr="004D46AC">
              <w:t>36.2</w:t>
            </w:r>
          </w:p>
        </w:tc>
        <w:tc>
          <w:tcPr>
            <w:tcW w:w="1096" w:type="dxa"/>
            <w:vAlign w:val="center"/>
          </w:tcPr>
          <w:p w14:paraId="6DD5EB07" w14:textId="77777777" w:rsidR="009864DB" w:rsidRPr="004D46AC" w:rsidRDefault="009864DB" w:rsidP="009864DB">
            <w:pPr>
              <w:spacing w:line="240" w:lineRule="auto"/>
              <w:ind w:firstLine="0"/>
            </w:pPr>
            <w:r w:rsidRPr="004D46AC">
              <w:t>DSM3R</w:t>
            </w:r>
          </w:p>
        </w:tc>
        <w:tc>
          <w:tcPr>
            <w:tcW w:w="1415" w:type="dxa"/>
            <w:vAlign w:val="center"/>
          </w:tcPr>
          <w:p w14:paraId="42A665FA" w14:textId="77777777" w:rsidR="009864DB" w:rsidRPr="004D46AC" w:rsidRDefault="009864DB" w:rsidP="009864DB">
            <w:pPr>
              <w:spacing w:line="240" w:lineRule="auto"/>
              <w:ind w:firstLine="0"/>
            </w:pPr>
            <w:r w:rsidRPr="004D46AC">
              <w:t>unclear</w:t>
            </w:r>
          </w:p>
        </w:tc>
        <w:tc>
          <w:tcPr>
            <w:tcW w:w="876" w:type="dxa"/>
            <w:vAlign w:val="center"/>
          </w:tcPr>
          <w:p w14:paraId="04A2FA2C" w14:textId="77777777" w:rsidR="009864DB" w:rsidRPr="004D46AC" w:rsidRDefault="009864DB" w:rsidP="009864DB">
            <w:pPr>
              <w:spacing w:line="240" w:lineRule="auto"/>
              <w:ind w:firstLine="0"/>
            </w:pPr>
            <w:r w:rsidRPr="004D46AC">
              <w:t>32</w:t>
            </w:r>
          </w:p>
        </w:tc>
        <w:tc>
          <w:tcPr>
            <w:tcW w:w="986" w:type="dxa"/>
            <w:vAlign w:val="center"/>
          </w:tcPr>
          <w:p w14:paraId="7B640EFF" w14:textId="77777777" w:rsidR="009864DB" w:rsidRPr="004D46AC" w:rsidRDefault="009864DB" w:rsidP="009864DB">
            <w:pPr>
              <w:spacing w:line="240" w:lineRule="auto"/>
              <w:ind w:firstLine="0"/>
            </w:pPr>
            <w:r w:rsidRPr="004D46AC">
              <w:t>3</w:t>
            </w:r>
          </w:p>
        </w:tc>
        <w:tc>
          <w:tcPr>
            <w:tcW w:w="751" w:type="dxa"/>
            <w:vAlign w:val="center"/>
          </w:tcPr>
          <w:p w14:paraId="48A04280" w14:textId="77777777" w:rsidR="009864DB" w:rsidRPr="004D46AC" w:rsidRDefault="009864DB" w:rsidP="009864DB">
            <w:pPr>
              <w:spacing w:line="240" w:lineRule="auto"/>
              <w:ind w:firstLine="0"/>
            </w:pPr>
            <w:r w:rsidRPr="004D46AC">
              <w:t>2</w:t>
            </w:r>
          </w:p>
        </w:tc>
        <w:tc>
          <w:tcPr>
            <w:tcW w:w="752" w:type="dxa"/>
            <w:vAlign w:val="center"/>
          </w:tcPr>
          <w:p w14:paraId="4723F7B3" w14:textId="77777777" w:rsidR="009864DB" w:rsidRPr="004D46AC" w:rsidRDefault="009864DB" w:rsidP="009864DB">
            <w:pPr>
              <w:spacing w:line="240" w:lineRule="auto"/>
              <w:ind w:firstLine="0"/>
            </w:pPr>
            <w:r w:rsidRPr="004D46AC">
              <w:t>0</w:t>
            </w:r>
          </w:p>
        </w:tc>
        <w:tc>
          <w:tcPr>
            <w:tcW w:w="1296" w:type="dxa"/>
            <w:vAlign w:val="center"/>
          </w:tcPr>
          <w:p w14:paraId="49E267A4" w14:textId="77777777" w:rsidR="009864DB" w:rsidRPr="004D46AC" w:rsidRDefault="009864DB" w:rsidP="009864DB">
            <w:pPr>
              <w:spacing w:line="240" w:lineRule="auto"/>
              <w:ind w:firstLine="0"/>
            </w:pPr>
            <w:r w:rsidRPr="004D46AC">
              <w:t>23</w:t>
            </w:r>
          </w:p>
        </w:tc>
        <w:tc>
          <w:tcPr>
            <w:tcW w:w="752" w:type="dxa"/>
            <w:vAlign w:val="center"/>
          </w:tcPr>
          <w:p w14:paraId="0DAEE1B6" w14:textId="77777777" w:rsidR="009864DB" w:rsidRPr="004D46AC" w:rsidRDefault="009864DB" w:rsidP="009864DB">
            <w:pPr>
              <w:spacing w:line="240" w:lineRule="auto"/>
              <w:ind w:firstLine="0"/>
            </w:pPr>
            <w:r w:rsidRPr="004D46AC">
              <w:t>NA</w:t>
            </w:r>
          </w:p>
        </w:tc>
        <w:tc>
          <w:tcPr>
            <w:tcW w:w="789" w:type="dxa"/>
            <w:gridSpan w:val="2"/>
            <w:vAlign w:val="center"/>
          </w:tcPr>
          <w:p w14:paraId="0915C283" w14:textId="77777777" w:rsidR="009864DB" w:rsidRPr="004D46AC" w:rsidRDefault="009864DB" w:rsidP="009864DB">
            <w:pPr>
              <w:spacing w:line="240" w:lineRule="auto"/>
              <w:ind w:firstLine="0"/>
            </w:pPr>
            <w:r w:rsidRPr="004D46AC">
              <w:t>NA</w:t>
            </w:r>
          </w:p>
        </w:tc>
      </w:tr>
      <w:tr w:rsidR="009864DB" w:rsidRPr="004D46AC" w14:paraId="6840026C" w14:textId="77777777" w:rsidTr="00B518F1">
        <w:tc>
          <w:tcPr>
            <w:tcW w:w="1476" w:type="dxa"/>
          </w:tcPr>
          <w:p w14:paraId="30D2E6D6" w14:textId="77777777" w:rsidR="009864DB" w:rsidRPr="004D46AC" w:rsidRDefault="009864DB" w:rsidP="009864DB">
            <w:pPr>
              <w:spacing w:line="240" w:lineRule="auto"/>
              <w:ind w:firstLine="0"/>
            </w:pPr>
            <w:r w:rsidRPr="004D46AC">
              <w:fldChar w:fldCharType="begin">
                <w:fldData xml:space="preserve">PEVuZE5vdGU+PENpdGUgQXV0aG9yWWVhcj0iMSI+PEF1dGhvcj5NZWRpY2k8L0F1dGhvcj48WWVh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</w:fldData>
              </w:fldChar>
            </w:r>
            <w:r w:rsidRPr="004D46AC">
              <w:instrText xml:space="preserve"> ADDIN EN.CITE </w:instrText>
            </w:r>
            <w:r w:rsidRPr="004D46AC">
              <w:fldChar w:fldCharType="begin">
                <w:fldData xml:space="preserve">PEVuZE5vdGU+PENpdGUgQXV0aG9yWWVhcj0iMSI+PEF1dGhvcj5NZWRpY2k8L0F1dGhvcj48WWVh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</w:fldData>
              </w:fldChar>
            </w:r>
            <w:r w:rsidRPr="004D46AC">
              <w:instrText xml:space="preserve"> ADDIN EN.CITE.DATA </w:instrText>
            </w:r>
            <w:r w:rsidRPr="004D46AC">
              <w:fldChar w:fldCharType="end"/>
            </w:r>
            <w:r w:rsidRPr="004D46AC">
              <w:fldChar w:fldCharType="separate"/>
            </w:r>
            <w:r w:rsidRPr="004D46AC">
              <w:t>Medici et al. (2020)</w:t>
            </w:r>
            <w:r w:rsidRPr="004D46AC">
              <w:fldChar w:fldCharType="end"/>
            </w:r>
          </w:p>
        </w:tc>
        <w:tc>
          <w:tcPr>
            <w:tcW w:w="754" w:type="dxa"/>
            <w:vAlign w:val="center"/>
          </w:tcPr>
          <w:p w14:paraId="25EE5CD0" w14:textId="77777777" w:rsidR="009864DB" w:rsidRPr="004D46AC" w:rsidRDefault="009864DB" w:rsidP="009864DB">
            <w:pPr>
              <w:spacing w:line="240" w:lineRule="auto"/>
              <w:ind w:firstLine="0"/>
            </w:pPr>
            <w:r w:rsidRPr="004D46AC">
              <w:t>4</w:t>
            </w:r>
          </w:p>
        </w:tc>
        <w:tc>
          <w:tcPr>
            <w:tcW w:w="766" w:type="dxa"/>
            <w:vAlign w:val="center"/>
          </w:tcPr>
          <w:p w14:paraId="446B4C76" w14:textId="77777777" w:rsidR="009864DB" w:rsidRPr="004D46AC" w:rsidRDefault="009864DB" w:rsidP="009864DB">
            <w:pPr>
              <w:spacing w:line="240" w:lineRule="auto"/>
              <w:ind w:firstLine="0"/>
            </w:pPr>
            <w:r w:rsidRPr="004D46AC">
              <w:t>41.24</w:t>
            </w:r>
          </w:p>
        </w:tc>
        <w:tc>
          <w:tcPr>
            <w:tcW w:w="1096" w:type="dxa"/>
            <w:vAlign w:val="center"/>
          </w:tcPr>
          <w:p w14:paraId="63612DD8" w14:textId="77777777" w:rsidR="009864DB" w:rsidRPr="004D46AC" w:rsidRDefault="009864DB" w:rsidP="009864DB">
            <w:pPr>
              <w:spacing w:line="240" w:lineRule="auto"/>
              <w:ind w:firstLine="0"/>
            </w:pPr>
            <w:r w:rsidRPr="004D46AC">
              <w:t>ICD10</w:t>
            </w:r>
          </w:p>
        </w:tc>
        <w:tc>
          <w:tcPr>
            <w:tcW w:w="1415" w:type="dxa"/>
            <w:vAlign w:val="center"/>
          </w:tcPr>
          <w:p w14:paraId="2228B5A6" w14:textId="77777777" w:rsidR="009864DB" w:rsidRPr="004D46AC" w:rsidRDefault="009864DB" w:rsidP="009864DB">
            <w:pPr>
              <w:spacing w:line="240" w:lineRule="auto"/>
              <w:ind w:firstLine="0"/>
            </w:pPr>
            <w:r w:rsidRPr="004D46AC">
              <w:t>unclear</w:t>
            </w:r>
          </w:p>
        </w:tc>
        <w:tc>
          <w:tcPr>
            <w:tcW w:w="876" w:type="dxa"/>
            <w:vAlign w:val="center"/>
          </w:tcPr>
          <w:p w14:paraId="0ECD76A7" w14:textId="77777777" w:rsidR="009864DB" w:rsidRPr="004D46AC" w:rsidRDefault="009864DB" w:rsidP="009864DB">
            <w:pPr>
              <w:spacing w:line="240" w:lineRule="auto"/>
              <w:ind w:firstLine="0"/>
            </w:pPr>
            <w:r w:rsidRPr="004D46AC">
              <w:t>46</w:t>
            </w:r>
          </w:p>
        </w:tc>
        <w:tc>
          <w:tcPr>
            <w:tcW w:w="986" w:type="dxa"/>
            <w:vAlign w:val="center"/>
          </w:tcPr>
          <w:p w14:paraId="7B4D93DF" w14:textId="77777777" w:rsidR="009864DB" w:rsidRPr="004D46AC" w:rsidRDefault="009864DB" w:rsidP="009864DB">
            <w:pPr>
              <w:spacing w:line="240" w:lineRule="auto"/>
              <w:ind w:firstLine="0"/>
            </w:pPr>
            <w:r w:rsidRPr="004D46AC">
              <w:t>3</w:t>
            </w:r>
          </w:p>
        </w:tc>
        <w:tc>
          <w:tcPr>
            <w:tcW w:w="751" w:type="dxa"/>
            <w:vAlign w:val="center"/>
          </w:tcPr>
          <w:p w14:paraId="6A2EBC7C" w14:textId="77777777" w:rsidR="009864DB" w:rsidRPr="004D46AC" w:rsidRDefault="009864DB" w:rsidP="009864DB">
            <w:pPr>
              <w:spacing w:line="240" w:lineRule="auto"/>
              <w:ind w:firstLine="0"/>
            </w:pPr>
            <w:r w:rsidRPr="004D46AC">
              <w:t>2</w:t>
            </w:r>
          </w:p>
        </w:tc>
        <w:tc>
          <w:tcPr>
            <w:tcW w:w="752" w:type="dxa"/>
            <w:vAlign w:val="center"/>
          </w:tcPr>
          <w:p w14:paraId="1E01BF3C" w14:textId="77777777" w:rsidR="009864DB" w:rsidRPr="004D46AC" w:rsidRDefault="009864DB" w:rsidP="009864DB">
            <w:pPr>
              <w:spacing w:line="240" w:lineRule="auto"/>
              <w:ind w:firstLine="0"/>
            </w:pPr>
            <w:r w:rsidRPr="004D46AC">
              <w:t>0</w:t>
            </w:r>
          </w:p>
        </w:tc>
        <w:tc>
          <w:tcPr>
            <w:tcW w:w="1296" w:type="dxa"/>
            <w:vAlign w:val="center"/>
          </w:tcPr>
          <w:p w14:paraId="441220A3" w14:textId="77777777" w:rsidR="009864DB" w:rsidRPr="004D46AC" w:rsidRDefault="009864DB" w:rsidP="009864DB">
            <w:pPr>
              <w:spacing w:line="240" w:lineRule="auto"/>
              <w:ind w:firstLine="0"/>
            </w:pPr>
            <w:r w:rsidRPr="004D46AC">
              <w:t>21</w:t>
            </w:r>
          </w:p>
        </w:tc>
        <w:tc>
          <w:tcPr>
            <w:tcW w:w="752" w:type="dxa"/>
            <w:vAlign w:val="center"/>
          </w:tcPr>
          <w:p w14:paraId="067ADDC4" w14:textId="77777777" w:rsidR="009864DB" w:rsidRPr="004D46AC" w:rsidRDefault="009864DB" w:rsidP="009864DB">
            <w:pPr>
              <w:spacing w:line="240" w:lineRule="auto"/>
              <w:ind w:firstLine="0"/>
            </w:pPr>
            <w:r w:rsidRPr="004D46AC">
              <w:t>NA</w:t>
            </w:r>
          </w:p>
        </w:tc>
        <w:tc>
          <w:tcPr>
            <w:tcW w:w="789" w:type="dxa"/>
            <w:gridSpan w:val="2"/>
            <w:vAlign w:val="center"/>
          </w:tcPr>
          <w:p w14:paraId="329A65CC" w14:textId="77777777" w:rsidR="009864DB" w:rsidRPr="004D46AC" w:rsidRDefault="009864DB" w:rsidP="009864DB">
            <w:pPr>
              <w:spacing w:line="240" w:lineRule="auto"/>
              <w:ind w:firstLine="0"/>
            </w:pPr>
            <w:r w:rsidRPr="004D46AC">
              <w:t>NA</w:t>
            </w:r>
          </w:p>
        </w:tc>
      </w:tr>
      <w:tr w:rsidR="009864DB" w:rsidRPr="004D46AC" w14:paraId="20F5A87F" w14:textId="77777777" w:rsidTr="00B518F1">
        <w:tc>
          <w:tcPr>
            <w:tcW w:w="1476" w:type="dxa"/>
          </w:tcPr>
          <w:p w14:paraId="7AA9D5BA"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AuthorYear="1"&gt;&lt;Author&gt;Frye&lt;/Author&gt;&lt;Year&gt;2015&lt;/Year&gt;&lt;RecNum&gt;36&lt;/RecNum&gt;&lt;DisplayText&gt;Frye et al. (2015)&lt;/DisplayText&gt;&lt;record&gt;&lt;rec-number&gt;36&lt;/rec-number&gt;&lt;foreign-keys&gt;&lt;key app="EN" db-id="aet009sstawa0hewvt3xwf5atffdw2dt02sw" timestamp="1664867584"&gt;36&lt;/key&gt;&lt;/foreign-keys&gt;&lt;ref-type name="Journal Article"&gt;17&lt;/ref-type&gt;&lt;contributors&gt;&lt;authors&gt;&lt;author&gt;Frye, M. A.&lt;/author&gt;&lt;author&gt;McElroy, S. L.&lt;/author&gt;&lt;author&gt;Fuentes, M.&lt;/author&gt;&lt;author&gt;Sutor, B.&lt;/author&gt;&lt;author&gt;Schak, K. M.&lt;/author&gt;&lt;author&gt;Galardy, C. W.&lt;/author&gt;&lt;author&gt;Palmer, B. A.&lt;/author&gt;&lt;author&gt;Prieto, M. L.&lt;/author&gt;&lt;author&gt;Kung, S.&lt;/author&gt;&lt;author&gt;Sola, C. L.&lt;/author&gt;&lt;author&gt;Ryu, E.&lt;/author&gt;&lt;author&gt;Veldic, M.&lt;/author&gt;&lt;author&gt;Geske, J.&lt;/author&gt;&lt;author&gt;Cuellar-Barboza, A.&lt;/author&gt;&lt;author&gt;Seymour, L. R.&lt;/author&gt;&lt;author&gt;Mori, N.&lt;/author&gt;&lt;author&gt;Crowe, S.&lt;/author&gt;&lt;author&gt;Rummans, T. A.&lt;/author&gt;&lt;author&gt;Biernacka, J. M.&lt;/author&gt;&lt;/authors&gt;&lt;/contributors&gt;&lt;auth-address&gt;Department of Psychiatry and Psychology, Mayo Clinic, 200 First St SW, Rochester, MN, 55905, USA, mfrye@mayo.edu.&lt;/auth-address&gt;&lt;titles&gt;&lt;title&gt;Development of a bipolar disorder biobank: differential phenotyping for subsequent biomarker analyses&lt;/title&gt;&lt;secondary-title&gt;Int J Bipolar Disord&lt;/secondary-title&gt;&lt;/titles&gt;&lt;periodical&gt;&lt;full-title&gt;Int J Bipolar Disord&lt;/full-title&gt;&lt;/periodical&gt;&lt;pages&gt;30&lt;/pages&gt;&lt;volume&gt;3&lt;/volume&gt;&lt;number&gt;1&lt;/number&gt;&lt;edition&gt;20150624&lt;/edition&gt;&lt;dates&gt;&lt;year&gt;2015&lt;/year&gt;&lt;pub-dates&gt;&lt;date&gt;Dec&lt;/date&gt;&lt;/pub-dates&gt;&lt;/dates&gt;&lt;isbn&gt;2194-7511 (Print)&amp;#xD;2194-7511 (Electronic)&amp;#xD;2194-7511 (Linking)&lt;/isbn&gt;&lt;accession-num&gt;26105627&lt;/accession-num&gt;&lt;urls&gt;&lt;related-urls&gt;&lt;url&gt;https://www.ncbi.nlm.nih.gov/pubmed/26105627&lt;/url&gt;&lt;/related-urls&gt;&lt;/urls&gt;&lt;custom2&gt;PMC4478187&lt;/custom2&gt;&lt;electronic-resource-num&gt;10.1186/s40345-015-0030-4&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Frye et al. (2015)</w:t>
            </w:r>
            <w:r w:rsidRPr="004D46AC">
              <w:fldChar w:fldCharType="end"/>
            </w:r>
          </w:p>
        </w:tc>
        <w:tc>
          <w:tcPr>
            <w:tcW w:w="754" w:type="dxa"/>
            <w:vAlign w:val="center"/>
          </w:tcPr>
          <w:p w14:paraId="6079415F" w14:textId="77777777" w:rsidR="009864DB" w:rsidRPr="004D46AC" w:rsidRDefault="009864DB" w:rsidP="009864DB">
            <w:pPr>
              <w:spacing w:line="240" w:lineRule="auto"/>
              <w:ind w:firstLine="0"/>
            </w:pPr>
            <w:r w:rsidRPr="004D46AC">
              <w:t>6</w:t>
            </w:r>
          </w:p>
        </w:tc>
        <w:tc>
          <w:tcPr>
            <w:tcW w:w="766" w:type="dxa"/>
            <w:vAlign w:val="center"/>
          </w:tcPr>
          <w:p w14:paraId="26CDBCA5" w14:textId="77777777" w:rsidR="009864DB" w:rsidRPr="004D46AC" w:rsidRDefault="009864DB" w:rsidP="009864DB">
            <w:pPr>
              <w:spacing w:line="240" w:lineRule="auto"/>
              <w:ind w:firstLine="0"/>
            </w:pPr>
            <w:r w:rsidRPr="004D46AC">
              <w:t>42.6</w:t>
            </w:r>
          </w:p>
        </w:tc>
        <w:tc>
          <w:tcPr>
            <w:tcW w:w="1096" w:type="dxa"/>
            <w:vAlign w:val="center"/>
          </w:tcPr>
          <w:p w14:paraId="3DCAC555" w14:textId="77777777" w:rsidR="009864DB" w:rsidRPr="004D46AC" w:rsidRDefault="009864DB" w:rsidP="009864DB">
            <w:pPr>
              <w:spacing w:line="240" w:lineRule="auto"/>
              <w:ind w:firstLine="0"/>
            </w:pPr>
            <w:r w:rsidRPr="004D46AC">
              <w:t>DSM4</w:t>
            </w:r>
          </w:p>
        </w:tc>
        <w:tc>
          <w:tcPr>
            <w:tcW w:w="1415" w:type="dxa"/>
            <w:vAlign w:val="center"/>
          </w:tcPr>
          <w:p w14:paraId="27011AFB" w14:textId="77777777" w:rsidR="009864DB" w:rsidRPr="004D46AC" w:rsidRDefault="009864DB" w:rsidP="009864DB">
            <w:pPr>
              <w:spacing w:line="240" w:lineRule="auto"/>
              <w:ind w:firstLine="0"/>
            </w:pPr>
            <w:r w:rsidRPr="004D46AC">
              <w:t>SCID</w:t>
            </w:r>
          </w:p>
        </w:tc>
        <w:tc>
          <w:tcPr>
            <w:tcW w:w="876" w:type="dxa"/>
            <w:vAlign w:val="center"/>
          </w:tcPr>
          <w:p w14:paraId="7074E580" w14:textId="77777777" w:rsidR="009864DB" w:rsidRPr="004D46AC" w:rsidRDefault="009864DB" w:rsidP="009864DB">
            <w:pPr>
              <w:spacing w:line="240" w:lineRule="auto"/>
              <w:ind w:firstLine="0"/>
            </w:pPr>
            <w:r w:rsidRPr="004D46AC">
              <w:t>1363</w:t>
            </w:r>
          </w:p>
        </w:tc>
        <w:tc>
          <w:tcPr>
            <w:tcW w:w="986" w:type="dxa"/>
            <w:vAlign w:val="center"/>
          </w:tcPr>
          <w:p w14:paraId="4F9542EE" w14:textId="77777777" w:rsidR="009864DB" w:rsidRPr="004D46AC" w:rsidRDefault="009864DB" w:rsidP="009864DB">
            <w:pPr>
              <w:spacing w:line="240" w:lineRule="auto"/>
              <w:ind w:firstLine="0"/>
            </w:pPr>
            <w:r w:rsidRPr="004D46AC">
              <w:t>2</w:t>
            </w:r>
          </w:p>
        </w:tc>
        <w:tc>
          <w:tcPr>
            <w:tcW w:w="751" w:type="dxa"/>
            <w:vAlign w:val="center"/>
          </w:tcPr>
          <w:p w14:paraId="2C357FCD" w14:textId="77777777" w:rsidR="009864DB" w:rsidRPr="004D46AC" w:rsidRDefault="009864DB" w:rsidP="009864DB">
            <w:pPr>
              <w:spacing w:line="240" w:lineRule="auto"/>
              <w:ind w:firstLine="0"/>
            </w:pPr>
            <w:r w:rsidRPr="004D46AC">
              <w:t>1</w:t>
            </w:r>
          </w:p>
        </w:tc>
        <w:tc>
          <w:tcPr>
            <w:tcW w:w="752" w:type="dxa"/>
            <w:vAlign w:val="center"/>
          </w:tcPr>
          <w:p w14:paraId="1B749F0F" w14:textId="77777777" w:rsidR="009864DB" w:rsidRPr="004D46AC" w:rsidRDefault="009864DB" w:rsidP="009864DB">
            <w:pPr>
              <w:spacing w:line="240" w:lineRule="auto"/>
              <w:ind w:firstLine="0"/>
            </w:pPr>
            <w:r w:rsidRPr="004D46AC">
              <w:t>2</w:t>
            </w:r>
          </w:p>
        </w:tc>
        <w:tc>
          <w:tcPr>
            <w:tcW w:w="1296" w:type="dxa"/>
          </w:tcPr>
          <w:p w14:paraId="6406D624" w14:textId="77777777" w:rsidR="009864DB" w:rsidRPr="004D46AC" w:rsidRDefault="009864DB" w:rsidP="009864DB">
            <w:pPr>
              <w:spacing w:line="240" w:lineRule="auto"/>
              <w:ind w:firstLine="0"/>
            </w:pPr>
            <w:r w:rsidRPr="004D46AC">
              <w:t>563</w:t>
            </w:r>
          </w:p>
        </w:tc>
        <w:tc>
          <w:tcPr>
            <w:tcW w:w="752" w:type="dxa"/>
            <w:vAlign w:val="center"/>
          </w:tcPr>
          <w:p w14:paraId="75521F28" w14:textId="77777777" w:rsidR="009864DB" w:rsidRPr="004D46AC" w:rsidRDefault="009864DB" w:rsidP="009864DB">
            <w:pPr>
              <w:spacing w:line="240" w:lineRule="auto"/>
              <w:ind w:firstLine="0"/>
            </w:pPr>
            <w:r w:rsidRPr="004D46AC">
              <w:t>NA</w:t>
            </w:r>
          </w:p>
        </w:tc>
        <w:tc>
          <w:tcPr>
            <w:tcW w:w="789" w:type="dxa"/>
            <w:gridSpan w:val="2"/>
            <w:vAlign w:val="center"/>
          </w:tcPr>
          <w:p w14:paraId="6A8239F0" w14:textId="77777777" w:rsidR="009864DB" w:rsidRPr="004D46AC" w:rsidRDefault="009864DB" w:rsidP="009864DB">
            <w:pPr>
              <w:spacing w:line="240" w:lineRule="auto"/>
              <w:ind w:firstLine="0"/>
            </w:pPr>
            <w:r w:rsidRPr="004D46AC">
              <w:t>NA</w:t>
            </w:r>
          </w:p>
        </w:tc>
      </w:tr>
      <w:tr w:rsidR="009864DB" w:rsidRPr="004D46AC" w14:paraId="6DD6EB6F" w14:textId="77777777" w:rsidTr="00B518F1">
        <w:tc>
          <w:tcPr>
            <w:tcW w:w="1476" w:type="dxa"/>
          </w:tcPr>
          <w:p w14:paraId="0B4DD0BA" w14:textId="77777777" w:rsidR="009864DB" w:rsidRPr="004D46AC" w:rsidRDefault="009864DB" w:rsidP="009864DB">
            <w:pPr>
              <w:spacing w:line="240" w:lineRule="auto"/>
              <w:ind w:firstLine="0"/>
            </w:pPr>
            <w:r w:rsidRPr="004D46AC">
              <w:fldChar w:fldCharType="begin">
                <w:fldData xml:space="preserve">PEVuZE5vdGU+PENpdGUgQXV0aG9yWWVhcj0iMSI+PEF1dGhvcj5MZXZ5PC9BdXRob3I+PFllYXI+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</w:fldData>
              </w:fldChar>
            </w:r>
            <w:r w:rsidRPr="004D46AC">
              <w:instrText xml:space="preserve"> ADDIN EN.CITE </w:instrText>
            </w:r>
            <w:r w:rsidRPr="004D46AC">
              <w:fldChar w:fldCharType="begin">
                <w:fldData xml:space="preserve">PEVuZE5vdGU+PENpdGUgQXV0aG9yWWVhcj0iMSI+PEF1dGhvcj5MZXZ5PC9BdXRob3I+PFllYXI+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</w:fldData>
              </w:fldChar>
            </w:r>
            <w:r w:rsidRPr="004D46AC">
              <w:instrText xml:space="preserve"> ADDIN EN.CITE.DATA </w:instrText>
            </w:r>
            <w:r w:rsidRPr="004D46AC">
              <w:fldChar w:fldCharType="end"/>
            </w:r>
            <w:r w:rsidRPr="004D46AC">
              <w:fldChar w:fldCharType="separate"/>
            </w:r>
            <w:r w:rsidRPr="004D46AC">
              <w:t>Levy et al. (2011)</w:t>
            </w:r>
            <w:r w:rsidRPr="004D46AC">
              <w:fldChar w:fldCharType="end"/>
            </w:r>
          </w:p>
        </w:tc>
        <w:tc>
          <w:tcPr>
            <w:tcW w:w="754" w:type="dxa"/>
            <w:vAlign w:val="center"/>
          </w:tcPr>
          <w:p w14:paraId="434D3913" w14:textId="77777777" w:rsidR="009864DB" w:rsidRPr="004D46AC" w:rsidRDefault="009864DB" w:rsidP="009864DB">
            <w:pPr>
              <w:spacing w:line="240" w:lineRule="auto"/>
              <w:ind w:firstLine="0"/>
            </w:pPr>
            <w:r w:rsidRPr="004D46AC">
              <w:t>6</w:t>
            </w:r>
          </w:p>
        </w:tc>
        <w:tc>
          <w:tcPr>
            <w:tcW w:w="766" w:type="dxa"/>
            <w:vAlign w:val="center"/>
          </w:tcPr>
          <w:p w14:paraId="04936F03" w14:textId="77777777" w:rsidR="009864DB" w:rsidRPr="004D46AC" w:rsidRDefault="009864DB" w:rsidP="009864DB">
            <w:pPr>
              <w:spacing w:line="240" w:lineRule="auto"/>
              <w:ind w:firstLine="0"/>
            </w:pPr>
            <w:r w:rsidRPr="004D46AC">
              <w:t>38.8</w:t>
            </w:r>
          </w:p>
        </w:tc>
        <w:tc>
          <w:tcPr>
            <w:tcW w:w="1096" w:type="dxa"/>
            <w:vAlign w:val="center"/>
          </w:tcPr>
          <w:p w14:paraId="27168927" w14:textId="77777777" w:rsidR="009864DB" w:rsidRPr="004D46AC" w:rsidRDefault="009864DB" w:rsidP="009864DB">
            <w:pPr>
              <w:spacing w:line="240" w:lineRule="auto"/>
              <w:ind w:firstLine="0"/>
            </w:pPr>
            <w:r w:rsidRPr="004D46AC">
              <w:t>DSM4</w:t>
            </w:r>
          </w:p>
        </w:tc>
        <w:tc>
          <w:tcPr>
            <w:tcW w:w="1415" w:type="dxa"/>
            <w:vAlign w:val="center"/>
          </w:tcPr>
          <w:p w14:paraId="26986673" w14:textId="77777777" w:rsidR="009864DB" w:rsidRPr="004D46AC" w:rsidRDefault="009864DB" w:rsidP="009864DB">
            <w:pPr>
              <w:spacing w:line="240" w:lineRule="auto"/>
              <w:ind w:firstLine="0"/>
            </w:pPr>
            <w:r w:rsidRPr="004D46AC">
              <w:t>SCID</w:t>
            </w:r>
          </w:p>
        </w:tc>
        <w:tc>
          <w:tcPr>
            <w:tcW w:w="876" w:type="dxa"/>
            <w:vAlign w:val="center"/>
          </w:tcPr>
          <w:p w14:paraId="3F9F15FB" w14:textId="77777777" w:rsidR="009864DB" w:rsidRPr="004D46AC" w:rsidRDefault="009864DB" w:rsidP="009864DB">
            <w:pPr>
              <w:spacing w:line="240" w:lineRule="auto"/>
              <w:ind w:firstLine="0"/>
            </w:pPr>
            <w:r w:rsidRPr="004D46AC">
              <w:t>82</w:t>
            </w:r>
          </w:p>
        </w:tc>
        <w:tc>
          <w:tcPr>
            <w:tcW w:w="986" w:type="dxa"/>
            <w:vAlign w:val="center"/>
          </w:tcPr>
          <w:p w14:paraId="551B0D9B" w14:textId="77777777" w:rsidR="009864DB" w:rsidRPr="004D46AC" w:rsidRDefault="009864DB" w:rsidP="009864DB">
            <w:pPr>
              <w:spacing w:line="240" w:lineRule="auto"/>
              <w:ind w:firstLine="0"/>
            </w:pPr>
            <w:r w:rsidRPr="004D46AC">
              <w:t>3</w:t>
            </w:r>
          </w:p>
        </w:tc>
        <w:tc>
          <w:tcPr>
            <w:tcW w:w="751" w:type="dxa"/>
            <w:vAlign w:val="center"/>
          </w:tcPr>
          <w:p w14:paraId="09E5E1D5" w14:textId="77777777" w:rsidR="009864DB" w:rsidRPr="004D46AC" w:rsidRDefault="009864DB" w:rsidP="009864DB">
            <w:pPr>
              <w:spacing w:line="240" w:lineRule="auto"/>
              <w:ind w:firstLine="0"/>
            </w:pPr>
            <w:r w:rsidRPr="004D46AC">
              <w:t>2</w:t>
            </w:r>
          </w:p>
        </w:tc>
        <w:tc>
          <w:tcPr>
            <w:tcW w:w="752" w:type="dxa"/>
            <w:vAlign w:val="center"/>
          </w:tcPr>
          <w:p w14:paraId="531558C8" w14:textId="77777777" w:rsidR="009864DB" w:rsidRPr="004D46AC" w:rsidRDefault="009864DB" w:rsidP="009864DB">
            <w:pPr>
              <w:spacing w:line="240" w:lineRule="auto"/>
              <w:ind w:firstLine="0"/>
            </w:pPr>
            <w:r w:rsidRPr="004D46AC">
              <w:t>0</w:t>
            </w:r>
          </w:p>
        </w:tc>
        <w:tc>
          <w:tcPr>
            <w:tcW w:w="1296" w:type="dxa"/>
          </w:tcPr>
          <w:p w14:paraId="74FBD788" w14:textId="77777777" w:rsidR="009864DB" w:rsidRPr="004D46AC" w:rsidRDefault="009864DB" w:rsidP="009864DB">
            <w:pPr>
              <w:spacing w:line="240" w:lineRule="auto"/>
              <w:ind w:firstLine="0"/>
            </w:pPr>
            <w:r w:rsidRPr="004D46AC">
              <w:t>39</w:t>
            </w:r>
          </w:p>
        </w:tc>
        <w:tc>
          <w:tcPr>
            <w:tcW w:w="752" w:type="dxa"/>
            <w:vAlign w:val="center"/>
          </w:tcPr>
          <w:p w14:paraId="7C88654D" w14:textId="77777777" w:rsidR="009864DB" w:rsidRPr="004D46AC" w:rsidRDefault="009864DB" w:rsidP="009864DB">
            <w:pPr>
              <w:spacing w:line="240" w:lineRule="auto"/>
              <w:ind w:firstLine="0"/>
            </w:pPr>
            <w:r w:rsidRPr="004D46AC">
              <w:t>NA</w:t>
            </w:r>
          </w:p>
        </w:tc>
        <w:tc>
          <w:tcPr>
            <w:tcW w:w="789" w:type="dxa"/>
            <w:gridSpan w:val="2"/>
            <w:vAlign w:val="center"/>
          </w:tcPr>
          <w:p w14:paraId="17A34691" w14:textId="77777777" w:rsidR="009864DB" w:rsidRPr="004D46AC" w:rsidRDefault="009864DB" w:rsidP="009864DB">
            <w:pPr>
              <w:spacing w:line="240" w:lineRule="auto"/>
              <w:ind w:firstLine="0"/>
            </w:pPr>
            <w:r w:rsidRPr="004D46AC">
              <w:t>NA</w:t>
            </w:r>
          </w:p>
        </w:tc>
      </w:tr>
      <w:tr w:rsidR="009864DB" w:rsidRPr="004D46AC" w14:paraId="740B91C2" w14:textId="77777777" w:rsidTr="00B518F1">
        <w:tc>
          <w:tcPr>
            <w:tcW w:w="1476" w:type="dxa"/>
          </w:tcPr>
          <w:p w14:paraId="6912FB75"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AuthorYear="1"&gt;&lt;Author&gt;Yildiz&lt;/Author&gt;&lt;Year&gt;2003&lt;/Year&gt;&lt;RecNum&gt;38&lt;/RecNum&gt;&lt;DisplayText&gt;Yildiz and Sachs (2003)&lt;/DisplayText&gt;&lt;record&gt;&lt;rec-number&gt;38&lt;/rec-number&gt;&lt;foreign-keys&gt;&lt;key app="EN" db-id="aet009sstawa0hewvt3xwf5atffdw2dt02sw" timestamp="1664870388"&gt;38&lt;/key&gt;&lt;/foreign-keys&gt;&lt;ref-type name="Journal Article"&gt;17&lt;/ref-type&gt;&lt;contributors&gt;&lt;authors&gt;&lt;author&gt;Yildiz, A.&lt;/author&gt;&lt;author&gt;Sachs, G. S.&lt;/author&gt;&lt;/authors&gt;&lt;/contributors&gt;&lt;auth-address&gt;Dokuz Eylul Medical School, Department of Psychiatry, Izmir, Turkey. agul_yildiz@hotmail.com&lt;/auth-address&gt;&lt;titles&gt;&lt;title&gt;Age onset of psychotic versus non-psychotic bipolar illness in men and in women&lt;/title&gt;&lt;secondary-title&gt;J Affect Disord&lt;/secondary-title&gt;&lt;/titles&gt;&lt;periodical&gt;&lt;full-title&gt;J Affect Disord&lt;/full-title&gt;&lt;/periodical&gt;&lt;pages&gt;197-201&lt;/pages&gt;&lt;volume&gt;74&lt;/volume&gt;&lt;number&gt;2&lt;/number&gt;&lt;keywords&gt;&lt;keyword&gt;Adult&lt;/keyword&gt;&lt;keyword&gt;Age Distribution&lt;/keyword&gt;&lt;keyword&gt;*Age of Onset&lt;/keyword&gt;&lt;keyword&gt;Bipolar Disorder/*epidemiology&lt;/keyword&gt;&lt;keyword&gt;Female&lt;/keyword&gt;&lt;keyword&gt;Humans&lt;/keyword&gt;&lt;keyword&gt;Incidence&lt;/keyword&gt;&lt;keyword&gt;Male&lt;/keyword&gt;&lt;keyword&gt;Psychotic Disorders/*epidemiology&lt;/keyword&gt;&lt;keyword&gt;Sex Distribution&lt;/keyword&gt;&lt;/keywords&gt;&lt;dates&gt;&lt;year&gt;2003&lt;/year&gt;&lt;pub-dates&gt;&lt;date&gt;Apr&lt;/date&gt;&lt;/pub-dates&gt;&lt;/dates&gt;&lt;isbn&gt;0165-0327 (Print)&amp;#xD;0165-0327 (Linking)&lt;/isbn&gt;&lt;accession-num&gt;12706522&lt;/accession-num&gt;&lt;urls&gt;&lt;related-urls&gt;&lt;url&gt;https://www.ncbi.nlm.nih.gov/pubmed/12706522&lt;/url&gt;&lt;/related-urls&gt;&lt;/urls&gt;&lt;electronic-resource-num&gt;10.1016/s0165-0327(02)00003-4&lt;/electronic-resource-num&gt;&lt;remote-database-name&gt;Medline&lt;/remote-database-name&gt;&lt;remote-database-provider&gt;NLM&lt;/remote-database-provider&gt;&lt;/record&gt;&lt;/Cite&gt;&lt;/EndNote&gt;</w:instrText>
            </w:r>
            <w:r w:rsidRPr="004D46AC">
              <w:fldChar w:fldCharType="separate"/>
            </w:r>
            <w:r w:rsidRPr="004D46AC">
              <w:t>Yildiz and Sachs (2003)</w:t>
            </w:r>
            <w:r w:rsidRPr="004D46AC">
              <w:fldChar w:fldCharType="end"/>
            </w:r>
          </w:p>
        </w:tc>
        <w:tc>
          <w:tcPr>
            <w:tcW w:w="754" w:type="dxa"/>
            <w:vAlign w:val="center"/>
          </w:tcPr>
          <w:p w14:paraId="18459458" w14:textId="77777777" w:rsidR="009864DB" w:rsidRPr="004D46AC" w:rsidRDefault="009864DB" w:rsidP="009864DB">
            <w:pPr>
              <w:spacing w:line="240" w:lineRule="auto"/>
              <w:ind w:firstLine="0"/>
            </w:pPr>
            <w:r w:rsidRPr="004D46AC">
              <w:t>5</w:t>
            </w:r>
          </w:p>
        </w:tc>
        <w:tc>
          <w:tcPr>
            <w:tcW w:w="766" w:type="dxa"/>
            <w:vAlign w:val="center"/>
          </w:tcPr>
          <w:p w14:paraId="4058A978" w14:textId="77777777" w:rsidR="009864DB" w:rsidRPr="004D46AC" w:rsidRDefault="009864DB" w:rsidP="009864DB">
            <w:pPr>
              <w:spacing w:line="240" w:lineRule="auto"/>
              <w:ind w:firstLine="0"/>
            </w:pPr>
            <w:r w:rsidRPr="004D46AC">
              <w:t>NA</w:t>
            </w:r>
          </w:p>
        </w:tc>
        <w:tc>
          <w:tcPr>
            <w:tcW w:w="1096" w:type="dxa"/>
            <w:vAlign w:val="center"/>
          </w:tcPr>
          <w:p w14:paraId="246A2E99" w14:textId="77777777" w:rsidR="009864DB" w:rsidRPr="004D46AC" w:rsidRDefault="009864DB" w:rsidP="009864DB">
            <w:pPr>
              <w:spacing w:line="240" w:lineRule="auto"/>
              <w:ind w:firstLine="0"/>
            </w:pPr>
            <w:r w:rsidRPr="004D46AC">
              <w:t>DSM4</w:t>
            </w:r>
          </w:p>
        </w:tc>
        <w:tc>
          <w:tcPr>
            <w:tcW w:w="1415" w:type="dxa"/>
            <w:vAlign w:val="center"/>
          </w:tcPr>
          <w:p w14:paraId="188A5A6F" w14:textId="77777777" w:rsidR="009864DB" w:rsidRPr="004D46AC" w:rsidRDefault="009864DB" w:rsidP="009864DB">
            <w:pPr>
              <w:spacing w:line="240" w:lineRule="auto"/>
              <w:ind w:firstLine="0"/>
            </w:pPr>
            <w:r w:rsidRPr="004D46AC">
              <w:t>SCID</w:t>
            </w:r>
          </w:p>
        </w:tc>
        <w:tc>
          <w:tcPr>
            <w:tcW w:w="876" w:type="dxa"/>
            <w:vAlign w:val="center"/>
          </w:tcPr>
          <w:p w14:paraId="0EBC064E" w14:textId="77777777" w:rsidR="009864DB" w:rsidRPr="004D46AC" w:rsidRDefault="009864DB" w:rsidP="009864DB">
            <w:pPr>
              <w:spacing w:line="240" w:lineRule="auto"/>
              <w:ind w:firstLine="0"/>
            </w:pPr>
            <w:r w:rsidRPr="004D46AC">
              <w:t>328</w:t>
            </w:r>
          </w:p>
        </w:tc>
        <w:tc>
          <w:tcPr>
            <w:tcW w:w="986" w:type="dxa"/>
            <w:vAlign w:val="center"/>
          </w:tcPr>
          <w:p w14:paraId="5E4A97BB" w14:textId="77777777" w:rsidR="009864DB" w:rsidRPr="004D46AC" w:rsidRDefault="009864DB" w:rsidP="009864DB">
            <w:pPr>
              <w:spacing w:line="240" w:lineRule="auto"/>
              <w:ind w:firstLine="0"/>
            </w:pPr>
            <w:r w:rsidRPr="004D46AC">
              <w:t>1</w:t>
            </w:r>
          </w:p>
        </w:tc>
        <w:tc>
          <w:tcPr>
            <w:tcW w:w="751" w:type="dxa"/>
            <w:vAlign w:val="center"/>
          </w:tcPr>
          <w:p w14:paraId="6EABC004" w14:textId="77777777" w:rsidR="009864DB" w:rsidRPr="004D46AC" w:rsidRDefault="009864DB" w:rsidP="009864DB">
            <w:pPr>
              <w:spacing w:line="240" w:lineRule="auto"/>
              <w:ind w:firstLine="0"/>
            </w:pPr>
            <w:r w:rsidRPr="004D46AC">
              <w:t>1</w:t>
            </w:r>
          </w:p>
        </w:tc>
        <w:tc>
          <w:tcPr>
            <w:tcW w:w="752" w:type="dxa"/>
            <w:vAlign w:val="center"/>
          </w:tcPr>
          <w:p w14:paraId="4DF2468C" w14:textId="77777777" w:rsidR="009864DB" w:rsidRPr="004D46AC" w:rsidRDefault="009864DB" w:rsidP="009864DB">
            <w:pPr>
              <w:spacing w:line="240" w:lineRule="auto"/>
              <w:ind w:firstLine="0"/>
            </w:pPr>
            <w:r w:rsidRPr="004D46AC">
              <w:t>2</w:t>
            </w:r>
          </w:p>
        </w:tc>
        <w:tc>
          <w:tcPr>
            <w:tcW w:w="1296" w:type="dxa"/>
            <w:vAlign w:val="center"/>
          </w:tcPr>
          <w:p w14:paraId="628954AE" w14:textId="77777777" w:rsidR="009864DB" w:rsidRPr="004D46AC" w:rsidRDefault="009864DB" w:rsidP="009864DB">
            <w:pPr>
              <w:spacing w:line="240" w:lineRule="auto"/>
              <w:ind w:firstLine="0"/>
            </w:pPr>
            <w:r w:rsidRPr="004D46AC">
              <w:t>138</w:t>
            </w:r>
          </w:p>
        </w:tc>
        <w:tc>
          <w:tcPr>
            <w:tcW w:w="752" w:type="dxa"/>
            <w:vAlign w:val="center"/>
          </w:tcPr>
          <w:p w14:paraId="49827FA9" w14:textId="77777777" w:rsidR="009864DB" w:rsidRPr="004D46AC" w:rsidRDefault="009864DB" w:rsidP="009864DB">
            <w:pPr>
              <w:spacing w:line="240" w:lineRule="auto"/>
              <w:ind w:firstLine="0"/>
            </w:pPr>
            <w:r w:rsidRPr="004D46AC">
              <w:t>NA</w:t>
            </w:r>
          </w:p>
        </w:tc>
        <w:tc>
          <w:tcPr>
            <w:tcW w:w="789" w:type="dxa"/>
            <w:gridSpan w:val="2"/>
            <w:vAlign w:val="center"/>
          </w:tcPr>
          <w:p w14:paraId="2E68582D" w14:textId="77777777" w:rsidR="009864DB" w:rsidRPr="004D46AC" w:rsidRDefault="009864DB" w:rsidP="009864DB">
            <w:pPr>
              <w:spacing w:line="240" w:lineRule="auto"/>
              <w:ind w:firstLine="0"/>
            </w:pPr>
            <w:r w:rsidRPr="004D46AC">
              <w:t>NA</w:t>
            </w:r>
          </w:p>
        </w:tc>
      </w:tr>
      <w:tr w:rsidR="009864DB" w:rsidRPr="004D46AC" w14:paraId="17B1603F" w14:textId="77777777" w:rsidTr="00B518F1">
        <w:tc>
          <w:tcPr>
            <w:tcW w:w="1476" w:type="dxa"/>
          </w:tcPr>
          <w:p w14:paraId="7AE3B064" w14:textId="77777777" w:rsidR="009864DB" w:rsidRPr="004D46AC" w:rsidRDefault="009864DB" w:rsidP="009864DB">
            <w:pPr>
              <w:spacing w:line="240" w:lineRule="auto"/>
              <w:ind w:firstLine="0"/>
            </w:pPr>
            <w:r w:rsidRPr="004D46AC">
              <w:lastRenderedPageBreak/>
              <w:fldChar w:fldCharType="begin">
                <w:fldData xml:space="preserve">PEVuZE5vdGU+PENpdGUgQXV0aG9yWWVhcj0iMSI+PEF1dGhvcj5GaW5zZXRoPC9BdXRob3I+PFll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</w:fldData>
              </w:fldChar>
            </w:r>
            <w:r w:rsidRPr="004D46AC">
              <w:instrText xml:space="preserve"> ADDIN EN.CITE </w:instrText>
            </w:r>
            <w:r w:rsidRPr="004D46AC">
              <w:fldChar w:fldCharType="begin">
                <w:fldData xml:space="preserve">PEVuZE5vdGU+PENpdGUgQXV0aG9yWWVhcj0iMSI+PEF1dGhvcj5GaW5zZXRoPC9BdXRob3I+PFll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</w:fldData>
              </w:fldChar>
            </w:r>
            <w:r w:rsidRPr="004D46AC">
              <w:instrText xml:space="preserve"> ADDIN EN.CITE.DATA </w:instrText>
            </w:r>
            <w:r w:rsidRPr="004D46AC">
              <w:fldChar w:fldCharType="end"/>
            </w:r>
            <w:r w:rsidRPr="004D46AC">
              <w:fldChar w:fldCharType="separate"/>
            </w:r>
            <w:r w:rsidRPr="004D46AC">
              <w:t>Finseth et al. (2012)</w:t>
            </w:r>
            <w:r w:rsidRPr="004D46AC">
              <w:fldChar w:fldCharType="end"/>
            </w:r>
          </w:p>
        </w:tc>
        <w:tc>
          <w:tcPr>
            <w:tcW w:w="754" w:type="dxa"/>
            <w:vAlign w:val="center"/>
          </w:tcPr>
          <w:p w14:paraId="0BF2E258" w14:textId="77777777" w:rsidR="009864DB" w:rsidRPr="004D46AC" w:rsidRDefault="009864DB" w:rsidP="009864DB">
            <w:pPr>
              <w:spacing w:line="240" w:lineRule="auto"/>
              <w:ind w:firstLine="0"/>
            </w:pPr>
            <w:r w:rsidRPr="004D46AC">
              <w:t>7</w:t>
            </w:r>
          </w:p>
        </w:tc>
        <w:tc>
          <w:tcPr>
            <w:tcW w:w="766" w:type="dxa"/>
            <w:vAlign w:val="center"/>
          </w:tcPr>
          <w:p w14:paraId="7FE200BD" w14:textId="77777777" w:rsidR="009864DB" w:rsidRPr="004D46AC" w:rsidRDefault="009864DB" w:rsidP="009864DB">
            <w:pPr>
              <w:spacing w:line="240" w:lineRule="auto"/>
              <w:ind w:firstLine="0"/>
            </w:pPr>
            <w:r w:rsidRPr="004D46AC">
              <w:t>42.2</w:t>
            </w:r>
          </w:p>
        </w:tc>
        <w:tc>
          <w:tcPr>
            <w:tcW w:w="1096" w:type="dxa"/>
            <w:vAlign w:val="center"/>
          </w:tcPr>
          <w:p w14:paraId="1C434A66" w14:textId="77777777" w:rsidR="009864DB" w:rsidRPr="004D46AC" w:rsidRDefault="009864DB" w:rsidP="009864DB">
            <w:pPr>
              <w:spacing w:line="240" w:lineRule="auto"/>
              <w:ind w:firstLine="0"/>
            </w:pPr>
            <w:r w:rsidRPr="004D46AC">
              <w:t>DSM4</w:t>
            </w:r>
          </w:p>
        </w:tc>
        <w:tc>
          <w:tcPr>
            <w:tcW w:w="1415" w:type="dxa"/>
            <w:vAlign w:val="center"/>
          </w:tcPr>
          <w:p w14:paraId="5C89E8B8" w14:textId="77777777" w:rsidR="009864DB" w:rsidRPr="004D46AC" w:rsidRDefault="009864DB" w:rsidP="009864DB">
            <w:pPr>
              <w:spacing w:line="240" w:lineRule="auto"/>
              <w:ind w:firstLine="0"/>
            </w:pPr>
            <w:r w:rsidRPr="004D46AC">
              <w:t>SCID</w:t>
            </w:r>
          </w:p>
        </w:tc>
        <w:tc>
          <w:tcPr>
            <w:tcW w:w="876" w:type="dxa"/>
            <w:vAlign w:val="center"/>
          </w:tcPr>
          <w:p w14:paraId="31B1C77E" w14:textId="77777777" w:rsidR="009864DB" w:rsidRPr="004D46AC" w:rsidRDefault="009864DB" w:rsidP="009864DB">
            <w:pPr>
              <w:spacing w:line="240" w:lineRule="auto"/>
              <w:ind w:firstLine="0"/>
            </w:pPr>
            <w:r w:rsidRPr="004D46AC">
              <w:t>206</w:t>
            </w:r>
          </w:p>
        </w:tc>
        <w:tc>
          <w:tcPr>
            <w:tcW w:w="986" w:type="dxa"/>
            <w:vAlign w:val="center"/>
          </w:tcPr>
          <w:p w14:paraId="0C3EEECA" w14:textId="77777777" w:rsidR="009864DB" w:rsidRPr="004D46AC" w:rsidRDefault="009864DB" w:rsidP="009864DB">
            <w:pPr>
              <w:spacing w:line="240" w:lineRule="auto"/>
              <w:ind w:firstLine="0"/>
            </w:pPr>
            <w:r w:rsidRPr="004D46AC">
              <w:t>3</w:t>
            </w:r>
          </w:p>
        </w:tc>
        <w:tc>
          <w:tcPr>
            <w:tcW w:w="751" w:type="dxa"/>
            <w:vAlign w:val="center"/>
          </w:tcPr>
          <w:p w14:paraId="655B6FD5" w14:textId="77777777" w:rsidR="009864DB" w:rsidRPr="004D46AC" w:rsidRDefault="009864DB" w:rsidP="009864DB">
            <w:pPr>
              <w:spacing w:line="240" w:lineRule="auto"/>
              <w:ind w:firstLine="0"/>
            </w:pPr>
            <w:r w:rsidRPr="004D46AC">
              <w:t>1</w:t>
            </w:r>
          </w:p>
        </w:tc>
        <w:tc>
          <w:tcPr>
            <w:tcW w:w="752" w:type="dxa"/>
            <w:vAlign w:val="center"/>
          </w:tcPr>
          <w:p w14:paraId="7FDE1DE9" w14:textId="77777777" w:rsidR="009864DB" w:rsidRPr="004D46AC" w:rsidRDefault="009864DB" w:rsidP="009864DB">
            <w:pPr>
              <w:spacing w:line="240" w:lineRule="auto"/>
              <w:ind w:firstLine="0"/>
            </w:pPr>
            <w:r w:rsidRPr="004D46AC">
              <w:t>2</w:t>
            </w:r>
          </w:p>
        </w:tc>
        <w:tc>
          <w:tcPr>
            <w:tcW w:w="1296" w:type="dxa"/>
            <w:vAlign w:val="center"/>
          </w:tcPr>
          <w:p w14:paraId="072E6431" w14:textId="77777777" w:rsidR="009864DB" w:rsidRPr="004D46AC" w:rsidRDefault="009864DB" w:rsidP="009864DB">
            <w:pPr>
              <w:spacing w:line="240" w:lineRule="auto"/>
              <w:ind w:firstLine="0"/>
            </w:pPr>
            <w:r w:rsidRPr="004D46AC">
              <w:t>96</w:t>
            </w:r>
          </w:p>
        </w:tc>
        <w:tc>
          <w:tcPr>
            <w:tcW w:w="752" w:type="dxa"/>
            <w:vAlign w:val="center"/>
          </w:tcPr>
          <w:p w14:paraId="19C658AF" w14:textId="77777777" w:rsidR="009864DB" w:rsidRPr="004D46AC" w:rsidRDefault="009864DB" w:rsidP="009864DB">
            <w:pPr>
              <w:spacing w:line="240" w:lineRule="auto"/>
              <w:ind w:firstLine="0"/>
            </w:pPr>
            <w:r w:rsidRPr="004D46AC">
              <w:t>NA</w:t>
            </w:r>
          </w:p>
        </w:tc>
        <w:tc>
          <w:tcPr>
            <w:tcW w:w="789" w:type="dxa"/>
            <w:gridSpan w:val="2"/>
            <w:vAlign w:val="center"/>
          </w:tcPr>
          <w:p w14:paraId="694503D8" w14:textId="77777777" w:rsidR="009864DB" w:rsidRPr="004D46AC" w:rsidRDefault="009864DB" w:rsidP="009864DB">
            <w:pPr>
              <w:spacing w:line="240" w:lineRule="auto"/>
              <w:ind w:firstLine="0"/>
            </w:pPr>
            <w:r w:rsidRPr="004D46AC">
              <w:t>NA</w:t>
            </w:r>
          </w:p>
        </w:tc>
      </w:tr>
      <w:tr w:rsidR="009864DB" w:rsidRPr="004D46AC" w14:paraId="546C69CD" w14:textId="77777777" w:rsidTr="00B518F1">
        <w:tc>
          <w:tcPr>
            <w:tcW w:w="1476" w:type="dxa"/>
          </w:tcPr>
          <w:p w14:paraId="0AC5FE26"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AuthorYear="1"&gt;&lt;Author&gt;Ernst&lt;/Author&gt;&lt;Year&gt;2004&lt;/Year&gt;&lt;RecNum&gt;40&lt;/RecNum&gt;&lt;DisplayText&gt;Ernst and Goldberg (2004)&lt;/DisplayText&gt;&lt;record&gt;&lt;rec-number&gt;40&lt;/rec-number&gt;&lt;foreign-keys&gt;&lt;key app="EN" db-id="aet009sstawa0hewvt3xwf5atffdw2dt02sw" timestamp="1665041644"&gt;40&lt;/key&gt;&lt;/foreign-keys&gt;&lt;ref-type name="Journal Article"&gt;17&lt;/ref-type&gt;&lt;contributors&gt;&lt;authors&gt;&lt;author&gt;Ernst, C. L.&lt;/author&gt;&lt;author&gt;Goldberg, J. F.&lt;/author&gt;&lt;/authors&gt;&lt;/contributors&gt;&lt;auth-address&gt;Department of Psychiatry, Cambridge Hospital, Harvard Medical School, Cambridge, MA, USA.&lt;/auth-address&gt;&lt;titles&gt;&lt;title&gt;Clinical features related to age at onset in bipolar disorder&lt;/title&gt;&lt;secondary-title&gt;J Affect Disord&lt;/secondary-title&gt;&lt;/titles&gt;&lt;periodical&gt;&lt;full-title&gt;J Affect Disord&lt;/full-title&gt;&lt;/periodical&gt;&lt;pages&gt;21-7&lt;/pages&gt;&lt;volume&gt;82&lt;/volume&gt;&lt;number&gt;1&lt;/number&gt;&lt;keywords&gt;&lt;keyword&gt;Adult&lt;/keyword&gt;&lt;keyword&gt;Age of Onset&lt;/keyword&gt;&lt;keyword&gt;Bipolar Disorder/complications/*psychology&lt;/keyword&gt;&lt;keyword&gt;Comorbidity&lt;/keyword&gt;&lt;keyword&gt;Female&lt;/keyword&gt;&lt;keyword&gt;Humans&lt;/keyword&gt;&lt;keyword&gt;Male&lt;/keyword&gt;&lt;keyword&gt;Middle Aged&lt;/keyword&gt;&lt;keyword&gt;Periodicity&lt;/keyword&gt;&lt;keyword&gt;Prognosis&lt;/keyword&gt;&lt;keyword&gt;Recurrence&lt;/keyword&gt;&lt;keyword&gt;Retrospective Studies&lt;/keyword&gt;&lt;keyword&gt;Substance-Related Disorders/*etiology&lt;/keyword&gt;&lt;/keywords&gt;&lt;dates&gt;&lt;year&gt;2004&lt;/year&gt;&lt;pub-dates&gt;&lt;date&gt;Oct 1&lt;/date&gt;&lt;/pub-dates&gt;&lt;/dates&gt;&lt;isbn&gt;0165-0327 (Print)&amp;#xD;0165-0327 (Linking)&lt;/isbn&gt;&lt;accession-num&gt;15465573&lt;/accession-num&gt;&lt;urls&gt;&lt;related-urls&gt;&lt;url&gt;https://www.ncbi.nlm.nih.gov/pubmed/15465573&lt;/url&gt;&lt;/related-urls&gt;&lt;/urls&gt;&lt;electronic-resource-num&gt;10.1016/j.jad.2003.10.002&lt;/electronic-resource-num&gt;&lt;remote-database-name&gt;Medline&lt;/remote-database-name&gt;&lt;remote-database-provider&gt;NLM&lt;/remote-database-provider&gt;&lt;language&gt;eng&lt;/language&gt;&lt;/record&gt;&lt;/Cite&gt;&lt;/EndNote&gt;</w:instrText>
            </w:r>
            <w:r w:rsidRPr="004D46AC">
              <w:fldChar w:fldCharType="separate"/>
            </w:r>
            <w:r w:rsidRPr="004D46AC">
              <w:t>Ernst and Goldberg (2004)</w:t>
            </w:r>
            <w:r w:rsidRPr="004D46AC">
              <w:fldChar w:fldCharType="end"/>
            </w:r>
          </w:p>
        </w:tc>
        <w:tc>
          <w:tcPr>
            <w:tcW w:w="754" w:type="dxa"/>
            <w:vAlign w:val="center"/>
          </w:tcPr>
          <w:p w14:paraId="68B3A030" w14:textId="77777777" w:rsidR="009864DB" w:rsidRPr="004D46AC" w:rsidRDefault="009864DB" w:rsidP="009864DB">
            <w:pPr>
              <w:spacing w:line="240" w:lineRule="auto"/>
              <w:ind w:firstLine="0"/>
            </w:pPr>
            <w:r w:rsidRPr="004D46AC">
              <w:t>5</w:t>
            </w:r>
          </w:p>
        </w:tc>
        <w:tc>
          <w:tcPr>
            <w:tcW w:w="766" w:type="dxa"/>
            <w:vAlign w:val="center"/>
          </w:tcPr>
          <w:p w14:paraId="4E154DF8" w14:textId="77777777" w:rsidR="009864DB" w:rsidRPr="004D46AC" w:rsidRDefault="009864DB" w:rsidP="009864DB">
            <w:pPr>
              <w:spacing w:line="240" w:lineRule="auto"/>
              <w:ind w:firstLine="0"/>
            </w:pPr>
            <w:r w:rsidRPr="004D46AC">
              <w:t>40.8</w:t>
            </w:r>
          </w:p>
        </w:tc>
        <w:tc>
          <w:tcPr>
            <w:tcW w:w="1096" w:type="dxa"/>
            <w:vAlign w:val="center"/>
          </w:tcPr>
          <w:p w14:paraId="225CF897" w14:textId="77777777" w:rsidR="009864DB" w:rsidRPr="004D46AC" w:rsidRDefault="009864DB" w:rsidP="009864DB">
            <w:pPr>
              <w:spacing w:line="240" w:lineRule="auto"/>
              <w:ind w:firstLine="0"/>
            </w:pPr>
            <w:r w:rsidRPr="004D46AC">
              <w:t>DSM4</w:t>
            </w:r>
          </w:p>
        </w:tc>
        <w:tc>
          <w:tcPr>
            <w:tcW w:w="1415" w:type="dxa"/>
            <w:vAlign w:val="center"/>
          </w:tcPr>
          <w:p w14:paraId="63B975FF" w14:textId="77777777" w:rsidR="009864DB" w:rsidRPr="004D46AC" w:rsidRDefault="009864DB" w:rsidP="009864DB">
            <w:pPr>
              <w:spacing w:line="240" w:lineRule="auto"/>
              <w:ind w:firstLine="0"/>
            </w:pPr>
            <w:r w:rsidRPr="004D46AC">
              <w:t>SCID</w:t>
            </w:r>
          </w:p>
        </w:tc>
        <w:tc>
          <w:tcPr>
            <w:tcW w:w="876" w:type="dxa"/>
            <w:vAlign w:val="center"/>
          </w:tcPr>
          <w:p w14:paraId="5CF099DE" w14:textId="77777777" w:rsidR="009864DB" w:rsidRPr="004D46AC" w:rsidRDefault="009864DB" w:rsidP="009864DB">
            <w:pPr>
              <w:spacing w:line="240" w:lineRule="auto"/>
              <w:ind w:firstLine="0"/>
            </w:pPr>
            <w:r w:rsidRPr="004D46AC">
              <w:t>43</w:t>
            </w:r>
          </w:p>
        </w:tc>
        <w:tc>
          <w:tcPr>
            <w:tcW w:w="986" w:type="dxa"/>
            <w:vAlign w:val="center"/>
          </w:tcPr>
          <w:p w14:paraId="154BB883" w14:textId="77777777" w:rsidR="009864DB" w:rsidRPr="004D46AC" w:rsidRDefault="009864DB" w:rsidP="009864DB">
            <w:pPr>
              <w:spacing w:line="240" w:lineRule="auto"/>
              <w:ind w:firstLine="0"/>
            </w:pPr>
            <w:r w:rsidRPr="004D46AC">
              <w:t>unclear</w:t>
            </w:r>
          </w:p>
        </w:tc>
        <w:tc>
          <w:tcPr>
            <w:tcW w:w="751" w:type="dxa"/>
            <w:vAlign w:val="center"/>
          </w:tcPr>
          <w:p w14:paraId="14F22B6C" w14:textId="77777777" w:rsidR="009864DB" w:rsidRPr="004D46AC" w:rsidRDefault="009864DB" w:rsidP="009864DB">
            <w:pPr>
              <w:spacing w:line="240" w:lineRule="auto"/>
              <w:ind w:firstLine="0"/>
            </w:pPr>
            <w:r w:rsidRPr="004D46AC">
              <w:t>1</w:t>
            </w:r>
          </w:p>
        </w:tc>
        <w:tc>
          <w:tcPr>
            <w:tcW w:w="752" w:type="dxa"/>
            <w:vAlign w:val="center"/>
          </w:tcPr>
          <w:p w14:paraId="297879B2" w14:textId="77777777" w:rsidR="009864DB" w:rsidRPr="004D46AC" w:rsidRDefault="009864DB" w:rsidP="009864DB">
            <w:pPr>
              <w:spacing w:line="240" w:lineRule="auto"/>
              <w:ind w:firstLine="0"/>
            </w:pPr>
            <w:r w:rsidRPr="004D46AC">
              <w:t>2</w:t>
            </w:r>
          </w:p>
        </w:tc>
        <w:tc>
          <w:tcPr>
            <w:tcW w:w="1296" w:type="dxa"/>
            <w:vAlign w:val="center"/>
          </w:tcPr>
          <w:p w14:paraId="0DE162A1" w14:textId="77777777" w:rsidR="009864DB" w:rsidRPr="004D46AC" w:rsidRDefault="009864DB" w:rsidP="009864DB">
            <w:pPr>
              <w:spacing w:line="240" w:lineRule="auto"/>
              <w:ind w:firstLine="0"/>
            </w:pPr>
            <w:r w:rsidRPr="004D46AC">
              <w:t>38</w:t>
            </w:r>
          </w:p>
        </w:tc>
        <w:tc>
          <w:tcPr>
            <w:tcW w:w="752" w:type="dxa"/>
            <w:vAlign w:val="center"/>
          </w:tcPr>
          <w:p w14:paraId="1A918079" w14:textId="77777777" w:rsidR="009864DB" w:rsidRPr="004D46AC" w:rsidRDefault="009864DB" w:rsidP="009864DB">
            <w:pPr>
              <w:spacing w:line="240" w:lineRule="auto"/>
              <w:ind w:firstLine="0"/>
            </w:pPr>
            <w:r w:rsidRPr="004D46AC">
              <w:t>NA</w:t>
            </w:r>
          </w:p>
        </w:tc>
        <w:tc>
          <w:tcPr>
            <w:tcW w:w="789" w:type="dxa"/>
            <w:gridSpan w:val="2"/>
            <w:vAlign w:val="center"/>
          </w:tcPr>
          <w:p w14:paraId="5AFA6E75" w14:textId="77777777" w:rsidR="009864DB" w:rsidRPr="004D46AC" w:rsidRDefault="009864DB" w:rsidP="009864DB">
            <w:pPr>
              <w:spacing w:line="240" w:lineRule="auto"/>
              <w:ind w:firstLine="0"/>
            </w:pPr>
            <w:r w:rsidRPr="004D46AC">
              <w:t>NA</w:t>
            </w:r>
          </w:p>
        </w:tc>
      </w:tr>
      <w:tr w:rsidR="009864DB" w:rsidRPr="004D46AC" w14:paraId="624D3420" w14:textId="77777777" w:rsidTr="00B518F1">
        <w:tc>
          <w:tcPr>
            <w:tcW w:w="1476" w:type="dxa"/>
          </w:tcPr>
          <w:p w14:paraId="5E23BB82" w14:textId="77777777" w:rsidR="009864DB" w:rsidRPr="004D46AC" w:rsidRDefault="009864DB" w:rsidP="009864DB">
            <w:pPr>
              <w:spacing w:line="240" w:lineRule="auto"/>
              <w:ind w:firstLine="0"/>
            </w:pPr>
            <w:r w:rsidRPr="004D46AC">
              <w:fldChar w:fldCharType="begin">
                <w:fldData xml:space="preserve">PEVuZE5vdGU+PENpdGUgQXV0aG9yWWVhcj0iMSI+PEF1dGhvcj5OZXJ5PC9BdXRob3I+PFllYXI+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</w:fldData>
              </w:fldChar>
            </w:r>
            <w:r w:rsidRPr="004D46AC">
              <w:instrText xml:space="preserve"> ADDIN EN.CITE </w:instrText>
            </w:r>
            <w:r w:rsidRPr="004D46AC">
              <w:fldChar w:fldCharType="begin">
                <w:fldData xml:space="preserve">PEVuZE5vdGU+PENpdGUgQXV0aG9yWWVhcj0iMSI+PEF1dGhvcj5OZXJ5PC9BdXRob3I+PFllYXI+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</w:fldData>
              </w:fldChar>
            </w:r>
            <w:r w:rsidRPr="004D46AC">
              <w:instrText xml:space="preserve"> ADDIN EN.CITE.DATA </w:instrText>
            </w:r>
            <w:r w:rsidRPr="004D46AC">
              <w:fldChar w:fldCharType="end"/>
            </w:r>
            <w:r w:rsidRPr="004D46AC">
              <w:fldChar w:fldCharType="separate"/>
            </w:r>
            <w:r w:rsidRPr="004D46AC">
              <w:t>Nery et al. (2014)</w:t>
            </w:r>
            <w:r w:rsidRPr="004D46AC">
              <w:fldChar w:fldCharType="end"/>
            </w:r>
          </w:p>
        </w:tc>
        <w:tc>
          <w:tcPr>
            <w:tcW w:w="754" w:type="dxa"/>
            <w:vAlign w:val="center"/>
          </w:tcPr>
          <w:p w14:paraId="1BDD427F" w14:textId="77777777" w:rsidR="009864DB" w:rsidRPr="004D46AC" w:rsidRDefault="009864DB" w:rsidP="009864DB">
            <w:pPr>
              <w:spacing w:line="240" w:lineRule="auto"/>
              <w:ind w:firstLine="0"/>
            </w:pPr>
            <w:r w:rsidRPr="004D46AC">
              <w:t>8</w:t>
            </w:r>
          </w:p>
        </w:tc>
        <w:tc>
          <w:tcPr>
            <w:tcW w:w="766" w:type="dxa"/>
            <w:vAlign w:val="center"/>
          </w:tcPr>
          <w:p w14:paraId="124CB491" w14:textId="77777777" w:rsidR="009864DB" w:rsidRPr="004D46AC" w:rsidRDefault="009864DB" w:rsidP="009864DB">
            <w:pPr>
              <w:spacing w:line="240" w:lineRule="auto"/>
              <w:ind w:firstLine="0"/>
            </w:pPr>
            <w:r w:rsidRPr="004D46AC">
              <w:t>40.6</w:t>
            </w:r>
          </w:p>
        </w:tc>
        <w:tc>
          <w:tcPr>
            <w:tcW w:w="1096" w:type="dxa"/>
            <w:vAlign w:val="center"/>
          </w:tcPr>
          <w:p w14:paraId="23B7DB85" w14:textId="77777777" w:rsidR="009864DB" w:rsidRPr="004D46AC" w:rsidRDefault="009864DB" w:rsidP="009864DB">
            <w:pPr>
              <w:spacing w:line="240" w:lineRule="auto"/>
              <w:ind w:firstLine="0"/>
            </w:pPr>
            <w:r w:rsidRPr="004D46AC">
              <w:t>DSM4</w:t>
            </w:r>
          </w:p>
        </w:tc>
        <w:tc>
          <w:tcPr>
            <w:tcW w:w="1415" w:type="dxa"/>
            <w:vAlign w:val="center"/>
          </w:tcPr>
          <w:p w14:paraId="5F6D43AC" w14:textId="77777777" w:rsidR="009864DB" w:rsidRPr="004D46AC" w:rsidRDefault="009864DB" w:rsidP="009864DB">
            <w:pPr>
              <w:spacing w:line="240" w:lineRule="auto"/>
              <w:ind w:firstLine="0"/>
            </w:pPr>
            <w:r w:rsidRPr="004D46AC">
              <w:t>SCID</w:t>
            </w:r>
          </w:p>
        </w:tc>
        <w:tc>
          <w:tcPr>
            <w:tcW w:w="876" w:type="dxa"/>
            <w:vAlign w:val="center"/>
          </w:tcPr>
          <w:p w14:paraId="7DCA0CD3" w14:textId="77777777" w:rsidR="009864DB" w:rsidRPr="004D46AC" w:rsidRDefault="009864DB" w:rsidP="009864DB">
            <w:pPr>
              <w:spacing w:line="240" w:lineRule="auto"/>
              <w:ind w:firstLine="0"/>
            </w:pPr>
            <w:r w:rsidRPr="004D46AC">
              <w:t>483</w:t>
            </w:r>
          </w:p>
        </w:tc>
        <w:tc>
          <w:tcPr>
            <w:tcW w:w="986" w:type="dxa"/>
            <w:vAlign w:val="center"/>
          </w:tcPr>
          <w:p w14:paraId="4B5AF7B5" w14:textId="77777777" w:rsidR="009864DB" w:rsidRPr="004D46AC" w:rsidRDefault="009864DB" w:rsidP="009864DB">
            <w:pPr>
              <w:spacing w:line="240" w:lineRule="auto"/>
              <w:ind w:firstLine="0"/>
            </w:pPr>
            <w:r w:rsidRPr="004D46AC">
              <w:t>1</w:t>
            </w:r>
          </w:p>
        </w:tc>
        <w:tc>
          <w:tcPr>
            <w:tcW w:w="751" w:type="dxa"/>
            <w:vAlign w:val="center"/>
          </w:tcPr>
          <w:p w14:paraId="7BDDBABC" w14:textId="77777777" w:rsidR="009864DB" w:rsidRPr="004D46AC" w:rsidRDefault="009864DB" w:rsidP="009864DB">
            <w:pPr>
              <w:spacing w:line="240" w:lineRule="auto"/>
              <w:ind w:firstLine="0"/>
            </w:pPr>
            <w:r w:rsidRPr="004D46AC">
              <w:t>1</w:t>
            </w:r>
          </w:p>
        </w:tc>
        <w:tc>
          <w:tcPr>
            <w:tcW w:w="752" w:type="dxa"/>
            <w:vAlign w:val="center"/>
          </w:tcPr>
          <w:p w14:paraId="0451B24A" w14:textId="77777777" w:rsidR="009864DB" w:rsidRPr="004D46AC" w:rsidRDefault="009864DB" w:rsidP="009864DB">
            <w:pPr>
              <w:spacing w:line="240" w:lineRule="auto"/>
              <w:ind w:firstLine="0"/>
            </w:pPr>
            <w:r w:rsidRPr="004D46AC">
              <w:t>2</w:t>
            </w:r>
          </w:p>
        </w:tc>
        <w:tc>
          <w:tcPr>
            <w:tcW w:w="1296" w:type="dxa"/>
            <w:vAlign w:val="center"/>
          </w:tcPr>
          <w:p w14:paraId="4D317B40" w14:textId="77777777" w:rsidR="009864DB" w:rsidRPr="004D46AC" w:rsidRDefault="009864DB" w:rsidP="009864DB">
            <w:pPr>
              <w:spacing w:line="240" w:lineRule="auto"/>
              <w:ind w:firstLine="0"/>
            </w:pPr>
            <w:r w:rsidRPr="004D46AC">
              <w:t>352</w:t>
            </w:r>
          </w:p>
        </w:tc>
        <w:tc>
          <w:tcPr>
            <w:tcW w:w="752" w:type="dxa"/>
            <w:vAlign w:val="center"/>
          </w:tcPr>
          <w:p w14:paraId="7E523331" w14:textId="77777777" w:rsidR="009864DB" w:rsidRPr="004D46AC" w:rsidRDefault="009864DB" w:rsidP="009864DB">
            <w:pPr>
              <w:spacing w:line="240" w:lineRule="auto"/>
              <w:ind w:firstLine="0"/>
            </w:pPr>
            <w:r w:rsidRPr="004D46AC">
              <w:t>NA</w:t>
            </w:r>
          </w:p>
        </w:tc>
        <w:tc>
          <w:tcPr>
            <w:tcW w:w="789" w:type="dxa"/>
            <w:gridSpan w:val="2"/>
            <w:vAlign w:val="center"/>
          </w:tcPr>
          <w:p w14:paraId="3282E30D" w14:textId="77777777" w:rsidR="009864DB" w:rsidRPr="004D46AC" w:rsidRDefault="009864DB" w:rsidP="009864DB">
            <w:pPr>
              <w:spacing w:line="240" w:lineRule="auto"/>
              <w:ind w:firstLine="0"/>
            </w:pPr>
            <w:r w:rsidRPr="004D46AC">
              <w:t>NA</w:t>
            </w:r>
          </w:p>
        </w:tc>
      </w:tr>
      <w:tr w:rsidR="009864DB" w:rsidRPr="004D46AC" w14:paraId="65CB1116" w14:textId="77777777" w:rsidTr="00B518F1">
        <w:tc>
          <w:tcPr>
            <w:tcW w:w="1476" w:type="dxa"/>
          </w:tcPr>
          <w:p w14:paraId="46D597A0" w14:textId="77777777" w:rsidR="009864DB" w:rsidRPr="004D46AC" w:rsidRDefault="009864DB" w:rsidP="009864DB">
            <w:pPr>
              <w:spacing w:line="240" w:lineRule="auto"/>
              <w:ind w:firstLine="0"/>
            </w:pPr>
            <w:r w:rsidRPr="004D46AC">
              <w:fldChar w:fldCharType="begin">
                <w:fldData xml:space="preserve">PEVuZE5vdGU+PENpdGUgQXV0aG9yWWVhcj0iMSI+PEF1dGhvcj5Db3N0YTwvQXV0aG9yPjxZZWFy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</w:fldData>
              </w:fldChar>
            </w:r>
            <w:r w:rsidRPr="004D46AC">
              <w:instrText xml:space="preserve"> ADDIN EN.CITE </w:instrText>
            </w:r>
            <w:r w:rsidRPr="004D46AC">
              <w:fldChar w:fldCharType="begin">
                <w:fldData xml:space="preserve">PEVuZE5vdGU+PENpdGUgQXV0aG9yWWVhcj0iMSI+PEF1dGhvcj5Db3N0YTwvQXV0aG9yPjxZZWFy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</w:fldData>
              </w:fldChar>
            </w:r>
            <w:r w:rsidRPr="004D46AC">
              <w:instrText xml:space="preserve"> ADDIN EN.CITE.DATA </w:instrText>
            </w:r>
            <w:r w:rsidRPr="004D46AC">
              <w:fldChar w:fldCharType="end"/>
            </w:r>
            <w:r w:rsidRPr="004D46AC">
              <w:fldChar w:fldCharType="separate"/>
            </w:r>
            <w:r w:rsidRPr="004D46AC">
              <w:t>Costa et al. (2020)</w:t>
            </w:r>
            <w:r w:rsidRPr="004D46AC">
              <w:fldChar w:fldCharType="end"/>
            </w:r>
          </w:p>
        </w:tc>
        <w:tc>
          <w:tcPr>
            <w:tcW w:w="754" w:type="dxa"/>
            <w:vAlign w:val="center"/>
          </w:tcPr>
          <w:p w14:paraId="0B26B377" w14:textId="77777777" w:rsidR="009864DB" w:rsidRPr="004D46AC" w:rsidRDefault="009864DB" w:rsidP="009864DB">
            <w:pPr>
              <w:spacing w:line="240" w:lineRule="auto"/>
              <w:ind w:firstLine="0"/>
            </w:pPr>
            <w:r w:rsidRPr="004D46AC">
              <w:t>6</w:t>
            </w:r>
          </w:p>
        </w:tc>
        <w:tc>
          <w:tcPr>
            <w:tcW w:w="766" w:type="dxa"/>
            <w:vAlign w:val="center"/>
          </w:tcPr>
          <w:p w14:paraId="66BF83A4" w14:textId="77777777" w:rsidR="009864DB" w:rsidRPr="004D46AC" w:rsidRDefault="009864DB" w:rsidP="009864DB">
            <w:pPr>
              <w:spacing w:line="240" w:lineRule="auto"/>
              <w:ind w:firstLine="0"/>
            </w:pPr>
            <w:r w:rsidRPr="004D46AC">
              <w:t>NA</w:t>
            </w:r>
          </w:p>
        </w:tc>
        <w:tc>
          <w:tcPr>
            <w:tcW w:w="1096" w:type="dxa"/>
            <w:vAlign w:val="center"/>
          </w:tcPr>
          <w:p w14:paraId="5C2A193F" w14:textId="77777777" w:rsidR="009864DB" w:rsidRPr="004D46AC" w:rsidRDefault="009864DB" w:rsidP="009864DB">
            <w:pPr>
              <w:spacing w:line="240" w:lineRule="auto"/>
              <w:ind w:firstLine="0"/>
            </w:pPr>
            <w:r w:rsidRPr="004D46AC">
              <w:t>DSM4</w:t>
            </w:r>
          </w:p>
        </w:tc>
        <w:tc>
          <w:tcPr>
            <w:tcW w:w="1415" w:type="dxa"/>
            <w:vAlign w:val="center"/>
          </w:tcPr>
          <w:p w14:paraId="56176A97" w14:textId="77777777" w:rsidR="009864DB" w:rsidRPr="004D46AC" w:rsidRDefault="009864DB" w:rsidP="009864DB">
            <w:pPr>
              <w:spacing w:line="240" w:lineRule="auto"/>
              <w:ind w:firstLine="0"/>
            </w:pPr>
            <w:r w:rsidRPr="004D46AC">
              <w:t>SCID</w:t>
            </w:r>
          </w:p>
        </w:tc>
        <w:tc>
          <w:tcPr>
            <w:tcW w:w="876" w:type="dxa"/>
            <w:vAlign w:val="center"/>
          </w:tcPr>
          <w:p w14:paraId="5B61017D" w14:textId="77777777" w:rsidR="009864DB" w:rsidRPr="004D46AC" w:rsidRDefault="009864DB" w:rsidP="009864DB">
            <w:pPr>
              <w:spacing w:line="240" w:lineRule="auto"/>
              <w:ind w:firstLine="0"/>
            </w:pPr>
            <w:r w:rsidRPr="004D46AC">
              <w:t>4032</w:t>
            </w:r>
          </w:p>
        </w:tc>
        <w:tc>
          <w:tcPr>
            <w:tcW w:w="986" w:type="dxa"/>
            <w:vAlign w:val="center"/>
          </w:tcPr>
          <w:p w14:paraId="3383020F" w14:textId="77777777" w:rsidR="009864DB" w:rsidRPr="004D46AC" w:rsidRDefault="009864DB" w:rsidP="009864DB">
            <w:pPr>
              <w:spacing w:line="240" w:lineRule="auto"/>
              <w:ind w:firstLine="0"/>
            </w:pPr>
            <w:r w:rsidRPr="004D46AC">
              <w:t>1</w:t>
            </w:r>
          </w:p>
        </w:tc>
        <w:tc>
          <w:tcPr>
            <w:tcW w:w="751" w:type="dxa"/>
            <w:vAlign w:val="center"/>
          </w:tcPr>
          <w:p w14:paraId="43F2D7A2" w14:textId="77777777" w:rsidR="009864DB" w:rsidRPr="004D46AC" w:rsidRDefault="009864DB" w:rsidP="009864DB">
            <w:pPr>
              <w:spacing w:line="240" w:lineRule="auto"/>
              <w:ind w:firstLine="0"/>
            </w:pPr>
            <w:r w:rsidRPr="004D46AC">
              <w:t>1</w:t>
            </w:r>
          </w:p>
        </w:tc>
        <w:tc>
          <w:tcPr>
            <w:tcW w:w="752" w:type="dxa"/>
            <w:vAlign w:val="center"/>
          </w:tcPr>
          <w:p w14:paraId="5647480D" w14:textId="77777777" w:rsidR="009864DB" w:rsidRPr="004D46AC" w:rsidRDefault="009864DB" w:rsidP="009864DB">
            <w:pPr>
              <w:spacing w:line="240" w:lineRule="auto"/>
              <w:ind w:firstLine="0"/>
            </w:pPr>
            <w:r w:rsidRPr="004D46AC">
              <w:t>2</w:t>
            </w:r>
          </w:p>
        </w:tc>
        <w:tc>
          <w:tcPr>
            <w:tcW w:w="1296" w:type="dxa"/>
            <w:vAlign w:val="center"/>
          </w:tcPr>
          <w:p w14:paraId="07A411A3" w14:textId="77777777" w:rsidR="009864DB" w:rsidRPr="004D46AC" w:rsidRDefault="009864DB" w:rsidP="009864DB">
            <w:pPr>
              <w:spacing w:line="240" w:lineRule="auto"/>
              <w:ind w:firstLine="0"/>
            </w:pPr>
            <w:r w:rsidRPr="004D46AC">
              <w:t>1536</w:t>
            </w:r>
          </w:p>
        </w:tc>
        <w:tc>
          <w:tcPr>
            <w:tcW w:w="752" w:type="dxa"/>
            <w:vAlign w:val="center"/>
          </w:tcPr>
          <w:p w14:paraId="3C4557CE" w14:textId="77777777" w:rsidR="009864DB" w:rsidRPr="004D46AC" w:rsidRDefault="009864DB" w:rsidP="009864DB">
            <w:pPr>
              <w:spacing w:line="240" w:lineRule="auto"/>
              <w:ind w:firstLine="0"/>
            </w:pPr>
            <w:r w:rsidRPr="004D46AC">
              <w:t>NA</w:t>
            </w:r>
          </w:p>
        </w:tc>
        <w:tc>
          <w:tcPr>
            <w:tcW w:w="789" w:type="dxa"/>
            <w:gridSpan w:val="2"/>
            <w:vAlign w:val="center"/>
          </w:tcPr>
          <w:p w14:paraId="4B465F83" w14:textId="77777777" w:rsidR="009864DB" w:rsidRPr="004D46AC" w:rsidRDefault="009864DB" w:rsidP="009864DB">
            <w:pPr>
              <w:spacing w:line="240" w:lineRule="auto"/>
              <w:ind w:firstLine="0"/>
            </w:pPr>
            <w:r w:rsidRPr="004D46AC">
              <w:t>NA</w:t>
            </w:r>
          </w:p>
        </w:tc>
      </w:tr>
      <w:tr w:rsidR="009864DB" w:rsidRPr="004D46AC" w14:paraId="40B79650" w14:textId="77777777" w:rsidTr="00B518F1">
        <w:tc>
          <w:tcPr>
            <w:tcW w:w="1476" w:type="dxa"/>
          </w:tcPr>
          <w:p w14:paraId="3A5B536E" w14:textId="77777777" w:rsidR="009864DB" w:rsidRPr="004D46AC" w:rsidRDefault="009864DB" w:rsidP="009864DB">
            <w:pPr>
              <w:spacing w:line="240" w:lineRule="auto"/>
              <w:ind w:firstLine="0"/>
            </w:pPr>
            <w:r w:rsidRPr="004D46AC">
              <w:fldChar w:fldCharType="begin">
                <w:fldData xml:space="preserve">PEVuZE5vdGU+PENpdGUgQXV0aG9yWWVhcj0iMSI+PEF1dGhvcj5UcmV1ZXI8L0F1dGhvcj48WWVh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=
</w:fldData>
              </w:fldChar>
            </w:r>
            <w:r w:rsidRPr="004D46AC">
              <w:instrText xml:space="preserve"> ADDIN EN.CITE </w:instrText>
            </w:r>
            <w:r w:rsidRPr="004D46AC">
              <w:fldChar w:fldCharType="begin">
                <w:fldData xml:space="preserve">PEVuZE5vdGU+PENpdGUgQXV0aG9yWWVhcj0iMSI+PEF1dGhvcj5UcmV1ZXI8L0F1dGhvcj48WWVh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=
</w:fldData>
              </w:fldChar>
            </w:r>
            <w:r w:rsidRPr="004D46AC">
              <w:instrText xml:space="preserve"> ADDIN EN.CITE.DATA </w:instrText>
            </w:r>
            <w:r w:rsidRPr="004D46AC">
              <w:fldChar w:fldCharType="end"/>
            </w:r>
            <w:r w:rsidRPr="004D46AC">
              <w:fldChar w:fldCharType="separate"/>
            </w:r>
            <w:r w:rsidRPr="004D46AC">
              <w:t>Treuer et al. (2007)</w:t>
            </w:r>
            <w:r w:rsidRPr="004D46AC">
              <w:fldChar w:fldCharType="end"/>
            </w:r>
          </w:p>
        </w:tc>
        <w:tc>
          <w:tcPr>
            <w:tcW w:w="754" w:type="dxa"/>
            <w:vAlign w:val="center"/>
          </w:tcPr>
          <w:p w14:paraId="5C9C8604" w14:textId="77777777" w:rsidR="009864DB" w:rsidRPr="004D46AC" w:rsidRDefault="009864DB" w:rsidP="009864DB">
            <w:pPr>
              <w:spacing w:line="240" w:lineRule="auto"/>
              <w:ind w:firstLine="0"/>
            </w:pPr>
            <w:r w:rsidRPr="004D46AC">
              <w:t>5</w:t>
            </w:r>
          </w:p>
        </w:tc>
        <w:tc>
          <w:tcPr>
            <w:tcW w:w="766" w:type="dxa"/>
            <w:vAlign w:val="center"/>
          </w:tcPr>
          <w:p w14:paraId="7BCE263C" w14:textId="77777777" w:rsidR="009864DB" w:rsidRPr="004D46AC" w:rsidRDefault="009864DB" w:rsidP="009864DB">
            <w:pPr>
              <w:spacing w:line="240" w:lineRule="auto"/>
              <w:ind w:firstLine="0"/>
            </w:pPr>
            <w:r w:rsidRPr="004D46AC">
              <w:t>34.45</w:t>
            </w:r>
          </w:p>
        </w:tc>
        <w:tc>
          <w:tcPr>
            <w:tcW w:w="1096" w:type="dxa"/>
            <w:vAlign w:val="center"/>
          </w:tcPr>
          <w:p w14:paraId="2E9DC362" w14:textId="77777777" w:rsidR="009864DB" w:rsidRPr="004D46AC" w:rsidRDefault="009864DB" w:rsidP="009864DB">
            <w:pPr>
              <w:spacing w:line="240" w:lineRule="auto"/>
              <w:ind w:firstLine="0"/>
            </w:pPr>
            <w:r w:rsidRPr="004D46AC">
              <w:t>DSM4TR</w:t>
            </w:r>
          </w:p>
        </w:tc>
        <w:tc>
          <w:tcPr>
            <w:tcW w:w="1415" w:type="dxa"/>
            <w:vAlign w:val="center"/>
          </w:tcPr>
          <w:p w14:paraId="755D5C8B" w14:textId="77777777" w:rsidR="009864DB" w:rsidRPr="004D46AC" w:rsidRDefault="009864DB" w:rsidP="009864DB">
            <w:pPr>
              <w:spacing w:line="240" w:lineRule="auto"/>
              <w:ind w:firstLine="0"/>
            </w:pPr>
            <w:r w:rsidRPr="004D46AC">
              <w:t>unclear</w:t>
            </w:r>
          </w:p>
        </w:tc>
        <w:tc>
          <w:tcPr>
            <w:tcW w:w="876" w:type="dxa"/>
            <w:vAlign w:val="center"/>
          </w:tcPr>
          <w:p w14:paraId="19B42773" w14:textId="77777777" w:rsidR="009864DB" w:rsidRPr="004D46AC" w:rsidRDefault="009864DB" w:rsidP="009864DB">
            <w:pPr>
              <w:spacing w:line="240" w:lineRule="auto"/>
              <w:ind w:firstLine="0"/>
            </w:pPr>
            <w:r w:rsidRPr="004D46AC">
              <w:t>894</w:t>
            </w:r>
          </w:p>
        </w:tc>
        <w:tc>
          <w:tcPr>
            <w:tcW w:w="986" w:type="dxa"/>
            <w:vAlign w:val="center"/>
          </w:tcPr>
          <w:p w14:paraId="2F5A306F" w14:textId="77777777" w:rsidR="009864DB" w:rsidRPr="004D46AC" w:rsidRDefault="009864DB" w:rsidP="009864DB">
            <w:pPr>
              <w:spacing w:line="240" w:lineRule="auto"/>
              <w:ind w:firstLine="0"/>
            </w:pPr>
            <w:r w:rsidRPr="004D46AC">
              <w:t>2</w:t>
            </w:r>
          </w:p>
        </w:tc>
        <w:tc>
          <w:tcPr>
            <w:tcW w:w="751" w:type="dxa"/>
            <w:vAlign w:val="center"/>
          </w:tcPr>
          <w:p w14:paraId="3200DB01" w14:textId="77777777" w:rsidR="009864DB" w:rsidRPr="004D46AC" w:rsidRDefault="009864DB" w:rsidP="009864DB">
            <w:pPr>
              <w:spacing w:line="240" w:lineRule="auto"/>
              <w:ind w:firstLine="0"/>
            </w:pPr>
            <w:r w:rsidRPr="004D46AC">
              <w:t>1</w:t>
            </w:r>
          </w:p>
        </w:tc>
        <w:tc>
          <w:tcPr>
            <w:tcW w:w="752" w:type="dxa"/>
            <w:vAlign w:val="center"/>
          </w:tcPr>
          <w:p w14:paraId="65DE968B" w14:textId="77777777" w:rsidR="009864DB" w:rsidRPr="004D46AC" w:rsidRDefault="009864DB" w:rsidP="009864DB">
            <w:pPr>
              <w:spacing w:line="240" w:lineRule="auto"/>
              <w:ind w:firstLine="0"/>
            </w:pPr>
            <w:r w:rsidRPr="004D46AC">
              <w:t>0</w:t>
            </w:r>
          </w:p>
        </w:tc>
        <w:tc>
          <w:tcPr>
            <w:tcW w:w="1296" w:type="dxa"/>
            <w:vAlign w:val="center"/>
          </w:tcPr>
          <w:p w14:paraId="274242E4" w14:textId="77777777" w:rsidR="009864DB" w:rsidRPr="004D46AC" w:rsidRDefault="009864DB" w:rsidP="009864DB">
            <w:pPr>
              <w:spacing w:line="240" w:lineRule="auto"/>
              <w:ind w:firstLine="0"/>
            </w:pPr>
            <w:r w:rsidRPr="004D46AC">
              <w:t>552</w:t>
            </w:r>
          </w:p>
        </w:tc>
        <w:tc>
          <w:tcPr>
            <w:tcW w:w="752" w:type="dxa"/>
            <w:vAlign w:val="center"/>
          </w:tcPr>
          <w:p w14:paraId="340CE9FD" w14:textId="77777777" w:rsidR="009864DB" w:rsidRPr="004D46AC" w:rsidRDefault="009864DB" w:rsidP="009864DB">
            <w:pPr>
              <w:spacing w:line="240" w:lineRule="auto"/>
              <w:ind w:firstLine="0"/>
            </w:pPr>
            <w:r w:rsidRPr="004D46AC">
              <w:t>NA</w:t>
            </w:r>
          </w:p>
        </w:tc>
        <w:tc>
          <w:tcPr>
            <w:tcW w:w="789" w:type="dxa"/>
            <w:gridSpan w:val="2"/>
            <w:vAlign w:val="center"/>
          </w:tcPr>
          <w:p w14:paraId="6E795B7C" w14:textId="77777777" w:rsidR="009864DB" w:rsidRPr="004D46AC" w:rsidRDefault="009864DB" w:rsidP="009864DB">
            <w:pPr>
              <w:spacing w:line="240" w:lineRule="auto"/>
              <w:ind w:firstLine="0"/>
            </w:pPr>
            <w:r w:rsidRPr="004D46AC">
              <w:t>NA</w:t>
            </w:r>
          </w:p>
        </w:tc>
      </w:tr>
      <w:tr w:rsidR="009864DB" w:rsidRPr="004D46AC" w14:paraId="2189D704" w14:textId="77777777" w:rsidTr="00B518F1">
        <w:tc>
          <w:tcPr>
            <w:tcW w:w="1476" w:type="dxa"/>
          </w:tcPr>
          <w:p w14:paraId="5E0E550D" w14:textId="77777777" w:rsidR="009864DB" w:rsidRPr="004D46AC" w:rsidRDefault="009864DB" w:rsidP="009864DB">
            <w:pPr>
              <w:spacing w:line="240" w:lineRule="auto"/>
              <w:ind w:firstLine="0"/>
            </w:pPr>
            <w:r w:rsidRPr="004D46AC">
              <w:fldChar w:fldCharType="begin">
                <w:fldData xml:space="preserve">PEVuZE5vdGU+PENpdGUgQXV0aG9yWWVhcj0iMSI+PEF1dGhvcj5TYWNoczwvQXV0aG9yPjxZZWFy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=
</w:fldData>
              </w:fldChar>
            </w:r>
            <w:r w:rsidRPr="004D46AC">
              <w:instrText xml:space="preserve"> ADDIN EN.CITE </w:instrText>
            </w:r>
            <w:r w:rsidRPr="004D46AC">
              <w:fldChar w:fldCharType="begin">
                <w:fldData xml:space="preserve">PEVuZE5vdGU+PENpdGUgQXV0aG9yWWVhcj0iMSI+PEF1dGhvcj5TYWNoczwvQXV0aG9yPjxZZWFy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=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Sachs et al. (2002)</w:t>
            </w:r>
            <w:r w:rsidRPr="004D46AC">
              <w:fldChar w:fldCharType="end"/>
            </w:r>
          </w:p>
        </w:tc>
        <w:tc>
          <w:tcPr>
            <w:tcW w:w="754" w:type="dxa"/>
            <w:vAlign w:val="center"/>
          </w:tcPr>
          <w:p w14:paraId="66E1B354" w14:textId="77777777" w:rsidR="009864DB" w:rsidRPr="004D46AC" w:rsidRDefault="009864DB" w:rsidP="009864DB">
            <w:pPr>
              <w:spacing w:line="240" w:lineRule="auto"/>
              <w:ind w:firstLine="0"/>
            </w:pPr>
            <w:r w:rsidRPr="004D46AC">
              <w:t>4</w:t>
            </w:r>
          </w:p>
        </w:tc>
        <w:tc>
          <w:tcPr>
            <w:tcW w:w="766" w:type="dxa"/>
            <w:vAlign w:val="center"/>
          </w:tcPr>
          <w:p w14:paraId="7BA99506" w14:textId="77777777" w:rsidR="009864DB" w:rsidRPr="004D46AC" w:rsidRDefault="009864DB" w:rsidP="009864DB">
            <w:pPr>
              <w:spacing w:line="240" w:lineRule="auto"/>
              <w:ind w:firstLine="0"/>
            </w:pPr>
            <w:r w:rsidRPr="004D46AC">
              <w:t>NA</w:t>
            </w:r>
          </w:p>
        </w:tc>
        <w:tc>
          <w:tcPr>
            <w:tcW w:w="1096" w:type="dxa"/>
            <w:vAlign w:val="center"/>
          </w:tcPr>
          <w:p w14:paraId="33C6FC85" w14:textId="77777777" w:rsidR="009864DB" w:rsidRPr="004D46AC" w:rsidRDefault="009864DB" w:rsidP="009864DB">
            <w:pPr>
              <w:spacing w:line="240" w:lineRule="auto"/>
              <w:ind w:firstLine="0"/>
            </w:pPr>
            <w:r w:rsidRPr="004D46AC">
              <w:t>DSM4</w:t>
            </w:r>
          </w:p>
        </w:tc>
        <w:tc>
          <w:tcPr>
            <w:tcW w:w="1415" w:type="dxa"/>
            <w:vAlign w:val="center"/>
          </w:tcPr>
          <w:p w14:paraId="73D23F2C" w14:textId="77777777" w:rsidR="009864DB" w:rsidRPr="004D46AC" w:rsidRDefault="009864DB" w:rsidP="009864DB">
            <w:pPr>
              <w:spacing w:line="240" w:lineRule="auto"/>
              <w:ind w:firstLine="0"/>
            </w:pPr>
            <w:r w:rsidRPr="004D46AC">
              <w:t>CGI</w:t>
            </w:r>
          </w:p>
        </w:tc>
        <w:tc>
          <w:tcPr>
            <w:tcW w:w="876" w:type="dxa"/>
            <w:vAlign w:val="center"/>
          </w:tcPr>
          <w:p w14:paraId="63CE786A" w14:textId="77777777" w:rsidR="009864DB" w:rsidRPr="004D46AC" w:rsidRDefault="009864DB" w:rsidP="009864DB">
            <w:pPr>
              <w:spacing w:line="240" w:lineRule="auto"/>
              <w:ind w:firstLine="0"/>
            </w:pPr>
            <w:r w:rsidRPr="004D46AC">
              <w:t>156</w:t>
            </w:r>
          </w:p>
        </w:tc>
        <w:tc>
          <w:tcPr>
            <w:tcW w:w="986" w:type="dxa"/>
            <w:vAlign w:val="center"/>
          </w:tcPr>
          <w:p w14:paraId="02EE570C" w14:textId="77777777" w:rsidR="009864DB" w:rsidRPr="004D46AC" w:rsidRDefault="009864DB" w:rsidP="009864DB">
            <w:pPr>
              <w:spacing w:line="240" w:lineRule="auto"/>
              <w:ind w:firstLine="0"/>
            </w:pPr>
            <w:r w:rsidRPr="004D46AC">
              <w:t>3</w:t>
            </w:r>
          </w:p>
        </w:tc>
        <w:tc>
          <w:tcPr>
            <w:tcW w:w="751" w:type="dxa"/>
            <w:vAlign w:val="center"/>
          </w:tcPr>
          <w:p w14:paraId="0C8E275A" w14:textId="77777777" w:rsidR="009864DB" w:rsidRPr="004D46AC" w:rsidRDefault="009864DB" w:rsidP="009864DB">
            <w:pPr>
              <w:spacing w:line="240" w:lineRule="auto"/>
              <w:ind w:firstLine="0"/>
            </w:pPr>
            <w:r w:rsidRPr="004D46AC">
              <w:t>2</w:t>
            </w:r>
          </w:p>
        </w:tc>
        <w:tc>
          <w:tcPr>
            <w:tcW w:w="752" w:type="dxa"/>
            <w:vAlign w:val="center"/>
          </w:tcPr>
          <w:p w14:paraId="44885FD2" w14:textId="77777777" w:rsidR="009864DB" w:rsidRPr="004D46AC" w:rsidRDefault="009864DB" w:rsidP="009864DB">
            <w:pPr>
              <w:spacing w:line="240" w:lineRule="auto"/>
              <w:ind w:firstLine="0"/>
            </w:pPr>
            <w:r w:rsidRPr="004D46AC">
              <w:t>0</w:t>
            </w:r>
          </w:p>
        </w:tc>
        <w:tc>
          <w:tcPr>
            <w:tcW w:w="1296" w:type="dxa"/>
            <w:vAlign w:val="center"/>
          </w:tcPr>
          <w:p w14:paraId="3ED0C7A2" w14:textId="77777777" w:rsidR="009864DB" w:rsidRPr="004D46AC" w:rsidRDefault="009864DB" w:rsidP="009864DB">
            <w:pPr>
              <w:spacing w:line="240" w:lineRule="auto"/>
              <w:ind w:firstLine="0"/>
            </w:pPr>
            <w:r w:rsidRPr="004D46AC">
              <w:t>61</w:t>
            </w:r>
          </w:p>
        </w:tc>
        <w:tc>
          <w:tcPr>
            <w:tcW w:w="752" w:type="dxa"/>
            <w:vAlign w:val="center"/>
          </w:tcPr>
          <w:p w14:paraId="6A875FED" w14:textId="77777777" w:rsidR="009864DB" w:rsidRPr="004D46AC" w:rsidRDefault="009864DB" w:rsidP="009864DB">
            <w:pPr>
              <w:spacing w:line="240" w:lineRule="auto"/>
              <w:ind w:firstLine="0"/>
            </w:pPr>
            <w:r w:rsidRPr="004D46AC">
              <w:t>NA</w:t>
            </w:r>
          </w:p>
        </w:tc>
        <w:tc>
          <w:tcPr>
            <w:tcW w:w="789" w:type="dxa"/>
            <w:gridSpan w:val="2"/>
            <w:vAlign w:val="center"/>
          </w:tcPr>
          <w:p w14:paraId="6677EB46" w14:textId="77777777" w:rsidR="009864DB" w:rsidRPr="004D46AC" w:rsidRDefault="009864DB" w:rsidP="009864DB">
            <w:pPr>
              <w:spacing w:line="240" w:lineRule="auto"/>
              <w:ind w:firstLine="0"/>
            </w:pPr>
            <w:r w:rsidRPr="004D46AC">
              <w:t>NA</w:t>
            </w:r>
          </w:p>
        </w:tc>
      </w:tr>
      <w:tr w:rsidR="009864DB" w:rsidRPr="004D46AC" w14:paraId="57B33FE0" w14:textId="77777777" w:rsidTr="00B518F1">
        <w:tc>
          <w:tcPr>
            <w:tcW w:w="1476" w:type="dxa"/>
          </w:tcPr>
          <w:p w14:paraId="400A6E39" w14:textId="77777777" w:rsidR="009864DB" w:rsidRPr="004D46AC" w:rsidRDefault="009864DB" w:rsidP="009864DB">
            <w:pPr>
              <w:spacing w:line="240" w:lineRule="auto"/>
              <w:ind w:firstLine="0"/>
            </w:pPr>
            <w:r w:rsidRPr="004D46AC">
              <w:fldChar w:fldCharType="begin">
                <w:fldData xml:space="preserve">PEVuZE5vdGU+PENpdGUgQXV0aG9yWWVhcj0iMSI+PEF1dGhvcj5GcmlkYmVyZzwvQXV0aG9yPjxZ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</w:fldData>
              </w:fldChar>
            </w:r>
            <w:r w:rsidRPr="004D46AC">
              <w:instrText xml:space="preserve"> ADDIN EN.CITE </w:instrText>
            </w:r>
            <w:r w:rsidRPr="004D46AC">
              <w:fldChar w:fldCharType="begin">
                <w:fldData xml:space="preserve">PEVuZE5vdGU+PENpdGUgQXV0aG9yWWVhcj0iMSI+PEF1dGhvcj5GcmlkYmVyZzwvQXV0aG9yPjxZ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</w:fldData>
              </w:fldChar>
            </w:r>
            <w:r w:rsidRPr="004D46AC">
              <w:instrText xml:space="preserve"> ADDIN EN.CITE.DATA </w:instrText>
            </w:r>
            <w:r w:rsidRPr="004D46AC">
              <w:fldChar w:fldCharType="end"/>
            </w:r>
            <w:r w:rsidRPr="004D46AC">
              <w:fldChar w:fldCharType="separate"/>
            </w:r>
            <w:r w:rsidRPr="004D46AC">
              <w:t>Fridberg et al. (2009)</w:t>
            </w:r>
            <w:r w:rsidRPr="004D46AC">
              <w:fldChar w:fldCharType="end"/>
            </w:r>
          </w:p>
        </w:tc>
        <w:tc>
          <w:tcPr>
            <w:tcW w:w="754" w:type="dxa"/>
            <w:vAlign w:val="center"/>
          </w:tcPr>
          <w:p w14:paraId="6B335C44" w14:textId="77777777" w:rsidR="009864DB" w:rsidRPr="004D46AC" w:rsidRDefault="009864DB" w:rsidP="009864DB">
            <w:pPr>
              <w:spacing w:line="240" w:lineRule="auto"/>
              <w:ind w:firstLine="0"/>
            </w:pPr>
            <w:r w:rsidRPr="004D46AC">
              <w:t>5</w:t>
            </w:r>
          </w:p>
        </w:tc>
        <w:tc>
          <w:tcPr>
            <w:tcW w:w="766" w:type="dxa"/>
            <w:vAlign w:val="center"/>
          </w:tcPr>
          <w:p w14:paraId="2C679B8F" w14:textId="77777777" w:rsidR="009864DB" w:rsidRPr="004D46AC" w:rsidRDefault="009864DB" w:rsidP="009864DB">
            <w:pPr>
              <w:spacing w:line="240" w:lineRule="auto"/>
              <w:ind w:firstLine="0"/>
            </w:pPr>
            <w:r w:rsidRPr="004D46AC">
              <w:t>42.77</w:t>
            </w:r>
          </w:p>
        </w:tc>
        <w:tc>
          <w:tcPr>
            <w:tcW w:w="1096" w:type="dxa"/>
            <w:vAlign w:val="center"/>
          </w:tcPr>
          <w:p w14:paraId="1DC7845C" w14:textId="77777777" w:rsidR="009864DB" w:rsidRPr="004D46AC" w:rsidRDefault="009864DB" w:rsidP="009864DB">
            <w:pPr>
              <w:spacing w:line="240" w:lineRule="auto"/>
              <w:ind w:firstLine="0"/>
            </w:pPr>
            <w:r w:rsidRPr="004D46AC">
              <w:t>DSM4</w:t>
            </w:r>
          </w:p>
        </w:tc>
        <w:tc>
          <w:tcPr>
            <w:tcW w:w="1415" w:type="dxa"/>
            <w:vAlign w:val="center"/>
          </w:tcPr>
          <w:p w14:paraId="0A2D74DF" w14:textId="77777777" w:rsidR="009864DB" w:rsidRPr="004D46AC" w:rsidRDefault="009864DB" w:rsidP="009864DB">
            <w:pPr>
              <w:spacing w:line="240" w:lineRule="auto"/>
              <w:ind w:firstLine="0"/>
            </w:pPr>
            <w:r w:rsidRPr="004D46AC">
              <w:t>SCID</w:t>
            </w:r>
          </w:p>
        </w:tc>
        <w:tc>
          <w:tcPr>
            <w:tcW w:w="876" w:type="dxa"/>
            <w:vAlign w:val="center"/>
          </w:tcPr>
          <w:p w14:paraId="0CE95260" w14:textId="77777777" w:rsidR="009864DB" w:rsidRPr="004D46AC" w:rsidRDefault="009864DB" w:rsidP="009864DB">
            <w:pPr>
              <w:spacing w:line="240" w:lineRule="auto"/>
              <w:ind w:firstLine="0"/>
            </w:pPr>
            <w:r w:rsidRPr="004D46AC">
              <w:t>68</w:t>
            </w:r>
          </w:p>
        </w:tc>
        <w:tc>
          <w:tcPr>
            <w:tcW w:w="986" w:type="dxa"/>
            <w:vAlign w:val="center"/>
          </w:tcPr>
          <w:p w14:paraId="6E09EBAA" w14:textId="77777777" w:rsidR="009864DB" w:rsidRPr="004D46AC" w:rsidRDefault="009864DB" w:rsidP="009864DB">
            <w:pPr>
              <w:spacing w:line="240" w:lineRule="auto"/>
              <w:ind w:firstLine="0"/>
            </w:pPr>
            <w:r w:rsidRPr="004D46AC">
              <w:t>2</w:t>
            </w:r>
          </w:p>
        </w:tc>
        <w:tc>
          <w:tcPr>
            <w:tcW w:w="751" w:type="dxa"/>
            <w:vAlign w:val="center"/>
          </w:tcPr>
          <w:p w14:paraId="0DA2BAD8" w14:textId="77777777" w:rsidR="009864DB" w:rsidRPr="004D46AC" w:rsidRDefault="009864DB" w:rsidP="009864DB">
            <w:pPr>
              <w:spacing w:line="240" w:lineRule="auto"/>
              <w:ind w:firstLine="0"/>
            </w:pPr>
            <w:r w:rsidRPr="004D46AC">
              <w:t>2</w:t>
            </w:r>
          </w:p>
        </w:tc>
        <w:tc>
          <w:tcPr>
            <w:tcW w:w="752" w:type="dxa"/>
            <w:vAlign w:val="center"/>
          </w:tcPr>
          <w:p w14:paraId="36E69B1B" w14:textId="77777777" w:rsidR="009864DB" w:rsidRPr="004D46AC" w:rsidRDefault="009864DB" w:rsidP="009864DB">
            <w:pPr>
              <w:spacing w:line="240" w:lineRule="auto"/>
              <w:ind w:firstLine="0"/>
            </w:pPr>
            <w:r w:rsidRPr="004D46AC">
              <w:t>2</w:t>
            </w:r>
          </w:p>
        </w:tc>
        <w:tc>
          <w:tcPr>
            <w:tcW w:w="1296" w:type="dxa"/>
          </w:tcPr>
          <w:p w14:paraId="47D91BD9" w14:textId="77777777" w:rsidR="009864DB" w:rsidRPr="004D46AC" w:rsidRDefault="009864DB" w:rsidP="009864DB">
            <w:pPr>
              <w:spacing w:line="240" w:lineRule="auto"/>
              <w:ind w:firstLine="0"/>
            </w:pPr>
            <w:r w:rsidRPr="004D46AC">
              <w:t>26</w:t>
            </w:r>
          </w:p>
        </w:tc>
        <w:tc>
          <w:tcPr>
            <w:tcW w:w="752" w:type="dxa"/>
            <w:vAlign w:val="center"/>
          </w:tcPr>
          <w:p w14:paraId="6F0E20C8" w14:textId="77777777" w:rsidR="009864DB" w:rsidRPr="004D46AC" w:rsidRDefault="009864DB" w:rsidP="009864DB">
            <w:pPr>
              <w:spacing w:line="240" w:lineRule="auto"/>
              <w:ind w:firstLine="0"/>
            </w:pPr>
            <w:r w:rsidRPr="004D46AC">
              <w:t>NA</w:t>
            </w:r>
          </w:p>
        </w:tc>
        <w:tc>
          <w:tcPr>
            <w:tcW w:w="789" w:type="dxa"/>
            <w:gridSpan w:val="2"/>
            <w:vAlign w:val="center"/>
          </w:tcPr>
          <w:p w14:paraId="0C0C8767" w14:textId="77777777" w:rsidR="009864DB" w:rsidRPr="004D46AC" w:rsidRDefault="009864DB" w:rsidP="009864DB">
            <w:pPr>
              <w:spacing w:line="240" w:lineRule="auto"/>
              <w:ind w:firstLine="0"/>
            </w:pPr>
            <w:r w:rsidRPr="004D46AC">
              <w:t>NA</w:t>
            </w:r>
          </w:p>
        </w:tc>
      </w:tr>
      <w:tr w:rsidR="009864DB" w:rsidRPr="004D46AC" w14:paraId="1B527F45" w14:textId="77777777" w:rsidTr="00B518F1">
        <w:tc>
          <w:tcPr>
            <w:tcW w:w="1476" w:type="dxa"/>
          </w:tcPr>
          <w:p w14:paraId="12A65CD4" w14:textId="77777777" w:rsidR="009864DB" w:rsidRPr="004D46AC" w:rsidRDefault="009864DB" w:rsidP="009864DB">
            <w:pPr>
              <w:spacing w:line="240" w:lineRule="auto"/>
              <w:ind w:firstLine="0"/>
            </w:pPr>
            <w:r w:rsidRPr="004D46AC">
              <w:fldChar w:fldCharType="begin">
                <w:fldData xml:space="preserve">PEVuZE5vdGU+PENpdGUgQXV0aG9yWWVhcj0iMSI+PEF1dGhvcj5OZWhtZTwvQXV0aG9yPjxZZWFy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</w:fldData>
              </w:fldChar>
            </w:r>
            <w:r w:rsidRPr="004D46AC">
              <w:instrText xml:space="preserve"> ADDIN EN.CITE </w:instrText>
            </w:r>
            <w:r w:rsidRPr="004D46AC">
              <w:fldChar w:fldCharType="begin">
                <w:fldData xml:space="preserve">PEVuZE5vdGU+PENpdGUgQXV0aG9yWWVhcj0iMSI+PEF1dGhvcj5OZWhtZTwvQXV0aG9yPjxZZWFy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</w:fldData>
              </w:fldChar>
            </w:r>
            <w:r w:rsidRPr="004D46AC">
              <w:instrText xml:space="preserve"> ADDIN EN.CITE.DATA </w:instrText>
            </w:r>
            <w:r w:rsidRPr="004D46AC">
              <w:fldChar w:fldCharType="end"/>
            </w:r>
            <w:r w:rsidRPr="004D46AC">
              <w:fldChar w:fldCharType="separate"/>
            </w:r>
            <w:r w:rsidRPr="004D46AC">
              <w:t>Nehme et al. (2018)</w:t>
            </w:r>
            <w:r w:rsidRPr="004D46AC">
              <w:fldChar w:fldCharType="end"/>
            </w:r>
          </w:p>
        </w:tc>
        <w:tc>
          <w:tcPr>
            <w:tcW w:w="754" w:type="dxa"/>
            <w:vAlign w:val="center"/>
          </w:tcPr>
          <w:p w14:paraId="1343EC70" w14:textId="77777777" w:rsidR="009864DB" w:rsidRPr="004D46AC" w:rsidRDefault="009864DB" w:rsidP="009864DB">
            <w:pPr>
              <w:spacing w:line="240" w:lineRule="auto"/>
              <w:ind w:firstLine="0"/>
            </w:pPr>
            <w:r w:rsidRPr="004D46AC">
              <w:t>5</w:t>
            </w:r>
          </w:p>
        </w:tc>
        <w:tc>
          <w:tcPr>
            <w:tcW w:w="766" w:type="dxa"/>
            <w:vAlign w:val="center"/>
          </w:tcPr>
          <w:p w14:paraId="2FD239BD" w14:textId="77777777" w:rsidR="009864DB" w:rsidRPr="004D46AC" w:rsidRDefault="009864DB" w:rsidP="009864DB">
            <w:pPr>
              <w:spacing w:line="240" w:lineRule="auto"/>
              <w:ind w:firstLine="0"/>
            </w:pPr>
            <w:r w:rsidRPr="004D46AC">
              <w:t>38.98</w:t>
            </w:r>
          </w:p>
        </w:tc>
        <w:tc>
          <w:tcPr>
            <w:tcW w:w="1096" w:type="dxa"/>
            <w:vAlign w:val="center"/>
          </w:tcPr>
          <w:p w14:paraId="2EFDD237" w14:textId="77777777" w:rsidR="009864DB" w:rsidRPr="004D46AC" w:rsidRDefault="009864DB" w:rsidP="009864DB">
            <w:pPr>
              <w:spacing w:line="240" w:lineRule="auto"/>
              <w:ind w:firstLine="0"/>
            </w:pPr>
            <w:r w:rsidRPr="004D46AC">
              <w:t>DSM5</w:t>
            </w:r>
          </w:p>
        </w:tc>
        <w:tc>
          <w:tcPr>
            <w:tcW w:w="1415" w:type="dxa"/>
            <w:vAlign w:val="center"/>
          </w:tcPr>
          <w:p w14:paraId="5A76578E" w14:textId="77777777" w:rsidR="009864DB" w:rsidRPr="004D46AC" w:rsidRDefault="009864DB" w:rsidP="009864DB">
            <w:pPr>
              <w:spacing w:line="240" w:lineRule="auto"/>
              <w:ind w:firstLine="0"/>
            </w:pPr>
            <w:r w:rsidRPr="004D46AC">
              <w:t>SCID</w:t>
            </w:r>
          </w:p>
        </w:tc>
        <w:tc>
          <w:tcPr>
            <w:tcW w:w="876" w:type="dxa"/>
            <w:vAlign w:val="center"/>
          </w:tcPr>
          <w:p w14:paraId="0909B8AF" w14:textId="77777777" w:rsidR="009864DB" w:rsidRPr="004D46AC" w:rsidRDefault="009864DB" w:rsidP="009864DB">
            <w:pPr>
              <w:spacing w:line="240" w:lineRule="auto"/>
              <w:ind w:firstLine="0"/>
            </w:pPr>
            <w:r w:rsidRPr="004D46AC">
              <w:t>40</w:t>
            </w:r>
          </w:p>
        </w:tc>
        <w:tc>
          <w:tcPr>
            <w:tcW w:w="986" w:type="dxa"/>
            <w:vAlign w:val="center"/>
          </w:tcPr>
          <w:p w14:paraId="54FEB9BC" w14:textId="77777777" w:rsidR="009864DB" w:rsidRPr="004D46AC" w:rsidRDefault="009864DB" w:rsidP="009864DB">
            <w:pPr>
              <w:spacing w:line="240" w:lineRule="auto"/>
              <w:ind w:firstLine="0"/>
            </w:pPr>
            <w:r w:rsidRPr="004D46AC">
              <w:t>2</w:t>
            </w:r>
          </w:p>
        </w:tc>
        <w:tc>
          <w:tcPr>
            <w:tcW w:w="751" w:type="dxa"/>
            <w:vAlign w:val="center"/>
          </w:tcPr>
          <w:p w14:paraId="4B2848EC" w14:textId="77777777" w:rsidR="009864DB" w:rsidRPr="004D46AC" w:rsidRDefault="009864DB" w:rsidP="009864DB">
            <w:pPr>
              <w:spacing w:line="240" w:lineRule="auto"/>
              <w:ind w:firstLine="0"/>
            </w:pPr>
            <w:r w:rsidRPr="004D46AC">
              <w:t>2</w:t>
            </w:r>
          </w:p>
        </w:tc>
        <w:tc>
          <w:tcPr>
            <w:tcW w:w="752" w:type="dxa"/>
            <w:vAlign w:val="center"/>
          </w:tcPr>
          <w:p w14:paraId="63826797" w14:textId="77777777" w:rsidR="009864DB" w:rsidRPr="004D46AC" w:rsidRDefault="009864DB" w:rsidP="009864DB">
            <w:pPr>
              <w:spacing w:line="240" w:lineRule="auto"/>
              <w:ind w:firstLine="0"/>
            </w:pPr>
            <w:r w:rsidRPr="004D46AC">
              <w:t>0</w:t>
            </w:r>
          </w:p>
        </w:tc>
        <w:tc>
          <w:tcPr>
            <w:tcW w:w="1296" w:type="dxa"/>
          </w:tcPr>
          <w:p w14:paraId="1CCCEE3D" w14:textId="77777777" w:rsidR="009864DB" w:rsidRPr="004D46AC" w:rsidRDefault="009864DB" w:rsidP="009864DB">
            <w:pPr>
              <w:spacing w:line="240" w:lineRule="auto"/>
              <w:ind w:firstLine="0"/>
            </w:pPr>
            <w:r w:rsidRPr="004D46AC">
              <w:t>18</w:t>
            </w:r>
          </w:p>
        </w:tc>
        <w:tc>
          <w:tcPr>
            <w:tcW w:w="752" w:type="dxa"/>
            <w:vAlign w:val="center"/>
          </w:tcPr>
          <w:p w14:paraId="7CDC6097" w14:textId="77777777" w:rsidR="009864DB" w:rsidRPr="004D46AC" w:rsidRDefault="009864DB" w:rsidP="009864DB">
            <w:pPr>
              <w:spacing w:line="240" w:lineRule="auto"/>
              <w:ind w:firstLine="0"/>
            </w:pPr>
            <w:r w:rsidRPr="004D46AC">
              <w:t>NA</w:t>
            </w:r>
          </w:p>
        </w:tc>
        <w:tc>
          <w:tcPr>
            <w:tcW w:w="789" w:type="dxa"/>
            <w:gridSpan w:val="2"/>
            <w:vAlign w:val="center"/>
          </w:tcPr>
          <w:p w14:paraId="2D72772B" w14:textId="77777777" w:rsidR="009864DB" w:rsidRPr="004D46AC" w:rsidRDefault="009864DB" w:rsidP="009864DB">
            <w:pPr>
              <w:spacing w:line="240" w:lineRule="auto"/>
              <w:ind w:firstLine="0"/>
            </w:pPr>
            <w:r w:rsidRPr="004D46AC">
              <w:t>NA</w:t>
            </w:r>
          </w:p>
        </w:tc>
      </w:tr>
      <w:tr w:rsidR="009864DB" w:rsidRPr="004D46AC" w14:paraId="1E1CC1D6" w14:textId="77777777" w:rsidTr="00B518F1">
        <w:tc>
          <w:tcPr>
            <w:tcW w:w="1476" w:type="dxa"/>
          </w:tcPr>
          <w:p w14:paraId="46E93AF4"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AuthorYear="1"&gt;&lt;Author&gt;Serretti&lt;/Author&gt;&lt;Year&gt;2002&lt;/Year&gt;&lt;RecNum&gt;48&lt;/RecNum&gt;&lt;DisplayText&gt;Serretti et al. (2002)&lt;/DisplayText&gt;&lt;record&gt;&lt;rec-number&gt;48&lt;/rec-number&gt;&lt;foreign-keys&gt;&lt;key app="EN" db-id="aet009sstawa0hewvt3xwf5atffdw2dt02sw" timestamp="1665047287"&gt;48&lt;/key&gt;&lt;/foreign-keys&gt;&lt;ref-type name="Journal Article"&gt;17&lt;/ref-type&gt;&lt;contributors&gt;&lt;authors&gt;&lt;author&gt;Serretti, A.&lt;/author&gt;&lt;author&gt;Mandelli, L.&lt;/author&gt;&lt;author&gt;Lattuada, E.&lt;/author&gt;&lt;author&gt;Smeraldi, E.&lt;/author&gt;&lt;/authors&gt;&lt;/contributors&gt;&lt;auth-address&gt;Department of Psychiatry, Vita-Salute University, San Raffaele Institute, Milan, Italy.&lt;/auth-address&gt;&lt;titles&gt;&lt;title&gt;Rapid cycling mood disorder: clinical and demographic features&lt;/title&gt;&lt;secondary-title&gt;Compr Psychiatry&lt;/secondary-title&gt;&lt;/titles&gt;&lt;periodical&gt;&lt;full-title&gt;Compr Psychiatry&lt;/full-title&gt;&lt;/periodical&gt;&lt;pages&gt;336-43&lt;/pages&gt;&lt;volume&gt;43&lt;/volume&gt;&lt;number&gt;5&lt;/number&gt;&lt;keywords&gt;&lt;keyword&gt;Adult&lt;/keyword&gt;&lt;keyword&gt;Age Factors&lt;/keyword&gt;&lt;keyword&gt;Bipolar Disorder/*classification/diagnosis&lt;/keyword&gt;&lt;keyword&gt;Female&lt;/keyword&gt;&lt;keyword&gt;Humans&lt;/keyword&gt;&lt;keyword&gt;Interview, Psychological&lt;/keyword&gt;&lt;keyword&gt;Male&lt;/keyword&gt;&lt;keyword&gt;*Periodicity&lt;/keyword&gt;&lt;keyword&gt;Psychiatric Status Rating Scales&lt;/keyword&gt;&lt;keyword&gt;Retrospective Studies&lt;/keyword&gt;&lt;keyword&gt;Self Concept&lt;/keyword&gt;&lt;keyword&gt;Statistics as Topic/methods&lt;/keyword&gt;&lt;keyword&gt;Suicide, Attempted/psychology&lt;/keyword&gt;&lt;/keywords&gt;&lt;dates&gt;&lt;year&gt;2002&lt;/year&gt;&lt;pub-dates&gt;&lt;date&gt;Sep-Oct&lt;/date&gt;&lt;/pub-dates&gt;&lt;/dates&gt;&lt;isbn&gt;0010-440X (Print)&amp;#xD;0010-440X (Linking)&lt;/isbn&gt;&lt;accession-num&gt;12216008&lt;/accession-num&gt;&lt;urls&gt;&lt;related-urls&gt;&lt;url&gt;https://www.ncbi.nlm.nih.gov/pubmed/12216008&lt;/url&gt;&lt;/related-urls&gt;&lt;/urls&gt;&lt;electronic-resource-num&gt;10.1053/comp.2002.34630&lt;/electronic-resource-num&gt;&lt;remote-database-name&gt;Medline&lt;/remote-database-name&gt;&lt;remote-database-provider&gt;NLM&lt;/remote-database-provider&gt;&lt;/record&gt;&lt;/Cite&gt;&lt;/EndNote&gt;</w:instrText>
            </w:r>
            <w:r w:rsidRPr="004D46AC">
              <w:fldChar w:fldCharType="separate"/>
            </w:r>
            <w:r w:rsidRPr="004D46AC">
              <w:t>Serretti et al. (2002)</w:t>
            </w:r>
            <w:r w:rsidRPr="004D46AC">
              <w:fldChar w:fldCharType="end"/>
            </w:r>
          </w:p>
        </w:tc>
        <w:tc>
          <w:tcPr>
            <w:tcW w:w="754" w:type="dxa"/>
            <w:vAlign w:val="center"/>
          </w:tcPr>
          <w:p w14:paraId="7C878804" w14:textId="77777777" w:rsidR="009864DB" w:rsidRPr="004D46AC" w:rsidRDefault="009864DB" w:rsidP="009864DB">
            <w:pPr>
              <w:spacing w:line="240" w:lineRule="auto"/>
              <w:ind w:firstLine="0"/>
            </w:pPr>
            <w:r w:rsidRPr="004D46AC">
              <w:t>7</w:t>
            </w:r>
          </w:p>
        </w:tc>
        <w:tc>
          <w:tcPr>
            <w:tcW w:w="766" w:type="dxa"/>
            <w:vAlign w:val="center"/>
          </w:tcPr>
          <w:p w14:paraId="7679F870" w14:textId="77777777" w:rsidR="009864DB" w:rsidRPr="004D46AC" w:rsidRDefault="009864DB" w:rsidP="009864DB">
            <w:pPr>
              <w:spacing w:line="240" w:lineRule="auto"/>
              <w:ind w:firstLine="0"/>
            </w:pPr>
            <w:r w:rsidRPr="004D46AC">
              <w:t>44.36</w:t>
            </w:r>
          </w:p>
        </w:tc>
        <w:tc>
          <w:tcPr>
            <w:tcW w:w="1096" w:type="dxa"/>
            <w:vAlign w:val="center"/>
          </w:tcPr>
          <w:p w14:paraId="403CCB9C" w14:textId="77777777" w:rsidR="009864DB" w:rsidRPr="004D46AC" w:rsidRDefault="009864DB" w:rsidP="009864DB">
            <w:pPr>
              <w:spacing w:line="240" w:lineRule="auto"/>
              <w:ind w:firstLine="0"/>
            </w:pPr>
            <w:r w:rsidRPr="004D46AC">
              <w:t>DSM</w:t>
            </w:r>
          </w:p>
        </w:tc>
        <w:tc>
          <w:tcPr>
            <w:tcW w:w="1415" w:type="dxa"/>
            <w:vAlign w:val="center"/>
          </w:tcPr>
          <w:p w14:paraId="775C014D" w14:textId="77777777" w:rsidR="009864DB" w:rsidRPr="004D46AC" w:rsidRDefault="009864DB" w:rsidP="009864DB">
            <w:pPr>
              <w:spacing w:line="240" w:lineRule="auto"/>
              <w:ind w:firstLine="0"/>
            </w:pPr>
            <w:r w:rsidRPr="004D46AC">
              <w:t>OPCRIT</w:t>
            </w:r>
          </w:p>
        </w:tc>
        <w:tc>
          <w:tcPr>
            <w:tcW w:w="876" w:type="dxa"/>
            <w:vAlign w:val="center"/>
          </w:tcPr>
          <w:p w14:paraId="1FAADAD0" w14:textId="77777777" w:rsidR="009864DB" w:rsidRPr="004D46AC" w:rsidRDefault="009864DB" w:rsidP="009864DB">
            <w:pPr>
              <w:spacing w:line="240" w:lineRule="auto"/>
              <w:ind w:firstLine="0"/>
            </w:pPr>
            <w:r w:rsidRPr="004D46AC">
              <w:t>576</w:t>
            </w:r>
          </w:p>
        </w:tc>
        <w:tc>
          <w:tcPr>
            <w:tcW w:w="986" w:type="dxa"/>
            <w:vAlign w:val="center"/>
          </w:tcPr>
          <w:p w14:paraId="78993081" w14:textId="77777777" w:rsidR="009864DB" w:rsidRPr="004D46AC" w:rsidRDefault="009864DB" w:rsidP="009864DB">
            <w:pPr>
              <w:spacing w:line="240" w:lineRule="auto"/>
              <w:ind w:firstLine="0"/>
            </w:pPr>
            <w:r w:rsidRPr="004D46AC">
              <w:t>2</w:t>
            </w:r>
          </w:p>
        </w:tc>
        <w:tc>
          <w:tcPr>
            <w:tcW w:w="751" w:type="dxa"/>
            <w:vAlign w:val="center"/>
          </w:tcPr>
          <w:p w14:paraId="27E6C7FD" w14:textId="77777777" w:rsidR="009864DB" w:rsidRPr="004D46AC" w:rsidRDefault="009864DB" w:rsidP="009864DB">
            <w:pPr>
              <w:spacing w:line="240" w:lineRule="auto"/>
              <w:ind w:firstLine="0"/>
            </w:pPr>
            <w:r w:rsidRPr="004D46AC">
              <w:t>1</w:t>
            </w:r>
          </w:p>
        </w:tc>
        <w:tc>
          <w:tcPr>
            <w:tcW w:w="752" w:type="dxa"/>
            <w:vAlign w:val="center"/>
          </w:tcPr>
          <w:p w14:paraId="5B9309F4" w14:textId="77777777" w:rsidR="009864DB" w:rsidRPr="004D46AC" w:rsidRDefault="009864DB" w:rsidP="009864DB">
            <w:pPr>
              <w:spacing w:line="240" w:lineRule="auto"/>
              <w:ind w:firstLine="0"/>
            </w:pPr>
            <w:r w:rsidRPr="004D46AC">
              <w:t>2</w:t>
            </w:r>
          </w:p>
        </w:tc>
        <w:tc>
          <w:tcPr>
            <w:tcW w:w="1296" w:type="dxa"/>
          </w:tcPr>
          <w:p w14:paraId="32F1B5B3" w14:textId="77777777" w:rsidR="009864DB" w:rsidRPr="004D46AC" w:rsidRDefault="009864DB" w:rsidP="009864DB">
            <w:pPr>
              <w:spacing w:line="240" w:lineRule="auto"/>
              <w:ind w:firstLine="0"/>
            </w:pPr>
            <w:r w:rsidRPr="004D46AC">
              <w:t>362</w:t>
            </w:r>
          </w:p>
        </w:tc>
        <w:tc>
          <w:tcPr>
            <w:tcW w:w="752" w:type="dxa"/>
            <w:vAlign w:val="center"/>
          </w:tcPr>
          <w:p w14:paraId="7DD4689E" w14:textId="77777777" w:rsidR="009864DB" w:rsidRPr="004D46AC" w:rsidRDefault="009864DB" w:rsidP="009864DB">
            <w:pPr>
              <w:spacing w:line="240" w:lineRule="auto"/>
              <w:ind w:firstLine="0"/>
            </w:pPr>
            <w:r w:rsidRPr="004D46AC">
              <w:t>NA</w:t>
            </w:r>
          </w:p>
        </w:tc>
        <w:tc>
          <w:tcPr>
            <w:tcW w:w="789" w:type="dxa"/>
            <w:gridSpan w:val="2"/>
            <w:vAlign w:val="center"/>
          </w:tcPr>
          <w:p w14:paraId="58BE785F" w14:textId="77777777" w:rsidR="009864DB" w:rsidRPr="004D46AC" w:rsidRDefault="009864DB" w:rsidP="009864DB">
            <w:pPr>
              <w:spacing w:line="240" w:lineRule="auto"/>
              <w:ind w:firstLine="0"/>
            </w:pPr>
            <w:r w:rsidRPr="004D46AC">
              <w:t>NA</w:t>
            </w:r>
          </w:p>
        </w:tc>
      </w:tr>
      <w:tr w:rsidR="009864DB" w:rsidRPr="004D46AC" w14:paraId="061A052F" w14:textId="77777777" w:rsidTr="00B518F1">
        <w:tc>
          <w:tcPr>
            <w:tcW w:w="1476" w:type="dxa"/>
          </w:tcPr>
          <w:p w14:paraId="5044E2B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AuthorYear="1"&gt;&lt;Author&gt;Swann&lt;/Author&gt;&lt;Year&gt;1997&lt;/Year&gt;&lt;RecNum&gt;49&lt;/RecNum&gt;&lt;DisplayText&gt;Swann et al. (1997)&lt;/DisplayText&gt;&lt;record&gt;&lt;rec-number&gt;49&lt;/rec-number&gt;&lt;foreign-keys&gt;&lt;key app="EN" db-id="aet009sstawa0hewvt3xwf5atffdw2dt02sw" timestamp="1665048706"&gt;49&lt;/key&gt;&lt;/foreign-keys&gt;&lt;ref-type name="Journal Article"&gt;17&lt;/ref-type&gt;&lt;contributors&gt;&lt;authors&gt;&lt;author&gt;Swann, A. C.&lt;/author&gt;&lt;author&gt;Bowden, C. L.&lt;/author&gt;&lt;author&gt;Morris, D.&lt;/author&gt;&lt;author&gt;Calabrese, J. R.&lt;/author&gt;&lt;author&gt;Petty, F.&lt;/author&gt;&lt;author&gt;Small, J.&lt;/author&gt;&lt;author&gt;Dilsaver, S. C.&lt;/author&gt;&lt;author&gt;Davis, J. M.&lt;/author&gt;&lt;/authors&gt;&lt;/contributors&gt;&lt;auth-address&gt;Department of Psychiatry, University of Texas Medical School at Houston, USA.&lt;/auth-address&gt;&lt;titles&gt;&lt;title&gt;Depression during mania. Treatment response to lithium or divalproex&lt;/title&gt;&lt;secondary-title&gt;Arch Gen Psychiatry&lt;/secondary-title&gt;&lt;/titles&gt;&lt;periodical&gt;&lt;full-title&gt;Arch Gen Psychiatry&lt;/full-title&gt;&lt;/periodical&gt;&lt;pages&gt;37-42&lt;/pages&gt;&lt;volume&gt;54&lt;/volume&gt;&lt;number&gt;1&lt;/number&gt;&lt;keywords&gt;&lt;keyword&gt;Adult&lt;/keyword&gt;&lt;keyword&gt;Bipolar Disorder/diagnosis/*drug therapy/psychology&lt;/keyword&gt;&lt;keyword&gt;Double-Blind Method&lt;/keyword&gt;&lt;keyword&gt;Female&lt;/keyword&gt;&lt;keyword&gt;Humans&lt;/keyword&gt;&lt;keyword&gt;Lithium/*therapeutic use&lt;/keyword&gt;&lt;keyword&gt;Male&lt;/keyword&gt;&lt;keyword&gt;Patient Dropouts&lt;/keyword&gt;&lt;keyword&gt;Placebos&lt;/keyword&gt;&lt;keyword&gt;Psychiatric Status Rating Scales&lt;/keyword&gt;&lt;keyword&gt;Severity of Illness Index&lt;/keyword&gt;&lt;keyword&gt;Treatment Outcome&lt;/keyword&gt;&lt;keyword&gt;Valproic Acid/*therapeutic use&lt;/keyword&gt;&lt;/keywords&gt;&lt;dates&gt;&lt;year&gt;1997&lt;/year&gt;&lt;pub-dates&gt;&lt;date&gt;Jan&lt;/date&gt;&lt;/pub-dates&gt;&lt;/dates&gt;&lt;isbn&gt;0003-990X (Print)&amp;#xD;0003-990X (Linking)&lt;/isbn&gt;&lt;accession-num&gt;9006398&lt;/accession-num&gt;&lt;urls&gt;&lt;related-urls&gt;&lt;url&gt;https://www.ncbi.nlm.nih.gov/pubmed/9006398&lt;/url&gt;&lt;/related-urls&gt;&lt;/urls&gt;&lt;electronic-resource-num&gt;10.1001/archpsyc.1997.01830130041008&lt;/electronic-resource-num&gt;&lt;remote-database-name&gt;Medline&lt;/remote-database-name&gt;&lt;remote-database-provider&gt;NLM&lt;/remote-database-provider&gt;&lt;language&gt;eng&lt;/language&gt;&lt;/record&gt;&lt;/Cite&gt;&lt;/EndNote&gt;</w:instrText>
            </w:r>
            <w:r w:rsidRPr="004D46AC">
              <w:fldChar w:fldCharType="separate"/>
            </w:r>
            <w:r w:rsidRPr="004D46AC">
              <w:t>Swann et al. (1997)</w:t>
            </w:r>
            <w:r w:rsidRPr="004D46AC">
              <w:fldChar w:fldCharType="end"/>
            </w:r>
          </w:p>
        </w:tc>
        <w:tc>
          <w:tcPr>
            <w:tcW w:w="754" w:type="dxa"/>
            <w:vAlign w:val="center"/>
          </w:tcPr>
          <w:p w14:paraId="7DBB6F1B" w14:textId="77777777" w:rsidR="009864DB" w:rsidRPr="004D46AC" w:rsidRDefault="009864DB" w:rsidP="009864DB">
            <w:pPr>
              <w:spacing w:line="240" w:lineRule="auto"/>
              <w:ind w:firstLine="0"/>
            </w:pPr>
            <w:r w:rsidRPr="004D46AC">
              <w:t>4</w:t>
            </w:r>
          </w:p>
        </w:tc>
        <w:tc>
          <w:tcPr>
            <w:tcW w:w="766" w:type="dxa"/>
            <w:vAlign w:val="center"/>
          </w:tcPr>
          <w:p w14:paraId="1AA26814" w14:textId="77777777" w:rsidR="009864DB" w:rsidRPr="004D46AC" w:rsidRDefault="009864DB" w:rsidP="009864DB">
            <w:pPr>
              <w:spacing w:line="240" w:lineRule="auto"/>
              <w:ind w:firstLine="0"/>
            </w:pPr>
            <w:r w:rsidRPr="004D46AC">
              <w:t>39</w:t>
            </w:r>
          </w:p>
        </w:tc>
        <w:tc>
          <w:tcPr>
            <w:tcW w:w="1096" w:type="dxa"/>
            <w:vAlign w:val="center"/>
          </w:tcPr>
          <w:p w14:paraId="637F981D" w14:textId="77777777" w:rsidR="009864DB" w:rsidRPr="004D46AC" w:rsidRDefault="009864DB" w:rsidP="009864DB">
            <w:pPr>
              <w:spacing w:line="240" w:lineRule="auto"/>
              <w:ind w:firstLine="0"/>
            </w:pPr>
            <w:r w:rsidRPr="004D46AC">
              <w:t>DSM3</w:t>
            </w:r>
          </w:p>
        </w:tc>
        <w:tc>
          <w:tcPr>
            <w:tcW w:w="1415" w:type="dxa"/>
            <w:vAlign w:val="center"/>
          </w:tcPr>
          <w:p w14:paraId="30FB6A00" w14:textId="77777777" w:rsidR="009864DB" w:rsidRPr="004D46AC" w:rsidRDefault="009864DB" w:rsidP="009864DB">
            <w:pPr>
              <w:spacing w:line="240" w:lineRule="auto"/>
              <w:ind w:firstLine="0"/>
            </w:pPr>
            <w:r w:rsidRPr="004D46AC">
              <w:t>SADS</w:t>
            </w:r>
          </w:p>
        </w:tc>
        <w:tc>
          <w:tcPr>
            <w:tcW w:w="876" w:type="dxa"/>
            <w:vAlign w:val="center"/>
          </w:tcPr>
          <w:p w14:paraId="381E5732" w14:textId="77777777" w:rsidR="009864DB" w:rsidRPr="004D46AC" w:rsidRDefault="009864DB" w:rsidP="009864DB">
            <w:pPr>
              <w:spacing w:line="240" w:lineRule="auto"/>
              <w:ind w:firstLine="0"/>
            </w:pPr>
            <w:r w:rsidRPr="004D46AC">
              <w:t>178</w:t>
            </w:r>
          </w:p>
        </w:tc>
        <w:tc>
          <w:tcPr>
            <w:tcW w:w="986" w:type="dxa"/>
            <w:vAlign w:val="center"/>
          </w:tcPr>
          <w:p w14:paraId="7F03E0CB" w14:textId="77777777" w:rsidR="009864DB" w:rsidRPr="004D46AC" w:rsidRDefault="009864DB" w:rsidP="009864DB">
            <w:pPr>
              <w:spacing w:line="240" w:lineRule="auto"/>
              <w:ind w:firstLine="0"/>
            </w:pPr>
            <w:r w:rsidRPr="004D46AC">
              <w:t>3</w:t>
            </w:r>
          </w:p>
        </w:tc>
        <w:tc>
          <w:tcPr>
            <w:tcW w:w="751" w:type="dxa"/>
            <w:vAlign w:val="center"/>
          </w:tcPr>
          <w:p w14:paraId="52D3BE76" w14:textId="77777777" w:rsidR="009864DB" w:rsidRPr="004D46AC" w:rsidRDefault="009864DB" w:rsidP="009864DB">
            <w:pPr>
              <w:spacing w:line="240" w:lineRule="auto"/>
              <w:ind w:firstLine="0"/>
            </w:pPr>
            <w:r w:rsidRPr="004D46AC">
              <w:t>2</w:t>
            </w:r>
          </w:p>
        </w:tc>
        <w:tc>
          <w:tcPr>
            <w:tcW w:w="752" w:type="dxa"/>
            <w:vAlign w:val="center"/>
          </w:tcPr>
          <w:p w14:paraId="203E924E" w14:textId="77777777" w:rsidR="009864DB" w:rsidRPr="004D46AC" w:rsidRDefault="009864DB" w:rsidP="009864DB">
            <w:pPr>
              <w:spacing w:line="240" w:lineRule="auto"/>
              <w:ind w:firstLine="0"/>
            </w:pPr>
            <w:r w:rsidRPr="004D46AC">
              <w:t>0</w:t>
            </w:r>
          </w:p>
        </w:tc>
        <w:tc>
          <w:tcPr>
            <w:tcW w:w="1296" w:type="dxa"/>
          </w:tcPr>
          <w:p w14:paraId="1B7F8138" w14:textId="77777777" w:rsidR="009864DB" w:rsidRPr="004D46AC" w:rsidRDefault="009864DB" w:rsidP="009864DB">
            <w:pPr>
              <w:spacing w:line="240" w:lineRule="auto"/>
              <w:ind w:firstLine="0"/>
            </w:pPr>
            <w:r w:rsidRPr="004D46AC">
              <w:t>30</w:t>
            </w:r>
          </w:p>
        </w:tc>
        <w:tc>
          <w:tcPr>
            <w:tcW w:w="752" w:type="dxa"/>
            <w:vAlign w:val="center"/>
          </w:tcPr>
          <w:p w14:paraId="058D14BE" w14:textId="77777777" w:rsidR="009864DB" w:rsidRPr="004D46AC" w:rsidRDefault="009864DB" w:rsidP="009864DB">
            <w:pPr>
              <w:spacing w:line="240" w:lineRule="auto"/>
              <w:ind w:firstLine="0"/>
            </w:pPr>
            <w:r w:rsidRPr="004D46AC">
              <w:t>NA</w:t>
            </w:r>
          </w:p>
        </w:tc>
        <w:tc>
          <w:tcPr>
            <w:tcW w:w="789" w:type="dxa"/>
            <w:gridSpan w:val="2"/>
            <w:vAlign w:val="center"/>
          </w:tcPr>
          <w:p w14:paraId="106176DF" w14:textId="77777777" w:rsidR="009864DB" w:rsidRPr="004D46AC" w:rsidRDefault="009864DB" w:rsidP="009864DB">
            <w:pPr>
              <w:spacing w:line="240" w:lineRule="auto"/>
              <w:ind w:firstLine="0"/>
            </w:pPr>
            <w:r w:rsidRPr="004D46AC">
              <w:t>NA</w:t>
            </w:r>
          </w:p>
        </w:tc>
      </w:tr>
      <w:tr w:rsidR="009864DB" w:rsidRPr="004D46AC" w14:paraId="73CBB2EA" w14:textId="77777777" w:rsidTr="00B518F1">
        <w:tc>
          <w:tcPr>
            <w:tcW w:w="1476" w:type="dxa"/>
          </w:tcPr>
          <w:p w14:paraId="2F458A15" w14:textId="77777777" w:rsidR="009864DB" w:rsidRPr="004D46AC" w:rsidRDefault="009864DB" w:rsidP="009864DB">
            <w:pPr>
              <w:spacing w:line="240" w:lineRule="auto"/>
              <w:ind w:firstLine="0"/>
            </w:pPr>
            <w:r w:rsidRPr="004D46AC">
              <w:fldChar w:fldCharType="begin">
                <w:fldData xml:space="preserve">PEVuZE5vdGU+PENpdGUgQXV0aG9yWWVhcj0iMSI+PEF1dGhvcj5HYW88L0F1dGhvcj48WWVhcj4y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Pr="004D46AC">
              <w:instrText xml:space="preserve"> ADDIN EN.CITE </w:instrText>
            </w:r>
            <w:r w:rsidRPr="004D46AC">
              <w:fldChar w:fldCharType="begin">
                <w:fldData xml:space="preserve">PEVuZE5vdGU+PENpdGUgQXV0aG9yWWVhcj0iMSI+PEF1dGhvcj5HYW88L0F1dGhvcj48WWVhcj4y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Pr="004D46AC">
              <w:instrText xml:space="preserve"> ADDIN EN.CITE.DATA </w:instrText>
            </w:r>
            <w:r w:rsidRPr="004D46AC">
              <w:fldChar w:fldCharType="end"/>
            </w:r>
            <w:r w:rsidRPr="004D46AC">
              <w:fldChar w:fldCharType="separate"/>
            </w:r>
            <w:r w:rsidRPr="004D46AC">
              <w:t>Gao et al. (2008)</w:t>
            </w:r>
            <w:r w:rsidRPr="004D46AC">
              <w:fldChar w:fldCharType="end"/>
            </w:r>
          </w:p>
        </w:tc>
        <w:tc>
          <w:tcPr>
            <w:tcW w:w="754" w:type="dxa"/>
            <w:vAlign w:val="center"/>
          </w:tcPr>
          <w:p w14:paraId="19CF0F57" w14:textId="77777777" w:rsidR="009864DB" w:rsidRPr="004D46AC" w:rsidRDefault="009864DB" w:rsidP="009864DB">
            <w:pPr>
              <w:spacing w:line="240" w:lineRule="auto"/>
              <w:ind w:firstLine="0"/>
            </w:pPr>
            <w:r w:rsidRPr="004D46AC">
              <w:t>6</w:t>
            </w:r>
          </w:p>
        </w:tc>
        <w:tc>
          <w:tcPr>
            <w:tcW w:w="766" w:type="dxa"/>
            <w:vAlign w:val="center"/>
          </w:tcPr>
          <w:p w14:paraId="378C2990" w14:textId="77777777" w:rsidR="009864DB" w:rsidRPr="004D46AC" w:rsidRDefault="009864DB" w:rsidP="009864DB">
            <w:pPr>
              <w:spacing w:line="240" w:lineRule="auto"/>
              <w:ind w:firstLine="0"/>
            </w:pPr>
            <w:r w:rsidRPr="004D46AC">
              <w:t>36.09</w:t>
            </w:r>
          </w:p>
        </w:tc>
        <w:tc>
          <w:tcPr>
            <w:tcW w:w="1096" w:type="dxa"/>
            <w:vAlign w:val="center"/>
          </w:tcPr>
          <w:p w14:paraId="1723528E" w14:textId="77777777" w:rsidR="009864DB" w:rsidRPr="004D46AC" w:rsidRDefault="009864DB" w:rsidP="009864DB">
            <w:pPr>
              <w:spacing w:line="240" w:lineRule="auto"/>
              <w:ind w:firstLine="0"/>
            </w:pPr>
            <w:r w:rsidRPr="004D46AC">
              <w:t>DSM4</w:t>
            </w:r>
          </w:p>
        </w:tc>
        <w:tc>
          <w:tcPr>
            <w:tcW w:w="1415" w:type="dxa"/>
            <w:vAlign w:val="center"/>
          </w:tcPr>
          <w:p w14:paraId="4122D1E0" w14:textId="77777777" w:rsidR="009864DB" w:rsidRPr="004D46AC" w:rsidRDefault="009864DB" w:rsidP="009864DB">
            <w:pPr>
              <w:spacing w:line="240" w:lineRule="auto"/>
              <w:ind w:firstLine="0"/>
            </w:pPr>
            <w:r w:rsidRPr="004D46AC">
              <w:t>SCID-P</w:t>
            </w:r>
          </w:p>
        </w:tc>
        <w:tc>
          <w:tcPr>
            <w:tcW w:w="876" w:type="dxa"/>
            <w:vAlign w:val="center"/>
          </w:tcPr>
          <w:p w14:paraId="6FDA525E" w14:textId="77777777" w:rsidR="009864DB" w:rsidRPr="004D46AC" w:rsidRDefault="009864DB" w:rsidP="009864DB">
            <w:pPr>
              <w:spacing w:line="240" w:lineRule="auto"/>
              <w:ind w:firstLine="0"/>
            </w:pPr>
            <w:r w:rsidRPr="004D46AC">
              <w:t>144</w:t>
            </w:r>
          </w:p>
        </w:tc>
        <w:tc>
          <w:tcPr>
            <w:tcW w:w="986" w:type="dxa"/>
            <w:vAlign w:val="center"/>
          </w:tcPr>
          <w:p w14:paraId="2596D1BE" w14:textId="77777777" w:rsidR="009864DB" w:rsidRPr="004D46AC" w:rsidRDefault="009864DB" w:rsidP="009864DB">
            <w:pPr>
              <w:spacing w:line="240" w:lineRule="auto"/>
              <w:ind w:firstLine="0"/>
            </w:pPr>
            <w:r w:rsidRPr="004D46AC">
              <w:t>2</w:t>
            </w:r>
          </w:p>
        </w:tc>
        <w:tc>
          <w:tcPr>
            <w:tcW w:w="751" w:type="dxa"/>
            <w:vAlign w:val="center"/>
          </w:tcPr>
          <w:p w14:paraId="25F92796" w14:textId="77777777" w:rsidR="009864DB" w:rsidRPr="004D46AC" w:rsidRDefault="009864DB" w:rsidP="009864DB">
            <w:pPr>
              <w:spacing w:line="240" w:lineRule="auto"/>
              <w:ind w:firstLine="0"/>
            </w:pPr>
            <w:r w:rsidRPr="004D46AC">
              <w:t>1</w:t>
            </w:r>
          </w:p>
        </w:tc>
        <w:tc>
          <w:tcPr>
            <w:tcW w:w="752" w:type="dxa"/>
            <w:vAlign w:val="center"/>
          </w:tcPr>
          <w:p w14:paraId="62707CDB" w14:textId="77777777" w:rsidR="009864DB" w:rsidRPr="004D46AC" w:rsidRDefault="009864DB" w:rsidP="009864DB">
            <w:pPr>
              <w:spacing w:line="240" w:lineRule="auto"/>
              <w:ind w:firstLine="0"/>
            </w:pPr>
            <w:r w:rsidRPr="004D46AC">
              <w:t>2</w:t>
            </w:r>
          </w:p>
        </w:tc>
        <w:tc>
          <w:tcPr>
            <w:tcW w:w="1296" w:type="dxa"/>
            <w:vAlign w:val="center"/>
          </w:tcPr>
          <w:p w14:paraId="1072D5D2" w14:textId="77777777" w:rsidR="009864DB" w:rsidRPr="004D46AC" w:rsidRDefault="009864DB" w:rsidP="009864DB">
            <w:pPr>
              <w:spacing w:line="240" w:lineRule="auto"/>
              <w:ind w:firstLine="0"/>
            </w:pPr>
            <w:r w:rsidRPr="004D46AC">
              <w:t>59</w:t>
            </w:r>
          </w:p>
        </w:tc>
        <w:tc>
          <w:tcPr>
            <w:tcW w:w="752" w:type="dxa"/>
            <w:vAlign w:val="center"/>
          </w:tcPr>
          <w:p w14:paraId="2081A139" w14:textId="77777777" w:rsidR="009864DB" w:rsidRPr="004D46AC" w:rsidRDefault="009864DB" w:rsidP="009864DB">
            <w:pPr>
              <w:spacing w:line="240" w:lineRule="auto"/>
              <w:ind w:firstLine="0"/>
            </w:pPr>
            <w:r w:rsidRPr="004D46AC">
              <w:t>NA</w:t>
            </w:r>
          </w:p>
        </w:tc>
        <w:tc>
          <w:tcPr>
            <w:tcW w:w="789" w:type="dxa"/>
            <w:gridSpan w:val="2"/>
            <w:vAlign w:val="center"/>
          </w:tcPr>
          <w:p w14:paraId="2812C992" w14:textId="77777777" w:rsidR="009864DB" w:rsidRPr="004D46AC" w:rsidRDefault="009864DB" w:rsidP="009864DB">
            <w:pPr>
              <w:spacing w:line="240" w:lineRule="auto"/>
              <w:ind w:firstLine="0"/>
            </w:pPr>
            <w:r w:rsidRPr="004D46AC">
              <w:t>NA</w:t>
            </w:r>
          </w:p>
        </w:tc>
      </w:tr>
      <w:tr w:rsidR="009864DB" w:rsidRPr="004D46AC" w14:paraId="3A8E9A48" w14:textId="77777777" w:rsidTr="00B518F1">
        <w:tc>
          <w:tcPr>
            <w:tcW w:w="1476" w:type="dxa"/>
          </w:tcPr>
          <w:p w14:paraId="689BA2C8" w14:textId="77777777" w:rsidR="009864DB" w:rsidRPr="004D46AC" w:rsidRDefault="009864DB" w:rsidP="009864DB">
            <w:pPr>
              <w:spacing w:line="240" w:lineRule="auto"/>
              <w:ind w:firstLine="0"/>
            </w:pPr>
            <w:r w:rsidRPr="004D46AC">
              <w:fldChar w:fldCharType="begin">
                <w:fldData xml:space="preserve">PEVuZE5vdGU+PENpdGUgQXV0aG9yWWVhcj0iMSI+PEF1dGhvcj5OaXZvbGk8L0F1dGhvcj48WWVh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</w:fldData>
              </w:fldChar>
            </w:r>
            <w:r w:rsidRPr="004D46AC">
              <w:instrText xml:space="preserve"> ADDIN EN.CITE </w:instrText>
            </w:r>
            <w:r w:rsidRPr="004D46AC">
              <w:fldChar w:fldCharType="begin">
                <w:fldData xml:space="preserve">PEVuZE5vdGU+PENpdGUgQXV0aG9yWWVhcj0iMSI+PEF1dGhvcj5OaXZvbGk8L0F1dGhvcj48WWVh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</w:fldData>
              </w:fldChar>
            </w:r>
            <w:r w:rsidRPr="004D46AC">
              <w:instrText xml:space="preserve"> ADDIN EN.CITE.DATA </w:instrText>
            </w:r>
            <w:r w:rsidRPr="004D46AC">
              <w:fldChar w:fldCharType="end"/>
            </w:r>
            <w:r w:rsidRPr="004D46AC">
              <w:fldChar w:fldCharType="separate"/>
            </w:r>
            <w:r w:rsidRPr="004D46AC">
              <w:t>Nivoli et al. (2013)</w:t>
            </w:r>
            <w:r w:rsidRPr="004D46AC">
              <w:fldChar w:fldCharType="end"/>
            </w:r>
          </w:p>
        </w:tc>
        <w:tc>
          <w:tcPr>
            <w:tcW w:w="754" w:type="dxa"/>
            <w:vAlign w:val="center"/>
          </w:tcPr>
          <w:p w14:paraId="35C0C286" w14:textId="77777777" w:rsidR="009864DB" w:rsidRPr="004D46AC" w:rsidRDefault="009864DB" w:rsidP="009864DB">
            <w:pPr>
              <w:spacing w:line="240" w:lineRule="auto"/>
              <w:ind w:firstLine="0"/>
            </w:pPr>
            <w:r w:rsidRPr="004D46AC">
              <w:t>6</w:t>
            </w:r>
          </w:p>
        </w:tc>
        <w:tc>
          <w:tcPr>
            <w:tcW w:w="766" w:type="dxa"/>
            <w:vAlign w:val="center"/>
          </w:tcPr>
          <w:p w14:paraId="3EF36FCA" w14:textId="77777777" w:rsidR="009864DB" w:rsidRPr="004D46AC" w:rsidRDefault="009864DB" w:rsidP="009864DB">
            <w:pPr>
              <w:spacing w:line="240" w:lineRule="auto"/>
              <w:ind w:firstLine="0"/>
            </w:pPr>
            <w:r w:rsidRPr="004D46AC">
              <w:t>43.58</w:t>
            </w:r>
          </w:p>
        </w:tc>
        <w:tc>
          <w:tcPr>
            <w:tcW w:w="1096" w:type="dxa"/>
            <w:vAlign w:val="center"/>
          </w:tcPr>
          <w:p w14:paraId="1C145B72" w14:textId="77777777" w:rsidR="009864DB" w:rsidRPr="004D46AC" w:rsidRDefault="009864DB" w:rsidP="009864DB">
            <w:pPr>
              <w:spacing w:line="240" w:lineRule="auto"/>
              <w:ind w:firstLine="0"/>
            </w:pPr>
            <w:r w:rsidRPr="004D46AC">
              <w:t>DSM4TR</w:t>
            </w:r>
          </w:p>
        </w:tc>
        <w:tc>
          <w:tcPr>
            <w:tcW w:w="1415" w:type="dxa"/>
            <w:vAlign w:val="center"/>
          </w:tcPr>
          <w:p w14:paraId="5404EDB1" w14:textId="77777777" w:rsidR="009864DB" w:rsidRPr="004D46AC" w:rsidRDefault="009864DB" w:rsidP="009864DB">
            <w:pPr>
              <w:spacing w:line="240" w:lineRule="auto"/>
              <w:ind w:firstLine="0"/>
            </w:pPr>
            <w:r w:rsidRPr="004D46AC">
              <w:t>SCID</w:t>
            </w:r>
          </w:p>
        </w:tc>
        <w:tc>
          <w:tcPr>
            <w:tcW w:w="876" w:type="dxa"/>
            <w:vAlign w:val="center"/>
          </w:tcPr>
          <w:p w14:paraId="5C1F91DD" w14:textId="77777777" w:rsidR="009864DB" w:rsidRPr="004D46AC" w:rsidRDefault="009864DB" w:rsidP="009864DB">
            <w:pPr>
              <w:spacing w:line="240" w:lineRule="auto"/>
              <w:ind w:firstLine="0"/>
            </w:pPr>
            <w:r w:rsidRPr="004D46AC">
              <w:t>604</w:t>
            </w:r>
          </w:p>
        </w:tc>
        <w:tc>
          <w:tcPr>
            <w:tcW w:w="986" w:type="dxa"/>
            <w:vAlign w:val="center"/>
          </w:tcPr>
          <w:p w14:paraId="422BC113" w14:textId="77777777" w:rsidR="009864DB" w:rsidRPr="004D46AC" w:rsidRDefault="009864DB" w:rsidP="009864DB">
            <w:pPr>
              <w:spacing w:line="240" w:lineRule="auto"/>
              <w:ind w:firstLine="0"/>
            </w:pPr>
            <w:r w:rsidRPr="004D46AC">
              <w:t>1</w:t>
            </w:r>
          </w:p>
        </w:tc>
        <w:tc>
          <w:tcPr>
            <w:tcW w:w="751" w:type="dxa"/>
            <w:vAlign w:val="center"/>
          </w:tcPr>
          <w:p w14:paraId="239ABE0F" w14:textId="77777777" w:rsidR="009864DB" w:rsidRPr="004D46AC" w:rsidRDefault="009864DB" w:rsidP="009864DB">
            <w:pPr>
              <w:spacing w:line="240" w:lineRule="auto"/>
              <w:ind w:firstLine="0"/>
            </w:pPr>
            <w:r w:rsidRPr="004D46AC">
              <w:t>1</w:t>
            </w:r>
          </w:p>
        </w:tc>
        <w:tc>
          <w:tcPr>
            <w:tcW w:w="752" w:type="dxa"/>
            <w:vAlign w:val="center"/>
          </w:tcPr>
          <w:p w14:paraId="027A1C38" w14:textId="77777777" w:rsidR="009864DB" w:rsidRPr="004D46AC" w:rsidRDefault="009864DB" w:rsidP="009864DB">
            <w:pPr>
              <w:spacing w:line="240" w:lineRule="auto"/>
              <w:ind w:firstLine="0"/>
            </w:pPr>
            <w:r w:rsidRPr="004D46AC">
              <w:t>2</w:t>
            </w:r>
          </w:p>
        </w:tc>
        <w:tc>
          <w:tcPr>
            <w:tcW w:w="1296" w:type="dxa"/>
            <w:vAlign w:val="center"/>
          </w:tcPr>
          <w:p w14:paraId="219950DC" w14:textId="77777777" w:rsidR="009864DB" w:rsidRPr="004D46AC" w:rsidRDefault="009864DB" w:rsidP="009864DB">
            <w:pPr>
              <w:spacing w:line="240" w:lineRule="auto"/>
              <w:ind w:firstLine="0"/>
            </w:pPr>
            <w:r w:rsidRPr="004D46AC">
              <w:t>314</w:t>
            </w:r>
          </w:p>
        </w:tc>
        <w:tc>
          <w:tcPr>
            <w:tcW w:w="752" w:type="dxa"/>
            <w:vAlign w:val="center"/>
          </w:tcPr>
          <w:p w14:paraId="11BFCA77" w14:textId="77777777" w:rsidR="009864DB" w:rsidRPr="004D46AC" w:rsidRDefault="009864DB" w:rsidP="009864DB">
            <w:pPr>
              <w:spacing w:line="240" w:lineRule="auto"/>
              <w:ind w:firstLine="0"/>
            </w:pPr>
            <w:r w:rsidRPr="004D46AC">
              <w:t>NA</w:t>
            </w:r>
          </w:p>
        </w:tc>
        <w:tc>
          <w:tcPr>
            <w:tcW w:w="789" w:type="dxa"/>
            <w:gridSpan w:val="2"/>
            <w:vAlign w:val="center"/>
          </w:tcPr>
          <w:p w14:paraId="05C6E6BD" w14:textId="77777777" w:rsidR="009864DB" w:rsidRPr="004D46AC" w:rsidRDefault="009864DB" w:rsidP="009864DB">
            <w:pPr>
              <w:spacing w:line="240" w:lineRule="auto"/>
              <w:ind w:firstLine="0"/>
            </w:pPr>
            <w:r w:rsidRPr="004D46AC">
              <w:t>NA</w:t>
            </w:r>
          </w:p>
        </w:tc>
      </w:tr>
      <w:tr w:rsidR="009864DB" w:rsidRPr="004D46AC" w14:paraId="1112B52E" w14:textId="77777777" w:rsidTr="00B518F1">
        <w:tc>
          <w:tcPr>
            <w:tcW w:w="1476" w:type="dxa"/>
          </w:tcPr>
          <w:p w14:paraId="0BC189C9"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AuthorYear="1"&gt;&lt;Author&gt;Heron&lt;/Author&gt;&lt;Year&gt;2003&lt;/Year&gt;&lt;RecNum&gt;52&lt;/RecNum&gt;&lt;DisplayText&gt;Heron et al. (2003)&lt;/DisplayText&gt;&lt;record&gt;&lt;rec-number&gt;52&lt;/rec-number&gt;&lt;foreign-keys&gt;&lt;key app="EN" db-id="aet009sstawa0hewvt3xwf5atffdw2dt02sw" timestamp="1665061177"&gt;52&lt;/key&gt;&lt;/foreign-keys&gt;&lt;ref-type name="Journal Article"&gt;17&lt;/ref-type&gt;&lt;contributors&gt;&lt;authors&gt;&lt;author&gt;Heron, J.&lt;/author&gt;&lt;author&gt;Jones, I.&lt;/author&gt;&lt;author&gt;Williams, J.&lt;/author&gt;&lt;author&gt;Owen, M. J.&lt;/author&gt;&lt;author&gt;Craddock, N.&lt;/author&gt;&lt;author&gt;Jones, L. A.&lt;/author&gt;&lt;/authors&gt;&lt;/contributors&gt;&lt;auth-address&gt;Division of Neuroscience, University of Birmingham, Queen Elizabeth Psychiatric Hospital, Birmingham B15 2QZ, UK.&lt;/auth-address&gt;&lt;titles&gt;&lt;title&gt;Self-reported schizotypy and bipolar disorder: demonstration of a lack of specificity of the Kings Schizotypy Questionnaire&lt;/title&gt;&lt;secondary-title&gt;Schizophr Res&lt;/secondary-title&gt;&lt;/titles&gt;&lt;periodical&gt;&lt;full-title&gt;Schizophr Res&lt;/full-title&gt;&lt;/periodical&gt;&lt;pages&gt;153-8&lt;/pages&gt;&lt;volume&gt;65&lt;/volume&gt;&lt;number&gt;2-3&lt;/number&gt;&lt;keywords&gt;&lt;keyword&gt;Adult&lt;/keyword&gt;&lt;keyword&gt;Bipolar Disorder/*diagnosis&lt;/keyword&gt;&lt;keyword&gt;Diagnostic and Statistical Manual of Mental Disorders&lt;/keyword&gt;&lt;keyword&gt;Female&lt;/keyword&gt;&lt;keyword&gt;Humans&lt;/keyword&gt;&lt;keyword&gt;Male&lt;/keyword&gt;&lt;keyword&gt;Middle Aged&lt;/keyword&gt;&lt;keyword&gt;Reproducibility of Results&lt;/keyword&gt;&lt;keyword&gt;Schizotypal Personality Disorder/*diagnosis&lt;/keyword&gt;&lt;keyword&gt;*Self-Assessment&lt;/keyword&gt;&lt;keyword&gt;Sensitivity and Specificity&lt;/keyword&gt;&lt;keyword&gt;*Surveys and Questionnaires&lt;/keyword&gt;&lt;/keywords&gt;&lt;dates&gt;&lt;year&gt;2003&lt;/year&gt;&lt;pub-dates&gt;&lt;date&gt;Dec 15&lt;/date&gt;&lt;/pub-dates&gt;&lt;/dates&gt;&lt;isbn&gt;0920-9964 (Print)&amp;#xD;0920-9964 (Linking)&lt;/isbn&gt;&lt;accession-num&gt;14630308&lt;/accession-num&gt;&lt;urls&gt;&lt;related-urls&gt;&lt;url&gt;https://www.ncbi.nlm.nih.gov/pubmed/14630308&lt;/url&gt;&lt;/related-urls&gt;&lt;/urls&gt;&lt;electronic-resource-num&gt;10.1016/s0920-9964(03)00004-5&lt;/electronic-resource-num&gt;&lt;remote-database-name&gt;Medline&lt;/remote-database-name&gt;&lt;remote-database-provider&gt;NLM&lt;/remote-database-provider&gt;&lt;language&gt;eng&lt;/language&gt;&lt;/record&gt;&lt;/Cite&gt;&lt;/EndNote&gt;</w:instrText>
            </w:r>
            <w:r w:rsidRPr="004D46AC">
              <w:fldChar w:fldCharType="separate"/>
            </w:r>
            <w:r w:rsidRPr="004D46AC">
              <w:t>Heron et al. (2003)</w:t>
            </w:r>
            <w:r w:rsidRPr="004D46AC">
              <w:fldChar w:fldCharType="end"/>
            </w:r>
          </w:p>
        </w:tc>
        <w:tc>
          <w:tcPr>
            <w:tcW w:w="754" w:type="dxa"/>
            <w:vAlign w:val="center"/>
          </w:tcPr>
          <w:p w14:paraId="1ACF9E64" w14:textId="77777777" w:rsidR="009864DB" w:rsidRPr="004D46AC" w:rsidRDefault="009864DB" w:rsidP="009864DB">
            <w:pPr>
              <w:spacing w:line="240" w:lineRule="auto"/>
              <w:ind w:firstLine="0"/>
            </w:pPr>
            <w:r w:rsidRPr="004D46AC">
              <w:t>6</w:t>
            </w:r>
          </w:p>
        </w:tc>
        <w:tc>
          <w:tcPr>
            <w:tcW w:w="766" w:type="dxa"/>
            <w:vAlign w:val="center"/>
          </w:tcPr>
          <w:p w14:paraId="29FC28EA" w14:textId="77777777" w:rsidR="009864DB" w:rsidRPr="004D46AC" w:rsidRDefault="009864DB" w:rsidP="009864DB">
            <w:pPr>
              <w:spacing w:line="240" w:lineRule="auto"/>
              <w:ind w:firstLine="0"/>
            </w:pPr>
            <w:r w:rsidRPr="004D46AC">
              <w:t>45</w:t>
            </w:r>
          </w:p>
        </w:tc>
        <w:tc>
          <w:tcPr>
            <w:tcW w:w="1096" w:type="dxa"/>
            <w:vAlign w:val="center"/>
          </w:tcPr>
          <w:p w14:paraId="49BA5088" w14:textId="77777777" w:rsidR="009864DB" w:rsidRPr="004D46AC" w:rsidRDefault="009864DB" w:rsidP="009864DB">
            <w:pPr>
              <w:spacing w:line="240" w:lineRule="auto"/>
              <w:ind w:firstLine="0"/>
            </w:pPr>
            <w:r w:rsidRPr="004D46AC">
              <w:t>DSM4</w:t>
            </w:r>
          </w:p>
        </w:tc>
        <w:tc>
          <w:tcPr>
            <w:tcW w:w="1415" w:type="dxa"/>
            <w:vAlign w:val="center"/>
          </w:tcPr>
          <w:p w14:paraId="0BB03BBD" w14:textId="77777777" w:rsidR="009864DB" w:rsidRPr="004D46AC" w:rsidRDefault="009864DB" w:rsidP="009864DB">
            <w:pPr>
              <w:spacing w:line="240" w:lineRule="auto"/>
              <w:ind w:firstLine="0"/>
            </w:pPr>
            <w:r w:rsidRPr="004D46AC">
              <w:t>SCAN</w:t>
            </w:r>
          </w:p>
        </w:tc>
        <w:tc>
          <w:tcPr>
            <w:tcW w:w="876" w:type="dxa"/>
            <w:vAlign w:val="center"/>
          </w:tcPr>
          <w:p w14:paraId="02F07C55" w14:textId="77777777" w:rsidR="009864DB" w:rsidRPr="004D46AC" w:rsidRDefault="009864DB" w:rsidP="009864DB">
            <w:pPr>
              <w:spacing w:line="240" w:lineRule="auto"/>
              <w:ind w:firstLine="0"/>
            </w:pPr>
            <w:r w:rsidRPr="004D46AC">
              <w:t>92</w:t>
            </w:r>
          </w:p>
        </w:tc>
        <w:tc>
          <w:tcPr>
            <w:tcW w:w="986" w:type="dxa"/>
            <w:vAlign w:val="center"/>
          </w:tcPr>
          <w:p w14:paraId="5EDE84F8" w14:textId="77777777" w:rsidR="009864DB" w:rsidRPr="004D46AC" w:rsidRDefault="009864DB" w:rsidP="009864DB">
            <w:pPr>
              <w:spacing w:line="240" w:lineRule="auto"/>
              <w:ind w:firstLine="0"/>
            </w:pPr>
            <w:r w:rsidRPr="004D46AC">
              <w:t>unclear</w:t>
            </w:r>
          </w:p>
        </w:tc>
        <w:tc>
          <w:tcPr>
            <w:tcW w:w="751" w:type="dxa"/>
            <w:vAlign w:val="center"/>
          </w:tcPr>
          <w:p w14:paraId="19A011DD" w14:textId="77777777" w:rsidR="009864DB" w:rsidRPr="004D46AC" w:rsidRDefault="009864DB" w:rsidP="009864DB">
            <w:pPr>
              <w:spacing w:line="240" w:lineRule="auto"/>
              <w:ind w:firstLine="0"/>
            </w:pPr>
            <w:r w:rsidRPr="004D46AC">
              <w:t>1</w:t>
            </w:r>
          </w:p>
        </w:tc>
        <w:tc>
          <w:tcPr>
            <w:tcW w:w="752" w:type="dxa"/>
            <w:vAlign w:val="center"/>
          </w:tcPr>
          <w:p w14:paraId="2CDA07C1" w14:textId="77777777" w:rsidR="009864DB" w:rsidRPr="004D46AC" w:rsidRDefault="009864DB" w:rsidP="009864DB">
            <w:pPr>
              <w:spacing w:line="240" w:lineRule="auto"/>
              <w:ind w:firstLine="0"/>
            </w:pPr>
            <w:r w:rsidRPr="004D46AC">
              <w:t>2</w:t>
            </w:r>
          </w:p>
        </w:tc>
        <w:tc>
          <w:tcPr>
            <w:tcW w:w="1296" w:type="dxa"/>
            <w:vAlign w:val="center"/>
          </w:tcPr>
          <w:p w14:paraId="436840FE" w14:textId="77777777" w:rsidR="009864DB" w:rsidRPr="004D46AC" w:rsidRDefault="009864DB" w:rsidP="009864DB">
            <w:pPr>
              <w:spacing w:line="240" w:lineRule="auto"/>
              <w:ind w:firstLine="0"/>
            </w:pPr>
            <w:r w:rsidRPr="004D46AC">
              <w:t>60</w:t>
            </w:r>
          </w:p>
        </w:tc>
        <w:tc>
          <w:tcPr>
            <w:tcW w:w="752" w:type="dxa"/>
            <w:vAlign w:val="center"/>
          </w:tcPr>
          <w:p w14:paraId="11922DDD" w14:textId="77777777" w:rsidR="009864DB" w:rsidRPr="004D46AC" w:rsidRDefault="009864DB" w:rsidP="009864DB">
            <w:pPr>
              <w:spacing w:line="240" w:lineRule="auto"/>
              <w:ind w:firstLine="0"/>
            </w:pPr>
            <w:r w:rsidRPr="004D46AC">
              <w:t>NA</w:t>
            </w:r>
          </w:p>
        </w:tc>
        <w:tc>
          <w:tcPr>
            <w:tcW w:w="789" w:type="dxa"/>
            <w:gridSpan w:val="2"/>
            <w:vAlign w:val="center"/>
          </w:tcPr>
          <w:p w14:paraId="2FF625BE" w14:textId="77777777" w:rsidR="009864DB" w:rsidRPr="004D46AC" w:rsidRDefault="009864DB" w:rsidP="009864DB">
            <w:pPr>
              <w:spacing w:line="240" w:lineRule="auto"/>
              <w:ind w:firstLine="0"/>
            </w:pPr>
            <w:r w:rsidRPr="004D46AC">
              <w:t>NA</w:t>
            </w:r>
          </w:p>
        </w:tc>
      </w:tr>
      <w:tr w:rsidR="009864DB" w:rsidRPr="004D46AC" w14:paraId="5F512FD5" w14:textId="77777777" w:rsidTr="00B518F1">
        <w:tc>
          <w:tcPr>
            <w:tcW w:w="1476" w:type="dxa"/>
          </w:tcPr>
          <w:p w14:paraId="15BD604F" w14:textId="77777777" w:rsidR="009864DB" w:rsidRPr="004D46AC" w:rsidRDefault="009864DB" w:rsidP="009864DB">
            <w:pPr>
              <w:spacing w:line="240" w:lineRule="auto"/>
              <w:ind w:firstLine="0"/>
            </w:pPr>
            <w:r w:rsidRPr="004D46AC">
              <w:fldChar w:fldCharType="begin">
                <w:fldData xml:space="preserve">PEVuZE5vdGU+PENpdGUgQXV0aG9yWWVhcj0iMSI+PEF1dGhvcj5DaGVuPC9BdXRob3I+PFllYXI+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 </w:instrText>
            </w:r>
            <w:r w:rsidRPr="004D46AC">
              <w:fldChar w:fldCharType="begin">
                <w:fldData xml:space="preserve">PEVuZE5vdGU+PENpdGUgQXV0aG9yWWVhcj0iMSI+PEF1dGhvcj5DaGVuPC9BdXRob3I+PFllYXI+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Chen et al. (2021)</w:t>
            </w:r>
            <w:r w:rsidRPr="004D46AC">
              <w:fldChar w:fldCharType="end"/>
            </w:r>
          </w:p>
        </w:tc>
        <w:tc>
          <w:tcPr>
            <w:tcW w:w="754" w:type="dxa"/>
            <w:vAlign w:val="center"/>
          </w:tcPr>
          <w:p w14:paraId="1D246BD3" w14:textId="77777777" w:rsidR="009864DB" w:rsidRPr="004D46AC" w:rsidRDefault="009864DB" w:rsidP="009864DB">
            <w:pPr>
              <w:spacing w:line="240" w:lineRule="auto"/>
              <w:ind w:firstLine="0"/>
            </w:pPr>
            <w:r w:rsidRPr="004D46AC">
              <w:t>5</w:t>
            </w:r>
          </w:p>
        </w:tc>
        <w:tc>
          <w:tcPr>
            <w:tcW w:w="766" w:type="dxa"/>
            <w:vAlign w:val="center"/>
          </w:tcPr>
          <w:p w14:paraId="19494F2D" w14:textId="77777777" w:rsidR="009864DB" w:rsidRPr="004D46AC" w:rsidRDefault="009864DB" w:rsidP="009864DB">
            <w:pPr>
              <w:spacing w:line="240" w:lineRule="auto"/>
              <w:ind w:firstLine="0"/>
            </w:pPr>
            <w:r w:rsidRPr="004D46AC">
              <w:t>38.32</w:t>
            </w:r>
          </w:p>
        </w:tc>
        <w:tc>
          <w:tcPr>
            <w:tcW w:w="1096" w:type="dxa"/>
            <w:vAlign w:val="center"/>
          </w:tcPr>
          <w:p w14:paraId="2C6F3CCD" w14:textId="77777777" w:rsidR="009864DB" w:rsidRPr="004D46AC" w:rsidRDefault="009864DB" w:rsidP="009864DB">
            <w:pPr>
              <w:spacing w:line="240" w:lineRule="auto"/>
              <w:ind w:firstLine="0"/>
            </w:pPr>
            <w:r w:rsidRPr="004D46AC">
              <w:t>DSM4</w:t>
            </w:r>
          </w:p>
        </w:tc>
        <w:tc>
          <w:tcPr>
            <w:tcW w:w="1415" w:type="dxa"/>
            <w:vAlign w:val="center"/>
          </w:tcPr>
          <w:p w14:paraId="427C5AF1" w14:textId="77777777" w:rsidR="009864DB" w:rsidRPr="004D46AC" w:rsidRDefault="009864DB" w:rsidP="009864DB">
            <w:pPr>
              <w:spacing w:line="240" w:lineRule="auto"/>
              <w:ind w:firstLine="0"/>
            </w:pPr>
            <w:r w:rsidRPr="004D46AC">
              <w:t>SCID</w:t>
            </w:r>
          </w:p>
        </w:tc>
        <w:tc>
          <w:tcPr>
            <w:tcW w:w="876" w:type="dxa"/>
            <w:vAlign w:val="center"/>
          </w:tcPr>
          <w:p w14:paraId="37B99A8E" w14:textId="77777777" w:rsidR="009864DB" w:rsidRPr="004D46AC" w:rsidRDefault="009864DB" w:rsidP="009864DB">
            <w:pPr>
              <w:spacing w:line="240" w:lineRule="auto"/>
              <w:ind w:firstLine="0"/>
            </w:pPr>
            <w:r w:rsidRPr="004D46AC">
              <w:t>94</w:t>
            </w:r>
          </w:p>
        </w:tc>
        <w:tc>
          <w:tcPr>
            <w:tcW w:w="986" w:type="dxa"/>
            <w:vAlign w:val="center"/>
          </w:tcPr>
          <w:p w14:paraId="666B0C9B" w14:textId="77777777" w:rsidR="009864DB" w:rsidRPr="004D46AC" w:rsidRDefault="009864DB" w:rsidP="009864DB">
            <w:pPr>
              <w:spacing w:line="240" w:lineRule="auto"/>
              <w:ind w:firstLine="0"/>
            </w:pPr>
            <w:r w:rsidRPr="004D46AC">
              <w:t>2</w:t>
            </w:r>
          </w:p>
        </w:tc>
        <w:tc>
          <w:tcPr>
            <w:tcW w:w="751" w:type="dxa"/>
            <w:vAlign w:val="center"/>
          </w:tcPr>
          <w:p w14:paraId="33CF7A0A" w14:textId="77777777" w:rsidR="009864DB" w:rsidRPr="004D46AC" w:rsidRDefault="009864DB" w:rsidP="009864DB">
            <w:pPr>
              <w:spacing w:line="240" w:lineRule="auto"/>
              <w:ind w:firstLine="0"/>
            </w:pPr>
            <w:r w:rsidRPr="004D46AC">
              <w:t>1</w:t>
            </w:r>
          </w:p>
        </w:tc>
        <w:tc>
          <w:tcPr>
            <w:tcW w:w="752" w:type="dxa"/>
            <w:vAlign w:val="center"/>
          </w:tcPr>
          <w:p w14:paraId="3989A268" w14:textId="77777777" w:rsidR="009864DB" w:rsidRPr="004D46AC" w:rsidRDefault="009864DB" w:rsidP="009864DB">
            <w:pPr>
              <w:spacing w:line="240" w:lineRule="auto"/>
              <w:ind w:firstLine="0"/>
            </w:pPr>
            <w:r w:rsidRPr="004D46AC">
              <w:t>2</w:t>
            </w:r>
          </w:p>
        </w:tc>
        <w:tc>
          <w:tcPr>
            <w:tcW w:w="1296" w:type="dxa"/>
            <w:vAlign w:val="center"/>
          </w:tcPr>
          <w:p w14:paraId="70284246" w14:textId="77777777" w:rsidR="009864DB" w:rsidRPr="004D46AC" w:rsidRDefault="009864DB" w:rsidP="009864DB">
            <w:pPr>
              <w:spacing w:line="240" w:lineRule="auto"/>
              <w:ind w:firstLine="0"/>
            </w:pPr>
            <w:r w:rsidRPr="004D46AC">
              <w:t>54</w:t>
            </w:r>
          </w:p>
        </w:tc>
        <w:tc>
          <w:tcPr>
            <w:tcW w:w="752" w:type="dxa"/>
            <w:vAlign w:val="center"/>
          </w:tcPr>
          <w:p w14:paraId="5383771B" w14:textId="77777777" w:rsidR="009864DB" w:rsidRPr="004D46AC" w:rsidRDefault="009864DB" w:rsidP="009864DB">
            <w:pPr>
              <w:spacing w:line="240" w:lineRule="auto"/>
              <w:ind w:firstLine="0"/>
            </w:pPr>
            <w:r w:rsidRPr="004D46AC">
              <w:t>NA</w:t>
            </w:r>
          </w:p>
        </w:tc>
        <w:tc>
          <w:tcPr>
            <w:tcW w:w="789" w:type="dxa"/>
            <w:gridSpan w:val="2"/>
            <w:vAlign w:val="center"/>
          </w:tcPr>
          <w:p w14:paraId="757D346D" w14:textId="77777777" w:rsidR="009864DB" w:rsidRPr="004D46AC" w:rsidRDefault="009864DB" w:rsidP="009864DB">
            <w:pPr>
              <w:spacing w:line="240" w:lineRule="auto"/>
              <w:ind w:firstLine="0"/>
            </w:pPr>
            <w:r w:rsidRPr="004D46AC">
              <w:t>NA</w:t>
            </w:r>
          </w:p>
        </w:tc>
      </w:tr>
      <w:tr w:rsidR="009864DB" w:rsidRPr="004D46AC" w14:paraId="659CFAA2" w14:textId="77777777" w:rsidTr="00B518F1">
        <w:tc>
          <w:tcPr>
            <w:tcW w:w="1476" w:type="dxa"/>
          </w:tcPr>
          <w:p w14:paraId="48A4F07F"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AuthorYear="1"&gt;&lt;Author&gt;Salem&lt;/Author&gt;&lt;Year&gt;2019&lt;/Year&gt;&lt;RecNum&gt;54&lt;/RecNum&gt;&lt;DisplayText&gt;Salem et al. (2019)&lt;/DisplayText&gt;&lt;record&gt;&lt;rec-number&gt;54&lt;/rec-number&gt;&lt;foreign-keys&gt;&lt;key app="EN" db-id="aet009sstawa0hewvt3xwf5atffdw2dt02sw" timestamp="1665066293"&gt;54&lt;/key&gt;&lt;/foreign-keys&gt;&lt;ref-type name="Journal Article"&gt;17&lt;/ref-type&gt;&lt;contributors&gt;&lt;authors&gt;&lt;author&gt;Salem, H.&lt;/author&gt;&lt;author&gt;Ruiz, A.&lt;/author&gt;&lt;author&gt;Hernandez, S.&lt;/author&gt;&lt;author&gt;Wahid, K.&lt;/author&gt;&lt;author&gt;Cao, F.&lt;/author&gt;&lt;author&gt;Karnes, B.&lt;/author&gt;&lt;author&gt;Beasley, S.&lt;/author&gt;&lt;author&gt;Sanches, M.&lt;/author&gt;&lt;author&gt;Ashtari, E.&lt;/author&gt;&lt;author&gt;Pigott, T.&lt;/author&gt;&lt;/authors&gt;&lt;/contributors&gt;&lt;titles&gt;&lt;title&gt;Borderline Personality Features in Inpatients with Bipolar Disorder: Impact on Course and Machine Learning Model Use to Predict Rapid Readmission&lt;/title&gt;&lt;secondary-title&gt;J Psychiatr Pract&lt;/secondary-title&gt;&lt;/titles&gt;&lt;pages&gt;279-289&lt;/pages&gt;&lt;volume&gt;25&lt;/volume&gt;&lt;number&gt;4&lt;/number&gt;&lt;keywords&gt;&lt;keyword&gt;Adult&lt;/keyword&gt;&lt;keyword&gt;Affect&lt;/keyword&gt;&lt;keyword&gt;Bipolar Disorder/*psychology/therapy&lt;/keyword&gt;&lt;keyword&gt;Borderline Personality Disorder/*psychology&lt;/keyword&gt;&lt;keyword&gt;Female&lt;/keyword&gt;&lt;keyword&gt;Humans&lt;/keyword&gt;&lt;keyword&gt;Inpatients&lt;/keyword&gt;&lt;keyword&gt;Length of Stay&lt;/keyword&gt;&lt;keyword&gt;*Machine Learning&lt;/keyword&gt;&lt;keyword&gt;Male&lt;/keyword&gt;&lt;keyword&gt;Models, Statistical&lt;/keyword&gt;&lt;keyword&gt;*Patient Readmission/statistics &amp;amp; numerical data&lt;/keyword&gt;&lt;keyword&gt;Personality&lt;/keyword&gt;&lt;/keywords&gt;&lt;dates&gt;&lt;year&gt;2019&lt;/year&gt;&lt;pub-dates&gt;&lt;date&gt;Jul&lt;/date&gt;&lt;/pub-dates&gt;&lt;/dates&gt;&lt;isbn&gt;1538-1145 (Electronic)&amp;#xD;1527-4160 (Linking)&lt;/isbn&gt;&lt;accession-num&gt;31291208&lt;/accession-num&gt;&lt;urls&gt;&lt;related-urls&gt;&lt;url&gt;https://www.ncbi.nlm.nih.gov/pubmed/31291208&lt;/url&gt;&lt;/related-urls&gt;&lt;/urls&gt;&lt;electronic-resource-num&gt;10.1097/PRA.0000000000000392&lt;/electronic-resource-num&gt;&lt;remote-database-name&gt;Medline&lt;/remote-database-name&gt;&lt;remote-database-provider&gt;NLM&lt;/remote-database-provider&gt;&lt;/record&gt;&lt;/Cite&gt;&lt;/EndNote&gt;</w:instrText>
            </w:r>
            <w:r w:rsidRPr="004D46AC">
              <w:fldChar w:fldCharType="separate"/>
            </w:r>
            <w:r w:rsidRPr="004D46AC">
              <w:t>Salem et al. (2019)</w:t>
            </w:r>
            <w:r w:rsidRPr="004D46AC">
              <w:fldChar w:fldCharType="end"/>
            </w:r>
          </w:p>
        </w:tc>
        <w:tc>
          <w:tcPr>
            <w:tcW w:w="754" w:type="dxa"/>
            <w:vAlign w:val="center"/>
          </w:tcPr>
          <w:p w14:paraId="7AAB041C" w14:textId="77777777" w:rsidR="009864DB" w:rsidRPr="004D46AC" w:rsidRDefault="009864DB" w:rsidP="009864DB">
            <w:pPr>
              <w:spacing w:line="240" w:lineRule="auto"/>
              <w:ind w:firstLine="0"/>
            </w:pPr>
            <w:r w:rsidRPr="004D46AC">
              <w:t>6</w:t>
            </w:r>
          </w:p>
        </w:tc>
        <w:tc>
          <w:tcPr>
            <w:tcW w:w="766" w:type="dxa"/>
            <w:vAlign w:val="center"/>
          </w:tcPr>
          <w:p w14:paraId="0DC9AD6C" w14:textId="77777777" w:rsidR="009864DB" w:rsidRPr="004D46AC" w:rsidRDefault="009864DB" w:rsidP="009864DB">
            <w:pPr>
              <w:spacing w:line="240" w:lineRule="auto"/>
              <w:ind w:firstLine="0"/>
            </w:pPr>
            <w:r w:rsidRPr="004D46AC">
              <w:t>33.04</w:t>
            </w:r>
          </w:p>
        </w:tc>
        <w:tc>
          <w:tcPr>
            <w:tcW w:w="1096" w:type="dxa"/>
            <w:vAlign w:val="center"/>
          </w:tcPr>
          <w:p w14:paraId="0D0EB678" w14:textId="77777777" w:rsidR="009864DB" w:rsidRPr="004D46AC" w:rsidRDefault="009864DB" w:rsidP="009864DB">
            <w:pPr>
              <w:spacing w:line="240" w:lineRule="auto"/>
              <w:ind w:firstLine="0"/>
            </w:pPr>
            <w:r w:rsidRPr="004D46AC">
              <w:t>DSM4TR</w:t>
            </w:r>
          </w:p>
        </w:tc>
        <w:tc>
          <w:tcPr>
            <w:tcW w:w="1415" w:type="dxa"/>
            <w:vAlign w:val="center"/>
          </w:tcPr>
          <w:p w14:paraId="087ACFD8" w14:textId="77777777" w:rsidR="009864DB" w:rsidRPr="004D46AC" w:rsidRDefault="009864DB" w:rsidP="009864DB">
            <w:pPr>
              <w:spacing w:line="240" w:lineRule="auto"/>
              <w:ind w:firstLine="0"/>
            </w:pPr>
            <w:r w:rsidRPr="004D46AC">
              <w:t>SCID</w:t>
            </w:r>
          </w:p>
        </w:tc>
        <w:tc>
          <w:tcPr>
            <w:tcW w:w="876" w:type="dxa"/>
            <w:vAlign w:val="center"/>
          </w:tcPr>
          <w:p w14:paraId="6A84586C" w14:textId="77777777" w:rsidR="009864DB" w:rsidRPr="004D46AC" w:rsidRDefault="009864DB" w:rsidP="009864DB">
            <w:pPr>
              <w:spacing w:line="240" w:lineRule="auto"/>
              <w:ind w:firstLine="0"/>
            </w:pPr>
            <w:r w:rsidRPr="004D46AC">
              <w:t>507</w:t>
            </w:r>
          </w:p>
        </w:tc>
        <w:tc>
          <w:tcPr>
            <w:tcW w:w="986" w:type="dxa"/>
            <w:vAlign w:val="center"/>
          </w:tcPr>
          <w:p w14:paraId="724127F5" w14:textId="77777777" w:rsidR="009864DB" w:rsidRPr="004D46AC" w:rsidRDefault="009864DB" w:rsidP="009864DB">
            <w:pPr>
              <w:spacing w:line="240" w:lineRule="auto"/>
              <w:ind w:firstLine="0"/>
            </w:pPr>
            <w:r w:rsidRPr="004D46AC">
              <w:t>3</w:t>
            </w:r>
          </w:p>
        </w:tc>
        <w:tc>
          <w:tcPr>
            <w:tcW w:w="751" w:type="dxa"/>
            <w:vAlign w:val="center"/>
          </w:tcPr>
          <w:p w14:paraId="48A6E474" w14:textId="77777777" w:rsidR="009864DB" w:rsidRPr="004D46AC" w:rsidRDefault="009864DB" w:rsidP="009864DB">
            <w:pPr>
              <w:spacing w:line="240" w:lineRule="auto"/>
              <w:ind w:firstLine="0"/>
            </w:pPr>
            <w:r w:rsidRPr="004D46AC">
              <w:t>1</w:t>
            </w:r>
          </w:p>
        </w:tc>
        <w:tc>
          <w:tcPr>
            <w:tcW w:w="752" w:type="dxa"/>
            <w:vAlign w:val="center"/>
          </w:tcPr>
          <w:p w14:paraId="4597191F" w14:textId="77777777" w:rsidR="009864DB" w:rsidRPr="004D46AC" w:rsidRDefault="009864DB" w:rsidP="009864DB">
            <w:pPr>
              <w:spacing w:line="240" w:lineRule="auto"/>
              <w:ind w:firstLine="0"/>
            </w:pPr>
            <w:r w:rsidRPr="004D46AC">
              <w:t>0</w:t>
            </w:r>
          </w:p>
        </w:tc>
        <w:tc>
          <w:tcPr>
            <w:tcW w:w="1296" w:type="dxa"/>
          </w:tcPr>
          <w:p w14:paraId="50AB9214" w14:textId="77777777" w:rsidR="009864DB" w:rsidRPr="004D46AC" w:rsidRDefault="009864DB" w:rsidP="009864DB">
            <w:pPr>
              <w:spacing w:line="240" w:lineRule="auto"/>
              <w:ind w:firstLine="0"/>
            </w:pPr>
            <w:r w:rsidRPr="004D46AC">
              <w:t>396</w:t>
            </w:r>
          </w:p>
        </w:tc>
        <w:tc>
          <w:tcPr>
            <w:tcW w:w="752" w:type="dxa"/>
            <w:vAlign w:val="center"/>
          </w:tcPr>
          <w:p w14:paraId="610FDE9B" w14:textId="77777777" w:rsidR="009864DB" w:rsidRPr="004D46AC" w:rsidRDefault="009864DB" w:rsidP="009864DB">
            <w:pPr>
              <w:spacing w:line="240" w:lineRule="auto"/>
              <w:ind w:firstLine="0"/>
            </w:pPr>
            <w:r w:rsidRPr="004D46AC">
              <w:t>NA</w:t>
            </w:r>
          </w:p>
        </w:tc>
        <w:tc>
          <w:tcPr>
            <w:tcW w:w="789" w:type="dxa"/>
            <w:gridSpan w:val="2"/>
            <w:vAlign w:val="center"/>
          </w:tcPr>
          <w:p w14:paraId="38DBDC3E" w14:textId="77777777" w:rsidR="009864DB" w:rsidRPr="004D46AC" w:rsidRDefault="009864DB" w:rsidP="009864DB">
            <w:pPr>
              <w:spacing w:line="240" w:lineRule="auto"/>
              <w:ind w:firstLine="0"/>
            </w:pPr>
            <w:r w:rsidRPr="004D46AC">
              <w:t>NA</w:t>
            </w:r>
          </w:p>
        </w:tc>
      </w:tr>
      <w:tr w:rsidR="009864DB" w:rsidRPr="004D46AC" w14:paraId="761C8FE3" w14:textId="77777777" w:rsidTr="00B518F1">
        <w:tc>
          <w:tcPr>
            <w:tcW w:w="1476" w:type="dxa"/>
          </w:tcPr>
          <w:p w14:paraId="5247F6F6" w14:textId="77777777" w:rsidR="009864DB" w:rsidRPr="004D46AC" w:rsidRDefault="009864DB" w:rsidP="009864DB">
            <w:pPr>
              <w:spacing w:line="240" w:lineRule="auto"/>
              <w:ind w:firstLine="0"/>
            </w:pPr>
            <w:r w:rsidRPr="004D46AC">
              <w:fldChar w:fldCharType="begin">
                <w:fldData xml:space="preserve">PEVuZE5vdGU+PENpdGUgQXV0aG9yWWVhcj0iMSI+PEF1dGhvcj5CdXJ0b248L0F1dGhvcj48WWVh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 </w:instrText>
            </w:r>
            <w:r w:rsidRPr="004D46AC">
              <w:fldChar w:fldCharType="begin">
                <w:fldData xml:space="preserve">PEVuZE5vdGU+PENpdGUgQXV0aG9yWWVhcj0iMSI+PEF1dGhvcj5CdXJ0b248L0F1dGhvcj48WWVh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EN.CITE.DATA </w:instrText>
            </w:r>
            <w:r w:rsidRPr="004D46AC">
              <w:fldChar w:fldCharType="end"/>
            </w:r>
            <w:r w:rsidRPr="004D46AC">
              <w:fldChar w:fldCharType="separate"/>
            </w:r>
            <w:r w:rsidRPr="004D46AC">
              <w:t>Burton et al. (2018)</w:t>
            </w:r>
            <w:r w:rsidRPr="004D46AC">
              <w:fldChar w:fldCharType="end"/>
            </w:r>
          </w:p>
        </w:tc>
        <w:tc>
          <w:tcPr>
            <w:tcW w:w="754" w:type="dxa"/>
            <w:vAlign w:val="center"/>
          </w:tcPr>
          <w:p w14:paraId="2DDA1A9A" w14:textId="77777777" w:rsidR="009864DB" w:rsidRPr="004D46AC" w:rsidRDefault="009864DB" w:rsidP="009864DB">
            <w:pPr>
              <w:spacing w:line="240" w:lineRule="auto"/>
              <w:ind w:firstLine="0"/>
            </w:pPr>
            <w:r w:rsidRPr="004D46AC">
              <w:t>6</w:t>
            </w:r>
          </w:p>
        </w:tc>
        <w:tc>
          <w:tcPr>
            <w:tcW w:w="766" w:type="dxa"/>
            <w:vAlign w:val="center"/>
          </w:tcPr>
          <w:p w14:paraId="233B5A9E" w14:textId="77777777" w:rsidR="009864DB" w:rsidRPr="004D46AC" w:rsidRDefault="009864DB" w:rsidP="009864DB">
            <w:pPr>
              <w:spacing w:line="240" w:lineRule="auto"/>
              <w:ind w:firstLine="0"/>
            </w:pPr>
            <w:r w:rsidRPr="004D46AC">
              <w:t>40.9</w:t>
            </w:r>
          </w:p>
        </w:tc>
        <w:tc>
          <w:tcPr>
            <w:tcW w:w="1096" w:type="dxa"/>
            <w:vAlign w:val="center"/>
          </w:tcPr>
          <w:p w14:paraId="37101C9E" w14:textId="77777777" w:rsidR="009864DB" w:rsidRPr="004D46AC" w:rsidRDefault="009864DB" w:rsidP="009864DB">
            <w:pPr>
              <w:spacing w:line="240" w:lineRule="auto"/>
              <w:ind w:firstLine="0"/>
            </w:pPr>
            <w:r w:rsidRPr="004D46AC">
              <w:t>DSM4</w:t>
            </w:r>
          </w:p>
        </w:tc>
        <w:tc>
          <w:tcPr>
            <w:tcW w:w="1415" w:type="dxa"/>
            <w:vAlign w:val="center"/>
          </w:tcPr>
          <w:p w14:paraId="00269C3D" w14:textId="77777777" w:rsidR="009864DB" w:rsidRPr="004D46AC" w:rsidRDefault="009864DB" w:rsidP="009864DB">
            <w:pPr>
              <w:spacing w:line="240" w:lineRule="auto"/>
              <w:ind w:firstLine="0"/>
            </w:pPr>
            <w:r w:rsidRPr="004D46AC">
              <w:t>DIGS</w:t>
            </w:r>
          </w:p>
        </w:tc>
        <w:tc>
          <w:tcPr>
            <w:tcW w:w="876" w:type="dxa"/>
            <w:vAlign w:val="center"/>
          </w:tcPr>
          <w:p w14:paraId="64448488" w14:textId="77777777" w:rsidR="009864DB" w:rsidRPr="004D46AC" w:rsidRDefault="009864DB" w:rsidP="009864DB">
            <w:pPr>
              <w:spacing w:line="240" w:lineRule="auto"/>
              <w:ind w:firstLine="0"/>
            </w:pPr>
            <w:r w:rsidRPr="004D46AC">
              <w:t>381</w:t>
            </w:r>
          </w:p>
        </w:tc>
        <w:tc>
          <w:tcPr>
            <w:tcW w:w="986" w:type="dxa"/>
            <w:vAlign w:val="center"/>
          </w:tcPr>
          <w:p w14:paraId="339D5456" w14:textId="77777777" w:rsidR="009864DB" w:rsidRPr="004D46AC" w:rsidRDefault="009864DB" w:rsidP="009864DB">
            <w:pPr>
              <w:spacing w:line="240" w:lineRule="auto"/>
              <w:ind w:firstLine="0"/>
            </w:pPr>
            <w:r w:rsidRPr="004D46AC">
              <w:t>unclear</w:t>
            </w:r>
          </w:p>
        </w:tc>
        <w:tc>
          <w:tcPr>
            <w:tcW w:w="751" w:type="dxa"/>
            <w:vAlign w:val="center"/>
          </w:tcPr>
          <w:p w14:paraId="35B943EE" w14:textId="77777777" w:rsidR="009864DB" w:rsidRPr="004D46AC" w:rsidRDefault="009864DB" w:rsidP="009864DB">
            <w:pPr>
              <w:spacing w:line="240" w:lineRule="auto"/>
              <w:ind w:firstLine="0"/>
            </w:pPr>
            <w:r w:rsidRPr="004D46AC">
              <w:t>1</w:t>
            </w:r>
          </w:p>
        </w:tc>
        <w:tc>
          <w:tcPr>
            <w:tcW w:w="752" w:type="dxa"/>
            <w:vAlign w:val="center"/>
          </w:tcPr>
          <w:p w14:paraId="1F6FCF64" w14:textId="77777777" w:rsidR="009864DB" w:rsidRPr="004D46AC" w:rsidRDefault="009864DB" w:rsidP="009864DB">
            <w:pPr>
              <w:spacing w:line="240" w:lineRule="auto"/>
              <w:ind w:firstLine="0"/>
            </w:pPr>
            <w:r w:rsidRPr="004D46AC">
              <w:t>2</w:t>
            </w:r>
          </w:p>
        </w:tc>
        <w:tc>
          <w:tcPr>
            <w:tcW w:w="1296" w:type="dxa"/>
            <w:vAlign w:val="center"/>
          </w:tcPr>
          <w:p w14:paraId="1F73DF36" w14:textId="77777777" w:rsidR="009864DB" w:rsidRPr="004D46AC" w:rsidRDefault="009864DB" w:rsidP="009864DB">
            <w:pPr>
              <w:spacing w:line="240" w:lineRule="auto"/>
              <w:ind w:firstLine="0"/>
            </w:pPr>
            <w:r w:rsidRPr="004D46AC">
              <w:t>213</w:t>
            </w:r>
          </w:p>
        </w:tc>
        <w:tc>
          <w:tcPr>
            <w:tcW w:w="752" w:type="dxa"/>
            <w:vAlign w:val="center"/>
          </w:tcPr>
          <w:p w14:paraId="3B46D0B7" w14:textId="77777777" w:rsidR="009864DB" w:rsidRPr="004D46AC" w:rsidRDefault="009864DB" w:rsidP="009864DB">
            <w:pPr>
              <w:spacing w:line="240" w:lineRule="auto"/>
              <w:ind w:firstLine="0"/>
            </w:pPr>
            <w:r w:rsidRPr="004D46AC">
              <w:t>NA</w:t>
            </w:r>
          </w:p>
        </w:tc>
        <w:tc>
          <w:tcPr>
            <w:tcW w:w="789" w:type="dxa"/>
            <w:gridSpan w:val="2"/>
            <w:vAlign w:val="center"/>
          </w:tcPr>
          <w:p w14:paraId="26C1DBDE" w14:textId="77777777" w:rsidR="009864DB" w:rsidRPr="004D46AC" w:rsidRDefault="009864DB" w:rsidP="009864DB">
            <w:pPr>
              <w:spacing w:line="240" w:lineRule="auto"/>
              <w:ind w:firstLine="0"/>
            </w:pPr>
            <w:r w:rsidRPr="004D46AC">
              <w:t>NA</w:t>
            </w:r>
          </w:p>
        </w:tc>
      </w:tr>
      <w:tr w:rsidR="009864DB" w:rsidRPr="004D46AC" w14:paraId="7521F34A" w14:textId="77777777" w:rsidTr="00B518F1">
        <w:tc>
          <w:tcPr>
            <w:tcW w:w="1476" w:type="dxa"/>
          </w:tcPr>
          <w:p w14:paraId="40C8F92A" w14:textId="77777777" w:rsidR="009864DB" w:rsidRPr="004D46AC" w:rsidRDefault="009864DB" w:rsidP="009864DB">
            <w:pPr>
              <w:spacing w:line="240" w:lineRule="auto"/>
              <w:ind w:firstLine="0"/>
            </w:pPr>
            <w:r w:rsidRPr="004D46AC">
              <w:fldChar w:fldCharType="begin">
                <w:fldData xml:space="preserve">PEVuZE5vdGU+PENpdGUgQXV0aG9yWWVhcj0iMSI+PEF1dGhvcj5DcmVtYXNjaGk8L0F1dGhvcj48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</w:fldData>
              </w:fldChar>
            </w:r>
            <w:r w:rsidRPr="004D46AC">
              <w:instrText xml:space="preserve"> ADDIN EN.CITE </w:instrText>
            </w:r>
            <w:r w:rsidRPr="004D46AC">
              <w:fldChar w:fldCharType="begin">
                <w:fldData xml:space="preserve">PEVuZE5vdGU+PENpdGUgQXV0aG9yWWVhcj0iMSI+PEF1dGhvcj5DcmVtYXNjaGk8L0F1dGhvcj48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</w:fldData>
              </w:fldChar>
            </w:r>
            <w:r w:rsidRPr="004D46AC">
              <w:instrText xml:space="preserve"> ADDIN EN.CITE.DATA </w:instrText>
            </w:r>
            <w:r w:rsidRPr="004D46AC">
              <w:fldChar w:fldCharType="end"/>
            </w:r>
            <w:r w:rsidRPr="004D46AC">
              <w:fldChar w:fldCharType="separate"/>
            </w:r>
            <w:r w:rsidRPr="004D46AC">
              <w:t>Cremaschi et al. (2017)</w:t>
            </w:r>
            <w:r w:rsidRPr="004D46AC">
              <w:fldChar w:fldCharType="end"/>
            </w:r>
          </w:p>
        </w:tc>
        <w:tc>
          <w:tcPr>
            <w:tcW w:w="754" w:type="dxa"/>
            <w:vAlign w:val="center"/>
          </w:tcPr>
          <w:p w14:paraId="790BAA47" w14:textId="77777777" w:rsidR="009864DB" w:rsidRPr="004D46AC" w:rsidRDefault="009864DB" w:rsidP="009864DB">
            <w:pPr>
              <w:spacing w:line="240" w:lineRule="auto"/>
              <w:ind w:firstLine="0"/>
            </w:pPr>
            <w:r w:rsidRPr="004D46AC">
              <w:t>6</w:t>
            </w:r>
          </w:p>
        </w:tc>
        <w:tc>
          <w:tcPr>
            <w:tcW w:w="766" w:type="dxa"/>
            <w:vAlign w:val="center"/>
          </w:tcPr>
          <w:p w14:paraId="4F9066D2" w14:textId="77777777" w:rsidR="009864DB" w:rsidRPr="004D46AC" w:rsidRDefault="009864DB" w:rsidP="009864DB">
            <w:pPr>
              <w:spacing w:line="240" w:lineRule="auto"/>
              <w:ind w:firstLine="0"/>
            </w:pPr>
            <w:r w:rsidRPr="004D46AC">
              <w:t>48.6</w:t>
            </w:r>
          </w:p>
        </w:tc>
        <w:tc>
          <w:tcPr>
            <w:tcW w:w="1096" w:type="dxa"/>
            <w:vAlign w:val="center"/>
          </w:tcPr>
          <w:p w14:paraId="71C55808" w14:textId="77777777" w:rsidR="009864DB" w:rsidRPr="004D46AC" w:rsidRDefault="009864DB" w:rsidP="009864DB">
            <w:pPr>
              <w:spacing w:line="240" w:lineRule="auto"/>
              <w:ind w:firstLine="0"/>
            </w:pPr>
            <w:r w:rsidRPr="004D46AC">
              <w:t>DSM4TR</w:t>
            </w:r>
          </w:p>
        </w:tc>
        <w:tc>
          <w:tcPr>
            <w:tcW w:w="1415" w:type="dxa"/>
            <w:vAlign w:val="center"/>
          </w:tcPr>
          <w:p w14:paraId="3ACF31A1" w14:textId="77777777" w:rsidR="009864DB" w:rsidRPr="004D46AC" w:rsidRDefault="009864DB" w:rsidP="009864DB">
            <w:pPr>
              <w:spacing w:line="240" w:lineRule="auto"/>
              <w:ind w:firstLine="0"/>
            </w:pPr>
            <w:r w:rsidRPr="004D46AC">
              <w:t>SCID</w:t>
            </w:r>
          </w:p>
        </w:tc>
        <w:tc>
          <w:tcPr>
            <w:tcW w:w="876" w:type="dxa"/>
            <w:vAlign w:val="center"/>
          </w:tcPr>
          <w:p w14:paraId="39AFB7BE" w14:textId="77777777" w:rsidR="009864DB" w:rsidRPr="004D46AC" w:rsidRDefault="009864DB" w:rsidP="009864DB">
            <w:pPr>
              <w:spacing w:line="240" w:lineRule="auto"/>
              <w:ind w:firstLine="0"/>
            </w:pPr>
            <w:r w:rsidRPr="004D46AC">
              <w:t>362</w:t>
            </w:r>
          </w:p>
        </w:tc>
        <w:tc>
          <w:tcPr>
            <w:tcW w:w="986" w:type="dxa"/>
            <w:vAlign w:val="center"/>
          </w:tcPr>
          <w:p w14:paraId="2528CE17" w14:textId="77777777" w:rsidR="009864DB" w:rsidRPr="004D46AC" w:rsidRDefault="009864DB" w:rsidP="009864DB">
            <w:pPr>
              <w:spacing w:line="240" w:lineRule="auto"/>
              <w:ind w:firstLine="0"/>
            </w:pPr>
            <w:r w:rsidRPr="004D46AC">
              <w:t>2</w:t>
            </w:r>
          </w:p>
        </w:tc>
        <w:tc>
          <w:tcPr>
            <w:tcW w:w="751" w:type="dxa"/>
            <w:vAlign w:val="center"/>
          </w:tcPr>
          <w:p w14:paraId="29770892" w14:textId="77777777" w:rsidR="009864DB" w:rsidRPr="004D46AC" w:rsidRDefault="009864DB" w:rsidP="009864DB">
            <w:pPr>
              <w:spacing w:line="240" w:lineRule="auto"/>
              <w:ind w:firstLine="0"/>
            </w:pPr>
            <w:r w:rsidRPr="004D46AC">
              <w:t>1</w:t>
            </w:r>
          </w:p>
        </w:tc>
        <w:tc>
          <w:tcPr>
            <w:tcW w:w="752" w:type="dxa"/>
            <w:vAlign w:val="center"/>
          </w:tcPr>
          <w:p w14:paraId="56909610" w14:textId="77777777" w:rsidR="009864DB" w:rsidRPr="004D46AC" w:rsidRDefault="009864DB" w:rsidP="009864DB">
            <w:pPr>
              <w:spacing w:line="240" w:lineRule="auto"/>
              <w:ind w:firstLine="0"/>
            </w:pPr>
            <w:r w:rsidRPr="004D46AC">
              <w:t>2</w:t>
            </w:r>
          </w:p>
        </w:tc>
        <w:tc>
          <w:tcPr>
            <w:tcW w:w="1296" w:type="dxa"/>
            <w:vAlign w:val="center"/>
          </w:tcPr>
          <w:p w14:paraId="03D9D987" w14:textId="77777777" w:rsidR="009864DB" w:rsidRPr="004D46AC" w:rsidRDefault="009864DB" w:rsidP="009864DB">
            <w:pPr>
              <w:spacing w:line="240" w:lineRule="auto"/>
              <w:ind w:firstLine="0"/>
            </w:pPr>
            <w:r w:rsidRPr="004D46AC">
              <w:t>208</w:t>
            </w:r>
          </w:p>
        </w:tc>
        <w:tc>
          <w:tcPr>
            <w:tcW w:w="752" w:type="dxa"/>
            <w:vAlign w:val="center"/>
          </w:tcPr>
          <w:p w14:paraId="577AD13B" w14:textId="77777777" w:rsidR="009864DB" w:rsidRPr="004D46AC" w:rsidRDefault="009864DB" w:rsidP="009864DB">
            <w:pPr>
              <w:spacing w:line="240" w:lineRule="auto"/>
              <w:ind w:firstLine="0"/>
            </w:pPr>
            <w:r w:rsidRPr="004D46AC">
              <w:t>NA</w:t>
            </w:r>
          </w:p>
        </w:tc>
        <w:tc>
          <w:tcPr>
            <w:tcW w:w="789" w:type="dxa"/>
            <w:gridSpan w:val="2"/>
            <w:vAlign w:val="center"/>
          </w:tcPr>
          <w:p w14:paraId="1DB99F53" w14:textId="77777777" w:rsidR="009864DB" w:rsidRPr="004D46AC" w:rsidRDefault="009864DB" w:rsidP="009864DB">
            <w:pPr>
              <w:spacing w:line="240" w:lineRule="auto"/>
              <w:ind w:firstLine="0"/>
            </w:pPr>
            <w:r w:rsidRPr="004D46AC">
              <w:t>NA</w:t>
            </w:r>
          </w:p>
        </w:tc>
      </w:tr>
      <w:tr w:rsidR="009864DB" w:rsidRPr="004D46AC" w14:paraId="4AABE0ED" w14:textId="77777777" w:rsidTr="00B518F1">
        <w:tc>
          <w:tcPr>
            <w:tcW w:w="1476" w:type="dxa"/>
          </w:tcPr>
          <w:p w14:paraId="327F4A4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AuthorYear="1"&gt;&lt;Author&gt;Raymont&lt;/Author&gt;&lt;Year&gt;2003&lt;/Year&gt;&lt;RecNum&gt;58&lt;/RecNum&gt;&lt;DisplayText&gt;Raymont et al. (2003)&lt;/DisplayText&gt;&lt;record&gt;&lt;rec-number&gt;58&lt;/rec-number&gt;&lt;foreign-keys&gt;&lt;key app="EN" db-id="aet009sstawa0hewvt3xwf5atffdw2dt02sw" timestamp="1665068593"&gt;58&lt;/key&gt;&lt;/foreign-keys&gt;&lt;ref-type name="Journal Article"&gt;17&lt;/ref-type&gt;&lt;contributors&gt;&lt;authors&gt;&lt;author&gt;Raymont, V.&lt;/author&gt;&lt;author&gt;Bettany, D.&lt;/author&gt;&lt;author&gt;Frangou, S.&lt;/author&gt;&lt;/authors&gt;&lt;/contributors&gt;&lt;auth-address&gt;Section of Neurobiology of Psychosis, P066, Division of Psychological Medicine, Institute of Psychiatry, De Crespigny Park, SE5 8AF, London, UK&lt;/auth-address&gt;&lt;titles&gt;&lt;title&gt;The Maudsley bipolar disorder project. Clinical characteristics of bipolar disorder I in a Catchment area treatment sample&lt;/title&gt;&lt;secondary-title&gt;Eur Psychiatry&lt;/secondary-title&gt;&lt;/titles&gt;&lt;periodical&gt;&lt;full-title&gt;Eur Psychiatry&lt;/full-title&gt;&lt;/periodical&gt;&lt;pages&gt;13-7&lt;/pages&gt;&lt;volume&gt;18&lt;/volume&gt;&lt;number&gt;1&lt;/number&gt;&lt;keywords&gt;&lt;keyword&gt;Adult&lt;/keyword&gt;&lt;keyword&gt;Bipolar Disorder/diagnosis/*epidemiology/therapy&lt;/keyword&gt;&lt;keyword&gt;Comorbidity&lt;/keyword&gt;&lt;keyword&gt;Female&lt;/keyword&gt;&lt;keyword&gt;Health Care Surveys&lt;/keyword&gt;&lt;keyword&gt;Humans&lt;/keyword&gt;&lt;keyword&gt;Male&lt;/keyword&gt;&lt;keyword&gt;Middle Aged&lt;/keyword&gt;&lt;keyword&gt;Prognosis&lt;/keyword&gt;&lt;keyword&gt;Risk Factors&lt;/keyword&gt;&lt;keyword&gt;Sampling Studies&lt;/keyword&gt;&lt;keyword&gt;Sex Factors&lt;/keyword&gt;&lt;keyword&gt;Socioeconomic Factors&lt;/keyword&gt;&lt;keyword&gt;Substance-Related Disorders/epidemiology&lt;/keyword&gt;&lt;keyword&gt;Treatment Outcome&lt;/keyword&gt;&lt;/keywords&gt;&lt;dates&gt;&lt;year&gt;2003&lt;/year&gt;&lt;pub-dates&gt;&lt;date&gt;Feb&lt;/date&gt;&lt;/pub-dates&gt;&lt;/dates&gt;&lt;isbn&gt;0924-9338 (Print)&amp;#xD;0924-9338 (Linking)&lt;/isbn&gt;&lt;accession-num&gt;12648890&lt;/accession-num&gt;&lt;urls&gt;&lt;related-urls&gt;&lt;url&gt;https://www.ncbi.nlm.nih.gov/pubmed/12648890&lt;/url&gt;&lt;/related-urls&gt;&lt;/urls&gt;&lt;electronic-resource-num&gt;10.1016/s0924-9338(02)00009-3&lt;/electronic-resource-num&gt;&lt;remote-database-name&gt;Medline&lt;/remote-database-name&gt;&lt;remote-database-provider&gt;NLM&lt;/remote-database-provider&gt;&lt;language&gt;eng&lt;/language&gt;&lt;/record&gt;&lt;/Cite&gt;&lt;/EndNote&gt;</w:instrText>
            </w:r>
            <w:r w:rsidRPr="004D46AC">
              <w:fldChar w:fldCharType="separate"/>
            </w:r>
            <w:r w:rsidRPr="004D46AC">
              <w:t>Raymont et al. (2003)</w:t>
            </w:r>
            <w:r w:rsidRPr="004D46AC">
              <w:fldChar w:fldCharType="end"/>
            </w:r>
          </w:p>
        </w:tc>
        <w:tc>
          <w:tcPr>
            <w:tcW w:w="754" w:type="dxa"/>
            <w:vAlign w:val="center"/>
          </w:tcPr>
          <w:p w14:paraId="585265E1" w14:textId="77777777" w:rsidR="009864DB" w:rsidRPr="004D46AC" w:rsidRDefault="009864DB" w:rsidP="009864DB">
            <w:pPr>
              <w:spacing w:line="240" w:lineRule="auto"/>
              <w:ind w:firstLine="0"/>
            </w:pPr>
            <w:r w:rsidRPr="004D46AC">
              <w:t>5</w:t>
            </w:r>
          </w:p>
        </w:tc>
        <w:tc>
          <w:tcPr>
            <w:tcW w:w="766" w:type="dxa"/>
            <w:vAlign w:val="center"/>
          </w:tcPr>
          <w:p w14:paraId="6C1B56E1" w14:textId="77777777" w:rsidR="009864DB" w:rsidRPr="004D46AC" w:rsidRDefault="009864DB" w:rsidP="009864DB">
            <w:pPr>
              <w:spacing w:line="240" w:lineRule="auto"/>
              <w:ind w:firstLine="0"/>
            </w:pPr>
            <w:r w:rsidRPr="004D46AC">
              <w:t>42</w:t>
            </w:r>
          </w:p>
        </w:tc>
        <w:tc>
          <w:tcPr>
            <w:tcW w:w="1096" w:type="dxa"/>
            <w:vAlign w:val="center"/>
          </w:tcPr>
          <w:p w14:paraId="6FE0F663" w14:textId="77777777" w:rsidR="009864DB" w:rsidRPr="004D46AC" w:rsidRDefault="009864DB" w:rsidP="009864DB">
            <w:pPr>
              <w:spacing w:line="240" w:lineRule="auto"/>
              <w:ind w:firstLine="0"/>
            </w:pPr>
            <w:r w:rsidRPr="004D46AC">
              <w:t>DSM4</w:t>
            </w:r>
          </w:p>
        </w:tc>
        <w:tc>
          <w:tcPr>
            <w:tcW w:w="1415" w:type="dxa"/>
            <w:vAlign w:val="center"/>
          </w:tcPr>
          <w:p w14:paraId="24592F86" w14:textId="77777777" w:rsidR="009864DB" w:rsidRPr="004D46AC" w:rsidRDefault="009864DB" w:rsidP="009864DB">
            <w:pPr>
              <w:spacing w:line="240" w:lineRule="auto"/>
              <w:ind w:firstLine="0"/>
            </w:pPr>
            <w:r w:rsidRPr="004D46AC">
              <w:t>SCID</w:t>
            </w:r>
          </w:p>
        </w:tc>
        <w:tc>
          <w:tcPr>
            <w:tcW w:w="876" w:type="dxa"/>
            <w:vAlign w:val="center"/>
          </w:tcPr>
          <w:p w14:paraId="0C80EF64" w14:textId="77777777" w:rsidR="009864DB" w:rsidRPr="004D46AC" w:rsidRDefault="009864DB" w:rsidP="009864DB">
            <w:pPr>
              <w:spacing w:line="240" w:lineRule="auto"/>
              <w:ind w:firstLine="0"/>
            </w:pPr>
            <w:r w:rsidRPr="004D46AC">
              <w:t>63</w:t>
            </w:r>
          </w:p>
        </w:tc>
        <w:tc>
          <w:tcPr>
            <w:tcW w:w="986" w:type="dxa"/>
            <w:vAlign w:val="center"/>
          </w:tcPr>
          <w:p w14:paraId="496C7C49" w14:textId="77777777" w:rsidR="009864DB" w:rsidRPr="004D46AC" w:rsidRDefault="009864DB" w:rsidP="009864DB">
            <w:pPr>
              <w:spacing w:line="240" w:lineRule="auto"/>
              <w:ind w:firstLine="0"/>
            </w:pPr>
            <w:r w:rsidRPr="004D46AC">
              <w:t>unclear</w:t>
            </w:r>
          </w:p>
        </w:tc>
        <w:tc>
          <w:tcPr>
            <w:tcW w:w="751" w:type="dxa"/>
            <w:vAlign w:val="center"/>
          </w:tcPr>
          <w:p w14:paraId="61E8D5C2" w14:textId="77777777" w:rsidR="009864DB" w:rsidRPr="004D46AC" w:rsidRDefault="009864DB" w:rsidP="009864DB">
            <w:pPr>
              <w:spacing w:line="240" w:lineRule="auto"/>
              <w:ind w:firstLine="0"/>
            </w:pPr>
            <w:r w:rsidRPr="004D46AC">
              <w:t>2</w:t>
            </w:r>
          </w:p>
        </w:tc>
        <w:tc>
          <w:tcPr>
            <w:tcW w:w="752" w:type="dxa"/>
            <w:vAlign w:val="center"/>
          </w:tcPr>
          <w:p w14:paraId="3C5D5A21" w14:textId="77777777" w:rsidR="009864DB" w:rsidRPr="004D46AC" w:rsidRDefault="009864DB" w:rsidP="009864DB">
            <w:pPr>
              <w:spacing w:line="240" w:lineRule="auto"/>
              <w:ind w:firstLine="0"/>
            </w:pPr>
            <w:r w:rsidRPr="004D46AC">
              <w:t>2</w:t>
            </w:r>
          </w:p>
        </w:tc>
        <w:tc>
          <w:tcPr>
            <w:tcW w:w="1296" w:type="dxa"/>
            <w:vAlign w:val="center"/>
          </w:tcPr>
          <w:p w14:paraId="645777FB" w14:textId="77777777" w:rsidR="009864DB" w:rsidRPr="004D46AC" w:rsidRDefault="009864DB" w:rsidP="009864DB">
            <w:pPr>
              <w:spacing w:line="240" w:lineRule="auto"/>
              <w:ind w:firstLine="0"/>
            </w:pPr>
            <w:r w:rsidRPr="004D46AC">
              <w:t>39</w:t>
            </w:r>
          </w:p>
        </w:tc>
        <w:tc>
          <w:tcPr>
            <w:tcW w:w="752" w:type="dxa"/>
            <w:vAlign w:val="center"/>
          </w:tcPr>
          <w:p w14:paraId="0AA2C9C7" w14:textId="77777777" w:rsidR="009864DB" w:rsidRPr="004D46AC" w:rsidRDefault="009864DB" w:rsidP="009864DB">
            <w:pPr>
              <w:spacing w:line="240" w:lineRule="auto"/>
              <w:ind w:firstLine="0"/>
            </w:pPr>
            <w:r w:rsidRPr="004D46AC">
              <w:t>NA</w:t>
            </w:r>
          </w:p>
        </w:tc>
        <w:tc>
          <w:tcPr>
            <w:tcW w:w="789" w:type="dxa"/>
            <w:gridSpan w:val="2"/>
            <w:vAlign w:val="center"/>
          </w:tcPr>
          <w:p w14:paraId="222398DB" w14:textId="77777777" w:rsidR="009864DB" w:rsidRPr="004D46AC" w:rsidRDefault="009864DB" w:rsidP="009864DB">
            <w:pPr>
              <w:spacing w:line="240" w:lineRule="auto"/>
              <w:ind w:firstLine="0"/>
            </w:pPr>
            <w:r w:rsidRPr="004D46AC">
              <w:t>NA</w:t>
            </w:r>
          </w:p>
        </w:tc>
      </w:tr>
      <w:tr w:rsidR="009864DB" w:rsidRPr="004D46AC" w14:paraId="62C0DD28" w14:textId="77777777" w:rsidTr="00B518F1">
        <w:tc>
          <w:tcPr>
            <w:tcW w:w="1476" w:type="dxa"/>
          </w:tcPr>
          <w:p w14:paraId="3EE0B5FF"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AuthorYear="1"&gt;&lt;Author&gt;Black&lt;/Author&gt;&lt;Year&gt;1989&lt;/Year&gt;&lt;RecNum&gt;230&lt;/RecNum&gt;&lt;DisplayText&gt;Black and Nasrallah (1989)&lt;/DisplayText&gt;&lt;record&gt;&lt;rec-number&gt;230&lt;/rec-number&gt;&lt;foreign-keys&gt;&lt;key app="EN" db-id="aet009sstawa0hewvt3xwf5atffdw2dt02sw" timestamp="1666176914"&gt;230&lt;/key&gt;&lt;/foreign-keys&gt;&lt;ref-type name="Journal Article"&gt;17&lt;/ref-type&gt;&lt;contributors&gt;&lt;authors&gt;&lt;author&gt;Black, D. W.&lt;/author&gt;&lt;author&gt;Nasrallah, A.&lt;/author&gt;&lt;/authors&gt;&lt;/contributors&gt;&lt;auth-address&gt;Department of Psychiatry, University of Iowa College of Medicine, Iowa City.&lt;/auth-address&gt;&lt;titles&gt;&lt;title&gt;Hallucinations and delusions in 1,715 patients with unipolar and bipolar affective disorders&lt;/title&gt;&lt;secondary-title&gt;Psychopathology&lt;/secondary-title&gt;&lt;/titles&gt;&lt;periodical&gt;&lt;full-title&gt;Psychopathology&lt;/full-title&gt;&lt;/periodical&gt;&lt;pages&gt;28-34&lt;/pages&gt;&lt;volume&gt;22&lt;/volume&gt;&lt;number&gt;1&lt;/number&gt;&lt;keywords&gt;&lt;keyword&gt;Bipolar Disorder/*complications&lt;/keyword&gt;&lt;keyword&gt;Delusions/*complications&lt;/keyword&gt;&lt;keyword&gt;Depressive Disorder/*complications&lt;/keyword&gt;&lt;keyword&gt;Hallucinations/*complications&lt;/keyword&gt;&lt;keyword&gt;Humans&lt;/keyword&gt;&lt;keyword&gt;Retrospective Studies&lt;/keyword&gt;&lt;/keywords&gt;&lt;dates&gt;&lt;year&gt;1989&lt;/year&gt;&lt;/dates&gt;&lt;isbn&gt;0254-4962 (Print)&amp;#xD;0254-4962 (Linking)&lt;/isbn&gt;&lt;accession-num&gt;2657835&lt;/accession-num&gt;&lt;urls&gt;&lt;related-urls&gt;&lt;url&gt;https://www.ncbi.nlm.nih.gov/pubmed/2657835&lt;/url&gt;&lt;/related-urls&gt;&lt;/urls&gt;&lt;electronic-resource-num&gt;10.1159/000284576&lt;/electronic-resource-num&gt;&lt;remote-database-name&gt;Medline&lt;/remote-database-name&gt;&lt;remote-database-provider&gt;NLM&lt;/remote-database-provider&gt;&lt;language&gt;eng&lt;/language&gt;&lt;/record&gt;&lt;/Cite&gt;&lt;/EndNote&gt;</w:instrText>
            </w:r>
            <w:r w:rsidRPr="004D46AC">
              <w:fldChar w:fldCharType="separate"/>
            </w:r>
            <w:r w:rsidRPr="004D46AC">
              <w:t>Black and Nasrallah (1989)</w:t>
            </w:r>
            <w:r w:rsidRPr="004D46AC">
              <w:fldChar w:fldCharType="end"/>
            </w:r>
          </w:p>
        </w:tc>
        <w:tc>
          <w:tcPr>
            <w:tcW w:w="754" w:type="dxa"/>
            <w:vAlign w:val="center"/>
          </w:tcPr>
          <w:p w14:paraId="4DB2BF91" w14:textId="77777777" w:rsidR="009864DB" w:rsidRPr="004D46AC" w:rsidRDefault="009864DB" w:rsidP="009864DB">
            <w:pPr>
              <w:spacing w:line="240" w:lineRule="auto"/>
              <w:ind w:firstLine="0"/>
            </w:pPr>
            <w:r w:rsidRPr="004D46AC">
              <w:t>5</w:t>
            </w:r>
          </w:p>
        </w:tc>
        <w:tc>
          <w:tcPr>
            <w:tcW w:w="766" w:type="dxa"/>
            <w:vAlign w:val="center"/>
          </w:tcPr>
          <w:p w14:paraId="5D6C05E6" w14:textId="77777777" w:rsidR="009864DB" w:rsidRPr="004D46AC" w:rsidRDefault="009864DB" w:rsidP="009864DB">
            <w:pPr>
              <w:spacing w:line="240" w:lineRule="auto"/>
              <w:ind w:firstLine="0"/>
            </w:pPr>
            <w:r w:rsidRPr="004D46AC">
              <w:t>NA</w:t>
            </w:r>
          </w:p>
        </w:tc>
        <w:tc>
          <w:tcPr>
            <w:tcW w:w="1096" w:type="dxa"/>
            <w:vAlign w:val="center"/>
          </w:tcPr>
          <w:p w14:paraId="142B3BCC" w14:textId="77777777" w:rsidR="009864DB" w:rsidRPr="004D46AC" w:rsidRDefault="009864DB" w:rsidP="009864DB">
            <w:pPr>
              <w:spacing w:line="240" w:lineRule="auto"/>
              <w:ind w:firstLine="0"/>
            </w:pPr>
            <w:r w:rsidRPr="004D46AC">
              <w:t>DSM3</w:t>
            </w:r>
          </w:p>
        </w:tc>
        <w:tc>
          <w:tcPr>
            <w:tcW w:w="1415" w:type="dxa"/>
            <w:vAlign w:val="center"/>
          </w:tcPr>
          <w:p w14:paraId="59A1C285" w14:textId="77777777" w:rsidR="009864DB" w:rsidRPr="004D46AC" w:rsidRDefault="009864DB" w:rsidP="009864DB">
            <w:pPr>
              <w:spacing w:line="240" w:lineRule="auto"/>
              <w:ind w:firstLine="0"/>
            </w:pPr>
            <w:r w:rsidRPr="004D46AC">
              <w:t>unclear</w:t>
            </w:r>
          </w:p>
        </w:tc>
        <w:tc>
          <w:tcPr>
            <w:tcW w:w="876" w:type="dxa"/>
            <w:vAlign w:val="center"/>
          </w:tcPr>
          <w:p w14:paraId="2DB0581C" w14:textId="77777777" w:rsidR="009864DB" w:rsidRPr="004D46AC" w:rsidRDefault="009864DB" w:rsidP="009864DB">
            <w:pPr>
              <w:spacing w:line="240" w:lineRule="auto"/>
              <w:ind w:firstLine="0"/>
            </w:pPr>
            <w:r w:rsidRPr="004D46AC">
              <w:t>628</w:t>
            </w:r>
          </w:p>
        </w:tc>
        <w:tc>
          <w:tcPr>
            <w:tcW w:w="986" w:type="dxa"/>
            <w:vAlign w:val="center"/>
          </w:tcPr>
          <w:p w14:paraId="6131044F" w14:textId="77777777" w:rsidR="009864DB" w:rsidRPr="004D46AC" w:rsidRDefault="009864DB" w:rsidP="009864DB">
            <w:pPr>
              <w:spacing w:line="240" w:lineRule="auto"/>
              <w:ind w:firstLine="0"/>
            </w:pPr>
            <w:r w:rsidRPr="004D46AC">
              <w:t>3</w:t>
            </w:r>
          </w:p>
        </w:tc>
        <w:tc>
          <w:tcPr>
            <w:tcW w:w="751" w:type="dxa"/>
            <w:vAlign w:val="center"/>
          </w:tcPr>
          <w:p w14:paraId="307F383F" w14:textId="77777777" w:rsidR="009864DB" w:rsidRPr="004D46AC" w:rsidRDefault="009864DB" w:rsidP="009864DB">
            <w:pPr>
              <w:spacing w:line="240" w:lineRule="auto"/>
              <w:ind w:firstLine="0"/>
            </w:pPr>
            <w:r w:rsidRPr="004D46AC">
              <w:t>1</w:t>
            </w:r>
          </w:p>
        </w:tc>
        <w:tc>
          <w:tcPr>
            <w:tcW w:w="752" w:type="dxa"/>
            <w:vAlign w:val="center"/>
          </w:tcPr>
          <w:p w14:paraId="1B9D91CB" w14:textId="77777777" w:rsidR="009864DB" w:rsidRPr="004D46AC" w:rsidRDefault="009864DB" w:rsidP="009864DB">
            <w:pPr>
              <w:spacing w:line="240" w:lineRule="auto"/>
              <w:ind w:firstLine="0"/>
            </w:pPr>
            <w:r w:rsidRPr="004D46AC">
              <w:t>0</w:t>
            </w:r>
          </w:p>
        </w:tc>
        <w:tc>
          <w:tcPr>
            <w:tcW w:w="1296" w:type="dxa"/>
          </w:tcPr>
          <w:p w14:paraId="06EEE879" w14:textId="77777777" w:rsidR="009864DB" w:rsidRPr="004D46AC" w:rsidRDefault="009864DB" w:rsidP="009864DB">
            <w:pPr>
              <w:spacing w:line="240" w:lineRule="auto"/>
              <w:ind w:firstLine="0"/>
            </w:pPr>
            <w:r w:rsidRPr="004D46AC">
              <w:t>249</w:t>
            </w:r>
          </w:p>
        </w:tc>
        <w:tc>
          <w:tcPr>
            <w:tcW w:w="752" w:type="dxa"/>
            <w:vAlign w:val="center"/>
          </w:tcPr>
          <w:p w14:paraId="165927A0" w14:textId="77777777" w:rsidR="009864DB" w:rsidRPr="004D46AC" w:rsidRDefault="009864DB" w:rsidP="009864DB">
            <w:pPr>
              <w:spacing w:line="240" w:lineRule="auto"/>
              <w:ind w:firstLine="0"/>
            </w:pPr>
            <w:r w:rsidRPr="004D46AC">
              <w:t>NA</w:t>
            </w:r>
          </w:p>
        </w:tc>
        <w:tc>
          <w:tcPr>
            <w:tcW w:w="789" w:type="dxa"/>
            <w:gridSpan w:val="2"/>
            <w:vAlign w:val="center"/>
          </w:tcPr>
          <w:p w14:paraId="7551EB68" w14:textId="77777777" w:rsidR="009864DB" w:rsidRPr="004D46AC" w:rsidRDefault="009864DB" w:rsidP="009864DB">
            <w:pPr>
              <w:spacing w:line="240" w:lineRule="auto"/>
              <w:ind w:firstLine="0"/>
            </w:pPr>
            <w:r w:rsidRPr="004D46AC">
              <w:t>NA</w:t>
            </w:r>
          </w:p>
        </w:tc>
      </w:tr>
      <w:tr w:rsidR="009864DB" w:rsidRPr="004D46AC" w14:paraId="2714AA47" w14:textId="77777777" w:rsidTr="00B518F1">
        <w:tc>
          <w:tcPr>
            <w:tcW w:w="1476" w:type="dxa"/>
          </w:tcPr>
          <w:p w14:paraId="1BF1226C" w14:textId="77777777" w:rsidR="009864DB" w:rsidRPr="004D46AC" w:rsidRDefault="009864DB" w:rsidP="009864DB">
            <w:pPr>
              <w:spacing w:line="240" w:lineRule="auto"/>
              <w:ind w:firstLine="0"/>
            </w:pPr>
            <w:r w:rsidRPr="004D46AC">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 </w:instrText>
            </w:r>
            <w:r w:rsidRPr="004D46AC">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EN.CITE.DATA </w:instrText>
            </w:r>
            <w:r w:rsidRPr="004D46AC">
              <w:fldChar w:fldCharType="end"/>
            </w:r>
            <w:r w:rsidRPr="004D46AC">
              <w:fldChar w:fldCharType="separate"/>
            </w:r>
            <w:r w:rsidRPr="004D46AC">
              <w:t>Upthegrove et al. (2015)</w:t>
            </w:r>
            <w:r w:rsidRPr="004D46AC">
              <w:fldChar w:fldCharType="end"/>
            </w:r>
          </w:p>
        </w:tc>
        <w:tc>
          <w:tcPr>
            <w:tcW w:w="754" w:type="dxa"/>
            <w:vAlign w:val="center"/>
          </w:tcPr>
          <w:p w14:paraId="0CC24960" w14:textId="77777777" w:rsidR="009864DB" w:rsidRPr="004D46AC" w:rsidRDefault="009864DB" w:rsidP="009864DB">
            <w:pPr>
              <w:spacing w:line="240" w:lineRule="auto"/>
              <w:ind w:firstLine="0"/>
            </w:pPr>
            <w:r w:rsidRPr="004D46AC">
              <w:t>6</w:t>
            </w:r>
          </w:p>
        </w:tc>
        <w:tc>
          <w:tcPr>
            <w:tcW w:w="766" w:type="dxa"/>
            <w:vAlign w:val="center"/>
          </w:tcPr>
          <w:p w14:paraId="1485ADF0" w14:textId="77777777" w:rsidR="009864DB" w:rsidRPr="004D46AC" w:rsidRDefault="009864DB" w:rsidP="009864DB">
            <w:pPr>
              <w:spacing w:line="240" w:lineRule="auto"/>
              <w:ind w:firstLine="0"/>
            </w:pPr>
            <w:r w:rsidRPr="004D46AC">
              <w:t>47</w:t>
            </w:r>
          </w:p>
        </w:tc>
        <w:tc>
          <w:tcPr>
            <w:tcW w:w="1096" w:type="dxa"/>
            <w:vAlign w:val="center"/>
          </w:tcPr>
          <w:p w14:paraId="676E7D4B" w14:textId="77777777" w:rsidR="009864DB" w:rsidRPr="004D46AC" w:rsidRDefault="009864DB" w:rsidP="009864DB">
            <w:pPr>
              <w:spacing w:line="240" w:lineRule="auto"/>
              <w:ind w:firstLine="0"/>
            </w:pPr>
            <w:r w:rsidRPr="004D46AC">
              <w:t>DSM4</w:t>
            </w:r>
          </w:p>
        </w:tc>
        <w:tc>
          <w:tcPr>
            <w:tcW w:w="1415" w:type="dxa"/>
            <w:vAlign w:val="center"/>
          </w:tcPr>
          <w:p w14:paraId="14C98D6D" w14:textId="77777777" w:rsidR="009864DB" w:rsidRPr="004D46AC" w:rsidRDefault="009864DB" w:rsidP="009864DB">
            <w:pPr>
              <w:spacing w:line="240" w:lineRule="auto"/>
              <w:ind w:firstLine="0"/>
            </w:pPr>
            <w:r w:rsidRPr="004D46AC">
              <w:t>SCAN</w:t>
            </w:r>
          </w:p>
        </w:tc>
        <w:tc>
          <w:tcPr>
            <w:tcW w:w="876" w:type="dxa"/>
            <w:vAlign w:val="center"/>
          </w:tcPr>
          <w:p w14:paraId="134346A6" w14:textId="77777777" w:rsidR="009864DB" w:rsidRPr="004D46AC" w:rsidRDefault="009864DB" w:rsidP="009864DB">
            <w:pPr>
              <w:spacing w:line="240" w:lineRule="auto"/>
              <w:ind w:firstLine="0"/>
            </w:pPr>
            <w:r w:rsidRPr="004D46AC">
              <w:t>2019</w:t>
            </w:r>
          </w:p>
        </w:tc>
        <w:tc>
          <w:tcPr>
            <w:tcW w:w="986" w:type="dxa"/>
            <w:vAlign w:val="center"/>
          </w:tcPr>
          <w:p w14:paraId="16F9FCB0" w14:textId="77777777" w:rsidR="009864DB" w:rsidRPr="004D46AC" w:rsidRDefault="009864DB" w:rsidP="009864DB">
            <w:pPr>
              <w:spacing w:line="240" w:lineRule="auto"/>
              <w:ind w:firstLine="0"/>
            </w:pPr>
            <w:r w:rsidRPr="004D46AC">
              <w:t>unclear</w:t>
            </w:r>
          </w:p>
        </w:tc>
        <w:tc>
          <w:tcPr>
            <w:tcW w:w="751" w:type="dxa"/>
            <w:vAlign w:val="center"/>
          </w:tcPr>
          <w:p w14:paraId="0F5FB020" w14:textId="77777777" w:rsidR="009864DB" w:rsidRPr="004D46AC" w:rsidRDefault="009864DB" w:rsidP="009864DB">
            <w:pPr>
              <w:spacing w:line="240" w:lineRule="auto"/>
              <w:ind w:firstLine="0"/>
            </w:pPr>
            <w:r w:rsidRPr="004D46AC">
              <w:t>2</w:t>
            </w:r>
          </w:p>
        </w:tc>
        <w:tc>
          <w:tcPr>
            <w:tcW w:w="752" w:type="dxa"/>
            <w:vAlign w:val="center"/>
          </w:tcPr>
          <w:p w14:paraId="64F47A57" w14:textId="77777777" w:rsidR="009864DB" w:rsidRPr="004D46AC" w:rsidRDefault="009864DB" w:rsidP="009864DB">
            <w:pPr>
              <w:spacing w:line="240" w:lineRule="auto"/>
              <w:ind w:firstLine="0"/>
            </w:pPr>
            <w:r w:rsidRPr="004D46AC">
              <w:t>2</w:t>
            </w:r>
          </w:p>
        </w:tc>
        <w:tc>
          <w:tcPr>
            <w:tcW w:w="1296" w:type="dxa"/>
            <w:vAlign w:val="center"/>
          </w:tcPr>
          <w:p w14:paraId="120636B9" w14:textId="77777777" w:rsidR="009864DB" w:rsidRPr="004D46AC" w:rsidRDefault="009864DB" w:rsidP="009864DB">
            <w:pPr>
              <w:spacing w:line="240" w:lineRule="auto"/>
              <w:ind w:firstLine="0"/>
            </w:pPr>
            <w:r w:rsidRPr="004D46AC">
              <w:t>1408</w:t>
            </w:r>
          </w:p>
        </w:tc>
        <w:tc>
          <w:tcPr>
            <w:tcW w:w="752" w:type="dxa"/>
            <w:vAlign w:val="center"/>
          </w:tcPr>
          <w:p w14:paraId="136E05E4" w14:textId="77777777" w:rsidR="009864DB" w:rsidRPr="004D46AC" w:rsidRDefault="009864DB" w:rsidP="009864DB">
            <w:pPr>
              <w:spacing w:line="240" w:lineRule="auto"/>
              <w:ind w:firstLine="0"/>
            </w:pPr>
            <w:r w:rsidRPr="004D46AC">
              <w:t>NA</w:t>
            </w:r>
          </w:p>
        </w:tc>
        <w:tc>
          <w:tcPr>
            <w:tcW w:w="789" w:type="dxa"/>
            <w:gridSpan w:val="2"/>
            <w:vAlign w:val="center"/>
          </w:tcPr>
          <w:p w14:paraId="7EE4B585" w14:textId="77777777" w:rsidR="009864DB" w:rsidRPr="004D46AC" w:rsidRDefault="009864DB" w:rsidP="009864DB">
            <w:pPr>
              <w:spacing w:line="240" w:lineRule="auto"/>
              <w:ind w:firstLine="0"/>
            </w:pPr>
            <w:r w:rsidRPr="004D46AC">
              <w:t>NA</w:t>
            </w:r>
          </w:p>
        </w:tc>
      </w:tr>
      <w:tr w:rsidR="009864DB" w:rsidRPr="004D46AC" w14:paraId="6DDEA6F5" w14:textId="77777777" w:rsidTr="00B518F1">
        <w:tc>
          <w:tcPr>
            <w:tcW w:w="1476" w:type="dxa"/>
          </w:tcPr>
          <w:p w14:paraId="5ED51C1D" w14:textId="77777777" w:rsidR="009864DB" w:rsidRPr="004D46AC" w:rsidRDefault="009864DB" w:rsidP="009864DB">
            <w:pPr>
              <w:spacing w:line="240" w:lineRule="auto"/>
              <w:ind w:firstLine="0"/>
            </w:pPr>
            <w:r w:rsidRPr="004D46AC">
              <w:fldChar w:fldCharType="begin">
                <w:fldData xml:space="preserve">PEVuZE5vdGU+PENpdGUgQXV0aG9yWWVhcj0iMSI+PEF1dGhvcj5HYXJjaWEtR29uemFsZXo8L0F1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</w:fldData>
              </w:fldChar>
            </w:r>
            <w:r w:rsidRPr="004D46AC">
              <w:instrText xml:space="preserve"> ADDIN EN.CITE </w:instrText>
            </w:r>
            <w:r w:rsidRPr="004D46AC">
              <w:fldChar w:fldCharType="begin">
                <w:fldData xml:space="preserve">PEVuZE5vdGU+PENpdGUgQXV0aG9yWWVhcj0iMSI+PEF1dGhvcj5HYXJjaWEtR29uemFsZXo8L0F1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</w:fldData>
              </w:fldChar>
            </w:r>
            <w:r w:rsidRPr="004D46AC">
              <w:instrText xml:space="preserve"> ADDIN EN.CITE.DATA </w:instrText>
            </w:r>
            <w:r w:rsidRPr="004D46AC">
              <w:fldChar w:fldCharType="end"/>
            </w:r>
            <w:r w:rsidRPr="004D46AC">
              <w:fldChar w:fldCharType="separate"/>
            </w:r>
            <w:r w:rsidRPr="004D46AC">
              <w:t>Garcia-Gonzalez et al. (2020)</w:t>
            </w:r>
            <w:r w:rsidRPr="004D46AC">
              <w:fldChar w:fldCharType="end"/>
            </w:r>
          </w:p>
        </w:tc>
        <w:tc>
          <w:tcPr>
            <w:tcW w:w="754" w:type="dxa"/>
            <w:vAlign w:val="center"/>
          </w:tcPr>
          <w:p w14:paraId="30A478D3" w14:textId="77777777" w:rsidR="009864DB" w:rsidRPr="004D46AC" w:rsidRDefault="009864DB" w:rsidP="009864DB">
            <w:pPr>
              <w:spacing w:line="240" w:lineRule="auto"/>
              <w:ind w:firstLine="0"/>
            </w:pPr>
            <w:r w:rsidRPr="004D46AC">
              <w:t>5</w:t>
            </w:r>
          </w:p>
        </w:tc>
        <w:tc>
          <w:tcPr>
            <w:tcW w:w="766" w:type="dxa"/>
            <w:vAlign w:val="center"/>
          </w:tcPr>
          <w:p w14:paraId="30BC0CE5" w14:textId="77777777" w:rsidR="009864DB" w:rsidRPr="004D46AC" w:rsidRDefault="009864DB" w:rsidP="009864DB">
            <w:pPr>
              <w:spacing w:line="240" w:lineRule="auto"/>
              <w:ind w:firstLine="0"/>
            </w:pPr>
            <w:r w:rsidRPr="004D46AC">
              <w:rPr>
                <w:rFonts w:hint="eastAsia"/>
              </w:rPr>
              <w:t>NA</w:t>
            </w:r>
          </w:p>
        </w:tc>
        <w:tc>
          <w:tcPr>
            <w:tcW w:w="1096" w:type="dxa"/>
            <w:vAlign w:val="center"/>
          </w:tcPr>
          <w:p w14:paraId="394789A7" w14:textId="77777777" w:rsidR="009864DB" w:rsidRPr="004D46AC" w:rsidRDefault="009864DB" w:rsidP="009864DB">
            <w:pPr>
              <w:spacing w:line="240" w:lineRule="auto"/>
              <w:ind w:firstLine="0"/>
            </w:pPr>
            <w:r w:rsidRPr="004D46AC">
              <w:t>ICD10</w:t>
            </w:r>
          </w:p>
        </w:tc>
        <w:tc>
          <w:tcPr>
            <w:tcW w:w="1415" w:type="dxa"/>
            <w:vAlign w:val="center"/>
          </w:tcPr>
          <w:p w14:paraId="0878AB0E" w14:textId="77777777" w:rsidR="009864DB" w:rsidRPr="004D46AC" w:rsidRDefault="009864DB" w:rsidP="009864DB">
            <w:pPr>
              <w:spacing w:line="240" w:lineRule="auto"/>
              <w:ind w:firstLine="0"/>
            </w:pPr>
            <w:r w:rsidRPr="004D46AC">
              <w:t>CIDI</w:t>
            </w:r>
          </w:p>
        </w:tc>
        <w:tc>
          <w:tcPr>
            <w:tcW w:w="876" w:type="dxa"/>
            <w:vAlign w:val="center"/>
          </w:tcPr>
          <w:p w14:paraId="1846F455" w14:textId="77777777" w:rsidR="009864DB" w:rsidRPr="004D46AC" w:rsidRDefault="009864DB" w:rsidP="009864DB">
            <w:pPr>
              <w:spacing w:line="240" w:lineRule="auto"/>
              <w:ind w:firstLine="0"/>
            </w:pPr>
            <w:r w:rsidRPr="004D46AC">
              <w:t>781</w:t>
            </w:r>
          </w:p>
        </w:tc>
        <w:tc>
          <w:tcPr>
            <w:tcW w:w="986" w:type="dxa"/>
            <w:vAlign w:val="center"/>
          </w:tcPr>
          <w:p w14:paraId="751815DA" w14:textId="77777777" w:rsidR="009864DB" w:rsidRPr="004D46AC" w:rsidRDefault="009864DB" w:rsidP="009864DB">
            <w:pPr>
              <w:spacing w:line="240" w:lineRule="auto"/>
              <w:ind w:firstLine="0"/>
            </w:pPr>
            <w:r w:rsidRPr="004D46AC">
              <w:t>unclear</w:t>
            </w:r>
          </w:p>
        </w:tc>
        <w:tc>
          <w:tcPr>
            <w:tcW w:w="751" w:type="dxa"/>
            <w:vAlign w:val="center"/>
          </w:tcPr>
          <w:p w14:paraId="380B3625" w14:textId="77777777" w:rsidR="009864DB" w:rsidRPr="004D46AC" w:rsidRDefault="009864DB" w:rsidP="009864DB">
            <w:pPr>
              <w:spacing w:line="240" w:lineRule="auto"/>
              <w:ind w:firstLine="0"/>
            </w:pPr>
            <w:r w:rsidRPr="004D46AC">
              <w:t>1</w:t>
            </w:r>
          </w:p>
        </w:tc>
        <w:tc>
          <w:tcPr>
            <w:tcW w:w="752" w:type="dxa"/>
            <w:vAlign w:val="center"/>
          </w:tcPr>
          <w:p w14:paraId="2128FD4A" w14:textId="77777777" w:rsidR="009864DB" w:rsidRPr="004D46AC" w:rsidRDefault="009864DB" w:rsidP="009864DB">
            <w:pPr>
              <w:spacing w:line="240" w:lineRule="auto"/>
              <w:ind w:firstLine="0"/>
            </w:pPr>
            <w:r w:rsidRPr="004D46AC">
              <w:t>2</w:t>
            </w:r>
          </w:p>
        </w:tc>
        <w:tc>
          <w:tcPr>
            <w:tcW w:w="1296" w:type="dxa"/>
            <w:vAlign w:val="center"/>
          </w:tcPr>
          <w:p w14:paraId="3C89BD2D" w14:textId="77777777" w:rsidR="009864DB" w:rsidRPr="004D46AC" w:rsidRDefault="009864DB" w:rsidP="009864DB">
            <w:pPr>
              <w:spacing w:line="240" w:lineRule="auto"/>
              <w:ind w:firstLine="0"/>
            </w:pPr>
            <w:r w:rsidRPr="004D46AC">
              <w:t>358</w:t>
            </w:r>
          </w:p>
        </w:tc>
        <w:tc>
          <w:tcPr>
            <w:tcW w:w="752" w:type="dxa"/>
            <w:vAlign w:val="center"/>
          </w:tcPr>
          <w:p w14:paraId="0B2B3128" w14:textId="77777777" w:rsidR="009864DB" w:rsidRPr="004D46AC" w:rsidRDefault="009864DB" w:rsidP="009864DB">
            <w:pPr>
              <w:spacing w:line="240" w:lineRule="auto"/>
              <w:ind w:firstLine="0"/>
            </w:pPr>
            <w:r w:rsidRPr="004D46AC">
              <w:t>NA</w:t>
            </w:r>
          </w:p>
        </w:tc>
        <w:tc>
          <w:tcPr>
            <w:tcW w:w="789" w:type="dxa"/>
            <w:gridSpan w:val="2"/>
            <w:vAlign w:val="center"/>
          </w:tcPr>
          <w:p w14:paraId="13097BCA" w14:textId="77777777" w:rsidR="009864DB" w:rsidRPr="004D46AC" w:rsidRDefault="009864DB" w:rsidP="009864DB">
            <w:pPr>
              <w:spacing w:line="240" w:lineRule="auto"/>
              <w:ind w:firstLine="0"/>
            </w:pPr>
            <w:r w:rsidRPr="004D46AC">
              <w:t>NA</w:t>
            </w:r>
          </w:p>
        </w:tc>
      </w:tr>
      <w:tr w:rsidR="009864DB" w:rsidRPr="004D46AC" w14:paraId="4451352A" w14:textId="77777777" w:rsidTr="00B518F1">
        <w:tc>
          <w:tcPr>
            <w:tcW w:w="1476" w:type="dxa"/>
          </w:tcPr>
          <w:p w14:paraId="11B7F626" w14:textId="77777777" w:rsidR="009864DB" w:rsidRPr="004D46AC" w:rsidRDefault="009864DB" w:rsidP="009864DB">
            <w:pPr>
              <w:spacing w:line="240" w:lineRule="auto"/>
              <w:ind w:firstLine="0"/>
            </w:pPr>
            <w:r w:rsidRPr="004D46AC">
              <w:fldChar w:fldCharType="begin">
                <w:fldData xml:space="preserve">PEVuZE5vdGU+PENpdGUgQXV0aG9yWWVhcj0iMSI+PEF1dGhvcj5Ub3N0PC9BdXRob3I+PFllYXI+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instrText xml:space="preserve"> ADDIN EN.CITE </w:instrText>
            </w:r>
            <w:r w:rsidRPr="004D46AC">
              <w:fldChar w:fldCharType="begin">
                <w:fldData xml:space="preserve">PEVuZE5vdGU+PENpdGUgQXV0aG9yWWVhcj0iMSI+PEF1dGhvcj5Ub3N0PC9BdXRob3I+PFllYXI+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instrText xml:space="preserve"> ADDIN EN.CITE.DATA </w:instrText>
            </w:r>
            <w:r w:rsidRPr="004D46AC">
              <w:fldChar w:fldCharType="end"/>
            </w:r>
            <w:r w:rsidRPr="004D46AC">
              <w:fldChar w:fldCharType="separate"/>
            </w:r>
            <w:r w:rsidRPr="004D46AC">
              <w:t>Tost et al. (2010)</w:t>
            </w:r>
            <w:r w:rsidRPr="004D46AC">
              <w:fldChar w:fldCharType="end"/>
            </w:r>
          </w:p>
        </w:tc>
        <w:tc>
          <w:tcPr>
            <w:tcW w:w="754" w:type="dxa"/>
            <w:vAlign w:val="center"/>
          </w:tcPr>
          <w:p w14:paraId="596ACE12" w14:textId="77777777" w:rsidR="009864DB" w:rsidRPr="004D46AC" w:rsidRDefault="009864DB" w:rsidP="009864DB">
            <w:pPr>
              <w:spacing w:line="240" w:lineRule="auto"/>
              <w:ind w:firstLine="0"/>
            </w:pPr>
            <w:r w:rsidRPr="004D46AC">
              <w:t>6</w:t>
            </w:r>
          </w:p>
        </w:tc>
        <w:tc>
          <w:tcPr>
            <w:tcW w:w="766" w:type="dxa"/>
            <w:vAlign w:val="center"/>
          </w:tcPr>
          <w:p w14:paraId="71706034" w14:textId="77777777" w:rsidR="009864DB" w:rsidRPr="004D46AC" w:rsidRDefault="009864DB" w:rsidP="009864DB">
            <w:pPr>
              <w:spacing w:line="240" w:lineRule="auto"/>
              <w:ind w:firstLine="0"/>
            </w:pPr>
            <w:r w:rsidRPr="004D46AC">
              <w:t>42.4</w:t>
            </w:r>
          </w:p>
        </w:tc>
        <w:tc>
          <w:tcPr>
            <w:tcW w:w="1096" w:type="dxa"/>
            <w:vAlign w:val="center"/>
          </w:tcPr>
          <w:p w14:paraId="7F2798A8" w14:textId="77777777" w:rsidR="009864DB" w:rsidRPr="004D46AC" w:rsidRDefault="009864DB" w:rsidP="009864DB">
            <w:pPr>
              <w:spacing w:line="240" w:lineRule="auto"/>
              <w:ind w:firstLine="0"/>
            </w:pPr>
            <w:r w:rsidRPr="004D46AC">
              <w:t>DSM4</w:t>
            </w:r>
          </w:p>
        </w:tc>
        <w:tc>
          <w:tcPr>
            <w:tcW w:w="1415" w:type="dxa"/>
            <w:vAlign w:val="center"/>
          </w:tcPr>
          <w:p w14:paraId="2D186948" w14:textId="77777777" w:rsidR="009864DB" w:rsidRPr="004D46AC" w:rsidRDefault="009864DB" w:rsidP="009864DB">
            <w:pPr>
              <w:spacing w:line="240" w:lineRule="auto"/>
              <w:ind w:firstLine="0"/>
            </w:pPr>
            <w:r w:rsidRPr="004D46AC">
              <w:t>SCID</w:t>
            </w:r>
          </w:p>
        </w:tc>
        <w:tc>
          <w:tcPr>
            <w:tcW w:w="876" w:type="dxa"/>
            <w:vAlign w:val="center"/>
          </w:tcPr>
          <w:p w14:paraId="1C8BB990" w14:textId="77777777" w:rsidR="009864DB" w:rsidRPr="004D46AC" w:rsidRDefault="009864DB" w:rsidP="009864DB">
            <w:pPr>
              <w:spacing w:line="240" w:lineRule="auto"/>
              <w:ind w:firstLine="0"/>
            </w:pPr>
            <w:r w:rsidRPr="004D46AC">
              <w:t>42</w:t>
            </w:r>
          </w:p>
        </w:tc>
        <w:tc>
          <w:tcPr>
            <w:tcW w:w="986" w:type="dxa"/>
            <w:vAlign w:val="center"/>
          </w:tcPr>
          <w:p w14:paraId="375A8AF3" w14:textId="77777777" w:rsidR="009864DB" w:rsidRPr="004D46AC" w:rsidRDefault="009864DB" w:rsidP="009864DB">
            <w:pPr>
              <w:spacing w:line="240" w:lineRule="auto"/>
              <w:ind w:firstLine="0"/>
            </w:pPr>
            <w:r w:rsidRPr="004D46AC">
              <w:t>3</w:t>
            </w:r>
          </w:p>
        </w:tc>
        <w:tc>
          <w:tcPr>
            <w:tcW w:w="751" w:type="dxa"/>
            <w:vAlign w:val="center"/>
          </w:tcPr>
          <w:p w14:paraId="27916A9D" w14:textId="77777777" w:rsidR="009864DB" w:rsidRPr="004D46AC" w:rsidRDefault="009864DB" w:rsidP="009864DB">
            <w:pPr>
              <w:spacing w:line="240" w:lineRule="auto"/>
              <w:ind w:firstLine="0"/>
            </w:pPr>
            <w:r w:rsidRPr="004D46AC">
              <w:t>2</w:t>
            </w:r>
          </w:p>
        </w:tc>
        <w:tc>
          <w:tcPr>
            <w:tcW w:w="752" w:type="dxa"/>
            <w:vAlign w:val="center"/>
          </w:tcPr>
          <w:p w14:paraId="10B3D6D0" w14:textId="77777777" w:rsidR="009864DB" w:rsidRPr="004D46AC" w:rsidRDefault="009864DB" w:rsidP="009864DB">
            <w:pPr>
              <w:spacing w:line="240" w:lineRule="auto"/>
              <w:ind w:firstLine="0"/>
            </w:pPr>
            <w:r w:rsidRPr="004D46AC">
              <w:t>2</w:t>
            </w:r>
          </w:p>
        </w:tc>
        <w:tc>
          <w:tcPr>
            <w:tcW w:w="1296" w:type="dxa"/>
            <w:vAlign w:val="center"/>
          </w:tcPr>
          <w:p w14:paraId="5E44B1DE" w14:textId="77777777" w:rsidR="009864DB" w:rsidRPr="004D46AC" w:rsidRDefault="009864DB" w:rsidP="009864DB">
            <w:pPr>
              <w:spacing w:line="240" w:lineRule="auto"/>
              <w:ind w:firstLine="0"/>
            </w:pPr>
            <w:r w:rsidRPr="004D46AC">
              <w:t>30</w:t>
            </w:r>
          </w:p>
        </w:tc>
        <w:tc>
          <w:tcPr>
            <w:tcW w:w="752" w:type="dxa"/>
            <w:vAlign w:val="center"/>
          </w:tcPr>
          <w:p w14:paraId="0C68765B" w14:textId="77777777" w:rsidR="009864DB" w:rsidRPr="004D46AC" w:rsidRDefault="009864DB" w:rsidP="009864DB">
            <w:pPr>
              <w:spacing w:line="240" w:lineRule="auto"/>
              <w:ind w:firstLine="0"/>
            </w:pPr>
            <w:r w:rsidRPr="004D46AC">
              <w:t>NA</w:t>
            </w:r>
          </w:p>
        </w:tc>
        <w:tc>
          <w:tcPr>
            <w:tcW w:w="789" w:type="dxa"/>
            <w:gridSpan w:val="2"/>
            <w:vAlign w:val="center"/>
          </w:tcPr>
          <w:p w14:paraId="1E913955" w14:textId="77777777" w:rsidR="009864DB" w:rsidRPr="004D46AC" w:rsidRDefault="009864DB" w:rsidP="009864DB">
            <w:pPr>
              <w:spacing w:line="240" w:lineRule="auto"/>
              <w:ind w:firstLine="0"/>
            </w:pPr>
            <w:r w:rsidRPr="004D46AC">
              <w:t>NA</w:t>
            </w:r>
          </w:p>
        </w:tc>
      </w:tr>
      <w:tr w:rsidR="009864DB" w:rsidRPr="004D46AC" w14:paraId="235BB24C" w14:textId="77777777" w:rsidTr="00B518F1">
        <w:tc>
          <w:tcPr>
            <w:tcW w:w="1476" w:type="dxa"/>
          </w:tcPr>
          <w:p w14:paraId="7A716A7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AuthorYear="1"&gt;&lt;Author&gt;Braunig&lt;/Author&gt;&lt;Year&gt;2009&lt;/Year&gt;&lt;RecNum&gt;247&lt;/RecNum&gt;&lt;DisplayText&gt;Braunig et al. (2009)&lt;/DisplayText&gt;&lt;record&gt;&lt;rec-number&gt;247&lt;/rec-number&gt;&lt;foreign-keys&gt;&lt;key app="EN" db-id="aet009sstawa0hewvt3xwf5atffdw2dt02sw" timestamp="1666270598"&gt;247&lt;/key&gt;&lt;/foreign-keys&gt;&lt;ref-type name="Journal Article"&gt;17&lt;/ref-type&gt;&lt;contributors&gt;&lt;authors&gt;&lt;author&gt;Braunig, P.&lt;/author&gt;&lt;author&gt;Sarkar, R.&lt;/author&gt;&lt;author&gt;Effenberger, S.&lt;/author&gt;&lt;author&gt;Schoofs, N.&lt;/author&gt;&lt;author&gt;Kruger, S.&lt;/author&gt;&lt;/authors&gt;&lt;/contributors&gt;&lt;auth-address&gt;Klinink fur Psychiatrie, Psychotherapie und Psychosomatik, Vivantes Humboldt-Klinikum, Berlin, Germany.&lt;/auth-address&gt;&lt;titles&gt;&lt;title&gt;Gender differences in psychotic bipolar mania&lt;/title&gt;&lt;secondary-title&gt;Gend Med&lt;/secondary-title&gt;&lt;/titles&gt;&lt;pages&gt;356-61&lt;/pages&gt;&lt;volume&gt;6&lt;/volume&gt;&lt;number&gt;2&lt;/number&gt;&lt;keywords&gt;&lt;keyword&gt;Adult&lt;/keyword&gt;&lt;keyword&gt;Bipolar Disorder/*psychology&lt;/keyword&gt;&lt;keyword&gt;Delusions/diagnosis/*epidemiology&lt;/keyword&gt;&lt;keyword&gt;Female&lt;/keyword&gt;&lt;keyword&gt;Hallucinations/diagnosis/*epidemiology&lt;/keyword&gt;&lt;keyword&gt;Hospitalization&lt;/keyword&gt;&lt;keyword&gt;Humans&lt;/keyword&gt;&lt;keyword&gt;Male&lt;/keyword&gt;&lt;keyword&gt;Prevalence&lt;/keyword&gt;&lt;keyword&gt;Psychiatric Status Rating Scales&lt;/keyword&gt;&lt;keyword&gt;Sex Distribution&lt;/keyword&gt;&lt;/keywords&gt;&lt;dates&gt;&lt;year&gt;2009&lt;/year&gt;&lt;pub-dates&gt;&lt;date&gt;Jul&lt;/date&gt;&lt;/pub-dates&gt;&lt;/dates&gt;&lt;isbn&gt;1878-7398 (Electronic)&amp;#xD;1550-8579 (Linking)&lt;/isbn&gt;&lt;accession-num&gt;19682662&lt;/accession-num&gt;&lt;urls&gt;&lt;related-urls&gt;&lt;url&gt;https://www.ncbi.nlm.nih.gov/pubmed/19682662&lt;/url&gt;&lt;/related-urls&gt;&lt;/urls&gt;&lt;electronic-resource-num&gt;10.1016/j.genm.2009.07.004&lt;/electronic-resource-num&gt;&lt;remote-database-name&gt;Medline&lt;/remote-database-name&gt;&lt;remote-database-provider&gt;NLM&lt;/remote-database-provider&gt;&lt;/record&gt;&lt;/Cite&gt;&lt;/EndNote&gt;</w:instrText>
            </w:r>
            <w:r w:rsidRPr="004D46AC">
              <w:fldChar w:fldCharType="separate"/>
            </w:r>
            <w:r w:rsidRPr="004D46AC">
              <w:t>Braunig et al. (2009)</w:t>
            </w:r>
            <w:r w:rsidRPr="004D46AC">
              <w:fldChar w:fldCharType="end"/>
            </w:r>
          </w:p>
        </w:tc>
        <w:tc>
          <w:tcPr>
            <w:tcW w:w="754" w:type="dxa"/>
            <w:vAlign w:val="center"/>
          </w:tcPr>
          <w:p w14:paraId="6C0D5740" w14:textId="77777777" w:rsidR="009864DB" w:rsidRPr="004D46AC" w:rsidRDefault="009864DB" w:rsidP="009864DB">
            <w:pPr>
              <w:spacing w:line="240" w:lineRule="auto"/>
              <w:ind w:firstLine="0"/>
            </w:pPr>
            <w:r w:rsidRPr="004D46AC">
              <w:t>6</w:t>
            </w:r>
          </w:p>
        </w:tc>
        <w:tc>
          <w:tcPr>
            <w:tcW w:w="766" w:type="dxa"/>
            <w:vAlign w:val="center"/>
          </w:tcPr>
          <w:p w14:paraId="56D92929" w14:textId="77777777" w:rsidR="009864DB" w:rsidRPr="004D46AC" w:rsidRDefault="009864DB" w:rsidP="009864DB">
            <w:pPr>
              <w:spacing w:line="240" w:lineRule="auto"/>
              <w:ind w:firstLine="0"/>
            </w:pPr>
            <w:r w:rsidRPr="004D46AC">
              <w:t>41.27</w:t>
            </w:r>
          </w:p>
        </w:tc>
        <w:tc>
          <w:tcPr>
            <w:tcW w:w="1096" w:type="dxa"/>
            <w:vAlign w:val="center"/>
          </w:tcPr>
          <w:p w14:paraId="640CEDEC" w14:textId="77777777" w:rsidR="009864DB" w:rsidRPr="004D46AC" w:rsidRDefault="009864DB" w:rsidP="009864DB">
            <w:pPr>
              <w:spacing w:line="240" w:lineRule="auto"/>
              <w:ind w:firstLine="0"/>
            </w:pPr>
            <w:r w:rsidRPr="004D46AC">
              <w:t>DSM4</w:t>
            </w:r>
          </w:p>
        </w:tc>
        <w:tc>
          <w:tcPr>
            <w:tcW w:w="1415" w:type="dxa"/>
            <w:vAlign w:val="center"/>
          </w:tcPr>
          <w:p w14:paraId="5F106361" w14:textId="77777777" w:rsidR="009864DB" w:rsidRPr="004D46AC" w:rsidRDefault="009864DB" w:rsidP="009864DB">
            <w:pPr>
              <w:spacing w:line="240" w:lineRule="auto"/>
              <w:ind w:firstLine="0"/>
            </w:pPr>
            <w:r w:rsidRPr="004D46AC">
              <w:t>AMDP</w:t>
            </w:r>
          </w:p>
        </w:tc>
        <w:tc>
          <w:tcPr>
            <w:tcW w:w="876" w:type="dxa"/>
            <w:vAlign w:val="center"/>
          </w:tcPr>
          <w:p w14:paraId="12C1689E" w14:textId="77777777" w:rsidR="009864DB" w:rsidRPr="004D46AC" w:rsidRDefault="009864DB" w:rsidP="009864DB">
            <w:pPr>
              <w:spacing w:line="240" w:lineRule="auto"/>
              <w:ind w:firstLine="0"/>
            </w:pPr>
            <w:r w:rsidRPr="004D46AC">
              <w:t>246</w:t>
            </w:r>
          </w:p>
        </w:tc>
        <w:tc>
          <w:tcPr>
            <w:tcW w:w="986" w:type="dxa"/>
            <w:vAlign w:val="center"/>
          </w:tcPr>
          <w:p w14:paraId="20D729DA" w14:textId="77777777" w:rsidR="009864DB" w:rsidRPr="004D46AC" w:rsidRDefault="009864DB" w:rsidP="009864DB">
            <w:pPr>
              <w:spacing w:line="240" w:lineRule="auto"/>
              <w:ind w:firstLine="0"/>
            </w:pPr>
            <w:r w:rsidRPr="004D46AC">
              <w:t>unclear</w:t>
            </w:r>
          </w:p>
        </w:tc>
        <w:tc>
          <w:tcPr>
            <w:tcW w:w="751" w:type="dxa"/>
            <w:vAlign w:val="center"/>
          </w:tcPr>
          <w:p w14:paraId="796D495D" w14:textId="77777777" w:rsidR="009864DB" w:rsidRPr="004D46AC" w:rsidRDefault="009864DB" w:rsidP="009864DB">
            <w:pPr>
              <w:spacing w:line="240" w:lineRule="auto"/>
              <w:ind w:firstLine="0"/>
            </w:pPr>
            <w:r w:rsidRPr="004D46AC">
              <w:t>2</w:t>
            </w:r>
          </w:p>
        </w:tc>
        <w:tc>
          <w:tcPr>
            <w:tcW w:w="752" w:type="dxa"/>
            <w:vAlign w:val="center"/>
          </w:tcPr>
          <w:p w14:paraId="70A46553" w14:textId="77777777" w:rsidR="009864DB" w:rsidRPr="004D46AC" w:rsidRDefault="009864DB" w:rsidP="009864DB">
            <w:pPr>
              <w:spacing w:line="240" w:lineRule="auto"/>
              <w:ind w:firstLine="0"/>
            </w:pPr>
            <w:r w:rsidRPr="004D46AC">
              <w:t>0</w:t>
            </w:r>
          </w:p>
        </w:tc>
        <w:tc>
          <w:tcPr>
            <w:tcW w:w="1296" w:type="dxa"/>
            <w:vAlign w:val="center"/>
          </w:tcPr>
          <w:p w14:paraId="6DD01AC2" w14:textId="77777777" w:rsidR="009864DB" w:rsidRPr="004D46AC" w:rsidRDefault="009864DB" w:rsidP="009864DB">
            <w:pPr>
              <w:spacing w:line="240" w:lineRule="auto"/>
              <w:ind w:firstLine="0"/>
            </w:pPr>
            <w:r w:rsidRPr="004D46AC">
              <w:t>155</w:t>
            </w:r>
          </w:p>
        </w:tc>
        <w:tc>
          <w:tcPr>
            <w:tcW w:w="752" w:type="dxa"/>
            <w:vAlign w:val="center"/>
          </w:tcPr>
          <w:p w14:paraId="639F7D2F" w14:textId="77777777" w:rsidR="009864DB" w:rsidRPr="004D46AC" w:rsidRDefault="009864DB" w:rsidP="009864DB">
            <w:pPr>
              <w:spacing w:line="240" w:lineRule="auto"/>
              <w:ind w:firstLine="0"/>
            </w:pPr>
            <w:r w:rsidRPr="004D46AC">
              <w:t>NA</w:t>
            </w:r>
          </w:p>
        </w:tc>
        <w:tc>
          <w:tcPr>
            <w:tcW w:w="789" w:type="dxa"/>
            <w:gridSpan w:val="2"/>
            <w:vAlign w:val="center"/>
          </w:tcPr>
          <w:p w14:paraId="789265E3" w14:textId="77777777" w:rsidR="009864DB" w:rsidRPr="004D46AC" w:rsidRDefault="009864DB" w:rsidP="009864DB">
            <w:pPr>
              <w:spacing w:line="240" w:lineRule="auto"/>
              <w:ind w:firstLine="0"/>
            </w:pPr>
            <w:r w:rsidRPr="004D46AC">
              <w:t>NA</w:t>
            </w:r>
          </w:p>
        </w:tc>
      </w:tr>
      <w:tr w:rsidR="009864DB" w:rsidRPr="004D46AC" w14:paraId="6D2ED5A3" w14:textId="77777777" w:rsidTr="00B518F1">
        <w:tc>
          <w:tcPr>
            <w:tcW w:w="1476" w:type="dxa"/>
          </w:tcPr>
          <w:p w14:paraId="0FD3D8C4" w14:textId="77777777" w:rsidR="009864DB" w:rsidRPr="004D46AC" w:rsidRDefault="009864DB" w:rsidP="009864DB">
            <w:pPr>
              <w:spacing w:line="240" w:lineRule="auto"/>
              <w:ind w:firstLine="0"/>
            </w:pPr>
            <w:r w:rsidRPr="004D46AC">
              <w:lastRenderedPageBreak/>
              <w:fldChar w:fldCharType="begin"/>
            </w:r>
            <w:r w:rsidRPr="004D46AC">
              <w:instrText xml:space="preserve"> ADDIN EN.CITE &lt;EndNote&gt;&lt;Cite AuthorYear="1"&gt;&lt;Author&gt;Abrams&lt;/Author&gt;&lt;Year&gt;1981&lt;/Year&gt;&lt;RecNum&gt;248&lt;/RecNum&gt;&lt;DisplayText&gt;Abrams and Taylor (1981)&lt;/DisplayText&gt;&lt;record&gt;&lt;rec-number&gt;248&lt;/rec-number&gt;&lt;foreign-keys&gt;&lt;key app="EN" db-id="aet009sstawa0hewvt3xwf5atffdw2dt02sw" timestamp="1666273817"&gt;248&lt;/key&gt;&lt;/foreign-keys&gt;&lt;ref-type name="Journal Article"&gt;17&lt;/ref-type&gt;&lt;contributors&gt;&lt;authors&gt;&lt;author&gt;Abrams, R.&lt;/author&gt;&lt;author&gt;Taylor, M. A.&lt;/author&gt;&lt;/authors&gt;&lt;/contributors&gt;&lt;titles&gt;&lt;title&gt;Importance of schizophrenic symptoms in the diagnosis of mania&lt;/title&gt;&lt;secondary-title&gt;Am J Psychiatry&lt;/secondary-title&gt;&lt;/titles&gt;&lt;periodical&gt;&lt;full-title&gt;Am J Psychiatry&lt;/full-title&gt;&lt;/periodical&gt;&lt;pages&gt;658-61&lt;/pages&gt;&lt;volume&gt;138&lt;/volume&gt;&lt;number&gt;5&lt;/number&gt;&lt;keywords&gt;&lt;keyword&gt;Affective Disorders, Psychotic/*diagnosis&lt;/keyword&gt;&lt;keyword&gt;Bipolar Disorder/*diagnosis&lt;/keyword&gt;&lt;keyword&gt;Diagnosis, Differential&lt;/keyword&gt;&lt;keyword&gt;Humans&lt;/keyword&gt;&lt;keyword&gt;Prognosis&lt;/keyword&gt;&lt;keyword&gt;Schizophrenia/diagnosis&lt;/keyword&gt;&lt;/keywords&gt;&lt;dates&gt;&lt;year&gt;1981&lt;/year&gt;&lt;pub-dates&gt;&lt;date&gt;May&lt;/date&gt;&lt;/pub-dates&gt;&lt;/dates&gt;&lt;isbn&gt;0002-953X (Print)&amp;#xD;0002-953X (Linking)&lt;/isbn&gt;&lt;accession-num&gt;7235064&lt;/accession-num&gt;&lt;urls&gt;&lt;related-urls&gt;&lt;url&gt;https://www.ncbi.nlm.nih.gov/pubmed/7235064&lt;/url&gt;&lt;/related-urls&gt;&lt;/urls&gt;&lt;electronic-resource-num&gt;10.1176/ajp.138.5.658&lt;/electronic-resource-num&gt;&lt;remote-database-name&gt;Medline&lt;/remote-database-name&gt;&lt;remote-database-provider&gt;NLM&lt;/remote-database-provider&gt;&lt;language&gt;eng&lt;/language&gt;&lt;/record&gt;&lt;/Cite&gt;&lt;/EndNote&gt;</w:instrText>
            </w:r>
            <w:r w:rsidRPr="004D46AC">
              <w:fldChar w:fldCharType="separate"/>
            </w:r>
            <w:r w:rsidRPr="004D46AC">
              <w:t>Abrams and Taylor (1981)</w:t>
            </w:r>
            <w:r w:rsidRPr="004D46AC">
              <w:fldChar w:fldCharType="end"/>
            </w:r>
          </w:p>
        </w:tc>
        <w:tc>
          <w:tcPr>
            <w:tcW w:w="754" w:type="dxa"/>
            <w:vAlign w:val="center"/>
          </w:tcPr>
          <w:p w14:paraId="4D2F91CC" w14:textId="77777777" w:rsidR="009864DB" w:rsidRPr="004D46AC" w:rsidRDefault="009864DB" w:rsidP="009864DB">
            <w:pPr>
              <w:spacing w:line="240" w:lineRule="auto"/>
              <w:ind w:firstLine="0"/>
            </w:pPr>
            <w:r w:rsidRPr="004D46AC">
              <w:t>6</w:t>
            </w:r>
          </w:p>
        </w:tc>
        <w:tc>
          <w:tcPr>
            <w:tcW w:w="766" w:type="dxa"/>
            <w:vAlign w:val="center"/>
          </w:tcPr>
          <w:p w14:paraId="34F91A99" w14:textId="77777777" w:rsidR="009864DB" w:rsidRPr="004D46AC" w:rsidRDefault="009864DB" w:rsidP="009864DB">
            <w:pPr>
              <w:spacing w:line="240" w:lineRule="auto"/>
              <w:ind w:firstLine="0"/>
            </w:pPr>
            <w:r w:rsidRPr="004D46AC">
              <w:t>40.32</w:t>
            </w:r>
          </w:p>
        </w:tc>
        <w:tc>
          <w:tcPr>
            <w:tcW w:w="1096" w:type="dxa"/>
            <w:vAlign w:val="center"/>
          </w:tcPr>
          <w:p w14:paraId="537E311A" w14:textId="77777777" w:rsidR="009864DB" w:rsidRPr="004D46AC" w:rsidRDefault="009864DB" w:rsidP="009864DB">
            <w:pPr>
              <w:spacing w:line="240" w:lineRule="auto"/>
              <w:ind w:firstLine="0"/>
            </w:pPr>
            <w:proofErr w:type="spellStart"/>
            <w:r w:rsidRPr="004D46AC">
              <w:t>feighner</w:t>
            </w:r>
            <w:proofErr w:type="spellEnd"/>
          </w:p>
        </w:tc>
        <w:tc>
          <w:tcPr>
            <w:tcW w:w="1415" w:type="dxa"/>
            <w:vAlign w:val="center"/>
          </w:tcPr>
          <w:p w14:paraId="2B2EA443" w14:textId="77777777" w:rsidR="009864DB" w:rsidRPr="004D46AC" w:rsidRDefault="009864DB" w:rsidP="009864DB">
            <w:pPr>
              <w:spacing w:line="240" w:lineRule="auto"/>
              <w:ind w:firstLine="0"/>
            </w:pPr>
            <w:r w:rsidRPr="004D46AC">
              <w:t>unclear</w:t>
            </w:r>
          </w:p>
        </w:tc>
        <w:tc>
          <w:tcPr>
            <w:tcW w:w="876" w:type="dxa"/>
            <w:vAlign w:val="center"/>
          </w:tcPr>
          <w:p w14:paraId="376074CF" w14:textId="77777777" w:rsidR="009864DB" w:rsidRPr="004D46AC" w:rsidRDefault="009864DB" w:rsidP="009864DB">
            <w:pPr>
              <w:spacing w:line="240" w:lineRule="auto"/>
              <w:ind w:firstLine="0"/>
            </w:pPr>
            <w:r w:rsidRPr="004D46AC">
              <w:t>111</w:t>
            </w:r>
          </w:p>
        </w:tc>
        <w:tc>
          <w:tcPr>
            <w:tcW w:w="986" w:type="dxa"/>
            <w:vAlign w:val="center"/>
          </w:tcPr>
          <w:p w14:paraId="0A6DF435" w14:textId="77777777" w:rsidR="009864DB" w:rsidRPr="004D46AC" w:rsidRDefault="009864DB" w:rsidP="009864DB">
            <w:pPr>
              <w:spacing w:line="240" w:lineRule="auto"/>
              <w:ind w:firstLine="0"/>
            </w:pPr>
            <w:r w:rsidRPr="004D46AC">
              <w:t>3</w:t>
            </w:r>
          </w:p>
        </w:tc>
        <w:tc>
          <w:tcPr>
            <w:tcW w:w="751" w:type="dxa"/>
            <w:vAlign w:val="center"/>
          </w:tcPr>
          <w:p w14:paraId="373E41E9" w14:textId="77777777" w:rsidR="009864DB" w:rsidRPr="004D46AC" w:rsidRDefault="009864DB" w:rsidP="009864DB">
            <w:pPr>
              <w:spacing w:line="240" w:lineRule="auto"/>
              <w:ind w:firstLine="0"/>
            </w:pPr>
            <w:r w:rsidRPr="004D46AC">
              <w:t>2</w:t>
            </w:r>
          </w:p>
        </w:tc>
        <w:tc>
          <w:tcPr>
            <w:tcW w:w="752" w:type="dxa"/>
            <w:vAlign w:val="center"/>
          </w:tcPr>
          <w:p w14:paraId="6A736B5F" w14:textId="77777777" w:rsidR="009864DB" w:rsidRPr="004D46AC" w:rsidRDefault="009864DB" w:rsidP="009864DB">
            <w:pPr>
              <w:spacing w:line="240" w:lineRule="auto"/>
              <w:ind w:firstLine="0"/>
            </w:pPr>
            <w:r w:rsidRPr="004D46AC">
              <w:t>0</w:t>
            </w:r>
          </w:p>
        </w:tc>
        <w:tc>
          <w:tcPr>
            <w:tcW w:w="1296" w:type="dxa"/>
            <w:vAlign w:val="center"/>
          </w:tcPr>
          <w:p w14:paraId="68EB12A5" w14:textId="77777777" w:rsidR="009864DB" w:rsidRPr="004D46AC" w:rsidRDefault="009864DB" w:rsidP="009864DB">
            <w:pPr>
              <w:spacing w:line="240" w:lineRule="auto"/>
              <w:ind w:firstLine="0"/>
            </w:pPr>
            <w:r w:rsidRPr="004D46AC">
              <w:t>69</w:t>
            </w:r>
          </w:p>
        </w:tc>
        <w:tc>
          <w:tcPr>
            <w:tcW w:w="752" w:type="dxa"/>
            <w:vAlign w:val="center"/>
          </w:tcPr>
          <w:p w14:paraId="1D373CCE" w14:textId="77777777" w:rsidR="009864DB" w:rsidRPr="004D46AC" w:rsidRDefault="009864DB" w:rsidP="009864DB">
            <w:pPr>
              <w:spacing w:line="240" w:lineRule="auto"/>
              <w:ind w:firstLine="0"/>
            </w:pPr>
            <w:r w:rsidRPr="004D46AC">
              <w:t>NA</w:t>
            </w:r>
          </w:p>
        </w:tc>
        <w:tc>
          <w:tcPr>
            <w:tcW w:w="789" w:type="dxa"/>
            <w:gridSpan w:val="2"/>
            <w:vAlign w:val="center"/>
          </w:tcPr>
          <w:p w14:paraId="6B245DC9" w14:textId="77777777" w:rsidR="009864DB" w:rsidRPr="004D46AC" w:rsidRDefault="009864DB" w:rsidP="009864DB">
            <w:pPr>
              <w:spacing w:line="240" w:lineRule="auto"/>
              <w:ind w:firstLine="0"/>
            </w:pPr>
            <w:r w:rsidRPr="004D46AC">
              <w:t>NA</w:t>
            </w:r>
          </w:p>
        </w:tc>
      </w:tr>
      <w:tr w:rsidR="009864DB" w:rsidRPr="004D46AC" w14:paraId="03E4F8CA" w14:textId="77777777" w:rsidTr="00B518F1">
        <w:tc>
          <w:tcPr>
            <w:tcW w:w="1476" w:type="dxa"/>
          </w:tcPr>
          <w:p w14:paraId="38C6C487" w14:textId="77777777" w:rsidR="009864DB" w:rsidRPr="004D46AC" w:rsidRDefault="009864DB" w:rsidP="009864DB">
            <w:pPr>
              <w:spacing w:line="240" w:lineRule="auto"/>
              <w:ind w:firstLine="0"/>
            </w:pPr>
            <w:r w:rsidRPr="004D46AC">
              <w:fldChar w:fldCharType="begin">
                <w:fldData xml:space="preserve">PEVuZE5vdGU+PENpdGUgQXV0aG9yWWVhcj0iMSI+PEF1dGhvcj5TY2h1bHplPC9BdXRob3I+PFll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</w:fldData>
              </w:fldChar>
            </w:r>
            <w:r w:rsidRPr="004D46AC">
              <w:instrText xml:space="preserve"> ADDIN EN.CITE </w:instrText>
            </w:r>
            <w:r w:rsidRPr="004D46AC">
              <w:fldChar w:fldCharType="begin">
                <w:fldData xml:space="preserve">PEVuZE5vdGU+PENpdGUgQXV0aG9yWWVhcj0iMSI+PEF1dGhvcj5TY2h1bHplPC9BdXRob3I+PFll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</w:fldData>
              </w:fldChar>
            </w:r>
            <w:r w:rsidRPr="004D46AC">
              <w:instrText xml:space="preserve"> ADDIN EN.CITE.DATA </w:instrText>
            </w:r>
            <w:r w:rsidRPr="004D46AC">
              <w:fldChar w:fldCharType="end"/>
            </w:r>
            <w:r w:rsidRPr="004D46AC">
              <w:fldChar w:fldCharType="separate"/>
            </w:r>
            <w:r w:rsidRPr="004D46AC">
              <w:t>Schulze et al. (2005)</w:t>
            </w:r>
            <w:r w:rsidRPr="004D46AC">
              <w:fldChar w:fldCharType="end"/>
            </w:r>
          </w:p>
        </w:tc>
        <w:tc>
          <w:tcPr>
            <w:tcW w:w="754" w:type="dxa"/>
            <w:vAlign w:val="center"/>
          </w:tcPr>
          <w:p w14:paraId="3C6E41B0" w14:textId="77777777" w:rsidR="009864DB" w:rsidRPr="004D46AC" w:rsidRDefault="009864DB" w:rsidP="009864DB">
            <w:pPr>
              <w:spacing w:line="240" w:lineRule="auto"/>
              <w:ind w:firstLine="0"/>
            </w:pPr>
            <w:r w:rsidRPr="004D46AC">
              <w:t>7</w:t>
            </w:r>
          </w:p>
        </w:tc>
        <w:tc>
          <w:tcPr>
            <w:tcW w:w="766" w:type="dxa"/>
            <w:vAlign w:val="center"/>
          </w:tcPr>
          <w:p w14:paraId="6CDAE430" w14:textId="77777777" w:rsidR="009864DB" w:rsidRPr="004D46AC" w:rsidRDefault="009864DB" w:rsidP="009864DB">
            <w:pPr>
              <w:spacing w:line="240" w:lineRule="auto"/>
              <w:ind w:firstLine="0"/>
            </w:pPr>
            <w:r w:rsidRPr="004D46AC">
              <w:t>44.58</w:t>
            </w:r>
          </w:p>
        </w:tc>
        <w:tc>
          <w:tcPr>
            <w:tcW w:w="1096" w:type="dxa"/>
            <w:vAlign w:val="center"/>
          </w:tcPr>
          <w:p w14:paraId="2470EAD1" w14:textId="77777777" w:rsidR="009864DB" w:rsidRPr="004D46AC" w:rsidRDefault="009864DB" w:rsidP="009864DB">
            <w:pPr>
              <w:spacing w:line="240" w:lineRule="auto"/>
              <w:ind w:firstLine="0"/>
            </w:pPr>
            <w:r w:rsidRPr="004D46AC">
              <w:t>DSM4</w:t>
            </w:r>
          </w:p>
        </w:tc>
        <w:tc>
          <w:tcPr>
            <w:tcW w:w="1415" w:type="dxa"/>
            <w:vAlign w:val="center"/>
          </w:tcPr>
          <w:p w14:paraId="1AED24A0" w14:textId="77777777" w:rsidR="009864DB" w:rsidRPr="004D46AC" w:rsidRDefault="009864DB" w:rsidP="009864DB">
            <w:pPr>
              <w:spacing w:line="240" w:lineRule="auto"/>
              <w:ind w:firstLine="0"/>
            </w:pPr>
            <w:r w:rsidRPr="004D46AC">
              <w:t>mixed</w:t>
            </w:r>
          </w:p>
        </w:tc>
        <w:tc>
          <w:tcPr>
            <w:tcW w:w="876" w:type="dxa"/>
            <w:vAlign w:val="center"/>
          </w:tcPr>
          <w:p w14:paraId="16A2D9A8" w14:textId="77777777" w:rsidR="009864DB" w:rsidRPr="004D46AC" w:rsidRDefault="009864DB" w:rsidP="009864DB">
            <w:pPr>
              <w:spacing w:line="240" w:lineRule="auto"/>
              <w:ind w:firstLine="0"/>
            </w:pPr>
            <w:r w:rsidRPr="004D46AC">
              <w:t>540</w:t>
            </w:r>
          </w:p>
        </w:tc>
        <w:tc>
          <w:tcPr>
            <w:tcW w:w="986" w:type="dxa"/>
            <w:vAlign w:val="center"/>
          </w:tcPr>
          <w:p w14:paraId="0084B91C" w14:textId="77777777" w:rsidR="009864DB" w:rsidRPr="004D46AC" w:rsidRDefault="009864DB" w:rsidP="009864DB">
            <w:pPr>
              <w:spacing w:line="240" w:lineRule="auto"/>
              <w:ind w:firstLine="0"/>
            </w:pPr>
            <w:r w:rsidRPr="004D46AC">
              <w:t>unclear</w:t>
            </w:r>
          </w:p>
        </w:tc>
        <w:tc>
          <w:tcPr>
            <w:tcW w:w="751" w:type="dxa"/>
            <w:vAlign w:val="center"/>
          </w:tcPr>
          <w:p w14:paraId="7EBE07B0" w14:textId="77777777" w:rsidR="009864DB" w:rsidRPr="004D46AC" w:rsidRDefault="009864DB" w:rsidP="009864DB">
            <w:pPr>
              <w:spacing w:line="240" w:lineRule="auto"/>
              <w:ind w:firstLine="0"/>
            </w:pPr>
            <w:r w:rsidRPr="004D46AC">
              <w:t>1</w:t>
            </w:r>
          </w:p>
        </w:tc>
        <w:tc>
          <w:tcPr>
            <w:tcW w:w="752" w:type="dxa"/>
            <w:vAlign w:val="center"/>
          </w:tcPr>
          <w:p w14:paraId="5B39E4B2" w14:textId="77777777" w:rsidR="009864DB" w:rsidRPr="004D46AC" w:rsidRDefault="009864DB" w:rsidP="009864DB">
            <w:pPr>
              <w:spacing w:line="240" w:lineRule="auto"/>
              <w:ind w:firstLine="0"/>
            </w:pPr>
            <w:r w:rsidRPr="004D46AC">
              <w:t>2</w:t>
            </w:r>
          </w:p>
        </w:tc>
        <w:tc>
          <w:tcPr>
            <w:tcW w:w="1296" w:type="dxa"/>
            <w:vAlign w:val="center"/>
          </w:tcPr>
          <w:p w14:paraId="57076C7C" w14:textId="77777777" w:rsidR="009864DB" w:rsidRPr="004D46AC" w:rsidRDefault="009864DB" w:rsidP="009864DB">
            <w:pPr>
              <w:spacing w:line="240" w:lineRule="auto"/>
              <w:ind w:firstLine="0"/>
            </w:pPr>
            <w:r w:rsidRPr="004D46AC">
              <w:t>294</w:t>
            </w:r>
          </w:p>
        </w:tc>
        <w:tc>
          <w:tcPr>
            <w:tcW w:w="752" w:type="dxa"/>
            <w:vAlign w:val="center"/>
          </w:tcPr>
          <w:p w14:paraId="52D9B97F" w14:textId="77777777" w:rsidR="009864DB" w:rsidRPr="004D46AC" w:rsidRDefault="009864DB" w:rsidP="009864DB">
            <w:pPr>
              <w:spacing w:line="240" w:lineRule="auto"/>
              <w:ind w:firstLine="0"/>
            </w:pPr>
            <w:r w:rsidRPr="004D46AC">
              <w:t>NA</w:t>
            </w:r>
          </w:p>
        </w:tc>
        <w:tc>
          <w:tcPr>
            <w:tcW w:w="789" w:type="dxa"/>
            <w:gridSpan w:val="2"/>
            <w:vAlign w:val="center"/>
          </w:tcPr>
          <w:p w14:paraId="05AE1EEC" w14:textId="77777777" w:rsidR="009864DB" w:rsidRPr="004D46AC" w:rsidRDefault="009864DB" w:rsidP="009864DB">
            <w:pPr>
              <w:spacing w:line="240" w:lineRule="auto"/>
              <w:ind w:firstLine="0"/>
            </w:pPr>
            <w:r w:rsidRPr="004D46AC">
              <w:t>NA</w:t>
            </w:r>
          </w:p>
        </w:tc>
      </w:tr>
      <w:tr w:rsidR="009864DB" w:rsidRPr="004D46AC" w14:paraId="02A25DF3" w14:textId="77777777" w:rsidTr="00B518F1">
        <w:tc>
          <w:tcPr>
            <w:tcW w:w="1476" w:type="dxa"/>
          </w:tcPr>
          <w:p w14:paraId="02290194" w14:textId="77777777" w:rsidR="009864DB" w:rsidRPr="004D46AC" w:rsidRDefault="009864DB" w:rsidP="009864DB">
            <w:pPr>
              <w:spacing w:line="240" w:lineRule="auto"/>
              <w:ind w:firstLine="0"/>
            </w:pPr>
            <w:r w:rsidRPr="004D46AC">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instrText xml:space="preserve"> ADDIN EN.CITE </w:instrText>
            </w:r>
            <w:r w:rsidRPr="004D46AC">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instrText xml:space="preserve"> ADDIN EN.CITE.DATA </w:instrText>
            </w:r>
            <w:r w:rsidRPr="004D46AC">
              <w:fldChar w:fldCharType="end"/>
            </w:r>
            <w:r w:rsidRPr="004D46AC">
              <w:fldChar w:fldCharType="separate"/>
            </w:r>
            <w:r w:rsidRPr="004D46AC">
              <w:t>Perlman et al. (2016)</w:t>
            </w:r>
            <w:r w:rsidRPr="004D46AC">
              <w:fldChar w:fldCharType="end"/>
            </w:r>
          </w:p>
        </w:tc>
        <w:tc>
          <w:tcPr>
            <w:tcW w:w="754" w:type="dxa"/>
            <w:vAlign w:val="center"/>
          </w:tcPr>
          <w:p w14:paraId="7A2E33F9" w14:textId="77777777" w:rsidR="009864DB" w:rsidRPr="004D46AC" w:rsidRDefault="009864DB" w:rsidP="009864DB">
            <w:pPr>
              <w:spacing w:line="240" w:lineRule="auto"/>
              <w:ind w:firstLine="0"/>
            </w:pPr>
            <w:r w:rsidRPr="004D46AC">
              <w:t>5</w:t>
            </w:r>
          </w:p>
        </w:tc>
        <w:tc>
          <w:tcPr>
            <w:tcW w:w="766" w:type="dxa"/>
            <w:vAlign w:val="center"/>
          </w:tcPr>
          <w:p w14:paraId="598CD3EA" w14:textId="77777777" w:rsidR="009864DB" w:rsidRPr="004D46AC" w:rsidRDefault="009864DB" w:rsidP="009864DB">
            <w:pPr>
              <w:spacing w:line="240" w:lineRule="auto"/>
              <w:ind w:firstLine="0"/>
            </w:pPr>
            <w:r w:rsidRPr="004D46AC">
              <w:t>44.35</w:t>
            </w:r>
          </w:p>
        </w:tc>
        <w:tc>
          <w:tcPr>
            <w:tcW w:w="1096" w:type="dxa"/>
            <w:vAlign w:val="center"/>
          </w:tcPr>
          <w:p w14:paraId="0AAA9D8A" w14:textId="77777777" w:rsidR="009864DB" w:rsidRPr="004D46AC" w:rsidRDefault="009864DB" w:rsidP="009864DB">
            <w:pPr>
              <w:spacing w:line="240" w:lineRule="auto"/>
              <w:ind w:firstLine="0"/>
            </w:pPr>
            <w:r w:rsidRPr="004D46AC">
              <w:t>DSM4</w:t>
            </w:r>
          </w:p>
        </w:tc>
        <w:tc>
          <w:tcPr>
            <w:tcW w:w="1415" w:type="dxa"/>
            <w:vAlign w:val="center"/>
          </w:tcPr>
          <w:p w14:paraId="4E6A6F54" w14:textId="77777777" w:rsidR="009864DB" w:rsidRPr="004D46AC" w:rsidRDefault="009864DB" w:rsidP="009864DB">
            <w:pPr>
              <w:spacing w:line="240" w:lineRule="auto"/>
              <w:ind w:firstLine="0"/>
            </w:pPr>
            <w:r w:rsidRPr="004D46AC">
              <w:t>DI-PAD</w:t>
            </w:r>
          </w:p>
        </w:tc>
        <w:tc>
          <w:tcPr>
            <w:tcW w:w="876" w:type="dxa"/>
            <w:vAlign w:val="center"/>
          </w:tcPr>
          <w:p w14:paraId="643DCC32" w14:textId="77777777" w:rsidR="009864DB" w:rsidRPr="004D46AC" w:rsidRDefault="009864DB" w:rsidP="009864DB">
            <w:pPr>
              <w:spacing w:line="240" w:lineRule="auto"/>
              <w:ind w:firstLine="0"/>
            </w:pPr>
            <w:r w:rsidRPr="004D46AC">
              <w:t>2084</w:t>
            </w:r>
          </w:p>
        </w:tc>
        <w:tc>
          <w:tcPr>
            <w:tcW w:w="986" w:type="dxa"/>
            <w:vAlign w:val="center"/>
          </w:tcPr>
          <w:p w14:paraId="31CF7C79" w14:textId="77777777" w:rsidR="009864DB" w:rsidRPr="004D46AC" w:rsidRDefault="009864DB" w:rsidP="009864DB">
            <w:pPr>
              <w:spacing w:line="240" w:lineRule="auto"/>
              <w:ind w:firstLine="0"/>
            </w:pPr>
            <w:r w:rsidRPr="004D46AC">
              <w:t>unclear</w:t>
            </w:r>
          </w:p>
        </w:tc>
        <w:tc>
          <w:tcPr>
            <w:tcW w:w="751" w:type="dxa"/>
            <w:vAlign w:val="center"/>
          </w:tcPr>
          <w:p w14:paraId="7FE6ED6B" w14:textId="77777777" w:rsidR="009864DB" w:rsidRPr="004D46AC" w:rsidRDefault="009864DB" w:rsidP="009864DB">
            <w:pPr>
              <w:spacing w:line="240" w:lineRule="auto"/>
              <w:ind w:firstLine="0"/>
            </w:pPr>
            <w:r w:rsidRPr="004D46AC">
              <w:t>1</w:t>
            </w:r>
          </w:p>
        </w:tc>
        <w:tc>
          <w:tcPr>
            <w:tcW w:w="752" w:type="dxa"/>
            <w:vAlign w:val="center"/>
          </w:tcPr>
          <w:p w14:paraId="592F1C4D" w14:textId="77777777" w:rsidR="009864DB" w:rsidRPr="004D46AC" w:rsidRDefault="009864DB" w:rsidP="009864DB">
            <w:pPr>
              <w:spacing w:line="240" w:lineRule="auto"/>
              <w:ind w:firstLine="0"/>
            </w:pPr>
            <w:r w:rsidRPr="004D46AC">
              <w:t>2</w:t>
            </w:r>
          </w:p>
        </w:tc>
        <w:tc>
          <w:tcPr>
            <w:tcW w:w="1296" w:type="dxa"/>
            <w:vAlign w:val="center"/>
          </w:tcPr>
          <w:p w14:paraId="7F5DAEAE" w14:textId="77777777" w:rsidR="009864DB" w:rsidRPr="004D46AC" w:rsidRDefault="009864DB" w:rsidP="009864DB">
            <w:pPr>
              <w:spacing w:line="240" w:lineRule="auto"/>
              <w:ind w:firstLine="0"/>
            </w:pPr>
            <w:r w:rsidRPr="004D46AC">
              <w:t>1414</w:t>
            </w:r>
          </w:p>
        </w:tc>
        <w:tc>
          <w:tcPr>
            <w:tcW w:w="752" w:type="dxa"/>
            <w:vAlign w:val="center"/>
          </w:tcPr>
          <w:p w14:paraId="48033AF4" w14:textId="77777777" w:rsidR="009864DB" w:rsidRPr="004D46AC" w:rsidRDefault="009864DB" w:rsidP="009864DB">
            <w:pPr>
              <w:spacing w:line="240" w:lineRule="auto"/>
              <w:ind w:firstLine="0"/>
            </w:pPr>
            <w:r w:rsidRPr="004D46AC">
              <w:t>NA</w:t>
            </w:r>
          </w:p>
        </w:tc>
        <w:tc>
          <w:tcPr>
            <w:tcW w:w="789" w:type="dxa"/>
            <w:gridSpan w:val="2"/>
            <w:vAlign w:val="center"/>
          </w:tcPr>
          <w:p w14:paraId="3EF9724A" w14:textId="77777777" w:rsidR="009864DB" w:rsidRPr="004D46AC" w:rsidRDefault="009864DB" w:rsidP="009864DB">
            <w:pPr>
              <w:spacing w:line="240" w:lineRule="auto"/>
              <w:ind w:firstLine="0"/>
            </w:pPr>
            <w:r w:rsidRPr="004D46AC">
              <w:t>NA</w:t>
            </w:r>
          </w:p>
        </w:tc>
      </w:tr>
      <w:tr w:rsidR="009864DB" w:rsidRPr="004D46AC" w14:paraId="4A462707" w14:textId="77777777" w:rsidTr="00B518F1">
        <w:tc>
          <w:tcPr>
            <w:tcW w:w="1476" w:type="dxa"/>
          </w:tcPr>
          <w:p w14:paraId="29FAD752"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AuthorYear="1"&gt;&lt;Author&gt;Nisha&lt;/Author&gt;&lt;Year&gt;2015&lt;/Year&gt;&lt;RecNum&gt;256&lt;/RecNum&gt;&lt;DisplayText&gt;Nisha et al. (2015)&lt;/DisplayText&gt;&lt;record&gt;&lt;rec-number&gt;256&lt;/rec-number&gt;&lt;foreign-keys&gt;&lt;key app="EN" db-id="aet009sstawa0hewvt3xwf5atffdw2dt02sw" timestamp="1666336957"&gt;256&lt;/key&gt;&lt;/foreign-keys&gt;&lt;ref-type name="Journal Article"&gt;17&lt;/ref-type&gt;&lt;contributors&gt;&lt;authors&gt;&lt;author&gt;Nisha, A.&lt;/author&gt;&lt;author&gt;Sathesh, V.&lt;/author&gt;&lt;author&gt;Punnoose, V. P.&lt;/author&gt;&lt;author&gt;Varghese, P. J.&lt;/author&gt;&lt;/authors&gt;&lt;/contributors&gt;&lt;auth-address&gt;Department of Psychiatry, MOSC Medical College, Kolenchery, Ernakulam, Kerala, India.&amp;#xD;Department of Psychiatry, T D Medical College, Alappuzha, Kerala, India.&amp;#xD;Department of Psychiatry, Government Medical College, Kottayam, Kerala, India.&lt;/auth-address&gt;&lt;titles&gt;&lt;title&gt;A comparative study on psycho-socio-demographic and clinical profile of patients with bipolar versus unipolar depression&lt;/title&gt;&lt;secondary-title&gt;Indian J Psychiatry&lt;/secondary-title&gt;&lt;/titles&gt;&lt;periodical&gt;&lt;full-title&gt;Indian J Psychiatry&lt;/full-title&gt;&lt;/periodical&gt;&lt;pages&gt;392-6&lt;/pages&gt;&lt;volume&gt;57&lt;/volume&gt;&lt;number&gt;4&lt;/number&gt;&lt;keywords&gt;&lt;keyword&gt;Bipolar depression&lt;/keyword&gt;&lt;keyword&gt;comparative study&lt;/keyword&gt;&lt;keyword&gt;unipolar depression&lt;/keyword&gt;&lt;/keywords&gt;&lt;dates&gt;&lt;year&gt;2015&lt;/year&gt;&lt;pub-dates&gt;&lt;date&gt;Oct-Dec&lt;/date&gt;&lt;/pub-dates&gt;&lt;/dates&gt;&lt;isbn&gt;0019-5545 (Print)&amp;#xD;1998-3794 (Electronic)&amp;#xD;0019-5545 (Linking)&lt;/isbn&gt;&lt;accession-num&gt;26813699&lt;/accession-num&gt;&lt;urls&gt;&lt;related-urls&gt;&lt;url&gt;https://www.ncbi.nlm.nih.gov/pubmed/26813699&lt;/url&gt;&lt;/related-urls&gt;&lt;/urls&gt;&lt;custom2&gt;PMC4711241&lt;/custom2&gt;&lt;electronic-resource-num&gt;10.4103/0019-5545.171842&lt;/electronic-resource-num&gt;&lt;remote-database-name&gt;PubMed-not-MEDLINE&lt;/remote-database-name&gt;&lt;remote-database-provider&gt;PIP&lt;/remote-database-provider&gt;&lt;language&gt;eng&lt;/language&gt;&lt;/record&gt;&lt;/Cite&gt;&lt;/EndNote&gt;</w:instrText>
            </w:r>
            <w:r w:rsidRPr="004D46AC">
              <w:fldChar w:fldCharType="separate"/>
            </w:r>
            <w:r w:rsidRPr="004D46AC">
              <w:t>Nisha et al. (2015)</w:t>
            </w:r>
            <w:r w:rsidRPr="004D46AC">
              <w:fldChar w:fldCharType="end"/>
            </w:r>
          </w:p>
        </w:tc>
        <w:tc>
          <w:tcPr>
            <w:tcW w:w="754" w:type="dxa"/>
            <w:vAlign w:val="center"/>
          </w:tcPr>
          <w:p w14:paraId="1723266E" w14:textId="77777777" w:rsidR="009864DB" w:rsidRPr="004D46AC" w:rsidRDefault="009864DB" w:rsidP="009864DB">
            <w:pPr>
              <w:spacing w:line="240" w:lineRule="auto"/>
              <w:ind w:firstLine="0"/>
            </w:pPr>
            <w:r w:rsidRPr="004D46AC">
              <w:t>6</w:t>
            </w:r>
          </w:p>
        </w:tc>
        <w:tc>
          <w:tcPr>
            <w:tcW w:w="766" w:type="dxa"/>
            <w:vAlign w:val="center"/>
          </w:tcPr>
          <w:p w14:paraId="3A8618F0" w14:textId="77777777" w:rsidR="009864DB" w:rsidRPr="004D46AC" w:rsidRDefault="009864DB" w:rsidP="009864DB">
            <w:pPr>
              <w:spacing w:line="240" w:lineRule="auto"/>
              <w:ind w:firstLine="0"/>
            </w:pPr>
            <w:r w:rsidRPr="004D46AC">
              <w:t>39.1</w:t>
            </w:r>
          </w:p>
        </w:tc>
        <w:tc>
          <w:tcPr>
            <w:tcW w:w="1096" w:type="dxa"/>
            <w:vAlign w:val="center"/>
          </w:tcPr>
          <w:p w14:paraId="457773E6" w14:textId="77777777" w:rsidR="009864DB" w:rsidRPr="004D46AC" w:rsidRDefault="009864DB" w:rsidP="009864DB">
            <w:pPr>
              <w:spacing w:line="240" w:lineRule="auto"/>
              <w:ind w:firstLine="0"/>
            </w:pPr>
            <w:r w:rsidRPr="004D46AC">
              <w:t>DCR10</w:t>
            </w:r>
          </w:p>
        </w:tc>
        <w:tc>
          <w:tcPr>
            <w:tcW w:w="1415" w:type="dxa"/>
            <w:vAlign w:val="center"/>
          </w:tcPr>
          <w:p w14:paraId="12A607B0" w14:textId="77777777" w:rsidR="009864DB" w:rsidRPr="004D46AC" w:rsidRDefault="009864DB" w:rsidP="009864DB">
            <w:pPr>
              <w:spacing w:line="240" w:lineRule="auto"/>
              <w:ind w:firstLine="0"/>
            </w:pPr>
            <w:r w:rsidRPr="004D46AC">
              <w:t>unclear</w:t>
            </w:r>
          </w:p>
        </w:tc>
        <w:tc>
          <w:tcPr>
            <w:tcW w:w="876" w:type="dxa"/>
            <w:vAlign w:val="center"/>
          </w:tcPr>
          <w:p w14:paraId="0681A935" w14:textId="77777777" w:rsidR="009864DB" w:rsidRPr="004D46AC" w:rsidRDefault="009864DB" w:rsidP="009864DB">
            <w:pPr>
              <w:spacing w:line="240" w:lineRule="auto"/>
              <w:ind w:firstLine="0"/>
            </w:pPr>
            <w:r w:rsidRPr="004D46AC">
              <w:t>30</w:t>
            </w:r>
          </w:p>
        </w:tc>
        <w:tc>
          <w:tcPr>
            <w:tcW w:w="986" w:type="dxa"/>
            <w:vAlign w:val="center"/>
          </w:tcPr>
          <w:p w14:paraId="3745078F" w14:textId="77777777" w:rsidR="009864DB" w:rsidRPr="004D46AC" w:rsidRDefault="009864DB" w:rsidP="009864DB">
            <w:pPr>
              <w:spacing w:line="240" w:lineRule="auto"/>
              <w:ind w:firstLine="0"/>
            </w:pPr>
            <w:r w:rsidRPr="004D46AC">
              <w:t>3</w:t>
            </w:r>
          </w:p>
        </w:tc>
        <w:tc>
          <w:tcPr>
            <w:tcW w:w="751" w:type="dxa"/>
            <w:vAlign w:val="center"/>
          </w:tcPr>
          <w:p w14:paraId="6E3FC05A" w14:textId="77777777" w:rsidR="009864DB" w:rsidRPr="004D46AC" w:rsidRDefault="009864DB" w:rsidP="009864DB">
            <w:pPr>
              <w:spacing w:line="240" w:lineRule="auto"/>
              <w:ind w:firstLine="0"/>
            </w:pPr>
            <w:r w:rsidRPr="004D46AC">
              <w:t>1</w:t>
            </w:r>
          </w:p>
        </w:tc>
        <w:tc>
          <w:tcPr>
            <w:tcW w:w="752" w:type="dxa"/>
            <w:vAlign w:val="center"/>
          </w:tcPr>
          <w:p w14:paraId="1EC340DF" w14:textId="77777777" w:rsidR="009864DB" w:rsidRPr="004D46AC" w:rsidRDefault="009864DB" w:rsidP="009864DB">
            <w:pPr>
              <w:spacing w:line="240" w:lineRule="auto"/>
              <w:ind w:firstLine="0"/>
            </w:pPr>
            <w:r w:rsidRPr="004D46AC">
              <w:t>0</w:t>
            </w:r>
          </w:p>
        </w:tc>
        <w:tc>
          <w:tcPr>
            <w:tcW w:w="1296" w:type="dxa"/>
            <w:vAlign w:val="center"/>
          </w:tcPr>
          <w:p w14:paraId="439C6E5F" w14:textId="77777777" w:rsidR="009864DB" w:rsidRPr="004D46AC" w:rsidRDefault="009864DB" w:rsidP="009864DB">
            <w:pPr>
              <w:spacing w:line="240" w:lineRule="auto"/>
              <w:ind w:firstLine="0"/>
            </w:pPr>
            <w:r w:rsidRPr="004D46AC">
              <w:t>24</w:t>
            </w:r>
          </w:p>
        </w:tc>
        <w:tc>
          <w:tcPr>
            <w:tcW w:w="752" w:type="dxa"/>
            <w:vAlign w:val="center"/>
          </w:tcPr>
          <w:p w14:paraId="634317AA" w14:textId="77777777" w:rsidR="009864DB" w:rsidRPr="004D46AC" w:rsidRDefault="009864DB" w:rsidP="009864DB">
            <w:pPr>
              <w:spacing w:line="240" w:lineRule="auto"/>
              <w:ind w:firstLine="0"/>
            </w:pPr>
            <w:r w:rsidRPr="004D46AC">
              <w:t>NA</w:t>
            </w:r>
          </w:p>
        </w:tc>
        <w:tc>
          <w:tcPr>
            <w:tcW w:w="789" w:type="dxa"/>
            <w:gridSpan w:val="2"/>
            <w:vAlign w:val="center"/>
          </w:tcPr>
          <w:p w14:paraId="1FEFB6D7" w14:textId="77777777" w:rsidR="009864DB" w:rsidRPr="004D46AC" w:rsidRDefault="009864DB" w:rsidP="009864DB">
            <w:pPr>
              <w:spacing w:line="240" w:lineRule="auto"/>
              <w:ind w:firstLine="0"/>
            </w:pPr>
            <w:r w:rsidRPr="004D46AC">
              <w:t>NA</w:t>
            </w:r>
          </w:p>
        </w:tc>
      </w:tr>
      <w:tr w:rsidR="009864DB" w:rsidRPr="004D46AC" w14:paraId="50C89EF4" w14:textId="77777777" w:rsidTr="00B518F1">
        <w:tc>
          <w:tcPr>
            <w:tcW w:w="1476" w:type="dxa"/>
          </w:tcPr>
          <w:p w14:paraId="005417FB" w14:textId="77777777" w:rsidR="009864DB" w:rsidRPr="004D46AC" w:rsidRDefault="009864DB" w:rsidP="009864DB">
            <w:pPr>
              <w:spacing w:line="240" w:lineRule="auto"/>
              <w:ind w:firstLine="0"/>
            </w:pPr>
            <w:r w:rsidRPr="004D46AC">
              <w:fldChar w:fldCharType="begin">
                <w:fldData xml:space="preserve">PEVuZE5vdGU+PENpdGUgQXV0aG9yWWVhcj0iMSI+PEF1dGhvcj5TY2h1cmhvZmY8L0F1dGhvcj48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</w:fldData>
              </w:fldChar>
            </w:r>
            <w:r w:rsidRPr="004D46AC">
              <w:instrText xml:space="preserve"> ADDIN EN.CITE </w:instrText>
            </w:r>
            <w:r w:rsidRPr="004D46AC">
              <w:fldChar w:fldCharType="begin">
                <w:fldData xml:space="preserve">PEVuZE5vdGU+PENpdGUgQXV0aG9yWWVhcj0iMSI+PEF1dGhvcj5TY2h1cmhvZmY8L0F1dGhvcj48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Schurhoff et al. (2003)</w:t>
            </w:r>
            <w:r w:rsidRPr="004D46AC">
              <w:fldChar w:fldCharType="end"/>
            </w:r>
          </w:p>
        </w:tc>
        <w:tc>
          <w:tcPr>
            <w:tcW w:w="754" w:type="dxa"/>
            <w:vAlign w:val="center"/>
          </w:tcPr>
          <w:p w14:paraId="3528A2E5" w14:textId="77777777" w:rsidR="009864DB" w:rsidRPr="004D46AC" w:rsidRDefault="009864DB" w:rsidP="009864DB">
            <w:pPr>
              <w:spacing w:line="240" w:lineRule="auto"/>
              <w:ind w:firstLine="0"/>
            </w:pPr>
            <w:r w:rsidRPr="004D46AC">
              <w:t>6</w:t>
            </w:r>
          </w:p>
        </w:tc>
        <w:tc>
          <w:tcPr>
            <w:tcW w:w="766" w:type="dxa"/>
            <w:vAlign w:val="center"/>
          </w:tcPr>
          <w:p w14:paraId="72FDF332" w14:textId="77777777" w:rsidR="009864DB" w:rsidRPr="004D46AC" w:rsidRDefault="009864DB" w:rsidP="009864DB">
            <w:pPr>
              <w:spacing w:line="240" w:lineRule="auto"/>
              <w:ind w:firstLine="0"/>
            </w:pPr>
            <w:r w:rsidRPr="004D46AC">
              <w:t>41.14</w:t>
            </w:r>
          </w:p>
        </w:tc>
        <w:tc>
          <w:tcPr>
            <w:tcW w:w="1096" w:type="dxa"/>
            <w:vAlign w:val="center"/>
          </w:tcPr>
          <w:p w14:paraId="1367C2BF" w14:textId="77777777" w:rsidR="009864DB" w:rsidRPr="004D46AC" w:rsidRDefault="009864DB" w:rsidP="009864DB">
            <w:pPr>
              <w:spacing w:line="240" w:lineRule="auto"/>
              <w:ind w:firstLine="0"/>
            </w:pPr>
            <w:r w:rsidRPr="004D46AC">
              <w:t>DSM4</w:t>
            </w:r>
          </w:p>
        </w:tc>
        <w:tc>
          <w:tcPr>
            <w:tcW w:w="1415" w:type="dxa"/>
            <w:vAlign w:val="center"/>
          </w:tcPr>
          <w:p w14:paraId="0EA6DD5A" w14:textId="77777777" w:rsidR="009864DB" w:rsidRPr="004D46AC" w:rsidRDefault="009864DB" w:rsidP="009864DB">
            <w:pPr>
              <w:spacing w:line="240" w:lineRule="auto"/>
              <w:ind w:firstLine="0"/>
            </w:pPr>
            <w:r w:rsidRPr="004D46AC">
              <w:t>PDI</w:t>
            </w:r>
          </w:p>
        </w:tc>
        <w:tc>
          <w:tcPr>
            <w:tcW w:w="876" w:type="dxa"/>
            <w:vAlign w:val="center"/>
          </w:tcPr>
          <w:p w14:paraId="32866F82" w14:textId="77777777" w:rsidR="009864DB" w:rsidRPr="004D46AC" w:rsidRDefault="009864DB" w:rsidP="009864DB">
            <w:pPr>
              <w:spacing w:line="240" w:lineRule="auto"/>
              <w:ind w:firstLine="0"/>
            </w:pPr>
            <w:r w:rsidRPr="004D46AC">
              <w:t>61</w:t>
            </w:r>
          </w:p>
        </w:tc>
        <w:tc>
          <w:tcPr>
            <w:tcW w:w="986" w:type="dxa"/>
            <w:vAlign w:val="center"/>
          </w:tcPr>
          <w:p w14:paraId="6A708F56" w14:textId="77777777" w:rsidR="009864DB" w:rsidRPr="004D46AC" w:rsidRDefault="009864DB" w:rsidP="009864DB">
            <w:pPr>
              <w:spacing w:line="240" w:lineRule="auto"/>
              <w:ind w:firstLine="0"/>
            </w:pPr>
            <w:r w:rsidRPr="004D46AC">
              <w:t>3</w:t>
            </w:r>
          </w:p>
        </w:tc>
        <w:tc>
          <w:tcPr>
            <w:tcW w:w="751" w:type="dxa"/>
            <w:vAlign w:val="center"/>
          </w:tcPr>
          <w:p w14:paraId="7B37D086" w14:textId="77777777" w:rsidR="009864DB" w:rsidRPr="004D46AC" w:rsidRDefault="009864DB" w:rsidP="009864DB">
            <w:pPr>
              <w:spacing w:line="240" w:lineRule="auto"/>
              <w:ind w:firstLine="0"/>
            </w:pPr>
            <w:r w:rsidRPr="004D46AC">
              <w:t>1</w:t>
            </w:r>
          </w:p>
        </w:tc>
        <w:tc>
          <w:tcPr>
            <w:tcW w:w="752" w:type="dxa"/>
            <w:vAlign w:val="center"/>
          </w:tcPr>
          <w:p w14:paraId="27478F4E" w14:textId="77777777" w:rsidR="009864DB" w:rsidRPr="004D46AC" w:rsidRDefault="009864DB" w:rsidP="009864DB">
            <w:pPr>
              <w:spacing w:line="240" w:lineRule="auto"/>
              <w:ind w:firstLine="0"/>
            </w:pPr>
            <w:r w:rsidRPr="004D46AC">
              <w:t>0</w:t>
            </w:r>
          </w:p>
        </w:tc>
        <w:tc>
          <w:tcPr>
            <w:tcW w:w="1296" w:type="dxa"/>
            <w:vAlign w:val="center"/>
          </w:tcPr>
          <w:p w14:paraId="7F516917" w14:textId="77777777" w:rsidR="009864DB" w:rsidRPr="004D46AC" w:rsidRDefault="009864DB" w:rsidP="009864DB">
            <w:pPr>
              <w:spacing w:line="240" w:lineRule="auto"/>
              <w:ind w:firstLine="0"/>
            </w:pPr>
            <w:r w:rsidRPr="004D46AC">
              <w:t>31</w:t>
            </w:r>
          </w:p>
        </w:tc>
        <w:tc>
          <w:tcPr>
            <w:tcW w:w="752" w:type="dxa"/>
            <w:vAlign w:val="center"/>
          </w:tcPr>
          <w:p w14:paraId="71399BAD" w14:textId="77777777" w:rsidR="009864DB" w:rsidRPr="004D46AC" w:rsidRDefault="009864DB" w:rsidP="009864DB">
            <w:pPr>
              <w:spacing w:line="240" w:lineRule="auto"/>
              <w:ind w:firstLine="0"/>
            </w:pPr>
            <w:r w:rsidRPr="004D46AC">
              <w:t>NA</w:t>
            </w:r>
          </w:p>
        </w:tc>
        <w:tc>
          <w:tcPr>
            <w:tcW w:w="789" w:type="dxa"/>
            <w:gridSpan w:val="2"/>
            <w:vAlign w:val="center"/>
          </w:tcPr>
          <w:p w14:paraId="4A1633A8" w14:textId="77777777" w:rsidR="009864DB" w:rsidRPr="004D46AC" w:rsidRDefault="009864DB" w:rsidP="009864DB">
            <w:pPr>
              <w:spacing w:line="240" w:lineRule="auto"/>
              <w:ind w:firstLine="0"/>
            </w:pPr>
            <w:r w:rsidRPr="004D46AC">
              <w:t>NA</w:t>
            </w:r>
          </w:p>
        </w:tc>
      </w:tr>
      <w:tr w:rsidR="009864DB" w:rsidRPr="004D46AC" w14:paraId="3E03CB64" w14:textId="77777777" w:rsidTr="00B518F1">
        <w:tc>
          <w:tcPr>
            <w:tcW w:w="1476" w:type="dxa"/>
          </w:tcPr>
          <w:p w14:paraId="3B86D833" w14:textId="77777777" w:rsidR="009864DB" w:rsidRPr="004D46AC" w:rsidRDefault="009864DB" w:rsidP="009864DB">
            <w:pPr>
              <w:spacing w:line="240" w:lineRule="auto"/>
              <w:ind w:firstLine="0"/>
            </w:pPr>
            <w:r w:rsidRPr="004D46AC">
              <w:fldChar w:fldCharType="begin">
                <w:fldData xml:space="preserve">PEVuZE5vdGU+PENpdGUgQXV0aG9yWWVhcj0iMSI+PEF1dGhvcj5Tb25nPC9BdXRob3I+PFllYXI+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instrText xml:space="preserve"> ADDIN EN.CITE </w:instrText>
            </w:r>
            <w:r w:rsidRPr="004D46AC">
              <w:fldChar w:fldCharType="begin">
                <w:fldData xml:space="preserve">PEVuZE5vdGU+PENpdGUgQXV0aG9yWWVhcj0iMSI+PEF1dGhvcj5Tb25nPC9BdXRob3I+PFllYXI+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instrText xml:space="preserve"> ADDIN EN.CITE.DATA </w:instrText>
            </w:r>
            <w:r w:rsidRPr="004D46AC">
              <w:fldChar w:fldCharType="end"/>
            </w:r>
            <w:r w:rsidRPr="004D46AC">
              <w:fldChar w:fldCharType="separate"/>
            </w:r>
            <w:r w:rsidRPr="004D46AC">
              <w:t>Song et al. (2012)</w:t>
            </w:r>
            <w:r w:rsidRPr="004D46AC">
              <w:fldChar w:fldCharType="end"/>
            </w:r>
          </w:p>
        </w:tc>
        <w:tc>
          <w:tcPr>
            <w:tcW w:w="754" w:type="dxa"/>
            <w:vAlign w:val="center"/>
          </w:tcPr>
          <w:p w14:paraId="3F20E309" w14:textId="77777777" w:rsidR="009864DB" w:rsidRPr="004D46AC" w:rsidRDefault="009864DB" w:rsidP="009864DB">
            <w:pPr>
              <w:spacing w:line="240" w:lineRule="auto"/>
              <w:ind w:firstLine="0"/>
            </w:pPr>
            <w:r w:rsidRPr="004D46AC">
              <w:t>6</w:t>
            </w:r>
          </w:p>
        </w:tc>
        <w:tc>
          <w:tcPr>
            <w:tcW w:w="766" w:type="dxa"/>
            <w:vAlign w:val="center"/>
          </w:tcPr>
          <w:p w14:paraId="6BB2A72F" w14:textId="77777777" w:rsidR="009864DB" w:rsidRPr="004D46AC" w:rsidRDefault="009864DB" w:rsidP="009864DB">
            <w:pPr>
              <w:spacing w:line="240" w:lineRule="auto"/>
              <w:ind w:firstLine="0"/>
            </w:pPr>
            <w:r w:rsidRPr="004D46AC">
              <w:t>32.2</w:t>
            </w:r>
          </w:p>
        </w:tc>
        <w:tc>
          <w:tcPr>
            <w:tcW w:w="1096" w:type="dxa"/>
            <w:vAlign w:val="center"/>
          </w:tcPr>
          <w:p w14:paraId="3FC4AAE3" w14:textId="77777777" w:rsidR="009864DB" w:rsidRPr="004D46AC" w:rsidRDefault="009864DB" w:rsidP="009864DB">
            <w:pPr>
              <w:spacing w:line="240" w:lineRule="auto"/>
              <w:ind w:firstLine="0"/>
            </w:pPr>
            <w:r w:rsidRPr="004D46AC">
              <w:t>DSM4</w:t>
            </w:r>
          </w:p>
        </w:tc>
        <w:tc>
          <w:tcPr>
            <w:tcW w:w="1415" w:type="dxa"/>
            <w:vAlign w:val="center"/>
          </w:tcPr>
          <w:p w14:paraId="76DCA732" w14:textId="77777777" w:rsidR="009864DB" w:rsidRPr="004D46AC" w:rsidRDefault="009864DB" w:rsidP="009864DB">
            <w:pPr>
              <w:spacing w:line="240" w:lineRule="auto"/>
              <w:ind w:firstLine="0"/>
            </w:pPr>
            <w:r w:rsidRPr="004D46AC">
              <w:t>DIGS</w:t>
            </w:r>
          </w:p>
        </w:tc>
        <w:tc>
          <w:tcPr>
            <w:tcW w:w="876" w:type="dxa"/>
            <w:vAlign w:val="center"/>
          </w:tcPr>
          <w:p w14:paraId="0A07161D" w14:textId="77777777" w:rsidR="009864DB" w:rsidRPr="004D46AC" w:rsidRDefault="009864DB" w:rsidP="009864DB">
            <w:pPr>
              <w:spacing w:line="240" w:lineRule="auto"/>
              <w:ind w:firstLine="0"/>
            </w:pPr>
            <w:r w:rsidRPr="004D46AC">
              <w:t>212</w:t>
            </w:r>
          </w:p>
        </w:tc>
        <w:tc>
          <w:tcPr>
            <w:tcW w:w="986" w:type="dxa"/>
            <w:vAlign w:val="center"/>
          </w:tcPr>
          <w:p w14:paraId="4CE80E35" w14:textId="77777777" w:rsidR="009864DB" w:rsidRPr="004D46AC" w:rsidRDefault="009864DB" w:rsidP="009864DB">
            <w:pPr>
              <w:spacing w:line="240" w:lineRule="auto"/>
              <w:ind w:firstLine="0"/>
            </w:pPr>
            <w:r w:rsidRPr="004D46AC">
              <w:t>unclear</w:t>
            </w:r>
          </w:p>
        </w:tc>
        <w:tc>
          <w:tcPr>
            <w:tcW w:w="751" w:type="dxa"/>
            <w:vAlign w:val="center"/>
          </w:tcPr>
          <w:p w14:paraId="7D75DF84" w14:textId="77777777" w:rsidR="009864DB" w:rsidRPr="004D46AC" w:rsidRDefault="009864DB" w:rsidP="009864DB">
            <w:pPr>
              <w:spacing w:line="240" w:lineRule="auto"/>
              <w:ind w:firstLine="0"/>
            </w:pPr>
            <w:r w:rsidRPr="004D46AC">
              <w:t>1</w:t>
            </w:r>
          </w:p>
        </w:tc>
        <w:tc>
          <w:tcPr>
            <w:tcW w:w="752" w:type="dxa"/>
            <w:vAlign w:val="center"/>
          </w:tcPr>
          <w:p w14:paraId="2E0CCA1C" w14:textId="77777777" w:rsidR="009864DB" w:rsidRPr="004D46AC" w:rsidRDefault="009864DB" w:rsidP="009864DB">
            <w:pPr>
              <w:spacing w:line="240" w:lineRule="auto"/>
              <w:ind w:firstLine="0"/>
            </w:pPr>
            <w:r w:rsidRPr="004D46AC">
              <w:t>0</w:t>
            </w:r>
          </w:p>
        </w:tc>
        <w:tc>
          <w:tcPr>
            <w:tcW w:w="1296" w:type="dxa"/>
            <w:vAlign w:val="center"/>
          </w:tcPr>
          <w:p w14:paraId="3BB25117" w14:textId="77777777" w:rsidR="009864DB" w:rsidRPr="004D46AC" w:rsidRDefault="009864DB" w:rsidP="009864DB">
            <w:pPr>
              <w:spacing w:line="240" w:lineRule="auto"/>
              <w:ind w:firstLine="0"/>
            </w:pPr>
            <w:r w:rsidRPr="004D46AC">
              <w:t>27</w:t>
            </w:r>
          </w:p>
        </w:tc>
        <w:tc>
          <w:tcPr>
            <w:tcW w:w="752" w:type="dxa"/>
            <w:vAlign w:val="center"/>
          </w:tcPr>
          <w:p w14:paraId="42DDACAE" w14:textId="77777777" w:rsidR="009864DB" w:rsidRPr="004D46AC" w:rsidRDefault="009864DB" w:rsidP="009864DB">
            <w:pPr>
              <w:spacing w:line="240" w:lineRule="auto"/>
              <w:ind w:firstLine="0"/>
            </w:pPr>
            <w:r w:rsidRPr="004D46AC">
              <w:t>NA</w:t>
            </w:r>
          </w:p>
        </w:tc>
        <w:tc>
          <w:tcPr>
            <w:tcW w:w="789" w:type="dxa"/>
            <w:gridSpan w:val="2"/>
            <w:vAlign w:val="center"/>
          </w:tcPr>
          <w:p w14:paraId="4D367A6F" w14:textId="77777777" w:rsidR="009864DB" w:rsidRPr="004D46AC" w:rsidRDefault="009864DB" w:rsidP="009864DB">
            <w:pPr>
              <w:spacing w:line="240" w:lineRule="auto"/>
              <w:ind w:firstLine="0"/>
            </w:pPr>
            <w:r w:rsidRPr="004D46AC">
              <w:t>NA</w:t>
            </w:r>
          </w:p>
        </w:tc>
      </w:tr>
      <w:tr w:rsidR="009864DB" w:rsidRPr="004D46AC" w14:paraId="6087708D" w14:textId="77777777" w:rsidTr="00B518F1">
        <w:tc>
          <w:tcPr>
            <w:tcW w:w="1476" w:type="dxa"/>
          </w:tcPr>
          <w:p w14:paraId="329E97B7" w14:textId="77777777" w:rsidR="009864DB" w:rsidRPr="004D46AC" w:rsidRDefault="009864DB" w:rsidP="009864DB">
            <w:pPr>
              <w:spacing w:line="240" w:lineRule="auto"/>
              <w:ind w:firstLine="0"/>
            </w:pPr>
            <w:r w:rsidRPr="004D46AC">
              <w:fldChar w:fldCharType="begin">
                <w:fldData xml:space="preserve">PEVuZE5vdGU+PENpdGUgQXV0aG9yWWVhcj0iMSI+PEF1dGhvcj5Fa21hbjwvQXV0aG9yPjxZZWFy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instrText xml:space="preserve"> ADDIN EN.CITE </w:instrText>
            </w:r>
            <w:r w:rsidRPr="004D46AC">
              <w:fldChar w:fldCharType="begin">
                <w:fldData xml:space="preserve">PEVuZE5vdGU+PENpdGUgQXV0aG9yWWVhcj0iMSI+PEF1dGhvcj5Fa21hbjwvQXV0aG9yPjxZZWFy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instrText xml:space="preserve"> ADDIN EN.CITE.DATA </w:instrText>
            </w:r>
            <w:r w:rsidRPr="004D46AC">
              <w:fldChar w:fldCharType="end"/>
            </w:r>
            <w:r w:rsidRPr="004D46AC">
              <w:fldChar w:fldCharType="separate"/>
            </w:r>
            <w:r w:rsidRPr="004D46AC">
              <w:t>Ekman et al. (2017)</w:t>
            </w:r>
            <w:r w:rsidRPr="004D46AC">
              <w:fldChar w:fldCharType="end"/>
            </w:r>
          </w:p>
        </w:tc>
        <w:tc>
          <w:tcPr>
            <w:tcW w:w="754" w:type="dxa"/>
            <w:vAlign w:val="center"/>
          </w:tcPr>
          <w:p w14:paraId="092F1FE6" w14:textId="77777777" w:rsidR="009864DB" w:rsidRPr="004D46AC" w:rsidRDefault="009864DB" w:rsidP="009864DB">
            <w:pPr>
              <w:spacing w:line="240" w:lineRule="auto"/>
              <w:ind w:firstLine="0"/>
            </w:pPr>
            <w:r w:rsidRPr="004D46AC">
              <w:t>7</w:t>
            </w:r>
          </w:p>
        </w:tc>
        <w:tc>
          <w:tcPr>
            <w:tcW w:w="766" w:type="dxa"/>
            <w:vAlign w:val="center"/>
          </w:tcPr>
          <w:p w14:paraId="6FE77AEA" w14:textId="77777777" w:rsidR="009864DB" w:rsidRPr="004D46AC" w:rsidRDefault="009864DB" w:rsidP="009864DB">
            <w:pPr>
              <w:spacing w:line="240" w:lineRule="auto"/>
              <w:ind w:firstLine="0"/>
            </w:pPr>
            <w:r w:rsidRPr="004D46AC">
              <w:t>38.47</w:t>
            </w:r>
          </w:p>
        </w:tc>
        <w:tc>
          <w:tcPr>
            <w:tcW w:w="1096" w:type="dxa"/>
            <w:vAlign w:val="center"/>
          </w:tcPr>
          <w:p w14:paraId="1E636456" w14:textId="77777777" w:rsidR="009864DB" w:rsidRPr="004D46AC" w:rsidRDefault="009864DB" w:rsidP="009864DB">
            <w:pPr>
              <w:spacing w:line="240" w:lineRule="auto"/>
              <w:ind w:firstLine="0"/>
            </w:pPr>
            <w:r w:rsidRPr="004D46AC">
              <w:t>DSM4TR</w:t>
            </w:r>
          </w:p>
        </w:tc>
        <w:tc>
          <w:tcPr>
            <w:tcW w:w="1415" w:type="dxa"/>
            <w:vAlign w:val="center"/>
          </w:tcPr>
          <w:p w14:paraId="660CFE7F" w14:textId="77777777" w:rsidR="009864DB" w:rsidRPr="004D46AC" w:rsidRDefault="009864DB" w:rsidP="009864DB">
            <w:pPr>
              <w:spacing w:line="240" w:lineRule="auto"/>
              <w:ind w:firstLine="0"/>
            </w:pPr>
            <w:r w:rsidRPr="004D46AC">
              <w:t>mixed</w:t>
            </w:r>
          </w:p>
        </w:tc>
        <w:tc>
          <w:tcPr>
            <w:tcW w:w="876" w:type="dxa"/>
            <w:vAlign w:val="center"/>
          </w:tcPr>
          <w:p w14:paraId="1B8C4460" w14:textId="77777777" w:rsidR="009864DB" w:rsidRPr="004D46AC" w:rsidRDefault="009864DB" w:rsidP="009864DB">
            <w:pPr>
              <w:spacing w:line="240" w:lineRule="auto"/>
              <w:ind w:firstLine="0"/>
            </w:pPr>
            <w:r w:rsidRPr="004D46AC">
              <w:t>167</w:t>
            </w:r>
          </w:p>
        </w:tc>
        <w:tc>
          <w:tcPr>
            <w:tcW w:w="986" w:type="dxa"/>
            <w:vAlign w:val="center"/>
          </w:tcPr>
          <w:p w14:paraId="6F27E27A" w14:textId="77777777" w:rsidR="009864DB" w:rsidRPr="004D46AC" w:rsidRDefault="009864DB" w:rsidP="009864DB">
            <w:pPr>
              <w:spacing w:line="240" w:lineRule="auto"/>
              <w:ind w:firstLine="0"/>
            </w:pPr>
            <w:r w:rsidRPr="004D46AC">
              <w:t>1</w:t>
            </w:r>
          </w:p>
        </w:tc>
        <w:tc>
          <w:tcPr>
            <w:tcW w:w="751" w:type="dxa"/>
            <w:vAlign w:val="center"/>
          </w:tcPr>
          <w:p w14:paraId="682846B9" w14:textId="77777777" w:rsidR="009864DB" w:rsidRPr="004D46AC" w:rsidRDefault="009864DB" w:rsidP="009864DB">
            <w:pPr>
              <w:spacing w:line="240" w:lineRule="auto"/>
              <w:ind w:firstLine="0"/>
            </w:pPr>
            <w:r w:rsidRPr="004D46AC">
              <w:t>1</w:t>
            </w:r>
          </w:p>
        </w:tc>
        <w:tc>
          <w:tcPr>
            <w:tcW w:w="752" w:type="dxa"/>
            <w:vAlign w:val="center"/>
          </w:tcPr>
          <w:p w14:paraId="6C2E1054" w14:textId="77777777" w:rsidR="009864DB" w:rsidRPr="004D46AC" w:rsidRDefault="009864DB" w:rsidP="009864DB">
            <w:pPr>
              <w:spacing w:line="240" w:lineRule="auto"/>
              <w:ind w:firstLine="0"/>
            </w:pPr>
            <w:r w:rsidRPr="004D46AC">
              <w:t>2</w:t>
            </w:r>
          </w:p>
        </w:tc>
        <w:tc>
          <w:tcPr>
            <w:tcW w:w="1296" w:type="dxa"/>
            <w:vAlign w:val="center"/>
          </w:tcPr>
          <w:p w14:paraId="3E3560A6" w14:textId="77777777" w:rsidR="009864DB" w:rsidRPr="004D46AC" w:rsidRDefault="009864DB" w:rsidP="009864DB">
            <w:pPr>
              <w:spacing w:line="240" w:lineRule="auto"/>
              <w:ind w:firstLine="0"/>
            </w:pPr>
            <w:r w:rsidRPr="004D46AC">
              <w:t>85</w:t>
            </w:r>
          </w:p>
        </w:tc>
        <w:tc>
          <w:tcPr>
            <w:tcW w:w="752" w:type="dxa"/>
            <w:vAlign w:val="center"/>
          </w:tcPr>
          <w:p w14:paraId="20C99D25" w14:textId="77777777" w:rsidR="009864DB" w:rsidRPr="004D46AC" w:rsidRDefault="009864DB" w:rsidP="009864DB">
            <w:pPr>
              <w:spacing w:line="240" w:lineRule="auto"/>
              <w:ind w:firstLine="0"/>
            </w:pPr>
            <w:r w:rsidRPr="004D46AC">
              <w:t>NA</w:t>
            </w:r>
          </w:p>
        </w:tc>
        <w:tc>
          <w:tcPr>
            <w:tcW w:w="789" w:type="dxa"/>
            <w:gridSpan w:val="2"/>
            <w:vAlign w:val="center"/>
          </w:tcPr>
          <w:p w14:paraId="719E49F0" w14:textId="77777777" w:rsidR="009864DB" w:rsidRPr="004D46AC" w:rsidRDefault="009864DB" w:rsidP="009864DB">
            <w:pPr>
              <w:spacing w:line="240" w:lineRule="auto"/>
              <w:ind w:firstLine="0"/>
            </w:pPr>
            <w:r w:rsidRPr="004D46AC">
              <w:t>NA</w:t>
            </w:r>
          </w:p>
        </w:tc>
      </w:tr>
      <w:tr w:rsidR="009864DB" w:rsidRPr="004D46AC" w14:paraId="2D2E89DB" w14:textId="77777777" w:rsidTr="00B518F1">
        <w:tc>
          <w:tcPr>
            <w:tcW w:w="1476" w:type="dxa"/>
          </w:tcPr>
          <w:p w14:paraId="46F5AE82" w14:textId="77777777" w:rsidR="009864DB" w:rsidRPr="004D46AC" w:rsidRDefault="009864DB" w:rsidP="009864DB">
            <w:pPr>
              <w:spacing w:line="240" w:lineRule="auto"/>
              <w:ind w:firstLine="0"/>
            </w:pPr>
            <w:r w:rsidRPr="004D46AC">
              <w:fldChar w:fldCharType="begin">
                <w:fldData xml:space="preserve">PEVuZE5vdGU+PENpdGUgQXV0aG9yWWVhcj0iMSI+PEF1dGhvcj5aZW5pc2VrPC9BdXRob3I+PFll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instrText xml:space="preserve"> ADDIN EN.CITE </w:instrText>
            </w:r>
            <w:r w:rsidRPr="004D46AC">
              <w:fldChar w:fldCharType="begin">
                <w:fldData xml:space="preserve">PEVuZE5vdGU+PENpdGUgQXV0aG9yWWVhcj0iMSI+PEF1dGhvcj5aZW5pc2VrPC9BdXRob3I+PFll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Zenisek et al. (2015)</w:t>
            </w:r>
            <w:r w:rsidRPr="004D46AC">
              <w:fldChar w:fldCharType="end"/>
            </w:r>
          </w:p>
        </w:tc>
        <w:tc>
          <w:tcPr>
            <w:tcW w:w="754" w:type="dxa"/>
            <w:vAlign w:val="center"/>
          </w:tcPr>
          <w:p w14:paraId="5A349089" w14:textId="77777777" w:rsidR="009864DB" w:rsidRPr="004D46AC" w:rsidRDefault="009864DB" w:rsidP="009864DB">
            <w:pPr>
              <w:spacing w:line="240" w:lineRule="auto"/>
              <w:ind w:firstLine="0"/>
            </w:pPr>
            <w:r w:rsidRPr="004D46AC">
              <w:t>4</w:t>
            </w:r>
          </w:p>
        </w:tc>
        <w:tc>
          <w:tcPr>
            <w:tcW w:w="766" w:type="dxa"/>
            <w:vAlign w:val="center"/>
          </w:tcPr>
          <w:p w14:paraId="2D99B369" w14:textId="77777777" w:rsidR="009864DB" w:rsidRPr="004D46AC" w:rsidRDefault="009864DB" w:rsidP="009864DB">
            <w:pPr>
              <w:spacing w:line="240" w:lineRule="auto"/>
              <w:ind w:firstLine="0"/>
            </w:pPr>
            <w:r w:rsidRPr="004D46AC">
              <w:t>35.89</w:t>
            </w:r>
          </w:p>
        </w:tc>
        <w:tc>
          <w:tcPr>
            <w:tcW w:w="1096" w:type="dxa"/>
            <w:vAlign w:val="center"/>
          </w:tcPr>
          <w:p w14:paraId="7C847C3D" w14:textId="77777777" w:rsidR="009864DB" w:rsidRPr="004D46AC" w:rsidRDefault="009864DB" w:rsidP="009864DB">
            <w:pPr>
              <w:spacing w:line="240" w:lineRule="auto"/>
              <w:ind w:firstLine="0"/>
            </w:pPr>
            <w:r w:rsidRPr="004D46AC">
              <w:t>DSM4</w:t>
            </w:r>
          </w:p>
        </w:tc>
        <w:tc>
          <w:tcPr>
            <w:tcW w:w="1415" w:type="dxa"/>
            <w:vAlign w:val="center"/>
          </w:tcPr>
          <w:p w14:paraId="019F19BD" w14:textId="77777777" w:rsidR="009864DB" w:rsidRPr="004D46AC" w:rsidRDefault="009864DB" w:rsidP="009864DB">
            <w:pPr>
              <w:spacing w:line="240" w:lineRule="auto"/>
              <w:ind w:firstLine="0"/>
            </w:pPr>
            <w:r w:rsidRPr="004D46AC">
              <w:t>SCID</w:t>
            </w:r>
          </w:p>
        </w:tc>
        <w:tc>
          <w:tcPr>
            <w:tcW w:w="876" w:type="dxa"/>
            <w:vAlign w:val="center"/>
          </w:tcPr>
          <w:p w14:paraId="4FAB1896" w14:textId="77777777" w:rsidR="009864DB" w:rsidRPr="004D46AC" w:rsidRDefault="009864DB" w:rsidP="009864DB">
            <w:pPr>
              <w:spacing w:line="240" w:lineRule="auto"/>
              <w:ind w:firstLine="0"/>
            </w:pPr>
            <w:r w:rsidRPr="004D46AC">
              <w:t>58</w:t>
            </w:r>
          </w:p>
        </w:tc>
        <w:tc>
          <w:tcPr>
            <w:tcW w:w="986" w:type="dxa"/>
            <w:vAlign w:val="center"/>
          </w:tcPr>
          <w:p w14:paraId="71DB23C8" w14:textId="77777777" w:rsidR="009864DB" w:rsidRPr="004D46AC" w:rsidRDefault="009864DB" w:rsidP="009864DB">
            <w:pPr>
              <w:spacing w:line="240" w:lineRule="auto"/>
              <w:ind w:firstLine="0"/>
            </w:pPr>
            <w:r w:rsidRPr="004D46AC">
              <w:t>1</w:t>
            </w:r>
          </w:p>
        </w:tc>
        <w:tc>
          <w:tcPr>
            <w:tcW w:w="751" w:type="dxa"/>
            <w:vAlign w:val="center"/>
          </w:tcPr>
          <w:p w14:paraId="7EF8AD88" w14:textId="77777777" w:rsidR="009864DB" w:rsidRPr="004D46AC" w:rsidRDefault="009864DB" w:rsidP="009864DB">
            <w:pPr>
              <w:spacing w:line="240" w:lineRule="auto"/>
              <w:ind w:firstLine="0"/>
            </w:pPr>
            <w:r w:rsidRPr="004D46AC">
              <w:t>1</w:t>
            </w:r>
          </w:p>
        </w:tc>
        <w:tc>
          <w:tcPr>
            <w:tcW w:w="752" w:type="dxa"/>
            <w:vAlign w:val="center"/>
          </w:tcPr>
          <w:p w14:paraId="2526409B" w14:textId="77777777" w:rsidR="009864DB" w:rsidRPr="004D46AC" w:rsidRDefault="009864DB" w:rsidP="009864DB">
            <w:pPr>
              <w:spacing w:line="240" w:lineRule="auto"/>
              <w:ind w:firstLine="0"/>
            </w:pPr>
            <w:r w:rsidRPr="004D46AC">
              <w:t>2</w:t>
            </w:r>
          </w:p>
        </w:tc>
        <w:tc>
          <w:tcPr>
            <w:tcW w:w="1296" w:type="dxa"/>
            <w:vAlign w:val="center"/>
          </w:tcPr>
          <w:p w14:paraId="47893A13" w14:textId="77777777" w:rsidR="009864DB" w:rsidRPr="004D46AC" w:rsidRDefault="009864DB" w:rsidP="009864DB">
            <w:pPr>
              <w:spacing w:line="240" w:lineRule="auto"/>
              <w:ind w:firstLine="0"/>
            </w:pPr>
            <w:r w:rsidRPr="004D46AC">
              <w:t>30</w:t>
            </w:r>
          </w:p>
        </w:tc>
        <w:tc>
          <w:tcPr>
            <w:tcW w:w="752" w:type="dxa"/>
            <w:vAlign w:val="center"/>
          </w:tcPr>
          <w:p w14:paraId="7685B47B" w14:textId="77777777" w:rsidR="009864DB" w:rsidRPr="004D46AC" w:rsidRDefault="009864DB" w:rsidP="009864DB">
            <w:pPr>
              <w:spacing w:line="240" w:lineRule="auto"/>
              <w:ind w:firstLine="0"/>
            </w:pPr>
            <w:r w:rsidRPr="004D46AC">
              <w:t>NA</w:t>
            </w:r>
          </w:p>
        </w:tc>
        <w:tc>
          <w:tcPr>
            <w:tcW w:w="789" w:type="dxa"/>
            <w:gridSpan w:val="2"/>
            <w:vAlign w:val="center"/>
          </w:tcPr>
          <w:p w14:paraId="0269BAC3" w14:textId="77777777" w:rsidR="009864DB" w:rsidRPr="004D46AC" w:rsidRDefault="009864DB" w:rsidP="009864DB">
            <w:pPr>
              <w:spacing w:line="240" w:lineRule="auto"/>
              <w:ind w:firstLine="0"/>
            </w:pPr>
            <w:r w:rsidRPr="004D46AC">
              <w:t>NA</w:t>
            </w:r>
          </w:p>
        </w:tc>
      </w:tr>
      <w:tr w:rsidR="009864DB" w:rsidRPr="004D46AC" w14:paraId="260D2E5F" w14:textId="77777777" w:rsidTr="00B518F1">
        <w:tc>
          <w:tcPr>
            <w:tcW w:w="1476" w:type="dxa"/>
          </w:tcPr>
          <w:p w14:paraId="6D6B672E" w14:textId="77777777" w:rsidR="009864DB" w:rsidRPr="004D46AC" w:rsidRDefault="009864DB" w:rsidP="009864DB">
            <w:pPr>
              <w:spacing w:line="240" w:lineRule="auto"/>
              <w:ind w:firstLine="0"/>
            </w:pPr>
            <w:r w:rsidRPr="004D46AC">
              <w:fldChar w:fldCharType="begin">
                <w:fldData xml:space="preserve">PEVuZE5vdGU+PENpdGUgQXV0aG9yWWVhcj0iMSI+PEF1dGhvcj5EZSBQcmFkaWVyPC9BdXRob3I+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</w:fldData>
              </w:fldChar>
            </w:r>
            <w:r w:rsidRPr="004D46AC">
              <w:instrText xml:space="preserve"> ADDIN EN.CITE </w:instrText>
            </w:r>
            <w:r w:rsidRPr="004D46AC">
              <w:fldChar w:fldCharType="begin">
                <w:fldData xml:space="preserve">PEVuZE5vdGU+PENpdGUgQXV0aG9yWWVhcj0iMSI+PEF1dGhvcj5EZSBQcmFkaWVyPC9BdXRob3I+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</w:fldData>
              </w:fldChar>
            </w:r>
            <w:r w:rsidRPr="004D46AC">
              <w:instrText xml:space="preserve"> ADDIN EN.CITE.DATA </w:instrText>
            </w:r>
            <w:r w:rsidRPr="004D46AC">
              <w:fldChar w:fldCharType="end"/>
            </w:r>
            <w:r w:rsidRPr="004D46AC">
              <w:fldChar w:fldCharType="separate"/>
            </w:r>
            <w:r w:rsidRPr="004D46AC">
              <w:t>De Pradier et al. (2010)</w:t>
            </w:r>
            <w:r w:rsidRPr="004D46AC">
              <w:fldChar w:fldCharType="end"/>
            </w:r>
          </w:p>
        </w:tc>
        <w:tc>
          <w:tcPr>
            <w:tcW w:w="754" w:type="dxa"/>
            <w:vAlign w:val="center"/>
          </w:tcPr>
          <w:p w14:paraId="4C6251A3" w14:textId="77777777" w:rsidR="009864DB" w:rsidRPr="004D46AC" w:rsidRDefault="009864DB" w:rsidP="009864DB">
            <w:pPr>
              <w:spacing w:line="240" w:lineRule="auto"/>
              <w:ind w:firstLine="0"/>
            </w:pPr>
            <w:r w:rsidRPr="004D46AC">
              <w:t>4</w:t>
            </w:r>
          </w:p>
        </w:tc>
        <w:tc>
          <w:tcPr>
            <w:tcW w:w="766" w:type="dxa"/>
            <w:vAlign w:val="center"/>
          </w:tcPr>
          <w:p w14:paraId="72E2B2DA" w14:textId="77777777" w:rsidR="009864DB" w:rsidRPr="004D46AC" w:rsidRDefault="009864DB" w:rsidP="009864DB">
            <w:pPr>
              <w:spacing w:line="240" w:lineRule="auto"/>
              <w:ind w:firstLine="0"/>
            </w:pPr>
            <w:r w:rsidRPr="004D46AC">
              <w:t>49.65</w:t>
            </w:r>
          </w:p>
        </w:tc>
        <w:tc>
          <w:tcPr>
            <w:tcW w:w="1096" w:type="dxa"/>
            <w:vAlign w:val="center"/>
          </w:tcPr>
          <w:p w14:paraId="7DF450D3" w14:textId="77777777" w:rsidR="009864DB" w:rsidRPr="004D46AC" w:rsidRDefault="009864DB" w:rsidP="009864DB">
            <w:pPr>
              <w:spacing w:line="240" w:lineRule="auto"/>
              <w:ind w:firstLine="0"/>
            </w:pPr>
            <w:r w:rsidRPr="004D46AC">
              <w:t>DSM4</w:t>
            </w:r>
          </w:p>
        </w:tc>
        <w:tc>
          <w:tcPr>
            <w:tcW w:w="1415" w:type="dxa"/>
            <w:vAlign w:val="center"/>
          </w:tcPr>
          <w:p w14:paraId="20CDA3C4" w14:textId="77777777" w:rsidR="009864DB" w:rsidRPr="004D46AC" w:rsidRDefault="009864DB" w:rsidP="009864DB">
            <w:pPr>
              <w:spacing w:line="240" w:lineRule="auto"/>
              <w:ind w:firstLine="0"/>
            </w:pPr>
            <w:r w:rsidRPr="004D46AC">
              <w:t>DIGS</w:t>
            </w:r>
          </w:p>
        </w:tc>
        <w:tc>
          <w:tcPr>
            <w:tcW w:w="876" w:type="dxa"/>
            <w:vAlign w:val="center"/>
          </w:tcPr>
          <w:p w14:paraId="0C106C73" w14:textId="77777777" w:rsidR="009864DB" w:rsidRPr="004D46AC" w:rsidRDefault="009864DB" w:rsidP="009864DB">
            <w:pPr>
              <w:spacing w:line="240" w:lineRule="auto"/>
              <w:ind w:firstLine="0"/>
            </w:pPr>
            <w:r w:rsidRPr="004D46AC">
              <w:t>137</w:t>
            </w:r>
          </w:p>
        </w:tc>
        <w:tc>
          <w:tcPr>
            <w:tcW w:w="986" w:type="dxa"/>
            <w:vAlign w:val="center"/>
          </w:tcPr>
          <w:p w14:paraId="6D1D2DE0" w14:textId="77777777" w:rsidR="009864DB" w:rsidRPr="004D46AC" w:rsidRDefault="009864DB" w:rsidP="009864DB">
            <w:pPr>
              <w:spacing w:line="240" w:lineRule="auto"/>
              <w:ind w:firstLine="0"/>
            </w:pPr>
            <w:r w:rsidRPr="004D46AC">
              <w:t>1</w:t>
            </w:r>
          </w:p>
        </w:tc>
        <w:tc>
          <w:tcPr>
            <w:tcW w:w="751" w:type="dxa"/>
            <w:vAlign w:val="center"/>
          </w:tcPr>
          <w:p w14:paraId="1375C9C3" w14:textId="77777777" w:rsidR="009864DB" w:rsidRPr="004D46AC" w:rsidRDefault="009864DB" w:rsidP="009864DB">
            <w:pPr>
              <w:spacing w:line="240" w:lineRule="auto"/>
              <w:ind w:firstLine="0"/>
            </w:pPr>
            <w:r w:rsidRPr="004D46AC">
              <w:t>1</w:t>
            </w:r>
          </w:p>
        </w:tc>
        <w:tc>
          <w:tcPr>
            <w:tcW w:w="752" w:type="dxa"/>
            <w:vAlign w:val="center"/>
          </w:tcPr>
          <w:p w14:paraId="28C9FA29" w14:textId="77777777" w:rsidR="009864DB" w:rsidRPr="004D46AC" w:rsidRDefault="009864DB" w:rsidP="009864DB">
            <w:pPr>
              <w:spacing w:line="240" w:lineRule="auto"/>
              <w:ind w:firstLine="0"/>
            </w:pPr>
            <w:r w:rsidRPr="004D46AC">
              <w:t>2</w:t>
            </w:r>
          </w:p>
        </w:tc>
        <w:tc>
          <w:tcPr>
            <w:tcW w:w="1296" w:type="dxa"/>
            <w:vAlign w:val="center"/>
          </w:tcPr>
          <w:p w14:paraId="678EB2D6" w14:textId="77777777" w:rsidR="009864DB" w:rsidRPr="004D46AC" w:rsidRDefault="009864DB" w:rsidP="009864DB">
            <w:pPr>
              <w:spacing w:line="240" w:lineRule="auto"/>
              <w:ind w:firstLine="0"/>
            </w:pPr>
            <w:r w:rsidRPr="004D46AC">
              <w:t>74</w:t>
            </w:r>
          </w:p>
        </w:tc>
        <w:tc>
          <w:tcPr>
            <w:tcW w:w="752" w:type="dxa"/>
            <w:vAlign w:val="center"/>
          </w:tcPr>
          <w:p w14:paraId="686FA191" w14:textId="77777777" w:rsidR="009864DB" w:rsidRPr="004D46AC" w:rsidRDefault="009864DB" w:rsidP="009864DB">
            <w:pPr>
              <w:spacing w:line="240" w:lineRule="auto"/>
              <w:ind w:firstLine="0"/>
            </w:pPr>
            <w:r w:rsidRPr="004D46AC">
              <w:t>NA</w:t>
            </w:r>
          </w:p>
        </w:tc>
        <w:tc>
          <w:tcPr>
            <w:tcW w:w="789" w:type="dxa"/>
            <w:gridSpan w:val="2"/>
            <w:vAlign w:val="center"/>
          </w:tcPr>
          <w:p w14:paraId="1D96321C" w14:textId="77777777" w:rsidR="009864DB" w:rsidRPr="004D46AC" w:rsidRDefault="009864DB" w:rsidP="009864DB">
            <w:pPr>
              <w:spacing w:line="240" w:lineRule="auto"/>
              <w:ind w:firstLine="0"/>
            </w:pPr>
            <w:r w:rsidRPr="004D46AC">
              <w:t>NA</w:t>
            </w:r>
          </w:p>
        </w:tc>
      </w:tr>
      <w:tr w:rsidR="009864DB" w:rsidRPr="004D46AC" w14:paraId="13CD12AE" w14:textId="77777777" w:rsidTr="00B518F1">
        <w:tc>
          <w:tcPr>
            <w:tcW w:w="1476" w:type="dxa"/>
          </w:tcPr>
          <w:p w14:paraId="62B8AFF3" w14:textId="77777777" w:rsidR="009864DB" w:rsidRPr="004D46AC" w:rsidRDefault="009864DB" w:rsidP="009864DB">
            <w:pPr>
              <w:spacing w:line="240" w:lineRule="auto"/>
              <w:ind w:firstLine="0"/>
            </w:pPr>
            <w:r w:rsidRPr="004D46AC">
              <w:fldChar w:fldCharType="begin">
                <w:fldData xml:space="preserve">PEVuZE5vdGU+PENpdGUgQXV0aG9yWWVhcj0iMSI+PEF1dGhvcj5GZXJlbnRpbm9zPC9BdXRob3I+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</w:fldData>
              </w:fldChar>
            </w:r>
            <w:r w:rsidRPr="004D46AC">
              <w:instrText xml:space="preserve"> ADDIN EN.CITE </w:instrText>
            </w:r>
            <w:r w:rsidRPr="004D46AC">
              <w:fldChar w:fldCharType="begin">
                <w:fldData xml:space="preserve">PEVuZE5vdGU+PENpdGUgQXV0aG9yWWVhcj0iMSI+PEF1dGhvcj5GZXJlbnRpbm9zPC9BdXRob3I+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</w:fldData>
              </w:fldChar>
            </w:r>
            <w:r w:rsidRPr="004D46AC">
              <w:instrText xml:space="preserve"> ADDIN EN.CITE.DATA </w:instrText>
            </w:r>
            <w:r w:rsidRPr="004D46AC">
              <w:fldChar w:fldCharType="end"/>
            </w:r>
            <w:r w:rsidRPr="004D46AC">
              <w:fldChar w:fldCharType="separate"/>
            </w:r>
            <w:r w:rsidRPr="004D46AC">
              <w:t>Ferentinos et al. (2017)</w:t>
            </w:r>
            <w:r w:rsidRPr="004D46AC">
              <w:fldChar w:fldCharType="end"/>
            </w:r>
          </w:p>
        </w:tc>
        <w:tc>
          <w:tcPr>
            <w:tcW w:w="754" w:type="dxa"/>
            <w:vAlign w:val="center"/>
          </w:tcPr>
          <w:p w14:paraId="6242FB61" w14:textId="77777777" w:rsidR="009864DB" w:rsidRPr="004D46AC" w:rsidRDefault="009864DB" w:rsidP="009864DB">
            <w:pPr>
              <w:spacing w:line="240" w:lineRule="auto"/>
              <w:ind w:firstLine="0"/>
            </w:pPr>
            <w:r w:rsidRPr="004D46AC">
              <w:t>5</w:t>
            </w:r>
          </w:p>
        </w:tc>
        <w:tc>
          <w:tcPr>
            <w:tcW w:w="766" w:type="dxa"/>
            <w:vAlign w:val="center"/>
          </w:tcPr>
          <w:p w14:paraId="3EB2ACFA" w14:textId="77777777" w:rsidR="009864DB" w:rsidRPr="004D46AC" w:rsidRDefault="009864DB" w:rsidP="009864DB">
            <w:pPr>
              <w:spacing w:line="240" w:lineRule="auto"/>
              <w:ind w:firstLine="0"/>
            </w:pPr>
            <w:r w:rsidRPr="004D46AC">
              <w:t>48.17</w:t>
            </w:r>
          </w:p>
        </w:tc>
        <w:tc>
          <w:tcPr>
            <w:tcW w:w="1096" w:type="dxa"/>
            <w:vAlign w:val="center"/>
          </w:tcPr>
          <w:p w14:paraId="67A2CC82" w14:textId="77777777" w:rsidR="009864DB" w:rsidRPr="004D46AC" w:rsidRDefault="009864DB" w:rsidP="009864DB">
            <w:pPr>
              <w:spacing w:line="240" w:lineRule="auto"/>
              <w:ind w:firstLine="0"/>
            </w:pPr>
            <w:r w:rsidRPr="004D46AC">
              <w:t>DSM</w:t>
            </w:r>
          </w:p>
        </w:tc>
        <w:tc>
          <w:tcPr>
            <w:tcW w:w="1415" w:type="dxa"/>
            <w:vAlign w:val="center"/>
          </w:tcPr>
          <w:p w14:paraId="6B8C8153" w14:textId="77777777" w:rsidR="009864DB" w:rsidRPr="004D46AC" w:rsidRDefault="009864DB" w:rsidP="009864DB">
            <w:pPr>
              <w:spacing w:line="240" w:lineRule="auto"/>
              <w:ind w:firstLine="0"/>
            </w:pPr>
            <w:r w:rsidRPr="004D46AC">
              <w:t>MINI</w:t>
            </w:r>
          </w:p>
        </w:tc>
        <w:tc>
          <w:tcPr>
            <w:tcW w:w="876" w:type="dxa"/>
            <w:vAlign w:val="center"/>
          </w:tcPr>
          <w:p w14:paraId="084A2ECA" w14:textId="77777777" w:rsidR="009864DB" w:rsidRPr="004D46AC" w:rsidRDefault="009864DB" w:rsidP="009864DB">
            <w:pPr>
              <w:spacing w:line="240" w:lineRule="auto"/>
              <w:ind w:firstLine="0"/>
            </w:pPr>
            <w:r w:rsidRPr="004D46AC">
              <w:t>123</w:t>
            </w:r>
          </w:p>
        </w:tc>
        <w:tc>
          <w:tcPr>
            <w:tcW w:w="986" w:type="dxa"/>
            <w:vAlign w:val="center"/>
          </w:tcPr>
          <w:p w14:paraId="20F1A293" w14:textId="77777777" w:rsidR="009864DB" w:rsidRPr="004D46AC" w:rsidRDefault="009864DB" w:rsidP="009864DB">
            <w:pPr>
              <w:spacing w:line="240" w:lineRule="auto"/>
              <w:ind w:firstLine="0"/>
            </w:pPr>
            <w:r w:rsidRPr="004D46AC">
              <w:t>1</w:t>
            </w:r>
          </w:p>
        </w:tc>
        <w:tc>
          <w:tcPr>
            <w:tcW w:w="751" w:type="dxa"/>
            <w:vAlign w:val="center"/>
          </w:tcPr>
          <w:p w14:paraId="70F694CD" w14:textId="77777777" w:rsidR="009864DB" w:rsidRPr="004D46AC" w:rsidRDefault="009864DB" w:rsidP="009864DB">
            <w:pPr>
              <w:spacing w:line="240" w:lineRule="auto"/>
              <w:ind w:firstLine="0"/>
            </w:pPr>
            <w:r w:rsidRPr="004D46AC">
              <w:t>1</w:t>
            </w:r>
          </w:p>
        </w:tc>
        <w:tc>
          <w:tcPr>
            <w:tcW w:w="752" w:type="dxa"/>
            <w:vAlign w:val="center"/>
          </w:tcPr>
          <w:p w14:paraId="3EB76D8A" w14:textId="77777777" w:rsidR="009864DB" w:rsidRPr="004D46AC" w:rsidRDefault="009864DB" w:rsidP="009864DB">
            <w:pPr>
              <w:spacing w:line="240" w:lineRule="auto"/>
              <w:ind w:firstLine="0"/>
            </w:pPr>
            <w:r w:rsidRPr="004D46AC">
              <w:t>2</w:t>
            </w:r>
          </w:p>
        </w:tc>
        <w:tc>
          <w:tcPr>
            <w:tcW w:w="1296" w:type="dxa"/>
            <w:vAlign w:val="center"/>
          </w:tcPr>
          <w:p w14:paraId="1DF224B8" w14:textId="77777777" w:rsidR="009864DB" w:rsidRPr="004D46AC" w:rsidRDefault="009864DB" w:rsidP="009864DB">
            <w:pPr>
              <w:spacing w:line="240" w:lineRule="auto"/>
              <w:ind w:firstLine="0"/>
            </w:pPr>
            <w:r w:rsidRPr="004D46AC">
              <w:t>62</w:t>
            </w:r>
          </w:p>
        </w:tc>
        <w:tc>
          <w:tcPr>
            <w:tcW w:w="752" w:type="dxa"/>
            <w:vAlign w:val="center"/>
          </w:tcPr>
          <w:p w14:paraId="6D777BA9" w14:textId="77777777" w:rsidR="009864DB" w:rsidRPr="004D46AC" w:rsidRDefault="009864DB" w:rsidP="009864DB">
            <w:pPr>
              <w:spacing w:line="240" w:lineRule="auto"/>
              <w:ind w:firstLine="0"/>
            </w:pPr>
            <w:r w:rsidRPr="004D46AC">
              <w:t>NA</w:t>
            </w:r>
          </w:p>
        </w:tc>
        <w:tc>
          <w:tcPr>
            <w:tcW w:w="789" w:type="dxa"/>
            <w:gridSpan w:val="2"/>
            <w:vAlign w:val="center"/>
          </w:tcPr>
          <w:p w14:paraId="1BCFF3EA" w14:textId="77777777" w:rsidR="009864DB" w:rsidRPr="004D46AC" w:rsidRDefault="009864DB" w:rsidP="009864DB">
            <w:pPr>
              <w:spacing w:line="240" w:lineRule="auto"/>
              <w:ind w:firstLine="0"/>
            </w:pPr>
            <w:r w:rsidRPr="004D46AC">
              <w:t>NA</w:t>
            </w:r>
          </w:p>
        </w:tc>
      </w:tr>
      <w:tr w:rsidR="009864DB" w:rsidRPr="004D46AC" w14:paraId="154B46FD" w14:textId="77777777" w:rsidTr="00B518F1">
        <w:tc>
          <w:tcPr>
            <w:tcW w:w="1476" w:type="dxa"/>
          </w:tcPr>
          <w:p w14:paraId="3D52594E" w14:textId="77777777" w:rsidR="009864DB" w:rsidRPr="004D46AC" w:rsidRDefault="009864DB" w:rsidP="009864DB">
            <w:pPr>
              <w:spacing w:line="240" w:lineRule="auto"/>
              <w:ind w:firstLine="0"/>
            </w:pPr>
            <w:r w:rsidRPr="004D46AC">
              <w:fldChar w:fldCharType="begin">
                <w:fldData xml:space="preserve">PEVuZE5vdGU+PENpdGUgQXV0aG9yWWVhcj0iMSI+PEF1dGhvcj5NYWxsZXQ8L0F1dGhvcj48WWVh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</w:fldData>
              </w:fldChar>
            </w:r>
            <w:r w:rsidRPr="004D46AC">
              <w:instrText xml:space="preserve"> ADDIN EN.CITE </w:instrText>
            </w:r>
            <w:r w:rsidRPr="004D46AC">
              <w:fldChar w:fldCharType="begin">
                <w:fldData xml:space="preserve">PEVuZE5vdGU+PENpdGUgQXV0aG9yWWVhcj0iMSI+PEF1dGhvcj5NYWxsZXQ8L0F1dGhvcj48WWVh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</w:fldData>
              </w:fldChar>
            </w:r>
            <w:r w:rsidRPr="004D46AC">
              <w:instrText xml:space="preserve"> ADDIN EN.CITE.DATA </w:instrText>
            </w:r>
            <w:r w:rsidRPr="004D46AC">
              <w:fldChar w:fldCharType="end"/>
            </w:r>
            <w:r w:rsidRPr="004D46AC">
              <w:fldChar w:fldCharType="separate"/>
            </w:r>
            <w:r w:rsidRPr="004D46AC">
              <w:t>Mallet et al. (2022)</w:t>
            </w:r>
            <w:r w:rsidRPr="004D46AC">
              <w:fldChar w:fldCharType="end"/>
            </w:r>
          </w:p>
        </w:tc>
        <w:tc>
          <w:tcPr>
            <w:tcW w:w="754" w:type="dxa"/>
            <w:vAlign w:val="center"/>
          </w:tcPr>
          <w:p w14:paraId="1B38D2BD" w14:textId="77777777" w:rsidR="009864DB" w:rsidRPr="004D46AC" w:rsidRDefault="009864DB" w:rsidP="009864DB">
            <w:pPr>
              <w:spacing w:line="240" w:lineRule="auto"/>
              <w:ind w:firstLine="0"/>
            </w:pPr>
            <w:r w:rsidRPr="004D46AC">
              <w:t>7</w:t>
            </w:r>
          </w:p>
        </w:tc>
        <w:tc>
          <w:tcPr>
            <w:tcW w:w="766" w:type="dxa"/>
            <w:vAlign w:val="center"/>
          </w:tcPr>
          <w:p w14:paraId="6DF9687C" w14:textId="77777777" w:rsidR="009864DB" w:rsidRPr="004D46AC" w:rsidRDefault="009864DB" w:rsidP="009864DB">
            <w:pPr>
              <w:spacing w:line="240" w:lineRule="auto"/>
              <w:ind w:firstLine="0"/>
            </w:pPr>
            <w:r w:rsidRPr="004D46AC">
              <w:t>40.39</w:t>
            </w:r>
          </w:p>
        </w:tc>
        <w:tc>
          <w:tcPr>
            <w:tcW w:w="1096" w:type="dxa"/>
            <w:vAlign w:val="center"/>
          </w:tcPr>
          <w:p w14:paraId="142A565C" w14:textId="77777777" w:rsidR="009864DB" w:rsidRPr="004D46AC" w:rsidRDefault="009864DB" w:rsidP="009864DB">
            <w:pPr>
              <w:spacing w:line="240" w:lineRule="auto"/>
              <w:ind w:firstLine="0"/>
            </w:pPr>
            <w:r w:rsidRPr="004D46AC">
              <w:t>DSM4TR</w:t>
            </w:r>
          </w:p>
        </w:tc>
        <w:tc>
          <w:tcPr>
            <w:tcW w:w="1415" w:type="dxa"/>
            <w:vAlign w:val="center"/>
          </w:tcPr>
          <w:p w14:paraId="373FBDE5" w14:textId="77777777" w:rsidR="009864DB" w:rsidRPr="004D46AC" w:rsidRDefault="009864DB" w:rsidP="009864DB">
            <w:pPr>
              <w:spacing w:line="240" w:lineRule="auto"/>
              <w:ind w:firstLine="0"/>
            </w:pPr>
            <w:r w:rsidRPr="004D46AC">
              <w:t>SCID</w:t>
            </w:r>
          </w:p>
        </w:tc>
        <w:tc>
          <w:tcPr>
            <w:tcW w:w="876" w:type="dxa"/>
            <w:vAlign w:val="center"/>
          </w:tcPr>
          <w:p w14:paraId="2364D60E" w14:textId="77777777" w:rsidR="009864DB" w:rsidRPr="004D46AC" w:rsidRDefault="009864DB" w:rsidP="009864DB">
            <w:pPr>
              <w:spacing w:line="240" w:lineRule="auto"/>
              <w:ind w:firstLine="0"/>
            </w:pPr>
            <w:r w:rsidRPr="004D46AC">
              <w:t>2174</w:t>
            </w:r>
          </w:p>
        </w:tc>
        <w:tc>
          <w:tcPr>
            <w:tcW w:w="986" w:type="dxa"/>
            <w:vAlign w:val="center"/>
          </w:tcPr>
          <w:p w14:paraId="6E74A515" w14:textId="77777777" w:rsidR="009864DB" w:rsidRPr="004D46AC" w:rsidRDefault="009864DB" w:rsidP="009864DB">
            <w:pPr>
              <w:spacing w:line="240" w:lineRule="auto"/>
              <w:ind w:firstLine="0"/>
            </w:pPr>
            <w:r w:rsidRPr="004D46AC">
              <w:t>1</w:t>
            </w:r>
          </w:p>
        </w:tc>
        <w:tc>
          <w:tcPr>
            <w:tcW w:w="751" w:type="dxa"/>
            <w:vAlign w:val="center"/>
          </w:tcPr>
          <w:p w14:paraId="0BEE1A35" w14:textId="77777777" w:rsidR="009864DB" w:rsidRPr="004D46AC" w:rsidRDefault="009864DB" w:rsidP="009864DB">
            <w:pPr>
              <w:spacing w:line="240" w:lineRule="auto"/>
              <w:ind w:firstLine="0"/>
            </w:pPr>
            <w:r w:rsidRPr="004D46AC">
              <w:t>1</w:t>
            </w:r>
          </w:p>
        </w:tc>
        <w:tc>
          <w:tcPr>
            <w:tcW w:w="752" w:type="dxa"/>
            <w:vAlign w:val="center"/>
          </w:tcPr>
          <w:p w14:paraId="4870153B" w14:textId="77777777" w:rsidR="009864DB" w:rsidRPr="004D46AC" w:rsidRDefault="009864DB" w:rsidP="009864DB">
            <w:pPr>
              <w:spacing w:line="240" w:lineRule="auto"/>
              <w:ind w:firstLine="0"/>
            </w:pPr>
            <w:r w:rsidRPr="004D46AC">
              <w:t>2</w:t>
            </w:r>
          </w:p>
        </w:tc>
        <w:tc>
          <w:tcPr>
            <w:tcW w:w="1296" w:type="dxa"/>
            <w:vAlign w:val="center"/>
          </w:tcPr>
          <w:p w14:paraId="0EEB5832" w14:textId="77777777" w:rsidR="009864DB" w:rsidRPr="004D46AC" w:rsidRDefault="009864DB" w:rsidP="009864DB">
            <w:pPr>
              <w:spacing w:line="240" w:lineRule="auto"/>
              <w:ind w:firstLine="0"/>
            </w:pPr>
            <w:r w:rsidRPr="004D46AC">
              <w:t>723</w:t>
            </w:r>
          </w:p>
        </w:tc>
        <w:tc>
          <w:tcPr>
            <w:tcW w:w="752" w:type="dxa"/>
            <w:vAlign w:val="center"/>
          </w:tcPr>
          <w:p w14:paraId="75A32EE2" w14:textId="77777777" w:rsidR="009864DB" w:rsidRPr="004D46AC" w:rsidRDefault="009864DB" w:rsidP="009864DB">
            <w:pPr>
              <w:spacing w:line="240" w:lineRule="auto"/>
              <w:ind w:firstLine="0"/>
            </w:pPr>
            <w:r w:rsidRPr="004D46AC">
              <w:t>NA</w:t>
            </w:r>
          </w:p>
        </w:tc>
        <w:tc>
          <w:tcPr>
            <w:tcW w:w="789" w:type="dxa"/>
            <w:gridSpan w:val="2"/>
            <w:vAlign w:val="center"/>
          </w:tcPr>
          <w:p w14:paraId="104A8133" w14:textId="77777777" w:rsidR="009864DB" w:rsidRPr="004D46AC" w:rsidRDefault="009864DB" w:rsidP="009864DB">
            <w:pPr>
              <w:spacing w:line="240" w:lineRule="auto"/>
              <w:ind w:firstLine="0"/>
            </w:pPr>
            <w:r w:rsidRPr="004D46AC">
              <w:t>NA</w:t>
            </w:r>
          </w:p>
        </w:tc>
      </w:tr>
      <w:tr w:rsidR="009864DB" w:rsidRPr="004D46AC" w14:paraId="631377A3" w14:textId="77777777" w:rsidTr="00B518F1">
        <w:tc>
          <w:tcPr>
            <w:tcW w:w="1476" w:type="dxa"/>
          </w:tcPr>
          <w:p w14:paraId="03EF1A0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AuthorYear="1"&gt;&lt;Author&gt;Church&lt;/Author&gt;&lt;Year&gt;2017&lt;/Year&gt;&lt;RecNum&gt;64&lt;/RecNum&gt;&lt;DisplayText&gt;Church et al. (2017)&lt;/DisplayText&gt;&lt;record&gt;&lt;rec-number&gt;64&lt;/rec-number&gt;&lt;foreign-keys&gt;&lt;key app="EN" db-id="aet009sstawa0hewvt3xwf5atffdw2dt02sw" timestamp="1665138750"&gt;64&lt;/key&gt;&lt;/foreign-keys&gt;&lt;ref-type name="Journal Article"&gt;17&lt;/ref-type&gt;&lt;contributors&gt;&lt;authors&gt;&lt;author&gt;Church, C.&lt;/author&gt;&lt;author&gt;Andreassen, O. A.&lt;/author&gt;&lt;author&gt;Lorentzen, S.&lt;/author&gt;&lt;author&gt;Melle, I.&lt;/author&gt;&lt;author&gt;Aas, M.&lt;/author&gt;&lt;/authors&gt;&lt;/contributors&gt;&lt;auth-address&gt;School of Psychology, University of GlasgowGlasgow, United Kingdom.&amp;#xD;Division of Mental Health and Addiction, NORMENT K.G. Jebsen Centre for Psychosis Research, Oslo University Hospital and Institute of Clinical Medicine, University of OsloOslo, Norway.&amp;#xD;Institute of Clinical Medicine, University of OsloOslo, Norway.&lt;/auth-address&gt;&lt;titles&gt;&lt;title&gt;Childhood Trauma and Minimization/Denial in People with and without a Severe Mental Disorder&lt;/title&gt;&lt;secondary-title&gt;Front Psychol&lt;/secondary-title&gt;&lt;short-title&gt;Minimization in people with and without a severe mental disorder&lt;/short-title&gt;&lt;/titles&gt;&lt;pages&gt;1276&lt;/pages&gt;&lt;volume&gt;8&lt;/volume&gt;&lt;edition&gt;20170824&lt;/edition&gt;&lt;keywords&gt;&lt;keyword&gt;bipolar disorder&lt;/keyword&gt;&lt;keyword&gt;childhood trauma&lt;/keyword&gt;&lt;keyword&gt;minimization&lt;/keyword&gt;&lt;keyword&gt;psychopathology&lt;/keyword&gt;&lt;keyword&gt;schizophrenia&lt;/keyword&gt;&lt;/keywords&gt;&lt;dates&gt;&lt;year&gt;2017&lt;/year&gt;&lt;pub-dates&gt;&lt;date&gt;2017-August-24&lt;/date&gt;&lt;/pub-dates&gt;&lt;/dates&gt;&lt;isbn&gt;1664-1078 (Print)&amp;#xD;1664-1078 (Electronic)&amp;#xD;1664-1078 (Linking)&lt;/isbn&gt;&lt;accession-num&gt;28883800&lt;/accession-num&gt;&lt;work-type&gt;Original Research&lt;/work-type&gt;&lt;urls&gt;&lt;related-urls&gt;&lt;url&gt;https://www.ncbi.nlm.nih.gov/pubmed/28883800&lt;/url&gt;&lt;/related-urls&gt;&lt;/urls&gt;&lt;custom2&gt;PMC5573805&lt;/custom2&gt;&lt;electronic-resource-num&gt;10.3389/fpsyg.2017.01276&lt;/electronic-resource-num&gt;&lt;remote-database-name&gt;PubMed-not-MEDLINE&lt;/remote-database-name&gt;&lt;remote-database-provider&gt;NLM&lt;/remote-database-provider&gt;&lt;language&gt;English&lt;/language&gt;&lt;/record&gt;&lt;/Cite&gt;&lt;/EndNote&gt;</w:instrText>
            </w:r>
            <w:r w:rsidRPr="004D46AC">
              <w:fldChar w:fldCharType="separate"/>
            </w:r>
            <w:r w:rsidRPr="004D46AC">
              <w:t>Church et al. (2017)</w:t>
            </w:r>
            <w:r w:rsidRPr="004D46AC">
              <w:fldChar w:fldCharType="end"/>
            </w:r>
          </w:p>
        </w:tc>
        <w:tc>
          <w:tcPr>
            <w:tcW w:w="754" w:type="dxa"/>
            <w:vAlign w:val="center"/>
          </w:tcPr>
          <w:p w14:paraId="06C52D6C" w14:textId="77777777" w:rsidR="009864DB" w:rsidRPr="004D46AC" w:rsidRDefault="009864DB" w:rsidP="009864DB">
            <w:pPr>
              <w:spacing w:line="240" w:lineRule="auto"/>
              <w:ind w:firstLine="0"/>
            </w:pPr>
            <w:r w:rsidRPr="004D46AC">
              <w:t>6</w:t>
            </w:r>
          </w:p>
        </w:tc>
        <w:tc>
          <w:tcPr>
            <w:tcW w:w="766" w:type="dxa"/>
            <w:vAlign w:val="center"/>
          </w:tcPr>
          <w:p w14:paraId="556C3D48" w14:textId="77777777" w:rsidR="009864DB" w:rsidRPr="004D46AC" w:rsidRDefault="009864DB" w:rsidP="009864DB">
            <w:pPr>
              <w:spacing w:line="240" w:lineRule="auto"/>
              <w:ind w:firstLine="0"/>
            </w:pPr>
            <w:r w:rsidRPr="004D46AC">
              <w:t>30.4</w:t>
            </w:r>
          </w:p>
        </w:tc>
        <w:tc>
          <w:tcPr>
            <w:tcW w:w="1096" w:type="dxa"/>
            <w:vAlign w:val="center"/>
          </w:tcPr>
          <w:p w14:paraId="3477E413" w14:textId="77777777" w:rsidR="009864DB" w:rsidRPr="004D46AC" w:rsidRDefault="009864DB" w:rsidP="009864DB">
            <w:pPr>
              <w:spacing w:line="240" w:lineRule="auto"/>
              <w:ind w:firstLine="0"/>
            </w:pPr>
            <w:r w:rsidRPr="004D46AC">
              <w:t xml:space="preserve">DSM4 </w:t>
            </w:r>
          </w:p>
        </w:tc>
        <w:tc>
          <w:tcPr>
            <w:tcW w:w="1415" w:type="dxa"/>
            <w:vAlign w:val="center"/>
          </w:tcPr>
          <w:p w14:paraId="76757C79" w14:textId="77777777" w:rsidR="009864DB" w:rsidRPr="004D46AC" w:rsidRDefault="009864DB" w:rsidP="009864DB">
            <w:pPr>
              <w:spacing w:line="240" w:lineRule="auto"/>
              <w:ind w:firstLine="0"/>
            </w:pPr>
            <w:r w:rsidRPr="004D46AC">
              <w:t>SCID</w:t>
            </w:r>
          </w:p>
        </w:tc>
        <w:tc>
          <w:tcPr>
            <w:tcW w:w="876" w:type="dxa"/>
            <w:vAlign w:val="center"/>
          </w:tcPr>
          <w:p w14:paraId="14352A6A" w14:textId="77777777" w:rsidR="009864DB" w:rsidRPr="004D46AC" w:rsidRDefault="009864DB" w:rsidP="009864DB">
            <w:pPr>
              <w:spacing w:line="240" w:lineRule="auto"/>
              <w:ind w:firstLine="0"/>
            </w:pPr>
            <w:r w:rsidRPr="004D46AC">
              <w:t>159</w:t>
            </w:r>
          </w:p>
        </w:tc>
        <w:tc>
          <w:tcPr>
            <w:tcW w:w="986" w:type="dxa"/>
            <w:vAlign w:val="center"/>
          </w:tcPr>
          <w:p w14:paraId="56A8F31B" w14:textId="77777777" w:rsidR="009864DB" w:rsidRPr="004D46AC" w:rsidRDefault="009864DB" w:rsidP="009864DB">
            <w:pPr>
              <w:spacing w:line="240" w:lineRule="auto"/>
              <w:ind w:firstLine="0"/>
            </w:pPr>
            <w:r w:rsidRPr="004D46AC">
              <w:t>2</w:t>
            </w:r>
          </w:p>
        </w:tc>
        <w:tc>
          <w:tcPr>
            <w:tcW w:w="751" w:type="dxa"/>
            <w:vAlign w:val="center"/>
          </w:tcPr>
          <w:p w14:paraId="2A834168" w14:textId="77777777" w:rsidR="009864DB" w:rsidRPr="004D46AC" w:rsidRDefault="009864DB" w:rsidP="009864DB">
            <w:pPr>
              <w:spacing w:line="240" w:lineRule="auto"/>
              <w:ind w:firstLine="0"/>
            </w:pPr>
            <w:r w:rsidRPr="004D46AC">
              <w:t>2</w:t>
            </w:r>
          </w:p>
        </w:tc>
        <w:tc>
          <w:tcPr>
            <w:tcW w:w="752" w:type="dxa"/>
            <w:vAlign w:val="center"/>
          </w:tcPr>
          <w:p w14:paraId="0870EA28" w14:textId="77777777" w:rsidR="009864DB" w:rsidRPr="004D46AC" w:rsidRDefault="009864DB" w:rsidP="009864DB">
            <w:pPr>
              <w:spacing w:line="240" w:lineRule="auto"/>
              <w:ind w:firstLine="0"/>
            </w:pPr>
            <w:r w:rsidRPr="004D46AC">
              <w:t>2</w:t>
            </w:r>
          </w:p>
        </w:tc>
        <w:tc>
          <w:tcPr>
            <w:tcW w:w="1296" w:type="dxa"/>
            <w:vAlign w:val="center"/>
          </w:tcPr>
          <w:p w14:paraId="6ED3BCEC" w14:textId="77777777" w:rsidR="009864DB" w:rsidRPr="004D46AC" w:rsidRDefault="009864DB" w:rsidP="009864DB">
            <w:pPr>
              <w:spacing w:line="240" w:lineRule="auto"/>
              <w:ind w:firstLine="0"/>
            </w:pPr>
            <w:r w:rsidRPr="004D46AC">
              <w:t>110</w:t>
            </w:r>
          </w:p>
        </w:tc>
        <w:tc>
          <w:tcPr>
            <w:tcW w:w="752" w:type="dxa"/>
            <w:vAlign w:val="center"/>
          </w:tcPr>
          <w:p w14:paraId="4C039302" w14:textId="77777777" w:rsidR="009864DB" w:rsidRPr="004D46AC" w:rsidRDefault="009864DB" w:rsidP="009864DB">
            <w:pPr>
              <w:spacing w:line="240" w:lineRule="auto"/>
              <w:ind w:firstLine="0"/>
            </w:pPr>
            <w:r w:rsidRPr="004D46AC">
              <w:t>NA</w:t>
            </w:r>
          </w:p>
        </w:tc>
        <w:tc>
          <w:tcPr>
            <w:tcW w:w="789" w:type="dxa"/>
            <w:gridSpan w:val="2"/>
            <w:vAlign w:val="center"/>
          </w:tcPr>
          <w:p w14:paraId="402B9582" w14:textId="77777777" w:rsidR="009864DB" w:rsidRPr="004D46AC" w:rsidRDefault="009864DB" w:rsidP="009864DB">
            <w:pPr>
              <w:spacing w:line="240" w:lineRule="auto"/>
              <w:ind w:firstLine="0"/>
            </w:pPr>
            <w:r w:rsidRPr="004D46AC">
              <w:t>NA</w:t>
            </w:r>
          </w:p>
        </w:tc>
      </w:tr>
      <w:tr w:rsidR="009864DB" w:rsidRPr="004D46AC" w14:paraId="05B298E8" w14:textId="77777777" w:rsidTr="00B518F1">
        <w:tc>
          <w:tcPr>
            <w:tcW w:w="1476" w:type="dxa"/>
          </w:tcPr>
          <w:p w14:paraId="7CE19921" w14:textId="77777777" w:rsidR="009864DB" w:rsidRPr="004D46AC" w:rsidRDefault="009864DB" w:rsidP="009864DB">
            <w:pPr>
              <w:spacing w:line="240" w:lineRule="auto"/>
              <w:ind w:firstLine="0"/>
            </w:pPr>
            <w:r w:rsidRPr="004D46AC">
              <w:fldChar w:fldCharType="begin">
                <w:fldData xml:space="preserve">PEVuZE5vdGU+PENpdGUgQXV0aG9yWWVhcj0iMSI+PEF1dGhvcj5PcnRpejwvQXV0aG9yPjxZZWFy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</w:fldData>
              </w:fldChar>
            </w:r>
            <w:r w:rsidRPr="004D46AC">
              <w:instrText xml:space="preserve"> ADDIN EN.CITE </w:instrText>
            </w:r>
            <w:r w:rsidRPr="004D46AC">
              <w:fldChar w:fldCharType="begin">
                <w:fldData xml:space="preserve">PEVuZE5vdGU+PENpdGUgQXV0aG9yWWVhcj0iMSI+PEF1dGhvcj5PcnRpejwvQXV0aG9yPjxZZWFy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</w:fldData>
              </w:fldChar>
            </w:r>
            <w:r w:rsidRPr="004D46AC">
              <w:instrText xml:space="preserve"> ADDIN EN.CITE.DATA </w:instrText>
            </w:r>
            <w:r w:rsidRPr="004D46AC">
              <w:fldChar w:fldCharType="end"/>
            </w:r>
            <w:r w:rsidRPr="004D46AC">
              <w:fldChar w:fldCharType="separate"/>
            </w:r>
            <w:r w:rsidRPr="004D46AC">
              <w:t>Ortiz et al. (2021)</w:t>
            </w:r>
            <w:r w:rsidRPr="004D46AC">
              <w:fldChar w:fldCharType="end"/>
            </w:r>
          </w:p>
        </w:tc>
        <w:tc>
          <w:tcPr>
            <w:tcW w:w="754" w:type="dxa"/>
            <w:vAlign w:val="center"/>
          </w:tcPr>
          <w:p w14:paraId="75BC7CEC" w14:textId="77777777" w:rsidR="009864DB" w:rsidRPr="004D46AC" w:rsidRDefault="009864DB" w:rsidP="009864DB">
            <w:pPr>
              <w:spacing w:line="240" w:lineRule="auto"/>
              <w:ind w:firstLine="0"/>
            </w:pPr>
            <w:r w:rsidRPr="004D46AC">
              <w:t>5</w:t>
            </w:r>
          </w:p>
        </w:tc>
        <w:tc>
          <w:tcPr>
            <w:tcW w:w="766" w:type="dxa"/>
            <w:vAlign w:val="center"/>
          </w:tcPr>
          <w:p w14:paraId="5B116657" w14:textId="77777777" w:rsidR="009864DB" w:rsidRPr="004D46AC" w:rsidRDefault="009864DB" w:rsidP="009864DB">
            <w:pPr>
              <w:spacing w:line="240" w:lineRule="auto"/>
              <w:ind w:firstLine="0"/>
            </w:pPr>
            <w:r w:rsidRPr="004D46AC">
              <w:t>44.7</w:t>
            </w:r>
          </w:p>
        </w:tc>
        <w:tc>
          <w:tcPr>
            <w:tcW w:w="1096" w:type="dxa"/>
            <w:vAlign w:val="center"/>
          </w:tcPr>
          <w:p w14:paraId="458FF424" w14:textId="77777777" w:rsidR="009864DB" w:rsidRPr="004D46AC" w:rsidRDefault="009864DB" w:rsidP="009864DB">
            <w:pPr>
              <w:spacing w:line="240" w:lineRule="auto"/>
              <w:ind w:firstLine="0"/>
            </w:pPr>
            <w:r w:rsidRPr="004D46AC">
              <w:t>DSM5</w:t>
            </w:r>
          </w:p>
        </w:tc>
        <w:tc>
          <w:tcPr>
            <w:tcW w:w="1415" w:type="dxa"/>
            <w:vAlign w:val="center"/>
          </w:tcPr>
          <w:p w14:paraId="3E95EF6E" w14:textId="77777777" w:rsidR="009864DB" w:rsidRPr="004D46AC" w:rsidRDefault="009864DB" w:rsidP="009864DB">
            <w:pPr>
              <w:spacing w:line="240" w:lineRule="auto"/>
              <w:ind w:firstLine="0"/>
            </w:pPr>
            <w:r w:rsidRPr="004D46AC">
              <w:t>SADS</w:t>
            </w:r>
          </w:p>
        </w:tc>
        <w:tc>
          <w:tcPr>
            <w:tcW w:w="876" w:type="dxa"/>
            <w:vAlign w:val="center"/>
          </w:tcPr>
          <w:p w14:paraId="190F2D73" w14:textId="77777777" w:rsidR="009864DB" w:rsidRPr="004D46AC" w:rsidRDefault="009864DB" w:rsidP="009864DB">
            <w:pPr>
              <w:spacing w:line="240" w:lineRule="auto"/>
              <w:ind w:firstLine="0"/>
            </w:pPr>
            <w:r w:rsidRPr="004D46AC">
              <w:t>53</w:t>
            </w:r>
          </w:p>
        </w:tc>
        <w:tc>
          <w:tcPr>
            <w:tcW w:w="986" w:type="dxa"/>
            <w:vAlign w:val="center"/>
          </w:tcPr>
          <w:p w14:paraId="764F4A20" w14:textId="77777777" w:rsidR="009864DB" w:rsidRPr="004D46AC" w:rsidRDefault="009864DB" w:rsidP="009864DB">
            <w:pPr>
              <w:spacing w:line="240" w:lineRule="auto"/>
              <w:ind w:firstLine="0"/>
            </w:pPr>
            <w:r w:rsidRPr="004D46AC">
              <w:t>1</w:t>
            </w:r>
          </w:p>
        </w:tc>
        <w:tc>
          <w:tcPr>
            <w:tcW w:w="751" w:type="dxa"/>
            <w:vAlign w:val="center"/>
          </w:tcPr>
          <w:p w14:paraId="5ADB940D" w14:textId="77777777" w:rsidR="009864DB" w:rsidRPr="004D46AC" w:rsidRDefault="009864DB" w:rsidP="009864DB">
            <w:pPr>
              <w:spacing w:line="240" w:lineRule="auto"/>
              <w:ind w:firstLine="0"/>
            </w:pPr>
            <w:r w:rsidRPr="004D46AC">
              <w:t>1</w:t>
            </w:r>
          </w:p>
        </w:tc>
        <w:tc>
          <w:tcPr>
            <w:tcW w:w="752" w:type="dxa"/>
            <w:vAlign w:val="center"/>
          </w:tcPr>
          <w:p w14:paraId="34CB9C40" w14:textId="77777777" w:rsidR="009864DB" w:rsidRPr="004D46AC" w:rsidRDefault="009864DB" w:rsidP="009864DB">
            <w:pPr>
              <w:spacing w:line="240" w:lineRule="auto"/>
              <w:ind w:firstLine="0"/>
            </w:pPr>
            <w:r w:rsidRPr="004D46AC">
              <w:t>2</w:t>
            </w:r>
          </w:p>
        </w:tc>
        <w:tc>
          <w:tcPr>
            <w:tcW w:w="1296" w:type="dxa"/>
            <w:vAlign w:val="center"/>
          </w:tcPr>
          <w:p w14:paraId="023621D0" w14:textId="77777777" w:rsidR="009864DB" w:rsidRPr="004D46AC" w:rsidRDefault="009864DB" w:rsidP="009864DB">
            <w:pPr>
              <w:spacing w:line="240" w:lineRule="auto"/>
              <w:ind w:firstLine="0"/>
            </w:pPr>
            <w:r w:rsidRPr="004D46AC">
              <w:t>17</w:t>
            </w:r>
          </w:p>
        </w:tc>
        <w:tc>
          <w:tcPr>
            <w:tcW w:w="752" w:type="dxa"/>
            <w:vAlign w:val="center"/>
          </w:tcPr>
          <w:p w14:paraId="71BBE4E1" w14:textId="77777777" w:rsidR="009864DB" w:rsidRPr="004D46AC" w:rsidRDefault="009864DB" w:rsidP="009864DB">
            <w:pPr>
              <w:spacing w:line="240" w:lineRule="auto"/>
              <w:ind w:firstLine="0"/>
            </w:pPr>
            <w:r w:rsidRPr="004D46AC">
              <w:t>NA</w:t>
            </w:r>
          </w:p>
        </w:tc>
        <w:tc>
          <w:tcPr>
            <w:tcW w:w="789" w:type="dxa"/>
            <w:gridSpan w:val="2"/>
            <w:vAlign w:val="center"/>
          </w:tcPr>
          <w:p w14:paraId="50486E0C" w14:textId="77777777" w:rsidR="009864DB" w:rsidRPr="004D46AC" w:rsidRDefault="009864DB" w:rsidP="009864DB">
            <w:pPr>
              <w:spacing w:line="240" w:lineRule="auto"/>
              <w:ind w:firstLine="0"/>
            </w:pPr>
            <w:r w:rsidRPr="004D46AC">
              <w:t>NA</w:t>
            </w:r>
          </w:p>
        </w:tc>
      </w:tr>
      <w:tr w:rsidR="009864DB" w:rsidRPr="004D46AC" w14:paraId="4461573D" w14:textId="77777777" w:rsidTr="00B518F1">
        <w:tc>
          <w:tcPr>
            <w:tcW w:w="1476" w:type="dxa"/>
          </w:tcPr>
          <w:p w14:paraId="2FA0A7E4" w14:textId="77777777" w:rsidR="009864DB" w:rsidRPr="004D46AC" w:rsidRDefault="009864DB" w:rsidP="009864DB">
            <w:pPr>
              <w:spacing w:line="240" w:lineRule="auto"/>
              <w:ind w:firstLine="0"/>
            </w:pPr>
            <w:r w:rsidRPr="004D46AC">
              <w:fldChar w:fldCharType="begin">
                <w:fldData xml:space="preserve">PEVuZE5vdGU+PENpdGUgQXV0aG9yWWVhcj0iMSI+PEF1dGhvcj5Bem9yaW48L0F1dGhvcj48WWVh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</w:fldData>
              </w:fldChar>
            </w:r>
            <w:r w:rsidRPr="004D46AC">
              <w:instrText xml:space="preserve"> ADDIN EN.CITE </w:instrText>
            </w:r>
            <w:r w:rsidRPr="004D46AC">
              <w:fldChar w:fldCharType="begin">
                <w:fldData xml:space="preserve">PEVuZE5vdGU+PENpdGUgQXV0aG9yWWVhcj0iMSI+PEF1dGhvcj5Bem9yaW48L0F1dGhvcj48WWVh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</w:fldData>
              </w:fldChar>
            </w:r>
            <w:r w:rsidRPr="004D46AC">
              <w:instrText xml:space="preserve"> ADDIN EN.CITE.DATA </w:instrText>
            </w:r>
            <w:r w:rsidRPr="004D46AC">
              <w:fldChar w:fldCharType="end"/>
            </w:r>
            <w:r w:rsidRPr="004D46AC">
              <w:fldChar w:fldCharType="separate"/>
            </w:r>
            <w:r w:rsidRPr="004D46AC">
              <w:t>Azorin et al. (2013)</w:t>
            </w:r>
            <w:r w:rsidRPr="004D46AC">
              <w:fldChar w:fldCharType="end"/>
            </w:r>
          </w:p>
        </w:tc>
        <w:tc>
          <w:tcPr>
            <w:tcW w:w="754" w:type="dxa"/>
            <w:vAlign w:val="center"/>
          </w:tcPr>
          <w:p w14:paraId="4155A4BA" w14:textId="77777777" w:rsidR="009864DB" w:rsidRPr="004D46AC" w:rsidRDefault="009864DB" w:rsidP="009864DB">
            <w:pPr>
              <w:spacing w:line="240" w:lineRule="auto"/>
              <w:ind w:firstLine="0"/>
            </w:pPr>
            <w:r w:rsidRPr="004D46AC">
              <w:t>6</w:t>
            </w:r>
          </w:p>
        </w:tc>
        <w:tc>
          <w:tcPr>
            <w:tcW w:w="766" w:type="dxa"/>
            <w:vAlign w:val="center"/>
          </w:tcPr>
          <w:p w14:paraId="0D9D57AE" w14:textId="77777777" w:rsidR="009864DB" w:rsidRPr="004D46AC" w:rsidRDefault="009864DB" w:rsidP="009864DB">
            <w:pPr>
              <w:spacing w:line="240" w:lineRule="auto"/>
              <w:ind w:firstLine="0"/>
            </w:pPr>
            <w:r w:rsidRPr="004D46AC">
              <w:t>43</w:t>
            </w:r>
          </w:p>
        </w:tc>
        <w:tc>
          <w:tcPr>
            <w:tcW w:w="1096" w:type="dxa"/>
            <w:vAlign w:val="center"/>
          </w:tcPr>
          <w:p w14:paraId="68395519" w14:textId="77777777" w:rsidR="009864DB" w:rsidRPr="004D46AC" w:rsidRDefault="009864DB" w:rsidP="009864DB">
            <w:pPr>
              <w:spacing w:line="240" w:lineRule="auto"/>
              <w:ind w:firstLine="0"/>
            </w:pPr>
            <w:r w:rsidRPr="004D46AC">
              <w:t>DSM4</w:t>
            </w:r>
          </w:p>
        </w:tc>
        <w:tc>
          <w:tcPr>
            <w:tcW w:w="1415" w:type="dxa"/>
            <w:vAlign w:val="center"/>
          </w:tcPr>
          <w:p w14:paraId="7A828455" w14:textId="77777777" w:rsidR="009864DB" w:rsidRPr="004D46AC" w:rsidRDefault="009864DB" w:rsidP="009864DB">
            <w:pPr>
              <w:spacing w:line="240" w:lineRule="auto"/>
              <w:ind w:firstLine="0"/>
            </w:pPr>
            <w:r w:rsidRPr="004D46AC">
              <w:t>SCID</w:t>
            </w:r>
          </w:p>
        </w:tc>
        <w:tc>
          <w:tcPr>
            <w:tcW w:w="876" w:type="dxa"/>
            <w:vAlign w:val="center"/>
          </w:tcPr>
          <w:p w14:paraId="7C1BB26D" w14:textId="77777777" w:rsidR="009864DB" w:rsidRPr="004D46AC" w:rsidRDefault="009864DB" w:rsidP="009864DB">
            <w:pPr>
              <w:spacing w:line="240" w:lineRule="auto"/>
              <w:ind w:firstLine="0"/>
            </w:pPr>
            <w:r w:rsidRPr="004D46AC">
              <w:t>1090</w:t>
            </w:r>
          </w:p>
        </w:tc>
        <w:tc>
          <w:tcPr>
            <w:tcW w:w="986" w:type="dxa"/>
            <w:vAlign w:val="center"/>
          </w:tcPr>
          <w:p w14:paraId="4D99020C" w14:textId="77777777" w:rsidR="009864DB" w:rsidRPr="004D46AC" w:rsidRDefault="009864DB" w:rsidP="009864DB">
            <w:pPr>
              <w:spacing w:line="240" w:lineRule="auto"/>
              <w:ind w:firstLine="0"/>
            </w:pPr>
            <w:r w:rsidRPr="004D46AC">
              <w:t>3</w:t>
            </w:r>
          </w:p>
        </w:tc>
        <w:tc>
          <w:tcPr>
            <w:tcW w:w="751" w:type="dxa"/>
            <w:vAlign w:val="center"/>
          </w:tcPr>
          <w:p w14:paraId="01F06958" w14:textId="77777777" w:rsidR="009864DB" w:rsidRPr="004D46AC" w:rsidRDefault="009864DB" w:rsidP="009864DB">
            <w:pPr>
              <w:spacing w:line="240" w:lineRule="auto"/>
              <w:ind w:firstLine="0"/>
            </w:pPr>
            <w:r w:rsidRPr="004D46AC">
              <w:t>2</w:t>
            </w:r>
          </w:p>
        </w:tc>
        <w:tc>
          <w:tcPr>
            <w:tcW w:w="752" w:type="dxa"/>
            <w:vAlign w:val="center"/>
          </w:tcPr>
          <w:p w14:paraId="7F06066B" w14:textId="77777777" w:rsidR="009864DB" w:rsidRPr="004D46AC" w:rsidRDefault="009864DB" w:rsidP="009864DB">
            <w:pPr>
              <w:spacing w:line="240" w:lineRule="auto"/>
              <w:ind w:firstLine="0"/>
            </w:pPr>
            <w:r w:rsidRPr="004D46AC">
              <w:t>0</w:t>
            </w:r>
          </w:p>
        </w:tc>
        <w:tc>
          <w:tcPr>
            <w:tcW w:w="1296" w:type="dxa"/>
            <w:vAlign w:val="center"/>
          </w:tcPr>
          <w:p w14:paraId="25313295" w14:textId="77777777" w:rsidR="009864DB" w:rsidRPr="004D46AC" w:rsidRDefault="009864DB" w:rsidP="009864DB">
            <w:pPr>
              <w:spacing w:line="240" w:lineRule="auto"/>
              <w:ind w:firstLine="0"/>
            </w:pPr>
            <w:r w:rsidRPr="004D46AC">
              <w:t>521</w:t>
            </w:r>
          </w:p>
        </w:tc>
        <w:tc>
          <w:tcPr>
            <w:tcW w:w="752" w:type="dxa"/>
            <w:vAlign w:val="center"/>
          </w:tcPr>
          <w:p w14:paraId="6B6E4456" w14:textId="77777777" w:rsidR="009864DB" w:rsidRPr="004D46AC" w:rsidRDefault="009864DB" w:rsidP="009864DB">
            <w:pPr>
              <w:spacing w:line="240" w:lineRule="auto"/>
              <w:ind w:firstLine="0"/>
            </w:pPr>
            <w:r w:rsidRPr="004D46AC">
              <w:t>364</w:t>
            </w:r>
          </w:p>
        </w:tc>
        <w:tc>
          <w:tcPr>
            <w:tcW w:w="789" w:type="dxa"/>
            <w:gridSpan w:val="2"/>
            <w:vAlign w:val="center"/>
          </w:tcPr>
          <w:p w14:paraId="004078A7" w14:textId="77777777" w:rsidR="009864DB" w:rsidRPr="004D46AC" w:rsidRDefault="009864DB" w:rsidP="009864DB">
            <w:pPr>
              <w:spacing w:line="240" w:lineRule="auto"/>
              <w:ind w:firstLine="0"/>
            </w:pPr>
            <w:r w:rsidRPr="004D46AC">
              <w:t>180</w:t>
            </w:r>
          </w:p>
        </w:tc>
      </w:tr>
      <w:tr w:rsidR="009864DB" w:rsidRPr="004D46AC" w14:paraId="594EA236" w14:textId="77777777" w:rsidTr="00B518F1">
        <w:tc>
          <w:tcPr>
            <w:tcW w:w="1476" w:type="dxa"/>
          </w:tcPr>
          <w:p w14:paraId="655C9E52"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AuthorYear="1"&gt;&lt;Author&gt;Dilsaver&lt;/Author&gt;&lt;Year&gt;1997&lt;/Year&gt;&lt;RecNum&gt;69&lt;/RecNum&gt;&lt;DisplayText&gt;Dilsaver et al. (1997)&lt;/DisplayText&gt;&lt;record&gt;&lt;rec-number&gt;69&lt;/rec-number&gt;&lt;foreign-keys&gt;&lt;key app="EN" db-id="aet009sstawa0hewvt3xwf5atffdw2dt02sw" timestamp="1665144019"&gt;69&lt;/key&gt;&lt;/foreign-keys&gt;&lt;ref-type name="Journal Article"&gt;17&lt;/ref-type&gt;&lt;contributors&gt;&lt;authors&gt;&lt;author&gt;Dilsaver, S. C.&lt;/author&gt;&lt;author&gt;Chen, Y. W.&lt;/author&gt;&lt;author&gt;Swann, A. C.&lt;/author&gt;&lt;author&gt;Shoaib, A. M.&lt;/author&gt;&lt;author&gt;Tsai-Dilsaver, Y.&lt;/author&gt;&lt;author&gt;Krajewski, K. J.&lt;/author&gt;&lt;/authors&gt;&lt;/contributors&gt;&lt;auth-address&gt;Harris County Psychiatric Center, University of Texas, Houston, USA.&lt;/auth-address&gt;&lt;titles&gt;&lt;title&gt;Suicidality, panic disorder and psychosis in bipolar depression, depressive-mania and pure-mania&lt;/title&gt;&lt;secondary-title&gt;Psychiatry Res&lt;/secondary-title&gt;&lt;/titles&gt;&lt;periodical&gt;&lt;full-title&gt;Psychiatry Res&lt;/full-title&gt;&lt;/periodical&gt;&lt;pages&gt;47-56&lt;/pages&gt;&lt;volume&gt;73&lt;/volume&gt;&lt;number&gt;1-2&lt;/number&gt;&lt;keywords&gt;&lt;keyword&gt;Adult&lt;/keyword&gt;&lt;keyword&gt;Bipolar Disorder/classification/*epidemiology&lt;/keyword&gt;&lt;keyword&gt;Chi-Square Distribution&lt;/keyword&gt;&lt;keyword&gt;Comorbidity&lt;/keyword&gt;&lt;keyword&gt;Female&lt;/keyword&gt;&lt;keyword&gt;Humans&lt;/keyword&gt;&lt;keyword&gt;Logistic Models&lt;/keyword&gt;&lt;keyword&gt;Male&lt;/keyword&gt;&lt;keyword&gt;Odds Ratio&lt;/keyword&gt;&lt;keyword&gt;Panic Disorder/*epidemiology&lt;/keyword&gt;&lt;keyword&gt;Psychotic Disorders/*epidemiology&lt;/keyword&gt;&lt;keyword&gt;Suicide/*psychology&lt;/keyword&gt;&lt;keyword&gt;Syndrome&lt;/keyword&gt;&lt;keyword&gt;Texas/epidemiology&lt;/keyword&gt;&lt;/keywords&gt;&lt;dates&gt;&lt;year&gt;1997&lt;/year&gt;&lt;pub-dates&gt;&lt;date&gt;Nov 14&lt;/date&gt;&lt;/pub-dates&gt;&lt;/dates&gt;&lt;isbn&gt;0165-1781 (Print)&amp;#xD;0165-1781 (Linking)&lt;/isbn&gt;&lt;accession-num&gt;9463838&lt;/accession-num&gt;&lt;urls&gt;&lt;related-urls&gt;&lt;url&gt;https://www.ncbi.nlm.nih.gov/pubmed/9463838&lt;/url&gt;&lt;/related-urls&gt;&lt;/urls&gt;&lt;electronic-resource-num&gt;10.1016/s0165-1781(97)00109-1&lt;/electronic-resource-num&gt;&lt;remote-database-name&gt;Medline&lt;/remote-database-name&gt;&lt;remote-database-provider&gt;NLM&lt;/remote-database-provider&gt;&lt;language&gt;eng&lt;/language&gt;&lt;/record&gt;&lt;/Cite&gt;&lt;/EndNote&gt;</w:instrText>
            </w:r>
            <w:r w:rsidRPr="004D46AC">
              <w:fldChar w:fldCharType="separate"/>
            </w:r>
            <w:r w:rsidRPr="004D46AC">
              <w:t>Dilsaver et al. (1997)</w:t>
            </w:r>
            <w:r w:rsidRPr="004D46AC">
              <w:fldChar w:fldCharType="end"/>
            </w:r>
          </w:p>
        </w:tc>
        <w:tc>
          <w:tcPr>
            <w:tcW w:w="754" w:type="dxa"/>
            <w:vAlign w:val="center"/>
          </w:tcPr>
          <w:p w14:paraId="2D328BE1" w14:textId="77777777" w:rsidR="009864DB" w:rsidRPr="004D46AC" w:rsidRDefault="009864DB" w:rsidP="009864DB">
            <w:pPr>
              <w:spacing w:line="240" w:lineRule="auto"/>
              <w:ind w:firstLine="0"/>
            </w:pPr>
            <w:r w:rsidRPr="004D46AC">
              <w:t>6</w:t>
            </w:r>
          </w:p>
        </w:tc>
        <w:tc>
          <w:tcPr>
            <w:tcW w:w="766" w:type="dxa"/>
            <w:vAlign w:val="center"/>
          </w:tcPr>
          <w:p w14:paraId="072CF349" w14:textId="77777777" w:rsidR="009864DB" w:rsidRPr="004D46AC" w:rsidRDefault="009864DB" w:rsidP="009864DB">
            <w:pPr>
              <w:spacing w:line="240" w:lineRule="auto"/>
              <w:ind w:firstLine="0"/>
            </w:pPr>
            <w:r w:rsidRPr="004D46AC">
              <w:t>33.33</w:t>
            </w:r>
          </w:p>
        </w:tc>
        <w:tc>
          <w:tcPr>
            <w:tcW w:w="1096" w:type="dxa"/>
            <w:vAlign w:val="center"/>
          </w:tcPr>
          <w:p w14:paraId="627DE201" w14:textId="77777777" w:rsidR="009864DB" w:rsidRPr="004D46AC" w:rsidRDefault="009864DB" w:rsidP="009864DB">
            <w:pPr>
              <w:spacing w:line="240" w:lineRule="auto"/>
              <w:ind w:firstLine="0"/>
            </w:pPr>
            <w:r w:rsidRPr="004D46AC">
              <w:t>DSM</w:t>
            </w:r>
          </w:p>
        </w:tc>
        <w:tc>
          <w:tcPr>
            <w:tcW w:w="1415" w:type="dxa"/>
            <w:vAlign w:val="center"/>
          </w:tcPr>
          <w:p w14:paraId="125419D5" w14:textId="77777777" w:rsidR="009864DB" w:rsidRPr="004D46AC" w:rsidRDefault="009864DB" w:rsidP="009864DB">
            <w:pPr>
              <w:spacing w:line="240" w:lineRule="auto"/>
              <w:ind w:firstLine="0"/>
            </w:pPr>
            <w:r w:rsidRPr="004D46AC">
              <w:t>SADS</w:t>
            </w:r>
          </w:p>
        </w:tc>
        <w:tc>
          <w:tcPr>
            <w:tcW w:w="876" w:type="dxa"/>
            <w:vAlign w:val="center"/>
          </w:tcPr>
          <w:p w14:paraId="3F6FAF36" w14:textId="77777777" w:rsidR="009864DB" w:rsidRPr="004D46AC" w:rsidRDefault="009864DB" w:rsidP="009864DB">
            <w:pPr>
              <w:spacing w:line="240" w:lineRule="auto"/>
              <w:ind w:firstLine="0"/>
            </w:pPr>
            <w:r w:rsidRPr="004D46AC">
              <w:t>129</w:t>
            </w:r>
          </w:p>
        </w:tc>
        <w:tc>
          <w:tcPr>
            <w:tcW w:w="986" w:type="dxa"/>
            <w:vAlign w:val="center"/>
          </w:tcPr>
          <w:p w14:paraId="3AA17240" w14:textId="77777777" w:rsidR="009864DB" w:rsidRPr="004D46AC" w:rsidRDefault="009864DB" w:rsidP="009864DB">
            <w:pPr>
              <w:spacing w:line="240" w:lineRule="auto"/>
              <w:ind w:firstLine="0"/>
            </w:pPr>
            <w:r w:rsidRPr="004D46AC">
              <w:t>3</w:t>
            </w:r>
          </w:p>
        </w:tc>
        <w:tc>
          <w:tcPr>
            <w:tcW w:w="751" w:type="dxa"/>
            <w:vAlign w:val="center"/>
          </w:tcPr>
          <w:p w14:paraId="5EA8CD9A" w14:textId="77777777" w:rsidR="009864DB" w:rsidRPr="004D46AC" w:rsidRDefault="009864DB" w:rsidP="009864DB">
            <w:pPr>
              <w:spacing w:line="240" w:lineRule="auto"/>
              <w:ind w:firstLine="0"/>
            </w:pPr>
            <w:r w:rsidRPr="004D46AC">
              <w:t>1</w:t>
            </w:r>
          </w:p>
        </w:tc>
        <w:tc>
          <w:tcPr>
            <w:tcW w:w="752" w:type="dxa"/>
            <w:vAlign w:val="center"/>
          </w:tcPr>
          <w:p w14:paraId="0CE46A4F" w14:textId="77777777" w:rsidR="009864DB" w:rsidRPr="004D46AC" w:rsidRDefault="009864DB" w:rsidP="009864DB">
            <w:pPr>
              <w:spacing w:line="240" w:lineRule="auto"/>
              <w:ind w:firstLine="0"/>
            </w:pPr>
            <w:r w:rsidRPr="004D46AC">
              <w:t>0</w:t>
            </w:r>
          </w:p>
        </w:tc>
        <w:tc>
          <w:tcPr>
            <w:tcW w:w="1296" w:type="dxa"/>
            <w:vAlign w:val="center"/>
          </w:tcPr>
          <w:p w14:paraId="31CF189D" w14:textId="77777777" w:rsidR="009864DB" w:rsidRPr="004D46AC" w:rsidRDefault="009864DB" w:rsidP="009864DB">
            <w:pPr>
              <w:spacing w:line="240" w:lineRule="auto"/>
              <w:ind w:firstLine="0"/>
            </w:pPr>
            <w:r w:rsidRPr="004D46AC">
              <w:t>97</w:t>
            </w:r>
          </w:p>
        </w:tc>
        <w:tc>
          <w:tcPr>
            <w:tcW w:w="752" w:type="dxa"/>
            <w:vAlign w:val="center"/>
          </w:tcPr>
          <w:p w14:paraId="70F0168C" w14:textId="77777777" w:rsidR="009864DB" w:rsidRPr="004D46AC" w:rsidRDefault="009864DB" w:rsidP="009864DB">
            <w:pPr>
              <w:spacing w:line="240" w:lineRule="auto"/>
              <w:ind w:firstLine="0"/>
            </w:pPr>
            <w:r w:rsidRPr="004D46AC">
              <w:t>NA</w:t>
            </w:r>
          </w:p>
        </w:tc>
        <w:tc>
          <w:tcPr>
            <w:tcW w:w="789" w:type="dxa"/>
            <w:gridSpan w:val="2"/>
            <w:vAlign w:val="center"/>
          </w:tcPr>
          <w:p w14:paraId="459DFF0E" w14:textId="77777777" w:rsidR="009864DB" w:rsidRPr="004D46AC" w:rsidRDefault="009864DB" w:rsidP="009864DB">
            <w:pPr>
              <w:spacing w:line="240" w:lineRule="auto"/>
              <w:ind w:firstLine="0"/>
            </w:pPr>
            <w:r w:rsidRPr="004D46AC">
              <w:t>NA</w:t>
            </w:r>
          </w:p>
        </w:tc>
      </w:tr>
      <w:tr w:rsidR="009864DB" w:rsidRPr="004D46AC" w14:paraId="24B39433" w14:textId="77777777" w:rsidTr="00B518F1">
        <w:tc>
          <w:tcPr>
            <w:tcW w:w="1476" w:type="dxa"/>
          </w:tcPr>
          <w:p w14:paraId="38B1E190" w14:textId="77777777" w:rsidR="009864DB" w:rsidRPr="004D46AC" w:rsidRDefault="009864DB" w:rsidP="009864DB">
            <w:pPr>
              <w:spacing w:line="240" w:lineRule="auto"/>
              <w:ind w:firstLine="0"/>
            </w:pPr>
            <w:r w:rsidRPr="004D46AC">
              <w:fldChar w:fldCharType="begin">
                <w:fldData xml:space="preserve">PEVuZE5vdGU+PENpdGUgQXV0aG9yWWVhcj0iMSI+PEF1dGhvcj5DYWtpcjwvQXV0aG9yPjxZZWFy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 </w:instrText>
            </w:r>
            <w:r w:rsidRPr="004D46AC">
              <w:fldChar w:fldCharType="begin">
                <w:fldData xml:space="preserve">PEVuZE5vdGU+PENpdGUgQXV0aG9yWWVhcj0iMSI+PEF1dGhvcj5DYWtpcjwvQXV0aG9yPjxZZWFy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EN.CITE.DATA </w:instrText>
            </w:r>
            <w:r w:rsidRPr="004D46AC">
              <w:fldChar w:fldCharType="end"/>
            </w:r>
            <w:r w:rsidRPr="004D46AC">
              <w:fldChar w:fldCharType="separate"/>
            </w:r>
            <w:r w:rsidRPr="004D46AC">
              <w:t>Cakir et al. (2016)</w:t>
            </w:r>
            <w:r w:rsidRPr="004D46AC">
              <w:fldChar w:fldCharType="end"/>
            </w:r>
          </w:p>
        </w:tc>
        <w:tc>
          <w:tcPr>
            <w:tcW w:w="754" w:type="dxa"/>
            <w:vAlign w:val="center"/>
          </w:tcPr>
          <w:p w14:paraId="1B271307" w14:textId="77777777" w:rsidR="009864DB" w:rsidRPr="004D46AC" w:rsidRDefault="009864DB" w:rsidP="009864DB">
            <w:pPr>
              <w:spacing w:line="240" w:lineRule="auto"/>
              <w:ind w:firstLine="0"/>
            </w:pPr>
            <w:r w:rsidRPr="004D46AC">
              <w:t>5</w:t>
            </w:r>
          </w:p>
        </w:tc>
        <w:tc>
          <w:tcPr>
            <w:tcW w:w="766" w:type="dxa"/>
            <w:vAlign w:val="center"/>
          </w:tcPr>
          <w:p w14:paraId="4511B27C" w14:textId="77777777" w:rsidR="009864DB" w:rsidRPr="004D46AC" w:rsidRDefault="009864DB" w:rsidP="009864DB">
            <w:pPr>
              <w:spacing w:line="240" w:lineRule="auto"/>
              <w:ind w:firstLine="0"/>
            </w:pPr>
            <w:r w:rsidRPr="004D46AC">
              <w:t>40.6</w:t>
            </w:r>
          </w:p>
        </w:tc>
        <w:tc>
          <w:tcPr>
            <w:tcW w:w="1096" w:type="dxa"/>
            <w:vAlign w:val="center"/>
          </w:tcPr>
          <w:p w14:paraId="52F908B3" w14:textId="77777777" w:rsidR="009864DB" w:rsidRPr="004D46AC" w:rsidRDefault="009864DB" w:rsidP="009864DB">
            <w:pPr>
              <w:spacing w:line="240" w:lineRule="auto"/>
              <w:ind w:firstLine="0"/>
            </w:pPr>
            <w:r w:rsidRPr="004D46AC">
              <w:t>DSM4</w:t>
            </w:r>
          </w:p>
        </w:tc>
        <w:tc>
          <w:tcPr>
            <w:tcW w:w="1415" w:type="dxa"/>
            <w:vAlign w:val="center"/>
          </w:tcPr>
          <w:p w14:paraId="36CFAA12" w14:textId="77777777" w:rsidR="009864DB" w:rsidRPr="004D46AC" w:rsidRDefault="009864DB" w:rsidP="009864DB">
            <w:pPr>
              <w:spacing w:line="240" w:lineRule="auto"/>
              <w:ind w:firstLine="0"/>
            </w:pPr>
            <w:r w:rsidRPr="004D46AC">
              <w:t>SCID</w:t>
            </w:r>
          </w:p>
        </w:tc>
        <w:tc>
          <w:tcPr>
            <w:tcW w:w="876" w:type="dxa"/>
            <w:vAlign w:val="center"/>
          </w:tcPr>
          <w:p w14:paraId="57BC55B8" w14:textId="77777777" w:rsidR="009864DB" w:rsidRPr="004D46AC" w:rsidRDefault="009864DB" w:rsidP="009864DB">
            <w:pPr>
              <w:spacing w:line="240" w:lineRule="auto"/>
              <w:ind w:firstLine="0"/>
            </w:pPr>
            <w:r w:rsidRPr="004D46AC">
              <w:t>135</w:t>
            </w:r>
          </w:p>
        </w:tc>
        <w:tc>
          <w:tcPr>
            <w:tcW w:w="986" w:type="dxa"/>
            <w:vAlign w:val="center"/>
          </w:tcPr>
          <w:p w14:paraId="6F31643C" w14:textId="77777777" w:rsidR="009864DB" w:rsidRPr="004D46AC" w:rsidRDefault="009864DB" w:rsidP="009864DB">
            <w:pPr>
              <w:spacing w:line="240" w:lineRule="auto"/>
              <w:ind w:firstLine="0"/>
            </w:pPr>
            <w:r w:rsidRPr="004D46AC">
              <w:t>1</w:t>
            </w:r>
          </w:p>
        </w:tc>
        <w:tc>
          <w:tcPr>
            <w:tcW w:w="751" w:type="dxa"/>
            <w:vAlign w:val="center"/>
          </w:tcPr>
          <w:p w14:paraId="54DF3D51" w14:textId="77777777" w:rsidR="009864DB" w:rsidRPr="004D46AC" w:rsidRDefault="009864DB" w:rsidP="009864DB">
            <w:pPr>
              <w:spacing w:line="240" w:lineRule="auto"/>
              <w:ind w:firstLine="0"/>
            </w:pPr>
            <w:r w:rsidRPr="004D46AC">
              <w:t>2</w:t>
            </w:r>
          </w:p>
        </w:tc>
        <w:tc>
          <w:tcPr>
            <w:tcW w:w="752" w:type="dxa"/>
            <w:vAlign w:val="center"/>
          </w:tcPr>
          <w:p w14:paraId="13403F72" w14:textId="77777777" w:rsidR="009864DB" w:rsidRPr="004D46AC" w:rsidRDefault="009864DB" w:rsidP="009864DB">
            <w:pPr>
              <w:spacing w:line="240" w:lineRule="auto"/>
              <w:ind w:firstLine="0"/>
            </w:pPr>
            <w:r w:rsidRPr="004D46AC">
              <w:t>0</w:t>
            </w:r>
          </w:p>
        </w:tc>
        <w:tc>
          <w:tcPr>
            <w:tcW w:w="1296" w:type="dxa"/>
            <w:vAlign w:val="center"/>
          </w:tcPr>
          <w:p w14:paraId="22CEA4EC" w14:textId="77777777" w:rsidR="009864DB" w:rsidRPr="004D46AC" w:rsidRDefault="009864DB" w:rsidP="009864DB">
            <w:pPr>
              <w:spacing w:line="240" w:lineRule="auto"/>
              <w:ind w:firstLine="0"/>
            </w:pPr>
            <w:r w:rsidRPr="004D46AC">
              <w:t>105</w:t>
            </w:r>
          </w:p>
        </w:tc>
        <w:tc>
          <w:tcPr>
            <w:tcW w:w="752" w:type="dxa"/>
            <w:vAlign w:val="center"/>
          </w:tcPr>
          <w:p w14:paraId="6C99C786" w14:textId="77777777" w:rsidR="009864DB" w:rsidRPr="004D46AC" w:rsidRDefault="009864DB" w:rsidP="009864DB">
            <w:pPr>
              <w:spacing w:line="240" w:lineRule="auto"/>
              <w:ind w:firstLine="0"/>
            </w:pPr>
            <w:r w:rsidRPr="004D46AC">
              <w:t>NA</w:t>
            </w:r>
          </w:p>
        </w:tc>
        <w:tc>
          <w:tcPr>
            <w:tcW w:w="789" w:type="dxa"/>
            <w:gridSpan w:val="2"/>
            <w:vAlign w:val="center"/>
          </w:tcPr>
          <w:p w14:paraId="62885F0E" w14:textId="77777777" w:rsidR="009864DB" w:rsidRPr="004D46AC" w:rsidRDefault="009864DB" w:rsidP="009864DB">
            <w:pPr>
              <w:spacing w:line="240" w:lineRule="auto"/>
              <w:ind w:firstLine="0"/>
            </w:pPr>
            <w:r w:rsidRPr="004D46AC">
              <w:t>NA</w:t>
            </w:r>
          </w:p>
        </w:tc>
      </w:tr>
      <w:tr w:rsidR="009864DB" w:rsidRPr="004D46AC" w14:paraId="7A8DA8F2" w14:textId="77777777" w:rsidTr="00B518F1">
        <w:tc>
          <w:tcPr>
            <w:tcW w:w="1476" w:type="dxa"/>
          </w:tcPr>
          <w:p w14:paraId="18492286"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AuthorYear="1"&gt;&lt;Author&gt;Azorin&lt;/Author&gt;&lt;Year&gt;2015&lt;/Year&gt;&lt;RecNum&gt;73&lt;/RecNum&gt;&lt;DisplayText&gt;Azorin et al. (2015)&lt;/DisplayText&gt;&lt;record&gt;&lt;rec-number&gt;73&lt;/rec-number&gt;&lt;foreign-keys&gt;&lt;key app="EN" db-id="aet009sstawa0hewvt3xwf5atffdw2dt02sw" timestamp="1665152364"&gt;73&lt;/key&gt;&lt;/foreign-keys&gt;&lt;ref-type name="Journal Article"&gt;17&lt;/ref-type&gt;&lt;contributors&gt;&lt;authors&gt;&lt;author&gt;Azorin, J. M.&lt;/author&gt;&lt;author&gt;Adida, M.&lt;/author&gt;&lt;author&gt;Belzeaux, R.&lt;/author&gt;&lt;/authors&gt;&lt;/contributors&gt;&lt;auth-address&gt;Department of Psychiatry, Sainte-Marguerite Hospital, 13274 Marseille Cedex 9 France. Electronic address: jazorin@ap-hm.fr.&amp;#xD;Department of Psychiatry, Sainte-Marguerite Hospital, 13274 Marseille Cedex 9 France.&lt;/auth-address&gt;&lt;titles&gt;&lt;title&gt;Predominant polarity in bipolar disorders: Further evidence for the role of affective temperaments&lt;/title&gt;&lt;secondary-title&gt;J Affect Disord&lt;/secondary-title&gt;&lt;/titles&gt;&lt;periodical&gt;&lt;full-title&gt;J Affect Disord&lt;/full-title&gt;&lt;/periodical&gt;&lt;pages&gt;57-63&lt;/pages&gt;&lt;volume&gt;182&lt;/volume&gt;&lt;edition&gt;20150429&lt;/edition&gt;&lt;keywords&gt;&lt;keyword&gt;Adult&lt;/keyword&gt;&lt;keyword&gt;*Affect&lt;/keyword&gt;&lt;keyword&gt;Bipolar Disorder/*psychology&lt;/keyword&gt;&lt;keyword&gt;Cross-Sectional Studies&lt;/keyword&gt;&lt;keyword&gt;Female&lt;/keyword&gt;&lt;keyword&gt;Humans&lt;/keyword&gt;&lt;keyword&gt;Male&lt;/keyword&gt;&lt;keyword&gt;Middle Aged&lt;/keyword&gt;&lt;keyword&gt;Suicide&lt;/keyword&gt;&lt;keyword&gt;*Temperament&lt;/keyword&gt;&lt;keyword&gt;Bipolar disorder&lt;/keyword&gt;&lt;keyword&gt;Depression&lt;/keyword&gt;&lt;keyword&gt;Mania&lt;/keyword&gt;&lt;keyword&gt;Predominant polarity&lt;/keyword&gt;&lt;/keywords&gt;&lt;dates&gt;&lt;year&gt;2015&lt;/year&gt;&lt;pub-dates&gt;&lt;date&gt;Aug 15&lt;/date&gt;&lt;/pub-dates&gt;&lt;/dates&gt;&lt;isbn&gt;1573-2517 (Electronic)&amp;#xD;0165-0327 (Linking)&lt;/isbn&gt;&lt;accession-num&gt;25973784&lt;/accession-num&gt;&lt;urls&gt;&lt;related-urls&gt;&lt;url&gt;https://www.ncbi.nlm.nih.gov/pubmed/25973784&lt;/url&gt;&lt;/related-urls&gt;&lt;/urls&gt;&lt;electronic-resource-num&gt;10.1016/j.jad.2015.04.037&lt;/electronic-resource-num&gt;&lt;remote-database-name&gt;Medline&lt;/remote-database-name&gt;&lt;remote-database-provider&gt;NLM&lt;/remote-database-provider&gt;&lt;/record&gt;&lt;/Cite&gt;&lt;/EndNote&gt;</w:instrText>
            </w:r>
            <w:r w:rsidRPr="004D46AC">
              <w:fldChar w:fldCharType="separate"/>
            </w:r>
            <w:r w:rsidRPr="004D46AC">
              <w:t>Azorin et al. (2015)</w:t>
            </w:r>
            <w:r w:rsidRPr="004D46AC">
              <w:fldChar w:fldCharType="end"/>
            </w:r>
          </w:p>
        </w:tc>
        <w:tc>
          <w:tcPr>
            <w:tcW w:w="754" w:type="dxa"/>
            <w:vAlign w:val="center"/>
          </w:tcPr>
          <w:p w14:paraId="48BE38C9" w14:textId="77777777" w:rsidR="009864DB" w:rsidRPr="004D46AC" w:rsidRDefault="009864DB" w:rsidP="009864DB">
            <w:pPr>
              <w:spacing w:line="240" w:lineRule="auto"/>
              <w:ind w:firstLine="0"/>
            </w:pPr>
            <w:r w:rsidRPr="004D46AC">
              <w:t>6</w:t>
            </w:r>
          </w:p>
        </w:tc>
        <w:tc>
          <w:tcPr>
            <w:tcW w:w="766" w:type="dxa"/>
            <w:vAlign w:val="center"/>
          </w:tcPr>
          <w:p w14:paraId="44954326" w14:textId="77777777" w:rsidR="009864DB" w:rsidRPr="004D46AC" w:rsidRDefault="009864DB" w:rsidP="009864DB">
            <w:pPr>
              <w:spacing w:line="240" w:lineRule="auto"/>
              <w:ind w:firstLine="0"/>
            </w:pPr>
            <w:r w:rsidRPr="004D46AC">
              <w:t>45.54</w:t>
            </w:r>
          </w:p>
        </w:tc>
        <w:tc>
          <w:tcPr>
            <w:tcW w:w="1096" w:type="dxa"/>
            <w:vAlign w:val="center"/>
          </w:tcPr>
          <w:p w14:paraId="2D3DD143" w14:textId="77777777" w:rsidR="009864DB" w:rsidRPr="004D46AC" w:rsidRDefault="009864DB" w:rsidP="009864DB">
            <w:pPr>
              <w:spacing w:line="240" w:lineRule="auto"/>
              <w:ind w:firstLine="0"/>
            </w:pPr>
            <w:r w:rsidRPr="004D46AC">
              <w:t>DSM4</w:t>
            </w:r>
          </w:p>
        </w:tc>
        <w:tc>
          <w:tcPr>
            <w:tcW w:w="1415" w:type="dxa"/>
            <w:vAlign w:val="center"/>
          </w:tcPr>
          <w:p w14:paraId="3791C39E" w14:textId="77777777" w:rsidR="009864DB" w:rsidRPr="004D46AC" w:rsidRDefault="009864DB" w:rsidP="009864DB">
            <w:pPr>
              <w:spacing w:line="240" w:lineRule="auto"/>
              <w:ind w:firstLine="0"/>
            </w:pPr>
            <w:r w:rsidRPr="004D46AC">
              <w:t>SCID-P</w:t>
            </w:r>
          </w:p>
        </w:tc>
        <w:tc>
          <w:tcPr>
            <w:tcW w:w="876" w:type="dxa"/>
            <w:vAlign w:val="center"/>
          </w:tcPr>
          <w:p w14:paraId="6E0A5ACA" w14:textId="77777777" w:rsidR="009864DB" w:rsidRPr="004D46AC" w:rsidRDefault="009864DB" w:rsidP="009864DB">
            <w:pPr>
              <w:spacing w:line="240" w:lineRule="auto"/>
              <w:ind w:firstLine="0"/>
            </w:pPr>
            <w:r w:rsidRPr="004D46AC">
              <w:t>228</w:t>
            </w:r>
          </w:p>
        </w:tc>
        <w:tc>
          <w:tcPr>
            <w:tcW w:w="986" w:type="dxa"/>
            <w:vAlign w:val="center"/>
          </w:tcPr>
          <w:p w14:paraId="1E49E1C9" w14:textId="77777777" w:rsidR="009864DB" w:rsidRPr="004D46AC" w:rsidRDefault="009864DB" w:rsidP="009864DB">
            <w:pPr>
              <w:spacing w:line="240" w:lineRule="auto"/>
              <w:ind w:firstLine="0"/>
            </w:pPr>
            <w:r w:rsidRPr="004D46AC">
              <w:t>unclear</w:t>
            </w:r>
          </w:p>
        </w:tc>
        <w:tc>
          <w:tcPr>
            <w:tcW w:w="751" w:type="dxa"/>
            <w:vAlign w:val="center"/>
          </w:tcPr>
          <w:p w14:paraId="13678CCD" w14:textId="77777777" w:rsidR="009864DB" w:rsidRPr="004D46AC" w:rsidRDefault="009864DB" w:rsidP="009864DB">
            <w:pPr>
              <w:spacing w:line="240" w:lineRule="auto"/>
              <w:ind w:firstLine="0"/>
            </w:pPr>
            <w:r w:rsidRPr="004D46AC">
              <w:t>1</w:t>
            </w:r>
          </w:p>
        </w:tc>
        <w:tc>
          <w:tcPr>
            <w:tcW w:w="752" w:type="dxa"/>
            <w:vAlign w:val="center"/>
          </w:tcPr>
          <w:p w14:paraId="06915178" w14:textId="77777777" w:rsidR="009864DB" w:rsidRPr="004D46AC" w:rsidRDefault="009864DB" w:rsidP="009864DB">
            <w:pPr>
              <w:spacing w:line="240" w:lineRule="auto"/>
              <w:ind w:firstLine="0"/>
            </w:pPr>
            <w:r w:rsidRPr="004D46AC">
              <w:t>0</w:t>
            </w:r>
          </w:p>
        </w:tc>
        <w:tc>
          <w:tcPr>
            <w:tcW w:w="1296" w:type="dxa"/>
            <w:vAlign w:val="center"/>
          </w:tcPr>
          <w:p w14:paraId="0FEF1687" w14:textId="77777777" w:rsidR="009864DB" w:rsidRPr="004D46AC" w:rsidRDefault="009864DB" w:rsidP="009864DB">
            <w:pPr>
              <w:spacing w:line="240" w:lineRule="auto"/>
              <w:ind w:firstLine="0"/>
            </w:pPr>
            <w:r w:rsidRPr="004D46AC">
              <w:t>62</w:t>
            </w:r>
          </w:p>
        </w:tc>
        <w:tc>
          <w:tcPr>
            <w:tcW w:w="752" w:type="dxa"/>
            <w:vAlign w:val="center"/>
          </w:tcPr>
          <w:p w14:paraId="623FF9C7" w14:textId="77777777" w:rsidR="009864DB" w:rsidRPr="004D46AC" w:rsidRDefault="009864DB" w:rsidP="009864DB">
            <w:pPr>
              <w:spacing w:line="240" w:lineRule="auto"/>
              <w:ind w:firstLine="0"/>
            </w:pPr>
            <w:r w:rsidRPr="004D46AC">
              <w:t>NA</w:t>
            </w:r>
          </w:p>
        </w:tc>
        <w:tc>
          <w:tcPr>
            <w:tcW w:w="789" w:type="dxa"/>
            <w:gridSpan w:val="2"/>
            <w:vAlign w:val="center"/>
          </w:tcPr>
          <w:p w14:paraId="4B5E4519" w14:textId="77777777" w:rsidR="009864DB" w:rsidRPr="004D46AC" w:rsidRDefault="009864DB" w:rsidP="009864DB">
            <w:pPr>
              <w:spacing w:line="240" w:lineRule="auto"/>
              <w:ind w:firstLine="0"/>
            </w:pPr>
            <w:r w:rsidRPr="004D46AC">
              <w:t>NA</w:t>
            </w:r>
          </w:p>
        </w:tc>
      </w:tr>
      <w:tr w:rsidR="009864DB" w:rsidRPr="004D46AC" w14:paraId="753DA56F" w14:textId="77777777" w:rsidTr="00B518F1">
        <w:tc>
          <w:tcPr>
            <w:tcW w:w="1476" w:type="dxa"/>
          </w:tcPr>
          <w:p w14:paraId="27973617" w14:textId="77777777" w:rsidR="009864DB" w:rsidRPr="004D46AC" w:rsidRDefault="009864DB" w:rsidP="009864DB">
            <w:pPr>
              <w:spacing w:line="240" w:lineRule="auto"/>
              <w:ind w:firstLine="0"/>
            </w:pPr>
            <w:r w:rsidRPr="004D46AC">
              <w:fldChar w:fldCharType="begin">
                <w:fldData xml:space="preserve">PEVuZE5vdGU+PENpdGUgQXV0aG9yWWVhcj0iMSI+PEF1dGhvcj5DYWxkaWVyYXJvPC9BdXRob3I+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 </w:instrText>
            </w:r>
            <w:r w:rsidRPr="004D46AC">
              <w:fldChar w:fldCharType="begin">
                <w:fldData xml:space="preserve">PEVuZE5vdGU+PENpdGUgQXV0aG9yWWVhcj0iMSI+PEF1dGhvcj5DYWxkaWVyYXJvPC9BdXRob3I+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EN.CITE.DATA </w:instrText>
            </w:r>
            <w:r w:rsidRPr="004D46AC">
              <w:fldChar w:fldCharType="end"/>
            </w:r>
            <w:r w:rsidRPr="004D46AC">
              <w:fldChar w:fldCharType="separate"/>
            </w:r>
            <w:r w:rsidRPr="004D46AC">
              <w:t>Caldieraro et al. (2017)</w:t>
            </w:r>
            <w:r w:rsidRPr="004D46AC">
              <w:fldChar w:fldCharType="end"/>
            </w:r>
          </w:p>
        </w:tc>
        <w:tc>
          <w:tcPr>
            <w:tcW w:w="754" w:type="dxa"/>
            <w:vAlign w:val="center"/>
          </w:tcPr>
          <w:p w14:paraId="6F02D2AA" w14:textId="77777777" w:rsidR="009864DB" w:rsidRPr="004D46AC" w:rsidRDefault="009864DB" w:rsidP="009864DB">
            <w:pPr>
              <w:spacing w:line="240" w:lineRule="auto"/>
              <w:ind w:firstLine="0"/>
            </w:pPr>
            <w:r w:rsidRPr="004D46AC">
              <w:t>5</w:t>
            </w:r>
          </w:p>
        </w:tc>
        <w:tc>
          <w:tcPr>
            <w:tcW w:w="766" w:type="dxa"/>
            <w:vAlign w:val="center"/>
          </w:tcPr>
          <w:p w14:paraId="5A58BA71" w14:textId="77777777" w:rsidR="009864DB" w:rsidRPr="004D46AC" w:rsidRDefault="009864DB" w:rsidP="009864DB">
            <w:pPr>
              <w:spacing w:line="240" w:lineRule="auto"/>
              <w:ind w:firstLine="0"/>
            </w:pPr>
            <w:r w:rsidRPr="004D46AC">
              <w:t>39.45</w:t>
            </w:r>
          </w:p>
        </w:tc>
        <w:tc>
          <w:tcPr>
            <w:tcW w:w="1096" w:type="dxa"/>
            <w:vAlign w:val="center"/>
          </w:tcPr>
          <w:p w14:paraId="18F57677" w14:textId="77777777" w:rsidR="009864DB" w:rsidRPr="004D46AC" w:rsidRDefault="009864DB" w:rsidP="009864DB">
            <w:pPr>
              <w:spacing w:line="240" w:lineRule="auto"/>
              <w:ind w:firstLine="0"/>
            </w:pPr>
            <w:r w:rsidRPr="004D46AC">
              <w:t>DSM4TR</w:t>
            </w:r>
          </w:p>
        </w:tc>
        <w:tc>
          <w:tcPr>
            <w:tcW w:w="1415" w:type="dxa"/>
            <w:vAlign w:val="center"/>
          </w:tcPr>
          <w:p w14:paraId="1BCE7EE9" w14:textId="77777777" w:rsidR="009864DB" w:rsidRPr="004D46AC" w:rsidRDefault="009864DB" w:rsidP="009864DB">
            <w:pPr>
              <w:spacing w:line="240" w:lineRule="auto"/>
              <w:ind w:firstLine="0"/>
            </w:pPr>
            <w:r w:rsidRPr="004D46AC">
              <w:t>BISS</w:t>
            </w:r>
          </w:p>
        </w:tc>
        <w:tc>
          <w:tcPr>
            <w:tcW w:w="876" w:type="dxa"/>
            <w:vAlign w:val="center"/>
          </w:tcPr>
          <w:p w14:paraId="5BE775A7" w14:textId="77777777" w:rsidR="009864DB" w:rsidRPr="004D46AC" w:rsidRDefault="009864DB" w:rsidP="009864DB">
            <w:pPr>
              <w:spacing w:line="240" w:lineRule="auto"/>
              <w:ind w:firstLine="0"/>
            </w:pPr>
            <w:r w:rsidRPr="004D46AC">
              <w:t>303</w:t>
            </w:r>
          </w:p>
        </w:tc>
        <w:tc>
          <w:tcPr>
            <w:tcW w:w="986" w:type="dxa"/>
            <w:vAlign w:val="center"/>
          </w:tcPr>
          <w:p w14:paraId="59996CAC" w14:textId="77777777" w:rsidR="009864DB" w:rsidRPr="004D46AC" w:rsidRDefault="009864DB" w:rsidP="009864DB">
            <w:pPr>
              <w:spacing w:line="240" w:lineRule="auto"/>
              <w:ind w:firstLine="0"/>
            </w:pPr>
            <w:r w:rsidRPr="004D46AC">
              <w:t>1</w:t>
            </w:r>
          </w:p>
        </w:tc>
        <w:tc>
          <w:tcPr>
            <w:tcW w:w="751" w:type="dxa"/>
            <w:vAlign w:val="center"/>
          </w:tcPr>
          <w:p w14:paraId="6DEAD6A0" w14:textId="77777777" w:rsidR="009864DB" w:rsidRPr="004D46AC" w:rsidRDefault="009864DB" w:rsidP="009864DB">
            <w:pPr>
              <w:spacing w:line="240" w:lineRule="auto"/>
              <w:ind w:firstLine="0"/>
            </w:pPr>
            <w:r w:rsidRPr="004D46AC">
              <w:t>1</w:t>
            </w:r>
          </w:p>
        </w:tc>
        <w:tc>
          <w:tcPr>
            <w:tcW w:w="752" w:type="dxa"/>
            <w:vAlign w:val="center"/>
          </w:tcPr>
          <w:p w14:paraId="6538B7A7" w14:textId="77777777" w:rsidR="009864DB" w:rsidRPr="004D46AC" w:rsidRDefault="009864DB" w:rsidP="009864DB">
            <w:pPr>
              <w:spacing w:line="240" w:lineRule="auto"/>
              <w:ind w:firstLine="0"/>
            </w:pPr>
            <w:r w:rsidRPr="004D46AC">
              <w:t>0</w:t>
            </w:r>
          </w:p>
        </w:tc>
        <w:tc>
          <w:tcPr>
            <w:tcW w:w="1296" w:type="dxa"/>
            <w:vAlign w:val="center"/>
          </w:tcPr>
          <w:p w14:paraId="4BEA6180" w14:textId="77777777" w:rsidR="009864DB" w:rsidRPr="004D46AC" w:rsidRDefault="009864DB" w:rsidP="009864DB">
            <w:pPr>
              <w:spacing w:line="240" w:lineRule="auto"/>
              <w:ind w:firstLine="0"/>
            </w:pPr>
            <w:r w:rsidRPr="004D46AC">
              <w:t>32</w:t>
            </w:r>
          </w:p>
        </w:tc>
        <w:tc>
          <w:tcPr>
            <w:tcW w:w="752" w:type="dxa"/>
            <w:vAlign w:val="center"/>
          </w:tcPr>
          <w:p w14:paraId="79AB518D" w14:textId="77777777" w:rsidR="009864DB" w:rsidRPr="004D46AC" w:rsidRDefault="009864DB" w:rsidP="009864DB">
            <w:pPr>
              <w:spacing w:line="240" w:lineRule="auto"/>
              <w:ind w:firstLine="0"/>
            </w:pPr>
            <w:r w:rsidRPr="004D46AC">
              <w:t>NA</w:t>
            </w:r>
          </w:p>
        </w:tc>
        <w:tc>
          <w:tcPr>
            <w:tcW w:w="789" w:type="dxa"/>
            <w:gridSpan w:val="2"/>
            <w:vAlign w:val="center"/>
          </w:tcPr>
          <w:p w14:paraId="3C647733" w14:textId="77777777" w:rsidR="009864DB" w:rsidRPr="004D46AC" w:rsidRDefault="009864DB" w:rsidP="009864DB">
            <w:pPr>
              <w:spacing w:line="240" w:lineRule="auto"/>
              <w:ind w:firstLine="0"/>
            </w:pPr>
            <w:r w:rsidRPr="004D46AC">
              <w:t>NA</w:t>
            </w:r>
          </w:p>
        </w:tc>
      </w:tr>
      <w:tr w:rsidR="009864DB" w:rsidRPr="004D46AC" w14:paraId="4D86CF90" w14:textId="77777777" w:rsidTr="00B518F1">
        <w:tc>
          <w:tcPr>
            <w:tcW w:w="1476" w:type="dxa"/>
          </w:tcPr>
          <w:p w14:paraId="59007F38"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AuthorYear="1"&gt;&lt;Author&gt;Karakus&lt;/Author&gt;&lt;Year&gt;2011&lt;/Year&gt;&lt;RecNum&gt;76&lt;/RecNum&gt;&lt;DisplayText&gt;Karakus and Tamam (2011)&lt;/DisplayText&gt;&lt;record&gt;&lt;rec-number&gt;76&lt;/rec-number&gt;&lt;foreign-keys&gt;&lt;key app="EN" db-id="aet009sstawa0hewvt3xwf5atffdw2dt02sw" timestamp="1665155095"&gt;76&lt;/key&gt;&lt;/foreign-keys&gt;&lt;ref-type name="Journal Article"&gt;17&lt;/ref-type&gt;&lt;contributors&gt;&lt;authors&gt;&lt;author&gt;Karakus, G.&lt;/author&gt;&lt;author&gt;Tamam, L.&lt;/author&gt;&lt;/authors&gt;&lt;/contributors&gt;&lt;auth-address&gt;Cukurova University, Faculty of Medicine, Department of Psychiatry, Adana, Turkey. goncakaratas78@hotmail.com&lt;/auth-address&gt;&lt;titles&gt;&lt;title&gt;Impulse control disorder comorbidity among patients with bipolar I disorder&lt;/title&gt;&lt;secondary-title&gt;Compr Psychiatry&lt;/secondary-title&gt;&lt;/titles&gt;&lt;periodical&gt;&lt;full-title&gt;Compr Psychiatry&lt;/full-title&gt;&lt;/periodical&gt;&lt;pages&gt;378-85&lt;/pages&gt;&lt;volume&gt;52&lt;/volume&gt;&lt;number&gt;4&lt;/number&gt;&lt;edition&gt;20101030&lt;/edition&gt;&lt;keywords&gt;&lt;keyword&gt;Adolescent&lt;/keyword&gt;&lt;keyword&gt;Adult&lt;/keyword&gt;&lt;keyword&gt;Aged&lt;/keyword&gt;&lt;keyword&gt;Bipolar Disorder/diagnosis/*epidemiology&lt;/keyword&gt;&lt;keyword&gt;Comorbidity&lt;/keyword&gt;&lt;keyword&gt;Disruptive, Impulse Control, and Conduct Disorders/diagnosis/*epidemiology&lt;/keyword&gt;&lt;keyword&gt;Female&lt;/keyword&gt;&lt;keyword&gt;Humans&lt;/keyword&gt;&lt;keyword&gt;Male&lt;/keyword&gt;&lt;keyword&gt;Middle Aged&lt;/keyword&gt;&lt;keyword&gt;Prevalence&lt;/keyword&gt;&lt;keyword&gt;Psychiatric Status Rating Scales&lt;/keyword&gt;&lt;keyword&gt;Severity of Illness Index&lt;/keyword&gt;&lt;keyword&gt;Surveys and Questionnaires&lt;/keyword&gt;&lt;/keywords&gt;&lt;dates&gt;&lt;year&gt;2011&lt;/year&gt;&lt;pub-dates&gt;&lt;date&gt;Jul-Aug&lt;/date&gt;&lt;/pub-dates&gt;&lt;/dates&gt;&lt;isbn&gt;1532-8384 (Electronic)&amp;#xD;0010-440X (Linking)&lt;/isbn&gt;&lt;accession-num&gt;21683175&lt;/accession-num&gt;&lt;urls&gt;&lt;related-urls&gt;&lt;url&gt;https://www.ncbi.nlm.nih.gov/pubmed/21683175&lt;/url&gt;&lt;/related-urls&gt;&lt;/urls&gt;&lt;electronic-resource-num&gt;10.1016/j.comppsych.2010.08.004&lt;/electronic-resource-num&gt;&lt;remote-database-name&gt;Medline&lt;/remote-database-name&gt;&lt;remote-database-provider&gt;NLM&lt;/remote-database-provider&gt;&lt;/record&gt;&lt;/Cite&gt;&lt;/EndNote&gt;</w:instrText>
            </w:r>
            <w:r w:rsidRPr="004D46AC">
              <w:fldChar w:fldCharType="separate"/>
            </w:r>
            <w:r w:rsidRPr="004D46AC">
              <w:t>Karakus and Tamam (2011)</w:t>
            </w:r>
            <w:r w:rsidRPr="004D46AC">
              <w:fldChar w:fldCharType="end"/>
            </w:r>
          </w:p>
        </w:tc>
        <w:tc>
          <w:tcPr>
            <w:tcW w:w="754" w:type="dxa"/>
            <w:vAlign w:val="center"/>
          </w:tcPr>
          <w:p w14:paraId="031D76C4" w14:textId="77777777" w:rsidR="009864DB" w:rsidRPr="004D46AC" w:rsidRDefault="009864DB" w:rsidP="009864DB">
            <w:pPr>
              <w:spacing w:line="240" w:lineRule="auto"/>
              <w:ind w:firstLine="0"/>
            </w:pPr>
            <w:r w:rsidRPr="004D46AC">
              <w:t>7</w:t>
            </w:r>
          </w:p>
        </w:tc>
        <w:tc>
          <w:tcPr>
            <w:tcW w:w="766" w:type="dxa"/>
            <w:vAlign w:val="center"/>
          </w:tcPr>
          <w:p w14:paraId="1C61F481" w14:textId="77777777" w:rsidR="009864DB" w:rsidRPr="004D46AC" w:rsidRDefault="009864DB" w:rsidP="009864DB">
            <w:pPr>
              <w:spacing w:line="240" w:lineRule="auto"/>
              <w:ind w:firstLine="0"/>
            </w:pPr>
            <w:r w:rsidRPr="004D46AC">
              <w:t>33.87</w:t>
            </w:r>
          </w:p>
        </w:tc>
        <w:tc>
          <w:tcPr>
            <w:tcW w:w="1096" w:type="dxa"/>
            <w:vAlign w:val="center"/>
          </w:tcPr>
          <w:p w14:paraId="74EDAE49" w14:textId="77777777" w:rsidR="009864DB" w:rsidRPr="004D46AC" w:rsidRDefault="009864DB" w:rsidP="009864DB">
            <w:pPr>
              <w:spacing w:line="240" w:lineRule="auto"/>
              <w:ind w:firstLine="0"/>
            </w:pPr>
            <w:r w:rsidRPr="004D46AC">
              <w:t>DSM4</w:t>
            </w:r>
          </w:p>
        </w:tc>
        <w:tc>
          <w:tcPr>
            <w:tcW w:w="1415" w:type="dxa"/>
            <w:vAlign w:val="center"/>
          </w:tcPr>
          <w:p w14:paraId="5D442AEB" w14:textId="77777777" w:rsidR="009864DB" w:rsidRPr="004D46AC" w:rsidRDefault="009864DB" w:rsidP="009864DB">
            <w:pPr>
              <w:spacing w:line="240" w:lineRule="auto"/>
              <w:ind w:firstLine="0"/>
            </w:pPr>
            <w:r w:rsidRPr="004D46AC">
              <w:t>SCID</w:t>
            </w:r>
          </w:p>
        </w:tc>
        <w:tc>
          <w:tcPr>
            <w:tcW w:w="876" w:type="dxa"/>
            <w:vAlign w:val="center"/>
          </w:tcPr>
          <w:p w14:paraId="1B2F51B7" w14:textId="77777777" w:rsidR="009864DB" w:rsidRPr="004D46AC" w:rsidRDefault="009864DB" w:rsidP="009864DB">
            <w:pPr>
              <w:spacing w:line="240" w:lineRule="auto"/>
              <w:ind w:firstLine="0"/>
            </w:pPr>
            <w:r w:rsidRPr="004D46AC">
              <w:t>124</w:t>
            </w:r>
          </w:p>
        </w:tc>
        <w:tc>
          <w:tcPr>
            <w:tcW w:w="986" w:type="dxa"/>
            <w:vAlign w:val="center"/>
          </w:tcPr>
          <w:p w14:paraId="015E92E1" w14:textId="77777777" w:rsidR="009864DB" w:rsidRPr="004D46AC" w:rsidRDefault="009864DB" w:rsidP="009864DB">
            <w:pPr>
              <w:spacing w:line="240" w:lineRule="auto"/>
              <w:ind w:firstLine="0"/>
            </w:pPr>
            <w:r w:rsidRPr="004D46AC">
              <w:t>1</w:t>
            </w:r>
          </w:p>
        </w:tc>
        <w:tc>
          <w:tcPr>
            <w:tcW w:w="751" w:type="dxa"/>
            <w:vAlign w:val="center"/>
          </w:tcPr>
          <w:p w14:paraId="24357A76" w14:textId="77777777" w:rsidR="009864DB" w:rsidRPr="004D46AC" w:rsidRDefault="009864DB" w:rsidP="009864DB">
            <w:pPr>
              <w:spacing w:line="240" w:lineRule="auto"/>
              <w:ind w:firstLine="0"/>
            </w:pPr>
            <w:r w:rsidRPr="004D46AC">
              <w:t>2</w:t>
            </w:r>
          </w:p>
        </w:tc>
        <w:tc>
          <w:tcPr>
            <w:tcW w:w="752" w:type="dxa"/>
            <w:vAlign w:val="center"/>
          </w:tcPr>
          <w:p w14:paraId="32A7C79A" w14:textId="77777777" w:rsidR="009864DB" w:rsidRPr="004D46AC" w:rsidRDefault="009864DB" w:rsidP="009864DB">
            <w:pPr>
              <w:spacing w:line="240" w:lineRule="auto"/>
              <w:ind w:firstLine="0"/>
            </w:pPr>
            <w:r w:rsidRPr="004D46AC">
              <w:t>0</w:t>
            </w:r>
          </w:p>
        </w:tc>
        <w:tc>
          <w:tcPr>
            <w:tcW w:w="1296" w:type="dxa"/>
          </w:tcPr>
          <w:p w14:paraId="69A12FE7" w14:textId="77777777" w:rsidR="009864DB" w:rsidRPr="004D46AC" w:rsidRDefault="009864DB" w:rsidP="009864DB">
            <w:pPr>
              <w:spacing w:line="240" w:lineRule="auto"/>
              <w:ind w:firstLine="0"/>
            </w:pPr>
            <w:r w:rsidRPr="004D46AC">
              <w:t>82</w:t>
            </w:r>
          </w:p>
        </w:tc>
        <w:tc>
          <w:tcPr>
            <w:tcW w:w="752" w:type="dxa"/>
            <w:vAlign w:val="center"/>
          </w:tcPr>
          <w:p w14:paraId="67B7A804" w14:textId="77777777" w:rsidR="009864DB" w:rsidRPr="004D46AC" w:rsidRDefault="009864DB" w:rsidP="009864DB">
            <w:pPr>
              <w:spacing w:line="240" w:lineRule="auto"/>
              <w:ind w:firstLine="0"/>
            </w:pPr>
            <w:r w:rsidRPr="004D46AC">
              <w:t>NA</w:t>
            </w:r>
          </w:p>
        </w:tc>
        <w:tc>
          <w:tcPr>
            <w:tcW w:w="789" w:type="dxa"/>
            <w:gridSpan w:val="2"/>
            <w:vAlign w:val="center"/>
          </w:tcPr>
          <w:p w14:paraId="0BB5839D" w14:textId="77777777" w:rsidR="009864DB" w:rsidRPr="004D46AC" w:rsidRDefault="009864DB" w:rsidP="009864DB">
            <w:pPr>
              <w:spacing w:line="240" w:lineRule="auto"/>
              <w:ind w:firstLine="0"/>
            </w:pPr>
            <w:r w:rsidRPr="004D46AC">
              <w:t>NA</w:t>
            </w:r>
          </w:p>
        </w:tc>
      </w:tr>
      <w:tr w:rsidR="009864DB" w:rsidRPr="004D46AC" w14:paraId="19E12969" w14:textId="77777777" w:rsidTr="00B518F1">
        <w:tc>
          <w:tcPr>
            <w:tcW w:w="1476" w:type="dxa"/>
          </w:tcPr>
          <w:p w14:paraId="47D5A3A0" w14:textId="77777777" w:rsidR="009864DB" w:rsidRPr="004D46AC" w:rsidRDefault="009864DB" w:rsidP="009864DB">
            <w:pPr>
              <w:spacing w:line="240" w:lineRule="auto"/>
              <w:ind w:firstLine="0"/>
            </w:pPr>
            <w:r w:rsidRPr="004D46AC">
              <w:fldChar w:fldCharType="begin">
                <w:fldData xml:space="preserve">PEVuZE5vdGU+PENpdGUgQXV0aG9yWWVhcj0iMSI+PEF1dGhvcj5TZXZlcmFuY2U8L0F1dGhvcj48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</w:fldData>
              </w:fldChar>
            </w:r>
            <w:r w:rsidRPr="004D46AC">
              <w:instrText xml:space="preserve"> ADDIN EN.CITE </w:instrText>
            </w:r>
            <w:r w:rsidRPr="004D46AC">
              <w:fldChar w:fldCharType="begin">
                <w:fldData xml:space="preserve">PEVuZE5vdGU+PENpdGUgQXV0aG9yWWVhcj0iMSI+PEF1dGhvcj5TZXZlcmFuY2U8L0F1dGhvcj48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</w:fldData>
              </w:fldChar>
            </w:r>
            <w:r w:rsidRPr="004D46AC">
              <w:instrText xml:space="preserve"> ADDIN EN.CITE.DATA </w:instrText>
            </w:r>
            <w:r w:rsidRPr="004D46AC">
              <w:fldChar w:fldCharType="end"/>
            </w:r>
            <w:r w:rsidRPr="004D46AC">
              <w:fldChar w:fldCharType="separate"/>
            </w:r>
            <w:r w:rsidRPr="004D46AC">
              <w:t>Severance et al. (2014)</w:t>
            </w:r>
            <w:r w:rsidRPr="004D46AC">
              <w:fldChar w:fldCharType="end"/>
            </w:r>
          </w:p>
        </w:tc>
        <w:tc>
          <w:tcPr>
            <w:tcW w:w="754" w:type="dxa"/>
            <w:vAlign w:val="center"/>
          </w:tcPr>
          <w:p w14:paraId="69F30292" w14:textId="77777777" w:rsidR="009864DB" w:rsidRPr="004D46AC" w:rsidRDefault="009864DB" w:rsidP="009864DB">
            <w:pPr>
              <w:spacing w:line="240" w:lineRule="auto"/>
              <w:ind w:firstLine="0"/>
            </w:pPr>
            <w:r w:rsidRPr="004D46AC">
              <w:t>5</w:t>
            </w:r>
          </w:p>
        </w:tc>
        <w:tc>
          <w:tcPr>
            <w:tcW w:w="766" w:type="dxa"/>
            <w:vAlign w:val="center"/>
          </w:tcPr>
          <w:p w14:paraId="2AB685E3" w14:textId="77777777" w:rsidR="009864DB" w:rsidRPr="004D46AC" w:rsidRDefault="009864DB" w:rsidP="009864DB">
            <w:pPr>
              <w:spacing w:line="240" w:lineRule="auto"/>
              <w:ind w:firstLine="0"/>
            </w:pPr>
            <w:r w:rsidRPr="004D46AC">
              <w:t>36.21</w:t>
            </w:r>
          </w:p>
        </w:tc>
        <w:tc>
          <w:tcPr>
            <w:tcW w:w="1096" w:type="dxa"/>
            <w:vAlign w:val="center"/>
          </w:tcPr>
          <w:p w14:paraId="373B300E" w14:textId="77777777" w:rsidR="009864DB" w:rsidRPr="004D46AC" w:rsidRDefault="009864DB" w:rsidP="009864DB">
            <w:pPr>
              <w:spacing w:line="240" w:lineRule="auto"/>
              <w:ind w:firstLine="0"/>
            </w:pPr>
            <w:r w:rsidRPr="004D46AC">
              <w:t>DSM4</w:t>
            </w:r>
          </w:p>
        </w:tc>
        <w:tc>
          <w:tcPr>
            <w:tcW w:w="1415" w:type="dxa"/>
            <w:vAlign w:val="center"/>
          </w:tcPr>
          <w:p w14:paraId="74AF53B6" w14:textId="77777777" w:rsidR="009864DB" w:rsidRPr="004D46AC" w:rsidRDefault="009864DB" w:rsidP="009864DB">
            <w:pPr>
              <w:spacing w:line="240" w:lineRule="auto"/>
              <w:ind w:firstLine="0"/>
            </w:pPr>
            <w:r w:rsidRPr="004D46AC">
              <w:t>SCID</w:t>
            </w:r>
          </w:p>
        </w:tc>
        <w:tc>
          <w:tcPr>
            <w:tcW w:w="876" w:type="dxa"/>
            <w:vAlign w:val="center"/>
          </w:tcPr>
          <w:p w14:paraId="052B6A07" w14:textId="77777777" w:rsidR="009864DB" w:rsidRPr="004D46AC" w:rsidRDefault="009864DB" w:rsidP="009864DB">
            <w:pPr>
              <w:spacing w:line="240" w:lineRule="auto"/>
              <w:ind w:firstLine="0"/>
            </w:pPr>
            <w:r w:rsidRPr="004D46AC">
              <w:t>264</w:t>
            </w:r>
          </w:p>
        </w:tc>
        <w:tc>
          <w:tcPr>
            <w:tcW w:w="986" w:type="dxa"/>
            <w:vAlign w:val="center"/>
          </w:tcPr>
          <w:p w14:paraId="6D8F3A39" w14:textId="77777777" w:rsidR="009864DB" w:rsidRPr="004D46AC" w:rsidRDefault="009864DB" w:rsidP="009864DB">
            <w:pPr>
              <w:spacing w:line="240" w:lineRule="auto"/>
              <w:ind w:firstLine="0"/>
            </w:pPr>
            <w:r w:rsidRPr="004D46AC">
              <w:t>2</w:t>
            </w:r>
          </w:p>
        </w:tc>
        <w:tc>
          <w:tcPr>
            <w:tcW w:w="751" w:type="dxa"/>
            <w:vAlign w:val="center"/>
          </w:tcPr>
          <w:p w14:paraId="2AB998F1" w14:textId="77777777" w:rsidR="009864DB" w:rsidRPr="004D46AC" w:rsidRDefault="009864DB" w:rsidP="009864DB">
            <w:pPr>
              <w:spacing w:line="240" w:lineRule="auto"/>
              <w:ind w:firstLine="0"/>
            </w:pPr>
            <w:r w:rsidRPr="004D46AC">
              <w:t>1</w:t>
            </w:r>
          </w:p>
        </w:tc>
        <w:tc>
          <w:tcPr>
            <w:tcW w:w="752" w:type="dxa"/>
            <w:vAlign w:val="center"/>
          </w:tcPr>
          <w:p w14:paraId="2D2D0F52" w14:textId="77777777" w:rsidR="009864DB" w:rsidRPr="004D46AC" w:rsidRDefault="009864DB" w:rsidP="009864DB">
            <w:pPr>
              <w:spacing w:line="240" w:lineRule="auto"/>
              <w:ind w:firstLine="0"/>
            </w:pPr>
            <w:r w:rsidRPr="004D46AC">
              <w:t>1</w:t>
            </w:r>
          </w:p>
        </w:tc>
        <w:tc>
          <w:tcPr>
            <w:tcW w:w="1296" w:type="dxa"/>
          </w:tcPr>
          <w:p w14:paraId="34B1985A" w14:textId="77777777" w:rsidR="009864DB" w:rsidRPr="004D46AC" w:rsidRDefault="009864DB" w:rsidP="009864DB">
            <w:pPr>
              <w:spacing w:line="240" w:lineRule="auto"/>
              <w:ind w:firstLine="0"/>
            </w:pPr>
            <w:r w:rsidRPr="004D46AC">
              <w:t>38</w:t>
            </w:r>
            <w:r w:rsidRPr="004D46AC">
              <w:rPr>
                <w:rFonts w:hint="eastAsia"/>
              </w:rPr>
              <w:t>;</w:t>
            </w:r>
            <w:r w:rsidRPr="004D46AC">
              <w:t xml:space="preserve"> 208</w:t>
            </w:r>
          </w:p>
        </w:tc>
        <w:tc>
          <w:tcPr>
            <w:tcW w:w="752" w:type="dxa"/>
            <w:vAlign w:val="center"/>
          </w:tcPr>
          <w:p w14:paraId="1C2E8D30" w14:textId="77777777" w:rsidR="009864DB" w:rsidRPr="004D46AC" w:rsidRDefault="009864DB" w:rsidP="009864DB">
            <w:pPr>
              <w:spacing w:line="240" w:lineRule="auto"/>
              <w:ind w:firstLine="0"/>
            </w:pPr>
            <w:r w:rsidRPr="004D46AC">
              <w:t>NA</w:t>
            </w:r>
          </w:p>
        </w:tc>
        <w:tc>
          <w:tcPr>
            <w:tcW w:w="789" w:type="dxa"/>
            <w:gridSpan w:val="2"/>
            <w:vAlign w:val="center"/>
          </w:tcPr>
          <w:p w14:paraId="40EB31C5" w14:textId="77777777" w:rsidR="009864DB" w:rsidRPr="004D46AC" w:rsidRDefault="009864DB" w:rsidP="009864DB">
            <w:pPr>
              <w:spacing w:line="240" w:lineRule="auto"/>
              <w:ind w:firstLine="0"/>
            </w:pPr>
            <w:r w:rsidRPr="004D46AC">
              <w:t>NA</w:t>
            </w:r>
          </w:p>
        </w:tc>
      </w:tr>
      <w:tr w:rsidR="009864DB" w:rsidRPr="004D46AC" w14:paraId="1EB37C61" w14:textId="77777777" w:rsidTr="00B518F1">
        <w:tc>
          <w:tcPr>
            <w:tcW w:w="1476" w:type="dxa"/>
          </w:tcPr>
          <w:p w14:paraId="6DFE68A0" w14:textId="77777777" w:rsidR="009864DB" w:rsidRPr="004D46AC" w:rsidRDefault="009864DB" w:rsidP="009864DB">
            <w:pPr>
              <w:spacing w:line="240" w:lineRule="auto"/>
              <w:ind w:firstLine="0"/>
            </w:pPr>
            <w:r w:rsidRPr="004D46AC">
              <w:lastRenderedPageBreak/>
              <w:fldChar w:fldCharType="begin">
                <w:fldData xml:space="preserve">PEVuZE5vdGU+PENpdGUgQXV0aG9yWWVhcj0iMSI+PEF1dGhvcj5XZWluc3RvY2s8L0F1dGhvcj48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</w:fldData>
              </w:fldChar>
            </w:r>
            <w:r w:rsidRPr="004D46AC">
              <w:instrText xml:space="preserve"> ADDIN EN.CITE </w:instrText>
            </w:r>
            <w:r w:rsidRPr="004D46AC">
              <w:fldChar w:fldCharType="begin">
                <w:fldData xml:space="preserve">PEVuZE5vdGU+PENpdGUgQXV0aG9yWWVhcj0iMSI+PEF1dGhvcj5XZWluc3RvY2s8L0F1dGhvcj48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</w:fldData>
              </w:fldChar>
            </w:r>
            <w:r w:rsidRPr="004D46AC">
              <w:instrText xml:space="preserve"> ADDIN EN.CITE.DATA </w:instrText>
            </w:r>
            <w:r w:rsidRPr="004D46AC">
              <w:fldChar w:fldCharType="end"/>
            </w:r>
            <w:r w:rsidRPr="004D46AC">
              <w:fldChar w:fldCharType="separate"/>
            </w:r>
            <w:r w:rsidRPr="004D46AC">
              <w:t>Weinstock et al. (2016)</w:t>
            </w:r>
            <w:r w:rsidRPr="004D46AC">
              <w:fldChar w:fldCharType="end"/>
            </w:r>
          </w:p>
        </w:tc>
        <w:tc>
          <w:tcPr>
            <w:tcW w:w="754" w:type="dxa"/>
            <w:vAlign w:val="center"/>
          </w:tcPr>
          <w:p w14:paraId="5400A6E7" w14:textId="77777777" w:rsidR="009864DB" w:rsidRPr="004D46AC" w:rsidRDefault="009864DB" w:rsidP="009864DB">
            <w:pPr>
              <w:spacing w:line="240" w:lineRule="auto"/>
              <w:ind w:firstLine="0"/>
            </w:pPr>
            <w:r w:rsidRPr="004D46AC">
              <w:t>5</w:t>
            </w:r>
          </w:p>
        </w:tc>
        <w:tc>
          <w:tcPr>
            <w:tcW w:w="766" w:type="dxa"/>
            <w:vAlign w:val="center"/>
          </w:tcPr>
          <w:p w14:paraId="380FD199" w14:textId="77777777" w:rsidR="009864DB" w:rsidRPr="004D46AC" w:rsidRDefault="009864DB" w:rsidP="009864DB">
            <w:pPr>
              <w:spacing w:line="240" w:lineRule="auto"/>
              <w:ind w:firstLine="0"/>
            </w:pPr>
            <w:r w:rsidRPr="004D46AC">
              <w:t>42.2</w:t>
            </w:r>
          </w:p>
        </w:tc>
        <w:tc>
          <w:tcPr>
            <w:tcW w:w="1096" w:type="dxa"/>
            <w:vAlign w:val="center"/>
          </w:tcPr>
          <w:p w14:paraId="51E8A0B7" w14:textId="77777777" w:rsidR="009864DB" w:rsidRPr="004D46AC" w:rsidRDefault="009864DB" w:rsidP="009864DB">
            <w:pPr>
              <w:spacing w:line="240" w:lineRule="auto"/>
              <w:ind w:firstLine="0"/>
            </w:pPr>
            <w:r w:rsidRPr="004D46AC">
              <w:t>DSM4TR</w:t>
            </w:r>
          </w:p>
        </w:tc>
        <w:tc>
          <w:tcPr>
            <w:tcW w:w="1415" w:type="dxa"/>
            <w:vAlign w:val="center"/>
          </w:tcPr>
          <w:p w14:paraId="646A66EB" w14:textId="77777777" w:rsidR="009864DB" w:rsidRPr="004D46AC" w:rsidRDefault="009864DB" w:rsidP="009864DB">
            <w:pPr>
              <w:spacing w:line="240" w:lineRule="auto"/>
              <w:ind w:firstLine="0"/>
            </w:pPr>
            <w:r w:rsidRPr="004D46AC">
              <w:t>SCID</w:t>
            </w:r>
          </w:p>
        </w:tc>
        <w:tc>
          <w:tcPr>
            <w:tcW w:w="876" w:type="dxa"/>
            <w:vAlign w:val="center"/>
          </w:tcPr>
          <w:p w14:paraId="60FB286D" w14:textId="77777777" w:rsidR="009864DB" w:rsidRPr="004D46AC" w:rsidRDefault="009864DB" w:rsidP="009864DB">
            <w:pPr>
              <w:spacing w:line="240" w:lineRule="auto"/>
              <w:ind w:firstLine="0"/>
            </w:pPr>
            <w:r w:rsidRPr="004D46AC">
              <w:t>230</w:t>
            </w:r>
          </w:p>
        </w:tc>
        <w:tc>
          <w:tcPr>
            <w:tcW w:w="986" w:type="dxa"/>
            <w:vAlign w:val="center"/>
          </w:tcPr>
          <w:p w14:paraId="1E4ABC62" w14:textId="77777777" w:rsidR="009864DB" w:rsidRPr="004D46AC" w:rsidRDefault="009864DB" w:rsidP="009864DB">
            <w:pPr>
              <w:spacing w:line="240" w:lineRule="auto"/>
              <w:ind w:firstLine="0"/>
            </w:pPr>
            <w:r w:rsidRPr="004D46AC">
              <w:t>2</w:t>
            </w:r>
          </w:p>
        </w:tc>
        <w:tc>
          <w:tcPr>
            <w:tcW w:w="751" w:type="dxa"/>
            <w:vAlign w:val="center"/>
          </w:tcPr>
          <w:p w14:paraId="3429CCD3" w14:textId="77777777" w:rsidR="009864DB" w:rsidRPr="004D46AC" w:rsidRDefault="009864DB" w:rsidP="009864DB">
            <w:pPr>
              <w:spacing w:line="240" w:lineRule="auto"/>
              <w:ind w:firstLine="0"/>
            </w:pPr>
            <w:r w:rsidRPr="004D46AC">
              <w:t>2</w:t>
            </w:r>
          </w:p>
        </w:tc>
        <w:tc>
          <w:tcPr>
            <w:tcW w:w="752" w:type="dxa"/>
            <w:vAlign w:val="center"/>
          </w:tcPr>
          <w:p w14:paraId="42A39098" w14:textId="77777777" w:rsidR="009864DB" w:rsidRPr="004D46AC" w:rsidRDefault="009864DB" w:rsidP="009864DB">
            <w:pPr>
              <w:spacing w:line="240" w:lineRule="auto"/>
              <w:ind w:firstLine="0"/>
            </w:pPr>
            <w:r w:rsidRPr="004D46AC">
              <w:t>0</w:t>
            </w:r>
          </w:p>
        </w:tc>
        <w:tc>
          <w:tcPr>
            <w:tcW w:w="1296" w:type="dxa"/>
          </w:tcPr>
          <w:p w14:paraId="17EEFE2C" w14:textId="77777777" w:rsidR="009864DB" w:rsidRPr="004D46AC" w:rsidRDefault="009864DB" w:rsidP="009864DB">
            <w:pPr>
              <w:spacing w:line="240" w:lineRule="auto"/>
              <w:ind w:firstLine="0"/>
            </w:pPr>
            <w:r w:rsidRPr="004D46AC">
              <w:t>105</w:t>
            </w:r>
          </w:p>
        </w:tc>
        <w:tc>
          <w:tcPr>
            <w:tcW w:w="752" w:type="dxa"/>
            <w:vAlign w:val="center"/>
          </w:tcPr>
          <w:p w14:paraId="4699A77D" w14:textId="77777777" w:rsidR="009864DB" w:rsidRPr="004D46AC" w:rsidRDefault="009864DB" w:rsidP="009864DB">
            <w:pPr>
              <w:spacing w:line="240" w:lineRule="auto"/>
              <w:ind w:firstLine="0"/>
            </w:pPr>
            <w:r w:rsidRPr="004D46AC">
              <w:t>NA</w:t>
            </w:r>
          </w:p>
        </w:tc>
        <w:tc>
          <w:tcPr>
            <w:tcW w:w="789" w:type="dxa"/>
            <w:gridSpan w:val="2"/>
            <w:vAlign w:val="center"/>
          </w:tcPr>
          <w:p w14:paraId="0FBB4785" w14:textId="77777777" w:rsidR="009864DB" w:rsidRPr="004D46AC" w:rsidRDefault="009864DB" w:rsidP="009864DB">
            <w:pPr>
              <w:spacing w:line="240" w:lineRule="auto"/>
              <w:ind w:firstLine="0"/>
            </w:pPr>
            <w:r w:rsidRPr="004D46AC">
              <w:t>NA</w:t>
            </w:r>
          </w:p>
        </w:tc>
      </w:tr>
      <w:tr w:rsidR="009864DB" w:rsidRPr="004D46AC" w14:paraId="58A44D30" w14:textId="77777777" w:rsidTr="00B518F1">
        <w:tc>
          <w:tcPr>
            <w:tcW w:w="1476" w:type="dxa"/>
          </w:tcPr>
          <w:p w14:paraId="66B75E84" w14:textId="77777777" w:rsidR="009864DB" w:rsidRPr="004D46AC" w:rsidRDefault="009864DB" w:rsidP="009864DB">
            <w:pPr>
              <w:spacing w:line="240" w:lineRule="auto"/>
              <w:ind w:firstLine="0"/>
            </w:pPr>
            <w:r w:rsidRPr="004D46AC">
              <w:fldChar w:fldCharType="begin">
                <w:fldData xml:space="preserve">PEVuZE5vdGU+PENpdGUgQXV0aG9yWWVhcj0iMSI+PEF1dGhvcj5TaGFzaGlkaGFyYTwvQXV0aG9y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==
</w:fldData>
              </w:fldChar>
            </w:r>
            <w:r w:rsidRPr="004D46AC">
              <w:instrText xml:space="preserve"> ADDIN EN.CITE </w:instrText>
            </w:r>
            <w:r w:rsidRPr="004D46AC">
              <w:fldChar w:fldCharType="begin">
                <w:fldData xml:space="preserve">PEVuZE5vdGU+PENpdGUgQXV0aG9yWWVhcj0iMSI+PEF1dGhvcj5TaGFzaGlkaGFyYTwvQXV0aG9y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==
</w:fldData>
              </w:fldChar>
            </w:r>
            <w:r w:rsidRPr="004D46AC">
              <w:instrText xml:space="preserve"> ADDIN EN.CITE.DATA </w:instrText>
            </w:r>
            <w:r w:rsidRPr="004D46AC">
              <w:fldChar w:fldCharType="end"/>
            </w:r>
            <w:r w:rsidRPr="004D46AC">
              <w:fldChar w:fldCharType="separate"/>
            </w:r>
            <w:r w:rsidRPr="004D46AC">
              <w:t>Shashidhara et al. (2015)</w:t>
            </w:r>
            <w:r w:rsidRPr="004D46AC">
              <w:fldChar w:fldCharType="end"/>
            </w:r>
          </w:p>
        </w:tc>
        <w:tc>
          <w:tcPr>
            <w:tcW w:w="754" w:type="dxa"/>
            <w:vAlign w:val="center"/>
          </w:tcPr>
          <w:p w14:paraId="23B1E085" w14:textId="77777777" w:rsidR="009864DB" w:rsidRPr="004D46AC" w:rsidRDefault="009864DB" w:rsidP="009864DB">
            <w:pPr>
              <w:spacing w:line="240" w:lineRule="auto"/>
              <w:ind w:firstLine="0"/>
            </w:pPr>
            <w:r w:rsidRPr="004D46AC">
              <w:t>8</w:t>
            </w:r>
          </w:p>
        </w:tc>
        <w:tc>
          <w:tcPr>
            <w:tcW w:w="766" w:type="dxa"/>
            <w:vAlign w:val="center"/>
          </w:tcPr>
          <w:p w14:paraId="79FF1DBD" w14:textId="77777777" w:rsidR="009864DB" w:rsidRPr="004D46AC" w:rsidRDefault="009864DB" w:rsidP="009864DB">
            <w:pPr>
              <w:spacing w:line="240" w:lineRule="auto"/>
              <w:ind w:firstLine="0"/>
            </w:pPr>
            <w:r w:rsidRPr="004D46AC">
              <w:t>31.63</w:t>
            </w:r>
          </w:p>
        </w:tc>
        <w:tc>
          <w:tcPr>
            <w:tcW w:w="1096" w:type="dxa"/>
            <w:vAlign w:val="center"/>
          </w:tcPr>
          <w:p w14:paraId="4B24CA2E" w14:textId="77777777" w:rsidR="009864DB" w:rsidRPr="004D46AC" w:rsidRDefault="009864DB" w:rsidP="009864DB">
            <w:pPr>
              <w:spacing w:line="240" w:lineRule="auto"/>
              <w:ind w:firstLine="0"/>
            </w:pPr>
            <w:r w:rsidRPr="004D46AC">
              <w:t>DSM4TR</w:t>
            </w:r>
          </w:p>
        </w:tc>
        <w:tc>
          <w:tcPr>
            <w:tcW w:w="1415" w:type="dxa"/>
            <w:vAlign w:val="center"/>
          </w:tcPr>
          <w:p w14:paraId="5D6D1D8D" w14:textId="77777777" w:rsidR="009864DB" w:rsidRPr="004D46AC" w:rsidRDefault="009864DB" w:rsidP="009864DB">
            <w:pPr>
              <w:spacing w:line="240" w:lineRule="auto"/>
              <w:ind w:firstLine="0"/>
            </w:pPr>
            <w:r w:rsidRPr="004D46AC">
              <w:t>SCID</w:t>
            </w:r>
          </w:p>
        </w:tc>
        <w:tc>
          <w:tcPr>
            <w:tcW w:w="876" w:type="dxa"/>
            <w:vAlign w:val="center"/>
          </w:tcPr>
          <w:p w14:paraId="3E139811" w14:textId="77777777" w:rsidR="009864DB" w:rsidRPr="004D46AC" w:rsidRDefault="009864DB" w:rsidP="009864DB">
            <w:pPr>
              <w:spacing w:line="240" w:lineRule="auto"/>
              <w:ind w:firstLine="0"/>
            </w:pPr>
            <w:r w:rsidRPr="004D46AC">
              <w:t>396</w:t>
            </w:r>
          </w:p>
        </w:tc>
        <w:tc>
          <w:tcPr>
            <w:tcW w:w="986" w:type="dxa"/>
            <w:vAlign w:val="center"/>
          </w:tcPr>
          <w:p w14:paraId="10BDA8F5" w14:textId="77777777" w:rsidR="009864DB" w:rsidRPr="004D46AC" w:rsidRDefault="009864DB" w:rsidP="009864DB">
            <w:pPr>
              <w:spacing w:line="240" w:lineRule="auto"/>
              <w:ind w:firstLine="0"/>
            </w:pPr>
            <w:r w:rsidRPr="004D46AC">
              <w:t>3</w:t>
            </w:r>
          </w:p>
        </w:tc>
        <w:tc>
          <w:tcPr>
            <w:tcW w:w="751" w:type="dxa"/>
            <w:vAlign w:val="center"/>
          </w:tcPr>
          <w:p w14:paraId="57077E3E" w14:textId="77777777" w:rsidR="009864DB" w:rsidRPr="004D46AC" w:rsidRDefault="009864DB" w:rsidP="009864DB">
            <w:pPr>
              <w:spacing w:line="240" w:lineRule="auto"/>
              <w:ind w:firstLine="0"/>
            </w:pPr>
            <w:r w:rsidRPr="004D46AC">
              <w:t>2</w:t>
            </w:r>
          </w:p>
        </w:tc>
        <w:tc>
          <w:tcPr>
            <w:tcW w:w="752" w:type="dxa"/>
            <w:vAlign w:val="center"/>
          </w:tcPr>
          <w:p w14:paraId="5582F60D" w14:textId="77777777" w:rsidR="009864DB" w:rsidRPr="004D46AC" w:rsidRDefault="009864DB" w:rsidP="009864DB">
            <w:pPr>
              <w:spacing w:line="240" w:lineRule="auto"/>
              <w:ind w:firstLine="0"/>
            </w:pPr>
            <w:r w:rsidRPr="004D46AC">
              <w:t>1</w:t>
            </w:r>
          </w:p>
        </w:tc>
        <w:tc>
          <w:tcPr>
            <w:tcW w:w="1296" w:type="dxa"/>
          </w:tcPr>
          <w:p w14:paraId="1C262F49" w14:textId="77777777" w:rsidR="009864DB" w:rsidRPr="004D46AC" w:rsidRDefault="009864DB" w:rsidP="009864DB">
            <w:pPr>
              <w:spacing w:line="240" w:lineRule="auto"/>
              <w:ind w:firstLine="0"/>
            </w:pPr>
            <w:r w:rsidRPr="004D46AC">
              <w:t>205</w:t>
            </w:r>
            <w:r w:rsidRPr="004D46AC">
              <w:rPr>
                <w:rFonts w:hint="eastAsia"/>
              </w:rPr>
              <w:t xml:space="preserve">; </w:t>
            </w:r>
            <w:r w:rsidRPr="004D46AC">
              <w:t>235</w:t>
            </w:r>
          </w:p>
        </w:tc>
        <w:tc>
          <w:tcPr>
            <w:tcW w:w="752" w:type="dxa"/>
            <w:vAlign w:val="center"/>
          </w:tcPr>
          <w:p w14:paraId="7FF0BFD5" w14:textId="77777777" w:rsidR="009864DB" w:rsidRPr="004D46AC" w:rsidRDefault="009864DB" w:rsidP="009864DB">
            <w:pPr>
              <w:spacing w:line="240" w:lineRule="auto"/>
              <w:ind w:firstLine="0"/>
            </w:pPr>
            <w:r w:rsidRPr="004D46AC">
              <w:t>NA</w:t>
            </w:r>
          </w:p>
        </w:tc>
        <w:tc>
          <w:tcPr>
            <w:tcW w:w="789" w:type="dxa"/>
            <w:gridSpan w:val="2"/>
            <w:vAlign w:val="center"/>
          </w:tcPr>
          <w:p w14:paraId="51FC570C" w14:textId="77777777" w:rsidR="009864DB" w:rsidRPr="004D46AC" w:rsidRDefault="009864DB" w:rsidP="009864DB">
            <w:pPr>
              <w:spacing w:line="240" w:lineRule="auto"/>
              <w:ind w:firstLine="0"/>
            </w:pPr>
            <w:r w:rsidRPr="004D46AC">
              <w:t>NA</w:t>
            </w:r>
          </w:p>
        </w:tc>
      </w:tr>
      <w:tr w:rsidR="009864DB" w:rsidRPr="004D46AC" w14:paraId="21AB3499" w14:textId="77777777" w:rsidTr="00B518F1">
        <w:tc>
          <w:tcPr>
            <w:tcW w:w="1476" w:type="dxa"/>
          </w:tcPr>
          <w:p w14:paraId="3231FE82" w14:textId="77777777" w:rsidR="009864DB" w:rsidRPr="004D46AC" w:rsidRDefault="009864DB" w:rsidP="009864DB">
            <w:pPr>
              <w:spacing w:line="240" w:lineRule="auto"/>
              <w:ind w:firstLine="0"/>
            </w:pPr>
            <w:r w:rsidRPr="004D46AC">
              <w:fldChar w:fldCharType="begin">
                <w:fldData xml:space="preserve">PEVuZE5vdGU+PENpdGUgQXV0aG9yWWVhcj0iMSI+PEF1dGhvcj5CZWxldGU8L0F1dGhvcj48WWVh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</w:fldData>
              </w:fldChar>
            </w:r>
            <w:r w:rsidRPr="004D46AC">
              <w:instrText xml:space="preserve"> ADDIN EN.CITE </w:instrText>
            </w:r>
            <w:r w:rsidRPr="004D46AC">
              <w:fldChar w:fldCharType="begin">
                <w:fldData xml:space="preserve">PEVuZE5vdGU+PENpdGUgQXV0aG9yWWVhcj0iMSI+PEF1dGhvcj5CZWxldGU8L0F1dGhvcj48WWVh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</w:fldData>
              </w:fldChar>
            </w:r>
            <w:r w:rsidRPr="004D46AC">
              <w:instrText xml:space="preserve"> ADDIN EN.CITE.DATA </w:instrText>
            </w:r>
            <w:r w:rsidRPr="004D46AC">
              <w:fldChar w:fldCharType="end"/>
            </w:r>
            <w:r w:rsidRPr="004D46AC">
              <w:fldChar w:fldCharType="separate"/>
            </w:r>
            <w:r w:rsidRPr="004D46AC">
              <w:t>Belete et al. (2016)</w:t>
            </w:r>
            <w:r w:rsidRPr="004D46AC">
              <w:fldChar w:fldCharType="end"/>
            </w:r>
          </w:p>
        </w:tc>
        <w:tc>
          <w:tcPr>
            <w:tcW w:w="754" w:type="dxa"/>
            <w:vAlign w:val="center"/>
          </w:tcPr>
          <w:p w14:paraId="42FD936C" w14:textId="77777777" w:rsidR="009864DB" w:rsidRPr="004D46AC" w:rsidRDefault="009864DB" w:rsidP="009864DB">
            <w:pPr>
              <w:spacing w:line="240" w:lineRule="auto"/>
              <w:ind w:firstLine="0"/>
            </w:pPr>
            <w:r w:rsidRPr="004D46AC">
              <w:t>7</w:t>
            </w:r>
          </w:p>
        </w:tc>
        <w:tc>
          <w:tcPr>
            <w:tcW w:w="766" w:type="dxa"/>
            <w:vAlign w:val="center"/>
          </w:tcPr>
          <w:p w14:paraId="150D7A0B" w14:textId="77777777" w:rsidR="009864DB" w:rsidRPr="004D46AC" w:rsidRDefault="009864DB" w:rsidP="009864DB">
            <w:pPr>
              <w:spacing w:line="240" w:lineRule="auto"/>
              <w:ind w:firstLine="0"/>
            </w:pPr>
            <w:r w:rsidRPr="004D46AC">
              <w:t>32</w:t>
            </w:r>
          </w:p>
        </w:tc>
        <w:tc>
          <w:tcPr>
            <w:tcW w:w="1096" w:type="dxa"/>
            <w:vAlign w:val="center"/>
          </w:tcPr>
          <w:p w14:paraId="410FA960" w14:textId="77777777" w:rsidR="009864DB" w:rsidRPr="004D46AC" w:rsidRDefault="009864DB" w:rsidP="009864DB">
            <w:pPr>
              <w:spacing w:line="240" w:lineRule="auto"/>
              <w:ind w:firstLine="0"/>
            </w:pPr>
            <w:r w:rsidRPr="004D46AC">
              <w:t>DSM4</w:t>
            </w:r>
          </w:p>
        </w:tc>
        <w:tc>
          <w:tcPr>
            <w:tcW w:w="1415" w:type="dxa"/>
            <w:vAlign w:val="center"/>
          </w:tcPr>
          <w:p w14:paraId="10E19641" w14:textId="77777777" w:rsidR="009864DB" w:rsidRPr="004D46AC" w:rsidRDefault="009864DB" w:rsidP="009864DB">
            <w:pPr>
              <w:spacing w:line="240" w:lineRule="auto"/>
              <w:ind w:firstLine="0"/>
            </w:pPr>
            <w:r w:rsidRPr="004D46AC">
              <w:t>unclear</w:t>
            </w:r>
          </w:p>
        </w:tc>
        <w:tc>
          <w:tcPr>
            <w:tcW w:w="876" w:type="dxa"/>
            <w:vAlign w:val="center"/>
          </w:tcPr>
          <w:p w14:paraId="394DEEF1" w14:textId="77777777" w:rsidR="009864DB" w:rsidRPr="004D46AC" w:rsidRDefault="009864DB" w:rsidP="009864DB">
            <w:pPr>
              <w:spacing w:line="240" w:lineRule="auto"/>
              <w:ind w:firstLine="0"/>
            </w:pPr>
            <w:r w:rsidRPr="004D46AC">
              <w:t>411</w:t>
            </w:r>
          </w:p>
        </w:tc>
        <w:tc>
          <w:tcPr>
            <w:tcW w:w="986" w:type="dxa"/>
            <w:vAlign w:val="center"/>
          </w:tcPr>
          <w:p w14:paraId="7DD45748" w14:textId="77777777" w:rsidR="009864DB" w:rsidRPr="004D46AC" w:rsidRDefault="009864DB" w:rsidP="009864DB">
            <w:pPr>
              <w:spacing w:line="240" w:lineRule="auto"/>
              <w:ind w:firstLine="0"/>
            </w:pPr>
            <w:r w:rsidRPr="004D46AC">
              <w:t>1</w:t>
            </w:r>
          </w:p>
        </w:tc>
        <w:tc>
          <w:tcPr>
            <w:tcW w:w="751" w:type="dxa"/>
            <w:vAlign w:val="center"/>
          </w:tcPr>
          <w:p w14:paraId="56256D26" w14:textId="77777777" w:rsidR="009864DB" w:rsidRPr="004D46AC" w:rsidRDefault="009864DB" w:rsidP="009864DB">
            <w:pPr>
              <w:spacing w:line="240" w:lineRule="auto"/>
              <w:ind w:firstLine="0"/>
            </w:pPr>
            <w:r w:rsidRPr="004D46AC">
              <w:t>1</w:t>
            </w:r>
          </w:p>
        </w:tc>
        <w:tc>
          <w:tcPr>
            <w:tcW w:w="752" w:type="dxa"/>
            <w:vAlign w:val="center"/>
          </w:tcPr>
          <w:p w14:paraId="74D93EB7" w14:textId="77777777" w:rsidR="009864DB" w:rsidRPr="004D46AC" w:rsidRDefault="009864DB" w:rsidP="009864DB">
            <w:pPr>
              <w:spacing w:line="240" w:lineRule="auto"/>
              <w:ind w:firstLine="0"/>
            </w:pPr>
            <w:r w:rsidRPr="004D46AC">
              <w:t>0</w:t>
            </w:r>
          </w:p>
        </w:tc>
        <w:tc>
          <w:tcPr>
            <w:tcW w:w="1296" w:type="dxa"/>
          </w:tcPr>
          <w:p w14:paraId="4D47F29B" w14:textId="77777777" w:rsidR="009864DB" w:rsidRPr="004D46AC" w:rsidRDefault="009864DB" w:rsidP="009864DB">
            <w:pPr>
              <w:spacing w:line="240" w:lineRule="auto"/>
              <w:ind w:firstLine="0"/>
            </w:pPr>
            <w:r w:rsidRPr="004D46AC">
              <w:t>188</w:t>
            </w:r>
          </w:p>
        </w:tc>
        <w:tc>
          <w:tcPr>
            <w:tcW w:w="752" w:type="dxa"/>
            <w:vAlign w:val="center"/>
          </w:tcPr>
          <w:p w14:paraId="5C331586" w14:textId="77777777" w:rsidR="009864DB" w:rsidRPr="004D46AC" w:rsidRDefault="009864DB" w:rsidP="009864DB">
            <w:pPr>
              <w:spacing w:line="240" w:lineRule="auto"/>
              <w:ind w:firstLine="0"/>
            </w:pPr>
            <w:r w:rsidRPr="004D46AC">
              <w:t>NA</w:t>
            </w:r>
          </w:p>
        </w:tc>
        <w:tc>
          <w:tcPr>
            <w:tcW w:w="789" w:type="dxa"/>
            <w:gridSpan w:val="2"/>
            <w:vAlign w:val="center"/>
          </w:tcPr>
          <w:p w14:paraId="2ECDA121" w14:textId="77777777" w:rsidR="009864DB" w:rsidRPr="004D46AC" w:rsidRDefault="009864DB" w:rsidP="009864DB">
            <w:pPr>
              <w:spacing w:line="240" w:lineRule="auto"/>
              <w:ind w:firstLine="0"/>
            </w:pPr>
            <w:r w:rsidRPr="004D46AC">
              <w:t>NA</w:t>
            </w:r>
          </w:p>
        </w:tc>
      </w:tr>
      <w:tr w:rsidR="009864DB" w:rsidRPr="004D46AC" w14:paraId="41106477" w14:textId="77777777" w:rsidTr="00B518F1">
        <w:tc>
          <w:tcPr>
            <w:tcW w:w="1476" w:type="dxa"/>
          </w:tcPr>
          <w:p w14:paraId="400DA19B" w14:textId="77777777" w:rsidR="009864DB" w:rsidRPr="004D46AC" w:rsidRDefault="009864DB" w:rsidP="009864DB">
            <w:pPr>
              <w:spacing w:line="240" w:lineRule="auto"/>
              <w:ind w:firstLine="0"/>
            </w:pPr>
            <w:r w:rsidRPr="004D46AC">
              <w:fldChar w:fldCharType="begin">
                <w:fldData xml:space="preserve">PEVuZE5vdGU+PENpdGUgQXV0aG9yWWVhcj0iMSI+PEF1dGhvcj5CZWx0ZWN6a2k8L0F1dGhvcj48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instrText xml:space="preserve"> ADDIN EN.CITE </w:instrText>
            </w:r>
            <w:r w:rsidRPr="004D46AC">
              <w:fldChar w:fldCharType="begin">
                <w:fldData xml:space="preserve">PEVuZE5vdGU+PENpdGUgQXV0aG9yWWVhcj0iMSI+PEF1dGhvcj5CZWx0ZWN6a2k8L0F1dGhvcj48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instrText xml:space="preserve"> ADDIN EN.CITE.DATA </w:instrText>
            </w:r>
            <w:r w:rsidRPr="004D46AC">
              <w:fldChar w:fldCharType="end"/>
            </w:r>
            <w:r w:rsidRPr="004D46AC">
              <w:fldChar w:fldCharType="separate"/>
            </w:r>
            <w:r w:rsidRPr="004D46AC">
              <w:t>Belteczki et al. (2018)</w:t>
            </w:r>
            <w:r w:rsidRPr="004D46AC">
              <w:fldChar w:fldCharType="end"/>
            </w:r>
          </w:p>
        </w:tc>
        <w:tc>
          <w:tcPr>
            <w:tcW w:w="754" w:type="dxa"/>
            <w:vAlign w:val="center"/>
          </w:tcPr>
          <w:p w14:paraId="65FD90D9" w14:textId="77777777" w:rsidR="009864DB" w:rsidRPr="004D46AC" w:rsidRDefault="009864DB" w:rsidP="009864DB">
            <w:pPr>
              <w:spacing w:line="240" w:lineRule="auto"/>
              <w:ind w:firstLine="0"/>
            </w:pPr>
            <w:r w:rsidRPr="004D46AC">
              <w:t>5</w:t>
            </w:r>
          </w:p>
        </w:tc>
        <w:tc>
          <w:tcPr>
            <w:tcW w:w="766" w:type="dxa"/>
            <w:vAlign w:val="center"/>
          </w:tcPr>
          <w:p w14:paraId="4BAAB0FE" w14:textId="77777777" w:rsidR="009864DB" w:rsidRPr="004D46AC" w:rsidRDefault="009864DB" w:rsidP="009864DB">
            <w:pPr>
              <w:spacing w:line="240" w:lineRule="auto"/>
              <w:ind w:firstLine="0"/>
            </w:pPr>
            <w:r w:rsidRPr="004D46AC">
              <w:t>NA</w:t>
            </w:r>
          </w:p>
        </w:tc>
        <w:tc>
          <w:tcPr>
            <w:tcW w:w="1096" w:type="dxa"/>
            <w:vAlign w:val="center"/>
          </w:tcPr>
          <w:p w14:paraId="6E54EA25" w14:textId="77777777" w:rsidR="009864DB" w:rsidRPr="004D46AC" w:rsidRDefault="009864DB" w:rsidP="009864DB">
            <w:pPr>
              <w:spacing w:line="240" w:lineRule="auto"/>
              <w:ind w:firstLine="0"/>
            </w:pPr>
            <w:r w:rsidRPr="004D46AC">
              <w:t>ICD10</w:t>
            </w:r>
          </w:p>
        </w:tc>
        <w:tc>
          <w:tcPr>
            <w:tcW w:w="1415" w:type="dxa"/>
            <w:vAlign w:val="center"/>
          </w:tcPr>
          <w:p w14:paraId="4AA78088" w14:textId="77777777" w:rsidR="009864DB" w:rsidRPr="004D46AC" w:rsidRDefault="009864DB" w:rsidP="009864DB">
            <w:pPr>
              <w:spacing w:line="240" w:lineRule="auto"/>
              <w:ind w:firstLine="0"/>
            </w:pPr>
            <w:r w:rsidRPr="004D46AC">
              <w:t>unclear</w:t>
            </w:r>
          </w:p>
        </w:tc>
        <w:tc>
          <w:tcPr>
            <w:tcW w:w="876" w:type="dxa"/>
            <w:vAlign w:val="center"/>
          </w:tcPr>
          <w:p w14:paraId="16FABB40" w14:textId="77777777" w:rsidR="009864DB" w:rsidRPr="004D46AC" w:rsidRDefault="009864DB" w:rsidP="009864DB">
            <w:pPr>
              <w:spacing w:line="240" w:lineRule="auto"/>
              <w:ind w:firstLine="0"/>
            </w:pPr>
            <w:r w:rsidRPr="004D46AC">
              <w:t>365</w:t>
            </w:r>
          </w:p>
        </w:tc>
        <w:tc>
          <w:tcPr>
            <w:tcW w:w="986" w:type="dxa"/>
            <w:vAlign w:val="center"/>
          </w:tcPr>
          <w:p w14:paraId="2BEE318F" w14:textId="77777777" w:rsidR="009864DB" w:rsidRPr="004D46AC" w:rsidRDefault="009864DB" w:rsidP="009864DB">
            <w:pPr>
              <w:spacing w:line="240" w:lineRule="auto"/>
              <w:ind w:firstLine="0"/>
            </w:pPr>
            <w:r w:rsidRPr="004D46AC">
              <w:t>3</w:t>
            </w:r>
          </w:p>
        </w:tc>
        <w:tc>
          <w:tcPr>
            <w:tcW w:w="751" w:type="dxa"/>
            <w:vAlign w:val="center"/>
          </w:tcPr>
          <w:p w14:paraId="6BF01456" w14:textId="77777777" w:rsidR="009864DB" w:rsidRPr="004D46AC" w:rsidRDefault="009864DB" w:rsidP="009864DB">
            <w:pPr>
              <w:spacing w:line="240" w:lineRule="auto"/>
              <w:ind w:firstLine="0"/>
            </w:pPr>
            <w:r w:rsidRPr="004D46AC">
              <w:t>1</w:t>
            </w:r>
          </w:p>
        </w:tc>
        <w:tc>
          <w:tcPr>
            <w:tcW w:w="752" w:type="dxa"/>
            <w:vAlign w:val="center"/>
          </w:tcPr>
          <w:p w14:paraId="74491BD4" w14:textId="77777777" w:rsidR="009864DB" w:rsidRPr="004D46AC" w:rsidRDefault="009864DB" w:rsidP="009864DB">
            <w:pPr>
              <w:spacing w:line="240" w:lineRule="auto"/>
              <w:ind w:firstLine="0"/>
            </w:pPr>
            <w:r w:rsidRPr="004D46AC">
              <w:t>1</w:t>
            </w:r>
          </w:p>
        </w:tc>
        <w:tc>
          <w:tcPr>
            <w:tcW w:w="1296" w:type="dxa"/>
          </w:tcPr>
          <w:p w14:paraId="33BD8622" w14:textId="77777777" w:rsidR="009864DB" w:rsidRPr="004D46AC" w:rsidRDefault="009864DB" w:rsidP="009864DB">
            <w:pPr>
              <w:spacing w:line="240" w:lineRule="auto"/>
              <w:ind w:firstLine="0"/>
            </w:pPr>
            <w:r w:rsidRPr="004D46AC">
              <w:t>89</w:t>
            </w:r>
            <w:r w:rsidRPr="004D46AC">
              <w:rPr>
                <w:rFonts w:hint="eastAsia"/>
              </w:rPr>
              <w:t xml:space="preserve">; </w:t>
            </w:r>
            <w:r w:rsidRPr="004D46AC">
              <w:t>285</w:t>
            </w:r>
          </w:p>
        </w:tc>
        <w:tc>
          <w:tcPr>
            <w:tcW w:w="752" w:type="dxa"/>
            <w:vAlign w:val="center"/>
          </w:tcPr>
          <w:p w14:paraId="08CF9268" w14:textId="77777777" w:rsidR="009864DB" w:rsidRPr="004D46AC" w:rsidRDefault="009864DB" w:rsidP="009864DB">
            <w:pPr>
              <w:spacing w:line="240" w:lineRule="auto"/>
              <w:ind w:firstLine="0"/>
            </w:pPr>
            <w:r w:rsidRPr="004D46AC">
              <w:t>NA</w:t>
            </w:r>
          </w:p>
        </w:tc>
        <w:tc>
          <w:tcPr>
            <w:tcW w:w="789" w:type="dxa"/>
            <w:gridSpan w:val="2"/>
            <w:vAlign w:val="center"/>
          </w:tcPr>
          <w:p w14:paraId="1E306145" w14:textId="77777777" w:rsidR="009864DB" w:rsidRPr="004D46AC" w:rsidRDefault="009864DB" w:rsidP="009864DB">
            <w:pPr>
              <w:spacing w:line="240" w:lineRule="auto"/>
              <w:ind w:firstLine="0"/>
            </w:pPr>
            <w:r w:rsidRPr="004D46AC">
              <w:t>NA</w:t>
            </w:r>
          </w:p>
        </w:tc>
      </w:tr>
      <w:tr w:rsidR="009864DB" w:rsidRPr="004D46AC" w14:paraId="63983580" w14:textId="77777777" w:rsidTr="00B518F1">
        <w:tc>
          <w:tcPr>
            <w:tcW w:w="1476" w:type="dxa"/>
          </w:tcPr>
          <w:p w14:paraId="2CEAFF40" w14:textId="77777777" w:rsidR="009864DB" w:rsidRPr="004D46AC" w:rsidRDefault="009864DB" w:rsidP="009864DB">
            <w:pPr>
              <w:spacing w:line="240" w:lineRule="auto"/>
              <w:ind w:firstLine="0"/>
            </w:pPr>
            <w:r w:rsidRPr="004D46AC">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 </w:instrText>
            </w:r>
            <w:r w:rsidRPr="004D46AC">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EN.CITE.DATA </w:instrText>
            </w:r>
            <w:r w:rsidRPr="004D46AC">
              <w:fldChar w:fldCharType="end"/>
            </w:r>
            <w:r w:rsidRPr="004D46AC">
              <w:fldChar w:fldCharType="separate"/>
            </w:r>
            <w:r w:rsidRPr="004D46AC">
              <w:t>van Bergen et al. (2019)</w:t>
            </w:r>
            <w:r w:rsidRPr="004D46AC">
              <w:fldChar w:fldCharType="end"/>
            </w:r>
          </w:p>
        </w:tc>
        <w:tc>
          <w:tcPr>
            <w:tcW w:w="754" w:type="dxa"/>
            <w:vAlign w:val="center"/>
          </w:tcPr>
          <w:p w14:paraId="4E4F01CE" w14:textId="77777777" w:rsidR="009864DB" w:rsidRPr="004D46AC" w:rsidRDefault="009864DB" w:rsidP="009864DB">
            <w:pPr>
              <w:spacing w:line="240" w:lineRule="auto"/>
              <w:ind w:firstLine="0"/>
            </w:pPr>
            <w:r w:rsidRPr="004D46AC">
              <w:t>7</w:t>
            </w:r>
          </w:p>
        </w:tc>
        <w:tc>
          <w:tcPr>
            <w:tcW w:w="766" w:type="dxa"/>
            <w:vAlign w:val="center"/>
          </w:tcPr>
          <w:p w14:paraId="48052795" w14:textId="77777777" w:rsidR="009864DB" w:rsidRPr="004D46AC" w:rsidRDefault="009864DB" w:rsidP="009864DB">
            <w:pPr>
              <w:spacing w:line="240" w:lineRule="auto"/>
              <w:ind w:firstLine="0"/>
            </w:pPr>
            <w:r w:rsidRPr="004D46AC">
              <w:t>49.5</w:t>
            </w:r>
          </w:p>
        </w:tc>
        <w:tc>
          <w:tcPr>
            <w:tcW w:w="1096" w:type="dxa"/>
            <w:vAlign w:val="center"/>
          </w:tcPr>
          <w:p w14:paraId="08CC609D" w14:textId="77777777" w:rsidR="009864DB" w:rsidRPr="004D46AC" w:rsidRDefault="009864DB" w:rsidP="009864DB">
            <w:pPr>
              <w:spacing w:line="240" w:lineRule="auto"/>
              <w:ind w:firstLine="0"/>
            </w:pPr>
            <w:r w:rsidRPr="004D46AC">
              <w:t>DSM4</w:t>
            </w:r>
          </w:p>
        </w:tc>
        <w:tc>
          <w:tcPr>
            <w:tcW w:w="1415" w:type="dxa"/>
            <w:vAlign w:val="center"/>
          </w:tcPr>
          <w:p w14:paraId="23A32694" w14:textId="77777777" w:rsidR="009864DB" w:rsidRPr="004D46AC" w:rsidRDefault="009864DB" w:rsidP="009864DB">
            <w:pPr>
              <w:spacing w:line="240" w:lineRule="auto"/>
              <w:ind w:firstLine="0"/>
            </w:pPr>
            <w:r w:rsidRPr="004D46AC">
              <w:t>SCID</w:t>
            </w:r>
          </w:p>
        </w:tc>
        <w:tc>
          <w:tcPr>
            <w:tcW w:w="876" w:type="dxa"/>
            <w:vAlign w:val="center"/>
          </w:tcPr>
          <w:p w14:paraId="450BB071" w14:textId="77777777" w:rsidR="009864DB" w:rsidRPr="004D46AC" w:rsidRDefault="009864DB" w:rsidP="009864DB">
            <w:pPr>
              <w:spacing w:line="240" w:lineRule="auto"/>
              <w:ind w:firstLine="0"/>
            </w:pPr>
            <w:r w:rsidRPr="004D46AC">
              <w:t>1342</w:t>
            </w:r>
          </w:p>
        </w:tc>
        <w:tc>
          <w:tcPr>
            <w:tcW w:w="986" w:type="dxa"/>
            <w:vAlign w:val="center"/>
          </w:tcPr>
          <w:p w14:paraId="6C7CAD20" w14:textId="77777777" w:rsidR="009864DB" w:rsidRPr="004D46AC" w:rsidRDefault="009864DB" w:rsidP="009864DB">
            <w:pPr>
              <w:spacing w:line="240" w:lineRule="auto"/>
              <w:ind w:firstLine="0"/>
            </w:pPr>
            <w:r w:rsidRPr="004D46AC">
              <w:t>2</w:t>
            </w:r>
          </w:p>
        </w:tc>
        <w:tc>
          <w:tcPr>
            <w:tcW w:w="751" w:type="dxa"/>
            <w:vAlign w:val="center"/>
          </w:tcPr>
          <w:p w14:paraId="060A88CF" w14:textId="77777777" w:rsidR="009864DB" w:rsidRPr="004D46AC" w:rsidRDefault="009864DB" w:rsidP="009864DB">
            <w:pPr>
              <w:spacing w:line="240" w:lineRule="auto"/>
              <w:ind w:firstLine="0"/>
            </w:pPr>
            <w:r w:rsidRPr="004D46AC">
              <w:t>2</w:t>
            </w:r>
          </w:p>
        </w:tc>
        <w:tc>
          <w:tcPr>
            <w:tcW w:w="752" w:type="dxa"/>
            <w:vAlign w:val="center"/>
          </w:tcPr>
          <w:p w14:paraId="5D2F1B21" w14:textId="77777777" w:rsidR="009864DB" w:rsidRPr="004D46AC" w:rsidRDefault="009864DB" w:rsidP="009864DB">
            <w:pPr>
              <w:spacing w:line="240" w:lineRule="auto"/>
              <w:ind w:firstLine="0"/>
            </w:pPr>
            <w:r w:rsidRPr="004D46AC">
              <w:t>2</w:t>
            </w:r>
          </w:p>
        </w:tc>
        <w:tc>
          <w:tcPr>
            <w:tcW w:w="1296" w:type="dxa"/>
          </w:tcPr>
          <w:p w14:paraId="7330A816" w14:textId="77777777" w:rsidR="009864DB" w:rsidRPr="004D46AC" w:rsidRDefault="009864DB" w:rsidP="009864DB">
            <w:pPr>
              <w:spacing w:line="240" w:lineRule="auto"/>
              <w:ind w:firstLine="0"/>
            </w:pPr>
            <w:r w:rsidRPr="004D46AC">
              <w:t>990</w:t>
            </w:r>
          </w:p>
        </w:tc>
        <w:tc>
          <w:tcPr>
            <w:tcW w:w="752" w:type="dxa"/>
            <w:vAlign w:val="center"/>
          </w:tcPr>
          <w:p w14:paraId="2CAD51CC" w14:textId="77777777" w:rsidR="009864DB" w:rsidRPr="004D46AC" w:rsidRDefault="009864DB" w:rsidP="009864DB">
            <w:pPr>
              <w:spacing w:line="240" w:lineRule="auto"/>
              <w:ind w:firstLine="0"/>
            </w:pPr>
            <w:r w:rsidRPr="004D46AC">
              <w:t>NA</w:t>
            </w:r>
          </w:p>
        </w:tc>
        <w:tc>
          <w:tcPr>
            <w:tcW w:w="789" w:type="dxa"/>
            <w:gridSpan w:val="2"/>
            <w:vAlign w:val="center"/>
          </w:tcPr>
          <w:p w14:paraId="1027D80D" w14:textId="77777777" w:rsidR="009864DB" w:rsidRPr="004D46AC" w:rsidRDefault="009864DB" w:rsidP="009864DB">
            <w:pPr>
              <w:spacing w:line="240" w:lineRule="auto"/>
              <w:ind w:firstLine="0"/>
            </w:pPr>
            <w:r w:rsidRPr="004D46AC">
              <w:t>404</w:t>
            </w:r>
          </w:p>
        </w:tc>
      </w:tr>
      <w:tr w:rsidR="009864DB" w:rsidRPr="004D46AC" w14:paraId="74F43386" w14:textId="77777777" w:rsidTr="00B518F1">
        <w:tc>
          <w:tcPr>
            <w:tcW w:w="1476" w:type="dxa"/>
          </w:tcPr>
          <w:p w14:paraId="614953FA" w14:textId="77777777" w:rsidR="009864DB" w:rsidRPr="004D46AC" w:rsidRDefault="009864DB" w:rsidP="009864DB">
            <w:pPr>
              <w:spacing w:line="240" w:lineRule="auto"/>
              <w:ind w:firstLine="0"/>
            </w:pPr>
            <w:r w:rsidRPr="004D46AC">
              <w:fldChar w:fldCharType="begin">
                <w:fldData xml:space="preserve">PEVuZE5vdGU+PENpdGUgQXV0aG9yWWVhcj0iMSI+PEF1dGhvcj5GZWthZHU8L0F1dGhvcj48WWVh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instrText xml:space="preserve"> ADDIN EN.CITE </w:instrText>
            </w:r>
            <w:r w:rsidRPr="004D46AC">
              <w:fldChar w:fldCharType="begin">
                <w:fldData xml:space="preserve">PEVuZE5vdGU+PENpdGUgQXV0aG9yWWVhcj0iMSI+PEF1dGhvcj5GZWthZHU8L0F1dGhvcj48WWVh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instrText xml:space="preserve"> ADDIN EN.CITE.DATA </w:instrText>
            </w:r>
            <w:r w:rsidRPr="004D46AC">
              <w:fldChar w:fldCharType="end"/>
            </w:r>
            <w:r w:rsidRPr="004D46AC">
              <w:fldChar w:fldCharType="separate"/>
            </w:r>
            <w:r w:rsidRPr="004D46AC">
              <w:t>Fekadu et al. (2004)</w:t>
            </w:r>
            <w:r w:rsidRPr="004D46AC">
              <w:fldChar w:fldCharType="end"/>
            </w:r>
          </w:p>
        </w:tc>
        <w:tc>
          <w:tcPr>
            <w:tcW w:w="754" w:type="dxa"/>
            <w:vAlign w:val="center"/>
          </w:tcPr>
          <w:p w14:paraId="55278DE9" w14:textId="77777777" w:rsidR="009864DB" w:rsidRPr="004D46AC" w:rsidRDefault="009864DB" w:rsidP="009864DB">
            <w:pPr>
              <w:spacing w:line="240" w:lineRule="auto"/>
              <w:ind w:firstLine="0"/>
            </w:pPr>
            <w:r w:rsidRPr="004D46AC">
              <w:t>6</w:t>
            </w:r>
          </w:p>
        </w:tc>
        <w:tc>
          <w:tcPr>
            <w:tcW w:w="766" w:type="dxa"/>
            <w:vAlign w:val="center"/>
          </w:tcPr>
          <w:p w14:paraId="697C19A8" w14:textId="77777777" w:rsidR="009864DB" w:rsidRPr="004D46AC" w:rsidRDefault="009864DB" w:rsidP="009864DB">
            <w:pPr>
              <w:spacing w:line="240" w:lineRule="auto"/>
              <w:ind w:firstLine="0"/>
            </w:pPr>
            <w:r w:rsidRPr="004D46AC">
              <w:t>27</w:t>
            </w:r>
          </w:p>
        </w:tc>
        <w:tc>
          <w:tcPr>
            <w:tcW w:w="1096" w:type="dxa"/>
            <w:vAlign w:val="center"/>
          </w:tcPr>
          <w:p w14:paraId="58F11F17" w14:textId="77777777" w:rsidR="009864DB" w:rsidRPr="004D46AC" w:rsidRDefault="009864DB" w:rsidP="009864DB">
            <w:pPr>
              <w:spacing w:line="240" w:lineRule="auto"/>
              <w:ind w:firstLine="0"/>
            </w:pPr>
            <w:r w:rsidRPr="004D46AC">
              <w:t>ICD10</w:t>
            </w:r>
          </w:p>
        </w:tc>
        <w:tc>
          <w:tcPr>
            <w:tcW w:w="1415" w:type="dxa"/>
            <w:vAlign w:val="center"/>
          </w:tcPr>
          <w:p w14:paraId="3542A620" w14:textId="77777777" w:rsidR="009864DB" w:rsidRPr="004D46AC" w:rsidRDefault="009864DB" w:rsidP="009864DB">
            <w:pPr>
              <w:spacing w:line="240" w:lineRule="auto"/>
              <w:ind w:firstLine="0"/>
            </w:pPr>
            <w:r w:rsidRPr="004D46AC">
              <w:t>SCAN</w:t>
            </w:r>
          </w:p>
        </w:tc>
        <w:tc>
          <w:tcPr>
            <w:tcW w:w="876" w:type="dxa"/>
            <w:vAlign w:val="center"/>
          </w:tcPr>
          <w:p w14:paraId="58EBDB43" w14:textId="77777777" w:rsidR="009864DB" w:rsidRPr="004D46AC" w:rsidRDefault="009864DB" w:rsidP="009864DB">
            <w:pPr>
              <w:spacing w:line="240" w:lineRule="auto"/>
              <w:ind w:firstLine="0"/>
            </w:pPr>
            <w:r w:rsidRPr="004D46AC">
              <w:t>31</w:t>
            </w:r>
          </w:p>
        </w:tc>
        <w:tc>
          <w:tcPr>
            <w:tcW w:w="986" w:type="dxa"/>
            <w:vAlign w:val="center"/>
          </w:tcPr>
          <w:p w14:paraId="6B4777AC" w14:textId="77777777" w:rsidR="009864DB" w:rsidRPr="004D46AC" w:rsidRDefault="009864DB" w:rsidP="009864DB">
            <w:pPr>
              <w:spacing w:line="240" w:lineRule="auto"/>
              <w:ind w:firstLine="0"/>
            </w:pPr>
            <w:r w:rsidRPr="004D46AC">
              <w:t>1</w:t>
            </w:r>
          </w:p>
        </w:tc>
        <w:tc>
          <w:tcPr>
            <w:tcW w:w="751" w:type="dxa"/>
            <w:vAlign w:val="center"/>
          </w:tcPr>
          <w:p w14:paraId="2FC6F5A0" w14:textId="77777777" w:rsidR="009864DB" w:rsidRPr="004D46AC" w:rsidRDefault="009864DB" w:rsidP="009864DB">
            <w:pPr>
              <w:spacing w:line="240" w:lineRule="auto"/>
              <w:ind w:firstLine="0"/>
            </w:pPr>
            <w:r w:rsidRPr="004D46AC">
              <w:t>1</w:t>
            </w:r>
          </w:p>
        </w:tc>
        <w:tc>
          <w:tcPr>
            <w:tcW w:w="752" w:type="dxa"/>
            <w:vAlign w:val="center"/>
          </w:tcPr>
          <w:p w14:paraId="7EC9C394" w14:textId="77777777" w:rsidR="009864DB" w:rsidRPr="004D46AC" w:rsidRDefault="009864DB" w:rsidP="009864DB">
            <w:pPr>
              <w:spacing w:line="240" w:lineRule="auto"/>
              <w:ind w:firstLine="0"/>
            </w:pPr>
            <w:r w:rsidRPr="004D46AC">
              <w:t>0</w:t>
            </w:r>
          </w:p>
        </w:tc>
        <w:tc>
          <w:tcPr>
            <w:tcW w:w="1296" w:type="dxa"/>
          </w:tcPr>
          <w:p w14:paraId="1D60F769" w14:textId="77777777" w:rsidR="009864DB" w:rsidRPr="004D46AC" w:rsidRDefault="009864DB" w:rsidP="009864DB">
            <w:pPr>
              <w:spacing w:line="240" w:lineRule="auto"/>
              <w:ind w:firstLine="0"/>
            </w:pPr>
            <w:r w:rsidRPr="004D46AC">
              <w:t>7</w:t>
            </w:r>
          </w:p>
        </w:tc>
        <w:tc>
          <w:tcPr>
            <w:tcW w:w="752" w:type="dxa"/>
            <w:vAlign w:val="center"/>
          </w:tcPr>
          <w:p w14:paraId="2C002753" w14:textId="77777777" w:rsidR="009864DB" w:rsidRPr="004D46AC" w:rsidRDefault="009864DB" w:rsidP="009864DB">
            <w:pPr>
              <w:spacing w:line="240" w:lineRule="auto"/>
              <w:ind w:firstLine="0"/>
            </w:pPr>
            <w:r w:rsidRPr="004D46AC">
              <w:t>NA</w:t>
            </w:r>
          </w:p>
        </w:tc>
        <w:tc>
          <w:tcPr>
            <w:tcW w:w="789" w:type="dxa"/>
            <w:gridSpan w:val="2"/>
            <w:vAlign w:val="center"/>
          </w:tcPr>
          <w:p w14:paraId="1CF16D20" w14:textId="77777777" w:rsidR="009864DB" w:rsidRPr="004D46AC" w:rsidRDefault="009864DB" w:rsidP="009864DB">
            <w:pPr>
              <w:spacing w:line="240" w:lineRule="auto"/>
              <w:ind w:firstLine="0"/>
            </w:pPr>
            <w:r w:rsidRPr="004D46AC">
              <w:t>NA</w:t>
            </w:r>
          </w:p>
        </w:tc>
      </w:tr>
      <w:tr w:rsidR="009864DB" w:rsidRPr="004D46AC" w14:paraId="6320D096" w14:textId="77777777" w:rsidTr="00B518F1">
        <w:tc>
          <w:tcPr>
            <w:tcW w:w="1476" w:type="dxa"/>
          </w:tcPr>
          <w:p w14:paraId="57697FC8" w14:textId="77777777" w:rsidR="009864DB" w:rsidRPr="004D46AC" w:rsidRDefault="009864DB" w:rsidP="009864DB">
            <w:pPr>
              <w:spacing w:line="240" w:lineRule="auto"/>
              <w:ind w:firstLine="0"/>
            </w:pPr>
            <w:r w:rsidRPr="004D46AC">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 </w:instrText>
            </w:r>
            <w:r w:rsidRPr="004D46AC">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Kennedy et al. (2004)</w:t>
            </w:r>
            <w:r w:rsidRPr="004D46AC">
              <w:fldChar w:fldCharType="end"/>
            </w:r>
          </w:p>
        </w:tc>
        <w:tc>
          <w:tcPr>
            <w:tcW w:w="754" w:type="dxa"/>
            <w:vAlign w:val="center"/>
          </w:tcPr>
          <w:p w14:paraId="05580F46" w14:textId="77777777" w:rsidR="009864DB" w:rsidRPr="004D46AC" w:rsidRDefault="009864DB" w:rsidP="009864DB">
            <w:pPr>
              <w:spacing w:line="240" w:lineRule="auto"/>
              <w:ind w:firstLine="0"/>
            </w:pPr>
            <w:r w:rsidRPr="004D46AC">
              <w:t>4</w:t>
            </w:r>
          </w:p>
        </w:tc>
        <w:tc>
          <w:tcPr>
            <w:tcW w:w="766" w:type="dxa"/>
            <w:vAlign w:val="center"/>
          </w:tcPr>
          <w:p w14:paraId="1E4EAE53" w14:textId="77777777" w:rsidR="009864DB" w:rsidRPr="004D46AC" w:rsidRDefault="009864DB" w:rsidP="009864DB">
            <w:pPr>
              <w:spacing w:line="240" w:lineRule="auto"/>
              <w:ind w:firstLine="0"/>
            </w:pPr>
            <w:r w:rsidRPr="004D46AC">
              <w:t>NA</w:t>
            </w:r>
          </w:p>
        </w:tc>
        <w:tc>
          <w:tcPr>
            <w:tcW w:w="1096" w:type="dxa"/>
            <w:vAlign w:val="center"/>
          </w:tcPr>
          <w:p w14:paraId="4B825AFA" w14:textId="77777777" w:rsidR="009864DB" w:rsidRPr="004D46AC" w:rsidRDefault="009864DB" w:rsidP="009864DB">
            <w:pPr>
              <w:spacing w:line="240" w:lineRule="auto"/>
              <w:ind w:firstLine="0"/>
            </w:pPr>
            <w:r w:rsidRPr="004D46AC">
              <w:t>DSM4</w:t>
            </w:r>
          </w:p>
        </w:tc>
        <w:tc>
          <w:tcPr>
            <w:tcW w:w="1415" w:type="dxa"/>
            <w:vAlign w:val="center"/>
          </w:tcPr>
          <w:p w14:paraId="62E904D5" w14:textId="77777777" w:rsidR="009864DB" w:rsidRPr="004D46AC" w:rsidRDefault="009864DB" w:rsidP="009864DB">
            <w:pPr>
              <w:spacing w:line="240" w:lineRule="auto"/>
              <w:ind w:firstLine="0"/>
            </w:pPr>
            <w:r w:rsidRPr="004D46AC">
              <w:t>OPCRIT</w:t>
            </w:r>
          </w:p>
        </w:tc>
        <w:tc>
          <w:tcPr>
            <w:tcW w:w="876" w:type="dxa"/>
            <w:vAlign w:val="center"/>
          </w:tcPr>
          <w:p w14:paraId="206B3B51" w14:textId="77777777" w:rsidR="009864DB" w:rsidRPr="004D46AC" w:rsidRDefault="009864DB" w:rsidP="009864DB">
            <w:pPr>
              <w:spacing w:line="240" w:lineRule="auto"/>
              <w:ind w:firstLine="0"/>
            </w:pPr>
            <w:r w:rsidRPr="004D46AC">
              <w:t>246</w:t>
            </w:r>
          </w:p>
        </w:tc>
        <w:tc>
          <w:tcPr>
            <w:tcW w:w="986" w:type="dxa"/>
            <w:vAlign w:val="center"/>
          </w:tcPr>
          <w:p w14:paraId="4CCF6765" w14:textId="77777777" w:rsidR="009864DB" w:rsidRPr="004D46AC" w:rsidRDefault="009864DB" w:rsidP="009864DB">
            <w:pPr>
              <w:spacing w:line="240" w:lineRule="auto"/>
              <w:ind w:firstLine="0"/>
            </w:pPr>
            <w:r w:rsidRPr="004D46AC">
              <w:t>2</w:t>
            </w:r>
          </w:p>
        </w:tc>
        <w:tc>
          <w:tcPr>
            <w:tcW w:w="751" w:type="dxa"/>
            <w:vAlign w:val="center"/>
          </w:tcPr>
          <w:p w14:paraId="4BBE66C8" w14:textId="77777777" w:rsidR="009864DB" w:rsidRPr="004D46AC" w:rsidRDefault="009864DB" w:rsidP="009864DB">
            <w:pPr>
              <w:spacing w:line="240" w:lineRule="auto"/>
              <w:ind w:firstLine="0"/>
            </w:pPr>
            <w:r w:rsidRPr="004D46AC">
              <w:t>2</w:t>
            </w:r>
          </w:p>
        </w:tc>
        <w:tc>
          <w:tcPr>
            <w:tcW w:w="752" w:type="dxa"/>
            <w:vAlign w:val="center"/>
          </w:tcPr>
          <w:p w14:paraId="6279DF5F" w14:textId="77777777" w:rsidR="009864DB" w:rsidRPr="004D46AC" w:rsidRDefault="009864DB" w:rsidP="009864DB">
            <w:pPr>
              <w:spacing w:line="240" w:lineRule="auto"/>
              <w:ind w:firstLine="0"/>
            </w:pPr>
            <w:r w:rsidRPr="004D46AC">
              <w:t>0</w:t>
            </w:r>
          </w:p>
        </w:tc>
        <w:tc>
          <w:tcPr>
            <w:tcW w:w="1296" w:type="dxa"/>
          </w:tcPr>
          <w:p w14:paraId="787B1BBF" w14:textId="77777777" w:rsidR="009864DB" w:rsidRPr="004D46AC" w:rsidRDefault="009864DB" w:rsidP="009864DB">
            <w:pPr>
              <w:spacing w:line="240" w:lineRule="auto"/>
              <w:ind w:firstLine="0"/>
            </w:pPr>
            <w:r w:rsidRPr="004D46AC">
              <w:t>165</w:t>
            </w:r>
          </w:p>
        </w:tc>
        <w:tc>
          <w:tcPr>
            <w:tcW w:w="752" w:type="dxa"/>
            <w:vAlign w:val="center"/>
          </w:tcPr>
          <w:p w14:paraId="25E45F3B" w14:textId="77777777" w:rsidR="009864DB" w:rsidRPr="004D46AC" w:rsidRDefault="009864DB" w:rsidP="009864DB">
            <w:pPr>
              <w:spacing w:line="240" w:lineRule="auto"/>
              <w:ind w:firstLine="0"/>
            </w:pPr>
            <w:r w:rsidRPr="004D46AC">
              <w:t>NA</w:t>
            </w:r>
          </w:p>
        </w:tc>
        <w:tc>
          <w:tcPr>
            <w:tcW w:w="789" w:type="dxa"/>
            <w:gridSpan w:val="2"/>
            <w:vAlign w:val="center"/>
          </w:tcPr>
          <w:p w14:paraId="45262330" w14:textId="77777777" w:rsidR="009864DB" w:rsidRPr="004D46AC" w:rsidRDefault="009864DB" w:rsidP="009864DB">
            <w:pPr>
              <w:spacing w:line="240" w:lineRule="auto"/>
              <w:ind w:firstLine="0"/>
            </w:pPr>
            <w:r w:rsidRPr="004D46AC">
              <w:t>73</w:t>
            </w:r>
          </w:p>
        </w:tc>
      </w:tr>
      <w:tr w:rsidR="009864DB" w:rsidRPr="004D46AC" w14:paraId="43A50A33" w14:textId="77777777" w:rsidTr="00B518F1">
        <w:tc>
          <w:tcPr>
            <w:tcW w:w="1476" w:type="dxa"/>
          </w:tcPr>
          <w:p w14:paraId="7CEEF6C3"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AuthorYear="1"&gt;&lt;Author&gt;Benazzi&lt;/Author&gt;&lt;Year&gt;2003&lt;/Year&gt;&lt;RecNum&gt;86&lt;/RecNum&gt;&lt;DisplayText&gt;Benazzi (2003)&lt;/DisplayText&gt;&lt;record&gt;&lt;rec-number&gt;86&lt;/rec-number&gt;&lt;foreign-keys&gt;&lt;key app="EN" db-id="aet009sstawa0hewvt3xwf5atffdw2dt02sw" timestamp="1665243162"&gt;86&lt;/key&gt;&lt;/foreign-keys&gt;&lt;ref-type name="Journal Article"&gt;17&lt;/ref-type&gt;&lt;contributors&gt;&lt;authors&gt;&lt;author&gt;Benazzi, F.&lt;/author&gt;&lt;/authors&gt;&lt;/contributors&gt;&lt;auth-address&gt;Outpatient Psychiatry Center, Ravenna and Forli, Italy. f.benazzi@fo.nettuno.it&lt;/auth-address&gt;&lt;titles&gt;&lt;title&gt;The role of gender in depressive mixed state&lt;/title&gt;&lt;secondary-title&gt;Psychopathology&lt;/secondary-title&gt;&lt;/titles&gt;&lt;periodical&gt;&lt;full-title&gt;Psychopathology&lt;/full-title&gt;&lt;/periodical&gt;&lt;pages&gt;213-7&lt;/pages&gt;&lt;volume&gt;36&lt;/volume&gt;&lt;number&gt;4&lt;/number&gt;&lt;keywords&gt;&lt;keyword&gt;Adult&lt;/keyword&gt;&lt;keyword&gt;Age of Onset&lt;/keyword&gt;&lt;keyword&gt;Bipolar Disorder/*psychology&lt;/keyword&gt;&lt;keyword&gt;Depressive Disorder/*psychology&lt;/keyword&gt;&lt;keyword&gt;Diagnostic and Statistical Manual of Mental Disorders&lt;/keyword&gt;&lt;keyword&gt;Female&lt;/keyword&gt;&lt;keyword&gt;Humans&lt;/keyword&gt;&lt;keyword&gt;Male&lt;/keyword&gt;&lt;keyword&gt;Middle Aged&lt;/keyword&gt;&lt;keyword&gt;Outpatients&lt;/keyword&gt;&lt;keyword&gt;Prevalence&lt;/keyword&gt;&lt;keyword&gt;Psychomotor Agitation/etiology/psychology&lt;/keyword&gt;&lt;keyword&gt;Risk Factors&lt;/keyword&gt;&lt;keyword&gt;Severity of Illness Index&lt;/keyword&gt;&lt;keyword&gt;Sex Factors&lt;/keyword&gt;&lt;/keywords&gt;&lt;dates&gt;&lt;year&gt;2003&lt;/year&gt;&lt;pub-dates&gt;&lt;date&gt;Jul-Aug&lt;/date&gt;&lt;/pub-dates&gt;&lt;/dates&gt;&lt;isbn&gt;0254-4962 (Print)&amp;#xD;0254-4962 (Linking)&lt;/isbn&gt;&lt;accession-num&gt;14504456&lt;/accession-num&gt;&lt;urls&gt;&lt;related-urls&gt;&lt;url&gt;https://www.ncbi.nlm.nih.gov/pubmed/14504456&lt;/url&gt;&lt;/related-urls&gt;&lt;/urls&gt;&lt;electronic-resource-num&gt;10.1159/000072792&lt;/electronic-resource-num&gt;&lt;remote-database-name&gt;Medline&lt;/remote-database-name&gt;&lt;remote-database-provider&gt;NLM&lt;/remote-database-provider&gt;&lt;language&gt;eng&lt;/language&gt;&lt;/record&gt;&lt;/Cite&gt;&lt;/EndNote&gt;</w:instrText>
            </w:r>
            <w:r w:rsidRPr="004D46AC">
              <w:fldChar w:fldCharType="separate"/>
            </w:r>
            <w:r w:rsidRPr="004D46AC">
              <w:t>Benazzi (2003)</w:t>
            </w:r>
            <w:r w:rsidRPr="004D46AC">
              <w:fldChar w:fldCharType="end"/>
            </w:r>
          </w:p>
        </w:tc>
        <w:tc>
          <w:tcPr>
            <w:tcW w:w="754" w:type="dxa"/>
            <w:vAlign w:val="center"/>
          </w:tcPr>
          <w:p w14:paraId="767D82BC" w14:textId="77777777" w:rsidR="009864DB" w:rsidRPr="004D46AC" w:rsidRDefault="009864DB" w:rsidP="009864DB">
            <w:pPr>
              <w:spacing w:line="240" w:lineRule="auto"/>
              <w:ind w:firstLine="0"/>
            </w:pPr>
            <w:r w:rsidRPr="004D46AC">
              <w:t>7</w:t>
            </w:r>
          </w:p>
        </w:tc>
        <w:tc>
          <w:tcPr>
            <w:tcW w:w="766" w:type="dxa"/>
            <w:vAlign w:val="center"/>
          </w:tcPr>
          <w:p w14:paraId="480D55B7" w14:textId="77777777" w:rsidR="009864DB" w:rsidRPr="004D46AC" w:rsidRDefault="009864DB" w:rsidP="009864DB">
            <w:pPr>
              <w:spacing w:line="240" w:lineRule="auto"/>
              <w:ind w:firstLine="0"/>
            </w:pPr>
            <w:r w:rsidRPr="004D46AC">
              <w:t>41.7</w:t>
            </w:r>
          </w:p>
        </w:tc>
        <w:tc>
          <w:tcPr>
            <w:tcW w:w="1096" w:type="dxa"/>
            <w:vAlign w:val="center"/>
          </w:tcPr>
          <w:p w14:paraId="429E2B37" w14:textId="77777777" w:rsidR="009864DB" w:rsidRPr="004D46AC" w:rsidRDefault="009864DB" w:rsidP="009864DB">
            <w:pPr>
              <w:spacing w:line="240" w:lineRule="auto"/>
              <w:ind w:firstLine="0"/>
            </w:pPr>
            <w:r w:rsidRPr="004D46AC">
              <w:t>DSM4</w:t>
            </w:r>
          </w:p>
        </w:tc>
        <w:tc>
          <w:tcPr>
            <w:tcW w:w="1415" w:type="dxa"/>
            <w:vAlign w:val="center"/>
          </w:tcPr>
          <w:p w14:paraId="48ECBFBC" w14:textId="77777777" w:rsidR="009864DB" w:rsidRPr="004D46AC" w:rsidRDefault="009864DB" w:rsidP="009864DB">
            <w:pPr>
              <w:spacing w:line="240" w:lineRule="auto"/>
              <w:ind w:firstLine="0"/>
            </w:pPr>
            <w:r w:rsidRPr="004D46AC">
              <w:t>SCID-C</w:t>
            </w:r>
          </w:p>
        </w:tc>
        <w:tc>
          <w:tcPr>
            <w:tcW w:w="876" w:type="dxa"/>
            <w:vAlign w:val="center"/>
          </w:tcPr>
          <w:p w14:paraId="3D847892" w14:textId="77777777" w:rsidR="009864DB" w:rsidRPr="004D46AC" w:rsidRDefault="009864DB" w:rsidP="009864DB">
            <w:pPr>
              <w:spacing w:line="240" w:lineRule="auto"/>
              <w:ind w:firstLine="0"/>
            </w:pPr>
            <w:r w:rsidRPr="004D46AC">
              <w:t>260</w:t>
            </w:r>
          </w:p>
        </w:tc>
        <w:tc>
          <w:tcPr>
            <w:tcW w:w="986" w:type="dxa"/>
            <w:vAlign w:val="center"/>
          </w:tcPr>
          <w:p w14:paraId="1E125ABF" w14:textId="77777777" w:rsidR="009864DB" w:rsidRPr="004D46AC" w:rsidRDefault="009864DB" w:rsidP="009864DB">
            <w:pPr>
              <w:spacing w:line="240" w:lineRule="auto"/>
              <w:ind w:firstLine="0"/>
            </w:pPr>
            <w:r w:rsidRPr="004D46AC">
              <w:t>1</w:t>
            </w:r>
          </w:p>
        </w:tc>
        <w:tc>
          <w:tcPr>
            <w:tcW w:w="751" w:type="dxa"/>
            <w:vAlign w:val="center"/>
          </w:tcPr>
          <w:p w14:paraId="413025D5" w14:textId="77777777" w:rsidR="009864DB" w:rsidRPr="004D46AC" w:rsidRDefault="009864DB" w:rsidP="009864DB">
            <w:pPr>
              <w:spacing w:line="240" w:lineRule="auto"/>
              <w:ind w:firstLine="0"/>
            </w:pPr>
            <w:r w:rsidRPr="004D46AC">
              <w:t>0</w:t>
            </w:r>
          </w:p>
        </w:tc>
        <w:tc>
          <w:tcPr>
            <w:tcW w:w="752" w:type="dxa"/>
            <w:vAlign w:val="center"/>
          </w:tcPr>
          <w:p w14:paraId="6F282B0D" w14:textId="77777777" w:rsidR="009864DB" w:rsidRPr="004D46AC" w:rsidRDefault="009864DB" w:rsidP="009864DB">
            <w:pPr>
              <w:spacing w:line="240" w:lineRule="auto"/>
              <w:ind w:firstLine="0"/>
            </w:pPr>
            <w:r w:rsidRPr="004D46AC">
              <w:t>0</w:t>
            </w:r>
          </w:p>
        </w:tc>
        <w:tc>
          <w:tcPr>
            <w:tcW w:w="1296" w:type="dxa"/>
          </w:tcPr>
          <w:p w14:paraId="73088748" w14:textId="77777777" w:rsidR="009864DB" w:rsidRPr="004D46AC" w:rsidRDefault="009864DB" w:rsidP="009864DB">
            <w:pPr>
              <w:spacing w:line="240" w:lineRule="auto"/>
              <w:ind w:firstLine="0"/>
            </w:pPr>
            <w:r w:rsidRPr="004D46AC">
              <w:t>22</w:t>
            </w:r>
          </w:p>
        </w:tc>
        <w:tc>
          <w:tcPr>
            <w:tcW w:w="752" w:type="dxa"/>
            <w:vAlign w:val="center"/>
          </w:tcPr>
          <w:p w14:paraId="293AD536" w14:textId="77777777" w:rsidR="009864DB" w:rsidRPr="004D46AC" w:rsidRDefault="009864DB" w:rsidP="009864DB">
            <w:pPr>
              <w:spacing w:line="240" w:lineRule="auto"/>
              <w:ind w:firstLine="0"/>
            </w:pPr>
            <w:r w:rsidRPr="004D46AC">
              <w:t>NA</w:t>
            </w:r>
          </w:p>
        </w:tc>
        <w:tc>
          <w:tcPr>
            <w:tcW w:w="789" w:type="dxa"/>
            <w:gridSpan w:val="2"/>
            <w:vAlign w:val="center"/>
          </w:tcPr>
          <w:p w14:paraId="51123C6D" w14:textId="77777777" w:rsidR="009864DB" w:rsidRPr="004D46AC" w:rsidRDefault="009864DB" w:rsidP="009864DB">
            <w:pPr>
              <w:spacing w:line="240" w:lineRule="auto"/>
              <w:ind w:firstLine="0"/>
            </w:pPr>
            <w:r w:rsidRPr="004D46AC">
              <w:t>NA</w:t>
            </w:r>
          </w:p>
        </w:tc>
      </w:tr>
      <w:tr w:rsidR="009864DB" w:rsidRPr="004D46AC" w14:paraId="410388C2" w14:textId="77777777" w:rsidTr="00B518F1">
        <w:tc>
          <w:tcPr>
            <w:tcW w:w="1476" w:type="dxa"/>
          </w:tcPr>
          <w:p w14:paraId="2D850FE2"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AuthorYear="1"&gt;&lt;Author&gt;Neves&lt;/Author&gt;&lt;Year&gt;2009&lt;/Year&gt;&lt;RecNum&gt;894&lt;/RecNum&gt;&lt;DisplayText&gt;Neves et al. (2009)&lt;/DisplayText&gt;&lt;record&gt;&lt;rec-number&gt;894&lt;/rec-number&gt;&lt;foreign-keys&gt;&lt;key app="EN" db-id="aet009sstawa0hewvt3xwf5atffdw2dt02sw" timestamp="1740179203"&gt;894&lt;/key&gt;&lt;/foreign-keys&gt;&lt;ref-type name="Journal Article"&gt;17&lt;/ref-type&gt;&lt;contributors&gt;&lt;authors&gt;&lt;author&gt;Neves, F. S.&lt;/author&gt;&lt;author&gt;Malloy-Diniz, L. F.&lt;/author&gt;&lt;author&gt;Barbosa, I. G.&lt;/author&gt;&lt;author&gt;Brasil, P. M.&lt;/author&gt;&lt;author&gt;Correa, H.&lt;/author&gt;&lt;/authors&gt;&lt;/contributors&gt;&lt;auth-address&gt;Department of Mental Health, Medical School, Universidade Federal de Minas Gerais, Belo Horizonte, MG, Brazil.&lt;/auth-address&gt;&lt;titles&gt;&lt;title&gt;Bipolar disorder first episode and suicidal behavior: are there differences according to type of suicide attempt?&lt;/title&gt;&lt;secondary-title&gt;Braz J Psychiatry&lt;/secondary-title&gt;&lt;/titles&gt;&lt;periodical&gt;&lt;full-title&gt;Braz J Psychiatry&lt;/full-title&gt;&lt;/periodical&gt;&lt;pages&gt;114-8&lt;/pages&gt;&lt;volume&gt;31&lt;/volume&gt;&lt;number&gt;2&lt;/number&gt;&lt;keywords&gt;&lt;keyword&gt;Adult&lt;/keyword&gt;&lt;keyword&gt;Age of Onset&lt;/keyword&gt;&lt;keyword&gt;Analysis of Variance&lt;/keyword&gt;&lt;keyword&gt;Bipolar Disorder/diagnosis/*epidemiology/psychology&lt;/keyword&gt;&lt;keyword&gt;Brazil/epidemiology&lt;/keyword&gt;&lt;keyword&gt;Female&lt;/keyword&gt;&lt;keyword&gt;Humans&lt;/keyword&gt;&lt;keyword&gt;Interview, Psychological&lt;/keyword&gt;&lt;keyword&gt;Logistic Models&lt;/keyword&gt;&lt;keyword&gt;Male&lt;/keyword&gt;&lt;keyword&gt;Risk Factors&lt;/keyword&gt;&lt;keyword&gt;Suicide, Attempted/*psychology/*statistics &amp;amp; numerical data&lt;/keyword&gt;&lt;keyword&gt;*Violence&lt;/keyword&gt;&lt;/keywords&gt;&lt;dates&gt;&lt;year&gt;2009&lt;/year&gt;&lt;pub-dates&gt;&lt;date&gt;Jun&lt;/date&gt;&lt;/pub-dates&gt;&lt;/dates&gt;&lt;isbn&gt;1516-4446 (Print)&amp;#xD;1516-4446 (Linking)&lt;/isbn&gt;&lt;accession-num&gt;19578682&lt;/accession-num&gt;&lt;urls&gt;&lt;related-urls&gt;&lt;url&gt;https://www.ncbi.nlm.nih.gov/pubmed/19578682&lt;/url&gt;&lt;/related-urls&gt;&lt;/urls&gt;&lt;electronic-resource-num&gt;10.1590/s1516-44462009000200006&lt;/electronic-resource-num&gt;&lt;remote-database-name&gt;Medline&lt;/remote-database-name&gt;&lt;remote-database-provider&gt;NLM&lt;/remote-database-provider&gt;&lt;language&gt;eng&lt;/language&gt;&lt;/record&gt;&lt;/Cite&gt;&lt;/EndNote&gt;</w:instrText>
            </w:r>
            <w:r w:rsidRPr="004D46AC">
              <w:fldChar w:fldCharType="separate"/>
            </w:r>
            <w:r w:rsidRPr="004D46AC">
              <w:t>Neves et al. (2009)</w:t>
            </w:r>
            <w:r w:rsidRPr="004D46AC">
              <w:fldChar w:fldCharType="end"/>
            </w:r>
          </w:p>
        </w:tc>
        <w:tc>
          <w:tcPr>
            <w:tcW w:w="754" w:type="dxa"/>
            <w:vAlign w:val="center"/>
          </w:tcPr>
          <w:p w14:paraId="64BF2445" w14:textId="77777777" w:rsidR="009864DB" w:rsidRPr="004D46AC" w:rsidRDefault="009864DB" w:rsidP="009864DB">
            <w:pPr>
              <w:spacing w:line="240" w:lineRule="auto"/>
              <w:ind w:firstLine="0"/>
            </w:pPr>
            <w:r w:rsidRPr="004D46AC">
              <w:t>7</w:t>
            </w:r>
          </w:p>
        </w:tc>
        <w:tc>
          <w:tcPr>
            <w:tcW w:w="766" w:type="dxa"/>
            <w:vAlign w:val="center"/>
          </w:tcPr>
          <w:p w14:paraId="13DF5CBC" w14:textId="77777777" w:rsidR="009864DB" w:rsidRPr="004D46AC" w:rsidRDefault="009864DB" w:rsidP="009864DB">
            <w:pPr>
              <w:spacing w:line="240" w:lineRule="auto"/>
              <w:ind w:firstLine="0"/>
            </w:pPr>
            <w:r w:rsidRPr="004D46AC">
              <w:t>42.69</w:t>
            </w:r>
          </w:p>
        </w:tc>
        <w:tc>
          <w:tcPr>
            <w:tcW w:w="1096" w:type="dxa"/>
            <w:vAlign w:val="center"/>
          </w:tcPr>
          <w:p w14:paraId="7AF560D3" w14:textId="77777777" w:rsidR="009864DB" w:rsidRPr="004D46AC" w:rsidRDefault="009864DB" w:rsidP="009864DB">
            <w:pPr>
              <w:spacing w:line="240" w:lineRule="auto"/>
              <w:ind w:firstLine="0"/>
            </w:pPr>
            <w:r w:rsidRPr="004D46AC">
              <w:t>DSM4</w:t>
            </w:r>
          </w:p>
        </w:tc>
        <w:tc>
          <w:tcPr>
            <w:tcW w:w="1415" w:type="dxa"/>
            <w:vAlign w:val="center"/>
          </w:tcPr>
          <w:p w14:paraId="32907843" w14:textId="77777777" w:rsidR="009864DB" w:rsidRPr="004D46AC" w:rsidRDefault="009864DB" w:rsidP="009864DB">
            <w:pPr>
              <w:spacing w:line="240" w:lineRule="auto"/>
              <w:ind w:firstLine="0"/>
            </w:pPr>
            <w:r w:rsidRPr="004D46AC">
              <w:t>MINI</w:t>
            </w:r>
          </w:p>
        </w:tc>
        <w:tc>
          <w:tcPr>
            <w:tcW w:w="876" w:type="dxa"/>
            <w:vAlign w:val="center"/>
          </w:tcPr>
          <w:p w14:paraId="6B6274AF" w14:textId="77777777" w:rsidR="009864DB" w:rsidRPr="004D46AC" w:rsidRDefault="009864DB" w:rsidP="009864DB">
            <w:pPr>
              <w:spacing w:line="240" w:lineRule="auto"/>
              <w:ind w:firstLine="0"/>
            </w:pPr>
            <w:r w:rsidRPr="004D46AC">
              <w:t>168</w:t>
            </w:r>
          </w:p>
        </w:tc>
        <w:tc>
          <w:tcPr>
            <w:tcW w:w="986" w:type="dxa"/>
            <w:vAlign w:val="center"/>
          </w:tcPr>
          <w:p w14:paraId="3B234F51" w14:textId="77777777" w:rsidR="009864DB" w:rsidRPr="004D46AC" w:rsidRDefault="009864DB" w:rsidP="009864DB">
            <w:pPr>
              <w:spacing w:line="240" w:lineRule="auto"/>
              <w:ind w:firstLine="0"/>
            </w:pPr>
            <w:r w:rsidRPr="004D46AC">
              <w:t>2</w:t>
            </w:r>
          </w:p>
        </w:tc>
        <w:tc>
          <w:tcPr>
            <w:tcW w:w="751" w:type="dxa"/>
            <w:vAlign w:val="center"/>
          </w:tcPr>
          <w:p w14:paraId="54A6A613" w14:textId="77777777" w:rsidR="009864DB" w:rsidRPr="004D46AC" w:rsidRDefault="009864DB" w:rsidP="009864DB">
            <w:pPr>
              <w:spacing w:line="240" w:lineRule="auto"/>
              <w:ind w:firstLine="0"/>
            </w:pPr>
            <w:r w:rsidRPr="004D46AC">
              <w:t>1</w:t>
            </w:r>
          </w:p>
        </w:tc>
        <w:tc>
          <w:tcPr>
            <w:tcW w:w="752" w:type="dxa"/>
            <w:vAlign w:val="center"/>
          </w:tcPr>
          <w:p w14:paraId="183E03F7" w14:textId="77777777" w:rsidR="009864DB" w:rsidRPr="004D46AC" w:rsidRDefault="009864DB" w:rsidP="009864DB">
            <w:pPr>
              <w:spacing w:line="240" w:lineRule="auto"/>
              <w:ind w:firstLine="0"/>
            </w:pPr>
            <w:r w:rsidRPr="004D46AC">
              <w:t>2</w:t>
            </w:r>
          </w:p>
        </w:tc>
        <w:tc>
          <w:tcPr>
            <w:tcW w:w="1296" w:type="dxa"/>
            <w:vAlign w:val="center"/>
          </w:tcPr>
          <w:p w14:paraId="1E2AE523" w14:textId="77777777" w:rsidR="009864DB" w:rsidRPr="004D46AC" w:rsidRDefault="009864DB" w:rsidP="009864DB">
            <w:pPr>
              <w:spacing w:line="240" w:lineRule="auto"/>
              <w:ind w:firstLine="0"/>
            </w:pPr>
            <w:r w:rsidRPr="004D46AC">
              <w:t>32</w:t>
            </w:r>
          </w:p>
        </w:tc>
        <w:tc>
          <w:tcPr>
            <w:tcW w:w="752" w:type="dxa"/>
            <w:vAlign w:val="center"/>
          </w:tcPr>
          <w:p w14:paraId="6EA53159" w14:textId="77777777" w:rsidR="009864DB" w:rsidRPr="004D46AC" w:rsidRDefault="009864DB" w:rsidP="009864DB">
            <w:pPr>
              <w:spacing w:line="240" w:lineRule="auto"/>
              <w:ind w:firstLine="0"/>
            </w:pPr>
            <w:r w:rsidRPr="004D46AC">
              <w:t>NA</w:t>
            </w:r>
          </w:p>
        </w:tc>
        <w:tc>
          <w:tcPr>
            <w:tcW w:w="789" w:type="dxa"/>
            <w:gridSpan w:val="2"/>
            <w:vAlign w:val="center"/>
          </w:tcPr>
          <w:p w14:paraId="52632807" w14:textId="77777777" w:rsidR="009864DB" w:rsidRPr="004D46AC" w:rsidRDefault="009864DB" w:rsidP="009864DB">
            <w:pPr>
              <w:spacing w:line="240" w:lineRule="auto"/>
              <w:ind w:firstLine="0"/>
            </w:pPr>
            <w:r w:rsidRPr="004D46AC">
              <w:t>NA</w:t>
            </w:r>
          </w:p>
        </w:tc>
      </w:tr>
      <w:tr w:rsidR="009864DB" w:rsidRPr="004D46AC" w14:paraId="31AD9936" w14:textId="77777777" w:rsidTr="00B518F1">
        <w:tc>
          <w:tcPr>
            <w:tcW w:w="1476" w:type="dxa"/>
          </w:tcPr>
          <w:p w14:paraId="3FA249C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AuthorYear="1"&gt;&lt;Author&gt;Moon&lt;/Author&gt;&lt;Year&gt;2012&lt;/Year&gt;&lt;RecNum&gt;895&lt;/RecNum&gt;&lt;DisplayText&gt;Moon et al. (2012)&lt;/DisplayText&gt;&lt;record&gt;&lt;rec-number&gt;895&lt;/rec-number&gt;&lt;foreign-keys&gt;&lt;key app="EN" db-id="aet009sstawa0hewvt3xwf5atffdw2dt02sw" timestamp="1740179276"&gt;895&lt;/key&gt;&lt;/foreign-keys&gt;&lt;ref-type name="Journal Article"&gt;17&lt;/ref-type&gt;&lt;contributors&gt;&lt;authors&gt;&lt;author&gt;Moon, E.&lt;/author&gt;&lt;author&gt;Chang, J. S.&lt;/author&gt;&lt;author&gt;Kim, M. Y.&lt;/author&gt;&lt;author&gt;Seo, M. H.&lt;/author&gt;&lt;author&gt;Cha, B.&lt;/author&gt;&lt;author&gt;Ha, T. H.&lt;/author&gt;&lt;author&gt;Choi, S.&lt;/author&gt;&lt;author&gt;Cho, H. S.&lt;/author&gt;&lt;author&gt;Park, T.&lt;/author&gt;&lt;author&gt;Ha, K.&lt;/author&gt;&lt;/authors&gt;&lt;/contributors&gt;&lt;auth-address&gt;Department of Psychiatry, Pusan National University Hospital Medical Research Institute, Busan, Republic of Korea.&lt;/auth-address&gt;&lt;titles&gt;&lt;title&gt;Dropout rate and associated factors in patients with bipolar disorders&lt;/title&gt;&lt;secondary-title&gt;J Affect Disord&lt;/secondary-title&gt;&lt;/titles&gt;&lt;periodical&gt;&lt;full-title&gt;J Affect Disord&lt;/full-title&gt;&lt;/periodical&gt;&lt;pages&gt;47-54&lt;/pages&gt;&lt;volume&gt;141&lt;/volume&gt;&lt;number&gt;1&lt;/number&gt;&lt;edition&gt;20120310&lt;/edition&gt;&lt;keywords&gt;&lt;keyword&gt;Adult&lt;/keyword&gt;&lt;keyword&gt;Attitude to Health&lt;/keyword&gt;&lt;keyword&gt;Bipolar Disorder/drug therapy/*epidemiology&lt;/keyword&gt;&lt;keyword&gt;Female&lt;/keyword&gt;&lt;keyword&gt;Health Services Accessibility&lt;/keyword&gt;&lt;keyword&gt;Humans&lt;/keyword&gt;&lt;keyword&gt;Male&lt;/keyword&gt;&lt;keyword&gt;Middle Aged&lt;/keyword&gt;&lt;keyword&gt;Patient Dropouts/*statistics &amp;amp; numerical data&lt;/keyword&gt;&lt;keyword&gt;Proportional Hazards Models&lt;/keyword&gt;&lt;keyword&gt;Republic of Korea&lt;/keyword&gt;&lt;/keywords&gt;&lt;dates&gt;&lt;year&gt;2012&lt;/year&gt;&lt;pub-dates&gt;&lt;date&gt;Dec 1&lt;/date&gt;&lt;/pub-dates&gt;&lt;/dates&gt;&lt;isbn&gt;1573-2517 (Electronic)&amp;#xD;0165-0327 (Linking)&lt;/isbn&gt;&lt;accession-num&gt;22410504&lt;/accession-num&gt;&lt;urls&gt;&lt;related-urls&gt;&lt;url&gt;https://www.ncbi.nlm.nih.gov/pubmed/22410504&lt;/url&gt;&lt;/related-urls&gt;&lt;/urls&gt;&lt;electronic-resource-num&gt;10.1016/j.jad.2012.02.025&lt;/electronic-resource-num&gt;&lt;remote-database-name&gt;Medline&lt;/remote-database-name&gt;&lt;remote-database-provider&gt;NLM&lt;/remote-database-provider&gt;&lt;language&gt;eng&lt;/language&gt;&lt;/record&gt;&lt;/Cite&gt;&lt;/EndNote&gt;</w:instrText>
            </w:r>
            <w:r w:rsidRPr="004D46AC">
              <w:fldChar w:fldCharType="separate"/>
            </w:r>
            <w:r w:rsidRPr="004D46AC">
              <w:t>Moon et al. (2012)</w:t>
            </w:r>
            <w:r w:rsidRPr="004D46AC">
              <w:fldChar w:fldCharType="end"/>
            </w:r>
          </w:p>
        </w:tc>
        <w:tc>
          <w:tcPr>
            <w:tcW w:w="754" w:type="dxa"/>
            <w:vAlign w:val="center"/>
          </w:tcPr>
          <w:p w14:paraId="4FF42B55" w14:textId="77777777" w:rsidR="009864DB" w:rsidRPr="004D46AC" w:rsidRDefault="009864DB" w:rsidP="009864DB">
            <w:pPr>
              <w:spacing w:line="240" w:lineRule="auto"/>
              <w:ind w:firstLine="0"/>
            </w:pPr>
            <w:r w:rsidRPr="004D46AC">
              <w:t>5</w:t>
            </w:r>
          </w:p>
        </w:tc>
        <w:tc>
          <w:tcPr>
            <w:tcW w:w="766" w:type="dxa"/>
            <w:vAlign w:val="center"/>
          </w:tcPr>
          <w:p w14:paraId="652F3AE3" w14:textId="77777777" w:rsidR="009864DB" w:rsidRPr="004D46AC" w:rsidRDefault="009864DB" w:rsidP="009864DB">
            <w:pPr>
              <w:spacing w:line="240" w:lineRule="auto"/>
              <w:ind w:firstLine="0"/>
            </w:pPr>
            <w:r w:rsidRPr="004D46AC">
              <w:t>39.4</w:t>
            </w:r>
          </w:p>
        </w:tc>
        <w:tc>
          <w:tcPr>
            <w:tcW w:w="1096" w:type="dxa"/>
            <w:vAlign w:val="center"/>
          </w:tcPr>
          <w:p w14:paraId="5FF2FC97" w14:textId="77777777" w:rsidR="009864DB" w:rsidRPr="004D46AC" w:rsidRDefault="009864DB" w:rsidP="009864DB">
            <w:pPr>
              <w:spacing w:line="240" w:lineRule="auto"/>
              <w:ind w:firstLine="0"/>
            </w:pPr>
            <w:r w:rsidRPr="004D46AC">
              <w:t>DSM4</w:t>
            </w:r>
          </w:p>
        </w:tc>
        <w:tc>
          <w:tcPr>
            <w:tcW w:w="1415" w:type="dxa"/>
            <w:vAlign w:val="center"/>
          </w:tcPr>
          <w:p w14:paraId="07D11CCD" w14:textId="77777777" w:rsidR="009864DB" w:rsidRPr="004D46AC" w:rsidRDefault="009864DB" w:rsidP="009864DB">
            <w:pPr>
              <w:spacing w:line="240" w:lineRule="auto"/>
              <w:ind w:firstLine="0"/>
            </w:pPr>
            <w:r w:rsidRPr="004D46AC">
              <w:t>unclear</w:t>
            </w:r>
          </w:p>
        </w:tc>
        <w:tc>
          <w:tcPr>
            <w:tcW w:w="876" w:type="dxa"/>
            <w:vAlign w:val="center"/>
          </w:tcPr>
          <w:p w14:paraId="7C4AA62E" w14:textId="77777777" w:rsidR="009864DB" w:rsidRPr="004D46AC" w:rsidRDefault="009864DB" w:rsidP="009864DB">
            <w:pPr>
              <w:spacing w:line="240" w:lineRule="auto"/>
              <w:ind w:firstLine="0"/>
            </w:pPr>
            <w:r w:rsidRPr="004D46AC">
              <w:t>275</w:t>
            </w:r>
          </w:p>
        </w:tc>
        <w:tc>
          <w:tcPr>
            <w:tcW w:w="986" w:type="dxa"/>
            <w:vAlign w:val="center"/>
          </w:tcPr>
          <w:p w14:paraId="56D63E60" w14:textId="77777777" w:rsidR="009864DB" w:rsidRPr="004D46AC" w:rsidRDefault="009864DB" w:rsidP="009864DB">
            <w:pPr>
              <w:spacing w:line="240" w:lineRule="auto"/>
              <w:ind w:firstLine="0"/>
            </w:pPr>
            <w:r w:rsidRPr="004D46AC">
              <w:t>1</w:t>
            </w:r>
          </w:p>
        </w:tc>
        <w:tc>
          <w:tcPr>
            <w:tcW w:w="751" w:type="dxa"/>
            <w:vAlign w:val="center"/>
          </w:tcPr>
          <w:p w14:paraId="7423D8E4" w14:textId="77777777" w:rsidR="009864DB" w:rsidRPr="004D46AC" w:rsidRDefault="009864DB" w:rsidP="009864DB">
            <w:pPr>
              <w:spacing w:line="240" w:lineRule="auto"/>
              <w:ind w:firstLine="0"/>
            </w:pPr>
            <w:r w:rsidRPr="004D46AC">
              <w:t>1</w:t>
            </w:r>
          </w:p>
        </w:tc>
        <w:tc>
          <w:tcPr>
            <w:tcW w:w="752" w:type="dxa"/>
            <w:vAlign w:val="center"/>
          </w:tcPr>
          <w:p w14:paraId="1E4491E0" w14:textId="77777777" w:rsidR="009864DB" w:rsidRPr="004D46AC" w:rsidRDefault="009864DB" w:rsidP="009864DB">
            <w:pPr>
              <w:spacing w:line="240" w:lineRule="auto"/>
              <w:ind w:firstLine="0"/>
            </w:pPr>
            <w:r w:rsidRPr="004D46AC">
              <w:t>2</w:t>
            </w:r>
          </w:p>
        </w:tc>
        <w:tc>
          <w:tcPr>
            <w:tcW w:w="1296" w:type="dxa"/>
            <w:vAlign w:val="center"/>
          </w:tcPr>
          <w:p w14:paraId="479CF958" w14:textId="77777777" w:rsidR="009864DB" w:rsidRPr="004D46AC" w:rsidRDefault="009864DB" w:rsidP="009864DB">
            <w:pPr>
              <w:spacing w:line="240" w:lineRule="auto"/>
              <w:ind w:firstLine="0"/>
            </w:pPr>
            <w:r w:rsidRPr="004D46AC">
              <w:t>73</w:t>
            </w:r>
          </w:p>
        </w:tc>
        <w:tc>
          <w:tcPr>
            <w:tcW w:w="752" w:type="dxa"/>
            <w:vAlign w:val="center"/>
          </w:tcPr>
          <w:p w14:paraId="6C167CEF" w14:textId="77777777" w:rsidR="009864DB" w:rsidRPr="004D46AC" w:rsidRDefault="009864DB" w:rsidP="009864DB">
            <w:pPr>
              <w:spacing w:line="240" w:lineRule="auto"/>
              <w:ind w:firstLine="0"/>
            </w:pPr>
            <w:r w:rsidRPr="004D46AC">
              <w:t>NA</w:t>
            </w:r>
          </w:p>
        </w:tc>
        <w:tc>
          <w:tcPr>
            <w:tcW w:w="789" w:type="dxa"/>
            <w:gridSpan w:val="2"/>
            <w:vAlign w:val="center"/>
          </w:tcPr>
          <w:p w14:paraId="35C3C01B" w14:textId="77777777" w:rsidR="009864DB" w:rsidRPr="004D46AC" w:rsidRDefault="009864DB" w:rsidP="009864DB">
            <w:pPr>
              <w:spacing w:line="240" w:lineRule="auto"/>
              <w:ind w:firstLine="0"/>
            </w:pPr>
            <w:r w:rsidRPr="004D46AC">
              <w:t>NA</w:t>
            </w:r>
          </w:p>
        </w:tc>
      </w:tr>
      <w:tr w:rsidR="009864DB" w:rsidRPr="004D46AC" w14:paraId="3B34226F" w14:textId="77777777" w:rsidTr="00B518F1">
        <w:tc>
          <w:tcPr>
            <w:tcW w:w="1476" w:type="dxa"/>
          </w:tcPr>
          <w:p w14:paraId="6BDB7871" w14:textId="77777777" w:rsidR="009864DB" w:rsidRPr="004D46AC" w:rsidRDefault="009864DB" w:rsidP="009864DB">
            <w:pPr>
              <w:spacing w:line="240" w:lineRule="auto"/>
              <w:ind w:firstLine="0"/>
            </w:pPr>
            <w:r w:rsidRPr="004D46AC">
              <w:fldChar w:fldCharType="begin">
                <w:fldData xml:space="preserve">PEVuZE5vdGU+PENpdGUgQXV0aG9yWWVhcj0iMSI+PEF1dGhvcj5LZXJhbWF0aWFuPC9BdXRob3I+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</w:fldData>
              </w:fldChar>
            </w:r>
            <w:r w:rsidRPr="004D46AC">
              <w:instrText xml:space="preserve"> ADDIN EN.CITE </w:instrText>
            </w:r>
            <w:r w:rsidRPr="004D46AC">
              <w:fldChar w:fldCharType="begin">
                <w:fldData xml:space="preserve">PEVuZE5vdGU+PENpdGUgQXV0aG9yWWVhcj0iMSI+PEF1dGhvcj5LZXJhbWF0aWFuPC9BdXRob3I+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</w:fldData>
              </w:fldChar>
            </w:r>
            <w:r w:rsidRPr="004D46AC">
              <w:instrText xml:space="preserve"> ADDIN EN.CITE.DATA </w:instrText>
            </w:r>
            <w:r w:rsidRPr="004D46AC">
              <w:fldChar w:fldCharType="end"/>
            </w:r>
            <w:r w:rsidRPr="004D46AC">
              <w:fldChar w:fldCharType="separate"/>
            </w:r>
            <w:r w:rsidRPr="004D46AC">
              <w:t>Keramatian et al. (2022)</w:t>
            </w:r>
            <w:r w:rsidRPr="004D46AC">
              <w:fldChar w:fldCharType="end"/>
            </w:r>
          </w:p>
        </w:tc>
        <w:tc>
          <w:tcPr>
            <w:tcW w:w="754" w:type="dxa"/>
            <w:vAlign w:val="center"/>
          </w:tcPr>
          <w:p w14:paraId="5DA8805C" w14:textId="77777777" w:rsidR="009864DB" w:rsidRPr="004D46AC" w:rsidRDefault="009864DB" w:rsidP="009864DB">
            <w:pPr>
              <w:spacing w:line="240" w:lineRule="auto"/>
              <w:ind w:firstLine="0"/>
            </w:pPr>
            <w:r w:rsidRPr="004D46AC">
              <w:t>5</w:t>
            </w:r>
          </w:p>
        </w:tc>
        <w:tc>
          <w:tcPr>
            <w:tcW w:w="766" w:type="dxa"/>
            <w:vAlign w:val="center"/>
          </w:tcPr>
          <w:p w14:paraId="24512643" w14:textId="77777777" w:rsidR="009864DB" w:rsidRPr="004D46AC" w:rsidRDefault="009864DB" w:rsidP="009864DB">
            <w:pPr>
              <w:spacing w:line="240" w:lineRule="auto"/>
              <w:ind w:firstLine="0"/>
            </w:pPr>
            <w:r w:rsidRPr="004D46AC">
              <w:t>42</w:t>
            </w:r>
          </w:p>
        </w:tc>
        <w:tc>
          <w:tcPr>
            <w:tcW w:w="1096" w:type="dxa"/>
            <w:vAlign w:val="center"/>
          </w:tcPr>
          <w:p w14:paraId="58358DD6" w14:textId="77777777" w:rsidR="009864DB" w:rsidRPr="004D46AC" w:rsidRDefault="009864DB" w:rsidP="009864DB">
            <w:pPr>
              <w:spacing w:line="240" w:lineRule="auto"/>
              <w:ind w:firstLine="0"/>
            </w:pPr>
            <w:r w:rsidRPr="004D46AC">
              <w:t>DSM4</w:t>
            </w:r>
          </w:p>
        </w:tc>
        <w:tc>
          <w:tcPr>
            <w:tcW w:w="1415" w:type="dxa"/>
            <w:vAlign w:val="center"/>
          </w:tcPr>
          <w:p w14:paraId="198F3F1C" w14:textId="77777777" w:rsidR="009864DB" w:rsidRPr="004D46AC" w:rsidRDefault="009864DB" w:rsidP="009864DB">
            <w:pPr>
              <w:spacing w:line="240" w:lineRule="auto"/>
              <w:ind w:firstLine="0"/>
            </w:pPr>
            <w:r w:rsidRPr="004D46AC">
              <w:t>MINI</w:t>
            </w:r>
          </w:p>
        </w:tc>
        <w:tc>
          <w:tcPr>
            <w:tcW w:w="876" w:type="dxa"/>
            <w:vAlign w:val="center"/>
          </w:tcPr>
          <w:p w14:paraId="2774CC05" w14:textId="77777777" w:rsidR="009864DB" w:rsidRPr="004D46AC" w:rsidRDefault="009864DB" w:rsidP="009864DB">
            <w:pPr>
              <w:spacing w:line="240" w:lineRule="auto"/>
              <w:ind w:firstLine="0"/>
            </w:pPr>
            <w:r w:rsidRPr="004D46AC">
              <w:t>319</w:t>
            </w:r>
          </w:p>
        </w:tc>
        <w:tc>
          <w:tcPr>
            <w:tcW w:w="986" w:type="dxa"/>
            <w:vAlign w:val="center"/>
          </w:tcPr>
          <w:p w14:paraId="46C3B428" w14:textId="77777777" w:rsidR="009864DB" w:rsidRPr="004D46AC" w:rsidRDefault="009864DB" w:rsidP="009864DB">
            <w:pPr>
              <w:spacing w:line="240" w:lineRule="auto"/>
              <w:ind w:firstLine="0"/>
            </w:pPr>
            <w:r w:rsidRPr="004D46AC">
              <w:t>2</w:t>
            </w:r>
          </w:p>
        </w:tc>
        <w:tc>
          <w:tcPr>
            <w:tcW w:w="751" w:type="dxa"/>
            <w:vAlign w:val="center"/>
          </w:tcPr>
          <w:p w14:paraId="5CE3424A" w14:textId="77777777" w:rsidR="009864DB" w:rsidRPr="004D46AC" w:rsidRDefault="009864DB" w:rsidP="009864DB">
            <w:pPr>
              <w:spacing w:line="240" w:lineRule="auto"/>
              <w:ind w:firstLine="0"/>
            </w:pPr>
            <w:r w:rsidRPr="004D46AC">
              <w:t>1</w:t>
            </w:r>
          </w:p>
        </w:tc>
        <w:tc>
          <w:tcPr>
            <w:tcW w:w="752" w:type="dxa"/>
            <w:vAlign w:val="center"/>
          </w:tcPr>
          <w:p w14:paraId="1572EFF8" w14:textId="77777777" w:rsidR="009864DB" w:rsidRPr="004D46AC" w:rsidRDefault="009864DB" w:rsidP="009864DB">
            <w:pPr>
              <w:spacing w:line="240" w:lineRule="auto"/>
              <w:ind w:firstLine="0"/>
            </w:pPr>
            <w:r w:rsidRPr="004D46AC">
              <w:t>2</w:t>
            </w:r>
          </w:p>
        </w:tc>
        <w:tc>
          <w:tcPr>
            <w:tcW w:w="1296" w:type="dxa"/>
            <w:vAlign w:val="center"/>
          </w:tcPr>
          <w:p w14:paraId="756CC3D3" w14:textId="77777777" w:rsidR="009864DB" w:rsidRPr="004D46AC" w:rsidRDefault="009864DB" w:rsidP="009864DB">
            <w:pPr>
              <w:spacing w:line="240" w:lineRule="auto"/>
              <w:ind w:firstLine="0"/>
            </w:pPr>
            <w:r w:rsidRPr="004D46AC">
              <w:t>143</w:t>
            </w:r>
          </w:p>
        </w:tc>
        <w:tc>
          <w:tcPr>
            <w:tcW w:w="752" w:type="dxa"/>
            <w:vAlign w:val="center"/>
          </w:tcPr>
          <w:p w14:paraId="68A16179" w14:textId="77777777" w:rsidR="009864DB" w:rsidRPr="004D46AC" w:rsidRDefault="009864DB" w:rsidP="009864DB">
            <w:pPr>
              <w:spacing w:line="240" w:lineRule="auto"/>
              <w:ind w:firstLine="0"/>
            </w:pPr>
            <w:r w:rsidRPr="004D46AC">
              <w:t>NA</w:t>
            </w:r>
          </w:p>
        </w:tc>
        <w:tc>
          <w:tcPr>
            <w:tcW w:w="789" w:type="dxa"/>
            <w:gridSpan w:val="2"/>
            <w:vAlign w:val="center"/>
          </w:tcPr>
          <w:p w14:paraId="1225477C" w14:textId="77777777" w:rsidR="009864DB" w:rsidRPr="004D46AC" w:rsidRDefault="009864DB" w:rsidP="009864DB">
            <w:pPr>
              <w:spacing w:line="240" w:lineRule="auto"/>
              <w:ind w:firstLine="0"/>
            </w:pPr>
            <w:r w:rsidRPr="004D46AC">
              <w:t>NA</w:t>
            </w:r>
          </w:p>
        </w:tc>
      </w:tr>
      <w:tr w:rsidR="009864DB" w:rsidRPr="004D46AC" w14:paraId="227522E7" w14:textId="77777777" w:rsidTr="00B518F1">
        <w:tc>
          <w:tcPr>
            <w:tcW w:w="1476" w:type="dxa"/>
          </w:tcPr>
          <w:p w14:paraId="5A19D39D"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AuthorYear="1"&gt;&lt;Author&gt;Ozyildirim&lt;/Author&gt;&lt;Year&gt;2010&lt;/Year&gt;&lt;RecNum&gt;897&lt;/RecNum&gt;&lt;DisplayText&gt;Ozyildirim et al. (2010)&lt;/DisplayText&gt;&lt;record&gt;&lt;rec-number&gt;897&lt;/rec-number&gt;&lt;foreign-keys&gt;&lt;key app="EN" db-id="aet009sstawa0hewvt3xwf5atffdw2dt02sw" timestamp="1740179518"&gt;897&lt;/key&gt;&lt;/foreign-keys&gt;&lt;ref-type name="Journal Article"&gt;17&lt;/ref-type&gt;&lt;contributors&gt;&lt;authors&gt;&lt;author&gt;Ozyildirim, I.&lt;/author&gt;&lt;author&gt;Cakir, S.&lt;/author&gt;&lt;author&gt;Yazici, O.&lt;/author&gt;&lt;/authors&gt;&lt;/contributors&gt;&lt;auth-address&gt;Department of Psychiatry, Unye State Hospital, 52300 Ordu, Turkey. ilkerozy@yahoo.com&lt;/auth-address&gt;&lt;titles&gt;&lt;title&gt;Impact of psychotic features on morbidity and course of illness in patients with bipolar disorder&lt;/title&gt;&lt;secondary-title&gt;Eur Psychiatry&lt;/secondary-title&gt;&lt;/titles&gt;&lt;periodical&gt;&lt;full-title&gt;Eur Psychiatry&lt;/full-title&gt;&lt;/periodical&gt;&lt;pages&gt;47-51&lt;/pages&gt;&lt;volume&gt;25&lt;/volume&gt;&lt;number&gt;1&lt;/number&gt;&lt;edition&gt;20091118&lt;/edition&gt;&lt;keywords&gt;&lt;keyword&gt;Adult&lt;/keyword&gt;&lt;keyword&gt;Bipolar Disorder/diagnosis/*epidemiology/*psychology&lt;/keyword&gt;&lt;keyword&gt;Comorbidity&lt;/keyword&gt;&lt;keyword&gt;Diagnostic and Statistical Manual of Mental Disorders&lt;/keyword&gt;&lt;keyword&gt;Female&lt;/keyword&gt;&lt;keyword&gt;Humans&lt;/keyword&gt;&lt;keyword&gt;Male&lt;/keyword&gt;&lt;keyword&gt;Psychotic Disorders/diagnosis/*epidemiology/*psychology&lt;/keyword&gt;&lt;keyword&gt;Suicide, Attempted/psychology/statistics &amp;amp; numerical data&lt;/keyword&gt;&lt;/keywords&gt;&lt;dates&gt;&lt;year&gt;2010&lt;/year&gt;&lt;pub-dates&gt;&lt;date&gt;Jan&lt;/date&gt;&lt;/pub-dates&gt;&lt;/dates&gt;&lt;isbn&gt;1778-3585 (Electronic)&amp;#xD;0924-9338 (Linking)&lt;/isbn&gt;&lt;accession-num&gt;19926262&lt;/accession-num&gt;&lt;urls&gt;&lt;related-urls&gt;&lt;url&gt;https://www.ncbi.nlm.nih.gov/pubmed/19926262&lt;/url&gt;&lt;/related-urls&gt;&lt;/urls&gt;&lt;electronic-resource-num&gt;10.1016/j.eurpsy.2009.08.004&lt;/electronic-resource-num&gt;&lt;remote-database-name&gt;Medline&lt;/remote-database-name&gt;&lt;remote-database-provider&gt;NLM&lt;/remote-database-provider&gt;&lt;language&gt;eng&lt;/language&gt;&lt;/record&gt;&lt;/Cite&gt;&lt;/EndNote&gt;</w:instrText>
            </w:r>
            <w:r w:rsidRPr="004D46AC">
              <w:fldChar w:fldCharType="separate"/>
            </w:r>
            <w:r w:rsidRPr="004D46AC">
              <w:t>Ozyildirim et al. (2010)</w:t>
            </w:r>
            <w:r w:rsidRPr="004D46AC">
              <w:fldChar w:fldCharType="end"/>
            </w:r>
          </w:p>
        </w:tc>
        <w:tc>
          <w:tcPr>
            <w:tcW w:w="754" w:type="dxa"/>
            <w:vAlign w:val="center"/>
          </w:tcPr>
          <w:p w14:paraId="2BD81F54" w14:textId="77777777" w:rsidR="009864DB" w:rsidRPr="004D46AC" w:rsidRDefault="009864DB" w:rsidP="009864DB">
            <w:pPr>
              <w:spacing w:line="240" w:lineRule="auto"/>
              <w:ind w:firstLine="0"/>
            </w:pPr>
            <w:r w:rsidRPr="004D46AC">
              <w:t>5</w:t>
            </w:r>
          </w:p>
        </w:tc>
        <w:tc>
          <w:tcPr>
            <w:tcW w:w="766" w:type="dxa"/>
            <w:vAlign w:val="center"/>
          </w:tcPr>
          <w:p w14:paraId="1D36A592" w14:textId="77777777" w:rsidR="009864DB" w:rsidRPr="004D46AC" w:rsidRDefault="009864DB" w:rsidP="009864DB">
            <w:pPr>
              <w:spacing w:line="240" w:lineRule="auto"/>
              <w:ind w:firstLine="0"/>
            </w:pPr>
            <w:r w:rsidRPr="004D46AC">
              <w:t>NA</w:t>
            </w:r>
          </w:p>
        </w:tc>
        <w:tc>
          <w:tcPr>
            <w:tcW w:w="1096" w:type="dxa"/>
            <w:vAlign w:val="center"/>
          </w:tcPr>
          <w:p w14:paraId="547A9387" w14:textId="77777777" w:rsidR="009864DB" w:rsidRPr="004D46AC" w:rsidRDefault="009864DB" w:rsidP="009864DB">
            <w:pPr>
              <w:spacing w:line="240" w:lineRule="auto"/>
              <w:ind w:firstLine="0"/>
            </w:pPr>
            <w:r w:rsidRPr="004D46AC">
              <w:t>DSM4</w:t>
            </w:r>
          </w:p>
        </w:tc>
        <w:tc>
          <w:tcPr>
            <w:tcW w:w="1415" w:type="dxa"/>
            <w:vAlign w:val="center"/>
          </w:tcPr>
          <w:p w14:paraId="7D7A7270" w14:textId="77777777" w:rsidR="009864DB" w:rsidRPr="004D46AC" w:rsidRDefault="009864DB" w:rsidP="009864DB">
            <w:pPr>
              <w:spacing w:line="240" w:lineRule="auto"/>
              <w:ind w:firstLine="0"/>
            </w:pPr>
            <w:r w:rsidRPr="004D46AC">
              <w:t>unclear</w:t>
            </w:r>
          </w:p>
        </w:tc>
        <w:tc>
          <w:tcPr>
            <w:tcW w:w="876" w:type="dxa"/>
            <w:vAlign w:val="center"/>
          </w:tcPr>
          <w:p w14:paraId="5D852F11" w14:textId="77777777" w:rsidR="009864DB" w:rsidRPr="004D46AC" w:rsidRDefault="009864DB" w:rsidP="009864DB">
            <w:pPr>
              <w:spacing w:line="240" w:lineRule="auto"/>
              <w:ind w:firstLine="0"/>
            </w:pPr>
            <w:r w:rsidRPr="004D46AC">
              <w:t>281</w:t>
            </w:r>
          </w:p>
        </w:tc>
        <w:tc>
          <w:tcPr>
            <w:tcW w:w="986" w:type="dxa"/>
            <w:vAlign w:val="center"/>
          </w:tcPr>
          <w:p w14:paraId="596B8D18" w14:textId="77777777" w:rsidR="009864DB" w:rsidRPr="004D46AC" w:rsidRDefault="009864DB" w:rsidP="009864DB">
            <w:pPr>
              <w:spacing w:line="240" w:lineRule="auto"/>
              <w:ind w:firstLine="0"/>
            </w:pPr>
            <w:r w:rsidRPr="004D46AC">
              <w:t>2</w:t>
            </w:r>
          </w:p>
        </w:tc>
        <w:tc>
          <w:tcPr>
            <w:tcW w:w="751" w:type="dxa"/>
            <w:vAlign w:val="center"/>
          </w:tcPr>
          <w:p w14:paraId="0E10BD78" w14:textId="77777777" w:rsidR="009864DB" w:rsidRPr="004D46AC" w:rsidRDefault="009864DB" w:rsidP="009864DB">
            <w:pPr>
              <w:spacing w:line="240" w:lineRule="auto"/>
              <w:ind w:firstLine="0"/>
            </w:pPr>
            <w:r w:rsidRPr="004D46AC">
              <w:t>2</w:t>
            </w:r>
          </w:p>
        </w:tc>
        <w:tc>
          <w:tcPr>
            <w:tcW w:w="752" w:type="dxa"/>
            <w:vAlign w:val="center"/>
          </w:tcPr>
          <w:p w14:paraId="33415FB7" w14:textId="77777777" w:rsidR="009864DB" w:rsidRPr="004D46AC" w:rsidRDefault="009864DB" w:rsidP="009864DB">
            <w:pPr>
              <w:spacing w:line="240" w:lineRule="auto"/>
              <w:ind w:firstLine="0"/>
            </w:pPr>
            <w:r w:rsidRPr="004D46AC">
              <w:t>1</w:t>
            </w:r>
          </w:p>
        </w:tc>
        <w:tc>
          <w:tcPr>
            <w:tcW w:w="1296" w:type="dxa"/>
          </w:tcPr>
          <w:p w14:paraId="6E01AF04" w14:textId="77777777" w:rsidR="009864DB" w:rsidRPr="004D46AC" w:rsidRDefault="009864DB" w:rsidP="009864DB">
            <w:pPr>
              <w:spacing w:line="240" w:lineRule="auto"/>
              <w:ind w:firstLine="0"/>
            </w:pPr>
            <w:r w:rsidRPr="004D46AC">
              <w:t>43</w:t>
            </w:r>
            <w:r w:rsidRPr="004D46AC">
              <w:rPr>
                <w:rFonts w:hint="eastAsia"/>
              </w:rPr>
              <w:t>;</w:t>
            </w:r>
            <w:r w:rsidRPr="004D46AC">
              <w:t xml:space="preserve"> 215</w:t>
            </w:r>
          </w:p>
        </w:tc>
        <w:tc>
          <w:tcPr>
            <w:tcW w:w="752" w:type="dxa"/>
            <w:vAlign w:val="center"/>
          </w:tcPr>
          <w:p w14:paraId="51A42DDB" w14:textId="77777777" w:rsidR="009864DB" w:rsidRPr="004D46AC" w:rsidRDefault="009864DB" w:rsidP="009864DB">
            <w:pPr>
              <w:spacing w:line="240" w:lineRule="auto"/>
              <w:ind w:firstLine="0"/>
            </w:pPr>
            <w:r w:rsidRPr="004D46AC">
              <w:t>NA</w:t>
            </w:r>
          </w:p>
        </w:tc>
        <w:tc>
          <w:tcPr>
            <w:tcW w:w="789" w:type="dxa"/>
            <w:gridSpan w:val="2"/>
            <w:vAlign w:val="center"/>
          </w:tcPr>
          <w:p w14:paraId="227FF8B6" w14:textId="77777777" w:rsidR="009864DB" w:rsidRPr="004D46AC" w:rsidRDefault="009864DB" w:rsidP="009864DB">
            <w:pPr>
              <w:spacing w:line="240" w:lineRule="auto"/>
              <w:ind w:firstLine="0"/>
            </w:pPr>
            <w:r w:rsidRPr="004D46AC">
              <w:t>NA</w:t>
            </w:r>
          </w:p>
        </w:tc>
      </w:tr>
      <w:tr w:rsidR="009864DB" w:rsidRPr="004D46AC" w14:paraId="2E00CB6C" w14:textId="77777777" w:rsidTr="00B518F1">
        <w:tc>
          <w:tcPr>
            <w:tcW w:w="1476" w:type="dxa"/>
          </w:tcPr>
          <w:p w14:paraId="02C8C805" w14:textId="77777777" w:rsidR="009864DB" w:rsidRPr="004D46AC" w:rsidRDefault="009864DB" w:rsidP="009864DB">
            <w:pPr>
              <w:spacing w:line="240" w:lineRule="auto"/>
              <w:ind w:firstLine="0"/>
            </w:pPr>
            <w:r w:rsidRPr="004D46AC">
              <w:fldChar w:fldCharType="begin">
                <w:fldData xml:space="preserve">PEVuZE5vdGU+PENpdGUgQXV0aG9yWWVhcj0iMSI+PEF1dGhvcj5CYWVrPC9BdXRob3I+PFllYXI+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PEVuZE5vdGU+PENpdGUgQXV0aG9yWWVhcj0iMSI+PEF1dGhvcj5CYWVrPC9BdXRob3I+PFllYXI+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t>Baek et al. (2011)</w:t>
            </w:r>
            <w:r w:rsidRPr="004D46AC">
              <w:fldChar w:fldCharType="end"/>
            </w:r>
          </w:p>
        </w:tc>
        <w:tc>
          <w:tcPr>
            <w:tcW w:w="754" w:type="dxa"/>
            <w:vAlign w:val="center"/>
          </w:tcPr>
          <w:p w14:paraId="6BAE21F5" w14:textId="77777777" w:rsidR="009864DB" w:rsidRPr="004D46AC" w:rsidRDefault="009864DB" w:rsidP="009864DB">
            <w:pPr>
              <w:spacing w:line="240" w:lineRule="auto"/>
              <w:ind w:firstLine="0"/>
            </w:pPr>
            <w:r w:rsidRPr="004D46AC">
              <w:t>5</w:t>
            </w:r>
          </w:p>
        </w:tc>
        <w:tc>
          <w:tcPr>
            <w:tcW w:w="766" w:type="dxa"/>
            <w:vAlign w:val="center"/>
          </w:tcPr>
          <w:p w14:paraId="1259B26A" w14:textId="77777777" w:rsidR="009864DB" w:rsidRPr="004D46AC" w:rsidRDefault="009864DB" w:rsidP="009864DB">
            <w:pPr>
              <w:spacing w:line="240" w:lineRule="auto"/>
              <w:ind w:firstLine="0"/>
            </w:pPr>
            <w:r w:rsidRPr="004D46AC">
              <w:t>37.59</w:t>
            </w:r>
          </w:p>
        </w:tc>
        <w:tc>
          <w:tcPr>
            <w:tcW w:w="1096" w:type="dxa"/>
            <w:vAlign w:val="center"/>
          </w:tcPr>
          <w:p w14:paraId="161E4109" w14:textId="77777777" w:rsidR="009864DB" w:rsidRPr="004D46AC" w:rsidRDefault="009864DB" w:rsidP="009864DB">
            <w:pPr>
              <w:spacing w:line="240" w:lineRule="auto"/>
              <w:ind w:firstLine="0"/>
            </w:pPr>
            <w:r w:rsidRPr="004D46AC">
              <w:t>DSM4TR</w:t>
            </w:r>
          </w:p>
        </w:tc>
        <w:tc>
          <w:tcPr>
            <w:tcW w:w="1415" w:type="dxa"/>
            <w:vAlign w:val="center"/>
          </w:tcPr>
          <w:p w14:paraId="21B1B669" w14:textId="77777777" w:rsidR="009864DB" w:rsidRPr="004D46AC" w:rsidRDefault="009864DB" w:rsidP="009864DB">
            <w:pPr>
              <w:spacing w:line="240" w:lineRule="auto"/>
              <w:ind w:firstLine="0"/>
            </w:pPr>
            <w:r w:rsidRPr="004D46AC">
              <w:t>mixed</w:t>
            </w:r>
          </w:p>
        </w:tc>
        <w:tc>
          <w:tcPr>
            <w:tcW w:w="876" w:type="dxa"/>
            <w:vAlign w:val="center"/>
          </w:tcPr>
          <w:p w14:paraId="39AFA034" w14:textId="77777777" w:rsidR="009864DB" w:rsidRPr="004D46AC" w:rsidRDefault="009864DB" w:rsidP="009864DB">
            <w:pPr>
              <w:spacing w:line="240" w:lineRule="auto"/>
              <w:ind w:firstLine="0"/>
            </w:pPr>
            <w:r w:rsidRPr="004D46AC">
              <w:t>307</w:t>
            </w:r>
          </w:p>
        </w:tc>
        <w:tc>
          <w:tcPr>
            <w:tcW w:w="986" w:type="dxa"/>
            <w:vAlign w:val="center"/>
          </w:tcPr>
          <w:p w14:paraId="21A1BE5D" w14:textId="77777777" w:rsidR="009864DB" w:rsidRPr="004D46AC" w:rsidRDefault="009864DB" w:rsidP="009864DB">
            <w:pPr>
              <w:spacing w:line="240" w:lineRule="auto"/>
              <w:ind w:firstLine="0"/>
            </w:pPr>
            <w:r w:rsidRPr="004D46AC">
              <w:t>unclear</w:t>
            </w:r>
          </w:p>
        </w:tc>
        <w:tc>
          <w:tcPr>
            <w:tcW w:w="751" w:type="dxa"/>
            <w:vAlign w:val="center"/>
          </w:tcPr>
          <w:p w14:paraId="5510B699" w14:textId="77777777" w:rsidR="009864DB" w:rsidRPr="004D46AC" w:rsidRDefault="009864DB" w:rsidP="009864DB">
            <w:pPr>
              <w:spacing w:line="240" w:lineRule="auto"/>
              <w:ind w:firstLine="0"/>
            </w:pPr>
            <w:r w:rsidRPr="004D46AC">
              <w:t>1</w:t>
            </w:r>
          </w:p>
        </w:tc>
        <w:tc>
          <w:tcPr>
            <w:tcW w:w="752" w:type="dxa"/>
            <w:vAlign w:val="center"/>
          </w:tcPr>
          <w:p w14:paraId="7D39E9FD" w14:textId="77777777" w:rsidR="009864DB" w:rsidRPr="004D46AC" w:rsidRDefault="009864DB" w:rsidP="009864DB">
            <w:pPr>
              <w:spacing w:line="240" w:lineRule="auto"/>
              <w:ind w:firstLine="0"/>
            </w:pPr>
            <w:r w:rsidRPr="004D46AC">
              <w:t>2</w:t>
            </w:r>
          </w:p>
        </w:tc>
        <w:tc>
          <w:tcPr>
            <w:tcW w:w="1296" w:type="dxa"/>
            <w:vAlign w:val="center"/>
          </w:tcPr>
          <w:p w14:paraId="31D28A05" w14:textId="77777777" w:rsidR="009864DB" w:rsidRPr="004D46AC" w:rsidRDefault="009864DB" w:rsidP="009864DB">
            <w:pPr>
              <w:spacing w:line="240" w:lineRule="auto"/>
              <w:ind w:firstLine="0"/>
            </w:pPr>
            <w:r w:rsidRPr="004D46AC">
              <w:t>149</w:t>
            </w:r>
          </w:p>
        </w:tc>
        <w:tc>
          <w:tcPr>
            <w:tcW w:w="752" w:type="dxa"/>
            <w:vAlign w:val="center"/>
          </w:tcPr>
          <w:p w14:paraId="7505A613" w14:textId="77777777" w:rsidR="009864DB" w:rsidRPr="004D46AC" w:rsidRDefault="009864DB" w:rsidP="009864DB">
            <w:pPr>
              <w:spacing w:line="240" w:lineRule="auto"/>
              <w:ind w:firstLine="0"/>
            </w:pPr>
            <w:r w:rsidRPr="004D46AC">
              <w:t>NA</w:t>
            </w:r>
          </w:p>
        </w:tc>
        <w:tc>
          <w:tcPr>
            <w:tcW w:w="789" w:type="dxa"/>
            <w:gridSpan w:val="2"/>
            <w:vAlign w:val="center"/>
          </w:tcPr>
          <w:p w14:paraId="74C112F2" w14:textId="77777777" w:rsidR="009864DB" w:rsidRPr="004D46AC" w:rsidRDefault="009864DB" w:rsidP="009864DB">
            <w:pPr>
              <w:spacing w:line="240" w:lineRule="auto"/>
              <w:ind w:firstLine="0"/>
            </w:pPr>
            <w:r w:rsidRPr="004D46AC">
              <w:t>NA</w:t>
            </w:r>
          </w:p>
        </w:tc>
      </w:tr>
      <w:tr w:rsidR="009864DB" w:rsidRPr="004D46AC" w14:paraId="1A2EA675" w14:textId="77777777" w:rsidTr="00B518F1">
        <w:tc>
          <w:tcPr>
            <w:tcW w:w="1476" w:type="dxa"/>
          </w:tcPr>
          <w:p w14:paraId="6F88AB4C" w14:textId="77777777" w:rsidR="009864DB" w:rsidRPr="004D46AC" w:rsidRDefault="009864DB" w:rsidP="009864DB">
            <w:pPr>
              <w:spacing w:line="240" w:lineRule="auto"/>
              <w:ind w:firstLine="0"/>
            </w:pPr>
            <w:r w:rsidRPr="004D46AC">
              <w:fldChar w:fldCharType="begin">
                <w:fldData xml:space="preserve">PEVuZE5vdGU+PENpdGUgQXV0aG9yWWVhcj0iMSI+PEF1dGhvcj5EaWxzYXZlcjwvQXV0aG9yPjxZ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 </w:instrText>
            </w:r>
            <w:r w:rsidRPr="004D46AC">
              <w:fldChar w:fldCharType="begin">
                <w:fldData xml:space="preserve">PEVuZE5vdGU+PENpdGUgQXV0aG9yWWVhcj0iMSI+PEF1dGhvcj5EaWxzYXZlcjwvQXV0aG9yPjxZ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EN.CITE.DATA </w:instrText>
            </w:r>
            <w:r w:rsidRPr="004D46AC">
              <w:fldChar w:fldCharType="end"/>
            </w:r>
            <w:r w:rsidRPr="004D46AC">
              <w:fldChar w:fldCharType="separate"/>
            </w:r>
            <w:r w:rsidRPr="004D46AC">
              <w:t>Dilsaver et al. (2008)</w:t>
            </w:r>
            <w:r w:rsidRPr="004D46AC">
              <w:fldChar w:fldCharType="end"/>
            </w:r>
          </w:p>
        </w:tc>
        <w:tc>
          <w:tcPr>
            <w:tcW w:w="754" w:type="dxa"/>
            <w:vAlign w:val="center"/>
          </w:tcPr>
          <w:p w14:paraId="6920843C" w14:textId="77777777" w:rsidR="009864DB" w:rsidRPr="004D46AC" w:rsidRDefault="009864DB" w:rsidP="009864DB">
            <w:pPr>
              <w:spacing w:line="240" w:lineRule="auto"/>
              <w:ind w:firstLine="0"/>
            </w:pPr>
            <w:r w:rsidRPr="004D46AC">
              <w:t>6</w:t>
            </w:r>
          </w:p>
        </w:tc>
        <w:tc>
          <w:tcPr>
            <w:tcW w:w="766" w:type="dxa"/>
            <w:vAlign w:val="center"/>
          </w:tcPr>
          <w:p w14:paraId="1F7DD4EE" w14:textId="77777777" w:rsidR="009864DB" w:rsidRPr="004D46AC" w:rsidRDefault="009864DB" w:rsidP="009864DB">
            <w:pPr>
              <w:spacing w:line="240" w:lineRule="auto"/>
              <w:ind w:firstLine="0"/>
            </w:pPr>
            <w:r w:rsidRPr="004D46AC">
              <w:t>34.9</w:t>
            </w:r>
          </w:p>
        </w:tc>
        <w:tc>
          <w:tcPr>
            <w:tcW w:w="1096" w:type="dxa"/>
            <w:vAlign w:val="center"/>
          </w:tcPr>
          <w:p w14:paraId="395E6DDA" w14:textId="77777777" w:rsidR="009864DB" w:rsidRPr="004D46AC" w:rsidRDefault="009864DB" w:rsidP="009864DB">
            <w:pPr>
              <w:spacing w:line="240" w:lineRule="auto"/>
              <w:ind w:firstLine="0"/>
            </w:pPr>
            <w:r w:rsidRPr="004D46AC">
              <w:t>DSM4</w:t>
            </w:r>
          </w:p>
        </w:tc>
        <w:tc>
          <w:tcPr>
            <w:tcW w:w="1415" w:type="dxa"/>
            <w:vAlign w:val="center"/>
          </w:tcPr>
          <w:p w14:paraId="76A9114B" w14:textId="77777777" w:rsidR="009864DB" w:rsidRPr="004D46AC" w:rsidRDefault="009864DB" w:rsidP="009864DB">
            <w:pPr>
              <w:spacing w:line="240" w:lineRule="auto"/>
              <w:ind w:firstLine="0"/>
            </w:pPr>
            <w:r w:rsidRPr="004D46AC">
              <w:t>SCID-C</w:t>
            </w:r>
          </w:p>
        </w:tc>
        <w:tc>
          <w:tcPr>
            <w:tcW w:w="876" w:type="dxa"/>
            <w:vAlign w:val="center"/>
          </w:tcPr>
          <w:p w14:paraId="4F0966ED" w14:textId="77777777" w:rsidR="009864DB" w:rsidRPr="004D46AC" w:rsidRDefault="009864DB" w:rsidP="009864DB">
            <w:pPr>
              <w:spacing w:line="240" w:lineRule="auto"/>
              <w:ind w:firstLine="0"/>
            </w:pPr>
            <w:r w:rsidRPr="004D46AC">
              <w:t>69</w:t>
            </w:r>
          </w:p>
        </w:tc>
        <w:tc>
          <w:tcPr>
            <w:tcW w:w="986" w:type="dxa"/>
            <w:vAlign w:val="center"/>
          </w:tcPr>
          <w:p w14:paraId="36BE7587" w14:textId="77777777" w:rsidR="009864DB" w:rsidRPr="004D46AC" w:rsidRDefault="009864DB" w:rsidP="009864DB">
            <w:pPr>
              <w:spacing w:line="240" w:lineRule="auto"/>
              <w:ind w:firstLine="0"/>
            </w:pPr>
            <w:r w:rsidRPr="004D46AC">
              <w:t>1</w:t>
            </w:r>
          </w:p>
        </w:tc>
        <w:tc>
          <w:tcPr>
            <w:tcW w:w="751" w:type="dxa"/>
            <w:vAlign w:val="center"/>
          </w:tcPr>
          <w:p w14:paraId="43AF974E" w14:textId="77777777" w:rsidR="009864DB" w:rsidRPr="004D46AC" w:rsidRDefault="009864DB" w:rsidP="009864DB">
            <w:pPr>
              <w:spacing w:line="240" w:lineRule="auto"/>
              <w:ind w:firstLine="0"/>
            </w:pPr>
            <w:r w:rsidRPr="004D46AC">
              <w:t>1</w:t>
            </w:r>
          </w:p>
        </w:tc>
        <w:tc>
          <w:tcPr>
            <w:tcW w:w="752" w:type="dxa"/>
            <w:vAlign w:val="center"/>
          </w:tcPr>
          <w:p w14:paraId="424C6E51" w14:textId="77777777" w:rsidR="009864DB" w:rsidRPr="004D46AC" w:rsidRDefault="009864DB" w:rsidP="009864DB">
            <w:pPr>
              <w:spacing w:line="240" w:lineRule="auto"/>
              <w:ind w:firstLine="0"/>
            </w:pPr>
            <w:r w:rsidRPr="004D46AC">
              <w:t>2</w:t>
            </w:r>
          </w:p>
        </w:tc>
        <w:tc>
          <w:tcPr>
            <w:tcW w:w="1296" w:type="dxa"/>
            <w:vAlign w:val="center"/>
          </w:tcPr>
          <w:p w14:paraId="0930F13F" w14:textId="77777777" w:rsidR="009864DB" w:rsidRPr="004D46AC" w:rsidRDefault="009864DB" w:rsidP="009864DB">
            <w:pPr>
              <w:spacing w:line="240" w:lineRule="auto"/>
              <w:ind w:firstLine="0"/>
            </w:pPr>
            <w:r w:rsidRPr="004D46AC">
              <w:t>47</w:t>
            </w:r>
          </w:p>
        </w:tc>
        <w:tc>
          <w:tcPr>
            <w:tcW w:w="752" w:type="dxa"/>
            <w:vAlign w:val="center"/>
          </w:tcPr>
          <w:p w14:paraId="35A3ACDE" w14:textId="77777777" w:rsidR="009864DB" w:rsidRPr="004D46AC" w:rsidRDefault="009864DB" w:rsidP="009864DB">
            <w:pPr>
              <w:spacing w:line="240" w:lineRule="auto"/>
              <w:ind w:firstLine="0"/>
            </w:pPr>
            <w:r w:rsidRPr="004D46AC">
              <w:t>NA</w:t>
            </w:r>
          </w:p>
        </w:tc>
        <w:tc>
          <w:tcPr>
            <w:tcW w:w="789" w:type="dxa"/>
            <w:gridSpan w:val="2"/>
            <w:vAlign w:val="center"/>
          </w:tcPr>
          <w:p w14:paraId="632B9637" w14:textId="77777777" w:rsidR="009864DB" w:rsidRPr="004D46AC" w:rsidRDefault="009864DB" w:rsidP="009864DB">
            <w:pPr>
              <w:spacing w:line="240" w:lineRule="auto"/>
              <w:ind w:firstLine="0"/>
            </w:pPr>
            <w:r w:rsidRPr="004D46AC">
              <w:t>NA</w:t>
            </w:r>
          </w:p>
        </w:tc>
      </w:tr>
      <w:tr w:rsidR="009864DB" w:rsidRPr="004D46AC" w14:paraId="564DFD97" w14:textId="77777777" w:rsidTr="00B518F1">
        <w:tc>
          <w:tcPr>
            <w:tcW w:w="1476" w:type="dxa"/>
          </w:tcPr>
          <w:p w14:paraId="0AB48E41" w14:textId="77777777" w:rsidR="009864DB" w:rsidRPr="004D46AC" w:rsidRDefault="009864DB" w:rsidP="009864DB">
            <w:pPr>
              <w:spacing w:line="240" w:lineRule="auto"/>
              <w:ind w:firstLine="0"/>
            </w:pPr>
            <w:r w:rsidRPr="004D46AC">
              <w:fldChar w:fldCharType="begin">
                <w:fldData xml:space="preserve">PEVuZE5vdGU+PENpdGUgQXV0aG9yWWVhcj0iMSI+PEF1dGhvcj5QYWNjaGlhcm90dGk8L0F1dGhv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</w:fldData>
              </w:fldChar>
            </w:r>
            <w:r w:rsidRPr="004D46AC">
              <w:instrText xml:space="preserve"> ADDIN EN.CITE </w:instrText>
            </w:r>
            <w:r w:rsidRPr="004D46AC">
              <w:fldChar w:fldCharType="begin">
                <w:fldData xml:space="preserve">PEVuZE5vdGU+PENpdGUgQXV0aG9yWWVhcj0iMSI+PEF1dGhvcj5QYWNjaGlhcm90dGk8L0F1dGhv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</w:fldData>
              </w:fldChar>
            </w:r>
            <w:r w:rsidRPr="004D46AC">
              <w:instrText xml:space="preserve"> ADDIN EN.CITE.DATA </w:instrText>
            </w:r>
            <w:r w:rsidRPr="004D46AC">
              <w:fldChar w:fldCharType="end"/>
            </w:r>
            <w:r w:rsidRPr="004D46AC">
              <w:fldChar w:fldCharType="separate"/>
            </w:r>
            <w:r w:rsidRPr="004D46AC">
              <w:t>Pacchiarotti et al. (2011)</w:t>
            </w:r>
            <w:r w:rsidRPr="004D46AC">
              <w:fldChar w:fldCharType="end"/>
            </w:r>
          </w:p>
        </w:tc>
        <w:tc>
          <w:tcPr>
            <w:tcW w:w="754" w:type="dxa"/>
            <w:vAlign w:val="center"/>
          </w:tcPr>
          <w:p w14:paraId="4BC20C7C" w14:textId="77777777" w:rsidR="009864DB" w:rsidRPr="004D46AC" w:rsidRDefault="009864DB" w:rsidP="009864DB">
            <w:pPr>
              <w:spacing w:line="240" w:lineRule="auto"/>
              <w:ind w:firstLine="0"/>
            </w:pPr>
            <w:r w:rsidRPr="004D46AC">
              <w:t>7</w:t>
            </w:r>
          </w:p>
        </w:tc>
        <w:tc>
          <w:tcPr>
            <w:tcW w:w="766" w:type="dxa"/>
            <w:vAlign w:val="center"/>
          </w:tcPr>
          <w:p w14:paraId="6E65C5B7" w14:textId="77777777" w:rsidR="009864DB" w:rsidRPr="004D46AC" w:rsidRDefault="009864DB" w:rsidP="009864DB">
            <w:pPr>
              <w:spacing w:line="240" w:lineRule="auto"/>
              <w:ind w:firstLine="0"/>
            </w:pPr>
            <w:r w:rsidRPr="004D46AC">
              <w:t>38.77</w:t>
            </w:r>
          </w:p>
        </w:tc>
        <w:tc>
          <w:tcPr>
            <w:tcW w:w="1096" w:type="dxa"/>
            <w:vAlign w:val="center"/>
          </w:tcPr>
          <w:p w14:paraId="515EE10F" w14:textId="77777777" w:rsidR="009864DB" w:rsidRPr="004D46AC" w:rsidRDefault="009864DB" w:rsidP="009864DB">
            <w:pPr>
              <w:spacing w:line="240" w:lineRule="auto"/>
              <w:ind w:firstLine="0"/>
            </w:pPr>
            <w:r w:rsidRPr="004D46AC">
              <w:t>DSM4TR</w:t>
            </w:r>
          </w:p>
        </w:tc>
        <w:tc>
          <w:tcPr>
            <w:tcW w:w="1415" w:type="dxa"/>
            <w:vAlign w:val="center"/>
          </w:tcPr>
          <w:p w14:paraId="3FECE5B9" w14:textId="77777777" w:rsidR="009864DB" w:rsidRPr="004D46AC" w:rsidRDefault="009864DB" w:rsidP="009864DB">
            <w:pPr>
              <w:spacing w:line="240" w:lineRule="auto"/>
              <w:ind w:firstLine="0"/>
            </w:pPr>
            <w:r w:rsidRPr="004D46AC">
              <w:t>SCID</w:t>
            </w:r>
          </w:p>
        </w:tc>
        <w:tc>
          <w:tcPr>
            <w:tcW w:w="876" w:type="dxa"/>
            <w:vAlign w:val="center"/>
          </w:tcPr>
          <w:p w14:paraId="7E35CBE9" w14:textId="77777777" w:rsidR="009864DB" w:rsidRPr="004D46AC" w:rsidRDefault="009864DB" w:rsidP="009864DB">
            <w:pPr>
              <w:spacing w:line="240" w:lineRule="auto"/>
              <w:ind w:firstLine="0"/>
            </w:pPr>
            <w:r w:rsidRPr="004D46AC">
              <w:t>134</w:t>
            </w:r>
          </w:p>
        </w:tc>
        <w:tc>
          <w:tcPr>
            <w:tcW w:w="986" w:type="dxa"/>
            <w:vAlign w:val="center"/>
          </w:tcPr>
          <w:p w14:paraId="70DCA473" w14:textId="77777777" w:rsidR="009864DB" w:rsidRPr="004D46AC" w:rsidRDefault="009864DB" w:rsidP="009864DB">
            <w:pPr>
              <w:spacing w:line="240" w:lineRule="auto"/>
              <w:ind w:firstLine="0"/>
            </w:pPr>
            <w:r w:rsidRPr="004D46AC">
              <w:t>3</w:t>
            </w:r>
          </w:p>
        </w:tc>
        <w:tc>
          <w:tcPr>
            <w:tcW w:w="751" w:type="dxa"/>
            <w:vAlign w:val="center"/>
          </w:tcPr>
          <w:p w14:paraId="5B9DC4E4" w14:textId="77777777" w:rsidR="009864DB" w:rsidRPr="004D46AC" w:rsidRDefault="009864DB" w:rsidP="009864DB">
            <w:pPr>
              <w:spacing w:line="240" w:lineRule="auto"/>
              <w:ind w:firstLine="0"/>
            </w:pPr>
            <w:r w:rsidRPr="004D46AC">
              <w:t>2</w:t>
            </w:r>
          </w:p>
        </w:tc>
        <w:tc>
          <w:tcPr>
            <w:tcW w:w="752" w:type="dxa"/>
            <w:vAlign w:val="center"/>
          </w:tcPr>
          <w:p w14:paraId="4E973512" w14:textId="77777777" w:rsidR="009864DB" w:rsidRPr="004D46AC" w:rsidRDefault="009864DB" w:rsidP="009864DB">
            <w:pPr>
              <w:spacing w:line="240" w:lineRule="auto"/>
              <w:ind w:firstLine="0"/>
            </w:pPr>
            <w:r w:rsidRPr="004D46AC">
              <w:t>2</w:t>
            </w:r>
          </w:p>
        </w:tc>
        <w:tc>
          <w:tcPr>
            <w:tcW w:w="1296" w:type="dxa"/>
            <w:vAlign w:val="center"/>
          </w:tcPr>
          <w:p w14:paraId="19DBD001" w14:textId="77777777" w:rsidR="009864DB" w:rsidRPr="004D46AC" w:rsidRDefault="009864DB" w:rsidP="009864DB">
            <w:pPr>
              <w:spacing w:line="240" w:lineRule="auto"/>
              <w:ind w:firstLine="0"/>
            </w:pPr>
            <w:r w:rsidRPr="004D46AC">
              <w:t>80</w:t>
            </w:r>
          </w:p>
        </w:tc>
        <w:tc>
          <w:tcPr>
            <w:tcW w:w="752" w:type="dxa"/>
            <w:vAlign w:val="center"/>
          </w:tcPr>
          <w:p w14:paraId="20C76F63" w14:textId="77777777" w:rsidR="009864DB" w:rsidRPr="004D46AC" w:rsidRDefault="009864DB" w:rsidP="009864DB">
            <w:pPr>
              <w:spacing w:line="240" w:lineRule="auto"/>
              <w:ind w:firstLine="0"/>
            </w:pPr>
            <w:r w:rsidRPr="004D46AC">
              <w:t>NA</w:t>
            </w:r>
          </w:p>
        </w:tc>
        <w:tc>
          <w:tcPr>
            <w:tcW w:w="789" w:type="dxa"/>
            <w:gridSpan w:val="2"/>
            <w:vAlign w:val="center"/>
          </w:tcPr>
          <w:p w14:paraId="1E08E536" w14:textId="77777777" w:rsidR="009864DB" w:rsidRPr="004D46AC" w:rsidRDefault="009864DB" w:rsidP="009864DB">
            <w:pPr>
              <w:spacing w:line="240" w:lineRule="auto"/>
              <w:ind w:firstLine="0"/>
            </w:pPr>
            <w:r w:rsidRPr="004D46AC">
              <w:t>NA</w:t>
            </w:r>
          </w:p>
        </w:tc>
      </w:tr>
      <w:tr w:rsidR="009864DB" w:rsidRPr="004D46AC" w14:paraId="647F62D1" w14:textId="77777777" w:rsidTr="00B518F1">
        <w:tc>
          <w:tcPr>
            <w:tcW w:w="1476" w:type="dxa"/>
          </w:tcPr>
          <w:p w14:paraId="090673CF" w14:textId="77777777" w:rsidR="009864DB" w:rsidRPr="004D46AC" w:rsidRDefault="009864DB" w:rsidP="009864DB">
            <w:pPr>
              <w:spacing w:line="240" w:lineRule="auto"/>
              <w:ind w:firstLine="0"/>
            </w:pPr>
            <w:r w:rsidRPr="004D46AC">
              <w:fldChar w:fldCharType="begin">
                <w:fldData xml:space="preserve">PEVuZE5vdGU+PENpdGUgQXV0aG9yWWVhcj0iMSI+PEF1dGhvcj5NdXNldHRpPC9BdXRob3I+PFll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</w:fldData>
              </w:fldChar>
            </w:r>
            <w:r w:rsidRPr="004D46AC">
              <w:instrText xml:space="preserve"> ADDIN EN.CITE </w:instrText>
            </w:r>
            <w:r w:rsidRPr="004D46AC">
              <w:fldChar w:fldCharType="begin">
                <w:fldData xml:space="preserve">PEVuZE5vdGU+PENpdGUgQXV0aG9yWWVhcj0iMSI+PEF1dGhvcj5NdXNldHRpPC9BdXRob3I+PFll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</w:fldData>
              </w:fldChar>
            </w:r>
            <w:r w:rsidRPr="004D46AC">
              <w:instrText xml:space="preserve"> ADDIN EN.CITE.DATA </w:instrText>
            </w:r>
            <w:r w:rsidRPr="004D46AC">
              <w:fldChar w:fldCharType="end"/>
            </w:r>
            <w:r w:rsidRPr="004D46AC">
              <w:fldChar w:fldCharType="separate"/>
            </w:r>
            <w:r w:rsidRPr="004D46AC">
              <w:t>Musetti et al. (2018)</w:t>
            </w:r>
            <w:r w:rsidRPr="004D46AC">
              <w:fldChar w:fldCharType="end"/>
            </w:r>
          </w:p>
        </w:tc>
        <w:tc>
          <w:tcPr>
            <w:tcW w:w="754" w:type="dxa"/>
            <w:vAlign w:val="center"/>
          </w:tcPr>
          <w:p w14:paraId="57957988" w14:textId="77777777" w:rsidR="009864DB" w:rsidRPr="004D46AC" w:rsidRDefault="009864DB" w:rsidP="009864DB">
            <w:pPr>
              <w:spacing w:line="240" w:lineRule="auto"/>
              <w:ind w:firstLine="0"/>
            </w:pPr>
            <w:r w:rsidRPr="004D46AC">
              <w:t>7</w:t>
            </w:r>
          </w:p>
        </w:tc>
        <w:tc>
          <w:tcPr>
            <w:tcW w:w="766" w:type="dxa"/>
            <w:vAlign w:val="center"/>
          </w:tcPr>
          <w:p w14:paraId="1C642C20" w14:textId="77777777" w:rsidR="009864DB" w:rsidRPr="004D46AC" w:rsidRDefault="009864DB" w:rsidP="009864DB">
            <w:pPr>
              <w:spacing w:line="240" w:lineRule="auto"/>
              <w:ind w:firstLine="0"/>
            </w:pPr>
            <w:r w:rsidRPr="004D46AC">
              <w:t>38.6</w:t>
            </w:r>
          </w:p>
        </w:tc>
        <w:tc>
          <w:tcPr>
            <w:tcW w:w="1096" w:type="dxa"/>
            <w:vAlign w:val="center"/>
          </w:tcPr>
          <w:p w14:paraId="49FD99AC" w14:textId="77777777" w:rsidR="009864DB" w:rsidRPr="004D46AC" w:rsidRDefault="009864DB" w:rsidP="009864DB">
            <w:pPr>
              <w:spacing w:line="240" w:lineRule="auto"/>
              <w:ind w:firstLine="0"/>
            </w:pPr>
            <w:r w:rsidRPr="004D46AC">
              <w:t>DSM4</w:t>
            </w:r>
          </w:p>
        </w:tc>
        <w:tc>
          <w:tcPr>
            <w:tcW w:w="1415" w:type="dxa"/>
            <w:vAlign w:val="center"/>
          </w:tcPr>
          <w:p w14:paraId="20FD315B" w14:textId="77777777" w:rsidR="009864DB" w:rsidRPr="004D46AC" w:rsidRDefault="009864DB" w:rsidP="009864DB">
            <w:pPr>
              <w:spacing w:line="240" w:lineRule="auto"/>
              <w:ind w:firstLine="0"/>
            </w:pPr>
            <w:r w:rsidRPr="004D46AC">
              <w:t>unclear</w:t>
            </w:r>
          </w:p>
        </w:tc>
        <w:tc>
          <w:tcPr>
            <w:tcW w:w="876" w:type="dxa"/>
            <w:vAlign w:val="center"/>
          </w:tcPr>
          <w:p w14:paraId="2C5B29AE" w14:textId="77777777" w:rsidR="009864DB" w:rsidRPr="004D46AC" w:rsidRDefault="009864DB" w:rsidP="009864DB">
            <w:pPr>
              <w:spacing w:line="240" w:lineRule="auto"/>
              <w:ind w:firstLine="0"/>
            </w:pPr>
            <w:r w:rsidRPr="004D46AC">
              <w:t>234</w:t>
            </w:r>
          </w:p>
        </w:tc>
        <w:tc>
          <w:tcPr>
            <w:tcW w:w="986" w:type="dxa"/>
            <w:vAlign w:val="center"/>
          </w:tcPr>
          <w:p w14:paraId="405AC5D6" w14:textId="77777777" w:rsidR="009864DB" w:rsidRPr="004D46AC" w:rsidRDefault="009864DB" w:rsidP="009864DB">
            <w:pPr>
              <w:spacing w:line="240" w:lineRule="auto"/>
              <w:ind w:firstLine="0"/>
            </w:pPr>
            <w:r w:rsidRPr="004D46AC">
              <w:t>1</w:t>
            </w:r>
          </w:p>
        </w:tc>
        <w:tc>
          <w:tcPr>
            <w:tcW w:w="751" w:type="dxa"/>
            <w:vAlign w:val="center"/>
          </w:tcPr>
          <w:p w14:paraId="75648379" w14:textId="77777777" w:rsidR="009864DB" w:rsidRPr="004D46AC" w:rsidRDefault="009864DB" w:rsidP="009864DB">
            <w:pPr>
              <w:spacing w:line="240" w:lineRule="auto"/>
              <w:ind w:firstLine="0"/>
            </w:pPr>
            <w:r w:rsidRPr="004D46AC">
              <w:t>1</w:t>
            </w:r>
          </w:p>
        </w:tc>
        <w:tc>
          <w:tcPr>
            <w:tcW w:w="752" w:type="dxa"/>
            <w:vAlign w:val="center"/>
          </w:tcPr>
          <w:p w14:paraId="2C14A5E8" w14:textId="77777777" w:rsidR="009864DB" w:rsidRPr="004D46AC" w:rsidRDefault="009864DB" w:rsidP="009864DB">
            <w:pPr>
              <w:spacing w:line="240" w:lineRule="auto"/>
              <w:ind w:firstLine="0"/>
            </w:pPr>
            <w:r w:rsidRPr="004D46AC">
              <w:t>2</w:t>
            </w:r>
          </w:p>
        </w:tc>
        <w:tc>
          <w:tcPr>
            <w:tcW w:w="1296" w:type="dxa"/>
            <w:vAlign w:val="center"/>
          </w:tcPr>
          <w:p w14:paraId="2F2D6CF4" w14:textId="77777777" w:rsidR="009864DB" w:rsidRPr="004D46AC" w:rsidRDefault="009864DB" w:rsidP="009864DB">
            <w:pPr>
              <w:spacing w:line="240" w:lineRule="auto"/>
              <w:ind w:firstLine="0"/>
            </w:pPr>
            <w:r w:rsidRPr="004D46AC">
              <w:t>99</w:t>
            </w:r>
          </w:p>
        </w:tc>
        <w:tc>
          <w:tcPr>
            <w:tcW w:w="752" w:type="dxa"/>
            <w:vAlign w:val="center"/>
          </w:tcPr>
          <w:p w14:paraId="7CB9A4E7" w14:textId="77777777" w:rsidR="009864DB" w:rsidRPr="004D46AC" w:rsidRDefault="009864DB" w:rsidP="009864DB">
            <w:pPr>
              <w:spacing w:line="240" w:lineRule="auto"/>
              <w:ind w:firstLine="0"/>
            </w:pPr>
            <w:r w:rsidRPr="004D46AC">
              <w:t>NA</w:t>
            </w:r>
          </w:p>
        </w:tc>
        <w:tc>
          <w:tcPr>
            <w:tcW w:w="789" w:type="dxa"/>
            <w:gridSpan w:val="2"/>
            <w:vAlign w:val="center"/>
          </w:tcPr>
          <w:p w14:paraId="78F83111" w14:textId="77777777" w:rsidR="009864DB" w:rsidRPr="004D46AC" w:rsidRDefault="009864DB" w:rsidP="009864DB">
            <w:pPr>
              <w:spacing w:line="240" w:lineRule="auto"/>
              <w:ind w:firstLine="0"/>
            </w:pPr>
            <w:r w:rsidRPr="004D46AC">
              <w:t>NA</w:t>
            </w:r>
          </w:p>
        </w:tc>
      </w:tr>
      <w:tr w:rsidR="009864DB" w:rsidRPr="004D46AC" w14:paraId="4A196D39" w14:textId="77777777" w:rsidTr="00B518F1">
        <w:tc>
          <w:tcPr>
            <w:tcW w:w="1476" w:type="dxa"/>
          </w:tcPr>
          <w:p w14:paraId="05FEDFB2" w14:textId="77777777" w:rsidR="009864DB" w:rsidRPr="004D46AC" w:rsidRDefault="009864DB" w:rsidP="009864DB">
            <w:pPr>
              <w:spacing w:line="240" w:lineRule="auto"/>
              <w:ind w:firstLine="0"/>
            </w:pPr>
            <w:r w:rsidRPr="004D46AC">
              <w:fldChar w:fldCharType="begin">
                <w:fldData xml:space="preserve">PEVuZE5vdGU+PENpdGUgQXV0aG9yWWVhcj0iMSI+PEF1dGhvcj5NYW50ZXJlPC9BdXRob3I+PFll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=
</w:fldData>
              </w:fldChar>
            </w:r>
            <w:r w:rsidRPr="004D46AC">
              <w:instrText xml:space="preserve"> ADDIN EN.CITE </w:instrText>
            </w:r>
            <w:r w:rsidRPr="004D46AC">
              <w:fldChar w:fldCharType="begin">
                <w:fldData xml:space="preserve">PEVuZE5vdGU+PENpdGUgQXV0aG9yWWVhcj0iMSI+PEF1dGhvcj5NYW50ZXJlPC9BdXRob3I+PFll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=
</w:fldData>
              </w:fldChar>
            </w:r>
            <w:r w:rsidRPr="004D46AC">
              <w:instrText xml:space="preserve"> ADDIN EN.CITE.DATA </w:instrText>
            </w:r>
            <w:r w:rsidRPr="004D46AC">
              <w:fldChar w:fldCharType="end"/>
            </w:r>
            <w:r w:rsidRPr="004D46AC">
              <w:fldChar w:fldCharType="separate"/>
            </w:r>
            <w:r w:rsidRPr="004D46AC">
              <w:t>Mantere et al. (2004)</w:t>
            </w:r>
            <w:r w:rsidRPr="004D46AC">
              <w:fldChar w:fldCharType="end"/>
            </w:r>
          </w:p>
        </w:tc>
        <w:tc>
          <w:tcPr>
            <w:tcW w:w="754" w:type="dxa"/>
            <w:vAlign w:val="center"/>
          </w:tcPr>
          <w:p w14:paraId="1DD85521" w14:textId="77777777" w:rsidR="009864DB" w:rsidRPr="004D46AC" w:rsidRDefault="009864DB" w:rsidP="009864DB">
            <w:pPr>
              <w:spacing w:line="240" w:lineRule="auto"/>
              <w:ind w:firstLine="0"/>
            </w:pPr>
            <w:r w:rsidRPr="004D46AC">
              <w:t>7</w:t>
            </w:r>
          </w:p>
        </w:tc>
        <w:tc>
          <w:tcPr>
            <w:tcW w:w="766" w:type="dxa"/>
            <w:vAlign w:val="center"/>
          </w:tcPr>
          <w:p w14:paraId="0F46A5F0" w14:textId="77777777" w:rsidR="009864DB" w:rsidRPr="004D46AC" w:rsidRDefault="009864DB" w:rsidP="009864DB">
            <w:pPr>
              <w:spacing w:line="240" w:lineRule="auto"/>
              <w:ind w:firstLine="0"/>
            </w:pPr>
            <w:r w:rsidRPr="004D46AC">
              <w:t>37.7</w:t>
            </w:r>
          </w:p>
        </w:tc>
        <w:tc>
          <w:tcPr>
            <w:tcW w:w="1096" w:type="dxa"/>
            <w:vAlign w:val="center"/>
          </w:tcPr>
          <w:p w14:paraId="24589E96" w14:textId="77777777" w:rsidR="009864DB" w:rsidRPr="004D46AC" w:rsidRDefault="009864DB" w:rsidP="009864DB">
            <w:pPr>
              <w:spacing w:line="240" w:lineRule="auto"/>
              <w:ind w:firstLine="0"/>
            </w:pPr>
            <w:r w:rsidRPr="004D46AC">
              <w:t>DSM4</w:t>
            </w:r>
          </w:p>
        </w:tc>
        <w:tc>
          <w:tcPr>
            <w:tcW w:w="1415" w:type="dxa"/>
            <w:vAlign w:val="center"/>
          </w:tcPr>
          <w:p w14:paraId="76C8B562" w14:textId="77777777" w:rsidR="009864DB" w:rsidRPr="004D46AC" w:rsidRDefault="009864DB" w:rsidP="009864DB">
            <w:pPr>
              <w:spacing w:line="240" w:lineRule="auto"/>
              <w:ind w:firstLine="0"/>
            </w:pPr>
            <w:r w:rsidRPr="004D46AC">
              <w:t>SCID</w:t>
            </w:r>
          </w:p>
        </w:tc>
        <w:tc>
          <w:tcPr>
            <w:tcW w:w="876" w:type="dxa"/>
            <w:vAlign w:val="center"/>
          </w:tcPr>
          <w:p w14:paraId="0CE36917" w14:textId="77777777" w:rsidR="009864DB" w:rsidRPr="004D46AC" w:rsidRDefault="009864DB" w:rsidP="009864DB">
            <w:pPr>
              <w:spacing w:line="240" w:lineRule="auto"/>
              <w:ind w:firstLine="0"/>
            </w:pPr>
            <w:r w:rsidRPr="004D46AC">
              <w:t>199</w:t>
            </w:r>
          </w:p>
        </w:tc>
        <w:tc>
          <w:tcPr>
            <w:tcW w:w="986" w:type="dxa"/>
            <w:vAlign w:val="center"/>
          </w:tcPr>
          <w:p w14:paraId="0B434DD5" w14:textId="77777777" w:rsidR="009864DB" w:rsidRPr="004D46AC" w:rsidRDefault="009864DB" w:rsidP="009864DB">
            <w:pPr>
              <w:spacing w:line="240" w:lineRule="auto"/>
              <w:ind w:firstLine="0"/>
            </w:pPr>
            <w:r w:rsidRPr="004D46AC">
              <w:t>2</w:t>
            </w:r>
          </w:p>
        </w:tc>
        <w:tc>
          <w:tcPr>
            <w:tcW w:w="751" w:type="dxa"/>
            <w:vAlign w:val="center"/>
          </w:tcPr>
          <w:p w14:paraId="300D99E1" w14:textId="77777777" w:rsidR="009864DB" w:rsidRPr="004D46AC" w:rsidRDefault="009864DB" w:rsidP="009864DB">
            <w:pPr>
              <w:spacing w:line="240" w:lineRule="auto"/>
              <w:ind w:firstLine="0"/>
            </w:pPr>
            <w:r w:rsidRPr="004D46AC">
              <w:t>1</w:t>
            </w:r>
          </w:p>
        </w:tc>
        <w:tc>
          <w:tcPr>
            <w:tcW w:w="752" w:type="dxa"/>
            <w:vAlign w:val="center"/>
          </w:tcPr>
          <w:p w14:paraId="14D51ABE" w14:textId="77777777" w:rsidR="009864DB" w:rsidRPr="004D46AC" w:rsidRDefault="009864DB" w:rsidP="009864DB">
            <w:pPr>
              <w:spacing w:line="240" w:lineRule="auto"/>
              <w:ind w:firstLine="0"/>
            </w:pPr>
            <w:r w:rsidRPr="004D46AC">
              <w:t>1</w:t>
            </w:r>
          </w:p>
        </w:tc>
        <w:tc>
          <w:tcPr>
            <w:tcW w:w="1296" w:type="dxa"/>
          </w:tcPr>
          <w:p w14:paraId="4E6FA1DF" w14:textId="77777777" w:rsidR="009864DB" w:rsidRPr="004D46AC" w:rsidRDefault="009864DB" w:rsidP="009864DB">
            <w:pPr>
              <w:spacing w:line="240" w:lineRule="auto"/>
              <w:ind w:firstLine="0"/>
            </w:pPr>
            <w:r w:rsidRPr="004D46AC">
              <w:t>31, 95</w:t>
            </w:r>
          </w:p>
        </w:tc>
        <w:tc>
          <w:tcPr>
            <w:tcW w:w="752" w:type="dxa"/>
            <w:vAlign w:val="center"/>
          </w:tcPr>
          <w:p w14:paraId="2BA1C05B" w14:textId="77777777" w:rsidR="009864DB" w:rsidRPr="004D46AC" w:rsidRDefault="009864DB" w:rsidP="009864DB">
            <w:pPr>
              <w:spacing w:line="240" w:lineRule="auto"/>
              <w:ind w:firstLine="0"/>
            </w:pPr>
            <w:r w:rsidRPr="004D46AC">
              <w:t>NA</w:t>
            </w:r>
          </w:p>
        </w:tc>
        <w:tc>
          <w:tcPr>
            <w:tcW w:w="789" w:type="dxa"/>
            <w:gridSpan w:val="2"/>
            <w:vAlign w:val="center"/>
          </w:tcPr>
          <w:p w14:paraId="775D1C73" w14:textId="77777777" w:rsidR="009864DB" w:rsidRPr="004D46AC" w:rsidRDefault="009864DB" w:rsidP="009864DB">
            <w:pPr>
              <w:spacing w:line="240" w:lineRule="auto"/>
              <w:ind w:firstLine="0"/>
            </w:pPr>
            <w:r w:rsidRPr="004D46AC">
              <w:t>NA</w:t>
            </w:r>
          </w:p>
        </w:tc>
      </w:tr>
      <w:tr w:rsidR="009864DB" w:rsidRPr="004D46AC" w14:paraId="5D98E97D" w14:textId="77777777" w:rsidTr="00B518F1">
        <w:tc>
          <w:tcPr>
            <w:tcW w:w="1476" w:type="dxa"/>
          </w:tcPr>
          <w:p w14:paraId="4C8010E1" w14:textId="77777777" w:rsidR="009864DB" w:rsidRPr="004D46AC" w:rsidRDefault="009864DB" w:rsidP="009864DB">
            <w:pPr>
              <w:spacing w:line="240" w:lineRule="auto"/>
              <w:ind w:firstLine="0"/>
            </w:pPr>
            <w:r w:rsidRPr="004D46AC">
              <w:fldChar w:fldCharType="begin">
                <w:fldData xml:space="preserve">PEVuZE5vdGU+PENpdGUgQXV0aG9yWWVhcj0iMSI+PEF1dGhvcj5NY0dyYWR5PC9BdXRob3I+PFll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instrText xml:space="preserve"> ADDIN EN.CITE </w:instrText>
            </w:r>
            <w:r w:rsidRPr="004D46AC">
              <w:fldChar w:fldCharType="begin">
                <w:fldData xml:space="preserve">PEVuZE5vdGU+PENpdGUgQXV0aG9yWWVhcj0iMSI+PEF1dGhvcj5NY0dyYWR5PC9BdXRob3I+PFll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instrText xml:space="preserve"> ADDIN EN.CITE.DATA </w:instrText>
            </w:r>
            <w:r w:rsidRPr="004D46AC">
              <w:fldChar w:fldCharType="end"/>
            </w:r>
            <w:r w:rsidRPr="004D46AC">
              <w:fldChar w:fldCharType="separate"/>
            </w:r>
            <w:r w:rsidRPr="004D46AC">
              <w:t>McGrady et al. (2017)</w:t>
            </w:r>
            <w:r w:rsidRPr="004D46AC">
              <w:fldChar w:fldCharType="end"/>
            </w:r>
            <w:r w:rsidRPr="004D46AC">
              <w:t xml:space="preserve"> </w:t>
            </w:r>
          </w:p>
        </w:tc>
        <w:tc>
          <w:tcPr>
            <w:tcW w:w="754" w:type="dxa"/>
            <w:vAlign w:val="center"/>
          </w:tcPr>
          <w:p w14:paraId="6814542A" w14:textId="77777777" w:rsidR="009864DB" w:rsidRPr="004D46AC" w:rsidRDefault="009864DB" w:rsidP="009864DB">
            <w:pPr>
              <w:spacing w:line="240" w:lineRule="auto"/>
              <w:ind w:firstLine="0"/>
            </w:pPr>
            <w:r w:rsidRPr="004D46AC">
              <w:t>6</w:t>
            </w:r>
          </w:p>
        </w:tc>
        <w:tc>
          <w:tcPr>
            <w:tcW w:w="766" w:type="dxa"/>
            <w:vAlign w:val="center"/>
          </w:tcPr>
          <w:p w14:paraId="6EEDB396" w14:textId="77777777" w:rsidR="009864DB" w:rsidRPr="004D46AC" w:rsidRDefault="009864DB" w:rsidP="009864DB">
            <w:pPr>
              <w:spacing w:line="240" w:lineRule="auto"/>
              <w:ind w:firstLine="0"/>
            </w:pPr>
            <w:r w:rsidRPr="004D46AC">
              <w:t>42.8</w:t>
            </w:r>
          </w:p>
        </w:tc>
        <w:tc>
          <w:tcPr>
            <w:tcW w:w="1096" w:type="dxa"/>
            <w:vAlign w:val="center"/>
          </w:tcPr>
          <w:p w14:paraId="300F63A6" w14:textId="77777777" w:rsidR="009864DB" w:rsidRPr="004D46AC" w:rsidRDefault="009864DB" w:rsidP="009864DB">
            <w:pPr>
              <w:spacing w:line="240" w:lineRule="auto"/>
              <w:ind w:firstLine="0"/>
            </w:pPr>
            <w:r w:rsidRPr="004D46AC">
              <w:t>DSM4TR</w:t>
            </w:r>
          </w:p>
        </w:tc>
        <w:tc>
          <w:tcPr>
            <w:tcW w:w="1415" w:type="dxa"/>
            <w:vAlign w:val="center"/>
          </w:tcPr>
          <w:p w14:paraId="596EAF58" w14:textId="77777777" w:rsidR="009864DB" w:rsidRPr="004D46AC" w:rsidRDefault="009864DB" w:rsidP="009864DB">
            <w:pPr>
              <w:spacing w:line="240" w:lineRule="auto"/>
              <w:ind w:firstLine="0"/>
            </w:pPr>
            <w:r w:rsidRPr="004D46AC">
              <w:t>unclear</w:t>
            </w:r>
          </w:p>
        </w:tc>
        <w:tc>
          <w:tcPr>
            <w:tcW w:w="876" w:type="dxa"/>
            <w:vAlign w:val="center"/>
          </w:tcPr>
          <w:p w14:paraId="0649AD39" w14:textId="77777777" w:rsidR="009864DB" w:rsidRPr="004D46AC" w:rsidRDefault="009864DB" w:rsidP="009864DB">
            <w:pPr>
              <w:spacing w:line="240" w:lineRule="auto"/>
              <w:ind w:firstLine="0"/>
            </w:pPr>
            <w:r w:rsidRPr="004D46AC">
              <w:t>121</w:t>
            </w:r>
          </w:p>
        </w:tc>
        <w:tc>
          <w:tcPr>
            <w:tcW w:w="986" w:type="dxa"/>
            <w:vAlign w:val="center"/>
          </w:tcPr>
          <w:p w14:paraId="5387068C" w14:textId="77777777" w:rsidR="009864DB" w:rsidRPr="004D46AC" w:rsidRDefault="009864DB" w:rsidP="009864DB">
            <w:pPr>
              <w:spacing w:line="240" w:lineRule="auto"/>
              <w:ind w:firstLine="0"/>
            </w:pPr>
            <w:r w:rsidRPr="004D46AC">
              <w:t>1</w:t>
            </w:r>
          </w:p>
        </w:tc>
        <w:tc>
          <w:tcPr>
            <w:tcW w:w="751" w:type="dxa"/>
            <w:vAlign w:val="center"/>
          </w:tcPr>
          <w:p w14:paraId="7E131474" w14:textId="77777777" w:rsidR="009864DB" w:rsidRPr="004D46AC" w:rsidRDefault="009864DB" w:rsidP="009864DB">
            <w:pPr>
              <w:spacing w:line="240" w:lineRule="auto"/>
              <w:ind w:firstLine="0"/>
            </w:pPr>
            <w:r w:rsidRPr="004D46AC">
              <w:t>1</w:t>
            </w:r>
          </w:p>
        </w:tc>
        <w:tc>
          <w:tcPr>
            <w:tcW w:w="752" w:type="dxa"/>
            <w:vAlign w:val="center"/>
          </w:tcPr>
          <w:p w14:paraId="3D04A00D" w14:textId="77777777" w:rsidR="009864DB" w:rsidRPr="004D46AC" w:rsidRDefault="009864DB" w:rsidP="009864DB">
            <w:pPr>
              <w:spacing w:line="240" w:lineRule="auto"/>
              <w:ind w:firstLine="0"/>
            </w:pPr>
            <w:r w:rsidRPr="004D46AC">
              <w:t>2</w:t>
            </w:r>
          </w:p>
        </w:tc>
        <w:tc>
          <w:tcPr>
            <w:tcW w:w="1296" w:type="dxa"/>
          </w:tcPr>
          <w:p w14:paraId="757CDA93" w14:textId="77777777" w:rsidR="009864DB" w:rsidRPr="004D46AC" w:rsidRDefault="009864DB" w:rsidP="009864DB">
            <w:pPr>
              <w:spacing w:line="240" w:lineRule="auto"/>
              <w:ind w:firstLine="0"/>
            </w:pPr>
            <w:r w:rsidRPr="004D46AC">
              <w:t>59</w:t>
            </w:r>
          </w:p>
        </w:tc>
        <w:tc>
          <w:tcPr>
            <w:tcW w:w="752" w:type="dxa"/>
            <w:vAlign w:val="center"/>
          </w:tcPr>
          <w:p w14:paraId="51DA4106" w14:textId="77777777" w:rsidR="009864DB" w:rsidRPr="004D46AC" w:rsidRDefault="009864DB" w:rsidP="009864DB">
            <w:pPr>
              <w:spacing w:line="240" w:lineRule="auto"/>
              <w:ind w:firstLine="0"/>
            </w:pPr>
            <w:r w:rsidRPr="004D46AC">
              <w:t>NA</w:t>
            </w:r>
          </w:p>
        </w:tc>
        <w:tc>
          <w:tcPr>
            <w:tcW w:w="789" w:type="dxa"/>
            <w:gridSpan w:val="2"/>
            <w:vAlign w:val="center"/>
          </w:tcPr>
          <w:p w14:paraId="3CFD5454" w14:textId="77777777" w:rsidR="009864DB" w:rsidRPr="004D46AC" w:rsidRDefault="009864DB" w:rsidP="009864DB">
            <w:pPr>
              <w:spacing w:line="240" w:lineRule="auto"/>
              <w:ind w:firstLine="0"/>
            </w:pPr>
            <w:r w:rsidRPr="004D46AC">
              <w:t>NA</w:t>
            </w:r>
          </w:p>
        </w:tc>
      </w:tr>
      <w:tr w:rsidR="009864DB" w:rsidRPr="004D46AC" w14:paraId="722987A7" w14:textId="77777777" w:rsidTr="00B518F1">
        <w:tc>
          <w:tcPr>
            <w:tcW w:w="1476" w:type="dxa"/>
          </w:tcPr>
          <w:p w14:paraId="4E424B7B" w14:textId="77777777" w:rsidR="009864DB" w:rsidRPr="004D46AC" w:rsidRDefault="009864DB" w:rsidP="009864DB">
            <w:pPr>
              <w:spacing w:line="240" w:lineRule="auto"/>
              <w:ind w:firstLine="0"/>
            </w:pPr>
            <w:r w:rsidRPr="004D46AC">
              <w:fldChar w:fldCharType="begin">
                <w:fldData xml:space="preserve">PEVuZE5vdGU+PENpdGUgQXV0aG9yWWVhcj0iMSI+PEF1dGhvcj5TYW1lbGxhczwvQXV0aG9yPjxZ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instrText xml:space="preserve"> ADDIN EN.CITE </w:instrText>
            </w:r>
            <w:r w:rsidRPr="004D46AC">
              <w:fldChar w:fldCharType="begin">
                <w:fldData xml:space="preserve">PEVuZE5vdGU+PENpdGUgQXV0aG9yWWVhcj0iMSI+PEF1dGhvcj5TYW1lbGxhczwvQXV0aG9yPjxZ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instrText xml:space="preserve"> ADDIN EN.CITE.DATA </w:instrText>
            </w:r>
            <w:r w:rsidRPr="004D46AC">
              <w:fldChar w:fldCharType="end"/>
            </w:r>
            <w:r w:rsidRPr="004D46AC">
              <w:fldChar w:fldCharType="separate"/>
            </w:r>
            <w:r w:rsidRPr="004D46AC">
              <w:t>Samellas et al. (2004)</w:t>
            </w:r>
            <w:r w:rsidRPr="004D46AC">
              <w:fldChar w:fldCharType="end"/>
            </w:r>
            <w:r w:rsidRPr="004D46AC">
              <w:t xml:space="preserve">  </w:t>
            </w:r>
          </w:p>
        </w:tc>
        <w:tc>
          <w:tcPr>
            <w:tcW w:w="754" w:type="dxa"/>
            <w:vAlign w:val="center"/>
          </w:tcPr>
          <w:p w14:paraId="60569D2D" w14:textId="77777777" w:rsidR="009864DB" w:rsidRPr="004D46AC" w:rsidRDefault="009864DB" w:rsidP="009864DB">
            <w:pPr>
              <w:spacing w:line="240" w:lineRule="auto"/>
              <w:ind w:firstLine="0"/>
            </w:pPr>
            <w:r w:rsidRPr="004D46AC">
              <w:t>6</w:t>
            </w:r>
          </w:p>
        </w:tc>
        <w:tc>
          <w:tcPr>
            <w:tcW w:w="766" w:type="dxa"/>
            <w:vAlign w:val="center"/>
          </w:tcPr>
          <w:p w14:paraId="75D8ABF9" w14:textId="77777777" w:rsidR="009864DB" w:rsidRPr="004D46AC" w:rsidRDefault="009864DB" w:rsidP="009864DB">
            <w:pPr>
              <w:spacing w:line="240" w:lineRule="auto"/>
              <w:ind w:firstLine="0"/>
            </w:pPr>
            <w:r w:rsidRPr="004D46AC">
              <w:t>40</w:t>
            </w:r>
          </w:p>
        </w:tc>
        <w:tc>
          <w:tcPr>
            <w:tcW w:w="1096" w:type="dxa"/>
            <w:vAlign w:val="center"/>
          </w:tcPr>
          <w:p w14:paraId="144A6D7D" w14:textId="77777777" w:rsidR="009864DB" w:rsidRPr="004D46AC" w:rsidRDefault="009864DB" w:rsidP="009864DB">
            <w:pPr>
              <w:spacing w:line="240" w:lineRule="auto"/>
              <w:ind w:firstLine="0"/>
            </w:pPr>
            <w:r w:rsidRPr="004D46AC">
              <w:t>DSM4</w:t>
            </w:r>
          </w:p>
        </w:tc>
        <w:tc>
          <w:tcPr>
            <w:tcW w:w="1415" w:type="dxa"/>
            <w:vAlign w:val="center"/>
          </w:tcPr>
          <w:p w14:paraId="06571BF8" w14:textId="77777777" w:rsidR="009864DB" w:rsidRPr="004D46AC" w:rsidRDefault="009864DB" w:rsidP="009864DB">
            <w:pPr>
              <w:spacing w:line="240" w:lineRule="auto"/>
              <w:ind w:firstLine="0"/>
            </w:pPr>
            <w:r w:rsidRPr="004D46AC">
              <w:t>unclear</w:t>
            </w:r>
          </w:p>
        </w:tc>
        <w:tc>
          <w:tcPr>
            <w:tcW w:w="876" w:type="dxa"/>
            <w:vAlign w:val="center"/>
          </w:tcPr>
          <w:p w14:paraId="56D8BE7A" w14:textId="77777777" w:rsidR="009864DB" w:rsidRPr="004D46AC" w:rsidRDefault="009864DB" w:rsidP="009864DB">
            <w:pPr>
              <w:spacing w:line="240" w:lineRule="auto"/>
              <w:ind w:firstLine="0"/>
            </w:pPr>
            <w:r w:rsidRPr="004D46AC">
              <w:t>74</w:t>
            </w:r>
          </w:p>
        </w:tc>
        <w:tc>
          <w:tcPr>
            <w:tcW w:w="986" w:type="dxa"/>
            <w:vAlign w:val="center"/>
          </w:tcPr>
          <w:p w14:paraId="54102FCD" w14:textId="77777777" w:rsidR="009864DB" w:rsidRPr="004D46AC" w:rsidRDefault="009864DB" w:rsidP="009864DB">
            <w:pPr>
              <w:spacing w:line="240" w:lineRule="auto"/>
              <w:ind w:firstLine="0"/>
            </w:pPr>
            <w:r w:rsidRPr="004D46AC">
              <w:t>3</w:t>
            </w:r>
          </w:p>
        </w:tc>
        <w:tc>
          <w:tcPr>
            <w:tcW w:w="751" w:type="dxa"/>
            <w:vAlign w:val="center"/>
          </w:tcPr>
          <w:p w14:paraId="0C06B161" w14:textId="77777777" w:rsidR="009864DB" w:rsidRPr="004D46AC" w:rsidRDefault="009864DB" w:rsidP="009864DB">
            <w:pPr>
              <w:spacing w:line="240" w:lineRule="auto"/>
              <w:ind w:firstLine="0"/>
            </w:pPr>
            <w:r w:rsidRPr="004D46AC">
              <w:t>2</w:t>
            </w:r>
          </w:p>
        </w:tc>
        <w:tc>
          <w:tcPr>
            <w:tcW w:w="752" w:type="dxa"/>
            <w:vAlign w:val="center"/>
          </w:tcPr>
          <w:p w14:paraId="77CF8AE9" w14:textId="77777777" w:rsidR="009864DB" w:rsidRPr="004D46AC" w:rsidRDefault="009864DB" w:rsidP="009864DB">
            <w:pPr>
              <w:spacing w:line="240" w:lineRule="auto"/>
              <w:ind w:firstLine="0"/>
            </w:pPr>
            <w:r w:rsidRPr="004D46AC">
              <w:t>0</w:t>
            </w:r>
          </w:p>
        </w:tc>
        <w:tc>
          <w:tcPr>
            <w:tcW w:w="1296" w:type="dxa"/>
            <w:vAlign w:val="center"/>
          </w:tcPr>
          <w:p w14:paraId="70110115" w14:textId="77777777" w:rsidR="009864DB" w:rsidRPr="004D46AC" w:rsidRDefault="009864DB" w:rsidP="009864DB">
            <w:pPr>
              <w:spacing w:line="240" w:lineRule="auto"/>
              <w:ind w:firstLine="0"/>
            </w:pPr>
            <w:r w:rsidRPr="004D46AC">
              <w:t>47</w:t>
            </w:r>
          </w:p>
        </w:tc>
        <w:tc>
          <w:tcPr>
            <w:tcW w:w="752" w:type="dxa"/>
            <w:vAlign w:val="center"/>
          </w:tcPr>
          <w:p w14:paraId="576366F5" w14:textId="77777777" w:rsidR="009864DB" w:rsidRPr="004D46AC" w:rsidRDefault="009864DB" w:rsidP="009864DB">
            <w:pPr>
              <w:spacing w:line="240" w:lineRule="auto"/>
              <w:ind w:firstLine="0"/>
            </w:pPr>
            <w:r w:rsidRPr="004D46AC">
              <w:t>NA</w:t>
            </w:r>
          </w:p>
        </w:tc>
        <w:tc>
          <w:tcPr>
            <w:tcW w:w="789" w:type="dxa"/>
            <w:gridSpan w:val="2"/>
            <w:vAlign w:val="center"/>
          </w:tcPr>
          <w:p w14:paraId="1B71A73D" w14:textId="77777777" w:rsidR="009864DB" w:rsidRPr="004D46AC" w:rsidRDefault="009864DB" w:rsidP="009864DB">
            <w:pPr>
              <w:spacing w:line="240" w:lineRule="auto"/>
              <w:ind w:firstLine="0"/>
            </w:pPr>
            <w:r w:rsidRPr="004D46AC">
              <w:t>NA</w:t>
            </w:r>
          </w:p>
        </w:tc>
      </w:tr>
      <w:tr w:rsidR="009864DB" w:rsidRPr="004D46AC" w14:paraId="5A66E3F4" w14:textId="77777777" w:rsidTr="00B518F1">
        <w:tc>
          <w:tcPr>
            <w:tcW w:w="1476" w:type="dxa"/>
          </w:tcPr>
          <w:p w14:paraId="3E461039" w14:textId="77777777" w:rsidR="009864DB" w:rsidRPr="004D46AC" w:rsidRDefault="009864DB" w:rsidP="009864DB">
            <w:pPr>
              <w:spacing w:line="240" w:lineRule="auto"/>
              <w:ind w:firstLine="0"/>
            </w:pPr>
            <w:r w:rsidRPr="004D46AC">
              <w:fldChar w:fldCharType="begin">
                <w:fldData xml:space="preserve">PEVuZE5vdGU+PENpdGUgQXV0aG9yWWVhcj0iMSI+PEF1dGhvcj5EaWxzYXZlcjwvQXV0aG9yPjxZ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=
</w:fldData>
              </w:fldChar>
            </w:r>
            <w:r w:rsidRPr="004D46AC">
              <w:instrText xml:space="preserve"> ADDIN EN.CITE </w:instrText>
            </w:r>
            <w:r w:rsidRPr="004D46AC">
              <w:fldChar w:fldCharType="begin">
                <w:fldData xml:space="preserve">PEVuZE5vdGU+PENpdGUgQXV0aG9yWWVhcj0iMSI+PEF1dGhvcj5EaWxzYXZlcjwvQXV0aG9yPjxZ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=
</w:fldData>
              </w:fldChar>
            </w:r>
            <w:r w:rsidRPr="004D46AC">
              <w:instrText xml:space="preserve"> ADDIN EN.CITE.DATA </w:instrText>
            </w:r>
            <w:r w:rsidRPr="004D46AC">
              <w:fldChar w:fldCharType="end"/>
            </w:r>
            <w:r w:rsidRPr="004D46AC">
              <w:fldChar w:fldCharType="separate"/>
            </w:r>
            <w:r w:rsidRPr="004D46AC">
              <w:t>Dilsaver et al. (1994)</w:t>
            </w:r>
            <w:r w:rsidRPr="004D46AC">
              <w:fldChar w:fldCharType="end"/>
            </w:r>
          </w:p>
        </w:tc>
        <w:tc>
          <w:tcPr>
            <w:tcW w:w="754" w:type="dxa"/>
            <w:vAlign w:val="center"/>
          </w:tcPr>
          <w:p w14:paraId="20E92C9B" w14:textId="77777777" w:rsidR="009864DB" w:rsidRPr="004D46AC" w:rsidRDefault="009864DB" w:rsidP="009864DB">
            <w:pPr>
              <w:spacing w:line="240" w:lineRule="auto"/>
              <w:ind w:firstLine="0"/>
            </w:pPr>
            <w:r w:rsidRPr="004D46AC">
              <w:t>5</w:t>
            </w:r>
          </w:p>
        </w:tc>
        <w:tc>
          <w:tcPr>
            <w:tcW w:w="766" w:type="dxa"/>
            <w:vAlign w:val="center"/>
          </w:tcPr>
          <w:p w14:paraId="2C60FE3E" w14:textId="77777777" w:rsidR="009864DB" w:rsidRPr="004D46AC" w:rsidRDefault="009864DB" w:rsidP="009864DB">
            <w:pPr>
              <w:spacing w:line="240" w:lineRule="auto"/>
              <w:ind w:firstLine="0"/>
            </w:pPr>
            <w:r w:rsidRPr="004D46AC">
              <w:t>34.12</w:t>
            </w:r>
          </w:p>
        </w:tc>
        <w:tc>
          <w:tcPr>
            <w:tcW w:w="1096" w:type="dxa"/>
            <w:vAlign w:val="center"/>
          </w:tcPr>
          <w:p w14:paraId="20065263" w14:textId="77777777" w:rsidR="009864DB" w:rsidRPr="004D46AC" w:rsidRDefault="009864DB" w:rsidP="009864DB">
            <w:pPr>
              <w:spacing w:line="240" w:lineRule="auto"/>
              <w:ind w:firstLine="0"/>
            </w:pPr>
            <w:r w:rsidRPr="004D46AC">
              <w:t>RDC</w:t>
            </w:r>
          </w:p>
        </w:tc>
        <w:tc>
          <w:tcPr>
            <w:tcW w:w="1415" w:type="dxa"/>
            <w:vAlign w:val="center"/>
          </w:tcPr>
          <w:p w14:paraId="2D936CD8" w14:textId="77777777" w:rsidR="009864DB" w:rsidRPr="004D46AC" w:rsidRDefault="009864DB" w:rsidP="009864DB">
            <w:pPr>
              <w:spacing w:line="240" w:lineRule="auto"/>
              <w:ind w:firstLine="0"/>
            </w:pPr>
            <w:r w:rsidRPr="004D46AC">
              <w:t>SADS</w:t>
            </w:r>
          </w:p>
        </w:tc>
        <w:tc>
          <w:tcPr>
            <w:tcW w:w="876" w:type="dxa"/>
            <w:vAlign w:val="center"/>
          </w:tcPr>
          <w:p w14:paraId="0BC35BE2" w14:textId="77777777" w:rsidR="009864DB" w:rsidRPr="004D46AC" w:rsidRDefault="009864DB" w:rsidP="009864DB">
            <w:pPr>
              <w:spacing w:line="240" w:lineRule="auto"/>
              <w:ind w:firstLine="0"/>
            </w:pPr>
            <w:r w:rsidRPr="004D46AC">
              <w:t>75</w:t>
            </w:r>
          </w:p>
        </w:tc>
        <w:tc>
          <w:tcPr>
            <w:tcW w:w="986" w:type="dxa"/>
            <w:vAlign w:val="center"/>
          </w:tcPr>
          <w:p w14:paraId="60A8B688" w14:textId="77777777" w:rsidR="009864DB" w:rsidRPr="004D46AC" w:rsidRDefault="009864DB" w:rsidP="009864DB">
            <w:pPr>
              <w:spacing w:line="240" w:lineRule="auto"/>
              <w:ind w:firstLine="0"/>
            </w:pPr>
            <w:r w:rsidRPr="004D46AC">
              <w:t>3</w:t>
            </w:r>
          </w:p>
        </w:tc>
        <w:tc>
          <w:tcPr>
            <w:tcW w:w="751" w:type="dxa"/>
            <w:vAlign w:val="center"/>
          </w:tcPr>
          <w:p w14:paraId="436F598C" w14:textId="77777777" w:rsidR="009864DB" w:rsidRPr="004D46AC" w:rsidRDefault="009864DB" w:rsidP="009864DB">
            <w:pPr>
              <w:spacing w:line="240" w:lineRule="auto"/>
              <w:ind w:firstLine="0"/>
            </w:pPr>
            <w:r w:rsidRPr="004D46AC">
              <w:t>2</w:t>
            </w:r>
          </w:p>
        </w:tc>
        <w:tc>
          <w:tcPr>
            <w:tcW w:w="752" w:type="dxa"/>
            <w:vAlign w:val="center"/>
          </w:tcPr>
          <w:p w14:paraId="21CB170B" w14:textId="77777777" w:rsidR="009864DB" w:rsidRPr="004D46AC" w:rsidRDefault="009864DB" w:rsidP="009864DB">
            <w:pPr>
              <w:spacing w:line="240" w:lineRule="auto"/>
              <w:ind w:firstLine="0"/>
            </w:pPr>
            <w:r w:rsidRPr="004D46AC">
              <w:t>0</w:t>
            </w:r>
          </w:p>
        </w:tc>
        <w:tc>
          <w:tcPr>
            <w:tcW w:w="1296" w:type="dxa"/>
            <w:vAlign w:val="center"/>
          </w:tcPr>
          <w:p w14:paraId="073FC9E8" w14:textId="77777777" w:rsidR="009864DB" w:rsidRPr="004D46AC" w:rsidRDefault="009864DB" w:rsidP="009864DB">
            <w:pPr>
              <w:spacing w:line="240" w:lineRule="auto"/>
              <w:ind w:firstLine="0"/>
            </w:pPr>
            <w:r w:rsidRPr="004D46AC">
              <w:t>65</w:t>
            </w:r>
          </w:p>
        </w:tc>
        <w:tc>
          <w:tcPr>
            <w:tcW w:w="752" w:type="dxa"/>
            <w:vAlign w:val="center"/>
          </w:tcPr>
          <w:p w14:paraId="353172A5" w14:textId="77777777" w:rsidR="009864DB" w:rsidRPr="004D46AC" w:rsidRDefault="009864DB" w:rsidP="009864DB">
            <w:pPr>
              <w:spacing w:line="240" w:lineRule="auto"/>
              <w:ind w:firstLine="0"/>
            </w:pPr>
            <w:r w:rsidRPr="004D46AC">
              <w:t>NA</w:t>
            </w:r>
          </w:p>
        </w:tc>
        <w:tc>
          <w:tcPr>
            <w:tcW w:w="789" w:type="dxa"/>
            <w:gridSpan w:val="2"/>
            <w:vAlign w:val="center"/>
          </w:tcPr>
          <w:p w14:paraId="4507E19B" w14:textId="77777777" w:rsidR="009864DB" w:rsidRPr="004D46AC" w:rsidRDefault="009864DB" w:rsidP="009864DB">
            <w:pPr>
              <w:spacing w:line="240" w:lineRule="auto"/>
              <w:ind w:firstLine="0"/>
            </w:pPr>
            <w:r w:rsidRPr="004D46AC">
              <w:t>NA</w:t>
            </w:r>
          </w:p>
        </w:tc>
      </w:tr>
      <w:tr w:rsidR="009864DB" w:rsidRPr="004D46AC" w14:paraId="0809AF52" w14:textId="77777777" w:rsidTr="00B518F1">
        <w:tc>
          <w:tcPr>
            <w:tcW w:w="1476" w:type="dxa"/>
          </w:tcPr>
          <w:p w14:paraId="3843F004" w14:textId="77777777" w:rsidR="009864DB" w:rsidRPr="004D46AC" w:rsidRDefault="009864DB" w:rsidP="009864DB">
            <w:pPr>
              <w:spacing w:line="240" w:lineRule="auto"/>
              <w:ind w:firstLine="0"/>
            </w:pPr>
            <w:r w:rsidRPr="004D46AC">
              <w:lastRenderedPageBreak/>
              <w:fldChar w:fldCharType="begin"/>
            </w:r>
            <w:r w:rsidRPr="004D46AC">
              <w:instrText xml:space="preserve"> ADDIN EN.CITE &lt;EndNote&gt;&lt;Cite AuthorYear="1"&gt;&lt;Author&gt;Rybakowski&lt;/Author&gt;&lt;Year&gt;2007&lt;/Year&gt;&lt;RecNum&gt;98&lt;/RecNum&gt;&lt;DisplayText&gt;Rybakowski et al. (2007)&lt;/DisplayText&gt;&lt;record&gt;&lt;rec-number&gt;98&lt;/rec-number&gt;&lt;foreign-keys&gt;&lt;key app="EN" db-id="aet009sstawa0hewvt3xwf5atffdw2dt02sw" timestamp="1665541105"&gt;98&lt;/key&gt;&lt;/foreign-keys&gt;&lt;ref-type name="Journal Article"&gt;17&lt;/ref-type&gt;&lt;contributors&gt;&lt;authors&gt;&lt;author&gt;Rybakowski, J. K.&lt;/author&gt;&lt;author&gt;Suwalska, A.&lt;/author&gt;&lt;author&gt;Lojko, D.&lt;/author&gt;&lt;author&gt;Rymaszewska, J.&lt;/author&gt;&lt;author&gt;Kiejna, A.&lt;/author&gt;&lt;/authors&gt;&lt;/contributors&gt;&lt;auth-address&gt;Department of Adult Psychiatry, Poznan University of Medical Sciences, Poznan, Poland.&lt;/auth-address&gt;&lt;titles&gt;&lt;title&gt;Types of depression more frequent in bipolar than in unipolar affective illness: results of the Polish DEP-BI study&lt;/title&gt;&lt;secondary-title&gt;Psychopathology&lt;/secondary-title&gt;&lt;/titles&gt;&lt;periodical&gt;&lt;full-title&gt;Psychopathology&lt;/full-title&gt;&lt;/periodical&gt;&lt;pages&gt;153-8&lt;/pages&gt;&lt;volume&gt;40&lt;/volume&gt;&lt;number&gt;3&lt;/number&gt;&lt;edition&gt;20070222&lt;/edition&gt;&lt;keywords&gt;&lt;keyword&gt;Adult&lt;/keyword&gt;&lt;keyword&gt;Bipolar Disorder/diagnosis/*epidemiology/*psychology&lt;/keyword&gt;&lt;keyword&gt;Depressive Disorder/diagnosis/*epidemiology/*psychology&lt;/keyword&gt;&lt;keyword&gt;Diagnostic and Statistical Manual of Mental Disorders&lt;/keyword&gt;&lt;keyword&gt;Female&lt;/keyword&gt;&lt;keyword&gt;Humans&lt;/keyword&gt;&lt;keyword&gt;Male&lt;/keyword&gt;&lt;keyword&gt;Prevalence&lt;/keyword&gt;&lt;keyword&gt;Severity of Illness Index&lt;/keyword&gt;&lt;keyword&gt;*Surveys and Questionnaires&lt;/keyword&gt;&lt;/keywords&gt;&lt;dates&gt;&lt;year&gt;2007&lt;/year&gt;&lt;/dates&gt;&lt;isbn&gt;0254-4962 (Print)&amp;#xD;0254-4962 (Linking)&lt;/isbn&gt;&lt;accession-num&gt;17318007&lt;/accession-num&gt;&lt;urls&gt;&lt;related-urls&gt;&lt;url&gt;https://www.ncbi.nlm.nih.gov/pubmed/17318007&lt;/url&gt;&lt;/related-urls&gt;&lt;/urls&gt;&lt;electronic-resource-num&gt;10.1159/000100004&lt;/electronic-resource-num&gt;&lt;remote-database-name&gt;Medline&lt;/remote-database-name&gt;&lt;remote-database-provider&gt;NLM&lt;/remote-database-provider&gt;&lt;language&gt;eng&lt;/language&gt;&lt;/record&gt;&lt;/Cite&gt;&lt;/EndNote&gt;</w:instrText>
            </w:r>
            <w:r w:rsidRPr="004D46AC">
              <w:fldChar w:fldCharType="separate"/>
            </w:r>
            <w:r w:rsidRPr="004D46AC">
              <w:t>Rybakowski et al. (2007)</w:t>
            </w:r>
            <w:r w:rsidRPr="004D46AC">
              <w:fldChar w:fldCharType="end"/>
            </w:r>
          </w:p>
        </w:tc>
        <w:tc>
          <w:tcPr>
            <w:tcW w:w="754" w:type="dxa"/>
            <w:vAlign w:val="center"/>
          </w:tcPr>
          <w:p w14:paraId="215BA445" w14:textId="77777777" w:rsidR="009864DB" w:rsidRPr="004D46AC" w:rsidRDefault="009864DB" w:rsidP="009864DB">
            <w:pPr>
              <w:spacing w:line="240" w:lineRule="auto"/>
              <w:ind w:firstLine="0"/>
            </w:pPr>
            <w:r w:rsidRPr="004D46AC">
              <w:t>7</w:t>
            </w:r>
          </w:p>
        </w:tc>
        <w:tc>
          <w:tcPr>
            <w:tcW w:w="766" w:type="dxa"/>
            <w:vAlign w:val="center"/>
          </w:tcPr>
          <w:p w14:paraId="53B9A43C" w14:textId="77777777" w:rsidR="009864DB" w:rsidRPr="004D46AC" w:rsidRDefault="009864DB" w:rsidP="009864DB">
            <w:pPr>
              <w:spacing w:line="240" w:lineRule="auto"/>
              <w:ind w:firstLine="0"/>
            </w:pPr>
            <w:r w:rsidRPr="004D46AC">
              <w:t>NA</w:t>
            </w:r>
          </w:p>
        </w:tc>
        <w:tc>
          <w:tcPr>
            <w:tcW w:w="1096" w:type="dxa"/>
            <w:vAlign w:val="center"/>
          </w:tcPr>
          <w:p w14:paraId="13DE8258" w14:textId="77777777" w:rsidR="009864DB" w:rsidRPr="004D46AC" w:rsidRDefault="009864DB" w:rsidP="009864DB">
            <w:pPr>
              <w:spacing w:line="240" w:lineRule="auto"/>
              <w:ind w:firstLine="0"/>
            </w:pPr>
            <w:r w:rsidRPr="004D46AC">
              <w:t>DSM4</w:t>
            </w:r>
          </w:p>
        </w:tc>
        <w:tc>
          <w:tcPr>
            <w:tcW w:w="1415" w:type="dxa"/>
            <w:vAlign w:val="center"/>
          </w:tcPr>
          <w:p w14:paraId="5A3B16B3" w14:textId="77777777" w:rsidR="009864DB" w:rsidRPr="004D46AC" w:rsidRDefault="009864DB" w:rsidP="009864DB">
            <w:pPr>
              <w:spacing w:line="240" w:lineRule="auto"/>
              <w:ind w:firstLine="0"/>
            </w:pPr>
            <w:r w:rsidRPr="004D46AC">
              <w:t>unclear</w:t>
            </w:r>
          </w:p>
        </w:tc>
        <w:tc>
          <w:tcPr>
            <w:tcW w:w="876" w:type="dxa"/>
            <w:vAlign w:val="center"/>
          </w:tcPr>
          <w:p w14:paraId="27E2BBBA" w14:textId="77777777" w:rsidR="009864DB" w:rsidRPr="004D46AC" w:rsidRDefault="009864DB" w:rsidP="009864DB">
            <w:pPr>
              <w:spacing w:line="240" w:lineRule="auto"/>
              <w:ind w:firstLine="0"/>
            </w:pPr>
            <w:r w:rsidRPr="004D46AC">
              <w:t>539</w:t>
            </w:r>
          </w:p>
        </w:tc>
        <w:tc>
          <w:tcPr>
            <w:tcW w:w="986" w:type="dxa"/>
            <w:vAlign w:val="center"/>
          </w:tcPr>
          <w:p w14:paraId="40489B39" w14:textId="77777777" w:rsidR="009864DB" w:rsidRPr="004D46AC" w:rsidRDefault="009864DB" w:rsidP="009864DB">
            <w:pPr>
              <w:spacing w:line="240" w:lineRule="auto"/>
              <w:ind w:firstLine="0"/>
            </w:pPr>
            <w:r w:rsidRPr="004D46AC">
              <w:t>1</w:t>
            </w:r>
          </w:p>
        </w:tc>
        <w:tc>
          <w:tcPr>
            <w:tcW w:w="751" w:type="dxa"/>
            <w:vAlign w:val="center"/>
          </w:tcPr>
          <w:p w14:paraId="3C77AC94" w14:textId="77777777" w:rsidR="009864DB" w:rsidRPr="004D46AC" w:rsidRDefault="009864DB" w:rsidP="009864DB">
            <w:pPr>
              <w:spacing w:line="240" w:lineRule="auto"/>
              <w:ind w:firstLine="0"/>
            </w:pPr>
            <w:r w:rsidRPr="004D46AC">
              <w:t>1</w:t>
            </w:r>
          </w:p>
        </w:tc>
        <w:tc>
          <w:tcPr>
            <w:tcW w:w="752" w:type="dxa"/>
            <w:vAlign w:val="center"/>
          </w:tcPr>
          <w:p w14:paraId="56247F8F" w14:textId="77777777" w:rsidR="009864DB" w:rsidRPr="004D46AC" w:rsidRDefault="009864DB" w:rsidP="009864DB">
            <w:pPr>
              <w:spacing w:line="240" w:lineRule="auto"/>
              <w:ind w:firstLine="0"/>
            </w:pPr>
            <w:r w:rsidRPr="004D46AC">
              <w:t>0</w:t>
            </w:r>
          </w:p>
        </w:tc>
        <w:tc>
          <w:tcPr>
            <w:tcW w:w="1296" w:type="dxa"/>
            <w:vAlign w:val="center"/>
          </w:tcPr>
          <w:p w14:paraId="513E69F7" w14:textId="77777777" w:rsidR="009864DB" w:rsidRPr="004D46AC" w:rsidRDefault="009864DB" w:rsidP="009864DB">
            <w:pPr>
              <w:spacing w:line="240" w:lineRule="auto"/>
              <w:ind w:firstLine="0"/>
            </w:pPr>
            <w:r w:rsidRPr="004D46AC">
              <w:t>119</w:t>
            </w:r>
          </w:p>
        </w:tc>
        <w:tc>
          <w:tcPr>
            <w:tcW w:w="752" w:type="dxa"/>
            <w:vAlign w:val="center"/>
          </w:tcPr>
          <w:p w14:paraId="6273FA7A" w14:textId="77777777" w:rsidR="009864DB" w:rsidRPr="004D46AC" w:rsidRDefault="009864DB" w:rsidP="009864DB">
            <w:pPr>
              <w:spacing w:line="240" w:lineRule="auto"/>
              <w:ind w:firstLine="0"/>
            </w:pPr>
            <w:r w:rsidRPr="004D46AC">
              <w:t>NA</w:t>
            </w:r>
          </w:p>
        </w:tc>
        <w:tc>
          <w:tcPr>
            <w:tcW w:w="789" w:type="dxa"/>
            <w:gridSpan w:val="2"/>
            <w:vAlign w:val="center"/>
          </w:tcPr>
          <w:p w14:paraId="165CFAAE" w14:textId="77777777" w:rsidR="009864DB" w:rsidRPr="004D46AC" w:rsidRDefault="009864DB" w:rsidP="009864DB">
            <w:pPr>
              <w:spacing w:line="240" w:lineRule="auto"/>
              <w:ind w:firstLine="0"/>
            </w:pPr>
            <w:r w:rsidRPr="004D46AC">
              <w:t>NA</w:t>
            </w:r>
          </w:p>
        </w:tc>
      </w:tr>
      <w:tr w:rsidR="009864DB" w:rsidRPr="004D46AC" w14:paraId="29DDC41A" w14:textId="77777777" w:rsidTr="00B518F1">
        <w:tc>
          <w:tcPr>
            <w:tcW w:w="1476" w:type="dxa"/>
          </w:tcPr>
          <w:p w14:paraId="7697828D" w14:textId="77777777" w:rsidR="009864DB" w:rsidRPr="004D46AC" w:rsidRDefault="009864DB" w:rsidP="009864DB">
            <w:pPr>
              <w:spacing w:line="240" w:lineRule="auto"/>
              <w:ind w:firstLine="0"/>
            </w:pPr>
            <w:r w:rsidRPr="004D46AC">
              <w:fldChar w:fldCharType="begin">
                <w:fldData xml:space="preserve">PEVuZE5vdGU+PENpdGUgQXV0aG9yWWVhcj0iMSI+PEF1dGhvcj5LYXltYXo8L0F1dGhvcj48WWVh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</w:fldData>
              </w:fldChar>
            </w:r>
            <w:r w:rsidRPr="004D46AC">
              <w:instrText xml:space="preserve"> ADDIN EN.CITE </w:instrText>
            </w:r>
            <w:r w:rsidRPr="004D46AC">
              <w:fldChar w:fldCharType="begin">
                <w:fldData xml:space="preserve">PEVuZE5vdGU+PENpdGUgQXV0aG9yWWVhcj0iMSI+PEF1dGhvcj5LYXltYXo8L0F1dGhvcj48WWVh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</w:fldData>
              </w:fldChar>
            </w:r>
            <w:r w:rsidRPr="004D46AC">
              <w:instrText xml:space="preserve"> ADDIN EN.CITE.DATA </w:instrText>
            </w:r>
            <w:r w:rsidRPr="004D46AC">
              <w:fldChar w:fldCharType="end"/>
            </w:r>
            <w:r w:rsidRPr="004D46AC">
              <w:fldChar w:fldCharType="separate"/>
            </w:r>
            <w:r w:rsidRPr="004D46AC">
              <w:t>Kaymaz et al. (2006)</w:t>
            </w:r>
            <w:r w:rsidRPr="004D46AC">
              <w:fldChar w:fldCharType="end"/>
            </w:r>
          </w:p>
        </w:tc>
        <w:tc>
          <w:tcPr>
            <w:tcW w:w="754" w:type="dxa"/>
            <w:vAlign w:val="center"/>
          </w:tcPr>
          <w:p w14:paraId="2D784A0B" w14:textId="77777777" w:rsidR="009864DB" w:rsidRPr="004D46AC" w:rsidRDefault="009864DB" w:rsidP="009864DB">
            <w:pPr>
              <w:spacing w:line="240" w:lineRule="auto"/>
              <w:ind w:firstLine="0"/>
            </w:pPr>
            <w:r w:rsidRPr="004D46AC">
              <w:t>6</w:t>
            </w:r>
          </w:p>
        </w:tc>
        <w:tc>
          <w:tcPr>
            <w:tcW w:w="766" w:type="dxa"/>
            <w:vAlign w:val="center"/>
          </w:tcPr>
          <w:p w14:paraId="7ABD5458" w14:textId="77777777" w:rsidR="009864DB" w:rsidRPr="004D46AC" w:rsidRDefault="009864DB" w:rsidP="009864DB">
            <w:pPr>
              <w:spacing w:line="240" w:lineRule="auto"/>
              <w:ind w:firstLine="0"/>
            </w:pPr>
            <w:r w:rsidRPr="004D46AC">
              <w:t>41.2</w:t>
            </w:r>
          </w:p>
        </w:tc>
        <w:tc>
          <w:tcPr>
            <w:tcW w:w="1096" w:type="dxa"/>
            <w:vAlign w:val="center"/>
          </w:tcPr>
          <w:p w14:paraId="4C59B7B1" w14:textId="77777777" w:rsidR="009864DB" w:rsidRPr="004D46AC" w:rsidRDefault="009864DB" w:rsidP="009864DB">
            <w:pPr>
              <w:spacing w:line="240" w:lineRule="auto"/>
              <w:ind w:firstLine="0"/>
            </w:pPr>
            <w:r w:rsidRPr="004D46AC">
              <w:t>DSM3R</w:t>
            </w:r>
          </w:p>
        </w:tc>
        <w:tc>
          <w:tcPr>
            <w:tcW w:w="1415" w:type="dxa"/>
            <w:vAlign w:val="center"/>
          </w:tcPr>
          <w:p w14:paraId="28E8E7BB" w14:textId="77777777" w:rsidR="009864DB" w:rsidRPr="004D46AC" w:rsidRDefault="009864DB" w:rsidP="009864DB">
            <w:pPr>
              <w:spacing w:line="240" w:lineRule="auto"/>
              <w:ind w:firstLine="0"/>
            </w:pPr>
            <w:r w:rsidRPr="004D46AC">
              <w:t>CIDI</w:t>
            </w:r>
          </w:p>
        </w:tc>
        <w:tc>
          <w:tcPr>
            <w:tcW w:w="876" w:type="dxa"/>
            <w:vAlign w:val="center"/>
          </w:tcPr>
          <w:p w14:paraId="0A0EB007" w14:textId="77777777" w:rsidR="009864DB" w:rsidRPr="004D46AC" w:rsidRDefault="009864DB" w:rsidP="009864DB">
            <w:pPr>
              <w:spacing w:line="240" w:lineRule="auto"/>
              <w:ind w:firstLine="0"/>
            </w:pPr>
            <w:r w:rsidRPr="004D46AC">
              <w:t>132</w:t>
            </w:r>
          </w:p>
        </w:tc>
        <w:tc>
          <w:tcPr>
            <w:tcW w:w="986" w:type="dxa"/>
            <w:vAlign w:val="center"/>
          </w:tcPr>
          <w:p w14:paraId="7083ADC5" w14:textId="77777777" w:rsidR="009864DB" w:rsidRPr="004D46AC" w:rsidRDefault="009864DB" w:rsidP="009864DB">
            <w:pPr>
              <w:spacing w:line="240" w:lineRule="auto"/>
              <w:ind w:firstLine="0"/>
            </w:pPr>
            <w:r w:rsidRPr="004D46AC">
              <w:t>unclear</w:t>
            </w:r>
          </w:p>
        </w:tc>
        <w:tc>
          <w:tcPr>
            <w:tcW w:w="751" w:type="dxa"/>
            <w:vAlign w:val="center"/>
          </w:tcPr>
          <w:p w14:paraId="06AE455F" w14:textId="77777777" w:rsidR="009864DB" w:rsidRPr="004D46AC" w:rsidRDefault="009864DB" w:rsidP="009864DB">
            <w:pPr>
              <w:spacing w:line="240" w:lineRule="auto"/>
              <w:ind w:firstLine="0"/>
            </w:pPr>
            <w:r w:rsidRPr="004D46AC">
              <w:t>1</w:t>
            </w:r>
          </w:p>
        </w:tc>
        <w:tc>
          <w:tcPr>
            <w:tcW w:w="752" w:type="dxa"/>
            <w:vAlign w:val="center"/>
          </w:tcPr>
          <w:p w14:paraId="66A80914" w14:textId="77777777" w:rsidR="009864DB" w:rsidRPr="004D46AC" w:rsidRDefault="009864DB" w:rsidP="009864DB">
            <w:pPr>
              <w:spacing w:line="240" w:lineRule="auto"/>
              <w:ind w:firstLine="0"/>
            </w:pPr>
            <w:r w:rsidRPr="004D46AC">
              <w:t>2</w:t>
            </w:r>
          </w:p>
        </w:tc>
        <w:tc>
          <w:tcPr>
            <w:tcW w:w="1296" w:type="dxa"/>
          </w:tcPr>
          <w:p w14:paraId="57712D9D" w14:textId="77777777" w:rsidR="009864DB" w:rsidRPr="004D46AC" w:rsidRDefault="009864DB" w:rsidP="009864DB">
            <w:pPr>
              <w:spacing w:line="240" w:lineRule="auto"/>
              <w:ind w:firstLine="0"/>
            </w:pPr>
            <w:r w:rsidRPr="004D46AC">
              <w:t>15</w:t>
            </w:r>
          </w:p>
        </w:tc>
        <w:tc>
          <w:tcPr>
            <w:tcW w:w="752" w:type="dxa"/>
            <w:vAlign w:val="center"/>
          </w:tcPr>
          <w:p w14:paraId="2BEFC8B6" w14:textId="77777777" w:rsidR="009864DB" w:rsidRPr="004D46AC" w:rsidRDefault="009864DB" w:rsidP="009864DB">
            <w:pPr>
              <w:spacing w:line="240" w:lineRule="auto"/>
              <w:ind w:firstLine="0"/>
            </w:pPr>
            <w:r w:rsidRPr="004D46AC">
              <w:t>NA</w:t>
            </w:r>
          </w:p>
        </w:tc>
        <w:tc>
          <w:tcPr>
            <w:tcW w:w="789" w:type="dxa"/>
            <w:gridSpan w:val="2"/>
            <w:vAlign w:val="center"/>
          </w:tcPr>
          <w:p w14:paraId="28F3BE71" w14:textId="77777777" w:rsidR="009864DB" w:rsidRPr="004D46AC" w:rsidRDefault="009864DB" w:rsidP="009864DB">
            <w:pPr>
              <w:spacing w:line="240" w:lineRule="auto"/>
              <w:ind w:firstLine="0"/>
            </w:pPr>
            <w:r w:rsidRPr="004D46AC">
              <w:t>NA</w:t>
            </w:r>
          </w:p>
        </w:tc>
      </w:tr>
      <w:tr w:rsidR="009864DB" w:rsidRPr="004D46AC" w14:paraId="620F5B41" w14:textId="77777777" w:rsidTr="00B518F1">
        <w:tc>
          <w:tcPr>
            <w:tcW w:w="1476" w:type="dxa"/>
          </w:tcPr>
          <w:p w14:paraId="3BB8E52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AuthorYear="1"&gt;&lt;Author&gt;Akiskal&lt;/Author&gt;&lt;Year&gt;2005&lt;/Year&gt;&lt;RecNum&gt;100&lt;/RecNum&gt;&lt;DisplayText&gt;Akiskal and Benazzi (2005)&lt;/DisplayText&gt;&lt;record&gt;&lt;rec-number&gt;100&lt;/rec-number&gt;&lt;foreign-keys&gt;&lt;key app="EN" db-id="aet009sstawa0hewvt3xwf5atffdw2dt02sw" timestamp="1665546513"&gt;100&lt;/key&gt;&lt;/foreign-keys&gt;&lt;ref-type name="Journal Article"&gt;17&lt;/ref-type&gt;&lt;contributors&gt;&lt;authors&gt;&lt;author&gt;Akiskal, H. S.&lt;/author&gt;&lt;author&gt;Benazzi, F.&lt;/author&gt;&lt;/authors&gt;&lt;/contributors&gt;&lt;auth-address&gt;International Mood Center, University of California at San Diego, Calif. 92161, USA. hakiskal@ucsd.edu&lt;/auth-address&gt;&lt;titles&gt;&lt;title&gt;Psychopathologic correlates of suicidal ideation in major depressive outpatients: is it all due to unrecognized (bipolar) depressive mixed states?&lt;/title&gt;&lt;secondary-title&gt;Psychopathology&lt;/secondary-title&gt;&lt;/titles&gt;&lt;periodical&gt;&lt;full-title&gt;Psychopathology&lt;/full-title&gt;&lt;/periodical&gt;&lt;pages&gt;273-80&lt;/pages&gt;&lt;volume&gt;38&lt;/volume&gt;&lt;number&gt;5&lt;/number&gt;&lt;edition&gt;20050921&lt;/edition&gt;&lt;keywords&gt;&lt;keyword&gt;Adult&lt;/keyword&gt;&lt;keyword&gt;Bipolar Disorder/diagnosis/*epidemiology/*psychology&lt;/keyword&gt;&lt;keyword&gt;Depressive Disorder, Major/diagnosis/*epidemiology/*psychology&lt;/keyword&gt;&lt;keyword&gt;Diagnosis, Differential&lt;/keyword&gt;&lt;keyword&gt;Female&lt;/keyword&gt;&lt;keyword&gt;Humans&lt;/keyword&gt;&lt;keyword&gt;Interview, Psychological&lt;/keyword&gt;&lt;keyword&gt;Male&lt;/keyword&gt;&lt;keyword&gt;Self Concept&lt;/keyword&gt;&lt;keyword&gt;Suicide, Attempted/*psychology/*statistics &amp;amp; numerical data&lt;/keyword&gt;&lt;/keywords&gt;&lt;dates&gt;&lt;year&gt;2005&lt;/year&gt;&lt;pub-dates&gt;&lt;date&gt;Sep-Oct&lt;/date&gt;&lt;/pub-dates&gt;&lt;/dates&gt;&lt;isbn&gt;0254-4962 (Print)&amp;#xD;0254-4962 (Linking)&lt;/isbn&gt;&lt;accession-num&gt;16179814&lt;/accession-num&gt;&lt;urls&gt;&lt;related-urls&gt;&lt;url&gt;https://www.ncbi.nlm.nih.gov/pubmed/16179814&lt;/url&gt;&lt;/related-urls&gt;&lt;/urls&gt;&lt;electronic-resource-num&gt;10.1159/000088445&lt;/electronic-resource-num&gt;&lt;remote-database-name&gt;Medline&lt;/remote-database-name&gt;&lt;remote-database-provider&gt;NLM&lt;/remote-database-provider&gt;&lt;language&gt;eng&lt;/language&gt;&lt;/record&gt;&lt;/Cite&gt;&lt;/EndNote&gt;</w:instrText>
            </w:r>
            <w:r w:rsidRPr="004D46AC">
              <w:fldChar w:fldCharType="separate"/>
            </w:r>
            <w:r w:rsidRPr="004D46AC">
              <w:t>Akiskal and Benazzi (2005)</w:t>
            </w:r>
            <w:r w:rsidRPr="004D46AC">
              <w:fldChar w:fldCharType="end"/>
            </w:r>
          </w:p>
        </w:tc>
        <w:tc>
          <w:tcPr>
            <w:tcW w:w="754" w:type="dxa"/>
            <w:vAlign w:val="center"/>
          </w:tcPr>
          <w:p w14:paraId="3F3AC1A2" w14:textId="77777777" w:rsidR="009864DB" w:rsidRPr="004D46AC" w:rsidRDefault="009864DB" w:rsidP="009864DB">
            <w:pPr>
              <w:spacing w:line="240" w:lineRule="auto"/>
              <w:ind w:firstLine="0"/>
            </w:pPr>
            <w:r w:rsidRPr="004D46AC">
              <w:t>7</w:t>
            </w:r>
          </w:p>
        </w:tc>
        <w:tc>
          <w:tcPr>
            <w:tcW w:w="766" w:type="dxa"/>
            <w:vAlign w:val="center"/>
          </w:tcPr>
          <w:p w14:paraId="4C2348DB" w14:textId="77777777" w:rsidR="009864DB" w:rsidRPr="004D46AC" w:rsidRDefault="009864DB" w:rsidP="009864DB">
            <w:pPr>
              <w:spacing w:line="240" w:lineRule="auto"/>
              <w:ind w:firstLine="0"/>
            </w:pPr>
            <w:r w:rsidRPr="004D46AC">
              <w:t>41.3</w:t>
            </w:r>
          </w:p>
        </w:tc>
        <w:tc>
          <w:tcPr>
            <w:tcW w:w="1096" w:type="dxa"/>
            <w:vAlign w:val="center"/>
          </w:tcPr>
          <w:p w14:paraId="00AECDB5" w14:textId="77777777" w:rsidR="009864DB" w:rsidRPr="004D46AC" w:rsidRDefault="009864DB" w:rsidP="009864DB">
            <w:pPr>
              <w:spacing w:line="240" w:lineRule="auto"/>
              <w:ind w:firstLine="0"/>
            </w:pPr>
            <w:r w:rsidRPr="004D46AC">
              <w:t>DSM4</w:t>
            </w:r>
          </w:p>
        </w:tc>
        <w:tc>
          <w:tcPr>
            <w:tcW w:w="1415" w:type="dxa"/>
            <w:vAlign w:val="center"/>
          </w:tcPr>
          <w:p w14:paraId="4D164B8E" w14:textId="77777777" w:rsidR="009864DB" w:rsidRPr="004D46AC" w:rsidRDefault="009864DB" w:rsidP="009864DB">
            <w:pPr>
              <w:spacing w:line="240" w:lineRule="auto"/>
              <w:ind w:firstLine="0"/>
            </w:pPr>
            <w:r w:rsidRPr="004D46AC">
              <w:t>SCID-C</w:t>
            </w:r>
          </w:p>
        </w:tc>
        <w:tc>
          <w:tcPr>
            <w:tcW w:w="876" w:type="dxa"/>
            <w:vAlign w:val="center"/>
          </w:tcPr>
          <w:p w14:paraId="6B5D6645" w14:textId="77777777" w:rsidR="009864DB" w:rsidRPr="004D46AC" w:rsidRDefault="009864DB" w:rsidP="009864DB">
            <w:pPr>
              <w:spacing w:line="240" w:lineRule="auto"/>
              <w:ind w:firstLine="0"/>
            </w:pPr>
            <w:r w:rsidRPr="004D46AC">
              <w:t>374</w:t>
            </w:r>
          </w:p>
        </w:tc>
        <w:tc>
          <w:tcPr>
            <w:tcW w:w="986" w:type="dxa"/>
            <w:vAlign w:val="center"/>
          </w:tcPr>
          <w:p w14:paraId="792948A5" w14:textId="77777777" w:rsidR="009864DB" w:rsidRPr="004D46AC" w:rsidRDefault="009864DB" w:rsidP="009864DB">
            <w:pPr>
              <w:spacing w:line="240" w:lineRule="auto"/>
              <w:ind w:firstLine="0"/>
            </w:pPr>
            <w:r w:rsidRPr="004D46AC">
              <w:t>1</w:t>
            </w:r>
          </w:p>
        </w:tc>
        <w:tc>
          <w:tcPr>
            <w:tcW w:w="751" w:type="dxa"/>
            <w:vAlign w:val="center"/>
          </w:tcPr>
          <w:p w14:paraId="3FD4CB37" w14:textId="77777777" w:rsidR="009864DB" w:rsidRPr="004D46AC" w:rsidRDefault="009864DB" w:rsidP="009864DB">
            <w:pPr>
              <w:spacing w:line="240" w:lineRule="auto"/>
              <w:ind w:firstLine="0"/>
            </w:pPr>
            <w:r w:rsidRPr="004D46AC">
              <w:t>0</w:t>
            </w:r>
          </w:p>
        </w:tc>
        <w:tc>
          <w:tcPr>
            <w:tcW w:w="752" w:type="dxa"/>
            <w:vAlign w:val="center"/>
          </w:tcPr>
          <w:p w14:paraId="6184DEC3" w14:textId="77777777" w:rsidR="009864DB" w:rsidRPr="004D46AC" w:rsidRDefault="009864DB" w:rsidP="009864DB">
            <w:pPr>
              <w:spacing w:line="240" w:lineRule="auto"/>
              <w:ind w:firstLine="0"/>
            </w:pPr>
            <w:r w:rsidRPr="004D46AC">
              <w:t>0</w:t>
            </w:r>
          </w:p>
        </w:tc>
        <w:tc>
          <w:tcPr>
            <w:tcW w:w="1296" w:type="dxa"/>
            <w:vAlign w:val="center"/>
          </w:tcPr>
          <w:p w14:paraId="4162BA41" w14:textId="77777777" w:rsidR="009864DB" w:rsidRPr="004D46AC" w:rsidRDefault="009864DB" w:rsidP="009864DB">
            <w:pPr>
              <w:spacing w:line="240" w:lineRule="auto"/>
              <w:ind w:firstLine="0"/>
            </w:pPr>
            <w:r w:rsidRPr="004D46AC">
              <w:t>29</w:t>
            </w:r>
          </w:p>
        </w:tc>
        <w:tc>
          <w:tcPr>
            <w:tcW w:w="752" w:type="dxa"/>
            <w:vAlign w:val="center"/>
          </w:tcPr>
          <w:p w14:paraId="03901A2C" w14:textId="77777777" w:rsidR="009864DB" w:rsidRPr="004D46AC" w:rsidRDefault="009864DB" w:rsidP="009864DB">
            <w:pPr>
              <w:spacing w:line="240" w:lineRule="auto"/>
              <w:ind w:firstLine="0"/>
            </w:pPr>
            <w:r w:rsidRPr="004D46AC">
              <w:t>NA</w:t>
            </w:r>
          </w:p>
        </w:tc>
        <w:tc>
          <w:tcPr>
            <w:tcW w:w="789" w:type="dxa"/>
            <w:gridSpan w:val="2"/>
            <w:vAlign w:val="center"/>
          </w:tcPr>
          <w:p w14:paraId="4A48B332" w14:textId="77777777" w:rsidR="009864DB" w:rsidRPr="004D46AC" w:rsidRDefault="009864DB" w:rsidP="009864DB">
            <w:pPr>
              <w:spacing w:line="240" w:lineRule="auto"/>
              <w:ind w:firstLine="0"/>
            </w:pPr>
            <w:r w:rsidRPr="004D46AC">
              <w:t>NA</w:t>
            </w:r>
          </w:p>
        </w:tc>
      </w:tr>
      <w:tr w:rsidR="009864DB" w:rsidRPr="004D46AC" w14:paraId="4BCA10DA" w14:textId="77777777" w:rsidTr="00B518F1">
        <w:tc>
          <w:tcPr>
            <w:tcW w:w="1476" w:type="dxa"/>
          </w:tcPr>
          <w:p w14:paraId="022CC181" w14:textId="77777777" w:rsidR="009864DB" w:rsidRPr="004D46AC" w:rsidRDefault="009864DB" w:rsidP="009864DB">
            <w:pPr>
              <w:spacing w:line="240" w:lineRule="auto"/>
              <w:ind w:firstLine="0"/>
            </w:pPr>
            <w:r w:rsidRPr="004D46AC">
              <w:fldChar w:fldCharType="begin">
                <w:fldData xml:space="preserve">PEVuZE5vdGU+PENpdGUgQXV0aG9yWWVhcj0iMSI+PEF1dGhvcj5QYXZsb3ZhPC9BdXRob3I+PFll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</w:fldData>
              </w:fldChar>
            </w:r>
            <w:r w:rsidRPr="004D46AC">
              <w:instrText xml:space="preserve"> ADDIN EN.CITE </w:instrText>
            </w:r>
            <w:r w:rsidRPr="004D46AC">
              <w:fldChar w:fldCharType="begin">
                <w:fldData xml:space="preserve">PEVuZE5vdGU+PENpdGUgQXV0aG9yWWVhcj0iMSI+PEF1dGhvcj5QYXZsb3ZhPC9BdXRob3I+PFll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</w:fldData>
              </w:fldChar>
            </w:r>
            <w:r w:rsidRPr="004D46AC">
              <w:instrText xml:space="preserve"> ADDIN EN.CITE.DATA </w:instrText>
            </w:r>
            <w:r w:rsidRPr="004D46AC">
              <w:fldChar w:fldCharType="end"/>
            </w:r>
            <w:r w:rsidRPr="004D46AC">
              <w:fldChar w:fldCharType="separate"/>
            </w:r>
            <w:r w:rsidRPr="004D46AC">
              <w:t>Pavlova et al. (2018)</w:t>
            </w:r>
            <w:r w:rsidRPr="004D46AC">
              <w:fldChar w:fldCharType="end"/>
            </w:r>
          </w:p>
        </w:tc>
        <w:tc>
          <w:tcPr>
            <w:tcW w:w="754" w:type="dxa"/>
            <w:vAlign w:val="center"/>
          </w:tcPr>
          <w:p w14:paraId="0A083321" w14:textId="77777777" w:rsidR="009864DB" w:rsidRPr="004D46AC" w:rsidRDefault="009864DB" w:rsidP="009864DB">
            <w:pPr>
              <w:spacing w:line="240" w:lineRule="auto"/>
              <w:ind w:firstLine="0"/>
            </w:pPr>
            <w:r w:rsidRPr="004D46AC">
              <w:t>6</w:t>
            </w:r>
          </w:p>
        </w:tc>
        <w:tc>
          <w:tcPr>
            <w:tcW w:w="766" w:type="dxa"/>
            <w:vAlign w:val="center"/>
          </w:tcPr>
          <w:p w14:paraId="779E347B" w14:textId="77777777" w:rsidR="009864DB" w:rsidRPr="004D46AC" w:rsidRDefault="009864DB" w:rsidP="009864DB">
            <w:pPr>
              <w:spacing w:line="240" w:lineRule="auto"/>
              <w:ind w:firstLine="0"/>
            </w:pPr>
            <w:r w:rsidRPr="004D46AC">
              <w:t>41.79</w:t>
            </w:r>
          </w:p>
        </w:tc>
        <w:tc>
          <w:tcPr>
            <w:tcW w:w="1096" w:type="dxa"/>
            <w:vAlign w:val="center"/>
          </w:tcPr>
          <w:p w14:paraId="0B504C10" w14:textId="77777777" w:rsidR="009864DB" w:rsidRPr="004D46AC" w:rsidRDefault="009864DB" w:rsidP="009864DB">
            <w:pPr>
              <w:spacing w:line="240" w:lineRule="auto"/>
              <w:ind w:firstLine="0"/>
            </w:pPr>
            <w:r w:rsidRPr="004D46AC">
              <w:t>DSM4TR</w:t>
            </w:r>
          </w:p>
        </w:tc>
        <w:tc>
          <w:tcPr>
            <w:tcW w:w="1415" w:type="dxa"/>
            <w:vAlign w:val="center"/>
          </w:tcPr>
          <w:p w14:paraId="2282B00C" w14:textId="77777777" w:rsidR="009864DB" w:rsidRPr="004D46AC" w:rsidRDefault="009864DB" w:rsidP="009864DB">
            <w:pPr>
              <w:spacing w:line="240" w:lineRule="auto"/>
              <w:ind w:firstLine="0"/>
            </w:pPr>
            <w:r w:rsidRPr="004D46AC">
              <w:t>MINI</w:t>
            </w:r>
          </w:p>
        </w:tc>
        <w:tc>
          <w:tcPr>
            <w:tcW w:w="876" w:type="dxa"/>
            <w:vAlign w:val="center"/>
          </w:tcPr>
          <w:p w14:paraId="0AA8729C" w14:textId="77777777" w:rsidR="009864DB" w:rsidRPr="004D46AC" w:rsidRDefault="009864DB" w:rsidP="009864DB">
            <w:pPr>
              <w:spacing w:line="240" w:lineRule="auto"/>
              <w:ind w:firstLine="0"/>
            </w:pPr>
            <w:r w:rsidRPr="004D46AC">
              <w:t>174</w:t>
            </w:r>
          </w:p>
        </w:tc>
        <w:tc>
          <w:tcPr>
            <w:tcW w:w="986" w:type="dxa"/>
            <w:vAlign w:val="center"/>
          </w:tcPr>
          <w:p w14:paraId="7B4191A0" w14:textId="77777777" w:rsidR="009864DB" w:rsidRPr="004D46AC" w:rsidRDefault="009864DB" w:rsidP="009864DB">
            <w:pPr>
              <w:spacing w:line="240" w:lineRule="auto"/>
              <w:ind w:firstLine="0"/>
            </w:pPr>
            <w:r w:rsidRPr="004D46AC">
              <w:t>unclear</w:t>
            </w:r>
          </w:p>
        </w:tc>
        <w:tc>
          <w:tcPr>
            <w:tcW w:w="751" w:type="dxa"/>
            <w:vAlign w:val="center"/>
          </w:tcPr>
          <w:p w14:paraId="1D7CA7DB" w14:textId="77777777" w:rsidR="009864DB" w:rsidRPr="004D46AC" w:rsidRDefault="009864DB" w:rsidP="009864DB">
            <w:pPr>
              <w:spacing w:line="240" w:lineRule="auto"/>
              <w:ind w:firstLine="0"/>
            </w:pPr>
            <w:r w:rsidRPr="004D46AC">
              <w:t>1</w:t>
            </w:r>
          </w:p>
        </w:tc>
        <w:tc>
          <w:tcPr>
            <w:tcW w:w="752" w:type="dxa"/>
            <w:vAlign w:val="center"/>
          </w:tcPr>
          <w:p w14:paraId="5240326E" w14:textId="77777777" w:rsidR="009864DB" w:rsidRPr="004D46AC" w:rsidRDefault="009864DB" w:rsidP="009864DB">
            <w:pPr>
              <w:spacing w:line="240" w:lineRule="auto"/>
              <w:ind w:firstLine="0"/>
            </w:pPr>
            <w:r w:rsidRPr="004D46AC">
              <w:t>0</w:t>
            </w:r>
          </w:p>
        </w:tc>
        <w:tc>
          <w:tcPr>
            <w:tcW w:w="1296" w:type="dxa"/>
            <w:vAlign w:val="center"/>
          </w:tcPr>
          <w:p w14:paraId="03DB96CF" w14:textId="77777777" w:rsidR="009864DB" w:rsidRPr="004D46AC" w:rsidRDefault="009864DB" w:rsidP="009864DB">
            <w:pPr>
              <w:spacing w:line="240" w:lineRule="auto"/>
              <w:ind w:firstLine="0"/>
            </w:pPr>
            <w:r w:rsidRPr="004D46AC">
              <w:t>37</w:t>
            </w:r>
          </w:p>
        </w:tc>
        <w:tc>
          <w:tcPr>
            <w:tcW w:w="752" w:type="dxa"/>
            <w:vAlign w:val="center"/>
          </w:tcPr>
          <w:p w14:paraId="1A352572" w14:textId="77777777" w:rsidR="009864DB" w:rsidRPr="004D46AC" w:rsidRDefault="009864DB" w:rsidP="009864DB">
            <w:pPr>
              <w:spacing w:line="240" w:lineRule="auto"/>
              <w:ind w:firstLine="0"/>
            </w:pPr>
            <w:r w:rsidRPr="004D46AC">
              <w:t>NA</w:t>
            </w:r>
          </w:p>
        </w:tc>
        <w:tc>
          <w:tcPr>
            <w:tcW w:w="789" w:type="dxa"/>
            <w:gridSpan w:val="2"/>
            <w:vAlign w:val="center"/>
          </w:tcPr>
          <w:p w14:paraId="03EA3A45" w14:textId="77777777" w:rsidR="009864DB" w:rsidRPr="004D46AC" w:rsidRDefault="009864DB" w:rsidP="009864DB">
            <w:pPr>
              <w:spacing w:line="240" w:lineRule="auto"/>
              <w:ind w:firstLine="0"/>
            </w:pPr>
            <w:r w:rsidRPr="004D46AC">
              <w:t>NA</w:t>
            </w:r>
          </w:p>
        </w:tc>
      </w:tr>
      <w:tr w:rsidR="009864DB" w:rsidRPr="004D46AC" w14:paraId="1DEA4FEB" w14:textId="77777777" w:rsidTr="00B518F1">
        <w:tc>
          <w:tcPr>
            <w:tcW w:w="1476" w:type="dxa"/>
          </w:tcPr>
          <w:p w14:paraId="21F56658" w14:textId="77777777" w:rsidR="009864DB" w:rsidRPr="004D46AC" w:rsidRDefault="009864DB" w:rsidP="009864DB">
            <w:pPr>
              <w:spacing w:line="240" w:lineRule="auto"/>
              <w:ind w:firstLine="0"/>
            </w:pPr>
            <w:r w:rsidRPr="004D46AC">
              <w:fldChar w:fldCharType="begin">
                <w:fldData xml:space="preserve">PEVuZE5vdGU+PENpdGUgQXV0aG9yWWVhcj0iMSI+PEF1dGhvcj5EZWxsJmFwb3M7T3NzbzwvQXV0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</w:fldData>
              </w:fldChar>
            </w:r>
            <w:r w:rsidRPr="004D46AC">
              <w:instrText xml:space="preserve"> ADDIN EN.CITE </w:instrText>
            </w:r>
            <w:r w:rsidRPr="004D46AC">
              <w:fldChar w:fldCharType="begin">
                <w:fldData xml:space="preserve">PEVuZE5vdGU+PENpdGUgQXV0aG9yWWVhcj0iMSI+PEF1dGhvcj5EZWxsJmFwb3M7T3NzbzwvQXV0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</w:fldData>
              </w:fldChar>
            </w:r>
            <w:r w:rsidRPr="004D46AC">
              <w:instrText xml:space="preserve"> ADDIN EN.CITE.DATA </w:instrText>
            </w:r>
            <w:r w:rsidRPr="004D46AC">
              <w:fldChar w:fldCharType="end"/>
            </w:r>
            <w:r w:rsidRPr="004D46AC">
              <w:fldChar w:fldCharType="separate"/>
            </w:r>
            <w:r w:rsidRPr="004D46AC">
              <w:t>Dell'Osso et al. (2015)</w:t>
            </w:r>
            <w:r w:rsidRPr="004D46AC">
              <w:fldChar w:fldCharType="end"/>
            </w:r>
          </w:p>
        </w:tc>
        <w:tc>
          <w:tcPr>
            <w:tcW w:w="754" w:type="dxa"/>
            <w:vAlign w:val="center"/>
          </w:tcPr>
          <w:p w14:paraId="5E640E11" w14:textId="77777777" w:rsidR="009864DB" w:rsidRPr="004D46AC" w:rsidRDefault="009864DB" w:rsidP="009864DB">
            <w:pPr>
              <w:spacing w:line="240" w:lineRule="auto"/>
              <w:ind w:firstLine="0"/>
            </w:pPr>
            <w:r w:rsidRPr="004D46AC">
              <w:t>6</w:t>
            </w:r>
          </w:p>
        </w:tc>
        <w:tc>
          <w:tcPr>
            <w:tcW w:w="766" w:type="dxa"/>
            <w:vAlign w:val="center"/>
          </w:tcPr>
          <w:p w14:paraId="3F7C82AF" w14:textId="77777777" w:rsidR="009864DB" w:rsidRPr="004D46AC" w:rsidRDefault="009864DB" w:rsidP="009864DB">
            <w:pPr>
              <w:spacing w:line="240" w:lineRule="auto"/>
              <w:ind w:firstLine="0"/>
            </w:pPr>
            <w:r w:rsidRPr="004D46AC">
              <w:t>35.6</w:t>
            </w:r>
          </w:p>
        </w:tc>
        <w:tc>
          <w:tcPr>
            <w:tcW w:w="1096" w:type="dxa"/>
            <w:vAlign w:val="center"/>
          </w:tcPr>
          <w:p w14:paraId="26AE4B9E" w14:textId="77777777" w:rsidR="009864DB" w:rsidRPr="004D46AC" w:rsidRDefault="009864DB" w:rsidP="009864DB">
            <w:pPr>
              <w:spacing w:line="240" w:lineRule="auto"/>
              <w:ind w:firstLine="0"/>
            </w:pPr>
            <w:r w:rsidRPr="004D46AC">
              <w:t>DSM4</w:t>
            </w:r>
          </w:p>
        </w:tc>
        <w:tc>
          <w:tcPr>
            <w:tcW w:w="1415" w:type="dxa"/>
            <w:vAlign w:val="center"/>
          </w:tcPr>
          <w:p w14:paraId="0797B04A" w14:textId="77777777" w:rsidR="009864DB" w:rsidRPr="004D46AC" w:rsidRDefault="009864DB" w:rsidP="009864DB">
            <w:pPr>
              <w:spacing w:line="240" w:lineRule="auto"/>
              <w:ind w:firstLine="0"/>
            </w:pPr>
            <w:r w:rsidRPr="004D46AC">
              <w:t>SCID</w:t>
            </w:r>
          </w:p>
        </w:tc>
        <w:tc>
          <w:tcPr>
            <w:tcW w:w="876" w:type="dxa"/>
            <w:vAlign w:val="center"/>
          </w:tcPr>
          <w:p w14:paraId="6152A9B9" w14:textId="77777777" w:rsidR="009864DB" w:rsidRPr="004D46AC" w:rsidRDefault="009864DB" w:rsidP="009864DB">
            <w:pPr>
              <w:spacing w:line="240" w:lineRule="auto"/>
              <w:ind w:firstLine="0"/>
            </w:pPr>
            <w:r w:rsidRPr="004D46AC">
              <w:t>503</w:t>
            </w:r>
          </w:p>
        </w:tc>
        <w:tc>
          <w:tcPr>
            <w:tcW w:w="986" w:type="dxa"/>
            <w:vAlign w:val="center"/>
          </w:tcPr>
          <w:p w14:paraId="3B4609CE" w14:textId="77777777" w:rsidR="009864DB" w:rsidRPr="004D46AC" w:rsidRDefault="009864DB" w:rsidP="009864DB">
            <w:pPr>
              <w:spacing w:line="240" w:lineRule="auto"/>
              <w:ind w:firstLine="0"/>
            </w:pPr>
            <w:r w:rsidRPr="004D46AC">
              <w:t>1</w:t>
            </w:r>
          </w:p>
        </w:tc>
        <w:tc>
          <w:tcPr>
            <w:tcW w:w="751" w:type="dxa"/>
            <w:vAlign w:val="center"/>
          </w:tcPr>
          <w:p w14:paraId="08F2F762" w14:textId="77777777" w:rsidR="009864DB" w:rsidRPr="004D46AC" w:rsidRDefault="009864DB" w:rsidP="009864DB">
            <w:pPr>
              <w:spacing w:line="240" w:lineRule="auto"/>
              <w:ind w:firstLine="0"/>
            </w:pPr>
            <w:r w:rsidRPr="004D46AC">
              <w:t>1</w:t>
            </w:r>
          </w:p>
        </w:tc>
        <w:tc>
          <w:tcPr>
            <w:tcW w:w="752" w:type="dxa"/>
            <w:vAlign w:val="center"/>
          </w:tcPr>
          <w:p w14:paraId="6C093261" w14:textId="77777777" w:rsidR="009864DB" w:rsidRPr="004D46AC" w:rsidRDefault="009864DB" w:rsidP="009864DB">
            <w:pPr>
              <w:spacing w:line="240" w:lineRule="auto"/>
              <w:ind w:firstLine="0"/>
            </w:pPr>
            <w:r w:rsidRPr="004D46AC">
              <w:t>2</w:t>
            </w:r>
          </w:p>
        </w:tc>
        <w:tc>
          <w:tcPr>
            <w:tcW w:w="1296" w:type="dxa"/>
          </w:tcPr>
          <w:p w14:paraId="37DEB3E4" w14:textId="77777777" w:rsidR="009864DB" w:rsidRPr="004D46AC" w:rsidRDefault="009864DB" w:rsidP="009864DB">
            <w:pPr>
              <w:spacing w:line="240" w:lineRule="auto"/>
              <w:ind w:firstLine="0"/>
            </w:pPr>
            <w:r w:rsidRPr="004D46AC">
              <w:t>193</w:t>
            </w:r>
          </w:p>
        </w:tc>
        <w:tc>
          <w:tcPr>
            <w:tcW w:w="752" w:type="dxa"/>
            <w:vAlign w:val="center"/>
          </w:tcPr>
          <w:p w14:paraId="75A80705" w14:textId="77777777" w:rsidR="009864DB" w:rsidRPr="004D46AC" w:rsidRDefault="009864DB" w:rsidP="009864DB">
            <w:pPr>
              <w:spacing w:line="240" w:lineRule="auto"/>
              <w:ind w:firstLine="0"/>
            </w:pPr>
            <w:r w:rsidRPr="004D46AC">
              <w:t>NA</w:t>
            </w:r>
          </w:p>
        </w:tc>
        <w:tc>
          <w:tcPr>
            <w:tcW w:w="789" w:type="dxa"/>
            <w:gridSpan w:val="2"/>
            <w:vAlign w:val="center"/>
          </w:tcPr>
          <w:p w14:paraId="4A2238D0" w14:textId="77777777" w:rsidR="009864DB" w:rsidRPr="004D46AC" w:rsidRDefault="009864DB" w:rsidP="009864DB">
            <w:pPr>
              <w:spacing w:line="240" w:lineRule="auto"/>
              <w:ind w:firstLine="0"/>
            </w:pPr>
            <w:r w:rsidRPr="004D46AC">
              <w:t>NA</w:t>
            </w:r>
          </w:p>
        </w:tc>
      </w:tr>
      <w:tr w:rsidR="009864DB" w:rsidRPr="004D46AC" w14:paraId="5B459ABB" w14:textId="77777777" w:rsidTr="00B518F1">
        <w:tc>
          <w:tcPr>
            <w:tcW w:w="1476" w:type="dxa"/>
          </w:tcPr>
          <w:p w14:paraId="4108A15E" w14:textId="77777777" w:rsidR="009864DB" w:rsidRPr="004D46AC" w:rsidRDefault="009864DB" w:rsidP="009864DB">
            <w:pPr>
              <w:spacing w:line="240" w:lineRule="auto"/>
              <w:ind w:firstLine="0"/>
            </w:pPr>
            <w:r w:rsidRPr="004D46AC">
              <w:fldChar w:fldCharType="begin">
                <w:fldData xml:space="preserve">PEVuZE5vdGU+PENpdGUgQXV0aG9yWWVhcj0iMSI+PEF1dGhvcj5TYXRvPC9BdXRob3I+PFllYXI+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</w:fldData>
              </w:fldChar>
            </w:r>
            <w:r w:rsidRPr="004D46AC">
              <w:instrText xml:space="preserve"> ADDIN EN.CITE </w:instrText>
            </w:r>
            <w:r w:rsidRPr="004D46AC">
              <w:fldChar w:fldCharType="begin">
                <w:fldData xml:space="preserve">PEVuZE5vdGU+PENpdGUgQXV0aG9yWWVhcj0iMSI+PEF1dGhvcj5TYXRvPC9BdXRob3I+PFllYXI+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</w:fldData>
              </w:fldChar>
            </w:r>
            <w:r w:rsidRPr="004D46AC">
              <w:instrText xml:space="preserve"> ADDIN EN.CITE.DATA </w:instrText>
            </w:r>
            <w:r w:rsidRPr="004D46AC">
              <w:fldChar w:fldCharType="end"/>
            </w:r>
            <w:r w:rsidRPr="004D46AC">
              <w:fldChar w:fldCharType="separate"/>
            </w:r>
            <w:r w:rsidRPr="004D46AC">
              <w:t>Sato et al. (2005)</w:t>
            </w:r>
            <w:r w:rsidRPr="004D46AC">
              <w:fldChar w:fldCharType="end"/>
            </w:r>
          </w:p>
        </w:tc>
        <w:tc>
          <w:tcPr>
            <w:tcW w:w="754" w:type="dxa"/>
            <w:vAlign w:val="center"/>
          </w:tcPr>
          <w:p w14:paraId="0323796E" w14:textId="77777777" w:rsidR="009864DB" w:rsidRPr="004D46AC" w:rsidRDefault="009864DB" w:rsidP="009864DB">
            <w:pPr>
              <w:spacing w:line="240" w:lineRule="auto"/>
              <w:ind w:firstLine="0"/>
            </w:pPr>
            <w:r w:rsidRPr="004D46AC">
              <w:t>6</w:t>
            </w:r>
          </w:p>
        </w:tc>
        <w:tc>
          <w:tcPr>
            <w:tcW w:w="766" w:type="dxa"/>
            <w:vAlign w:val="center"/>
          </w:tcPr>
          <w:p w14:paraId="02F6221E" w14:textId="77777777" w:rsidR="009864DB" w:rsidRPr="004D46AC" w:rsidRDefault="009864DB" w:rsidP="009864DB">
            <w:pPr>
              <w:spacing w:line="240" w:lineRule="auto"/>
              <w:ind w:firstLine="0"/>
            </w:pPr>
            <w:r w:rsidRPr="004D46AC">
              <w:t>48.64</w:t>
            </w:r>
          </w:p>
        </w:tc>
        <w:tc>
          <w:tcPr>
            <w:tcW w:w="1096" w:type="dxa"/>
            <w:vAlign w:val="center"/>
          </w:tcPr>
          <w:p w14:paraId="3787925F" w14:textId="77777777" w:rsidR="009864DB" w:rsidRPr="004D46AC" w:rsidRDefault="009864DB" w:rsidP="009864DB">
            <w:pPr>
              <w:spacing w:line="240" w:lineRule="auto"/>
              <w:ind w:firstLine="0"/>
            </w:pPr>
            <w:r w:rsidRPr="004D46AC">
              <w:t>ICD10</w:t>
            </w:r>
          </w:p>
        </w:tc>
        <w:tc>
          <w:tcPr>
            <w:tcW w:w="1415" w:type="dxa"/>
            <w:vAlign w:val="center"/>
          </w:tcPr>
          <w:p w14:paraId="67071D32" w14:textId="77777777" w:rsidR="009864DB" w:rsidRPr="004D46AC" w:rsidRDefault="009864DB" w:rsidP="009864DB">
            <w:pPr>
              <w:spacing w:line="240" w:lineRule="auto"/>
              <w:ind w:firstLine="0"/>
            </w:pPr>
            <w:r w:rsidRPr="004D46AC">
              <w:t>AMDP</w:t>
            </w:r>
          </w:p>
        </w:tc>
        <w:tc>
          <w:tcPr>
            <w:tcW w:w="876" w:type="dxa"/>
            <w:vAlign w:val="center"/>
          </w:tcPr>
          <w:p w14:paraId="16F805CC" w14:textId="77777777" w:rsidR="009864DB" w:rsidRPr="004D46AC" w:rsidRDefault="009864DB" w:rsidP="009864DB">
            <w:pPr>
              <w:spacing w:line="240" w:lineRule="auto"/>
              <w:ind w:firstLine="0"/>
            </w:pPr>
            <w:r w:rsidRPr="004D46AC">
              <w:t>95</w:t>
            </w:r>
          </w:p>
        </w:tc>
        <w:tc>
          <w:tcPr>
            <w:tcW w:w="986" w:type="dxa"/>
            <w:vAlign w:val="center"/>
          </w:tcPr>
          <w:p w14:paraId="44031589" w14:textId="77777777" w:rsidR="009864DB" w:rsidRPr="004D46AC" w:rsidRDefault="009864DB" w:rsidP="009864DB">
            <w:pPr>
              <w:spacing w:line="240" w:lineRule="auto"/>
              <w:ind w:firstLine="0"/>
            </w:pPr>
            <w:r w:rsidRPr="004D46AC">
              <w:t>3</w:t>
            </w:r>
          </w:p>
        </w:tc>
        <w:tc>
          <w:tcPr>
            <w:tcW w:w="751" w:type="dxa"/>
            <w:vAlign w:val="center"/>
          </w:tcPr>
          <w:p w14:paraId="455E0BF9" w14:textId="77777777" w:rsidR="009864DB" w:rsidRPr="004D46AC" w:rsidRDefault="009864DB" w:rsidP="009864DB">
            <w:pPr>
              <w:spacing w:line="240" w:lineRule="auto"/>
              <w:ind w:firstLine="0"/>
            </w:pPr>
            <w:r w:rsidRPr="004D46AC">
              <w:t>1</w:t>
            </w:r>
          </w:p>
        </w:tc>
        <w:tc>
          <w:tcPr>
            <w:tcW w:w="752" w:type="dxa"/>
            <w:vAlign w:val="center"/>
          </w:tcPr>
          <w:p w14:paraId="43FE3C2E" w14:textId="77777777" w:rsidR="009864DB" w:rsidRPr="004D46AC" w:rsidRDefault="009864DB" w:rsidP="009864DB">
            <w:pPr>
              <w:spacing w:line="240" w:lineRule="auto"/>
              <w:ind w:firstLine="0"/>
            </w:pPr>
            <w:r w:rsidRPr="004D46AC">
              <w:t>0</w:t>
            </w:r>
          </w:p>
        </w:tc>
        <w:tc>
          <w:tcPr>
            <w:tcW w:w="1296" w:type="dxa"/>
            <w:vAlign w:val="center"/>
          </w:tcPr>
          <w:p w14:paraId="0B5779B2" w14:textId="77777777" w:rsidR="009864DB" w:rsidRPr="004D46AC" w:rsidRDefault="009864DB" w:rsidP="009864DB">
            <w:pPr>
              <w:spacing w:line="240" w:lineRule="auto"/>
              <w:ind w:firstLine="0"/>
            </w:pPr>
            <w:r w:rsidRPr="004D46AC">
              <w:t>17</w:t>
            </w:r>
          </w:p>
        </w:tc>
        <w:tc>
          <w:tcPr>
            <w:tcW w:w="752" w:type="dxa"/>
            <w:vAlign w:val="center"/>
          </w:tcPr>
          <w:p w14:paraId="35E451FE" w14:textId="77777777" w:rsidR="009864DB" w:rsidRPr="004D46AC" w:rsidRDefault="009864DB" w:rsidP="009864DB">
            <w:pPr>
              <w:spacing w:line="240" w:lineRule="auto"/>
              <w:ind w:firstLine="0"/>
            </w:pPr>
            <w:r w:rsidRPr="004D46AC">
              <w:t>NA</w:t>
            </w:r>
          </w:p>
        </w:tc>
        <w:tc>
          <w:tcPr>
            <w:tcW w:w="789" w:type="dxa"/>
            <w:gridSpan w:val="2"/>
            <w:vAlign w:val="center"/>
          </w:tcPr>
          <w:p w14:paraId="132A5D2F" w14:textId="77777777" w:rsidR="009864DB" w:rsidRPr="004D46AC" w:rsidRDefault="009864DB" w:rsidP="009864DB">
            <w:pPr>
              <w:spacing w:line="240" w:lineRule="auto"/>
              <w:ind w:firstLine="0"/>
            </w:pPr>
            <w:r w:rsidRPr="004D46AC">
              <w:t>NA</w:t>
            </w:r>
          </w:p>
        </w:tc>
      </w:tr>
      <w:tr w:rsidR="009864DB" w:rsidRPr="004D46AC" w14:paraId="06896478" w14:textId="77777777" w:rsidTr="00B518F1">
        <w:tc>
          <w:tcPr>
            <w:tcW w:w="1476" w:type="dxa"/>
          </w:tcPr>
          <w:p w14:paraId="184DDCCA"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AuthorYear="1"&gt;&lt;Author&gt;Perugi&lt;/Author&gt;&lt;Year&gt;2000&lt;/Year&gt;&lt;RecNum&gt;932&lt;/RecNum&gt;&lt;DisplayText&gt;Perugi et al. (2000)&lt;/DisplayText&gt;&lt;record&gt;&lt;rec-number&gt;932&lt;/rec-number&gt;&lt;foreign-keys&gt;&lt;key app="EN" db-id="aet009sstawa0hewvt3xwf5atffdw2dt02sw" timestamp="1740520099"&gt;932&lt;/key&gt;&lt;/foreign-keys&gt;&lt;ref-type name="Journal Article"&gt;17&lt;/ref-type&gt;&lt;contributors&gt;&lt;authors&gt;&lt;author&gt;Perugi, Giulio&lt;/author&gt;&lt;author&gt;Micheli, Claudia&lt;/author&gt;&lt;author&gt;Akiskal, Hagop S.&lt;/author&gt;&lt;author&gt;Madaro, Donato&lt;/author&gt;&lt;author&gt;Socci, Cristina&lt;/author&gt;&lt;author&gt;Quilici, Cinzia&lt;/author&gt;&lt;author&gt;Musetti, Laura&lt;/author&gt;&lt;/authors&gt;&lt;/contributors&gt;&lt;titles&gt;&lt;title&gt;Polarity of the first episode, clinical characteristics, and course of manic depressive illness: A systematic retrospective investigation of 320 bipolar I patients&lt;/title&gt;&lt;secondary-title&gt;Comprehensive Psychiatry&lt;/secondary-title&gt;&lt;/titles&gt;&lt;periodical&gt;&lt;full-title&gt;Comprehensive Psychiatry&lt;/full-title&gt;&lt;/periodical&gt;&lt;pages&gt;13-18&lt;/pages&gt;&lt;volume&gt;41&lt;/volume&gt;&lt;number&gt;1&lt;/number&gt;&lt;dates&gt;&lt;year&gt;2000&lt;/year&gt;&lt;pub-dates&gt;&lt;date&gt;2000/01/01/&lt;/date&gt;&lt;/pub-dates&gt;&lt;/dates&gt;&lt;isbn&gt;0010-440X&lt;/isbn&gt;&lt;urls&gt;&lt;related-urls&gt;&lt;url&gt;https://www.sciencedirect.com/science/article/pii/S0010440X00901251&lt;/url&gt;&lt;/related-urls&gt;&lt;/urls&gt;&lt;electronic-resource-num&gt;https://doi.org/10.1016/S0010-440X(00)90125-1&lt;/electronic-resource-num&gt;&lt;/record&gt;&lt;/Cite&gt;&lt;/EndNote&gt;</w:instrText>
            </w:r>
            <w:r w:rsidRPr="004D46AC">
              <w:fldChar w:fldCharType="separate"/>
            </w:r>
            <w:r w:rsidRPr="004D46AC">
              <w:t>Perugi et al. (2000)</w:t>
            </w:r>
            <w:r w:rsidRPr="004D46AC">
              <w:fldChar w:fldCharType="end"/>
            </w:r>
          </w:p>
        </w:tc>
        <w:tc>
          <w:tcPr>
            <w:tcW w:w="754" w:type="dxa"/>
            <w:vAlign w:val="center"/>
          </w:tcPr>
          <w:p w14:paraId="7E1BF796" w14:textId="77777777" w:rsidR="009864DB" w:rsidRPr="004D46AC" w:rsidRDefault="009864DB" w:rsidP="009864DB">
            <w:pPr>
              <w:spacing w:line="240" w:lineRule="auto"/>
              <w:ind w:firstLine="0"/>
            </w:pPr>
            <w:r w:rsidRPr="004D46AC">
              <w:t>7</w:t>
            </w:r>
          </w:p>
        </w:tc>
        <w:tc>
          <w:tcPr>
            <w:tcW w:w="766" w:type="dxa"/>
            <w:vAlign w:val="center"/>
          </w:tcPr>
          <w:p w14:paraId="11F63D44" w14:textId="77777777" w:rsidR="009864DB" w:rsidRPr="004D46AC" w:rsidRDefault="009864DB" w:rsidP="009864DB">
            <w:pPr>
              <w:spacing w:line="240" w:lineRule="auto"/>
              <w:ind w:firstLine="0"/>
            </w:pPr>
            <w:r w:rsidRPr="004D46AC">
              <w:t>38.4</w:t>
            </w:r>
          </w:p>
        </w:tc>
        <w:tc>
          <w:tcPr>
            <w:tcW w:w="1096" w:type="dxa"/>
            <w:vAlign w:val="center"/>
          </w:tcPr>
          <w:p w14:paraId="2E991246" w14:textId="77777777" w:rsidR="009864DB" w:rsidRPr="004D46AC" w:rsidRDefault="009864DB" w:rsidP="009864DB">
            <w:pPr>
              <w:spacing w:line="240" w:lineRule="auto"/>
              <w:ind w:firstLine="0"/>
            </w:pPr>
            <w:r w:rsidRPr="004D46AC">
              <w:t>DSM3R</w:t>
            </w:r>
          </w:p>
        </w:tc>
        <w:tc>
          <w:tcPr>
            <w:tcW w:w="1415" w:type="dxa"/>
            <w:vAlign w:val="center"/>
          </w:tcPr>
          <w:p w14:paraId="415EE697" w14:textId="77777777" w:rsidR="009864DB" w:rsidRPr="004D46AC" w:rsidRDefault="009864DB" w:rsidP="009864DB">
            <w:pPr>
              <w:spacing w:line="240" w:lineRule="auto"/>
              <w:ind w:firstLine="0"/>
            </w:pPr>
            <w:r w:rsidRPr="004D46AC">
              <w:t>SID</w:t>
            </w:r>
          </w:p>
        </w:tc>
        <w:tc>
          <w:tcPr>
            <w:tcW w:w="876" w:type="dxa"/>
            <w:vAlign w:val="center"/>
          </w:tcPr>
          <w:p w14:paraId="70C0FC8E" w14:textId="77777777" w:rsidR="009864DB" w:rsidRPr="004D46AC" w:rsidRDefault="009864DB" w:rsidP="009864DB">
            <w:pPr>
              <w:spacing w:line="240" w:lineRule="auto"/>
              <w:ind w:firstLine="0"/>
            </w:pPr>
            <w:r w:rsidRPr="004D46AC">
              <w:t>320</w:t>
            </w:r>
          </w:p>
        </w:tc>
        <w:tc>
          <w:tcPr>
            <w:tcW w:w="986" w:type="dxa"/>
            <w:vAlign w:val="center"/>
          </w:tcPr>
          <w:p w14:paraId="36A5BB4A" w14:textId="77777777" w:rsidR="009864DB" w:rsidRPr="004D46AC" w:rsidRDefault="009864DB" w:rsidP="009864DB">
            <w:pPr>
              <w:spacing w:line="240" w:lineRule="auto"/>
              <w:ind w:firstLine="0"/>
            </w:pPr>
            <w:r w:rsidRPr="004D46AC">
              <w:t>3</w:t>
            </w:r>
          </w:p>
        </w:tc>
        <w:tc>
          <w:tcPr>
            <w:tcW w:w="751" w:type="dxa"/>
            <w:vAlign w:val="center"/>
          </w:tcPr>
          <w:p w14:paraId="0F0EC859" w14:textId="77777777" w:rsidR="009864DB" w:rsidRPr="004D46AC" w:rsidRDefault="009864DB" w:rsidP="009864DB">
            <w:pPr>
              <w:spacing w:line="240" w:lineRule="auto"/>
              <w:ind w:firstLine="0"/>
            </w:pPr>
            <w:r w:rsidRPr="004D46AC">
              <w:t>2</w:t>
            </w:r>
          </w:p>
        </w:tc>
        <w:tc>
          <w:tcPr>
            <w:tcW w:w="752" w:type="dxa"/>
            <w:vAlign w:val="center"/>
          </w:tcPr>
          <w:p w14:paraId="4528B63B" w14:textId="77777777" w:rsidR="009864DB" w:rsidRPr="004D46AC" w:rsidRDefault="009864DB" w:rsidP="009864DB">
            <w:pPr>
              <w:spacing w:line="240" w:lineRule="auto"/>
              <w:ind w:firstLine="0"/>
            </w:pPr>
            <w:r w:rsidRPr="004D46AC">
              <w:t>0</w:t>
            </w:r>
          </w:p>
        </w:tc>
        <w:tc>
          <w:tcPr>
            <w:tcW w:w="1296" w:type="dxa"/>
            <w:vAlign w:val="center"/>
          </w:tcPr>
          <w:p w14:paraId="45E3BC3E" w14:textId="77777777" w:rsidR="009864DB" w:rsidRPr="004D46AC" w:rsidRDefault="009864DB" w:rsidP="009864DB">
            <w:pPr>
              <w:spacing w:line="240" w:lineRule="auto"/>
              <w:ind w:firstLine="0"/>
            </w:pPr>
            <w:r w:rsidRPr="004D46AC">
              <w:t>195</w:t>
            </w:r>
          </w:p>
        </w:tc>
        <w:tc>
          <w:tcPr>
            <w:tcW w:w="752" w:type="dxa"/>
            <w:vAlign w:val="center"/>
          </w:tcPr>
          <w:p w14:paraId="4CB962F3" w14:textId="77777777" w:rsidR="009864DB" w:rsidRPr="004D46AC" w:rsidRDefault="009864DB" w:rsidP="009864DB">
            <w:pPr>
              <w:spacing w:line="240" w:lineRule="auto"/>
              <w:ind w:firstLine="0"/>
            </w:pPr>
            <w:r w:rsidRPr="004D46AC">
              <w:t>118</w:t>
            </w:r>
          </w:p>
        </w:tc>
        <w:tc>
          <w:tcPr>
            <w:tcW w:w="789" w:type="dxa"/>
            <w:gridSpan w:val="2"/>
            <w:vAlign w:val="center"/>
          </w:tcPr>
          <w:p w14:paraId="7F15E89A" w14:textId="77777777" w:rsidR="009864DB" w:rsidRPr="004D46AC" w:rsidRDefault="009864DB" w:rsidP="009864DB">
            <w:pPr>
              <w:spacing w:line="240" w:lineRule="auto"/>
              <w:ind w:firstLine="0"/>
            </w:pPr>
            <w:r w:rsidRPr="004D46AC">
              <w:t>77</w:t>
            </w:r>
          </w:p>
        </w:tc>
      </w:tr>
      <w:tr w:rsidR="009864DB" w:rsidRPr="004D46AC" w14:paraId="4386ED30" w14:textId="77777777" w:rsidTr="00B518F1">
        <w:tc>
          <w:tcPr>
            <w:tcW w:w="1476" w:type="dxa"/>
          </w:tcPr>
          <w:p w14:paraId="5FE00145"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AuthorYear="1"&gt;&lt;Author&gt;Cho&lt;/Author&gt;&lt;Year&gt;2020&lt;/Year&gt;&lt;RecNum&gt;106&lt;/RecNum&gt;&lt;DisplayText&gt;Cho et al. (2020)&lt;/DisplayText&gt;&lt;record&gt;&lt;rec-number&gt;106&lt;/rec-number&gt;&lt;foreign-keys&gt;&lt;key app="EN" db-id="aet009sstawa0hewvt3xwf5atffdw2dt02sw" timestamp="1665566704"&gt;106&lt;/key&gt;&lt;/foreign-keys&gt;&lt;ref-type name="Journal Article"&gt;17&lt;/ref-type&gt;&lt;contributors&gt;&lt;authors&gt;&lt;author&gt;Cho, Yubin&lt;/author&gt;&lt;author&gt;Kim, Daeho&lt;/author&gt;&lt;author&gt;Kim, Seok-Hyeon&lt;/author&gt;&lt;/authors&gt;&lt;/contributors&gt;&lt;titles&gt;&lt;title&gt;Prevalence and clinical correlates of childhood trauma among inpatients diagnosed with bipolar disorder: a matched comparison with schizophrenia&lt;/title&gt;&lt;secondary-title&gt;Psychosis&lt;/secondary-title&gt;&lt;/titles&gt;&lt;periodical&gt;&lt;full-title&gt;Psychosis&lt;/full-title&gt;&lt;/periodical&gt;&lt;pages&gt;13-23&lt;/pages&gt;&lt;volume&gt;13&lt;/volume&gt;&lt;number&gt;1&lt;/number&gt;&lt;section&gt;13&lt;/section&gt;&lt;dates&gt;&lt;year&gt;2020&lt;/year&gt;&lt;pub-dates&gt;&lt;date&gt;2021/01/02&lt;/date&gt;&lt;/pub-dates&gt;&lt;/dates&gt;&lt;publisher&gt;Routledge&lt;/publisher&gt;&lt;isbn&gt;1752-2439&amp;#xD;1752-2447&lt;/isbn&gt;&lt;urls&gt;&lt;related-urls&gt;&lt;url&gt;https://doi.org/10.1080/17522439.2020.1801818&lt;/url&gt;&lt;/related-urls&gt;&lt;/urls&gt;&lt;electronic-resource-num&gt;10.1080/17522439.2020.1801818&lt;/electronic-resource-num&gt;&lt;/record&gt;&lt;/Cite&gt;&lt;/EndNote&gt;</w:instrText>
            </w:r>
            <w:r w:rsidRPr="004D46AC">
              <w:fldChar w:fldCharType="separate"/>
            </w:r>
            <w:r w:rsidRPr="004D46AC">
              <w:t>Cho et al. (2020)</w:t>
            </w:r>
            <w:r w:rsidRPr="004D46AC">
              <w:fldChar w:fldCharType="end"/>
            </w:r>
          </w:p>
        </w:tc>
        <w:tc>
          <w:tcPr>
            <w:tcW w:w="754" w:type="dxa"/>
            <w:vAlign w:val="center"/>
          </w:tcPr>
          <w:p w14:paraId="2F9D9E51" w14:textId="77777777" w:rsidR="009864DB" w:rsidRPr="004D46AC" w:rsidRDefault="009864DB" w:rsidP="009864DB">
            <w:pPr>
              <w:spacing w:line="240" w:lineRule="auto"/>
              <w:ind w:firstLine="0"/>
            </w:pPr>
            <w:r w:rsidRPr="004D46AC">
              <w:t>6</w:t>
            </w:r>
          </w:p>
        </w:tc>
        <w:tc>
          <w:tcPr>
            <w:tcW w:w="766" w:type="dxa"/>
            <w:vAlign w:val="center"/>
          </w:tcPr>
          <w:p w14:paraId="4CCF52A1" w14:textId="77777777" w:rsidR="009864DB" w:rsidRPr="004D46AC" w:rsidRDefault="009864DB" w:rsidP="009864DB">
            <w:pPr>
              <w:spacing w:line="240" w:lineRule="auto"/>
              <w:ind w:firstLine="0"/>
            </w:pPr>
            <w:r w:rsidRPr="004D46AC">
              <w:t>36.7</w:t>
            </w:r>
          </w:p>
        </w:tc>
        <w:tc>
          <w:tcPr>
            <w:tcW w:w="1096" w:type="dxa"/>
            <w:vAlign w:val="center"/>
          </w:tcPr>
          <w:p w14:paraId="48A1D616" w14:textId="77777777" w:rsidR="009864DB" w:rsidRPr="004D46AC" w:rsidRDefault="009864DB" w:rsidP="009864DB">
            <w:pPr>
              <w:spacing w:line="240" w:lineRule="auto"/>
              <w:ind w:firstLine="0"/>
            </w:pPr>
            <w:r w:rsidRPr="004D46AC">
              <w:t>DSM4</w:t>
            </w:r>
          </w:p>
        </w:tc>
        <w:tc>
          <w:tcPr>
            <w:tcW w:w="1415" w:type="dxa"/>
            <w:vAlign w:val="center"/>
          </w:tcPr>
          <w:p w14:paraId="039EDD8B" w14:textId="77777777" w:rsidR="009864DB" w:rsidRPr="004D46AC" w:rsidRDefault="009864DB" w:rsidP="009864DB">
            <w:pPr>
              <w:spacing w:line="240" w:lineRule="auto"/>
              <w:ind w:firstLine="0"/>
            </w:pPr>
            <w:r w:rsidRPr="004D46AC">
              <w:t>SCID-C</w:t>
            </w:r>
          </w:p>
        </w:tc>
        <w:tc>
          <w:tcPr>
            <w:tcW w:w="876" w:type="dxa"/>
            <w:vAlign w:val="center"/>
          </w:tcPr>
          <w:p w14:paraId="00A5BEEB" w14:textId="77777777" w:rsidR="009864DB" w:rsidRPr="004D46AC" w:rsidRDefault="009864DB" w:rsidP="009864DB">
            <w:pPr>
              <w:spacing w:line="240" w:lineRule="auto"/>
              <w:ind w:firstLine="0"/>
            </w:pPr>
            <w:r w:rsidRPr="004D46AC">
              <w:t>71</w:t>
            </w:r>
          </w:p>
        </w:tc>
        <w:tc>
          <w:tcPr>
            <w:tcW w:w="986" w:type="dxa"/>
            <w:vAlign w:val="center"/>
          </w:tcPr>
          <w:p w14:paraId="7199F14B" w14:textId="77777777" w:rsidR="009864DB" w:rsidRPr="004D46AC" w:rsidRDefault="009864DB" w:rsidP="009864DB">
            <w:pPr>
              <w:spacing w:line="240" w:lineRule="auto"/>
              <w:ind w:firstLine="0"/>
            </w:pPr>
            <w:r w:rsidRPr="004D46AC">
              <w:t>3</w:t>
            </w:r>
          </w:p>
        </w:tc>
        <w:tc>
          <w:tcPr>
            <w:tcW w:w="751" w:type="dxa"/>
            <w:vAlign w:val="center"/>
          </w:tcPr>
          <w:p w14:paraId="39CAC5BB" w14:textId="77777777" w:rsidR="009864DB" w:rsidRPr="004D46AC" w:rsidRDefault="009864DB" w:rsidP="009864DB">
            <w:pPr>
              <w:spacing w:line="240" w:lineRule="auto"/>
              <w:ind w:firstLine="0"/>
            </w:pPr>
            <w:r w:rsidRPr="004D46AC">
              <w:t>1</w:t>
            </w:r>
          </w:p>
        </w:tc>
        <w:tc>
          <w:tcPr>
            <w:tcW w:w="752" w:type="dxa"/>
            <w:vAlign w:val="center"/>
          </w:tcPr>
          <w:p w14:paraId="33106323" w14:textId="77777777" w:rsidR="009864DB" w:rsidRPr="004D46AC" w:rsidRDefault="009864DB" w:rsidP="009864DB">
            <w:pPr>
              <w:spacing w:line="240" w:lineRule="auto"/>
              <w:ind w:firstLine="0"/>
            </w:pPr>
            <w:r w:rsidRPr="004D46AC">
              <w:t>0</w:t>
            </w:r>
          </w:p>
        </w:tc>
        <w:tc>
          <w:tcPr>
            <w:tcW w:w="1296" w:type="dxa"/>
            <w:vAlign w:val="center"/>
          </w:tcPr>
          <w:p w14:paraId="16B80524" w14:textId="77777777" w:rsidR="009864DB" w:rsidRPr="004D46AC" w:rsidRDefault="009864DB" w:rsidP="009864DB">
            <w:pPr>
              <w:spacing w:line="240" w:lineRule="auto"/>
              <w:ind w:firstLine="0"/>
            </w:pPr>
            <w:r w:rsidRPr="004D46AC">
              <w:t>35</w:t>
            </w:r>
          </w:p>
        </w:tc>
        <w:tc>
          <w:tcPr>
            <w:tcW w:w="752" w:type="dxa"/>
            <w:vAlign w:val="center"/>
          </w:tcPr>
          <w:p w14:paraId="2CA9FE3C" w14:textId="77777777" w:rsidR="009864DB" w:rsidRPr="004D46AC" w:rsidRDefault="009864DB" w:rsidP="009864DB">
            <w:pPr>
              <w:spacing w:line="240" w:lineRule="auto"/>
              <w:ind w:firstLine="0"/>
            </w:pPr>
            <w:r w:rsidRPr="004D46AC">
              <w:t>NA</w:t>
            </w:r>
          </w:p>
        </w:tc>
        <w:tc>
          <w:tcPr>
            <w:tcW w:w="789" w:type="dxa"/>
            <w:gridSpan w:val="2"/>
            <w:vAlign w:val="center"/>
          </w:tcPr>
          <w:p w14:paraId="108B1A91" w14:textId="77777777" w:rsidR="009864DB" w:rsidRPr="004D46AC" w:rsidRDefault="009864DB" w:rsidP="009864DB">
            <w:pPr>
              <w:spacing w:line="240" w:lineRule="auto"/>
              <w:ind w:firstLine="0"/>
            </w:pPr>
            <w:r w:rsidRPr="004D46AC">
              <w:t>NA</w:t>
            </w:r>
          </w:p>
        </w:tc>
      </w:tr>
      <w:tr w:rsidR="009864DB" w:rsidRPr="004D46AC" w14:paraId="0CD5319D" w14:textId="77777777" w:rsidTr="00B518F1">
        <w:tc>
          <w:tcPr>
            <w:tcW w:w="1476" w:type="dxa"/>
          </w:tcPr>
          <w:p w14:paraId="2A463357"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AuthorYear="1"&gt;&lt;Author&gt;Miller&lt;/Author&gt;&lt;Year&gt;2014&lt;/Year&gt;&lt;RecNum&gt;107&lt;/RecNum&gt;&lt;DisplayText&gt;Miller et al. (2014)&lt;/DisplayText&gt;&lt;record&gt;&lt;rec-number&gt;107&lt;/rec-number&gt;&lt;foreign-keys&gt;&lt;key app="EN" db-id="aet009sstawa0hewvt3xwf5atffdw2dt02sw" timestamp="1665567219"&gt;107&lt;/key&gt;&lt;/foreign-keys&gt;&lt;ref-type name="Journal Article"&gt;17&lt;/ref-type&gt;&lt;contributors&gt;&lt;authors&gt;&lt;author&gt;Miller, C. J.&lt;/author&gt;&lt;author&gt;Li, M.&lt;/author&gt;&lt;author&gt;Penfold, R. B.&lt;/author&gt;&lt;author&gt;Lee, A. F.&lt;/author&gt;&lt;author&gt;Smith, E. G.&lt;/author&gt;&lt;author&gt;Osser, D. N.&lt;/author&gt;&lt;author&gt;Bajor, L.&lt;/author&gt;&lt;author&gt;Bauer, M. S.&lt;/author&gt;&lt;/authors&gt;&lt;/contributors&gt;&lt;titles&gt;&lt;title&gt;Patterns of initiation of second generation antipsychotics for bipolar disorder: a month-by-month analysis of provider behavior&lt;/title&gt;&lt;secondary-title&gt;BMC Psychiatry&lt;/secondary-title&gt;&lt;/titles&gt;&lt;periodical&gt;&lt;full-title&gt;BMC Psychiatry&lt;/full-title&gt;&lt;/periodical&gt;&lt;pages&gt;339&lt;/pages&gt;&lt;volume&gt;14&lt;/volume&gt;&lt;edition&gt;20141130&lt;/edition&gt;&lt;keywords&gt;&lt;keyword&gt;Antipsychotic Agents/*therapeutic use&lt;/keyword&gt;&lt;keyword&gt;Bipolar Disorder/*drug therapy&lt;/keyword&gt;&lt;keyword&gt;Female&lt;/keyword&gt;&lt;keyword&gt;Humans&lt;/keyword&gt;&lt;keyword&gt;Male&lt;/keyword&gt;&lt;keyword&gt;Middle Aged&lt;/keyword&gt;&lt;keyword&gt;Practice Patterns, Physicians&amp;apos;/*statistics &amp;amp; numerical data&lt;/keyword&gt;&lt;keyword&gt;Severity of Illness Index&lt;/keyword&gt;&lt;keyword&gt;United States&lt;/keyword&gt;&lt;keyword&gt;Veterans/psychology/statistics &amp;amp; numerical data&lt;/keyword&gt;&lt;/keywords&gt;&lt;dates&gt;&lt;year&gt;2014&lt;/year&gt;&lt;pub-dates&gt;&lt;date&gt;Nov 30&lt;/date&gt;&lt;/pub-dates&gt;&lt;/dates&gt;&lt;isbn&gt;1471-244X (Electronic)&amp;#xD;1471-244X (Linking)&lt;/isbn&gt;&lt;accession-num&gt;25433807&lt;/accession-num&gt;&lt;urls&gt;&lt;related-urls&gt;&lt;url&gt;https://www.ncbi.nlm.nih.gov/pubmed/25433807&lt;/url&gt;&lt;/related-urls&gt;&lt;/urls&gt;&lt;custom2&gt;PMC4256839&lt;/custom2&gt;&lt;electronic-resource-num&gt;10.1186/s12888-014-0339-z&lt;/electronic-resource-num&gt;&lt;remote-database-name&gt;Medline&lt;/remote-database-name&gt;&lt;remote-database-provider&gt;NLM&lt;/remote-database-provider&gt;&lt;language&gt;eng&lt;/language&gt;&lt;/record&gt;&lt;/Cite&gt;&lt;/EndNote&gt;</w:instrText>
            </w:r>
            <w:r w:rsidRPr="004D46AC">
              <w:fldChar w:fldCharType="separate"/>
            </w:r>
            <w:r w:rsidRPr="004D46AC">
              <w:t>Miller et al. (2014)</w:t>
            </w:r>
            <w:r w:rsidRPr="004D46AC">
              <w:fldChar w:fldCharType="end"/>
            </w:r>
          </w:p>
        </w:tc>
        <w:tc>
          <w:tcPr>
            <w:tcW w:w="754" w:type="dxa"/>
            <w:vAlign w:val="center"/>
          </w:tcPr>
          <w:p w14:paraId="622C4F78" w14:textId="77777777" w:rsidR="009864DB" w:rsidRPr="004D46AC" w:rsidRDefault="009864DB" w:rsidP="009864DB">
            <w:pPr>
              <w:spacing w:line="240" w:lineRule="auto"/>
              <w:ind w:firstLine="0"/>
            </w:pPr>
            <w:r w:rsidRPr="004D46AC">
              <w:t>6</w:t>
            </w:r>
          </w:p>
        </w:tc>
        <w:tc>
          <w:tcPr>
            <w:tcW w:w="766" w:type="dxa"/>
            <w:vAlign w:val="center"/>
          </w:tcPr>
          <w:p w14:paraId="58F197A4" w14:textId="77777777" w:rsidR="009864DB" w:rsidRPr="004D46AC" w:rsidRDefault="009864DB" w:rsidP="009864DB">
            <w:pPr>
              <w:spacing w:line="240" w:lineRule="auto"/>
              <w:ind w:firstLine="0"/>
            </w:pPr>
            <w:r w:rsidRPr="004D46AC">
              <w:t>50.3</w:t>
            </w:r>
          </w:p>
        </w:tc>
        <w:tc>
          <w:tcPr>
            <w:tcW w:w="1096" w:type="dxa"/>
            <w:vAlign w:val="center"/>
          </w:tcPr>
          <w:p w14:paraId="475361BE" w14:textId="77777777" w:rsidR="009864DB" w:rsidRPr="004D46AC" w:rsidRDefault="009864DB" w:rsidP="009864DB">
            <w:pPr>
              <w:spacing w:line="240" w:lineRule="auto"/>
              <w:ind w:firstLine="0"/>
            </w:pPr>
            <w:r w:rsidRPr="004D46AC">
              <w:t>ICD9</w:t>
            </w:r>
          </w:p>
        </w:tc>
        <w:tc>
          <w:tcPr>
            <w:tcW w:w="1415" w:type="dxa"/>
            <w:vAlign w:val="center"/>
          </w:tcPr>
          <w:p w14:paraId="64D996D4" w14:textId="77777777" w:rsidR="009864DB" w:rsidRPr="004D46AC" w:rsidRDefault="009864DB" w:rsidP="009864DB">
            <w:pPr>
              <w:spacing w:line="240" w:lineRule="auto"/>
              <w:ind w:firstLine="0"/>
            </w:pPr>
            <w:r w:rsidRPr="004D46AC">
              <w:t>unclear</w:t>
            </w:r>
          </w:p>
        </w:tc>
        <w:tc>
          <w:tcPr>
            <w:tcW w:w="876" w:type="dxa"/>
            <w:vAlign w:val="center"/>
          </w:tcPr>
          <w:p w14:paraId="0A7C36EF" w14:textId="77777777" w:rsidR="009864DB" w:rsidRPr="004D46AC" w:rsidRDefault="009864DB" w:rsidP="009864DB">
            <w:pPr>
              <w:spacing w:line="240" w:lineRule="auto"/>
              <w:ind w:firstLine="0"/>
            </w:pPr>
            <w:r w:rsidRPr="004D46AC">
              <w:t>170173</w:t>
            </w:r>
          </w:p>
        </w:tc>
        <w:tc>
          <w:tcPr>
            <w:tcW w:w="986" w:type="dxa"/>
            <w:vAlign w:val="center"/>
          </w:tcPr>
          <w:p w14:paraId="5A542239" w14:textId="77777777" w:rsidR="009864DB" w:rsidRPr="004D46AC" w:rsidRDefault="009864DB" w:rsidP="009864DB">
            <w:pPr>
              <w:spacing w:line="240" w:lineRule="auto"/>
              <w:ind w:firstLine="0"/>
            </w:pPr>
            <w:r w:rsidRPr="004D46AC">
              <w:t>2</w:t>
            </w:r>
          </w:p>
        </w:tc>
        <w:tc>
          <w:tcPr>
            <w:tcW w:w="751" w:type="dxa"/>
            <w:vAlign w:val="center"/>
          </w:tcPr>
          <w:p w14:paraId="68B1D5C6" w14:textId="77777777" w:rsidR="009864DB" w:rsidRPr="004D46AC" w:rsidRDefault="009864DB" w:rsidP="009864DB">
            <w:pPr>
              <w:spacing w:line="240" w:lineRule="auto"/>
              <w:ind w:firstLine="0"/>
            </w:pPr>
            <w:r w:rsidRPr="004D46AC">
              <w:t>1</w:t>
            </w:r>
          </w:p>
        </w:tc>
        <w:tc>
          <w:tcPr>
            <w:tcW w:w="752" w:type="dxa"/>
            <w:vAlign w:val="center"/>
          </w:tcPr>
          <w:p w14:paraId="0962EA72" w14:textId="77777777" w:rsidR="009864DB" w:rsidRPr="004D46AC" w:rsidRDefault="009864DB" w:rsidP="009864DB">
            <w:pPr>
              <w:spacing w:line="240" w:lineRule="auto"/>
              <w:ind w:firstLine="0"/>
            </w:pPr>
            <w:r w:rsidRPr="004D46AC">
              <w:t>0</w:t>
            </w:r>
          </w:p>
        </w:tc>
        <w:tc>
          <w:tcPr>
            <w:tcW w:w="1296" w:type="dxa"/>
            <w:vAlign w:val="center"/>
          </w:tcPr>
          <w:p w14:paraId="32C8BEE7" w14:textId="77777777" w:rsidR="009864DB" w:rsidRPr="004D46AC" w:rsidRDefault="009864DB" w:rsidP="009864DB">
            <w:pPr>
              <w:spacing w:line="240" w:lineRule="auto"/>
              <w:ind w:firstLine="0"/>
            </w:pPr>
            <w:r w:rsidRPr="004D46AC">
              <w:t>22119</w:t>
            </w:r>
          </w:p>
        </w:tc>
        <w:tc>
          <w:tcPr>
            <w:tcW w:w="752" w:type="dxa"/>
            <w:vAlign w:val="center"/>
          </w:tcPr>
          <w:p w14:paraId="5A507331" w14:textId="77777777" w:rsidR="009864DB" w:rsidRPr="004D46AC" w:rsidRDefault="009864DB" w:rsidP="009864DB">
            <w:pPr>
              <w:spacing w:line="240" w:lineRule="auto"/>
              <w:ind w:firstLine="0"/>
            </w:pPr>
            <w:r w:rsidRPr="004D46AC">
              <w:t>NA</w:t>
            </w:r>
          </w:p>
        </w:tc>
        <w:tc>
          <w:tcPr>
            <w:tcW w:w="789" w:type="dxa"/>
            <w:gridSpan w:val="2"/>
            <w:vAlign w:val="center"/>
          </w:tcPr>
          <w:p w14:paraId="5B5FFF62" w14:textId="77777777" w:rsidR="009864DB" w:rsidRPr="004D46AC" w:rsidRDefault="009864DB" w:rsidP="009864DB">
            <w:pPr>
              <w:spacing w:line="240" w:lineRule="auto"/>
              <w:ind w:firstLine="0"/>
            </w:pPr>
            <w:r w:rsidRPr="004D46AC">
              <w:t>NA</w:t>
            </w:r>
          </w:p>
        </w:tc>
      </w:tr>
      <w:tr w:rsidR="009864DB" w:rsidRPr="004D46AC" w14:paraId="424F60F9" w14:textId="77777777" w:rsidTr="00B518F1">
        <w:tc>
          <w:tcPr>
            <w:tcW w:w="1476" w:type="dxa"/>
          </w:tcPr>
          <w:p w14:paraId="69DD13CC"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AuthorYear="1"&gt;&lt;Author&gt;Altindag&lt;/Author&gt;&lt;Year&gt;2006&lt;/Year&gt;&lt;RecNum&gt;108&lt;/RecNum&gt;&lt;DisplayText&gt;Altindag et al. (2006)&lt;/DisplayText&gt;&lt;record&gt;&lt;rec-number&gt;108&lt;/rec-number&gt;&lt;foreign-keys&gt;&lt;key app="EN" db-id="aet009sstawa0hewvt3xwf5atffdw2dt02sw" timestamp="1665572825"&gt;108&lt;/key&gt;&lt;/foreign-keys&gt;&lt;ref-type name="Journal Article"&gt;17&lt;/ref-type&gt;&lt;contributors&gt;&lt;authors&gt;&lt;author&gt;Altindag, A.&lt;/author&gt;&lt;author&gt;Yanik, M.&lt;/author&gt;&lt;author&gt;Nebioglu, M.&lt;/author&gt;&lt;/authors&gt;&lt;/contributors&gt;&lt;auth-address&gt;Harran University Faculty of Medicine, Department of Psychiatry, Sanliurfa, Turkey. aaltindag@yahoo.com&lt;/auth-address&gt;&lt;titles&gt;&lt;title&gt;The comorbidity of anxiety disorders in bipolar I patients: prevalence and clinical correlates&lt;/title&gt;&lt;secondary-title&gt;Isr J Psychiatry Relat Sci&lt;/secondary-title&gt;&lt;/titles&gt;&lt;periodical&gt;&lt;full-title&gt;Isr J Psychiatry Relat Sci&lt;/full-title&gt;&lt;/periodical&gt;&lt;pages&gt;10-5&lt;/pages&gt;&lt;volume&gt;43&lt;/volume&gt;&lt;number&gt;1&lt;/number&gt;&lt;keywords&gt;&lt;keyword&gt;Adolescent&lt;/keyword&gt;&lt;keyword&gt;Adult&lt;/keyword&gt;&lt;keyword&gt;Anxiety Disorders/*diagnosis/*epidemiology&lt;/keyword&gt;&lt;keyword&gt;Bipolar Disorder/*diagnosis/*epidemiology&lt;/keyword&gt;&lt;keyword&gt;Comorbidity&lt;/keyword&gt;&lt;keyword&gt;*Diagnostic and Statistical Manual of Mental Disorders&lt;/keyword&gt;&lt;keyword&gt;Female&lt;/keyword&gt;&lt;keyword&gt;Humans&lt;/keyword&gt;&lt;keyword&gt;Israel/epidemiology&lt;/keyword&gt;&lt;keyword&gt;Male&lt;/keyword&gt;&lt;keyword&gt;Middle Aged&lt;/keyword&gt;&lt;keyword&gt;Prevalence&lt;/keyword&gt;&lt;keyword&gt;*Surveys and Questionnaires&lt;/keyword&gt;&lt;/keywords&gt;&lt;dates&gt;&lt;year&gt;2006&lt;/year&gt;&lt;/dates&gt;&lt;isbn&gt;0333-7308 (Print)&amp;#xD;0333-7308 (Linking)&lt;/isbn&gt;&lt;accession-num&gt;16910379&lt;/accession-num&gt;&lt;urls&gt;&lt;related-urls&gt;&lt;url&gt;https://www.ncbi.nlm.nih.gov/pubmed/16910379&lt;/url&gt;&lt;/related-urls&gt;&lt;/urls&gt;&lt;remote-database-name&gt;Medline&lt;/remote-database-name&gt;&lt;remote-database-provider&gt;NLM&lt;/remote-database-provider&gt;&lt;language&gt;eng&lt;/language&gt;&lt;/record&gt;&lt;/Cite&gt;&lt;/EndNote&gt;</w:instrText>
            </w:r>
            <w:r w:rsidRPr="004D46AC">
              <w:fldChar w:fldCharType="separate"/>
            </w:r>
            <w:r w:rsidRPr="004D46AC">
              <w:t>Altindag et al. (2006)</w:t>
            </w:r>
            <w:r w:rsidRPr="004D46AC">
              <w:fldChar w:fldCharType="end"/>
            </w:r>
          </w:p>
        </w:tc>
        <w:tc>
          <w:tcPr>
            <w:tcW w:w="754" w:type="dxa"/>
            <w:vAlign w:val="center"/>
          </w:tcPr>
          <w:p w14:paraId="614D690D" w14:textId="77777777" w:rsidR="009864DB" w:rsidRPr="004D46AC" w:rsidRDefault="009864DB" w:rsidP="009864DB">
            <w:pPr>
              <w:spacing w:line="240" w:lineRule="auto"/>
              <w:ind w:firstLine="0"/>
            </w:pPr>
            <w:r w:rsidRPr="004D46AC">
              <w:t>5</w:t>
            </w:r>
          </w:p>
        </w:tc>
        <w:tc>
          <w:tcPr>
            <w:tcW w:w="766" w:type="dxa"/>
            <w:vAlign w:val="center"/>
          </w:tcPr>
          <w:p w14:paraId="71C3FFCC" w14:textId="77777777" w:rsidR="009864DB" w:rsidRPr="004D46AC" w:rsidRDefault="009864DB" w:rsidP="009864DB">
            <w:pPr>
              <w:spacing w:line="240" w:lineRule="auto"/>
              <w:ind w:firstLine="0"/>
            </w:pPr>
            <w:r w:rsidRPr="004D46AC">
              <w:t>43.54</w:t>
            </w:r>
          </w:p>
        </w:tc>
        <w:tc>
          <w:tcPr>
            <w:tcW w:w="1096" w:type="dxa"/>
            <w:vAlign w:val="center"/>
          </w:tcPr>
          <w:p w14:paraId="07391A6B" w14:textId="77777777" w:rsidR="009864DB" w:rsidRPr="004D46AC" w:rsidRDefault="009864DB" w:rsidP="009864DB">
            <w:pPr>
              <w:spacing w:line="240" w:lineRule="auto"/>
              <w:ind w:firstLine="0"/>
            </w:pPr>
            <w:r w:rsidRPr="004D46AC">
              <w:t>DSM4</w:t>
            </w:r>
          </w:p>
        </w:tc>
        <w:tc>
          <w:tcPr>
            <w:tcW w:w="1415" w:type="dxa"/>
            <w:vAlign w:val="center"/>
          </w:tcPr>
          <w:p w14:paraId="34B71E2A" w14:textId="77777777" w:rsidR="009864DB" w:rsidRPr="004D46AC" w:rsidRDefault="009864DB" w:rsidP="009864DB">
            <w:pPr>
              <w:spacing w:line="240" w:lineRule="auto"/>
              <w:ind w:firstLine="0"/>
            </w:pPr>
            <w:r w:rsidRPr="004D46AC">
              <w:t>SCID</w:t>
            </w:r>
          </w:p>
        </w:tc>
        <w:tc>
          <w:tcPr>
            <w:tcW w:w="876" w:type="dxa"/>
            <w:vAlign w:val="center"/>
          </w:tcPr>
          <w:p w14:paraId="700CF9F0" w14:textId="77777777" w:rsidR="009864DB" w:rsidRPr="004D46AC" w:rsidRDefault="009864DB" w:rsidP="009864DB">
            <w:pPr>
              <w:spacing w:line="240" w:lineRule="auto"/>
              <w:ind w:firstLine="0"/>
            </w:pPr>
            <w:r w:rsidRPr="004D46AC">
              <w:t>70</w:t>
            </w:r>
          </w:p>
        </w:tc>
        <w:tc>
          <w:tcPr>
            <w:tcW w:w="986" w:type="dxa"/>
            <w:vAlign w:val="center"/>
          </w:tcPr>
          <w:p w14:paraId="3CDD4D5F" w14:textId="77777777" w:rsidR="009864DB" w:rsidRPr="004D46AC" w:rsidRDefault="009864DB" w:rsidP="009864DB">
            <w:pPr>
              <w:spacing w:line="240" w:lineRule="auto"/>
              <w:ind w:firstLine="0"/>
            </w:pPr>
            <w:r w:rsidRPr="004D46AC">
              <w:t>1</w:t>
            </w:r>
          </w:p>
        </w:tc>
        <w:tc>
          <w:tcPr>
            <w:tcW w:w="751" w:type="dxa"/>
            <w:vAlign w:val="center"/>
          </w:tcPr>
          <w:p w14:paraId="10EDFF9E" w14:textId="77777777" w:rsidR="009864DB" w:rsidRPr="004D46AC" w:rsidRDefault="009864DB" w:rsidP="009864DB">
            <w:pPr>
              <w:spacing w:line="240" w:lineRule="auto"/>
              <w:ind w:firstLine="0"/>
            </w:pPr>
            <w:r w:rsidRPr="004D46AC">
              <w:t>2</w:t>
            </w:r>
          </w:p>
        </w:tc>
        <w:tc>
          <w:tcPr>
            <w:tcW w:w="752" w:type="dxa"/>
            <w:vAlign w:val="center"/>
          </w:tcPr>
          <w:p w14:paraId="15741C87" w14:textId="77777777" w:rsidR="009864DB" w:rsidRPr="004D46AC" w:rsidRDefault="009864DB" w:rsidP="009864DB">
            <w:pPr>
              <w:spacing w:line="240" w:lineRule="auto"/>
              <w:ind w:firstLine="0"/>
            </w:pPr>
            <w:r w:rsidRPr="004D46AC">
              <w:t>0</w:t>
            </w:r>
          </w:p>
        </w:tc>
        <w:tc>
          <w:tcPr>
            <w:tcW w:w="1296" w:type="dxa"/>
            <w:vAlign w:val="center"/>
          </w:tcPr>
          <w:p w14:paraId="22772F80" w14:textId="77777777" w:rsidR="009864DB" w:rsidRPr="004D46AC" w:rsidRDefault="009864DB" w:rsidP="009864DB">
            <w:pPr>
              <w:spacing w:line="240" w:lineRule="auto"/>
              <w:ind w:firstLine="0"/>
            </w:pPr>
            <w:r w:rsidRPr="004D46AC">
              <w:t>44</w:t>
            </w:r>
          </w:p>
        </w:tc>
        <w:tc>
          <w:tcPr>
            <w:tcW w:w="752" w:type="dxa"/>
            <w:vAlign w:val="center"/>
          </w:tcPr>
          <w:p w14:paraId="51660DC7" w14:textId="77777777" w:rsidR="009864DB" w:rsidRPr="004D46AC" w:rsidRDefault="009864DB" w:rsidP="009864DB">
            <w:pPr>
              <w:spacing w:line="240" w:lineRule="auto"/>
              <w:ind w:firstLine="0"/>
            </w:pPr>
            <w:r w:rsidRPr="004D46AC">
              <w:t>NA</w:t>
            </w:r>
          </w:p>
        </w:tc>
        <w:tc>
          <w:tcPr>
            <w:tcW w:w="789" w:type="dxa"/>
            <w:gridSpan w:val="2"/>
            <w:vAlign w:val="center"/>
          </w:tcPr>
          <w:p w14:paraId="532B61AF" w14:textId="77777777" w:rsidR="009864DB" w:rsidRPr="004D46AC" w:rsidRDefault="009864DB" w:rsidP="009864DB">
            <w:pPr>
              <w:spacing w:line="240" w:lineRule="auto"/>
              <w:ind w:firstLine="0"/>
            </w:pPr>
            <w:r w:rsidRPr="004D46AC">
              <w:t>NA</w:t>
            </w:r>
          </w:p>
        </w:tc>
      </w:tr>
      <w:tr w:rsidR="009864DB" w:rsidRPr="004D46AC" w14:paraId="5632845C" w14:textId="77777777" w:rsidTr="00B518F1">
        <w:tc>
          <w:tcPr>
            <w:tcW w:w="1476" w:type="dxa"/>
          </w:tcPr>
          <w:p w14:paraId="7A480798" w14:textId="77777777" w:rsidR="009864DB" w:rsidRPr="004D46AC" w:rsidRDefault="009864DB" w:rsidP="009864DB">
            <w:pPr>
              <w:spacing w:line="240" w:lineRule="auto"/>
              <w:ind w:firstLine="0"/>
            </w:pPr>
            <w:r w:rsidRPr="004D46AC">
              <w:fldChar w:fldCharType="begin">
                <w:fldData xml:space="preserve">PEVuZE5vdGU+PENpdGUgQXV0aG9yWWVhcj0iMSI+PEF1dGhvcj5CYXJhdGE8L0F1dGhvcj48WWVh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</w:fldData>
              </w:fldChar>
            </w:r>
            <w:r w:rsidRPr="004D46AC">
              <w:instrText xml:space="preserve"> ADDIN EN.CITE </w:instrText>
            </w:r>
            <w:r w:rsidRPr="004D46AC">
              <w:fldChar w:fldCharType="begin">
                <w:fldData xml:space="preserve">PEVuZE5vdGU+PENpdGUgQXV0aG9yWWVhcj0iMSI+PEF1dGhvcj5CYXJhdGE8L0F1dGhvcj48WWVh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</w:fldData>
              </w:fldChar>
            </w:r>
            <w:r w:rsidRPr="004D46AC">
              <w:instrText xml:space="preserve"> ADDIN EN.CITE.DATA </w:instrText>
            </w:r>
            <w:r w:rsidRPr="004D46AC">
              <w:fldChar w:fldCharType="end"/>
            </w:r>
            <w:r w:rsidRPr="004D46AC">
              <w:fldChar w:fldCharType="separate"/>
            </w:r>
            <w:r w:rsidRPr="004D46AC">
              <w:t>Barata et al. (2020)</w:t>
            </w:r>
            <w:r w:rsidRPr="004D46AC">
              <w:fldChar w:fldCharType="end"/>
            </w:r>
          </w:p>
        </w:tc>
        <w:tc>
          <w:tcPr>
            <w:tcW w:w="754" w:type="dxa"/>
            <w:vAlign w:val="center"/>
          </w:tcPr>
          <w:p w14:paraId="38585BF0" w14:textId="77777777" w:rsidR="009864DB" w:rsidRPr="004D46AC" w:rsidRDefault="009864DB" w:rsidP="009864DB">
            <w:pPr>
              <w:spacing w:line="240" w:lineRule="auto"/>
              <w:ind w:firstLine="0"/>
            </w:pPr>
            <w:r w:rsidRPr="004D46AC">
              <w:t>4</w:t>
            </w:r>
          </w:p>
        </w:tc>
        <w:tc>
          <w:tcPr>
            <w:tcW w:w="766" w:type="dxa"/>
            <w:vAlign w:val="center"/>
          </w:tcPr>
          <w:p w14:paraId="30CBDAA2" w14:textId="77777777" w:rsidR="009864DB" w:rsidRPr="004D46AC" w:rsidRDefault="009864DB" w:rsidP="009864DB">
            <w:pPr>
              <w:spacing w:line="240" w:lineRule="auto"/>
              <w:ind w:firstLine="0"/>
            </w:pPr>
            <w:r w:rsidRPr="004D46AC">
              <w:t>43</w:t>
            </w:r>
          </w:p>
        </w:tc>
        <w:tc>
          <w:tcPr>
            <w:tcW w:w="1096" w:type="dxa"/>
            <w:vAlign w:val="center"/>
          </w:tcPr>
          <w:p w14:paraId="178F4787" w14:textId="77777777" w:rsidR="009864DB" w:rsidRPr="004D46AC" w:rsidRDefault="009864DB" w:rsidP="009864DB">
            <w:pPr>
              <w:spacing w:line="240" w:lineRule="auto"/>
              <w:ind w:firstLine="0"/>
            </w:pPr>
            <w:r w:rsidRPr="004D46AC">
              <w:t>ICD10</w:t>
            </w:r>
          </w:p>
        </w:tc>
        <w:tc>
          <w:tcPr>
            <w:tcW w:w="1415" w:type="dxa"/>
            <w:vAlign w:val="center"/>
          </w:tcPr>
          <w:p w14:paraId="6EB7D53D" w14:textId="77777777" w:rsidR="009864DB" w:rsidRPr="004D46AC" w:rsidRDefault="009864DB" w:rsidP="009864DB">
            <w:pPr>
              <w:spacing w:line="240" w:lineRule="auto"/>
              <w:ind w:firstLine="0"/>
            </w:pPr>
            <w:r w:rsidRPr="004D46AC">
              <w:t>unclear</w:t>
            </w:r>
          </w:p>
        </w:tc>
        <w:tc>
          <w:tcPr>
            <w:tcW w:w="876" w:type="dxa"/>
            <w:vAlign w:val="center"/>
          </w:tcPr>
          <w:p w14:paraId="1D7C8524" w14:textId="77777777" w:rsidR="009864DB" w:rsidRPr="004D46AC" w:rsidRDefault="009864DB" w:rsidP="009864DB">
            <w:pPr>
              <w:spacing w:line="240" w:lineRule="auto"/>
              <w:ind w:firstLine="0"/>
            </w:pPr>
            <w:r w:rsidRPr="004D46AC">
              <w:t>218</w:t>
            </w:r>
          </w:p>
        </w:tc>
        <w:tc>
          <w:tcPr>
            <w:tcW w:w="986" w:type="dxa"/>
            <w:vAlign w:val="center"/>
          </w:tcPr>
          <w:p w14:paraId="4D0C72D8" w14:textId="77777777" w:rsidR="009864DB" w:rsidRPr="004D46AC" w:rsidRDefault="009864DB" w:rsidP="009864DB">
            <w:pPr>
              <w:spacing w:line="240" w:lineRule="auto"/>
              <w:ind w:firstLine="0"/>
            </w:pPr>
            <w:r w:rsidRPr="004D46AC">
              <w:t>3</w:t>
            </w:r>
          </w:p>
        </w:tc>
        <w:tc>
          <w:tcPr>
            <w:tcW w:w="751" w:type="dxa"/>
            <w:vAlign w:val="center"/>
          </w:tcPr>
          <w:p w14:paraId="719EAE38" w14:textId="77777777" w:rsidR="009864DB" w:rsidRPr="004D46AC" w:rsidRDefault="009864DB" w:rsidP="009864DB">
            <w:pPr>
              <w:spacing w:line="240" w:lineRule="auto"/>
              <w:ind w:firstLine="0"/>
            </w:pPr>
            <w:r w:rsidRPr="004D46AC">
              <w:t>1</w:t>
            </w:r>
          </w:p>
        </w:tc>
        <w:tc>
          <w:tcPr>
            <w:tcW w:w="752" w:type="dxa"/>
            <w:vAlign w:val="center"/>
          </w:tcPr>
          <w:p w14:paraId="6F8E8DCE" w14:textId="77777777" w:rsidR="009864DB" w:rsidRPr="004D46AC" w:rsidRDefault="009864DB" w:rsidP="009864DB">
            <w:pPr>
              <w:spacing w:line="240" w:lineRule="auto"/>
              <w:ind w:firstLine="0"/>
            </w:pPr>
            <w:r w:rsidRPr="004D46AC">
              <w:t>0</w:t>
            </w:r>
          </w:p>
        </w:tc>
        <w:tc>
          <w:tcPr>
            <w:tcW w:w="1296" w:type="dxa"/>
            <w:vAlign w:val="center"/>
          </w:tcPr>
          <w:p w14:paraId="4AE31497" w14:textId="77777777" w:rsidR="009864DB" w:rsidRPr="004D46AC" w:rsidRDefault="009864DB" w:rsidP="009864DB">
            <w:pPr>
              <w:spacing w:line="240" w:lineRule="auto"/>
              <w:ind w:firstLine="0"/>
            </w:pPr>
            <w:r w:rsidRPr="004D46AC">
              <w:t>95</w:t>
            </w:r>
          </w:p>
        </w:tc>
        <w:tc>
          <w:tcPr>
            <w:tcW w:w="752" w:type="dxa"/>
            <w:vAlign w:val="center"/>
          </w:tcPr>
          <w:p w14:paraId="0499CF55" w14:textId="77777777" w:rsidR="009864DB" w:rsidRPr="004D46AC" w:rsidRDefault="009864DB" w:rsidP="009864DB">
            <w:pPr>
              <w:spacing w:line="240" w:lineRule="auto"/>
              <w:ind w:firstLine="0"/>
            </w:pPr>
            <w:r w:rsidRPr="004D46AC">
              <w:t>NA</w:t>
            </w:r>
          </w:p>
        </w:tc>
        <w:tc>
          <w:tcPr>
            <w:tcW w:w="789" w:type="dxa"/>
            <w:gridSpan w:val="2"/>
            <w:vAlign w:val="center"/>
          </w:tcPr>
          <w:p w14:paraId="1BB3A7A1" w14:textId="77777777" w:rsidR="009864DB" w:rsidRPr="004D46AC" w:rsidRDefault="009864DB" w:rsidP="009864DB">
            <w:pPr>
              <w:spacing w:line="240" w:lineRule="auto"/>
              <w:ind w:firstLine="0"/>
            </w:pPr>
            <w:r w:rsidRPr="004D46AC">
              <w:t>NA</w:t>
            </w:r>
          </w:p>
        </w:tc>
      </w:tr>
      <w:tr w:rsidR="009864DB" w:rsidRPr="004D46AC" w14:paraId="5ABB9CDE" w14:textId="77777777" w:rsidTr="00B518F1">
        <w:tc>
          <w:tcPr>
            <w:tcW w:w="1476" w:type="dxa"/>
          </w:tcPr>
          <w:p w14:paraId="6B0C9217"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AuthorYear="1"&gt;&lt;Author&gt;Corvin&lt;/Author&gt;&lt;Year&gt;2001&lt;/Year&gt;&lt;RecNum&gt;112&lt;/RecNum&gt;&lt;DisplayText&gt;Corvin et al. (2001)&lt;/DisplayText&gt;&lt;record&gt;&lt;rec-number&gt;112&lt;/rec-number&gt;&lt;foreign-keys&gt;&lt;key app="EN" db-id="aet009sstawa0hewvt3xwf5atffdw2dt02sw" timestamp="1665577522"&gt;112&lt;/key&gt;&lt;/foreign-keys&gt;&lt;ref-type name="Journal Article"&gt;17&lt;/ref-type&gt;&lt;contributors&gt;&lt;authors&gt;&lt;author&gt;Corvin, A.&lt;/author&gt;&lt;author&gt;O&amp;apos;Mahony, E.&lt;/author&gt;&lt;author&gt;O&amp;apos;Regan, M.&lt;/author&gt;&lt;author&gt;Comerford, C.&lt;/author&gt;&lt;author&gt;O&amp;apos;Connell, R.&lt;/author&gt;&lt;author&gt;Craddock, N.&lt;/author&gt;&lt;author&gt;Gill, M.&lt;/author&gt;&lt;/authors&gt;&lt;/contributors&gt;&lt;auth-address&gt;Department of Psychiatry, Trinity Centre for Health Sciences, St James&amp;apos;s Hospital, Dublin, Ireland. acorvin@tcd.ie&lt;/auth-address&gt;&lt;titles&gt;&lt;title&gt;Cigarette smoking and psychotic symptoms in bipolar affective disorder&lt;/title&gt;&lt;secondary-title&gt;Br J Psychiatry&lt;/secondary-title&gt;&lt;/titles&gt;&lt;periodical&gt;&lt;full-title&gt;Br J Psychiatry&lt;/full-title&gt;&lt;/periodical&gt;&lt;pages&gt;35-8&lt;/pages&gt;&lt;volume&gt;179&lt;/volume&gt;&lt;number&gt;1&lt;/number&gt;&lt;edition&gt;2018/01/02&lt;/edition&gt;&lt;keywords&gt;&lt;keyword&gt;Adult&lt;/keyword&gt;&lt;keyword&gt;Aged&lt;/keyword&gt;&lt;keyword&gt;Bipolar Disorder/*complications&lt;/keyword&gt;&lt;keyword&gt;Female&lt;/keyword&gt;&lt;keyword&gt;Humans&lt;/keyword&gt;&lt;keyword&gt;Logistic Models&lt;/keyword&gt;&lt;keyword&gt;Male&lt;/keyword&gt;&lt;keyword&gt;Middle Aged&lt;/keyword&gt;&lt;keyword&gt;Psychotic Disorders/*etiology&lt;/keyword&gt;&lt;keyword&gt;Smoking/*adverse effects/epidemiology&lt;/keyword&gt;&lt;/keywords&gt;&lt;dates&gt;&lt;year&gt;2001&lt;/year&gt;&lt;pub-dates&gt;&lt;date&gt;Jul&lt;/date&gt;&lt;/pub-dates&gt;&lt;/dates&gt;&lt;publisher&gt;Cambridge University Press&lt;/publisher&gt;&lt;isbn&gt;0007-1250 (Print)&amp;#xD;0007-1250 (Linking)&lt;/isbn&gt;&lt;accession-num&gt;11435266&lt;/accession-num&gt;&lt;urls&gt;&lt;related-urls&gt;&lt;url&gt;https://www.ncbi.nlm.nih.gov/pubmed/11435266&lt;/url&gt;&lt;/related-urls&gt;&lt;/urls&gt;&lt;electronic-resource-num&gt;10.1192/bjp.179.1.35&lt;/electronic-resource-num&gt;&lt;remote-database-name&gt;Medline&lt;/remote-database-name&gt;&lt;remote-database-provider&gt;NLM&lt;/remote-database-provider&gt;&lt;/record&gt;&lt;/Cite&gt;&lt;/EndNote&gt;</w:instrText>
            </w:r>
            <w:r w:rsidRPr="004D46AC">
              <w:fldChar w:fldCharType="separate"/>
            </w:r>
            <w:r w:rsidRPr="004D46AC">
              <w:t>Corvin et al. (2001)</w:t>
            </w:r>
            <w:r w:rsidRPr="004D46AC">
              <w:fldChar w:fldCharType="end"/>
            </w:r>
          </w:p>
        </w:tc>
        <w:tc>
          <w:tcPr>
            <w:tcW w:w="754" w:type="dxa"/>
            <w:vAlign w:val="center"/>
          </w:tcPr>
          <w:p w14:paraId="5C4D5FEF" w14:textId="77777777" w:rsidR="009864DB" w:rsidRPr="004D46AC" w:rsidRDefault="009864DB" w:rsidP="009864DB">
            <w:pPr>
              <w:spacing w:line="240" w:lineRule="auto"/>
              <w:ind w:firstLine="0"/>
            </w:pPr>
            <w:r w:rsidRPr="004D46AC">
              <w:t>5</w:t>
            </w:r>
          </w:p>
        </w:tc>
        <w:tc>
          <w:tcPr>
            <w:tcW w:w="766" w:type="dxa"/>
            <w:vAlign w:val="center"/>
          </w:tcPr>
          <w:p w14:paraId="1F663D1A" w14:textId="77777777" w:rsidR="009864DB" w:rsidRPr="004D46AC" w:rsidRDefault="009864DB" w:rsidP="009864DB">
            <w:pPr>
              <w:spacing w:line="240" w:lineRule="auto"/>
              <w:ind w:firstLine="0"/>
            </w:pPr>
            <w:r w:rsidRPr="004D46AC">
              <w:t>44</w:t>
            </w:r>
          </w:p>
        </w:tc>
        <w:tc>
          <w:tcPr>
            <w:tcW w:w="1096" w:type="dxa"/>
            <w:vAlign w:val="center"/>
          </w:tcPr>
          <w:p w14:paraId="3042C9CA" w14:textId="77777777" w:rsidR="009864DB" w:rsidRPr="004D46AC" w:rsidRDefault="009864DB" w:rsidP="009864DB">
            <w:pPr>
              <w:spacing w:line="240" w:lineRule="auto"/>
              <w:ind w:firstLine="0"/>
            </w:pPr>
            <w:r w:rsidRPr="004D46AC">
              <w:t>ICD10</w:t>
            </w:r>
          </w:p>
        </w:tc>
        <w:tc>
          <w:tcPr>
            <w:tcW w:w="1415" w:type="dxa"/>
            <w:vAlign w:val="center"/>
          </w:tcPr>
          <w:p w14:paraId="0D441ED5" w14:textId="77777777" w:rsidR="009864DB" w:rsidRPr="004D46AC" w:rsidRDefault="009864DB" w:rsidP="009864DB">
            <w:pPr>
              <w:spacing w:line="240" w:lineRule="auto"/>
              <w:ind w:firstLine="0"/>
            </w:pPr>
            <w:r w:rsidRPr="004D46AC">
              <w:t>SCAN</w:t>
            </w:r>
          </w:p>
        </w:tc>
        <w:tc>
          <w:tcPr>
            <w:tcW w:w="876" w:type="dxa"/>
            <w:vAlign w:val="center"/>
          </w:tcPr>
          <w:p w14:paraId="095F79B2" w14:textId="77777777" w:rsidR="009864DB" w:rsidRPr="004D46AC" w:rsidRDefault="009864DB" w:rsidP="009864DB">
            <w:pPr>
              <w:spacing w:line="240" w:lineRule="auto"/>
              <w:ind w:firstLine="0"/>
            </w:pPr>
            <w:r w:rsidRPr="004D46AC">
              <w:t>92</w:t>
            </w:r>
          </w:p>
        </w:tc>
        <w:tc>
          <w:tcPr>
            <w:tcW w:w="986" w:type="dxa"/>
            <w:vAlign w:val="center"/>
          </w:tcPr>
          <w:p w14:paraId="2ECC4A80" w14:textId="77777777" w:rsidR="009864DB" w:rsidRPr="004D46AC" w:rsidRDefault="009864DB" w:rsidP="009864DB">
            <w:pPr>
              <w:spacing w:line="240" w:lineRule="auto"/>
              <w:ind w:firstLine="0"/>
            </w:pPr>
            <w:r w:rsidRPr="004D46AC">
              <w:t>unclear</w:t>
            </w:r>
          </w:p>
        </w:tc>
        <w:tc>
          <w:tcPr>
            <w:tcW w:w="751" w:type="dxa"/>
            <w:vAlign w:val="center"/>
          </w:tcPr>
          <w:p w14:paraId="6E52EA1D" w14:textId="77777777" w:rsidR="009864DB" w:rsidRPr="004D46AC" w:rsidRDefault="009864DB" w:rsidP="009864DB">
            <w:pPr>
              <w:spacing w:line="240" w:lineRule="auto"/>
              <w:ind w:firstLine="0"/>
            </w:pPr>
            <w:r w:rsidRPr="004D46AC">
              <w:t>1</w:t>
            </w:r>
          </w:p>
        </w:tc>
        <w:tc>
          <w:tcPr>
            <w:tcW w:w="752" w:type="dxa"/>
            <w:vAlign w:val="center"/>
          </w:tcPr>
          <w:p w14:paraId="7DEC3DA9" w14:textId="77777777" w:rsidR="009864DB" w:rsidRPr="004D46AC" w:rsidRDefault="009864DB" w:rsidP="009864DB">
            <w:pPr>
              <w:spacing w:line="240" w:lineRule="auto"/>
              <w:ind w:firstLine="0"/>
            </w:pPr>
            <w:r w:rsidRPr="004D46AC">
              <w:t>2</w:t>
            </w:r>
          </w:p>
        </w:tc>
        <w:tc>
          <w:tcPr>
            <w:tcW w:w="1296" w:type="dxa"/>
          </w:tcPr>
          <w:p w14:paraId="6B068895" w14:textId="77777777" w:rsidR="009864DB" w:rsidRPr="004D46AC" w:rsidRDefault="009864DB" w:rsidP="009864DB">
            <w:pPr>
              <w:spacing w:line="240" w:lineRule="auto"/>
              <w:ind w:firstLine="0"/>
            </w:pPr>
            <w:r w:rsidRPr="004D46AC">
              <w:t>64</w:t>
            </w:r>
          </w:p>
        </w:tc>
        <w:tc>
          <w:tcPr>
            <w:tcW w:w="752" w:type="dxa"/>
            <w:vAlign w:val="center"/>
          </w:tcPr>
          <w:p w14:paraId="74B2B6A2" w14:textId="77777777" w:rsidR="009864DB" w:rsidRPr="004D46AC" w:rsidRDefault="009864DB" w:rsidP="009864DB">
            <w:pPr>
              <w:spacing w:line="240" w:lineRule="auto"/>
              <w:ind w:firstLine="0"/>
            </w:pPr>
            <w:r w:rsidRPr="004D46AC">
              <w:t>NA</w:t>
            </w:r>
          </w:p>
        </w:tc>
        <w:tc>
          <w:tcPr>
            <w:tcW w:w="789" w:type="dxa"/>
            <w:gridSpan w:val="2"/>
            <w:vAlign w:val="center"/>
          </w:tcPr>
          <w:p w14:paraId="07156475" w14:textId="77777777" w:rsidR="009864DB" w:rsidRPr="004D46AC" w:rsidRDefault="009864DB" w:rsidP="009864DB">
            <w:pPr>
              <w:spacing w:line="240" w:lineRule="auto"/>
              <w:ind w:firstLine="0"/>
            </w:pPr>
            <w:r w:rsidRPr="004D46AC">
              <w:t>NA</w:t>
            </w:r>
          </w:p>
        </w:tc>
      </w:tr>
      <w:tr w:rsidR="009864DB" w:rsidRPr="004D46AC" w14:paraId="44828F4D" w14:textId="77777777" w:rsidTr="00B518F1">
        <w:tc>
          <w:tcPr>
            <w:tcW w:w="1476" w:type="dxa"/>
          </w:tcPr>
          <w:p w14:paraId="6A7DCB9C" w14:textId="77777777" w:rsidR="009864DB" w:rsidRPr="004D46AC" w:rsidRDefault="009864DB" w:rsidP="009864DB">
            <w:pPr>
              <w:spacing w:line="240" w:lineRule="auto"/>
              <w:ind w:firstLine="0"/>
            </w:pPr>
            <w:r w:rsidRPr="004D46AC">
              <w:fldChar w:fldCharType="begin">
                <w:fldData xml:space="preserve">PEVuZE5vdGU+PENpdGUgQXV0aG9yWWVhcj0iMSI+PEF1dGhvcj5BZWRvPC9BdXRob3I+PFllYXI+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instrText xml:space="preserve"> ADDIN EN.CITE </w:instrText>
            </w:r>
            <w:r w:rsidRPr="004D46AC">
              <w:fldChar w:fldCharType="begin">
                <w:fldData xml:space="preserve">PEVuZE5vdGU+PENpdGUgQXV0aG9yWWVhcj0iMSI+PEF1dGhvcj5BZWRvPC9BdXRob3I+PFllYXI+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instrText xml:space="preserve"> ADDIN EN.CITE.DATA </w:instrText>
            </w:r>
            <w:r w:rsidRPr="004D46AC">
              <w:fldChar w:fldCharType="end"/>
            </w:r>
            <w:r w:rsidRPr="004D46AC">
              <w:fldChar w:fldCharType="separate"/>
            </w:r>
            <w:r w:rsidRPr="004D46AC">
              <w:t>Aedo et al. (2018)</w:t>
            </w:r>
            <w:r w:rsidRPr="004D46AC">
              <w:fldChar w:fldCharType="end"/>
            </w:r>
          </w:p>
        </w:tc>
        <w:tc>
          <w:tcPr>
            <w:tcW w:w="754" w:type="dxa"/>
            <w:vAlign w:val="center"/>
          </w:tcPr>
          <w:p w14:paraId="76F90D24" w14:textId="77777777" w:rsidR="009864DB" w:rsidRPr="004D46AC" w:rsidRDefault="009864DB" w:rsidP="009864DB">
            <w:pPr>
              <w:spacing w:line="240" w:lineRule="auto"/>
              <w:ind w:firstLine="0"/>
            </w:pPr>
            <w:r w:rsidRPr="004D46AC">
              <w:t>6</w:t>
            </w:r>
          </w:p>
        </w:tc>
        <w:tc>
          <w:tcPr>
            <w:tcW w:w="766" w:type="dxa"/>
            <w:vAlign w:val="center"/>
          </w:tcPr>
          <w:p w14:paraId="4B7A0661" w14:textId="77777777" w:rsidR="009864DB" w:rsidRPr="004D46AC" w:rsidRDefault="009864DB" w:rsidP="009864DB">
            <w:pPr>
              <w:spacing w:line="240" w:lineRule="auto"/>
              <w:ind w:firstLine="0"/>
            </w:pPr>
            <w:r w:rsidRPr="004D46AC">
              <w:t>37.6</w:t>
            </w:r>
          </w:p>
        </w:tc>
        <w:tc>
          <w:tcPr>
            <w:tcW w:w="1096" w:type="dxa"/>
            <w:vAlign w:val="center"/>
          </w:tcPr>
          <w:p w14:paraId="23538B16" w14:textId="77777777" w:rsidR="009864DB" w:rsidRPr="004D46AC" w:rsidRDefault="009864DB" w:rsidP="009864DB">
            <w:pPr>
              <w:spacing w:line="240" w:lineRule="auto"/>
              <w:ind w:firstLine="0"/>
            </w:pPr>
            <w:r w:rsidRPr="004D46AC">
              <w:t>DSM4TR</w:t>
            </w:r>
          </w:p>
        </w:tc>
        <w:tc>
          <w:tcPr>
            <w:tcW w:w="1415" w:type="dxa"/>
            <w:vAlign w:val="center"/>
          </w:tcPr>
          <w:p w14:paraId="570B8848" w14:textId="77777777" w:rsidR="009864DB" w:rsidRPr="004D46AC" w:rsidRDefault="009864DB" w:rsidP="009864DB">
            <w:pPr>
              <w:spacing w:line="240" w:lineRule="auto"/>
              <w:ind w:firstLine="0"/>
            </w:pPr>
            <w:r w:rsidRPr="004D46AC">
              <w:t>SCID</w:t>
            </w:r>
          </w:p>
        </w:tc>
        <w:tc>
          <w:tcPr>
            <w:tcW w:w="876" w:type="dxa"/>
            <w:vAlign w:val="center"/>
          </w:tcPr>
          <w:p w14:paraId="70782252" w14:textId="77777777" w:rsidR="009864DB" w:rsidRPr="004D46AC" w:rsidRDefault="009864DB" w:rsidP="009864DB">
            <w:pPr>
              <w:spacing w:line="240" w:lineRule="auto"/>
              <w:ind w:firstLine="0"/>
            </w:pPr>
            <w:r w:rsidRPr="004D46AC">
              <w:t>235</w:t>
            </w:r>
          </w:p>
        </w:tc>
        <w:tc>
          <w:tcPr>
            <w:tcW w:w="986" w:type="dxa"/>
            <w:vAlign w:val="center"/>
          </w:tcPr>
          <w:p w14:paraId="4BC9A0C5" w14:textId="77777777" w:rsidR="009864DB" w:rsidRPr="004D46AC" w:rsidRDefault="009864DB" w:rsidP="009864DB">
            <w:pPr>
              <w:spacing w:line="240" w:lineRule="auto"/>
              <w:ind w:firstLine="0"/>
            </w:pPr>
            <w:r w:rsidRPr="004D46AC">
              <w:t>1</w:t>
            </w:r>
          </w:p>
        </w:tc>
        <w:tc>
          <w:tcPr>
            <w:tcW w:w="751" w:type="dxa"/>
            <w:vAlign w:val="center"/>
          </w:tcPr>
          <w:p w14:paraId="11297E82" w14:textId="77777777" w:rsidR="009864DB" w:rsidRPr="004D46AC" w:rsidRDefault="009864DB" w:rsidP="009864DB">
            <w:pPr>
              <w:spacing w:line="240" w:lineRule="auto"/>
              <w:ind w:firstLine="0"/>
            </w:pPr>
            <w:r w:rsidRPr="004D46AC">
              <w:t>1</w:t>
            </w:r>
          </w:p>
        </w:tc>
        <w:tc>
          <w:tcPr>
            <w:tcW w:w="752" w:type="dxa"/>
            <w:vAlign w:val="center"/>
          </w:tcPr>
          <w:p w14:paraId="7FE70C00" w14:textId="77777777" w:rsidR="009864DB" w:rsidRPr="004D46AC" w:rsidRDefault="009864DB" w:rsidP="009864DB">
            <w:pPr>
              <w:spacing w:line="240" w:lineRule="auto"/>
              <w:ind w:firstLine="0"/>
            </w:pPr>
            <w:r w:rsidRPr="004D46AC">
              <w:t>0</w:t>
            </w:r>
          </w:p>
        </w:tc>
        <w:tc>
          <w:tcPr>
            <w:tcW w:w="1296" w:type="dxa"/>
          </w:tcPr>
          <w:p w14:paraId="5DC466D7" w14:textId="77777777" w:rsidR="009864DB" w:rsidRPr="004D46AC" w:rsidRDefault="009864DB" w:rsidP="009864DB">
            <w:pPr>
              <w:spacing w:line="240" w:lineRule="auto"/>
              <w:ind w:firstLine="0"/>
            </w:pPr>
            <w:r w:rsidRPr="004D46AC">
              <w:t>90</w:t>
            </w:r>
          </w:p>
        </w:tc>
        <w:tc>
          <w:tcPr>
            <w:tcW w:w="752" w:type="dxa"/>
            <w:vAlign w:val="center"/>
          </w:tcPr>
          <w:p w14:paraId="52AA3646" w14:textId="77777777" w:rsidR="009864DB" w:rsidRPr="004D46AC" w:rsidRDefault="009864DB" w:rsidP="009864DB">
            <w:pPr>
              <w:spacing w:line="240" w:lineRule="auto"/>
              <w:ind w:firstLine="0"/>
            </w:pPr>
            <w:r w:rsidRPr="004D46AC">
              <w:t>NA</w:t>
            </w:r>
          </w:p>
        </w:tc>
        <w:tc>
          <w:tcPr>
            <w:tcW w:w="789" w:type="dxa"/>
            <w:gridSpan w:val="2"/>
            <w:vAlign w:val="center"/>
          </w:tcPr>
          <w:p w14:paraId="66F0F20B" w14:textId="77777777" w:rsidR="009864DB" w:rsidRPr="004D46AC" w:rsidRDefault="009864DB" w:rsidP="009864DB">
            <w:pPr>
              <w:spacing w:line="240" w:lineRule="auto"/>
              <w:ind w:firstLine="0"/>
            </w:pPr>
            <w:r w:rsidRPr="004D46AC">
              <w:t>NA</w:t>
            </w:r>
          </w:p>
        </w:tc>
      </w:tr>
      <w:tr w:rsidR="009864DB" w:rsidRPr="004D46AC" w14:paraId="6093C97A" w14:textId="77777777" w:rsidTr="00B518F1">
        <w:tc>
          <w:tcPr>
            <w:tcW w:w="1476" w:type="dxa"/>
          </w:tcPr>
          <w:p w14:paraId="5FC047C0" w14:textId="77777777" w:rsidR="009864DB" w:rsidRPr="004D46AC" w:rsidRDefault="009864DB" w:rsidP="009864DB">
            <w:pPr>
              <w:spacing w:line="240" w:lineRule="auto"/>
              <w:ind w:firstLine="0"/>
            </w:pPr>
            <w:r w:rsidRPr="004D46AC">
              <w:fldChar w:fldCharType="begin">
                <w:fldData xml:space="preserve">PEVuZE5vdGU+PENpdGUgQXV0aG9yWWVhcj0iMSI+PEF1dGhvcj5CdW9saTwvQXV0aG9yPjxZZWFy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</w:fldData>
              </w:fldChar>
            </w:r>
            <w:r w:rsidRPr="004D46AC">
              <w:instrText xml:space="preserve"> ADDIN EN.CITE </w:instrText>
            </w:r>
            <w:r w:rsidRPr="004D46AC">
              <w:fldChar w:fldCharType="begin">
                <w:fldData xml:space="preserve">PEVuZE5vdGU+PENpdGUgQXV0aG9yWWVhcj0iMSI+PEF1dGhvcj5CdW9saTwvQXV0aG9yPjxZZWFy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</w:fldData>
              </w:fldChar>
            </w:r>
            <w:r w:rsidRPr="004D46AC">
              <w:instrText xml:space="preserve"> ADDIN EN.CITE.DATA </w:instrText>
            </w:r>
            <w:r w:rsidRPr="004D46AC">
              <w:fldChar w:fldCharType="end"/>
            </w:r>
            <w:r w:rsidRPr="004D46AC">
              <w:fldChar w:fldCharType="separate"/>
            </w:r>
            <w:r w:rsidRPr="004D46AC">
              <w:t>Buoli et al. (2017)</w:t>
            </w:r>
            <w:r w:rsidRPr="004D46AC">
              <w:fldChar w:fldCharType="end"/>
            </w:r>
          </w:p>
        </w:tc>
        <w:tc>
          <w:tcPr>
            <w:tcW w:w="754" w:type="dxa"/>
            <w:vAlign w:val="center"/>
          </w:tcPr>
          <w:p w14:paraId="6E8D753A" w14:textId="77777777" w:rsidR="009864DB" w:rsidRPr="004D46AC" w:rsidRDefault="009864DB" w:rsidP="009864DB">
            <w:pPr>
              <w:spacing w:line="240" w:lineRule="auto"/>
              <w:ind w:firstLine="0"/>
            </w:pPr>
            <w:r w:rsidRPr="004D46AC">
              <w:t>5</w:t>
            </w:r>
          </w:p>
        </w:tc>
        <w:tc>
          <w:tcPr>
            <w:tcW w:w="766" w:type="dxa"/>
            <w:vAlign w:val="center"/>
          </w:tcPr>
          <w:p w14:paraId="43D7222A" w14:textId="77777777" w:rsidR="009864DB" w:rsidRPr="004D46AC" w:rsidRDefault="009864DB" w:rsidP="009864DB">
            <w:pPr>
              <w:spacing w:line="240" w:lineRule="auto"/>
              <w:ind w:firstLine="0"/>
            </w:pPr>
            <w:r w:rsidRPr="004D46AC">
              <w:t>51.65</w:t>
            </w:r>
          </w:p>
        </w:tc>
        <w:tc>
          <w:tcPr>
            <w:tcW w:w="1096" w:type="dxa"/>
            <w:vAlign w:val="center"/>
          </w:tcPr>
          <w:p w14:paraId="2F4674E8" w14:textId="77777777" w:rsidR="009864DB" w:rsidRPr="004D46AC" w:rsidRDefault="009864DB" w:rsidP="009864DB">
            <w:pPr>
              <w:spacing w:line="240" w:lineRule="auto"/>
              <w:ind w:firstLine="0"/>
            </w:pPr>
            <w:r w:rsidRPr="004D46AC">
              <w:t>DSM5</w:t>
            </w:r>
          </w:p>
        </w:tc>
        <w:tc>
          <w:tcPr>
            <w:tcW w:w="1415" w:type="dxa"/>
            <w:vAlign w:val="center"/>
          </w:tcPr>
          <w:p w14:paraId="3CFFC558" w14:textId="77777777" w:rsidR="009864DB" w:rsidRPr="004D46AC" w:rsidRDefault="009864DB" w:rsidP="009864DB">
            <w:pPr>
              <w:spacing w:line="240" w:lineRule="auto"/>
              <w:ind w:firstLine="0"/>
            </w:pPr>
            <w:r w:rsidRPr="004D46AC">
              <w:t>unclear</w:t>
            </w:r>
          </w:p>
        </w:tc>
        <w:tc>
          <w:tcPr>
            <w:tcW w:w="876" w:type="dxa"/>
            <w:vAlign w:val="center"/>
          </w:tcPr>
          <w:p w14:paraId="3B428B60" w14:textId="77777777" w:rsidR="009864DB" w:rsidRPr="004D46AC" w:rsidRDefault="009864DB" w:rsidP="009864DB">
            <w:pPr>
              <w:spacing w:line="240" w:lineRule="auto"/>
              <w:ind w:firstLine="0"/>
            </w:pPr>
            <w:r w:rsidRPr="004D46AC">
              <w:t>238</w:t>
            </w:r>
          </w:p>
        </w:tc>
        <w:tc>
          <w:tcPr>
            <w:tcW w:w="986" w:type="dxa"/>
            <w:vAlign w:val="center"/>
          </w:tcPr>
          <w:p w14:paraId="02E9A384" w14:textId="77777777" w:rsidR="009864DB" w:rsidRPr="004D46AC" w:rsidRDefault="009864DB" w:rsidP="009864DB">
            <w:pPr>
              <w:spacing w:line="240" w:lineRule="auto"/>
              <w:ind w:firstLine="0"/>
            </w:pPr>
            <w:r w:rsidRPr="004D46AC">
              <w:t>unclear</w:t>
            </w:r>
          </w:p>
        </w:tc>
        <w:tc>
          <w:tcPr>
            <w:tcW w:w="751" w:type="dxa"/>
            <w:vAlign w:val="center"/>
          </w:tcPr>
          <w:p w14:paraId="5832B6EC" w14:textId="77777777" w:rsidR="009864DB" w:rsidRPr="004D46AC" w:rsidRDefault="009864DB" w:rsidP="009864DB">
            <w:pPr>
              <w:spacing w:line="240" w:lineRule="auto"/>
              <w:ind w:firstLine="0"/>
            </w:pPr>
            <w:r w:rsidRPr="004D46AC">
              <w:t>1</w:t>
            </w:r>
          </w:p>
        </w:tc>
        <w:tc>
          <w:tcPr>
            <w:tcW w:w="752" w:type="dxa"/>
            <w:vAlign w:val="center"/>
          </w:tcPr>
          <w:p w14:paraId="2CA06FE1" w14:textId="77777777" w:rsidR="009864DB" w:rsidRPr="004D46AC" w:rsidRDefault="009864DB" w:rsidP="009864DB">
            <w:pPr>
              <w:spacing w:line="240" w:lineRule="auto"/>
              <w:ind w:firstLine="0"/>
            </w:pPr>
            <w:r w:rsidRPr="004D46AC">
              <w:t>2</w:t>
            </w:r>
          </w:p>
        </w:tc>
        <w:tc>
          <w:tcPr>
            <w:tcW w:w="1296" w:type="dxa"/>
          </w:tcPr>
          <w:p w14:paraId="21F0C3B0" w14:textId="77777777" w:rsidR="009864DB" w:rsidRPr="004D46AC" w:rsidRDefault="009864DB" w:rsidP="009864DB">
            <w:pPr>
              <w:spacing w:line="240" w:lineRule="auto"/>
              <w:ind w:firstLine="0"/>
            </w:pPr>
            <w:r w:rsidRPr="004D46AC">
              <w:t>171</w:t>
            </w:r>
          </w:p>
        </w:tc>
        <w:tc>
          <w:tcPr>
            <w:tcW w:w="752" w:type="dxa"/>
            <w:vAlign w:val="center"/>
          </w:tcPr>
          <w:p w14:paraId="2C8FEC37" w14:textId="77777777" w:rsidR="009864DB" w:rsidRPr="004D46AC" w:rsidRDefault="009864DB" w:rsidP="009864DB">
            <w:pPr>
              <w:spacing w:line="240" w:lineRule="auto"/>
              <w:ind w:firstLine="0"/>
            </w:pPr>
            <w:r w:rsidRPr="004D46AC">
              <w:t>NA</w:t>
            </w:r>
          </w:p>
        </w:tc>
        <w:tc>
          <w:tcPr>
            <w:tcW w:w="789" w:type="dxa"/>
            <w:gridSpan w:val="2"/>
            <w:vAlign w:val="center"/>
          </w:tcPr>
          <w:p w14:paraId="2865B314" w14:textId="77777777" w:rsidR="009864DB" w:rsidRPr="004D46AC" w:rsidRDefault="009864DB" w:rsidP="009864DB">
            <w:pPr>
              <w:spacing w:line="240" w:lineRule="auto"/>
              <w:ind w:firstLine="0"/>
            </w:pPr>
            <w:r w:rsidRPr="004D46AC">
              <w:t>NA</w:t>
            </w:r>
          </w:p>
        </w:tc>
      </w:tr>
      <w:tr w:rsidR="009864DB" w:rsidRPr="004D46AC" w14:paraId="245681CC" w14:textId="77777777" w:rsidTr="00B518F1">
        <w:tc>
          <w:tcPr>
            <w:tcW w:w="1476" w:type="dxa"/>
          </w:tcPr>
          <w:p w14:paraId="20A5248A" w14:textId="77777777" w:rsidR="009864DB" w:rsidRPr="004D46AC" w:rsidRDefault="009864DB" w:rsidP="009864DB">
            <w:pPr>
              <w:spacing w:line="240" w:lineRule="auto"/>
              <w:ind w:firstLine="0"/>
            </w:pPr>
            <w:r w:rsidRPr="004D46AC">
              <w:fldChar w:fldCharType="begin">
                <w:fldData xml:space="preserve">PEVuZE5vdGU+PENpdGUgQXV0aG9yWWVhcj0iMSI+PEF1dGhvcj5SYWdhemFuPC9BdXRob3I+PFll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</w:fldData>
              </w:fldChar>
            </w:r>
            <w:r w:rsidRPr="004D46AC">
              <w:instrText xml:space="preserve"> ADDIN EN.CITE </w:instrText>
            </w:r>
            <w:r w:rsidRPr="004D46AC">
              <w:fldChar w:fldCharType="begin">
                <w:fldData xml:space="preserve">PEVuZE5vdGU+PENpdGUgQXV0aG9yWWVhcj0iMSI+PEF1dGhvcj5SYWdhemFuPC9BdXRob3I+PFll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</w:fldData>
              </w:fldChar>
            </w:r>
            <w:r w:rsidRPr="004D46AC">
              <w:instrText xml:space="preserve"> ADDIN EN.CITE.DATA </w:instrText>
            </w:r>
            <w:r w:rsidRPr="004D46AC">
              <w:fldChar w:fldCharType="end"/>
            </w:r>
            <w:r w:rsidRPr="004D46AC">
              <w:fldChar w:fldCharType="separate"/>
            </w:r>
            <w:r w:rsidRPr="004D46AC">
              <w:t>Ragazan et al. (2019)</w:t>
            </w:r>
            <w:r w:rsidRPr="004D46AC">
              <w:fldChar w:fldCharType="end"/>
            </w:r>
          </w:p>
        </w:tc>
        <w:tc>
          <w:tcPr>
            <w:tcW w:w="754" w:type="dxa"/>
            <w:vAlign w:val="center"/>
          </w:tcPr>
          <w:p w14:paraId="7A778617" w14:textId="77777777" w:rsidR="009864DB" w:rsidRPr="004D46AC" w:rsidRDefault="009864DB" w:rsidP="009864DB">
            <w:pPr>
              <w:spacing w:line="240" w:lineRule="auto"/>
              <w:ind w:firstLine="0"/>
            </w:pPr>
            <w:r w:rsidRPr="004D46AC">
              <w:t>7</w:t>
            </w:r>
          </w:p>
        </w:tc>
        <w:tc>
          <w:tcPr>
            <w:tcW w:w="766" w:type="dxa"/>
            <w:vAlign w:val="center"/>
          </w:tcPr>
          <w:p w14:paraId="566016E4" w14:textId="77777777" w:rsidR="009864DB" w:rsidRPr="004D46AC" w:rsidRDefault="009864DB" w:rsidP="009864DB">
            <w:pPr>
              <w:spacing w:line="240" w:lineRule="auto"/>
              <w:ind w:firstLine="0"/>
            </w:pPr>
            <w:r w:rsidRPr="004D46AC">
              <w:t>44.2</w:t>
            </w:r>
          </w:p>
        </w:tc>
        <w:tc>
          <w:tcPr>
            <w:tcW w:w="1096" w:type="dxa"/>
            <w:vAlign w:val="center"/>
          </w:tcPr>
          <w:p w14:paraId="3F5B1074" w14:textId="77777777" w:rsidR="009864DB" w:rsidRPr="004D46AC" w:rsidRDefault="009864DB" w:rsidP="009864DB">
            <w:pPr>
              <w:spacing w:line="240" w:lineRule="auto"/>
              <w:ind w:firstLine="0"/>
            </w:pPr>
            <w:r w:rsidRPr="004D46AC">
              <w:t>ICD10</w:t>
            </w:r>
          </w:p>
        </w:tc>
        <w:tc>
          <w:tcPr>
            <w:tcW w:w="1415" w:type="dxa"/>
            <w:vAlign w:val="center"/>
          </w:tcPr>
          <w:p w14:paraId="23931400" w14:textId="77777777" w:rsidR="009864DB" w:rsidRPr="004D46AC" w:rsidRDefault="009864DB" w:rsidP="009864DB">
            <w:pPr>
              <w:spacing w:line="240" w:lineRule="auto"/>
              <w:ind w:firstLine="0"/>
            </w:pPr>
            <w:r w:rsidRPr="004D46AC">
              <w:t>unclear</w:t>
            </w:r>
          </w:p>
        </w:tc>
        <w:tc>
          <w:tcPr>
            <w:tcW w:w="876" w:type="dxa"/>
            <w:vAlign w:val="center"/>
          </w:tcPr>
          <w:p w14:paraId="5C730004" w14:textId="77777777" w:rsidR="009864DB" w:rsidRPr="004D46AC" w:rsidRDefault="009864DB" w:rsidP="009864DB">
            <w:pPr>
              <w:spacing w:line="240" w:lineRule="auto"/>
              <w:ind w:firstLine="0"/>
            </w:pPr>
            <w:r w:rsidRPr="004D46AC">
              <w:t>16271</w:t>
            </w:r>
          </w:p>
        </w:tc>
        <w:tc>
          <w:tcPr>
            <w:tcW w:w="986" w:type="dxa"/>
            <w:vAlign w:val="center"/>
          </w:tcPr>
          <w:p w14:paraId="42D48640" w14:textId="77777777" w:rsidR="009864DB" w:rsidRPr="004D46AC" w:rsidRDefault="009864DB" w:rsidP="009864DB">
            <w:pPr>
              <w:spacing w:line="240" w:lineRule="auto"/>
              <w:ind w:firstLine="0"/>
            </w:pPr>
            <w:r w:rsidRPr="004D46AC">
              <w:t>3</w:t>
            </w:r>
          </w:p>
        </w:tc>
        <w:tc>
          <w:tcPr>
            <w:tcW w:w="751" w:type="dxa"/>
            <w:vAlign w:val="center"/>
          </w:tcPr>
          <w:p w14:paraId="6E2F1532" w14:textId="77777777" w:rsidR="009864DB" w:rsidRPr="004D46AC" w:rsidRDefault="009864DB" w:rsidP="009864DB">
            <w:pPr>
              <w:spacing w:line="240" w:lineRule="auto"/>
              <w:ind w:firstLine="0"/>
            </w:pPr>
            <w:r w:rsidRPr="004D46AC">
              <w:t>1</w:t>
            </w:r>
          </w:p>
        </w:tc>
        <w:tc>
          <w:tcPr>
            <w:tcW w:w="752" w:type="dxa"/>
            <w:vAlign w:val="center"/>
          </w:tcPr>
          <w:p w14:paraId="1F4D181A" w14:textId="77777777" w:rsidR="009864DB" w:rsidRPr="004D46AC" w:rsidRDefault="009864DB" w:rsidP="009864DB">
            <w:pPr>
              <w:spacing w:line="240" w:lineRule="auto"/>
              <w:ind w:firstLine="0"/>
            </w:pPr>
            <w:r w:rsidRPr="004D46AC">
              <w:t>0</w:t>
            </w:r>
          </w:p>
        </w:tc>
        <w:tc>
          <w:tcPr>
            <w:tcW w:w="1296" w:type="dxa"/>
            <w:vAlign w:val="center"/>
          </w:tcPr>
          <w:p w14:paraId="6BA25783" w14:textId="77777777" w:rsidR="009864DB" w:rsidRPr="004D46AC" w:rsidRDefault="009864DB" w:rsidP="009864DB">
            <w:pPr>
              <w:spacing w:line="240" w:lineRule="auto"/>
              <w:ind w:firstLine="0"/>
            </w:pPr>
            <w:r w:rsidRPr="004D46AC">
              <w:t>1692</w:t>
            </w:r>
          </w:p>
        </w:tc>
        <w:tc>
          <w:tcPr>
            <w:tcW w:w="752" w:type="dxa"/>
            <w:vAlign w:val="center"/>
          </w:tcPr>
          <w:p w14:paraId="4E043406" w14:textId="77777777" w:rsidR="009864DB" w:rsidRPr="004D46AC" w:rsidRDefault="009864DB" w:rsidP="009864DB">
            <w:pPr>
              <w:spacing w:line="240" w:lineRule="auto"/>
              <w:ind w:firstLine="0"/>
            </w:pPr>
            <w:r w:rsidRPr="004D46AC">
              <w:t>NA</w:t>
            </w:r>
          </w:p>
        </w:tc>
        <w:tc>
          <w:tcPr>
            <w:tcW w:w="789" w:type="dxa"/>
            <w:gridSpan w:val="2"/>
            <w:vAlign w:val="center"/>
          </w:tcPr>
          <w:p w14:paraId="124CB8B4" w14:textId="77777777" w:rsidR="009864DB" w:rsidRPr="004D46AC" w:rsidRDefault="009864DB" w:rsidP="009864DB">
            <w:pPr>
              <w:spacing w:line="240" w:lineRule="auto"/>
              <w:ind w:firstLine="0"/>
            </w:pPr>
            <w:r w:rsidRPr="004D46AC">
              <w:t>NA</w:t>
            </w:r>
          </w:p>
        </w:tc>
      </w:tr>
      <w:tr w:rsidR="009864DB" w:rsidRPr="004D46AC" w14:paraId="261A8F52" w14:textId="77777777" w:rsidTr="00B518F1">
        <w:tc>
          <w:tcPr>
            <w:tcW w:w="1476" w:type="dxa"/>
          </w:tcPr>
          <w:p w14:paraId="25BE2FA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AuthorYear="1"&gt;&lt;Author&gt;Huang&lt;/Author&gt;&lt;Year&gt;2015&lt;/Year&gt;&lt;RecNum&gt;118&lt;/RecNum&gt;&lt;DisplayText&gt;Huang et al. (2015)&lt;/DisplayText&gt;&lt;record&gt;&lt;rec-number&gt;118&lt;/rec-number&gt;&lt;foreign-keys&gt;&lt;key app="EN" db-id="aet009sstawa0hewvt3xwf5atffdw2dt02sw" timestamp="1665582882"&gt;118&lt;/key&gt;&lt;/foreign-keys&gt;&lt;ref-type name="Journal Article"&gt;17&lt;/ref-type&gt;&lt;contributors&gt;&lt;authors&gt;&lt;author&gt;Huang, Y. Q.&lt;/author&gt;&lt;author&gt;Hong, W.&lt;/author&gt;&lt;author&gt;Qiu, M. H.&lt;/author&gt;&lt;author&gt;Zhi-Guo, W. U.&lt;/author&gt;&lt;author&gt;Gao, C. Y.&lt;/author&gt;&lt;author&gt;Peng, D. H.&lt;/author&gt;&lt;author&gt;Fang, Y. R.&lt;/author&gt;&lt;/authors&gt;&lt;/contributors&gt;&lt;titles&gt;&lt;title&gt;A cross-sectional study of risk factors of various subtypes of current manic episode&lt;/title&gt;&lt;secondary-title&gt;Chinese Mental Health Journal&lt;/secondary-title&gt;&lt;/titles&gt;&lt;periodical&gt;&lt;full-title&gt;Chinese Mental Health Journal&lt;/full-title&gt;&lt;/periodical&gt;&lt;dates&gt;&lt;year&gt;2015&lt;/year&gt;&lt;/dates&gt;&lt;urls&gt;&lt;/urls&gt;&lt;/record&gt;&lt;/Cite&gt;&lt;/EndNote&gt;</w:instrText>
            </w:r>
            <w:r w:rsidRPr="004D46AC">
              <w:fldChar w:fldCharType="separate"/>
            </w:r>
            <w:r w:rsidRPr="004D46AC">
              <w:t>Huang et al. (2015)</w:t>
            </w:r>
            <w:r w:rsidRPr="004D46AC">
              <w:fldChar w:fldCharType="end"/>
            </w:r>
          </w:p>
        </w:tc>
        <w:tc>
          <w:tcPr>
            <w:tcW w:w="754" w:type="dxa"/>
            <w:vAlign w:val="center"/>
          </w:tcPr>
          <w:p w14:paraId="0C35CFAA" w14:textId="77777777" w:rsidR="009864DB" w:rsidRPr="004D46AC" w:rsidRDefault="009864DB" w:rsidP="009864DB">
            <w:pPr>
              <w:spacing w:line="240" w:lineRule="auto"/>
              <w:ind w:firstLine="0"/>
            </w:pPr>
            <w:r w:rsidRPr="004D46AC">
              <w:t>8</w:t>
            </w:r>
          </w:p>
        </w:tc>
        <w:tc>
          <w:tcPr>
            <w:tcW w:w="766" w:type="dxa"/>
            <w:vAlign w:val="center"/>
          </w:tcPr>
          <w:p w14:paraId="076C6BA0" w14:textId="77777777" w:rsidR="009864DB" w:rsidRPr="004D46AC" w:rsidRDefault="009864DB" w:rsidP="009864DB">
            <w:pPr>
              <w:spacing w:line="240" w:lineRule="auto"/>
              <w:ind w:firstLine="0"/>
            </w:pPr>
            <w:r w:rsidRPr="004D46AC">
              <w:t>31</w:t>
            </w:r>
          </w:p>
        </w:tc>
        <w:tc>
          <w:tcPr>
            <w:tcW w:w="1096" w:type="dxa"/>
            <w:vAlign w:val="center"/>
          </w:tcPr>
          <w:p w14:paraId="65699BCF" w14:textId="77777777" w:rsidR="009864DB" w:rsidRPr="004D46AC" w:rsidRDefault="009864DB" w:rsidP="009864DB">
            <w:pPr>
              <w:spacing w:line="240" w:lineRule="auto"/>
              <w:ind w:firstLine="0"/>
            </w:pPr>
            <w:r w:rsidRPr="004D46AC">
              <w:t>ICD10</w:t>
            </w:r>
          </w:p>
        </w:tc>
        <w:tc>
          <w:tcPr>
            <w:tcW w:w="1415" w:type="dxa"/>
            <w:vAlign w:val="center"/>
          </w:tcPr>
          <w:p w14:paraId="1F8B475E" w14:textId="77777777" w:rsidR="009864DB" w:rsidRPr="004D46AC" w:rsidRDefault="009864DB" w:rsidP="009864DB">
            <w:pPr>
              <w:spacing w:line="240" w:lineRule="auto"/>
              <w:ind w:firstLine="0"/>
            </w:pPr>
            <w:r w:rsidRPr="004D46AC">
              <w:t>MINI</w:t>
            </w:r>
          </w:p>
        </w:tc>
        <w:tc>
          <w:tcPr>
            <w:tcW w:w="876" w:type="dxa"/>
            <w:vAlign w:val="center"/>
          </w:tcPr>
          <w:p w14:paraId="3D3D9B98" w14:textId="77777777" w:rsidR="009864DB" w:rsidRPr="004D46AC" w:rsidRDefault="009864DB" w:rsidP="009864DB">
            <w:pPr>
              <w:spacing w:line="240" w:lineRule="auto"/>
              <w:ind w:firstLine="0"/>
            </w:pPr>
            <w:r w:rsidRPr="004D46AC">
              <w:t>2613</w:t>
            </w:r>
          </w:p>
        </w:tc>
        <w:tc>
          <w:tcPr>
            <w:tcW w:w="986" w:type="dxa"/>
            <w:vAlign w:val="center"/>
          </w:tcPr>
          <w:p w14:paraId="7F86E3C4" w14:textId="77777777" w:rsidR="009864DB" w:rsidRPr="004D46AC" w:rsidRDefault="009864DB" w:rsidP="009864DB">
            <w:pPr>
              <w:spacing w:line="240" w:lineRule="auto"/>
              <w:ind w:firstLine="0"/>
            </w:pPr>
            <w:r w:rsidRPr="004D46AC">
              <w:t>2</w:t>
            </w:r>
          </w:p>
        </w:tc>
        <w:tc>
          <w:tcPr>
            <w:tcW w:w="751" w:type="dxa"/>
            <w:vAlign w:val="center"/>
          </w:tcPr>
          <w:p w14:paraId="74DCD654" w14:textId="77777777" w:rsidR="009864DB" w:rsidRPr="004D46AC" w:rsidRDefault="009864DB" w:rsidP="009864DB">
            <w:pPr>
              <w:spacing w:line="240" w:lineRule="auto"/>
              <w:ind w:firstLine="0"/>
            </w:pPr>
            <w:r w:rsidRPr="004D46AC">
              <w:t>1</w:t>
            </w:r>
          </w:p>
        </w:tc>
        <w:tc>
          <w:tcPr>
            <w:tcW w:w="752" w:type="dxa"/>
            <w:vAlign w:val="center"/>
          </w:tcPr>
          <w:p w14:paraId="571745BB" w14:textId="77777777" w:rsidR="009864DB" w:rsidRPr="004D46AC" w:rsidRDefault="009864DB" w:rsidP="009864DB">
            <w:pPr>
              <w:spacing w:line="240" w:lineRule="auto"/>
              <w:ind w:firstLine="0"/>
            </w:pPr>
            <w:r w:rsidRPr="004D46AC">
              <w:t>0</w:t>
            </w:r>
          </w:p>
        </w:tc>
        <w:tc>
          <w:tcPr>
            <w:tcW w:w="1296" w:type="dxa"/>
            <w:vAlign w:val="center"/>
          </w:tcPr>
          <w:p w14:paraId="32DB0275" w14:textId="77777777" w:rsidR="009864DB" w:rsidRPr="004D46AC" w:rsidRDefault="009864DB" w:rsidP="009864DB">
            <w:pPr>
              <w:spacing w:line="240" w:lineRule="auto"/>
              <w:ind w:firstLine="0"/>
            </w:pPr>
            <w:r w:rsidRPr="004D46AC">
              <w:t>628</w:t>
            </w:r>
          </w:p>
        </w:tc>
        <w:tc>
          <w:tcPr>
            <w:tcW w:w="752" w:type="dxa"/>
            <w:vAlign w:val="center"/>
          </w:tcPr>
          <w:p w14:paraId="16FA0F15" w14:textId="77777777" w:rsidR="009864DB" w:rsidRPr="004D46AC" w:rsidRDefault="009864DB" w:rsidP="009864DB">
            <w:pPr>
              <w:spacing w:line="240" w:lineRule="auto"/>
              <w:ind w:firstLine="0"/>
            </w:pPr>
            <w:r w:rsidRPr="004D46AC">
              <w:t>NA</w:t>
            </w:r>
          </w:p>
        </w:tc>
        <w:tc>
          <w:tcPr>
            <w:tcW w:w="789" w:type="dxa"/>
            <w:gridSpan w:val="2"/>
            <w:vAlign w:val="center"/>
          </w:tcPr>
          <w:p w14:paraId="12216489" w14:textId="77777777" w:rsidR="009864DB" w:rsidRPr="004D46AC" w:rsidRDefault="009864DB" w:rsidP="009864DB">
            <w:pPr>
              <w:spacing w:line="240" w:lineRule="auto"/>
              <w:ind w:firstLine="0"/>
            </w:pPr>
            <w:r w:rsidRPr="004D46AC">
              <w:t>NA</w:t>
            </w:r>
          </w:p>
        </w:tc>
      </w:tr>
      <w:tr w:rsidR="009864DB" w:rsidRPr="004D46AC" w14:paraId="02B72580" w14:textId="77777777" w:rsidTr="00B518F1">
        <w:tc>
          <w:tcPr>
            <w:tcW w:w="1476" w:type="dxa"/>
          </w:tcPr>
          <w:p w14:paraId="63F9156D" w14:textId="77777777" w:rsidR="009864DB" w:rsidRPr="004D46AC" w:rsidRDefault="009864DB" w:rsidP="009864DB">
            <w:pPr>
              <w:spacing w:line="240" w:lineRule="auto"/>
              <w:ind w:firstLine="0"/>
            </w:pPr>
            <w:r w:rsidRPr="004D46AC">
              <w:fldChar w:fldCharType="begin">
                <w:fldData xml:space="preserve">PEVuZE5vdGU+PENpdGUgQXV0aG9yWWVhcj0iMSI+PEF1dGhvcj5Ub2hlbjwvQXV0aG9yPjxZZWFy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</w:fldData>
              </w:fldChar>
            </w:r>
            <w:r w:rsidRPr="004D46AC">
              <w:instrText xml:space="preserve"> ADDIN EN.CITE </w:instrText>
            </w:r>
            <w:r w:rsidRPr="004D46AC">
              <w:fldChar w:fldCharType="begin">
                <w:fldData xml:space="preserve">PEVuZE5vdGU+PENpdGUgQXV0aG9yWWVhcj0iMSI+PEF1dGhvcj5Ub2hlbjwvQXV0aG9yPjxZZWFy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</w:fldData>
              </w:fldChar>
            </w:r>
            <w:r w:rsidRPr="004D46AC">
              <w:instrText xml:space="preserve"> ADDIN EN.CITE.DATA </w:instrText>
            </w:r>
            <w:r w:rsidRPr="004D46AC">
              <w:fldChar w:fldCharType="end"/>
            </w:r>
            <w:r w:rsidRPr="004D46AC">
              <w:fldChar w:fldCharType="separate"/>
            </w:r>
            <w:r w:rsidRPr="004D46AC">
              <w:t>Tohen, Goldberg, et al. (2003)</w:t>
            </w:r>
            <w:r w:rsidRPr="004D46AC">
              <w:fldChar w:fldCharType="end"/>
            </w:r>
          </w:p>
        </w:tc>
        <w:tc>
          <w:tcPr>
            <w:tcW w:w="754" w:type="dxa"/>
            <w:vAlign w:val="center"/>
          </w:tcPr>
          <w:p w14:paraId="65B7F23A" w14:textId="77777777" w:rsidR="009864DB" w:rsidRPr="004D46AC" w:rsidRDefault="009864DB" w:rsidP="009864DB">
            <w:pPr>
              <w:spacing w:line="240" w:lineRule="auto"/>
              <w:ind w:firstLine="0"/>
            </w:pPr>
            <w:r w:rsidRPr="004D46AC">
              <w:t>6</w:t>
            </w:r>
          </w:p>
        </w:tc>
        <w:tc>
          <w:tcPr>
            <w:tcW w:w="766" w:type="dxa"/>
            <w:vAlign w:val="center"/>
          </w:tcPr>
          <w:p w14:paraId="5CD49008" w14:textId="77777777" w:rsidR="009864DB" w:rsidRPr="004D46AC" w:rsidRDefault="009864DB" w:rsidP="009864DB">
            <w:pPr>
              <w:spacing w:line="240" w:lineRule="auto"/>
              <w:ind w:firstLine="0"/>
            </w:pPr>
            <w:r w:rsidRPr="004D46AC">
              <w:t>40</w:t>
            </w:r>
          </w:p>
        </w:tc>
        <w:tc>
          <w:tcPr>
            <w:tcW w:w="1096" w:type="dxa"/>
            <w:vAlign w:val="center"/>
          </w:tcPr>
          <w:p w14:paraId="61A67180" w14:textId="77777777" w:rsidR="009864DB" w:rsidRPr="004D46AC" w:rsidRDefault="009864DB" w:rsidP="009864DB">
            <w:pPr>
              <w:spacing w:line="240" w:lineRule="auto"/>
              <w:ind w:firstLine="0"/>
            </w:pPr>
            <w:r w:rsidRPr="004D46AC">
              <w:t>DSM4</w:t>
            </w:r>
          </w:p>
        </w:tc>
        <w:tc>
          <w:tcPr>
            <w:tcW w:w="1415" w:type="dxa"/>
            <w:vAlign w:val="center"/>
          </w:tcPr>
          <w:p w14:paraId="495D193C" w14:textId="77777777" w:rsidR="009864DB" w:rsidRPr="004D46AC" w:rsidRDefault="009864DB" w:rsidP="009864DB">
            <w:pPr>
              <w:spacing w:line="240" w:lineRule="auto"/>
              <w:ind w:firstLine="0"/>
            </w:pPr>
            <w:r w:rsidRPr="004D46AC">
              <w:t>SCID-P</w:t>
            </w:r>
          </w:p>
        </w:tc>
        <w:tc>
          <w:tcPr>
            <w:tcW w:w="876" w:type="dxa"/>
            <w:vAlign w:val="center"/>
          </w:tcPr>
          <w:p w14:paraId="139DF58E" w14:textId="77777777" w:rsidR="009864DB" w:rsidRPr="004D46AC" w:rsidRDefault="009864DB" w:rsidP="009864DB">
            <w:pPr>
              <w:spacing w:line="240" w:lineRule="auto"/>
              <w:ind w:firstLine="0"/>
            </w:pPr>
            <w:r w:rsidRPr="004D46AC">
              <w:t>453</w:t>
            </w:r>
          </w:p>
        </w:tc>
        <w:tc>
          <w:tcPr>
            <w:tcW w:w="986" w:type="dxa"/>
            <w:vAlign w:val="center"/>
          </w:tcPr>
          <w:p w14:paraId="2DE20B80" w14:textId="77777777" w:rsidR="009864DB" w:rsidRPr="004D46AC" w:rsidRDefault="009864DB" w:rsidP="009864DB">
            <w:pPr>
              <w:spacing w:line="240" w:lineRule="auto"/>
              <w:ind w:firstLine="0"/>
            </w:pPr>
            <w:r w:rsidRPr="004D46AC">
              <w:t>2</w:t>
            </w:r>
          </w:p>
        </w:tc>
        <w:tc>
          <w:tcPr>
            <w:tcW w:w="751" w:type="dxa"/>
            <w:vAlign w:val="center"/>
          </w:tcPr>
          <w:p w14:paraId="53DFE8D8" w14:textId="77777777" w:rsidR="009864DB" w:rsidRPr="004D46AC" w:rsidRDefault="009864DB" w:rsidP="009864DB">
            <w:pPr>
              <w:spacing w:line="240" w:lineRule="auto"/>
              <w:ind w:firstLine="0"/>
            </w:pPr>
            <w:r w:rsidRPr="004D46AC">
              <w:t>2</w:t>
            </w:r>
          </w:p>
        </w:tc>
        <w:tc>
          <w:tcPr>
            <w:tcW w:w="752" w:type="dxa"/>
            <w:vAlign w:val="center"/>
          </w:tcPr>
          <w:p w14:paraId="4FF47AEA" w14:textId="77777777" w:rsidR="009864DB" w:rsidRPr="004D46AC" w:rsidRDefault="009864DB" w:rsidP="009864DB">
            <w:pPr>
              <w:spacing w:line="240" w:lineRule="auto"/>
              <w:ind w:firstLine="0"/>
            </w:pPr>
            <w:r w:rsidRPr="004D46AC">
              <w:t>0</w:t>
            </w:r>
          </w:p>
        </w:tc>
        <w:tc>
          <w:tcPr>
            <w:tcW w:w="1296" w:type="dxa"/>
            <w:vAlign w:val="center"/>
          </w:tcPr>
          <w:p w14:paraId="711C31AE" w14:textId="77777777" w:rsidR="009864DB" w:rsidRPr="004D46AC" w:rsidRDefault="009864DB" w:rsidP="009864DB">
            <w:pPr>
              <w:spacing w:line="240" w:lineRule="auto"/>
              <w:ind w:firstLine="0"/>
            </w:pPr>
            <w:r w:rsidRPr="004D46AC">
              <w:t>260</w:t>
            </w:r>
          </w:p>
        </w:tc>
        <w:tc>
          <w:tcPr>
            <w:tcW w:w="752" w:type="dxa"/>
            <w:vAlign w:val="center"/>
          </w:tcPr>
          <w:p w14:paraId="61AAD5C6" w14:textId="77777777" w:rsidR="009864DB" w:rsidRPr="004D46AC" w:rsidRDefault="009864DB" w:rsidP="009864DB">
            <w:pPr>
              <w:spacing w:line="240" w:lineRule="auto"/>
              <w:ind w:firstLine="0"/>
            </w:pPr>
            <w:r w:rsidRPr="004D46AC">
              <w:t>NA</w:t>
            </w:r>
          </w:p>
        </w:tc>
        <w:tc>
          <w:tcPr>
            <w:tcW w:w="789" w:type="dxa"/>
            <w:gridSpan w:val="2"/>
            <w:vAlign w:val="center"/>
          </w:tcPr>
          <w:p w14:paraId="71D7E69E" w14:textId="77777777" w:rsidR="009864DB" w:rsidRPr="004D46AC" w:rsidRDefault="009864DB" w:rsidP="009864DB">
            <w:pPr>
              <w:spacing w:line="240" w:lineRule="auto"/>
              <w:ind w:firstLine="0"/>
            </w:pPr>
            <w:r w:rsidRPr="004D46AC">
              <w:t>NA</w:t>
            </w:r>
          </w:p>
        </w:tc>
      </w:tr>
      <w:tr w:rsidR="009864DB" w:rsidRPr="004D46AC" w14:paraId="7AAFA2EA" w14:textId="77777777" w:rsidTr="00B518F1">
        <w:tc>
          <w:tcPr>
            <w:tcW w:w="1476" w:type="dxa"/>
          </w:tcPr>
          <w:p w14:paraId="47265AC5" w14:textId="77777777" w:rsidR="009864DB" w:rsidRPr="004D46AC" w:rsidRDefault="009864DB" w:rsidP="009864DB">
            <w:pPr>
              <w:spacing w:line="240" w:lineRule="auto"/>
              <w:ind w:firstLine="0"/>
            </w:pPr>
            <w:r w:rsidRPr="004D46AC">
              <w:fldChar w:fldCharType="begin">
                <w:fldData xml:space="preserve">PEVuZE5vdGU+PENpdGUgQXV0aG9yWWVhcj0iMSI+PEF1dGhvcj5MZWU8L0F1dGhvcj48WWVhcj4y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</w:fldData>
              </w:fldChar>
            </w:r>
            <w:r w:rsidRPr="004D46AC">
              <w:instrText xml:space="preserve"> ADDIN EN.CITE </w:instrText>
            </w:r>
            <w:r w:rsidRPr="004D46AC">
              <w:fldChar w:fldCharType="begin">
                <w:fldData xml:space="preserve">PEVuZE5vdGU+PENpdGUgQXV0aG9yWWVhcj0iMSI+PEF1dGhvcj5MZWU8L0F1dGhvcj48WWVhcj4y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</w:fldData>
              </w:fldChar>
            </w:r>
            <w:r w:rsidRPr="004D46AC">
              <w:instrText xml:space="preserve"> ADDIN EN.CITE.DATA </w:instrText>
            </w:r>
            <w:r w:rsidRPr="004D46AC">
              <w:fldChar w:fldCharType="end"/>
            </w:r>
            <w:r w:rsidRPr="004D46AC">
              <w:fldChar w:fldCharType="separate"/>
            </w:r>
            <w:r w:rsidRPr="004D46AC">
              <w:t>Lee et al. (2015)</w:t>
            </w:r>
            <w:r w:rsidRPr="004D46AC">
              <w:fldChar w:fldCharType="end"/>
            </w:r>
          </w:p>
        </w:tc>
        <w:tc>
          <w:tcPr>
            <w:tcW w:w="754" w:type="dxa"/>
            <w:vAlign w:val="center"/>
          </w:tcPr>
          <w:p w14:paraId="2575050C" w14:textId="77777777" w:rsidR="009864DB" w:rsidRPr="004D46AC" w:rsidRDefault="009864DB" w:rsidP="009864DB">
            <w:pPr>
              <w:spacing w:line="240" w:lineRule="auto"/>
              <w:ind w:firstLine="0"/>
            </w:pPr>
            <w:r w:rsidRPr="004D46AC">
              <w:t>6</w:t>
            </w:r>
          </w:p>
        </w:tc>
        <w:tc>
          <w:tcPr>
            <w:tcW w:w="766" w:type="dxa"/>
            <w:vAlign w:val="center"/>
          </w:tcPr>
          <w:p w14:paraId="154F60CC" w14:textId="77777777" w:rsidR="009864DB" w:rsidRPr="004D46AC" w:rsidRDefault="009864DB" w:rsidP="009864DB">
            <w:pPr>
              <w:spacing w:line="240" w:lineRule="auto"/>
              <w:ind w:firstLine="0"/>
            </w:pPr>
            <w:r w:rsidRPr="004D46AC">
              <w:t>22.8</w:t>
            </w:r>
          </w:p>
        </w:tc>
        <w:tc>
          <w:tcPr>
            <w:tcW w:w="1096" w:type="dxa"/>
            <w:vAlign w:val="center"/>
          </w:tcPr>
          <w:p w14:paraId="214137DF" w14:textId="77777777" w:rsidR="009864DB" w:rsidRPr="004D46AC" w:rsidRDefault="009864DB" w:rsidP="009864DB">
            <w:pPr>
              <w:spacing w:line="240" w:lineRule="auto"/>
              <w:ind w:firstLine="0"/>
            </w:pPr>
            <w:r w:rsidRPr="004D46AC">
              <w:t>DSM4TR</w:t>
            </w:r>
          </w:p>
        </w:tc>
        <w:tc>
          <w:tcPr>
            <w:tcW w:w="1415" w:type="dxa"/>
            <w:vAlign w:val="center"/>
          </w:tcPr>
          <w:p w14:paraId="5E091D9B" w14:textId="77777777" w:rsidR="009864DB" w:rsidRPr="004D46AC" w:rsidRDefault="009864DB" w:rsidP="009864DB">
            <w:pPr>
              <w:spacing w:line="240" w:lineRule="auto"/>
              <w:ind w:firstLine="0"/>
            </w:pPr>
            <w:r w:rsidRPr="004D46AC">
              <w:t>SCID</w:t>
            </w:r>
          </w:p>
        </w:tc>
        <w:tc>
          <w:tcPr>
            <w:tcW w:w="876" w:type="dxa"/>
            <w:vAlign w:val="center"/>
          </w:tcPr>
          <w:p w14:paraId="1EC1BAF9" w14:textId="77777777" w:rsidR="009864DB" w:rsidRPr="004D46AC" w:rsidRDefault="009864DB" w:rsidP="009864DB">
            <w:pPr>
              <w:spacing w:line="240" w:lineRule="auto"/>
              <w:ind w:firstLine="0"/>
            </w:pPr>
            <w:r w:rsidRPr="004D46AC">
              <w:t>61</w:t>
            </w:r>
          </w:p>
        </w:tc>
        <w:tc>
          <w:tcPr>
            <w:tcW w:w="986" w:type="dxa"/>
            <w:vAlign w:val="center"/>
          </w:tcPr>
          <w:p w14:paraId="092E9902" w14:textId="77777777" w:rsidR="009864DB" w:rsidRPr="004D46AC" w:rsidRDefault="009864DB" w:rsidP="009864DB">
            <w:pPr>
              <w:spacing w:line="240" w:lineRule="auto"/>
              <w:ind w:firstLine="0"/>
            </w:pPr>
            <w:r w:rsidRPr="004D46AC">
              <w:t>unclear</w:t>
            </w:r>
          </w:p>
        </w:tc>
        <w:tc>
          <w:tcPr>
            <w:tcW w:w="751" w:type="dxa"/>
            <w:vAlign w:val="center"/>
          </w:tcPr>
          <w:p w14:paraId="5BB09E31" w14:textId="77777777" w:rsidR="009864DB" w:rsidRPr="004D46AC" w:rsidRDefault="009864DB" w:rsidP="009864DB">
            <w:pPr>
              <w:spacing w:line="240" w:lineRule="auto"/>
              <w:ind w:firstLine="0"/>
            </w:pPr>
            <w:r w:rsidRPr="004D46AC">
              <w:t>1</w:t>
            </w:r>
          </w:p>
        </w:tc>
        <w:tc>
          <w:tcPr>
            <w:tcW w:w="752" w:type="dxa"/>
            <w:vAlign w:val="center"/>
          </w:tcPr>
          <w:p w14:paraId="21B1AE0C" w14:textId="77777777" w:rsidR="009864DB" w:rsidRPr="004D46AC" w:rsidRDefault="009864DB" w:rsidP="009864DB">
            <w:pPr>
              <w:spacing w:line="240" w:lineRule="auto"/>
              <w:ind w:firstLine="0"/>
            </w:pPr>
            <w:r w:rsidRPr="004D46AC">
              <w:t>0</w:t>
            </w:r>
          </w:p>
        </w:tc>
        <w:tc>
          <w:tcPr>
            <w:tcW w:w="1296" w:type="dxa"/>
            <w:vAlign w:val="center"/>
          </w:tcPr>
          <w:p w14:paraId="386EB995" w14:textId="77777777" w:rsidR="009864DB" w:rsidRPr="004D46AC" w:rsidRDefault="009864DB" w:rsidP="009864DB">
            <w:pPr>
              <w:spacing w:line="240" w:lineRule="auto"/>
              <w:ind w:firstLine="0"/>
            </w:pPr>
            <w:r w:rsidRPr="004D46AC">
              <w:t>16</w:t>
            </w:r>
          </w:p>
        </w:tc>
        <w:tc>
          <w:tcPr>
            <w:tcW w:w="752" w:type="dxa"/>
            <w:vAlign w:val="center"/>
          </w:tcPr>
          <w:p w14:paraId="0AD25DF4" w14:textId="77777777" w:rsidR="009864DB" w:rsidRPr="004D46AC" w:rsidRDefault="009864DB" w:rsidP="009864DB">
            <w:pPr>
              <w:spacing w:line="240" w:lineRule="auto"/>
              <w:ind w:firstLine="0"/>
            </w:pPr>
            <w:r w:rsidRPr="004D46AC">
              <w:t>NA</w:t>
            </w:r>
          </w:p>
        </w:tc>
        <w:tc>
          <w:tcPr>
            <w:tcW w:w="789" w:type="dxa"/>
            <w:gridSpan w:val="2"/>
            <w:vAlign w:val="center"/>
          </w:tcPr>
          <w:p w14:paraId="436AFE6E" w14:textId="77777777" w:rsidR="009864DB" w:rsidRPr="004D46AC" w:rsidRDefault="009864DB" w:rsidP="009864DB">
            <w:pPr>
              <w:spacing w:line="240" w:lineRule="auto"/>
              <w:ind w:firstLine="0"/>
            </w:pPr>
            <w:r w:rsidRPr="004D46AC">
              <w:t>NA</w:t>
            </w:r>
          </w:p>
        </w:tc>
      </w:tr>
      <w:tr w:rsidR="009864DB" w:rsidRPr="004D46AC" w14:paraId="2A6A59DA" w14:textId="77777777" w:rsidTr="00B518F1">
        <w:tc>
          <w:tcPr>
            <w:tcW w:w="1476" w:type="dxa"/>
          </w:tcPr>
          <w:p w14:paraId="3F09ECDC" w14:textId="77777777" w:rsidR="009864DB" w:rsidRPr="004D46AC" w:rsidRDefault="009864DB" w:rsidP="009864DB">
            <w:pPr>
              <w:spacing w:line="240" w:lineRule="auto"/>
              <w:ind w:firstLine="0"/>
            </w:pPr>
            <w:r w:rsidRPr="004D46AC">
              <w:fldChar w:fldCharType="begin">
                <w:fldData xml:space="preserve">PEVuZE5vdGU+PENpdGUgQXV0aG9yWWVhcj0iMSI+PEF1dGhvcj5LZWNrPC9BdXRob3I+PFllYXI+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</w:fldData>
              </w:fldChar>
            </w:r>
            <w:r w:rsidRPr="004D46AC">
              <w:instrText xml:space="preserve"> ADDIN EN.CITE </w:instrText>
            </w:r>
            <w:r w:rsidRPr="004D46AC">
              <w:fldChar w:fldCharType="begin">
                <w:fldData xml:space="preserve">PEVuZE5vdGU+PENpdGUgQXV0aG9yWWVhcj0iMSI+PEF1dGhvcj5LZWNrPC9BdXRob3I+PFllYXI+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</w:fldData>
              </w:fldChar>
            </w:r>
            <w:r w:rsidRPr="004D46AC">
              <w:instrText xml:space="preserve"> ADDIN EN.CITE.DATA </w:instrText>
            </w:r>
            <w:r w:rsidRPr="004D46AC">
              <w:fldChar w:fldCharType="end"/>
            </w:r>
            <w:r w:rsidRPr="004D46AC">
              <w:fldChar w:fldCharType="separate"/>
            </w:r>
            <w:r w:rsidRPr="004D46AC">
              <w:t>Keck et al. (2009)</w:t>
            </w:r>
            <w:r w:rsidRPr="004D46AC">
              <w:fldChar w:fldCharType="end"/>
            </w:r>
          </w:p>
        </w:tc>
        <w:tc>
          <w:tcPr>
            <w:tcW w:w="754" w:type="dxa"/>
            <w:vAlign w:val="center"/>
          </w:tcPr>
          <w:p w14:paraId="7AD08584" w14:textId="77777777" w:rsidR="009864DB" w:rsidRPr="004D46AC" w:rsidRDefault="009864DB" w:rsidP="009864DB">
            <w:pPr>
              <w:spacing w:line="240" w:lineRule="auto"/>
              <w:ind w:firstLine="0"/>
            </w:pPr>
            <w:r w:rsidRPr="004D46AC">
              <w:t>5</w:t>
            </w:r>
          </w:p>
        </w:tc>
        <w:tc>
          <w:tcPr>
            <w:tcW w:w="766" w:type="dxa"/>
            <w:vAlign w:val="center"/>
          </w:tcPr>
          <w:p w14:paraId="2C9F11BD" w14:textId="77777777" w:rsidR="009864DB" w:rsidRPr="004D46AC" w:rsidRDefault="009864DB" w:rsidP="009864DB">
            <w:pPr>
              <w:spacing w:line="240" w:lineRule="auto"/>
              <w:ind w:firstLine="0"/>
            </w:pPr>
            <w:r w:rsidRPr="004D46AC">
              <w:t>39.67</w:t>
            </w:r>
          </w:p>
        </w:tc>
        <w:tc>
          <w:tcPr>
            <w:tcW w:w="1096" w:type="dxa"/>
            <w:vAlign w:val="center"/>
          </w:tcPr>
          <w:p w14:paraId="6D785201" w14:textId="77777777" w:rsidR="009864DB" w:rsidRPr="004D46AC" w:rsidRDefault="009864DB" w:rsidP="009864DB">
            <w:pPr>
              <w:spacing w:line="240" w:lineRule="auto"/>
              <w:ind w:firstLine="0"/>
            </w:pPr>
            <w:r w:rsidRPr="004D46AC">
              <w:t>DSM4TR</w:t>
            </w:r>
          </w:p>
        </w:tc>
        <w:tc>
          <w:tcPr>
            <w:tcW w:w="1415" w:type="dxa"/>
            <w:vAlign w:val="center"/>
          </w:tcPr>
          <w:p w14:paraId="3BEEE21B" w14:textId="77777777" w:rsidR="009864DB" w:rsidRPr="004D46AC" w:rsidRDefault="009864DB" w:rsidP="009864DB">
            <w:pPr>
              <w:spacing w:line="240" w:lineRule="auto"/>
              <w:ind w:firstLine="0"/>
            </w:pPr>
            <w:r w:rsidRPr="004D46AC">
              <w:t>MINI</w:t>
            </w:r>
          </w:p>
        </w:tc>
        <w:tc>
          <w:tcPr>
            <w:tcW w:w="876" w:type="dxa"/>
            <w:vAlign w:val="center"/>
          </w:tcPr>
          <w:p w14:paraId="5664F575" w14:textId="77777777" w:rsidR="009864DB" w:rsidRPr="004D46AC" w:rsidRDefault="009864DB" w:rsidP="009864DB">
            <w:pPr>
              <w:spacing w:line="240" w:lineRule="auto"/>
              <w:ind w:firstLine="0"/>
            </w:pPr>
            <w:r w:rsidRPr="004D46AC">
              <w:t>480</w:t>
            </w:r>
          </w:p>
        </w:tc>
        <w:tc>
          <w:tcPr>
            <w:tcW w:w="986" w:type="dxa"/>
            <w:vAlign w:val="center"/>
          </w:tcPr>
          <w:p w14:paraId="7A296690" w14:textId="77777777" w:rsidR="009864DB" w:rsidRPr="004D46AC" w:rsidRDefault="009864DB" w:rsidP="009864DB">
            <w:pPr>
              <w:spacing w:line="240" w:lineRule="auto"/>
              <w:ind w:firstLine="0"/>
            </w:pPr>
            <w:r w:rsidRPr="004D46AC">
              <w:t>3</w:t>
            </w:r>
          </w:p>
        </w:tc>
        <w:tc>
          <w:tcPr>
            <w:tcW w:w="751" w:type="dxa"/>
            <w:vAlign w:val="center"/>
          </w:tcPr>
          <w:p w14:paraId="21509315" w14:textId="77777777" w:rsidR="009864DB" w:rsidRPr="004D46AC" w:rsidRDefault="009864DB" w:rsidP="009864DB">
            <w:pPr>
              <w:spacing w:line="240" w:lineRule="auto"/>
              <w:ind w:firstLine="0"/>
            </w:pPr>
            <w:r w:rsidRPr="004D46AC">
              <w:t>2</w:t>
            </w:r>
          </w:p>
        </w:tc>
        <w:tc>
          <w:tcPr>
            <w:tcW w:w="752" w:type="dxa"/>
            <w:vAlign w:val="center"/>
          </w:tcPr>
          <w:p w14:paraId="2B274E58" w14:textId="77777777" w:rsidR="009864DB" w:rsidRPr="004D46AC" w:rsidRDefault="009864DB" w:rsidP="009864DB">
            <w:pPr>
              <w:spacing w:line="240" w:lineRule="auto"/>
              <w:ind w:firstLine="0"/>
            </w:pPr>
            <w:r w:rsidRPr="004D46AC">
              <w:t>0</w:t>
            </w:r>
          </w:p>
        </w:tc>
        <w:tc>
          <w:tcPr>
            <w:tcW w:w="1296" w:type="dxa"/>
            <w:vAlign w:val="center"/>
          </w:tcPr>
          <w:p w14:paraId="1DF544E9" w14:textId="77777777" w:rsidR="009864DB" w:rsidRPr="004D46AC" w:rsidRDefault="009864DB" w:rsidP="009864DB">
            <w:pPr>
              <w:spacing w:line="240" w:lineRule="auto"/>
              <w:ind w:firstLine="0"/>
            </w:pPr>
            <w:r w:rsidRPr="004D46AC">
              <w:t>111</w:t>
            </w:r>
          </w:p>
        </w:tc>
        <w:tc>
          <w:tcPr>
            <w:tcW w:w="752" w:type="dxa"/>
            <w:vAlign w:val="center"/>
          </w:tcPr>
          <w:p w14:paraId="6561684C" w14:textId="77777777" w:rsidR="009864DB" w:rsidRPr="004D46AC" w:rsidRDefault="009864DB" w:rsidP="009864DB">
            <w:pPr>
              <w:spacing w:line="240" w:lineRule="auto"/>
              <w:ind w:firstLine="0"/>
            </w:pPr>
            <w:r w:rsidRPr="004D46AC">
              <w:t>NA</w:t>
            </w:r>
          </w:p>
        </w:tc>
        <w:tc>
          <w:tcPr>
            <w:tcW w:w="789" w:type="dxa"/>
            <w:gridSpan w:val="2"/>
            <w:vAlign w:val="center"/>
          </w:tcPr>
          <w:p w14:paraId="64EB1AA7" w14:textId="77777777" w:rsidR="009864DB" w:rsidRPr="004D46AC" w:rsidRDefault="009864DB" w:rsidP="009864DB">
            <w:pPr>
              <w:spacing w:line="240" w:lineRule="auto"/>
              <w:ind w:firstLine="0"/>
            </w:pPr>
            <w:r w:rsidRPr="004D46AC">
              <w:t>NA</w:t>
            </w:r>
          </w:p>
        </w:tc>
      </w:tr>
      <w:tr w:rsidR="009864DB" w:rsidRPr="004D46AC" w14:paraId="431490C8" w14:textId="77777777" w:rsidTr="00B518F1">
        <w:tc>
          <w:tcPr>
            <w:tcW w:w="1476" w:type="dxa"/>
          </w:tcPr>
          <w:p w14:paraId="4D05CA39"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AuthorYear="1"&gt;&lt;Author&gt;Zhang&lt;/Author&gt;&lt;Year&gt;2013&lt;/Year&gt;&lt;RecNum&gt;123&lt;/RecNum&gt;&lt;DisplayText&gt;Zhang et al. (2013)&lt;/DisplayText&gt;&lt;record&gt;&lt;rec-number&gt;123&lt;/rec-number&gt;&lt;foreign-keys&gt;&lt;key app="EN" db-id="aet009sstawa0hewvt3xwf5atffdw2dt02sw" timestamp="1665626342"&gt;123&lt;/key&gt;&lt;/foreign-keys&gt;&lt;ref-type name="Journal Article"&gt;17&lt;/ref-type&gt;&lt;contributors&gt;&lt;authors&gt;&lt;author&gt;Zhang, L.&lt;/author&gt;&lt;author&gt;Wang, G.&lt;/author&gt;&lt;author&gt;Luo, J.&lt;/author&gt;&lt;author&gt;Zhang, Q. E.&lt;/author&gt;&lt;author&gt;Zhao, Q.&lt;/author&gt;&lt;author&gt;Deng, Q. Y.&lt;/author&gt;&lt;author&gt;Ma, X.&lt;/author&gt;&lt;/authors&gt;&lt;/contributors&gt;&lt;auth-address&gt;Mood Disorders Center, Beijing Anding Hospital, Capital Medical University, Beijing, People&amp;apos;s Republic of China.&lt;/auth-address&gt;&lt;titles&gt;&lt;title&gt;Retrospective analysis of factors associated with quetiapine dosage in the acute and subsequent six-month maintenance treatment of bipolar disorders&lt;/title&gt;&lt;secondary-title&gt;Neuropsychiatr Dis Treat&lt;/secondary-title&gt;&lt;/titles&gt;&lt;periodical&gt;&lt;full-title&gt;Neuropsychiatr Dis Treat&lt;/full-title&gt;&lt;/periodical&gt;&lt;pages&gt;575-80&lt;/pages&gt;&lt;volume&gt;9&lt;/volume&gt;&lt;edition&gt;20130426&lt;/edition&gt;&lt;keywords&gt;&lt;keyword&gt;acute treatment&lt;/keyword&gt;&lt;keyword&gt;bipolar disorder&lt;/keyword&gt;&lt;keyword&gt;dosage&lt;/keyword&gt;&lt;keyword&gt;maintenance treatment&lt;/keyword&gt;&lt;keyword&gt;quetiapine&lt;/keyword&gt;&lt;/keywords&gt;&lt;dates&gt;&lt;year&gt;2013&lt;/year&gt;&lt;/dates&gt;&lt;isbn&gt;1176-6328 (Print)&amp;#xD;1178-2021 (Electronic)&amp;#xD;1176-6328 (Linking)&lt;/isbn&gt;&lt;accession-num&gt;23650448&lt;/accession-num&gt;&lt;urls&gt;&lt;related-urls&gt;&lt;url&gt;https://www.ncbi.nlm.nih.gov/pubmed/23650448&lt;/url&gt;&lt;/related-urls&gt;&lt;/urls&gt;&lt;custom2&gt;PMC3640605&lt;/custom2&gt;&lt;electronic-resource-num&gt;10.2147/NDT.S42473&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Zhang et al. (2013)</w:t>
            </w:r>
            <w:r w:rsidRPr="004D46AC">
              <w:fldChar w:fldCharType="end"/>
            </w:r>
          </w:p>
        </w:tc>
        <w:tc>
          <w:tcPr>
            <w:tcW w:w="754" w:type="dxa"/>
            <w:vAlign w:val="center"/>
          </w:tcPr>
          <w:p w14:paraId="722BD83A" w14:textId="77777777" w:rsidR="009864DB" w:rsidRPr="004D46AC" w:rsidRDefault="009864DB" w:rsidP="009864DB">
            <w:pPr>
              <w:spacing w:line="240" w:lineRule="auto"/>
              <w:ind w:firstLine="0"/>
            </w:pPr>
            <w:r w:rsidRPr="004D46AC">
              <w:t>6</w:t>
            </w:r>
          </w:p>
        </w:tc>
        <w:tc>
          <w:tcPr>
            <w:tcW w:w="766" w:type="dxa"/>
            <w:vAlign w:val="center"/>
          </w:tcPr>
          <w:p w14:paraId="17131C03" w14:textId="77777777" w:rsidR="009864DB" w:rsidRPr="004D46AC" w:rsidRDefault="009864DB" w:rsidP="009864DB">
            <w:pPr>
              <w:spacing w:line="240" w:lineRule="auto"/>
              <w:ind w:firstLine="0"/>
            </w:pPr>
            <w:r w:rsidRPr="004D46AC">
              <w:t>36</w:t>
            </w:r>
          </w:p>
        </w:tc>
        <w:tc>
          <w:tcPr>
            <w:tcW w:w="1096" w:type="dxa"/>
            <w:vAlign w:val="center"/>
          </w:tcPr>
          <w:p w14:paraId="53266B24" w14:textId="77777777" w:rsidR="009864DB" w:rsidRPr="004D46AC" w:rsidRDefault="009864DB" w:rsidP="009864DB">
            <w:pPr>
              <w:spacing w:line="240" w:lineRule="auto"/>
              <w:ind w:firstLine="0"/>
            </w:pPr>
            <w:r w:rsidRPr="004D46AC">
              <w:t>ICD10</w:t>
            </w:r>
          </w:p>
        </w:tc>
        <w:tc>
          <w:tcPr>
            <w:tcW w:w="1415" w:type="dxa"/>
            <w:vAlign w:val="center"/>
          </w:tcPr>
          <w:p w14:paraId="03E92BEF" w14:textId="77777777" w:rsidR="009864DB" w:rsidRPr="004D46AC" w:rsidRDefault="009864DB" w:rsidP="009864DB">
            <w:pPr>
              <w:spacing w:line="240" w:lineRule="auto"/>
              <w:ind w:firstLine="0"/>
            </w:pPr>
            <w:r w:rsidRPr="004D46AC">
              <w:t>unclear</w:t>
            </w:r>
          </w:p>
        </w:tc>
        <w:tc>
          <w:tcPr>
            <w:tcW w:w="876" w:type="dxa"/>
            <w:vAlign w:val="center"/>
          </w:tcPr>
          <w:p w14:paraId="234719DC" w14:textId="77777777" w:rsidR="009864DB" w:rsidRPr="004D46AC" w:rsidRDefault="009864DB" w:rsidP="009864DB">
            <w:pPr>
              <w:spacing w:line="240" w:lineRule="auto"/>
              <w:ind w:firstLine="0"/>
            </w:pPr>
            <w:r w:rsidRPr="004D46AC">
              <w:t>175</w:t>
            </w:r>
          </w:p>
        </w:tc>
        <w:tc>
          <w:tcPr>
            <w:tcW w:w="986" w:type="dxa"/>
            <w:vAlign w:val="center"/>
          </w:tcPr>
          <w:p w14:paraId="79B7E2F0" w14:textId="77777777" w:rsidR="009864DB" w:rsidRPr="004D46AC" w:rsidRDefault="009864DB" w:rsidP="009864DB">
            <w:pPr>
              <w:spacing w:line="240" w:lineRule="auto"/>
              <w:ind w:firstLine="0"/>
            </w:pPr>
            <w:r w:rsidRPr="004D46AC">
              <w:t>2</w:t>
            </w:r>
          </w:p>
        </w:tc>
        <w:tc>
          <w:tcPr>
            <w:tcW w:w="751" w:type="dxa"/>
            <w:vAlign w:val="center"/>
          </w:tcPr>
          <w:p w14:paraId="1E89FF1C" w14:textId="77777777" w:rsidR="009864DB" w:rsidRPr="004D46AC" w:rsidRDefault="009864DB" w:rsidP="009864DB">
            <w:pPr>
              <w:spacing w:line="240" w:lineRule="auto"/>
              <w:ind w:firstLine="0"/>
            </w:pPr>
            <w:r w:rsidRPr="004D46AC">
              <w:t>1</w:t>
            </w:r>
          </w:p>
        </w:tc>
        <w:tc>
          <w:tcPr>
            <w:tcW w:w="752" w:type="dxa"/>
            <w:vAlign w:val="center"/>
          </w:tcPr>
          <w:p w14:paraId="2F0C9AA2" w14:textId="77777777" w:rsidR="009864DB" w:rsidRPr="004D46AC" w:rsidRDefault="009864DB" w:rsidP="009864DB">
            <w:pPr>
              <w:spacing w:line="240" w:lineRule="auto"/>
              <w:ind w:firstLine="0"/>
            </w:pPr>
            <w:r w:rsidRPr="004D46AC">
              <w:t>0</w:t>
            </w:r>
          </w:p>
        </w:tc>
        <w:tc>
          <w:tcPr>
            <w:tcW w:w="1296" w:type="dxa"/>
            <w:vAlign w:val="center"/>
          </w:tcPr>
          <w:p w14:paraId="1194FAF1" w14:textId="77777777" w:rsidR="009864DB" w:rsidRPr="004D46AC" w:rsidRDefault="009864DB" w:rsidP="009864DB">
            <w:pPr>
              <w:spacing w:line="240" w:lineRule="auto"/>
              <w:ind w:firstLine="0"/>
            </w:pPr>
            <w:r w:rsidRPr="004D46AC">
              <w:t>73</w:t>
            </w:r>
          </w:p>
        </w:tc>
        <w:tc>
          <w:tcPr>
            <w:tcW w:w="752" w:type="dxa"/>
            <w:vAlign w:val="center"/>
          </w:tcPr>
          <w:p w14:paraId="1B6BAAF9" w14:textId="77777777" w:rsidR="009864DB" w:rsidRPr="004D46AC" w:rsidRDefault="009864DB" w:rsidP="009864DB">
            <w:pPr>
              <w:spacing w:line="240" w:lineRule="auto"/>
              <w:ind w:firstLine="0"/>
            </w:pPr>
            <w:r w:rsidRPr="004D46AC">
              <w:t>NA</w:t>
            </w:r>
          </w:p>
        </w:tc>
        <w:tc>
          <w:tcPr>
            <w:tcW w:w="789" w:type="dxa"/>
            <w:gridSpan w:val="2"/>
            <w:vAlign w:val="center"/>
          </w:tcPr>
          <w:p w14:paraId="0C8AC782" w14:textId="77777777" w:rsidR="009864DB" w:rsidRPr="004D46AC" w:rsidRDefault="009864DB" w:rsidP="009864DB">
            <w:pPr>
              <w:spacing w:line="240" w:lineRule="auto"/>
              <w:ind w:firstLine="0"/>
            </w:pPr>
            <w:r w:rsidRPr="004D46AC">
              <w:t>NA</w:t>
            </w:r>
          </w:p>
        </w:tc>
      </w:tr>
      <w:tr w:rsidR="009864DB" w:rsidRPr="004D46AC" w14:paraId="6BA47A9A" w14:textId="77777777" w:rsidTr="00B518F1">
        <w:tc>
          <w:tcPr>
            <w:tcW w:w="1476" w:type="dxa"/>
          </w:tcPr>
          <w:p w14:paraId="0703183C"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AuthorYear="1"&gt;&lt;Author&gt;Choi&lt;/Author&gt;&lt;Year&gt;2010&lt;/Year&gt;&lt;RecNum&gt;124&lt;/RecNum&gt;&lt;DisplayText&gt;Choi et al. (2010)&lt;/DisplayText&gt;&lt;record&gt;&lt;rec-number&gt;124&lt;/rec-number&gt;&lt;foreign-keys&gt;&lt;key app="EN" db-id="aet009sstawa0hewvt3xwf5atffdw2dt02sw" timestamp="1665626674"&gt;124&lt;/key&gt;&lt;/foreign-keys&gt;&lt;ref-type name="Journal Article"&gt;17&lt;/ref-type&gt;&lt;contributors&gt;&lt;authors&gt;&lt;author&gt;Choi, K. Y.&lt;/author&gt;&lt;author&gt;Yoon, H. K.&lt;/author&gt;&lt;author&gt;Kim, Y. K.&lt;/author&gt;&lt;/authors&gt;&lt;/contributors&gt;&lt;auth-address&gt;Department of Psychiatry, College of Medicine, Korea University, Ansan Hospital, Ansan, Korea.&lt;/auth-address&gt;&lt;titles&gt;&lt;title&gt;Association between Serotonin-Related Polymorphisms in 5HT2A, TPH1, TPH2 Genes and Bipolar Disorder in Korean Population&lt;/title&gt;&lt;secondary-title&gt;Psychiatry Investig&lt;/secondary-title&gt;&lt;/titles&gt;&lt;periodical&gt;&lt;full-title&gt;Psychiatry Investig&lt;/full-title&gt;&lt;/periodical&gt;&lt;pages&gt;60-7&lt;/pages&gt;&lt;volume&gt;7&lt;/volume&gt;&lt;number&gt;1&lt;/number&gt;&lt;edition&gt;20100303&lt;/edition&gt;&lt;keywords&gt;&lt;keyword&gt;Bipolar disorder&lt;/keyword&gt;&lt;keyword&gt;Mania&lt;/keyword&gt;&lt;keyword&gt;Polymorphism&lt;/keyword&gt;&lt;keyword&gt;Serotonin&lt;/keyword&gt;&lt;/keywords&gt;&lt;dates&gt;&lt;year&gt;2010&lt;/year&gt;&lt;pub-dates&gt;&lt;date&gt;Mar&lt;/date&gt;&lt;/pub-dates&gt;&lt;/dates&gt;&lt;isbn&gt;1976-3026 (Electronic)&amp;#xD;1738-3684 (Print)&amp;#xD;1738-3684 (Linking)&lt;/isbn&gt;&lt;accession-num&gt;20396435&lt;/accession-num&gt;&lt;urls&gt;&lt;related-urls&gt;&lt;url&gt;https://www.ncbi.nlm.nih.gov/pubmed/20396435&lt;/url&gt;&lt;/related-urls&gt;&lt;/urls&gt;&lt;custom2&gt;PMC2848767&lt;/custom2&gt;&lt;electronic-resource-num&gt;10.4306/pi.2010.7.1.60&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Choi et al. (2010)</w:t>
            </w:r>
            <w:r w:rsidRPr="004D46AC">
              <w:fldChar w:fldCharType="end"/>
            </w:r>
          </w:p>
        </w:tc>
        <w:tc>
          <w:tcPr>
            <w:tcW w:w="754" w:type="dxa"/>
            <w:vAlign w:val="center"/>
          </w:tcPr>
          <w:p w14:paraId="1CC56587" w14:textId="77777777" w:rsidR="009864DB" w:rsidRPr="004D46AC" w:rsidRDefault="009864DB" w:rsidP="009864DB">
            <w:pPr>
              <w:spacing w:line="240" w:lineRule="auto"/>
              <w:ind w:firstLine="0"/>
            </w:pPr>
            <w:r w:rsidRPr="004D46AC">
              <w:t>6</w:t>
            </w:r>
          </w:p>
        </w:tc>
        <w:tc>
          <w:tcPr>
            <w:tcW w:w="766" w:type="dxa"/>
            <w:vAlign w:val="center"/>
          </w:tcPr>
          <w:p w14:paraId="5BD4BA91" w14:textId="77777777" w:rsidR="009864DB" w:rsidRPr="004D46AC" w:rsidRDefault="009864DB" w:rsidP="009864DB">
            <w:pPr>
              <w:spacing w:line="240" w:lineRule="auto"/>
              <w:ind w:firstLine="0"/>
            </w:pPr>
            <w:r w:rsidRPr="004D46AC">
              <w:t>33.7</w:t>
            </w:r>
          </w:p>
        </w:tc>
        <w:tc>
          <w:tcPr>
            <w:tcW w:w="1096" w:type="dxa"/>
            <w:vAlign w:val="center"/>
          </w:tcPr>
          <w:p w14:paraId="0B06344E" w14:textId="77777777" w:rsidR="009864DB" w:rsidRPr="004D46AC" w:rsidRDefault="009864DB" w:rsidP="009864DB">
            <w:pPr>
              <w:spacing w:line="240" w:lineRule="auto"/>
              <w:ind w:firstLine="0"/>
            </w:pPr>
            <w:r w:rsidRPr="004D46AC">
              <w:t>DSM4</w:t>
            </w:r>
          </w:p>
        </w:tc>
        <w:tc>
          <w:tcPr>
            <w:tcW w:w="1415" w:type="dxa"/>
            <w:vAlign w:val="center"/>
          </w:tcPr>
          <w:p w14:paraId="08114FD5" w14:textId="77777777" w:rsidR="009864DB" w:rsidRPr="004D46AC" w:rsidRDefault="009864DB" w:rsidP="009864DB">
            <w:pPr>
              <w:spacing w:line="240" w:lineRule="auto"/>
              <w:ind w:firstLine="0"/>
            </w:pPr>
            <w:r w:rsidRPr="004D46AC">
              <w:t>SCID</w:t>
            </w:r>
          </w:p>
        </w:tc>
        <w:tc>
          <w:tcPr>
            <w:tcW w:w="876" w:type="dxa"/>
            <w:vAlign w:val="center"/>
          </w:tcPr>
          <w:p w14:paraId="1B305A66" w14:textId="77777777" w:rsidR="009864DB" w:rsidRPr="004D46AC" w:rsidRDefault="009864DB" w:rsidP="009864DB">
            <w:pPr>
              <w:spacing w:line="240" w:lineRule="auto"/>
              <w:ind w:firstLine="0"/>
            </w:pPr>
            <w:r w:rsidRPr="004D46AC">
              <w:t>103</w:t>
            </w:r>
          </w:p>
        </w:tc>
        <w:tc>
          <w:tcPr>
            <w:tcW w:w="986" w:type="dxa"/>
            <w:vAlign w:val="center"/>
          </w:tcPr>
          <w:p w14:paraId="2908C17D" w14:textId="77777777" w:rsidR="009864DB" w:rsidRPr="004D46AC" w:rsidRDefault="009864DB" w:rsidP="009864DB">
            <w:pPr>
              <w:spacing w:line="240" w:lineRule="auto"/>
              <w:ind w:firstLine="0"/>
            </w:pPr>
            <w:r w:rsidRPr="004D46AC">
              <w:t>3</w:t>
            </w:r>
          </w:p>
        </w:tc>
        <w:tc>
          <w:tcPr>
            <w:tcW w:w="751" w:type="dxa"/>
            <w:vAlign w:val="center"/>
          </w:tcPr>
          <w:p w14:paraId="4FF3A85C" w14:textId="77777777" w:rsidR="009864DB" w:rsidRPr="004D46AC" w:rsidRDefault="009864DB" w:rsidP="009864DB">
            <w:pPr>
              <w:spacing w:line="240" w:lineRule="auto"/>
              <w:ind w:firstLine="0"/>
            </w:pPr>
            <w:r w:rsidRPr="004D46AC">
              <w:t>2</w:t>
            </w:r>
          </w:p>
        </w:tc>
        <w:tc>
          <w:tcPr>
            <w:tcW w:w="752" w:type="dxa"/>
            <w:vAlign w:val="center"/>
          </w:tcPr>
          <w:p w14:paraId="518EA3FE" w14:textId="77777777" w:rsidR="009864DB" w:rsidRPr="004D46AC" w:rsidRDefault="009864DB" w:rsidP="009864DB">
            <w:pPr>
              <w:spacing w:line="240" w:lineRule="auto"/>
              <w:ind w:firstLine="0"/>
            </w:pPr>
            <w:r w:rsidRPr="004D46AC">
              <w:t>0</w:t>
            </w:r>
          </w:p>
        </w:tc>
        <w:tc>
          <w:tcPr>
            <w:tcW w:w="1296" w:type="dxa"/>
            <w:vAlign w:val="center"/>
          </w:tcPr>
          <w:p w14:paraId="6836278E" w14:textId="77777777" w:rsidR="009864DB" w:rsidRPr="004D46AC" w:rsidRDefault="009864DB" w:rsidP="009864DB">
            <w:pPr>
              <w:spacing w:line="240" w:lineRule="auto"/>
              <w:ind w:firstLine="0"/>
            </w:pPr>
            <w:r w:rsidRPr="004D46AC">
              <w:t>78</w:t>
            </w:r>
          </w:p>
        </w:tc>
        <w:tc>
          <w:tcPr>
            <w:tcW w:w="752" w:type="dxa"/>
            <w:vAlign w:val="center"/>
          </w:tcPr>
          <w:p w14:paraId="00985C17" w14:textId="77777777" w:rsidR="009864DB" w:rsidRPr="004D46AC" w:rsidRDefault="009864DB" w:rsidP="009864DB">
            <w:pPr>
              <w:spacing w:line="240" w:lineRule="auto"/>
              <w:ind w:firstLine="0"/>
            </w:pPr>
            <w:r w:rsidRPr="004D46AC">
              <w:t>NA</w:t>
            </w:r>
          </w:p>
        </w:tc>
        <w:tc>
          <w:tcPr>
            <w:tcW w:w="789" w:type="dxa"/>
            <w:gridSpan w:val="2"/>
            <w:vAlign w:val="center"/>
          </w:tcPr>
          <w:p w14:paraId="7011883D" w14:textId="77777777" w:rsidR="009864DB" w:rsidRPr="004D46AC" w:rsidRDefault="009864DB" w:rsidP="009864DB">
            <w:pPr>
              <w:spacing w:line="240" w:lineRule="auto"/>
              <w:ind w:firstLine="0"/>
            </w:pPr>
            <w:r w:rsidRPr="004D46AC">
              <w:t>NA</w:t>
            </w:r>
          </w:p>
        </w:tc>
      </w:tr>
      <w:tr w:rsidR="009864DB" w:rsidRPr="004D46AC" w14:paraId="38029ACA" w14:textId="77777777" w:rsidTr="00B518F1">
        <w:tc>
          <w:tcPr>
            <w:tcW w:w="1476" w:type="dxa"/>
          </w:tcPr>
          <w:p w14:paraId="200067A6"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AuthorYear="1"&gt;&lt;Author&gt;Shan&lt;/Author&gt;&lt;Year&gt;2016&lt;/Year&gt;&lt;RecNum&gt;125&lt;/RecNum&gt;&lt;DisplayText&gt;Shan et al. (2016)&lt;/DisplayText&gt;&lt;record&gt;&lt;rec-number&gt;125&lt;/rec-number&gt;&lt;foreign-keys&gt;&lt;key app="EN" db-id="aet009sstawa0hewvt3xwf5atffdw2dt02sw" timestamp="1665628033"&gt;125&lt;/key&gt;&lt;/foreign-keys&gt;&lt;ref-type name="Journal Article"&gt;17&lt;/ref-type&gt;&lt;contributors&gt;&lt;authors&gt;&lt;author&gt;Shan, G. W.&lt;/author&gt;&lt;author&gt;Makmor-Bakry, M.&lt;/author&gt;&lt;author&gt;Omar, M. S.&lt;/author&gt;&lt;/authors&gt;&lt;/contributors&gt;&lt;auth-address&gt;Faculty of Pharmacy, University Kebangsaan Malaysia, Jalan Raja Muda Abdul Aziz, 50300, Kuala Lumpur, Malaysia, marhanis.salihah@gmail.com, marhanis@ukm.edu.my.&lt;/auth-address&gt;&lt;titles&gt;&lt;title&gt;Long term use of lithium and factors associated with treatment response among patients with bipolar disorder&lt;/title&gt;&lt;secondary-title&gt;Psychiatr Danub&lt;/secondary-title&gt;&lt;/titles&gt;&lt;periodical&gt;&lt;full-title&gt;Psychiatr Danub&lt;/full-title&gt;&lt;/periodical&gt;&lt;pages&gt;146-53&lt;/pages&gt;&lt;volume&gt;28&lt;/volume&gt;&lt;number&gt;2&lt;/number&gt;&lt;keywords&gt;&lt;keyword&gt;Adult&lt;/keyword&gt;&lt;keyword&gt;Affect&lt;/keyword&gt;&lt;keyword&gt;Bipolar Disorder/*drug therapy/psychology&lt;/keyword&gt;&lt;keyword&gt;Depression/*drug therapy/psychology&lt;/keyword&gt;&lt;keyword&gt;Female&lt;/keyword&gt;&lt;keyword&gt;Humans&lt;/keyword&gt;&lt;keyword&gt;Lithium Compounds/*therapeutic use&lt;/keyword&gt;&lt;keyword&gt;Male&lt;/keyword&gt;&lt;keyword&gt;Middle Aged&lt;/keyword&gt;&lt;keyword&gt;Psychotic Disorders/*drug therapy/psychology&lt;/keyword&gt;&lt;keyword&gt;Recurrence&lt;/keyword&gt;&lt;keyword&gt;Retrospective Studies&lt;/keyword&gt;&lt;keyword&gt;Time Factors&lt;/keyword&gt;&lt;keyword&gt;Treatment Outcome&lt;/keyword&gt;&lt;/keywords&gt;&lt;dates&gt;&lt;year&gt;2016&lt;/year&gt;&lt;pub-dates&gt;&lt;date&gt;Jun&lt;/date&gt;&lt;/pub-dates&gt;&lt;/dates&gt;&lt;isbn&gt;0353-5053 (Print)&amp;#xD;0353-5053 (Linking)&lt;/isbn&gt;&lt;accession-num&gt;27287789&lt;/accession-num&gt;&lt;urls&gt;&lt;related-urls&gt;&lt;url&gt;https://www.ncbi.nlm.nih.gov/pubmed/27287789&lt;/url&gt;&lt;/related-urls&gt;&lt;/urls&gt;&lt;remote-database-name&gt;Medline&lt;/remote-database-name&gt;&lt;remote-database-provider&gt;NLM&lt;/remote-database-provider&gt;&lt;language&gt;eng&lt;/language&gt;&lt;/record&gt;&lt;/Cite&gt;&lt;/EndNote&gt;</w:instrText>
            </w:r>
            <w:r w:rsidRPr="004D46AC">
              <w:fldChar w:fldCharType="separate"/>
            </w:r>
            <w:r w:rsidRPr="004D46AC">
              <w:t>Shan et al. (2016)</w:t>
            </w:r>
            <w:r w:rsidRPr="004D46AC">
              <w:fldChar w:fldCharType="end"/>
            </w:r>
          </w:p>
        </w:tc>
        <w:tc>
          <w:tcPr>
            <w:tcW w:w="754" w:type="dxa"/>
            <w:vAlign w:val="center"/>
          </w:tcPr>
          <w:p w14:paraId="4A950EF7" w14:textId="77777777" w:rsidR="009864DB" w:rsidRPr="004D46AC" w:rsidRDefault="009864DB" w:rsidP="009864DB">
            <w:pPr>
              <w:spacing w:line="240" w:lineRule="auto"/>
              <w:ind w:firstLine="0"/>
            </w:pPr>
            <w:r w:rsidRPr="004D46AC">
              <w:t>5</w:t>
            </w:r>
          </w:p>
        </w:tc>
        <w:tc>
          <w:tcPr>
            <w:tcW w:w="766" w:type="dxa"/>
            <w:vAlign w:val="center"/>
          </w:tcPr>
          <w:p w14:paraId="536BF465" w14:textId="77777777" w:rsidR="009864DB" w:rsidRPr="004D46AC" w:rsidRDefault="009864DB" w:rsidP="009864DB">
            <w:pPr>
              <w:spacing w:line="240" w:lineRule="auto"/>
              <w:ind w:firstLine="0"/>
            </w:pPr>
            <w:r w:rsidRPr="004D46AC">
              <w:t>41.98</w:t>
            </w:r>
          </w:p>
        </w:tc>
        <w:tc>
          <w:tcPr>
            <w:tcW w:w="1096" w:type="dxa"/>
            <w:vAlign w:val="center"/>
          </w:tcPr>
          <w:p w14:paraId="6F8B9849" w14:textId="77777777" w:rsidR="009864DB" w:rsidRPr="004D46AC" w:rsidRDefault="009864DB" w:rsidP="009864DB">
            <w:pPr>
              <w:spacing w:line="240" w:lineRule="auto"/>
              <w:ind w:firstLine="0"/>
            </w:pPr>
            <w:r w:rsidRPr="004D46AC">
              <w:t>unclear</w:t>
            </w:r>
          </w:p>
        </w:tc>
        <w:tc>
          <w:tcPr>
            <w:tcW w:w="1415" w:type="dxa"/>
            <w:vAlign w:val="center"/>
          </w:tcPr>
          <w:p w14:paraId="595E214D" w14:textId="77777777" w:rsidR="009864DB" w:rsidRPr="004D46AC" w:rsidRDefault="009864DB" w:rsidP="009864DB">
            <w:pPr>
              <w:spacing w:line="240" w:lineRule="auto"/>
              <w:ind w:firstLine="0"/>
            </w:pPr>
            <w:r w:rsidRPr="004D46AC">
              <w:t>unclear</w:t>
            </w:r>
          </w:p>
        </w:tc>
        <w:tc>
          <w:tcPr>
            <w:tcW w:w="876" w:type="dxa"/>
            <w:vAlign w:val="center"/>
          </w:tcPr>
          <w:p w14:paraId="0B307FB0" w14:textId="77777777" w:rsidR="009864DB" w:rsidRPr="004D46AC" w:rsidRDefault="009864DB" w:rsidP="009864DB">
            <w:pPr>
              <w:spacing w:line="240" w:lineRule="auto"/>
              <w:ind w:firstLine="0"/>
            </w:pPr>
            <w:r w:rsidRPr="004D46AC">
              <w:t>47</w:t>
            </w:r>
          </w:p>
        </w:tc>
        <w:tc>
          <w:tcPr>
            <w:tcW w:w="986" w:type="dxa"/>
            <w:vAlign w:val="center"/>
          </w:tcPr>
          <w:p w14:paraId="5E9F27F3" w14:textId="77777777" w:rsidR="009864DB" w:rsidRPr="004D46AC" w:rsidRDefault="009864DB" w:rsidP="009864DB">
            <w:pPr>
              <w:spacing w:line="240" w:lineRule="auto"/>
              <w:ind w:firstLine="0"/>
            </w:pPr>
            <w:r w:rsidRPr="004D46AC">
              <w:t>unclear</w:t>
            </w:r>
          </w:p>
        </w:tc>
        <w:tc>
          <w:tcPr>
            <w:tcW w:w="751" w:type="dxa"/>
            <w:vAlign w:val="center"/>
          </w:tcPr>
          <w:p w14:paraId="1ACC8B24" w14:textId="77777777" w:rsidR="009864DB" w:rsidRPr="004D46AC" w:rsidRDefault="009864DB" w:rsidP="009864DB">
            <w:pPr>
              <w:spacing w:line="240" w:lineRule="auto"/>
              <w:ind w:firstLine="0"/>
            </w:pPr>
            <w:r w:rsidRPr="004D46AC">
              <w:t>1</w:t>
            </w:r>
          </w:p>
        </w:tc>
        <w:tc>
          <w:tcPr>
            <w:tcW w:w="752" w:type="dxa"/>
            <w:vAlign w:val="center"/>
          </w:tcPr>
          <w:p w14:paraId="3402B334" w14:textId="77777777" w:rsidR="009864DB" w:rsidRPr="004D46AC" w:rsidRDefault="009864DB" w:rsidP="009864DB">
            <w:pPr>
              <w:spacing w:line="240" w:lineRule="auto"/>
              <w:ind w:firstLine="0"/>
            </w:pPr>
            <w:r w:rsidRPr="004D46AC">
              <w:t>0</w:t>
            </w:r>
          </w:p>
        </w:tc>
        <w:tc>
          <w:tcPr>
            <w:tcW w:w="1296" w:type="dxa"/>
            <w:vAlign w:val="center"/>
          </w:tcPr>
          <w:p w14:paraId="66A1A489" w14:textId="77777777" w:rsidR="009864DB" w:rsidRPr="004D46AC" w:rsidRDefault="009864DB" w:rsidP="009864DB">
            <w:pPr>
              <w:spacing w:line="240" w:lineRule="auto"/>
              <w:ind w:firstLine="0"/>
            </w:pPr>
            <w:r w:rsidRPr="004D46AC">
              <w:t>19</w:t>
            </w:r>
          </w:p>
        </w:tc>
        <w:tc>
          <w:tcPr>
            <w:tcW w:w="752" w:type="dxa"/>
            <w:vAlign w:val="center"/>
          </w:tcPr>
          <w:p w14:paraId="62320305" w14:textId="77777777" w:rsidR="009864DB" w:rsidRPr="004D46AC" w:rsidRDefault="009864DB" w:rsidP="009864DB">
            <w:pPr>
              <w:spacing w:line="240" w:lineRule="auto"/>
              <w:ind w:firstLine="0"/>
            </w:pPr>
            <w:r w:rsidRPr="004D46AC">
              <w:t>NA</w:t>
            </w:r>
          </w:p>
        </w:tc>
        <w:tc>
          <w:tcPr>
            <w:tcW w:w="789" w:type="dxa"/>
            <w:gridSpan w:val="2"/>
            <w:vAlign w:val="center"/>
          </w:tcPr>
          <w:p w14:paraId="33AABC32" w14:textId="77777777" w:rsidR="009864DB" w:rsidRPr="004D46AC" w:rsidRDefault="009864DB" w:rsidP="009864DB">
            <w:pPr>
              <w:spacing w:line="240" w:lineRule="auto"/>
              <w:ind w:firstLine="0"/>
            </w:pPr>
            <w:r w:rsidRPr="004D46AC">
              <w:t>NA</w:t>
            </w:r>
          </w:p>
        </w:tc>
      </w:tr>
      <w:tr w:rsidR="009864DB" w:rsidRPr="004D46AC" w14:paraId="01DF037D" w14:textId="77777777" w:rsidTr="00B518F1">
        <w:tc>
          <w:tcPr>
            <w:tcW w:w="1476" w:type="dxa"/>
          </w:tcPr>
          <w:p w14:paraId="56F8FBF1" w14:textId="77777777" w:rsidR="009864DB" w:rsidRPr="004D46AC" w:rsidRDefault="009864DB" w:rsidP="009864DB">
            <w:pPr>
              <w:spacing w:line="240" w:lineRule="auto"/>
              <w:ind w:firstLine="0"/>
            </w:pPr>
            <w:r w:rsidRPr="004D46AC">
              <w:lastRenderedPageBreak/>
              <w:fldChar w:fldCharType="begin">
                <w:fldData xml:space="preserve">PEVuZE5vdGU+PENpdGUgQXV0aG9yWWVhcj0iMSI+PEF1dGhvcj5CYXN0ZXJyZWNoZTwvQXV0aG9y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</w:fldData>
              </w:fldChar>
            </w:r>
            <w:r w:rsidRPr="004D46AC">
              <w:instrText xml:space="preserve"> ADDIN EN.CITE </w:instrText>
            </w:r>
            <w:r w:rsidRPr="004D46AC">
              <w:fldChar w:fldCharType="begin">
                <w:fldData xml:space="preserve">PEVuZE5vdGU+PENpdGUgQXV0aG9yWWVhcj0iMSI+PEF1dGhvcj5CYXN0ZXJyZWNoZTwvQXV0aG9y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</w:fldData>
              </w:fldChar>
            </w:r>
            <w:r w:rsidRPr="004D46AC">
              <w:instrText xml:space="preserve"> ADDIN EN.CITE.DATA </w:instrText>
            </w:r>
            <w:r w:rsidRPr="004D46AC">
              <w:fldChar w:fldCharType="end"/>
            </w:r>
            <w:r w:rsidRPr="004D46AC">
              <w:fldChar w:fldCharType="separate"/>
            </w:r>
            <w:r w:rsidRPr="004D46AC">
              <w:t>Basterreche et al. (2008)</w:t>
            </w:r>
            <w:r w:rsidRPr="004D46AC">
              <w:fldChar w:fldCharType="end"/>
            </w:r>
          </w:p>
        </w:tc>
        <w:tc>
          <w:tcPr>
            <w:tcW w:w="754" w:type="dxa"/>
            <w:vAlign w:val="center"/>
          </w:tcPr>
          <w:p w14:paraId="28E62E1C" w14:textId="77777777" w:rsidR="009864DB" w:rsidRPr="004D46AC" w:rsidRDefault="009864DB" w:rsidP="009864DB">
            <w:pPr>
              <w:spacing w:line="240" w:lineRule="auto"/>
              <w:ind w:firstLine="0"/>
            </w:pPr>
            <w:r w:rsidRPr="004D46AC">
              <w:t>5</w:t>
            </w:r>
          </w:p>
        </w:tc>
        <w:tc>
          <w:tcPr>
            <w:tcW w:w="766" w:type="dxa"/>
            <w:vAlign w:val="center"/>
          </w:tcPr>
          <w:p w14:paraId="2183AEAE" w14:textId="77777777" w:rsidR="009864DB" w:rsidRPr="004D46AC" w:rsidRDefault="009864DB" w:rsidP="009864DB">
            <w:pPr>
              <w:spacing w:line="240" w:lineRule="auto"/>
              <w:ind w:firstLine="0"/>
            </w:pPr>
            <w:r w:rsidRPr="004D46AC">
              <w:t>44</w:t>
            </w:r>
          </w:p>
        </w:tc>
        <w:tc>
          <w:tcPr>
            <w:tcW w:w="1096" w:type="dxa"/>
            <w:vAlign w:val="center"/>
          </w:tcPr>
          <w:p w14:paraId="53D12020" w14:textId="77777777" w:rsidR="009864DB" w:rsidRPr="004D46AC" w:rsidRDefault="009864DB" w:rsidP="009864DB">
            <w:pPr>
              <w:spacing w:line="240" w:lineRule="auto"/>
              <w:ind w:firstLine="0"/>
            </w:pPr>
            <w:r w:rsidRPr="004D46AC">
              <w:t>DSM4</w:t>
            </w:r>
          </w:p>
        </w:tc>
        <w:tc>
          <w:tcPr>
            <w:tcW w:w="1415" w:type="dxa"/>
            <w:vAlign w:val="center"/>
          </w:tcPr>
          <w:p w14:paraId="18CA6071" w14:textId="77777777" w:rsidR="009864DB" w:rsidRPr="004D46AC" w:rsidRDefault="009864DB" w:rsidP="009864DB">
            <w:pPr>
              <w:spacing w:line="240" w:lineRule="auto"/>
              <w:ind w:firstLine="0"/>
            </w:pPr>
            <w:r w:rsidRPr="004D46AC">
              <w:t>SCID</w:t>
            </w:r>
          </w:p>
        </w:tc>
        <w:tc>
          <w:tcPr>
            <w:tcW w:w="876" w:type="dxa"/>
            <w:vAlign w:val="center"/>
          </w:tcPr>
          <w:p w14:paraId="26E28959" w14:textId="77777777" w:rsidR="009864DB" w:rsidRPr="004D46AC" w:rsidRDefault="009864DB" w:rsidP="009864DB">
            <w:pPr>
              <w:spacing w:line="240" w:lineRule="auto"/>
              <w:ind w:firstLine="0"/>
            </w:pPr>
            <w:r w:rsidRPr="004D46AC">
              <w:t>160</w:t>
            </w:r>
          </w:p>
        </w:tc>
        <w:tc>
          <w:tcPr>
            <w:tcW w:w="986" w:type="dxa"/>
            <w:vAlign w:val="center"/>
          </w:tcPr>
          <w:p w14:paraId="5BBBDAF2" w14:textId="77777777" w:rsidR="009864DB" w:rsidRPr="004D46AC" w:rsidRDefault="009864DB" w:rsidP="009864DB">
            <w:pPr>
              <w:spacing w:line="240" w:lineRule="auto"/>
              <w:ind w:firstLine="0"/>
            </w:pPr>
            <w:r w:rsidRPr="004D46AC">
              <w:t>3</w:t>
            </w:r>
          </w:p>
        </w:tc>
        <w:tc>
          <w:tcPr>
            <w:tcW w:w="751" w:type="dxa"/>
            <w:vAlign w:val="center"/>
          </w:tcPr>
          <w:p w14:paraId="50CB57EB" w14:textId="77777777" w:rsidR="009864DB" w:rsidRPr="004D46AC" w:rsidRDefault="009864DB" w:rsidP="009864DB">
            <w:pPr>
              <w:spacing w:line="240" w:lineRule="auto"/>
              <w:ind w:firstLine="0"/>
            </w:pPr>
            <w:r w:rsidRPr="004D46AC">
              <w:t>2</w:t>
            </w:r>
          </w:p>
        </w:tc>
        <w:tc>
          <w:tcPr>
            <w:tcW w:w="752" w:type="dxa"/>
            <w:vAlign w:val="center"/>
          </w:tcPr>
          <w:p w14:paraId="23F8C2B1" w14:textId="77777777" w:rsidR="009864DB" w:rsidRPr="004D46AC" w:rsidRDefault="009864DB" w:rsidP="009864DB">
            <w:pPr>
              <w:spacing w:line="240" w:lineRule="auto"/>
              <w:ind w:firstLine="0"/>
            </w:pPr>
            <w:r w:rsidRPr="004D46AC">
              <w:t>0</w:t>
            </w:r>
          </w:p>
        </w:tc>
        <w:tc>
          <w:tcPr>
            <w:tcW w:w="1296" w:type="dxa"/>
            <w:vAlign w:val="center"/>
          </w:tcPr>
          <w:p w14:paraId="1951BE7E" w14:textId="77777777" w:rsidR="009864DB" w:rsidRPr="004D46AC" w:rsidRDefault="009864DB" w:rsidP="009864DB">
            <w:pPr>
              <w:spacing w:line="240" w:lineRule="auto"/>
              <w:ind w:firstLine="0"/>
            </w:pPr>
            <w:r w:rsidRPr="004D46AC">
              <w:t>134</w:t>
            </w:r>
          </w:p>
        </w:tc>
        <w:tc>
          <w:tcPr>
            <w:tcW w:w="752" w:type="dxa"/>
            <w:vAlign w:val="center"/>
          </w:tcPr>
          <w:p w14:paraId="7005B878" w14:textId="77777777" w:rsidR="009864DB" w:rsidRPr="004D46AC" w:rsidRDefault="009864DB" w:rsidP="009864DB">
            <w:pPr>
              <w:spacing w:line="240" w:lineRule="auto"/>
              <w:ind w:firstLine="0"/>
            </w:pPr>
            <w:r w:rsidRPr="004D46AC">
              <w:t>23</w:t>
            </w:r>
          </w:p>
        </w:tc>
        <w:tc>
          <w:tcPr>
            <w:tcW w:w="789" w:type="dxa"/>
            <w:gridSpan w:val="2"/>
            <w:vAlign w:val="center"/>
          </w:tcPr>
          <w:p w14:paraId="2682C57D" w14:textId="77777777" w:rsidR="009864DB" w:rsidRPr="004D46AC" w:rsidRDefault="009864DB" w:rsidP="009864DB">
            <w:pPr>
              <w:spacing w:line="240" w:lineRule="auto"/>
              <w:ind w:firstLine="0"/>
            </w:pPr>
            <w:r w:rsidRPr="004D46AC">
              <w:t>111</w:t>
            </w:r>
          </w:p>
        </w:tc>
      </w:tr>
      <w:tr w:rsidR="009864DB" w:rsidRPr="004D46AC" w14:paraId="49B0E38E" w14:textId="77777777" w:rsidTr="00B518F1">
        <w:tc>
          <w:tcPr>
            <w:tcW w:w="1476" w:type="dxa"/>
          </w:tcPr>
          <w:p w14:paraId="639572ED" w14:textId="77777777" w:rsidR="009864DB" w:rsidRPr="004D46AC" w:rsidRDefault="009864DB" w:rsidP="009864DB">
            <w:pPr>
              <w:spacing w:line="240" w:lineRule="auto"/>
              <w:ind w:firstLine="0"/>
            </w:pPr>
            <w:r w:rsidRPr="004D46AC">
              <w:fldChar w:fldCharType="begin">
                <w:fldData xml:space="preserve">PEVuZE5vdGU+PENpdGUgQXV0aG9yWWVhcj0iMSI+PEF1dGhvcj5YaWFuZzwvQXV0aG9yPjxZZWFy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</w:fldData>
              </w:fldChar>
            </w:r>
            <w:r w:rsidRPr="004D46AC">
              <w:instrText xml:space="preserve"> ADDIN EN.CITE </w:instrText>
            </w:r>
            <w:r w:rsidRPr="004D46AC">
              <w:fldChar w:fldCharType="begin">
                <w:fldData xml:space="preserve">PEVuZE5vdGU+PENpdGUgQXV0aG9yWWVhcj0iMSI+PEF1dGhvcj5YaWFuZzwvQXV0aG9yPjxZZWFy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</w:fldData>
              </w:fldChar>
            </w:r>
            <w:r w:rsidRPr="004D46AC">
              <w:instrText xml:space="preserve"> ADDIN EN.CITE.DATA </w:instrText>
            </w:r>
            <w:r w:rsidRPr="004D46AC">
              <w:fldChar w:fldCharType="end"/>
            </w:r>
            <w:r w:rsidRPr="004D46AC">
              <w:fldChar w:fldCharType="separate"/>
            </w:r>
            <w:r w:rsidRPr="004D46AC">
              <w:t>Xiang et al. (2013)</w:t>
            </w:r>
            <w:r w:rsidRPr="004D46AC">
              <w:fldChar w:fldCharType="end"/>
            </w:r>
          </w:p>
        </w:tc>
        <w:tc>
          <w:tcPr>
            <w:tcW w:w="754" w:type="dxa"/>
            <w:vAlign w:val="center"/>
          </w:tcPr>
          <w:p w14:paraId="7766E7DB" w14:textId="77777777" w:rsidR="009864DB" w:rsidRPr="004D46AC" w:rsidRDefault="009864DB" w:rsidP="009864DB">
            <w:pPr>
              <w:spacing w:line="240" w:lineRule="auto"/>
              <w:ind w:firstLine="0"/>
            </w:pPr>
            <w:r w:rsidRPr="004D46AC">
              <w:t>6</w:t>
            </w:r>
          </w:p>
        </w:tc>
        <w:tc>
          <w:tcPr>
            <w:tcW w:w="766" w:type="dxa"/>
            <w:vAlign w:val="center"/>
          </w:tcPr>
          <w:p w14:paraId="41D9B3C5" w14:textId="77777777" w:rsidR="009864DB" w:rsidRPr="004D46AC" w:rsidRDefault="009864DB" w:rsidP="009864DB">
            <w:pPr>
              <w:spacing w:line="240" w:lineRule="auto"/>
              <w:ind w:firstLine="0"/>
            </w:pPr>
            <w:r w:rsidRPr="004D46AC">
              <w:t>35.5</w:t>
            </w:r>
          </w:p>
        </w:tc>
        <w:tc>
          <w:tcPr>
            <w:tcW w:w="1096" w:type="dxa"/>
            <w:vAlign w:val="center"/>
          </w:tcPr>
          <w:p w14:paraId="57D2661B" w14:textId="77777777" w:rsidR="009864DB" w:rsidRPr="004D46AC" w:rsidRDefault="009864DB" w:rsidP="009864DB">
            <w:pPr>
              <w:spacing w:line="240" w:lineRule="auto"/>
              <w:ind w:firstLine="0"/>
            </w:pPr>
            <w:r w:rsidRPr="004D46AC">
              <w:t>DSM4</w:t>
            </w:r>
          </w:p>
        </w:tc>
        <w:tc>
          <w:tcPr>
            <w:tcW w:w="1415" w:type="dxa"/>
            <w:vAlign w:val="center"/>
          </w:tcPr>
          <w:p w14:paraId="3DA3F5F9" w14:textId="77777777" w:rsidR="009864DB" w:rsidRPr="004D46AC" w:rsidRDefault="009864DB" w:rsidP="009864DB">
            <w:pPr>
              <w:spacing w:line="240" w:lineRule="auto"/>
              <w:ind w:firstLine="0"/>
            </w:pPr>
            <w:r w:rsidRPr="004D46AC">
              <w:t>MINI</w:t>
            </w:r>
          </w:p>
        </w:tc>
        <w:tc>
          <w:tcPr>
            <w:tcW w:w="876" w:type="dxa"/>
            <w:vAlign w:val="center"/>
          </w:tcPr>
          <w:p w14:paraId="562014F7" w14:textId="77777777" w:rsidR="009864DB" w:rsidRPr="004D46AC" w:rsidRDefault="009864DB" w:rsidP="009864DB">
            <w:pPr>
              <w:spacing w:line="240" w:lineRule="auto"/>
              <w:ind w:firstLine="0"/>
            </w:pPr>
            <w:r w:rsidRPr="004D46AC">
              <w:t>309</w:t>
            </w:r>
          </w:p>
        </w:tc>
        <w:tc>
          <w:tcPr>
            <w:tcW w:w="986" w:type="dxa"/>
            <w:vAlign w:val="center"/>
          </w:tcPr>
          <w:p w14:paraId="27D13AD2" w14:textId="77777777" w:rsidR="009864DB" w:rsidRPr="004D46AC" w:rsidRDefault="009864DB" w:rsidP="009864DB">
            <w:pPr>
              <w:spacing w:line="240" w:lineRule="auto"/>
              <w:ind w:firstLine="0"/>
            </w:pPr>
            <w:r w:rsidRPr="004D46AC">
              <w:t>2</w:t>
            </w:r>
          </w:p>
        </w:tc>
        <w:tc>
          <w:tcPr>
            <w:tcW w:w="751" w:type="dxa"/>
            <w:vAlign w:val="center"/>
          </w:tcPr>
          <w:p w14:paraId="20CA6421" w14:textId="77777777" w:rsidR="009864DB" w:rsidRPr="004D46AC" w:rsidRDefault="009864DB" w:rsidP="009864DB">
            <w:pPr>
              <w:spacing w:line="240" w:lineRule="auto"/>
              <w:ind w:firstLine="0"/>
            </w:pPr>
            <w:r w:rsidRPr="004D46AC">
              <w:t>1</w:t>
            </w:r>
          </w:p>
        </w:tc>
        <w:tc>
          <w:tcPr>
            <w:tcW w:w="752" w:type="dxa"/>
            <w:vAlign w:val="center"/>
          </w:tcPr>
          <w:p w14:paraId="0F7017AA" w14:textId="77777777" w:rsidR="009864DB" w:rsidRPr="004D46AC" w:rsidRDefault="009864DB" w:rsidP="009864DB">
            <w:pPr>
              <w:spacing w:line="240" w:lineRule="auto"/>
              <w:ind w:firstLine="0"/>
            </w:pPr>
            <w:r w:rsidRPr="004D46AC">
              <w:t>0</w:t>
            </w:r>
          </w:p>
        </w:tc>
        <w:tc>
          <w:tcPr>
            <w:tcW w:w="1296" w:type="dxa"/>
            <w:vAlign w:val="center"/>
          </w:tcPr>
          <w:p w14:paraId="5A4887C8" w14:textId="77777777" w:rsidR="009864DB" w:rsidRPr="004D46AC" w:rsidRDefault="009864DB" w:rsidP="009864DB">
            <w:pPr>
              <w:spacing w:line="240" w:lineRule="auto"/>
              <w:ind w:firstLine="0"/>
            </w:pPr>
            <w:r w:rsidRPr="004D46AC">
              <w:t>100</w:t>
            </w:r>
          </w:p>
        </w:tc>
        <w:tc>
          <w:tcPr>
            <w:tcW w:w="752" w:type="dxa"/>
            <w:vAlign w:val="center"/>
          </w:tcPr>
          <w:p w14:paraId="2B8DF83F" w14:textId="77777777" w:rsidR="009864DB" w:rsidRPr="004D46AC" w:rsidRDefault="009864DB" w:rsidP="009864DB">
            <w:pPr>
              <w:spacing w:line="240" w:lineRule="auto"/>
              <w:ind w:firstLine="0"/>
            </w:pPr>
            <w:r w:rsidRPr="004D46AC">
              <w:t>NA</w:t>
            </w:r>
          </w:p>
        </w:tc>
        <w:tc>
          <w:tcPr>
            <w:tcW w:w="789" w:type="dxa"/>
            <w:gridSpan w:val="2"/>
            <w:vAlign w:val="center"/>
          </w:tcPr>
          <w:p w14:paraId="007954A5" w14:textId="77777777" w:rsidR="009864DB" w:rsidRPr="004D46AC" w:rsidRDefault="009864DB" w:rsidP="009864DB">
            <w:pPr>
              <w:spacing w:line="240" w:lineRule="auto"/>
              <w:ind w:firstLine="0"/>
            </w:pPr>
            <w:r w:rsidRPr="004D46AC">
              <w:t>NA</w:t>
            </w:r>
          </w:p>
        </w:tc>
      </w:tr>
      <w:tr w:rsidR="009864DB" w:rsidRPr="004D46AC" w14:paraId="1D457491" w14:textId="77777777" w:rsidTr="00B518F1">
        <w:tc>
          <w:tcPr>
            <w:tcW w:w="1476" w:type="dxa"/>
          </w:tcPr>
          <w:p w14:paraId="22169F79" w14:textId="77777777" w:rsidR="009864DB" w:rsidRPr="004D46AC" w:rsidRDefault="009864DB" w:rsidP="009864DB">
            <w:pPr>
              <w:spacing w:line="240" w:lineRule="auto"/>
              <w:ind w:firstLine="0"/>
            </w:pPr>
            <w:r w:rsidRPr="004D46AC">
              <w:fldChar w:fldCharType="begin">
                <w:fldData xml:space="preserve">PEVuZE5vdGU+PENpdGUgQXV0aG9yWWVhcj0iMSI+PEF1dGhvcj5CdWxidWw8L0F1dGhvcj48WWVh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</w:fldData>
              </w:fldChar>
            </w:r>
            <w:r w:rsidRPr="004D46AC">
              <w:instrText xml:space="preserve"> ADDIN EN.CITE </w:instrText>
            </w:r>
            <w:r w:rsidRPr="004D46AC">
              <w:fldChar w:fldCharType="begin">
                <w:fldData xml:space="preserve">PEVuZE5vdGU+PENpdGUgQXV0aG9yWWVhcj0iMSI+PEF1dGhvcj5CdWxidWw8L0F1dGhvcj48WWVh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</w:fldData>
              </w:fldChar>
            </w:r>
            <w:r w:rsidRPr="004D46AC">
              <w:instrText xml:space="preserve"> ADDIN EN.CITE.DATA </w:instrText>
            </w:r>
            <w:r w:rsidRPr="004D46AC">
              <w:fldChar w:fldCharType="end"/>
            </w:r>
            <w:r w:rsidRPr="004D46AC">
              <w:fldChar w:fldCharType="separate"/>
            </w:r>
            <w:r w:rsidRPr="004D46AC">
              <w:t>Bulbul et al. (2020)</w:t>
            </w:r>
            <w:r w:rsidRPr="004D46AC">
              <w:fldChar w:fldCharType="end"/>
            </w:r>
          </w:p>
        </w:tc>
        <w:tc>
          <w:tcPr>
            <w:tcW w:w="754" w:type="dxa"/>
            <w:vAlign w:val="center"/>
          </w:tcPr>
          <w:p w14:paraId="58F09E93" w14:textId="77777777" w:rsidR="009864DB" w:rsidRPr="004D46AC" w:rsidRDefault="009864DB" w:rsidP="009864DB">
            <w:pPr>
              <w:spacing w:line="240" w:lineRule="auto"/>
              <w:ind w:firstLine="0"/>
            </w:pPr>
            <w:r w:rsidRPr="004D46AC">
              <w:t>5</w:t>
            </w:r>
          </w:p>
        </w:tc>
        <w:tc>
          <w:tcPr>
            <w:tcW w:w="766" w:type="dxa"/>
            <w:vAlign w:val="center"/>
          </w:tcPr>
          <w:p w14:paraId="22006165" w14:textId="77777777" w:rsidR="009864DB" w:rsidRPr="004D46AC" w:rsidRDefault="009864DB" w:rsidP="009864DB">
            <w:pPr>
              <w:spacing w:line="240" w:lineRule="auto"/>
              <w:ind w:firstLine="0"/>
            </w:pPr>
            <w:r w:rsidRPr="004D46AC">
              <w:t>38</w:t>
            </w:r>
          </w:p>
        </w:tc>
        <w:tc>
          <w:tcPr>
            <w:tcW w:w="1096" w:type="dxa"/>
            <w:vAlign w:val="center"/>
          </w:tcPr>
          <w:p w14:paraId="03A51A11" w14:textId="77777777" w:rsidR="009864DB" w:rsidRPr="004D46AC" w:rsidRDefault="009864DB" w:rsidP="009864DB">
            <w:pPr>
              <w:spacing w:line="240" w:lineRule="auto"/>
              <w:ind w:firstLine="0"/>
            </w:pPr>
            <w:r w:rsidRPr="004D46AC">
              <w:t>DSM5</w:t>
            </w:r>
          </w:p>
        </w:tc>
        <w:tc>
          <w:tcPr>
            <w:tcW w:w="1415" w:type="dxa"/>
            <w:vAlign w:val="center"/>
          </w:tcPr>
          <w:p w14:paraId="6FE59E64" w14:textId="77777777" w:rsidR="009864DB" w:rsidRPr="004D46AC" w:rsidRDefault="009864DB" w:rsidP="009864DB">
            <w:pPr>
              <w:spacing w:line="240" w:lineRule="auto"/>
              <w:ind w:firstLine="0"/>
            </w:pPr>
            <w:r w:rsidRPr="004D46AC">
              <w:t>unclear</w:t>
            </w:r>
          </w:p>
        </w:tc>
        <w:tc>
          <w:tcPr>
            <w:tcW w:w="876" w:type="dxa"/>
            <w:vAlign w:val="center"/>
          </w:tcPr>
          <w:p w14:paraId="56FA6693" w14:textId="77777777" w:rsidR="009864DB" w:rsidRPr="004D46AC" w:rsidRDefault="009864DB" w:rsidP="009864DB">
            <w:pPr>
              <w:spacing w:line="240" w:lineRule="auto"/>
              <w:ind w:firstLine="0"/>
            </w:pPr>
            <w:r w:rsidRPr="004D46AC">
              <w:t>101</w:t>
            </w:r>
          </w:p>
        </w:tc>
        <w:tc>
          <w:tcPr>
            <w:tcW w:w="986" w:type="dxa"/>
            <w:vAlign w:val="center"/>
          </w:tcPr>
          <w:p w14:paraId="5F3E062B" w14:textId="77777777" w:rsidR="009864DB" w:rsidRPr="004D46AC" w:rsidRDefault="009864DB" w:rsidP="009864DB">
            <w:pPr>
              <w:spacing w:line="240" w:lineRule="auto"/>
              <w:ind w:firstLine="0"/>
            </w:pPr>
            <w:r w:rsidRPr="004D46AC">
              <w:t>1</w:t>
            </w:r>
          </w:p>
        </w:tc>
        <w:tc>
          <w:tcPr>
            <w:tcW w:w="751" w:type="dxa"/>
            <w:vAlign w:val="center"/>
          </w:tcPr>
          <w:p w14:paraId="697F879F" w14:textId="77777777" w:rsidR="009864DB" w:rsidRPr="004D46AC" w:rsidRDefault="009864DB" w:rsidP="009864DB">
            <w:pPr>
              <w:spacing w:line="240" w:lineRule="auto"/>
              <w:ind w:firstLine="0"/>
            </w:pPr>
            <w:r w:rsidRPr="004D46AC">
              <w:t>1</w:t>
            </w:r>
          </w:p>
        </w:tc>
        <w:tc>
          <w:tcPr>
            <w:tcW w:w="752" w:type="dxa"/>
            <w:vAlign w:val="center"/>
          </w:tcPr>
          <w:p w14:paraId="5C82BD18" w14:textId="77777777" w:rsidR="009864DB" w:rsidRPr="004D46AC" w:rsidRDefault="009864DB" w:rsidP="009864DB">
            <w:pPr>
              <w:spacing w:line="240" w:lineRule="auto"/>
              <w:ind w:firstLine="0"/>
            </w:pPr>
            <w:r w:rsidRPr="004D46AC">
              <w:t>0</w:t>
            </w:r>
          </w:p>
        </w:tc>
        <w:tc>
          <w:tcPr>
            <w:tcW w:w="1296" w:type="dxa"/>
            <w:vAlign w:val="center"/>
          </w:tcPr>
          <w:p w14:paraId="1E9D35DC" w14:textId="77777777" w:rsidR="009864DB" w:rsidRPr="004D46AC" w:rsidRDefault="009864DB" w:rsidP="009864DB">
            <w:pPr>
              <w:spacing w:line="240" w:lineRule="auto"/>
              <w:ind w:firstLine="0"/>
            </w:pPr>
            <w:r w:rsidRPr="004D46AC">
              <w:t>54</w:t>
            </w:r>
          </w:p>
        </w:tc>
        <w:tc>
          <w:tcPr>
            <w:tcW w:w="752" w:type="dxa"/>
            <w:vAlign w:val="center"/>
          </w:tcPr>
          <w:p w14:paraId="1028013B" w14:textId="77777777" w:rsidR="009864DB" w:rsidRPr="004D46AC" w:rsidRDefault="009864DB" w:rsidP="009864DB">
            <w:pPr>
              <w:spacing w:line="240" w:lineRule="auto"/>
              <w:ind w:firstLine="0"/>
            </w:pPr>
            <w:r w:rsidRPr="004D46AC">
              <w:t>NA</w:t>
            </w:r>
          </w:p>
        </w:tc>
        <w:tc>
          <w:tcPr>
            <w:tcW w:w="789" w:type="dxa"/>
            <w:gridSpan w:val="2"/>
            <w:vAlign w:val="center"/>
          </w:tcPr>
          <w:p w14:paraId="69C3F2C6" w14:textId="77777777" w:rsidR="009864DB" w:rsidRPr="004D46AC" w:rsidRDefault="009864DB" w:rsidP="009864DB">
            <w:pPr>
              <w:spacing w:line="240" w:lineRule="auto"/>
              <w:ind w:firstLine="0"/>
            </w:pPr>
            <w:r w:rsidRPr="004D46AC">
              <w:t>NA</w:t>
            </w:r>
          </w:p>
        </w:tc>
      </w:tr>
      <w:tr w:rsidR="009864DB" w:rsidRPr="004D46AC" w14:paraId="43EA4442" w14:textId="77777777" w:rsidTr="00B518F1">
        <w:tc>
          <w:tcPr>
            <w:tcW w:w="1476" w:type="dxa"/>
          </w:tcPr>
          <w:p w14:paraId="0C95A1F7" w14:textId="77777777" w:rsidR="009864DB" w:rsidRPr="004D46AC" w:rsidRDefault="009864DB" w:rsidP="009864DB">
            <w:pPr>
              <w:spacing w:line="240" w:lineRule="auto"/>
              <w:ind w:firstLine="0"/>
            </w:pPr>
            <w:r w:rsidRPr="004D46AC">
              <w:fldChar w:fldCharType="begin">
                <w:fldData xml:space="preserve">PEVuZE5vdGU+PENpdGUgQXV0aG9yWWVhcj0iMSI+PEF1dGhvcj5NYXphaGVyaS1UZWhyYW5pPC9B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instrText xml:space="preserve"> ADDIN EN.CITE </w:instrText>
            </w:r>
            <w:r w:rsidRPr="004D46AC">
              <w:fldChar w:fldCharType="begin">
                <w:fldData xml:space="preserve">PEVuZE5vdGU+PENpdGUgQXV0aG9yWWVhcj0iMSI+PEF1dGhvcj5NYXphaGVyaS1UZWhyYW5pPC9B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</w:fldData>
              </w:fldChar>
            </w:r>
            <w:r w:rsidRPr="004D46AC">
              <w:instrText xml:space="preserve"> ADDIN EN.CITE.DATA </w:instrText>
            </w:r>
            <w:r w:rsidRPr="004D46AC">
              <w:fldChar w:fldCharType="end"/>
            </w:r>
            <w:r w:rsidRPr="004D46AC">
              <w:fldChar w:fldCharType="separate"/>
            </w:r>
            <w:r w:rsidRPr="004D46AC">
              <w:t>Mazaheri-Tehrani et al. (2014)</w:t>
            </w:r>
            <w:r w:rsidRPr="004D46AC">
              <w:fldChar w:fldCharType="end"/>
            </w:r>
          </w:p>
        </w:tc>
        <w:tc>
          <w:tcPr>
            <w:tcW w:w="754" w:type="dxa"/>
            <w:vAlign w:val="center"/>
          </w:tcPr>
          <w:p w14:paraId="6373388D" w14:textId="77777777" w:rsidR="009864DB" w:rsidRPr="004D46AC" w:rsidRDefault="009864DB" w:rsidP="009864DB">
            <w:pPr>
              <w:spacing w:line="240" w:lineRule="auto"/>
              <w:ind w:firstLine="0"/>
            </w:pPr>
            <w:r w:rsidRPr="004D46AC">
              <w:t>4</w:t>
            </w:r>
          </w:p>
        </w:tc>
        <w:tc>
          <w:tcPr>
            <w:tcW w:w="766" w:type="dxa"/>
            <w:vAlign w:val="center"/>
          </w:tcPr>
          <w:p w14:paraId="564D5F6C" w14:textId="77777777" w:rsidR="009864DB" w:rsidRPr="004D46AC" w:rsidRDefault="009864DB" w:rsidP="009864DB">
            <w:pPr>
              <w:spacing w:line="240" w:lineRule="auto"/>
              <w:ind w:firstLine="0"/>
            </w:pPr>
            <w:r w:rsidRPr="004D46AC">
              <w:t>36.2</w:t>
            </w:r>
          </w:p>
        </w:tc>
        <w:tc>
          <w:tcPr>
            <w:tcW w:w="1096" w:type="dxa"/>
            <w:vAlign w:val="center"/>
          </w:tcPr>
          <w:p w14:paraId="7152A925" w14:textId="77777777" w:rsidR="009864DB" w:rsidRPr="004D46AC" w:rsidRDefault="009864DB" w:rsidP="009864DB">
            <w:pPr>
              <w:spacing w:line="240" w:lineRule="auto"/>
              <w:ind w:firstLine="0"/>
            </w:pPr>
            <w:r w:rsidRPr="004D46AC">
              <w:t>DSM4</w:t>
            </w:r>
          </w:p>
        </w:tc>
        <w:tc>
          <w:tcPr>
            <w:tcW w:w="1415" w:type="dxa"/>
            <w:vAlign w:val="center"/>
          </w:tcPr>
          <w:p w14:paraId="0B2FD466" w14:textId="77777777" w:rsidR="009864DB" w:rsidRPr="004D46AC" w:rsidRDefault="009864DB" w:rsidP="009864DB">
            <w:pPr>
              <w:spacing w:line="240" w:lineRule="auto"/>
              <w:ind w:firstLine="0"/>
            </w:pPr>
            <w:r w:rsidRPr="004D46AC">
              <w:t>unclear</w:t>
            </w:r>
          </w:p>
        </w:tc>
        <w:tc>
          <w:tcPr>
            <w:tcW w:w="876" w:type="dxa"/>
            <w:vAlign w:val="center"/>
          </w:tcPr>
          <w:p w14:paraId="44F40C85" w14:textId="77777777" w:rsidR="009864DB" w:rsidRPr="004D46AC" w:rsidRDefault="009864DB" w:rsidP="009864DB">
            <w:pPr>
              <w:spacing w:line="240" w:lineRule="auto"/>
              <w:ind w:firstLine="0"/>
            </w:pPr>
            <w:r w:rsidRPr="004D46AC">
              <w:t>64</w:t>
            </w:r>
          </w:p>
        </w:tc>
        <w:tc>
          <w:tcPr>
            <w:tcW w:w="986" w:type="dxa"/>
            <w:vAlign w:val="center"/>
          </w:tcPr>
          <w:p w14:paraId="61911E62" w14:textId="77777777" w:rsidR="009864DB" w:rsidRPr="004D46AC" w:rsidRDefault="009864DB" w:rsidP="009864DB">
            <w:pPr>
              <w:spacing w:line="240" w:lineRule="auto"/>
              <w:ind w:firstLine="0"/>
            </w:pPr>
            <w:r w:rsidRPr="004D46AC">
              <w:t>unclear</w:t>
            </w:r>
          </w:p>
        </w:tc>
        <w:tc>
          <w:tcPr>
            <w:tcW w:w="751" w:type="dxa"/>
            <w:vAlign w:val="center"/>
          </w:tcPr>
          <w:p w14:paraId="17478E2A" w14:textId="77777777" w:rsidR="009864DB" w:rsidRPr="004D46AC" w:rsidRDefault="009864DB" w:rsidP="009864DB">
            <w:pPr>
              <w:spacing w:line="240" w:lineRule="auto"/>
              <w:ind w:firstLine="0"/>
            </w:pPr>
            <w:r w:rsidRPr="004D46AC">
              <w:t>1</w:t>
            </w:r>
          </w:p>
        </w:tc>
        <w:tc>
          <w:tcPr>
            <w:tcW w:w="752" w:type="dxa"/>
            <w:vAlign w:val="center"/>
          </w:tcPr>
          <w:p w14:paraId="2F259EB3" w14:textId="77777777" w:rsidR="009864DB" w:rsidRPr="004D46AC" w:rsidRDefault="009864DB" w:rsidP="009864DB">
            <w:pPr>
              <w:spacing w:line="240" w:lineRule="auto"/>
              <w:ind w:firstLine="0"/>
            </w:pPr>
            <w:r w:rsidRPr="004D46AC">
              <w:t>0</w:t>
            </w:r>
          </w:p>
        </w:tc>
        <w:tc>
          <w:tcPr>
            <w:tcW w:w="1296" w:type="dxa"/>
            <w:vAlign w:val="center"/>
          </w:tcPr>
          <w:p w14:paraId="514610C5" w14:textId="77777777" w:rsidR="009864DB" w:rsidRPr="004D46AC" w:rsidRDefault="009864DB" w:rsidP="009864DB">
            <w:pPr>
              <w:spacing w:line="240" w:lineRule="auto"/>
              <w:ind w:firstLine="0"/>
            </w:pPr>
            <w:r w:rsidRPr="004D46AC">
              <w:t>31</w:t>
            </w:r>
          </w:p>
        </w:tc>
        <w:tc>
          <w:tcPr>
            <w:tcW w:w="752" w:type="dxa"/>
            <w:vAlign w:val="center"/>
          </w:tcPr>
          <w:p w14:paraId="07FE23F2" w14:textId="77777777" w:rsidR="009864DB" w:rsidRPr="004D46AC" w:rsidRDefault="009864DB" w:rsidP="009864DB">
            <w:pPr>
              <w:spacing w:line="240" w:lineRule="auto"/>
              <w:ind w:firstLine="0"/>
            </w:pPr>
            <w:r w:rsidRPr="004D46AC">
              <w:t>NA</w:t>
            </w:r>
          </w:p>
        </w:tc>
        <w:tc>
          <w:tcPr>
            <w:tcW w:w="789" w:type="dxa"/>
            <w:gridSpan w:val="2"/>
            <w:vAlign w:val="center"/>
          </w:tcPr>
          <w:p w14:paraId="3BB5AE3E" w14:textId="77777777" w:rsidR="009864DB" w:rsidRPr="004D46AC" w:rsidRDefault="009864DB" w:rsidP="009864DB">
            <w:pPr>
              <w:spacing w:line="240" w:lineRule="auto"/>
              <w:ind w:firstLine="0"/>
            </w:pPr>
            <w:r w:rsidRPr="004D46AC">
              <w:t>NA</w:t>
            </w:r>
          </w:p>
        </w:tc>
      </w:tr>
      <w:tr w:rsidR="009864DB" w:rsidRPr="004D46AC" w14:paraId="497FAACF" w14:textId="77777777" w:rsidTr="00B518F1">
        <w:tc>
          <w:tcPr>
            <w:tcW w:w="1476" w:type="dxa"/>
          </w:tcPr>
          <w:p w14:paraId="0D49799D" w14:textId="77777777" w:rsidR="009864DB" w:rsidRPr="004D46AC" w:rsidRDefault="009864DB" w:rsidP="009864DB">
            <w:pPr>
              <w:spacing w:line="240" w:lineRule="auto"/>
              <w:ind w:firstLine="0"/>
            </w:pPr>
            <w:r w:rsidRPr="004D46AC">
              <w:fldChar w:fldCharType="begin">
                <w:fldData xml:space="preserve">PEVuZE5vdGU+PENpdGUgQXV0aG9yWWVhcj0iMSI+PEF1dGhvcj5ZaWxkaXo8L0F1dGhvcj48WWVh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 </w:instrText>
            </w:r>
            <w:r w:rsidRPr="004D46AC">
              <w:fldChar w:fldCharType="begin">
                <w:fldData xml:space="preserve">PEVuZE5vdGU+PENpdGUgQXV0aG9yWWVhcj0iMSI+PEF1dGhvcj5ZaWxkaXo8L0F1dGhvcj48WWVh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EN.CITE.DATA </w:instrText>
            </w:r>
            <w:r w:rsidRPr="004D46AC">
              <w:fldChar w:fldCharType="end"/>
            </w:r>
            <w:r w:rsidRPr="004D46AC">
              <w:fldChar w:fldCharType="separate"/>
            </w:r>
            <w:r w:rsidRPr="004D46AC">
              <w:t>Yildiz et al. (2008)</w:t>
            </w:r>
            <w:r w:rsidRPr="004D46AC">
              <w:fldChar w:fldCharType="end"/>
            </w:r>
          </w:p>
        </w:tc>
        <w:tc>
          <w:tcPr>
            <w:tcW w:w="754" w:type="dxa"/>
            <w:vAlign w:val="center"/>
          </w:tcPr>
          <w:p w14:paraId="56CB2326" w14:textId="77777777" w:rsidR="009864DB" w:rsidRPr="004D46AC" w:rsidRDefault="009864DB" w:rsidP="009864DB">
            <w:pPr>
              <w:spacing w:line="240" w:lineRule="auto"/>
              <w:ind w:firstLine="0"/>
            </w:pPr>
            <w:r w:rsidRPr="004D46AC">
              <w:t>5</w:t>
            </w:r>
          </w:p>
        </w:tc>
        <w:tc>
          <w:tcPr>
            <w:tcW w:w="766" w:type="dxa"/>
            <w:vAlign w:val="center"/>
          </w:tcPr>
          <w:p w14:paraId="4A103B9A" w14:textId="77777777" w:rsidR="009864DB" w:rsidRPr="004D46AC" w:rsidRDefault="009864DB" w:rsidP="009864DB">
            <w:pPr>
              <w:spacing w:line="240" w:lineRule="auto"/>
              <w:ind w:firstLine="0"/>
            </w:pPr>
            <w:r w:rsidRPr="004D46AC">
              <w:t>NA</w:t>
            </w:r>
          </w:p>
        </w:tc>
        <w:tc>
          <w:tcPr>
            <w:tcW w:w="1096" w:type="dxa"/>
            <w:vAlign w:val="center"/>
          </w:tcPr>
          <w:p w14:paraId="6BCB51C4" w14:textId="77777777" w:rsidR="009864DB" w:rsidRPr="004D46AC" w:rsidRDefault="009864DB" w:rsidP="009864DB">
            <w:pPr>
              <w:spacing w:line="240" w:lineRule="auto"/>
              <w:ind w:firstLine="0"/>
            </w:pPr>
            <w:r w:rsidRPr="004D46AC">
              <w:t>DSM4</w:t>
            </w:r>
          </w:p>
        </w:tc>
        <w:tc>
          <w:tcPr>
            <w:tcW w:w="1415" w:type="dxa"/>
            <w:vAlign w:val="center"/>
          </w:tcPr>
          <w:p w14:paraId="720CCFB3" w14:textId="77777777" w:rsidR="009864DB" w:rsidRPr="004D46AC" w:rsidRDefault="009864DB" w:rsidP="009864DB">
            <w:pPr>
              <w:spacing w:line="240" w:lineRule="auto"/>
              <w:ind w:firstLine="0"/>
            </w:pPr>
            <w:r w:rsidRPr="004D46AC">
              <w:t>SCID</w:t>
            </w:r>
          </w:p>
        </w:tc>
        <w:tc>
          <w:tcPr>
            <w:tcW w:w="876" w:type="dxa"/>
            <w:vAlign w:val="center"/>
          </w:tcPr>
          <w:p w14:paraId="7088FDD6" w14:textId="77777777" w:rsidR="009864DB" w:rsidRPr="004D46AC" w:rsidRDefault="009864DB" w:rsidP="009864DB">
            <w:pPr>
              <w:spacing w:line="240" w:lineRule="auto"/>
              <w:ind w:firstLine="0"/>
            </w:pPr>
            <w:r w:rsidRPr="004D46AC">
              <w:t>66</w:t>
            </w:r>
          </w:p>
        </w:tc>
        <w:tc>
          <w:tcPr>
            <w:tcW w:w="986" w:type="dxa"/>
            <w:vAlign w:val="center"/>
          </w:tcPr>
          <w:p w14:paraId="527EE5AA" w14:textId="77777777" w:rsidR="009864DB" w:rsidRPr="004D46AC" w:rsidRDefault="009864DB" w:rsidP="009864DB">
            <w:pPr>
              <w:spacing w:line="240" w:lineRule="auto"/>
              <w:ind w:firstLine="0"/>
            </w:pPr>
            <w:r w:rsidRPr="004D46AC">
              <w:t>3</w:t>
            </w:r>
          </w:p>
        </w:tc>
        <w:tc>
          <w:tcPr>
            <w:tcW w:w="751" w:type="dxa"/>
            <w:vAlign w:val="center"/>
          </w:tcPr>
          <w:p w14:paraId="693D8C63" w14:textId="77777777" w:rsidR="009864DB" w:rsidRPr="004D46AC" w:rsidRDefault="009864DB" w:rsidP="009864DB">
            <w:pPr>
              <w:spacing w:line="240" w:lineRule="auto"/>
              <w:ind w:firstLine="0"/>
            </w:pPr>
            <w:r w:rsidRPr="004D46AC">
              <w:t>2</w:t>
            </w:r>
          </w:p>
        </w:tc>
        <w:tc>
          <w:tcPr>
            <w:tcW w:w="752" w:type="dxa"/>
            <w:vAlign w:val="center"/>
          </w:tcPr>
          <w:p w14:paraId="793FA5CD" w14:textId="77777777" w:rsidR="009864DB" w:rsidRPr="004D46AC" w:rsidRDefault="009864DB" w:rsidP="009864DB">
            <w:pPr>
              <w:spacing w:line="240" w:lineRule="auto"/>
              <w:ind w:firstLine="0"/>
            </w:pPr>
            <w:r w:rsidRPr="004D46AC">
              <w:t>0</w:t>
            </w:r>
          </w:p>
        </w:tc>
        <w:tc>
          <w:tcPr>
            <w:tcW w:w="1296" w:type="dxa"/>
            <w:vAlign w:val="center"/>
          </w:tcPr>
          <w:p w14:paraId="19C8A2A2" w14:textId="77777777" w:rsidR="009864DB" w:rsidRPr="004D46AC" w:rsidRDefault="009864DB" w:rsidP="009864DB">
            <w:pPr>
              <w:spacing w:line="240" w:lineRule="auto"/>
              <w:ind w:firstLine="0"/>
            </w:pPr>
            <w:r w:rsidRPr="004D46AC">
              <w:t>44</w:t>
            </w:r>
          </w:p>
        </w:tc>
        <w:tc>
          <w:tcPr>
            <w:tcW w:w="752" w:type="dxa"/>
            <w:vAlign w:val="center"/>
          </w:tcPr>
          <w:p w14:paraId="4113EFC0" w14:textId="77777777" w:rsidR="009864DB" w:rsidRPr="004D46AC" w:rsidRDefault="009864DB" w:rsidP="009864DB">
            <w:pPr>
              <w:spacing w:line="240" w:lineRule="auto"/>
              <w:ind w:firstLine="0"/>
            </w:pPr>
            <w:r w:rsidRPr="004D46AC">
              <w:t>NA</w:t>
            </w:r>
          </w:p>
        </w:tc>
        <w:tc>
          <w:tcPr>
            <w:tcW w:w="789" w:type="dxa"/>
            <w:gridSpan w:val="2"/>
            <w:vAlign w:val="center"/>
          </w:tcPr>
          <w:p w14:paraId="34E17CDB" w14:textId="77777777" w:rsidR="009864DB" w:rsidRPr="004D46AC" w:rsidRDefault="009864DB" w:rsidP="009864DB">
            <w:pPr>
              <w:spacing w:line="240" w:lineRule="auto"/>
              <w:ind w:firstLine="0"/>
            </w:pPr>
            <w:r w:rsidRPr="004D46AC">
              <w:t>NA</w:t>
            </w:r>
          </w:p>
        </w:tc>
      </w:tr>
      <w:tr w:rsidR="009864DB" w:rsidRPr="004D46AC" w14:paraId="42E39AA3" w14:textId="77777777" w:rsidTr="00B518F1">
        <w:tc>
          <w:tcPr>
            <w:tcW w:w="1476" w:type="dxa"/>
          </w:tcPr>
          <w:p w14:paraId="41C8AB74" w14:textId="77777777" w:rsidR="009864DB" w:rsidRPr="004D46AC" w:rsidRDefault="009864DB" w:rsidP="009864DB">
            <w:pPr>
              <w:spacing w:line="240" w:lineRule="auto"/>
              <w:ind w:firstLine="0"/>
            </w:pPr>
            <w:r w:rsidRPr="004D46AC">
              <w:fldChar w:fldCharType="begin">
                <w:fldData xml:space="preserve">PEVuZE5vdGU+PENpdGUgQXV0aG9yWWVhcj0iMSI+PEF1dGhvcj5NcmFkPC9BdXRob3I+PFllYXI+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</w:fldData>
              </w:fldChar>
            </w:r>
            <w:r w:rsidRPr="004D46AC">
              <w:instrText xml:space="preserve"> ADDIN EN.CITE </w:instrText>
            </w:r>
            <w:r w:rsidRPr="004D46AC">
              <w:fldChar w:fldCharType="begin">
                <w:fldData xml:space="preserve">PEVuZE5vdGU+PENpdGUgQXV0aG9yWWVhcj0iMSI+PEF1dGhvcj5NcmFkPC9BdXRob3I+PFllYXI+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</w:fldData>
              </w:fldChar>
            </w:r>
            <w:r w:rsidRPr="004D46AC">
              <w:instrText xml:space="preserve"> ADDIN EN.CITE.DATA </w:instrText>
            </w:r>
            <w:r w:rsidRPr="004D46AC">
              <w:fldChar w:fldCharType="end"/>
            </w:r>
            <w:r w:rsidRPr="004D46AC">
              <w:fldChar w:fldCharType="separate"/>
            </w:r>
            <w:r w:rsidRPr="004D46AC">
              <w:t>Mrad et al. (2016)</w:t>
            </w:r>
            <w:r w:rsidRPr="004D46AC">
              <w:fldChar w:fldCharType="end"/>
            </w:r>
          </w:p>
        </w:tc>
        <w:tc>
          <w:tcPr>
            <w:tcW w:w="754" w:type="dxa"/>
            <w:vAlign w:val="center"/>
          </w:tcPr>
          <w:p w14:paraId="4A665C54" w14:textId="77777777" w:rsidR="009864DB" w:rsidRPr="004D46AC" w:rsidRDefault="009864DB" w:rsidP="009864DB">
            <w:pPr>
              <w:spacing w:line="240" w:lineRule="auto"/>
              <w:ind w:firstLine="0"/>
            </w:pPr>
            <w:r w:rsidRPr="004D46AC">
              <w:t>6</w:t>
            </w:r>
          </w:p>
        </w:tc>
        <w:tc>
          <w:tcPr>
            <w:tcW w:w="766" w:type="dxa"/>
            <w:vAlign w:val="center"/>
          </w:tcPr>
          <w:p w14:paraId="53F0DE87" w14:textId="77777777" w:rsidR="009864DB" w:rsidRPr="004D46AC" w:rsidRDefault="009864DB" w:rsidP="009864DB">
            <w:pPr>
              <w:spacing w:line="240" w:lineRule="auto"/>
              <w:ind w:firstLine="0"/>
            </w:pPr>
            <w:r w:rsidRPr="004D46AC">
              <w:t>35.2</w:t>
            </w:r>
          </w:p>
        </w:tc>
        <w:tc>
          <w:tcPr>
            <w:tcW w:w="1096" w:type="dxa"/>
            <w:vAlign w:val="center"/>
          </w:tcPr>
          <w:p w14:paraId="5A95BCFB" w14:textId="77777777" w:rsidR="009864DB" w:rsidRPr="004D46AC" w:rsidRDefault="009864DB" w:rsidP="009864DB">
            <w:pPr>
              <w:spacing w:line="240" w:lineRule="auto"/>
              <w:ind w:firstLine="0"/>
            </w:pPr>
            <w:r w:rsidRPr="004D46AC">
              <w:t>DSM4TR</w:t>
            </w:r>
          </w:p>
        </w:tc>
        <w:tc>
          <w:tcPr>
            <w:tcW w:w="1415" w:type="dxa"/>
            <w:vAlign w:val="center"/>
          </w:tcPr>
          <w:p w14:paraId="3D7FBE27" w14:textId="77777777" w:rsidR="009864DB" w:rsidRPr="004D46AC" w:rsidRDefault="009864DB" w:rsidP="009864DB">
            <w:pPr>
              <w:spacing w:line="240" w:lineRule="auto"/>
              <w:ind w:firstLine="0"/>
            </w:pPr>
            <w:r w:rsidRPr="004D46AC">
              <w:t>unclear</w:t>
            </w:r>
          </w:p>
        </w:tc>
        <w:tc>
          <w:tcPr>
            <w:tcW w:w="876" w:type="dxa"/>
            <w:vAlign w:val="center"/>
          </w:tcPr>
          <w:p w14:paraId="68AEB741" w14:textId="77777777" w:rsidR="009864DB" w:rsidRPr="004D46AC" w:rsidRDefault="009864DB" w:rsidP="009864DB">
            <w:pPr>
              <w:spacing w:line="240" w:lineRule="auto"/>
              <w:ind w:firstLine="0"/>
            </w:pPr>
            <w:r w:rsidRPr="004D46AC">
              <w:t>92</w:t>
            </w:r>
          </w:p>
        </w:tc>
        <w:tc>
          <w:tcPr>
            <w:tcW w:w="986" w:type="dxa"/>
            <w:vAlign w:val="center"/>
          </w:tcPr>
          <w:p w14:paraId="11B937B2" w14:textId="77777777" w:rsidR="009864DB" w:rsidRPr="004D46AC" w:rsidRDefault="009864DB" w:rsidP="009864DB">
            <w:pPr>
              <w:spacing w:line="240" w:lineRule="auto"/>
              <w:ind w:firstLine="0"/>
            </w:pPr>
            <w:r w:rsidRPr="004D46AC">
              <w:t>1</w:t>
            </w:r>
          </w:p>
        </w:tc>
        <w:tc>
          <w:tcPr>
            <w:tcW w:w="751" w:type="dxa"/>
            <w:vAlign w:val="center"/>
          </w:tcPr>
          <w:p w14:paraId="099A5D8B" w14:textId="77777777" w:rsidR="009864DB" w:rsidRPr="004D46AC" w:rsidRDefault="009864DB" w:rsidP="009864DB">
            <w:pPr>
              <w:spacing w:line="240" w:lineRule="auto"/>
              <w:ind w:firstLine="0"/>
            </w:pPr>
            <w:r w:rsidRPr="004D46AC">
              <w:t>2</w:t>
            </w:r>
          </w:p>
        </w:tc>
        <w:tc>
          <w:tcPr>
            <w:tcW w:w="752" w:type="dxa"/>
            <w:vAlign w:val="center"/>
          </w:tcPr>
          <w:p w14:paraId="0203419E" w14:textId="77777777" w:rsidR="009864DB" w:rsidRPr="004D46AC" w:rsidRDefault="009864DB" w:rsidP="009864DB">
            <w:pPr>
              <w:spacing w:line="240" w:lineRule="auto"/>
              <w:ind w:firstLine="0"/>
            </w:pPr>
            <w:r w:rsidRPr="004D46AC">
              <w:t>0</w:t>
            </w:r>
          </w:p>
        </w:tc>
        <w:tc>
          <w:tcPr>
            <w:tcW w:w="1296" w:type="dxa"/>
            <w:vAlign w:val="center"/>
          </w:tcPr>
          <w:p w14:paraId="51F8ECA4" w14:textId="77777777" w:rsidR="009864DB" w:rsidRPr="004D46AC" w:rsidRDefault="009864DB" w:rsidP="009864DB">
            <w:pPr>
              <w:spacing w:line="240" w:lineRule="auto"/>
              <w:ind w:firstLine="0"/>
            </w:pPr>
            <w:r w:rsidRPr="004D46AC">
              <w:t>42</w:t>
            </w:r>
          </w:p>
        </w:tc>
        <w:tc>
          <w:tcPr>
            <w:tcW w:w="752" w:type="dxa"/>
            <w:vAlign w:val="center"/>
          </w:tcPr>
          <w:p w14:paraId="559B29CB" w14:textId="77777777" w:rsidR="009864DB" w:rsidRPr="004D46AC" w:rsidRDefault="009864DB" w:rsidP="009864DB">
            <w:pPr>
              <w:spacing w:line="240" w:lineRule="auto"/>
              <w:ind w:firstLine="0"/>
            </w:pPr>
            <w:r w:rsidRPr="004D46AC">
              <w:t>NA</w:t>
            </w:r>
          </w:p>
        </w:tc>
        <w:tc>
          <w:tcPr>
            <w:tcW w:w="789" w:type="dxa"/>
            <w:gridSpan w:val="2"/>
            <w:vAlign w:val="center"/>
          </w:tcPr>
          <w:p w14:paraId="3C9F35E6" w14:textId="77777777" w:rsidR="009864DB" w:rsidRPr="004D46AC" w:rsidRDefault="009864DB" w:rsidP="009864DB">
            <w:pPr>
              <w:spacing w:line="240" w:lineRule="auto"/>
              <w:ind w:firstLine="0"/>
            </w:pPr>
            <w:r w:rsidRPr="004D46AC">
              <w:t>NA</w:t>
            </w:r>
          </w:p>
        </w:tc>
      </w:tr>
      <w:tr w:rsidR="009864DB" w:rsidRPr="004D46AC" w14:paraId="59973F0A" w14:textId="77777777" w:rsidTr="00B518F1">
        <w:tc>
          <w:tcPr>
            <w:tcW w:w="1476" w:type="dxa"/>
          </w:tcPr>
          <w:p w14:paraId="30B03023" w14:textId="77777777" w:rsidR="009864DB" w:rsidRPr="004D46AC" w:rsidRDefault="009864DB" w:rsidP="009864DB">
            <w:pPr>
              <w:spacing w:line="240" w:lineRule="auto"/>
              <w:ind w:firstLine="0"/>
            </w:pPr>
            <w:r w:rsidRPr="004D46AC">
              <w:fldChar w:fldCharType="begin">
                <w:fldData xml:space="preserve">PEVuZE5vdGU+PENpdGUgQXV0aG9yWWVhcj0iMSI+PEF1dGhvcj5TY290dDwvQXV0aG9yPjxZZWFy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</w:fldData>
              </w:fldChar>
            </w:r>
            <w:r w:rsidRPr="004D46AC">
              <w:instrText xml:space="preserve"> ADDIN EN.CITE </w:instrText>
            </w:r>
            <w:r w:rsidRPr="004D46AC">
              <w:fldChar w:fldCharType="begin">
                <w:fldData xml:space="preserve">PEVuZE5vdGU+PENpdGUgQXV0aG9yWWVhcj0iMSI+PEF1dGhvcj5TY290dDwvQXV0aG9yPjxZZWFy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</w:fldData>
              </w:fldChar>
            </w:r>
            <w:r w:rsidRPr="004D46AC">
              <w:instrText xml:space="preserve"> ADDIN EN.CITE.DATA </w:instrText>
            </w:r>
            <w:r w:rsidRPr="004D46AC">
              <w:fldChar w:fldCharType="end"/>
            </w:r>
            <w:r w:rsidRPr="004D46AC">
              <w:fldChar w:fldCharType="separate"/>
            </w:r>
            <w:r w:rsidRPr="004D46AC">
              <w:t>Scott et al. (2017)</w:t>
            </w:r>
            <w:r w:rsidRPr="004D46AC">
              <w:fldChar w:fldCharType="end"/>
            </w:r>
          </w:p>
        </w:tc>
        <w:tc>
          <w:tcPr>
            <w:tcW w:w="754" w:type="dxa"/>
            <w:vAlign w:val="center"/>
          </w:tcPr>
          <w:p w14:paraId="72338F25" w14:textId="77777777" w:rsidR="009864DB" w:rsidRPr="004D46AC" w:rsidRDefault="009864DB" w:rsidP="009864DB">
            <w:pPr>
              <w:spacing w:line="240" w:lineRule="auto"/>
              <w:ind w:firstLine="0"/>
            </w:pPr>
            <w:r w:rsidRPr="004D46AC">
              <w:t>6</w:t>
            </w:r>
          </w:p>
        </w:tc>
        <w:tc>
          <w:tcPr>
            <w:tcW w:w="766" w:type="dxa"/>
            <w:vAlign w:val="center"/>
          </w:tcPr>
          <w:p w14:paraId="3F0775E1" w14:textId="77777777" w:rsidR="009864DB" w:rsidRPr="004D46AC" w:rsidRDefault="009864DB" w:rsidP="009864DB">
            <w:pPr>
              <w:spacing w:line="240" w:lineRule="auto"/>
              <w:ind w:firstLine="0"/>
            </w:pPr>
            <w:r w:rsidRPr="004D46AC">
              <w:t>46.7</w:t>
            </w:r>
          </w:p>
        </w:tc>
        <w:tc>
          <w:tcPr>
            <w:tcW w:w="1096" w:type="dxa"/>
            <w:vAlign w:val="center"/>
          </w:tcPr>
          <w:p w14:paraId="1C4200E6" w14:textId="77777777" w:rsidR="009864DB" w:rsidRPr="004D46AC" w:rsidRDefault="009864DB" w:rsidP="009864DB">
            <w:pPr>
              <w:spacing w:line="240" w:lineRule="auto"/>
              <w:ind w:firstLine="0"/>
            </w:pPr>
            <w:r w:rsidRPr="004D46AC">
              <w:t>DSM4</w:t>
            </w:r>
          </w:p>
        </w:tc>
        <w:tc>
          <w:tcPr>
            <w:tcW w:w="1415" w:type="dxa"/>
            <w:vAlign w:val="center"/>
          </w:tcPr>
          <w:p w14:paraId="2B2927F6" w14:textId="77777777" w:rsidR="009864DB" w:rsidRPr="004D46AC" w:rsidRDefault="009864DB" w:rsidP="009864DB">
            <w:pPr>
              <w:spacing w:line="240" w:lineRule="auto"/>
              <w:ind w:firstLine="0"/>
            </w:pPr>
            <w:r w:rsidRPr="004D46AC">
              <w:t>DIGS</w:t>
            </w:r>
          </w:p>
        </w:tc>
        <w:tc>
          <w:tcPr>
            <w:tcW w:w="876" w:type="dxa"/>
            <w:vAlign w:val="center"/>
          </w:tcPr>
          <w:p w14:paraId="64EEC8E1" w14:textId="77777777" w:rsidR="009864DB" w:rsidRPr="004D46AC" w:rsidRDefault="009864DB" w:rsidP="009864DB">
            <w:pPr>
              <w:spacing w:line="240" w:lineRule="auto"/>
              <w:ind w:firstLine="0"/>
            </w:pPr>
            <w:r w:rsidRPr="004D46AC">
              <w:t>298</w:t>
            </w:r>
          </w:p>
        </w:tc>
        <w:tc>
          <w:tcPr>
            <w:tcW w:w="986" w:type="dxa"/>
            <w:vAlign w:val="center"/>
          </w:tcPr>
          <w:p w14:paraId="379D48A4" w14:textId="77777777" w:rsidR="009864DB" w:rsidRPr="004D46AC" w:rsidRDefault="009864DB" w:rsidP="009864DB">
            <w:pPr>
              <w:spacing w:line="240" w:lineRule="auto"/>
              <w:ind w:firstLine="0"/>
            </w:pPr>
            <w:r w:rsidRPr="004D46AC">
              <w:t>unclear</w:t>
            </w:r>
          </w:p>
        </w:tc>
        <w:tc>
          <w:tcPr>
            <w:tcW w:w="751" w:type="dxa"/>
            <w:vAlign w:val="center"/>
          </w:tcPr>
          <w:p w14:paraId="27F87A72" w14:textId="77777777" w:rsidR="009864DB" w:rsidRPr="004D46AC" w:rsidRDefault="009864DB" w:rsidP="009864DB">
            <w:pPr>
              <w:spacing w:line="240" w:lineRule="auto"/>
              <w:ind w:firstLine="0"/>
            </w:pPr>
            <w:r w:rsidRPr="004D46AC">
              <w:t>1</w:t>
            </w:r>
          </w:p>
        </w:tc>
        <w:tc>
          <w:tcPr>
            <w:tcW w:w="752" w:type="dxa"/>
            <w:vAlign w:val="center"/>
          </w:tcPr>
          <w:p w14:paraId="027E2A1B" w14:textId="77777777" w:rsidR="009864DB" w:rsidRPr="004D46AC" w:rsidRDefault="009864DB" w:rsidP="009864DB">
            <w:pPr>
              <w:spacing w:line="240" w:lineRule="auto"/>
              <w:ind w:firstLine="0"/>
            </w:pPr>
            <w:r w:rsidRPr="004D46AC">
              <w:t>2</w:t>
            </w:r>
          </w:p>
        </w:tc>
        <w:tc>
          <w:tcPr>
            <w:tcW w:w="1296" w:type="dxa"/>
          </w:tcPr>
          <w:p w14:paraId="3D21F43F" w14:textId="77777777" w:rsidR="009864DB" w:rsidRPr="004D46AC" w:rsidRDefault="009864DB" w:rsidP="009864DB">
            <w:pPr>
              <w:spacing w:line="240" w:lineRule="auto"/>
              <w:ind w:firstLine="0"/>
            </w:pPr>
            <w:r w:rsidRPr="004D46AC">
              <w:t>154</w:t>
            </w:r>
          </w:p>
        </w:tc>
        <w:tc>
          <w:tcPr>
            <w:tcW w:w="752" w:type="dxa"/>
            <w:vAlign w:val="center"/>
          </w:tcPr>
          <w:p w14:paraId="5AA3F5B2" w14:textId="77777777" w:rsidR="009864DB" w:rsidRPr="004D46AC" w:rsidRDefault="009864DB" w:rsidP="009864DB">
            <w:pPr>
              <w:spacing w:line="240" w:lineRule="auto"/>
              <w:ind w:firstLine="0"/>
            </w:pPr>
            <w:r w:rsidRPr="004D46AC">
              <w:t>NA</w:t>
            </w:r>
          </w:p>
        </w:tc>
        <w:tc>
          <w:tcPr>
            <w:tcW w:w="789" w:type="dxa"/>
            <w:gridSpan w:val="2"/>
            <w:vAlign w:val="center"/>
          </w:tcPr>
          <w:p w14:paraId="5F159237" w14:textId="77777777" w:rsidR="009864DB" w:rsidRPr="004D46AC" w:rsidRDefault="009864DB" w:rsidP="009864DB">
            <w:pPr>
              <w:spacing w:line="240" w:lineRule="auto"/>
              <w:ind w:firstLine="0"/>
            </w:pPr>
            <w:r w:rsidRPr="004D46AC">
              <w:t>NA</w:t>
            </w:r>
          </w:p>
        </w:tc>
      </w:tr>
      <w:tr w:rsidR="009864DB" w:rsidRPr="004D46AC" w14:paraId="011AEE8C" w14:textId="77777777" w:rsidTr="00B518F1">
        <w:tc>
          <w:tcPr>
            <w:tcW w:w="1476" w:type="dxa"/>
          </w:tcPr>
          <w:p w14:paraId="1A5A5487" w14:textId="77777777" w:rsidR="009864DB" w:rsidRPr="004D46AC" w:rsidRDefault="009864DB" w:rsidP="009864DB">
            <w:pPr>
              <w:spacing w:line="240" w:lineRule="auto"/>
              <w:ind w:firstLine="0"/>
            </w:pPr>
            <w:r w:rsidRPr="004D46AC">
              <w:fldChar w:fldCharType="begin">
                <w:fldData xml:space="preserve">PEVuZE5vdGU+PENpdGUgQXV0aG9yWWVhcj0iMSI+PEF1dGhvcj5NZW5jdWxpbmk8L0F1dGhvcj48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instrText xml:space="preserve"> ADDIN EN.CITE </w:instrText>
            </w:r>
            <w:r w:rsidRPr="004D46AC">
              <w:fldChar w:fldCharType="begin">
                <w:fldData xml:space="preserve">PEVuZE5vdGU+PENpdGUgQXV0aG9yWWVhcj0iMSI+PEF1dGhvcj5NZW5jdWxpbmk8L0F1dGhvcj48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instrText xml:space="preserve"> ADDIN EN.CITE.DATA </w:instrText>
            </w:r>
            <w:r w:rsidRPr="004D46AC">
              <w:fldChar w:fldCharType="end"/>
            </w:r>
            <w:r w:rsidRPr="004D46AC">
              <w:fldChar w:fldCharType="separate"/>
            </w:r>
            <w:r w:rsidRPr="004D46AC">
              <w:t>Menculini et al. (2022)</w:t>
            </w:r>
            <w:r w:rsidRPr="004D46AC">
              <w:fldChar w:fldCharType="end"/>
            </w:r>
          </w:p>
        </w:tc>
        <w:tc>
          <w:tcPr>
            <w:tcW w:w="754" w:type="dxa"/>
            <w:vAlign w:val="center"/>
          </w:tcPr>
          <w:p w14:paraId="1669761E" w14:textId="77777777" w:rsidR="009864DB" w:rsidRPr="004D46AC" w:rsidRDefault="009864DB" w:rsidP="009864DB">
            <w:pPr>
              <w:spacing w:line="240" w:lineRule="auto"/>
              <w:ind w:firstLine="0"/>
            </w:pPr>
            <w:r w:rsidRPr="004D46AC">
              <w:t>7</w:t>
            </w:r>
          </w:p>
        </w:tc>
        <w:tc>
          <w:tcPr>
            <w:tcW w:w="766" w:type="dxa"/>
            <w:vAlign w:val="center"/>
          </w:tcPr>
          <w:p w14:paraId="66E523C7" w14:textId="77777777" w:rsidR="009864DB" w:rsidRPr="004D46AC" w:rsidRDefault="009864DB" w:rsidP="009864DB">
            <w:pPr>
              <w:spacing w:line="240" w:lineRule="auto"/>
              <w:ind w:firstLine="0"/>
            </w:pPr>
            <w:r w:rsidRPr="004D46AC">
              <w:t>45.39</w:t>
            </w:r>
          </w:p>
        </w:tc>
        <w:tc>
          <w:tcPr>
            <w:tcW w:w="1096" w:type="dxa"/>
            <w:vAlign w:val="center"/>
          </w:tcPr>
          <w:p w14:paraId="7F9A830C" w14:textId="77777777" w:rsidR="009864DB" w:rsidRPr="004D46AC" w:rsidRDefault="009864DB" w:rsidP="009864DB">
            <w:pPr>
              <w:spacing w:line="240" w:lineRule="auto"/>
              <w:ind w:firstLine="0"/>
            </w:pPr>
            <w:r w:rsidRPr="004D46AC">
              <w:t>DSM5</w:t>
            </w:r>
          </w:p>
        </w:tc>
        <w:tc>
          <w:tcPr>
            <w:tcW w:w="1415" w:type="dxa"/>
            <w:vAlign w:val="center"/>
          </w:tcPr>
          <w:p w14:paraId="65A269EE" w14:textId="77777777" w:rsidR="009864DB" w:rsidRPr="004D46AC" w:rsidRDefault="009864DB" w:rsidP="009864DB">
            <w:pPr>
              <w:spacing w:line="240" w:lineRule="auto"/>
              <w:ind w:firstLine="0"/>
            </w:pPr>
            <w:r w:rsidRPr="004D46AC">
              <w:t>SCID-C</w:t>
            </w:r>
          </w:p>
        </w:tc>
        <w:tc>
          <w:tcPr>
            <w:tcW w:w="876" w:type="dxa"/>
            <w:vAlign w:val="center"/>
          </w:tcPr>
          <w:p w14:paraId="22C6B1FE" w14:textId="77777777" w:rsidR="009864DB" w:rsidRPr="004D46AC" w:rsidRDefault="009864DB" w:rsidP="009864DB">
            <w:pPr>
              <w:spacing w:line="240" w:lineRule="auto"/>
              <w:ind w:firstLine="0"/>
            </w:pPr>
            <w:r w:rsidRPr="004D46AC">
              <w:t>161</w:t>
            </w:r>
          </w:p>
        </w:tc>
        <w:tc>
          <w:tcPr>
            <w:tcW w:w="986" w:type="dxa"/>
            <w:vAlign w:val="center"/>
          </w:tcPr>
          <w:p w14:paraId="3BA731A5" w14:textId="77777777" w:rsidR="009864DB" w:rsidRPr="004D46AC" w:rsidRDefault="009864DB" w:rsidP="009864DB">
            <w:pPr>
              <w:spacing w:line="240" w:lineRule="auto"/>
              <w:ind w:firstLine="0"/>
            </w:pPr>
            <w:r w:rsidRPr="004D46AC">
              <w:t>2</w:t>
            </w:r>
          </w:p>
        </w:tc>
        <w:tc>
          <w:tcPr>
            <w:tcW w:w="751" w:type="dxa"/>
            <w:vAlign w:val="center"/>
          </w:tcPr>
          <w:p w14:paraId="18284EA7" w14:textId="77777777" w:rsidR="009864DB" w:rsidRPr="004D46AC" w:rsidRDefault="009864DB" w:rsidP="009864DB">
            <w:pPr>
              <w:spacing w:line="240" w:lineRule="auto"/>
              <w:ind w:firstLine="0"/>
            </w:pPr>
            <w:r w:rsidRPr="004D46AC">
              <w:t>1</w:t>
            </w:r>
          </w:p>
        </w:tc>
        <w:tc>
          <w:tcPr>
            <w:tcW w:w="752" w:type="dxa"/>
            <w:vAlign w:val="center"/>
          </w:tcPr>
          <w:p w14:paraId="5D5E09A0" w14:textId="77777777" w:rsidR="009864DB" w:rsidRPr="004D46AC" w:rsidRDefault="009864DB" w:rsidP="009864DB">
            <w:pPr>
              <w:spacing w:line="240" w:lineRule="auto"/>
              <w:ind w:firstLine="0"/>
            </w:pPr>
            <w:r w:rsidRPr="004D46AC">
              <w:t>2</w:t>
            </w:r>
          </w:p>
        </w:tc>
        <w:tc>
          <w:tcPr>
            <w:tcW w:w="1296" w:type="dxa"/>
          </w:tcPr>
          <w:p w14:paraId="7BA4185C" w14:textId="77777777" w:rsidR="009864DB" w:rsidRPr="004D46AC" w:rsidRDefault="009864DB" w:rsidP="009864DB">
            <w:pPr>
              <w:spacing w:line="240" w:lineRule="auto"/>
              <w:ind w:firstLine="0"/>
            </w:pPr>
            <w:r w:rsidRPr="004D46AC">
              <w:t>71</w:t>
            </w:r>
          </w:p>
        </w:tc>
        <w:tc>
          <w:tcPr>
            <w:tcW w:w="752" w:type="dxa"/>
            <w:vAlign w:val="center"/>
          </w:tcPr>
          <w:p w14:paraId="61478E6F" w14:textId="77777777" w:rsidR="009864DB" w:rsidRPr="004D46AC" w:rsidRDefault="009864DB" w:rsidP="009864DB">
            <w:pPr>
              <w:spacing w:line="240" w:lineRule="auto"/>
              <w:ind w:firstLine="0"/>
            </w:pPr>
            <w:r w:rsidRPr="004D46AC">
              <w:t>NA</w:t>
            </w:r>
          </w:p>
        </w:tc>
        <w:tc>
          <w:tcPr>
            <w:tcW w:w="789" w:type="dxa"/>
            <w:gridSpan w:val="2"/>
            <w:vAlign w:val="center"/>
          </w:tcPr>
          <w:p w14:paraId="113032D6" w14:textId="77777777" w:rsidR="009864DB" w:rsidRPr="004D46AC" w:rsidRDefault="009864DB" w:rsidP="009864DB">
            <w:pPr>
              <w:spacing w:line="240" w:lineRule="auto"/>
              <w:ind w:firstLine="0"/>
            </w:pPr>
            <w:r w:rsidRPr="004D46AC">
              <w:t>NA</w:t>
            </w:r>
          </w:p>
        </w:tc>
      </w:tr>
      <w:tr w:rsidR="009864DB" w:rsidRPr="004D46AC" w14:paraId="4C4BF679" w14:textId="77777777" w:rsidTr="00B518F1">
        <w:tc>
          <w:tcPr>
            <w:tcW w:w="1476" w:type="dxa"/>
          </w:tcPr>
          <w:p w14:paraId="013E2A2F" w14:textId="77777777" w:rsidR="009864DB" w:rsidRPr="004D46AC" w:rsidRDefault="009864DB" w:rsidP="009864DB">
            <w:pPr>
              <w:spacing w:line="240" w:lineRule="auto"/>
              <w:ind w:firstLine="0"/>
            </w:pPr>
            <w:r w:rsidRPr="004D46AC">
              <w:fldChar w:fldCharType="begin">
                <w:fldData xml:space="preserve">PEVuZE5vdGU+PENpdGUgQXV0aG9yWWVhcj0iMSI+PEF1dGhvcj5IaXJzY2hmZWxkPC9BdXRob3I+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</w:fldData>
              </w:fldChar>
            </w:r>
            <w:r w:rsidRPr="004D46AC">
              <w:instrText xml:space="preserve"> ADDIN EN.CITE </w:instrText>
            </w:r>
            <w:r w:rsidRPr="004D46AC">
              <w:fldChar w:fldCharType="begin">
                <w:fldData xml:space="preserve">PEVuZE5vdGU+PENpdGUgQXV0aG9yWWVhcj0iMSI+PEF1dGhvcj5IaXJzY2hmZWxkPC9BdXRob3I+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</w:fldData>
              </w:fldChar>
            </w:r>
            <w:r w:rsidRPr="004D46AC">
              <w:instrText xml:space="preserve"> ADDIN EN.CITE.DATA </w:instrText>
            </w:r>
            <w:r w:rsidRPr="004D46AC">
              <w:fldChar w:fldCharType="end"/>
            </w:r>
            <w:r w:rsidRPr="004D46AC">
              <w:fldChar w:fldCharType="separate"/>
            </w:r>
            <w:r w:rsidRPr="004D46AC">
              <w:t>Hirschfeld et al. (2004)</w:t>
            </w:r>
            <w:r w:rsidRPr="004D46AC">
              <w:fldChar w:fldCharType="end"/>
            </w:r>
          </w:p>
        </w:tc>
        <w:tc>
          <w:tcPr>
            <w:tcW w:w="754" w:type="dxa"/>
            <w:vAlign w:val="center"/>
          </w:tcPr>
          <w:p w14:paraId="48E4FED4" w14:textId="77777777" w:rsidR="009864DB" w:rsidRPr="004D46AC" w:rsidRDefault="009864DB" w:rsidP="009864DB">
            <w:pPr>
              <w:spacing w:line="240" w:lineRule="auto"/>
              <w:ind w:firstLine="0"/>
            </w:pPr>
            <w:r w:rsidRPr="004D46AC">
              <w:t>4</w:t>
            </w:r>
          </w:p>
        </w:tc>
        <w:tc>
          <w:tcPr>
            <w:tcW w:w="766" w:type="dxa"/>
            <w:vAlign w:val="center"/>
          </w:tcPr>
          <w:p w14:paraId="1410E15F" w14:textId="77777777" w:rsidR="009864DB" w:rsidRPr="004D46AC" w:rsidRDefault="009864DB" w:rsidP="009864DB">
            <w:pPr>
              <w:spacing w:line="240" w:lineRule="auto"/>
              <w:ind w:firstLine="0"/>
            </w:pPr>
            <w:r w:rsidRPr="004D46AC">
              <w:t>38.78</w:t>
            </w:r>
          </w:p>
        </w:tc>
        <w:tc>
          <w:tcPr>
            <w:tcW w:w="1096" w:type="dxa"/>
            <w:vAlign w:val="center"/>
          </w:tcPr>
          <w:p w14:paraId="66A2B647" w14:textId="77777777" w:rsidR="009864DB" w:rsidRPr="004D46AC" w:rsidRDefault="009864DB" w:rsidP="009864DB">
            <w:pPr>
              <w:spacing w:line="240" w:lineRule="auto"/>
              <w:ind w:firstLine="0"/>
            </w:pPr>
            <w:r w:rsidRPr="004D46AC">
              <w:t>DSM4</w:t>
            </w:r>
          </w:p>
        </w:tc>
        <w:tc>
          <w:tcPr>
            <w:tcW w:w="1415" w:type="dxa"/>
            <w:vAlign w:val="center"/>
          </w:tcPr>
          <w:p w14:paraId="0B37A78D" w14:textId="77777777" w:rsidR="009864DB" w:rsidRPr="004D46AC" w:rsidRDefault="009864DB" w:rsidP="009864DB">
            <w:pPr>
              <w:spacing w:line="240" w:lineRule="auto"/>
              <w:ind w:firstLine="0"/>
            </w:pPr>
            <w:r w:rsidRPr="004D46AC">
              <w:t>SCID</w:t>
            </w:r>
          </w:p>
        </w:tc>
        <w:tc>
          <w:tcPr>
            <w:tcW w:w="876" w:type="dxa"/>
            <w:vAlign w:val="center"/>
          </w:tcPr>
          <w:p w14:paraId="712372F5" w14:textId="77777777" w:rsidR="009864DB" w:rsidRPr="004D46AC" w:rsidRDefault="009864DB" w:rsidP="009864DB">
            <w:pPr>
              <w:spacing w:line="240" w:lineRule="auto"/>
              <w:ind w:firstLine="0"/>
            </w:pPr>
            <w:r w:rsidRPr="004D46AC">
              <w:t>259</w:t>
            </w:r>
          </w:p>
        </w:tc>
        <w:tc>
          <w:tcPr>
            <w:tcW w:w="986" w:type="dxa"/>
            <w:vAlign w:val="center"/>
          </w:tcPr>
          <w:p w14:paraId="77FE1DAE" w14:textId="77777777" w:rsidR="009864DB" w:rsidRPr="004D46AC" w:rsidRDefault="009864DB" w:rsidP="009864DB">
            <w:pPr>
              <w:spacing w:line="240" w:lineRule="auto"/>
              <w:ind w:firstLine="0"/>
            </w:pPr>
            <w:r w:rsidRPr="004D46AC">
              <w:t>3</w:t>
            </w:r>
          </w:p>
        </w:tc>
        <w:tc>
          <w:tcPr>
            <w:tcW w:w="751" w:type="dxa"/>
            <w:vAlign w:val="center"/>
          </w:tcPr>
          <w:p w14:paraId="6AC5A600" w14:textId="77777777" w:rsidR="009864DB" w:rsidRPr="004D46AC" w:rsidRDefault="009864DB" w:rsidP="009864DB">
            <w:pPr>
              <w:spacing w:line="240" w:lineRule="auto"/>
              <w:ind w:firstLine="0"/>
            </w:pPr>
            <w:r w:rsidRPr="004D46AC">
              <w:t>2</w:t>
            </w:r>
          </w:p>
        </w:tc>
        <w:tc>
          <w:tcPr>
            <w:tcW w:w="752" w:type="dxa"/>
            <w:vAlign w:val="center"/>
          </w:tcPr>
          <w:p w14:paraId="3B7E4FB4" w14:textId="77777777" w:rsidR="009864DB" w:rsidRPr="004D46AC" w:rsidRDefault="009864DB" w:rsidP="009864DB">
            <w:pPr>
              <w:spacing w:line="240" w:lineRule="auto"/>
              <w:ind w:firstLine="0"/>
            </w:pPr>
            <w:r w:rsidRPr="004D46AC">
              <w:t>0</w:t>
            </w:r>
          </w:p>
        </w:tc>
        <w:tc>
          <w:tcPr>
            <w:tcW w:w="1296" w:type="dxa"/>
          </w:tcPr>
          <w:p w14:paraId="77C4700C" w14:textId="77777777" w:rsidR="009864DB" w:rsidRPr="004D46AC" w:rsidRDefault="009864DB" w:rsidP="009864DB">
            <w:pPr>
              <w:spacing w:line="240" w:lineRule="auto"/>
              <w:ind w:firstLine="0"/>
            </w:pPr>
            <w:r w:rsidRPr="004D46AC">
              <w:t>110</w:t>
            </w:r>
          </w:p>
        </w:tc>
        <w:tc>
          <w:tcPr>
            <w:tcW w:w="752" w:type="dxa"/>
            <w:vAlign w:val="center"/>
          </w:tcPr>
          <w:p w14:paraId="460B7D63" w14:textId="77777777" w:rsidR="009864DB" w:rsidRPr="004D46AC" w:rsidRDefault="009864DB" w:rsidP="009864DB">
            <w:pPr>
              <w:spacing w:line="240" w:lineRule="auto"/>
              <w:ind w:firstLine="0"/>
            </w:pPr>
            <w:r w:rsidRPr="004D46AC">
              <w:t>NA</w:t>
            </w:r>
          </w:p>
        </w:tc>
        <w:tc>
          <w:tcPr>
            <w:tcW w:w="789" w:type="dxa"/>
            <w:gridSpan w:val="2"/>
            <w:vAlign w:val="center"/>
          </w:tcPr>
          <w:p w14:paraId="41D610B6" w14:textId="77777777" w:rsidR="009864DB" w:rsidRPr="004D46AC" w:rsidRDefault="009864DB" w:rsidP="009864DB">
            <w:pPr>
              <w:spacing w:line="240" w:lineRule="auto"/>
              <w:ind w:firstLine="0"/>
            </w:pPr>
            <w:r w:rsidRPr="004D46AC">
              <w:t>NA</w:t>
            </w:r>
          </w:p>
        </w:tc>
      </w:tr>
      <w:tr w:rsidR="009864DB" w:rsidRPr="004D46AC" w14:paraId="1BDA8DA1" w14:textId="77777777" w:rsidTr="00B518F1">
        <w:tc>
          <w:tcPr>
            <w:tcW w:w="1476" w:type="dxa"/>
          </w:tcPr>
          <w:p w14:paraId="193B706D"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AuthorYear="1"&gt;&lt;Author&gt;Khanna&lt;/Author&gt;&lt;Year&gt;2005&lt;/Year&gt;&lt;RecNum&gt;141&lt;/RecNum&gt;&lt;DisplayText&gt;Khanna et al. (2005)&lt;/DisplayText&gt;&lt;record&gt;&lt;rec-number&gt;141&lt;/rec-number&gt;&lt;foreign-keys&gt;&lt;key app="EN" db-id="aet009sstawa0hewvt3xwf5atffdw2dt02sw" timestamp="1665647908"&gt;141&lt;/key&gt;&lt;/foreign-keys&gt;&lt;ref-type name="Journal Article"&gt;17&lt;/ref-type&gt;&lt;contributors&gt;&lt;authors&gt;&lt;author&gt;Khanna, S.&lt;/author&gt;&lt;author&gt;Vieta, E.&lt;/author&gt;&lt;author&gt;Lyons, B.&lt;/author&gt;&lt;author&gt;Grossman, F.&lt;/author&gt;&lt;author&gt;Eerdekens, M.&lt;/author&gt;&lt;author&gt;Kramer, M.&lt;/author&gt;&lt;/authors&gt;&lt;/contributors&gt;&lt;auth-address&gt;The Psychiatric Clinic, Vasant Vihar, New Delhi, India. sumantk_2002@yahoo.co.in&lt;/auth-address&gt;&lt;titles&gt;&lt;title&gt;Risperidone in the treatment of acute mania: double-blind, placebo-controlled study&lt;/title&gt;&lt;secondary-title&gt;Br J Psychiatry&lt;/secondary-title&gt;&lt;/titles&gt;&lt;periodical&gt;&lt;full-title&gt;Br J Psychiatry&lt;/full-title&gt;&lt;/periodical&gt;&lt;pages&gt;229-34&lt;/pages&gt;&lt;volume&gt;187&lt;/volume&gt;&lt;keywords&gt;&lt;keyword&gt;Acute Disease&lt;/keyword&gt;&lt;keyword&gt;Adult&lt;/keyword&gt;&lt;keyword&gt;Antipsychotic Agents/adverse effects/*therapeutic use&lt;/keyword&gt;&lt;keyword&gt;Bipolar Disorder/*drug therapy&lt;/keyword&gt;&lt;keyword&gt;Double-Blind Method&lt;/keyword&gt;&lt;keyword&gt;Female&lt;/keyword&gt;&lt;keyword&gt;Humans&lt;/keyword&gt;&lt;keyword&gt;Male&lt;/keyword&gt;&lt;keyword&gt;Psychiatric Status Rating Scales&lt;/keyword&gt;&lt;keyword&gt;Risperidone/adverse effects/*therapeutic use&lt;/keyword&gt;&lt;keyword&gt;Treatment Outcome&lt;/keyword&gt;&lt;/keywords&gt;&lt;dates&gt;&lt;year&gt;2005&lt;/year&gt;&lt;pub-dates&gt;&lt;date&gt;Sep&lt;/date&gt;&lt;/pub-dates&gt;&lt;/dates&gt;&lt;isbn&gt;0007-1250 (Print)&amp;#xD;0007-1250 (Linking)&lt;/isbn&gt;&lt;accession-num&gt;16135859&lt;/accession-num&gt;&lt;urls&gt;&lt;related-urls&gt;&lt;url&gt;https://www.ncbi.nlm.nih.gov/pubmed/16135859&lt;/url&gt;&lt;/related-urls&gt;&lt;/urls&gt;&lt;electronic-resource-num&gt;10.1192/bjp.187.3.229&lt;/electronic-resource-num&gt;&lt;remote-database-name&gt;Medline&lt;/remote-database-name&gt;&lt;remote-database-provider&gt;NLM&lt;/remote-database-provider&gt;&lt;language&gt;eng&lt;/language&gt;&lt;/record&gt;&lt;/Cite&gt;&lt;/EndNote&gt;</w:instrText>
            </w:r>
            <w:r w:rsidRPr="004D46AC">
              <w:fldChar w:fldCharType="separate"/>
            </w:r>
            <w:r w:rsidRPr="004D46AC">
              <w:t>Khanna et al. (2005)</w:t>
            </w:r>
            <w:r w:rsidRPr="004D46AC">
              <w:fldChar w:fldCharType="end"/>
            </w:r>
          </w:p>
        </w:tc>
        <w:tc>
          <w:tcPr>
            <w:tcW w:w="754" w:type="dxa"/>
            <w:vAlign w:val="center"/>
          </w:tcPr>
          <w:p w14:paraId="1854D1BA" w14:textId="77777777" w:rsidR="009864DB" w:rsidRPr="004D46AC" w:rsidRDefault="009864DB" w:rsidP="009864DB">
            <w:pPr>
              <w:spacing w:line="240" w:lineRule="auto"/>
              <w:ind w:firstLine="0"/>
            </w:pPr>
            <w:r w:rsidRPr="004D46AC">
              <w:t>4</w:t>
            </w:r>
          </w:p>
        </w:tc>
        <w:tc>
          <w:tcPr>
            <w:tcW w:w="766" w:type="dxa"/>
            <w:vAlign w:val="center"/>
          </w:tcPr>
          <w:p w14:paraId="08FE9508" w14:textId="77777777" w:rsidR="009864DB" w:rsidRPr="004D46AC" w:rsidRDefault="009864DB" w:rsidP="009864DB">
            <w:pPr>
              <w:spacing w:line="240" w:lineRule="auto"/>
              <w:ind w:firstLine="0"/>
            </w:pPr>
            <w:r w:rsidRPr="004D46AC">
              <w:t>35.1</w:t>
            </w:r>
          </w:p>
        </w:tc>
        <w:tc>
          <w:tcPr>
            <w:tcW w:w="1096" w:type="dxa"/>
            <w:vAlign w:val="center"/>
          </w:tcPr>
          <w:p w14:paraId="29A7F9D2" w14:textId="77777777" w:rsidR="009864DB" w:rsidRPr="004D46AC" w:rsidRDefault="009864DB" w:rsidP="009864DB">
            <w:pPr>
              <w:spacing w:line="240" w:lineRule="auto"/>
              <w:ind w:firstLine="0"/>
            </w:pPr>
            <w:r w:rsidRPr="004D46AC">
              <w:t>DSM4</w:t>
            </w:r>
          </w:p>
        </w:tc>
        <w:tc>
          <w:tcPr>
            <w:tcW w:w="1415" w:type="dxa"/>
            <w:vAlign w:val="center"/>
          </w:tcPr>
          <w:p w14:paraId="2C27C3AF" w14:textId="77777777" w:rsidR="009864DB" w:rsidRPr="004D46AC" w:rsidRDefault="009864DB" w:rsidP="009864DB">
            <w:pPr>
              <w:spacing w:line="240" w:lineRule="auto"/>
              <w:ind w:firstLine="0"/>
            </w:pPr>
            <w:r w:rsidRPr="004D46AC">
              <w:t>unclear</w:t>
            </w:r>
          </w:p>
        </w:tc>
        <w:tc>
          <w:tcPr>
            <w:tcW w:w="876" w:type="dxa"/>
            <w:vAlign w:val="center"/>
          </w:tcPr>
          <w:p w14:paraId="0C8AD49D" w14:textId="77777777" w:rsidR="009864DB" w:rsidRPr="004D46AC" w:rsidRDefault="009864DB" w:rsidP="009864DB">
            <w:pPr>
              <w:spacing w:line="240" w:lineRule="auto"/>
              <w:ind w:firstLine="0"/>
            </w:pPr>
            <w:r w:rsidRPr="004D46AC">
              <w:t>290</w:t>
            </w:r>
          </w:p>
        </w:tc>
        <w:tc>
          <w:tcPr>
            <w:tcW w:w="986" w:type="dxa"/>
            <w:vAlign w:val="center"/>
          </w:tcPr>
          <w:p w14:paraId="450B3BD0" w14:textId="77777777" w:rsidR="009864DB" w:rsidRPr="004D46AC" w:rsidRDefault="009864DB" w:rsidP="009864DB">
            <w:pPr>
              <w:spacing w:line="240" w:lineRule="auto"/>
              <w:ind w:firstLine="0"/>
            </w:pPr>
            <w:r w:rsidRPr="004D46AC">
              <w:t>3</w:t>
            </w:r>
          </w:p>
        </w:tc>
        <w:tc>
          <w:tcPr>
            <w:tcW w:w="751" w:type="dxa"/>
            <w:vAlign w:val="center"/>
          </w:tcPr>
          <w:p w14:paraId="5B027DEB" w14:textId="77777777" w:rsidR="009864DB" w:rsidRPr="004D46AC" w:rsidRDefault="009864DB" w:rsidP="009864DB">
            <w:pPr>
              <w:spacing w:line="240" w:lineRule="auto"/>
              <w:ind w:firstLine="0"/>
            </w:pPr>
            <w:r w:rsidRPr="004D46AC">
              <w:t>2</w:t>
            </w:r>
          </w:p>
        </w:tc>
        <w:tc>
          <w:tcPr>
            <w:tcW w:w="752" w:type="dxa"/>
            <w:vAlign w:val="center"/>
          </w:tcPr>
          <w:p w14:paraId="09A574AB" w14:textId="77777777" w:rsidR="009864DB" w:rsidRPr="004D46AC" w:rsidRDefault="009864DB" w:rsidP="009864DB">
            <w:pPr>
              <w:spacing w:line="240" w:lineRule="auto"/>
              <w:ind w:firstLine="0"/>
            </w:pPr>
            <w:r w:rsidRPr="004D46AC">
              <w:t>0</w:t>
            </w:r>
          </w:p>
        </w:tc>
        <w:tc>
          <w:tcPr>
            <w:tcW w:w="1296" w:type="dxa"/>
          </w:tcPr>
          <w:p w14:paraId="2B7984DC" w14:textId="77777777" w:rsidR="009864DB" w:rsidRPr="004D46AC" w:rsidRDefault="009864DB" w:rsidP="009864DB">
            <w:pPr>
              <w:spacing w:line="240" w:lineRule="auto"/>
              <w:ind w:firstLine="0"/>
            </w:pPr>
            <w:r w:rsidRPr="004D46AC">
              <w:t>118</w:t>
            </w:r>
          </w:p>
        </w:tc>
        <w:tc>
          <w:tcPr>
            <w:tcW w:w="752" w:type="dxa"/>
            <w:vAlign w:val="center"/>
          </w:tcPr>
          <w:p w14:paraId="6FEAC35C" w14:textId="77777777" w:rsidR="009864DB" w:rsidRPr="004D46AC" w:rsidRDefault="009864DB" w:rsidP="009864DB">
            <w:pPr>
              <w:spacing w:line="240" w:lineRule="auto"/>
              <w:ind w:firstLine="0"/>
            </w:pPr>
            <w:r w:rsidRPr="004D46AC">
              <w:t>NA</w:t>
            </w:r>
          </w:p>
        </w:tc>
        <w:tc>
          <w:tcPr>
            <w:tcW w:w="789" w:type="dxa"/>
            <w:gridSpan w:val="2"/>
            <w:vAlign w:val="center"/>
          </w:tcPr>
          <w:p w14:paraId="1C559FA7" w14:textId="77777777" w:rsidR="009864DB" w:rsidRPr="004D46AC" w:rsidRDefault="009864DB" w:rsidP="009864DB">
            <w:pPr>
              <w:spacing w:line="240" w:lineRule="auto"/>
              <w:ind w:firstLine="0"/>
            </w:pPr>
            <w:r w:rsidRPr="004D46AC">
              <w:t>NA</w:t>
            </w:r>
          </w:p>
        </w:tc>
      </w:tr>
      <w:tr w:rsidR="009864DB" w:rsidRPr="004D46AC" w14:paraId="7AC079C3" w14:textId="77777777" w:rsidTr="00B518F1">
        <w:tc>
          <w:tcPr>
            <w:tcW w:w="1476" w:type="dxa"/>
          </w:tcPr>
          <w:p w14:paraId="2A7829AA" w14:textId="77777777" w:rsidR="009864DB" w:rsidRPr="004D46AC" w:rsidRDefault="009864DB" w:rsidP="009864DB">
            <w:pPr>
              <w:spacing w:line="240" w:lineRule="auto"/>
              <w:ind w:firstLine="0"/>
            </w:pPr>
            <w:r w:rsidRPr="004D46AC">
              <w:fldChar w:fldCharType="begin">
                <w:fldData xml:space="preserve">PEVuZE5vdGU+PENpdGUgQXV0aG9yWWVhcj0iMSI+PEF1dGhvcj52YW4gZGVyIFdlcmYtRWxkZXJp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instrText xml:space="preserve"> ADDIN EN.CITE </w:instrText>
            </w:r>
            <w:r w:rsidRPr="004D46AC">
              <w:fldChar w:fldCharType="begin">
                <w:fldData xml:space="preserve">PEVuZE5vdGU+PENpdGUgQXV0aG9yWWVhcj0iMSI+PEF1dGhvcj52YW4gZGVyIFdlcmYtRWxkZXJp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van der Werf-Eldering et al. (2011)</w:t>
            </w:r>
            <w:r w:rsidRPr="004D46AC">
              <w:fldChar w:fldCharType="end"/>
            </w:r>
          </w:p>
        </w:tc>
        <w:tc>
          <w:tcPr>
            <w:tcW w:w="754" w:type="dxa"/>
            <w:vAlign w:val="center"/>
          </w:tcPr>
          <w:p w14:paraId="5EE31FDE" w14:textId="77777777" w:rsidR="009864DB" w:rsidRPr="004D46AC" w:rsidRDefault="009864DB" w:rsidP="009864DB">
            <w:pPr>
              <w:spacing w:line="240" w:lineRule="auto"/>
              <w:ind w:firstLine="0"/>
            </w:pPr>
            <w:r w:rsidRPr="004D46AC">
              <w:t>5</w:t>
            </w:r>
          </w:p>
        </w:tc>
        <w:tc>
          <w:tcPr>
            <w:tcW w:w="766" w:type="dxa"/>
            <w:vAlign w:val="center"/>
          </w:tcPr>
          <w:p w14:paraId="4A4A81EE" w14:textId="77777777" w:rsidR="009864DB" w:rsidRPr="004D46AC" w:rsidRDefault="009864DB" w:rsidP="009864DB">
            <w:pPr>
              <w:spacing w:line="240" w:lineRule="auto"/>
              <w:ind w:firstLine="0"/>
            </w:pPr>
            <w:r w:rsidRPr="004D46AC">
              <w:t>45.5</w:t>
            </w:r>
          </w:p>
        </w:tc>
        <w:tc>
          <w:tcPr>
            <w:tcW w:w="1096" w:type="dxa"/>
            <w:vAlign w:val="center"/>
          </w:tcPr>
          <w:p w14:paraId="27677216" w14:textId="77777777" w:rsidR="009864DB" w:rsidRPr="004D46AC" w:rsidRDefault="009864DB" w:rsidP="009864DB">
            <w:pPr>
              <w:spacing w:line="240" w:lineRule="auto"/>
              <w:ind w:firstLine="0"/>
            </w:pPr>
            <w:r w:rsidRPr="004D46AC">
              <w:t>DSM4</w:t>
            </w:r>
          </w:p>
        </w:tc>
        <w:tc>
          <w:tcPr>
            <w:tcW w:w="1415" w:type="dxa"/>
            <w:vAlign w:val="center"/>
          </w:tcPr>
          <w:p w14:paraId="46907BAD" w14:textId="77777777" w:rsidR="009864DB" w:rsidRPr="004D46AC" w:rsidRDefault="009864DB" w:rsidP="009864DB">
            <w:pPr>
              <w:spacing w:line="240" w:lineRule="auto"/>
              <w:ind w:firstLine="0"/>
            </w:pPr>
            <w:r w:rsidRPr="004D46AC">
              <w:t>PANSS</w:t>
            </w:r>
          </w:p>
        </w:tc>
        <w:tc>
          <w:tcPr>
            <w:tcW w:w="876" w:type="dxa"/>
            <w:vAlign w:val="center"/>
          </w:tcPr>
          <w:p w14:paraId="2FE572D7" w14:textId="77777777" w:rsidR="009864DB" w:rsidRPr="004D46AC" w:rsidRDefault="009864DB" w:rsidP="009864DB">
            <w:pPr>
              <w:spacing w:line="240" w:lineRule="auto"/>
              <w:ind w:firstLine="0"/>
            </w:pPr>
            <w:r w:rsidRPr="004D46AC">
              <w:t>85</w:t>
            </w:r>
          </w:p>
        </w:tc>
        <w:tc>
          <w:tcPr>
            <w:tcW w:w="986" w:type="dxa"/>
            <w:vAlign w:val="center"/>
          </w:tcPr>
          <w:p w14:paraId="10737787" w14:textId="77777777" w:rsidR="009864DB" w:rsidRPr="004D46AC" w:rsidRDefault="009864DB" w:rsidP="009864DB">
            <w:pPr>
              <w:spacing w:line="240" w:lineRule="auto"/>
              <w:ind w:firstLine="0"/>
            </w:pPr>
            <w:r w:rsidRPr="004D46AC">
              <w:t>unclear</w:t>
            </w:r>
          </w:p>
        </w:tc>
        <w:tc>
          <w:tcPr>
            <w:tcW w:w="751" w:type="dxa"/>
            <w:vAlign w:val="center"/>
          </w:tcPr>
          <w:p w14:paraId="38BD2C38" w14:textId="77777777" w:rsidR="009864DB" w:rsidRPr="004D46AC" w:rsidRDefault="009864DB" w:rsidP="009864DB">
            <w:pPr>
              <w:spacing w:line="240" w:lineRule="auto"/>
              <w:ind w:firstLine="0"/>
            </w:pPr>
            <w:r w:rsidRPr="004D46AC">
              <w:t>1</w:t>
            </w:r>
          </w:p>
        </w:tc>
        <w:tc>
          <w:tcPr>
            <w:tcW w:w="752" w:type="dxa"/>
            <w:vAlign w:val="center"/>
          </w:tcPr>
          <w:p w14:paraId="4C562055" w14:textId="77777777" w:rsidR="009864DB" w:rsidRPr="004D46AC" w:rsidRDefault="009864DB" w:rsidP="009864DB">
            <w:pPr>
              <w:spacing w:line="240" w:lineRule="auto"/>
              <w:ind w:firstLine="0"/>
            </w:pPr>
            <w:r w:rsidRPr="004D46AC">
              <w:t>2</w:t>
            </w:r>
          </w:p>
        </w:tc>
        <w:tc>
          <w:tcPr>
            <w:tcW w:w="1296" w:type="dxa"/>
          </w:tcPr>
          <w:p w14:paraId="1F233B5E" w14:textId="77777777" w:rsidR="009864DB" w:rsidRPr="004D46AC" w:rsidRDefault="009864DB" w:rsidP="009864DB">
            <w:pPr>
              <w:spacing w:line="240" w:lineRule="auto"/>
              <w:ind w:firstLine="0"/>
            </w:pPr>
            <w:r w:rsidRPr="004D46AC">
              <w:t>36</w:t>
            </w:r>
          </w:p>
        </w:tc>
        <w:tc>
          <w:tcPr>
            <w:tcW w:w="752" w:type="dxa"/>
            <w:vAlign w:val="center"/>
          </w:tcPr>
          <w:p w14:paraId="25A93A80" w14:textId="77777777" w:rsidR="009864DB" w:rsidRPr="004D46AC" w:rsidRDefault="009864DB" w:rsidP="009864DB">
            <w:pPr>
              <w:spacing w:line="240" w:lineRule="auto"/>
              <w:ind w:firstLine="0"/>
            </w:pPr>
            <w:r w:rsidRPr="004D46AC">
              <w:t>NA</w:t>
            </w:r>
          </w:p>
        </w:tc>
        <w:tc>
          <w:tcPr>
            <w:tcW w:w="789" w:type="dxa"/>
            <w:gridSpan w:val="2"/>
            <w:vAlign w:val="center"/>
          </w:tcPr>
          <w:p w14:paraId="68360090" w14:textId="77777777" w:rsidR="009864DB" w:rsidRPr="004D46AC" w:rsidRDefault="009864DB" w:rsidP="009864DB">
            <w:pPr>
              <w:spacing w:line="240" w:lineRule="auto"/>
              <w:ind w:firstLine="0"/>
            </w:pPr>
            <w:r w:rsidRPr="004D46AC">
              <w:t>NA</w:t>
            </w:r>
          </w:p>
        </w:tc>
      </w:tr>
      <w:tr w:rsidR="009864DB" w:rsidRPr="004D46AC" w14:paraId="121E0443" w14:textId="77777777" w:rsidTr="00B518F1">
        <w:tc>
          <w:tcPr>
            <w:tcW w:w="1476" w:type="dxa"/>
          </w:tcPr>
          <w:p w14:paraId="450C2BCB" w14:textId="77777777" w:rsidR="009864DB" w:rsidRPr="004D46AC" w:rsidRDefault="009864DB" w:rsidP="009864DB">
            <w:pPr>
              <w:spacing w:line="240" w:lineRule="auto"/>
              <w:ind w:firstLine="0"/>
            </w:pPr>
            <w:r w:rsidRPr="004D46AC">
              <w:fldChar w:fldCharType="begin">
                <w:fldData xml:space="preserve">PEVuZE5vdGU+PENpdGUgQXV0aG9yWWVhcj0iMSI+PEF1dGhvcj5CZXJrb2w8L0F1dGhvcj48WWVh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</w:fldData>
              </w:fldChar>
            </w:r>
            <w:r w:rsidRPr="004D46AC">
              <w:instrText xml:space="preserve"> ADDIN EN.CITE </w:instrText>
            </w:r>
            <w:r w:rsidRPr="004D46AC">
              <w:fldChar w:fldCharType="begin">
                <w:fldData xml:space="preserve">PEVuZE5vdGU+PENpdGUgQXV0aG9yWWVhcj0iMSI+PEF1dGhvcj5CZXJrb2w8L0F1dGhvcj48WWVh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</w:fldData>
              </w:fldChar>
            </w:r>
            <w:r w:rsidRPr="004D46AC">
              <w:instrText xml:space="preserve"> ADDIN EN.CITE.DATA </w:instrText>
            </w:r>
            <w:r w:rsidRPr="004D46AC">
              <w:fldChar w:fldCharType="end"/>
            </w:r>
            <w:r w:rsidRPr="004D46AC">
              <w:fldChar w:fldCharType="separate"/>
            </w:r>
            <w:r w:rsidRPr="004D46AC">
              <w:t>Berkol et al. (2016)</w:t>
            </w:r>
            <w:r w:rsidRPr="004D46AC">
              <w:fldChar w:fldCharType="end"/>
            </w:r>
          </w:p>
        </w:tc>
        <w:tc>
          <w:tcPr>
            <w:tcW w:w="754" w:type="dxa"/>
            <w:vAlign w:val="center"/>
          </w:tcPr>
          <w:p w14:paraId="7EF8F19E" w14:textId="77777777" w:rsidR="009864DB" w:rsidRPr="004D46AC" w:rsidRDefault="009864DB" w:rsidP="009864DB">
            <w:pPr>
              <w:spacing w:line="240" w:lineRule="auto"/>
              <w:ind w:firstLine="0"/>
            </w:pPr>
            <w:r w:rsidRPr="004D46AC">
              <w:t>5</w:t>
            </w:r>
          </w:p>
        </w:tc>
        <w:tc>
          <w:tcPr>
            <w:tcW w:w="766" w:type="dxa"/>
            <w:vAlign w:val="center"/>
          </w:tcPr>
          <w:p w14:paraId="2F5A49AA" w14:textId="77777777" w:rsidR="009864DB" w:rsidRPr="004D46AC" w:rsidRDefault="009864DB" w:rsidP="009864DB">
            <w:pPr>
              <w:spacing w:line="240" w:lineRule="auto"/>
              <w:ind w:firstLine="0"/>
            </w:pPr>
            <w:r w:rsidRPr="004D46AC">
              <w:t>40.8</w:t>
            </w:r>
          </w:p>
        </w:tc>
        <w:tc>
          <w:tcPr>
            <w:tcW w:w="1096" w:type="dxa"/>
            <w:vAlign w:val="center"/>
          </w:tcPr>
          <w:p w14:paraId="35C8BDA0" w14:textId="77777777" w:rsidR="009864DB" w:rsidRPr="004D46AC" w:rsidRDefault="009864DB" w:rsidP="009864DB">
            <w:pPr>
              <w:spacing w:line="240" w:lineRule="auto"/>
              <w:ind w:firstLine="0"/>
            </w:pPr>
            <w:r w:rsidRPr="004D46AC">
              <w:t>DSM4</w:t>
            </w:r>
          </w:p>
        </w:tc>
        <w:tc>
          <w:tcPr>
            <w:tcW w:w="1415" w:type="dxa"/>
            <w:vAlign w:val="center"/>
          </w:tcPr>
          <w:p w14:paraId="711F65CF" w14:textId="77777777" w:rsidR="009864DB" w:rsidRPr="004D46AC" w:rsidRDefault="009864DB" w:rsidP="009864DB">
            <w:pPr>
              <w:spacing w:line="240" w:lineRule="auto"/>
              <w:ind w:firstLine="0"/>
            </w:pPr>
            <w:r w:rsidRPr="004D46AC">
              <w:t>SCID</w:t>
            </w:r>
          </w:p>
        </w:tc>
        <w:tc>
          <w:tcPr>
            <w:tcW w:w="876" w:type="dxa"/>
            <w:vAlign w:val="center"/>
          </w:tcPr>
          <w:p w14:paraId="5C91A95D" w14:textId="77777777" w:rsidR="009864DB" w:rsidRPr="004D46AC" w:rsidRDefault="009864DB" w:rsidP="009864DB">
            <w:pPr>
              <w:spacing w:line="240" w:lineRule="auto"/>
              <w:ind w:firstLine="0"/>
            </w:pPr>
            <w:r w:rsidRPr="004D46AC">
              <w:t>200</w:t>
            </w:r>
          </w:p>
        </w:tc>
        <w:tc>
          <w:tcPr>
            <w:tcW w:w="986" w:type="dxa"/>
            <w:vAlign w:val="center"/>
          </w:tcPr>
          <w:p w14:paraId="5B1B35AB" w14:textId="77777777" w:rsidR="009864DB" w:rsidRPr="004D46AC" w:rsidRDefault="009864DB" w:rsidP="009864DB">
            <w:pPr>
              <w:spacing w:line="240" w:lineRule="auto"/>
              <w:ind w:firstLine="0"/>
            </w:pPr>
            <w:r w:rsidRPr="004D46AC">
              <w:t>1</w:t>
            </w:r>
          </w:p>
        </w:tc>
        <w:tc>
          <w:tcPr>
            <w:tcW w:w="751" w:type="dxa"/>
            <w:vAlign w:val="center"/>
          </w:tcPr>
          <w:p w14:paraId="3DE6B5A4" w14:textId="77777777" w:rsidR="009864DB" w:rsidRPr="004D46AC" w:rsidRDefault="009864DB" w:rsidP="009864DB">
            <w:pPr>
              <w:spacing w:line="240" w:lineRule="auto"/>
              <w:ind w:firstLine="0"/>
            </w:pPr>
            <w:r w:rsidRPr="004D46AC">
              <w:t>1</w:t>
            </w:r>
          </w:p>
        </w:tc>
        <w:tc>
          <w:tcPr>
            <w:tcW w:w="752" w:type="dxa"/>
            <w:vAlign w:val="center"/>
          </w:tcPr>
          <w:p w14:paraId="56D32A38" w14:textId="77777777" w:rsidR="009864DB" w:rsidRPr="004D46AC" w:rsidRDefault="009864DB" w:rsidP="009864DB">
            <w:pPr>
              <w:spacing w:line="240" w:lineRule="auto"/>
              <w:ind w:firstLine="0"/>
            </w:pPr>
            <w:r w:rsidRPr="004D46AC">
              <w:t>0</w:t>
            </w:r>
          </w:p>
        </w:tc>
        <w:tc>
          <w:tcPr>
            <w:tcW w:w="1296" w:type="dxa"/>
          </w:tcPr>
          <w:p w14:paraId="7E0797C8" w14:textId="77777777" w:rsidR="009864DB" w:rsidRPr="004D46AC" w:rsidRDefault="009864DB" w:rsidP="009864DB">
            <w:pPr>
              <w:spacing w:line="240" w:lineRule="auto"/>
              <w:ind w:firstLine="0"/>
            </w:pPr>
            <w:r w:rsidRPr="004D46AC">
              <w:t>154</w:t>
            </w:r>
          </w:p>
        </w:tc>
        <w:tc>
          <w:tcPr>
            <w:tcW w:w="752" w:type="dxa"/>
            <w:vAlign w:val="center"/>
          </w:tcPr>
          <w:p w14:paraId="0456D403" w14:textId="77777777" w:rsidR="009864DB" w:rsidRPr="004D46AC" w:rsidRDefault="009864DB" w:rsidP="009864DB">
            <w:pPr>
              <w:spacing w:line="240" w:lineRule="auto"/>
              <w:ind w:firstLine="0"/>
            </w:pPr>
            <w:r w:rsidRPr="004D46AC">
              <w:t>NA</w:t>
            </w:r>
          </w:p>
        </w:tc>
        <w:tc>
          <w:tcPr>
            <w:tcW w:w="789" w:type="dxa"/>
            <w:gridSpan w:val="2"/>
            <w:vAlign w:val="center"/>
          </w:tcPr>
          <w:p w14:paraId="1210306A" w14:textId="77777777" w:rsidR="009864DB" w:rsidRPr="004D46AC" w:rsidRDefault="009864DB" w:rsidP="009864DB">
            <w:pPr>
              <w:spacing w:line="240" w:lineRule="auto"/>
              <w:ind w:firstLine="0"/>
            </w:pPr>
            <w:r w:rsidRPr="004D46AC">
              <w:t>NA</w:t>
            </w:r>
          </w:p>
        </w:tc>
      </w:tr>
      <w:tr w:rsidR="009864DB" w:rsidRPr="004D46AC" w14:paraId="107F3E44" w14:textId="77777777" w:rsidTr="00B518F1">
        <w:tc>
          <w:tcPr>
            <w:tcW w:w="1476" w:type="dxa"/>
          </w:tcPr>
          <w:p w14:paraId="24964932"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AuthorYear="1"&gt;&lt;Author&gt;Yazici&lt;/Author&gt;&lt;Year&gt;2002&lt;/Year&gt;&lt;RecNum&gt;142&lt;/RecNum&gt;&lt;DisplayText&gt;Yazici et al. (2002)&lt;/DisplayText&gt;&lt;record&gt;&lt;rec-number&gt;142&lt;/rec-number&gt;&lt;foreign-keys&gt;&lt;key app="EN" db-id="aet009sstawa0hewvt3xwf5atffdw2dt02sw" timestamp="1665650191"&gt;142&lt;/key&gt;&lt;/foreign-keys&gt;&lt;ref-type name="Journal Article"&gt;17&lt;/ref-type&gt;&lt;contributors&gt;&lt;authors&gt;&lt;author&gt;Yazici, O.&lt;/author&gt;&lt;author&gt;Kora, K.&lt;/author&gt;&lt;author&gt;Ucok, A.&lt;/author&gt;&lt;author&gt;Saylan, M.&lt;/author&gt;&lt;author&gt;Ozdemir, O.&lt;/author&gt;&lt;author&gt;Kiziltan, E.&lt;/author&gt;&lt;author&gt;Ozpulat, T.&lt;/author&gt;&lt;/authors&gt;&lt;/contributors&gt;&lt;auth-address&gt;University of Istanbul, Istanbul Medical Faculty Psychiatry Department, Capa, Istanbul, Turkey. jaleolcay@superonline.com&lt;/auth-address&gt;&lt;titles&gt;&lt;title&gt;Unipolar mania: a distinct disorder?&lt;/title&gt;&lt;secondary-title&gt;J Affect Disord&lt;/secondary-title&gt;&lt;/titles&gt;&lt;periodical&gt;&lt;full-title&gt;J Affect Disord&lt;/full-title&gt;&lt;/periodical&gt;&lt;pages&gt;97-103&lt;/pages&gt;&lt;volume&gt;71&lt;/volume&gt;&lt;number&gt;1-3&lt;/number&gt;&lt;keywords&gt;&lt;keyword&gt;Adult&lt;/keyword&gt;&lt;keyword&gt;Bipolar Disorder/*classification/*diagnosis/psychology&lt;/keyword&gt;&lt;keyword&gt;Depressive Disorder/classification/diagnosis&lt;/keyword&gt;&lt;keyword&gt;Diagnosis, Differential&lt;/keyword&gt;&lt;keyword&gt;Female&lt;/keyword&gt;&lt;keyword&gt;Humans&lt;/keyword&gt;&lt;keyword&gt;Male&lt;/keyword&gt;&lt;keyword&gt;Psychiatric Status Rating Scales&lt;/keyword&gt;&lt;keyword&gt;Psychotic Disorders/psychology&lt;/keyword&gt;&lt;keyword&gt;Retrospective Studies&lt;/keyword&gt;&lt;/keywords&gt;&lt;dates&gt;&lt;year&gt;2002&lt;/year&gt;&lt;pub-dates&gt;&lt;date&gt;Sep&lt;/date&gt;&lt;/pub-dates&gt;&lt;/dates&gt;&lt;isbn&gt;0165-0327 (Print)&amp;#xD;0165-0327 (Linking)&lt;/isbn&gt;&lt;accession-num&gt;12167505&lt;/accession-num&gt;&lt;urls&gt;&lt;related-urls&gt;&lt;url&gt;https://www.ncbi.nlm.nih.gov/pubmed/12167505&lt;/url&gt;&lt;/related-urls&gt;&lt;/urls&gt;&lt;electronic-resource-num&gt;10.1016/s0165-0327(01)00416-5&lt;/electronic-resource-num&gt;&lt;remote-database-name&gt;Medline&lt;/remote-database-name&gt;&lt;remote-database-provider&gt;NLM&lt;/remote-database-provider&gt;&lt;language&gt;eng&lt;/language&gt;&lt;/record&gt;&lt;/Cite&gt;&lt;/EndNote&gt;</w:instrText>
            </w:r>
            <w:r w:rsidRPr="004D46AC">
              <w:fldChar w:fldCharType="separate"/>
            </w:r>
            <w:r w:rsidRPr="004D46AC">
              <w:t>Yazici et al. (2002)</w:t>
            </w:r>
            <w:r w:rsidRPr="004D46AC">
              <w:fldChar w:fldCharType="end"/>
            </w:r>
          </w:p>
        </w:tc>
        <w:tc>
          <w:tcPr>
            <w:tcW w:w="754" w:type="dxa"/>
            <w:vAlign w:val="center"/>
          </w:tcPr>
          <w:p w14:paraId="3482C840" w14:textId="77777777" w:rsidR="009864DB" w:rsidRPr="004D46AC" w:rsidRDefault="009864DB" w:rsidP="009864DB">
            <w:pPr>
              <w:spacing w:line="240" w:lineRule="auto"/>
              <w:ind w:firstLine="0"/>
            </w:pPr>
            <w:r w:rsidRPr="004D46AC">
              <w:t>5</w:t>
            </w:r>
          </w:p>
        </w:tc>
        <w:tc>
          <w:tcPr>
            <w:tcW w:w="766" w:type="dxa"/>
            <w:vAlign w:val="center"/>
          </w:tcPr>
          <w:p w14:paraId="184904DC" w14:textId="77777777" w:rsidR="009864DB" w:rsidRPr="004D46AC" w:rsidRDefault="009864DB" w:rsidP="009864DB">
            <w:pPr>
              <w:spacing w:line="240" w:lineRule="auto"/>
              <w:ind w:firstLine="0"/>
            </w:pPr>
            <w:r w:rsidRPr="004D46AC">
              <w:t>39.29</w:t>
            </w:r>
          </w:p>
        </w:tc>
        <w:tc>
          <w:tcPr>
            <w:tcW w:w="1096" w:type="dxa"/>
            <w:vAlign w:val="center"/>
          </w:tcPr>
          <w:p w14:paraId="444C3BF2" w14:textId="77777777" w:rsidR="009864DB" w:rsidRPr="004D46AC" w:rsidRDefault="009864DB" w:rsidP="009864DB">
            <w:pPr>
              <w:spacing w:line="240" w:lineRule="auto"/>
              <w:ind w:firstLine="0"/>
            </w:pPr>
            <w:r w:rsidRPr="004D46AC">
              <w:t>DSM4</w:t>
            </w:r>
          </w:p>
        </w:tc>
        <w:tc>
          <w:tcPr>
            <w:tcW w:w="1415" w:type="dxa"/>
            <w:vAlign w:val="center"/>
          </w:tcPr>
          <w:p w14:paraId="3BA48C74" w14:textId="77777777" w:rsidR="009864DB" w:rsidRPr="004D46AC" w:rsidRDefault="009864DB" w:rsidP="009864DB">
            <w:pPr>
              <w:spacing w:line="240" w:lineRule="auto"/>
              <w:ind w:firstLine="0"/>
            </w:pPr>
            <w:r w:rsidRPr="004D46AC">
              <w:t>unclear</w:t>
            </w:r>
          </w:p>
        </w:tc>
        <w:tc>
          <w:tcPr>
            <w:tcW w:w="876" w:type="dxa"/>
            <w:vAlign w:val="center"/>
          </w:tcPr>
          <w:p w14:paraId="32AD1A4E" w14:textId="77777777" w:rsidR="009864DB" w:rsidRPr="004D46AC" w:rsidRDefault="009864DB" w:rsidP="009864DB">
            <w:pPr>
              <w:spacing w:line="240" w:lineRule="auto"/>
              <w:ind w:firstLine="0"/>
            </w:pPr>
            <w:r w:rsidRPr="004D46AC">
              <w:t>272</w:t>
            </w:r>
          </w:p>
        </w:tc>
        <w:tc>
          <w:tcPr>
            <w:tcW w:w="986" w:type="dxa"/>
            <w:vAlign w:val="center"/>
          </w:tcPr>
          <w:p w14:paraId="35D6E5D9" w14:textId="77777777" w:rsidR="009864DB" w:rsidRPr="004D46AC" w:rsidRDefault="009864DB" w:rsidP="009864DB">
            <w:pPr>
              <w:spacing w:line="240" w:lineRule="auto"/>
              <w:ind w:firstLine="0"/>
            </w:pPr>
            <w:r w:rsidRPr="004D46AC">
              <w:t>unclear</w:t>
            </w:r>
          </w:p>
        </w:tc>
        <w:tc>
          <w:tcPr>
            <w:tcW w:w="751" w:type="dxa"/>
            <w:vAlign w:val="center"/>
          </w:tcPr>
          <w:p w14:paraId="103C8290" w14:textId="77777777" w:rsidR="009864DB" w:rsidRPr="004D46AC" w:rsidRDefault="009864DB" w:rsidP="009864DB">
            <w:pPr>
              <w:spacing w:line="240" w:lineRule="auto"/>
              <w:ind w:firstLine="0"/>
            </w:pPr>
            <w:r w:rsidRPr="004D46AC">
              <w:t>2</w:t>
            </w:r>
          </w:p>
        </w:tc>
        <w:tc>
          <w:tcPr>
            <w:tcW w:w="752" w:type="dxa"/>
            <w:vAlign w:val="center"/>
          </w:tcPr>
          <w:p w14:paraId="7C6981C9" w14:textId="77777777" w:rsidR="009864DB" w:rsidRPr="004D46AC" w:rsidRDefault="009864DB" w:rsidP="009864DB">
            <w:pPr>
              <w:spacing w:line="240" w:lineRule="auto"/>
              <w:ind w:firstLine="0"/>
            </w:pPr>
            <w:r w:rsidRPr="004D46AC">
              <w:t>0</w:t>
            </w:r>
          </w:p>
        </w:tc>
        <w:tc>
          <w:tcPr>
            <w:tcW w:w="1296" w:type="dxa"/>
          </w:tcPr>
          <w:p w14:paraId="76A4F40D" w14:textId="77777777" w:rsidR="009864DB" w:rsidRPr="004D46AC" w:rsidRDefault="009864DB" w:rsidP="009864DB">
            <w:pPr>
              <w:spacing w:line="240" w:lineRule="auto"/>
              <w:ind w:firstLine="0"/>
            </w:pPr>
            <w:r w:rsidRPr="004D46AC">
              <w:t>200</w:t>
            </w:r>
          </w:p>
        </w:tc>
        <w:tc>
          <w:tcPr>
            <w:tcW w:w="752" w:type="dxa"/>
            <w:vAlign w:val="center"/>
          </w:tcPr>
          <w:p w14:paraId="313396A0" w14:textId="77777777" w:rsidR="009864DB" w:rsidRPr="004D46AC" w:rsidRDefault="009864DB" w:rsidP="009864DB">
            <w:pPr>
              <w:spacing w:line="240" w:lineRule="auto"/>
              <w:ind w:firstLine="0"/>
            </w:pPr>
            <w:r w:rsidRPr="004D46AC">
              <w:t>105</w:t>
            </w:r>
          </w:p>
        </w:tc>
        <w:tc>
          <w:tcPr>
            <w:tcW w:w="789" w:type="dxa"/>
            <w:gridSpan w:val="2"/>
            <w:vAlign w:val="center"/>
          </w:tcPr>
          <w:p w14:paraId="2326545D" w14:textId="77777777" w:rsidR="009864DB" w:rsidRPr="004D46AC" w:rsidRDefault="009864DB" w:rsidP="009864DB">
            <w:pPr>
              <w:spacing w:line="240" w:lineRule="auto"/>
              <w:ind w:firstLine="0"/>
            </w:pPr>
            <w:r w:rsidRPr="004D46AC">
              <w:t>95</w:t>
            </w:r>
          </w:p>
        </w:tc>
      </w:tr>
      <w:tr w:rsidR="009864DB" w:rsidRPr="004D46AC" w14:paraId="0C0B6EE4" w14:textId="77777777" w:rsidTr="00B518F1">
        <w:tc>
          <w:tcPr>
            <w:tcW w:w="1476" w:type="dxa"/>
          </w:tcPr>
          <w:p w14:paraId="7C847F4E" w14:textId="77777777" w:rsidR="009864DB" w:rsidRPr="004D46AC" w:rsidRDefault="009864DB" w:rsidP="009864DB">
            <w:pPr>
              <w:spacing w:line="240" w:lineRule="auto"/>
              <w:ind w:firstLine="0"/>
            </w:pPr>
            <w:r w:rsidRPr="004D46AC">
              <w:fldChar w:fldCharType="begin">
                <w:fldData xml:space="preserve">PEVuZE5vdGU+PENpdGUgQXV0aG9yWWVhcj0iMSI+PEF1dGhvcj5XYW5nPC9BdXRob3I+PFllYXI+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</w:fldData>
              </w:fldChar>
            </w:r>
            <w:r w:rsidRPr="004D46AC">
              <w:instrText xml:space="preserve"> ADDIN EN.CITE </w:instrText>
            </w:r>
            <w:r w:rsidRPr="004D46AC">
              <w:fldChar w:fldCharType="begin">
                <w:fldData xml:space="preserve">PEVuZE5vdGU+PENpdGUgQXV0aG9yWWVhcj0iMSI+PEF1dGhvcj5XYW5nPC9BdXRob3I+PFllYXI+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</w:fldData>
              </w:fldChar>
            </w:r>
            <w:r w:rsidRPr="004D46AC">
              <w:instrText xml:space="preserve"> ADDIN EN.CITE.DATA </w:instrText>
            </w:r>
            <w:r w:rsidRPr="004D46AC">
              <w:fldChar w:fldCharType="end"/>
            </w:r>
            <w:r w:rsidRPr="004D46AC">
              <w:fldChar w:fldCharType="separate"/>
            </w:r>
            <w:r w:rsidRPr="004D46AC">
              <w:t>Wang et al. (2021)</w:t>
            </w:r>
            <w:r w:rsidRPr="004D46AC">
              <w:fldChar w:fldCharType="end"/>
            </w:r>
          </w:p>
        </w:tc>
        <w:tc>
          <w:tcPr>
            <w:tcW w:w="754" w:type="dxa"/>
            <w:vAlign w:val="center"/>
          </w:tcPr>
          <w:p w14:paraId="0214D3EB" w14:textId="77777777" w:rsidR="009864DB" w:rsidRPr="004D46AC" w:rsidRDefault="009864DB" w:rsidP="009864DB">
            <w:pPr>
              <w:spacing w:line="240" w:lineRule="auto"/>
              <w:ind w:firstLine="0"/>
            </w:pPr>
            <w:r w:rsidRPr="004D46AC">
              <w:t>8</w:t>
            </w:r>
          </w:p>
        </w:tc>
        <w:tc>
          <w:tcPr>
            <w:tcW w:w="766" w:type="dxa"/>
            <w:vAlign w:val="center"/>
          </w:tcPr>
          <w:p w14:paraId="74128628" w14:textId="77777777" w:rsidR="009864DB" w:rsidRPr="004D46AC" w:rsidRDefault="009864DB" w:rsidP="009864DB">
            <w:pPr>
              <w:spacing w:line="240" w:lineRule="auto"/>
              <w:ind w:firstLine="0"/>
            </w:pPr>
            <w:r w:rsidRPr="004D46AC">
              <w:t>37.33</w:t>
            </w:r>
          </w:p>
        </w:tc>
        <w:tc>
          <w:tcPr>
            <w:tcW w:w="1096" w:type="dxa"/>
            <w:vAlign w:val="center"/>
          </w:tcPr>
          <w:p w14:paraId="05B197AF" w14:textId="77777777" w:rsidR="009864DB" w:rsidRPr="004D46AC" w:rsidRDefault="009864DB" w:rsidP="009864DB">
            <w:pPr>
              <w:spacing w:line="240" w:lineRule="auto"/>
              <w:ind w:firstLine="0"/>
            </w:pPr>
            <w:r w:rsidRPr="004D46AC">
              <w:t>ICD10</w:t>
            </w:r>
          </w:p>
        </w:tc>
        <w:tc>
          <w:tcPr>
            <w:tcW w:w="1415" w:type="dxa"/>
            <w:vAlign w:val="center"/>
          </w:tcPr>
          <w:p w14:paraId="0914D564" w14:textId="77777777" w:rsidR="009864DB" w:rsidRPr="004D46AC" w:rsidRDefault="009864DB" w:rsidP="009864DB">
            <w:pPr>
              <w:spacing w:line="240" w:lineRule="auto"/>
              <w:ind w:firstLine="0"/>
            </w:pPr>
            <w:r w:rsidRPr="004D46AC">
              <w:t>MINI</w:t>
            </w:r>
          </w:p>
        </w:tc>
        <w:tc>
          <w:tcPr>
            <w:tcW w:w="876" w:type="dxa"/>
            <w:vAlign w:val="center"/>
          </w:tcPr>
          <w:p w14:paraId="7F4B155F" w14:textId="77777777" w:rsidR="009864DB" w:rsidRPr="004D46AC" w:rsidRDefault="009864DB" w:rsidP="009864DB">
            <w:pPr>
              <w:spacing w:line="240" w:lineRule="auto"/>
              <w:ind w:firstLine="0"/>
            </w:pPr>
            <w:r w:rsidRPr="004D46AC">
              <w:t>742</w:t>
            </w:r>
          </w:p>
        </w:tc>
        <w:tc>
          <w:tcPr>
            <w:tcW w:w="986" w:type="dxa"/>
            <w:vAlign w:val="center"/>
          </w:tcPr>
          <w:p w14:paraId="7E7FD89E" w14:textId="77777777" w:rsidR="009864DB" w:rsidRPr="004D46AC" w:rsidRDefault="009864DB" w:rsidP="009864DB">
            <w:pPr>
              <w:spacing w:line="240" w:lineRule="auto"/>
              <w:ind w:firstLine="0"/>
            </w:pPr>
            <w:r w:rsidRPr="004D46AC">
              <w:t>3</w:t>
            </w:r>
          </w:p>
        </w:tc>
        <w:tc>
          <w:tcPr>
            <w:tcW w:w="751" w:type="dxa"/>
            <w:vAlign w:val="center"/>
          </w:tcPr>
          <w:p w14:paraId="09A61006" w14:textId="77777777" w:rsidR="009864DB" w:rsidRPr="004D46AC" w:rsidRDefault="009864DB" w:rsidP="009864DB">
            <w:pPr>
              <w:spacing w:line="240" w:lineRule="auto"/>
              <w:ind w:firstLine="0"/>
            </w:pPr>
            <w:r w:rsidRPr="004D46AC">
              <w:t>1</w:t>
            </w:r>
          </w:p>
        </w:tc>
        <w:tc>
          <w:tcPr>
            <w:tcW w:w="752" w:type="dxa"/>
            <w:vAlign w:val="center"/>
          </w:tcPr>
          <w:p w14:paraId="42C17BF0" w14:textId="77777777" w:rsidR="009864DB" w:rsidRPr="004D46AC" w:rsidRDefault="009864DB" w:rsidP="009864DB">
            <w:pPr>
              <w:spacing w:line="240" w:lineRule="auto"/>
              <w:ind w:firstLine="0"/>
            </w:pPr>
            <w:r w:rsidRPr="004D46AC">
              <w:t>0</w:t>
            </w:r>
          </w:p>
        </w:tc>
        <w:tc>
          <w:tcPr>
            <w:tcW w:w="1296" w:type="dxa"/>
            <w:vAlign w:val="center"/>
          </w:tcPr>
          <w:p w14:paraId="13BC8427" w14:textId="77777777" w:rsidR="009864DB" w:rsidRPr="004D46AC" w:rsidRDefault="009864DB" w:rsidP="009864DB">
            <w:pPr>
              <w:spacing w:line="240" w:lineRule="auto"/>
              <w:ind w:firstLine="0"/>
            </w:pPr>
            <w:r w:rsidRPr="004D46AC">
              <w:t>312</w:t>
            </w:r>
          </w:p>
        </w:tc>
        <w:tc>
          <w:tcPr>
            <w:tcW w:w="752" w:type="dxa"/>
            <w:vAlign w:val="center"/>
          </w:tcPr>
          <w:p w14:paraId="4226771A" w14:textId="77777777" w:rsidR="009864DB" w:rsidRPr="004D46AC" w:rsidRDefault="009864DB" w:rsidP="009864DB">
            <w:pPr>
              <w:spacing w:line="240" w:lineRule="auto"/>
              <w:ind w:firstLine="0"/>
            </w:pPr>
            <w:r w:rsidRPr="004D46AC">
              <w:t>NA</w:t>
            </w:r>
          </w:p>
        </w:tc>
        <w:tc>
          <w:tcPr>
            <w:tcW w:w="789" w:type="dxa"/>
            <w:gridSpan w:val="2"/>
            <w:vAlign w:val="center"/>
          </w:tcPr>
          <w:p w14:paraId="58B3FD5B" w14:textId="77777777" w:rsidR="009864DB" w:rsidRPr="004D46AC" w:rsidRDefault="009864DB" w:rsidP="009864DB">
            <w:pPr>
              <w:spacing w:line="240" w:lineRule="auto"/>
              <w:ind w:firstLine="0"/>
            </w:pPr>
            <w:r w:rsidRPr="004D46AC">
              <w:t>NA</w:t>
            </w:r>
          </w:p>
        </w:tc>
      </w:tr>
      <w:tr w:rsidR="009864DB" w:rsidRPr="004D46AC" w14:paraId="6050FA48" w14:textId="77777777" w:rsidTr="00B518F1">
        <w:tc>
          <w:tcPr>
            <w:tcW w:w="1476" w:type="dxa"/>
          </w:tcPr>
          <w:p w14:paraId="2DA9EAB5" w14:textId="77777777" w:rsidR="009864DB" w:rsidRPr="004D46AC" w:rsidRDefault="009864DB" w:rsidP="009864DB">
            <w:pPr>
              <w:spacing w:line="240" w:lineRule="auto"/>
              <w:ind w:firstLine="0"/>
            </w:pPr>
            <w:r w:rsidRPr="004D46AC">
              <w:fldChar w:fldCharType="begin">
                <w:fldData xml:space="preserve">PEVuZE5vdGU+PENpdGUgQXV0aG9yWWVhcj0iMSI+PEF1dGhvcj5ZZW48L0F1dGhvcj48WWVhcj4y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instrText xml:space="preserve"> ADDIN EN.CITE </w:instrText>
            </w:r>
            <w:r w:rsidRPr="004D46AC">
              <w:fldChar w:fldCharType="begin">
                <w:fldData xml:space="preserve">PEVuZE5vdGU+PENpdGUgQXV0aG9yWWVhcj0iMSI+PEF1dGhvcj5ZZW48L0F1dGhvcj48WWVhcj4y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instrText xml:space="preserve"> ADDIN EN.CITE.DATA </w:instrText>
            </w:r>
            <w:r w:rsidRPr="004D46AC">
              <w:fldChar w:fldCharType="end"/>
            </w:r>
            <w:r w:rsidRPr="004D46AC">
              <w:fldChar w:fldCharType="separate"/>
            </w:r>
            <w:r w:rsidRPr="004D46AC">
              <w:t>Yen et al. (2008)</w:t>
            </w:r>
            <w:r w:rsidRPr="004D46AC">
              <w:fldChar w:fldCharType="end"/>
            </w:r>
          </w:p>
        </w:tc>
        <w:tc>
          <w:tcPr>
            <w:tcW w:w="754" w:type="dxa"/>
            <w:vAlign w:val="center"/>
          </w:tcPr>
          <w:p w14:paraId="6A9DFF56" w14:textId="77777777" w:rsidR="009864DB" w:rsidRPr="004D46AC" w:rsidRDefault="009864DB" w:rsidP="009864DB">
            <w:pPr>
              <w:spacing w:line="240" w:lineRule="auto"/>
              <w:ind w:firstLine="0"/>
            </w:pPr>
            <w:r w:rsidRPr="004D46AC">
              <w:t>7</w:t>
            </w:r>
          </w:p>
        </w:tc>
        <w:tc>
          <w:tcPr>
            <w:tcW w:w="766" w:type="dxa"/>
            <w:vAlign w:val="center"/>
          </w:tcPr>
          <w:p w14:paraId="4A59816D" w14:textId="77777777" w:rsidR="009864DB" w:rsidRPr="004D46AC" w:rsidRDefault="009864DB" w:rsidP="009864DB">
            <w:pPr>
              <w:spacing w:line="240" w:lineRule="auto"/>
              <w:ind w:firstLine="0"/>
            </w:pPr>
            <w:r w:rsidRPr="004D46AC">
              <w:t>40.23</w:t>
            </w:r>
          </w:p>
        </w:tc>
        <w:tc>
          <w:tcPr>
            <w:tcW w:w="1096" w:type="dxa"/>
            <w:vAlign w:val="center"/>
          </w:tcPr>
          <w:p w14:paraId="66C6FDC0" w14:textId="77777777" w:rsidR="009864DB" w:rsidRPr="004D46AC" w:rsidRDefault="009864DB" w:rsidP="009864DB">
            <w:pPr>
              <w:spacing w:line="240" w:lineRule="auto"/>
              <w:ind w:firstLine="0"/>
            </w:pPr>
            <w:r w:rsidRPr="004D46AC">
              <w:t>DSM4</w:t>
            </w:r>
          </w:p>
        </w:tc>
        <w:tc>
          <w:tcPr>
            <w:tcW w:w="1415" w:type="dxa"/>
            <w:vAlign w:val="center"/>
          </w:tcPr>
          <w:p w14:paraId="7B018FB4" w14:textId="77777777" w:rsidR="009864DB" w:rsidRPr="004D46AC" w:rsidRDefault="009864DB" w:rsidP="009864DB">
            <w:pPr>
              <w:spacing w:line="240" w:lineRule="auto"/>
              <w:ind w:firstLine="0"/>
            </w:pPr>
            <w:r w:rsidRPr="004D46AC">
              <w:t>SCID</w:t>
            </w:r>
          </w:p>
        </w:tc>
        <w:tc>
          <w:tcPr>
            <w:tcW w:w="876" w:type="dxa"/>
            <w:vAlign w:val="center"/>
          </w:tcPr>
          <w:p w14:paraId="05F2EE3F" w14:textId="77777777" w:rsidR="009864DB" w:rsidRPr="004D46AC" w:rsidRDefault="009864DB" w:rsidP="009864DB">
            <w:pPr>
              <w:spacing w:line="240" w:lineRule="auto"/>
              <w:ind w:firstLine="0"/>
            </w:pPr>
            <w:r w:rsidRPr="004D46AC">
              <w:t>59</w:t>
            </w:r>
          </w:p>
        </w:tc>
        <w:tc>
          <w:tcPr>
            <w:tcW w:w="986" w:type="dxa"/>
            <w:vAlign w:val="center"/>
          </w:tcPr>
          <w:p w14:paraId="53AA921F" w14:textId="77777777" w:rsidR="009864DB" w:rsidRPr="004D46AC" w:rsidRDefault="009864DB" w:rsidP="009864DB">
            <w:pPr>
              <w:spacing w:line="240" w:lineRule="auto"/>
              <w:ind w:firstLine="0"/>
            </w:pPr>
            <w:r w:rsidRPr="004D46AC">
              <w:t>1</w:t>
            </w:r>
          </w:p>
        </w:tc>
        <w:tc>
          <w:tcPr>
            <w:tcW w:w="751" w:type="dxa"/>
            <w:vAlign w:val="center"/>
          </w:tcPr>
          <w:p w14:paraId="51B481AF" w14:textId="77777777" w:rsidR="009864DB" w:rsidRPr="004D46AC" w:rsidRDefault="009864DB" w:rsidP="009864DB">
            <w:pPr>
              <w:spacing w:line="240" w:lineRule="auto"/>
              <w:ind w:firstLine="0"/>
            </w:pPr>
            <w:r w:rsidRPr="004D46AC">
              <w:t>1</w:t>
            </w:r>
          </w:p>
        </w:tc>
        <w:tc>
          <w:tcPr>
            <w:tcW w:w="752" w:type="dxa"/>
            <w:vAlign w:val="center"/>
          </w:tcPr>
          <w:p w14:paraId="14DFE8EC" w14:textId="77777777" w:rsidR="009864DB" w:rsidRPr="004D46AC" w:rsidRDefault="009864DB" w:rsidP="009864DB">
            <w:pPr>
              <w:spacing w:line="240" w:lineRule="auto"/>
              <w:ind w:firstLine="0"/>
            </w:pPr>
            <w:r w:rsidRPr="004D46AC">
              <w:t>0</w:t>
            </w:r>
          </w:p>
        </w:tc>
        <w:tc>
          <w:tcPr>
            <w:tcW w:w="1296" w:type="dxa"/>
            <w:vAlign w:val="center"/>
          </w:tcPr>
          <w:p w14:paraId="6CF7711C" w14:textId="77777777" w:rsidR="009864DB" w:rsidRPr="004D46AC" w:rsidRDefault="009864DB" w:rsidP="009864DB">
            <w:pPr>
              <w:spacing w:line="240" w:lineRule="auto"/>
              <w:ind w:firstLine="0"/>
            </w:pPr>
            <w:r w:rsidRPr="004D46AC">
              <w:t>17</w:t>
            </w:r>
          </w:p>
        </w:tc>
        <w:tc>
          <w:tcPr>
            <w:tcW w:w="752" w:type="dxa"/>
            <w:vAlign w:val="center"/>
          </w:tcPr>
          <w:p w14:paraId="6BBB3508" w14:textId="77777777" w:rsidR="009864DB" w:rsidRPr="004D46AC" w:rsidRDefault="009864DB" w:rsidP="009864DB">
            <w:pPr>
              <w:spacing w:line="240" w:lineRule="auto"/>
              <w:ind w:firstLine="0"/>
            </w:pPr>
            <w:r w:rsidRPr="004D46AC">
              <w:t>NA</w:t>
            </w:r>
          </w:p>
        </w:tc>
        <w:tc>
          <w:tcPr>
            <w:tcW w:w="789" w:type="dxa"/>
            <w:gridSpan w:val="2"/>
            <w:vAlign w:val="center"/>
          </w:tcPr>
          <w:p w14:paraId="07EE6979" w14:textId="77777777" w:rsidR="009864DB" w:rsidRPr="004D46AC" w:rsidRDefault="009864DB" w:rsidP="009864DB">
            <w:pPr>
              <w:spacing w:line="240" w:lineRule="auto"/>
              <w:ind w:firstLine="0"/>
            </w:pPr>
            <w:r w:rsidRPr="004D46AC">
              <w:t>NA</w:t>
            </w:r>
          </w:p>
        </w:tc>
      </w:tr>
      <w:tr w:rsidR="009864DB" w:rsidRPr="004D46AC" w14:paraId="2EC1C7ED" w14:textId="77777777" w:rsidTr="00B518F1">
        <w:tc>
          <w:tcPr>
            <w:tcW w:w="1476" w:type="dxa"/>
          </w:tcPr>
          <w:p w14:paraId="1D9E8642" w14:textId="77777777" w:rsidR="009864DB" w:rsidRPr="004D46AC" w:rsidRDefault="009864DB" w:rsidP="009864DB">
            <w:pPr>
              <w:spacing w:line="240" w:lineRule="auto"/>
              <w:ind w:firstLine="0"/>
            </w:pPr>
            <w:r w:rsidRPr="004D46AC">
              <w:fldChar w:fldCharType="begin">
                <w:fldData xml:space="preserve">PEVuZE5vdGU+PENpdGUgQXV0aG9yWWVhcj0iMSI+PEF1dGhvcj5LcnVnZXI8L0F1dGhvcj48WWVh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</w:fldData>
              </w:fldChar>
            </w:r>
            <w:r w:rsidRPr="004D46AC">
              <w:instrText xml:space="preserve"> ADDIN EN.CITE </w:instrText>
            </w:r>
            <w:r w:rsidRPr="004D46AC">
              <w:fldChar w:fldCharType="begin">
                <w:fldData xml:space="preserve">PEVuZE5vdGU+PENpdGUgQXV0aG9yWWVhcj0iMSI+PEF1dGhvcj5LcnVnZXI8L0F1dGhvcj48WWVh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</w:fldData>
              </w:fldChar>
            </w:r>
            <w:r w:rsidRPr="004D46AC">
              <w:instrText xml:space="preserve"> ADDIN EN.CITE.DATA </w:instrText>
            </w:r>
            <w:r w:rsidRPr="004D46AC">
              <w:fldChar w:fldCharType="end"/>
            </w:r>
            <w:r w:rsidRPr="004D46AC">
              <w:fldChar w:fldCharType="separate"/>
            </w:r>
            <w:r w:rsidRPr="004D46AC">
              <w:t>Kruger et al. (2010)</w:t>
            </w:r>
            <w:r w:rsidRPr="004D46AC">
              <w:fldChar w:fldCharType="end"/>
            </w:r>
          </w:p>
        </w:tc>
        <w:tc>
          <w:tcPr>
            <w:tcW w:w="754" w:type="dxa"/>
            <w:vAlign w:val="center"/>
          </w:tcPr>
          <w:p w14:paraId="65914D3E" w14:textId="77777777" w:rsidR="009864DB" w:rsidRPr="004D46AC" w:rsidRDefault="009864DB" w:rsidP="009864DB">
            <w:pPr>
              <w:spacing w:line="240" w:lineRule="auto"/>
              <w:ind w:firstLine="0"/>
            </w:pPr>
            <w:r w:rsidRPr="004D46AC">
              <w:t>4</w:t>
            </w:r>
          </w:p>
        </w:tc>
        <w:tc>
          <w:tcPr>
            <w:tcW w:w="766" w:type="dxa"/>
            <w:vAlign w:val="center"/>
          </w:tcPr>
          <w:p w14:paraId="124D375E" w14:textId="77777777" w:rsidR="009864DB" w:rsidRPr="004D46AC" w:rsidRDefault="009864DB" w:rsidP="009864DB">
            <w:pPr>
              <w:spacing w:line="240" w:lineRule="auto"/>
              <w:ind w:firstLine="0"/>
            </w:pPr>
            <w:r w:rsidRPr="004D46AC">
              <w:t>37.4</w:t>
            </w:r>
          </w:p>
        </w:tc>
        <w:tc>
          <w:tcPr>
            <w:tcW w:w="1096" w:type="dxa"/>
            <w:vAlign w:val="center"/>
          </w:tcPr>
          <w:p w14:paraId="3751BD95" w14:textId="77777777" w:rsidR="009864DB" w:rsidRPr="004D46AC" w:rsidRDefault="009864DB" w:rsidP="009864DB">
            <w:pPr>
              <w:spacing w:line="240" w:lineRule="auto"/>
              <w:ind w:firstLine="0"/>
            </w:pPr>
            <w:r w:rsidRPr="004D46AC">
              <w:t>DSM4</w:t>
            </w:r>
          </w:p>
        </w:tc>
        <w:tc>
          <w:tcPr>
            <w:tcW w:w="1415" w:type="dxa"/>
            <w:vAlign w:val="center"/>
          </w:tcPr>
          <w:p w14:paraId="55E2CBF4" w14:textId="77777777" w:rsidR="009864DB" w:rsidRPr="004D46AC" w:rsidRDefault="009864DB" w:rsidP="009864DB">
            <w:pPr>
              <w:spacing w:line="240" w:lineRule="auto"/>
              <w:ind w:firstLine="0"/>
            </w:pPr>
            <w:r w:rsidRPr="004D46AC">
              <w:t>ORSM</w:t>
            </w:r>
          </w:p>
        </w:tc>
        <w:tc>
          <w:tcPr>
            <w:tcW w:w="876" w:type="dxa"/>
            <w:vAlign w:val="center"/>
          </w:tcPr>
          <w:p w14:paraId="78B72CC6" w14:textId="77777777" w:rsidR="009864DB" w:rsidRPr="004D46AC" w:rsidRDefault="009864DB" w:rsidP="009864DB">
            <w:pPr>
              <w:spacing w:line="240" w:lineRule="auto"/>
              <w:ind w:firstLine="0"/>
            </w:pPr>
            <w:r w:rsidRPr="004D46AC">
              <w:t>31</w:t>
            </w:r>
          </w:p>
        </w:tc>
        <w:tc>
          <w:tcPr>
            <w:tcW w:w="986" w:type="dxa"/>
            <w:vAlign w:val="center"/>
          </w:tcPr>
          <w:p w14:paraId="263D9FAB" w14:textId="77777777" w:rsidR="009864DB" w:rsidRPr="004D46AC" w:rsidRDefault="009864DB" w:rsidP="009864DB">
            <w:pPr>
              <w:spacing w:line="240" w:lineRule="auto"/>
              <w:ind w:firstLine="0"/>
            </w:pPr>
            <w:r w:rsidRPr="004D46AC">
              <w:t>3</w:t>
            </w:r>
          </w:p>
        </w:tc>
        <w:tc>
          <w:tcPr>
            <w:tcW w:w="751" w:type="dxa"/>
            <w:vAlign w:val="center"/>
          </w:tcPr>
          <w:p w14:paraId="252320CA" w14:textId="77777777" w:rsidR="009864DB" w:rsidRPr="004D46AC" w:rsidRDefault="009864DB" w:rsidP="009864DB">
            <w:pPr>
              <w:spacing w:line="240" w:lineRule="auto"/>
              <w:ind w:firstLine="0"/>
            </w:pPr>
            <w:r w:rsidRPr="004D46AC">
              <w:t>2</w:t>
            </w:r>
          </w:p>
        </w:tc>
        <w:tc>
          <w:tcPr>
            <w:tcW w:w="752" w:type="dxa"/>
            <w:vAlign w:val="center"/>
          </w:tcPr>
          <w:p w14:paraId="4FADABAA" w14:textId="77777777" w:rsidR="009864DB" w:rsidRPr="004D46AC" w:rsidRDefault="009864DB" w:rsidP="009864DB">
            <w:pPr>
              <w:spacing w:line="240" w:lineRule="auto"/>
              <w:ind w:firstLine="0"/>
            </w:pPr>
            <w:r w:rsidRPr="004D46AC">
              <w:t>0</w:t>
            </w:r>
          </w:p>
        </w:tc>
        <w:tc>
          <w:tcPr>
            <w:tcW w:w="1296" w:type="dxa"/>
            <w:vAlign w:val="center"/>
          </w:tcPr>
          <w:p w14:paraId="549F8122" w14:textId="77777777" w:rsidR="009864DB" w:rsidRPr="004D46AC" w:rsidRDefault="009864DB" w:rsidP="009864DB">
            <w:pPr>
              <w:spacing w:line="240" w:lineRule="auto"/>
              <w:ind w:firstLine="0"/>
            </w:pPr>
            <w:r w:rsidRPr="004D46AC">
              <w:t>12</w:t>
            </w:r>
          </w:p>
        </w:tc>
        <w:tc>
          <w:tcPr>
            <w:tcW w:w="752" w:type="dxa"/>
            <w:vAlign w:val="center"/>
          </w:tcPr>
          <w:p w14:paraId="0629D02B" w14:textId="77777777" w:rsidR="009864DB" w:rsidRPr="004D46AC" w:rsidRDefault="009864DB" w:rsidP="009864DB">
            <w:pPr>
              <w:spacing w:line="240" w:lineRule="auto"/>
              <w:ind w:firstLine="0"/>
            </w:pPr>
            <w:r w:rsidRPr="004D46AC">
              <w:t>NA</w:t>
            </w:r>
          </w:p>
        </w:tc>
        <w:tc>
          <w:tcPr>
            <w:tcW w:w="789" w:type="dxa"/>
            <w:gridSpan w:val="2"/>
            <w:vAlign w:val="center"/>
          </w:tcPr>
          <w:p w14:paraId="0D23BACB" w14:textId="77777777" w:rsidR="009864DB" w:rsidRPr="004D46AC" w:rsidRDefault="009864DB" w:rsidP="009864DB">
            <w:pPr>
              <w:spacing w:line="240" w:lineRule="auto"/>
              <w:ind w:firstLine="0"/>
            </w:pPr>
            <w:r w:rsidRPr="004D46AC">
              <w:t>NA</w:t>
            </w:r>
          </w:p>
        </w:tc>
      </w:tr>
      <w:tr w:rsidR="009864DB" w:rsidRPr="004D46AC" w14:paraId="623A2670" w14:textId="77777777" w:rsidTr="00B518F1">
        <w:tc>
          <w:tcPr>
            <w:tcW w:w="1476" w:type="dxa"/>
          </w:tcPr>
          <w:p w14:paraId="5B1FA231" w14:textId="77777777" w:rsidR="009864DB" w:rsidRPr="004D46AC" w:rsidRDefault="009864DB" w:rsidP="009864DB">
            <w:pPr>
              <w:spacing w:line="240" w:lineRule="auto"/>
              <w:ind w:firstLine="0"/>
            </w:pPr>
            <w:r w:rsidRPr="004D46AC">
              <w:fldChar w:fldCharType="begin">
                <w:fldData xml:space="preserve">PEVuZE5vdGU+PENpdGUgQXV0aG9yWWVhcj0iMSI+PEF1dGhvcj5TZXJyZXR0aTwvQXV0aG9yPjxZ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</w:fldData>
              </w:fldChar>
            </w:r>
            <w:r w:rsidRPr="004D46AC">
              <w:instrText xml:space="preserve"> ADDIN EN.CITE </w:instrText>
            </w:r>
            <w:r w:rsidRPr="004D46AC">
              <w:fldChar w:fldCharType="begin">
                <w:fldData xml:space="preserve">PEVuZE5vdGU+PENpdGUgQXV0aG9yWWVhcj0iMSI+PEF1dGhvcj5TZXJyZXR0aTwvQXV0aG9yPjxZ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</w:fldData>
              </w:fldChar>
            </w:r>
            <w:r w:rsidRPr="004D46AC">
              <w:instrText xml:space="preserve"> ADDIN EN.CITE.DATA </w:instrText>
            </w:r>
            <w:r w:rsidRPr="004D46AC">
              <w:fldChar w:fldCharType="end"/>
            </w:r>
            <w:r w:rsidRPr="004D46AC">
              <w:fldChar w:fldCharType="separate"/>
            </w:r>
            <w:r w:rsidRPr="004D46AC">
              <w:t>Serretti et al. (2011)</w:t>
            </w:r>
            <w:r w:rsidRPr="004D46AC">
              <w:fldChar w:fldCharType="end"/>
            </w:r>
          </w:p>
        </w:tc>
        <w:tc>
          <w:tcPr>
            <w:tcW w:w="754" w:type="dxa"/>
            <w:vAlign w:val="center"/>
          </w:tcPr>
          <w:p w14:paraId="679E1C7F" w14:textId="77777777" w:rsidR="009864DB" w:rsidRPr="004D46AC" w:rsidRDefault="009864DB" w:rsidP="009864DB">
            <w:pPr>
              <w:spacing w:line="240" w:lineRule="auto"/>
              <w:ind w:firstLine="0"/>
            </w:pPr>
            <w:r w:rsidRPr="004D46AC">
              <w:t>5</w:t>
            </w:r>
          </w:p>
        </w:tc>
        <w:tc>
          <w:tcPr>
            <w:tcW w:w="766" w:type="dxa"/>
            <w:vAlign w:val="center"/>
          </w:tcPr>
          <w:p w14:paraId="37B82727" w14:textId="77777777" w:rsidR="009864DB" w:rsidRPr="004D46AC" w:rsidRDefault="009864DB" w:rsidP="009864DB">
            <w:pPr>
              <w:spacing w:line="240" w:lineRule="auto"/>
              <w:ind w:firstLine="0"/>
            </w:pPr>
            <w:r w:rsidRPr="004D46AC">
              <w:t>36.35</w:t>
            </w:r>
          </w:p>
        </w:tc>
        <w:tc>
          <w:tcPr>
            <w:tcW w:w="1096" w:type="dxa"/>
            <w:vAlign w:val="center"/>
          </w:tcPr>
          <w:p w14:paraId="2EC2D60A" w14:textId="77777777" w:rsidR="009864DB" w:rsidRPr="004D46AC" w:rsidRDefault="009864DB" w:rsidP="009864DB">
            <w:pPr>
              <w:spacing w:line="240" w:lineRule="auto"/>
              <w:ind w:firstLine="0"/>
            </w:pPr>
            <w:r w:rsidRPr="004D46AC">
              <w:t>DSN4</w:t>
            </w:r>
          </w:p>
        </w:tc>
        <w:tc>
          <w:tcPr>
            <w:tcW w:w="1415" w:type="dxa"/>
            <w:vAlign w:val="center"/>
          </w:tcPr>
          <w:p w14:paraId="039A136E" w14:textId="77777777" w:rsidR="009864DB" w:rsidRPr="004D46AC" w:rsidRDefault="009864DB" w:rsidP="009864DB">
            <w:pPr>
              <w:spacing w:line="240" w:lineRule="auto"/>
              <w:ind w:firstLine="0"/>
            </w:pPr>
            <w:r w:rsidRPr="004D46AC">
              <w:t>MINI</w:t>
            </w:r>
          </w:p>
        </w:tc>
        <w:tc>
          <w:tcPr>
            <w:tcW w:w="876" w:type="dxa"/>
            <w:vAlign w:val="center"/>
          </w:tcPr>
          <w:p w14:paraId="48E8159D" w14:textId="77777777" w:rsidR="009864DB" w:rsidRPr="004D46AC" w:rsidRDefault="009864DB" w:rsidP="009864DB">
            <w:pPr>
              <w:spacing w:line="240" w:lineRule="auto"/>
              <w:ind w:firstLine="0"/>
            </w:pPr>
            <w:r w:rsidRPr="004D46AC">
              <w:t>132</w:t>
            </w:r>
          </w:p>
        </w:tc>
        <w:tc>
          <w:tcPr>
            <w:tcW w:w="986" w:type="dxa"/>
            <w:vAlign w:val="center"/>
          </w:tcPr>
          <w:p w14:paraId="0A91F9C9" w14:textId="77777777" w:rsidR="009864DB" w:rsidRPr="004D46AC" w:rsidRDefault="009864DB" w:rsidP="009864DB">
            <w:pPr>
              <w:spacing w:line="240" w:lineRule="auto"/>
              <w:ind w:firstLine="0"/>
            </w:pPr>
            <w:r w:rsidRPr="004D46AC">
              <w:t>3</w:t>
            </w:r>
          </w:p>
        </w:tc>
        <w:tc>
          <w:tcPr>
            <w:tcW w:w="751" w:type="dxa"/>
            <w:vAlign w:val="center"/>
          </w:tcPr>
          <w:p w14:paraId="1D284E04" w14:textId="77777777" w:rsidR="009864DB" w:rsidRPr="004D46AC" w:rsidRDefault="009864DB" w:rsidP="009864DB">
            <w:pPr>
              <w:spacing w:line="240" w:lineRule="auto"/>
              <w:ind w:firstLine="0"/>
            </w:pPr>
            <w:r w:rsidRPr="004D46AC">
              <w:t>1</w:t>
            </w:r>
          </w:p>
        </w:tc>
        <w:tc>
          <w:tcPr>
            <w:tcW w:w="752" w:type="dxa"/>
            <w:vAlign w:val="center"/>
          </w:tcPr>
          <w:p w14:paraId="2E45B98F" w14:textId="77777777" w:rsidR="009864DB" w:rsidRPr="004D46AC" w:rsidRDefault="009864DB" w:rsidP="009864DB">
            <w:pPr>
              <w:spacing w:line="240" w:lineRule="auto"/>
              <w:ind w:firstLine="0"/>
            </w:pPr>
            <w:r w:rsidRPr="004D46AC">
              <w:t>0</w:t>
            </w:r>
          </w:p>
        </w:tc>
        <w:tc>
          <w:tcPr>
            <w:tcW w:w="1296" w:type="dxa"/>
            <w:vAlign w:val="center"/>
          </w:tcPr>
          <w:p w14:paraId="43EC6F14" w14:textId="77777777" w:rsidR="009864DB" w:rsidRPr="004D46AC" w:rsidRDefault="009864DB" w:rsidP="009864DB">
            <w:pPr>
              <w:spacing w:line="240" w:lineRule="auto"/>
              <w:ind w:firstLine="0"/>
            </w:pPr>
            <w:r w:rsidRPr="004D46AC">
              <w:t>57</w:t>
            </w:r>
          </w:p>
        </w:tc>
        <w:tc>
          <w:tcPr>
            <w:tcW w:w="752" w:type="dxa"/>
            <w:vAlign w:val="center"/>
          </w:tcPr>
          <w:p w14:paraId="606E1AB8" w14:textId="77777777" w:rsidR="009864DB" w:rsidRPr="004D46AC" w:rsidRDefault="009864DB" w:rsidP="009864DB">
            <w:pPr>
              <w:spacing w:line="240" w:lineRule="auto"/>
              <w:ind w:firstLine="0"/>
            </w:pPr>
            <w:r w:rsidRPr="004D46AC">
              <w:t>NA</w:t>
            </w:r>
          </w:p>
        </w:tc>
        <w:tc>
          <w:tcPr>
            <w:tcW w:w="789" w:type="dxa"/>
            <w:gridSpan w:val="2"/>
            <w:vAlign w:val="center"/>
          </w:tcPr>
          <w:p w14:paraId="7B03F77B" w14:textId="77777777" w:rsidR="009864DB" w:rsidRPr="004D46AC" w:rsidRDefault="009864DB" w:rsidP="009864DB">
            <w:pPr>
              <w:spacing w:line="240" w:lineRule="auto"/>
              <w:ind w:firstLine="0"/>
            </w:pPr>
            <w:r w:rsidRPr="004D46AC">
              <w:t>NA</w:t>
            </w:r>
          </w:p>
        </w:tc>
      </w:tr>
      <w:tr w:rsidR="009864DB" w:rsidRPr="004D46AC" w14:paraId="3B937DC5" w14:textId="77777777" w:rsidTr="00B518F1">
        <w:tc>
          <w:tcPr>
            <w:tcW w:w="1476" w:type="dxa"/>
          </w:tcPr>
          <w:p w14:paraId="6BE18129"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AuthorYear="1"&gt;&lt;Author&gt;Lim&lt;/Author&gt;&lt;Year&gt;2001&lt;/Year&gt;&lt;RecNum&gt;147&lt;/RecNum&gt;&lt;DisplayText&gt;Lim et al. (2001)&lt;/DisplayText&gt;&lt;record&gt;&lt;rec-number&gt;147&lt;/rec-number&gt;&lt;foreign-keys&gt;&lt;key app="EN" db-id="aet009sstawa0hewvt3xwf5atffdw2dt02sw" timestamp="1665654969"&gt;147&lt;/key&gt;&lt;/foreign-keys&gt;&lt;ref-type name="Journal Article"&gt;17&lt;/ref-type&gt;&lt;contributors&gt;&lt;authors&gt;&lt;author&gt;Lim, P. Z.&lt;/author&gt;&lt;author&gt;Tunis, S. L.&lt;/author&gt;&lt;author&gt;Edell, W. S.&lt;/author&gt;&lt;author&gt;Jensik, S. E.&lt;/author&gt;&lt;author&gt;Tohen, M.&lt;/author&gt;&lt;/authors&gt;&lt;/contributors&gt;&lt;auth-address&gt;Lilly Research Laboratories, Indianapolis, IN 46285, USA.&lt;/auth-address&gt;&lt;titles&gt;&lt;title&gt;Medication prescribing patterns for patients with bipolar I disorder in hospital settings: adherence to published practice guidelines&lt;/title&gt;&lt;secondary-title&gt;Bipolar Disord&lt;/secondary-title&gt;&lt;/titles&gt;&lt;periodical&gt;&lt;full-title&gt;Bipolar Disord&lt;/full-title&gt;&lt;/periodical&gt;&lt;pages&gt;165-73&lt;/pages&gt;&lt;volume&gt;3&lt;/volume&gt;&lt;number&gt;4&lt;/number&gt;&lt;keywords&gt;&lt;keyword&gt;Adolescent&lt;/keyword&gt;&lt;keyword&gt;Adult&lt;/keyword&gt;&lt;keyword&gt;Antimanic Agents/*therapeutic use&lt;/keyword&gt;&lt;keyword&gt;Bipolar Disorder/diagnosis/*drug therapy/rehabilitation&lt;/keyword&gt;&lt;keyword&gt;Chronic Disease&lt;/keyword&gt;&lt;keyword&gt;*Decision Making&lt;/keyword&gt;&lt;keyword&gt;*Drug Prescriptions&lt;/keyword&gt;&lt;keyword&gt;Female&lt;/keyword&gt;&lt;keyword&gt;*Guideline Adherence&lt;/keyword&gt;&lt;keyword&gt;*Guidelines as Topic&lt;/keyword&gt;&lt;keyword&gt;Hospitalization&lt;/keyword&gt;&lt;keyword&gt;Humans&lt;/keyword&gt;&lt;keyword&gt;Male&lt;/keyword&gt;&lt;keyword&gt;Middle Aged&lt;/keyword&gt;&lt;keyword&gt;*Practice Patterns, Physicians&amp;apos;&lt;/keyword&gt;&lt;keyword&gt;Retrospective Studies&lt;/keyword&gt;&lt;/keywords&gt;&lt;dates&gt;&lt;year&gt;2001&lt;/year&gt;&lt;pub-dates&gt;&lt;date&gt;Aug&lt;/date&gt;&lt;/pub-dates&gt;&lt;/dates&gt;&lt;isbn&gt;1398-5647 (Print)&amp;#xD;1398-5647 (Linking)&lt;/isbn&gt;&lt;accession-num&gt;11552955&lt;/accession-num&gt;&lt;urls&gt;&lt;related-urls&gt;&lt;url&gt;https://www.ncbi.nlm.nih.gov/pubmed/11552955&lt;/url&gt;&lt;/related-urls&gt;&lt;/urls&gt;&lt;remote-database-name&gt;Medline&lt;/remote-database-name&gt;&lt;remote-database-provider&gt;NLM&lt;/remote-database-provider&gt;&lt;language&gt;eng&lt;/language&gt;&lt;/record&gt;&lt;/Cite&gt;&lt;/EndNote&gt;</w:instrText>
            </w:r>
            <w:r w:rsidRPr="004D46AC">
              <w:fldChar w:fldCharType="separate"/>
            </w:r>
            <w:r w:rsidRPr="004D46AC">
              <w:t>Lim et al. (2001)</w:t>
            </w:r>
            <w:r w:rsidRPr="004D46AC">
              <w:fldChar w:fldCharType="end"/>
            </w:r>
          </w:p>
        </w:tc>
        <w:tc>
          <w:tcPr>
            <w:tcW w:w="754" w:type="dxa"/>
            <w:vAlign w:val="center"/>
          </w:tcPr>
          <w:p w14:paraId="4524E001" w14:textId="77777777" w:rsidR="009864DB" w:rsidRPr="004D46AC" w:rsidRDefault="009864DB" w:rsidP="009864DB">
            <w:pPr>
              <w:spacing w:line="240" w:lineRule="auto"/>
              <w:ind w:firstLine="0"/>
            </w:pPr>
            <w:r w:rsidRPr="004D46AC">
              <w:t>5</w:t>
            </w:r>
          </w:p>
        </w:tc>
        <w:tc>
          <w:tcPr>
            <w:tcW w:w="766" w:type="dxa"/>
            <w:vAlign w:val="center"/>
          </w:tcPr>
          <w:p w14:paraId="32B26599" w14:textId="77777777" w:rsidR="009864DB" w:rsidRPr="004D46AC" w:rsidRDefault="009864DB" w:rsidP="009864DB">
            <w:pPr>
              <w:spacing w:line="240" w:lineRule="auto"/>
              <w:ind w:firstLine="0"/>
            </w:pPr>
            <w:r w:rsidRPr="004D46AC">
              <w:t>57</w:t>
            </w:r>
          </w:p>
        </w:tc>
        <w:tc>
          <w:tcPr>
            <w:tcW w:w="1096" w:type="dxa"/>
            <w:vAlign w:val="center"/>
          </w:tcPr>
          <w:p w14:paraId="00F07341" w14:textId="77777777" w:rsidR="009864DB" w:rsidRPr="004D46AC" w:rsidRDefault="009864DB" w:rsidP="009864DB">
            <w:pPr>
              <w:spacing w:line="240" w:lineRule="auto"/>
              <w:ind w:firstLine="0"/>
            </w:pPr>
            <w:r w:rsidRPr="004D46AC">
              <w:t>ICD9</w:t>
            </w:r>
          </w:p>
        </w:tc>
        <w:tc>
          <w:tcPr>
            <w:tcW w:w="1415" w:type="dxa"/>
            <w:vAlign w:val="center"/>
          </w:tcPr>
          <w:p w14:paraId="238241D5" w14:textId="77777777" w:rsidR="009864DB" w:rsidRPr="004D46AC" w:rsidRDefault="009864DB" w:rsidP="009864DB">
            <w:pPr>
              <w:spacing w:line="240" w:lineRule="auto"/>
              <w:ind w:firstLine="0"/>
            </w:pPr>
            <w:r w:rsidRPr="004D46AC">
              <w:t>unclear</w:t>
            </w:r>
          </w:p>
        </w:tc>
        <w:tc>
          <w:tcPr>
            <w:tcW w:w="876" w:type="dxa"/>
            <w:vAlign w:val="center"/>
          </w:tcPr>
          <w:p w14:paraId="57244B37" w14:textId="77777777" w:rsidR="009864DB" w:rsidRPr="004D46AC" w:rsidRDefault="009864DB" w:rsidP="009864DB">
            <w:pPr>
              <w:spacing w:line="240" w:lineRule="auto"/>
              <w:ind w:firstLine="0"/>
            </w:pPr>
            <w:r w:rsidRPr="004D46AC">
              <w:t>1471</w:t>
            </w:r>
          </w:p>
        </w:tc>
        <w:tc>
          <w:tcPr>
            <w:tcW w:w="986" w:type="dxa"/>
            <w:vAlign w:val="center"/>
          </w:tcPr>
          <w:p w14:paraId="26666339" w14:textId="77777777" w:rsidR="009864DB" w:rsidRPr="004D46AC" w:rsidRDefault="009864DB" w:rsidP="009864DB">
            <w:pPr>
              <w:spacing w:line="240" w:lineRule="auto"/>
              <w:ind w:firstLine="0"/>
            </w:pPr>
            <w:r w:rsidRPr="004D46AC">
              <w:t>3</w:t>
            </w:r>
          </w:p>
        </w:tc>
        <w:tc>
          <w:tcPr>
            <w:tcW w:w="751" w:type="dxa"/>
            <w:vAlign w:val="center"/>
          </w:tcPr>
          <w:p w14:paraId="40F94298" w14:textId="77777777" w:rsidR="009864DB" w:rsidRPr="004D46AC" w:rsidRDefault="009864DB" w:rsidP="009864DB">
            <w:pPr>
              <w:spacing w:line="240" w:lineRule="auto"/>
              <w:ind w:firstLine="0"/>
            </w:pPr>
            <w:r w:rsidRPr="004D46AC">
              <w:t>2</w:t>
            </w:r>
          </w:p>
        </w:tc>
        <w:tc>
          <w:tcPr>
            <w:tcW w:w="752" w:type="dxa"/>
            <w:vAlign w:val="center"/>
          </w:tcPr>
          <w:p w14:paraId="357CA699" w14:textId="77777777" w:rsidR="009864DB" w:rsidRPr="004D46AC" w:rsidRDefault="009864DB" w:rsidP="009864DB">
            <w:pPr>
              <w:spacing w:line="240" w:lineRule="auto"/>
              <w:ind w:firstLine="0"/>
            </w:pPr>
            <w:r w:rsidRPr="004D46AC">
              <w:t>0</w:t>
            </w:r>
          </w:p>
        </w:tc>
        <w:tc>
          <w:tcPr>
            <w:tcW w:w="1296" w:type="dxa"/>
            <w:vAlign w:val="center"/>
          </w:tcPr>
          <w:p w14:paraId="0A100C35" w14:textId="77777777" w:rsidR="009864DB" w:rsidRPr="004D46AC" w:rsidRDefault="009864DB" w:rsidP="009864DB">
            <w:pPr>
              <w:spacing w:line="240" w:lineRule="auto"/>
              <w:ind w:firstLine="0"/>
            </w:pPr>
            <w:r w:rsidRPr="004D46AC">
              <w:t>227</w:t>
            </w:r>
          </w:p>
        </w:tc>
        <w:tc>
          <w:tcPr>
            <w:tcW w:w="752" w:type="dxa"/>
            <w:vAlign w:val="center"/>
          </w:tcPr>
          <w:p w14:paraId="24B111D1" w14:textId="77777777" w:rsidR="009864DB" w:rsidRPr="004D46AC" w:rsidRDefault="009864DB" w:rsidP="009864DB">
            <w:pPr>
              <w:spacing w:line="240" w:lineRule="auto"/>
              <w:ind w:firstLine="0"/>
            </w:pPr>
            <w:r w:rsidRPr="004D46AC">
              <w:t>NA</w:t>
            </w:r>
          </w:p>
        </w:tc>
        <w:tc>
          <w:tcPr>
            <w:tcW w:w="789" w:type="dxa"/>
            <w:gridSpan w:val="2"/>
            <w:vAlign w:val="center"/>
          </w:tcPr>
          <w:p w14:paraId="38053A1F" w14:textId="77777777" w:rsidR="009864DB" w:rsidRPr="004D46AC" w:rsidRDefault="009864DB" w:rsidP="009864DB">
            <w:pPr>
              <w:spacing w:line="240" w:lineRule="auto"/>
              <w:ind w:firstLine="0"/>
            </w:pPr>
            <w:r w:rsidRPr="004D46AC">
              <w:t>NA</w:t>
            </w:r>
          </w:p>
        </w:tc>
      </w:tr>
      <w:tr w:rsidR="009864DB" w:rsidRPr="004D46AC" w14:paraId="0D9215E6" w14:textId="77777777" w:rsidTr="00B518F1">
        <w:tc>
          <w:tcPr>
            <w:tcW w:w="1476" w:type="dxa"/>
          </w:tcPr>
          <w:p w14:paraId="244CC57C"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AuthorYear="1"&gt;&lt;Author&gt;Lipkovich&lt;/Author&gt;&lt;Year&gt;2008&lt;/Year&gt;&lt;RecNum&gt;149&lt;/RecNum&gt;&lt;DisplayText&gt;Lipkovich et al. (2008)&lt;/DisplayText&gt;&lt;record&gt;&lt;rec-number&gt;149&lt;/rec-number&gt;&lt;foreign-keys&gt;&lt;key app="EN" db-id="aet009sstawa0hewvt3xwf5atffdw2dt02sw" timestamp="1665659388"&gt;149&lt;/key&gt;&lt;/foreign-keys&gt;&lt;ref-type name="Journal Article"&gt;17&lt;/ref-type&gt;&lt;contributors&gt;&lt;authors&gt;&lt;author&gt;Lipkovich, I. A.&lt;/author&gt;&lt;author&gt;Houston, J. P.&lt;/author&gt;&lt;author&gt;Ahl, J.&lt;/author&gt;&lt;/authors&gt;&lt;/contributors&gt;&lt;auth-address&gt;Lilly Research Laboratories, Eli Lilly and Company, Indianapolis, IN 46221, USA. lipkovichia@lilly.com&lt;/auth-address&gt;&lt;titles&gt;&lt;title&gt;Identifying patterns in treatment response profiles in acute bipolar mania: a cluster analysis approach&lt;/title&gt;&lt;secondary-title&gt;BMC Psychiatry&lt;/secondary-title&gt;&lt;/titles&gt;&lt;periodical&gt;&lt;full-title&gt;BMC Psychiatry&lt;/full-title&gt;&lt;/periodical&gt;&lt;pages&gt;65&lt;/pages&gt;&lt;volume&gt;8&lt;/volume&gt;&lt;edition&gt;20080729&lt;/edition&gt;&lt;keywords&gt;&lt;keyword&gt;Acute Disease&lt;/keyword&gt;&lt;keyword&gt;Adult&lt;/keyword&gt;&lt;keyword&gt;*Bipolar Disorder/diagnosis/epidemiology/therapy&lt;/keyword&gt;&lt;keyword&gt;Cluster Analysis&lt;/keyword&gt;&lt;keyword&gt;Female&lt;/keyword&gt;&lt;keyword&gt;Humans&lt;/keyword&gt;&lt;keyword&gt;Male&lt;/keyword&gt;&lt;keyword&gt;Prevalence&lt;/keyword&gt;&lt;keyword&gt;Surveys and Questionnaires&lt;/keyword&gt;&lt;keyword&gt;Treatment Outcome&lt;/keyword&gt;&lt;/keywords&gt;&lt;dates&gt;&lt;year&gt;2008&lt;/year&gt;&lt;pub-dates&gt;&lt;date&gt;Jul 29&lt;/date&gt;&lt;/pub-dates&gt;&lt;/dates&gt;&lt;isbn&gt;1471-244X (Electronic)&amp;#xD;1471-244X (Linking)&lt;/isbn&gt;&lt;accession-num&gt;18664256&lt;/accession-num&gt;&lt;urls&gt;&lt;related-urls&gt;&lt;url&gt;https://www.ncbi.nlm.nih.gov/pubmed/18664256&lt;/url&gt;&lt;/related-urls&gt;&lt;/urls&gt;&lt;custom2&gt;PMC2515837&lt;/custom2&gt;&lt;electronic-resource-num&gt;10.1186/1471-244X-8-65&lt;/electronic-resource-num&gt;&lt;remote-database-name&gt;Medline&lt;/remote-database-name&gt;&lt;remote-database-provider&gt;NLM&lt;/remote-database-provider&gt;&lt;language&gt;eng&lt;/language&gt;&lt;/record&gt;&lt;/Cite&gt;&lt;/EndNote&gt;</w:instrText>
            </w:r>
            <w:r w:rsidRPr="004D46AC">
              <w:fldChar w:fldCharType="separate"/>
            </w:r>
            <w:r w:rsidRPr="004D46AC">
              <w:t>Lipkovich et al. (2008)</w:t>
            </w:r>
            <w:r w:rsidRPr="004D46AC">
              <w:fldChar w:fldCharType="end"/>
            </w:r>
          </w:p>
        </w:tc>
        <w:tc>
          <w:tcPr>
            <w:tcW w:w="754" w:type="dxa"/>
            <w:vAlign w:val="center"/>
          </w:tcPr>
          <w:p w14:paraId="3040F480" w14:textId="77777777" w:rsidR="009864DB" w:rsidRPr="004D46AC" w:rsidRDefault="009864DB" w:rsidP="009864DB">
            <w:pPr>
              <w:spacing w:line="240" w:lineRule="auto"/>
              <w:ind w:firstLine="0"/>
            </w:pPr>
            <w:r w:rsidRPr="004D46AC">
              <w:t>5</w:t>
            </w:r>
          </w:p>
        </w:tc>
        <w:tc>
          <w:tcPr>
            <w:tcW w:w="766" w:type="dxa"/>
            <w:vAlign w:val="center"/>
          </w:tcPr>
          <w:p w14:paraId="46F08CCB" w14:textId="77777777" w:rsidR="009864DB" w:rsidRPr="004D46AC" w:rsidRDefault="009864DB" w:rsidP="009864DB">
            <w:pPr>
              <w:spacing w:line="240" w:lineRule="auto"/>
              <w:ind w:firstLine="0"/>
            </w:pPr>
            <w:r w:rsidRPr="004D46AC">
              <w:t>40.55</w:t>
            </w:r>
          </w:p>
        </w:tc>
        <w:tc>
          <w:tcPr>
            <w:tcW w:w="1096" w:type="dxa"/>
            <w:vAlign w:val="center"/>
          </w:tcPr>
          <w:p w14:paraId="15562DBA" w14:textId="77777777" w:rsidR="009864DB" w:rsidRPr="004D46AC" w:rsidRDefault="009864DB" w:rsidP="009864DB">
            <w:pPr>
              <w:spacing w:line="240" w:lineRule="auto"/>
              <w:ind w:firstLine="0"/>
            </w:pPr>
            <w:r w:rsidRPr="004D46AC">
              <w:t>DSM4</w:t>
            </w:r>
          </w:p>
        </w:tc>
        <w:tc>
          <w:tcPr>
            <w:tcW w:w="1415" w:type="dxa"/>
            <w:vAlign w:val="center"/>
          </w:tcPr>
          <w:p w14:paraId="2624F437" w14:textId="77777777" w:rsidR="009864DB" w:rsidRPr="004D46AC" w:rsidRDefault="009864DB" w:rsidP="009864DB">
            <w:pPr>
              <w:spacing w:line="240" w:lineRule="auto"/>
              <w:ind w:firstLine="0"/>
            </w:pPr>
            <w:r w:rsidRPr="004D46AC">
              <w:t>SCID-P</w:t>
            </w:r>
          </w:p>
        </w:tc>
        <w:tc>
          <w:tcPr>
            <w:tcW w:w="876" w:type="dxa"/>
            <w:vAlign w:val="center"/>
          </w:tcPr>
          <w:p w14:paraId="72B9ABEF" w14:textId="77777777" w:rsidR="009864DB" w:rsidRPr="004D46AC" w:rsidRDefault="009864DB" w:rsidP="009864DB">
            <w:pPr>
              <w:spacing w:line="240" w:lineRule="auto"/>
              <w:ind w:firstLine="0"/>
            </w:pPr>
            <w:r w:rsidRPr="004D46AC">
              <w:t>251</w:t>
            </w:r>
          </w:p>
        </w:tc>
        <w:tc>
          <w:tcPr>
            <w:tcW w:w="986" w:type="dxa"/>
            <w:vAlign w:val="center"/>
          </w:tcPr>
          <w:p w14:paraId="5805D460" w14:textId="77777777" w:rsidR="009864DB" w:rsidRPr="004D46AC" w:rsidRDefault="009864DB" w:rsidP="009864DB">
            <w:pPr>
              <w:spacing w:line="240" w:lineRule="auto"/>
              <w:ind w:firstLine="0"/>
            </w:pPr>
            <w:r w:rsidRPr="004D46AC">
              <w:t>3</w:t>
            </w:r>
          </w:p>
        </w:tc>
        <w:tc>
          <w:tcPr>
            <w:tcW w:w="751" w:type="dxa"/>
            <w:vAlign w:val="center"/>
          </w:tcPr>
          <w:p w14:paraId="72B15E15" w14:textId="77777777" w:rsidR="009864DB" w:rsidRPr="004D46AC" w:rsidRDefault="009864DB" w:rsidP="009864DB">
            <w:pPr>
              <w:spacing w:line="240" w:lineRule="auto"/>
              <w:ind w:firstLine="0"/>
            </w:pPr>
            <w:r w:rsidRPr="004D46AC">
              <w:t>2</w:t>
            </w:r>
          </w:p>
        </w:tc>
        <w:tc>
          <w:tcPr>
            <w:tcW w:w="752" w:type="dxa"/>
            <w:vAlign w:val="center"/>
          </w:tcPr>
          <w:p w14:paraId="19734B76" w14:textId="77777777" w:rsidR="009864DB" w:rsidRPr="004D46AC" w:rsidRDefault="009864DB" w:rsidP="009864DB">
            <w:pPr>
              <w:spacing w:line="240" w:lineRule="auto"/>
              <w:ind w:firstLine="0"/>
            </w:pPr>
            <w:r w:rsidRPr="004D46AC">
              <w:t>0</w:t>
            </w:r>
          </w:p>
        </w:tc>
        <w:tc>
          <w:tcPr>
            <w:tcW w:w="1296" w:type="dxa"/>
            <w:vAlign w:val="center"/>
          </w:tcPr>
          <w:p w14:paraId="77229CD8" w14:textId="77777777" w:rsidR="009864DB" w:rsidRPr="004D46AC" w:rsidRDefault="009864DB" w:rsidP="009864DB">
            <w:pPr>
              <w:spacing w:line="240" w:lineRule="auto"/>
              <w:ind w:firstLine="0"/>
            </w:pPr>
            <w:r w:rsidRPr="004D46AC">
              <w:t>114</w:t>
            </w:r>
          </w:p>
        </w:tc>
        <w:tc>
          <w:tcPr>
            <w:tcW w:w="752" w:type="dxa"/>
            <w:vAlign w:val="center"/>
          </w:tcPr>
          <w:p w14:paraId="05E80667" w14:textId="77777777" w:rsidR="009864DB" w:rsidRPr="004D46AC" w:rsidRDefault="009864DB" w:rsidP="009864DB">
            <w:pPr>
              <w:spacing w:line="240" w:lineRule="auto"/>
              <w:ind w:firstLine="0"/>
            </w:pPr>
            <w:r w:rsidRPr="004D46AC">
              <w:t>NA</w:t>
            </w:r>
          </w:p>
        </w:tc>
        <w:tc>
          <w:tcPr>
            <w:tcW w:w="789" w:type="dxa"/>
            <w:gridSpan w:val="2"/>
            <w:vAlign w:val="center"/>
          </w:tcPr>
          <w:p w14:paraId="314A61AE" w14:textId="77777777" w:rsidR="009864DB" w:rsidRPr="004D46AC" w:rsidRDefault="009864DB" w:rsidP="009864DB">
            <w:pPr>
              <w:spacing w:line="240" w:lineRule="auto"/>
              <w:ind w:firstLine="0"/>
            </w:pPr>
            <w:r w:rsidRPr="004D46AC">
              <w:t>NA</w:t>
            </w:r>
          </w:p>
        </w:tc>
      </w:tr>
      <w:tr w:rsidR="009864DB" w:rsidRPr="004D46AC" w14:paraId="33B5E275" w14:textId="77777777" w:rsidTr="00B518F1">
        <w:tc>
          <w:tcPr>
            <w:tcW w:w="1476" w:type="dxa"/>
          </w:tcPr>
          <w:p w14:paraId="385EC92F" w14:textId="77777777" w:rsidR="009864DB" w:rsidRPr="004D46AC" w:rsidRDefault="009864DB" w:rsidP="009864DB">
            <w:pPr>
              <w:spacing w:line="240" w:lineRule="auto"/>
              <w:ind w:firstLine="0"/>
            </w:pPr>
            <w:r w:rsidRPr="004D46AC">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instrText xml:space="preserve"> ADDIN EN.CITE </w:instrText>
            </w:r>
            <w:r w:rsidRPr="004D46AC">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instrText xml:space="preserve"> ADDIN EN.CITE.DATA </w:instrText>
            </w:r>
            <w:r w:rsidRPr="004D46AC">
              <w:fldChar w:fldCharType="end"/>
            </w:r>
            <w:r w:rsidRPr="004D46AC">
              <w:fldChar w:fldCharType="separate"/>
            </w:r>
            <w:r w:rsidRPr="004D46AC">
              <w:t>Parker et al. (2013)</w:t>
            </w:r>
            <w:r w:rsidRPr="004D46AC">
              <w:fldChar w:fldCharType="end"/>
            </w:r>
          </w:p>
        </w:tc>
        <w:tc>
          <w:tcPr>
            <w:tcW w:w="754" w:type="dxa"/>
            <w:vAlign w:val="center"/>
          </w:tcPr>
          <w:p w14:paraId="2758E57F" w14:textId="77777777" w:rsidR="009864DB" w:rsidRPr="004D46AC" w:rsidRDefault="009864DB" w:rsidP="009864DB">
            <w:pPr>
              <w:spacing w:line="240" w:lineRule="auto"/>
              <w:ind w:firstLine="0"/>
            </w:pPr>
            <w:r w:rsidRPr="004D46AC">
              <w:t>6</w:t>
            </w:r>
          </w:p>
        </w:tc>
        <w:tc>
          <w:tcPr>
            <w:tcW w:w="766" w:type="dxa"/>
            <w:vAlign w:val="center"/>
          </w:tcPr>
          <w:p w14:paraId="1868EF50" w14:textId="77777777" w:rsidR="009864DB" w:rsidRPr="004D46AC" w:rsidRDefault="009864DB" w:rsidP="009864DB">
            <w:pPr>
              <w:spacing w:line="240" w:lineRule="auto"/>
              <w:ind w:firstLine="0"/>
            </w:pPr>
            <w:r w:rsidRPr="004D46AC">
              <w:t>35.73</w:t>
            </w:r>
          </w:p>
        </w:tc>
        <w:tc>
          <w:tcPr>
            <w:tcW w:w="1096" w:type="dxa"/>
            <w:vAlign w:val="center"/>
          </w:tcPr>
          <w:p w14:paraId="0CB1900E" w14:textId="77777777" w:rsidR="009864DB" w:rsidRPr="004D46AC" w:rsidRDefault="009864DB" w:rsidP="009864DB">
            <w:pPr>
              <w:spacing w:line="240" w:lineRule="auto"/>
              <w:ind w:firstLine="0"/>
            </w:pPr>
            <w:r w:rsidRPr="004D46AC">
              <w:t>DSM4</w:t>
            </w:r>
          </w:p>
        </w:tc>
        <w:tc>
          <w:tcPr>
            <w:tcW w:w="1415" w:type="dxa"/>
            <w:vAlign w:val="center"/>
          </w:tcPr>
          <w:p w14:paraId="12F02136" w14:textId="77777777" w:rsidR="009864DB" w:rsidRPr="004D46AC" w:rsidRDefault="009864DB" w:rsidP="009864DB">
            <w:pPr>
              <w:spacing w:line="240" w:lineRule="auto"/>
              <w:ind w:firstLine="0"/>
            </w:pPr>
            <w:r w:rsidRPr="004D46AC">
              <w:t>mixed</w:t>
            </w:r>
          </w:p>
        </w:tc>
        <w:tc>
          <w:tcPr>
            <w:tcW w:w="876" w:type="dxa"/>
            <w:vAlign w:val="center"/>
          </w:tcPr>
          <w:p w14:paraId="2136C9F8" w14:textId="77777777" w:rsidR="009864DB" w:rsidRPr="004D46AC" w:rsidRDefault="009864DB" w:rsidP="009864DB">
            <w:pPr>
              <w:spacing w:line="240" w:lineRule="auto"/>
              <w:ind w:firstLine="0"/>
            </w:pPr>
            <w:r w:rsidRPr="004D46AC">
              <w:t>632</w:t>
            </w:r>
          </w:p>
        </w:tc>
        <w:tc>
          <w:tcPr>
            <w:tcW w:w="986" w:type="dxa"/>
            <w:vAlign w:val="center"/>
          </w:tcPr>
          <w:p w14:paraId="4DEEEF28" w14:textId="77777777" w:rsidR="009864DB" w:rsidRPr="004D46AC" w:rsidRDefault="009864DB" w:rsidP="009864DB">
            <w:pPr>
              <w:spacing w:line="240" w:lineRule="auto"/>
              <w:ind w:firstLine="0"/>
            </w:pPr>
            <w:r w:rsidRPr="004D46AC">
              <w:t>unclear</w:t>
            </w:r>
          </w:p>
        </w:tc>
        <w:tc>
          <w:tcPr>
            <w:tcW w:w="751" w:type="dxa"/>
            <w:vAlign w:val="center"/>
          </w:tcPr>
          <w:p w14:paraId="6259B6FB" w14:textId="77777777" w:rsidR="009864DB" w:rsidRPr="004D46AC" w:rsidRDefault="009864DB" w:rsidP="009864DB">
            <w:pPr>
              <w:spacing w:line="240" w:lineRule="auto"/>
              <w:ind w:firstLine="0"/>
            </w:pPr>
            <w:r w:rsidRPr="004D46AC">
              <w:t>1</w:t>
            </w:r>
          </w:p>
        </w:tc>
        <w:tc>
          <w:tcPr>
            <w:tcW w:w="752" w:type="dxa"/>
            <w:vAlign w:val="center"/>
          </w:tcPr>
          <w:p w14:paraId="26CDB924" w14:textId="77777777" w:rsidR="009864DB" w:rsidRPr="004D46AC" w:rsidRDefault="009864DB" w:rsidP="009864DB">
            <w:pPr>
              <w:spacing w:line="240" w:lineRule="auto"/>
              <w:ind w:firstLine="0"/>
            </w:pPr>
            <w:r w:rsidRPr="004D46AC">
              <w:t>2</w:t>
            </w:r>
          </w:p>
        </w:tc>
        <w:tc>
          <w:tcPr>
            <w:tcW w:w="1296" w:type="dxa"/>
          </w:tcPr>
          <w:p w14:paraId="3D445A84" w14:textId="77777777" w:rsidR="009864DB" w:rsidRPr="004D46AC" w:rsidRDefault="009864DB" w:rsidP="009864DB">
            <w:pPr>
              <w:spacing w:line="240" w:lineRule="auto"/>
              <w:ind w:firstLine="0"/>
            </w:pPr>
            <w:r w:rsidRPr="004D46AC">
              <w:t>136</w:t>
            </w:r>
          </w:p>
        </w:tc>
        <w:tc>
          <w:tcPr>
            <w:tcW w:w="752" w:type="dxa"/>
            <w:vAlign w:val="center"/>
          </w:tcPr>
          <w:p w14:paraId="02515BE3" w14:textId="77777777" w:rsidR="009864DB" w:rsidRPr="004D46AC" w:rsidRDefault="009864DB" w:rsidP="009864DB">
            <w:pPr>
              <w:spacing w:line="240" w:lineRule="auto"/>
              <w:ind w:firstLine="0"/>
            </w:pPr>
            <w:r w:rsidRPr="004D46AC">
              <w:t>NA</w:t>
            </w:r>
          </w:p>
        </w:tc>
        <w:tc>
          <w:tcPr>
            <w:tcW w:w="789" w:type="dxa"/>
            <w:gridSpan w:val="2"/>
            <w:vAlign w:val="center"/>
          </w:tcPr>
          <w:p w14:paraId="063ED674" w14:textId="77777777" w:rsidR="009864DB" w:rsidRPr="004D46AC" w:rsidRDefault="009864DB" w:rsidP="009864DB">
            <w:pPr>
              <w:spacing w:line="240" w:lineRule="auto"/>
              <w:ind w:firstLine="0"/>
            </w:pPr>
            <w:r w:rsidRPr="004D46AC">
              <w:t>NA</w:t>
            </w:r>
          </w:p>
        </w:tc>
      </w:tr>
      <w:tr w:rsidR="009864DB" w:rsidRPr="004D46AC" w14:paraId="61A722A2" w14:textId="77777777" w:rsidTr="00B518F1">
        <w:tc>
          <w:tcPr>
            <w:tcW w:w="1476" w:type="dxa"/>
          </w:tcPr>
          <w:p w14:paraId="63BD6375"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AuthorYear="1"&gt;&lt;Author&gt;Chaudhary&lt;/Author&gt;&lt;Year&gt;2021&lt;/Year&gt;&lt;RecNum&gt;152&lt;/RecNum&gt;&lt;DisplayText&gt;Chaudhary et al. (2021)&lt;/DisplayText&gt;&lt;record&gt;&lt;rec-number&gt;152&lt;/rec-number&gt;&lt;foreign-keys&gt;&lt;key app="EN" db-id="aet009sstawa0hewvt3xwf5atffdw2dt02sw" timestamp="1665663701"&gt;152&lt;/key&gt;&lt;/foreign-keys&gt;&lt;ref-type name="Journal Article"&gt;17&lt;/ref-type&gt;&lt;contributors&gt;&lt;authors&gt;&lt;author&gt;Chaudhary, Pradhyuman&lt;/author&gt;&lt;author&gt;Parikh, Nimesh&lt;/author&gt;&lt;author&gt;Sharma, Prateek&lt;/author&gt;&lt;/authors&gt;&lt;/contributors&gt;&lt;titles&gt;&lt;title&gt;Characteristics of mood-congruent and mood-incongruent psychotic features in bipolar disorder&lt;/title&gt;&lt;secondary-title&gt;Neuropsychiatria i Neuropsychologia&lt;/secondary-title&gt;&lt;/titles&gt;&lt;pages&gt;66-75&lt;/pages&gt;&lt;volume&gt;16&lt;/volume&gt;&lt;number&gt;1-2&lt;/number&gt;&lt;section&gt;66&lt;/section&gt;&lt;dates&gt;&lt;year&gt;2021&lt;/year&gt;&lt;/dates&gt;&lt;isbn&gt;1896-6764&lt;/isbn&gt;&lt;label&gt;Chaudhary2021&lt;/label&gt;&lt;work-type&gt;journal article&lt;/work-type&gt;&lt;urls&gt;&lt;related-urls&gt;&lt;url&gt;http://dx.doi.org/10.5114/nan.2021.108035&lt;/url&gt;&lt;/related-urls&gt;&lt;/urls&gt;&lt;electronic-resource-num&gt;10.5114/nan.2021.108035&lt;/electronic-resource-num&gt;&lt;/record&gt;&lt;/Cite&gt;&lt;/EndNote&gt;</w:instrText>
            </w:r>
            <w:r w:rsidRPr="004D46AC">
              <w:fldChar w:fldCharType="separate"/>
            </w:r>
            <w:r w:rsidRPr="004D46AC">
              <w:t>Chaudhary et al. (2021)</w:t>
            </w:r>
            <w:r w:rsidRPr="004D46AC">
              <w:fldChar w:fldCharType="end"/>
            </w:r>
          </w:p>
        </w:tc>
        <w:tc>
          <w:tcPr>
            <w:tcW w:w="754" w:type="dxa"/>
            <w:vAlign w:val="center"/>
          </w:tcPr>
          <w:p w14:paraId="739D5C99" w14:textId="77777777" w:rsidR="009864DB" w:rsidRPr="004D46AC" w:rsidRDefault="009864DB" w:rsidP="009864DB">
            <w:pPr>
              <w:spacing w:line="240" w:lineRule="auto"/>
              <w:ind w:firstLine="0"/>
            </w:pPr>
            <w:r w:rsidRPr="004D46AC">
              <w:t>4</w:t>
            </w:r>
          </w:p>
        </w:tc>
        <w:tc>
          <w:tcPr>
            <w:tcW w:w="766" w:type="dxa"/>
            <w:vAlign w:val="center"/>
          </w:tcPr>
          <w:p w14:paraId="76F6610D" w14:textId="77777777" w:rsidR="009864DB" w:rsidRPr="004D46AC" w:rsidRDefault="009864DB" w:rsidP="009864DB">
            <w:pPr>
              <w:spacing w:line="240" w:lineRule="auto"/>
              <w:ind w:firstLine="0"/>
            </w:pPr>
            <w:r w:rsidRPr="004D46AC">
              <w:t>NA</w:t>
            </w:r>
          </w:p>
        </w:tc>
        <w:tc>
          <w:tcPr>
            <w:tcW w:w="1096" w:type="dxa"/>
            <w:vAlign w:val="center"/>
          </w:tcPr>
          <w:p w14:paraId="64F61925" w14:textId="77777777" w:rsidR="009864DB" w:rsidRPr="004D46AC" w:rsidRDefault="009864DB" w:rsidP="009864DB">
            <w:pPr>
              <w:spacing w:line="240" w:lineRule="auto"/>
              <w:ind w:firstLine="0"/>
            </w:pPr>
            <w:r w:rsidRPr="004D46AC">
              <w:t>DSM4TR</w:t>
            </w:r>
          </w:p>
        </w:tc>
        <w:tc>
          <w:tcPr>
            <w:tcW w:w="1415" w:type="dxa"/>
            <w:vAlign w:val="center"/>
          </w:tcPr>
          <w:p w14:paraId="502F9029" w14:textId="77777777" w:rsidR="009864DB" w:rsidRPr="004D46AC" w:rsidRDefault="009864DB" w:rsidP="009864DB">
            <w:pPr>
              <w:spacing w:line="240" w:lineRule="auto"/>
              <w:ind w:firstLine="0"/>
            </w:pPr>
            <w:r w:rsidRPr="004D46AC">
              <w:t>SCID</w:t>
            </w:r>
          </w:p>
        </w:tc>
        <w:tc>
          <w:tcPr>
            <w:tcW w:w="876" w:type="dxa"/>
            <w:vAlign w:val="center"/>
          </w:tcPr>
          <w:p w14:paraId="4BBA4811" w14:textId="77777777" w:rsidR="009864DB" w:rsidRPr="004D46AC" w:rsidRDefault="009864DB" w:rsidP="009864DB">
            <w:pPr>
              <w:spacing w:line="240" w:lineRule="auto"/>
              <w:ind w:firstLine="0"/>
            </w:pPr>
            <w:r w:rsidRPr="004D46AC">
              <w:t>188</w:t>
            </w:r>
          </w:p>
        </w:tc>
        <w:tc>
          <w:tcPr>
            <w:tcW w:w="986" w:type="dxa"/>
            <w:vAlign w:val="center"/>
          </w:tcPr>
          <w:p w14:paraId="446B7F7B" w14:textId="77777777" w:rsidR="009864DB" w:rsidRPr="004D46AC" w:rsidRDefault="009864DB" w:rsidP="009864DB">
            <w:pPr>
              <w:spacing w:line="240" w:lineRule="auto"/>
              <w:ind w:firstLine="0"/>
            </w:pPr>
            <w:r w:rsidRPr="004D46AC">
              <w:t>3</w:t>
            </w:r>
          </w:p>
        </w:tc>
        <w:tc>
          <w:tcPr>
            <w:tcW w:w="751" w:type="dxa"/>
            <w:vAlign w:val="center"/>
          </w:tcPr>
          <w:p w14:paraId="6B065A36" w14:textId="77777777" w:rsidR="009864DB" w:rsidRPr="004D46AC" w:rsidRDefault="009864DB" w:rsidP="009864DB">
            <w:pPr>
              <w:spacing w:line="240" w:lineRule="auto"/>
              <w:ind w:firstLine="0"/>
            </w:pPr>
            <w:r w:rsidRPr="004D46AC">
              <w:t>1</w:t>
            </w:r>
          </w:p>
        </w:tc>
        <w:tc>
          <w:tcPr>
            <w:tcW w:w="752" w:type="dxa"/>
            <w:vAlign w:val="center"/>
          </w:tcPr>
          <w:p w14:paraId="6DBFC339" w14:textId="77777777" w:rsidR="009864DB" w:rsidRPr="004D46AC" w:rsidRDefault="009864DB" w:rsidP="009864DB">
            <w:pPr>
              <w:spacing w:line="240" w:lineRule="auto"/>
              <w:ind w:firstLine="0"/>
            </w:pPr>
            <w:r w:rsidRPr="004D46AC">
              <w:t>0</w:t>
            </w:r>
          </w:p>
        </w:tc>
        <w:tc>
          <w:tcPr>
            <w:tcW w:w="1296" w:type="dxa"/>
            <w:vAlign w:val="center"/>
          </w:tcPr>
          <w:p w14:paraId="70B15A6A" w14:textId="77777777" w:rsidR="009864DB" w:rsidRPr="004D46AC" w:rsidRDefault="009864DB" w:rsidP="009864DB">
            <w:pPr>
              <w:spacing w:line="240" w:lineRule="auto"/>
              <w:ind w:firstLine="0"/>
            </w:pPr>
            <w:r w:rsidRPr="004D46AC">
              <w:t>92</w:t>
            </w:r>
          </w:p>
        </w:tc>
        <w:tc>
          <w:tcPr>
            <w:tcW w:w="752" w:type="dxa"/>
            <w:vAlign w:val="center"/>
          </w:tcPr>
          <w:p w14:paraId="5EE68653" w14:textId="77777777" w:rsidR="009864DB" w:rsidRPr="004D46AC" w:rsidRDefault="009864DB" w:rsidP="009864DB">
            <w:pPr>
              <w:spacing w:line="240" w:lineRule="auto"/>
              <w:ind w:firstLine="0"/>
            </w:pPr>
            <w:r w:rsidRPr="004D46AC">
              <w:t>86</w:t>
            </w:r>
          </w:p>
        </w:tc>
        <w:tc>
          <w:tcPr>
            <w:tcW w:w="789" w:type="dxa"/>
            <w:gridSpan w:val="2"/>
            <w:vAlign w:val="center"/>
          </w:tcPr>
          <w:p w14:paraId="4CBBF4B2" w14:textId="77777777" w:rsidR="009864DB" w:rsidRPr="004D46AC" w:rsidRDefault="009864DB" w:rsidP="009864DB">
            <w:pPr>
              <w:spacing w:line="240" w:lineRule="auto"/>
              <w:ind w:firstLine="0"/>
            </w:pPr>
            <w:r w:rsidRPr="004D46AC">
              <w:t>6</w:t>
            </w:r>
          </w:p>
        </w:tc>
      </w:tr>
      <w:tr w:rsidR="009864DB" w:rsidRPr="004D46AC" w14:paraId="696AA231" w14:textId="77777777" w:rsidTr="00B518F1">
        <w:tc>
          <w:tcPr>
            <w:tcW w:w="1476" w:type="dxa"/>
          </w:tcPr>
          <w:p w14:paraId="63E8961D" w14:textId="77777777" w:rsidR="009864DB" w:rsidRPr="004D46AC" w:rsidRDefault="009864DB" w:rsidP="009864DB">
            <w:pPr>
              <w:spacing w:line="240" w:lineRule="auto"/>
              <w:ind w:firstLine="0"/>
            </w:pPr>
            <w:r w:rsidRPr="004D46AC">
              <w:fldChar w:fldCharType="begin">
                <w:fldData xml:space="preserve">PEVuZE5vdGU+PENpdGUgQXV0aG9yWWVhcj0iMSI+PEF1dGhvcj5LYXRvPC9BdXRob3I+PFllYXI+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</w:fldData>
              </w:fldChar>
            </w:r>
            <w:r w:rsidRPr="004D46AC">
              <w:instrText xml:space="preserve"> ADDIN EN.CITE </w:instrText>
            </w:r>
            <w:r w:rsidRPr="004D46AC">
              <w:fldChar w:fldCharType="begin">
                <w:fldData xml:space="preserve">PEVuZE5vdGU+PENpdGUgQXV0aG9yWWVhcj0iMSI+PEF1dGhvcj5LYXRvPC9BdXRob3I+PFllYXI+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</w:fldData>
              </w:fldChar>
            </w:r>
            <w:r w:rsidRPr="004D46AC">
              <w:instrText xml:space="preserve"> ADDIN EN.CITE.DATA </w:instrText>
            </w:r>
            <w:r w:rsidRPr="004D46AC">
              <w:fldChar w:fldCharType="end"/>
            </w:r>
            <w:r w:rsidRPr="004D46AC">
              <w:fldChar w:fldCharType="separate"/>
            </w:r>
            <w:r w:rsidRPr="004D46AC">
              <w:t>Kato et al. (2020)</w:t>
            </w:r>
            <w:r w:rsidRPr="004D46AC">
              <w:fldChar w:fldCharType="end"/>
            </w:r>
          </w:p>
        </w:tc>
        <w:tc>
          <w:tcPr>
            <w:tcW w:w="754" w:type="dxa"/>
            <w:vAlign w:val="center"/>
          </w:tcPr>
          <w:p w14:paraId="6CD3BAA3" w14:textId="77777777" w:rsidR="009864DB" w:rsidRPr="004D46AC" w:rsidRDefault="009864DB" w:rsidP="009864DB">
            <w:pPr>
              <w:spacing w:line="240" w:lineRule="auto"/>
              <w:ind w:firstLine="0"/>
            </w:pPr>
            <w:r w:rsidRPr="004D46AC">
              <w:t>7</w:t>
            </w:r>
          </w:p>
        </w:tc>
        <w:tc>
          <w:tcPr>
            <w:tcW w:w="766" w:type="dxa"/>
            <w:vAlign w:val="center"/>
          </w:tcPr>
          <w:p w14:paraId="11ABF2D5" w14:textId="77777777" w:rsidR="009864DB" w:rsidRPr="004D46AC" w:rsidRDefault="009864DB" w:rsidP="009864DB">
            <w:pPr>
              <w:spacing w:line="240" w:lineRule="auto"/>
              <w:ind w:firstLine="0"/>
            </w:pPr>
            <w:r w:rsidRPr="004D46AC">
              <w:t>50.53</w:t>
            </w:r>
          </w:p>
        </w:tc>
        <w:tc>
          <w:tcPr>
            <w:tcW w:w="1096" w:type="dxa"/>
            <w:vAlign w:val="center"/>
          </w:tcPr>
          <w:p w14:paraId="0C8F9359" w14:textId="77777777" w:rsidR="009864DB" w:rsidRPr="004D46AC" w:rsidRDefault="009864DB" w:rsidP="009864DB">
            <w:pPr>
              <w:spacing w:line="240" w:lineRule="auto"/>
              <w:ind w:firstLine="0"/>
            </w:pPr>
            <w:r w:rsidRPr="004D46AC">
              <w:t>ICD10</w:t>
            </w:r>
          </w:p>
        </w:tc>
        <w:tc>
          <w:tcPr>
            <w:tcW w:w="1415" w:type="dxa"/>
            <w:vAlign w:val="center"/>
          </w:tcPr>
          <w:p w14:paraId="7B14791F" w14:textId="77777777" w:rsidR="009864DB" w:rsidRPr="004D46AC" w:rsidRDefault="009864DB" w:rsidP="009864DB">
            <w:pPr>
              <w:spacing w:line="240" w:lineRule="auto"/>
              <w:ind w:firstLine="0"/>
            </w:pPr>
            <w:r w:rsidRPr="004D46AC">
              <w:t>unclear</w:t>
            </w:r>
          </w:p>
        </w:tc>
        <w:tc>
          <w:tcPr>
            <w:tcW w:w="876" w:type="dxa"/>
            <w:vAlign w:val="center"/>
          </w:tcPr>
          <w:p w14:paraId="5B779884" w14:textId="77777777" w:rsidR="009864DB" w:rsidRPr="004D46AC" w:rsidRDefault="009864DB" w:rsidP="009864DB">
            <w:pPr>
              <w:spacing w:line="240" w:lineRule="auto"/>
              <w:ind w:firstLine="0"/>
            </w:pPr>
            <w:r w:rsidRPr="004D46AC">
              <w:t>2609</w:t>
            </w:r>
          </w:p>
        </w:tc>
        <w:tc>
          <w:tcPr>
            <w:tcW w:w="986" w:type="dxa"/>
            <w:vAlign w:val="center"/>
          </w:tcPr>
          <w:p w14:paraId="1622DC58" w14:textId="77777777" w:rsidR="009864DB" w:rsidRPr="004D46AC" w:rsidRDefault="009864DB" w:rsidP="009864DB">
            <w:pPr>
              <w:spacing w:line="240" w:lineRule="auto"/>
              <w:ind w:firstLine="0"/>
            </w:pPr>
            <w:r w:rsidRPr="004D46AC">
              <w:t>1</w:t>
            </w:r>
          </w:p>
        </w:tc>
        <w:tc>
          <w:tcPr>
            <w:tcW w:w="751" w:type="dxa"/>
            <w:vAlign w:val="center"/>
          </w:tcPr>
          <w:p w14:paraId="526BCE05" w14:textId="77777777" w:rsidR="009864DB" w:rsidRPr="004D46AC" w:rsidRDefault="009864DB" w:rsidP="009864DB">
            <w:pPr>
              <w:spacing w:line="240" w:lineRule="auto"/>
              <w:ind w:firstLine="0"/>
            </w:pPr>
            <w:r w:rsidRPr="004D46AC">
              <w:t>1</w:t>
            </w:r>
          </w:p>
        </w:tc>
        <w:tc>
          <w:tcPr>
            <w:tcW w:w="752" w:type="dxa"/>
            <w:vAlign w:val="center"/>
          </w:tcPr>
          <w:p w14:paraId="0CCB7C8C" w14:textId="77777777" w:rsidR="009864DB" w:rsidRPr="004D46AC" w:rsidRDefault="009864DB" w:rsidP="009864DB">
            <w:pPr>
              <w:spacing w:line="240" w:lineRule="auto"/>
              <w:ind w:firstLine="0"/>
            </w:pPr>
            <w:r w:rsidRPr="004D46AC">
              <w:t>0</w:t>
            </w:r>
          </w:p>
        </w:tc>
        <w:tc>
          <w:tcPr>
            <w:tcW w:w="1296" w:type="dxa"/>
            <w:vAlign w:val="center"/>
          </w:tcPr>
          <w:p w14:paraId="7575BB75" w14:textId="77777777" w:rsidR="009864DB" w:rsidRPr="004D46AC" w:rsidRDefault="009864DB" w:rsidP="009864DB">
            <w:pPr>
              <w:spacing w:line="240" w:lineRule="auto"/>
              <w:ind w:firstLine="0"/>
            </w:pPr>
            <w:r w:rsidRPr="004D46AC">
              <w:t>147</w:t>
            </w:r>
          </w:p>
        </w:tc>
        <w:tc>
          <w:tcPr>
            <w:tcW w:w="752" w:type="dxa"/>
            <w:vAlign w:val="center"/>
          </w:tcPr>
          <w:p w14:paraId="40A564F9" w14:textId="77777777" w:rsidR="009864DB" w:rsidRPr="004D46AC" w:rsidRDefault="009864DB" w:rsidP="009864DB">
            <w:pPr>
              <w:spacing w:line="240" w:lineRule="auto"/>
              <w:ind w:firstLine="0"/>
            </w:pPr>
            <w:r w:rsidRPr="004D46AC">
              <w:t>NA</w:t>
            </w:r>
          </w:p>
        </w:tc>
        <w:tc>
          <w:tcPr>
            <w:tcW w:w="789" w:type="dxa"/>
            <w:gridSpan w:val="2"/>
            <w:vAlign w:val="center"/>
          </w:tcPr>
          <w:p w14:paraId="241F8CD6" w14:textId="77777777" w:rsidR="009864DB" w:rsidRPr="004D46AC" w:rsidRDefault="009864DB" w:rsidP="009864DB">
            <w:pPr>
              <w:spacing w:line="240" w:lineRule="auto"/>
              <w:ind w:firstLine="0"/>
            </w:pPr>
            <w:r w:rsidRPr="004D46AC">
              <w:t>NA</w:t>
            </w:r>
          </w:p>
        </w:tc>
      </w:tr>
      <w:tr w:rsidR="009864DB" w:rsidRPr="004D46AC" w14:paraId="2A86F100" w14:textId="77777777" w:rsidTr="00B518F1">
        <w:tc>
          <w:tcPr>
            <w:tcW w:w="1476" w:type="dxa"/>
          </w:tcPr>
          <w:p w14:paraId="3ADD1156" w14:textId="77777777" w:rsidR="009864DB" w:rsidRPr="004D46AC" w:rsidRDefault="009864DB" w:rsidP="009864DB">
            <w:pPr>
              <w:spacing w:line="240" w:lineRule="auto"/>
              <w:ind w:firstLine="0"/>
            </w:pPr>
            <w:r w:rsidRPr="004D46AC">
              <w:lastRenderedPageBreak/>
              <w:fldChar w:fldCharType="begin">
                <w:fldData xml:space="preserve">PEVuZE5vdGU+PENpdGUgQXV0aG9yWWVhcj0iMSI+PEF1dGhvcj5NYWo8L0F1dGhvcj48WWVhcj4x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</w:fldData>
              </w:fldChar>
            </w:r>
            <w:r w:rsidRPr="004D46AC">
              <w:instrText xml:space="preserve"> ADDIN EN.CITE </w:instrText>
            </w:r>
            <w:r w:rsidRPr="004D46AC">
              <w:fldChar w:fldCharType="begin">
                <w:fldData xml:space="preserve">PEVuZE5vdGU+PENpdGUgQXV0aG9yWWVhcj0iMSI+PEF1dGhvcj5NYWo8L0F1dGhvcj48WWVhcj4x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</w:fldData>
              </w:fldChar>
            </w:r>
            <w:r w:rsidRPr="004D46AC">
              <w:instrText xml:space="preserve"> ADDIN EN.CITE.DATA </w:instrText>
            </w:r>
            <w:r w:rsidRPr="004D46AC">
              <w:fldChar w:fldCharType="end"/>
            </w:r>
            <w:r w:rsidRPr="004D46AC">
              <w:fldChar w:fldCharType="separate"/>
            </w:r>
            <w:r w:rsidRPr="004D46AC">
              <w:t>Maj et al. (1998)</w:t>
            </w:r>
            <w:r w:rsidRPr="004D46AC">
              <w:fldChar w:fldCharType="end"/>
            </w:r>
          </w:p>
        </w:tc>
        <w:tc>
          <w:tcPr>
            <w:tcW w:w="754" w:type="dxa"/>
            <w:vAlign w:val="center"/>
          </w:tcPr>
          <w:p w14:paraId="4DEEDA6C" w14:textId="77777777" w:rsidR="009864DB" w:rsidRPr="004D46AC" w:rsidRDefault="009864DB" w:rsidP="009864DB">
            <w:pPr>
              <w:spacing w:line="240" w:lineRule="auto"/>
              <w:ind w:firstLine="0"/>
            </w:pPr>
            <w:r w:rsidRPr="004D46AC">
              <w:t>4</w:t>
            </w:r>
          </w:p>
        </w:tc>
        <w:tc>
          <w:tcPr>
            <w:tcW w:w="766" w:type="dxa"/>
            <w:vAlign w:val="center"/>
          </w:tcPr>
          <w:p w14:paraId="5F3E3454" w14:textId="77777777" w:rsidR="009864DB" w:rsidRPr="004D46AC" w:rsidRDefault="009864DB" w:rsidP="009864DB">
            <w:pPr>
              <w:spacing w:line="240" w:lineRule="auto"/>
              <w:ind w:firstLine="0"/>
            </w:pPr>
            <w:r w:rsidRPr="004D46AC">
              <w:t>41.12</w:t>
            </w:r>
          </w:p>
        </w:tc>
        <w:tc>
          <w:tcPr>
            <w:tcW w:w="1096" w:type="dxa"/>
            <w:vAlign w:val="center"/>
          </w:tcPr>
          <w:p w14:paraId="706A6536" w14:textId="77777777" w:rsidR="009864DB" w:rsidRPr="004D46AC" w:rsidRDefault="009864DB" w:rsidP="009864DB">
            <w:pPr>
              <w:spacing w:line="240" w:lineRule="auto"/>
              <w:ind w:firstLine="0"/>
            </w:pPr>
            <w:r w:rsidRPr="004D46AC">
              <w:t>RDC</w:t>
            </w:r>
          </w:p>
        </w:tc>
        <w:tc>
          <w:tcPr>
            <w:tcW w:w="1415" w:type="dxa"/>
            <w:vAlign w:val="center"/>
          </w:tcPr>
          <w:p w14:paraId="3CB9BBA2" w14:textId="77777777" w:rsidR="009864DB" w:rsidRPr="004D46AC" w:rsidRDefault="009864DB" w:rsidP="009864DB">
            <w:pPr>
              <w:spacing w:line="240" w:lineRule="auto"/>
              <w:ind w:firstLine="0"/>
            </w:pPr>
            <w:r w:rsidRPr="004D46AC">
              <w:t>SADS</w:t>
            </w:r>
          </w:p>
        </w:tc>
        <w:tc>
          <w:tcPr>
            <w:tcW w:w="876" w:type="dxa"/>
            <w:vAlign w:val="center"/>
          </w:tcPr>
          <w:p w14:paraId="3C6008CC" w14:textId="77777777" w:rsidR="009864DB" w:rsidRPr="004D46AC" w:rsidRDefault="009864DB" w:rsidP="009864DB">
            <w:pPr>
              <w:spacing w:line="240" w:lineRule="auto"/>
              <w:ind w:firstLine="0"/>
            </w:pPr>
            <w:r w:rsidRPr="004D46AC">
              <w:t>247</w:t>
            </w:r>
          </w:p>
        </w:tc>
        <w:tc>
          <w:tcPr>
            <w:tcW w:w="986" w:type="dxa"/>
            <w:vAlign w:val="center"/>
          </w:tcPr>
          <w:p w14:paraId="4B3E56DF" w14:textId="77777777" w:rsidR="009864DB" w:rsidRPr="004D46AC" w:rsidRDefault="009864DB" w:rsidP="009864DB">
            <w:pPr>
              <w:spacing w:line="240" w:lineRule="auto"/>
              <w:ind w:firstLine="0"/>
            </w:pPr>
            <w:r w:rsidRPr="004D46AC">
              <w:t>unclear</w:t>
            </w:r>
          </w:p>
        </w:tc>
        <w:tc>
          <w:tcPr>
            <w:tcW w:w="751" w:type="dxa"/>
            <w:vAlign w:val="center"/>
          </w:tcPr>
          <w:p w14:paraId="31977DE8" w14:textId="77777777" w:rsidR="009864DB" w:rsidRPr="004D46AC" w:rsidRDefault="009864DB" w:rsidP="009864DB">
            <w:pPr>
              <w:spacing w:line="240" w:lineRule="auto"/>
              <w:ind w:firstLine="0"/>
            </w:pPr>
            <w:r w:rsidRPr="004D46AC">
              <w:t>2</w:t>
            </w:r>
          </w:p>
        </w:tc>
        <w:tc>
          <w:tcPr>
            <w:tcW w:w="752" w:type="dxa"/>
            <w:vAlign w:val="center"/>
          </w:tcPr>
          <w:p w14:paraId="1BC5FF68" w14:textId="77777777" w:rsidR="009864DB" w:rsidRPr="004D46AC" w:rsidRDefault="009864DB" w:rsidP="009864DB">
            <w:pPr>
              <w:spacing w:line="240" w:lineRule="auto"/>
              <w:ind w:firstLine="0"/>
            </w:pPr>
            <w:r w:rsidRPr="004D46AC">
              <w:t>0</w:t>
            </w:r>
          </w:p>
        </w:tc>
        <w:tc>
          <w:tcPr>
            <w:tcW w:w="1296" w:type="dxa"/>
            <w:vAlign w:val="center"/>
          </w:tcPr>
          <w:p w14:paraId="15E3EF42" w14:textId="77777777" w:rsidR="009864DB" w:rsidRPr="004D46AC" w:rsidRDefault="009864DB" w:rsidP="009864DB">
            <w:pPr>
              <w:spacing w:line="240" w:lineRule="auto"/>
              <w:ind w:firstLine="0"/>
            </w:pPr>
            <w:r w:rsidRPr="004D46AC">
              <w:t>59</w:t>
            </w:r>
          </w:p>
        </w:tc>
        <w:tc>
          <w:tcPr>
            <w:tcW w:w="752" w:type="dxa"/>
            <w:vAlign w:val="center"/>
          </w:tcPr>
          <w:p w14:paraId="645E6C79" w14:textId="77777777" w:rsidR="009864DB" w:rsidRPr="004D46AC" w:rsidRDefault="009864DB" w:rsidP="009864DB">
            <w:pPr>
              <w:spacing w:line="240" w:lineRule="auto"/>
              <w:ind w:firstLine="0"/>
            </w:pPr>
            <w:r w:rsidRPr="004D46AC">
              <w:t>NA</w:t>
            </w:r>
          </w:p>
        </w:tc>
        <w:tc>
          <w:tcPr>
            <w:tcW w:w="789" w:type="dxa"/>
            <w:gridSpan w:val="2"/>
            <w:vAlign w:val="center"/>
          </w:tcPr>
          <w:p w14:paraId="15745253" w14:textId="77777777" w:rsidR="009864DB" w:rsidRPr="004D46AC" w:rsidRDefault="009864DB" w:rsidP="009864DB">
            <w:pPr>
              <w:spacing w:line="240" w:lineRule="auto"/>
              <w:ind w:firstLine="0"/>
            </w:pPr>
            <w:r w:rsidRPr="004D46AC">
              <w:t>NA</w:t>
            </w:r>
          </w:p>
        </w:tc>
      </w:tr>
      <w:tr w:rsidR="009864DB" w:rsidRPr="004D46AC" w14:paraId="67DC823A" w14:textId="77777777" w:rsidTr="00B518F1">
        <w:tc>
          <w:tcPr>
            <w:tcW w:w="1476" w:type="dxa"/>
          </w:tcPr>
          <w:p w14:paraId="15D86558" w14:textId="77777777" w:rsidR="009864DB" w:rsidRPr="004D46AC" w:rsidRDefault="009864DB" w:rsidP="009864DB">
            <w:pPr>
              <w:spacing w:line="240" w:lineRule="auto"/>
              <w:ind w:firstLine="0"/>
            </w:pPr>
            <w:r w:rsidRPr="004D46AC">
              <w:fldChar w:fldCharType="begin">
                <w:fldData xml:space="preserve">PEVuZE5vdGU+PENpdGUgQXV0aG9yWWVhcj0iMSI+PEF1dGhvcj5adXRzaGk8L0F1dGhvcj48WWVh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 </w:instrText>
            </w:r>
            <w:r w:rsidRPr="004D46AC">
              <w:fldChar w:fldCharType="begin">
                <w:fldData xml:space="preserve">PEVuZE5vdGU+PENpdGUgQXV0aG9yWWVhcj0iMSI+PEF1dGhvcj5adXRzaGk8L0F1dGhvcj48WWVh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EN.CITE.DATA </w:instrText>
            </w:r>
            <w:r w:rsidRPr="004D46AC">
              <w:fldChar w:fldCharType="end"/>
            </w:r>
            <w:r w:rsidRPr="004D46AC">
              <w:fldChar w:fldCharType="separate"/>
            </w:r>
            <w:r w:rsidRPr="004D46AC">
              <w:t>Zutshi et al. (2006)</w:t>
            </w:r>
            <w:r w:rsidRPr="004D46AC">
              <w:fldChar w:fldCharType="end"/>
            </w:r>
          </w:p>
        </w:tc>
        <w:tc>
          <w:tcPr>
            <w:tcW w:w="754" w:type="dxa"/>
            <w:vAlign w:val="center"/>
          </w:tcPr>
          <w:p w14:paraId="29B49A5E" w14:textId="77777777" w:rsidR="009864DB" w:rsidRPr="004D46AC" w:rsidRDefault="009864DB" w:rsidP="009864DB">
            <w:pPr>
              <w:spacing w:line="240" w:lineRule="auto"/>
              <w:ind w:firstLine="0"/>
            </w:pPr>
            <w:r w:rsidRPr="004D46AC">
              <w:t>6</w:t>
            </w:r>
          </w:p>
        </w:tc>
        <w:tc>
          <w:tcPr>
            <w:tcW w:w="766" w:type="dxa"/>
            <w:vAlign w:val="center"/>
          </w:tcPr>
          <w:p w14:paraId="1092C0DF" w14:textId="77777777" w:rsidR="009864DB" w:rsidRPr="004D46AC" w:rsidRDefault="009864DB" w:rsidP="009864DB">
            <w:pPr>
              <w:spacing w:line="240" w:lineRule="auto"/>
              <w:ind w:firstLine="0"/>
            </w:pPr>
            <w:r w:rsidRPr="004D46AC">
              <w:t>30.06</w:t>
            </w:r>
          </w:p>
        </w:tc>
        <w:tc>
          <w:tcPr>
            <w:tcW w:w="1096" w:type="dxa"/>
            <w:vAlign w:val="center"/>
          </w:tcPr>
          <w:p w14:paraId="68FDF1BE" w14:textId="77777777" w:rsidR="009864DB" w:rsidRPr="004D46AC" w:rsidRDefault="009864DB" w:rsidP="009864DB">
            <w:pPr>
              <w:spacing w:line="240" w:lineRule="auto"/>
              <w:ind w:firstLine="0"/>
            </w:pPr>
            <w:r w:rsidRPr="004D46AC">
              <w:t>DSM4</w:t>
            </w:r>
          </w:p>
        </w:tc>
        <w:tc>
          <w:tcPr>
            <w:tcW w:w="1415" w:type="dxa"/>
            <w:vAlign w:val="center"/>
          </w:tcPr>
          <w:p w14:paraId="712FF1D8" w14:textId="77777777" w:rsidR="009864DB" w:rsidRPr="004D46AC" w:rsidRDefault="009864DB" w:rsidP="009864DB">
            <w:pPr>
              <w:spacing w:line="240" w:lineRule="auto"/>
              <w:ind w:firstLine="0"/>
            </w:pPr>
            <w:r w:rsidRPr="004D46AC">
              <w:t>SCID-C</w:t>
            </w:r>
          </w:p>
        </w:tc>
        <w:tc>
          <w:tcPr>
            <w:tcW w:w="876" w:type="dxa"/>
            <w:vAlign w:val="center"/>
          </w:tcPr>
          <w:p w14:paraId="575DD3EB" w14:textId="77777777" w:rsidR="009864DB" w:rsidRPr="004D46AC" w:rsidRDefault="009864DB" w:rsidP="009864DB">
            <w:pPr>
              <w:spacing w:line="240" w:lineRule="auto"/>
              <w:ind w:firstLine="0"/>
            </w:pPr>
            <w:r w:rsidRPr="004D46AC">
              <w:t>80</w:t>
            </w:r>
          </w:p>
        </w:tc>
        <w:tc>
          <w:tcPr>
            <w:tcW w:w="986" w:type="dxa"/>
            <w:vAlign w:val="center"/>
          </w:tcPr>
          <w:p w14:paraId="4597C04D" w14:textId="77777777" w:rsidR="009864DB" w:rsidRPr="004D46AC" w:rsidRDefault="009864DB" w:rsidP="009864DB">
            <w:pPr>
              <w:spacing w:line="240" w:lineRule="auto"/>
              <w:ind w:firstLine="0"/>
            </w:pPr>
            <w:r w:rsidRPr="004D46AC">
              <w:t>unclear</w:t>
            </w:r>
          </w:p>
        </w:tc>
        <w:tc>
          <w:tcPr>
            <w:tcW w:w="751" w:type="dxa"/>
            <w:vAlign w:val="center"/>
          </w:tcPr>
          <w:p w14:paraId="69B93352" w14:textId="77777777" w:rsidR="009864DB" w:rsidRPr="004D46AC" w:rsidRDefault="009864DB" w:rsidP="009864DB">
            <w:pPr>
              <w:spacing w:line="240" w:lineRule="auto"/>
              <w:ind w:firstLine="0"/>
            </w:pPr>
            <w:r w:rsidRPr="004D46AC">
              <w:t>1</w:t>
            </w:r>
          </w:p>
        </w:tc>
        <w:tc>
          <w:tcPr>
            <w:tcW w:w="752" w:type="dxa"/>
            <w:vAlign w:val="center"/>
          </w:tcPr>
          <w:p w14:paraId="00F2B978" w14:textId="77777777" w:rsidR="009864DB" w:rsidRPr="004D46AC" w:rsidRDefault="009864DB" w:rsidP="009864DB">
            <w:pPr>
              <w:spacing w:line="240" w:lineRule="auto"/>
              <w:ind w:firstLine="0"/>
            </w:pPr>
            <w:r w:rsidRPr="004D46AC">
              <w:t>2</w:t>
            </w:r>
          </w:p>
        </w:tc>
        <w:tc>
          <w:tcPr>
            <w:tcW w:w="1296" w:type="dxa"/>
          </w:tcPr>
          <w:p w14:paraId="7AC1DA8D" w14:textId="77777777" w:rsidR="009864DB" w:rsidRPr="004D46AC" w:rsidRDefault="009864DB" w:rsidP="009864DB">
            <w:pPr>
              <w:spacing w:line="240" w:lineRule="auto"/>
              <w:ind w:firstLine="0"/>
            </w:pPr>
            <w:r w:rsidRPr="004D46AC">
              <w:t>66</w:t>
            </w:r>
          </w:p>
        </w:tc>
        <w:tc>
          <w:tcPr>
            <w:tcW w:w="752" w:type="dxa"/>
            <w:vAlign w:val="center"/>
          </w:tcPr>
          <w:p w14:paraId="79EA48A2" w14:textId="77777777" w:rsidR="009864DB" w:rsidRPr="004D46AC" w:rsidRDefault="009864DB" w:rsidP="009864DB">
            <w:pPr>
              <w:spacing w:line="240" w:lineRule="auto"/>
              <w:ind w:firstLine="0"/>
            </w:pPr>
            <w:r w:rsidRPr="004D46AC">
              <w:t>NA</w:t>
            </w:r>
          </w:p>
        </w:tc>
        <w:tc>
          <w:tcPr>
            <w:tcW w:w="789" w:type="dxa"/>
            <w:gridSpan w:val="2"/>
            <w:vAlign w:val="center"/>
          </w:tcPr>
          <w:p w14:paraId="2BF16C82" w14:textId="77777777" w:rsidR="009864DB" w:rsidRPr="004D46AC" w:rsidRDefault="009864DB" w:rsidP="009864DB">
            <w:pPr>
              <w:spacing w:line="240" w:lineRule="auto"/>
              <w:ind w:firstLine="0"/>
            </w:pPr>
            <w:r w:rsidRPr="004D46AC">
              <w:t>NA</w:t>
            </w:r>
          </w:p>
        </w:tc>
      </w:tr>
      <w:tr w:rsidR="009864DB" w:rsidRPr="004D46AC" w14:paraId="46CF8042" w14:textId="77777777" w:rsidTr="00B518F1">
        <w:tc>
          <w:tcPr>
            <w:tcW w:w="1476" w:type="dxa"/>
          </w:tcPr>
          <w:p w14:paraId="117CE475" w14:textId="77777777" w:rsidR="009864DB" w:rsidRPr="004D46AC" w:rsidRDefault="009864DB" w:rsidP="009864DB">
            <w:pPr>
              <w:spacing w:line="240" w:lineRule="auto"/>
              <w:ind w:firstLine="0"/>
            </w:pPr>
            <w:r w:rsidRPr="004D46AC">
              <w:fldChar w:fldCharType="begin">
                <w:fldData xml:space="preserve">PEVuZE5vdGU+PENpdGUgQXV0aG9yWWVhcj0iMSI+PEF1dGhvcj5TYW1hbGluPC9BdXRob3I+PFll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instrText xml:space="preserve"> ADDIN EN.CITE </w:instrText>
            </w:r>
            <w:r w:rsidRPr="004D46AC">
              <w:fldChar w:fldCharType="begin">
                <w:fldData xml:space="preserve">PEVuZE5vdGU+PENpdGUgQXV0aG9yWWVhcj0iMSI+PEF1dGhvcj5TYW1hbGluPC9BdXRob3I+PFll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instrText xml:space="preserve"> ADDIN EN.CITE.DATA </w:instrText>
            </w:r>
            <w:r w:rsidRPr="004D46AC">
              <w:fldChar w:fldCharType="end"/>
            </w:r>
            <w:r w:rsidRPr="004D46AC">
              <w:fldChar w:fldCharType="separate"/>
            </w:r>
            <w:r w:rsidRPr="004D46AC">
              <w:t>Samalin et al. (2014)</w:t>
            </w:r>
            <w:r w:rsidRPr="004D46AC">
              <w:fldChar w:fldCharType="end"/>
            </w:r>
          </w:p>
        </w:tc>
        <w:tc>
          <w:tcPr>
            <w:tcW w:w="754" w:type="dxa"/>
            <w:vAlign w:val="center"/>
          </w:tcPr>
          <w:p w14:paraId="7F5519DE" w14:textId="77777777" w:rsidR="009864DB" w:rsidRPr="004D46AC" w:rsidRDefault="009864DB" w:rsidP="009864DB">
            <w:pPr>
              <w:spacing w:line="240" w:lineRule="auto"/>
              <w:ind w:firstLine="0"/>
            </w:pPr>
            <w:r w:rsidRPr="004D46AC">
              <w:t>6</w:t>
            </w:r>
          </w:p>
        </w:tc>
        <w:tc>
          <w:tcPr>
            <w:tcW w:w="766" w:type="dxa"/>
            <w:vAlign w:val="center"/>
          </w:tcPr>
          <w:p w14:paraId="7ECE50C8" w14:textId="77777777" w:rsidR="009864DB" w:rsidRPr="004D46AC" w:rsidRDefault="009864DB" w:rsidP="009864DB">
            <w:pPr>
              <w:spacing w:line="240" w:lineRule="auto"/>
              <w:ind w:firstLine="0"/>
            </w:pPr>
            <w:r w:rsidRPr="004D46AC">
              <w:t>47.8</w:t>
            </w:r>
          </w:p>
        </w:tc>
        <w:tc>
          <w:tcPr>
            <w:tcW w:w="1096" w:type="dxa"/>
            <w:vAlign w:val="center"/>
          </w:tcPr>
          <w:p w14:paraId="4BFE01AA" w14:textId="77777777" w:rsidR="009864DB" w:rsidRPr="004D46AC" w:rsidRDefault="009864DB" w:rsidP="009864DB">
            <w:pPr>
              <w:spacing w:line="240" w:lineRule="auto"/>
              <w:ind w:firstLine="0"/>
            </w:pPr>
            <w:r w:rsidRPr="004D46AC">
              <w:t>DSM4</w:t>
            </w:r>
          </w:p>
        </w:tc>
        <w:tc>
          <w:tcPr>
            <w:tcW w:w="1415" w:type="dxa"/>
            <w:vAlign w:val="center"/>
          </w:tcPr>
          <w:p w14:paraId="6A92BE15" w14:textId="77777777" w:rsidR="009864DB" w:rsidRPr="004D46AC" w:rsidRDefault="009864DB" w:rsidP="009864DB">
            <w:pPr>
              <w:spacing w:line="240" w:lineRule="auto"/>
              <w:ind w:firstLine="0"/>
            </w:pPr>
            <w:r w:rsidRPr="004D46AC">
              <w:t>unclear</w:t>
            </w:r>
          </w:p>
        </w:tc>
        <w:tc>
          <w:tcPr>
            <w:tcW w:w="876" w:type="dxa"/>
            <w:vAlign w:val="center"/>
          </w:tcPr>
          <w:p w14:paraId="1A9317FA" w14:textId="77777777" w:rsidR="009864DB" w:rsidRPr="004D46AC" w:rsidRDefault="009864DB" w:rsidP="009864DB">
            <w:pPr>
              <w:spacing w:line="240" w:lineRule="auto"/>
              <w:ind w:firstLine="0"/>
            </w:pPr>
            <w:r w:rsidRPr="004D46AC">
              <w:t>525</w:t>
            </w:r>
          </w:p>
        </w:tc>
        <w:tc>
          <w:tcPr>
            <w:tcW w:w="986" w:type="dxa"/>
            <w:vAlign w:val="center"/>
          </w:tcPr>
          <w:p w14:paraId="180B9E53" w14:textId="77777777" w:rsidR="009864DB" w:rsidRPr="004D46AC" w:rsidRDefault="009864DB" w:rsidP="009864DB">
            <w:pPr>
              <w:spacing w:line="240" w:lineRule="auto"/>
              <w:ind w:firstLine="0"/>
            </w:pPr>
            <w:r w:rsidRPr="004D46AC">
              <w:t>1</w:t>
            </w:r>
          </w:p>
        </w:tc>
        <w:tc>
          <w:tcPr>
            <w:tcW w:w="751" w:type="dxa"/>
            <w:vAlign w:val="center"/>
          </w:tcPr>
          <w:p w14:paraId="10C59B17" w14:textId="77777777" w:rsidR="009864DB" w:rsidRPr="004D46AC" w:rsidRDefault="009864DB" w:rsidP="009864DB">
            <w:pPr>
              <w:spacing w:line="240" w:lineRule="auto"/>
              <w:ind w:firstLine="0"/>
            </w:pPr>
            <w:r w:rsidRPr="004D46AC">
              <w:t>1</w:t>
            </w:r>
          </w:p>
        </w:tc>
        <w:tc>
          <w:tcPr>
            <w:tcW w:w="752" w:type="dxa"/>
            <w:vAlign w:val="center"/>
          </w:tcPr>
          <w:p w14:paraId="07DB7908" w14:textId="77777777" w:rsidR="009864DB" w:rsidRPr="004D46AC" w:rsidRDefault="009864DB" w:rsidP="009864DB">
            <w:pPr>
              <w:spacing w:line="240" w:lineRule="auto"/>
              <w:ind w:firstLine="0"/>
            </w:pPr>
            <w:r w:rsidRPr="004D46AC">
              <w:t>0</w:t>
            </w:r>
          </w:p>
        </w:tc>
        <w:tc>
          <w:tcPr>
            <w:tcW w:w="1296" w:type="dxa"/>
            <w:vAlign w:val="center"/>
          </w:tcPr>
          <w:p w14:paraId="09BED9D0" w14:textId="77777777" w:rsidR="009864DB" w:rsidRPr="004D46AC" w:rsidRDefault="009864DB" w:rsidP="009864DB">
            <w:pPr>
              <w:spacing w:line="240" w:lineRule="auto"/>
              <w:ind w:firstLine="0"/>
            </w:pPr>
            <w:r w:rsidRPr="004D46AC">
              <w:t>141</w:t>
            </w:r>
          </w:p>
        </w:tc>
        <w:tc>
          <w:tcPr>
            <w:tcW w:w="752" w:type="dxa"/>
            <w:vAlign w:val="center"/>
          </w:tcPr>
          <w:p w14:paraId="79B6B2FC" w14:textId="77777777" w:rsidR="009864DB" w:rsidRPr="004D46AC" w:rsidRDefault="009864DB" w:rsidP="009864DB">
            <w:pPr>
              <w:spacing w:line="240" w:lineRule="auto"/>
              <w:ind w:firstLine="0"/>
            </w:pPr>
            <w:r w:rsidRPr="004D46AC">
              <w:t>NA</w:t>
            </w:r>
          </w:p>
        </w:tc>
        <w:tc>
          <w:tcPr>
            <w:tcW w:w="789" w:type="dxa"/>
            <w:gridSpan w:val="2"/>
            <w:vAlign w:val="center"/>
          </w:tcPr>
          <w:p w14:paraId="70FD771D" w14:textId="77777777" w:rsidR="009864DB" w:rsidRPr="004D46AC" w:rsidRDefault="009864DB" w:rsidP="009864DB">
            <w:pPr>
              <w:spacing w:line="240" w:lineRule="auto"/>
              <w:ind w:firstLine="0"/>
            </w:pPr>
            <w:r w:rsidRPr="004D46AC">
              <w:t>NA</w:t>
            </w:r>
          </w:p>
        </w:tc>
      </w:tr>
      <w:tr w:rsidR="009864DB" w:rsidRPr="004D46AC" w14:paraId="5620B823" w14:textId="77777777" w:rsidTr="00B518F1">
        <w:tc>
          <w:tcPr>
            <w:tcW w:w="1476" w:type="dxa"/>
          </w:tcPr>
          <w:p w14:paraId="21782D09" w14:textId="77777777" w:rsidR="009864DB" w:rsidRPr="004D46AC" w:rsidRDefault="009864DB" w:rsidP="009864DB">
            <w:pPr>
              <w:spacing w:line="240" w:lineRule="auto"/>
              <w:ind w:firstLine="0"/>
            </w:pPr>
            <w:r w:rsidRPr="004D46AC">
              <w:fldChar w:fldCharType="begin">
                <w:fldData xml:space="preserve">PEVuZE5vdGU+PENpdGUgQXV0aG9yWWVhcj0iMSI+PEF1dGhvcj5TY2h1cmhvZmY8L0F1dGhvcj48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</w:fldData>
              </w:fldChar>
            </w:r>
            <w:r w:rsidRPr="004D46AC">
              <w:instrText xml:space="preserve"> ADDIN EN.CITE </w:instrText>
            </w:r>
            <w:r w:rsidRPr="004D46AC">
              <w:fldChar w:fldCharType="begin">
                <w:fldData xml:space="preserve">PEVuZE5vdGU+PENpdGUgQXV0aG9yWWVhcj0iMSI+PEF1dGhvcj5TY2h1cmhvZmY8L0F1dGhvcj48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</w:fldData>
              </w:fldChar>
            </w:r>
            <w:r w:rsidRPr="004D46AC">
              <w:instrText xml:space="preserve"> ADDIN EN.CITE.DATA </w:instrText>
            </w:r>
            <w:r w:rsidRPr="004D46AC">
              <w:fldChar w:fldCharType="end"/>
            </w:r>
            <w:r w:rsidRPr="004D46AC">
              <w:fldChar w:fldCharType="separate"/>
            </w:r>
            <w:r w:rsidRPr="004D46AC">
              <w:t>Schurhoff et al. (2000)</w:t>
            </w:r>
            <w:r w:rsidRPr="004D46AC">
              <w:fldChar w:fldCharType="end"/>
            </w:r>
          </w:p>
        </w:tc>
        <w:tc>
          <w:tcPr>
            <w:tcW w:w="754" w:type="dxa"/>
            <w:vAlign w:val="center"/>
          </w:tcPr>
          <w:p w14:paraId="1A646992" w14:textId="77777777" w:rsidR="009864DB" w:rsidRPr="004D46AC" w:rsidRDefault="009864DB" w:rsidP="009864DB">
            <w:pPr>
              <w:spacing w:line="240" w:lineRule="auto"/>
              <w:ind w:firstLine="0"/>
            </w:pPr>
            <w:r w:rsidRPr="004D46AC">
              <w:t>3</w:t>
            </w:r>
          </w:p>
        </w:tc>
        <w:tc>
          <w:tcPr>
            <w:tcW w:w="766" w:type="dxa"/>
            <w:vAlign w:val="center"/>
          </w:tcPr>
          <w:p w14:paraId="1932BB77" w14:textId="77777777" w:rsidR="009864DB" w:rsidRPr="004D46AC" w:rsidRDefault="009864DB" w:rsidP="009864DB">
            <w:pPr>
              <w:spacing w:line="240" w:lineRule="auto"/>
              <w:ind w:firstLine="0"/>
            </w:pPr>
            <w:r w:rsidRPr="004D46AC">
              <w:t>44.29</w:t>
            </w:r>
          </w:p>
        </w:tc>
        <w:tc>
          <w:tcPr>
            <w:tcW w:w="1096" w:type="dxa"/>
            <w:vAlign w:val="center"/>
          </w:tcPr>
          <w:p w14:paraId="4A4E8B43" w14:textId="77777777" w:rsidR="009864DB" w:rsidRPr="004D46AC" w:rsidRDefault="009864DB" w:rsidP="009864DB">
            <w:pPr>
              <w:spacing w:line="240" w:lineRule="auto"/>
              <w:ind w:firstLine="0"/>
            </w:pPr>
            <w:r w:rsidRPr="004D46AC">
              <w:t>mixed</w:t>
            </w:r>
          </w:p>
        </w:tc>
        <w:tc>
          <w:tcPr>
            <w:tcW w:w="1415" w:type="dxa"/>
            <w:vAlign w:val="center"/>
          </w:tcPr>
          <w:p w14:paraId="42416AAC" w14:textId="77777777" w:rsidR="009864DB" w:rsidRPr="004D46AC" w:rsidRDefault="009864DB" w:rsidP="009864DB">
            <w:pPr>
              <w:spacing w:line="240" w:lineRule="auto"/>
              <w:ind w:firstLine="0"/>
            </w:pPr>
            <w:r w:rsidRPr="004D46AC">
              <w:t>DIGS</w:t>
            </w:r>
          </w:p>
        </w:tc>
        <w:tc>
          <w:tcPr>
            <w:tcW w:w="876" w:type="dxa"/>
            <w:vAlign w:val="center"/>
          </w:tcPr>
          <w:p w14:paraId="62A62073" w14:textId="77777777" w:rsidR="009864DB" w:rsidRPr="004D46AC" w:rsidRDefault="009864DB" w:rsidP="009864DB">
            <w:pPr>
              <w:spacing w:line="240" w:lineRule="auto"/>
              <w:ind w:firstLine="0"/>
            </w:pPr>
            <w:r w:rsidRPr="004D46AC">
              <w:t>97</w:t>
            </w:r>
          </w:p>
        </w:tc>
        <w:tc>
          <w:tcPr>
            <w:tcW w:w="986" w:type="dxa"/>
            <w:vAlign w:val="center"/>
          </w:tcPr>
          <w:p w14:paraId="1A37BF0F" w14:textId="77777777" w:rsidR="009864DB" w:rsidRPr="004D46AC" w:rsidRDefault="009864DB" w:rsidP="009864DB">
            <w:pPr>
              <w:spacing w:line="240" w:lineRule="auto"/>
              <w:ind w:firstLine="0"/>
            </w:pPr>
            <w:r w:rsidRPr="004D46AC">
              <w:t>unclear</w:t>
            </w:r>
          </w:p>
        </w:tc>
        <w:tc>
          <w:tcPr>
            <w:tcW w:w="751" w:type="dxa"/>
            <w:vAlign w:val="center"/>
          </w:tcPr>
          <w:p w14:paraId="67A96FC6" w14:textId="77777777" w:rsidR="009864DB" w:rsidRPr="004D46AC" w:rsidRDefault="009864DB" w:rsidP="009864DB">
            <w:pPr>
              <w:spacing w:line="240" w:lineRule="auto"/>
              <w:ind w:firstLine="0"/>
            </w:pPr>
            <w:r w:rsidRPr="004D46AC">
              <w:t>1</w:t>
            </w:r>
          </w:p>
        </w:tc>
        <w:tc>
          <w:tcPr>
            <w:tcW w:w="752" w:type="dxa"/>
            <w:vAlign w:val="center"/>
          </w:tcPr>
          <w:p w14:paraId="6A31EA26" w14:textId="77777777" w:rsidR="009864DB" w:rsidRPr="004D46AC" w:rsidRDefault="009864DB" w:rsidP="009864DB">
            <w:pPr>
              <w:spacing w:line="240" w:lineRule="auto"/>
              <w:ind w:firstLine="0"/>
            </w:pPr>
            <w:r w:rsidRPr="004D46AC">
              <w:t>0</w:t>
            </w:r>
          </w:p>
        </w:tc>
        <w:tc>
          <w:tcPr>
            <w:tcW w:w="1296" w:type="dxa"/>
            <w:vAlign w:val="center"/>
          </w:tcPr>
          <w:p w14:paraId="17F0B13D" w14:textId="77777777" w:rsidR="009864DB" w:rsidRPr="004D46AC" w:rsidRDefault="009864DB" w:rsidP="009864DB">
            <w:pPr>
              <w:spacing w:line="240" w:lineRule="auto"/>
              <w:ind w:firstLine="0"/>
            </w:pPr>
            <w:r w:rsidRPr="004D46AC">
              <w:t>37</w:t>
            </w:r>
          </w:p>
        </w:tc>
        <w:tc>
          <w:tcPr>
            <w:tcW w:w="752" w:type="dxa"/>
            <w:vAlign w:val="center"/>
          </w:tcPr>
          <w:p w14:paraId="07CC2730" w14:textId="77777777" w:rsidR="009864DB" w:rsidRPr="004D46AC" w:rsidRDefault="009864DB" w:rsidP="009864DB">
            <w:pPr>
              <w:spacing w:line="240" w:lineRule="auto"/>
              <w:ind w:firstLine="0"/>
            </w:pPr>
            <w:r w:rsidRPr="004D46AC">
              <w:t>NA</w:t>
            </w:r>
          </w:p>
        </w:tc>
        <w:tc>
          <w:tcPr>
            <w:tcW w:w="789" w:type="dxa"/>
            <w:gridSpan w:val="2"/>
            <w:vAlign w:val="center"/>
          </w:tcPr>
          <w:p w14:paraId="3E080E7D" w14:textId="77777777" w:rsidR="009864DB" w:rsidRPr="004D46AC" w:rsidRDefault="009864DB" w:rsidP="009864DB">
            <w:pPr>
              <w:spacing w:line="240" w:lineRule="auto"/>
              <w:ind w:firstLine="0"/>
            </w:pPr>
            <w:r w:rsidRPr="004D46AC">
              <w:t>NA</w:t>
            </w:r>
          </w:p>
        </w:tc>
      </w:tr>
      <w:tr w:rsidR="009864DB" w:rsidRPr="004D46AC" w14:paraId="327CB4EA" w14:textId="77777777" w:rsidTr="00B518F1">
        <w:tc>
          <w:tcPr>
            <w:tcW w:w="1476" w:type="dxa"/>
          </w:tcPr>
          <w:p w14:paraId="4044F1A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AuthorYear="1"&gt;&lt;Author&gt;Perugi&lt;/Author&gt;&lt;Year&gt;1997&lt;/Year&gt;&lt;RecNum&gt;158&lt;/RecNum&gt;&lt;DisplayText&gt;Perugi et al. (1997)&lt;/DisplayText&gt;&lt;record&gt;&lt;rec-number&gt;158&lt;/rec-number&gt;&lt;foreign-keys&gt;&lt;key app="EN" db-id="aet009sstawa0hewvt3xwf5atffdw2dt02sw" timestamp="1665754948"&gt;158&lt;/key&gt;&lt;/foreign-keys&gt;&lt;ref-type name="Journal Article"&gt;17&lt;/ref-type&gt;&lt;contributors&gt;&lt;authors&gt;&lt;author&gt;Perugi, G.&lt;/author&gt;&lt;author&gt;Akiskal, H. S.&lt;/author&gt;&lt;author&gt;Micheli, C.&lt;/author&gt;&lt;author&gt;Musetti, L.&lt;/author&gt;&lt;author&gt;Paiano, A.&lt;/author&gt;&lt;author&gt;Quilici, C.&lt;/author&gt;&lt;author&gt;Rossi, L.&lt;/author&gt;&lt;author&gt;Cassano, G. B.&lt;/author&gt;&lt;/authors&gt;&lt;/contributors&gt;&lt;auth-address&gt;Institute of Psychiatry, University of Pisa, Italy.&lt;/auth-address&gt;&lt;titles&gt;&lt;title&gt;Clinical subtypes of bipolar mixed states: validating a broader European definition in 143 cases&lt;/title&gt;&lt;secondary-title&gt;J Affect Disord&lt;/secondary-title&gt;&lt;/titles&gt;&lt;periodical&gt;&lt;full-title&gt;J Affect Disord&lt;/full-title&gt;&lt;/periodical&gt;&lt;pages&gt;169-80&lt;/pages&gt;&lt;volume&gt;43&lt;/volume&gt;&lt;number&gt;3&lt;/number&gt;&lt;keywords&gt;&lt;keyword&gt;Adolescent&lt;/keyword&gt;&lt;keyword&gt;Adult&lt;/keyword&gt;&lt;keyword&gt;Aged&lt;/keyword&gt;&lt;keyword&gt;Bipolar Disorder/*diagnosis/psychology&lt;/keyword&gt;&lt;keyword&gt;Female&lt;/keyword&gt;&lt;keyword&gt;Humans&lt;/keyword&gt;&lt;keyword&gt;Male&lt;/keyword&gt;&lt;keyword&gt;Middle Aged&lt;/keyword&gt;&lt;keyword&gt;Psychiatric Status Rating Scales&lt;/keyword&gt;&lt;keyword&gt;Sex Factors&lt;/keyword&gt;&lt;/keywords&gt;&lt;dates&gt;&lt;year&gt;1997&lt;/year&gt;&lt;pub-dates&gt;&lt;date&gt;May&lt;/date&gt;&lt;/pub-dates&gt;&lt;/dates&gt;&lt;isbn&gt;0165-0327 (Print)&amp;#xD;0165-0327 (Linking)&lt;/isbn&gt;&lt;accession-num&gt;9186787&lt;/accession-num&gt;&lt;urls&gt;&lt;related-urls&gt;&lt;url&gt;https://www.ncbi.nlm.nih.gov/pubmed/9186787&lt;/url&gt;&lt;/related-urls&gt;&lt;/urls&gt;&lt;electronic-resource-num&gt;10.1016/s0165-0327(97)01446-8&lt;/electronic-resource-num&gt;&lt;remote-database-name&gt;Medline&lt;/remote-database-name&gt;&lt;remote-database-provider&gt;NLM&lt;/remote-database-provider&gt;&lt;language&gt;eng&lt;/language&gt;&lt;/record&gt;&lt;/Cite&gt;&lt;/EndNote&gt;</w:instrText>
            </w:r>
            <w:r w:rsidRPr="004D46AC">
              <w:fldChar w:fldCharType="separate"/>
            </w:r>
            <w:r w:rsidRPr="004D46AC">
              <w:t>Perugi et al. (1997)</w:t>
            </w:r>
            <w:r w:rsidRPr="004D46AC">
              <w:fldChar w:fldCharType="end"/>
            </w:r>
          </w:p>
        </w:tc>
        <w:tc>
          <w:tcPr>
            <w:tcW w:w="754" w:type="dxa"/>
            <w:vAlign w:val="center"/>
          </w:tcPr>
          <w:p w14:paraId="2FF86752" w14:textId="77777777" w:rsidR="009864DB" w:rsidRPr="004D46AC" w:rsidRDefault="009864DB" w:rsidP="009864DB">
            <w:pPr>
              <w:spacing w:line="240" w:lineRule="auto"/>
              <w:ind w:firstLine="0"/>
            </w:pPr>
            <w:r w:rsidRPr="004D46AC">
              <w:t>7</w:t>
            </w:r>
          </w:p>
        </w:tc>
        <w:tc>
          <w:tcPr>
            <w:tcW w:w="766" w:type="dxa"/>
            <w:vAlign w:val="center"/>
          </w:tcPr>
          <w:p w14:paraId="67A076B9" w14:textId="77777777" w:rsidR="009864DB" w:rsidRPr="004D46AC" w:rsidRDefault="009864DB" w:rsidP="009864DB">
            <w:pPr>
              <w:spacing w:line="240" w:lineRule="auto"/>
              <w:ind w:firstLine="0"/>
            </w:pPr>
            <w:r w:rsidRPr="004D46AC">
              <w:t>38.2</w:t>
            </w:r>
          </w:p>
        </w:tc>
        <w:tc>
          <w:tcPr>
            <w:tcW w:w="1096" w:type="dxa"/>
            <w:vAlign w:val="center"/>
          </w:tcPr>
          <w:p w14:paraId="11F7916B" w14:textId="77777777" w:rsidR="009864DB" w:rsidRPr="004D46AC" w:rsidRDefault="009864DB" w:rsidP="009864DB">
            <w:pPr>
              <w:spacing w:line="240" w:lineRule="auto"/>
              <w:ind w:firstLine="0"/>
            </w:pPr>
            <w:r w:rsidRPr="004D46AC">
              <w:t>DSM3R</w:t>
            </w:r>
          </w:p>
        </w:tc>
        <w:tc>
          <w:tcPr>
            <w:tcW w:w="1415" w:type="dxa"/>
            <w:vAlign w:val="center"/>
          </w:tcPr>
          <w:p w14:paraId="61927329" w14:textId="77777777" w:rsidR="009864DB" w:rsidRPr="004D46AC" w:rsidRDefault="009864DB" w:rsidP="009864DB">
            <w:pPr>
              <w:spacing w:line="240" w:lineRule="auto"/>
              <w:ind w:firstLine="0"/>
            </w:pPr>
            <w:r w:rsidRPr="004D46AC">
              <w:t>SID</w:t>
            </w:r>
          </w:p>
        </w:tc>
        <w:tc>
          <w:tcPr>
            <w:tcW w:w="876" w:type="dxa"/>
            <w:vAlign w:val="center"/>
          </w:tcPr>
          <w:p w14:paraId="4A58DC10" w14:textId="77777777" w:rsidR="009864DB" w:rsidRPr="004D46AC" w:rsidRDefault="009864DB" w:rsidP="009864DB">
            <w:pPr>
              <w:spacing w:line="240" w:lineRule="auto"/>
              <w:ind w:firstLine="0"/>
            </w:pPr>
            <w:r w:rsidRPr="004D46AC">
              <w:t>261</w:t>
            </w:r>
          </w:p>
        </w:tc>
        <w:tc>
          <w:tcPr>
            <w:tcW w:w="986" w:type="dxa"/>
            <w:vAlign w:val="center"/>
          </w:tcPr>
          <w:p w14:paraId="4DFF286E" w14:textId="77777777" w:rsidR="009864DB" w:rsidRPr="004D46AC" w:rsidRDefault="009864DB" w:rsidP="009864DB">
            <w:pPr>
              <w:spacing w:line="240" w:lineRule="auto"/>
              <w:ind w:firstLine="0"/>
            </w:pPr>
            <w:r w:rsidRPr="004D46AC">
              <w:t>3</w:t>
            </w:r>
          </w:p>
        </w:tc>
        <w:tc>
          <w:tcPr>
            <w:tcW w:w="751" w:type="dxa"/>
            <w:vAlign w:val="center"/>
          </w:tcPr>
          <w:p w14:paraId="50BEDCE6" w14:textId="77777777" w:rsidR="009864DB" w:rsidRPr="004D46AC" w:rsidRDefault="009864DB" w:rsidP="009864DB">
            <w:pPr>
              <w:spacing w:line="240" w:lineRule="auto"/>
              <w:ind w:firstLine="0"/>
            </w:pPr>
            <w:r w:rsidRPr="004D46AC">
              <w:t>1</w:t>
            </w:r>
          </w:p>
        </w:tc>
        <w:tc>
          <w:tcPr>
            <w:tcW w:w="752" w:type="dxa"/>
            <w:vAlign w:val="center"/>
          </w:tcPr>
          <w:p w14:paraId="452D54B2" w14:textId="77777777" w:rsidR="009864DB" w:rsidRPr="004D46AC" w:rsidRDefault="009864DB" w:rsidP="009864DB">
            <w:pPr>
              <w:spacing w:line="240" w:lineRule="auto"/>
              <w:ind w:firstLine="0"/>
            </w:pPr>
            <w:r w:rsidRPr="004D46AC">
              <w:t>0</w:t>
            </w:r>
          </w:p>
        </w:tc>
        <w:tc>
          <w:tcPr>
            <w:tcW w:w="1296" w:type="dxa"/>
            <w:vAlign w:val="center"/>
          </w:tcPr>
          <w:p w14:paraId="77171524" w14:textId="77777777" w:rsidR="009864DB" w:rsidRPr="004D46AC" w:rsidRDefault="009864DB" w:rsidP="009864DB">
            <w:pPr>
              <w:spacing w:line="240" w:lineRule="auto"/>
              <w:ind w:firstLine="0"/>
            </w:pPr>
            <w:r w:rsidRPr="004D46AC">
              <w:t>180</w:t>
            </w:r>
          </w:p>
        </w:tc>
        <w:tc>
          <w:tcPr>
            <w:tcW w:w="752" w:type="dxa"/>
            <w:vAlign w:val="center"/>
          </w:tcPr>
          <w:p w14:paraId="4B92F62C" w14:textId="77777777" w:rsidR="009864DB" w:rsidRPr="004D46AC" w:rsidRDefault="009864DB" w:rsidP="009864DB">
            <w:pPr>
              <w:spacing w:line="240" w:lineRule="auto"/>
              <w:ind w:firstLine="0"/>
            </w:pPr>
            <w:r w:rsidRPr="004D46AC">
              <w:t>114</w:t>
            </w:r>
          </w:p>
        </w:tc>
        <w:tc>
          <w:tcPr>
            <w:tcW w:w="789" w:type="dxa"/>
            <w:gridSpan w:val="2"/>
            <w:vAlign w:val="center"/>
          </w:tcPr>
          <w:p w14:paraId="5FFAC5A2" w14:textId="77777777" w:rsidR="009864DB" w:rsidRPr="004D46AC" w:rsidRDefault="009864DB" w:rsidP="009864DB">
            <w:pPr>
              <w:spacing w:line="240" w:lineRule="auto"/>
              <w:ind w:firstLine="0"/>
            </w:pPr>
            <w:r w:rsidRPr="004D46AC">
              <w:t>137</w:t>
            </w:r>
          </w:p>
        </w:tc>
      </w:tr>
      <w:tr w:rsidR="009864DB" w:rsidRPr="004D46AC" w14:paraId="15EFCFB8" w14:textId="77777777" w:rsidTr="00B518F1">
        <w:tc>
          <w:tcPr>
            <w:tcW w:w="1476" w:type="dxa"/>
          </w:tcPr>
          <w:p w14:paraId="75353F69" w14:textId="77777777" w:rsidR="009864DB" w:rsidRPr="004D46AC" w:rsidRDefault="009864DB" w:rsidP="009864DB">
            <w:pPr>
              <w:spacing w:line="240" w:lineRule="auto"/>
              <w:ind w:firstLine="0"/>
            </w:pPr>
            <w:r w:rsidRPr="004D46AC">
              <w:fldChar w:fldCharType="begin">
                <w:fldData xml:space="preserve">PEVuZE5vdGU+PENpdGUgQXV0aG9yWWVhcj0iMSI+PEF1dGhvcj5DaHJvYmFrPC9BdXRob3I+PFll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instrText xml:space="preserve"> ADDIN EN.CITE </w:instrText>
            </w:r>
            <w:r w:rsidRPr="004D46AC">
              <w:fldChar w:fldCharType="begin">
                <w:fldData xml:space="preserve">PEVuZE5vdGU+PENpdGUgQXV0aG9yWWVhcj0iMSI+PEF1dGhvcj5DaHJvYmFrPC9BdXRob3I+PFll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Chrobak et al. (2021)</w:t>
            </w:r>
            <w:r w:rsidRPr="004D46AC">
              <w:fldChar w:fldCharType="end"/>
            </w:r>
          </w:p>
        </w:tc>
        <w:tc>
          <w:tcPr>
            <w:tcW w:w="754" w:type="dxa"/>
            <w:vAlign w:val="center"/>
          </w:tcPr>
          <w:p w14:paraId="16CE8726" w14:textId="77777777" w:rsidR="009864DB" w:rsidRPr="004D46AC" w:rsidRDefault="009864DB" w:rsidP="009864DB">
            <w:pPr>
              <w:spacing w:line="240" w:lineRule="auto"/>
              <w:ind w:firstLine="0"/>
            </w:pPr>
            <w:r w:rsidRPr="004D46AC">
              <w:t>5</w:t>
            </w:r>
          </w:p>
        </w:tc>
        <w:tc>
          <w:tcPr>
            <w:tcW w:w="766" w:type="dxa"/>
            <w:vAlign w:val="center"/>
          </w:tcPr>
          <w:p w14:paraId="0C2374C8" w14:textId="77777777" w:rsidR="009864DB" w:rsidRPr="004D46AC" w:rsidRDefault="009864DB" w:rsidP="009864DB">
            <w:pPr>
              <w:spacing w:line="240" w:lineRule="auto"/>
              <w:ind w:firstLine="0"/>
            </w:pPr>
            <w:r w:rsidRPr="004D46AC">
              <w:t>42</w:t>
            </w:r>
          </w:p>
        </w:tc>
        <w:tc>
          <w:tcPr>
            <w:tcW w:w="1096" w:type="dxa"/>
            <w:vAlign w:val="center"/>
          </w:tcPr>
          <w:p w14:paraId="4743C412" w14:textId="77777777" w:rsidR="009864DB" w:rsidRPr="004D46AC" w:rsidRDefault="009864DB" w:rsidP="009864DB">
            <w:pPr>
              <w:spacing w:line="240" w:lineRule="auto"/>
              <w:ind w:firstLine="0"/>
            </w:pPr>
            <w:r w:rsidRPr="004D46AC">
              <w:t>DSM5</w:t>
            </w:r>
          </w:p>
        </w:tc>
        <w:tc>
          <w:tcPr>
            <w:tcW w:w="1415" w:type="dxa"/>
            <w:vAlign w:val="center"/>
          </w:tcPr>
          <w:p w14:paraId="0DC5AED9" w14:textId="77777777" w:rsidR="009864DB" w:rsidRPr="004D46AC" w:rsidRDefault="009864DB" w:rsidP="009864DB">
            <w:pPr>
              <w:spacing w:line="240" w:lineRule="auto"/>
              <w:ind w:firstLine="0"/>
            </w:pPr>
            <w:r w:rsidRPr="004D46AC">
              <w:t>unclear</w:t>
            </w:r>
          </w:p>
        </w:tc>
        <w:tc>
          <w:tcPr>
            <w:tcW w:w="876" w:type="dxa"/>
            <w:vAlign w:val="center"/>
          </w:tcPr>
          <w:p w14:paraId="73D1792B" w14:textId="77777777" w:rsidR="009864DB" w:rsidRPr="004D46AC" w:rsidRDefault="009864DB" w:rsidP="009864DB">
            <w:pPr>
              <w:spacing w:line="240" w:lineRule="auto"/>
              <w:ind w:firstLine="0"/>
            </w:pPr>
            <w:r w:rsidRPr="004D46AC">
              <w:t>33</w:t>
            </w:r>
          </w:p>
        </w:tc>
        <w:tc>
          <w:tcPr>
            <w:tcW w:w="986" w:type="dxa"/>
            <w:vAlign w:val="center"/>
          </w:tcPr>
          <w:p w14:paraId="46226B9E" w14:textId="77777777" w:rsidR="009864DB" w:rsidRPr="004D46AC" w:rsidRDefault="009864DB" w:rsidP="009864DB">
            <w:pPr>
              <w:spacing w:line="240" w:lineRule="auto"/>
              <w:ind w:firstLine="0"/>
            </w:pPr>
            <w:r w:rsidRPr="004D46AC">
              <w:t>unclear</w:t>
            </w:r>
          </w:p>
        </w:tc>
        <w:tc>
          <w:tcPr>
            <w:tcW w:w="751" w:type="dxa"/>
            <w:vAlign w:val="center"/>
          </w:tcPr>
          <w:p w14:paraId="31877620" w14:textId="77777777" w:rsidR="009864DB" w:rsidRPr="004D46AC" w:rsidRDefault="009864DB" w:rsidP="009864DB">
            <w:pPr>
              <w:spacing w:line="240" w:lineRule="auto"/>
              <w:ind w:firstLine="0"/>
            </w:pPr>
            <w:r w:rsidRPr="004D46AC">
              <w:t>1</w:t>
            </w:r>
          </w:p>
        </w:tc>
        <w:tc>
          <w:tcPr>
            <w:tcW w:w="752" w:type="dxa"/>
            <w:vAlign w:val="center"/>
          </w:tcPr>
          <w:p w14:paraId="34CB686A" w14:textId="77777777" w:rsidR="009864DB" w:rsidRPr="004D46AC" w:rsidRDefault="009864DB" w:rsidP="009864DB">
            <w:pPr>
              <w:spacing w:line="240" w:lineRule="auto"/>
              <w:ind w:firstLine="0"/>
            </w:pPr>
            <w:r w:rsidRPr="004D46AC">
              <w:t>2</w:t>
            </w:r>
          </w:p>
        </w:tc>
        <w:tc>
          <w:tcPr>
            <w:tcW w:w="1296" w:type="dxa"/>
          </w:tcPr>
          <w:p w14:paraId="7A718C96" w14:textId="77777777" w:rsidR="009864DB" w:rsidRPr="004D46AC" w:rsidRDefault="009864DB" w:rsidP="009864DB">
            <w:pPr>
              <w:spacing w:line="240" w:lineRule="auto"/>
              <w:ind w:firstLine="0"/>
            </w:pPr>
            <w:r w:rsidRPr="004D46AC">
              <w:t>10</w:t>
            </w:r>
          </w:p>
        </w:tc>
        <w:tc>
          <w:tcPr>
            <w:tcW w:w="752" w:type="dxa"/>
            <w:vAlign w:val="center"/>
          </w:tcPr>
          <w:p w14:paraId="712B4DC6" w14:textId="77777777" w:rsidR="009864DB" w:rsidRPr="004D46AC" w:rsidRDefault="009864DB" w:rsidP="009864DB">
            <w:pPr>
              <w:spacing w:line="240" w:lineRule="auto"/>
              <w:ind w:firstLine="0"/>
            </w:pPr>
            <w:r w:rsidRPr="004D46AC">
              <w:t>NA</w:t>
            </w:r>
          </w:p>
        </w:tc>
        <w:tc>
          <w:tcPr>
            <w:tcW w:w="789" w:type="dxa"/>
            <w:gridSpan w:val="2"/>
            <w:vAlign w:val="center"/>
          </w:tcPr>
          <w:p w14:paraId="2553ABBA" w14:textId="77777777" w:rsidR="009864DB" w:rsidRPr="004D46AC" w:rsidRDefault="009864DB" w:rsidP="009864DB">
            <w:pPr>
              <w:spacing w:line="240" w:lineRule="auto"/>
              <w:ind w:firstLine="0"/>
            </w:pPr>
            <w:r w:rsidRPr="004D46AC">
              <w:t>NA</w:t>
            </w:r>
          </w:p>
        </w:tc>
      </w:tr>
      <w:tr w:rsidR="009864DB" w:rsidRPr="004D46AC" w14:paraId="70FF3B72" w14:textId="77777777" w:rsidTr="00B518F1">
        <w:tc>
          <w:tcPr>
            <w:tcW w:w="1476" w:type="dxa"/>
          </w:tcPr>
          <w:p w14:paraId="2C0094D2" w14:textId="77777777" w:rsidR="009864DB" w:rsidRPr="004D46AC" w:rsidRDefault="009864DB" w:rsidP="009864DB">
            <w:pPr>
              <w:spacing w:line="240" w:lineRule="auto"/>
              <w:ind w:firstLine="0"/>
            </w:pPr>
            <w:r w:rsidRPr="004D46AC">
              <w:fldChar w:fldCharType="begin">
                <w:fldData xml:space="preserve">PEVuZE5vdGU+PENpdGUgQXV0aG9yWWVhcj0iMSI+PEF1dGhvcj5MYXJzZW48L0F1dGhvcj48WWVh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</w:fldData>
              </w:fldChar>
            </w:r>
            <w:r w:rsidRPr="004D46AC">
              <w:instrText xml:space="preserve"> ADDIN EN.CITE </w:instrText>
            </w:r>
            <w:r w:rsidRPr="004D46AC">
              <w:fldChar w:fldCharType="begin">
                <w:fldData xml:space="preserve">PEVuZE5vdGU+PENpdGUgQXV0aG9yWWVhcj0iMSI+PEF1dGhvcj5MYXJzZW48L0F1dGhvcj48WWVh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</w:fldData>
              </w:fldChar>
            </w:r>
            <w:r w:rsidRPr="004D46AC">
              <w:instrText xml:space="preserve"> ADDIN EN.CITE.DATA </w:instrText>
            </w:r>
            <w:r w:rsidRPr="004D46AC">
              <w:fldChar w:fldCharType="end"/>
            </w:r>
            <w:r w:rsidRPr="004D46AC">
              <w:fldChar w:fldCharType="separate"/>
            </w:r>
            <w:r w:rsidRPr="004D46AC">
              <w:t>Larsen et al. (2019)</w:t>
            </w:r>
            <w:r w:rsidRPr="004D46AC">
              <w:fldChar w:fldCharType="end"/>
            </w:r>
          </w:p>
        </w:tc>
        <w:tc>
          <w:tcPr>
            <w:tcW w:w="754" w:type="dxa"/>
            <w:vAlign w:val="center"/>
          </w:tcPr>
          <w:p w14:paraId="2D5A0100" w14:textId="77777777" w:rsidR="009864DB" w:rsidRPr="004D46AC" w:rsidRDefault="009864DB" w:rsidP="009864DB">
            <w:pPr>
              <w:spacing w:line="240" w:lineRule="auto"/>
              <w:ind w:firstLine="0"/>
            </w:pPr>
            <w:r w:rsidRPr="004D46AC">
              <w:t>4</w:t>
            </w:r>
          </w:p>
        </w:tc>
        <w:tc>
          <w:tcPr>
            <w:tcW w:w="766" w:type="dxa"/>
            <w:vAlign w:val="center"/>
          </w:tcPr>
          <w:p w14:paraId="70E52621" w14:textId="77777777" w:rsidR="009864DB" w:rsidRPr="004D46AC" w:rsidRDefault="009864DB" w:rsidP="009864DB">
            <w:pPr>
              <w:spacing w:line="240" w:lineRule="auto"/>
              <w:ind w:firstLine="0"/>
            </w:pPr>
            <w:r w:rsidRPr="004D46AC">
              <w:t>38.3</w:t>
            </w:r>
          </w:p>
        </w:tc>
        <w:tc>
          <w:tcPr>
            <w:tcW w:w="1096" w:type="dxa"/>
            <w:vAlign w:val="center"/>
          </w:tcPr>
          <w:p w14:paraId="21F4A49F" w14:textId="77777777" w:rsidR="009864DB" w:rsidRPr="004D46AC" w:rsidRDefault="009864DB" w:rsidP="009864DB">
            <w:pPr>
              <w:spacing w:line="240" w:lineRule="auto"/>
              <w:ind w:firstLine="0"/>
            </w:pPr>
            <w:r w:rsidRPr="004D46AC">
              <w:t>DSM5</w:t>
            </w:r>
          </w:p>
        </w:tc>
        <w:tc>
          <w:tcPr>
            <w:tcW w:w="1415" w:type="dxa"/>
            <w:vAlign w:val="center"/>
          </w:tcPr>
          <w:p w14:paraId="415C1924" w14:textId="77777777" w:rsidR="009864DB" w:rsidRPr="004D46AC" w:rsidRDefault="009864DB" w:rsidP="009864DB">
            <w:pPr>
              <w:spacing w:line="240" w:lineRule="auto"/>
              <w:ind w:firstLine="0"/>
            </w:pPr>
            <w:r w:rsidRPr="004D46AC">
              <w:t>SCID</w:t>
            </w:r>
          </w:p>
        </w:tc>
        <w:tc>
          <w:tcPr>
            <w:tcW w:w="876" w:type="dxa"/>
            <w:vAlign w:val="center"/>
          </w:tcPr>
          <w:p w14:paraId="053D4875" w14:textId="77777777" w:rsidR="009864DB" w:rsidRPr="004D46AC" w:rsidRDefault="009864DB" w:rsidP="009864DB">
            <w:pPr>
              <w:spacing w:line="240" w:lineRule="auto"/>
              <w:ind w:firstLine="0"/>
            </w:pPr>
            <w:r w:rsidRPr="004D46AC">
              <w:t>62</w:t>
            </w:r>
          </w:p>
        </w:tc>
        <w:tc>
          <w:tcPr>
            <w:tcW w:w="986" w:type="dxa"/>
            <w:vAlign w:val="center"/>
          </w:tcPr>
          <w:p w14:paraId="1B1163D5" w14:textId="77777777" w:rsidR="009864DB" w:rsidRPr="004D46AC" w:rsidRDefault="009864DB" w:rsidP="009864DB">
            <w:pPr>
              <w:spacing w:line="240" w:lineRule="auto"/>
              <w:ind w:firstLine="0"/>
            </w:pPr>
            <w:r w:rsidRPr="004D46AC">
              <w:t>unclear</w:t>
            </w:r>
          </w:p>
        </w:tc>
        <w:tc>
          <w:tcPr>
            <w:tcW w:w="751" w:type="dxa"/>
            <w:vAlign w:val="center"/>
          </w:tcPr>
          <w:p w14:paraId="052FA61E" w14:textId="77777777" w:rsidR="009864DB" w:rsidRPr="004D46AC" w:rsidRDefault="009864DB" w:rsidP="009864DB">
            <w:pPr>
              <w:spacing w:line="240" w:lineRule="auto"/>
              <w:ind w:firstLine="0"/>
            </w:pPr>
            <w:r w:rsidRPr="004D46AC">
              <w:t>1</w:t>
            </w:r>
          </w:p>
        </w:tc>
        <w:tc>
          <w:tcPr>
            <w:tcW w:w="752" w:type="dxa"/>
            <w:vAlign w:val="center"/>
          </w:tcPr>
          <w:p w14:paraId="1004882C" w14:textId="77777777" w:rsidR="009864DB" w:rsidRPr="004D46AC" w:rsidRDefault="009864DB" w:rsidP="009864DB">
            <w:pPr>
              <w:spacing w:line="240" w:lineRule="auto"/>
              <w:ind w:firstLine="0"/>
            </w:pPr>
            <w:r w:rsidRPr="004D46AC">
              <w:t>2</w:t>
            </w:r>
          </w:p>
        </w:tc>
        <w:tc>
          <w:tcPr>
            <w:tcW w:w="1296" w:type="dxa"/>
          </w:tcPr>
          <w:p w14:paraId="18E8A71A" w14:textId="77777777" w:rsidR="009864DB" w:rsidRPr="004D46AC" w:rsidRDefault="009864DB" w:rsidP="009864DB">
            <w:pPr>
              <w:spacing w:line="240" w:lineRule="auto"/>
              <w:ind w:firstLine="0"/>
            </w:pPr>
            <w:r w:rsidRPr="004D46AC">
              <w:t>31</w:t>
            </w:r>
          </w:p>
        </w:tc>
        <w:tc>
          <w:tcPr>
            <w:tcW w:w="752" w:type="dxa"/>
            <w:vAlign w:val="center"/>
          </w:tcPr>
          <w:p w14:paraId="305F3CE1" w14:textId="77777777" w:rsidR="009864DB" w:rsidRPr="004D46AC" w:rsidRDefault="009864DB" w:rsidP="009864DB">
            <w:pPr>
              <w:spacing w:line="240" w:lineRule="auto"/>
              <w:ind w:firstLine="0"/>
            </w:pPr>
            <w:r w:rsidRPr="004D46AC">
              <w:t>NA</w:t>
            </w:r>
          </w:p>
        </w:tc>
        <w:tc>
          <w:tcPr>
            <w:tcW w:w="789" w:type="dxa"/>
            <w:gridSpan w:val="2"/>
            <w:vAlign w:val="center"/>
          </w:tcPr>
          <w:p w14:paraId="50AF5290" w14:textId="77777777" w:rsidR="009864DB" w:rsidRPr="004D46AC" w:rsidRDefault="009864DB" w:rsidP="009864DB">
            <w:pPr>
              <w:spacing w:line="240" w:lineRule="auto"/>
              <w:ind w:firstLine="0"/>
            </w:pPr>
            <w:r w:rsidRPr="004D46AC">
              <w:t>NA</w:t>
            </w:r>
          </w:p>
        </w:tc>
      </w:tr>
      <w:tr w:rsidR="009864DB" w:rsidRPr="004D46AC" w14:paraId="6C16A080" w14:textId="77777777" w:rsidTr="00B518F1">
        <w:tc>
          <w:tcPr>
            <w:tcW w:w="1476" w:type="dxa"/>
          </w:tcPr>
          <w:p w14:paraId="0A987C27" w14:textId="77777777" w:rsidR="009864DB" w:rsidRPr="004D46AC" w:rsidRDefault="009864DB" w:rsidP="009864DB">
            <w:pPr>
              <w:spacing w:line="240" w:lineRule="auto"/>
              <w:ind w:firstLine="0"/>
            </w:pPr>
            <w:r w:rsidRPr="004D46AC">
              <w:fldChar w:fldCharType="begin">
                <w:fldData xml:space="preserve">PEVuZE5vdGU+PENpdGUgQXV0aG9yWWVhcj0iMSI+PEF1dGhvcj5DYXJ1Z25vPC9BdXRob3I+PFll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</w:fldData>
              </w:fldChar>
            </w:r>
            <w:r w:rsidRPr="004D46AC">
              <w:instrText xml:space="preserve"> ADDIN EN.CITE </w:instrText>
            </w:r>
            <w:r w:rsidRPr="004D46AC">
              <w:fldChar w:fldCharType="begin">
                <w:fldData xml:space="preserve">PEVuZE5vdGU+PENpdGUgQXV0aG9yWWVhcj0iMSI+PEF1dGhvcj5DYXJ1Z25vPC9BdXRob3I+PFll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</w:fldData>
              </w:fldChar>
            </w:r>
            <w:r w:rsidRPr="004D46AC">
              <w:instrText xml:space="preserve"> ADDIN EN.CITE.DATA </w:instrText>
            </w:r>
            <w:r w:rsidRPr="004D46AC">
              <w:fldChar w:fldCharType="end"/>
            </w:r>
            <w:r w:rsidRPr="004D46AC">
              <w:fldChar w:fldCharType="separate"/>
            </w:r>
            <w:r w:rsidRPr="004D46AC">
              <w:t>Carugno et al. (2021)</w:t>
            </w:r>
            <w:r w:rsidRPr="004D46AC">
              <w:fldChar w:fldCharType="end"/>
            </w:r>
          </w:p>
        </w:tc>
        <w:tc>
          <w:tcPr>
            <w:tcW w:w="754" w:type="dxa"/>
            <w:vAlign w:val="center"/>
          </w:tcPr>
          <w:p w14:paraId="16DFA1D6" w14:textId="77777777" w:rsidR="009864DB" w:rsidRPr="004D46AC" w:rsidRDefault="009864DB" w:rsidP="009864DB">
            <w:pPr>
              <w:spacing w:line="240" w:lineRule="auto"/>
              <w:ind w:firstLine="0"/>
            </w:pPr>
            <w:r w:rsidRPr="004D46AC">
              <w:t>5</w:t>
            </w:r>
          </w:p>
        </w:tc>
        <w:tc>
          <w:tcPr>
            <w:tcW w:w="766" w:type="dxa"/>
            <w:vAlign w:val="center"/>
          </w:tcPr>
          <w:p w14:paraId="1C505507" w14:textId="77777777" w:rsidR="009864DB" w:rsidRPr="004D46AC" w:rsidRDefault="009864DB" w:rsidP="009864DB">
            <w:pPr>
              <w:spacing w:line="240" w:lineRule="auto"/>
              <w:ind w:firstLine="0"/>
            </w:pPr>
            <w:r w:rsidRPr="004D46AC">
              <w:t>45.5</w:t>
            </w:r>
          </w:p>
        </w:tc>
        <w:tc>
          <w:tcPr>
            <w:tcW w:w="1096" w:type="dxa"/>
            <w:vAlign w:val="center"/>
          </w:tcPr>
          <w:p w14:paraId="50DAAF8E" w14:textId="77777777" w:rsidR="009864DB" w:rsidRPr="004D46AC" w:rsidRDefault="009864DB" w:rsidP="009864DB">
            <w:pPr>
              <w:spacing w:line="240" w:lineRule="auto"/>
              <w:ind w:firstLine="0"/>
            </w:pPr>
            <w:r w:rsidRPr="004D46AC">
              <w:t>DSM</w:t>
            </w:r>
          </w:p>
        </w:tc>
        <w:tc>
          <w:tcPr>
            <w:tcW w:w="1415" w:type="dxa"/>
            <w:vAlign w:val="center"/>
          </w:tcPr>
          <w:p w14:paraId="708DB565" w14:textId="77777777" w:rsidR="009864DB" w:rsidRPr="004D46AC" w:rsidRDefault="009864DB" w:rsidP="009864DB">
            <w:pPr>
              <w:spacing w:line="240" w:lineRule="auto"/>
              <w:ind w:firstLine="0"/>
            </w:pPr>
            <w:r w:rsidRPr="004D46AC">
              <w:t>SCID</w:t>
            </w:r>
          </w:p>
        </w:tc>
        <w:tc>
          <w:tcPr>
            <w:tcW w:w="876" w:type="dxa"/>
            <w:vAlign w:val="center"/>
          </w:tcPr>
          <w:p w14:paraId="0774E998" w14:textId="77777777" w:rsidR="009864DB" w:rsidRPr="004D46AC" w:rsidRDefault="009864DB" w:rsidP="009864DB">
            <w:pPr>
              <w:spacing w:line="240" w:lineRule="auto"/>
              <w:ind w:firstLine="0"/>
            </w:pPr>
            <w:r w:rsidRPr="004D46AC">
              <w:t>414</w:t>
            </w:r>
          </w:p>
        </w:tc>
        <w:tc>
          <w:tcPr>
            <w:tcW w:w="986" w:type="dxa"/>
            <w:vAlign w:val="center"/>
          </w:tcPr>
          <w:p w14:paraId="2B32101C" w14:textId="77777777" w:rsidR="009864DB" w:rsidRPr="004D46AC" w:rsidRDefault="009864DB" w:rsidP="009864DB">
            <w:pPr>
              <w:spacing w:line="240" w:lineRule="auto"/>
              <w:ind w:firstLine="0"/>
            </w:pPr>
            <w:r w:rsidRPr="004D46AC">
              <w:t>3</w:t>
            </w:r>
          </w:p>
        </w:tc>
        <w:tc>
          <w:tcPr>
            <w:tcW w:w="751" w:type="dxa"/>
            <w:vAlign w:val="center"/>
          </w:tcPr>
          <w:p w14:paraId="3AA0DC3D" w14:textId="77777777" w:rsidR="009864DB" w:rsidRPr="004D46AC" w:rsidRDefault="009864DB" w:rsidP="009864DB">
            <w:pPr>
              <w:spacing w:line="240" w:lineRule="auto"/>
              <w:ind w:firstLine="0"/>
            </w:pPr>
            <w:r w:rsidRPr="004D46AC">
              <w:t>2</w:t>
            </w:r>
          </w:p>
        </w:tc>
        <w:tc>
          <w:tcPr>
            <w:tcW w:w="752" w:type="dxa"/>
            <w:vAlign w:val="center"/>
          </w:tcPr>
          <w:p w14:paraId="482DD060" w14:textId="77777777" w:rsidR="009864DB" w:rsidRPr="004D46AC" w:rsidRDefault="009864DB" w:rsidP="009864DB">
            <w:pPr>
              <w:spacing w:line="240" w:lineRule="auto"/>
              <w:ind w:firstLine="0"/>
            </w:pPr>
            <w:r w:rsidRPr="004D46AC">
              <w:t>0</w:t>
            </w:r>
          </w:p>
        </w:tc>
        <w:tc>
          <w:tcPr>
            <w:tcW w:w="1296" w:type="dxa"/>
            <w:vAlign w:val="center"/>
          </w:tcPr>
          <w:p w14:paraId="209FBFE7" w14:textId="77777777" w:rsidR="009864DB" w:rsidRPr="004D46AC" w:rsidRDefault="009864DB" w:rsidP="009864DB">
            <w:pPr>
              <w:spacing w:line="240" w:lineRule="auto"/>
              <w:ind w:firstLine="0"/>
            </w:pPr>
            <w:r w:rsidRPr="004D46AC">
              <w:t>226</w:t>
            </w:r>
          </w:p>
        </w:tc>
        <w:tc>
          <w:tcPr>
            <w:tcW w:w="752" w:type="dxa"/>
            <w:vAlign w:val="center"/>
          </w:tcPr>
          <w:p w14:paraId="2B91D045" w14:textId="77777777" w:rsidR="009864DB" w:rsidRPr="004D46AC" w:rsidRDefault="009864DB" w:rsidP="009864DB">
            <w:pPr>
              <w:spacing w:line="240" w:lineRule="auto"/>
              <w:ind w:firstLine="0"/>
            </w:pPr>
            <w:r w:rsidRPr="004D46AC">
              <w:t>NA</w:t>
            </w:r>
          </w:p>
        </w:tc>
        <w:tc>
          <w:tcPr>
            <w:tcW w:w="789" w:type="dxa"/>
            <w:gridSpan w:val="2"/>
            <w:vAlign w:val="center"/>
          </w:tcPr>
          <w:p w14:paraId="13EFA842" w14:textId="77777777" w:rsidR="009864DB" w:rsidRPr="004D46AC" w:rsidRDefault="009864DB" w:rsidP="009864DB">
            <w:pPr>
              <w:spacing w:line="240" w:lineRule="auto"/>
              <w:ind w:firstLine="0"/>
            </w:pPr>
            <w:r w:rsidRPr="004D46AC">
              <w:t>NA</w:t>
            </w:r>
          </w:p>
        </w:tc>
      </w:tr>
      <w:tr w:rsidR="009864DB" w:rsidRPr="004D46AC" w14:paraId="1840001C" w14:textId="77777777" w:rsidTr="00B518F1">
        <w:tc>
          <w:tcPr>
            <w:tcW w:w="1476" w:type="dxa"/>
          </w:tcPr>
          <w:p w14:paraId="3B183501" w14:textId="77777777" w:rsidR="009864DB" w:rsidRPr="004D46AC" w:rsidRDefault="009864DB" w:rsidP="009864DB">
            <w:pPr>
              <w:spacing w:line="240" w:lineRule="auto"/>
              <w:ind w:firstLine="0"/>
            </w:pPr>
            <w:r w:rsidRPr="004D46AC">
              <w:fldChar w:fldCharType="begin">
                <w:fldData xml:space="preserve">PEVuZE5vdGU+PENpdGUgQXV0aG9yWWVhcj0iMSI+PEF1dGhvcj5Ub2hlbjwvQXV0aG9yPjxZZWFy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instrText xml:space="preserve"> ADDIN EN.CITE </w:instrText>
            </w:r>
            <w:r w:rsidRPr="004D46AC">
              <w:fldChar w:fldCharType="begin">
                <w:fldData xml:space="preserve">PEVuZE5vdGU+PENpdGUgQXV0aG9yWWVhcj0iMSI+PEF1dGhvcj5Ub2hlbjwvQXV0aG9yPjxZZWFy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instrText xml:space="preserve"> ADDIN EN.CITE.DATA </w:instrText>
            </w:r>
            <w:r w:rsidRPr="004D46AC">
              <w:fldChar w:fldCharType="end"/>
            </w:r>
            <w:r w:rsidRPr="004D46AC">
              <w:fldChar w:fldCharType="separate"/>
            </w:r>
            <w:r w:rsidRPr="004D46AC">
              <w:t>Tohen, Zarate, et al. (2003)</w:t>
            </w:r>
            <w:r w:rsidRPr="004D46AC">
              <w:fldChar w:fldCharType="end"/>
            </w:r>
          </w:p>
        </w:tc>
        <w:tc>
          <w:tcPr>
            <w:tcW w:w="754" w:type="dxa"/>
            <w:vAlign w:val="center"/>
          </w:tcPr>
          <w:p w14:paraId="2AB62D6C" w14:textId="77777777" w:rsidR="009864DB" w:rsidRPr="004D46AC" w:rsidRDefault="009864DB" w:rsidP="009864DB">
            <w:pPr>
              <w:spacing w:line="240" w:lineRule="auto"/>
              <w:ind w:firstLine="0"/>
            </w:pPr>
            <w:r w:rsidRPr="004D46AC">
              <w:t>7</w:t>
            </w:r>
          </w:p>
        </w:tc>
        <w:tc>
          <w:tcPr>
            <w:tcW w:w="766" w:type="dxa"/>
            <w:vAlign w:val="center"/>
          </w:tcPr>
          <w:p w14:paraId="29F95BB5" w14:textId="77777777" w:rsidR="009864DB" w:rsidRPr="004D46AC" w:rsidRDefault="009864DB" w:rsidP="009864DB">
            <w:pPr>
              <w:spacing w:line="240" w:lineRule="auto"/>
              <w:ind w:firstLine="0"/>
            </w:pPr>
            <w:r w:rsidRPr="004D46AC">
              <w:t>32.5</w:t>
            </w:r>
          </w:p>
        </w:tc>
        <w:tc>
          <w:tcPr>
            <w:tcW w:w="1096" w:type="dxa"/>
            <w:vAlign w:val="center"/>
          </w:tcPr>
          <w:p w14:paraId="5E3FEF91" w14:textId="77777777" w:rsidR="009864DB" w:rsidRPr="004D46AC" w:rsidRDefault="009864DB" w:rsidP="009864DB">
            <w:pPr>
              <w:spacing w:line="240" w:lineRule="auto"/>
              <w:ind w:firstLine="0"/>
            </w:pPr>
            <w:r w:rsidRPr="004D46AC">
              <w:t>DSM3R</w:t>
            </w:r>
          </w:p>
        </w:tc>
        <w:tc>
          <w:tcPr>
            <w:tcW w:w="1415" w:type="dxa"/>
            <w:vAlign w:val="center"/>
          </w:tcPr>
          <w:p w14:paraId="55D66C16" w14:textId="77777777" w:rsidR="009864DB" w:rsidRPr="004D46AC" w:rsidRDefault="009864DB" w:rsidP="009864DB">
            <w:pPr>
              <w:spacing w:line="240" w:lineRule="auto"/>
              <w:ind w:firstLine="0"/>
            </w:pPr>
            <w:r w:rsidRPr="004D46AC">
              <w:t>SCID-P</w:t>
            </w:r>
          </w:p>
        </w:tc>
        <w:tc>
          <w:tcPr>
            <w:tcW w:w="876" w:type="dxa"/>
            <w:vAlign w:val="center"/>
          </w:tcPr>
          <w:p w14:paraId="1DFD5CBD" w14:textId="77777777" w:rsidR="009864DB" w:rsidRPr="004D46AC" w:rsidRDefault="009864DB" w:rsidP="009864DB">
            <w:pPr>
              <w:spacing w:line="240" w:lineRule="auto"/>
              <w:ind w:firstLine="0"/>
            </w:pPr>
            <w:r w:rsidRPr="004D46AC">
              <w:t>166</w:t>
            </w:r>
          </w:p>
        </w:tc>
        <w:tc>
          <w:tcPr>
            <w:tcW w:w="986" w:type="dxa"/>
            <w:vAlign w:val="center"/>
          </w:tcPr>
          <w:p w14:paraId="1BDB82D9" w14:textId="77777777" w:rsidR="009864DB" w:rsidRPr="004D46AC" w:rsidRDefault="009864DB" w:rsidP="009864DB">
            <w:pPr>
              <w:spacing w:line="240" w:lineRule="auto"/>
              <w:ind w:firstLine="0"/>
            </w:pPr>
            <w:r w:rsidRPr="004D46AC">
              <w:t>3</w:t>
            </w:r>
          </w:p>
        </w:tc>
        <w:tc>
          <w:tcPr>
            <w:tcW w:w="751" w:type="dxa"/>
            <w:vAlign w:val="center"/>
          </w:tcPr>
          <w:p w14:paraId="4F377D8C" w14:textId="77777777" w:rsidR="009864DB" w:rsidRPr="004D46AC" w:rsidRDefault="009864DB" w:rsidP="009864DB">
            <w:pPr>
              <w:spacing w:line="240" w:lineRule="auto"/>
              <w:ind w:firstLine="0"/>
            </w:pPr>
            <w:r w:rsidRPr="004D46AC">
              <w:t>2</w:t>
            </w:r>
          </w:p>
        </w:tc>
        <w:tc>
          <w:tcPr>
            <w:tcW w:w="752" w:type="dxa"/>
            <w:vAlign w:val="center"/>
          </w:tcPr>
          <w:p w14:paraId="1ED83EF9" w14:textId="77777777" w:rsidR="009864DB" w:rsidRPr="004D46AC" w:rsidRDefault="009864DB" w:rsidP="009864DB">
            <w:pPr>
              <w:spacing w:line="240" w:lineRule="auto"/>
              <w:ind w:firstLine="0"/>
            </w:pPr>
            <w:r w:rsidRPr="004D46AC">
              <w:t>0</w:t>
            </w:r>
          </w:p>
        </w:tc>
        <w:tc>
          <w:tcPr>
            <w:tcW w:w="1296" w:type="dxa"/>
            <w:vAlign w:val="center"/>
          </w:tcPr>
          <w:p w14:paraId="68F4AB80" w14:textId="77777777" w:rsidR="009864DB" w:rsidRPr="004D46AC" w:rsidRDefault="009864DB" w:rsidP="009864DB">
            <w:pPr>
              <w:spacing w:line="240" w:lineRule="auto"/>
              <w:ind w:firstLine="0"/>
            </w:pPr>
            <w:r w:rsidRPr="004D46AC">
              <w:t>147</w:t>
            </w:r>
          </w:p>
        </w:tc>
        <w:tc>
          <w:tcPr>
            <w:tcW w:w="752" w:type="dxa"/>
            <w:vAlign w:val="center"/>
          </w:tcPr>
          <w:p w14:paraId="0D642D90" w14:textId="77777777" w:rsidR="009864DB" w:rsidRPr="004D46AC" w:rsidRDefault="009864DB" w:rsidP="009864DB">
            <w:pPr>
              <w:spacing w:line="240" w:lineRule="auto"/>
              <w:ind w:firstLine="0"/>
            </w:pPr>
            <w:r w:rsidRPr="004D46AC">
              <w:t>72</w:t>
            </w:r>
          </w:p>
        </w:tc>
        <w:tc>
          <w:tcPr>
            <w:tcW w:w="789" w:type="dxa"/>
            <w:gridSpan w:val="2"/>
            <w:vAlign w:val="center"/>
          </w:tcPr>
          <w:p w14:paraId="57349B8B" w14:textId="77777777" w:rsidR="009864DB" w:rsidRPr="004D46AC" w:rsidRDefault="009864DB" w:rsidP="009864DB">
            <w:pPr>
              <w:spacing w:line="240" w:lineRule="auto"/>
              <w:ind w:firstLine="0"/>
            </w:pPr>
            <w:r w:rsidRPr="004D46AC">
              <w:t>74</w:t>
            </w:r>
          </w:p>
        </w:tc>
      </w:tr>
      <w:tr w:rsidR="009864DB" w:rsidRPr="004D46AC" w14:paraId="5F9DEA1E" w14:textId="77777777" w:rsidTr="00B518F1">
        <w:tc>
          <w:tcPr>
            <w:tcW w:w="1476" w:type="dxa"/>
          </w:tcPr>
          <w:p w14:paraId="6A50F92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AuthorYear="1"&gt;&lt;Author&gt;Parker&lt;/Author&gt;&lt;Year&gt;2000&lt;/Year&gt;&lt;RecNum&gt;163&lt;/RecNum&gt;&lt;DisplayText&gt;Parker et al. (2000)&lt;/DisplayText&gt;&lt;record&gt;&lt;rec-number&gt;163&lt;/rec-number&gt;&lt;foreign-keys&gt;&lt;key app="EN" db-id="aet009sstawa0hewvt3xwf5atffdw2dt02sw" timestamp="1665761883"&gt;163&lt;/key&gt;&lt;/foreign-keys&gt;&lt;ref-type name="Journal Article"&gt;17&lt;/ref-type&gt;&lt;contributors&gt;&lt;authors&gt;&lt;author&gt;Parker, G.&lt;/author&gt;&lt;author&gt;Roy, K.&lt;/author&gt;&lt;author&gt;Wilhelm, K.&lt;/author&gt;&lt;author&gt;Mitchell, P.&lt;/author&gt;&lt;author&gt;Hadzi-Pavlovic, D.&lt;/author&gt;&lt;/authors&gt;&lt;/contributors&gt;&lt;auth-address&gt;Mood Disorders Unit, Prince of Wales Hospital, Randwick, and School of Psychiatry, University of New South Wales, 2031, Randwick, Australia.&lt;/auth-address&gt;&lt;titles&gt;&lt;title&gt;The nature of bipolar depression: implications for the definition of melancholia&lt;/title&gt;&lt;secondary-title&gt;J Affect Disord&lt;/secondary-title&gt;&lt;/titles&gt;&lt;periodical&gt;&lt;full-title&gt;J Affect Disord&lt;/full-title&gt;&lt;/periodical&gt;&lt;pages&gt;217-24&lt;/pages&gt;&lt;volume&gt;59&lt;/volume&gt;&lt;number&gt;3&lt;/number&gt;&lt;keywords&gt;&lt;keyword&gt;Adult&lt;/keyword&gt;&lt;keyword&gt;Bipolar Disorder/classification/*diagnosis/psychology&lt;/keyword&gt;&lt;keyword&gt;Depressive Disorder/classification/*diagnosis/psychology&lt;/keyword&gt;&lt;keyword&gt;Female&lt;/keyword&gt;&lt;keyword&gt;Humans&lt;/keyword&gt;&lt;keyword&gt;Male&lt;/keyword&gt;&lt;keyword&gt;Middle Aged&lt;/keyword&gt;&lt;keyword&gt;Psychiatric Status Rating Scales/statistics &amp;amp; numerical data&lt;/keyword&gt;&lt;keyword&gt;Psychometrics&lt;/keyword&gt;&lt;keyword&gt;Reproducibility of Results&lt;/keyword&gt;&lt;/keywords&gt;&lt;dates&gt;&lt;year&gt;2000&lt;/year&gt;&lt;pub-dates&gt;&lt;date&gt;Sep&lt;/date&gt;&lt;/pub-dates&gt;&lt;/dates&gt;&lt;isbn&gt;0165-0327 (Print)&amp;#xD;0165-0327 (Linking)&lt;/isbn&gt;&lt;accession-num&gt;10854638&lt;/accession-num&gt;&lt;urls&gt;&lt;related-urls&gt;&lt;url&gt;https://www.ncbi.nlm.nih.gov/pubmed/10854638&lt;/url&gt;&lt;/related-urls&gt;&lt;/urls&gt;&lt;electronic-resource-num&gt;10.1016/s0165-0327(99)00144-5&lt;/electronic-resource-num&gt;&lt;remote-database-name&gt;Medline&lt;/remote-database-name&gt;&lt;remote-database-provider&gt;NLM&lt;/remote-database-provider&gt;&lt;language&gt;eng&lt;/language&gt;&lt;/record&gt;&lt;/Cite&gt;&lt;/EndNote&gt;</w:instrText>
            </w:r>
            <w:r w:rsidRPr="004D46AC">
              <w:fldChar w:fldCharType="separate"/>
            </w:r>
            <w:r w:rsidRPr="004D46AC">
              <w:t>Parker et al. (2000)</w:t>
            </w:r>
            <w:r w:rsidRPr="004D46AC">
              <w:fldChar w:fldCharType="end"/>
            </w:r>
          </w:p>
        </w:tc>
        <w:tc>
          <w:tcPr>
            <w:tcW w:w="754" w:type="dxa"/>
            <w:vAlign w:val="center"/>
          </w:tcPr>
          <w:p w14:paraId="3F72415A" w14:textId="77777777" w:rsidR="009864DB" w:rsidRPr="004D46AC" w:rsidRDefault="009864DB" w:rsidP="009864DB">
            <w:pPr>
              <w:spacing w:line="240" w:lineRule="auto"/>
              <w:ind w:firstLine="0"/>
            </w:pPr>
            <w:r w:rsidRPr="004D46AC">
              <w:t>4</w:t>
            </w:r>
          </w:p>
        </w:tc>
        <w:tc>
          <w:tcPr>
            <w:tcW w:w="766" w:type="dxa"/>
            <w:vAlign w:val="center"/>
          </w:tcPr>
          <w:p w14:paraId="1D41F5C9" w14:textId="77777777" w:rsidR="009864DB" w:rsidRPr="004D46AC" w:rsidRDefault="009864DB" w:rsidP="009864DB">
            <w:pPr>
              <w:spacing w:line="240" w:lineRule="auto"/>
              <w:ind w:firstLine="0"/>
            </w:pPr>
            <w:r w:rsidRPr="004D46AC">
              <w:t>46.3</w:t>
            </w:r>
          </w:p>
        </w:tc>
        <w:tc>
          <w:tcPr>
            <w:tcW w:w="1096" w:type="dxa"/>
            <w:vAlign w:val="center"/>
          </w:tcPr>
          <w:p w14:paraId="067EDC91" w14:textId="77777777" w:rsidR="009864DB" w:rsidRPr="004D46AC" w:rsidRDefault="009864DB" w:rsidP="009864DB">
            <w:pPr>
              <w:spacing w:line="240" w:lineRule="auto"/>
              <w:ind w:firstLine="0"/>
            </w:pPr>
            <w:r w:rsidRPr="004D46AC">
              <w:t>DSM</w:t>
            </w:r>
          </w:p>
        </w:tc>
        <w:tc>
          <w:tcPr>
            <w:tcW w:w="1415" w:type="dxa"/>
            <w:vAlign w:val="center"/>
          </w:tcPr>
          <w:p w14:paraId="4BE05129" w14:textId="77777777" w:rsidR="009864DB" w:rsidRPr="004D46AC" w:rsidRDefault="009864DB" w:rsidP="009864DB">
            <w:pPr>
              <w:spacing w:line="240" w:lineRule="auto"/>
              <w:ind w:firstLine="0"/>
            </w:pPr>
            <w:r w:rsidRPr="004D46AC">
              <w:t>CORE</w:t>
            </w:r>
          </w:p>
        </w:tc>
        <w:tc>
          <w:tcPr>
            <w:tcW w:w="876" w:type="dxa"/>
            <w:vAlign w:val="center"/>
          </w:tcPr>
          <w:p w14:paraId="77966B5B" w14:textId="77777777" w:rsidR="009864DB" w:rsidRPr="004D46AC" w:rsidRDefault="009864DB" w:rsidP="009864DB">
            <w:pPr>
              <w:spacing w:line="240" w:lineRule="auto"/>
              <w:ind w:firstLine="0"/>
            </w:pPr>
            <w:r w:rsidRPr="004D46AC">
              <w:t>83</w:t>
            </w:r>
          </w:p>
        </w:tc>
        <w:tc>
          <w:tcPr>
            <w:tcW w:w="986" w:type="dxa"/>
            <w:vAlign w:val="center"/>
          </w:tcPr>
          <w:p w14:paraId="60A17D9D" w14:textId="77777777" w:rsidR="009864DB" w:rsidRPr="004D46AC" w:rsidRDefault="009864DB" w:rsidP="009864DB">
            <w:pPr>
              <w:spacing w:line="240" w:lineRule="auto"/>
              <w:ind w:firstLine="0"/>
            </w:pPr>
            <w:r w:rsidRPr="004D46AC">
              <w:t>2</w:t>
            </w:r>
          </w:p>
        </w:tc>
        <w:tc>
          <w:tcPr>
            <w:tcW w:w="751" w:type="dxa"/>
            <w:vAlign w:val="center"/>
          </w:tcPr>
          <w:p w14:paraId="2E5CDE1B" w14:textId="77777777" w:rsidR="009864DB" w:rsidRPr="004D46AC" w:rsidRDefault="009864DB" w:rsidP="009864DB">
            <w:pPr>
              <w:spacing w:line="240" w:lineRule="auto"/>
              <w:ind w:firstLine="0"/>
            </w:pPr>
            <w:r w:rsidRPr="004D46AC">
              <w:t>1</w:t>
            </w:r>
          </w:p>
        </w:tc>
        <w:tc>
          <w:tcPr>
            <w:tcW w:w="752" w:type="dxa"/>
            <w:vAlign w:val="center"/>
          </w:tcPr>
          <w:p w14:paraId="3BC18521" w14:textId="77777777" w:rsidR="009864DB" w:rsidRPr="004D46AC" w:rsidRDefault="009864DB" w:rsidP="009864DB">
            <w:pPr>
              <w:spacing w:line="240" w:lineRule="auto"/>
              <w:ind w:firstLine="0"/>
            </w:pPr>
            <w:r w:rsidRPr="004D46AC">
              <w:t>0</w:t>
            </w:r>
          </w:p>
        </w:tc>
        <w:tc>
          <w:tcPr>
            <w:tcW w:w="1296" w:type="dxa"/>
            <w:vAlign w:val="center"/>
          </w:tcPr>
          <w:p w14:paraId="0A1D1C3B" w14:textId="77777777" w:rsidR="009864DB" w:rsidRPr="004D46AC" w:rsidRDefault="009864DB" w:rsidP="009864DB">
            <w:pPr>
              <w:spacing w:line="240" w:lineRule="auto"/>
              <w:ind w:firstLine="0"/>
            </w:pPr>
            <w:r w:rsidRPr="004D46AC">
              <w:t>16</w:t>
            </w:r>
          </w:p>
        </w:tc>
        <w:tc>
          <w:tcPr>
            <w:tcW w:w="752" w:type="dxa"/>
            <w:vAlign w:val="center"/>
          </w:tcPr>
          <w:p w14:paraId="19D0C3BA" w14:textId="77777777" w:rsidR="009864DB" w:rsidRPr="004D46AC" w:rsidRDefault="009864DB" w:rsidP="009864DB">
            <w:pPr>
              <w:spacing w:line="240" w:lineRule="auto"/>
              <w:ind w:firstLine="0"/>
            </w:pPr>
            <w:r w:rsidRPr="004D46AC">
              <w:t>NA</w:t>
            </w:r>
          </w:p>
        </w:tc>
        <w:tc>
          <w:tcPr>
            <w:tcW w:w="789" w:type="dxa"/>
            <w:gridSpan w:val="2"/>
            <w:vAlign w:val="center"/>
          </w:tcPr>
          <w:p w14:paraId="78F16433" w14:textId="77777777" w:rsidR="009864DB" w:rsidRPr="004D46AC" w:rsidRDefault="009864DB" w:rsidP="009864DB">
            <w:pPr>
              <w:spacing w:line="240" w:lineRule="auto"/>
              <w:ind w:firstLine="0"/>
            </w:pPr>
            <w:r w:rsidRPr="004D46AC">
              <w:t>NA</w:t>
            </w:r>
          </w:p>
        </w:tc>
      </w:tr>
      <w:tr w:rsidR="009864DB" w:rsidRPr="004D46AC" w14:paraId="1856E418" w14:textId="77777777" w:rsidTr="00B518F1">
        <w:tc>
          <w:tcPr>
            <w:tcW w:w="1476" w:type="dxa"/>
          </w:tcPr>
          <w:p w14:paraId="482B68D3" w14:textId="77777777" w:rsidR="009864DB" w:rsidRPr="004D46AC" w:rsidRDefault="009864DB" w:rsidP="009864DB">
            <w:pPr>
              <w:spacing w:line="240" w:lineRule="auto"/>
              <w:ind w:firstLine="0"/>
            </w:pPr>
            <w:r w:rsidRPr="004D46AC">
              <w:fldChar w:fldCharType="begin">
                <w:fldData xml:space="preserve">PEVuZE5vdGU+PENpdGUgQXV0aG9yWWVhcj0iMSI+PEF1dGhvcj5Tb2Vpcm8tZGUtU291emE8L0F1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</w:fldData>
              </w:fldChar>
            </w:r>
            <w:r w:rsidRPr="004D46AC">
              <w:instrText xml:space="preserve"> ADDIN EN.CITE </w:instrText>
            </w:r>
            <w:r w:rsidRPr="004D46AC">
              <w:fldChar w:fldCharType="begin">
                <w:fldData xml:space="preserve">PEVuZE5vdGU+PENpdGUgQXV0aG9yWWVhcj0iMSI+PEF1dGhvcj5Tb2Vpcm8tZGUtU291emE8L0F1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</w:fldData>
              </w:fldChar>
            </w:r>
            <w:r w:rsidRPr="004D46AC">
              <w:instrText xml:space="preserve"> ADDIN EN.CITE.DATA </w:instrText>
            </w:r>
            <w:r w:rsidRPr="004D46AC">
              <w:fldChar w:fldCharType="end"/>
            </w:r>
            <w:r w:rsidRPr="004D46AC">
              <w:fldChar w:fldCharType="separate"/>
            </w:r>
            <w:r w:rsidRPr="004D46AC">
              <w:t>Soeiro-de-Souza et al. (2013)</w:t>
            </w:r>
            <w:r w:rsidRPr="004D46AC">
              <w:fldChar w:fldCharType="end"/>
            </w:r>
          </w:p>
        </w:tc>
        <w:tc>
          <w:tcPr>
            <w:tcW w:w="754" w:type="dxa"/>
            <w:vAlign w:val="center"/>
          </w:tcPr>
          <w:p w14:paraId="44613E05" w14:textId="77777777" w:rsidR="009864DB" w:rsidRPr="004D46AC" w:rsidRDefault="009864DB" w:rsidP="009864DB">
            <w:pPr>
              <w:spacing w:line="240" w:lineRule="auto"/>
              <w:ind w:firstLine="0"/>
            </w:pPr>
            <w:r w:rsidRPr="004D46AC">
              <w:t>4</w:t>
            </w:r>
          </w:p>
        </w:tc>
        <w:tc>
          <w:tcPr>
            <w:tcW w:w="766" w:type="dxa"/>
            <w:vAlign w:val="center"/>
          </w:tcPr>
          <w:p w14:paraId="619517B6" w14:textId="77777777" w:rsidR="009864DB" w:rsidRPr="004D46AC" w:rsidRDefault="009864DB" w:rsidP="009864DB">
            <w:pPr>
              <w:spacing w:line="240" w:lineRule="auto"/>
              <w:ind w:firstLine="0"/>
            </w:pPr>
            <w:r w:rsidRPr="004D46AC">
              <w:t>26.8</w:t>
            </w:r>
          </w:p>
        </w:tc>
        <w:tc>
          <w:tcPr>
            <w:tcW w:w="1096" w:type="dxa"/>
            <w:vAlign w:val="center"/>
          </w:tcPr>
          <w:p w14:paraId="2FBB8F6A" w14:textId="77777777" w:rsidR="009864DB" w:rsidRPr="004D46AC" w:rsidRDefault="009864DB" w:rsidP="009864DB">
            <w:pPr>
              <w:spacing w:line="240" w:lineRule="auto"/>
              <w:ind w:firstLine="0"/>
            </w:pPr>
            <w:r w:rsidRPr="004D46AC">
              <w:t>DSM4TR</w:t>
            </w:r>
          </w:p>
        </w:tc>
        <w:tc>
          <w:tcPr>
            <w:tcW w:w="1415" w:type="dxa"/>
            <w:vAlign w:val="center"/>
          </w:tcPr>
          <w:p w14:paraId="4979975F" w14:textId="77777777" w:rsidR="009864DB" w:rsidRPr="004D46AC" w:rsidRDefault="009864DB" w:rsidP="009864DB">
            <w:pPr>
              <w:spacing w:line="240" w:lineRule="auto"/>
              <w:ind w:firstLine="0"/>
            </w:pPr>
            <w:r w:rsidRPr="004D46AC">
              <w:t>SCID</w:t>
            </w:r>
          </w:p>
        </w:tc>
        <w:tc>
          <w:tcPr>
            <w:tcW w:w="876" w:type="dxa"/>
            <w:vAlign w:val="center"/>
          </w:tcPr>
          <w:p w14:paraId="58B0E463" w14:textId="77777777" w:rsidR="009864DB" w:rsidRPr="004D46AC" w:rsidRDefault="009864DB" w:rsidP="009864DB">
            <w:pPr>
              <w:spacing w:line="240" w:lineRule="auto"/>
              <w:ind w:firstLine="0"/>
            </w:pPr>
            <w:r w:rsidRPr="004D46AC">
              <w:t>50</w:t>
            </w:r>
          </w:p>
        </w:tc>
        <w:tc>
          <w:tcPr>
            <w:tcW w:w="986" w:type="dxa"/>
            <w:vAlign w:val="center"/>
          </w:tcPr>
          <w:p w14:paraId="153691BE" w14:textId="77777777" w:rsidR="009864DB" w:rsidRPr="004D46AC" w:rsidRDefault="009864DB" w:rsidP="009864DB">
            <w:pPr>
              <w:spacing w:line="240" w:lineRule="auto"/>
              <w:ind w:firstLine="0"/>
            </w:pPr>
            <w:r w:rsidRPr="004D46AC">
              <w:t>2</w:t>
            </w:r>
          </w:p>
        </w:tc>
        <w:tc>
          <w:tcPr>
            <w:tcW w:w="751" w:type="dxa"/>
            <w:vAlign w:val="center"/>
          </w:tcPr>
          <w:p w14:paraId="6981EF73" w14:textId="77777777" w:rsidR="009864DB" w:rsidRPr="004D46AC" w:rsidRDefault="009864DB" w:rsidP="009864DB">
            <w:pPr>
              <w:spacing w:line="240" w:lineRule="auto"/>
              <w:ind w:firstLine="0"/>
            </w:pPr>
            <w:r w:rsidRPr="004D46AC">
              <w:t>2</w:t>
            </w:r>
          </w:p>
        </w:tc>
        <w:tc>
          <w:tcPr>
            <w:tcW w:w="752" w:type="dxa"/>
            <w:vAlign w:val="center"/>
          </w:tcPr>
          <w:p w14:paraId="38CC0F48" w14:textId="77777777" w:rsidR="009864DB" w:rsidRPr="004D46AC" w:rsidRDefault="009864DB" w:rsidP="009864DB">
            <w:pPr>
              <w:spacing w:line="240" w:lineRule="auto"/>
              <w:ind w:firstLine="0"/>
            </w:pPr>
            <w:r w:rsidRPr="004D46AC">
              <w:t>2</w:t>
            </w:r>
          </w:p>
        </w:tc>
        <w:tc>
          <w:tcPr>
            <w:tcW w:w="1296" w:type="dxa"/>
            <w:vAlign w:val="center"/>
          </w:tcPr>
          <w:p w14:paraId="07730458" w14:textId="77777777" w:rsidR="009864DB" w:rsidRPr="004D46AC" w:rsidRDefault="009864DB" w:rsidP="009864DB">
            <w:pPr>
              <w:spacing w:line="240" w:lineRule="auto"/>
              <w:ind w:firstLine="0"/>
            </w:pPr>
            <w:r w:rsidRPr="004D46AC">
              <w:t>25</w:t>
            </w:r>
          </w:p>
        </w:tc>
        <w:tc>
          <w:tcPr>
            <w:tcW w:w="752" w:type="dxa"/>
            <w:vAlign w:val="center"/>
          </w:tcPr>
          <w:p w14:paraId="627A4682" w14:textId="77777777" w:rsidR="009864DB" w:rsidRPr="004D46AC" w:rsidRDefault="009864DB" w:rsidP="009864DB">
            <w:pPr>
              <w:spacing w:line="240" w:lineRule="auto"/>
              <w:ind w:firstLine="0"/>
            </w:pPr>
            <w:r w:rsidRPr="004D46AC">
              <w:t>NA</w:t>
            </w:r>
          </w:p>
        </w:tc>
        <w:tc>
          <w:tcPr>
            <w:tcW w:w="789" w:type="dxa"/>
            <w:gridSpan w:val="2"/>
            <w:vAlign w:val="center"/>
          </w:tcPr>
          <w:p w14:paraId="07EFDF51" w14:textId="77777777" w:rsidR="009864DB" w:rsidRPr="004D46AC" w:rsidRDefault="009864DB" w:rsidP="009864DB">
            <w:pPr>
              <w:spacing w:line="240" w:lineRule="auto"/>
              <w:ind w:firstLine="0"/>
            </w:pPr>
            <w:r w:rsidRPr="004D46AC">
              <w:t>NA</w:t>
            </w:r>
          </w:p>
        </w:tc>
      </w:tr>
      <w:tr w:rsidR="009864DB" w:rsidRPr="004D46AC" w14:paraId="1CB04E59" w14:textId="77777777" w:rsidTr="00B518F1">
        <w:tc>
          <w:tcPr>
            <w:tcW w:w="1476" w:type="dxa"/>
          </w:tcPr>
          <w:p w14:paraId="58793300" w14:textId="77777777" w:rsidR="009864DB" w:rsidRPr="004D46AC" w:rsidRDefault="009864DB" w:rsidP="009864DB">
            <w:pPr>
              <w:spacing w:line="240" w:lineRule="auto"/>
              <w:ind w:firstLine="0"/>
            </w:pPr>
            <w:r w:rsidRPr="004D46AC">
              <w:fldChar w:fldCharType="begin">
                <w:fldData xml:space="preserve">PEVuZE5vdGU+PENpdGUgQXV0aG9yWWVhcj0iMSI+PEF1dGhvcj5HYXJjaWEtSmltZW5lejwvQXV0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==
</w:fldData>
              </w:fldChar>
            </w:r>
            <w:r w:rsidRPr="004D46AC">
              <w:instrText xml:space="preserve"> ADDIN EN.CITE </w:instrText>
            </w:r>
            <w:r w:rsidRPr="004D46AC">
              <w:fldChar w:fldCharType="begin">
                <w:fldData xml:space="preserve">PEVuZE5vdGU+PENpdGUgQXV0aG9yWWVhcj0iMSI+PEF1dGhvcj5HYXJjaWEtSmltZW5lejwvQXV0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==
</w:fldData>
              </w:fldChar>
            </w:r>
            <w:r w:rsidRPr="004D46AC">
              <w:instrText xml:space="preserve"> ADDIN EN.CITE.DATA </w:instrText>
            </w:r>
            <w:r w:rsidRPr="004D46AC">
              <w:fldChar w:fldCharType="end"/>
            </w:r>
            <w:r w:rsidRPr="004D46AC">
              <w:fldChar w:fldCharType="separate"/>
            </w:r>
            <w:r w:rsidRPr="004D46AC">
              <w:t>Garcia-Jimenez et al. (2020)</w:t>
            </w:r>
            <w:r w:rsidRPr="004D46AC">
              <w:fldChar w:fldCharType="end"/>
            </w:r>
          </w:p>
        </w:tc>
        <w:tc>
          <w:tcPr>
            <w:tcW w:w="754" w:type="dxa"/>
            <w:vAlign w:val="center"/>
          </w:tcPr>
          <w:p w14:paraId="3CA66F60" w14:textId="77777777" w:rsidR="009864DB" w:rsidRPr="004D46AC" w:rsidRDefault="009864DB" w:rsidP="009864DB">
            <w:pPr>
              <w:spacing w:line="240" w:lineRule="auto"/>
              <w:ind w:firstLine="0"/>
            </w:pPr>
            <w:r w:rsidRPr="004D46AC">
              <w:t>6</w:t>
            </w:r>
          </w:p>
        </w:tc>
        <w:tc>
          <w:tcPr>
            <w:tcW w:w="766" w:type="dxa"/>
            <w:vAlign w:val="center"/>
          </w:tcPr>
          <w:p w14:paraId="580B90B0" w14:textId="77777777" w:rsidR="009864DB" w:rsidRPr="004D46AC" w:rsidRDefault="009864DB" w:rsidP="009864DB">
            <w:pPr>
              <w:spacing w:line="240" w:lineRule="auto"/>
              <w:ind w:firstLine="0"/>
            </w:pPr>
            <w:r w:rsidRPr="004D46AC">
              <w:t>48.17</w:t>
            </w:r>
          </w:p>
        </w:tc>
        <w:tc>
          <w:tcPr>
            <w:tcW w:w="1096" w:type="dxa"/>
            <w:vAlign w:val="center"/>
          </w:tcPr>
          <w:p w14:paraId="4EBA8F78" w14:textId="77777777" w:rsidR="009864DB" w:rsidRPr="004D46AC" w:rsidRDefault="009864DB" w:rsidP="009864DB">
            <w:pPr>
              <w:spacing w:line="240" w:lineRule="auto"/>
              <w:ind w:firstLine="0"/>
            </w:pPr>
            <w:r w:rsidRPr="004D46AC">
              <w:t>DSM4</w:t>
            </w:r>
          </w:p>
        </w:tc>
        <w:tc>
          <w:tcPr>
            <w:tcW w:w="1415" w:type="dxa"/>
            <w:vAlign w:val="center"/>
          </w:tcPr>
          <w:p w14:paraId="661EDF22" w14:textId="77777777" w:rsidR="009864DB" w:rsidRPr="004D46AC" w:rsidRDefault="009864DB" w:rsidP="009864DB">
            <w:pPr>
              <w:spacing w:line="240" w:lineRule="auto"/>
              <w:ind w:firstLine="0"/>
            </w:pPr>
            <w:r w:rsidRPr="004D46AC">
              <w:t>SCID</w:t>
            </w:r>
          </w:p>
        </w:tc>
        <w:tc>
          <w:tcPr>
            <w:tcW w:w="876" w:type="dxa"/>
            <w:vAlign w:val="center"/>
          </w:tcPr>
          <w:p w14:paraId="496314CF" w14:textId="77777777" w:rsidR="009864DB" w:rsidRPr="004D46AC" w:rsidRDefault="009864DB" w:rsidP="009864DB">
            <w:pPr>
              <w:spacing w:line="240" w:lineRule="auto"/>
              <w:ind w:firstLine="0"/>
            </w:pPr>
            <w:r w:rsidRPr="004D46AC">
              <w:t>108</w:t>
            </w:r>
          </w:p>
        </w:tc>
        <w:tc>
          <w:tcPr>
            <w:tcW w:w="986" w:type="dxa"/>
            <w:vAlign w:val="center"/>
          </w:tcPr>
          <w:p w14:paraId="792233E5" w14:textId="77777777" w:rsidR="009864DB" w:rsidRPr="004D46AC" w:rsidRDefault="009864DB" w:rsidP="009864DB">
            <w:pPr>
              <w:spacing w:line="240" w:lineRule="auto"/>
              <w:ind w:firstLine="0"/>
            </w:pPr>
            <w:r w:rsidRPr="004D46AC">
              <w:t>1</w:t>
            </w:r>
          </w:p>
        </w:tc>
        <w:tc>
          <w:tcPr>
            <w:tcW w:w="751" w:type="dxa"/>
            <w:vAlign w:val="center"/>
          </w:tcPr>
          <w:p w14:paraId="302DCB35" w14:textId="77777777" w:rsidR="009864DB" w:rsidRPr="004D46AC" w:rsidRDefault="009864DB" w:rsidP="009864DB">
            <w:pPr>
              <w:spacing w:line="240" w:lineRule="auto"/>
              <w:ind w:firstLine="0"/>
            </w:pPr>
            <w:r w:rsidRPr="004D46AC">
              <w:t>1</w:t>
            </w:r>
          </w:p>
        </w:tc>
        <w:tc>
          <w:tcPr>
            <w:tcW w:w="752" w:type="dxa"/>
            <w:vAlign w:val="center"/>
          </w:tcPr>
          <w:p w14:paraId="67D98333" w14:textId="77777777" w:rsidR="009864DB" w:rsidRPr="004D46AC" w:rsidRDefault="009864DB" w:rsidP="009864DB">
            <w:pPr>
              <w:spacing w:line="240" w:lineRule="auto"/>
              <w:ind w:firstLine="0"/>
            </w:pPr>
            <w:r w:rsidRPr="004D46AC">
              <w:t>2</w:t>
            </w:r>
          </w:p>
        </w:tc>
        <w:tc>
          <w:tcPr>
            <w:tcW w:w="1296" w:type="dxa"/>
            <w:vAlign w:val="center"/>
          </w:tcPr>
          <w:p w14:paraId="1E8B184A" w14:textId="77777777" w:rsidR="009864DB" w:rsidRPr="004D46AC" w:rsidRDefault="009864DB" w:rsidP="009864DB">
            <w:pPr>
              <w:spacing w:line="240" w:lineRule="auto"/>
              <w:ind w:firstLine="0"/>
            </w:pPr>
            <w:r w:rsidRPr="004D46AC">
              <w:t>40</w:t>
            </w:r>
          </w:p>
        </w:tc>
        <w:tc>
          <w:tcPr>
            <w:tcW w:w="752" w:type="dxa"/>
            <w:vAlign w:val="center"/>
          </w:tcPr>
          <w:p w14:paraId="592FA3C6" w14:textId="77777777" w:rsidR="009864DB" w:rsidRPr="004D46AC" w:rsidRDefault="009864DB" w:rsidP="009864DB">
            <w:pPr>
              <w:spacing w:line="240" w:lineRule="auto"/>
              <w:ind w:firstLine="0"/>
            </w:pPr>
            <w:r w:rsidRPr="004D46AC">
              <w:t>NA</w:t>
            </w:r>
          </w:p>
        </w:tc>
        <w:tc>
          <w:tcPr>
            <w:tcW w:w="789" w:type="dxa"/>
            <w:gridSpan w:val="2"/>
            <w:vAlign w:val="center"/>
          </w:tcPr>
          <w:p w14:paraId="13AADB6B" w14:textId="77777777" w:rsidR="009864DB" w:rsidRPr="004D46AC" w:rsidRDefault="009864DB" w:rsidP="009864DB">
            <w:pPr>
              <w:spacing w:line="240" w:lineRule="auto"/>
              <w:ind w:firstLine="0"/>
            </w:pPr>
            <w:r w:rsidRPr="004D46AC">
              <w:t>NA</w:t>
            </w:r>
          </w:p>
        </w:tc>
      </w:tr>
      <w:tr w:rsidR="009864DB" w:rsidRPr="004D46AC" w14:paraId="541BBD71" w14:textId="77777777" w:rsidTr="00B518F1">
        <w:tc>
          <w:tcPr>
            <w:tcW w:w="1476" w:type="dxa"/>
          </w:tcPr>
          <w:p w14:paraId="32BA61D5" w14:textId="77777777" w:rsidR="009864DB" w:rsidRPr="004D46AC" w:rsidRDefault="009864DB" w:rsidP="009864DB">
            <w:pPr>
              <w:spacing w:line="240" w:lineRule="auto"/>
              <w:ind w:firstLine="0"/>
            </w:pPr>
            <w:r w:rsidRPr="004D46AC">
              <w:fldChar w:fldCharType="begin">
                <w:fldData xml:space="preserve">PEVuZE5vdGU+PENpdGUgQXV0aG9yWWVhcj0iMSI+PEF1dGhvcj5TaW1vbnNlbjwvQXV0aG9yPjxZ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</w:fldData>
              </w:fldChar>
            </w:r>
            <w:r w:rsidRPr="004D46AC">
              <w:instrText xml:space="preserve"> ADDIN EN.CITE </w:instrText>
            </w:r>
            <w:r w:rsidRPr="004D46AC">
              <w:fldChar w:fldCharType="begin">
                <w:fldData xml:space="preserve">PEVuZE5vdGU+PENpdGUgQXV0aG9yWWVhcj0iMSI+PEF1dGhvcj5TaW1vbnNlbjwvQXV0aG9yPjxZ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</w:fldData>
              </w:fldChar>
            </w:r>
            <w:r w:rsidRPr="004D46AC">
              <w:instrText xml:space="preserve"> ADDIN EN.CITE.DATA </w:instrText>
            </w:r>
            <w:r w:rsidRPr="004D46AC">
              <w:fldChar w:fldCharType="end"/>
            </w:r>
            <w:r w:rsidRPr="004D46AC">
              <w:fldChar w:fldCharType="separate"/>
            </w:r>
            <w:r w:rsidRPr="004D46AC">
              <w:t>Simonsen et al. (2010)</w:t>
            </w:r>
            <w:r w:rsidRPr="004D46AC">
              <w:fldChar w:fldCharType="end"/>
            </w:r>
          </w:p>
        </w:tc>
        <w:tc>
          <w:tcPr>
            <w:tcW w:w="754" w:type="dxa"/>
            <w:vAlign w:val="center"/>
          </w:tcPr>
          <w:p w14:paraId="3347F661" w14:textId="77777777" w:rsidR="009864DB" w:rsidRPr="004D46AC" w:rsidRDefault="009864DB" w:rsidP="009864DB">
            <w:pPr>
              <w:spacing w:line="240" w:lineRule="auto"/>
              <w:ind w:firstLine="0"/>
            </w:pPr>
            <w:r w:rsidRPr="004D46AC">
              <w:t>7</w:t>
            </w:r>
          </w:p>
        </w:tc>
        <w:tc>
          <w:tcPr>
            <w:tcW w:w="766" w:type="dxa"/>
            <w:vAlign w:val="center"/>
          </w:tcPr>
          <w:p w14:paraId="6AC3C472" w14:textId="77777777" w:rsidR="009864DB" w:rsidRPr="004D46AC" w:rsidRDefault="009864DB" w:rsidP="009864DB">
            <w:pPr>
              <w:spacing w:line="240" w:lineRule="auto"/>
              <w:ind w:firstLine="0"/>
            </w:pPr>
            <w:r w:rsidRPr="004D46AC">
              <w:t>36.51</w:t>
            </w:r>
          </w:p>
        </w:tc>
        <w:tc>
          <w:tcPr>
            <w:tcW w:w="1096" w:type="dxa"/>
            <w:vAlign w:val="center"/>
          </w:tcPr>
          <w:p w14:paraId="7354481D" w14:textId="77777777" w:rsidR="009864DB" w:rsidRPr="004D46AC" w:rsidRDefault="009864DB" w:rsidP="009864DB">
            <w:pPr>
              <w:spacing w:line="240" w:lineRule="auto"/>
              <w:ind w:firstLine="0"/>
            </w:pPr>
            <w:r w:rsidRPr="004D46AC">
              <w:t>DSM4</w:t>
            </w:r>
          </w:p>
        </w:tc>
        <w:tc>
          <w:tcPr>
            <w:tcW w:w="1415" w:type="dxa"/>
            <w:vAlign w:val="center"/>
          </w:tcPr>
          <w:p w14:paraId="035F86A9" w14:textId="77777777" w:rsidR="009864DB" w:rsidRPr="004D46AC" w:rsidRDefault="009864DB" w:rsidP="009864DB">
            <w:pPr>
              <w:spacing w:line="240" w:lineRule="auto"/>
              <w:ind w:firstLine="0"/>
            </w:pPr>
            <w:r w:rsidRPr="004D46AC">
              <w:t>SCID</w:t>
            </w:r>
          </w:p>
        </w:tc>
        <w:tc>
          <w:tcPr>
            <w:tcW w:w="876" w:type="dxa"/>
            <w:vAlign w:val="center"/>
          </w:tcPr>
          <w:p w14:paraId="02BDBA45" w14:textId="77777777" w:rsidR="009864DB" w:rsidRPr="004D46AC" w:rsidRDefault="009864DB" w:rsidP="009864DB">
            <w:pPr>
              <w:spacing w:line="240" w:lineRule="auto"/>
              <w:ind w:firstLine="0"/>
            </w:pPr>
            <w:r w:rsidRPr="004D46AC">
              <w:t>120</w:t>
            </w:r>
          </w:p>
        </w:tc>
        <w:tc>
          <w:tcPr>
            <w:tcW w:w="986" w:type="dxa"/>
            <w:vAlign w:val="center"/>
          </w:tcPr>
          <w:p w14:paraId="439F975F" w14:textId="77777777" w:rsidR="009864DB" w:rsidRPr="004D46AC" w:rsidRDefault="009864DB" w:rsidP="009864DB">
            <w:pPr>
              <w:spacing w:line="240" w:lineRule="auto"/>
              <w:ind w:firstLine="0"/>
            </w:pPr>
            <w:r w:rsidRPr="004D46AC">
              <w:t>2</w:t>
            </w:r>
          </w:p>
        </w:tc>
        <w:tc>
          <w:tcPr>
            <w:tcW w:w="751" w:type="dxa"/>
            <w:vAlign w:val="center"/>
          </w:tcPr>
          <w:p w14:paraId="5C7EFB18" w14:textId="77777777" w:rsidR="009864DB" w:rsidRPr="004D46AC" w:rsidRDefault="009864DB" w:rsidP="009864DB">
            <w:pPr>
              <w:spacing w:line="240" w:lineRule="auto"/>
              <w:ind w:firstLine="0"/>
            </w:pPr>
            <w:r w:rsidRPr="004D46AC">
              <w:t>1</w:t>
            </w:r>
          </w:p>
        </w:tc>
        <w:tc>
          <w:tcPr>
            <w:tcW w:w="752" w:type="dxa"/>
            <w:vAlign w:val="center"/>
          </w:tcPr>
          <w:p w14:paraId="0E73A190" w14:textId="77777777" w:rsidR="009864DB" w:rsidRPr="004D46AC" w:rsidRDefault="009864DB" w:rsidP="009864DB">
            <w:pPr>
              <w:spacing w:line="240" w:lineRule="auto"/>
              <w:ind w:firstLine="0"/>
            </w:pPr>
            <w:r w:rsidRPr="004D46AC">
              <w:t>2</w:t>
            </w:r>
          </w:p>
        </w:tc>
        <w:tc>
          <w:tcPr>
            <w:tcW w:w="1296" w:type="dxa"/>
            <w:vAlign w:val="center"/>
          </w:tcPr>
          <w:p w14:paraId="0509BCA0" w14:textId="77777777" w:rsidR="009864DB" w:rsidRPr="004D46AC" w:rsidRDefault="009864DB" w:rsidP="009864DB">
            <w:pPr>
              <w:spacing w:line="240" w:lineRule="auto"/>
              <w:ind w:firstLine="0"/>
            </w:pPr>
            <w:r w:rsidRPr="004D46AC">
              <w:t>64</w:t>
            </w:r>
          </w:p>
        </w:tc>
        <w:tc>
          <w:tcPr>
            <w:tcW w:w="752" w:type="dxa"/>
            <w:vAlign w:val="center"/>
          </w:tcPr>
          <w:p w14:paraId="6195F926" w14:textId="77777777" w:rsidR="009864DB" w:rsidRPr="004D46AC" w:rsidRDefault="009864DB" w:rsidP="009864DB">
            <w:pPr>
              <w:spacing w:line="240" w:lineRule="auto"/>
              <w:ind w:firstLine="0"/>
            </w:pPr>
            <w:r w:rsidRPr="004D46AC">
              <w:t>NA</w:t>
            </w:r>
          </w:p>
        </w:tc>
        <w:tc>
          <w:tcPr>
            <w:tcW w:w="789" w:type="dxa"/>
            <w:gridSpan w:val="2"/>
            <w:vAlign w:val="center"/>
          </w:tcPr>
          <w:p w14:paraId="51841B64" w14:textId="77777777" w:rsidR="009864DB" w:rsidRPr="004D46AC" w:rsidRDefault="009864DB" w:rsidP="009864DB">
            <w:pPr>
              <w:spacing w:line="240" w:lineRule="auto"/>
              <w:ind w:firstLine="0"/>
            </w:pPr>
            <w:r w:rsidRPr="004D46AC">
              <w:t>NA</w:t>
            </w:r>
          </w:p>
        </w:tc>
      </w:tr>
      <w:tr w:rsidR="009864DB" w:rsidRPr="004D46AC" w14:paraId="5FA48E76" w14:textId="77777777" w:rsidTr="00B518F1">
        <w:tc>
          <w:tcPr>
            <w:tcW w:w="1476" w:type="dxa"/>
          </w:tcPr>
          <w:p w14:paraId="473F8A64" w14:textId="77777777" w:rsidR="009864DB" w:rsidRPr="004D46AC" w:rsidRDefault="009864DB" w:rsidP="009864DB">
            <w:pPr>
              <w:spacing w:line="240" w:lineRule="auto"/>
              <w:ind w:firstLine="0"/>
            </w:pPr>
            <w:r w:rsidRPr="004D46AC">
              <w:fldChar w:fldCharType="begin">
                <w:fldData xml:space="preserve">PEVuZE5vdGU+PENpdGUgQXV0aG9yWWVhcj0iMSI+PEF1dGhvcj5TZXJhZmluaTwvQXV0aG9yPjxZ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=
</w:fldData>
              </w:fldChar>
            </w:r>
            <w:r w:rsidRPr="004D46AC">
              <w:instrText xml:space="preserve"> ADDIN EN.CITE </w:instrText>
            </w:r>
            <w:r w:rsidRPr="004D46AC">
              <w:fldChar w:fldCharType="begin">
                <w:fldData xml:space="preserve">PEVuZE5vdGU+PENpdGUgQXV0aG9yWWVhcj0iMSI+PEF1dGhvcj5TZXJhZmluaTwvQXV0aG9yPjxZ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=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Serafini et al. (2018)</w:t>
            </w:r>
            <w:r w:rsidRPr="004D46AC">
              <w:fldChar w:fldCharType="end"/>
            </w:r>
          </w:p>
        </w:tc>
        <w:tc>
          <w:tcPr>
            <w:tcW w:w="754" w:type="dxa"/>
            <w:vAlign w:val="center"/>
          </w:tcPr>
          <w:p w14:paraId="6BACFF35" w14:textId="77777777" w:rsidR="009864DB" w:rsidRPr="004D46AC" w:rsidRDefault="009864DB" w:rsidP="009864DB">
            <w:pPr>
              <w:spacing w:line="240" w:lineRule="auto"/>
              <w:ind w:firstLine="0"/>
            </w:pPr>
            <w:r w:rsidRPr="004D46AC">
              <w:t>6</w:t>
            </w:r>
          </w:p>
        </w:tc>
        <w:tc>
          <w:tcPr>
            <w:tcW w:w="766" w:type="dxa"/>
            <w:vAlign w:val="center"/>
          </w:tcPr>
          <w:p w14:paraId="66C78F22" w14:textId="77777777" w:rsidR="009864DB" w:rsidRPr="004D46AC" w:rsidRDefault="009864DB" w:rsidP="009864DB">
            <w:pPr>
              <w:spacing w:line="240" w:lineRule="auto"/>
              <w:ind w:firstLine="0"/>
            </w:pPr>
            <w:r w:rsidRPr="004D46AC">
              <w:t>52.1</w:t>
            </w:r>
          </w:p>
        </w:tc>
        <w:tc>
          <w:tcPr>
            <w:tcW w:w="1096" w:type="dxa"/>
            <w:vAlign w:val="center"/>
          </w:tcPr>
          <w:p w14:paraId="10CB075C" w14:textId="77777777" w:rsidR="009864DB" w:rsidRPr="004D46AC" w:rsidRDefault="009864DB" w:rsidP="009864DB">
            <w:pPr>
              <w:spacing w:line="240" w:lineRule="auto"/>
              <w:ind w:firstLine="0"/>
            </w:pPr>
            <w:r w:rsidRPr="004D46AC">
              <w:t>DSM</w:t>
            </w:r>
          </w:p>
        </w:tc>
        <w:tc>
          <w:tcPr>
            <w:tcW w:w="1415" w:type="dxa"/>
            <w:vAlign w:val="center"/>
          </w:tcPr>
          <w:p w14:paraId="57E61F80" w14:textId="77777777" w:rsidR="009864DB" w:rsidRPr="004D46AC" w:rsidRDefault="009864DB" w:rsidP="009864DB">
            <w:pPr>
              <w:spacing w:line="240" w:lineRule="auto"/>
              <w:ind w:firstLine="0"/>
            </w:pPr>
            <w:r w:rsidRPr="004D46AC">
              <w:t>MINI</w:t>
            </w:r>
          </w:p>
        </w:tc>
        <w:tc>
          <w:tcPr>
            <w:tcW w:w="876" w:type="dxa"/>
            <w:vAlign w:val="center"/>
          </w:tcPr>
          <w:p w14:paraId="32534B7D" w14:textId="77777777" w:rsidR="009864DB" w:rsidRPr="004D46AC" w:rsidRDefault="009864DB" w:rsidP="009864DB">
            <w:pPr>
              <w:spacing w:line="240" w:lineRule="auto"/>
              <w:ind w:firstLine="0"/>
            </w:pPr>
            <w:r w:rsidRPr="004D46AC">
              <w:t>255</w:t>
            </w:r>
          </w:p>
        </w:tc>
        <w:tc>
          <w:tcPr>
            <w:tcW w:w="986" w:type="dxa"/>
            <w:vAlign w:val="center"/>
          </w:tcPr>
          <w:p w14:paraId="4083DA05" w14:textId="77777777" w:rsidR="009864DB" w:rsidRPr="004D46AC" w:rsidRDefault="009864DB" w:rsidP="009864DB">
            <w:pPr>
              <w:spacing w:line="240" w:lineRule="auto"/>
              <w:ind w:firstLine="0"/>
            </w:pPr>
            <w:r w:rsidRPr="004D46AC">
              <w:t>1</w:t>
            </w:r>
          </w:p>
        </w:tc>
        <w:tc>
          <w:tcPr>
            <w:tcW w:w="751" w:type="dxa"/>
            <w:vAlign w:val="center"/>
          </w:tcPr>
          <w:p w14:paraId="1D4FC2F7" w14:textId="77777777" w:rsidR="009864DB" w:rsidRPr="004D46AC" w:rsidRDefault="009864DB" w:rsidP="009864DB">
            <w:pPr>
              <w:spacing w:line="240" w:lineRule="auto"/>
              <w:ind w:firstLine="0"/>
            </w:pPr>
            <w:r w:rsidRPr="004D46AC">
              <w:t>1</w:t>
            </w:r>
          </w:p>
        </w:tc>
        <w:tc>
          <w:tcPr>
            <w:tcW w:w="752" w:type="dxa"/>
            <w:vAlign w:val="center"/>
          </w:tcPr>
          <w:p w14:paraId="17F74CB5" w14:textId="77777777" w:rsidR="009864DB" w:rsidRPr="004D46AC" w:rsidRDefault="009864DB" w:rsidP="009864DB">
            <w:pPr>
              <w:spacing w:line="240" w:lineRule="auto"/>
              <w:ind w:firstLine="0"/>
            </w:pPr>
            <w:r w:rsidRPr="004D46AC">
              <w:t>2</w:t>
            </w:r>
          </w:p>
        </w:tc>
        <w:tc>
          <w:tcPr>
            <w:tcW w:w="1296" w:type="dxa"/>
            <w:vAlign w:val="center"/>
          </w:tcPr>
          <w:p w14:paraId="05468078" w14:textId="77777777" w:rsidR="009864DB" w:rsidRPr="004D46AC" w:rsidRDefault="009864DB" w:rsidP="009864DB">
            <w:pPr>
              <w:spacing w:line="240" w:lineRule="auto"/>
              <w:ind w:firstLine="0"/>
            </w:pPr>
            <w:r w:rsidRPr="004D46AC">
              <w:t>133</w:t>
            </w:r>
          </w:p>
        </w:tc>
        <w:tc>
          <w:tcPr>
            <w:tcW w:w="752" w:type="dxa"/>
            <w:vAlign w:val="center"/>
          </w:tcPr>
          <w:p w14:paraId="7CBB1E5B" w14:textId="77777777" w:rsidR="009864DB" w:rsidRPr="004D46AC" w:rsidRDefault="009864DB" w:rsidP="009864DB">
            <w:pPr>
              <w:spacing w:line="240" w:lineRule="auto"/>
              <w:ind w:firstLine="0"/>
            </w:pPr>
            <w:r w:rsidRPr="004D46AC">
              <w:t>NA</w:t>
            </w:r>
          </w:p>
        </w:tc>
        <w:tc>
          <w:tcPr>
            <w:tcW w:w="789" w:type="dxa"/>
            <w:gridSpan w:val="2"/>
            <w:vAlign w:val="center"/>
          </w:tcPr>
          <w:p w14:paraId="3188940D" w14:textId="77777777" w:rsidR="009864DB" w:rsidRPr="004D46AC" w:rsidRDefault="009864DB" w:rsidP="009864DB">
            <w:pPr>
              <w:spacing w:line="240" w:lineRule="auto"/>
              <w:ind w:firstLine="0"/>
            </w:pPr>
            <w:r w:rsidRPr="004D46AC">
              <w:t>NA</w:t>
            </w:r>
          </w:p>
        </w:tc>
      </w:tr>
      <w:tr w:rsidR="009864DB" w:rsidRPr="004D46AC" w14:paraId="09BCD5B1" w14:textId="77777777" w:rsidTr="00B518F1">
        <w:tc>
          <w:tcPr>
            <w:tcW w:w="1476" w:type="dxa"/>
          </w:tcPr>
          <w:p w14:paraId="46FA399B" w14:textId="77777777" w:rsidR="009864DB" w:rsidRPr="004D46AC" w:rsidRDefault="009864DB" w:rsidP="009864DB">
            <w:pPr>
              <w:spacing w:line="240" w:lineRule="auto"/>
              <w:ind w:firstLine="0"/>
            </w:pPr>
            <w:r w:rsidRPr="004D46AC">
              <w:fldChar w:fldCharType="begin">
                <w:fldData xml:space="preserve">PEVuZE5vdGU+PENpdGUgQXV0aG9yWWVhcj0iMSI+PEF1dGhvcj5TdXBwZXM8L0F1dGhvcj48WWVh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 </w:instrText>
            </w:r>
            <w:r w:rsidRPr="004D46AC">
              <w:fldChar w:fldCharType="begin">
                <w:fldData xml:space="preserve">PEVuZE5vdGU+PENpdGUgQXV0aG9yWWVhcj0iMSI+PEF1dGhvcj5TdXBwZXM8L0F1dGhvcj48WWVh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EN.CITE.DATA </w:instrText>
            </w:r>
            <w:r w:rsidRPr="004D46AC">
              <w:fldChar w:fldCharType="end"/>
            </w:r>
            <w:r w:rsidRPr="004D46AC">
              <w:fldChar w:fldCharType="separate"/>
            </w:r>
            <w:r w:rsidRPr="004D46AC">
              <w:t>Suppes et al. (2008)</w:t>
            </w:r>
            <w:r w:rsidRPr="004D46AC">
              <w:fldChar w:fldCharType="end"/>
            </w:r>
          </w:p>
        </w:tc>
        <w:tc>
          <w:tcPr>
            <w:tcW w:w="754" w:type="dxa"/>
            <w:vAlign w:val="center"/>
          </w:tcPr>
          <w:p w14:paraId="0880C900" w14:textId="77777777" w:rsidR="009864DB" w:rsidRPr="004D46AC" w:rsidRDefault="009864DB" w:rsidP="009864DB">
            <w:pPr>
              <w:spacing w:line="240" w:lineRule="auto"/>
              <w:ind w:firstLine="0"/>
            </w:pPr>
            <w:r w:rsidRPr="004D46AC">
              <w:t>6</w:t>
            </w:r>
          </w:p>
        </w:tc>
        <w:tc>
          <w:tcPr>
            <w:tcW w:w="766" w:type="dxa"/>
            <w:vAlign w:val="center"/>
          </w:tcPr>
          <w:p w14:paraId="4FABC8BC" w14:textId="77777777" w:rsidR="009864DB" w:rsidRPr="004D46AC" w:rsidRDefault="009864DB" w:rsidP="009864DB">
            <w:pPr>
              <w:spacing w:line="240" w:lineRule="auto"/>
              <w:ind w:firstLine="0"/>
            </w:pPr>
            <w:r w:rsidRPr="004D46AC">
              <w:t>39.59</w:t>
            </w:r>
          </w:p>
        </w:tc>
        <w:tc>
          <w:tcPr>
            <w:tcW w:w="1096" w:type="dxa"/>
            <w:vAlign w:val="center"/>
          </w:tcPr>
          <w:p w14:paraId="0C40B5EF" w14:textId="77777777" w:rsidR="009864DB" w:rsidRPr="004D46AC" w:rsidRDefault="009864DB" w:rsidP="009864DB">
            <w:pPr>
              <w:spacing w:line="240" w:lineRule="auto"/>
              <w:ind w:firstLine="0"/>
            </w:pPr>
            <w:r w:rsidRPr="004D46AC">
              <w:t>DSM3R</w:t>
            </w:r>
          </w:p>
        </w:tc>
        <w:tc>
          <w:tcPr>
            <w:tcW w:w="1415" w:type="dxa"/>
            <w:vAlign w:val="center"/>
          </w:tcPr>
          <w:p w14:paraId="299038F0" w14:textId="77777777" w:rsidR="009864DB" w:rsidRPr="004D46AC" w:rsidRDefault="009864DB" w:rsidP="009864DB">
            <w:pPr>
              <w:spacing w:line="240" w:lineRule="auto"/>
              <w:ind w:firstLine="0"/>
            </w:pPr>
            <w:r w:rsidRPr="004D46AC">
              <w:t>PANSS</w:t>
            </w:r>
          </w:p>
        </w:tc>
        <w:tc>
          <w:tcPr>
            <w:tcW w:w="876" w:type="dxa"/>
            <w:vAlign w:val="center"/>
          </w:tcPr>
          <w:p w14:paraId="1CE521FC" w14:textId="77777777" w:rsidR="009864DB" w:rsidRPr="004D46AC" w:rsidRDefault="009864DB" w:rsidP="009864DB">
            <w:pPr>
              <w:spacing w:line="240" w:lineRule="auto"/>
              <w:ind w:firstLine="0"/>
            </w:pPr>
            <w:r w:rsidRPr="004D46AC">
              <w:t>516</w:t>
            </w:r>
          </w:p>
        </w:tc>
        <w:tc>
          <w:tcPr>
            <w:tcW w:w="986" w:type="dxa"/>
            <w:vAlign w:val="center"/>
          </w:tcPr>
          <w:p w14:paraId="1D558F60" w14:textId="77777777" w:rsidR="009864DB" w:rsidRPr="004D46AC" w:rsidRDefault="009864DB" w:rsidP="009864DB">
            <w:pPr>
              <w:spacing w:line="240" w:lineRule="auto"/>
              <w:ind w:firstLine="0"/>
            </w:pPr>
            <w:r w:rsidRPr="004D46AC">
              <w:t>3</w:t>
            </w:r>
          </w:p>
        </w:tc>
        <w:tc>
          <w:tcPr>
            <w:tcW w:w="751" w:type="dxa"/>
            <w:vAlign w:val="center"/>
          </w:tcPr>
          <w:p w14:paraId="766A0CA5" w14:textId="77777777" w:rsidR="009864DB" w:rsidRPr="004D46AC" w:rsidRDefault="009864DB" w:rsidP="009864DB">
            <w:pPr>
              <w:spacing w:line="240" w:lineRule="auto"/>
              <w:ind w:firstLine="0"/>
            </w:pPr>
            <w:r w:rsidRPr="004D46AC">
              <w:t>2</w:t>
            </w:r>
          </w:p>
        </w:tc>
        <w:tc>
          <w:tcPr>
            <w:tcW w:w="752" w:type="dxa"/>
            <w:vAlign w:val="center"/>
          </w:tcPr>
          <w:p w14:paraId="5D740DAD" w14:textId="77777777" w:rsidR="009864DB" w:rsidRPr="004D46AC" w:rsidRDefault="009864DB" w:rsidP="009864DB">
            <w:pPr>
              <w:spacing w:line="240" w:lineRule="auto"/>
              <w:ind w:firstLine="0"/>
            </w:pPr>
            <w:r w:rsidRPr="004D46AC">
              <w:t>0</w:t>
            </w:r>
          </w:p>
        </w:tc>
        <w:tc>
          <w:tcPr>
            <w:tcW w:w="1296" w:type="dxa"/>
            <w:vAlign w:val="center"/>
          </w:tcPr>
          <w:p w14:paraId="483D89E0" w14:textId="77777777" w:rsidR="009864DB" w:rsidRPr="004D46AC" w:rsidRDefault="009864DB" w:rsidP="009864DB">
            <w:pPr>
              <w:spacing w:line="240" w:lineRule="auto"/>
              <w:ind w:firstLine="0"/>
            </w:pPr>
            <w:r w:rsidRPr="004D46AC">
              <w:t>99</w:t>
            </w:r>
          </w:p>
        </w:tc>
        <w:tc>
          <w:tcPr>
            <w:tcW w:w="752" w:type="dxa"/>
            <w:vAlign w:val="center"/>
          </w:tcPr>
          <w:p w14:paraId="7BDF4305" w14:textId="77777777" w:rsidR="009864DB" w:rsidRPr="004D46AC" w:rsidRDefault="009864DB" w:rsidP="009864DB">
            <w:pPr>
              <w:spacing w:line="240" w:lineRule="auto"/>
              <w:ind w:firstLine="0"/>
            </w:pPr>
            <w:r w:rsidRPr="004D46AC">
              <w:t>NA</w:t>
            </w:r>
          </w:p>
        </w:tc>
        <w:tc>
          <w:tcPr>
            <w:tcW w:w="789" w:type="dxa"/>
            <w:gridSpan w:val="2"/>
            <w:vAlign w:val="center"/>
          </w:tcPr>
          <w:p w14:paraId="3F1AFF31" w14:textId="77777777" w:rsidR="009864DB" w:rsidRPr="004D46AC" w:rsidRDefault="009864DB" w:rsidP="009864DB">
            <w:pPr>
              <w:spacing w:line="240" w:lineRule="auto"/>
              <w:ind w:firstLine="0"/>
            </w:pPr>
            <w:r w:rsidRPr="004D46AC">
              <w:t>NA</w:t>
            </w:r>
          </w:p>
        </w:tc>
      </w:tr>
      <w:tr w:rsidR="009864DB" w:rsidRPr="004D46AC" w14:paraId="470889D7" w14:textId="77777777" w:rsidTr="00B518F1">
        <w:tc>
          <w:tcPr>
            <w:tcW w:w="1476" w:type="dxa"/>
          </w:tcPr>
          <w:p w14:paraId="2C5EA771"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AuthorYear="1"&gt;&lt;Author&gt;Peh&lt;/Author&gt;&lt;Year&gt;2008&lt;/Year&gt;&lt;RecNum&gt;169&lt;/RecNum&gt;&lt;DisplayText&gt;Peh and Tay (2008)&lt;/DisplayText&gt;&lt;record&gt;&lt;rec-number&gt;169&lt;/rec-number&gt;&lt;foreign-keys&gt;&lt;key app="EN" db-id="aet009sstawa0hewvt3xwf5atffdw2dt02sw" timestamp="1665826773"&gt;169&lt;/key&gt;&lt;/foreign-keys&gt;&lt;ref-type name="Journal Article"&gt;17&lt;/ref-type&gt;&lt;contributors&gt;&lt;authors&gt;&lt;author&gt;Peh, A. L.&lt;/author&gt;&lt;author&gt;Tay, L. K.&lt;/author&gt;&lt;/authors&gt;&lt;/contributors&gt;&lt;auth-address&gt;Department of Psychological Medicine, Changi General Hospital, 2 Simei Street 3, Singapore 529889. lai_huat_peh@cgh.com.sg&lt;/auth-address&gt;&lt;titles&gt;&lt;title&gt;Demographical profile and clinical features of patients with bipolar disorder in an outpatient setting in Singapore&lt;/title&gt;&lt;secondary-title&gt;Singapore Med J&lt;/secondary-title&gt;&lt;/titles&gt;&lt;periodical&gt;&lt;full-title&gt;Singapore Med J&lt;/full-title&gt;&lt;/periodical&gt;&lt;pages&gt;380-3&lt;/pages&gt;&lt;volume&gt;49&lt;/volume&gt;&lt;number&gt;5&lt;/number&gt;&lt;keywords&gt;&lt;keyword&gt;Adolescent&lt;/keyword&gt;&lt;keyword&gt;Adult&lt;/keyword&gt;&lt;keyword&gt;Age Distribution&lt;/keyword&gt;&lt;keyword&gt;Age of Onset&lt;/keyword&gt;&lt;keyword&gt;Ambulatory Care&lt;/keyword&gt;&lt;keyword&gt;Bipolar Disorder/*epidemiology/psychology/therapy&lt;/keyword&gt;&lt;keyword&gt;Child&lt;/keyword&gt;&lt;keyword&gt;Female&lt;/keyword&gt;&lt;keyword&gt;Humans&lt;/keyword&gt;&lt;keyword&gt;Male&lt;/keyword&gt;&lt;keyword&gt;Middle Aged&lt;/keyword&gt;&lt;keyword&gt;Retrospective Studies&lt;/keyword&gt;&lt;keyword&gt;Sex Distribution&lt;/keyword&gt;&lt;keyword&gt;Singapore/epidemiology&lt;/keyword&gt;&lt;/keywords&gt;&lt;dates&gt;&lt;year&gt;2008&lt;/year&gt;&lt;pub-dates&gt;&lt;date&gt;May&lt;/date&gt;&lt;/pub-dates&gt;&lt;/dates&gt;&lt;isbn&gt;2737-5935 (Electronic)&amp;#xD;0037-5675 (Linking)&lt;/isbn&gt;&lt;accession-num&gt;18465046&lt;/accession-num&gt;&lt;urls&gt;&lt;related-urls&gt;&lt;url&gt;https://www.ncbi.nlm.nih.gov/pubmed/18465046&lt;/url&gt;&lt;/related-urls&gt;&lt;/urls&gt;&lt;remote-database-name&gt;Medline&lt;/remote-database-name&gt;&lt;remote-database-provider&gt;NLM&lt;/remote-database-provider&gt;&lt;language&gt;eng&lt;/language&gt;&lt;/record&gt;&lt;/Cite&gt;&lt;/EndNote&gt;</w:instrText>
            </w:r>
            <w:r w:rsidRPr="004D46AC">
              <w:fldChar w:fldCharType="separate"/>
            </w:r>
            <w:r w:rsidRPr="004D46AC">
              <w:t>Peh and Tay (2008)</w:t>
            </w:r>
            <w:r w:rsidRPr="004D46AC">
              <w:fldChar w:fldCharType="end"/>
            </w:r>
          </w:p>
        </w:tc>
        <w:tc>
          <w:tcPr>
            <w:tcW w:w="754" w:type="dxa"/>
            <w:vAlign w:val="center"/>
          </w:tcPr>
          <w:p w14:paraId="464A601C" w14:textId="77777777" w:rsidR="009864DB" w:rsidRPr="004D46AC" w:rsidRDefault="009864DB" w:rsidP="009864DB">
            <w:pPr>
              <w:spacing w:line="240" w:lineRule="auto"/>
              <w:ind w:firstLine="0"/>
            </w:pPr>
            <w:r w:rsidRPr="004D46AC">
              <w:t>5</w:t>
            </w:r>
          </w:p>
        </w:tc>
        <w:tc>
          <w:tcPr>
            <w:tcW w:w="766" w:type="dxa"/>
            <w:vAlign w:val="center"/>
          </w:tcPr>
          <w:p w14:paraId="2E55E5A5" w14:textId="77777777" w:rsidR="009864DB" w:rsidRPr="004D46AC" w:rsidRDefault="009864DB" w:rsidP="009864DB">
            <w:pPr>
              <w:spacing w:line="240" w:lineRule="auto"/>
              <w:ind w:firstLine="0"/>
            </w:pPr>
            <w:r w:rsidRPr="004D46AC">
              <w:t>NA</w:t>
            </w:r>
          </w:p>
        </w:tc>
        <w:tc>
          <w:tcPr>
            <w:tcW w:w="1096" w:type="dxa"/>
            <w:vAlign w:val="center"/>
          </w:tcPr>
          <w:p w14:paraId="3057ABC1" w14:textId="77777777" w:rsidR="009864DB" w:rsidRPr="004D46AC" w:rsidRDefault="009864DB" w:rsidP="009864DB">
            <w:pPr>
              <w:spacing w:line="240" w:lineRule="auto"/>
              <w:ind w:firstLine="0"/>
            </w:pPr>
            <w:r w:rsidRPr="004D46AC">
              <w:t>DSM4TR</w:t>
            </w:r>
          </w:p>
        </w:tc>
        <w:tc>
          <w:tcPr>
            <w:tcW w:w="1415" w:type="dxa"/>
            <w:vAlign w:val="center"/>
          </w:tcPr>
          <w:p w14:paraId="2E64E986" w14:textId="77777777" w:rsidR="009864DB" w:rsidRPr="004D46AC" w:rsidRDefault="009864DB" w:rsidP="009864DB">
            <w:pPr>
              <w:spacing w:line="240" w:lineRule="auto"/>
              <w:ind w:firstLine="0"/>
            </w:pPr>
            <w:r w:rsidRPr="004D46AC">
              <w:t>unclear</w:t>
            </w:r>
          </w:p>
        </w:tc>
        <w:tc>
          <w:tcPr>
            <w:tcW w:w="876" w:type="dxa"/>
            <w:vAlign w:val="center"/>
          </w:tcPr>
          <w:p w14:paraId="705F8E6C" w14:textId="77777777" w:rsidR="009864DB" w:rsidRPr="004D46AC" w:rsidRDefault="009864DB" w:rsidP="009864DB">
            <w:pPr>
              <w:spacing w:line="240" w:lineRule="auto"/>
              <w:ind w:firstLine="0"/>
            </w:pPr>
            <w:r w:rsidRPr="004D46AC">
              <w:t>121</w:t>
            </w:r>
          </w:p>
        </w:tc>
        <w:tc>
          <w:tcPr>
            <w:tcW w:w="986" w:type="dxa"/>
            <w:vAlign w:val="center"/>
          </w:tcPr>
          <w:p w14:paraId="1CE7AFC9" w14:textId="77777777" w:rsidR="009864DB" w:rsidRPr="004D46AC" w:rsidRDefault="009864DB" w:rsidP="009864DB">
            <w:pPr>
              <w:spacing w:line="240" w:lineRule="auto"/>
              <w:ind w:firstLine="0"/>
            </w:pPr>
            <w:r w:rsidRPr="004D46AC">
              <w:t>1</w:t>
            </w:r>
          </w:p>
        </w:tc>
        <w:tc>
          <w:tcPr>
            <w:tcW w:w="751" w:type="dxa"/>
            <w:vAlign w:val="center"/>
          </w:tcPr>
          <w:p w14:paraId="7F4F70E1" w14:textId="77777777" w:rsidR="009864DB" w:rsidRPr="004D46AC" w:rsidRDefault="009864DB" w:rsidP="009864DB">
            <w:pPr>
              <w:spacing w:line="240" w:lineRule="auto"/>
              <w:ind w:firstLine="0"/>
            </w:pPr>
            <w:r w:rsidRPr="004D46AC">
              <w:t>1</w:t>
            </w:r>
          </w:p>
        </w:tc>
        <w:tc>
          <w:tcPr>
            <w:tcW w:w="752" w:type="dxa"/>
            <w:vAlign w:val="center"/>
          </w:tcPr>
          <w:p w14:paraId="25AA7727" w14:textId="77777777" w:rsidR="009864DB" w:rsidRPr="004D46AC" w:rsidRDefault="009864DB" w:rsidP="009864DB">
            <w:pPr>
              <w:spacing w:line="240" w:lineRule="auto"/>
              <w:ind w:firstLine="0"/>
            </w:pPr>
            <w:r w:rsidRPr="004D46AC">
              <w:t>0</w:t>
            </w:r>
          </w:p>
        </w:tc>
        <w:tc>
          <w:tcPr>
            <w:tcW w:w="1296" w:type="dxa"/>
            <w:vAlign w:val="center"/>
          </w:tcPr>
          <w:p w14:paraId="17A9E01F" w14:textId="77777777" w:rsidR="009864DB" w:rsidRPr="004D46AC" w:rsidRDefault="009864DB" w:rsidP="009864DB">
            <w:pPr>
              <w:spacing w:line="240" w:lineRule="auto"/>
              <w:ind w:firstLine="0"/>
            </w:pPr>
            <w:r w:rsidRPr="004D46AC">
              <w:t>30</w:t>
            </w:r>
          </w:p>
        </w:tc>
        <w:tc>
          <w:tcPr>
            <w:tcW w:w="752" w:type="dxa"/>
            <w:vAlign w:val="center"/>
          </w:tcPr>
          <w:p w14:paraId="6B07CDA4" w14:textId="77777777" w:rsidR="009864DB" w:rsidRPr="004D46AC" w:rsidRDefault="009864DB" w:rsidP="009864DB">
            <w:pPr>
              <w:spacing w:line="240" w:lineRule="auto"/>
              <w:ind w:firstLine="0"/>
            </w:pPr>
            <w:r w:rsidRPr="004D46AC">
              <w:t>NA</w:t>
            </w:r>
          </w:p>
        </w:tc>
        <w:tc>
          <w:tcPr>
            <w:tcW w:w="789" w:type="dxa"/>
            <w:gridSpan w:val="2"/>
            <w:vAlign w:val="center"/>
          </w:tcPr>
          <w:p w14:paraId="2568F841" w14:textId="77777777" w:rsidR="009864DB" w:rsidRPr="004D46AC" w:rsidRDefault="009864DB" w:rsidP="009864DB">
            <w:pPr>
              <w:spacing w:line="240" w:lineRule="auto"/>
              <w:ind w:firstLine="0"/>
            </w:pPr>
            <w:r w:rsidRPr="004D46AC">
              <w:t>NA</w:t>
            </w:r>
          </w:p>
        </w:tc>
      </w:tr>
      <w:tr w:rsidR="009864DB" w:rsidRPr="004D46AC" w14:paraId="3C394CB7" w14:textId="77777777" w:rsidTr="00B518F1">
        <w:tc>
          <w:tcPr>
            <w:tcW w:w="1476" w:type="dxa"/>
          </w:tcPr>
          <w:p w14:paraId="2D9CC7BC" w14:textId="77777777" w:rsidR="009864DB" w:rsidRPr="004D46AC" w:rsidRDefault="009864DB" w:rsidP="009864DB">
            <w:pPr>
              <w:spacing w:line="240" w:lineRule="auto"/>
              <w:ind w:firstLine="0"/>
            </w:pPr>
            <w:r w:rsidRPr="004D46AC">
              <w:fldChar w:fldCharType="begin">
                <w:fldData xml:space="preserve">PEVuZE5vdGU+PENpdGUgQXV0aG9yWWVhcj0iMSI+PEF1dGhvcj5Ub2hlbjwvQXV0aG9yPjxZZWFy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 </w:instrText>
            </w:r>
            <w:r w:rsidRPr="004D46AC">
              <w:fldChar w:fldCharType="begin">
                <w:fldData xml:space="preserve">PEVuZE5vdGU+PENpdGUgQXV0aG9yWWVhcj0iMSI+PEF1dGhvcj5Ub2hlbjwvQXV0aG9yPjxZZWFy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EN.CITE.DATA </w:instrText>
            </w:r>
            <w:r w:rsidRPr="004D46AC">
              <w:fldChar w:fldCharType="end"/>
            </w:r>
            <w:r w:rsidRPr="004D46AC">
              <w:fldChar w:fldCharType="separate"/>
            </w:r>
            <w:r w:rsidRPr="004D46AC">
              <w:t>Tohen et al. (2014)</w:t>
            </w:r>
            <w:r w:rsidRPr="004D46AC">
              <w:fldChar w:fldCharType="end"/>
            </w:r>
          </w:p>
        </w:tc>
        <w:tc>
          <w:tcPr>
            <w:tcW w:w="754" w:type="dxa"/>
            <w:vAlign w:val="center"/>
          </w:tcPr>
          <w:p w14:paraId="72A74DD6" w14:textId="77777777" w:rsidR="009864DB" w:rsidRPr="004D46AC" w:rsidRDefault="009864DB" w:rsidP="009864DB">
            <w:pPr>
              <w:spacing w:line="240" w:lineRule="auto"/>
              <w:ind w:firstLine="0"/>
            </w:pPr>
            <w:r w:rsidRPr="004D46AC">
              <w:t>6</w:t>
            </w:r>
          </w:p>
        </w:tc>
        <w:tc>
          <w:tcPr>
            <w:tcW w:w="766" w:type="dxa"/>
            <w:vAlign w:val="center"/>
          </w:tcPr>
          <w:p w14:paraId="17620314" w14:textId="77777777" w:rsidR="009864DB" w:rsidRPr="004D46AC" w:rsidRDefault="009864DB" w:rsidP="009864DB">
            <w:pPr>
              <w:spacing w:line="240" w:lineRule="auto"/>
              <w:ind w:firstLine="0"/>
            </w:pPr>
            <w:r w:rsidRPr="004D46AC">
              <w:t>39.32</w:t>
            </w:r>
          </w:p>
        </w:tc>
        <w:tc>
          <w:tcPr>
            <w:tcW w:w="1096" w:type="dxa"/>
            <w:vAlign w:val="center"/>
          </w:tcPr>
          <w:p w14:paraId="261CE551" w14:textId="77777777" w:rsidR="009864DB" w:rsidRPr="004D46AC" w:rsidRDefault="009864DB" w:rsidP="009864DB">
            <w:pPr>
              <w:spacing w:line="240" w:lineRule="auto"/>
              <w:ind w:firstLine="0"/>
            </w:pPr>
            <w:r w:rsidRPr="004D46AC">
              <w:t>DSM</w:t>
            </w:r>
          </w:p>
        </w:tc>
        <w:tc>
          <w:tcPr>
            <w:tcW w:w="1415" w:type="dxa"/>
            <w:vAlign w:val="center"/>
          </w:tcPr>
          <w:p w14:paraId="3D96201B" w14:textId="77777777" w:rsidR="009864DB" w:rsidRPr="004D46AC" w:rsidRDefault="009864DB" w:rsidP="009864DB">
            <w:pPr>
              <w:spacing w:line="240" w:lineRule="auto"/>
              <w:ind w:firstLine="0"/>
            </w:pPr>
            <w:r w:rsidRPr="004D46AC">
              <w:t>unclear</w:t>
            </w:r>
          </w:p>
        </w:tc>
        <w:tc>
          <w:tcPr>
            <w:tcW w:w="876" w:type="dxa"/>
            <w:vAlign w:val="center"/>
          </w:tcPr>
          <w:p w14:paraId="435A70D1" w14:textId="77777777" w:rsidR="009864DB" w:rsidRPr="004D46AC" w:rsidRDefault="009864DB" w:rsidP="009864DB">
            <w:pPr>
              <w:spacing w:line="240" w:lineRule="auto"/>
              <w:ind w:firstLine="0"/>
            </w:pPr>
            <w:r w:rsidRPr="004D46AC">
              <w:t>1214</w:t>
            </w:r>
          </w:p>
        </w:tc>
        <w:tc>
          <w:tcPr>
            <w:tcW w:w="986" w:type="dxa"/>
            <w:vAlign w:val="center"/>
          </w:tcPr>
          <w:p w14:paraId="7FA6E6ED" w14:textId="77777777" w:rsidR="009864DB" w:rsidRPr="004D46AC" w:rsidRDefault="009864DB" w:rsidP="009864DB">
            <w:pPr>
              <w:spacing w:line="240" w:lineRule="auto"/>
              <w:ind w:firstLine="0"/>
            </w:pPr>
            <w:r w:rsidRPr="004D46AC">
              <w:t>3</w:t>
            </w:r>
          </w:p>
        </w:tc>
        <w:tc>
          <w:tcPr>
            <w:tcW w:w="751" w:type="dxa"/>
            <w:vAlign w:val="center"/>
          </w:tcPr>
          <w:p w14:paraId="40F60C9B" w14:textId="77777777" w:rsidR="009864DB" w:rsidRPr="004D46AC" w:rsidRDefault="009864DB" w:rsidP="009864DB">
            <w:pPr>
              <w:spacing w:line="240" w:lineRule="auto"/>
              <w:ind w:firstLine="0"/>
            </w:pPr>
            <w:r w:rsidRPr="004D46AC">
              <w:t>2</w:t>
            </w:r>
          </w:p>
        </w:tc>
        <w:tc>
          <w:tcPr>
            <w:tcW w:w="752" w:type="dxa"/>
            <w:vAlign w:val="center"/>
          </w:tcPr>
          <w:p w14:paraId="3A4E6F8D" w14:textId="77777777" w:rsidR="009864DB" w:rsidRPr="004D46AC" w:rsidRDefault="009864DB" w:rsidP="009864DB">
            <w:pPr>
              <w:spacing w:line="240" w:lineRule="auto"/>
              <w:ind w:firstLine="0"/>
            </w:pPr>
            <w:r w:rsidRPr="004D46AC">
              <w:t>0</w:t>
            </w:r>
          </w:p>
        </w:tc>
        <w:tc>
          <w:tcPr>
            <w:tcW w:w="1296" w:type="dxa"/>
            <w:vAlign w:val="center"/>
          </w:tcPr>
          <w:p w14:paraId="6E1A3482" w14:textId="77777777" w:rsidR="009864DB" w:rsidRPr="004D46AC" w:rsidRDefault="009864DB" w:rsidP="009864DB">
            <w:pPr>
              <w:spacing w:line="240" w:lineRule="auto"/>
              <w:ind w:firstLine="0"/>
            </w:pPr>
            <w:r w:rsidRPr="004D46AC">
              <w:t>117</w:t>
            </w:r>
          </w:p>
        </w:tc>
        <w:tc>
          <w:tcPr>
            <w:tcW w:w="752" w:type="dxa"/>
            <w:vAlign w:val="center"/>
          </w:tcPr>
          <w:p w14:paraId="7E5D5995" w14:textId="77777777" w:rsidR="009864DB" w:rsidRPr="004D46AC" w:rsidRDefault="009864DB" w:rsidP="009864DB">
            <w:pPr>
              <w:spacing w:line="240" w:lineRule="auto"/>
              <w:ind w:firstLine="0"/>
            </w:pPr>
            <w:r w:rsidRPr="004D46AC">
              <w:t>NA</w:t>
            </w:r>
          </w:p>
        </w:tc>
        <w:tc>
          <w:tcPr>
            <w:tcW w:w="789" w:type="dxa"/>
            <w:gridSpan w:val="2"/>
            <w:vAlign w:val="center"/>
          </w:tcPr>
          <w:p w14:paraId="5E429ACB" w14:textId="77777777" w:rsidR="009864DB" w:rsidRPr="004D46AC" w:rsidRDefault="009864DB" w:rsidP="009864DB">
            <w:pPr>
              <w:spacing w:line="240" w:lineRule="auto"/>
              <w:ind w:firstLine="0"/>
            </w:pPr>
            <w:r w:rsidRPr="004D46AC">
              <w:t>NA</w:t>
            </w:r>
          </w:p>
        </w:tc>
      </w:tr>
      <w:tr w:rsidR="009864DB" w:rsidRPr="004D46AC" w14:paraId="0CFDD8CE" w14:textId="77777777" w:rsidTr="00B518F1">
        <w:tc>
          <w:tcPr>
            <w:tcW w:w="1476" w:type="dxa"/>
          </w:tcPr>
          <w:p w14:paraId="7D40E2B1"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AuthorYear="1"&gt;&lt;Author&gt;Kesebir&lt;/Author&gt;&lt;Year&gt;2012&lt;/Year&gt;&lt;RecNum&gt;171&lt;/RecNum&gt;&lt;DisplayText&gt;Kesebir et al. (2012)&lt;/DisplayText&gt;&lt;record&gt;&lt;rec-number&gt;171&lt;/rec-number&gt;&lt;foreign-keys&gt;&lt;key app="EN" db-id="aet009sstawa0hewvt3xwf5atffdw2dt02sw" timestamp="1665839690"&gt;171&lt;/key&gt;&lt;/foreign-keys&gt;&lt;ref-type name="Journal Article"&gt;17&lt;/ref-type&gt;&lt;contributors&gt;&lt;authors&gt;&lt;author&gt;Kesebir, S.&lt;/author&gt;&lt;author&gt;Isitmez, S.&lt;/author&gt;&lt;author&gt;Gundogar, D.&lt;/author&gt;&lt;/authors&gt;&lt;/contributors&gt;&lt;auth-address&gt;Erenkoy Psychiatry Education and Research Hospital, Turkey.&lt;/auth-address&gt;&lt;titles&gt;&lt;title&gt;Compulsive buying in bipolar disorder: is it a comorbidity or a complication?&lt;/title&gt;&lt;secondary-title&gt;J Affect Disord&lt;/secondary-title&gt;&lt;/titles&gt;&lt;periodical&gt;&lt;full-title&gt;J Affect Disord&lt;/full-title&gt;&lt;/periodical&gt;&lt;pages&gt;797-802&lt;/pages&gt;&lt;volume&gt;136&lt;/volume&gt;&lt;number&gt;3&lt;/number&gt;&lt;edition&gt;20111103&lt;/edition&gt;&lt;keywords&gt;&lt;keyword&gt;Adult&lt;/keyword&gt;&lt;keyword&gt;Bipolar Disorder/complications/*epidemiology&lt;/keyword&gt;&lt;keyword&gt;Comorbidity&lt;/keyword&gt;&lt;keyword&gt;Compulsive Behavior/*epidemiology/psychology&lt;/keyword&gt;&lt;keyword&gt;Female&lt;/keyword&gt;&lt;keyword&gt;Humans&lt;/keyword&gt;&lt;keyword&gt;Male&lt;/keyword&gt;&lt;keyword&gt;Middle Aged&lt;/keyword&gt;&lt;keyword&gt;Temperament&lt;/keyword&gt;&lt;/keywords&gt;&lt;dates&gt;&lt;year&gt;2012&lt;/year&gt;&lt;pub-dates&gt;&lt;date&gt;Feb&lt;/date&gt;&lt;/pub-dates&gt;&lt;/dates&gt;&lt;isbn&gt;1573-2517 (Electronic)&amp;#xD;0165-0327 (Linking)&lt;/isbn&gt;&lt;accession-num&gt;22051076&lt;/accession-num&gt;&lt;urls&gt;&lt;related-urls&gt;&lt;url&gt;https://www.ncbi.nlm.nih.gov/pubmed/22051076&lt;/url&gt;&lt;/related-urls&gt;&lt;/urls&gt;&lt;electronic-resource-num&gt;10.1016/j.jad.2011.09.037&lt;/electronic-resource-num&gt;&lt;remote-database-name&gt;Medline&lt;/remote-database-name&gt;&lt;remote-database-provider&gt;NLM&lt;/remote-database-provider&gt;&lt;language&gt;eng&lt;/language&gt;&lt;/record&gt;&lt;/Cite&gt;&lt;/EndNote&gt;</w:instrText>
            </w:r>
            <w:r w:rsidRPr="004D46AC">
              <w:fldChar w:fldCharType="separate"/>
            </w:r>
            <w:r w:rsidRPr="004D46AC">
              <w:t>Kesebir et al. (2012)</w:t>
            </w:r>
            <w:r w:rsidRPr="004D46AC">
              <w:fldChar w:fldCharType="end"/>
            </w:r>
          </w:p>
        </w:tc>
        <w:tc>
          <w:tcPr>
            <w:tcW w:w="754" w:type="dxa"/>
            <w:vAlign w:val="center"/>
          </w:tcPr>
          <w:p w14:paraId="3D4594D1" w14:textId="77777777" w:rsidR="009864DB" w:rsidRPr="004D46AC" w:rsidRDefault="009864DB" w:rsidP="009864DB">
            <w:pPr>
              <w:spacing w:line="240" w:lineRule="auto"/>
              <w:ind w:firstLine="0"/>
            </w:pPr>
            <w:r w:rsidRPr="004D46AC">
              <w:t>6</w:t>
            </w:r>
          </w:p>
        </w:tc>
        <w:tc>
          <w:tcPr>
            <w:tcW w:w="766" w:type="dxa"/>
            <w:vAlign w:val="center"/>
          </w:tcPr>
          <w:p w14:paraId="316ADAC9" w14:textId="77777777" w:rsidR="009864DB" w:rsidRPr="004D46AC" w:rsidRDefault="009864DB" w:rsidP="009864DB">
            <w:pPr>
              <w:spacing w:line="240" w:lineRule="auto"/>
              <w:ind w:firstLine="0"/>
            </w:pPr>
            <w:r w:rsidRPr="004D46AC">
              <w:t>39.2</w:t>
            </w:r>
          </w:p>
        </w:tc>
        <w:tc>
          <w:tcPr>
            <w:tcW w:w="1096" w:type="dxa"/>
            <w:vAlign w:val="center"/>
          </w:tcPr>
          <w:p w14:paraId="6B582815" w14:textId="77777777" w:rsidR="009864DB" w:rsidRPr="004D46AC" w:rsidRDefault="009864DB" w:rsidP="009864DB">
            <w:pPr>
              <w:spacing w:line="240" w:lineRule="auto"/>
              <w:ind w:firstLine="0"/>
            </w:pPr>
            <w:r w:rsidRPr="004D46AC">
              <w:t>DSM3R</w:t>
            </w:r>
          </w:p>
        </w:tc>
        <w:tc>
          <w:tcPr>
            <w:tcW w:w="1415" w:type="dxa"/>
            <w:vAlign w:val="center"/>
          </w:tcPr>
          <w:p w14:paraId="3006B061" w14:textId="77777777" w:rsidR="009864DB" w:rsidRPr="004D46AC" w:rsidRDefault="009864DB" w:rsidP="009864DB">
            <w:pPr>
              <w:spacing w:line="240" w:lineRule="auto"/>
              <w:ind w:firstLine="0"/>
            </w:pPr>
            <w:r w:rsidRPr="004D46AC">
              <w:t>SCID</w:t>
            </w:r>
          </w:p>
        </w:tc>
        <w:tc>
          <w:tcPr>
            <w:tcW w:w="876" w:type="dxa"/>
            <w:vAlign w:val="center"/>
          </w:tcPr>
          <w:p w14:paraId="0BA951BB" w14:textId="77777777" w:rsidR="009864DB" w:rsidRPr="004D46AC" w:rsidRDefault="009864DB" w:rsidP="009864DB">
            <w:pPr>
              <w:spacing w:line="240" w:lineRule="auto"/>
              <w:ind w:firstLine="0"/>
            </w:pPr>
            <w:r w:rsidRPr="004D46AC">
              <w:t>100</w:t>
            </w:r>
          </w:p>
        </w:tc>
        <w:tc>
          <w:tcPr>
            <w:tcW w:w="986" w:type="dxa"/>
            <w:vAlign w:val="center"/>
          </w:tcPr>
          <w:p w14:paraId="79B13A43" w14:textId="77777777" w:rsidR="009864DB" w:rsidRPr="004D46AC" w:rsidRDefault="009864DB" w:rsidP="009864DB">
            <w:pPr>
              <w:spacing w:line="240" w:lineRule="auto"/>
              <w:ind w:firstLine="0"/>
            </w:pPr>
            <w:r w:rsidRPr="004D46AC">
              <w:t>1</w:t>
            </w:r>
          </w:p>
        </w:tc>
        <w:tc>
          <w:tcPr>
            <w:tcW w:w="751" w:type="dxa"/>
            <w:vAlign w:val="center"/>
          </w:tcPr>
          <w:p w14:paraId="1F15198C" w14:textId="77777777" w:rsidR="009864DB" w:rsidRPr="004D46AC" w:rsidRDefault="009864DB" w:rsidP="009864DB">
            <w:pPr>
              <w:spacing w:line="240" w:lineRule="auto"/>
              <w:ind w:firstLine="0"/>
            </w:pPr>
            <w:r w:rsidRPr="004D46AC">
              <w:t>1</w:t>
            </w:r>
          </w:p>
        </w:tc>
        <w:tc>
          <w:tcPr>
            <w:tcW w:w="752" w:type="dxa"/>
            <w:vAlign w:val="center"/>
          </w:tcPr>
          <w:p w14:paraId="0781D76B" w14:textId="77777777" w:rsidR="009864DB" w:rsidRPr="004D46AC" w:rsidRDefault="009864DB" w:rsidP="009864DB">
            <w:pPr>
              <w:spacing w:line="240" w:lineRule="auto"/>
              <w:ind w:firstLine="0"/>
            </w:pPr>
            <w:r w:rsidRPr="004D46AC">
              <w:t>0</w:t>
            </w:r>
          </w:p>
        </w:tc>
        <w:tc>
          <w:tcPr>
            <w:tcW w:w="1296" w:type="dxa"/>
            <w:vAlign w:val="center"/>
          </w:tcPr>
          <w:p w14:paraId="1B31E942" w14:textId="77777777" w:rsidR="009864DB" w:rsidRPr="004D46AC" w:rsidRDefault="009864DB" w:rsidP="009864DB">
            <w:pPr>
              <w:spacing w:line="240" w:lineRule="auto"/>
              <w:ind w:firstLine="0"/>
            </w:pPr>
            <w:r w:rsidRPr="004D46AC">
              <w:t>31</w:t>
            </w:r>
          </w:p>
        </w:tc>
        <w:tc>
          <w:tcPr>
            <w:tcW w:w="752" w:type="dxa"/>
            <w:vAlign w:val="center"/>
          </w:tcPr>
          <w:p w14:paraId="64CE4418" w14:textId="77777777" w:rsidR="009864DB" w:rsidRPr="004D46AC" w:rsidRDefault="009864DB" w:rsidP="009864DB">
            <w:pPr>
              <w:spacing w:line="240" w:lineRule="auto"/>
              <w:ind w:firstLine="0"/>
            </w:pPr>
            <w:r w:rsidRPr="004D46AC">
              <w:t>NA</w:t>
            </w:r>
          </w:p>
        </w:tc>
        <w:tc>
          <w:tcPr>
            <w:tcW w:w="789" w:type="dxa"/>
            <w:gridSpan w:val="2"/>
            <w:vAlign w:val="center"/>
          </w:tcPr>
          <w:p w14:paraId="5817329F" w14:textId="77777777" w:rsidR="009864DB" w:rsidRPr="004D46AC" w:rsidRDefault="009864DB" w:rsidP="009864DB">
            <w:pPr>
              <w:spacing w:line="240" w:lineRule="auto"/>
              <w:ind w:firstLine="0"/>
            </w:pPr>
            <w:r w:rsidRPr="004D46AC">
              <w:t>NA</w:t>
            </w:r>
          </w:p>
        </w:tc>
      </w:tr>
      <w:tr w:rsidR="009864DB" w:rsidRPr="004D46AC" w14:paraId="5C28CF98" w14:textId="77777777" w:rsidTr="00B518F1">
        <w:tc>
          <w:tcPr>
            <w:tcW w:w="1476" w:type="dxa"/>
          </w:tcPr>
          <w:p w14:paraId="0172FE8D" w14:textId="77777777" w:rsidR="009864DB" w:rsidRPr="004D46AC" w:rsidRDefault="009864DB" w:rsidP="009864DB">
            <w:pPr>
              <w:spacing w:line="240" w:lineRule="auto"/>
              <w:ind w:firstLine="0"/>
            </w:pPr>
            <w:r w:rsidRPr="004D46AC">
              <w:fldChar w:fldCharType="begin">
                <w:fldData xml:space="preserve">PEVuZE5vdGU+PENpdGUgQXV0aG9yWWVhcj0iMSI+PEF1dGhvcj5NdXJydTwvQXV0aG9yPjxZZWFy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</w:fldData>
              </w:fldChar>
            </w:r>
            <w:r w:rsidRPr="004D46AC">
              <w:instrText xml:space="preserve"> ADDIN EN.CITE </w:instrText>
            </w:r>
            <w:r w:rsidRPr="004D46AC">
              <w:fldChar w:fldCharType="begin">
                <w:fldData xml:space="preserve">PEVuZE5vdGU+PENpdGUgQXV0aG9yWWVhcj0iMSI+PEF1dGhvcj5NdXJydTwvQXV0aG9yPjxZZWFy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</w:fldData>
              </w:fldChar>
            </w:r>
            <w:r w:rsidRPr="004D46AC">
              <w:instrText xml:space="preserve"> ADDIN EN.CITE.DATA </w:instrText>
            </w:r>
            <w:r w:rsidRPr="004D46AC">
              <w:fldChar w:fldCharType="end"/>
            </w:r>
            <w:r w:rsidRPr="004D46AC">
              <w:fldChar w:fldCharType="separate"/>
            </w:r>
            <w:r w:rsidRPr="004D46AC">
              <w:t>Murru et al. (2015)</w:t>
            </w:r>
            <w:r w:rsidRPr="004D46AC">
              <w:fldChar w:fldCharType="end"/>
            </w:r>
          </w:p>
        </w:tc>
        <w:tc>
          <w:tcPr>
            <w:tcW w:w="754" w:type="dxa"/>
            <w:vAlign w:val="center"/>
          </w:tcPr>
          <w:p w14:paraId="339C250A" w14:textId="77777777" w:rsidR="009864DB" w:rsidRPr="004D46AC" w:rsidRDefault="009864DB" w:rsidP="009864DB">
            <w:pPr>
              <w:spacing w:line="240" w:lineRule="auto"/>
              <w:ind w:firstLine="0"/>
            </w:pPr>
            <w:r w:rsidRPr="004D46AC">
              <w:t>5</w:t>
            </w:r>
          </w:p>
        </w:tc>
        <w:tc>
          <w:tcPr>
            <w:tcW w:w="766" w:type="dxa"/>
            <w:vAlign w:val="center"/>
          </w:tcPr>
          <w:p w14:paraId="0845C4DB" w14:textId="77777777" w:rsidR="009864DB" w:rsidRPr="004D46AC" w:rsidRDefault="009864DB" w:rsidP="009864DB">
            <w:pPr>
              <w:spacing w:line="240" w:lineRule="auto"/>
              <w:ind w:firstLine="0"/>
            </w:pPr>
            <w:r w:rsidRPr="004D46AC">
              <w:t>52.73</w:t>
            </w:r>
          </w:p>
        </w:tc>
        <w:tc>
          <w:tcPr>
            <w:tcW w:w="1096" w:type="dxa"/>
            <w:vAlign w:val="center"/>
          </w:tcPr>
          <w:p w14:paraId="779DCAD4" w14:textId="77777777" w:rsidR="009864DB" w:rsidRPr="004D46AC" w:rsidRDefault="009864DB" w:rsidP="009864DB">
            <w:pPr>
              <w:spacing w:line="240" w:lineRule="auto"/>
              <w:ind w:firstLine="0"/>
            </w:pPr>
            <w:r w:rsidRPr="004D46AC">
              <w:t>DSM4TR</w:t>
            </w:r>
          </w:p>
        </w:tc>
        <w:tc>
          <w:tcPr>
            <w:tcW w:w="1415" w:type="dxa"/>
            <w:vAlign w:val="center"/>
          </w:tcPr>
          <w:p w14:paraId="7B7B1139" w14:textId="77777777" w:rsidR="009864DB" w:rsidRPr="004D46AC" w:rsidRDefault="009864DB" w:rsidP="009864DB">
            <w:pPr>
              <w:spacing w:line="240" w:lineRule="auto"/>
              <w:ind w:firstLine="0"/>
            </w:pPr>
            <w:r w:rsidRPr="004D46AC">
              <w:t>unclear</w:t>
            </w:r>
          </w:p>
        </w:tc>
        <w:tc>
          <w:tcPr>
            <w:tcW w:w="876" w:type="dxa"/>
            <w:vAlign w:val="center"/>
          </w:tcPr>
          <w:p w14:paraId="3B50B703" w14:textId="77777777" w:rsidR="009864DB" w:rsidRPr="004D46AC" w:rsidRDefault="009864DB" w:rsidP="009864DB">
            <w:pPr>
              <w:spacing w:line="240" w:lineRule="auto"/>
              <w:ind w:firstLine="0"/>
            </w:pPr>
            <w:r w:rsidRPr="004D46AC">
              <w:t>119</w:t>
            </w:r>
          </w:p>
        </w:tc>
        <w:tc>
          <w:tcPr>
            <w:tcW w:w="986" w:type="dxa"/>
            <w:vAlign w:val="center"/>
          </w:tcPr>
          <w:p w14:paraId="2289B8F2" w14:textId="77777777" w:rsidR="009864DB" w:rsidRPr="004D46AC" w:rsidRDefault="009864DB" w:rsidP="009864DB">
            <w:pPr>
              <w:spacing w:line="240" w:lineRule="auto"/>
              <w:ind w:firstLine="0"/>
            </w:pPr>
            <w:r w:rsidRPr="004D46AC">
              <w:t>1</w:t>
            </w:r>
          </w:p>
        </w:tc>
        <w:tc>
          <w:tcPr>
            <w:tcW w:w="751" w:type="dxa"/>
            <w:vAlign w:val="center"/>
          </w:tcPr>
          <w:p w14:paraId="1888E100" w14:textId="77777777" w:rsidR="009864DB" w:rsidRPr="004D46AC" w:rsidRDefault="009864DB" w:rsidP="009864DB">
            <w:pPr>
              <w:spacing w:line="240" w:lineRule="auto"/>
              <w:ind w:firstLine="0"/>
            </w:pPr>
            <w:r w:rsidRPr="004D46AC">
              <w:t>1</w:t>
            </w:r>
          </w:p>
        </w:tc>
        <w:tc>
          <w:tcPr>
            <w:tcW w:w="752" w:type="dxa"/>
            <w:vAlign w:val="center"/>
          </w:tcPr>
          <w:p w14:paraId="562C829B" w14:textId="77777777" w:rsidR="009864DB" w:rsidRPr="004D46AC" w:rsidRDefault="009864DB" w:rsidP="009864DB">
            <w:pPr>
              <w:spacing w:line="240" w:lineRule="auto"/>
              <w:ind w:firstLine="0"/>
            </w:pPr>
            <w:r w:rsidRPr="004D46AC">
              <w:t>2</w:t>
            </w:r>
          </w:p>
        </w:tc>
        <w:tc>
          <w:tcPr>
            <w:tcW w:w="1296" w:type="dxa"/>
          </w:tcPr>
          <w:p w14:paraId="049B6AB3" w14:textId="77777777" w:rsidR="009864DB" w:rsidRPr="004D46AC" w:rsidRDefault="009864DB" w:rsidP="009864DB">
            <w:pPr>
              <w:spacing w:line="240" w:lineRule="auto"/>
              <w:ind w:firstLine="0"/>
            </w:pPr>
            <w:r w:rsidRPr="004D46AC">
              <w:t>27</w:t>
            </w:r>
          </w:p>
        </w:tc>
        <w:tc>
          <w:tcPr>
            <w:tcW w:w="752" w:type="dxa"/>
            <w:vAlign w:val="center"/>
          </w:tcPr>
          <w:p w14:paraId="59590834" w14:textId="77777777" w:rsidR="009864DB" w:rsidRPr="004D46AC" w:rsidRDefault="009864DB" w:rsidP="009864DB">
            <w:pPr>
              <w:spacing w:line="240" w:lineRule="auto"/>
              <w:ind w:firstLine="0"/>
            </w:pPr>
            <w:r w:rsidRPr="004D46AC">
              <w:t>NA</w:t>
            </w:r>
          </w:p>
        </w:tc>
        <w:tc>
          <w:tcPr>
            <w:tcW w:w="789" w:type="dxa"/>
            <w:gridSpan w:val="2"/>
            <w:vAlign w:val="center"/>
          </w:tcPr>
          <w:p w14:paraId="479C8F0D" w14:textId="77777777" w:rsidR="009864DB" w:rsidRPr="004D46AC" w:rsidRDefault="009864DB" w:rsidP="009864DB">
            <w:pPr>
              <w:spacing w:line="240" w:lineRule="auto"/>
              <w:ind w:firstLine="0"/>
            </w:pPr>
            <w:r w:rsidRPr="004D46AC">
              <w:t>NA</w:t>
            </w:r>
          </w:p>
        </w:tc>
      </w:tr>
      <w:tr w:rsidR="009864DB" w:rsidRPr="004D46AC" w14:paraId="22F1181C" w14:textId="77777777" w:rsidTr="00B518F1">
        <w:tc>
          <w:tcPr>
            <w:tcW w:w="1476" w:type="dxa"/>
          </w:tcPr>
          <w:p w14:paraId="24B0ED50" w14:textId="77777777" w:rsidR="009864DB" w:rsidRPr="004D46AC" w:rsidRDefault="009864DB" w:rsidP="009864DB">
            <w:pPr>
              <w:spacing w:line="240" w:lineRule="auto"/>
              <w:ind w:firstLine="0"/>
            </w:pPr>
            <w:r w:rsidRPr="004D46AC">
              <w:fldChar w:fldCharType="begin">
                <w:fldData xml:space="preserve">PEVuZE5vdGU+PENpdGUgQXV0aG9yWWVhcj0iMSI+PEF1dGhvcj5NdXNldHRpPC9BdXRob3I+PFll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</w:fldData>
              </w:fldChar>
            </w:r>
            <w:r w:rsidRPr="004D46AC">
              <w:instrText xml:space="preserve"> ADDIN EN.CITE </w:instrText>
            </w:r>
            <w:r w:rsidRPr="004D46AC">
              <w:fldChar w:fldCharType="begin">
                <w:fldData xml:space="preserve">PEVuZE5vdGU+PENpdGUgQXV0aG9yWWVhcj0iMSI+PEF1dGhvcj5NdXNldHRpPC9BdXRob3I+PFll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</w:fldData>
              </w:fldChar>
            </w:r>
            <w:r w:rsidRPr="004D46AC">
              <w:instrText xml:space="preserve"> ADDIN EN.CITE.DATA </w:instrText>
            </w:r>
            <w:r w:rsidRPr="004D46AC">
              <w:fldChar w:fldCharType="end"/>
            </w:r>
            <w:r w:rsidRPr="004D46AC">
              <w:fldChar w:fldCharType="separate"/>
            </w:r>
            <w:r w:rsidRPr="004D46AC">
              <w:t>Musetti et al. (2018)</w:t>
            </w:r>
            <w:r w:rsidRPr="004D46AC">
              <w:fldChar w:fldCharType="end"/>
            </w:r>
          </w:p>
        </w:tc>
        <w:tc>
          <w:tcPr>
            <w:tcW w:w="754" w:type="dxa"/>
            <w:vAlign w:val="center"/>
          </w:tcPr>
          <w:p w14:paraId="328CC98A" w14:textId="77777777" w:rsidR="009864DB" w:rsidRPr="004D46AC" w:rsidRDefault="009864DB" w:rsidP="009864DB">
            <w:pPr>
              <w:spacing w:line="240" w:lineRule="auto"/>
              <w:ind w:firstLine="0"/>
            </w:pPr>
            <w:r w:rsidRPr="004D46AC">
              <w:t>7</w:t>
            </w:r>
          </w:p>
        </w:tc>
        <w:tc>
          <w:tcPr>
            <w:tcW w:w="766" w:type="dxa"/>
            <w:vAlign w:val="center"/>
          </w:tcPr>
          <w:p w14:paraId="5E1C84CE" w14:textId="77777777" w:rsidR="009864DB" w:rsidRPr="004D46AC" w:rsidRDefault="009864DB" w:rsidP="009864DB">
            <w:pPr>
              <w:spacing w:line="240" w:lineRule="auto"/>
              <w:ind w:firstLine="0"/>
            </w:pPr>
            <w:r w:rsidRPr="004D46AC">
              <w:t>39.3</w:t>
            </w:r>
          </w:p>
        </w:tc>
        <w:tc>
          <w:tcPr>
            <w:tcW w:w="1096" w:type="dxa"/>
            <w:vAlign w:val="center"/>
          </w:tcPr>
          <w:p w14:paraId="071FAC3B" w14:textId="77777777" w:rsidR="009864DB" w:rsidRPr="004D46AC" w:rsidRDefault="009864DB" w:rsidP="009864DB">
            <w:pPr>
              <w:spacing w:line="240" w:lineRule="auto"/>
              <w:ind w:firstLine="0"/>
            </w:pPr>
            <w:r w:rsidRPr="004D46AC">
              <w:t>DSM4</w:t>
            </w:r>
          </w:p>
        </w:tc>
        <w:tc>
          <w:tcPr>
            <w:tcW w:w="1415" w:type="dxa"/>
            <w:vAlign w:val="center"/>
          </w:tcPr>
          <w:p w14:paraId="651EFB4B" w14:textId="77777777" w:rsidR="009864DB" w:rsidRPr="004D46AC" w:rsidRDefault="009864DB" w:rsidP="009864DB">
            <w:pPr>
              <w:spacing w:line="240" w:lineRule="auto"/>
              <w:ind w:firstLine="0"/>
            </w:pPr>
            <w:r w:rsidRPr="004D46AC">
              <w:t>SCID-P</w:t>
            </w:r>
          </w:p>
        </w:tc>
        <w:tc>
          <w:tcPr>
            <w:tcW w:w="876" w:type="dxa"/>
            <w:vAlign w:val="center"/>
          </w:tcPr>
          <w:p w14:paraId="709B5E5C" w14:textId="77777777" w:rsidR="009864DB" w:rsidRPr="004D46AC" w:rsidRDefault="009864DB" w:rsidP="009864DB">
            <w:pPr>
              <w:spacing w:line="240" w:lineRule="auto"/>
              <w:ind w:firstLine="0"/>
            </w:pPr>
            <w:r w:rsidRPr="004D46AC">
              <w:t>407</w:t>
            </w:r>
          </w:p>
        </w:tc>
        <w:tc>
          <w:tcPr>
            <w:tcW w:w="986" w:type="dxa"/>
            <w:vAlign w:val="center"/>
          </w:tcPr>
          <w:p w14:paraId="137FE1C4" w14:textId="77777777" w:rsidR="009864DB" w:rsidRPr="004D46AC" w:rsidRDefault="009864DB" w:rsidP="009864DB">
            <w:pPr>
              <w:spacing w:line="240" w:lineRule="auto"/>
              <w:ind w:firstLine="0"/>
            </w:pPr>
            <w:r w:rsidRPr="004D46AC">
              <w:t>1</w:t>
            </w:r>
          </w:p>
        </w:tc>
        <w:tc>
          <w:tcPr>
            <w:tcW w:w="751" w:type="dxa"/>
            <w:vAlign w:val="center"/>
          </w:tcPr>
          <w:p w14:paraId="2C04D6E0" w14:textId="77777777" w:rsidR="009864DB" w:rsidRPr="004D46AC" w:rsidRDefault="009864DB" w:rsidP="009864DB">
            <w:pPr>
              <w:spacing w:line="240" w:lineRule="auto"/>
              <w:ind w:firstLine="0"/>
            </w:pPr>
            <w:r w:rsidRPr="004D46AC">
              <w:t>1</w:t>
            </w:r>
          </w:p>
        </w:tc>
        <w:tc>
          <w:tcPr>
            <w:tcW w:w="752" w:type="dxa"/>
            <w:vAlign w:val="center"/>
          </w:tcPr>
          <w:p w14:paraId="50B40B78" w14:textId="77777777" w:rsidR="009864DB" w:rsidRPr="004D46AC" w:rsidRDefault="009864DB" w:rsidP="009864DB">
            <w:pPr>
              <w:spacing w:line="240" w:lineRule="auto"/>
              <w:ind w:firstLine="0"/>
            </w:pPr>
            <w:r w:rsidRPr="004D46AC">
              <w:t>0</w:t>
            </w:r>
          </w:p>
        </w:tc>
        <w:tc>
          <w:tcPr>
            <w:tcW w:w="1296" w:type="dxa"/>
            <w:vAlign w:val="center"/>
          </w:tcPr>
          <w:p w14:paraId="2628C7FF" w14:textId="77777777" w:rsidR="009864DB" w:rsidRPr="004D46AC" w:rsidRDefault="009864DB" w:rsidP="009864DB">
            <w:pPr>
              <w:spacing w:line="240" w:lineRule="auto"/>
              <w:ind w:firstLine="0"/>
            </w:pPr>
            <w:r w:rsidRPr="004D46AC">
              <w:t>104</w:t>
            </w:r>
          </w:p>
        </w:tc>
        <w:tc>
          <w:tcPr>
            <w:tcW w:w="752" w:type="dxa"/>
            <w:vAlign w:val="center"/>
          </w:tcPr>
          <w:p w14:paraId="058D4D78" w14:textId="77777777" w:rsidR="009864DB" w:rsidRPr="004D46AC" w:rsidRDefault="009864DB" w:rsidP="009864DB">
            <w:pPr>
              <w:spacing w:line="240" w:lineRule="auto"/>
              <w:ind w:firstLine="0"/>
            </w:pPr>
            <w:r w:rsidRPr="004D46AC">
              <w:t>NA</w:t>
            </w:r>
          </w:p>
        </w:tc>
        <w:tc>
          <w:tcPr>
            <w:tcW w:w="789" w:type="dxa"/>
            <w:gridSpan w:val="2"/>
            <w:vAlign w:val="center"/>
          </w:tcPr>
          <w:p w14:paraId="18E1A12E" w14:textId="77777777" w:rsidR="009864DB" w:rsidRPr="004D46AC" w:rsidRDefault="009864DB" w:rsidP="009864DB">
            <w:pPr>
              <w:spacing w:line="240" w:lineRule="auto"/>
              <w:ind w:firstLine="0"/>
            </w:pPr>
            <w:r w:rsidRPr="004D46AC">
              <w:t>NA</w:t>
            </w:r>
          </w:p>
        </w:tc>
      </w:tr>
      <w:tr w:rsidR="009864DB" w:rsidRPr="004D46AC" w14:paraId="59F7B828" w14:textId="77777777" w:rsidTr="00B518F1">
        <w:tc>
          <w:tcPr>
            <w:tcW w:w="1476" w:type="dxa"/>
          </w:tcPr>
          <w:p w14:paraId="1636BF12" w14:textId="77777777" w:rsidR="009864DB" w:rsidRPr="004D46AC" w:rsidRDefault="009864DB" w:rsidP="009864DB">
            <w:pPr>
              <w:spacing w:line="240" w:lineRule="auto"/>
              <w:ind w:firstLine="0"/>
            </w:pPr>
            <w:r w:rsidRPr="004D46AC">
              <w:fldChar w:fldCharType="begin">
                <w:fldData xml:space="preserve">PEVuZE5vdGU+PENpdGUgQXV0aG9yWWVhcj0iMSI+PEF1dGhvcj5XeWxpZTwvQXV0aG9yPjxZZWFy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</w:fldData>
              </w:fldChar>
            </w:r>
            <w:r w:rsidRPr="004D46AC">
              <w:instrText xml:space="preserve"> ADDIN EN.CITE </w:instrText>
            </w:r>
            <w:r w:rsidRPr="004D46AC">
              <w:fldChar w:fldCharType="begin">
                <w:fldData xml:space="preserve">PEVuZE5vdGU+PENpdGUgQXV0aG9yWWVhcj0iMSI+PEF1dGhvcj5XeWxpZTwvQXV0aG9yPjxZZWFy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Wylie et al. (1999)</w:t>
            </w:r>
            <w:r w:rsidRPr="004D46AC">
              <w:fldChar w:fldCharType="end"/>
            </w:r>
          </w:p>
        </w:tc>
        <w:tc>
          <w:tcPr>
            <w:tcW w:w="754" w:type="dxa"/>
            <w:vAlign w:val="center"/>
          </w:tcPr>
          <w:p w14:paraId="4D4CC14C" w14:textId="77777777" w:rsidR="009864DB" w:rsidRPr="004D46AC" w:rsidRDefault="009864DB" w:rsidP="009864DB">
            <w:pPr>
              <w:spacing w:line="240" w:lineRule="auto"/>
              <w:ind w:firstLine="0"/>
            </w:pPr>
            <w:r w:rsidRPr="004D46AC">
              <w:t>6</w:t>
            </w:r>
          </w:p>
        </w:tc>
        <w:tc>
          <w:tcPr>
            <w:tcW w:w="766" w:type="dxa"/>
            <w:vAlign w:val="center"/>
          </w:tcPr>
          <w:p w14:paraId="14A05D73" w14:textId="77777777" w:rsidR="009864DB" w:rsidRPr="004D46AC" w:rsidRDefault="009864DB" w:rsidP="009864DB">
            <w:pPr>
              <w:spacing w:line="240" w:lineRule="auto"/>
              <w:ind w:firstLine="0"/>
            </w:pPr>
            <w:r w:rsidRPr="004D46AC">
              <w:t>71.7</w:t>
            </w:r>
          </w:p>
        </w:tc>
        <w:tc>
          <w:tcPr>
            <w:tcW w:w="1096" w:type="dxa"/>
            <w:vAlign w:val="center"/>
          </w:tcPr>
          <w:p w14:paraId="672DBA46" w14:textId="77777777" w:rsidR="009864DB" w:rsidRPr="004D46AC" w:rsidRDefault="009864DB" w:rsidP="009864DB">
            <w:pPr>
              <w:spacing w:line="240" w:lineRule="auto"/>
              <w:ind w:firstLine="0"/>
            </w:pPr>
            <w:r w:rsidRPr="004D46AC">
              <w:t>DSM3R</w:t>
            </w:r>
          </w:p>
        </w:tc>
        <w:tc>
          <w:tcPr>
            <w:tcW w:w="1415" w:type="dxa"/>
            <w:vAlign w:val="center"/>
          </w:tcPr>
          <w:p w14:paraId="605003CB" w14:textId="77777777" w:rsidR="009864DB" w:rsidRPr="004D46AC" w:rsidRDefault="009864DB" w:rsidP="009864DB">
            <w:pPr>
              <w:spacing w:line="240" w:lineRule="auto"/>
              <w:ind w:firstLine="0"/>
            </w:pPr>
            <w:r w:rsidRPr="004D46AC">
              <w:t>unclear</w:t>
            </w:r>
          </w:p>
        </w:tc>
        <w:tc>
          <w:tcPr>
            <w:tcW w:w="876" w:type="dxa"/>
            <w:vAlign w:val="center"/>
          </w:tcPr>
          <w:p w14:paraId="78AE5FF4" w14:textId="77777777" w:rsidR="009864DB" w:rsidRPr="004D46AC" w:rsidRDefault="009864DB" w:rsidP="009864DB">
            <w:pPr>
              <w:spacing w:line="240" w:lineRule="auto"/>
              <w:ind w:firstLine="0"/>
            </w:pPr>
            <w:r w:rsidRPr="004D46AC">
              <w:t>62</w:t>
            </w:r>
          </w:p>
        </w:tc>
        <w:tc>
          <w:tcPr>
            <w:tcW w:w="986" w:type="dxa"/>
            <w:vAlign w:val="center"/>
          </w:tcPr>
          <w:p w14:paraId="54A41258" w14:textId="77777777" w:rsidR="009864DB" w:rsidRPr="004D46AC" w:rsidRDefault="009864DB" w:rsidP="009864DB">
            <w:pPr>
              <w:spacing w:line="240" w:lineRule="auto"/>
              <w:ind w:firstLine="0"/>
            </w:pPr>
            <w:r w:rsidRPr="004D46AC">
              <w:t>3</w:t>
            </w:r>
          </w:p>
        </w:tc>
        <w:tc>
          <w:tcPr>
            <w:tcW w:w="751" w:type="dxa"/>
            <w:vAlign w:val="center"/>
          </w:tcPr>
          <w:p w14:paraId="356099CE" w14:textId="77777777" w:rsidR="009864DB" w:rsidRPr="004D46AC" w:rsidRDefault="009864DB" w:rsidP="009864DB">
            <w:pPr>
              <w:spacing w:line="240" w:lineRule="auto"/>
              <w:ind w:firstLine="0"/>
            </w:pPr>
            <w:r w:rsidRPr="004D46AC">
              <w:t>1</w:t>
            </w:r>
          </w:p>
        </w:tc>
        <w:tc>
          <w:tcPr>
            <w:tcW w:w="752" w:type="dxa"/>
            <w:vAlign w:val="center"/>
          </w:tcPr>
          <w:p w14:paraId="55F93386" w14:textId="77777777" w:rsidR="009864DB" w:rsidRPr="004D46AC" w:rsidRDefault="009864DB" w:rsidP="009864DB">
            <w:pPr>
              <w:spacing w:line="240" w:lineRule="auto"/>
              <w:ind w:firstLine="0"/>
            </w:pPr>
            <w:r w:rsidRPr="004D46AC">
              <w:t>0</w:t>
            </w:r>
          </w:p>
        </w:tc>
        <w:tc>
          <w:tcPr>
            <w:tcW w:w="1296" w:type="dxa"/>
            <w:vAlign w:val="center"/>
          </w:tcPr>
          <w:p w14:paraId="543A84A7" w14:textId="77777777" w:rsidR="009864DB" w:rsidRPr="004D46AC" w:rsidRDefault="009864DB" w:rsidP="009864DB">
            <w:pPr>
              <w:spacing w:line="240" w:lineRule="auto"/>
              <w:ind w:firstLine="0"/>
            </w:pPr>
            <w:r w:rsidRPr="004D46AC">
              <w:t>36</w:t>
            </w:r>
          </w:p>
        </w:tc>
        <w:tc>
          <w:tcPr>
            <w:tcW w:w="752" w:type="dxa"/>
            <w:vAlign w:val="center"/>
          </w:tcPr>
          <w:p w14:paraId="63FFE6DD" w14:textId="77777777" w:rsidR="009864DB" w:rsidRPr="004D46AC" w:rsidRDefault="009864DB" w:rsidP="009864DB">
            <w:pPr>
              <w:spacing w:line="240" w:lineRule="auto"/>
              <w:ind w:firstLine="0"/>
            </w:pPr>
            <w:r w:rsidRPr="004D46AC">
              <w:t>NA</w:t>
            </w:r>
          </w:p>
        </w:tc>
        <w:tc>
          <w:tcPr>
            <w:tcW w:w="789" w:type="dxa"/>
            <w:gridSpan w:val="2"/>
            <w:vAlign w:val="center"/>
          </w:tcPr>
          <w:p w14:paraId="6B489136" w14:textId="77777777" w:rsidR="009864DB" w:rsidRPr="004D46AC" w:rsidRDefault="009864DB" w:rsidP="009864DB">
            <w:pPr>
              <w:spacing w:line="240" w:lineRule="auto"/>
              <w:ind w:firstLine="0"/>
            </w:pPr>
            <w:r w:rsidRPr="004D46AC">
              <w:t>NA</w:t>
            </w:r>
          </w:p>
        </w:tc>
      </w:tr>
      <w:tr w:rsidR="009864DB" w:rsidRPr="004D46AC" w14:paraId="5BA7D207" w14:textId="77777777" w:rsidTr="00B518F1">
        <w:tc>
          <w:tcPr>
            <w:tcW w:w="1476" w:type="dxa"/>
          </w:tcPr>
          <w:p w14:paraId="0F60B3F8" w14:textId="77777777" w:rsidR="009864DB" w:rsidRPr="004D46AC" w:rsidRDefault="009864DB" w:rsidP="009864DB">
            <w:pPr>
              <w:spacing w:line="240" w:lineRule="auto"/>
              <w:ind w:firstLine="0"/>
            </w:pPr>
            <w:r w:rsidRPr="004D46AC">
              <w:lastRenderedPageBreak/>
              <w:fldChar w:fldCharType="begin"/>
            </w:r>
            <w:r w:rsidRPr="004D46AC">
              <w:instrText xml:space="preserve"> ADDIN EN.CITE &lt;EndNote&gt;&lt;Cite AuthorYear="1"&gt;&lt;Author&gt;McGrath&lt;/Author&gt;&lt;Year&gt;2016&lt;/Year&gt;&lt;RecNum&gt;925&lt;/RecNum&gt;&lt;DisplayText&gt;McGrath et al. (2016)&lt;/DisplayText&gt;&lt;record&gt;&lt;rec-number&gt;925&lt;/rec-number&gt;&lt;foreign-keys&gt;&lt;key app="EN" db-id="aet009sstawa0hewvt3xwf5atffdw2dt02sw" timestamp="1740512739"&gt;925&lt;/key&gt;&lt;/foreign-keys&gt;&lt;ref-type name="Journal Article"&gt;17&lt;/ref-type&gt;&lt;contributors&gt;&lt;authors&gt;&lt;author&gt;John J. McGrath&lt;/author&gt;&lt;author&gt;Sukanta Saha&lt;/author&gt;&lt;author&gt;Ali Al-Hamzawi&lt;/author&gt;&lt;author&gt;Laura Andrade&lt;/author&gt;&lt;author&gt;Corina Benjet&lt;/author&gt;&lt;author&gt;Evelyn J. Bromet&lt;/author&gt;&lt;author&gt;Mark Oakley Browne&lt;/author&gt;&lt;author&gt;Jose M. Caldas de Almeida&lt;/author&gt;&lt;author&gt;Wai Tat Chiu&lt;/author&gt;&lt;author&gt;Koen Demyttenaere&lt;/author&gt;&lt;author&gt;John Fayyad&lt;/author&gt;&lt;author&gt;Silvia Florescu&lt;/author&gt;&lt;author&gt;Giovanni de Girolamo&lt;/author&gt;&lt;author&gt;Oye Gureje&lt;/author&gt;&lt;author&gt;Josep Maria Haro&lt;/author&gt;&lt;author&gt;Margreet ten Have&lt;/author&gt;&lt;author&gt;Chiyi Hu&lt;/author&gt;&lt;author&gt;Viviane Kovess-Masfety&lt;/author&gt;&lt;author&gt;Carmen C.W. Lim&lt;/author&gt;&lt;author&gt;Fernando Navarro-Mateu&lt;/author&gt;&lt;author&gt;Nancy Sampson&lt;/author&gt;&lt;author&gt;José Posada-Villa&lt;/author&gt;&lt;author&gt;Kenneth S. Kendler&lt;/author&gt;&lt;author&gt;Ronald C. Kessler&lt;/author&gt;&lt;/authors&gt;&lt;/contributors&gt;&lt;titles&gt;&lt;title&gt;The Bidirectional Associations Between Psychotic Experiences and DSM-IV Mental Disorders&lt;/title&gt;&lt;secondary-title&gt;American Journal of Psychiatry&lt;/secondary-title&gt;&lt;/titles&gt;&lt;periodical&gt;&lt;full-title&gt;American Journal of Psychiatry&lt;/full-title&gt;&lt;/periodical&gt;&lt;pages&gt;997-1006&lt;/pages&gt;&lt;volume&gt;173&lt;/volume&gt;&lt;number&gt;10&lt;/number&gt;&lt;dates&gt;&lt;year&gt;2016&lt;/year&gt;&lt;/dates&gt;&lt;accession-num&gt;26988628&lt;/accession-num&gt;&lt;urls&gt;&lt;related-urls&gt;&lt;url&gt;https://psychiatryonline.org/doi/abs/10.1176/appi.ajp.2016.15101293&lt;/url&gt;&lt;/related-urls&gt;&lt;/urls&gt;&lt;electronic-resource-num&gt;10.1176/appi.ajp.2016.15101293&lt;/electronic-resource-num&gt;&lt;/record&gt;&lt;/Cite&gt;&lt;/EndNote&gt;</w:instrText>
            </w:r>
            <w:r w:rsidRPr="004D46AC">
              <w:fldChar w:fldCharType="separate"/>
            </w:r>
            <w:r w:rsidRPr="004D46AC">
              <w:t>McGrath et al. (2016)</w:t>
            </w:r>
            <w:r w:rsidRPr="004D46AC">
              <w:fldChar w:fldCharType="end"/>
            </w:r>
          </w:p>
        </w:tc>
        <w:tc>
          <w:tcPr>
            <w:tcW w:w="754" w:type="dxa"/>
            <w:vAlign w:val="center"/>
          </w:tcPr>
          <w:p w14:paraId="0BE4F7FB" w14:textId="77777777" w:rsidR="009864DB" w:rsidRPr="004D46AC" w:rsidRDefault="009864DB" w:rsidP="009864DB">
            <w:pPr>
              <w:spacing w:line="240" w:lineRule="auto"/>
              <w:ind w:firstLine="0"/>
            </w:pPr>
            <w:r w:rsidRPr="004D46AC">
              <w:t>7</w:t>
            </w:r>
          </w:p>
        </w:tc>
        <w:tc>
          <w:tcPr>
            <w:tcW w:w="766" w:type="dxa"/>
            <w:vAlign w:val="center"/>
          </w:tcPr>
          <w:p w14:paraId="6A0A0537" w14:textId="77777777" w:rsidR="009864DB" w:rsidRPr="004D46AC" w:rsidRDefault="009864DB" w:rsidP="009864DB">
            <w:pPr>
              <w:spacing w:line="240" w:lineRule="auto"/>
              <w:ind w:firstLine="0"/>
            </w:pPr>
            <w:r w:rsidRPr="004D46AC">
              <w:t>NA</w:t>
            </w:r>
          </w:p>
        </w:tc>
        <w:tc>
          <w:tcPr>
            <w:tcW w:w="1096" w:type="dxa"/>
            <w:vAlign w:val="center"/>
          </w:tcPr>
          <w:p w14:paraId="1D76EF31" w14:textId="77777777" w:rsidR="009864DB" w:rsidRPr="004D46AC" w:rsidRDefault="009864DB" w:rsidP="009864DB">
            <w:pPr>
              <w:spacing w:line="240" w:lineRule="auto"/>
              <w:ind w:firstLine="0"/>
            </w:pPr>
            <w:r w:rsidRPr="004D46AC">
              <w:t>DSM4</w:t>
            </w:r>
          </w:p>
        </w:tc>
        <w:tc>
          <w:tcPr>
            <w:tcW w:w="1415" w:type="dxa"/>
            <w:vAlign w:val="center"/>
          </w:tcPr>
          <w:p w14:paraId="76C2E6F7" w14:textId="77777777" w:rsidR="009864DB" w:rsidRPr="004D46AC" w:rsidRDefault="009864DB" w:rsidP="009864DB">
            <w:pPr>
              <w:spacing w:line="240" w:lineRule="auto"/>
              <w:ind w:firstLine="0"/>
            </w:pPr>
            <w:r w:rsidRPr="004D46AC">
              <w:t>CIDI</w:t>
            </w:r>
          </w:p>
        </w:tc>
        <w:tc>
          <w:tcPr>
            <w:tcW w:w="876" w:type="dxa"/>
            <w:vAlign w:val="center"/>
          </w:tcPr>
          <w:p w14:paraId="2E238C77" w14:textId="77777777" w:rsidR="009864DB" w:rsidRPr="004D46AC" w:rsidRDefault="009864DB" w:rsidP="009864DB">
            <w:pPr>
              <w:spacing w:line="240" w:lineRule="auto"/>
              <w:ind w:firstLine="0"/>
            </w:pPr>
            <w:r w:rsidRPr="004D46AC">
              <w:t>1212</w:t>
            </w:r>
          </w:p>
        </w:tc>
        <w:tc>
          <w:tcPr>
            <w:tcW w:w="986" w:type="dxa"/>
            <w:vAlign w:val="center"/>
          </w:tcPr>
          <w:p w14:paraId="24D07917" w14:textId="77777777" w:rsidR="009864DB" w:rsidRPr="004D46AC" w:rsidRDefault="009864DB" w:rsidP="009864DB">
            <w:pPr>
              <w:spacing w:line="240" w:lineRule="auto"/>
              <w:ind w:firstLine="0"/>
            </w:pPr>
            <w:r w:rsidRPr="004D46AC">
              <w:t>unclear</w:t>
            </w:r>
          </w:p>
        </w:tc>
        <w:tc>
          <w:tcPr>
            <w:tcW w:w="751" w:type="dxa"/>
            <w:vAlign w:val="center"/>
          </w:tcPr>
          <w:p w14:paraId="6CC2223F" w14:textId="77777777" w:rsidR="009864DB" w:rsidRPr="004D46AC" w:rsidRDefault="009864DB" w:rsidP="009864DB">
            <w:pPr>
              <w:spacing w:line="240" w:lineRule="auto"/>
              <w:ind w:firstLine="0"/>
            </w:pPr>
            <w:r w:rsidRPr="004D46AC">
              <w:t>1</w:t>
            </w:r>
          </w:p>
        </w:tc>
        <w:tc>
          <w:tcPr>
            <w:tcW w:w="752" w:type="dxa"/>
            <w:vAlign w:val="center"/>
          </w:tcPr>
          <w:p w14:paraId="6EA8C23F" w14:textId="77777777" w:rsidR="009864DB" w:rsidRPr="004D46AC" w:rsidRDefault="009864DB" w:rsidP="009864DB">
            <w:pPr>
              <w:spacing w:line="240" w:lineRule="auto"/>
              <w:ind w:firstLine="0"/>
            </w:pPr>
            <w:r w:rsidRPr="004D46AC">
              <w:t>2</w:t>
            </w:r>
          </w:p>
        </w:tc>
        <w:tc>
          <w:tcPr>
            <w:tcW w:w="1296" w:type="dxa"/>
          </w:tcPr>
          <w:p w14:paraId="5B30D25D" w14:textId="77777777" w:rsidR="009864DB" w:rsidRPr="004D46AC" w:rsidRDefault="009864DB" w:rsidP="009864DB">
            <w:pPr>
              <w:spacing w:line="240" w:lineRule="auto"/>
              <w:ind w:firstLine="0"/>
            </w:pPr>
            <w:r w:rsidRPr="004D46AC">
              <w:t>196</w:t>
            </w:r>
          </w:p>
        </w:tc>
        <w:tc>
          <w:tcPr>
            <w:tcW w:w="752" w:type="dxa"/>
            <w:vAlign w:val="center"/>
          </w:tcPr>
          <w:p w14:paraId="7B030DC7" w14:textId="77777777" w:rsidR="009864DB" w:rsidRPr="004D46AC" w:rsidRDefault="009864DB" w:rsidP="009864DB">
            <w:pPr>
              <w:spacing w:line="240" w:lineRule="auto"/>
              <w:ind w:firstLine="0"/>
            </w:pPr>
            <w:r w:rsidRPr="004D46AC">
              <w:t>NA</w:t>
            </w:r>
          </w:p>
        </w:tc>
        <w:tc>
          <w:tcPr>
            <w:tcW w:w="789" w:type="dxa"/>
            <w:gridSpan w:val="2"/>
            <w:vAlign w:val="center"/>
          </w:tcPr>
          <w:p w14:paraId="3F347CE2" w14:textId="77777777" w:rsidR="009864DB" w:rsidRPr="004D46AC" w:rsidRDefault="009864DB" w:rsidP="009864DB">
            <w:pPr>
              <w:spacing w:line="240" w:lineRule="auto"/>
              <w:ind w:firstLine="0"/>
            </w:pPr>
            <w:r w:rsidRPr="004D46AC">
              <w:t>NA</w:t>
            </w:r>
          </w:p>
        </w:tc>
      </w:tr>
      <w:tr w:rsidR="009864DB" w:rsidRPr="004D46AC" w14:paraId="086D1ECD" w14:textId="77777777" w:rsidTr="00B518F1">
        <w:tc>
          <w:tcPr>
            <w:tcW w:w="1476" w:type="dxa"/>
          </w:tcPr>
          <w:p w14:paraId="50312DE9" w14:textId="77777777" w:rsidR="009864DB" w:rsidRPr="004D46AC" w:rsidRDefault="009864DB" w:rsidP="009864DB">
            <w:pPr>
              <w:spacing w:line="240" w:lineRule="auto"/>
              <w:ind w:firstLine="0"/>
            </w:pPr>
            <w:r w:rsidRPr="004D46AC">
              <w:fldChar w:fldCharType="begin">
                <w:fldData xml:space="preserve">PEVuZE5vdGU+PENpdGUgQXV0aG9yWWVhcj0iMSI+PEF1dGhvcj5NY0Vscm95PC9BdXRob3I+PFll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instrText xml:space="preserve"> ADDIN EN.CITE </w:instrText>
            </w:r>
            <w:r w:rsidRPr="004D46AC">
              <w:fldChar w:fldCharType="begin">
                <w:fldData xml:space="preserve">PEVuZE5vdGU+PENpdGUgQXV0aG9yWWVhcj0iMSI+PEF1dGhvcj5NY0Vscm95PC9BdXRob3I+PFll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instrText xml:space="preserve"> ADDIN EN.CITE.DATA </w:instrText>
            </w:r>
            <w:r w:rsidRPr="004D46AC">
              <w:fldChar w:fldCharType="end"/>
            </w:r>
            <w:r w:rsidRPr="004D46AC">
              <w:fldChar w:fldCharType="separate"/>
            </w:r>
            <w:r w:rsidRPr="004D46AC">
              <w:t>McElroy et al. (1997)</w:t>
            </w:r>
            <w:r w:rsidRPr="004D46AC">
              <w:fldChar w:fldCharType="end"/>
            </w:r>
          </w:p>
        </w:tc>
        <w:tc>
          <w:tcPr>
            <w:tcW w:w="754" w:type="dxa"/>
            <w:vAlign w:val="center"/>
          </w:tcPr>
          <w:p w14:paraId="09BB158B" w14:textId="77777777" w:rsidR="009864DB" w:rsidRPr="004D46AC" w:rsidRDefault="009864DB" w:rsidP="009864DB">
            <w:pPr>
              <w:spacing w:line="240" w:lineRule="auto"/>
              <w:ind w:firstLine="0"/>
            </w:pPr>
            <w:r w:rsidRPr="004D46AC">
              <w:t>7</w:t>
            </w:r>
          </w:p>
        </w:tc>
        <w:tc>
          <w:tcPr>
            <w:tcW w:w="766" w:type="dxa"/>
            <w:vAlign w:val="center"/>
          </w:tcPr>
          <w:p w14:paraId="69363D6D" w14:textId="77777777" w:rsidR="009864DB" w:rsidRPr="004D46AC" w:rsidRDefault="009864DB" w:rsidP="009864DB">
            <w:pPr>
              <w:spacing w:line="240" w:lineRule="auto"/>
              <w:ind w:firstLine="0"/>
            </w:pPr>
            <w:r w:rsidRPr="004D46AC">
              <w:t>28</w:t>
            </w:r>
          </w:p>
        </w:tc>
        <w:tc>
          <w:tcPr>
            <w:tcW w:w="1096" w:type="dxa"/>
            <w:vAlign w:val="center"/>
          </w:tcPr>
          <w:p w14:paraId="60DF66D2" w14:textId="77777777" w:rsidR="009864DB" w:rsidRPr="004D46AC" w:rsidRDefault="009864DB" w:rsidP="009864DB">
            <w:pPr>
              <w:spacing w:line="240" w:lineRule="auto"/>
              <w:ind w:firstLine="0"/>
            </w:pPr>
            <w:r w:rsidRPr="004D46AC">
              <w:t>DSM3R</w:t>
            </w:r>
          </w:p>
        </w:tc>
        <w:tc>
          <w:tcPr>
            <w:tcW w:w="1415" w:type="dxa"/>
            <w:vAlign w:val="center"/>
          </w:tcPr>
          <w:p w14:paraId="75787987" w14:textId="77777777" w:rsidR="009864DB" w:rsidRPr="004D46AC" w:rsidRDefault="009864DB" w:rsidP="009864DB">
            <w:pPr>
              <w:spacing w:line="240" w:lineRule="auto"/>
              <w:ind w:firstLine="0"/>
            </w:pPr>
            <w:r w:rsidRPr="004D46AC">
              <w:t>SCID-P</w:t>
            </w:r>
          </w:p>
        </w:tc>
        <w:tc>
          <w:tcPr>
            <w:tcW w:w="876" w:type="dxa"/>
            <w:vAlign w:val="center"/>
          </w:tcPr>
          <w:p w14:paraId="29DB17D2" w14:textId="77777777" w:rsidR="009864DB" w:rsidRPr="004D46AC" w:rsidRDefault="009864DB" w:rsidP="009864DB">
            <w:pPr>
              <w:spacing w:line="240" w:lineRule="auto"/>
              <w:ind w:firstLine="0"/>
            </w:pPr>
            <w:r w:rsidRPr="004D46AC">
              <w:t>88</w:t>
            </w:r>
          </w:p>
        </w:tc>
        <w:tc>
          <w:tcPr>
            <w:tcW w:w="986" w:type="dxa"/>
            <w:vAlign w:val="center"/>
          </w:tcPr>
          <w:p w14:paraId="552D9CCB" w14:textId="77777777" w:rsidR="009864DB" w:rsidRPr="004D46AC" w:rsidRDefault="009864DB" w:rsidP="009864DB">
            <w:pPr>
              <w:spacing w:line="240" w:lineRule="auto"/>
              <w:ind w:firstLine="0"/>
            </w:pPr>
            <w:r w:rsidRPr="004D46AC">
              <w:t>3</w:t>
            </w:r>
          </w:p>
        </w:tc>
        <w:tc>
          <w:tcPr>
            <w:tcW w:w="751" w:type="dxa"/>
            <w:vAlign w:val="center"/>
          </w:tcPr>
          <w:p w14:paraId="51E4F8DA" w14:textId="77777777" w:rsidR="009864DB" w:rsidRPr="004D46AC" w:rsidRDefault="009864DB" w:rsidP="009864DB">
            <w:pPr>
              <w:spacing w:line="240" w:lineRule="auto"/>
              <w:ind w:firstLine="0"/>
            </w:pPr>
            <w:r w:rsidRPr="004D46AC">
              <w:t>1</w:t>
            </w:r>
          </w:p>
        </w:tc>
        <w:tc>
          <w:tcPr>
            <w:tcW w:w="752" w:type="dxa"/>
            <w:vAlign w:val="center"/>
          </w:tcPr>
          <w:p w14:paraId="582BAC9E" w14:textId="77777777" w:rsidR="009864DB" w:rsidRPr="004D46AC" w:rsidRDefault="009864DB" w:rsidP="009864DB">
            <w:pPr>
              <w:spacing w:line="240" w:lineRule="auto"/>
              <w:ind w:firstLine="0"/>
            </w:pPr>
            <w:r w:rsidRPr="004D46AC">
              <w:t>0</w:t>
            </w:r>
          </w:p>
        </w:tc>
        <w:tc>
          <w:tcPr>
            <w:tcW w:w="1296" w:type="dxa"/>
          </w:tcPr>
          <w:p w14:paraId="1E8A190B" w14:textId="77777777" w:rsidR="009864DB" w:rsidRPr="004D46AC" w:rsidRDefault="009864DB" w:rsidP="009864DB">
            <w:pPr>
              <w:spacing w:line="240" w:lineRule="auto"/>
              <w:ind w:firstLine="0"/>
            </w:pPr>
            <w:r w:rsidRPr="004D46AC">
              <w:t>80</w:t>
            </w:r>
          </w:p>
        </w:tc>
        <w:tc>
          <w:tcPr>
            <w:tcW w:w="752" w:type="dxa"/>
            <w:vAlign w:val="center"/>
          </w:tcPr>
          <w:p w14:paraId="32EF8733" w14:textId="77777777" w:rsidR="009864DB" w:rsidRPr="004D46AC" w:rsidRDefault="009864DB" w:rsidP="009864DB">
            <w:pPr>
              <w:spacing w:line="240" w:lineRule="auto"/>
              <w:ind w:firstLine="0"/>
            </w:pPr>
            <w:r w:rsidRPr="004D46AC">
              <w:t>NA</w:t>
            </w:r>
          </w:p>
        </w:tc>
        <w:tc>
          <w:tcPr>
            <w:tcW w:w="789" w:type="dxa"/>
            <w:gridSpan w:val="2"/>
            <w:vAlign w:val="center"/>
          </w:tcPr>
          <w:p w14:paraId="2A227EF4" w14:textId="77777777" w:rsidR="009864DB" w:rsidRPr="004D46AC" w:rsidRDefault="009864DB" w:rsidP="009864DB">
            <w:pPr>
              <w:spacing w:line="240" w:lineRule="auto"/>
              <w:ind w:firstLine="0"/>
            </w:pPr>
            <w:r w:rsidRPr="004D46AC">
              <w:t>NA</w:t>
            </w:r>
          </w:p>
        </w:tc>
      </w:tr>
      <w:tr w:rsidR="009864DB" w:rsidRPr="004D46AC" w14:paraId="7A63BD19" w14:textId="77777777" w:rsidTr="00B518F1">
        <w:tc>
          <w:tcPr>
            <w:tcW w:w="1476" w:type="dxa"/>
          </w:tcPr>
          <w:p w14:paraId="5D434EE0" w14:textId="77777777" w:rsidR="009864DB" w:rsidRPr="004D46AC" w:rsidRDefault="009864DB" w:rsidP="009864DB">
            <w:pPr>
              <w:spacing w:line="240" w:lineRule="auto"/>
              <w:ind w:firstLine="0"/>
            </w:pPr>
            <w:r w:rsidRPr="004D46AC">
              <w:fldChar w:fldCharType="begin">
                <w:fldData xml:space="preserve">PEVuZE5vdGU+PENpdGUgQXV0aG9yWWVhcj0iMSI+PEF1dGhvcj5NYXRoaWV1PC9BdXRob3I+PFll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</w:fldData>
              </w:fldChar>
            </w:r>
            <w:r w:rsidRPr="004D46AC">
              <w:instrText xml:space="preserve"> ADDIN EN.CITE </w:instrText>
            </w:r>
            <w:r w:rsidRPr="004D46AC">
              <w:fldChar w:fldCharType="begin">
                <w:fldData xml:space="preserve">PEVuZE5vdGU+PENpdGUgQXV0aG9yWWVhcj0iMSI+PEF1dGhvcj5NYXRoaWV1PC9BdXRob3I+PFll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</w:fldData>
              </w:fldChar>
            </w:r>
            <w:r w:rsidRPr="004D46AC">
              <w:instrText xml:space="preserve"> ADDIN EN.CITE.DATA </w:instrText>
            </w:r>
            <w:r w:rsidRPr="004D46AC">
              <w:fldChar w:fldCharType="end"/>
            </w:r>
            <w:r w:rsidRPr="004D46AC">
              <w:fldChar w:fldCharType="separate"/>
            </w:r>
            <w:r w:rsidRPr="004D46AC">
              <w:t>Mathieu et al. (2014)</w:t>
            </w:r>
            <w:r w:rsidRPr="004D46AC">
              <w:fldChar w:fldCharType="end"/>
            </w:r>
          </w:p>
        </w:tc>
        <w:tc>
          <w:tcPr>
            <w:tcW w:w="754" w:type="dxa"/>
            <w:vAlign w:val="center"/>
          </w:tcPr>
          <w:p w14:paraId="7A35CE40" w14:textId="77777777" w:rsidR="009864DB" w:rsidRPr="004D46AC" w:rsidRDefault="009864DB" w:rsidP="009864DB">
            <w:pPr>
              <w:spacing w:line="240" w:lineRule="auto"/>
              <w:ind w:firstLine="0"/>
            </w:pPr>
            <w:r w:rsidRPr="004D46AC">
              <w:t>5</w:t>
            </w:r>
          </w:p>
        </w:tc>
        <w:tc>
          <w:tcPr>
            <w:tcW w:w="766" w:type="dxa"/>
            <w:vAlign w:val="center"/>
          </w:tcPr>
          <w:p w14:paraId="7D365625" w14:textId="77777777" w:rsidR="009864DB" w:rsidRPr="004D46AC" w:rsidRDefault="009864DB" w:rsidP="009864DB">
            <w:pPr>
              <w:spacing w:line="240" w:lineRule="auto"/>
              <w:ind w:firstLine="0"/>
            </w:pPr>
            <w:r w:rsidRPr="004D46AC">
              <w:t>42.37</w:t>
            </w:r>
          </w:p>
        </w:tc>
        <w:tc>
          <w:tcPr>
            <w:tcW w:w="1096" w:type="dxa"/>
            <w:vAlign w:val="center"/>
          </w:tcPr>
          <w:p w14:paraId="2893D509" w14:textId="77777777" w:rsidR="009864DB" w:rsidRPr="004D46AC" w:rsidRDefault="009864DB" w:rsidP="009864DB">
            <w:pPr>
              <w:spacing w:line="240" w:lineRule="auto"/>
              <w:ind w:firstLine="0"/>
            </w:pPr>
            <w:r w:rsidRPr="004D46AC">
              <w:t>DSM4</w:t>
            </w:r>
          </w:p>
        </w:tc>
        <w:tc>
          <w:tcPr>
            <w:tcW w:w="1415" w:type="dxa"/>
            <w:vAlign w:val="center"/>
          </w:tcPr>
          <w:p w14:paraId="4A607D08" w14:textId="77777777" w:rsidR="009864DB" w:rsidRPr="004D46AC" w:rsidRDefault="009864DB" w:rsidP="009864DB">
            <w:pPr>
              <w:spacing w:line="240" w:lineRule="auto"/>
              <w:ind w:firstLine="0"/>
            </w:pPr>
            <w:r w:rsidRPr="004D46AC">
              <w:t>DIGS</w:t>
            </w:r>
          </w:p>
        </w:tc>
        <w:tc>
          <w:tcPr>
            <w:tcW w:w="876" w:type="dxa"/>
            <w:vAlign w:val="center"/>
          </w:tcPr>
          <w:p w14:paraId="72A96FAC" w14:textId="77777777" w:rsidR="009864DB" w:rsidRPr="004D46AC" w:rsidRDefault="009864DB" w:rsidP="009864DB">
            <w:pPr>
              <w:spacing w:line="240" w:lineRule="auto"/>
              <w:ind w:firstLine="0"/>
            </w:pPr>
            <w:r w:rsidRPr="004D46AC">
              <w:t>310</w:t>
            </w:r>
          </w:p>
        </w:tc>
        <w:tc>
          <w:tcPr>
            <w:tcW w:w="986" w:type="dxa"/>
            <w:vAlign w:val="center"/>
          </w:tcPr>
          <w:p w14:paraId="692E1C88" w14:textId="77777777" w:rsidR="009864DB" w:rsidRPr="004D46AC" w:rsidRDefault="009864DB" w:rsidP="009864DB">
            <w:pPr>
              <w:spacing w:line="240" w:lineRule="auto"/>
              <w:ind w:firstLine="0"/>
            </w:pPr>
            <w:r w:rsidRPr="004D46AC">
              <w:t>1</w:t>
            </w:r>
          </w:p>
        </w:tc>
        <w:tc>
          <w:tcPr>
            <w:tcW w:w="751" w:type="dxa"/>
            <w:vAlign w:val="center"/>
          </w:tcPr>
          <w:p w14:paraId="290981C6" w14:textId="77777777" w:rsidR="009864DB" w:rsidRPr="004D46AC" w:rsidRDefault="009864DB" w:rsidP="009864DB">
            <w:pPr>
              <w:spacing w:line="240" w:lineRule="auto"/>
              <w:ind w:firstLine="0"/>
            </w:pPr>
            <w:r w:rsidRPr="004D46AC">
              <w:t>1</w:t>
            </w:r>
          </w:p>
        </w:tc>
        <w:tc>
          <w:tcPr>
            <w:tcW w:w="752" w:type="dxa"/>
            <w:vAlign w:val="center"/>
          </w:tcPr>
          <w:p w14:paraId="6CC43FC6" w14:textId="77777777" w:rsidR="009864DB" w:rsidRPr="004D46AC" w:rsidRDefault="009864DB" w:rsidP="009864DB">
            <w:pPr>
              <w:spacing w:line="240" w:lineRule="auto"/>
              <w:ind w:firstLine="0"/>
            </w:pPr>
            <w:r w:rsidRPr="004D46AC">
              <w:t>2</w:t>
            </w:r>
          </w:p>
        </w:tc>
        <w:tc>
          <w:tcPr>
            <w:tcW w:w="1296" w:type="dxa"/>
          </w:tcPr>
          <w:p w14:paraId="3FCF8DA2" w14:textId="77777777" w:rsidR="009864DB" w:rsidRPr="004D46AC" w:rsidRDefault="009864DB" w:rsidP="009864DB">
            <w:pPr>
              <w:spacing w:line="240" w:lineRule="auto"/>
              <w:ind w:firstLine="0"/>
            </w:pPr>
            <w:r w:rsidRPr="004D46AC">
              <w:t>71</w:t>
            </w:r>
          </w:p>
        </w:tc>
        <w:tc>
          <w:tcPr>
            <w:tcW w:w="752" w:type="dxa"/>
            <w:vAlign w:val="center"/>
          </w:tcPr>
          <w:p w14:paraId="18795FB0" w14:textId="77777777" w:rsidR="009864DB" w:rsidRPr="004D46AC" w:rsidRDefault="009864DB" w:rsidP="009864DB">
            <w:pPr>
              <w:spacing w:line="240" w:lineRule="auto"/>
              <w:ind w:firstLine="0"/>
            </w:pPr>
            <w:r w:rsidRPr="004D46AC">
              <w:t>NA</w:t>
            </w:r>
          </w:p>
        </w:tc>
        <w:tc>
          <w:tcPr>
            <w:tcW w:w="789" w:type="dxa"/>
            <w:gridSpan w:val="2"/>
            <w:vAlign w:val="center"/>
          </w:tcPr>
          <w:p w14:paraId="0358A2A1" w14:textId="77777777" w:rsidR="009864DB" w:rsidRPr="004D46AC" w:rsidRDefault="009864DB" w:rsidP="009864DB">
            <w:pPr>
              <w:spacing w:line="240" w:lineRule="auto"/>
              <w:ind w:firstLine="0"/>
            </w:pPr>
            <w:r w:rsidRPr="004D46AC">
              <w:t>NA</w:t>
            </w:r>
          </w:p>
        </w:tc>
      </w:tr>
      <w:tr w:rsidR="009864DB" w:rsidRPr="004D46AC" w14:paraId="7937D326" w14:textId="77777777" w:rsidTr="00B518F1">
        <w:tc>
          <w:tcPr>
            <w:tcW w:w="1476" w:type="dxa"/>
          </w:tcPr>
          <w:p w14:paraId="5F5A5447"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AuthorYear="1"&gt;&lt;Author&gt;Dautzenberg&lt;/Author&gt;&lt;Year&gt;2016&lt;/Year&gt;&lt;RecNum&gt;326&lt;/RecNum&gt;&lt;DisplayText&gt;Dautzenberg et al. (2016)&lt;/DisplayText&gt;&lt;record&gt;&lt;rec-number&gt;326&lt;/rec-number&gt;&lt;foreign-keys&gt;&lt;key app="EN" db-id="aet009sstawa0hewvt3xwf5atffdw2dt02sw" timestamp="1667707506"&gt;326&lt;/key&gt;&lt;/foreign-keys&gt;&lt;ref-type name="Journal Article"&gt;17&lt;/ref-type&gt;&lt;contributors&gt;&lt;authors&gt;&lt;author&gt;Dautzenberg, G.&lt;/author&gt;&lt;author&gt;Lans, L.&lt;/author&gt;&lt;author&gt;Meesters, P. D.&lt;/author&gt;&lt;author&gt;Kupka, R.&lt;/author&gt;&lt;author&gt;Beekman, A.&lt;/author&gt;&lt;author&gt;Stek, M. L.&lt;/author&gt;&lt;author&gt;Dols, A.&lt;/author&gt;&lt;/authors&gt;&lt;/contributors&gt;&lt;auth-address&gt;a Altrecht Institute for Mental Health Care , Utrecht , The Netherlands.&amp;#xD;b Department of Psychiatry , GGZ inGeest/VUmc , Amsterdam , The Netherlands.&lt;/auth-address&gt;&lt;titles&gt;&lt;title&gt;The care needs of older patients with bipolar disorder&lt;/title&gt;&lt;secondary-title&gt;Aging Ment Health&lt;/secondary-title&gt;&lt;/titles&gt;&lt;periodical&gt;&lt;full-title&gt;Aging Ment Health&lt;/full-title&gt;&lt;/periodical&gt;&lt;pages&gt;899-907&lt;/pages&gt;&lt;volume&gt;20&lt;/volume&gt;&lt;number&gt;9&lt;/number&gt;&lt;edition&gt;20150605&lt;/edition&gt;&lt;keywords&gt;&lt;keyword&gt;Aged&lt;/keyword&gt;&lt;keyword&gt;Aged, 80 and over&lt;/keyword&gt;&lt;keyword&gt;Bipolar Disorder/*nursing&lt;/keyword&gt;&lt;keyword&gt;Female&lt;/keyword&gt;&lt;keyword&gt;Humans&lt;/keyword&gt;&lt;keyword&gt;Interviews as Topic&lt;/keyword&gt;&lt;keyword&gt;Male&lt;/keyword&gt;&lt;keyword&gt;*Needs Assessment&lt;/keyword&gt;&lt;keyword&gt;Netherlands&lt;/keyword&gt;&lt;keyword&gt;Qualitative Research&lt;/keyword&gt;&lt;keyword&gt;Cane&lt;/keyword&gt;&lt;keyword&gt;bipolar&lt;/keyword&gt;&lt;keyword&gt;need assessment&lt;/keyword&gt;&lt;keyword&gt;older&lt;/keyword&gt;&lt;/keywords&gt;&lt;dates&gt;&lt;year&gt;2016&lt;/year&gt;&lt;pub-dates&gt;&lt;date&gt;Sep&lt;/date&gt;&lt;/pub-dates&gt;&lt;/dates&gt;&lt;isbn&gt;1364-6915 (Electronic)&amp;#xD;1360-7863 (Linking)&lt;/isbn&gt;&lt;accession-num&gt;26046823&lt;/accession-num&gt;&lt;urls&gt;&lt;related-urls&gt;&lt;url&gt;https://www.ncbi.nlm.nih.gov/pubmed/26046823&lt;/url&gt;&lt;/related-urls&gt;&lt;/urls&gt;&lt;electronic-resource-num&gt;10.1080/13607863.2015.1047321&lt;/electronic-resource-num&gt;&lt;remote-database-name&gt;Medline&lt;/remote-database-name&gt;&lt;remote-database-provider&gt;NLM&lt;/remote-database-provider&gt;&lt;language&gt;eng&lt;/language&gt;&lt;/record&gt;&lt;/Cite&gt;&lt;/EndNote&gt;</w:instrText>
            </w:r>
            <w:r w:rsidRPr="004D46AC">
              <w:fldChar w:fldCharType="separate"/>
            </w:r>
            <w:r w:rsidRPr="004D46AC">
              <w:t>Dautzenberg et al. (2016)</w:t>
            </w:r>
            <w:r w:rsidRPr="004D46AC">
              <w:fldChar w:fldCharType="end"/>
            </w:r>
          </w:p>
        </w:tc>
        <w:tc>
          <w:tcPr>
            <w:tcW w:w="754" w:type="dxa"/>
            <w:vAlign w:val="center"/>
          </w:tcPr>
          <w:p w14:paraId="27600CB9" w14:textId="77777777" w:rsidR="009864DB" w:rsidRPr="004D46AC" w:rsidRDefault="009864DB" w:rsidP="009864DB">
            <w:pPr>
              <w:spacing w:line="240" w:lineRule="auto"/>
              <w:ind w:firstLine="0"/>
            </w:pPr>
            <w:r w:rsidRPr="004D46AC">
              <w:t>5</w:t>
            </w:r>
          </w:p>
        </w:tc>
        <w:tc>
          <w:tcPr>
            <w:tcW w:w="766" w:type="dxa"/>
            <w:vAlign w:val="center"/>
          </w:tcPr>
          <w:p w14:paraId="2AD4E263" w14:textId="77777777" w:rsidR="009864DB" w:rsidRPr="004D46AC" w:rsidRDefault="009864DB" w:rsidP="009864DB">
            <w:pPr>
              <w:spacing w:line="240" w:lineRule="auto"/>
              <w:ind w:firstLine="0"/>
            </w:pPr>
            <w:r w:rsidRPr="004D46AC">
              <w:t>68.5</w:t>
            </w:r>
          </w:p>
        </w:tc>
        <w:tc>
          <w:tcPr>
            <w:tcW w:w="1096" w:type="dxa"/>
            <w:vAlign w:val="center"/>
          </w:tcPr>
          <w:p w14:paraId="43FDA6E3" w14:textId="77777777" w:rsidR="009864DB" w:rsidRPr="004D46AC" w:rsidRDefault="009864DB" w:rsidP="009864DB">
            <w:pPr>
              <w:spacing w:line="240" w:lineRule="auto"/>
              <w:ind w:firstLine="0"/>
            </w:pPr>
            <w:r w:rsidRPr="004D46AC">
              <w:t>DSM4TR</w:t>
            </w:r>
          </w:p>
        </w:tc>
        <w:tc>
          <w:tcPr>
            <w:tcW w:w="1415" w:type="dxa"/>
            <w:vAlign w:val="center"/>
          </w:tcPr>
          <w:p w14:paraId="74F831C5" w14:textId="77777777" w:rsidR="009864DB" w:rsidRPr="004D46AC" w:rsidRDefault="009864DB" w:rsidP="009864DB">
            <w:pPr>
              <w:spacing w:line="240" w:lineRule="auto"/>
              <w:ind w:firstLine="0"/>
            </w:pPr>
            <w:r w:rsidRPr="004D46AC">
              <w:t>MINI</w:t>
            </w:r>
          </w:p>
        </w:tc>
        <w:tc>
          <w:tcPr>
            <w:tcW w:w="876" w:type="dxa"/>
            <w:vAlign w:val="center"/>
          </w:tcPr>
          <w:p w14:paraId="709A5490" w14:textId="77777777" w:rsidR="009864DB" w:rsidRPr="004D46AC" w:rsidRDefault="009864DB" w:rsidP="009864DB">
            <w:pPr>
              <w:spacing w:line="240" w:lineRule="auto"/>
              <w:ind w:firstLine="0"/>
            </w:pPr>
            <w:r w:rsidRPr="004D46AC">
              <w:t>78</w:t>
            </w:r>
          </w:p>
        </w:tc>
        <w:tc>
          <w:tcPr>
            <w:tcW w:w="986" w:type="dxa"/>
            <w:vAlign w:val="center"/>
          </w:tcPr>
          <w:p w14:paraId="6BAB1E35" w14:textId="77777777" w:rsidR="009864DB" w:rsidRPr="004D46AC" w:rsidRDefault="009864DB" w:rsidP="009864DB">
            <w:pPr>
              <w:spacing w:line="240" w:lineRule="auto"/>
              <w:ind w:firstLine="0"/>
            </w:pPr>
            <w:r w:rsidRPr="004D46AC">
              <w:t>unclear</w:t>
            </w:r>
          </w:p>
        </w:tc>
        <w:tc>
          <w:tcPr>
            <w:tcW w:w="751" w:type="dxa"/>
            <w:vAlign w:val="center"/>
          </w:tcPr>
          <w:p w14:paraId="1EB2C7E0" w14:textId="77777777" w:rsidR="009864DB" w:rsidRPr="004D46AC" w:rsidRDefault="009864DB" w:rsidP="009864DB">
            <w:pPr>
              <w:spacing w:line="240" w:lineRule="auto"/>
              <w:ind w:firstLine="0"/>
            </w:pPr>
            <w:r w:rsidRPr="004D46AC">
              <w:t>1</w:t>
            </w:r>
          </w:p>
        </w:tc>
        <w:tc>
          <w:tcPr>
            <w:tcW w:w="752" w:type="dxa"/>
            <w:vAlign w:val="center"/>
          </w:tcPr>
          <w:p w14:paraId="4BAA9026" w14:textId="77777777" w:rsidR="009864DB" w:rsidRPr="004D46AC" w:rsidRDefault="009864DB" w:rsidP="009864DB">
            <w:pPr>
              <w:spacing w:line="240" w:lineRule="auto"/>
              <w:ind w:firstLine="0"/>
            </w:pPr>
            <w:r w:rsidRPr="004D46AC">
              <w:t>0</w:t>
            </w:r>
          </w:p>
        </w:tc>
        <w:tc>
          <w:tcPr>
            <w:tcW w:w="1296" w:type="dxa"/>
          </w:tcPr>
          <w:p w14:paraId="6968EF59" w14:textId="77777777" w:rsidR="009864DB" w:rsidRPr="004D46AC" w:rsidRDefault="009864DB" w:rsidP="009864DB">
            <w:pPr>
              <w:spacing w:line="240" w:lineRule="auto"/>
              <w:ind w:firstLine="0"/>
            </w:pPr>
            <w:r w:rsidRPr="004D46AC">
              <w:t>9</w:t>
            </w:r>
          </w:p>
        </w:tc>
        <w:tc>
          <w:tcPr>
            <w:tcW w:w="752" w:type="dxa"/>
            <w:vAlign w:val="center"/>
          </w:tcPr>
          <w:p w14:paraId="79B31899" w14:textId="77777777" w:rsidR="009864DB" w:rsidRPr="004D46AC" w:rsidRDefault="009864DB" w:rsidP="009864DB">
            <w:pPr>
              <w:spacing w:line="240" w:lineRule="auto"/>
              <w:ind w:firstLine="0"/>
            </w:pPr>
            <w:r w:rsidRPr="004D46AC">
              <w:t>NA</w:t>
            </w:r>
          </w:p>
        </w:tc>
        <w:tc>
          <w:tcPr>
            <w:tcW w:w="789" w:type="dxa"/>
            <w:gridSpan w:val="2"/>
            <w:vAlign w:val="center"/>
          </w:tcPr>
          <w:p w14:paraId="66C39BAB" w14:textId="77777777" w:rsidR="009864DB" w:rsidRPr="004D46AC" w:rsidRDefault="009864DB" w:rsidP="009864DB">
            <w:pPr>
              <w:spacing w:line="240" w:lineRule="auto"/>
              <w:ind w:firstLine="0"/>
            </w:pPr>
            <w:r w:rsidRPr="004D46AC">
              <w:t>NA</w:t>
            </w:r>
          </w:p>
        </w:tc>
      </w:tr>
      <w:tr w:rsidR="009864DB" w:rsidRPr="004D46AC" w14:paraId="187BDD61" w14:textId="77777777" w:rsidTr="00B518F1">
        <w:tc>
          <w:tcPr>
            <w:tcW w:w="1476" w:type="dxa"/>
          </w:tcPr>
          <w:p w14:paraId="6DAC4573" w14:textId="77777777" w:rsidR="009864DB" w:rsidRPr="004D46AC" w:rsidRDefault="009864DB" w:rsidP="009864DB">
            <w:pPr>
              <w:spacing w:line="240" w:lineRule="auto"/>
              <w:ind w:firstLine="0"/>
            </w:pPr>
            <w:r w:rsidRPr="004D46AC">
              <w:fldChar w:fldCharType="begin">
                <w:fldData xml:space="preserve">PEVuZE5vdGU+PENpdGUgQXV0aG9yWWVhcj0iMSI+PEF1dGhvcj5OZXdwb3J0PC9BdXRob3I+PFll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 </w:instrText>
            </w:r>
            <w:r w:rsidRPr="004D46AC">
              <w:fldChar w:fldCharType="begin">
                <w:fldData xml:space="preserve">PEVuZE5vdGU+PENpdGUgQXV0aG9yWWVhcj0iMSI+PEF1dGhvcj5OZXdwb3J0PC9BdXRob3I+PFll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EN.CITE.DATA </w:instrText>
            </w:r>
            <w:r w:rsidRPr="004D46AC">
              <w:fldChar w:fldCharType="end"/>
            </w:r>
            <w:r w:rsidRPr="004D46AC">
              <w:fldChar w:fldCharType="separate"/>
            </w:r>
            <w:r w:rsidRPr="004D46AC">
              <w:t>Newport et al. (2012)</w:t>
            </w:r>
            <w:r w:rsidRPr="004D46AC">
              <w:fldChar w:fldCharType="end"/>
            </w:r>
          </w:p>
        </w:tc>
        <w:tc>
          <w:tcPr>
            <w:tcW w:w="754" w:type="dxa"/>
            <w:vAlign w:val="center"/>
          </w:tcPr>
          <w:p w14:paraId="04F1354E" w14:textId="77777777" w:rsidR="009864DB" w:rsidRPr="004D46AC" w:rsidRDefault="009864DB" w:rsidP="009864DB">
            <w:pPr>
              <w:spacing w:line="240" w:lineRule="auto"/>
              <w:ind w:firstLine="0"/>
            </w:pPr>
            <w:r w:rsidRPr="004D46AC">
              <w:t>6</w:t>
            </w:r>
          </w:p>
        </w:tc>
        <w:tc>
          <w:tcPr>
            <w:tcW w:w="766" w:type="dxa"/>
            <w:vAlign w:val="center"/>
          </w:tcPr>
          <w:p w14:paraId="3496B3CC" w14:textId="77777777" w:rsidR="009864DB" w:rsidRPr="004D46AC" w:rsidRDefault="009864DB" w:rsidP="009864DB">
            <w:pPr>
              <w:spacing w:line="240" w:lineRule="auto"/>
              <w:ind w:firstLine="0"/>
            </w:pPr>
            <w:r w:rsidRPr="004D46AC">
              <w:t>32</w:t>
            </w:r>
          </w:p>
        </w:tc>
        <w:tc>
          <w:tcPr>
            <w:tcW w:w="1096" w:type="dxa"/>
            <w:vAlign w:val="center"/>
          </w:tcPr>
          <w:p w14:paraId="147C775F" w14:textId="77777777" w:rsidR="009864DB" w:rsidRPr="004D46AC" w:rsidRDefault="009864DB" w:rsidP="009864DB">
            <w:pPr>
              <w:spacing w:line="240" w:lineRule="auto"/>
              <w:ind w:firstLine="0"/>
            </w:pPr>
            <w:r w:rsidRPr="004D46AC">
              <w:t>DSM4</w:t>
            </w:r>
          </w:p>
        </w:tc>
        <w:tc>
          <w:tcPr>
            <w:tcW w:w="1415" w:type="dxa"/>
            <w:vAlign w:val="center"/>
          </w:tcPr>
          <w:p w14:paraId="05FC3E53" w14:textId="77777777" w:rsidR="009864DB" w:rsidRPr="004D46AC" w:rsidRDefault="009864DB" w:rsidP="009864DB">
            <w:pPr>
              <w:spacing w:line="240" w:lineRule="auto"/>
              <w:ind w:firstLine="0"/>
            </w:pPr>
            <w:r w:rsidRPr="004D46AC">
              <w:t>SCID</w:t>
            </w:r>
          </w:p>
        </w:tc>
        <w:tc>
          <w:tcPr>
            <w:tcW w:w="876" w:type="dxa"/>
            <w:vAlign w:val="center"/>
          </w:tcPr>
          <w:p w14:paraId="38EF9C37" w14:textId="77777777" w:rsidR="009864DB" w:rsidRPr="004D46AC" w:rsidRDefault="009864DB" w:rsidP="009864DB">
            <w:pPr>
              <w:spacing w:line="240" w:lineRule="auto"/>
              <w:ind w:firstLine="0"/>
            </w:pPr>
            <w:r w:rsidRPr="004D46AC">
              <w:t>141</w:t>
            </w:r>
          </w:p>
        </w:tc>
        <w:tc>
          <w:tcPr>
            <w:tcW w:w="986" w:type="dxa"/>
            <w:vAlign w:val="center"/>
          </w:tcPr>
          <w:p w14:paraId="5B48CE4F" w14:textId="77777777" w:rsidR="009864DB" w:rsidRPr="004D46AC" w:rsidRDefault="009864DB" w:rsidP="009864DB">
            <w:pPr>
              <w:spacing w:line="240" w:lineRule="auto"/>
              <w:ind w:firstLine="0"/>
            </w:pPr>
            <w:r w:rsidRPr="004D46AC">
              <w:t>unclear</w:t>
            </w:r>
          </w:p>
        </w:tc>
        <w:tc>
          <w:tcPr>
            <w:tcW w:w="751" w:type="dxa"/>
            <w:vAlign w:val="center"/>
          </w:tcPr>
          <w:p w14:paraId="131F8EDC" w14:textId="77777777" w:rsidR="009864DB" w:rsidRPr="004D46AC" w:rsidRDefault="009864DB" w:rsidP="009864DB">
            <w:pPr>
              <w:spacing w:line="240" w:lineRule="auto"/>
              <w:ind w:firstLine="0"/>
            </w:pPr>
            <w:r w:rsidRPr="004D46AC">
              <w:t>1</w:t>
            </w:r>
          </w:p>
        </w:tc>
        <w:tc>
          <w:tcPr>
            <w:tcW w:w="752" w:type="dxa"/>
            <w:vAlign w:val="center"/>
          </w:tcPr>
          <w:p w14:paraId="3CB83F73" w14:textId="77777777" w:rsidR="009864DB" w:rsidRPr="004D46AC" w:rsidRDefault="009864DB" w:rsidP="009864DB">
            <w:pPr>
              <w:spacing w:line="240" w:lineRule="auto"/>
              <w:ind w:firstLine="0"/>
            </w:pPr>
            <w:r w:rsidRPr="004D46AC">
              <w:t>2</w:t>
            </w:r>
          </w:p>
        </w:tc>
        <w:tc>
          <w:tcPr>
            <w:tcW w:w="1296" w:type="dxa"/>
          </w:tcPr>
          <w:p w14:paraId="0366FB18" w14:textId="77777777" w:rsidR="009864DB" w:rsidRPr="004D46AC" w:rsidRDefault="009864DB" w:rsidP="009864DB">
            <w:pPr>
              <w:spacing w:line="240" w:lineRule="auto"/>
              <w:ind w:firstLine="0"/>
            </w:pPr>
            <w:r w:rsidRPr="004D46AC">
              <w:t>60</w:t>
            </w:r>
          </w:p>
        </w:tc>
        <w:tc>
          <w:tcPr>
            <w:tcW w:w="752" w:type="dxa"/>
            <w:vAlign w:val="center"/>
          </w:tcPr>
          <w:p w14:paraId="20BB72CE" w14:textId="77777777" w:rsidR="009864DB" w:rsidRPr="004D46AC" w:rsidRDefault="009864DB" w:rsidP="009864DB">
            <w:pPr>
              <w:spacing w:line="240" w:lineRule="auto"/>
              <w:ind w:firstLine="0"/>
            </w:pPr>
            <w:r w:rsidRPr="004D46AC">
              <w:t>NA</w:t>
            </w:r>
          </w:p>
        </w:tc>
        <w:tc>
          <w:tcPr>
            <w:tcW w:w="789" w:type="dxa"/>
            <w:gridSpan w:val="2"/>
            <w:vAlign w:val="center"/>
          </w:tcPr>
          <w:p w14:paraId="52300D52" w14:textId="77777777" w:rsidR="009864DB" w:rsidRPr="004D46AC" w:rsidRDefault="009864DB" w:rsidP="009864DB">
            <w:pPr>
              <w:spacing w:line="240" w:lineRule="auto"/>
              <w:ind w:firstLine="0"/>
            </w:pPr>
            <w:r w:rsidRPr="004D46AC">
              <w:t>NA</w:t>
            </w:r>
          </w:p>
        </w:tc>
      </w:tr>
      <w:tr w:rsidR="009864DB" w:rsidRPr="004D46AC" w14:paraId="2D257A6B" w14:textId="77777777" w:rsidTr="00B518F1">
        <w:tc>
          <w:tcPr>
            <w:tcW w:w="1476" w:type="dxa"/>
          </w:tcPr>
          <w:p w14:paraId="62E89CDD" w14:textId="77777777" w:rsidR="009864DB" w:rsidRPr="004D46AC" w:rsidRDefault="009864DB" w:rsidP="009864DB">
            <w:pPr>
              <w:spacing w:line="240" w:lineRule="auto"/>
              <w:ind w:firstLine="0"/>
            </w:pPr>
            <w:r w:rsidRPr="004D46AC">
              <w:fldChar w:fldCharType="begin">
                <w:fldData xml:space="preserve">PEVuZE5vdGU+PENpdGUgQXV0aG9yWWVhcj0iMSI+PEF1dGhvcj5OYXZhcnJvPC9BdXRob3I+PFll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==
</w:fldData>
              </w:fldChar>
            </w:r>
            <w:r w:rsidRPr="004D46AC">
              <w:instrText xml:space="preserve"> ADDIN EN.CITE </w:instrText>
            </w:r>
            <w:r w:rsidRPr="004D46AC">
              <w:fldChar w:fldCharType="begin">
                <w:fldData xml:space="preserve">PEVuZE5vdGU+PENpdGUgQXV0aG9yWWVhcj0iMSI+PEF1dGhvcj5OYXZhcnJvPC9BdXRob3I+PFll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==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Navarro et al. (2016)</w:t>
            </w:r>
            <w:r w:rsidRPr="004D46AC">
              <w:fldChar w:fldCharType="end"/>
            </w:r>
          </w:p>
        </w:tc>
        <w:tc>
          <w:tcPr>
            <w:tcW w:w="754" w:type="dxa"/>
            <w:vAlign w:val="center"/>
          </w:tcPr>
          <w:p w14:paraId="10D6C732" w14:textId="77777777" w:rsidR="009864DB" w:rsidRPr="004D46AC" w:rsidRDefault="009864DB" w:rsidP="009864DB">
            <w:pPr>
              <w:spacing w:line="240" w:lineRule="auto"/>
              <w:ind w:firstLine="0"/>
            </w:pPr>
            <w:r w:rsidRPr="004D46AC">
              <w:t>7</w:t>
            </w:r>
          </w:p>
        </w:tc>
        <w:tc>
          <w:tcPr>
            <w:tcW w:w="766" w:type="dxa"/>
            <w:vAlign w:val="center"/>
          </w:tcPr>
          <w:p w14:paraId="1AA474C6" w14:textId="77777777" w:rsidR="009864DB" w:rsidRPr="004D46AC" w:rsidRDefault="009864DB" w:rsidP="009864DB">
            <w:pPr>
              <w:spacing w:line="240" w:lineRule="auto"/>
              <w:ind w:firstLine="0"/>
            </w:pPr>
            <w:r w:rsidRPr="004D46AC">
              <w:t>49.2</w:t>
            </w:r>
          </w:p>
        </w:tc>
        <w:tc>
          <w:tcPr>
            <w:tcW w:w="1096" w:type="dxa"/>
            <w:vAlign w:val="center"/>
          </w:tcPr>
          <w:p w14:paraId="32209ED5" w14:textId="77777777" w:rsidR="009864DB" w:rsidRPr="004D46AC" w:rsidRDefault="009864DB" w:rsidP="009864DB">
            <w:pPr>
              <w:spacing w:line="240" w:lineRule="auto"/>
              <w:ind w:firstLine="0"/>
            </w:pPr>
            <w:r w:rsidRPr="004D46AC">
              <w:t>ICD10</w:t>
            </w:r>
          </w:p>
        </w:tc>
        <w:tc>
          <w:tcPr>
            <w:tcW w:w="1415" w:type="dxa"/>
            <w:vAlign w:val="center"/>
          </w:tcPr>
          <w:p w14:paraId="287A0F1F" w14:textId="77777777" w:rsidR="009864DB" w:rsidRPr="004D46AC" w:rsidRDefault="009864DB" w:rsidP="009864DB">
            <w:pPr>
              <w:spacing w:line="240" w:lineRule="auto"/>
              <w:ind w:firstLine="0"/>
            </w:pPr>
            <w:r w:rsidRPr="004D46AC">
              <w:t>unclear</w:t>
            </w:r>
          </w:p>
        </w:tc>
        <w:tc>
          <w:tcPr>
            <w:tcW w:w="876" w:type="dxa"/>
            <w:vAlign w:val="center"/>
          </w:tcPr>
          <w:p w14:paraId="6DA2E583" w14:textId="77777777" w:rsidR="009864DB" w:rsidRPr="004D46AC" w:rsidRDefault="009864DB" w:rsidP="009864DB">
            <w:pPr>
              <w:spacing w:line="240" w:lineRule="auto"/>
              <w:ind w:firstLine="0"/>
            </w:pPr>
            <w:r w:rsidRPr="004D46AC">
              <w:t>76</w:t>
            </w:r>
          </w:p>
        </w:tc>
        <w:tc>
          <w:tcPr>
            <w:tcW w:w="986" w:type="dxa"/>
            <w:vAlign w:val="center"/>
          </w:tcPr>
          <w:p w14:paraId="1D4BB6D9" w14:textId="77777777" w:rsidR="009864DB" w:rsidRPr="004D46AC" w:rsidRDefault="009864DB" w:rsidP="009864DB">
            <w:pPr>
              <w:spacing w:line="240" w:lineRule="auto"/>
              <w:ind w:firstLine="0"/>
            </w:pPr>
            <w:r w:rsidRPr="004D46AC">
              <w:t>1</w:t>
            </w:r>
          </w:p>
        </w:tc>
        <w:tc>
          <w:tcPr>
            <w:tcW w:w="751" w:type="dxa"/>
            <w:vAlign w:val="center"/>
          </w:tcPr>
          <w:p w14:paraId="7CB257CE" w14:textId="77777777" w:rsidR="009864DB" w:rsidRPr="004D46AC" w:rsidRDefault="009864DB" w:rsidP="009864DB">
            <w:pPr>
              <w:spacing w:line="240" w:lineRule="auto"/>
              <w:ind w:firstLine="0"/>
            </w:pPr>
            <w:r w:rsidRPr="004D46AC">
              <w:t>1</w:t>
            </w:r>
          </w:p>
        </w:tc>
        <w:tc>
          <w:tcPr>
            <w:tcW w:w="752" w:type="dxa"/>
            <w:vAlign w:val="center"/>
          </w:tcPr>
          <w:p w14:paraId="60DF63C8" w14:textId="77777777" w:rsidR="009864DB" w:rsidRPr="004D46AC" w:rsidRDefault="009864DB" w:rsidP="009864DB">
            <w:pPr>
              <w:spacing w:line="240" w:lineRule="auto"/>
              <w:ind w:firstLine="0"/>
            </w:pPr>
            <w:r w:rsidRPr="004D46AC">
              <w:t>2</w:t>
            </w:r>
          </w:p>
        </w:tc>
        <w:tc>
          <w:tcPr>
            <w:tcW w:w="1296" w:type="dxa"/>
          </w:tcPr>
          <w:p w14:paraId="7503E9DD" w14:textId="77777777" w:rsidR="009864DB" w:rsidRPr="004D46AC" w:rsidRDefault="009864DB" w:rsidP="009864DB">
            <w:pPr>
              <w:spacing w:line="240" w:lineRule="auto"/>
              <w:ind w:firstLine="0"/>
            </w:pPr>
            <w:r w:rsidRPr="004D46AC">
              <w:t>52</w:t>
            </w:r>
          </w:p>
        </w:tc>
        <w:tc>
          <w:tcPr>
            <w:tcW w:w="752" w:type="dxa"/>
            <w:vAlign w:val="center"/>
          </w:tcPr>
          <w:p w14:paraId="322FA6F1" w14:textId="77777777" w:rsidR="009864DB" w:rsidRPr="004D46AC" w:rsidRDefault="009864DB" w:rsidP="009864DB">
            <w:pPr>
              <w:spacing w:line="240" w:lineRule="auto"/>
              <w:ind w:firstLine="0"/>
            </w:pPr>
            <w:r w:rsidRPr="004D46AC">
              <w:t>NA</w:t>
            </w:r>
          </w:p>
        </w:tc>
        <w:tc>
          <w:tcPr>
            <w:tcW w:w="789" w:type="dxa"/>
            <w:gridSpan w:val="2"/>
            <w:vAlign w:val="center"/>
          </w:tcPr>
          <w:p w14:paraId="69243581" w14:textId="77777777" w:rsidR="009864DB" w:rsidRPr="004D46AC" w:rsidRDefault="009864DB" w:rsidP="009864DB">
            <w:pPr>
              <w:spacing w:line="240" w:lineRule="auto"/>
              <w:ind w:firstLine="0"/>
            </w:pPr>
            <w:r w:rsidRPr="004D46AC">
              <w:t>NA</w:t>
            </w:r>
          </w:p>
        </w:tc>
      </w:tr>
      <w:tr w:rsidR="009864DB" w:rsidRPr="004D46AC" w14:paraId="08A1B533" w14:textId="77777777" w:rsidTr="00B518F1">
        <w:tc>
          <w:tcPr>
            <w:tcW w:w="1476" w:type="dxa"/>
          </w:tcPr>
          <w:p w14:paraId="11D62B92"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AuthorYear="1"&gt;&lt;Author&gt;Gopal&lt;/Author&gt;&lt;Year&gt;2007&lt;/Year&gt;&lt;RecNum&gt;183&lt;/RecNum&gt;&lt;DisplayText&gt;Gopal et al. (2007)&lt;/DisplayText&gt;&lt;record&gt;&lt;rec-number&gt;183&lt;/rec-number&gt;&lt;foreign-keys&gt;&lt;key app="EN" db-id="aet009sstawa0hewvt3xwf5atffdw2dt02sw" timestamp="1665890770"&gt;183&lt;/key&gt;&lt;/foreign-keys&gt;&lt;ref-type name="Journal Article"&gt;17&lt;/ref-type&gt;&lt;contributors&gt;&lt;authors&gt;&lt;author&gt;Gopal, Srihari&lt;/author&gt;&lt;author&gt;Beyer, John L.&lt;/author&gt;&lt;author&gt;Steffens, David C.&lt;/author&gt;&lt;author&gt;Kramer, Michelle L.&lt;/author&gt;&lt;/authors&gt;&lt;/contributors&gt;&lt;titles&gt;&lt;title&gt;Symptomatic Remission in Patients with Bipolar Mania: Results from a Double-Blind, Placebo-Controlled Trial of Risperidone Monotherapy&lt;/title&gt;&lt;secondary-title&gt;Progress in Neurotherapeutics and Neuropsychopharmacology&lt;/secondary-title&gt;&lt;/titles&gt;&lt;periodical&gt;&lt;full-title&gt;Progress in Neurotherapeutics and Neuropsychopharmacology&lt;/full-title&gt;&lt;/periodical&gt;&lt;pages&gt;213-224&lt;/pages&gt;&lt;volume&gt;2&lt;/volume&gt;&lt;number&gt;1&lt;/number&gt;&lt;edition&gt;2007/03/05&lt;/edition&gt;&lt;section&gt;213&lt;/section&gt;&lt;keywords&gt;&lt;keyword&gt;risperidone&lt;/keyword&gt;&lt;keyword&gt;mania&lt;/keyword&gt;&lt;keyword&gt;remission&lt;/keyword&gt;&lt;keyword&gt;bipolar.&lt;/keyword&gt;&lt;/keywords&gt;&lt;dates&gt;&lt;year&gt;2007&lt;/year&gt;&lt;/dates&gt;&lt;publisher&gt;Cambridge University Press&lt;/publisher&gt;&lt;isbn&gt;1748-2321&amp;#xD;1748-233X&lt;/isbn&gt;&lt;urls&gt;&lt;related-urls&gt;&lt;url&gt;https://www.cambridge.org/core/article/symptomatic-remission-in-patients-with-bipolar-mania-results-from-a-doubleblind-placebocontrolled-trial-of-risperidone-monotherapy/AC9E81BC5AC1613C1210A1F1190567FD&lt;/url&gt;&lt;/related-urls&gt;&lt;/urls&gt;&lt;electronic-resource-num&gt;10.1017/s1748232106000152&lt;/electronic-resource-num&gt;&lt;remote-database-name&gt;Cambridge Core&lt;/remote-database-name&gt;&lt;remote-database-provider&gt;Cambridge University Press&lt;/remote-database-provider&gt;&lt;/record&gt;&lt;/Cite&gt;&lt;/EndNote&gt;</w:instrText>
            </w:r>
            <w:r w:rsidRPr="004D46AC">
              <w:fldChar w:fldCharType="separate"/>
            </w:r>
            <w:r w:rsidRPr="004D46AC">
              <w:t>Gopal et al. (2007)</w:t>
            </w:r>
            <w:r w:rsidRPr="004D46AC">
              <w:fldChar w:fldCharType="end"/>
            </w:r>
          </w:p>
        </w:tc>
        <w:tc>
          <w:tcPr>
            <w:tcW w:w="754" w:type="dxa"/>
            <w:vAlign w:val="center"/>
          </w:tcPr>
          <w:p w14:paraId="60524B91" w14:textId="77777777" w:rsidR="009864DB" w:rsidRPr="004D46AC" w:rsidRDefault="009864DB" w:rsidP="009864DB">
            <w:pPr>
              <w:spacing w:line="240" w:lineRule="auto"/>
              <w:ind w:firstLine="0"/>
            </w:pPr>
            <w:r w:rsidRPr="004D46AC">
              <w:t>5</w:t>
            </w:r>
          </w:p>
        </w:tc>
        <w:tc>
          <w:tcPr>
            <w:tcW w:w="766" w:type="dxa"/>
            <w:vAlign w:val="center"/>
          </w:tcPr>
          <w:p w14:paraId="5029D71C" w14:textId="77777777" w:rsidR="009864DB" w:rsidRPr="004D46AC" w:rsidRDefault="009864DB" w:rsidP="009864DB">
            <w:pPr>
              <w:spacing w:line="240" w:lineRule="auto"/>
              <w:ind w:firstLine="0"/>
            </w:pPr>
            <w:r w:rsidRPr="004D46AC">
              <w:t>35.22</w:t>
            </w:r>
          </w:p>
        </w:tc>
        <w:tc>
          <w:tcPr>
            <w:tcW w:w="1096" w:type="dxa"/>
            <w:vAlign w:val="center"/>
          </w:tcPr>
          <w:p w14:paraId="702E3A6A" w14:textId="77777777" w:rsidR="009864DB" w:rsidRPr="004D46AC" w:rsidRDefault="009864DB" w:rsidP="009864DB">
            <w:pPr>
              <w:spacing w:line="240" w:lineRule="auto"/>
              <w:ind w:firstLine="0"/>
            </w:pPr>
            <w:r w:rsidRPr="004D46AC">
              <w:t>DSM4</w:t>
            </w:r>
          </w:p>
        </w:tc>
        <w:tc>
          <w:tcPr>
            <w:tcW w:w="1415" w:type="dxa"/>
            <w:vAlign w:val="center"/>
          </w:tcPr>
          <w:p w14:paraId="3883EE44" w14:textId="77777777" w:rsidR="009864DB" w:rsidRPr="004D46AC" w:rsidRDefault="009864DB" w:rsidP="009864DB">
            <w:pPr>
              <w:spacing w:line="240" w:lineRule="auto"/>
              <w:ind w:firstLine="0"/>
            </w:pPr>
            <w:r w:rsidRPr="004D46AC">
              <w:t>unclear</w:t>
            </w:r>
          </w:p>
        </w:tc>
        <w:tc>
          <w:tcPr>
            <w:tcW w:w="876" w:type="dxa"/>
            <w:vAlign w:val="center"/>
          </w:tcPr>
          <w:p w14:paraId="385886FD" w14:textId="77777777" w:rsidR="009864DB" w:rsidRPr="004D46AC" w:rsidRDefault="009864DB" w:rsidP="009864DB">
            <w:pPr>
              <w:spacing w:line="240" w:lineRule="auto"/>
              <w:ind w:firstLine="0"/>
            </w:pPr>
            <w:r w:rsidRPr="004D46AC">
              <w:t>291</w:t>
            </w:r>
          </w:p>
        </w:tc>
        <w:tc>
          <w:tcPr>
            <w:tcW w:w="986" w:type="dxa"/>
            <w:vAlign w:val="center"/>
          </w:tcPr>
          <w:p w14:paraId="373F5B0C" w14:textId="77777777" w:rsidR="009864DB" w:rsidRPr="004D46AC" w:rsidRDefault="009864DB" w:rsidP="009864DB">
            <w:pPr>
              <w:spacing w:line="240" w:lineRule="auto"/>
              <w:ind w:firstLine="0"/>
            </w:pPr>
            <w:r w:rsidRPr="004D46AC">
              <w:t>3</w:t>
            </w:r>
          </w:p>
        </w:tc>
        <w:tc>
          <w:tcPr>
            <w:tcW w:w="751" w:type="dxa"/>
            <w:vAlign w:val="center"/>
          </w:tcPr>
          <w:p w14:paraId="1494AB9C" w14:textId="77777777" w:rsidR="009864DB" w:rsidRPr="004D46AC" w:rsidRDefault="009864DB" w:rsidP="009864DB">
            <w:pPr>
              <w:spacing w:line="240" w:lineRule="auto"/>
              <w:ind w:firstLine="0"/>
            </w:pPr>
            <w:r w:rsidRPr="004D46AC">
              <w:t>2</w:t>
            </w:r>
          </w:p>
        </w:tc>
        <w:tc>
          <w:tcPr>
            <w:tcW w:w="752" w:type="dxa"/>
            <w:vAlign w:val="center"/>
          </w:tcPr>
          <w:p w14:paraId="268847C1" w14:textId="77777777" w:rsidR="009864DB" w:rsidRPr="004D46AC" w:rsidRDefault="009864DB" w:rsidP="009864DB">
            <w:pPr>
              <w:spacing w:line="240" w:lineRule="auto"/>
              <w:ind w:firstLine="0"/>
            </w:pPr>
            <w:r w:rsidRPr="004D46AC">
              <w:t>0</w:t>
            </w:r>
          </w:p>
        </w:tc>
        <w:tc>
          <w:tcPr>
            <w:tcW w:w="1296" w:type="dxa"/>
          </w:tcPr>
          <w:p w14:paraId="553586E9" w14:textId="77777777" w:rsidR="009864DB" w:rsidRPr="004D46AC" w:rsidRDefault="009864DB" w:rsidP="009864DB">
            <w:pPr>
              <w:spacing w:line="240" w:lineRule="auto"/>
              <w:ind w:firstLine="0"/>
            </w:pPr>
            <w:r w:rsidRPr="004D46AC">
              <w:t>170</w:t>
            </w:r>
          </w:p>
        </w:tc>
        <w:tc>
          <w:tcPr>
            <w:tcW w:w="752" w:type="dxa"/>
            <w:vAlign w:val="center"/>
          </w:tcPr>
          <w:p w14:paraId="018583A5" w14:textId="77777777" w:rsidR="009864DB" w:rsidRPr="004D46AC" w:rsidRDefault="009864DB" w:rsidP="009864DB">
            <w:pPr>
              <w:spacing w:line="240" w:lineRule="auto"/>
              <w:ind w:firstLine="0"/>
            </w:pPr>
            <w:r w:rsidRPr="004D46AC">
              <w:t>NA</w:t>
            </w:r>
          </w:p>
        </w:tc>
        <w:tc>
          <w:tcPr>
            <w:tcW w:w="789" w:type="dxa"/>
            <w:gridSpan w:val="2"/>
            <w:vAlign w:val="center"/>
          </w:tcPr>
          <w:p w14:paraId="7A18131A" w14:textId="77777777" w:rsidR="009864DB" w:rsidRPr="004D46AC" w:rsidRDefault="009864DB" w:rsidP="009864DB">
            <w:pPr>
              <w:spacing w:line="240" w:lineRule="auto"/>
              <w:ind w:firstLine="0"/>
            </w:pPr>
            <w:r w:rsidRPr="004D46AC">
              <w:t>NA</w:t>
            </w:r>
          </w:p>
        </w:tc>
      </w:tr>
      <w:tr w:rsidR="009864DB" w:rsidRPr="004D46AC" w14:paraId="7BE59B9B" w14:textId="77777777" w:rsidTr="00B518F1">
        <w:tc>
          <w:tcPr>
            <w:tcW w:w="1476" w:type="dxa"/>
          </w:tcPr>
          <w:p w14:paraId="3EB121FF" w14:textId="77777777" w:rsidR="009864DB" w:rsidRPr="004D46AC" w:rsidRDefault="009864DB" w:rsidP="009864DB">
            <w:pPr>
              <w:spacing w:line="240" w:lineRule="auto"/>
              <w:ind w:firstLine="0"/>
            </w:pPr>
            <w:r w:rsidRPr="004D46AC">
              <w:fldChar w:fldCharType="begin">
                <w:fldData xml:space="preserve">PEVuZE5vdGU+PENpdGUgQXV0aG9yWWVhcj0iMSI+PEF1dGhvcj5LaW08L0F1dGhvcj48WWVhcj4y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</w:fldData>
              </w:fldChar>
            </w:r>
            <w:r w:rsidRPr="004D46AC">
              <w:instrText xml:space="preserve"> ADDIN EN.CITE </w:instrText>
            </w:r>
            <w:r w:rsidRPr="004D46AC">
              <w:fldChar w:fldCharType="begin">
                <w:fldData xml:space="preserve">PEVuZE5vdGU+PENpdGUgQXV0aG9yWWVhcj0iMSI+PEF1dGhvcj5LaW08L0F1dGhvcj48WWVhcj4y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</w:fldData>
              </w:fldChar>
            </w:r>
            <w:r w:rsidRPr="004D46AC">
              <w:instrText xml:space="preserve"> ADDIN EN.CITE.DATA </w:instrText>
            </w:r>
            <w:r w:rsidRPr="004D46AC">
              <w:fldChar w:fldCharType="end"/>
            </w:r>
            <w:r w:rsidRPr="004D46AC">
              <w:fldChar w:fldCharType="separate"/>
            </w:r>
            <w:r w:rsidRPr="004D46AC">
              <w:t>Kim et al. (2020)</w:t>
            </w:r>
            <w:r w:rsidRPr="004D46AC">
              <w:fldChar w:fldCharType="end"/>
            </w:r>
          </w:p>
        </w:tc>
        <w:tc>
          <w:tcPr>
            <w:tcW w:w="754" w:type="dxa"/>
            <w:vAlign w:val="center"/>
          </w:tcPr>
          <w:p w14:paraId="2C71FD84" w14:textId="77777777" w:rsidR="009864DB" w:rsidRPr="004D46AC" w:rsidRDefault="009864DB" w:rsidP="009864DB">
            <w:pPr>
              <w:spacing w:line="240" w:lineRule="auto"/>
              <w:ind w:firstLine="0"/>
            </w:pPr>
            <w:r w:rsidRPr="004D46AC">
              <w:t>5</w:t>
            </w:r>
          </w:p>
        </w:tc>
        <w:tc>
          <w:tcPr>
            <w:tcW w:w="766" w:type="dxa"/>
            <w:vAlign w:val="center"/>
          </w:tcPr>
          <w:p w14:paraId="2C178E8A" w14:textId="77777777" w:rsidR="009864DB" w:rsidRPr="004D46AC" w:rsidRDefault="009864DB" w:rsidP="009864DB">
            <w:pPr>
              <w:spacing w:line="240" w:lineRule="auto"/>
              <w:ind w:firstLine="0"/>
            </w:pPr>
            <w:r w:rsidRPr="004D46AC">
              <w:t>NA</w:t>
            </w:r>
          </w:p>
        </w:tc>
        <w:tc>
          <w:tcPr>
            <w:tcW w:w="1096" w:type="dxa"/>
            <w:vAlign w:val="center"/>
          </w:tcPr>
          <w:p w14:paraId="1EC418F4" w14:textId="77777777" w:rsidR="009864DB" w:rsidRPr="004D46AC" w:rsidRDefault="009864DB" w:rsidP="009864DB">
            <w:pPr>
              <w:spacing w:line="240" w:lineRule="auto"/>
              <w:ind w:firstLine="0"/>
            </w:pPr>
            <w:r w:rsidRPr="004D46AC">
              <w:t>ICD10</w:t>
            </w:r>
          </w:p>
        </w:tc>
        <w:tc>
          <w:tcPr>
            <w:tcW w:w="1415" w:type="dxa"/>
            <w:vAlign w:val="center"/>
          </w:tcPr>
          <w:p w14:paraId="63FE13CB" w14:textId="77777777" w:rsidR="009864DB" w:rsidRPr="004D46AC" w:rsidRDefault="009864DB" w:rsidP="009864DB">
            <w:pPr>
              <w:spacing w:line="240" w:lineRule="auto"/>
              <w:ind w:firstLine="0"/>
            </w:pPr>
            <w:r w:rsidRPr="004D46AC">
              <w:t>unclear</w:t>
            </w:r>
          </w:p>
        </w:tc>
        <w:tc>
          <w:tcPr>
            <w:tcW w:w="876" w:type="dxa"/>
            <w:vAlign w:val="center"/>
          </w:tcPr>
          <w:p w14:paraId="254A33B5" w14:textId="77777777" w:rsidR="009864DB" w:rsidRPr="004D46AC" w:rsidRDefault="009864DB" w:rsidP="009864DB">
            <w:pPr>
              <w:spacing w:line="240" w:lineRule="auto"/>
              <w:ind w:firstLine="0"/>
            </w:pPr>
            <w:r w:rsidRPr="004D46AC">
              <w:t>12376</w:t>
            </w:r>
          </w:p>
        </w:tc>
        <w:tc>
          <w:tcPr>
            <w:tcW w:w="986" w:type="dxa"/>
            <w:vAlign w:val="center"/>
          </w:tcPr>
          <w:p w14:paraId="2AAE5BE1" w14:textId="77777777" w:rsidR="009864DB" w:rsidRPr="004D46AC" w:rsidRDefault="009864DB" w:rsidP="009864DB">
            <w:pPr>
              <w:spacing w:line="240" w:lineRule="auto"/>
              <w:ind w:firstLine="0"/>
            </w:pPr>
            <w:r w:rsidRPr="004D46AC">
              <w:t>unclear</w:t>
            </w:r>
          </w:p>
        </w:tc>
        <w:tc>
          <w:tcPr>
            <w:tcW w:w="751" w:type="dxa"/>
            <w:vAlign w:val="center"/>
          </w:tcPr>
          <w:p w14:paraId="7E079842" w14:textId="77777777" w:rsidR="009864DB" w:rsidRPr="004D46AC" w:rsidRDefault="009864DB" w:rsidP="009864DB">
            <w:pPr>
              <w:spacing w:line="240" w:lineRule="auto"/>
              <w:ind w:firstLine="0"/>
            </w:pPr>
            <w:r w:rsidRPr="004D46AC">
              <w:t>1</w:t>
            </w:r>
          </w:p>
        </w:tc>
        <w:tc>
          <w:tcPr>
            <w:tcW w:w="752" w:type="dxa"/>
            <w:vAlign w:val="center"/>
          </w:tcPr>
          <w:p w14:paraId="04690DCC" w14:textId="77777777" w:rsidR="009864DB" w:rsidRPr="004D46AC" w:rsidRDefault="009864DB" w:rsidP="009864DB">
            <w:pPr>
              <w:spacing w:line="240" w:lineRule="auto"/>
              <w:ind w:firstLine="0"/>
            </w:pPr>
            <w:r w:rsidRPr="004D46AC">
              <w:t>0</w:t>
            </w:r>
          </w:p>
        </w:tc>
        <w:tc>
          <w:tcPr>
            <w:tcW w:w="1296" w:type="dxa"/>
          </w:tcPr>
          <w:p w14:paraId="4D42FB4A" w14:textId="77777777" w:rsidR="009864DB" w:rsidRPr="004D46AC" w:rsidRDefault="009864DB" w:rsidP="009864DB">
            <w:pPr>
              <w:spacing w:line="240" w:lineRule="auto"/>
              <w:ind w:firstLine="0"/>
            </w:pPr>
            <w:r w:rsidRPr="004D46AC">
              <w:t>1255</w:t>
            </w:r>
          </w:p>
        </w:tc>
        <w:tc>
          <w:tcPr>
            <w:tcW w:w="752" w:type="dxa"/>
            <w:vAlign w:val="center"/>
          </w:tcPr>
          <w:p w14:paraId="1DAF17DB" w14:textId="77777777" w:rsidR="009864DB" w:rsidRPr="004D46AC" w:rsidRDefault="009864DB" w:rsidP="009864DB">
            <w:pPr>
              <w:spacing w:line="240" w:lineRule="auto"/>
              <w:ind w:firstLine="0"/>
            </w:pPr>
            <w:r w:rsidRPr="004D46AC">
              <w:t>NA</w:t>
            </w:r>
          </w:p>
        </w:tc>
        <w:tc>
          <w:tcPr>
            <w:tcW w:w="789" w:type="dxa"/>
            <w:gridSpan w:val="2"/>
            <w:vAlign w:val="center"/>
          </w:tcPr>
          <w:p w14:paraId="6132FB75" w14:textId="77777777" w:rsidR="009864DB" w:rsidRPr="004D46AC" w:rsidRDefault="009864DB" w:rsidP="009864DB">
            <w:pPr>
              <w:spacing w:line="240" w:lineRule="auto"/>
              <w:ind w:firstLine="0"/>
            </w:pPr>
            <w:r w:rsidRPr="004D46AC">
              <w:t>NA</w:t>
            </w:r>
          </w:p>
        </w:tc>
      </w:tr>
      <w:tr w:rsidR="009864DB" w:rsidRPr="004D46AC" w14:paraId="1348C904" w14:textId="77777777" w:rsidTr="00B518F1">
        <w:tc>
          <w:tcPr>
            <w:tcW w:w="1476" w:type="dxa"/>
          </w:tcPr>
          <w:p w14:paraId="328F7CED" w14:textId="77777777" w:rsidR="009864DB" w:rsidRPr="004D46AC" w:rsidRDefault="009864DB" w:rsidP="009864DB">
            <w:pPr>
              <w:spacing w:line="240" w:lineRule="auto"/>
              <w:ind w:firstLine="0"/>
            </w:pPr>
            <w:r w:rsidRPr="004D46AC">
              <w:fldChar w:fldCharType="begin">
                <w:fldData xml:space="preserve">PEVuZE5vdGU+PENpdGUgQXV0aG9yWWVhcj0iMSI+PEF1dGhvcj5CZW5hcmQ8L0F1dGhvcj48WWVh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</w:fldData>
              </w:fldChar>
            </w:r>
            <w:r w:rsidRPr="004D46AC">
              <w:instrText xml:space="preserve"> ADDIN EN.CITE </w:instrText>
            </w:r>
            <w:r w:rsidRPr="004D46AC">
              <w:fldChar w:fldCharType="begin">
                <w:fldData xml:space="preserve">PEVuZE5vdGU+PENpdGUgQXV0aG9yWWVhcj0iMSI+PEF1dGhvcj5CZW5hcmQ8L0F1dGhvcj48WWVh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</w:fldData>
              </w:fldChar>
            </w:r>
            <w:r w:rsidRPr="004D46AC">
              <w:instrText xml:space="preserve"> ADDIN EN.CITE.DATA </w:instrText>
            </w:r>
            <w:r w:rsidRPr="004D46AC">
              <w:fldChar w:fldCharType="end"/>
            </w:r>
            <w:r w:rsidRPr="004D46AC">
              <w:fldChar w:fldCharType="separate"/>
            </w:r>
            <w:r w:rsidRPr="004D46AC">
              <w:t>Benard et al. (2020)</w:t>
            </w:r>
            <w:r w:rsidRPr="004D46AC">
              <w:fldChar w:fldCharType="end"/>
            </w:r>
          </w:p>
        </w:tc>
        <w:tc>
          <w:tcPr>
            <w:tcW w:w="754" w:type="dxa"/>
            <w:vAlign w:val="center"/>
          </w:tcPr>
          <w:p w14:paraId="45B84E10" w14:textId="77777777" w:rsidR="009864DB" w:rsidRPr="004D46AC" w:rsidRDefault="009864DB" w:rsidP="009864DB">
            <w:pPr>
              <w:spacing w:line="240" w:lineRule="auto"/>
              <w:ind w:firstLine="0"/>
            </w:pPr>
            <w:r w:rsidRPr="004D46AC">
              <w:t>5</w:t>
            </w:r>
          </w:p>
        </w:tc>
        <w:tc>
          <w:tcPr>
            <w:tcW w:w="766" w:type="dxa"/>
            <w:vAlign w:val="center"/>
          </w:tcPr>
          <w:p w14:paraId="4A979DF8" w14:textId="77777777" w:rsidR="009864DB" w:rsidRPr="004D46AC" w:rsidRDefault="009864DB" w:rsidP="009864DB">
            <w:pPr>
              <w:spacing w:line="240" w:lineRule="auto"/>
              <w:ind w:firstLine="0"/>
            </w:pPr>
            <w:r w:rsidRPr="004D46AC">
              <w:t>NA</w:t>
            </w:r>
          </w:p>
        </w:tc>
        <w:tc>
          <w:tcPr>
            <w:tcW w:w="1096" w:type="dxa"/>
            <w:vAlign w:val="center"/>
          </w:tcPr>
          <w:p w14:paraId="35940AFC" w14:textId="77777777" w:rsidR="009864DB" w:rsidRPr="004D46AC" w:rsidRDefault="009864DB" w:rsidP="009864DB">
            <w:pPr>
              <w:spacing w:line="240" w:lineRule="auto"/>
              <w:ind w:firstLine="0"/>
            </w:pPr>
            <w:r w:rsidRPr="004D46AC">
              <w:t>ICD10</w:t>
            </w:r>
          </w:p>
        </w:tc>
        <w:tc>
          <w:tcPr>
            <w:tcW w:w="1415" w:type="dxa"/>
            <w:vAlign w:val="center"/>
          </w:tcPr>
          <w:p w14:paraId="0B7641DD" w14:textId="77777777" w:rsidR="009864DB" w:rsidRPr="004D46AC" w:rsidRDefault="009864DB" w:rsidP="009864DB">
            <w:pPr>
              <w:spacing w:line="240" w:lineRule="auto"/>
              <w:ind w:firstLine="0"/>
            </w:pPr>
            <w:r w:rsidRPr="004D46AC">
              <w:t>MINI</w:t>
            </w:r>
          </w:p>
        </w:tc>
        <w:tc>
          <w:tcPr>
            <w:tcW w:w="876" w:type="dxa"/>
            <w:vAlign w:val="center"/>
          </w:tcPr>
          <w:p w14:paraId="52C9665E" w14:textId="77777777" w:rsidR="009864DB" w:rsidRPr="004D46AC" w:rsidRDefault="009864DB" w:rsidP="009864DB">
            <w:pPr>
              <w:spacing w:line="240" w:lineRule="auto"/>
              <w:ind w:firstLine="0"/>
            </w:pPr>
            <w:r w:rsidRPr="004D46AC">
              <w:t>148</w:t>
            </w:r>
          </w:p>
        </w:tc>
        <w:tc>
          <w:tcPr>
            <w:tcW w:w="986" w:type="dxa"/>
            <w:vAlign w:val="center"/>
          </w:tcPr>
          <w:p w14:paraId="13690F00" w14:textId="77777777" w:rsidR="009864DB" w:rsidRPr="004D46AC" w:rsidRDefault="009864DB" w:rsidP="009864DB">
            <w:pPr>
              <w:spacing w:line="240" w:lineRule="auto"/>
              <w:ind w:firstLine="0"/>
            </w:pPr>
            <w:r w:rsidRPr="004D46AC">
              <w:t>unclear</w:t>
            </w:r>
          </w:p>
        </w:tc>
        <w:tc>
          <w:tcPr>
            <w:tcW w:w="751" w:type="dxa"/>
            <w:vAlign w:val="center"/>
          </w:tcPr>
          <w:p w14:paraId="4071273A" w14:textId="77777777" w:rsidR="009864DB" w:rsidRPr="004D46AC" w:rsidRDefault="009864DB" w:rsidP="009864DB">
            <w:pPr>
              <w:spacing w:line="240" w:lineRule="auto"/>
              <w:ind w:firstLine="0"/>
            </w:pPr>
            <w:r w:rsidRPr="004D46AC">
              <w:t>2</w:t>
            </w:r>
          </w:p>
        </w:tc>
        <w:tc>
          <w:tcPr>
            <w:tcW w:w="752" w:type="dxa"/>
            <w:vAlign w:val="center"/>
          </w:tcPr>
          <w:p w14:paraId="4FFAA6B3" w14:textId="77777777" w:rsidR="009864DB" w:rsidRPr="004D46AC" w:rsidRDefault="009864DB" w:rsidP="009864DB">
            <w:pPr>
              <w:spacing w:line="240" w:lineRule="auto"/>
              <w:ind w:firstLine="0"/>
            </w:pPr>
            <w:r w:rsidRPr="004D46AC">
              <w:t>2</w:t>
            </w:r>
          </w:p>
        </w:tc>
        <w:tc>
          <w:tcPr>
            <w:tcW w:w="1296" w:type="dxa"/>
          </w:tcPr>
          <w:p w14:paraId="5DD9F791" w14:textId="77777777" w:rsidR="009864DB" w:rsidRPr="004D46AC" w:rsidRDefault="009864DB" w:rsidP="009864DB">
            <w:pPr>
              <w:spacing w:line="240" w:lineRule="auto"/>
              <w:ind w:firstLine="0"/>
            </w:pPr>
            <w:r w:rsidRPr="004D46AC">
              <w:t>101</w:t>
            </w:r>
          </w:p>
        </w:tc>
        <w:tc>
          <w:tcPr>
            <w:tcW w:w="752" w:type="dxa"/>
            <w:vAlign w:val="center"/>
          </w:tcPr>
          <w:p w14:paraId="0DFB6E04" w14:textId="77777777" w:rsidR="009864DB" w:rsidRPr="004D46AC" w:rsidRDefault="009864DB" w:rsidP="009864DB">
            <w:pPr>
              <w:spacing w:line="240" w:lineRule="auto"/>
              <w:ind w:firstLine="0"/>
            </w:pPr>
            <w:r w:rsidRPr="004D46AC">
              <w:t>NA</w:t>
            </w:r>
          </w:p>
        </w:tc>
        <w:tc>
          <w:tcPr>
            <w:tcW w:w="789" w:type="dxa"/>
            <w:gridSpan w:val="2"/>
            <w:vAlign w:val="center"/>
          </w:tcPr>
          <w:p w14:paraId="01B837FE" w14:textId="77777777" w:rsidR="009864DB" w:rsidRPr="004D46AC" w:rsidRDefault="009864DB" w:rsidP="009864DB">
            <w:pPr>
              <w:spacing w:line="240" w:lineRule="auto"/>
              <w:ind w:firstLine="0"/>
            </w:pPr>
            <w:r w:rsidRPr="004D46AC">
              <w:t>NA</w:t>
            </w:r>
          </w:p>
        </w:tc>
      </w:tr>
      <w:tr w:rsidR="009864DB" w:rsidRPr="004D46AC" w14:paraId="281257EE" w14:textId="77777777" w:rsidTr="00B518F1">
        <w:tc>
          <w:tcPr>
            <w:tcW w:w="1476" w:type="dxa"/>
          </w:tcPr>
          <w:p w14:paraId="6A546BB4" w14:textId="77777777" w:rsidR="009864DB" w:rsidRPr="004D46AC" w:rsidRDefault="009864DB" w:rsidP="009864DB">
            <w:pPr>
              <w:spacing w:line="240" w:lineRule="auto"/>
              <w:ind w:firstLine="0"/>
            </w:pPr>
            <w:r w:rsidRPr="004D46AC">
              <w:fldChar w:fldCharType="begin">
                <w:fldData xml:space="preserve">PEVuZE5vdGU+PENpdGUgQXV0aG9yWWVhcj0iMSI+PEF1dGhvcj5Hcm92ZXI8L0F1dGhvcj48WWVh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Pr="004D46AC">
              <w:instrText xml:space="preserve"> ADDIN EN.CITE </w:instrText>
            </w:r>
            <w:r w:rsidRPr="004D46AC">
              <w:fldChar w:fldCharType="begin">
                <w:fldData xml:space="preserve">PEVuZE5vdGU+PENpdGUgQXV0aG9yWWVhcj0iMSI+PEF1dGhvcj5Hcm92ZXI8L0F1dGhvcj48WWVh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</w:fldData>
              </w:fldChar>
            </w:r>
            <w:r w:rsidRPr="004D46AC">
              <w:instrText xml:space="preserve"> ADDIN EN.CITE.DATA </w:instrText>
            </w:r>
            <w:r w:rsidRPr="004D46AC">
              <w:fldChar w:fldCharType="end"/>
            </w:r>
            <w:r w:rsidRPr="004D46AC">
              <w:fldChar w:fldCharType="separate"/>
            </w:r>
            <w:r w:rsidRPr="004D46AC">
              <w:t>Grover et al. (2021)</w:t>
            </w:r>
            <w:r w:rsidRPr="004D46AC">
              <w:fldChar w:fldCharType="end"/>
            </w:r>
          </w:p>
        </w:tc>
        <w:tc>
          <w:tcPr>
            <w:tcW w:w="754" w:type="dxa"/>
            <w:vAlign w:val="center"/>
          </w:tcPr>
          <w:p w14:paraId="43B4D3A6" w14:textId="77777777" w:rsidR="009864DB" w:rsidRPr="004D46AC" w:rsidRDefault="009864DB" w:rsidP="009864DB">
            <w:pPr>
              <w:spacing w:line="240" w:lineRule="auto"/>
              <w:ind w:firstLine="0"/>
            </w:pPr>
            <w:r w:rsidRPr="004D46AC">
              <w:t>6</w:t>
            </w:r>
          </w:p>
        </w:tc>
        <w:tc>
          <w:tcPr>
            <w:tcW w:w="766" w:type="dxa"/>
            <w:vAlign w:val="center"/>
          </w:tcPr>
          <w:p w14:paraId="0B28596E" w14:textId="77777777" w:rsidR="009864DB" w:rsidRPr="004D46AC" w:rsidRDefault="009864DB" w:rsidP="009864DB">
            <w:pPr>
              <w:spacing w:line="240" w:lineRule="auto"/>
              <w:ind w:firstLine="0"/>
            </w:pPr>
            <w:r w:rsidRPr="004D46AC">
              <w:t>45.66</w:t>
            </w:r>
          </w:p>
        </w:tc>
        <w:tc>
          <w:tcPr>
            <w:tcW w:w="1096" w:type="dxa"/>
            <w:vAlign w:val="center"/>
          </w:tcPr>
          <w:p w14:paraId="25FB8770" w14:textId="77777777" w:rsidR="009864DB" w:rsidRPr="004D46AC" w:rsidRDefault="009864DB" w:rsidP="009864DB">
            <w:pPr>
              <w:spacing w:line="240" w:lineRule="auto"/>
              <w:ind w:firstLine="0"/>
            </w:pPr>
            <w:r w:rsidRPr="004D46AC">
              <w:t>DSM4</w:t>
            </w:r>
          </w:p>
        </w:tc>
        <w:tc>
          <w:tcPr>
            <w:tcW w:w="1415" w:type="dxa"/>
            <w:vAlign w:val="center"/>
          </w:tcPr>
          <w:p w14:paraId="3D878930" w14:textId="77777777" w:rsidR="009864DB" w:rsidRPr="004D46AC" w:rsidRDefault="009864DB" w:rsidP="009864DB">
            <w:pPr>
              <w:spacing w:line="240" w:lineRule="auto"/>
              <w:ind w:firstLine="0"/>
            </w:pPr>
            <w:r w:rsidRPr="004D46AC">
              <w:t>MINI</w:t>
            </w:r>
          </w:p>
        </w:tc>
        <w:tc>
          <w:tcPr>
            <w:tcW w:w="876" w:type="dxa"/>
            <w:vAlign w:val="center"/>
          </w:tcPr>
          <w:p w14:paraId="13A6C471" w14:textId="77777777" w:rsidR="009864DB" w:rsidRPr="004D46AC" w:rsidRDefault="009864DB" w:rsidP="009864DB">
            <w:pPr>
              <w:spacing w:line="240" w:lineRule="auto"/>
              <w:ind w:firstLine="0"/>
            </w:pPr>
            <w:r w:rsidRPr="004D46AC">
              <w:t>773</w:t>
            </w:r>
          </w:p>
        </w:tc>
        <w:tc>
          <w:tcPr>
            <w:tcW w:w="986" w:type="dxa"/>
            <w:vAlign w:val="center"/>
          </w:tcPr>
          <w:p w14:paraId="7FCAD9E5" w14:textId="77777777" w:rsidR="009864DB" w:rsidRPr="004D46AC" w:rsidRDefault="009864DB" w:rsidP="009864DB">
            <w:pPr>
              <w:spacing w:line="240" w:lineRule="auto"/>
              <w:ind w:firstLine="0"/>
            </w:pPr>
            <w:r w:rsidRPr="004D46AC">
              <w:t>1</w:t>
            </w:r>
          </w:p>
        </w:tc>
        <w:tc>
          <w:tcPr>
            <w:tcW w:w="751" w:type="dxa"/>
            <w:vAlign w:val="center"/>
          </w:tcPr>
          <w:p w14:paraId="241624E6" w14:textId="77777777" w:rsidR="009864DB" w:rsidRPr="004D46AC" w:rsidRDefault="009864DB" w:rsidP="009864DB">
            <w:pPr>
              <w:spacing w:line="240" w:lineRule="auto"/>
              <w:ind w:firstLine="0"/>
            </w:pPr>
            <w:r w:rsidRPr="004D46AC">
              <w:t>1</w:t>
            </w:r>
          </w:p>
        </w:tc>
        <w:tc>
          <w:tcPr>
            <w:tcW w:w="752" w:type="dxa"/>
            <w:vAlign w:val="center"/>
          </w:tcPr>
          <w:p w14:paraId="00924507" w14:textId="77777777" w:rsidR="009864DB" w:rsidRPr="004D46AC" w:rsidRDefault="009864DB" w:rsidP="009864DB">
            <w:pPr>
              <w:spacing w:line="240" w:lineRule="auto"/>
              <w:ind w:firstLine="0"/>
            </w:pPr>
            <w:r w:rsidRPr="004D46AC">
              <w:t>2</w:t>
            </w:r>
          </w:p>
        </w:tc>
        <w:tc>
          <w:tcPr>
            <w:tcW w:w="1296" w:type="dxa"/>
          </w:tcPr>
          <w:p w14:paraId="066EDD3C" w14:textId="77777777" w:rsidR="009864DB" w:rsidRPr="004D46AC" w:rsidRDefault="009864DB" w:rsidP="009864DB">
            <w:pPr>
              <w:spacing w:line="240" w:lineRule="auto"/>
              <w:ind w:firstLine="0"/>
            </w:pPr>
            <w:r w:rsidRPr="004D46AC">
              <w:t>326</w:t>
            </w:r>
          </w:p>
        </w:tc>
        <w:tc>
          <w:tcPr>
            <w:tcW w:w="752" w:type="dxa"/>
            <w:vAlign w:val="center"/>
          </w:tcPr>
          <w:p w14:paraId="662A0968" w14:textId="77777777" w:rsidR="009864DB" w:rsidRPr="004D46AC" w:rsidRDefault="009864DB" w:rsidP="009864DB">
            <w:pPr>
              <w:spacing w:line="240" w:lineRule="auto"/>
              <w:ind w:firstLine="0"/>
            </w:pPr>
            <w:r w:rsidRPr="004D46AC">
              <w:t>NA</w:t>
            </w:r>
          </w:p>
        </w:tc>
        <w:tc>
          <w:tcPr>
            <w:tcW w:w="789" w:type="dxa"/>
            <w:gridSpan w:val="2"/>
            <w:vAlign w:val="center"/>
          </w:tcPr>
          <w:p w14:paraId="75B7D279" w14:textId="77777777" w:rsidR="009864DB" w:rsidRPr="004D46AC" w:rsidRDefault="009864DB" w:rsidP="009864DB">
            <w:pPr>
              <w:spacing w:line="240" w:lineRule="auto"/>
              <w:ind w:firstLine="0"/>
            </w:pPr>
            <w:r w:rsidRPr="004D46AC">
              <w:t>NA</w:t>
            </w:r>
          </w:p>
        </w:tc>
      </w:tr>
      <w:tr w:rsidR="009864DB" w:rsidRPr="004D46AC" w14:paraId="79995BC8" w14:textId="77777777" w:rsidTr="00B518F1">
        <w:tc>
          <w:tcPr>
            <w:tcW w:w="1476" w:type="dxa"/>
          </w:tcPr>
          <w:p w14:paraId="62C4158F" w14:textId="77777777" w:rsidR="009864DB" w:rsidRPr="004D46AC" w:rsidRDefault="009864DB" w:rsidP="009864DB">
            <w:pPr>
              <w:spacing w:line="240" w:lineRule="auto"/>
              <w:ind w:firstLine="0"/>
            </w:pPr>
            <w:r w:rsidRPr="004D46AC">
              <w:fldChar w:fldCharType="begin">
                <w:fldData xml:space="preserve">PEVuZE5vdGU+PENpdGUgQXV0aG9yWWVhcj0iMSI+PEF1dGhvcj5MYXZhZ25pbm88L0F1dGhvcj48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=
</w:fldData>
              </w:fldChar>
            </w:r>
            <w:r w:rsidRPr="004D46AC">
              <w:instrText xml:space="preserve"> ADDIN EN.CITE </w:instrText>
            </w:r>
            <w:r w:rsidRPr="004D46AC">
              <w:fldChar w:fldCharType="begin">
                <w:fldData xml:space="preserve">PEVuZE5vdGU+PENpdGUgQXV0aG9yWWVhcj0iMSI+PEF1dGhvcj5MYXZhZ25pbm88L0F1dGhvcj48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=
</w:fldData>
              </w:fldChar>
            </w:r>
            <w:r w:rsidRPr="004D46AC">
              <w:instrText xml:space="preserve"> ADDIN EN.CITE.DATA </w:instrText>
            </w:r>
            <w:r w:rsidRPr="004D46AC">
              <w:fldChar w:fldCharType="end"/>
            </w:r>
            <w:r w:rsidRPr="004D46AC">
              <w:fldChar w:fldCharType="separate"/>
            </w:r>
            <w:r w:rsidRPr="004D46AC">
              <w:t>Lavagnino et al. (2015)</w:t>
            </w:r>
            <w:r w:rsidRPr="004D46AC">
              <w:fldChar w:fldCharType="end"/>
            </w:r>
          </w:p>
        </w:tc>
        <w:tc>
          <w:tcPr>
            <w:tcW w:w="754" w:type="dxa"/>
            <w:vAlign w:val="center"/>
          </w:tcPr>
          <w:p w14:paraId="177BEF76" w14:textId="77777777" w:rsidR="009864DB" w:rsidRPr="004D46AC" w:rsidRDefault="009864DB" w:rsidP="009864DB">
            <w:pPr>
              <w:spacing w:line="240" w:lineRule="auto"/>
              <w:ind w:firstLine="0"/>
            </w:pPr>
            <w:r w:rsidRPr="004D46AC">
              <w:t>5</w:t>
            </w:r>
          </w:p>
        </w:tc>
        <w:tc>
          <w:tcPr>
            <w:tcW w:w="766" w:type="dxa"/>
            <w:vAlign w:val="center"/>
          </w:tcPr>
          <w:p w14:paraId="089E338C" w14:textId="77777777" w:rsidR="009864DB" w:rsidRPr="004D46AC" w:rsidRDefault="009864DB" w:rsidP="009864DB">
            <w:pPr>
              <w:spacing w:line="240" w:lineRule="auto"/>
              <w:ind w:firstLine="0"/>
            </w:pPr>
            <w:r w:rsidRPr="004D46AC">
              <w:t>39</w:t>
            </w:r>
          </w:p>
        </w:tc>
        <w:tc>
          <w:tcPr>
            <w:tcW w:w="1096" w:type="dxa"/>
            <w:vAlign w:val="center"/>
          </w:tcPr>
          <w:p w14:paraId="382C45BF" w14:textId="77777777" w:rsidR="009864DB" w:rsidRPr="004D46AC" w:rsidRDefault="009864DB" w:rsidP="009864DB">
            <w:pPr>
              <w:spacing w:line="240" w:lineRule="auto"/>
              <w:ind w:firstLine="0"/>
            </w:pPr>
            <w:r w:rsidRPr="004D46AC">
              <w:t>DSM4TR</w:t>
            </w:r>
          </w:p>
        </w:tc>
        <w:tc>
          <w:tcPr>
            <w:tcW w:w="1415" w:type="dxa"/>
            <w:vAlign w:val="center"/>
          </w:tcPr>
          <w:p w14:paraId="157C7998" w14:textId="77777777" w:rsidR="009864DB" w:rsidRPr="004D46AC" w:rsidRDefault="009864DB" w:rsidP="009864DB">
            <w:pPr>
              <w:spacing w:line="240" w:lineRule="auto"/>
              <w:ind w:firstLine="0"/>
            </w:pPr>
            <w:r w:rsidRPr="004D46AC">
              <w:t>SCID</w:t>
            </w:r>
          </w:p>
        </w:tc>
        <w:tc>
          <w:tcPr>
            <w:tcW w:w="876" w:type="dxa"/>
            <w:vAlign w:val="center"/>
          </w:tcPr>
          <w:p w14:paraId="63518173" w14:textId="77777777" w:rsidR="009864DB" w:rsidRPr="004D46AC" w:rsidRDefault="009864DB" w:rsidP="009864DB">
            <w:pPr>
              <w:spacing w:line="240" w:lineRule="auto"/>
              <w:ind w:firstLine="0"/>
            </w:pPr>
            <w:r w:rsidRPr="004D46AC">
              <w:t>41</w:t>
            </w:r>
          </w:p>
        </w:tc>
        <w:tc>
          <w:tcPr>
            <w:tcW w:w="986" w:type="dxa"/>
            <w:vAlign w:val="center"/>
          </w:tcPr>
          <w:p w14:paraId="48E012AF" w14:textId="77777777" w:rsidR="009864DB" w:rsidRPr="004D46AC" w:rsidRDefault="009864DB" w:rsidP="009864DB">
            <w:pPr>
              <w:spacing w:line="240" w:lineRule="auto"/>
              <w:ind w:firstLine="0"/>
            </w:pPr>
            <w:r w:rsidRPr="004D46AC">
              <w:t>1</w:t>
            </w:r>
          </w:p>
        </w:tc>
        <w:tc>
          <w:tcPr>
            <w:tcW w:w="751" w:type="dxa"/>
            <w:vAlign w:val="center"/>
          </w:tcPr>
          <w:p w14:paraId="5739B1B8" w14:textId="77777777" w:rsidR="009864DB" w:rsidRPr="004D46AC" w:rsidRDefault="009864DB" w:rsidP="009864DB">
            <w:pPr>
              <w:spacing w:line="240" w:lineRule="auto"/>
              <w:ind w:firstLine="0"/>
            </w:pPr>
            <w:r w:rsidRPr="004D46AC">
              <w:t>2</w:t>
            </w:r>
          </w:p>
        </w:tc>
        <w:tc>
          <w:tcPr>
            <w:tcW w:w="752" w:type="dxa"/>
            <w:vAlign w:val="center"/>
          </w:tcPr>
          <w:p w14:paraId="5B63BA22" w14:textId="77777777" w:rsidR="009864DB" w:rsidRPr="004D46AC" w:rsidRDefault="009864DB" w:rsidP="009864DB">
            <w:pPr>
              <w:spacing w:line="240" w:lineRule="auto"/>
              <w:ind w:firstLine="0"/>
            </w:pPr>
            <w:r w:rsidRPr="004D46AC">
              <w:t>2</w:t>
            </w:r>
          </w:p>
        </w:tc>
        <w:tc>
          <w:tcPr>
            <w:tcW w:w="1296" w:type="dxa"/>
          </w:tcPr>
          <w:p w14:paraId="1BE87F79" w14:textId="77777777" w:rsidR="009864DB" w:rsidRPr="004D46AC" w:rsidRDefault="009864DB" w:rsidP="009864DB">
            <w:pPr>
              <w:spacing w:line="240" w:lineRule="auto"/>
              <w:ind w:firstLine="0"/>
            </w:pPr>
            <w:r w:rsidRPr="004D46AC">
              <w:t>16</w:t>
            </w:r>
          </w:p>
        </w:tc>
        <w:tc>
          <w:tcPr>
            <w:tcW w:w="752" w:type="dxa"/>
            <w:vAlign w:val="center"/>
          </w:tcPr>
          <w:p w14:paraId="416F059F" w14:textId="77777777" w:rsidR="009864DB" w:rsidRPr="004D46AC" w:rsidRDefault="009864DB" w:rsidP="009864DB">
            <w:pPr>
              <w:spacing w:line="240" w:lineRule="auto"/>
              <w:ind w:firstLine="0"/>
            </w:pPr>
            <w:r w:rsidRPr="004D46AC">
              <w:t>NA</w:t>
            </w:r>
          </w:p>
        </w:tc>
        <w:tc>
          <w:tcPr>
            <w:tcW w:w="789" w:type="dxa"/>
            <w:gridSpan w:val="2"/>
            <w:vAlign w:val="center"/>
          </w:tcPr>
          <w:p w14:paraId="5B37753C" w14:textId="77777777" w:rsidR="009864DB" w:rsidRPr="004D46AC" w:rsidRDefault="009864DB" w:rsidP="009864DB">
            <w:pPr>
              <w:spacing w:line="240" w:lineRule="auto"/>
              <w:ind w:firstLine="0"/>
            </w:pPr>
            <w:r w:rsidRPr="004D46AC">
              <w:t>NA</w:t>
            </w:r>
          </w:p>
        </w:tc>
      </w:tr>
      <w:tr w:rsidR="009864DB" w:rsidRPr="004D46AC" w14:paraId="6C27EAFD" w14:textId="77777777" w:rsidTr="00B518F1">
        <w:tc>
          <w:tcPr>
            <w:tcW w:w="1476" w:type="dxa"/>
          </w:tcPr>
          <w:p w14:paraId="0B62F175" w14:textId="77777777" w:rsidR="009864DB" w:rsidRPr="004D46AC" w:rsidRDefault="009864DB" w:rsidP="009864DB">
            <w:pPr>
              <w:spacing w:line="240" w:lineRule="auto"/>
              <w:ind w:firstLine="0"/>
            </w:pPr>
            <w:r w:rsidRPr="004D46AC">
              <w:fldChar w:fldCharType="begin">
                <w:fldData xml:space="preserve">PEVuZE5vdGU+PENpdGUgQXV0aG9yWWVhcj0iMSI+PEF1dGhvcj5XYW5nPC9BdXRob3I+PFllYXI+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</w:fldData>
              </w:fldChar>
            </w:r>
            <w:r w:rsidRPr="004D46AC">
              <w:instrText xml:space="preserve"> ADDIN EN.CITE </w:instrText>
            </w:r>
            <w:r w:rsidRPr="004D46AC">
              <w:fldChar w:fldCharType="begin">
                <w:fldData xml:space="preserve">PEVuZE5vdGU+PENpdGUgQXV0aG9yWWVhcj0iMSI+PEF1dGhvcj5XYW5nPC9BdXRob3I+PFllYXI+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</w:fldData>
              </w:fldChar>
            </w:r>
            <w:r w:rsidRPr="004D46AC">
              <w:instrText xml:space="preserve"> ADDIN EN.CITE.DATA </w:instrText>
            </w:r>
            <w:r w:rsidRPr="004D46AC">
              <w:fldChar w:fldCharType="end"/>
            </w:r>
            <w:r w:rsidRPr="004D46AC">
              <w:fldChar w:fldCharType="separate"/>
            </w:r>
            <w:r w:rsidRPr="004D46AC">
              <w:t>Wang et al. (2022)</w:t>
            </w:r>
            <w:r w:rsidRPr="004D46AC">
              <w:fldChar w:fldCharType="end"/>
            </w:r>
          </w:p>
        </w:tc>
        <w:tc>
          <w:tcPr>
            <w:tcW w:w="754" w:type="dxa"/>
            <w:vAlign w:val="center"/>
          </w:tcPr>
          <w:p w14:paraId="6DD5DB42" w14:textId="77777777" w:rsidR="009864DB" w:rsidRPr="004D46AC" w:rsidRDefault="009864DB" w:rsidP="009864DB">
            <w:pPr>
              <w:spacing w:line="240" w:lineRule="auto"/>
              <w:ind w:firstLine="0"/>
            </w:pPr>
            <w:r w:rsidRPr="004D46AC">
              <w:t>7</w:t>
            </w:r>
          </w:p>
        </w:tc>
        <w:tc>
          <w:tcPr>
            <w:tcW w:w="766" w:type="dxa"/>
            <w:vAlign w:val="center"/>
          </w:tcPr>
          <w:p w14:paraId="4049774D" w14:textId="77777777" w:rsidR="009864DB" w:rsidRPr="004D46AC" w:rsidRDefault="009864DB" w:rsidP="009864DB">
            <w:pPr>
              <w:spacing w:line="240" w:lineRule="auto"/>
              <w:ind w:firstLine="0"/>
            </w:pPr>
            <w:r w:rsidRPr="004D46AC">
              <w:t>39.64</w:t>
            </w:r>
          </w:p>
        </w:tc>
        <w:tc>
          <w:tcPr>
            <w:tcW w:w="1096" w:type="dxa"/>
            <w:vAlign w:val="center"/>
          </w:tcPr>
          <w:p w14:paraId="5D72966B" w14:textId="77777777" w:rsidR="009864DB" w:rsidRPr="004D46AC" w:rsidRDefault="009864DB" w:rsidP="009864DB">
            <w:pPr>
              <w:spacing w:line="240" w:lineRule="auto"/>
              <w:ind w:firstLine="0"/>
            </w:pPr>
            <w:r w:rsidRPr="004D46AC">
              <w:t>ICD10</w:t>
            </w:r>
          </w:p>
        </w:tc>
        <w:tc>
          <w:tcPr>
            <w:tcW w:w="1415" w:type="dxa"/>
            <w:vAlign w:val="center"/>
          </w:tcPr>
          <w:p w14:paraId="100171B9" w14:textId="77777777" w:rsidR="009864DB" w:rsidRPr="004D46AC" w:rsidRDefault="009864DB" w:rsidP="009864DB">
            <w:pPr>
              <w:spacing w:line="240" w:lineRule="auto"/>
              <w:ind w:firstLine="0"/>
            </w:pPr>
            <w:r w:rsidRPr="004D46AC">
              <w:t>unclear</w:t>
            </w:r>
          </w:p>
        </w:tc>
        <w:tc>
          <w:tcPr>
            <w:tcW w:w="876" w:type="dxa"/>
            <w:vAlign w:val="center"/>
          </w:tcPr>
          <w:p w14:paraId="22747A6F" w14:textId="77777777" w:rsidR="009864DB" w:rsidRPr="004D46AC" w:rsidRDefault="009864DB" w:rsidP="009864DB">
            <w:pPr>
              <w:spacing w:line="240" w:lineRule="auto"/>
              <w:ind w:firstLine="0"/>
            </w:pPr>
            <w:r w:rsidRPr="004D46AC">
              <w:t>1393</w:t>
            </w:r>
          </w:p>
        </w:tc>
        <w:tc>
          <w:tcPr>
            <w:tcW w:w="986" w:type="dxa"/>
            <w:vAlign w:val="center"/>
          </w:tcPr>
          <w:p w14:paraId="6989BEF3" w14:textId="77777777" w:rsidR="009864DB" w:rsidRPr="004D46AC" w:rsidRDefault="009864DB" w:rsidP="009864DB">
            <w:pPr>
              <w:spacing w:line="240" w:lineRule="auto"/>
              <w:ind w:firstLine="0"/>
            </w:pPr>
            <w:r w:rsidRPr="004D46AC">
              <w:t>unclear</w:t>
            </w:r>
          </w:p>
        </w:tc>
        <w:tc>
          <w:tcPr>
            <w:tcW w:w="751" w:type="dxa"/>
            <w:vAlign w:val="center"/>
          </w:tcPr>
          <w:p w14:paraId="646F6D2E" w14:textId="77777777" w:rsidR="009864DB" w:rsidRPr="004D46AC" w:rsidRDefault="009864DB" w:rsidP="009864DB">
            <w:pPr>
              <w:spacing w:line="240" w:lineRule="auto"/>
              <w:ind w:firstLine="0"/>
            </w:pPr>
            <w:r w:rsidRPr="004D46AC">
              <w:t>1</w:t>
            </w:r>
          </w:p>
        </w:tc>
        <w:tc>
          <w:tcPr>
            <w:tcW w:w="752" w:type="dxa"/>
            <w:vAlign w:val="center"/>
          </w:tcPr>
          <w:p w14:paraId="21BC760C" w14:textId="77777777" w:rsidR="009864DB" w:rsidRPr="004D46AC" w:rsidRDefault="009864DB" w:rsidP="009864DB">
            <w:pPr>
              <w:spacing w:line="240" w:lineRule="auto"/>
              <w:ind w:firstLine="0"/>
            </w:pPr>
            <w:r w:rsidRPr="004D46AC">
              <w:t>0</w:t>
            </w:r>
          </w:p>
        </w:tc>
        <w:tc>
          <w:tcPr>
            <w:tcW w:w="1296" w:type="dxa"/>
          </w:tcPr>
          <w:p w14:paraId="56097942" w14:textId="77777777" w:rsidR="009864DB" w:rsidRPr="004D46AC" w:rsidRDefault="009864DB" w:rsidP="009864DB">
            <w:pPr>
              <w:spacing w:line="240" w:lineRule="auto"/>
              <w:ind w:firstLine="0"/>
            </w:pPr>
            <w:r w:rsidRPr="004D46AC">
              <w:t>621</w:t>
            </w:r>
          </w:p>
        </w:tc>
        <w:tc>
          <w:tcPr>
            <w:tcW w:w="752" w:type="dxa"/>
            <w:vAlign w:val="center"/>
          </w:tcPr>
          <w:p w14:paraId="447DBD15" w14:textId="77777777" w:rsidR="009864DB" w:rsidRPr="004D46AC" w:rsidRDefault="009864DB" w:rsidP="009864DB">
            <w:pPr>
              <w:spacing w:line="240" w:lineRule="auto"/>
              <w:ind w:firstLine="0"/>
            </w:pPr>
            <w:r w:rsidRPr="004D46AC">
              <w:t>NA</w:t>
            </w:r>
          </w:p>
        </w:tc>
        <w:tc>
          <w:tcPr>
            <w:tcW w:w="789" w:type="dxa"/>
            <w:gridSpan w:val="2"/>
            <w:vAlign w:val="center"/>
          </w:tcPr>
          <w:p w14:paraId="26CB9BE2" w14:textId="77777777" w:rsidR="009864DB" w:rsidRPr="004D46AC" w:rsidRDefault="009864DB" w:rsidP="009864DB">
            <w:pPr>
              <w:spacing w:line="240" w:lineRule="auto"/>
              <w:ind w:firstLine="0"/>
            </w:pPr>
            <w:r w:rsidRPr="004D46AC">
              <w:t>NA</w:t>
            </w:r>
          </w:p>
        </w:tc>
      </w:tr>
      <w:tr w:rsidR="009864DB" w:rsidRPr="004D46AC" w14:paraId="582A129B" w14:textId="77777777" w:rsidTr="00B518F1">
        <w:tc>
          <w:tcPr>
            <w:tcW w:w="1476" w:type="dxa"/>
          </w:tcPr>
          <w:p w14:paraId="526EED76" w14:textId="77777777" w:rsidR="009864DB" w:rsidRPr="004D46AC" w:rsidRDefault="009864DB" w:rsidP="009864DB">
            <w:pPr>
              <w:spacing w:line="240" w:lineRule="auto"/>
              <w:ind w:firstLine="0"/>
            </w:pPr>
            <w:r w:rsidRPr="004D46AC">
              <w:fldChar w:fldCharType="begin">
                <w:fldData xml:space="preserve">PEVuZE5vdGU+PENpdGUgQXV0aG9yWWVhcj0iMSI+PEF1dGhvcj5Tem11bGV3aWN6PC9BdXRob3I+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</w:fldData>
              </w:fldChar>
            </w:r>
            <w:r w:rsidRPr="004D46AC">
              <w:instrText xml:space="preserve"> ADDIN EN.CITE </w:instrText>
            </w:r>
            <w:r w:rsidRPr="004D46AC">
              <w:fldChar w:fldCharType="begin">
                <w:fldData xml:space="preserve">PEVuZE5vdGU+PENpdGUgQXV0aG9yWWVhcj0iMSI+PEF1dGhvcj5Tem11bGV3aWN6PC9BdXRob3I+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</w:fldData>
              </w:fldChar>
            </w:r>
            <w:r w:rsidRPr="004D46AC">
              <w:instrText xml:space="preserve"> ADDIN EN.CITE.DATA </w:instrText>
            </w:r>
            <w:r w:rsidRPr="004D46AC">
              <w:fldChar w:fldCharType="end"/>
            </w:r>
            <w:r w:rsidRPr="004D46AC">
              <w:fldChar w:fldCharType="separate"/>
            </w:r>
            <w:r w:rsidRPr="004D46AC">
              <w:t>Szmulewicz et al. (2020)</w:t>
            </w:r>
            <w:r w:rsidRPr="004D46AC">
              <w:fldChar w:fldCharType="end"/>
            </w:r>
          </w:p>
        </w:tc>
        <w:tc>
          <w:tcPr>
            <w:tcW w:w="754" w:type="dxa"/>
            <w:vAlign w:val="center"/>
          </w:tcPr>
          <w:p w14:paraId="0498A3F5" w14:textId="77777777" w:rsidR="009864DB" w:rsidRPr="004D46AC" w:rsidRDefault="009864DB" w:rsidP="009864DB">
            <w:pPr>
              <w:spacing w:line="240" w:lineRule="auto"/>
              <w:ind w:firstLine="0"/>
            </w:pPr>
            <w:r w:rsidRPr="004D46AC">
              <w:t>5</w:t>
            </w:r>
          </w:p>
        </w:tc>
        <w:tc>
          <w:tcPr>
            <w:tcW w:w="766" w:type="dxa"/>
            <w:vAlign w:val="center"/>
          </w:tcPr>
          <w:p w14:paraId="6ED6AA8B" w14:textId="77777777" w:rsidR="009864DB" w:rsidRPr="004D46AC" w:rsidRDefault="009864DB" w:rsidP="009864DB">
            <w:pPr>
              <w:spacing w:line="240" w:lineRule="auto"/>
              <w:ind w:firstLine="0"/>
            </w:pPr>
            <w:r w:rsidRPr="004D46AC">
              <w:t>44.1</w:t>
            </w:r>
          </w:p>
        </w:tc>
        <w:tc>
          <w:tcPr>
            <w:tcW w:w="1096" w:type="dxa"/>
            <w:vAlign w:val="center"/>
          </w:tcPr>
          <w:p w14:paraId="3C598DB5" w14:textId="77777777" w:rsidR="009864DB" w:rsidRPr="004D46AC" w:rsidRDefault="009864DB" w:rsidP="009864DB">
            <w:pPr>
              <w:spacing w:line="240" w:lineRule="auto"/>
              <w:ind w:firstLine="0"/>
            </w:pPr>
            <w:r w:rsidRPr="004D46AC">
              <w:t>DSM4</w:t>
            </w:r>
          </w:p>
        </w:tc>
        <w:tc>
          <w:tcPr>
            <w:tcW w:w="1415" w:type="dxa"/>
            <w:vAlign w:val="center"/>
          </w:tcPr>
          <w:p w14:paraId="529E324B" w14:textId="77777777" w:rsidR="009864DB" w:rsidRPr="004D46AC" w:rsidRDefault="009864DB" w:rsidP="009864DB">
            <w:pPr>
              <w:spacing w:line="240" w:lineRule="auto"/>
              <w:ind w:firstLine="0"/>
            </w:pPr>
            <w:r w:rsidRPr="004D46AC">
              <w:t>SCID</w:t>
            </w:r>
          </w:p>
        </w:tc>
        <w:tc>
          <w:tcPr>
            <w:tcW w:w="876" w:type="dxa"/>
            <w:vAlign w:val="center"/>
          </w:tcPr>
          <w:p w14:paraId="19FC4369" w14:textId="77777777" w:rsidR="009864DB" w:rsidRPr="004D46AC" w:rsidRDefault="009864DB" w:rsidP="009864DB">
            <w:pPr>
              <w:spacing w:line="240" w:lineRule="auto"/>
              <w:ind w:firstLine="0"/>
            </w:pPr>
            <w:r w:rsidRPr="004D46AC">
              <w:t>212</w:t>
            </w:r>
          </w:p>
        </w:tc>
        <w:tc>
          <w:tcPr>
            <w:tcW w:w="986" w:type="dxa"/>
            <w:vAlign w:val="center"/>
          </w:tcPr>
          <w:p w14:paraId="7DB2D6A7" w14:textId="77777777" w:rsidR="009864DB" w:rsidRPr="004D46AC" w:rsidRDefault="009864DB" w:rsidP="009864DB">
            <w:pPr>
              <w:spacing w:line="240" w:lineRule="auto"/>
              <w:ind w:firstLine="0"/>
            </w:pPr>
            <w:r w:rsidRPr="004D46AC">
              <w:t>unclear</w:t>
            </w:r>
          </w:p>
        </w:tc>
        <w:tc>
          <w:tcPr>
            <w:tcW w:w="751" w:type="dxa"/>
            <w:vAlign w:val="center"/>
          </w:tcPr>
          <w:p w14:paraId="50E1B7C2" w14:textId="77777777" w:rsidR="009864DB" w:rsidRPr="004D46AC" w:rsidRDefault="009864DB" w:rsidP="009864DB">
            <w:pPr>
              <w:spacing w:line="240" w:lineRule="auto"/>
              <w:ind w:firstLine="0"/>
            </w:pPr>
            <w:r w:rsidRPr="004D46AC">
              <w:t>1</w:t>
            </w:r>
          </w:p>
        </w:tc>
        <w:tc>
          <w:tcPr>
            <w:tcW w:w="752" w:type="dxa"/>
            <w:vAlign w:val="center"/>
          </w:tcPr>
          <w:p w14:paraId="7E536750" w14:textId="77777777" w:rsidR="009864DB" w:rsidRPr="004D46AC" w:rsidRDefault="009864DB" w:rsidP="009864DB">
            <w:pPr>
              <w:spacing w:line="240" w:lineRule="auto"/>
              <w:ind w:firstLine="0"/>
            </w:pPr>
            <w:r w:rsidRPr="004D46AC">
              <w:t>2</w:t>
            </w:r>
          </w:p>
        </w:tc>
        <w:tc>
          <w:tcPr>
            <w:tcW w:w="1296" w:type="dxa"/>
            <w:vAlign w:val="center"/>
          </w:tcPr>
          <w:p w14:paraId="60AF6019" w14:textId="77777777" w:rsidR="009864DB" w:rsidRPr="004D46AC" w:rsidRDefault="009864DB" w:rsidP="009864DB">
            <w:pPr>
              <w:spacing w:line="240" w:lineRule="auto"/>
              <w:ind w:firstLine="0"/>
            </w:pPr>
            <w:r w:rsidRPr="004D46AC">
              <w:t>87</w:t>
            </w:r>
          </w:p>
        </w:tc>
        <w:tc>
          <w:tcPr>
            <w:tcW w:w="752" w:type="dxa"/>
            <w:vAlign w:val="center"/>
          </w:tcPr>
          <w:p w14:paraId="4306789F" w14:textId="77777777" w:rsidR="009864DB" w:rsidRPr="004D46AC" w:rsidRDefault="009864DB" w:rsidP="009864DB">
            <w:pPr>
              <w:spacing w:line="240" w:lineRule="auto"/>
              <w:ind w:firstLine="0"/>
            </w:pPr>
            <w:r w:rsidRPr="004D46AC">
              <w:t>NA</w:t>
            </w:r>
          </w:p>
        </w:tc>
        <w:tc>
          <w:tcPr>
            <w:tcW w:w="789" w:type="dxa"/>
            <w:gridSpan w:val="2"/>
            <w:vAlign w:val="center"/>
          </w:tcPr>
          <w:p w14:paraId="6A4E47EC" w14:textId="77777777" w:rsidR="009864DB" w:rsidRPr="004D46AC" w:rsidRDefault="009864DB" w:rsidP="009864DB">
            <w:pPr>
              <w:spacing w:line="240" w:lineRule="auto"/>
              <w:ind w:firstLine="0"/>
            </w:pPr>
            <w:r w:rsidRPr="004D46AC">
              <w:t>NA</w:t>
            </w:r>
          </w:p>
        </w:tc>
      </w:tr>
      <w:tr w:rsidR="009864DB" w:rsidRPr="004D46AC" w14:paraId="08FA149B" w14:textId="77777777" w:rsidTr="00B518F1">
        <w:tc>
          <w:tcPr>
            <w:tcW w:w="1476" w:type="dxa"/>
          </w:tcPr>
          <w:p w14:paraId="6118B766"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AuthorYear="1"&gt;&lt;Author&gt;Lloyd&lt;/Author&gt;&lt;Year&gt;2005&lt;/Year&gt;&lt;RecNum&gt;191&lt;/RecNum&gt;&lt;DisplayText&gt;Lloyd et al. (2005)&lt;/DisplayText&gt;&lt;record&gt;&lt;rec-number&gt;191&lt;/rec-number&gt;&lt;foreign-keys&gt;&lt;key app="EN" db-id="aet009sstawa0hewvt3xwf5atffdw2dt02sw" timestamp="1665906614"&gt;191&lt;/key&gt;&lt;/foreign-keys&gt;&lt;ref-type name="Journal Article"&gt;17&lt;/ref-type&gt;&lt;contributors&gt;&lt;authors&gt;&lt;author&gt;Lloyd, T.&lt;/author&gt;&lt;author&gt;Kennedy, N.&lt;/author&gt;&lt;author&gt;Fearon, P.&lt;/author&gt;&lt;author&gt;Kirkbride, J.&lt;/author&gt;&lt;author&gt;Mallett, R.&lt;/author&gt;&lt;author&gt;Leff, J.&lt;/author&gt;&lt;author&gt;Holloway, J.&lt;/author&gt;&lt;author&gt;Harrison, G.&lt;/author&gt;&lt;author&gt;Dazzan, P.&lt;/author&gt;&lt;author&gt;Morgan, K.&lt;/author&gt;&lt;author&gt;Murray, R. M.&lt;/author&gt;&lt;author&gt;Jones, P. B.&lt;/author&gt;&lt;author&gt;Aesop study team&lt;/author&gt;&lt;/authors&gt;&lt;/contributors&gt;&lt;auth-address&gt;Division of Psychiatry, University of Nottingham, Nottingham, UK. Tuhina.Lloyd@nottingham.ac.uk&lt;/auth-address&gt;&lt;titles&gt;&lt;title&gt;Incidence of bipolar affective disorder in three UK cities: results from the AESOP study&lt;/title&gt;&lt;secondary-title&gt;Br J Psychiatry&lt;/secondary-title&gt;&lt;/titles&gt;&lt;periodical&gt;&lt;full-title&gt;Br J Psychiatry&lt;/full-title&gt;&lt;/periodical&gt;&lt;pages&gt;126-31&lt;/pages&gt;&lt;volume&gt;186&lt;/volume&gt;&lt;keywords&gt;&lt;keyword&gt;Adolescent&lt;/keyword&gt;&lt;keyword&gt;Adult&lt;/keyword&gt;&lt;keyword&gt;Bipolar Disorder/*epidemiology/ethnology&lt;/keyword&gt;&lt;keyword&gt;England/epidemiology&lt;/keyword&gt;&lt;keyword&gt;Female&lt;/keyword&gt;&lt;keyword&gt;Humans&lt;/keyword&gt;&lt;keyword&gt;Incidence&lt;/keyword&gt;&lt;keyword&gt;Male&lt;/keyword&gt;&lt;keyword&gt;Middle Aged&lt;/keyword&gt;&lt;keyword&gt;Risk Factors&lt;/keyword&gt;&lt;/keywords&gt;&lt;dates&gt;&lt;year&gt;2005&lt;/year&gt;&lt;pub-dates&gt;&lt;date&gt;Feb&lt;/date&gt;&lt;/pub-dates&gt;&lt;/dates&gt;&lt;isbn&gt;0007-1250 (Print)&amp;#xD;0007-1250 (Linking)&lt;/isbn&gt;&lt;accession-num&gt;15684235&lt;/accession-num&gt;&lt;urls&gt;&lt;related-urls&gt;&lt;url&gt;https://www.ncbi.nlm.nih.gov/pubmed/15684235&lt;/url&gt;&lt;/related-urls&gt;&lt;/urls&gt;&lt;electronic-resource-num&gt;10.1192/bjp.186.2.126&lt;/electronic-resource-num&gt;&lt;remote-database-name&gt;Medline&lt;/remote-database-name&gt;&lt;remote-database-provider&gt;NLM&lt;/remote-database-provider&gt;&lt;language&gt;eng&lt;/language&gt;&lt;/record&gt;&lt;/Cite&gt;&lt;/EndNote&gt;</w:instrText>
            </w:r>
            <w:r w:rsidRPr="004D46AC">
              <w:fldChar w:fldCharType="separate"/>
            </w:r>
            <w:r w:rsidRPr="004D46AC">
              <w:t>Lloyd et al. (2005)</w:t>
            </w:r>
            <w:r w:rsidRPr="004D46AC">
              <w:fldChar w:fldCharType="end"/>
            </w:r>
          </w:p>
        </w:tc>
        <w:tc>
          <w:tcPr>
            <w:tcW w:w="754" w:type="dxa"/>
            <w:vAlign w:val="center"/>
          </w:tcPr>
          <w:p w14:paraId="0C409DE6" w14:textId="77777777" w:rsidR="009864DB" w:rsidRPr="004D46AC" w:rsidRDefault="009864DB" w:rsidP="009864DB">
            <w:pPr>
              <w:spacing w:line="240" w:lineRule="auto"/>
              <w:ind w:firstLine="0"/>
            </w:pPr>
            <w:r w:rsidRPr="004D46AC">
              <w:t>4</w:t>
            </w:r>
          </w:p>
        </w:tc>
        <w:tc>
          <w:tcPr>
            <w:tcW w:w="766" w:type="dxa"/>
            <w:vAlign w:val="center"/>
          </w:tcPr>
          <w:p w14:paraId="25F62BDD" w14:textId="77777777" w:rsidR="009864DB" w:rsidRPr="004D46AC" w:rsidRDefault="009864DB" w:rsidP="009864DB">
            <w:pPr>
              <w:spacing w:line="240" w:lineRule="auto"/>
              <w:ind w:firstLine="0"/>
            </w:pPr>
            <w:r w:rsidRPr="004D46AC">
              <w:t>NA</w:t>
            </w:r>
          </w:p>
        </w:tc>
        <w:tc>
          <w:tcPr>
            <w:tcW w:w="1096" w:type="dxa"/>
            <w:vAlign w:val="center"/>
          </w:tcPr>
          <w:p w14:paraId="6FFD96AC" w14:textId="77777777" w:rsidR="009864DB" w:rsidRPr="004D46AC" w:rsidRDefault="009864DB" w:rsidP="009864DB">
            <w:pPr>
              <w:spacing w:line="240" w:lineRule="auto"/>
              <w:ind w:firstLine="0"/>
            </w:pPr>
            <w:r w:rsidRPr="004D46AC">
              <w:t>ICD10</w:t>
            </w:r>
          </w:p>
        </w:tc>
        <w:tc>
          <w:tcPr>
            <w:tcW w:w="1415" w:type="dxa"/>
            <w:vAlign w:val="center"/>
          </w:tcPr>
          <w:p w14:paraId="6E8A3912" w14:textId="77777777" w:rsidR="009864DB" w:rsidRPr="004D46AC" w:rsidRDefault="009864DB" w:rsidP="009864DB">
            <w:pPr>
              <w:spacing w:line="240" w:lineRule="auto"/>
              <w:ind w:firstLine="0"/>
            </w:pPr>
            <w:r w:rsidRPr="004D46AC">
              <w:t>SCAN</w:t>
            </w:r>
          </w:p>
        </w:tc>
        <w:tc>
          <w:tcPr>
            <w:tcW w:w="876" w:type="dxa"/>
            <w:vAlign w:val="center"/>
          </w:tcPr>
          <w:p w14:paraId="47BC59A8" w14:textId="77777777" w:rsidR="009864DB" w:rsidRPr="004D46AC" w:rsidRDefault="009864DB" w:rsidP="009864DB">
            <w:pPr>
              <w:spacing w:line="240" w:lineRule="auto"/>
              <w:ind w:firstLine="0"/>
            </w:pPr>
            <w:r w:rsidRPr="004D46AC">
              <w:t>75</w:t>
            </w:r>
          </w:p>
        </w:tc>
        <w:tc>
          <w:tcPr>
            <w:tcW w:w="986" w:type="dxa"/>
            <w:vAlign w:val="center"/>
          </w:tcPr>
          <w:p w14:paraId="1FC84E16" w14:textId="77777777" w:rsidR="009864DB" w:rsidRPr="004D46AC" w:rsidRDefault="009864DB" w:rsidP="009864DB">
            <w:pPr>
              <w:spacing w:line="240" w:lineRule="auto"/>
              <w:ind w:firstLine="0"/>
            </w:pPr>
            <w:r w:rsidRPr="004D46AC">
              <w:t>2</w:t>
            </w:r>
          </w:p>
        </w:tc>
        <w:tc>
          <w:tcPr>
            <w:tcW w:w="751" w:type="dxa"/>
            <w:vAlign w:val="center"/>
          </w:tcPr>
          <w:p w14:paraId="6268637A" w14:textId="77777777" w:rsidR="009864DB" w:rsidRPr="004D46AC" w:rsidRDefault="009864DB" w:rsidP="009864DB">
            <w:pPr>
              <w:spacing w:line="240" w:lineRule="auto"/>
              <w:ind w:firstLine="0"/>
            </w:pPr>
            <w:r w:rsidRPr="004D46AC">
              <w:t>1</w:t>
            </w:r>
          </w:p>
        </w:tc>
        <w:tc>
          <w:tcPr>
            <w:tcW w:w="752" w:type="dxa"/>
            <w:vAlign w:val="center"/>
          </w:tcPr>
          <w:p w14:paraId="59BD3615" w14:textId="77777777" w:rsidR="009864DB" w:rsidRPr="004D46AC" w:rsidRDefault="009864DB" w:rsidP="009864DB">
            <w:pPr>
              <w:spacing w:line="240" w:lineRule="auto"/>
              <w:ind w:firstLine="0"/>
            </w:pPr>
            <w:r w:rsidRPr="004D46AC">
              <w:t>2</w:t>
            </w:r>
          </w:p>
        </w:tc>
        <w:tc>
          <w:tcPr>
            <w:tcW w:w="1296" w:type="dxa"/>
            <w:vAlign w:val="center"/>
          </w:tcPr>
          <w:p w14:paraId="4AD099A5" w14:textId="77777777" w:rsidR="009864DB" w:rsidRPr="004D46AC" w:rsidRDefault="009864DB" w:rsidP="009864DB">
            <w:pPr>
              <w:spacing w:line="240" w:lineRule="auto"/>
              <w:ind w:firstLine="0"/>
            </w:pPr>
            <w:r w:rsidRPr="004D46AC">
              <w:t>47</w:t>
            </w:r>
          </w:p>
        </w:tc>
        <w:tc>
          <w:tcPr>
            <w:tcW w:w="752" w:type="dxa"/>
            <w:vAlign w:val="center"/>
          </w:tcPr>
          <w:p w14:paraId="3FA33CDD" w14:textId="77777777" w:rsidR="009864DB" w:rsidRPr="004D46AC" w:rsidRDefault="009864DB" w:rsidP="009864DB">
            <w:pPr>
              <w:spacing w:line="240" w:lineRule="auto"/>
              <w:ind w:firstLine="0"/>
            </w:pPr>
            <w:r w:rsidRPr="004D46AC">
              <w:t>NA</w:t>
            </w:r>
          </w:p>
        </w:tc>
        <w:tc>
          <w:tcPr>
            <w:tcW w:w="789" w:type="dxa"/>
            <w:gridSpan w:val="2"/>
            <w:vAlign w:val="center"/>
          </w:tcPr>
          <w:p w14:paraId="7462AFAA" w14:textId="77777777" w:rsidR="009864DB" w:rsidRPr="004D46AC" w:rsidRDefault="009864DB" w:rsidP="009864DB">
            <w:pPr>
              <w:spacing w:line="240" w:lineRule="auto"/>
              <w:ind w:firstLine="0"/>
            </w:pPr>
            <w:r w:rsidRPr="004D46AC">
              <w:t>NA</w:t>
            </w:r>
          </w:p>
        </w:tc>
      </w:tr>
      <w:tr w:rsidR="009864DB" w:rsidRPr="004D46AC" w14:paraId="3180612E" w14:textId="77777777" w:rsidTr="00B518F1">
        <w:tc>
          <w:tcPr>
            <w:tcW w:w="1476" w:type="dxa"/>
          </w:tcPr>
          <w:p w14:paraId="7CF53DEB" w14:textId="77777777" w:rsidR="009864DB" w:rsidRPr="004D46AC" w:rsidRDefault="009864DB" w:rsidP="009864DB">
            <w:pPr>
              <w:spacing w:line="240" w:lineRule="auto"/>
              <w:ind w:firstLine="0"/>
            </w:pPr>
            <w:r w:rsidRPr="004D46AC">
              <w:fldChar w:fldCharType="begin">
                <w:fldData xml:space="preserve">PEVuZE5vdGU+PENpdGUgQXV0aG9yWWVhcj0iMSI+PEF1dGhvcj5BbnlheW88L0F1dGhvcj48WWVh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</w:fldData>
              </w:fldChar>
            </w:r>
            <w:r w:rsidRPr="004D46AC">
              <w:instrText xml:space="preserve"> ADDIN EN.CITE </w:instrText>
            </w:r>
            <w:r w:rsidRPr="004D46AC">
              <w:fldChar w:fldCharType="begin">
                <w:fldData xml:space="preserve">PEVuZE5vdGU+PENpdGUgQXV0aG9yWWVhcj0iMSI+PEF1dGhvcj5BbnlheW88L0F1dGhvcj48WWVh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</w:fldData>
              </w:fldChar>
            </w:r>
            <w:r w:rsidRPr="004D46AC">
              <w:instrText xml:space="preserve"> ADDIN EN.CITE.DATA </w:instrText>
            </w:r>
            <w:r w:rsidRPr="004D46AC">
              <w:fldChar w:fldCharType="end"/>
            </w:r>
            <w:r w:rsidRPr="004D46AC">
              <w:fldChar w:fldCharType="separate"/>
            </w:r>
            <w:r w:rsidRPr="004D46AC">
              <w:t>Anyayo et al. (2021)</w:t>
            </w:r>
            <w:r w:rsidRPr="004D46AC">
              <w:fldChar w:fldCharType="end"/>
            </w:r>
          </w:p>
        </w:tc>
        <w:tc>
          <w:tcPr>
            <w:tcW w:w="754" w:type="dxa"/>
            <w:vAlign w:val="center"/>
          </w:tcPr>
          <w:p w14:paraId="675568BD" w14:textId="77777777" w:rsidR="009864DB" w:rsidRPr="004D46AC" w:rsidRDefault="009864DB" w:rsidP="009864DB">
            <w:pPr>
              <w:spacing w:line="240" w:lineRule="auto"/>
              <w:ind w:firstLine="0"/>
            </w:pPr>
            <w:r w:rsidRPr="004D46AC">
              <w:t>5</w:t>
            </w:r>
          </w:p>
        </w:tc>
        <w:tc>
          <w:tcPr>
            <w:tcW w:w="766" w:type="dxa"/>
            <w:vAlign w:val="center"/>
          </w:tcPr>
          <w:p w14:paraId="52A00AFA" w14:textId="77777777" w:rsidR="009864DB" w:rsidRPr="004D46AC" w:rsidRDefault="009864DB" w:rsidP="009864DB">
            <w:pPr>
              <w:spacing w:line="240" w:lineRule="auto"/>
              <w:ind w:firstLine="0"/>
            </w:pPr>
            <w:r w:rsidRPr="004D46AC">
              <w:t>37.2</w:t>
            </w:r>
          </w:p>
        </w:tc>
        <w:tc>
          <w:tcPr>
            <w:tcW w:w="1096" w:type="dxa"/>
            <w:vAlign w:val="center"/>
          </w:tcPr>
          <w:p w14:paraId="60D1FD5F" w14:textId="77777777" w:rsidR="009864DB" w:rsidRPr="004D46AC" w:rsidRDefault="009864DB" w:rsidP="009864DB">
            <w:pPr>
              <w:spacing w:line="240" w:lineRule="auto"/>
              <w:ind w:firstLine="0"/>
            </w:pPr>
            <w:r w:rsidRPr="004D46AC">
              <w:t>unclear</w:t>
            </w:r>
          </w:p>
        </w:tc>
        <w:tc>
          <w:tcPr>
            <w:tcW w:w="1415" w:type="dxa"/>
            <w:vAlign w:val="center"/>
          </w:tcPr>
          <w:p w14:paraId="72F21C92" w14:textId="77777777" w:rsidR="009864DB" w:rsidRPr="004D46AC" w:rsidRDefault="009864DB" w:rsidP="009864DB">
            <w:pPr>
              <w:spacing w:line="240" w:lineRule="auto"/>
              <w:ind w:firstLine="0"/>
            </w:pPr>
            <w:r w:rsidRPr="004D46AC">
              <w:t>unclear</w:t>
            </w:r>
          </w:p>
        </w:tc>
        <w:tc>
          <w:tcPr>
            <w:tcW w:w="876" w:type="dxa"/>
            <w:vAlign w:val="center"/>
          </w:tcPr>
          <w:p w14:paraId="4D3EFEEE" w14:textId="77777777" w:rsidR="009864DB" w:rsidRPr="004D46AC" w:rsidRDefault="009864DB" w:rsidP="009864DB">
            <w:pPr>
              <w:spacing w:line="240" w:lineRule="auto"/>
              <w:ind w:firstLine="0"/>
            </w:pPr>
            <w:r w:rsidRPr="004D46AC">
              <w:t>169</w:t>
            </w:r>
          </w:p>
        </w:tc>
        <w:tc>
          <w:tcPr>
            <w:tcW w:w="986" w:type="dxa"/>
            <w:vAlign w:val="center"/>
          </w:tcPr>
          <w:p w14:paraId="04C6CDE7" w14:textId="77777777" w:rsidR="009864DB" w:rsidRPr="004D46AC" w:rsidRDefault="009864DB" w:rsidP="009864DB">
            <w:pPr>
              <w:spacing w:line="240" w:lineRule="auto"/>
              <w:ind w:firstLine="0"/>
            </w:pPr>
            <w:r w:rsidRPr="004D46AC">
              <w:t>1</w:t>
            </w:r>
          </w:p>
        </w:tc>
        <w:tc>
          <w:tcPr>
            <w:tcW w:w="751" w:type="dxa"/>
            <w:vAlign w:val="center"/>
          </w:tcPr>
          <w:p w14:paraId="59D5B770" w14:textId="77777777" w:rsidR="009864DB" w:rsidRPr="004D46AC" w:rsidRDefault="009864DB" w:rsidP="009864DB">
            <w:pPr>
              <w:spacing w:line="240" w:lineRule="auto"/>
              <w:ind w:firstLine="0"/>
            </w:pPr>
            <w:r w:rsidRPr="004D46AC">
              <w:t>1</w:t>
            </w:r>
          </w:p>
        </w:tc>
        <w:tc>
          <w:tcPr>
            <w:tcW w:w="752" w:type="dxa"/>
            <w:vAlign w:val="center"/>
          </w:tcPr>
          <w:p w14:paraId="76EB1714" w14:textId="77777777" w:rsidR="009864DB" w:rsidRPr="004D46AC" w:rsidRDefault="009864DB" w:rsidP="009864DB">
            <w:pPr>
              <w:spacing w:line="240" w:lineRule="auto"/>
              <w:ind w:firstLine="0"/>
            </w:pPr>
            <w:r w:rsidRPr="004D46AC">
              <w:t>2</w:t>
            </w:r>
          </w:p>
        </w:tc>
        <w:tc>
          <w:tcPr>
            <w:tcW w:w="1296" w:type="dxa"/>
            <w:vAlign w:val="center"/>
          </w:tcPr>
          <w:p w14:paraId="33E160D7" w14:textId="77777777" w:rsidR="009864DB" w:rsidRPr="004D46AC" w:rsidRDefault="009864DB" w:rsidP="009864DB">
            <w:pPr>
              <w:spacing w:line="240" w:lineRule="auto"/>
              <w:ind w:firstLine="0"/>
            </w:pPr>
            <w:r w:rsidRPr="004D46AC">
              <w:t>89</w:t>
            </w:r>
          </w:p>
        </w:tc>
        <w:tc>
          <w:tcPr>
            <w:tcW w:w="752" w:type="dxa"/>
            <w:vAlign w:val="center"/>
          </w:tcPr>
          <w:p w14:paraId="684CD445" w14:textId="77777777" w:rsidR="009864DB" w:rsidRPr="004D46AC" w:rsidRDefault="009864DB" w:rsidP="009864DB">
            <w:pPr>
              <w:spacing w:line="240" w:lineRule="auto"/>
              <w:ind w:firstLine="0"/>
            </w:pPr>
            <w:r w:rsidRPr="004D46AC">
              <w:t>NA</w:t>
            </w:r>
          </w:p>
        </w:tc>
        <w:tc>
          <w:tcPr>
            <w:tcW w:w="789" w:type="dxa"/>
            <w:gridSpan w:val="2"/>
            <w:vAlign w:val="center"/>
          </w:tcPr>
          <w:p w14:paraId="667855CC" w14:textId="77777777" w:rsidR="009864DB" w:rsidRPr="004D46AC" w:rsidRDefault="009864DB" w:rsidP="009864DB">
            <w:pPr>
              <w:spacing w:line="240" w:lineRule="auto"/>
              <w:ind w:firstLine="0"/>
            </w:pPr>
            <w:r w:rsidRPr="004D46AC">
              <w:t>NA</w:t>
            </w:r>
          </w:p>
        </w:tc>
      </w:tr>
      <w:tr w:rsidR="009864DB" w:rsidRPr="004D46AC" w14:paraId="4FA2EC75" w14:textId="77777777" w:rsidTr="00B518F1">
        <w:tc>
          <w:tcPr>
            <w:tcW w:w="1476" w:type="dxa"/>
          </w:tcPr>
          <w:p w14:paraId="251CF508"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AuthorYear="1"&gt;&lt;Author&gt;Strakowski&lt;/Author&gt;&lt;Year&gt;2000&lt;/Year&gt;&lt;RecNum&gt;193&lt;/RecNum&gt;&lt;DisplayText&gt;Strakowski et al. (2000)&lt;/DisplayText&gt;&lt;record&gt;&lt;rec-number&gt;193&lt;/rec-number&gt;&lt;foreign-keys&gt;&lt;key app="EN" db-id="aet009sstawa0hewvt3xwf5atffdw2dt02sw" timestamp="1665908318"&gt;193&lt;/key&gt;&lt;/foreign-keys&gt;&lt;ref-type name="Journal Article"&gt;17&lt;/ref-type&gt;&lt;contributors&gt;&lt;authors&gt;&lt;author&gt;Strakowski, S. M.&lt;/author&gt;&lt;author&gt;Williams, J. R.&lt;/author&gt;&lt;author&gt;Sax, K. W.&lt;/author&gt;&lt;author&gt;Fleck, D. E.&lt;/author&gt;&lt;author&gt;DelBello, M. P.&lt;/author&gt;&lt;author&gt;Bourne, M. L.&lt;/author&gt;&lt;/authors&gt;&lt;/contributors&gt;&lt;auth-address&gt;Bipolar and Psychotic Disorders Research Program, Department of Psychiatry, University of Cincinnati College of Medicine, 45267-0559, Cincinnati, OH, USA. strakosm@email.uc.edu&lt;/auth-address&gt;&lt;titles&gt;&lt;title&gt;Is impaired outcome following a first manic episode due to mood-incongruent psychosis?&lt;/title&gt;&lt;secondary-title&gt;J Affect Disord&lt;/secondary-title&gt;&lt;/titles&gt;&lt;periodical&gt;&lt;full-title&gt;J Affect Disord&lt;/full-title&gt;&lt;/periodical&gt;&lt;pages&gt;87-94&lt;/pages&gt;&lt;volume&gt;61&lt;/volume&gt;&lt;number&gt;1-2&lt;/number&gt;&lt;keywords&gt;&lt;keyword&gt;Adolescent&lt;/keyword&gt;&lt;keyword&gt;Adult&lt;/keyword&gt;&lt;keyword&gt;Bipolar Disorder/complications/*diagnosis/therapy&lt;/keyword&gt;&lt;keyword&gt;Female&lt;/keyword&gt;&lt;keyword&gt;Follow-Up Studies&lt;/keyword&gt;&lt;keyword&gt;Humans&lt;/keyword&gt;&lt;keyword&gt;Male&lt;/keyword&gt;&lt;keyword&gt;Middle Aged&lt;/keyword&gt;&lt;keyword&gt;Psychiatric Status Rating Scales&lt;/keyword&gt;&lt;keyword&gt;Psychotic Disorders/complications/*diagnosis/therapy&lt;/keyword&gt;&lt;keyword&gt;Treatment Outcome&lt;/keyword&gt;&lt;/keywords&gt;&lt;dates&gt;&lt;year&gt;2000&lt;/year&gt;&lt;pub-dates&gt;&lt;date&gt;Dec&lt;/date&gt;&lt;/pub-dates&gt;&lt;/dates&gt;&lt;isbn&gt;0165-0327 (Print)&amp;#xD;0165-0327 (Linking)&lt;/isbn&gt;&lt;accession-num&gt;11099745&lt;/accession-num&gt;&lt;urls&gt;&lt;related-urls&gt;&lt;url&gt;https://www.ncbi.nlm.nih.gov/pubmed/11099745&lt;/url&gt;&lt;/related-urls&gt;&lt;/urls&gt;&lt;electronic-resource-num&gt;10.1016/s0165-0327(99)00192-5&lt;/electronic-resource-num&gt;&lt;remote-database-name&gt;Medline&lt;/remote-database-name&gt;&lt;remote-database-provider&gt;NLM&lt;/remote-database-provider&gt;&lt;language&gt;eng&lt;/language&gt;&lt;/record&gt;&lt;/Cite&gt;&lt;/EndNote&gt;</w:instrText>
            </w:r>
            <w:r w:rsidRPr="004D46AC">
              <w:fldChar w:fldCharType="separate"/>
            </w:r>
            <w:r w:rsidRPr="004D46AC">
              <w:t>Strakowski et al. (2000)</w:t>
            </w:r>
            <w:r w:rsidRPr="004D46AC">
              <w:fldChar w:fldCharType="end"/>
            </w:r>
          </w:p>
        </w:tc>
        <w:tc>
          <w:tcPr>
            <w:tcW w:w="754" w:type="dxa"/>
            <w:vAlign w:val="center"/>
          </w:tcPr>
          <w:p w14:paraId="62F10D25" w14:textId="77777777" w:rsidR="009864DB" w:rsidRPr="004D46AC" w:rsidRDefault="009864DB" w:rsidP="009864DB">
            <w:pPr>
              <w:spacing w:line="240" w:lineRule="auto"/>
              <w:ind w:firstLine="0"/>
            </w:pPr>
            <w:r w:rsidRPr="004D46AC">
              <w:t>7</w:t>
            </w:r>
          </w:p>
        </w:tc>
        <w:tc>
          <w:tcPr>
            <w:tcW w:w="766" w:type="dxa"/>
            <w:vAlign w:val="center"/>
          </w:tcPr>
          <w:p w14:paraId="54922B18" w14:textId="77777777" w:rsidR="009864DB" w:rsidRPr="004D46AC" w:rsidRDefault="009864DB" w:rsidP="009864DB">
            <w:pPr>
              <w:spacing w:line="240" w:lineRule="auto"/>
              <w:ind w:firstLine="0"/>
            </w:pPr>
            <w:r w:rsidRPr="004D46AC">
              <w:t>27</w:t>
            </w:r>
          </w:p>
        </w:tc>
        <w:tc>
          <w:tcPr>
            <w:tcW w:w="1096" w:type="dxa"/>
            <w:vAlign w:val="center"/>
          </w:tcPr>
          <w:p w14:paraId="068C0BB8" w14:textId="77777777" w:rsidR="009864DB" w:rsidRPr="004D46AC" w:rsidRDefault="009864DB" w:rsidP="009864DB">
            <w:pPr>
              <w:spacing w:line="240" w:lineRule="auto"/>
              <w:ind w:firstLine="0"/>
            </w:pPr>
            <w:r w:rsidRPr="004D46AC">
              <w:t>DSM4</w:t>
            </w:r>
          </w:p>
        </w:tc>
        <w:tc>
          <w:tcPr>
            <w:tcW w:w="1415" w:type="dxa"/>
            <w:vAlign w:val="center"/>
          </w:tcPr>
          <w:p w14:paraId="45AA36B5" w14:textId="77777777" w:rsidR="009864DB" w:rsidRPr="004D46AC" w:rsidRDefault="009864DB" w:rsidP="009864DB">
            <w:pPr>
              <w:spacing w:line="240" w:lineRule="auto"/>
              <w:ind w:firstLine="0"/>
            </w:pPr>
            <w:r w:rsidRPr="004D46AC">
              <w:t>SCID-P</w:t>
            </w:r>
          </w:p>
        </w:tc>
        <w:tc>
          <w:tcPr>
            <w:tcW w:w="876" w:type="dxa"/>
            <w:vAlign w:val="center"/>
          </w:tcPr>
          <w:p w14:paraId="2E01A5AE" w14:textId="77777777" w:rsidR="009864DB" w:rsidRPr="004D46AC" w:rsidRDefault="009864DB" w:rsidP="009864DB">
            <w:pPr>
              <w:spacing w:line="240" w:lineRule="auto"/>
              <w:ind w:firstLine="0"/>
            </w:pPr>
            <w:r w:rsidRPr="004D46AC">
              <w:t>50</w:t>
            </w:r>
          </w:p>
        </w:tc>
        <w:tc>
          <w:tcPr>
            <w:tcW w:w="986" w:type="dxa"/>
            <w:vAlign w:val="center"/>
          </w:tcPr>
          <w:p w14:paraId="103DDB95" w14:textId="77777777" w:rsidR="009864DB" w:rsidRPr="004D46AC" w:rsidRDefault="009864DB" w:rsidP="009864DB">
            <w:pPr>
              <w:spacing w:line="240" w:lineRule="auto"/>
              <w:ind w:firstLine="0"/>
            </w:pPr>
            <w:r w:rsidRPr="004D46AC">
              <w:t>3</w:t>
            </w:r>
          </w:p>
        </w:tc>
        <w:tc>
          <w:tcPr>
            <w:tcW w:w="751" w:type="dxa"/>
            <w:vAlign w:val="center"/>
          </w:tcPr>
          <w:p w14:paraId="301D8EAA" w14:textId="77777777" w:rsidR="009864DB" w:rsidRPr="004D46AC" w:rsidRDefault="009864DB" w:rsidP="009864DB">
            <w:pPr>
              <w:spacing w:line="240" w:lineRule="auto"/>
              <w:ind w:firstLine="0"/>
            </w:pPr>
            <w:r w:rsidRPr="004D46AC">
              <w:t>2</w:t>
            </w:r>
          </w:p>
        </w:tc>
        <w:tc>
          <w:tcPr>
            <w:tcW w:w="752" w:type="dxa"/>
            <w:vAlign w:val="center"/>
          </w:tcPr>
          <w:p w14:paraId="78F6D7B0" w14:textId="77777777" w:rsidR="009864DB" w:rsidRPr="004D46AC" w:rsidRDefault="009864DB" w:rsidP="009864DB">
            <w:pPr>
              <w:spacing w:line="240" w:lineRule="auto"/>
              <w:ind w:firstLine="0"/>
            </w:pPr>
            <w:r w:rsidRPr="004D46AC">
              <w:t>2</w:t>
            </w:r>
          </w:p>
        </w:tc>
        <w:tc>
          <w:tcPr>
            <w:tcW w:w="1296" w:type="dxa"/>
            <w:vAlign w:val="center"/>
          </w:tcPr>
          <w:p w14:paraId="30BD632A" w14:textId="77777777" w:rsidR="009864DB" w:rsidRPr="004D46AC" w:rsidRDefault="009864DB" w:rsidP="009864DB">
            <w:pPr>
              <w:spacing w:line="240" w:lineRule="auto"/>
              <w:ind w:firstLine="0"/>
            </w:pPr>
            <w:r w:rsidRPr="004D46AC">
              <w:t>43</w:t>
            </w:r>
          </w:p>
        </w:tc>
        <w:tc>
          <w:tcPr>
            <w:tcW w:w="752" w:type="dxa"/>
            <w:vAlign w:val="center"/>
          </w:tcPr>
          <w:p w14:paraId="6C920F35" w14:textId="77777777" w:rsidR="009864DB" w:rsidRPr="004D46AC" w:rsidRDefault="009864DB" w:rsidP="009864DB">
            <w:pPr>
              <w:spacing w:line="240" w:lineRule="auto"/>
              <w:ind w:firstLine="0"/>
            </w:pPr>
            <w:r w:rsidRPr="004D46AC">
              <w:t>18</w:t>
            </w:r>
          </w:p>
        </w:tc>
        <w:tc>
          <w:tcPr>
            <w:tcW w:w="789" w:type="dxa"/>
            <w:gridSpan w:val="2"/>
            <w:vAlign w:val="center"/>
          </w:tcPr>
          <w:p w14:paraId="3A5E5300" w14:textId="77777777" w:rsidR="009864DB" w:rsidRPr="004D46AC" w:rsidRDefault="009864DB" w:rsidP="009864DB">
            <w:pPr>
              <w:spacing w:line="240" w:lineRule="auto"/>
              <w:ind w:firstLine="0"/>
            </w:pPr>
            <w:r w:rsidRPr="004D46AC">
              <w:t>25</w:t>
            </w:r>
          </w:p>
        </w:tc>
      </w:tr>
      <w:tr w:rsidR="009864DB" w:rsidRPr="004D46AC" w14:paraId="1B6298FF" w14:textId="77777777" w:rsidTr="00B518F1">
        <w:tc>
          <w:tcPr>
            <w:tcW w:w="1476" w:type="dxa"/>
          </w:tcPr>
          <w:p w14:paraId="38562CF4"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AuthorYear="1"&gt;&lt;Author&gt;Bauer&lt;/Author&gt;&lt;Year&gt;1997&lt;/Year&gt;&lt;RecNum&gt;194&lt;/RecNum&gt;&lt;DisplayText&gt;Bauer et al. (1997)&lt;/DisplayText&gt;&lt;record&gt;&lt;rec-number&gt;194&lt;/rec-number&gt;&lt;foreign-keys&gt;&lt;key app="EN" db-id="aet009sstawa0hewvt3xwf5atffdw2dt02sw" timestamp="1665910939"&gt;194&lt;/key&gt;&lt;/foreign-keys&gt;&lt;ref-type name="Journal Article"&gt;17&lt;/ref-type&gt;&lt;contributors&gt;&lt;authors&gt;&lt;author&gt;Bauer, M. S.&lt;/author&gt;&lt;author&gt;Shea, N.&lt;/author&gt;&lt;author&gt;McBride, L.&lt;/author&gt;&lt;author&gt;Gavin, C.&lt;/author&gt;&lt;/authors&gt;&lt;/contributors&gt;&lt;auth-address&gt;Department of Veterans Affairs Medical Center, Providence, RI 02908-4799, USA. Mark-Bauer@brown.ed&lt;/auth-address&gt;&lt;titles&gt;&lt;title&gt;Predictors of service utilization in veterans with bipolar disorder: a prospective study&lt;/title&gt;&lt;secondary-title&gt;J Affect Disord&lt;/secondary-title&gt;&lt;/titles&gt;&lt;periodical&gt;&lt;full-title&gt;J Affect Disord&lt;/full-title&gt;&lt;/periodical&gt;&lt;pages&gt;159-68&lt;/pages&gt;&lt;volume&gt;44&lt;/volume&gt;&lt;number&gt;2-3&lt;/number&gt;&lt;keywords&gt;&lt;keyword&gt;Adult&lt;/keyword&gt;&lt;keyword&gt;Bipolar Disorder/*diagnosis/*psychology&lt;/keyword&gt;&lt;keyword&gt;Child&lt;/keyword&gt;&lt;keyword&gt;Child Abuse/psychology&lt;/keyword&gt;&lt;keyword&gt;Female&lt;/keyword&gt;&lt;keyword&gt;Humans&lt;/keyword&gt;&lt;keyword&gt;Male&lt;/keyword&gt;&lt;keyword&gt;Mental Health Services/economics/*statistics &amp;amp; numerical data&lt;/keyword&gt;&lt;keyword&gt;Middle Aged&lt;/keyword&gt;&lt;keyword&gt;Prognosis&lt;/keyword&gt;&lt;keyword&gt;Prospective Studies&lt;/keyword&gt;&lt;keyword&gt;Psychiatric Status Rating Scales&lt;/keyword&gt;&lt;keyword&gt;Veterans/*psychology&lt;/keyword&gt;&lt;/keywords&gt;&lt;dates&gt;&lt;year&gt;1997&lt;/year&gt;&lt;pub-dates&gt;&lt;date&gt;Jul&lt;/date&gt;&lt;/pub-dates&gt;&lt;/dates&gt;&lt;isbn&gt;0165-0327 (Print)&amp;#xD;0165-0327 (Linking)&lt;/isbn&gt;&lt;accession-num&gt;9241576&lt;/accession-num&gt;&lt;urls&gt;&lt;related-urls&gt;&lt;url&gt;https://www.ncbi.nlm.nih.gov/pubmed/9241576&lt;/url&gt;&lt;/related-urls&gt;&lt;/urls&gt;&lt;electronic-resource-num&gt;10.1016/s0165-0327(97)00046-3&lt;/electronic-resource-num&gt;&lt;remote-database-name&gt;Medline&lt;/remote-database-name&gt;&lt;remote-database-provider&gt;NLM&lt;/remote-database-provider&gt;&lt;language&gt;eng&lt;/language&gt;&lt;/record&gt;&lt;/Cite&gt;&lt;/EndNote&gt;</w:instrText>
            </w:r>
            <w:r w:rsidRPr="004D46AC">
              <w:fldChar w:fldCharType="separate"/>
            </w:r>
            <w:r w:rsidRPr="004D46AC">
              <w:t>Bauer et al. (1997)</w:t>
            </w:r>
            <w:r w:rsidRPr="004D46AC">
              <w:fldChar w:fldCharType="end"/>
            </w:r>
          </w:p>
        </w:tc>
        <w:tc>
          <w:tcPr>
            <w:tcW w:w="754" w:type="dxa"/>
            <w:vAlign w:val="center"/>
          </w:tcPr>
          <w:p w14:paraId="5D076E6C" w14:textId="77777777" w:rsidR="009864DB" w:rsidRPr="004D46AC" w:rsidRDefault="009864DB" w:rsidP="009864DB">
            <w:pPr>
              <w:spacing w:line="240" w:lineRule="auto"/>
              <w:ind w:firstLine="0"/>
            </w:pPr>
            <w:r w:rsidRPr="004D46AC">
              <w:t>5</w:t>
            </w:r>
          </w:p>
        </w:tc>
        <w:tc>
          <w:tcPr>
            <w:tcW w:w="766" w:type="dxa"/>
            <w:vAlign w:val="center"/>
          </w:tcPr>
          <w:p w14:paraId="012400A7" w14:textId="77777777" w:rsidR="009864DB" w:rsidRPr="004D46AC" w:rsidRDefault="009864DB" w:rsidP="009864DB">
            <w:pPr>
              <w:spacing w:line="240" w:lineRule="auto"/>
              <w:ind w:firstLine="0"/>
            </w:pPr>
            <w:r w:rsidRPr="004D46AC">
              <w:t>50</w:t>
            </w:r>
          </w:p>
        </w:tc>
        <w:tc>
          <w:tcPr>
            <w:tcW w:w="1096" w:type="dxa"/>
            <w:vAlign w:val="center"/>
          </w:tcPr>
          <w:p w14:paraId="5D39AADB" w14:textId="77777777" w:rsidR="009864DB" w:rsidRPr="004D46AC" w:rsidRDefault="009864DB" w:rsidP="009864DB">
            <w:pPr>
              <w:spacing w:line="240" w:lineRule="auto"/>
              <w:ind w:firstLine="0"/>
            </w:pPr>
            <w:r w:rsidRPr="004D46AC">
              <w:t>DSM</w:t>
            </w:r>
          </w:p>
        </w:tc>
        <w:tc>
          <w:tcPr>
            <w:tcW w:w="1415" w:type="dxa"/>
            <w:vAlign w:val="center"/>
          </w:tcPr>
          <w:p w14:paraId="085C8980" w14:textId="77777777" w:rsidR="009864DB" w:rsidRPr="004D46AC" w:rsidRDefault="009864DB" w:rsidP="009864DB">
            <w:pPr>
              <w:spacing w:line="240" w:lineRule="auto"/>
              <w:ind w:firstLine="0"/>
            </w:pPr>
            <w:r w:rsidRPr="004D46AC">
              <w:t>unclear</w:t>
            </w:r>
          </w:p>
        </w:tc>
        <w:tc>
          <w:tcPr>
            <w:tcW w:w="876" w:type="dxa"/>
            <w:vAlign w:val="center"/>
          </w:tcPr>
          <w:p w14:paraId="6113AEB1" w14:textId="77777777" w:rsidR="009864DB" w:rsidRPr="004D46AC" w:rsidRDefault="009864DB" w:rsidP="009864DB">
            <w:pPr>
              <w:spacing w:line="240" w:lineRule="auto"/>
              <w:ind w:firstLine="0"/>
            </w:pPr>
            <w:r w:rsidRPr="004D46AC">
              <w:t>103</w:t>
            </w:r>
          </w:p>
        </w:tc>
        <w:tc>
          <w:tcPr>
            <w:tcW w:w="986" w:type="dxa"/>
            <w:vAlign w:val="center"/>
          </w:tcPr>
          <w:p w14:paraId="4B21A92C" w14:textId="77777777" w:rsidR="009864DB" w:rsidRPr="004D46AC" w:rsidRDefault="009864DB" w:rsidP="009864DB">
            <w:pPr>
              <w:spacing w:line="240" w:lineRule="auto"/>
              <w:ind w:firstLine="0"/>
            </w:pPr>
            <w:r w:rsidRPr="004D46AC">
              <w:t>2</w:t>
            </w:r>
          </w:p>
        </w:tc>
        <w:tc>
          <w:tcPr>
            <w:tcW w:w="751" w:type="dxa"/>
            <w:vAlign w:val="center"/>
          </w:tcPr>
          <w:p w14:paraId="6563D3E6" w14:textId="77777777" w:rsidR="009864DB" w:rsidRPr="004D46AC" w:rsidRDefault="009864DB" w:rsidP="009864DB">
            <w:pPr>
              <w:spacing w:line="240" w:lineRule="auto"/>
              <w:ind w:firstLine="0"/>
            </w:pPr>
            <w:r w:rsidRPr="004D46AC">
              <w:t>1</w:t>
            </w:r>
          </w:p>
        </w:tc>
        <w:tc>
          <w:tcPr>
            <w:tcW w:w="752" w:type="dxa"/>
            <w:vAlign w:val="center"/>
          </w:tcPr>
          <w:p w14:paraId="41C5135E" w14:textId="77777777" w:rsidR="009864DB" w:rsidRPr="004D46AC" w:rsidRDefault="009864DB" w:rsidP="009864DB">
            <w:pPr>
              <w:spacing w:line="240" w:lineRule="auto"/>
              <w:ind w:firstLine="0"/>
            </w:pPr>
            <w:r w:rsidRPr="004D46AC">
              <w:t>2</w:t>
            </w:r>
          </w:p>
        </w:tc>
        <w:tc>
          <w:tcPr>
            <w:tcW w:w="1296" w:type="dxa"/>
            <w:vAlign w:val="center"/>
          </w:tcPr>
          <w:p w14:paraId="4084DDCE" w14:textId="77777777" w:rsidR="009864DB" w:rsidRPr="004D46AC" w:rsidRDefault="009864DB" w:rsidP="009864DB">
            <w:pPr>
              <w:spacing w:line="240" w:lineRule="auto"/>
              <w:ind w:firstLine="0"/>
            </w:pPr>
            <w:r w:rsidRPr="004D46AC">
              <w:t>66</w:t>
            </w:r>
          </w:p>
        </w:tc>
        <w:tc>
          <w:tcPr>
            <w:tcW w:w="752" w:type="dxa"/>
            <w:vAlign w:val="center"/>
          </w:tcPr>
          <w:p w14:paraId="443E0DD0" w14:textId="77777777" w:rsidR="009864DB" w:rsidRPr="004D46AC" w:rsidRDefault="009864DB" w:rsidP="009864DB">
            <w:pPr>
              <w:spacing w:line="240" w:lineRule="auto"/>
              <w:ind w:firstLine="0"/>
            </w:pPr>
            <w:r w:rsidRPr="004D46AC">
              <w:t>NA</w:t>
            </w:r>
          </w:p>
        </w:tc>
        <w:tc>
          <w:tcPr>
            <w:tcW w:w="789" w:type="dxa"/>
            <w:gridSpan w:val="2"/>
            <w:vAlign w:val="center"/>
          </w:tcPr>
          <w:p w14:paraId="1BA4C692" w14:textId="77777777" w:rsidR="009864DB" w:rsidRPr="004D46AC" w:rsidRDefault="009864DB" w:rsidP="009864DB">
            <w:pPr>
              <w:spacing w:line="240" w:lineRule="auto"/>
              <w:ind w:firstLine="0"/>
            </w:pPr>
            <w:r w:rsidRPr="004D46AC">
              <w:t>NA</w:t>
            </w:r>
          </w:p>
        </w:tc>
      </w:tr>
      <w:tr w:rsidR="009864DB" w:rsidRPr="004D46AC" w14:paraId="69A23EE0" w14:textId="77777777" w:rsidTr="00B518F1">
        <w:tc>
          <w:tcPr>
            <w:tcW w:w="1476" w:type="dxa"/>
          </w:tcPr>
          <w:p w14:paraId="30942CD4" w14:textId="77777777" w:rsidR="009864DB" w:rsidRPr="004D46AC" w:rsidRDefault="009864DB" w:rsidP="009864DB">
            <w:pPr>
              <w:spacing w:line="240" w:lineRule="auto"/>
              <w:ind w:firstLine="0"/>
            </w:pPr>
            <w:r w:rsidRPr="004D46AC">
              <w:fldChar w:fldCharType="begin">
                <w:fldData xml:space="preserve">PEVuZE5vdGU+PENpdGUgQXV0aG9yWWVhcj0iMSI+PEF1dGhvcj5DYWxraW48L0F1dGhvcj48WWVh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</w:fldData>
              </w:fldChar>
            </w:r>
            <w:r w:rsidRPr="004D46AC">
              <w:instrText xml:space="preserve"> ADDIN EN.CITE </w:instrText>
            </w:r>
            <w:r w:rsidRPr="004D46AC">
              <w:fldChar w:fldCharType="begin">
                <w:fldData xml:space="preserve">PEVuZE5vdGU+PENpdGUgQXV0aG9yWWVhcj0iMSI+PEF1dGhvcj5DYWxraW48L0F1dGhvcj48WWVh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</w:fldData>
              </w:fldChar>
            </w:r>
            <w:r w:rsidRPr="004D46AC">
              <w:instrText xml:space="preserve"> ADDIN EN.CITE.DATA </w:instrText>
            </w:r>
            <w:r w:rsidRPr="004D46AC">
              <w:fldChar w:fldCharType="end"/>
            </w:r>
            <w:r w:rsidRPr="004D46AC">
              <w:fldChar w:fldCharType="separate"/>
            </w:r>
            <w:r w:rsidRPr="004D46AC">
              <w:t>Calkin et al. (2009)</w:t>
            </w:r>
            <w:r w:rsidRPr="004D46AC">
              <w:fldChar w:fldCharType="end"/>
            </w:r>
          </w:p>
        </w:tc>
        <w:tc>
          <w:tcPr>
            <w:tcW w:w="754" w:type="dxa"/>
            <w:vAlign w:val="center"/>
          </w:tcPr>
          <w:p w14:paraId="3F8891B7" w14:textId="77777777" w:rsidR="009864DB" w:rsidRPr="004D46AC" w:rsidRDefault="009864DB" w:rsidP="009864DB">
            <w:pPr>
              <w:spacing w:line="240" w:lineRule="auto"/>
              <w:ind w:firstLine="0"/>
            </w:pPr>
            <w:r w:rsidRPr="004D46AC">
              <w:t>5</w:t>
            </w:r>
          </w:p>
        </w:tc>
        <w:tc>
          <w:tcPr>
            <w:tcW w:w="766" w:type="dxa"/>
            <w:vAlign w:val="center"/>
          </w:tcPr>
          <w:p w14:paraId="754AE501" w14:textId="77777777" w:rsidR="009864DB" w:rsidRPr="004D46AC" w:rsidRDefault="009864DB" w:rsidP="009864DB">
            <w:pPr>
              <w:spacing w:line="240" w:lineRule="auto"/>
              <w:ind w:firstLine="0"/>
            </w:pPr>
            <w:r w:rsidRPr="004D46AC">
              <w:t>44</w:t>
            </w:r>
          </w:p>
        </w:tc>
        <w:tc>
          <w:tcPr>
            <w:tcW w:w="1096" w:type="dxa"/>
            <w:vAlign w:val="center"/>
          </w:tcPr>
          <w:p w14:paraId="55405B29" w14:textId="77777777" w:rsidR="009864DB" w:rsidRPr="004D46AC" w:rsidRDefault="009864DB" w:rsidP="009864DB">
            <w:pPr>
              <w:spacing w:line="240" w:lineRule="auto"/>
              <w:ind w:firstLine="0"/>
            </w:pPr>
            <w:r w:rsidRPr="004D46AC">
              <w:t>DSM4</w:t>
            </w:r>
          </w:p>
        </w:tc>
        <w:tc>
          <w:tcPr>
            <w:tcW w:w="1415" w:type="dxa"/>
            <w:vAlign w:val="center"/>
          </w:tcPr>
          <w:p w14:paraId="20F62138" w14:textId="77777777" w:rsidR="009864DB" w:rsidRPr="004D46AC" w:rsidRDefault="009864DB" w:rsidP="009864DB">
            <w:pPr>
              <w:spacing w:line="240" w:lineRule="auto"/>
              <w:ind w:firstLine="0"/>
            </w:pPr>
            <w:r w:rsidRPr="004D46AC">
              <w:t>unclear</w:t>
            </w:r>
          </w:p>
        </w:tc>
        <w:tc>
          <w:tcPr>
            <w:tcW w:w="876" w:type="dxa"/>
            <w:vAlign w:val="center"/>
          </w:tcPr>
          <w:p w14:paraId="1D651559" w14:textId="77777777" w:rsidR="009864DB" w:rsidRPr="004D46AC" w:rsidRDefault="009864DB" w:rsidP="009864DB">
            <w:pPr>
              <w:spacing w:line="240" w:lineRule="auto"/>
              <w:ind w:firstLine="0"/>
            </w:pPr>
            <w:r w:rsidRPr="004D46AC">
              <w:t>276</w:t>
            </w:r>
          </w:p>
        </w:tc>
        <w:tc>
          <w:tcPr>
            <w:tcW w:w="986" w:type="dxa"/>
            <w:vAlign w:val="center"/>
          </w:tcPr>
          <w:p w14:paraId="49F0AD0E" w14:textId="77777777" w:rsidR="009864DB" w:rsidRPr="004D46AC" w:rsidRDefault="009864DB" w:rsidP="009864DB">
            <w:pPr>
              <w:spacing w:line="240" w:lineRule="auto"/>
              <w:ind w:firstLine="0"/>
            </w:pPr>
            <w:r w:rsidRPr="004D46AC">
              <w:t>unclear</w:t>
            </w:r>
          </w:p>
        </w:tc>
        <w:tc>
          <w:tcPr>
            <w:tcW w:w="751" w:type="dxa"/>
            <w:vAlign w:val="center"/>
          </w:tcPr>
          <w:p w14:paraId="312BD4FE" w14:textId="77777777" w:rsidR="009864DB" w:rsidRPr="004D46AC" w:rsidRDefault="009864DB" w:rsidP="009864DB">
            <w:pPr>
              <w:spacing w:line="240" w:lineRule="auto"/>
              <w:ind w:firstLine="0"/>
            </w:pPr>
            <w:r w:rsidRPr="004D46AC">
              <w:t>1</w:t>
            </w:r>
          </w:p>
        </w:tc>
        <w:tc>
          <w:tcPr>
            <w:tcW w:w="752" w:type="dxa"/>
            <w:vAlign w:val="center"/>
          </w:tcPr>
          <w:p w14:paraId="7996E51E" w14:textId="77777777" w:rsidR="009864DB" w:rsidRPr="004D46AC" w:rsidRDefault="009864DB" w:rsidP="009864DB">
            <w:pPr>
              <w:spacing w:line="240" w:lineRule="auto"/>
              <w:ind w:firstLine="0"/>
            </w:pPr>
            <w:r w:rsidRPr="004D46AC">
              <w:t>2</w:t>
            </w:r>
          </w:p>
        </w:tc>
        <w:tc>
          <w:tcPr>
            <w:tcW w:w="1296" w:type="dxa"/>
            <w:vAlign w:val="center"/>
          </w:tcPr>
          <w:p w14:paraId="2CE0AFBA" w14:textId="77777777" w:rsidR="009864DB" w:rsidRPr="004D46AC" w:rsidRDefault="009864DB" w:rsidP="009864DB">
            <w:pPr>
              <w:spacing w:line="240" w:lineRule="auto"/>
              <w:ind w:firstLine="0"/>
            </w:pPr>
            <w:r w:rsidRPr="004D46AC">
              <w:t>146</w:t>
            </w:r>
          </w:p>
        </w:tc>
        <w:tc>
          <w:tcPr>
            <w:tcW w:w="752" w:type="dxa"/>
            <w:vAlign w:val="center"/>
          </w:tcPr>
          <w:p w14:paraId="42C247EA" w14:textId="77777777" w:rsidR="009864DB" w:rsidRPr="004D46AC" w:rsidRDefault="009864DB" w:rsidP="009864DB">
            <w:pPr>
              <w:spacing w:line="240" w:lineRule="auto"/>
              <w:ind w:firstLine="0"/>
            </w:pPr>
            <w:r w:rsidRPr="004D46AC">
              <w:t>NA</w:t>
            </w:r>
          </w:p>
        </w:tc>
        <w:tc>
          <w:tcPr>
            <w:tcW w:w="789" w:type="dxa"/>
            <w:gridSpan w:val="2"/>
            <w:vAlign w:val="center"/>
          </w:tcPr>
          <w:p w14:paraId="324DB194" w14:textId="77777777" w:rsidR="009864DB" w:rsidRPr="004D46AC" w:rsidRDefault="009864DB" w:rsidP="009864DB">
            <w:pPr>
              <w:spacing w:line="240" w:lineRule="auto"/>
              <w:ind w:firstLine="0"/>
            </w:pPr>
            <w:r w:rsidRPr="004D46AC">
              <w:t>NA</w:t>
            </w:r>
          </w:p>
        </w:tc>
      </w:tr>
      <w:tr w:rsidR="009864DB" w:rsidRPr="004D46AC" w14:paraId="187D501D" w14:textId="77777777" w:rsidTr="00B518F1">
        <w:tc>
          <w:tcPr>
            <w:tcW w:w="1476" w:type="dxa"/>
          </w:tcPr>
          <w:p w14:paraId="1052F57D" w14:textId="77777777" w:rsidR="009864DB" w:rsidRPr="004D46AC" w:rsidRDefault="009864DB" w:rsidP="009864DB">
            <w:pPr>
              <w:spacing w:line="240" w:lineRule="auto"/>
              <w:ind w:firstLine="0"/>
            </w:pPr>
            <w:r w:rsidRPr="004D46AC">
              <w:fldChar w:fldCharType="begin">
                <w:fldData xml:space="preserve">PEVuZE5vdGU+PENpdGUgQXV0aG9yWWVhcj0iMSI+PEF1dGhvcj5Cb3JhPC9BdXRob3I+PFllYXI+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</w:fldData>
              </w:fldChar>
            </w:r>
            <w:r w:rsidRPr="004D46AC">
              <w:instrText xml:space="preserve"> ADDIN EN.CITE </w:instrText>
            </w:r>
            <w:r w:rsidRPr="004D46AC">
              <w:fldChar w:fldCharType="begin">
                <w:fldData xml:space="preserve">PEVuZE5vdGU+PENpdGUgQXV0aG9yWWVhcj0iMSI+PEF1dGhvcj5Cb3JhPC9BdXRob3I+PFllYXI+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</w:fldData>
              </w:fldChar>
            </w:r>
            <w:r w:rsidRPr="004D46AC">
              <w:instrText xml:space="preserve"> ADDIN EN.CITE.DATA </w:instrText>
            </w:r>
            <w:r w:rsidRPr="004D46AC">
              <w:fldChar w:fldCharType="end"/>
            </w:r>
            <w:r w:rsidRPr="004D46AC">
              <w:fldChar w:fldCharType="separate"/>
            </w:r>
            <w:r w:rsidRPr="004D46AC">
              <w:t>Bora et al. (2016)</w:t>
            </w:r>
            <w:r w:rsidRPr="004D46AC">
              <w:fldChar w:fldCharType="end"/>
            </w:r>
          </w:p>
        </w:tc>
        <w:tc>
          <w:tcPr>
            <w:tcW w:w="754" w:type="dxa"/>
            <w:vAlign w:val="center"/>
          </w:tcPr>
          <w:p w14:paraId="59A07548" w14:textId="77777777" w:rsidR="009864DB" w:rsidRPr="004D46AC" w:rsidRDefault="009864DB" w:rsidP="009864DB">
            <w:pPr>
              <w:spacing w:line="240" w:lineRule="auto"/>
              <w:ind w:firstLine="0"/>
            </w:pPr>
            <w:r w:rsidRPr="004D46AC">
              <w:t>6</w:t>
            </w:r>
          </w:p>
        </w:tc>
        <w:tc>
          <w:tcPr>
            <w:tcW w:w="766" w:type="dxa"/>
            <w:vAlign w:val="center"/>
          </w:tcPr>
          <w:p w14:paraId="7BC01FD2" w14:textId="77777777" w:rsidR="009864DB" w:rsidRPr="004D46AC" w:rsidRDefault="009864DB" w:rsidP="009864DB">
            <w:pPr>
              <w:spacing w:line="240" w:lineRule="auto"/>
              <w:ind w:firstLine="0"/>
            </w:pPr>
            <w:r w:rsidRPr="004D46AC">
              <w:t>36.2</w:t>
            </w:r>
          </w:p>
        </w:tc>
        <w:tc>
          <w:tcPr>
            <w:tcW w:w="1096" w:type="dxa"/>
            <w:vAlign w:val="center"/>
          </w:tcPr>
          <w:p w14:paraId="1491C53C" w14:textId="77777777" w:rsidR="009864DB" w:rsidRPr="004D46AC" w:rsidRDefault="009864DB" w:rsidP="009864DB">
            <w:pPr>
              <w:spacing w:line="240" w:lineRule="auto"/>
              <w:ind w:firstLine="0"/>
            </w:pPr>
            <w:r w:rsidRPr="004D46AC">
              <w:t>DSM4</w:t>
            </w:r>
          </w:p>
        </w:tc>
        <w:tc>
          <w:tcPr>
            <w:tcW w:w="1415" w:type="dxa"/>
            <w:vAlign w:val="center"/>
          </w:tcPr>
          <w:p w14:paraId="374851B5" w14:textId="77777777" w:rsidR="009864DB" w:rsidRPr="004D46AC" w:rsidRDefault="009864DB" w:rsidP="009864DB">
            <w:pPr>
              <w:spacing w:line="240" w:lineRule="auto"/>
              <w:ind w:firstLine="0"/>
            </w:pPr>
            <w:r w:rsidRPr="004D46AC">
              <w:t>SCID</w:t>
            </w:r>
          </w:p>
        </w:tc>
        <w:tc>
          <w:tcPr>
            <w:tcW w:w="876" w:type="dxa"/>
            <w:vAlign w:val="center"/>
          </w:tcPr>
          <w:p w14:paraId="6C736E75" w14:textId="77777777" w:rsidR="009864DB" w:rsidRPr="004D46AC" w:rsidRDefault="009864DB" w:rsidP="009864DB">
            <w:pPr>
              <w:spacing w:line="240" w:lineRule="auto"/>
              <w:ind w:firstLine="0"/>
            </w:pPr>
            <w:r w:rsidRPr="004D46AC">
              <w:t>556</w:t>
            </w:r>
          </w:p>
        </w:tc>
        <w:tc>
          <w:tcPr>
            <w:tcW w:w="986" w:type="dxa"/>
            <w:vAlign w:val="center"/>
          </w:tcPr>
          <w:p w14:paraId="23617950" w14:textId="77777777" w:rsidR="009864DB" w:rsidRPr="004D46AC" w:rsidRDefault="009864DB" w:rsidP="009864DB">
            <w:pPr>
              <w:spacing w:line="240" w:lineRule="auto"/>
              <w:ind w:firstLine="0"/>
            </w:pPr>
            <w:r w:rsidRPr="004D46AC">
              <w:t>1</w:t>
            </w:r>
          </w:p>
        </w:tc>
        <w:tc>
          <w:tcPr>
            <w:tcW w:w="751" w:type="dxa"/>
            <w:vAlign w:val="center"/>
          </w:tcPr>
          <w:p w14:paraId="6D77C0CF" w14:textId="77777777" w:rsidR="009864DB" w:rsidRPr="004D46AC" w:rsidRDefault="009864DB" w:rsidP="009864DB">
            <w:pPr>
              <w:spacing w:line="240" w:lineRule="auto"/>
              <w:ind w:firstLine="0"/>
            </w:pPr>
            <w:r w:rsidRPr="004D46AC">
              <w:t>1</w:t>
            </w:r>
          </w:p>
        </w:tc>
        <w:tc>
          <w:tcPr>
            <w:tcW w:w="752" w:type="dxa"/>
            <w:vAlign w:val="center"/>
          </w:tcPr>
          <w:p w14:paraId="262CC1BB" w14:textId="77777777" w:rsidR="009864DB" w:rsidRPr="004D46AC" w:rsidRDefault="009864DB" w:rsidP="009864DB">
            <w:pPr>
              <w:spacing w:line="240" w:lineRule="auto"/>
              <w:ind w:firstLine="0"/>
            </w:pPr>
            <w:r w:rsidRPr="004D46AC">
              <w:t>2</w:t>
            </w:r>
          </w:p>
        </w:tc>
        <w:tc>
          <w:tcPr>
            <w:tcW w:w="1296" w:type="dxa"/>
            <w:vAlign w:val="center"/>
          </w:tcPr>
          <w:p w14:paraId="1E10F894" w14:textId="77777777" w:rsidR="009864DB" w:rsidRPr="004D46AC" w:rsidRDefault="009864DB" w:rsidP="009864DB">
            <w:pPr>
              <w:spacing w:line="240" w:lineRule="auto"/>
              <w:ind w:firstLine="0"/>
            </w:pPr>
            <w:r w:rsidRPr="004D46AC">
              <w:t>444</w:t>
            </w:r>
          </w:p>
        </w:tc>
        <w:tc>
          <w:tcPr>
            <w:tcW w:w="752" w:type="dxa"/>
            <w:vAlign w:val="center"/>
          </w:tcPr>
          <w:p w14:paraId="0C1D10D9" w14:textId="77777777" w:rsidR="009864DB" w:rsidRPr="004D46AC" w:rsidRDefault="009864DB" w:rsidP="009864DB">
            <w:pPr>
              <w:spacing w:line="240" w:lineRule="auto"/>
              <w:ind w:firstLine="0"/>
            </w:pPr>
            <w:r w:rsidRPr="004D46AC">
              <w:t>NA</w:t>
            </w:r>
          </w:p>
        </w:tc>
        <w:tc>
          <w:tcPr>
            <w:tcW w:w="789" w:type="dxa"/>
            <w:gridSpan w:val="2"/>
            <w:vAlign w:val="center"/>
          </w:tcPr>
          <w:p w14:paraId="521C0875" w14:textId="77777777" w:rsidR="009864DB" w:rsidRPr="004D46AC" w:rsidRDefault="009864DB" w:rsidP="009864DB">
            <w:pPr>
              <w:spacing w:line="240" w:lineRule="auto"/>
              <w:ind w:firstLine="0"/>
            </w:pPr>
            <w:r w:rsidRPr="004D46AC">
              <w:t>NA</w:t>
            </w:r>
          </w:p>
        </w:tc>
      </w:tr>
      <w:tr w:rsidR="009864DB" w:rsidRPr="004D46AC" w14:paraId="5A1D8637" w14:textId="77777777" w:rsidTr="00B518F1">
        <w:tc>
          <w:tcPr>
            <w:tcW w:w="1476" w:type="dxa"/>
          </w:tcPr>
          <w:p w14:paraId="1A7739AF" w14:textId="77777777" w:rsidR="009864DB" w:rsidRPr="004D46AC" w:rsidRDefault="009864DB" w:rsidP="009864DB">
            <w:pPr>
              <w:spacing w:line="240" w:lineRule="auto"/>
              <w:ind w:firstLine="0"/>
            </w:pPr>
            <w:r w:rsidRPr="004D46AC">
              <w:fldChar w:fldCharType="begin">
                <w:fldData xml:space="preserve">PEVuZE5vdGU+PENpdGUgQXV0aG9yWWVhcj0iMSI+PEF1dGhvcj5Cb25kPC9BdXRob3I+PFllYXI+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 </w:instrText>
            </w:r>
            <w:r w:rsidRPr="004D46AC">
              <w:fldChar w:fldCharType="begin">
                <w:fldData xml:space="preserve">PEVuZE5vdGU+PENpdGUgQXV0aG9yWWVhcj0iMSI+PEF1dGhvcj5Cb25kPC9BdXRob3I+PFllYXI+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EN.CITE.DATA </w:instrText>
            </w:r>
            <w:r w:rsidRPr="004D46AC">
              <w:fldChar w:fldCharType="end"/>
            </w:r>
            <w:r w:rsidRPr="004D46AC">
              <w:fldChar w:fldCharType="separate"/>
            </w:r>
            <w:r w:rsidRPr="004D46AC">
              <w:t>Bond et al. (2017)</w:t>
            </w:r>
            <w:r w:rsidRPr="004D46AC">
              <w:fldChar w:fldCharType="end"/>
            </w:r>
          </w:p>
        </w:tc>
        <w:tc>
          <w:tcPr>
            <w:tcW w:w="754" w:type="dxa"/>
            <w:vAlign w:val="center"/>
          </w:tcPr>
          <w:p w14:paraId="6AECBD8C" w14:textId="77777777" w:rsidR="009864DB" w:rsidRPr="004D46AC" w:rsidRDefault="009864DB" w:rsidP="009864DB">
            <w:pPr>
              <w:spacing w:line="240" w:lineRule="auto"/>
              <w:ind w:firstLine="0"/>
            </w:pPr>
            <w:r w:rsidRPr="004D46AC">
              <w:t>5</w:t>
            </w:r>
          </w:p>
        </w:tc>
        <w:tc>
          <w:tcPr>
            <w:tcW w:w="766" w:type="dxa"/>
            <w:vAlign w:val="center"/>
          </w:tcPr>
          <w:p w14:paraId="17308EEF" w14:textId="77777777" w:rsidR="009864DB" w:rsidRPr="004D46AC" w:rsidRDefault="009864DB" w:rsidP="009864DB">
            <w:pPr>
              <w:spacing w:line="240" w:lineRule="auto"/>
              <w:ind w:firstLine="0"/>
            </w:pPr>
            <w:r w:rsidRPr="004D46AC">
              <w:t>22.8</w:t>
            </w:r>
          </w:p>
        </w:tc>
        <w:tc>
          <w:tcPr>
            <w:tcW w:w="1096" w:type="dxa"/>
            <w:vAlign w:val="center"/>
          </w:tcPr>
          <w:p w14:paraId="3CE83008" w14:textId="77777777" w:rsidR="009864DB" w:rsidRPr="004D46AC" w:rsidRDefault="009864DB" w:rsidP="009864DB">
            <w:pPr>
              <w:spacing w:line="240" w:lineRule="auto"/>
              <w:ind w:firstLine="0"/>
            </w:pPr>
            <w:r w:rsidRPr="004D46AC">
              <w:t>unclear</w:t>
            </w:r>
          </w:p>
        </w:tc>
        <w:tc>
          <w:tcPr>
            <w:tcW w:w="1415" w:type="dxa"/>
            <w:vAlign w:val="center"/>
          </w:tcPr>
          <w:p w14:paraId="32876824" w14:textId="77777777" w:rsidR="009864DB" w:rsidRPr="004D46AC" w:rsidRDefault="009864DB" w:rsidP="009864DB">
            <w:pPr>
              <w:spacing w:line="240" w:lineRule="auto"/>
              <w:ind w:firstLine="0"/>
            </w:pPr>
            <w:r w:rsidRPr="004D46AC">
              <w:t>MINI</w:t>
            </w:r>
          </w:p>
        </w:tc>
        <w:tc>
          <w:tcPr>
            <w:tcW w:w="876" w:type="dxa"/>
            <w:vAlign w:val="center"/>
          </w:tcPr>
          <w:p w14:paraId="0FB300A0" w14:textId="77777777" w:rsidR="009864DB" w:rsidRPr="004D46AC" w:rsidRDefault="009864DB" w:rsidP="009864DB">
            <w:pPr>
              <w:spacing w:line="240" w:lineRule="auto"/>
              <w:ind w:firstLine="0"/>
            </w:pPr>
            <w:r w:rsidRPr="004D46AC">
              <w:t>80</w:t>
            </w:r>
          </w:p>
        </w:tc>
        <w:tc>
          <w:tcPr>
            <w:tcW w:w="986" w:type="dxa"/>
            <w:vAlign w:val="center"/>
          </w:tcPr>
          <w:p w14:paraId="612BC1E8" w14:textId="77777777" w:rsidR="009864DB" w:rsidRPr="004D46AC" w:rsidRDefault="009864DB" w:rsidP="009864DB">
            <w:pPr>
              <w:spacing w:line="240" w:lineRule="auto"/>
              <w:ind w:firstLine="0"/>
            </w:pPr>
            <w:r w:rsidRPr="004D46AC">
              <w:t>2</w:t>
            </w:r>
          </w:p>
        </w:tc>
        <w:tc>
          <w:tcPr>
            <w:tcW w:w="751" w:type="dxa"/>
            <w:vAlign w:val="center"/>
          </w:tcPr>
          <w:p w14:paraId="66BABB91" w14:textId="77777777" w:rsidR="009864DB" w:rsidRPr="004D46AC" w:rsidRDefault="009864DB" w:rsidP="009864DB">
            <w:pPr>
              <w:spacing w:line="240" w:lineRule="auto"/>
              <w:ind w:firstLine="0"/>
            </w:pPr>
            <w:r w:rsidRPr="004D46AC">
              <w:t>1</w:t>
            </w:r>
          </w:p>
        </w:tc>
        <w:tc>
          <w:tcPr>
            <w:tcW w:w="752" w:type="dxa"/>
            <w:vAlign w:val="center"/>
          </w:tcPr>
          <w:p w14:paraId="24BAA529" w14:textId="77777777" w:rsidR="009864DB" w:rsidRPr="004D46AC" w:rsidRDefault="009864DB" w:rsidP="009864DB">
            <w:pPr>
              <w:spacing w:line="240" w:lineRule="auto"/>
              <w:ind w:firstLine="0"/>
            </w:pPr>
            <w:r w:rsidRPr="004D46AC">
              <w:t>2</w:t>
            </w:r>
          </w:p>
        </w:tc>
        <w:tc>
          <w:tcPr>
            <w:tcW w:w="1296" w:type="dxa"/>
            <w:vAlign w:val="center"/>
          </w:tcPr>
          <w:p w14:paraId="275ED68F" w14:textId="77777777" w:rsidR="009864DB" w:rsidRPr="004D46AC" w:rsidRDefault="009864DB" w:rsidP="009864DB">
            <w:pPr>
              <w:spacing w:line="240" w:lineRule="auto"/>
              <w:ind w:firstLine="0"/>
            </w:pPr>
            <w:r w:rsidRPr="004D46AC">
              <w:t>57</w:t>
            </w:r>
          </w:p>
        </w:tc>
        <w:tc>
          <w:tcPr>
            <w:tcW w:w="752" w:type="dxa"/>
            <w:vAlign w:val="center"/>
          </w:tcPr>
          <w:p w14:paraId="7C59FC6B" w14:textId="77777777" w:rsidR="009864DB" w:rsidRPr="004D46AC" w:rsidRDefault="009864DB" w:rsidP="009864DB">
            <w:pPr>
              <w:spacing w:line="240" w:lineRule="auto"/>
              <w:ind w:firstLine="0"/>
            </w:pPr>
            <w:r w:rsidRPr="004D46AC">
              <w:t>NA</w:t>
            </w:r>
          </w:p>
        </w:tc>
        <w:tc>
          <w:tcPr>
            <w:tcW w:w="789" w:type="dxa"/>
            <w:gridSpan w:val="2"/>
            <w:vAlign w:val="center"/>
          </w:tcPr>
          <w:p w14:paraId="23359839" w14:textId="77777777" w:rsidR="009864DB" w:rsidRPr="004D46AC" w:rsidRDefault="009864DB" w:rsidP="009864DB">
            <w:pPr>
              <w:spacing w:line="240" w:lineRule="auto"/>
              <w:ind w:firstLine="0"/>
            </w:pPr>
            <w:r w:rsidRPr="004D46AC">
              <w:t>NA</w:t>
            </w:r>
          </w:p>
        </w:tc>
      </w:tr>
      <w:tr w:rsidR="009864DB" w:rsidRPr="004D46AC" w14:paraId="3840952B" w14:textId="77777777" w:rsidTr="00B518F1">
        <w:tc>
          <w:tcPr>
            <w:tcW w:w="1476" w:type="dxa"/>
          </w:tcPr>
          <w:p w14:paraId="39B2DF12" w14:textId="77777777" w:rsidR="009864DB" w:rsidRPr="004D46AC" w:rsidRDefault="009864DB" w:rsidP="009864DB">
            <w:pPr>
              <w:spacing w:line="240" w:lineRule="auto"/>
              <w:ind w:firstLine="0"/>
            </w:pPr>
            <w:r w:rsidRPr="004D46AC">
              <w:fldChar w:fldCharType="begin">
                <w:fldData xml:space="preserve">PEVuZE5vdGU+PENpdGUgQXV0aG9yWWVhcj0iMSI+PEF1dGhvcj5TY2hvZXllbjwvQXV0aG9yPjxZ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=
</w:fldData>
              </w:fldChar>
            </w:r>
            <w:r w:rsidRPr="004D46AC">
              <w:instrText xml:space="preserve"> ADDIN EN.CITE </w:instrText>
            </w:r>
            <w:r w:rsidRPr="004D46AC">
              <w:fldChar w:fldCharType="begin">
                <w:fldData xml:space="preserve">PEVuZE5vdGU+PENpdGUgQXV0aG9yWWVhcj0iMSI+PEF1dGhvcj5TY2hvZXllbjwvQXV0aG9yPjxZ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=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Schoeyen et al. (2011)</w:t>
            </w:r>
            <w:r w:rsidRPr="004D46AC">
              <w:fldChar w:fldCharType="end"/>
            </w:r>
          </w:p>
        </w:tc>
        <w:tc>
          <w:tcPr>
            <w:tcW w:w="754" w:type="dxa"/>
            <w:vAlign w:val="center"/>
          </w:tcPr>
          <w:p w14:paraId="1E248F61" w14:textId="77777777" w:rsidR="009864DB" w:rsidRPr="004D46AC" w:rsidRDefault="009864DB" w:rsidP="009864DB">
            <w:pPr>
              <w:spacing w:line="240" w:lineRule="auto"/>
              <w:ind w:firstLine="0"/>
            </w:pPr>
            <w:r w:rsidRPr="004D46AC">
              <w:t>7</w:t>
            </w:r>
          </w:p>
        </w:tc>
        <w:tc>
          <w:tcPr>
            <w:tcW w:w="766" w:type="dxa"/>
            <w:vAlign w:val="center"/>
          </w:tcPr>
          <w:p w14:paraId="7B9D4DE8" w14:textId="77777777" w:rsidR="009864DB" w:rsidRPr="004D46AC" w:rsidRDefault="009864DB" w:rsidP="009864DB">
            <w:pPr>
              <w:spacing w:line="240" w:lineRule="auto"/>
              <w:ind w:firstLine="0"/>
            </w:pPr>
            <w:r w:rsidRPr="004D46AC">
              <w:t>42</w:t>
            </w:r>
          </w:p>
        </w:tc>
        <w:tc>
          <w:tcPr>
            <w:tcW w:w="1096" w:type="dxa"/>
            <w:vAlign w:val="center"/>
          </w:tcPr>
          <w:p w14:paraId="5CC2BD08" w14:textId="77777777" w:rsidR="009864DB" w:rsidRPr="004D46AC" w:rsidRDefault="009864DB" w:rsidP="009864DB">
            <w:pPr>
              <w:spacing w:line="240" w:lineRule="auto"/>
              <w:ind w:firstLine="0"/>
            </w:pPr>
            <w:r w:rsidRPr="004D46AC">
              <w:t>DSM4</w:t>
            </w:r>
          </w:p>
        </w:tc>
        <w:tc>
          <w:tcPr>
            <w:tcW w:w="1415" w:type="dxa"/>
            <w:vAlign w:val="center"/>
          </w:tcPr>
          <w:p w14:paraId="35DAD092" w14:textId="77777777" w:rsidR="009864DB" w:rsidRPr="004D46AC" w:rsidRDefault="009864DB" w:rsidP="009864DB">
            <w:pPr>
              <w:spacing w:line="240" w:lineRule="auto"/>
              <w:ind w:firstLine="0"/>
            </w:pPr>
            <w:r w:rsidRPr="004D46AC">
              <w:t>SCID</w:t>
            </w:r>
          </w:p>
        </w:tc>
        <w:tc>
          <w:tcPr>
            <w:tcW w:w="876" w:type="dxa"/>
            <w:vAlign w:val="center"/>
          </w:tcPr>
          <w:p w14:paraId="268043C3" w14:textId="77777777" w:rsidR="009864DB" w:rsidRPr="004D46AC" w:rsidRDefault="009864DB" w:rsidP="009864DB">
            <w:pPr>
              <w:spacing w:line="240" w:lineRule="auto"/>
              <w:ind w:firstLine="0"/>
            </w:pPr>
            <w:r w:rsidRPr="004D46AC">
              <w:t>257</w:t>
            </w:r>
          </w:p>
        </w:tc>
        <w:tc>
          <w:tcPr>
            <w:tcW w:w="986" w:type="dxa"/>
            <w:vAlign w:val="center"/>
          </w:tcPr>
          <w:p w14:paraId="21B457B3" w14:textId="77777777" w:rsidR="009864DB" w:rsidRPr="004D46AC" w:rsidRDefault="009864DB" w:rsidP="009864DB">
            <w:pPr>
              <w:spacing w:line="240" w:lineRule="auto"/>
              <w:ind w:firstLine="0"/>
            </w:pPr>
            <w:r w:rsidRPr="004D46AC">
              <w:t>2</w:t>
            </w:r>
          </w:p>
        </w:tc>
        <w:tc>
          <w:tcPr>
            <w:tcW w:w="751" w:type="dxa"/>
            <w:vAlign w:val="center"/>
          </w:tcPr>
          <w:p w14:paraId="1E9528EC" w14:textId="77777777" w:rsidR="009864DB" w:rsidRPr="004D46AC" w:rsidRDefault="009864DB" w:rsidP="009864DB">
            <w:pPr>
              <w:spacing w:line="240" w:lineRule="auto"/>
              <w:ind w:firstLine="0"/>
            </w:pPr>
            <w:r w:rsidRPr="004D46AC">
              <w:t>1</w:t>
            </w:r>
          </w:p>
        </w:tc>
        <w:tc>
          <w:tcPr>
            <w:tcW w:w="752" w:type="dxa"/>
            <w:vAlign w:val="center"/>
          </w:tcPr>
          <w:p w14:paraId="5B4FB6BB" w14:textId="77777777" w:rsidR="009864DB" w:rsidRPr="004D46AC" w:rsidRDefault="009864DB" w:rsidP="009864DB">
            <w:pPr>
              <w:spacing w:line="240" w:lineRule="auto"/>
              <w:ind w:firstLine="0"/>
            </w:pPr>
            <w:r w:rsidRPr="004D46AC">
              <w:t>2</w:t>
            </w:r>
          </w:p>
        </w:tc>
        <w:tc>
          <w:tcPr>
            <w:tcW w:w="1296" w:type="dxa"/>
            <w:vAlign w:val="center"/>
          </w:tcPr>
          <w:p w14:paraId="1C220B56" w14:textId="77777777" w:rsidR="009864DB" w:rsidRPr="004D46AC" w:rsidRDefault="009864DB" w:rsidP="009864DB">
            <w:pPr>
              <w:spacing w:line="240" w:lineRule="auto"/>
              <w:ind w:firstLine="0"/>
            </w:pPr>
            <w:r w:rsidRPr="004D46AC">
              <w:t>151</w:t>
            </w:r>
          </w:p>
        </w:tc>
        <w:tc>
          <w:tcPr>
            <w:tcW w:w="752" w:type="dxa"/>
            <w:vAlign w:val="center"/>
          </w:tcPr>
          <w:p w14:paraId="6119AF31" w14:textId="77777777" w:rsidR="009864DB" w:rsidRPr="004D46AC" w:rsidRDefault="009864DB" w:rsidP="009864DB">
            <w:pPr>
              <w:spacing w:line="240" w:lineRule="auto"/>
              <w:ind w:firstLine="0"/>
            </w:pPr>
            <w:r w:rsidRPr="004D46AC">
              <w:t>NA</w:t>
            </w:r>
          </w:p>
        </w:tc>
        <w:tc>
          <w:tcPr>
            <w:tcW w:w="789" w:type="dxa"/>
            <w:gridSpan w:val="2"/>
            <w:vAlign w:val="center"/>
          </w:tcPr>
          <w:p w14:paraId="3162D98C" w14:textId="77777777" w:rsidR="009864DB" w:rsidRPr="004D46AC" w:rsidRDefault="009864DB" w:rsidP="009864DB">
            <w:pPr>
              <w:spacing w:line="240" w:lineRule="auto"/>
              <w:ind w:firstLine="0"/>
            </w:pPr>
            <w:r w:rsidRPr="004D46AC">
              <w:t>NA</w:t>
            </w:r>
          </w:p>
        </w:tc>
      </w:tr>
      <w:tr w:rsidR="009864DB" w:rsidRPr="004D46AC" w14:paraId="3CCF20F7" w14:textId="77777777" w:rsidTr="00B518F1">
        <w:tc>
          <w:tcPr>
            <w:tcW w:w="1476" w:type="dxa"/>
          </w:tcPr>
          <w:p w14:paraId="20A76D23" w14:textId="77777777" w:rsidR="009864DB" w:rsidRPr="004D46AC" w:rsidRDefault="009864DB" w:rsidP="009864DB">
            <w:pPr>
              <w:spacing w:line="240" w:lineRule="auto"/>
              <w:ind w:firstLine="0"/>
            </w:pPr>
            <w:r w:rsidRPr="004D46AC">
              <w:fldChar w:fldCharType="begin">
                <w:fldData xml:space="preserve">PEVuZE5vdGU+PENpdGUgQXV0aG9yWWVhcj0iMSI+PEF1dGhvcj5CYXVlcjwvQXV0aG9yPjxZZWFy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 </w:instrText>
            </w:r>
            <w:r w:rsidRPr="004D46AC">
              <w:fldChar w:fldCharType="begin">
                <w:fldData xml:space="preserve">PEVuZE5vdGU+PENpdGUgQXV0aG9yWWVhcj0iMSI+PEF1dGhvcj5CYXVlcjwvQXV0aG9yPjxZZWFy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EN.CITE.DATA </w:instrText>
            </w:r>
            <w:r w:rsidRPr="004D46AC">
              <w:fldChar w:fldCharType="end"/>
            </w:r>
            <w:r w:rsidRPr="004D46AC">
              <w:fldChar w:fldCharType="separate"/>
            </w:r>
            <w:r w:rsidRPr="004D46AC">
              <w:t>Bauer et al. (1994)</w:t>
            </w:r>
            <w:r w:rsidRPr="004D46AC">
              <w:fldChar w:fldCharType="end"/>
            </w:r>
          </w:p>
        </w:tc>
        <w:tc>
          <w:tcPr>
            <w:tcW w:w="754" w:type="dxa"/>
            <w:vAlign w:val="center"/>
          </w:tcPr>
          <w:p w14:paraId="52129B60" w14:textId="77777777" w:rsidR="009864DB" w:rsidRPr="004D46AC" w:rsidRDefault="009864DB" w:rsidP="009864DB">
            <w:pPr>
              <w:spacing w:line="240" w:lineRule="auto"/>
              <w:ind w:firstLine="0"/>
            </w:pPr>
            <w:r w:rsidRPr="004D46AC">
              <w:t>5</w:t>
            </w:r>
          </w:p>
        </w:tc>
        <w:tc>
          <w:tcPr>
            <w:tcW w:w="766" w:type="dxa"/>
            <w:vAlign w:val="center"/>
          </w:tcPr>
          <w:p w14:paraId="2EDF8C8A" w14:textId="77777777" w:rsidR="009864DB" w:rsidRPr="004D46AC" w:rsidRDefault="009864DB" w:rsidP="009864DB">
            <w:pPr>
              <w:spacing w:line="240" w:lineRule="auto"/>
              <w:ind w:firstLine="0"/>
            </w:pPr>
            <w:r w:rsidRPr="004D46AC">
              <w:t>38.55</w:t>
            </w:r>
          </w:p>
        </w:tc>
        <w:tc>
          <w:tcPr>
            <w:tcW w:w="1096" w:type="dxa"/>
            <w:vAlign w:val="center"/>
          </w:tcPr>
          <w:p w14:paraId="511F5BBB" w14:textId="77777777" w:rsidR="009864DB" w:rsidRPr="004D46AC" w:rsidRDefault="009864DB" w:rsidP="009864DB">
            <w:pPr>
              <w:spacing w:line="240" w:lineRule="auto"/>
              <w:ind w:firstLine="0"/>
            </w:pPr>
            <w:r w:rsidRPr="004D46AC">
              <w:t>mixed</w:t>
            </w:r>
          </w:p>
        </w:tc>
        <w:tc>
          <w:tcPr>
            <w:tcW w:w="1415" w:type="dxa"/>
            <w:vAlign w:val="center"/>
          </w:tcPr>
          <w:p w14:paraId="3B0EE75B" w14:textId="77777777" w:rsidR="009864DB" w:rsidRPr="004D46AC" w:rsidRDefault="009864DB" w:rsidP="009864DB">
            <w:pPr>
              <w:spacing w:line="240" w:lineRule="auto"/>
              <w:ind w:firstLine="0"/>
            </w:pPr>
            <w:r w:rsidRPr="004D46AC">
              <w:t>unclear</w:t>
            </w:r>
          </w:p>
        </w:tc>
        <w:tc>
          <w:tcPr>
            <w:tcW w:w="876" w:type="dxa"/>
            <w:vAlign w:val="center"/>
          </w:tcPr>
          <w:p w14:paraId="45CE6068" w14:textId="77777777" w:rsidR="009864DB" w:rsidRPr="004D46AC" w:rsidRDefault="009864DB" w:rsidP="009864DB">
            <w:pPr>
              <w:spacing w:line="240" w:lineRule="auto"/>
              <w:ind w:firstLine="0"/>
            </w:pPr>
            <w:r w:rsidRPr="004D46AC">
              <w:t>239</w:t>
            </w:r>
          </w:p>
        </w:tc>
        <w:tc>
          <w:tcPr>
            <w:tcW w:w="986" w:type="dxa"/>
            <w:vAlign w:val="center"/>
          </w:tcPr>
          <w:p w14:paraId="19554129" w14:textId="77777777" w:rsidR="009864DB" w:rsidRPr="004D46AC" w:rsidRDefault="009864DB" w:rsidP="009864DB">
            <w:pPr>
              <w:spacing w:line="240" w:lineRule="auto"/>
              <w:ind w:firstLine="0"/>
            </w:pPr>
            <w:r w:rsidRPr="004D46AC">
              <w:t>2</w:t>
            </w:r>
          </w:p>
        </w:tc>
        <w:tc>
          <w:tcPr>
            <w:tcW w:w="751" w:type="dxa"/>
            <w:vAlign w:val="center"/>
          </w:tcPr>
          <w:p w14:paraId="76B19164" w14:textId="77777777" w:rsidR="009864DB" w:rsidRPr="004D46AC" w:rsidRDefault="009864DB" w:rsidP="009864DB">
            <w:pPr>
              <w:spacing w:line="240" w:lineRule="auto"/>
              <w:ind w:firstLine="0"/>
            </w:pPr>
            <w:r w:rsidRPr="004D46AC">
              <w:t>1</w:t>
            </w:r>
          </w:p>
        </w:tc>
        <w:tc>
          <w:tcPr>
            <w:tcW w:w="752" w:type="dxa"/>
            <w:vAlign w:val="center"/>
          </w:tcPr>
          <w:p w14:paraId="15239ED2" w14:textId="77777777" w:rsidR="009864DB" w:rsidRPr="004D46AC" w:rsidRDefault="009864DB" w:rsidP="009864DB">
            <w:pPr>
              <w:spacing w:line="240" w:lineRule="auto"/>
              <w:ind w:firstLine="0"/>
            </w:pPr>
            <w:r w:rsidRPr="004D46AC">
              <w:t>0</w:t>
            </w:r>
          </w:p>
        </w:tc>
        <w:tc>
          <w:tcPr>
            <w:tcW w:w="1296" w:type="dxa"/>
          </w:tcPr>
          <w:p w14:paraId="12908A93" w14:textId="77777777" w:rsidR="009864DB" w:rsidRPr="004D46AC" w:rsidRDefault="009864DB" w:rsidP="009864DB">
            <w:pPr>
              <w:spacing w:line="240" w:lineRule="auto"/>
              <w:ind w:firstLine="0"/>
            </w:pPr>
            <w:r w:rsidRPr="004D46AC">
              <w:t>105</w:t>
            </w:r>
          </w:p>
        </w:tc>
        <w:tc>
          <w:tcPr>
            <w:tcW w:w="752" w:type="dxa"/>
            <w:vAlign w:val="center"/>
          </w:tcPr>
          <w:p w14:paraId="4E20EA4A" w14:textId="77777777" w:rsidR="009864DB" w:rsidRPr="004D46AC" w:rsidRDefault="009864DB" w:rsidP="009864DB">
            <w:pPr>
              <w:spacing w:line="240" w:lineRule="auto"/>
              <w:ind w:firstLine="0"/>
            </w:pPr>
            <w:r w:rsidRPr="004D46AC">
              <w:t>NA</w:t>
            </w:r>
          </w:p>
        </w:tc>
        <w:tc>
          <w:tcPr>
            <w:tcW w:w="789" w:type="dxa"/>
            <w:gridSpan w:val="2"/>
            <w:vAlign w:val="center"/>
          </w:tcPr>
          <w:p w14:paraId="5FC8FE42" w14:textId="77777777" w:rsidR="009864DB" w:rsidRPr="004D46AC" w:rsidRDefault="009864DB" w:rsidP="009864DB">
            <w:pPr>
              <w:spacing w:line="240" w:lineRule="auto"/>
              <w:ind w:firstLine="0"/>
            </w:pPr>
            <w:r w:rsidRPr="004D46AC">
              <w:t>NA</w:t>
            </w:r>
          </w:p>
        </w:tc>
      </w:tr>
      <w:tr w:rsidR="009864DB" w:rsidRPr="004D46AC" w14:paraId="5C1EDAEE" w14:textId="77777777" w:rsidTr="00B518F1">
        <w:tc>
          <w:tcPr>
            <w:tcW w:w="1476" w:type="dxa"/>
          </w:tcPr>
          <w:p w14:paraId="7130684A" w14:textId="77777777" w:rsidR="009864DB" w:rsidRPr="004D46AC" w:rsidRDefault="009864DB" w:rsidP="009864DB">
            <w:pPr>
              <w:spacing w:line="240" w:lineRule="auto"/>
              <w:ind w:firstLine="0"/>
            </w:pPr>
            <w:r w:rsidRPr="004D46AC">
              <w:lastRenderedPageBreak/>
              <w:fldChar w:fldCharType="begin">
                <w:fldData xml:space="preserve">PEVuZE5vdGU+PENpdGUgQXV0aG9yWWVhcj0iMSI+PEF1dGhvcj5EZSBEaW9zPC9BdXRob3I+PFll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</w:fldData>
              </w:fldChar>
            </w:r>
            <w:r w:rsidRPr="004D46AC">
              <w:instrText xml:space="preserve"> ADDIN EN.CITE </w:instrText>
            </w:r>
            <w:r w:rsidRPr="004D46AC">
              <w:fldChar w:fldCharType="begin">
                <w:fldData xml:space="preserve">PEVuZE5vdGU+PENpdGUgQXV0aG9yWWVhcj0iMSI+PEF1dGhvcj5EZSBEaW9zPC9BdXRob3I+PFll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</w:fldData>
              </w:fldChar>
            </w:r>
            <w:r w:rsidRPr="004D46AC">
              <w:instrText xml:space="preserve"> ADDIN EN.CITE.DATA </w:instrText>
            </w:r>
            <w:r w:rsidRPr="004D46AC">
              <w:fldChar w:fldCharType="end"/>
            </w:r>
            <w:r w:rsidRPr="004D46AC">
              <w:fldChar w:fldCharType="separate"/>
            </w:r>
            <w:r w:rsidRPr="004D46AC">
              <w:t>De Dios et al. (2012)</w:t>
            </w:r>
            <w:r w:rsidRPr="004D46AC">
              <w:fldChar w:fldCharType="end"/>
            </w:r>
          </w:p>
        </w:tc>
        <w:tc>
          <w:tcPr>
            <w:tcW w:w="754" w:type="dxa"/>
            <w:vAlign w:val="center"/>
          </w:tcPr>
          <w:p w14:paraId="691DC070" w14:textId="77777777" w:rsidR="009864DB" w:rsidRPr="004D46AC" w:rsidRDefault="009864DB" w:rsidP="009864DB">
            <w:pPr>
              <w:spacing w:line="240" w:lineRule="auto"/>
              <w:ind w:firstLine="0"/>
            </w:pPr>
            <w:r w:rsidRPr="004D46AC">
              <w:t>7</w:t>
            </w:r>
          </w:p>
        </w:tc>
        <w:tc>
          <w:tcPr>
            <w:tcW w:w="766" w:type="dxa"/>
            <w:vAlign w:val="center"/>
          </w:tcPr>
          <w:p w14:paraId="356C75B6" w14:textId="77777777" w:rsidR="009864DB" w:rsidRPr="004D46AC" w:rsidRDefault="009864DB" w:rsidP="009864DB">
            <w:pPr>
              <w:spacing w:line="240" w:lineRule="auto"/>
              <w:ind w:firstLine="0"/>
            </w:pPr>
            <w:r w:rsidRPr="004D46AC">
              <w:t>48.6</w:t>
            </w:r>
          </w:p>
        </w:tc>
        <w:tc>
          <w:tcPr>
            <w:tcW w:w="1096" w:type="dxa"/>
            <w:vAlign w:val="center"/>
          </w:tcPr>
          <w:p w14:paraId="1CEC859C" w14:textId="77777777" w:rsidR="009864DB" w:rsidRPr="004D46AC" w:rsidRDefault="009864DB" w:rsidP="009864DB">
            <w:pPr>
              <w:spacing w:line="240" w:lineRule="auto"/>
              <w:ind w:firstLine="0"/>
            </w:pPr>
            <w:r w:rsidRPr="004D46AC">
              <w:t>DSM4TR</w:t>
            </w:r>
          </w:p>
        </w:tc>
        <w:tc>
          <w:tcPr>
            <w:tcW w:w="1415" w:type="dxa"/>
            <w:vAlign w:val="center"/>
          </w:tcPr>
          <w:p w14:paraId="38CE77E1" w14:textId="77777777" w:rsidR="009864DB" w:rsidRPr="004D46AC" w:rsidRDefault="009864DB" w:rsidP="009864DB">
            <w:pPr>
              <w:spacing w:line="240" w:lineRule="auto"/>
              <w:ind w:firstLine="0"/>
            </w:pPr>
            <w:r w:rsidRPr="004D46AC">
              <w:t>MINI</w:t>
            </w:r>
          </w:p>
        </w:tc>
        <w:tc>
          <w:tcPr>
            <w:tcW w:w="876" w:type="dxa"/>
            <w:vAlign w:val="center"/>
          </w:tcPr>
          <w:p w14:paraId="63D9D425" w14:textId="77777777" w:rsidR="009864DB" w:rsidRPr="004D46AC" w:rsidRDefault="009864DB" w:rsidP="009864DB">
            <w:pPr>
              <w:spacing w:line="240" w:lineRule="auto"/>
              <w:ind w:firstLine="0"/>
            </w:pPr>
            <w:r w:rsidRPr="004D46AC">
              <w:t>225</w:t>
            </w:r>
          </w:p>
        </w:tc>
        <w:tc>
          <w:tcPr>
            <w:tcW w:w="986" w:type="dxa"/>
            <w:vAlign w:val="center"/>
          </w:tcPr>
          <w:p w14:paraId="36AC6E60" w14:textId="77777777" w:rsidR="009864DB" w:rsidRPr="004D46AC" w:rsidRDefault="009864DB" w:rsidP="009864DB">
            <w:pPr>
              <w:spacing w:line="240" w:lineRule="auto"/>
              <w:ind w:firstLine="0"/>
            </w:pPr>
            <w:r w:rsidRPr="004D46AC">
              <w:t>1</w:t>
            </w:r>
          </w:p>
        </w:tc>
        <w:tc>
          <w:tcPr>
            <w:tcW w:w="751" w:type="dxa"/>
            <w:vAlign w:val="center"/>
          </w:tcPr>
          <w:p w14:paraId="1013380A" w14:textId="77777777" w:rsidR="009864DB" w:rsidRPr="004D46AC" w:rsidRDefault="009864DB" w:rsidP="009864DB">
            <w:pPr>
              <w:spacing w:line="240" w:lineRule="auto"/>
              <w:ind w:firstLine="0"/>
            </w:pPr>
            <w:r w:rsidRPr="004D46AC">
              <w:t>1</w:t>
            </w:r>
          </w:p>
        </w:tc>
        <w:tc>
          <w:tcPr>
            <w:tcW w:w="752" w:type="dxa"/>
            <w:vAlign w:val="center"/>
          </w:tcPr>
          <w:p w14:paraId="4C597EF8" w14:textId="77777777" w:rsidR="009864DB" w:rsidRPr="004D46AC" w:rsidRDefault="009864DB" w:rsidP="009864DB">
            <w:pPr>
              <w:spacing w:line="240" w:lineRule="auto"/>
              <w:ind w:firstLine="0"/>
            </w:pPr>
            <w:r w:rsidRPr="004D46AC">
              <w:t>2</w:t>
            </w:r>
          </w:p>
        </w:tc>
        <w:tc>
          <w:tcPr>
            <w:tcW w:w="1296" w:type="dxa"/>
            <w:vAlign w:val="center"/>
          </w:tcPr>
          <w:p w14:paraId="2068D7CC" w14:textId="77777777" w:rsidR="009864DB" w:rsidRPr="004D46AC" w:rsidRDefault="009864DB" w:rsidP="009864DB">
            <w:pPr>
              <w:spacing w:line="240" w:lineRule="auto"/>
              <w:ind w:firstLine="0"/>
            </w:pPr>
            <w:r w:rsidRPr="004D46AC">
              <w:t>127</w:t>
            </w:r>
          </w:p>
        </w:tc>
        <w:tc>
          <w:tcPr>
            <w:tcW w:w="752" w:type="dxa"/>
            <w:vAlign w:val="center"/>
          </w:tcPr>
          <w:p w14:paraId="712B6F91" w14:textId="77777777" w:rsidR="009864DB" w:rsidRPr="004D46AC" w:rsidRDefault="009864DB" w:rsidP="009864DB">
            <w:pPr>
              <w:spacing w:line="240" w:lineRule="auto"/>
              <w:ind w:firstLine="0"/>
            </w:pPr>
            <w:r w:rsidRPr="004D46AC">
              <w:t>NA</w:t>
            </w:r>
          </w:p>
        </w:tc>
        <w:tc>
          <w:tcPr>
            <w:tcW w:w="789" w:type="dxa"/>
            <w:gridSpan w:val="2"/>
            <w:vAlign w:val="center"/>
          </w:tcPr>
          <w:p w14:paraId="2A64124D" w14:textId="77777777" w:rsidR="009864DB" w:rsidRPr="004D46AC" w:rsidRDefault="009864DB" w:rsidP="009864DB">
            <w:pPr>
              <w:spacing w:line="240" w:lineRule="auto"/>
              <w:ind w:firstLine="0"/>
            </w:pPr>
            <w:r w:rsidRPr="004D46AC">
              <w:t>NA</w:t>
            </w:r>
          </w:p>
        </w:tc>
      </w:tr>
      <w:tr w:rsidR="009864DB" w:rsidRPr="004D46AC" w14:paraId="2C921528" w14:textId="77777777" w:rsidTr="00B518F1">
        <w:tc>
          <w:tcPr>
            <w:tcW w:w="1476" w:type="dxa"/>
          </w:tcPr>
          <w:p w14:paraId="26C1B6D4" w14:textId="77777777" w:rsidR="009864DB" w:rsidRPr="004D46AC" w:rsidRDefault="009864DB" w:rsidP="009864DB">
            <w:pPr>
              <w:spacing w:line="240" w:lineRule="auto"/>
              <w:ind w:firstLine="0"/>
            </w:pPr>
            <w:r w:rsidRPr="004D46AC">
              <w:fldChar w:fldCharType="begin">
                <w:fldData xml:space="preserve">PEVuZE5vdGU+PENpdGUgQXV0aG9yWWVhcj0iMSI+PEF1dGhvcj5PbGluY3k8L0F1dGhvcj48WWVh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 </w:instrText>
            </w:r>
            <w:r w:rsidRPr="004D46AC">
              <w:fldChar w:fldCharType="begin">
                <w:fldData xml:space="preserve">PEVuZE5vdGU+PENpdGUgQXV0aG9yWWVhcj0iMSI+PEF1dGhvcj5PbGluY3k8L0F1dGhvcj48WWVh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EN.CITE.DATA </w:instrText>
            </w:r>
            <w:r w:rsidRPr="004D46AC">
              <w:fldChar w:fldCharType="end"/>
            </w:r>
            <w:r w:rsidRPr="004D46AC">
              <w:fldChar w:fldCharType="separate"/>
            </w:r>
            <w:r w:rsidRPr="004D46AC">
              <w:t>Olincy and Martin (2005)</w:t>
            </w:r>
            <w:r w:rsidRPr="004D46AC">
              <w:fldChar w:fldCharType="end"/>
            </w:r>
          </w:p>
        </w:tc>
        <w:tc>
          <w:tcPr>
            <w:tcW w:w="754" w:type="dxa"/>
            <w:vAlign w:val="center"/>
          </w:tcPr>
          <w:p w14:paraId="708F98BD" w14:textId="77777777" w:rsidR="009864DB" w:rsidRPr="004D46AC" w:rsidRDefault="009864DB" w:rsidP="009864DB">
            <w:pPr>
              <w:spacing w:line="240" w:lineRule="auto"/>
              <w:ind w:firstLine="0"/>
            </w:pPr>
            <w:r w:rsidRPr="004D46AC">
              <w:t>4</w:t>
            </w:r>
          </w:p>
        </w:tc>
        <w:tc>
          <w:tcPr>
            <w:tcW w:w="766" w:type="dxa"/>
            <w:vAlign w:val="center"/>
          </w:tcPr>
          <w:p w14:paraId="4FE36D91" w14:textId="77777777" w:rsidR="009864DB" w:rsidRPr="004D46AC" w:rsidRDefault="009864DB" w:rsidP="009864DB">
            <w:pPr>
              <w:spacing w:line="240" w:lineRule="auto"/>
              <w:ind w:firstLine="0"/>
            </w:pPr>
            <w:r w:rsidRPr="004D46AC">
              <w:t>45.12</w:t>
            </w:r>
          </w:p>
        </w:tc>
        <w:tc>
          <w:tcPr>
            <w:tcW w:w="1096" w:type="dxa"/>
            <w:vAlign w:val="center"/>
          </w:tcPr>
          <w:p w14:paraId="62EF2486" w14:textId="77777777" w:rsidR="009864DB" w:rsidRPr="004D46AC" w:rsidRDefault="009864DB" w:rsidP="009864DB">
            <w:pPr>
              <w:spacing w:line="240" w:lineRule="auto"/>
              <w:ind w:firstLine="0"/>
            </w:pPr>
            <w:r w:rsidRPr="004D46AC">
              <w:t>DSM4</w:t>
            </w:r>
          </w:p>
        </w:tc>
        <w:tc>
          <w:tcPr>
            <w:tcW w:w="1415" w:type="dxa"/>
            <w:vAlign w:val="center"/>
          </w:tcPr>
          <w:p w14:paraId="0B590226" w14:textId="77777777" w:rsidR="009864DB" w:rsidRPr="004D46AC" w:rsidRDefault="009864DB" w:rsidP="009864DB">
            <w:pPr>
              <w:spacing w:line="240" w:lineRule="auto"/>
              <w:ind w:firstLine="0"/>
            </w:pPr>
            <w:r w:rsidRPr="004D46AC">
              <w:t>SCID</w:t>
            </w:r>
          </w:p>
        </w:tc>
        <w:tc>
          <w:tcPr>
            <w:tcW w:w="876" w:type="dxa"/>
            <w:vAlign w:val="center"/>
          </w:tcPr>
          <w:p w14:paraId="70B41AA2" w14:textId="77777777" w:rsidR="009864DB" w:rsidRPr="004D46AC" w:rsidRDefault="009864DB" w:rsidP="009864DB">
            <w:pPr>
              <w:spacing w:line="240" w:lineRule="auto"/>
              <w:ind w:firstLine="0"/>
            </w:pPr>
            <w:r w:rsidRPr="004D46AC">
              <w:t>42</w:t>
            </w:r>
          </w:p>
        </w:tc>
        <w:tc>
          <w:tcPr>
            <w:tcW w:w="986" w:type="dxa"/>
            <w:vAlign w:val="center"/>
          </w:tcPr>
          <w:p w14:paraId="486EA6D9" w14:textId="77777777" w:rsidR="009864DB" w:rsidRPr="004D46AC" w:rsidRDefault="009864DB" w:rsidP="009864DB">
            <w:pPr>
              <w:spacing w:line="240" w:lineRule="auto"/>
              <w:ind w:firstLine="0"/>
            </w:pPr>
            <w:r w:rsidRPr="004D46AC">
              <w:t>1</w:t>
            </w:r>
          </w:p>
        </w:tc>
        <w:tc>
          <w:tcPr>
            <w:tcW w:w="751" w:type="dxa"/>
            <w:vAlign w:val="center"/>
          </w:tcPr>
          <w:p w14:paraId="58039F2F" w14:textId="77777777" w:rsidR="009864DB" w:rsidRPr="004D46AC" w:rsidRDefault="009864DB" w:rsidP="009864DB">
            <w:pPr>
              <w:spacing w:line="240" w:lineRule="auto"/>
              <w:ind w:firstLine="0"/>
            </w:pPr>
            <w:r w:rsidRPr="004D46AC">
              <w:t>2</w:t>
            </w:r>
          </w:p>
        </w:tc>
        <w:tc>
          <w:tcPr>
            <w:tcW w:w="752" w:type="dxa"/>
            <w:vAlign w:val="center"/>
          </w:tcPr>
          <w:p w14:paraId="1DFEAB70" w14:textId="77777777" w:rsidR="009864DB" w:rsidRPr="004D46AC" w:rsidRDefault="009864DB" w:rsidP="009864DB">
            <w:pPr>
              <w:spacing w:line="240" w:lineRule="auto"/>
              <w:ind w:firstLine="0"/>
            </w:pPr>
            <w:r w:rsidRPr="004D46AC">
              <w:t>2</w:t>
            </w:r>
          </w:p>
        </w:tc>
        <w:tc>
          <w:tcPr>
            <w:tcW w:w="1296" w:type="dxa"/>
            <w:vAlign w:val="center"/>
          </w:tcPr>
          <w:p w14:paraId="4E03A79A" w14:textId="77777777" w:rsidR="009864DB" w:rsidRPr="004D46AC" w:rsidRDefault="009864DB" w:rsidP="009864DB">
            <w:pPr>
              <w:spacing w:line="240" w:lineRule="auto"/>
              <w:ind w:firstLine="0"/>
            </w:pPr>
            <w:r w:rsidRPr="004D46AC">
              <w:t>29</w:t>
            </w:r>
          </w:p>
        </w:tc>
        <w:tc>
          <w:tcPr>
            <w:tcW w:w="752" w:type="dxa"/>
            <w:vAlign w:val="center"/>
          </w:tcPr>
          <w:p w14:paraId="7D419675" w14:textId="77777777" w:rsidR="009864DB" w:rsidRPr="004D46AC" w:rsidRDefault="009864DB" w:rsidP="009864DB">
            <w:pPr>
              <w:spacing w:line="240" w:lineRule="auto"/>
              <w:ind w:firstLine="0"/>
            </w:pPr>
            <w:r w:rsidRPr="004D46AC">
              <w:t>NA</w:t>
            </w:r>
          </w:p>
        </w:tc>
        <w:tc>
          <w:tcPr>
            <w:tcW w:w="789" w:type="dxa"/>
            <w:gridSpan w:val="2"/>
            <w:vAlign w:val="center"/>
          </w:tcPr>
          <w:p w14:paraId="58360CB3" w14:textId="77777777" w:rsidR="009864DB" w:rsidRPr="004D46AC" w:rsidRDefault="009864DB" w:rsidP="009864DB">
            <w:pPr>
              <w:spacing w:line="240" w:lineRule="auto"/>
              <w:ind w:firstLine="0"/>
            </w:pPr>
            <w:r w:rsidRPr="004D46AC">
              <w:t>NA</w:t>
            </w:r>
          </w:p>
        </w:tc>
      </w:tr>
      <w:tr w:rsidR="009864DB" w:rsidRPr="004D46AC" w14:paraId="1C932513" w14:textId="77777777" w:rsidTr="00B518F1">
        <w:tc>
          <w:tcPr>
            <w:tcW w:w="1476" w:type="dxa"/>
          </w:tcPr>
          <w:p w14:paraId="7B42691C" w14:textId="77777777" w:rsidR="009864DB" w:rsidRPr="004D46AC" w:rsidRDefault="009864DB" w:rsidP="009864DB">
            <w:pPr>
              <w:spacing w:line="240" w:lineRule="auto"/>
              <w:ind w:firstLine="0"/>
            </w:pPr>
            <w:r w:rsidRPr="004D46AC">
              <w:fldChar w:fldCharType="begin">
                <w:fldData xml:space="preserve">PEVuZE5vdGU+PENpdGUgQXV0aG9yWWVhcj0iMSI+PEF1dGhvcj5BbmNpbjwvQXV0aG9yPjxZZWFy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instrText xml:space="preserve"> ADDIN EN.CITE </w:instrText>
            </w:r>
            <w:r w:rsidRPr="004D46AC">
              <w:fldChar w:fldCharType="begin">
                <w:fldData xml:space="preserve">PEVuZE5vdGU+PENpdGUgQXV0aG9yWWVhcj0iMSI+PEF1dGhvcj5BbmNpbjwvQXV0aG9yPjxZZWFy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instrText xml:space="preserve"> ADDIN EN.CITE.DATA </w:instrText>
            </w:r>
            <w:r w:rsidRPr="004D46AC">
              <w:fldChar w:fldCharType="end"/>
            </w:r>
            <w:r w:rsidRPr="004D46AC">
              <w:fldChar w:fldCharType="separate"/>
            </w:r>
            <w:r w:rsidRPr="004D46AC">
              <w:t>Ancin et al. (2013)</w:t>
            </w:r>
            <w:r w:rsidRPr="004D46AC">
              <w:fldChar w:fldCharType="end"/>
            </w:r>
          </w:p>
        </w:tc>
        <w:tc>
          <w:tcPr>
            <w:tcW w:w="754" w:type="dxa"/>
            <w:vAlign w:val="center"/>
          </w:tcPr>
          <w:p w14:paraId="3DC73F3F" w14:textId="77777777" w:rsidR="009864DB" w:rsidRPr="004D46AC" w:rsidRDefault="009864DB" w:rsidP="009864DB">
            <w:pPr>
              <w:spacing w:line="240" w:lineRule="auto"/>
              <w:ind w:firstLine="0"/>
            </w:pPr>
            <w:r w:rsidRPr="004D46AC">
              <w:t>4</w:t>
            </w:r>
          </w:p>
        </w:tc>
        <w:tc>
          <w:tcPr>
            <w:tcW w:w="766" w:type="dxa"/>
            <w:vAlign w:val="center"/>
          </w:tcPr>
          <w:p w14:paraId="1FD23944" w14:textId="77777777" w:rsidR="009864DB" w:rsidRPr="004D46AC" w:rsidRDefault="009864DB" w:rsidP="009864DB">
            <w:pPr>
              <w:spacing w:line="240" w:lineRule="auto"/>
              <w:ind w:firstLine="0"/>
            </w:pPr>
            <w:r w:rsidRPr="004D46AC">
              <w:t>42.9</w:t>
            </w:r>
          </w:p>
        </w:tc>
        <w:tc>
          <w:tcPr>
            <w:tcW w:w="1096" w:type="dxa"/>
            <w:vAlign w:val="center"/>
          </w:tcPr>
          <w:p w14:paraId="5EEBB653" w14:textId="77777777" w:rsidR="009864DB" w:rsidRPr="004D46AC" w:rsidRDefault="009864DB" w:rsidP="009864DB">
            <w:pPr>
              <w:spacing w:line="240" w:lineRule="auto"/>
              <w:ind w:firstLine="0"/>
            </w:pPr>
            <w:r w:rsidRPr="004D46AC">
              <w:t>DSM4</w:t>
            </w:r>
          </w:p>
        </w:tc>
        <w:tc>
          <w:tcPr>
            <w:tcW w:w="1415" w:type="dxa"/>
            <w:vAlign w:val="center"/>
          </w:tcPr>
          <w:p w14:paraId="13BE7914" w14:textId="77777777" w:rsidR="009864DB" w:rsidRPr="004D46AC" w:rsidRDefault="009864DB" w:rsidP="009864DB">
            <w:pPr>
              <w:spacing w:line="240" w:lineRule="auto"/>
              <w:ind w:firstLine="0"/>
            </w:pPr>
            <w:r w:rsidRPr="004D46AC">
              <w:t>SCID-P</w:t>
            </w:r>
          </w:p>
        </w:tc>
        <w:tc>
          <w:tcPr>
            <w:tcW w:w="876" w:type="dxa"/>
            <w:vAlign w:val="center"/>
          </w:tcPr>
          <w:p w14:paraId="0D37AF76" w14:textId="77777777" w:rsidR="009864DB" w:rsidRPr="004D46AC" w:rsidRDefault="009864DB" w:rsidP="009864DB">
            <w:pPr>
              <w:spacing w:line="240" w:lineRule="auto"/>
              <w:ind w:firstLine="0"/>
            </w:pPr>
            <w:r w:rsidRPr="004D46AC">
              <w:t>148</w:t>
            </w:r>
          </w:p>
        </w:tc>
        <w:tc>
          <w:tcPr>
            <w:tcW w:w="986" w:type="dxa"/>
            <w:vAlign w:val="center"/>
          </w:tcPr>
          <w:p w14:paraId="2C530860" w14:textId="77777777" w:rsidR="009864DB" w:rsidRPr="004D46AC" w:rsidRDefault="009864DB" w:rsidP="009864DB">
            <w:pPr>
              <w:spacing w:line="240" w:lineRule="auto"/>
              <w:ind w:firstLine="0"/>
            </w:pPr>
            <w:r w:rsidRPr="004D46AC">
              <w:t>unclear</w:t>
            </w:r>
          </w:p>
        </w:tc>
        <w:tc>
          <w:tcPr>
            <w:tcW w:w="751" w:type="dxa"/>
            <w:vAlign w:val="center"/>
          </w:tcPr>
          <w:p w14:paraId="087521CC" w14:textId="77777777" w:rsidR="009864DB" w:rsidRPr="004D46AC" w:rsidRDefault="009864DB" w:rsidP="009864DB">
            <w:pPr>
              <w:spacing w:line="240" w:lineRule="auto"/>
              <w:ind w:firstLine="0"/>
            </w:pPr>
            <w:r w:rsidRPr="004D46AC">
              <w:t>1</w:t>
            </w:r>
          </w:p>
        </w:tc>
        <w:tc>
          <w:tcPr>
            <w:tcW w:w="752" w:type="dxa"/>
            <w:vAlign w:val="center"/>
          </w:tcPr>
          <w:p w14:paraId="109E3733" w14:textId="77777777" w:rsidR="009864DB" w:rsidRPr="004D46AC" w:rsidRDefault="009864DB" w:rsidP="009864DB">
            <w:pPr>
              <w:spacing w:line="240" w:lineRule="auto"/>
              <w:ind w:firstLine="0"/>
            </w:pPr>
            <w:r w:rsidRPr="004D46AC">
              <w:t>2</w:t>
            </w:r>
          </w:p>
        </w:tc>
        <w:tc>
          <w:tcPr>
            <w:tcW w:w="1296" w:type="dxa"/>
            <w:vAlign w:val="center"/>
          </w:tcPr>
          <w:p w14:paraId="20B859D3" w14:textId="77777777" w:rsidR="009864DB" w:rsidRPr="004D46AC" w:rsidRDefault="009864DB" w:rsidP="009864DB">
            <w:pPr>
              <w:spacing w:line="240" w:lineRule="auto"/>
              <w:ind w:firstLine="0"/>
            </w:pPr>
            <w:r w:rsidRPr="004D46AC">
              <w:t>93</w:t>
            </w:r>
          </w:p>
        </w:tc>
        <w:tc>
          <w:tcPr>
            <w:tcW w:w="752" w:type="dxa"/>
            <w:vAlign w:val="center"/>
          </w:tcPr>
          <w:p w14:paraId="5B5AB344" w14:textId="77777777" w:rsidR="009864DB" w:rsidRPr="004D46AC" w:rsidRDefault="009864DB" w:rsidP="009864DB">
            <w:pPr>
              <w:spacing w:line="240" w:lineRule="auto"/>
              <w:ind w:firstLine="0"/>
            </w:pPr>
            <w:r w:rsidRPr="004D46AC">
              <w:t>NA</w:t>
            </w:r>
          </w:p>
        </w:tc>
        <w:tc>
          <w:tcPr>
            <w:tcW w:w="789" w:type="dxa"/>
            <w:gridSpan w:val="2"/>
            <w:vAlign w:val="center"/>
          </w:tcPr>
          <w:p w14:paraId="419C19B6" w14:textId="77777777" w:rsidR="009864DB" w:rsidRPr="004D46AC" w:rsidRDefault="009864DB" w:rsidP="009864DB">
            <w:pPr>
              <w:spacing w:line="240" w:lineRule="auto"/>
              <w:ind w:firstLine="0"/>
            </w:pPr>
            <w:r w:rsidRPr="004D46AC">
              <w:t>NA</w:t>
            </w:r>
          </w:p>
        </w:tc>
      </w:tr>
      <w:tr w:rsidR="009864DB" w:rsidRPr="004D46AC" w14:paraId="2673329E" w14:textId="77777777" w:rsidTr="00B518F1">
        <w:tc>
          <w:tcPr>
            <w:tcW w:w="1476" w:type="dxa"/>
          </w:tcPr>
          <w:p w14:paraId="54020818" w14:textId="77777777" w:rsidR="009864DB" w:rsidRPr="004D46AC" w:rsidRDefault="009864DB" w:rsidP="009864DB">
            <w:pPr>
              <w:spacing w:line="240" w:lineRule="auto"/>
              <w:ind w:firstLine="0"/>
            </w:pPr>
            <w:r w:rsidRPr="004D46AC">
              <w:fldChar w:fldCharType="begin">
                <w:fldData xml:space="preserve">PEVuZE5vdGU+PENpdGUgQXV0aG9yWWVhcj0iMSI+PEF1dGhvcj5BbmdzdDwvQXV0aG9yPjxZZWFy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</w:fldData>
              </w:fldChar>
            </w:r>
            <w:r w:rsidRPr="004D46AC">
              <w:instrText xml:space="preserve"> ADDIN EN.CITE </w:instrText>
            </w:r>
            <w:r w:rsidRPr="004D46AC">
              <w:fldChar w:fldCharType="begin">
                <w:fldData xml:space="preserve">PEVuZE5vdGU+PENpdGUgQXV0aG9yWWVhcj0iMSI+PEF1dGhvcj5BbmdzdDwvQXV0aG9yPjxZZWFy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</w:fldData>
              </w:fldChar>
            </w:r>
            <w:r w:rsidRPr="004D46AC">
              <w:instrText xml:space="preserve"> ADDIN EN.CITE.DATA </w:instrText>
            </w:r>
            <w:r w:rsidRPr="004D46AC">
              <w:fldChar w:fldCharType="end"/>
            </w:r>
            <w:r w:rsidRPr="004D46AC">
              <w:fldChar w:fldCharType="separate"/>
            </w:r>
            <w:r w:rsidRPr="004D46AC">
              <w:t>Angst et al. (2004)</w:t>
            </w:r>
            <w:r w:rsidRPr="004D46AC">
              <w:fldChar w:fldCharType="end"/>
            </w:r>
          </w:p>
        </w:tc>
        <w:tc>
          <w:tcPr>
            <w:tcW w:w="754" w:type="dxa"/>
            <w:vAlign w:val="center"/>
          </w:tcPr>
          <w:p w14:paraId="6CFD516A" w14:textId="77777777" w:rsidR="009864DB" w:rsidRPr="004D46AC" w:rsidRDefault="009864DB" w:rsidP="009864DB">
            <w:pPr>
              <w:spacing w:line="240" w:lineRule="auto"/>
              <w:ind w:firstLine="0"/>
            </w:pPr>
            <w:r w:rsidRPr="004D46AC">
              <w:t>5</w:t>
            </w:r>
          </w:p>
        </w:tc>
        <w:tc>
          <w:tcPr>
            <w:tcW w:w="766" w:type="dxa"/>
            <w:vAlign w:val="center"/>
          </w:tcPr>
          <w:p w14:paraId="4D294166" w14:textId="77777777" w:rsidR="009864DB" w:rsidRPr="004D46AC" w:rsidRDefault="009864DB" w:rsidP="009864DB">
            <w:pPr>
              <w:spacing w:line="240" w:lineRule="auto"/>
              <w:ind w:firstLine="0"/>
            </w:pPr>
            <w:r w:rsidRPr="004D46AC">
              <w:t>65.27</w:t>
            </w:r>
          </w:p>
        </w:tc>
        <w:tc>
          <w:tcPr>
            <w:tcW w:w="1096" w:type="dxa"/>
            <w:vAlign w:val="center"/>
          </w:tcPr>
          <w:p w14:paraId="42BEC37E" w14:textId="77777777" w:rsidR="009864DB" w:rsidRPr="004D46AC" w:rsidRDefault="009864DB" w:rsidP="009864DB">
            <w:pPr>
              <w:spacing w:line="240" w:lineRule="auto"/>
              <w:ind w:firstLine="0"/>
            </w:pPr>
            <w:r w:rsidRPr="004D46AC">
              <w:t>mixed</w:t>
            </w:r>
          </w:p>
        </w:tc>
        <w:tc>
          <w:tcPr>
            <w:tcW w:w="1415" w:type="dxa"/>
            <w:vAlign w:val="center"/>
          </w:tcPr>
          <w:p w14:paraId="2B5E7FA8" w14:textId="77777777" w:rsidR="009864DB" w:rsidRPr="004D46AC" w:rsidRDefault="009864DB" w:rsidP="009864DB">
            <w:pPr>
              <w:spacing w:line="240" w:lineRule="auto"/>
              <w:ind w:firstLine="0"/>
            </w:pPr>
            <w:r w:rsidRPr="004D46AC">
              <w:t>unclear</w:t>
            </w:r>
          </w:p>
        </w:tc>
        <w:tc>
          <w:tcPr>
            <w:tcW w:w="876" w:type="dxa"/>
            <w:vAlign w:val="center"/>
          </w:tcPr>
          <w:p w14:paraId="6354236D" w14:textId="77777777" w:rsidR="009864DB" w:rsidRPr="004D46AC" w:rsidRDefault="009864DB" w:rsidP="009864DB">
            <w:pPr>
              <w:spacing w:line="240" w:lineRule="auto"/>
              <w:ind w:firstLine="0"/>
            </w:pPr>
            <w:r w:rsidRPr="004D46AC">
              <w:t>220</w:t>
            </w:r>
          </w:p>
        </w:tc>
        <w:tc>
          <w:tcPr>
            <w:tcW w:w="986" w:type="dxa"/>
            <w:vAlign w:val="center"/>
          </w:tcPr>
          <w:p w14:paraId="2DDFECCF" w14:textId="77777777" w:rsidR="009864DB" w:rsidRPr="004D46AC" w:rsidRDefault="009864DB" w:rsidP="009864DB">
            <w:pPr>
              <w:spacing w:line="240" w:lineRule="auto"/>
              <w:ind w:firstLine="0"/>
            </w:pPr>
            <w:r w:rsidRPr="004D46AC">
              <w:t>2</w:t>
            </w:r>
          </w:p>
        </w:tc>
        <w:tc>
          <w:tcPr>
            <w:tcW w:w="751" w:type="dxa"/>
            <w:vAlign w:val="center"/>
          </w:tcPr>
          <w:p w14:paraId="028C7D5F" w14:textId="77777777" w:rsidR="009864DB" w:rsidRPr="004D46AC" w:rsidRDefault="009864DB" w:rsidP="009864DB">
            <w:pPr>
              <w:spacing w:line="240" w:lineRule="auto"/>
              <w:ind w:firstLine="0"/>
            </w:pPr>
            <w:r w:rsidRPr="004D46AC">
              <w:t>1</w:t>
            </w:r>
          </w:p>
        </w:tc>
        <w:tc>
          <w:tcPr>
            <w:tcW w:w="752" w:type="dxa"/>
            <w:vAlign w:val="center"/>
          </w:tcPr>
          <w:p w14:paraId="62B25384" w14:textId="77777777" w:rsidR="009864DB" w:rsidRPr="004D46AC" w:rsidRDefault="009864DB" w:rsidP="009864DB">
            <w:pPr>
              <w:spacing w:line="240" w:lineRule="auto"/>
              <w:ind w:firstLine="0"/>
            </w:pPr>
            <w:r w:rsidRPr="004D46AC">
              <w:t>2</w:t>
            </w:r>
          </w:p>
        </w:tc>
        <w:tc>
          <w:tcPr>
            <w:tcW w:w="1296" w:type="dxa"/>
            <w:vAlign w:val="center"/>
          </w:tcPr>
          <w:p w14:paraId="6E3ADD06" w14:textId="77777777" w:rsidR="009864DB" w:rsidRPr="004D46AC" w:rsidRDefault="009864DB" w:rsidP="009864DB">
            <w:pPr>
              <w:spacing w:line="240" w:lineRule="auto"/>
              <w:ind w:firstLine="0"/>
            </w:pPr>
            <w:r w:rsidRPr="004D46AC">
              <w:t>152</w:t>
            </w:r>
          </w:p>
        </w:tc>
        <w:tc>
          <w:tcPr>
            <w:tcW w:w="752" w:type="dxa"/>
            <w:vAlign w:val="center"/>
          </w:tcPr>
          <w:p w14:paraId="633E1980" w14:textId="77777777" w:rsidR="009864DB" w:rsidRPr="004D46AC" w:rsidRDefault="009864DB" w:rsidP="009864DB">
            <w:pPr>
              <w:spacing w:line="240" w:lineRule="auto"/>
              <w:ind w:firstLine="0"/>
            </w:pPr>
            <w:r w:rsidRPr="004D46AC">
              <w:t>23</w:t>
            </w:r>
          </w:p>
        </w:tc>
        <w:tc>
          <w:tcPr>
            <w:tcW w:w="789" w:type="dxa"/>
            <w:gridSpan w:val="2"/>
            <w:vAlign w:val="center"/>
          </w:tcPr>
          <w:p w14:paraId="60653A1C" w14:textId="77777777" w:rsidR="009864DB" w:rsidRPr="004D46AC" w:rsidRDefault="009864DB" w:rsidP="009864DB">
            <w:pPr>
              <w:spacing w:line="240" w:lineRule="auto"/>
              <w:ind w:firstLine="0"/>
            </w:pPr>
            <w:r w:rsidRPr="004D46AC">
              <w:t>129</w:t>
            </w:r>
          </w:p>
        </w:tc>
      </w:tr>
      <w:tr w:rsidR="009864DB" w:rsidRPr="004D46AC" w14:paraId="7606627F" w14:textId="77777777" w:rsidTr="00B518F1">
        <w:tc>
          <w:tcPr>
            <w:tcW w:w="1476" w:type="dxa"/>
          </w:tcPr>
          <w:p w14:paraId="2C69A733" w14:textId="77777777" w:rsidR="009864DB" w:rsidRPr="004D46AC" w:rsidRDefault="009864DB" w:rsidP="009864DB">
            <w:pPr>
              <w:spacing w:line="240" w:lineRule="auto"/>
              <w:ind w:firstLine="0"/>
            </w:pPr>
            <w:r w:rsidRPr="004D46AC">
              <w:fldChar w:fldCharType="begin">
                <w:fldData xml:space="preserve">PEVuZE5vdGU+PENpdGUgQXV0aG9yWWVhcj0iMSI+PEF1dGhvcj5BbnRpY2V2aWM8L0F1dGhvcj48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</w:fldData>
              </w:fldChar>
            </w:r>
            <w:r w:rsidRPr="004D46AC">
              <w:instrText xml:space="preserve"> ADDIN EN.CITE </w:instrText>
            </w:r>
            <w:r w:rsidRPr="004D46AC">
              <w:fldChar w:fldCharType="begin">
                <w:fldData xml:space="preserve">PEVuZE5vdGU+PENpdGUgQXV0aG9yWWVhcj0iMSI+PEF1dGhvcj5BbnRpY2V2aWM8L0F1dGhvcj48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</w:fldData>
              </w:fldChar>
            </w:r>
            <w:r w:rsidRPr="004D46AC">
              <w:instrText xml:space="preserve"> ADDIN EN.CITE.DATA </w:instrText>
            </w:r>
            <w:r w:rsidRPr="004D46AC">
              <w:fldChar w:fldCharType="end"/>
            </w:r>
            <w:r w:rsidRPr="004D46AC">
              <w:fldChar w:fldCharType="separate"/>
            </w:r>
            <w:r w:rsidRPr="004D46AC">
              <w:t>Anticevic et al. (2013)</w:t>
            </w:r>
            <w:r w:rsidRPr="004D46AC">
              <w:fldChar w:fldCharType="end"/>
            </w:r>
          </w:p>
        </w:tc>
        <w:tc>
          <w:tcPr>
            <w:tcW w:w="754" w:type="dxa"/>
            <w:vAlign w:val="center"/>
          </w:tcPr>
          <w:p w14:paraId="6C401429" w14:textId="77777777" w:rsidR="009864DB" w:rsidRPr="004D46AC" w:rsidRDefault="009864DB" w:rsidP="009864DB">
            <w:pPr>
              <w:spacing w:line="240" w:lineRule="auto"/>
              <w:ind w:firstLine="0"/>
            </w:pPr>
            <w:r w:rsidRPr="004D46AC">
              <w:t>6</w:t>
            </w:r>
          </w:p>
        </w:tc>
        <w:tc>
          <w:tcPr>
            <w:tcW w:w="766" w:type="dxa"/>
            <w:vAlign w:val="center"/>
          </w:tcPr>
          <w:p w14:paraId="7152516B" w14:textId="77777777" w:rsidR="009864DB" w:rsidRPr="004D46AC" w:rsidRDefault="009864DB" w:rsidP="009864DB">
            <w:pPr>
              <w:spacing w:line="240" w:lineRule="auto"/>
              <w:ind w:firstLine="0"/>
            </w:pPr>
            <w:r w:rsidRPr="004D46AC">
              <w:t>31.93</w:t>
            </w:r>
          </w:p>
        </w:tc>
        <w:tc>
          <w:tcPr>
            <w:tcW w:w="1096" w:type="dxa"/>
            <w:vAlign w:val="center"/>
          </w:tcPr>
          <w:p w14:paraId="7E0A5EB1" w14:textId="77777777" w:rsidR="009864DB" w:rsidRPr="004D46AC" w:rsidRDefault="009864DB" w:rsidP="009864DB">
            <w:pPr>
              <w:spacing w:line="240" w:lineRule="auto"/>
              <w:ind w:firstLine="0"/>
            </w:pPr>
            <w:r w:rsidRPr="004D46AC">
              <w:t>DSM4</w:t>
            </w:r>
          </w:p>
        </w:tc>
        <w:tc>
          <w:tcPr>
            <w:tcW w:w="1415" w:type="dxa"/>
            <w:vAlign w:val="center"/>
          </w:tcPr>
          <w:p w14:paraId="6EDFB0FF" w14:textId="77777777" w:rsidR="009864DB" w:rsidRPr="004D46AC" w:rsidRDefault="009864DB" w:rsidP="009864DB">
            <w:pPr>
              <w:spacing w:line="240" w:lineRule="auto"/>
              <w:ind w:firstLine="0"/>
            </w:pPr>
            <w:r w:rsidRPr="004D46AC">
              <w:t>SCID</w:t>
            </w:r>
          </w:p>
        </w:tc>
        <w:tc>
          <w:tcPr>
            <w:tcW w:w="876" w:type="dxa"/>
            <w:vAlign w:val="center"/>
          </w:tcPr>
          <w:p w14:paraId="16961ADA" w14:textId="77777777" w:rsidR="009864DB" w:rsidRPr="004D46AC" w:rsidRDefault="009864DB" w:rsidP="009864DB">
            <w:pPr>
              <w:spacing w:line="240" w:lineRule="auto"/>
              <w:ind w:firstLine="0"/>
            </w:pPr>
            <w:r w:rsidRPr="004D46AC">
              <w:t>68</w:t>
            </w:r>
          </w:p>
        </w:tc>
        <w:tc>
          <w:tcPr>
            <w:tcW w:w="986" w:type="dxa"/>
            <w:vAlign w:val="center"/>
          </w:tcPr>
          <w:p w14:paraId="1790EC8C" w14:textId="77777777" w:rsidR="009864DB" w:rsidRPr="004D46AC" w:rsidRDefault="009864DB" w:rsidP="009864DB">
            <w:pPr>
              <w:spacing w:line="240" w:lineRule="auto"/>
              <w:ind w:firstLine="0"/>
            </w:pPr>
            <w:r w:rsidRPr="004D46AC">
              <w:t>1</w:t>
            </w:r>
          </w:p>
        </w:tc>
        <w:tc>
          <w:tcPr>
            <w:tcW w:w="751" w:type="dxa"/>
            <w:vAlign w:val="center"/>
          </w:tcPr>
          <w:p w14:paraId="2DCF780C" w14:textId="77777777" w:rsidR="009864DB" w:rsidRPr="004D46AC" w:rsidRDefault="009864DB" w:rsidP="009864DB">
            <w:pPr>
              <w:spacing w:line="240" w:lineRule="auto"/>
              <w:ind w:firstLine="0"/>
            </w:pPr>
            <w:r w:rsidRPr="004D46AC">
              <w:t>2</w:t>
            </w:r>
          </w:p>
        </w:tc>
        <w:tc>
          <w:tcPr>
            <w:tcW w:w="752" w:type="dxa"/>
            <w:vAlign w:val="center"/>
          </w:tcPr>
          <w:p w14:paraId="0B3D3F40" w14:textId="77777777" w:rsidR="009864DB" w:rsidRPr="004D46AC" w:rsidRDefault="009864DB" w:rsidP="009864DB">
            <w:pPr>
              <w:spacing w:line="240" w:lineRule="auto"/>
              <w:ind w:firstLine="0"/>
            </w:pPr>
            <w:r w:rsidRPr="004D46AC">
              <w:t>2</w:t>
            </w:r>
          </w:p>
        </w:tc>
        <w:tc>
          <w:tcPr>
            <w:tcW w:w="1296" w:type="dxa"/>
            <w:vAlign w:val="center"/>
          </w:tcPr>
          <w:p w14:paraId="47B03A63" w14:textId="77777777" w:rsidR="009864DB" w:rsidRPr="004D46AC" w:rsidRDefault="009864DB" w:rsidP="009864DB">
            <w:pPr>
              <w:spacing w:line="240" w:lineRule="auto"/>
              <w:ind w:firstLine="0"/>
            </w:pPr>
            <w:r w:rsidRPr="004D46AC">
              <w:t>34</w:t>
            </w:r>
          </w:p>
        </w:tc>
        <w:tc>
          <w:tcPr>
            <w:tcW w:w="752" w:type="dxa"/>
            <w:vAlign w:val="center"/>
          </w:tcPr>
          <w:p w14:paraId="4EBCD463" w14:textId="77777777" w:rsidR="009864DB" w:rsidRPr="004D46AC" w:rsidRDefault="009864DB" w:rsidP="009864DB">
            <w:pPr>
              <w:spacing w:line="240" w:lineRule="auto"/>
              <w:ind w:firstLine="0"/>
            </w:pPr>
            <w:r w:rsidRPr="004D46AC">
              <w:t>NA</w:t>
            </w:r>
          </w:p>
        </w:tc>
        <w:tc>
          <w:tcPr>
            <w:tcW w:w="789" w:type="dxa"/>
            <w:gridSpan w:val="2"/>
            <w:vAlign w:val="center"/>
          </w:tcPr>
          <w:p w14:paraId="3D2CAD6F" w14:textId="77777777" w:rsidR="009864DB" w:rsidRPr="004D46AC" w:rsidRDefault="009864DB" w:rsidP="009864DB">
            <w:pPr>
              <w:spacing w:line="240" w:lineRule="auto"/>
              <w:ind w:firstLine="0"/>
            </w:pPr>
            <w:r w:rsidRPr="004D46AC">
              <w:t>NA</w:t>
            </w:r>
          </w:p>
        </w:tc>
      </w:tr>
      <w:tr w:rsidR="009864DB" w:rsidRPr="004D46AC" w14:paraId="0FCCA0B3" w14:textId="77777777" w:rsidTr="00B518F1">
        <w:tc>
          <w:tcPr>
            <w:tcW w:w="1476" w:type="dxa"/>
          </w:tcPr>
          <w:p w14:paraId="6DFDA6E8" w14:textId="77777777" w:rsidR="009864DB" w:rsidRPr="004D46AC" w:rsidRDefault="009864DB" w:rsidP="009864DB">
            <w:pPr>
              <w:spacing w:line="240" w:lineRule="auto"/>
              <w:ind w:firstLine="0"/>
            </w:pPr>
            <w:r w:rsidRPr="004D46AC">
              <w:fldChar w:fldCharType="begin">
                <w:fldData xml:space="preserve">PEVuZE5vdGU+PENpdGUgQXV0aG9yWWVhcj0iMSI+PEF1dGhvcj5BbGxhcmR5Y2U8L0F1dGhvcj48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</w:fldData>
              </w:fldChar>
            </w:r>
            <w:r w:rsidRPr="004D46AC">
              <w:instrText xml:space="preserve"> ADDIN EN.CITE </w:instrText>
            </w:r>
            <w:r w:rsidRPr="004D46AC">
              <w:fldChar w:fldCharType="begin">
                <w:fldData xml:space="preserve">PEVuZE5vdGU+PENpdGUgQXV0aG9yWWVhcj0iMSI+PEF1dGhvcj5BbGxhcmR5Y2U8L0F1dGhvcj48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Allardyce et al. (2018)</w:t>
            </w:r>
            <w:r w:rsidRPr="004D46AC">
              <w:fldChar w:fldCharType="end"/>
            </w:r>
          </w:p>
        </w:tc>
        <w:tc>
          <w:tcPr>
            <w:tcW w:w="754" w:type="dxa"/>
            <w:vAlign w:val="center"/>
          </w:tcPr>
          <w:p w14:paraId="36F90D64" w14:textId="77777777" w:rsidR="009864DB" w:rsidRPr="004D46AC" w:rsidRDefault="009864DB" w:rsidP="009864DB">
            <w:pPr>
              <w:spacing w:line="240" w:lineRule="auto"/>
              <w:ind w:firstLine="0"/>
            </w:pPr>
            <w:r w:rsidRPr="004D46AC">
              <w:t>6</w:t>
            </w:r>
          </w:p>
        </w:tc>
        <w:tc>
          <w:tcPr>
            <w:tcW w:w="766" w:type="dxa"/>
            <w:vAlign w:val="center"/>
          </w:tcPr>
          <w:p w14:paraId="0B837997" w14:textId="77777777" w:rsidR="009864DB" w:rsidRPr="004D46AC" w:rsidRDefault="009864DB" w:rsidP="009864DB">
            <w:pPr>
              <w:spacing w:line="240" w:lineRule="auto"/>
              <w:ind w:firstLine="0"/>
            </w:pPr>
            <w:r w:rsidRPr="004D46AC">
              <w:t>46</w:t>
            </w:r>
          </w:p>
        </w:tc>
        <w:tc>
          <w:tcPr>
            <w:tcW w:w="1096" w:type="dxa"/>
            <w:vAlign w:val="center"/>
          </w:tcPr>
          <w:p w14:paraId="4DDC5B8A" w14:textId="77777777" w:rsidR="009864DB" w:rsidRPr="004D46AC" w:rsidRDefault="009864DB" w:rsidP="009864DB">
            <w:pPr>
              <w:spacing w:line="240" w:lineRule="auto"/>
              <w:ind w:firstLine="0"/>
            </w:pPr>
            <w:r w:rsidRPr="004D46AC">
              <w:t>RDC</w:t>
            </w:r>
          </w:p>
        </w:tc>
        <w:tc>
          <w:tcPr>
            <w:tcW w:w="1415" w:type="dxa"/>
            <w:vAlign w:val="center"/>
          </w:tcPr>
          <w:p w14:paraId="19B09421" w14:textId="77777777" w:rsidR="009864DB" w:rsidRPr="004D46AC" w:rsidRDefault="009864DB" w:rsidP="009864DB">
            <w:pPr>
              <w:spacing w:line="240" w:lineRule="auto"/>
              <w:ind w:firstLine="0"/>
            </w:pPr>
            <w:r w:rsidRPr="004D46AC">
              <w:t>SCAN</w:t>
            </w:r>
          </w:p>
        </w:tc>
        <w:tc>
          <w:tcPr>
            <w:tcW w:w="876" w:type="dxa"/>
            <w:vAlign w:val="center"/>
          </w:tcPr>
          <w:p w14:paraId="262F650C" w14:textId="77777777" w:rsidR="009864DB" w:rsidRPr="004D46AC" w:rsidRDefault="009864DB" w:rsidP="009864DB">
            <w:pPr>
              <w:spacing w:line="240" w:lineRule="auto"/>
              <w:ind w:firstLine="0"/>
            </w:pPr>
            <w:r w:rsidRPr="004D46AC">
              <w:t>4023</w:t>
            </w:r>
          </w:p>
        </w:tc>
        <w:tc>
          <w:tcPr>
            <w:tcW w:w="986" w:type="dxa"/>
            <w:vAlign w:val="center"/>
          </w:tcPr>
          <w:p w14:paraId="03443389" w14:textId="77777777" w:rsidR="009864DB" w:rsidRPr="004D46AC" w:rsidRDefault="009864DB" w:rsidP="009864DB">
            <w:pPr>
              <w:spacing w:line="240" w:lineRule="auto"/>
              <w:ind w:firstLine="0"/>
            </w:pPr>
            <w:r w:rsidRPr="004D46AC">
              <w:t>unclear</w:t>
            </w:r>
          </w:p>
        </w:tc>
        <w:tc>
          <w:tcPr>
            <w:tcW w:w="751" w:type="dxa"/>
            <w:vAlign w:val="center"/>
          </w:tcPr>
          <w:p w14:paraId="6A79CEC2" w14:textId="77777777" w:rsidR="009864DB" w:rsidRPr="004D46AC" w:rsidRDefault="009864DB" w:rsidP="009864DB">
            <w:pPr>
              <w:spacing w:line="240" w:lineRule="auto"/>
              <w:ind w:firstLine="0"/>
            </w:pPr>
            <w:r w:rsidRPr="004D46AC">
              <w:t>1</w:t>
            </w:r>
          </w:p>
        </w:tc>
        <w:tc>
          <w:tcPr>
            <w:tcW w:w="752" w:type="dxa"/>
            <w:vAlign w:val="center"/>
          </w:tcPr>
          <w:p w14:paraId="5DFDC6F6" w14:textId="77777777" w:rsidR="009864DB" w:rsidRPr="004D46AC" w:rsidRDefault="009864DB" w:rsidP="009864DB">
            <w:pPr>
              <w:spacing w:line="240" w:lineRule="auto"/>
              <w:ind w:firstLine="0"/>
            </w:pPr>
            <w:r w:rsidRPr="004D46AC">
              <w:t>2</w:t>
            </w:r>
          </w:p>
        </w:tc>
        <w:tc>
          <w:tcPr>
            <w:tcW w:w="1296" w:type="dxa"/>
            <w:vAlign w:val="center"/>
          </w:tcPr>
          <w:p w14:paraId="6BC6BE14" w14:textId="77777777" w:rsidR="009864DB" w:rsidRPr="004D46AC" w:rsidRDefault="009864DB" w:rsidP="009864DB">
            <w:pPr>
              <w:spacing w:line="240" w:lineRule="auto"/>
              <w:ind w:firstLine="0"/>
            </w:pPr>
            <w:r w:rsidRPr="004D46AC">
              <w:t>1945</w:t>
            </w:r>
          </w:p>
        </w:tc>
        <w:tc>
          <w:tcPr>
            <w:tcW w:w="752" w:type="dxa"/>
            <w:vAlign w:val="center"/>
          </w:tcPr>
          <w:p w14:paraId="427708FD" w14:textId="77777777" w:rsidR="009864DB" w:rsidRPr="004D46AC" w:rsidRDefault="009864DB" w:rsidP="009864DB">
            <w:pPr>
              <w:spacing w:line="240" w:lineRule="auto"/>
              <w:ind w:firstLine="0"/>
            </w:pPr>
            <w:r w:rsidRPr="004D46AC">
              <w:t>1315</w:t>
            </w:r>
          </w:p>
        </w:tc>
        <w:tc>
          <w:tcPr>
            <w:tcW w:w="789" w:type="dxa"/>
            <w:gridSpan w:val="2"/>
            <w:vAlign w:val="center"/>
          </w:tcPr>
          <w:p w14:paraId="6BA0B856" w14:textId="77777777" w:rsidR="009864DB" w:rsidRPr="004D46AC" w:rsidRDefault="009864DB" w:rsidP="009864DB">
            <w:pPr>
              <w:spacing w:line="240" w:lineRule="auto"/>
              <w:ind w:firstLine="0"/>
            </w:pPr>
            <w:r w:rsidRPr="004D46AC">
              <w:t>981</w:t>
            </w:r>
          </w:p>
        </w:tc>
      </w:tr>
      <w:tr w:rsidR="009864DB" w:rsidRPr="004D46AC" w14:paraId="53055CCA" w14:textId="77777777" w:rsidTr="00B518F1">
        <w:tc>
          <w:tcPr>
            <w:tcW w:w="1476" w:type="dxa"/>
          </w:tcPr>
          <w:p w14:paraId="383DA468" w14:textId="77777777" w:rsidR="009864DB" w:rsidRPr="004D46AC" w:rsidRDefault="009864DB" w:rsidP="009864DB">
            <w:pPr>
              <w:spacing w:line="240" w:lineRule="auto"/>
              <w:ind w:firstLine="0"/>
            </w:pPr>
            <w:r w:rsidRPr="004D46AC">
              <w:fldChar w:fldCharType="begin">
                <w:fldData xml:space="preserve">PEVuZE5vdGU+PENpdGUgQXV0aG9yWWVhcj0iMSI+PEF1dGhvcj5NaWxsaXNjaGVyPC9BdXRob3I+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</w:fldData>
              </w:fldChar>
            </w:r>
            <w:r w:rsidRPr="004D46AC">
              <w:instrText xml:space="preserve"> ADDIN EN.CITE </w:instrText>
            </w:r>
            <w:r w:rsidRPr="004D46AC">
              <w:fldChar w:fldCharType="begin">
                <w:fldData xml:space="preserve">PEVuZE5vdGU+PENpdGUgQXV0aG9yWWVhcj0iMSI+PEF1dGhvcj5NaWxsaXNjaGVyPC9BdXRob3I+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</w:fldData>
              </w:fldChar>
            </w:r>
            <w:r w:rsidRPr="004D46AC">
              <w:instrText xml:space="preserve"> ADDIN EN.CITE.DATA </w:instrText>
            </w:r>
            <w:r w:rsidRPr="004D46AC">
              <w:fldChar w:fldCharType="end"/>
            </w:r>
            <w:r w:rsidRPr="004D46AC">
              <w:fldChar w:fldCharType="separate"/>
            </w:r>
            <w:r w:rsidRPr="004D46AC">
              <w:t>Millischer et al. (2020)</w:t>
            </w:r>
            <w:r w:rsidRPr="004D46AC">
              <w:fldChar w:fldCharType="end"/>
            </w:r>
          </w:p>
        </w:tc>
        <w:tc>
          <w:tcPr>
            <w:tcW w:w="754" w:type="dxa"/>
            <w:vAlign w:val="center"/>
          </w:tcPr>
          <w:p w14:paraId="2FD8F828" w14:textId="77777777" w:rsidR="009864DB" w:rsidRPr="004D46AC" w:rsidRDefault="009864DB" w:rsidP="009864DB">
            <w:pPr>
              <w:spacing w:line="240" w:lineRule="auto"/>
              <w:ind w:firstLine="0"/>
            </w:pPr>
            <w:r w:rsidRPr="004D46AC">
              <w:t>6</w:t>
            </w:r>
          </w:p>
        </w:tc>
        <w:tc>
          <w:tcPr>
            <w:tcW w:w="766" w:type="dxa"/>
            <w:vAlign w:val="center"/>
          </w:tcPr>
          <w:p w14:paraId="31B4F039" w14:textId="77777777" w:rsidR="009864DB" w:rsidRPr="004D46AC" w:rsidRDefault="009864DB" w:rsidP="009864DB">
            <w:pPr>
              <w:spacing w:line="240" w:lineRule="auto"/>
              <w:ind w:firstLine="0"/>
            </w:pPr>
            <w:r w:rsidRPr="004D46AC">
              <w:t>46.6</w:t>
            </w:r>
          </w:p>
        </w:tc>
        <w:tc>
          <w:tcPr>
            <w:tcW w:w="1096" w:type="dxa"/>
            <w:vAlign w:val="center"/>
          </w:tcPr>
          <w:p w14:paraId="05707E72" w14:textId="77777777" w:rsidR="009864DB" w:rsidRPr="004D46AC" w:rsidRDefault="009864DB" w:rsidP="009864DB">
            <w:pPr>
              <w:spacing w:line="240" w:lineRule="auto"/>
              <w:ind w:firstLine="0"/>
            </w:pPr>
            <w:r w:rsidRPr="004D46AC">
              <w:t>DSM4</w:t>
            </w:r>
          </w:p>
        </w:tc>
        <w:tc>
          <w:tcPr>
            <w:tcW w:w="1415" w:type="dxa"/>
            <w:vAlign w:val="center"/>
          </w:tcPr>
          <w:p w14:paraId="47AF96AF" w14:textId="77777777" w:rsidR="009864DB" w:rsidRPr="004D46AC" w:rsidRDefault="009864DB" w:rsidP="009864DB">
            <w:pPr>
              <w:spacing w:line="240" w:lineRule="auto"/>
              <w:ind w:firstLine="0"/>
            </w:pPr>
            <w:r w:rsidRPr="004D46AC">
              <w:t>SCAN</w:t>
            </w:r>
          </w:p>
        </w:tc>
        <w:tc>
          <w:tcPr>
            <w:tcW w:w="876" w:type="dxa"/>
            <w:vAlign w:val="center"/>
          </w:tcPr>
          <w:p w14:paraId="3634850D" w14:textId="77777777" w:rsidR="009864DB" w:rsidRPr="004D46AC" w:rsidRDefault="009864DB" w:rsidP="009864DB">
            <w:pPr>
              <w:spacing w:line="240" w:lineRule="auto"/>
              <w:ind w:firstLine="0"/>
            </w:pPr>
            <w:r w:rsidRPr="004D46AC">
              <w:t>753</w:t>
            </w:r>
          </w:p>
        </w:tc>
        <w:tc>
          <w:tcPr>
            <w:tcW w:w="986" w:type="dxa"/>
            <w:vAlign w:val="center"/>
          </w:tcPr>
          <w:p w14:paraId="17E11685" w14:textId="77777777" w:rsidR="009864DB" w:rsidRPr="004D46AC" w:rsidRDefault="009864DB" w:rsidP="009864DB">
            <w:pPr>
              <w:spacing w:line="240" w:lineRule="auto"/>
              <w:ind w:firstLine="0"/>
            </w:pPr>
            <w:r w:rsidRPr="004D46AC">
              <w:t>2</w:t>
            </w:r>
          </w:p>
        </w:tc>
        <w:tc>
          <w:tcPr>
            <w:tcW w:w="751" w:type="dxa"/>
            <w:vAlign w:val="center"/>
          </w:tcPr>
          <w:p w14:paraId="3129BB24" w14:textId="77777777" w:rsidR="009864DB" w:rsidRPr="004D46AC" w:rsidRDefault="009864DB" w:rsidP="009864DB">
            <w:pPr>
              <w:spacing w:line="240" w:lineRule="auto"/>
              <w:ind w:firstLine="0"/>
            </w:pPr>
            <w:r w:rsidRPr="004D46AC">
              <w:t>1</w:t>
            </w:r>
          </w:p>
        </w:tc>
        <w:tc>
          <w:tcPr>
            <w:tcW w:w="752" w:type="dxa"/>
            <w:vAlign w:val="center"/>
          </w:tcPr>
          <w:p w14:paraId="28FD3137" w14:textId="77777777" w:rsidR="009864DB" w:rsidRPr="004D46AC" w:rsidRDefault="009864DB" w:rsidP="009864DB">
            <w:pPr>
              <w:spacing w:line="240" w:lineRule="auto"/>
              <w:ind w:firstLine="0"/>
            </w:pPr>
            <w:r w:rsidRPr="004D46AC">
              <w:t>2</w:t>
            </w:r>
          </w:p>
        </w:tc>
        <w:tc>
          <w:tcPr>
            <w:tcW w:w="1296" w:type="dxa"/>
            <w:vAlign w:val="center"/>
          </w:tcPr>
          <w:p w14:paraId="1455DC5B" w14:textId="77777777" w:rsidR="009864DB" w:rsidRPr="004D46AC" w:rsidRDefault="009864DB" w:rsidP="009864DB">
            <w:pPr>
              <w:spacing w:line="240" w:lineRule="auto"/>
              <w:ind w:firstLine="0"/>
            </w:pPr>
            <w:r w:rsidRPr="004D46AC">
              <w:t>509</w:t>
            </w:r>
          </w:p>
        </w:tc>
        <w:tc>
          <w:tcPr>
            <w:tcW w:w="752" w:type="dxa"/>
            <w:vAlign w:val="center"/>
          </w:tcPr>
          <w:p w14:paraId="3CF34C93" w14:textId="77777777" w:rsidR="009864DB" w:rsidRPr="004D46AC" w:rsidRDefault="009864DB" w:rsidP="009864DB">
            <w:pPr>
              <w:spacing w:line="240" w:lineRule="auto"/>
              <w:ind w:firstLine="0"/>
            </w:pPr>
            <w:r w:rsidRPr="004D46AC">
              <w:t>526</w:t>
            </w:r>
          </w:p>
        </w:tc>
        <w:tc>
          <w:tcPr>
            <w:tcW w:w="789" w:type="dxa"/>
            <w:gridSpan w:val="2"/>
            <w:vAlign w:val="center"/>
          </w:tcPr>
          <w:p w14:paraId="5CCD821C" w14:textId="77777777" w:rsidR="009864DB" w:rsidRPr="004D46AC" w:rsidRDefault="009864DB" w:rsidP="009864DB">
            <w:pPr>
              <w:spacing w:line="240" w:lineRule="auto"/>
              <w:ind w:firstLine="0"/>
            </w:pPr>
            <w:r w:rsidRPr="004D46AC">
              <w:t>210</w:t>
            </w:r>
          </w:p>
        </w:tc>
      </w:tr>
      <w:tr w:rsidR="009864DB" w:rsidRPr="004D46AC" w14:paraId="78B36296" w14:textId="77777777" w:rsidTr="00B518F1">
        <w:tc>
          <w:tcPr>
            <w:tcW w:w="1476" w:type="dxa"/>
          </w:tcPr>
          <w:p w14:paraId="0FC58B73" w14:textId="77777777" w:rsidR="009864DB" w:rsidRPr="004D46AC" w:rsidRDefault="009864DB" w:rsidP="009864DB">
            <w:pPr>
              <w:spacing w:line="240" w:lineRule="auto"/>
              <w:ind w:firstLine="0"/>
            </w:pPr>
            <w:r w:rsidRPr="004D46AC">
              <w:fldChar w:fldCharType="begin">
                <w:fldData xml:space="preserve">PEVuZE5vdGU+PENpdGUgQXV0aG9yWWVhcj0iMSI+PEF1dGhvcj5kZSBTb3VzYTwvQXV0aG9yPjxZ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</w:fldData>
              </w:fldChar>
            </w:r>
            <w:r w:rsidRPr="004D46AC">
              <w:instrText xml:space="preserve"> ADDIN EN.CITE </w:instrText>
            </w:r>
            <w:r w:rsidRPr="004D46AC">
              <w:fldChar w:fldCharType="begin">
                <w:fldData xml:space="preserve">PEVuZE5vdGU+PENpdGUgQXV0aG9yWWVhcj0iMSI+PEF1dGhvcj5kZSBTb3VzYTwvQXV0aG9yPjxZ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</w:fldData>
              </w:fldChar>
            </w:r>
            <w:r w:rsidRPr="004D46AC">
              <w:instrText xml:space="preserve"> ADDIN EN.CITE.DATA </w:instrText>
            </w:r>
            <w:r w:rsidRPr="004D46AC">
              <w:fldChar w:fldCharType="end"/>
            </w:r>
            <w:r w:rsidRPr="004D46AC">
              <w:fldChar w:fldCharType="separate"/>
            </w:r>
            <w:r w:rsidRPr="004D46AC">
              <w:t>de Sousa et al. (2012)</w:t>
            </w:r>
            <w:r w:rsidRPr="004D46AC">
              <w:fldChar w:fldCharType="end"/>
            </w:r>
          </w:p>
        </w:tc>
        <w:tc>
          <w:tcPr>
            <w:tcW w:w="754" w:type="dxa"/>
            <w:vAlign w:val="center"/>
          </w:tcPr>
          <w:p w14:paraId="28837AFE" w14:textId="77777777" w:rsidR="009864DB" w:rsidRPr="004D46AC" w:rsidRDefault="009864DB" w:rsidP="009864DB">
            <w:pPr>
              <w:spacing w:line="240" w:lineRule="auto"/>
              <w:ind w:firstLine="0"/>
            </w:pPr>
            <w:r w:rsidRPr="004D46AC">
              <w:t>6</w:t>
            </w:r>
          </w:p>
        </w:tc>
        <w:tc>
          <w:tcPr>
            <w:tcW w:w="766" w:type="dxa"/>
            <w:vAlign w:val="center"/>
          </w:tcPr>
          <w:p w14:paraId="57122F4C" w14:textId="77777777" w:rsidR="009864DB" w:rsidRPr="004D46AC" w:rsidRDefault="009864DB" w:rsidP="009864DB">
            <w:pPr>
              <w:spacing w:line="240" w:lineRule="auto"/>
              <w:ind w:firstLine="0"/>
            </w:pPr>
            <w:r w:rsidRPr="004D46AC">
              <w:t>28.53</w:t>
            </w:r>
          </w:p>
        </w:tc>
        <w:tc>
          <w:tcPr>
            <w:tcW w:w="1096" w:type="dxa"/>
            <w:vAlign w:val="center"/>
          </w:tcPr>
          <w:p w14:paraId="6FAD6C52" w14:textId="77777777" w:rsidR="009864DB" w:rsidRPr="004D46AC" w:rsidRDefault="009864DB" w:rsidP="009864DB">
            <w:pPr>
              <w:spacing w:line="240" w:lineRule="auto"/>
              <w:ind w:firstLine="0"/>
            </w:pPr>
            <w:r w:rsidRPr="004D46AC">
              <w:t>DSM4TR</w:t>
            </w:r>
          </w:p>
        </w:tc>
        <w:tc>
          <w:tcPr>
            <w:tcW w:w="1415" w:type="dxa"/>
            <w:vAlign w:val="center"/>
          </w:tcPr>
          <w:p w14:paraId="6B216D56" w14:textId="77777777" w:rsidR="009864DB" w:rsidRPr="004D46AC" w:rsidRDefault="009864DB" w:rsidP="009864DB">
            <w:pPr>
              <w:spacing w:line="240" w:lineRule="auto"/>
              <w:ind w:firstLine="0"/>
            </w:pPr>
            <w:r w:rsidRPr="004D46AC">
              <w:t>SCID</w:t>
            </w:r>
          </w:p>
        </w:tc>
        <w:tc>
          <w:tcPr>
            <w:tcW w:w="876" w:type="dxa"/>
            <w:vAlign w:val="center"/>
          </w:tcPr>
          <w:p w14:paraId="7C6C7DA4" w14:textId="77777777" w:rsidR="009864DB" w:rsidRPr="004D46AC" w:rsidRDefault="009864DB" w:rsidP="009864DB">
            <w:pPr>
              <w:spacing w:line="240" w:lineRule="auto"/>
              <w:ind w:firstLine="0"/>
            </w:pPr>
            <w:r w:rsidRPr="004D46AC">
              <w:t>141</w:t>
            </w:r>
          </w:p>
        </w:tc>
        <w:tc>
          <w:tcPr>
            <w:tcW w:w="986" w:type="dxa"/>
            <w:vAlign w:val="center"/>
          </w:tcPr>
          <w:p w14:paraId="691CF117" w14:textId="77777777" w:rsidR="009864DB" w:rsidRPr="004D46AC" w:rsidRDefault="009864DB" w:rsidP="009864DB">
            <w:pPr>
              <w:spacing w:line="240" w:lineRule="auto"/>
              <w:ind w:firstLine="0"/>
            </w:pPr>
            <w:r w:rsidRPr="004D46AC">
              <w:t>3</w:t>
            </w:r>
          </w:p>
        </w:tc>
        <w:tc>
          <w:tcPr>
            <w:tcW w:w="751" w:type="dxa"/>
            <w:vAlign w:val="center"/>
          </w:tcPr>
          <w:p w14:paraId="1659EA95" w14:textId="77777777" w:rsidR="009864DB" w:rsidRPr="004D46AC" w:rsidRDefault="009864DB" w:rsidP="009864DB">
            <w:pPr>
              <w:spacing w:line="240" w:lineRule="auto"/>
              <w:ind w:firstLine="0"/>
            </w:pPr>
            <w:r w:rsidRPr="004D46AC">
              <w:t>2</w:t>
            </w:r>
          </w:p>
        </w:tc>
        <w:tc>
          <w:tcPr>
            <w:tcW w:w="752" w:type="dxa"/>
            <w:vAlign w:val="center"/>
          </w:tcPr>
          <w:p w14:paraId="128906D6" w14:textId="77777777" w:rsidR="009864DB" w:rsidRPr="004D46AC" w:rsidRDefault="009864DB" w:rsidP="009864DB">
            <w:pPr>
              <w:spacing w:line="240" w:lineRule="auto"/>
              <w:ind w:firstLine="0"/>
            </w:pPr>
            <w:r w:rsidRPr="004D46AC">
              <w:t>0</w:t>
            </w:r>
          </w:p>
        </w:tc>
        <w:tc>
          <w:tcPr>
            <w:tcW w:w="1296" w:type="dxa"/>
          </w:tcPr>
          <w:p w14:paraId="2DD7F5C4" w14:textId="77777777" w:rsidR="009864DB" w:rsidRPr="004D46AC" w:rsidRDefault="009864DB" w:rsidP="009864DB">
            <w:pPr>
              <w:spacing w:line="240" w:lineRule="auto"/>
              <w:ind w:firstLine="0"/>
            </w:pPr>
            <w:r w:rsidRPr="004D46AC">
              <w:t>64</w:t>
            </w:r>
          </w:p>
        </w:tc>
        <w:tc>
          <w:tcPr>
            <w:tcW w:w="752" w:type="dxa"/>
            <w:vAlign w:val="center"/>
          </w:tcPr>
          <w:p w14:paraId="50FC389E" w14:textId="77777777" w:rsidR="009864DB" w:rsidRPr="004D46AC" w:rsidRDefault="009864DB" w:rsidP="009864DB">
            <w:pPr>
              <w:spacing w:line="240" w:lineRule="auto"/>
              <w:ind w:firstLine="0"/>
            </w:pPr>
            <w:r w:rsidRPr="004D46AC">
              <w:t>NA</w:t>
            </w:r>
          </w:p>
        </w:tc>
        <w:tc>
          <w:tcPr>
            <w:tcW w:w="789" w:type="dxa"/>
            <w:gridSpan w:val="2"/>
            <w:vAlign w:val="center"/>
          </w:tcPr>
          <w:p w14:paraId="7714EC1F" w14:textId="77777777" w:rsidR="009864DB" w:rsidRPr="004D46AC" w:rsidRDefault="009864DB" w:rsidP="009864DB">
            <w:pPr>
              <w:spacing w:line="240" w:lineRule="auto"/>
              <w:ind w:firstLine="0"/>
            </w:pPr>
            <w:r w:rsidRPr="004D46AC">
              <w:t>NA</w:t>
            </w:r>
          </w:p>
        </w:tc>
      </w:tr>
      <w:tr w:rsidR="009864DB" w:rsidRPr="004D46AC" w14:paraId="7439BF74" w14:textId="77777777" w:rsidTr="00B518F1">
        <w:tc>
          <w:tcPr>
            <w:tcW w:w="1476" w:type="dxa"/>
          </w:tcPr>
          <w:p w14:paraId="14DA021E" w14:textId="77777777" w:rsidR="009864DB" w:rsidRPr="004D46AC" w:rsidRDefault="009864DB" w:rsidP="009864DB">
            <w:pPr>
              <w:spacing w:line="240" w:lineRule="auto"/>
              <w:ind w:firstLine="0"/>
            </w:pPr>
            <w:r w:rsidRPr="004D46AC">
              <w:fldChar w:fldCharType="begin">
                <w:fldData xml:space="preserve">PEVuZE5vdGU+PENpdGUgQXV0aG9yWWVhcj0iMSI+PEF1dGhvcj5JY2ljazwvQXV0aG9yPjxZZWFy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</w:fldData>
              </w:fldChar>
            </w:r>
            <w:r w:rsidRPr="004D46AC">
              <w:instrText xml:space="preserve"> ADDIN EN.CITE </w:instrText>
            </w:r>
            <w:r w:rsidRPr="004D46AC">
              <w:fldChar w:fldCharType="begin">
                <w:fldData xml:space="preserve">PEVuZE5vdGU+PENpdGUgQXV0aG9yWWVhcj0iMSI+PEF1dGhvcj5JY2ljazwvQXV0aG9yPjxZZWFy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</w:fldData>
              </w:fldChar>
            </w:r>
            <w:r w:rsidRPr="004D46AC">
              <w:instrText xml:space="preserve"> ADDIN EN.CITE.DATA </w:instrText>
            </w:r>
            <w:r w:rsidRPr="004D46AC">
              <w:fldChar w:fldCharType="end"/>
            </w:r>
            <w:r w:rsidRPr="004D46AC">
              <w:fldChar w:fldCharType="separate"/>
            </w:r>
            <w:r w:rsidRPr="004D46AC">
              <w:t>Icick et al. (2022)</w:t>
            </w:r>
            <w:r w:rsidRPr="004D46AC">
              <w:fldChar w:fldCharType="end"/>
            </w:r>
          </w:p>
        </w:tc>
        <w:tc>
          <w:tcPr>
            <w:tcW w:w="754" w:type="dxa"/>
            <w:vAlign w:val="center"/>
          </w:tcPr>
          <w:p w14:paraId="0A8FE27D" w14:textId="77777777" w:rsidR="009864DB" w:rsidRPr="004D46AC" w:rsidRDefault="009864DB" w:rsidP="009864DB">
            <w:pPr>
              <w:spacing w:line="240" w:lineRule="auto"/>
              <w:ind w:firstLine="0"/>
            </w:pPr>
            <w:r w:rsidRPr="004D46AC">
              <w:t>7</w:t>
            </w:r>
          </w:p>
        </w:tc>
        <w:tc>
          <w:tcPr>
            <w:tcW w:w="766" w:type="dxa"/>
            <w:vAlign w:val="center"/>
          </w:tcPr>
          <w:p w14:paraId="4CF0819E" w14:textId="77777777" w:rsidR="009864DB" w:rsidRPr="004D46AC" w:rsidRDefault="009864DB" w:rsidP="009864DB">
            <w:pPr>
              <w:spacing w:line="240" w:lineRule="auto"/>
              <w:ind w:firstLine="0"/>
            </w:pPr>
            <w:r w:rsidRPr="004D46AC">
              <w:t>36</w:t>
            </w:r>
          </w:p>
        </w:tc>
        <w:tc>
          <w:tcPr>
            <w:tcW w:w="1096" w:type="dxa"/>
            <w:vAlign w:val="center"/>
          </w:tcPr>
          <w:p w14:paraId="41A96AAE" w14:textId="77777777" w:rsidR="009864DB" w:rsidRPr="004D46AC" w:rsidRDefault="009864DB" w:rsidP="009864DB">
            <w:pPr>
              <w:spacing w:line="240" w:lineRule="auto"/>
              <w:ind w:firstLine="0"/>
            </w:pPr>
            <w:r w:rsidRPr="004D46AC">
              <w:t>DSM4TR</w:t>
            </w:r>
          </w:p>
        </w:tc>
        <w:tc>
          <w:tcPr>
            <w:tcW w:w="1415" w:type="dxa"/>
            <w:vAlign w:val="center"/>
          </w:tcPr>
          <w:p w14:paraId="1B6E7EB6" w14:textId="77777777" w:rsidR="009864DB" w:rsidRPr="004D46AC" w:rsidRDefault="009864DB" w:rsidP="009864DB">
            <w:pPr>
              <w:spacing w:line="240" w:lineRule="auto"/>
              <w:ind w:firstLine="0"/>
            </w:pPr>
            <w:r w:rsidRPr="004D46AC">
              <w:t>mixed</w:t>
            </w:r>
          </w:p>
        </w:tc>
        <w:tc>
          <w:tcPr>
            <w:tcW w:w="876" w:type="dxa"/>
            <w:vAlign w:val="center"/>
          </w:tcPr>
          <w:p w14:paraId="78FFDC5D" w14:textId="77777777" w:rsidR="009864DB" w:rsidRPr="004D46AC" w:rsidRDefault="009864DB" w:rsidP="009864DB">
            <w:pPr>
              <w:spacing w:line="240" w:lineRule="auto"/>
              <w:ind w:firstLine="0"/>
            </w:pPr>
            <w:r w:rsidRPr="004D46AC">
              <w:t>670</w:t>
            </w:r>
          </w:p>
        </w:tc>
        <w:tc>
          <w:tcPr>
            <w:tcW w:w="986" w:type="dxa"/>
            <w:vAlign w:val="center"/>
          </w:tcPr>
          <w:p w14:paraId="0AB5CA3C" w14:textId="77777777" w:rsidR="009864DB" w:rsidRPr="004D46AC" w:rsidRDefault="009864DB" w:rsidP="009864DB">
            <w:pPr>
              <w:spacing w:line="240" w:lineRule="auto"/>
              <w:ind w:firstLine="0"/>
            </w:pPr>
            <w:r w:rsidRPr="004D46AC">
              <w:t>unclear</w:t>
            </w:r>
          </w:p>
        </w:tc>
        <w:tc>
          <w:tcPr>
            <w:tcW w:w="751" w:type="dxa"/>
            <w:vAlign w:val="center"/>
          </w:tcPr>
          <w:p w14:paraId="7B1C0961" w14:textId="77777777" w:rsidR="009864DB" w:rsidRPr="004D46AC" w:rsidRDefault="009864DB" w:rsidP="009864DB">
            <w:pPr>
              <w:spacing w:line="240" w:lineRule="auto"/>
              <w:ind w:firstLine="0"/>
            </w:pPr>
            <w:r w:rsidRPr="004D46AC">
              <w:t>1</w:t>
            </w:r>
          </w:p>
        </w:tc>
        <w:tc>
          <w:tcPr>
            <w:tcW w:w="752" w:type="dxa"/>
            <w:vAlign w:val="center"/>
          </w:tcPr>
          <w:p w14:paraId="7DA0C72B" w14:textId="77777777" w:rsidR="009864DB" w:rsidRPr="004D46AC" w:rsidRDefault="009864DB" w:rsidP="009864DB">
            <w:pPr>
              <w:spacing w:line="240" w:lineRule="auto"/>
              <w:ind w:firstLine="0"/>
            </w:pPr>
            <w:r w:rsidRPr="004D46AC">
              <w:t>2</w:t>
            </w:r>
          </w:p>
        </w:tc>
        <w:tc>
          <w:tcPr>
            <w:tcW w:w="1296" w:type="dxa"/>
          </w:tcPr>
          <w:p w14:paraId="1C05C36B" w14:textId="77777777" w:rsidR="009864DB" w:rsidRPr="004D46AC" w:rsidRDefault="009864DB" w:rsidP="009864DB">
            <w:pPr>
              <w:spacing w:line="240" w:lineRule="auto"/>
              <w:ind w:firstLine="0"/>
            </w:pPr>
            <w:r w:rsidRPr="004D46AC">
              <w:t>394</w:t>
            </w:r>
          </w:p>
        </w:tc>
        <w:tc>
          <w:tcPr>
            <w:tcW w:w="752" w:type="dxa"/>
            <w:vAlign w:val="center"/>
          </w:tcPr>
          <w:p w14:paraId="2426B105" w14:textId="77777777" w:rsidR="009864DB" w:rsidRPr="004D46AC" w:rsidRDefault="009864DB" w:rsidP="009864DB">
            <w:pPr>
              <w:spacing w:line="240" w:lineRule="auto"/>
              <w:ind w:firstLine="0"/>
            </w:pPr>
            <w:r w:rsidRPr="004D46AC">
              <w:t>NA</w:t>
            </w:r>
          </w:p>
        </w:tc>
        <w:tc>
          <w:tcPr>
            <w:tcW w:w="789" w:type="dxa"/>
            <w:gridSpan w:val="2"/>
            <w:vAlign w:val="center"/>
          </w:tcPr>
          <w:p w14:paraId="7B61DBCA" w14:textId="77777777" w:rsidR="009864DB" w:rsidRPr="004D46AC" w:rsidRDefault="009864DB" w:rsidP="009864DB">
            <w:pPr>
              <w:spacing w:line="240" w:lineRule="auto"/>
              <w:ind w:firstLine="0"/>
            </w:pPr>
            <w:r w:rsidRPr="004D46AC">
              <w:t>NA</w:t>
            </w:r>
          </w:p>
        </w:tc>
      </w:tr>
      <w:tr w:rsidR="009864DB" w:rsidRPr="004D46AC" w14:paraId="0C653BD5" w14:textId="77777777" w:rsidTr="00B518F1">
        <w:tc>
          <w:tcPr>
            <w:tcW w:w="1476" w:type="dxa"/>
          </w:tcPr>
          <w:p w14:paraId="6672B4B5" w14:textId="77777777" w:rsidR="009864DB" w:rsidRPr="004D46AC" w:rsidRDefault="009864DB" w:rsidP="009864DB">
            <w:pPr>
              <w:spacing w:line="240" w:lineRule="auto"/>
              <w:ind w:firstLine="0"/>
            </w:pPr>
            <w:r w:rsidRPr="004D46AC">
              <w:fldChar w:fldCharType="begin">
                <w:fldData xml:space="preserve">PEVuZE5vdGU+PENpdGUgQXV0aG9yWWVhcj0iMSI+PEF1dGhvcj5DaGFuZzwvQXV0aG9yPjxZZWFy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</w:fldData>
              </w:fldChar>
            </w:r>
            <w:r w:rsidRPr="004D46AC">
              <w:instrText xml:space="preserve"> ADDIN EN.CITE </w:instrText>
            </w:r>
            <w:r w:rsidRPr="004D46AC">
              <w:fldChar w:fldCharType="begin">
                <w:fldData xml:space="preserve">PEVuZE5vdGU+PENpdGUgQXV0aG9yWWVhcj0iMSI+PEF1dGhvcj5DaGFuZzwvQXV0aG9yPjxZZWFy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</w:fldData>
              </w:fldChar>
            </w:r>
            <w:r w:rsidRPr="004D46AC">
              <w:instrText xml:space="preserve"> ADDIN EN.CITE.DATA </w:instrText>
            </w:r>
            <w:r w:rsidRPr="004D46AC">
              <w:fldChar w:fldCharType="end"/>
            </w:r>
            <w:r w:rsidRPr="004D46AC">
              <w:fldChar w:fldCharType="separate"/>
            </w:r>
            <w:r w:rsidRPr="004D46AC">
              <w:t>Chang et al. (2023)</w:t>
            </w:r>
            <w:r w:rsidRPr="004D46AC">
              <w:fldChar w:fldCharType="end"/>
            </w:r>
          </w:p>
        </w:tc>
        <w:tc>
          <w:tcPr>
            <w:tcW w:w="754" w:type="dxa"/>
            <w:vAlign w:val="center"/>
          </w:tcPr>
          <w:p w14:paraId="598B6F6D" w14:textId="77777777" w:rsidR="009864DB" w:rsidRPr="004D46AC" w:rsidRDefault="009864DB" w:rsidP="009864DB">
            <w:pPr>
              <w:spacing w:line="240" w:lineRule="auto"/>
              <w:ind w:firstLine="0"/>
            </w:pPr>
            <w:r w:rsidRPr="004D46AC">
              <w:t>6</w:t>
            </w:r>
          </w:p>
        </w:tc>
        <w:tc>
          <w:tcPr>
            <w:tcW w:w="766" w:type="dxa"/>
            <w:vAlign w:val="center"/>
          </w:tcPr>
          <w:p w14:paraId="553E831C" w14:textId="77777777" w:rsidR="009864DB" w:rsidRPr="004D46AC" w:rsidRDefault="009864DB" w:rsidP="009864DB">
            <w:pPr>
              <w:spacing w:line="240" w:lineRule="auto"/>
              <w:ind w:firstLine="0"/>
            </w:pPr>
            <w:r w:rsidRPr="004D46AC">
              <w:t>38.23</w:t>
            </w:r>
          </w:p>
        </w:tc>
        <w:tc>
          <w:tcPr>
            <w:tcW w:w="1096" w:type="dxa"/>
            <w:vAlign w:val="center"/>
          </w:tcPr>
          <w:p w14:paraId="5A38B332" w14:textId="77777777" w:rsidR="009864DB" w:rsidRPr="004D46AC" w:rsidRDefault="009864DB" w:rsidP="009864DB">
            <w:pPr>
              <w:spacing w:line="240" w:lineRule="auto"/>
              <w:ind w:firstLine="0"/>
            </w:pPr>
            <w:r w:rsidRPr="004D46AC">
              <w:t>DSM4TR</w:t>
            </w:r>
          </w:p>
        </w:tc>
        <w:tc>
          <w:tcPr>
            <w:tcW w:w="1415" w:type="dxa"/>
            <w:vAlign w:val="center"/>
          </w:tcPr>
          <w:p w14:paraId="4C3F5FD4" w14:textId="77777777" w:rsidR="009864DB" w:rsidRPr="004D46AC" w:rsidRDefault="009864DB" w:rsidP="009864DB">
            <w:pPr>
              <w:spacing w:line="240" w:lineRule="auto"/>
              <w:ind w:firstLine="0"/>
            </w:pPr>
            <w:r w:rsidRPr="004D46AC">
              <w:t>mixed</w:t>
            </w:r>
          </w:p>
        </w:tc>
        <w:tc>
          <w:tcPr>
            <w:tcW w:w="876" w:type="dxa"/>
            <w:vAlign w:val="center"/>
          </w:tcPr>
          <w:p w14:paraId="364C199D" w14:textId="77777777" w:rsidR="009864DB" w:rsidRPr="004D46AC" w:rsidRDefault="009864DB" w:rsidP="009864DB">
            <w:pPr>
              <w:spacing w:line="240" w:lineRule="auto"/>
              <w:ind w:firstLine="0"/>
            </w:pPr>
            <w:r w:rsidRPr="004D46AC">
              <w:t>9358</w:t>
            </w:r>
          </w:p>
        </w:tc>
        <w:tc>
          <w:tcPr>
            <w:tcW w:w="986" w:type="dxa"/>
            <w:vAlign w:val="center"/>
          </w:tcPr>
          <w:p w14:paraId="207F6E75" w14:textId="77777777" w:rsidR="009864DB" w:rsidRPr="004D46AC" w:rsidRDefault="009864DB" w:rsidP="009864DB">
            <w:pPr>
              <w:spacing w:line="240" w:lineRule="auto"/>
              <w:ind w:firstLine="0"/>
            </w:pPr>
            <w:r w:rsidRPr="004D46AC">
              <w:t>2</w:t>
            </w:r>
          </w:p>
        </w:tc>
        <w:tc>
          <w:tcPr>
            <w:tcW w:w="751" w:type="dxa"/>
            <w:vAlign w:val="center"/>
          </w:tcPr>
          <w:p w14:paraId="53BD50D9" w14:textId="77777777" w:rsidR="009864DB" w:rsidRPr="004D46AC" w:rsidRDefault="009864DB" w:rsidP="009864DB">
            <w:pPr>
              <w:spacing w:line="240" w:lineRule="auto"/>
              <w:ind w:firstLine="0"/>
            </w:pPr>
            <w:r w:rsidRPr="004D46AC">
              <w:t>1</w:t>
            </w:r>
          </w:p>
        </w:tc>
        <w:tc>
          <w:tcPr>
            <w:tcW w:w="752" w:type="dxa"/>
            <w:vAlign w:val="center"/>
          </w:tcPr>
          <w:p w14:paraId="20D38693" w14:textId="77777777" w:rsidR="009864DB" w:rsidRPr="004D46AC" w:rsidRDefault="009864DB" w:rsidP="009864DB">
            <w:pPr>
              <w:spacing w:line="240" w:lineRule="auto"/>
              <w:ind w:firstLine="0"/>
            </w:pPr>
            <w:r w:rsidRPr="004D46AC">
              <w:t>0</w:t>
            </w:r>
          </w:p>
        </w:tc>
        <w:tc>
          <w:tcPr>
            <w:tcW w:w="1296" w:type="dxa"/>
          </w:tcPr>
          <w:p w14:paraId="6DDE84E6" w14:textId="77777777" w:rsidR="009864DB" w:rsidRPr="004D46AC" w:rsidRDefault="009864DB" w:rsidP="009864DB">
            <w:pPr>
              <w:spacing w:line="240" w:lineRule="auto"/>
              <w:ind w:firstLine="0"/>
            </w:pPr>
            <w:r w:rsidRPr="004D46AC">
              <w:t>4218</w:t>
            </w:r>
          </w:p>
        </w:tc>
        <w:tc>
          <w:tcPr>
            <w:tcW w:w="752" w:type="dxa"/>
            <w:vAlign w:val="center"/>
          </w:tcPr>
          <w:p w14:paraId="0C9D610C" w14:textId="77777777" w:rsidR="009864DB" w:rsidRPr="004D46AC" w:rsidRDefault="009864DB" w:rsidP="009864DB">
            <w:pPr>
              <w:spacing w:line="240" w:lineRule="auto"/>
              <w:ind w:firstLine="0"/>
            </w:pPr>
            <w:r w:rsidRPr="004D46AC">
              <w:t>NA</w:t>
            </w:r>
          </w:p>
        </w:tc>
        <w:tc>
          <w:tcPr>
            <w:tcW w:w="789" w:type="dxa"/>
            <w:gridSpan w:val="2"/>
            <w:vAlign w:val="center"/>
          </w:tcPr>
          <w:p w14:paraId="0CA0B5A5" w14:textId="77777777" w:rsidR="009864DB" w:rsidRPr="004D46AC" w:rsidRDefault="009864DB" w:rsidP="009864DB">
            <w:pPr>
              <w:spacing w:line="240" w:lineRule="auto"/>
              <w:ind w:firstLine="0"/>
            </w:pPr>
            <w:r w:rsidRPr="004D46AC">
              <w:t>NA</w:t>
            </w:r>
          </w:p>
        </w:tc>
      </w:tr>
      <w:tr w:rsidR="009864DB" w:rsidRPr="004D46AC" w14:paraId="319DB098" w14:textId="77777777" w:rsidTr="00B518F1">
        <w:tc>
          <w:tcPr>
            <w:tcW w:w="1476" w:type="dxa"/>
          </w:tcPr>
          <w:p w14:paraId="22B51965" w14:textId="77777777" w:rsidR="009864DB" w:rsidRPr="004D46AC" w:rsidRDefault="009864DB" w:rsidP="009864DB">
            <w:pPr>
              <w:spacing w:line="240" w:lineRule="auto"/>
              <w:ind w:firstLine="0"/>
            </w:pPr>
            <w:r w:rsidRPr="004D46AC">
              <w:fldChar w:fldCharType="begin">
                <w:fldData xml:space="preserve">PEVuZE5vdGU+PENpdGUgQXV0aG9yWWVhcj0iMSI+PEF1dGhvcj5XaW5nbzwvQXV0aG9yPjxZZWFy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</w:fldData>
              </w:fldChar>
            </w:r>
            <w:r w:rsidRPr="004D46AC">
              <w:instrText xml:space="preserve"> ADDIN EN.CITE </w:instrText>
            </w:r>
            <w:r w:rsidRPr="004D46AC">
              <w:fldChar w:fldCharType="begin">
                <w:fldData xml:space="preserve">PEVuZE5vdGU+PENpdGUgQXV0aG9yWWVhcj0iMSI+PEF1dGhvcj5XaW5nbzwvQXV0aG9yPjxZZWFy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</w:fldData>
              </w:fldChar>
            </w:r>
            <w:r w:rsidRPr="004D46AC">
              <w:instrText xml:space="preserve"> ADDIN EN.CITE.DATA </w:instrText>
            </w:r>
            <w:r w:rsidRPr="004D46AC">
              <w:fldChar w:fldCharType="end"/>
            </w:r>
            <w:r w:rsidRPr="004D46AC">
              <w:fldChar w:fldCharType="separate"/>
            </w:r>
            <w:r w:rsidRPr="004D46AC">
              <w:t>Wingo et al. (2010)</w:t>
            </w:r>
            <w:r w:rsidRPr="004D46AC">
              <w:fldChar w:fldCharType="end"/>
            </w:r>
          </w:p>
        </w:tc>
        <w:tc>
          <w:tcPr>
            <w:tcW w:w="754" w:type="dxa"/>
            <w:vAlign w:val="center"/>
          </w:tcPr>
          <w:p w14:paraId="189C0851" w14:textId="77777777" w:rsidR="009864DB" w:rsidRPr="004D46AC" w:rsidRDefault="009864DB" w:rsidP="009864DB">
            <w:pPr>
              <w:spacing w:line="240" w:lineRule="auto"/>
              <w:ind w:firstLine="0"/>
            </w:pPr>
            <w:r w:rsidRPr="004D46AC">
              <w:t>6</w:t>
            </w:r>
          </w:p>
        </w:tc>
        <w:tc>
          <w:tcPr>
            <w:tcW w:w="766" w:type="dxa"/>
            <w:vAlign w:val="center"/>
          </w:tcPr>
          <w:p w14:paraId="34F7CFFC" w14:textId="77777777" w:rsidR="009864DB" w:rsidRPr="004D46AC" w:rsidRDefault="009864DB" w:rsidP="009864DB">
            <w:pPr>
              <w:spacing w:line="240" w:lineRule="auto"/>
              <w:ind w:firstLine="0"/>
            </w:pPr>
            <w:r w:rsidRPr="004D46AC">
              <w:t>40.1</w:t>
            </w:r>
          </w:p>
        </w:tc>
        <w:tc>
          <w:tcPr>
            <w:tcW w:w="1096" w:type="dxa"/>
            <w:vAlign w:val="center"/>
          </w:tcPr>
          <w:p w14:paraId="21F2D81B" w14:textId="77777777" w:rsidR="009864DB" w:rsidRPr="004D46AC" w:rsidRDefault="009864DB" w:rsidP="009864DB">
            <w:pPr>
              <w:spacing w:line="240" w:lineRule="auto"/>
              <w:ind w:firstLine="0"/>
            </w:pPr>
            <w:r w:rsidRPr="004D46AC">
              <w:t>DSM4</w:t>
            </w:r>
          </w:p>
        </w:tc>
        <w:tc>
          <w:tcPr>
            <w:tcW w:w="1415" w:type="dxa"/>
            <w:vAlign w:val="center"/>
          </w:tcPr>
          <w:p w14:paraId="7C594A50" w14:textId="77777777" w:rsidR="009864DB" w:rsidRPr="004D46AC" w:rsidRDefault="009864DB" w:rsidP="009864DB">
            <w:pPr>
              <w:spacing w:line="240" w:lineRule="auto"/>
              <w:ind w:firstLine="0"/>
            </w:pPr>
            <w:r w:rsidRPr="004D46AC">
              <w:t>SCID</w:t>
            </w:r>
          </w:p>
        </w:tc>
        <w:tc>
          <w:tcPr>
            <w:tcW w:w="876" w:type="dxa"/>
            <w:vAlign w:val="center"/>
          </w:tcPr>
          <w:p w14:paraId="0884DC59" w14:textId="77777777" w:rsidR="009864DB" w:rsidRPr="004D46AC" w:rsidRDefault="009864DB" w:rsidP="009864DB">
            <w:pPr>
              <w:spacing w:line="240" w:lineRule="auto"/>
              <w:ind w:firstLine="0"/>
            </w:pPr>
            <w:r w:rsidRPr="004D46AC">
              <w:t>65</w:t>
            </w:r>
          </w:p>
        </w:tc>
        <w:tc>
          <w:tcPr>
            <w:tcW w:w="986" w:type="dxa"/>
            <w:vAlign w:val="center"/>
          </w:tcPr>
          <w:p w14:paraId="6C05EA6B" w14:textId="77777777" w:rsidR="009864DB" w:rsidRPr="004D46AC" w:rsidRDefault="009864DB" w:rsidP="009864DB">
            <w:pPr>
              <w:spacing w:line="240" w:lineRule="auto"/>
              <w:ind w:firstLine="0"/>
            </w:pPr>
            <w:r w:rsidRPr="004D46AC">
              <w:t>1</w:t>
            </w:r>
          </w:p>
        </w:tc>
        <w:tc>
          <w:tcPr>
            <w:tcW w:w="751" w:type="dxa"/>
            <w:vAlign w:val="center"/>
          </w:tcPr>
          <w:p w14:paraId="39FEEB88" w14:textId="77777777" w:rsidR="009864DB" w:rsidRPr="004D46AC" w:rsidRDefault="009864DB" w:rsidP="009864DB">
            <w:pPr>
              <w:spacing w:line="240" w:lineRule="auto"/>
              <w:ind w:firstLine="0"/>
            </w:pPr>
            <w:r w:rsidRPr="004D46AC">
              <w:t>1</w:t>
            </w:r>
          </w:p>
        </w:tc>
        <w:tc>
          <w:tcPr>
            <w:tcW w:w="752" w:type="dxa"/>
            <w:vAlign w:val="center"/>
          </w:tcPr>
          <w:p w14:paraId="039E802D" w14:textId="77777777" w:rsidR="009864DB" w:rsidRPr="004D46AC" w:rsidRDefault="009864DB" w:rsidP="009864DB">
            <w:pPr>
              <w:spacing w:line="240" w:lineRule="auto"/>
              <w:ind w:firstLine="0"/>
            </w:pPr>
            <w:r w:rsidRPr="004D46AC">
              <w:t>2</w:t>
            </w:r>
          </w:p>
        </w:tc>
        <w:tc>
          <w:tcPr>
            <w:tcW w:w="1296" w:type="dxa"/>
            <w:vAlign w:val="center"/>
          </w:tcPr>
          <w:p w14:paraId="72A7E190" w14:textId="77777777" w:rsidR="009864DB" w:rsidRPr="004D46AC" w:rsidRDefault="009864DB" w:rsidP="009864DB">
            <w:pPr>
              <w:spacing w:line="240" w:lineRule="auto"/>
              <w:ind w:firstLine="0"/>
            </w:pPr>
            <w:r w:rsidRPr="004D46AC">
              <w:t>29</w:t>
            </w:r>
          </w:p>
        </w:tc>
        <w:tc>
          <w:tcPr>
            <w:tcW w:w="752" w:type="dxa"/>
            <w:vAlign w:val="center"/>
          </w:tcPr>
          <w:p w14:paraId="2D853964" w14:textId="77777777" w:rsidR="009864DB" w:rsidRPr="004D46AC" w:rsidRDefault="009864DB" w:rsidP="009864DB">
            <w:pPr>
              <w:spacing w:line="240" w:lineRule="auto"/>
              <w:ind w:firstLine="0"/>
            </w:pPr>
            <w:r w:rsidRPr="004D46AC">
              <w:t>NA</w:t>
            </w:r>
          </w:p>
        </w:tc>
        <w:tc>
          <w:tcPr>
            <w:tcW w:w="789" w:type="dxa"/>
            <w:gridSpan w:val="2"/>
            <w:vAlign w:val="center"/>
          </w:tcPr>
          <w:p w14:paraId="6AF77057" w14:textId="77777777" w:rsidR="009864DB" w:rsidRPr="004D46AC" w:rsidRDefault="009864DB" w:rsidP="009864DB">
            <w:pPr>
              <w:spacing w:line="240" w:lineRule="auto"/>
              <w:ind w:firstLine="0"/>
            </w:pPr>
            <w:r w:rsidRPr="004D46AC">
              <w:t>NA</w:t>
            </w:r>
          </w:p>
        </w:tc>
      </w:tr>
      <w:tr w:rsidR="009864DB" w:rsidRPr="004D46AC" w14:paraId="2CF42F3C" w14:textId="77777777" w:rsidTr="00B518F1">
        <w:tc>
          <w:tcPr>
            <w:tcW w:w="1476" w:type="dxa"/>
          </w:tcPr>
          <w:p w14:paraId="098C7BC8" w14:textId="77777777" w:rsidR="009864DB" w:rsidRPr="004D46AC" w:rsidRDefault="009864DB" w:rsidP="009864DB">
            <w:pPr>
              <w:spacing w:line="240" w:lineRule="auto"/>
              <w:ind w:firstLine="0"/>
            </w:pPr>
            <w:r w:rsidRPr="004D46AC">
              <w:fldChar w:fldCharType="begin">
                <w:fldData xml:space="preserve">PEVuZE5vdGU+PENpdGUgQXV0aG9yWWVhcj0iMSI+PEF1dGhvcj5TYXJyYXppbjwvQXV0aG9yPjxZ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==
</w:fldData>
              </w:fldChar>
            </w:r>
            <w:r w:rsidRPr="004D46AC">
              <w:instrText xml:space="preserve"> ADDIN EN.CITE </w:instrText>
            </w:r>
            <w:r w:rsidRPr="004D46AC">
              <w:fldChar w:fldCharType="begin">
                <w:fldData xml:space="preserve">PEVuZE5vdGU+PENpdGUgQXV0aG9yWWVhcj0iMSI+PEF1dGhvcj5TYXJyYXppbjwvQXV0aG9yPjxZ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==
</w:fldData>
              </w:fldChar>
            </w:r>
            <w:r w:rsidRPr="004D46AC">
              <w:instrText xml:space="preserve"> ADDIN EN.CITE.DATA </w:instrText>
            </w:r>
            <w:r w:rsidRPr="004D46AC">
              <w:fldChar w:fldCharType="end"/>
            </w:r>
            <w:r w:rsidRPr="004D46AC">
              <w:fldChar w:fldCharType="separate"/>
            </w:r>
            <w:r w:rsidRPr="004D46AC">
              <w:t>Sarrazin et al. (2018)</w:t>
            </w:r>
            <w:r w:rsidRPr="004D46AC">
              <w:fldChar w:fldCharType="end"/>
            </w:r>
          </w:p>
        </w:tc>
        <w:tc>
          <w:tcPr>
            <w:tcW w:w="754" w:type="dxa"/>
            <w:vAlign w:val="center"/>
          </w:tcPr>
          <w:p w14:paraId="6D7562D9" w14:textId="77777777" w:rsidR="009864DB" w:rsidRPr="004D46AC" w:rsidRDefault="009864DB" w:rsidP="009864DB">
            <w:pPr>
              <w:spacing w:line="240" w:lineRule="auto"/>
              <w:ind w:firstLine="0"/>
            </w:pPr>
            <w:r w:rsidRPr="004D46AC">
              <w:t>6</w:t>
            </w:r>
          </w:p>
        </w:tc>
        <w:tc>
          <w:tcPr>
            <w:tcW w:w="766" w:type="dxa"/>
            <w:vAlign w:val="center"/>
          </w:tcPr>
          <w:p w14:paraId="4B5E0BB4" w14:textId="77777777" w:rsidR="009864DB" w:rsidRPr="004D46AC" w:rsidRDefault="009864DB" w:rsidP="009864DB">
            <w:pPr>
              <w:spacing w:line="240" w:lineRule="auto"/>
              <w:ind w:firstLine="0"/>
            </w:pPr>
            <w:r w:rsidRPr="004D46AC">
              <w:t>40.46</w:t>
            </w:r>
          </w:p>
        </w:tc>
        <w:tc>
          <w:tcPr>
            <w:tcW w:w="1096" w:type="dxa"/>
            <w:vAlign w:val="center"/>
          </w:tcPr>
          <w:p w14:paraId="71F3CF61" w14:textId="77777777" w:rsidR="009864DB" w:rsidRPr="004D46AC" w:rsidRDefault="009864DB" w:rsidP="009864DB">
            <w:pPr>
              <w:spacing w:line="240" w:lineRule="auto"/>
              <w:ind w:firstLine="0"/>
            </w:pPr>
            <w:r w:rsidRPr="004D46AC">
              <w:t>mixed</w:t>
            </w:r>
          </w:p>
        </w:tc>
        <w:tc>
          <w:tcPr>
            <w:tcW w:w="1415" w:type="dxa"/>
            <w:vAlign w:val="center"/>
          </w:tcPr>
          <w:p w14:paraId="3167B805" w14:textId="77777777" w:rsidR="009864DB" w:rsidRPr="004D46AC" w:rsidRDefault="009864DB" w:rsidP="009864DB">
            <w:pPr>
              <w:spacing w:line="240" w:lineRule="auto"/>
              <w:ind w:firstLine="0"/>
            </w:pPr>
            <w:r w:rsidRPr="004D46AC">
              <w:t>mixed</w:t>
            </w:r>
          </w:p>
        </w:tc>
        <w:tc>
          <w:tcPr>
            <w:tcW w:w="876" w:type="dxa"/>
            <w:vAlign w:val="center"/>
          </w:tcPr>
          <w:p w14:paraId="730B745A" w14:textId="77777777" w:rsidR="009864DB" w:rsidRPr="004D46AC" w:rsidRDefault="009864DB" w:rsidP="009864DB">
            <w:pPr>
              <w:spacing w:line="240" w:lineRule="auto"/>
              <w:ind w:firstLine="0"/>
            </w:pPr>
            <w:r w:rsidRPr="004D46AC">
              <w:t>211</w:t>
            </w:r>
          </w:p>
        </w:tc>
        <w:tc>
          <w:tcPr>
            <w:tcW w:w="986" w:type="dxa"/>
            <w:vAlign w:val="center"/>
          </w:tcPr>
          <w:p w14:paraId="197B870D" w14:textId="77777777" w:rsidR="009864DB" w:rsidRPr="004D46AC" w:rsidRDefault="009864DB" w:rsidP="009864DB">
            <w:pPr>
              <w:spacing w:line="240" w:lineRule="auto"/>
              <w:ind w:firstLine="0"/>
            </w:pPr>
            <w:r w:rsidRPr="004D46AC">
              <w:t>unclear</w:t>
            </w:r>
          </w:p>
        </w:tc>
        <w:tc>
          <w:tcPr>
            <w:tcW w:w="751" w:type="dxa"/>
            <w:vAlign w:val="center"/>
          </w:tcPr>
          <w:p w14:paraId="32F8B5FF" w14:textId="77777777" w:rsidR="009864DB" w:rsidRPr="004D46AC" w:rsidRDefault="009864DB" w:rsidP="009864DB">
            <w:pPr>
              <w:spacing w:line="240" w:lineRule="auto"/>
              <w:ind w:firstLine="0"/>
            </w:pPr>
            <w:r w:rsidRPr="004D46AC">
              <w:t>2</w:t>
            </w:r>
          </w:p>
        </w:tc>
        <w:tc>
          <w:tcPr>
            <w:tcW w:w="752" w:type="dxa"/>
            <w:vAlign w:val="center"/>
          </w:tcPr>
          <w:p w14:paraId="0A6ABAED" w14:textId="77777777" w:rsidR="009864DB" w:rsidRPr="004D46AC" w:rsidRDefault="009864DB" w:rsidP="009864DB">
            <w:pPr>
              <w:spacing w:line="240" w:lineRule="auto"/>
              <w:ind w:firstLine="0"/>
            </w:pPr>
            <w:r w:rsidRPr="004D46AC">
              <w:t>2</w:t>
            </w:r>
          </w:p>
        </w:tc>
        <w:tc>
          <w:tcPr>
            <w:tcW w:w="1296" w:type="dxa"/>
            <w:vAlign w:val="center"/>
          </w:tcPr>
          <w:p w14:paraId="3B91CDEB" w14:textId="77777777" w:rsidR="009864DB" w:rsidRPr="004D46AC" w:rsidRDefault="009864DB" w:rsidP="009864DB">
            <w:pPr>
              <w:spacing w:line="240" w:lineRule="auto"/>
              <w:ind w:firstLine="0"/>
            </w:pPr>
            <w:r w:rsidRPr="004D46AC">
              <w:t>129</w:t>
            </w:r>
          </w:p>
        </w:tc>
        <w:tc>
          <w:tcPr>
            <w:tcW w:w="752" w:type="dxa"/>
            <w:vAlign w:val="center"/>
          </w:tcPr>
          <w:p w14:paraId="63959692" w14:textId="77777777" w:rsidR="009864DB" w:rsidRPr="004D46AC" w:rsidRDefault="009864DB" w:rsidP="009864DB">
            <w:pPr>
              <w:spacing w:line="240" w:lineRule="auto"/>
              <w:ind w:firstLine="0"/>
            </w:pPr>
            <w:r w:rsidRPr="004D46AC">
              <w:t>NA</w:t>
            </w:r>
          </w:p>
        </w:tc>
        <w:tc>
          <w:tcPr>
            <w:tcW w:w="789" w:type="dxa"/>
            <w:gridSpan w:val="2"/>
            <w:vAlign w:val="center"/>
          </w:tcPr>
          <w:p w14:paraId="7CBE55F2" w14:textId="77777777" w:rsidR="009864DB" w:rsidRPr="004D46AC" w:rsidRDefault="009864DB" w:rsidP="009864DB">
            <w:pPr>
              <w:spacing w:line="240" w:lineRule="auto"/>
              <w:ind w:firstLine="0"/>
            </w:pPr>
            <w:r w:rsidRPr="004D46AC">
              <w:t>NA</w:t>
            </w:r>
          </w:p>
        </w:tc>
      </w:tr>
      <w:tr w:rsidR="009864DB" w:rsidRPr="004D46AC" w14:paraId="0C505272" w14:textId="77777777" w:rsidTr="00B518F1">
        <w:tc>
          <w:tcPr>
            <w:tcW w:w="1476" w:type="dxa"/>
          </w:tcPr>
          <w:p w14:paraId="2EC4D043" w14:textId="77777777" w:rsidR="009864DB" w:rsidRPr="004D46AC" w:rsidRDefault="009864DB" w:rsidP="009864DB">
            <w:pPr>
              <w:spacing w:line="240" w:lineRule="auto"/>
              <w:ind w:firstLine="0"/>
            </w:pPr>
            <w:r w:rsidRPr="004D46AC">
              <w:fldChar w:fldCharType="begin">
                <w:fldData xml:space="preserve">PEVuZE5vdGU+PENpdGUgQXV0aG9yWWVhcj0iMSI+PEF1dGhvcj5EcmFjaG1hbjwvQXV0aG9yPjxZ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</w:fldData>
              </w:fldChar>
            </w:r>
            <w:r w:rsidRPr="004D46AC">
              <w:instrText xml:space="preserve"> ADDIN EN.CITE </w:instrText>
            </w:r>
            <w:r w:rsidRPr="004D46AC">
              <w:fldChar w:fldCharType="begin">
                <w:fldData xml:space="preserve">PEVuZE5vdGU+PENpdGUgQXV0aG9yWWVhcj0iMSI+PEF1dGhvcj5EcmFjaG1hbjwvQXV0aG9yPjxZ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</w:fldData>
              </w:fldChar>
            </w:r>
            <w:r w:rsidRPr="004D46AC">
              <w:instrText xml:space="preserve"> ADDIN EN.CITE.DATA </w:instrText>
            </w:r>
            <w:r w:rsidRPr="004D46AC">
              <w:fldChar w:fldCharType="end"/>
            </w:r>
            <w:r w:rsidRPr="004D46AC">
              <w:fldChar w:fldCharType="separate"/>
            </w:r>
            <w:r w:rsidRPr="004D46AC">
              <w:t>Drachman et al. (2022)</w:t>
            </w:r>
            <w:r w:rsidRPr="004D46AC">
              <w:fldChar w:fldCharType="end"/>
            </w:r>
          </w:p>
        </w:tc>
        <w:tc>
          <w:tcPr>
            <w:tcW w:w="754" w:type="dxa"/>
            <w:vAlign w:val="center"/>
          </w:tcPr>
          <w:p w14:paraId="4F766E69" w14:textId="77777777" w:rsidR="009864DB" w:rsidRPr="004D46AC" w:rsidRDefault="009864DB" w:rsidP="009864DB">
            <w:pPr>
              <w:spacing w:line="240" w:lineRule="auto"/>
              <w:ind w:firstLine="0"/>
            </w:pPr>
            <w:r w:rsidRPr="004D46AC">
              <w:t>4</w:t>
            </w:r>
          </w:p>
        </w:tc>
        <w:tc>
          <w:tcPr>
            <w:tcW w:w="766" w:type="dxa"/>
            <w:vAlign w:val="center"/>
          </w:tcPr>
          <w:p w14:paraId="0D768458" w14:textId="77777777" w:rsidR="009864DB" w:rsidRPr="004D46AC" w:rsidRDefault="009864DB" w:rsidP="009864DB">
            <w:pPr>
              <w:spacing w:line="240" w:lineRule="auto"/>
              <w:ind w:firstLine="0"/>
            </w:pPr>
            <w:r w:rsidRPr="004D46AC">
              <w:t>35.7</w:t>
            </w:r>
          </w:p>
        </w:tc>
        <w:tc>
          <w:tcPr>
            <w:tcW w:w="1096" w:type="dxa"/>
            <w:vAlign w:val="center"/>
          </w:tcPr>
          <w:p w14:paraId="16BFE16A" w14:textId="77777777" w:rsidR="009864DB" w:rsidRPr="004D46AC" w:rsidRDefault="009864DB" w:rsidP="009864DB">
            <w:pPr>
              <w:spacing w:line="240" w:lineRule="auto"/>
              <w:ind w:firstLine="0"/>
            </w:pPr>
            <w:r w:rsidRPr="004D46AC">
              <w:t>DSM4</w:t>
            </w:r>
          </w:p>
        </w:tc>
        <w:tc>
          <w:tcPr>
            <w:tcW w:w="1415" w:type="dxa"/>
            <w:vAlign w:val="center"/>
          </w:tcPr>
          <w:p w14:paraId="5A3750E2" w14:textId="77777777" w:rsidR="009864DB" w:rsidRPr="004D46AC" w:rsidRDefault="009864DB" w:rsidP="009864DB">
            <w:pPr>
              <w:spacing w:line="240" w:lineRule="auto"/>
              <w:ind w:firstLine="0"/>
            </w:pPr>
            <w:r w:rsidRPr="004D46AC">
              <w:t>SCID</w:t>
            </w:r>
          </w:p>
        </w:tc>
        <w:tc>
          <w:tcPr>
            <w:tcW w:w="876" w:type="dxa"/>
            <w:vAlign w:val="center"/>
          </w:tcPr>
          <w:p w14:paraId="1726E2D8" w14:textId="77777777" w:rsidR="009864DB" w:rsidRPr="004D46AC" w:rsidRDefault="009864DB" w:rsidP="009864DB">
            <w:pPr>
              <w:spacing w:line="240" w:lineRule="auto"/>
              <w:ind w:firstLine="0"/>
            </w:pPr>
            <w:r w:rsidRPr="004D46AC">
              <w:t>38</w:t>
            </w:r>
          </w:p>
        </w:tc>
        <w:tc>
          <w:tcPr>
            <w:tcW w:w="986" w:type="dxa"/>
            <w:vAlign w:val="center"/>
          </w:tcPr>
          <w:p w14:paraId="49D92BCB" w14:textId="77777777" w:rsidR="009864DB" w:rsidRPr="004D46AC" w:rsidRDefault="009864DB" w:rsidP="009864DB">
            <w:pPr>
              <w:spacing w:line="240" w:lineRule="auto"/>
              <w:ind w:firstLine="0"/>
            </w:pPr>
            <w:r w:rsidRPr="004D46AC">
              <w:t>unclear</w:t>
            </w:r>
          </w:p>
        </w:tc>
        <w:tc>
          <w:tcPr>
            <w:tcW w:w="751" w:type="dxa"/>
            <w:vAlign w:val="center"/>
          </w:tcPr>
          <w:p w14:paraId="2B71F4D9" w14:textId="77777777" w:rsidR="009864DB" w:rsidRPr="004D46AC" w:rsidRDefault="009864DB" w:rsidP="009864DB">
            <w:pPr>
              <w:spacing w:line="240" w:lineRule="auto"/>
              <w:ind w:firstLine="0"/>
            </w:pPr>
            <w:r w:rsidRPr="004D46AC">
              <w:t>1</w:t>
            </w:r>
          </w:p>
        </w:tc>
        <w:tc>
          <w:tcPr>
            <w:tcW w:w="752" w:type="dxa"/>
            <w:vAlign w:val="center"/>
          </w:tcPr>
          <w:p w14:paraId="4DCAE41A" w14:textId="77777777" w:rsidR="009864DB" w:rsidRPr="004D46AC" w:rsidRDefault="009864DB" w:rsidP="009864DB">
            <w:pPr>
              <w:spacing w:line="240" w:lineRule="auto"/>
              <w:ind w:firstLine="0"/>
            </w:pPr>
            <w:r w:rsidRPr="004D46AC">
              <w:t>2</w:t>
            </w:r>
          </w:p>
        </w:tc>
        <w:tc>
          <w:tcPr>
            <w:tcW w:w="1296" w:type="dxa"/>
            <w:vAlign w:val="center"/>
          </w:tcPr>
          <w:p w14:paraId="7B9D86EB" w14:textId="77777777" w:rsidR="009864DB" w:rsidRPr="004D46AC" w:rsidRDefault="009864DB" w:rsidP="009864DB">
            <w:pPr>
              <w:spacing w:line="240" w:lineRule="auto"/>
              <w:ind w:firstLine="0"/>
            </w:pPr>
            <w:r w:rsidRPr="004D46AC">
              <w:t>15</w:t>
            </w:r>
          </w:p>
        </w:tc>
        <w:tc>
          <w:tcPr>
            <w:tcW w:w="752" w:type="dxa"/>
            <w:vAlign w:val="center"/>
          </w:tcPr>
          <w:p w14:paraId="654DDE87" w14:textId="77777777" w:rsidR="009864DB" w:rsidRPr="004D46AC" w:rsidRDefault="009864DB" w:rsidP="009864DB">
            <w:pPr>
              <w:spacing w:line="240" w:lineRule="auto"/>
              <w:ind w:firstLine="0"/>
            </w:pPr>
            <w:r w:rsidRPr="004D46AC">
              <w:t>NA</w:t>
            </w:r>
          </w:p>
        </w:tc>
        <w:tc>
          <w:tcPr>
            <w:tcW w:w="789" w:type="dxa"/>
            <w:gridSpan w:val="2"/>
            <w:vAlign w:val="center"/>
          </w:tcPr>
          <w:p w14:paraId="775ED64D" w14:textId="77777777" w:rsidR="009864DB" w:rsidRPr="004D46AC" w:rsidRDefault="009864DB" w:rsidP="009864DB">
            <w:pPr>
              <w:spacing w:line="240" w:lineRule="auto"/>
              <w:ind w:firstLine="0"/>
            </w:pPr>
            <w:r w:rsidRPr="004D46AC">
              <w:t>NA</w:t>
            </w:r>
          </w:p>
        </w:tc>
      </w:tr>
      <w:tr w:rsidR="009864DB" w:rsidRPr="004D46AC" w14:paraId="6D82B430" w14:textId="77777777" w:rsidTr="00B518F1">
        <w:tc>
          <w:tcPr>
            <w:tcW w:w="1476" w:type="dxa"/>
          </w:tcPr>
          <w:p w14:paraId="0077864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AuthorYear="1"&gt;&lt;Author&gt;Thomas&lt;/Author&gt;&lt;Year&gt;2008&lt;/Year&gt;&lt;RecNum&gt;222&lt;/RecNum&gt;&lt;DisplayText&gt;Thomas et al. (2008)&lt;/DisplayText&gt;&lt;record&gt;&lt;rec-number&gt;222&lt;/rec-number&gt;&lt;foreign-keys&gt;&lt;key app="EN" db-id="aet009sstawa0hewvt3xwf5atffdw2dt02sw" timestamp="1666022068"&gt;222&lt;/key&gt;&lt;/foreign-keys&gt;&lt;ref-type name="Journal Article"&gt;17&lt;/ref-type&gt;&lt;contributors&gt;&lt;authors&gt;&lt;author&gt;Thomas, P.&lt;/author&gt;&lt;author&gt;Vieta, E.&lt;/author&gt;&lt;author&gt;Solmania study group&lt;/author&gt;&lt;/authors&gt;&lt;/contributors&gt;&lt;auth-address&gt;Department of Psychiatry, Fontan Hospital CHRU Lille, University of Lille 2 France. pthomas@chru-lille.fr&lt;/auth-address&gt;&lt;titles&gt;&lt;title&gt;Amisulpride plus valproate vs haloperidol plus valproate in the treatment of acute mania of bipolar I patients: a multicenter, open-label, randomized, comparative trial&lt;/title&gt;&lt;secondary-title&gt;Neuropsychiatr Dis Treat&lt;/secondary-title&gt;&lt;/titles&gt;&lt;periodical&gt;&lt;full-title&gt;Neuropsychiatr Dis Treat&lt;/full-title&gt;&lt;/periodical&gt;&lt;pages&gt;675-86&lt;/pages&gt;&lt;volume&gt;4&lt;/volume&gt;&lt;number&gt;3&lt;/number&gt;&lt;keywords&gt;&lt;keyword&gt;amisulpride&lt;/keyword&gt;&lt;keyword&gt;bipolar disorder&lt;/keyword&gt;&lt;keyword&gt;clinical trial&lt;/keyword&gt;&lt;keyword&gt;haloperidol&lt;/keyword&gt;&lt;keyword&gt;mania&lt;/keyword&gt;&lt;keyword&gt;valproate&lt;/keyword&gt;&lt;/keywords&gt;&lt;dates&gt;&lt;year&gt;2008&lt;/year&gt;&lt;pub-dates&gt;&lt;date&gt;Jun&lt;/date&gt;&lt;/pub-dates&gt;&lt;/dates&gt;&lt;isbn&gt;1176-6328 (Print)&amp;#xD;1178-2021 (Electronic)&amp;#xD;1176-6328 (Linking)&lt;/isbn&gt;&lt;accession-num&gt;18830442&lt;/accession-num&gt;&lt;urls&gt;&lt;related-urls&gt;&lt;url&gt;https://www.ncbi.nlm.nih.gov/pubmed/18830442&lt;/url&gt;&lt;/related-urls&gt;&lt;/urls&gt;&lt;custom2&gt;PMC2526384&lt;/custom2&gt;&lt;electronic-resource-num&gt;10.2147/ndt.s3135&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Thomas et al. (2008)</w:t>
            </w:r>
            <w:r w:rsidRPr="004D46AC">
              <w:fldChar w:fldCharType="end"/>
            </w:r>
          </w:p>
        </w:tc>
        <w:tc>
          <w:tcPr>
            <w:tcW w:w="754" w:type="dxa"/>
            <w:vAlign w:val="center"/>
          </w:tcPr>
          <w:p w14:paraId="04681C3B" w14:textId="77777777" w:rsidR="009864DB" w:rsidRPr="004D46AC" w:rsidRDefault="009864DB" w:rsidP="009864DB">
            <w:pPr>
              <w:spacing w:line="240" w:lineRule="auto"/>
              <w:ind w:firstLine="0"/>
            </w:pPr>
            <w:r w:rsidRPr="004D46AC">
              <w:t>5</w:t>
            </w:r>
          </w:p>
        </w:tc>
        <w:tc>
          <w:tcPr>
            <w:tcW w:w="766" w:type="dxa"/>
            <w:vAlign w:val="center"/>
          </w:tcPr>
          <w:p w14:paraId="290FB843" w14:textId="77777777" w:rsidR="009864DB" w:rsidRPr="004D46AC" w:rsidRDefault="009864DB" w:rsidP="009864DB">
            <w:pPr>
              <w:spacing w:line="240" w:lineRule="auto"/>
              <w:ind w:firstLine="0"/>
            </w:pPr>
            <w:r w:rsidRPr="004D46AC">
              <w:t>43.54</w:t>
            </w:r>
          </w:p>
        </w:tc>
        <w:tc>
          <w:tcPr>
            <w:tcW w:w="1096" w:type="dxa"/>
            <w:vAlign w:val="center"/>
          </w:tcPr>
          <w:p w14:paraId="5B1CA37C" w14:textId="77777777" w:rsidR="009864DB" w:rsidRPr="004D46AC" w:rsidRDefault="009864DB" w:rsidP="009864DB">
            <w:pPr>
              <w:spacing w:line="240" w:lineRule="auto"/>
              <w:ind w:firstLine="0"/>
            </w:pPr>
            <w:r w:rsidRPr="004D46AC">
              <w:t>DSM4TR</w:t>
            </w:r>
          </w:p>
        </w:tc>
        <w:tc>
          <w:tcPr>
            <w:tcW w:w="1415" w:type="dxa"/>
            <w:vAlign w:val="center"/>
          </w:tcPr>
          <w:p w14:paraId="74B8AEFD" w14:textId="77777777" w:rsidR="009864DB" w:rsidRPr="004D46AC" w:rsidRDefault="009864DB" w:rsidP="009864DB">
            <w:pPr>
              <w:spacing w:line="240" w:lineRule="auto"/>
              <w:ind w:firstLine="0"/>
            </w:pPr>
            <w:r w:rsidRPr="004D46AC">
              <w:t>YMRS</w:t>
            </w:r>
          </w:p>
        </w:tc>
        <w:tc>
          <w:tcPr>
            <w:tcW w:w="876" w:type="dxa"/>
            <w:vAlign w:val="center"/>
          </w:tcPr>
          <w:p w14:paraId="6C1E0775" w14:textId="77777777" w:rsidR="009864DB" w:rsidRPr="004D46AC" w:rsidRDefault="009864DB" w:rsidP="009864DB">
            <w:pPr>
              <w:spacing w:line="240" w:lineRule="auto"/>
              <w:ind w:firstLine="0"/>
            </w:pPr>
            <w:r w:rsidRPr="004D46AC">
              <w:t>120</w:t>
            </w:r>
          </w:p>
        </w:tc>
        <w:tc>
          <w:tcPr>
            <w:tcW w:w="986" w:type="dxa"/>
            <w:vAlign w:val="center"/>
          </w:tcPr>
          <w:p w14:paraId="571114E7" w14:textId="77777777" w:rsidR="009864DB" w:rsidRPr="004D46AC" w:rsidRDefault="009864DB" w:rsidP="009864DB">
            <w:pPr>
              <w:spacing w:line="240" w:lineRule="auto"/>
              <w:ind w:firstLine="0"/>
            </w:pPr>
            <w:r w:rsidRPr="004D46AC">
              <w:t>3</w:t>
            </w:r>
          </w:p>
        </w:tc>
        <w:tc>
          <w:tcPr>
            <w:tcW w:w="751" w:type="dxa"/>
            <w:vAlign w:val="center"/>
          </w:tcPr>
          <w:p w14:paraId="455BD66E" w14:textId="77777777" w:rsidR="009864DB" w:rsidRPr="004D46AC" w:rsidRDefault="009864DB" w:rsidP="009864DB">
            <w:pPr>
              <w:spacing w:line="240" w:lineRule="auto"/>
              <w:ind w:firstLine="0"/>
            </w:pPr>
            <w:r w:rsidRPr="004D46AC">
              <w:t>2</w:t>
            </w:r>
          </w:p>
        </w:tc>
        <w:tc>
          <w:tcPr>
            <w:tcW w:w="752" w:type="dxa"/>
            <w:vAlign w:val="center"/>
          </w:tcPr>
          <w:p w14:paraId="6F3E251B" w14:textId="77777777" w:rsidR="009864DB" w:rsidRPr="004D46AC" w:rsidRDefault="009864DB" w:rsidP="009864DB">
            <w:pPr>
              <w:spacing w:line="240" w:lineRule="auto"/>
              <w:ind w:firstLine="0"/>
            </w:pPr>
            <w:r w:rsidRPr="004D46AC">
              <w:t>0</w:t>
            </w:r>
          </w:p>
        </w:tc>
        <w:tc>
          <w:tcPr>
            <w:tcW w:w="1296" w:type="dxa"/>
          </w:tcPr>
          <w:p w14:paraId="3E227345" w14:textId="77777777" w:rsidR="009864DB" w:rsidRPr="004D46AC" w:rsidRDefault="009864DB" w:rsidP="009864DB">
            <w:pPr>
              <w:spacing w:line="240" w:lineRule="auto"/>
              <w:ind w:firstLine="0"/>
            </w:pPr>
            <w:r w:rsidRPr="004D46AC">
              <w:t>87</w:t>
            </w:r>
          </w:p>
        </w:tc>
        <w:tc>
          <w:tcPr>
            <w:tcW w:w="752" w:type="dxa"/>
            <w:vAlign w:val="center"/>
          </w:tcPr>
          <w:p w14:paraId="4AACFEA6" w14:textId="77777777" w:rsidR="009864DB" w:rsidRPr="004D46AC" w:rsidRDefault="009864DB" w:rsidP="009864DB">
            <w:pPr>
              <w:spacing w:line="240" w:lineRule="auto"/>
              <w:ind w:firstLine="0"/>
            </w:pPr>
            <w:r w:rsidRPr="004D46AC">
              <w:t>NA</w:t>
            </w:r>
          </w:p>
        </w:tc>
        <w:tc>
          <w:tcPr>
            <w:tcW w:w="789" w:type="dxa"/>
            <w:gridSpan w:val="2"/>
            <w:vAlign w:val="center"/>
          </w:tcPr>
          <w:p w14:paraId="69B20550" w14:textId="77777777" w:rsidR="009864DB" w:rsidRPr="004D46AC" w:rsidRDefault="009864DB" w:rsidP="009864DB">
            <w:pPr>
              <w:spacing w:line="240" w:lineRule="auto"/>
              <w:ind w:firstLine="0"/>
            </w:pPr>
            <w:r w:rsidRPr="004D46AC">
              <w:t>NA</w:t>
            </w:r>
          </w:p>
        </w:tc>
      </w:tr>
      <w:tr w:rsidR="009864DB" w:rsidRPr="004D46AC" w14:paraId="746FD2E5" w14:textId="77777777" w:rsidTr="00B518F1">
        <w:tc>
          <w:tcPr>
            <w:tcW w:w="1476" w:type="dxa"/>
          </w:tcPr>
          <w:p w14:paraId="4A478561" w14:textId="77777777" w:rsidR="009864DB" w:rsidRPr="004D46AC" w:rsidRDefault="009864DB" w:rsidP="009864DB">
            <w:pPr>
              <w:spacing w:line="240" w:lineRule="auto"/>
              <w:ind w:firstLine="0"/>
            </w:pPr>
            <w:r w:rsidRPr="004D46AC">
              <w:fldChar w:fldCharType="begin">
                <w:fldData xml:space="preserve">PEVuZE5vdGU+PENpdGUgQXV0aG9yWWVhcj0iMSI+PEF1dGhvcj5TdXBwZXM8L0F1dGhvcj48WWVh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instrText xml:space="preserve"> ADDIN EN.CITE </w:instrText>
            </w:r>
            <w:r w:rsidRPr="004D46AC">
              <w:fldChar w:fldCharType="begin">
                <w:fldData xml:space="preserve">PEVuZE5vdGU+PENpdGUgQXV0aG9yWWVhcj0iMSI+PEF1dGhvcj5TdXBwZXM8L0F1dGhvcj48WWVh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Suppes et al. (2013)</w:t>
            </w:r>
            <w:r w:rsidRPr="004D46AC">
              <w:fldChar w:fldCharType="end"/>
            </w:r>
          </w:p>
        </w:tc>
        <w:tc>
          <w:tcPr>
            <w:tcW w:w="754" w:type="dxa"/>
            <w:vAlign w:val="center"/>
          </w:tcPr>
          <w:p w14:paraId="34D4C277" w14:textId="77777777" w:rsidR="009864DB" w:rsidRPr="004D46AC" w:rsidRDefault="009864DB" w:rsidP="009864DB">
            <w:pPr>
              <w:spacing w:line="240" w:lineRule="auto"/>
              <w:ind w:firstLine="0"/>
            </w:pPr>
            <w:r w:rsidRPr="004D46AC">
              <w:t>5</w:t>
            </w:r>
          </w:p>
        </w:tc>
        <w:tc>
          <w:tcPr>
            <w:tcW w:w="766" w:type="dxa"/>
            <w:vAlign w:val="center"/>
          </w:tcPr>
          <w:p w14:paraId="61351C1B" w14:textId="77777777" w:rsidR="009864DB" w:rsidRPr="004D46AC" w:rsidRDefault="009864DB" w:rsidP="009864DB">
            <w:pPr>
              <w:spacing w:line="240" w:lineRule="auto"/>
              <w:ind w:firstLine="0"/>
            </w:pPr>
            <w:r w:rsidRPr="004D46AC">
              <w:t>38.3</w:t>
            </w:r>
          </w:p>
        </w:tc>
        <w:tc>
          <w:tcPr>
            <w:tcW w:w="1096" w:type="dxa"/>
            <w:vAlign w:val="center"/>
          </w:tcPr>
          <w:p w14:paraId="4D841F95" w14:textId="77777777" w:rsidR="009864DB" w:rsidRPr="004D46AC" w:rsidRDefault="009864DB" w:rsidP="009864DB">
            <w:pPr>
              <w:spacing w:line="240" w:lineRule="auto"/>
              <w:ind w:firstLine="0"/>
            </w:pPr>
            <w:r w:rsidRPr="004D46AC">
              <w:t>DSM4TR</w:t>
            </w:r>
          </w:p>
        </w:tc>
        <w:tc>
          <w:tcPr>
            <w:tcW w:w="1415" w:type="dxa"/>
            <w:vAlign w:val="center"/>
          </w:tcPr>
          <w:p w14:paraId="60BC86EC" w14:textId="77777777" w:rsidR="009864DB" w:rsidRPr="004D46AC" w:rsidRDefault="009864DB" w:rsidP="009864DB">
            <w:pPr>
              <w:spacing w:line="240" w:lineRule="auto"/>
              <w:ind w:firstLine="0"/>
            </w:pPr>
            <w:r w:rsidRPr="004D46AC">
              <w:t>SCID</w:t>
            </w:r>
          </w:p>
        </w:tc>
        <w:tc>
          <w:tcPr>
            <w:tcW w:w="876" w:type="dxa"/>
            <w:vAlign w:val="center"/>
          </w:tcPr>
          <w:p w14:paraId="3B90E5E0" w14:textId="77777777" w:rsidR="009864DB" w:rsidRPr="004D46AC" w:rsidRDefault="009864DB" w:rsidP="009864DB">
            <w:pPr>
              <w:spacing w:line="240" w:lineRule="auto"/>
              <w:ind w:firstLine="0"/>
            </w:pPr>
            <w:r w:rsidRPr="004D46AC">
              <w:t>55</w:t>
            </w:r>
          </w:p>
        </w:tc>
        <w:tc>
          <w:tcPr>
            <w:tcW w:w="986" w:type="dxa"/>
            <w:vAlign w:val="center"/>
          </w:tcPr>
          <w:p w14:paraId="40CF898F" w14:textId="77777777" w:rsidR="009864DB" w:rsidRPr="004D46AC" w:rsidRDefault="009864DB" w:rsidP="009864DB">
            <w:pPr>
              <w:spacing w:line="240" w:lineRule="auto"/>
              <w:ind w:firstLine="0"/>
            </w:pPr>
            <w:r w:rsidRPr="004D46AC">
              <w:t>3</w:t>
            </w:r>
          </w:p>
        </w:tc>
        <w:tc>
          <w:tcPr>
            <w:tcW w:w="751" w:type="dxa"/>
            <w:vAlign w:val="center"/>
          </w:tcPr>
          <w:p w14:paraId="74DCFBDA" w14:textId="77777777" w:rsidR="009864DB" w:rsidRPr="004D46AC" w:rsidRDefault="009864DB" w:rsidP="009864DB">
            <w:pPr>
              <w:spacing w:line="240" w:lineRule="auto"/>
              <w:ind w:firstLine="0"/>
            </w:pPr>
            <w:r w:rsidRPr="004D46AC">
              <w:t>0</w:t>
            </w:r>
          </w:p>
        </w:tc>
        <w:tc>
          <w:tcPr>
            <w:tcW w:w="752" w:type="dxa"/>
            <w:vAlign w:val="center"/>
          </w:tcPr>
          <w:p w14:paraId="5CB6D048" w14:textId="77777777" w:rsidR="009864DB" w:rsidRPr="004D46AC" w:rsidRDefault="009864DB" w:rsidP="009864DB">
            <w:pPr>
              <w:spacing w:line="240" w:lineRule="auto"/>
              <w:ind w:firstLine="0"/>
            </w:pPr>
            <w:r w:rsidRPr="004D46AC">
              <w:t>2</w:t>
            </w:r>
          </w:p>
        </w:tc>
        <w:tc>
          <w:tcPr>
            <w:tcW w:w="1296" w:type="dxa"/>
          </w:tcPr>
          <w:p w14:paraId="6C613E2F" w14:textId="77777777" w:rsidR="009864DB" w:rsidRPr="004D46AC" w:rsidRDefault="009864DB" w:rsidP="009864DB">
            <w:pPr>
              <w:spacing w:line="240" w:lineRule="auto"/>
              <w:ind w:firstLine="0"/>
            </w:pPr>
            <w:r w:rsidRPr="004D46AC">
              <w:t>4</w:t>
            </w:r>
          </w:p>
        </w:tc>
        <w:tc>
          <w:tcPr>
            <w:tcW w:w="752" w:type="dxa"/>
            <w:vAlign w:val="center"/>
          </w:tcPr>
          <w:p w14:paraId="699B7DB8" w14:textId="77777777" w:rsidR="009864DB" w:rsidRPr="004D46AC" w:rsidRDefault="009864DB" w:rsidP="009864DB">
            <w:pPr>
              <w:spacing w:line="240" w:lineRule="auto"/>
              <w:ind w:firstLine="0"/>
            </w:pPr>
            <w:r w:rsidRPr="004D46AC">
              <w:t>NA</w:t>
            </w:r>
          </w:p>
        </w:tc>
        <w:tc>
          <w:tcPr>
            <w:tcW w:w="789" w:type="dxa"/>
            <w:gridSpan w:val="2"/>
            <w:vAlign w:val="center"/>
          </w:tcPr>
          <w:p w14:paraId="0D32E45F" w14:textId="77777777" w:rsidR="009864DB" w:rsidRPr="004D46AC" w:rsidRDefault="009864DB" w:rsidP="009864DB">
            <w:pPr>
              <w:spacing w:line="240" w:lineRule="auto"/>
              <w:ind w:firstLine="0"/>
            </w:pPr>
            <w:r w:rsidRPr="004D46AC">
              <w:t>NA</w:t>
            </w:r>
          </w:p>
        </w:tc>
      </w:tr>
      <w:tr w:rsidR="009864DB" w:rsidRPr="004D46AC" w14:paraId="1B1BA716" w14:textId="77777777" w:rsidTr="00B518F1">
        <w:tc>
          <w:tcPr>
            <w:tcW w:w="1476" w:type="dxa"/>
          </w:tcPr>
          <w:p w14:paraId="00FA98DA" w14:textId="77777777" w:rsidR="009864DB" w:rsidRPr="004D46AC" w:rsidRDefault="009864DB" w:rsidP="009864DB">
            <w:pPr>
              <w:spacing w:line="240" w:lineRule="auto"/>
              <w:ind w:firstLine="0"/>
            </w:pPr>
            <w:r w:rsidRPr="004D46AC">
              <w:fldChar w:fldCharType="begin">
                <w:fldData xml:space="preserve">PEVuZE5vdGU+PENpdGUgQXV0aG9yWWVhcj0iMSI+PEF1dGhvcj5OZzwvQXV0aG9yPjxZZWFyPjIw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</w:fldData>
              </w:fldChar>
            </w:r>
            <w:r w:rsidRPr="004D46AC">
              <w:instrText xml:space="preserve"> ADDIN EN.CITE </w:instrText>
            </w:r>
            <w:r w:rsidRPr="004D46AC">
              <w:fldChar w:fldCharType="begin">
                <w:fldData xml:space="preserve">PEVuZE5vdGU+PENpdGUgQXV0aG9yWWVhcj0iMSI+PEF1dGhvcj5OZzwvQXV0aG9yPjxZZWFyPjIw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</w:fldData>
              </w:fldChar>
            </w:r>
            <w:r w:rsidRPr="004D46AC">
              <w:instrText xml:space="preserve"> ADDIN EN.CITE.DATA </w:instrText>
            </w:r>
            <w:r w:rsidRPr="004D46AC">
              <w:fldChar w:fldCharType="end"/>
            </w:r>
            <w:r w:rsidRPr="004D46AC">
              <w:fldChar w:fldCharType="separate"/>
            </w:r>
            <w:r w:rsidRPr="004D46AC">
              <w:t>Ng et al. (2021)</w:t>
            </w:r>
            <w:r w:rsidRPr="004D46AC">
              <w:fldChar w:fldCharType="end"/>
            </w:r>
          </w:p>
        </w:tc>
        <w:tc>
          <w:tcPr>
            <w:tcW w:w="754" w:type="dxa"/>
            <w:vAlign w:val="center"/>
          </w:tcPr>
          <w:p w14:paraId="28C687D6" w14:textId="77777777" w:rsidR="009864DB" w:rsidRPr="004D46AC" w:rsidRDefault="009864DB" w:rsidP="009864DB">
            <w:pPr>
              <w:spacing w:line="240" w:lineRule="auto"/>
              <w:ind w:firstLine="0"/>
            </w:pPr>
            <w:r w:rsidRPr="004D46AC">
              <w:t>5</w:t>
            </w:r>
          </w:p>
        </w:tc>
        <w:tc>
          <w:tcPr>
            <w:tcW w:w="766" w:type="dxa"/>
            <w:vAlign w:val="center"/>
          </w:tcPr>
          <w:p w14:paraId="6355EFC3" w14:textId="77777777" w:rsidR="009864DB" w:rsidRPr="004D46AC" w:rsidRDefault="009864DB" w:rsidP="009864DB">
            <w:pPr>
              <w:spacing w:line="240" w:lineRule="auto"/>
              <w:ind w:firstLine="0"/>
            </w:pPr>
            <w:r w:rsidRPr="004D46AC">
              <w:t>NA</w:t>
            </w:r>
          </w:p>
        </w:tc>
        <w:tc>
          <w:tcPr>
            <w:tcW w:w="1096" w:type="dxa"/>
            <w:vAlign w:val="center"/>
          </w:tcPr>
          <w:p w14:paraId="72DBFB11" w14:textId="77777777" w:rsidR="009864DB" w:rsidRPr="004D46AC" w:rsidRDefault="009864DB" w:rsidP="009864DB">
            <w:pPr>
              <w:spacing w:line="240" w:lineRule="auto"/>
              <w:ind w:firstLine="0"/>
            </w:pPr>
            <w:r w:rsidRPr="004D46AC">
              <w:t>ICD9</w:t>
            </w:r>
          </w:p>
        </w:tc>
        <w:tc>
          <w:tcPr>
            <w:tcW w:w="1415" w:type="dxa"/>
            <w:vAlign w:val="center"/>
          </w:tcPr>
          <w:p w14:paraId="7C3BC0FF" w14:textId="77777777" w:rsidR="009864DB" w:rsidRPr="004D46AC" w:rsidRDefault="009864DB" w:rsidP="009864DB">
            <w:pPr>
              <w:spacing w:line="240" w:lineRule="auto"/>
              <w:ind w:firstLine="0"/>
            </w:pPr>
            <w:r w:rsidRPr="004D46AC">
              <w:t>unclear</w:t>
            </w:r>
          </w:p>
        </w:tc>
        <w:tc>
          <w:tcPr>
            <w:tcW w:w="876" w:type="dxa"/>
            <w:vAlign w:val="center"/>
          </w:tcPr>
          <w:p w14:paraId="1B67E05D" w14:textId="77777777" w:rsidR="009864DB" w:rsidRPr="004D46AC" w:rsidRDefault="009864DB" w:rsidP="009864DB">
            <w:pPr>
              <w:spacing w:line="240" w:lineRule="auto"/>
              <w:ind w:firstLine="0"/>
            </w:pPr>
            <w:r w:rsidRPr="004D46AC">
              <w:t>53434</w:t>
            </w:r>
          </w:p>
        </w:tc>
        <w:tc>
          <w:tcPr>
            <w:tcW w:w="986" w:type="dxa"/>
            <w:vAlign w:val="center"/>
          </w:tcPr>
          <w:p w14:paraId="7B170EA6" w14:textId="77777777" w:rsidR="009864DB" w:rsidRPr="004D46AC" w:rsidRDefault="009864DB" w:rsidP="009864DB">
            <w:pPr>
              <w:spacing w:line="240" w:lineRule="auto"/>
              <w:ind w:firstLine="0"/>
            </w:pPr>
            <w:r w:rsidRPr="004D46AC">
              <w:t>unclear</w:t>
            </w:r>
          </w:p>
        </w:tc>
        <w:tc>
          <w:tcPr>
            <w:tcW w:w="751" w:type="dxa"/>
            <w:vAlign w:val="center"/>
          </w:tcPr>
          <w:p w14:paraId="3E99DF5B" w14:textId="77777777" w:rsidR="009864DB" w:rsidRPr="004D46AC" w:rsidRDefault="009864DB" w:rsidP="009864DB">
            <w:pPr>
              <w:spacing w:line="240" w:lineRule="auto"/>
              <w:ind w:firstLine="0"/>
            </w:pPr>
            <w:r w:rsidRPr="004D46AC">
              <w:t>1</w:t>
            </w:r>
          </w:p>
        </w:tc>
        <w:tc>
          <w:tcPr>
            <w:tcW w:w="752" w:type="dxa"/>
            <w:vAlign w:val="center"/>
          </w:tcPr>
          <w:p w14:paraId="301A7303" w14:textId="77777777" w:rsidR="009864DB" w:rsidRPr="004D46AC" w:rsidRDefault="009864DB" w:rsidP="009864DB">
            <w:pPr>
              <w:spacing w:line="240" w:lineRule="auto"/>
              <w:ind w:firstLine="0"/>
            </w:pPr>
            <w:r w:rsidRPr="004D46AC">
              <w:t>0</w:t>
            </w:r>
          </w:p>
        </w:tc>
        <w:tc>
          <w:tcPr>
            <w:tcW w:w="1296" w:type="dxa"/>
          </w:tcPr>
          <w:p w14:paraId="01BB027A" w14:textId="77777777" w:rsidR="009864DB" w:rsidRPr="004D46AC" w:rsidRDefault="009864DB" w:rsidP="009864DB">
            <w:pPr>
              <w:spacing w:line="240" w:lineRule="auto"/>
              <w:ind w:firstLine="0"/>
            </w:pPr>
            <w:r w:rsidRPr="004D46AC">
              <w:t>9367</w:t>
            </w:r>
          </w:p>
        </w:tc>
        <w:tc>
          <w:tcPr>
            <w:tcW w:w="752" w:type="dxa"/>
            <w:vAlign w:val="center"/>
          </w:tcPr>
          <w:p w14:paraId="7E5AA143" w14:textId="77777777" w:rsidR="009864DB" w:rsidRPr="004D46AC" w:rsidRDefault="009864DB" w:rsidP="009864DB">
            <w:pPr>
              <w:spacing w:line="240" w:lineRule="auto"/>
              <w:ind w:firstLine="0"/>
            </w:pPr>
            <w:r w:rsidRPr="004D46AC">
              <w:t>NA</w:t>
            </w:r>
          </w:p>
        </w:tc>
        <w:tc>
          <w:tcPr>
            <w:tcW w:w="789" w:type="dxa"/>
            <w:gridSpan w:val="2"/>
            <w:vAlign w:val="center"/>
          </w:tcPr>
          <w:p w14:paraId="75E98837" w14:textId="77777777" w:rsidR="009864DB" w:rsidRPr="004D46AC" w:rsidRDefault="009864DB" w:rsidP="009864DB">
            <w:pPr>
              <w:spacing w:line="240" w:lineRule="auto"/>
              <w:ind w:firstLine="0"/>
            </w:pPr>
            <w:r w:rsidRPr="004D46AC">
              <w:t>NA</w:t>
            </w:r>
          </w:p>
        </w:tc>
      </w:tr>
      <w:tr w:rsidR="009864DB" w:rsidRPr="004D46AC" w14:paraId="25530232" w14:textId="77777777" w:rsidTr="00B518F1">
        <w:tc>
          <w:tcPr>
            <w:tcW w:w="1476" w:type="dxa"/>
          </w:tcPr>
          <w:p w14:paraId="0EE5A946" w14:textId="77777777" w:rsidR="009864DB" w:rsidRPr="004D46AC" w:rsidRDefault="009864DB" w:rsidP="009864DB">
            <w:pPr>
              <w:spacing w:line="240" w:lineRule="auto"/>
              <w:ind w:firstLine="0"/>
            </w:pPr>
            <w:r w:rsidRPr="004D46AC">
              <w:fldChar w:fldCharType="begin">
                <w:fldData xml:space="preserve">PEVuZE5vdGU+PENpdGUgQXV0aG9yWWVhcj0iMSI+PEF1dGhvcj5Hb3RyYTwvQXV0aG9yPjxZZWFy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</w:fldData>
              </w:fldChar>
            </w:r>
            <w:r w:rsidRPr="004D46AC">
              <w:instrText xml:space="preserve"> ADDIN EN.CITE </w:instrText>
            </w:r>
            <w:r w:rsidRPr="004D46AC">
              <w:fldChar w:fldCharType="begin">
                <w:fldData xml:space="preserve">PEVuZE5vdGU+PENpdGUgQXV0aG9yWWVhcj0iMSI+PEF1dGhvcj5Hb3RyYTwvQXV0aG9yPjxZZWFy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</w:fldData>
              </w:fldChar>
            </w:r>
            <w:r w:rsidRPr="004D46AC">
              <w:instrText xml:space="preserve"> ADDIN EN.CITE.DATA </w:instrText>
            </w:r>
            <w:r w:rsidRPr="004D46AC">
              <w:fldChar w:fldCharType="end"/>
            </w:r>
            <w:r w:rsidRPr="004D46AC">
              <w:fldChar w:fldCharType="separate"/>
            </w:r>
            <w:r w:rsidRPr="004D46AC">
              <w:t>Gotra et al. (2020)</w:t>
            </w:r>
            <w:r w:rsidRPr="004D46AC">
              <w:fldChar w:fldCharType="end"/>
            </w:r>
          </w:p>
        </w:tc>
        <w:tc>
          <w:tcPr>
            <w:tcW w:w="754" w:type="dxa"/>
            <w:vAlign w:val="center"/>
          </w:tcPr>
          <w:p w14:paraId="1B9B9156" w14:textId="77777777" w:rsidR="009864DB" w:rsidRPr="004D46AC" w:rsidRDefault="009864DB" w:rsidP="009864DB">
            <w:pPr>
              <w:spacing w:line="240" w:lineRule="auto"/>
              <w:ind w:firstLine="0"/>
            </w:pPr>
            <w:r w:rsidRPr="004D46AC">
              <w:t>4</w:t>
            </w:r>
          </w:p>
        </w:tc>
        <w:tc>
          <w:tcPr>
            <w:tcW w:w="766" w:type="dxa"/>
            <w:vAlign w:val="center"/>
          </w:tcPr>
          <w:p w14:paraId="3A235ED8" w14:textId="77777777" w:rsidR="009864DB" w:rsidRPr="004D46AC" w:rsidRDefault="009864DB" w:rsidP="009864DB">
            <w:pPr>
              <w:spacing w:line="240" w:lineRule="auto"/>
              <w:ind w:firstLine="0"/>
            </w:pPr>
            <w:r w:rsidRPr="004D46AC">
              <w:t>37.69</w:t>
            </w:r>
          </w:p>
        </w:tc>
        <w:tc>
          <w:tcPr>
            <w:tcW w:w="1096" w:type="dxa"/>
            <w:vAlign w:val="center"/>
          </w:tcPr>
          <w:p w14:paraId="79FA4CB2" w14:textId="77777777" w:rsidR="009864DB" w:rsidRPr="004D46AC" w:rsidRDefault="009864DB" w:rsidP="009864DB">
            <w:pPr>
              <w:spacing w:line="240" w:lineRule="auto"/>
              <w:ind w:firstLine="0"/>
            </w:pPr>
            <w:r w:rsidRPr="004D46AC">
              <w:t>DSM4</w:t>
            </w:r>
          </w:p>
        </w:tc>
        <w:tc>
          <w:tcPr>
            <w:tcW w:w="1415" w:type="dxa"/>
            <w:vAlign w:val="center"/>
          </w:tcPr>
          <w:p w14:paraId="125D4CC4" w14:textId="77777777" w:rsidR="009864DB" w:rsidRPr="004D46AC" w:rsidRDefault="009864DB" w:rsidP="009864DB">
            <w:pPr>
              <w:spacing w:line="240" w:lineRule="auto"/>
              <w:ind w:firstLine="0"/>
            </w:pPr>
            <w:r w:rsidRPr="004D46AC">
              <w:t>SCID</w:t>
            </w:r>
          </w:p>
        </w:tc>
        <w:tc>
          <w:tcPr>
            <w:tcW w:w="876" w:type="dxa"/>
            <w:vAlign w:val="center"/>
          </w:tcPr>
          <w:p w14:paraId="2056B7AC" w14:textId="77777777" w:rsidR="009864DB" w:rsidRPr="004D46AC" w:rsidRDefault="009864DB" w:rsidP="009864DB">
            <w:pPr>
              <w:spacing w:line="240" w:lineRule="auto"/>
              <w:ind w:firstLine="0"/>
            </w:pPr>
            <w:r w:rsidRPr="004D46AC">
              <w:t>259</w:t>
            </w:r>
          </w:p>
        </w:tc>
        <w:tc>
          <w:tcPr>
            <w:tcW w:w="986" w:type="dxa"/>
            <w:vAlign w:val="center"/>
          </w:tcPr>
          <w:p w14:paraId="39D10B5D" w14:textId="77777777" w:rsidR="009864DB" w:rsidRPr="004D46AC" w:rsidRDefault="009864DB" w:rsidP="009864DB">
            <w:pPr>
              <w:spacing w:line="240" w:lineRule="auto"/>
              <w:ind w:firstLine="0"/>
            </w:pPr>
            <w:r w:rsidRPr="004D46AC">
              <w:t>unclear</w:t>
            </w:r>
          </w:p>
        </w:tc>
        <w:tc>
          <w:tcPr>
            <w:tcW w:w="751" w:type="dxa"/>
            <w:vAlign w:val="center"/>
          </w:tcPr>
          <w:p w14:paraId="23ADCC5F" w14:textId="77777777" w:rsidR="009864DB" w:rsidRPr="004D46AC" w:rsidRDefault="009864DB" w:rsidP="009864DB">
            <w:pPr>
              <w:spacing w:line="240" w:lineRule="auto"/>
              <w:ind w:firstLine="0"/>
            </w:pPr>
            <w:r w:rsidRPr="004D46AC">
              <w:t>1</w:t>
            </w:r>
          </w:p>
        </w:tc>
        <w:tc>
          <w:tcPr>
            <w:tcW w:w="752" w:type="dxa"/>
            <w:vAlign w:val="center"/>
          </w:tcPr>
          <w:p w14:paraId="5D862D54" w14:textId="77777777" w:rsidR="009864DB" w:rsidRPr="004D46AC" w:rsidRDefault="009864DB" w:rsidP="009864DB">
            <w:pPr>
              <w:spacing w:line="240" w:lineRule="auto"/>
              <w:ind w:firstLine="0"/>
            </w:pPr>
            <w:r w:rsidRPr="004D46AC">
              <w:t>2</w:t>
            </w:r>
          </w:p>
        </w:tc>
        <w:tc>
          <w:tcPr>
            <w:tcW w:w="1296" w:type="dxa"/>
            <w:vAlign w:val="center"/>
          </w:tcPr>
          <w:p w14:paraId="7F85E107" w14:textId="77777777" w:rsidR="009864DB" w:rsidRPr="004D46AC" w:rsidRDefault="009864DB" w:rsidP="009864DB">
            <w:pPr>
              <w:spacing w:line="240" w:lineRule="auto"/>
              <w:ind w:firstLine="0"/>
            </w:pPr>
            <w:r w:rsidRPr="004D46AC">
              <w:t>192</w:t>
            </w:r>
          </w:p>
        </w:tc>
        <w:tc>
          <w:tcPr>
            <w:tcW w:w="752" w:type="dxa"/>
            <w:vAlign w:val="center"/>
          </w:tcPr>
          <w:p w14:paraId="4E16D0DD" w14:textId="77777777" w:rsidR="009864DB" w:rsidRPr="004D46AC" w:rsidRDefault="009864DB" w:rsidP="009864DB">
            <w:pPr>
              <w:spacing w:line="240" w:lineRule="auto"/>
              <w:ind w:firstLine="0"/>
            </w:pPr>
            <w:r w:rsidRPr="004D46AC">
              <w:t>NA</w:t>
            </w:r>
          </w:p>
        </w:tc>
        <w:tc>
          <w:tcPr>
            <w:tcW w:w="789" w:type="dxa"/>
            <w:gridSpan w:val="2"/>
            <w:vAlign w:val="center"/>
          </w:tcPr>
          <w:p w14:paraId="5C5789EC" w14:textId="77777777" w:rsidR="009864DB" w:rsidRPr="004D46AC" w:rsidRDefault="009864DB" w:rsidP="009864DB">
            <w:pPr>
              <w:spacing w:line="240" w:lineRule="auto"/>
              <w:ind w:firstLine="0"/>
            </w:pPr>
            <w:r w:rsidRPr="004D46AC">
              <w:t>NA</w:t>
            </w:r>
          </w:p>
        </w:tc>
      </w:tr>
      <w:tr w:rsidR="009864DB" w:rsidRPr="004D46AC" w14:paraId="36A9774B" w14:textId="77777777" w:rsidTr="00B518F1">
        <w:tc>
          <w:tcPr>
            <w:tcW w:w="1476" w:type="dxa"/>
          </w:tcPr>
          <w:p w14:paraId="7C87FB5F"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AuthorYear="1"&gt;&lt;Author&gt;Wagner-Skacel&lt;/Author&gt;&lt;Year&gt;2020&lt;/Year&gt;&lt;RecNum&gt;1094&lt;/RecNum&gt;&lt;DisplayText&gt;Wagner-Skacel et al. (2020)&lt;/DisplayText&gt;&lt;record&gt;&lt;rec-number&gt;1094&lt;/rec-number&gt;&lt;foreign-keys&gt;&lt;key app="EN" db-id="aet009sstawa0hewvt3xwf5atffdw2dt02sw" timestamp="1748819197"&gt;1094&lt;/key&gt;&lt;/foreign-keys&gt;&lt;ref-type name="Journal Article"&gt;17&lt;/ref-type&gt;&lt;contributors&gt;&lt;authors&gt;&lt;author&gt;Wagner-Skacel,Jolana&lt;/author&gt;&lt;author&gt;Bengesser,Susanne&lt;/author&gt;&lt;author&gt;Dalkner,Nina&lt;/author&gt;&lt;author&gt;Mörkl,Sabrina&lt;/author&gt;&lt;author&gt;Painold,Annamaria&lt;/author&gt;&lt;author&gt;Hamm,Carlo&lt;/author&gt;&lt;author&gt;Pilz,René&lt;/author&gt;&lt;author&gt;Rieger,Alexandra&lt;/author&gt;&lt;author&gt;Kapfhammer,Hans-Peter&lt;/author&gt;&lt;author&gt;Hiebler-Ragger,Michaela&lt;/author&gt;&lt;author&gt;Jauk,Emanuel&lt;/author&gt;&lt;author&gt;Butler,Mary I.&lt;/author&gt;&lt;author&gt;Reininghaus,Eva Z.&lt;/author&gt;&lt;/authors&gt;&lt;/contributors&gt;&lt;auth-address&gt;Susanne Bengesser,Department of Psychiatry and Psychotherapeutic Medicine, Medical University of Graz (MUG),Austria,Susanne.Bengesser@medunigraz.at&lt;/auth-address&gt;&lt;titles&gt;&lt;title&gt;Personality Structure and Attachment in Bipolar Disorder&lt;/title&gt;&lt;secondary-title&gt;Frontiers in Psychiatry&lt;/secondary-title&gt;&lt;short-title&gt;Personality Structure in Bipolar Disorder&lt;/short-title&gt;&lt;/titles&gt;&lt;periodical&gt;&lt;full-title&gt;Frontiers in Psychiatry&lt;/full-title&gt;&lt;/periodical&gt;&lt;volume&gt;Volume 11 - 2020&lt;/volume&gt;&lt;keywords&gt;&lt;keyword&gt;Bipolar Disorder,Personality Structure,Attachment,global symptom load,Psychotherapy&lt;/keyword&gt;&lt;/keywords&gt;&lt;dates&gt;&lt;year&gt;2020&lt;/year&gt;&lt;pub-dates&gt;&lt;date&gt;2020-May-11&lt;/date&gt;&lt;/pub-dates&gt;&lt;/dates&gt;&lt;isbn&gt;1664-0640&lt;/isbn&gt;&lt;work-type&gt;Original Research&lt;/work-type&gt;&lt;urls&gt;&lt;related-urls&gt;&lt;url&gt;https://www.frontiersin.org/journals/psychiatry/articles/10.3389/fpsyt.2020.00410&lt;/url&gt;&lt;/related-urls&gt;&lt;/urls&gt;&lt;electronic-resource-num&gt;10.3389/fpsyt.2020.00410&lt;/electronic-resource-num&gt;&lt;language&gt;English&lt;/language&gt;&lt;/record&gt;&lt;/Cite&gt;&lt;/EndNote&gt;</w:instrText>
            </w:r>
            <w:r w:rsidRPr="004D46AC">
              <w:fldChar w:fldCharType="separate"/>
            </w:r>
            <w:r w:rsidRPr="004D46AC">
              <w:t>Wagner-Skacel et al. (2020)</w:t>
            </w:r>
            <w:r w:rsidRPr="004D46AC">
              <w:fldChar w:fldCharType="end"/>
            </w:r>
          </w:p>
        </w:tc>
        <w:tc>
          <w:tcPr>
            <w:tcW w:w="754" w:type="dxa"/>
            <w:vAlign w:val="center"/>
          </w:tcPr>
          <w:p w14:paraId="07C36918" w14:textId="77777777" w:rsidR="009864DB" w:rsidRPr="004D46AC" w:rsidRDefault="009864DB" w:rsidP="009864DB">
            <w:pPr>
              <w:spacing w:line="240" w:lineRule="auto"/>
              <w:ind w:firstLine="0"/>
            </w:pPr>
            <w:r w:rsidRPr="004D46AC">
              <w:t>5</w:t>
            </w:r>
          </w:p>
        </w:tc>
        <w:tc>
          <w:tcPr>
            <w:tcW w:w="766" w:type="dxa"/>
            <w:vAlign w:val="center"/>
          </w:tcPr>
          <w:p w14:paraId="6EA381AD" w14:textId="77777777" w:rsidR="009864DB" w:rsidRPr="004D46AC" w:rsidRDefault="009864DB" w:rsidP="009864DB">
            <w:pPr>
              <w:spacing w:line="240" w:lineRule="auto"/>
              <w:ind w:firstLine="0"/>
            </w:pPr>
            <w:r w:rsidRPr="004D46AC">
              <w:t>47.4</w:t>
            </w:r>
          </w:p>
        </w:tc>
        <w:tc>
          <w:tcPr>
            <w:tcW w:w="1096" w:type="dxa"/>
            <w:vAlign w:val="center"/>
          </w:tcPr>
          <w:p w14:paraId="11B2C063" w14:textId="77777777" w:rsidR="009864DB" w:rsidRPr="004D46AC" w:rsidRDefault="009864DB" w:rsidP="009864DB">
            <w:pPr>
              <w:spacing w:line="240" w:lineRule="auto"/>
              <w:ind w:firstLine="0"/>
            </w:pPr>
            <w:r w:rsidRPr="004D46AC">
              <w:t>DSM4</w:t>
            </w:r>
          </w:p>
        </w:tc>
        <w:tc>
          <w:tcPr>
            <w:tcW w:w="1415" w:type="dxa"/>
            <w:vAlign w:val="center"/>
          </w:tcPr>
          <w:p w14:paraId="118B573B" w14:textId="77777777" w:rsidR="009864DB" w:rsidRPr="004D46AC" w:rsidRDefault="009864DB" w:rsidP="009864DB">
            <w:pPr>
              <w:spacing w:line="240" w:lineRule="auto"/>
              <w:ind w:firstLine="0"/>
            </w:pPr>
            <w:r w:rsidRPr="004D46AC">
              <w:t>SCID</w:t>
            </w:r>
          </w:p>
        </w:tc>
        <w:tc>
          <w:tcPr>
            <w:tcW w:w="876" w:type="dxa"/>
            <w:vAlign w:val="center"/>
          </w:tcPr>
          <w:p w14:paraId="299E2DEE" w14:textId="77777777" w:rsidR="009864DB" w:rsidRPr="004D46AC" w:rsidRDefault="009864DB" w:rsidP="009864DB">
            <w:pPr>
              <w:spacing w:line="240" w:lineRule="auto"/>
              <w:ind w:firstLine="0"/>
            </w:pPr>
            <w:r w:rsidRPr="004D46AC">
              <w:t>46</w:t>
            </w:r>
          </w:p>
        </w:tc>
        <w:tc>
          <w:tcPr>
            <w:tcW w:w="986" w:type="dxa"/>
            <w:vAlign w:val="center"/>
          </w:tcPr>
          <w:p w14:paraId="3454BF7B" w14:textId="77777777" w:rsidR="009864DB" w:rsidRPr="004D46AC" w:rsidRDefault="009864DB" w:rsidP="009864DB">
            <w:pPr>
              <w:spacing w:line="240" w:lineRule="auto"/>
              <w:ind w:firstLine="0"/>
            </w:pPr>
            <w:r w:rsidRPr="004D46AC">
              <w:t>1</w:t>
            </w:r>
          </w:p>
        </w:tc>
        <w:tc>
          <w:tcPr>
            <w:tcW w:w="751" w:type="dxa"/>
            <w:vAlign w:val="center"/>
          </w:tcPr>
          <w:p w14:paraId="3242981E" w14:textId="77777777" w:rsidR="009864DB" w:rsidRPr="004D46AC" w:rsidRDefault="009864DB" w:rsidP="009864DB">
            <w:pPr>
              <w:spacing w:line="240" w:lineRule="auto"/>
              <w:ind w:firstLine="0"/>
            </w:pPr>
            <w:r w:rsidRPr="004D46AC">
              <w:t>1</w:t>
            </w:r>
          </w:p>
        </w:tc>
        <w:tc>
          <w:tcPr>
            <w:tcW w:w="752" w:type="dxa"/>
            <w:vAlign w:val="center"/>
          </w:tcPr>
          <w:p w14:paraId="3FD286D9" w14:textId="77777777" w:rsidR="009864DB" w:rsidRPr="004D46AC" w:rsidRDefault="009864DB" w:rsidP="009864DB">
            <w:pPr>
              <w:spacing w:line="240" w:lineRule="auto"/>
              <w:ind w:firstLine="0"/>
            </w:pPr>
            <w:r w:rsidRPr="004D46AC">
              <w:t>2</w:t>
            </w:r>
          </w:p>
        </w:tc>
        <w:tc>
          <w:tcPr>
            <w:tcW w:w="1296" w:type="dxa"/>
            <w:vAlign w:val="center"/>
          </w:tcPr>
          <w:p w14:paraId="0A8C0568" w14:textId="77777777" w:rsidR="009864DB" w:rsidRPr="004D46AC" w:rsidRDefault="009864DB" w:rsidP="009864DB">
            <w:pPr>
              <w:spacing w:line="240" w:lineRule="auto"/>
              <w:ind w:firstLine="0"/>
            </w:pPr>
            <w:r w:rsidRPr="004D46AC">
              <w:t>6</w:t>
            </w:r>
          </w:p>
        </w:tc>
        <w:tc>
          <w:tcPr>
            <w:tcW w:w="752" w:type="dxa"/>
            <w:vAlign w:val="center"/>
          </w:tcPr>
          <w:p w14:paraId="38B820B4" w14:textId="77777777" w:rsidR="009864DB" w:rsidRPr="004D46AC" w:rsidRDefault="009864DB" w:rsidP="009864DB">
            <w:pPr>
              <w:spacing w:line="240" w:lineRule="auto"/>
              <w:ind w:firstLine="0"/>
            </w:pPr>
            <w:r w:rsidRPr="004D46AC">
              <w:t>NA</w:t>
            </w:r>
          </w:p>
        </w:tc>
        <w:tc>
          <w:tcPr>
            <w:tcW w:w="789" w:type="dxa"/>
            <w:gridSpan w:val="2"/>
            <w:vAlign w:val="center"/>
          </w:tcPr>
          <w:p w14:paraId="0ACB5C88" w14:textId="77777777" w:rsidR="009864DB" w:rsidRPr="004D46AC" w:rsidRDefault="009864DB" w:rsidP="009864DB">
            <w:pPr>
              <w:spacing w:line="240" w:lineRule="auto"/>
              <w:ind w:firstLine="0"/>
            </w:pPr>
            <w:r w:rsidRPr="004D46AC">
              <w:t>NA</w:t>
            </w:r>
          </w:p>
        </w:tc>
      </w:tr>
      <w:tr w:rsidR="009864DB" w:rsidRPr="004D46AC" w14:paraId="3655023A" w14:textId="77777777" w:rsidTr="00B518F1">
        <w:tc>
          <w:tcPr>
            <w:tcW w:w="1476" w:type="dxa"/>
          </w:tcPr>
          <w:p w14:paraId="1E524054" w14:textId="77777777" w:rsidR="009864DB" w:rsidRPr="004D46AC" w:rsidRDefault="009864DB" w:rsidP="009864DB">
            <w:pPr>
              <w:spacing w:line="240" w:lineRule="auto"/>
              <w:ind w:firstLine="0"/>
            </w:pPr>
            <w:r w:rsidRPr="004D46AC">
              <w:fldChar w:fldCharType="begin">
                <w:fldData xml:space="preserve">PEVuZE5vdGU+PENpdGUgQXV0aG9yWWVhcj0iMSI+PEF1dGhvcj5MZWU8L0F1dGhvcj48WWVhcj4y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 </w:instrText>
            </w:r>
            <w:r w:rsidRPr="004D46AC">
              <w:fldChar w:fldCharType="begin">
                <w:fldData xml:space="preserve">PEVuZE5vdGU+PENpdGUgQXV0aG9yWWVhcj0iMSI+PEF1dGhvcj5MZWU8L0F1dGhvcj48WWVhcj4y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EN.CITE.DATA </w:instrText>
            </w:r>
            <w:r w:rsidRPr="004D46AC">
              <w:fldChar w:fldCharType="end"/>
            </w:r>
            <w:r w:rsidRPr="004D46AC">
              <w:fldChar w:fldCharType="separate"/>
            </w:r>
            <w:r w:rsidRPr="004D46AC">
              <w:t>Lee et al. (2017)</w:t>
            </w:r>
            <w:r w:rsidRPr="004D46AC">
              <w:fldChar w:fldCharType="end"/>
            </w:r>
          </w:p>
        </w:tc>
        <w:tc>
          <w:tcPr>
            <w:tcW w:w="754" w:type="dxa"/>
            <w:vAlign w:val="center"/>
          </w:tcPr>
          <w:p w14:paraId="547AA650" w14:textId="77777777" w:rsidR="009864DB" w:rsidRPr="004D46AC" w:rsidRDefault="009864DB" w:rsidP="009864DB">
            <w:pPr>
              <w:spacing w:line="240" w:lineRule="auto"/>
              <w:ind w:firstLine="0"/>
            </w:pPr>
            <w:r w:rsidRPr="004D46AC">
              <w:t>6</w:t>
            </w:r>
          </w:p>
        </w:tc>
        <w:tc>
          <w:tcPr>
            <w:tcW w:w="766" w:type="dxa"/>
            <w:vAlign w:val="center"/>
          </w:tcPr>
          <w:p w14:paraId="004B3610" w14:textId="77777777" w:rsidR="009864DB" w:rsidRPr="004D46AC" w:rsidRDefault="009864DB" w:rsidP="009864DB">
            <w:pPr>
              <w:spacing w:line="240" w:lineRule="auto"/>
              <w:ind w:firstLine="0"/>
            </w:pPr>
            <w:r w:rsidRPr="004D46AC">
              <w:t>43.94</w:t>
            </w:r>
          </w:p>
        </w:tc>
        <w:tc>
          <w:tcPr>
            <w:tcW w:w="1096" w:type="dxa"/>
            <w:vAlign w:val="center"/>
          </w:tcPr>
          <w:p w14:paraId="6065C5F9" w14:textId="77777777" w:rsidR="009864DB" w:rsidRPr="004D46AC" w:rsidRDefault="009864DB" w:rsidP="009864DB">
            <w:pPr>
              <w:spacing w:line="240" w:lineRule="auto"/>
              <w:ind w:firstLine="0"/>
            </w:pPr>
            <w:r w:rsidRPr="004D46AC">
              <w:t>DSM4</w:t>
            </w:r>
          </w:p>
        </w:tc>
        <w:tc>
          <w:tcPr>
            <w:tcW w:w="1415" w:type="dxa"/>
            <w:vAlign w:val="center"/>
          </w:tcPr>
          <w:p w14:paraId="3B68CA35" w14:textId="77777777" w:rsidR="009864DB" w:rsidRPr="004D46AC" w:rsidRDefault="009864DB" w:rsidP="009864DB">
            <w:pPr>
              <w:spacing w:line="240" w:lineRule="auto"/>
              <w:ind w:firstLine="0"/>
            </w:pPr>
            <w:r w:rsidRPr="004D46AC">
              <w:t>SCID</w:t>
            </w:r>
          </w:p>
        </w:tc>
        <w:tc>
          <w:tcPr>
            <w:tcW w:w="876" w:type="dxa"/>
            <w:vAlign w:val="center"/>
          </w:tcPr>
          <w:p w14:paraId="3E2238EF" w14:textId="77777777" w:rsidR="009864DB" w:rsidRPr="004D46AC" w:rsidRDefault="009864DB" w:rsidP="009864DB">
            <w:pPr>
              <w:spacing w:line="240" w:lineRule="auto"/>
              <w:ind w:firstLine="0"/>
            </w:pPr>
            <w:r w:rsidRPr="004D46AC">
              <w:t>68</w:t>
            </w:r>
          </w:p>
        </w:tc>
        <w:tc>
          <w:tcPr>
            <w:tcW w:w="986" w:type="dxa"/>
            <w:vAlign w:val="center"/>
          </w:tcPr>
          <w:p w14:paraId="41EEEEF5" w14:textId="77777777" w:rsidR="009864DB" w:rsidRPr="004D46AC" w:rsidRDefault="009864DB" w:rsidP="009864DB">
            <w:pPr>
              <w:spacing w:line="240" w:lineRule="auto"/>
              <w:ind w:firstLine="0"/>
            </w:pPr>
            <w:r w:rsidRPr="004D46AC">
              <w:t>unclear</w:t>
            </w:r>
          </w:p>
        </w:tc>
        <w:tc>
          <w:tcPr>
            <w:tcW w:w="751" w:type="dxa"/>
            <w:vAlign w:val="center"/>
          </w:tcPr>
          <w:p w14:paraId="06520772" w14:textId="77777777" w:rsidR="009864DB" w:rsidRPr="004D46AC" w:rsidRDefault="009864DB" w:rsidP="009864DB">
            <w:pPr>
              <w:spacing w:line="240" w:lineRule="auto"/>
              <w:ind w:firstLine="0"/>
            </w:pPr>
            <w:r w:rsidRPr="004D46AC">
              <w:t>1</w:t>
            </w:r>
          </w:p>
        </w:tc>
        <w:tc>
          <w:tcPr>
            <w:tcW w:w="752" w:type="dxa"/>
            <w:vAlign w:val="center"/>
          </w:tcPr>
          <w:p w14:paraId="13F45D1C" w14:textId="77777777" w:rsidR="009864DB" w:rsidRPr="004D46AC" w:rsidRDefault="009864DB" w:rsidP="009864DB">
            <w:pPr>
              <w:spacing w:line="240" w:lineRule="auto"/>
              <w:ind w:firstLine="0"/>
            </w:pPr>
            <w:r w:rsidRPr="004D46AC">
              <w:t>2</w:t>
            </w:r>
          </w:p>
        </w:tc>
        <w:tc>
          <w:tcPr>
            <w:tcW w:w="1296" w:type="dxa"/>
            <w:vAlign w:val="center"/>
          </w:tcPr>
          <w:p w14:paraId="20A4B398" w14:textId="77777777" w:rsidR="009864DB" w:rsidRPr="004D46AC" w:rsidRDefault="009864DB" w:rsidP="009864DB">
            <w:pPr>
              <w:spacing w:line="240" w:lineRule="auto"/>
              <w:ind w:firstLine="0"/>
            </w:pPr>
            <w:r w:rsidRPr="004D46AC">
              <w:t>22</w:t>
            </w:r>
          </w:p>
        </w:tc>
        <w:tc>
          <w:tcPr>
            <w:tcW w:w="752" w:type="dxa"/>
            <w:vAlign w:val="center"/>
          </w:tcPr>
          <w:p w14:paraId="698A9F70" w14:textId="77777777" w:rsidR="009864DB" w:rsidRPr="004D46AC" w:rsidRDefault="009864DB" w:rsidP="009864DB">
            <w:pPr>
              <w:spacing w:line="240" w:lineRule="auto"/>
              <w:ind w:firstLine="0"/>
            </w:pPr>
            <w:r w:rsidRPr="004D46AC">
              <w:t>NA</w:t>
            </w:r>
          </w:p>
        </w:tc>
        <w:tc>
          <w:tcPr>
            <w:tcW w:w="789" w:type="dxa"/>
            <w:gridSpan w:val="2"/>
            <w:vAlign w:val="center"/>
          </w:tcPr>
          <w:p w14:paraId="061387FF" w14:textId="77777777" w:rsidR="009864DB" w:rsidRPr="004D46AC" w:rsidRDefault="009864DB" w:rsidP="009864DB">
            <w:pPr>
              <w:spacing w:line="240" w:lineRule="auto"/>
              <w:ind w:firstLine="0"/>
            </w:pPr>
            <w:r w:rsidRPr="004D46AC">
              <w:t>NA</w:t>
            </w:r>
          </w:p>
        </w:tc>
      </w:tr>
      <w:tr w:rsidR="009864DB" w:rsidRPr="004D46AC" w14:paraId="4C26978D" w14:textId="77777777" w:rsidTr="00B518F1">
        <w:tc>
          <w:tcPr>
            <w:tcW w:w="1476" w:type="dxa"/>
          </w:tcPr>
          <w:p w14:paraId="76433492"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AuthorYear="1"&gt;&lt;Author&gt;Tohen&lt;/Author&gt;&lt;Year&gt;1992&lt;/Year&gt;&lt;RecNum&gt;300&lt;/RecNum&gt;&lt;DisplayText&gt;Tohen et al. (1992)&lt;/DisplayText&gt;&lt;record&gt;&lt;rec-number&gt;300&lt;/rec-number&gt;&lt;foreign-keys&gt;&lt;key app="EN" db-id="aet009sstawa0hewvt3xwf5atffdw2dt02sw" timestamp="1666489195"&gt;300&lt;/key&gt;&lt;/foreign-keys&gt;&lt;ref-type name="Journal Article"&gt;17&lt;/ref-type&gt;&lt;contributors&gt;&lt;authors&gt;&lt;author&gt;Tohen, M.&lt;/author&gt;&lt;author&gt;Tsuang, M. T.&lt;/author&gt;&lt;author&gt;Goodwin, D. C.&lt;/author&gt;&lt;/authors&gt;&lt;/contributors&gt;&lt;auth-address&gt;Department of Psychiatry, Harvard Medical School, Boston, MA.&lt;/auth-address&gt;&lt;titles&gt;&lt;title&gt;Prediction of outcome in mania by mood-congruent or mood-incongruent psychotic features&lt;/title&gt;&lt;secondary-title&gt;Am J Psychiatry&lt;/secondary-title&gt;&lt;/titles&gt;&lt;periodical&gt;&lt;full-title&gt;Am J Psychiatry&lt;/full-title&gt;&lt;/periodical&gt;&lt;pages&gt;1580-4&lt;/pages&gt;&lt;volume&gt;149&lt;/volume&gt;&lt;number&gt;11&lt;/number&gt;&lt;keywords&gt;&lt;keyword&gt;Adult&lt;/keyword&gt;&lt;keyword&gt;Bipolar Disorder/classification/*diagnosis/psychology&lt;/keyword&gt;&lt;keyword&gt;Delusions/psychology&lt;/keyword&gt;&lt;keyword&gt;Employment&lt;/keyword&gt;&lt;keyword&gt;Female&lt;/keyword&gt;&lt;keyword&gt;Follow-Up Studies&lt;/keyword&gt;&lt;keyword&gt;Hallucinations/diagnosis/psychology&lt;/keyword&gt;&lt;keyword&gt;Humans&lt;/keyword&gt;&lt;keyword&gt;Male&lt;/keyword&gt;&lt;keyword&gt;Odds Ratio&lt;/keyword&gt;&lt;keyword&gt;Probability&lt;/keyword&gt;&lt;keyword&gt;Prognosis&lt;/keyword&gt;&lt;keyword&gt;Proportional Hazards Models&lt;/keyword&gt;&lt;keyword&gt;Psychiatric Status Rating Scales&lt;/keyword&gt;&lt;keyword&gt;Recurrence&lt;/keyword&gt;&lt;keyword&gt;Residence Characteristics&lt;/keyword&gt;&lt;keyword&gt;Sex Factors&lt;/keyword&gt;&lt;keyword&gt;Survival Analysis&lt;/keyword&gt;&lt;/keywords&gt;&lt;dates&gt;&lt;year&gt;1992&lt;/year&gt;&lt;pub-dates&gt;&lt;date&gt;Nov&lt;/date&gt;&lt;/pub-dates&gt;&lt;/dates&gt;&lt;isbn&gt;0002-953X (Print)&amp;#xD;0002-953X (Linking)&lt;/isbn&gt;&lt;accession-num&gt;1415828&lt;/accession-num&gt;&lt;urls&gt;&lt;related-urls&gt;&lt;url&gt;https://www.ncbi.nlm.nih.gov/pubmed/1415828&lt;/url&gt;&lt;/related-urls&gt;&lt;/urls&gt;&lt;electronic-resource-num&gt;10.1176/ajp.149.11.1580&lt;/electronic-resource-num&gt;&lt;remote-database-name&gt;Medline&lt;/remote-database-name&gt;&lt;remote-database-provider&gt;NLM&lt;/remote-database-provider&gt;&lt;language&gt;eng&lt;/language&gt;&lt;/record&gt;&lt;/Cite&gt;&lt;/EndNote&gt;</w:instrText>
            </w:r>
            <w:r w:rsidRPr="004D46AC">
              <w:fldChar w:fldCharType="separate"/>
            </w:r>
            <w:r w:rsidRPr="004D46AC">
              <w:t>Tohen et al. (1992)</w:t>
            </w:r>
            <w:r w:rsidRPr="004D46AC">
              <w:fldChar w:fldCharType="end"/>
            </w:r>
          </w:p>
        </w:tc>
        <w:tc>
          <w:tcPr>
            <w:tcW w:w="754" w:type="dxa"/>
            <w:vAlign w:val="center"/>
          </w:tcPr>
          <w:p w14:paraId="0B44CC83" w14:textId="77777777" w:rsidR="009864DB" w:rsidRPr="004D46AC" w:rsidRDefault="009864DB" w:rsidP="009864DB">
            <w:pPr>
              <w:spacing w:line="240" w:lineRule="auto"/>
              <w:ind w:firstLine="0"/>
            </w:pPr>
            <w:r w:rsidRPr="004D46AC">
              <w:t>6</w:t>
            </w:r>
          </w:p>
        </w:tc>
        <w:tc>
          <w:tcPr>
            <w:tcW w:w="766" w:type="dxa"/>
            <w:vAlign w:val="center"/>
          </w:tcPr>
          <w:p w14:paraId="696680A6" w14:textId="77777777" w:rsidR="009864DB" w:rsidRPr="004D46AC" w:rsidRDefault="009864DB" w:rsidP="009864DB">
            <w:pPr>
              <w:spacing w:line="240" w:lineRule="auto"/>
              <w:ind w:firstLine="0"/>
            </w:pPr>
            <w:r w:rsidRPr="004D46AC">
              <w:t>30</w:t>
            </w:r>
          </w:p>
        </w:tc>
        <w:tc>
          <w:tcPr>
            <w:tcW w:w="1096" w:type="dxa"/>
            <w:vAlign w:val="center"/>
          </w:tcPr>
          <w:p w14:paraId="1C624FF3" w14:textId="77777777" w:rsidR="009864DB" w:rsidRPr="004D46AC" w:rsidRDefault="009864DB" w:rsidP="009864DB">
            <w:pPr>
              <w:spacing w:line="240" w:lineRule="auto"/>
              <w:ind w:firstLine="0"/>
            </w:pPr>
            <w:r w:rsidRPr="004D46AC">
              <w:t>DSM3</w:t>
            </w:r>
          </w:p>
        </w:tc>
        <w:tc>
          <w:tcPr>
            <w:tcW w:w="1415" w:type="dxa"/>
            <w:vAlign w:val="center"/>
          </w:tcPr>
          <w:p w14:paraId="02A1E97C" w14:textId="77777777" w:rsidR="009864DB" w:rsidRPr="004D46AC" w:rsidRDefault="009864DB" w:rsidP="009864DB">
            <w:pPr>
              <w:spacing w:line="240" w:lineRule="auto"/>
              <w:ind w:firstLine="0"/>
            </w:pPr>
            <w:r w:rsidRPr="004D46AC">
              <w:t>DIS</w:t>
            </w:r>
          </w:p>
        </w:tc>
        <w:tc>
          <w:tcPr>
            <w:tcW w:w="876" w:type="dxa"/>
            <w:vAlign w:val="center"/>
          </w:tcPr>
          <w:p w14:paraId="1886E31C" w14:textId="77777777" w:rsidR="009864DB" w:rsidRPr="004D46AC" w:rsidRDefault="009864DB" w:rsidP="009864DB">
            <w:pPr>
              <w:spacing w:line="240" w:lineRule="auto"/>
              <w:ind w:firstLine="0"/>
            </w:pPr>
            <w:r w:rsidRPr="004D46AC">
              <w:t>54</w:t>
            </w:r>
          </w:p>
        </w:tc>
        <w:tc>
          <w:tcPr>
            <w:tcW w:w="986" w:type="dxa"/>
            <w:vAlign w:val="center"/>
          </w:tcPr>
          <w:p w14:paraId="09C37155" w14:textId="77777777" w:rsidR="009864DB" w:rsidRPr="004D46AC" w:rsidRDefault="009864DB" w:rsidP="009864DB">
            <w:pPr>
              <w:spacing w:line="240" w:lineRule="auto"/>
              <w:ind w:firstLine="0"/>
            </w:pPr>
            <w:r w:rsidRPr="004D46AC">
              <w:t>3</w:t>
            </w:r>
          </w:p>
        </w:tc>
        <w:tc>
          <w:tcPr>
            <w:tcW w:w="751" w:type="dxa"/>
            <w:vAlign w:val="center"/>
          </w:tcPr>
          <w:p w14:paraId="29DF914A" w14:textId="77777777" w:rsidR="009864DB" w:rsidRPr="004D46AC" w:rsidRDefault="009864DB" w:rsidP="009864DB">
            <w:pPr>
              <w:spacing w:line="240" w:lineRule="auto"/>
              <w:ind w:firstLine="0"/>
            </w:pPr>
            <w:r w:rsidRPr="004D46AC">
              <w:t>3</w:t>
            </w:r>
          </w:p>
        </w:tc>
        <w:tc>
          <w:tcPr>
            <w:tcW w:w="752" w:type="dxa"/>
            <w:vAlign w:val="center"/>
          </w:tcPr>
          <w:p w14:paraId="00D57B55" w14:textId="77777777" w:rsidR="009864DB" w:rsidRPr="004D46AC" w:rsidRDefault="009864DB" w:rsidP="009864DB">
            <w:pPr>
              <w:spacing w:line="240" w:lineRule="auto"/>
              <w:ind w:firstLine="0"/>
            </w:pPr>
            <w:r w:rsidRPr="004D46AC">
              <w:t>0</w:t>
            </w:r>
          </w:p>
        </w:tc>
        <w:tc>
          <w:tcPr>
            <w:tcW w:w="1296" w:type="dxa"/>
          </w:tcPr>
          <w:p w14:paraId="18E92F3E" w14:textId="77777777" w:rsidR="009864DB" w:rsidRPr="004D46AC" w:rsidRDefault="009864DB" w:rsidP="009864DB">
            <w:pPr>
              <w:spacing w:line="240" w:lineRule="auto"/>
              <w:ind w:firstLine="0"/>
            </w:pPr>
            <w:r w:rsidRPr="004D46AC">
              <w:t>54</w:t>
            </w:r>
          </w:p>
        </w:tc>
        <w:tc>
          <w:tcPr>
            <w:tcW w:w="752" w:type="dxa"/>
            <w:vAlign w:val="center"/>
          </w:tcPr>
          <w:p w14:paraId="44C61C51" w14:textId="77777777" w:rsidR="009864DB" w:rsidRPr="004D46AC" w:rsidRDefault="009864DB" w:rsidP="009864DB">
            <w:pPr>
              <w:spacing w:line="240" w:lineRule="auto"/>
              <w:ind w:firstLine="0"/>
            </w:pPr>
            <w:r w:rsidRPr="004D46AC">
              <w:t>24</w:t>
            </w:r>
          </w:p>
        </w:tc>
        <w:tc>
          <w:tcPr>
            <w:tcW w:w="789" w:type="dxa"/>
            <w:gridSpan w:val="2"/>
            <w:vAlign w:val="center"/>
          </w:tcPr>
          <w:p w14:paraId="7F3916A4" w14:textId="77777777" w:rsidR="009864DB" w:rsidRPr="004D46AC" w:rsidRDefault="009864DB" w:rsidP="009864DB">
            <w:pPr>
              <w:spacing w:line="240" w:lineRule="auto"/>
              <w:ind w:firstLine="0"/>
            </w:pPr>
            <w:r w:rsidRPr="004D46AC">
              <w:t>30</w:t>
            </w:r>
          </w:p>
        </w:tc>
      </w:tr>
      <w:tr w:rsidR="009864DB" w:rsidRPr="004D46AC" w14:paraId="1A8D826D" w14:textId="77777777" w:rsidTr="00B518F1">
        <w:tc>
          <w:tcPr>
            <w:tcW w:w="1476" w:type="dxa"/>
          </w:tcPr>
          <w:p w14:paraId="7F90CD5E" w14:textId="77777777" w:rsidR="009864DB" w:rsidRPr="004D46AC" w:rsidRDefault="009864DB" w:rsidP="009864DB">
            <w:pPr>
              <w:spacing w:line="240" w:lineRule="auto"/>
              <w:ind w:firstLine="0"/>
            </w:pPr>
            <w:r w:rsidRPr="004D46AC">
              <w:fldChar w:fldCharType="begin">
                <w:fldData xml:space="preserve">PEVuZE5vdGU+PENpdGUgQXV0aG9yWWVhcj0iMSI+PEF1dGhvcj5Cb3JhPC9BdXRob3I+PFllYXI+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</w:fldData>
              </w:fldChar>
            </w:r>
            <w:r w:rsidRPr="004D46AC">
              <w:instrText xml:space="preserve"> ADDIN EN.CITE </w:instrText>
            </w:r>
            <w:r w:rsidRPr="004D46AC">
              <w:fldChar w:fldCharType="begin">
                <w:fldData xml:space="preserve">PEVuZE5vdGU+PENpdGUgQXV0aG9yWWVhcj0iMSI+PEF1dGhvcj5Cb3JhPC9BdXRob3I+PFllYXI+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</w:fldData>
              </w:fldChar>
            </w:r>
            <w:r w:rsidRPr="004D46AC">
              <w:instrText xml:space="preserve"> ADDIN EN.CITE.DATA </w:instrText>
            </w:r>
            <w:r w:rsidRPr="004D46AC">
              <w:fldChar w:fldCharType="end"/>
            </w:r>
            <w:r w:rsidRPr="004D46AC">
              <w:fldChar w:fldCharType="separate"/>
            </w:r>
            <w:r w:rsidRPr="004D46AC">
              <w:t>Bora et al. (2007)</w:t>
            </w:r>
            <w:r w:rsidRPr="004D46AC">
              <w:fldChar w:fldCharType="end"/>
            </w:r>
          </w:p>
        </w:tc>
        <w:tc>
          <w:tcPr>
            <w:tcW w:w="754" w:type="dxa"/>
            <w:vAlign w:val="center"/>
          </w:tcPr>
          <w:p w14:paraId="7123847C" w14:textId="77777777" w:rsidR="009864DB" w:rsidRPr="004D46AC" w:rsidRDefault="009864DB" w:rsidP="009864DB">
            <w:pPr>
              <w:spacing w:line="240" w:lineRule="auto"/>
              <w:ind w:firstLine="0"/>
            </w:pPr>
            <w:r w:rsidRPr="004D46AC">
              <w:t>5</w:t>
            </w:r>
          </w:p>
        </w:tc>
        <w:tc>
          <w:tcPr>
            <w:tcW w:w="766" w:type="dxa"/>
            <w:vAlign w:val="center"/>
          </w:tcPr>
          <w:p w14:paraId="7A9E7444" w14:textId="77777777" w:rsidR="009864DB" w:rsidRPr="004D46AC" w:rsidRDefault="009864DB" w:rsidP="009864DB">
            <w:pPr>
              <w:spacing w:line="240" w:lineRule="auto"/>
              <w:ind w:firstLine="0"/>
            </w:pPr>
            <w:r w:rsidRPr="004D46AC">
              <w:t>37.97</w:t>
            </w:r>
          </w:p>
        </w:tc>
        <w:tc>
          <w:tcPr>
            <w:tcW w:w="1096" w:type="dxa"/>
            <w:vAlign w:val="center"/>
          </w:tcPr>
          <w:p w14:paraId="2BDF5236" w14:textId="77777777" w:rsidR="009864DB" w:rsidRPr="004D46AC" w:rsidRDefault="009864DB" w:rsidP="009864DB">
            <w:pPr>
              <w:spacing w:line="240" w:lineRule="auto"/>
              <w:ind w:firstLine="0"/>
            </w:pPr>
            <w:r w:rsidRPr="004D46AC">
              <w:t>DSM4</w:t>
            </w:r>
          </w:p>
        </w:tc>
        <w:tc>
          <w:tcPr>
            <w:tcW w:w="1415" w:type="dxa"/>
            <w:vAlign w:val="center"/>
          </w:tcPr>
          <w:p w14:paraId="31619EAF" w14:textId="77777777" w:rsidR="009864DB" w:rsidRPr="004D46AC" w:rsidRDefault="009864DB" w:rsidP="009864DB">
            <w:pPr>
              <w:spacing w:line="240" w:lineRule="auto"/>
              <w:ind w:firstLine="0"/>
            </w:pPr>
            <w:r w:rsidRPr="004D46AC">
              <w:t>SCID</w:t>
            </w:r>
          </w:p>
        </w:tc>
        <w:tc>
          <w:tcPr>
            <w:tcW w:w="876" w:type="dxa"/>
            <w:vAlign w:val="center"/>
          </w:tcPr>
          <w:p w14:paraId="09117AD7" w14:textId="77777777" w:rsidR="009864DB" w:rsidRPr="004D46AC" w:rsidRDefault="009864DB" w:rsidP="009864DB">
            <w:pPr>
              <w:spacing w:line="240" w:lineRule="auto"/>
              <w:ind w:firstLine="0"/>
            </w:pPr>
            <w:r w:rsidRPr="004D46AC">
              <w:t>65</w:t>
            </w:r>
          </w:p>
        </w:tc>
        <w:tc>
          <w:tcPr>
            <w:tcW w:w="986" w:type="dxa"/>
            <w:vAlign w:val="center"/>
          </w:tcPr>
          <w:p w14:paraId="7EA246B8" w14:textId="77777777" w:rsidR="009864DB" w:rsidRPr="004D46AC" w:rsidRDefault="009864DB" w:rsidP="009864DB">
            <w:pPr>
              <w:spacing w:line="240" w:lineRule="auto"/>
              <w:ind w:firstLine="0"/>
            </w:pPr>
            <w:r w:rsidRPr="004D46AC">
              <w:t>unclear</w:t>
            </w:r>
          </w:p>
        </w:tc>
        <w:tc>
          <w:tcPr>
            <w:tcW w:w="751" w:type="dxa"/>
            <w:vAlign w:val="center"/>
          </w:tcPr>
          <w:p w14:paraId="327FFF06" w14:textId="77777777" w:rsidR="009864DB" w:rsidRPr="004D46AC" w:rsidRDefault="009864DB" w:rsidP="009864DB">
            <w:pPr>
              <w:spacing w:line="240" w:lineRule="auto"/>
              <w:ind w:firstLine="0"/>
            </w:pPr>
            <w:r w:rsidRPr="004D46AC">
              <w:t>2</w:t>
            </w:r>
          </w:p>
        </w:tc>
        <w:tc>
          <w:tcPr>
            <w:tcW w:w="752" w:type="dxa"/>
            <w:vAlign w:val="center"/>
          </w:tcPr>
          <w:p w14:paraId="73675E85" w14:textId="77777777" w:rsidR="009864DB" w:rsidRPr="004D46AC" w:rsidRDefault="009864DB" w:rsidP="009864DB">
            <w:pPr>
              <w:spacing w:line="240" w:lineRule="auto"/>
              <w:ind w:firstLine="0"/>
            </w:pPr>
            <w:r w:rsidRPr="004D46AC">
              <w:t>2</w:t>
            </w:r>
          </w:p>
        </w:tc>
        <w:tc>
          <w:tcPr>
            <w:tcW w:w="1296" w:type="dxa"/>
          </w:tcPr>
          <w:p w14:paraId="5FA2103F" w14:textId="77777777" w:rsidR="009864DB" w:rsidRPr="004D46AC" w:rsidRDefault="009864DB" w:rsidP="009864DB">
            <w:pPr>
              <w:spacing w:line="240" w:lineRule="auto"/>
              <w:ind w:firstLine="0"/>
            </w:pPr>
            <w:r w:rsidRPr="004D46AC">
              <w:t>40</w:t>
            </w:r>
          </w:p>
        </w:tc>
        <w:tc>
          <w:tcPr>
            <w:tcW w:w="752" w:type="dxa"/>
            <w:vAlign w:val="center"/>
          </w:tcPr>
          <w:p w14:paraId="67562B82" w14:textId="77777777" w:rsidR="009864DB" w:rsidRPr="004D46AC" w:rsidRDefault="009864DB" w:rsidP="009864DB">
            <w:pPr>
              <w:spacing w:line="240" w:lineRule="auto"/>
              <w:ind w:firstLine="0"/>
            </w:pPr>
            <w:r w:rsidRPr="004D46AC">
              <w:t>NA</w:t>
            </w:r>
          </w:p>
        </w:tc>
        <w:tc>
          <w:tcPr>
            <w:tcW w:w="789" w:type="dxa"/>
            <w:gridSpan w:val="2"/>
            <w:vAlign w:val="center"/>
          </w:tcPr>
          <w:p w14:paraId="6FD00645" w14:textId="77777777" w:rsidR="009864DB" w:rsidRPr="004D46AC" w:rsidRDefault="009864DB" w:rsidP="009864DB">
            <w:pPr>
              <w:spacing w:line="240" w:lineRule="auto"/>
              <w:ind w:firstLine="0"/>
            </w:pPr>
            <w:r w:rsidRPr="004D46AC">
              <w:t>18</w:t>
            </w:r>
          </w:p>
        </w:tc>
      </w:tr>
      <w:tr w:rsidR="009864DB" w:rsidRPr="004D46AC" w14:paraId="1EEA8109" w14:textId="77777777" w:rsidTr="00B518F1">
        <w:tc>
          <w:tcPr>
            <w:tcW w:w="1476" w:type="dxa"/>
          </w:tcPr>
          <w:p w14:paraId="41D13EBA" w14:textId="77777777" w:rsidR="009864DB" w:rsidRPr="004D46AC" w:rsidRDefault="009864DB" w:rsidP="009864DB">
            <w:pPr>
              <w:spacing w:line="240" w:lineRule="auto"/>
              <w:ind w:firstLine="0"/>
            </w:pPr>
            <w:r w:rsidRPr="004D46AC">
              <w:lastRenderedPageBreak/>
              <w:fldChar w:fldCharType="begin"/>
            </w:r>
            <w:r w:rsidRPr="004D46AC">
              <w:instrText xml:space="preserve"> ADDIN EN.CITE &lt;EndNote&gt;&lt;Cite AuthorYear="1"&gt;&lt;Author&gt;Winokur&lt;/Author&gt;&lt;Year&gt;1985&lt;/Year&gt;&lt;RecNum&gt;303&lt;/RecNum&gt;&lt;DisplayText&gt;Winokur et al. (1985)&lt;/DisplayText&gt;&lt;record&gt;&lt;rec-number&gt;303&lt;/rec-number&gt;&lt;foreign-keys&gt;&lt;key app="EN" db-id="aet009sstawa0hewvt3xwf5atffdw2dt02sw" timestamp="1666493636"&gt;303&lt;/key&gt;&lt;/foreign-keys&gt;&lt;ref-type name="Journal Article"&gt;17&lt;/ref-type&gt;&lt;contributors&gt;&lt;authors&gt;&lt;author&gt;Winokur, G.&lt;/author&gt;&lt;author&gt;Scharfetter, C.&lt;/author&gt;&lt;author&gt;Angst, J.&lt;/author&gt;&lt;/authors&gt;&lt;/contributors&gt;&lt;titles&gt;&lt;title&gt;The diagnostic value in assessing mood congruence in delusions and hallucinations and their relationship to the affective state&lt;/title&gt;&lt;secondary-title&gt;Eur Arch Psychiatry Neurol Sci&lt;/secondary-title&gt;&lt;/titles&gt;&lt;periodical&gt;&lt;full-title&gt;Eur Arch Psychiatry Neurol Sci&lt;/full-title&gt;&lt;/periodical&gt;&lt;pages&gt;299-302&lt;/pages&gt;&lt;volume&gt;234&lt;/volume&gt;&lt;number&gt;5&lt;/number&gt;&lt;keywords&gt;&lt;keyword&gt;Adult&lt;/keyword&gt;&lt;keyword&gt;Bipolar Disorder/*diagnosis/psychology&lt;/keyword&gt;&lt;keyword&gt;Delusions/*diagnosis/psychology&lt;/keyword&gt;&lt;keyword&gt;Depressive Disorder/*diagnosis/psychology&lt;/keyword&gt;&lt;keyword&gt;Diagnosis, Differential&lt;/keyword&gt;&lt;keyword&gt;Female&lt;/keyword&gt;&lt;keyword&gt;Hallucinations/*diagnosis/psychology&lt;/keyword&gt;&lt;keyword&gt;Humans&lt;/keyword&gt;&lt;keyword&gt;Male&lt;/keyword&gt;&lt;keyword&gt;Middle Aged&lt;/keyword&gt;&lt;keyword&gt;Psychotic Disorders/*diagnosis/psychology&lt;/keyword&gt;&lt;keyword&gt;Schizophrenia/*diagnosis&lt;/keyword&gt;&lt;keyword&gt;Schizophrenic Psychology&lt;/keyword&gt;&lt;/keywords&gt;&lt;dates&gt;&lt;year&gt;1985&lt;/year&gt;&lt;/dates&gt;&lt;isbn&gt;0175-758X (Print)&amp;#xD;0175-758X (Linking)&lt;/isbn&gt;&lt;accession-num&gt;3987738&lt;/accession-num&gt;&lt;urls&gt;&lt;related-urls&gt;&lt;url&gt;https://www.ncbi.nlm.nih.gov/pubmed/3987738&lt;/url&gt;&lt;/related-urls&gt;&lt;/urls&gt;&lt;electronic-resource-num&gt;10.1007/BF00381040&lt;/electronic-resource-num&gt;&lt;remote-database-name&gt;Medline&lt;/remote-database-name&gt;&lt;remote-database-provider&gt;NLM&lt;/remote-database-provider&gt;&lt;language&gt;eng&lt;/language&gt;&lt;/record&gt;&lt;/Cite&gt;&lt;/EndNote&gt;</w:instrText>
            </w:r>
            <w:r w:rsidRPr="004D46AC">
              <w:fldChar w:fldCharType="separate"/>
            </w:r>
            <w:r w:rsidRPr="004D46AC">
              <w:t>Winokur et al. (1985)</w:t>
            </w:r>
            <w:r w:rsidRPr="004D46AC">
              <w:fldChar w:fldCharType="end"/>
            </w:r>
          </w:p>
        </w:tc>
        <w:tc>
          <w:tcPr>
            <w:tcW w:w="754" w:type="dxa"/>
            <w:vAlign w:val="center"/>
          </w:tcPr>
          <w:p w14:paraId="13604914" w14:textId="77777777" w:rsidR="009864DB" w:rsidRPr="004D46AC" w:rsidRDefault="009864DB" w:rsidP="009864DB">
            <w:pPr>
              <w:spacing w:line="240" w:lineRule="auto"/>
              <w:ind w:firstLine="0"/>
            </w:pPr>
            <w:r w:rsidRPr="004D46AC">
              <w:t>5</w:t>
            </w:r>
          </w:p>
        </w:tc>
        <w:tc>
          <w:tcPr>
            <w:tcW w:w="766" w:type="dxa"/>
            <w:vAlign w:val="center"/>
          </w:tcPr>
          <w:p w14:paraId="6FE04021" w14:textId="77777777" w:rsidR="009864DB" w:rsidRPr="004D46AC" w:rsidRDefault="009864DB" w:rsidP="009864DB">
            <w:pPr>
              <w:spacing w:line="240" w:lineRule="auto"/>
              <w:ind w:firstLine="0"/>
            </w:pPr>
            <w:r w:rsidRPr="004D46AC">
              <w:t>NA</w:t>
            </w:r>
          </w:p>
        </w:tc>
        <w:tc>
          <w:tcPr>
            <w:tcW w:w="1096" w:type="dxa"/>
            <w:vAlign w:val="center"/>
          </w:tcPr>
          <w:p w14:paraId="09093737" w14:textId="77777777" w:rsidR="009864DB" w:rsidRPr="004D46AC" w:rsidRDefault="009864DB" w:rsidP="009864DB">
            <w:pPr>
              <w:spacing w:line="240" w:lineRule="auto"/>
              <w:ind w:firstLine="0"/>
            </w:pPr>
            <w:r w:rsidRPr="004D46AC">
              <w:t>ICD8</w:t>
            </w:r>
          </w:p>
        </w:tc>
        <w:tc>
          <w:tcPr>
            <w:tcW w:w="1415" w:type="dxa"/>
            <w:vAlign w:val="center"/>
          </w:tcPr>
          <w:p w14:paraId="4197EAF5" w14:textId="77777777" w:rsidR="009864DB" w:rsidRPr="004D46AC" w:rsidRDefault="009864DB" w:rsidP="009864DB">
            <w:pPr>
              <w:spacing w:line="240" w:lineRule="auto"/>
              <w:ind w:firstLine="0"/>
            </w:pPr>
            <w:r w:rsidRPr="004D46AC">
              <w:t>mixed</w:t>
            </w:r>
          </w:p>
        </w:tc>
        <w:tc>
          <w:tcPr>
            <w:tcW w:w="876" w:type="dxa"/>
            <w:vAlign w:val="center"/>
          </w:tcPr>
          <w:p w14:paraId="7C1D98C2" w14:textId="77777777" w:rsidR="009864DB" w:rsidRPr="004D46AC" w:rsidRDefault="009864DB" w:rsidP="009864DB">
            <w:pPr>
              <w:spacing w:line="240" w:lineRule="auto"/>
              <w:ind w:firstLine="0"/>
            </w:pPr>
            <w:r w:rsidRPr="004D46AC">
              <w:t>30</w:t>
            </w:r>
          </w:p>
        </w:tc>
        <w:tc>
          <w:tcPr>
            <w:tcW w:w="986" w:type="dxa"/>
            <w:vAlign w:val="center"/>
          </w:tcPr>
          <w:p w14:paraId="167A4FED" w14:textId="77777777" w:rsidR="009864DB" w:rsidRPr="004D46AC" w:rsidRDefault="009864DB" w:rsidP="009864DB">
            <w:pPr>
              <w:spacing w:line="240" w:lineRule="auto"/>
              <w:ind w:firstLine="0"/>
            </w:pPr>
            <w:r w:rsidRPr="004D46AC">
              <w:t>unclear</w:t>
            </w:r>
          </w:p>
        </w:tc>
        <w:tc>
          <w:tcPr>
            <w:tcW w:w="751" w:type="dxa"/>
            <w:vAlign w:val="center"/>
          </w:tcPr>
          <w:p w14:paraId="6D58FDE7" w14:textId="77777777" w:rsidR="009864DB" w:rsidRPr="004D46AC" w:rsidRDefault="009864DB" w:rsidP="009864DB">
            <w:pPr>
              <w:spacing w:line="240" w:lineRule="auto"/>
              <w:ind w:firstLine="0"/>
            </w:pPr>
            <w:r w:rsidRPr="004D46AC">
              <w:t>1</w:t>
            </w:r>
          </w:p>
        </w:tc>
        <w:tc>
          <w:tcPr>
            <w:tcW w:w="752" w:type="dxa"/>
            <w:vAlign w:val="center"/>
          </w:tcPr>
          <w:p w14:paraId="0A1179B6" w14:textId="77777777" w:rsidR="009864DB" w:rsidRPr="004D46AC" w:rsidRDefault="009864DB" w:rsidP="009864DB">
            <w:pPr>
              <w:spacing w:line="240" w:lineRule="auto"/>
              <w:ind w:firstLine="0"/>
            </w:pPr>
            <w:r w:rsidRPr="004D46AC">
              <w:t>0</w:t>
            </w:r>
          </w:p>
        </w:tc>
        <w:tc>
          <w:tcPr>
            <w:tcW w:w="1296" w:type="dxa"/>
          </w:tcPr>
          <w:p w14:paraId="5B76F915" w14:textId="77777777" w:rsidR="009864DB" w:rsidRPr="004D46AC" w:rsidRDefault="009864DB" w:rsidP="009864DB">
            <w:pPr>
              <w:spacing w:line="240" w:lineRule="auto"/>
              <w:ind w:firstLine="0"/>
            </w:pPr>
            <w:r w:rsidRPr="004D46AC">
              <w:t>13</w:t>
            </w:r>
          </w:p>
        </w:tc>
        <w:tc>
          <w:tcPr>
            <w:tcW w:w="752" w:type="dxa"/>
            <w:vAlign w:val="center"/>
          </w:tcPr>
          <w:p w14:paraId="7E3E7CC8" w14:textId="77777777" w:rsidR="009864DB" w:rsidRPr="004D46AC" w:rsidRDefault="009864DB" w:rsidP="009864DB">
            <w:pPr>
              <w:spacing w:line="240" w:lineRule="auto"/>
              <w:ind w:firstLine="0"/>
            </w:pPr>
            <w:r w:rsidRPr="004D46AC">
              <w:t>12</w:t>
            </w:r>
          </w:p>
        </w:tc>
        <w:tc>
          <w:tcPr>
            <w:tcW w:w="789" w:type="dxa"/>
            <w:gridSpan w:val="2"/>
            <w:vAlign w:val="center"/>
          </w:tcPr>
          <w:p w14:paraId="3E4602E9" w14:textId="77777777" w:rsidR="009864DB" w:rsidRPr="004D46AC" w:rsidRDefault="009864DB" w:rsidP="009864DB">
            <w:pPr>
              <w:spacing w:line="240" w:lineRule="auto"/>
              <w:ind w:firstLine="0"/>
            </w:pPr>
            <w:r w:rsidRPr="004D46AC">
              <w:t>3</w:t>
            </w:r>
          </w:p>
        </w:tc>
      </w:tr>
      <w:tr w:rsidR="009864DB" w:rsidRPr="004D46AC" w14:paraId="32B1E731" w14:textId="77777777" w:rsidTr="00B518F1">
        <w:tc>
          <w:tcPr>
            <w:tcW w:w="1476" w:type="dxa"/>
          </w:tcPr>
          <w:p w14:paraId="2564E853"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AuthorYear="1"&gt;&lt;Author&gt;Toni&lt;/Author&gt;&lt;Year&gt;2001&lt;/Year&gt;&lt;RecNum&gt;305&lt;/RecNum&gt;&lt;DisplayText&gt;Toni et al. (2001)&lt;/DisplayText&gt;&lt;record&gt;&lt;rec-number&gt;305&lt;/rec-number&gt;&lt;foreign-keys&gt;&lt;key app="EN" db-id="aet009sstawa0hewvt3xwf5atffdw2dt02sw" timestamp="1666500572"&gt;305&lt;/key&gt;&lt;/foreign-keys&gt;&lt;ref-type name="Journal Article"&gt;17&lt;/ref-type&gt;&lt;contributors&gt;&lt;authors&gt;&lt;author&gt;Toni, C.&lt;/author&gt;&lt;author&gt;Perugi, G.&lt;/author&gt;&lt;author&gt;Mata, B.&lt;/author&gt;&lt;author&gt;Madaro, D.&lt;/author&gt;&lt;author&gt;Maremmani, I.&lt;/author&gt;&lt;author&gt;Akiskal, H. S.&lt;/author&gt;&lt;/authors&gt;&lt;/contributors&gt;&lt;auth-address&gt;Department of Psychiatry, University of Pisa, Via Roma 67, 56100, Pisa, Italy.&lt;/auth-address&gt;&lt;titles&gt;&lt;title&gt;Is mood-incongruent manic psychosis a distinct subtype?&lt;/title&gt;&lt;secondary-title&gt;Eur Arch Psychiatry Clin Neurosci&lt;/secondary-title&gt;&lt;/titles&gt;&lt;periodical&gt;&lt;full-title&gt;Eur Arch Psychiatry Clin Neurosci&lt;/full-title&gt;&lt;/periodical&gt;&lt;pages&gt;12-7&lt;/pages&gt;&lt;volume&gt;251&lt;/volume&gt;&lt;number&gt;1&lt;/number&gt;&lt;keywords&gt;&lt;keyword&gt;Adolescent&lt;/keyword&gt;&lt;keyword&gt;Adult&lt;/keyword&gt;&lt;keyword&gt;Aged&lt;/keyword&gt;&lt;keyword&gt;Bipolar Disorder/classification/*diagnosis/psychology&lt;/keyword&gt;&lt;keyword&gt;Diagnosis, Differential&lt;/keyword&gt;&lt;keyword&gt;Female&lt;/keyword&gt;&lt;keyword&gt;Humans&lt;/keyword&gt;&lt;keyword&gt;Male&lt;/keyword&gt;&lt;keyword&gt;Middle Aged&lt;/keyword&gt;&lt;keyword&gt;Psychiatric Status Rating Scales&lt;/keyword&gt;&lt;keyword&gt;Psychotic Disorders/classification/*diagnosis/psychology&lt;/keyword&gt;&lt;/keywords&gt;&lt;dates&gt;&lt;year&gt;2001&lt;/year&gt;&lt;/dates&gt;&lt;isbn&gt;0940-1334 (Print)&amp;#xD;0940-1334 (Linking)&lt;/isbn&gt;&lt;accession-num&gt;11315512&lt;/accession-num&gt;&lt;urls&gt;&lt;related-urls&gt;&lt;url&gt;https://www.ncbi.nlm.nih.gov/pubmed/11315512&lt;/url&gt;&lt;/related-urls&gt;&lt;/urls&gt;&lt;electronic-resource-num&gt;10.1007/s004060170061&lt;/electronic-resource-num&gt;&lt;remote-database-name&gt;Medline&lt;/remote-database-name&gt;&lt;remote-database-provider&gt;NLM&lt;/remote-database-provider&gt;&lt;language&gt;eng&lt;/language&gt;&lt;/record&gt;&lt;/Cite&gt;&lt;/EndNote&gt;</w:instrText>
            </w:r>
            <w:r w:rsidRPr="004D46AC">
              <w:fldChar w:fldCharType="separate"/>
            </w:r>
            <w:r w:rsidRPr="004D46AC">
              <w:t>Toni et al. (2001)</w:t>
            </w:r>
            <w:r w:rsidRPr="004D46AC">
              <w:fldChar w:fldCharType="end"/>
            </w:r>
          </w:p>
        </w:tc>
        <w:tc>
          <w:tcPr>
            <w:tcW w:w="754" w:type="dxa"/>
            <w:vAlign w:val="center"/>
          </w:tcPr>
          <w:p w14:paraId="2B317884" w14:textId="77777777" w:rsidR="009864DB" w:rsidRPr="004D46AC" w:rsidRDefault="009864DB" w:rsidP="009864DB">
            <w:pPr>
              <w:spacing w:line="240" w:lineRule="auto"/>
              <w:ind w:firstLine="0"/>
            </w:pPr>
            <w:r w:rsidRPr="004D46AC">
              <w:t>7</w:t>
            </w:r>
          </w:p>
        </w:tc>
        <w:tc>
          <w:tcPr>
            <w:tcW w:w="766" w:type="dxa"/>
            <w:vAlign w:val="center"/>
          </w:tcPr>
          <w:p w14:paraId="23E93AEB" w14:textId="77777777" w:rsidR="009864DB" w:rsidRPr="004D46AC" w:rsidRDefault="009864DB" w:rsidP="009864DB">
            <w:pPr>
              <w:spacing w:line="240" w:lineRule="auto"/>
              <w:ind w:firstLine="0"/>
            </w:pPr>
            <w:r w:rsidRPr="004D46AC">
              <w:t>37.9</w:t>
            </w:r>
          </w:p>
        </w:tc>
        <w:tc>
          <w:tcPr>
            <w:tcW w:w="1096" w:type="dxa"/>
            <w:vAlign w:val="center"/>
          </w:tcPr>
          <w:p w14:paraId="4586107A" w14:textId="77777777" w:rsidR="009864DB" w:rsidRPr="004D46AC" w:rsidRDefault="009864DB" w:rsidP="009864DB">
            <w:pPr>
              <w:spacing w:line="240" w:lineRule="auto"/>
              <w:ind w:firstLine="0"/>
            </w:pPr>
            <w:r w:rsidRPr="004D46AC">
              <w:t>DSM3R</w:t>
            </w:r>
          </w:p>
        </w:tc>
        <w:tc>
          <w:tcPr>
            <w:tcW w:w="1415" w:type="dxa"/>
            <w:vAlign w:val="center"/>
          </w:tcPr>
          <w:p w14:paraId="4333009F" w14:textId="77777777" w:rsidR="009864DB" w:rsidRPr="004D46AC" w:rsidRDefault="009864DB" w:rsidP="009864DB">
            <w:pPr>
              <w:spacing w:line="240" w:lineRule="auto"/>
              <w:ind w:firstLine="0"/>
            </w:pPr>
            <w:r w:rsidRPr="004D46AC">
              <w:t>SAPS</w:t>
            </w:r>
          </w:p>
        </w:tc>
        <w:tc>
          <w:tcPr>
            <w:tcW w:w="876" w:type="dxa"/>
            <w:vAlign w:val="center"/>
          </w:tcPr>
          <w:p w14:paraId="16ABA79C" w14:textId="77777777" w:rsidR="009864DB" w:rsidRPr="004D46AC" w:rsidRDefault="009864DB" w:rsidP="009864DB">
            <w:pPr>
              <w:spacing w:line="240" w:lineRule="auto"/>
              <w:ind w:firstLine="0"/>
            </w:pPr>
            <w:r w:rsidRPr="004D46AC">
              <w:t>155</w:t>
            </w:r>
          </w:p>
        </w:tc>
        <w:tc>
          <w:tcPr>
            <w:tcW w:w="986" w:type="dxa"/>
            <w:vAlign w:val="center"/>
          </w:tcPr>
          <w:p w14:paraId="5249C8F6" w14:textId="77777777" w:rsidR="009864DB" w:rsidRPr="004D46AC" w:rsidRDefault="009864DB" w:rsidP="009864DB">
            <w:pPr>
              <w:spacing w:line="240" w:lineRule="auto"/>
              <w:ind w:firstLine="0"/>
            </w:pPr>
            <w:r w:rsidRPr="004D46AC">
              <w:t>3</w:t>
            </w:r>
          </w:p>
        </w:tc>
        <w:tc>
          <w:tcPr>
            <w:tcW w:w="751" w:type="dxa"/>
            <w:vAlign w:val="center"/>
          </w:tcPr>
          <w:p w14:paraId="73AF7588" w14:textId="77777777" w:rsidR="009864DB" w:rsidRPr="004D46AC" w:rsidRDefault="009864DB" w:rsidP="009864DB">
            <w:pPr>
              <w:spacing w:line="240" w:lineRule="auto"/>
              <w:ind w:firstLine="0"/>
            </w:pPr>
            <w:r w:rsidRPr="004D46AC">
              <w:t>2</w:t>
            </w:r>
          </w:p>
        </w:tc>
        <w:tc>
          <w:tcPr>
            <w:tcW w:w="752" w:type="dxa"/>
            <w:vAlign w:val="center"/>
          </w:tcPr>
          <w:p w14:paraId="2D3CDF63" w14:textId="77777777" w:rsidR="009864DB" w:rsidRPr="004D46AC" w:rsidRDefault="009864DB" w:rsidP="009864DB">
            <w:pPr>
              <w:spacing w:line="240" w:lineRule="auto"/>
              <w:ind w:firstLine="0"/>
            </w:pPr>
            <w:r w:rsidRPr="004D46AC">
              <w:t>0</w:t>
            </w:r>
          </w:p>
        </w:tc>
        <w:tc>
          <w:tcPr>
            <w:tcW w:w="1296" w:type="dxa"/>
          </w:tcPr>
          <w:p w14:paraId="1352B1E8" w14:textId="77777777" w:rsidR="009864DB" w:rsidRPr="004D46AC" w:rsidRDefault="009864DB" w:rsidP="009864DB">
            <w:pPr>
              <w:spacing w:line="240" w:lineRule="auto"/>
              <w:ind w:firstLine="0"/>
            </w:pPr>
            <w:r w:rsidRPr="004D46AC">
              <w:t>107</w:t>
            </w:r>
          </w:p>
        </w:tc>
        <w:tc>
          <w:tcPr>
            <w:tcW w:w="752" w:type="dxa"/>
            <w:vAlign w:val="center"/>
          </w:tcPr>
          <w:p w14:paraId="667FDC0F" w14:textId="77777777" w:rsidR="009864DB" w:rsidRPr="004D46AC" w:rsidRDefault="009864DB" w:rsidP="009864DB">
            <w:pPr>
              <w:spacing w:line="240" w:lineRule="auto"/>
              <w:ind w:firstLine="0"/>
            </w:pPr>
            <w:r w:rsidRPr="004D46AC">
              <w:t>38</w:t>
            </w:r>
          </w:p>
        </w:tc>
        <w:tc>
          <w:tcPr>
            <w:tcW w:w="789" w:type="dxa"/>
            <w:gridSpan w:val="2"/>
            <w:vAlign w:val="center"/>
          </w:tcPr>
          <w:p w14:paraId="522A0FED" w14:textId="77777777" w:rsidR="009864DB" w:rsidRPr="004D46AC" w:rsidRDefault="009864DB" w:rsidP="009864DB">
            <w:pPr>
              <w:spacing w:line="240" w:lineRule="auto"/>
              <w:ind w:firstLine="0"/>
            </w:pPr>
            <w:r w:rsidRPr="004D46AC">
              <w:t>69</w:t>
            </w:r>
          </w:p>
        </w:tc>
      </w:tr>
      <w:tr w:rsidR="009864DB" w:rsidRPr="004D46AC" w14:paraId="0A93519F" w14:textId="77777777" w:rsidTr="00B518F1">
        <w:tc>
          <w:tcPr>
            <w:tcW w:w="1476" w:type="dxa"/>
          </w:tcPr>
          <w:p w14:paraId="6DFF1272" w14:textId="77777777" w:rsidR="009864DB" w:rsidRPr="004D46AC" w:rsidRDefault="009864DB" w:rsidP="009864DB">
            <w:pPr>
              <w:spacing w:line="240" w:lineRule="auto"/>
              <w:ind w:firstLine="0"/>
            </w:pPr>
            <w:r w:rsidRPr="004D46AC">
              <w:fldChar w:fldCharType="begin">
                <w:fldData xml:space="preserve">PEVuZE5vdGU+PENpdGUgQXV0aG9yWWVhcj0iMSI+PEF1dGhvcj5CZW5hYmFycmU8L0F1dGhvcj48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instrText xml:space="preserve"> ADDIN EN.CITE </w:instrText>
            </w:r>
            <w:r w:rsidRPr="004D46AC">
              <w:fldChar w:fldCharType="begin">
                <w:fldData xml:space="preserve">PEVuZE5vdGU+PENpdGUgQXV0aG9yWWVhcj0iMSI+PEF1dGhvcj5CZW5hYmFycmU8L0F1dGhvcj48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instrText xml:space="preserve"> ADDIN EN.CITE.DATA </w:instrText>
            </w:r>
            <w:r w:rsidRPr="004D46AC">
              <w:fldChar w:fldCharType="end"/>
            </w:r>
            <w:r w:rsidRPr="004D46AC">
              <w:fldChar w:fldCharType="separate"/>
            </w:r>
            <w:r w:rsidRPr="004D46AC">
              <w:t>Benabarre et al. (2001)</w:t>
            </w:r>
            <w:r w:rsidRPr="004D46AC">
              <w:fldChar w:fldCharType="end"/>
            </w:r>
          </w:p>
        </w:tc>
        <w:tc>
          <w:tcPr>
            <w:tcW w:w="754" w:type="dxa"/>
            <w:vAlign w:val="center"/>
          </w:tcPr>
          <w:p w14:paraId="6D73A2D6" w14:textId="77777777" w:rsidR="009864DB" w:rsidRPr="004D46AC" w:rsidRDefault="009864DB" w:rsidP="009864DB">
            <w:pPr>
              <w:spacing w:line="240" w:lineRule="auto"/>
              <w:ind w:firstLine="0"/>
            </w:pPr>
            <w:r w:rsidRPr="004D46AC">
              <w:t>4</w:t>
            </w:r>
          </w:p>
        </w:tc>
        <w:tc>
          <w:tcPr>
            <w:tcW w:w="766" w:type="dxa"/>
            <w:vAlign w:val="center"/>
          </w:tcPr>
          <w:p w14:paraId="083ADCAA" w14:textId="77777777" w:rsidR="009864DB" w:rsidRPr="004D46AC" w:rsidRDefault="009864DB" w:rsidP="009864DB">
            <w:pPr>
              <w:spacing w:line="240" w:lineRule="auto"/>
              <w:ind w:firstLine="0"/>
            </w:pPr>
            <w:r w:rsidRPr="004D46AC">
              <w:t>NA</w:t>
            </w:r>
          </w:p>
        </w:tc>
        <w:tc>
          <w:tcPr>
            <w:tcW w:w="1096" w:type="dxa"/>
            <w:vAlign w:val="center"/>
          </w:tcPr>
          <w:p w14:paraId="55300F0B" w14:textId="77777777" w:rsidR="009864DB" w:rsidRPr="004D46AC" w:rsidRDefault="009864DB" w:rsidP="009864DB">
            <w:pPr>
              <w:spacing w:line="240" w:lineRule="auto"/>
              <w:ind w:firstLine="0"/>
            </w:pPr>
            <w:r w:rsidRPr="004D46AC">
              <w:t>RDC</w:t>
            </w:r>
          </w:p>
        </w:tc>
        <w:tc>
          <w:tcPr>
            <w:tcW w:w="1415" w:type="dxa"/>
            <w:vAlign w:val="center"/>
          </w:tcPr>
          <w:p w14:paraId="2FBDF60F" w14:textId="77777777" w:rsidR="009864DB" w:rsidRPr="004D46AC" w:rsidRDefault="009864DB" w:rsidP="009864DB">
            <w:pPr>
              <w:spacing w:line="240" w:lineRule="auto"/>
              <w:ind w:firstLine="0"/>
            </w:pPr>
            <w:r w:rsidRPr="004D46AC">
              <w:t>SADS</w:t>
            </w:r>
          </w:p>
        </w:tc>
        <w:tc>
          <w:tcPr>
            <w:tcW w:w="876" w:type="dxa"/>
            <w:vAlign w:val="center"/>
          </w:tcPr>
          <w:p w14:paraId="259567DB" w14:textId="77777777" w:rsidR="009864DB" w:rsidRPr="004D46AC" w:rsidRDefault="009864DB" w:rsidP="009864DB">
            <w:pPr>
              <w:spacing w:line="240" w:lineRule="auto"/>
              <w:ind w:firstLine="0"/>
            </w:pPr>
            <w:r w:rsidRPr="004D46AC">
              <w:t>67</w:t>
            </w:r>
          </w:p>
        </w:tc>
        <w:tc>
          <w:tcPr>
            <w:tcW w:w="986" w:type="dxa"/>
            <w:vAlign w:val="center"/>
          </w:tcPr>
          <w:p w14:paraId="6FBDFE31" w14:textId="77777777" w:rsidR="009864DB" w:rsidRPr="004D46AC" w:rsidRDefault="009864DB" w:rsidP="009864DB">
            <w:pPr>
              <w:spacing w:line="240" w:lineRule="auto"/>
              <w:ind w:firstLine="0"/>
            </w:pPr>
            <w:r w:rsidRPr="004D46AC">
              <w:t>1</w:t>
            </w:r>
          </w:p>
        </w:tc>
        <w:tc>
          <w:tcPr>
            <w:tcW w:w="751" w:type="dxa"/>
            <w:vAlign w:val="center"/>
          </w:tcPr>
          <w:p w14:paraId="66CDA27F" w14:textId="77777777" w:rsidR="009864DB" w:rsidRPr="004D46AC" w:rsidRDefault="009864DB" w:rsidP="009864DB">
            <w:pPr>
              <w:spacing w:line="240" w:lineRule="auto"/>
              <w:ind w:firstLine="0"/>
            </w:pPr>
            <w:r w:rsidRPr="004D46AC">
              <w:t>2</w:t>
            </w:r>
          </w:p>
        </w:tc>
        <w:tc>
          <w:tcPr>
            <w:tcW w:w="752" w:type="dxa"/>
            <w:vAlign w:val="center"/>
          </w:tcPr>
          <w:p w14:paraId="79DFD659" w14:textId="77777777" w:rsidR="009864DB" w:rsidRPr="004D46AC" w:rsidRDefault="009864DB" w:rsidP="009864DB">
            <w:pPr>
              <w:spacing w:line="240" w:lineRule="auto"/>
              <w:ind w:firstLine="0"/>
            </w:pPr>
            <w:r w:rsidRPr="004D46AC">
              <w:t>1</w:t>
            </w:r>
          </w:p>
        </w:tc>
        <w:tc>
          <w:tcPr>
            <w:tcW w:w="1296" w:type="dxa"/>
          </w:tcPr>
          <w:p w14:paraId="1B2F09F9" w14:textId="77777777" w:rsidR="009864DB" w:rsidRPr="004D46AC" w:rsidRDefault="009864DB" w:rsidP="009864DB">
            <w:pPr>
              <w:spacing w:line="240" w:lineRule="auto"/>
              <w:ind w:firstLine="0"/>
            </w:pPr>
            <w:r w:rsidRPr="004D46AC">
              <w:t>28</w:t>
            </w:r>
            <w:r w:rsidRPr="004D46AC">
              <w:rPr>
                <w:rFonts w:hint="eastAsia"/>
              </w:rPr>
              <w:t xml:space="preserve">; </w:t>
            </w:r>
            <w:r w:rsidRPr="004D46AC">
              <w:t>58</w:t>
            </w:r>
          </w:p>
        </w:tc>
        <w:tc>
          <w:tcPr>
            <w:tcW w:w="752" w:type="dxa"/>
            <w:vAlign w:val="center"/>
          </w:tcPr>
          <w:p w14:paraId="769E4FD3" w14:textId="77777777" w:rsidR="009864DB" w:rsidRPr="004D46AC" w:rsidRDefault="009864DB" w:rsidP="009864DB">
            <w:pPr>
              <w:spacing w:line="240" w:lineRule="auto"/>
              <w:ind w:firstLine="0"/>
            </w:pPr>
            <w:r w:rsidRPr="004D46AC">
              <w:t>NA</w:t>
            </w:r>
          </w:p>
        </w:tc>
        <w:tc>
          <w:tcPr>
            <w:tcW w:w="789" w:type="dxa"/>
            <w:gridSpan w:val="2"/>
            <w:vAlign w:val="center"/>
          </w:tcPr>
          <w:p w14:paraId="32693E99" w14:textId="77777777" w:rsidR="009864DB" w:rsidRPr="004D46AC" w:rsidRDefault="009864DB" w:rsidP="009864DB">
            <w:pPr>
              <w:spacing w:line="240" w:lineRule="auto"/>
              <w:ind w:firstLine="0"/>
            </w:pPr>
            <w:r w:rsidRPr="004D46AC">
              <w:t>NA</w:t>
            </w:r>
          </w:p>
        </w:tc>
      </w:tr>
      <w:tr w:rsidR="009864DB" w:rsidRPr="004D46AC" w14:paraId="6DBFECF1" w14:textId="77777777" w:rsidTr="00B518F1">
        <w:tc>
          <w:tcPr>
            <w:tcW w:w="1476" w:type="dxa"/>
          </w:tcPr>
          <w:p w14:paraId="50AEF2AA" w14:textId="77777777" w:rsidR="009864DB" w:rsidRPr="004D46AC" w:rsidRDefault="009864DB" w:rsidP="009864DB">
            <w:pPr>
              <w:spacing w:line="240" w:lineRule="auto"/>
              <w:ind w:firstLine="0"/>
            </w:pPr>
            <w:r w:rsidRPr="004D46AC">
              <w:fldChar w:fldCharType="begin">
                <w:fldData xml:space="preserve">PEVuZE5vdGU+PENpdGUgQXV0aG9yWWVhcj0iMSI+PEF1dGhvcj5BbGxlbjwvQXV0aG9yPjxZZWFy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=
</w:fldData>
              </w:fldChar>
            </w:r>
            <w:r w:rsidRPr="004D46AC">
              <w:instrText xml:space="preserve"> ADDIN EN.CITE </w:instrText>
            </w:r>
            <w:r w:rsidRPr="004D46AC">
              <w:fldChar w:fldCharType="begin">
                <w:fldData xml:space="preserve">PEVuZE5vdGU+PENpdGUgQXV0aG9yWWVhcj0iMSI+PEF1dGhvcj5BbGxlbjwvQXV0aG9yPjxZZWFy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=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Allen et al. (2010)</w:t>
            </w:r>
            <w:r w:rsidRPr="004D46AC">
              <w:fldChar w:fldCharType="end"/>
            </w:r>
          </w:p>
        </w:tc>
        <w:tc>
          <w:tcPr>
            <w:tcW w:w="754" w:type="dxa"/>
            <w:vAlign w:val="center"/>
          </w:tcPr>
          <w:p w14:paraId="62A03C8C" w14:textId="77777777" w:rsidR="009864DB" w:rsidRPr="004D46AC" w:rsidRDefault="009864DB" w:rsidP="009864DB">
            <w:pPr>
              <w:spacing w:line="240" w:lineRule="auto"/>
              <w:ind w:firstLine="0"/>
            </w:pPr>
            <w:r w:rsidRPr="004D46AC">
              <w:t>5</w:t>
            </w:r>
          </w:p>
        </w:tc>
        <w:tc>
          <w:tcPr>
            <w:tcW w:w="766" w:type="dxa"/>
            <w:vAlign w:val="center"/>
          </w:tcPr>
          <w:p w14:paraId="383FAA11" w14:textId="77777777" w:rsidR="009864DB" w:rsidRPr="004D46AC" w:rsidRDefault="009864DB" w:rsidP="009864DB">
            <w:pPr>
              <w:spacing w:line="240" w:lineRule="auto"/>
              <w:ind w:firstLine="0"/>
            </w:pPr>
            <w:r w:rsidRPr="004D46AC">
              <w:t>34.27</w:t>
            </w:r>
          </w:p>
        </w:tc>
        <w:tc>
          <w:tcPr>
            <w:tcW w:w="1096" w:type="dxa"/>
            <w:vAlign w:val="center"/>
          </w:tcPr>
          <w:p w14:paraId="7D6C1488" w14:textId="77777777" w:rsidR="009864DB" w:rsidRPr="004D46AC" w:rsidRDefault="009864DB" w:rsidP="009864DB">
            <w:pPr>
              <w:spacing w:line="240" w:lineRule="auto"/>
              <w:ind w:firstLine="0"/>
            </w:pPr>
            <w:r w:rsidRPr="004D46AC">
              <w:t>DSM4</w:t>
            </w:r>
          </w:p>
        </w:tc>
        <w:tc>
          <w:tcPr>
            <w:tcW w:w="1415" w:type="dxa"/>
            <w:vAlign w:val="center"/>
          </w:tcPr>
          <w:p w14:paraId="365C94C0" w14:textId="77777777" w:rsidR="009864DB" w:rsidRPr="004D46AC" w:rsidRDefault="009864DB" w:rsidP="009864DB">
            <w:pPr>
              <w:spacing w:line="240" w:lineRule="auto"/>
              <w:ind w:firstLine="0"/>
            </w:pPr>
            <w:r w:rsidRPr="004D46AC">
              <w:t>SCID</w:t>
            </w:r>
          </w:p>
        </w:tc>
        <w:tc>
          <w:tcPr>
            <w:tcW w:w="876" w:type="dxa"/>
            <w:vAlign w:val="center"/>
          </w:tcPr>
          <w:p w14:paraId="18C36098" w14:textId="77777777" w:rsidR="009864DB" w:rsidRPr="004D46AC" w:rsidRDefault="009864DB" w:rsidP="009864DB">
            <w:pPr>
              <w:spacing w:line="240" w:lineRule="auto"/>
              <w:ind w:firstLine="0"/>
            </w:pPr>
            <w:r w:rsidRPr="004D46AC">
              <w:t>46</w:t>
            </w:r>
          </w:p>
        </w:tc>
        <w:tc>
          <w:tcPr>
            <w:tcW w:w="986" w:type="dxa"/>
            <w:vAlign w:val="center"/>
          </w:tcPr>
          <w:p w14:paraId="1A5D6EB4" w14:textId="77777777" w:rsidR="009864DB" w:rsidRPr="004D46AC" w:rsidRDefault="009864DB" w:rsidP="009864DB">
            <w:pPr>
              <w:spacing w:line="240" w:lineRule="auto"/>
              <w:ind w:firstLine="0"/>
            </w:pPr>
            <w:r w:rsidRPr="004D46AC">
              <w:t>unclear</w:t>
            </w:r>
          </w:p>
        </w:tc>
        <w:tc>
          <w:tcPr>
            <w:tcW w:w="751" w:type="dxa"/>
            <w:vAlign w:val="center"/>
          </w:tcPr>
          <w:p w14:paraId="0D6CADCF" w14:textId="77777777" w:rsidR="009864DB" w:rsidRPr="004D46AC" w:rsidRDefault="009864DB" w:rsidP="009864DB">
            <w:pPr>
              <w:spacing w:line="240" w:lineRule="auto"/>
              <w:ind w:firstLine="0"/>
            </w:pPr>
            <w:r w:rsidRPr="004D46AC">
              <w:t>1</w:t>
            </w:r>
          </w:p>
        </w:tc>
        <w:tc>
          <w:tcPr>
            <w:tcW w:w="752" w:type="dxa"/>
            <w:vAlign w:val="center"/>
          </w:tcPr>
          <w:p w14:paraId="1D549D71" w14:textId="77777777" w:rsidR="009864DB" w:rsidRPr="004D46AC" w:rsidRDefault="009864DB" w:rsidP="009864DB">
            <w:pPr>
              <w:spacing w:line="240" w:lineRule="auto"/>
              <w:ind w:firstLine="0"/>
            </w:pPr>
            <w:r w:rsidRPr="004D46AC">
              <w:t>2</w:t>
            </w:r>
          </w:p>
        </w:tc>
        <w:tc>
          <w:tcPr>
            <w:tcW w:w="1296" w:type="dxa"/>
          </w:tcPr>
          <w:p w14:paraId="5228B737" w14:textId="77777777" w:rsidR="009864DB" w:rsidRPr="004D46AC" w:rsidRDefault="009864DB" w:rsidP="009864DB">
            <w:pPr>
              <w:spacing w:line="240" w:lineRule="auto"/>
              <w:ind w:firstLine="0"/>
            </w:pPr>
            <w:r w:rsidRPr="004D46AC">
              <w:t>24</w:t>
            </w:r>
          </w:p>
        </w:tc>
        <w:tc>
          <w:tcPr>
            <w:tcW w:w="752" w:type="dxa"/>
            <w:vAlign w:val="center"/>
          </w:tcPr>
          <w:p w14:paraId="7F099789" w14:textId="77777777" w:rsidR="009864DB" w:rsidRPr="004D46AC" w:rsidRDefault="009864DB" w:rsidP="009864DB">
            <w:pPr>
              <w:spacing w:line="240" w:lineRule="auto"/>
              <w:ind w:firstLine="0"/>
            </w:pPr>
            <w:r w:rsidRPr="004D46AC">
              <w:t>NA</w:t>
            </w:r>
          </w:p>
        </w:tc>
        <w:tc>
          <w:tcPr>
            <w:tcW w:w="789" w:type="dxa"/>
            <w:gridSpan w:val="2"/>
            <w:vAlign w:val="center"/>
          </w:tcPr>
          <w:p w14:paraId="2E076BD1" w14:textId="77777777" w:rsidR="009864DB" w:rsidRPr="004D46AC" w:rsidRDefault="009864DB" w:rsidP="009864DB">
            <w:pPr>
              <w:spacing w:line="240" w:lineRule="auto"/>
              <w:ind w:firstLine="0"/>
            </w:pPr>
            <w:r w:rsidRPr="004D46AC">
              <w:t>NA</w:t>
            </w:r>
          </w:p>
        </w:tc>
      </w:tr>
      <w:tr w:rsidR="009864DB" w:rsidRPr="004D46AC" w14:paraId="77486AE3" w14:textId="77777777" w:rsidTr="00B518F1">
        <w:tc>
          <w:tcPr>
            <w:tcW w:w="1476" w:type="dxa"/>
          </w:tcPr>
          <w:p w14:paraId="76F1C658" w14:textId="77777777" w:rsidR="009864DB" w:rsidRPr="004D46AC" w:rsidRDefault="009864DB" w:rsidP="009864DB">
            <w:pPr>
              <w:spacing w:line="240" w:lineRule="auto"/>
              <w:ind w:firstLine="0"/>
            </w:pPr>
            <w:r w:rsidRPr="004D46AC">
              <w:fldChar w:fldCharType="begin">
                <w:fldData xml:space="preserve">PEVuZE5vdGU+PENpdGUgQXV0aG9yWWVhcj0iMSI+PEF1dGhvcj5IYXJyb3c8L0F1dGhvcj48WWVh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 </w:instrText>
            </w:r>
            <w:r w:rsidRPr="004D46AC">
              <w:fldChar w:fldCharType="begin">
                <w:fldData xml:space="preserve">PEVuZE5vdGU+PENpdGUgQXV0aG9yWWVhcj0iMSI+PEF1dGhvcj5IYXJyb3c8L0F1dGhvcj48WWVh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</w:fldData>
              </w:fldChar>
            </w:r>
            <w:r w:rsidRPr="004D46AC">
              <w:instrText xml:space="preserve"> ADDIN EN.CITE.DATA </w:instrText>
            </w:r>
            <w:r w:rsidRPr="004D46AC">
              <w:fldChar w:fldCharType="end"/>
            </w:r>
            <w:r w:rsidRPr="004D46AC">
              <w:fldChar w:fldCharType="separate"/>
            </w:r>
            <w:r w:rsidRPr="004D46AC">
              <w:t>Harrow et al. (1982)</w:t>
            </w:r>
            <w:r w:rsidRPr="004D46AC">
              <w:fldChar w:fldCharType="end"/>
            </w:r>
          </w:p>
        </w:tc>
        <w:tc>
          <w:tcPr>
            <w:tcW w:w="754" w:type="dxa"/>
            <w:vAlign w:val="center"/>
          </w:tcPr>
          <w:p w14:paraId="34531448" w14:textId="77777777" w:rsidR="009864DB" w:rsidRPr="004D46AC" w:rsidRDefault="009864DB" w:rsidP="009864DB">
            <w:pPr>
              <w:spacing w:line="240" w:lineRule="auto"/>
              <w:ind w:firstLine="0"/>
            </w:pPr>
            <w:r w:rsidRPr="004D46AC">
              <w:t>3</w:t>
            </w:r>
          </w:p>
        </w:tc>
        <w:tc>
          <w:tcPr>
            <w:tcW w:w="766" w:type="dxa"/>
            <w:vAlign w:val="center"/>
          </w:tcPr>
          <w:p w14:paraId="723DE0CD" w14:textId="77777777" w:rsidR="009864DB" w:rsidRPr="004D46AC" w:rsidRDefault="009864DB" w:rsidP="009864DB">
            <w:pPr>
              <w:spacing w:line="240" w:lineRule="auto"/>
              <w:ind w:firstLine="0"/>
            </w:pPr>
            <w:r w:rsidRPr="004D46AC">
              <w:t>NA</w:t>
            </w:r>
          </w:p>
        </w:tc>
        <w:tc>
          <w:tcPr>
            <w:tcW w:w="1096" w:type="dxa"/>
            <w:vAlign w:val="center"/>
          </w:tcPr>
          <w:p w14:paraId="4AE5FFB9" w14:textId="77777777" w:rsidR="009864DB" w:rsidRPr="004D46AC" w:rsidRDefault="009864DB" w:rsidP="009864DB">
            <w:pPr>
              <w:spacing w:line="240" w:lineRule="auto"/>
              <w:ind w:firstLine="0"/>
            </w:pPr>
            <w:r w:rsidRPr="004D46AC">
              <w:t>RDC</w:t>
            </w:r>
          </w:p>
        </w:tc>
        <w:tc>
          <w:tcPr>
            <w:tcW w:w="1415" w:type="dxa"/>
            <w:vAlign w:val="center"/>
          </w:tcPr>
          <w:p w14:paraId="749041BB" w14:textId="77777777" w:rsidR="009864DB" w:rsidRPr="004D46AC" w:rsidRDefault="009864DB" w:rsidP="009864DB">
            <w:pPr>
              <w:spacing w:line="240" w:lineRule="auto"/>
              <w:ind w:firstLine="0"/>
            </w:pPr>
            <w:r w:rsidRPr="004D46AC">
              <w:t>mixed</w:t>
            </w:r>
          </w:p>
        </w:tc>
        <w:tc>
          <w:tcPr>
            <w:tcW w:w="876" w:type="dxa"/>
            <w:vAlign w:val="center"/>
          </w:tcPr>
          <w:p w14:paraId="5D36A7DB" w14:textId="77777777" w:rsidR="009864DB" w:rsidRPr="004D46AC" w:rsidRDefault="009864DB" w:rsidP="009864DB">
            <w:pPr>
              <w:spacing w:line="240" w:lineRule="auto"/>
              <w:ind w:firstLine="0"/>
            </w:pPr>
            <w:r w:rsidRPr="004D46AC">
              <w:t>34</w:t>
            </w:r>
          </w:p>
        </w:tc>
        <w:tc>
          <w:tcPr>
            <w:tcW w:w="986" w:type="dxa"/>
            <w:vAlign w:val="center"/>
          </w:tcPr>
          <w:p w14:paraId="14D25F64" w14:textId="77777777" w:rsidR="009864DB" w:rsidRPr="004D46AC" w:rsidRDefault="009864DB" w:rsidP="009864DB">
            <w:pPr>
              <w:spacing w:line="240" w:lineRule="auto"/>
              <w:ind w:firstLine="0"/>
            </w:pPr>
            <w:r w:rsidRPr="004D46AC">
              <w:t>3</w:t>
            </w:r>
          </w:p>
        </w:tc>
        <w:tc>
          <w:tcPr>
            <w:tcW w:w="751" w:type="dxa"/>
            <w:vAlign w:val="center"/>
          </w:tcPr>
          <w:p w14:paraId="65A24935" w14:textId="77777777" w:rsidR="009864DB" w:rsidRPr="004D46AC" w:rsidRDefault="009864DB" w:rsidP="009864DB">
            <w:pPr>
              <w:spacing w:line="240" w:lineRule="auto"/>
              <w:ind w:firstLine="0"/>
            </w:pPr>
            <w:r w:rsidRPr="004D46AC">
              <w:t>2</w:t>
            </w:r>
          </w:p>
        </w:tc>
        <w:tc>
          <w:tcPr>
            <w:tcW w:w="752" w:type="dxa"/>
            <w:vAlign w:val="center"/>
          </w:tcPr>
          <w:p w14:paraId="1DDF53D7" w14:textId="77777777" w:rsidR="009864DB" w:rsidRPr="004D46AC" w:rsidRDefault="009864DB" w:rsidP="009864DB">
            <w:pPr>
              <w:spacing w:line="240" w:lineRule="auto"/>
              <w:ind w:firstLine="0"/>
            </w:pPr>
            <w:r w:rsidRPr="004D46AC">
              <w:t>0</w:t>
            </w:r>
          </w:p>
        </w:tc>
        <w:tc>
          <w:tcPr>
            <w:tcW w:w="1296" w:type="dxa"/>
          </w:tcPr>
          <w:p w14:paraId="1BA033ED" w14:textId="77777777" w:rsidR="009864DB" w:rsidRPr="004D46AC" w:rsidRDefault="009864DB" w:rsidP="009864DB">
            <w:pPr>
              <w:spacing w:line="240" w:lineRule="auto"/>
              <w:ind w:firstLine="0"/>
            </w:pPr>
            <w:r w:rsidRPr="004D46AC">
              <w:t>21</w:t>
            </w:r>
          </w:p>
        </w:tc>
        <w:tc>
          <w:tcPr>
            <w:tcW w:w="752" w:type="dxa"/>
            <w:vAlign w:val="center"/>
          </w:tcPr>
          <w:p w14:paraId="6BF4D640" w14:textId="77777777" w:rsidR="009864DB" w:rsidRPr="004D46AC" w:rsidRDefault="009864DB" w:rsidP="009864DB">
            <w:pPr>
              <w:spacing w:line="240" w:lineRule="auto"/>
              <w:ind w:firstLine="0"/>
            </w:pPr>
            <w:r w:rsidRPr="004D46AC">
              <w:t>NA</w:t>
            </w:r>
          </w:p>
        </w:tc>
        <w:tc>
          <w:tcPr>
            <w:tcW w:w="789" w:type="dxa"/>
            <w:gridSpan w:val="2"/>
            <w:vAlign w:val="center"/>
          </w:tcPr>
          <w:p w14:paraId="2ACC3635" w14:textId="77777777" w:rsidR="009864DB" w:rsidRPr="004D46AC" w:rsidRDefault="009864DB" w:rsidP="009864DB">
            <w:pPr>
              <w:spacing w:line="240" w:lineRule="auto"/>
              <w:ind w:firstLine="0"/>
            </w:pPr>
            <w:r w:rsidRPr="004D46AC">
              <w:t>NA</w:t>
            </w:r>
          </w:p>
        </w:tc>
      </w:tr>
      <w:tr w:rsidR="009864DB" w:rsidRPr="004D46AC" w14:paraId="582AA717" w14:textId="77777777" w:rsidTr="00B518F1">
        <w:tc>
          <w:tcPr>
            <w:tcW w:w="1476" w:type="dxa"/>
          </w:tcPr>
          <w:p w14:paraId="30398C4A" w14:textId="77777777" w:rsidR="009864DB" w:rsidRPr="004D46AC" w:rsidRDefault="009864DB" w:rsidP="009864DB">
            <w:pPr>
              <w:spacing w:line="240" w:lineRule="auto"/>
              <w:ind w:firstLine="0"/>
            </w:pPr>
            <w:r w:rsidRPr="004D46AC">
              <w:fldChar w:fldCharType="begin">
                <w:fldData xml:space="preserve">PEVuZE5vdGU+PENpdGUgQXV0aG9yWWVhcj0iMSI+PEF1dGhvcj5HYXVkaWFubzwvQXV0aG9yPjxZ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 </w:instrText>
            </w:r>
            <w:r w:rsidRPr="004D46AC">
              <w:fldChar w:fldCharType="begin">
                <w:fldData xml:space="preserve">PEVuZE5vdGU+PENpdGUgQXV0aG9yWWVhcj0iMSI+PEF1dGhvcj5HYXVkaWFubzwvQXV0aG9yPjxZ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EN.CITE.DATA </w:instrText>
            </w:r>
            <w:r w:rsidRPr="004D46AC">
              <w:fldChar w:fldCharType="end"/>
            </w:r>
            <w:r w:rsidRPr="004D46AC">
              <w:fldChar w:fldCharType="separate"/>
            </w:r>
            <w:r w:rsidRPr="004D46AC">
              <w:t>Gaudiano et al. (2007)</w:t>
            </w:r>
            <w:r w:rsidRPr="004D46AC">
              <w:fldChar w:fldCharType="end"/>
            </w:r>
          </w:p>
        </w:tc>
        <w:tc>
          <w:tcPr>
            <w:tcW w:w="754" w:type="dxa"/>
            <w:vAlign w:val="center"/>
          </w:tcPr>
          <w:p w14:paraId="2AC7B63F" w14:textId="77777777" w:rsidR="009864DB" w:rsidRPr="004D46AC" w:rsidRDefault="009864DB" w:rsidP="009864DB">
            <w:pPr>
              <w:spacing w:line="240" w:lineRule="auto"/>
              <w:ind w:firstLine="0"/>
            </w:pPr>
            <w:r w:rsidRPr="004D46AC">
              <w:t>6</w:t>
            </w:r>
          </w:p>
        </w:tc>
        <w:tc>
          <w:tcPr>
            <w:tcW w:w="766" w:type="dxa"/>
            <w:vAlign w:val="center"/>
          </w:tcPr>
          <w:p w14:paraId="4AA74DAD" w14:textId="77777777" w:rsidR="009864DB" w:rsidRPr="004D46AC" w:rsidRDefault="009864DB" w:rsidP="009864DB">
            <w:pPr>
              <w:spacing w:line="240" w:lineRule="auto"/>
              <w:ind w:firstLine="0"/>
            </w:pPr>
            <w:r w:rsidRPr="004D46AC">
              <w:t>39</w:t>
            </w:r>
          </w:p>
        </w:tc>
        <w:tc>
          <w:tcPr>
            <w:tcW w:w="1096" w:type="dxa"/>
            <w:vAlign w:val="center"/>
          </w:tcPr>
          <w:p w14:paraId="0F5BC7EF" w14:textId="77777777" w:rsidR="009864DB" w:rsidRPr="004D46AC" w:rsidRDefault="009864DB" w:rsidP="009864DB">
            <w:pPr>
              <w:spacing w:line="240" w:lineRule="auto"/>
              <w:ind w:firstLine="0"/>
            </w:pPr>
            <w:r w:rsidRPr="004D46AC">
              <w:t>DSM</w:t>
            </w:r>
          </w:p>
        </w:tc>
        <w:tc>
          <w:tcPr>
            <w:tcW w:w="1415" w:type="dxa"/>
            <w:vAlign w:val="center"/>
          </w:tcPr>
          <w:p w14:paraId="4F11C662" w14:textId="77777777" w:rsidR="009864DB" w:rsidRPr="004D46AC" w:rsidRDefault="009864DB" w:rsidP="009864DB">
            <w:pPr>
              <w:spacing w:line="240" w:lineRule="auto"/>
              <w:ind w:firstLine="0"/>
            </w:pPr>
            <w:r w:rsidRPr="004D46AC">
              <w:t>SCID</w:t>
            </w:r>
          </w:p>
        </w:tc>
        <w:tc>
          <w:tcPr>
            <w:tcW w:w="876" w:type="dxa"/>
            <w:vAlign w:val="center"/>
          </w:tcPr>
          <w:p w14:paraId="77F47E08" w14:textId="77777777" w:rsidR="009864DB" w:rsidRPr="004D46AC" w:rsidRDefault="009864DB" w:rsidP="009864DB">
            <w:pPr>
              <w:spacing w:line="240" w:lineRule="auto"/>
              <w:ind w:firstLine="0"/>
            </w:pPr>
            <w:r w:rsidRPr="004D46AC">
              <w:t>74</w:t>
            </w:r>
          </w:p>
        </w:tc>
        <w:tc>
          <w:tcPr>
            <w:tcW w:w="986" w:type="dxa"/>
            <w:vAlign w:val="center"/>
          </w:tcPr>
          <w:p w14:paraId="7993F057" w14:textId="77777777" w:rsidR="009864DB" w:rsidRPr="004D46AC" w:rsidRDefault="009864DB" w:rsidP="009864DB">
            <w:pPr>
              <w:spacing w:line="240" w:lineRule="auto"/>
              <w:ind w:firstLine="0"/>
            </w:pPr>
            <w:r w:rsidRPr="004D46AC">
              <w:t>3</w:t>
            </w:r>
          </w:p>
        </w:tc>
        <w:tc>
          <w:tcPr>
            <w:tcW w:w="751" w:type="dxa"/>
            <w:vAlign w:val="center"/>
          </w:tcPr>
          <w:p w14:paraId="3B782820" w14:textId="77777777" w:rsidR="009864DB" w:rsidRPr="004D46AC" w:rsidRDefault="009864DB" w:rsidP="009864DB">
            <w:pPr>
              <w:spacing w:line="240" w:lineRule="auto"/>
              <w:ind w:firstLine="0"/>
            </w:pPr>
            <w:r w:rsidRPr="004D46AC">
              <w:t>2</w:t>
            </w:r>
          </w:p>
        </w:tc>
        <w:tc>
          <w:tcPr>
            <w:tcW w:w="752" w:type="dxa"/>
            <w:vAlign w:val="center"/>
          </w:tcPr>
          <w:p w14:paraId="0BA82A78" w14:textId="77777777" w:rsidR="009864DB" w:rsidRPr="004D46AC" w:rsidRDefault="009864DB" w:rsidP="009864DB">
            <w:pPr>
              <w:spacing w:line="240" w:lineRule="auto"/>
              <w:ind w:firstLine="0"/>
            </w:pPr>
            <w:r w:rsidRPr="004D46AC">
              <w:t>1</w:t>
            </w:r>
          </w:p>
        </w:tc>
        <w:tc>
          <w:tcPr>
            <w:tcW w:w="1296" w:type="dxa"/>
          </w:tcPr>
          <w:p w14:paraId="4D720513" w14:textId="77777777" w:rsidR="009864DB" w:rsidRPr="004D46AC" w:rsidRDefault="009864DB" w:rsidP="009864DB">
            <w:pPr>
              <w:spacing w:line="240" w:lineRule="auto"/>
              <w:ind w:firstLine="0"/>
            </w:pPr>
            <w:r w:rsidRPr="004D46AC">
              <w:t>59</w:t>
            </w:r>
            <w:r w:rsidRPr="004D46AC">
              <w:rPr>
                <w:rFonts w:hint="eastAsia"/>
              </w:rPr>
              <w:t>;</w:t>
            </w:r>
            <w:r w:rsidRPr="004D46AC">
              <w:t xml:space="preserve"> 64</w:t>
            </w:r>
          </w:p>
        </w:tc>
        <w:tc>
          <w:tcPr>
            <w:tcW w:w="752" w:type="dxa"/>
            <w:vAlign w:val="center"/>
          </w:tcPr>
          <w:p w14:paraId="2A398EAF" w14:textId="77777777" w:rsidR="009864DB" w:rsidRPr="004D46AC" w:rsidRDefault="009864DB" w:rsidP="009864DB">
            <w:pPr>
              <w:spacing w:line="240" w:lineRule="auto"/>
              <w:ind w:firstLine="0"/>
            </w:pPr>
            <w:r w:rsidRPr="004D46AC">
              <w:t>40</w:t>
            </w:r>
          </w:p>
        </w:tc>
        <w:tc>
          <w:tcPr>
            <w:tcW w:w="789" w:type="dxa"/>
            <w:gridSpan w:val="2"/>
            <w:vAlign w:val="center"/>
          </w:tcPr>
          <w:p w14:paraId="7D238ECF" w14:textId="77777777" w:rsidR="009864DB" w:rsidRPr="004D46AC" w:rsidRDefault="009864DB" w:rsidP="009864DB">
            <w:pPr>
              <w:spacing w:line="240" w:lineRule="auto"/>
              <w:ind w:firstLine="0"/>
            </w:pPr>
            <w:r w:rsidRPr="004D46AC">
              <w:t>24</w:t>
            </w:r>
          </w:p>
        </w:tc>
      </w:tr>
      <w:tr w:rsidR="009864DB" w:rsidRPr="004D46AC" w14:paraId="4DC180ED" w14:textId="77777777" w:rsidTr="00B518F1">
        <w:tc>
          <w:tcPr>
            <w:tcW w:w="1476" w:type="dxa"/>
          </w:tcPr>
          <w:p w14:paraId="7758FBFD" w14:textId="77777777" w:rsidR="009864DB" w:rsidRPr="004D46AC" w:rsidRDefault="009864DB" w:rsidP="009864DB">
            <w:pPr>
              <w:spacing w:line="240" w:lineRule="auto"/>
              <w:ind w:firstLine="0"/>
            </w:pPr>
            <w:r w:rsidRPr="004D46AC">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instrText xml:space="preserve"> ADDIN EN.CITE </w:instrText>
            </w:r>
            <w:r w:rsidRPr="004D46AC">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instrText xml:space="preserve"> ADDIN EN.CITE.DATA </w:instrText>
            </w:r>
            <w:r w:rsidRPr="004D46AC">
              <w:fldChar w:fldCharType="end"/>
            </w:r>
            <w:r w:rsidRPr="004D46AC">
              <w:fldChar w:fldCharType="separate"/>
            </w:r>
            <w:r w:rsidRPr="004D46AC">
              <w:t>Parker et al. (2013)</w:t>
            </w:r>
            <w:r w:rsidRPr="004D46AC">
              <w:fldChar w:fldCharType="end"/>
            </w:r>
          </w:p>
        </w:tc>
        <w:tc>
          <w:tcPr>
            <w:tcW w:w="754" w:type="dxa"/>
            <w:vAlign w:val="center"/>
          </w:tcPr>
          <w:p w14:paraId="2BC80290" w14:textId="77777777" w:rsidR="009864DB" w:rsidRPr="004D46AC" w:rsidRDefault="009864DB" w:rsidP="009864DB">
            <w:pPr>
              <w:spacing w:line="240" w:lineRule="auto"/>
              <w:ind w:firstLine="0"/>
            </w:pPr>
            <w:r w:rsidRPr="004D46AC">
              <w:t>6</w:t>
            </w:r>
          </w:p>
        </w:tc>
        <w:tc>
          <w:tcPr>
            <w:tcW w:w="766" w:type="dxa"/>
            <w:vAlign w:val="center"/>
          </w:tcPr>
          <w:p w14:paraId="33170649" w14:textId="77777777" w:rsidR="009864DB" w:rsidRPr="004D46AC" w:rsidRDefault="009864DB" w:rsidP="009864DB">
            <w:pPr>
              <w:spacing w:line="240" w:lineRule="auto"/>
              <w:ind w:firstLine="0"/>
            </w:pPr>
            <w:r w:rsidRPr="004D46AC">
              <w:t>41.49</w:t>
            </w:r>
          </w:p>
        </w:tc>
        <w:tc>
          <w:tcPr>
            <w:tcW w:w="1096" w:type="dxa"/>
            <w:vAlign w:val="center"/>
          </w:tcPr>
          <w:p w14:paraId="1558EC4C" w14:textId="77777777" w:rsidR="009864DB" w:rsidRPr="004D46AC" w:rsidRDefault="009864DB" w:rsidP="009864DB">
            <w:pPr>
              <w:spacing w:line="240" w:lineRule="auto"/>
              <w:ind w:firstLine="0"/>
            </w:pPr>
            <w:r w:rsidRPr="004D46AC">
              <w:t>DSM4</w:t>
            </w:r>
          </w:p>
        </w:tc>
        <w:tc>
          <w:tcPr>
            <w:tcW w:w="1415" w:type="dxa"/>
            <w:vAlign w:val="center"/>
          </w:tcPr>
          <w:p w14:paraId="0F6DE7EB" w14:textId="77777777" w:rsidR="009864DB" w:rsidRPr="004D46AC" w:rsidRDefault="009864DB" w:rsidP="009864DB">
            <w:pPr>
              <w:spacing w:line="240" w:lineRule="auto"/>
              <w:ind w:firstLine="0"/>
            </w:pPr>
            <w:r w:rsidRPr="004D46AC">
              <w:t>DIGS</w:t>
            </w:r>
          </w:p>
        </w:tc>
        <w:tc>
          <w:tcPr>
            <w:tcW w:w="876" w:type="dxa"/>
            <w:vAlign w:val="center"/>
          </w:tcPr>
          <w:p w14:paraId="0666E0B7" w14:textId="77777777" w:rsidR="009864DB" w:rsidRPr="004D46AC" w:rsidRDefault="009864DB" w:rsidP="009864DB">
            <w:pPr>
              <w:spacing w:line="240" w:lineRule="auto"/>
              <w:ind w:firstLine="0"/>
            </w:pPr>
            <w:r w:rsidRPr="004D46AC">
              <w:t>41</w:t>
            </w:r>
          </w:p>
        </w:tc>
        <w:tc>
          <w:tcPr>
            <w:tcW w:w="986" w:type="dxa"/>
            <w:vAlign w:val="center"/>
          </w:tcPr>
          <w:p w14:paraId="33C784C1" w14:textId="77777777" w:rsidR="009864DB" w:rsidRPr="004D46AC" w:rsidRDefault="009864DB" w:rsidP="009864DB">
            <w:pPr>
              <w:spacing w:line="240" w:lineRule="auto"/>
              <w:ind w:firstLine="0"/>
            </w:pPr>
            <w:r w:rsidRPr="004D46AC">
              <w:t>2</w:t>
            </w:r>
          </w:p>
        </w:tc>
        <w:tc>
          <w:tcPr>
            <w:tcW w:w="751" w:type="dxa"/>
            <w:vAlign w:val="center"/>
          </w:tcPr>
          <w:p w14:paraId="083CA367" w14:textId="77777777" w:rsidR="009864DB" w:rsidRPr="004D46AC" w:rsidRDefault="009864DB" w:rsidP="009864DB">
            <w:pPr>
              <w:spacing w:line="240" w:lineRule="auto"/>
              <w:ind w:firstLine="0"/>
            </w:pPr>
            <w:r w:rsidRPr="004D46AC">
              <w:t>2</w:t>
            </w:r>
          </w:p>
        </w:tc>
        <w:tc>
          <w:tcPr>
            <w:tcW w:w="752" w:type="dxa"/>
            <w:vAlign w:val="center"/>
          </w:tcPr>
          <w:p w14:paraId="19555E3E" w14:textId="77777777" w:rsidR="009864DB" w:rsidRPr="004D46AC" w:rsidRDefault="009864DB" w:rsidP="009864DB">
            <w:pPr>
              <w:spacing w:line="240" w:lineRule="auto"/>
              <w:ind w:firstLine="0"/>
            </w:pPr>
            <w:r w:rsidRPr="004D46AC">
              <w:t>2</w:t>
            </w:r>
          </w:p>
        </w:tc>
        <w:tc>
          <w:tcPr>
            <w:tcW w:w="1296" w:type="dxa"/>
            <w:vAlign w:val="center"/>
          </w:tcPr>
          <w:p w14:paraId="7B0D305C" w14:textId="77777777" w:rsidR="009864DB" w:rsidRPr="004D46AC" w:rsidRDefault="009864DB" w:rsidP="009864DB">
            <w:pPr>
              <w:spacing w:line="240" w:lineRule="auto"/>
              <w:ind w:firstLine="0"/>
            </w:pPr>
            <w:r w:rsidRPr="004D46AC">
              <w:t>25</w:t>
            </w:r>
          </w:p>
        </w:tc>
        <w:tc>
          <w:tcPr>
            <w:tcW w:w="752" w:type="dxa"/>
            <w:vAlign w:val="center"/>
          </w:tcPr>
          <w:p w14:paraId="44053055" w14:textId="77777777" w:rsidR="009864DB" w:rsidRPr="004D46AC" w:rsidRDefault="009864DB" w:rsidP="009864DB">
            <w:pPr>
              <w:spacing w:line="240" w:lineRule="auto"/>
              <w:ind w:firstLine="0"/>
            </w:pPr>
            <w:r w:rsidRPr="004D46AC">
              <w:t>NA</w:t>
            </w:r>
          </w:p>
        </w:tc>
        <w:tc>
          <w:tcPr>
            <w:tcW w:w="789" w:type="dxa"/>
            <w:gridSpan w:val="2"/>
            <w:vAlign w:val="center"/>
          </w:tcPr>
          <w:p w14:paraId="161C10E9" w14:textId="77777777" w:rsidR="009864DB" w:rsidRPr="004D46AC" w:rsidRDefault="009864DB" w:rsidP="009864DB">
            <w:pPr>
              <w:spacing w:line="240" w:lineRule="auto"/>
              <w:ind w:firstLine="0"/>
            </w:pPr>
            <w:r w:rsidRPr="004D46AC">
              <w:t>NA</w:t>
            </w:r>
          </w:p>
        </w:tc>
      </w:tr>
      <w:tr w:rsidR="009864DB" w:rsidRPr="004D46AC" w14:paraId="5A58AECC" w14:textId="77777777" w:rsidTr="00B518F1">
        <w:tc>
          <w:tcPr>
            <w:tcW w:w="1476" w:type="dxa"/>
          </w:tcPr>
          <w:p w14:paraId="137BEC7A" w14:textId="77777777" w:rsidR="009864DB" w:rsidRPr="004D46AC" w:rsidRDefault="009864DB" w:rsidP="009864DB">
            <w:pPr>
              <w:spacing w:line="240" w:lineRule="auto"/>
              <w:ind w:firstLine="0"/>
            </w:pPr>
            <w:r w:rsidRPr="004D46AC">
              <w:fldChar w:fldCharType="begin">
                <w:fldData xml:space="preserve">PEVuZE5vdGU+PENpdGUgQXV0aG9yWWVhcj0iMSI+PEF1dGhvcj5TaW1vbmV0dGk8L0F1dGhvcj48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 </w:instrText>
            </w:r>
            <w:r w:rsidRPr="004D46AC">
              <w:fldChar w:fldCharType="begin">
                <w:fldData xml:space="preserve">PEVuZE5vdGU+PENpdGUgQXV0aG9yWWVhcj0iMSI+PEF1dGhvcj5TaW1vbmV0dGk8L0F1dGhvcj48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EN.CITE.DATA </w:instrText>
            </w:r>
            <w:r w:rsidRPr="004D46AC">
              <w:fldChar w:fldCharType="end"/>
            </w:r>
            <w:r w:rsidRPr="004D46AC">
              <w:fldChar w:fldCharType="separate"/>
            </w:r>
            <w:r w:rsidRPr="004D46AC">
              <w:t>Simonetti et al. (2023)</w:t>
            </w:r>
            <w:r w:rsidRPr="004D46AC">
              <w:fldChar w:fldCharType="end"/>
            </w:r>
          </w:p>
        </w:tc>
        <w:tc>
          <w:tcPr>
            <w:tcW w:w="754" w:type="dxa"/>
            <w:vAlign w:val="center"/>
          </w:tcPr>
          <w:p w14:paraId="142BB8C6" w14:textId="77777777" w:rsidR="009864DB" w:rsidRPr="004D46AC" w:rsidRDefault="009864DB" w:rsidP="009864DB">
            <w:pPr>
              <w:spacing w:line="240" w:lineRule="auto"/>
              <w:ind w:firstLine="0"/>
            </w:pPr>
            <w:r w:rsidRPr="004D46AC">
              <w:t>7</w:t>
            </w:r>
          </w:p>
        </w:tc>
        <w:tc>
          <w:tcPr>
            <w:tcW w:w="766" w:type="dxa"/>
            <w:vAlign w:val="center"/>
          </w:tcPr>
          <w:p w14:paraId="6C5C3D19" w14:textId="77777777" w:rsidR="009864DB" w:rsidRPr="004D46AC" w:rsidRDefault="009864DB" w:rsidP="009864DB">
            <w:pPr>
              <w:spacing w:line="240" w:lineRule="auto"/>
              <w:ind w:firstLine="0"/>
            </w:pPr>
            <w:r w:rsidRPr="004D46AC">
              <w:t>46.23</w:t>
            </w:r>
          </w:p>
        </w:tc>
        <w:tc>
          <w:tcPr>
            <w:tcW w:w="1096" w:type="dxa"/>
            <w:vAlign w:val="center"/>
          </w:tcPr>
          <w:p w14:paraId="29A0D8A0" w14:textId="77777777" w:rsidR="009864DB" w:rsidRPr="004D46AC" w:rsidRDefault="009864DB" w:rsidP="009864DB">
            <w:pPr>
              <w:spacing w:line="240" w:lineRule="auto"/>
              <w:ind w:firstLine="0"/>
            </w:pPr>
            <w:r w:rsidRPr="004D46AC">
              <w:t>DSM5</w:t>
            </w:r>
          </w:p>
        </w:tc>
        <w:tc>
          <w:tcPr>
            <w:tcW w:w="1415" w:type="dxa"/>
            <w:vAlign w:val="center"/>
          </w:tcPr>
          <w:p w14:paraId="1AA3455F" w14:textId="77777777" w:rsidR="009864DB" w:rsidRPr="004D46AC" w:rsidRDefault="009864DB" w:rsidP="009864DB">
            <w:pPr>
              <w:spacing w:line="240" w:lineRule="auto"/>
              <w:ind w:firstLine="0"/>
            </w:pPr>
            <w:r w:rsidRPr="004D46AC">
              <w:t>SCID</w:t>
            </w:r>
          </w:p>
        </w:tc>
        <w:tc>
          <w:tcPr>
            <w:tcW w:w="876" w:type="dxa"/>
            <w:vAlign w:val="center"/>
          </w:tcPr>
          <w:p w14:paraId="04A91FC9" w14:textId="77777777" w:rsidR="009864DB" w:rsidRPr="004D46AC" w:rsidRDefault="009864DB" w:rsidP="009864DB">
            <w:pPr>
              <w:spacing w:line="240" w:lineRule="auto"/>
              <w:ind w:firstLine="0"/>
            </w:pPr>
            <w:r w:rsidRPr="004D46AC">
              <w:t>360</w:t>
            </w:r>
          </w:p>
        </w:tc>
        <w:tc>
          <w:tcPr>
            <w:tcW w:w="986" w:type="dxa"/>
            <w:vAlign w:val="center"/>
          </w:tcPr>
          <w:p w14:paraId="6735266D" w14:textId="77777777" w:rsidR="009864DB" w:rsidRPr="004D46AC" w:rsidRDefault="009864DB" w:rsidP="009864DB">
            <w:pPr>
              <w:spacing w:line="240" w:lineRule="auto"/>
              <w:ind w:firstLine="0"/>
            </w:pPr>
            <w:r w:rsidRPr="004D46AC">
              <w:t>1</w:t>
            </w:r>
          </w:p>
        </w:tc>
        <w:tc>
          <w:tcPr>
            <w:tcW w:w="751" w:type="dxa"/>
            <w:vAlign w:val="center"/>
          </w:tcPr>
          <w:p w14:paraId="7D101D94" w14:textId="77777777" w:rsidR="009864DB" w:rsidRPr="004D46AC" w:rsidRDefault="009864DB" w:rsidP="009864DB">
            <w:pPr>
              <w:spacing w:line="240" w:lineRule="auto"/>
              <w:ind w:firstLine="0"/>
            </w:pPr>
            <w:r w:rsidRPr="004D46AC">
              <w:t>1</w:t>
            </w:r>
          </w:p>
        </w:tc>
        <w:tc>
          <w:tcPr>
            <w:tcW w:w="752" w:type="dxa"/>
            <w:vAlign w:val="center"/>
          </w:tcPr>
          <w:p w14:paraId="6E4BABE0" w14:textId="77777777" w:rsidR="009864DB" w:rsidRPr="004D46AC" w:rsidRDefault="009864DB" w:rsidP="009864DB">
            <w:pPr>
              <w:spacing w:line="240" w:lineRule="auto"/>
              <w:ind w:firstLine="0"/>
            </w:pPr>
            <w:r w:rsidRPr="004D46AC">
              <w:t>2</w:t>
            </w:r>
          </w:p>
        </w:tc>
        <w:tc>
          <w:tcPr>
            <w:tcW w:w="1296" w:type="dxa"/>
            <w:vAlign w:val="center"/>
          </w:tcPr>
          <w:p w14:paraId="680DACFB" w14:textId="77777777" w:rsidR="009864DB" w:rsidRPr="004D46AC" w:rsidRDefault="009864DB" w:rsidP="009864DB">
            <w:pPr>
              <w:spacing w:line="240" w:lineRule="auto"/>
              <w:ind w:firstLine="0"/>
            </w:pPr>
            <w:r w:rsidRPr="004D46AC">
              <w:t>164</w:t>
            </w:r>
          </w:p>
        </w:tc>
        <w:tc>
          <w:tcPr>
            <w:tcW w:w="752" w:type="dxa"/>
          </w:tcPr>
          <w:p w14:paraId="6FB1F5B8" w14:textId="77777777" w:rsidR="009864DB" w:rsidRPr="004D46AC" w:rsidRDefault="009864DB" w:rsidP="009864DB">
            <w:pPr>
              <w:spacing w:line="240" w:lineRule="auto"/>
              <w:ind w:firstLine="0"/>
            </w:pPr>
            <w:r w:rsidRPr="004D46AC">
              <w:t>NA</w:t>
            </w:r>
          </w:p>
        </w:tc>
        <w:tc>
          <w:tcPr>
            <w:tcW w:w="789" w:type="dxa"/>
            <w:gridSpan w:val="2"/>
          </w:tcPr>
          <w:p w14:paraId="192C7A33" w14:textId="77777777" w:rsidR="009864DB" w:rsidRPr="004D46AC" w:rsidRDefault="009864DB" w:rsidP="009864DB">
            <w:pPr>
              <w:spacing w:line="240" w:lineRule="auto"/>
              <w:ind w:firstLine="0"/>
            </w:pPr>
            <w:r w:rsidRPr="004D46AC">
              <w:t>NA</w:t>
            </w:r>
          </w:p>
        </w:tc>
      </w:tr>
      <w:tr w:rsidR="009864DB" w:rsidRPr="004D46AC" w14:paraId="56406559" w14:textId="77777777" w:rsidTr="00B518F1">
        <w:tc>
          <w:tcPr>
            <w:tcW w:w="1476" w:type="dxa"/>
          </w:tcPr>
          <w:p w14:paraId="1736B1C3" w14:textId="77777777" w:rsidR="009864DB" w:rsidRPr="004D46AC" w:rsidRDefault="009864DB" w:rsidP="009864DB">
            <w:pPr>
              <w:spacing w:line="240" w:lineRule="auto"/>
              <w:ind w:firstLine="0"/>
            </w:pPr>
            <w:r w:rsidRPr="004D46AC">
              <w:fldChar w:fldCharType="begin">
                <w:fldData xml:space="preserve">PEVuZE5vdGU+PENpdGUgQXV0aG9yWWVhcj0iMSI+PEF1dGhvcj5IZXR0PC9BdXRob3I+PFllYXI+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</w:fldData>
              </w:fldChar>
            </w:r>
            <w:r w:rsidRPr="004D46AC">
              <w:instrText xml:space="preserve"> ADDIN EN.CITE </w:instrText>
            </w:r>
            <w:r w:rsidRPr="004D46AC">
              <w:fldChar w:fldCharType="begin">
                <w:fldData xml:space="preserve">PEVuZE5vdGU+PENpdGUgQXV0aG9yWWVhcj0iMSI+PEF1dGhvcj5IZXR0PC9BdXRob3I+PFllYXI+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</w:fldData>
              </w:fldChar>
            </w:r>
            <w:r w:rsidRPr="004D46AC">
              <w:instrText xml:space="preserve"> ADDIN EN.CITE.DATA </w:instrText>
            </w:r>
            <w:r w:rsidRPr="004D46AC">
              <w:fldChar w:fldCharType="end"/>
            </w:r>
            <w:r w:rsidRPr="004D46AC">
              <w:fldChar w:fldCharType="separate"/>
            </w:r>
            <w:r w:rsidRPr="004D46AC">
              <w:t>Hett et al. (2023)</w:t>
            </w:r>
            <w:r w:rsidRPr="004D46AC">
              <w:fldChar w:fldCharType="end"/>
            </w:r>
          </w:p>
        </w:tc>
        <w:tc>
          <w:tcPr>
            <w:tcW w:w="754" w:type="dxa"/>
            <w:vAlign w:val="center"/>
          </w:tcPr>
          <w:p w14:paraId="284E3DAA" w14:textId="77777777" w:rsidR="009864DB" w:rsidRPr="004D46AC" w:rsidRDefault="009864DB" w:rsidP="009864DB">
            <w:pPr>
              <w:spacing w:line="240" w:lineRule="auto"/>
              <w:ind w:firstLine="0"/>
            </w:pPr>
            <w:r w:rsidRPr="004D46AC">
              <w:t>8</w:t>
            </w:r>
          </w:p>
        </w:tc>
        <w:tc>
          <w:tcPr>
            <w:tcW w:w="766" w:type="dxa"/>
            <w:vAlign w:val="center"/>
          </w:tcPr>
          <w:p w14:paraId="5CA06298" w14:textId="77777777" w:rsidR="009864DB" w:rsidRPr="004D46AC" w:rsidRDefault="009864DB" w:rsidP="009864DB">
            <w:pPr>
              <w:spacing w:line="240" w:lineRule="auto"/>
              <w:ind w:firstLine="0"/>
            </w:pPr>
            <w:r w:rsidRPr="004D46AC">
              <w:t>54.26</w:t>
            </w:r>
          </w:p>
        </w:tc>
        <w:tc>
          <w:tcPr>
            <w:tcW w:w="1096" w:type="dxa"/>
            <w:vAlign w:val="center"/>
          </w:tcPr>
          <w:p w14:paraId="0FF35822" w14:textId="77777777" w:rsidR="009864DB" w:rsidRPr="004D46AC" w:rsidRDefault="009864DB" w:rsidP="009864DB">
            <w:pPr>
              <w:spacing w:line="240" w:lineRule="auto"/>
              <w:ind w:firstLine="0"/>
            </w:pPr>
            <w:r w:rsidRPr="004D46AC">
              <w:t>ICD10</w:t>
            </w:r>
          </w:p>
        </w:tc>
        <w:tc>
          <w:tcPr>
            <w:tcW w:w="1415" w:type="dxa"/>
            <w:vAlign w:val="center"/>
          </w:tcPr>
          <w:p w14:paraId="0588CDF2" w14:textId="77777777" w:rsidR="009864DB" w:rsidRPr="004D46AC" w:rsidRDefault="009864DB" w:rsidP="009864DB">
            <w:pPr>
              <w:spacing w:line="240" w:lineRule="auto"/>
              <w:ind w:firstLine="0"/>
            </w:pPr>
            <w:r w:rsidRPr="004D46AC">
              <w:t>unclear</w:t>
            </w:r>
          </w:p>
        </w:tc>
        <w:tc>
          <w:tcPr>
            <w:tcW w:w="876" w:type="dxa"/>
            <w:vAlign w:val="center"/>
          </w:tcPr>
          <w:p w14:paraId="6C517C3A" w14:textId="77777777" w:rsidR="009864DB" w:rsidRPr="004D46AC" w:rsidRDefault="009864DB" w:rsidP="009864DB">
            <w:pPr>
              <w:spacing w:line="240" w:lineRule="auto"/>
              <w:ind w:firstLine="0"/>
            </w:pPr>
            <w:r w:rsidRPr="004D46AC">
              <w:t>2649</w:t>
            </w:r>
          </w:p>
        </w:tc>
        <w:tc>
          <w:tcPr>
            <w:tcW w:w="986" w:type="dxa"/>
            <w:vAlign w:val="center"/>
          </w:tcPr>
          <w:p w14:paraId="0D17A992" w14:textId="77777777" w:rsidR="009864DB" w:rsidRPr="004D46AC" w:rsidRDefault="009864DB" w:rsidP="009864DB">
            <w:pPr>
              <w:spacing w:line="240" w:lineRule="auto"/>
              <w:ind w:firstLine="0"/>
            </w:pPr>
            <w:r w:rsidRPr="004D46AC">
              <w:t>2</w:t>
            </w:r>
          </w:p>
        </w:tc>
        <w:tc>
          <w:tcPr>
            <w:tcW w:w="751" w:type="dxa"/>
            <w:vAlign w:val="center"/>
          </w:tcPr>
          <w:p w14:paraId="5FD0FA1D" w14:textId="77777777" w:rsidR="009864DB" w:rsidRPr="004D46AC" w:rsidRDefault="009864DB" w:rsidP="009864DB">
            <w:pPr>
              <w:spacing w:line="240" w:lineRule="auto"/>
              <w:ind w:firstLine="0"/>
            </w:pPr>
            <w:r w:rsidRPr="004D46AC">
              <w:t>1</w:t>
            </w:r>
          </w:p>
        </w:tc>
        <w:tc>
          <w:tcPr>
            <w:tcW w:w="752" w:type="dxa"/>
            <w:vAlign w:val="center"/>
          </w:tcPr>
          <w:p w14:paraId="6F180D96" w14:textId="77777777" w:rsidR="009864DB" w:rsidRPr="004D46AC" w:rsidRDefault="009864DB" w:rsidP="009864DB">
            <w:pPr>
              <w:spacing w:line="240" w:lineRule="auto"/>
              <w:ind w:firstLine="0"/>
            </w:pPr>
            <w:r w:rsidRPr="004D46AC">
              <w:t>0</w:t>
            </w:r>
          </w:p>
        </w:tc>
        <w:tc>
          <w:tcPr>
            <w:tcW w:w="1296" w:type="dxa"/>
          </w:tcPr>
          <w:p w14:paraId="08CE38A5" w14:textId="77777777" w:rsidR="009864DB" w:rsidRPr="004D46AC" w:rsidRDefault="009864DB" w:rsidP="009864DB">
            <w:pPr>
              <w:spacing w:line="240" w:lineRule="auto"/>
              <w:ind w:firstLine="0"/>
            </w:pPr>
            <w:r w:rsidRPr="004D46AC">
              <w:t>252</w:t>
            </w:r>
          </w:p>
        </w:tc>
        <w:tc>
          <w:tcPr>
            <w:tcW w:w="752" w:type="dxa"/>
          </w:tcPr>
          <w:p w14:paraId="6A5FBCE0" w14:textId="77777777" w:rsidR="009864DB" w:rsidRPr="004D46AC" w:rsidRDefault="009864DB" w:rsidP="009864DB">
            <w:pPr>
              <w:spacing w:line="240" w:lineRule="auto"/>
              <w:ind w:firstLine="0"/>
            </w:pPr>
            <w:r w:rsidRPr="004D46AC">
              <w:t>NA</w:t>
            </w:r>
          </w:p>
        </w:tc>
        <w:tc>
          <w:tcPr>
            <w:tcW w:w="789" w:type="dxa"/>
            <w:gridSpan w:val="2"/>
          </w:tcPr>
          <w:p w14:paraId="75DDBA48" w14:textId="77777777" w:rsidR="009864DB" w:rsidRPr="004D46AC" w:rsidRDefault="009864DB" w:rsidP="009864DB">
            <w:pPr>
              <w:spacing w:line="240" w:lineRule="auto"/>
              <w:ind w:firstLine="0"/>
            </w:pPr>
            <w:r w:rsidRPr="004D46AC">
              <w:t>NA</w:t>
            </w:r>
          </w:p>
        </w:tc>
      </w:tr>
      <w:tr w:rsidR="009864DB" w:rsidRPr="004D46AC" w14:paraId="7E699BB5" w14:textId="77777777" w:rsidTr="00B518F1">
        <w:tc>
          <w:tcPr>
            <w:tcW w:w="1476" w:type="dxa"/>
          </w:tcPr>
          <w:p w14:paraId="7F7CF7A5" w14:textId="77777777" w:rsidR="009864DB" w:rsidRPr="004D46AC" w:rsidRDefault="009864DB" w:rsidP="009864DB">
            <w:pPr>
              <w:spacing w:line="240" w:lineRule="auto"/>
              <w:ind w:firstLine="0"/>
            </w:pPr>
            <w:r w:rsidRPr="004D46AC">
              <w:fldChar w:fldCharType="begin">
                <w:fldData xml:space="preserve">PEVuZE5vdGU+PENpdGUgQXV0aG9yWWVhcj0iMSI+PEF1dGhvcj5NZW5jdWxpbmk8L0F1dGhvcj48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</w:fldData>
              </w:fldChar>
            </w:r>
            <w:r w:rsidRPr="004D46AC">
              <w:instrText xml:space="preserve"> ADDIN EN.CITE </w:instrText>
            </w:r>
            <w:r w:rsidRPr="004D46AC">
              <w:fldChar w:fldCharType="begin">
                <w:fldData xml:space="preserve">PEVuZE5vdGU+PENpdGUgQXV0aG9yWWVhcj0iMSI+PEF1dGhvcj5NZW5jdWxpbmk8L0F1dGhvcj48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</w:fldData>
              </w:fldChar>
            </w:r>
            <w:r w:rsidRPr="004D46AC">
              <w:instrText xml:space="preserve"> ADDIN EN.CITE.DATA </w:instrText>
            </w:r>
            <w:r w:rsidRPr="004D46AC">
              <w:fldChar w:fldCharType="end"/>
            </w:r>
            <w:r w:rsidRPr="004D46AC">
              <w:fldChar w:fldCharType="separate"/>
            </w:r>
            <w:r w:rsidRPr="004D46AC">
              <w:t>Menculini et al. (2023)</w:t>
            </w:r>
            <w:r w:rsidRPr="004D46AC">
              <w:fldChar w:fldCharType="end"/>
            </w:r>
          </w:p>
        </w:tc>
        <w:tc>
          <w:tcPr>
            <w:tcW w:w="754" w:type="dxa"/>
            <w:vAlign w:val="center"/>
          </w:tcPr>
          <w:p w14:paraId="78357FDB" w14:textId="77777777" w:rsidR="009864DB" w:rsidRPr="004D46AC" w:rsidRDefault="009864DB" w:rsidP="009864DB">
            <w:pPr>
              <w:spacing w:line="240" w:lineRule="auto"/>
              <w:ind w:firstLine="0"/>
            </w:pPr>
            <w:r w:rsidRPr="004D46AC">
              <w:t>7</w:t>
            </w:r>
          </w:p>
        </w:tc>
        <w:tc>
          <w:tcPr>
            <w:tcW w:w="766" w:type="dxa"/>
            <w:vAlign w:val="center"/>
          </w:tcPr>
          <w:p w14:paraId="3776EBC5" w14:textId="77777777" w:rsidR="009864DB" w:rsidRPr="004D46AC" w:rsidRDefault="009864DB" w:rsidP="009864DB">
            <w:pPr>
              <w:spacing w:line="240" w:lineRule="auto"/>
              <w:ind w:firstLine="0"/>
            </w:pPr>
            <w:r w:rsidRPr="004D46AC">
              <w:t>44.76</w:t>
            </w:r>
          </w:p>
        </w:tc>
        <w:tc>
          <w:tcPr>
            <w:tcW w:w="1096" w:type="dxa"/>
            <w:vAlign w:val="center"/>
          </w:tcPr>
          <w:p w14:paraId="683FBE1B" w14:textId="77777777" w:rsidR="009864DB" w:rsidRPr="004D46AC" w:rsidRDefault="009864DB" w:rsidP="009864DB">
            <w:pPr>
              <w:spacing w:line="240" w:lineRule="auto"/>
              <w:ind w:firstLine="0"/>
            </w:pPr>
            <w:r w:rsidRPr="004D46AC">
              <w:t>DSM5</w:t>
            </w:r>
          </w:p>
        </w:tc>
        <w:tc>
          <w:tcPr>
            <w:tcW w:w="1415" w:type="dxa"/>
            <w:vAlign w:val="center"/>
          </w:tcPr>
          <w:p w14:paraId="706CEDF8" w14:textId="77777777" w:rsidR="009864DB" w:rsidRPr="004D46AC" w:rsidRDefault="009864DB" w:rsidP="009864DB">
            <w:pPr>
              <w:spacing w:line="240" w:lineRule="auto"/>
              <w:ind w:firstLine="0"/>
            </w:pPr>
            <w:r w:rsidRPr="004D46AC">
              <w:t>SCID</w:t>
            </w:r>
          </w:p>
        </w:tc>
        <w:tc>
          <w:tcPr>
            <w:tcW w:w="876" w:type="dxa"/>
            <w:vAlign w:val="center"/>
          </w:tcPr>
          <w:p w14:paraId="1DF22CF8" w14:textId="77777777" w:rsidR="009864DB" w:rsidRPr="004D46AC" w:rsidRDefault="009864DB" w:rsidP="009864DB">
            <w:pPr>
              <w:spacing w:line="240" w:lineRule="auto"/>
              <w:ind w:firstLine="0"/>
            </w:pPr>
            <w:r w:rsidRPr="004D46AC">
              <w:t>178</w:t>
            </w:r>
          </w:p>
        </w:tc>
        <w:tc>
          <w:tcPr>
            <w:tcW w:w="986" w:type="dxa"/>
            <w:vAlign w:val="center"/>
          </w:tcPr>
          <w:p w14:paraId="6EB3F2E5" w14:textId="77777777" w:rsidR="009864DB" w:rsidRPr="004D46AC" w:rsidRDefault="009864DB" w:rsidP="009864DB">
            <w:pPr>
              <w:spacing w:line="240" w:lineRule="auto"/>
              <w:ind w:firstLine="0"/>
            </w:pPr>
            <w:r w:rsidRPr="004D46AC">
              <w:t>2</w:t>
            </w:r>
          </w:p>
        </w:tc>
        <w:tc>
          <w:tcPr>
            <w:tcW w:w="751" w:type="dxa"/>
            <w:vAlign w:val="center"/>
          </w:tcPr>
          <w:p w14:paraId="087A1C01" w14:textId="77777777" w:rsidR="009864DB" w:rsidRPr="004D46AC" w:rsidRDefault="009864DB" w:rsidP="009864DB">
            <w:pPr>
              <w:spacing w:line="240" w:lineRule="auto"/>
              <w:ind w:firstLine="0"/>
            </w:pPr>
            <w:r w:rsidRPr="004D46AC">
              <w:t>1</w:t>
            </w:r>
          </w:p>
        </w:tc>
        <w:tc>
          <w:tcPr>
            <w:tcW w:w="752" w:type="dxa"/>
            <w:vAlign w:val="center"/>
          </w:tcPr>
          <w:p w14:paraId="4F90F98D" w14:textId="77777777" w:rsidR="009864DB" w:rsidRPr="004D46AC" w:rsidRDefault="009864DB" w:rsidP="009864DB">
            <w:pPr>
              <w:spacing w:line="240" w:lineRule="auto"/>
              <w:ind w:firstLine="0"/>
            </w:pPr>
            <w:r w:rsidRPr="004D46AC">
              <w:t>2</w:t>
            </w:r>
          </w:p>
        </w:tc>
        <w:tc>
          <w:tcPr>
            <w:tcW w:w="1296" w:type="dxa"/>
            <w:vAlign w:val="center"/>
          </w:tcPr>
          <w:p w14:paraId="07C26FFE" w14:textId="77777777" w:rsidR="009864DB" w:rsidRPr="004D46AC" w:rsidRDefault="009864DB" w:rsidP="009864DB">
            <w:pPr>
              <w:spacing w:line="240" w:lineRule="auto"/>
              <w:ind w:firstLine="0"/>
            </w:pPr>
            <w:r w:rsidRPr="004D46AC">
              <w:t>82</w:t>
            </w:r>
          </w:p>
        </w:tc>
        <w:tc>
          <w:tcPr>
            <w:tcW w:w="752" w:type="dxa"/>
          </w:tcPr>
          <w:p w14:paraId="494F079D" w14:textId="77777777" w:rsidR="009864DB" w:rsidRPr="004D46AC" w:rsidRDefault="009864DB" w:rsidP="009864DB">
            <w:pPr>
              <w:spacing w:line="240" w:lineRule="auto"/>
              <w:ind w:firstLine="0"/>
            </w:pPr>
            <w:r w:rsidRPr="004D46AC">
              <w:t>NA</w:t>
            </w:r>
          </w:p>
        </w:tc>
        <w:tc>
          <w:tcPr>
            <w:tcW w:w="789" w:type="dxa"/>
            <w:gridSpan w:val="2"/>
          </w:tcPr>
          <w:p w14:paraId="77E3EF8B" w14:textId="77777777" w:rsidR="009864DB" w:rsidRPr="004D46AC" w:rsidRDefault="009864DB" w:rsidP="009864DB">
            <w:pPr>
              <w:spacing w:line="240" w:lineRule="auto"/>
              <w:ind w:firstLine="0"/>
            </w:pPr>
            <w:r w:rsidRPr="004D46AC">
              <w:t>NA</w:t>
            </w:r>
          </w:p>
        </w:tc>
      </w:tr>
      <w:tr w:rsidR="009864DB" w:rsidRPr="004D46AC" w14:paraId="6136078A" w14:textId="77777777" w:rsidTr="00B518F1">
        <w:tc>
          <w:tcPr>
            <w:tcW w:w="1476" w:type="dxa"/>
          </w:tcPr>
          <w:p w14:paraId="34876478" w14:textId="77777777" w:rsidR="009864DB" w:rsidRPr="004D46AC" w:rsidRDefault="009864DB" w:rsidP="009864DB">
            <w:pPr>
              <w:spacing w:line="240" w:lineRule="auto"/>
              <w:ind w:firstLine="0"/>
            </w:pPr>
            <w:r w:rsidRPr="004D46AC">
              <w:fldChar w:fldCharType="begin">
                <w:fldData xml:space="preserve">PEVuZE5vdGU+PENpdGUgQXV0aG9yWWVhcj0iMSI+PEF1dGhvcj5FbG93ZTwvQXV0aG9yPjxZZWFy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</w:fldData>
              </w:fldChar>
            </w:r>
            <w:r w:rsidRPr="004D46AC">
              <w:instrText xml:space="preserve"> ADDIN EN.CITE </w:instrText>
            </w:r>
            <w:r w:rsidRPr="004D46AC">
              <w:fldChar w:fldCharType="begin">
                <w:fldData xml:space="preserve">PEVuZE5vdGU+PENpdGUgQXV0aG9yWWVhcj0iMSI+PEF1dGhvcj5FbG93ZTwvQXV0aG9yPjxZZWFy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</w:fldData>
              </w:fldChar>
            </w:r>
            <w:r w:rsidRPr="004D46AC">
              <w:instrText xml:space="preserve"> ADDIN EN.CITE.DATA </w:instrText>
            </w:r>
            <w:r w:rsidRPr="004D46AC">
              <w:fldChar w:fldCharType="end"/>
            </w:r>
            <w:r w:rsidRPr="004D46AC">
              <w:fldChar w:fldCharType="separate"/>
            </w:r>
            <w:r w:rsidRPr="004D46AC">
              <w:t>Elowe et al. (2022)</w:t>
            </w:r>
            <w:r w:rsidRPr="004D46AC">
              <w:fldChar w:fldCharType="end"/>
            </w:r>
          </w:p>
        </w:tc>
        <w:tc>
          <w:tcPr>
            <w:tcW w:w="754" w:type="dxa"/>
            <w:vAlign w:val="center"/>
          </w:tcPr>
          <w:p w14:paraId="492610DB" w14:textId="77777777" w:rsidR="009864DB" w:rsidRPr="004D46AC" w:rsidRDefault="009864DB" w:rsidP="009864DB">
            <w:pPr>
              <w:spacing w:line="240" w:lineRule="auto"/>
              <w:ind w:firstLine="0"/>
            </w:pPr>
            <w:r w:rsidRPr="004D46AC">
              <w:t>8</w:t>
            </w:r>
          </w:p>
        </w:tc>
        <w:tc>
          <w:tcPr>
            <w:tcW w:w="766" w:type="dxa"/>
            <w:vAlign w:val="center"/>
          </w:tcPr>
          <w:p w14:paraId="5461836A" w14:textId="77777777" w:rsidR="009864DB" w:rsidRPr="004D46AC" w:rsidRDefault="009864DB" w:rsidP="009864DB">
            <w:pPr>
              <w:spacing w:line="240" w:lineRule="auto"/>
              <w:ind w:firstLine="0"/>
            </w:pPr>
            <w:r w:rsidRPr="004D46AC">
              <w:t>41.39</w:t>
            </w:r>
          </w:p>
        </w:tc>
        <w:tc>
          <w:tcPr>
            <w:tcW w:w="1096" w:type="dxa"/>
            <w:vAlign w:val="center"/>
          </w:tcPr>
          <w:p w14:paraId="3BFB5BE4" w14:textId="77777777" w:rsidR="009864DB" w:rsidRPr="004D46AC" w:rsidRDefault="009864DB" w:rsidP="009864DB">
            <w:pPr>
              <w:spacing w:line="240" w:lineRule="auto"/>
              <w:ind w:firstLine="0"/>
            </w:pPr>
            <w:r w:rsidRPr="004D46AC">
              <w:t>DSM4</w:t>
            </w:r>
          </w:p>
        </w:tc>
        <w:tc>
          <w:tcPr>
            <w:tcW w:w="1415" w:type="dxa"/>
            <w:vAlign w:val="center"/>
          </w:tcPr>
          <w:p w14:paraId="35010043" w14:textId="77777777" w:rsidR="009864DB" w:rsidRPr="004D46AC" w:rsidRDefault="009864DB" w:rsidP="009864DB">
            <w:pPr>
              <w:spacing w:line="240" w:lineRule="auto"/>
              <w:ind w:firstLine="0"/>
            </w:pPr>
            <w:r w:rsidRPr="004D46AC">
              <w:t>DIGS</w:t>
            </w:r>
          </w:p>
        </w:tc>
        <w:tc>
          <w:tcPr>
            <w:tcW w:w="876" w:type="dxa"/>
            <w:vAlign w:val="center"/>
          </w:tcPr>
          <w:p w14:paraId="0273DA4B" w14:textId="77777777" w:rsidR="009864DB" w:rsidRPr="004D46AC" w:rsidRDefault="009864DB" w:rsidP="009864DB">
            <w:pPr>
              <w:spacing w:line="240" w:lineRule="auto"/>
              <w:ind w:firstLine="0"/>
            </w:pPr>
            <w:r w:rsidRPr="004D46AC">
              <w:t>162</w:t>
            </w:r>
          </w:p>
        </w:tc>
        <w:tc>
          <w:tcPr>
            <w:tcW w:w="986" w:type="dxa"/>
            <w:vAlign w:val="center"/>
          </w:tcPr>
          <w:p w14:paraId="318A1B74" w14:textId="77777777" w:rsidR="009864DB" w:rsidRPr="004D46AC" w:rsidRDefault="009864DB" w:rsidP="009864DB">
            <w:pPr>
              <w:spacing w:line="240" w:lineRule="auto"/>
              <w:ind w:firstLine="0"/>
            </w:pPr>
            <w:r w:rsidRPr="004D46AC">
              <w:t>2</w:t>
            </w:r>
          </w:p>
        </w:tc>
        <w:tc>
          <w:tcPr>
            <w:tcW w:w="751" w:type="dxa"/>
            <w:vAlign w:val="center"/>
          </w:tcPr>
          <w:p w14:paraId="1A4C116E" w14:textId="77777777" w:rsidR="009864DB" w:rsidRPr="004D46AC" w:rsidRDefault="009864DB" w:rsidP="009864DB">
            <w:pPr>
              <w:spacing w:line="240" w:lineRule="auto"/>
              <w:ind w:firstLine="0"/>
            </w:pPr>
            <w:r w:rsidRPr="004D46AC">
              <w:t>2</w:t>
            </w:r>
          </w:p>
        </w:tc>
        <w:tc>
          <w:tcPr>
            <w:tcW w:w="752" w:type="dxa"/>
            <w:vAlign w:val="center"/>
          </w:tcPr>
          <w:p w14:paraId="73455CBC" w14:textId="77777777" w:rsidR="009864DB" w:rsidRPr="004D46AC" w:rsidRDefault="009864DB" w:rsidP="009864DB">
            <w:pPr>
              <w:spacing w:line="240" w:lineRule="auto"/>
              <w:ind w:firstLine="0"/>
            </w:pPr>
            <w:r w:rsidRPr="004D46AC">
              <w:t>2</w:t>
            </w:r>
          </w:p>
        </w:tc>
        <w:tc>
          <w:tcPr>
            <w:tcW w:w="1296" w:type="dxa"/>
            <w:vAlign w:val="center"/>
          </w:tcPr>
          <w:p w14:paraId="470385D8" w14:textId="77777777" w:rsidR="009864DB" w:rsidRPr="004D46AC" w:rsidRDefault="009864DB" w:rsidP="009864DB">
            <w:pPr>
              <w:spacing w:line="240" w:lineRule="auto"/>
              <w:ind w:firstLine="0"/>
            </w:pPr>
            <w:r w:rsidRPr="004D46AC">
              <w:t>96</w:t>
            </w:r>
          </w:p>
        </w:tc>
        <w:tc>
          <w:tcPr>
            <w:tcW w:w="752" w:type="dxa"/>
          </w:tcPr>
          <w:p w14:paraId="6D327885" w14:textId="77777777" w:rsidR="009864DB" w:rsidRPr="004D46AC" w:rsidRDefault="009864DB" w:rsidP="009864DB">
            <w:pPr>
              <w:spacing w:line="240" w:lineRule="auto"/>
              <w:ind w:firstLine="0"/>
            </w:pPr>
            <w:r w:rsidRPr="004D46AC">
              <w:t>NA</w:t>
            </w:r>
          </w:p>
        </w:tc>
        <w:tc>
          <w:tcPr>
            <w:tcW w:w="789" w:type="dxa"/>
            <w:gridSpan w:val="2"/>
            <w:vAlign w:val="center"/>
          </w:tcPr>
          <w:p w14:paraId="44468A57" w14:textId="77777777" w:rsidR="009864DB" w:rsidRPr="004D46AC" w:rsidRDefault="009864DB" w:rsidP="009864DB">
            <w:pPr>
              <w:spacing w:line="240" w:lineRule="auto"/>
              <w:ind w:firstLine="0"/>
            </w:pPr>
            <w:r w:rsidRPr="004D46AC">
              <w:t>43</w:t>
            </w:r>
          </w:p>
        </w:tc>
      </w:tr>
      <w:tr w:rsidR="009864DB" w:rsidRPr="004D46AC" w14:paraId="1F11F6CA" w14:textId="77777777" w:rsidTr="00B518F1">
        <w:tc>
          <w:tcPr>
            <w:tcW w:w="1476" w:type="dxa"/>
          </w:tcPr>
          <w:p w14:paraId="70CC3476" w14:textId="77777777" w:rsidR="009864DB" w:rsidRPr="004D46AC" w:rsidRDefault="009864DB" w:rsidP="009864DB">
            <w:pPr>
              <w:spacing w:line="240" w:lineRule="auto"/>
              <w:ind w:firstLine="0"/>
            </w:pPr>
            <w:r w:rsidRPr="004D46AC">
              <w:fldChar w:fldCharType="begin">
                <w:fldData xml:space="preserve">PEVuZE5vdGU+PENpdGUgQXV0aG9yWWVhcj0iMSI+PEF1dGhvcj5Cb3JhPC9BdXRob3I+PFllYXI+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 </w:instrText>
            </w:r>
            <w:r w:rsidRPr="004D46AC">
              <w:fldChar w:fldCharType="begin">
                <w:fldData xml:space="preserve">PEVuZE5vdGU+PENpdGUgQXV0aG9yWWVhcj0iMSI+PEF1dGhvcj5Cb3JhPC9BdXRob3I+PFllYXI+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EN.CITE.DATA </w:instrText>
            </w:r>
            <w:r w:rsidRPr="004D46AC">
              <w:fldChar w:fldCharType="end"/>
            </w:r>
            <w:r w:rsidRPr="004D46AC">
              <w:fldChar w:fldCharType="separate"/>
            </w:r>
            <w:r w:rsidRPr="004D46AC">
              <w:t>Bora et al. (2023)</w:t>
            </w:r>
            <w:r w:rsidRPr="004D46AC">
              <w:fldChar w:fldCharType="end"/>
            </w:r>
          </w:p>
        </w:tc>
        <w:tc>
          <w:tcPr>
            <w:tcW w:w="754" w:type="dxa"/>
            <w:vAlign w:val="center"/>
          </w:tcPr>
          <w:p w14:paraId="65059251" w14:textId="77777777" w:rsidR="009864DB" w:rsidRPr="004D46AC" w:rsidRDefault="009864DB" w:rsidP="009864DB">
            <w:pPr>
              <w:spacing w:line="240" w:lineRule="auto"/>
              <w:ind w:firstLine="0"/>
            </w:pPr>
            <w:r w:rsidRPr="004D46AC">
              <w:t>5</w:t>
            </w:r>
          </w:p>
        </w:tc>
        <w:tc>
          <w:tcPr>
            <w:tcW w:w="766" w:type="dxa"/>
            <w:vAlign w:val="center"/>
          </w:tcPr>
          <w:p w14:paraId="21CB2C95" w14:textId="77777777" w:rsidR="009864DB" w:rsidRPr="004D46AC" w:rsidRDefault="009864DB" w:rsidP="009864DB">
            <w:pPr>
              <w:spacing w:line="240" w:lineRule="auto"/>
              <w:ind w:firstLine="0"/>
            </w:pPr>
            <w:r w:rsidRPr="004D46AC">
              <w:rPr>
                <w:rFonts w:hint="eastAsia"/>
              </w:rPr>
              <w:t>NA</w:t>
            </w:r>
          </w:p>
        </w:tc>
        <w:tc>
          <w:tcPr>
            <w:tcW w:w="1096" w:type="dxa"/>
            <w:vAlign w:val="center"/>
          </w:tcPr>
          <w:p w14:paraId="0A7A0CF9" w14:textId="77777777" w:rsidR="009864DB" w:rsidRPr="004D46AC" w:rsidRDefault="009864DB" w:rsidP="009864DB">
            <w:pPr>
              <w:spacing w:line="240" w:lineRule="auto"/>
              <w:ind w:firstLine="0"/>
            </w:pPr>
            <w:r w:rsidRPr="004D46AC">
              <w:t>DSM4</w:t>
            </w:r>
          </w:p>
        </w:tc>
        <w:tc>
          <w:tcPr>
            <w:tcW w:w="1415" w:type="dxa"/>
            <w:vAlign w:val="center"/>
          </w:tcPr>
          <w:p w14:paraId="075072D2" w14:textId="77777777" w:rsidR="009864DB" w:rsidRPr="004D46AC" w:rsidRDefault="009864DB" w:rsidP="009864DB">
            <w:pPr>
              <w:spacing w:line="240" w:lineRule="auto"/>
              <w:ind w:firstLine="0"/>
            </w:pPr>
            <w:r w:rsidRPr="004D46AC">
              <w:t>SCID</w:t>
            </w:r>
          </w:p>
        </w:tc>
        <w:tc>
          <w:tcPr>
            <w:tcW w:w="876" w:type="dxa"/>
            <w:vAlign w:val="center"/>
          </w:tcPr>
          <w:p w14:paraId="345184E8" w14:textId="77777777" w:rsidR="009864DB" w:rsidRPr="004D46AC" w:rsidRDefault="009864DB" w:rsidP="009864DB">
            <w:pPr>
              <w:spacing w:line="240" w:lineRule="auto"/>
              <w:ind w:firstLine="0"/>
            </w:pPr>
            <w:r w:rsidRPr="004D46AC">
              <w:t>90</w:t>
            </w:r>
          </w:p>
        </w:tc>
        <w:tc>
          <w:tcPr>
            <w:tcW w:w="986" w:type="dxa"/>
            <w:vAlign w:val="center"/>
          </w:tcPr>
          <w:p w14:paraId="36648EF9" w14:textId="77777777" w:rsidR="009864DB" w:rsidRPr="004D46AC" w:rsidRDefault="009864DB" w:rsidP="009864DB">
            <w:pPr>
              <w:spacing w:line="240" w:lineRule="auto"/>
              <w:ind w:firstLine="0"/>
            </w:pPr>
            <w:r w:rsidRPr="004D46AC">
              <w:t>1</w:t>
            </w:r>
          </w:p>
        </w:tc>
        <w:tc>
          <w:tcPr>
            <w:tcW w:w="751" w:type="dxa"/>
            <w:vAlign w:val="center"/>
          </w:tcPr>
          <w:p w14:paraId="4ACDC65D" w14:textId="77777777" w:rsidR="009864DB" w:rsidRPr="004D46AC" w:rsidRDefault="009864DB" w:rsidP="009864DB">
            <w:pPr>
              <w:spacing w:line="240" w:lineRule="auto"/>
              <w:ind w:firstLine="0"/>
            </w:pPr>
            <w:r w:rsidRPr="004D46AC">
              <w:t>1</w:t>
            </w:r>
          </w:p>
        </w:tc>
        <w:tc>
          <w:tcPr>
            <w:tcW w:w="752" w:type="dxa"/>
            <w:vAlign w:val="center"/>
          </w:tcPr>
          <w:p w14:paraId="533FCACE" w14:textId="77777777" w:rsidR="009864DB" w:rsidRPr="004D46AC" w:rsidRDefault="009864DB" w:rsidP="009864DB">
            <w:pPr>
              <w:spacing w:line="240" w:lineRule="auto"/>
              <w:ind w:firstLine="0"/>
            </w:pPr>
            <w:r w:rsidRPr="004D46AC">
              <w:t>2</w:t>
            </w:r>
          </w:p>
        </w:tc>
        <w:tc>
          <w:tcPr>
            <w:tcW w:w="1296" w:type="dxa"/>
            <w:vAlign w:val="center"/>
          </w:tcPr>
          <w:p w14:paraId="515425B0" w14:textId="77777777" w:rsidR="009864DB" w:rsidRPr="004D46AC" w:rsidRDefault="009864DB" w:rsidP="009864DB">
            <w:pPr>
              <w:spacing w:line="240" w:lineRule="auto"/>
              <w:ind w:firstLine="0"/>
            </w:pPr>
            <w:r w:rsidRPr="004D46AC">
              <w:t>56</w:t>
            </w:r>
          </w:p>
        </w:tc>
        <w:tc>
          <w:tcPr>
            <w:tcW w:w="752" w:type="dxa"/>
          </w:tcPr>
          <w:p w14:paraId="2436BD83" w14:textId="77777777" w:rsidR="009864DB" w:rsidRPr="004D46AC" w:rsidRDefault="009864DB" w:rsidP="009864DB">
            <w:pPr>
              <w:spacing w:line="240" w:lineRule="auto"/>
              <w:ind w:firstLine="0"/>
            </w:pPr>
            <w:r w:rsidRPr="004D46AC">
              <w:t>NA</w:t>
            </w:r>
          </w:p>
        </w:tc>
        <w:tc>
          <w:tcPr>
            <w:tcW w:w="789" w:type="dxa"/>
            <w:gridSpan w:val="2"/>
          </w:tcPr>
          <w:p w14:paraId="631105A2" w14:textId="77777777" w:rsidR="009864DB" w:rsidRPr="004D46AC" w:rsidRDefault="009864DB" w:rsidP="009864DB">
            <w:pPr>
              <w:spacing w:line="240" w:lineRule="auto"/>
              <w:ind w:firstLine="0"/>
            </w:pPr>
            <w:r w:rsidRPr="004D46AC">
              <w:t>NA</w:t>
            </w:r>
          </w:p>
        </w:tc>
      </w:tr>
      <w:tr w:rsidR="009864DB" w:rsidRPr="004D46AC" w14:paraId="3F2AAB68" w14:textId="77777777" w:rsidTr="00B518F1">
        <w:tc>
          <w:tcPr>
            <w:tcW w:w="1476" w:type="dxa"/>
          </w:tcPr>
          <w:p w14:paraId="0F355C2F"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AuthorYear="1"&gt;&lt;Author&gt;Hassan&lt;/Author&gt;&lt;Year&gt;2023&lt;/Year&gt;&lt;RecNum&gt;439&lt;/RecNum&gt;&lt;DisplayText&gt;Hassan et al. (2023)&lt;/DisplayText&gt;&lt;record&gt;&lt;rec-number&gt;439&lt;/rec-number&gt;&lt;foreign-keys&gt;&lt;key app="EN" db-id="aet009sstawa0hewvt3xwf5atffdw2dt02sw" timestamp="1700326245"&gt;439&lt;/key&gt;&lt;/foreign-keys&gt;&lt;ref-type name="Journal Article"&gt;17&lt;/ref-type&gt;&lt;contributors&gt;&lt;authors&gt;&lt;author&gt;Hassan, May&lt;/author&gt;&lt;author&gt;Elzehery, Rasha&lt;/author&gt;&lt;author&gt;Mosaad, Youssef M.&lt;/author&gt;&lt;author&gt;Mostafa, Maged&lt;/author&gt;&lt;author&gt;Elkalla, Ibrahem H. Rashed&lt;/author&gt;&lt;author&gt;Elwasify, Mohamed&lt;/author&gt;&lt;/authors&gt;&lt;/contributors&gt;&lt;titles&gt;&lt;title&gt;Clinical characteristics of bipolar 1 disorder in relation to interleukin-6: a cross-sectional study among Egyptian patients&lt;/title&gt;&lt;secondary-title&gt;Middle East Current Psychiatry&lt;/secondary-title&gt;&lt;/titles&gt;&lt;periodical&gt;&lt;full-title&gt;Middle East Current Psychiatry&lt;/full-title&gt;&lt;/periodical&gt;&lt;pages&gt;21&lt;/pages&gt;&lt;volume&gt;30&lt;/volume&gt;&lt;number&gt;1&lt;/number&gt;&lt;dates&gt;&lt;year&gt;2023&lt;/year&gt;&lt;pub-dates&gt;&lt;date&gt;2023/03/01&lt;/date&gt;&lt;/pub-dates&gt;&lt;/dates&gt;&lt;isbn&gt;2090-5416&lt;/isbn&gt;&lt;urls&gt;&lt;related-urls&gt;&lt;url&gt;https://doi.org/10.1186/s43045-023-00297-2&lt;/url&gt;&lt;/related-urls&gt;&lt;/urls&gt;&lt;electronic-resource-num&gt;10.1186/s43045-023-00297-2&lt;/electronic-resource-num&gt;&lt;/record&gt;&lt;/Cite&gt;&lt;/EndNote&gt;</w:instrText>
            </w:r>
            <w:r w:rsidRPr="004D46AC">
              <w:fldChar w:fldCharType="separate"/>
            </w:r>
            <w:r w:rsidRPr="004D46AC">
              <w:t>Hassan et al. (2023)</w:t>
            </w:r>
            <w:r w:rsidRPr="004D46AC">
              <w:fldChar w:fldCharType="end"/>
            </w:r>
          </w:p>
        </w:tc>
        <w:tc>
          <w:tcPr>
            <w:tcW w:w="754" w:type="dxa"/>
            <w:vAlign w:val="center"/>
          </w:tcPr>
          <w:p w14:paraId="0D1E1E6A" w14:textId="77777777" w:rsidR="009864DB" w:rsidRPr="004D46AC" w:rsidRDefault="009864DB" w:rsidP="009864DB">
            <w:pPr>
              <w:spacing w:line="240" w:lineRule="auto"/>
              <w:ind w:firstLine="0"/>
            </w:pPr>
            <w:r w:rsidRPr="004D46AC">
              <w:t>8</w:t>
            </w:r>
          </w:p>
        </w:tc>
        <w:tc>
          <w:tcPr>
            <w:tcW w:w="766" w:type="dxa"/>
            <w:vAlign w:val="center"/>
          </w:tcPr>
          <w:p w14:paraId="578189D8" w14:textId="77777777" w:rsidR="009864DB" w:rsidRPr="004D46AC" w:rsidRDefault="009864DB" w:rsidP="009864DB">
            <w:pPr>
              <w:spacing w:line="240" w:lineRule="auto"/>
              <w:ind w:firstLine="0"/>
            </w:pPr>
            <w:r w:rsidRPr="004D46AC">
              <w:t>35.84</w:t>
            </w:r>
          </w:p>
        </w:tc>
        <w:tc>
          <w:tcPr>
            <w:tcW w:w="1096" w:type="dxa"/>
            <w:vAlign w:val="center"/>
          </w:tcPr>
          <w:p w14:paraId="1F920C4C" w14:textId="77777777" w:rsidR="009864DB" w:rsidRPr="004D46AC" w:rsidRDefault="009864DB" w:rsidP="009864DB">
            <w:pPr>
              <w:spacing w:line="240" w:lineRule="auto"/>
              <w:ind w:firstLine="0"/>
            </w:pPr>
            <w:r w:rsidRPr="004D46AC">
              <w:t>DSM5</w:t>
            </w:r>
          </w:p>
        </w:tc>
        <w:tc>
          <w:tcPr>
            <w:tcW w:w="1415" w:type="dxa"/>
            <w:vAlign w:val="center"/>
          </w:tcPr>
          <w:p w14:paraId="40EE7782" w14:textId="77777777" w:rsidR="009864DB" w:rsidRPr="004D46AC" w:rsidRDefault="009864DB" w:rsidP="009864DB">
            <w:pPr>
              <w:spacing w:line="240" w:lineRule="auto"/>
              <w:ind w:firstLine="0"/>
            </w:pPr>
            <w:r w:rsidRPr="004D46AC">
              <w:t>SCID</w:t>
            </w:r>
          </w:p>
        </w:tc>
        <w:tc>
          <w:tcPr>
            <w:tcW w:w="876" w:type="dxa"/>
            <w:vAlign w:val="center"/>
          </w:tcPr>
          <w:p w14:paraId="176B7D09" w14:textId="77777777" w:rsidR="009864DB" w:rsidRPr="004D46AC" w:rsidRDefault="009864DB" w:rsidP="009864DB">
            <w:pPr>
              <w:spacing w:line="240" w:lineRule="auto"/>
              <w:ind w:firstLine="0"/>
            </w:pPr>
            <w:r w:rsidRPr="004D46AC">
              <w:t>83</w:t>
            </w:r>
          </w:p>
        </w:tc>
        <w:tc>
          <w:tcPr>
            <w:tcW w:w="986" w:type="dxa"/>
            <w:vAlign w:val="center"/>
          </w:tcPr>
          <w:p w14:paraId="11A88EB3" w14:textId="77777777" w:rsidR="009864DB" w:rsidRPr="004D46AC" w:rsidRDefault="009864DB" w:rsidP="009864DB">
            <w:pPr>
              <w:spacing w:line="240" w:lineRule="auto"/>
              <w:ind w:firstLine="0"/>
            </w:pPr>
            <w:r w:rsidRPr="004D46AC">
              <w:t>2</w:t>
            </w:r>
          </w:p>
        </w:tc>
        <w:tc>
          <w:tcPr>
            <w:tcW w:w="751" w:type="dxa"/>
            <w:vAlign w:val="center"/>
          </w:tcPr>
          <w:p w14:paraId="0A7726FF" w14:textId="77777777" w:rsidR="009864DB" w:rsidRPr="004D46AC" w:rsidRDefault="009864DB" w:rsidP="009864DB">
            <w:pPr>
              <w:spacing w:line="240" w:lineRule="auto"/>
              <w:ind w:firstLine="0"/>
            </w:pPr>
            <w:r w:rsidRPr="004D46AC">
              <w:t>2</w:t>
            </w:r>
          </w:p>
        </w:tc>
        <w:tc>
          <w:tcPr>
            <w:tcW w:w="752" w:type="dxa"/>
            <w:vAlign w:val="center"/>
          </w:tcPr>
          <w:p w14:paraId="181FC06F" w14:textId="77777777" w:rsidR="009864DB" w:rsidRPr="004D46AC" w:rsidRDefault="009864DB" w:rsidP="009864DB">
            <w:pPr>
              <w:spacing w:line="240" w:lineRule="auto"/>
              <w:ind w:firstLine="0"/>
            </w:pPr>
            <w:r w:rsidRPr="004D46AC">
              <w:t>0</w:t>
            </w:r>
          </w:p>
        </w:tc>
        <w:tc>
          <w:tcPr>
            <w:tcW w:w="1296" w:type="dxa"/>
          </w:tcPr>
          <w:p w14:paraId="152613DB" w14:textId="77777777" w:rsidR="009864DB" w:rsidRPr="004D46AC" w:rsidRDefault="009864DB" w:rsidP="009864DB">
            <w:pPr>
              <w:spacing w:line="240" w:lineRule="auto"/>
              <w:ind w:firstLine="0"/>
            </w:pPr>
            <w:r w:rsidRPr="004D46AC">
              <w:t>25</w:t>
            </w:r>
          </w:p>
        </w:tc>
        <w:tc>
          <w:tcPr>
            <w:tcW w:w="752" w:type="dxa"/>
          </w:tcPr>
          <w:p w14:paraId="70D46E81" w14:textId="77777777" w:rsidR="009864DB" w:rsidRPr="004D46AC" w:rsidRDefault="009864DB" w:rsidP="009864DB">
            <w:pPr>
              <w:spacing w:line="240" w:lineRule="auto"/>
              <w:ind w:firstLine="0"/>
            </w:pPr>
            <w:r w:rsidRPr="004D46AC">
              <w:t>NA</w:t>
            </w:r>
          </w:p>
        </w:tc>
        <w:tc>
          <w:tcPr>
            <w:tcW w:w="789" w:type="dxa"/>
            <w:gridSpan w:val="2"/>
          </w:tcPr>
          <w:p w14:paraId="20A042AD" w14:textId="77777777" w:rsidR="009864DB" w:rsidRPr="004D46AC" w:rsidRDefault="009864DB" w:rsidP="009864DB">
            <w:pPr>
              <w:spacing w:line="240" w:lineRule="auto"/>
              <w:ind w:firstLine="0"/>
            </w:pPr>
            <w:r w:rsidRPr="004D46AC">
              <w:t>NA</w:t>
            </w:r>
          </w:p>
        </w:tc>
      </w:tr>
      <w:tr w:rsidR="009864DB" w:rsidRPr="004D46AC" w14:paraId="07E6FC31" w14:textId="77777777" w:rsidTr="00B518F1">
        <w:tc>
          <w:tcPr>
            <w:tcW w:w="1476" w:type="dxa"/>
          </w:tcPr>
          <w:p w14:paraId="62FE9656" w14:textId="77777777" w:rsidR="009864DB" w:rsidRPr="004D46AC" w:rsidRDefault="009864DB" w:rsidP="009864DB">
            <w:pPr>
              <w:spacing w:line="240" w:lineRule="auto"/>
              <w:ind w:firstLine="0"/>
            </w:pPr>
            <w:r w:rsidRPr="004D46AC">
              <w:fldChar w:fldCharType="begin">
                <w:fldData xml:space="preserve">PEVuZE5vdGU+PENpdGUgQXV0aG9yWWVhcj0iMSI+PEF1dGhvcj5DaHJvYmFrPC9BdXRob3I+PFll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</w:fldData>
              </w:fldChar>
            </w:r>
            <w:r w:rsidRPr="004D46AC">
              <w:instrText xml:space="preserve"> ADDIN EN.CITE </w:instrText>
            </w:r>
            <w:r w:rsidRPr="004D46AC">
              <w:fldChar w:fldCharType="begin">
                <w:fldData xml:space="preserve">PEVuZE5vdGU+PENpdGUgQXV0aG9yWWVhcj0iMSI+PEF1dGhvcj5DaHJvYmFrPC9BdXRob3I+PFll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Chrobak et al. (2023)</w:t>
            </w:r>
            <w:r w:rsidRPr="004D46AC">
              <w:fldChar w:fldCharType="end"/>
            </w:r>
          </w:p>
        </w:tc>
        <w:tc>
          <w:tcPr>
            <w:tcW w:w="754" w:type="dxa"/>
            <w:vAlign w:val="center"/>
          </w:tcPr>
          <w:p w14:paraId="5BDA4E1D" w14:textId="77777777" w:rsidR="009864DB" w:rsidRPr="004D46AC" w:rsidRDefault="009864DB" w:rsidP="009864DB">
            <w:pPr>
              <w:spacing w:line="240" w:lineRule="auto"/>
              <w:ind w:firstLine="0"/>
            </w:pPr>
            <w:r w:rsidRPr="004D46AC">
              <w:t>7</w:t>
            </w:r>
          </w:p>
        </w:tc>
        <w:tc>
          <w:tcPr>
            <w:tcW w:w="766" w:type="dxa"/>
            <w:vAlign w:val="center"/>
          </w:tcPr>
          <w:p w14:paraId="60F38573" w14:textId="77777777" w:rsidR="009864DB" w:rsidRPr="004D46AC" w:rsidRDefault="009864DB" w:rsidP="009864DB">
            <w:pPr>
              <w:spacing w:line="240" w:lineRule="auto"/>
              <w:ind w:firstLine="0"/>
            </w:pPr>
            <w:r w:rsidRPr="004D46AC">
              <w:t>39.31</w:t>
            </w:r>
          </w:p>
        </w:tc>
        <w:tc>
          <w:tcPr>
            <w:tcW w:w="1096" w:type="dxa"/>
            <w:vAlign w:val="center"/>
          </w:tcPr>
          <w:p w14:paraId="79538196" w14:textId="77777777" w:rsidR="009864DB" w:rsidRPr="004D46AC" w:rsidRDefault="009864DB" w:rsidP="009864DB">
            <w:pPr>
              <w:spacing w:line="240" w:lineRule="auto"/>
              <w:ind w:firstLine="0"/>
            </w:pPr>
            <w:r w:rsidRPr="004D46AC">
              <w:t>mixed</w:t>
            </w:r>
          </w:p>
        </w:tc>
        <w:tc>
          <w:tcPr>
            <w:tcW w:w="1415" w:type="dxa"/>
            <w:vAlign w:val="center"/>
          </w:tcPr>
          <w:p w14:paraId="139F5E84" w14:textId="77777777" w:rsidR="009864DB" w:rsidRPr="004D46AC" w:rsidRDefault="009864DB" w:rsidP="009864DB">
            <w:pPr>
              <w:spacing w:line="240" w:lineRule="auto"/>
              <w:ind w:firstLine="0"/>
            </w:pPr>
            <w:r w:rsidRPr="004D46AC">
              <w:t>unclear</w:t>
            </w:r>
          </w:p>
        </w:tc>
        <w:tc>
          <w:tcPr>
            <w:tcW w:w="876" w:type="dxa"/>
            <w:vAlign w:val="center"/>
          </w:tcPr>
          <w:p w14:paraId="63F9ADB7" w14:textId="77777777" w:rsidR="009864DB" w:rsidRPr="004D46AC" w:rsidRDefault="009864DB" w:rsidP="009864DB">
            <w:pPr>
              <w:spacing w:line="240" w:lineRule="auto"/>
              <w:ind w:firstLine="0"/>
            </w:pPr>
            <w:r w:rsidRPr="004D46AC">
              <w:t>116</w:t>
            </w:r>
          </w:p>
        </w:tc>
        <w:tc>
          <w:tcPr>
            <w:tcW w:w="986" w:type="dxa"/>
            <w:vAlign w:val="center"/>
          </w:tcPr>
          <w:p w14:paraId="7C8A356C" w14:textId="77777777" w:rsidR="009864DB" w:rsidRPr="004D46AC" w:rsidRDefault="009864DB" w:rsidP="009864DB">
            <w:pPr>
              <w:spacing w:line="240" w:lineRule="auto"/>
              <w:ind w:firstLine="0"/>
            </w:pPr>
            <w:r w:rsidRPr="004D46AC">
              <w:t>2</w:t>
            </w:r>
          </w:p>
        </w:tc>
        <w:tc>
          <w:tcPr>
            <w:tcW w:w="751" w:type="dxa"/>
            <w:vAlign w:val="center"/>
          </w:tcPr>
          <w:p w14:paraId="5D30584F" w14:textId="77777777" w:rsidR="009864DB" w:rsidRPr="004D46AC" w:rsidRDefault="009864DB" w:rsidP="009864DB">
            <w:pPr>
              <w:spacing w:line="240" w:lineRule="auto"/>
              <w:ind w:firstLine="0"/>
            </w:pPr>
            <w:r w:rsidRPr="004D46AC">
              <w:t>1</w:t>
            </w:r>
          </w:p>
        </w:tc>
        <w:tc>
          <w:tcPr>
            <w:tcW w:w="752" w:type="dxa"/>
            <w:vAlign w:val="center"/>
          </w:tcPr>
          <w:p w14:paraId="22B8B414" w14:textId="77777777" w:rsidR="009864DB" w:rsidRPr="004D46AC" w:rsidRDefault="009864DB" w:rsidP="009864DB">
            <w:pPr>
              <w:spacing w:line="240" w:lineRule="auto"/>
              <w:ind w:firstLine="0"/>
            </w:pPr>
            <w:r w:rsidRPr="004D46AC">
              <w:t>2</w:t>
            </w:r>
          </w:p>
        </w:tc>
        <w:tc>
          <w:tcPr>
            <w:tcW w:w="1296" w:type="dxa"/>
            <w:vAlign w:val="center"/>
          </w:tcPr>
          <w:p w14:paraId="22E133E4" w14:textId="77777777" w:rsidR="009864DB" w:rsidRPr="004D46AC" w:rsidRDefault="009864DB" w:rsidP="009864DB">
            <w:pPr>
              <w:spacing w:line="240" w:lineRule="auto"/>
              <w:ind w:firstLine="0"/>
            </w:pPr>
            <w:r w:rsidRPr="004D46AC">
              <w:t>31</w:t>
            </w:r>
          </w:p>
        </w:tc>
        <w:tc>
          <w:tcPr>
            <w:tcW w:w="752" w:type="dxa"/>
          </w:tcPr>
          <w:p w14:paraId="34907663" w14:textId="77777777" w:rsidR="009864DB" w:rsidRPr="004D46AC" w:rsidRDefault="009864DB" w:rsidP="009864DB">
            <w:pPr>
              <w:spacing w:line="240" w:lineRule="auto"/>
              <w:ind w:firstLine="0"/>
            </w:pPr>
            <w:r w:rsidRPr="004D46AC">
              <w:t>NA</w:t>
            </w:r>
          </w:p>
        </w:tc>
        <w:tc>
          <w:tcPr>
            <w:tcW w:w="789" w:type="dxa"/>
            <w:gridSpan w:val="2"/>
          </w:tcPr>
          <w:p w14:paraId="251A9586" w14:textId="77777777" w:rsidR="009864DB" w:rsidRPr="004D46AC" w:rsidRDefault="009864DB" w:rsidP="009864DB">
            <w:pPr>
              <w:spacing w:line="240" w:lineRule="auto"/>
              <w:ind w:firstLine="0"/>
            </w:pPr>
            <w:r w:rsidRPr="004D46AC">
              <w:t>NA</w:t>
            </w:r>
          </w:p>
        </w:tc>
      </w:tr>
      <w:tr w:rsidR="009864DB" w:rsidRPr="004D46AC" w14:paraId="451416AA" w14:textId="77777777" w:rsidTr="00B518F1">
        <w:tc>
          <w:tcPr>
            <w:tcW w:w="1476" w:type="dxa"/>
          </w:tcPr>
          <w:p w14:paraId="4365945B"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AuthorYear="1"&gt;&lt;Author&gt;Dhiman&lt;/Author&gt;&lt;Year&gt;2022&lt;/Year&gt;&lt;RecNum&gt;441&lt;/RecNum&gt;&lt;DisplayText&gt;Dhiman et al. (2022)&lt;/DisplayText&gt;&lt;record&gt;&lt;rec-number&gt;441&lt;/rec-number&gt;&lt;foreign-keys&gt;&lt;key app="EN" db-id="aet009sstawa0hewvt3xwf5atffdw2dt02sw" timestamp="1700327167"&gt;441&lt;/key&gt;&lt;/foreign-keys&gt;&lt;ref-type name="Journal Article"&gt;17&lt;/ref-type&gt;&lt;contributors&gt;&lt;authors&gt;&lt;author&gt;Dhiman, S.&lt;/author&gt;&lt;author&gt;Subodh, B. N.&lt;/author&gt;&lt;author&gt;Chakrabarti, S.&lt;/author&gt;&lt;/authors&gt;&lt;/contributors&gt;&lt;auth-address&gt;Department of Psychiatry, Institute of Human Behaviour and Allied Sciences, New Delhi, India.&amp;#xD;Department of Psychiatry, Post Graduate Institute of Medical Education and Research, Chandigarh, India.&lt;/auth-address&gt;&lt;titles&gt;&lt;title&gt;Course and outcome of bipolar I disorder among Indian patients: A retrospective life-chart study&lt;/title&gt;&lt;secondary-title&gt;Indian J Psychiatry&lt;/secondary-title&gt;&lt;/titles&gt;&lt;periodical&gt;&lt;full-title&gt;Indian J Psychiatry&lt;/full-title&gt;&lt;/periodical&gt;&lt;pages&gt;510-517&lt;/pages&gt;&lt;volume&gt;64&lt;/volume&gt;&lt;number&gt;5&lt;/number&gt;&lt;edition&gt;20221012&lt;/edition&gt;&lt;keywords&gt;&lt;keyword&gt;Bipolar disorder&lt;/keyword&gt;&lt;keyword&gt;India&lt;/keyword&gt;&lt;keyword&gt;course&lt;/keyword&gt;&lt;keyword&gt;disability&lt;/keyword&gt;&lt;keyword&gt;life events&lt;/keyword&gt;&lt;keyword&gt;suicide&lt;/keyword&gt;&lt;/keywords&gt;&lt;dates&gt;&lt;year&gt;2022&lt;/year&gt;&lt;pub-dates&gt;&lt;date&gt;Sep-Oct&lt;/date&gt;&lt;/pub-dates&gt;&lt;/dates&gt;&lt;isbn&gt;0019-5545 (Print)&amp;#xD;1998-3794 (Electronic)&amp;#xD;0019-5545 (Linking)&lt;/isbn&gt;&lt;accession-num&gt;36458085&lt;/accession-num&gt;&lt;urls&gt;&lt;related-urls&gt;&lt;url&gt;https://www.ncbi.nlm.nih.gov/pubmed/36458085&lt;/url&gt;&lt;/related-urls&gt;&lt;/urls&gt;&lt;custom1&gt;There are no conflicts of interest.&lt;/custom1&gt;&lt;custom2&gt;PMC9707670&lt;/custom2&gt;&lt;electronic-resource-num&gt;10.4103/indianjpsychiatry.indianjpsychiatry_129_21&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Dhiman et al. (2022)</w:t>
            </w:r>
            <w:r w:rsidRPr="004D46AC">
              <w:fldChar w:fldCharType="end"/>
            </w:r>
          </w:p>
        </w:tc>
        <w:tc>
          <w:tcPr>
            <w:tcW w:w="754" w:type="dxa"/>
            <w:vAlign w:val="center"/>
          </w:tcPr>
          <w:p w14:paraId="2AF93583" w14:textId="77777777" w:rsidR="009864DB" w:rsidRPr="004D46AC" w:rsidRDefault="009864DB" w:rsidP="009864DB">
            <w:pPr>
              <w:spacing w:line="240" w:lineRule="auto"/>
              <w:ind w:firstLine="0"/>
            </w:pPr>
            <w:r w:rsidRPr="004D46AC">
              <w:t>7</w:t>
            </w:r>
          </w:p>
        </w:tc>
        <w:tc>
          <w:tcPr>
            <w:tcW w:w="766" w:type="dxa"/>
            <w:vAlign w:val="center"/>
          </w:tcPr>
          <w:p w14:paraId="35869CE3" w14:textId="77777777" w:rsidR="009864DB" w:rsidRPr="004D46AC" w:rsidRDefault="009864DB" w:rsidP="009864DB">
            <w:pPr>
              <w:spacing w:line="240" w:lineRule="auto"/>
              <w:ind w:firstLine="0"/>
            </w:pPr>
            <w:r w:rsidRPr="004D46AC">
              <w:t>42.31</w:t>
            </w:r>
          </w:p>
        </w:tc>
        <w:tc>
          <w:tcPr>
            <w:tcW w:w="1096" w:type="dxa"/>
            <w:vAlign w:val="center"/>
          </w:tcPr>
          <w:p w14:paraId="083D7015" w14:textId="77777777" w:rsidR="009864DB" w:rsidRPr="004D46AC" w:rsidRDefault="009864DB" w:rsidP="009864DB">
            <w:pPr>
              <w:spacing w:line="240" w:lineRule="auto"/>
              <w:ind w:firstLine="0"/>
            </w:pPr>
            <w:r w:rsidRPr="004D46AC">
              <w:t>DSM4</w:t>
            </w:r>
          </w:p>
        </w:tc>
        <w:tc>
          <w:tcPr>
            <w:tcW w:w="1415" w:type="dxa"/>
            <w:vAlign w:val="center"/>
          </w:tcPr>
          <w:p w14:paraId="38019146" w14:textId="77777777" w:rsidR="009864DB" w:rsidRPr="004D46AC" w:rsidRDefault="009864DB" w:rsidP="009864DB">
            <w:pPr>
              <w:spacing w:line="240" w:lineRule="auto"/>
              <w:ind w:firstLine="0"/>
            </w:pPr>
            <w:r w:rsidRPr="004D46AC">
              <w:t>MINIPLUS</w:t>
            </w:r>
          </w:p>
        </w:tc>
        <w:tc>
          <w:tcPr>
            <w:tcW w:w="876" w:type="dxa"/>
            <w:vAlign w:val="center"/>
          </w:tcPr>
          <w:p w14:paraId="2F2EF463" w14:textId="77777777" w:rsidR="009864DB" w:rsidRPr="004D46AC" w:rsidRDefault="009864DB" w:rsidP="009864DB">
            <w:pPr>
              <w:spacing w:line="240" w:lineRule="auto"/>
              <w:ind w:firstLine="0"/>
            </w:pPr>
            <w:r w:rsidRPr="004D46AC">
              <w:t>200</w:t>
            </w:r>
          </w:p>
        </w:tc>
        <w:tc>
          <w:tcPr>
            <w:tcW w:w="986" w:type="dxa"/>
            <w:vAlign w:val="center"/>
          </w:tcPr>
          <w:p w14:paraId="37623828" w14:textId="77777777" w:rsidR="009864DB" w:rsidRPr="004D46AC" w:rsidRDefault="009864DB" w:rsidP="009864DB">
            <w:pPr>
              <w:spacing w:line="240" w:lineRule="auto"/>
              <w:ind w:firstLine="0"/>
            </w:pPr>
            <w:r w:rsidRPr="004D46AC">
              <w:t>2</w:t>
            </w:r>
          </w:p>
        </w:tc>
        <w:tc>
          <w:tcPr>
            <w:tcW w:w="751" w:type="dxa"/>
            <w:vAlign w:val="center"/>
          </w:tcPr>
          <w:p w14:paraId="4E11273A" w14:textId="77777777" w:rsidR="009864DB" w:rsidRPr="004D46AC" w:rsidRDefault="009864DB" w:rsidP="009864DB">
            <w:pPr>
              <w:spacing w:line="240" w:lineRule="auto"/>
              <w:ind w:firstLine="0"/>
            </w:pPr>
            <w:r w:rsidRPr="004D46AC">
              <w:t>2</w:t>
            </w:r>
          </w:p>
        </w:tc>
        <w:tc>
          <w:tcPr>
            <w:tcW w:w="752" w:type="dxa"/>
            <w:vAlign w:val="center"/>
          </w:tcPr>
          <w:p w14:paraId="031ACDF7" w14:textId="77777777" w:rsidR="009864DB" w:rsidRPr="004D46AC" w:rsidRDefault="009864DB" w:rsidP="009864DB">
            <w:pPr>
              <w:spacing w:line="240" w:lineRule="auto"/>
              <w:ind w:firstLine="0"/>
            </w:pPr>
            <w:r w:rsidRPr="004D46AC">
              <w:t>2</w:t>
            </w:r>
          </w:p>
        </w:tc>
        <w:tc>
          <w:tcPr>
            <w:tcW w:w="1296" w:type="dxa"/>
            <w:vAlign w:val="center"/>
          </w:tcPr>
          <w:p w14:paraId="365C33CE" w14:textId="77777777" w:rsidR="009864DB" w:rsidRPr="004D46AC" w:rsidRDefault="009864DB" w:rsidP="009864DB">
            <w:pPr>
              <w:spacing w:line="240" w:lineRule="auto"/>
              <w:ind w:firstLine="0"/>
            </w:pPr>
            <w:r w:rsidRPr="004D46AC">
              <w:t>97</w:t>
            </w:r>
          </w:p>
        </w:tc>
        <w:tc>
          <w:tcPr>
            <w:tcW w:w="752" w:type="dxa"/>
          </w:tcPr>
          <w:p w14:paraId="0A3C2CB9" w14:textId="77777777" w:rsidR="009864DB" w:rsidRPr="004D46AC" w:rsidRDefault="009864DB" w:rsidP="009864DB">
            <w:pPr>
              <w:spacing w:line="240" w:lineRule="auto"/>
              <w:ind w:firstLine="0"/>
            </w:pPr>
            <w:r w:rsidRPr="004D46AC">
              <w:t>NA</w:t>
            </w:r>
          </w:p>
        </w:tc>
        <w:tc>
          <w:tcPr>
            <w:tcW w:w="789" w:type="dxa"/>
            <w:gridSpan w:val="2"/>
          </w:tcPr>
          <w:p w14:paraId="418C793E" w14:textId="77777777" w:rsidR="009864DB" w:rsidRPr="004D46AC" w:rsidRDefault="009864DB" w:rsidP="009864DB">
            <w:pPr>
              <w:spacing w:line="240" w:lineRule="auto"/>
              <w:ind w:firstLine="0"/>
            </w:pPr>
            <w:r w:rsidRPr="004D46AC">
              <w:t>NA</w:t>
            </w:r>
          </w:p>
        </w:tc>
      </w:tr>
      <w:tr w:rsidR="009864DB" w:rsidRPr="004D46AC" w14:paraId="2BEF0528" w14:textId="77777777" w:rsidTr="00B518F1">
        <w:tc>
          <w:tcPr>
            <w:tcW w:w="1476" w:type="dxa"/>
          </w:tcPr>
          <w:p w14:paraId="2EB65B1D" w14:textId="77777777" w:rsidR="009864DB" w:rsidRPr="004D46AC" w:rsidRDefault="009864DB" w:rsidP="009864DB">
            <w:pPr>
              <w:spacing w:line="240" w:lineRule="auto"/>
              <w:ind w:firstLine="0"/>
            </w:pPr>
            <w:r w:rsidRPr="004D46AC">
              <w:fldChar w:fldCharType="begin">
                <w:fldData xml:space="preserve">PEVuZE5vdGU+PENpdGUgQXV0aG9yWWVhcj0iMSI+PEF1dGhvcj5GcmVkcmlrc2VuPC9BdXRob3I+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==
</w:fldData>
              </w:fldChar>
            </w:r>
            <w:r w:rsidRPr="004D46AC">
              <w:instrText xml:space="preserve"> ADDIN EN.CITE </w:instrText>
            </w:r>
            <w:r w:rsidRPr="004D46AC">
              <w:fldChar w:fldCharType="begin">
                <w:fldData xml:space="preserve">PEVuZE5vdGU+PENpdGUgQXV0aG9yWWVhcj0iMSI+PEF1dGhvcj5GcmVkcmlrc2VuPC9BdXRob3I+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==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Fredriksen et al. (2022)</w:t>
            </w:r>
            <w:r w:rsidRPr="004D46AC">
              <w:fldChar w:fldCharType="end"/>
            </w:r>
          </w:p>
        </w:tc>
        <w:tc>
          <w:tcPr>
            <w:tcW w:w="754" w:type="dxa"/>
            <w:vAlign w:val="center"/>
          </w:tcPr>
          <w:p w14:paraId="24D23BD5" w14:textId="77777777" w:rsidR="009864DB" w:rsidRPr="004D46AC" w:rsidRDefault="009864DB" w:rsidP="009864DB">
            <w:pPr>
              <w:spacing w:line="240" w:lineRule="auto"/>
              <w:ind w:firstLine="0"/>
            </w:pPr>
            <w:r w:rsidRPr="004D46AC">
              <w:t>8</w:t>
            </w:r>
          </w:p>
        </w:tc>
        <w:tc>
          <w:tcPr>
            <w:tcW w:w="766" w:type="dxa"/>
            <w:vAlign w:val="center"/>
          </w:tcPr>
          <w:p w14:paraId="304E1B1E" w14:textId="77777777" w:rsidR="009864DB" w:rsidRPr="004D46AC" w:rsidRDefault="009864DB" w:rsidP="009864DB">
            <w:pPr>
              <w:spacing w:line="240" w:lineRule="auto"/>
              <w:ind w:firstLine="0"/>
            </w:pPr>
            <w:r w:rsidRPr="004D46AC">
              <w:t>43.7</w:t>
            </w:r>
          </w:p>
        </w:tc>
        <w:tc>
          <w:tcPr>
            <w:tcW w:w="1096" w:type="dxa"/>
            <w:vAlign w:val="center"/>
          </w:tcPr>
          <w:p w14:paraId="3F732557" w14:textId="77777777" w:rsidR="009864DB" w:rsidRPr="004D46AC" w:rsidRDefault="009864DB" w:rsidP="009864DB">
            <w:pPr>
              <w:spacing w:line="240" w:lineRule="auto"/>
              <w:ind w:firstLine="0"/>
            </w:pPr>
            <w:r w:rsidRPr="004D46AC">
              <w:t>ICD10</w:t>
            </w:r>
          </w:p>
        </w:tc>
        <w:tc>
          <w:tcPr>
            <w:tcW w:w="1415" w:type="dxa"/>
            <w:vAlign w:val="center"/>
          </w:tcPr>
          <w:p w14:paraId="3F6C5379" w14:textId="77777777" w:rsidR="009864DB" w:rsidRPr="004D46AC" w:rsidRDefault="009864DB" w:rsidP="009864DB">
            <w:pPr>
              <w:spacing w:line="240" w:lineRule="auto"/>
              <w:ind w:firstLine="0"/>
            </w:pPr>
            <w:r w:rsidRPr="004D46AC">
              <w:t>unclear</w:t>
            </w:r>
          </w:p>
        </w:tc>
        <w:tc>
          <w:tcPr>
            <w:tcW w:w="876" w:type="dxa"/>
            <w:vAlign w:val="center"/>
          </w:tcPr>
          <w:p w14:paraId="39CB0CC5" w14:textId="77777777" w:rsidR="009864DB" w:rsidRPr="004D46AC" w:rsidRDefault="009864DB" w:rsidP="009864DB">
            <w:pPr>
              <w:spacing w:line="240" w:lineRule="auto"/>
              <w:ind w:firstLine="0"/>
            </w:pPr>
            <w:r w:rsidRPr="004D46AC">
              <w:t>226</w:t>
            </w:r>
          </w:p>
        </w:tc>
        <w:tc>
          <w:tcPr>
            <w:tcW w:w="986" w:type="dxa"/>
            <w:vAlign w:val="center"/>
          </w:tcPr>
          <w:p w14:paraId="3DB5A3CE" w14:textId="77777777" w:rsidR="009864DB" w:rsidRPr="004D46AC" w:rsidRDefault="009864DB" w:rsidP="009864DB">
            <w:pPr>
              <w:spacing w:line="240" w:lineRule="auto"/>
              <w:ind w:firstLine="0"/>
            </w:pPr>
            <w:r w:rsidRPr="004D46AC">
              <w:t>3</w:t>
            </w:r>
          </w:p>
        </w:tc>
        <w:tc>
          <w:tcPr>
            <w:tcW w:w="751" w:type="dxa"/>
            <w:vAlign w:val="center"/>
          </w:tcPr>
          <w:p w14:paraId="7C59DF30" w14:textId="77777777" w:rsidR="009864DB" w:rsidRPr="004D46AC" w:rsidRDefault="009864DB" w:rsidP="009864DB">
            <w:pPr>
              <w:spacing w:line="240" w:lineRule="auto"/>
              <w:ind w:firstLine="0"/>
            </w:pPr>
            <w:r w:rsidRPr="004D46AC">
              <w:t>1</w:t>
            </w:r>
          </w:p>
        </w:tc>
        <w:tc>
          <w:tcPr>
            <w:tcW w:w="752" w:type="dxa"/>
            <w:vAlign w:val="center"/>
          </w:tcPr>
          <w:p w14:paraId="1ED42DF9" w14:textId="77777777" w:rsidR="009864DB" w:rsidRPr="004D46AC" w:rsidRDefault="009864DB" w:rsidP="009864DB">
            <w:pPr>
              <w:spacing w:line="240" w:lineRule="auto"/>
              <w:ind w:firstLine="0"/>
            </w:pPr>
            <w:r w:rsidRPr="004D46AC">
              <w:t>0</w:t>
            </w:r>
          </w:p>
        </w:tc>
        <w:tc>
          <w:tcPr>
            <w:tcW w:w="1296" w:type="dxa"/>
          </w:tcPr>
          <w:p w14:paraId="4CF474E9" w14:textId="77777777" w:rsidR="009864DB" w:rsidRPr="004D46AC" w:rsidRDefault="009864DB" w:rsidP="009864DB">
            <w:pPr>
              <w:spacing w:line="240" w:lineRule="auto"/>
              <w:ind w:firstLine="0"/>
            </w:pPr>
            <w:r w:rsidRPr="004D46AC">
              <w:t>45</w:t>
            </w:r>
          </w:p>
        </w:tc>
        <w:tc>
          <w:tcPr>
            <w:tcW w:w="752" w:type="dxa"/>
          </w:tcPr>
          <w:p w14:paraId="5935E51C" w14:textId="77777777" w:rsidR="009864DB" w:rsidRPr="004D46AC" w:rsidRDefault="009864DB" w:rsidP="009864DB">
            <w:pPr>
              <w:spacing w:line="240" w:lineRule="auto"/>
              <w:ind w:firstLine="0"/>
            </w:pPr>
            <w:r w:rsidRPr="004D46AC">
              <w:t>NA</w:t>
            </w:r>
          </w:p>
        </w:tc>
        <w:tc>
          <w:tcPr>
            <w:tcW w:w="789" w:type="dxa"/>
            <w:gridSpan w:val="2"/>
          </w:tcPr>
          <w:p w14:paraId="03A3548B" w14:textId="77777777" w:rsidR="009864DB" w:rsidRPr="004D46AC" w:rsidRDefault="009864DB" w:rsidP="009864DB">
            <w:pPr>
              <w:spacing w:line="240" w:lineRule="auto"/>
              <w:ind w:firstLine="0"/>
            </w:pPr>
            <w:r w:rsidRPr="004D46AC">
              <w:t>NA</w:t>
            </w:r>
          </w:p>
        </w:tc>
      </w:tr>
      <w:tr w:rsidR="009864DB" w:rsidRPr="004D46AC" w14:paraId="6B73C26D" w14:textId="77777777" w:rsidTr="00B518F1">
        <w:tc>
          <w:tcPr>
            <w:tcW w:w="1476" w:type="dxa"/>
          </w:tcPr>
          <w:p w14:paraId="0BA58CE7" w14:textId="77777777" w:rsidR="009864DB" w:rsidRPr="004D46AC" w:rsidRDefault="009864DB" w:rsidP="009864DB">
            <w:pPr>
              <w:spacing w:line="240" w:lineRule="auto"/>
              <w:ind w:firstLine="0"/>
            </w:pPr>
            <w:r w:rsidRPr="004D46AC">
              <w:fldChar w:fldCharType="begin">
                <w:fldData xml:space="preserve">PEVuZE5vdGU+PENpdGUgQXV0aG9yWWVhcj0iMSI+PEF1dGhvcj5CdW9saTwvQXV0aG9yPjxZZWFy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PEVuZE5vdGU+PENpdGUgQXV0aG9yWWVhcj0iMSI+PEF1dGhvcj5CdW9saTwvQXV0aG9yPjxZZWFy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t>Buoli et al. (2022)</w:t>
            </w:r>
            <w:r w:rsidRPr="004D46AC">
              <w:fldChar w:fldCharType="end"/>
            </w:r>
          </w:p>
        </w:tc>
        <w:tc>
          <w:tcPr>
            <w:tcW w:w="754" w:type="dxa"/>
            <w:vAlign w:val="center"/>
          </w:tcPr>
          <w:p w14:paraId="691B2453" w14:textId="77777777" w:rsidR="009864DB" w:rsidRPr="004D46AC" w:rsidRDefault="009864DB" w:rsidP="009864DB">
            <w:pPr>
              <w:spacing w:line="240" w:lineRule="auto"/>
              <w:ind w:firstLine="0"/>
            </w:pPr>
            <w:r w:rsidRPr="004D46AC">
              <w:t>9</w:t>
            </w:r>
          </w:p>
        </w:tc>
        <w:tc>
          <w:tcPr>
            <w:tcW w:w="766" w:type="dxa"/>
            <w:vAlign w:val="center"/>
          </w:tcPr>
          <w:p w14:paraId="514D7D03" w14:textId="77777777" w:rsidR="009864DB" w:rsidRPr="004D46AC" w:rsidRDefault="009864DB" w:rsidP="009864DB">
            <w:pPr>
              <w:spacing w:line="240" w:lineRule="auto"/>
              <w:ind w:firstLine="0"/>
            </w:pPr>
            <w:r w:rsidRPr="004D46AC">
              <w:t>48.62</w:t>
            </w:r>
          </w:p>
        </w:tc>
        <w:tc>
          <w:tcPr>
            <w:tcW w:w="1096" w:type="dxa"/>
            <w:vAlign w:val="center"/>
          </w:tcPr>
          <w:p w14:paraId="24C1B568" w14:textId="77777777" w:rsidR="009864DB" w:rsidRPr="004D46AC" w:rsidRDefault="009864DB" w:rsidP="009864DB">
            <w:pPr>
              <w:spacing w:line="240" w:lineRule="auto"/>
              <w:ind w:firstLine="0"/>
            </w:pPr>
            <w:r w:rsidRPr="004D46AC">
              <w:t>DSM4TR</w:t>
            </w:r>
          </w:p>
        </w:tc>
        <w:tc>
          <w:tcPr>
            <w:tcW w:w="1415" w:type="dxa"/>
            <w:vAlign w:val="center"/>
          </w:tcPr>
          <w:p w14:paraId="36591E0A" w14:textId="77777777" w:rsidR="009864DB" w:rsidRPr="004D46AC" w:rsidRDefault="009864DB" w:rsidP="009864DB">
            <w:pPr>
              <w:spacing w:line="240" w:lineRule="auto"/>
              <w:ind w:firstLine="0"/>
            </w:pPr>
            <w:r w:rsidRPr="004D46AC">
              <w:t>MINI</w:t>
            </w:r>
          </w:p>
        </w:tc>
        <w:tc>
          <w:tcPr>
            <w:tcW w:w="876" w:type="dxa"/>
            <w:vAlign w:val="center"/>
          </w:tcPr>
          <w:p w14:paraId="13E23582" w14:textId="77777777" w:rsidR="009864DB" w:rsidRPr="004D46AC" w:rsidRDefault="009864DB" w:rsidP="009864DB">
            <w:pPr>
              <w:spacing w:line="240" w:lineRule="auto"/>
              <w:ind w:firstLine="0"/>
            </w:pPr>
            <w:r w:rsidRPr="004D46AC">
              <w:t>1673</w:t>
            </w:r>
          </w:p>
        </w:tc>
        <w:tc>
          <w:tcPr>
            <w:tcW w:w="986" w:type="dxa"/>
            <w:vAlign w:val="center"/>
          </w:tcPr>
          <w:p w14:paraId="682B87D4" w14:textId="77777777" w:rsidR="009864DB" w:rsidRPr="004D46AC" w:rsidRDefault="009864DB" w:rsidP="009864DB">
            <w:pPr>
              <w:spacing w:line="240" w:lineRule="auto"/>
              <w:ind w:firstLine="0"/>
            </w:pPr>
            <w:r w:rsidRPr="004D46AC">
              <w:t>2</w:t>
            </w:r>
          </w:p>
        </w:tc>
        <w:tc>
          <w:tcPr>
            <w:tcW w:w="751" w:type="dxa"/>
            <w:vAlign w:val="center"/>
          </w:tcPr>
          <w:p w14:paraId="6906B46B" w14:textId="77777777" w:rsidR="009864DB" w:rsidRPr="004D46AC" w:rsidRDefault="009864DB" w:rsidP="009864DB">
            <w:pPr>
              <w:spacing w:line="240" w:lineRule="auto"/>
              <w:ind w:firstLine="0"/>
            </w:pPr>
            <w:r w:rsidRPr="004D46AC">
              <w:t>1</w:t>
            </w:r>
          </w:p>
        </w:tc>
        <w:tc>
          <w:tcPr>
            <w:tcW w:w="752" w:type="dxa"/>
            <w:vAlign w:val="center"/>
          </w:tcPr>
          <w:p w14:paraId="414455FF" w14:textId="77777777" w:rsidR="009864DB" w:rsidRPr="004D46AC" w:rsidRDefault="009864DB" w:rsidP="009864DB">
            <w:pPr>
              <w:spacing w:line="240" w:lineRule="auto"/>
              <w:ind w:firstLine="0"/>
            </w:pPr>
            <w:r w:rsidRPr="004D46AC">
              <w:t>1</w:t>
            </w:r>
          </w:p>
        </w:tc>
        <w:tc>
          <w:tcPr>
            <w:tcW w:w="1296" w:type="dxa"/>
          </w:tcPr>
          <w:p w14:paraId="75A3EB67" w14:textId="77777777" w:rsidR="009864DB" w:rsidRPr="004D46AC" w:rsidRDefault="009864DB" w:rsidP="009864DB">
            <w:pPr>
              <w:spacing w:line="240" w:lineRule="auto"/>
              <w:ind w:firstLine="0"/>
            </w:pPr>
            <w:r w:rsidRPr="004D46AC">
              <w:t>407</w:t>
            </w:r>
            <w:r w:rsidRPr="004D46AC">
              <w:rPr>
                <w:rFonts w:hint="eastAsia"/>
              </w:rPr>
              <w:t>;</w:t>
            </w:r>
            <w:r w:rsidRPr="004D46AC">
              <w:t xml:space="preserve"> 780</w:t>
            </w:r>
          </w:p>
        </w:tc>
        <w:tc>
          <w:tcPr>
            <w:tcW w:w="752" w:type="dxa"/>
          </w:tcPr>
          <w:p w14:paraId="2C8AD178" w14:textId="77777777" w:rsidR="009864DB" w:rsidRPr="004D46AC" w:rsidRDefault="009864DB" w:rsidP="009864DB">
            <w:pPr>
              <w:spacing w:line="240" w:lineRule="auto"/>
              <w:ind w:firstLine="0"/>
            </w:pPr>
            <w:r w:rsidRPr="004D46AC">
              <w:t>NA</w:t>
            </w:r>
          </w:p>
        </w:tc>
        <w:tc>
          <w:tcPr>
            <w:tcW w:w="789" w:type="dxa"/>
            <w:gridSpan w:val="2"/>
          </w:tcPr>
          <w:p w14:paraId="6492B698" w14:textId="77777777" w:rsidR="009864DB" w:rsidRPr="004D46AC" w:rsidRDefault="009864DB" w:rsidP="009864DB">
            <w:pPr>
              <w:spacing w:line="240" w:lineRule="auto"/>
              <w:ind w:firstLine="0"/>
            </w:pPr>
            <w:r w:rsidRPr="004D46AC">
              <w:t>NA</w:t>
            </w:r>
          </w:p>
        </w:tc>
      </w:tr>
      <w:tr w:rsidR="009864DB" w:rsidRPr="004D46AC" w14:paraId="285CC78A" w14:textId="77777777" w:rsidTr="00B518F1">
        <w:tc>
          <w:tcPr>
            <w:tcW w:w="1476" w:type="dxa"/>
          </w:tcPr>
          <w:p w14:paraId="52F6CE4D"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AuthorYear="1"&gt;&lt;Author&gt;Cote-Allard&lt;/Author&gt;&lt;Year&gt;2022&lt;/Year&gt;&lt;RecNum&gt;448&lt;/RecNum&gt;&lt;DisplayText&gt;Cote-Allard et al. (2022)&lt;/DisplayText&gt;&lt;record&gt;&lt;rec-number&gt;448&lt;/rec-number&gt;&lt;foreign-keys&gt;&lt;key app="EN" db-id="aet009sstawa0hewvt3xwf5atffdw2dt02sw" timestamp="1700947099"&gt;448&lt;/key&gt;&lt;/foreign-keys&gt;&lt;ref-type name="Journal Article"&gt;17&lt;/ref-type&gt;&lt;contributors&gt;&lt;authors&gt;&lt;author&gt;Cote-Allard, Ulysse&lt;/author&gt;&lt;author&gt;Jakobsen, Petter&lt;/author&gt;&lt;author&gt;Stautland, Andrea&lt;/author&gt;&lt;author&gt;Nordgreen, Tine&lt;/author&gt;&lt;author&gt;Fasmer, Ole Bernt&lt;/author&gt;&lt;author&gt;Oedegaard, Ketil Joachim&lt;/author&gt;&lt;author&gt;Torresen, Jim&lt;/author&gt;&lt;/authors&gt;&lt;/contributors&gt;&lt;titles&gt;&lt;title&gt;Long–Short Ensemble Network for Bipolar Manic-Euthymic State Recognition Based on Wrist-Worn Sensors&lt;/title&gt;&lt;secondary-title&gt;IEEE Pervasive Computing&lt;/secondary-title&gt;&lt;/titles&gt;&lt;periodical&gt;&lt;full-title&gt;IEEE Pervasive Computing&lt;/full-title&gt;&lt;/periodical&gt;&lt;pages&gt;20-31&lt;/pages&gt;&lt;volume&gt;21&lt;/volume&gt;&lt;number&gt;2&lt;/number&gt;&lt;section&gt;20&lt;/section&gt;&lt;dates&gt;&lt;year&gt;2022&lt;/year&gt;&lt;/dates&gt;&lt;isbn&gt;1536-1268&amp;#xD;1558-2590&lt;/isbn&gt;&lt;urls&gt;&lt;/urls&gt;&lt;electronic-resource-num&gt;10.1109/mprv.2022.3155728&lt;/electronic-resource-num&gt;&lt;/record&gt;&lt;/Cite&gt;&lt;/EndNote&gt;</w:instrText>
            </w:r>
            <w:r w:rsidRPr="004D46AC">
              <w:fldChar w:fldCharType="separate"/>
            </w:r>
            <w:r w:rsidRPr="004D46AC">
              <w:t>Cote-Allard et al. (2022)</w:t>
            </w:r>
            <w:r w:rsidRPr="004D46AC">
              <w:fldChar w:fldCharType="end"/>
            </w:r>
          </w:p>
        </w:tc>
        <w:tc>
          <w:tcPr>
            <w:tcW w:w="754" w:type="dxa"/>
            <w:vAlign w:val="center"/>
          </w:tcPr>
          <w:p w14:paraId="61553FCE" w14:textId="77777777" w:rsidR="009864DB" w:rsidRPr="004D46AC" w:rsidRDefault="009864DB" w:rsidP="009864DB">
            <w:pPr>
              <w:spacing w:line="240" w:lineRule="auto"/>
              <w:ind w:firstLine="0"/>
            </w:pPr>
            <w:r w:rsidRPr="004D46AC">
              <w:t>7</w:t>
            </w:r>
          </w:p>
        </w:tc>
        <w:tc>
          <w:tcPr>
            <w:tcW w:w="766" w:type="dxa"/>
            <w:vAlign w:val="center"/>
          </w:tcPr>
          <w:p w14:paraId="1E7DA7E4" w14:textId="77777777" w:rsidR="009864DB" w:rsidRPr="004D46AC" w:rsidRDefault="009864DB" w:rsidP="009864DB">
            <w:pPr>
              <w:spacing w:line="240" w:lineRule="auto"/>
              <w:ind w:firstLine="0"/>
            </w:pPr>
            <w:r w:rsidRPr="004D46AC">
              <w:t>43.48</w:t>
            </w:r>
          </w:p>
        </w:tc>
        <w:tc>
          <w:tcPr>
            <w:tcW w:w="1096" w:type="dxa"/>
            <w:vAlign w:val="center"/>
          </w:tcPr>
          <w:p w14:paraId="559E9870" w14:textId="77777777" w:rsidR="009864DB" w:rsidRPr="004D46AC" w:rsidRDefault="009864DB" w:rsidP="009864DB">
            <w:pPr>
              <w:spacing w:line="240" w:lineRule="auto"/>
              <w:ind w:firstLine="0"/>
            </w:pPr>
            <w:r w:rsidRPr="004D46AC">
              <w:t>ICD10</w:t>
            </w:r>
          </w:p>
        </w:tc>
        <w:tc>
          <w:tcPr>
            <w:tcW w:w="1415" w:type="dxa"/>
            <w:vAlign w:val="center"/>
          </w:tcPr>
          <w:p w14:paraId="404AECE2" w14:textId="77777777" w:rsidR="009864DB" w:rsidRPr="004D46AC" w:rsidRDefault="009864DB" w:rsidP="009864DB">
            <w:pPr>
              <w:spacing w:line="240" w:lineRule="auto"/>
              <w:ind w:firstLine="0"/>
            </w:pPr>
            <w:r w:rsidRPr="004D46AC">
              <w:t>unclear</w:t>
            </w:r>
          </w:p>
        </w:tc>
        <w:tc>
          <w:tcPr>
            <w:tcW w:w="876" w:type="dxa"/>
            <w:vAlign w:val="center"/>
          </w:tcPr>
          <w:p w14:paraId="156E7F08" w14:textId="77777777" w:rsidR="009864DB" w:rsidRPr="004D46AC" w:rsidRDefault="009864DB" w:rsidP="009864DB">
            <w:pPr>
              <w:spacing w:line="240" w:lineRule="auto"/>
              <w:ind w:firstLine="0"/>
            </w:pPr>
            <w:r w:rsidRPr="004D46AC">
              <w:t>58</w:t>
            </w:r>
          </w:p>
        </w:tc>
        <w:tc>
          <w:tcPr>
            <w:tcW w:w="986" w:type="dxa"/>
            <w:vAlign w:val="center"/>
          </w:tcPr>
          <w:p w14:paraId="4B0C2315" w14:textId="77777777" w:rsidR="009864DB" w:rsidRPr="004D46AC" w:rsidRDefault="009864DB" w:rsidP="009864DB">
            <w:pPr>
              <w:spacing w:line="240" w:lineRule="auto"/>
              <w:ind w:firstLine="0"/>
            </w:pPr>
            <w:r w:rsidRPr="004D46AC">
              <w:t>2</w:t>
            </w:r>
          </w:p>
        </w:tc>
        <w:tc>
          <w:tcPr>
            <w:tcW w:w="751" w:type="dxa"/>
            <w:vAlign w:val="center"/>
          </w:tcPr>
          <w:p w14:paraId="2BAAB9EB" w14:textId="77777777" w:rsidR="009864DB" w:rsidRPr="004D46AC" w:rsidRDefault="009864DB" w:rsidP="009864DB">
            <w:pPr>
              <w:spacing w:line="240" w:lineRule="auto"/>
              <w:ind w:firstLine="0"/>
            </w:pPr>
            <w:r w:rsidRPr="004D46AC">
              <w:t>1</w:t>
            </w:r>
          </w:p>
        </w:tc>
        <w:tc>
          <w:tcPr>
            <w:tcW w:w="752" w:type="dxa"/>
            <w:vAlign w:val="center"/>
          </w:tcPr>
          <w:p w14:paraId="4FAB2551" w14:textId="77777777" w:rsidR="009864DB" w:rsidRPr="004D46AC" w:rsidRDefault="009864DB" w:rsidP="009864DB">
            <w:pPr>
              <w:spacing w:line="240" w:lineRule="auto"/>
              <w:ind w:firstLine="0"/>
            </w:pPr>
            <w:r w:rsidRPr="004D46AC">
              <w:t>0</w:t>
            </w:r>
          </w:p>
        </w:tc>
        <w:tc>
          <w:tcPr>
            <w:tcW w:w="1296" w:type="dxa"/>
          </w:tcPr>
          <w:p w14:paraId="73C3700F" w14:textId="77777777" w:rsidR="009864DB" w:rsidRPr="004D46AC" w:rsidRDefault="009864DB" w:rsidP="009864DB">
            <w:pPr>
              <w:spacing w:line="240" w:lineRule="auto"/>
              <w:ind w:firstLine="0"/>
            </w:pPr>
            <w:r w:rsidRPr="004D46AC">
              <w:t>17</w:t>
            </w:r>
          </w:p>
        </w:tc>
        <w:tc>
          <w:tcPr>
            <w:tcW w:w="752" w:type="dxa"/>
          </w:tcPr>
          <w:p w14:paraId="2BAEF546" w14:textId="77777777" w:rsidR="009864DB" w:rsidRPr="004D46AC" w:rsidRDefault="009864DB" w:rsidP="009864DB">
            <w:pPr>
              <w:spacing w:line="240" w:lineRule="auto"/>
              <w:ind w:firstLine="0"/>
            </w:pPr>
            <w:r w:rsidRPr="004D46AC">
              <w:t>NA</w:t>
            </w:r>
          </w:p>
        </w:tc>
        <w:tc>
          <w:tcPr>
            <w:tcW w:w="789" w:type="dxa"/>
            <w:gridSpan w:val="2"/>
          </w:tcPr>
          <w:p w14:paraId="720441CA" w14:textId="77777777" w:rsidR="009864DB" w:rsidRPr="004D46AC" w:rsidRDefault="009864DB" w:rsidP="009864DB">
            <w:pPr>
              <w:spacing w:line="240" w:lineRule="auto"/>
              <w:ind w:firstLine="0"/>
            </w:pPr>
            <w:r w:rsidRPr="004D46AC">
              <w:t>NA</w:t>
            </w:r>
          </w:p>
        </w:tc>
      </w:tr>
    </w:tbl>
    <w:p w14:paraId="0A5FB501" w14:textId="77777777" w:rsidR="009864DB" w:rsidRPr="004D46AC" w:rsidRDefault="009864DB" w:rsidP="009864DB">
      <w:pPr>
        <w:spacing w:line="240" w:lineRule="auto"/>
        <w:ind w:firstLine="0"/>
      </w:pPr>
      <w:r w:rsidRPr="004D46AC">
        <w:rPr>
          <w:rFonts w:hint="eastAsia"/>
        </w:rPr>
        <w:t xml:space="preserve"> </w:t>
      </w:r>
      <w:r w:rsidRPr="004D46AC">
        <w:t>Note: The JBI score denotes study quality based on the JBI checklist (range = 0–9). Pop indicates patient population (1 = outpatient, 2 = mixed, 3 = inpatient). Criteria specify the diagnostic criteria used; Assessment refers to the interview tools employed (see Table S6). BD represents bipolar disorder subtype (0 = BD II, 1 = BSD, 2 = BD I, 3 = psychotic BD). TF indicates timeframe (0 = current, 1 = both, 2 = lifetime). Co (n) denotes the number of patients with the specified condition. Co MC (n) and Co MIC (n) denote the numbers of patients with mood-congruent and mood-incongruent psychosis, respectively. NA or “Unclear” within cells indicates that the value was not reported.</w:t>
      </w:r>
    </w:p>
    <w:p w14:paraId="4BEDF06B" w14:textId="77777777" w:rsidR="007075D9" w:rsidRPr="004D46AC" w:rsidRDefault="007075D9" w:rsidP="00D41749">
      <w:pPr>
        <w:spacing w:line="240" w:lineRule="auto"/>
        <w:ind w:firstLine="0"/>
        <w:rPr>
          <w:rFonts w:eastAsiaTheme="minorEastAsia"/>
        </w:rPr>
      </w:pPr>
    </w:p>
    <w:p w14:paraId="12CA356B" w14:textId="77777777" w:rsidR="009864DB" w:rsidRPr="004D46AC" w:rsidRDefault="009864DB" w:rsidP="00D41749">
      <w:pPr>
        <w:spacing w:line="240" w:lineRule="auto"/>
        <w:ind w:firstLine="0"/>
        <w:rPr>
          <w:rFonts w:eastAsiaTheme="minorEastAsia"/>
        </w:rPr>
      </w:pPr>
    </w:p>
    <w:p w14:paraId="4D00D4E2" w14:textId="7401BC15" w:rsidR="009864DB" w:rsidRPr="004D46AC" w:rsidRDefault="009864DB" w:rsidP="00D41749">
      <w:pPr>
        <w:spacing w:line="240" w:lineRule="auto"/>
        <w:ind w:firstLine="0"/>
        <w:rPr>
          <w:rFonts w:eastAsiaTheme="minorEastAsia"/>
        </w:rPr>
      </w:pPr>
      <w:r w:rsidRPr="004D46AC">
        <w:rPr>
          <w:rFonts w:eastAsiaTheme="minorEastAsia"/>
        </w:rPr>
        <w:lastRenderedPageBreak/>
        <w:t>R</w:t>
      </w:r>
      <w:r w:rsidRPr="004D46AC">
        <w:rPr>
          <w:rFonts w:eastAsiaTheme="minorEastAsia" w:hint="eastAsia"/>
        </w:rPr>
        <w:t>eference:</w:t>
      </w:r>
    </w:p>
    <w:p w14:paraId="2BD6F1E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Abrams, R., &amp; Taylor, M. A. (1981). Importance of schizophrenic symptoms in the diagnosis of mania. Am J Psychiatry, 138(5), 658–661. https://doi.org/10.1176/ajp.138.5.658 </w:t>
      </w:r>
    </w:p>
    <w:p w14:paraId="700A970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Aedo, A., </w:t>
      </w:r>
      <w:proofErr w:type="spellStart"/>
      <w:r w:rsidRPr="004D46AC">
        <w:rPr>
          <w:rFonts w:eastAsiaTheme="minorEastAsia"/>
        </w:rPr>
        <w:t>Murru</w:t>
      </w:r>
      <w:proofErr w:type="spellEnd"/>
      <w:r w:rsidRPr="004D46AC">
        <w:rPr>
          <w:rFonts w:eastAsiaTheme="minorEastAsia"/>
        </w:rPr>
        <w:t xml:space="preserve">, A., Sanchez, R., Grande, I., Vieta, E., &amp; </w:t>
      </w:r>
      <w:proofErr w:type="spellStart"/>
      <w:r w:rsidRPr="004D46AC">
        <w:rPr>
          <w:rFonts w:eastAsiaTheme="minorEastAsia"/>
        </w:rPr>
        <w:t>Undurraga</w:t>
      </w:r>
      <w:proofErr w:type="spellEnd"/>
      <w:r w:rsidRPr="004D46AC">
        <w:rPr>
          <w:rFonts w:eastAsiaTheme="minorEastAsia"/>
        </w:rPr>
        <w:t xml:space="preserve">, J. (2018). Clinical characterization of rapid cycling bipolar disorder: Association with attention deficit hyperactivity disorder. J Affect </w:t>
      </w:r>
      <w:proofErr w:type="spellStart"/>
      <w:r w:rsidRPr="004D46AC">
        <w:rPr>
          <w:rFonts w:eastAsiaTheme="minorEastAsia"/>
        </w:rPr>
        <w:t>Disord</w:t>
      </w:r>
      <w:proofErr w:type="spellEnd"/>
      <w:r w:rsidRPr="004D46AC">
        <w:rPr>
          <w:rFonts w:eastAsiaTheme="minorEastAsia"/>
        </w:rPr>
        <w:t xml:space="preserve">, 240, 187–192. https://doi.org/10.1016/j.jad.2018.07.051 </w:t>
      </w:r>
    </w:p>
    <w:p w14:paraId="6152157B"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Akiskal</w:t>
      </w:r>
      <w:proofErr w:type="spellEnd"/>
      <w:r w:rsidRPr="004D46AC">
        <w:rPr>
          <w:rFonts w:eastAsiaTheme="minorEastAsia"/>
        </w:rPr>
        <w:t xml:space="preserve">, H. S., &amp; </w:t>
      </w:r>
      <w:proofErr w:type="spellStart"/>
      <w:r w:rsidRPr="004D46AC">
        <w:rPr>
          <w:rFonts w:eastAsiaTheme="minorEastAsia"/>
        </w:rPr>
        <w:t>Benazzi</w:t>
      </w:r>
      <w:proofErr w:type="spellEnd"/>
      <w:r w:rsidRPr="004D46AC">
        <w:rPr>
          <w:rFonts w:eastAsiaTheme="minorEastAsia"/>
        </w:rPr>
        <w:t xml:space="preserve">, F. (2005). Psychopathologic correlates of suicidal ideation in major depressive outpatients: is it all due to unrecognized (bipolar) depressive mixed states? Psychopathology, 38(5), 273–280. https://doi.org/10.1159/000088445 </w:t>
      </w:r>
    </w:p>
    <w:p w14:paraId="250EF36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Allardyce, J., Leonenko, G., </w:t>
      </w:r>
      <w:proofErr w:type="spellStart"/>
      <w:r w:rsidRPr="004D46AC">
        <w:rPr>
          <w:rFonts w:eastAsiaTheme="minorEastAsia"/>
        </w:rPr>
        <w:t>Hamshere</w:t>
      </w:r>
      <w:proofErr w:type="spellEnd"/>
      <w:r w:rsidRPr="004D46AC">
        <w:rPr>
          <w:rFonts w:eastAsiaTheme="minorEastAsia"/>
        </w:rPr>
        <w:t xml:space="preserve">, M., Pardinas, A. F., Forty, L., Knott, S., Gordon-Smith, K., Porteous, D. J., Haywood, C., Di Florio, A., Jones, L., McIntosh, A. M., Owen, M. J., </w:t>
      </w:r>
      <w:proofErr w:type="spellStart"/>
      <w:r w:rsidRPr="004D46AC">
        <w:rPr>
          <w:rFonts w:eastAsiaTheme="minorEastAsia"/>
        </w:rPr>
        <w:t>Holmans</w:t>
      </w:r>
      <w:proofErr w:type="spellEnd"/>
      <w:r w:rsidRPr="004D46AC">
        <w:rPr>
          <w:rFonts w:eastAsiaTheme="minorEastAsia"/>
        </w:rPr>
        <w:t xml:space="preserve">, P., Walters, J. T. R., Craddock, N., Jones, I., O'Donovan, M. C., &amp; Escott-Price, V. (2018). Association Between Schizophrenia-Related Polygenic Liability and the Occurrence and Level of Mood-Incongruent Psychotic Symptoms in Bipolar Disorder. JAMA Psychiatry, 75(1), 28–35. https://doi.org/10.1001/jamapsychiatry.2017.3485 </w:t>
      </w:r>
    </w:p>
    <w:p w14:paraId="499CFA4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Allen, D. N., Randall, C., Bello, D., Armstrong, C., Frantom, L., Cross, C., &amp; Kinney, J. (2010). Are working memory deficits in bipolar disorder markers for psychosis? Neuropsychology, 24(2), 244–254. https://doi.org/10.1037/a0018159 </w:t>
      </w:r>
    </w:p>
    <w:p w14:paraId="263A6EA7"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Altindag</w:t>
      </w:r>
      <w:proofErr w:type="spellEnd"/>
      <w:r w:rsidRPr="004D46AC">
        <w:rPr>
          <w:rFonts w:eastAsiaTheme="minorEastAsia"/>
        </w:rPr>
        <w:t xml:space="preserve">, A., Yanik, M., &amp; </w:t>
      </w:r>
      <w:proofErr w:type="spellStart"/>
      <w:r w:rsidRPr="004D46AC">
        <w:rPr>
          <w:rFonts w:eastAsiaTheme="minorEastAsia"/>
        </w:rPr>
        <w:t>Nebioglu</w:t>
      </w:r>
      <w:proofErr w:type="spellEnd"/>
      <w:r w:rsidRPr="004D46AC">
        <w:rPr>
          <w:rFonts w:eastAsiaTheme="minorEastAsia"/>
        </w:rPr>
        <w:t xml:space="preserve">, M. (2006). The comorbidity of anxiety disorders in bipolar I patients: prevalence and clinical correlates. </w:t>
      </w:r>
      <w:proofErr w:type="spellStart"/>
      <w:r w:rsidRPr="004D46AC">
        <w:rPr>
          <w:rFonts w:eastAsiaTheme="minorEastAsia"/>
        </w:rPr>
        <w:t>Isr</w:t>
      </w:r>
      <w:proofErr w:type="spellEnd"/>
      <w:r w:rsidRPr="004D46AC">
        <w:rPr>
          <w:rFonts w:eastAsiaTheme="minorEastAsia"/>
        </w:rPr>
        <w:t xml:space="preserve"> J Psychiatry </w:t>
      </w:r>
      <w:proofErr w:type="spellStart"/>
      <w:r w:rsidRPr="004D46AC">
        <w:rPr>
          <w:rFonts w:eastAsiaTheme="minorEastAsia"/>
        </w:rPr>
        <w:t>Relat</w:t>
      </w:r>
      <w:proofErr w:type="spellEnd"/>
      <w:r w:rsidRPr="004D46AC">
        <w:rPr>
          <w:rFonts w:eastAsiaTheme="minorEastAsia"/>
        </w:rPr>
        <w:t xml:space="preserve"> Sci, 43(1), 10–15. </w:t>
      </w:r>
    </w:p>
    <w:p w14:paraId="2AB3D5FC"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Ancin</w:t>
      </w:r>
      <w:proofErr w:type="spellEnd"/>
      <w:r w:rsidRPr="004D46AC">
        <w:rPr>
          <w:rFonts w:eastAsiaTheme="minorEastAsia"/>
        </w:rPr>
        <w:t xml:space="preserve">, I., Cabranes, J. A., Santos, J. L., Sanchez-Morla, E., &amp; Barabash, A. (2013). Executive deficits: a continuum schizophrenia-bipolar disorder or specific to schizophrenia? J </w:t>
      </w:r>
      <w:proofErr w:type="spellStart"/>
      <w:r w:rsidRPr="004D46AC">
        <w:rPr>
          <w:rFonts w:eastAsiaTheme="minorEastAsia"/>
        </w:rPr>
        <w:t>Psychiatr</w:t>
      </w:r>
      <w:proofErr w:type="spellEnd"/>
      <w:r w:rsidRPr="004D46AC">
        <w:rPr>
          <w:rFonts w:eastAsiaTheme="minorEastAsia"/>
        </w:rPr>
        <w:t xml:space="preserve"> Res, 47(11), 1564–1571. https://doi.org/10.1016/j.jpsychires.2013.07.008 </w:t>
      </w:r>
    </w:p>
    <w:p w14:paraId="5024EBC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Andrade-Nascimento, M., Miranda-Scippa, A., Nery-Fernandes, F., Kapczinski, F., &amp; </w:t>
      </w:r>
      <w:proofErr w:type="spellStart"/>
      <w:r w:rsidRPr="004D46AC">
        <w:rPr>
          <w:rFonts w:eastAsiaTheme="minorEastAsia"/>
        </w:rPr>
        <w:t>Quarantini</w:t>
      </w:r>
      <w:proofErr w:type="spellEnd"/>
      <w:r w:rsidRPr="004D46AC">
        <w:rPr>
          <w:rFonts w:eastAsiaTheme="minorEastAsia"/>
        </w:rPr>
        <w:t xml:space="preserve">, L. C. (2011). The identification of unipolar mania subtype based on anxiety comorbidity. J Affect </w:t>
      </w:r>
      <w:proofErr w:type="spellStart"/>
      <w:r w:rsidRPr="004D46AC">
        <w:rPr>
          <w:rFonts w:eastAsiaTheme="minorEastAsia"/>
        </w:rPr>
        <w:t>Disord</w:t>
      </w:r>
      <w:proofErr w:type="spellEnd"/>
      <w:r w:rsidRPr="004D46AC">
        <w:rPr>
          <w:rFonts w:eastAsiaTheme="minorEastAsia"/>
        </w:rPr>
        <w:t xml:space="preserve">, 132(3), 356–359. https://doi.org/10.1016/j.jad.2011.03.005 </w:t>
      </w:r>
    </w:p>
    <w:p w14:paraId="33770DB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Angst, J., Gerber-Werder, R., Zuberbuhler, H. U., &amp; Gamma, A. (2004). Is bipolar I disorder heterogeneous?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xml:space="preserve">, 254(2), 82–91. https://doi.org/10.1007/s00406-004-0501-6 </w:t>
      </w:r>
    </w:p>
    <w:p w14:paraId="7955CAB7"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Anticevic</w:t>
      </w:r>
      <w:proofErr w:type="spellEnd"/>
      <w:r w:rsidRPr="004D46AC">
        <w:rPr>
          <w:rFonts w:eastAsiaTheme="minorEastAsia"/>
        </w:rPr>
        <w:t xml:space="preserve">, A., Brumbaugh, M. S., Winkler, A. M., Lombardo, L. E., Barrett, J., Corlett, P. R., Kober, H., Gruber, J., </w:t>
      </w:r>
      <w:proofErr w:type="spellStart"/>
      <w:r w:rsidRPr="004D46AC">
        <w:rPr>
          <w:rFonts w:eastAsiaTheme="minorEastAsia"/>
        </w:rPr>
        <w:t>Repovs</w:t>
      </w:r>
      <w:proofErr w:type="spellEnd"/>
      <w:r w:rsidRPr="004D46AC">
        <w:rPr>
          <w:rFonts w:eastAsiaTheme="minorEastAsia"/>
        </w:rPr>
        <w:t xml:space="preserve">, G., Cole, M. W., Krystal, J. H., Pearlson, G. D., &amp; Glahn, D. C. (2013). Global prefrontal and </w:t>
      </w:r>
      <w:proofErr w:type="spellStart"/>
      <w:r w:rsidRPr="004D46AC">
        <w:rPr>
          <w:rFonts w:eastAsiaTheme="minorEastAsia"/>
        </w:rPr>
        <w:t>fronto</w:t>
      </w:r>
      <w:proofErr w:type="spellEnd"/>
      <w:r w:rsidRPr="004D46AC">
        <w:rPr>
          <w:rFonts w:eastAsiaTheme="minorEastAsia"/>
        </w:rPr>
        <w:t xml:space="preserve">-amygdala dysconnectivity in bipolar I disorder with psychosis history. </w:t>
      </w:r>
      <w:proofErr w:type="spellStart"/>
      <w:r w:rsidRPr="004D46AC">
        <w:rPr>
          <w:rFonts w:eastAsiaTheme="minorEastAsia"/>
        </w:rPr>
        <w:t>Biol</w:t>
      </w:r>
      <w:proofErr w:type="spellEnd"/>
      <w:r w:rsidRPr="004D46AC">
        <w:rPr>
          <w:rFonts w:eastAsiaTheme="minorEastAsia"/>
        </w:rPr>
        <w:t xml:space="preserve"> Psychiatry, 73(6), 565–573. https://doi.org/10.1016/j.biopsych.2012.07.031 </w:t>
      </w:r>
    </w:p>
    <w:p w14:paraId="6B4ED93F"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Anyayo</w:t>
      </w:r>
      <w:proofErr w:type="spellEnd"/>
      <w:r w:rsidRPr="004D46AC">
        <w:rPr>
          <w:rFonts w:eastAsiaTheme="minorEastAsia"/>
        </w:rPr>
        <w:t>, L., Ashaba, S., Kaggwa, M. M., Maling, S., &amp; Nakimuli-</w:t>
      </w:r>
      <w:proofErr w:type="spellStart"/>
      <w:r w:rsidRPr="004D46AC">
        <w:rPr>
          <w:rFonts w:eastAsiaTheme="minorEastAsia"/>
        </w:rPr>
        <w:t>Mpungu</w:t>
      </w:r>
      <w:proofErr w:type="spellEnd"/>
      <w:r w:rsidRPr="004D46AC">
        <w:rPr>
          <w:rFonts w:eastAsiaTheme="minorEastAsia"/>
        </w:rPr>
        <w:t xml:space="preserve">, E. (2021). Health-related quality of life among patients with bipolar disorder in rural southwestern Uganda: a hospital based cross sectional study. Health Qual Life Outcomes, 19(1), 84. https://doi.org/10.1186/s12955-021-01729-5 </w:t>
      </w:r>
    </w:p>
    <w:p w14:paraId="4AF12F0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Asaad, T., Okasha, T., Ramy, H., Fekry, M., Zaki, N., Azzam, H., Rabie, M. A., </w:t>
      </w:r>
      <w:proofErr w:type="spellStart"/>
      <w:r w:rsidRPr="004D46AC">
        <w:rPr>
          <w:rFonts w:eastAsiaTheme="minorEastAsia"/>
        </w:rPr>
        <w:t>Elghoneimy</w:t>
      </w:r>
      <w:proofErr w:type="spellEnd"/>
      <w:r w:rsidRPr="004D46AC">
        <w:rPr>
          <w:rFonts w:eastAsiaTheme="minorEastAsia"/>
        </w:rPr>
        <w:t xml:space="preserve">, S., Sultan, M., Hamed, H., Refaat, O., </w:t>
      </w:r>
      <w:proofErr w:type="spellStart"/>
      <w:r w:rsidRPr="004D46AC">
        <w:rPr>
          <w:rFonts w:eastAsiaTheme="minorEastAsia"/>
        </w:rPr>
        <w:t>Shorab</w:t>
      </w:r>
      <w:proofErr w:type="spellEnd"/>
      <w:r w:rsidRPr="004D46AC">
        <w:rPr>
          <w:rFonts w:eastAsiaTheme="minorEastAsia"/>
        </w:rPr>
        <w:t xml:space="preserve">, I., </w:t>
      </w:r>
      <w:proofErr w:type="spellStart"/>
      <w:r w:rsidRPr="004D46AC">
        <w:rPr>
          <w:rFonts w:eastAsiaTheme="minorEastAsia"/>
        </w:rPr>
        <w:t>Elhabiby</w:t>
      </w:r>
      <w:proofErr w:type="spellEnd"/>
      <w:r w:rsidRPr="004D46AC">
        <w:rPr>
          <w:rFonts w:eastAsiaTheme="minorEastAsia"/>
        </w:rPr>
        <w:t xml:space="preserve">, M., </w:t>
      </w:r>
      <w:proofErr w:type="spellStart"/>
      <w:r w:rsidRPr="004D46AC">
        <w:rPr>
          <w:rFonts w:eastAsiaTheme="minorEastAsia"/>
        </w:rPr>
        <w:t>Elgweily</w:t>
      </w:r>
      <w:proofErr w:type="spellEnd"/>
      <w:r w:rsidRPr="004D46AC">
        <w:rPr>
          <w:rFonts w:eastAsiaTheme="minorEastAsia"/>
        </w:rPr>
        <w:t xml:space="preserve">, T., </w:t>
      </w:r>
      <w:proofErr w:type="spellStart"/>
      <w:r w:rsidRPr="004D46AC">
        <w:rPr>
          <w:rFonts w:eastAsiaTheme="minorEastAsia"/>
        </w:rPr>
        <w:t>ElShinnawy</w:t>
      </w:r>
      <w:proofErr w:type="spellEnd"/>
      <w:r w:rsidRPr="004D46AC">
        <w:rPr>
          <w:rFonts w:eastAsiaTheme="minorEastAsia"/>
        </w:rPr>
        <w:t xml:space="preserve">, H., Nasr, M., Fathy, H., Meguid, M. A., Nader, D.,…Ahmed, S. (2014). Correlates of psychiatric co-morbidity in a sample of Egyptian patients with bipolar disorder. J Affect </w:t>
      </w:r>
      <w:proofErr w:type="spellStart"/>
      <w:r w:rsidRPr="004D46AC">
        <w:rPr>
          <w:rFonts w:eastAsiaTheme="minorEastAsia"/>
        </w:rPr>
        <w:t>Disord</w:t>
      </w:r>
      <w:proofErr w:type="spellEnd"/>
      <w:r w:rsidRPr="004D46AC">
        <w:rPr>
          <w:rFonts w:eastAsiaTheme="minorEastAsia"/>
        </w:rPr>
        <w:t xml:space="preserve">, 166, 347–352. https://doi.org/10.1016/j.jad.2014.04.050 </w:t>
      </w:r>
    </w:p>
    <w:p w14:paraId="21A559F0"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Azorin</w:t>
      </w:r>
      <w:proofErr w:type="spellEnd"/>
      <w:r w:rsidRPr="004D46AC">
        <w:rPr>
          <w:rFonts w:eastAsiaTheme="minorEastAsia"/>
        </w:rPr>
        <w:t xml:space="preserve">, J. M., Adida, M., &amp; </w:t>
      </w:r>
      <w:proofErr w:type="spellStart"/>
      <w:r w:rsidRPr="004D46AC">
        <w:rPr>
          <w:rFonts w:eastAsiaTheme="minorEastAsia"/>
        </w:rPr>
        <w:t>Belzeaux</w:t>
      </w:r>
      <w:proofErr w:type="spellEnd"/>
      <w:r w:rsidRPr="004D46AC">
        <w:rPr>
          <w:rFonts w:eastAsiaTheme="minorEastAsia"/>
        </w:rPr>
        <w:t xml:space="preserve">, R. (2015). Predominant polarity in bipolar disorders: Further evidence for the role of affective temperaments. J Affect </w:t>
      </w:r>
      <w:proofErr w:type="spellStart"/>
      <w:r w:rsidRPr="004D46AC">
        <w:rPr>
          <w:rFonts w:eastAsiaTheme="minorEastAsia"/>
        </w:rPr>
        <w:t>Disord</w:t>
      </w:r>
      <w:proofErr w:type="spellEnd"/>
      <w:r w:rsidRPr="004D46AC">
        <w:rPr>
          <w:rFonts w:eastAsiaTheme="minorEastAsia"/>
        </w:rPr>
        <w:t xml:space="preserve">, 182, 57–63. https://doi.org/10.1016/j.jad.2015.04.037 </w:t>
      </w:r>
    </w:p>
    <w:p w14:paraId="5F78097A"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Azorin</w:t>
      </w:r>
      <w:proofErr w:type="spellEnd"/>
      <w:r w:rsidRPr="004D46AC">
        <w:rPr>
          <w:rFonts w:eastAsiaTheme="minorEastAsia"/>
        </w:rPr>
        <w:t xml:space="preserve">, J. M., </w:t>
      </w:r>
      <w:proofErr w:type="spellStart"/>
      <w:r w:rsidRPr="004D46AC">
        <w:rPr>
          <w:rFonts w:eastAsiaTheme="minorEastAsia"/>
        </w:rPr>
        <w:t>Belzeaux</w:t>
      </w:r>
      <w:proofErr w:type="spellEnd"/>
      <w:r w:rsidRPr="004D46AC">
        <w:rPr>
          <w:rFonts w:eastAsiaTheme="minorEastAsia"/>
        </w:rPr>
        <w:t xml:space="preserve">, R., Kaladjian, A., Adida, M., Hantouche, E., </w:t>
      </w:r>
      <w:proofErr w:type="spellStart"/>
      <w:r w:rsidRPr="004D46AC">
        <w:rPr>
          <w:rFonts w:eastAsiaTheme="minorEastAsia"/>
        </w:rPr>
        <w:t>Lancrenon</w:t>
      </w:r>
      <w:proofErr w:type="spellEnd"/>
      <w:r w:rsidRPr="004D46AC">
        <w:rPr>
          <w:rFonts w:eastAsiaTheme="minorEastAsia"/>
        </w:rPr>
        <w:t xml:space="preserve">, S., &amp; </w:t>
      </w:r>
      <w:proofErr w:type="spellStart"/>
      <w:r w:rsidRPr="004D46AC">
        <w:rPr>
          <w:rFonts w:eastAsiaTheme="minorEastAsia"/>
        </w:rPr>
        <w:t>Fakra</w:t>
      </w:r>
      <w:proofErr w:type="spellEnd"/>
      <w:r w:rsidRPr="004D46AC">
        <w:rPr>
          <w:rFonts w:eastAsiaTheme="minorEastAsia"/>
        </w:rPr>
        <w:t xml:space="preserve">, E. (2013). Risks associated with gender differences in bipolar I disorder. J Affect </w:t>
      </w:r>
      <w:proofErr w:type="spellStart"/>
      <w:r w:rsidRPr="004D46AC">
        <w:rPr>
          <w:rFonts w:eastAsiaTheme="minorEastAsia"/>
        </w:rPr>
        <w:t>Disord</w:t>
      </w:r>
      <w:proofErr w:type="spellEnd"/>
      <w:r w:rsidRPr="004D46AC">
        <w:rPr>
          <w:rFonts w:eastAsiaTheme="minorEastAsia"/>
        </w:rPr>
        <w:t xml:space="preserve">, 151(3), 1033–1040. https://doi.org/10.1016/j.jad.2013.08.031 </w:t>
      </w:r>
    </w:p>
    <w:p w14:paraId="1B107D7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Baek, J. H., Park, D. Y., Choi, J., Kim, J. S., Choi, J. S., Ha, K., Kwon, J. S., Lee, D., &amp; Hong, K. S. (2011). Differences between bipolar I and bipolar II disorders in clinical features, </w:t>
      </w:r>
      <w:r w:rsidRPr="004D46AC">
        <w:rPr>
          <w:rFonts w:eastAsiaTheme="minorEastAsia"/>
        </w:rPr>
        <w:lastRenderedPageBreak/>
        <w:t xml:space="preserve">comorbidity, and family history. J Affect </w:t>
      </w:r>
      <w:proofErr w:type="spellStart"/>
      <w:r w:rsidRPr="004D46AC">
        <w:rPr>
          <w:rFonts w:eastAsiaTheme="minorEastAsia"/>
        </w:rPr>
        <w:t>Disord</w:t>
      </w:r>
      <w:proofErr w:type="spellEnd"/>
      <w:r w:rsidRPr="004D46AC">
        <w:rPr>
          <w:rFonts w:eastAsiaTheme="minorEastAsia"/>
        </w:rPr>
        <w:t xml:space="preserve">, 131(1-3), 59–67. https://doi.org/10.1016/j.jad.2010.11.020 </w:t>
      </w:r>
    </w:p>
    <w:p w14:paraId="62AAFB0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Ballester, J., Goldstein, B., Goldstein, T. R., Yu, H., Axelson, D., Monk, K., Hickey, M. B., </w:t>
      </w:r>
      <w:proofErr w:type="spellStart"/>
      <w:r w:rsidRPr="004D46AC">
        <w:rPr>
          <w:rFonts w:eastAsiaTheme="minorEastAsia"/>
        </w:rPr>
        <w:t>Diler</w:t>
      </w:r>
      <w:proofErr w:type="spellEnd"/>
      <w:r w:rsidRPr="004D46AC">
        <w:rPr>
          <w:rFonts w:eastAsiaTheme="minorEastAsia"/>
        </w:rPr>
        <w:t xml:space="preserve">, R. S., Sakolsky, D. J., Sparks, G., Iyengar, S., Kupfer, D. J., Brent, D. A., &amp; </w:t>
      </w:r>
      <w:proofErr w:type="spellStart"/>
      <w:r w:rsidRPr="004D46AC">
        <w:rPr>
          <w:rFonts w:eastAsiaTheme="minorEastAsia"/>
        </w:rPr>
        <w:t>Birmaher</w:t>
      </w:r>
      <w:proofErr w:type="spellEnd"/>
      <w:r w:rsidRPr="004D46AC">
        <w:rPr>
          <w:rFonts w:eastAsiaTheme="minorEastAsia"/>
        </w:rPr>
        <w:t xml:space="preserve">, B. (2014). Prospective longitudinal course of aggression among adults with bipolar disorder. Bipolar </w:t>
      </w:r>
      <w:proofErr w:type="spellStart"/>
      <w:r w:rsidRPr="004D46AC">
        <w:rPr>
          <w:rFonts w:eastAsiaTheme="minorEastAsia"/>
        </w:rPr>
        <w:t>Disord</w:t>
      </w:r>
      <w:proofErr w:type="spellEnd"/>
      <w:r w:rsidRPr="004D46AC">
        <w:rPr>
          <w:rFonts w:eastAsiaTheme="minorEastAsia"/>
        </w:rPr>
        <w:t xml:space="preserve">, 16(3), 262–269. https://doi.org/10.1111/bdi.12168 </w:t>
      </w:r>
    </w:p>
    <w:p w14:paraId="546D147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Barata, P. C., Godinho, F., Guedes, R., Silva, L., Oliveira, P., Serrano, R., Oliveira, C. F., Pereira, M. E., Martins, B., Araujo, R., Borja-Santos, J. N., &amp; Maia, T. (2020). Bipolar disorder diagnostic stability: a Portuguese multicentric study. Psychiatry Res, 291, 113255. https://doi.org/10.1016/j.psychres.2020.113255 </w:t>
      </w:r>
    </w:p>
    <w:p w14:paraId="77B7A3D2"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Basterreche</w:t>
      </w:r>
      <w:proofErr w:type="spellEnd"/>
      <w:r w:rsidRPr="004D46AC">
        <w:rPr>
          <w:rFonts w:eastAsiaTheme="minorEastAsia"/>
        </w:rPr>
        <w:t xml:space="preserve">, N., Davila, R., Zumarraga, M., Arrue, A., Gonzalez-Torres, M. A., </w:t>
      </w:r>
      <w:proofErr w:type="spellStart"/>
      <w:r w:rsidRPr="004D46AC">
        <w:rPr>
          <w:rFonts w:eastAsiaTheme="minorEastAsia"/>
        </w:rPr>
        <w:t>Zamalloa</w:t>
      </w:r>
      <w:proofErr w:type="spellEnd"/>
      <w:r w:rsidRPr="004D46AC">
        <w:rPr>
          <w:rFonts w:eastAsiaTheme="minorEastAsia"/>
        </w:rPr>
        <w:t xml:space="preserve">, M. I., Anguiano, J. B., &amp; </w:t>
      </w:r>
      <w:proofErr w:type="spellStart"/>
      <w:r w:rsidRPr="004D46AC">
        <w:rPr>
          <w:rFonts w:eastAsiaTheme="minorEastAsia"/>
        </w:rPr>
        <w:t>Guimon</w:t>
      </w:r>
      <w:proofErr w:type="spellEnd"/>
      <w:r w:rsidRPr="004D46AC">
        <w:rPr>
          <w:rFonts w:eastAsiaTheme="minorEastAsia"/>
        </w:rPr>
        <w:t xml:space="preserve">, J. (2008). Biological correlates of the congruence and incongruence of psychotic symptoms in patients with type 1 bipolar disorder. </w:t>
      </w:r>
      <w:proofErr w:type="spellStart"/>
      <w:r w:rsidRPr="004D46AC">
        <w:rPr>
          <w:rFonts w:eastAsiaTheme="minorEastAsia"/>
        </w:rPr>
        <w:t>Neuropsychobiology</w:t>
      </w:r>
      <w:proofErr w:type="spellEnd"/>
      <w:r w:rsidRPr="004D46AC">
        <w:rPr>
          <w:rFonts w:eastAsiaTheme="minorEastAsia"/>
        </w:rPr>
        <w:t xml:space="preserve">, 58(3-4), 111–117. https://doi.org/10.1159/000170391 </w:t>
      </w:r>
    </w:p>
    <w:p w14:paraId="5B14BA21"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Bauer, M. S., Calabrese, J., Dunner, D. L., Post, R., Whybrow, P. C., Gyulai, L., Tay, L. K., Younkin, S. R., Bynum, D., </w:t>
      </w:r>
      <w:proofErr w:type="spellStart"/>
      <w:r w:rsidRPr="004D46AC">
        <w:rPr>
          <w:rFonts w:eastAsiaTheme="minorEastAsia"/>
        </w:rPr>
        <w:t>Lavori</w:t>
      </w:r>
      <w:proofErr w:type="spellEnd"/>
      <w:r w:rsidRPr="004D46AC">
        <w:rPr>
          <w:rFonts w:eastAsiaTheme="minorEastAsia"/>
        </w:rPr>
        <w:t xml:space="preserve">, P., &amp; et al. (1994). Multisite data reanalysis of the validity of rapid cycling as a course modifier for bipolar disorder in DSM-IV. Am J Psychiatry, 151(4), 506–515. https://doi.org/10.1176/ajp.151.4.506 </w:t>
      </w:r>
    </w:p>
    <w:p w14:paraId="4535742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Bauer, M. S., Shea, N., McBride, L., &amp; Gavin, C. (1997). Predictors of service utilization in veterans with bipolar disorder: a prospective study. J Affect </w:t>
      </w:r>
      <w:proofErr w:type="spellStart"/>
      <w:r w:rsidRPr="004D46AC">
        <w:rPr>
          <w:rFonts w:eastAsiaTheme="minorEastAsia"/>
        </w:rPr>
        <w:t>Disord</w:t>
      </w:r>
      <w:proofErr w:type="spellEnd"/>
      <w:r w:rsidRPr="004D46AC">
        <w:rPr>
          <w:rFonts w:eastAsiaTheme="minorEastAsia"/>
        </w:rPr>
        <w:t xml:space="preserve">, 44(2-3), 159–168. https://doi.org/10.1016/s0165-0327(97)00046-3 </w:t>
      </w:r>
    </w:p>
    <w:p w14:paraId="2EB5F92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Belete, H., Mulat, H., Fanta, T., Yimer, S., </w:t>
      </w:r>
      <w:proofErr w:type="spellStart"/>
      <w:r w:rsidRPr="004D46AC">
        <w:rPr>
          <w:rFonts w:eastAsiaTheme="minorEastAsia"/>
        </w:rPr>
        <w:t>Shimelash</w:t>
      </w:r>
      <w:proofErr w:type="spellEnd"/>
      <w:r w:rsidRPr="004D46AC">
        <w:rPr>
          <w:rFonts w:eastAsiaTheme="minorEastAsia"/>
        </w:rPr>
        <w:t xml:space="preserve">, T., Ali, T., &amp; </w:t>
      </w:r>
      <w:proofErr w:type="spellStart"/>
      <w:r w:rsidRPr="004D46AC">
        <w:rPr>
          <w:rFonts w:eastAsiaTheme="minorEastAsia"/>
        </w:rPr>
        <w:t>Tewabe</w:t>
      </w:r>
      <w:proofErr w:type="spellEnd"/>
      <w:r w:rsidRPr="004D46AC">
        <w:rPr>
          <w:rFonts w:eastAsiaTheme="minorEastAsia"/>
        </w:rPr>
        <w:t xml:space="preserve">, T. (2016). Magnitude and associated factors of aggressive behaviour among patients with bipolar disorder at </w:t>
      </w:r>
      <w:proofErr w:type="spellStart"/>
      <w:r w:rsidRPr="004D46AC">
        <w:rPr>
          <w:rFonts w:eastAsiaTheme="minorEastAsia"/>
        </w:rPr>
        <w:t>Amanual</w:t>
      </w:r>
      <w:proofErr w:type="spellEnd"/>
      <w:r w:rsidRPr="004D46AC">
        <w:rPr>
          <w:rFonts w:eastAsiaTheme="minorEastAsia"/>
        </w:rPr>
        <w:t xml:space="preserve"> Mental Specialized Hospital, outpatient department, Addis Ababa, Ethiopia: cross-sectional study. BMC Psychiatry, 16(1), 443. https://doi.org/10.1186/s12888-016-1151-8 </w:t>
      </w:r>
    </w:p>
    <w:p w14:paraId="1623FFBF"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Belteczki</w:t>
      </w:r>
      <w:proofErr w:type="spellEnd"/>
      <w:r w:rsidRPr="004D46AC">
        <w:rPr>
          <w:rFonts w:eastAsiaTheme="minorEastAsia"/>
        </w:rPr>
        <w:t xml:space="preserve">, Z., Rihmer, Z., Ujvari, J., Lamis, D. A., &amp; Dome, P. (2018). Differences in clinical characteristics between bipolar patients with current psychotic symptoms and those who have never been psychotic. </w:t>
      </w:r>
      <w:proofErr w:type="spellStart"/>
      <w:r w:rsidRPr="004D46AC">
        <w:rPr>
          <w:rFonts w:eastAsiaTheme="minorEastAsia"/>
        </w:rPr>
        <w:t>Psychiatr</w:t>
      </w:r>
      <w:proofErr w:type="spellEnd"/>
      <w:r w:rsidRPr="004D46AC">
        <w:rPr>
          <w:rFonts w:eastAsiaTheme="minorEastAsia"/>
        </w:rPr>
        <w:t xml:space="preserve"> </w:t>
      </w:r>
      <w:proofErr w:type="spellStart"/>
      <w:r w:rsidRPr="004D46AC">
        <w:rPr>
          <w:rFonts w:eastAsiaTheme="minorEastAsia"/>
        </w:rPr>
        <w:t>Danub</w:t>
      </w:r>
      <w:proofErr w:type="spellEnd"/>
      <w:r w:rsidRPr="004D46AC">
        <w:rPr>
          <w:rFonts w:eastAsiaTheme="minorEastAsia"/>
        </w:rPr>
        <w:t xml:space="preserve">, 30(2), 183–188. https://doi.org/10.24869/psyd.2018.183 </w:t>
      </w:r>
    </w:p>
    <w:p w14:paraId="7E170D29"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Benabarre</w:t>
      </w:r>
      <w:proofErr w:type="spellEnd"/>
      <w:r w:rsidRPr="004D46AC">
        <w:rPr>
          <w:rFonts w:eastAsiaTheme="minorEastAsia"/>
        </w:rPr>
        <w:t xml:space="preserve">, A., Vieta, E., Colom, F., Martinez-Aran, A., </w:t>
      </w:r>
      <w:proofErr w:type="spellStart"/>
      <w:r w:rsidRPr="004D46AC">
        <w:rPr>
          <w:rFonts w:eastAsiaTheme="minorEastAsia"/>
        </w:rPr>
        <w:t>Reinares</w:t>
      </w:r>
      <w:proofErr w:type="spellEnd"/>
      <w:r w:rsidRPr="004D46AC">
        <w:rPr>
          <w:rFonts w:eastAsiaTheme="minorEastAsia"/>
        </w:rPr>
        <w:t xml:space="preserve">, M., &amp; Gasto, C. (2001). Bipolar disorder, schizoaffective disorder and schizophrenia: epidemiologic, clinical and prognostic differences. </w:t>
      </w:r>
      <w:proofErr w:type="spellStart"/>
      <w:r w:rsidRPr="004D46AC">
        <w:rPr>
          <w:rFonts w:eastAsiaTheme="minorEastAsia"/>
        </w:rPr>
        <w:t>Eur</w:t>
      </w:r>
      <w:proofErr w:type="spellEnd"/>
      <w:r w:rsidRPr="004D46AC">
        <w:rPr>
          <w:rFonts w:eastAsiaTheme="minorEastAsia"/>
        </w:rPr>
        <w:t xml:space="preserve"> Psychiatry, 16(3), 167–172. https://doi.org/10.1016/s0924-9338(01)00559-4 </w:t>
      </w:r>
    </w:p>
    <w:p w14:paraId="5560E8B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Benard, V., </w:t>
      </w:r>
      <w:proofErr w:type="spellStart"/>
      <w:r w:rsidRPr="004D46AC">
        <w:rPr>
          <w:rFonts w:eastAsiaTheme="minorEastAsia"/>
        </w:rPr>
        <w:t>Pignon</w:t>
      </w:r>
      <w:proofErr w:type="spellEnd"/>
      <w:r w:rsidRPr="004D46AC">
        <w:rPr>
          <w:rFonts w:eastAsiaTheme="minorEastAsia"/>
        </w:rPr>
        <w:t xml:space="preserve">, B., Geoffroy, P. A., </w:t>
      </w:r>
      <w:proofErr w:type="spellStart"/>
      <w:r w:rsidRPr="004D46AC">
        <w:rPr>
          <w:rFonts w:eastAsiaTheme="minorEastAsia"/>
        </w:rPr>
        <w:t>Benradia</w:t>
      </w:r>
      <w:proofErr w:type="spellEnd"/>
      <w:r w:rsidRPr="004D46AC">
        <w:rPr>
          <w:rFonts w:eastAsiaTheme="minorEastAsia"/>
        </w:rPr>
        <w:t xml:space="preserve">, I., </w:t>
      </w:r>
      <w:proofErr w:type="spellStart"/>
      <w:r w:rsidRPr="004D46AC">
        <w:rPr>
          <w:rFonts w:eastAsiaTheme="minorEastAsia"/>
        </w:rPr>
        <w:t>Roelandt</w:t>
      </w:r>
      <w:proofErr w:type="spellEnd"/>
      <w:r w:rsidRPr="004D46AC">
        <w:rPr>
          <w:rFonts w:eastAsiaTheme="minorEastAsia"/>
        </w:rPr>
        <w:t xml:space="preserve">, J. L., Rolland, B., </w:t>
      </w:r>
      <w:proofErr w:type="spellStart"/>
      <w:r w:rsidRPr="004D46AC">
        <w:rPr>
          <w:rFonts w:eastAsiaTheme="minorEastAsia"/>
        </w:rPr>
        <w:t>Fovet</w:t>
      </w:r>
      <w:proofErr w:type="spellEnd"/>
      <w:r w:rsidRPr="004D46AC">
        <w:rPr>
          <w:rFonts w:eastAsiaTheme="minorEastAsia"/>
        </w:rPr>
        <w:t xml:space="preserve">, T., D'Hondt, F., Thomas, P., Vaiva, G., &amp; Amad, A. (2020). Depression with and without a history of psychotic symptoms in the general population: sociodemographic and clinical characteristics. J Affect </w:t>
      </w:r>
      <w:proofErr w:type="spellStart"/>
      <w:r w:rsidRPr="004D46AC">
        <w:rPr>
          <w:rFonts w:eastAsiaTheme="minorEastAsia"/>
        </w:rPr>
        <w:t>Disord</w:t>
      </w:r>
      <w:proofErr w:type="spellEnd"/>
      <w:r w:rsidRPr="004D46AC">
        <w:rPr>
          <w:rFonts w:eastAsiaTheme="minorEastAsia"/>
        </w:rPr>
        <w:t xml:space="preserve">, 273, 247–251. https://doi.org/10.1016/j.jad.2020.04.048 </w:t>
      </w:r>
    </w:p>
    <w:p w14:paraId="01CD647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Benazzi, F. (2003). The role of gender in depressive mixed state. Psychopathology, 36(4), 213–217. https://doi.org/10.1159/000072792 </w:t>
      </w:r>
    </w:p>
    <w:p w14:paraId="3F93FFD9"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Berkol</w:t>
      </w:r>
      <w:proofErr w:type="spellEnd"/>
      <w:r w:rsidRPr="004D46AC">
        <w:rPr>
          <w:rFonts w:eastAsiaTheme="minorEastAsia"/>
        </w:rPr>
        <w:t xml:space="preserve">, T. D., </w:t>
      </w:r>
      <w:proofErr w:type="spellStart"/>
      <w:r w:rsidRPr="004D46AC">
        <w:rPr>
          <w:rFonts w:eastAsiaTheme="minorEastAsia"/>
        </w:rPr>
        <w:t>Kirli</w:t>
      </w:r>
      <w:proofErr w:type="spellEnd"/>
      <w:r w:rsidRPr="004D46AC">
        <w:rPr>
          <w:rFonts w:eastAsiaTheme="minorEastAsia"/>
        </w:rPr>
        <w:t xml:space="preserve">, E., Islam, S., Pinarbasi, R., &amp; </w:t>
      </w:r>
      <w:proofErr w:type="spellStart"/>
      <w:r w:rsidRPr="004D46AC">
        <w:rPr>
          <w:rFonts w:eastAsiaTheme="minorEastAsia"/>
        </w:rPr>
        <w:t>Ozyildirim</w:t>
      </w:r>
      <w:proofErr w:type="spellEnd"/>
      <w:r w:rsidRPr="004D46AC">
        <w:rPr>
          <w:rFonts w:eastAsiaTheme="minorEastAsia"/>
        </w:rPr>
        <w:t xml:space="preserve">, I. (2016). Comparison of clinical and sociodemographic features of bipolar disorder patients with those of social anxiety disorder patients comorbid with bipolar disorder in Turkey. Saudi Med J, 37(3), 309–314. https://doi.org/10.15537/smj.2016.3.13108 </w:t>
      </w:r>
    </w:p>
    <w:p w14:paraId="2BCB00C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Black, D. W., &amp; Nasrallah, A. (1989). Hallucinations and delusions in 1,715 patients with unipolar and bipolar affective disorders. Psychopathology, 22(1), 28–34. https://doi.org/10.1159/000284576 </w:t>
      </w:r>
    </w:p>
    <w:p w14:paraId="25E98DB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Bond, D. J., Torres, I. J., Lee, S. S., </w:t>
      </w:r>
      <w:proofErr w:type="spellStart"/>
      <w:r w:rsidRPr="004D46AC">
        <w:rPr>
          <w:rFonts w:eastAsiaTheme="minorEastAsia"/>
        </w:rPr>
        <w:t>Kozicky</w:t>
      </w:r>
      <w:proofErr w:type="spellEnd"/>
      <w:r w:rsidRPr="004D46AC">
        <w:rPr>
          <w:rFonts w:eastAsiaTheme="minorEastAsia"/>
        </w:rPr>
        <w:t xml:space="preserve">, J. M., Silveira, L. E., Dhanoa, T., Lam, R. W., &amp; </w:t>
      </w:r>
      <w:proofErr w:type="spellStart"/>
      <w:r w:rsidRPr="004D46AC">
        <w:rPr>
          <w:rFonts w:eastAsiaTheme="minorEastAsia"/>
        </w:rPr>
        <w:t>Yatham</w:t>
      </w:r>
      <w:proofErr w:type="spellEnd"/>
      <w:r w:rsidRPr="004D46AC">
        <w:rPr>
          <w:rFonts w:eastAsiaTheme="minorEastAsia"/>
        </w:rPr>
        <w:t xml:space="preserve">, L. N. (2017). Lower cognitive functioning as a predictor of weight gain in bipolar disorder: a 12-month study. Acta </w:t>
      </w:r>
      <w:proofErr w:type="spellStart"/>
      <w:r w:rsidRPr="004D46AC">
        <w:rPr>
          <w:rFonts w:eastAsiaTheme="minorEastAsia"/>
        </w:rPr>
        <w:t>Psychiatr</w:t>
      </w:r>
      <w:proofErr w:type="spellEnd"/>
      <w:r w:rsidRPr="004D46AC">
        <w:rPr>
          <w:rFonts w:eastAsiaTheme="minorEastAsia"/>
        </w:rPr>
        <w:t xml:space="preserve"> Scand, 135(3), 239–249. https://doi.org/10.1111/acps.12674 </w:t>
      </w:r>
    </w:p>
    <w:p w14:paraId="0BEE5A8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Bora, E., </w:t>
      </w:r>
      <w:proofErr w:type="spellStart"/>
      <w:r w:rsidRPr="004D46AC">
        <w:rPr>
          <w:rFonts w:eastAsiaTheme="minorEastAsia"/>
        </w:rPr>
        <w:t>Hidiroglu</w:t>
      </w:r>
      <w:proofErr w:type="spellEnd"/>
      <w:r w:rsidRPr="004D46AC">
        <w:rPr>
          <w:rFonts w:eastAsiaTheme="minorEastAsia"/>
        </w:rPr>
        <w:t xml:space="preserve">, C., </w:t>
      </w:r>
      <w:proofErr w:type="spellStart"/>
      <w:r w:rsidRPr="004D46AC">
        <w:rPr>
          <w:rFonts w:eastAsiaTheme="minorEastAsia"/>
        </w:rPr>
        <w:t>Ozerdem</w:t>
      </w:r>
      <w:proofErr w:type="spellEnd"/>
      <w:r w:rsidRPr="004D46AC">
        <w:rPr>
          <w:rFonts w:eastAsiaTheme="minorEastAsia"/>
        </w:rPr>
        <w:t xml:space="preserve">, A., </w:t>
      </w:r>
      <w:proofErr w:type="spellStart"/>
      <w:r w:rsidRPr="004D46AC">
        <w:rPr>
          <w:rFonts w:eastAsiaTheme="minorEastAsia"/>
        </w:rPr>
        <w:t>Kacar</w:t>
      </w:r>
      <w:proofErr w:type="spellEnd"/>
      <w:r w:rsidRPr="004D46AC">
        <w:rPr>
          <w:rFonts w:eastAsiaTheme="minorEastAsia"/>
        </w:rPr>
        <w:t xml:space="preserve">, O. F., </w:t>
      </w:r>
      <w:proofErr w:type="spellStart"/>
      <w:r w:rsidRPr="004D46AC">
        <w:rPr>
          <w:rFonts w:eastAsiaTheme="minorEastAsia"/>
        </w:rPr>
        <w:t>Sarisoy</w:t>
      </w:r>
      <w:proofErr w:type="spellEnd"/>
      <w:r w:rsidRPr="004D46AC">
        <w:rPr>
          <w:rFonts w:eastAsiaTheme="minorEastAsia"/>
        </w:rPr>
        <w:t xml:space="preserve">, G., Civil Arslan, F., Aydemir, O., </w:t>
      </w:r>
      <w:proofErr w:type="spellStart"/>
      <w:r w:rsidRPr="004D46AC">
        <w:rPr>
          <w:rFonts w:eastAsiaTheme="minorEastAsia"/>
        </w:rPr>
        <w:t>Cubukcuoglu</w:t>
      </w:r>
      <w:proofErr w:type="spellEnd"/>
      <w:r w:rsidRPr="004D46AC">
        <w:rPr>
          <w:rFonts w:eastAsiaTheme="minorEastAsia"/>
        </w:rPr>
        <w:t xml:space="preserve"> Tas, Z., </w:t>
      </w:r>
      <w:proofErr w:type="spellStart"/>
      <w:r w:rsidRPr="004D46AC">
        <w:rPr>
          <w:rFonts w:eastAsiaTheme="minorEastAsia"/>
        </w:rPr>
        <w:t>Vahip</w:t>
      </w:r>
      <w:proofErr w:type="spellEnd"/>
      <w:r w:rsidRPr="004D46AC">
        <w:rPr>
          <w:rFonts w:eastAsiaTheme="minorEastAsia"/>
        </w:rPr>
        <w:t xml:space="preserve">, S., Atalay, A., Atasoy, N., </w:t>
      </w:r>
      <w:proofErr w:type="spellStart"/>
      <w:r w:rsidRPr="004D46AC">
        <w:rPr>
          <w:rFonts w:eastAsiaTheme="minorEastAsia"/>
        </w:rPr>
        <w:t>Atesci</w:t>
      </w:r>
      <w:proofErr w:type="spellEnd"/>
      <w:r w:rsidRPr="004D46AC">
        <w:rPr>
          <w:rFonts w:eastAsiaTheme="minorEastAsia"/>
        </w:rPr>
        <w:t xml:space="preserve">, F., &amp; </w:t>
      </w:r>
      <w:proofErr w:type="spellStart"/>
      <w:r w:rsidRPr="004D46AC">
        <w:rPr>
          <w:rFonts w:eastAsiaTheme="minorEastAsia"/>
        </w:rPr>
        <w:t>Tumkaya</w:t>
      </w:r>
      <w:proofErr w:type="spellEnd"/>
      <w:r w:rsidRPr="004D46AC">
        <w:rPr>
          <w:rFonts w:eastAsiaTheme="minorEastAsia"/>
        </w:rPr>
        <w:t xml:space="preserve">, S. (2016). Executive dysfunction and cognitive subgroups in a large sample of euthymic </w:t>
      </w:r>
      <w:r w:rsidRPr="004D46AC">
        <w:rPr>
          <w:rFonts w:eastAsiaTheme="minorEastAsia"/>
        </w:rPr>
        <w:lastRenderedPageBreak/>
        <w:t xml:space="preserve">patients with bipolar disorder. </w:t>
      </w:r>
      <w:proofErr w:type="spellStart"/>
      <w:r w:rsidRPr="004D46AC">
        <w:rPr>
          <w:rFonts w:eastAsiaTheme="minorEastAsia"/>
        </w:rPr>
        <w:t>Eur</w:t>
      </w:r>
      <w:proofErr w:type="spellEnd"/>
      <w:r w:rsidRPr="004D46AC">
        <w:rPr>
          <w:rFonts w:eastAsiaTheme="minorEastAsia"/>
        </w:rPr>
        <w:t xml:space="preserve"> </w:t>
      </w:r>
      <w:proofErr w:type="spellStart"/>
      <w:r w:rsidRPr="004D46AC">
        <w:rPr>
          <w:rFonts w:eastAsiaTheme="minorEastAsia"/>
        </w:rPr>
        <w:t>Neuropsychopharmacol</w:t>
      </w:r>
      <w:proofErr w:type="spellEnd"/>
      <w:r w:rsidRPr="004D46AC">
        <w:rPr>
          <w:rFonts w:eastAsiaTheme="minorEastAsia"/>
        </w:rPr>
        <w:t xml:space="preserve">, 26(8), 1338–1347. https://doi.org/10.1016/j.euroneuro.2016.04.002 </w:t>
      </w:r>
    </w:p>
    <w:p w14:paraId="5213DDF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Bora, E., </w:t>
      </w:r>
      <w:proofErr w:type="spellStart"/>
      <w:r w:rsidRPr="004D46AC">
        <w:rPr>
          <w:rFonts w:eastAsiaTheme="minorEastAsia"/>
        </w:rPr>
        <w:t>Vahip</w:t>
      </w:r>
      <w:proofErr w:type="spellEnd"/>
      <w:r w:rsidRPr="004D46AC">
        <w:rPr>
          <w:rFonts w:eastAsiaTheme="minorEastAsia"/>
        </w:rPr>
        <w:t xml:space="preserve">, S., Akdeniz, F., Gonul, A. S., </w:t>
      </w:r>
      <w:proofErr w:type="spellStart"/>
      <w:r w:rsidRPr="004D46AC">
        <w:rPr>
          <w:rFonts w:eastAsiaTheme="minorEastAsia"/>
        </w:rPr>
        <w:t>Eryavuz</w:t>
      </w:r>
      <w:proofErr w:type="spellEnd"/>
      <w:r w:rsidRPr="004D46AC">
        <w:rPr>
          <w:rFonts w:eastAsiaTheme="minorEastAsia"/>
        </w:rPr>
        <w:t xml:space="preserve">, A., </w:t>
      </w:r>
      <w:proofErr w:type="spellStart"/>
      <w:r w:rsidRPr="004D46AC">
        <w:rPr>
          <w:rFonts w:eastAsiaTheme="minorEastAsia"/>
        </w:rPr>
        <w:t>Ogut</w:t>
      </w:r>
      <w:proofErr w:type="spellEnd"/>
      <w:r w:rsidRPr="004D46AC">
        <w:rPr>
          <w:rFonts w:eastAsiaTheme="minorEastAsia"/>
        </w:rPr>
        <w:t xml:space="preserve">, M., &amp; Alkan, M. (2007). The effect of previous psychotic mood episodes on cognitive impairment in euthymic bipolar patients. Bipolar </w:t>
      </w:r>
      <w:proofErr w:type="spellStart"/>
      <w:r w:rsidRPr="004D46AC">
        <w:rPr>
          <w:rFonts w:eastAsiaTheme="minorEastAsia"/>
        </w:rPr>
        <w:t>Disord</w:t>
      </w:r>
      <w:proofErr w:type="spellEnd"/>
      <w:r w:rsidRPr="004D46AC">
        <w:rPr>
          <w:rFonts w:eastAsiaTheme="minorEastAsia"/>
        </w:rPr>
        <w:t xml:space="preserve">, 9(5), 468–477. https://doi.org/10.1111/j.1399-5618.2007.00469.x </w:t>
      </w:r>
    </w:p>
    <w:p w14:paraId="5F36F5F1"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Bora, E., Verim, B., Akgul, O., </w:t>
      </w:r>
      <w:proofErr w:type="spellStart"/>
      <w:r w:rsidRPr="004D46AC">
        <w:rPr>
          <w:rFonts w:eastAsiaTheme="minorEastAsia"/>
        </w:rPr>
        <w:t>Ildiz</w:t>
      </w:r>
      <w:proofErr w:type="spellEnd"/>
      <w:r w:rsidRPr="004D46AC">
        <w:rPr>
          <w:rFonts w:eastAsiaTheme="minorEastAsia"/>
        </w:rPr>
        <w:t xml:space="preserve">, A., Ceylan, D., Alptekin, K., </w:t>
      </w:r>
      <w:proofErr w:type="spellStart"/>
      <w:r w:rsidRPr="004D46AC">
        <w:rPr>
          <w:rFonts w:eastAsiaTheme="minorEastAsia"/>
        </w:rPr>
        <w:t>Ozerdem</w:t>
      </w:r>
      <w:proofErr w:type="spellEnd"/>
      <w:r w:rsidRPr="004D46AC">
        <w:rPr>
          <w:rFonts w:eastAsiaTheme="minorEastAsia"/>
        </w:rPr>
        <w:t xml:space="preserve">, A., &amp; </w:t>
      </w:r>
      <w:proofErr w:type="spellStart"/>
      <w:r w:rsidRPr="004D46AC">
        <w:rPr>
          <w:rFonts w:eastAsiaTheme="minorEastAsia"/>
        </w:rPr>
        <w:t>Akdede</w:t>
      </w:r>
      <w:proofErr w:type="spellEnd"/>
      <w:r w:rsidRPr="004D46AC">
        <w:rPr>
          <w:rFonts w:eastAsiaTheme="minorEastAsia"/>
        </w:rPr>
        <w:t xml:space="preserve">, B. B. (2023). Clinical and developmental characteristics of cognitive subgroups in a transdiagnostic sample of schizophrenia spectrum disorders and bipolar disorder. </w:t>
      </w:r>
      <w:proofErr w:type="spellStart"/>
      <w:r w:rsidRPr="004D46AC">
        <w:rPr>
          <w:rFonts w:eastAsiaTheme="minorEastAsia"/>
        </w:rPr>
        <w:t>Eur</w:t>
      </w:r>
      <w:proofErr w:type="spellEnd"/>
      <w:r w:rsidRPr="004D46AC">
        <w:rPr>
          <w:rFonts w:eastAsiaTheme="minorEastAsia"/>
        </w:rPr>
        <w:t xml:space="preserve"> </w:t>
      </w:r>
      <w:proofErr w:type="spellStart"/>
      <w:r w:rsidRPr="004D46AC">
        <w:rPr>
          <w:rFonts w:eastAsiaTheme="minorEastAsia"/>
        </w:rPr>
        <w:t>Neuropsychopharmacol</w:t>
      </w:r>
      <w:proofErr w:type="spellEnd"/>
      <w:r w:rsidRPr="004D46AC">
        <w:rPr>
          <w:rFonts w:eastAsiaTheme="minorEastAsia"/>
        </w:rPr>
        <w:t xml:space="preserve">, 68, 47–56. https://doi.org/10.1016/j.euroneuro.2022.12.005 </w:t>
      </w:r>
    </w:p>
    <w:p w14:paraId="5A85F4A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Braga, R. J., Burdick, K. E., </w:t>
      </w:r>
      <w:proofErr w:type="spellStart"/>
      <w:r w:rsidRPr="004D46AC">
        <w:rPr>
          <w:rFonts w:eastAsiaTheme="minorEastAsia"/>
        </w:rPr>
        <w:t>Derosse</w:t>
      </w:r>
      <w:proofErr w:type="spellEnd"/>
      <w:r w:rsidRPr="004D46AC">
        <w:rPr>
          <w:rFonts w:eastAsiaTheme="minorEastAsia"/>
        </w:rPr>
        <w:t xml:space="preserve">, P., &amp; Malhotra, A. K. (2012). Cognitive and clinical outcomes associated with cannabis use in patients with bipolar I disorder. Psychiatry Res, 200(2-3), 242–245. https://doi.org/10.1016/j.psychres.2012.05.025 </w:t>
      </w:r>
    </w:p>
    <w:p w14:paraId="60072C77"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Braunig</w:t>
      </w:r>
      <w:proofErr w:type="spellEnd"/>
      <w:r w:rsidRPr="004D46AC">
        <w:rPr>
          <w:rFonts w:eastAsiaTheme="minorEastAsia"/>
        </w:rPr>
        <w:t xml:space="preserve">, P., Sarkar, R., Effenberger, S., Schoofs, N., &amp; Kruger, S. (2009). Gender differences in psychotic bipolar mania. Gend Med, 6(2), 356–361. https://doi.org/10.1016/j.genm.2009.07.004 </w:t>
      </w:r>
    </w:p>
    <w:p w14:paraId="0E41B8D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Bulbul, F., Koca, I., Tamam, L., Demirkol, M. E., Cakmak, S., &amp; </w:t>
      </w:r>
      <w:proofErr w:type="spellStart"/>
      <w:r w:rsidRPr="004D46AC">
        <w:rPr>
          <w:rFonts w:eastAsiaTheme="minorEastAsia"/>
        </w:rPr>
        <w:t>Ersahinoglu</w:t>
      </w:r>
      <w:proofErr w:type="spellEnd"/>
      <w:r w:rsidRPr="004D46AC">
        <w:rPr>
          <w:rFonts w:eastAsiaTheme="minorEastAsia"/>
        </w:rPr>
        <w:t xml:space="preserve">, E. (2020). The Prevalence of Sarcopenia in Bipolar Disorder. </w:t>
      </w:r>
      <w:proofErr w:type="spellStart"/>
      <w:r w:rsidRPr="004D46AC">
        <w:rPr>
          <w:rFonts w:eastAsiaTheme="minorEastAsia"/>
        </w:rPr>
        <w:t>Neuropsychiatr</w:t>
      </w:r>
      <w:proofErr w:type="spellEnd"/>
      <w:r w:rsidRPr="004D46AC">
        <w:rPr>
          <w:rFonts w:eastAsiaTheme="minorEastAsia"/>
        </w:rPr>
        <w:t xml:space="preserve"> Dis Treat, 16, 915–921. https://doi.org/10.2147/NDT.S245721 </w:t>
      </w:r>
    </w:p>
    <w:p w14:paraId="0A5D8B6B"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Buoli</w:t>
      </w:r>
      <w:proofErr w:type="spellEnd"/>
      <w:r w:rsidRPr="004D46AC">
        <w:rPr>
          <w:rFonts w:eastAsiaTheme="minorEastAsia"/>
        </w:rPr>
        <w:t xml:space="preserve">, M., Cesana, B. M., Bolognesi, S., Fagiolini, A., Albert, U., Di Salvo, G., Maina, G., de Bartolomeis, A., Pompili, M., Palumbo, C., Bondi, E., </w:t>
      </w:r>
      <w:proofErr w:type="spellStart"/>
      <w:r w:rsidRPr="004D46AC">
        <w:rPr>
          <w:rFonts w:eastAsiaTheme="minorEastAsia"/>
        </w:rPr>
        <w:t>Steardo</w:t>
      </w:r>
      <w:proofErr w:type="spellEnd"/>
      <w:r w:rsidRPr="004D46AC">
        <w:rPr>
          <w:rFonts w:eastAsiaTheme="minorEastAsia"/>
        </w:rPr>
        <w:t xml:space="preserve">, L., Jr., De Fazio, P., Amore, M., Altamura, M., Bellomo, A., Bertolino, A., Di Nicola, M., Di Sciascio, G.,…Group, I. I. C. E. (2022). Factors associated with lifetime suicide attempts in bipolar disorder: results from an Italian nationwide study.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xml:space="preserve">, 272(3), 359–370. https://doi.org/10.1007/s00406-021-01343-y </w:t>
      </w:r>
    </w:p>
    <w:p w14:paraId="41BA43E4"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Buoli</w:t>
      </w:r>
      <w:proofErr w:type="spellEnd"/>
      <w:r w:rsidRPr="004D46AC">
        <w:rPr>
          <w:rFonts w:eastAsiaTheme="minorEastAsia"/>
        </w:rPr>
        <w:t xml:space="preserve">, M., </w:t>
      </w:r>
      <w:proofErr w:type="spellStart"/>
      <w:r w:rsidRPr="004D46AC">
        <w:rPr>
          <w:rFonts w:eastAsiaTheme="minorEastAsia"/>
        </w:rPr>
        <w:t>Dell'Osso</w:t>
      </w:r>
      <w:proofErr w:type="spellEnd"/>
      <w:r w:rsidRPr="004D46AC">
        <w:rPr>
          <w:rFonts w:eastAsiaTheme="minorEastAsia"/>
        </w:rPr>
        <w:t xml:space="preserve">, B., </w:t>
      </w:r>
      <w:proofErr w:type="spellStart"/>
      <w:r w:rsidRPr="004D46AC">
        <w:rPr>
          <w:rFonts w:eastAsiaTheme="minorEastAsia"/>
        </w:rPr>
        <w:t>Caldiroli</w:t>
      </w:r>
      <w:proofErr w:type="spellEnd"/>
      <w:r w:rsidRPr="004D46AC">
        <w:rPr>
          <w:rFonts w:eastAsiaTheme="minorEastAsia"/>
        </w:rPr>
        <w:t xml:space="preserve">, A., Carnevali, G. S., </w:t>
      </w:r>
      <w:proofErr w:type="spellStart"/>
      <w:r w:rsidRPr="004D46AC">
        <w:rPr>
          <w:rFonts w:eastAsiaTheme="minorEastAsia"/>
        </w:rPr>
        <w:t>Serati</w:t>
      </w:r>
      <w:proofErr w:type="spellEnd"/>
      <w:r w:rsidRPr="004D46AC">
        <w:rPr>
          <w:rFonts w:eastAsiaTheme="minorEastAsia"/>
        </w:rPr>
        <w:t xml:space="preserve">, M., Suppes, T., Ketter, T. A., &amp; Altamura, A. C. (2017). Obesity and obstetric complications are associated with </w:t>
      </w:r>
      <w:proofErr w:type="gramStart"/>
      <w:r w:rsidRPr="004D46AC">
        <w:rPr>
          <w:rFonts w:eastAsiaTheme="minorEastAsia"/>
        </w:rPr>
        <w:t>rapid-cycling</w:t>
      </w:r>
      <w:proofErr w:type="gramEnd"/>
      <w:r w:rsidRPr="004D46AC">
        <w:rPr>
          <w:rFonts w:eastAsiaTheme="minorEastAsia"/>
        </w:rPr>
        <w:t xml:space="preserve"> in Italian patients with bipolar disorder. J Affect </w:t>
      </w:r>
      <w:proofErr w:type="spellStart"/>
      <w:r w:rsidRPr="004D46AC">
        <w:rPr>
          <w:rFonts w:eastAsiaTheme="minorEastAsia"/>
        </w:rPr>
        <w:t>Disord</w:t>
      </w:r>
      <w:proofErr w:type="spellEnd"/>
      <w:r w:rsidRPr="004D46AC">
        <w:rPr>
          <w:rFonts w:eastAsiaTheme="minorEastAsia"/>
        </w:rPr>
        <w:t xml:space="preserve">, 208, 278–283. https://doi.org/10.1016/j.jad.2016.10.010 </w:t>
      </w:r>
    </w:p>
    <w:p w14:paraId="21CB484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Burton, C. Z., Ryan, K. A., Kamali, M., Marshall, D. F., Harrington, G., McInnis, M. G., &amp; Tso, I. F. (2018). Psychosis in bipolar disorder: Does it represent a more "severe" illness? Bipolar </w:t>
      </w:r>
      <w:proofErr w:type="spellStart"/>
      <w:r w:rsidRPr="004D46AC">
        <w:rPr>
          <w:rFonts w:eastAsiaTheme="minorEastAsia"/>
        </w:rPr>
        <w:t>Disord</w:t>
      </w:r>
      <w:proofErr w:type="spellEnd"/>
      <w:r w:rsidRPr="004D46AC">
        <w:rPr>
          <w:rFonts w:eastAsiaTheme="minorEastAsia"/>
        </w:rPr>
        <w:t xml:space="preserve">, 20(1), 18–26. https://doi.org/10.1111/bdi.12527 </w:t>
      </w:r>
    </w:p>
    <w:p w14:paraId="0EA0024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Cakir, S., </w:t>
      </w:r>
      <w:proofErr w:type="spellStart"/>
      <w:r w:rsidRPr="004D46AC">
        <w:rPr>
          <w:rFonts w:eastAsiaTheme="minorEastAsia"/>
        </w:rPr>
        <w:t>Tasdelen</w:t>
      </w:r>
      <w:proofErr w:type="spellEnd"/>
      <w:r w:rsidRPr="004D46AC">
        <w:rPr>
          <w:rFonts w:eastAsiaTheme="minorEastAsia"/>
        </w:rPr>
        <w:t xml:space="preserve"> Durak, R., </w:t>
      </w:r>
      <w:proofErr w:type="spellStart"/>
      <w:r w:rsidRPr="004D46AC">
        <w:rPr>
          <w:rFonts w:eastAsiaTheme="minorEastAsia"/>
        </w:rPr>
        <w:t>Ozyildirim</w:t>
      </w:r>
      <w:proofErr w:type="spellEnd"/>
      <w:r w:rsidRPr="004D46AC">
        <w:rPr>
          <w:rFonts w:eastAsiaTheme="minorEastAsia"/>
        </w:rPr>
        <w:t xml:space="preserve">, I., Ince, E., &amp; Sar, V. (2016). Childhood trauma and treatment outcome in bipolar disorder. J Trauma Dissociation, 17(4), 397–409. https://doi.org/10.1080/15299732.2015.1132489 </w:t>
      </w:r>
    </w:p>
    <w:p w14:paraId="2B84A375"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Caldieraro</w:t>
      </w:r>
      <w:proofErr w:type="spellEnd"/>
      <w:r w:rsidRPr="004D46AC">
        <w:rPr>
          <w:rFonts w:eastAsiaTheme="minorEastAsia"/>
        </w:rPr>
        <w:t xml:space="preserve">, M. A., Sylvia, L. G., Dufour, S., Walsh, S., Janos, J., Rabideau, D. J., Kamali, M., McInnis, M. G., Bobo, W. V., Friedman, E. S., Gao, K., Tohen, M., Reilly-Harrington, N. A., Ketter, T. A., Calabrese, J. R., McElroy, S. L., </w:t>
      </w:r>
      <w:proofErr w:type="spellStart"/>
      <w:r w:rsidRPr="004D46AC">
        <w:rPr>
          <w:rFonts w:eastAsiaTheme="minorEastAsia"/>
        </w:rPr>
        <w:t>Thase</w:t>
      </w:r>
      <w:proofErr w:type="spellEnd"/>
      <w:r w:rsidRPr="004D46AC">
        <w:rPr>
          <w:rFonts w:eastAsiaTheme="minorEastAsia"/>
        </w:rPr>
        <w:t xml:space="preserve">, M. E., Shelton, R. C., Bowden, C. L.,…Nierenberg, A. A. (2017). Clinical correlates of acute bipolar depressive episode with psychosis. J Affect </w:t>
      </w:r>
      <w:proofErr w:type="spellStart"/>
      <w:r w:rsidRPr="004D46AC">
        <w:rPr>
          <w:rFonts w:eastAsiaTheme="minorEastAsia"/>
        </w:rPr>
        <w:t>Disord</w:t>
      </w:r>
      <w:proofErr w:type="spellEnd"/>
      <w:r w:rsidRPr="004D46AC">
        <w:rPr>
          <w:rFonts w:eastAsiaTheme="minorEastAsia"/>
        </w:rPr>
        <w:t xml:space="preserve">, 217, 29–33. https://doi.org/10.1016/j.jad.2017.03.059 </w:t>
      </w:r>
    </w:p>
    <w:p w14:paraId="1A7F796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Calkin, C., van de Velde, C., Ruzickova, M., Slaney, C., Garnham, J., Hajek, T., O'Donovan, C., &amp; Alda, M. (2009). Can body mass index help predict outcome in patients with bipolar disorder? Bipolar </w:t>
      </w:r>
      <w:proofErr w:type="spellStart"/>
      <w:r w:rsidRPr="004D46AC">
        <w:rPr>
          <w:rFonts w:eastAsiaTheme="minorEastAsia"/>
        </w:rPr>
        <w:t>Disord</w:t>
      </w:r>
      <w:proofErr w:type="spellEnd"/>
      <w:r w:rsidRPr="004D46AC">
        <w:rPr>
          <w:rFonts w:eastAsiaTheme="minorEastAsia"/>
        </w:rPr>
        <w:t xml:space="preserve">, 11(6), 650–656. https://doi.org/10.1111/j.1399-5618.2009.00730.x </w:t>
      </w:r>
    </w:p>
    <w:p w14:paraId="27620DB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Cardoso, B. M., Kauer Sant'Anna, M., Dias, V. V., Andreazza, A. C., Cereser, K. M., &amp; </w:t>
      </w:r>
      <w:proofErr w:type="spellStart"/>
      <w:r w:rsidRPr="004D46AC">
        <w:rPr>
          <w:rFonts w:eastAsiaTheme="minorEastAsia"/>
        </w:rPr>
        <w:t>Kapczinski</w:t>
      </w:r>
      <w:proofErr w:type="spellEnd"/>
      <w:r w:rsidRPr="004D46AC">
        <w:rPr>
          <w:rFonts w:eastAsiaTheme="minorEastAsia"/>
        </w:rPr>
        <w:t xml:space="preserve">, F. (2008). The impact of co-morbid alcohol use disorder in bipolar patients. Alcohol, 42(6), 451–457. https://doi.org/10.1016/j.alcohol.2008.05.003 </w:t>
      </w:r>
    </w:p>
    <w:p w14:paraId="77B5B58B"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Carugno</w:t>
      </w:r>
      <w:proofErr w:type="spellEnd"/>
      <w:r w:rsidRPr="004D46AC">
        <w:rPr>
          <w:rFonts w:eastAsiaTheme="minorEastAsia"/>
        </w:rPr>
        <w:t xml:space="preserve">, M., </w:t>
      </w:r>
      <w:proofErr w:type="spellStart"/>
      <w:r w:rsidRPr="004D46AC">
        <w:rPr>
          <w:rFonts w:eastAsiaTheme="minorEastAsia"/>
        </w:rPr>
        <w:t>Palpella</w:t>
      </w:r>
      <w:proofErr w:type="spellEnd"/>
      <w:r w:rsidRPr="004D46AC">
        <w:rPr>
          <w:rFonts w:eastAsiaTheme="minorEastAsia"/>
        </w:rPr>
        <w:t xml:space="preserve">, D., Ceresa, A., </w:t>
      </w:r>
      <w:proofErr w:type="spellStart"/>
      <w:r w:rsidRPr="004D46AC">
        <w:rPr>
          <w:rFonts w:eastAsiaTheme="minorEastAsia"/>
        </w:rPr>
        <w:t>Pesatori</w:t>
      </w:r>
      <w:proofErr w:type="spellEnd"/>
      <w:r w:rsidRPr="004D46AC">
        <w:rPr>
          <w:rFonts w:eastAsiaTheme="minorEastAsia"/>
        </w:rPr>
        <w:t xml:space="preserve">, A. C., &amp; </w:t>
      </w:r>
      <w:proofErr w:type="spellStart"/>
      <w:r w:rsidRPr="004D46AC">
        <w:rPr>
          <w:rFonts w:eastAsiaTheme="minorEastAsia"/>
        </w:rPr>
        <w:t>Buoli</w:t>
      </w:r>
      <w:proofErr w:type="spellEnd"/>
      <w:r w:rsidRPr="004D46AC">
        <w:rPr>
          <w:rFonts w:eastAsiaTheme="minorEastAsia"/>
        </w:rPr>
        <w:t xml:space="preserve">, M. (2021). Short-term air pollution exposure is associated with lower severity and mixed features of manic episodes in hospitalized bipolar patients: A cross-sectional study in Milan, Italy. Environ Res, 196, 110943. https://doi.org/10.1016/j.envres.2021.110943 </w:t>
      </w:r>
    </w:p>
    <w:p w14:paraId="110283F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Chan, C. C., Shanahan, M., Ospina, L. H., Larsen, E. M., &amp; Burdick, K. E. (2019). Premorbid adjustment trajectories in schizophrenia and bipolar disorder: A transdiagnostic </w:t>
      </w:r>
      <w:r w:rsidRPr="004D46AC">
        <w:rPr>
          <w:rFonts w:eastAsiaTheme="minorEastAsia"/>
        </w:rPr>
        <w:lastRenderedPageBreak/>
        <w:t xml:space="preserve">cluster analysis. Psychiatry Res, 272, 655–662. https://doi.org/10.1016/j.psychres.2018.12.169 </w:t>
      </w:r>
    </w:p>
    <w:p w14:paraId="288C848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Chang, C. E., Wang, J., Lin, Y. T., Chiu, C. C., Hsieh, M. H., Huang, M. C., Lu, M. L., Chen, H. C., Chen, W. J., &amp; Kuo, P. H. (2023). Characterization of clinical features and comorbidities between bipolar affective disorder with and without depressive episodes. </w:t>
      </w:r>
      <w:proofErr w:type="spellStart"/>
      <w:r w:rsidRPr="004D46AC">
        <w:rPr>
          <w:rFonts w:eastAsiaTheme="minorEastAsia"/>
        </w:rPr>
        <w:t>Psychol</w:t>
      </w:r>
      <w:proofErr w:type="spellEnd"/>
      <w:r w:rsidRPr="004D46AC">
        <w:rPr>
          <w:rFonts w:eastAsiaTheme="minorEastAsia"/>
        </w:rPr>
        <w:t xml:space="preserve"> Med, 53(9), 4103–4113. https://doi.org/10.1017/S0033291722000782 </w:t>
      </w:r>
    </w:p>
    <w:p w14:paraId="31C3F51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Chaudhary, P., Parikh, N., &amp; Sharma, P. (2021). Characteristics of mood-congruent and mood-incongruent psychotic features in bipolar disorder [journal article]. </w:t>
      </w:r>
      <w:proofErr w:type="spellStart"/>
      <w:r w:rsidRPr="004D46AC">
        <w:rPr>
          <w:rFonts w:eastAsiaTheme="minorEastAsia"/>
        </w:rPr>
        <w:t>Neuropsychiatria</w:t>
      </w:r>
      <w:proofErr w:type="spellEnd"/>
      <w:r w:rsidRPr="004D46AC">
        <w:rPr>
          <w:rFonts w:eastAsiaTheme="minorEastAsia"/>
        </w:rPr>
        <w:t xml:space="preserve"> </w:t>
      </w:r>
      <w:proofErr w:type="spellStart"/>
      <w:r w:rsidRPr="004D46AC">
        <w:rPr>
          <w:rFonts w:eastAsiaTheme="minorEastAsia"/>
        </w:rPr>
        <w:t>i</w:t>
      </w:r>
      <w:proofErr w:type="spellEnd"/>
      <w:r w:rsidRPr="004D46AC">
        <w:rPr>
          <w:rFonts w:eastAsiaTheme="minorEastAsia"/>
        </w:rPr>
        <w:t xml:space="preserve"> </w:t>
      </w:r>
      <w:proofErr w:type="spellStart"/>
      <w:r w:rsidRPr="004D46AC">
        <w:rPr>
          <w:rFonts w:eastAsiaTheme="minorEastAsia"/>
        </w:rPr>
        <w:t>Neuropsychologia</w:t>
      </w:r>
      <w:proofErr w:type="spellEnd"/>
      <w:r w:rsidRPr="004D46AC">
        <w:rPr>
          <w:rFonts w:eastAsiaTheme="minorEastAsia"/>
        </w:rPr>
        <w:t xml:space="preserve">, 16(1-2), 66–75. https://doi.org/10.5114/nan.2021.108035 </w:t>
      </w:r>
    </w:p>
    <w:p w14:paraId="459D93D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Chen, Y. L., Tu, P. C., Huang, T. H., Bai, Y. M., Su, T. P., Chen, M. H., &amp; Wu, Y. T. (2021). Identifying subtypes of bipolar disorder based on clinical and neurobiological characteristics. Sci Rep, 11(1), 17082. https://doi.org/10.1038/s41598-021-96645-5 </w:t>
      </w:r>
    </w:p>
    <w:p w14:paraId="493CC8C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Cho, Y., Kim, D., &amp; Kim, S.-H. (2020). Prevalence and clinical correlates of childhood trauma among inpatients diagnosed with bipolar disorder: a matched comparison with schizophrenia. Psychosis, 13(1), 13–23. https://doi.org/10.1080/17522439.2020.1801818 </w:t>
      </w:r>
    </w:p>
    <w:p w14:paraId="3BEFBDA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Choi, K. Y., Yoon, H. K., &amp; Kim, Y. K. (2010). Association between Serotonin-Related Polymorphisms in 5HT2A, TPH1, TPH2 Genes and Bipolar Disorder in Korean Population. Psychiatry </w:t>
      </w:r>
      <w:proofErr w:type="spellStart"/>
      <w:r w:rsidRPr="004D46AC">
        <w:rPr>
          <w:rFonts w:eastAsiaTheme="minorEastAsia"/>
        </w:rPr>
        <w:t>Investig</w:t>
      </w:r>
      <w:proofErr w:type="spellEnd"/>
      <w:r w:rsidRPr="004D46AC">
        <w:rPr>
          <w:rFonts w:eastAsiaTheme="minorEastAsia"/>
        </w:rPr>
        <w:t xml:space="preserve">, 7(1), 60–67. https://doi.org/10.4306/pi.2010.7.1.60 </w:t>
      </w:r>
    </w:p>
    <w:p w14:paraId="774AB7E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Chrobak, A. A., Siuda-Krzywicka, K., Soltys, Z., Siwek, G. P., Bohaterewicz, B., Sobczak, A. M., Ceglarek, A., Tereszko, A., Starowicz-Filip, A., Fafrowicz, M., Marek, T., Siwek, M., &amp; Dudek, D. (2021). Relationship between neurological and cerebellar soft signs, and implicit motor learning in schizophrenia and bipolar disorder. Prog </w:t>
      </w:r>
      <w:proofErr w:type="spellStart"/>
      <w:r w:rsidRPr="004D46AC">
        <w:rPr>
          <w:rFonts w:eastAsiaTheme="minorEastAsia"/>
        </w:rPr>
        <w:t>Neuropsychopharmacol</w:t>
      </w:r>
      <w:proofErr w:type="spellEnd"/>
      <w:r w:rsidRPr="004D46AC">
        <w:rPr>
          <w:rFonts w:eastAsiaTheme="minorEastAsia"/>
        </w:rPr>
        <w:t xml:space="preserve"> </w:t>
      </w:r>
      <w:proofErr w:type="spellStart"/>
      <w:r w:rsidRPr="004D46AC">
        <w:rPr>
          <w:rFonts w:eastAsiaTheme="minorEastAsia"/>
        </w:rPr>
        <w:t>Biol</w:t>
      </w:r>
      <w:proofErr w:type="spellEnd"/>
      <w:r w:rsidRPr="004D46AC">
        <w:rPr>
          <w:rFonts w:eastAsiaTheme="minorEastAsia"/>
        </w:rPr>
        <w:t xml:space="preserve"> Psychiatry, 111, 110137. https://doi.org/10.1016/j.pnpbp.2020.110137 </w:t>
      </w:r>
    </w:p>
    <w:p w14:paraId="087F1BA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Chrobak, A. A., Soltys, Z., Dudek, D., &amp; Siwek, M. (2023). Neurological and cerebellar soft signs in bipolar disorder: The role of staging, type and history of psychotic symptoms. Prog </w:t>
      </w:r>
      <w:proofErr w:type="spellStart"/>
      <w:r w:rsidRPr="004D46AC">
        <w:rPr>
          <w:rFonts w:eastAsiaTheme="minorEastAsia"/>
        </w:rPr>
        <w:t>Neuropsychopharmacol</w:t>
      </w:r>
      <w:proofErr w:type="spellEnd"/>
      <w:r w:rsidRPr="004D46AC">
        <w:rPr>
          <w:rFonts w:eastAsiaTheme="minorEastAsia"/>
        </w:rPr>
        <w:t xml:space="preserve"> </w:t>
      </w:r>
      <w:proofErr w:type="spellStart"/>
      <w:r w:rsidRPr="004D46AC">
        <w:rPr>
          <w:rFonts w:eastAsiaTheme="minorEastAsia"/>
        </w:rPr>
        <w:t>Biol</w:t>
      </w:r>
      <w:proofErr w:type="spellEnd"/>
      <w:r w:rsidRPr="004D46AC">
        <w:rPr>
          <w:rFonts w:eastAsiaTheme="minorEastAsia"/>
        </w:rPr>
        <w:t xml:space="preserve"> Psychiatry, 121, 110673. https://doi.org/10.1016/j.pnpbp.2022.110673 </w:t>
      </w:r>
    </w:p>
    <w:p w14:paraId="0F538DD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Church, C., Andreassen, O. A., Lorentzen, S., Melle, I., &amp; Aas, M. (2017). Childhood Trauma and Minimization/Denial in People with and without a Severe Mental Disorder [Original Research]. Front </w:t>
      </w:r>
      <w:proofErr w:type="spellStart"/>
      <w:r w:rsidRPr="004D46AC">
        <w:rPr>
          <w:rFonts w:eastAsiaTheme="minorEastAsia"/>
        </w:rPr>
        <w:t>Psychol</w:t>
      </w:r>
      <w:proofErr w:type="spellEnd"/>
      <w:r w:rsidRPr="004D46AC">
        <w:rPr>
          <w:rFonts w:eastAsiaTheme="minorEastAsia"/>
        </w:rPr>
        <w:t xml:space="preserve">, 8, 1276. https://doi.org/10.3389/fpsyg.2017.01276 </w:t>
      </w:r>
    </w:p>
    <w:p w14:paraId="137513E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Corvin, A., O'Mahony, E., O'Regan, M., Comerford, C., O'Connell, R., Craddock, N., &amp; Gill, M. (2001). Cigarette smoking and psychotic symptoms in bipolar affective disorder. Br J Psychiatry, 179(1), 35–38. https://doi.org/10.1192/bjp.179.1.35 </w:t>
      </w:r>
    </w:p>
    <w:p w14:paraId="0D8836A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Costa, M. H., Kunz, M., Nierenberg, A. A., </w:t>
      </w:r>
      <w:proofErr w:type="spellStart"/>
      <w:r w:rsidRPr="004D46AC">
        <w:rPr>
          <w:rFonts w:eastAsiaTheme="minorEastAsia"/>
        </w:rPr>
        <w:t>Deckersbach</w:t>
      </w:r>
      <w:proofErr w:type="spellEnd"/>
      <w:r w:rsidRPr="004D46AC">
        <w:rPr>
          <w:rFonts w:eastAsiaTheme="minorEastAsia"/>
        </w:rPr>
        <w:t xml:space="preserve">, T., Berk, M., &amp; Magalhaes, P. V. S. (2020). Clozapine and the Course of Bipolar Disorder in the Systematic Treatment Enhancement Program for Bipolar Disorder (STEP-BD). Can J Psychiatry, 65(4), 245–252. https://doi.org/10.1177/0706743719900460 (Clozapine and the Course of Bipolar Disorder in the Systematic Treatment Enhancement Program for Bipolar Disorder (STEP-BD).) </w:t>
      </w:r>
    </w:p>
    <w:p w14:paraId="3DA5093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Cote-Allard, U., Jakobsen, P., </w:t>
      </w:r>
      <w:proofErr w:type="spellStart"/>
      <w:r w:rsidRPr="004D46AC">
        <w:rPr>
          <w:rFonts w:eastAsiaTheme="minorEastAsia"/>
        </w:rPr>
        <w:t>Stautland</w:t>
      </w:r>
      <w:proofErr w:type="spellEnd"/>
      <w:r w:rsidRPr="004D46AC">
        <w:rPr>
          <w:rFonts w:eastAsiaTheme="minorEastAsia"/>
        </w:rPr>
        <w:t xml:space="preserve">, A., </w:t>
      </w:r>
      <w:proofErr w:type="spellStart"/>
      <w:r w:rsidRPr="004D46AC">
        <w:rPr>
          <w:rFonts w:eastAsiaTheme="minorEastAsia"/>
        </w:rPr>
        <w:t>Nordgreen</w:t>
      </w:r>
      <w:proofErr w:type="spellEnd"/>
      <w:r w:rsidRPr="004D46AC">
        <w:rPr>
          <w:rFonts w:eastAsiaTheme="minorEastAsia"/>
        </w:rPr>
        <w:t xml:space="preserve">, T., Fasmer, O. B., </w:t>
      </w:r>
      <w:proofErr w:type="spellStart"/>
      <w:r w:rsidRPr="004D46AC">
        <w:rPr>
          <w:rFonts w:eastAsiaTheme="minorEastAsia"/>
        </w:rPr>
        <w:t>Oedegaard</w:t>
      </w:r>
      <w:proofErr w:type="spellEnd"/>
      <w:r w:rsidRPr="004D46AC">
        <w:rPr>
          <w:rFonts w:eastAsiaTheme="minorEastAsia"/>
        </w:rPr>
        <w:t xml:space="preserve">, K. J., &amp; Torresen, J. (2022). Long–Short Ensemble Network for Bipolar Manic-Euthymic State Recognition Based on Wrist-Worn Sensors. IEEE Pervasive Computing, 21(2), 20–31. https://doi.org/10.1109/mprv.2022.3155728 </w:t>
      </w:r>
    </w:p>
    <w:p w14:paraId="7F607D4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Cremaschi, L., </w:t>
      </w:r>
      <w:proofErr w:type="spellStart"/>
      <w:r w:rsidRPr="004D46AC">
        <w:rPr>
          <w:rFonts w:eastAsiaTheme="minorEastAsia"/>
        </w:rPr>
        <w:t>Dell'Osso</w:t>
      </w:r>
      <w:proofErr w:type="spellEnd"/>
      <w:r w:rsidRPr="004D46AC">
        <w:rPr>
          <w:rFonts w:eastAsiaTheme="minorEastAsia"/>
        </w:rPr>
        <w:t xml:space="preserve">, B., Vismara, M., Dobrea, C., </w:t>
      </w:r>
      <w:proofErr w:type="spellStart"/>
      <w:r w:rsidRPr="004D46AC">
        <w:rPr>
          <w:rFonts w:eastAsiaTheme="minorEastAsia"/>
        </w:rPr>
        <w:t>Buoli</w:t>
      </w:r>
      <w:proofErr w:type="spellEnd"/>
      <w:r w:rsidRPr="004D46AC">
        <w:rPr>
          <w:rFonts w:eastAsiaTheme="minorEastAsia"/>
        </w:rPr>
        <w:t xml:space="preserve">, M., Ketter, T. A., &amp; Altamura, A. C. (2017). Onset polarity in bipolar disorder: A strong association between first depressive episode and suicide attempts. J Affect </w:t>
      </w:r>
      <w:proofErr w:type="spellStart"/>
      <w:r w:rsidRPr="004D46AC">
        <w:rPr>
          <w:rFonts w:eastAsiaTheme="minorEastAsia"/>
        </w:rPr>
        <w:t>Disord</w:t>
      </w:r>
      <w:proofErr w:type="spellEnd"/>
      <w:r w:rsidRPr="004D46AC">
        <w:rPr>
          <w:rFonts w:eastAsiaTheme="minorEastAsia"/>
        </w:rPr>
        <w:t xml:space="preserve">, 209, 182–187. https://doi.org/10.1016/j.jad.2016.11.043 </w:t>
      </w:r>
    </w:p>
    <w:p w14:paraId="33B3840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Dalkner, N., </w:t>
      </w:r>
      <w:proofErr w:type="spellStart"/>
      <w:r w:rsidRPr="004D46AC">
        <w:rPr>
          <w:rFonts w:eastAsiaTheme="minorEastAsia"/>
        </w:rPr>
        <w:t>Bengesser</w:t>
      </w:r>
      <w:proofErr w:type="spellEnd"/>
      <w:r w:rsidRPr="004D46AC">
        <w:rPr>
          <w:rFonts w:eastAsiaTheme="minorEastAsia"/>
        </w:rPr>
        <w:t xml:space="preserve">, S. A., Birner, A., </w:t>
      </w:r>
      <w:proofErr w:type="spellStart"/>
      <w:r w:rsidRPr="004D46AC">
        <w:rPr>
          <w:rFonts w:eastAsiaTheme="minorEastAsia"/>
        </w:rPr>
        <w:t>Fellendorf</w:t>
      </w:r>
      <w:proofErr w:type="spellEnd"/>
      <w:r w:rsidRPr="004D46AC">
        <w:rPr>
          <w:rFonts w:eastAsiaTheme="minorEastAsia"/>
        </w:rPr>
        <w:t xml:space="preserve">, F. T., Fleischmann, E., </w:t>
      </w:r>
      <w:proofErr w:type="spellStart"/>
      <w:r w:rsidRPr="004D46AC">
        <w:rPr>
          <w:rFonts w:eastAsiaTheme="minorEastAsia"/>
        </w:rPr>
        <w:t>Grossschadl</w:t>
      </w:r>
      <w:proofErr w:type="spellEnd"/>
      <w:r w:rsidRPr="004D46AC">
        <w:rPr>
          <w:rFonts w:eastAsiaTheme="minorEastAsia"/>
        </w:rPr>
        <w:t xml:space="preserve">, K., Lenger, M., </w:t>
      </w:r>
      <w:proofErr w:type="spellStart"/>
      <w:r w:rsidRPr="004D46AC">
        <w:rPr>
          <w:rFonts w:eastAsiaTheme="minorEastAsia"/>
        </w:rPr>
        <w:t>Maget</w:t>
      </w:r>
      <w:proofErr w:type="spellEnd"/>
      <w:r w:rsidRPr="004D46AC">
        <w:rPr>
          <w:rFonts w:eastAsiaTheme="minorEastAsia"/>
        </w:rPr>
        <w:t xml:space="preserve">, A., Platzer, M., </w:t>
      </w:r>
      <w:proofErr w:type="spellStart"/>
      <w:r w:rsidRPr="004D46AC">
        <w:rPr>
          <w:rFonts w:eastAsiaTheme="minorEastAsia"/>
        </w:rPr>
        <w:t>Queissner</w:t>
      </w:r>
      <w:proofErr w:type="spellEnd"/>
      <w:r w:rsidRPr="004D46AC">
        <w:rPr>
          <w:rFonts w:eastAsiaTheme="minorEastAsia"/>
        </w:rPr>
        <w:t xml:space="preserve">, R., </w:t>
      </w:r>
      <w:proofErr w:type="spellStart"/>
      <w:r w:rsidRPr="004D46AC">
        <w:rPr>
          <w:rFonts w:eastAsiaTheme="minorEastAsia"/>
        </w:rPr>
        <w:t>Schonthaler</w:t>
      </w:r>
      <w:proofErr w:type="spellEnd"/>
      <w:r w:rsidRPr="004D46AC">
        <w:rPr>
          <w:rFonts w:eastAsiaTheme="minorEastAsia"/>
        </w:rPr>
        <w:t xml:space="preserve">, E., </w:t>
      </w:r>
      <w:proofErr w:type="spellStart"/>
      <w:r w:rsidRPr="004D46AC">
        <w:rPr>
          <w:rFonts w:eastAsiaTheme="minorEastAsia"/>
        </w:rPr>
        <w:t>Tmava</w:t>
      </w:r>
      <w:proofErr w:type="spellEnd"/>
      <w:r w:rsidRPr="004D46AC">
        <w:rPr>
          <w:rFonts w:eastAsiaTheme="minorEastAsia"/>
        </w:rPr>
        <w:t xml:space="preserve">-Berisha, A., &amp; </w:t>
      </w:r>
      <w:proofErr w:type="spellStart"/>
      <w:r w:rsidRPr="004D46AC">
        <w:rPr>
          <w:rFonts w:eastAsiaTheme="minorEastAsia"/>
        </w:rPr>
        <w:t>Reininghaus</w:t>
      </w:r>
      <w:proofErr w:type="spellEnd"/>
      <w:r w:rsidRPr="004D46AC">
        <w:rPr>
          <w:rFonts w:eastAsiaTheme="minorEastAsia"/>
        </w:rPr>
        <w:t xml:space="preserve">, E. Z. (2021). Metabolic Syndrome Impairs Executive Function in </w:t>
      </w:r>
      <w:r w:rsidRPr="004D46AC">
        <w:rPr>
          <w:rFonts w:eastAsiaTheme="minorEastAsia"/>
        </w:rPr>
        <w:lastRenderedPageBreak/>
        <w:t xml:space="preserve">Bipolar Disorder [Original Research]. Front </w:t>
      </w:r>
      <w:proofErr w:type="spellStart"/>
      <w:r w:rsidRPr="004D46AC">
        <w:rPr>
          <w:rFonts w:eastAsiaTheme="minorEastAsia"/>
        </w:rPr>
        <w:t>Neurosci</w:t>
      </w:r>
      <w:proofErr w:type="spellEnd"/>
      <w:r w:rsidRPr="004D46AC">
        <w:rPr>
          <w:rFonts w:eastAsiaTheme="minorEastAsia"/>
        </w:rPr>
        <w:t xml:space="preserve">, 15, 717824. https://doi.org/10.3389/fnins.2021.717824 </w:t>
      </w:r>
    </w:p>
    <w:p w14:paraId="08DDF6D0"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Dautzenberg</w:t>
      </w:r>
      <w:proofErr w:type="spellEnd"/>
      <w:r w:rsidRPr="004D46AC">
        <w:rPr>
          <w:rFonts w:eastAsiaTheme="minorEastAsia"/>
        </w:rPr>
        <w:t xml:space="preserve">, G., Lans, L., </w:t>
      </w:r>
      <w:proofErr w:type="spellStart"/>
      <w:r w:rsidRPr="004D46AC">
        <w:rPr>
          <w:rFonts w:eastAsiaTheme="minorEastAsia"/>
        </w:rPr>
        <w:t>Meesters</w:t>
      </w:r>
      <w:proofErr w:type="spellEnd"/>
      <w:r w:rsidRPr="004D46AC">
        <w:rPr>
          <w:rFonts w:eastAsiaTheme="minorEastAsia"/>
        </w:rPr>
        <w:t xml:space="preserve">, P. D., Kupka, R., Beekman, A., Stek, M. L., &amp; Dols, A. (2016). The care needs of older patients with bipolar disorder. Aging Ment Health, 20(9), 899–907. https://doi.org/10.1080/13607863.2015.1047321 </w:t>
      </w:r>
    </w:p>
    <w:p w14:paraId="4652485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De Dios, C., </w:t>
      </w:r>
      <w:proofErr w:type="spellStart"/>
      <w:r w:rsidRPr="004D46AC">
        <w:rPr>
          <w:rFonts w:eastAsiaTheme="minorEastAsia"/>
        </w:rPr>
        <w:t>Ezquiaga</w:t>
      </w:r>
      <w:proofErr w:type="spellEnd"/>
      <w:r w:rsidRPr="004D46AC">
        <w:rPr>
          <w:rFonts w:eastAsiaTheme="minorEastAsia"/>
        </w:rPr>
        <w:t xml:space="preserve">, E., </w:t>
      </w:r>
      <w:proofErr w:type="spellStart"/>
      <w:r w:rsidRPr="004D46AC">
        <w:rPr>
          <w:rFonts w:eastAsiaTheme="minorEastAsia"/>
        </w:rPr>
        <w:t>Agud</w:t>
      </w:r>
      <w:proofErr w:type="spellEnd"/>
      <w:r w:rsidRPr="004D46AC">
        <w:rPr>
          <w:rFonts w:eastAsiaTheme="minorEastAsia"/>
        </w:rPr>
        <w:t xml:space="preserve">, J. L., Vieta, E., Soler, B., &amp; Garcia-Lopez, A. (2012). Subthreshold symptoms and time to relapse/recurrence in a community cohort of bipolar disorder outpatients. J Affect </w:t>
      </w:r>
      <w:proofErr w:type="spellStart"/>
      <w:r w:rsidRPr="004D46AC">
        <w:rPr>
          <w:rFonts w:eastAsiaTheme="minorEastAsia"/>
        </w:rPr>
        <w:t>Disord</w:t>
      </w:r>
      <w:proofErr w:type="spellEnd"/>
      <w:r w:rsidRPr="004D46AC">
        <w:rPr>
          <w:rFonts w:eastAsiaTheme="minorEastAsia"/>
        </w:rPr>
        <w:t xml:space="preserve">, 143(1-3), 160–165. https://doi.org/10.1016/j.jad.2012.05.047 </w:t>
      </w:r>
    </w:p>
    <w:p w14:paraId="5DAE86C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De Pradier, M., </w:t>
      </w:r>
      <w:proofErr w:type="spellStart"/>
      <w:r w:rsidRPr="004D46AC">
        <w:rPr>
          <w:rFonts w:eastAsiaTheme="minorEastAsia"/>
        </w:rPr>
        <w:t>Gorwood</w:t>
      </w:r>
      <w:proofErr w:type="spellEnd"/>
      <w:r w:rsidRPr="004D46AC">
        <w:rPr>
          <w:rFonts w:eastAsiaTheme="minorEastAsia"/>
        </w:rPr>
        <w:t xml:space="preserve">, P., Beaufils, B., Ades, J., &amp; </w:t>
      </w:r>
      <w:proofErr w:type="spellStart"/>
      <w:r w:rsidRPr="004D46AC">
        <w:rPr>
          <w:rFonts w:eastAsiaTheme="minorEastAsia"/>
        </w:rPr>
        <w:t>Dubertret</w:t>
      </w:r>
      <w:proofErr w:type="spellEnd"/>
      <w:r w:rsidRPr="004D46AC">
        <w:rPr>
          <w:rFonts w:eastAsiaTheme="minorEastAsia"/>
        </w:rPr>
        <w:t xml:space="preserve">, C. (2010). Influence of the serotonin transporter gene polymorphism, cannabis and childhood sexual abuse on phenotype of bipolar disorder: a preliminary study. </w:t>
      </w:r>
      <w:proofErr w:type="spellStart"/>
      <w:r w:rsidRPr="004D46AC">
        <w:rPr>
          <w:rFonts w:eastAsiaTheme="minorEastAsia"/>
        </w:rPr>
        <w:t>Eur</w:t>
      </w:r>
      <w:proofErr w:type="spellEnd"/>
      <w:r w:rsidRPr="004D46AC">
        <w:rPr>
          <w:rFonts w:eastAsiaTheme="minorEastAsia"/>
        </w:rPr>
        <w:t xml:space="preserve"> Psychiatry, 25(6), 323–327. https://doi.org/10.1016/j.eurpsy.2009.10.002 </w:t>
      </w:r>
    </w:p>
    <w:p w14:paraId="0B75513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de Sousa, R. T., Busnello, J. V., Forlenza, O. V., Zanetti, M. V., Soeiro-de-Souza, M. G., van de Bilt, M. T., Moreno, R. A., Zarate, C. A., Jr., Gattaz, W. F., &amp; Machado-Vieira, R. (2012). Early improvement of psychotic symptoms with lithium monotherapy as a predictor of later response in mania. J </w:t>
      </w:r>
      <w:proofErr w:type="spellStart"/>
      <w:r w:rsidRPr="004D46AC">
        <w:rPr>
          <w:rFonts w:eastAsiaTheme="minorEastAsia"/>
        </w:rPr>
        <w:t>Psychiatr</w:t>
      </w:r>
      <w:proofErr w:type="spellEnd"/>
      <w:r w:rsidRPr="004D46AC">
        <w:rPr>
          <w:rFonts w:eastAsiaTheme="minorEastAsia"/>
        </w:rPr>
        <w:t xml:space="preserve"> Res, 46(12), 1564–1568. https://doi.org/10.1016/j.jpsychires.2012.08.011 </w:t>
      </w:r>
    </w:p>
    <w:p w14:paraId="2EB98B6A"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Dell'Osso</w:t>
      </w:r>
      <w:proofErr w:type="spellEnd"/>
      <w:r w:rsidRPr="004D46AC">
        <w:rPr>
          <w:rFonts w:eastAsiaTheme="minorEastAsia"/>
        </w:rPr>
        <w:t xml:space="preserve">, B., Holtzman, J. N., Goffin, K. C., Portillo, N., Hooshmand, F., Miller, S., Dore, J., Wang, P. W., Hill, S. J., &amp; Ketter, T. A. (2015). American tertiary </w:t>
      </w:r>
      <w:proofErr w:type="gramStart"/>
      <w:r w:rsidRPr="004D46AC">
        <w:rPr>
          <w:rFonts w:eastAsiaTheme="minorEastAsia"/>
        </w:rPr>
        <w:t>clinic-referred</w:t>
      </w:r>
      <w:proofErr w:type="gramEnd"/>
      <w:r w:rsidRPr="004D46AC">
        <w:rPr>
          <w:rFonts w:eastAsiaTheme="minorEastAsia"/>
        </w:rPr>
        <w:t xml:space="preserve"> bipolar II disorder compared to bipolar I disorder: More severe in multiple ways, but less severe in a few other ways. J Affect </w:t>
      </w:r>
      <w:proofErr w:type="spellStart"/>
      <w:r w:rsidRPr="004D46AC">
        <w:rPr>
          <w:rFonts w:eastAsiaTheme="minorEastAsia"/>
        </w:rPr>
        <w:t>Disord</w:t>
      </w:r>
      <w:proofErr w:type="spellEnd"/>
      <w:r w:rsidRPr="004D46AC">
        <w:rPr>
          <w:rFonts w:eastAsiaTheme="minorEastAsia"/>
        </w:rPr>
        <w:t xml:space="preserve">, 188, 257–262. https://doi.org/10.1016/j.jad.2015.09.001 </w:t>
      </w:r>
    </w:p>
    <w:p w14:paraId="1F26329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Dhiman, S., Subodh, B. N., &amp; Chakrabarti, S. (2022). Course and outcome of bipolar I disorder among Indian patients: A retrospective life-chart study. Indian J Psychiatry, 64(5), 510–517. https://doi.org/10.4103/indianjpsychiatry.indianjpsychiatry_129_21 </w:t>
      </w:r>
    </w:p>
    <w:p w14:paraId="176F462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Dilsaver, S. C., Benazzi, F., </w:t>
      </w:r>
      <w:proofErr w:type="spellStart"/>
      <w:r w:rsidRPr="004D46AC">
        <w:rPr>
          <w:rFonts w:eastAsiaTheme="minorEastAsia"/>
        </w:rPr>
        <w:t>Akiskal</w:t>
      </w:r>
      <w:proofErr w:type="spellEnd"/>
      <w:r w:rsidRPr="004D46AC">
        <w:rPr>
          <w:rFonts w:eastAsiaTheme="minorEastAsia"/>
        </w:rPr>
        <w:t xml:space="preserve">, K. K., &amp; </w:t>
      </w:r>
      <w:proofErr w:type="spellStart"/>
      <w:r w:rsidRPr="004D46AC">
        <w:rPr>
          <w:rFonts w:eastAsiaTheme="minorEastAsia"/>
        </w:rPr>
        <w:t>Akiskal</w:t>
      </w:r>
      <w:proofErr w:type="spellEnd"/>
      <w:r w:rsidRPr="004D46AC">
        <w:rPr>
          <w:rFonts w:eastAsiaTheme="minorEastAsia"/>
        </w:rPr>
        <w:t xml:space="preserve">, H. S. (2008). Differential patterns of lifetime multiple anxiety disorder comorbidity between Latino adults with bipolar I and major depressive disorders. Bull Menninger Clin, 72(2), 130–148. https://doi.org/10.1521/bumc.2008.72.2.130 </w:t>
      </w:r>
    </w:p>
    <w:p w14:paraId="22E2758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Dilsaver, S. C., Chen, Y. W., Swann, A. C., Shoaib, A. M., &amp; Krajewski, K. J. (1994). Suicidality in patients with pure and depressive mania. Am J Psychiatry, 151(9), 1312–1315. https://doi.org/10.1176/ajp.151.9.1312 </w:t>
      </w:r>
    </w:p>
    <w:p w14:paraId="64C4449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Dilsaver, S. C., Chen, Y. W., Swann, A. C., Shoaib, A. M., Tsai-Dilsaver, Y., &amp; Krajewski, K. J. (1997). Suicidality, panic disorder and psychosis in bipolar depression, depressive-mania and pure-mania. Psychiatry Res, 73(1-2), 47–56. https://doi.org/10.1016/s0165-1781(97)00109-1 </w:t>
      </w:r>
    </w:p>
    <w:p w14:paraId="5889232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Drachman, R., Colic, L., Sankar, A., Spencer, L., Goldman, D. A., Villa, L. M., Kim, J. A., Oquendo, M. A., Pittman, B., &amp; Blumberg, H. P. (2022). Rethinking "aggression" and impulsivity in bipolar disorder: Risk, clinical and brain circuitry features. J Affect </w:t>
      </w:r>
      <w:proofErr w:type="spellStart"/>
      <w:r w:rsidRPr="004D46AC">
        <w:rPr>
          <w:rFonts w:eastAsiaTheme="minorEastAsia"/>
        </w:rPr>
        <w:t>Disord</w:t>
      </w:r>
      <w:proofErr w:type="spellEnd"/>
      <w:r w:rsidRPr="004D46AC">
        <w:rPr>
          <w:rFonts w:eastAsiaTheme="minorEastAsia"/>
        </w:rPr>
        <w:t xml:space="preserve">, 303, 331–339. https://doi.org/10.1016/j.jad.2022.02.047 </w:t>
      </w:r>
    </w:p>
    <w:p w14:paraId="2017AE5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Ekman, C. J., Petrovic, P., Johansson, A. G., Sellgren, C., Ingvar, M., &amp; Landen, M. (2017). A History of Psychosis in Bipolar Disorder is Associated </w:t>
      </w:r>
      <w:proofErr w:type="gramStart"/>
      <w:r w:rsidRPr="004D46AC">
        <w:rPr>
          <w:rFonts w:eastAsiaTheme="minorEastAsia"/>
        </w:rPr>
        <w:t>With</w:t>
      </w:r>
      <w:proofErr w:type="gramEnd"/>
      <w:r w:rsidRPr="004D46AC">
        <w:rPr>
          <w:rFonts w:eastAsiaTheme="minorEastAsia"/>
        </w:rPr>
        <w:t xml:space="preserve"> Gray Matter Volume Reduction. </w:t>
      </w:r>
      <w:proofErr w:type="spellStart"/>
      <w:r w:rsidRPr="004D46AC">
        <w:rPr>
          <w:rFonts w:eastAsiaTheme="minorEastAsia"/>
        </w:rPr>
        <w:t>Schizophr</w:t>
      </w:r>
      <w:proofErr w:type="spellEnd"/>
      <w:r w:rsidRPr="004D46AC">
        <w:rPr>
          <w:rFonts w:eastAsiaTheme="minorEastAsia"/>
        </w:rPr>
        <w:t xml:space="preserve"> Bull, 43(1), 99–107. https://doi.org/10.1093/schbul/sbw080 </w:t>
      </w:r>
    </w:p>
    <w:p w14:paraId="478851DE"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Elowe</w:t>
      </w:r>
      <w:proofErr w:type="spellEnd"/>
      <w:r w:rsidRPr="004D46AC">
        <w:rPr>
          <w:rFonts w:eastAsiaTheme="minorEastAsia"/>
        </w:rPr>
        <w:t xml:space="preserve">, J., Vallat, J., </w:t>
      </w:r>
      <w:proofErr w:type="spellStart"/>
      <w:r w:rsidRPr="004D46AC">
        <w:rPr>
          <w:rFonts w:eastAsiaTheme="minorEastAsia"/>
        </w:rPr>
        <w:t>Castelao</w:t>
      </w:r>
      <w:proofErr w:type="spellEnd"/>
      <w:r w:rsidRPr="004D46AC">
        <w:rPr>
          <w:rFonts w:eastAsiaTheme="minorEastAsia"/>
        </w:rPr>
        <w:t xml:space="preserve">, E., Strippoli, M. F., Gholam, M., Ranjbar, S., Glaus, J., </w:t>
      </w:r>
      <w:proofErr w:type="spellStart"/>
      <w:r w:rsidRPr="004D46AC">
        <w:rPr>
          <w:rFonts w:eastAsiaTheme="minorEastAsia"/>
        </w:rPr>
        <w:t>Merikangas</w:t>
      </w:r>
      <w:proofErr w:type="spellEnd"/>
      <w:r w:rsidRPr="004D46AC">
        <w:rPr>
          <w:rFonts w:eastAsiaTheme="minorEastAsia"/>
        </w:rPr>
        <w:t xml:space="preserve">, K., Lavigne, B., Marquet, P., Preisig, M., &amp; Vandeleur, C. L. (2022). Psychotic features, particularly mood incongruence, as a hallmark of severity of bipolar I disorder. Int J Bipolar Disord, 10(1), 31. https://doi.org/10.1186/s40345-022-00280-6 </w:t>
      </w:r>
    </w:p>
    <w:p w14:paraId="53B97AB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Ernst, C. L., &amp; Goldberg, J. F. (2004). Clinical features related to age at onset in bipolar disorder. J Affect </w:t>
      </w:r>
      <w:proofErr w:type="spellStart"/>
      <w:r w:rsidRPr="004D46AC">
        <w:rPr>
          <w:rFonts w:eastAsiaTheme="minorEastAsia"/>
        </w:rPr>
        <w:t>Disord</w:t>
      </w:r>
      <w:proofErr w:type="spellEnd"/>
      <w:r w:rsidRPr="004D46AC">
        <w:rPr>
          <w:rFonts w:eastAsiaTheme="minorEastAsia"/>
        </w:rPr>
        <w:t xml:space="preserve">, 82(1), 21–27. https://doi.org/10.1016/j.jad.2003.10.002 </w:t>
      </w:r>
    </w:p>
    <w:p w14:paraId="0DA5290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Fekadu, A., </w:t>
      </w:r>
      <w:proofErr w:type="spellStart"/>
      <w:r w:rsidRPr="004D46AC">
        <w:rPr>
          <w:rFonts w:eastAsiaTheme="minorEastAsia"/>
        </w:rPr>
        <w:t>Shibre</w:t>
      </w:r>
      <w:proofErr w:type="spellEnd"/>
      <w:r w:rsidRPr="004D46AC">
        <w:rPr>
          <w:rFonts w:eastAsiaTheme="minorEastAsia"/>
        </w:rPr>
        <w:t xml:space="preserve">, T., Alem, A., Kebede, D., Kebreab, S., Negash, A., &amp; Owen, M. J. (2004). Bipolar disorder among an isolated island community in Ethiopia. J Affect </w:t>
      </w:r>
      <w:proofErr w:type="spellStart"/>
      <w:r w:rsidRPr="004D46AC">
        <w:rPr>
          <w:rFonts w:eastAsiaTheme="minorEastAsia"/>
        </w:rPr>
        <w:t>Disord</w:t>
      </w:r>
      <w:proofErr w:type="spellEnd"/>
      <w:r w:rsidRPr="004D46AC">
        <w:rPr>
          <w:rFonts w:eastAsiaTheme="minorEastAsia"/>
        </w:rPr>
        <w:t xml:space="preserve">, 80(1), 1–10. https://doi.org/10.1016/S0165-0327(02)00345-2 </w:t>
      </w:r>
    </w:p>
    <w:p w14:paraId="1424B383" w14:textId="77777777" w:rsidR="009864DB" w:rsidRPr="004D46AC" w:rsidRDefault="009864DB" w:rsidP="009864DB">
      <w:pPr>
        <w:spacing w:line="240" w:lineRule="auto"/>
        <w:ind w:left="709" w:hanging="720"/>
        <w:rPr>
          <w:rFonts w:eastAsiaTheme="minorEastAsia"/>
        </w:rPr>
      </w:pPr>
      <w:r w:rsidRPr="004D46AC">
        <w:rPr>
          <w:rFonts w:eastAsiaTheme="minorEastAsia"/>
        </w:rPr>
        <w:lastRenderedPageBreak/>
        <w:t xml:space="preserve">Ferentinos, P., </w:t>
      </w:r>
      <w:proofErr w:type="spellStart"/>
      <w:r w:rsidRPr="004D46AC">
        <w:rPr>
          <w:rFonts w:eastAsiaTheme="minorEastAsia"/>
        </w:rPr>
        <w:t>Fountoulakis</w:t>
      </w:r>
      <w:proofErr w:type="spellEnd"/>
      <w:r w:rsidRPr="004D46AC">
        <w:rPr>
          <w:rFonts w:eastAsiaTheme="minorEastAsia"/>
        </w:rPr>
        <w:t xml:space="preserve">, K. N., Lewis, C. M., </w:t>
      </w:r>
      <w:proofErr w:type="spellStart"/>
      <w:r w:rsidRPr="004D46AC">
        <w:rPr>
          <w:rFonts w:eastAsiaTheme="minorEastAsia"/>
        </w:rPr>
        <w:t>Porichi</w:t>
      </w:r>
      <w:proofErr w:type="spellEnd"/>
      <w:r w:rsidRPr="004D46AC">
        <w:rPr>
          <w:rFonts w:eastAsiaTheme="minorEastAsia"/>
        </w:rPr>
        <w:t xml:space="preserve">, E., </w:t>
      </w:r>
      <w:proofErr w:type="spellStart"/>
      <w:r w:rsidRPr="004D46AC">
        <w:rPr>
          <w:rFonts w:eastAsiaTheme="minorEastAsia"/>
        </w:rPr>
        <w:t>Dikeos</w:t>
      </w:r>
      <w:proofErr w:type="spellEnd"/>
      <w:r w:rsidRPr="004D46AC">
        <w:rPr>
          <w:rFonts w:eastAsiaTheme="minorEastAsia"/>
        </w:rPr>
        <w:t xml:space="preserve">, D., Papageorgiou, C., &amp; </w:t>
      </w:r>
      <w:proofErr w:type="spellStart"/>
      <w:r w:rsidRPr="004D46AC">
        <w:rPr>
          <w:rFonts w:eastAsiaTheme="minorEastAsia"/>
        </w:rPr>
        <w:t>Douzenis</w:t>
      </w:r>
      <w:proofErr w:type="spellEnd"/>
      <w:r w:rsidRPr="004D46AC">
        <w:rPr>
          <w:rFonts w:eastAsiaTheme="minorEastAsia"/>
        </w:rPr>
        <w:t xml:space="preserve">, A. (2017). Validating a two-dimensional bipolar spectrum model integrating DSM-5's mixed features specifier for Major Depressive Disorder. </w:t>
      </w:r>
      <w:proofErr w:type="spellStart"/>
      <w:r w:rsidRPr="004D46AC">
        <w:rPr>
          <w:rFonts w:eastAsiaTheme="minorEastAsia"/>
        </w:rPr>
        <w:t>Compr</w:t>
      </w:r>
      <w:proofErr w:type="spellEnd"/>
      <w:r w:rsidRPr="004D46AC">
        <w:rPr>
          <w:rFonts w:eastAsiaTheme="minorEastAsia"/>
        </w:rPr>
        <w:t xml:space="preserve"> Psychiatry, 77, 89–99. https://doi.org/10.1016/j.comppsych.2017.06.007 </w:t>
      </w:r>
    </w:p>
    <w:p w14:paraId="5F076F9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Finseth, P. I., Morken, G., Andreassen, O. A., Malt, U. F., &amp; Vaaler, A. E. (2012). Risk factors related to lifetime suicide attempts in acutely admitted bipolar disorder inpatients. Bipolar </w:t>
      </w:r>
      <w:proofErr w:type="spellStart"/>
      <w:r w:rsidRPr="004D46AC">
        <w:rPr>
          <w:rFonts w:eastAsiaTheme="minorEastAsia"/>
        </w:rPr>
        <w:t>Disord</w:t>
      </w:r>
      <w:proofErr w:type="spellEnd"/>
      <w:r w:rsidRPr="004D46AC">
        <w:rPr>
          <w:rFonts w:eastAsiaTheme="minorEastAsia"/>
        </w:rPr>
        <w:t xml:space="preserve">, 14(7), 727–734. https://doi.org/10.1111/bdi.12004 </w:t>
      </w:r>
    </w:p>
    <w:p w14:paraId="3B52081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Frangou, S. (2002). Predictors of outcome in a representative population of bipolar disorder. Bipolar </w:t>
      </w:r>
      <w:proofErr w:type="spellStart"/>
      <w:r w:rsidRPr="004D46AC">
        <w:rPr>
          <w:rFonts w:eastAsiaTheme="minorEastAsia"/>
        </w:rPr>
        <w:t>Disord</w:t>
      </w:r>
      <w:proofErr w:type="spellEnd"/>
      <w:r w:rsidRPr="004D46AC">
        <w:rPr>
          <w:rFonts w:eastAsiaTheme="minorEastAsia"/>
        </w:rPr>
        <w:t xml:space="preserve">, 4 </w:t>
      </w:r>
      <w:proofErr w:type="spellStart"/>
      <w:r w:rsidRPr="004D46AC">
        <w:rPr>
          <w:rFonts w:eastAsiaTheme="minorEastAsia"/>
        </w:rPr>
        <w:t>Suppl</w:t>
      </w:r>
      <w:proofErr w:type="spellEnd"/>
      <w:r w:rsidRPr="004D46AC">
        <w:rPr>
          <w:rFonts w:eastAsiaTheme="minorEastAsia"/>
        </w:rPr>
        <w:t xml:space="preserve"> 1, 41–42. https://doi.org/10.1034/j.1399-5618.4.s1.13.x </w:t>
      </w:r>
    </w:p>
    <w:p w14:paraId="550D58A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Fredriksen, K. J., Gjestad, R., Walby, F. A., Anda, L. G., </w:t>
      </w:r>
      <w:proofErr w:type="spellStart"/>
      <w:r w:rsidRPr="004D46AC">
        <w:rPr>
          <w:rFonts w:eastAsiaTheme="minorEastAsia"/>
        </w:rPr>
        <w:t>Oedegaard</w:t>
      </w:r>
      <w:proofErr w:type="spellEnd"/>
      <w:r w:rsidRPr="004D46AC">
        <w:rPr>
          <w:rFonts w:eastAsiaTheme="minorEastAsia"/>
        </w:rPr>
        <w:t xml:space="preserve">, K. J., &amp; </w:t>
      </w:r>
      <w:proofErr w:type="spellStart"/>
      <w:r w:rsidRPr="004D46AC">
        <w:rPr>
          <w:rFonts w:eastAsiaTheme="minorEastAsia"/>
        </w:rPr>
        <w:t>Schoeyen</w:t>
      </w:r>
      <w:proofErr w:type="spellEnd"/>
      <w:r w:rsidRPr="004D46AC">
        <w:rPr>
          <w:rFonts w:eastAsiaTheme="minorEastAsia"/>
        </w:rPr>
        <w:t>, H. K. (2022). High Scores on the Montgomery-</w:t>
      </w:r>
      <w:proofErr w:type="spellStart"/>
      <w:r w:rsidRPr="004D46AC">
        <w:rPr>
          <w:rFonts w:eastAsiaTheme="minorEastAsia"/>
        </w:rPr>
        <w:t>Asberg</w:t>
      </w:r>
      <w:proofErr w:type="spellEnd"/>
      <w:r w:rsidRPr="004D46AC">
        <w:rPr>
          <w:rFonts w:eastAsiaTheme="minorEastAsia"/>
        </w:rPr>
        <w:t xml:space="preserve"> Depression Rating Scale and Psychotic Symptoms Predict Suicide: A Prospective Cohort Study of Psychiatric Acute Ward Patients. J Clin Psychiatry, 83(5). https://doi.org/10.4088/JCP.21m14018 </w:t>
      </w:r>
    </w:p>
    <w:p w14:paraId="7C1014D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Fridberg, D. J., Hetrick, W. P., Brenner, C. A., Shekhar, A., Steffen, A. N., Malloy, F. W., &amp; O'Donnell, B. F. (2009). Relationships between auditory event-related potentials and mood state, medication, and comorbid psychiatric illness in patients with bipolar disorder [https://doi.org/10.1111/j.1399-5618.2009.00758.x]. Bipolar </w:t>
      </w:r>
      <w:proofErr w:type="spellStart"/>
      <w:r w:rsidRPr="004D46AC">
        <w:rPr>
          <w:rFonts w:eastAsiaTheme="minorEastAsia"/>
        </w:rPr>
        <w:t>Disord</w:t>
      </w:r>
      <w:proofErr w:type="spellEnd"/>
      <w:r w:rsidRPr="004D46AC">
        <w:rPr>
          <w:rFonts w:eastAsiaTheme="minorEastAsia"/>
        </w:rPr>
        <w:t xml:space="preserve">, 11(8), 857–866. https://doi.org/10.1111/j.1399-5618.2009.00758.x </w:t>
      </w:r>
    </w:p>
    <w:p w14:paraId="0FFCE2E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Frye, M. A., McElroy, S. L., Fuentes, M., Sutor, B., Schak, K. M., </w:t>
      </w:r>
      <w:proofErr w:type="spellStart"/>
      <w:r w:rsidRPr="004D46AC">
        <w:rPr>
          <w:rFonts w:eastAsiaTheme="minorEastAsia"/>
        </w:rPr>
        <w:t>Galardy</w:t>
      </w:r>
      <w:proofErr w:type="spellEnd"/>
      <w:r w:rsidRPr="004D46AC">
        <w:rPr>
          <w:rFonts w:eastAsiaTheme="minorEastAsia"/>
        </w:rPr>
        <w:t xml:space="preserve">, C. W., Palmer, B. A., Prieto, M. L., Kung, S., Sola, C. L., Ryu, E., </w:t>
      </w:r>
      <w:proofErr w:type="spellStart"/>
      <w:r w:rsidRPr="004D46AC">
        <w:rPr>
          <w:rFonts w:eastAsiaTheme="minorEastAsia"/>
        </w:rPr>
        <w:t>Veldic</w:t>
      </w:r>
      <w:proofErr w:type="spellEnd"/>
      <w:r w:rsidRPr="004D46AC">
        <w:rPr>
          <w:rFonts w:eastAsiaTheme="minorEastAsia"/>
        </w:rPr>
        <w:t xml:space="preserve">, M., Geske, J., Cuellar-Barboza, A., Seymour, L. R., Mori, N., Crowe, S., Rummans, T. A., &amp; Biernacka, J. M. (2015). Development of a bipolar disorder biobank: differential phenotyping for subsequent biomarker analyses. Int J Bipolar Disord, 3(1), 30. https://doi.org/10.1186/s40345-015-0030-4 </w:t>
      </w:r>
    </w:p>
    <w:p w14:paraId="7398E35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Gao, K., Kemp, D. E., </w:t>
      </w:r>
      <w:proofErr w:type="spellStart"/>
      <w:r w:rsidRPr="004D46AC">
        <w:rPr>
          <w:rFonts w:eastAsiaTheme="minorEastAsia"/>
        </w:rPr>
        <w:t>Ganocy</w:t>
      </w:r>
      <w:proofErr w:type="spellEnd"/>
      <w:r w:rsidRPr="004D46AC">
        <w:rPr>
          <w:rFonts w:eastAsiaTheme="minorEastAsia"/>
        </w:rPr>
        <w:t xml:space="preserve">, S. J., </w:t>
      </w:r>
      <w:proofErr w:type="spellStart"/>
      <w:r w:rsidRPr="004D46AC">
        <w:rPr>
          <w:rFonts w:eastAsiaTheme="minorEastAsia"/>
        </w:rPr>
        <w:t>Muzina</w:t>
      </w:r>
      <w:proofErr w:type="spellEnd"/>
      <w:r w:rsidRPr="004D46AC">
        <w:rPr>
          <w:rFonts w:eastAsiaTheme="minorEastAsia"/>
        </w:rPr>
        <w:t xml:space="preserve">, D. J., Xia, G., Findling, R. L., &amp; Calabrese, J. R. (2008). Treatment-emergent mania/hypomania during antidepressant monotherapy in patients with rapid cycling bipolar disorder. Bipolar </w:t>
      </w:r>
      <w:proofErr w:type="spellStart"/>
      <w:r w:rsidRPr="004D46AC">
        <w:rPr>
          <w:rFonts w:eastAsiaTheme="minorEastAsia"/>
        </w:rPr>
        <w:t>Disord</w:t>
      </w:r>
      <w:proofErr w:type="spellEnd"/>
      <w:r w:rsidRPr="004D46AC">
        <w:rPr>
          <w:rFonts w:eastAsiaTheme="minorEastAsia"/>
        </w:rPr>
        <w:t xml:space="preserve">, 10(8), 907–915. https://doi.org/10.1111/j.1399-5618.2008.00637.x </w:t>
      </w:r>
    </w:p>
    <w:p w14:paraId="4B55BE3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Garcia-Gonzalez, J., Ramirez, J., Howard, D. M., Brennan, C. H., Munroe, P. B., &amp; Keers, R. (2020). The effects of polygenic risk for psychiatric disorders and smoking behaviour on psychotic experiences in UK Biobank. </w:t>
      </w:r>
      <w:proofErr w:type="spellStart"/>
      <w:r w:rsidRPr="004D46AC">
        <w:rPr>
          <w:rFonts w:eastAsiaTheme="minorEastAsia"/>
        </w:rPr>
        <w:t>Transl</w:t>
      </w:r>
      <w:proofErr w:type="spellEnd"/>
      <w:r w:rsidRPr="004D46AC">
        <w:rPr>
          <w:rFonts w:eastAsiaTheme="minorEastAsia"/>
        </w:rPr>
        <w:t xml:space="preserve"> Psychiatry, 10(1), 330. https://doi.org/10.1038/s41398-020-01009-8 </w:t>
      </w:r>
    </w:p>
    <w:p w14:paraId="336F46E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Garcia-Jimenez, J., Gutierrez-Rojas, L., Jimenez-Fernandez, S., Gonzalez-Domenech, P. J., Carretero, M. D., &amp; </w:t>
      </w:r>
      <w:proofErr w:type="spellStart"/>
      <w:r w:rsidRPr="004D46AC">
        <w:rPr>
          <w:rFonts w:eastAsiaTheme="minorEastAsia"/>
        </w:rPr>
        <w:t>Gurpegui</w:t>
      </w:r>
      <w:proofErr w:type="spellEnd"/>
      <w:r w:rsidRPr="004D46AC">
        <w:rPr>
          <w:rFonts w:eastAsiaTheme="minorEastAsia"/>
        </w:rPr>
        <w:t xml:space="preserve">, M. (2020). Features Associated </w:t>
      </w:r>
      <w:proofErr w:type="gramStart"/>
      <w:r w:rsidRPr="004D46AC">
        <w:rPr>
          <w:rFonts w:eastAsiaTheme="minorEastAsia"/>
        </w:rPr>
        <w:t>With</w:t>
      </w:r>
      <w:proofErr w:type="gramEnd"/>
      <w:r w:rsidRPr="004D46AC">
        <w:rPr>
          <w:rFonts w:eastAsiaTheme="minorEastAsia"/>
        </w:rPr>
        <w:t xml:space="preserve"> Depressive Predominant Polarity and Early Illness Onset in Patients </w:t>
      </w:r>
      <w:proofErr w:type="gramStart"/>
      <w:r w:rsidRPr="004D46AC">
        <w:rPr>
          <w:rFonts w:eastAsiaTheme="minorEastAsia"/>
        </w:rPr>
        <w:t>With</w:t>
      </w:r>
      <w:proofErr w:type="gramEnd"/>
      <w:r w:rsidRPr="004D46AC">
        <w:rPr>
          <w:rFonts w:eastAsiaTheme="minorEastAsia"/>
        </w:rPr>
        <w:t xml:space="preserve"> Bipolar Disorder. Front Psychiatry, 11, 584501. https://doi.org/10.3389/fpsyt.2020.584501 </w:t>
      </w:r>
    </w:p>
    <w:p w14:paraId="4EFF0C1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Gaudiano, B. A., Uebelacker, L. A., &amp; Miller, I. W. (2007). Course of illness in psychotic mania: is mood incongruence important? J </w:t>
      </w:r>
      <w:proofErr w:type="spellStart"/>
      <w:r w:rsidRPr="004D46AC">
        <w:rPr>
          <w:rFonts w:eastAsiaTheme="minorEastAsia"/>
        </w:rPr>
        <w:t>Nerv</w:t>
      </w:r>
      <w:proofErr w:type="spellEnd"/>
      <w:r w:rsidRPr="004D46AC">
        <w:rPr>
          <w:rFonts w:eastAsiaTheme="minorEastAsia"/>
        </w:rPr>
        <w:t xml:space="preserve"> Ment Dis, 195(3), 226–232. https://doi.org/10.1097/01.nmd.0000243763.81487.4d </w:t>
      </w:r>
    </w:p>
    <w:p w14:paraId="297FACD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Gopal, S., Beyer, J. L., Steffens, D. C., &amp; Kramer, M. L. (2007). Symptomatic Remission in Patients with Bipolar Mania: Results from a Double-Blind, Placebo-Controlled Trial of Risperidone Monotherapy. Progress in Neurotherapeutics and Neuropsychopharmacology, 2(1), 213–224. https://doi.org/10.1017/s1748232106000152 </w:t>
      </w:r>
    </w:p>
    <w:p w14:paraId="22168FD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Gotra, M. Y., Hill, S. K., Gershon, E. S., Tamminga, C. A., Ivleva, E. I., Pearlson, G. D., Keshavan, M. S., Clementz, B. A., McDowell, J. E., Buckley, P. F., Sweeney, J. A., &amp; Keedy, S. K. (2020). Distinguishing patterns of impairment on inhibitory control and general cognitive ability among bipolar with and without psychosis, schizophrenia, and schizoaffective disorder. </w:t>
      </w:r>
      <w:proofErr w:type="spellStart"/>
      <w:r w:rsidRPr="004D46AC">
        <w:rPr>
          <w:rFonts w:eastAsiaTheme="minorEastAsia"/>
        </w:rPr>
        <w:t>Schizophr</w:t>
      </w:r>
      <w:proofErr w:type="spellEnd"/>
      <w:r w:rsidRPr="004D46AC">
        <w:rPr>
          <w:rFonts w:eastAsiaTheme="minorEastAsia"/>
        </w:rPr>
        <w:t xml:space="preserve"> Res, 223, 148–157. https://doi.org/10.1016/j.schres.2020.06.033 </w:t>
      </w:r>
    </w:p>
    <w:p w14:paraId="56982B5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Grover, S., Avasthi, A., Chakravarty, R., Dan, A., Chakraborty, K., </w:t>
      </w:r>
      <w:proofErr w:type="spellStart"/>
      <w:r w:rsidRPr="004D46AC">
        <w:rPr>
          <w:rFonts w:eastAsiaTheme="minorEastAsia"/>
        </w:rPr>
        <w:t>Neogi</w:t>
      </w:r>
      <w:proofErr w:type="spellEnd"/>
      <w:r w:rsidRPr="004D46AC">
        <w:rPr>
          <w:rFonts w:eastAsiaTheme="minorEastAsia"/>
        </w:rPr>
        <w:t xml:space="preserve">, R., Desouza, A., Nayak, O., Praharaj, S., Menon, V., Ramandeep, Bathla, M., Subramanyam, A. A., </w:t>
      </w:r>
      <w:proofErr w:type="spellStart"/>
      <w:r w:rsidRPr="004D46AC">
        <w:rPr>
          <w:rFonts w:eastAsiaTheme="minorEastAsia"/>
        </w:rPr>
        <w:t>Nebhinani</w:t>
      </w:r>
      <w:proofErr w:type="spellEnd"/>
      <w:r w:rsidRPr="004D46AC">
        <w:rPr>
          <w:rFonts w:eastAsiaTheme="minorEastAsia"/>
        </w:rPr>
        <w:t xml:space="preserve">, N., Ghosh, P., Lakdawala, B., &amp; Bhattacharya, R. (2021). Predominant polarity in bipolar disorder: Findings from the bipolar disorder course and outcome </w:t>
      </w:r>
      <w:r w:rsidRPr="004D46AC">
        <w:rPr>
          <w:rFonts w:eastAsiaTheme="minorEastAsia"/>
        </w:rPr>
        <w:lastRenderedPageBreak/>
        <w:t>study from India (</w:t>
      </w:r>
      <w:proofErr w:type="spellStart"/>
      <w:r w:rsidRPr="004D46AC">
        <w:rPr>
          <w:rFonts w:eastAsiaTheme="minorEastAsia"/>
        </w:rPr>
        <w:t>BiD-CoIN</w:t>
      </w:r>
      <w:proofErr w:type="spellEnd"/>
      <w:r w:rsidRPr="004D46AC">
        <w:rPr>
          <w:rFonts w:eastAsiaTheme="minorEastAsia"/>
        </w:rPr>
        <w:t xml:space="preserve"> study). </w:t>
      </w:r>
      <w:proofErr w:type="spellStart"/>
      <w:r w:rsidRPr="004D46AC">
        <w:rPr>
          <w:rFonts w:eastAsiaTheme="minorEastAsia"/>
        </w:rPr>
        <w:t>Compr</w:t>
      </w:r>
      <w:proofErr w:type="spellEnd"/>
      <w:r w:rsidRPr="004D46AC">
        <w:rPr>
          <w:rFonts w:eastAsiaTheme="minorEastAsia"/>
        </w:rPr>
        <w:t xml:space="preserve"> Psychiatry, 109, 152249. https://doi.org/10.1016/j.comppsych.2021.152249 </w:t>
      </w:r>
    </w:p>
    <w:p w14:paraId="26C4012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Harrow, M., Grossman, L. S., Silverstein, M. L., &amp; Meltzer, H. Y. (1982). Thought pathology in manic and schizophrenic patients. Its occurrence at hospital admission and seven weeks later. Arch Gen Psychiatry, 39(6), 665–671. https://doi.org/10.1001/archpsyc.1982.04290060027006 </w:t>
      </w:r>
    </w:p>
    <w:p w14:paraId="486CE66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Hassan, M., </w:t>
      </w:r>
      <w:proofErr w:type="spellStart"/>
      <w:r w:rsidRPr="004D46AC">
        <w:rPr>
          <w:rFonts w:eastAsiaTheme="minorEastAsia"/>
        </w:rPr>
        <w:t>Elzehery</w:t>
      </w:r>
      <w:proofErr w:type="spellEnd"/>
      <w:r w:rsidRPr="004D46AC">
        <w:rPr>
          <w:rFonts w:eastAsiaTheme="minorEastAsia"/>
        </w:rPr>
        <w:t xml:space="preserve">, R., </w:t>
      </w:r>
      <w:proofErr w:type="spellStart"/>
      <w:r w:rsidRPr="004D46AC">
        <w:rPr>
          <w:rFonts w:eastAsiaTheme="minorEastAsia"/>
        </w:rPr>
        <w:t>Mosaad</w:t>
      </w:r>
      <w:proofErr w:type="spellEnd"/>
      <w:r w:rsidRPr="004D46AC">
        <w:rPr>
          <w:rFonts w:eastAsiaTheme="minorEastAsia"/>
        </w:rPr>
        <w:t xml:space="preserve">, Y. M., Mostafa, M., </w:t>
      </w:r>
      <w:proofErr w:type="spellStart"/>
      <w:r w:rsidRPr="004D46AC">
        <w:rPr>
          <w:rFonts w:eastAsiaTheme="minorEastAsia"/>
        </w:rPr>
        <w:t>Elkalla</w:t>
      </w:r>
      <w:proofErr w:type="spellEnd"/>
      <w:r w:rsidRPr="004D46AC">
        <w:rPr>
          <w:rFonts w:eastAsiaTheme="minorEastAsia"/>
        </w:rPr>
        <w:t xml:space="preserve">, I. H. R., &amp; </w:t>
      </w:r>
      <w:proofErr w:type="spellStart"/>
      <w:r w:rsidRPr="004D46AC">
        <w:rPr>
          <w:rFonts w:eastAsiaTheme="minorEastAsia"/>
        </w:rPr>
        <w:t>Elwasify</w:t>
      </w:r>
      <w:proofErr w:type="spellEnd"/>
      <w:r w:rsidRPr="004D46AC">
        <w:rPr>
          <w:rFonts w:eastAsiaTheme="minorEastAsia"/>
        </w:rPr>
        <w:t xml:space="preserve">, M. (2023). Clinical characteristics of bipolar 1 disorder in relation to interleukin-6: a cross-sectional study among Egyptian patients. Middle East Current Psychiatry, 30(1), 21. https://doi.org/10.1186/s43045-023-00297-2 </w:t>
      </w:r>
    </w:p>
    <w:p w14:paraId="14CF977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Heron, J., Jones, I., Williams, J., Owen, M. J., Craddock, N., &amp; Jones, L. A. (2003). Self-reported schizotypy and bipolar disorder: demonstration of a lack of specificity of the Kings Schizotypy Questionnaire. </w:t>
      </w:r>
      <w:proofErr w:type="spellStart"/>
      <w:r w:rsidRPr="004D46AC">
        <w:rPr>
          <w:rFonts w:eastAsiaTheme="minorEastAsia"/>
        </w:rPr>
        <w:t>Schizophr</w:t>
      </w:r>
      <w:proofErr w:type="spellEnd"/>
      <w:r w:rsidRPr="004D46AC">
        <w:rPr>
          <w:rFonts w:eastAsiaTheme="minorEastAsia"/>
        </w:rPr>
        <w:t xml:space="preserve"> Res, 65(2-3), 153–158. https://doi.org/10.1016/s0920-9964(03)00004-5 </w:t>
      </w:r>
    </w:p>
    <w:p w14:paraId="7AF39EB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Hett, D., Morales-Munoz, I., </w:t>
      </w:r>
      <w:proofErr w:type="spellStart"/>
      <w:r w:rsidRPr="004D46AC">
        <w:rPr>
          <w:rFonts w:eastAsiaTheme="minorEastAsia"/>
        </w:rPr>
        <w:t>Durdurak</w:t>
      </w:r>
      <w:proofErr w:type="spellEnd"/>
      <w:r w:rsidRPr="004D46AC">
        <w:rPr>
          <w:rFonts w:eastAsiaTheme="minorEastAsia"/>
        </w:rPr>
        <w:t xml:space="preserve">, B. B., Carlish, M., &amp; Marwaha, S. (2023). Rates and associations of relapse over 5 years of 2649 people with bipolar disorder: a retrospective UK cohort study. Int J Bipolar Disord, 11(1), 23. https://doi.org/10.1186/s40345-023-00302-x </w:t>
      </w:r>
    </w:p>
    <w:p w14:paraId="6F1C48B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Hirschfeld, R. M., Keck, P. E., Jr., Kramer, M., Karcher, K., Canuso, C., </w:t>
      </w:r>
      <w:proofErr w:type="spellStart"/>
      <w:r w:rsidRPr="004D46AC">
        <w:rPr>
          <w:rFonts w:eastAsiaTheme="minorEastAsia"/>
        </w:rPr>
        <w:t>Eerdekens</w:t>
      </w:r>
      <w:proofErr w:type="spellEnd"/>
      <w:r w:rsidRPr="004D46AC">
        <w:rPr>
          <w:rFonts w:eastAsiaTheme="minorEastAsia"/>
        </w:rPr>
        <w:t xml:space="preserve">, M., &amp; Grossman, F. (2004). Rapid antimanic effect of risperidone monotherapy: a 3-week </w:t>
      </w:r>
      <w:proofErr w:type="spellStart"/>
      <w:r w:rsidRPr="004D46AC">
        <w:rPr>
          <w:rFonts w:eastAsiaTheme="minorEastAsia"/>
        </w:rPr>
        <w:t>multicenter</w:t>
      </w:r>
      <w:proofErr w:type="spellEnd"/>
      <w:r w:rsidRPr="004D46AC">
        <w:rPr>
          <w:rFonts w:eastAsiaTheme="minorEastAsia"/>
        </w:rPr>
        <w:t xml:space="preserve">, double-blind, placebo-controlled trial. Am J Psychiatry, 161(6), 1057–1065. https://doi.org/10.1176/appi.ajp.161.6.1057 </w:t>
      </w:r>
    </w:p>
    <w:p w14:paraId="2B1F637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Huang, Y. Q., Hong, W., Qiu, M. H., Zhi-Guo, W. U., Gao, C. Y., Peng, D. H., &amp; Fang, Y. R. (2015). A cross-sectional study of risk factors of various subtypes of current manic episode. Chinese Mental Health Journal. </w:t>
      </w:r>
    </w:p>
    <w:p w14:paraId="6E386A61"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Icick</w:t>
      </w:r>
      <w:proofErr w:type="spellEnd"/>
      <w:r w:rsidRPr="004D46AC">
        <w:rPr>
          <w:rFonts w:eastAsiaTheme="minorEastAsia"/>
        </w:rPr>
        <w:t xml:space="preserve">, R., Melle, I., Etain, B., Hoegh, M. C., Gard, S., Aminoff, S. R., Leboyer, M., Andreassen, O. A., </w:t>
      </w:r>
      <w:proofErr w:type="spellStart"/>
      <w:r w:rsidRPr="004D46AC">
        <w:rPr>
          <w:rFonts w:eastAsiaTheme="minorEastAsia"/>
        </w:rPr>
        <w:t>Belzeaux</w:t>
      </w:r>
      <w:proofErr w:type="spellEnd"/>
      <w:r w:rsidRPr="004D46AC">
        <w:rPr>
          <w:rFonts w:eastAsiaTheme="minorEastAsia"/>
        </w:rPr>
        <w:t xml:space="preserve">, R., Henry, C., Bjella, T. D., Kahn, J. P., Steen, N. E., </w:t>
      </w:r>
      <w:proofErr w:type="spellStart"/>
      <w:r w:rsidRPr="004D46AC">
        <w:rPr>
          <w:rFonts w:eastAsiaTheme="minorEastAsia"/>
        </w:rPr>
        <w:t>Bellivier</w:t>
      </w:r>
      <w:proofErr w:type="spellEnd"/>
      <w:r w:rsidRPr="004D46AC">
        <w:rPr>
          <w:rFonts w:eastAsiaTheme="minorEastAsia"/>
        </w:rPr>
        <w:t xml:space="preserve">, F., &amp; Lagerberg, T. V. (2022). Preventive Medication Patterns in Bipolar Disorder and Their Relationship </w:t>
      </w:r>
      <w:proofErr w:type="gramStart"/>
      <w:r w:rsidRPr="004D46AC">
        <w:rPr>
          <w:rFonts w:eastAsiaTheme="minorEastAsia"/>
        </w:rPr>
        <w:t>With</w:t>
      </w:r>
      <w:proofErr w:type="gramEnd"/>
      <w:r w:rsidRPr="004D46AC">
        <w:rPr>
          <w:rFonts w:eastAsiaTheme="minorEastAsia"/>
        </w:rPr>
        <w:t xml:space="preserve"> Comorbid Substance Use Disorders in a Cross-National Observational Study [Original Research]. Front Psychiatry, 13, 813256. https://doi.org/10.3389/fpsyt.2022.813256 </w:t>
      </w:r>
    </w:p>
    <w:p w14:paraId="0555FF62"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Janicak</w:t>
      </w:r>
      <w:proofErr w:type="spellEnd"/>
      <w:r w:rsidRPr="004D46AC">
        <w:rPr>
          <w:rFonts w:eastAsiaTheme="minorEastAsia"/>
        </w:rPr>
        <w:t xml:space="preserve">, P. G., Sharma, R. P., Pandey, G., &amp; Davis, J. M. (1998). Verapamil for the treatment of acute mania: a double-blind, placebo-controlled trial. Am J Psychiatry, 155(7), 972–973. https://doi.org/10.1176/ajp.155.7.972 </w:t>
      </w:r>
    </w:p>
    <w:p w14:paraId="4F32F4B1"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Karakus, G., &amp; Tamam, L. (2011). Impulse control disorder comorbidity among patients with bipolar I disorder. </w:t>
      </w:r>
      <w:proofErr w:type="spellStart"/>
      <w:r w:rsidRPr="004D46AC">
        <w:rPr>
          <w:rFonts w:eastAsiaTheme="minorEastAsia"/>
        </w:rPr>
        <w:t>Compr</w:t>
      </w:r>
      <w:proofErr w:type="spellEnd"/>
      <w:r w:rsidRPr="004D46AC">
        <w:rPr>
          <w:rFonts w:eastAsiaTheme="minorEastAsia"/>
        </w:rPr>
        <w:t xml:space="preserve"> Psychiatry, 52(4), 378–385. https://doi.org/10.1016/j.comppsych.2010.08.004 </w:t>
      </w:r>
    </w:p>
    <w:p w14:paraId="70E21CF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Kato, M., Adachi, N., Kubota, Y., </w:t>
      </w:r>
      <w:proofErr w:type="spellStart"/>
      <w:r w:rsidRPr="004D46AC">
        <w:rPr>
          <w:rFonts w:eastAsiaTheme="minorEastAsia"/>
        </w:rPr>
        <w:t>Azekawa</w:t>
      </w:r>
      <w:proofErr w:type="spellEnd"/>
      <w:r w:rsidRPr="004D46AC">
        <w:rPr>
          <w:rFonts w:eastAsiaTheme="minorEastAsia"/>
        </w:rPr>
        <w:t>, T., Ueda, H., Edagawa, K., Katsumoto, E., Goto, E., Hongo, S., Tsuboi, T., Yasui-</w:t>
      </w:r>
      <w:proofErr w:type="spellStart"/>
      <w:r w:rsidRPr="004D46AC">
        <w:rPr>
          <w:rFonts w:eastAsiaTheme="minorEastAsia"/>
        </w:rPr>
        <w:t>Furukori</w:t>
      </w:r>
      <w:proofErr w:type="spellEnd"/>
      <w:r w:rsidRPr="004D46AC">
        <w:rPr>
          <w:rFonts w:eastAsiaTheme="minorEastAsia"/>
        </w:rPr>
        <w:t xml:space="preserve">, N., Yoshimura, R., Nakagawa, A., Kikuchi, T., Kinoshita, T., Watanabe, Y., Miki, K., &amp; Watanabe, K. (2020). Clinical features related to rapid cycling and one-year euthymia in bipolar disorder patients: A </w:t>
      </w:r>
      <w:proofErr w:type="spellStart"/>
      <w:r w:rsidRPr="004D46AC">
        <w:rPr>
          <w:rFonts w:eastAsiaTheme="minorEastAsia"/>
        </w:rPr>
        <w:t>multicenter</w:t>
      </w:r>
      <w:proofErr w:type="spellEnd"/>
      <w:r w:rsidRPr="004D46AC">
        <w:rPr>
          <w:rFonts w:eastAsiaTheme="minorEastAsia"/>
        </w:rPr>
        <w:t xml:space="preserve"> treatment survey for bipolar disorder in psychiatric clinics (MUSUBI). J </w:t>
      </w:r>
      <w:proofErr w:type="spellStart"/>
      <w:r w:rsidRPr="004D46AC">
        <w:rPr>
          <w:rFonts w:eastAsiaTheme="minorEastAsia"/>
        </w:rPr>
        <w:t>Psychiatr</w:t>
      </w:r>
      <w:proofErr w:type="spellEnd"/>
      <w:r w:rsidRPr="004D46AC">
        <w:rPr>
          <w:rFonts w:eastAsiaTheme="minorEastAsia"/>
        </w:rPr>
        <w:t xml:space="preserve"> Res, 131, 228–234. https://doi.org/10.1016/j.jpsychires.2020.09.030 </w:t>
      </w:r>
    </w:p>
    <w:p w14:paraId="2D7D1FF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Kauer-Sant'Anna, M., Bond, D. J., Lam, R. W., &amp; </w:t>
      </w:r>
      <w:proofErr w:type="spellStart"/>
      <w:r w:rsidRPr="004D46AC">
        <w:rPr>
          <w:rFonts w:eastAsiaTheme="minorEastAsia"/>
        </w:rPr>
        <w:t>Yatham</w:t>
      </w:r>
      <w:proofErr w:type="spellEnd"/>
      <w:r w:rsidRPr="004D46AC">
        <w:rPr>
          <w:rFonts w:eastAsiaTheme="minorEastAsia"/>
        </w:rPr>
        <w:t xml:space="preserve">, L. N. (2009). Functional outcomes in first-episode patients with bipolar disorder: a prospective study from the Systematic Treatment Optimization Program for Early Mania project. </w:t>
      </w:r>
      <w:proofErr w:type="spellStart"/>
      <w:r w:rsidRPr="004D46AC">
        <w:rPr>
          <w:rFonts w:eastAsiaTheme="minorEastAsia"/>
        </w:rPr>
        <w:t>Compr</w:t>
      </w:r>
      <w:proofErr w:type="spellEnd"/>
      <w:r w:rsidRPr="004D46AC">
        <w:rPr>
          <w:rFonts w:eastAsiaTheme="minorEastAsia"/>
        </w:rPr>
        <w:t xml:space="preserve"> Psychiatry, 50(1), 1–8. https://doi.org/10.1016/j.comppsych.2008.05.013 </w:t>
      </w:r>
    </w:p>
    <w:p w14:paraId="343F4B0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Kaymaz, N., </w:t>
      </w:r>
      <w:proofErr w:type="spellStart"/>
      <w:r w:rsidRPr="004D46AC">
        <w:rPr>
          <w:rFonts w:eastAsiaTheme="minorEastAsia"/>
        </w:rPr>
        <w:t>Krabbendam</w:t>
      </w:r>
      <w:proofErr w:type="spellEnd"/>
      <w:r w:rsidRPr="004D46AC">
        <w:rPr>
          <w:rFonts w:eastAsiaTheme="minorEastAsia"/>
        </w:rPr>
        <w:t xml:space="preserve">, L., de Graaf, R., Nolen, W., Ten Have, M., &amp; van </w:t>
      </w:r>
      <w:proofErr w:type="spellStart"/>
      <w:r w:rsidRPr="004D46AC">
        <w:rPr>
          <w:rFonts w:eastAsiaTheme="minorEastAsia"/>
        </w:rPr>
        <w:t>Os</w:t>
      </w:r>
      <w:proofErr w:type="spellEnd"/>
      <w:r w:rsidRPr="004D46AC">
        <w:rPr>
          <w:rFonts w:eastAsiaTheme="minorEastAsia"/>
        </w:rPr>
        <w:t xml:space="preserve">, J. (2006). Evidence that the urban environment specifically impacts on the psychotic but not the affective dimension of bipolar disorder. Soc Psychiatry </w:t>
      </w:r>
      <w:proofErr w:type="spellStart"/>
      <w:r w:rsidRPr="004D46AC">
        <w:rPr>
          <w:rFonts w:eastAsiaTheme="minorEastAsia"/>
        </w:rPr>
        <w:t>Psychiatr</w:t>
      </w:r>
      <w:proofErr w:type="spellEnd"/>
      <w:r w:rsidRPr="004D46AC">
        <w:rPr>
          <w:rFonts w:eastAsiaTheme="minorEastAsia"/>
        </w:rPr>
        <w:t xml:space="preserve"> </w:t>
      </w:r>
      <w:proofErr w:type="spellStart"/>
      <w:r w:rsidRPr="004D46AC">
        <w:rPr>
          <w:rFonts w:eastAsiaTheme="minorEastAsia"/>
        </w:rPr>
        <w:t>Epidemiol</w:t>
      </w:r>
      <w:proofErr w:type="spellEnd"/>
      <w:r w:rsidRPr="004D46AC">
        <w:rPr>
          <w:rFonts w:eastAsiaTheme="minorEastAsia"/>
        </w:rPr>
        <w:t xml:space="preserve">, 41(9), 679–685. https://doi.org/10.1007/s00127-006-0086-7 </w:t>
      </w:r>
    </w:p>
    <w:p w14:paraId="7B2E034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Keck, P. E., Jr., McElroy, S. L., Havens, J. R., Altshuler, L. L., Nolen, W. A., Frye, M. A., Suppes, T., </w:t>
      </w:r>
      <w:proofErr w:type="spellStart"/>
      <w:r w:rsidRPr="004D46AC">
        <w:rPr>
          <w:rFonts w:eastAsiaTheme="minorEastAsia"/>
        </w:rPr>
        <w:t>Denicoff</w:t>
      </w:r>
      <w:proofErr w:type="spellEnd"/>
      <w:r w:rsidRPr="004D46AC">
        <w:rPr>
          <w:rFonts w:eastAsiaTheme="minorEastAsia"/>
        </w:rPr>
        <w:t xml:space="preserve">, K. D., Kupka, R., Leverich, G. S., Rush, A. J., &amp; Post, R. M. (2003). Psychosis in bipolar disorder: phenomenology and impact on morbidity and </w:t>
      </w:r>
      <w:r w:rsidRPr="004D46AC">
        <w:rPr>
          <w:rFonts w:eastAsiaTheme="minorEastAsia"/>
        </w:rPr>
        <w:lastRenderedPageBreak/>
        <w:t xml:space="preserve">course of illness. </w:t>
      </w:r>
      <w:proofErr w:type="spellStart"/>
      <w:r w:rsidRPr="004D46AC">
        <w:rPr>
          <w:rFonts w:eastAsiaTheme="minorEastAsia"/>
        </w:rPr>
        <w:t>Compr</w:t>
      </w:r>
      <w:proofErr w:type="spellEnd"/>
      <w:r w:rsidRPr="004D46AC">
        <w:rPr>
          <w:rFonts w:eastAsiaTheme="minorEastAsia"/>
        </w:rPr>
        <w:t xml:space="preserve"> Psychiatry, 44(4), 263–269. https://doi.org/10.1016/S0010-440X(03)00089-0 </w:t>
      </w:r>
    </w:p>
    <w:p w14:paraId="2F410D1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Keck, P. E., Orsulak, P. J., Cutler, A. J., Sanchez, R., </w:t>
      </w:r>
      <w:proofErr w:type="spellStart"/>
      <w:r w:rsidRPr="004D46AC">
        <w:rPr>
          <w:rFonts w:eastAsiaTheme="minorEastAsia"/>
        </w:rPr>
        <w:t>Torbeyns</w:t>
      </w:r>
      <w:proofErr w:type="spellEnd"/>
      <w:r w:rsidRPr="004D46AC">
        <w:rPr>
          <w:rFonts w:eastAsiaTheme="minorEastAsia"/>
        </w:rPr>
        <w:t xml:space="preserve">, A., Marcus, R. N., McQuade, R. D., Carson, W. H., &amp; Group, C. N. S. (2009). Aripiprazole monotherapy in the treatment of acute bipolar I mania: a randomized, double-blind, placebo- and lithium-controlled study. J Affect </w:t>
      </w:r>
      <w:proofErr w:type="spellStart"/>
      <w:r w:rsidRPr="004D46AC">
        <w:rPr>
          <w:rFonts w:eastAsiaTheme="minorEastAsia"/>
        </w:rPr>
        <w:t>Disord</w:t>
      </w:r>
      <w:proofErr w:type="spellEnd"/>
      <w:r w:rsidRPr="004D46AC">
        <w:rPr>
          <w:rFonts w:eastAsiaTheme="minorEastAsia"/>
        </w:rPr>
        <w:t xml:space="preserve">, 112(1-3), 36–49. https://doi.org/10.1016/j.jad.2008.05.014 </w:t>
      </w:r>
    </w:p>
    <w:p w14:paraId="6DA10CA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Kennedy, N., Boydell, J., van </w:t>
      </w:r>
      <w:proofErr w:type="spellStart"/>
      <w:r w:rsidRPr="004D46AC">
        <w:rPr>
          <w:rFonts w:eastAsiaTheme="minorEastAsia"/>
        </w:rPr>
        <w:t>Os</w:t>
      </w:r>
      <w:proofErr w:type="spellEnd"/>
      <w:r w:rsidRPr="004D46AC">
        <w:rPr>
          <w:rFonts w:eastAsiaTheme="minorEastAsia"/>
        </w:rPr>
        <w:t xml:space="preserve">, J., &amp; Murray, R. M. (2004). Ethnic differences in first clinical presentation of bipolar disorder: results from an epidemiological study. J Affect </w:t>
      </w:r>
      <w:proofErr w:type="spellStart"/>
      <w:r w:rsidRPr="004D46AC">
        <w:rPr>
          <w:rFonts w:eastAsiaTheme="minorEastAsia"/>
        </w:rPr>
        <w:t>Disord</w:t>
      </w:r>
      <w:proofErr w:type="spellEnd"/>
      <w:r w:rsidRPr="004D46AC">
        <w:rPr>
          <w:rFonts w:eastAsiaTheme="minorEastAsia"/>
        </w:rPr>
        <w:t xml:space="preserve">, 83(2-3), 161–168. https://doi.org/10.1016/j.jad.2004.06.006 </w:t>
      </w:r>
    </w:p>
    <w:p w14:paraId="566EDA20"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Keramatian</w:t>
      </w:r>
      <w:proofErr w:type="spellEnd"/>
      <w:r w:rsidRPr="004D46AC">
        <w:rPr>
          <w:rFonts w:eastAsiaTheme="minorEastAsia"/>
        </w:rPr>
        <w:t xml:space="preserve">, K., Pinto, J. V., Schaffer, A., Sharma, V., Beaulieu, S., Parikh, S. V., &amp; </w:t>
      </w:r>
      <w:proofErr w:type="spellStart"/>
      <w:r w:rsidRPr="004D46AC">
        <w:rPr>
          <w:rFonts w:eastAsiaTheme="minorEastAsia"/>
        </w:rPr>
        <w:t>Yatham</w:t>
      </w:r>
      <w:proofErr w:type="spellEnd"/>
      <w:r w:rsidRPr="004D46AC">
        <w:rPr>
          <w:rFonts w:eastAsiaTheme="minorEastAsia"/>
        </w:rPr>
        <w:t xml:space="preserve">, L. N. (2022). Clinical and demographic factors associated with delayed diagnosis of bipolar disorder: Data from Health Outcomes and Patient Evaluations in Bipolar Disorder (HOPE-BD) study. J Affect </w:t>
      </w:r>
      <w:proofErr w:type="spellStart"/>
      <w:r w:rsidRPr="004D46AC">
        <w:rPr>
          <w:rFonts w:eastAsiaTheme="minorEastAsia"/>
        </w:rPr>
        <w:t>Disord</w:t>
      </w:r>
      <w:proofErr w:type="spellEnd"/>
      <w:r w:rsidRPr="004D46AC">
        <w:rPr>
          <w:rFonts w:eastAsiaTheme="minorEastAsia"/>
        </w:rPr>
        <w:t xml:space="preserve">, 296, 506–513. https://doi.org/10.1016/j.jad.2021.09.094 </w:t>
      </w:r>
    </w:p>
    <w:p w14:paraId="75B2E2D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Kesebir, S., </w:t>
      </w:r>
      <w:proofErr w:type="spellStart"/>
      <w:r w:rsidRPr="004D46AC">
        <w:rPr>
          <w:rFonts w:eastAsiaTheme="minorEastAsia"/>
        </w:rPr>
        <w:t>Isitmez</w:t>
      </w:r>
      <w:proofErr w:type="spellEnd"/>
      <w:r w:rsidRPr="004D46AC">
        <w:rPr>
          <w:rFonts w:eastAsiaTheme="minorEastAsia"/>
        </w:rPr>
        <w:t xml:space="preserve">, S., &amp; </w:t>
      </w:r>
      <w:proofErr w:type="spellStart"/>
      <w:r w:rsidRPr="004D46AC">
        <w:rPr>
          <w:rFonts w:eastAsiaTheme="minorEastAsia"/>
        </w:rPr>
        <w:t>Gundogar</w:t>
      </w:r>
      <w:proofErr w:type="spellEnd"/>
      <w:r w:rsidRPr="004D46AC">
        <w:rPr>
          <w:rFonts w:eastAsiaTheme="minorEastAsia"/>
        </w:rPr>
        <w:t xml:space="preserve">, D. (2012). Compulsive buying in bipolar disorder: is it a comorbidity or a complication? J Affect </w:t>
      </w:r>
      <w:proofErr w:type="spellStart"/>
      <w:r w:rsidRPr="004D46AC">
        <w:rPr>
          <w:rFonts w:eastAsiaTheme="minorEastAsia"/>
        </w:rPr>
        <w:t>Disord</w:t>
      </w:r>
      <w:proofErr w:type="spellEnd"/>
      <w:r w:rsidRPr="004D46AC">
        <w:rPr>
          <w:rFonts w:eastAsiaTheme="minorEastAsia"/>
        </w:rPr>
        <w:t xml:space="preserve">, 136(3), 797–802. https://doi.org/10.1016/j.jad.2011.09.037 </w:t>
      </w:r>
    </w:p>
    <w:p w14:paraId="6AB5AE3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Kessing, L. V. (2004). Gender differences in the phenomenology of bipolar disorder. Bipolar </w:t>
      </w:r>
      <w:proofErr w:type="spellStart"/>
      <w:r w:rsidRPr="004D46AC">
        <w:rPr>
          <w:rFonts w:eastAsiaTheme="minorEastAsia"/>
        </w:rPr>
        <w:t>Disord</w:t>
      </w:r>
      <w:proofErr w:type="spellEnd"/>
      <w:r w:rsidRPr="004D46AC">
        <w:rPr>
          <w:rFonts w:eastAsiaTheme="minorEastAsia"/>
        </w:rPr>
        <w:t xml:space="preserve">, 6(5), 421–425. https://doi.org/10.1111/j.1399-5618.2004.00135.x </w:t>
      </w:r>
    </w:p>
    <w:p w14:paraId="56EA73D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Khanna, S., Vieta, E., Lyons, B., Grossman, F., </w:t>
      </w:r>
      <w:proofErr w:type="spellStart"/>
      <w:r w:rsidRPr="004D46AC">
        <w:rPr>
          <w:rFonts w:eastAsiaTheme="minorEastAsia"/>
        </w:rPr>
        <w:t>Eerdekens</w:t>
      </w:r>
      <w:proofErr w:type="spellEnd"/>
      <w:r w:rsidRPr="004D46AC">
        <w:rPr>
          <w:rFonts w:eastAsiaTheme="minorEastAsia"/>
        </w:rPr>
        <w:t xml:space="preserve">, M., &amp; Kramer, M. (2005). Risperidone in the treatment of acute mania: double-blind, placebo-controlled study. Br J Psychiatry, 187, 229–234. https://doi.org/10.1192/bjp.187.3.229 </w:t>
      </w:r>
    </w:p>
    <w:p w14:paraId="7B6AC77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Kilbourne, A. M., Bauer, M. S., Pincus, H., Williford, W. O., Kirk, G. F., Beresford, T., &amp; Veterans Administration Cooperative Study, T. (2005). Clinical, psychosocial, and treatment differences in minority patients with bipolar disorder. Bipolar </w:t>
      </w:r>
      <w:proofErr w:type="spellStart"/>
      <w:r w:rsidRPr="004D46AC">
        <w:rPr>
          <w:rFonts w:eastAsiaTheme="minorEastAsia"/>
        </w:rPr>
        <w:t>Disord</w:t>
      </w:r>
      <w:proofErr w:type="spellEnd"/>
      <w:r w:rsidRPr="004D46AC">
        <w:rPr>
          <w:rFonts w:eastAsiaTheme="minorEastAsia"/>
        </w:rPr>
        <w:t xml:space="preserve">, 7(1), 89–97. https://doi.org/10.1111/j.1399-5618.2004.00161.x </w:t>
      </w:r>
    </w:p>
    <w:p w14:paraId="4A73CBB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Kim, H., Kim, Y., Baek, J. H., Fava, M., </w:t>
      </w:r>
      <w:proofErr w:type="spellStart"/>
      <w:r w:rsidRPr="004D46AC">
        <w:rPr>
          <w:rFonts w:eastAsiaTheme="minorEastAsia"/>
        </w:rPr>
        <w:t>Mischoulon</w:t>
      </w:r>
      <w:proofErr w:type="spellEnd"/>
      <w:r w:rsidRPr="004D46AC">
        <w:rPr>
          <w:rFonts w:eastAsiaTheme="minorEastAsia"/>
        </w:rPr>
        <w:t xml:space="preserve">, D., Nierenberg, A. A., Choi, K. W., Na, E. J., Shin, M. H., &amp; Jeon, H. J. (2020). Predictive factors of diagnostic conversion from major depressive disorder to bipolar disorder in young adults ages 19-34: A nationwide population study in South Korea. J Affect </w:t>
      </w:r>
      <w:proofErr w:type="spellStart"/>
      <w:r w:rsidRPr="004D46AC">
        <w:rPr>
          <w:rFonts w:eastAsiaTheme="minorEastAsia"/>
        </w:rPr>
        <w:t>Disord</w:t>
      </w:r>
      <w:proofErr w:type="spellEnd"/>
      <w:r w:rsidRPr="004D46AC">
        <w:rPr>
          <w:rFonts w:eastAsiaTheme="minorEastAsia"/>
        </w:rPr>
        <w:t xml:space="preserve">, 265, 52–58. https://doi.org/10.1016/j.jad.2020.01.009 </w:t>
      </w:r>
    </w:p>
    <w:p w14:paraId="575B2C6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Kruger, S., Quilty, L., Bagby, M., Lippold, T., Bermpohl, F., &amp; </w:t>
      </w:r>
      <w:proofErr w:type="spellStart"/>
      <w:r w:rsidRPr="004D46AC">
        <w:rPr>
          <w:rFonts w:eastAsiaTheme="minorEastAsia"/>
        </w:rPr>
        <w:t>Braunig</w:t>
      </w:r>
      <w:proofErr w:type="spellEnd"/>
      <w:r w:rsidRPr="004D46AC">
        <w:rPr>
          <w:rFonts w:eastAsiaTheme="minorEastAsia"/>
        </w:rPr>
        <w:t xml:space="preserve">, P. (2010). The Observer-Rated Scale for Mania (ORSM): development, psychometric properties and utility. J Affect </w:t>
      </w:r>
      <w:proofErr w:type="spellStart"/>
      <w:r w:rsidRPr="004D46AC">
        <w:rPr>
          <w:rFonts w:eastAsiaTheme="minorEastAsia"/>
        </w:rPr>
        <w:t>Disord</w:t>
      </w:r>
      <w:proofErr w:type="spellEnd"/>
      <w:r w:rsidRPr="004D46AC">
        <w:rPr>
          <w:rFonts w:eastAsiaTheme="minorEastAsia"/>
        </w:rPr>
        <w:t xml:space="preserve">, 122(1-2), 179–183. https://doi.org/10.1016/j.jad.2009.07.022 </w:t>
      </w:r>
    </w:p>
    <w:p w14:paraId="5FC468F4" w14:textId="77777777" w:rsidR="009864DB" w:rsidRPr="004D46AC" w:rsidRDefault="009864DB" w:rsidP="009864DB">
      <w:pPr>
        <w:spacing w:line="240" w:lineRule="auto"/>
        <w:ind w:left="709" w:hanging="720"/>
        <w:rPr>
          <w:rFonts w:eastAsiaTheme="minorEastAsia"/>
        </w:rPr>
      </w:pPr>
      <w:r w:rsidRPr="004D46AC">
        <w:rPr>
          <w:rFonts w:eastAsiaTheme="minorEastAsia"/>
        </w:rPr>
        <w:t>Larsen, E. M., Ospina, L. H., Cuesta-Diaz, A., Vian-</w:t>
      </w:r>
      <w:proofErr w:type="spellStart"/>
      <w:r w:rsidRPr="004D46AC">
        <w:rPr>
          <w:rFonts w:eastAsiaTheme="minorEastAsia"/>
        </w:rPr>
        <w:t>Lains</w:t>
      </w:r>
      <w:proofErr w:type="spellEnd"/>
      <w:r w:rsidRPr="004D46AC">
        <w:rPr>
          <w:rFonts w:eastAsiaTheme="minorEastAsia"/>
        </w:rPr>
        <w:t xml:space="preserve">, A., </w:t>
      </w:r>
      <w:proofErr w:type="spellStart"/>
      <w:r w:rsidRPr="004D46AC">
        <w:rPr>
          <w:rFonts w:eastAsiaTheme="minorEastAsia"/>
        </w:rPr>
        <w:t>Nitzburg</w:t>
      </w:r>
      <w:proofErr w:type="spellEnd"/>
      <w:r w:rsidRPr="004D46AC">
        <w:rPr>
          <w:rFonts w:eastAsiaTheme="minorEastAsia"/>
        </w:rPr>
        <w:t xml:space="preserve">, G. C., </w:t>
      </w:r>
      <w:proofErr w:type="spellStart"/>
      <w:r w:rsidRPr="004D46AC">
        <w:rPr>
          <w:rFonts w:eastAsiaTheme="minorEastAsia"/>
        </w:rPr>
        <w:t>Mulaimovic</w:t>
      </w:r>
      <w:proofErr w:type="spellEnd"/>
      <w:r w:rsidRPr="004D46AC">
        <w:rPr>
          <w:rFonts w:eastAsiaTheme="minorEastAsia"/>
        </w:rPr>
        <w:t xml:space="preserve">, S., </w:t>
      </w:r>
      <w:proofErr w:type="spellStart"/>
      <w:r w:rsidRPr="004D46AC">
        <w:rPr>
          <w:rFonts w:eastAsiaTheme="minorEastAsia"/>
        </w:rPr>
        <w:t>Latifoglu</w:t>
      </w:r>
      <w:proofErr w:type="spellEnd"/>
      <w:r w:rsidRPr="004D46AC">
        <w:rPr>
          <w:rFonts w:eastAsiaTheme="minorEastAsia"/>
        </w:rPr>
        <w:t xml:space="preserve">, A., Clari, R., &amp; Burdick, K. E. (2019). Effects of childhood trauma on adult moral decision-making: Clinical correlates and insights from bipolar disorder. J Affect </w:t>
      </w:r>
      <w:proofErr w:type="spellStart"/>
      <w:r w:rsidRPr="004D46AC">
        <w:rPr>
          <w:rFonts w:eastAsiaTheme="minorEastAsia"/>
        </w:rPr>
        <w:t>Disord</w:t>
      </w:r>
      <w:proofErr w:type="spellEnd"/>
      <w:r w:rsidRPr="004D46AC">
        <w:rPr>
          <w:rFonts w:eastAsiaTheme="minorEastAsia"/>
        </w:rPr>
        <w:t xml:space="preserve">, 244, 180–186. https://doi.org/10.1016/j.jad.2018.10.002 </w:t>
      </w:r>
    </w:p>
    <w:p w14:paraId="0CFB2F3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Lavagnino, L., Cao, B., Mwangi, B., Wu, M. J., Sanches, M., </w:t>
      </w:r>
      <w:proofErr w:type="spellStart"/>
      <w:r w:rsidRPr="004D46AC">
        <w:rPr>
          <w:rFonts w:eastAsiaTheme="minorEastAsia"/>
        </w:rPr>
        <w:t>Zunta</w:t>
      </w:r>
      <w:proofErr w:type="spellEnd"/>
      <w:r w:rsidRPr="004D46AC">
        <w:rPr>
          <w:rFonts w:eastAsiaTheme="minorEastAsia"/>
        </w:rPr>
        <w:t xml:space="preserve">-Soares, G. B., Kapczinski, F., &amp; Soares, J. (2015). Changes in the corpus callosum in women with late-stage bipolar disorder [https://doi.org/10.1111/acps.12397]. Acta </w:t>
      </w:r>
      <w:proofErr w:type="spellStart"/>
      <w:r w:rsidRPr="004D46AC">
        <w:rPr>
          <w:rFonts w:eastAsiaTheme="minorEastAsia"/>
        </w:rPr>
        <w:t>Psychiatr</w:t>
      </w:r>
      <w:proofErr w:type="spellEnd"/>
      <w:r w:rsidRPr="004D46AC">
        <w:rPr>
          <w:rFonts w:eastAsiaTheme="minorEastAsia"/>
        </w:rPr>
        <w:t xml:space="preserve"> Scand, 131(6), 458–464. https://doi.org/10.1111/acps.12397 </w:t>
      </w:r>
    </w:p>
    <w:p w14:paraId="1B4DF00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Lee, J., Rizzo, S., Altshuler, L., Glahn, D. C., Miklowitz, D. J., Sugar, C. A., Wynn, J. K., &amp; Green, M. F. (2017). Deconstructing Bipolar Disorder and Schizophrenia: A cross-diagnostic cluster analysis of cognitive phenotypes. J Affect </w:t>
      </w:r>
      <w:proofErr w:type="spellStart"/>
      <w:r w:rsidRPr="004D46AC">
        <w:rPr>
          <w:rFonts w:eastAsiaTheme="minorEastAsia"/>
        </w:rPr>
        <w:t>Disord</w:t>
      </w:r>
      <w:proofErr w:type="spellEnd"/>
      <w:r w:rsidRPr="004D46AC">
        <w:rPr>
          <w:rFonts w:eastAsiaTheme="minorEastAsia"/>
        </w:rPr>
        <w:t xml:space="preserve">, 209, 71–79. https://doi.org/10.1016/j.jad.2016.11.030 </w:t>
      </w:r>
    </w:p>
    <w:p w14:paraId="17FECB4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Lee, R. S., Hermens, D. F., Naismith, S. L., </w:t>
      </w:r>
      <w:proofErr w:type="spellStart"/>
      <w:r w:rsidRPr="004D46AC">
        <w:rPr>
          <w:rFonts w:eastAsiaTheme="minorEastAsia"/>
        </w:rPr>
        <w:t>Lagopoulos</w:t>
      </w:r>
      <w:proofErr w:type="spellEnd"/>
      <w:r w:rsidRPr="004D46AC">
        <w:rPr>
          <w:rFonts w:eastAsiaTheme="minorEastAsia"/>
        </w:rPr>
        <w:t xml:space="preserve">, J., Jones, A., Scott, J., Chitty, K. M., White, D., Robillard, R., Scott, E. M., &amp; Hickie, I. B. (2015). Neuropsychological and functional outcomes in recent-onset major depression, bipolar disorder and schizophrenia-spectrum disorders: a longitudinal cohort study. </w:t>
      </w:r>
      <w:proofErr w:type="spellStart"/>
      <w:r w:rsidRPr="004D46AC">
        <w:rPr>
          <w:rFonts w:eastAsiaTheme="minorEastAsia"/>
        </w:rPr>
        <w:t>Transl</w:t>
      </w:r>
      <w:proofErr w:type="spellEnd"/>
      <w:r w:rsidRPr="004D46AC">
        <w:rPr>
          <w:rFonts w:eastAsiaTheme="minorEastAsia"/>
        </w:rPr>
        <w:t xml:space="preserve"> Psychiatry, 5(4), e555. https://doi.org/10.1038/tp.2015.50 </w:t>
      </w:r>
    </w:p>
    <w:p w14:paraId="24C8871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Levy, B., Medina, A. M., </w:t>
      </w:r>
      <w:proofErr w:type="spellStart"/>
      <w:r w:rsidRPr="004D46AC">
        <w:rPr>
          <w:rFonts w:eastAsiaTheme="minorEastAsia"/>
        </w:rPr>
        <w:t>Manove</w:t>
      </w:r>
      <w:proofErr w:type="spellEnd"/>
      <w:r w:rsidRPr="004D46AC">
        <w:rPr>
          <w:rFonts w:eastAsiaTheme="minorEastAsia"/>
        </w:rPr>
        <w:t xml:space="preserve">, E., &amp; Weiss, R. D. (2011). The characteristics of a discrete mood episode, neuro-cognitive impairment and re-hospitalization in bipolar disorder. J </w:t>
      </w:r>
      <w:proofErr w:type="spellStart"/>
      <w:r w:rsidRPr="004D46AC">
        <w:rPr>
          <w:rFonts w:eastAsiaTheme="minorEastAsia"/>
        </w:rPr>
        <w:t>Psychiatr</w:t>
      </w:r>
      <w:proofErr w:type="spellEnd"/>
      <w:r w:rsidRPr="004D46AC">
        <w:rPr>
          <w:rFonts w:eastAsiaTheme="minorEastAsia"/>
        </w:rPr>
        <w:t xml:space="preserve"> Res, 45(8), 1048–1054. https://doi.org/10.1016/j.jpsychires.2011.01.005 </w:t>
      </w:r>
    </w:p>
    <w:p w14:paraId="3BF2FDE1" w14:textId="77777777" w:rsidR="009864DB" w:rsidRPr="004D46AC" w:rsidRDefault="009864DB" w:rsidP="009864DB">
      <w:pPr>
        <w:spacing w:line="240" w:lineRule="auto"/>
        <w:ind w:left="709" w:hanging="720"/>
        <w:rPr>
          <w:rFonts w:eastAsiaTheme="minorEastAsia"/>
        </w:rPr>
      </w:pPr>
      <w:r w:rsidRPr="004D46AC">
        <w:rPr>
          <w:rFonts w:eastAsiaTheme="minorEastAsia"/>
        </w:rPr>
        <w:lastRenderedPageBreak/>
        <w:t xml:space="preserve">Lim, P. Z., Tunis, S. L., Edell, W. S., </w:t>
      </w:r>
      <w:proofErr w:type="spellStart"/>
      <w:r w:rsidRPr="004D46AC">
        <w:rPr>
          <w:rFonts w:eastAsiaTheme="minorEastAsia"/>
        </w:rPr>
        <w:t>Jensik</w:t>
      </w:r>
      <w:proofErr w:type="spellEnd"/>
      <w:r w:rsidRPr="004D46AC">
        <w:rPr>
          <w:rFonts w:eastAsiaTheme="minorEastAsia"/>
        </w:rPr>
        <w:t xml:space="preserve">, S. E., &amp; Tohen, M. (2001). Medication prescribing patterns for patients with bipolar I disorder in hospital settings: adherence to published practice guidelines. Bipolar </w:t>
      </w:r>
      <w:proofErr w:type="spellStart"/>
      <w:r w:rsidRPr="004D46AC">
        <w:rPr>
          <w:rFonts w:eastAsiaTheme="minorEastAsia"/>
        </w:rPr>
        <w:t>Disord</w:t>
      </w:r>
      <w:proofErr w:type="spellEnd"/>
      <w:r w:rsidRPr="004D46AC">
        <w:rPr>
          <w:rFonts w:eastAsiaTheme="minorEastAsia"/>
        </w:rPr>
        <w:t xml:space="preserve">, 3(4), 165–173. </w:t>
      </w:r>
    </w:p>
    <w:p w14:paraId="740284F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Lipkovich, I. A., Houston, J. P., &amp; Ahl, J. (2008). Identifying patterns in treatment response profiles in acute bipolar mania: a cluster analysis approach. BMC Psychiatry, 8, 65. https://doi.org/10.1186/1471-244X-8-65 </w:t>
      </w:r>
    </w:p>
    <w:p w14:paraId="1FB4DF7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Lloyd, T., Kennedy, N., Fearon, P., Kirkbride, J., Mallett, R., Leff, J., Holloway, J., Harrison, G., </w:t>
      </w:r>
      <w:proofErr w:type="spellStart"/>
      <w:r w:rsidRPr="004D46AC">
        <w:rPr>
          <w:rFonts w:eastAsiaTheme="minorEastAsia"/>
        </w:rPr>
        <w:t>Dazzan</w:t>
      </w:r>
      <w:proofErr w:type="spellEnd"/>
      <w:r w:rsidRPr="004D46AC">
        <w:rPr>
          <w:rFonts w:eastAsiaTheme="minorEastAsia"/>
        </w:rPr>
        <w:t xml:space="preserve">, P., Morgan, K., Murray, R. M., Jones, P. B., &amp; team, A. s. (2005). Incidence of bipolar affective disorder in three UK cities: results from the AESOP study. Br J Psychiatry, 186, 126–131. https://doi.org/10.1192/bjp.186.2.126 </w:t>
      </w:r>
    </w:p>
    <w:p w14:paraId="78ED8DF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Maj, M., Pirozzi, R., Magliano, L., &amp; Bartoli, L. (1998). Long-term outcome of lithium prophylaxis in bipolar disorder: a 5-year prospective study of 402 patients at a lithium clinic. Am J Psychiatry, 155(1), 30–35. https://doi.org/10.1176/ajp.155.1.30 </w:t>
      </w:r>
    </w:p>
    <w:p w14:paraId="4C6BAC8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Mallet, J., Godin, O., Mazer, N., Le Strat, Y., </w:t>
      </w:r>
      <w:proofErr w:type="spellStart"/>
      <w:r w:rsidRPr="004D46AC">
        <w:rPr>
          <w:rFonts w:eastAsiaTheme="minorEastAsia"/>
        </w:rPr>
        <w:t>Bellivier</w:t>
      </w:r>
      <w:proofErr w:type="spellEnd"/>
      <w:r w:rsidRPr="004D46AC">
        <w:rPr>
          <w:rFonts w:eastAsiaTheme="minorEastAsia"/>
        </w:rPr>
        <w:t xml:space="preserve">, F., </w:t>
      </w:r>
      <w:proofErr w:type="spellStart"/>
      <w:r w:rsidRPr="004D46AC">
        <w:rPr>
          <w:rFonts w:eastAsiaTheme="minorEastAsia"/>
        </w:rPr>
        <w:t>Belzeaux</w:t>
      </w:r>
      <w:proofErr w:type="spellEnd"/>
      <w:r w:rsidRPr="004D46AC">
        <w:rPr>
          <w:rFonts w:eastAsiaTheme="minorEastAsia"/>
        </w:rPr>
        <w:t xml:space="preserve">, R., Etain, B., Fond, G., Gard, S., Henry, C., Leboyer, M., Llorca, P. M., Loftus, J., Olie, E., </w:t>
      </w:r>
      <w:proofErr w:type="spellStart"/>
      <w:r w:rsidRPr="004D46AC">
        <w:rPr>
          <w:rFonts w:eastAsiaTheme="minorEastAsia"/>
        </w:rPr>
        <w:t>Passerieux</w:t>
      </w:r>
      <w:proofErr w:type="spellEnd"/>
      <w:r w:rsidRPr="004D46AC">
        <w:rPr>
          <w:rFonts w:eastAsiaTheme="minorEastAsia"/>
        </w:rPr>
        <w:t xml:space="preserve">, C., </w:t>
      </w:r>
      <w:proofErr w:type="spellStart"/>
      <w:r w:rsidRPr="004D46AC">
        <w:rPr>
          <w:rFonts w:eastAsiaTheme="minorEastAsia"/>
        </w:rPr>
        <w:t>Polosan</w:t>
      </w:r>
      <w:proofErr w:type="spellEnd"/>
      <w:r w:rsidRPr="004D46AC">
        <w:rPr>
          <w:rFonts w:eastAsiaTheme="minorEastAsia"/>
        </w:rPr>
        <w:t xml:space="preserve">, M., Schwan, R., Roux, P., Dubertret, C., &amp; Group, F.-B. (2022). Handedness in bipolar disorders is associated with specific neurodevelopmental features: results of the BD-FACE cohort.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xml:space="preserve">, 272(5), 827–838. https://doi.org/10.1007/s00406-021-01314-3 </w:t>
      </w:r>
    </w:p>
    <w:p w14:paraId="59C747B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Mantere, O., Suominen, K., </w:t>
      </w:r>
      <w:proofErr w:type="spellStart"/>
      <w:r w:rsidRPr="004D46AC">
        <w:rPr>
          <w:rFonts w:eastAsiaTheme="minorEastAsia"/>
        </w:rPr>
        <w:t>Leppamaki</w:t>
      </w:r>
      <w:proofErr w:type="spellEnd"/>
      <w:r w:rsidRPr="004D46AC">
        <w:rPr>
          <w:rFonts w:eastAsiaTheme="minorEastAsia"/>
        </w:rPr>
        <w:t xml:space="preserve">, S., Valtonen, H., </w:t>
      </w:r>
      <w:proofErr w:type="spellStart"/>
      <w:r w:rsidRPr="004D46AC">
        <w:rPr>
          <w:rFonts w:eastAsiaTheme="minorEastAsia"/>
        </w:rPr>
        <w:t>Arvilommi</w:t>
      </w:r>
      <w:proofErr w:type="spellEnd"/>
      <w:r w:rsidRPr="004D46AC">
        <w:rPr>
          <w:rFonts w:eastAsiaTheme="minorEastAsia"/>
        </w:rPr>
        <w:t xml:space="preserve">, P., &amp; </w:t>
      </w:r>
      <w:proofErr w:type="spellStart"/>
      <w:r w:rsidRPr="004D46AC">
        <w:rPr>
          <w:rFonts w:eastAsiaTheme="minorEastAsia"/>
        </w:rPr>
        <w:t>Isometsa</w:t>
      </w:r>
      <w:proofErr w:type="spellEnd"/>
      <w:r w:rsidRPr="004D46AC">
        <w:rPr>
          <w:rFonts w:eastAsiaTheme="minorEastAsia"/>
        </w:rPr>
        <w:t xml:space="preserve">, E. (2004). The clinical characteristics of DSM-IV bipolar I and II disorders: baseline findings from the </w:t>
      </w:r>
      <w:proofErr w:type="spellStart"/>
      <w:r w:rsidRPr="004D46AC">
        <w:rPr>
          <w:rFonts w:eastAsiaTheme="minorEastAsia"/>
        </w:rPr>
        <w:t>Jorvi</w:t>
      </w:r>
      <w:proofErr w:type="spellEnd"/>
      <w:r w:rsidRPr="004D46AC">
        <w:rPr>
          <w:rFonts w:eastAsiaTheme="minorEastAsia"/>
        </w:rPr>
        <w:t xml:space="preserve"> Bipolar Study (</w:t>
      </w:r>
      <w:proofErr w:type="spellStart"/>
      <w:r w:rsidRPr="004D46AC">
        <w:rPr>
          <w:rFonts w:eastAsiaTheme="minorEastAsia"/>
        </w:rPr>
        <w:t>JoBS</w:t>
      </w:r>
      <w:proofErr w:type="spellEnd"/>
      <w:r w:rsidRPr="004D46AC">
        <w:rPr>
          <w:rFonts w:eastAsiaTheme="minorEastAsia"/>
        </w:rPr>
        <w:t xml:space="preserve">). Bipolar </w:t>
      </w:r>
      <w:proofErr w:type="spellStart"/>
      <w:r w:rsidRPr="004D46AC">
        <w:rPr>
          <w:rFonts w:eastAsiaTheme="minorEastAsia"/>
        </w:rPr>
        <w:t>Disord</w:t>
      </w:r>
      <w:proofErr w:type="spellEnd"/>
      <w:r w:rsidRPr="004D46AC">
        <w:rPr>
          <w:rFonts w:eastAsiaTheme="minorEastAsia"/>
        </w:rPr>
        <w:t xml:space="preserve">, 6(5), 395–405. https://doi.org/10.1111/j.1399-5618.2004.00140.x </w:t>
      </w:r>
    </w:p>
    <w:p w14:paraId="4D16C43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Mathieu, F., Etain, B., Daban, C., Raymond, R., </w:t>
      </w:r>
      <w:proofErr w:type="spellStart"/>
      <w:r w:rsidRPr="004D46AC">
        <w:rPr>
          <w:rFonts w:eastAsiaTheme="minorEastAsia"/>
        </w:rPr>
        <w:t>Raust</w:t>
      </w:r>
      <w:proofErr w:type="spellEnd"/>
      <w:r w:rsidRPr="004D46AC">
        <w:rPr>
          <w:rFonts w:eastAsiaTheme="minorEastAsia"/>
        </w:rPr>
        <w:t xml:space="preserve">, A., Cochet, B., Gard, S., </w:t>
      </w:r>
      <w:proofErr w:type="spellStart"/>
      <w:r w:rsidRPr="004D46AC">
        <w:rPr>
          <w:rFonts w:eastAsiaTheme="minorEastAsia"/>
        </w:rPr>
        <w:t>M'Bailara</w:t>
      </w:r>
      <w:proofErr w:type="spellEnd"/>
      <w:r w:rsidRPr="004D46AC">
        <w:rPr>
          <w:rFonts w:eastAsiaTheme="minorEastAsia"/>
        </w:rPr>
        <w:t xml:space="preserve">, K., </w:t>
      </w:r>
      <w:proofErr w:type="spellStart"/>
      <w:r w:rsidRPr="004D46AC">
        <w:rPr>
          <w:rFonts w:eastAsiaTheme="minorEastAsia"/>
        </w:rPr>
        <w:t>Desage</w:t>
      </w:r>
      <w:proofErr w:type="spellEnd"/>
      <w:r w:rsidRPr="004D46AC">
        <w:rPr>
          <w:rFonts w:eastAsiaTheme="minorEastAsia"/>
        </w:rPr>
        <w:t xml:space="preserve">, A., Kahn, J. P., </w:t>
      </w:r>
      <w:proofErr w:type="spellStart"/>
      <w:r w:rsidRPr="004D46AC">
        <w:rPr>
          <w:rFonts w:eastAsiaTheme="minorEastAsia"/>
        </w:rPr>
        <w:t>Wajsbrot-Elgrabli</w:t>
      </w:r>
      <w:proofErr w:type="spellEnd"/>
      <w:r w:rsidRPr="004D46AC">
        <w:rPr>
          <w:rFonts w:eastAsiaTheme="minorEastAsia"/>
        </w:rPr>
        <w:t xml:space="preserve">, O., Cohen, R. F., </w:t>
      </w:r>
      <w:proofErr w:type="spellStart"/>
      <w:r w:rsidRPr="004D46AC">
        <w:rPr>
          <w:rFonts w:eastAsiaTheme="minorEastAsia"/>
        </w:rPr>
        <w:t>Azorin</w:t>
      </w:r>
      <w:proofErr w:type="spellEnd"/>
      <w:r w:rsidRPr="004D46AC">
        <w:rPr>
          <w:rFonts w:eastAsiaTheme="minorEastAsia"/>
        </w:rPr>
        <w:t xml:space="preserve">, J. M., Leboyer, M., </w:t>
      </w:r>
      <w:proofErr w:type="spellStart"/>
      <w:r w:rsidRPr="004D46AC">
        <w:rPr>
          <w:rFonts w:eastAsiaTheme="minorEastAsia"/>
        </w:rPr>
        <w:t>Bellivier</w:t>
      </w:r>
      <w:proofErr w:type="spellEnd"/>
      <w:r w:rsidRPr="004D46AC">
        <w:rPr>
          <w:rFonts w:eastAsiaTheme="minorEastAsia"/>
        </w:rPr>
        <w:t xml:space="preserve">, F., Scott, J., &amp; Henry, C. (2014). Affect intensity measure in bipolar disorders: a multidimensional approach. J Affect </w:t>
      </w:r>
      <w:proofErr w:type="spellStart"/>
      <w:r w:rsidRPr="004D46AC">
        <w:rPr>
          <w:rFonts w:eastAsiaTheme="minorEastAsia"/>
        </w:rPr>
        <w:t>Disord</w:t>
      </w:r>
      <w:proofErr w:type="spellEnd"/>
      <w:r w:rsidRPr="004D46AC">
        <w:rPr>
          <w:rFonts w:eastAsiaTheme="minorEastAsia"/>
        </w:rPr>
        <w:t xml:space="preserve">, 157, 8–13. https://doi.org/10.1016/j.jad.2013.12.039 </w:t>
      </w:r>
    </w:p>
    <w:p w14:paraId="7D726D8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Mazaheri-Tehrani, E., Maghsoudi, N., Shams, J., Soori, H., Atashi, H., Motamedi, F., Bode, L., &amp; Ludwig, H. (2014). Borna disease virus (BDV) infection in psychiatric patients and healthy controls in Iran. </w:t>
      </w:r>
      <w:proofErr w:type="spellStart"/>
      <w:r w:rsidRPr="004D46AC">
        <w:rPr>
          <w:rFonts w:eastAsiaTheme="minorEastAsia"/>
        </w:rPr>
        <w:t>Virol</w:t>
      </w:r>
      <w:proofErr w:type="spellEnd"/>
      <w:r w:rsidRPr="004D46AC">
        <w:rPr>
          <w:rFonts w:eastAsiaTheme="minorEastAsia"/>
        </w:rPr>
        <w:t xml:space="preserve"> J, 11, 161. https://doi.org/10.1186/1743-422X-11-161 </w:t>
      </w:r>
    </w:p>
    <w:p w14:paraId="29E10EC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McElroy, S. L., </w:t>
      </w:r>
      <w:proofErr w:type="spellStart"/>
      <w:r w:rsidRPr="004D46AC">
        <w:rPr>
          <w:rFonts w:eastAsiaTheme="minorEastAsia"/>
        </w:rPr>
        <w:t>Strakowski</w:t>
      </w:r>
      <w:proofErr w:type="spellEnd"/>
      <w:r w:rsidRPr="004D46AC">
        <w:rPr>
          <w:rFonts w:eastAsiaTheme="minorEastAsia"/>
        </w:rPr>
        <w:t xml:space="preserve">, S. M., West, S. A., Keck, P. E., Jr., &amp; McConville, B. J. (1997). Phenomenology of adolescent and adult mania in hospitalized patients with bipolar disorder. Am J Psychiatry, 154(1), 44–49. https://doi.org/10.1176/ajp.154.1.44 </w:t>
      </w:r>
    </w:p>
    <w:p w14:paraId="3A00418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McGrady, A., Lynch, D., &amp; Rapport, D. (2017). Psychosocial Factors and Comorbidity Associated with Suicide Attempts: Findings in Patients with Bipolar Disorder. Psychopathology, 50(2), 171–174. https://doi.org/10.1159/000453272 </w:t>
      </w:r>
    </w:p>
    <w:p w14:paraId="36DFC1F3" w14:textId="77777777" w:rsidR="009864DB" w:rsidRPr="004D46AC" w:rsidRDefault="009864DB" w:rsidP="009864DB">
      <w:pPr>
        <w:spacing w:line="240" w:lineRule="auto"/>
        <w:ind w:left="709" w:hanging="720"/>
        <w:rPr>
          <w:rFonts w:eastAsiaTheme="minorEastAsia"/>
        </w:rPr>
      </w:pPr>
      <w:r w:rsidRPr="004D46AC">
        <w:rPr>
          <w:rFonts w:eastAsiaTheme="minorEastAsia"/>
        </w:rPr>
        <w:t>McGrath, J. J., Saha, S., Al-</w:t>
      </w:r>
      <w:proofErr w:type="spellStart"/>
      <w:r w:rsidRPr="004D46AC">
        <w:rPr>
          <w:rFonts w:eastAsiaTheme="minorEastAsia"/>
        </w:rPr>
        <w:t>Hamzawi</w:t>
      </w:r>
      <w:proofErr w:type="spellEnd"/>
      <w:r w:rsidRPr="004D46AC">
        <w:rPr>
          <w:rFonts w:eastAsiaTheme="minorEastAsia"/>
        </w:rPr>
        <w:t xml:space="preserve">, A., Andrade, L., </w:t>
      </w:r>
      <w:proofErr w:type="spellStart"/>
      <w:r w:rsidRPr="004D46AC">
        <w:rPr>
          <w:rFonts w:eastAsiaTheme="minorEastAsia"/>
        </w:rPr>
        <w:t>Benjet</w:t>
      </w:r>
      <w:proofErr w:type="spellEnd"/>
      <w:r w:rsidRPr="004D46AC">
        <w:rPr>
          <w:rFonts w:eastAsiaTheme="minorEastAsia"/>
        </w:rPr>
        <w:t xml:space="preserve">, C., </w:t>
      </w:r>
      <w:proofErr w:type="spellStart"/>
      <w:r w:rsidRPr="004D46AC">
        <w:rPr>
          <w:rFonts w:eastAsiaTheme="minorEastAsia"/>
        </w:rPr>
        <w:t>Bromet</w:t>
      </w:r>
      <w:proofErr w:type="spellEnd"/>
      <w:r w:rsidRPr="004D46AC">
        <w:rPr>
          <w:rFonts w:eastAsiaTheme="minorEastAsia"/>
        </w:rPr>
        <w:t xml:space="preserve">, E. J., Browne, M. O., Almeida, J. M. C. d., Chiu, W. T., </w:t>
      </w:r>
      <w:proofErr w:type="spellStart"/>
      <w:r w:rsidRPr="004D46AC">
        <w:rPr>
          <w:rFonts w:eastAsiaTheme="minorEastAsia"/>
        </w:rPr>
        <w:t>Demyttenaere</w:t>
      </w:r>
      <w:proofErr w:type="spellEnd"/>
      <w:r w:rsidRPr="004D46AC">
        <w:rPr>
          <w:rFonts w:eastAsiaTheme="minorEastAsia"/>
        </w:rPr>
        <w:t xml:space="preserve">, K., Fayyad, J., Florescu, S., Girolamo, G. d., </w:t>
      </w:r>
      <w:proofErr w:type="spellStart"/>
      <w:r w:rsidRPr="004D46AC">
        <w:rPr>
          <w:rFonts w:eastAsiaTheme="minorEastAsia"/>
        </w:rPr>
        <w:t>Gureje</w:t>
      </w:r>
      <w:proofErr w:type="spellEnd"/>
      <w:r w:rsidRPr="004D46AC">
        <w:rPr>
          <w:rFonts w:eastAsiaTheme="minorEastAsia"/>
        </w:rPr>
        <w:t xml:space="preserve">, O., Haro, J. M., Have, M. t., Hu, C., </w:t>
      </w:r>
      <w:proofErr w:type="spellStart"/>
      <w:r w:rsidRPr="004D46AC">
        <w:rPr>
          <w:rFonts w:eastAsiaTheme="minorEastAsia"/>
        </w:rPr>
        <w:t>Kovess-Masfety</w:t>
      </w:r>
      <w:proofErr w:type="spellEnd"/>
      <w:r w:rsidRPr="004D46AC">
        <w:rPr>
          <w:rFonts w:eastAsiaTheme="minorEastAsia"/>
        </w:rPr>
        <w:t xml:space="preserve">, V., Lim, C. C. W.,…Kessler, R. C. (2016). The Bidirectional Associations Between Psychotic Experiences and DSM-IV Mental Disorders. American Journal of Psychiatry, 173(10), 997–1006. https://doi.org/10.1176/appi.ajp.2016.15101293 </w:t>
      </w:r>
    </w:p>
    <w:p w14:paraId="41204731"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Medici, C. R., Kai, L. M., Kristensen, S. B., Kirkedal, C., Munk-Jorgensen, P., &amp; Straszek, S. (2020). Typical Versus Atypical Antipsychotics for Acute Mania. Am J Ther, 27(3), e243–e248. https://doi.org/10.1097/MJT.0000000000000871 </w:t>
      </w:r>
    </w:p>
    <w:p w14:paraId="0E57FA5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Menculini, G., Steardo, L., Jr., </w:t>
      </w:r>
      <w:proofErr w:type="spellStart"/>
      <w:r w:rsidRPr="004D46AC">
        <w:rPr>
          <w:rFonts w:eastAsiaTheme="minorEastAsia"/>
        </w:rPr>
        <w:t>Verdolini</w:t>
      </w:r>
      <w:proofErr w:type="spellEnd"/>
      <w:r w:rsidRPr="004D46AC">
        <w:rPr>
          <w:rFonts w:eastAsiaTheme="minorEastAsia"/>
        </w:rPr>
        <w:t xml:space="preserve">, N., </w:t>
      </w:r>
      <w:proofErr w:type="spellStart"/>
      <w:r w:rsidRPr="004D46AC">
        <w:rPr>
          <w:rFonts w:eastAsiaTheme="minorEastAsia"/>
        </w:rPr>
        <w:t>Cirimbilli</w:t>
      </w:r>
      <w:proofErr w:type="spellEnd"/>
      <w:r w:rsidRPr="004D46AC">
        <w:rPr>
          <w:rFonts w:eastAsiaTheme="minorEastAsia"/>
        </w:rPr>
        <w:t xml:space="preserve">, F., Moretti, P., &amp; Tortorella, A. (2022). Substance use disorders in bipolar disorders: Clinical correlates and treatment response to mood stabilizers. J Affect </w:t>
      </w:r>
      <w:proofErr w:type="spellStart"/>
      <w:r w:rsidRPr="004D46AC">
        <w:rPr>
          <w:rFonts w:eastAsiaTheme="minorEastAsia"/>
        </w:rPr>
        <w:t>Disord</w:t>
      </w:r>
      <w:proofErr w:type="spellEnd"/>
      <w:r w:rsidRPr="004D46AC">
        <w:rPr>
          <w:rFonts w:eastAsiaTheme="minorEastAsia"/>
        </w:rPr>
        <w:t xml:space="preserve">, 300, 326–333. https://doi.org/10.1016/j.jad.2022.01.001 </w:t>
      </w:r>
    </w:p>
    <w:p w14:paraId="602AD54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Menculini, G., Steardo, L. J., </w:t>
      </w:r>
      <w:proofErr w:type="spellStart"/>
      <w:r w:rsidRPr="004D46AC">
        <w:rPr>
          <w:rFonts w:eastAsiaTheme="minorEastAsia"/>
        </w:rPr>
        <w:t>Verdolini</w:t>
      </w:r>
      <w:proofErr w:type="spellEnd"/>
      <w:r w:rsidRPr="004D46AC">
        <w:rPr>
          <w:rFonts w:eastAsiaTheme="minorEastAsia"/>
        </w:rPr>
        <w:t xml:space="preserve">, N., D'Angelo, M., </w:t>
      </w:r>
      <w:proofErr w:type="spellStart"/>
      <w:r w:rsidRPr="004D46AC">
        <w:rPr>
          <w:rFonts w:eastAsiaTheme="minorEastAsia"/>
        </w:rPr>
        <w:t>Chipi</w:t>
      </w:r>
      <w:proofErr w:type="spellEnd"/>
      <w:r w:rsidRPr="004D46AC">
        <w:rPr>
          <w:rFonts w:eastAsiaTheme="minorEastAsia"/>
        </w:rPr>
        <w:t xml:space="preserve">, E., </w:t>
      </w:r>
      <w:proofErr w:type="spellStart"/>
      <w:r w:rsidRPr="004D46AC">
        <w:rPr>
          <w:rFonts w:eastAsiaTheme="minorEastAsia"/>
        </w:rPr>
        <w:t>Cirimbilli</w:t>
      </w:r>
      <w:proofErr w:type="spellEnd"/>
      <w:r w:rsidRPr="004D46AC">
        <w:rPr>
          <w:rFonts w:eastAsiaTheme="minorEastAsia"/>
        </w:rPr>
        <w:t xml:space="preserve">, F., Orsolini, L., Volpe, U., De Fazio, P., &amp; Tortorella, A. (2023). Chronotype is associated with affective temperaments, clinical severity and worse treatment outcomes in bipolar </w:t>
      </w:r>
      <w:r w:rsidRPr="004D46AC">
        <w:rPr>
          <w:rFonts w:eastAsiaTheme="minorEastAsia"/>
        </w:rPr>
        <w:lastRenderedPageBreak/>
        <w:t>disorders: results from a two-</w:t>
      </w:r>
      <w:proofErr w:type="spellStart"/>
      <w:r w:rsidRPr="004D46AC">
        <w:rPr>
          <w:rFonts w:eastAsiaTheme="minorEastAsia"/>
        </w:rPr>
        <w:t>center</w:t>
      </w:r>
      <w:proofErr w:type="spellEnd"/>
      <w:r w:rsidRPr="004D46AC">
        <w:rPr>
          <w:rFonts w:eastAsiaTheme="minorEastAsia"/>
        </w:rPr>
        <w:t xml:space="preserve">, cross-sectional study. Int J Psychiatry Clin </w:t>
      </w:r>
      <w:proofErr w:type="spellStart"/>
      <w:r w:rsidRPr="004D46AC">
        <w:rPr>
          <w:rFonts w:eastAsiaTheme="minorEastAsia"/>
        </w:rPr>
        <w:t>Pract</w:t>
      </w:r>
      <w:proofErr w:type="spellEnd"/>
      <w:r w:rsidRPr="004D46AC">
        <w:rPr>
          <w:rFonts w:eastAsiaTheme="minorEastAsia"/>
        </w:rPr>
        <w:t xml:space="preserve">, 27(3), 248–256. https://doi.org/10.1080/13651501.2022.2160763 </w:t>
      </w:r>
    </w:p>
    <w:p w14:paraId="66442B0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Miller, C. J., Li, M., Penfold, R. B., Lee, A. F., Smith, E. G., </w:t>
      </w:r>
      <w:proofErr w:type="spellStart"/>
      <w:r w:rsidRPr="004D46AC">
        <w:rPr>
          <w:rFonts w:eastAsiaTheme="minorEastAsia"/>
        </w:rPr>
        <w:t>Osser</w:t>
      </w:r>
      <w:proofErr w:type="spellEnd"/>
      <w:r w:rsidRPr="004D46AC">
        <w:rPr>
          <w:rFonts w:eastAsiaTheme="minorEastAsia"/>
        </w:rPr>
        <w:t xml:space="preserve">, D. N., Bajor, L., &amp; Bauer, M. S. (2014). Patterns of initiation of </w:t>
      </w:r>
      <w:proofErr w:type="gramStart"/>
      <w:r w:rsidRPr="004D46AC">
        <w:rPr>
          <w:rFonts w:eastAsiaTheme="minorEastAsia"/>
        </w:rPr>
        <w:t>second generation</w:t>
      </w:r>
      <w:proofErr w:type="gramEnd"/>
      <w:r w:rsidRPr="004D46AC">
        <w:rPr>
          <w:rFonts w:eastAsiaTheme="minorEastAsia"/>
        </w:rPr>
        <w:t xml:space="preserve"> antipsychotics for bipolar disorder: a month-by-month analysis of provider </w:t>
      </w:r>
      <w:proofErr w:type="spellStart"/>
      <w:r w:rsidRPr="004D46AC">
        <w:rPr>
          <w:rFonts w:eastAsiaTheme="minorEastAsia"/>
        </w:rPr>
        <w:t>behavior</w:t>
      </w:r>
      <w:proofErr w:type="spellEnd"/>
      <w:r w:rsidRPr="004D46AC">
        <w:rPr>
          <w:rFonts w:eastAsiaTheme="minorEastAsia"/>
        </w:rPr>
        <w:t xml:space="preserve">. BMC Psychiatry, 14, 339. https://doi.org/10.1186/s12888-014-0339-z </w:t>
      </w:r>
    </w:p>
    <w:p w14:paraId="60339484"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Millischer</w:t>
      </w:r>
      <w:proofErr w:type="spellEnd"/>
      <w:r w:rsidRPr="004D46AC">
        <w:rPr>
          <w:rFonts w:eastAsiaTheme="minorEastAsia"/>
        </w:rPr>
        <w:t xml:space="preserve">, V., Matheson, G. J., Martinsson, L., Romer Ek, I., </w:t>
      </w:r>
      <w:proofErr w:type="spellStart"/>
      <w:r w:rsidRPr="004D46AC">
        <w:rPr>
          <w:rFonts w:eastAsiaTheme="minorEastAsia"/>
        </w:rPr>
        <w:t>Schalling</w:t>
      </w:r>
      <w:proofErr w:type="spellEnd"/>
      <w:r w:rsidRPr="004D46AC">
        <w:rPr>
          <w:rFonts w:eastAsiaTheme="minorEastAsia"/>
        </w:rPr>
        <w:t xml:space="preserve">, M., Lavebratt, C., &amp; Backlund, L. (2020). AKT1 and genetic vulnerability to bipolar disorder. Psychiatry Res, 284, 112677. https://doi.org/10.1016/j.psychres.2019.112677 </w:t>
      </w:r>
    </w:p>
    <w:p w14:paraId="35D5782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Moon, E., Chang, J. S., Kim, M. Y., Seo, M. H., Cha, B., Ha, T. H., Choi, S., Cho, H. S., Park, T., &amp; Ha, K. (2012). Dropout rate and associated factors in patients with bipolar disorders. J Affect </w:t>
      </w:r>
      <w:proofErr w:type="spellStart"/>
      <w:r w:rsidRPr="004D46AC">
        <w:rPr>
          <w:rFonts w:eastAsiaTheme="minorEastAsia"/>
        </w:rPr>
        <w:t>Disord</w:t>
      </w:r>
      <w:proofErr w:type="spellEnd"/>
      <w:r w:rsidRPr="004D46AC">
        <w:rPr>
          <w:rFonts w:eastAsiaTheme="minorEastAsia"/>
        </w:rPr>
        <w:t xml:space="preserve">, 141(1), 47–54. https://doi.org/10.1016/j.jad.2012.02.025 </w:t>
      </w:r>
    </w:p>
    <w:p w14:paraId="596F2EB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Mrad, A., Wassim Krir, M., Ajmi, I., Gaha, L., &amp; Mechri, A. (2016). Neurological soft signs in euthymic bipolar I patients: A comparative study with healthy siblings and controls. Psychiatry Res, 236, 173–178. https://doi.org/10.1016/j.psychres.2015.11.047 </w:t>
      </w:r>
    </w:p>
    <w:p w14:paraId="1960AF7A"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Murru</w:t>
      </w:r>
      <w:proofErr w:type="spellEnd"/>
      <w:r w:rsidRPr="004D46AC">
        <w:rPr>
          <w:rFonts w:eastAsiaTheme="minorEastAsia"/>
        </w:rPr>
        <w:t xml:space="preserve">, A., Primavera, D., Oliva, M., Meloni, M. L., Vieta, E., &amp; Carpiniello, B. (2015). The role of comorbidities in duration of untreated illness for bipolar spectrum disorders. J Affect </w:t>
      </w:r>
      <w:proofErr w:type="spellStart"/>
      <w:r w:rsidRPr="004D46AC">
        <w:rPr>
          <w:rFonts w:eastAsiaTheme="minorEastAsia"/>
        </w:rPr>
        <w:t>Disord</w:t>
      </w:r>
      <w:proofErr w:type="spellEnd"/>
      <w:r w:rsidRPr="004D46AC">
        <w:rPr>
          <w:rFonts w:eastAsiaTheme="minorEastAsia"/>
        </w:rPr>
        <w:t xml:space="preserve">, 188, 319–323. https://doi.org/10.1016/j.jad.2015.09.009 </w:t>
      </w:r>
    </w:p>
    <w:p w14:paraId="2D38923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Musetti, L., Tundo, A., Benedetti, A., </w:t>
      </w:r>
      <w:proofErr w:type="spellStart"/>
      <w:r w:rsidRPr="004D46AC">
        <w:rPr>
          <w:rFonts w:eastAsiaTheme="minorEastAsia"/>
        </w:rPr>
        <w:t>Massimetti</w:t>
      </w:r>
      <w:proofErr w:type="spellEnd"/>
      <w:r w:rsidRPr="004D46AC">
        <w:rPr>
          <w:rFonts w:eastAsiaTheme="minorEastAsia"/>
        </w:rPr>
        <w:t xml:space="preserve">, G., </w:t>
      </w:r>
      <w:proofErr w:type="spellStart"/>
      <w:r w:rsidRPr="004D46AC">
        <w:rPr>
          <w:rFonts w:eastAsiaTheme="minorEastAsia"/>
        </w:rPr>
        <w:t>Cambiali</w:t>
      </w:r>
      <w:proofErr w:type="spellEnd"/>
      <w:r w:rsidRPr="004D46AC">
        <w:rPr>
          <w:rFonts w:eastAsiaTheme="minorEastAsia"/>
        </w:rPr>
        <w:t xml:space="preserve">, E., </w:t>
      </w:r>
      <w:proofErr w:type="spellStart"/>
      <w:r w:rsidRPr="004D46AC">
        <w:rPr>
          <w:rFonts w:eastAsiaTheme="minorEastAsia"/>
        </w:rPr>
        <w:t>Pergentini</w:t>
      </w:r>
      <w:proofErr w:type="spellEnd"/>
      <w:r w:rsidRPr="004D46AC">
        <w:rPr>
          <w:rFonts w:eastAsiaTheme="minorEastAsia"/>
        </w:rPr>
        <w:t xml:space="preserve">, I., Del Grande, C., &amp; </w:t>
      </w:r>
      <w:proofErr w:type="spellStart"/>
      <w:r w:rsidRPr="004D46AC">
        <w:rPr>
          <w:rFonts w:eastAsiaTheme="minorEastAsia"/>
        </w:rPr>
        <w:t>Dell'Osso</w:t>
      </w:r>
      <w:proofErr w:type="spellEnd"/>
      <w:r w:rsidRPr="004D46AC">
        <w:rPr>
          <w:rFonts w:eastAsiaTheme="minorEastAsia"/>
        </w:rPr>
        <w:t xml:space="preserve">, L. (2018). Lithium, valproate, and carbamazepine prescribing patterns for long-term treatment of bipolar I and II disorders: A prospective study. Hum </w:t>
      </w:r>
      <w:proofErr w:type="spellStart"/>
      <w:r w:rsidRPr="004D46AC">
        <w:rPr>
          <w:rFonts w:eastAsiaTheme="minorEastAsia"/>
        </w:rPr>
        <w:t>Psychopharmacol</w:t>
      </w:r>
      <w:proofErr w:type="spellEnd"/>
      <w:r w:rsidRPr="004D46AC">
        <w:rPr>
          <w:rFonts w:eastAsiaTheme="minorEastAsia"/>
        </w:rPr>
        <w:t xml:space="preserve">, 33(6), e2676. https://doi.org/10.1002/hup.2676 </w:t>
      </w:r>
    </w:p>
    <w:p w14:paraId="6E4F33D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Navarro, S., Rodriguez, F., Acosta, F. J., &amp; Garcia-Bello, M. (2016). Variables associated with nonadherence in clinically stable patients with bipolar disorder. </w:t>
      </w:r>
      <w:proofErr w:type="spellStart"/>
      <w:r w:rsidRPr="004D46AC">
        <w:rPr>
          <w:rFonts w:eastAsiaTheme="minorEastAsia"/>
        </w:rPr>
        <w:t>Actas</w:t>
      </w:r>
      <w:proofErr w:type="spellEnd"/>
      <w:r w:rsidRPr="004D46AC">
        <w:rPr>
          <w:rFonts w:eastAsiaTheme="minorEastAsia"/>
        </w:rPr>
        <w:t xml:space="preserve"> Esp </w:t>
      </w:r>
      <w:proofErr w:type="spellStart"/>
      <w:r w:rsidRPr="004D46AC">
        <w:rPr>
          <w:rFonts w:eastAsiaTheme="minorEastAsia"/>
        </w:rPr>
        <w:t>Psiquiatr</w:t>
      </w:r>
      <w:proofErr w:type="spellEnd"/>
      <w:r w:rsidRPr="004D46AC">
        <w:rPr>
          <w:rFonts w:eastAsiaTheme="minorEastAsia"/>
        </w:rPr>
        <w:t xml:space="preserve">, 44(5), 157–165. </w:t>
      </w:r>
    </w:p>
    <w:p w14:paraId="6F844E0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Nehme, E., Obeid, S., </w:t>
      </w:r>
      <w:proofErr w:type="spellStart"/>
      <w:r w:rsidRPr="004D46AC">
        <w:rPr>
          <w:rFonts w:eastAsiaTheme="minorEastAsia"/>
        </w:rPr>
        <w:t>Hallit</w:t>
      </w:r>
      <w:proofErr w:type="spellEnd"/>
      <w:r w:rsidRPr="004D46AC">
        <w:rPr>
          <w:rFonts w:eastAsiaTheme="minorEastAsia"/>
        </w:rPr>
        <w:t xml:space="preserve">, S., Haddad, C., Salame, W., &amp; Tahan, F. (2018). Impact of psychosis in bipolar disorder during manic </w:t>
      </w:r>
      <w:proofErr w:type="gramStart"/>
      <w:r w:rsidRPr="004D46AC">
        <w:rPr>
          <w:rFonts w:eastAsiaTheme="minorEastAsia"/>
        </w:rPr>
        <w:t>episodes(</w:t>
      </w:r>
      <w:proofErr w:type="gramEnd"/>
      <w:r w:rsidRPr="004D46AC">
        <w:rPr>
          <w:rFonts w:eastAsiaTheme="minorEastAsia"/>
        </w:rPr>
        <w:t xml:space="preserve">). Int J </w:t>
      </w:r>
      <w:proofErr w:type="spellStart"/>
      <w:r w:rsidRPr="004D46AC">
        <w:rPr>
          <w:rFonts w:eastAsiaTheme="minorEastAsia"/>
        </w:rPr>
        <w:t>Neurosci</w:t>
      </w:r>
      <w:proofErr w:type="spellEnd"/>
      <w:r w:rsidRPr="004D46AC">
        <w:rPr>
          <w:rFonts w:eastAsiaTheme="minorEastAsia"/>
        </w:rPr>
        <w:t xml:space="preserve">, 128(12), 1128–1134. https://doi.org/10.1080/00207454.2018.1486833 </w:t>
      </w:r>
    </w:p>
    <w:p w14:paraId="41B1CEF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Nery, F. G., Miranda-Scippa, A., Nery-Fernandes, F., Kapczinski, F., &amp; Lafer, B. (2014). Prevalence and clinical correlates of alcohol use disorders among bipolar disorder patients: results from the Brazilian Bipolar Research Network. </w:t>
      </w:r>
      <w:proofErr w:type="spellStart"/>
      <w:r w:rsidRPr="004D46AC">
        <w:rPr>
          <w:rFonts w:eastAsiaTheme="minorEastAsia"/>
        </w:rPr>
        <w:t>Compr</w:t>
      </w:r>
      <w:proofErr w:type="spellEnd"/>
      <w:r w:rsidRPr="004D46AC">
        <w:rPr>
          <w:rFonts w:eastAsiaTheme="minorEastAsia"/>
        </w:rPr>
        <w:t xml:space="preserve"> Psychiatry, 55(5), 1116–1121. https://doi.org/10.1016/j.comppsych.2014.02.006 </w:t>
      </w:r>
    </w:p>
    <w:p w14:paraId="5D5E8A2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Neves, F. S., Malloy-Diniz, L. F., Barbosa, I. G., </w:t>
      </w:r>
      <w:proofErr w:type="spellStart"/>
      <w:r w:rsidRPr="004D46AC">
        <w:rPr>
          <w:rFonts w:eastAsiaTheme="minorEastAsia"/>
        </w:rPr>
        <w:t>Brasil</w:t>
      </w:r>
      <w:proofErr w:type="spellEnd"/>
      <w:r w:rsidRPr="004D46AC">
        <w:rPr>
          <w:rFonts w:eastAsiaTheme="minorEastAsia"/>
        </w:rPr>
        <w:t xml:space="preserve">, P. M., &amp; Correa, H. (2009). Bipolar disorder first episode and suicidal </w:t>
      </w:r>
      <w:proofErr w:type="spellStart"/>
      <w:r w:rsidRPr="004D46AC">
        <w:rPr>
          <w:rFonts w:eastAsiaTheme="minorEastAsia"/>
        </w:rPr>
        <w:t>behavior</w:t>
      </w:r>
      <w:proofErr w:type="spellEnd"/>
      <w:r w:rsidRPr="004D46AC">
        <w:rPr>
          <w:rFonts w:eastAsiaTheme="minorEastAsia"/>
        </w:rPr>
        <w:t xml:space="preserve">: are there differences according to type of suicide attempt? Braz J Psychiatry, 31(2), 114–118. https://doi.org/10.1590/s1516-44462009000200006 </w:t>
      </w:r>
    </w:p>
    <w:p w14:paraId="0EE7475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Newport, D. J., </w:t>
      </w:r>
      <w:proofErr w:type="spellStart"/>
      <w:r w:rsidRPr="004D46AC">
        <w:rPr>
          <w:rFonts w:eastAsiaTheme="minorEastAsia"/>
        </w:rPr>
        <w:t>Baldessarini</w:t>
      </w:r>
      <w:proofErr w:type="spellEnd"/>
      <w:r w:rsidRPr="004D46AC">
        <w:rPr>
          <w:rFonts w:eastAsiaTheme="minorEastAsia"/>
        </w:rPr>
        <w:t xml:space="preserve">, R. J., Knight, B. T., Fernandez, S. V., Morris, N. J., </w:t>
      </w:r>
      <w:proofErr w:type="spellStart"/>
      <w:r w:rsidRPr="004D46AC">
        <w:rPr>
          <w:rFonts w:eastAsiaTheme="minorEastAsia"/>
        </w:rPr>
        <w:t>Viguera</w:t>
      </w:r>
      <w:proofErr w:type="spellEnd"/>
      <w:r w:rsidRPr="004D46AC">
        <w:rPr>
          <w:rFonts w:eastAsiaTheme="minorEastAsia"/>
        </w:rPr>
        <w:t xml:space="preserve">, A. C., &amp; Stowe, Z. N. (2012). Comparison of women with confirmed versus presumably misdiagnosed bipolar disorder. J Clin Psychiatry, 73(2), 242–246. https://doi.org/10.4088/JCP.11m06936 </w:t>
      </w:r>
    </w:p>
    <w:p w14:paraId="59A7FB5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Ng, V. W. S., Man, K. K. C., Gao, L., Chan, E. W., Lee, E. H. M., Hayes, J. F., &amp; Wong, I. C. K. (2021). Bipolar disorder prevalence and psychotropic medication utilisation in Hong Kong and the United Kingdom [https://doi.org/10.1002/pds.5318]. </w:t>
      </w:r>
      <w:proofErr w:type="spellStart"/>
      <w:r w:rsidRPr="004D46AC">
        <w:rPr>
          <w:rFonts w:eastAsiaTheme="minorEastAsia"/>
        </w:rPr>
        <w:t>Pharmacoepidemiol</w:t>
      </w:r>
      <w:proofErr w:type="spellEnd"/>
      <w:r w:rsidRPr="004D46AC">
        <w:rPr>
          <w:rFonts w:eastAsiaTheme="minorEastAsia"/>
        </w:rPr>
        <w:t xml:space="preserve"> Drug Saf, 30(11), 1588–1600. https://doi.org/10.1002/pds.5318 </w:t>
      </w:r>
    </w:p>
    <w:p w14:paraId="1C63122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Nisha, A., Sathesh, V., Punnoose, V. P., &amp; Varghese, P. J. (2015). A comparative study on psycho-socio-demographic and clinical profile of patients with bipolar versus unipolar depression. Indian J Psychiatry, 57(4), 392–396. https://doi.org/10.4103/0019-5545.171842 </w:t>
      </w:r>
    </w:p>
    <w:p w14:paraId="1FBD17B3"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Nivoli</w:t>
      </w:r>
      <w:proofErr w:type="spellEnd"/>
      <w:r w:rsidRPr="004D46AC">
        <w:rPr>
          <w:rFonts w:eastAsiaTheme="minorEastAsia"/>
        </w:rPr>
        <w:t xml:space="preserve">, A. M., Colom, F., </w:t>
      </w:r>
      <w:proofErr w:type="spellStart"/>
      <w:r w:rsidRPr="004D46AC">
        <w:rPr>
          <w:rFonts w:eastAsiaTheme="minorEastAsia"/>
        </w:rPr>
        <w:t>Pacchiarotti</w:t>
      </w:r>
      <w:proofErr w:type="spellEnd"/>
      <w:r w:rsidRPr="004D46AC">
        <w:rPr>
          <w:rFonts w:eastAsiaTheme="minorEastAsia"/>
        </w:rPr>
        <w:t xml:space="preserve">, I., </w:t>
      </w:r>
      <w:proofErr w:type="spellStart"/>
      <w:r w:rsidRPr="004D46AC">
        <w:rPr>
          <w:rFonts w:eastAsiaTheme="minorEastAsia"/>
        </w:rPr>
        <w:t>Murru</w:t>
      </w:r>
      <w:proofErr w:type="spellEnd"/>
      <w:r w:rsidRPr="004D46AC">
        <w:rPr>
          <w:rFonts w:eastAsiaTheme="minorEastAsia"/>
        </w:rPr>
        <w:t xml:space="preserve">, A., Scott, J., Valenti, M., Mazzarini, L., Del Mar Bonnin, C., Sanchez-Moreno, J., </w:t>
      </w:r>
      <w:proofErr w:type="spellStart"/>
      <w:r w:rsidRPr="004D46AC">
        <w:rPr>
          <w:rFonts w:eastAsiaTheme="minorEastAsia"/>
        </w:rPr>
        <w:t>Serretti</w:t>
      </w:r>
      <w:proofErr w:type="spellEnd"/>
      <w:r w:rsidRPr="004D46AC">
        <w:rPr>
          <w:rFonts w:eastAsiaTheme="minorEastAsia"/>
        </w:rPr>
        <w:t xml:space="preserve">, A., &amp; Vieta, E. (2013). Treatment strategies according to clinical features in a naturalistic cohort study of bipolar patients: a principal component analysis of lifetime pharmacological and </w:t>
      </w:r>
      <w:proofErr w:type="spellStart"/>
      <w:r w:rsidRPr="004D46AC">
        <w:rPr>
          <w:rFonts w:eastAsiaTheme="minorEastAsia"/>
        </w:rPr>
        <w:t>biophysic</w:t>
      </w:r>
      <w:proofErr w:type="spellEnd"/>
      <w:r w:rsidRPr="004D46AC">
        <w:rPr>
          <w:rFonts w:eastAsiaTheme="minorEastAsia"/>
        </w:rPr>
        <w:t xml:space="preserve"> treatment options. </w:t>
      </w:r>
      <w:proofErr w:type="spellStart"/>
      <w:r w:rsidRPr="004D46AC">
        <w:rPr>
          <w:rFonts w:eastAsiaTheme="minorEastAsia"/>
        </w:rPr>
        <w:t>Eur</w:t>
      </w:r>
      <w:proofErr w:type="spellEnd"/>
      <w:r w:rsidRPr="004D46AC">
        <w:rPr>
          <w:rFonts w:eastAsiaTheme="minorEastAsia"/>
        </w:rPr>
        <w:t xml:space="preserve"> </w:t>
      </w:r>
      <w:proofErr w:type="spellStart"/>
      <w:r w:rsidRPr="004D46AC">
        <w:rPr>
          <w:rFonts w:eastAsiaTheme="minorEastAsia"/>
        </w:rPr>
        <w:t>Neuropsychopharmacol</w:t>
      </w:r>
      <w:proofErr w:type="spellEnd"/>
      <w:r w:rsidRPr="004D46AC">
        <w:rPr>
          <w:rFonts w:eastAsiaTheme="minorEastAsia"/>
        </w:rPr>
        <w:t xml:space="preserve">, 23(4), 263–275. https://doi.org/10.1016/j.euroneuro.2012.07.015 </w:t>
      </w:r>
    </w:p>
    <w:p w14:paraId="3442EF37"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lastRenderedPageBreak/>
        <w:t>Olincy</w:t>
      </w:r>
      <w:proofErr w:type="spellEnd"/>
      <w:r w:rsidRPr="004D46AC">
        <w:rPr>
          <w:rFonts w:eastAsiaTheme="minorEastAsia"/>
        </w:rPr>
        <w:t xml:space="preserve">, A., &amp; Martin, L. (2005). Diminished suppression of the P50 auditory evoked potential in bipolar disorder subjects with a history of psychosis. Am J Psychiatry, 162(1), 43–49. https://doi.org/10.1176/appi.ajp.162.1.43 </w:t>
      </w:r>
    </w:p>
    <w:p w14:paraId="06DFEBD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Ortiz, A., </w:t>
      </w:r>
      <w:proofErr w:type="spellStart"/>
      <w:r w:rsidRPr="004D46AC">
        <w:rPr>
          <w:rFonts w:eastAsiaTheme="minorEastAsia"/>
        </w:rPr>
        <w:t>Bradler</w:t>
      </w:r>
      <w:proofErr w:type="spellEnd"/>
      <w:r w:rsidRPr="004D46AC">
        <w:rPr>
          <w:rFonts w:eastAsiaTheme="minorEastAsia"/>
        </w:rPr>
        <w:t xml:space="preserve">, K., Moorti, P., MacLean, S., Husain, M. I., Sanches, M., Goldstein, B. I., Alda, M., &amp; </w:t>
      </w:r>
      <w:proofErr w:type="spellStart"/>
      <w:r w:rsidRPr="004D46AC">
        <w:rPr>
          <w:rFonts w:eastAsiaTheme="minorEastAsia"/>
        </w:rPr>
        <w:t>Mulsant</w:t>
      </w:r>
      <w:proofErr w:type="spellEnd"/>
      <w:r w:rsidRPr="004D46AC">
        <w:rPr>
          <w:rFonts w:eastAsiaTheme="minorEastAsia"/>
        </w:rPr>
        <w:t xml:space="preserve">, B. H. (2021). Reduced heart rate variability is associated with higher illness burden in bipolar disorder. J </w:t>
      </w:r>
      <w:proofErr w:type="spellStart"/>
      <w:r w:rsidRPr="004D46AC">
        <w:rPr>
          <w:rFonts w:eastAsiaTheme="minorEastAsia"/>
        </w:rPr>
        <w:t>Psychosom</w:t>
      </w:r>
      <w:proofErr w:type="spellEnd"/>
      <w:r w:rsidRPr="004D46AC">
        <w:rPr>
          <w:rFonts w:eastAsiaTheme="minorEastAsia"/>
        </w:rPr>
        <w:t xml:space="preserve"> Res, 145, 110478. https://doi.org/10.1016/j.jpsychores.2021.110478 </w:t>
      </w:r>
    </w:p>
    <w:p w14:paraId="57688A2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Ospina, L. H., Russo, M., </w:t>
      </w:r>
      <w:proofErr w:type="spellStart"/>
      <w:r w:rsidRPr="004D46AC">
        <w:rPr>
          <w:rFonts w:eastAsiaTheme="minorEastAsia"/>
        </w:rPr>
        <w:t>Nitzburg</w:t>
      </w:r>
      <w:proofErr w:type="spellEnd"/>
      <w:r w:rsidRPr="004D46AC">
        <w:rPr>
          <w:rFonts w:eastAsiaTheme="minorEastAsia"/>
        </w:rPr>
        <w:t xml:space="preserve">, G. M., Cuesta-Diaz, A., Shanahan, M., Perez-Rodriguez, M. M., McGrath, M., Levine, H., </w:t>
      </w:r>
      <w:proofErr w:type="spellStart"/>
      <w:r w:rsidRPr="004D46AC">
        <w:rPr>
          <w:rFonts w:eastAsiaTheme="minorEastAsia"/>
        </w:rPr>
        <w:t>Mulaimovic</w:t>
      </w:r>
      <w:proofErr w:type="spellEnd"/>
      <w:r w:rsidRPr="004D46AC">
        <w:rPr>
          <w:rFonts w:eastAsiaTheme="minorEastAsia"/>
        </w:rPr>
        <w:t xml:space="preserve">, S., &amp; Burdick, K. E. (2016). The effects of cigarette smoking </w:t>
      </w:r>
      <w:proofErr w:type="spellStart"/>
      <w:r w:rsidRPr="004D46AC">
        <w:rPr>
          <w:rFonts w:eastAsiaTheme="minorEastAsia"/>
        </w:rPr>
        <w:t>behavior</w:t>
      </w:r>
      <w:proofErr w:type="spellEnd"/>
      <w:r w:rsidRPr="004D46AC">
        <w:rPr>
          <w:rFonts w:eastAsiaTheme="minorEastAsia"/>
        </w:rPr>
        <w:t xml:space="preserve"> and psychosis history on general and social cognition in bipolar disorder [https://doi.org/10.1111/bdi.12420]. Bipolar </w:t>
      </w:r>
      <w:proofErr w:type="spellStart"/>
      <w:r w:rsidRPr="004D46AC">
        <w:rPr>
          <w:rFonts w:eastAsiaTheme="minorEastAsia"/>
        </w:rPr>
        <w:t>Disord</w:t>
      </w:r>
      <w:proofErr w:type="spellEnd"/>
      <w:r w:rsidRPr="004D46AC">
        <w:rPr>
          <w:rFonts w:eastAsiaTheme="minorEastAsia"/>
        </w:rPr>
        <w:t xml:space="preserve">, 18(6), 528–538. https://doi.org/10.1111/bdi.12420 </w:t>
      </w:r>
    </w:p>
    <w:p w14:paraId="6088C039"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Ozyildirim</w:t>
      </w:r>
      <w:proofErr w:type="spellEnd"/>
      <w:r w:rsidRPr="004D46AC">
        <w:rPr>
          <w:rFonts w:eastAsiaTheme="minorEastAsia"/>
        </w:rPr>
        <w:t xml:space="preserve">, I., Cakir, S., &amp; Yazici, O. (2010). Impact of psychotic features on morbidity and course of illness in patients with bipolar disorder. </w:t>
      </w:r>
      <w:proofErr w:type="spellStart"/>
      <w:r w:rsidRPr="004D46AC">
        <w:rPr>
          <w:rFonts w:eastAsiaTheme="minorEastAsia"/>
        </w:rPr>
        <w:t>Eur</w:t>
      </w:r>
      <w:proofErr w:type="spellEnd"/>
      <w:r w:rsidRPr="004D46AC">
        <w:rPr>
          <w:rFonts w:eastAsiaTheme="minorEastAsia"/>
        </w:rPr>
        <w:t xml:space="preserve"> Psychiatry, 25(1), 47–51. https://doi.org/10.1016/j.eurpsy.2009.08.004 </w:t>
      </w:r>
    </w:p>
    <w:p w14:paraId="7943448A"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Pacchiarotti</w:t>
      </w:r>
      <w:proofErr w:type="spellEnd"/>
      <w:r w:rsidRPr="004D46AC">
        <w:rPr>
          <w:rFonts w:eastAsiaTheme="minorEastAsia"/>
        </w:rPr>
        <w:t xml:space="preserve">, I., Mazzarini, L., </w:t>
      </w:r>
      <w:proofErr w:type="spellStart"/>
      <w:r w:rsidRPr="004D46AC">
        <w:rPr>
          <w:rFonts w:eastAsiaTheme="minorEastAsia"/>
        </w:rPr>
        <w:t>Kotzalidis</w:t>
      </w:r>
      <w:proofErr w:type="spellEnd"/>
      <w:r w:rsidRPr="004D46AC">
        <w:rPr>
          <w:rFonts w:eastAsiaTheme="minorEastAsia"/>
        </w:rPr>
        <w:t xml:space="preserve">, G. D., Valenti, M., </w:t>
      </w:r>
      <w:proofErr w:type="spellStart"/>
      <w:r w:rsidRPr="004D46AC">
        <w:rPr>
          <w:rFonts w:eastAsiaTheme="minorEastAsia"/>
        </w:rPr>
        <w:t>Nivoli</w:t>
      </w:r>
      <w:proofErr w:type="spellEnd"/>
      <w:r w:rsidRPr="004D46AC">
        <w:rPr>
          <w:rFonts w:eastAsiaTheme="minorEastAsia"/>
        </w:rPr>
        <w:t xml:space="preserve">, A. M., Sani, G., Torrent, C., </w:t>
      </w:r>
      <w:proofErr w:type="spellStart"/>
      <w:r w:rsidRPr="004D46AC">
        <w:rPr>
          <w:rFonts w:eastAsiaTheme="minorEastAsia"/>
        </w:rPr>
        <w:t>Murru</w:t>
      </w:r>
      <w:proofErr w:type="spellEnd"/>
      <w:r w:rsidRPr="004D46AC">
        <w:rPr>
          <w:rFonts w:eastAsiaTheme="minorEastAsia"/>
        </w:rPr>
        <w:t xml:space="preserve">, A., Sanchez-Moreno, J., Patrizi, B., Girardi, P., Vieta, E., &amp; Colom, F. (2011). Mania and depression. Mixed, not stirred. J Affect </w:t>
      </w:r>
      <w:proofErr w:type="spellStart"/>
      <w:r w:rsidRPr="004D46AC">
        <w:rPr>
          <w:rFonts w:eastAsiaTheme="minorEastAsia"/>
        </w:rPr>
        <w:t>Disord</w:t>
      </w:r>
      <w:proofErr w:type="spellEnd"/>
      <w:r w:rsidRPr="004D46AC">
        <w:rPr>
          <w:rFonts w:eastAsiaTheme="minorEastAsia"/>
        </w:rPr>
        <w:t xml:space="preserve">, 133(1-2), 105–113. https://doi.org/10.1016/j.jad.2011.03.037 </w:t>
      </w:r>
    </w:p>
    <w:p w14:paraId="24A9495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Parker, G., Graham, R., Hadzi-Pavlovic, D., McCraw, S., Hong, M., &amp; Friend, P. (2013). Differentiation of bipolar I and II disorders by examining for differences in severity of manic/hypomanic symptoms and the presence or absence of psychosis during that phase. J Affect </w:t>
      </w:r>
      <w:proofErr w:type="spellStart"/>
      <w:r w:rsidRPr="004D46AC">
        <w:rPr>
          <w:rFonts w:eastAsiaTheme="minorEastAsia"/>
        </w:rPr>
        <w:t>Disord</w:t>
      </w:r>
      <w:proofErr w:type="spellEnd"/>
      <w:r w:rsidRPr="004D46AC">
        <w:rPr>
          <w:rFonts w:eastAsiaTheme="minorEastAsia"/>
        </w:rPr>
        <w:t xml:space="preserve">, 150(3), 941–947. https://doi.org/10.1016/j.jad.2013.05.018 </w:t>
      </w:r>
    </w:p>
    <w:p w14:paraId="0D6E3A3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Parker, G., Roy, K., Wilhelm, K., Mitchell, P., &amp; Hadzi-Pavlovic, D. (2000). The nature of bipolar depression: implications for the definition of melancholia. J Affect </w:t>
      </w:r>
      <w:proofErr w:type="spellStart"/>
      <w:r w:rsidRPr="004D46AC">
        <w:rPr>
          <w:rFonts w:eastAsiaTheme="minorEastAsia"/>
        </w:rPr>
        <w:t>Disord</w:t>
      </w:r>
      <w:proofErr w:type="spellEnd"/>
      <w:r w:rsidRPr="004D46AC">
        <w:rPr>
          <w:rFonts w:eastAsiaTheme="minorEastAsia"/>
        </w:rPr>
        <w:t xml:space="preserve">, 59(3), 217–224. https://doi.org/10.1016/s0165-0327(99)00144-5 </w:t>
      </w:r>
    </w:p>
    <w:p w14:paraId="58BAF8C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Pavlova, B., </w:t>
      </w:r>
      <w:proofErr w:type="spellStart"/>
      <w:r w:rsidRPr="004D46AC">
        <w:rPr>
          <w:rFonts w:eastAsiaTheme="minorEastAsia"/>
        </w:rPr>
        <w:t>Perroud</w:t>
      </w:r>
      <w:proofErr w:type="spellEnd"/>
      <w:r w:rsidRPr="004D46AC">
        <w:rPr>
          <w:rFonts w:eastAsiaTheme="minorEastAsia"/>
        </w:rPr>
        <w:t xml:space="preserve">, N., Cordera, P., Uher, R., Alda, M., Dayer, A., &amp; Aubry, J. M. (2018). Anxiety disorders and childhood maltreatment as predictors of outcome in bipolar disorder. J Affect </w:t>
      </w:r>
      <w:proofErr w:type="spellStart"/>
      <w:r w:rsidRPr="004D46AC">
        <w:rPr>
          <w:rFonts w:eastAsiaTheme="minorEastAsia"/>
        </w:rPr>
        <w:t>Disord</w:t>
      </w:r>
      <w:proofErr w:type="spellEnd"/>
      <w:r w:rsidRPr="004D46AC">
        <w:rPr>
          <w:rFonts w:eastAsiaTheme="minorEastAsia"/>
        </w:rPr>
        <w:t xml:space="preserve">, 225, 337–341. https://doi.org/10.1016/j.jad.2017.08.048 </w:t>
      </w:r>
    </w:p>
    <w:p w14:paraId="17E71D7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Peh, A. L., &amp; Tay, L. K. (2008). Demographical profile and clinical features of patients with bipolar disorder in an outpatient setting in Singapore. Singapore Med J, 49(5), 380–383. </w:t>
      </w:r>
    </w:p>
    <w:p w14:paraId="186183D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Perlman, G., Kotov, R., Fu, J., </w:t>
      </w:r>
      <w:proofErr w:type="spellStart"/>
      <w:r w:rsidRPr="004D46AC">
        <w:rPr>
          <w:rFonts w:eastAsiaTheme="minorEastAsia"/>
        </w:rPr>
        <w:t>Bromet</w:t>
      </w:r>
      <w:proofErr w:type="spellEnd"/>
      <w:r w:rsidRPr="004D46AC">
        <w:rPr>
          <w:rFonts w:eastAsiaTheme="minorEastAsia"/>
        </w:rPr>
        <w:t xml:space="preserve">, E. J., </w:t>
      </w:r>
      <w:proofErr w:type="spellStart"/>
      <w:r w:rsidRPr="004D46AC">
        <w:rPr>
          <w:rFonts w:eastAsiaTheme="minorEastAsia"/>
        </w:rPr>
        <w:t>Fochtmann</w:t>
      </w:r>
      <w:proofErr w:type="spellEnd"/>
      <w:r w:rsidRPr="004D46AC">
        <w:rPr>
          <w:rFonts w:eastAsiaTheme="minorEastAsia"/>
        </w:rPr>
        <w:t xml:space="preserve">, L. J., Medeiros, H., Genomic Psychiatry Cohort, C., Pato, M. T., &amp; Pato, C. N. (2016). Symptoms of psychosis in schizophrenia, schizoaffective disorder, and bipolar disorder: A comparison of African Americans and Caucasians in the Genomic Psychiatry Cohort. Am J Med Genet B </w:t>
      </w:r>
      <w:proofErr w:type="spellStart"/>
      <w:r w:rsidRPr="004D46AC">
        <w:rPr>
          <w:rFonts w:eastAsiaTheme="minorEastAsia"/>
        </w:rPr>
        <w:t>Neuropsychiatr</w:t>
      </w:r>
      <w:proofErr w:type="spellEnd"/>
      <w:r w:rsidRPr="004D46AC">
        <w:rPr>
          <w:rFonts w:eastAsiaTheme="minorEastAsia"/>
        </w:rPr>
        <w:t xml:space="preserve"> Genet, 171(4), 546–555. https://doi.org/10.1002/ajmg.b.32409 </w:t>
      </w:r>
    </w:p>
    <w:p w14:paraId="700CB33D"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Perugi</w:t>
      </w:r>
      <w:proofErr w:type="spellEnd"/>
      <w:r w:rsidRPr="004D46AC">
        <w:rPr>
          <w:rFonts w:eastAsiaTheme="minorEastAsia"/>
        </w:rPr>
        <w:t xml:space="preserve">, G., </w:t>
      </w:r>
      <w:proofErr w:type="spellStart"/>
      <w:r w:rsidRPr="004D46AC">
        <w:rPr>
          <w:rFonts w:eastAsiaTheme="minorEastAsia"/>
        </w:rPr>
        <w:t>Akiskal</w:t>
      </w:r>
      <w:proofErr w:type="spellEnd"/>
      <w:r w:rsidRPr="004D46AC">
        <w:rPr>
          <w:rFonts w:eastAsiaTheme="minorEastAsia"/>
        </w:rPr>
        <w:t xml:space="preserve">, H. S., Micheli, C., Musetti, L., Paiano, A., Quilici, C., Rossi, L., &amp; Cassano, G. B. (1997). Clinical subtypes of bipolar mixed states: validating a broader European definition in 143 cases. J Affect </w:t>
      </w:r>
      <w:proofErr w:type="spellStart"/>
      <w:r w:rsidRPr="004D46AC">
        <w:rPr>
          <w:rFonts w:eastAsiaTheme="minorEastAsia"/>
        </w:rPr>
        <w:t>Disord</w:t>
      </w:r>
      <w:proofErr w:type="spellEnd"/>
      <w:r w:rsidRPr="004D46AC">
        <w:rPr>
          <w:rFonts w:eastAsiaTheme="minorEastAsia"/>
        </w:rPr>
        <w:t xml:space="preserve">, 43(3), 169–180. https://doi.org/10.1016/s0165-0327(97)01446-8 </w:t>
      </w:r>
    </w:p>
    <w:p w14:paraId="324511F7"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Perugi</w:t>
      </w:r>
      <w:proofErr w:type="spellEnd"/>
      <w:r w:rsidRPr="004D46AC">
        <w:rPr>
          <w:rFonts w:eastAsiaTheme="minorEastAsia"/>
        </w:rPr>
        <w:t xml:space="preserve">, G., Micheli, C., </w:t>
      </w:r>
      <w:proofErr w:type="spellStart"/>
      <w:r w:rsidRPr="004D46AC">
        <w:rPr>
          <w:rFonts w:eastAsiaTheme="minorEastAsia"/>
        </w:rPr>
        <w:t>Akiskal</w:t>
      </w:r>
      <w:proofErr w:type="spellEnd"/>
      <w:r w:rsidRPr="004D46AC">
        <w:rPr>
          <w:rFonts w:eastAsiaTheme="minorEastAsia"/>
        </w:rPr>
        <w:t xml:space="preserve">, H. S., </w:t>
      </w:r>
      <w:proofErr w:type="spellStart"/>
      <w:r w:rsidRPr="004D46AC">
        <w:rPr>
          <w:rFonts w:eastAsiaTheme="minorEastAsia"/>
        </w:rPr>
        <w:t>Madaro</w:t>
      </w:r>
      <w:proofErr w:type="spellEnd"/>
      <w:r w:rsidRPr="004D46AC">
        <w:rPr>
          <w:rFonts w:eastAsiaTheme="minorEastAsia"/>
        </w:rPr>
        <w:t xml:space="preserve">, D., Socci, C., Quilici, C., &amp; Musetti, L. (2000). Polarity of the first episode, clinical characteristics, and course of </w:t>
      </w:r>
      <w:proofErr w:type="gramStart"/>
      <w:r w:rsidRPr="004D46AC">
        <w:rPr>
          <w:rFonts w:eastAsiaTheme="minorEastAsia"/>
        </w:rPr>
        <w:t>manic depressive</w:t>
      </w:r>
      <w:proofErr w:type="gramEnd"/>
      <w:r w:rsidRPr="004D46AC">
        <w:rPr>
          <w:rFonts w:eastAsiaTheme="minorEastAsia"/>
        </w:rPr>
        <w:t xml:space="preserve"> illness: A systematic retrospective investigation of 320 bipolar I patients. Comprehensive Psychiatry, 41(1), 13–18. https://doi.org/https://doi.org/10.1016/S0010-440X(00)90125-1 </w:t>
      </w:r>
    </w:p>
    <w:p w14:paraId="1ECEEC4D"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Ragazan</w:t>
      </w:r>
      <w:proofErr w:type="spellEnd"/>
      <w:r w:rsidRPr="004D46AC">
        <w:rPr>
          <w:rFonts w:eastAsiaTheme="minorEastAsia"/>
        </w:rPr>
        <w:t xml:space="preserve">, D. C., Eberhard, J., Osby, U., &amp; Berge, J. (2019). Gender influence on the bipolar disorder inpatient length of stay in Sweden, 2005-2014: A register-based study. J Affect </w:t>
      </w:r>
      <w:proofErr w:type="spellStart"/>
      <w:r w:rsidRPr="004D46AC">
        <w:rPr>
          <w:rFonts w:eastAsiaTheme="minorEastAsia"/>
        </w:rPr>
        <w:t>Disord</w:t>
      </w:r>
      <w:proofErr w:type="spellEnd"/>
      <w:r w:rsidRPr="004D46AC">
        <w:rPr>
          <w:rFonts w:eastAsiaTheme="minorEastAsia"/>
        </w:rPr>
        <w:t xml:space="preserve">, 256, 183–191. https://doi.org/10.1016/j.jad.2019.05.052 </w:t>
      </w:r>
    </w:p>
    <w:p w14:paraId="034C08F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Raymont, V., Bettany, D., &amp; Frangou, S. (2003). The Maudsley bipolar disorder project. Clinical characteristics of bipolar disorder I in a Catchment area treatment sample. </w:t>
      </w:r>
      <w:proofErr w:type="spellStart"/>
      <w:r w:rsidRPr="004D46AC">
        <w:rPr>
          <w:rFonts w:eastAsiaTheme="minorEastAsia"/>
        </w:rPr>
        <w:t>Eur</w:t>
      </w:r>
      <w:proofErr w:type="spellEnd"/>
      <w:r w:rsidRPr="004D46AC">
        <w:rPr>
          <w:rFonts w:eastAsiaTheme="minorEastAsia"/>
        </w:rPr>
        <w:t xml:space="preserve"> Psychiatry, 18(1), 13–17. https://doi.org/10.1016/s0924-9338(02)00009-3 </w:t>
      </w:r>
    </w:p>
    <w:p w14:paraId="170087A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Rybakowski, J. K., </w:t>
      </w:r>
      <w:proofErr w:type="spellStart"/>
      <w:r w:rsidRPr="004D46AC">
        <w:rPr>
          <w:rFonts w:eastAsiaTheme="minorEastAsia"/>
        </w:rPr>
        <w:t>Suwalska</w:t>
      </w:r>
      <w:proofErr w:type="spellEnd"/>
      <w:r w:rsidRPr="004D46AC">
        <w:rPr>
          <w:rFonts w:eastAsiaTheme="minorEastAsia"/>
        </w:rPr>
        <w:t xml:space="preserve">, A., Lojko, D., </w:t>
      </w:r>
      <w:proofErr w:type="spellStart"/>
      <w:r w:rsidRPr="004D46AC">
        <w:rPr>
          <w:rFonts w:eastAsiaTheme="minorEastAsia"/>
        </w:rPr>
        <w:t>Rymaszewska</w:t>
      </w:r>
      <w:proofErr w:type="spellEnd"/>
      <w:r w:rsidRPr="004D46AC">
        <w:rPr>
          <w:rFonts w:eastAsiaTheme="minorEastAsia"/>
        </w:rPr>
        <w:t xml:space="preserve">, J., &amp; </w:t>
      </w:r>
      <w:proofErr w:type="spellStart"/>
      <w:r w:rsidRPr="004D46AC">
        <w:rPr>
          <w:rFonts w:eastAsiaTheme="minorEastAsia"/>
        </w:rPr>
        <w:t>Kiejna</w:t>
      </w:r>
      <w:proofErr w:type="spellEnd"/>
      <w:r w:rsidRPr="004D46AC">
        <w:rPr>
          <w:rFonts w:eastAsiaTheme="minorEastAsia"/>
        </w:rPr>
        <w:t xml:space="preserve">, A. (2007). Types of depression more frequent in bipolar than in unipolar affective illness: results of the </w:t>
      </w:r>
      <w:r w:rsidRPr="004D46AC">
        <w:rPr>
          <w:rFonts w:eastAsiaTheme="minorEastAsia"/>
        </w:rPr>
        <w:lastRenderedPageBreak/>
        <w:t xml:space="preserve">Polish DEP-BI study. Psychopathology, 40(3), 153–158. https://doi.org/10.1159/000100004 </w:t>
      </w:r>
    </w:p>
    <w:p w14:paraId="0A61EE8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Sachs, G. S., Grossman, F., Ghaemi, S. N., Okamoto, A., &amp; Bowden, C. L. (2002). Combination of a mood stabilizer with risperidone or haloperidol for treatment of acute mania: a double-blind, placebo-controlled comparison of efficacy and safety. Am J Psychiatry, 159(7), 1146–1154. https://doi.org/10.1176/appi.ajp.159.7.1146 </w:t>
      </w:r>
    </w:p>
    <w:p w14:paraId="6A08E3D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Salem, H., Ruiz, A., Hernandez, S., Wahid, K., Cao, F., Karnes, B., Beasley, S., Sanches, M., </w:t>
      </w:r>
      <w:proofErr w:type="spellStart"/>
      <w:r w:rsidRPr="004D46AC">
        <w:rPr>
          <w:rFonts w:eastAsiaTheme="minorEastAsia"/>
        </w:rPr>
        <w:t>Ashtari</w:t>
      </w:r>
      <w:proofErr w:type="spellEnd"/>
      <w:r w:rsidRPr="004D46AC">
        <w:rPr>
          <w:rFonts w:eastAsiaTheme="minorEastAsia"/>
        </w:rPr>
        <w:t xml:space="preserve">, E., &amp; Pigott, T. (2019). Borderline Personality Features in Inpatients with Bipolar Disorder: Impact on Course and Machine Learning Model Use to Predict Rapid Readmission. J </w:t>
      </w:r>
      <w:proofErr w:type="spellStart"/>
      <w:r w:rsidRPr="004D46AC">
        <w:rPr>
          <w:rFonts w:eastAsiaTheme="minorEastAsia"/>
        </w:rPr>
        <w:t>Psychiatr</w:t>
      </w:r>
      <w:proofErr w:type="spellEnd"/>
      <w:r w:rsidRPr="004D46AC">
        <w:rPr>
          <w:rFonts w:eastAsiaTheme="minorEastAsia"/>
        </w:rPr>
        <w:t xml:space="preserve"> </w:t>
      </w:r>
      <w:proofErr w:type="spellStart"/>
      <w:r w:rsidRPr="004D46AC">
        <w:rPr>
          <w:rFonts w:eastAsiaTheme="minorEastAsia"/>
        </w:rPr>
        <w:t>Pract</w:t>
      </w:r>
      <w:proofErr w:type="spellEnd"/>
      <w:r w:rsidRPr="004D46AC">
        <w:rPr>
          <w:rFonts w:eastAsiaTheme="minorEastAsia"/>
        </w:rPr>
        <w:t xml:space="preserve">, 25(4), 279–289. https://doi.org/10.1097/PRA.0000000000000392 </w:t>
      </w:r>
    </w:p>
    <w:p w14:paraId="7218D843"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Samalin</w:t>
      </w:r>
      <w:proofErr w:type="spellEnd"/>
      <w:r w:rsidRPr="004D46AC">
        <w:rPr>
          <w:rFonts w:eastAsiaTheme="minorEastAsia"/>
        </w:rPr>
        <w:t xml:space="preserve">, L., Llorca, P. M., Giordana, B., </w:t>
      </w:r>
      <w:proofErr w:type="spellStart"/>
      <w:r w:rsidRPr="004D46AC">
        <w:rPr>
          <w:rFonts w:eastAsiaTheme="minorEastAsia"/>
        </w:rPr>
        <w:t>Milhiet</w:t>
      </w:r>
      <w:proofErr w:type="spellEnd"/>
      <w:r w:rsidRPr="004D46AC">
        <w:rPr>
          <w:rFonts w:eastAsiaTheme="minorEastAsia"/>
        </w:rPr>
        <w:t xml:space="preserve">, V., Yon, L., El-Hage, W., </w:t>
      </w:r>
      <w:proofErr w:type="spellStart"/>
      <w:r w:rsidRPr="004D46AC">
        <w:rPr>
          <w:rFonts w:eastAsiaTheme="minorEastAsia"/>
        </w:rPr>
        <w:t>Courtet</w:t>
      </w:r>
      <w:proofErr w:type="spellEnd"/>
      <w:r w:rsidRPr="004D46AC">
        <w:rPr>
          <w:rFonts w:eastAsiaTheme="minorEastAsia"/>
        </w:rPr>
        <w:t xml:space="preserve">, P., </w:t>
      </w:r>
      <w:proofErr w:type="spellStart"/>
      <w:r w:rsidRPr="004D46AC">
        <w:rPr>
          <w:rFonts w:eastAsiaTheme="minorEastAsia"/>
        </w:rPr>
        <w:t>Hacques</w:t>
      </w:r>
      <w:proofErr w:type="spellEnd"/>
      <w:r w:rsidRPr="004D46AC">
        <w:rPr>
          <w:rFonts w:eastAsiaTheme="minorEastAsia"/>
        </w:rPr>
        <w:t xml:space="preserve">, E., </w:t>
      </w:r>
      <w:proofErr w:type="spellStart"/>
      <w:r w:rsidRPr="004D46AC">
        <w:rPr>
          <w:rFonts w:eastAsiaTheme="minorEastAsia"/>
        </w:rPr>
        <w:t>Bedira</w:t>
      </w:r>
      <w:proofErr w:type="spellEnd"/>
      <w:r w:rsidRPr="004D46AC">
        <w:rPr>
          <w:rFonts w:eastAsiaTheme="minorEastAsia"/>
        </w:rPr>
        <w:t xml:space="preserve">, N., Filipovics, A., Arnaud, R., </w:t>
      </w:r>
      <w:proofErr w:type="spellStart"/>
      <w:r w:rsidRPr="004D46AC">
        <w:rPr>
          <w:rFonts w:eastAsiaTheme="minorEastAsia"/>
        </w:rPr>
        <w:t>Dillenschneider</w:t>
      </w:r>
      <w:proofErr w:type="spellEnd"/>
      <w:r w:rsidRPr="004D46AC">
        <w:rPr>
          <w:rFonts w:eastAsiaTheme="minorEastAsia"/>
        </w:rPr>
        <w:t xml:space="preserve">, A., &amp; </w:t>
      </w:r>
      <w:proofErr w:type="spellStart"/>
      <w:r w:rsidRPr="004D46AC">
        <w:rPr>
          <w:rFonts w:eastAsiaTheme="minorEastAsia"/>
        </w:rPr>
        <w:t>Bellivier</w:t>
      </w:r>
      <w:proofErr w:type="spellEnd"/>
      <w:r w:rsidRPr="004D46AC">
        <w:rPr>
          <w:rFonts w:eastAsiaTheme="minorEastAsia"/>
        </w:rPr>
        <w:t xml:space="preserve">, F. (2014). Residual symptoms and functional performance in a large sample of euthymic bipolar patients in France (the OPTHYMUM study). J Affect </w:t>
      </w:r>
      <w:proofErr w:type="spellStart"/>
      <w:r w:rsidRPr="004D46AC">
        <w:rPr>
          <w:rFonts w:eastAsiaTheme="minorEastAsia"/>
        </w:rPr>
        <w:t>Disord</w:t>
      </w:r>
      <w:proofErr w:type="spellEnd"/>
      <w:r w:rsidRPr="004D46AC">
        <w:rPr>
          <w:rFonts w:eastAsiaTheme="minorEastAsia"/>
        </w:rPr>
        <w:t xml:space="preserve">, 159, 94–102. https://doi.org/10.1016/j.jad.2014.02.023 </w:t>
      </w:r>
    </w:p>
    <w:p w14:paraId="3E2D6E89"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Samellas</w:t>
      </w:r>
      <w:proofErr w:type="spellEnd"/>
      <w:r w:rsidRPr="004D46AC">
        <w:rPr>
          <w:rFonts w:eastAsiaTheme="minorEastAsia"/>
        </w:rPr>
        <w:t xml:space="preserve">, D., Read, P., &amp; Cookson, J. C. (2004). Antipsychotic drugs in mania: factors predicting use of antipsychotic medication following inpatient treatment of mania. Int Clin </w:t>
      </w:r>
      <w:proofErr w:type="spellStart"/>
      <w:r w:rsidRPr="004D46AC">
        <w:rPr>
          <w:rFonts w:eastAsiaTheme="minorEastAsia"/>
        </w:rPr>
        <w:t>Psychopharmacol</w:t>
      </w:r>
      <w:proofErr w:type="spellEnd"/>
      <w:r w:rsidRPr="004D46AC">
        <w:rPr>
          <w:rFonts w:eastAsiaTheme="minorEastAsia"/>
        </w:rPr>
        <w:t xml:space="preserve">, 19(5), 291–297. https://doi.org/10.1097/01.yic.0000132775.98340.b1 </w:t>
      </w:r>
    </w:p>
    <w:p w14:paraId="6FF662B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Sarrazin, S., Cachia, A., Hozer, F., McDonald, C., </w:t>
      </w:r>
      <w:proofErr w:type="spellStart"/>
      <w:r w:rsidRPr="004D46AC">
        <w:rPr>
          <w:rFonts w:eastAsiaTheme="minorEastAsia"/>
        </w:rPr>
        <w:t>Emsell</w:t>
      </w:r>
      <w:proofErr w:type="spellEnd"/>
      <w:r w:rsidRPr="004D46AC">
        <w:rPr>
          <w:rFonts w:eastAsiaTheme="minorEastAsia"/>
        </w:rPr>
        <w:t xml:space="preserve">, L., Cannon, D. M., </w:t>
      </w:r>
      <w:proofErr w:type="spellStart"/>
      <w:r w:rsidRPr="004D46AC">
        <w:rPr>
          <w:rFonts w:eastAsiaTheme="minorEastAsia"/>
        </w:rPr>
        <w:t>Wessa</w:t>
      </w:r>
      <w:proofErr w:type="spellEnd"/>
      <w:r w:rsidRPr="004D46AC">
        <w:rPr>
          <w:rFonts w:eastAsiaTheme="minorEastAsia"/>
        </w:rPr>
        <w:t xml:space="preserve">, M., Linke, J., Versace, A., Hamdani, N., </w:t>
      </w:r>
      <w:proofErr w:type="spellStart"/>
      <w:r w:rsidRPr="004D46AC">
        <w:rPr>
          <w:rFonts w:eastAsiaTheme="minorEastAsia"/>
        </w:rPr>
        <w:t>D'Albis</w:t>
      </w:r>
      <w:proofErr w:type="spellEnd"/>
      <w:r w:rsidRPr="004D46AC">
        <w:rPr>
          <w:rFonts w:eastAsiaTheme="minorEastAsia"/>
        </w:rPr>
        <w:t xml:space="preserve">, M. A., </w:t>
      </w:r>
      <w:proofErr w:type="spellStart"/>
      <w:r w:rsidRPr="004D46AC">
        <w:rPr>
          <w:rFonts w:eastAsiaTheme="minorEastAsia"/>
        </w:rPr>
        <w:t>Delavest</w:t>
      </w:r>
      <w:proofErr w:type="spellEnd"/>
      <w:r w:rsidRPr="004D46AC">
        <w:rPr>
          <w:rFonts w:eastAsiaTheme="minorEastAsia"/>
        </w:rPr>
        <w:t xml:space="preserve">, M., Phillips, M. L., Brambilla, P., Bellani, M., </w:t>
      </w:r>
      <w:proofErr w:type="spellStart"/>
      <w:r w:rsidRPr="004D46AC">
        <w:rPr>
          <w:rFonts w:eastAsiaTheme="minorEastAsia"/>
        </w:rPr>
        <w:t>Polosan</w:t>
      </w:r>
      <w:proofErr w:type="spellEnd"/>
      <w:r w:rsidRPr="004D46AC">
        <w:rPr>
          <w:rFonts w:eastAsiaTheme="minorEastAsia"/>
        </w:rPr>
        <w:t xml:space="preserve">, M., Favre, P., Leboyer, M., Mangin, J. F., &amp; </w:t>
      </w:r>
      <w:proofErr w:type="spellStart"/>
      <w:r w:rsidRPr="004D46AC">
        <w:rPr>
          <w:rFonts w:eastAsiaTheme="minorEastAsia"/>
        </w:rPr>
        <w:t>Houenou</w:t>
      </w:r>
      <w:proofErr w:type="spellEnd"/>
      <w:r w:rsidRPr="004D46AC">
        <w:rPr>
          <w:rFonts w:eastAsiaTheme="minorEastAsia"/>
        </w:rPr>
        <w:t xml:space="preserve">, J. (2018). Neurodevelopmental subtypes of bipolar disorder are related to cortical folding patterns: An international </w:t>
      </w:r>
      <w:proofErr w:type="spellStart"/>
      <w:r w:rsidRPr="004D46AC">
        <w:rPr>
          <w:rFonts w:eastAsiaTheme="minorEastAsia"/>
        </w:rPr>
        <w:t>multicenter</w:t>
      </w:r>
      <w:proofErr w:type="spellEnd"/>
      <w:r w:rsidRPr="004D46AC">
        <w:rPr>
          <w:rFonts w:eastAsiaTheme="minorEastAsia"/>
        </w:rPr>
        <w:t xml:space="preserve"> study. Bipolar </w:t>
      </w:r>
      <w:proofErr w:type="spellStart"/>
      <w:r w:rsidRPr="004D46AC">
        <w:rPr>
          <w:rFonts w:eastAsiaTheme="minorEastAsia"/>
        </w:rPr>
        <w:t>Disord</w:t>
      </w:r>
      <w:proofErr w:type="spellEnd"/>
      <w:r w:rsidRPr="004D46AC">
        <w:rPr>
          <w:rFonts w:eastAsiaTheme="minorEastAsia"/>
        </w:rPr>
        <w:t xml:space="preserve">, 20(8), 721–732. https://doi.org/10.1111/bdi.12664 </w:t>
      </w:r>
    </w:p>
    <w:p w14:paraId="5A353A3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Sato, T., </w:t>
      </w:r>
      <w:proofErr w:type="spellStart"/>
      <w:r w:rsidRPr="004D46AC">
        <w:rPr>
          <w:rFonts w:eastAsiaTheme="minorEastAsia"/>
        </w:rPr>
        <w:t>Bottlender</w:t>
      </w:r>
      <w:proofErr w:type="spellEnd"/>
      <w:r w:rsidRPr="004D46AC">
        <w:rPr>
          <w:rFonts w:eastAsiaTheme="minorEastAsia"/>
        </w:rPr>
        <w:t xml:space="preserve">, R., Kleindienst, N., &amp; Moller, H. J. (2005). Irritable psychomotor elation in depressed inpatients: a factor validation of mixed depression. J Affect </w:t>
      </w:r>
      <w:proofErr w:type="spellStart"/>
      <w:r w:rsidRPr="004D46AC">
        <w:rPr>
          <w:rFonts w:eastAsiaTheme="minorEastAsia"/>
        </w:rPr>
        <w:t>Disord</w:t>
      </w:r>
      <w:proofErr w:type="spellEnd"/>
      <w:r w:rsidRPr="004D46AC">
        <w:rPr>
          <w:rFonts w:eastAsiaTheme="minorEastAsia"/>
        </w:rPr>
        <w:t xml:space="preserve">, 84(2-3), 187–196. https://doi.org/10.1016/S0165-0327(02)00172-6 </w:t>
      </w:r>
    </w:p>
    <w:p w14:paraId="4706BA53"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Schoeyen</w:t>
      </w:r>
      <w:proofErr w:type="spellEnd"/>
      <w:r w:rsidRPr="004D46AC">
        <w:rPr>
          <w:rFonts w:eastAsiaTheme="minorEastAsia"/>
        </w:rPr>
        <w:t xml:space="preserve">, H. K., </w:t>
      </w:r>
      <w:proofErr w:type="spellStart"/>
      <w:r w:rsidRPr="004D46AC">
        <w:rPr>
          <w:rFonts w:eastAsiaTheme="minorEastAsia"/>
        </w:rPr>
        <w:t>Birkenaes</w:t>
      </w:r>
      <w:proofErr w:type="spellEnd"/>
      <w:r w:rsidRPr="004D46AC">
        <w:rPr>
          <w:rFonts w:eastAsiaTheme="minorEastAsia"/>
        </w:rPr>
        <w:t xml:space="preserve">, A. B., Vaaler, A. E., Auestad, B. H., Malt, U. F., Andreassen, O. A., &amp; Morken, G. (2011). Bipolar disorder patients have similar levels of education but lower socio-economic status than the general population. J Affect </w:t>
      </w:r>
      <w:proofErr w:type="spellStart"/>
      <w:r w:rsidRPr="004D46AC">
        <w:rPr>
          <w:rFonts w:eastAsiaTheme="minorEastAsia"/>
        </w:rPr>
        <w:t>Disord</w:t>
      </w:r>
      <w:proofErr w:type="spellEnd"/>
      <w:r w:rsidRPr="004D46AC">
        <w:rPr>
          <w:rFonts w:eastAsiaTheme="minorEastAsia"/>
        </w:rPr>
        <w:t xml:space="preserve">, 129(1-3), 68–74. https://doi.org/10.1016/j.jad.2010.08.012 </w:t>
      </w:r>
    </w:p>
    <w:p w14:paraId="6826EF6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Schulze, T. G., </w:t>
      </w:r>
      <w:proofErr w:type="spellStart"/>
      <w:r w:rsidRPr="004D46AC">
        <w:rPr>
          <w:rFonts w:eastAsiaTheme="minorEastAsia"/>
        </w:rPr>
        <w:t>Ohlraun</w:t>
      </w:r>
      <w:proofErr w:type="spellEnd"/>
      <w:r w:rsidRPr="004D46AC">
        <w:rPr>
          <w:rFonts w:eastAsiaTheme="minorEastAsia"/>
        </w:rPr>
        <w:t xml:space="preserve">, S., Czerski, P. M., Schumacher, J., Kassem, L., Deschner, M., Gross, M., Tullius, M., Heidmann, V., Kovalenko, S., </w:t>
      </w:r>
      <w:proofErr w:type="spellStart"/>
      <w:r w:rsidRPr="004D46AC">
        <w:rPr>
          <w:rFonts w:eastAsiaTheme="minorEastAsia"/>
        </w:rPr>
        <w:t>Jamra</w:t>
      </w:r>
      <w:proofErr w:type="spellEnd"/>
      <w:r w:rsidRPr="004D46AC">
        <w:rPr>
          <w:rFonts w:eastAsiaTheme="minorEastAsia"/>
        </w:rPr>
        <w:t xml:space="preserve">, R. A., Becker, T., </w:t>
      </w:r>
      <w:proofErr w:type="spellStart"/>
      <w:r w:rsidRPr="004D46AC">
        <w:rPr>
          <w:rFonts w:eastAsiaTheme="minorEastAsia"/>
        </w:rPr>
        <w:t>Leszczynska</w:t>
      </w:r>
      <w:proofErr w:type="spellEnd"/>
      <w:r w:rsidRPr="004D46AC">
        <w:rPr>
          <w:rFonts w:eastAsiaTheme="minorEastAsia"/>
        </w:rPr>
        <w:t xml:space="preserve">-Rodziewicz, A., Hauser, J., Illig, T., Klopp, N., Wellek, S., Cichon, S., Henn, F. A.,…Rietschel, M. (2005). Genotype-phenotype studies in bipolar disorder showing association between the DAOA/G30 locus and persecutory delusions: a first step toward a molecular genetic classification of psychiatric phenotypes. Am J Psychiatry, 162(11), 2101–2108. https://doi.org/10.1176/appi.ajp.162.11.2101 </w:t>
      </w:r>
    </w:p>
    <w:p w14:paraId="38BAEF7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Schurhoff, F., </w:t>
      </w:r>
      <w:proofErr w:type="spellStart"/>
      <w:r w:rsidRPr="004D46AC">
        <w:rPr>
          <w:rFonts w:eastAsiaTheme="minorEastAsia"/>
        </w:rPr>
        <w:t>Bellivier</w:t>
      </w:r>
      <w:proofErr w:type="spellEnd"/>
      <w:r w:rsidRPr="004D46AC">
        <w:rPr>
          <w:rFonts w:eastAsiaTheme="minorEastAsia"/>
        </w:rPr>
        <w:t xml:space="preserve">, F., </w:t>
      </w:r>
      <w:proofErr w:type="spellStart"/>
      <w:r w:rsidRPr="004D46AC">
        <w:rPr>
          <w:rFonts w:eastAsiaTheme="minorEastAsia"/>
        </w:rPr>
        <w:t>Jouvent</w:t>
      </w:r>
      <w:proofErr w:type="spellEnd"/>
      <w:r w:rsidRPr="004D46AC">
        <w:rPr>
          <w:rFonts w:eastAsiaTheme="minorEastAsia"/>
        </w:rPr>
        <w:t xml:space="preserve">, R., </w:t>
      </w:r>
      <w:proofErr w:type="spellStart"/>
      <w:r w:rsidRPr="004D46AC">
        <w:rPr>
          <w:rFonts w:eastAsiaTheme="minorEastAsia"/>
        </w:rPr>
        <w:t>Mouren</w:t>
      </w:r>
      <w:proofErr w:type="spellEnd"/>
      <w:r w:rsidRPr="004D46AC">
        <w:rPr>
          <w:rFonts w:eastAsiaTheme="minorEastAsia"/>
        </w:rPr>
        <w:t xml:space="preserve">-Simeoni, M. C., Bouvard, M., </w:t>
      </w:r>
      <w:proofErr w:type="spellStart"/>
      <w:r w:rsidRPr="004D46AC">
        <w:rPr>
          <w:rFonts w:eastAsiaTheme="minorEastAsia"/>
        </w:rPr>
        <w:t>Allilaire</w:t>
      </w:r>
      <w:proofErr w:type="spellEnd"/>
      <w:r w:rsidRPr="004D46AC">
        <w:rPr>
          <w:rFonts w:eastAsiaTheme="minorEastAsia"/>
        </w:rPr>
        <w:t xml:space="preserve">, J. F., &amp; Leboyer, M. (2000). Early and late onset bipolar disorders: two different forms of manic-depressive illness? J Affect </w:t>
      </w:r>
      <w:proofErr w:type="spellStart"/>
      <w:r w:rsidRPr="004D46AC">
        <w:rPr>
          <w:rFonts w:eastAsiaTheme="minorEastAsia"/>
        </w:rPr>
        <w:t>Disord</w:t>
      </w:r>
      <w:proofErr w:type="spellEnd"/>
      <w:r w:rsidRPr="004D46AC">
        <w:rPr>
          <w:rFonts w:eastAsiaTheme="minorEastAsia"/>
        </w:rPr>
        <w:t xml:space="preserve">, 58(3), 215–221. https://doi.org/10.1016/s0165-0327(99)00111-1 </w:t>
      </w:r>
    </w:p>
    <w:p w14:paraId="7680EEF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Schurhoff, F., Szoke, A., </w:t>
      </w:r>
      <w:proofErr w:type="spellStart"/>
      <w:r w:rsidRPr="004D46AC">
        <w:rPr>
          <w:rFonts w:eastAsiaTheme="minorEastAsia"/>
        </w:rPr>
        <w:t>Meary</w:t>
      </w:r>
      <w:proofErr w:type="spellEnd"/>
      <w:r w:rsidRPr="004D46AC">
        <w:rPr>
          <w:rFonts w:eastAsiaTheme="minorEastAsia"/>
        </w:rPr>
        <w:t xml:space="preserve">, A., </w:t>
      </w:r>
      <w:proofErr w:type="spellStart"/>
      <w:r w:rsidRPr="004D46AC">
        <w:rPr>
          <w:rFonts w:eastAsiaTheme="minorEastAsia"/>
        </w:rPr>
        <w:t>Bellivier</w:t>
      </w:r>
      <w:proofErr w:type="spellEnd"/>
      <w:r w:rsidRPr="004D46AC">
        <w:rPr>
          <w:rFonts w:eastAsiaTheme="minorEastAsia"/>
        </w:rPr>
        <w:t xml:space="preserve">, F., </w:t>
      </w:r>
      <w:proofErr w:type="spellStart"/>
      <w:r w:rsidRPr="004D46AC">
        <w:rPr>
          <w:rFonts w:eastAsiaTheme="minorEastAsia"/>
        </w:rPr>
        <w:t>Rouillon</w:t>
      </w:r>
      <w:proofErr w:type="spellEnd"/>
      <w:r w:rsidRPr="004D46AC">
        <w:rPr>
          <w:rFonts w:eastAsiaTheme="minorEastAsia"/>
        </w:rPr>
        <w:t xml:space="preserve">, F., Pauls, D., &amp; Leboyer, M. (2003). Familial aggregation of delusional proneness in schizophrenia and bipolar pedigrees. Am J Psychiatry, 160(7), 1313–1319. https://doi.org/10.1176/appi.ajp.160.7.1313 </w:t>
      </w:r>
    </w:p>
    <w:p w14:paraId="4B5D1C1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Scott, J., Geoffroy, P. A., </w:t>
      </w:r>
      <w:proofErr w:type="spellStart"/>
      <w:r w:rsidRPr="004D46AC">
        <w:rPr>
          <w:rFonts w:eastAsiaTheme="minorEastAsia"/>
        </w:rPr>
        <w:t>Sportiche</w:t>
      </w:r>
      <w:proofErr w:type="spellEnd"/>
      <w:r w:rsidRPr="004D46AC">
        <w:rPr>
          <w:rFonts w:eastAsiaTheme="minorEastAsia"/>
        </w:rPr>
        <w:t xml:space="preserve">, S., </w:t>
      </w:r>
      <w:proofErr w:type="spellStart"/>
      <w:r w:rsidRPr="004D46AC">
        <w:rPr>
          <w:rFonts w:eastAsiaTheme="minorEastAsia"/>
        </w:rPr>
        <w:t>Brichant</w:t>
      </w:r>
      <w:proofErr w:type="spellEnd"/>
      <w:r w:rsidRPr="004D46AC">
        <w:rPr>
          <w:rFonts w:eastAsiaTheme="minorEastAsia"/>
        </w:rPr>
        <w:t xml:space="preserve">-Petit-Jean, C., Gard, S., Kahn, J. P., </w:t>
      </w:r>
      <w:proofErr w:type="spellStart"/>
      <w:r w:rsidRPr="004D46AC">
        <w:rPr>
          <w:rFonts w:eastAsiaTheme="minorEastAsia"/>
        </w:rPr>
        <w:t>Azorin</w:t>
      </w:r>
      <w:proofErr w:type="spellEnd"/>
      <w:r w:rsidRPr="004D46AC">
        <w:rPr>
          <w:rFonts w:eastAsiaTheme="minorEastAsia"/>
        </w:rPr>
        <w:t xml:space="preserve">, J. M., Henry, C., Etain, B., &amp; </w:t>
      </w:r>
      <w:proofErr w:type="spellStart"/>
      <w:r w:rsidRPr="004D46AC">
        <w:rPr>
          <w:rFonts w:eastAsiaTheme="minorEastAsia"/>
        </w:rPr>
        <w:t>Bellivier</w:t>
      </w:r>
      <w:proofErr w:type="spellEnd"/>
      <w:r w:rsidRPr="004D46AC">
        <w:rPr>
          <w:rFonts w:eastAsiaTheme="minorEastAsia"/>
        </w:rPr>
        <w:t xml:space="preserve">, F. (2017). Cross-validation of clinical characteristics and treatment patterns associated with phenotypes for lithium response defined by the Alda scale. J Affect </w:t>
      </w:r>
      <w:proofErr w:type="spellStart"/>
      <w:r w:rsidRPr="004D46AC">
        <w:rPr>
          <w:rFonts w:eastAsiaTheme="minorEastAsia"/>
        </w:rPr>
        <w:t>Disord</w:t>
      </w:r>
      <w:proofErr w:type="spellEnd"/>
      <w:r w:rsidRPr="004D46AC">
        <w:rPr>
          <w:rFonts w:eastAsiaTheme="minorEastAsia"/>
        </w:rPr>
        <w:t xml:space="preserve">, 208, 62–67. https://doi.org/10.1016/j.jad.2016.08.069 </w:t>
      </w:r>
    </w:p>
    <w:p w14:paraId="4E0AFFB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Serafini, G., Vazquez, G. H., Gonda, X., Pompili, M., Rihmer, Z., &amp; Amore, M. (2018). Depressive residual symptoms are associated with illness course characteristics in a </w:t>
      </w:r>
      <w:r w:rsidRPr="004D46AC">
        <w:rPr>
          <w:rFonts w:eastAsiaTheme="minorEastAsia"/>
        </w:rPr>
        <w:lastRenderedPageBreak/>
        <w:t xml:space="preserve">sample of outpatients with bipolar disorder.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xml:space="preserve">, 268(8), 757–768. https://doi.org/10.1007/s00406-018-0875-5 </w:t>
      </w:r>
    </w:p>
    <w:p w14:paraId="1700B7C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Serretti, A., Chiesa, A., Porcelli, S., Han, C., Patkar, A. A., Lee, S. J., Park, M. H., &amp; Pae, C. U. (2011). Influence of TPH2 variants on diagnosis and response to treatment in patients with major depression, bipolar disorder and schizophrenia. Psychiatry Res, 189(1), 26–32. https://doi.org/10.1016/j.psychres.2011.02.001 </w:t>
      </w:r>
    </w:p>
    <w:p w14:paraId="1197B5F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Serretti, A., Mandelli, L., </w:t>
      </w:r>
      <w:proofErr w:type="spellStart"/>
      <w:r w:rsidRPr="004D46AC">
        <w:rPr>
          <w:rFonts w:eastAsiaTheme="minorEastAsia"/>
        </w:rPr>
        <w:t>Lattuada</w:t>
      </w:r>
      <w:proofErr w:type="spellEnd"/>
      <w:r w:rsidRPr="004D46AC">
        <w:rPr>
          <w:rFonts w:eastAsiaTheme="minorEastAsia"/>
        </w:rPr>
        <w:t xml:space="preserve">, E., &amp; </w:t>
      </w:r>
      <w:proofErr w:type="spellStart"/>
      <w:r w:rsidRPr="004D46AC">
        <w:rPr>
          <w:rFonts w:eastAsiaTheme="minorEastAsia"/>
        </w:rPr>
        <w:t>Smeraldi</w:t>
      </w:r>
      <w:proofErr w:type="spellEnd"/>
      <w:r w:rsidRPr="004D46AC">
        <w:rPr>
          <w:rFonts w:eastAsiaTheme="minorEastAsia"/>
        </w:rPr>
        <w:t xml:space="preserve">, E. (2002). Rapid cycling mood disorder: clinical and demographic features. </w:t>
      </w:r>
      <w:proofErr w:type="spellStart"/>
      <w:r w:rsidRPr="004D46AC">
        <w:rPr>
          <w:rFonts w:eastAsiaTheme="minorEastAsia"/>
        </w:rPr>
        <w:t>Compr</w:t>
      </w:r>
      <w:proofErr w:type="spellEnd"/>
      <w:r w:rsidRPr="004D46AC">
        <w:rPr>
          <w:rFonts w:eastAsiaTheme="minorEastAsia"/>
        </w:rPr>
        <w:t xml:space="preserve"> Psychiatry, 43(5), 336–343. https://doi.org/10.1053/comp.2002.34630 </w:t>
      </w:r>
    </w:p>
    <w:p w14:paraId="042BDE8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Severance, E. G., Gressitt, K. L., Yang, S., Stallings, C. R., </w:t>
      </w:r>
      <w:proofErr w:type="spellStart"/>
      <w:r w:rsidRPr="004D46AC">
        <w:rPr>
          <w:rFonts w:eastAsiaTheme="minorEastAsia"/>
        </w:rPr>
        <w:t>Origoni</w:t>
      </w:r>
      <w:proofErr w:type="spellEnd"/>
      <w:r w:rsidRPr="004D46AC">
        <w:rPr>
          <w:rFonts w:eastAsiaTheme="minorEastAsia"/>
        </w:rPr>
        <w:t xml:space="preserve">, A. E., Vaughan, C., Khushalani, S., </w:t>
      </w:r>
      <w:proofErr w:type="spellStart"/>
      <w:r w:rsidRPr="004D46AC">
        <w:rPr>
          <w:rFonts w:eastAsiaTheme="minorEastAsia"/>
        </w:rPr>
        <w:t>Alaedini</w:t>
      </w:r>
      <w:proofErr w:type="spellEnd"/>
      <w:r w:rsidRPr="004D46AC">
        <w:rPr>
          <w:rFonts w:eastAsiaTheme="minorEastAsia"/>
        </w:rPr>
        <w:t xml:space="preserve">, A., Dickerson, F. B., &amp; </w:t>
      </w:r>
      <w:proofErr w:type="spellStart"/>
      <w:r w:rsidRPr="004D46AC">
        <w:rPr>
          <w:rFonts w:eastAsiaTheme="minorEastAsia"/>
        </w:rPr>
        <w:t>Yolken</w:t>
      </w:r>
      <w:proofErr w:type="spellEnd"/>
      <w:r w:rsidRPr="004D46AC">
        <w:rPr>
          <w:rFonts w:eastAsiaTheme="minorEastAsia"/>
        </w:rPr>
        <w:t xml:space="preserve">, R. H. (2014). </w:t>
      </w:r>
      <w:proofErr w:type="spellStart"/>
      <w:r w:rsidRPr="004D46AC">
        <w:rPr>
          <w:rFonts w:eastAsiaTheme="minorEastAsia"/>
        </w:rPr>
        <w:t>Seroreactive</w:t>
      </w:r>
      <w:proofErr w:type="spellEnd"/>
      <w:r w:rsidRPr="004D46AC">
        <w:rPr>
          <w:rFonts w:eastAsiaTheme="minorEastAsia"/>
        </w:rPr>
        <w:t xml:space="preserve"> marker for inflammatory bowel disease and associations with antibodies to dietary proteins in bipolar disorder. Bipolar </w:t>
      </w:r>
      <w:proofErr w:type="spellStart"/>
      <w:r w:rsidRPr="004D46AC">
        <w:rPr>
          <w:rFonts w:eastAsiaTheme="minorEastAsia"/>
        </w:rPr>
        <w:t>Disord</w:t>
      </w:r>
      <w:proofErr w:type="spellEnd"/>
      <w:r w:rsidRPr="004D46AC">
        <w:rPr>
          <w:rFonts w:eastAsiaTheme="minorEastAsia"/>
        </w:rPr>
        <w:t xml:space="preserve">, 16(3), 230–240. https://doi.org/10.1111/bdi.12159 </w:t>
      </w:r>
    </w:p>
    <w:p w14:paraId="2204C42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Shan, G. W., </w:t>
      </w:r>
      <w:proofErr w:type="spellStart"/>
      <w:r w:rsidRPr="004D46AC">
        <w:rPr>
          <w:rFonts w:eastAsiaTheme="minorEastAsia"/>
        </w:rPr>
        <w:t>Makmor</w:t>
      </w:r>
      <w:proofErr w:type="spellEnd"/>
      <w:r w:rsidRPr="004D46AC">
        <w:rPr>
          <w:rFonts w:eastAsiaTheme="minorEastAsia"/>
        </w:rPr>
        <w:t xml:space="preserve">-Bakry, M., &amp; Omar, M. S. (2016). Long term use of lithium and factors associated with treatment response among patients with bipolar disorder. </w:t>
      </w:r>
      <w:proofErr w:type="spellStart"/>
      <w:r w:rsidRPr="004D46AC">
        <w:rPr>
          <w:rFonts w:eastAsiaTheme="minorEastAsia"/>
        </w:rPr>
        <w:t>Psychiatr</w:t>
      </w:r>
      <w:proofErr w:type="spellEnd"/>
      <w:r w:rsidRPr="004D46AC">
        <w:rPr>
          <w:rFonts w:eastAsiaTheme="minorEastAsia"/>
        </w:rPr>
        <w:t xml:space="preserve"> </w:t>
      </w:r>
      <w:proofErr w:type="spellStart"/>
      <w:r w:rsidRPr="004D46AC">
        <w:rPr>
          <w:rFonts w:eastAsiaTheme="minorEastAsia"/>
        </w:rPr>
        <w:t>Danub</w:t>
      </w:r>
      <w:proofErr w:type="spellEnd"/>
      <w:r w:rsidRPr="004D46AC">
        <w:rPr>
          <w:rFonts w:eastAsiaTheme="minorEastAsia"/>
        </w:rPr>
        <w:t xml:space="preserve">, 28(2), 146–153. </w:t>
      </w:r>
    </w:p>
    <w:p w14:paraId="2BE6B1B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Shashidhara, M., Sushma, B. R., Viswanath, B., Math, S. B., &amp; Janardhan Reddy, Y. C. (2015). Comorbid </w:t>
      </w:r>
      <w:proofErr w:type="gramStart"/>
      <w:r w:rsidRPr="004D46AC">
        <w:rPr>
          <w:rFonts w:eastAsiaTheme="minorEastAsia"/>
        </w:rPr>
        <w:t>obsessive compulsive</w:t>
      </w:r>
      <w:proofErr w:type="gramEnd"/>
      <w:r w:rsidRPr="004D46AC">
        <w:rPr>
          <w:rFonts w:eastAsiaTheme="minorEastAsia"/>
        </w:rPr>
        <w:t xml:space="preserve"> disorder in patients with bipolar-I disorder. J Affect </w:t>
      </w:r>
      <w:proofErr w:type="spellStart"/>
      <w:r w:rsidRPr="004D46AC">
        <w:rPr>
          <w:rFonts w:eastAsiaTheme="minorEastAsia"/>
        </w:rPr>
        <w:t>Disord</w:t>
      </w:r>
      <w:proofErr w:type="spellEnd"/>
      <w:r w:rsidRPr="004D46AC">
        <w:rPr>
          <w:rFonts w:eastAsiaTheme="minorEastAsia"/>
        </w:rPr>
        <w:t xml:space="preserve">, 174, 367–371. https://doi.org/10.1016/j.jad.2014.12.019 </w:t>
      </w:r>
    </w:p>
    <w:p w14:paraId="4C3D6CC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Simonetti, A., Luciano, M., Sampogna, G., Rocca, B. D., Mancuso, E., De Fazio, P., Di Nicola, M., Di Lorenzo, G., Pepe, M., Sambataro, F., Signorelli, M. S., </w:t>
      </w:r>
      <w:proofErr w:type="spellStart"/>
      <w:r w:rsidRPr="004D46AC">
        <w:rPr>
          <w:rFonts w:eastAsiaTheme="minorEastAsia"/>
        </w:rPr>
        <w:t>Koukopoulos</w:t>
      </w:r>
      <w:proofErr w:type="spellEnd"/>
      <w:r w:rsidRPr="004D46AC">
        <w:rPr>
          <w:rFonts w:eastAsiaTheme="minorEastAsia"/>
        </w:rPr>
        <w:t xml:space="preserve">, A. E., </w:t>
      </w:r>
      <w:proofErr w:type="spellStart"/>
      <w:r w:rsidRPr="004D46AC">
        <w:rPr>
          <w:rFonts w:eastAsiaTheme="minorEastAsia"/>
        </w:rPr>
        <w:t>Chiaie</w:t>
      </w:r>
      <w:proofErr w:type="spellEnd"/>
      <w:r w:rsidRPr="004D46AC">
        <w:rPr>
          <w:rFonts w:eastAsiaTheme="minorEastAsia"/>
        </w:rPr>
        <w:t xml:space="preserve">, R. D., Fiorillo, A., &amp; Sani, G. (2023). Effect of affective temperament on illness characteristics of subjects with bipolar disorder and major depressive disorder. J Affect </w:t>
      </w:r>
      <w:proofErr w:type="spellStart"/>
      <w:r w:rsidRPr="004D46AC">
        <w:rPr>
          <w:rFonts w:eastAsiaTheme="minorEastAsia"/>
        </w:rPr>
        <w:t>Disord</w:t>
      </w:r>
      <w:proofErr w:type="spellEnd"/>
      <w:r w:rsidRPr="004D46AC">
        <w:rPr>
          <w:rFonts w:eastAsiaTheme="minorEastAsia"/>
        </w:rPr>
        <w:t xml:space="preserve">, 334, 227–237. https://doi.org/10.1016/j.jad.2023.04.130 </w:t>
      </w:r>
    </w:p>
    <w:p w14:paraId="6B824B2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Simonsen, C., Sundet, K., Vaskinn, A., Ueland, T., </w:t>
      </w:r>
      <w:proofErr w:type="spellStart"/>
      <w:r w:rsidRPr="004D46AC">
        <w:rPr>
          <w:rFonts w:eastAsiaTheme="minorEastAsia"/>
        </w:rPr>
        <w:t>Romm</w:t>
      </w:r>
      <w:proofErr w:type="spellEnd"/>
      <w:r w:rsidRPr="004D46AC">
        <w:rPr>
          <w:rFonts w:eastAsiaTheme="minorEastAsia"/>
        </w:rPr>
        <w:t xml:space="preserve">, K. L., </w:t>
      </w:r>
      <w:proofErr w:type="spellStart"/>
      <w:r w:rsidRPr="004D46AC">
        <w:rPr>
          <w:rFonts w:eastAsiaTheme="minorEastAsia"/>
        </w:rPr>
        <w:t>Hellvin</w:t>
      </w:r>
      <w:proofErr w:type="spellEnd"/>
      <w:r w:rsidRPr="004D46AC">
        <w:rPr>
          <w:rFonts w:eastAsiaTheme="minorEastAsia"/>
        </w:rPr>
        <w:t xml:space="preserve">, T., Melle, I., Friis, S., &amp; Andreassen, O. A. (2010). Psychosocial function in schizophrenia and bipolar disorder: Relationship to neurocognition and clinical symptoms. J Int </w:t>
      </w:r>
      <w:proofErr w:type="spellStart"/>
      <w:r w:rsidRPr="004D46AC">
        <w:rPr>
          <w:rFonts w:eastAsiaTheme="minorEastAsia"/>
        </w:rPr>
        <w:t>Neuropsychol</w:t>
      </w:r>
      <w:proofErr w:type="spellEnd"/>
      <w:r w:rsidRPr="004D46AC">
        <w:rPr>
          <w:rFonts w:eastAsiaTheme="minorEastAsia"/>
        </w:rPr>
        <w:t xml:space="preserve"> Soc, 16(5), 771–783. https://doi.org/10.1017/S1355617710000573 </w:t>
      </w:r>
    </w:p>
    <w:p w14:paraId="008A20F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Soeiro-de-Souza, M. G., Andreazza, A. C., Carvalho, A. F., Machado-Vieira, R., Young, L. T., &amp; Moreno, R. A. (2013). Number of manic episodes is associated with elevated DNA oxidation in bipolar I disorder. Int J </w:t>
      </w:r>
      <w:proofErr w:type="spellStart"/>
      <w:r w:rsidRPr="004D46AC">
        <w:rPr>
          <w:rFonts w:eastAsiaTheme="minorEastAsia"/>
        </w:rPr>
        <w:t>Neuropsychopharmacol</w:t>
      </w:r>
      <w:proofErr w:type="spellEnd"/>
      <w:r w:rsidRPr="004D46AC">
        <w:rPr>
          <w:rFonts w:eastAsiaTheme="minorEastAsia"/>
        </w:rPr>
        <w:t xml:space="preserve">, 16(7), 1505–1512. https://doi.org/10.1017/S1461145713000047 </w:t>
      </w:r>
    </w:p>
    <w:p w14:paraId="4E1F58B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Song, J. Y., Yu, H. Y., Kim, S. H., Hwang, S. S., Cho, H. S., Kim, Y. S., Ha, K., &amp; Ahn, Y. M. (2012). Assessment of risk factors related to suicide attempts in patients with bipolar disorder. J </w:t>
      </w:r>
      <w:proofErr w:type="spellStart"/>
      <w:r w:rsidRPr="004D46AC">
        <w:rPr>
          <w:rFonts w:eastAsiaTheme="minorEastAsia"/>
        </w:rPr>
        <w:t>Nerv</w:t>
      </w:r>
      <w:proofErr w:type="spellEnd"/>
      <w:r w:rsidRPr="004D46AC">
        <w:rPr>
          <w:rFonts w:eastAsiaTheme="minorEastAsia"/>
        </w:rPr>
        <w:t xml:space="preserve"> Ment Dis, 200(11), 978–984. https://doi.org/10.1097/NMD.0b013e3182718a07 </w:t>
      </w:r>
    </w:p>
    <w:p w14:paraId="239ADB5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Strakowski, S. M., Williams, J. R., Sax, K. W., Fleck, D. E., DelBello, M. P., &amp; Bourne, M. L. (2000). Is impaired outcome following a first manic episode due to mood-incongruent psychosis? J Affect </w:t>
      </w:r>
      <w:proofErr w:type="spellStart"/>
      <w:r w:rsidRPr="004D46AC">
        <w:rPr>
          <w:rFonts w:eastAsiaTheme="minorEastAsia"/>
        </w:rPr>
        <w:t>Disord</w:t>
      </w:r>
      <w:proofErr w:type="spellEnd"/>
      <w:r w:rsidRPr="004D46AC">
        <w:rPr>
          <w:rFonts w:eastAsiaTheme="minorEastAsia"/>
        </w:rPr>
        <w:t xml:space="preserve">, 61(1-2), 87–94. https://doi.org/10.1016/s0165-0327(99)00192-5 </w:t>
      </w:r>
    </w:p>
    <w:p w14:paraId="06DD77C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Suppes, T., </w:t>
      </w:r>
      <w:proofErr w:type="spellStart"/>
      <w:r w:rsidRPr="004D46AC">
        <w:rPr>
          <w:rFonts w:eastAsiaTheme="minorEastAsia"/>
        </w:rPr>
        <w:t>Eudicone</w:t>
      </w:r>
      <w:proofErr w:type="spellEnd"/>
      <w:r w:rsidRPr="004D46AC">
        <w:rPr>
          <w:rFonts w:eastAsiaTheme="minorEastAsia"/>
        </w:rPr>
        <w:t xml:space="preserve">, J., McQuade, R., Pikalov, A., 3rd, &amp; Carlson, B. (2008). Efficacy and safety of aripiprazole in subpopulations with acute manic or mixed episodes of bipolar I disorder. J Affect </w:t>
      </w:r>
      <w:proofErr w:type="spellStart"/>
      <w:r w:rsidRPr="004D46AC">
        <w:rPr>
          <w:rFonts w:eastAsiaTheme="minorEastAsia"/>
        </w:rPr>
        <w:t>Disord</w:t>
      </w:r>
      <w:proofErr w:type="spellEnd"/>
      <w:r w:rsidRPr="004D46AC">
        <w:rPr>
          <w:rFonts w:eastAsiaTheme="minorEastAsia"/>
        </w:rPr>
        <w:t xml:space="preserve">, 107(1-3), 145–154. https://doi.org/10.1016/j.jad.2007.08.015 </w:t>
      </w:r>
    </w:p>
    <w:p w14:paraId="794867E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Suppes, T., Ketter, T. A., </w:t>
      </w:r>
      <w:proofErr w:type="spellStart"/>
      <w:r w:rsidRPr="004D46AC">
        <w:rPr>
          <w:rFonts w:eastAsiaTheme="minorEastAsia"/>
        </w:rPr>
        <w:t>Gwizdowski</w:t>
      </w:r>
      <w:proofErr w:type="spellEnd"/>
      <w:r w:rsidRPr="004D46AC">
        <w:rPr>
          <w:rFonts w:eastAsiaTheme="minorEastAsia"/>
        </w:rPr>
        <w:t xml:space="preserve">, I. S., Dennehy, E. B., Hill, S. J., Fischer, E. G., Snow, D. E., Gonzalez, R., </w:t>
      </w:r>
      <w:proofErr w:type="spellStart"/>
      <w:r w:rsidRPr="004D46AC">
        <w:rPr>
          <w:rFonts w:eastAsiaTheme="minorEastAsia"/>
        </w:rPr>
        <w:t>Sureddi</w:t>
      </w:r>
      <w:proofErr w:type="spellEnd"/>
      <w:r w:rsidRPr="004D46AC">
        <w:rPr>
          <w:rFonts w:eastAsiaTheme="minorEastAsia"/>
        </w:rPr>
        <w:t xml:space="preserve">, S., Shivakumar, G., &amp; Cosgrove, V. E. (2013). First controlled treatment trial of bipolar II hypomania with mixed symptoms: quetiapine versus placebo. J Affect </w:t>
      </w:r>
      <w:proofErr w:type="spellStart"/>
      <w:r w:rsidRPr="004D46AC">
        <w:rPr>
          <w:rFonts w:eastAsiaTheme="minorEastAsia"/>
        </w:rPr>
        <w:t>Disord</w:t>
      </w:r>
      <w:proofErr w:type="spellEnd"/>
      <w:r w:rsidRPr="004D46AC">
        <w:rPr>
          <w:rFonts w:eastAsiaTheme="minorEastAsia"/>
        </w:rPr>
        <w:t xml:space="preserve">, 150(1), 37–43. https://doi.org/10.1016/j.jad.2013.02.031 </w:t>
      </w:r>
    </w:p>
    <w:p w14:paraId="69C6F09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Swann, A. C., Bowden, C. L., Morris, D., Calabrese, J. R., Petty, F., Small, J., Dilsaver, S. C., &amp; Davis, J. M. (1997). Depression during mania. Treatment response to lithium or divalproex. Arch Gen Psychiatry, 54(1), 37–42. https://doi.org/10.1001/archpsyc.1997.01830130041008 </w:t>
      </w:r>
    </w:p>
    <w:p w14:paraId="1009C63A" w14:textId="77777777" w:rsidR="009864DB" w:rsidRPr="004D46AC" w:rsidRDefault="009864DB" w:rsidP="009864DB">
      <w:pPr>
        <w:spacing w:line="240" w:lineRule="auto"/>
        <w:ind w:left="709" w:hanging="720"/>
        <w:rPr>
          <w:rFonts w:eastAsiaTheme="minorEastAsia"/>
        </w:rPr>
      </w:pPr>
      <w:r w:rsidRPr="004D46AC">
        <w:rPr>
          <w:rFonts w:eastAsiaTheme="minorEastAsia"/>
        </w:rPr>
        <w:lastRenderedPageBreak/>
        <w:t xml:space="preserve">Szmulewicz, A., Millett, C. E., Shanahan, M., Gunning, F. M., &amp; Burdick, K. E. (2020). Emotional processing subtypes in bipolar disorder: A cluster analysis. J Affect </w:t>
      </w:r>
      <w:proofErr w:type="spellStart"/>
      <w:r w:rsidRPr="004D46AC">
        <w:rPr>
          <w:rFonts w:eastAsiaTheme="minorEastAsia"/>
        </w:rPr>
        <w:t>Disord</w:t>
      </w:r>
      <w:proofErr w:type="spellEnd"/>
      <w:r w:rsidRPr="004D46AC">
        <w:rPr>
          <w:rFonts w:eastAsiaTheme="minorEastAsia"/>
        </w:rPr>
        <w:t xml:space="preserve">, 266, 194–200. https://doi.org/10.1016/j.jad.2020.01.082 </w:t>
      </w:r>
    </w:p>
    <w:p w14:paraId="620656F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Thomas, P., Vieta, E., &amp; group, S. s. (2008). Amisulpride plus valproate vs haloperidol plus valproate in the treatment of acute mania of bipolar I patients: a </w:t>
      </w:r>
      <w:proofErr w:type="spellStart"/>
      <w:r w:rsidRPr="004D46AC">
        <w:rPr>
          <w:rFonts w:eastAsiaTheme="minorEastAsia"/>
        </w:rPr>
        <w:t>multicenter</w:t>
      </w:r>
      <w:proofErr w:type="spellEnd"/>
      <w:r w:rsidRPr="004D46AC">
        <w:rPr>
          <w:rFonts w:eastAsiaTheme="minorEastAsia"/>
        </w:rPr>
        <w:t xml:space="preserve">, open-label, randomized, comparative trial. </w:t>
      </w:r>
      <w:proofErr w:type="spellStart"/>
      <w:r w:rsidRPr="004D46AC">
        <w:rPr>
          <w:rFonts w:eastAsiaTheme="minorEastAsia"/>
        </w:rPr>
        <w:t>Neuropsychiatr</w:t>
      </w:r>
      <w:proofErr w:type="spellEnd"/>
      <w:r w:rsidRPr="004D46AC">
        <w:rPr>
          <w:rFonts w:eastAsiaTheme="minorEastAsia"/>
        </w:rPr>
        <w:t xml:space="preserve"> Dis Treat, 4(3), 675–686. https://doi.org/10.2147/ndt.s3135 </w:t>
      </w:r>
    </w:p>
    <w:p w14:paraId="28432EE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Tohen, M., Goldberg, J. F., Gonzalez-Pinto Arrillaga, A. M., </w:t>
      </w:r>
      <w:proofErr w:type="spellStart"/>
      <w:r w:rsidRPr="004D46AC">
        <w:rPr>
          <w:rFonts w:eastAsiaTheme="minorEastAsia"/>
        </w:rPr>
        <w:t>Azorin</w:t>
      </w:r>
      <w:proofErr w:type="spellEnd"/>
      <w:r w:rsidRPr="004D46AC">
        <w:rPr>
          <w:rFonts w:eastAsiaTheme="minorEastAsia"/>
        </w:rPr>
        <w:t xml:space="preserve">, J. M., Vieta, E., Hardy-Bayle, M. C., Lawson, W. B., Emsley, R. A., Zhang, F., Baker, R. W., Risser, R. C., Namjoshi, M. A., Evans, A. R., &amp; Breier, A. (2003). A 12-week, double-blind comparison of olanzapine vs haloperidol in the treatment of acute mania. Arch Gen Psychiatry, 60(12), 1218–1226. https://doi.org/10.1001/archpsyc.60.12.1218 </w:t>
      </w:r>
    </w:p>
    <w:p w14:paraId="346B205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Tohen, M., Kanba, S., McIntyre, R. S., Fujikoshi, S., &amp; Katagiri, H. (2014). Efficacy of olanzapine monotherapy in the treatment of bipolar depression with mixed features. J Affect </w:t>
      </w:r>
      <w:proofErr w:type="spellStart"/>
      <w:r w:rsidRPr="004D46AC">
        <w:rPr>
          <w:rFonts w:eastAsiaTheme="minorEastAsia"/>
        </w:rPr>
        <w:t>Disord</w:t>
      </w:r>
      <w:proofErr w:type="spellEnd"/>
      <w:r w:rsidRPr="004D46AC">
        <w:rPr>
          <w:rFonts w:eastAsiaTheme="minorEastAsia"/>
        </w:rPr>
        <w:t xml:space="preserve">, 164, 57–62. https://doi.org/10.1016/j.jad.2014.04.003 </w:t>
      </w:r>
    </w:p>
    <w:p w14:paraId="0CC4B44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Tohen, M., </w:t>
      </w:r>
      <w:proofErr w:type="spellStart"/>
      <w:r w:rsidRPr="004D46AC">
        <w:rPr>
          <w:rFonts w:eastAsiaTheme="minorEastAsia"/>
        </w:rPr>
        <w:t>Tsuang</w:t>
      </w:r>
      <w:proofErr w:type="spellEnd"/>
      <w:r w:rsidRPr="004D46AC">
        <w:rPr>
          <w:rFonts w:eastAsiaTheme="minorEastAsia"/>
        </w:rPr>
        <w:t xml:space="preserve">, M. T., &amp; Goodwin, D. C. (1992). Prediction of outcome in mania by mood-congruent or mood-incongruent psychotic features. Am J Psychiatry, 149(11), 1580–1584. https://doi.org/10.1176/ajp.149.11.1580 </w:t>
      </w:r>
    </w:p>
    <w:p w14:paraId="7145A9C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Tohen, M., Zarate, C. A., Jr., Hennen, J., Khalsa, H. M., Strakowski, S. M., Gebre-Medhin, P., Salvatore, P., &amp; </w:t>
      </w:r>
      <w:proofErr w:type="spellStart"/>
      <w:r w:rsidRPr="004D46AC">
        <w:rPr>
          <w:rFonts w:eastAsiaTheme="minorEastAsia"/>
        </w:rPr>
        <w:t>Baldessarini</w:t>
      </w:r>
      <w:proofErr w:type="spellEnd"/>
      <w:r w:rsidRPr="004D46AC">
        <w:rPr>
          <w:rFonts w:eastAsiaTheme="minorEastAsia"/>
        </w:rPr>
        <w:t xml:space="preserve">, R. J. (2003). The McLean-Harvard First-Episode Mania Study: prediction of recovery and first recurrence. Am J Psychiatry, 160(12), 2099–2107. https://doi.org/10.1176/appi.ajp.160.12.2099 </w:t>
      </w:r>
    </w:p>
    <w:p w14:paraId="188E9C1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Toni, C., </w:t>
      </w:r>
      <w:proofErr w:type="spellStart"/>
      <w:r w:rsidRPr="004D46AC">
        <w:rPr>
          <w:rFonts w:eastAsiaTheme="minorEastAsia"/>
        </w:rPr>
        <w:t>Perugi</w:t>
      </w:r>
      <w:proofErr w:type="spellEnd"/>
      <w:r w:rsidRPr="004D46AC">
        <w:rPr>
          <w:rFonts w:eastAsiaTheme="minorEastAsia"/>
        </w:rPr>
        <w:t xml:space="preserve">, G., Mata, B., </w:t>
      </w:r>
      <w:proofErr w:type="spellStart"/>
      <w:r w:rsidRPr="004D46AC">
        <w:rPr>
          <w:rFonts w:eastAsiaTheme="minorEastAsia"/>
        </w:rPr>
        <w:t>Madaro</w:t>
      </w:r>
      <w:proofErr w:type="spellEnd"/>
      <w:r w:rsidRPr="004D46AC">
        <w:rPr>
          <w:rFonts w:eastAsiaTheme="minorEastAsia"/>
        </w:rPr>
        <w:t xml:space="preserve">, D., </w:t>
      </w:r>
      <w:proofErr w:type="spellStart"/>
      <w:r w:rsidRPr="004D46AC">
        <w:rPr>
          <w:rFonts w:eastAsiaTheme="minorEastAsia"/>
        </w:rPr>
        <w:t>Maremmani</w:t>
      </w:r>
      <w:proofErr w:type="spellEnd"/>
      <w:r w:rsidRPr="004D46AC">
        <w:rPr>
          <w:rFonts w:eastAsiaTheme="minorEastAsia"/>
        </w:rPr>
        <w:t xml:space="preserve">, I., &amp; </w:t>
      </w:r>
      <w:proofErr w:type="spellStart"/>
      <w:r w:rsidRPr="004D46AC">
        <w:rPr>
          <w:rFonts w:eastAsiaTheme="minorEastAsia"/>
        </w:rPr>
        <w:t>Akiskal</w:t>
      </w:r>
      <w:proofErr w:type="spellEnd"/>
      <w:r w:rsidRPr="004D46AC">
        <w:rPr>
          <w:rFonts w:eastAsiaTheme="minorEastAsia"/>
        </w:rPr>
        <w:t xml:space="preserve">, H. S. (2001). Is mood-incongruent manic psychosis a distinct subtype?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xml:space="preserve">, 251(1), 12–17. https://doi.org/10.1007/s004060170061 </w:t>
      </w:r>
    </w:p>
    <w:p w14:paraId="3207211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Tost, H., Ruf, M., Schmal, C., Schulze, T. G., Knorr, C., Vollmert, C., Bosshenz, K., Ende, G., Meyer-Lindenberg, A., Henn, F. A., &amp; </w:t>
      </w:r>
      <w:proofErr w:type="spellStart"/>
      <w:r w:rsidRPr="004D46AC">
        <w:rPr>
          <w:rFonts w:eastAsiaTheme="minorEastAsia"/>
        </w:rPr>
        <w:t>Rietschel</w:t>
      </w:r>
      <w:proofErr w:type="spellEnd"/>
      <w:r w:rsidRPr="004D46AC">
        <w:rPr>
          <w:rFonts w:eastAsiaTheme="minorEastAsia"/>
        </w:rPr>
        <w:t xml:space="preserve">, M. (2010). Prefrontal-temporal </w:t>
      </w:r>
      <w:proofErr w:type="spellStart"/>
      <w:r w:rsidRPr="004D46AC">
        <w:rPr>
          <w:rFonts w:eastAsiaTheme="minorEastAsia"/>
        </w:rPr>
        <w:t>gray</w:t>
      </w:r>
      <w:proofErr w:type="spellEnd"/>
      <w:r w:rsidRPr="004D46AC">
        <w:rPr>
          <w:rFonts w:eastAsiaTheme="minorEastAsia"/>
        </w:rPr>
        <w:t xml:space="preserve"> matter deficits in bipolar disorder patients with persecutory delusions. J Affect </w:t>
      </w:r>
      <w:proofErr w:type="spellStart"/>
      <w:r w:rsidRPr="004D46AC">
        <w:rPr>
          <w:rFonts w:eastAsiaTheme="minorEastAsia"/>
        </w:rPr>
        <w:t>Disord</w:t>
      </w:r>
      <w:proofErr w:type="spellEnd"/>
      <w:r w:rsidRPr="004D46AC">
        <w:rPr>
          <w:rFonts w:eastAsiaTheme="minorEastAsia"/>
        </w:rPr>
        <w:t xml:space="preserve">, 120(1-3), 54–61. https://doi.org/10.1016/j.jad.2009.04.009 </w:t>
      </w:r>
    </w:p>
    <w:p w14:paraId="568DE13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Treuer, T., </w:t>
      </w:r>
      <w:proofErr w:type="spellStart"/>
      <w:r w:rsidRPr="004D46AC">
        <w:rPr>
          <w:rFonts w:eastAsiaTheme="minorEastAsia"/>
        </w:rPr>
        <w:t>Oruc</w:t>
      </w:r>
      <w:proofErr w:type="spellEnd"/>
      <w:r w:rsidRPr="004D46AC">
        <w:rPr>
          <w:rFonts w:eastAsiaTheme="minorEastAsia"/>
        </w:rPr>
        <w:t xml:space="preserve">, L., Loza, N., El Saidi, M. A., Kovacs, Z., Akkaya, C., </w:t>
      </w:r>
      <w:proofErr w:type="spellStart"/>
      <w:r w:rsidRPr="004D46AC">
        <w:rPr>
          <w:rFonts w:eastAsiaTheme="minorEastAsia"/>
        </w:rPr>
        <w:t>Gulseren</w:t>
      </w:r>
      <w:proofErr w:type="spellEnd"/>
      <w:r w:rsidRPr="004D46AC">
        <w:rPr>
          <w:rFonts w:eastAsiaTheme="minorEastAsia"/>
        </w:rPr>
        <w:t xml:space="preserve">, S., </w:t>
      </w:r>
      <w:proofErr w:type="spellStart"/>
      <w:r w:rsidRPr="004D46AC">
        <w:rPr>
          <w:rFonts w:eastAsiaTheme="minorEastAsia"/>
        </w:rPr>
        <w:t>Saylan</w:t>
      </w:r>
      <w:proofErr w:type="spellEnd"/>
      <w:r w:rsidRPr="004D46AC">
        <w:rPr>
          <w:rFonts w:eastAsiaTheme="minorEastAsia"/>
        </w:rPr>
        <w:t xml:space="preserve">, M., Colman, S. A., &amp; Harrison, G. A. (2007). Acute phase results from STORM, a </w:t>
      </w:r>
      <w:proofErr w:type="spellStart"/>
      <w:r w:rsidRPr="004D46AC">
        <w:rPr>
          <w:rFonts w:eastAsiaTheme="minorEastAsia"/>
        </w:rPr>
        <w:t>multicountry</w:t>
      </w:r>
      <w:proofErr w:type="spellEnd"/>
      <w:r w:rsidRPr="004D46AC">
        <w:rPr>
          <w:rFonts w:eastAsiaTheme="minorEastAsia"/>
        </w:rPr>
        <w:t xml:space="preserve"> observational study of bipolar disorder treatment and outcomes. </w:t>
      </w:r>
      <w:proofErr w:type="spellStart"/>
      <w:r w:rsidRPr="004D46AC">
        <w:rPr>
          <w:rFonts w:eastAsiaTheme="minorEastAsia"/>
        </w:rPr>
        <w:t>Psychiatr</w:t>
      </w:r>
      <w:proofErr w:type="spellEnd"/>
      <w:r w:rsidRPr="004D46AC">
        <w:rPr>
          <w:rFonts w:eastAsiaTheme="minorEastAsia"/>
        </w:rPr>
        <w:t xml:space="preserve"> </w:t>
      </w:r>
      <w:proofErr w:type="spellStart"/>
      <w:r w:rsidRPr="004D46AC">
        <w:rPr>
          <w:rFonts w:eastAsiaTheme="minorEastAsia"/>
        </w:rPr>
        <w:t>Danub</w:t>
      </w:r>
      <w:proofErr w:type="spellEnd"/>
      <w:r w:rsidRPr="004D46AC">
        <w:rPr>
          <w:rFonts w:eastAsiaTheme="minorEastAsia"/>
        </w:rPr>
        <w:t xml:space="preserve">, 19(4), 282–295. </w:t>
      </w:r>
    </w:p>
    <w:p w14:paraId="1C062E7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Upthegrove, R., Chard, C., Jones, L., Gordon-Smith, K., Forty, L., Jones, I., &amp; Craddock, N. (2015). Adverse childhood events and psychosis in bipolar affective disorder. Br J Psychiatry, 206(3), 191–197. https://doi.org/10.1192/bjp.bp.114.152611 </w:t>
      </w:r>
    </w:p>
    <w:p w14:paraId="3430334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van Bergen, A. H., </w:t>
      </w:r>
      <w:proofErr w:type="spellStart"/>
      <w:r w:rsidRPr="004D46AC">
        <w:rPr>
          <w:rFonts w:eastAsiaTheme="minorEastAsia"/>
        </w:rPr>
        <w:t>Verkooijen</w:t>
      </w:r>
      <w:proofErr w:type="spellEnd"/>
      <w:r w:rsidRPr="004D46AC">
        <w:rPr>
          <w:rFonts w:eastAsiaTheme="minorEastAsia"/>
        </w:rPr>
        <w:t xml:space="preserve">, S., Vreeker, A., Abramovic, L., </w:t>
      </w:r>
      <w:proofErr w:type="spellStart"/>
      <w:r w:rsidRPr="004D46AC">
        <w:rPr>
          <w:rFonts w:eastAsiaTheme="minorEastAsia"/>
        </w:rPr>
        <w:t>Hillegers</w:t>
      </w:r>
      <w:proofErr w:type="spellEnd"/>
      <w:r w:rsidRPr="004D46AC">
        <w:rPr>
          <w:rFonts w:eastAsiaTheme="minorEastAsia"/>
        </w:rPr>
        <w:t xml:space="preserve">, M. H., Spijker, A. T., Hoencamp, E., Regeer, E. J., </w:t>
      </w:r>
      <w:proofErr w:type="spellStart"/>
      <w:r w:rsidRPr="004D46AC">
        <w:rPr>
          <w:rFonts w:eastAsiaTheme="minorEastAsia"/>
        </w:rPr>
        <w:t>Knapen</w:t>
      </w:r>
      <w:proofErr w:type="spellEnd"/>
      <w:r w:rsidRPr="004D46AC">
        <w:rPr>
          <w:rFonts w:eastAsiaTheme="minorEastAsia"/>
        </w:rPr>
        <w:t xml:space="preserve">, S. E., Riemersma-van der Lek, R. F., </w:t>
      </w:r>
      <w:proofErr w:type="spellStart"/>
      <w:r w:rsidRPr="004D46AC">
        <w:rPr>
          <w:rFonts w:eastAsiaTheme="minorEastAsia"/>
        </w:rPr>
        <w:t>Schoevers</w:t>
      </w:r>
      <w:proofErr w:type="spellEnd"/>
      <w:r w:rsidRPr="004D46AC">
        <w:rPr>
          <w:rFonts w:eastAsiaTheme="minorEastAsia"/>
        </w:rPr>
        <w:t xml:space="preserve">, R., Stevens, A. W., Schulte, P. F. J., Vonk, R., Hoekstra, R., van Beveren, N. J., Kupka, R. W., Sommer, I. E. C., Ophoff, R. A.,…Boks, M. P. M. (2019). The characteristics of psychotic features in bipolar disorder. </w:t>
      </w:r>
      <w:proofErr w:type="spellStart"/>
      <w:r w:rsidRPr="004D46AC">
        <w:rPr>
          <w:rFonts w:eastAsiaTheme="minorEastAsia"/>
        </w:rPr>
        <w:t>Psychol</w:t>
      </w:r>
      <w:proofErr w:type="spellEnd"/>
      <w:r w:rsidRPr="004D46AC">
        <w:rPr>
          <w:rFonts w:eastAsiaTheme="minorEastAsia"/>
        </w:rPr>
        <w:t xml:space="preserve"> Med, 49(12), 2036–2048. https://doi.org/10.1017/S0033291718002854 </w:t>
      </w:r>
    </w:p>
    <w:p w14:paraId="382C64F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van der Werf-Eldering, M. J., van der Meer, L., Burger, H., Holthausen, E. A., Nolen, W. A., &amp; Aleman, A. (2011). Insight in bipolar disorder: associations with cognitive and emotional processing and illness characteristics. Bipolar </w:t>
      </w:r>
      <w:proofErr w:type="spellStart"/>
      <w:r w:rsidRPr="004D46AC">
        <w:rPr>
          <w:rFonts w:eastAsiaTheme="minorEastAsia"/>
        </w:rPr>
        <w:t>Disord</w:t>
      </w:r>
      <w:proofErr w:type="spellEnd"/>
      <w:r w:rsidRPr="004D46AC">
        <w:rPr>
          <w:rFonts w:eastAsiaTheme="minorEastAsia"/>
        </w:rPr>
        <w:t xml:space="preserve">, 13(4), 343–354. https://doi.org/10.1111/j.1399-5618.2011.00934.x </w:t>
      </w:r>
    </w:p>
    <w:p w14:paraId="1A2B263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van </w:t>
      </w:r>
      <w:proofErr w:type="spellStart"/>
      <w:r w:rsidRPr="004D46AC">
        <w:rPr>
          <w:rFonts w:eastAsiaTheme="minorEastAsia"/>
        </w:rPr>
        <w:t>Os</w:t>
      </w:r>
      <w:proofErr w:type="spellEnd"/>
      <w:r w:rsidRPr="004D46AC">
        <w:rPr>
          <w:rFonts w:eastAsiaTheme="minorEastAsia"/>
        </w:rPr>
        <w:t xml:space="preserve">, J., van Rossum, I., Boomsma, M., Vieta, E., Goetz, I., Reed, C., Haro, J. M., &amp; Board, E. A. (2007). The social, psychopathological and consumer context of rate of symptom improvement in acute mania. Soc Psychiatry </w:t>
      </w:r>
      <w:proofErr w:type="spellStart"/>
      <w:r w:rsidRPr="004D46AC">
        <w:rPr>
          <w:rFonts w:eastAsiaTheme="minorEastAsia"/>
        </w:rPr>
        <w:t>Psychiatr</w:t>
      </w:r>
      <w:proofErr w:type="spellEnd"/>
      <w:r w:rsidRPr="004D46AC">
        <w:rPr>
          <w:rFonts w:eastAsiaTheme="minorEastAsia"/>
        </w:rPr>
        <w:t xml:space="preserve"> </w:t>
      </w:r>
      <w:proofErr w:type="spellStart"/>
      <w:r w:rsidRPr="004D46AC">
        <w:rPr>
          <w:rFonts w:eastAsiaTheme="minorEastAsia"/>
        </w:rPr>
        <w:t>Epidemiol</w:t>
      </w:r>
      <w:proofErr w:type="spellEnd"/>
      <w:r w:rsidRPr="004D46AC">
        <w:rPr>
          <w:rFonts w:eastAsiaTheme="minorEastAsia"/>
        </w:rPr>
        <w:t xml:space="preserve">, 42(8), 631–638. https://doi.org/10.1007/s00127-007-0215-y </w:t>
      </w:r>
    </w:p>
    <w:p w14:paraId="0465B977" w14:textId="77777777" w:rsidR="009864DB" w:rsidRPr="004D46AC" w:rsidRDefault="009864DB" w:rsidP="009864DB">
      <w:pPr>
        <w:spacing w:line="240" w:lineRule="auto"/>
        <w:ind w:left="709" w:hanging="720"/>
        <w:rPr>
          <w:rFonts w:eastAsiaTheme="minorEastAsia"/>
        </w:rPr>
      </w:pPr>
      <w:r w:rsidRPr="004D46AC">
        <w:rPr>
          <w:rFonts w:eastAsiaTheme="minorEastAsia"/>
        </w:rPr>
        <w:t>Wagner-</w:t>
      </w:r>
      <w:proofErr w:type="spellStart"/>
      <w:r w:rsidRPr="004D46AC">
        <w:rPr>
          <w:rFonts w:eastAsiaTheme="minorEastAsia"/>
        </w:rPr>
        <w:t>Skacel</w:t>
      </w:r>
      <w:proofErr w:type="spellEnd"/>
      <w:r w:rsidRPr="004D46AC">
        <w:rPr>
          <w:rFonts w:eastAsiaTheme="minorEastAsia"/>
        </w:rPr>
        <w:t xml:space="preserve">, J., </w:t>
      </w:r>
      <w:proofErr w:type="spellStart"/>
      <w:r w:rsidRPr="004D46AC">
        <w:rPr>
          <w:rFonts w:eastAsiaTheme="minorEastAsia"/>
        </w:rPr>
        <w:t>Bengesser</w:t>
      </w:r>
      <w:proofErr w:type="spellEnd"/>
      <w:r w:rsidRPr="004D46AC">
        <w:rPr>
          <w:rFonts w:eastAsiaTheme="minorEastAsia"/>
        </w:rPr>
        <w:t xml:space="preserve">, S., Dalkner, N., </w:t>
      </w:r>
      <w:proofErr w:type="spellStart"/>
      <w:r w:rsidRPr="004D46AC">
        <w:rPr>
          <w:rFonts w:eastAsiaTheme="minorEastAsia"/>
        </w:rPr>
        <w:t>Mörkl</w:t>
      </w:r>
      <w:proofErr w:type="spellEnd"/>
      <w:r w:rsidRPr="004D46AC">
        <w:rPr>
          <w:rFonts w:eastAsiaTheme="minorEastAsia"/>
        </w:rPr>
        <w:t xml:space="preserve">, S., </w:t>
      </w:r>
      <w:proofErr w:type="spellStart"/>
      <w:r w:rsidRPr="004D46AC">
        <w:rPr>
          <w:rFonts w:eastAsiaTheme="minorEastAsia"/>
        </w:rPr>
        <w:t>Painold</w:t>
      </w:r>
      <w:proofErr w:type="spellEnd"/>
      <w:r w:rsidRPr="004D46AC">
        <w:rPr>
          <w:rFonts w:eastAsiaTheme="minorEastAsia"/>
        </w:rPr>
        <w:t xml:space="preserve">, A., Hamm, C., Pilz, R., Rieger, A., Kapfhammer, H.-P., Hiebler-Ragger, M., Jauk, E., Butler, M. I., &amp; </w:t>
      </w:r>
      <w:proofErr w:type="spellStart"/>
      <w:r w:rsidRPr="004D46AC">
        <w:rPr>
          <w:rFonts w:eastAsiaTheme="minorEastAsia"/>
        </w:rPr>
        <w:t>Reininghaus</w:t>
      </w:r>
      <w:proofErr w:type="spellEnd"/>
      <w:r w:rsidRPr="004D46AC">
        <w:rPr>
          <w:rFonts w:eastAsiaTheme="minorEastAsia"/>
        </w:rPr>
        <w:t xml:space="preserve">, E. Z. (2020). Personality Structure and Attachment in Bipolar Disorder [Original Research]. Frontiers in Psychiatry, Volume 11 - 2020. https://doi.org/10.3389/fpsyt.2020.00410 </w:t>
      </w:r>
    </w:p>
    <w:p w14:paraId="4D88C785" w14:textId="77777777" w:rsidR="009864DB" w:rsidRPr="004D46AC" w:rsidRDefault="009864DB" w:rsidP="009864DB">
      <w:pPr>
        <w:spacing w:line="240" w:lineRule="auto"/>
        <w:ind w:left="709" w:hanging="720"/>
        <w:rPr>
          <w:rFonts w:eastAsiaTheme="minorEastAsia"/>
        </w:rPr>
      </w:pPr>
      <w:r w:rsidRPr="004D46AC">
        <w:rPr>
          <w:rFonts w:eastAsiaTheme="minorEastAsia"/>
        </w:rPr>
        <w:lastRenderedPageBreak/>
        <w:t xml:space="preserve">Wang, Z., Cao, Y., Zhu, Y., Li, K., Jiang, X., Zhuo, C., Triplett, P., &amp; Li, J. (2021). Differences in Demographic and Clinical Characteristics of Patients </w:t>
      </w:r>
      <w:proofErr w:type="gramStart"/>
      <w:r w:rsidRPr="004D46AC">
        <w:rPr>
          <w:rFonts w:eastAsiaTheme="minorEastAsia"/>
        </w:rPr>
        <w:t>With</w:t>
      </w:r>
      <w:proofErr w:type="gramEnd"/>
      <w:r w:rsidRPr="004D46AC">
        <w:rPr>
          <w:rFonts w:eastAsiaTheme="minorEastAsia"/>
        </w:rPr>
        <w:t xml:space="preserve"> Depressive vs. Manic First Episode of Bipolar Disorder [Original Research]. Front Psychiatry, 12, 616415. https://doi.org/10.3389/fpsyt.2021.616415 </w:t>
      </w:r>
    </w:p>
    <w:p w14:paraId="135B297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Wang, Z., Li, T., Li, S., Li, K., Jiang, X., Wei, C., Yang, L., Cao, H., Li, S., &amp; Li, J. (2022). The prevalence and clinical correlates of medical disorders comorbidities in patients with bipolar disorder. BMC Psychiatry, 22(1), 176. https://doi.org/10.1186/s12888-022-03819-0 </w:t>
      </w:r>
    </w:p>
    <w:p w14:paraId="2B5350A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Weinstock, L. M., Gaudiano, B. A., Wenze, S. J., Epstein-Lubow, G., &amp; Miller, I. W. (2016). Demographic and clinical characteristics associated with comorbid cannabis use disorders (CUDs) in hospitalized patients with bipolar I disorder. </w:t>
      </w:r>
      <w:proofErr w:type="spellStart"/>
      <w:r w:rsidRPr="004D46AC">
        <w:rPr>
          <w:rFonts w:eastAsiaTheme="minorEastAsia"/>
        </w:rPr>
        <w:t>Compr</w:t>
      </w:r>
      <w:proofErr w:type="spellEnd"/>
      <w:r w:rsidRPr="004D46AC">
        <w:rPr>
          <w:rFonts w:eastAsiaTheme="minorEastAsia"/>
        </w:rPr>
        <w:t xml:space="preserve"> Psychiatry, 65, 57–62. https://doi.org/10.1016/j.comppsych.2015.10.003 </w:t>
      </w:r>
    </w:p>
    <w:p w14:paraId="364A62B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Wingo, A. P., </w:t>
      </w:r>
      <w:proofErr w:type="spellStart"/>
      <w:r w:rsidRPr="004D46AC">
        <w:rPr>
          <w:rFonts w:eastAsiaTheme="minorEastAsia"/>
        </w:rPr>
        <w:t>Baldessarini</w:t>
      </w:r>
      <w:proofErr w:type="spellEnd"/>
      <w:r w:rsidRPr="004D46AC">
        <w:rPr>
          <w:rFonts w:eastAsiaTheme="minorEastAsia"/>
        </w:rPr>
        <w:t xml:space="preserve">, R. J., </w:t>
      </w:r>
      <w:proofErr w:type="spellStart"/>
      <w:r w:rsidRPr="004D46AC">
        <w:rPr>
          <w:rFonts w:eastAsiaTheme="minorEastAsia"/>
        </w:rPr>
        <w:t>Holtzheimer</w:t>
      </w:r>
      <w:proofErr w:type="spellEnd"/>
      <w:r w:rsidRPr="004D46AC">
        <w:rPr>
          <w:rFonts w:eastAsiaTheme="minorEastAsia"/>
        </w:rPr>
        <w:t xml:space="preserve">, P. E., &amp; Harvey, P. D. (2010). Factors associated with functional recovery in bipolar disorder patients. Bipolar </w:t>
      </w:r>
      <w:proofErr w:type="spellStart"/>
      <w:r w:rsidRPr="004D46AC">
        <w:rPr>
          <w:rFonts w:eastAsiaTheme="minorEastAsia"/>
        </w:rPr>
        <w:t>Disord</w:t>
      </w:r>
      <w:proofErr w:type="spellEnd"/>
      <w:r w:rsidRPr="004D46AC">
        <w:rPr>
          <w:rFonts w:eastAsiaTheme="minorEastAsia"/>
        </w:rPr>
        <w:t xml:space="preserve">, 12(3), 319–326. https://doi.org/10.1111/j.1399-5618.2010.00808.x </w:t>
      </w:r>
    </w:p>
    <w:p w14:paraId="5EB937C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Winokur, G., Scharfetter, C., &amp; Angst, J. (1985). The diagnostic value in assessing mood congruence in delusions and hallucinations and their relationship to the affective state. </w:t>
      </w:r>
      <w:proofErr w:type="spellStart"/>
      <w:r w:rsidRPr="004D46AC">
        <w:rPr>
          <w:rFonts w:eastAsiaTheme="minorEastAsia"/>
        </w:rPr>
        <w:t>Eur</w:t>
      </w:r>
      <w:proofErr w:type="spellEnd"/>
      <w:r w:rsidRPr="004D46AC">
        <w:rPr>
          <w:rFonts w:eastAsiaTheme="minorEastAsia"/>
        </w:rPr>
        <w:t xml:space="preserve"> Arch Psychiatry </w:t>
      </w:r>
      <w:proofErr w:type="spellStart"/>
      <w:r w:rsidRPr="004D46AC">
        <w:rPr>
          <w:rFonts w:eastAsiaTheme="minorEastAsia"/>
        </w:rPr>
        <w:t>Neurol</w:t>
      </w:r>
      <w:proofErr w:type="spellEnd"/>
      <w:r w:rsidRPr="004D46AC">
        <w:rPr>
          <w:rFonts w:eastAsiaTheme="minorEastAsia"/>
        </w:rPr>
        <w:t xml:space="preserve"> Sci, 234(5), 299–302. https://doi.org/10.1007/BF00381040 </w:t>
      </w:r>
    </w:p>
    <w:p w14:paraId="029EBE5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Wylie, M. E., </w:t>
      </w:r>
      <w:proofErr w:type="spellStart"/>
      <w:r w:rsidRPr="004D46AC">
        <w:rPr>
          <w:rFonts w:eastAsiaTheme="minorEastAsia"/>
        </w:rPr>
        <w:t>Mulsant</w:t>
      </w:r>
      <w:proofErr w:type="spellEnd"/>
      <w:r w:rsidRPr="004D46AC">
        <w:rPr>
          <w:rFonts w:eastAsiaTheme="minorEastAsia"/>
        </w:rPr>
        <w:t xml:space="preserve">, B. H., Pollock, B. G., Sweet, R. A., Zubenko, G. S., Begley, A. E., Gregor, M., Frank, E., Reynolds, C. F., 3rd, &amp; Kupfer, D. J. (1999). Age at onset in geriatric bipolar disorder. Effects on clinical presentation and treatment outcomes in an inpatient sample. Am J </w:t>
      </w:r>
      <w:proofErr w:type="spellStart"/>
      <w:r w:rsidRPr="004D46AC">
        <w:rPr>
          <w:rFonts w:eastAsiaTheme="minorEastAsia"/>
        </w:rPr>
        <w:t>Geriatr</w:t>
      </w:r>
      <w:proofErr w:type="spellEnd"/>
      <w:r w:rsidRPr="004D46AC">
        <w:rPr>
          <w:rFonts w:eastAsiaTheme="minorEastAsia"/>
        </w:rPr>
        <w:t xml:space="preserve"> Psychiatry, 7(1), 77–83. </w:t>
      </w:r>
    </w:p>
    <w:p w14:paraId="1EF7F32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Xiang, Y. T., Zhang, L., Wang, G., Hu, C., </w:t>
      </w:r>
      <w:proofErr w:type="spellStart"/>
      <w:r w:rsidRPr="004D46AC">
        <w:rPr>
          <w:rFonts w:eastAsiaTheme="minorEastAsia"/>
        </w:rPr>
        <w:t>Ungvari</w:t>
      </w:r>
      <w:proofErr w:type="spellEnd"/>
      <w:r w:rsidRPr="004D46AC">
        <w:rPr>
          <w:rFonts w:eastAsiaTheme="minorEastAsia"/>
        </w:rPr>
        <w:t xml:space="preserve">, G. S., Dickerson, F. B., Kilbourne, A. M., Si, T. M., Fang, Y. R., Lu, Z., Yang, H. C., Lai, K. Y., Lee, E. H., Hu, J., Chen, Z. Y., Huang, Y., Sun, J., Wang, X. P., Li, H. C.,…Chiu, H. F. (2013). Sociodemographic and clinical features of bipolar disorder patients misdiagnosed with major depressive disorder in China. Bipolar </w:t>
      </w:r>
      <w:proofErr w:type="spellStart"/>
      <w:r w:rsidRPr="004D46AC">
        <w:rPr>
          <w:rFonts w:eastAsiaTheme="minorEastAsia"/>
        </w:rPr>
        <w:t>Disord</w:t>
      </w:r>
      <w:proofErr w:type="spellEnd"/>
      <w:r w:rsidRPr="004D46AC">
        <w:rPr>
          <w:rFonts w:eastAsiaTheme="minorEastAsia"/>
        </w:rPr>
        <w:t xml:space="preserve">, 15(2), 199–205. https://doi.org/10.1111/bdi.12052 </w:t>
      </w:r>
    </w:p>
    <w:p w14:paraId="2938152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Yazici, O., Kora, K., </w:t>
      </w:r>
      <w:proofErr w:type="spellStart"/>
      <w:r w:rsidRPr="004D46AC">
        <w:rPr>
          <w:rFonts w:eastAsiaTheme="minorEastAsia"/>
        </w:rPr>
        <w:t>Ucok</w:t>
      </w:r>
      <w:proofErr w:type="spellEnd"/>
      <w:r w:rsidRPr="004D46AC">
        <w:rPr>
          <w:rFonts w:eastAsiaTheme="minorEastAsia"/>
        </w:rPr>
        <w:t xml:space="preserve">, A., </w:t>
      </w:r>
      <w:proofErr w:type="spellStart"/>
      <w:r w:rsidRPr="004D46AC">
        <w:rPr>
          <w:rFonts w:eastAsiaTheme="minorEastAsia"/>
        </w:rPr>
        <w:t>Saylan</w:t>
      </w:r>
      <w:proofErr w:type="spellEnd"/>
      <w:r w:rsidRPr="004D46AC">
        <w:rPr>
          <w:rFonts w:eastAsiaTheme="minorEastAsia"/>
        </w:rPr>
        <w:t xml:space="preserve">, M., Ozdemir, O., </w:t>
      </w:r>
      <w:proofErr w:type="spellStart"/>
      <w:r w:rsidRPr="004D46AC">
        <w:rPr>
          <w:rFonts w:eastAsiaTheme="minorEastAsia"/>
        </w:rPr>
        <w:t>Kiziltan</w:t>
      </w:r>
      <w:proofErr w:type="spellEnd"/>
      <w:r w:rsidRPr="004D46AC">
        <w:rPr>
          <w:rFonts w:eastAsiaTheme="minorEastAsia"/>
        </w:rPr>
        <w:t xml:space="preserve">, E., &amp; </w:t>
      </w:r>
      <w:proofErr w:type="spellStart"/>
      <w:r w:rsidRPr="004D46AC">
        <w:rPr>
          <w:rFonts w:eastAsiaTheme="minorEastAsia"/>
        </w:rPr>
        <w:t>Ozpulat</w:t>
      </w:r>
      <w:proofErr w:type="spellEnd"/>
      <w:r w:rsidRPr="004D46AC">
        <w:rPr>
          <w:rFonts w:eastAsiaTheme="minorEastAsia"/>
        </w:rPr>
        <w:t xml:space="preserve">, T. (2002). Unipolar mania: a distinct disorder? J Affect </w:t>
      </w:r>
      <w:proofErr w:type="spellStart"/>
      <w:r w:rsidRPr="004D46AC">
        <w:rPr>
          <w:rFonts w:eastAsiaTheme="minorEastAsia"/>
        </w:rPr>
        <w:t>Disord</w:t>
      </w:r>
      <w:proofErr w:type="spellEnd"/>
      <w:r w:rsidRPr="004D46AC">
        <w:rPr>
          <w:rFonts w:eastAsiaTheme="minorEastAsia"/>
        </w:rPr>
        <w:t xml:space="preserve">, 71(1-3), 97–103. https://doi.org/10.1016/s0165-0327(01)00416-5 </w:t>
      </w:r>
    </w:p>
    <w:p w14:paraId="679179C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Yen, C. F., Chen, C. C., Cheng, C. P., Yen, C. N., Lin, H. C., Ko, C. H., Yen, J. Y., &amp; Chen, C. S. (2008). Comparisons of insight in schizophrenia, bipolar I disorder, and depressive disorders with and without comorbid alcohol use disorder. Psychiatry Clin </w:t>
      </w:r>
      <w:proofErr w:type="spellStart"/>
      <w:r w:rsidRPr="004D46AC">
        <w:rPr>
          <w:rFonts w:eastAsiaTheme="minorEastAsia"/>
        </w:rPr>
        <w:t>Neurosci</w:t>
      </w:r>
      <w:proofErr w:type="spellEnd"/>
      <w:r w:rsidRPr="004D46AC">
        <w:rPr>
          <w:rFonts w:eastAsiaTheme="minorEastAsia"/>
        </w:rPr>
        <w:t xml:space="preserve">, 62(6), 685–690. https://doi.org/10.1111/j.1440-1819.2008.01870.x </w:t>
      </w:r>
    </w:p>
    <w:p w14:paraId="52F988A1"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Yildiz, A., </w:t>
      </w:r>
      <w:proofErr w:type="spellStart"/>
      <w:r w:rsidRPr="004D46AC">
        <w:rPr>
          <w:rFonts w:eastAsiaTheme="minorEastAsia"/>
        </w:rPr>
        <w:t>Guleryuz</w:t>
      </w:r>
      <w:proofErr w:type="spellEnd"/>
      <w:r w:rsidRPr="004D46AC">
        <w:rPr>
          <w:rFonts w:eastAsiaTheme="minorEastAsia"/>
        </w:rPr>
        <w:t xml:space="preserve">, S., </w:t>
      </w:r>
      <w:proofErr w:type="spellStart"/>
      <w:r w:rsidRPr="004D46AC">
        <w:rPr>
          <w:rFonts w:eastAsiaTheme="minorEastAsia"/>
        </w:rPr>
        <w:t>Ankerst</w:t>
      </w:r>
      <w:proofErr w:type="spellEnd"/>
      <w:r w:rsidRPr="004D46AC">
        <w:rPr>
          <w:rFonts w:eastAsiaTheme="minorEastAsia"/>
        </w:rPr>
        <w:t xml:space="preserve">, D. P., </w:t>
      </w:r>
      <w:proofErr w:type="spellStart"/>
      <w:r w:rsidRPr="004D46AC">
        <w:rPr>
          <w:rFonts w:eastAsiaTheme="minorEastAsia"/>
        </w:rPr>
        <w:t>Ongur</w:t>
      </w:r>
      <w:proofErr w:type="spellEnd"/>
      <w:r w:rsidRPr="004D46AC">
        <w:rPr>
          <w:rFonts w:eastAsiaTheme="minorEastAsia"/>
        </w:rPr>
        <w:t xml:space="preserve">, D., &amp; Renshaw, P. F. (2008). Protein kinase C inhibition in the treatment of mania: a double-blind, placebo-controlled trial of tamoxifen. Arch Gen Psychiatry, 65(3), 255–263. https://doi.org/10.1001/archgenpsychiatry.2007.43 </w:t>
      </w:r>
    </w:p>
    <w:p w14:paraId="49FB715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Yildiz, A., &amp; Sachs, G. S. (2003). Age onset of psychotic versus non-psychotic bipolar illness in men and in women. J Affect </w:t>
      </w:r>
      <w:proofErr w:type="spellStart"/>
      <w:r w:rsidRPr="004D46AC">
        <w:rPr>
          <w:rFonts w:eastAsiaTheme="minorEastAsia"/>
        </w:rPr>
        <w:t>Disord</w:t>
      </w:r>
      <w:proofErr w:type="spellEnd"/>
      <w:r w:rsidRPr="004D46AC">
        <w:rPr>
          <w:rFonts w:eastAsiaTheme="minorEastAsia"/>
        </w:rPr>
        <w:t xml:space="preserve">, 74(2), 197–201. https://doi.org/10.1016/s0165-0327(02)00003-4 </w:t>
      </w:r>
    </w:p>
    <w:p w14:paraId="4E36E85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Zenisek, R., Thaler, N. S., Sutton, G. P., Ringdahl, E. N., Snyder, J. S., &amp; Allen, D. N. (2015). Auditory processing deficits in bipolar disorder with and without a history of psychotic features. Bipolar </w:t>
      </w:r>
      <w:proofErr w:type="spellStart"/>
      <w:r w:rsidRPr="004D46AC">
        <w:rPr>
          <w:rFonts w:eastAsiaTheme="minorEastAsia"/>
        </w:rPr>
        <w:t>Disord</w:t>
      </w:r>
      <w:proofErr w:type="spellEnd"/>
      <w:r w:rsidRPr="004D46AC">
        <w:rPr>
          <w:rFonts w:eastAsiaTheme="minorEastAsia"/>
        </w:rPr>
        <w:t xml:space="preserve">, 17(7), 769–780. https://doi.org/10.1111/bdi.12333 </w:t>
      </w:r>
    </w:p>
    <w:p w14:paraId="2B7B7EF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Zhang, L., Wang, G., Luo, J., Zhang, Q. E., Zhao, Q., Deng, Q. Y., &amp; Ma, X. (2013). Retrospective analysis of factors associated with quetiapine dosage in the acute and subsequent six-month maintenance treatment of bipolar disorders. </w:t>
      </w:r>
      <w:proofErr w:type="spellStart"/>
      <w:r w:rsidRPr="004D46AC">
        <w:rPr>
          <w:rFonts w:eastAsiaTheme="minorEastAsia"/>
        </w:rPr>
        <w:t>Neuropsychiatr</w:t>
      </w:r>
      <w:proofErr w:type="spellEnd"/>
      <w:r w:rsidRPr="004D46AC">
        <w:rPr>
          <w:rFonts w:eastAsiaTheme="minorEastAsia"/>
        </w:rPr>
        <w:t xml:space="preserve"> Dis Treat, 9, 575–580. https://doi.org/10.2147/NDT.S42473 </w:t>
      </w:r>
    </w:p>
    <w:p w14:paraId="7421679C" w14:textId="3BC26FCB" w:rsidR="009864DB" w:rsidRPr="004D46AC" w:rsidRDefault="009864DB" w:rsidP="009864DB">
      <w:pPr>
        <w:spacing w:line="240" w:lineRule="auto"/>
        <w:ind w:left="709" w:hanging="720"/>
        <w:rPr>
          <w:rFonts w:eastAsiaTheme="minorEastAsia"/>
        </w:rPr>
      </w:pPr>
      <w:r w:rsidRPr="004D46AC">
        <w:rPr>
          <w:rFonts w:eastAsiaTheme="minorEastAsia"/>
        </w:rPr>
        <w:t xml:space="preserve">Zutshi, A., Reddy, Y. C., Thennarasu, K., &amp; Chandrashekhar, C. R. (2006). Comorbidity of anxiety disorders in patients with remitted bipolar disorder.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256(7), 428–436. https://doi.org/10.1007/s00406-006-0658-2</w:t>
      </w:r>
    </w:p>
    <w:p w14:paraId="022D25AC" w14:textId="77777777" w:rsidR="007075D9" w:rsidRPr="004D46AC" w:rsidRDefault="007075D9" w:rsidP="00D41749">
      <w:pPr>
        <w:spacing w:line="240" w:lineRule="auto"/>
        <w:ind w:firstLine="0"/>
      </w:pPr>
    </w:p>
    <w:p w14:paraId="190AE113" w14:textId="77777777" w:rsidR="007075D9" w:rsidRPr="004D46AC" w:rsidRDefault="007075D9" w:rsidP="00D41749">
      <w:pPr>
        <w:spacing w:line="240" w:lineRule="auto"/>
        <w:ind w:firstLine="0"/>
      </w:pPr>
    </w:p>
    <w:p w14:paraId="5169421D" w14:textId="77777777" w:rsidR="007075D9" w:rsidRPr="004D46AC" w:rsidRDefault="007075D9" w:rsidP="00D41749">
      <w:pPr>
        <w:spacing w:line="240" w:lineRule="auto"/>
        <w:ind w:firstLine="0"/>
      </w:pPr>
    </w:p>
    <w:p w14:paraId="4E1A2375" w14:textId="1ADBC310" w:rsidR="007075D9" w:rsidRPr="004D46AC" w:rsidRDefault="009864DB" w:rsidP="009864DB">
      <w:pPr>
        <w:pStyle w:val="afff0"/>
        <w:ind w:firstLine="0"/>
        <w:rPr>
          <w:b/>
          <w:bCs/>
          <w:i w:val="0"/>
          <w:iCs w:val="0"/>
        </w:rPr>
      </w:pPr>
      <w:bookmarkStart w:id="317" w:name="_Toc225271032"/>
      <w:r w:rsidRPr="004D46AC">
        <w:rPr>
          <w:b/>
          <w:bCs/>
          <w:i w:val="0"/>
          <w:iCs w:val="0"/>
        </w:rPr>
        <w:lastRenderedPageBreak/>
        <w:t xml:space="preserve">Table B </w:t>
      </w:r>
      <w:r w:rsidRPr="004D46AC">
        <w:rPr>
          <w:b/>
          <w:bCs/>
          <w:i w:val="0"/>
          <w:iCs w:val="0"/>
        </w:rPr>
        <w:fldChar w:fldCharType="begin"/>
      </w:r>
      <w:r w:rsidRPr="004D46AC">
        <w:rPr>
          <w:b/>
          <w:bCs/>
          <w:i w:val="0"/>
          <w:iCs w:val="0"/>
        </w:rPr>
        <w:instrText xml:space="preserve"> SEQ Table_B \* ARABIC </w:instrText>
      </w:r>
      <w:r w:rsidRPr="004D46AC">
        <w:rPr>
          <w:b/>
          <w:bCs/>
          <w:i w:val="0"/>
          <w:iCs w:val="0"/>
        </w:rPr>
        <w:fldChar w:fldCharType="separate"/>
      </w:r>
      <w:r w:rsidRPr="004D46AC">
        <w:rPr>
          <w:b/>
          <w:bCs/>
          <w:i w:val="0"/>
          <w:iCs w:val="0"/>
          <w:noProof/>
        </w:rPr>
        <w:t>10</w:t>
      </w:r>
      <w:bookmarkEnd w:id="317"/>
      <w:r w:rsidRPr="004D46AC">
        <w:rPr>
          <w:b/>
          <w:bCs/>
          <w:i w:val="0"/>
          <w:iCs w:val="0"/>
        </w:rPr>
        <w:fldChar w:fldCharType="end"/>
      </w:r>
    </w:p>
    <w:p w14:paraId="0B4F2AE1" w14:textId="77777777" w:rsidR="009864DB" w:rsidRPr="004D46AC" w:rsidRDefault="009864DB" w:rsidP="009864DB">
      <w:pPr>
        <w:spacing w:line="240" w:lineRule="auto"/>
        <w:ind w:firstLine="0"/>
        <w:rPr>
          <w:i/>
          <w:iCs/>
        </w:rPr>
      </w:pPr>
      <w:r w:rsidRPr="004D46AC">
        <w:rPr>
          <w:i/>
          <w:iCs/>
        </w:rPr>
        <w:t>Include studies in the synthesis of cooccurring delusions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646"/>
        <w:gridCol w:w="656"/>
        <w:gridCol w:w="939"/>
        <w:gridCol w:w="1174"/>
        <w:gridCol w:w="705"/>
        <w:gridCol w:w="793"/>
        <w:gridCol w:w="461"/>
        <w:gridCol w:w="431"/>
        <w:gridCol w:w="1408"/>
        <w:gridCol w:w="608"/>
      </w:tblGrid>
      <w:tr w:rsidR="009864DB" w:rsidRPr="004D46AC" w14:paraId="06A1EB00" w14:textId="77777777" w:rsidTr="00B518F1">
        <w:trPr>
          <w:trHeight w:val="509"/>
        </w:trPr>
        <w:tc>
          <w:tcPr>
            <w:tcW w:w="1440" w:type="dxa"/>
          </w:tcPr>
          <w:p w14:paraId="772CC2F1" w14:textId="77777777" w:rsidR="009864DB" w:rsidRPr="004D46AC" w:rsidRDefault="009864DB" w:rsidP="009864DB">
            <w:pPr>
              <w:spacing w:line="240" w:lineRule="auto"/>
              <w:ind w:firstLine="0"/>
            </w:pPr>
            <w:r w:rsidRPr="004D46AC">
              <w:t xml:space="preserve">Study </w:t>
            </w:r>
          </w:p>
        </w:tc>
        <w:tc>
          <w:tcPr>
            <w:tcW w:w="1189" w:type="dxa"/>
          </w:tcPr>
          <w:p w14:paraId="0B3F8327" w14:textId="77777777" w:rsidR="009864DB" w:rsidRPr="004D46AC" w:rsidRDefault="009864DB" w:rsidP="009864DB">
            <w:pPr>
              <w:spacing w:line="240" w:lineRule="auto"/>
              <w:ind w:firstLine="0"/>
            </w:pPr>
            <w:r w:rsidRPr="004D46AC">
              <w:t>JBI score</w:t>
            </w:r>
          </w:p>
        </w:tc>
        <w:tc>
          <w:tcPr>
            <w:tcW w:w="1186" w:type="dxa"/>
          </w:tcPr>
          <w:p w14:paraId="1E971C5A" w14:textId="77777777" w:rsidR="009864DB" w:rsidRPr="004D46AC" w:rsidRDefault="009864DB" w:rsidP="009864DB">
            <w:pPr>
              <w:spacing w:line="240" w:lineRule="auto"/>
              <w:ind w:firstLine="0"/>
            </w:pPr>
            <w:r w:rsidRPr="004D46AC">
              <w:t>Age</w:t>
            </w:r>
          </w:p>
        </w:tc>
        <w:tc>
          <w:tcPr>
            <w:tcW w:w="1235" w:type="dxa"/>
          </w:tcPr>
          <w:p w14:paraId="2627707B" w14:textId="77777777" w:rsidR="009864DB" w:rsidRPr="004D46AC" w:rsidRDefault="009864DB" w:rsidP="009864DB">
            <w:pPr>
              <w:spacing w:line="240" w:lineRule="auto"/>
              <w:ind w:firstLine="0"/>
            </w:pPr>
            <w:r w:rsidRPr="004D46AC">
              <w:t>Criteria</w:t>
            </w:r>
          </w:p>
        </w:tc>
        <w:tc>
          <w:tcPr>
            <w:tcW w:w="1524" w:type="dxa"/>
          </w:tcPr>
          <w:p w14:paraId="5212D29C" w14:textId="77777777" w:rsidR="009864DB" w:rsidRPr="004D46AC" w:rsidRDefault="009864DB" w:rsidP="009864DB">
            <w:pPr>
              <w:spacing w:line="240" w:lineRule="auto"/>
              <w:ind w:firstLine="0"/>
            </w:pPr>
            <w:r w:rsidRPr="004D46AC">
              <w:t>Assessment</w:t>
            </w:r>
          </w:p>
        </w:tc>
        <w:tc>
          <w:tcPr>
            <w:tcW w:w="1177" w:type="dxa"/>
          </w:tcPr>
          <w:p w14:paraId="37267FCB" w14:textId="77777777" w:rsidR="009864DB" w:rsidRPr="004D46AC" w:rsidRDefault="009864DB" w:rsidP="009864DB">
            <w:pPr>
              <w:spacing w:line="240" w:lineRule="auto"/>
              <w:ind w:firstLine="0"/>
            </w:pPr>
            <w:r w:rsidRPr="004D46AC">
              <w:t>N</w:t>
            </w:r>
          </w:p>
        </w:tc>
        <w:tc>
          <w:tcPr>
            <w:tcW w:w="1210" w:type="dxa"/>
          </w:tcPr>
          <w:p w14:paraId="5B014F68" w14:textId="77777777" w:rsidR="009864DB" w:rsidRPr="004D46AC" w:rsidRDefault="009864DB" w:rsidP="009864DB">
            <w:pPr>
              <w:spacing w:line="240" w:lineRule="auto"/>
              <w:ind w:firstLine="0"/>
            </w:pPr>
            <w:r w:rsidRPr="004D46AC">
              <w:t>Pop</w:t>
            </w:r>
          </w:p>
        </w:tc>
        <w:tc>
          <w:tcPr>
            <w:tcW w:w="1155" w:type="dxa"/>
          </w:tcPr>
          <w:p w14:paraId="5C503F9E" w14:textId="77777777" w:rsidR="009864DB" w:rsidRPr="004D46AC" w:rsidRDefault="009864DB" w:rsidP="009864DB">
            <w:pPr>
              <w:spacing w:line="240" w:lineRule="auto"/>
              <w:ind w:firstLine="0"/>
            </w:pPr>
            <w:r w:rsidRPr="004D46AC">
              <w:t>BD</w:t>
            </w:r>
          </w:p>
          <w:p w14:paraId="0DA56D63" w14:textId="77777777" w:rsidR="009864DB" w:rsidRPr="004D46AC" w:rsidRDefault="009864DB" w:rsidP="009864DB">
            <w:pPr>
              <w:spacing w:line="240" w:lineRule="auto"/>
              <w:ind w:firstLine="0"/>
            </w:pPr>
          </w:p>
        </w:tc>
        <w:tc>
          <w:tcPr>
            <w:tcW w:w="1150" w:type="dxa"/>
          </w:tcPr>
          <w:p w14:paraId="1E623267" w14:textId="77777777" w:rsidR="009864DB" w:rsidRPr="004D46AC" w:rsidRDefault="009864DB" w:rsidP="009864DB">
            <w:pPr>
              <w:spacing w:line="240" w:lineRule="auto"/>
              <w:ind w:firstLine="0"/>
            </w:pPr>
            <w:r w:rsidRPr="004D46AC">
              <w:t>TF</w:t>
            </w:r>
          </w:p>
        </w:tc>
        <w:tc>
          <w:tcPr>
            <w:tcW w:w="1756" w:type="dxa"/>
          </w:tcPr>
          <w:p w14:paraId="38345F2D" w14:textId="77777777" w:rsidR="009864DB" w:rsidRPr="004D46AC" w:rsidRDefault="009864DB" w:rsidP="009864DB">
            <w:pPr>
              <w:spacing w:line="240" w:lineRule="auto"/>
              <w:ind w:firstLine="0"/>
            </w:pPr>
            <w:proofErr w:type="spellStart"/>
            <w:r w:rsidRPr="004D46AC">
              <w:t>CoTyp</w:t>
            </w:r>
            <w:proofErr w:type="spellEnd"/>
          </w:p>
        </w:tc>
        <w:tc>
          <w:tcPr>
            <w:tcW w:w="1152" w:type="dxa"/>
          </w:tcPr>
          <w:p w14:paraId="4C341F4F" w14:textId="77777777" w:rsidR="009864DB" w:rsidRPr="004D46AC" w:rsidRDefault="009864DB" w:rsidP="009864DB">
            <w:pPr>
              <w:spacing w:line="240" w:lineRule="auto"/>
              <w:ind w:firstLine="0"/>
            </w:pPr>
            <w:r w:rsidRPr="004D46AC">
              <w:t>Co (n)</w:t>
            </w:r>
          </w:p>
        </w:tc>
      </w:tr>
      <w:tr w:rsidR="009864DB" w:rsidRPr="004D46AC" w14:paraId="6EED12DC" w14:textId="77777777" w:rsidTr="00B518F1">
        <w:trPr>
          <w:trHeight w:val="254"/>
        </w:trPr>
        <w:tc>
          <w:tcPr>
            <w:tcW w:w="1440" w:type="dxa"/>
          </w:tcPr>
          <w:p w14:paraId="0CC1158D" w14:textId="77777777" w:rsidR="009864DB" w:rsidRPr="004D46AC" w:rsidRDefault="009864DB" w:rsidP="009864DB">
            <w:pPr>
              <w:spacing w:line="240" w:lineRule="auto"/>
              <w:ind w:firstLine="0"/>
            </w:pPr>
            <w:r w:rsidRPr="004D46AC">
              <w:fldChar w:fldCharType="begin">
                <w:fldData xml:space="preserve">PEVuZE5vdGU+PENpdGUgQXV0aG9yWWVhcj0iMSI+PEF1dGhvcj5Bc2FhZDwvQXV0aG9yPjxZZWFy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instrText xml:space="preserve"> ADDIN EN.CITE </w:instrText>
            </w:r>
            <w:r w:rsidRPr="004D46AC">
              <w:fldChar w:fldCharType="begin">
                <w:fldData xml:space="preserve">PEVuZE5vdGU+PENpdGUgQXV0aG9yWWVhcj0iMSI+PEF1dGhvcj5Bc2FhZDwvQXV0aG9yPjxZZWFy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instrText xml:space="preserve"> ADDIN EN.CITE.DATA </w:instrText>
            </w:r>
            <w:r w:rsidRPr="004D46AC">
              <w:fldChar w:fldCharType="end"/>
            </w:r>
            <w:r w:rsidRPr="004D46AC">
              <w:fldChar w:fldCharType="separate"/>
            </w:r>
            <w:r w:rsidRPr="004D46AC">
              <w:t>Asaad et al. (2014)</w:t>
            </w:r>
            <w:r w:rsidRPr="004D46AC">
              <w:fldChar w:fldCharType="end"/>
            </w:r>
          </w:p>
        </w:tc>
        <w:tc>
          <w:tcPr>
            <w:tcW w:w="1189" w:type="dxa"/>
            <w:vAlign w:val="center"/>
          </w:tcPr>
          <w:p w14:paraId="66647EB0" w14:textId="77777777" w:rsidR="009864DB" w:rsidRPr="004D46AC" w:rsidRDefault="009864DB" w:rsidP="009864DB">
            <w:pPr>
              <w:spacing w:line="240" w:lineRule="auto"/>
              <w:ind w:firstLine="0"/>
            </w:pPr>
            <w:r w:rsidRPr="004D46AC">
              <w:t>7</w:t>
            </w:r>
          </w:p>
        </w:tc>
        <w:tc>
          <w:tcPr>
            <w:tcW w:w="1186" w:type="dxa"/>
            <w:vAlign w:val="center"/>
          </w:tcPr>
          <w:p w14:paraId="385D162E" w14:textId="77777777" w:rsidR="009864DB" w:rsidRPr="004D46AC" w:rsidRDefault="009864DB" w:rsidP="009864DB">
            <w:pPr>
              <w:spacing w:line="240" w:lineRule="auto"/>
              <w:ind w:firstLine="0"/>
            </w:pPr>
            <w:r w:rsidRPr="004D46AC">
              <w:t>34.65</w:t>
            </w:r>
          </w:p>
        </w:tc>
        <w:tc>
          <w:tcPr>
            <w:tcW w:w="1235" w:type="dxa"/>
            <w:vAlign w:val="center"/>
          </w:tcPr>
          <w:p w14:paraId="6628C04B" w14:textId="77777777" w:rsidR="009864DB" w:rsidRPr="004D46AC" w:rsidRDefault="009864DB" w:rsidP="009864DB">
            <w:pPr>
              <w:spacing w:line="240" w:lineRule="auto"/>
              <w:ind w:firstLine="0"/>
            </w:pPr>
            <w:r w:rsidRPr="004D46AC">
              <w:t>DSM4</w:t>
            </w:r>
          </w:p>
        </w:tc>
        <w:tc>
          <w:tcPr>
            <w:tcW w:w="1524" w:type="dxa"/>
            <w:vAlign w:val="center"/>
          </w:tcPr>
          <w:p w14:paraId="4465F86E" w14:textId="77777777" w:rsidR="009864DB" w:rsidRPr="004D46AC" w:rsidRDefault="009864DB" w:rsidP="009864DB">
            <w:pPr>
              <w:spacing w:line="240" w:lineRule="auto"/>
              <w:ind w:firstLine="0"/>
            </w:pPr>
            <w:r w:rsidRPr="004D46AC">
              <w:t>SCID</w:t>
            </w:r>
          </w:p>
        </w:tc>
        <w:tc>
          <w:tcPr>
            <w:tcW w:w="1177" w:type="dxa"/>
            <w:vAlign w:val="center"/>
          </w:tcPr>
          <w:p w14:paraId="16F85F1E" w14:textId="77777777" w:rsidR="009864DB" w:rsidRPr="004D46AC" w:rsidRDefault="009864DB" w:rsidP="009864DB">
            <w:pPr>
              <w:spacing w:line="240" w:lineRule="auto"/>
              <w:ind w:firstLine="0"/>
            </w:pPr>
            <w:r w:rsidRPr="004D46AC">
              <w:t>350</w:t>
            </w:r>
          </w:p>
        </w:tc>
        <w:tc>
          <w:tcPr>
            <w:tcW w:w="1210" w:type="dxa"/>
            <w:vAlign w:val="center"/>
          </w:tcPr>
          <w:p w14:paraId="5165BC7E" w14:textId="77777777" w:rsidR="009864DB" w:rsidRPr="004D46AC" w:rsidRDefault="009864DB" w:rsidP="009864DB">
            <w:pPr>
              <w:spacing w:line="240" w:lineRule="auto"/>
              <w:ind w:firstLine="0"/>
            </w:pPr>
            <w:r w:rsidRPr="004D46AC">
              <w:t>unclear</w:t>
            </w:r>
          </w:p>
        </w:tc>
        <w:tc>
          <w:tcPr>
            <w:tcW w:w="1155" w:type="dxa"/>
            <w:vAlign w:val="center"/>
          </w:tcPr>
          <w:p w14:paraId="46FD0943" w14:textId="77777777" w:rsidR="009864DB" w:rsidRPr="004D46AC" w:rsidRDefault="009864DB" w:rsidP="009864DB">
            <w:pPr>
              <w:spacing w:line="240" w:lineRule="auto"/>
              <w:ind w:firstLine="0"/>
            </w:pPr>
            <w:r w:rsidRPr="004D46AC">
              <w:t>1</w:t>
            </w:r>
          </w:p>
        </w:tc>
        <w:tc>
          <w:tcPr>
            <w:tcW w:w="1150" w:type="dxa"/>
          </w:tcPr>
          <w:p w14:paraId="745920DC" w14:textId="77777777" w:rsidR="009864DB" w:rsidRPr="004D46AC" w:rsidRDefault="009864DB" w:rsidP="009864DB">
            <w:pPr>
              <w:spacing w:line="240" w:lineRule="auto"/>
              <w:ind w:firstLine="0"/>
            </w:pPr>
            <w:r w:rsidRPr="004D46AC">
              <w:t>0</w:t>
            </w:r>
          </w:p>
        </w:tc>
        <w:tc>
          <w:tcPr>
            <w:tcW w:w="1756" w:type="dxa"/>
            <w:vAlign w:val="center"/>
          </w:tcPr>
          <w:p w14:paraId="1A4E89BE" w14:textId="77777777" w:rsidR="009864DB" w:rsidRPr="004D46AC" w:rsidRDefault="009864DB" w:rsidP="009864DB">
            <w:pPr>
              <w:spacing w:line="240" w:lineRule="auto"/>
              <w:ind w:firstLine="0"/>
            </w:pPr>
            <w:r w:rsidRPr="004D46AC">
              <w:t>grandiosity</w:t>
            </w:r>
          </w:p>
        </w:tc>
        <w:tc>
          <w:tcPr>
            <w:tcW w:w="1152" w:type="dxa"/>
            <w:vAlign w:val="center"/>
          </w:tcPr>
          <w:p w14:paraId="5206EE34" w14:textId="77777777" w:rsidR="009864DB" w:rsidRPr="004D46AC" w:rsidRDefault="009864DB" w:rsidP="009864DB">
            <w:pPr>
              <w:spacing w:line="240" w:lineRule="auto"/>
              <w:ind w:firstLine="0"/>
            </w:pPr>
            <w:r w:rsidRPr="004D46AC">
              <w:t>156</w:t>
            </w:r>
          </w:p>
        </w:tc>
      </w:tr>
      <w:tr w:rsidR="009864DB" w:rsidRPr="004D46AC" w14:paraId="5173CAF0" w14:textId="77777777" w:rsidTr="00B518F1">
        <w:trPr>
          <w:trHeight w:val="254"/>
        </w:trPr>
        <w:tc>
          <w:tcPr>
            <w:tcW w:w="1440" w:type="dxa"/>
          </w:tcPr>
          <w:p w14:paraId="17F9773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AuthorYear="1"&gt;&lt;Author&gt;Swann&lt;/Author&gt;&lt;Year&gt;1997&lt;/Year&gt;&lt;RecNum&gt;49&lt;/RecNum&gt;&lt;DisplayText&gt;Swann et al. (1997)&lt;/DisplayText&gt;&lt;record&gt;&lt;rec-number&gt;49&lt;/rec-number&gt;&lt;foreign-keys&gt;&lt;key app="EN" db-id="aet009sstawa0hewvt3xwf5atffdw2dt02sw" timestamp="1665048706"&gt;49&lt;/key&gt;&lt;/foreign-keys&gt;&lt;ref-type name="Journal Article"&gt;17&lt;/ref-type&gt;&lt;contributors&gt;&lt;authors&gt;&lt;author&gt;Swann, A. C.&lt;/author&gt;&lt;author&gt;Bowden, C. L.&lt;/author&gt;&lt;author&gt;Morris, D.&lt;/author&gt;&lt;author&gt;Calabrese, J. R.&lt;/author&gt;&lt;author&gt;Petty, F.&lt;/author&gt;&lt;author&gt;Small, J.&lt;/author&gt;&lt;author&gt;Dilsaver, S. C.&lt;/author&gt;&lt;author&gt;Davis, J. M.&lt;/author&gt;&lt;/authors&gt;&lt;/contributors&gt;&lt;auth-address&gt;Department of Psychiatry, University of Texas Medical School at Houston, USA.&lt;/auth-address&gt;&lt;titles&gt;&lt;title&gt;Depression during mania. Treatment response to lithium or divalproex&lt;/title&gt;&lt;secondary-title&gt;Arch Gen Psychiatry&lt;/secondary-title&gt;&lt;/titles&gt;&lt;periodical&gt;&lt;full-title&gt;Arch Gen Psychiatry&lt;/full-title&gt;&lt;/periodical&gt;&lt;pages&gt;37-42&lt;/pages&gt;&lt;volume&gt;54&lt;/volume&gt;&lt;number&gt;1&lt;/number&gt;&lt;keywords&gt;&lt;keyword&gt;Adult&lt;/keyword&gt;&lt;keyword&gt;Bipolar Disorder/diagnosis/*drug therapy/psychology&lt;/keyword&gt;&lt;keyword&gt;Double-Blind Method&lt;/keyword&gt;&lt;keyword&gt;Female&lt;/keyword&gt;&lt;keyword&gt;Humans&lt;/keyword&gt;&lt;keyword&gt;Lithium/*therapeutic use&lt;/keyword&gt;&lt;keyword&gt;Male&lt;/keyword&gt;&lt;keyword&gt;Patient Dropouts&lt;/keyword&gt;&lt;keyword&gt;Placebos&lt;/keyword&gt;&lt;keyword&gt;Psychiatric Status Rating Scales&lt;/keyword&gt;&lt;keyword&gt;Severity of Illness Index&lt;/keyword&gt;&lt;keyword&gt;Treatment Outcome&lt;/keyword&gt;&lt;keyword&gt;Valproic Acid/*therapeutic use&lt;/keyword&gt;&lt;/keywords&gt;&lt;dates&gt;&lt;year&gt;1997&lt;/year&gt;&lt;pub-dates&gt;&lt;date&gt;Jan&lt;/date&gt;&lt;/pub-dates&gt;&lt;/dates&gt;&lt;isbn&gt;0003-990X (Print)&amp;#xD;0003-990X (Linking)&lt;/isbn&gt;&lt;accession-num&gt;9006398&lt;/accession-num&gt;&lt;urls&gt;&lt;related-urls&gt;&lt;url&gt;https://www.ncbi.nlm.nih.gov/pubmed/9006398&lt;/url&gt;&lt;/related-urls&gt;&lt;/urls&gt;&lt;electronic-resource-num&gt;10.1001/archpsyc.1997.01830130041008&lt;/electronic-resource-num&gt;&lt;remote-database-name&gt;Medline&lt;/remote-database-name&gt;&lt;remote-database-provider&gt;NLM&lt;/remote-database-provider&gt;&lt;language&gt;eng&lt;/language&gt;&lt;/record&gt;&lt;/Cite&gt;&lt;/EndNote&gt;</w:instrText>
            </w:r>
            <w:r w:rsidRPr="004D46AC">
              <w:fldChar w:fldCharType="separate"/>
            </w:r>
            <w:r w:rsidRPr="004D46AC">
              <w:t>Swann et al. (1997)</w:t>
            </w:r>
            <w:r w:rsidRPr="004D46AC">
              <w:fldChar w:fldCharType="end"/>
            </w:r>
          </w:p>
        </w:tc>
        <w:tc>
          <w:tcPr>
            <w:tcW w:w="1189" w:type="dxa"/>
            <w:vAlign w:val="center"/>
          </w:tcPr>
          <w:p w14:paraId="585E2A41" w14:textId="77777777" w:rsidR="009864DB" w:rsidRPr="004D46AC" w:rsidRDefault="009864DB" w:rsidP="009864DB">
            <w:pPr>
              <w:spacing w:line="240" w:lineRule="auto"/>
              <w:ind w:firstLine="0"/>
            </w:pPr>
            <w:r w:rsidRPr="004D46AC">
              <w:t>4</w:t>
            </w:r>
          </w:p>
        </w:tc>
        <w:tc>
          <w:tcPr>
            <w:tcW w:w="1186" w:type="dxa"/>
            <w:vAlign w:val="center"/>
          </w:tcPr>
          <w:p w14:paraId="2F87D3D6" w14:textId="77777777" w:rsidR="009864DB" w:rsidRPr="004D46AC" w:rsidRDefault="009864DB" w:rsidP="009864DB">
            <w:pPr>
              <w:spacing w:line="240" w:lineRule="auto"/>
              <w:ind w:firstLine="0"/>
            </w:pPr>
            <w:r w:rsidRPr="004D46AC">
              <w:t>39</w:t>
            </w:r>
          </w:p>
        </w:tc>
        <w:tc>
          <w:tcPr>
            <w:tcW w:w="1235" w:type="dxa"/>
            <w:vAlign w:val="center"/>
          </w:tcPr>
          <w:p w14:paraId="08D67284" w14:textId="77777777" w:rsidR="009864DB" w:rsidRPr="004D46AC" w:rsidRDefault="009864DB" w:rsidP="009864DB">
            <w:pPr>
              <w:spacing w:line="240" w:lineRule="auto"/>
              <w:ind w:firstLine="0"/>
            </w:pPr>
            <w:r w:rsidRPr="004D46AC">
              <w:t>DSM3</w:t>
            </w:r>
          </w:p>
        </w:tc>
        <w:tc>
          <w:tcPr>
            <w:tcW w:w="1524" w:type="dxa"/>
            <w:vAlign w:val="center"/>
          </w:tcPr>
          <w:p w14:paraId="25F3E727" w14:textId="77777777" w:rsidR="009864DB" w:rsidRPr="004D46AC" w:rsidRDefault="009864DB" w:rsidP="009864DB">
            <w:pPr>
              <w:spacing w:line="240" w:lineRule="auto"/>
              <w:ind w:firstLine="0"/>
            </w:pPr>
            <w:r w:rsidRPr="004D46AC">
              <w:t>SADS</w:t>
            </w:r>
          </w:p>
        </w:tc>
        <w:tc>
          <w:tcPr>
            <w:tcW w:w="1177" w:type="dxa"/>
            <w:vAlign w:val="center"/>
          </w:tcPr>
          <w:p w14:paraId="18F79BA9" w14:textId="77777777" w:rsidR="009864DB" w:rsidRPr="004D46AC" w:rsidRDefault="009864DB" w:rsidP="009864DB">
            <w:pPr>
              <w:spacing w:line="240" w:lineRule="auto"/>
              <w:ind w:firstLine="0"/>
            </w:pPr>
            <w:r w:rsidRPr="004D46AC">
              <w:t>178</w:t>
            </w:r>
          </w:p>
        </w:tc>
        <w:tc>
          <w:tcPr>
            <w:tcW w:w="1210" w:type="dxa"/>
            <w:vAlign w:val="center"/>
          </w:tcPr>
          <w:p w14:paraId="6E1B69B9" w14:textId="77777777" w:rsidR="009864DB" w:rsidRPr="004D46AC" w:rsidRDefault="009864DB" w:rsidP="009864DB">
            <w:pPr>
              <w:spacing w:line="240" w:lineRule="auto"/>
              <w:ind w:firstLine="0"/>
            </w:pPr>
            <w:r w:rsidRPr="004D46AC">
              <w:t>3</w:t>
            </w:r>
          </w:p>
        </w:tc>
        <w:tc>
          <w:tcPr>
            <w:tcW w:w="1155" w:type="dxa"/>
            <w:vAlign w:val="center"/>
          </w:tcPr>
          <w:p w14:paraId="2CB3DB6A" w14:textId="77777777" w:rsidR="009864DB" w:rsidRPr="004D46AC" w:rsidRDefault="009864DB" w:rsidP="009864DB">
            <w:pPr>
              <w:spacing w:line="240" w:lineRule="auto"/>
              <w:ind w:firstLine="0"/>
            </w:pPr>
            <w:r w:rsidRPr="004D46AC">
              <w:t>2</w:t>
            </w:r>
          </w:p>
        </w:tc>
        <w:tc>
          <w:tcPr>
            <w:tcW w:w="1150" w:type="dxa"/>
          </w:tcPr>
          <w:p w14:paraId="0AF53911" w14:textId="77777777" w:rsidR="009864DB" w:rsidRPr="004D46AC" w:rsidRDefault="009864DB" w:rsidP="009864DB">
            <w:pPr>
              <w:spacing w:line="240" w:lineRule="auto"/>
              <w:ind w:firstLine="0"/>
            </w:pPr>
            <w:r w:rsidRPr="004D46AC">
              <w:t>0</w:t>
            </w:r>
          </w:p>
        </w:tc>
        <w:tc>
          <w:tcPr>
            <w:tcW w:w="1756" w:type="dxa"/>
            <w:vAlign w:val="center"/>
          </w:tcPr>
          <w:p w14:paraId="7C9B068E" w14:textId="77777777" w:rsidR="009864DB" w:rsidRPr="004D46AC" w:rsidRDefault="009864DB" w:rsidP="009864DB">
            <w:pPr>
              <w:spacing w:line="240" w:lineRule="auto"/>
              <w:ind w:firstLine="0"/>
            </w:pPr>
            <w:r w:rsidRPr="004D46AC">
              <w:t>any</w:t>
            </w:r>
          </w:p>
        </w:tc>
        <w:tc>
          <w:tcPr>
            <w:tcW w:w="1152" w:type="dxa"/>
            <w:vAlign w:val="center"/>
          </w:tcPr>
          <w:p w14:paraId="62577D6E" w14:textId="77777777" w:rsidR="009864DB" w:rsidRPr="004D46AC" w:rsidRDefault="009864DB" w:rsidP="009864DB">
            <w:pPr>
              <w:spacing w:line="240" w:lineRule="auto"/>
              <w:ind w:firstLine="0"/>
            </w:pPr>
            <w:r w:rsidRPr="004D46AC">
              <w:t>42</w:t>
            </w:r>
          </w:p>
        </w:tc>
      </w:tr>
      <w:tr w:rsidR="009864DB" w:rsidRPr="004D46AC" w14:paraId="3C6D7826" w14:textId="77777777" w:rsidTr="00B518F1">
        <w:trPr>
          <w:trHeight w:val="254"/>
        </w:trPr>
        <w:tc>
          <w:tcPr>
            <w:tcW w:w="1440" w:type="dxa"/>
          </w:tcPr>
          <w:p w14:paraId="623D3B31"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AuthorYear="1"&gt;&lt;Author&gt;Black&lt;/Author&gt;&lt;Year&gt;1989&lt;/Year&gt;&lt;RecNum&gt;230&lt;/RecNum&gt;&lt;DisplayText&gt;Black and Nasrallah (1989)&lt;/DisplayText&gt;&lt;record&gt;&lt;rec-number&gt;230&lt;/rec-number&gt;&lt;foreign-keys&gt;&lt;key app="EN" db-id="aet009sstawa0hewvt3xwf5atffdw2dt02sw" timestamp="1666176914"&gt;230&lt;/key&gt;&lt;/foreign-keys&gt;&lt;ref-type name="Journal Article"&gt;17&lt;/ref-type&gt;&lt;contributors&gt;&lt;authors&gt;&lt;author&gt;Black, D. W.&lt;/author&gt;&lt;author&gt;Nasrallah, A.&lt;/author&gt;&lt;/authors&gt;&lt;/contributors&gt;&lt;auth-address&gt;Department of Psychiatry, University of Iowa College of Medicine, Iowa City.&lt;/auth-address&gt;&lt;titles&gt;&lt;title&gt;Hallucinations and delusions in 1,715 patients with unipolar and bipolar affective disorders&lt;/title&gt;&lt;secondary-title&gt;Psychopathology&lt;/secondary-title&gt;&lt;/titles&gt;&lt;periodical&gt;&lt;full-title&gt;Psychopathology&lt;/full-title&gt;&lt;/periodical&gt;&lt;pages&gt;28-34&lt;/pages&gt;&lt;volume&gt;22&lt;/volume&gt;&lt;number&gt;1&lt;/number&gt;&lt;keywords&gt;&lt;keyword&gt;Bipolar Disorder/*complications&lt;/keyword&gt;&lt;keyword&gt;Delusions/*complications&lt;/keyword&gt;&lt;keyword&gt;Depressive Disorder/*complications&lt;/keyword&gt;&lt;keyword&gt;Hallucinations/*complications&lt;/keyword&gt;&lt;keyword&gt;Humans&lt;/keyword&gt;&lt;keyword&gt;Retrospective Studies&lt;/keyword&gt;&lt;/keywords&gt;&lt;dates&gt;&lt;year&gt;1989&lt;/year&gt;&lt;/dates&gt;&lt;isbn&gt;0254-4962 (Print)&amp;#xD;0254-4962 (Linking)&lt;/isbn&gt;&lt;accession-num&gt;2657835&lt;/accession-num&gt;&lt;urls&gt;&lt;related-urls&gt;&lt;url&gt;https://www.ncbi.nlm.nih.gov/pubmed/2657835&lt;/url&gt;&lt;/related-urls&gt;&lt;/urls&gt;&lt;electronic-resource-num&gt;10.1159/000284576&lt;/electronic-resource-num&gt;&lt;remote-database-name&gt;Medline&lt;/remote-database-name&gt;&lt;remote-database-provider&gt;NLM&lt;/remote-database-provider&gt;&lt;language&gt;eng&lt;/language&gt;&lt;/record&gt;&lt;/Cite&gt;&lt;/EndNote&gt;</w:instrText>
            </w:r>
            <w:r w:rsidRPr="004D46AC">
              <w:fldChar w:fldCharType="separate"/>
            </w:r>
            <w:r w:rsidRPr="004D46AC">
              <w:t>Black and Nasrallah (1989)</w:t>
            </w:r>
            <w:r w:rsidRPr="004D46AC">
              <w:fldChar w:fldCharType="end"/>
            </w:r>
          </w:p>
        </w:tc>
        <w:tc>
          <w:tcPr>
            <w:tcW w:w="1189" w:type="dxa"/>
            <w:vAlign w:val="center"/>
          </w:tcPr>
          <w:p w14:paraId="6214B71E" w14:textId="77777777" w:rsidR="009864DB" w:rsidRPr="004D46AC" w:rsidRDefault="009864DB" w:rsidP="009864DB">
            <w:pPr>
              <w:spacing w:line="240" w:lineRule="auto"/>
              <w:ind w:firstLine="0"/>
            </w:pPr>
            <w:r w:rsidRPr="004D46AC">
              <w:t>5</w:t>
            </w:r>
          </w:p>
        </w:tc>
        <w:tc>
          <w:tcPr>
            <w:tcW w:w="1186" w:type="dxa"/>
            <w:vAlign w:val="center"/>
          </w:tcPr>
          <w:p w14:paraId="4FC1DE74" w14:textId="77777777" w:rsidR="009864DB" w:rsidRPr="004D46AC" w:rsidRDefault="009864DB" w:rsidP="009864DB">
            <w:pPr>
              <w:spacing w:line="240" w:lineRule="auto"/>
              <w:ind w:firstLine="0"/>
            </w:pPr>
            <w:r w:rsidRPr="004D46AC">
              <w:t>NA</w:t>
            </w:r>
          </w:p>
        </w:tc>
        <w:tc>
          <w:tcPr>
            <w:tcW w:w="1235" w:type="dxa"/>
            <w:vAlign w:val="center"/>
          </w:tcPr>
          <w:p w14:paraId="5B7FD8D6" w14:textId="77777777" w:rsidR="009864DB" w:rsidRPr="004D46AC" w:rsidRDefault="009864DB" w:rsidP="009864DB">
            <w:pPr>
              <w:spacing w:line="240" w:lineRule="auto"/>
              <w:ind w:firstLine="0"/>
            </w:pPr>
            <w:r w:rsidRPr="004D46AC">
              <w:t>DSM3</w:t>
            </w:r>
          </w:p>
        </w:tc>
        <w:tc>
          <w:tcPr>
            <w:tcW w:w="1524" w:type="dxa"/>
            <w:vAlign w:val="center"/>
          </w:tcPr>
          <w:p w14:paraId="52AE7BA2" w14:textId="77777777" w:rsidR="009864DB" w:rsidRPr="004D46AC" w:rsidRDefault="009864DB" w:rsidP="009864DB">
            <w:pPr>
              <w:spacing w:line="240" w:lineRule="auto"/>
              <w:ind w:firstLine="0"/>
            </w:pPr>
            <w:r w:rsidRPr="004D46AC">
              <w:t>unclear</w:t>
            </w:r>
          </w:p>
        </w:tc>
        <w:tc>
          <w:tcPr>
            <w:tcW w:w="1177" w:type="dxa"/>
            <w:vAlign w:val="center"/>
          </w:tcPr>
          <w:p w14:paraId="0AC9D34A" w14:textId="77777777" w:rsidR="009864DB" w:rsidRPr="004D46AC" w:rsidRDefault="009864DB" w:rsidP="009864DB">
            <w:pPr>
              <w:spacing w:line="240" w:lineRule="auto"/>
              <w:ind w:firstLine="0"/>
            </w:pPr>
            <w:r w:rsidRPr="004D46AC">
              <w:t>628</w:t>
            </w:r>
          </w:p>
        </w:tc>
        <w:tc>
          <w:tcPr>
            <w:tcW w:w="1210" w:type="dxa"/>
            <w:vAlign w:val="center"/>
          </w:tcPr>
          <w:p w14:paraId="7BBB84C3" w14:textId="77777777" w:rsidR="009864DB" w:rsidRPr="004D46AC" w:rsidRDefault="009864DB" w:rsidP="009864DB">
            <w:pPr>
              <w:spacing w:line="240" w:lineRule="auto"/>
              <w:ind w:firstLine="0"/>
            </w:pPr>
            <w:r w:rsidRPr="004D46AC">
              <w:t>3</w:t>
            </w:r>
          </w:p>
        </w:tc>
        <w:tc>
          <w:tcPr>
            <w:tcW w:w="1155" w:type="dxa"/>
            <w:vAlign w:val="center"/>
          </w:tcPr>
          <w:p w14:paraId="63E12699" w14:textId="77777777" w:rsidR="009864DB" w:rsidRPr="004D46AC" w:rsidRDefault="009864DB" w:rsidP="009864DB">
            <w:pPr>
              <w:spacing w:line="240" w:lineRule="auto"/>
              <w:ind w:firstLine="0"/>
            </w:pPr>
            <w:r w:rsidRPr="004D46AC">
              <w:t>1</w:t>
            </w:r>
          </w:p>
        </w:tc>
        <w:tc>
          <w:tcPr>
            <w:tcW w:w="1150" w:type="dxa"/>
          </w:tcPr>
          <w:p w14:paraId="4F929BDD" w14:textId="77777777" w:rsidR="009864DB" w:rsidRPr="004D46AC" w:rsidRDefault="009864DB" w:rsidP="009864DB">
            <w:pPr>
              <w:spacing w:line="240" w:lineRule="auto"/>
              <w:ind w:firstLine="0"/>
            </w:pPr>
            <w:r w:rsidRPr="004D46AC">
              <w:t>0</w:t>
            </w:r>
          </w:p>
        </w:tc>
        <w:tc>
          <w:tcPr>
            <w:tcW w:w="1756" w:type="dxa"/>
            <w:vAlign w:val="center"/>
          </w:tcPr>
          <w:p w14:paraId="467256C9" w14:textId="77777777" w:rsidR="009864DB" w:rsidRPr="004D46AC" w:rsidRDefault="009864DB" w:rsidP="009864DB">
            <w:pPr>
              <w:spacing w:line="240" w:lineRule="auto"/>
              <w:ind w:firstLine="0"/>
            </w:pPr>
            <w:r w:rsidRPr="004D46AC">
              <w:t>any</w:t>
            </w:r>
          </w:p>
        </w:tc>
        <w:tc>
          <w:tcPr>
            <w:tcW w:w="1152" w:type="dxa"/>
            <w:vAlign w:val="center"/>
          </w:tcPr>
          <w:p w14:paraId="2B782D45" w14:textId="77777777" w:rsidR="009864DB" w:rsidRPr="004D46AC" w:rsidRDefault="009864DB" w:rsidP="009864DB">
            <w:pPr>
              <w:spacing w:line="240" w:lineRule="auto"/>
              <w:ind w:firstLine="0"/>
            </w:pPr>
            <w:r w:rsidRPr="004D46AC">
              <w:t>227</w:t>
            </w:r>
          </w:p>
        </w:tc>
      </w:tr>
      <w:tr w:rsidR="009864DB" w:rsidRPr="004D46AC" w14:paraId="562ABE7B" w14:textId="77777777" w:rsidTr="00B518F1">
        <w:trPr>
          <w:trHeight w:val="262"/>
        </w:trPr>
        <w:tc>
          <w:tcPr>
            <w:tcW w:w="1440" w:type="dxa"/>
          </w:tcPr>
          <w:p w14:paraId="4EA7199A" w14:textId="77777777" w:rsidR="009864DB" w:rsidRPr="004D46AC" w:rsidRDefault="009864DB" w:rsidP="009864DB">
            <w:pPr>
              <w:spacing w:line="240" w:lineRule="auto"/>
              <w:ind w:firstLine="0"/>
            </w:pPr>
            <w:r w:rsidRPr="004D46AC">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instrText xml:space="preserve"> ADDIN EN.CITE </w:instrText>
            </w:r>
            <w:r w:rsidRPr="004D46AC">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Mancuso et al. (2015)</w:t>
            </w:r>
            <w:r w:rsidRPr="004D46AC">
              <w:fldChar w:fldCharType="end"/>
            </w:r>
          </w:p>
        </w:tc>
        <w:tc>
          <w:tcPr>
            <w:tcW w:w="1189" w:type="dxa"/>
            <w:vAlign w:val="center"/>
          </w:tcPr>
          <w:p w14:paraId="7B8E13F1" w14:textId="77777777" w:rsidR="009864DB" w:rsidRPr="004D46AC" w:rsidRDefault="009864DB" w:rsidP="009864DB">
            <w:pPr>
              <w:spacing w:line="240" w:lineRule="auto"/>
              <w:ind w:firstLine="0"/>
            </w:pPr>
            <w:r w:rsidRPr="004D46AC">
              <w:t>7</w:t>
            </w:r>
          </w:p>
        </w:tc>
        <w:tc>
          <w:tcPr>
            <w:tcW w:w="1186" w:type="dxa"/>
            <w:vAlign w:val="center"/>
          </w:tcPr>
          <w:p w14:paraId="149FED14" w14:textId="77777777" w:rsidR="009864DB" w:rsidRPr="004D46AC" w:rsidRDefault="009864DB" w:rsidP="009864DB">
            <w:pPr>
              <w:spacing w:line="240" w:lineRule="auto"/>
              <w:ind w:firstLine="0"/>
            </w:pPr>
            <w:r w:rsidRPr="004D46AC">
              <w:t>40.75</w:t>
            </w:r>
          </w:p>
        </w:tc>
        <w:tc>
          <w:tcPr>
            <w:tcW w:w="1235" w:type="dxa"/>
            <w:vAlign w:val="center"/>
          </w:tcPr>
          <w:p w14:paraId="5656DABA" w14:textId="77777777" w:rsidR="009864DB" w:rsidRPr="004D46AC" w:rsidRDefault="009864DB" w:rsidP="009864DB">
            <w:pPr>
              <w:spacing w:line="240" w:lineRule="auto"/>
              <w:ind w:firstLine="0"/>
            </w:pPr>
            <w:r w:rsidRPr="004D46AC">
              <w:t>ICD10</w:t>
            </w:r>
          </w:p>
        </w:tc>
        <w:tc>
          <w:tcPr>
            <w:tcW w:w="1524" w:type="dxa"/>
            <w:vAlign w:val="center"/>
          </w:tcPr>
          <w:p w14:paraId="5D11EFD4" w14:textId="77777777" w:rsidR="009864DB" w:rsidRPr="004D46AC" w:rsidRDefault="009864DB" w:rsidP="009864DB">
            <w:pPr>
              <w:spacing w:line="240" w:lineRule="auto"/>
              <w:ind w:firstLine="0"/>
            </w:pPr>
            <w:r w:rsidRPr="004D46AC">
              <w:t>DIP</w:t>
            </w:r>
          </w:p>
        </w:tc>
        <w:tc>
          <w:tcPr>
            <w:tcW w:w="1177" w:type="dxa"/>
            <w:vAlign w:val="center"/>
          </w:tcPr>
          <w:p w14:paraId="142A8530" w14:textId="77777777" w:rsidR="009864DB" w:rsidRPr="004D46AC" w:rsidRDefault="009864DB" w:rsidP="009864DB">
            <w:pPr>
              <w:spacing w:line="240" w:lineRule="auto"/>
              <w:ind w:firstLine="0"/>
            </w:pPr>
            <w:r w:rsidRPr="004D46AC">
              <w:t>319</w:t>
            </w:r>
          </w:p>
        </w:tc>
        <w:tc>
          <w:tcPr>
            <w:tcW w:w="1210" w:type="dxa"/>
            <w:vAlign w:val="center"/>
          </w:tcPr>
          <w:p w14:paraId="3E444EDD" w14:textId="77777777" w:rsidR="009864DB" w:rsidRPr="004D46AC" w:rsidRDefault="009864DB" w:rsidP="009864DB">
            <w:pPr>
              <w:spacing w:line="240" w:lineRule="auto"/>
              <w:ind w:firstLine="0"/>
            </w:pPr>
            <w:r w:rsidRPr="004D46AC">
              <w:t>unclear</w:t>
            </w:r>
          </w:p>
        </w:tc>
        <w:tc>
          <w:tcPr>
            <w:tcW w:w="1155" w:type="dxa"/>
            <w:vAlign w:val="center"/>
          </w:tcPr>
          <w:p w14:paraId="5D92589D" w14:textId="77777777" w:rsidR="009864DB" w:rsidRPr="004D46AC" w:rsidRDefault="009864DB" w:rsidP="009864DB">
            <w:pPr>
              <w:spacing w:line="240" w:lineRule="auto"/>
              <w:ind w:firstLine="0"/>
            </w:pPr>
            <w:r w:rsidRPr="004D46AC">
              <w:t>3</w:t>
            </w:r>
          </w:p>
        </w:tc>
        <w:tc>
          <w:tcPr>
            <w:tcW w:w="1150" w:type="dxa"/>
          </w:tcPr>
          <w:p w14:paraId="525E6131" w14:textId="77777777" w:rsidR="009864DB" w:rsidRPr="004D46AC" w:rsidRDefault="009864DB" w:rsidP="009864DB">
            <w:pPr>
              <w:spacing w:line="240" w:lineRule="auto"/>
              <w:ind w:firstLine="0"/>
            </w:pPr>
            <w:r w:rsidRPr="004D46AC">
              <w:t>0</w:t>
            </w:r>
          </w:p>
        </w:tc>
        <w:tc>
          <w:tcPr>
            <w:tcW w:w="1756" w:type="dxa"/>
            <w:vAlign w:val="center"/>
          </w:tcPr>
          <w:p w14:paraId="09C36CB2" w14:textId="77777777" w:rsidR="009864DB" w:rsidRPr="004D46AC" w:rsidRDefault="009864DB" w:rsidP="009864DB">
            <w:pPr>
              <w:spacing w:line="240" w:lineRule="auto"/>
              <w:ind w:firstLine="0"/>
            </w:pPr>
            <w:r w:rsidRPr="004D46AC">
              <w:t>any</w:t>
            </w:r>
          </w:p>
        </w:tc>
        <w:tc>
          <w:tcPr>
            <w:tcW w:w="1152" w:type="dxa"/>
            <w:vAlign w:val="center"/>
          </w:tcPr>
          <w:p w14:paraId="292D9E9D" w14:textId="77777777" w:rsidR="009864DB" w:rsidRPr="004D46AC" w:rsidRDefault="009864DB" w:rsidP="009864DB">
            <w:pPr>
              <w:spacing w:line="240" w:lineRule="auto"/>
              <w:ind w:firstLine="0"/>
            </w:pPr>
            <w:r w:rsidRPr="004D46AC">
              <w:t>317</w:t>
            </w:r>
          </w:p>
        </w:tc>
      </w:tr>
      <w:tr w:rsidR="009864DB" w:rsidRPr="004D46AC" w14:paraId="0C039C64" w14:textId="77777777" w:rsidTr="00B518F1">
        <w:trPr>
          <w:trHeight w:val="254"/>
        </w:trPr>
        <w:tc>
          <w:tcPr>
            <w:tcW w:w="1440" w:type="dxa"/>
          </w:tcPr>
          <w:p w14:paraId="40DA5F88"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AuthorYear="1"&gt;&lt;Author&gt;Benazzi&lt;/Author&gt;&lt;Year&gt;1999&lt;/Year&gt;&lt;RecNum&gt;235&lt;/RecNum&gt;&lt;DisplayText&gt;Benazzi (1999)&lt;/DisplayText&gt;&lt;record&gt;&lt;rec-number&gt;235&lt;/rec-number&gt;&lt;foreign-keys&gt;&lt;key app="EN" db-id="aet009sstawa0hewvt3xwf5atffdw2dt02sw" timestamp="1666185083"&gt;235&lt;/key&gt;&lt;/foreign-keys&gt;&lt;ref-type name="Journal Article"&gt;17&lt;/ref-type&gt;&lt;contributors&gt;&lt;authors&gt;&lt;author&gt;Benazzi, F.&lt;/author&gt;&lt;/authors&gt;&lt;/contributors&gt;&lt;auth-address&gt;Department of Psychiatry, Public Hospital Morgagni, Forli, Italy. f.benazzi@fo.nettuno.it&lt;/auth-address&gt;&lt;titles&gt;&lt;title&gt;Bipolar versus unipolar psychotic outpatient depression&lt;/title&gt;&lt;secondary-title&gt;J Affect Disord&lt;/secondary-title&gt;&lt;/titles&gt;&lt;periodical&gt;&lt;full-title&gt;J Affect Disord&lt;/full-title&gt;&lt;/periodical&gt;&lt;pages&gt;63-6&lt;/pages&gt;&lt;volume&gt;55&lt;/volume&gt;&lt;number&gt;1&lt;/number&gt;&lt;keywords&gt;&lt;keyword&gt;Adult&lt;/keyword&gt;&lt;keyword&gt;Affective Disorders, Psychotic/*diagnosis/psychology&lt;/keyword&gt;&lt;keyword&gt;Aged&lt;/keyword&gt;&lt;keyword&gt;Ambulatory Care&lt;/keyword&gt;&lt;keyword&gt;Bipolar Disorder/*diagnosis/psychology&lt;/keyword&gt;&lt;keyword&gt;Chronic Disease&lt;/keyword&gt;&lt;keyword&gt;Depressive Disorder, Major/*diagnosis/psychology&lt;/keyword&gt;&lt;keyword&gt;Diagnosis, Differential&lt;/keyword&gt;&lt;keyword&gt;Female&lt;/keyword&gt;&lt;keyword&gt;Humans&lt;/keyword&gt;&lt;keyword&gt;Male&lt;/keyword&gt;&lt;keyword&gt;Middle Aged&lt;/keyword&gt;&lt;keyword&gt;Psychiatric Status Rating Scales&lt;/keyword&gt;&lt;/keywords&gt;&lt;dates&gt;&lt;year&gt;1999&lt;/year&gt;&lt;pub-dates&gt;&lt;date&gt;Sep&lt;/date&gt;&lt;/pub-dates&gt;&lt;/dates&gt;&lt;isbn&gt;0165-0327 (Print)&amp;#xD;0165-0327 (Linking)&lt;/isbn&gt;&lt;accession-num&gt;10512608&lt;/accession-num&gt;&lt;urls&gt;&lt;related-urls&gt;&lt;url&gt;https://www.ncbi.nlm.nih.gov/pubmed/10512608&lt;/url&gt;&lt;/related-urls&gt;&lt;/urls&gt;&lt;electronic-resource-num&gt;10.1016/s0165-0327(98)00217-1&lt;/electronic-resource-num&gt;&lt;remote-database-name&gt;Medline&lt;/remote-database-name&gt;&lt;remote-database-provider&gt;NLM&lt;/remote-database-provider&gt;&lt;language&gt;eng&lt;/language&gt;&lt;/record&gt;&lt;/Cite&gt;&lt;/EndNote&gt;</w:instrText>
            </w:r>
            <w:r w:rsidRPr="004D46AC">
              <w:fldChar w:fldCharType="separate"/>
            </w:r>
            <w:r w:rsidRPr="004D46AC">
              <w:t>Benazzi (1999)</w:t>
            </w:r>
            <w:r w:rsidRPr="004D46AC">
              <w:fldChar w:fldCharType="end"/>
            </w:r>
          </w:p>
        </w:tc>
        <w:tc>
          <w:tcPr>
            <w:tcW w:w="1189" w:type="dxa"/>
            <w:vAlign w:val="center"/>
          </w:tcPr>
          <w:p w14:paraId="148FBEFF" w14:textId="77777777" w:rsidR="009864DB" w:rsidRPr="004D46AC" w:rsidRDefault="009864DB" w:rsidP="009864DB">
            <w:pPr>
              <w:spacing w:line="240" w:lineRule="auto"/>
              <w:ind w:firstLine="0"/>
            </w:pPr>
            <w:r w:rsidRPr="004D46AC">
              <w:t>7</w:t>
            </w:r>
          </w:p>
        </w:tc>
        <w:tc>
          <w:tcPr>
            <w:tcW w:w="1186" w:type="dxa"/>
            <w:vAlign w:val="center"/>
          </w:tcPr>
          <w:p w14:paraId="699F0743" w14:textId="77777777" w:rsidR="009864DB" w:rsidRPr="004D46AC" w:rsidRDefault="009864DB" w:rsidP="009864DB">
            <w:pPr>
              <w:spacing w:line="240" w:lineRule="auto"/>
              <w:ind w:firstLine="0"/>
            </w:pPr>
            <w:r w:rsidRPr="004D46AC">
              <w:t>48</w:t>
            </w:r>
          </w:p>
        </w:tc>
        <w:tc>
          <w:tcPr>
            <w:tcW w:w="1235" w:type="dxa"/>
            <w:vAlign w:val="center"/>
          </w:tcPr>
          <w:p w14:paraId="14E69240" w14:textId="77777777" w:rsidR="009864DB" w:rsidRPr="004D46AC" w:rsidRDefault="009864DB" w:rsidP="009864DB">
            <w:pPr>
              <w:spacing w:line="240" w:lineRule="auto"/>
              <w:ind w:firstLine="0"/>
            </w:pPr>
            <w:r w:rsidRPr="004D46AC">
              <w:t>DSM4</w:t>
            </w:r>
          </w:p>
        </w:tc>
        <w:tc>
          <w:tcPr>
            <w:tcW w:w="1524" w:type="dxa"/>
            <w:vAlign w:val="center"/>
          </w:tcPr>
          <w:p w14:paraId="6C854CDB" w14:textId="77777777" w:rsidR="009864DB" w:rsidRPr="004D46AC" w:rsidRDefault="009864DB" w:rsidP="009864DB">
            <w:pPr>
              <w:spacing w:line="240" w:lineRule="auto"/>
              <w:ind w:firstLine="0"/>
            </w:pPr>
            <w:r w:rsidRPr="004D46AC">
              <w:t>SCID-C</w:t>
            </w:r>
          </w:p>
        </w:tc>
        <w:tc>
          <w:tcPr>
            <w:tcW w:w="1177" w:type="dxa"/>
            <w:vAlign w:val="center"/>
          </w:tcPr>
          <w:p w14:paraId="50E262D2" w14:textId="77777777" w:rsidR="009864DB" w:rsidRPr="004D46AC" w:rsidRDefault="009864DB" w:rsidP="009864DB">
            <w:pPr>
              <w:spacing w:line="240" w:lineRule="auto"/>
              <w:ind w:firstLine="0"/>
            </w:pPr>
            <w:r w:rsidRPr="004D46AC">
              <w:t>30</w:t>
            </w:r>
          </w:p>
        </w:tc>
        <w:tc>
          <w:tcPr>
            <w:tcW w:w="1210" w:type="dxa"/>
            <w:vAlign w:val="center"/>
          </w:tcPr>
          <w:p w14:paraId="17F5F679" w14:textId="77777777" w:rsidR="009864DB" w:rsidRPr="004D46AC" w:rsidRDefault="009864DB" w:rsidP="009864DB">
            <w:pPr>
              <w:spacing w:line="240" w:lineRule="auto"/>
              <w:ind w:firstLine="0"/>
            </w:pPr>
            <w:r w:rsidRPr="004D46AC">
              <w:t>1</w:t>
            </w:r>
          </w:p>
        </w:tc>
        <w:tc>
          <w:tcPr>
            <w:tcW w:w="1155" w:type="dxa"/>
            <w:vAlign w:val="center"/>
          </w:tcPr>
          <w:p w14:paraId="51FD2DD0" w14:textId="77777777" w:rsidR="009864DB" w:rsidRPr="004D46AC" w:rsidRDefault="009864DB" w:rsidP="009864DB">
            <w:pPr>
              <w:spacing w:line="240" w:lineRule="auto"/>
              <w:ind w:firstLine="0"/>
            </w:pPr>
            <w:r w:rsidRPr="004D46AC">
              <w:t>3</w:t>
            </w:r>
          </w:p>
        </w:tc>
        <w:tc>
          <w:tcPr>
            <w:tcW w:w="1150" w:type="dxa"/>
          </w:tcPr>
          <w:p w14:paraId="78D364B1" w14:textId="77777777" w:rsidR="009864DB" w:rsidRPr="004D46AC" w:rsidRDefault="009864DB" w:rsidP="009864DB">
            <w:pPr>
              <w:spacing w:line="240" w:lineRule="auto"/>
              <w:ind w:firstLine="0"/>
            </w:pPr>
            <w:r w:rsidRPr="004D46AC">
              <w:t>0</w:t>
            </w:r>
          </w:p>
        </w:tc>
        <w:tc>
          <w:tcPr>
            <w:tcW w:w="1756" w:type="dxa"/>
            <w:vAlign w:val="center"/>
          </w:tcPr>
          <w:p w14:paraId="60CADC3A" w14:textId="77777777" w:rsidR="009864DB" w:rsidRPr="004D46AC" w:rsidRDefault="009864DB" w:rsidP="009864DB">
            <w:pPr>
              <w:spacing w:line="240" w:lineRule="auto"/>
              <w:ind w:firstLine="0"/>
            </w:pPr>
            <w:r w:rsidRPr="004D46AC">
              <w:t>any</w:t>
            </w:r>
          </w:p>
        </w:tc>
        <w:tc>
          <w:tcPr>
            <w:tcW w:w="1152" w:type="dxa"/>
            <w:vAlign w:val="center"/>
          </w:tcPr>
          <w:p w14:paraId="616F75B5" w14:textId="77777777" w:rsidR="009864DB" w:rsidRPr="004D46AC" w:rsidRDefault="009864DB" w:rsidP="009864DB">
            <w:pPr>
              <w:spacing w:line="240" w:lineRule="auto"/>
              <w:ind w:firstLine="0"/>
            </w:pPr>
            <w:r w:rsidRPr="004D46AC">
              <w:t>29</w:t>
            </w:r>
          </w:p>
        </w:tc>
      </w:tr>
      <w:tr w:rsidR="009864DB" w:rsidRPr="004D46AC" w14:paraId="36B0FEC7" w14:textId="77777777" w:rsidTr="00B518F1">
        <w:trPr>
          <w:trHeight w:val="254"/>
        </w:trPr>
        <w:tc>
          <w:tcPr>
            <w:tcW w:w="1440" w:type="dxa"/>
          </w:tcPr>
          <w:p w14:paraId="01935092" w14:textId="77777777" w:rsidR="009864DB" w:rsidRPr="004D46AC" w:rsidRDefault="009864DB" w:rsidP="009864DB">
            <w:pPr>
              <w:spacing w:line="240" w:lineRule="auto"/>
              <w:ind w:firstLine="0"/>
            </w:pPr>
            <w:r w:rsidRPr="004D46AC">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instrText xml:space="preserve"> ADDIN EN.CITE </w:instrText>
            </w:r>
            <w:r w:rsidRPr="004D46AC">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instrText xml:space="preserve"> ADDIN EN.CITE.DATA </w:instrText>
            </w:r>
            <w:r w:rsidRPr="004D46AC">
              <w:fldChar w:fldCharType="end"/>
            </w:r>
            <w:r w:rsidRPr="004D46AC">
              <w:fldChar w:fldCharType="separate"/>
            </w:r>
            <w:r w:rsidRPr="004D46AC">
              <w:t>Baethge et al. (2005)</w:t>
            </w:r>
            <w:r w:rsidRPr="004D46AC">
              <w:fldChar w:fldCharType="end"/>
            </w:r>
          </w:p>
        </w:tc>
        <w:tc>
          <w:tcPr>
            <w:tcW w:w="1189" w:type="dxa"/>
            <w:vAlign w:val="center"/>
          </w:tcPr>
          <w:p w14:paraId="0B8692E9" w14:textId="77777777" w:rsidR="009864DB" w:rsidRPr="004D46AC" w:rsidRDefault="009864DB" w:rsidP="009864DB">
            <w:pPr>
              <w:spacing w:line="240" w:lineRule="auto"/>
              <w:ind w:firstLine="0"/>
            </w:pPr>
            <w:r w:rsidRPr="004D46AC">
              <w:t>7</w:t>
            </w:r>
          </w:p>
        </w:tc>
        <w:tc>
          <w:tcPr>
            <w:tcW w:w="1186" w:type="dxa"/>
            <w:vAlign w:val="center"/>
          </w:tcPr>
          <w:p w14:paraId="44BEAC05" w14:textId="77777777" w:rsidR="009864DB" w:rsidRPr="004D46AC" w:rsidRDefault="009864DB" w:rsidP="009864DB">
            <w:pPr>
              <w:spacing w:line="240" w:lineRule="auto"/>
              <w:ind w:firstLine="0"/>
            </w:pPr>
            <w:r w:rsidRPr="004D46AC">
              <w:t>NA</w:t>
            </w:r>
          </w:p>
        </w:tc>
        <w:tc>
          <w:tcPr>
            <w:tcW w:w="1235" w:type="dxa"/>
            <w:vAlign w:val="center"/>
          </w:tcPr>
          <w:p w14:paraId="61DA03B5" w14:textId="77777777" w:rsidR="009864DB" w:rsidRPr="004D46AC" w:rsidRDefault="009864DB" w:rsidP="009864DB">
            <w:pPr>
              <w:spacing w:line="240" w:lineRule="auto"/>
              <w:ind w:firstLine="0"/>
            </w:pPr>
            <w:r w:rsidRPr="004D46AC">
              <w:t>ICD</w:t>
            </w:r>
          </w:p>
        </w:tc>
        <w:tc>
          <w:tcPr>
            <w:tcW w:w="1524" w:type="dxa"/>
            <w:vAlign w:val="center"/>
          </w:tcPr>
          <w:p w14:paraId="03CD2EA5" w14:textId="77777777" w:rsidR="009864DB" w:rsidRPr="004D46AC" w:rsidRDefault="009864DB" w:rsidP="009864DB">
            <w:pPr>
              <w:spacing w:line="240" w:lineRule="auto"/>
              <w:ind w:firstLine="0"/>
            </w:pPr>
            <w:r w:rsidRPr="004D46AC">
              <w:t>AMDP</w:t>
            </w:r>
          </w:p>
        </w:tc>
        <w:tc>
          <w:tcPr>
            <w:tcW w:w="1177" w:type="dxa"/>
            <w:vAlign w:val="center"/>
          </w:tcPr>
          <w:p w14:paraId="71831507" w14:textId="77777777" w:rsidR="009864DB" w:rsidRPr="004D46AC" w:rsidRDefault="009864DB" w:rsidP="009864DB">
            <w:pPr>
              <w:spacing w:line="240" w:lineRule="auto"/>
              <w:ind w:firstLine="0"/>
            </w:pPr>
            <w:r w:rsidRPr="004D46AC">
              <w:t>549</w:t>
            </w:r>
          </w:p>
        </w:tc>
        <w:tc>
          <w:tcPr>
            <w:tcW w:w="1210" w:type="dxa"/>
            <w:vAlign w:val="center"/>
          </w:tcPr>
          <w:p w14:paraId="4CCAAA60" w14:textId="77777777" w:rsidR="009864DB" w:rsidRPr="004D46AC" w:rsidRDefault="009864DB" w:rsidP="009864DB">
            <w:pPr>
              <w:spacing w:line="240" w:lineRule="auto"/>
              <w:ind w:firstLine="0"/>
            </w:pPr>
            <w:r w:rsidRPr="004D46AC">
              <w:t>3</w:t>
            </w:r>
          </w:p>
        </w:tc>
        <w:tc>
          <w:tcPr>
            <w:tcW w:w="1155" w:type="dxa"/>
            <w:vAlign w:val="center"/>
          </w:tcPr>
          <w:p w14:paraId="15F6F008" w14:textId="77777777" w:rsidR="009864DB" w:rsidRPr="004D46AC" w:rsidRDefault="009864DB" w:rsidP="009864DB">
            <w:pPr>
              <w:spacing w:line="240" w:lineRule="auto"/>
              <w:ind w:firstLine="0"/>
            </w:pPr>
            <w:r w:rsidRPr="004D46AC">
              <w:t>1</w:t>
            </w:r>
          </w:p>
        </w:tc>
        <w:tc>
          <w:tcPr>
            <w:tcW w:w="1150" w:type="dxa"/>
          </w:tcPr>
          <w:p w14:paraId="3D631D80" w14:textId="77777777" w:rsidR="009864DB" w:rsidRPr="004D46AC" w:rsidRDefault="009864DB" w:rsidP="009864DB">
            <w:pPr>
              <w:spacing w:line="240" w:lineRule="auto"/>
              <w:ind w:firstLine="0"/>
            </w:pPr>
            <w:r w:rsidRPr="004D46AC">
              <w:t>0</w:t>
            </w:r>
          </w:p>
        </w:tc>
        <w:tc>
          <w:tcPr>
            <w:tcW w:w="1756" w:type="dxa"/>
            <w:vAlign w:val="center"/>
          </w:tcPr>
          <w:p w14:paraId="1E6F92FD" w14:textId="77777777" w:rsidR="009864DB" w:rsidRPr="004D46AC" w:rsidRDefault="009864DB" w:rsidP="009864DB">
            <w:pPr>
              <w:spacing w:line="240" w:lineRule="auto"/>
              <w:ind w:firstLine="0"/>
            </w:pPr>
            <w:r w:rsidRPr="004D46AC">
              <w:t>any</w:t>
            </w:r>
          </w:p>
        </w:tc>
        <w:tc>
          <w:tcPr>
            <w:tcW w:w="1152" w:type="dxa"/>
            <w:vAlign w:val="center"/>
          </w:tcPr>
          <w:p w14:paraId="3966C56F" w14:textId="77777777" w:rsidR="009864DB" w:rsidRPr="004D46AC" w:rsidRDefault="009864DB" w:rsidP="009864DB">
            <w:pPr>
              <w:spacing w:line="240" w:lineRule="auto"/>
              <w:ind w:firstLine="0"/>
            </w:pPr>
            <w:r w:rsidRPr="004D46AC">
              <w:t>144</w:t>
            </w:r>
          </w:p>
        </w:tc>
      </w:tr>
      <w:tr w:rsidR="009864DB" w:rsidRPr="004D46AC" w14:paraId="3983FD31" w14:textId="77777777" w:rsidTr="00B518F1">
        <w:trPr>
          <w:trHeight w:val="254"/>
        </w:trPr>
        <w:tc>
          <w:tcPr>
            <w:tcW w:w="1440" w:type="dxa"/>
          </w:tcPr>
          <w:p w14:paraId="3F2AEEC3"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AuthorYear="1"&gt;&lt;Author&gt;Verdoux&lt;/Author&gt;&lt;Year&gt;1993&lt;/Year&gt;&lt;RecNum&gt;240&lt;/RecNum&gt;&lt;DisplayText&gt;Verdoux and Bourgeois (1993)&lt;/DisplayText&gt;&lt;record&gt;&lt;rec-number&gt;240&lt;/rec-number&gt;&lt;foreign-keys&gt;&lt;key app="EN" db-id="aet009sstawa0hewvt3xwf5atffdw2dt02sw" timestamp="1666194126"&gt;240&lt;/key&gt;&lt;/foreign-keys&gt;&lt;ref-type name="Journal Article"&gt;17&lt;/ref-type&gt;&lt;contributors&gt;&lt;authors&gt;&lt;author&gt;Verdoux, H.&lt;/author&gt;&lt;author&gt;Bourgeois, M.&lt;/author&gt;&lt;/authors&gt;&lt;/contributors&gt;&lt;auth-address&gt;University of Bordeaux, France.&lt;/auth-address&gt;&lt;titles&gt;&lt;title&gt;Delusional mania: what is a mood-incongruent psychotic feature?&lt;/title&gt;&lt;secondary-title&gt;J Nerv Ment Dis&lt;/secondary-title&gt;&lt;/titles&gt;&lt;periodical&gt;&lt;full-title&gt;J Nerv Ment Dis&lt;/full-title&gt;&lt;/periodical&gt;&lt;pages&gt;517-8&lt;/pages&gt;&lt;volume&gt;181&lt;/volume&gt;&lt;number&gt;8&lt;/number&gt;&lt;keywords&gt;&lt;keyword&gt;Adolescent&lt;/keyword&gt;&lt;keyword&gt;Adult&lt;/keyword&gt;&lt;keyword&gt;Bipolar Disorder/classification/*diagnosis/psychology&lt;/keyword&gt;&lt;keyword&gt;Delusions/classification/*diagnosis/psychology&lt;/keyword&gt;&lt;keyword&gt;Female&lt;/keyword&gt;&lt;keyword&gt;Humans&lt;/keyword&gt;&lt;keyword&gt;Male&lt;/keyword&gt;&lt;keyword&gt;Middle Aged&lt;/keyword&gt;&lt;keyword&gt;Prognosis&lt;/keyword&gt;&lt;keyword&gt;Psychiatric Status Rating Scales&lt;/keyword&gt;&lt;keyword&gt;Sex Factors&lt;/keyword&gt;&lt;keyword&gt;Terminology as Topic&lt;/keyword&gt;&lt;/keywords&gt;&lt;dates&gt;&lt;year&gt;1993&lt;/year&gt;&lt;pub-dates&gt;&lt;date&gt;Aug&lt;/date&gt;&lt;/pub-dates&gt;&lt;/dates&gt;&lt;isbn&gt;0022-3018 (Print)&amp;#xD;0022-3018 (Linking)&lt;/isbn&gt;&lt;accession-num&gt;8360644&lt;/accession-num&gt;&lt;urls&gt;&lt;related-urls&gt;&lt;url&gt;https://www.ncbi.nlm.nih.gov/pubmed/8360644&lt;/url&gt;&lt;/related-urls&gt;&lt;/urls&gt;&lt;electronic-resource-num&gt;10.1097/00005053-199308000-00008&lt;/electronic-resource-num&gt;&lt;remote-database-name&gt;Medline&lt;/remote-database-name&gt;&lt;remote-database-provider&gt;NLM&lt;/remote-database-provider&gt;&lt;language&gt;eng&lt;/language&gt;&lt;/record&gt;&lt;/Cite&gt;&lt;/EndNote&gt;</w:instrText>
            </w:r>
            <w:r w:rsidRPr="004D46AC">
              <w:fldChar w:fldCharType="separate"/>
            </w:r>
            <w:r w:rsidRPr="004D46AC">
              <w:t>Verdoux and Bourgeois (1993)</w:t>
            </w:r>
            <w:r w:rsidRPr="004D46AC">
              <w:fldChar w:fldCharType="end"/>
            </w:r>
          </w:p>
        </w:tc>
        <w:tc>
          <w:tcPr>
            <w:tcW w:w="1189" w:type="dxa"/>
            <w:vAlign w:val="center"/>
          </w:tcPr>
          <w:p w14:paraId="6D1679D7" w14:textId="77777777" w:rsidR="009864DB" w:rsidRPr="004D46AC" w:rsidRDefault="009864DB" w:rsidP="009864DB">
            <w:pPr>
              <w:spacing w:line="240" w:lineRule="auto"/>
              <w:ind w:firstLine="0"/>
            </w:pPr>
            <w:r w:rsidRPr="004D46AC">
              <w:t>5</w:t>
            </w:r>
          </w:p>
        </w:tc>
        <w:tc>
          <w:tcPr>
            <w:tcW w:w="1186" w:type="dxa"/>
            <w:vAlign w:val="center"/>
          </w:tcPr>
          <w:p w14:paraId="124D267E" w14:textId="77777777" w:rsidR="009864DB" w:rsidRPr="004D46AC" w:rsidRDefault="009864DB" w:rsidP="009864DB">
            <w:pPr>
              <w:spacing w:line="240" w:lineRule="auto"/>
              <w:ind w:firstLine="0"/>
            </w:pPr>
            <w:r w:rsidRPr="004D46AC">
              <w:t>35.17</w:t>
            </w:r>
          </w:p>
        </w:tc>
        <w:tc>
          <w:tcPr>
            <w:tcW w:w="1235" w:type="dxa"/>
            <w:vAlign w:val="center"/>
          </w:tcPr>
          <w:p w14:paraId="34CA6D24" w14:textId="77777777" w:rsidR="009864DB" w:rsidRPr="004D46AC" w:rsidRDefault="009864DB" w:rsidP="009864DB">
            <w:pPr>
              <w:spacing w:line="240" w:lineRule="auto"/>
              <w:ind w:firstLine="0"/>
            </w:pPr>
            <w:r w:rsidRPr="004D46AC">
              <w:t>DSM3R</w:t>
            </w:r>
          </w:p>
        </w:tc>
        <w:tc>
          <w:tcPr>
            <w:tcW w:w="1524" w:type="dxa"/>
            <w:vAlign w:val="center"/>
          </w:tcPr>
          <w:p w14:paraId="54C9CEDA" w14:textId="77777777" w:rsidR="009864DB" w:rsidRPr="004D46AC" w:rsidRDefault="009864DB" w:rsidP="009864DB">
            <w:pPr>
              <w:spacing w:line="240" w:lineRule="auto"/>
              <w:ind w:firstLine="0"/>
            </w:pPr>
            <w:r w:rsidRPr="004D46AC">
              <w:t>unclear</w:t>
            </w:r>
          </w:p>
        </w:tc>
        <w:tc>
          <w:tcPr>
            <w:tcW w:w="1177" w:type="dxa"/>
            <w:vAlign w:val="center"/>
          </w:tcPr>
          <w:p w14:paraId="5D1153B1" w14:textId="77777777" w:rsidR="009864DB" w:rsidRPr="004D46AC" w:rsidRDefault="009864DB" w:rsidP="009864DB">
            <w:pPr>
              <w:spacing w:line="240" w:lineRule="auto"/>
              <w:ind w:firstLine="0"/>
            </w:pPr>
            <w:r w:rsidRPr="004D46AC">
              <w:t>36</w:t>
            </w:r>
          </w:p>
        </w:tc>
        <w:tc>
          <w:tcPr>
            <w:tcW w:w="1210" w:type="dxa"/>
            <w:vAlign w:val="center"/>
          </w:tcPr>
          <w:p w14:paraId="7CC4869D" w14:textId="77777777" w:rsidR="009864DB" w:rsidRPr="004D46AC" w:rsidRDefault="009864DB" w:rsidP="009864DB">
            <w:pPr>
              <w:spacing w:line="240" w:lineRule="auto"/>
              <w:ind w:firstLine="0"/>
            </w:pPr>
            <w:r w:rsidRPr="004D46AC">
              <w:t>3</w:t>
            </w:r>
          </w:p>
        </w:tc>
        <w:tc>
          <w:tcPr>
            <w:tcW w:w="1155" w:type="dxa"/>
            <w:vAlign w:val="center"/>
          </w:tcPr>
          <w:p w14:paraId="1A6D22A8" w14:textId="77777777" w:rsidR="009864DB" w:rsidRPr="004D46AC" w:rsidRDefault="009864DB" w:rsidP="009864DB">
            <w:pPr>
              <w:spacing w:line="240" w:lineRule="auto"/>
              <w:ind w:firstLine="0"/>
            </w:pPr>
            <w:r w:rsidRPr="004D46AC">
              <w:t>3</w:t>
            </w:r>
          </w:p>
        </w:tc>
        <w:tc>
          <w:tcPr>
            <w:tcW w:w="1150" w:type="dxa"/>
          </w:tcPr>
          <w:p w14:paraId="67D756FA" w14:textId="77777777" w:rsidR="009864DB" w:rsidRPr="004D46AC" w:rsidRDefault="009864DB" w:rsidP="009864DB">
            <w:pPr>
              <w:spacing w:line="240" w:lineRule="auto"/>
              <w:ind w:firstLine="0"/>
            </w:pPr>
            <w:r w:rsidRPr="004D46AC">
              <w:t>0</w:t>
            </w:r>
          </w:p>
        </w:tc>
        <w:tc>
          <w:tcPr>
            <w:tcW w:w="1756" w:type="dxa"/>
            <w:vAlign w:val="center"/>
          </w:tcPr>
          <w:p w14:paraId="4B30ADC1" w14:textId="77777777" w:rsidR="009864DB" w:rsidRPr="004D46AC" w:rsidRDefault="009864DB" w:rsidP="009864DB">
            <w:pPr>
              <w:spacing w:line="240" w:lineRule="auto"/>
              <w:ind w:firstLine="0"/>
            </w:pPr>
            <w:r w:rsidRPr="004D46AC">
              <w:t>grandiosity</w:t>
            </w:r>
          </w:p>
        </w:tc>
        <w:tc>
          <w:tcPr>
            <w:tcW w:w="1152" w:type="dxa"/>
            <w:vAlign w:val="center"/>
          </w:tcPr>
          <w:p w14:paraId="2586A566" w14:textId="77777777" w:rsidR="009864DB" w:rsidRPr="004D46AC" w:rsidRDefault="009864DB" w:rsidP="009864DB">
            <w:pPr>
              <w:spacing w:line="240" w:lineRule="auto"/>
              <w:ind w:firstLine="0"/>
            </w:pPr>
            <w:r w:rsidRPr="004D46AC">
              <w:t>29</w:t>
            </w:r>
          </w:p>
        </w:tc>
      </w:tr>
      <w:tr w:rsidR="009864DB" w:rsidRPr="004D46AC" w14:paraId="16970773" w14:textId="77777777" w:rsidTr="00B518F1">
        <w:trPr>
          <w:trHeight w:val="254"/>
        </w:trPr>
        <w:tc>
          <w:tcPr>
            <w:tcW w:w="1440" w:type="dxa"/>
          </w:tcPr>
          <w:p w14:paraId="1795110D"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AuthorYear="1"&gt;&lt;Author&gt;Robinson&lt;/Author&gt;&lt;Year&gt;1988&lt;/Year&gt;&lt;RecNum&gt;904&lt;/RecNum&gt;&lt;DisplayText&gt;Robinson (1988)&lt;/DisplayText&gt;&lt;record&gt;&lt;rec-number&gt;904&lt;/rec-number&gt;&lt;foreign-keys&gt;&lt;key app="EN" db-id="aet009sstawa0hewvt3xwf5atffdw2dt02sw" timestamp="1740235897"&gt;904&lt;/key&gt;&lt;/foreign-keys&gt;&lt;ref-type name="Journal Article"&gt;17&lt;/ref-type&gt;&lt;contributors&gt;&lt;authors&gt;&lt;author&gt;Robinson, A. D.&lt;/author&gt;&lt;/authors&gt;&lt;/contributors&gt;&lt;auth-address&gt;Unit for Epidemiological Studies in Psychiatry, University Department of Psychiatry, Royal Edinburgh Hospital.&lt;/auth-address&gt;&lt;titles&gt;&lt;title&gt;A century of delusions in south west Scotland&lt;/title&gt;&lt;secondary-title&gt;Br J Psychiatry&lt;/secondary-title&gt;&lt;/titles&gt;&lt;periodical&gt;&lt;full-title&gt;Br J Psychiatry&lt;/full-title&gt;&lt;/periodical&gt;&lt;pages&gt;163-7&lt;/pages&gt;&lt;volume&gt;153&lt;/volume&gt;&lt;keywords&gt;&lt;keyword&gt;Adult&lt;/keyword&gt;&lt;keyword&gt;Bipolar Disorder/epidemiology/history&lt;/keyword&gt;&lt;keyword&gt;Delusions/*epidemiology/history&lt;/keyword&gt;&lt;keyword&gt;Depressive Disorder/epidemiology/history&lt;/keyword&gt;&lt;keyword&gt;Female&lt;/keyword&gt;&lt;keyword&gt;History, 19th Century&lt;/keyword&gt;&lt;keyword&gt;History, 20th Century&lt;/keyword&gt;&lt;keyword&gt;Humans&lt;/keyword&gt;&lt;keyword&gt;Male&lt;/keyword&gt;&lt;keyword&gt;Middle Aged&lt;/keyword&gt;&lt;keyword&gt;Schizophrenia/epidemiology/history&lt;/keyword&gt;&lt;keyword&gt;Scotland&lt;/keyword&gt;&lt;/keywords&gt;&lt;dates&gt;&lt;year&gt;1988&lt;/year&gt;&lt;pub-dates&gt;&lt;date&gt;Aug&lt;/date&gt;&lt;/pub-dates&gt;&lt;/dates&gt;&lt;isbn&gt;0007-1250 (Print)&amp;#xD;0007-1250 (Linking)&lt;/isbn&gt;&lt;accession-num&gt;3076491&lt;/accession-num&gt;&lt;urls&gt;&lt;related-urls&gt;&lt;url&gt;https://www.ncbi.nlm.nih.gov/pubmed/3076491&lt;/url&gt;&lt;/related-urls&gt;&lt;/urls&gt;&lt;electronic-resource-num&gt;10.1192/bjp.153.2.163&lt;/electronic-resource-num&gt;&lt;remote-database-name&gt;Medline&lt;/remote-database-name&gt;&lt;remote-database-provider&gt;NLM&lt;/remote-database-provider&gt;&lt;language&gt;eng&lt;/language&gt;&lt;/record&gt;&lt;/Cite&gt;&lt;/EndNote&gt;</w:instrText>
            </w:r>
            <w:r w:rsidRPr="004D46AC">
              <w:fldChar w:fldCharType="separate"/>
            </w:r>
            <w:r w:rsidRPr="004D46AC">
              <w:t>Robinson (1988)</w:t>
            </w:r>
            <w:r w:rsidRPr="004D46AC">
              <w:fldChar w:fldCharType="end"/>
            </w:r>
          </w:p>
        </w:tc>
        <w:tc>
          <w:tcPr>
            <w:tcW w:w="1189" w:type="dxa"/>
            <w:vAlign w:val="center"/>
          </w:tcPr>
          <w:p w14:paraId="4CBBE7CE" w14:textId="77777777" w:rsidR="009864DB" w:rsidRPr="004D46AC" w:rsidRDefault="009864DB" w:rsidP="009864DB">
            <w:pPr>
              <w:spacing w:line="240" w:lineRule="auto"/>
              <w:ind w:firstLine="0"/>
            </w:pPr>
            <w:r w:rsidRPr="004D46AC">
              <w:t>4</w:t>
            </w:r>
          </w:p>
        </w:tc>
        <w:tc>
          <w:tcPr>
            <w:tcW w:w="1186" w:type="dxa"/>
            <w:vAlign w:val="center"/>
          </w:tcPr>
          <w:p w14:paraId="5FB899A2" w14:textId="77777777" w:rsidR="009864DB" w:rsidRPr="004D46AC" w:rsidRDefault="009864DB" w:rsidP="009864DB">
            <w:pPr>
              <w:spacing w:line="240" w:lineRule="auto"/>
              <w:ind w:firstLine="0"/>
            </w:pPr>
            <w:r w:rsidRPr="004D46AC">
              <w:t>NA</w:t>
            </w:r>
          </w:p>
        </w:tc>
        <w:tc>
          <w:tcPr>
            <w:tcW w:w="1235" w:type="dxa"/>
            <w:vAlign w:val="center"/>
          </w:tcPr>
          <w:p w14:paraId="47EAC6D9" w14:textId="77777777" w:rsidR="009864DB" w:rsidRPr="004D46AC" w:rsidRDefault="009864DB" w:rsidP="009864DB">
            <w:pPr>
              <w:spacing w:line="240" w:lineRule="auto"/>
              <w:ind w:firstLine="0"/>
            </w:pPr>
            <w:r w:rsidRPr="004D46AC">
              <w:t>ICD9</w:t>
            </w:r>
          </w:p>
        </w:tc>
        <w:tc>
          <w:tcPr>
            <w:tcW w:w="1524" w:type="dxa"/>
            <w:vAlign w:val="center"/>
          </w:tcPr>
          <w:p w14:paraId="14DB5B5C" w14:textId="77777777" w:rsidR="009864DB" w:rsidRPr="004D46AC" w:rsidRDefault="009864DB" w:rsidP="009864DB">
            <w:pPr>
              <w:spacing w:line="240" w:lineRule="auto"/>
              <w:ind w:firstLine="0"/>
            </w:pPr>
            <w:r w:rsidRPr="004D46AC">
              <w:t>unclear</w:t>
            </w:r>
          </w:p>
        </w:tc>
        <w:tc>
          <w:tcPr>
            <w:tcW w:w="1177" w:type="dxa"/>
            <w:vAlign w:val="center"/>
          </w:tcPr>
          <w:p w14:paraId="3E4C9ACF" w14:textId="77777777" w:rsidR="009864DB" w:rsidRPr="004D46AC" w:rsidRDefault="009864DB" w:rsidP="009864DB">
            <w:pPr>
              <w:spacing w:line="240" w:lineRule="auto"/>
              <w:ind w:firstLine="0"/>
            </w:pPr>
            <w:r w:rsidRPr="004D46AC">
              <w:t>35</w:t>
            </w:r>
          </w:p>
        </w:tc>
        <w:tc>
          <w:tcPr>
            <w:tcW w:w="1210" w:type="dxa"/>
            <w:vAlign w:val="center"/>
          </w:tcPr>
          <w:p w14:paraId="1BDBCE7E" w14:textId="77777777" w:rsidR="009864DB" w:rsidRPr="004D46AC" w:rsidRDefault="009864DB" w:rsidP="009864DB">
            <w:pPr>
              <w:spacing w:line="240" w:lineRule="auto"/>
              <w:ind w:firstLine="0"/>
            </w:pPr>
            <w:r w:rsidRPr="004D46AC">
              <w:t>3</w:t>
            </w:r>
          </w:p>
        </w:tc>
        <w:tc>
          <w:tcPr>
            <w:tcW w:w="1155" w:type="dxa"/>
            <w:vAlign w:val="center"/>
          </w:tcPr>
          <w:p w14:paraId="5A8D82B3" w14:textId="77777777" w:rsidR="009864DB" w:rsidRPr="004D46AC" w:rsidRDefault="009864DB" w:rsidP="009864DB">
            <w:pPr>
              <w:spacing w:line="240" w:lineRule="auto"/>
              <w:ind w:firstLine="0"/>
            </w:pPr>
            <w:r w:rsidRPr="004D46AC">
              <w:t>2</w:t>
            </w:r>
          </w:p>
        </w:tc>
        <w:tc>
          <w:tcPr>
            <w:tcW w:w="1150" w:type="dxa"/>
          </w:tcPr>
          <w:p w14:paraId="01DBFF72" w14:textId="77777777" w:rsidR="009864DB" w:rsidRPr="004D46AC" w:rsidRDefault="009864DB" w:rsidP="009864DB">
            <w:pPr>
              <w:spacing w:line="240" w:lineRule="auto"/>
              <w:ind w:firstLine="0"/>
            </w:pPr>
            <w:r w:rsidRPr="004D46AC">
              <w:t>0</w:t>
            </w:r>
          </w:p>
        </w:tc>
        <w:tc>
          <w:tcPr>
            <w:tcW w:w="1756" w:type="dxa"/>
            <w:vAlign w:val="center"/>
          </w:tcPr>
          <w:p w14:paraId="6FE379E6" w14:textId="77777777" w:rsidR="009864DB" w:rsidRPr="004D46AC" w:rsidRDefault="009864DB" w:rsidP="009864DB">
            <w:pPr>
              <w:spacing w:line="240" w:lineRule="auto"/>
              <w:ind w:firstLine="0"/>
            </w:pPr>
            <w:r w:rsidRPr="004D46AC">
              <w:t>any</w:t>
            </w:r>
          </w:p>
        </w:tc>
        <w:tc>
          <w:tcPr>
            <w:tcW w:w="1152" w:type="dxa"/>
            <w:vAlign w:val="center"/>
          </w:tcPr>
          <w:p w14:paraId="04C86353" w14:textId="77777777" w:rsidR="009864DB" w:rsidRPr="004D46AC" w:rsidRDefault="009864DB" w:rsidP="009864DB">
            <w:pPr>
              <w:spacing w:line="240" w:lineRule="auto"/>
              <w:ind w:firstLine="0"/>
            </w:pPr>
            <w:r w:rsidRPr="004D46AC">
              <w:t>18</w:t>
            </w:r>
          </w:p>
        </w:tc>
      </w:tr>
      <w:tr w:rsidR="009864DB" w:rsidRPr="004D46AC" w14:paraId="484A33B1" w14:textId="77777777" w:rsidTr="00B518F1">
        <w:trPr>
          <w:trHeight w:val="254"/>
        </w:trPr>
        <w:tc>
          <w:tcPr>
            <w:tcW w:w="1440" w:type="dxa"/>
          </w:tcPr>
          <w:p w14:paraId="3B058545"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AuthorYear="1"&gt;&lt;Author&gt;Breslau&lt;/Author&gt;&lt;Year&gt;1988&lt;/Year&gt;&lt;RecNum&gt;241&lt;/RecNum&gt;&lt;DisplayText&gt;Breslau and Meltzer (1988)&lt;/DisplayText&gt;&lt;record&gt;&lt;rec-number&gt;241&lt;/rec-number&gt;&lt;foreign-keys&gt;&lt;key app="EN" db-id="aet009sstawa0hewvt3xwf5atffdw2dt02sw" timestamp="1666238819"&gt;241&lt;/key&gt;&lt;/foreign-keys&gt;&lt;ref-type name="Journal Article"&gt;17&lt;/ref-type&gt;&lt;contributors&gt;&lt;authors&gt;&lt;author&gt;Breslau, N.&lt;/author&gt;&lt;author&gt;Meltzer, H. Y.&lt;/author&gt;&lt;/authors&gt;&lt;/contributors&gt;&lt;auth-address&gt;Department of Psychiatry, Case Western Reserve School of Medicine, Cleveland.&lt;/auth-address&gt;&lt;titles&gt;&lt;title&gt;Validity of subtyping psychotic depression: examination of phenomenology and demographic characteristics&lt;/title&gt;&lt;secondary-title&gt;Am J Psychiatry&lt;/secondary-title&gt;&lt;/titles&gt;&lt;periodical&gt;&lt;full-title&gt;Am J Psychiatry&lt;/full-title&gt;&lt;/periodical&gt;&lt;pages&gt;35-40&lt;/pages&gt;&lt;volume&gt;145&lt;/volume&gt;&lt;number&gt;1&lt;/number&gt;&lt;keywords&gt;&lt;keyword&gt;Adult&lt;/keyword&gt;&lt;keyword&gt;Age Factors&lt;/keyword&gt;&lt;keyword&gt;Bipolar Disorder/diagnosis/psychology&lt;/keyword&gt;&lt;keyword&gt;Depressive Disorder/classification/*diagnosis/prevention &amp;amp; control/psychology&lt;/keyword&gt;&lt;keyword&gt;Diagnosis, Differential&lt;/keyword&gt;&lt;keyword&gt;Female&lt;/keyword&gt;&lt;keyword&gt;Humans&lt;/keyword&gt;&lt;keyword&gt;Male&lt;/keyword&gt;&lt;keyword&gt;Manuals as Topic&lt;/keyword&gt;&lt;keyword&gt;*Psychiatric Status Rating Scales&lt;/keyword&gt;&lt;keyword&gt;Psychotic Disorders/diagnosis/psychology&lt;/keyword&gt;&lt;keyword&gt;Sex Factors&lt;/keyword&gt;&lt;/keywords&gt;&lt;dates&gt;&lt;year&gt;1988&lt;/year&gt;&lt;pub-dates&gt;&lt;date&gt;Jan&lt;/date&gt;&lt;/pub-dates&gt;&lt;/dates&gt;&lt;isbn&gt;0002-953X (Print)&amp;#xD;0002-953X (Linking)&lt;/isbn&gt;&lt;accession-num&gt;3337290&lt;/accession-num&gt;&lt;urls&gt;&lt;related-urls&gt;&lt;url&gt;https://www.ncbi.nlm.nih.gov/pubmed/3337290&lt;/url&gt;&lt;/related-urls&gt;&lt;/urls&gt;&lt;electronic-resource-num&gt;10.1176/ajp.145.1.35&lt;/electronic-resource-num&gt;&lt;remote-database-name&gt;Medline&lt;/remote-database-name&gt;&lt;remote-database-provider&gt;NLM&lt;/remote-database-provider&gt;&lt;language&gt;eng&lt;/language&gt;&lt;/record&gt;&lt;/Cite&gt;&lt;/EndNote&gt;</w:instrText>
            </w:r>
            <w:r w:rsidRPr="004D46AC">
              <w:fldChar w:fldCharType="separate"/>
            </w:r>
            <w:r w:rsidRPr="004D46AC">
              <w:t>Breslau and Meltzer (1988)</w:t>
            </w:r>
            <w:r w:rsidRPr="004D46AC">
              <w:fldChar w:fldCharType="end"/>
            </w:r>
          </w:p>
        </w:tc>
        <w:tc>
          <w:tcPr>
            <w:tcW w:w="1189" w:type="dxa"/>
            <w:vAlign w:val="center"/>
          </w:tcPr>
          <w:p w14:paraId="5DD66E46" w14:textId="77777777" w:rsidR="009864DB" w:rsidRPr="004D46AC" w:rsidRDefault="009864DB" w:rsidP="009864DB">
            <w:pPr>
              <w:spacing w:line="240" w:lineRule="auto"/>
              <w:ind w:firstLine="0"/>
            </w:pPr>
            <w:r w:rsidRPr="004D46AC">
              <w:t>5</w:t>
            </w:r>
          </w:p>
        </w:tc>
        <w:tc>
          <w:tcPr>
            <w:tcW w:w="1186" w:type="dxa"/>
            <w:vAlign w:val="center"/>
          </w:tcPr>
          <w:p w14:paraId="065154D7" w14:textId="77777777" w:rsidR="009864DB" w:rsidRPr="004D46AC" w:rsidRDefault="009864DB" w:rsidP="009864DB">
            <w:pPr>
              <w:spacing w:line="240" w:lineRule="auto"/>
              <w:ind w:firstLine="0"/>
            </w:pPr>
            <w:r w:rsidRPr="004D46AC">
              <w:t>32.9</w:t>
            </w:r>
          </w:p>
        </w:tc>
        <w:tc>
          <w:tcPr>
            <w:tcW w:w="1235" w:type="dxa"/>
            <w:vAlign w:val="center"/>
          </w:tcPr>
          <w:p w14:paraId="793074AC" w14:textId="77777777" w:rsidR="009864DB" w:rsidRPr="004D46AC" w:rsidRDefault="009864DB" w:rsidP="009864DB">
            <w:pPr>
              <w:spacing w:line="240" w:lineRule="auto"/>
              <w:ind w:firstLine="0"/>
            </w:pPr>
            <w:r w:rsidRPr="004D46AC">
              <w:t>RDC</w:t>
            </w:r>
          </w:p>
        </w:tc>
        <w:tc>
          <w:tcPr>
            <w:tcW w:w="1524" w:type="dxa"/>
            <w:vAlign w:val="center"/>
          </w:tcPr>
          <w:p w14:paraId="52F8F001" w14:textId="77777777" w:rsidR="009864DB" w:rsidRPr="004D46AC" w:rsidRDefault="009864DB" w:rsidP="009864DB">
            <w:pPr>
              <w:spacing w:line="240" w:lineRule="auto"/>
              <w:ind w:firstLine="0"/>
            </w:pPr>
            <w:r w:rsidRPr="004D46AC">
              <w:t>SADS-C</w:t>
            </w:r>
          </w:p>
        </w:tc>
        <w:tc>
          <w:tcPr>
            <w:tcW w:w="1177" w:type="dxa"/>
            <w:vAlign w:val="center"/>
          </w:tcPr>
          <w:p w14:paraId="331C4A94" w14:textId="77777777" w:rsidR="009864DB" w:rsidRPr="004D46AC" w:rsidRDefault="009864DB" w:rsidP="009864DB">
            <w:pPr>
              <w:spacing w:line="240" w:lineRule="auto"/>
              <w:ind w:firstLine="0"/>
            </w:pPr>
            <w:r w:rsidRPr="004D46AC">
              <w:t>38</w:t>
            </w:r>
          </w:p>
        </w:tc>
        <w:tc>
          <w:tcPr>
            <w:tcW w:w="1210" w:type="dxa"/>
            <w:vAlign w:val="center"/>
          </w:tcPr>
          <w:p w14:paraId="5F65DF0A" w14:textId="77777777" w:rsidR="009864DB" w:rsidRPr="004D46AC" w:rsidRDefault="009864DB" w:rsidP="009864DB">
            <w:pPr>
              <w:spacing w:line="240" w:lineRule="auto"/>
              <w:ind w:firstLine="0"/>
            </w:pPr>
            <w:r w:rsidRPr="004D46AC">
              <w:t>3</w:t>
            </w:r>
          </w:p>
        </w:tc>
        <w:tc>
          <w:tcPr>
            <w:tcW w:w="1155" w:type="dxa"/>
            <w:vAlign w:val="center"/>
          </w:tcPr>
          <w:p w14:paraId="622A6337" w14:textId="77777777" w:rsidR="009864DB" w:rsidRPr="004D46AC" w:rsidRDefault="009864DB" w:rsidP="009864DB">
            <w:pPr>
              <w:spacing w:line="240" w:lineRule="auto"/>
              <w:ind w:firstLine="0"/>
            </w:pPr>
            <w:r w:rsidRPr="004D46AC">
              <w:t>1</w:t>
            </w:r>
          </w:p>
        </w:tc>
        <w:tc>
          <w:tcPr>
            <w:tcW w:w="1150" w:type="dxa"/>
          </w:tcPr>
          <w:p w14:paraId="0F2D13FE" w14:textId="77777777" w:rsidR="009864DB" w:rsidRPr="004D46AC" w:rsidRDefault="009864DB" w:rsidP="009864DB">
            <w:pPr>
              <w:spacing w:line="240" w:lineRule="auto"/>
              <w:ind w:firstLine="0"/>
            </w:pPr>
            <w:r w:rsidRPr="004D46AC">
              <w:t>0</w:t>
            </w:r>
          </w:p>
        </w:tc>
        <w:tc>
          <w:tcPr>
            <w:tcW w:w="1756" w:type="dxa"/>
            <w:vAlign w:val="center"/>
          </w:tcPr>
          <w:p w14:paraId="4F64B709" w14:textId="77777777" w:rsidR="009864DB" w:rsidRPr="004D46AC" w:rsidRDefault="009864DB" w:rsidP="009864DB">
            <w:pPr>
              <w:spacing w:line="240" w:lineRule="auto"/>
              <w:ind w:firstLine="0"/>
            </w:pPr>
            <w:r w:rsidRPr="004D46AC">
              <w:t>persecutory</w:t>
            </w:r>
          </w:p>
        </w:tc>
        <w:tc>
          <w:tcPr>
            <w:tcW w:w="1152" w:type="dxa"/>
            <w:vAlign w:val="center"/>
          </w:tcPr>
          <w:p w14:paraId="65CEC436" w14:textId="77777777" w:rsidR="009864DB" w:rsidRPr="004D46AC" w:rsidRDefault="009864DB" w:rsidP="009864DB">
            <w:pPr>
              <w:spacing w:line="240" w:lineRule="auto"/>
              <w:ind w:firstLine="0"/>
            </w:pPr>
            <w:r w:rsidRPr="004D46AC">
              <w:t>20</w:t>
            </w:r>
          </w:p>
        </w:tc>
      </w:tr>
      <w:tr w:rsidR="009864DB" w:rsidRPr="004D46AC" w14:paraId="01D62E06" w14:textId="77777777" w:rsidTr="00B518F1">
        <w:trPr>
          <w:trHeight w:val="262"/>
        </w:trPr>
        <w:tc>
          <w:tcPr>
            <w:tcW w:w="1440" w:type="dxa"/>
          </w:tcPr>
          <w:p w14:paraId="61ADF29A"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AuthorYear="1"&gt;&lt;Author&gt;Song&lt;/Author&gt;&lt;Year&gt;2015&lt;/Year&gt;&lt;RecNum&gt;243&lt;/RecNum&gt;&lt;DisplayText&gt;Song et al. (2015)&lt;/DisplayText&gt;&lt;record&gt;&lt;rec-number&gt;243&lt;/rec-number&gt;&lt;foreign-keys&gt;&lt;key app="EN" db-id="aet009sstawa0hewvt3xwf5atffdw2dt02sw" timestamp="1666254629"&gt;243&lt;/key&gt;&lt;/foreign-keys&gt;&lt;ref-type name="Journal Article"&gt;17&lt;/ref-type&gt;&lt;contributors&gt;&lt;authors&gt;&lt;author&gt;Song, J.&lt;/author&gt;&lt;author&gt;Han, D. H.&lt;/author&gt;&lt;author&gt;Kim, S. M.&lt;/author&gt;&lt;author&gt;Hong, J. S.&lt;/author&gt;&lt;author&gt;Min, K. J.&lt;/author&gt;&lt;author&gt;Cheong, J. H.&lt;/author&gt;&lt;author&gt;Kim, B. N.&lt;/author&gt;&lt;/authors&gt;&lt;/contributors&gt;&lt;auth-address&gt;Department of Psychiatry, Chung Ang University Hospital, Seoul, South Korea.&amp;#xD;Uimyung Research Institute for Neuroscience, Samyook University, Seoul, South Korea.&amp;#xD;Department of Psychiatry, Seoul National Hospital, Seoul, South Korea.&lt;/auth-address&gt;&lt;titles&gt;&lt;title&gt;Differences in gray matter volume corresponding to delusion and hallucination in patients with schizophrenia compared with patients who have bipolar disorder&lt;/title&gt;&lt;secondary-title&gt;Neuropsychiatr Dis Treat&lt;/secondary-title&gt;&lt;/titles&gt;&lt;periodical&gt;&lt;full-title&gt;Neuropsychiatr Dis Treat&lt;/full-title&gt;&lt;/periodical&gt;&lt;pages&gt;1211-9&lt;/pages&gt;&lt;volume&gt;11&lt;/volume&gt;&lt;edition&gt;20150518&lt;/edition&gt;&lt;keywords&gt;&lt;keyword&gt;bipolar disorder&lt;/keyword&gt;&lt;keyword&gt;delusion&lt;/keyword&gt;&lt;keyword&gt;hallucination&lt;/keyword&gt;&lt;keyword&gt;schizophrenia&lt;/keyword&gt;&lt;keyword&gt;voxel-based morphometry&lt;/keyword&gt;&lt;/keywords&gt;&lt;dates&gt;&lt;year&gt;2015&lt;/year&gt;&lt;/dates&gt;&lt;isbn&gt;1176-6328 (Print)&amp;#xD;1178-2021 (Electronic)&amp;#xD;1176-6328 (Linking)&lt;/isbn&gt;&lt;accession-num&gt;26056452&lt;/accession-num&gt;&lt;urls&gt;&lt;related-urls&gt;&lt;url&gt;https://www.ncbi.nlm.nih.gov/pubmed/26056452&lt;/url&gt;&lt;/related-urls&gt;&lt;/urls&gt;&lt;custom2&gt;PMC4445869&lt;/custom2&gt;&lt;electronic-resource-num&gt;10.2147/NDT.S80438&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Song et al. (2015)</w:t>
            </w:r>
            <w:r w:rsidRPr="004D46AC">
              <w:fldChar w:fldCharType="end"/>
            </w:r>
          </w:p>
        </w:tc>
        <w:tc>
          <w:tcPr>
            <w:tcW w:w="1189" w:type="dxa"/>
            <w:vAlign w:val="center"/>
          </w:tcPr>
          <w:p w14:paraId="6940EDF6" w14:textId="77777777" w:rsidR="009864DB" w:rsidRPr="004D46AC" w:rsidRDefault="009864DB" w:rsidP="009864DB">
            <w:pPr>
              <w:spacing w:line="240" w:lineRule="auto"/>
              <w:ind w:firstLine="0"/>
            </w:pPr>
            <w:r w:rsidRPr="004D46AC">
              <w:t>3</w:t>
            </w:r>
          </w:p>
        </w:tc>
        <w:tc>
          <w:tcPr>
            <w:tcW w:w="1186" w:type="dxa"/>
            <w:vAlign w:val="center"/>
          </w:tcPr>
          <w:p w14:paraId="7AF5E568" w14:textId="77777777" w:rsidR="009864DB" w:rsidRPr="004D46AC" w:rsidRDefault="009864DB" w:rsidP="009864DB">
            <w:pPr>
              <w:spacing w:line="240" w:lineRule="auto"/>
              <w:ind w:firstLine="0"/>
            </w:pPr>
            <w:r w:rsidRPr="004D46AC">
              <w:t>34.8</w:t>
            </w:r>
          </w:p>
        </w:tc>
        <w:tc>
          <w:tcPr>
            <w:tcW w:w="1235" w:type="dxa"/>
            <w:vAlign w:val="center"/>
          </w:tcPr>
          <w:p w14:paraId="466ECE54" w14:textId="77777777" w:rsidR="009864DB" w:rsidRPr="004D46AC" w:rsidRDefault="009864DB" w:rsidP="009864DB">
            <w:pPr>
              <w:spacing w:line="240" w:lineRule="auto"/>
              <w:ind w:firstLine="0"/>
            </w:pPr>
            <w:r w:rsidRPr="004D46AC">
              <w:t>DSM4</w:t>
            </w:r>
          </w:p>
        </w:tc>
        <w:tc>
          <w:tcPr>
            <w:tcW w:w="1524" w:type="dxa"/>
            <w:vAlign w:val="center"/>
          </w:tcPr>
          <w:p w14:paraId="23EE369F" w14:textId="77777777" w:rsidR="009864DB" w:rsidRPr="004D46AC" w:rsidRDefault="009864DB" w:rsidP="009864DB">
            <w:pPr>
              <w:spacing w:line="240" w:lineRule="auto"/>
              <w:ind w:firstLine="0"/>
            </w:pPr>
            <w:r w:rsidRPr="004D46AC">
              <w:t>SCID</w:t>
            </w:r>
          </w:p>
        </w:tc>
        <w:tc>
          <w:tcPr>
            <w:tcW w:w="1177" w:type="dxa"/>
            <w:vAlign w:val="center"/>
          </w:tcPr>
          <w:p w14:paraId="04B23DE5" w14:textId="77777777" w:rsidR="009864DB" w:rsidRPr="004D46AC" w:rsidRDefault="009864DB" w:rsidP="009864DB">
            <w:pPr>
              <w:spacing w:line="240" w:lineRule="auto"/>
              <w:ind w:firstLine="0"/>
            </w:pPr>
            <w:r w:rsidRPr="004D46AC">
              <w:t>44</w:t>
            </w:r>
          </w:p>
        </w:tc>
        <w:tc>
          <w:tcPr>
            <w:tcW w:w="1210" w:type="dxa"/>
            <w:vAlign w:val="center"/>
          </w:tcPr>
          <w:p w14:paraId="44FD1C49" w14:textId="77777777" w:rsidR="009864DB" w:rsidRPr="004D46AC" w:rsidRDefault="009864DB" w:rsidP="009864DB">
            <w:pPr>
              <w:spacing w:line="240" w:lineRule="auto"/>
              <w:ind w:firstLine="0"/>
            </w:pPr>
            <w:r w:rsidRPr="004D46AC">
              <w:t>2</w:t>
            </w:r>
          </w:p>
        </w:tc>
        <w:tc>
          <w:tcPr>
            <w:tcW w:w="1155" w:type="dxa"/>
            <w:vAlign w:val="center"/>
          </w:tcPr>
          <w:p w14:paraId="3D32E8CC" w14:textId="77777777" w:rsidR="009864DB" w:rsidRPr="004D46AC" w:rsidRDefault="009864DB" w:rsidP="009864DB">
            <w:pPr>
              <w:spacing w:line="240" w:lineRule="auto"/>
              <w:ind w:firstLine="0"/>
            </w:pPr>
            <w:r w:rsidRPr="004D46AC">
              <w:t>3</w:t>
            </w:r>
          </w:p>
        </w:tc>
        <w:tc>
          <w:tcPr>
            <w:tcW w:w="1150" w:type="dxa"/>
          </w:tcPr>
          <w:p w14:paraId="6519B080" w14:textId="77777777" w:rsidR="009864DB" w:rsidRPr="004D46AC" w:rsidRDefault="009864DB" w:rsidP="009864DB">
            <w:pPr>
              <w:spacing w:line="240" w:lineRule="auto"/>
              <w:ind w:firstLine="0"/>
            </w:pPr>
            <w:r w:rsidRPr="004D46AC">
              <w:t>0</w:t>
            </w:r>
          </w:p>
        </w:tc>
        <w:tc>
          <w:tcPr>
            <w:tcW w:w="1756" w:type="dxa"/>
            <w:vAlign w:val="center"/>
          </w:tcPr>
          <w:p w14:paraId="259508E6" w14:textId="77777777" w:rsidR="009864DB" w:rsidRPr="004D46AC" w:rsidRDefault="009864DB" w:rsidP="009864DB">
            <w:pPr>
              <w:spacing w:line="240" w:lineRule="auto"/>
              <w:ind w:firstLine="0"/>
            </w:pPr>
            <w:r w:rsidRPr="004D46AC">
              <w:t>any</w:t>
            </w:r>
          </w:p>
        </w:tc>
        <w:tc>
          <w:tcPr>
            <w:tcW w:w="1152" w:type="dxa"/>
            <w:vAlign w:val="center"/>
          </w:tcPr>
          <w:p w14:paraId="618336B2" w14:textId="77777777" w:rsidR="009864DB" w:rsidRPr="004D46AC" w:rsidRDefault="009864DB" w:rsidP="009864DB">
            <w:pPr>
              <w:spacing w:line="240" w:lineRule="auto"/>
              <w:ind w:firstLine="0"/>
            </w:pPr>
            <w:r w:rsidRPr="004D46AC">
              <w:t>28</w:t>
            </w:r>
          </w:p>
        </w:tc>
      </w:tr>
      <w:tr w:rsidR="009864DB" w:rsidRPr="004D46AC" w14:paraId="17F0C3F7" w14:textId="77777777" w:rsidTr="00B518F1">
        <w:trPr>
          <w:trHeight w:val="254"/>
        </w:trPr>
        <w:tc>
          <w:tcPr>
            <w:tcW w:w="1440" w:type="dxa"/>
          </w:tcPr>
          <w:p w14:paraId="10B04A1D"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AuthorYear="1"&gt;&lt;Author&gt;Das&lt;/Author&gt;&lt;Year&gt;1993&lt;/Year&gt;&lt;RecNum&gt;245&lt;/RecNum&gt;&lt;DisplayText&gt;Das and Khanna (1993)&lt;/DisplayText&gt;&lt;record&gt;&lt;rec-number&gt;245&lt;/rec-number&gt;&lt;foreign-keys&gt;&lt;key app="EN" db-id="aet009sstawa0hewvt3xwf5atffdw2dt02sw" timestamp="1666257238"&gt;245&lt;/key&gt;&lt;/foreign-keys&gt;&lt;ref-type name="Journal Article"&gt;17&lt;/ref-type&gt;&lt;contributors&gt;&lt;authors&gt;&lt;author&gt;Das, A.&lt;/author&gt;&lt;author&gt;Khanna, R.&lt;/author&gt;&lt;/authors&gt;&lt;/contributors&gt;&lt;auth-address&gt;Department of Psychiatry, Central Institute of Psychiatry, Kanke, Ranchi, India.&lt;/auth-address&gt;&lt;titles&gt;&lt;title&gt;Organic manic syndrome: causative factors, phenomenology and immediate outcome&lt;/title&gt;&lt;secondary-title&gt;J Affect Disord&lt;/secondary-title&gt;&lt;/titles&gt;&lt;periodical&gt;&lt;full-title&gt;J Affect Disord&lt;/full-title&gt;&lt;/periodical&gt;&lt;pages&gt;147-53&lt;/pages&gt;&lt;volume&gt;27&lt;/volume&gt;&lt;number&gt;3&lt;/number&gt;&lt;keywords&gt;&lt;keyword&gt;Adult&lt;/keyword&gt;&lt;keyword&gt;Bipolar Disorder/chemically induced/*etiology/psychology&lt;/keyword&gt;&lt;keyword&gt;Diagnosis, Differential&lt;/keyword&gt;&lt;keyword&gt;Female&lt;/keyword&gt;&lt;keyword&gt;Humans&lt;/keyword&gt;&lt;keyword&gt;Male&lt;/keyword&gt;&lt;keyword&gt;Middle Aged&lt;/keyword&gt;&lt;keyword&gt;Neurocognitive Disorders/*etiology/psychology&lt;/keyword&gt;&lt;keyword&gt;Psychiatric Status Rating Scales&lt;/keyword&gt;&lt;keyword&gt;Psychoses, Substance-Induced/*etiology/psychology&lt;/keyword&gt;&lt;/keywords&gt;&lt;dates&gt;&lt;year&gt;1993&lt;/year&gt;&lt;pub-dates&gt;&lt;date&gt;Mar&lt;/date&gt;&lt;/pub-dates&gt;&lt;/dates&gt;&lt;isbn&gt;0165-0327 (Print)&amp;#xD;0165-0327 (Linking)&lt;/isbn&gt;&lt;accession-num&gt;8478503&lt;/accession-num&gt;&lt;urls&gt;&lt;related-urls&gt;&lt;url&gt;https://www.ncbi.nlm.nih.gov/pubmed/8478503&lt;/url&gt;&lt;/related-urls&gt;&lt;/urls&gt;&lt;electronic-resource-num&gt;10.1016/0165-0327(93)90002-2&lt;/electronic-resource-num&gt;&lt;remote-database-name&gt;Medline&lt;/remote-database-name&gt;&lt;remote-database-provider&gt;NLM&lt;/remote-database-provider&gt;&lt;language&gt;eng&lt;/language&gt;&lt;/record&gt;&lt;/Cite&gt;&lt;/EndNote&gt;</w:instrText>
            </w:r>
            <w:r w:rsidRPr="004D46AC">
              <w:fldChar w:fldCharType="separate"/>
            </w:r>
            <w:r w:rsidRPr="004D46AC">
              <w:t>Das and Khanna (1993)</w:t>
            </w:r>
            <w:r w:rsidRPr="004D46AC">
              <w:fldChar w:fldCharType="end"/>
            </w:r>
          </w:p>
        </w:tc>
        <w:tc>
          <w:tcPr>
            <w:tcW w:w="1189" w:type="dxa"/>
            <w:vAlign w:val="center"/>
          </w:tcPr>
          <w:p w14:paraId="5617FB46" w14:textId="77777777" w:rsidR="009864DB" w:rsidRPr="004D46AC" w:rsidRDefault="009864DB" w:rsidP="009864DB">
            <w:pPr>
              <w:spacing w:line="240" w:lineRule="auto"/>
              <w:ind w:firstLine="0"/>
            </w:pPr>
            <w:r w:rsidRPr="004D46AC">
              <w:t>5</w:t>
            </w:r>
          </w:p>
        </w:tc>
        <w:tc>
          <w:tcPr>
            <w:tcW w:w="1186" w:type="dxa"/>
            <w:vAlign w:val="center"/>
          </w:tcPr>
          <w:p w14:paraId="710F9ADF" w14:textId="77777777" w:rsidR="009864DB" w:rsidRPr="004D46AC" w:rsidRDefault="009864DB" w:rsidP="009864DB">
            <w:pPr>
              <w:spacing w:line="240" w:lineRule="auto"/>
              <w:ind w:firstLine="0"/>
            </w:pPr>
            <w:r w:rsidRPr="004D46AC">
              <w:t>31.93</w:t>
            </w:r>
          </w:p>
        </w:tc>
        <w:tc>
          <w:tcPr>
            <w:tcW w:w="1235" w:type="dxa"/>
            <w:vAlign w:val="center"/>
          </w:tcPr>
          <w:p w14:paraId="7EB5532C" w14:textId="77777777" w:rsidR="009864DB" w:rsidRPr="004D46AC" w:rsidRDefault="009864DB" w:rsidP="009864DB">
            <w:pPr>
              <w:spacing w:line="240" w:lineRule="auto"/>
              <w:ind w:firstLine="0"/>
            </w:pPr>
            <w:r w:rsidRPr="004D46AC">
              <w:t>DSM3R</w:t>
            </w:r>
          </w:p>
        </w:tc>
        <w:tc>
          <w:tcPr>
            <w:tcW w:w="1524" w:type="dxa"/>
            <w:vAlign w:val="center"/>
          </w:tcPr>
          <w:p w14:paraId="0D44AA0F" w14:textId="77777777" w:rsidR="009864DB" w:rsidRPr="004D46AC" w:rsidRDefault="009864DB" w:rsidP="009864DB">
            <w:pPr>
              <w:spacing w:line="240" w:lineRule="auto"/>
              <w:ind w:firstLine="0"/>
            </w:pPr>
            <w:r w:rsidRPr="004D46AC">
              <w:t>unclear</w:t>
            </w:r>
          </w:p>
        </w:tc>
        <w:tc>
          <w:tcPr>
            <w:tcW w:w="1177" w:type="dxa"/>
            <w:vAlign w:val="center"/>
          </w:tcPr>
          <w:p w14:paraId="1E3CCAA8" w14:textId="77777777" w:rsidR="009864DB" w:rsidRPr="004D46AC" w:rsidRDefault="009864DB" w:rsidP="009864DB">
            <w:pPr>
              <w:spacing w:line="240" w:lineRule="auto"/>
              <w:ind w:firstLine="0"/>
            </w:pPr>
            <w:r w:rsidRPr="004D46AC">
              <w:t>60</w:t>
            </w:r>
          </w:p>
        </w:tc>
        <w:tc>
          <w:tcPr>
            <w:tcW w:w="1210" w:type="dxa"/>
            <w:vAlign w:val="center"/>
          </w:tcPr>
          <w:p w14:paraId="1D375444" w14:textId="77777777" w:rsidR="009864DB" w:rsidRPr="004D46AC" w:rsidRDefault="009864DB" w:rsidP="009864DB">
            <w:pPr>
              <w:spacing w:line="240" w:lineRule="auto"/>
              <w:ind w:firstLine="0"/>
            </w:pPr>
            <w:r w:rsidRPr="004D46AC">
              <w:t>3</w:t>
            </w:r>
          </w:p>
        </w:tc>
        <w:tc>
          <w:tcPr>
            <w:tcW w:w="1155" w:type="dxa"/>
            <w:vAlign w:val="center"/>
          </w:tcPr>
          <w:p w14:paraId="6EA8883F" w14:textId="77777777" w:rsidR="009864DB" w:rsidRPr="004D46AC" w:rsidRDefault="009864DB" w:rsidP="009864DB">
            <w:pPr>
              <w:spacing w:line="240" w:lineRule="auto"/>
              <w:ind w:firstLine="0"/>
            </w:pPr>
            <w:r w:rsidRPr="004D46AC">
              <w:t>2</w:t>
            </w:r>
          </w:p>
        </w:tc>
        <w:tc>
          <w:tcPr>
            <w:tcW w:w="1150" w:type="dxa"/>
          </w:tcPr>
          <w:p w14:paraId="527FC708" w14:textId="77777777" w:rsidR="009864DB" w:rsidRPr="004D46AC" w:rsidRDefault="009864DB" w:rsidP="009864DB">
            <w:pPr>
              <w:spacing w:line="240" w:lineRule="auto"/>
              <w:ind w:firstLine="0"/>
            </w:pPr>
            <w:r w:rsidRPr="004D46AC">
              <w:t>0</w:t>
            </w:r>
          </w:p>
        </w:tc>
        <w:tc>
          <w:tcPr>
            <w:tcW w:w="1756" w:type="dxa"/>
            <w:vAlign w:val="center"/>
          </w:tcPr>
          <w:p w14:paraId="0B035859" w14:textId="77777777" w:rsidR="009864DB" w:rsidRPr="004D46AC" w:rsidRDefault="009864DB" w:rsidP="009864DB">
            <w:pPr>
              <w:spacing w:line="240" w:lineRule="auto"/>
              <w:ind w:firstLine="0"/>
            </w:pPr>
            <w:r w:rsidRPr="004D46AC">
              <w:t>grandiosity</w:t>
            </w:r>
          </w:p>
        </w:tc>
        <w:tc>
          <w:tcPr>
            <w:tcW w:w="1152" w:type="dxa"/>
            <w:vAlign w:val="center"/>
          </w:tcPr>
          <w:p w14:paraId="1A610B07" w14:textId="77777777" w:rsidR="009864DB" w:rsidRPr="004D46AC" w:rsidRDefault="009864DB" w:rsidP="009864DB">
            <w:pPr>
              <w:spacing w:line="240" w:lineRule="auto"/>
              <w:ind w:firstLine="0"/>
            </w:pPr>
            <w:r w:rsidRPr="004D46AC">
              <w:t>26</w:t>
            </w:r>
          </w:p>
        </w:tc>
      </w:tr>
      <w:tr w:rsidR="009864DB" w:rsidRPr="004D46AC" w14:paraId="59F05AF7" w14:textId="77777777" w:rsidTr="00B518F1">
        <w:trPr>
          <w:trHeight w:val="254"/>
        </w:trPr>
        <w:tc>
          <w:tcPr>
            <w:tcW w:w="1440" w:type="dxa"/>
          </w:tcPr>
          <w:p w14:paraId="0A9AABF5"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AuthorYear="1"&gt;&lt;Author&gt;Braunig&lt;/Author&gt;&lt;Year&gt;2009&lt;/Year&gt;&lt;RecNum&gt;247&lt;/RecNum&gt;&lt;DisplayText&gt;Braunig et al. (2009)&lt;/DisplayText&gt;&lt;record&gt;&lt;rec-number&gt;247&lt;/rec-number&gt;&lt;foreign-keys&gt;&lt;key app="EN" db-id="aet009sstawa0hewvt3xwf5atffdw2dt02sw" timestamp="1666270598"&gt;247&lt;/key&gt;&lt;/foreign-keys&gt;&lt;ref-type name="Journal Article"&gt;17&lt;/ref-type&gt;&lt;contributors&gt;&lt;authors&gt;&lt;author&gt;Braunig, P.&lt;/author&gt;&lt;author&gt;Sarkar, R.&lt;/author&gt;&lt;author&gt;Effenberger, S.&lt;/author&gt;&lt;author&gt;Schoofs, N.&lt;/author&gt;&lt;author&gt;Kruger, S.&lt;/author&gt;&lt;/authors&gt;&lt;/contributors&gt;&lt;auth-address&gt;Klinink fur Psychiatrie, Psychotherapie und Psychosomatik, Vivantes Humboldt-Klinikum, Berlin, Germany.&lt;/auth-address&gt;&lt;titles&gt;&lt;title&gt;Gender differences in psychotic bipolar mania&lt;/title&gt;&lt;secondary-title&gt;Gend Med&lt;/secondary-title&gt;&lt;/titles&gt;&lt;pages&gt;356-61&lt;/pages&gt;&lt;volume&gt;6&lt;/volume&gt;&lt;number&gt;2&lt;/number&gt;&lt;keywords&gt;&lt;keyword&gt;Adult&lt;/keyword&gt;&lt;keyword&gt;Bipolar Disorder/*psychology&lt;/keyword&gt;&lt;keyword&gt;Delusions/diagnosis/*epidemiology&lt;/keyword&gt;&lt;keyword&gt;Female&lt;/keyword&gt;&lt;keyword&gt;Hallucinations/diagnosis/*epidemiology&lt;/keyword&gt;&lt;keyword&gt;Hospitalization&lt;/keyword&gt;&lt;keyword&gt;Humans&lt;/keyword&gt;&lt;keyword&gt;Male&lt;/keyword&gt;&lt;keyword&gt;Prevalence&lt;/keyword&gt;&lt;keyword&gt;Psychiatric Status Rating Scales&lt;/keyword&gt;&lt;keyword&gt;Sex Distribution&lt;/keyword&gt;&lt;/keywords&gt;&lt;dates&gt;&lt;year&gt;2009&lt;/year&gt;&lt;pub-dates&gt;&lt;date&gt;Jul&lt;/date&gt;&lt;/pub-dates&gt;&lt;/dates&gt;&lt;isbn&gt;1878-7398 (Electronic)&amp;#xD;1550-8579 (Linking)&lt;/isbn&gt;&lt;accession-num&gt;19682662&lt;/accession-num&gt;&lt;urls&gt;&lt;related-urls&gt;&lt;url&gt;https://www.ncbi.nlm.nih.gov/pubmed/19682662&lt;/url&gt;&lt;/related-urls&gt;&lt;/urls&gt;&lt;electronic-resource-num&gt;10.1016/j.genm.2009.07.004&lt;/electronic-resource-num&gt;&lt;remote-database-name&gt;Medline&lt;/remote-database-name&gt;&lt;remote-database-provider&gt;NLM&lt;/remote-database-provider&gt;&lt;/record&gt;&lt;/Cite&gt;&lt;/EndNote&gt;</w:instrText>
            </w:r>
            <w:r w:rsidRPr="004D46AC">
              <w:fldChar w:fldCharType="separate"/>
            </w:r>
            <w:r w:rsidRPr="004D46AC">
              <w:t>Braunig et al. (2009)</w:t>
            </w:r>
            <w:r w:rsidRPr="004D46AC">
              <w:fldChar w:fldCharType="end"/>
            </w:r>
          </w:p>
        </w:tc>
        <w:tc>
          <w:tcPr>
            <w:tcW w:w="1189" w:type="dxa"/>
            <w:vAlign w:val="center"/>
          </w:tcPr>
          <w:p w14:paraId="6AC38595" w14:textId="77777777" w:rsidR="009864DB" w:rsidRPr="004D46AC" w:rsidRDefault="009864DB" w:rsidP="009864DB">
            <w:pPr>
              <w:spacing w:line="240" w:lineRule="auto"/>
              <w:ind w:firstLine="0"/>
            </w:pPr>
            <w:r w:rsidRPr="004D46AC">
              <w:t>6</w:t>
            </w:r>
          </w:p>
        </w:tc>
        <w:tc>
          <w:tcPr>
            <w:tcW w:w="1186" w:type="dxa"/>
            <w:vAlign w:val="center"/>
          </w:tcPr>
          <w:p w14:paraId="69E88C14" w14:textId="77777777" w:rsidR="009864DB" w:rsidRPr="004D46AC" w:rsidRDefault="009864DB" w:rsidP="009864DB">
            <w:pPr>
              <w:spacing w:line="240" w:lineRule="auto"/>
              <w:ind w:firstLine="0"/>
            </w:pPr>
            <w:r w:rsidRPr="004D46AC">
              <w:t>41.27</w:t>
            </w:r>
          </w:p>
        </w:tc>
        <w:tc>
          <w:tcPr>
            <w:tcW w:w="1235" w:type="dxa"/>
            <w:vAlign w:val="center"/>
          </w:tcPr>
          <w:p w14:paraId="1952CB23" w14:textId="77777777" w:rsidR="009864DB" w:rsidRPr="004D46AC" w:rsidRDefault="009864DB" w:rsidP="009864DB">
            <w:pPr>
              <w:spacing w:line="240" w:lineRule="auto"/>
              <w:ind w:firstLine="0"/>
            </w:pPr>
            <w:r w:rsidRPr="004D46AC">
              <w:t>DSM4</w:t>
            </w:r>
          </w:p>
        </w:tc>
        <w:tc>
          <w:tcPr>
            <w:tcW w:w="1524" w:type="dxa"/>
            <w:vAlign w:val="center"/>
          </w:tcPr>
          <w:p w14:paraId="1847B876" w14:textId="77777777" w:rsidR="009864DB" w:rsidRPr="004D46AC" w:rsidRDefault="009864DB" w:rsidP="009864DB">
            <w:pPr>
              <w:spacing w:line="240" w:lineRule="auto"/>
              <w:ind w:firstLine="0"/>
            </w:pPr>
            <w:r w:rsidRPr="004D46AC">
              <w:t>AMDP</w:t>
            </w:r>
          </w:p>
        </w:tc>
        <w:tc>
          <w:tcPr>
            <w:tcW w:w="1177" w:type="dxa"/>
            <w:vAlign w:val="center"/>
          </w:tcPr>
          <w:p w14:paraId="127C49EE" w14:textId="77777777" w:rsidR="009864DB" w:rsidRPr="004D46AC" w:rsidRDefault="009864DB" w:rsidP="009864DB">
            <w:pPr>
              <w:spacing w:line="240" w:lineRule="auto"/>
              <w:ind w:firstLine="0"/>
            </w:pPr>
            <w:r w:rsidRPr="004D46AC">
              <w:t>246</w:t>
            </w:r>
          </w:p>
        </w:tc>
        <w:tc>
          <w:tcPr>
            <w:tcW w:w="1210" w:type="dxa"/>
            <w:vAlign w:val="center"/>
          </w:tcPr>
          <w:p w14:paraId="452CF8BE" w14:textId="77777777" w:rsidR="009864DB" w:rsidRPr="004D46AC" w:rsidRDefault="009864DB" w:rsidP="009864DB">
            <w:pPr>
              <w:spacing w:line="240" w:lineRule="auto"/>
              <w:ind w:firstLine="0"/>
            </w:pPr>
            <w:r w:rsidRPr="004D46AC">
              <w:t>unclear</w:t>
            </w:r>
          </w:p>
        </w:tc>
        <w:tc>
          <w:tcPr>
            <w:tcW w:w="1155" w:type="dxa"/>
            <w:vAlign w:val="center"/>
          </w:tcPr>
          <w:p w14:paraId="694F5D39" w14:textId="77777777" w:rsidR="009864DB" w:rsidRPr="004D46AC" w:rsidRDefault="009864DB" w:rsidP="009864DB">
            <w:pPr>
              <w:spacing w:line="240" w:lineRule="auto"/>
              <w:ind w:firstLine="0"/>
            </w:pPr>
            <w:r w:rsidRPr="004D46AC">
              <w:t>2</w:t>
            </w:r>
          </w:p>
        </w:tc>
        <w:tc>
          <w:tcPr>
            <w:tcW w:w="1150" w:type="dxa"/>
          </w:tcPr>
          <w:p w14:paraId="24B8497F" w14:textId="77777777" w:rsidR="009864DB" w:rsidRPr="004D46AC" w:rsidRDefault="009864DB" w:rsidP="009864DB">
            <w:pPr>
              <w:spacing w:line="240" w:lineRule="auto"/>
              <w:ind w:firstLine="0"/>
            </w:pPr>
            <w:r w:rsidRPr="004D46AC">
              <w:t>0</w:t>
            </w:r>
          </w:p>
        </w:tc>
        <w:tc>
          <w:tcPr>
            <w:tcW w:w="1756" w:type="dxa"/>
            <w:vAlign w:val="center"/>
          </w:tcPr>
          <w:p w14:paraId="4CE8554B" w14:textId="77777777" w:rsidR="009864DB" w:rsidRPr="004D46AC" w:rsidRDefault="009864DB" w:rsidP="009864DB">
            <w:pPr>
              <w:spacing w:line="240" w:lineRule="auto"/>
              <w:ind w:firstLine="0"/>
            </w:pPr>
            <w:r w:rsidRPr="004D46AC">
              <w:t>any</w:t>
            </w:r>
          </w:p>
        </w:tc>
        <w:tc>
          <w:tcPr>
            <w:tcW w:w="1152" w:type="dxa"/>
            <w:vAlign w:val="center"/>
          </w:tcPr>
          <w:p w14:paraId="081CF504" w14:textId="77777777" w:rsidR="009864DB" w:rsidRPr="004D46AC" w:rsidRDefault="009864DB" w:rsidP="009864DB">
            <w:pPr>
              <w:spacing w:line="240" w:lineRule="auto"/>
              <w:ind w:firstLine="0"/>
            </w:pPr>
            <w:r w:rsidRPr="004D46AC">
              <w:t>118</w:t>
            </w:r>
          </w:p>
        </w:tc>
      </w:tr>
      <w:tr w:rsidR="009864DB" w:rsidRPr="004D46AC" w14:paraId="22D0484A" w14:textId="77777777" w:rsidTr="00B518F1">
        <w:trPr>
          <w:trHeight w:val="254"/>
        </w:trPr>
        <w:tc>
          <w:tcPr>
            <w:tcW w:w="1440" w:type="dxa"/>
          </w:tcPr>
          <w:p w14:paraId="74DE9EA1"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AuthorYear="1"&gt;&lt;Author&gt;Abrams&lt;/Author&gt;&lt;Year&gt;1981&lt;/Year&gt;&lt;RecNum&gt;248&lt;/RecNum&gt;&lt;DisplayText&gt;Abrams and Taylor (1981)&lt;/DisplayText&gt;&lt;record&gt;&lt;rec-number&gt;248&lt;/rec-number&gt;&lt;foreign-keys&gt;&lt;key app="EN" db-id="aet009sstawa0hewvt3xwf5atffdw2dt02sw" timestamp="1666273817"&gt;248&lt;/key&gt;&lt;/foreign-keys&gt;&lt;ref-type name="Journal Article"&gt;17&lt;/ref-type&gt;&lt;contributors&gt;&lt;authors&gt;&lt;author&gt;Abrams, R.&lt;/author&gt;&lt;author&gt;Taylor, M. A.&lt;/author&gt;&lt;/authors&gt;&lt;/contributors&gt;&lt;titles&gt;&lt;title&gt;Importance of schizophrenic symptoms in the diagnosis of mania&lt;/title&gt;&lt;secondary-title&gt;Am J Psychiatry&lt;/secondary-title&gt;&lt;/titles&gt;&lt;periodical&gt;&lt;full-title&gt;Am J Psychiatry&lt;/full-title&gt;&lt;/periodical&gt;&lt;pages&gt;658-61&lt;/pages&gt;&lt;volume&gt;138&lt;/volume&gt;&lt;number&gt;5&lt;/number&gt;&lt;keywords&gt;&lt;keyword&gt;Affective Disorders, Psychotic/*diagnosis&lt;/keyword&gt;&lt;keyword&gt;Bipolar Disorder/*diagnosis&lt;/keyword&gt;&lt;keyword&gt;Diagnosis, Differential&lt;/keyword&gt;&lt;keyword&gt;Humans&lt;/keyword&gt;&lt;keyword&gt;Prognosis&lt;/keyword&gt;&lt;keyword&gt;Schizophrenia/diagnosis&lt;/keyword&gt;&lt;/keywords&gt;&lt;dates&gt;&lt;year&gt;1981&lt;/year&gt;&lt;pub-dates&gt;&lt;date&gt;May&lt;/date&gt;&lt;/pub-dates&gt;&lt;/dates&gt;&lt;isbn&gt;0002-953X (Print)&amp;#xD;0002-953X (Linking)&lt;/isbn&gt;&lt;accession-num&gt;7235064&lt;/accession-num&gt;&lt;urls&gt;&lt;related-urls&gt;&lt;url&gt;https://www.ncbi.nlm.nih.gov/pubmed/7235064&lt;/url&gt;&lt;/related-urls&gt;&lt;/urls&gt;&lt;electronic-resource-num&gt;10.1176/ajp.138.5.658&lt;/electronic-resource-num&gt;&lt;remote-database-name&gt;Medline&lt;/remote-database-name&gt;&lt;remote-database-provider&gt;NLM&lt;/remote-database-provider&gt;&lt;language&gt;eng&lt;/language&gt;&lt;/record&gt;&lt;/Cite&gt;&lt;/EndNote&gt;</w:instrText>
            </w:r>
            <w:r w:rsidRPr="004D46AC">
              <w:fldChar w:fldCharType="separate"/>
            </w:r>
            <w:r w:rsidRPr="004D46AC">
              <w:t>Abrams and Taylor (1981)</w:t>
            </w:r>
            <w:r w:rsidRPr="004D46AC">
              <w:fldChar w:fldCharType="end"/>
            </w:r>
          </w:p>
        </w:tc>
        <w:tc>
          <w:tcPr>
            <w:tcW w:w="1189" w:type="dxa"/>
            <w:vAlign w:val="center"/>
          </w:tcPr>
          <w:p w14:paraId="1B786BB8" w14:textId="77777777" w:rsidR="009864DB" w:rsidRPr="004D46AC" w:rsidRDefault="009864DB" w:rsidP="009864DB">
            <w:pPr>
              <w:spacing w:line="240" w:lineRule="auto"/>
              <w:ind w:firstLine="0"/>
            </w:pPr>
            <w:r w:rsidRPr="004D46AC">
              <w:t>6</w:t>
            </w:r>
          </w:p>
        </w:tc>
        <w:tc>
          <w:tcPr>
            <w:tcW w:w="1186" w:type="dxa"/>
            <w:vAlign w:val="center"/>
          </w:tcPr>
          <w:p w14:paraId="75C9349A" w14:textId="77777777" w:rsidR="009864DB" w:rsidRPr="004D46AC" w:rsidRDefault="009864DB" w:rsidP="009864DB">
            <w:pPr>
              <w:spacing w:line="240" w:lineRule="auto"/>
              <w:ind w:firstLine="0"/>
            </w:pPr>
            <w:r w:rsidRPr="004D46AC">
              <w:t>40.32</w:t>
            </w:r>
          </w:p>
        </w:tc>
        <w:tc>
          <w:tcPr>
            <w:tcW w:w="1235" w:type="dxa"/>
            <w:vAlign w:val="center"/>
          </w:tcPr>
          <w:p w14:paraId="42F3F214" w14:textId="77777777" w:rsidR="009864DB" w:rsidRPr="004D46AC" w:rsidRDefault="009864DB" w:rsidP="009864DB">
            <w:pPr>
              <w:spacing w:line="240" w:lineRule="auto"/>
              <w:ind w:firstLine="0"/>
            </w:pPr>
            <w:proofErr w:type="spellStart"/>
            <w:r w:rsidRPr="004D46AC">
              <w:t>feighner</w:t>
            </w:r>
            <w:proofErr w:type="spellEnd"/>
          </w:p>
        </w:tc>
        <w:tc>
          <w:tcPr>
            <w:tcW w:w="1524" w:type="dxa"/>
            <w:vAlign w:val="center"/>
          </w:tcPr>
          <w:p w14:paraId="239AC61B" w14:textId="77777777" w:rsidR="009864DB" w:rsidRPr="004D46AC" w:rsidRDefault="009864DB" w:rsidP="009864DB">
            <w:pPr>
              <w:spacing w:line="240" w:lineRule="auto"/>
              <w:ind w:firstLine="0"/>
            </w:pPr>
            <w:r w:rsidRPr="004D46AC">
              <w:t>unclear</w:t>
            </w:r>
          </w:p>
        </w:tc>
        <w:tc>
          <w:tcPr>
            <w:tcW w:w="1177" w:type="dxa"/>
            <w:vAlign w:val="center"/>
          </w:tcPr>
          <w:p w14:paraId="03AEAF50" w14:textId="77777777" w:rsidR="009864DB" w:rsidRPr="004D46AC" w:rsidRDefault="009864DB" w:rsidP="009864DB">
            <w:pPr>
              <w:spacing w:line="240" w:lineRule="auto"/>
              <w:ind w:firstLine="0"/>
            </w:pPr>
            <w:r w:rsidRPr="004D46AC">
              <w:t>111</w:t>
            </w:r>
          </w:p>
        </w:tc>
        <w:tc>
          <w:tcPr>
            <w:tcW w:w="1210" w:type="dxa"/>
            <w:vAlign w:val="center"/>
          </w:tcPr>
          <w:p w14:paraId="5F8837B3" w14:textId="77777777" w:rsidR="009864DB" w:rsidRPr="004D46AC" w:rsidRDefault="009864DB" w:rsidP="009864DB">
            <w:pPr>
              <w:spacing w:line="240" w:lineRule="auto"/>
              <w:ind w:firstLine="0"/>
            </w:pPr>
            <w:r w:rsidRPr="004D46AC">
              <w:t>3</w:t>
            </w:r>
          </w:p>
        </w:tc>
        <w:tc>
          <w:tcPr>
            <w:tcW w:w="1155" w:type="dxa"/>
            <w:vAlign w:val="center"/>
          </w:tcPr>
          <w:p w14:paraId="07CDAB3E" w14:textId="77777777" w:rsidR="009864DB" w:rsidRPr="004D46AC" w:rsidRDefault="009864DB" w:rsidP="009864DB">
            <w:pPr>
              <w:spacing w:line="240" w:lineRule="auto"/>
              <w:ind w:firstLine="0"/>
            </w:pPr>
            <w:r w:rsidRPr="004D46AC">
              <w:t>2</w:t>
            </w:r>
          </w:p>
        </w:tc>
        <w:tc>
          <w:tcPr>
            <w:tcW w:w="1150" w:type="dxa"/>
          </w:tcPr>
          <w:p w14:paraId="782F1B7F" w14:textId="77777777" w:rsidR="009864DB" w:rsidRPr="004D46AC" w:rsidRDefault="009864DB" w:rsidP="009864DB">
            <w:pPr>
              <w:spacing w:line="240" w:lineRule="auto"/>
              <w:ind w:firstLine="0"/>
            </w:pPr>
            <w:r w:rsidRPr="004D46AC">
              <w:t>0</w:t>
            </w:r>
          </w:p>
        </w:tc>
        <w:tc>
          <w:tcPr>
            <w:tcW w:w="1756" w:type="dxa"/>
            <w:vAlign w:val="center"/>
          </w:tcPr>
          <w:p w14:paraId="423EDD42" w14:textId="77777777" w:rsidR="009864DB" w:rsidRPr="004D46AC" w:rsidRDefault="009864DB" w:rsidP="009864DB">
            <w:pPr>
              <w:spacing w:line="240" w:lineRule="auto"/>
              <w:ind w:firstLine="0"/>
            </w:pPr>
            <w:r w:rsidRPr="004D46AC">
              <w:t>persecutory</w:t>
            </w:r>
          </w:p>
        </w:tc>
        <w:tc>
          <w:tcPr>
            <w:tcW w:w="1152" w:type="dxa"/>
            <w:vAlign w:val="center"/>
          </w:tcPr>
          <w:p w14:paraId="00BB0C37" w14:textId="77777777" w:rsidR="009864DB" w:rsidRPr="004D46AC" w:rsidRDefault="009864DB" w:rsidP="009864DB">
            <w:pPr>
              <w:spacing w:line="240" w:lineRule="auto"/>
              <w:ind w:firstLine="0"/>
            </w:pPr>
            <w:r w:rsidRPr="004D46AC">
              <w:t>37</w:t>
            </w:r>
          </w:p>
        </w:tc>
      </w:tr>
      <w:tr w:rsidR="009864DB" w:rsidRPr="004D46AC" w14:paraId="6D04751F" w14:textId="77777777" w:rsidTr="00B518F1">
        <w:trPr>
          <w:trHeight w:val="254"/>
        </w:trPr>
        <w:tc>
          <w:tcPr>
            <w:tcW w:w="1440" w:type="dxa"/>
          </w:tcPr>
          <w:p w14:paraId="2B71FC1A" w14:textId="77777777" w:rsidR="009864DB" w:rsidRPr="004D46AC" w:rsidRDefault="009864DB" w:rsidP="009864DB">
            <w:pPr>
              <w:spacing w:line="240" w:lineRule="auto"/>
              <w:ind w:firstLine="0"/>
            </w:pPr>
            <w:r w:rsidRPr="004D46AC">
              <w:fldChar w:fldCharType="begin">
                <w:fldData xml:space="preserve">PEVuZE5vdGU+PENpdGUgQXV0aG9yWWVhcj0iMSI+PEF1dGhvcj5QcmFrYXNoPC9BdXRob3I+PFll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instrText xml:space="preserve"> ADDIN EN.CITE </w:instrText>
            </w:r>
            <w:r w:rsidRPr="004D46AC">
              <w:fldChar w:fldCharType="begin">
                <w:fldData xml:space="preserve">PEVuZE5vdGU+PENpdGUgQXV0aG9yWWVhcj0iMSI+PEF1dGhvcj5QcmFrYXNoPC9BdXRob3I+PFll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instrText xml:space="preserve"> ADDIN EN.CITE.DATA </w:instrText>
            </w:r>
            <w:r w:rsidRPr="004D46AC">
              <w:fldChar w:fldCharType="end"/>
            </w:r>
            <w:r w:rsidRPr="004D46AC">
              <w:fldChar w:fldCharType="separate"/>
            </w:r>
            <w:r w:rsidRPr="004D46AC">
              <w:t>Prakash et al. (2009)</w:t>
            </w:r>
            <w:r w:rsidRPr="004D46AC">
              <w:fldChar w:fldCharType="end"/>
            </w:r>
          </w:p>
        </w:tc>
        <w:tc>
          <w:tcPr>
            <w:tcW w:w="1189" w:type="dxa"/>
            <w:vAlign w:val="center"/>
          </w:tcPr>
          <w:p w14:paraId="4EE13FC8" w14:textId="77777777" w:rsidR="009864DB" w:rsidRPr="004D46AC" w:rsidRDefault="009864DB" w:rsidP="009864DB">
            <w:pPr>
              <w:spacing w:line="240" w:lineRule="auto"/>
              <w:ind w:firstLine="0"/>
            </w:pPr>
            <w:r w:rsidRPr="004D46AC">
              <w:t>5</w:t>
            </w:r>
          </w:p>
        </w:tc>
        <w:tc>
          <w:tcPr>
            <w:tcW w:w="1186" w:type="dxa"/>
            <w:vAlign w:val="center"/>
          </w:tcPr>
          <w:p w14:paraId="3258C50B" w14:textId="77777777" w:rsidR="009864DB" w:rsidRPr="004D46AC" w:rsidRDefault="009864DB" w:rsidP="009864DB">
            <w:pPr>
              <w:spacing w:line="240" w:lineRule="auto"/>
              <w:ind w:firstLine="0"/>
            </w:pPr>
            <w:r w:rsidRPr="004D46AC">
              <w:t>68.5</w:t>
            </w:r>
          </w:p>
        </w:tc>
        <w:tc>
          <w:tcPr>
            <w:tcW w:w="1235" w:type="dxa"/>
            <w:vAlign w:val="center"/>
          </w:tcPr>
          <w:p w14:paraId="128C1004" w14:textId="77777777" w:rsidR="009864DB" w:rsidRPr="004D46AC" w:rsidRDefault="009864DB" w:rsidP="009864DB">
            <w:pPr>
              <w:spacing w:line="240" w:lineRule="auto"/>
              <w:ind w:firstLine="0"/>
            </w:pPr>
            <w:r w:rsidRPr="004D46AC">
              <w:t>ICD10</w:t>
            </w:r>
          </w:p>
        </w:tc>
        <w:tc>
          <w:tcPr>
            <w:tcW w:w="1524" w:type="dxa"/>
            <w:vAlign w:val="center"/>
          </w:tcPr>
          <w:p w14:paraId="224F14D7" w14:textId="77777777" w:rsidR="009864DB" w:rsidRPr="004D46AC" w:rsidRDefault="009864DB" w:rsidP="009864DB">
            <w:pPr>
              <w:spacing w:line="240" w:lineRule="auto"/>
              <w:ind w:firstLine="0"/>
            </w:pPr>
            <w:r w:rsidRPr="004D46AC">
              <w:t>unclear</w:t>
            </w:r>
          </w:p>
        </w:tc>
        <w:tc>
          <w:tcPr>
            <w:tcW w:w="1177" w:type="dxa"/>
            <w:vAlign w:val="center"/>
          </w:tcPr>
          <w:p w14:paraId="4EDF3619" w14:textId="77777777" w:rsidR="009864DB" w:rsidRPr="004D46AC" w:rsidRDefault="009864DB" w:rsidP="009864DB">
            <w:pPr>
              <w:spacing w:line="240" w:lineRule="auto"/>
              <w:ind w:firstLine="0"/>
            </w:pPr>
            <w:r w:rsidRPr="004D46AC">
              <w:t>30</w:t>
            </w:r>
          </w:p>
        </w:tc>
        <w:tc>
          <w:tcPr>
            <w:tcW w:w="1210" w:type="dxa"/>
            <w:vAlign w:val="center"/>
          </w:tcPr>
          <w:p w14:paraId="642B4D8C" w14:textId="77777777" w:rsidR="009864DB" w:rsidRPr="004D46AC" w:rsidRDefault="009864DB" w:rsidP="009864DB">
            <w:pPr>
              <w:spacing w:line="240" w:lineRule="auto"/>
              <w:ind w:firstLine="0"/>
            </w:pPr>
            <w:r w:rsidRPr="004D46AC">
              <w:t>1</w:t>
            </w:r>
          </w:p>
        </w:tc>
        <w:tc>
          <w:tcPr>
            <w:tcW w:w="1155" w:type="dxa"/>
            <w:vAlign w:val="center"/>
          </w:tcPr>
          <w:p w14:paraId="6C4AE659" w14:textId="77777777" w:rsidR="009864DB" w:rsidRPr="004D46AC" w:rsidRDefault="009864DB" w:rsidP="009864DB">
            <w:pPr>
              <w:spacing w:line="240" w:lineRule="auto"/>
              <w:ind w:firstLine="0"/>
            </w:pPr>
            <w:r w:rsidRPr="004D46AC">
              <w:t>2</w:t>
            </w:r>
          </w:p>
        </w:tc>
        <w:tc>
          <w:tcPr>
            <w:tcW w:w="1150" w:type="dxa"/>
          </w:tcPr>
          <w:p w14:paraId="1073D327" w14:textId="77777777" w:rsidR="009864DB" w:rsidRPr="004D46AC" w:rsidRDefault="009864DB" w:rsidP="009864DB">
            <w:pPr>
              <w:spacing w:line="240" w:lineRule="auto"/>
              <w:ind w:firstLine="0"/>
            </w:pPr>
            <w:r w:rsidRPr="004D46AC">
              <w:t>0</w:t>
            </w:r>
          </w:p>
        </w:tc>
        <w:tc>
          <w:tcPr>
            <w:tcW w:w="1756" w:type="dxa"/>
            <w:vAlign w:val="center"/>
          </w:tcPr>
          <w:p w14:paraId="46784B85" w14:textId="77777777" w:rsidR="009864DB" w:rsidRPr="004D46AC" w:rsidRDefault="009864DB" w:rsidP="009864DB">
            <w:pPr>
              <w:spacing w:line="240" w:lineRule="auto"/>
              <w:ind w:firstLine="0"/>
            </w:pPr>
            <w:r w:rsidRPr="004D46AC">
              <w:t>any</w:t>
            </w:r>
          </w:p>
        </w:tc>
        <w:tc>
          <w:tcPr>
            <w:tcW w:w="1152" w:type="dxa"/>
            <w:vAlign w:val="center"/>
          </w:tcPr>
          <w:p w14:paraId="0FF60AAE" w14:textId="77777777" w:rsidR="009864DB" w:rsidRPr="004D46AC" w:rsidRDefault="009864DB" w:rsidP="009864DB">
            <w:pPr>
              <w:spacing w:line="240" w:lineRule="auto"/>
              <w:ind w:firstLine="0"/>
            </w:pPr>
            <w:r w:rsidRPr="004D46AC">
              <w:t>8</w:t>
            </w:r>
          </w:p>
        </w:tc>
      </w:tr>
      <w:tr w:rsidR="009864DB" w:rsidRPr="004D46AC" w14:paraId="50E60E96" w14:textId="77777777" w:rsidTr="00B518F1">
        <w:trPr>
          <w:trHeight w:val="254"/>
        </w:trPr>
        <w:tc>
          <w:tcPr>
            <w:tcW w:w="1440" w:type="dxa"/>
          </w:tcPr>
          <w:p w14:paraId="5F0E2424"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AuthorYear="1"&gt;&lt;Author&gt;Nisha&lt;/Author&gt;&lt;Year&gt;2015&lt;/Year&gt;&lt;RecNum&gt;256&lt;/RecNum&gt;&lt;DisplayText&gt;Nisha et al. (2015)&lt;/DisplayText&gt;&lt;record&gt;&lt;rec-number&gt;256&lt;/rec-number&gt;&lt;foreign-keys&gt;&lt;key app="EN" db-id="aet009sstawa0hewvt3xwf5atffdw2dt02sw" timestamp="1666336957"&gt;256&lt;/key&gt;&lt;/foreign-keys&gt;&lt;ref-type name="Journal Article"&gt;17&lt;/ref-type&gt;&lt;contributors&gt;&lt;authors&gt;&lt;author&gt;Nisha, A.&lt;/author&gt;&lt;author&gt;Sathesh, V.&lt;/author&gt;&lt;author&gt;Punnoose, V. P.&lt;/author&gt;&lt;author&gt;Varghese, P. J.&lt;/author&gt;&lt;/authors&gt;&lt;/contributors&gt;&lt;auth-address&gt;Department of Psychiatry, MOSC Medical College, Kolenchery, Ernakulam, Kerala, India.&amp;#xD;Department of Psychiatry, T D Medical College, Alappuzha, Kerala, India.&amp;#xD;Department of Psychiatry, Government Medical College, Kottayam, Kerala, India.&lt;/auth-address&gt;&lt;titles&gt;&lt;title&gt;A comparative study on psycho-socio-demographic and clinical profile of patients with bipolar versus unipolar depression&lt;/title&gt;&lt;secondary-title&gt;Indian J Psychiatry&lt;/secondary-title&gt;&lt;/titles&gt;&lt;periodical&gt;&lt;full-title&gt;Indian J Psychiatry&lt;/full-title&gt;&lt;/periodical&gt;&lt;pages&gt;392-6&lt;/pages&gt;&lt;volume&gt;57&lt;/volume&gt;&lt;number&gt;4&lt;/number&gt;&lt;keywords&gt;&lt;keyword&gt;Bipolar depression&lt;/keyword&gt;&lt;keyword&gt;comparative study&lt;/keyword&gt;&lt;keyword&gt;unipolar depression&lt;/keyword&gt;&lt;/keywords&gt;&lt;dates&gt;&lt;year&gt;2015&lt;/year&gt;&lt;pub-dates&gt;&lt;date&gt;Oct-Dec&lt;/date&gt;&lt;/pub-dates&gt;&lt;/dates&gt;&lt;isbn&gt;0019-5545 (Print)&amp;#xD;1998-3794 (Electronic)&amp;#xD;0019-5545 (Linking)&lt;/isbn&gt;&lt;accession-num&gt;26813699&lt;/accession-num&gt;&lt;urls&gt;&lt;related-urls&gt;&lt;url&gt;https://www.ncbi.nlm.nih.gov/pubmed/26813699&lt;/url&gt;&lt;/related-urls&gt;&lt;/urls&gt;&lt;custom2&gt;PMC4711241&lt;/custom2&gt;&lt;electronic-resource-num&gt;10.4103/0019-5545.171842&lt;/electronic-resource-num&gt;&lt;remote-database-name&gt;PubMed-not-MEDLINE&lt;/remote-database-name&gt;&lt;remote-database-provider&gt;PIP&lt;/remote-database-provider&gt;&lt;language&gt;eng&lt;/language&gt;&lt;/record&gt;&lt;/Cite&gt;&lt;/EndNote&gt;</w:instrText>
            </w:r>
            <w:r w:rsidRPr="004D46AC">
              <w:fldChar w:fldCharType="separate"/>
            </w:r>
            <w:r w:rsidRPr="004D46AC">
              <w:t>Nisha et al. (2015)</w:t>
            </w:r>
            <w:r w:rsidRPr="004D46AC">
              <w:fldChar w:fldCharType="end"/>
            </w:r>
          </w:p>
        </w:tc>
        <w:tc>
          <w:tcPr>
            <w:tcW w:w="1189" w:type="dxa"/>
            <w:vAlign w:val="center"/>
          </w:tcPr>
          <w:p w14:paraId="3C8D58E9" w14:textId="77777777" w:rsidR="009864DB" w:rsidRPr="004D46AC" w:rsidRDefault="009864DB" w:rsidP="009864DB">
            <w:pPr>
              <w:spacing w:line="240" w:lineRule="auto"/>
              <w:ind w:firstLine="0"/>
            </w:pPr>
            <w:r w:rsidRPr="004D46AC">
              <w:t>6</w:t>
            </w:r>
          </w:p>
        </w:tc>
        <w:tc>
          <w:tcPr>
            <w:tcW w:w="1186" w:type="dxa"/>
            <w:vAlign w:val="center"/>
          </w:tcPr>
          <w:p w14:paraId="1598C8B3" w14:textId="77777777" w:rsidR="009864DB" w:rsidRPr="004D46AC" w:rsidRDefault="009864DB" w:rsidP="009864DB">
            <w:pPr>
              <w:spacing w:line="240" w:lineRule="auto"/>
              <w:ind w:firstLine="0"/>
            </w:pPr>
            <w:r w:rsidRPr="004D46AC">
              <w:t>39.1</w:t>
            </w:r>
          </w:p>
        </w:tc>
        <w:tc>
          <w:tcPr>
            <w:tcW w:w="1235" w:type="dxa"/>
            <w:vAlign w:val="center"/>
          </w:tcPr>
          <w:p w14:paraId="21583DA4" w14:textId="77777777" w:rsidR="009864DB" w:rsidRPr="004D46AC" w:rsidRDefault="009864DB" w:rsidP="009864DB">
            <w:pPr>
              <w:spacing w:line="240" w:lineRule="auto"/>
              <w:ind w:firstLine="0"/>
            </w:pPr>
            <w:r w:rsidRPr="004D46AC">
              <w:t>DCR10</w:t>
            </w:r>
          </w:p>
        </w:tc>
        <w:tc>
          <w:tcPr>
            <w:tcW w:w="1524" w:type="dxa"/>
            <w:vAlign w:val="center"/>
          </w:tcPr>
          <w:p w14:paraId="51418269" w14:textId="77777777" w:rsidR="009864DB" w:rsidRPr="004D46AC" w:rsidRDefault="009864DB" w:rsidP="009864DB">
            <w:pPr>
              <w:spacing w:line="240" w:lineRule="auto"/>
              <w:ind w:firstLine="0"/>
            </w:pPr>
            <w:r w:rsidRPr="004D46AC">
              <w:t>unclear</w:t>
            </w:r>
          </w:p>
        </w:tc>
        <w:tc>
          <w:tcPr>
            <w:tcW w:w="1177" w:type="dxa"/>
            <w:vAlign w:val="center"/>
          </w:tcPr>
          <w:p w14:paraId="5934DB12" w14:textId="77777777" w:rsidR="009864DB" w:rsidRPr="004D46AC" w:rsidRDefault="009864DB" w:rsidP="009864DB">
            <w:pPr>
              <w:spacing w:line="240" w:lineRule="auto"/>
              <w:ind w:firstLine="0"/>
            </w:pPr>
            <w:r w:rsidRPr="004D46AC">
              <w:t>30</w:t>
            </w:r>
          </w:p>
        </w:tc>
        <w:tc>
          <w:tcPr>
            <w:tcW w:w="1210" w:type="dxa"/>
            <w:vAlign w:val="center"/>
          </w:tcPr>
          <w:p w14:paraId="5BC53514" w14:textId="77777777" w:rsidR="009864DB" w:rsidRPr="004D46AC" w:rsidRDefault="009864DB" w:rsidP="009864DB">
            <w:pPr>
              <w:spacing w:line="240" w:lineRule="auto"/>
              <w:ind w:firstLine="0"/>
            </w:pPr>
            <w:r w:rsidRPr="004D46AC">
              <w:t>3</w:t>
            </w:r>
          </w:p>
        </w:tc>
        <w:tc>
          <w:tcPr>
            <w:tcW w:w="1155" w:type="dxa"/>
            <w:vAlign w:val="center"/>
          </w:tcPr>
          <w:p w14:paraId="37921D8D" w14:textId="77777777" w:rsidR="009864DB" w:rsidRPr="004D46AC" w:rsidRDefault="009864DB" w:rsidP="009864DB">
            <w:pPr>
              <w:spacing w:line="240" w:lineRule="auto"/>
              <w:ind w:firstLine="0"/>
            </w:pPr>
            <w:r w:rsidRPr="004D46AC">
              <w:t>1</w:t>
            </w:r>
          </w:p>
        </w:tc>
        <w:tc>
          <w:tcPr>
            <w:tcW w:w="1150" w:type="dxa"/>
          </w:tcPr>
          <w:p w14:paraId="7B848987" w14:textId="77777777" w:rsidR="009864DB" w:rsidRPr="004D46AC" w:rsidRDefault="009864DB" w:rsidP="009864DB">
            <w:pPr>
              <w:spacing w:line="240" w:lineRule="auto"/>
              <w:ind w:firstLine="0"/>
            </w:pPr>
            <w:r w:rsidRPr="004D46AC">
              <w:t>0</w:t>
            </w:r>
          </w:p>
        </w:tc>
        <w:tc>
          <w:tcPr>
            <w:tcW w:w="1756" w:type="dxa"/>
            <w:vAlign w:val="center"/>
          </w:tcPr>
          <w:p w14:paraId="269D020C" w14:textId="77777777" w:rsidR="009864DB" w:rsidRPr="004D46AC" w:rsidRDefault="009864DB" w:rsidP="009864DB">
            <w:pPr>
              <w:spacing w:line="240" w:lineRule="auto"/>
              <w:ind w:firstLine="0"/>
            </w:pPr>
            <w:r w:rsidRPr="004D46AC">
              <w:t>any</w:t>
            </w:r>
          </w:p>
        </w:tc>
        <w:tc>
          <w:tcPr>
            <w:tcW w:w="1152" w:type="dxa"/>
            <w:vAlign w:val="center"/>
          </w:tcPr>
          <w:p w14:paraId="70643F87" w14:textId="77777777" w:rsidR="009864DB" w:rsidRPr="004D46AC" w:rsidRDefault="009864DB" w:rsidP="009864DB">
            <w:pPr>
              <w:spacing w:line="240" w:lineRule="auto"/>
              <w:ind w:firstLine="0"/>
            </w:pPr>
            <w:r w:rsidRPr="004D46AC">
              <w:t>23</w:t>
            </w:r>
          </w:p>
        </w:tc>
      </w:tr>
      <w:tr w:rsidR="009864DB" w:rsidRPr="004D46AC" w14:paraId="10EB3CB8" w14:textId="77777777" w:rsidTr="00B518F1">
        <w:trPr>
          <w:trHeight w:val="254"/>
        </w:trPr>
        <w:tc>
          <w:tcPr>
            <w:tcW w:w="1440" w:type="dxa"/>
          </w:tcPr>
          <w:p w14:paraId="24CA63BD"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AuthorYear="1"&gt;&lt;Author&gt;Sethi&lt;/Author&gt;&lt;Year&gt;1993&lt;/Year&gt;&lt;RecNum&gt;257&lt;/RecNum&gt;&lt;DisplayText&gt;Sethi and Khanna (1993)&lt;/DisplayText&gt;&lt;record&gt;&lt;rec-number&gt;257&lt;/rec-number&gt;&lt;foreign-keys&gt;&lt;key app="EN" db-id="aet009sstawa0hewvt3xwf5atffdw2dt02sw" timestamp="1666337668"&gt;257&lt;/key&gt;&lt;/foreign-keys&gt;&lt;ref-type name="Journal Article"&gt;17&lt;/ref-type&gt;&lt;contributors&gt;&lt;authors&gt;&lt;author&gt;Sethi, S.&lt;/author&gt;&lt;author&gt;Khanna, R.&lt;/author&gt;&lt;/authors&gt;&lt;/contributors&gt;&lt;auth-address&gt;Central Institute of Psychiatry, Kanke, Ranchi, India.&lt;/auth-address&gt;&lt;titles&gt;&lt;title&gt;Phenomenology of mania in eastern India&lt;/title&gt;&lt;secondary-title&gt;Psychopathology&lt;/secondary-title&gt;&lt;/titles&gt;&lt;periodical&gt;&lt;full-title&gt;Psychopathology&lt;/full-title&gt;&lt;/periodical&gt;&lt;pages&gt;274-8&lt;/pages&gt;&lt;volume&gt;26&lt;/volume&gt;&lt;number&gt;5-6&lt;/number&gt;&lt;keywords&gt;&lt;keyword&gt;Adolescent&lt;/keyword&gt;&lt;keyword&gt;Adult&lt;/keyword&gt;&lt;keyword&gt;Bipolar Disorder/classification/*diagnosis/psychology&lt;/keyword&gt;&lt;keyword&gt;*Cross-Cultural Comparison&lt;/keyword&gt;&lt;keyword&gt;*Developing Countries&lt;/keyword&gt;&lt;keyword&gt;Female&lt;/keyword&gt;&lt;keyword&gt;Humans&lt;/keyword&gt;&lt;keyword&gt;India&lt;/keyword&gt;&lt;keyword&gt;Male&lt;/keyword&gt;&lt;keyword&gt;Middle Aged&lt;/keyword&gt;&lt;keyword&gt;Psychiatric Status Rating Scales&lt;/keyword&gt;&lt;/keywords&gt;&lt;dates&gt;&lt;year&gt;1993&lt;/year&gt;&lt;/dates&gt;&lt;isbn&gt;0254-4962 (Print)&amp;#xD;0254-4962 (Linking)&lt;/isbn&gt;&lt;accession-num&gt;8190847&lt;/accession-num&gt;&lt;urls&gt;&lt;related-urls&gt;&lt;url&gt;https://www.ncbi.nlm.nih.gov/pubmed/8190847&lt;/url&gt;&lt;/related-urls&gt;&lt;/urls&gt;&lt;electronic-resource-num&gt;10.1159/000284833&lt;/electronic-resource-num&gt;&lt;remote-database-name&gt;Medline&lt;/remote-database-name&gt;&lt;remote-database-provider&gt;NLM&lt;/remote-database-provider&gt;&lt;language&gt;eng&lt;/language&gt;&lt;/record&gt;&lt;/Cite&gt;&lt;/EndNote&gt;</w:instrText>
            </w:r>
            <w:r w:rsidRPr="004D46AC">
              <w:fldChar w:fldCharType="separate"/>
            </w:r>
            <w:r w:rsidRPr="004D46AC">
              <w:t>Sethi and Khanna (1993)</w:t>
            </w:r>
            <w:r w:rsidRPr="004D46AC">
              <w:fldChar w:fldCharType="end"/>
            </w:r>
          </w:p>
        </w:tc>
        <w:tc>
          <w:tcPr>
            <w:tcW w:w="1189" w:type="dxa"/>
            <w:vAlign w:val="center"/>
          </w:tcPr>
          <w:p w14:paraId="03611BEF" w14:textId="77777777" w:rsidR="009864DB" w:rsidRPr="004D46AC" w:rsidRDefault="009864DB" w:rsidP="009864DB">
            <w:pPr>
              <w:spacing w:line="240" w:lineRule="auto"/>
              <w:ind w:firstLine="0"/>
            </w:pPr>
            <w:r w:rsidRPr="004D46AC">
              <w:t>6</w:t>
            </w:r>
          </w:p>
        </w:tc>
        <w:tc>
          <w:tcPr>
            <w:tcW w:w="1186" w:type="dxa"/>
            <w:vAlign w:val="center"/>
          </w:tcPr>
          <w:p w14:paraId="3F79643C" w14:textId="77777777" w:rsidR="009864DB" w:rsidRPr="004D46AC" w:rsidRDefault="009864DB" w:rsidP="009864DB">
            <w:pPr>
              <w:spacing w:line="240" w:lineRule="auto"/>
              <w:ind w:firstLine="0"/>
            </w:pPr>
            <w:r w:rsidRPr="004D46AC">
              <w:t>27.7</w:t>
            </w:r>
          </w:p>
        </w:tc>
        <w:tc>
          <w:tcPr>
            <w:tcW w:w="1235" w:type="dxa"/>
            <w:vAlign w:val="center"/>
          </w:tcPr>
          <w:p w14:paraId="2F07256B" w14:textId="77777777" w:rsidR="009864DB" w:rsidRPr="004D46AC" w:rsidRDefault="009864DB" w:rsidP="009864DB">
            <w:pPr>
              <w:spacing w:line="240" w:lineRule="auto"/>
              <w:ind w:firstLine="0"/>
            </w:pPr>
            <w:r w:rsidRPr="004D46AC">
              <w:t>DSM3R</w:t>
            </w:r>
          </w:p>
        </w:tc>
        <w:tc>
          <w:tcPr>
            <w:tcW w:w="1524" w:type="dxa"/>
            <w:vAlign w:val="center"/>
          </w:tcPr>
          <w:p w14:paraId="4033489F" w14:textId="77777777" w:rsidR="009864DB" w:rsidRPr="004D46AC" w:rsidRDefault="009864DB" w:rsidP="009864DB">
            <w:pPr>
              <w:spacing w:line="240" w:lineRule="auto"/>
              <w:ind w:firstLine="0"/>
            </w:pPr>
            <w:r w:rsidRPr="004D46AC">
              <w:t>PSE</w:t>
            </w:r>
          </w:p>
        </w:tc>
        <w:tc>
          <w:tcPr>
            <w:tcW w:w="1177" w:type="dxa"/>
            <w:vAlign w:val="center"/>
          </w:tcPr>
          <w:p w14:paraId="0A75D1EF" w14:textId="77777777" w:rsidR="009864DB" w:rsidRPr="004D46AC" w:rsidRDefault="009864DB" w:rsidP="009864DB">
            <w:pPr>
              <w:spacing w:line="240" w:lineRule="auto"/>
              <w:ind w:firstLine="0"/>
            </w:pPr>
            <w:r w:rsidRPr="004D46AC">
              <w:t>100</w:t>
            </w:r>
          </w:p>
        </w:tc>
        <w:tc>
          <w:tcPr>
            <w:tcW w:w="1210" w:type="dxa"/>
            <w:vAlign w:val="center"/>
          </w:tcPr>
          <w:p w14:paraId="65036CF4" w14:textId="77777777" w:rsidR="009864DB" w:rsidRPr="004D46AC" w:rsidRDefault="009864DB" w:rsidP="009864DB">
            <w:pPr>
              <w:spacing w:line="240" w:lineRule="auto"/>
              <w:ind w:firstLine="0"/>
            </w:pPr>
            <w:r w:rsidRPr="004D46AC">
              <w:t>unclear</w:t>
            </w:r>
          </w:p>
        </w:tc>
        <w:tc>
          <w:tcPr>
            <w:tcW w:w="1155" w:type="dxa"/>
            <w:vAlign w:val="center"/>
          </w:tcPr>
          <w:p w14:paraId="4F77B025" w14:textId="77777777" w:rsidR="009864DB" w:rsidRPr="004D46AC" w:rsidRDefault="009864DB" w:rsidP="009864DB">
            <w:pPr>
              <w:spacing w:line="240" w:lineRule="auto"/>
              <w:ind w:firstLine="0"/>
            </w:pPr>
            <w:r w:rsidRPr="004D46AC">
              <w:t>2</w:t>
            </w:r>
          </w:p>
        </w:tc>
        <w:tc>
          <w:tcPr>
            <w:tcW w:w="1150" w:type="dxa"/>
          </w:tcPr>
          <w:p w14:paraId="3DAD5DAC" w14:textId="77777777" w:rsidR="009864DB" w:rsidRPr="004D46AC" w:rsidRDefault="009864DB" w:rsidP="009864DB">
            <w:pPr>
              <w:spacing w:line="240" w:lineRule="auto"/>
              <w:ind w:firstLine="0"/>
            </w:pPr>
            <w:r w:rsidRPr="004D46AC">
              <w:t>0</w:t>
            </w:r>
          </w:p>
        </w:tc>
        <w:tc>
          <w:tcPr>
            <w:tcW w:w="1756" w:type="dxa"/>
            <w:vAlign w:val="center"/>
          </w:tcPr>
          <w:p w14:paraId="3EEF6E58" w14:textId="77777777" w:rsidR="009864DB" w:rsidRPr="004D46AC" w:rsidRDefault="009864DB" w:rsidP="009864DB">
            <w:pPr>
              <w:spacing w:line="240" w:lineRule="auto"/>
              <w:ind w:firstLine="0"/>
            </w:pPr>
            <w:r w:rsidRPr="004D46AC">
              <w:t>grandiosity</w:t>
            </w:r>
          </w:p>
        </w:tc>
        <w:tc>
          <w:tcPr>
            <w:tcW w:w="1152" w:type="dxa"/>
            <w:vAlign w:val="center"/>
          </w:tcPr>
          <w:p w14:paraId="0268FE2A" w14:textId="77777777" w:rsidR="009864DB" w:rsidRPr="004D46AC" w:rsidRDefault="009864DB" w:rsidP="009864DB">
            <w:pPr>
              <w:spacing w:line="240" w:lineRule="auto"/>
              <w:ind w:firstLine="0"/>
            </w:pPr>
            <w:r w:rsidRPr="004D46AC">
              <w:t>93</w:t>
            </w:r>
          </w:p>
        </w:tc>
      </w:tr>
      <w:tr w:rsidR="009864DB" w:rsidRPr="004D46AC" w14:paraId="51546AFF" w14:textId="77777777" w:rsidTr="00B518F1">
        <w:trPr>
          <w:trHeight w:val="262"/>
        </w:trPr>
        <w:tc>
          <w:tcPr>
            <w:tcW w:w="1440" w:type="dxa"/>
          </w:tcPr>
          <w:p w14:paraId="2B851FCF" w14:textId="77777777" w:rsidR="009864DB" w:rsidRPr="004D46AC" w:rsidRDefault="009864DB" w:rsidP="009864DB">
            <w:pPr>
              <w:spacing w:line="240" w:lineRule="auto"/>
              <w:ind w:firstLine="0"/>
            </w:pPr>
            <w:r w:rsidRPr="004D46AC">
              <w:fldChar w:fldCharType="begin">
                <w:fldData xml:space="preserve">PEVuZE5vdGU+PENpdGUgQXV0aG9yWWVhcj0iMSI+PEF1dGhvcj5DYW51c288L0F1dGhvcj48WWVh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==
</w:fldData>
              </w:fldChar>
            </w:r>
            <w:r w:rsidRPr="004D46AC">
              <w:instrText xml:space="preserve"> ADDIN EN.CITE </w:instrText>
            </w:r>
            <w:r w:rsidRPr="004D46AC">
              <w:fldChar w:fldCharType="begin">
                <w:fldData xml:space="preserve">PEVuZE5vdGU+PENpdGUgQXV0aG9yWWVhcj0iMSI+PEF1dGhvcj5DYW51c288L0F1dGhvcj48WWVh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==
</w:fldData>
              </w:fldChar>
            </w:r>
            <w:r w:rsidRPr="004D46AC">
              <w:instrText xml:space="preserve"> ADDIN EN.CITE.DATA </w:instrText>
            </w:r>
            <w:r w:rsidRPr="004D46AC">
              <w:fldChar w:fldCharType="end"/>
            </w:r>
            <w:r w:rsidRPr="004D46AC">
              <w:fldChar w:fldCharType="separate"/>
            </w:r>
            <w:r w:rsidRPr="004D46AC">
              <w:t>Canuso et al. (2008)</w:t>
            </w:r>
            <w:r w:rsidRPr="004D46AC">
              <w:fldChar w:fldCharType="end"/>
            </w:r>
          </w:p>
        </w:tc>
        <w:tc>
          <w:tcPr>
            <w:tcW w:w="1189" w:type="dxa"/>
            <w:vAlign w:val="center"/>
          </w:tcPr>
          <w:p w14:paraId="2D222530" w14:textId="77777777" w:rsidR="009864DB" w:rsidRPr="004D46AC" w:rsidRDefault="009864DB" w:rsidP="009864DB">
            <w:pPr>
              <w:spacing w:line="240" w:lineRule="auto"/>
              <w:ind w:firstLine="0"/>
            </w:pPr>
            <w:r w:rsidRPr="004D46AC">
              <w:t>4</w:t>
            </w:r>
          </w:p>
        </w:tc>
        <w:tc>
          <w:tcPr>
            <w:tcW w:w="1186" w:type="dxa"/>
            <w:vAlign w:val="center"/>
          </w:tcPr>
          <w:p w14:paraId="11F965E0" w14:textId="77777777" w:rsidR="009864DB" w:rsidRPr="004D46AC" w:rsidRDefault="009864DB" w:rsidP="009864DB">
            <w:pPr>
              <w:spacing w:line="240" w:lineRule="auto"/>
              <w:ind w:firstLine="0"/>
            </w:pPr>
            <w:r w:rsidRPr="004D46AC">
              <w:t>36.84</w:t>
            </w:r>
          </w:p>
        </w:tc>
        <w:tc>
          <w:tcPr>
            <w:tcW w:w="1235" w:type="dxa"/>
            <w:vAlign w:val="center"/>
          </w:tcPr>
          <w:p w14:paraId="27C60823" w14:textId="77777777" w:rsidR="009864DB" w:rsidRPr="004D46AC" w:rsidRDefault="009864DB" w:rsidP="009864DB">
            <w:pPr>
              <w:spacing w:line="240" w:lineRule="auto"/>
              <w:ind w:firstLine="0"/>
            </w:pPr>
            <w:r w:rsidRPr="004D46AC">
              <w:t>DSM4</w:t>
            </w:r>
          </w:p>
        </w:tc>
        <w:tc>
          <w:tcPr>
            <w:tcW w:w="1524" w:type="dxa"/>
            <w:vAlign w:val="center"/>
          </w:tcPr>
          <w:p w14:paraId="7332DE4F" w14:textId="77777777" w:rsidR="009864DB" w:rsidRPr="004D46AC" w:rsidRDefault="009864DB" w:rsidP="009864DB">
            <w:pPr>
              <w:spacing w:line="240" w:lineRule="auto"/>
              <w:ind w:firstLine="0"/>
            </w:pPr>
            <w:r w:rsidRPr="004D46AC">
              <w:t>unclear</w:t>
            </w:r>
          </w:p>
        </w:tc>
        <w:tc>
          <w:tcPr>
            <w:tcW w:w="1177" w:type="dxa"/>
            <w:vAlign w:val="center"/>
          </w:tcPr>
          <w:p w14:paraId="0187745D" w14:textId="77777777" w:rsidR="009864DB" w:rsidRPr="004D46AC" w:rsidRDefault="009864DB" w:rsidP="009864DB">
            <w:pPr>
              <w:spacing w:line="240" w:lineRule="auto"/>
              <w:ind w:firstLine="0"/>
            </w:pPr>
            <w:r w:rsidRPr="004D46AC">
              <w:t>515</w:t>
            </w:r>
          </w:p>
        </w:tc>
        <w:tc>
          <w:tcPr>
            <w:tcW w:w="1210" w:type="dxa"/>
            <w:vAlign w:val="center"/>
          </w:tcPr>
          <w:p w14:paraId="4487CA68" w14:textId="77777777" w:rsidR="009864DB" w:rsidRPr="004D46AC" w:rsidRDefault="009864DB" w:rsidP="009864DB">
            <w:pPr>
              <w:spacing w:line="240" w:lineRule="auto"/>
              <w:ind w:firstLine="0"/>
            </w:pPr>
            <w:r w:rsidRPr="004D46AC">
              <w:t>unclear</w:t>
            </w:r>
          </w:p>
        </w:tc>
        <w:tc>
          <w:tcPr>
            <w:tcW w:w="1155" w:type="dxa"/>
            <w:vAlign w:val="center"/>
          </w:tcPr>
          <w:p w14:paraId="286CE195" w14:textId="77777777" w:rsidR="009864DB" w:rsidRPr="004D46AC" w:rsidRDefault="009864DB" w:rsidP="009864DB">
            <w:pPr>
              <w:spacing w:line="240" w:lineRule="auto"/>
              <w:ind w:firstLine="0"/>
            </w:pPr>
            <w:r w:rsidRPr="004D46AC">
              <w:t>2</w:t>
            </w:r>
          </w:p>
        </w:tc>
        <w:tc>
          <w:tcPr>
            <w:tcW w:w="1150" w:type="dxa"/>
          </w:tcPr>
          <w:p w14:paraId="7416E259" w14:textId="77777777" w:rsidR="009864DB" w:rsidRPr="004D46AC" w:rsidRDefault="009864DB" w:rsidP="009864DB">
            <w:pPr>
              <w:spacing w:line="240" w:lineRule="auto"/>
              <w:ind w:firstLine="0"/>
            </w:pPr>
            <w:r w:rsidRPr="004D46AC">
              <w:t>0</w:t>
            </w:r>
          </w:p>
        </w:tc>
        <w:tc>
          <w:tcPr>
            <w:tcW w:w="1756" w:type="dxa"/>
            <w:vAlign w:val="center"/>
          </w:tcPr>
          <w:p w14:paraId="2CF66CA4" w14:textId="77777777" w:rsidR="009864DB" w:rsidRPr="004D46AC" w:rsidRDefault="009864DB" w:rsidP="009864DB">
            <w:pPr>
              <w:spacing w:line="240" w:lineRule="auto"/>
              <w:ind w:firstLine="0"/>
            </w:pPr>
            <w:r w:rsidRPr="004D46AC">
              <w:t>grandiosity</w:t>
            </w:r>
          </w:p>
        </w:tc>
        <w:tc>
          <w:tcPr>
            <w:tcW w:w="1152" w:type="dxa"/>
            <w:vAlign w:val="center"/>
          </w:tcPr>
          <w:p w14:paraId="04B2903F" w14:textId="77777777" w:rsidR="009864DB" w:rsidRPr="004D46AC" w:rsidRDefault="009864DB" w:rsidP="009864DB">
            <w:pPr>
              <w:spacing w:line="240" w:lineRule="auto"/>
              <w:ind w:firstLine="0"/>
            </w:pPr>
            <w:r w:rsidRPr="004D46AC">
              <w:t>319</w:t>
            </w:r>
          </w:p>
        </w:tc>
      </w:tr>
      <w:tr w:rsidR="009864DB" w:rsidRPr="004D46AC" w14:paraId="780357BE" w14:textId="77777777" w:rsidTr="00B518F1">
        <w:trPr>
          <w:trHeight w:val="254"/>
        </w:trPr>
        <w:tc>
          <w:tcPr>
            <w:tcW w:w="1440" w:type="dxa"/>
          </w:tcPr>
          <w:p w14:paraId="2E9995A0" w14:textId="77777777" w:rsidR="009864DB" w:rsidRPr="004D46AC" w:rsidRDefault="009864DB" w:rsidP="009864DB">
            <w:pPr>
              <w:spacing w:line="240" w:lineRule="auto"/>
              <w:ind w:firstLine="0"/>
            </w:pPr>
            <w:r w:rsidRPr="004D46AC">
              <w:lastRenderedPageBreak/>
              <w:fldChar w:fldCharType="begin"/>
            </w:r>
            <w:r w:rsidRPr="004D46AC">
              <w:instrText xml:space="preserve"> ADDIN EN.CITE &lt;EndNote&gt;&lt;Cite AuthorYear="1"&gt;&lt;Author&gt;Winokur&lt;/Author&gt;&lt;Year&gt;1984&lt;/Year&gt;&lt;RecNum&gt;259&lt;/RecNum&gt;&lt;DisplayText&gt;Winokur (1984)&lt;/DisplayText&gt;&lt;record&gt;&lt;rec-number&gt;259&lt;/rec-number&gt;&lt;foreign-keys&gt;&lt;key app="EN" db-id="aet009sstawa0hewvt3xwf5atffdw2dt02sw" timestamp="1666338926"&gt;259&lt;/key&gt;&lt;/foreign-keys&gt;&lt;ref-type name="Journal Article"&gt;17&lt;/ref-type&gt;&lt;contributors&gt;&lt;authors&gt;&lt;author&gt;Winokur, G.&lt;/author&gt;&lt;/authors&gt;&lt;/contributors&gt;&lt;titles&gt;&lt;title&gt;Psychosis in bipolar and unipolar affective illness with special reference to schizo-affective disorder&lt;/title&gt;&lt;secondary-title&gt;Br J Psychiatry&lt;/secondary-title&gt;&lt;/titles&gt;&lt;periodical&gt;&lt;full-title&gt;Br J Psychiatry&lt;/full-title&gt;&lt;/periodical&gt;&lt;pages&gt;236-42&lt;/pages&gt;&lt;volume&gt;145&lt;/volume&gt;&lt;keywords&gt;&lt;keyword&gt;Adult&lt;/keyword&gt;&lt;keyword&gt;Bipolar Disorder/genetics/*psychology&lt;/keyword&gt;&lt;keyword&gt;Delusions&lt;/keyword&gt;&lt;keyword&gt;Depressive Disorder/genetics/*psychology&lt;/keyword&gt;&lt;keyword&gt;Female&lt;/keyword&gt;&lt;keyword&gt;Hallucinations&lt;/keyword&gt;&lt;keyword&gt;Humans&lt;/keyword&gt;&lt;keyword&gt;Male&lt;/keyword&gt;&lt;keyword&gt;Middle Aged&lt;/keyword&gt;&lt;keyword&gt;Psychotic Disorders/genetics/*psychology&lt;/keyword&gt;&lt;/keywords&gt;&lt;dates&gt;&lt;year&gt;1984&lt;/year&gt;&lt;pub-dates&gt;&lt;date&gt;Sep&lt;/date&gt;&lt;/pub-dates&gt;&lt;/dates&gt;&lt;isbn&gt;0007-1250 (Print)&amp;#xD;0007-1250 (Linking)&lt;/isbn&gt;&lt;accession-num&gt;6478118&lt;/accession-num&gt;&lt;urls&gt;&lt;related-urls&gt;&lt;url&gt;https://www.ncbi.nlm.nih.gov/pubmed/6478118&lt;/url&gt;&lt;/related-urls&gt;&lt;/urls&gt;&lt;electronic-resource-num&gt;10.1192/bjp.145.3.236&lt;/electronic-resource-num&gt;&lt;remote-database-name&gt;Medline&lt;/remote-database-name&gt;&lt;remote-database-provider&gt;NLM&lt;/remote-database-provider&gt;&lt;language&gt;eng&lt;/language&gt;&lt;/record&gt;&lt;/Cite&gt;&lt;/EndNote&gt;</w:instrText>
            </w:r>
            <w:r w:rsidRPr="004D46AC">
              <w:fldChar w:fldCharType="separate"/>
            </w:r>
            <w:r w:rsidRPr="004D46AC">
              <w:t>Winokur (1984)</w:t>
            </w:r>
            <w:r w:rsidRPr="004D46AC">
              <w:fldChar w:fldCharType="end"/>
            </w:r>
          </w:p>
        </w:tc>
        <w:tc>
          <w:tcPr>
            <w:tcW w:w="1189" w:type="dxa"/>
            <w:vAlign w:val="center"/>
          </w:tcPr>
          <w:p w14:paraId="550DDE8F" w14:textId="77777777" w:rsidR="009864DB" w:rsidRPr="004D46AC" w:rsidRDefault="009864DB" w:rsidP="009864DB">
            <w:pPr>
              <w:spacing w:line="240" w:lineRule="auto"/>
              <w:ind w:firstLine="0"/>
            </w:pPr>
            <w:r w:rsidRPr="004D46AC">
              <w:t>4</w:t>
            </w:r>
          </w:p>
        </w:tc>
        <w:tc>
          <w:tcPr>
            <w:tcW w:w="1186" w:type="dxa"/>
            <w:vAlign w:val="center"/>
          </w:tcPr>
          <w:p w14:paraId="10200013" w14:textId="77777777" w:rsidR="009864DB" w:rsidRPr="004D46AC" w:rsidRDefault="009864DB" w:rsidP="009864DB">
            <w:pPr>
              <w:spacing w:line="240" w:lineRule="auto"/>
              <w:ind w:firstLine="0"/>
            </w:pPr>
            <w:r w:rsidRPr="004D46AC">
              <w:t>NA</w:t>
            </w:r>
          </w:p>
        </w:tc>
        <w:tc>
          <w:tcPr>
            <w:tcW w:w="1235" w:type="dxa"/>
            <w:vAlign w:val="center"/>
          </w:tcPr>
          <w:p w14:paraId="36AF9080" w14:textId="77777777" w:rsidR="009864DB" w:rsidRPr="004D46AC" w:rsidRDefault="009864DB" w:rsidP="009864DB">
            <w:pPr>
              <w:spacing w:line="240" w:lineRule="auto"/>
              <w:ind w:firstLine="0"/>
            </w:pPr>
            <w:r w:rsidRPr="004D46AC">
              <w:t>unclear</w:t>
            </w:r>
          </w:p>
        </w:tc>
        <w:tc>
          <w:tcPr>
            <w:tcW w:w="1524" w:type="dxa"/>
            <w:vAlign w:val="center"/>
          </w:tcPr>
          <w:p w14:paraId="08474FCD" w14:textId="77777777" w:rsidR="009864DB" w:rsidRPr="004D46AC" w:rsidRDefault="009864DB" w:rsidP="009864DB">
            <w:pPr>
              <w:spacing w:line="240" w:lineRule="auto"/>
              <w:ind w:firstLine="0"/>
            </w:pPr>
            <w:r w:rsidRPr="004D46AC">
              <w:t>unclear</w:t>
            </w:r>
          </w:p>
        </w:tc>
        <w:tc>
          <w:tcPr>
            <w:tcW w:w="1177" w:type="dxa"/>
            <w:vAlign w:val="center"/>
          </w:tcPr>
          <w:p w14:paraId="32CD2206" w14:textId="77777777" w:rsidR="009864DB" w:rsidRPr="004D46AC" w:rsidRDefault="009864DB" w:rsidP="009864DB">
            <w:pPr>
              <w:spacing w:line="240" w:lineRule="auto"/>
              <w:ind w:firstLine="0"/>
            </w:pPr>
            <w:r w:rsidRPr="004D46AC">
              <w:t>122</w:t>
            </w:r>
          </w:p>
        </w:tc>
        <w:tc>
          <w:tcPr>
            <w:tcW w:w="1210" w:type="dxa"/>
            <w:vAlign w:val="center"/>
          </w:tcPr>
          <w:p w14:paraId="029EFCA7" w14:textId="77777777" w:rsidR="009864DB" w:rsidRPr="004D46AC" w:rsidRDefault="009864DB" w:rsidP="009864DB">
            <w:pPr>
              <w:spacing w:line="240" w:lineRule="auto"/>
              <w:ind w:firstLine="0"/>
            </w:pPr>
            <w:r w:rsidRPr="004D46AC">
              <w:t>3</w:t>
            </w:r>
          </w:p>
        </w:tc>
        <w:tc>
          <w:tcPr>
            <w:tcW w:w="1155" w:type="dxa"/>
            <w:vAlign w:val="center"/>
          </w:tcPr>
          <w:p w14:paraId="284F3630" w14:textId="77777777" w:rsidR="009864DB" w:rsidRPr="004D46AC" w:rsidRDefault="009864DB" w:rsidP="009864DB">
            <w:pPr>
              <w:spacing w:line="240" w:lineRule="auto"/>
              <w:ind w:firstLine="0"/>
            </w:pPr>
            <w:r w:rsidRPr="004D46AC">
              <w:t>1</w:t>
            </w:r>
          </w:p>
        </w:tc>
        <w:tc>
          <w:tcPr>
            <w:tcW w:w="1150" w:type="dxa"/>
          </w:tcPr>
          <w:p w14:paraId="01DE86AB" w14:textId="77777777" w:rsidR="009864DB" w:rsidRPr="004D46AC" w:rsidRDefault="009864DB" w:rsidP="009864DB">
            <w:pPr>
              <w:spacing w:line="240" w:lineRule="auto"/>
              <w:ind w:firstLine="0"/>
            </w:pPr>
            <w:r w:rsidRPr="004D46AC">
              <w:t>0</w:t>
            </w:r>
          </w:p>
        </w:tc>
        <w:tc>
          <w:tcPr>
            <w:tcW w:w="1756" w:type="dxa"/>
            <w:vAlign w:val="center"/>
          </w:tcPr>
          <w:p w14:paraId="50E0ED37" w14:textId="77777777" w:rsidR="009864DB" w:rsidRPr="004D46AC" w:rsidRDefault="009864DB" w:rsidP="009864DB">
            <w:pPr>
              <w:spacing w:line="240" w:lineRule="auto"/>
              <w:ind w:firstLine="0"/>
            </w:pPr>
            <w:r w:rsidRPr="004D46AC">
              <w:t>any</w:t>
            </w:r>
          </w:p>
        </w:tc>
        <w:tc>
          <w:tcPr>
            <w:tcW w:w="1152" w:type="dxa"/>
            <w:vAlign w:val="center"/>
          </w:tcPr>
          <w:p w14:paraId="5FF93F6E" w14:textId="77777777" w:rsidR="009864DB" w:rsidRPr="004D46AC" w:rsidRDefault="009864DB" w:rsidP="009864DB">
            <w:pPr>
              <w:spacing w:line="240" w:lineRule="auto"/>
              <w:ind w:firstLine="0"/>
            </w:pPr>
            <w:r w:rsidRPr="004D46AC">
              <w:t>66</w:t>
            </w:r>
          </w:p>
        </w:tc>
      </w:tr>
      <w:tr w:rsidR="009864DB" w:rsidRPr="004D46AC" w14:paraId="02A45B3D" w14:textId="77777777" w:rsidTr="00B518F1">
        <w:trPr>
          <w:trHeight w:val="254"/>
        </w:trPr>
        <w:tc>
          <w:tcPr>
            <w:tcW w:w="1440" w:type="dxa"/>
          </w:tcPr>
          <w:p w14:paraId="334A0CBC" w14:textId="77777777" w:rsidR="009864DB" w:rsidRPr="004D46AC" w:rsidRDefault="009864DB" w:rsidP="009864DB">
            <w:pPr>
              <w:spacing w:line="240" w:lineRule="auto"/>
              <w:ind w:firstLine="0"/>
            </w:pPr>
            <w:r w:rsidRPr="004D46AC">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instrText xml:space="preserve"> ADDIN EN.CITE </w:instrText>
            </w:r>
            <w:r w:rsidRPr="004D46AC">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Stein et al. (2020)</w:t>
            </w:r>
            <w:r w:rsidRPr="004D46AC">
              <w:fldChar w:fldCharType="end"/>
            </w:r>
          </w:p>
        </w:tc>
        <w:tc>
          <w:tcPr>
            <w:tcW w:w="1189" w:type="dxa"/>
            <w:vAlign w:val="center"/>
          </w:tcPr>
          <w:p w14:paraId="3AD753C0" w14:textId="77777777" w:rsidR="009864DB" w:rsidRPr="004D46AC" w:rsidRDefault="009864DB" w:rsidP="009864DB">
            <w:pPr>
              <w:spacing w:line="240" w:lineRule="auto"/>
              <w:ind w:firstLine="0"/>
            </w:pPr>
            <w:r w:rsidRPr="004D46AC">
              <w:t>6</w:t>
            </w:r>
          </w:p>
        </w:tc>
        <w:tc>
          <w:tcPr>
            <w:tcW w:w="1186" w:type="dxa"/>
            <w:vAlign w:val="center"/>
          </w:tcPr>
          <w:p w14:paraId="71B4C337" w14:textId="77777777" w:rsidR="009864DB" w:rsidRPr="004D46AC" w:rsidRDefault="009864DB" w:rsidP="009864DB">
            <w:pPr>
              <w:spacing w:line="240" w:lineRule="auto"/>
              <w:ind w:firstLine="0"/>
            </w:pPr>
            <w:r w:rsidRPr="004D46AC">
              <w:t>41.72</w:t>
            </w:r>
          </w:p>
        </w:tc>
        <w:tc>
          <w:tcPr>
            <w:tcW w:w="1235" w:type="dxa"/>
            <w:vAlign w:val="center"/>
          </w:tcPr>
          <w:p w14:paraId="3EB20659" w14:textId="77777777" w:rsidR="009864DB" w:rsidRPr="004D46AC" w:rsidRDefault="009864DB" w:rsidP="009864DB">
            <w:pPr>
              <w:spacing w:line="240" w:lineRule="auto"/>
              <w:ind w:firstLine="0"/>
            </w:pPr>
            <w:r w:rsidRPr="004D46AC">
              <w:t>DSM4</w:t>
            </w:r>
          </w:p>
        </w:tc>
        <w:tc>
          <w:tcPr>
            <w:tcW w:w="1524" w:type="dxa"/>
            <w:vAlign w:val="center"/>
          </w:tcPr>
          <w:p w14:paraId="4EAA576D" w14:textId="77777777" w:rsidR="009864DB" w:rsidRPr="004D46AC" w:rsidRDefault="009864DB" w:rsidP="009864DB">
            <w:pPr>
              <w:spacing w:line="240" w:lineRule="auto"/>
              <w:ind w:firstLine="0"/>
            </w:pPr>
            <w:r w:rsidRPr="004D46AC">
              <w:t>SAPS</w:t>
            </w:r>
          </w:p>
        </w:tc>
        <w:tc>
          <w:tcPr>
            <w:tcW w:w="1177" w:type="dxa"/>
            <w:vAlign w:val="center"/>
          </w:tcPr>
          <w:p w14:paraId="77E8DB4B" w14:textId="77777777" w:rsidR="009864DB" w:rsidRPr="004D46AC" w:rsidRDefault="009864DB" w:rsidP="009864DB">
            <w:pPr>
              <w:spacing w:line="240" w:lineRule="auto"/>
              <w:ind w:firstLine="0"/>
            </w:pPr>
            <w:r w:rsidRPr="004D46AC">
              <w:t>151</w:t>
            </w:r>
          </w:p>
        </w:tc>
        <w:tc>
          <w:tcPr>
            <w:tcW w:w="1210" w:type="dxa"/>
            <w:vAlign w:val="center"/>
          </w:tcPr>
          <w:p w14:paraId="3B31BF43" w14:textId="77777777" w:rsidR="009864DB" w:rsidRPr="004D46AC" w:rsidRDefault="009864DB" w:rsidP="009864DB">
            <w:pPr>
              <w:spacing w:line="240" w:lineRule="auto"/>
              <w:ind w:firstLine="0"/>
            </w:pPr>
            <w:r w:rsidRPr="004D46AC">
              <w:t>2</w:t>
            </w:r>
          </w:p>
        </w:tc>
        <w:tc>
          <w:tcPr>
            <w:tcW w:w="1155" w:type="dxa"/>
            <w:vAlign w:val="center"/>
          </w:tcPr>
          <w:p w14:paraId="7E834048" w14:textId="77777777" w:rsidR="009864DB" w:rsidRPr="004D46AC" w:rsidRDefault="009864DB" w:rsidP="009864DB">
            <w:pPr>
              <w:spacing w:line="240" w:lineRule="auto"/>
              <w:ind w:firstLine="0"/>
            </w:pPr>
            <w:r w:rsidRPr="004D46AC">
              <w:t>1</w:t>
            </w:r>
          </w:p>
        </w:tc>
        <w:tc>
          <w:tcPr>
            <w:tcW w:w="1150" w:type="dxa"/>
          </w:tcPr>
          <w:p w14:paraId="0C460D49" w14:textId="77777777" w:rsidR="009864DB" w:rsidRPr="004D46AC" w:rsidRDefault="009864DB" w:rsidP="009864DB">
            <w:pPr>
              <w:spacing w:line="240" w:lineRule="auto"/>
              <w:ind w:firstLine="0"/>
            </w:pPr>
            <w:r w:rsidRPr="004D46AC">
              <w:t>0</w:t>
            </w:r>
          </w:p>
        </w:tc>
        <w:tc>
          <w:tcPr>
            <w:tcW w:w="1756" w:type="dxa"/>
            <w:vAlign w:val="center"/>
          </w:tcPr>
          <w:p w14:paraId="76785832" w14:textId="77777777" w:rsidR="009864DB" w:rsidRPr="004D46AC" w:rsidRDefault="009864DB" w:rsidP="009864DB">
            <w:pPr>
              <w:spacing w:line="240" w:lineRule="auto"/>
              <w:ind w:firstLine="0"/>
            </w:pPr>
            <w:r w:rsidRPr="004D46AC">
              <w:t>any</w:t>
            </w:r>
          </w:p>
        </w:tc>
        <w:tc>
          <w:tcPr>
            <w:tcW w:w="1152" w:type="dxa"/>
            <w:vAlign w:val="center"/>
          </w:tcPr>
          <w:p w14:paraId="01DC7C97" w14:textId="77777777" w:rsidR="009864DB" w:rsidRPr="004D46AC" w:rsidRDefault="009864DB" w:rsidP="009864DB">
            <w:pPr>
              <w:spacing w:line="240" w:lineRule="auto"/>
              <w:ind w:firstLine="0"/>
            </w:pPr>
            <w:r w:rsidRPr="004D46AC">
              <w:t>22</w:t>
            </w:r>
          </w:p>
        </w:tc>
      </w:tr>
      <w:tr w:rsidR="009864DB" w:rsidRPr="004D46AC" w14:paraId="008EF0FE" w14:textId="77777777" w:rsidTr="00B518F1">
        <w:trPr>
          <w:trHeight w:val="254"/>
        </w:trPr>
        <w:tc>
          <w:tcPr>
            <w:tcW w:w="1440" w:type="dxa"/>
          </w:tcPr>
          <w:p w14:paraId="764CF758" w14:textId="77777777" w:rsidR="009864DB" w:rsidRPr="004D46AC" w:rsidRDefault="009864DB" w:rsidP="009864DB">
            <w:pPr>
              <w:spacing w:line="240" w:lineRule="auto"/>
              <w:ind w:firstLine="0"/>
            </w:pPr>
            <w:r w:rsidRPr="004D46AC">
              <w:fldChar w:fldCharType="begin">
                <w:fldData xml:space="preserve">PEVuZE5vdGU+PENpdGUgQXV0aG9yWWVhcj0iMSI+PEF1dGhvcj5HcnVuZWJhdW08L0F1dGhvcj48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</w:fldData>
              </w:fldChar>
            </w:r>
            <w:r w:rsidRPr="004D46AC">
              <w:instrText xml:space="preserve"> ADDIN EN.CITE </w:instrText>
            </w:r>
            <w:r w:rsidRPr="004D46AC">
              <w:fldChar w:fldCharType="begin">
                <w:fldData xml:space="preserve">PEVuZE5vdGU+PENpdGUgQXV0aG9yWWVhcj0iMSI+PEF1dGhvcj5HcnVuZWJhdW08L0F1dGhvcj48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Grunebaum et al. (2001)</w:t>
            </w:r>
            <w:r w:rsidRPr="004D46AC">
              <w:fldChar w:fldCharType="end"/>
            </w:r>
          </w:p>
        </w:tc>
        <w:tc>
          <w:tcPr>
            <w:tcW w:w="1189" w:type="dxa"/>
            <w:vAlign w:val="center"/>
          </w:tcPr>
          <w:p w14:paraId="01B9E70D" w14:textId="77777777" w:rsidR="009864DB" w:rsidRPr="004D46AC" w:rsidRDefault="009864DB" w:rsidP="009864DB">
            <w:pPr>
              <w:spacing w:line="240" w:lineRule="auto"/>
              <w:ind w:firstLine="0"/>
            </w:pPr>
            <w:r w:rsidRPr="004D46AC">
              <w:t>5</w:t>
            </w:r>
          </w:p>
        </w:tc>
        <w:tc>
          <w:tcPr>
            <w:tcW w:w="1186" w:type="dxa"/>
            <w:vAlign w:val="center"/>
          </w:tcPr>
          <w:p w14:paraId="53E181EA" w14:textId="77777777" w:rsidR="009864DB" w:rsidRPr="004D46AC" w:rsidRDefault="009864DB" w:rsidP="009864DB">
            <w:pPr>
              <w:spacing w:line="240" w:lineRule="auto"/>
              <w:ind w:firstLine="0"/>
            </w:pPr>
            <w:r w:rsidRPr="004D46AC">
              <w:t>35.8</w:t>
            </w:r>
          </w:p>
        </w:tc>
        <w:tc>
          <w:tcPr>
            <w:tcW w:w="1235" w:type="dxa"/>
            <w:vAlign w:val="center"/>
          </w:tcPr>
          <w:p w14:paraId="0D41BD96" w14:textId="77777777" w:rsidR="009864DB" w:rsidRPr="004D46AC" w:rsidRDefault="009864DB" w:rsidP="009864DB">
            <w:pPr>
              <w:spacing w:line="240" w:lineRule="auto"/>
              <w:ind w:firstLine="0"/>
            </w:pPr>
            <w:r w:rsidRPr="004D46AC">
              <w:t>DSM4</w:t>
            </w:r>
          </w:p>
        </w:tc>
        <w:tc>
          <w:tcPr>
            <w:tcW w:w="1524" w:type="dxa"/>
            <w:vAlign w:val="center"/>
          </w:tcPr>
          <w:p w14:paraId="2E12EA3A" w14:textId="77777777" w:rsidR="009864DB" w:rsidRPr="004D46AC" w:rsidRDefault="009864DB" w:rsidP="009864DB">
            <w:pPr>
              <w:spacing w:line="240" w:lineRule="auto"/>
              <w:ind w:firstLine="0"/>
            </w:pPr>
            <w:r w:rsidRPr="004D46AC">
              <w:t>SAPS</w:t>
            </w:r>
          </w:p>
        </w:tc>
        <w:tc>
          <w:tcPr>
            <w:tcW w:w="1177" w:type="dxa"/>
            <w:vAlign w:val="center"/>
          </w:tcPr>
          <w:p w14:paraId="26B07888" w14:textId="77777777" w:rsidR="009864DB" w:rsidRPr="004D46AC" w:rsidRDefault="009864DB" w:rsidP="009864DB">
            <w:pPr>
              <w:spacing w:line="240" w:lineRule="auto"/>
              <w:ind w:firstLine="0"/>
            </w:pPr>
            <w:r w:rsidRPr="004D46AC">
              <w:t>56</w:t>
            </w:r>
          </w:p>
        </w:tc>
        <w:tc>
          <w:tcPr>
            <w:tcW w:w="1210" w:type="dxa"/>
            <w:vAlign w:val="center"/>
          </w:tcPr>
          <w:p w14:paraId="5B0CBB7E" w14:textId="77777777" w:rsidR="009864DB" w:rsidRPr="004D46AC" w:rsidRDefault="009864DB" w:rsidP="009864DB">
            <w:pPr>
              <w:spacing w:line="240" w:lineRule="auto"/>
              <w:ind w:firstLine="0"/>
            </w:pPr>
            <w:r w:rsidRPr="004D46AC">
              <w:t>unclear</w:t>
            </w:r>
          </w:p>
        </w:tc>
        <w:tc>
          <w:tcPr>
            <w:tcW w:w="1155" w:type="dxa"/>
            <w:vAlign w:val="center"/>
          </w:tcPr>
          <w:p w14:paraId="1281B28F" w14:textId="77777777" w:rsidR="009864DB" w:rsidRPr="004D46AC" w:rsidRDefault="009864DB" w:rsidP="009864DB">
            <w:pPr>
              <w:spacing w:line="240" w:lineRule="auto"/>
              <w:ind w:firstLine="0"/>
            </w:pPr>
            <w:r w:rsidRPr="004D46AC">
              <w:t>1</w:t>
            </w:r>
          </w:p>
        </w:tc>
        <w:tc>
          <w:tcPr>
            <w:tcW w:w="1150" w:type="dxa"/>
          </w:tcPr>
          <w:p w14:paraId="14ABCD00" w14:textId="77777777" w:rsidR="009864DB" w:rsidRPr="004D46AC" w:rsidRDefault="009864DB" w:rsidP="009864DB">
            <w:pPr>
              <w:spacing w:line="240" w:lineRule="auto"/>
              <w:ind w:firstLine="0"/>
            </w:pPr>
            <w:r w:rsidRPr="004D46AC">
              <w:t>0</w:t>
            </w:r>
          </w:p>
        </w:tc>
        <w:tc>
          <w:tcPr>
            <w:tcW w:w="1756" w:type="dxa"/>
            <w:vAlign w:val="center"/>
          </w:tcPr>
          <w:p w14:paraId="1DE4438E" w14:textId="77777777" w:rsidR="009864DB" w:rsidRPr="004D46AC" w:rsidRDefault="009864DB" w:rsidP="009864DB">
            <w:pPr>
              <w:spacing w:line="240" w:lineRule="auto"/>
              <w:ind w:firstLine="0"/>
            </w:pPr>
            <w:r w:rsidRPr="004D46AC">
              <w:t>any</w:t>
            </w:r>
          </w:p>
        </w:tc>
        <w:tc>
          <w:tcPr>
            <w:tcW w:w="1152" w:type="dxa"/>
            <w:vAlign w:val="center"/>
          </w:tcPr>
          <w:p w14:paraId="59006E29" w14:textId="77777777" w:rsidR="009864DB" w:rsidRPr="004D46AC" w:rsidRDefault="009864DB" w:rsidP="009864DB">
            <w:pPr>
              <w:spacing w:line="240" w:lineRule="auto"/>
              <w:ind w:firstLine="0"/>
            </w:pPr>
            <w:r w:rsidRPr="004D46AC">
              <w:t>23</w:t>
            </w:r>
          </w:p>
        </w:tc>
      </w:tr>
      <w:tr w:rsidR="009864DB" w:rsidRPr="004D46AC" w14:paraId="5C228B47" w14:textId="77777777" w:rsidTr="00B518F1">
        <w:trPr>
          <w:trHeight w:val="254"/>
        </w:trPr>
        <w:tc>
          <w:tcPr>
            <w:tcW w:w="1440" w:type="dxa"/>
          </w:tcPr>
          <w:p w14:paraId="06BFE870" w14:textId="77777777" w:rsidR="009864DB" w:rsidRPr="004D46AC" w:rsidRDefault="009864DB" w:rsidP="009864DB">
            <w:pPr>
              <w:spacing w:line="240" w:lineRule="auto"/>
              <w:ind w:firstLine="0"/>
            </w:pPr>
            <w:r w:rsidRPr="004D46AC">
              <w:fldChar w:fldCharType="begin">
                <w:fldData xml:space="preserve">PEVuZE5vdGU+PENpdGUgQXV0aG9yWWVhcj0iMSI+PEF1dGhvcj5CcmFuY2F0aTwvQXV0aG9yPjxZ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</w:fldData>
              </w:fldChar>
            </w:r>
            <w:r w:rsidRPr="004D46AC">
              <w:instrText xml:space="preserve"> ADDIN EN.CITE </w:instrText>
            </w:r>
            <w:r w:rsidRPr="004D46AC">
              <w:fldChar w:fldCharType="begin">
                <w:fldData xml:space="preserve">PEVuZE5vdGU+PENpdGUgQXV0aG9yWWVhcj0iMSI+PEF1dGhvcj5CcmFuY2F0aTwvQXV0aG9yPjxZ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</w:fldData>
              </w:fldChar>
            </w:r>
            <w:r w:rsidRPr="004D46AC">
              <w:instrText xml:space="preserve"> ADDIN EN.CITE.DATA </w:instrText>
            </w:r>
            <w:r w:rsidRPr="004D46AC">
              <w:fldChar w:fldCharType="end"/>
            </w:r>
            <w:r w:rsidRPr="004D46AC">
              <w:fldChar w:fldCharType="separate"/>
            </w:r>
            <w:r w:rsidRPr="004D46AC">
              <w:t>Brancati et al. (2021)</w:t>
            </w:r>
            <w:r w:rsidRPr="004D46AC">
              <w:fldChar w:fldCharType="end"/>
            </w:r>
          </w:p>
        </w:tc>
        <w:tc>
          <w:tcPr>
            <w:tcW w:w="1189" w:type="dxa"/>
            <w:vAlign w:val="center"/>
          </w:tcPr>
          <w:p w14:paraId="0B44D1F4" w14:textId="77777777" w:rsidR="009864DB" w:rsidRPr="004D46AC" w:rsidRDefault="009864DB" w:rsidP="009864DB">
            <w:pPr>
              <w:spacing w:line="240" w:lineRule="auto"/>
              <w:ind w:firstLine="0"/>
            </w:pPr>
            <w:r w:rsidRPr="004D46AC">
              <w:t>5</w:t>
            </w:r>
          </w:p>
        </w:tc>
        <w:tc>
          <w:tcPr>
            <w:tcW w:w="1186" w:type="dxa"/>
            <w:vAlign w:val="center"/>
          </w:tcPr>
          <w:p w14:paraId="6A3744A2" w14:textId="77777777" w:rsidR="009864DB" w:rsidRPr="004D46AC" w:rsidRDefault="009864DB" w:rsidP="009864DB">
            <w:pPr>
              <w:spacing w:line="240" w:lineRule="auto"/>
              <w:ind w:firstLine="0"/>
            </w:pPr>
            <w:r w:rsidRPr="004D46AC">
              <w:t>48.4</w:t>
            </w:r>
          </w:p>
        </w:tc>
        <w:tc>
          <w:tcPr>
            <w:tcW w:w="1235" w:type="dxa"/>
            <w:vAlign w:val="center"/>
          </w:tcPr>
          <w:p w14:paraId="6550EBE1" w14:textId="77777777" w:rsidR="009864DB" w:rsidRPr="004D46AC" w:rsidRDefault="009864DB" w:rsidP="009864DB">
            <w:pPr>
              <w:spacing w:line="240" w:lineRule="auto"/>
              <w:ind w:firstLine="0"/>
            </w:pPr>
            <w:r w:rsidRPr="004D46AC">
              <w:t>DSM5</w:t>
            </w:r>
          </w:p>
        </w:tc>
        <w:tc>
          <w:tcPr>
            <w:tcW w:w="1524" w:type="dxa"/>
            <w:vAlign w:val="center"/>
          </w:tcPr>
          <w:p w14:paraId="6C7603FB" w14:textId="77777777" w:rsidR="009864DB" w:rsidRPr="004D46AC" w:rsidRDefault="009864DB" w:rsidP="009864DB">
            <w:pPr>
              <w:spacing w:line="240" w:lineRule="auto"/>
              <w:ind w:firstLine="0"/>
            </w:pPr>
            <w:r w:rsidRPr="004D46AC">
              <w:t>CGI</w:t>
            </w:r>
          </w:p>
        </w:tc>
        <w:tc>
          <w:tcPr>
            <w:tcW w:w="1177" w:type="dxa"/>
            <w:vAlign w:val="center"/>
          </w:tcPr>
          <w:p w14:paraId="0683ADF2" w14:textId="77777777" w:rsidR="009864DB" w:rsidRPr="004D46AC" w:rsidRDefault="009864DB" w:rsidP="009864DB">
            <w:pPr>
              <w:spacing w:line="240" w:lineRule="auto"/>
              <w:ind w:firstLine="0"/>
            </w:pPr>
            <w:r w:rsidRPr="004D46AC">
              <w:t>670</w:t>
            </w:r>
          </w:p>
        </w:tc>
        <w:tc>
          <w:tcPr>
            <w:tcW w:w="1210" w:type="dxa"/>
            <w:vAlign w:val="center"/>
          </w:tcPr>
          <w:p w14:paraId="04B4D6D6" w14:textId="77777777" w:rsidR="009864DB" w:rsidRPr="004D46AC" w:rsidRDefault="009864DB" w:rsidP="009864DB">
            <w:pPr>
              <w:spacing w:line="240" w:lineRule="auto"/>
              <w:ind w:firstLine="0"/>
            </w:pPr>
            <w:r w:rsidRPr="004D46AC">
              <w:t>3</w:t>
            </w:r>
          </w:p>
        </w:tc>
        <w:tc>
          <w:tcPr>
            <w:tcW w:w="1155" w:type="dxa"/>
            <w:vAlign w:val="center"/>
          </w:tcPr>
          <w:p w14:paraId="28A292E1" w14:textId="77777777" w:rsidR="009864DB" w:rsidRPr="004D46AC" w:rsidRDefault="009864DB" w:rsidP="009864DB">
            <w:pPr>
              <w:spacing w:line="240" w:lineRule="auto"/>
              <w:ind w:firstLine="0"/>
            </w:pPr>
            <w:r w:rsidRPr="004D46AC">
              <w:t>1</w:t>
            </w:r>
          </w:p>
        </w:tc>
        <w:tc>
          <w:tcPr>
            <w:tcW w:w="1150" w:type="dxa"/>
          </w:tcPr>
          <w:p w14:paraId="7FE991FC" w14:textId="77777777" w:rsidR="009864DB" w:rsidRPr="004D46AC" w:rsidRDefault="009864DB" w:rsidP="009864DB">
            <w:pPr>
              <w:spacing w:line="240" w:lineRule="auto"/>
              <w:ind w:firstLine="0"/>
            </w:pPr>
            <w:r w:rsidRPr="004D46AC">
              <w:t>0</w:t>
            </w:r>
          </w:p>
        </w:tc>
        <w:tc>
          <w:tcPr>
            <w:tcW w:w="1756" w:type="dxa"/>
            <w:vAlign w:val="center"/>
          </w:tcPr>
          <w:p w14:paraId="3E925EFE" w14:textId="77777777" w:rsidR="009864DB" w:rsidRPr="004D46AC" w:rsidRDefault="009864DB" w:rsidP="009864DB">
            <w:pPr>
              <w:spacing w:line="240" w:lineRule="auto"/>
              <w:ind w:firstLine="0"/>
            </w:pPr>
            <w:r w:rsidRPr="004D46AC">
              <w:t>suspiciousness</w:t>
            </w:r>
          </w:p>
        </w:tc>
        <w:tc>
          <w:tcPr>
            <w:tcW w:w="1152" w:type="dxa"/>
            <w:vAlign w:val="center"/>
          </w:tcPr>
          <w:p w14:paraId="1053063A" w14:textId="77777777" w:rsidR="009864DB" w:rsidRPr="004D46AC" w:rsidRDefault="009864DB" w:rsidP="009864DB">
            <w:pPr>
              <w:spacing w:line="240" w:lineRule="auto"/>
              <w:ind w:firstLine="0"/>
            </w:pPr>
            <w:r w:rsidRPr="004D46AC">
              <w:t>54</w:t>
            </w:r>
          </w:p>
        </w:tc>
      </w:tr>
      <w:tr w:rsidR="009864DB" w:rsidRPr="004D46AC" w14:paraId="55277428" w14:textId="77777777" w:rsidTr="00B518F1">
        <w:trPr>
          <w:trHeight w:val="254"/>
        </w:trPr>
        <w:tc>
          <w:tcPr>
            <w:tcW w:w="1440" w:type="dxa"/>
          </w:tcPr>
          <w:p w14:paraId="34460314" w14:textId="77777777" w:rsidR="009864DB" w:rsidRPr="004D46AC" w:rsidRDefault="009864DB" w:rsidP="009864DB">
            <w:pPr>
              <w:spacing w:line="240" w:lineRule="auto"/>
              <w:ind w:firstLine="0"/>
            </w:pPr>
            <w:r w:rsidRPr="004D46AC">
              <w:fldChar w:fldCharType="begin">
                <w:fldData xml:space="preserve">PEVuZE5vdGU+PENpdGUgQXV0aG9yWWVhcj0iMSI+PEF1dGhvcj5TY2h1cmhvZmY8L0F1dGhvcj48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</w:fldData>
              </w:fldChar>
            </w:r>
            <w:r w:rsidRPr="004D46AC">
              <w:instrText xml:space="preserve"> ADDIN EN.CITE </w:instrText>
            </w:r>
            <w:r w:rsidRPr="004D46AC">
              <w:fldChar w:fldCharType="begin">
                <w:fldData xml:space="preserve">PEVuZE5vdGU+PENpdGUgQXV0aG9yWWVhcj0iMSI+PEF1dGhvcj5TY2h1cmhvZmY8L0F1dGhvcj48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Schurhoff et al. (2003)</w:t>
            </w:r>
            <w:r w:rsidRPr="004D46AC">
              <w:fldChar w:fldCharType="end"/>
            </w:r>
          </w:p>
        </w:tc>
        <w:tc>
          <w:tcPr>
            <w:tcW w:w="1189" w:type="dxa"/>
            <w:vAlign w:val="center"/>
          </w:tcPr>
          <w:p w14:paraId="7CF0D966" w14:textId="77777777" w:rsidR="009864DB" w:rsidRPr="004D46AC" w:rsidRDefault="009864DB" w:rsidP="009864DB">
            <w:pPr>
              <w:spacing w:line="240" w:lineRule="auto"/>
              <w:ind w:firstLine="0"/>
            </w:pPr>
            <w:r w:rsidRPr="004D46AC">
              <w:t>6</w:t>
            </w:r>
          </w:p>
        </w:tc>
        <w:tc>
          <w:tcPr>
            <w:tcW w:w="1186" w:type="dxa"/>
            <w:vAlign w:val="center"/>
          </w:tcPr>
          <w:p w14:paraId="3ED114AB" w14:textId="77777777" w:rsidR="009864DB" w:rsidRPr="004D46AC" w:rsidRDefault="009864DB" w:rsidP="009864DB">
            <w:pPr>
              <w:spacing w:line="240" w:lineRule="auto"/>
              <w:ind w:firstLine="0"/>
            </w:pPr>
            <w:r w:rsidRPr="004D46AC">
              <w:t>41.14</w:t>
            </w:r>
          </w:p>
        </w:tc>
        <w:tc>
          <w:tcPr>
            <w:tcW w:w="1235" w:type="dxa"/>
            <w:vAlign w:val="center"/>
          </w:tcPr>
          <w:p w14:paraId="7612AC46" w14:textId="77777777" w:rsidR="009864DB" w:rsidRPr="004D46AC" w:rsidRDefault="009864DB" w:rsidP="009864DB">
            <w:pPr>
              <w:spacing w:line="240" w:lineRule="auto"/>
              <w:ind w:firstLine="0"/>
            </w:pPr>
            <w:r w:rsidRPr="004D46AC">
              <w:t>DSM4</w:t>
            </w:r>
          </w:p>
        </w:tc>
        <w:tc>
          <w:tcPr>
            <w:tcW w:w="1524" w:type="dxa"/>
            <w:vAlign w:val="center"/>
          </w:tcPr>
          <w:p w14:paraId="4567F68F" w14:textId="77777777" w:rsidR="009864DB" w:rsidRPr="004D46AC" w:rsidRDefault="009864DB" w:rsidP="009864DB">
            <w:pPr>
              <w:spacing w:line="240" w:lineRule="auto"/>
              <w:ind w:firstLine="0"/>
            </w:pPr>
            <w:r w:rsidRPr="004D46AC">
              <w:t>PDI</w:t>
            </w:r>
          </w:p>
        </w:tc>
        <w:tc>
          <w:tcPr>
            <w:tcW w:w="1177" w:type="dxa"/>
            <w:vAlign w:val="center"/>
          </w:tcPr>
          <w:p w14:paraId="406AB2FA" w14:textId="77777777" w:rsidR="009864DB" w:rsidRPr="004D46AC" w:rsidRDefault="009864DB" w:rsidP="009864DB">
            <w:pPr>
              <w:spacing w:line="240" w:lineRule="auto"/>
              <w:ind w:firstLine="0"/>
            </w:pPr>
            <w:r w:rsidRPr="004D46AC">
              <w:t>61</w:t>
            </w:r>
          </w:p>
        </w:tc>
        <w:tc>
          <w:tcPr>
            <w:tcW w:w="1210" w:type="dxa"/>
            <w:vAlign w:val="center"/>
          </w:tcPr>
          <w:p w14:paraId="5860F14B" w14:textId="77777777" w:rsidR="009864DB" w:rsidRPr="004D46AC" w:rsidRDefault="009864DB" w:rsidP="009864DB">
            <w:pPr>
              <w:spacing w:line="240" w:lineRule="auto"/>
              <w:ind w:firstLine="0"/>
            </w:pPr>
            <w:r w:rsidRPr="004D46AC">
              <w:t>3</w:t>
            </w:r>
          </w:p>
        </w:tc>
        <w:tc>
          <w:tcPr>
            <w:tcW w:w="1155" w:type="dxa"/>
            <w:vAlign w:val="center"/>
          </w:tcPr>
          <w:p w14:paraId="1A15A73C" w14:textId="77777777" w:rsidR="009864DB" w:rsidRPr="004D46AC" w:rsidRDefault="009864DB" w:rsidP="009864DB">
            <w:pPr>
              <w:spacing w:line="240" w:lineRule="auto"/>
              <w:ind w:firstLine="0"/>
            </w:pPr>
            <w:r w:rsidRPr="004D46AC">
              <w:t>1</w:t>
            </w:r>
          </w:p>
        </w:tc>
        <w:tc>
          <w:tcPr>
            <w:tcW w:w="1150" w:type="dxa"/>
          </w:tcPr>
          <w:p w14:paraId="4BBD6C3B" w14:textId="77777777" w:rsidR="009864DB" w:rsidRPr="004D46AC" w:rsidRDefault="009864DB" w:rsidP="009864DB">
            <w:pPr>
              <w:spacing w:line="240" w:lineRule="auto"/>
              <w:ind w:firstLine="0"/>
            </w:pPr>
            <w:r w:rsidRPr="004D46AC">
              <w:t>0</w:t>
            </w:r>
          </w:p>
        </w:tc>
        <w:tc>
          <w:tcPr>
            <w:tcW w:w="1756" w:type="dxa"/>
            <w:vAlign w:val="center"/>
          </w:tcPr>
          <w:p w14:paraId="3CEDFF8E" w14:textId="77777777" w:rsidR="009864DB" w:rsidRPr="004D46AC" w:rsidRDefault="009864DB" w:rsidP="009864DB">
            <w:pPr>
              <w:spacing w:line="240" w:lineRule="auto"/>
              <w:ind w:firstLine="0"/>
            </w:pPr>
            <w:r w:rsidRPr="004D46AC">
              <w:t>suspiciousness</w:t>
            </w:r>
          </w:p>
        </w:tc>
        <w:tc>
          <w:tcPr>
            <w:tcW w:w="1152" w:type="dxa"/>
            <w:vAlign w:val="center"/>
          </w:tcPr>
          <w:p w14:paraId="1171C88D" w14:textId="77777777" w:rsidR="009864DB" w:rsidRPr="004D46AC" w:rsidRDefault="009864DB" w:rsidP="009864DB">
            <w:pPr>
              <w:spacing w:line="240" w:lineRule="auto"/>
              <w:ind w:firstLine="0"/>
            </w:pPr>
            <w:r w:rsidRPr="004D46AC">
              <w:t>39</w:t>
            </w:r>
          </w:p>
        </w:tc>
      </w:tr>
      <w:tr w:rsidR="009864DB" w:rsidRPr="004D46AC" w14:paraId="431C8FF6" w14:textId="77777777" w:rsidTr="00B518F1">
        <w:trPr>
          <w:trHeight w:val="254"/>
        </w:trPr>
        <w:tc>
          <w:tcPr>
            <w:tcW w:w="1440" w:type="dxa"/>
          </w:tcPr>
          <w:p w14:paraId="659FFF71" w14:textId="77777777" w:rsidR="009864DB" w:rsidRPr="004D46AC" w:rsidRDefault="009864DB" w:rsidP="009864DB">
            <w:pPr>
              <w:spacing w:line="240" w:lineRule="auto"/>
              <w:ind w:firstLine="0"/>
            </w:pPr>
            <w:r w:rsidRPr="004D46AC">
              <w:fldChar w:fldCharType="begin">
                <w:fldData xml:space="preserve">PEVuZE5vdGU+PENpdGUgQXV0aG9yWWVhcj0iMSI+PEF1dGhvcj5Hb3JndWx1PC9BdXRob3I+PFll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</w:fldData>
              </w:fldChar>
            </w:r>
            <w:r w:rsidRPr="004D46AC">
              <w:instrText xml:space="preserve"> ADDIN EN.CITE </w:instrText>
            </w:r>
            <w:r w:rsidRPr="004D46AC">
              <w:fldChar w:fldCharType="begin">
                <w:fldData xml:space="preserve">PEVuZE5vdGU+PENpdGUgQXV0aG9yWWVhcj0iMSI+PEF1dGhvcj5Hb3JndWx1PC9BdXRob3I+PFll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Gorgulu et al. (2021)</w:t>
            </w:r>
            <w:r w:rsidRPr="004D46AC">
              <w:fldChar w:fldCharType="end"/>
            </w:r>
            <w:r w:rsidRPr="004D46AC">
              <w:t xml:space="preserve">  </w:t>
            </w:r>
          </w:p>
        </w:tc>
        <w:tc>
          <w:tcPr>
            <w:tcW w:w="1189" w:type="dxa"/>
            <w:vAlign w:val="center"/>
          </w:tcPr>
          <w:p w14:paraId="461774E2" w14:textId="77777777" w:rsidR="009864DB" w:rsidRPr="004D46AC" w:rsidRDefault="009864DB" w:rsidP="009864DB">
            <w:pPr>
              <w:spacing w:line="240" w:lineRule="auto"/>
              <w:ind w:firstLine="0"/>
            </w:pPr>
            <w:r w:rsidRPr="004D46AC">
              <w:t>5</w:t>
            </w:r>
          </w:p>
        </w:tc>
        <w:tc>
          <w:tcPr>
            <w:tcW w:w="1186" w:type="dxa"/>
            <w:vAlign w:val="center"/>
          </w:tcPr>
          <w:p w14:paraId="0CEBCBFC" w14:textId="77777777" w:rsidR="009864DB" w:rsidRPr="004D46AC" w:rsidRDefault="009864DB" w:rsidP="009864DB">
            <w:pPr>
              <w:spacing w:line="240" w:lineRule="auto"/>
              <w:ind w:firstLine="0"/>
            </w:pPr>
            <w:r w:rsidRPr="004D46AC">
              <w:t>41.94</w:t>
            </w:r>
          </w:p>
        </w:tc>
        <w:tc>
          <w:tcPr>
            <w:tcW w:w="1235" w:type="dxa"/>
            <w:vAlign w:val="center"/>
          </w:tcPr>
          <w:p w14:paraId="4CFD39C5" w14:textId="77777777" w:rsidR="009864DB" w:rsidRPr="004D46AC" w:rsidRDefault="009864DB" w:rsidP="009864DB">
            <w:pPr>
              <w:spacing w:line="240" w:lineRule="auto"/>
              <w:ind w:firstLine="0"/>
            </w:pPr>
            <w:r w:rsidRPr="004D46AC">
              <w:t>DSM5</w:t>
            </w:r>
          </w:p>
        </w:tc>
        <w:tc>
          <w:tcPr>
            <w:tcW w:w="1524" w:type="dxa"/>
            <w:vAlign w:val="center"/>
          </w:tcPr>
          <w:p w14:paraId="299E0F63" w14:textId="77777777" w:rsidR="009864DB" w:rsidRPr="004D46AC" w:rsidRDefault="009864DB" w:rsidP="009864DB">
            <w:pPr>
              <w:spacing w:line="240" w:lineRule="auto"/>
              <w:ind w:firstLine="0"/>
            </w:pPr>
            <w:r w:rsidRPr="004D46AC">
              <w:t>unclear</w:t>
            </w:r>
          </w:p>
        </w:tc>
        <w:tc>
          <w:tcPr>
            <w:tcW w:w="1177" w:type="dxa"/>
            <w:vAlign w:val="center"/>
          </w:tcPr>
          <w:p w14:paraId="2FC1141F" w14:textId="77777777" w:rsidR="009864DB" w:rsidRPr="004D46AC" w:rsidRDefault="009864DB" w:rsidP="009864DB">
            <w:pPr>
              <w:spacing w:line="240" w:lineRule="auto"/>
              <w:ind w:firstLine="0"/>
            </w:pPr>
            <w:r w:rsidRPr="004D46AC">
              <w:t>80</w:t>
            </w:r>
          </w:p>
        </w:tc>
        <w:tc>
          <w:tcPr>
            <w:tcW w:w="1210" w:type="dxa"/>
            <w:vAlign w:val="center"/>
          </w:tcPr>
          <w:p w14:paraId="1D2DA3DC" w14:textId="77777777" w:rsidR="009864DB" w:rsidRPr="004D46AC" w:rsidRDefault="009864DB" w:rsidP="009864DB">
            <w:pPr>
              <w:spacing w:line="240" w:lineRule="auto"/>
              <w:ind w:firstLine="0"/>
            </w:pPr>
            <w:r w:rsidRPr="004D46AC">
              <w:t>2</w:t>
            </w:r>
          </w:p>
        </w:tc>
        <w:tc>
          <w:tcPr>
            <w:tcW w:w="1155" w:type="dxa"/>
            <w:vAlign w:val="center"/>
          </w:tcPr>
          <w:p w14:paraId="7AF3E40B" w14:textId="77777777" w:rsidR="009864DB" w:rsidRPr="004D46AC" w:rsidRDefault="009864DB" w:rsidP="009864DB">
            <w:pPr>
              <w:spacing w:line="240" w:lineRule="auto"/>
              <w:ind w:firstLine="0"/>
            </w:pPr>
            <w:r w:rsidRPr="004D46AC">
              <w:t>2</w:t>
            </w:r>
          </w:p>
        </w:tc>
        <w:tc>
          <w:tcPr>
            <w:tcW w:w="1150" w:type="dxa"/>
          </w:tcPr>
          <w:p w14:paraId="798071E1" w14:textId="77777777" w:rsidR="009864DB" w:rsidRPr="004D46AC" w:rsidRDefault="009864DB" w:rsidP="009864DB">
            <w:pPr>
              <w:spacing w:line="240" w:lineRule="auto"/>
              <w:ind w:firstLine="0"/>
            </w:pPr>
            <w:r w:rsidRPr="004D46AC">
              <w:t>0</w:t>
            </w:r>
          </w:p>
        </w:tc>
        <w:tc>
          <w:tcPr>
            <w:tcW w:w="1756" w:type="dxa"/>
            <w:vAlign w:val="center"/>
          </w:tcPr>
          <w:p w14:paraId="4F9DB68E" w14:textId="77777777" w:rsidR="009864DB" w:rsidRPr="004D46AC" w:rsidRDefault="009864DB" w:rsidP="009864DB">
            <w:pPr>
              <w:spacing w:line="240" w:lineRule="auto"/>
              <w:ind w:firstLine="0"/>
            </w:pPr>
            <w:r w:rsidRPr="004D46AC">
              <w:t>any</w:t>
            </w:r>
          </w:p>
        </w:tc>
        <w:tc>
          <w:tcPr>
            <w:tcW w:w="1152" w:type="dxa"/>
            <w:vAlign w:val="center"/>
          </w:tcPr>
          <w:p w14:paraId="70713C20" w14:textId="77777777" w:rsidR="009864DB" w:rsidRPr="004D46AC" w:rsidRDefault="009864DB" w:rsidP="009864DB">
            <w:pPr>
              <w:spacing w:line="240" w:lineRule="auto"/>
              <w:ind w:firstLine="0"/>
            </w:pPr>
            <w:r w:rsidRPr="004D46AC">
              <w:t>44</w:t>
            </w:r>
          </w:p>
        </w:tc>
      </w:tr>
      <w:tr w:rsidR="009864DB" w:rsidRPr="004D46AC" w14:paraId="72360EA0" w14:textId="77777777" w:rsidTr="00B518F1">
        <w:trPr>
          <w:trHeight w:val="262"/>
        </w:trPr>
        <w:tc>
          <w:tcPr>
            <w:tcW w:w="1440" w:type="dxa"/>
          </w:tcPr>
          <w:p w14:paraId="39CB9F6B" w14:textId="77777777" w:rsidR="009864DB" w:rsidRPr="004D46AC" w:rsidRDefault="009864DB" w:rsidP="009864DB">
            <w:pPr>
              <w:spacing w:line="240" w:lineRule="auto"/>
              <w:ind w:firstLine="0"/>
            </w:pPr>
            <w:r w:rsidRPr="004D46AC">
              <w:fldChar w:fldCharType="begin">
                <w:fldData xml:space="preserve">PEVuZE5vdGU+PENpdGUgQXV0aG9yWWVhcj0iMSI+PEF1dGhvcj5OYWtpbXVsaS1NcHVuZ3U8L0F1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instrText xml:space="preserve"> ADDIN EN.CITE </w:instrText>
            </w:r>
            <w:r w:rsidRPr="004D46AC">
              <w:fldChar w:fldCharType="begin">
                <w:fldData xml:space="preserve">PEVuZE5vdGU+PENpdGUgQXV0aG9yWWVhcj0iMSI+PEF1dGhvcj5OYWtpbXVsaS1NcHVuZ3U8L0F1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instrText xml:space="preserve"> ADDIN EN.CITE.DATA </w:instrText>
            </w:r>
            <w:r w:rsidRPr="004D46AC">
              <w:fldChar w:fldCharType="end"/>
            </w:r>
            <w:r w:rsidRPr="004D46AC">
              <w:fldChar w:fldCharType="separate"/>
            </w:r>
            <w:r w:rsidRPr="004D46AC">
              <w:t>Nakimuli-Mpungu et al. (2006)</w:t>
            </w:r>
            <w:r w:rsidRPr="004D46AC">
              <w:fldChar w:fldCharType="end"/>
            </w:r>
          </w:p>
        </w:tc>
        <w:tc>
          <w:tcPr>
            <w:tcW w:w="1189" w:type="dxa"/>
            <w:vAlign w:val="center"/>
          </w:tcPr>
          <w:p w14:paraId="53AF978C" w14:textId="77777777" w:rsidR="009864DB" w:rsidRPr="004D46AC" w:rsidRDefault="009864DB" w:rsidP="009864DB">
            <w:pPr>
              <w:spacing w:line="240" w:lineRule="auto"/>
              <w:ind w:firstLine="0"/>
            </w:pPr>
            <w:r w:rsidRPr="004D46AC">
              <w:t>6</w:t>
            </w:r>
          </w:p>
        </w:tc>
        <w:tc>
          <w:tcPr>
            <w:tcW w:w="1186" w:type="dxa"/>
            <w:vAlign w:val="center"/>
          </w:tcPr>
          <w:p w14:paraId="1255C13C" w14:textId="77777777" w:rsidR="009864DB" w:rsidRPr="004D46AC" w:rsidRDefault="009864DB" w:rsidP="009864DB">
            <w:pPr>
              <w:spacing w:line="240" w:lineRule="auto"/>
              <w:ind w:firstLine="0"/>
            </w:pPr>
            <w:r w:rsidRPr="004D46AC">
              <w:t>25.2</w:t>
            </w:r>
          </w:p>
        </w:tc>
        <w:tc>
          <w:tcPr>
            <w:tcW w:w="1235" w:type="dxa"/>
            <w:vAlign w:val="center"/>
          </w:tcPr>
          <w:p w14:paraId="7EE2D96F" w14:textId="77777777" w:rsidR="009864DB" w:rsidRPr="004D46AC" w:rsidRDefault="009864DB" w:rsidP="009864DB">
            <w:pPr>
              <w:spacing w:line="240" w:lineRule="auto"/>
              <w:ind w:firstLine="0"/>
            </w:pPr>
            <w:r w:rsidRPr="004D46AC">
              <w:t>DSM4</w:t>
            </w:r>
          </w:p>
        </w:tc>
        <w:tc>
          <w:tcPr>
            <w:tcW w:w="1524" w:type="dxa"/>
            <w:vAlign w:val="center"/>
          </w:tcPr>
          <w:p w14:paraId="5FBC71D5" w14:textId="77777777" w:rsidR="009864DB" w:rsidRPr="004D46AC" w:rsidRDefault="009864DB" w:rsidP="009864DB">
            <w:pPr>
              <w:spacing w:line="240" w:lineRule="auto"/>
              <w:ind w:firstLine="0"/>
            </w:pPr>
            <w:r w:rsidRPr="004D46AC">
              <w:t>unclear</w:t>
            </w:r>
          </w:p>
        </w:tc>
        <w:tc>
          <w:tcPr>
            <w:tcW w:w="1177" w:type="dxa"/>
            <w:vAlign w:val="center"/>
          </w:tcPr>
          <w:p w14:paraId="5B67D19E" w14:textId="77777777" w:rsidR="009864DB" w:rsidRPr="004D46AC" w:rsidRDefault="009864DB" w:rsidP="009864DB">
            <w:pPr>
              <w:spacing w:line="240" w:lineRule="auto"/>
              <w:ind w:firstLine="0"/>
            </w:pPr>
            <w:r w:rsidRPr="004D46AC">
              <w:t>64</w:t>
            </w:r>
          </w:p>
        </w:tc>
        <w:tc>
          <w:tcPr>
            <w:tcW w:w="1210" w:type="dxa"/>
            <w:vAlign w:val="center"/>
          </w:tcPr>
          <w:p w14:paraId="38E1810D" w14:textId="77777777" w:rsidR="009864DB" w:rsidRPr="004D46AC" w:rsidRDefault="009864DB" w:rsidP="009864DB">
            <w:pPr>
              <w:spacing w:line="240" w:lineRule="auto"/>
              <w:ind w:firstLine="0"/>
            </w:pPr>
            <w:r w:rsidRPr="004D46AC">
              <w:t>3</w:t>
            </w:r>
          </w:p>
        </w:tc>
        <w:tc>
          <w:tcPr>
            <w:tcW w:w="1155" w:type="dxa"/>
            <w:vAlign w:val="center"/>
          </w:tcPr>
          <w:p w14:paraId="3E20A3B8" w14:textId="77777777" w:rsidR="009864DB" w:rsidRPr="004D46AC" w:rsidRDefault="009864DB" w:rsidP="009864DB">
            <w:pPr>
              <w:spacing w:line="240" w:lineRule="auto"/>
              <w:ind w:firstLine="0"/>
            </w:pPr>
            <w:r w:rsidRPr="004D46AC">
              <w:t>2</w:t>
            </w:r>
          </w:p>
        </w:tc>
        <w:tc>
          <w:tcPr>
            <w:tcW w:w="1150" w:type="dxa"/>
          </w:tcPr>
          <w:p w14:paraId="05359513" w14:textId="77777777" w:rsidR="009864DB" w:rsidRPr="004D46AC" w:rsidRDefault="009864DB" w:rsidP="009864DB">
            <w:pPr>
              <w:spacing w:line="240" w:lineRule="auto"/>
              <w:ind w:firstLine="0"/>
            </w:pPr>
            <w:r w:rsidRPr="004D46AC">
              <w:t>0</w:t>
            </w:r>
          </w:p>
        </w:tc>
        <w:tc>
          <w:tcPr>
            <w:tcW w:w="1756" w:type="dxa"/>
            <w:vAlign w:val="center"/>
          </w:tcPr>
          <w:p w14:paraId="73A4BB76" w14:textId="77777777" w:rsidR="009864DB" w:rsidRPr="004D46AC" w:rsidRDefault="009864DB" w:rsidP="009864DB">
            <w:pPr>
              <w:spacing w:line="240" w:lineRule="auto"/>
              <w:ind w:firstLine="0"/>
            </w:pPr>
            <w:r w:rsidRPr="004D46AC">
              <w:t>paranoia</w:t>
            </w:r>
          </w:p>
        </w:tc>
        <w:tc>
          <w:tcPr>
            <w:tcW w:w="1152" w:type="dxa"/>
            <w:vAlign w:val="center"/>
          </w:tcPr>
          <w:p w14:paraId="11B89B9A" w14:textId="77777777" w:rsidR="009864DB" w:rsidRPr="004D46AC" w:rsidRDefault="009864DB" w:rsidP="009864DB">
            <w:pPr>
              <w:spacing w:line="240" w:lineRule="auto"/>
              <w:ind w:firstLine="0"/>
            </w:pPr>
            <w:r w:rsidRPr="004D46AC">
              <w:t>51</w:t>
            </w:r>
          </w:p>
        </w:tc>
      </w:tr>
      <w:tr w:rsidR="009864DB" w:rsidRPr="004D46AC" w14:paraId="174FF377" w14:textId="77777777" w:rsidTr="00B518F1">
        <w:trPr>
          <w:trHeight w:val="254"/>
        </w:trPr>
        <w:tc>
          <w:tcPr>
            <w:tcW w:w="1440" w:type="dxa"/>
          </w:tcPr>
          <w:p w14:paraId="1EDC0C5C" w14:textId="77777777" w:rsidR="009864DB" w:rsidRPr="004D46AC" w:rsidRDefault="009864DB" w:rsidP="009864DB">
            <w:pPr>
              <w:spacing w:line="240" w:lineRule="auto"/>
              <w:ind w:firstLine="0"/>
            </w:pPr>
            <w:r w:rsidRPr="004D46AC">
              <w:fldChar w:fldCharType="begin">
                <w:fldData xml:space="preserve">PEVuZE5vdGU+PENpdGUgQXV0aG9yWWVhcj0iMSI+PEF1dGhvcj5SZWluaW5naGF1czwvQXV0aG9y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instrText xml:space="preserve"> ADDIN EN.CITE </w:instrText>
            </w:r>
            <w:r w:rsidRPr="004D46AC">
              <w:fldChar w:fldCharType="begin">
                <w:fldData xml:space="preserve">PEVuZE5vdGU+PENpdGUgQXV0aG9yWWVhcj0iMSI+PEF1dGhvcj5SZWluaW5naGF1czwvQXV0aG9y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Reininghaus et al. (2016)</w:t>
            </w:r>
            <w:r w:rsidRPr="004D46AC">
              <w:fldChar w:fldCharType="end"/>
            </w:r>
          </w:p>
        </w:tc>
        <w:tc>
          <w:tcPr>
            <w:tcW w:w="1189" w:type="dxa"/>
            <w:vAlign w:val="center"/>
          </w:tcPr>
          <w:p w14:paraId="7AD2DF30" w14:textId="77777777" w:rsidR="009864DB" w:rsidRPr="004D46AC" w:rsidRDefault="009864DB" w:rsidP="009864DB">
            <w:pPr>
              <w:spacing w:line="240" w:lineRule="auto"/>
              <w:ind w:firstLine="0"/>
            </w:pPr>
            <w:r w:rsidRPr="004D46AC">
              <w:t>7</w:t>
            </w:r>
          </w:p>
        </w:tc>
        <w:tc>
          <w:tcPr>
            <w:tcW w:w="1186" w:type="dxa"/>
            <w:vAlign w:val="center"/>
          </w:tcPr>
          <w:p w14:paraId="06C9365E" w14:textId="77777777" w:rsidR="009864DB" w:rsidRPr="004D46AC" w:rsidRDefault="009864DB" w:rsidP="009864DB">
            <w:pPr>
              <w:spacing w:line="240" w:lineRule="auto"/>
              <w:ind w:firstLine="0"/>
            </w:pPr>
            <w:r w:rsidRPr="004D46AC">
              <w:t>48</w:t>
            </w:r>
          </w:p>
        </w:tc>
        <w:tc>
          <w:tcPr>
            <w:tcW w:w="1235" w:type="dxa"/>
            <w:vAlign w:val="center"/>
          </w:tcPr>
          <w:p w14:paraId="7037666C" w14:textId="77777777" w:rsidR="009864DB" w:rsidRPr="004D46AC" w:rsidRDefault="009864DB" w:rsidP="009864DB">
            <w:pPr>
              <w:spacing w:line="240" w:lineRule="auto"/>
              <w:ind w:firstLine="0"/>
            </w:pPr>
            <w:r w:rsidRPr="004D46AC">
              <w:t>RDC</w:t>
            </w:r>
          </w:p>
        </w:tc>
        <w:tc>
          <w:tcPr>
            <w:tcW w:w="1524" w:type="dxa"/>
            <w:vAlign w:val="center"/>
          </w:tcPr>
          <w:p w14:paraId="186138DE" w14:textId="77777777" w:rsidR="009864DB" w:rsidRPr="004D46AC" w:rsidRDefault="009864DB" w:rsidP="009864DB">
            <w:pPr>
              <w:spacing w:line="240" w:lineRule="auto"/>
              <w:ind w:firstLine="0"/>
            </w:pPr>
            <w:r w:rsidRPr="004D46AC">
              <w:t>OPCRIT</w:t>
            </w:r>
          </w:p>
        </w:tc>
        <w:tc>
          <w:tcPr>
            <w:tcW w:w="1177" w:type="dxa"/>
            <w:vAlign w:val="center"/>
          </w:tcPr>
          <w:p w14:paraId="64CF6B65" w14:textId="77777777" w:rsidR="009864DB" w:rsidRPr="004D46AC" w:rsidRDefault="009864DB" w:rsidP="009864DB">
            <w:pPr>
              <w:spacing w:line="240" w:lineRule="auto"/>
              <w:ind w:firstLine="0"/>
            </w:pPr>
            <w:r w:rsidRPr="004D46AC">
              <w:t>477</w:t>
            </w:r>
          </w:p>
        </w:tc>
        <w:tc>
          <w:tcPr>
            <w:tcW w:w="1210" w:type="dxa"/>
            <w:vAlign w:val="center"/>
          </w:tcPr>
          <w:p w14:paraId="0457FE3A" w14:textId="77777777" w:rsidR="009864DB" w:rsidRPr="004D46AC" w:rsidRDefault="009864DB" w:rsidP="009864DB">
            <w:pPr>
              <w:spacing w:line="240" w:lineRule="auto"/>
              <w:ind w:firstLine="0"/>
            </w:pPr>
            <w:r w:rsidRPr="004D46AC">
              <w:t>2</w:t>
            </w:r>
          </w:p>
        </w:tc>
        <w:tc>
          <w:tcPr>
            <w:tcW w:w="1155" w:type="dxa"/>
            <w:vAlign w:val="center"/>
          </w:tcPr>
          <w:p w14:paraId="3EC0A633" w14:textId="77777777" w:rsidR="009864DB" w:rsidRPr="004D46AC" w:rsidRDefault="009864DB" w:rsidP="009864DB">
            <w:pPr>
              <w:spacing w:line="240" w:lineRule="auto"/>
              <w:ind w:firstLine="0"/>
            </w:pPr>
            <w:r w:rsidRPr="004D46AC">
              <w:t>1</w:t>
            </w:r>
          </w:p>
        </w:tc>
        <w:tc>
          <w:tcPr>
            <w:tcW w:w="1150" w:type="dxa"/>
          </w:tcPr>
          <w:p w14:paraId="7FB4D607" w14:textId="77777777" w:rsidR="009864DB" w:rsidRPr="004D46AC" w:rsidRDefault="009864DB" w:rsidP="009864DB">
            <w:pPr>
              <w:spacing w:line="240" w:lineRule="auto"/>
              <w:ind w:firstLine="0"/>
            </w:pPr>
            <w:r w:rsidRPr="004D46AC">
              <w:t>0</w:t>
            </w:r>
          </w:p>
        </w:tc>
        <w:tc>
          <w:tcPr>
            <w:tcW w:w="1756" w:type="dxa"/>
            <w:vAlign w:val="center"/>
          </w:tcPr>
          <w:p w14:paraId="5783D323" w14:textId="77777777" w:rsidR="009864DB" w:rsidRPr="004D46AC" w:rsidRDefault="009864DB" w:rsidP="009864DB">
            <w:pPr>
              <w:spacing w:line="240" w:lineRule="auto"/>
              <w:ind w:firstLine="0"/>
            </w:pPr>
            <w:r w:rsidRPr="004D46AC">
              <w:t>grandiosity</w:t>
            </w:r>
          </w:p>
        </w:tc>
        <w:tc>
          <w:tcPr>
            <w:tcW w:w="1152" w:type="dxa"/>
            <w:vAlign w:val="center"/>
          </w:tcPr>
          <w:p w14:paraId="7747C4A5" w14:textId="77777777" w:rsidR="009864DB" w:rsidRPr="004D46AC" w:rsidRDefault="009864DB" w:rsidP="009864DB">
            <w:pPr>
              <w:spacing w:line="240" w:lineRule="auto"/>
              <w:ind w:firstLine="0"/>
            </w:pPr>
            <w:r w:rsidRPr="004D46AC">
              <w:t>266</w:t>
            </w:r>
          </w:p>
        </w:tc>
      </w:tr>
      <w:tr w:rsidR="009864DB" w:rsidRPr="004D46AC" w14:paraId="0DDD204C" w14:textId="77777777" w:rsidTr="00B518F1">
        <w:trPr>
          <w:trHeight w:val="254"/>
        </w:trPr>
        <w:tc>
          <w:tcPr>
            <w:tcW w:w="1440" w:type="dxa"/>
          </w:tcPr>
          <w:p w14:paraId="713BEA14"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AuthorYear="1"&gt;&lt;Author&gt;Picardi&lt;/Author&gt;&lt;Year&gt;2018&lt;/Year&gt;&lt;RecNum&gt;290&lt;/RecNum&gt;&lt;DisplayText&gt;Picardi et al. (2018)&lt;/DisplayText&gt;&lt;record&gt;&lt;rec-number&gt;290&lt;/rec-number&gt;&lt;foreign-keys&gt;&lt;key app="EN" db-id="aet009sstawa0hewvt3xwf5atffdw2dt02sw" timestamp="1666450385"&gt;290&lt;/key&gt;&lt;/foreign-keys&gt;&lt;ref-type name="Journal Article"&gt;17&lt;/ref-type&gt;&lt;contributors&gt;&lt;authors&gt;&lt;author&gt;Picardi, A.&lt;/author&gt;&lt;author&gt;Fonzi, L.&lt;/author&gt;&lt;author&gt;Pallagrosi, M.&lt;/author&gt;&lt;author&gt;Gigantesco, A.&lt;/author&gt;&lt;author&gt;Biondi, M.&lt;/author&gt;&lt;/authors&gt;&lt;/contributors&gt;&lt;auth-address&gt;Centre of Behavioural Sciences and Mental Health, Italian National Institute of Health, Rome, Italy.&amp;#xD;Department of Human Neurosciences, Sapienza University of Rome, Rome, Italy.&lt;/auth-address&gt;&lt;titles&gt;&lt;title&gt;Delusional Themes Across Affective and Non-Affective Psychoses&lt;/title&gt;&lt;secondary-title&gt;Front Psychiatry&lt;/secondary-title&gt;&lt;/titles&gt;&lt;periodical&gt;&lt;full-title&gt;Front Psychiatry&lt;/full-title&gt;&lt;/periodical&gt;&lt;pages&gt;132&lt;/pages&gt;&lt;volume&gt;9&lt;/volume&gt;&lt;edition&gt;20180405&lt;/edition&gt;&lt;keywords&gt;&lt;keyword&gt;delusion&lt;/keyword&gt;&lt;keyword&gt;grandiosity&lt;/keyword&gt;&lt;keyword&gt;guilt&lt;/keyword&gt;&lt;keyword&gt;mood&lt;/keyword&gt;&lt;keyword&gt;persecution&lt;/keyword&gt;&lt;keyword&gt;psychopathology&lt;/keyword&gt;&lt;keyword&gt;psychosis&lt;/keyword&gt;&lt;/keywords&gt;&lt;dates&gt;&lt;year&gt;2018&lt;/year&gt;&lt;/dates&gt;&lt;isbn&gt;1664-0640 (Print)&amp;#xD;1664-0640 (Electronic)&amp;#xD;1664-0640 (Linking)&lt;/isbn&gt;&lt;accession-num&gt;29674982&lt;/accession-num&gt;&lt;urls&gt;&lt;related-urls&gt;&lt;url&gt;https://www.ncbi.nlm.nih.gov/pubmed/29674982&lt;/url&gt;&lt;/related-urls&gt;&lt;/urls&gt;&lt;custom2&gt;PMC5895977&lt;/custom2&gt;&lt;electronic-resource-num&gt;10.3389/fpsyt.2018.00132&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Picardi et al. (2018)</w:t>
            </w:r>
            <w:r w:rsidRPr="004D46AC">
              <w:fldChar w:fldCharType="end"/>
            </w:r>
          </w:p>
        </w:tc>
        <w:tc>
          <w:tcPr>
            <w:tcW w:w="1189" w:type="dxa"/>
            <w:vAlign w:val="center"/>
          </w:tcPr>
          <w:p w14:paraId="228FF6E8" w14:textId="77777777" w:rsidR="009864DB" w:rsidRPr="004D46AC" w:rsidRDefault="009864DB" w:rsidP="009864DB">
            <w:pPr>
              <w:spacing w:line="240" w:lineRule="auto"/>
              <w:ind w:firstLine="0"/>
            </w:pPr>
            <w:r w:rsidRPr="004D46AC">
              <w:t>5</w:t>
            </w:r>
          </w:p>
        </w:tc>
        <w:tc>
          <w:tcPr>
            <w:tcW w:w="1186" w:type="dxa"/>
            <w:vAlign w:val="center"/>
          </w:tcPr>
          <w:p w14:paraId="07FFDCA7" w14:textId="77777777" w:rsidR="009864DB" w:rsidRPr="004D46AC" w:rsidRDefault="009864DB" w:rsidP="009864DB">
            <w:pPr>
              <w:spacing w:line="240" w:lineRule="auto"/>
              <w:ind w:firstLine="0"/>
            </w:pPr>
            <w:r w:rsidRPr="004D46AC">
              <w:t>39.7</w:t>
            </w:r>
          </w:p>
        </w:tc>
        <w:tc>
          <w:tcPr>
            <w:tcW w:w="1235" w:type="dxa"/>
            <w:vAlign w:val="center"/>
          </w:tcPr>
          <w:p w14:paraId="7DC0B93F" w14:textId="77777777" w:rsidR="009864DB" w:rsidRPr="004D46AC" w:rsidRDefault="009864DB" w:rsidP="009864DB">
            <w:pPr>
              <w:spacing w:line="240" w:lineRule="auto"/>
              <w:ind w:firstLine="0"/>
            </w:pPr>
            <w:r w:rsidRPr="004D46AC">
              <w:t>mixed</w:t>
            </w:r>
          </w:p>
        </w:tc>
        <w:tc>
          <w:tcPr>
            <w:tcW w:w="1524" w:type="dxa"/>
            <w:vAlign w:val="center"/>
          </w:tcPr>
          <w:p w14:paraId="658FAA22" w14:textId="77777777" w:rsidR="009864DB" w:rsidRPr="004D46AC" w:rsidRDefault="009864DB" w:rsidP="009864DB">
            <w:pPr>
              <w:spacing w:line="240" w:lineRule="auto"/>
              <w:ind w:firstLine="0"/>
            </w:pPr>
            <w:r w:rsidRPr="004D46AC">
              <w:t>BPRS</w:t>
            </w:r>
          </w:p>
        </w:tc>
        <w:tc>
          <w:tcPr>
            <w:tcW w:w="1177" w:type="dxa"/>
            <w:vAlign w:val="center"/>
          </w:tcPr>
          <w:p w14:paraId="537ECB1E" w14:textId="77777777" w:rsidR="009864DB" w:rsidRPr="004D46AC" w:rsidRDefault="009864DB" w:rsidP="009864DB">
            <w:pPr>
              <w:spacing w:line="240" w:lineRule="auto"/>
              <w:ind w:firstLine="0"/>
            </w:pPr>
            <w:r w:rsidRPr="004D46AC">
              <w:t>217</w:t>
            </w:r>
          </w:p>
        </w:tc>
        <w:tc>
          <w:tcPr>
            <w:tcW w:w="1210" w:type="dxa"/>
            <w:vAlign w:val="center"/>
          </w:tcPr>
          <w:p w14:paraId="424325E6" w14:textId="77777777" w:rsidR="009864DB" w:rsidRPr="004D46AC" w:rsidRDefault="009864DB" w:rsidP="009864DB">
            <w:pPr>
              <w:spacing w:line="240" w:lineRule="auto"/>
              <w:ind w:firstLine="0"/>
            </w:pPr>
            <w:r w:rsidRPr="004D46AC">
              <w:t>3</w:t>
            </w:r>
          </w:p>
        </w:tc>
        <w:tc>
          <w:tcPr>
            <w:tcW w:w="1155" w:type="dxa"/>
            <w:vAlign w:val="center"/>
          </w:tcPr>
          <w:p w14:paraId="2511C6E4" w14:textId="77777777" w:rsidR="009864DB" w:rsidRPr="004D46AC" w:rsidRDefault="009864DB" w:rsidP="009864DB">
            <w:pPr>
              <w:spacing w:line="240" w:lineRule="auto"/>
              <w:ind w:firstLine="0"/>
            </w:pPr>
            <w:r w:rsidRPr="004D46AC">
              <w:t>3</w:t>
            </w:r>
          </w:p>
        </w:tc>
        <w:tc>
          <w:tcPr>
            <w:tcW w:w="1150" w:type="dxa"/>
          </w:tcPr>
          <w:p w14:paraId="3607E69B" w14:textId="77777777" w:rsidR="009864DB" w:rsidRPr="004D46AC" w:rsidRDefault="009864DB" w:rsidP="009864DB">
            <w:pPr>
              <w:spacing w:line="240" w:lineRule="auto"/>
              <w:ind w:firstLine="0"/>
            </w:pPr>
            <w:r w:rsidRPr="004D46AC">
              <w:t>0</w:t>
            </w:r>
          </w:p>
        </w:tc>
        <w:tc>
          <w:tcPr>
            <w:tcW w:w="1756" w:type="dxa"/>
            <w:vAlign w:val="center"/>
          </w:tcPr>
          <w:p w14:paraId="6826909D" w14:textId="77777777" w:rsidR="009864DB" w:rsidRPr="004D46AC" w:rsidRDefault="009864DB" w:rsidP="009864DB">
            <w:pPr>
              <w:spacing w:line="240" w:lineRule="auto"/>
              <w:ind w:firstLine="0"/>
            </w:pPr>
            <w:r w:rsidRPr="004D46AC">
              <w:t>any</w:t>
            </w:r>
          </w:p>
        </w:tc>
        <w:tc>
          <w:tcPr>
            <w:tcW w:w="1152" w:type="dxa"/>
            <w:vAlign w:val="center"/>
          </w:tcPr>
          <w:p w14:paraId="2A86BBBE" w14:textId="77777777" w:rsidR="009864DB" w:rsidRPr="004D46AC" w:rsidRDefault="009864DB" w:rsidP="009864DB">
            <w:pPr>
              <w:spacing w:line="240" w:lineRule="auto"/>
              <w:ind w:firstLine="0"/>
            </w:pPr>
            <w:r w:rsidRPr="004D46AC">
              <w:t>61</w:t>
            </w:r>
          </w:p>
        </w:tc>
      </w:tr>
      <w:tr w:rsidR="009864DB" w:rsidRPr="004D46AC" w14:paraId="7EE2DDB0" w14:textId="77777777" w:rsidTr="00B518F1">
        <w:trPr>
          <w:trHeight w:val="254"/>
        </w:trPr>
        <w:tc>
          <w:tcPr>
            <w:tcW w:w="1440" w:type="dxa"/>
          </w:tcPr>
          <w:p w14:paraId="772CC6E4" w14:textId="77777777" w:rsidR="009864DB" w:rsidRPr="004D46AC" w:rsidRDefault="009864DB" w:rsidP="009864DB">
            <w:pPr>
              <w:spacing w:line="240" w:lineRule="auto"/>
              <w:ind w:firstLine="0"/>
            </w:pPr>
            <w:r w:rsidRPr="004D46AC">
              <w:fldChar w:fldCharType="begin">
                <w:fldData xml:space="preserve">PEVuZE5vdGU+PENpdGUgQXV0aG9yWWVhcj0iMSI+PEF1dGhvcj5KZXN0ZXI8L0F1dGhvcj48WWVh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instrText xml:space="preserve"> ADDIN EN.CITE </w:instrText>
            </w:r>
            <w:r w:rsidRPr="004D46AC">
              <w:fldChar w:fldCharType="begin">
                <w:fldData xml:space="preserve">PEVuZE5vdGU+PENpdGUgQXV0aG9yWWVhcj0iMSI+PEF1dGhvcj5KZXN0ZXI8L0F1dGhvcj48WWVh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instrText xml:space="preserve"> ADDIN EN.CITE.DATA </w:instrText>
            </w:r>
            <w:r w:rsidRPr="004D46AC">
              <w:fldChar w:fldCharType="end"/>
            </w:r>
            <w:r w:rsidRPr="004D46AC">
              <w:fldChar w:fldCharType="separate"/>
            </w:r>
            <w:r w:rsidRPr="004D46AC">
              <w:t>Jester et al. (2018)</w:t>
            </w:r>
            <w:r w:rsidRPr="004D46AC">
              <w:fldChar w:fldCharType="end"/>
            </w:r>
          </w:p>
        </w:tc>
        <w:tc>
          <w:tcPr>
            <w:tcW w:w="1189" w:type="dxa"/>
            <w:vAlign w:val="center"/>
          </w:tcPr>
          <w:p w14:paraId="0BD71D61" w14:textId="77777777" w:rsidR="009864DB" w:rsidRPr="004D46AC" w:rsidRDefault="009864DB" w:rsidP="009864DB">
            <w:pPr>
              <w:spacing w:line="240" w:lineRule="auto"/>
              <w:ind w:firstLine="0"/>
            </w:pPr>
            <w:r w:rsidRPr="004D46AC">
              <w:t>4</w:t>
            </w:r>
          </w:p>
        </w:tc>
        <w:tc>
          <w:tcPr>
            <w:tcW w:w="1186" w:type="dxa"/>
            <w:vAlign w:val="center"/>
          </w:tcPr>
          <w:p w14:paraId="568ED227" w14:textId="77777777" w:rsidR="009864DB" w:rsidRPr="004D46AC" w:rsidRDefault="009864DB" w:rsidP="009864DB">
            <w:pPr>
              <w:spacing w:line="240" w:lineRule="auto"/>
              <w:ind w:firstLine="0"/>
            </w:pPr>
            <w:r w:rsidRPr="004D46AC">
              <w:t>NA</w:t>
            </w:r>
          </w:p>
        </w:tc>
        <w:tc>
          <w:tcPr>
            <w:tcW w:w="1235" w:type="dxa"/>
            <w:vAlign w:val="center"/>
          </w:tcPr>
          <w:p w14:paraId="4020F9AF" w14:textId="77777777" w:rsidR="009864DB" w:rsidRPr="004D46AC" w:rsidRDefault="009864DB" w:rsidP="009864DB">
            <w:pPr>
              <w:spacing w:line="240" w:lineRule="auto"/>
              <w:ind w:firstLine="0"/>
            </w:pPr>
            <w:r w:rsidRPr="004D46AC">
              <w:t>unclear</w:t>
            </w:r>
          </w:p>
        </w:tc>
        <w:tc>
          <w:tcPr>
            <w:tcW w:w="1524" w:type="dxa"/>
            <w:vAlign w:val="center"/>
          </w:tcPr>
          <w:p w14:paraId="4C178E68" w14:textId="77777777" w:rsidR="009864DB" w:rsidRPr="004D46AC" w:rsidRDefault="009864DB" w:rsidP="009864DB">
            <w:pPr>
              <w:spacing w:line="240" w:lineRule="auto"/>
              <w:ind w:firstLine="0"/>
            </w:pPr>
            <w:r w:rsidRPr="004D46AC">
              <w:t>MDS</w:t>
            </w:r>
          </w:p>
        </w:tc>
        <w:tc>
          <w:tcPr>
            <w:tcW w:w="1177" w:type="dxa"/>
            <w:vAlign w:val="center"/>
          </w:tcPr>
          <w:p w14:paraId="3EBF11D6" w14:textId="77777777" w:rsidR="009864DB" w:rsidRPr="004D46AC" w:rsidRDefault="009864DB" w:rsidP="009864DB">
            <w:pPr>
              <w:spacing w:line="240" w:lineRule="auto"/>
              <w:ind w:firstLine="0"/>
            </w:pPr>
            <w:r w:rsidRPr="004D46AC">
              <w:t>23130</w:t>
            </w:r>
          </w:p>
        </w:tc>
        <w:tc>
          <w:tcPr>
            <w:tcW w:w="1210" w:type="dxa"/>
            <w:vAlign w:val="center"/>
          </w:tcPr>
          <w:p w14:paraId="431C015B" w14:textId="77777777" w:rsidR="009864DB" w:rsidRPr="004D46AC" w:rsidRDefault="009864DB" w:rsidP="009864DB">
            <w:pPr>
              <w:spacing w:line="240" w:lineRule="auto"/>
              <w:ind w:firstLine="0"/>
            </w:pPr>
            <w:r w:rsidRPr="004D46AC">
              <w:t>unclear</w:t>
            </w:r>
          </w:p>
        </w:tc>
        <w:tc>
          <w:tcPr>
            <w:tcW w:w="1155" w:type="dxa"/>
            <w:vAlign w:val="center"/>
          </w:tcPr>
          <w:p w14:paraId="246CC5E5" w14:textId="77777777" w:rsidR="009864DB" w:rsidRPr="004D46AC" w:rsidRDefault="009864DB" w:rsidP="009864DB">
            <w:pPr>
              <w:spacing w:line="240" w:lineRule="auto"/>
              <w:ind w:firstLine="0"/>
            </w:pPr>
            <w:r w:rsidRPr="004D46AC">
              <w:t>1</w:t>
            </w:r>
          </w:p>
        </w:tc>
        <w:tc>
          <w:tcPr>
            <w:tcW w:w="1150" w:type="dxa"/>
          </w:tcPr>
          <w:p w14:paraId="7BF0A0C1" w14:textId="77777777" w:rsidR="009864DB" w:rsidRPr="004D46AC" w:rsidRDefault="009864DB" w:rsidP="009864DB">
            <w:pPr>
              <w:spacing w:line="240" w:lineRule="auto"/>
              <w:ind w:firstLine="0"/>
            </w:pPr>
            <w:r w:rsidRPr="004D46AC">
              <w:t>0</w:t>
            </w:r>
          </w:p>
        </w:tc>
        <w:tc>
          <w:tcPr>
            <w:tcW w:w="1756" w:type="dxa"/>
            <w:vAlign w:val="center"/>
          </w:tcPr>
          <w:p w14:paraId="5953FFA7" w14:textId="77777777" w:rsidR="009864DB" w:rsidRPr="004D46AC" w:rsidRDefault="009864DB" w:rsidP="009864DB">
            <w:pPr>
              <w:spacing w:line="240" w:lineRule="auto"/>
              <w:ind w:firstLine="0"/>
            </w:pPr>
            <w:r w:rsidRPr="004D46AC">
              <w:t>any</w:t>
            </w:r>
          </w:p>
        </w:tc>
        <w:tc>
          <w:tcPr>
            <w:tcW w:w="1152" w:type="dxa"/>
            <w:vAlign w:val="center"/>
          </w:tcPr>
          <w:p w14:paraId="0683871B" w14:textId="77777777" w:rsidR="009864DB" w:rsidRPr="004D46AC" w:rsidRDefault="009864DB" w:rsidP="009864DB">
            <w:pPr>
              <w:spacing w:line="240" w:lineRule="auto"/>
              <w:ind w:firstLine="0"/>
            </w:pPr>
            <w:r w:rsidRPr="004D46AC">
              <w:t>1234</w:t>
            </w:r>
          </w:p>
        </w:tc>
      </w:tr>
      <w:tr w:rsidR="009864DB" w:rsidRPr="004D46AC" w14:paraId="3F25E633" w14:textId="77777777" w:rsidTr="00B518F1">
        <w:trPr>
          <w:trHeight w:val="262"/>
        </w:trPr>
        <w:tc>
          <w:tcPr>
            <w:tcW w:w="1440" w:type="dxa"/>
          </w:tcPr>
          <w:p w14:paraId="605FA2B2" w14:textId="77777777" w:rsidR="009864DB" w:rsidRPr="004D46AC" w:rsidRDefault="009864DB" w:rsidP="009864DB">
            <w:pPr>
              <w:spacing w:line="240" w:lineRule="auto"/>
              <w:ind w:firstLine="0"/>
            </w:pPr>
            <w:r w:rsidRPr="004D46AC">
              <w:fldChar w:fldCharType="begin">
                <w:fldData xml:space="preserve">PEVuZE5vdGU+PENpdGUgQXV0aG9yWWVhcj0iMSI+PEF1dGhvcj5Sb3NlbjwvQXV0aG9yPjxZZWFy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</w:fldData>
              </w:fldChar>
            </w:r>
            <w:r w:rsidRPr="004D46AC">
              <w:instrText xml:space="preserve"> ADDIN EN.CITE </w:instrText>
            </w:r>
            <w:r w:rsidRPr="004D46AC">
              <w:fldChar w:fldCharType="begin">
                <w:fldData xml:space="preserve">PEVuZE5vdGU+PENpdGUgQXV0aG9yWWVhcj0iMSI+PEF1dGhvcj5Sb3NlbjwvQXV0aG9yPjxZZWFy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</w:fldData>
              </w:fldChar>
            </w:r>
            <w:r w:rsidRPr="004D46AC">
              <w:instrText xml:space="preserve"> ADDIN EN.CITE.DATA </w:instrText>
            </w:r>
            <w:r w:rsidRPr="004D46AC">
              <w:fldChar w:fldCharType="end"/>
            </w:r>
            <w:r w:rsidRPr="004D46AC">
              <w:fldChar w:fldCharType="separate"/>
            </w:r>
            <w:r w:rsidRPr="004D46AC">
              <w:t>Rosen et al. (2016)</w:t>
            </w:r>
            <w:r w:rsidRPr="004D46AC">
              <w:fldChar w:fldCharType="end"/>
            </w:r>
          </w:p>
        </w:tc>
        <w:tc>
          <w:tcPr>
            <w:tcW w:w="1189" w:type="dxa"/>
            <w:vAlign w:val="center"/>
          </w:tcPr>
          <w:p w14:paraId="4FF166F2" w14:textId="77777777" w:rsidR="009864DB" w:rsidRPr="004D46AC" w:rsidRDefault="009864DB" w:rsidP="009864DB">
            <w:pPr>
              <w:spacing w:line="240" w:lineRule="auto"/>
              <w:ind w:firstLine="0"/>
            </w:pPr>
            <w:r w:rsidRPr="004D46AC">
              <w:t>4</w:t>
            </w:r>
          </w:p>
        </w:tc>
        <w:tc>
          <w:tcPr>
            <w:tcW w:w="1186" w:type="dxa"/>
            <w:vAlign w:val="center"/>
          </w:tcPr>
          <w:p w14:paraId="7B073B69" w14:textId="77777777" w:rsidR="009864DB" w:rsidRPr="004D46AC" w:rsidRDefault="009864DB" w:rsidP="009864DB">
            <w:pPr>
              <w:spacing w:line="240" w:lineRule="auto"/>
              <w:ind w:firstLine="0"/>
            </w:pPr>
            <w:r w:rsidRPr="004D46AC">
              <w:t>NA</w:t>
            </w:r>
          </w:p>
        </w:tc>
        <w:tc>
          <w:tcPr>
            <w:tcW w:w="1235" w:type="dxa"/>
            <w:vAlign w:val="center"/>
          </w:tcPr>
          <w:p w14:paraId="5F7F21C1" w14:textId="77777777" w:rsidR="009864DB" w:rsidRPr="004D46AC" w:rsidRDefault="009864DB" w:rsidP="009864DB">
            <w:pPr>
              <w:spacing w:line="240" w:lineRule="auto"/>
              <w:ind w:firstLine="0"/>
            </w:pPr>
            <w:r w:rsidRPr="004D46AC">
              <w:t>DSM4TR</w:t>
            </w:r>
          </w:p>
        </w:tc>
        <w:tc>
          <w:tcPr>
            <w:tcW w:w="1524" w:type="dxa"/>
            <w:vAlign w:val="center"/>
          </w:tcPr>
          <w:p w14:paraId="2B3ED7A2" w14:textId="77777777" w:rsidR="009864DB" w:rsidRPr="004D46AC" w:rsidRDefault="009864DB" w:rsidP="009864DB">
            <w:pPr>
              <w:spacing w:line="240" w:lineRule="auto"/>
              <w:ind w:firstLine="0"/>
            </w:pPr>
            <w:r w:rsidRPr="004D46AC">
              <w:t>SCID</w:t>
            </w:r>
          </w:p>
        </w:tc>
        <w:tc>
          <w:tcPr>
            <w:tcW w:w="1177" w:type="dxa"/>
            <w:vAlign w:val="center"/>
          </w:tcPr>
          <w:p w14:paraId="24E3389F" w14:textId="77777777" w:rsidR="009864DB" w:rsidRPr="004D46AC" w:rsidRDefault="009864DB" w:rsidP="009864DB">
            <w:pPr>
              <w:spacing w:line="240" w:lineRule="auto"/>
              <w:ind w:firstLine="0"/>
            </w:pPr>
            <w:r w:rsidRPr="004D46AC">
              <w:t>33</w:t>
            </w:r>
          </w:p>
        </w:tc>
        <w:tc>
          <w:tcPr>
            <w:tcW w:w="1210" w:type="dxa"/>
            <w:vAlign w:val="center"/>
          </w:tcPr>
          <w:p w14:paraId="3BFFEC47" w14:textId="77777777" w:rsidR="009864DB" w:rsidRPr="004D46AC" w:rsidRDefault="009864DB" w:rsidP="009864DB">
            <w:pPr>
              <w:spacing w:line="240" w:lineRule="auto"/>
              <w:ind w:firstLine="0"/>
            </w:pPr>
            <w:r w:rsidRPr="004D46AC">
              <w:t>unclear</w:t>
            </w:r>
          </w:p>
        </w:tc>
        <w:tc>
          <w:tcPr>
            <w:tcW w:w="1155" w:type="dxa"/>
            <w:vAlign w:val="center"/>
          </w:tcPr>
          <w:p w14:paraId="64182254" w14:textId="77777777" w:rsidR="009864DB" w:rsidRPr="004D46AC" w:rsidRDefault="009864DB" w:rsidP="009864DB">
            <w:pPr>
              <w:spacing w:line="240" w:lineRule="auto"/>
              <w:ind w:firstLine="0"/>
            </w:pPr>
            <w:r w:rsidRPr="004D46AC">
              <w:t>3</w:t>
            </w:r>
          </w:p>
        </w:tc>
        <w:tc>
          <w:tcPr>
            <w:tcW w:w="1150" w:type="dxa"/>
          </w:tcPr>
          <w:p w14:paraId="0CE9D5BF" w14:textId="77777777" w:rsidR="009864DB" w:rsidRPr="004D46AC" w:rsidRDefault="009864DB" w:rsidP="009864DB">
            <w:pPr>
              <w:spacing w:line="240" w:lineRule="auto"/>
              <w:ind w:firstLine="0"/>
            </w:pPr>
            <w:r w:rsidRPr="004D46AC">
              <w:t>0</w:t>
            </w:r>
          </w:p>
        </w:tc>
        <w:tc>
          <w:tcPr>
            <w:tcW w:w="1756" w:type="dxa"/>
            <w:vAlign w:val="center"/>
          </w:tcPr>
          <w:p w14:paraId="01B9C314" w14:textId="77777777" w:rsidR="009864DB" w:rsidRPr="004D46AC" w:rsidRDefault="009864DB" w:rsidP="009864DB">
            <w:pPr>
              <w:spacing w:line="240" w:lineRule="auto"/>
              <w:ind w:firstLine="0"/>
            </w:pPr>
            <w:r w:rsidRPr="004D46AC">
              <w:t>any</w:t>
            </w:r>
          </w:p>
        </w:tc>
        <w:tc>
          <w:tcPr>
            <w:tcW w:w="1152" w:type="dxa"/>
            <w:vAlign w:val="center"/>
          </w:tcPr>
          <w:p w14:paraId="4E7D7CB4" w14:textId="77777777" w:rsidR="009864DB" w:rsidRPr="004D46AC" w:rsidRDefault="009864DB" w:rsidP="009864DB">
            <w:pPr>
              <w:spacing w:line="240" w:lineRule="auto"/>
              <w:ind w:firstLine="0"/>
            </w:pPr>
            <w:r w:rsidRPr="004D46AC">
              <w:t>31</w:t>
            </w:r>
          </w:p>
        </w:tc>
      </w:tr>
      <w:tr w:rsidR="009864DB" w:rsidRPr="004D46AC" w14:paraId="3F52E34E" w14:textId="77777777" w:rsidTr="00B518F1">
        <w:trPr>
          <w:trHeight w:val="254"/>
        </w:trPr>
        <w:tc>
          <w:tcPr>
            <w:tcW w:w="1440" w:type="dxa"/>
          </w:tcPr>
          <w:p w14:paraId="2BFD1715" w14:textId="77777777" w:rsidR="009864DB" w:rsidRPr="004D46AC" w:rsidRDefault="009864DB" w:rsidP="009864DB">
            <w:pPr>
              <w:spacing w:line="240" w:lineRule="auto"/>
              <w:ind w:firstLine="0"/>
            </w:pPr>
            <w:r w:rsidRPr="004D46AC">
              <w:fldChar w:fldCharType="begin">
                <w:fldData xml:space="preserve">PEVuZE5vdGU+PENpdGUgQXV0aG9yWWVhcj0iMSI+PEF1dGhvcj5Ub29tZXk8L0F1dGhvcj48WWVh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instrText xml:space="preserve"> ADDIN EN.CITE </w:instrText>
            </w:r>
            <w:r w:rsidRPr="004D46AC">
              <w:fldChar w:fldCharType="begin">
                <w:fldData xml:space="preserve">PEVuZE5vdGU+PENpdGUgQXV0aG9yWWVhcj0iMSI+PEF1dGhvcj5Ub29tZXk8L0F1dGhvcj48WWVh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instrText xml:space="preserve"> ADDIN EN.CITE.DATA </w:instrText>
            </w:r>
            <w:r w:rsidRPr="004D46AC">
              <w:fldChar w:fldCharType="end"/>
            </w:r>
            <w:r w:rsidRPr="004D46AC">
              <w:fldChar w:fldCharType="separate"/>
            </w:r>
            <w:r w:rsidRPr="004D46AC">
              <w:t>Toomey et al. (1998)</w:t>
            </w:r>
            <w:r w:rsidRPr="004D46AC">
              <w:fldChar w:fldCharType="end"/>
            </w:r>
          </w:p>
        </w:tc>
        <w:tc>
          <w:tcPr>
            <w:tcW w:w="1189" w:type="dxa"/>
            <w:vAlign w:val="center"/>
          </w:tcPr>
          <w:p w14:paraId="276B5154" w14:textId="77777777" w:rsidR="009864DB" w:rsidRPr="004D46AC" w:rsidRDefault="009864DB" w:rsidP="009864DB">
            <w:pPr>
              <w:spacing w:line="240" w:lineRule="auto"/>
              <w:ind w:firstLine="0"/>
            </w:pPr>
            <w:r w:rsidRPr="004D46AC">
              <w:t>6</w:t>
            </w:r>
          </w:p>
        </w:tc>
        <w:tc>
          <w:tcPr>
            <w:tcW w:w="1186" w:type="dxa"/>
            <w:vAlign w:val="center"/>
          </w:tcPr>
          <w:p w14:paraId="5B1BCF0B" w14:textId="77777777" w:rsidR="009864DB" w:rsidRPr="004D46AC" w:rsidRDefault="009864DB" w:rsidP="009864DB">
            <w:pPr>
              <w:spacing w:line="240" w:lineRule="auto"/>
              <w:ind w:firstLine="0"/>
            </w:pPr>
            <w:r w:rsidRPr="004D46AC">
              <w:t>47.7</w:t>
            </w:r>
          </w:p>
        </w:tc>
        <w:tc>
          <w:tcPr>
            <w:tcW w:w="1235" w:type="dxa"/>
            <w:vAlign w:val="center"/>
          </w:tcPr>
          <w:p w14:paraId="54E2B66E" w14:textId="77777777" w:rsidR="009864DB" w:rsidRPr="004D46AC" w:rsidRDefault="009864DB" w:rsidP="009864DB">
            <w:pPr>
              <w:spacing w:line="240" w:lineRule="auto"/>
              <w:ind w:firstLine="0"/>
            </w:pPr>
            <w:r w:rsidRPr="004D46AC">
              <w:t>unclear</w:t>
            </w:r>
          </w:p>
        </w:tc>
        <w:tc>
          <w:tcPr>
            <w:tcW w:w="1524" w:type="dxa"/>
            <w:vAlign w:val="center"/>
          </w:tcPr>
          <w:p w14:paraId="187D8736" w14:textId="77777777" w:rsidR="009864DB" w:rsidRPr="004D46AC" w:rsidRDefault="009864DB" w:rsidP="009864DB">
            <w:pPr>
              <w:spacing w:line="240" w:lineRule="auto"/>
              <w:ind w:firstLine="0"/>
            </w:pPr>
            <w:r w:rsidRPr="004D46AC">
              <w:t>SADS</w:t>
            </w:r>
          </w:p>
        </w:tc>
        <w:tc>
          <w:tcPr>
            <w:tcW w:w="1177" w:type="dxa"/>
            <w:vAlign w:val="center"/>
          </w:tcPr>
          <w:p w14:paraId="22B8CFA7" w14:textId="77777777" w:rsidR="009864DB" w:rsidRPr="004D46AC" w:rsidRDefault="009864DB" w:rsidP="009864DB">
            <w:pPr>
              <w:spacing w:line="240" w:lineRule="auto"/>
              <w:ind w:firstLine="0"/>
            </w:pPr>
            <w:r w:rsidRPr="004D46AC">
              <w:t>58</w:t>
            </w:r>
          </w:p>
        </w:tc>
        <w:tc>
          <w:tcPr>
            <w:tcW w:w="1210" w:type="dxa"/>
            <w:vAlign w:val="center"/>
          </w:tcPr>
          <w:p w14:paraId="2702F384" w14:textId="77777777" w:rsidR="009864DB" w:rsidRPr="004D46AC" w:rsidRDefault="009864DB" w:rsidP="009864DB">
            <w:pPr>
              <w:spacing w:line="240" w:lineRule="auto"/>
              <w:ind w:firstLine="0"/>
            </w:pPr>
            <w:r w:rsidRPr="004D46AC">
              <w:t>2</w:t>
            </w:r>
          </w:p>
        </w:tc>
        <w:tc>
          <w:tcPr>
            <w:tcW w:w="1155" w:type="dxa"/>
            <w:vAlign w:val="center"/>
          </w:tcPr>
          <w:p w14:paraId="3744CB1F" w14:textId="77777777" w:rsidR="009864DB" w:rsidRPr="004D46AC" w:rsidRDefault="009864DB" w:rsidP="009864DB">
            <w:pPr>
              <w:spacing w:line="240" w:lineRule="auto"/>
              <w:ind w:firstLine="0"/>
            </w:pPr>
            <w:r w:rsidRPr="004D46AC">
              <w:t>3</w:t>
            </w:r>
          </w:p>
        </w:tc>
        <w:tc>
          <w:tcPr>
            <w:tcW w:w="1150" w:type="dxa"/>
          </w:tcPr>
          <w:p w14:paraId="653138A1" w14:textId="77777777" w:rsidR="009864DB" w:rsidRPr="004D46AC" w:rsidRDefault="009864DB" w:rsidP="009864DB">
            <w:pPr>
              <w:spacing w:line="240" w:lineRule="auto"/>
              <w:ind w:firstLine="0"/>
            </w:pPr>
            <w:r w:rsidRPr="004D46AC">
              <w:t>0</w:t>
            </w:r>
          </w:p>
        </w:tc>
        <w:tc>
          <w:tcPr>
            <w:tcW w:w="1756" w:type="dxa"/>
            <w:vAlign w:val="center"/>
          </w:tcPr>
          <w:p w14:paraId="2C56668F" w14:textId="77777777" w:rsidR="009864DB" w:rsidRPr="004D46AC" w:rsidRDefault="009864DB" w:rsidP="009864DB">
            <w:pPr>
              <w:spacing w:line="240" w:lineRule="auto"/>
              <w:ind w:firstLine="0"/>
            </w:pPr>
            <w:r w:rsidRPr="004D46AC">
              <w:t>any</w:t>
            </w:r>
          </w:p>
        </w:tc>
        <w:tc>
          <w:tcPr>
            <w:tcW w:w="1152" w:type="dxa"/>
            <w:vAlign w:val="center"/>
          </w:tcPr>
          <w:p w14:paraId="09A94F46" w14:textId="77777777" w:rsidR="009864DB" w:rsidRPr="004D46AC" w:rsidRDefault="009864DB" w:rsidP="009864DB">
            <w:pPr>
              <w:spacing w:line="240" w:lineRule="auto"/>
              <w:ind w:firstLine="0"/>
            </w:pPr>
            <w:r w:rsidRPr="004D46AC">
              <w:t>12</w:t>
            </w:r>
          </w:p>
        </w:tc>
      </w:tr>
      <w:tr w:rsidR="009864DB" w:rsidRPr="004D46AC" w14:paraId="153B4409" w14:textId="77777777" w:rsidTr="00B518F1">
        <w:trPr>
          <w:trHeight w:val="254"/>
        </w:trPr>
        <w:tc>
          <w:tcPr>
            <w:tcW w:w="1440" w:type="dxa"/>
          </w:tcPr>
          <w:p w14:paraId="69E70DFC" w14:textId="77777777" w:rsidR="009864DB" w:rsidRPr="004D46AC" w:rsidRDefault="009864DB" w:rsidP="009864DB">
            <w:pPr>
              <w:spacing w:line="240" w:lineRule="auto"/>
              <w:ind w:firstLine="0"/>
            </w:pPr>
            <w:r w:rsidRPr="004D46AC">
              <w:fldChar w:fldCharType="begin">
                <w:fldData xml:space="preserve">PEVuZE5vdGU+PENpdGUgQXV0aG9yWWVhcj0iMSI+PEF1dGhvcj5Hb3NlazwvQXV0aG9yPjxZZWFy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==
</w:fldData>
              </w:fldChar>
            </w:r>
            <w:r w:rsidRPr="004D46AC">
              <w:instrText xml:space="preserve"> ADDIN EN.CITE </w:instrText>
            </w:r>
            <w:r w:rsidRPr="004D46AC">
              <w:fldChar w:fldCharType="begin">
                <w:fldData xml:space="preserve">PEVuZE5vdGU+PENpdGUgQXV0aG9yWWVhcj0iMSI+PEF1dGhvcj5Hb3NlazwvQXV0aG9yPjxZZWFy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==
</w:fldData>
              </w:fldChar>
            </w:r>
            <w:r w:rsidRPr="004D46AC">
              <w:instrText xml:space="preserve"> ADDIN EN.CITE.DATA </w:instrText>
            </w:r>
            <w:r w:rsidRPr="004D46AC">
              <w:fldChar w:fldCharType="end"/>
            </w:r>
            <w:r w:rsidRPr="004D46AC">
              <w:fldChar w:fldCharType="separate"/>
            </w:r>
            <w:r w:rsidRPr="004D46AC">
              <w:t>Gosek et al. (2019)</w:t>
            </w:r>
            <w:r w:rsidRPr="004D46AC">
              <w:fldChar w:fldCharType="end"/>
            </w:r>
          </w:p>
        </w:tc>
        <w:tc>
          <w:tcPr>
            <w:tcW w:w="1189" w:type="dxa"/>
            <w:vAlign w:val="center"/>
          </w:tcPr>
          <w:p w14:paraId="601076E7" w14:textId="77777777" w:rsidR="009864DB" w:rsidRPr="004D46AC" w:rsidRDefault="009864DB" w:rsidP="009864DB">
            <w:pPr>
              <w:spacing w:line="240" w:lineRule="auto"/>
              <w:ind w:firstLine="0"/>
            </w:pPr>
            <w:r w:rsidRPr="004D46AC">
              <w:t>4</w:t>
            </w:r>
          </w:p>
        </w:tc>
        <w:tc>
          <w:tcPr>
            <w:tcW w:w="1186" w:type="dxa"/>
            <w:vAlign w:val="center"/>
          </w:tcPr>
          <w:p w14:paraId="72AE6D82" w14:textId="77777777" w:rsidR="009864DB" w:rsidRPr="004D46AC" w:rsidRDefault="009864DB" w:rsidP="009864DB">
            <w:pPr>
              <w:spacing w:line="240" w:lineRule="auto"/>
              <w:ind w:firstLine="0"/>
            </w:pPr>
            <w:r w:rsidRPr="004D46AC">
              <w:t>48.91</w:t>
            </w:r>
          </w:p>
        </w:tc>
        <w:tc>
          <w:tcPr>
            <w:tcW w:w="1235" w:type="dxa"/>
            <w:vAlign w:val="center"/>
          </w:tcPr>
          <w:p w14:paraId="28ABFC27" w14:textId="77777777" w:rsidR="009864DB" w:rsidRPr="004D46AC" w:rsidRDefault="009864DB" w:rsidP="009864DB">
            <w:pPr>
              <w:spacing w:line="240" w:lineRule="auto"/>
              <w:ind w:firstLine="0"/>
            </w:pPr>
            <w:r w:rsidRPr="004D46AC">
              <w:t>ICD10</w:t>
            </w:r>
          </w:p>
        </w:tc>
        <w:tc>
          <w:tcPr>
            <w:tcW w:w="1524" w:type="dxa"/>
            <w:vAlign w:val="center"/>
          </w:tcPr>
          <w:p w14:paraId="68F53B9B" w14:textId="77777777" w:rsidR="009864DB" w:rsidRPr="004D46AC" w:rsidRDefault="009864DB" w:rsidP="009864DB">
            <w:pPr>
              <w:spacing w:line="240" w:lineRule="auto"/>
              <w:ind w:firstLine="0"/>
            </w:pPr>
            <w:proofErr w:type="spellStart"/>
            <w:r w:rsidRPr="004D46AC">
              <w:t>goesk</w:t>
            </w:r>
            <w:proofErr w:type="spellEnd"/>
            <w:r w:rsidRPr="004D46AC">
              <w:t xml:space="preserve"> et al</w:t>
            </w:r>
          </w:p>
        </w:tc>
        <w:tc>
          <w:tcPr>
            <w:tcW w:w="1177" w:type="dxa"/>
            <w:vAlign w:val="center"/>
          </w:tcPr>
          <w:p w14:paraId="22FCA88A" w14:textId="77777777" w:rsidR="009864DB" w:rsidRPr="004D46AC" w:rsidRDefault="009864DB" w:rsidP="009864DB">
            <w:pPr>
              <w:spacing w:line="240" w:lineRule="auto"/>
              <w:ind w:firstLine="0"/>
            </w:pPr>
            <w:r w:rsidRPr="004D46AC">
              <w:t>70</w:t>
            </w:r>
          </w:p>
        </w:tc>
        <w:tc>
          <w:tcPr>
            <w:tcW w:w="1210" w:type="dxa"/>
            <w:vAlign w:val="center"/>
          </w:tcPr>
          <w:p w14:paraId="51DA79F1" w14:textId="77777777" w:rsidR="009864DB" w:rsidRPr="004D46AC" w:rsidRDefault="009864DB" w:rsidP="009864DB">
            <w:pPr>
              <w:spacing w:line="240" w:lineRule="auto"/>
              <w:ind w:firstLine="0"/>
            </w:pPr>
            <w:r w:rsidRPr="004D46AC">
              <w:t>3</w:t>
            </w:r>
          </w:p>
        </w:tc>
        <w:tc>
          <w:tcPr>
            <w:tcW w:w="1155" w:type="dxa"/>
            <w:vAlign w:val="center"/>
          </w:tcPr>
          <w:p w14:paraId="4584FB27" w14:textId="77777777" w:rsidR="009864DB" w:rsidRPr="004D46AC" w:rsidRDefault="009864DB" w:rsidP="009864DB">
            <w:pPr>
              <w:spacing w:line="240" w:lineRule="auto"/>
              <w:ind w:firstLine="0"/>
            </w:pPr>
            <w:r w:rsidRPr="004D46AC">
              <w:t>1</w:t>
            </w:r>
          </w:p>
        </w:tc>
        <w:tc>
          <w:tcPr>
            <w:tcW w:w="1150" w:type="dxa"/>
          </w:tcPr>
          <w:p w14:paraId="19A3D087" w14:textId="77777777" w:rsidR="009864DB" w:rsidRPr="004D46AC" w:rsidRDefault="009864DB" w:rsidP="009864DB">
            <w:pPr>
              <w:spacing w:line="240" w:lineRule="auto"/>
              <w:ind w:firstLine="0"/>
            </w:pPr>
            <w:r w:rsidRPr="004D46AC">
              <w:t>0</w:t>
            </w:r>
          </w:p>
        </w:tc>
        <w:tc>
          <w:tcPr>
            <w:tcW w:w="1756" w:type="dxa"/>
            <w:vAlign w:val="center"/>
          </w:tcPr>
          <w:p w14:paraId="3C8377DA" w14:textId="77777777" w:rsidR="009864DB" w:rsidRPr="004D46AC" w:rsidRDefault="009864DB" w:rsidP="009864DB">
            <w:pPr>
              <w:spacing w:line="240" w:lineRule="auto"/>
              <w:ind w:firstLine="0"/>
            </w:pPr>
            <w:r w:rsidRPr="004D46AC">
              <w:t>any</w:t>
            </w:r>
          </w:p>
        </w:tc>
        <w:tc>
          <w:tcPr>
            <w:tcW w:w="1152" w:type="dxa"/>
            <w:vAlign w:val="center"/>
          </w:tcPr>
          <w:p w14:paraId="1A99B180" w14:textId="77777777" w:rsidR="009864DB" w:rsidRPr="004D46AC" w:rsidRDefault="009864DB" w:rsidP="009864DB">
            <w:pPr>
              <w:spacing w:line="240" w:lineRule="auto"/>
              <w:ind w:firstLine="0"/>
            </w:pPr>
            <w:r w:rsidRPr="004D46AC">
              <w:t>9</w:t>
            </w:r>
          </w:p>
        </w:tc>
      </w:tr>
      <w:tr w:rsidR="009864DB" w:rsidRPr="004D46AC" w14:paraId="0583B7C8" w14:textId="77777777" w:rsidTr="00B518F1">
        <w:trPr>
          <w:trHeight w:val="254"/>
        </w:trPr>
        <w:tc>
          <w:tcPr>
            <w:tcW w:w="1440" w:type="dxa"/>
          </w:tcPr>
          <w:p w14:paraId="1DADBA27" w14:textId="77777777" w:rsidR="009864DB" w:rsidRPr="004D46AC" w:rsidRDefault="009864DB" w:rsidP="009864DB">
            <w:pPr>
              <w:spacing w:line="240" w:lineRule="auto"/>
              <w:ind w:firstLine="0"/>
            </w:pPr>
            <w:r w:rsidRPr="004D46AC">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instrText xml:space="preserve"> ADDIN EN.CITE </w:instrText>
            </w:r>
            <w:r w:rsidRPr="004D46AC">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instrText xml:space="preserve"> ADDIN EN.CITE.DATA </w:instrText>
            </w:r>
            <w:r w:rsidRPr="004D46AC">
              <w:fldChar w:fldCharType="end"/>
            </w:r>
            <w:r w:rsidRPr="004D46AC">
              <w:fldChar w:fldCharType="separate"/>
            </w:r>
            <w:r w:rsidRPr="004D46AC">
              <w:t>Morgan et al. (2005)</w:t>
            </w:r>
            <w:r w:rsidRPr="004D46AC">
              <w:fldChar w:fldCharType="end"/>
            </w:r>
          </w:p>
        </w:tc>
        <w:tc>
          <w:tcPr>
            <w:tcW w:w="1189" w:type="dxa"/>
            <w:vAlign w:val="center"/>
          </w:tcPr>
          <w:p w14:paraId="2CCB3C71" w14:textId="77777777" w:rsidR="009864DB" w:rsidRPr="004D46AC" w:rsidRDefault="009864DB" w:rsidP="009864DB">
            <w:pPr>
              <w:spacing w:line="240" w:lineRule="auto"/>
              <w:ind w:firstLine="0"/>
            </w:pPr>
            <w:r w:rsidRPr="004D46AC">
              <w:t>7</w:t>
            </w:r>
          </w:p>
        </w:tc>
        <w:tc>
          <w:tcPr>
            <w:tcW w:w="1186" w:type="dxa"/>
            <w:vAlign w:val="center"/>
          </w:tcPr>
          <w:p w14:paraId="0BDA7F77" w14:textId="77777777" w:rsidR="009864DB" w:rsidRPr="004D46AC" w:rsidRDefault="009864DB" w:rsidP="009864DB">
            <w:pPr>
              <w:spacing w:line="240" w:lineRule="auto"/>
              <w:ind w:firstLine="0"/>
            </w:pPr>
            <w:r w:rsidRPr="004D46AC">
              <w:t>42.47</w:t>
            </w:r>
          </w:p>
        </w:tc>
        <w:tc>
          <w:tcPr>
            <w:tcW w:w="1235" w:type="dxa"/>
            <w:vAlign w:val="center"/>
          </w:tcPr>
          <w:p w14:paraId="5858A57C" w14:textId="77777777" w:rsidR="009864DB" w:rsidRPr="004D46AC" w:rsidRDefault="009864DB" w:rsidP="009864DB">
            <w:pPr>
              <w:spacing w:line="240" w:lineRule="auto"/>
              <w:ind w:firstLine="0"/>
            </w:pPr>
            <w:r w:rsidRPr="004D46AC">
              <w:t>ICD10</w:t>
            </w:r>
          </w:p>
        </w:tc>
        <w:tc>
          <w:tcPr>
            <w:tcW w:w="1524" w:type="dxa"/>
            <w:vAlign w:val="center"/>
          </w:tcPr>
          <w:p w14:paraId="5BD17B29" w14:textId="77777777" w:rsidR="009864DB" w:rsidRPr="004D46AC" w:rsidRDefault="009864DB" w:rsidP="009864DB">
            <w:pPr>
              <w:spacing w:line="240" w:lineRule="auto"/>
              <w:ind w:firstLine="0"/>
            </w:pPr>
            <w:r w:rsidRPr="004D46AC">
              <w:t>DIP</w:t>
            </w:r>
          </w:p>
        </w:tc>
        <w:tc>
          <w:tcPr>
            <w:tcW w:w="1177" w:type="dxa"/>
            <w:vAlign w:val="center"/>
          </w:tcPr>
          <w:p w14:paraId="0E6EAA11" w14:textId="77777777" w:rsidR="009864DB" w:rsidRPr="004D46AC" w:rsidRDefault="009864DB" w:rsidP="009864DB">
            <w:pPr>
              <w:spacing w:line="240" w:lineRule="auto"/>
              <w:ind w:firstLine="0"/>
            </w:pPr>
            <w:r w:rsidRPr="004D46AC">
              <w:t>112</w:t>
            </w:r>
          </w:p>
        </w:tc>
        <w:tc>
          <w:tcPr>
            <w:tcW w:w="1210" w:type="dxa"/>
            <w:vAlign w:val="center"/>
          </w:tcPr>
          <w:p w14:paraId="467EFD4E" w14:textId="77777777" w:rsidR="009864DB" w:rsidRPr="004D46AC" w:rsidRDefault="009864DB" w:rsidP="009864DB">
            <w:pPr>
              <w:spacing w:line="240" w:lineRule="auto"/>
              <w:ind w:firstLine="0"/>
            </w:pPr>
            <w:r w:rsidRPr="004D46AC">
              <w:t>2</w:t>
            </w:r>
          </w:p>
        </w:tc>
        <w:tc>
          <w:tcPr>
            <w:tcW w:w="1155" w:type="dxa"/>
            <w:vAlign w:val="center"/>
          </w:tcPr>
          <w:p w14:paraId="10C87CD8" w14:textId="77777777" w:rsidR="009864DB" w:rsidRPr="004D46AC" w:rsidRDefault="009864DB" w:rsidP="009864DB">
            <w:pPr>
              <w:spacing w:line="240" w:lineRule="auto"/>
              <w:ind w:firstLine="0"/>
            </w:pPr>
            <w:r w:rsidRPr="004D46AC">
              <w:t>1</w:t>
            </w:r>
          </w:p>
        </w:tc>
        <w:tc>
          <w:tcPr>
            <w:tcW w:w="1150" w:type="dxa"/>
          </w:tcPr>
          <w:p w14:paraId="766A2655" w14:textId="77777777" w:rsidR="009864DB" w:rsidRPr="004D46AC" w:rsidRDefault="009864DB" w:rsidP="009864DB">
            <w:pPr>
              <w:spacing w:line="240" w:lineRule="auto"/>
              <w:ind w:firstLine="0"/>
            </w:pPr>
            <w:r w:rsidRPr="004D46AC">
              <w:t>0</w:t>
            </w:r>
          </w:p>
        </w:tc>
        <w:tc>
          <w:tcPr>
            <w:tcW w:w="1756" w:type="dxa"/>
            <w:vAlign w:val="center"/>
          </w:tcPr>
          <w:p w14:paraId="614D901A" w14:textId="77777777" w:rsidR="009864DB" w:rsidRPr="004D46AC" w:rsidRDefault="009864DB" w:rsidP="009864DB">
            <w:pPr>
              <w:spacing w:line="240" w:lineRule="auto"/>
              <w:ind w:firstLine="0"/>
            </w:pPr>
            <w:r w:rsidRPr="004D46AC">
              <w:t>any</w:t>
            </w:r>
          </w:p>
        </w:tc>
        <w:tc>
          <w:tcPr>
            <w:tcW w:w="1152" w:type="dxa"/>
            <w:vAlign w:val="center"/>
          </w:tcPr>
          <w:p w14:paraId="779E0DC8" w14:textId="77777777" w:rsidR="009864DB" w:rsidRPr="004D46AC" w:rsidRDefault="009864DB" w:rsidP="009864DB">
            <w:pPr>
              <w:spacing w:line="240" w:lineRule="auto"/>
              <w:ind w:firstLine="0"/>
            </w:pPr>
            <w:r w:rsidRPr="004D46AC">
              <w:t>23</w:t>
            </w:r>
          </w:p>
        </w:tc>
      </w:tr>
      <w:tr w:rsidR="009864DB" w:rsidRPr="004D46AC" w14:paraId="75EDA5E7" w14:textId="77777777" w:rsidTr="00B518F1">
        <w:trPr>
          <w:trHeight w:val="262"/>
        </w:trPr>
        <w:tc>
          <w:tcPr>
            <w:tcW w:w="1440" w:type="dxa"/>
          </w:tcPr>
          <w:p w14:paraId="292E2C87" w14:textId="77777777" w:rsidR="009864DB" w:rsidRPr="004D46AC" w:rsidRDefault="009864DB" w:rsidP="009864DB">
            <w:pPr>
              <w:spacing w:line="240" w:lineRule="auto"/>
              <w:ind w:firstLine="0"/>
            </w:pPr>
            <w:r w:rsidRPr="004D46AC">
              <w:fldChar w:fldCharType="begin">
                <w:fldData xml:space="preserve">PEVuZE5vdGU+PENpdGUgQXV0aG9yWWVhcj0iMSI+PEF1dGhvcj5DYWxkaWVyYXJvPC9BdXRob3I+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 </w:instrText>
            </w:r>
            <w:r w:rsidRPr="004D46AC">
              <w:fldChar w:fldCharType="begin">
                <w:fldData xml:space="preserve">PEVuZE5vdGU+PENpdGUgQXV0aG9yWWVhcj0iMSI+PEF1dGhvcj5DYWxkaWVyYXJvPC9BdXRob3I+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instrText xml:space="preserve"> ADDIN EN.CITE.DATA </w:instrText>
            </w:r>
            <w:r w:rsidRPr="004D46AC">
              <w:fldChar w:fldCharType="end"/>
            </w:r>
            <w:r w:rsidRPr="004D46AC">
              <w:fldChar w:fldCharType="separate"/>
            </w:r>
            <w:r w:rsidRPr="004D46AC">
              <w:t>Caldieraro et al. (2017)</w:t>
            </w:r>
            <w:r w:rsidRPr="004D46AC">
              <w:fldChar w:fldCharType="end"/>
            </w:r>
          </w:p>
        </w:tc>
        <w:tc>
          <w:tcPr>
            <w:tcW w:w="1189" w:type="dxa"/>
            <w:vAlign w:val="center"/>
          </w:tcPr>
          <w:p w14:paraId="6B6F0BB6" w14:textId="77777777" w:rsidR="009864DB" w:rsidRPr="004D46AC" w:rsidRDefault="009864DB" w:rsidP="009864DB">
            <w:pPr>
              <w:spacing w:line="240" w:lineRule="auto"/>
              <w:ind w:firstLine="0"/>
            </w:pPr>
            <w:r w:rsidRPr="004D46AC">
              <w:t>5</w:t>
            </w:r>
          </w:p>
        </w:tc>
        <w:tc>
          <w:tcPr>
            <w:tcW w:w="1186" w:type="dxa"/>
            <w:vAlign w:val="center"/>
          </w:tcPr>
          <w:p w14:paraId="1E2128B3" w14:textId="77777777" w:rsidR="009864DB" w:rsidRPr="004D46AC" w:rsidRDefault="009864DB" w:rsidP="009864DB">
            <w:pPr>
              <w:spacing w:line="240" w:lineRule="auto"/>
              <w:ind w:firstLine="0"/>
            </w:pPr>
            <w:r w:rsidRPr="004D46AC">
              <w:t>39.45</w:t>
            </w:r>
          </w:p>
        </w:tc>
        <w:tc>
          <w:tcPr>
            <w:tcW w:w="1235" w:type="dxa"/>
            <w:vAlign w:val="center"/>
          </w:tcPr>
          <w:p w14:paraId="79231DEF" w14:textId="77777777" w:rsidR="009864DB" w:rsidRPr="004D46AC" w:rsidRDefault="009864DB" w:rsidP="009864DB">
            <w:pPr>
              <w:spacing w:line="240" w:lineRule="auto"/>
              <w:ind w:firstLine="0"/>
            </w:pPr>
            <w:r w:rsidRPr="004D46AC">
              <w:t>DSM4TR</w:t>
            </w:r>
          </w:p>
        </w:tc>
        <w:tc>
          <w:tcPr>
            <w:tcW w:w="1524" w:type="dxa"/>
            <w:vAlign w:val="center"/>
          </w:tcPr>
          <w:p w14:paraId="534061E5" w14:textId="77777777" w:rsidR="009864DB" w:rsidRPr="004D46AC" w:rsidRDefault="009864DB" w:rsidP="009864DB">
            <w:pPr>
              <w:spacing w:line="240" w:lineRule="auto"/>
              <w:ind w:firstLine="0"/>
            </w:pPr>
            <w:r w:rsidRPr="004D46AC">
              <w:t>BISS</w:t>
            </w:r>
          </w:p>
        </w:tc>
        <w:tc>
          <w:tcPr>
            <w:tcW w:w="1177" w:type="dxa"/>
            <w:vAlign w:val="center"/>
          </w:tcPr>
          <w:p w14:paraId="67F862A2" w14:textId="77777777" w:rsidR="009864DB" w:rsidRPr="004D46AC" w:rsidRDefault="009864DB" w:rsidP="009864DB">
            <w:pPr>
              <w:spacing w:line="240" w:lineRule="auto"/>
              <w:ind w:firstLine="0"/>
            </w:pPr>
            <w:r w:rsidRPr="004D46AC">
              <w:t>303</w:t>
            </w:r>
          </w:p>
        </w:tc>
        <w:tc>
          <w:tcPr>
            <w:tcW w:w="1210" w:type="dxa"/>
            <w:vAlign w:val="center"/>
          </w:tcPr>
          <w:p w14:paraId="3EECD5E4" w14:textId="77777777" w:rsidR="009864DB" w:rsidRPr="004D46AC" w:rsidRDefault="009864DB" w:rsidP="009864DB">
            <w:pPr>
              <w:spacing w:line="240" w:lineRule="auto"/>
              <w:ind w:firstLine="0"/>
            </w:pPr>
            <w:r w:rsidRPr="004D46AC">
              <w:t>1</w:t>
            </w:r>
          </w:p>
        </w:tc>
        <w:tc>
          <w:tcPr>
            <w:tcW w:w="1155" w:type="dxa"/>
            <w:vAlign w:val="center"/>
          </w:tcPr>
          <w:p w14:paraId="1ED65B08" w14:textId="77777777" w:rsidR="009864DB" w:rsidRPr="004D46AC" w:rsidRDefault="009864DB" w:rsidP="009864DB">
            <w:pPr>
              <w:spacing w:line="240" w:lineRule="auto"/>
              <w:ind w:firstLine="0"/>
            </w:pPr>
            <w:r w:rsidRPr="004D46AC">
              <w:t>1</w:t>
            </w:r>
          </w:p>
        </w:tc>
        <w:tc>
          <w:tcPr>
            <w:tcW w:w="1150" w:type="dxa"/>
          </w:tcPr>
          <w:p w14:paraId="206EF529" w14:textId="77777777" w:rsidR="009864DB" w:rsidRPr="004D46AC" w:rsidRDefault="009864DB" w:rsidP="009864DB">
            <w:pPr>
              <w:spacing w:line="240" w:lineRule="auto"/>
              <w:ind w:firstLine="0"/>
            </w:pPr>
            <w:r w:rsidRPr="004D46AC">
              <w:t>0</w:t>
            </w:r>
          </w:p>
        </w:tc>
        <w:tc>
          <w:tcPr>
            <w:tcW w:w="1756" w:type="dxa"/>
            <w:vAlign w:val="center"/>
          </w:tcPr>
          <w:p w14:paraId="5BBFE2A9" w14:textId="77777777" w:rsidR="009864DB" w:rsidRPr="004D46AC" w:rsidRDefault="009864DB" w:rsidP="009864DB">
            <w:pPr>
              <w:spacing w:line="240" w:lineRule="auto"/>
              <w:ind w:firstLine="0"/>
            </w:pPr>
            <w:r w:rsidRPr="004D46AC">
              <w:t>any</w:t>
            </w:r>
          </w:p>
        </w:tc>
        <w:tc>
          <w:tcPr>
            <w:tcW w:w="1152" w:type="dxa"/>
            <w:vAlign w:val="center"/>
          </w:tcPr>
          <w:p w14:paraId="6B675325" w14:textId="77777777" w:rsidR="009864DB" w:rsidRPr="004D46AC" w:rsidRDefault="009864DB" w:rsidP="009864DB">
            <w:pPr>
              <w:spacing w:line="240" w:lineRule="auto"/>
              <w:ind w:firstLine="0"/>
            </w:pPr>
            <w:r w:rsidRPr="004D46AC">
              <w:t>21</w:t>
            </w:r>
          </w:p>
        </w:tc>
      </w:tr>
      <w:tr w:rsidR="009864DB" w:rsidRPr="004D46AC" w14:paraId="19781C3F" w14:textId="77777777" w:rsidTr="00B518F1">
        <w:trPr>
          <w:trHeight w:val="254"/>
        </w:trPr>
        <w:tc>
          <w:tcPr>
            <w:tcW w:w="1440" w:type="dxa"/>
          </w:tcPr>
          <w:p w14:paraId="39028BAD" w14:textId="77777777" w:rsidR="009864DB" w:rsidRPr="004D46AC" w:rsidRDefault="009864DB" w:rsidP="009864DB">
            <w:pPr>
              <w:spacing w:line="240" w:lineRule="auto"/>
              <w:ind w:firstLine="0"/>
            </w:pPr>
            <w:r w:rsidRPr="004D46AC">
              <w:fldChar w:fldCharType="begin">
                <w:fldData xml:space="preserve">PEVuZE5vdGU+PENpdGUgQXV0aG9yWWVhcj0iMSI+PEF1dGhvcj5GZWthZHU8L0F1dGhvcj48WWVh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instrText xml:space="preserve"> ADDIN EN.CITE </w:instrText>
            </w:r>
            <w:r w:rsidRPr="004D46AC">
              <w:fldChar w:fldCharType="begin">
                <w:fldData xml:space="preserve">PEVuZE5vdGU+PENpdGUgQXV0aG9yWWVhcj0iMSI+PEF1dGhvcj5GZWthZHU8L0F1dGhvcj48WWVh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instrText xml:space="preserve"> ADDIN EN.CITE.DATA </w:instrText>
            </w:r>
            <w:r w:rsidRPr="004D46AC">
              <w:fldChar w:fldCharType="end"/>
            </w:r>
            <w:r w:rsidRPr="004D46AC">
              <w:fldChar w:fldCharType="separate"/>
            </w:r>
            <w:r w:rsidRPr="004D46AC">
              <w:t>Fekadu et al. (2004)</w:t>
            </w:r>
            <w:r w:rsidRPr="004D46AC">
              <w:fldChar w:fldCharType="end"/>
            </w:r>
          </w:p>
        </w:tc>
        <w:tc>
          <w:tcPr>
            <w:tcW w:w="1189" w:type="dxa"/>
            <w:vAlign w:val="center"/>
          </w:tcPr>
          <w:p w14:paraId="31B52FF5" w14:textId="77777777" w:rsidR="009864DB" w:rsidRPr="004D46AC" w:rsidRDefault="009864DB" w:rsidP="009864DB">
            <w:pPr>
              <w:spacing w:line="240" w:lineRule="auto"/>
              <w:ind w:firstLine="0"/>
            </w:pPr>
            <w:r w:rsidRPr="004D46AC">
              <w:t>6</w:t>
            </w:r>
          </w:p>
        </w:tc>
        <w:tc>
          <w:tcPr>
            <w:tcW w:w="1186" w:type="dxa"/>
            <w:vAlign w:val="center"/>
          </w:tcPr>
          <w:p w14:paraId="0EFDA81E" w14:textId="77777777" w:rsidR="009864DB" w:rsidRPr="004D46AC" w:rsidRDefault="009864DB" w:rsidP="009864DB">
            <w:pPr>
              <w:spacing w:line="240" w:lineRule="auto"/>
              <w:ind w:firstLine="0"/>
            </w:pPr>
            <w:r w:rsidRPr="004D46AC">
              <w:t>27</w:t>
            </w:r>
          </w:p>
        </w:tc>
        <w:tc>
          <w:tcPr>
            <w:tcW w:w="1235" w:type="dxa"/>
            <w:vAlign w:val="center"/>
          </w:tcPr>
          <w:p w14:paraId="34273FC5" w14:textId="77777777" w:rsidR="009864DB" w:rsidRPr="004D46AC" w:rsidRDefault="009864DB" w:rsidP="009864DB">
            <w:pPr>
              <w:spacing w:line="240" w:lineRule="auto"/>
              <w:ind w:firstLine="0"/>
            </w:pPr>
            <w:r w:rsidRPr="004D46AC">
              <w:t>ICD10</w:t>
            </w:r>
          </w:p>
        </w:tc>
        <w:tc>
          <w:tcPr>
            <w:tcW w:w="1524" w:type="dxa"/>
            <w:vAlign w:val="center"/>
          </w:tcPr>
          <w:p w14:paraId="60C63D3C" w14:textId="77777777" w:rsidR="009864DB" w:rsidRPr="004D46AC" w:rsidRDefault="009864DB" w:rsidP="009864DB">
            <w:pPr>
              <w:spacing w:line="240" w:lineRule="auto"/>
              <w:ind w:firstLine="0"/>
            </w:pPr>
            <w:r w:rsidRPr="004D46AC">
              <w:t>SCAN</w:t>
            </w:r>
          </w:p>
        </w:tc>
        <w:tc>
          <w:tcPr>
            <w:tcW w:w="1177" w:type="dxa"/>
            <w:vAlign w:val="center"/>
          </w:tcPr>
          <w:p w14:paraId="30280A61" w14:textId="77777777" w:rsidR="009864DB" w:rsidRPr="004D46AC" w:rsidRDefault="009864DB" w:rsidP="009864DB">
            <w:pPr>
              <w:spacing w:line="240" w:lineRule="auto"/>
              <w:ind w:firstLine="0"/>
            </w:pPr>
            <w:r w:rsidRPr="004D46AC">
              <w:t>31</w:t>
            </w:r>
          </w:p>
        </w:tc>
        <w:tc>
          <w:tcPr>
            <w:tcW w:w="1210" w:type="dxa"/>
            <w:vAlign w:val="center"/>
          </w:tcPr>
          <w:p w14:paraId="0B22EE14" w14:textId="77777777" w:rsidR="009864DB" w:rsidRPr="004D46AC" w:rsidRDefault="009864DB" w:rsidP="009864DB">
            <w:pPr>
              <w:spacing w:line="240" w:lineRule="auto"/>
              <w:ind w:firstLine="0"/>
            </w:pPr>
            <w:r w:rsidRPr="004D46AC">
              <w:t>1</w:t>
            </w:r>
          </w:p>
        </w:tc>
        <w:tc>
          <w:tcPr>
            <w:tcW w:w="1155" w:type="dxa"/>
            <w:vAlign w:val="center"/>
          </w:tcPr>
          <w:p w14:paraId="561429A4" w14:textId="77777777" w:rsidR="009864DB" w:rsidRPr="004D46AC" w:rsidRDefault="009864DB" w:rsidP="009864DB">
            <w:pPr>
              <w:spacing w:line="240" w:lineRule="auto"/>
              <w:ind w:firstLine="0"/>
            </w:pPr>
            <w:r w:rsidRPr="004D46AC">
              <w:t>1</w:t>
            </w:r>
          </w:p>
        </w:tc>
        <w:tc>
          <w:tcPr>
            <w:tcW w:w="1150" w:type="dxa"/>
          </w:tcPr>
          <w:p w14:paraId="5E8E5124" w14:textId="77777777" w:rsidR="009864DB" w:rsidRPr="004D46AC" w:rsidRDefault="009864DB" w:rsidP="009864DB">
            <w:pPr>
              <w:spacing w:line="240" w:lineRule="auto"/>
              <w:ind w:firstLine="0"/>
            </w:pPr>
            <w:r w:rsidRPr="004D46AC">
              <w:t>0</w:t>
            </w:r>
          </w:p>
        </w:tc>
        <w:tc>
          <w:tcPr>
            <w:tcW w:w="1756" w:type="dxa"/>
            <w:vAlign w:val="center"/>
          </w:tcPr>
          <w:p w14:paraId="14CBC6BF" w14:textId="77777777" w:rsidR="009864DB" w:rsidRPr="004D46AC" w:rsidRDefault="009864DB" w:rsidP="009864DB">
            <w:pPr>
              <w:spacing w:line="240" w:lineRule="auto"/>
              <w:ind w:firstLine="0"/>
            </w:pPr>
            <w:r w:rsidRPr="004D46AC">
              <w:t>grandiosity</w:t>
            </w:r>
          </w:p>
        </w:tc>
        <w:tc>
          <w:tcPr>
            <w:tcW w:w="1152" w:type="dxa"/>
            <w:vAlign w:val="center"/>
          </w:tcPr>
          <w:p w14:paraId="689439BE" w14:textId="77777777" w:rsidR="009864DB" w:rsidRPr="004D46AC" w:rsidRDefault="009864DB" w:rsidP="009864DB">
            <w:pPr>
              <w:spacing w:line="240" w:lineRule="auto"/>
              <w:ind w:firstLine="0"/>
            </w:pPr>
            <w:r w:rsidRPr="004D46AC">
              <w:t>24</w:t>
            </w:r>
          </w:p>
        </w:tc>
      </w:tr>
      <w:tr w:rsidR="009864DB" w:rsidRPr="004D46AC" w14:paraId="46A58D58" w14:textId="77777777" w:rsidTr="00B518F1">
        <w:trPr>
          <w:trHeight w:val="254"/>
        </w:trPr>
        <w:tc>
          <w:tcPr>
            <w:tcW w:w="1440" w:type="dxa"/>
          </w:tcPr>
          <w:p w14:paraId="2FE057C8" w14:textId="77777777" w:rsidR="009864DB" w:rsidRPr="004D46AC" w:rsidRDefault="009864DB" w:rsidP="009864DB">
            <w:pPr>
              <w:spacing w:line="240" w:lineRule="auto"/>
              <w:ind w:firstLine="0"/>
            </w:pPr>
            <w:r w:rsidRPr="004D46AC">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 </w:instrText>
            </w:r>
            <w:r w:rsidRPr="004D46AC">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Kennedy et al. (2004)</w:t>
            </w:r>
            <w:r w:rsidRPr="004D46AC">
              <w:fldChar w:fldCharType="end"/>
            </w:r>
          </w:p>
        </w:tc>
        <w:tc>
          <w:tcPr>
            <w:tcW w:w="1189" w:type="dxa"/>
            <w:vAlign w:val="center"/>
          </w:tcPr>
          <w:p w14:paraId="4C9464A7" w14:textId="77777777" w:rsidR="009864DB" w:rsidRPr="004D46AC" w:rsidRDefault="009864DB" w:rsidP="009864DB">
            <w:pPr>
              <w:spacing w:line="240" w:lineRule="auto"/>
              <w:ind w:firstLine="0"/>
            </w:pPr>
            <w:r w:rsidRPr="004D46AC">
              <w:t>4</w:t>
            </w:r>
          </w:p>
        </w:tc>
        <w:tc>
          <w:tcPr>
            <w:tcW w:w="1186" w:type="dxa"/>
            <w:vAlign w:val="center"/>
          </w:tcPr>
          <w:p w14:paraId="73E64211" w14:textId="77777777" w:rsidR="009864DB" w:rsidRPr="004D46AC" w:rsidRDefault="009864DB" w:rsidP="009864DB">
            <w:pPr>
              <w:spacing w:line="240" w:lineRule="auto"/>
              <w:ind w:firstLine="0"/>
            </w:pPr>
            <w:r w:rsidRPr="004D46AC">
              <w:t>NA</w:t>
            </w:r>
          </w:p>
        </w:tc>
        <w:tc>
          <w:tcPr>
            <w:tcW w:w="1235" w:type="dxa"/>
            <w:vAlign w:val="center"/>
          </w:tcPr>
          <w:p w14:paraId="6381797D" w14:textId="77777777" w:rsidR="009864DB" w:rsidRPr="004D46AC" w:rsidRDefault="009864DB" w:rsidP="009864DB">
            <w:pPr>
              <w:spacing w:line="240" w:lineRule="auto"/>
              <w:ind w:firstLine="0"/>
            </w:pPr>
            <w:r w:rsidRPr="004D46AC">
              <w:t>DSM4</w:t>
            </w:r>
          </w:p>
        </w:tc>
        <w:tc>
          <w:tcPr>
            <w:tcW w:w="1524" w:type="dxa"/>
            <w:vAlign w:val="center"/>
          </w:tcPr>
          <w:p w14:paraId="791E9F3A" w14:textId="77777777" w:rsidR="009864DB" w:rsidRPr="004D46AC" w:rsidRDefault="009864DB" w:rsidP="009864DB">
            <w:pPr>
              <w:spacing w:line="240" w:lineRule="auto"/>
              <w:ind w:firstLine="0"/>
            </w:pPr>
            <w:r w:rsidRPr="004D46AC">
              <w:t>OPCRIT</w:t>
            </w:r>
          </w:p>
        </w:tc>
        <w:tc>
          <w:tcPr>
            <w:tcW w:w="1177" w:type="dxa"/>
            <w:vAlign w:val="center"/>
          </w:tcPr>
          <w:p w14:paraId="26CF66B6" w14:textId="77777777" w:rsidR="009864DB" w:rsidRPr="004D46AC" w:rsidRDefault="009864DB" w:rsidP="009864DB">
            <w:pPr>
              <w:spacing w:line="240" w:lineRule="auto"/>
              <w:ind w:firstLine="0"/>
            </w:pPr>
            <w:r w:rsidRPr="004D46AC">
              <w:t>246</w:t>
            </w:r>
          </w:p>
        </w:tc>
        <w:tc>
          <w:tcPr>
            <w:tcW w:w="1210" w:type="dxa"/>
            <w:vAlign w:val="center"/>
          </w:tcPr>
          <w:p w14:paraId="7DA42AA8" w14:textId="77777777" w:rsidR="009864DB" w:rsidRPr="004D46AC" w:rsidRDefault="009864DB" w:rsidP="009864DB">
            <w:pPr>
              <w:spacing w:line="240" w:lineRule="auto"/>
              <w:ind w:firstLine="0"/>
            </w:pPr>
            <w:r w:rsidRPr="004D46AC">
              <w:t>2</w:t>
            </w:r>
          </w:p>
        </w:tc>
        <w:tc>
          <w:tcPr>
            <w:tcW w:w="1155" w:type="dxa"/>
            <w:vAlign w:val="center"/>
          </w:tcPr>
          <w:p w14:paraId="1E05675E" w14:textId="77777777" w:rsidR="009864DB" w:rsidRPr="004D46AC" w:rsidRDefault="009864DB" w:rsidP="009864DB">
            <w:pPr>
              <w:spacing w:line="240" w:lineRule="auto"/>
              <w:ind w:firstLine="0"/>
            </w:pPr>
            <w:r w:rsidRPr="004D46AC">
              <w:t>2</w:t>
            </w:r>
          </w:p>
        </w:tc>
        <w:tc>
          <w:tcPr>
            <w:tcW w:w="1150" w:type="dxa"/>
          </w:tcPr>
          <w:p w14:paraId="505B5032" w14:textId="77777777" w:rsidR="009864DB" w:rsidRPr="004D46AC" w:rsidRDefault="009864DB" w:rsidP="009864DB">
            <w:pPr>
              <w:spacing w:line="240" w:lineRule="auto"/>
              <w:ind w:firstLine="0"/>
            </w:pPr>
            <w:r w:rsidRPr="004D46AC">
              <w:t>0</w:t>
            </w:r>
          </w:p>
        </w:tc>
        <w:tc>
          <w:tcPr>
            <w:tcW w:w="1756" w:type="dxa"/>
            <w:vAlign w:val="center"/>
          </w:tcPr>
          <w:p w14:paraId="5A208034" w14:textId="77777777" w:rsidR="009864DB" w:rsidRPr="004D46AC" w:rsidRDefault="009864DB" w:rsidP="009864DB">
            <w:pPr>
              <w:spacing w:line="240" w:lineRule="auto"/>
              <w:ind w:firstLine="0"/>
            </w:pPr>
            <w:r w:rsidRPr="004D46AC">
              <w:t>grandiosity</w:t>
            </w:r>
          </w:p>
        </w:tc>
        <w:tc>
          <w:tcPr>
            <w:tcW w:w="1152" w:type="dxa"/>
            <w:vAlign w:val="center"/>
          </w:tcPr>
          <w:p w14:paraId="2BE33644" w14:textId="77777777" w:rsidR="009864DB" w:rsidRPr="004D46AC" w:rsidRDefault="009864DB" w:rsidP="009864DB">
            <w:pPr>
              <w:spacing w:line="240" w:lineRule="auto"/>
              <w:ind w:firstLine="0"/>
            </w:pPr>
            <w:r w:rsidRPr="004D46AC">
              <w:t>136</w:t>
            </w:r>
          </w:p>
        </w:tc>
      </w:tr>
      <w:tr w:rsidR="009864DB" w:rsidRPr="004D46AC" w14:paraId="03B306D6" w14:textId="77777777" w:rsidTr="00B518F1">
        <w:trPr>
          <w:trHeight w:val="254"/>
        </w:trPr>
        <w:tc>
          <w:tcPr>
            <w:tcW w:w="1440" w:type="dxa"/>
          </w:tcPr>
          <w:p w14:paraId="582C3D1D"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AuthorYear="1"&gt;&lt;Author&gt;Chaudhary&lt;/Author&gt;&lt;Year&gt;2021&lt;/Year&gt;&lt;RecNum&gt;152&lt;/RecNum&gt;&lt;DisplayText&gt;Chaudhary et al. (2021)&lt;/DisplayText&gt;&lt;record&gt;&lt;rec-number&gt;152&lt;/rec-number&gt;&lt;foreign-keys&gt;&lt;key app="EN" db-id="aet009sstawa0hewvt3xwf5atffdw2dt02sw" timestamp="1665663701"&gt;152&lt;/key&gt;&lt;/foreign-keys&gt;&lt;ref-type name="Journal Article"&gt;17&lt;/ref-type&gt;&lt;contributors&gt;&lt;authors&gt;&lt;author&gt;Chaudhary, Pradhyuman&lt;/author&gt;&lt;author&gt;Parikh, Nimesh&lt;/author&gt;&lt;author&gt;Sharma, Prateek&lt;/author&gt;&lt;/authors&gt;&lt;/contributors&gt;&lt;titles&gt;&lt;title&gt;Characteristics of mood-congruent and mood-incongruent psychotic features in bipolar disorder&lt;/title&gt;&lt;secondary-title&gt;Neuropsychiatria i Neuropsychologia&lt;/secondary-title&gt;&lt;/titles&gt;&lt;pages&gt;66-75&lt;/pages&gt;&lt;volume&gt;16&lt;/volume&gt;&lt;number&gt;1-2&lt;/number&gt;&lt;section&gt;66&lt;/section&gt;&lt;dates&gt;&lt;year&gt;2021&lt;/year&gt;&lt;/dates&gt;&lt;isbn&gt;1896-6764&lt;/isbn&gt;&lt;label&gt;Chaudhary2021&lt;/label&gt;&lt;work-type&gt;journal article&lt;/work-type&gt;&lt;urls&gt;&lt;related-urls&gt;&lt;url&gt;http://dx.doi.org/10.5114/nan.2021.108035&lt;/url&gt;&lt;/related-urls&gt;&lt;/urls&gt;&lt;electronic-resource-num&gt;10.5114/nan.2021.108035&lt;/electronic-resource-num&gt;&lt;/record&gt;&lt;/Cite&gt;&lt;/EndNote&gt;</w:instrText>
            </w:r>
            <w:r w:rsidRPr="004D46AC">
              <w:fldChar w:fldCharType="separate"/>
            </w:r>
            <w:r w:rsidRPr="004D46AC">
              <w:t>Chaudhary et al. (2021)</w:t>
            </w:r>
            <w:r w:rsidRPr="004D46AC">
              <w:fldChar w:fldCharType="end"/>
            </w:r>
          </w:p>
        </w:tc>
        <w:tc>
          <w:tcPr>
            <w:tcW w:w="1189" w:type="dxa"/>
            <w:vAlign w:val="center"/>
          </w:tcPr>
          <w:p w14:paraId="34315AB3" w14:textId="77777777" w:rsidR="009864DB" w:rsidRPr="004D46AC" w:rsidRDefault="009864DB" w:rsidP="009864DB">
            <w:pPr>
              <w:spacing w:line="240" w:lineRule="auto"/>
              <w:ind w:firstLine="0"/>
            </w:pPr>
            <w:r w:rsidRPr="004D46AC">
              <w:t>4</w:t>
            </w:r>
          </w:p>
        </w:tc>
        <w:tc>
          <w:tcPr>
            <w:tcW w:w="1186" w:type="dxa"/>
            <w:vAlign w:val="center"/>
          </w:tcPr>
          <w:p w14:paraId="647164B5" w14:textId="77777777" w:rsidR="009864DB" w:rsidRPr="004D46AC" w:rsidRDefault="009864DB" w:rsidP="009864DB">
            <w:pPr>
              <w:spacing w:line="240" w:lineRule="auto"/>
              <w:ind w:firstLine="0"/>
            </w:pPr>
            <w:r w:rsidRPr="004D46AC">
              <w:t>NA</w:t>
            </w:r>
          </w:p>
        </w:tc>
        <w:tc>
          <w:tcPr>
            <w:tcW w:w="1235" w:type="dxa"/>
            <w:vAlign w:val="center"/>
          </w:tcPr>
          <w:p w14:paraId="6D31723B" w14:textId="77777777" w:rsidR="009864DB" w:rsidRPr="004D46AC" w:rsidRDefault="009864DB" w:rsidP="009864DB">
            <w:pPr>
              <w:spacing w:line="240" w:lineRule="auto"/>
              <w:ind w:firstLine="0"/>
            </w:pPr>
            <w:r w:rsidRPr="004D46AC">
              <w:t>DSM4TR</w:t>
            </w:r>
          </w:p>
        </w:tc>
        <w:tc>
          <w:tcPr>
            <w:tcW w:w="1524" w:type="dxa"/>
            <w:vAlign w:val="center"/>
          </w:tcPr>
          <w:p w14:paraId="1CF832A7" w14:textId="77777777" w:rsidR="009864DB" w:rsidRPr="004D46AC" w:rsidRDefault="009864DB" w:rsidP="009864DB">
            <w:pPr>
              <w:spacing w:line="240" w:lineRule="auto"/>
              <w:ind w:firstLine="0"/>
            </w:pPr>
            <w:r w:rsidRPr="004D46AC">
              <w:t>SCID</w:t>
            </w:r>
          </w:p>
        </w:tc>
        <w:tc>
          <w:tcPr>
            <w:tcW w:w="1177" w:type="dxa"/>
            <w:vAlign w:val="center"/>
          </w:tcPr>
          <w:p w14:paraId="78BBF5D3" w14:textId="77777777" w:rsidR="009864DB" w:rsidRPr="004D46AC" w:rsidRDefault="009864DB" w:rsidP="009864DB">
            <w:pPr>
              <w:spacing w:line="240" w:lineRule="auto"/>
              <w:ind w:firstLine="0"/>
            </w:pPr>
            <w:r w:rsidRPr="004D46AC">
              <w:t>188</w:t>
            </w:r>
          </w:p>
        </w:tc>
        <w:tc>
          <w:tcPr>
            <w:tcW w:w="1210" w:type="dxa"/>
            <w:vAlign w:val="center"/>
          </w:tcPr>
          <w:p w14:paraId="5DD29297" w14:textId="77777777" w:rsidR="009864DB" w:rsidRPr="004D46AC" w:rsidRDefault="009864DB" w:rsidP="009864DB">
            <w:pPr>
              <w:spacing w:line="240" w:lineRule="auto"/>
              <w:ind w:firstLine="0"/>
            </w:pPr>
            <w:r w:rsidRPr="004D46AC">
              <w:t>3</w:t>
            </w:r>
          </w:p>
        </w:tc>
        <w:tc>
          <w:tcPr>
            <w:tcW w:w="1155" w:type="dxa"/>
            <w:vAlign w:val="center"/>
          </w:tcPr>
          <w:p w14:paraId="724E9D45" w14:textId="77777777" w:rsidR="009864DB" w:rsidRPr="004D46AC" w:rsidRDefault="009864DB" w:rsidP="009864DB">
            <w:pPr>
              <w:spacing w:line="240" w:lineRule="auto"/>
              <w:ind w:firstLine="0"/>
            </w:pPr>
            <w:r w:rsidRPr="004D46AC">
              <w:t>1</w:t>
            </w:r>
          </w:p>
        </w:tc>
        <w:tc>
          <w:tcPr>
            <w:tcW w:w="1150" w:type="dxa"/>
          </w:tcPr>
          <w:p w14:paraId="4CF447EB" w14:textId="77777777" w:rsidR="009864DB" w:rsidRPr="004D46AC" w:rsidRDefault="009864DB" w:rsidP="009864DB">
            <w:pPr>
              <w:spacing w:line="240" w:lineRule="auto"/>
              <w:ind w:firstLine="0"/>
            </w:pPr>
            <w:r w:rsidRPr="004D46AC">
              <w:t>0</w:t>
            </w:r>
          </w:p>
        </w:tc>
        <w:tc>
          <w:tcPr>
            <w:tcW w:w="1756" w:type="dxa"/>
            <w:vAlign w:val="center"/>
          </w:tcPr>
          <w:p w14:paraId="5277D2EB" w14:textId="77777777" w:rsidR="009864DB" w:rsidRPr="004D46AC" w:rsidRDefault="009864DB" w:rsidP="009864DB">
            <w:pPr>
              <w:spacing w:line="240" w:lineRule="auto"/>
              <w:ind w:firstLine="0"/>
            </w:pPr>
            <w:r w:rsidRPr="004D46AC">
              <w:t>any</w:t>
            </w:r>
          </w:p>
        </w:tc>
        <w:tc>
          <w:tcPr>
            <w:tcW w:w="1152" w:type="dxa"/>
            <w:vAlign w:val="center"/>
          </w:tcPr>
          <w:p w14:paraId="59E36553" w14:textId="77777777" w:rsidR="009864DB" w:rsidRPr="004D46AC" w:rsidRDefault="009864DB" w:rsidP="009864DB">
            <w:pPr>
              <w:spacing w:line="240" w:lineRule="auto"/>
              <w:ind w:firstLine="0"/>
            </w:pPr>
            <w:r w:rsidRPr="004D46AC">
              <w:t>69</w:t>
            </w:r>
          </w:p>
        </w:tc>
      </w:tr>
      <w:tr w:rsidR="009864DB" w:rsidRPr="004D46AC" w14:paraId="2D08BEB9" w14:textId="77777777" w:rsidTr="00B518F1">
        <w:trPr>
          <w:trHeight w:val="254"/>
        </w:trPr>
        <w:tc>
          <w:tcPr>
            <w:tcW w:w="1440" w:type="dxa"/>
          </w:tcPr>
          <w:p w14:paraId="0619DF84"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AuthorYear="1"&gt;&lt;Author&gt;Parker&lt;/Author&gt;&lt;Year&gt;2000&lt;/Year&gt;&lt;RecNum&gt;163&lt;/RecNum&gt;&lt;DisplayText&gt;Parker et al. (2000)&lt;/DisplayText&gt;&lt;record&gt;&lt;rec-number&gt;163&lt;/rec-number&gt;&lt;foreign-keys&gt;&lt;key app="EN" db-id="aet009sstawa0hewvt3xwf5atffdw2dt02sw" timestamp="1665761883"&gt;163&lt;/key&gt;&lt;/foreign-keys&gt;&lt;ref-type name="Journal Article"&gt;17&lt;/ref-type&gt;&lt;contributors&gt;&lt;authors&gt;&lt;author&gt;Parker, G.&lt;/author&gt;&lt;author&gt;Roy, K.&lt;/author&gt;&lt;author&gt;Wilhelm, K.&lt;/author&gt;&lt;author&gt;Mitchell, P.&lt;/author&gt;&lt;author&gt;Hadzi-Pavlovic, D.&lt;/author&gt;&lt;/authors&gt;&lt;/contributors&gt;&lt;auth-address&gt;Mood Disorders Unit, Prince of Wales Hospital, Randwick, and School of Psychiatry, University of New South Wales, 2031, Randwick, Australia.&lt;/auth-address&gt;&lt;titles&gt;&lt;title&gt;The nature of bipolar depression: implications for the definition of melancholia&lt;/title&gt;&lt;secondary-title&gt;J Affect Disord&lt;/secondary-title&gt;&lt;/titles&gt;&lt;periodical&gt;&lt;full-title&gt;J Affect Disord&lt;/full-title&gt;&lt;/periodical&gt;&lt;pages&gt;217-24&lt;/pages&gt;&lt;volume&gt;59&lt;/volume&gt;&lt;number&gt;3&lt;/number&gt;&lt;keywords&gt;&lt;keyword&gt;Adult&lt;/keyword&gt;&lt;keyword&gt;Bipolar Disorder/classification/*diagnosis/psychology&lt;/keyword&gt;&lt;keyword&gt;Depressive Disorder/classification/*diagnosis/psychology&lt;/keyword&gt;&lt;keyword&gt;Female&lt;/keyword&gt;&lt;keyword&gt;Humans&lt;/keyword&gt;&lt;keyword&gt;Male&lt;/keyword&gt;&lt;keyword&gt;Middle Aged&lt;/keyword&gt;&lt;keyword&gt;Psychiatric Status Rating Scales/statistics &amp;amp; numerical data&lt;/keyword&gt;&lt;keyword&gt;Psychometrics&lt;/keyword&gt;&lt;keyword&gt;Reproducibility of Results&lt;/keyword&gt;&lt;/keywords&gt;&lt;dates&gt;&lt;year&gt;2000&lt;/year&gt;&lt;pub-dates&gt;&lt;date&gt;Sep&lt;/date&gt;&lt;/pub-dates&gt;&lt;/dates&gt;&lt;isbn&gt;0165-0327 (Print)&amp;#xD;0165-0327 (Linking)&lt;/isbn&gt;&lt;accession-num&gt;10854638&lt;/accession-num&gt;&lt;urls&gt;&lt;related-urls&gt;&lt;url&gt;https://www.ncbi.nlm.nih.gov/pubmed/10854638&lt;/url&gt;&lt;/related-urls&gt;&lt;/urls&gt;&lt;electronic-resource-num&gt;10.1016/s0165-0327(99)00144-5&lt;/electronic-resource-num&gt;&lt;remote-database-name&gt;Medline&lt;/remote-database-name&gt;&lt;remote-database-provider&gt;NLM&lt;/remote-database-provider&gt;&lt;language&gt;eng&lt;/language&gt;&lt;/record&gt;&lt;/Cite&gt;&lt;/EndNote&gt;</w:instrText>
            </w:r>
            <w:r w:rsidRPr="004D46AC">
              <w:fldChar w:fldCharType="separate"/>
            </w:r>
            <w:r w:rsidRPr="004D46AC">
              <w:t>Parker et al. (2000)</w:t>
            </w:r>
            <w:r w:rsidRPr="004D46AC">
              <w:fldChar w:fldCharType="end"/>
            </w:r>
          </w:p>
        </w:tc>
        <w:tc>
          <w:tcPr>
            <w:tcW w:w="1189" w:type="dxa"/>
            <w:vAlign w:val="center"/>
          </w:tcPr>
          <w:p w14:paraId="29A07F08" w14:textId="77777777" w:rsidR="009864DB" w:rsidRPr="004D46AC" w:rsidRDefault="009864DB" w:rsidP="009864DB">
            <w:pPr>
              <w:spacing w:line="240" w:lineRule="auto"/>
              <w:ind w:firstLine="0"/>
            </w:pPr>
            <w:r w:rsidRPr="004D46AC">
              <w:t>4</w:t>
            </w:r>
          </w:p>
        </w:tc>
        <w:tc>
          <w:tcPr>
            <w:tcW w:w="1186" w:type="dxa"/>
            <w:vAlign w:val="center"/>
          </w:tcPr>
          <w:p w14:paraId="0D36129A" w14:textId="77777777" w:rsidR="009864DB" w:rsidRPr="004D46AC" w:rsidRDefault="009864DB" w:rsidP="009864DB">
            <w:pPr>
              <w:spacing w:line="240" w:lineRule="auto"/>
              <w:ind w:firstLine="0"/>
            </w:pPr>
            <w:r w:rsidRPr="004D46AC">
              <w:t>46.3</w:t>
            </w:r>
          </w:p>
        </w:tc>
        <w:tc>
          <w:tcPr>
            <w:tcW w:w="1235" w:type="dxa"/>
            <w:vAlign w:val="center"/>
          </w:tcPr>
          <w:p w14:paraId="6E74565D" w14:textId="77777777" w:rsidR="009864DB" w:rsidRPr="004D46AC" w:rsidRDefault="009864DB" w:rsidP="009864DB">
            <w:pPr>
              <w:spacing w:line="240" w:lineRule="auto"/>
              <w:ind w:firstLine="0"/>
            </w:pPr>
            <w:r w:rsidRPr="004D46AC">
              <w:t>DSM</w:t>
            </w:r>
          </w:p>
        </w:tc>
        <w:tc>
          <w:tcPr>
            <w:tcW w:w="1524" w:type="dxa"/>
            <w:vAlign w:val="center"/>
          </w:tcPr>
          <w:p w14:paraId="00222560" w14:textId="77777777" w:rsidR="009864DB" w:rsidRPr="004D46AC" w:rsidRDefault="009864DB" w:rsidP="009864DB">
            <w:pPr>
              <w:spacing w:line="240" w:lineRule="auto"/>
              <w:ind w:firstLine="0"/>
            </w:pPr>
            <w:r w:rsidRPr="004D46AC">
              <w:t>CORE</w:t>
            </w:r>
          </w:p>
        </w:tc>
        <w:tc>
          <w:tcPr>
            <w:tcW w:w="1177" w:type="dxa"/>
            <w:vAlign w:val="center"/>
          </w:tcPr>
          <w:p w14:paraId="39008375" w14:textId="77777777" w:rsidR="009864DB" w:rsidRPr="004D46AC" w:rsidRDefault="009864DB" w:rsidP="009864DB">
            <w:pPr>
              <w:spacing w:line="240" w:lineRule="auto"/>
              <w:ind w:firstLine="0"/>
            </w:pPr>
            <w:r w:rsidRPr="004D46AC">
              <w:t>83</w:t>
            </w:r>
          </w:p>
        </w:tc>
        <w:tc>
          <w:tcPr>
            <w:tcW w:w="1210" w:type="dxa"/>
            <w:vAlign w:val="center"/>
          </w:tcPr>
          <w:p w14:paraId="63BFE017" w14:textId="77777777" w:rsidR="009864DB" w:rsidRPr="004D46AC" w:rsidRDefault="009864DB" w:rsidP="009864DB">
            <w:pPr>
              <w:spacing w:line="240" w:lineRule="auto"/>
              <w:ind w:firstLine="0"/>
            </w:pPr>
            <w:r w:rsidRPr="004D46AC">
              <w:t>2</w:t>
            </w:r>
          </w:p>
        </w:tc>
        <w:tc>
          <w:tcPr>
            <w:tcW w:w="1155" w:type="dxa"/>
            <w:vAlign w:val="center"/>
          </w:tcPr>
          <w:p w14:paraId="5304D09C" w14:textId="77777777" w:rsidR="009864DB" w:rsidRPr="004D46AC" w:rsidRDefault="009864DB" w:rsidP="009864DB">
            <w:pPr>
              <w:spacing w:line="240" w:lineRule="auto"/>
              <w:ind w:firstLine="0"/>
            </w:pPr>
            <w:r w:rsidRPr="004D46AC">
              <w:t>1</w:t>
            </w:r>
          </w:p>
        </w:tc>
        <w:tc>
          <w:tcPr>
            <w:tcW w:w="1150" w:type="dxa"/>
          </w:tcPr>
          <w:p w14:paraId="7AC3CCFB" w14:textId="77777777" w:rsidR="009864DB" w:rsidRPr="004D46AC" w:rsidRDefault="009864DB" w:rsidP="009864DB">
            <w:pPr>
              <w:spacing w:line="240" w:lineRule="auto"/>
              <w:ind w:firstLine="0"/>
            </w:pPr>
            <w:r w:rsidRPr="004D46AC">
              <w:t>0</w:t>
            </w:r>
          </w:p>
        </w:tc>
        <w:tc>
          <w:tcPr>
            <w:tcW w:w="1756" w:type="dxa"/>
            <w:vAlign w:val="center"/>
          </w:tcPr>
          <w:p w14:paraId="449BB0FE" w14:textId="77777777" w:rsidR="009864DB" w:rsidRPr="004D46AC" w:rsidRDefault="009864DB" w:rsidP="009864DB">
            <w:pPr>
              <w:spacing w:line="240" w:lineRule="auto"/>
              <w:ind w:firstLine="0"/>
            </w:pPr>
            <w:r w:rsidRPr="004D46AC">
              <w:t>any</w:t>
            </w:r>
          </w:p>
        </w:tc>
        <w:tc>
          <w:tcPr>
            <w:tcW w:w="1152" w:type="dxa"/>
            <w:vAlign w:val="center"/>
          </w:tcPr>
          <w:p w14:paraId="23E1EB33" w14:textId="77777777" w:rsidR="009864DB" w:rsidRPr="004D46AC" w:rsidRDefault="009864DB" w:rsidP="009864DB">
            <w:pPr>
              <w:spacing w:line="240" w:lineRule="auto"/>
              <w:ind w:firstLine="0"/>
            </w:pPr>
            <w:r w:rsidRPr="004D46AC">
              <w:t>15</w:t>
            </w:r>
          </w:p>
        </w:tc>
      </w:tr>
      <w:tr w:rsidR="009864DB" w:rsidRPr="004D46AC" w14:paraId="7A34A23A" w14:textId="77777777" w:rsidTr="00B518F1">
        <w:trPr>
          <w:trHeight w:val="254"/>
        </w:trPr>
        <w:tc>
          <w:tcPr>
            <w:tcW w:w="1440" w:type="dxa"/>
          </w:tcPr>
          <w:p w14:paraId="438985B7"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AuthorYear="1"&gt;&lt;Author&gt;Yan&lt;/Author&gt;&lt;Year&gt;1982&lt;/Year&gt;&lt;RecNum&gt;1379&lt;/RecNum&gt;&lt;DisplayText&gt;Yan et al. (1982)&lt;/DisplayText&gt;&lt;record&gt;&lt;rec-number&gt;1379&lt;/rec-number&gt;&lt;foreign-keys&gt;&lt;key app="EN" db-id="aet009sstawa0hewvt3xwf5atffdw2dt02sw" timestamp="1771734251"&gt;1379&lt;/key&gt;&lt;/foreign-keys&gt;&lt;ref-type name="Journal Article"&gt;17&lt;/ref-type&gt;&lt;contributors&gt;&lt;authors&gt;&lt;author&gt;Shanming Yan &lt;/author&gt;&lt;author&gt;D. Chen&lt;/author&gt;&lt;author&gt;Y. Z Chao&lt;/author&gt;&lt;author&gt;J. Ji&lt;/author&gt;&lt;author&gt;M. A. Taylor&lt;/author&gt;&lt;/authors&gt;&lt;/contributors&gt;&lt;titles&gt;&lt;title&gt;Prevalence and characteristics of mania in Chinese inpatients: a prospective study&lt;/title&gt;&lt;secondary-title&gt;American Journal of Psychiatry&lt;/secondary-title&gt;&lt;/titles&gt;&lt;periodical&gt;&lt;full-title&gt;American Journal of Psychiatry&lt;/full-title&gt;&lt;/periodical&gt;&lt;pages&gt;1150-1153&lt;/pages&gt;&lt;volume&gt;139&lt;/volume&gt;&lt;dates&gt;&lt;year&gt;1982&lt;/year&gt;&lt;pub-dates&gt;&lt;date&gt;1982/09/01&lt;/date&gt;&lt;/pub-dates&gt;&lt;/dates&gt;&lt;publisher&gt;American Psychiatric Publishing&lt;/publisher&gt;&lt;urls&gt;&lt;related-urls&gt;&lt;url&gt;https://doi.org/10.1176/ajp.139.9.1150&lt;/url&gt;&lt;/related-urls&gt;&lt;/urls&gt;&lt;electronic-resource-num&gt;10.1176/ajp.139.9.1150&lt;/electronic-resource-num&gt;&lt;access-date&gt;2026/02/21&lt;/access-date&gt;&lt;/record&gt;&lt;/Cite&gt;&lt;/EndNote&gt;</w:instrText>
            </w:r>
            <w:r w:rsidRPr="004D46AC">
              <w:fldChar w:fldCharType="separate"/>
            </w:r>
            <w:r w:rsidRPr="004D46AC">
              <w:t>Yan et al. (1982)</w:t>
            </w:r>
            <w:r w:rsidRPr="004D46AC">
              <w:fldChar w:fldCharType="end"/>
            </w:r>
          </w:p>
        </w:tc>
        <w:tc>
          <w:tcPr>
            <w:tcW w:w="1189" w:type="dxa"/>
            <w:vAlign w:val="center"/>
          </w:tcPr>
          <w:p w14:paraId="0DDB9467" w14:textId="77777777" w:rsidR="009864DB" w:rsidRPr="004D46AC" w:rsidRDefault="009864DB" w:rsidP="009864DB">
            <w:pPr>
              <w:spacing w:line="240" w:lineRule="auto"/>
              <w:ind w:firstLine="0"/>
            </w:pPr>
            <w:r w:rsidRPr="004D46AC">
              <w:t>6</w:t>
            </w:r>
          </w:p>
        </w:tc>
        <w:tc>
          <w:tcPr>
            <w:tcW w:w="1186" w:type="dxa"/>
            <w:vAlign w:val="center"/>
          </w:tcPr>
          <w:p w14:paraId="3BD8DB81" w14:textId="77777777" w:rsidR="009864DB" w:rsidRPr="004D46AC" w:rsidRDefault="009864DB" w:rsidP="009864DB">
            <w:pPr>
              <w:spacing w:line="240" w:lineRule="auto"/>
              <w:ind w:firstLine="0"/>
            </w:pPr>
            <w:r w:rsidRPr="004D46AC">
              <w:t>31.51</w:t>
            </w:r>
          </w:p>
        </w:tc>
        <w:tc>
          <w:tcPr>
            <w:tcW w:w="1235" w:type="dxa"/>
            <w:vAlign w:val="center"/>
          </w:tcPr>
          <w:p w14:paraId="0969C486" w14:textId="77777777" w:rsidR="009864DB" w:rsidRPr="004D46AC" w:rsidRDefault="009864DB" w:rsidP="009864DB">
            <w:pPr>
              <w:spacing w:line="240" w:lineRule="auto"/>
              <w:ind w:firstLine="0"/>
            </w:pPr>
            <w:r w:rsidRPr="004D46AC">
              <w:t>mixed</w:t>
            </w:r>
          </w:p>
        </w:tc>
        <w:tc>
          <w:tcPr>
            <w:tcW w:w="1524" w:type="dxa"/>
            <w:vAlign w:val="center"/>
          </w:tcPr>
          <w:p w14:paraId="39A5084B" w14:textId="77777777" w:rsidR="009864DB" w:rsidRPr="004D46AC" w:rsidRDefault="009864DB" w:rsidP="009864DB">
            <w:pPr>
              <w:spacing w:line="240" w:lineRule="auto"/>
              <w:ind w:firstLine="0"/>
            </w:pPr>
            <w:r w:rsidRPr="004D46AC">
              <w:t>unclear</w:t>
            </w:r>
          </w:p>
        </w:tc>
        <w:tc>
          <w:tcPr>
            <w:tcW w:w="1177" w:type="dxa"/>
            <w:vAlign w:val="center"/>
          </w:tcPr>
          <w:p w14:paraId="0B3C0741" w14:textId="77777777" w:rsidR="009864DB" w:rsidRPr="004D46AC" w:rsidRDefault="009864DB" w:rsidP="009864DB">
            <w:pPr>
              <w:spacing w:line="240" w:lineRule="auto"/>
              <w:ind w:firstLine="0"/>
            </w:pPr>
            <w:r w:rsidRPr="004D46AC">
              <w:t>108</w:t>
            </w:r>
          </w:p>
        </w:tc>
        <w:tc>
          <w:tcPr>
            <w:tcW w:w="1210" w:type="dxa"/>
            <w:vAlign w:val="center"/>
          </w:tcPr>
          <w:p w14:paraId="18EF1292" w14:textId="77777777" w:rsidR="009864DB" w:rsidRPr="004D46AC" w:rsidRDefault="009864DB" w:rsidP="009864DB">
            <w:pPr>
              <w:spacing w:line="240" w:lineRule="auto"/>
              <w:ind w:firstLine="0"/>
            </w:pPr>
            <w:r w:rsidRPr="004D46AC">
              <w:t>3</w:t>
            </w:r>
          </w:p>
        </w:tc>
        <w:tc>
          <w:tcPr>
            <w:tcW w:w="1155" w:type="dxa"/>
            <w:vAlign w:val="center"/>
          </w:tcPr>
          <w:p w14:paraId="26A8293B" w14:textId="77777777" w:rsidR="009864DB" w:rsidRPr="004D46AC" w:rsidRDefault="009864DB" w:rsidP="009864DB">
            <w:pPr>
              <w:spacing w:line="240" w:lineRule="auto"/>
              <w:ind w:firstLine="0"/>
            </w:pPr>
            <w:r w:rsidRPr="004D46AC">
              <w:t>2</w:t>
            </w:r>
          </w:p>
        </w:tc>
        <w:tc>
          <w:tcPr>
            <w:tcW w:w="1150" w:type="dxa"/>
          </w:tcPr>
          <w:p w14:paraId="1C428D22" w14:textId="77777777" w:rsidR="009864DB" w:rsidRPr="004D46AC" w:rsidRDefault="009864DB" w:rsidP="009864DB">
            <w:pPr>
              <w:spacing w:line="240" w:lineRule="auto"/>
              <w:ind w:firstLine="0"/>
            </w:pPr>
            <w:r w:rsidRPr="004D46AC">
              <w:t>0</w:t>
            </w:r>
          </w:p>
        </w:tc>
        <w:tc>
          <w:tcPr>
            <w:tcW w:w="1756" w:type="dxa"/>
            <w:vAlign w:val="center"/>
          </w:tcPr>
          <w:p w14:paraId="402D1CE1" w14:textId="77777777" w:rsidR="009864DB" w:rsidRPr="004D46AC" w:rsidRDefault="009864DB" w:rsidP="009864DB">
            <w:pPr>
              <w:spacing w:line="240" w:lineRule="auto"/>
              <w:ind w:firstLine="0"/>
            </w:pPr>
            <w:r w:rsidRPr="004D46AC">
              <w:t>grandiosity</w:t>
            </w:r>
          </w:p>
        </w:tc>
        <w:tc>
          <w:tcPr>
            <w:tcW w:w="1152" w:type="dxa"/>
            <w:vAlign w:val="center"/>
          </w:tcPr>
          <w:p w14:paraId="1DB9C12D" w14:textId="77777777" w:rsidR="009864DB" w:rsidRPr="004D46AC" w:rsidRDefault="009864DB" w:rsidP="009864DB">
            <w:pPr>
              <w:spacing w:line="240" w:lineRule="auto"/>
              <w:ind w:firstLine="0"/>
            </w:pPr>
            <w:r w:rsidRPr="004D46AC">
              <w:t>80</w:t>
            </w:r>
          </w:p>
        </w:tc>
      </w:tr>
      <w:tr w:rsidR="009864DB" w:rsidRPr="004D46AC" w14:paraId="6B09FE5C" w14:textId="77777777" w:rsidTr="00B518F1">
        <w:trPr>
          <w:trHeight w:val="262"/>
        </w:trPr>
        <w:tc>
          <w:tcPr>
            <w:tcW w:w="1440" w:type="dxa"/>
          </w:tcPr>
          <w:p w14:paraId="504084D4" w14:textId="77777777" w:rsidR="009864DB" w:rsidRPr="004D46AC" w:rsidRDefault="009864DB" w:rsidP="009864DB">
            <w:pPr>
              <w:spacing w:line="240" w:lineRule="auto"/>
              <w:ind w:firstLine="0"/>
            </w:pPr>
            <w:r w:rsidRPr="004D46AC">
              <w:lastRenderedPageBreak/>
              <w:fldChar w:fldCharType="begin">
                <w:fldData xml:space="preserve">PEVuZE5vdGU+PENpdGUgQXV0aG9yWWVhcj0iMSI+PEF1dGhvcj5DYXJsc29uPC9BdXRob3I+PFll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</w:fldData>
              </w:fldChar>
            </w:r>
            <w:r w:rsidRPr="004D46AC">
              <w:instrText xml:space="preserve"> ADDIN EN.CITE </w:instrText>
            </w:r>
            <w:r w:rsidRPr="004D46AC">
              <w:fldChar w:fldCharType="begin">
                <w:fldData xml:space="preserve">PEVuZE5vdGU+PENpdGUgQXV0aG9yWWVhcj0iMSI+PEF1dGhvcj5DYXJsc29uPC9BdXRob3I+PFll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</w:fldData>
              </w:fldChar>
            </w:r>
            <w:r w:rsidRPr="004D46AC">
              <w:instrText xml:space="preserve"> ADDIN EN.CITE.DATA </w:instrText>
            </w:r>
            <w:r w:rsidRPr="004D46AC">
              <w:fldChar w:fldCharType="end"/>
            </w:r>
            <w:r w:rsidRPr="004D46AC">
              <w:fldChar w:fldCharType="separate"/>
            </w:r>
            <w:r w:rsidRPr="004D46AC">
              <w:t>Carlson et al. (2012)</w:t>
            </w:r>
            <w:r w:rsidRPr="004D46AC">
              <w:fldChar w:fldCharType="end"/>
            </w:r>
            <w:r w:rsidRPr="004D46AC">
              <w:t xml:space="preserve">  </w:t>
            </w:r>
          </w:p>
        </w:tc>
        <w:tc>
          <w:tcPr>
            <w:tcW w:w="1189" w:type="dxa"/>
            <w:vAlign w:val="center"/>
          </w:tcPr>
          <w:p w14:paraId="5634994C" w14:textId="77777777" w:rsidR="009864DB" w:rsidRPr="004D46AC" w:rsidRDefault="009864DB" w:rsidP="009864DB">
            <w:pPr>
              <w:spacing w:line="240" w:lineRule="auto"/>
              <w:ind w:firstLine="0"/>
            </w:pPr>
            <w:r w:rsidRPr="004D46AC">
              <w:t>6</w:t>
            </w:r>
          </w:p>
        </w:tc>
        <w:tc>
          <w:tcPr>
            <w:tcW w:w="1186" w:type="dxa"/>
            <w:vAlign w:val="center"/>
          </w:tcPr>
          <w:p w14:paraId="3AE9E21C" w14:textId="77777777" w:rsidR="009864DB" w:rsidRPr="004D46AC" w:rsidRDefault="009864DB" w:rsidP="009864DB">
            <w:pPr>
              <w:spacing w:line="240" w:lineRule="auto"/>
              <w:ind w:firstLine="0"/>
            </w:pPr>
            <w:r w:rsidRPr="004D46AC">
              <w:t>29.3</w:t>
            </w:r>
          </w:p>
        </w:tc>
        <w:tc>
          <w:tcPr>
            <w:tcW w:w="1235" w:type="dxa"/>
            <w:vAlign w:val="center"/>
          </w:tcPr>
          <w:p w14:paraId="39941C6C" w14:textId="77777777" w:rsidR="009864DB" w:rsidRPr="004D46AC" w:rsidRDefault="009864DB" w:rsidP="009864DB">
            <w:pPr>
              <w:spacing w:line="240" w:lineRule="auto"/>
              <w:ind w:firstLine="0"/>
            </w:pPr>
            <w:r w:rsidRPr="004D46AC">
              <w:t>DSM3R</w:t>
            </w:r>
          </w:p>
        </w:tc>
        <w:tc>
          <w:tcPr>
            <w:tcW w:w="1524" w:type="dxa"/>
            <w:vAlign w:val="center"/>
          </w:tcPr>
          <w:p w14:paraId="02132352" w14:textId="77777777" w:rsidR="009864DB" w:rsidRPr="004D46AC" w:rsidRDefault="009864DB" w:rsidP="009864DB">
            <w:pPr>
              <w:spacing w:line="240" w:lineRule="auto"/>
              <w:ind w:firstLine="0"/>
            </w:pPr>
            <w:r w:rsidRPr="004D46AC">
              <w:t>SCID</w:t>
            </w:r>
          </w:p>
        </w:tc>
        <w:tc>
          <w:tcPr>
            <w:tcW w:w="1177" w:type="dxa"/>
            <w:vAlign w:val="center"/>
          </w:tcPr>
          <w:p w14:paraId="333EAA3A" w14:textId="77777777" w:rsidR="009864DB" w:rsidRPr="004D46AC" w:rsidRDefault="009864DB" w:rsidP="009864DB">
            <w:pPr>
              <w:spacing w:line="240" w:lineRule="auto"/>
              <w:ind w:firstLine="0"/>
            </w:pPr>
            <w:r w:rsidRPr="004D46AC">
              <w:t>126</w:t>
            </w:r>
          </w:p>
        </w:tc>
        <w:tc>
          <w:tcPr>
            <w:tcW w:w="1210" w:type="dxa"/>
            <w:vAlign w:val="center"/>
          </w:tcPr>
          <w:p w14:paraId="061537B6" w14:textId="77777777" w:rsidR="009864DB" w:rsidRPr="004D46AC" w:rsidRDefault="009864DB" w:rsidP="009864DB">
            <w:pPr>
              <w:spacing w:line="240" w:lineRule="auto"/>
              <w:ind w:firstLine="0"/>
            </w:pPr>
            <w:r w:rsidRPr="004D46AC">
              <w:t>3</w:t>
            </w:r>
          </w:p>
        </w:tc>
        <w:tc>
          <w:tcPr>
            <w:tcW w:w="1155" w:type="dxa"/>
            <w:vAlign w:val="center"/>
          </w:tcPr>
          <w:p w14:paraId="7706F3EA" w14:textId="77777777" w:rsidR="009864DB" w:rsidRPr="004D46AC" w:rsidRDefault="009864DB" w:rsidP="009864DB">
            <w:pPr>
              <w:spacing w:line="240" w:lineRule="auto"/>
              <w:ind w:firstLine="0"/>
            </w:pPr>
            <w:r w:rsidRPr="004D46AC">
              <w:t>3</w:t>
            </w:r>
          </w:p>
        </w:tc>
        <w:tc>
          <w:tcPr>
            <w:tcW w:w="1150" w:type="dxa"/>
          </w:tcPr>
          <w:p w14:paraId="60C85E0E" w14:textId="77777777" w:rsidR="009864DB" w:rsidRPr="004D46AC" w:rsidRDefault="009864DB" w:rsidP="009864DB">
            <w:pPr>
              <w:spacing w:line="240" w:lineRule="auto"/>
              <w:ind w:firstLine="0"/>
            </w:pPr>
            <w:r w:rsidRPr="004D46AC">
              <w:t>0</w:t>
            </w:r>
          </w:p>
        </w:tc>
        <w:tc>
          <w:tcPr>
            <w:tcW w:w="1756" w:type="dxa"/>
            <w:vAlign w:val="center"/>
          </w:tcPr>
          <w:p w14:paraId="01CD1748" w14:textId="77777777" w:rsidR="009864DB" w:rsidRPr="004D46AC" w:rsidRDefault="009864DB" w:rsidP="009864DB">
            <w:pPr>
              <w:spacing w:line="240" w:lineRule="auto"/>
              <w:ind w:firstLine="0"/>
            </w:pPr>
            <w:r w:rsidRPr="004D46AC">
              <w:t>paranoia</w:t>
            </w:r>
          </w:p>
        </w:tc>
        <w:tc>
          <w:tcPr>
            <w:tcW w:w="1152" w:type="dxa"/>
            <w:vAlign w:val="center"/>
          </w:tcPr>
          <w:p w14:paraId="3402D09E" w14:textId="77777777" w:rsidR="009864DB" w:rsidRPr="004D46AC" w:rsidRDefault="009864DB" w:rsidP="009864DB">
            <w:pPr>
              <w:spacing w:line="240" w:lineRule="auto"/>
              <w:ind w:firstLine="0"/>
            </w:pPr>
            <w:r w:rsidRPr="004D46AC">
              <w:t>59</w:t>
            </w:r>
          </w:p>
        </w:tc>
      </w:tr>
      <w:tr w:rsidR="009864DB" w:rsidRPr="004D46AC" w14:paraId="018AB207" w14:textId="77777777" w:rsidTr="00B518F1">
        <w:trPr>
          <w:trHeight w:val="254"/>
        </w:trPr>
        <w:tc>
          <w:tcPr>
            <w:tcW w:w="1440" w:type="dxa"/>
          </w:tcPr>
          <w:p w14:paraId="797012C5"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AuthorYear="1"&gt;&lt;Author&gt;Tohen&lt;/Author&gt;&lt;Year&gt;1992&lt;/Year&gt;&lt;RecNum&gt;300&lt;/RecNum&gt;&lt;DisplayText&gt;Tohen et al. (1992)&lt;/DisplayText&gt;&lt;record&gt;&lt;rec-number&gt;300&lt;/rec-number&gt;&lt;foreign-keys&gt;&lt;key app="EN" db-id="aet009sstawa0hewvt3xwf5atffdw2dt02sw" timestamp="1666489195"&gt;300&lt;/key&gt;&lt;/foreign-keys&gt;&lt;ref-type name="Journal Article"&gt;17&lt;/ref-type&gt;&lt;contributors&gt;&lt;authors&gt;&lt;author&gt;Tohen, M.&lt;/author&gt;&lt;author&gt;Tsuang, M. T.&lt;/author&gt;&lt;author&gt;Goodwin, D. C.&lt;/author&gt;&lt;/authors&gt;&lt;/contributors&gt;&lt;auth-address&gt;Department of Psychiatry, Harvard Medical School, Boston, MA.&lt;/auth-address&gt;&lt;titles&gt;&lt;title&gt;Prediction of outcome in mania by mood-congruent or mood-incongruent psychotic features&lt;/title&gt;&lt;secondary-title&gt;Am J Psychiatry&lt;/secondary-title&gt;&lt;/titles&gt;&lt;periodical&gt;&lt;full-title&gt;Am J Psychiatry&lt;/full-title&gt;&lt;/periodical&gt;&lt;pages&gt;1580-4&lt;/pages&gt;&lt;volume&gt;149&lt;/volume&gt;&lt;number&gt;11&lt;/number&gt;&lt;keywords&gt;&lt;keyword&gt;Adult&lt;/keyword&gt;&lt;keyword&gt;Bipolar Disorder/classification/*diagnosis/psychology&lt;/keyword&gt;&lt;keyword&gt;Delusions/psychology&lt;/keyword&gt;&lt;keyword&gt;Employment&lt;/keyword&gt;&lt;keyword&gt;Female&lt;/keyword&gt;&lt;keyword&gt;Follow-Up Studies&lt;/keyword&gt;&lt;keyword&gt;Hallucinations/diagnosis/psychology&lt;/keyword&gt;&lt;keyword&gt;Humans&lt;/keyword&gt;&lt;keyword&gt;Male&lt;/keyword&gt;&lt;keyword&gt;Odds Ratio&lt;/keyword&gt;&lt;keyword&gt;Probability&lt;/keyword&gt;&lt;keyword&gt;Prognosis&lt;/keyword&gt;&lt;keyword&gt;Proportional Hazards Models&lt;/keyword&gt;&lt;keyword&gt;Psychiatric Status Rating Scales&lt;/keyword&gt;&lt;keyword&gt;Recurrence&lt;/keyword&gt;&lt;keyword&gt;Residence Characteristics&lt;/keyword&gt;&lt;keyword&gt;Sex Factors&lt;/keyword&gt;&lt;keyword&gt;Survival Analysis&lt;/keyword&gt;&lt;/keywords&gt;&lt;dates&gt;&lt;year&gt;1992&lt;/year&gt;&lt;pub-dates&gt;&lt;date&gt;Nov&lt;/date&gt;&lt;/pub-dates&gt;&lt;/dates&gt;&lt;isbn&gt;0002-953X (Print)&amp;#xD;0002-953X (Linking)&lt;/isbn&gt;&lt;accession-num&gt;1415828&lt;/accession-num&gt;&lt;urls&gt;&lt;related-urls&gt;&lt;url&gt;https://www.ncbi.nlm.nih.gov/pubmed/1415828&lt;/url&gt;&lt;/related-urls&gt;&lt;/urls&gt;&lt;electronic-resource-num&gt;10.1176/ajp.149.11.1580&lt;/electronic-resource-num&gt;&lt;remote-database-name&gt;Medline&lt;/remote-database-name&gt;&lt;remote-database-provider&gt;NLM&lt;/remote-database-provider&gt;&lt;language&gt;eng&lt;/language&gt;&lt;/record&gt;&lt;/Cite&gt;&lt;/EndNote&gt;</w:instrText>
            </w:r>
            <w:r w:rsidRPr="004D46AC">
              <w:fldChar w:fldCharType="separate"/>
            </w:r>
            <w:r w:rsidRPr="004D46AC">
              <w:t>Tohen et al. (1992)</w:t>
            </w:r>
            <w:r w:rsidRPr="004D46AC">
              <w:fldChar w:fldCharType="end"/>
            </w:r>
          </w:p>
        </w:tc>
        <w:tc>
          <w:tcPr>
            <w:tcW w:w="1189" w:type="dxa"/>
            <w:vAlign w:val="center"/>
          </w:tcPr>
          <w:p w14:paraId="5B8CF970" w14:textId="77777777" w:rsidR="009864DB" w:rsidRPr="004D46AC" w:rsidRDefault="009864DB" w:rsidP="009864DB">
            <w:pPr>
              <w:spacing w:line="240" w:lineRule="auto"/>
              <w:ind w:firstLine="0"/>
            </w:pPr>
            <w:r w:rsidRPr="004D46AC">
              <w:t>6</w:t>
            </w:r>
          </w:p>
        </w:tc>
        <w:tc>
          <w:tcPr>
            <w:tcW w:w="1186" w:type="dxa"/>
            <w:vAlign w:val="center"/>
          </w:tcPr>
          <w:p w14:paraId="4A4A30DA" w14:textId="77777777" w:rsidR="009864DB" w:rsidRPr="004D46AC" w:rsidRDefault="009864DB" w:rsidP="009864DB">
            <w:pPr>
              <w:spacing w:line="240" w:lineRule="auto"/>
              <w:ind w:firstLine="0"/>
            </w:pPr>
            <w:r w:rsidRPr="004D46AC">
              <w:t>30</w:t>
            </w:r>
          </w:p>
        </w:tc>
        <w:tc>
          <w:tcPr>
            <w:tcW w:w="1235" w:type="dxa"/>
            <w:vAlign w:val="center"/>
          </w:tcPr>
          <w:p w14:paraId="1B40FC01" w14:textId="77777777" w:rsidR="009864DB" w:rsidRPr="004D46AC" w:rsidRDefault="009864DB" w:rsidP="009864DB">
            <w:pPr>
              <w:spacing w:line="240" w:lineRule="auto"/>
              <w:ind w:firstLine="0"/>
            </w:pPr>
            <w:r w:rsidRPr="004D46AC">
              <w:t>DSM3</w:t>
            </w:r>
          </w:p>
        </w:tc>
        <w:tc>
          <w:tcPr>
            <w:tcW w:w="1524" w:type="dxa"/>
            <w:vAlign w:val="center"/>
          </w:tcPr>
          <w:p w14:paraId="27107FEA" w14:textId="77777777" w:rsidR="009864DB" w:rsidRPr="004D46AC" w:rsidRDefault="009864DB" w:rsidP="009864DB">
            <w:pPr>
              <w:spacing w:line="240" w:lineRule="auto"/>
              <w:ind w:firstLine="0"/>
            </w:pPr>
            <w:r w:rsidRPr="004D46AC">
              <w:t>DIS</w:t>
            </w:r>
          </w:p>
        </w:tc>
        <w:tc>
          <w:tcPr>
            <w:tcW w:w="1177" w:type="dxa"/>
            <w:vAlign w:val="center"/>
          </w:tcPr>
          <w:p w14:paraId="3F080DC6" w14:textId="77777777" w:rsidR="009864DB" w:rsidRPr="004D46AC" w:rsidRDefault="009864DB" w:rsidP="009864DB">
            <w:pPr>
              <w:spacing w:line="240" w:lineRule="auto"/>
              <w:ind w:firstLine="0"/>
            </w:pPr>
            <w:r w:rsidRPr="004D46AC">
              <w:t>54</w:t>
            </w:r>
          </w:p>
        </w:tc>
        <w:tc>
          <w:tcPr>
            <w:tcW w:w="1210" w:type="dxa"/>
            <w:vAlign w:val="center"/>
          </w:tcPr>
          <w:p w14:paraId="33052FA2" w14:textId="77777777" w:rsidR="009864DB" w:rsidRPr="004D46AC" w:rsidRDefault="009864DB" w:rsidP="009864DB">
            <w:pPr>
              <w:spacing w:line="240" w:lineRule="auto"/>
              <w:ind w:firstLine="0"/>
            </w:pPr>
            <w:r w:rsidRPr="004D46AC">
              <w:t>3</w:t>
            </w:r>
          </w:p>
        </w:tc>
        <w:tc>
          <w:tcPr>
            <w:tcW w:w="1155" w:type="dxa"/>
            <w:vAlign w:val="center"/>
          </w:tcPr>
          <w:p w14:paraId="6901375C" w14:textId="77777777" w:rsidR="009864DB" w:rsidRPr="004D46AC" w:rsidRDefault="009864DB" w:rsidP="009864DB">
            <w:pPr>
              <w:spacing w:line="240" w:lineRule="auto"/>
              <w:ind w:firstLine="0"/>
            </w:pPr>
            <w:r w:rsidRPr="004D46AC">
              <w:t>3</w:t>
            </w:r>
          </w:p>
        </w:tc>
        <w:tc>
          <w:tcPr>
            <w:tcW w:w="1150" w:type="dxa"/>
          </w:tcPr>
          <w:p w14:paraId="6EB5B8A2" w14:textId="77777777" w:rsidR="009864DB" w:rsidRPr="004D46AC" w:rsidRDefault="009864DB" w:rsidP="009864DB">
            <w:pPr>
              <w:spacing w:line="240" w:lineRule="auto"/>
              <w:ind w:firstLine="0"/>
            </w:pPr>
            <w:r w:rsidRPr="004D46AC">
              <w:t>0</w:t>
            </w:r>
          </w:p>
        </w:tc>
        <w:tc>
          <w:tcPr>
            <w:tcW w:w="1756" w:type="dxa"/>
            <w:vAlign w:val="center"/>
          </w:tcPr>
          <w:p w14:paraId="4C79147D" w14:textId="77777777" w:rsidR="009864DB" w:rsidRPr="004D46AC" w:rsidRDefault="009864DB" w:rsidP="009864DB">
            <w:pPr>
              <w:spacing w:line="240" w:lineRule="auto"/>
              <w:ind w:firstLine="0"/>
            </w:pPr>
            <w:r w:rsidRPr="004D46AC">
              <w:t>paranoia</w:t>
            </w:r>
          </w:p>
        </w:tc>
        <w:tc>
          <w:tcPr>
            <w:tcW w:w="1152" w:type="dxa"/>
            <w:vAlign w:val="center"/>
          </w:tcPr>
          <w:p w14:paraId="5C13E024" w14:textId="77777777" w:rsidR="009864DB" w:rsidRPr="004D46AC" w:rsidRDefault="009864DB" w:rsidP="009864DB">
            <w:pPr>
              <w:spacing w:line="240" w:lineRule="auto"/>
              <w:ind w:firstLine="0"/>
            </w:pPr>
            <w:r w:rsidRPr="004D46AC">
              <w:t>35</w:t>
            </w:r>
          </w:p>
        </w:tc>
      </w:tr>
      <w:tr w:rsidR="009864DB" w:rsidRPr="004D46AC" w14:paraId="38A8BA4D" w14:textId="77777777" w:rsidTr="00B518F1">
        <w:trPr>
          <w:trHeight w:val="254"/>
        </w:trPr>
        <w:tc>
          <w:tcPr>
            <w:tcW w:w="1440" w:type="dxa"/>
          </w:tcPr>
          <w:p w14:paraId="40DC6E11" w14:textId="77777777" w:rsidR="009864DB" w:rsidRPr="004D46AC" w:rsidRDefault="009864DB" w:rsidP="009864DB">
            <w:pPr>
              <w:spacing w:line="240" w:lineRule="auto"/>
              <w:ind w:firstLine="0"/>
            </w:pPr>
            <w:r w:rsidRPr="004D46AC">
              <w:fldChar w:fldCharType="begin">
                <w:fldData xml:space="preserve">PEVuZE5vdGU+PENpdGUgQXV0aG9yWWVhcj0iMSI+PEF1dGhvcj5MaXNoPC9BdXRob3I+PFllYXI+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</w:fldData>
              </w:fldChar>
            </w:r>
            <w:r w:rsidRPr="004D46AC">
              <w:instrText xml:space="preserve"> ADDIN EN.CITE </w:instrText>
            </w:r>
            <w:r w:rsidRPr="004D46AC">
              <w:fldChar w:fldCharType="begin">
                <w:fldData xml:space="preserve">PEVuZE5vdGU+PENpdGUgQXV0aG9yWWVhcj0iMSI+PEF1dGhvcj5MaXNoPC9BdXRob3I+PFllYXI+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</w:fldData>
              </w:fldChar>
            </w:r>
            <w:r w:rsidRPr="004D46AC">
              <w:instrText xml:space="preserve"> ADDIN EN.CITE.DATA </w:instrText>
            </w:r>
            <w:r w:rsidRPr="004D46AC">
              <w:fldChar w:fldCharType="end"/>
            </w:r>
            <w:r w:rsidRPr="004D46AC">
              <w:fldChar w:fldCharType="separate"/>
            </w:r>
            <w:r w:rsidRPr="004D46AC">
              <w:t>Lish et al. (1994)</w:t>
            </w:r>
            <w:r w:rsidRPr="004D46AC">
              <w:fldChar w:fldCharType="end"/>
            </w:r>
          </w:p>
        </w:tc>
        <w:tc>
          <w:tcPr>
            <w:tcW w:w="1189" w:type="dxa"/>
            <w:vAlign w:val="center"/>
          </w:tcPr>
          <w:p w14:paraId="63774C81" w14:textId="77777777" w:rsidR="009864DB" w:rsidRPr="004D46AC" w:rsidRDefault="009864DB" w:rsidP="009864DB">
            <w:pPr>
              <w:spacing w:line="240" w:lineRule="auto"/>
              <w:ind w:firstLine="0"/>
            </w:pPr>
            <w:r w:rsidRPr="004D46AC">
              <w:t>5</w:t>
            </w:r>
          </w:p>
        </w:tc>
        <w:tc>
          <w:tcPr>
            <w:tcW w:w="1186" w:type="dxa"/>
            <w:vAlign w:val="center"/>
          </w:tcPr>
          <w:p w14:paraId="72BEDD5B" w14:textId="77777777" w:rsidR="009864DB" w:rsidRPr="004D46AC" w:rsidRDefault="009864DB" w:rsidP="009864DB">
            <w:pPr>
              <w:spacing w:line="240" w:lineRule="auto"/>
              <w:ind w:firstLine="0"/>
            </w:pPr>
            <w:r w:rsidRPr="004D46AC">
              <w:t>NA</w:t>
            </w:r>
          </w:p>
        </w:tc>
        <w:tc>
          <w:tcPr>
            <w:tcW w:w="1235" w:type="dxa"/>
            <w:vAlign w:val="center"/>
          </w:tcPr>
          <w:p w14:paraId="1F3EECDD" w14:textId="77777777" w:rsidR="009864DB" w:rsidRPr="004D46AC" w:rsidRDefault="009864DB" w:rsidP="009864DB">
            <w:pPr>
              <w:spacing w:line="240" w:lineRule="auto"/>
              <w:ind w:firstLine="0"/>
            </w:pPr>
            <w:r w:rsidRPr="004D46AC">
              <w:t>unclear</w:t>
            </w:r>
          </w:p>
        </w:tc>
        <w:tc>
          <w:tcPr>
            <w:tcW w:w="1524" w:type="dxa"/>
            <w:vAlign w:val="center"/>
          </w:tcPr>
          <w:p w14:paraId="4C11970D" w14:textId="77777777" w:rsidR="009864DB" w:rsidRPr="004D46AC" w:rsidRDefault="009864DB" w:rsidP="009864DB">
            <w:pPr>
              <w:spacing w:line="240" w:lineRule="auto"/>
              <w:ind w:firstLine="0"/>
            </w:pPr>
            <w:r w:rsidRPr="004D46AC">
              <w:t>DMDA</w:t>
            </w:r>
          </w:p>
        </w:tc>
        <w:tc>
          <w:tcPr>
            <w:tcW w:w="1177" w:type="dxa"/>
            <w:vAlign w:val="center"/>
          </w:tcPr>
          <w:p w14:paraId="59DCB379" w14:textId="77777777" w:rsidR="009864DB" w:rsidRPr="004D46AC" w:rsidRDefault="009864DB" w:rsidP="009864DB">
            <w:pPr>
              <w:spacing w:line="240" w:lineRule="auto"/>
              <w:ind w:firstLine="0"/>
            </w:pPr>
            <w:r w:rsidRPr="004D46AC">
              <w:t>494</w:t>
            </w:r>
          </w:p>
        </w:tc>
        <w:tc>
          <w:tcPr>
            <w:tcW w:w="1210" w:type="dxa"/>
            <w:vAlign w:val="center"/>
          </w:tcPr>
          <w:p w14:paraId="02DE1C6D" w14:textId="77777777" w:rsidR="009864DB" w:rsidRPr="004D46AC" w:rsidRDefault="009864DB" w:rsidP="009864DB">
            <w:pPr>
              <w:spacing w:line="240" w:lineRule="auto"/>
              <w:ind w:firstLine="0"/>
            </w:pPr>
            <w:r w:rsidRPr="004D46AC">
              <w:t>unclear</w:t>
            </w:r>
          </w:p>
        </w:tc>
        <w:tc>
          <w:tcPr>
            <w:tcW w:w="1155" w:type="dxa"/>
            <w:vAlign w:val="center"/>
          </w:tcPr>
          <w:p w14:paraId="1DF5318E" w14:textId="77777777" w:rsidR="009864DB" w:rsidRPr="004D46AC" w:rsidRDefault="009864DB" w:rsidP="009864DB">
            <w:pPr>
              <w:spacing w:line="240" w:lineRule="auto"/>
              <w:ind w:firstLine="0"/>
            </w:pPr>
            <w:r w:rsidRPr="004D46AC">
              <w:t>1</w:t>
            </w:r>
          </w:p>
        </w:tc>
        <w:tc>
          <w:tcPr>
            <w:tcW w:w="1150" w:type="dxa"/>
          </w:tcPr>
          <w:p w14:paraId="627AD1A7" w14:textId="77777777" w:rsidR="009864DB" w:rsidRPr="004D46AC" w:rsidRDefault="009864DB" w:rsidP="009864DB">
            <w:pPr>
              <w:spacing w:line="240" w:lineRule="auto"/>
              <w:ind w:firstLine="0"/>
            </w:pPr>
            <w:r w:rsidRPr="004D46AC">
              <w:t>0</w:t>
            </w:r>
          </w:p>
        </w:tc>
        <w:tc>
          <w:tcPr>
            <w:tcW w:w="1756" w:type="dxa"/>
            <w:vAlign w:val="center"/>
          </w:tcPr>
          <w:p w14:paraId="1CC9E5F0" w14:textId="77777777" w:rsidR="009864DB" w:rsidRPr="004D46AC" w:rsidRDefault="009864DB" w:rsidP="009864DB">
            <w:pPr>
              <w:spacing w:line="240" w:lineRule="auto"/>
              <w:ind w:firstLine="0"/>
            </w:pPr>
            <w:r w:rsidRPr="004D46AC">
              <w:t>paranoia</w:t>
            </w:r>
          </w:p>
        </w:tc>
        <w:tc>
          <w:tcPr>
            <w:tcW w:w="1152" w:type="dxa"/>
            <w:vAlign w:val="center"/>
          </w:tcPr>
          <w:p w14:paraId="0886DBBE" w14:textId="77777777" w:rsidR="009864DB" w:rsidRPr="004D46AC" w:rsidRDefault="009864DB" w:rsidP="009864DB">
            <w:pPr>
              <w:spacing w:line="240" w:lineRule="auto"/>
              <w:ind w:firstLine="0"/>
            </w:pPr>
            <w:r w:rsidRPr="004D46AC">
              <w:t>46</w:t>
            </w:r>
          </w:p>
        </w:tc>
      </w:tr>
      <w:tr w:rsidR="009864DB" w:rsidRPr="004D46AC" w14:paraId="553209EE" w14:textId="77777777" w:rsidTr="00B518F1">
        <w:trPr>
          <w:trHeight w:val="254"/>
        </w:trPr>
        <w:tc>
          <w:tcPr>
            <w:tcW w:w="1440" w:type="dxa"/>
          </w:tcPr>
          <w:p w14:paraId="3BFFF13E" w14:textId="77777777" w:rsidR="009864DB" w:rsidRPr="004D46AC" w:rsidRDefault="009864DB" w:rsidP="009864DB">
            <w:pPr>
              <w:spacing w:line="240" w:lineRule="auto"/>
              <w:ind w:firstLine="0"/>
            </w:pPr>
            <w:r w:rsidRPr="004D46AC">
              <w:fldChar w:fldCharType="begin">
                <w:fldData xml:space="preserve">PEVuZE5vdGU+PENpdGUgQXV0aG9yWWVhcj0iMSI+PEF1dGhvcj5Cb3JhPC9BdXRob3I+PFllYXI+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</w:fldData>
              </w:fldChar>
            </w:r>
            <w:r w:rsidRPr="004D46AC">
              <w:instrText xml:space="preserve"> ADDIN EN.CITE </w:instrText>
            </w:r>
            <w:r w:rsidRPr="004D46AC">
              <w:fldChar w:fldCharType="begin">
                <w:fldData xml:space="preserve">PEVuZE5vdGU+PENpdGUgQXV0aG9yWWVhcj0iMSI+PEF1dGhvcj5Cb3JhPC9BdXRob3I+PFllYXI+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</w:fldData>
              </w:fldChar>
            </w:r>
            <w:r w:rsidRPr="004D46AC">
              <w:instrText xml:space="preserve"> ADDIN EN.CITE.DATA </w:instrText>
            </w:r>
            <w:r w:rsidRPr="004D46AC">
              <w:fldChar w:fldCharType="end"/>
            </w:r>
            <w:r w:rsidRPr="004D46AC">
              <w:fldChar w:fldCharType="separate"/>
            </w:r>
            <w:r w:rsidRPr="004D46AC">
              <w:t>Bora et al. (2007)</w:t>
            </w:r>
            <w:r w:rsidRPr="004D46AC">
              <w:fldChar w:fldCharType="end"/>
            </w:r>
          </w:p>
        </w:tc>
        <w:tc>
          <w:tcPr>
            <w:tcW w:w="1189" w:type="dxa"/>
            <w:vAlign w:val="center"/>
          </w:tcPr>
          <w:p w14:paraId="64D6A61F" w14:textId="77777777" w:rsidR="009864DB" w:rsidRPr="004D46AC" w:rsidRDefault="009864DB" w:rsidP="009864DB">
            <w:pPr>
              <w:spacing w:line="240" w:lineRule="auto"/>
              <w:ind w:firstLine="0"/>
            </w:pPr>
            <w:r w:rsidRPr="004D46AC">
              <w:t>5</w:t>
            </w:r>
          </w:p>
        </w:tc>
        <w:tc>
          <w:tcPr>
            <w:tcW w:w="1186" w:type="dxa"/>
            <w:vAlign w:val="center"/>
          </w:tcPr>
          <w:p w14:paraId="19AFE1DC" w14:textId="77777777" w:rsidR="009864DB" w:rsidRPr="004D46AC" w:rsidRDefault="009864DB" w:rsidP="009864DB">
            <w:pPr>
              <w:spacing w:line="240" w:lineRule="auto"/>
              <w:ind w:firstLine="0"/>
            </w:pPr>
            <w:r w:rsidRPr="004D46AC">
              <w:t>37.97</w:t>
            </w:r>
          </w:p>
        </w:tc>
        <w:tc>
          <w:tcPr>
            <w:tcW w:w="1235" w:type="dxa"/>
            <w:vAlign w:val="center"/>
          </w:tcPr>
          <w:p w14:paraId="0B786C4C" w14:textId="77777777" w:rsidR="009864DB" w:rsidRPr="004D46AC" w:rsidRDefault="009864DB" w:rsidP="009864DB">
            <w:pPr>
              <w:spacing w:line="240" w:lineRule="auto"/>
              <w:ind w:firstLine="0"/>
            </w:pPr>
            <w:r w:rsidRPr="004D46AC">
              <w:t>DSM4</w:t>
            </w:r>
          </w:p>
        </w:tc>
        <w:tc>
          <w:tcPr>
            <w:tcW w:w="1524" w:type="dxa"/>
            <w:vAlign w:val="center"/>
          </w:tcPr>
          <w:p w14:paraId="25DF5C01" w14:textId="77777777" w:rsidR="009864DB" w:rsidRPr="004D46AC" w:rsidRDefault="009864DB" w:rsidP="009864DB">
            <w:pPr>
              <w:spacing w:line="240" w:lineRule="auto"/>
              <w:ind w:firstLine="0"/>
            </w:pPr>
            <w:r w:rsidRPr="004D46AC">
              <w:t>SCID</w:t>
            </w:r>
          </w:p>
        </w:tc>
        <w:tc>
          <w:tcPr>
            <w:tcW w:w="1177" w:type="dxa"/>
            <w:vAlign w:val="center"/>
          </w:tcPr>
          <w:p w14:paraId="04D95547" w14:textId="77777777" w:rsidR="009864DB" w:rsidRPr="004D46AC" w:rsidRDefault="009864DB" w:rsidP="009864DB">
            <w:pPr>
              <w:spacing w:line="240" w:lineRule="auto"/>
              <w:ind w:firstLine="0"/>
            </w:pPr>
            <w:r w:rsidRPr="004D46AC">
              <w:t>65</w:t>
            </w:r>
          </w:p>
        </w:tc>
        <w:tc>
          <w:tcPr>
            <w:tcW w:w="1210" w:type="dxa"/>
            <w:vAlign w:val="center"/>
          </w:tcPr>
          <w:p w14:paraId="20A94023" w14:textId="77777777" w:rsidR="009864DB" w:rsidRPr="004D46AC" w:rsidRDefault="009864DB" w:rsidP="009864DB">
            <w:pPr>
              <w:spacing w:line="240" w:lineRule="auto"/>
              <w:ind w:firstLine="0"/>
            </w:pPr>
            <w:r w:rsidRPr="004D46AC">
              <w:t>unclear</w:t>
            </w:r>
          </w:p>
        </w:tc>
        <w:tc>
          <w:tcPr>
            <w:tcW w:w="1155" w:type="dxa"/>
            <w:vAlign w:val="center"/>
          </w:tcPr>
          <w:p w14:paraId="180E5329" w14:textId="77777777" w:rsidR="009864DB" w:rsidRPr="004D46AC" w:rsidRDefault="009864DB" w:rsidP="009864DB">
            <w:pPr>
              <w:spacing w:line="240" w:lineRule="auto"/>
              <w:ind w:firstLine="0"/>
            </w:pPr>
            <w:r w:rsidRPr="004D46AC">
              <w:t>2</w:t>
            </w:r>
          </w:p>
        </w:tc>
        <w:tc>
          <w:tcPr>
            <w:tcW w:w="1150" w:type="dxa"/>
          </w:tcPr>
          <w:p w14:paraId="78991A91" w14:textId="77777777" w:rsidR="009864DB" w:rsidRPr="004D46AC" w:rsidRDefault="009864DB" w:rsidP="009864DB">
            <w:pPr>
              <w:spacing w:line="240" w:lineRule="auto"/>
              <w:ind w:firstLine="0"/>
            </w:pPr>
            <w:r w:rsidRPr="004D46AC">
              <w:t>0</w:t>
            </w:r>
          </w:p>
        </w:tc>
        <w:tc>
          <w:tcPr>
            <w:tcW w:w="1756" w:type="dxa"/>
            <w:vAlign w:val="center"/>
          </w:tcPr>
          <w:p w14:paraId="249D223E" w14:textId="77777777" w:rsidR="009864DB" w:rsidRPr="004D46AC" w:rsidRDefault="009864DB" w:rsidP="009864DB">
            <w:pPr>
              <w:spacing w:line="240" w:lineRule="auto"/>
              <w:ind w:firstLine="0"/>
            </w:pPr>
            <w:r w:rsidRPr="004D46AC">
              <w:t>any</w:t>
            </w:r>
          </w:p>
        </w:tc>
        <w:tc>
          <w:tcPr>
            <w:tcW w:w="1152" w:type="dxa"/>
            <w:vAlign w:val="center"/>
          </w:tcPr>
          <w:p w14:paraId="3B3757DA" w14:textId="77777777" w:rsidR="009864DB" w:rsidRPr="004D46AC" w:rsidRDefault="009864DB" w:rsidP="009864DB">
            <w:pPr>
              <w:spacing w:line="240" w:lineRule="auto"/>
              <w:ind w:firstLine="0"/>
            </w:pPr>
            <w:r w:rsidRPr="004D46AC">
              <w:t>40</w:t>
            </w:r>
          </w:p>
        </w:tc>
      </w:tr>
      <w:tr w:rsidR="009864DB" w:rsidRPr="004D46AC" w14:paraId="2317746E" w14:textId="77777777" w:rsidTr="00B518F1">
        <w:trPr>
          <w:trHeight w:val="254"/>
        </w:trPr>
        <w:tc>
          <w:tcPr>
            <w:tcW w:w="1440" w:type="dxa"/>
          </w:tcPr>
          <w:p w14:paraId="7BB3D117"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AuthorYear="1"&gt;&lt;Author&gt;Winokur&lt;/Author&gt;&lt;Year&gt;1985&lt;/Year&gt;&lt;RecNum&gt;303&lt;/RecNum&gt;&lt;DisplayText&gt;Winokur et al. (1985)&lt;/DisplayText&gt;&lt;record&gt;&lt;rec-number&gt;303&lt;/rec-number&gt;&lt;foreign-keys&gt;&lt;key app="EN" db-id="aet009sstawa0hewvt3xwf5atffdw2dt02sw" timestamp="1666493636"&gt;303&lt;/key&gt;&lt;/foreign-keys&gt;&lt;ref-type name="Journal Article"&gt;17&lt;/ref-type&gt;&lt;contributors&gt;&lt;authors&gt;&lt;author&gt;Winokur, G.&lt;/author&gt;&lt;author&gt;Scharfetter, C.&lt;/author&gt;&lt;author&gt;Angst, J.&lt;/author&gt;&lt;/authors&gt;&lt;/contributors&gt;&lt;titles&gt;&lt;title&gt;The diagnostic value in assessing mood congruence in delusions and hallucinations and their relationship to the affective state&lt;/title&gt;&lt;secondary-title&gt;Eur Arch Psychiatry Neurol Sci&lt;/secondary-title&gt;&lt;/titles&gt;&lt;periodical&gt;&lt;full-title&gt;Eur Arch Psychiatry Neurol Sci&lt;/full-title&gt;&lt;/periodical&gt;&lt;pages&gt;299-302&lt;/pages&gt;&lt;volume&gt;234&lt;/volume&gt;&lt;number&gt;5&lt;/number&gt;&lt;keywords&gt;&lt;keyword&gt;Adult&lt;/keyword&gt;&lt;keyword&gt;Bipolar Disorder/*diagnosis/psychology&lt;/keyword&gt;&lt;keyword&gt;Delusions/*diagnosis/psychology&lt;/keyword&gt;&lt;keyword&gt;Depressive Disorder/*diagnosis/psychology&lt;/keyword&gt;&lt;keyword&gt;Diagnosis, Differential&lt;/keyword&gt;&lt;keyword&gt;Female&lt;/keyword&gt;&lt;keyword&gt;Hallucinations/*diagnosis/psychology&lt;/keyword&gt;&lt;keyword&gt;Humans&lt;/keyword&gt;&lt;keyword&gt;Male&lt;/keyword&gt;&lt;keyword&gt;Middle Aged&lt;/keyword&gt;&lt;keyword&gt;Psychotic Disorders/*diagnosis/psychology&lt;/keyword&gt;&lt;keyword&gt;Schizophrenia/*diagnosis&lt;/keyword&gt;&lt;keyword&gt;Schizophrenic Psychology&lt;/keyword&gt;&lt;/keywords&gt;&lt;dates&gt;&lt;year&gt;1985&lt;/year&gt;&lt;/dates&gt;&lt;isbn&gt;0175-758X (Print)&amp;#xD;0175-758X (Linking)&lt;/isbn&gt;&lt;accession-num&gt;3987738&lt;/accession-num&gt;&lt;urls&gt;&lt;related-urls&gt;&lt;url&gt;https://www.ncbi.nlm.nih.gov/pubmed/3987738&lt;/url&gt;&lt;/related-urls&gt;&lt;/urls&gt;&lt;electronic-resource-num&gt;10.1007/BF00381040&lt;/electronic-resource-num&gt;&lt;remote-database-name&gt;Medline&lt;/remote-database-name&gt;&lt;remote-database-provider&gt;NLM&lt;/remote-database-provider&gt;&lt;language&gt;eng&lt;/language&gt;&lt;/record&gt;&lt;/Cite&gt;&lt;/EndNote&gt;</w:instrText>
            </w:r>
            <w:r w:rsidRPr="004D46AC">
              <w:fldChar w:fldCharType="separate"/>
            </w:r>
            <w:r w:rsidRPr="004D46AC">
              <w:t>Winokur et al. (1985)</w:t>
            </w:r>
            <w:r w:rsidRPr="004D46AC">
              <w:fldChar w:fldCharType="end"/>
            </w:r>
          </w:p>
        </w:tc>
        <w:tc>
          <w:tcPr>
            <w:tcW w:w="1189" w:type="dxa"/>
            <w:vAlign w:val="center"/>
          </w:tcPr>
          <w:p w14:paraId="3C695332" w14:textId="77777777" w:rsidR="009864DB" w:rsidRPr="004D46AC" w:rsidRDefault="009864DB" w:rsidP="009864DB">
            <w:pPr>
              <w:spacing w:line="240" w:lineRule="auto"/>
              <w:ind w:firstLine="0"/>
            </w:pPr>
            <w:r w:rsidRPr="004D46AC">
              <w:t>5</w:t>
            </w:r>
          </w:p>
        </w:tc>
        <w:tc>
          <w:tcPr>
            <w:tcW w:w="1186" w:type="dxa"/>
            <w:vAlign w:val="center"/>
          </w:tcPr>
          <w:p w14:paraId="2FA9781C" w14:textId="77777777" w:rsidR="009864DB" w:rsidRPr="004D46AC" w:rsidRDefault="009864DB" w:rsidP="009864DB">
            <w:pPr>
              <w:spacing w:line="240" w:lineRule="auto"/>
              <w:ind w:firstLine="0"/>
            </w:pPr>
            <w:r w:rsidRPr="004D46AC">
              <w:t>NA</w:t>
            </w:r>
          </w:p>
        </w:tc>
        <w:tc>
          <w:tcPr>
            <w:tcW w:w="1235" w:type="dxa"/>
            <w:vAlign w:val="center"/>
          </w:tcPr>
          <w:p w14:paraId="1371A6F0" w14:textId="77777777" w:rsidR="009864DB" w:rsidRPr="004D46AC" w:rsidRDefault="009864DB" w:rsidP="009864DB">
            <w:pPr>
              <w:spacing w:line="240" w:lineRule="auto"/>
              <w:ind w:firstLine="0"/>
            </w:pPr>
            <w:r w:rsidRPr="004D46AC">
              <w:t>ICD8</w:t>
            </w:r>
          </w:p>
        </w:tc>
        <w:tc>
          <w:tcPr>
            <w:tcW w:w="1524" w:type="dxa"/>
            <w:vAlign w:val="center"/>
          </w:tcPr>
          <w:p w14:paraId="0A1DF3B9" w14:textId="77777777" w:rsidR="009864DB" w:rsidRPr="004D46AC" w:rsidRDefault="009864DB" w:rsidP="009864DB">
            <w:pPr>
              <w:spacing w:line="240" w:lineRule="auto"/>
              <w:ind w:firstLine="0"/>
            </w:pPr>
            <w:r w:rsidRPr="004D46AC">
              <w:t>mixed</w:t>
            </w:r>
          </w:p>
        </w:tc>
        <w:tc>
          <w:tcPr>
            <w:tcW w:w="1177" w:type="dxa"/>
            <w:vAlign w:val="center"/>
          </w:tcPr>
          <w:p w14:paraId="3A1BABF7" w14:textId="77777777" w:rsidR="009864DB" w:rsidRPr="004D46AC" w:rsidRDefault="009864DB" w:rsidP="009864DB">
            <w:pPr>
              <w:spacing w:line="240" w:lineRule="auto"/>
              <w:ind w:firstLine="0"/>
            </w:pPr>
            <w:r w:rsidRPr="004D46AC">
              <w:t>30</w:t>
            </w:r>
          </w:p>
        </w:tc>
        <w:tc>
          <w:tcPr>
            <w:tcW w:w="1210" w:type="dxa"/>
            <w:vAlign w:val="center"/>
          </w:tcPr>
          <w:p w14:paraId="52A0FF91" w14:textId="77777777" w:rsidR="009864DB" w:rsidRPr="004D46AC" w:rsidRDefault="009864DB" w:rsidP="009864DB">
            <w:pPr>
              <w:spacing w:line="240" w:lineRule="auto"/>
              <w:ind w:firstLine="0"/>
            </w:pPr>
            <w:r w:rsidRPr="004D46AC">
              <w:t>unclear</w:t>
            </w:r>
          </w:p>
        </w:tc>
        <w:tc>
          <w:tcPr>
            <w:tcW w:w="1155" w:type="dxa"/>
            <w:vAlign w:val="center"/>
          </w:tcPr>
          <w:p w14:paraId="0579398B" w14:textId="77777777" w:rsidR="009864DB" w:rsidRPr="004D46AC" w:rsidRDefault="009864DB" w:rsidP="009864DB">
            <w:pPr>
              <w:spacing w:line="240" w:lineRule="auto"/>
              <w:ind w:firstLine="0"/>
            </w:pPr>
            <w:r w:rsidRPr="004D46AC">
              <w:t>1</w:t>
            </w:r>
          </w:p>
        </w:tc>
        <w:tc>
          <w:tcPr>
            <w:tcW w:w="1150" w:type="dxa"/>
          </w:tcPr>
          <w:p w14:paraId="16A13123" w14:textId="77777777" w:rsidR="009864DB" w:rsidRPr="004D46AC" w:rsidRDefault="009864DB" w:rsidP="009864DB">
            <w:pPr>
              <w:spacing w:line="240" w:lineRule="auto"/>
              <w:ind w:firstLine="0"/>
            </w:pPr>
            <w:r w:rsidRPr="004D46AC">
              <w:t>0</w:t>
            </w:r>
          </w:p>
        </w:tc>
        <w:tc>
          <w:tcPr>
            <w:tcW w:w="1756" w:type="dxa"/>
            <w:vAlign w:val="center"/>
          </w:tcPr>
          <w:p w14:paraId="40E6C290" w14:textId="77777777" w:rsidR="009864DB" w:rsidRPr="004D46AC" w:rsidRDefault="009864DB" w:rsidP="009864DB">
            <w:pPr>
              <w:spacing w:line="240" w:lineRule="auto"/>
              <w:ind w:firstLine="0"/>
            </w:pPr>
            <w:r w:rsidRPr="004D46AC">
              <w:t>any</w:t>
            </w:r>
          </w:p>
        </w:tc>
        <w:tc>
          <w:tcPr>
            <w:tcW w:w="1152" w:type="dxa"/>
            <w:vAlign w:val="center"/>
          </w:tcPr>
          <w:p w14:paraId="6FC2E6A6" w14:textId="77777777" w:rsidR="009864DB" w:rsidRPr="004D46AC" w:rsidRDefault="009864DB" w:rsidP="009864DB">
            <w:pPr>
              <w:spacing w:line="240" w:lineRule="auto"/>
              <w:ind w:firstLine="0"/>
            </w:pPr>
            <w:r w:rsidRPr="004D46AC">
              <w:t>13</w:t>
            </w:r>
          </w:p>
        </w:tc>
      </w:tr>
      <w:tr w:rsidR="009864DB" w:rsidRPr="004D46AC" w14:paraId="39341175" w14:textId="77777777" w:rsidTr="00B518F1">
        <w:trPr>
          <w:trHeight w:val="254"/>
        </w:trPr>
        <w:tc>
          <w:tcPr>
            <w:tcW w:w="1440" w:type="dxa"/>
          </w:tcPr>
          <w:p w14:paraId="55DA58D5"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AuthorYear="1"&gt;&lt;Author&gt;Conus&lt;/Author&gt;&lt;Year&gt;2004&lt;/Year&gt;&lt;RecNum&gt;304&lt;/RecNum&gt;&lt;DisplayText&gt;Conus et al. (2004)&lt;/DisplayText&gt;&lt;record&gt;&lt;rec-number&gt;304&lt;/rec-number&gt;&lt;foreign-keys&gt;&lt;key app="EN" db-id="aet009sstawa0hewvt3xwf5atffdw2dt02sw" timestamp="1666496187"&gt;304&lt;/key&gt;&lt;/foreign-keys&gt;&lt;ref-type name="Journal Article"&gt;17&lt;/ref-type&gt;&lt;contributors&gt;&lt;authors&gt;&lt;author&gt;Conus, P.&lt;/author&gt;&lt;author&gt;Abdel-Baki, A.&lt;/author&gt;&lt;author&gt;Harrigan, S.&lt;/author&gt;&lt;author&gt;Lambert, M.&lt;/author&gt;&lt;author&gt;McGorry, P. D.&lt;/author&gt;&lt;/authors&gt;&lt;/contributors&gt;&lt;auth-address&gt;ORYGEN Research Centre, Parkville, Victoria, Australia. philippe.conus@hospvd.ch&lt;/auth-address&gt;&lt;titles&gt;&lt;title&gt;Schneiderian first rank symptoms predict poor outcome within first episode manic psychosis&lt;/title&gt;&lt;secondary-title&gt;J Affect Disord&lt;/secondary-title&gt;&lt;/titles&gt;&lt;periodical&gt;&lt;full-title&gt;J Affect Disord&lt;/full-title&gt;&lt;/periodical&gt;&lt;pages&gt;259-68&lt;/pages&gt;&lt;volume&gt;81&lt;/volume&gt;&lt;number&gt;3&lt;/number&gt;&lt;keywords&gt;&lt;keyword&gt;Adult&lt;/keyword&gt;&lt;keyword&gt;Diagnostic and Statistical Manual of Mental Disorders&lt;/keyword&gt;&lt;keyword&gt;Female&lt;/keyword&gt;&lt;keyword&gt;Humans&lt;/keyword&gt;&lt;keyword&gt;Male&lt;/keyword&gt;&lt;keyword&gt;Predictive Value of Tests&lt;/keyword&gt;&lt;keyword&gt;Prognosis&lt;/keyword&gt;&lt;keyword&gt;Prospective Studies&lt;/keyword&gt;&lt;keyword&gt;*Psychiatric Status Rating Scales&lt;/keyword&gt;&lt;keyword&gt;Psychotic Disorders/*psychology/therapy&lt;/keyword&gt;&lt;keyword&gt;Treatment Outcome&lt;/keyword&gt;&lt;/keywords&gt;&lt;dates&gt;&lt;year&gt;2004&lt;/year&gt;&lt;pub-dates&gt;&lt;date&gt;Sep&lt;/date&gt;&lt;/pub-dates&gt;&lt;/dates&gt;&lt;isbn&gt;0165-0327 (Print)&amp;#xD;0165-0327 (Linking)&lt;/isbn&gt;&lt;accession-num&gt;15337330&lt;/accession-num&gt;&lt;urls&gt;&lt;related-urls&gt;&lt;url&gt;https://www.ncbi.nlm.nih.gov/pubmed/15337330&lt;/url&gt;&lt;/related-urls&gt;&lt;/urls&gt;&lt;electronic-resource-num&gt;10.1016/j.jad.2003.09.003&lt;/electronic-resource-num&gt;&lt;remote-database-name&gt;Medline&lt;/remote-database-name&gt;&lt;remote-database-provider&gt;NLM&lt;/remote-database-provider&gt;&lt;/record&gt;&lt;/Cite&gt;&lt;/EndNote&gt;</w:instrText>
            </w:r>
            <w:r w:rsidRPr="004D46AC">
              <w:fldChar w:fldCharType="separate"/>
            </w:r>
            <w:r w:rsidRPr="004D46AC">
              <w:t>Conus et al. (2004)</w:t>
            </w:r>
            <w:r w:rsidRPr="004D46AC">
              <w:fldChar w:fldCharType="end"/>
            </w:r>
          </w:p>
        </w:tc>
        <w:tc>
          <w:tcPr>
            <w:tcW w:w="1189" w:type="dxa"/>
            <w:vAlign w:val="center"/>
          </w:tcPr>
          <w:p w14:paraId="348EB80D" w14:textId="77777777" w:rsidR="009864DB" w:rsidRPr="004D46AC" w:rsidRDefault="009864DB" w:rsidP="009864DB">
            <w:pPr>
              <w:spacing w:line="240" w:lineRule="auto"/>
              <w:ind w:firstLine="0"/>
            </w:pPr>
            <w:r w:rsidRPr="004D46AC">
              <w:t>4</w:t>
            </w:r>
          </w:p>
        </w:tc>
        <w:tc>
          <w:tcPr>
            <w:tcW w:w="1186" w:type="dxa"/>
            <w:vAlign w:val="center"/>
          </w:tcPr>
          <w:p w14:paraId="623787F0" w14:textId="77777777" w:rsidR="009864DB" w:rsidRPr="004D46AC" w:rsidRDefault="009864DB" w:rsidP="009864DB">
            <w:pPr>
              <w:spacing w:line="240" w:lineRule="auto"/>
              <w:ind w:firstLine="0"/>
            </w:pPr>
            <w:r w:rsidRPr="004D46AC">
              <w:t>22.2</w:t>
            </w:r>
          </w:p>
        </w:tc>
        <w:tc>
          <w:tcPr>
            <w:tcW w:w="1235" w:type="dxa"/>
            <w:vAlign w:val="center"/>
          </w:tcPr>
          <w:p w14:paraId="0766EB64" w14:textId="77777777" w:rsidR="009864DB" w:rsidRPr="004D46AC" w:rsidRDefault="009864DB" w:rsidP="009864DB">
            <w:pPr>
              <w:spacing w:line="240" w:lineRule="auto"/>
              <w:ind w:firstLine="0"/>
            </w:pPr>
            <w:r w:rsidRPr="004D46AC">
              <w:t>DSM3R</w:t>
            </w:r>
          </w:p>
        </w:tc>
        <w:tc>
          <w:tcPr>
            <w:tcW w:w="1524" w:type="dxa"/>
            <w:vAlign w:val="center"/>
          </w:tcPr>
          <w:p w14:paraId="12610FB5" w14:textId="77777777" w:rsidR="009864DB" w:rsidRPr="004D46AC" w:rsidRDefault="009864DB" w:rsidP="009864DB">
            <w:pPr>
              <w:spacing w:line="240" w:lineRule="auto"/>
              <w:ind w:firstLine="0"/>
            </w:pPr>
            <w:r w:rsidRPr="004D46AC">
              <w:t>BPRS</w:t>
            </w:r>
          </w:p>
        </w:tc>
        <w:tc>
          <w:tcPr>
            <w:tcW w:w="1177" w:type="dxa"/>
            <w:vAlign w:val="center"/>
          </w:tcPr>
          <w:p w14:paraId="30A444F5" w14:textId="77777777" w:rsidR="009864DB" w:rsidRPr="004D46AC" w:rsidRDefault="009864DB" w:rsidP="009864DB">
            <w:pPr>
              <w:spacing w:line="240" w:lineRule="auto"/>
              <w:ind w:firstLine="0"/>
            </w:pPr>
            <w:r w:rsidRPr="004D46AC">
              <w:t>87</w:t>
            </w:r>
          </w:p>
        </w:tc>
        <w:tc>
          <w:tcPr>
            <w:tcW w:w="1210" w:type="dxa"/>
            <w:vAlign w:val="center"/>
          </w:tcPr>
          <w:p w14:paraId="28F6394E" w14:textId="77777777" w:rsidR="009864DB" w:rsidRPr="004D46AC" w:rsidRDefault="009864DB" w:rsidP="009864DB">
            <w:pPr>
              <w:spacing w:line="240" w:lineRule="auto"/>
              <w:ind w:firstLine="0"/>
            </w:pPr>
            <w:r w:rsidRPr="004D46AC">
              <w:t>unclear</w:t>
            </w:r>
          </w:p>
        </w:tc>
        <w:tc>
          <w:tcPr>
            <w:tcW w:w="1155" w:type="dxa"/>
            <w:vAlign w:val="center"/>
          </w:tcPr>
          <w:p w14:paraId="0901380F" w14:textId="77777777" w:rsidR="009864DB" w:rsidRPr="004D46AC" w:rsidRDefault="009864DB" w:rsidP="009864DB">
            <w:pPr>
              <w:spacing w:line="240" w:lineRule="auto"/>
              <w:ind w:firstLine="0"/>
            </w:pPr>
            <w:r w:rsidRPr="004D46AC">
              <w:t>3</w:t>
            </w:r>
          </w:p>
        </w:tc>
        <w:tc>
          <w:tcPr>
            <w:tcW w:w="1150" w:type="dxa"/>
          </w:tcPr>
          <w:p w14:paraId="0ED05F4F" w14:textId="77777777" w:rsidR="009864DB" w:rsidRPr="004D46AC" w:rsidRDefault="009864DB" w:rsidP="009864DB">
            <w:pPr>
              <w:spacing w:line="240" w:lineRule="auto"/>
              <w:ind w:firstLine="0"/>
            </w:pPr>
            <w:r w:rsidRPr="004D46AC">
              <w:t>0</w:t>
            </w:r>
          </w:p>
        </w:tc>
        <w:tc>
          <w:tcPr>
            <w:tcW w:w="1756" w:type="dxa"/>
            <w:vAlign w:val="center"/>
          </w:tcPr>
          <w:p w14:paraId="6AE51497" w14:textId="77777777" w:rsidR="009864DB" w:rsidRPr="004D46AC" w:rsidRDefault="009864DB" w:rsidP="009864DB">
            <w:pPr>
              <w:spacing w:line="240" w:lineRule="auto"/>
              <w:ind w:firstLine="0"/>
            </w:pPr>
            <w:r w:rsidRPr="004D46AC">
              <w:t>grandiosity</w:t>
            </w:r>
          </w:p>
        </w:tc>
        <w:tc>
          <w:tcPr>
            <w:tcW w:w="1152" w:type="dxa"/>
            <w:vAlign w:val="center"/>
          </w:tcPr>
          <w:p w14:paraId="7153DC37" w14:textId="77777777" w:rsidR="009864DB" w:rsidRPr="004D46AC" w:rsidRDefault="009864DB" w:rsidP="009864DB">
            <w:pPr>
              <w:spacing w:line="240" w:lineRule="auto"/>
              <w:ind w:firstLine="0"/>
            </w:pPr>
            <w:r w:rsidRPr="004D46AC">
              <w:t>77</w:t>
            </w:r>
          </w:p>
        </w:tc>
      </w:tr>
      <w:tr w:rsidR="009864DB" w:rsidRPr="004D46AC" w14:paraId="2C32FD8F" w14:textId="77777777" w:rsidTr="00B518F1">
        <w:trPr>
          <w:trHeight w:val="254"/>
        </w:trPr>
        <w:tc>
          <w:tcPr>
            <w:tcW w:w="1440" w:type="dxa"/>
          </w:tcPr>
          <w:p w14:paraId="1D8E8980"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AuthorYear="1"&gt;&lt;Author&gt;Toni&lt;/Author&gt;&lt;Year&gt;2001&lt;/Year&gt;&lt;RecNum&gt;305&lt;/RecNum&gt;&lt;DisplayText&gt;Toni et al. (2001)&lt;/DisplayText&gt;&lt;record&gt;&lt;rec-number&gt;305&lt;/rec-number&gt;&lt;foreign-keys&gt;&lt;key app="EN" db-id="aet009sstawa0hewvt3xwf5atffdw2dt02sw" timestamp="1666500572"&gt;305&lt;/key&gt;&lt;/foreign-keys&gt;&lt;ref-type name="Journal Article"&gt;17&lt;/ref-type&gt;&lt;contributors&gt;&lt;authors&gt;&lt;author&gt;Toni, C.&lt;/author&gt;&lt;author&gt;Perugi, G.&lt;/author&gt;&lt;author&gt;Mata, B.&lt;/author&gt;&lt;author&gt;Madaro, D.&lt;/author&gt;&lt;author&gt;Maremmani, I.&lt;/author&gt;&lt;author&gt;Akiskal, H. S.&lt;/author&gt;&lt;/authors&gt;&lt;/contributors&gt;&lt;auth-address&gt;Department of Psychiatry, University of Pisa, Via Roma 67, 56100, Pisa, Italy.&lt;/auth-address&gt;&lt;titles&gt;&lt;title&gt;Is mood-incongruent manic psychosis a distinct subtype?&lt;/title&gt;&lt;secondary-title&gt;Eur Arch Psychiatry Clin Neurosci&lt;/secondary-title&gt;&lt;/titles&gt;&lt;periodical&gt;&lt;full-title&gt;Eur Arch Psychiatry Clin Neurosci&lt;/full-title&gt;&lt;/periodical&gt;&lt;pages&gt;12-7&lt;/pages&gt;&lt;volume&gt;251&lt;/volume&gt;&lt;number&gt;1&lt;/number&gt;&lt;keywords&gt;&lt;keyword&gt;Adolescent&lt;/keyword&gt;&lt;keyword&gt;Adult&lt;/keyword&gt;&lt;keyword&gt;Aged&lt;/keyword&gt;&lt;keyword&gt;Bipolar Disorder/classification/*diagnosis/psychology&lt;/keyword&gt;&lt;keyword&gt;Diagnosis, Differential&lt;/keyword&gt;&lt;keyword&gt;Female&lt;/keyword&gt;&lt;keyword&gt;Humans&lt;/keyword&gt;&lt;keyword&gt;Male&lt;/keyword&gt;&lt;keyword&gt;Middle Aged&lt;/keyword&gt;&lt;keyword&gt;Psychiatric Status Rating Scales&lt;/keyword&gt;&lt;keyword&gt;Psychotic Disorders/classification/*diagnosis/psychology&lt;/keyword&gt;&lt;/keywords&gt;&lt;dates&gt;&lt;year&gt;2001&lt;/year&gt;&lt;/dates&gt;&lt;isbn&gt;0940-1334 (Print)&amp;#xD;0940-1334 (Linking)&lt;/isbn&gt;&lt;accession-num&gt;11315512&lt;/accession-num&gt;&lt;urls&gt;&lt;related-urls&gt;&lt;url&gt;https://www.ncbi.nlm.nih.gov/pubmed/11315512&lt;/url&gt;&lt;/related-urls&gt;&lt;/urls&gt;&lt;electronic-resource-num&gt;10.1007/s004060170061&lt;/electronic-resource-num&gt;&lt;remote-database-name&gt;Medline&lt;/remote-database-name&gt;&lt;remote-database-provider&gt;NLM&lt;/remote-database-provider&gt;&lt;language&gt;eng&lt;/language&gt;&lt;/record&gt;&lt;/Cite&gt;&lt;/EndNote&gt;</w:instrText>
            </w:r>
            <w:r w:rsidRPr="004D46AC">
              <w:fldChar w:fldCharType="separate"/>
            </w:r>
            <w:r w:rsidRPr="004D46AC">
              <w:t>Toni et al. (2001)</w:t>
            </w:r>
            <w:r w:rsidRPr="004D46AC">
              <w:fldChar w:fldCharType="end"/>
            </w:r>
          </w:p>
        </w:tc>
        <w:tc>
          <w:tcPr>
            <w:tcW w:w="1189" w:type="dxa"/>
            <w:vAlign w:val="center"/>
          </w:tcPr>
          <w:p w14:paraId="003DBEBB" w14:textId="77777777" w:rsidR="009864DB" w:rsidRPr="004D46AC" w:rsidRDefault="009864DB" w:rsidP="009864DB">
            <w:pPr>
              <w:spacing w:line="240" w:lineRule="auto"/>
              <w:ind w:firstLine="0"/>
            </w:pPr>
            <w:r w:rsidRPr="004D46AC">
              <w:t>7</w:t>
            </w:r>
          </w:p>
        </w:tc>
        <w:tc>
          <w:tcPr>
            <w:tcW w:w="1186" w:type="dxa"/>
            <w:vAlign w:val="center"/>
          </w:tcPr>
          <w:p w14:paraId="5BCACD7F" w14:textId="77777777" w:rsidR="009864DB" w:rsidRPr="004D46AC" w:rsidRDefault="009864DB" w:rsidP="009864DB">
            <w:pPr>
              <w:spacing w:line="240" w:lineRule="auto"/>
              <w:ind w:firstLine="0"/>
            </w:pPr>
            <w:r w:rsidRPr="004D46AC">
              <w:t>37.9</w:t>
            </w:r>
          </w:p>
        </w:tc>
        <w:tc>
          <w:tcPr>
            <w:tcW w:w="1235" w:type="dxa"/>
            <w:vAlign w:val="center"/>
          </w:tcPr>
          <w:p w14:paraId="0E3A5882" w14:textId="77777777" w:rsidR="009864DB" w:rsidRPr="004D46AC" w:rsidRDefault="009864DB" w:rsidP="009864DB">
            <w:pPr>
              <w:spacing w:line="240" w:lineRule="auto"/>
              <w:ind w:firstLine="0"/>
            </w:pPr>
            <w:r w:rsidRPr="004D46AC">
              <w:t>DSM3R</w:t>
            </w:r>
          </w:p>
        </w:tc>
        <w:tc>
          <w:tcPr>
            <w:tcW w:w="1524" w:type="dxa"/>
            <w:vAlign w:val="center"/>
          </w:tcPr>
          <w:p w14:paraId="6F622D25" w14:textId="77777777" w:rsidR="009864DB" w:rsidRPr="004D46AC" w:rsidRDefault="009864DB" w:rsidP="009864DB">
            <w:pPr>
              <w:spacing w:line="240" w:lineRule="auto"/>
              <w:ind w:firstLine="0"/>
            </w:pPr>
            <w:r w:rsidRPr="004D46AC">
              <w:t>SAPS</w:t>
            </w:r>
          </w:p>
        </w:tc>
        <w:tc>
          <w:tcPr>
            <w:tcW w:w="1177" w:type="dxa"/>
            <w:vAlign w:val="center"/>
          </w:tcPr>
          <w:p w14:paraId="246ACDF1" w14:textId="77777777" w:rsidR="009864DB" w:rsidRPr="004D46AC" w:rsidRDefault="009864DB" w:rsidP="009864DB">
            <w:pPr>
              <w:spacing w:line="240" w:lineRule="auto"/>
              <w:ind w:firstLine="0"/>
            </w:pPr>
            <w:r w:rsidRPr="004D46AC">
              <w:t>155</w:t>
            </w:r>
          </w:p>
        </w:tc>
        <w:tc>
          <w:tcPr>
            <w:tcW w:w="1210" w:type="dxa"/>
            <w:vAlign w:val="center"/>
          </w:tcPr>
          <w:p w14:paraId="306B66CD" w14:textId="77777777" w:rsidR="009864DB" w:rsidRPr="004D46AC" w:rsidRDefault="009864DB" w:rsidP="009864DB">
            <w:pPr>
              <w:spacing w:line="240" w:lineRule="auto"/>
              <w:ind w:firstLine="0"/>
            </w:pPr>
            <w:r w:rsidRPr="004D46AC">
              <w:t>3</w:t>
            </w:r>
          </w:p>
        </w:tc>
        <w:tc>
          <w:tcPr>
            <w:tcW w:w="1155" w:type="dxa"/>
            <w:vAlign w:val="center"/>
          </w:tcPr>
          <w:p w14:paraId="23538E8E" w14:textId="77777777" w:rsidR="009864DB" w:rsidRPr="004D46AC" w:rsidRDefault="009864DB" w:rsidP="009864DB">
            <w:pPr>
              <w:spacing w:line="240" w:lineRule="auto"/>
              <w:ind w:firstLine="0"/>
            </w:pPr>
            <w:r w:rsidRPr="004D46AC">
              <w:t>2</w:t>
            </w:r>
          </w:p>
        </w:tc>
        <w:tc>
          <w:tcPr>
            <w:tcW w:w="1150" w:type="dxa"/>
          </w:tcPr>
          <w:p w14:paraId="5790AD62" w14:textId="77777777" w:rsidR="009864DB" w:rsidRPr="004D46AC" w:rsidRDefault="009864DB" w:rsidP="009864DB">
            <w:pPr>
              <w:spacing w:line="240" w:lineRule="auto"/>
              <w:ind w:firstLine="0"/>
            </w:pPr>
            <w:r w:rsidRPr="004D46AC">
              <w:t>0</w:t>
            </w:r>
          </w:p>
        </w:tc>
        <w:tc>
          <w:tcPr>
            <w:tcW w:w="1756" w:type="dxa"/>
            <w:vAlign w:val="center"/>
          </w:tcPr>
          <w:p w14:paraId="64587399" w14:textId="77777777" w:rsidR="009864DB" w:rsidRPr="004D46AC" w:rsidRDefault="009864DB" w:rsidP="009864DB">
            <w:pPr>
              <w:spacing w:line="240" w:lineRule="auto"/>
              <w:ind w:firstLine="0"/>
            </w:pPr>
            <w:r w:rsidRPr="004D46AC">
              <w:t>reference</w:t>
            </w:r>
          </w:p>
        </w:tc>
        <w:tc>
          <w:tcPr>
            <w:tcW w:w="1152" w:type="dxa"/>
            <w:vAlign w:val="center"/>
          </w:tcPr>
          <w:p w14:paraId="30579D1C" w14:textId="77777777" w:rsidR="009864DB" w:rsidRPr="004D46AC" w:rsidRDefault="009864DB" w:rsidP="009864DB">
            <w:pPr>
              <w:spacing w:line="240" w:lineRule="auto"/>
              <w:ind w:firstLine="0"/>
            </w:pPr>
            <w:r w:rsidRPr="004D46AC">
              <w:t>64</w:t>
            </w:r>
          </w:p>
        </w:tc>
      </w:tr>
      <w:tr w:rsidR="009864DB" w:rsidRPr="004D46AC" w14:paraId="4A81922A" w14:textId="77777777" w:rsidTr="00B518F1">
        <w:trPr>
          <w:trHeight w:val="262"/>
        </w:trPr>
        <w:tc>
          <w:tcPr>
            <w:tcW w:w="1440" w:type="dxa"/>
          </w:tcPr>
          <w:p w14:paraId="3B362E3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AuthorYear="1"&gt;&lt;Author&gt;Brockington&lt;/Author&gt;&lt;Year&gt;1982&lt;/Year&gt;&lt;RecNum&gt;306&lt;/RecNum&gt;&lt;DisplayText&gt;Brockington et al. (1982)&lt;/DisplayText&gt;&lt;record&gt;&lt;rec-number&gt;306&lt;/rec-number&gt;&lt;foreign-keys&gt;&lt;key app="EN" db-id="aet009sstawa0hewvt3xwf5atffdw2dt02sw" timestamp="1666501748"&gt;306&lt;/key&gt;&lt;/foreign-keys&gt;&lt;ref-type name="Journal Article"&gt;17&lt;/ref-type&gt;&lt;contributors&gt;&lt;authors&gt;&lt;author&gt;Brockington, I. F.&lt;/author&gt;&lt;author&gt;Altman, E.&lt;/author&gt;&lt;author&gt;Hillier, V.&lt;/author&gt;&lt;author&gt;Meltzer, H. Y.&lt;/author&gt;&lt;author&gt;Nand, S.&lt;/author&gt;&lt;/authors&gt;&lt;/contributors&gt;&lt;titles&gt;&lt;title&gt;The clinical picture of bipolar affective disorder in its depressed phase. A report from London and Chicago&lt;/title&gt;&lt;secondary-title&gt;Br J Psychiatry&lt;/secondary-title&gt;&lt;/titles&gt;&lt;periodical&gt;&lt;full-title&gt;Br J Psychiatry&lt;/full-title&gt;&lt;/periodical&gt;&lt;pages&gt;558-62&lt;/pages&gt;&lt;volume&gt;141&lt;/volume&gt;&lt;keywords&gt;&lt;keyword&gt;Bipolar Disorder/diagnosis/*psychology&lt;/keyword&gt;&lt;keyword&gt;Chicago&lt;/keyword&gt;&lt;keyword&gt;Depressive Disorder/diagnosis/psychology&lt;/keyword&gt;&lt;keyword&gt;Diagnosis, Differential&lt;/keyword&gt;&lt;keyword&gt;Humans&lt;/keyword&gt;&lt;keyword&gt;Interview, Psychological&lt;/keyword&gt;&lt;keyword&gt;London&lt;/keyword&gt;&lt;keyword&gt;Thinking&lt;/keyword&gt;&lt;/keywords&gt;&lt;dates&gt;&lt;year&gt;1982&lt;/year&gt;&lt;pub-dates&gt;&lt;date&gt;Dec&lt;/date&gt;&lt;/pub-dates&gt;&lt;/dates&gt;&lt;isbn&gt;0007-1250 (Print)&amp;#xD;0007-1250 (Linking)&lt;/isbn&gt;&lt;accession-num&gt;7159802&lt;/accession-num&gt;&lt;urls&gt;&lt;related-urls&gt;&lt;url&gt;https://www.ncbi.nlm.nih.gov/pubmed/7159802&lt;/url&gt;&lt;/related-urls&gt;&lt;/urls&gt;&lt;electronic-resource-num&gt;10.1192/bjp.141.6.558&lt;/electronic-resource-num&gt;&lt;remote-database-name&gt;Medline&lt;/remote-database-name&gt;&lt;remote-database-provider&gt;NLM&lt;/remote-database-provider&gt;&lt;language&gt;eng&lt;/language&gt;&lt;/record&gt;&lt;/Cite&gt;&lt;/EndNote&gt;</w:instrText>
            </w:r>
            <w:r w:rsidRPr="004D46AC">
              <w:fldChar w:fldCharType="separate"/>
            </w:r>
            <w:r w:rsidRPr="004D46AC">
              <w:t>Brockington et al. (1982)</w:t>
            </w:r>
            <w:r w:rsidRPr="004D46AC">
              <w:fldChar w:fldCharType="end"/>
            </w:r>
            <w:r w:rsidRPr="004D46AC">
              <w:t xml:space="preserve"> </w:t>
            </w:r>
          </w:p>
        </w:tc>
        <w:tc>
          <w:tcPr>
            <w:tcW w:w="1189" w:type="dxa"/>
            <w:vAlign w:val="center"/>
          </w:tcPr>
          <w:p w14:paraId="2898CB74" w14:textId="77777777" w:rsidR="009864DB" w:rsidRPr="004D46AC" w:rsidRDefault="009864DB" w:rsidP="009864DB">
            <w:pPr>
              <w:spacing w:line="240" w:lineRule="auto"/>
              <w:ind w:firstLine="0"/>
            </w:pPr>
            <w:r w:rsidRPr="004D46AC">
              <w:t>4</w:t>
            </w:r>
          </w:p>
        </w:tc>
        <w:tc>
          <w:tcPr>
            <w:tcW w:w="1186" w:type="dxa"/>
            <w:vAlign w:val="center"/>
          </w:tcPr>
          <w:p w14:paraId="08C1ED32" w14:textId="77777777" w:rsidR="009864DB" w:rsidRPr="004D46AC" w:rsidRDefault="009864DB" w:rsidP="009864DB">
            <w:pPr>
              <w:spacing w:line="240" w:lineRule="auto"/>
              <w:ind w:firstLine="0"/>
            </w:pPr>
            <w:r w:rsidRPr="004D46AC">
              <w:t>NA</w:t>
            </w:r>
          </w:p>
        </w:tc>
        <w:tc>
          <w:tcPr>
            <w:tcW w:w="1235" w:type="dxa"/>
            <w:vAlign w:val="center"/>
          </w:tcPr>
          <w:p w14:paraId="12B558A8" w14:textId="77777777" w:rsidR="009864DB" w:rsidRPr="004D46AC" w:rsidRDefault="009864DB" w:rsidP="009864DB">
            <w:pPr>
              <w:spacing w:line="240" w:lineRule="auto"/>
              <w:ind w:firstLine="0"/>
            </w:pPr>
            <w:r w:rsidRPr="004D46AC">
              <w:t>RDC</w:t>
            </w:r>
          </w:p>
        </w:tc>
        <w:tc>
          <w:tcPr>
            <w:tcW w:w="1524" w:type="dxa"/>
            <w:vAlign w:val="center"/>
          </w:tcPr>
          <w:p w14:paraId="5216CF11" w14:textId="77777777" w:rsidR="009864DB" w:rsidRPr="004D46AC" w:rsidRDefault="009864DB" w:rsidP="009864DB">
            <w:pPr>
              <w:spacing w:line="240" w:lineRule="auto"/>
              <w:ind w:firstLine="0"/>
            </w:pPr>
            <w:r w:rsidRPr="004D46AC">
              <w:t>PSE</w:t>
            </w:r>
          </w:p>
        </w:tc>
        <w:tc>
          <w:tcPr>
            <w:tcW w:w="1177" w:type="dxa"/>
            <w:vAlign w:val="center"/>
          </w:tcPr>
          <w:p w14:paraId="50129531" w14:textId="77777777" w:rsidR="009864DB" w:rsidRPr="004D46AC" w:rsidRDefault="009864DB" w:rsidP="009864DB">
            <w:pPr>
              <w:spacing w:line="240" w:lineRule="auto"/>
              <w:ind w:firstLine="0"/>
            </w:pPr>
            <w:r w:rsidRPr="004D46AC">
              <w:t>32</w:t>
            </w:r>
          </w:p>
        </w:tc>
        <w:tc>
          <w:tcPr>
            <w:tcW w:w="1210" w:type="dxa"/>
            <w:vAlign w:val="center"/>
          </w:tcPr>
          <w:p w14:paraId="73F266B8" w14:textId="77777777" w:rsidR="009864DB" w:rsidRPr="004D46AC" w:rsidRDefault="009864DB" w:rsidP="009864DB">
            <w:pPr>
              <w:spacing w:line="240" w:lineRule="auto"/>
              <w:ind w:firstLine="0"/>
            </w:pPr>
            <w:r w:rsidRPr="004D46AC">
              <w:t>unclear</w:t>
            </w:r>
          </w:p>
        </w:tc>
        <w:tc>
          <w:tcPr>
            <w:tcW w:w="1155" w:type="dxa"/>
            <w:vAlign w:val="center"/>
          </w:tcPr>
          <w:p w14:paraId="355B8C97" w14:textId="77777777" w:rsidR="009864DB" w:rsidRPr="004D46AC" w:rsidRDefault="009864DB" w:rsidP="009864DB">
            <w:pPr>
              <w:spacing w:line="240" w:lineRule="auto"/>
              <w:ind w:firstLine="0"/>
            </w:pPr>
            <w:r w:rsidRPr="004D46AC">
              <w:t>1</w:t>
            </w:r>
          </w:p>
        </w:tc>
        <w:tc>
          <w:tcPr>
            <w:tcW w:w="1150" w:type="dxa"/>
          </w:tcPr>
          <w:p w14:paraId="142D5E7D" w14:textId="77777777" w:rsidR="009864DB" w:rsidRPr="004D46AC" w:rsidRDefault="009864DB" w:rsidP="009864DB">
            <w:pPr>
              <w:spacing w:line="240" w:lineRule="auto"/>
              <w:ind w:firstLine="0"/>
            </w:pPr>
            <w:r w:rsidRPr="004D46AC">
              <w:t>0</w:t>
            </w:r>
          </w:p>
        </w:tc>
        <w:tc>
          <w:tcPr>
            <w:tcW w:w="1756" w:type="dxa"/>
            <w:vAlign w:val="center"/>
          </w:tcPr>
          <w:p w14:paraId="2B8EAEE3" w14:textId="77777777" w:rsidR="009864DB" w:rsidRPr="004D46AC" w:rsidRDefault="009864DB" w:rsidP="009864DB">
            <w:pPr>
              <w:spacing w:line="240" w:lineRule="auto"/>
              <w:ind w:firstLine="0"/>
            </w:pPr>
            <w:r w:rsidRPr="004D46AC">
              <w:t>reference</w:t>
            </w:r>
          </w:p>
        </w:tc>
        <w:tc>
          <w:tcPr>
            <w:tcW w:w="1152" w:type="dxa"/>
            <w:vAlign w:val="center"/>
          </w:tcPr>
          <w:p w14:paraId="1BD80D43" w14:textId="77777777" w:rsidR="009864DB" w:rsidRPr="004D46AC" w:rsidRDefault="009864DB" w:rsidP="009864DB">
            <w:pPr>
              <w:spacing w:line="240" w:lineRule="auto"/>
              <w:ind w:firstLine="0"/>
            </w:pPr>
            <w:r w:rsidRPr="004D46AC">
              <w:t>5</w:t>
            </w:r>
          </w:p>
        </w:tc>
      </w:tr>
      <w:tr w:rsidR="009864DB" w:rsidRPr="004D46AC" w14:paraId="30876CBD" w14:textId="77777777" w:rsidTr="00B518F1">
        <w:trPr>
          <w:trHeight w:val="254"/>
        </w:trPr>
        <w:tc>
          <w:tcPr>
            <w:tcW w:w="1440" w:type="dxa"/>
          </w:tcPr>
          <w:p w14:paraId="67D13264" w14:textId="77777777" w:rsidR="009864DB" w:rsidRPr="004D46AC" w:rsidRDefault="009864DB" w:rsidP="009864DB">
            <w:pPr>
              <w:spacing w:line="240" w:lineRule="auto"/>
              <w:ind w:firstLine="0"/>
            </w:pPr>
            <w:r w:rsidRPr="004D46AC">
              <w:fldChar w:fldCharType="begin">
                <w:fldData xml:space="preserve">PEVuZE5vdGU+PENpdGUgQXV0aG9yWWVhcj0iMSI+PEF1dGhvcj5HYXVkaWFubzwvQXV0aG9yPjxZ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 </w:instrText>
            </w:r>
            <w:r w:rsidRPr="004D46AC">
              <w:fldChar w:fldCharType="begin">
                <w:fldData xml:space="preserve">PEVuZE5vdGU+PENpdGUgQXV0aG9yWWVhcj0iMSI+PEF1dGhvcj5HYXVkaWFubzwvQXV0aG9yPjxZ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instrText xml:space="preserve"> ADDIN EN.CITE.DATA </w:instrText>
            </w:r>
            <w:r w:rsidRPr="004D46AC">
              <w:fldChar w:fldCharType="end"/>
            </w:r>
            <w:r w:rsidRPr="004D46AC">
              <w:fldChar w:fldCharType="separate"/>
            </w:r>
            <w:r w:rsidRPr="004D46AC">
              <w:t>Gaudiano et al. (2007)</w:t>
            </w:r>
            <w:r w:rsidRPr="004D46AC">
              <w:fldChar w:fldCharType="end"/>
            </w:r>
          </w:p>
        </w:tc>
        <w:tc>
          <w:tcPr>
            <w:tcW w:w="1189" w:type="dxa"/>
            <w:vAlign w:val="center"/>
          </w:tcPr>
          <w:p w14:paraId="5F871E10" w14:textId="77777777" w:rsidR="009864DB" w:rsidRPr="004D46AC" w:rsidRDefault="009864DB" w:rsidP="009864DB">
            <w:pPr>
              <w:spacing w:line="240" w:lineRule="auto"/>
              <w:ind w:firstLine="0"/>
            </w:pPr>
            <w:r w:rsidRPr="004D46AC">
              <w:t>6</w:t>
            </w:r>
          </w:p>
        </w:tc>
        <w:tc>
          <w:tcPr>
            <w:tcW w:w="1186" w:type="dxa"/>
            <w:vAlign w:val="center"/>
          </w:tcPr>
          <w:p w14:paraId="5D992FB1" w14:textId="77777777" w:rsidR="009864DB" w:rsidRPr="004D46AC" w:rsidRDefault="009864DB" w:rsidP="009864DB">
            <w:pPr>
              <w:spacing w:line="240" w:lineRule="auto"/>
              <w:ind w:firstLine="0"/>
            </w:pPr>
            <w:r w:rsidRPr="004D46AC">
              <w:t>39</w:t>
            </w:r>
          </w:p>
        </w:tc>
        <w:tc>
          <w:tcPr>
            <w:tcW w:w="1235" w:type="dxa"/>
            <w:vAlign w:val="center"/>
          </w:tcPr>
          <w:p w14:paraId="58C77802" w14:textId="77777777" w:rsidR="009864DB" w:rsidRPr="004D46AC" w:rsidRDefault="009864DB" w:rsidP="009864DB">
            <w:pPr>
              <w:spacing w:line="240" w:lineRule="auto"/>
              <w:ind w:firstLine="0"/>
            </w:pPr>
            <w:r w:rsidRPr="004D46AC">
              <w:t>DSM</w:t>
            </w:r>
          </w:p>
        </w:tc>
        <w:tc>
          <w:tcPr>
            <w:tcW w:w="1524" w:type="dxa"/>
            <w:vAlign w:val="center"/>
          </w:tcPr>
          <w:p w14:paraId="7753D557" w14:textId="77777777" w:rsidR="009864DB" w:rsidRPr="004D46AC" w:rsidRDefault="009864DB" w:rsidP="009864DB">
            <w:pPr>
              <w:spacing w:line="240" w:lineRule="auto"/>
              <w:ind w:firstLine="0"/>
            </w:pPr>
            <w:r w:rsidRPr="004D46AC">
              <w:t>SCID</w:t>
            </w:r>
          </w:p>
        </w:tc>
        <w:tc>
          <w:tcPr>
            <w:tcW w:w="1177" w:type="dxa"/>
            <w:vAlign w:val="center"/>
          </w:tcPr>
          <w:p w14:paraId="662C6B08" w14:textId="77777777" w:rsidR="009864DB" w:rsidRPr="004D46AC" w:rsidRDefault="009864DB" w:rsidP="009864DB">
            <w:pPr>
              <w:spacing w:line="240" w:lineRule="auto"/>
              <w:ind w:firstLine="0"/>
            </w:pPr>
            <w:r w:rsidRPr="004D46AC">
              <w:t>74</w:t>
            </w:r>
          </w:p>
        </w:tc>
        <w:tc>
          <w:tcPr>
            <w:tcW w:w="1210" w:type="dxa"/>
            <w:vAlign w:val="center"/>
          </w:tcPr>
          <w:p w14:paraId="5112F8A2" w14:textId="77777777" w:rsidR="009864DB" w:rsidRPr="004D46AC" w:rsidRDefault="009864DB" w:rsidP="009864DB">
            <w:pPr>
              <w:spacing w:line="240" w:lineRule="auto"/>
              <w:ind w:firstLine="0"/>
            </w:pPr>
            <w:r w:rsidRPr="004D46AC">
              <w:t>3</w:t>
            </w:r>
          </w:p>
        </w:tc>
        <w:tc>
          <w:tcPr>
            <w:tcW w:w="1155" w:type="dxa"/>
            <w:vAlign w:val="center"/>
          </w:tcPr>
          <w:p w14:paraId="5FD939D0" w14:textId="77777777" w:rsidR="009864DB" w:rsidRPr="004D46AC" w:rsidRDefault="009864DB" w:rsidP="009864DB">
            <w:pPr>
              <w:spacing w:line="240" w:lineRule="auto"/>
              <w:ind w:firstLine="0"/>
            </w:pPr>
            <w:r w:rsidRPr="004D46AC">
              <w:t>2</w:t>
            </w:r>
          </w:p>
        </w:tc>
        <w:tc>
          <w:tcPr>
            <w:tcW w:w="1150" w:type="dxa"/>
          </w:tcPr>
          <w:p w14:paraId="2B8BCE09" w14:textId="77777777" w:rsidR="009864DB" w:rsidRPr="004D46AC" w:rsidRDefault="009864DB" w:rsidP="009864DB">
            <w:pPr>
              <w:spacing w:line="240" w:lineRule="auto"/>
              <w:ind w:firstLine="0"/>
            </w:pPr>
            <w:r w:rsidRPr="004D46AC">
              <w:t>0</w:t>
            </w:r>
          </w:p>
        </w:tc>
        <w:tc>
          <w:tcPr>
            <w:tcW w:w="1756" w:type="dxa"/>
            <w:vAlign w:val="center"/>
          </w:tcPr>
          <w:p w14:paraId="2D6BF135" w14:textId="77777777" w:rsidR="009864DB" w:rsidRPr="004D46AC" w:rsidRDefault="009864DB" w:rsidP="009864DB">
            <w:pPr>
              <w:spacing w:line="240" w:lineRule="auto"/>
              <w:ind w:firstLine="0"/>
            </w:pPr>
            <w:r w:rsidRPr="004D46AC">
              <w:t>grandiosity</w:t>
            </w:r>
          </w:p>
        </w:tc>
        <w:tc>
          <w:tcPr>
            <w:tcW w:w="1152" w:type="dxa"/>
            <w:vAlign w:val="center"/>
          </w:tcPr>
          <w:p w14:paraId="2111521A" w14:textId="77777777" w:rsidR="009864DB" w:rsidRPr="004D46AC" w:rsidRDefault="009864DB" w:rsidP="009864DB">
            <w:pPr>
              <w:spacing w:line="240" w:lineRule="auto"/>
              <w:ind w:firstLine="0"/>
            </w:pPr>
            <w:r w:rsidRPr="004D46AC">
              <w:t>40</w:t>
            </w:r>
          </w:p>
        </w:tc>
      </w:tr>
      <w:tr w:rsidR="009864DB" w:rsidRPr="004D46AC" w14:paraId="2DDAF3F5" w14:textId="77777777" w:rsidTr="00B518F1">
        <w:trPr>
          <w:trHeight w:val="254"/>
        </w:trPr>
        <w:tc>
          <w:tcPr>
            <w:tcW w:w="1440" w:type="dxa"/>
          </w:tcPr>
          <w:p w14:paraId="56635877" w14:textId="77777777" w:rsidR="009864DB" w:rsidRPr="004D46AC" w:rsidRDefault="009864DB" w:rsidP="009864DB">
            <w:pPr>
              <w:spacing w:line="240" w:lineRule="auto"/>
              <w:ind w:firstLine="0"/>
            </w:pPr>
            <w:r w:rsidRPr="004D46AC">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instrText xml:space="preserve"> ADDIN EN.CITE </w:instrText>
            </w:r>
            <w:r w:rsidRPr="004D46AC">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instrText xml:space="preserve"> ADDIN EN.CITE.DATA </w:instrText>
            </w:r>
            <w:r w:rsidRPr="004D46AC">
              <w:fldChar w:fldCharType="end"/>
            </w:r>
            <w:r w:rsidRPr="004D46AC">
              <w:fldChar w:fldCharType="separate"/>
            </w:r>
            <w:r w:rsidRPr="004D46AC">
              <w:t>Morgan et al. (2012)</w:t>
            </w:r>
            <w:r w:rsidRPr="004D46AC">
              <w:fldChar w:fldCharType="end"/>
            </w:r>
          </w:p>
        </w:tc>
        <w:tc>
          <w:tcPr>
            <w:tcW w:w="1189" w:type="dxa"/>
            <w:vAlign w:val="center"/>
          </w:tcPr>
          <w:p w14:paraId="3C45A3D9" w14:textId="77777777" w:rsidR="009864DB" w:rsidRPr="004D46AC" w:rsidRDefault="009864DB" w:rsidP="009864DB">
            <w:pPr>
              <w:spacing w:line="240" w:lineRule="auto"/>
              <w:ind w:firstLine="0"/>
            </w:pPr>
            <w:r w:rsidRPr="004D46AC">
              <w:t>5</w:t>
            </w:r>
          </w:p>
        </w:tc>
        <w:tc>
          <w:tcPr>
            <w:tcW w:w="1186" w:type="dxa"/>
            <w:vAlign w:val="center"/>
          </w:tcPr>
          <w:p w14:paraId="56AB94C5" w14:textId="77777777" w:rsidR="009864DB" w:rsidRPr="004D46AC" w:rsidRDefault="009864DB" w:rsidP="009864DB">
            <w:pPr>
              <w:spacing w:line="240" w:lineRule="auto"/>
              <w:ind w:firstLine="0"/>
            </w:pPr>
            <w:r w:rsidRPr="004D46AC">
              <w:t>NA</w:t>
            </w:r>
          </w:p>
        </w:tc>
        <w:tc>
          <w:tcPr>
            <w:tcW w:w="1235" w:type="dxa"/>
            <w:vAlign w:val="center"/>
          </w:tcPr>
          <w:p w14:paraId="0F773AB6" w14:textId="77777777" w:rsidR="009864DB" w:rsidRPr="004D46AC" w:rsidRDefault="009864DB" w:rsidP="009864DB">
            <w:pPr>
              <w:spacing w:line="240" w:lineRule="auto"/>
              <w:ind w:firstLine="0"/>
            </w:pPr>
            <w:r w:rsidRPr="004D46AC">
              <w:t>ICD10</w:t>
            </w:r>
          </w:p>
        </w:tc>
        <w:tc>
          <w:tcPr>
            <w:tcW w:w="1524" w:type="dxa"/>
            <w:vAlign w:val="center"/>
          </w:tcPr>
          <w:p w14:paraId="6C14163B" w14:textId="77777777" w:rsidR="009864DB" w:rsidRPr="004D46AC" w:rsidRDefault="009864DB" w:rsidP="009864DB">
            <w:pPr>
              <w:spacing w:line="240" w:lineRule="auto"/>
              <w:ind w:firstLine="0"/>
            </w:pPr>
            <w:r w:rsidRPr="004D46AC">
              <w:t>DIP</w:t>
            </w:r>
          </w:p>
        </w:tc>
        <w:tc>
          <w:tcPr>
            <w:tcW w:w="1177" w:type="dxa"/>
            <w:vAlign w:val="center"/>
          </w:tcPr>
          <w:p w14:paraId="59A5C586" w14:textId="77777777" w:rsidR="009864DB" w:rsidRPr="004D46AC" w:rsidRDefault="009864DB" w:rsidP="009864DB">
            <w:pPr>
              <w:spacing w:line="240" w:lineRule="auto"/>
              <w:ind w:firstLine="0"/>
            </w:pPr>
            <w:r w:rsidRPr="004D46AC">
              <w:t>319</w:t>
            </w:r>
          </w:p>
        </w:tc>
        <w:tc>
          <w:tcPr>
            <w:tcW w:w="1210" w:type="dxa"/>
            <w:vAlign w:val="center"/>
          </w:tcPr>
          <w:p w14:paraId="47979BB1" w14:textId="77777777" w:rsidR="009864DB" w:rsidRPr="004D46AC" w:rsidRDefault="009864DB" w:rsidP="009864DB">
            <w:pPr>
              <w:spacing w:line="240" w:lineRule="auto"/>
              <w:ind w:firstLine="0"/>
            </w:pPr>
            <w:r w:rsidRPr="004D46AC">
              <w:t>NA</w:t>
            </w:r>
          </w:p>
        </w:tc>
        <w:tc>
          <w:tcPr>
            <w:tcW w:w="1155" w:type="dxa"/>
            <w:vAlign w:val="center"/>
          </w:tcPr>
          <w:p w14:paraId="1E3CB25D" w14:textId="77777777" w:rsidR="009864DB" w:rsidRPr="004D46AC" w:rsidRDefault="009864DB" w:rsidP="009864DB">
            <w:pPr>
              <w:spacing w:line="240" w:lineRule="auto"/>
              <w:ind w:firstLine="0"/>
            </w:pPr>
            <w:r w:rsidRPr="004D46AC">
              <w:t>3</w:t>
            </w:r>
          </w:p>
        </w:tc>
        <w:tc>
          <w:tcPr>
            <w:tcW w:w="1150" w:type="dxa"/>
          </w:tcPr>
          <w:p w14:paraId="19936431" w14:textId="77777777" w:rsidR="009864DB" w:rsidRPr="004D46AC" w:rsidRDefault="009864DB" w:rsidP="009864DB">
            <w:pPr>
              <w:spacing w:line="240" w:lineRule="auto"/>
              <w:ind w:firstLine="0"/>
            </w:pPr>
            <w:r w:rsidRPr="004D46AC">
              <w:t>0</w:t>
            </w:r>
          </w:p>
        </w:tc>
        <w:tc>
          <w:tcPr>
            <w:tcW w:w="1756" w:type="dxa"/>
            <w:vAlign w:val="center"/>
          </w:tcPr>
          <w:p w14:paraId="46776D70" w14:textId="77777777" w:rsidR="009864DB" w:rsidRPr="004D46AC" w:rsidRDefault="009864DB" w:rsidP="009864DB">
            <w:pPr>
              <w:spacing w:line="240" w:lineRule="auto"/>
              <w:ind w:firstLine="0"/>
            </w:pPr>
            <w:r w:rsidRPr="004D46AC">
              <w:t>any</w:t>
            </w:r>
          </w:p>
        </w:tc>
        <w:tc>
          <w:tcPr>
            <w:tcW w:w="1152" w:type="dxa"/>
            <w:vAlign w:val="center"/>
          </w:tcPr>
          <w:p w14:paraId="6EAE4005" w14:textId="77777777" w:rsidR="009864DB" w:rsidRPr="004D46AC" w:rsidRDefault="009864DB" w:rsidP="009864DB">
            <w:pPr>
              <w:spacing w:line="240" w:lineRule="auto"/>
              <w:ind w:firstLine="0"/>
            </w:pPr>
            <w:r w:rsidRPr="004D46AC">
              <w:t>85</w:t>
            </w:r>
          </w:p>
        </w:tc>
      </w:tr>
      <w:tr w:rsidR="009864DB" w:rsidRPr="004D46AC" w14:paraId="3039CBAB" w14:textId="77777777" w:rsidTr="00B518F1">
        <w:trPr>
          <w:trHeight w:val="254"/>
        </w:trPr>
        <w:tc>
          <w:tcPr>
            <w:tcW w:w="1440" w:type="dxa"/>
          </w:tcPr>
          <w:p w14:paraId="43CDC676" w14:textId="77777777" w:rsidR="009864DB" w:rsidRPr="004D46AC" w:rsidRDefault="009864DB" w:rsidP="009864DB">
            <w:pPr>
              <w:spacing w:line="240" w:lineRule="auto"/>
              <w:ind w:firstLine="0"/>
            </w:pPr>
            <w:r w:rsidRPr="004D46AC">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instrText xml:space="preserve"> ADDIN EN.CITE </w:instrText>
            </w:r>
            <w:r w:rsidRPr="004D46AC">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instrText xml:space="preserve"> ADDIN EN.CITE.DATA </w:instrText>
            </w:r>
            <w:r w:rsidRPr="004D46AC">
              <w:fldChar w:fldCharType="end"/>
            </w:r>
            <w:r w:rsidRPr="004D46AC">
              <w:fldChar w:fldCharType="separate"/>
            </w:r>
            <w:r w:rsidRPr="004D46AC">
              <w:t>Keck et al. (2003)</w:t>
            </w:r>
            <w:r w:rsidRPr="004D46AC">
              <w:fldChar w:fldCharType="end"/>
            </w:r>
          </w:p>
        </w:tc>
        <w:tc>
          <w:tcPr>
            <w:tcW w:w="1189" w:type="dxa"/>
            <w:vAlign w:val="center"/>
          </w:tcPr>
          <w:p w14:paraId="48436925" w14:textId="77777777" w:rsidR="009864DB" w:rsidRPr="004D46AC" w:rsidRDefault="009864DB" w:rsidP="009864DB">
            <w:pPr>
              <w:spacing w:line="240" w:lineRule="auto"/>
              <w:ind w:firstLine="0"/>
            </w:pPr>
            <w:r w:rsidRPr="004D46AC">
              <w:t>7</w:t>
            </w:r>
          </w:p>
        </w:tc>
        <w:tc>
          <w:tcPr>
            <w:tcW w:w="1186" w:type="dxa"/>
            <w:vAlign w:val="center"/>
          </w:tcPr>
          <w:p w14:paraId="5D2586D5" w14:textId="77777777" w:rsidR="009864DB" w:rsidRPr="004D46AC" w:rsidRDefault="009864DB" w:rsidP="009864DB">
            <w:pPr>
              <w:spacing w:line="240" w:lineRule="auto"/>
              <w:ind w:firstLine="0"/>
            </w:pPr>
            <w:r w:rsidRPr="004D46AC">
              <w:t>41.32</w:t>
            </w:r>
          </w:p>
        </w:tc>
        <w:tc>
          <w:tcPr>
            <w:tcW w:w="1235" w:type="dxa"/>
            <w:vAlign w:val="center"/>
          </w:tcPr>
          <w:p w14:paraId="03B283C8" w14:textId="77777777" w:rsidR="009864DB" w:rsidRPr="004D46AC" w:rsidRDefault="009864DB" w:rsidP="009864DB">
            <w:pPr>
              <w:spacing w:line="240" w:lineRule="auto"/>
              <w:ind w:firstLine="0"/>
            </w:pPr>
            <w:r w:rsidRPr="004D46AC">
              <w:t>DSM4</w:t>
            </w:r>
          </w:p>
        </w:tc>
        <w:tc>
          <w:tcPr>
            <w:tcW w:w="1524" w:type="dxa"/>
            <w:vAlign w:val="center"/>
          </w:tcPr>
          <w:p w14:paraId="7276406F" w14:textId="77777777" w:rsidR="009864DB" w:rsidRPr="004D46AC" w:rsidRDefault="009864DB" w:rsidP="009864DB">
            <w:pPr>
              <w:spacing w:line="240" w:lineRule="auto"/>
              <w:ind w:firstLine="0"/>
            </w:pPr>
            <w:r w:rsidRPr="004D46AC">
              <w:t>SCID-P</w:t>
            </w:r>
          </w:p>
        </w:tc>
        <w:tc>
          <w:tcPr>
            <w:tcW w:w="1177" w:type="dxa"/>
            <w:vAlign w:val="center"/>
          </w:tcPr>
          <w:p w14:paraId="3D92C5AE" w14:textId="77777777" w:rsidR="009864DB" w:rsidRPr="004D46AC" w:rsidRDefault="009864DB" w:rsidP="009864DB">
            <w:pPr>
              <w:spacing w:line="240" w:lineRule="auto"/>
              <w:ind w:firstLine="0"/>
            </w:pPr>
            <w:r w:rsidRPr="004D46AC">
              <w:t>352</w:t>
            </w:r>
          </w:p>
        </w:tc>
        <w:tc>
          <w:tcPr>
            <w:tcW w:w="1210" w:type="dxa"/>
            <w:vAlign w:val="center"/>
          </w:tcPr>
          <w:p w14:paraId="42B678A8" w14:textId="77777777" w:rsidR="009864DB" w:rsidRPr="004D46AC" w:rsidRDefault="009864DB" w:rsidP="009864DB">
            <w:pPr>
              <w:spacing w:line="240" w:lineRule="auto"/>
              <w:ind w:firstLine="0"/>
            </w:pPr>
            <w:r w:rsidRPr="004D46AC">
              <w:t>1</w:t>
            </w:r>
          </w:p>
        </w:tc>
        <w:tc>
          <w:tcPr>
            <w:tcW w:w="1155" w:type="dxa"/>
            <w:vAlign w:val="center"/>
          </w:tcPr>
          <w:p w14:paraId="6D3F93B4" w14:textId="77777777" w:rsidR="009864DB" w:rsidRPr="004D46AC" w:rsidRDefault="009864DB" w:rsidP="009864DB">
            <w:pPr>
              <w:spacing w:line="240" w:lineRule="auto"/>
              <w:ind w:firstLine="0"/>
            </w:pPr>
            <w:r w:rsidRPr="004D46AC">
              <w:t>2</w:t>
            </w:r>
          </w:p>
        </w:tc>
        <w:tc>
          <w:tcPr>
            <w:tcW w:w="1150" w:type="dxa"/>
          </w:tcPr>
          <w:p w14:paraId="3B1255F4" w14:textId="77777777" w:rsidR="009864DB" w:rsidRPr="004D46AC" w:rsidRDefault="009864DB" w:rsidP="009864DB">
            <w:pPr>
              <w:spacing w:line="240" w:lineRule="auto"/>
              <w:ind w:firstLine="0"/>
            </w:pPr>
            <w:r w:rsidRPr="004D46AC">
              <w:t>1</w:t>
            </w:r>
          </w:p>
        </w:tc>
        <w:tc>
          <w:tcPr>
            <w:tcW w:w="1756" w:type="dxa"/>
            <w:vAlign w:val="center"/>
          </w:tcPr>
          <w:p w14:paraId="49784B54" w14:textId="77777777" w:rsidR="009864DB" w:rsidRPr="004D46AC" w:rsidRDefault="009864DB" w:rsidP="009864DB">
            <w:pPr>
              <w:spacing w:line="240" w:lineRule="auto"/>
              <w:ind w:firstLine="0"/>
            </w:pPr>
            <w:r w:rsidRPr="004D46AC">
              <w:t>reference</w:t>
            </w:r>
          </w:p>
        </w:tc>
        <w:tc>
          <w:tcPr>
            <w:tcW w:w="1152" w:type="dxa"/>
            <w:vAlign w:val="center"/>
          </w:tcPr>
          <w:p w14:paraId="26EEBF9E" w14:textId="77777777" w:rsidR="009864DB" w:rsidRPr="004D46AC" w:rsidRDefault="009864DB" w:rsidP="009864DB">
            <w:pPr>
              <w:spacing w:line="240" w:lineRule="auto"/>
              <w:ind w:firstLine="0"/>
            </w:pPr>
            <w:r w:rsidRPr="004D46AC">
              <w:t>148</w:t>
            </w:r>
          </w:p>
        </w:tc>
      </w:tr>
      <w:tr w:rsidR="009864DB" w:rsidRPr="004D46AC" w14:paraId="2AFA97C3" w14:textId="77777777" w:rsidTr="00B518F1">
        <w:trPr>
          <w:trHeight w:val="254"/>
        </w:trPr>
        <w:tc>
          <w:tcPr>
            <w:tcW w:w="1440" w:type="dxa"/>
          </w:tcPr>
          <w:p w14:paraId="34472C99" w14:textId="77777777" w:rsidR="009864DB" w:rsidRPr="004D46AC" w:rsidRDefault="009864DB" w:rsidP="009864DB">
            <w:pPr>
              <w:spacing w:line="240" w:lineRule="auto"/>
              <w:ind w:firstLine="0"/>
            </w:pPr>
            <w:r w:rsidRPr="004D46AC">
              <w:t xml:space="preserve"> </w:t>
            </w:r>
            <w:r w:rsidRPr="004D46AC">
              <w:fldChar w:fldCharType="begin">
                <w:fldData xml:space="preserve">PEVuZE5vdGU+PENpdGUgQXV0aG9yWWVhcj0iMSI+PEF1dGhvcj5DYXNzYW5vPC9BdXRob3I+PFll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==
</w:fldData>
              </w:fldChar>
            </w:r>
            <w:r w:rsidRPr="004D46AC">
              <w:instrText xml:space="preserve"> ADDIN EN.CITE </w:instrText>
            </w:r>
            <w:r w:rsidRPr="004D46AC">
              <w:fldChar w:fldCharType="begin">
                <w:fldData xml:space="preserve">PEVuZE5vdGU+PENpdGUgQXV0aG9yWWVhcj0iMSI+PEF1dGhvcj5DYXNzYW5vPC9BdXRob3I+PFll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==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Cassano et al. (2004)</w:t>
            </w:r>
            <w:r w:rsidRPr="004D46AC">
              <w:fldChar w:fldCharType="end"/>
            </w:r>
          </w:p>
        </w:tc>
        <w:tc>
          <w:tcPr>
            <w:tcW w:w="1189" w:type="dxa"/>
            <w:vAlign w:val="center"/>
          </w:tcPr>
          <w:p w14:paraId="2986BC61" w14:textId="77777777" w:rsidR="009864DB" w:rsidRPr="004D46AC" w:rsidRDefault="009864DB" w:rsidP="009864DB">
            <w:pPr>
              <w:spacing w:line="240" w:lineRule="auto"/>
              <w:ind w:firstLine="0"/>
            </w:pPr>
            <w:r w:rsidRPr="004D46AC">
              <w:t>4</w:t>
            </w:r>
          </w:p>
        </w:tc>
        <w:tc>
          <w:tcPr>
            <w:tcW w:w="1186" w:type="dxa"/>
            <w:vAlign w:val="center"/>
          </w:tcPr>
          <w:p w14:paraId="30F5A410" w14:textId="77777777" w:rsidR="009864DB" w:rsidRPr="004D46AC" w:rsidRDefault="009864DB" w:rsidP="009864DB">
            <w:pPr>
              <w:spacing w:line="240" w:lineRule="auto"/>
              <w:ind w:firstLine="0"/>
            </w:pPr>
            <w:r w:rsidRPr="004D46AC">
              <w:t>43.7</w:t>
            </w:r>
          </w:p>
        </w:tc>
        <w:tc>
          <w:tcPr>
            <w:tcW w:w="1235" w:type="dxa"/>
            <w:vAlign w:val="center"/>
          </w:tcPr>
          <w:p w14:paraId="5AA3D6F2" w14:textId="77777777" w:rsidR="009864DB" w:rsidRPr="004D46AC" w:rsidRDefault="009864DB" w:rsidP="009864DB">
            <w:pPr>
              <w:spacing w:line="240" w:lineRule="auto"/>
              <w:ind w:firstLine="0"/>
            </w:pPr>
            <w:r w:rsidRPr="004D46AC">
              <w:t>mixed</w:t>
            </w:r>
          </w:p>
        </w:tc>
        <w:tc>
          <w:tcPr>
            <w:tcW w:w="1524" w:type="dxa"/>
            <w:vAlign w:val="center"/>
          </w:tcPr>
          <w:p w14:paraId="5A79F9A6" w14:textId="77777777" w:rsidR="009864DB" w:rsidRPr="004D46AC" w:rsidRDefault="009864DB" w:rsidP="009864DB">
            <w:pPr>
              <w:spacing w:line="240" w:lineRule="auto"/>
              <w:ind w:firstLine="0"/>
            </w:pPr>
            <w:r w:rsidRPr="004D46AC">
              <w:t>MINI</w:t>
            </w:r>
          </w:p>
        </w:tc>
        <w:tc>
          <w:tcPr>
            <w:tcW w:w="1177" w:type="dxa"/>
            <w:vAlign w:val="center"/>
          </w:tcPr>
          <w:p w14:paraId="146B3930" w14:textId="77777777" w:rsidR="009864DB" w:rsidRPr="004D46AC" w:rsidRDefault="009864DB" w:rsidP="009864DB">
            <w:pPr>
              <w:spacing w:line="240" w:lineRule="auto"/>
              <w:ind w:firstLine="0"/>
            </w:pPr>
            <w:r w:rsidRPr="004D46AC">
              <w:t>106</w:t>
            </w:r>
          </w:p>
        </w:tc>
        <w:tc>
          <w:tcPr>
            <w:tcW w:w="1210" w:type="dxa"/>
            <w:vAlign w:val="center"/>
          </w:tcPr>
          <w:p w14:paraId="707D9EC8" w14:textId="77777777" w:rsidR="009864DB" w:rsidRPr="004D46AC" w:rsidRDefault="009864DB" w:rsidP="009864DB">
            <w:pPr>
              <w:spacing w:line="240" w:lineRule="auto"/>
              <w:ind w:firstLine="0"/>
            </w:pPr>
            <w:r w:rsidRPr="004D46AC">
              <w:t>2</w:t>
            </w:r>
          </w:p>
        </w:tc>
        <w:tc>
          <w:tcPr>
            <w:tcW w:w="1155" w:type="dxa"/>
            <w:vAlign w:val="center"/>
          </w:tcPr>
          <w:p w14:paraId="1E414F47" w14:textId="77777777" w:rsidR="009864DB" w:rsidRPr="004D46AC" w:rsidRDefault="009864DB" w:rsidP="009864DB">
            <w:pPr>
              <w:spacing w:line="240" w:lineRule="auto"/>
              <w:ind w:firstLine="0"/>
            </w:pPr>
            <w:r w:rsidRPr="004D46AC">
              <w:t>2</w:t>
            </w:r>
          </w:p>
        </w:tc>
        <w:tc>
          <w:tcPr>
            <w:tcW w:w="1150" w:type="dxa"/>
          </w:tcPr>
          <w:p w14:paraId="4A8B0A91" w14:textId="77777777" w:rsidR="009864DB" w:rsidRPr="004D46AC" w:rsidRDefault="009864DB" w:rsidP="009864DB">
            <w:pPr>
              <w:spacing w:line="240" w:lineRule="auto"/>
              <w:ind w:firstLine="0"/>
            </w:pPr>
            <w:r w:rsidRPr="004D46AC">
              <w:t>1</w:t>
            </w:r>
          </w:p>
        </w:tc>
        <w:tc>
          <w:tcPr>
            <w:tcW w:w="1756" w:type="dxa"/>
            <w:vAlign w:val="center"/>
          </w:tcPr>
          <w:p w14:paraId="53214A38" w14:textId="77777777" w:rsidR="009864DB" w:rsidRPr="004D46AC" w:rsidRDefault="009864DB" w:rsidP="009864DB">
            <w:pPr>
              <w:spacing w:line="240" w:lineRule="auto"/>
              <w:ind w:firstLine="0"/>
            </w:pPr>
            <w:r w:rsidRPr="004D46AC">
              <w:t>persecutory</w:t>
            </w:r>
          </w:p>
        </w:tc>
        <w:tc>
          <w:tcPr>
            <w:tcW w:w="1152" w:type="dxa"/>
            <w:vAlign w:val="center"/>
          </w:tcPr>
          <w:p w14:paraId="3F29359D" w14:textId="77777777" w:rsidR="009864DB" w:rsidRPr="004D46AC" w:rsidRDefault="009864DB" w:rsidP="009864DB">
            <w:pPr>
              <w:spacing w:line="240" w:lineRule="auto"/>
              <w:ind w:firstLine="0"/>
            </w:pPr>
            <w:r w:rsidRPr="004D46AC">
              <w:t>59</w:t>
            </w:r>
          </w:p>
        </w:tc>
      </w:tr>
      <w:tr w:rsidR="009864DB" w:rsidRPr="004D46AC" w14:paraId="762C5876" w14:textId="77777777" w:rsidTr="00B518F1">
        <w:trPr>
          <w:trHeight w:val="254"/>
        </w:trPr>
        <w:tc>
          <w:tcPr>
            <w:tcW w:w="1440" w:type="dxa"/>
          </w:tcPr>
          <w:p w14:paraId="6A9CD181"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AuthorYear="1"&gt;&lt;Author&gt;Serretti&lt;/Author&gt;&lt;Year&gt;2002&lt;/Year&gt;&lt;RecNum&gt;48&lt;/RecNum&gt;&lt;DisplayText&gt;Serretti et al. (2002)&lt;/DisplayText&gt;&lt;record&gt;&lt;rec-number&gt;48&lt;/rec-number&gt;&lt;foreign-keys&gt;&lt;key app="EN" db-id="aet009sstawa0hewvt3xwf5atffdw2dt02sw" timestamp="1665047287"&gt;48&lt;/key&gt;&lt;/foreign-keys&gt;&lt;ref-type name="Journal Article"&gt;17&lt;/ref-type&gt;&lt;contributors&gt;&lt;authors&gt;&lt;author&gt;Serretti, A.&lt;/author&gt;&lt;author&gt;Mandelli, L.&lt;/author&gt;&lt;author&gt;Lattuada, E.&lt;/author&gt;&lt;author&gt;Smeraldi, E.&lt;/author&gt;&lt;/authors&gt;&lt;/contributors&gt;&lt;auth-address&gt;Department of Psychiatry, Vita-Salute University, San Raffaele Institute, Milan, Italy.&lt;/auth-address&gt;&lt;titles&gt;&lt;title&gt;Rapid cycling mood disorder: clinical and demographic features&lt;/title&gt;&lt;secondary-title&gt;Compr Psychiatry&lt;/secondary-title&gt;&lt;/titles&gt;&lt;periodical&gt;&lt;full-title&gt;Compr Psychiatry&lt;/full-title&gt;&lt;/periodical&gt;&lt;pages&gt;336-43&lt;/pages&gt;&lt;volume&gt;43&lt;/volume&gt;&lt;number&gt;5&lt;/number&gt;&lt;keywords&gt;&lt;keyword&gt;Adult&lt;/keyword&gt;&lt;keyword&gt;Age Factors&lt;/keyword&gt;&lt;keyword&gt;Bipolar Disorder/*classification/diagnosis&lt;/keyword&gt;&lt;keyword&gt;Female&lt;/keyword&gt;&lt;keyword&gt;Humans&lt;/keyword&gt;&lt;keyword&gt;Interview, Psychological&lt;/keyword&gt;&lt;keyword&gt;Male&lt;/keyword&gt;&lt;keyword&gt;*Periodicity&lt;/keyword&gt;&lt;keyword&gt;Psychiatric Status Rating Scales&lt;/keyword&gt;&lt;keyword&gt;Retrospective Studies&lt;/keyword&gt;&lt;keyword&gt;Self Concept&lt;/keyword&gt;&lt;keyword&gt;Statistics as Topic/methods&lt;/keyword&gt;&lt;keyword&gt;Suicide, Attempted/psychology&lt;/keyword&gt;&lt;/keywords&gt;&lt;dates&gt;&lt;year&gt;2002&lt;/year&gt;&lt;pub-dates&gt;&lt;date&gt;Sep-Oct&lt;/date&gt;&lt;/pub-dates&gt;&lt;/dates&gt;&lt;isbn&gt;0010-440X (Print)&amp;#xD;0010-440X (Linking)&lt;/isbn&gt;&lt;accession-num&gt;12216008&lt;/accession-num&gt;&lt;urls&gt;&lt;related-urls&gt;&lt;url&gt;https://www.ncbi.nlm.nih.gov/pubmed/12216008&lt;/url&gt;&lt;/related-urls&gt;&lt;/urls&gt;&lt;electronic-resource-num&gt;10.1053/comp.2002.34630&lt;/electronic-resource-num&gt;&lt;remote-database-name&gt;Medline&lt;/remote-database-name&gt;&lt;remote-database-provider&gt;NLM&lt;/remote-database-provider&gt;&lt;/record&gt;&lt;/Cite&gt;&lt;/EndNote&gt;</w:instrText>
            </w:r>
            <w:r w:rsidRPr="004D46AC">
              <w:fldChar w:fldCharType="separate"/>
            </w:r>
            <w:r w:rsidRPr="004D46AC">
              <w:t>Serretti et al. (2002)</w:t>
            </w:r>
            <w:r w:rsidRPr="004D46AC">
              <w:fldChar w:fldCharType="end"/>
            </w:r>
          </w:p>
        </w:tc>
        <w:tc>
          <w:tcPr>
            <w:tcW w:w="1189" w:type="dxa"/>
            <w:vAlign w:val="center"/>
          </w:tcPr>
          <w:p w14:paraId="1D1E2E83" w14:textId="77777777" w:rsidR="009864DB" w:rsidRPr="004D46AC" w:rsidRDefault="009864DB" w:rsidP="009864DB">
            <w:pPr>
              <w:spacing w:line="240" w:lineRule="auto"/>
              <w:ind w:firstLine="0"/>
            </w:pPr>
            <w:r w:rsidRPr="004D46AC">
              <w:t>7</w:t>
            </w:r>
          </w:p>
        </w:tc>
        <w:tc>
          <w:tcPr>
            <w:tcW w:w="1186" w:type="dxa"/>
            <w:vAlign w:val="center"/>
          </w:tcPr>
          <w:p w14:paraId="29EB199A" w14:textId="77777777" w:rsidR="009864DB" w:rsidRPr="004D46AC" w:rsidRDefault="009864DB" w:rsidP="009864DB">
            <w:pPr>
              <w:spacing w:line="240" w:lineRule="auto"/>
              <w:ind w:firstLine="0"/>
            </w:pPr>
            <w:r w:rsidRPr="004D46AC">
              <w:t>44.36</w:t>
            </w:r>
          </w:p>
        </w:tc>
        <w:tc>
          <w:tcPr>
            <w:tcW w:w="1235" w:type="dxa"/>
            <w:vAlign w:val="center"/>
          </w:tcPr>
          <w:p w14:paraId="3B4203C2" w14:textId="77777777" w:rsidR="009864DB" w:rsidRPr="004D46AC" w:rsidRDefault="009864DB" w:rsidP="009864DB">
            <w:pPr>
              <w:spacing w:line="240" w:lineRule="auto"/>
              <w:ind w:firstLine="0"/>
            </w:pPr>
            <w:r w:rsidRPr="004D46AC">
              <w:t>DSM</w:t>
            </w:r>
          </w:p>
        </w:tc>
        <w:tc>
          <w:tcPr>
            <w:tcW w:w="1524" w:type="dxa"/>
            <w:vAlign w:val="center"/>
          </w:tcPr>
          <w:p w14:paraId="6E970902" w14:textId="77777777" w:rsidR="009864DB" w:rsidRPr="004D46AC" w:rsidRDefault="009864DB" w:rsidP="009864DB">
            <w:pPr>
              <w:spacing w:line="240" w:lineRule="auto"/>
              <w:ind w:firstLine="0"/>
            </w:pPr>
            <w:r w:rsidRPr="004D46AC">
              <w:t>OPCRIT</w:t>
            </w:r>
          </w:p>
        </w:tc>
        <w:tc>
          <w:tcPr>
            <w:tcW w:w="1177" w:type="dxa"/>
            <w:vAlign w:val="center"/>
          </w:tcPr>
          <w:p w14:paraId="33418245" w14:textId="77777777" w:rsidR="009864DB" w:rsidRPr="004D46AC" w:rsidRDefault="009864DB" w:rsidP="009864DB">
            <w:pPr>
              <w:spacing w:line="240" w:lineRule="auto"/>
              <w:ind w:firstLine="0"/>
            </w:pPr>
            <w:r w:rsidRPr="004D46AC">
              <w:t>576</w:t>
            </w:r>
          </w:p>
        </w:tc>
        <w:tc>
          <w:tcPr>
            <w:tcW w:w="1210" w:type="dxa"/>
            <w:vAlign w:val="center"/>
          </w:tcPr>
          <w:p w14:paraId="732F644F" w14:textId="77777777" w:rsidR="009864DB" w:rsidRPr="004D46AC" w:rsidRDefault="009864DB" w:rsidP="009864DB">
            <w:pPr>
              <w:spacing w:line="240" w:lineRule="auto"/>
              <w:ind w:firstLine="0"/>
            </w:pPr>
            <w:r w:rsidRPr="004D46AC">
              <w:t>2</w:t>
            </w:r>
          </w:p>
        </w:tc>
        <w:tc>
          <w:tcPr>
            <w:tcW w:w="1155" w:type="dxa"/>
            <w:vAlign w:val="center"/>
          </w:tcPr>
          <w:p w14:paraId="7C282355" w14:textId="77777777" w:rsidR="009864DB" w:rsidRPr="004D46AC" w:rsidRDefault="009864DB" w:rsidP="009864DB">
            <w:pPr>
              <w:spacing w:line="240" w:lineRule="auto"/>
              <w:ind w:firstLine="0"/>
            </w:pPr>
            <w:r w:rsidRPr="004D46AC">
              <w:t>1</w:t>
            </w:r>
          </w:p>
        </w:tc>
        <w:tc>
          <w:tcPr>
            <w:tcW w:w="1150" w:type="dxa"/>
          </w:tcPr>
          <w:p w14:paraId="2AE05ECE" w14:textId="77777777" w:rsidR="009864DB" w:rsidRPr="004D46AC" w:rsidRDefault="009864DB" w:rsidP="009864DB">
            <w:pPr>
              <w:spacing w:line="240" w:lineRule="auto"/>
              <w:ind w:firstLine="0"/>
            </w:pPr>
            <w:r w:rsidRPr="004D46AC">
              <w:t>1</w:t>
            </w:r>
          </w:p>
        </w:tc>
        <w:tc>
          <w:tcPr>
            <w:tcW w:w="1756" w:type="dxa"/>
            <w:vAlign w:val="center"/>
          </w:tcPr>
          <w:p w14:paraId="7CA1C01A" w14:textId="77777777" w:rsidR="009864DB" w:rsidRPr="004D46AC" w:rsidRDefault="009864DB" w:rsidP="009864DB">
            <w:pPr>
              <w:spacing w:line="240" w:lineRule="auto"/>
              <w:ind w:firstLine="0"/>
            </w:pPr>
            <w:r w:rsidRPr="004D46AC">
              <w:t>any</w:t>
            </w:r>
          </w:p>
        </w:tc>
        <w:tc>
          <w:tcPr>
            <w:tcW w:w="1152" w:type="dxa"/>
            <w:vAlign w:val="center"/>
          </w:tcPr>
          <w:p w14:paraId="64539948" w14:textId="77777777" w:rsidR="009864DB" w:rsidRPr="004D46AC" w:rsidRDefault="009864DB" w:rsidP="009864DB">
            <w:pPr>
              <w:spacing w:line="240" w:lineRule="auto"/>
              <w:ind w:firstLine="0"/>
            </w:pPr>
            <w:r w:rsidRPr="004D46AC">
              <w:t>360</w:t>
            </w:r>
          </w:p>
        </w:tc>
      </w:tr>
      <w:tr w:rsidR="009864DB" w:rsidRPr="004D46AC" w14:paraId="1827B314" w14:textId="77777777" w:rsidTr="00B518F1">
        <w:trPr>
          <w:trHeight w:val="254"/>
        </w:trPr>
        <w:tc>
          <w:tcPr>
            <w:tcW w:w="1440" w:type="dxa"/>
          </w:tcPr>
          <w:p w14:paraId="1E4AA9FE" w14:textId="77777777" w:rsidR="009864DB" w:rsidRPr="004D46AC" w:rsidRDefault="009864DB" w:rsidP="009864DB">
            <w:pPr>
              <w:spacing w:line="240" w:lineRule="auto"/>
              <w:ind w:firstLine="0"/>
            </w:pPr>
            <w:r w:rsidRPr="004D46AC">
              <w:fldChar w:fldCharType="begin">
                <w:fldData xml:space="preserve">PEVuZE5vdGU+PENpdGUgQXV0aG9yWWVhcj0iMSI+PEF1dGhvcj5CdXJ0b248L0F1dGhvcj48WWVh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 </w:instrText>
            </w:r>
            <w:r w:rsidRPr="004D46AC">
              <w:fldChar w:fldCharType="begin">
                <w:fldData xml:space="preserve">PEVuZE5vdGU+PENpdGUgQXV0aG9yWWVhcj0iMSI+PEF1dGhvcj5CdXJ0b248L0F1dGhvcj48WWVh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instrText xml:space="preserve"> ADDIN EN.CITE.DATA </w:instrText>
            </w:r>
            <w:r w:rsidRPr="004D46AC">
              <w:fldChar w:fldCharType="end"/>
            </w:r>
            <w:r w:rsidRPr="004D46AC">
              <w:fldChar w:fldCharType="separate"/>
            </w:r>
            <w:r w:rsidRPr="004D46AC">
              <w:t>Burton et al. (2018)</w:t>
            </w:r>
            <w:r w:rsidRPr="004D46AC">
              <w:fldChar w:fldCharType="end"/>
            </w:r>
          </w:p>
        </w:tc>
        <w:tc>
          <w:tcPr>
            <w:tcW w:w="1189" w:type="dxa"/>
            <w:vAlign w:val="center"/>
          </w:tcPr>
          <w:p w14:paraId="31684A51" w14:textId="77777777" w:rsidR="009864DB" w:rsidRPr="004D46AC" w:rsidRDefault="009864DB" w:rsidP="009864DB">
            <w:pPr>
              <w:spacing w:line="240" w:lineRule="auto"/>
              <w:ind w:firstLine="0"/>
            </w:pPr>
            <w:r w:rsidRPr="004D46AC">
              <w:t>6</w:t>
            </w:r>
          </w:p>
        </w:tc>
        <w:tc>
          <w:tcPr>
            <w:tcW w:w="1186" w:type="dxa"/>
            <w:vAlign w:val="center"/>
          </w:tcPr>
          <w:p w14:paraId="08F7E57D" w14:textId="77777777" w:rsidR="009864DB" w:rsidRPr="004D46AC" w:rsidRDefault="009864DB" w:rsidP="009864DB">
            <w:pPr>
              <w:spacing w:line="240" w:lineRule="auto"/>
              <w:ind w:firstLine="0"/>
            </w:pPr>
            <w:r w:rsidRPr="004D46AC">
              <w:t>40.9</w:t>
            </w:r>
          </w:p>
        </w:tc>
        <w:tc>
          <w:tcPr>
            <w:tcW w:w="1235" w:type="dxa"/>
            <w:vAlign w:val="center"/>
          </w:tcPr>
          <w:p w14:paraId="292B9AA5" w14:textId="77777777" w:rsidR="009864DB" w:rsidRPr="004D46AC" w:rsidRDefault="009864DB" w:rsidP="009864DB">
            <w:pPr>
              <w:spacing w:line="240" w:lineRule="auto"/>
              <w:ind w:firstLine="0"/>
            </w:pPr>
            <w:r w:rsidRPr="004D46AC">
              <w:t>DSM4</w:t>
            </w:r>
          </w:p>
        </w:tc>
        <w:tc>
          <w:tcPr>
            <w:tcW w:w="1524" w:type="dxa"/>
            <w:vAlign w:val="center"/>
          </w:tcPr>
          <w:p w14:paraId="08D86231" w14:textId="77777777" w:rsidR="009864DB" w:rsidRPr="004D46AC" w:rsidRDefault="009864DB" w:rsidP="009864DB">
            <w:pPr>
              <w:spacing w:line="240" w:lineRule="auto"/>
              <w:ind w:firstLine="0"/>
            </w:pPr>
            <w:r w:rsidRPr="004D46AC">
              <w:t>DIGS</w:t>
            </w:r>
          </w:p>
        </w:tc>
        <w:tc>
          <w:tcPr>
            <w:tcW w:w="1177" w:type="dxa"/>
            <w:vAlign w:val="center"/>
          </w:tcPr>
          <w:p w14:paraId="703BB8C1" w14:textId="77777777" w:rsidR="009864DB" w:rsidRPr="004D46AC" w:rsidRDefault="009864DB" w:rsidP="009864DB">
            <w:pPr>
              <w:spacing w:line="240" w:lineRule="auto"/>
              <w:ind w:firstLine="0"/>
            </w:pPr>
            <w:r w:rsidRPr="004D46AC">
              <w:t>381</w:t>
            </w:r>
          </w:p>
        </w:tc>
        <w:tc>
          <w:tcPr>
            <w:tcW w:w="1210" w:type="dxa"/>
            <w:vAlign w:val="center"/>
          </w:tcPr>
          <w:p w14:paraId="3E2BC4D7" w14:textId="77777777" w:rsidR="009864DB" w:rsidRPr="004D46AC" w:rsidRDefault="009864DB" w:rsidP="009864DB">
            <w:pPr>
              <w:spacing w:line="240" w:lineRule="auto"/>
              <w:ind w:firstLine="0"/>
            </w:pPr>
            <w:r w:rsidRPr="004D46AC">
              <w:t>unclear</w:t>
            </w:r>
          </w:p>
        </w:tc>
        <w:tc>
          <w:tcPr>
            <w:tcW w:w="1155" w:type="dxa"/>
            <w:vAlign w:val="center"/>
          </w:tcPr>
          <w:p w14:paraId="302B4858" w14:textId="77777777" w:rsidR="009864DB" w:rsidRPr="004D46AC" w:rsidRDefault="009864DB" w:rsidP="009864DB">
            <w:pPr>
              <w:spacing w:line="240" w:lineRule="auto"/>
              <w:ind w:firstLine="0"/>
            </w:pPr>
            <w:r w:rsidRPr="004D46AC">
              <w:t>1</w:t>
            </w:r>
          </w:p>
        </w:tc>
        <w:tc>
          <w:tcPr>
            <w:tcW w:w="1150" w:type="dxa"/>
          </w:tcPr>
          <w:p w14:paraId="07832274" w14:textId="77777777" w:rsidR="009864DB" w:rsidRPr="004D46AC" w:rsidRDefault="009864DB" w:rsidP="009864DB">
            <w:pPr>
              <w:spacing w:line="240" w:lineRule="auto"/>
              <w:ind w:firstLine="0"/>
            </w:pPr>
            <w:r w:rsidRPr="004D46AC">
              <w:t>1</w:t>
            </w:r>
          </w:p>
        </w:tc>
        <w:tc>
          <w:tcPr>
            <w:tcW w:w="1756" w:type="dxa"/>
            <w:vAlign w:val="center"/>
          </w:tcPr>
          <w:p w14:paraId="4CCD5E62" w14:textId="77777777" w:rsidR="009864DB" w:rsidRPr="004D46AC" w:rsidRDefault="009864DB" w:rsidP="009864DB">
            <w:pPr>
              <w:spacing w:line="240" w:lineRule="auto"/>
              <w:ind w:firstLine="0"/>
            </w:pPr>
            <w:r w:rsidRPr="004D46AC">
              <w:t>any</w:t>
            </w:r>
          </w:p>
        </w:tc>
        <w:tc>
          <w:tcPr>
            <w:tcW w:w="1152" w:type="dxa"/>
            <w:vAlign w:val="center"/>
          </w:tcPr>
          <w:p w14:paraId="7DAAAFD0" w14:textId="77777777" w:rsidR="009864DB" w:rsidRPr="004D46AC" w:rsidRDefault="009864DB" w:rsidP="009864DB">
            <w:pPr>
              <w:spacing w:line="240" w:lineRule="auto"/>
              <w:ind w:firstLine="0"/>
            </w:pPr>
            <w:r w:rsidRPr="004D46AC">
              <w:t>142</w:t>
            </w:r>
          </w:p>
        </w:tc>
      </w:tr>
      <w:tr w:rsidR="009864DB" w:rsidRPr="004D46AC" w14:paraId="4B8B976B" w14:textId="77777777" w:rsidTr="00B518F1">
        <w:trPr>
          <w:trHeight w:val="262"/>
        </w:trPr>
        <w:tc>
          <w:tcPr>
            <w:tcW w:w="1440" w:type="dxa"/>
          </w:tcPr>
          <w:p w14:paraId="460DCB20" w14:textId="77777777" w:rsidR="009864DB" w:rsidRPr="004D46AC" w:rsidRDefault="009864DB" w:rsidP="009864DB">
            <w:pPr>
              <w:spacing w:line="240" w:lineRule="auto"/>
              <w:ind w:firstLine="0"/>
            </w:pPr>
            <w:r w:rsidRPr="004D46AC">
              <w:t xml:space="preserve">  </w:t>
            </w:r>
            <w:r w:rsidRPr="004D46AC">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instrText xml:space="preserve"> ADDIN EN.CITE </w:instrText>
            </w:r>
            <w:r w:rsidRPr="004D46AC">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instrText xml:space="preserve"> ADDIN EN.CITE.DATA </w:instrText>
            </w:r>
            <w:r w:rsidRPr="004D46AC">
              <w:fldChar w:fldCharType="end"/>
            </w:r>
            <w:r w:rsidRPr="004D46AC">
              <w:fldChar w:fldCharType="separate"/>
            </w:r>
            <w:r w:rsidRPr="004D46AC">
              <w:t>Mancuso et al. (2015)</w:t>
            </w:r>
            <w:r w:rsidRPr="004D46AC">
              <w:fldChar w:fldCharType="end"/>
            </w:r>
          </w:p>
        </w:tc>
        <w:tc>
          <w:tcPr>
            <w:tcW w:w="1189" w:type="dxa"/>
            <w:vAlign w:val="center"/>
          </w:tcPr>
          <w:p w14:paraId="1A3661B2" w14:textId="77777777" w:rsidR="009864DB" w:rsidRPr="004D46AC" w:rsidRDefault="009864DB" w:rsidP="009864DB">
            <w:pPr>
              <w:spacing w:line="240" w:lineRule="auto"/>
              <w:ind w:firstLine="0"/>
            </w:pPr>
            <w:r w:rsidRPr="004D46AC">
              <w:t>7</w:t>
            </w:r>
          </w:p>
        </w:tc>
        <w:tc>
          <w:tcPr>
            <w:tcW w:w="1186" w:type="dxa"/>
            <w:vAlign w:val="center"/>
          </w:tcPr>
          <w:p w14:paraId="334E9FB0" w14:textId="77777777" w:rsidR="009864DB" w:rsidRPr="004D46AC" w:rsidRDefault="009864DB" w:rsidP="009864DB">
            <w:pPr>
              <w:spacing w:line="240" w:lineRule="auto"/>
              <w:ind w:firstLine="0"/>
            </w:pPr>
            <w:r w:rsidRPr="004D46AC">
              <w:t>40.75</w:t>
            </w:r>
          </w:p>
        </w:tc>
        <w:tc>
          <w:tcPr>
            <w:tcW w:w="1235" w:type="dxa"/>
            <w:vAlign w:val="center"/>
          </w:tcPr>
          <w:p w14:paraId="6A50FB5A" w14:textId="77777777" w:rsidR="009864DB" w:rsidRPr="004D46AC" w:rsidRDefault="009864DB" w:rsidP="009864DB">
            <w:pPr>
              <w:spacing w:line="240" w:lineRule="auto"/>
              <w:ind w:firstLine="0"/>
            </w:pPr>
            <w:r w:rsidRPr="004D46AC">
              <w:t>ICD10</w:t>
            </w:r>
          </w:p>
        </w:tc>
        <w:tc>
          <w:tcPr>
            <w:tcW w:w="1524" w:type="dxa"/>
            <w:vAlign w:val="center"/>
          </w:tcPr>
          <w:p w14:paraId="3FC7926C" w14:textId="77777777" w:rsidR="009864DB" w:rsidRPr="004D46AC" w:rsidRDefault="009864DB" w:rsidP="009864DB">
            <w:pPr>
              <w:spacing w:line="240" w:lineRule="auto"/>
              <w:ind w:firstLine="0"/>
            </w:pPr>
            <w:r w:rsidRPr="004D46AC">
              <w:t>DIP</w:t>
            </w:r>
          </w:p>
        </w:tc>
        <w:tc>
          <w:tcPr>
            <w:tcW w:w="1177" w:type="dxa"/>
            <w:vAlign w:val="center"/>
          </w:tcPr>
          <w:p w14:paraId="66491432" w14:textId="77777777" w:rsidR="009864DB" w:rsidRPr="004D46AC" w:rsidRDefault="009864DB" w:rsidP="009864DB">
            <w:pPr>
              <w:spacing w:line="240" w:lineRule="auto"/>
              <w:ind w:firstLine="0"/>
            </w:pPr>
            <w:r w:rsidRPr="004D46AC">
              <w:t>319</w:t>
            </w:r>
          </w:p>
        </w:tc>
        <w:tc>
          <w:tcPr>
            <w:tcW w:w="1210" w:type="dxa"/>
            <w:vAlign w:val="center"/>
          </w:tcPr>
          <w:p w14:paraId="1C98AFA3" w14:textId="77777777" w:rsidR="009864DB" w:rsidRPr="004D46AC" w:rsidRDefault="009864DB" w:rsidP="009864DB">
            <w:pPr>
              <w:spacing w:line="240" w:lineRule="auto"/>
              <w:ind w:firstLine="0"/>
            </w:pPr>
            <w:r w:rsidRPr="004D46AC">
              <w:t>unclear</w:t>
            </w:r>
          </w:p>
        </w:tc>
        <w:tc>
          <w:tcPr>
            <w:tcW w:w="1155" w:type="dxa"/>
            <w:vAlign w:val="center"/>
          </w:tcPr>
          <w:p w14:paraId="2896C227" w14:textId="77777777" w:rsidR="009864DB" w:rsidRPr="004D46AC" w:rsidRDefault="009864DB" w:rsidP="009864DB">
            <w:pPr>
              <w:spacing w:line="240" w:lineRule="auto"/>
              <w:ind w:firstLine="0"/>
            </w:pPr>
            <w:r w:rsidRPr="004D46AC">
              <w:t>3</w:t>
            </w:r>
          </w:p>
        </w:tc>
        <w:tc>
          <w:tcPr>
            <w:tcW w:w="1150" w:type="dxa"/>
          </w:tcPr>
          <w:p w14:paraId="3AA32603" w14:textId="77777777" w:rsidR="009864DB" w:rsidRPr="004D46AC" w:rsidRDefault="009864DB" w:rsidP="009864DB">
            <w:pPr>
              <w:spacing w:line="240" w:lineRule="auto"/>
              <w:ind w:firstLine="0"/>
            </w:pPr>
            <w:r w:rsidRPr="004D46AC">
              <w:t>1</w:t>
            </w:r>
          </w:p>
        </w:tc>
        <w:tc>
          <w:tcPr>
            <w:tcW w:w="1756" w:type="dxa"/>
            <w:vAlign w:val="center"/>
          </w:tcPr>
          <w:p w14:paraId="1FF624BF" w14:textId="77777777" w:rsidR="009864DB" w:rsidRPr="004D46AC" w:rsidRDefault="009864DB" w:rsidP="009864DB">
            <w:pPr>
              <w:spacing w:line="240" w:lineRule="auto"/>
              <w:ind w:firstLine="0"/>
            </w:pPr>
            <w:r w:rsidRPr="004D46AC">
              <w:t>any</w:t>
            </w:r>
          </w:p>
        </w:tc>
        <w:tc>
          <w:tcPr>
            <w:tcW w:w="1152" w:type="dxa"/>
            <w:vAlign w:val="center"/>
          </w:tcPr>
          <w:p w14:paraId="40EC7D31" w14:textId="77777777" w:rsidR="009864DB" w:rsidRPr="004D46AC" w:rsidRDefault="009864DB" w:rsidP="009864DB">
            <w:pPr>
              <w:spacing w:line="240" w:lineRule="auto"/>
              <w:ind w:firstLine="0"/>
            </w:pPr>
            <w:r w:rsidRPr="004D46AC">
              <w:t>318</w:t>
            </w:r>
          </w:p>
        </w:tc>
      </w:tr>
      <w:tr w:rsidR="009864DB" w:rsidRPr="004D46AC" w14:paraId="49A490D9" w14:textId="77777777" w:rsidTr="00B518F1">
        <w:trPr>
          <w:trHeight w:val="254"/>
        </w:trPr>
        <w:tc>
          <w:tcPr>
            <w:tcW w:w="1440" w:type="dxa"/>
          </w:tcPr>
          <w:p w14:paraId="453CBCD0" w14:textId="77777777" w:rsidR="009864DB" w:rsidRPr="004D46AC" w:rsidRDefault="009864DB" w:rsidP="009864DB">
            <w:pPr>
              <w:spacing w:line="240" w:lineRule="auto"/>
              <w:ind w:firstLine="0"/>
            </w:pPr>
            <w:r w:rsidRPr="004D46AC">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 </w:instrText>
            </w:r>
            <w:r w:rsidRPr="004D46AC">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instrText xml:space="preserve"> ADDIN EN.CITE.DATA </w:instrText>
            </w:r>
            <w:r w:rsidRPr="004D46AC">
              <w:fldChar w:fldCharType="end"/>
            </w:r>
            <w:r w:rsidRPr="004D46AC">
              <w:fldChar w:fldCharType="separate"/>
            </w:r>
            <w:r w:rsidRPr="004D46AC">
              <w:t>Upthegrove et al. (2015)</w:t>
            </w:r>
            <w:r w:rsidRPr="004D46AC">
              <w:fldChar w:fldCharType="end"/>
            </w:r>
          </w:p>
        </w:tc>
        <w:tc>
          <w:tcPr>
            <w:tcW w:w="1189" w:type="dxa"/>
            <w:vAlign w:val="center"/>
          </w:tcPr>
          <w:p w14:paraId="46244257" w14:textId="77777777" w:rsidR="009864DB" w:rsidRPr="004D46AC" w:rsidRDefault="009864DB" w:rsidP="009864DB">
            <w:pPr>
              <w:spacing w:line="240" w:lineRule="auto"/>
              <w:ind w:firstLine="0"/>
            </w:pPr>
            <w:r w:rsidRPr="004D46AC">
              <w:t>6</w:t>
            </w:r>
          </w:p>
        </w:tc>
        <w:tc>
          <w:tcPr>
            <w:tcW w:w="1186" w:type="dxa"/>
            <w:vAlign w:val="center"/>
          </w:tcPr>
          <w:p w14:paraId="7811E815" w14:textId="77777777" w:rsidR="009864DB" w:rsidRPr="004D46AC" w:rsidRDefault="009864DB" w:rsidP="009864DB">
            <w:pPr>
              <w:spacing w:line="240" w:lineRule="auto"/>
              <w:ind w:firstLine="0"/>
            </w:pPr>
            <w:r w:rsidRPr="004D46AC">
              <w:t>47</w:t>
            </w:r>
          </w:p>
        </w:tc>
        <w:tc>
          <w:tcPr>
            <w:tcW w:w="1235" w:type="dxa"/>
            <w:vAlign w:val="center"/>
          </w:tcPr>
          <w:p w14:paraId="62015DB8" w14:textId="77777777" w:rsidR="009864DB" w:rsidRPr="004D46AC" w:rsidRDefault="009864DB" w:rsidP="009864DB">
            <w:pPr>
              <w:spacing w:line="240" w:lineRule="auto"/>
              <w:ind w:firstLine="0"/>
            </w:pPr>
            <w:r w:rsidRPr="004D46AC">
              <w:t>DSM4</w:t>
            </w:r>
          </w:p>
        </w:tc>
        <w:tc>
          <w:tcPr>
            <w:tcW w:w="1524" w:type="dxa"/>
            <w:vAlign w:val="center"/>
          </w:tcPr>
          <w:p w14:paraId="697551DB" w14:textId="77777777" w:rsidR="009864DB" w:rsidRPr="004D46AC" w:rsidRDefault="009864DB" w:rsidP="009864DB">
            <w:pPr>
              <w:spacing w:line="240" w:lineRule="auto"/>
              <w:ind w:firstLine="0"/>
            </w:pPr>
            <w:r w:rsidRPr="004D46AC">
              <w:t>SCAN</w:t>
            </w:r>
          </w:p>
        </w:tc>
        <w:tc>
          <w:tcPr>
            <w:tcW w:w="1177" w:type="dxa"/>
            <w:vAlign w:val="center"/>
          </w:tcPr>
          <w:p w14:paraId="54D21B9E" w14:textId="77777777" w:rsidR="009864DB" w:rsidRPr="004D46AC" w:rsidRDefault="009864DB" w:rsidP="009864DB">
            <w:pPr>
              <w:spacing w:line="240" w:lineRule="auto"/>
              <w:ind w:firstLine="0"/>
            </w:pPr>
            <w:r w:rsidRPr="004D46AC">
              <w:t>2019</w:t>
            </w:r>
          </w:p>
        </w:tc>
        <w:tc>
          <w:tcPr>
            <w:tcW w:w="1210" w:type="dxa"/>
            <w:vAlign w:val="center"/>
          </w:tcPr>
          <w:p w14:paraId="1B7A6D2B" w14:textId="77777777" w:rsidR="009864DB" w:rsidRPr="004D46AC" w:rsidRDefault="009864DB" w:rsidP="009864DB">
            <w:pPr>
              <w:spacing w:line="240" w:lineRule="auto"/>
              <w:ind w:firstLine="0"/>
            </w:pPr>
            <w:r w:rsidRPr="004D46AC">
              <w:t>unclear</w:t>
            </w:r>
          </w:p>
        </w:tc>
        <w:tc>
          <w:tcPr>
            <w:tcW w:w="1155" w:type="dxa"/>
            <w:vAlign w:val="center"/>
          </w:tcPr>
          <w:p w14:paraId="42BACC42" w14:textId="77777777" w:rsidR="009864DB" w:rsidRPr="004D46AC" w:rsidRDefault="009864DB" w:rsidP="009864DB">
            <w:pPr>
              <w:spacing w:line="240" w:lineRule="auto"/>
              <w:ind w:firstLine="0"/>
            </w:pPr>
            <w:r w:rsidRPr="004D46AC">
              <w:t>2</w:t>
            </w:r>
          </w:p>
        </w:tc>
        <w:tc>
          <w:tcPr>
            <w:tcW w:w="1150" w:type="dxa"/>
          </w:tcPr>
          <w:p w14:paraId="133ADE50" w14:textId="77777777" w:rsidR="009864DB" w:rsidRPr="004D46AC" w:rsidRDefault="009864DB" w:rsidP="009864DB">
            <w:pPr>
              <w:spacing w:line="240" w:lineRule="auto"/>
              <w:ind w:firstLine="0"/>
            </w:pPr>
            <w:r w:rsidRPr="004D46AC">
              <w:t>1</w:t>
            </w:r>
          </w:p>
        </w:tc>
        <w:tc>
          <w:tcPr>
            <w:tcW w:w="1756" w:type="dxa"/>
            <w:vAlign w:val="center"/>
          </w:tcPr>
          <w:p w14:paraId="546F70D6" w14:textId="77777777" w:rsidR="009864DB" w:rsidRPr="004D46AC" w:rsidRDefault="009864DB" w:rsidP="009864DB">
            <w:pPr>
              <w:spacing w:line="240" w:lineRule="auto"/>
              <w:ind w:firstLine="0"/>
            </w:pPr>
            <w:r w:rsidRPr="004D46AC">
              <w:t>any</w:t>
            </w:r>
          </w:p>
        </w:tc>
        <w:tc>
          <w:tcPr>
            <w:tcW w:w="1152" w:type="dxa"/>
            <w:vAlign w:val="center"/>
          </w:tcPr>
          <w:p w14:paraId="5248B069" w14:textId="77777777" w:rsidR="009864DB" w:rsidRPr="004D46AC" w:rsidRDefault="009864DB" w:rsidP="009864DB">
            <w:pPr>
              <w:spacing w:line="240" w:lineRule="auto"/>
              <w:ind w:firstLine="0"/>
            </w:pPr>
            <w:r w:rsidRPr="004D46AC">
              <w:t>1308</w:t>
            </w:r>
          </w:p>
        </w:tc>
      </w:tr>
      <w:tr w:rsidR="009864DB" w:rsidRPr="004D46AC" w14:paraId="25310789" w14:textId="77777777" w:rsidTr="00B518F1">
        <w:trPr>
          <w:trHeight w:val="254"/>
        </w:trPr>
        <w:tc>
          <w:tcPr>
            <w:tcW w:w="1440" w:type="dxa"/>
          </w:tcPr>
          <w:p w14:paraId="4955B377" w14:textId="77777777" w:rsidR="009864DB" w:rsidRPr="004D46AC" w:rsidRDefault="009864DB" w:rsidP="009864DB">
            <w:pPr>
              <w:spacing w:line="240" w:lineRule="auto"/>
              <w:ind w:firstLine="0"/>
            </w:pPr>
            <w:r w:rsidRPr="004D46AC">
              <w:fldChar w:fldCharType="begin">
                <w:fldData xml:space="preserve">PEVuZE5vdGU+PENpdGUgQXV0aG9yWWVhcj0iMSI+PEF1dGhvcj5HYXJjaWEtR29uemFsZXo8L0F1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</w:fldData>
              </w:fldChar>
            </w:r>
            <w:r w:rsidRPr="004D46AC">
              <w:instrText xml:space="preserve"> ADDIN EN.CITE </w:instrText>
            </w:r>
            <w:r w:rsidRPr="004D46AC">
              <w:fldChar w:fldCharType="begin">
                <w:fldData xml:space="preserve">PEVuZE5vdGU+PENpdGUgQXV0aG9yWWVhcj0iMSI+PEF1dGhvcj5HYXJjaWEtR29uemFsZXo8L0F1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</w:fldData>
              </w:fldChar>
            </w:r>
            <w:r w:rsidRPr="004D46AC">
              <w:instrText xml:space="preserve"> ADDIN EN.CITE.DATA </w:instrText>
            </w:r>
            <w:r w:rsidRPr="004D46AC">
              <w:fldChar w:fldCharType="end"/>
            </w:r>
            <w:r w:rsidRPr="004D46AC">
              <w:fldChar w:fldCharType="separate"/>
            </w:r>
            <w:r w:rsidRPr="004D46AC">
              <w:t>Garcia-Gonzalez et al. (2020)</w:t>
            </w:r>
            <w:r w:rsidRPr="004D46AC">
              <w:fldChar w:fldCharType="end"/>
            </w:r>
          </w:p>
        </w:tc>
        <w:tc>
          <w:tcPr>
            <w:tcW w:w="1189" w:type="dxa"/>
            <w:vAlign w:val="center"/>
          </w:tcPr>
          <w:p w14:paraId="77D2C5E0" w14:textId="77777777" w:rsidR="009864DB" w:rsidRPr="004D46AC" w:rsidRDefault="009864DB" w:rsidP="009864DB">
            <w:pPr>
              <w:spacing w:line="240" w:lineRule="auto"/>
              <w:ind w:firstLine="0"/>
            </w:pPr>
            <w:r w:rsidRPr="004D46AC">
              <w:t>5</w:t>
            </w:r>
          </w:p>
        </w:tc>
        <w:tc>
          <w:tcPr>
            <w:tcW w:w="1186" w:type="dxa"/>
            <w:vAlign w:val="center"/>
          </w:tcPr>
          <w:p w14:paraId="6BFE26EC" w14:textId="77777777" w:rsidR="009864DB" w:rsidRPr="004D46AC" w:rsidRDefault="009864DB" w:rsidP="009864DB">
            <w:pPr>
              <w:spacing w:line="240" w:lineRule="auto"/>
              <w:ind w:firstLine="0"/>
            </w:pPr>
            <w:r w:rsidRPr="004D46AC">
              <w:t>55.93</w:t>
            </w:r>
          </w:p>
        </w:tc>
        <w:tc>
          <w:tcPr>
            <w:tcW w:w="1235" w:type="dxa"/>
            <w:vAlign w:val="center"/>
          </w:tcPr>
          <w:p w14:paraId="10281204" w14:textId="77777777" w:rsidR="009864DB" w:rsidRPr="004D46AC" w:rsidRDefault="009864DB" w:rsidP="009864DB">
            <w:pPr>
              <w:spacing w:line="240" w:lineRule="auto"/>
              <w:ind w:firstLine="0"/>
            </w:pPr>
            <w:r w:rsidRPr="004D46AC">
              <w:t>unclear</w:t>
            </w:r>
          </w:p>
        </w:tc>
        <w:tc>
          <w:tcPr>
            <w:tcW w:w="1524" w:type="dxa"/>
            <w:vAlign w:val="center"/>
          </w:tcPr>
          <w:p w14:paraId="6C47D4AE" w14:textId="77777777" w:rsidR="009864DB" w:rsidRPr="004D46AC" w:rsidRDefault="009864DB" w:rsidP="009864DB">
            <w:pPr>
              <w:spacing w:line="240" w:lineRule="auto"/>
              <w:ind w:firstLine="0"/>
            </w:pPr>
            <w:r w:rsidRPr="004D46AC">
              <w:t>CIDI</w:t>
            </w:r>
          </w:p>
        </w:tc>
        <w:tc>
          <w:tcPr>
            <w:tcW w:w="1177" w:type="dxa"/>
            <w:vAlign w:val="center"/>
          </w:tcPr>
          <w:p w14:paraId="1AB6FE04" w14:textId="77777777" w:rsidR="009864DB" w:rsidRPr="004D46AC" w:rsidRDefault="009864DB" w:rsidP="009864DB">
            <w:pPr>
              <w:spacing w:line="240" w:lineRule="auto"/>
              <w:ind w:firstLine="0"/>
            </w:pPr>
            <w:r w:rsidRPr="004D46AC">
              <w:t>781</w:t>
            </w:r>
          </w:p>
        </w:tc>
        <w:tc>
          <w:tcPr>
            <w:tcW w:w="1210" w:type="dxa"/>
            <w:vAlign w:val="center"/>
          </w:tcPr>
          <w:p w14:paraId="793B9B05" w14:textId="77777777" w:rsidR="009864DB" w:rsidRPr="004D46AC" w:rsidRDefault="009864DB" w:rsidP="009864DB">
            <w:pPr>
              <w:spacing w:line="240" w:lineRule="auto"/>
              <w:ind w:firstLine="0"/>
            </w:pPr>
            <w:r w:rsidRPr="004D46AC">
              <w:t>unclear</w:t>
            </w:r>
          </w:p>
        </w:tc>
        <w:tc>
          <w:tcPr>
            <w:tcW w:w="1155" w:type="dxa"/>
            <w:vAlign w:val="center"/>
          </w:tcPr>
          <w:p w14:paraId="7EB6F829" w14:textId="77777777" w:rsidR="009864DB" w:rsidRPr="004D46AC" w:rsidRDefault="009864DB" w:rsidP="009864DB">
            <w:pPr>
              <w:spacing w:line="240" w:lineRule="auto"/>
              <w:ind w:firstLine="0"/>
            </w:pPr>
            <w:r w:rsidRPr="004D46AC">
              <w:t>1</w:t>
            </w:r>
          </w:p>
        </w:tc>
        <w:tc>
          <w:tcPr>
            <w:tcW w:w="1150" w:type="dxa"/>
          </w:tcPr>
          <w:p w14:paraId="4C5B4C15" w14:textId="77777777" w:rsidR="009864DB" w:rsidRPr="004D46AC" w:rsidRDefault="009864DB" w:rsidP="009864DB">
            <w:pPr>
              <w:spacing w:line="240" w:lineRule="auto"/>
              <w:ind w:firstLine="0"/>
            </w:pPr>
            <w:r w:rsidRPr="004D46AC">
              <w:t>1</w:t>
            </w:r>
          </w:p>
        </w:tc>
        <w:tc>
          <w:tcPr>
            <w:tcW w:w="1756" w:type="dxa"/>
            <w:vAlign w:val="center"/>
          </w:tcPr>
          <w:p w14:paraId="65829FF6" w14:textId="77777777" w:rsidR="009864DB" w:rsidRPr="004D46AC" w:rsidRDefault="009864DB" w:rsidP="009864DB">
            <w:pPr>
              <w:spacing w:line="240" w:lineRule="auto"/>
              <w:ind w:firstLine="0"/>
            </w:pPr>
            <w:r w:rsidRPr="004D46AC">
              <w:t>any</w:t>
            </w:r>
          </w:p>
        </w:tc>
        <w:tc>
          <w:tcPr>
            <w:tcW w:w="1152" w:type="dxa"/>
            <w:vAlign w:val="center"/>
          </w:tcPr>
          <w:p w14:paraId="5F3F9481" w14:textId="77777777" w:rsidR="009864DB" w:rsidRPr="004D46AC" w:rsidRDefault="009864DB" w:rsidP="009864DB">
            <w:pPr>
              <w:spacing w:line="240" w:lineRule="auto"/>
              <w:ind w:firstLine="0"/>
            </w:pPr>
            <w:r w:rsidRPr="004D46AC">
              <w:t>255</w:t>
            </w:r>
          </w:p>
        </w:tc>
      </w:tr>
      <w:tr w:rsidR="009864DB" w:rsidRPr="004D46AC" w14:paraId="1359869D" w14:textId="77777777" w:rsidTr="00B518F1">
        <w:trPr>
          <w:trHeight w:val="254"/>
        </w:trPr>
        <w:tc>
          <w:tcPr>
            <w:tcW w:w="1440" w:type="dxa"/>
          </w:tcPr>
          <w:p w14:paraId="64FAD11C"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AuthorYear="1"&gt;&lt;Author&gt;Schulze&lt;/Author&gt;&lt;Year&gt;2002&lt;/Year&gt;&lt;RecNum&gt;239&lt;/RecNum&gt;&lt;DisplayText&gt;Schulze et al. (2002)&lt;/DisplayText&gt;&lt;record&gt;&lt;rec-number&gt;239&lt;/rec-number&gt;&lt;foreign-keys&gt;&lt;key app="EN" db-id="aet009sstawa0hewvt3xwf5atffdw2dt02sw" timestamp="1666192267"&gt;239&lt;/key&gt;&lt;/foreign-keys&gt;&lt;ref-type name="Journal Article"&gt;17&lt;/ref-type&gt;&lt;contributors&gt;&lt;authors&gt;&lt;author&gt;Schulze, T. G.&lt;/author&gt;&lt;author&gt;Muller, D. J.&lt;/author&gt;&lt;author&gt;Krauss, H.&lt;/author&gt;&lt;author&gt;Gross, M.&lt;/author&gt;&lt;author&gt;Fangerau-Lefevre, H.&lt;/author&gt;&lt;author&gt;Illes, F.&lt;/author&gt;&lt;author&gt;Ohlraun, S.&lt;/author&gt;&lt;author&gt;Cichon, S.&lt;/author&gt;&lt;author&gt;Held, T.&lt;/author&gt;&lt;author&gt;Propping, P.&lt;/author&gt;&lt;author&gt;Nothen, M. M.&lt;/author&gt;&lt;author&gt;Maier, W.&lt;/author&gt;&lt;author&gt;Rietschel, M.&lt;/author&gt;&lt;/authors&gt;&lt;/contributors&gt;&lt;titles&gt;&lt;title&gt;Further evidence for age of onset being an indicator for severity in bipolar disorder&lt;/title&gt;&lt;secondary-title&gt;J Affect Disord&lt;/secondary-title&gt;&lt;/titles&gt;&lt;periodical&gt;&lt;full-title&gt;J Affect Disord&lt;/full-title&gt;&lt;/periodical&gt;&lt;pages&gt;343-5&lt;/pages&gt;&lt;volume&gt;68&lt;/volume&gt;&lt;number&gt;2-3&lt;/number&gt;&lt;keywords&gt;&lt;keyword&gt;Adult&lt;/keyword&gt;&lt;keyword&gt;Age Factors&lt;/keyword&gt;&lt;keyword&gt;Aged&lt;/keyword&gt;&lt;keyword&gt;Bipolar Disorder/*diagnosis/genetics/psychology&lt;/keyword&gt;&lt;keyword&gt;Female&lt;/keyword&gt;&lt;keyword&gt;Humans&lt;/keyword&gt;&lt;keyword&gt;Male&lt;/keyword&gt;&lt;keyword&gt;Middle Aged&lt;/keyword&gt;&lt;keyword&gt;Phenotype&lt;/keyword&gt;&lt;keyword&gt;Prognosis&lt;/keyword&gt;&lt;keyword&gt;Psychiatric Status Rating Scales&lt;/keyword&gt;&lt;/keywords&gt;&lt;dates&gt;&lt;year&gt;2002&lt;/year&gt;&lt;pub-dates&gt;&lt;date&gt;Apr&lt;/date&gt;&lt;/pub-dates&gt;&lt;/dates&gt;&lt;isbn&gt;0165-0327 (Print)&amp;#xD;0165-0327 (Linking)&lt;/isbn&gt;&lt;accession-num&gt;12063163&lt;/accession-num&gt;&lt;urls&gt;&lt;related-urls&gt;&lt;url&gt;https://www.ncbi.nlm.nih.gov/pubmed/12063163&lt;/url&gt;&lt;/related-urls&gt;&lt;/urls&gt;&lt;electronic-resource-num&gt;10.1016/s0165-0327(01)00306-8&lt;/electronic-resource-num&gt;&lt;remote-database-name&gt;Medline&lt;/remote-database-name&gt;&lt;remote-database-provider&gt;NLM&lt;/remote-database-provider&gt;&lt;/record&gt;&lt;/Cite&gt;&lt;/EndNote&gt;</w:instrText>
            </w:r>
            <w:r w:rsidRPr="004D46AC">
              <w:fldChar w:fldCharType="separate"/>
            </w:r>
            <w:r w:rsidRPr="004D46AC">
              <w:t>Schulze et al. (2002)</w:t>
            </w:r>
            <w:r w:rsidRPr="004D46AC">
              <w:fldChar w:fldCharType="end"/>
            </w:r>
          </w:p>
        </w:tc>
        <w:tc>
          <w:tcPr>
            <w:tcW w:w="1189" w:type="dxa"/>
            <w:vAlign w:val="center"/>
          </w:tcPr>
          <w:p w14:paraId="0534FDCF" w14:textId="77777777" w:rsidR="009864DB" w:rsidRPr="004D46AC" w:rsidRDefault="009864DB" w:rsidP="009864DB">
            <w:pPr>
              <w:spacing w:line="240" w:lineRule="auto"/>
              <w:ind w:firstLine="0"/>
            </w:pPr>
            <w:r w:rsidRPr="004D46AC">
              <w:t>5</w:t>
            </w:r>
          </w:p>
        </w:tc>
        <w:tc>
          <w:tcPr>
            <w:tcW w:w="1186" w:type="dxa"/>
            <w:vAlign w:val="center"/>
          </w:tcPr>
          <w:p w14:paraId="5CF9B17C" w14:textId="77777777" w:rsidR="009864DB" w:rsidRPr="004D46AC" w:rsidRDefault="009864DB" w:rsidP="009864DB">
            <w:pPr>
              <w:spacing w:line="240" w:lineRule="auto"/>
              <w:ind w:firstLine="0"/>
            </w:pPr>
            <w:r w:rsidRPr="004D46AC">
              <w:t>43.02</w:t>
            </w:r>
          </w:p>
        </w:tc>
        <w:tc>
          <w:tcPr>
            <w:tcW w:w="1235" w:type="dxa"/>
            <w:vAlign w:val="center"/>
          </w:tcPr>
          <w:p w14:paraId="721AC03B" w14:textId="77777777" w:rsidR="009864DB" w:rsidRPr="004D46AC" w:rsidRDefault="009864DB" w:rsidP="009864DB">
            <w:pPr>
              <w:spacing w:line="240" w:lineRule="auto"/>
              <w:ind w:firstLine="0"/>
            </w:pPr>
            <w:r w:rsidRPr="004D46AC">
              <w:t>DSM4</w:t>
            </w:r>
          </w:p>
        </w:tc>
        <w:tc>
          <w:tcPr>
            <w:tcW w:w="1524" w:type="dxa"/>
            <w:vAlign w:val="center"/>
          </w:tcPr>
          <w:p w14:paraId="074D7DA4" w14:textId="77777777" w:rsidR="009864DB" w:rsidRPr="004D46AC" w:rsidRDefault="009864DB" w:rsidP="009864DB">
            <w:pPr>
              <w:spacing w:line="240" w:lineRule="auto"/>
              <w:ind w:firstLine="0"/>
            </w:pPr>
            <w:r w:rsidRPr="004D46AC">
              <w:t>mixed</w:t>
            </w:r>
          </w:p>
        </w:tc>
        <w:tc>
          <w:tcPr>
            <w:tcW w:w="1177" w:type="dxa"/>
            <w:vAlign w:val="center"/>
          </w:tcPr>
          <w:p w14:paraId="42D9A6C3" w14:textId="77777777" w:rsidR="009864DB" w:rsidRPr="004D46AC" w:rsidRDefault="009864DB" w:rsidP="009864DB">
            <w:pPr>
              <w:spacing w:line="240" w:lineRule="auto"/>
              <w:ind w:firstLine="0"/>
            </w:pPr>
            <w:r w:rsidRPr="004D46AC">
              <w:t>90</w:t>
            </w:r>
          </w:p>
        </w:tc>
        <w:tc>
          <w:tcPr>
            <w:tcW w:w="1210" w:type="dxa"/>
            <w:vAlign w:val="center"/>
          </w:tcPr>
          <w:p w14:paraId="32DF6ACC" w14:textId="77777777" w:rsidR="009864DB" w:rsidRPr="004D46AC" w:rsidRDefault="009864DB" w:rsidP="009864DB">
            <w:pPr>
              <w:spacing w:line="240" w:lineRule="auto"/>
              <w:ind w:firstLine="0"/>
            </w:pPr>
            <w:r w:rsidRPr="004D46AC">
              <w:t>3</w:t>
            </w:r>
          </w:p>
        </w:tc>
        <w:tc>
          <w:tcPr>
            <w:tcW w:w="1155" w:type="dxa"/>
            <w:vAlign w:val="center"/>
          </w:tcPr>
          <w:p w14:paraId="4010D36D" w14:textId="77777777" w:rsidR="009864DB" w:rsidRPr="004D46AC" w:rsidRDefault="009864DB" w:rsidP="009864DB">
            <w:pPr>
              <w:spacing w:line="240" w:lineRule="auto"/>
              <w:ind w:firstLine="0"/>
            </w:pPr>
            <w:r w:rsidRPr="004D46AC">
              <w:t>1</w:t>
            </w:r>
          </w:p>
        </w:tc>
        <w:tc>
          <w:tcPr>
            <w:tcW w:w="1150" w:type="dxa"/>
          </w:tcPr>
          <w:p w14:paraId="608BC2BB" w14:textId="77777777" w:rsidR="009864DB" w:rsidRPr="004D46AC" w:rsidRDefault="009864DB" w:rsidP="009864DB">
            <w:pPr>
              <w:spacing w:line="240" w:lineRule="auto"/>
              <w:ind w:firstLine="0"/>
            </w:pPr>
            <w:r w:rsidRPr="004D46AC">
              <w:t>1</w:t>
            </w:r>
          </w:p>
        </w:tc>
        <w:tc>
          <w:tcPr>
            <w:tcW w:w="1756" w:type="dxa"/>
            <w:vAlign w:val="center"/>
          </w:tcPr>
          <w:p w14:paraId="6CBA5A5F" w14:textId="77777777" w:rsidR="009864DB" w:rsidRPr="004D46AC" w:rsidRDefault="009864DB" w:rsidP="009864DB">
            <w:pPr>
              <w:spacing w:line="240" w:lineRule="auto"/>
              <w:ind w:firstLine="0"/>
            </w:pPr>
            <w:r w:rsidRPr="004D46AC">
              <w:t>any</w:t>
            </w:r>
          </w:p>
        </w:tc>
        <w:tc>
          <w:tcPr>
            <w:tcW w:w="1152" w:type="dxa"/>
            <w:vAlign w:val="center"/>
          </w:tcPr>
          <w:p w14:paraId="4429D191" w14:textId="77777777" w:rsidR="009864DB" w:rsidRPr="004D46AC" w:rsidRDefault="009864DB" w:rsidP="009864DB">
            <w:pPr>
              <w:spacing w:line="240" w:lineRule="auto"/>
              <w:ind w:firstLine="0"/>
            </w:pPr>
            <w:r w:rsidRPr="004D46AC">
              <w:t>39</w:t>
            </w:r>
          </w:p>
        </w:tc>
      </w:tr>
      <w:tr w:rsidR="009864DB" w:rsidRPr="004D46AC" w14:paraId="260938DC" w14:textId="77777777" w:rsidTr="00B518F1">
        <w:trPr>
          <w:trHeight w:val="254"/>
        </w:trPr>
        <w:tc>
          <w:tcPr>
            <w:tcW w:w="1440" w:type="dxa"/>
          </w:tcPr>
          <w:p w14:paraId="6C8DEDD4" w14:textId="77777777" w:rsidR="009864DB" w:rsidRPr="004D46AC" w:rsidRDefault="009864DB" w:rsidP="009864DB">
            <w:pPr>
              <w:spacing w:line="240" w:lineRule="auto"/>
              <w:ind w:firstLine="0"/>
            </w:pPr>
            <w:r w:rsidRPr="004D46AC">
              <w:fldChar w:fldCharType="begin">
                <w:fldData xml:space="preserve">PEVuZE5vdGU+PENpdGUgQXV0aG9yWWVhcj0iMSI+PEF1dGhvcj5Ub3N0PC9BdXRob3I+PFllYXI+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instrText xml:space="preserve"> ADDIN EN.CITE </w:instrText>
            </w:r>
            <w:r w:rsidRPr="004D46AC">
              <w:fldChar w:fldCharType="begin">
                <w:fldData xml:space="preserve">PEVuZE5vdGU+PENpdGUgQXV0aG9yWWVhcj0iMSI+PEF1dGhvcj5Ub3N0PC9BdXRob3I+PFllYXI+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instrText xml:space="preserve"> ADDIN EN.CITE.DATA </w:instrText>
            </w:r>
            <w:r w:rsidRPr="004D46AC">
              <w:fldChar w:fldCharType="end"/>
            </w:r>
            <w:r w:rsidRPr="004D46AC">
              <w:fldChar w:fldCharType="separate"/>
            </w:r>
            <w:r w:rsidRPr="004D46AC">
              <w:t>Tost et al. (2010)</w:t>
            </w:r>
            <w:r w:rsidRPr="004D46AC">
              <w:fldChar w:fldCharType="end"/>
            </w:r>
          </w:p>
        </w:tc>
        <w:tc>
          <w:tcPr>
            <w:tcW w:w="1189" w:type="dxa"/>
            <w:vAlign w:val="center"/>
          </w:tcPr>
          <w:p w14:paraId="1BE9D215" w14:textId="77777777" w:rsidR="009864DB" w:rsidRPr="004D46AC" w:rsidRDefault="009864DB" w:rsidP="009864DB">
            <w:pPr>
              <w:spacing w:line="240" w:lineRule="auto"/>
              <w:ind w:firstLine="0"/>
            </w:pPr>
            <w:r w:rsidRPr="004D46AC">
              <w:t>6</w:t>
            </w:r>
          </w:p>
        </w:tc>
        <w:tc>
          <w:tcPr>
            <w:tcW w:w="1186" w:type="dxa"/>
            <w:vAlign w:val="center"/>
          </w:tcPr>
          <w:p w14:paraId="742D310A" w14:textId="77777777" w:rsidR="009864DB" w:rsidRPr="004D46AC" w:rsidRDefault="009864DB" w:rsidP="009864DB">
            <w:pPr>
              <w:spacing w:line="240" w:lineRule="auto"/>
              <w:ind w:firstLine="0"/>
            </w:pPr>
            <w:r w:rsidRPr="004D46AC">
              <w:t>42.4</w:t>
            </w:r>
          </w:p>
        </w:tc>
        <w:tc>
          <w:tcPr>
            <w:tcW w:w="1235" w:type="dxa"/>
            <w:vAlign w:val="center"/>
          </w:tcPr>
          <w:p w14:paraId="04BF3C6E" w14:textId="77777777" w:rsidR="009864DB" w:rsidRPr="004D46AC" w:rsidRDefault="009864DB" w:rsidP="009864DB">
            <w:pPr>
              <w:spacing w:line="240" w:lineRule="auto"/>
              <w:ind w:firstLine="0"/>
            </w:pPr>
            <w:r w:rsidRPr="004D46AC">
              <w:t>DSM4</w:t>
            </w:r>
          </w:p>
        </w:tc>
        <w:tc>
          <w:tcPr>
            <w:tcW w:w="1524" w:type="dxa"/>
            <w:vAlign w:val="center"/>
          </w:tcPr>
          <w:p w14:paraId="377DFBBD" w14:textId="77777777" w:rsidR="009864DB" w:rsidRPr="004D46AC" w:rsidRDefault="009864DB" w:rsidP="009864DB">
            <w:pPr>
              <w:spacing w:line="240" w:lineRule="auto"/>
              <w:ind w:firstLine="0"/>
            </w:pPr>
            <w:r w:rsidRPr="004D46AC">
              <w:t>SCID</w:t>
            </w:r>
          </w:p>
        </w:tc>
        <w:tc>
          <w:tcPr>
            <w:tcW w:w="1177" w:type="dxa"/>
            <w:vAlign w:val="center"/>
          </w:tcPr>
          <w:p w14:paraId="772F48D7" w14:textId="77777777" w:rsidR="009864DB" w:rsidRPr="004D46AC" w:rsidRDefault="009864DB" w:rsidP="009864DB">
            <w:pPr>
              <w:spacing w:line="240" w:lineRule="auto"/>
              <w:ind w:firstLine="0"/>
            </w:pPr>
            <w:r w:rsidRPr="004D46AC">
              <w:t>42</w:t>
            </w:r>
          </w:p>
        </w:tc>
        <w:tc>
          <w:tcPr>
            <w:tcW w:w="1210" w:type="dxa"/>
            <w:vAlign w:val="center"/>
          </w:tcPr>
          <w:p w14:paraId="6C0A4F5F" w14:textId="77777777" w:rsidR="009864DB" w:rsidRPr="004D46AC" w:rsidRDefault="009864DB" w:rsidP="009864DB">
            <w:pPr>
              <w:spacing w:line="240" w:lineRule="auto"/>
              <w:ind w:firstLine="0"/>
            </w:pPr>
            <w:r w:rsidRPr="004D46AC">
              <w:t>3</w:t>
            </w:r>
          </w:p>
        </w:tc>
        <w:tc>
          <w:tcPr>
            <w:tcW w:w="1155" w:type="dxa"/>
            <w:vAlign w:val="center"/>
          </w:tcPr>
          <w:p w14:paraId="6293E5AC" w14:textId="77777777" w:rsidR="009864DB" w:rsidRPr="004D46AC" w:rsidRDefault="009864DB" w:rsidP="009864DB">
            <w:pPr>
              <w:spacing w:line="240" w:lineRule="auto"/>
              <w:ind w:firstLine="0"/>
            </w:pPr>
            <w:r w:rsidRPr="004D46AC">
              <w:t>2</w:t>
            </w:r>
          </w:p>
        </w:tc>
        <w:tc>
          <w:tcPr>
            <w:tcW w:w="1150" w:type="dxa"/>
          </w:tcPr>
          <w:p w14:paraId="5EDEE28E" w14:textId="77777777" w:rsidR="009864DB" w:rsidRPr="004D46AC" w:rsidRDefault="009864DB" w:rsidP="009864DB">
            <w:pPr>
              <w:spacing w:line="240" w:lineRule="auto"/>
              <w:ind w:firstLine="0"/>
            </w:pPr>
            <w:r w:rsidRPr="004D46AC">
              <w:t>1</w:t>
            </w:r>
          </w:p>
        </w:tc>
        <w:tc>
          <w:tcPr>
            <w:tcW w:w="1756" w:type="dxa"/>
            <w:vAlign w:val="center"/>
          </w:tcPr>
          <w:p w14:paraId="27A65115" w14:textId="77777777" w:rsidR="009864DB" w:rsidRPr="004D46AC" w:rsidRDefault="009864DB" w:rsidP="009864DB">
            <w:pPr>
              <w:spacing w:line="240" w:lineRule="auto"/>
              <w:ind w:firstLine="0"/>
            </w:pPr>
            <w:r w:rsidRPr="004D46AC">
              <w:t>persecutory</w:t>
            </w:r>
          </w:p>
        </w:tc>
        <w:tc>
          <w:tcPr>
            <w:tcW w:w="1152" w:type="dxa"/>
            <w:vAlign w:val="center"/>
          </w:tcPr>
          <w:p w14:paraId="328150E5" w14:textId="77777777" w:rsidR="009864DB" w:rsidRPr="004D46AC" w:rsidRDefault="009864DB" w:rsidP="009864DB">
            <w:pPr>
              <w:spacing w:line="240" w:lineRule="auto"/>
              <w:ind w:firstLine="0"/>
            </w:pPr>
            <w:r w:rsidRPr="004D46AC">
              <w:t>15</w:t>
            </w:r>
          </w:p>
        </w:tc>
      </w:tr>
      <w:tr w:rsidR="009864DB" w:rsidRPr="004D46AC" w14:paraId="74CA02E7" w14:textId="77777777" w:rsidTr="00B518F1">
        <w:trPr>
          <w:trHeight w:val="254"/>
        </w:trPr>
        <w:tc>
          <w:tcPr>
            <w:tcW w:w="1440" w:type="dxa"/>
          </w:tcPr>
          <w:p w14:paraId="4AD71754" w14:textId="77777777" w:rsidR="009864DB" w:rsidRPr="004D46AC" w:rsidRDefault="009864DB" w:rsidP="009864DB">
            <w:pPr>
              <w:spacing w:line="240" w:lineRule="auto"/>
              <w:ind w:firstLine="0"/>
            </w:pPr>
            <w:r w:rsidRPr="004D46AC">
              <w:fldChar w:fldCharType="begin">
                <w:fldData xml:space="preserve">PEVuZE5vdGU+PENpdGUgQXV0aG9yWWVhcj0iMSI+PEF1dGhvcj5Ba2luaGFubWk8L0F1dGhvcj48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instrText xml:space="preserve"> ADDIN EN.CITE </w:instrText>
            </w:r>
            <w:r w:rsidRPr="004D46AC">
              <w:fldChar w:fldCharType="begin">
                <w:fldData xml:space="preserve">PEVuZE5vdGU+PENpdGUgQXV0aG9yWWVhcj0iMSI+PEF1dGhvcj5Ba2luaGFubWk8L0F1dGhvcj48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instrText xml:space="preserve"> ADDIN EN.CITE.DATA </w:instrText>
            </w:r>
            <w:r w:rsidRPr="004D46AC">
              <w:fldChar w:fldCharType="end"/>
            </w:r>
            <w:r w:rsidRPr="004D46AC">
              <w:fldChar w:fldCharType="separate"/>
            </w:r>
            <w:r w:rsidRPr="004D46AC">
              <w:t>Akinhanmi et al. (2020)</w:t>
            </w:r>
            <w:r w:rsidRPr="004D46AC">
              <w:fldChar w:fldCharType="end"/>
            </w:r>
          </w:p>
        </w:tc>
        <w:tc>
          <w:tcPr>
            <w:tcW w:w="1189" w:type="dxa"/>
            <w:vAlign w:val="center"/>
          </w:tcPr>
          <w:p w14:paraId="38A6CF54" w14:textId="77777777" w:rsidR="009864DB" w:rsidRPr="004D46AC" w:rsidRDefault="009864DB" w:rsidP="009864DB">
            <w:pPr>
              <w:spacing w:line="240" w:lineRule="auto"/>
              <w:ind w:firstLine="0"/>
            </w:pPr>
            <w:r w:rsidRPr="004D46AC">
              <w:t>5</w:t>
            </w:r>
          </w:p>
        </w:tc>
        <w:tc>
          <w:tcPr>
            <w:tcW w:w="1186" w:type="dxa"/>
            <w:vAlign w:val="center"/>
          </w:tcPr>
          <w:p w14:paraId="726C8CE0" w14:textId="77777777" w:rsidR="009864DB" w:rsidRPr="004D46AC" w:rsidRDefault="009864DB" w:rsidP="009864DB">
            <w:pPr>
              <w:spacing w:line="240" w:lineRule="auto"/>
              <w:ind w:firstLine="0"/>
            </w:pPr>
            <w:r w:rsidRPr="004D46AC">
              <w:t>41.81</w:t>
            </w:r>
          </w:p>
        </w:tc>
        <w:tc>
          <w:tcPr>
            <w:tcW w:w="1235" w:type="dxa"/>
            <w:vAlign w:val="center"/>
          </w:tcPr>
          <w:p w14:paraId="49655287" w14:textId="77777777" w:rsidR="009864DB" w:rsidRPr="004D46AC" w:rsidRDefault="009864DB" w:rsidP="009864DB">
            <w:pPr>
              <w:spacing w:line="240" w:lineRule="auto"/>
              <w:ind w:firstLine="0"/>
            </w:pPr>
            <w:r w:rsidRPr="004D46AC">
              <w:t>unclear</w:t>
            </w:r>
          </w:p>
        </w:tc>
        <w:tc>
          <w:tcPr>
            <w:tcW w:w="1524" w:type="dxa"/>
            <w:vAlign w:val="center"/>
          </w:tcPr>
          <w:p w14:paraId="4F1BE746" w14:textId="77777777" w:rsidR="009864DB" w:rsidRPr="004D46AC" w:rsidRDefault="009864DB" w:rsidP="009864DB">
            <w:pPr>
              <w:spacing w:line="240" w:lineRule="auto"/>
              <w:ind w:firstLine="0"/>
            </w:pPr>
            <w:r w:rsidRPr="004D46AC">
              <w:t>DIGS</w:t>
            </w:r>
          </w:p>
        </w:tc>
        <w:tc>
          <w:tcPr>
            <w:tcW w:w="1177" w:type="dxa"/>
            <w:vAlign w:val="center"/>
          </w:tcPr>
          <w:p w14:paraId="7C844749" w14:textId="77777777" w:rsidR="009864DB" w:rsidRPr="004D46AC" w:rsidRDefault="009864DB" w:rsidP="009864DB">
            <w:pPr>
              <w:spacing w:line="240" w:lineRule="auto"/>
              <w:ind w:firstLine="0"/>
            </w:pPr>
            <w:r w:rsidRPr="004D46AC">
              <w:t>843</w:t>
            </w:r>
          </w:p>
        </w:tc>
        <w:tc>
          <w:tcPr>
            <w:tcW w:w="1210" w:type="dxa"/>
            <w:vAlign w:val="center"/>
          </w:tcPr>
          <w:p w14:paraId="79AFBA12" w14:textId="77777777" w:rsidR="009864DB" w:rsidRPr="004D46AC" w:rsidRDefault="009864DB" w:rsidP="009864DB">
            <w:pPr>
              <w:spacing w:line="240" w:lineRule="auto"/>
              <w:ind w:firstLine="0"/>
            </w:pPr>
            <w:r w:rsidRPr="004D46AC">
              <w:t>unclear</w:t>
            </w:r>
          </w:p>
        </w:tc>
        <w:tc>
          <w:tcPr>
            <w:tcW w:w="1155" w:type="dxa"/>
            <w:vAlign w:val="center"/>
          </w:tcPr>
          <w:p w14:paraId="65823CCC" w14:textId="77777777" w:rsidR="009864DB" w:rsidRPr="004D46AC" w:rsidRDefault="009864DB" w:rsidP="009864DB">
            <w:pPr>
              <w:spacing w:line="240" w:lineRule="auto"/>
              <w:ind w:firstLine="0"/>
            </w:pPr>
            <w:r w:rsidRPr="004D46AC">
              <w:t>2</w:t>
            </w:r>
          </w:p>
        </w:tc>
        <w:tc>
          <w:tcPr>
            <w:tcW w:w="1150" w:type="dxa"/>
          </w:tcPr>
          <w:p w14:paraId="50634C7A" w14:textId="77777777" w:rsidR="009864DB" w:rsidRPr="004D46AC" w:rsidRDefault="009864DB" w:rsidP="009864DB">
            <w:pPr>
              <w:spacing w:line="240" w:lineRule="auto"/>
              <w:ind w:firstLine="0"/>
            </w:pPr>
            <w:r w:rsidRPr="004D46AC">
              <w:t>1</w:t>
            </w:r>
          </w:p>
        </w:tc>
        <w:tc>
          <w:tcPr>
            <w:tcW w:w="1756" w:type="dxa"/>
            <w:vAlign w:val="center"/>
          </w:tcPr>
          <w:p w14:paraId="0C79D384" w14:textId="77777777" w:rsidR="009864DB" w:rsidRPr="004D46AC" w:rsidRDefault="009864DB" w:rsidP="009864DB">
            <w:pPr>
              <w:spacing w:line="240" w:lineRule="auto"/>
              <w:ind w:firstLine="0"/>
            </w:pPr>
            <w:r w:rsidRPr="004D46AC">
              <w:t>any</w:t>
            </w:r>
          </w:p>
        </w:tc>
        <w:tc>
          <w:tcPr>
            <w:tcW w:w="1152" w:type="dxa"/>
            <w:vAlign w:val="center"/>
          </w:tcPr>
          <w:p w14:paraId="38B437B6" w14:textId="77777777" w:rsidR="009864DB" w:rsidRPr="004D46AC" w:rsidRDefault="009864DB" w:rsidP="009864DB">
            <w:pPr>
              <w:spacing w:line="240" w:lineRule="auto"/>
              <w:ind w:firstLine="0"/>
            </w:pPr>
            <w:r w:rsidRPr="004D46AC">
              <w:t>419</w:t>
            </w:r>
          </w:p>
        </w:tc>
      </w:tr>
      <w:tr w:rsidR="009864DB" w:rsidRPr="004D46AC" w14:paraId="17312751" w14:textId="77777777" w:rsidTr="00B518F1">
        <w:trPr>
          <w:trHeight w:val="262"/>
        </w:trPr>
        <w:tc>
          <w:tcPr>
            <w:tcW w:w="1440" w:type="dxa"/>
          </w:tcPr>
          <w:p w14:paraId="04DE4431" w14:textId="77777777" w:rsidR="009864DB" w:rsidRPr="004D46AC" w:rsidRDefault="009864DB" w:rsidP="009864DB">
            <w:pPr>
              <w:spacing w:line="240" w:lineRule="auto"/>
              <w:ind w:firstLine="0"/>
            </w:pPr>
            <w:r w:rsidRPr="004D46AC">
              <w:lastRenderedPageBreak/>
              <w:fldChar w:fldCharType="begin"/>
            </w:r>
            <w:r w:rsidRPr="004D46AC">
              <w:instrText xml:space="preserve"> ADDIN EN.CITE &lt;EndNote&gt;&lt;Cite AuthorYear="1"&gt;&lt;Author&gt;Skowronek&lt;/Author&gt;&lt;Year&gt;2006&lt;/Year&gt;&lt;RecNum&gt;250&lt;/RecNum&gt;&lt;DisplayText&gt;Skowronek et al. (2006)&lt;/DisplayText&gt;&lt;record&gt;&lt;rec-number&gt;250&lt;/rec-number&gt;&lt;foreign-keys&gt;&lt;key app="EN" db-id="aet009sstawa0hewvt3xwf5atffdw2dt02sw" timestamp="1666324615"&gt;250&lt;/key&gt;&lt;/foreign-keys&gt;&lt;ref-type name="Journal Article"&gt;17&lt;/ref-type&gt;&lt;contributors&gt;&lt;authors&gt;&lt;author&gt;Skowronek, M. H.&lt;/author&gt;&lt;author&gt;Georgi, A.&lt;/author&gt;&lt;author&gt;Jamra, R. A.&lt;/author&gt;&lt;author&gt;Schumacher, J.&lt;/author&gt;&lt;author&gt;Becker, T.&lt;/author&gt;&lt;author&gt;Schmael, C.&lt;/author&gt;&lt;author&gt;Paul, T.&lt;/author&gt;&lt;author&gt;Deschner, M.&lt;/author&gt;&lt;author&gt;Hofels, S.&lt;/author&gt;&lt;author&gt;Wulff, M.&lt;/author&gt;&lt;author&gt;Schwarz, M.&lt;/author&gt;&lt;author&gt;Klopp, N.&lt;/author&gt;&lt;author&gt;Illig, T.&lt;/author&gt;&lt;author&gt;Propping, P.&lt;/author&gt;&lt;author&gt;Cichon, S.&lt;/author&gt;&lt;author&gt;Nothen, M. M.&lt;/author&gt;&lt;author&gt;Schulze, T. G.&lt;/author&gt;&lt;author&gt;Rietschel, M.&lt;/author&gt;&lt;/authors&gt;&lt;/contributors&gt;&lt;titles&gt;&lt;title&gt;No association between genetic variants at the ASCT1 gene and schizophrenia or bipolar disorder in a German sample&lt;/title&gt;&lt;secondary-title&gt;Psychiatr Genet&lt;/secondary-title&gt;&lt;/titles&gt;&lt;periodical&gt;&lt;full-title&gt;Psychiatr Genet&lt;/full-title&gt;&lt;/periodical&gt;&lt;pages&gt;233-4&lt;/pages&gt;&lt;volume&gt;16&lt;/volume&gt;&lt;number&gt;6&lt;/number&gt;&lt;keywords&gt;&lt;keyword&gt;Amino Acid Transport System ASC/*genetics&lt;/keyword&gt;&lt;keyword&gt;Base Sequence&lt;/keyword&gt;&lt;keyword&gt;Bipolar Disorder/*genetics&lt;/keyword&gt;&lt;keyword&gt;DNA Primers&lt;/keyword&gt;&lt;keyword&gt;Genetic Linkage&lt;/keyword&gt;&lt;keyword&gt;Germany&lt;/keyword&gt;&lt;keyword&gt;Humans&lt;/keyword&gt;&lt;keyword&gt;Schizophrenia/*genetics&lt;/keyword&gt;&lt;/keywords&gt;&lt;dates&gt;&lt;year&gt;2006&lt;/year&gt;&lt;pub-dates&gt;&lt;date&gt;Dec&lt;/date&gt;&lt;/pub-dates&gt;&lt;/dates&gt;&lt;isbn&gt;0955-8829 (Print)&amp;#xD;0955-8829 (Linking)&lt;/isbn&gt;&lt;accession-num&gt;17106422&lt;/accession-num&gt;&lt;urls&gt;&lt;related-urls&gt;&lt;url&gt;https://www.ncbi.nlm.nih.gov/pubmed/17106422&lt;/url&gt;&lt;/related-urls&gt;&lt;/urls&gt;&lt;electronic-resource-num&gt;10.1097/01.ypg.0000218621.58009.d1&lt;/electronic-resource-num&gt;&lt;remote-database-name&gt;Medline&lt;/remote-database-name&gt;&lt;remote-database-provider&gt;NLM&lt;/remote-database-provider&gt;&lt;language&gt;eng&lt;/language&gt;&lt;/record&gt;&lt;/Cite&gt;&lt;/EndNote&gt;</w:instrText>
            </w:r>
            <w:r w:rsidRPr="004D46AC">
              <w:fldChar w:fldCharType="separate"/>
            </w:r>
            <w:r w:rsidRPr="004D46AC">
              <w:t>Skowronek et al. (2006)</w:t>
            </w:r>
            <w:r w:rsidRPr="004D46AC">
              <w:fldChar w:fldCharType="end"/>
            </w:r>
          </w:p>
        </w:tc>
        <w:tc>
          <w:tcPr>
            <w:tcW w:w="1189" w:type="dxa"/>
            <w:vAlign w:val="center"/>
          </w:tcPr>
          <w:p w14:paraId="5DEAD168" w14:textId="77777777" w:rsidR="009864DB" w:rsidRPr="004D46AC" w:rsidRDefault="009864DB" w:rsidP="009864DB">
            <w:pPr>
              <w:spacing w:line="240" w:lineRule="auto"/>
              <w:ind w:firstLine="0"/>
            </w:pPr>
            <w:r w:rsidRPr="004D46AC">
              <w:t>4</w:t>
            </w:r>
          </w:p>
        </w:tc>
        <w:tc>
          <w:tcPr>
            <w:tcW w:w="1186" w:type="dxa"/>
            <w:vAlign w:val="center"/>
          </w:tcPr>
          <w:p w14:paraId="1470792C" w14:textId="77777777" w:rsidR="009864DB" w:rsidRPr="004D46AC" w:rsidRDefault="009864DB" w:rsidP="009864DB">
            <w:pPr>
              <w:spacing w:line="240" w:lineRule="auto"/>
              <w:ind w:firstLine="0"/>
            </w:pPr>
            <w:r w:rsidRPr="004D46AC">
              <w:t>42.4</w:t>
            </w:r>
          </w:p>
        </w:tc>
        <w:tc>
          <w:tcPr>
            <w:tcW w:w="1235" w:type="dxa"/>
            <w:vAlign w:val="center"/>
          </w:tcPr>
          <w:p w14:paraId="39E54029" w14:textId="77777777" w:rsidR="009864DB" w:rsidRPr="004D46AC" w:rsidRDefault="009864DB" w:rsidP="009864DB">
            <w:pPr>
              <w:spacing w:line="240" w:lineRule="auto"/>
              <w:ind w:firstLine="0"/>
            </w:pPr>
            <w:r w:rsidRPr="004D46AC">
              <w:t>DSM4</w:t>
            </w:r>
          </w:p>
        </w:tc>
        <w:tc>
          <w:tcPr>
            <w:tcW w:w="1524" w:type="dxa"/>
            <w:vAlign w:val="center"/>
          </w:tcPr>
          <w:p w14:paraId="2ADB410F" w14:textId="77777777" w:rsidR="009864DB" w:rsidRPr="004D46AC" w:rsidRDefault="009864DB" w:rsidP="009864DB">
            <w:pPr>
              <w:spacing w:line="240" w:lineRule="auto"/>
              <w:ind w:firstLine="0"/>
            </w:pPr>
            <w:r w:rsidRPr="004D46AC">
              <w:t>unclear</w:t>
            </w:r>
          </w:p>
        </w:tc>
        <w:tc>
          <w:tcPr>
            <w:tcW w:w="1177" w:type="dxa"/>
            <w:vAlign w:val="center"/>
          </w:tcPr>
          <w:p w14:paraId="385B9FF6" w14:textId="77777777" w:rsidR="009864DB" w:rsidRPr="004D46AC" w:rsidRDefault="009864DB" w:rsidP="009864DB">
            <w:pPr>
              <w:spacing w:line="240" w:lineRule="auto"/>
              <w:ind w:firstLine="0"/>
            </w:pPr>
            <w:r w:rsidRPr="004D46AC">
              <w:t>306</w:t>
            </w:r>
          </w:p>
        </w:tc>
        <w:tc>
          <w:tcPr>
            <w:tcW w:w="1210" w:type="dxa"/>
            <w:vAlign w:val="center"/>
          </w:tcPr>
          <w:p w14:paraId="2E146D18" w14:textId="77777777" w:rsidR="009864DB" w:rsidRPr="004D46AC" w:rsidRDefault="009864DB" w:rsidP="009864DB">
            <w:pPr>
              <w:spacing w:line="240" w:lineRule="auto"/>
              <w:ind w:firstLine="0"/>
            </w:pPr>
            <w:r w:rsidRPr="004D46AC">
              <w:t>unclear</w:t>
            </w:r>
          </w:p>
        </w:tc>
        <w:tc>
          <w:tcPr>
            <w:tcW w:w="1155" w:type="dxa"/>
            <w:vAlign w:val="center"/>
          </w:tcPr>
          <w:p w14:paraId="60AA0B8E" w14:textId="77777777" w:rsidR="009864DB" w:rsidRPr="004D46AC" w:rsidRDefault="009864DB" w:rsidP="009864DB">
            <w:pPr>
              <w:spacing w:line="240" w:lineRule="auto"/>
              <w:ind w:firstLine="0"/>
            </w:pPr>
            <w:r w:rsidRPr="004D46AC">
              <w:t>1</w:t>
            </w:r>
          </w:p>
        </w:tc>
        <w:tc>
          <w:tcPr>
            <w:tcW w:w="1150" w:type="dxa"/>
          </w:tcPr>
          <w:p w14:paraId="768A3E9E" w14:textId="77777777" w:rsidR="009864DB" w:rsidRPr="004D46AC" w:rsidRDefault="009864DB" w:rsidP="009864DB">
            <w:pPr>
              <w:spacing w:line="240" w:lineRule="auto"/>
              <w:ind w:firstLine="0"/>
            </w:pPr>
            <w:r w:rsidRPr="004D46AC">
              <w:t>1</w:t>
            </w:r>
          </w:p>
        </w:tc>
        <w:tc>
          <w:tcPr>
            <w:tcW w:w="1756" w:type="dxa"/>
            <w:vAlign w:val="center"/>
          </w:tcPr>
          <w:p w14:paraId="30913327" w14:textId="77777777" w:rsidR="009864DB" w:rsidRPr="004D46AC" w:rsidRDefault="009864DB" w:rsidP="009864DB">
            <w:pPr>
              <w:spacing w:line="240" w:lineRule="auto"/>
              <w:ind w:firstLine="0"/>
            </w:pPr>
            <w:r w:rsidRPr="004D46AC">
              <w:t>persecutory</w:t>
            </w:r>
          </w:p>
        </w:tc>
        <w:tc>
          <w:tcPr>
            <w:tcW w:w="1152" w:type="dxa"/>
            <w:vAlign w:val="center"/>
          </w:tcPr>
          <w:p w14:paraId="4D642D78" w14:textId="77777777" w:rsidR="009864DB" w:rsidRPr="004D46AC" w:rsidRDefault="009864DB" w:rsidP="009864DB">
            <w:pPr>
              <w:spacing w:line="240" w:lineRule="auto"/>
              <w:ind w:firstLine="0"/>
            </w:pPr>
            <w:r w:rsidRPr="004D46AC">
              <w:t>107</w:t>
            </w:r>
          </w:p>
        </w:tc>
      </w:tr>
      <w:tr w:rsidR="009864DB" w:rsidRPr="004D46AC" w14:paraId="5C04F4D9" w14:textId="77777777" w:rsidTr="00B518F1">
        <w:trPr>
          <w:trHeight w:val="254"/>
        </w:trPr>
        <w:tc>
          <w:tcPr>
            <w:tcW w:w="1440" w:type="dxa"/>
          </w:tcPr>
          <w:p w14:paraId="53BE1648"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AuthorYear="1"&gt;&lt;Author&gt;Schulze&lt;/Author&gt;&lt;Year&gt;2002&lt;/Year&gt;&lt;RecNum&gt;239&lt;/RecNum&gt;&lt;DisplayText&gt;Schulze et al. (2002)&lt;/DisplayText&gt;&lt;record&gt;&lt;rec-number&gt;239&lt;/rec-number&gt;&lt;foreign-keys&gt;&lt;key app="EN" db-id="aet009sstawa0hewvt3xwf5atffdw2dt02sw" timestamp="1666192267"&gt;239&lt;/key&gt;&lt;/foreign-keys&gt;&lt;ref-type name="Journal Article"&gt;17&lt;/ref-type&gt;&lt;contributors&gt;&lt;authors&gt;&lt;author&gt;Schulze, T. G.&lt;/author&gt;&lt;author&gt;Muller, D. J.&lt;/author&gt;&lt;author&gt;Krauss, H.&lt;/author&gt;&lt;author&gt;Gross, M.&lt;/author&gt;&lt;author&gt;Fangerau-Lefevre, H.&lt;/author&gt;&lt;author&gt;Illes, F.&lt;/author&gt;&lt;author&gt;Ohlraun, S.&lt;/author&gt;&lt;author&gt;Cichon, S.&lt;/author&gt;&lt;author&gt;Held, T.&lt;/author&gt;&lt;author&gt;Propping, P.&lt;/author&gt;&lt;author&gt;Nothen, M. M.&lt;/author&gt;&lt;author&gt;Maier, W.&lt;/author&gt;&lt;author&gt;Rietschel, M.&lt;/author&gt;&lt;/authors&gt;&lt;/contributors&gt;&lt;titles&gt;&lt;title&gt;Further evidence for age of onset being an indicator for severity in bipolar disorder&lt;/title&gt;&lt;secondary-title&gt;J Affect Disord&lt;/secondary-title&gt;&lt;/titles&gt;&lt;periodical&gt;&lt;full-title&gt;J Affect Disord&lt;/full-title&gt;&lt;/periodical&gt;&lt;pages&gt;343-5&lt;/pages&gt;&lt;volume&gt;68&lt;/volume&gt;&lt;number&gt;2-3&lt;/number&gt;&lt;keywords&gt;&lt;keyword&gt;Adult&lt;/keyword&gt;&lt;keyword&gt;Age Factors&lt;/keyword&gt;&lt;keyword&gt;Aged&lt;/keyword&gt;&lt;keyword&gt;Bipolar Disorder/*diagnosis/genetics/psychology&lt;/keyword&gt;&lt;keyword&gt;Female&lt;/keyword&gt;&lt;keyword&gt;Humans&lt;/keyword&gt;&lt;keyword&gt;Male&lt;/keyword&gt;&lt;keyword&gt;Middle Aged&lt;/keyword&gt;&lt;keyword&gt;Phenotype&lt;/keyword&gt;&lt;keyword&gt;Prognosis&lt;/keyword&gt;&lt;keyword&gt;Psychiatric Status Rating Scales&lt;/keyword&gt;&lt;/keywords&gt;&lt;dates&gt;&lt;year&gt;2002&lt;/year&gt;&lt;pub-dates&gt;&lt;date&gt;Apr&lt;/date&gt;&lt;/pub-dates&gt;&lt;/dates&gt;&lt;isbn&gt;0165-0327 (Print)&amp;#xD;0165-0327 (Linking)&lt;/isbn&gt;&lt;accession-num&gt;12063163&lt;/accession-num&gt;&lt;urls&gt;&lt;related-urls&gt;&lt;url&gt;https://www.ncbi.nlm.nih.gov/pubmed/12063163&lt;/url&gt;&lt;/related-urls&gt;&lt;/urls&gt;&lt;electronic-resource-num&gt;10.1016/s0165-0327(01)00306-8&lt;/electronic-resource-num&gt;&lt;remote-database-name&gt;Medline&lt;/remote-database-name&gt;&lt;remote-database-provider&gt;NLM&lt;/remote-database-provider&gt;&lt;/record&gt;&lt;/Cite&gt;&lt;/EndNote&gt;</w:instrText>
            </w:r>
            <w:r w:rsidRPr="004D46AC">
              <w:fldChar w:fldCharType="separate"/>
            </w:r>
            <w:r w:rsidRPr="004D46AC">
              <w:t>Schulze et al. (2002)</w:t>
            </w:r>
            <w:r w:rsidRPr="004D46AC">
              <w:fldChar w:fldCharType="end"/>
            </w:r>
          </w:p>
        </w:tc>
        <w:tc>
          <w:tcPr>
            <w:tcW w:w="1189" w:type="dxa"/>
            <w:vAlign w:val="center"/>
          </w:tcPr>
          <w:p w14:paraId="3E69A96A" w14:textId="77777777" w:rsidR="009864DB" w:rsidRPr="004D46AC" w:rsidRDefault="009864DB" w:rsidP="009864DB">
            <w:pPr>
              <w:spacing w:line="240" w:lineRule="auto"/>
              <w:ind w:firstLine="0"/>
            </w:pPr>
            <w:r w:rsidRPr="004D46AC">
              <w:t>7</w:t>
            </w:r>
          </w:p>
        </w:tc>
        <w:tc>
          <w:tcPr>
            <w:tcW w:w="1186" w:type="dxa"/>
            <w:vAlign w:val="center"/>
          </w:tcPr>
          <w:p w14:paraId="76951881" w14:textId="77777777" w:rsidR="009864DB" w:rsidRPr="004D46AC" w:rsidRDefault="009864DB" w:rsidP="009864DB">
            <w:pPr>
              <w:spacing w:line="240" w:lineRule="auto"/>
              <w:ind w:firstLine="0"/>
            </w:pPr>
            <w:r w:rsidRPr="004D46AC">
              <w:t>44.58</w:t>
            </w:r>
          </w:p>
        </w:tc>
        <w:tc>
          <w:tcPr>
            <w:tcW w:w="1235" w:type="dxa"/>
            <w:vAlign w:val="center"/>
          </w:tcPr>
          <w:p w14:paraId="50D9F443" w14:textId="77777777" w:rsidR="009864DB" w:rsidRPr="004D46AC" w:rsidRDefault="009864DB" w:rsidP="009864DB">
            <w:pPr>
              <w:spacing w:line="240" w:lineRule="auto"/>
              <w:ind w:firstLine="0"/>
            </w:pPr>
            <w:r w:rsidRPr="004D46AC">
              <w:t>DSM4</w:t>
            </w:r>
          </w:p>
        </w:tc>
        <w:tc>
          <w:tcPr>
            <w:tcW w:w="1524" w:type="dxa"/>
            <w:vAlign w:val="center"/>
          </w:tcPr>
          <w:p w14:paraId="547CA1A7" w14:textId="77777777" w:rsidR="009864DB" w:rsidRPr="004D46AC" w:rsidRDefault="009864DB" w:rsidP="009864DB">
            <w:pPr>
              <w:spacing w:line="240" w:lineRule="auto"/>
              <w:ind w:firstLine="0"/>
            </w:pPr>
            <w:r w:rsidRPr="004D46AC">
              <w:t>mixed</w:t>
            </w:r>
          </w:p>
        </w:tc>
        <w:tc>
          <w:tcPr>
            <w:tcW w:w="1177" w:type="dxa"/>
            <w:vAlign w:val="center"/>
          </w:tcPr>
          <w:p w14:paraId="4C527269" w14:textId="77777777" w:rsidR="009864DB" w:rsidRPr="004D46AC" w:rsidRDefault="009864DB" w:rsidP="009864DB">
            <w:pPr>
              <w:spacing w:line="240" w:lineRule="auto"/>
              <w:ind w:firstLine="0"/>
            </w:pPr>
            <w:r w:rsidRPr="004D46AC">
              <w:t>594</w:t>
            </w:r>
          </w:p>
        </w:tc>
        <w:tc>
          <w:tcPr>
            <w:tcW w:w="1210" w:type="dxa"/>
            <w:vAlign w:val="center"/>
          </w:tcPr>
          <w:p w14:paraId="11FC11D2" w14:textId="77777777" w:rsidR="009864DB" w:rsidRPr="004D46AC" w:rsidRDefault="009864DB" w:rsidP="009864DB">
            <w:pPr>
              <w:spacing w:line="240" w:lineRule="auto"/>
              <w:ind w:firstLine="0"/>
            </w:pPr>
            <w:r w:rsidRPr="004D46AC">
              <w:t>unclear</w:t>
            </w:r>
          </w:p>
        </w:tc>
        <w:tc>
          <w:tcPr>
            <w:tcW w:w="1155" w:type="dxa"/>
            <w:vAlign w:val="center"/>
          </w:tcPr>
          <w:p w14:paraId="0E445971" w14:textId="77777777" w:rsidR="009864DB" w:rsidRPr="004D46AC" w:rsidRDefault="009864DB" w:rsidP="009864DB">
            <w:pPr>
              <w:spacing w:line="240" w:lineRule="auto"/>
              <w:ind w:firstLine="0"/>
            </w:pPr>
            <w:r w:rsidRPr="004D46AC">
              <w:t>1</w:t>
            </w:r>
          </w:p>
        </w:tc>
        <w:tc>
          <w:tcPr>
            <w:tcW w:w="1150" w:type="dxa"/>
          </w:tcPr>
          <w:p w14:paraId="6F2807B5" w14:textId="77777777" w:rsidR="009864DB" w:rsidRPr="004D46AC" w:rsidRDefault="009864DB" w:rsidP="009864DB">
            <w:pPr>
              <w:spacing w:line="240" w:lineRule="auto"/>
              <w:ind w:firstLine="0"/>
            </w:pPr>
            <w:r w:rsidRPr="004D46AC">
              <w:t>1</w:t>
            </w:r>
          </w:p>
        </w:tc>
        <w:tc>
          <w:tcPr>
            <w:tcW w:w="1756" w:type="dxa"/>
            <w:vAlign w:val="center"/>
          </w:tcPr>
          <w:p w14:paraId="6DBCABC7" w14:textId="77777777" w:rsidR="009864DB" w:rsidRPr="004D46AC" w:rsidRDefault="009864DB" w:rsidP="009864DB">
            <w:pPr>
              <w:spacing w:line="240" w:lineRule="auto"/>
              <w:ind w:firstLine="0"/>
            </w:pPr>
            <w:r w:rsidRPr="004D46AC">
              <w:t>persecutory</w:t>
            </w:r>
          </w:p>
        </w:tc>
        <w:tc>
          <w:tcPr>
            <w:tcW w:w="1152" w:type="dxa"/>
            <w:vAlign w:val="center"/>
          </w:tcPr>
          <w:p w14:paraId="7A16E966" w14:textId="77777777" w:rsidR="009864DB" w:rsidRPr="004D46AC" w:rsidRDefault="009864DB" w:rsidP="009864DB">
            <w:pPr>
              <w:spacing w:line="240" w:lineRule="auto"/>
              <w:ind w:firstLine="0"/>
            </w:pPr>
            <w:r w:rsidRPr="004D46AC">
              <w:t>145</w:t>
            </w:r>
          </w:p>
        </w:tc>
      </w:tr>
      <w:tr w:rsidR="009864DB" w:rsidRPr="004D46AC" w14:paraId="0E586DBE" w14:textId="77777777" w:rsidTr="00B518F1">
        <w:trPr>
          <w:trHeight w:val="254"/>
        </w:trPr>
        <w:tc>
          <w:tcPr>
            <w:tcW w:w="1440" w:type="dxa"/>
          </w:tcPr>
          <w:p w14:paraId="45322058" w14:textId="77777777" w:rsidR="009864DB" w:rsidRPr="004D46AC" w:rsidRDefault="009864DB" w:rsidP="009864DB">
            <w:pPr>
              <w:spacing w:line="240" w:lineRule="auto"/>
              <w:ind w:firstLine="0"/>
            </w:pPr>
            <w:r w:rsidRPr="004D46AC">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instrText xml:space="preserve"> ADDIN EN.CITE </w:instrText>
            </w:r>
            <w:r w:rsidRPr="004D46AC">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instrText xml:space="preserve"> ADDIN EN.CITE.DATA </w:instrText>
            </w:r>
            <w:r w:rsidRPr="004D46AC">
              <w:fldChar w:fldCharType="end"/>
            </w:r>
            <w:r w:rsidRPr="004D46AC">
              <w:fldChar w:fldCharType="separate"/>
            </w:r>
            <w:r w:rsidRPr="004D46AC">
              <w:t>Perlman et al. (2016)</w:t>
            </w:r>
            <w:r w:rsidRPr="004D46AC">
              <w:fldChar w:fldCharType="end"/>
            </w:r>
          </w:p>
        </w:tc>
        <w:tc>
          <w:tcPr>
            <w:tcW w:w="1189" w:type="dxa"/>
            <w:vAlign w:val="center"/>
          </w:tcPr>
          <w:p w14:paraId="2F0F9EF2" w14:textId="77777777" w:rsidR="009864DB" w:rsidRPr="004D46AC" w:rsidRDefault="009864DB" w:rsidP="009864DB">
            <w:pPr>
              <w:spacing w:line="240" w:lineRule="auto"/>
              <w:ind w:firstLine="0"/>
            </w:pPr>
            <w:r w:rsidRPr="004D46AC">
              <w:t>5</w:t>
            </w:r>
          </w:p>
        </w:tc>
        <w:tc>
          <w:tcPr>
            <w:tcW w:w="1186" w:type="dxa"/>
            <w:vAlign w:val="center"/>
          </w:tcPr>
          <w:p w14:paraId="05516EA1" w14:textId="77777777" w:rsidR="009864DB" w:rsidRPr="004D46AC" w:rsidRDefault="009864DB" w:rsidP="009864DB">
            <w:pPr>
              <w:spacing w:line="240" w:lineRule="auto"/>
              <w:ind w:firstLine="0"/>
            </w:pPr>
            <w:r w:rsidRPr="004D46AC">
              <w:t>44.35</w:t>
            </w:r>
          </w:p>
        </w:tc>
        <w:tc>
          <w:tcPr>
            <w:tcW w:w="1235" w:type="dxa"/>
            <w:vAlign w:val="center"/>
          </w:tcPr>
          <w:p w14:paraId="200DB942" w14:textId="77777777" w:rsidR="009864DB" w:rsidRPr="004D46AC" w:rsidRDefault="009864DB" w:rsidP="009864DB">
            <w:pPr>
              <w:spacing w:line="240" w:lineRule="auto"/>
              <w:ind w:firstLine="0"/>
            </w:pPr>
            <w:r w:rsidRPr="004D46AC">
              <w:t>DSM4</w:t>
            </w:r>
          </w:p>
        </w:tc>
        <w:tc>
          <w:tcPr>
            <w:tcW w:w="1524" w:type="dxa"/>
            <w:vAlign w:val="center"/>
          </w:tcPr>
          <w:p w14:paraId="4988D73E" w14:textId="77777777" w:rsidR="009864DB" w:rsidRPr="004D46AC" w:rsidRDefault="009864DB" w:rsidP="009864DB">
            <w:pPr>
              <w:spacing w:line="240" w:lineRule="auto"/>
              <w:ind w:firstLine="0"/>
            </w:pPr>
            <w:r w:rsidRPr="004D46AC">
              <w:t>DI-PAD</w:t>
            </w:r>
          </w:p>
        </w:tc>
        <w:tc>
          <w:tcPr>
            <w:tcW w:w="1177" w:type="dxa"/>
            <w:vAlign w:val="center"/>
          </w:tcPr>
          <w:p w14:paraId="21B63D31" w14:textId="77777777" w:rsidR="009864DB" w:rsidRPr="004D46AC" w:rsidRDefault="009864DB" w:rsidP="009864DB">
            <w:pPr>
              <w:spacing w:line="240" w:lineRule="auto"/>
              <w:ind w:firstLine="0"/>
            </w:pPr>
            <w:r w:rsidRPr="004D46AC">
              <w:t>2084</w:t>
            </w:r>
          </w:p>
        </w:tc>
        <w:tc>
          <w:tcPr>
            <w:tcW w:w="1210" w:type="dxa"/>
            <w:vAlign w:val="center"/>
          </w:tcPr>
          <w:p w14:paraId="67564835" w14:textId="77777777" w:rsidR="009864DB" w:rsidRPr="004D46AC" w:rsidRDefault="009864DB" w:rsidP="009864DB">
            <w:pPr>
              <w:spacing w:line="240" w:lineRule="auto"/>
              <w:ind w:firstLine="0"/>
            </w:pPr>
            <w:r w:rsidRPr="004D46AC">
              <w:t>unclear</w:t>
            </w:r>
          </w:p>
        </w:tc>
        <w:tc>
          <w:tcPr>
            <w:tcW w:w="1155" w:type="dxa"/>
            <w:vAlign w:val="center"/>
          </w:tcPr>
          <w:p w14:paraId="741CF710" w14:textId="77777777" w:rsidR="009864DB" w:rsidRPr="004D46AC" w:rsidRDefault="009864DB" w:rsidP="009864DB">
            <w:pPr>
              <w:spacing w:line="240" w:lineRule="auto"/>
              <w:ind w:firstLine="0"/>
            </w:pPr>
            <w:r w:rsidRPr="004D46AC">
              <w:t>1</w:t>
            </w:r>
          </w:p>
        </w:tc>
        <w:tc>
          <w:tcPr>
            <w:tcW w:w="1150" w:type="dxa"/>
          </w:tcPr>
          <w:p w14:paraId="163F0A8A" w14:textId="77777777" w:rsidR="009864DB" w:rsidRPr="004D46AC" w:rsidRDefault="009864DB" w:rsidP="009864DB">
            <w:pPr>
              <w:spacing w:line="240" w:lineRule="auto"/>
              <w:ind w:firstLine="0"/>
            </w:pPr>
            <w:r w:rsidRPr="004D46AC">
              <w:t>1</w:t>
            </w:r>
          </w:p>
        </w:tc>
        <w:tc>
          <w:tcPr>
            <w:tcW w:w="1756" w:type="dxa"/>
            <w:vAlign w:val="center"/>
          </w:tcPr>
          <w:p w14:paraId="0B840F00" w14:textId="77777777" w:rsidR="009864DB" w:rsidRPr="004D46AC" w:rsidRDefault="009864DB" w:rsidP="009864DB">
            <w:pPr>
              <w:spacing w:line="240" w:lineRule="auto"/>
              <w:ind w:firstLine="0"/>
            </w:pPr>
            <w:r w:rsidRPr="004D46AC">
              <w:t>persecutory and jealous</w:t>
            </w:r>
          </w:p>
        </w:tc>
        <w:tc>
          <w:tcPr>
            <w:tcW w:w="1152" w:type="dxa"/>
            <w:vAlign w:val="center"/>
          </w:tcPr>
          <w:p w14:paraId="644035AF" w14:textId="77777777" w:rsidR="009864DB" w:rsidRPr="004D46AC" w:rsidRDefault="009864DB" w:rsidP="009864DB">
            <w:pPr>
              <w:spacing w:line="240" w:lineRule="auto"/>
              <w:ind w:firstLine="0"/>
            </w:pPr>
            <w:r w:rsidRPr="004D46AC">
              <w:t>285</w:t>
            </w:r>
          </w:p>
        </w:tc>
      </w:tr>
      <w:tr w:rsidR="009864DB" w:rsidRPr="004D46AC" w14:paraId="15AC5BA2" w14:textId="77777777" w:rsidTr="00B518F1">
        <w:trPr>
          <w:trHeight w:val="254"/>
        </w:trPr>
        <w:tc>
          <w:tcPr>
            <w:tcW w:w="1440" w:type="dxa"/>
          </w:tcPr>
          <w:p w14:paraId="7176CC77" w14:textId="77777777" w:rsidR="009864DB" w:rsidRPr="004D46AC" w:rsidRDefault="009864DB" w:rsidP="009864DB">
            <w:pPr>
              <w:spacing w:line="240" w:lineRule="auto"/>
              <w:ind w:firstLine="0"/>
            </w:pPr>
            <w:r w:rsidRPr="004D46AC">
              <w:fldChar w:fldCharType="begin">
                <w:fldData xml:space="preserve">PEVuZE5vdGU+PENpdGUgQXV0aG9yWWVhcj0iMSI+PEF1dGhvcj5Qb2xldHRpPC9BdXRob3I+PFll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instrText xml:space="preserve"> ADDIN EN.CITE </w:instrText>
            </w:r>
            <w:r w:rsidRPr="004D46AC">
              <w:fldChar w:fldCharType="begin">
                <w:fldData xml:space="preserve">PEVuZE5vdGU+PENpdGUgQXV0aG9yWWVhcj0iMSI+PEF1dGhvcj5Qb2xldHRpPC9BdXRob3I+PFll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Poletti et al. (2015)</w:t>
            </w:r>
            <w:r w:rsidRPr="004D46AC">
              <w:fldChar w:fldCharType="end"/>
            </w:r>
          </w:p>
        </w:tc>
        <w:tc>
          <w:tcPr>
            <w:tcW w:w="1189" w:type="dxa"/>
            <w:vAlign w:val="center"/>
          </w:tcPr>
          <w:p w14:paraId="758EE524" w14:textId="77777777" w:rsidR="009864DB" w:rsidRPr="004D46AC" w:rsidRDefault="009864DB" w:rsidP="009864DB">
            <w:pPr>
              <w:spacing w:line="240" w:lineRule="auto"/>
              <w:ind w:firstLine="0"/>
            </w:pPr>
            <w:r w:rsidRPr="004D46AC">
              <w:t>5</w:t>
            </w:r>
          </w:p>
        </w:tc>
        <w:tc>
          <w:tcPr>
            <w:tcW w:w="1186" w:type="dxa"/>
            <w:vAlign w:val="center"/>
          </w:tcPr>
          <w:p w14:paraId="05F99649" w14:textId="77777777" w:rsidR="009864DB" w:rsidRPr="004D46AC" w:rsidRDefault="009864DB" w:rsidP="009864DB">
            <w:pPr>
              <w:spacing w:line="240" w:lineRule="auto"/>
              <w:ind w:firstLine="0"/>
            </w:pPr>
            <w:r w:rsidRPr="004D46AC">
              <w:t>47.62</w:t>
            </w:r>
          </w:p>
        </w:tc>
        <w:tc>
          <w:tcPr>
            <w:tcW w:w="1235" w:type="dxa"/>
            <w:vAlign w:val="center"/>
          </w:tcPr>
          <w:p w14:paraId="530719E7" w14:textId="77777777" w:rsidR="009864DB" w:rsidRPr="004D46AC" w:rsidRDefault="009864DB" w:rsidP="009864DB">
            <w:pPr>
              <w:spacing w:line="240" w:lineRule="auto"/>
              <w:ind w:firstLine="0"/>
            </w:pPr>
            <w:r w:rsidRPr="004D46AC">
              <w:t>DSM4</w:t>
            </w:r>
          </w:p>
        </w:tc>
        <w:tc>
          <w:tcPr>
            <w:tcW w:w="1524" w:type="dxa"/>
            <w:vAlign w:val="center"/>
          </w:tcPr>
          <w:p w14:paraId="52799346" w14:textId="77777777" w:rsidR="009864DB" w:rsidRPr="004D46AC" w:rsidRDefault="009864DB" w:rsidP="009864DB">
            <w:pPr>
              <w:spacing w:line="240" w:lineRule="auto"/>
              <w:ind w:firstLine="0"/>
            </w:pPr>
            <w:r w:rsidRPr="004D46AC">
              <w:t>SCID</w:t>
            </w:r>
          </w:p>
        </w:tc>
        <w:tc>
          <w:tcPr>
            <w:tcW w:w="1177" w:type="dxa"/>
            <w:vAlign w:val="center"/>
          </w:tcPr>
          <w:p w14:paraId="1D13D4E6" w14:textId="77777777" w:rsidR="009864DB" w:rsidRPr="004D46AC" w:rsidRDefault="009864DB" w:rsidP="009864DB">
            <w:pPr>
              <w:spacing w:line="240" w:lineRule="auto"/>
              <w:ind w:firstLine="0"/>
            </w:pPr>
            <w:r w:rsidRPr="004D46AC">
              <w:t>78</w:t>
            </w:r>
          </w:p>
        </w:tc>
        <w:tc>
          <w:tcPr>
            <w:tcW w:w="1210" w:type="dxa"/>
            <w:vAlign w:val="center"/>
          </w:tcPr>
          <w:p w14:paraId="1CDB47AF" w14:textId="77777777" w:rsidR="009864DB" w:rsidRPr="004D46AC" w:rsidRDefault="009864DB" w:rsidP="009864DB">
            <w:pPr>
              <w:spacing w:line="240" w:lineRule="auto"/>
              <w:ind w:firstLine="0"/>
            </w:pPr>
            <w:r w:rsidRPr="004D46AC">
              <w:t>unclear</w:t>
            </w:r>
          </w:p>
        </w:tc>
        <w:tc>
          <w:tcPr>
            <w:tcW w:w="1155" w:type="dxa"/>
            <w:vAlign w:val="center"/>
          </w:tcPr>
          <w:p w14:paraId="2359CD08" w14:textId="77777777" w:rsidR="009864DB" w:rsidRPr="004D46AC" w:rsidRDefault="009864DB" w:rsidP="009864DB">
            <w:pPr>
              <w:spacing w:line="240" w:lineRule="auto"/>
              <w:ind w:firstLine="0"/>
            </w:pPr>
            <w:r w:rsidRPr="004D46AC">
              <w:t>2</w:t>
            </w:r>
          </w:p>
        </w:tc>
        <w:tc>
          <w:tcPr>
            <w:tcW w:w="1150" w:type="dxa"/>
          </w:tcPr>
          <w:p w14:paraId="471B782F" w14:textId="77777777" w:rsidR="009864DB" w:rsidRPr="004D46AC" w:rsidRDefault="009864DB" w:rsidP="009864DB">
            <w:pPr>
              <w:spacing w:line="240" w:lineRule="auto"/>
              <w:ind w:firstLine="0"/>
            </w:pPr>
            <w:r w:rsidRPr="004D46AC">
              <w:t>1</w:t>
            </w:r>
          </w:p>
        </w:tc>
        <w:tc>
          <w:tcPr>
            <w:tcW w:w="1756" w:type="dxa"/>
            <w:vAlign w:val="center"/>
          </w:tcPr>
          <w:p w14:paraId="03DE7978" w14:textId="77777777" w:rsidR="009864DB" w:rsidRPr="004D46AC" w:rsidRDefault="009864DB" w:rsidP="009864DB">
            <w:pPr>
              <w:spacing w:line="240" w:lineRule="auto"/>
              <w:ind w:firstLine="0"/>
            </w:pPr>
            <w:r w:rsidRPr="004D46AC">
              <w:t>any</w:t>
            </w:r>
          </w:p>
        </w:tc>
        <w:tc>
          <w:tcPr>
            <w:tcW w:w="1152" w:type="dxa"/>
            <w:vAlign w:val="center"/>
          </w:tcPr>
          <w:p w14:paraId="08E6B4A2" w14:textId="77777777" w:rsidR="009864DB" w:rsidRPr="004D46AC" w:rsidRDefault="009864DB" w:rsidP="009864DB">
            <w:pPr>
              <w:spacing w:line="240" w:lineRule="auto"/>
              <w:ind w:firstLine="0"/>
            </w:pPr>
            <w:r w:rsidRPr="004D46AC">
              <w:t>28</w:t>
            </w:r>
          </w:p>
        </w:tc>
      </w:tr>
      <w:tr w:rsidR="009864DB" w:rsidRPr="004D46AC" w14:paraId="2BBF3FC9" w14:textId="77777777" w:rsidTr="00B518F1">
        <w:trPr>
          <w:trHeight w:val="254"/>
        </w:trPr>
        <w:tc>
          <w:tcPr>
            <w:tcW w:w="1440" w:type="dxa"/>
          </w:tcPr>
          <w:p w14:paraId="104412D9" w14:textId="77777777" w:rsidR="009864DB" w:rsidRPr="004D46AC" w:rsidRDefault="009864DB" w:rsidP="009864DB">
            <w:pPr>
              <w:spacing w:line="240" w:lineRule="auto"/>
              <w:ind w:firstLine="0"/>
            </w:pPr>
            <w:r w:rsidRPr="004D46AC">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instrText xml:space="preserve"> ADDIN EN.CITE </w:instrText>
            </w:r>
            <w:r w:rsidRPr="004D46AC">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Stein et al. (2020)</w:t>
            </w:r>
            <w:r w:rsidRPr="004D46AC">
              <w:fldChar w:fldCharType="end"/>
            </w:r>
          </w:p>
        </w:tc>
        <w:tc>
          <w:tcPr>
            <w:tcW w:w="1189" w:type="dxa"/>
            <w:vAlign w:val="center"/>
          </w:tcPr>
          <w:p w14:paraId="1E93BCC4" w14:textId="77777777" w:rsidR="009864DB" w:rsidRPr="004D46AC" w:rsidRDefault="009864DB" w:rsidP="009864DB">
            <w:pPr>
              <w:spacing w:line="240" w:lineRule="auto"/>
              <w:ind w:firstLine="0"/>
            </w:pPr>
            <w:r w:rsidRPr="004D46AC">
              <w:t>6</w:t>
            </w:r>
          </w:p>
        </w:tc>
        <w:tc>
          <w:tcPr>
            <w:tcW w:w="1186" w:type="dxa"/>
            <w:vAlign w:val="center"/>
          </w:tcPr>
          <w:p w14:paraId="24BD6BF1" w14:textId="77777777" w:rsidR="009864DB" w:rsidRPr="004D46AC" w:rsidRDefault="009864DB" w:rsidP="009864DB">
            <w:pPr>
              <w:spacing w:line="240" w:lineRule="auto"/>
              <w:ind w:firstLine="0"/>
            </w:pPr>
            <w:r w:rsidRPr="004D46AC">
              <w:t>41.72</w:t>
            </w:r>
          </w:p>
        </w:tc>
        <w:tc>
          <w:tcPr>
            <w:tcW w:w="1235" w:type="dxa"/>
            <w:vAlign w:val="center"/>
          </w:tcPr>
          <w:p w14:paraId="11E2D3FF" w14:textId="77777777" w:rsidR="009864DB" w:rsidRPr="004D46AC" w:rsidRDefault="009864DB" w:rsidP="009864DB">
            <w:pPr>
              <w:spacing w:line="240" w:lineRule="auto"/>
              <w:ind w:firstLine="0"/>
            </w:pPr>
            <w:r w:rsidRPr="004D46AC">
              <w:t>DSM4</w:t>
            </w:r>
          </w:p>
        </w:tc>
        <w:tc>
          <w:tcPr>
            <w:tcW w:w="1524" w:type="dxa"/>
            <w:vAlign w:val="center"/>
          </w:tcPr>
          <w:p w14:paraId="45EB9023" w14:textId="77777777" w:rsidR="009864DB" w:rsidRPr="004D46AC" w:rsidRDefault="009864DB" w:rsidP="009864DB">
            <w:pPr>
              <w:spacing w:line="240" w:lineRule="auto"/>
              <w:ind w:firstLine="0"/>
            </w:pPr>
            <w:r w:rsidRPr="004D46AC">
              <w:t>SAPS</w:t>
            </w:r>
          </w:p>
        </w:tc>
        <w:tc>
          <w:tcPr>
            <w:tcW w:w="1177" w:type="dxa"/>
            <w:vAlign w:val="center"/>
          </w:tcPr>
          <w:p w14:paraId="790578E3" w14:textId="77777777" w:rsidR="009864DB" w:rsidRPr="004D46AC" w:rsidRDefault="009864DB" w:rsidP="009864DB">
            <w:pPr>
              <w:spacing w:line="240" w:lineRule="auto"/>
              <w:ind w:firstLine="0"/>
            </w:pPr>
            <w:r w:rsidRPr="004D46AC">
              <w:t>151</w:t>
            </w:r>
          </w:p>
        </w:tc>
        <w:tc>
          <w:tcPr>
            <w:tcW w:w="1210" w:type="dxa"/>
            <w:vAlign w:val="center"/>
          </w:tcPr>
          <w:p w14:paraId="61FB8510" w14:textId="77777777" w:rsidR="009864DB" w:rsidRPr="004D46AC" w:rsidRDefault="009864DB" w:rsidP="009864DB">
            <w:pPr>
              <w:spacing w:line="240" w:lineRule="auto"/>
              <w:ind w:firstLine="0"/>
            </w:pPr>
            <w:r w:rsidRPr="004D46AC">
              <w:t>2</w:t>
            </w:r>
          </w:p>
        </w:tc>
        <w:tc>
          <w:tcPr>
            <w:tcW w:w="1155" w:type="dxa"/>
            <w:vAlign w:val="center"/>
          </w:tcPr>
          <w:p w14:paraId="092CA689" w14:textId="77777777" w:rsidR="009864DB" w:rsidRPr="004D46AC" w:rsidRDefault="009864DB" w:rsidP="009864DB">
            <w:pPr>
              <w:spacing w:line="240" w:lineRule="auto"/>
              <w:ind w:firstLine="0"/>
            </w:pPr>
            <w:r w:rsidRPr="004D46AC">
              <w:t>1</w:t>
            </w:r>
          </w:p>
        </w:tc>
        <w:tc>
          <w:tcPr>
            <w:tcW w:w="1150" w:type="dxa"/>
          </w:tcPr>
          <w:p w14:paraId="10FD8294" w14:textId="77777777" w:rsidR="009864DB" w:rsidRPr="004D46AC" w:rsidRDefault="009864DB" w:rsidP="009864DB">
            <w:pPr>
              <w:spacing w:line="240" w:lineRule="auto"/>
              <w:ind w:firstLine="0"/>
            </w:pPr>
            <w:r w:rsidRPr="004D46AC">
              <w:t>1</w:t>
            </w:r>
          </w:p>
        </w:tc>
        <w:tc>
          <w:tcPr>
            <w:tcW w:w="1756" w:type="dxa"/>
            <w:vAlign w:val="center"/>
          </w:tcPr>
          <w:p w14:paraId="68873311" w14:textId="77777777" w:rsidR="009864DB" w:rsidRPr="004D46AC" w:rsidRDefault="009864DB" w:rsidP="009864DB">
            <w:pPr>
              <w:spacing w:line="240" w:lineRule="auto"/>
              <w:ind w:firstLine="0"/>
            </w:pPr>
            <w:r w:rsidRPr="004D46AC">
              <w:t>any</w:t>
            </w:r>
          </w:p>
        </w:tc>
        <w:tc>
          <w:tcPr>
            <w:tcW w:w="1152" w:type="dxa"/>
            <w:vAlign w:val="center"/>
          </w:tcPr>
          <w:p w14:paraId="25BF0212" w14:textId="77777777" w:rsidR="009864DB" w:rsidRPr="004D46AC" w:rsidRDefault="009864DB" w:rsidP="009864DB">
            <w:pPr>
              <w:spacing w:line="240" w:lineRule="auto"/>
              <w:ind w:firstLine="0"/>
            </w:pPr>
            <w:r w:rsidRPr="004D46AC">
              <w:t>36</w:t>
            </w:r>
          </w:p>
        </w:tc>
      </w:tr>
      <w:tr w:rsidR="009864DB" w:rsidRPr="004D46AC" w14:paraId="2E71D91B" w14:textId="77777777" w:rsidTr="00B518F1">
        <w:trPr>
          <w:trHeight w:val="254"/>
        </w:trPr>
        <w:tc>
          <w:tcPr>
            <w:tcW w:w="1440" w:type="dxa"/>
          </w:tcPr>
          <w:p w14:paraId="62FED44A" w14:textId="77777777" w:rsidR="009864DB" w:rsidRPr="004D46AC" w:rsidRDefault="009864DB" w:rsidP="009864DB">
            <w:pPr>
              <w:spacing w:line="240" w:lineRule="auto"/>
              <w:ind w:firstLine="0"/>
            </w:pPr>
            <w:r w:rsidRPr="004D46AC">
              <w:fldChar w:fldCharType="begin">
                <w:fldData xml:space="preserve">PEVuZE5vdGU+PENpdGUgQXV0aG9yWWVhcj0iMSI+PEF1dGhvcj5Tb25nPC9BdXRob3I+PFllYXI+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instrText xml:space="preserve"> ADDIN EN.CITE </w:instrText>
            </w:r>
            <w:r w:rsidRPr="004D46AC">
              <w:fldChar w:fldCharType="begin">
                <w:fldData xml:space="preserve">PEVuZE5vdGU+PENpdGUgQXV0aG9yWWVhcj0iMSI+PEF1dGhvcj5Tb25nPC9BdXRob3I+PFllYXI+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instrText xml:space="preserve"> ADDIN EN.CITE.DATA </w:instrText>
            </w:r>
            <w:r w:rsidRPr="004D46AC">
              <w:fldChar w:fldCharType="end"/>
            </w:r>
            <w:r w:rsidRPr="004D46AC">
              <w:fldChar w:fldCharType="separate"/>
            </w:r>
            <w:r w:rsidRPr="004D46AC">
              <w:t>Song et al. (2012)</w:t>
            </w:r>
            <w:r w:rsidRPr="004D46AC">
              <w:fldChar w:fldCharType="end"/>
            </w:r>
          </w:p>
        </w:tc>
        <w:tc>
          <w:tcPr>
            <w:tcW w:w="1189" w:type="dxa"/>
            <w:vAlign w:val="center"/>
          </w:tcPr>
          <w:p w14:paraId="652305A7" w14:textId="77777777" w:rsidR="009864DB" w:rsidRPr="004D46AC" w:rsidRDefault="009864DB" w:rsidP="009864DB">
            <w:pPr>
              <w:spacing w:line="240" w:lineRule="auto"/>
              <w:ind w:firstLine="0"/>
            </w:pPr>
            <w:r w:rsidRPr="004D46AC">
              <w:t>6</w:t>
            </w:r>
          </w:p>
        </w:tc>
        <w:tc>
          <w:tcPr>
            <w:tcW w:w="1186" w:type="dxa"/>
            <w:vAlign w:val="center"/>
          </w:tcPr>
          <w:p w14:paraId="0B9CD1A8" w14:textId="77777777" w:rsidR="009864DB" w:rsidRPr="004D46AC" w:rsidRDefault="009864DB" w:rsidP="009864DB">
            <w:pPr>
              <w:spacing w:line="240" w:lineRule="auto"/>
              <w:ind w:firstLine="0"/>
            </w:pPr>
            <w:r w:rsidRPr="004D46AC">
              <w:t>32.2</w:t>
            </w:r>
          </w:p>
        </w:tc>
        <w:tc>
          <w:tcPr>
            <w:tcW w:w="1235" w:type="dxa"/>
            <w:vAlign w:val="center"/>
          </w:tcPr>
          <w:p w14:paraId="1A23C26C" w14:textId="77777777" w:rsidR="009864DB" w:rsidRPr="004D46AC" w:rsidRDefault="009864DB" w:rsidP="009864DB">
            <w:pPr>
              <w:spacing w:line="240" w:lineRule="auto"/>
              <w:ind w:firstLine="0"/>
            </w:pPr>
            <w:r w:rsidRPr="004D46AC">
              <w:t>DSM4</w:t>
            </w:r>
          </w:p>
        </w:tc>
        <w:tc>
          <w:tcPr>
            <w:tcW w:w="1524" w:type="dxa"/>
            <w:vAlign w:val="center"/>
          </w:tcPr>
          <w:p w14:paraId="68E65909" w14:textId="77777777" w:rsidR="009864DB" w:rsidRPr="004D46AC" w:rsidRDefault="009864DB" w:rsidP="009864DB">
            <w:pPr>
              <w:spacing w:line="240" w:lineRule="auto"/>
              <w:ind w:firstLine="0"/>
            </w:pPr>
            <w:r w:rsidRPr="004D46AC">
              <w:t>DIGS</w:t>
            </w:r>
          </w:p>
        </w:tc>
        <w:tc>
          <w:tcPr>
            <w:tcW w:w="1177" w:type="dxa"/>
            <w:vAlign w:val="center"/>
          </w:tcPr>
          <w:p w14:paraId="67F2AA20" w14:textId="77777777" w:rsidR="009864DB" w:rsidRPr="004D46AC" w:rsidRDefault="009864DB" w:rsidP="009864DB">
            <w:pPr>
              <w:spacing w:line="240" w:lineRule="auto"/>
              <w:ind w:firstLine="0"/>
            </w:pPr>
            <w:r w:rsidRPr="004D46AC">
              <w:t>212</w:t>
            </w:r>
          </w:p>
        </w:tc>
        <w:tc>
          <w:tcPr>
            <w:tcW w:w="1210" w:type="dxa"/>
            <w:vAlign w:val="center"/>
          </w:tcPr>
          <w:p w14:paraId="63757121" w14:textId="77777777" w:rsidR="009864DB" w:rsidRPr="004D46AC" w:rsidRDefault="009864DB" w:rsidP="009864DB">
            <w:pPr>
              <w:spacing w:line="240" w:lineRule="auto"/>
              <w:ind w:firstLine="0"/>
            </w:pPr>
            <w:r w:rsidRPr="004D46AC">
              <w:t>unclear</w:t>
            </w:r>
          </w:p>
        </w:tc>
        <w:tc>
          <w:tcPr>
            <w:tcW w:w="1155" w:type="dxa"/>
            <w:vAlign w:val="center"/>
          </w:tcPr>
          <w:p w14:paraId="2B81E139" w14:textId="77777777" w:rsidR="009864DB" w:rsidRPr="004D46AC" w:rsidRDefault="009864DB" w:rsidP="009864DB">
            <w:pPr>
              <w:spacing w:line="240" w:lineRule="auto"/>
              <w:ind w:firstLine="0"/>
            </w:pPr>
            <w:r w:rsidRPr="004D46AC">
              <w:t>1</w:t>
            </w:r>
          </w:p>
        </w:tc>
        <w:tc>
          <w:tcPr>
            <w:tcW w:w="1150" w:type="dxa"/>
          </w:tcPr>
          <w:p w14:paraId="30AA0034" w14:textId="77777777" w:rsidR="009864DB" w:rsidRPr="004D46AC" w:rsidRDefault="009864DB" w:rsidP="009864DB">
            <w:pPr>
              <w:spacing w:line="240" w:lineRule="auto"/>
              <w:ind w:firstLine="0"/>
            </w:pPr>
            <w:r w:rsidRPr="004D46AC">
              <w:t>1</w:t>
            </w:r>
          </w:p>
        </w:tc>
        <w:tc>
          <w:tcPr>
            <w:tcW w:w="1756" w:type="dxa"/>
            <w:vAlign w:val="center"/>
          </w:tcPr>
          <w:p w14:paraId="04D6A316" w14:textId="77777777" w:rsidR="009864DB" w:rsidRPr="004D46AC" w:rsidRDefault="009864DB" w:rsidP="009864DB">
            <w:pPr>
              <w:spacing w:line="240" w:lineRule="auto"/>
              <w:ind w:firstLine="0"/>
            </w:pPr>
            <w:r w:rsidRPr="004D46AC">
              <w:t>any</w:t>
            </w:r>
          </w:p>
        </w:tc>
        <w:tc>
          <w:tcPr>
            <w:tcW w:w="1152" w:type="dxa"/>
            <w:vAlign w:val="center"/>
          </w:tcPr>
          <w:p w14:paraId="393B2E74" w14:textId="77777777" w:rsidR="009864DB" w:rsidRPr="004D46AC" w:rsidRDefault="009864DB" w:rsidP="009864DB">
            <w:pPr>
              <w:spacing w:line="240" w:lineRule="auto"/>
              <w:ind w:firstLine="0"/>
            </w:pPr>
            <w:r w:rsidRPr="004D46AC">
              <w:t>97</w:t>
            </w:r>
          </w:p>
        </w:tc>
      </w:tr>
      <w:tr w:rsidR="009864DB" w:rsidRPr="004D46AC" w14:paraId="29405245" w14:textId="77777777" w:rsidTr="00B518F1">
        <w:trPr>
          <w:trHeight w:val="254"/>
        </w:trPr>
        <w:tc>
          <w:tcPr>
            <w:tcW w:w="1440" w:type="dxa"/>
          </w:tcPr>
          <w:p w14:paraId="60A2A6CA" w14:textId="77777777" w:rsidR="009864DB" w:rsidRPr="004D46AC" w:rsidRDefault="009864DB" w:rsidP="009864DB">
            <w:pPr>
              <w:spacing w:line="240" w:lineRule="auto"/>
              <w:ind w:firstLine="0"/>
            </w:pPr>
            <w:r w:rsidRPr="004D46AC">
              <w:fldChar w:fldCharType="begin">
                <w:fldData xml:space="preserve">PEVuZE5vdGU+PENpdGUgQXV0aG9yWWVhcj0iMSI+PEF1dGhvcj5Fa21hbjwvQXV0aG9yPjxZZWFy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instrText xml:space="preserve"> ADDIN EN.CITE </w:instrText>
            </w:r>
            <w:r w:rsidRPr="004D46AC">
              <w:fldChar w:fldCharType="begin">
                <w:fldData xml:space="preserve">PEVuZE5vdGU+PENpdGUgQXV0aG9yWWVhcj0iMSI+PEF1dGhvcj5Fa21hbjwvQXV0aG9yPjxZZWFy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instrText xml:space="preserve"> ADDIN EN.CITE.DATA </w:instrText>
            </w:r>
            <w:r w:rsidRPr="004D46AC">
              <w:fldChar w:fldCharType="end"/>
            </w:r>
            <w:r w:rsidRPr="004D46AC">
              <w:fldChar w:fldCharType="separate"/>
            </w:r>
            <w:r w:rsidRPr="004D46AC">
              <w:t>Ekman et al. (2017)</w:t>
            </w:r>
            <w:r w:rsidRPr="004D46AC">
              <w:fldChar w:fldCharType="end"/>
            </w:r>
          </w:p>
        </w:tc>
        <w:tc>
          <w:tcPr>
            <w:tcW w:w="1189" w:type="dxa"/>
            <w:vAlign w:val="center"/>
          </w:tcPr>
          <w:p w14:paraId="5AE5863F" w14:textId="77777777" w:rsidR="009864DB" w:rsidRPr="004D46AC" w:rsidRDefault="009864DB" w:rsidP="009864DB">
            <w:pPr>
              <w:spacing w:line="240" w:lineRule="auto"/>
              <w:ind w:firstLine="0"/>
            </w:pPr>
            <w:r w:rsidRPr="004D46AC">
              <w:t>7</w:t>
            </w:r>
          </w:p>
        </w:tc>
        <w:tc>
          <w:tcPr>
            <w:tcW w:w="1186" w:type="dxa"/>
            <w:vAlign w:val="center"/>
          </w:tcPr>
          <w:p w14:paraId="325C0A2F" w14:textId="77777777" w:rsidR="009864DB" w:rsidRPr="004D46AC" w:rsidRDefault="009864DB" w:rsidP="009864DB">
            <w:pPr>
              <w:spacing w:line="240" w:lineRule="auto"/>
              <w:ind w:firstLine="0"/>
            </w:pPr>
            <w:r w:rsidRPr="004D46AC">
              <w:t>38.47</w:t>
            </w:r>
          </w:p>
        </w:tc>
        <w:tc>
          <w:tcPr>
            <w:tcW w:w="1235" w:type="dxa"/>
            <w:vAlign w:val="center"/>
          </w:tcPr>
          <w:p w14:paraId="0FFF8B1D" w14:textId="77777777" w:rsidR="009864DB" w:rsidRPr="004D46AC" w:rsidRDefault="009864DB" w:rsidP="009864DB">
            <w:pPr>
              <w:spacing w:line="240" w:lineRule="auto"/>
              <w:ind w:firstLine="0"/>
            </w:pPr>
            <w:r w:rsidRPr="004D46AC">
              <w:t>DSM4TR</w:t>
            </w:r>
          </w:p>
        </w:tc>
        <w:tc>
          <w:tcPr>
            <w:tcW w:w="1524" w:type="dxa"/>
            <w:vAlign w:val="center"/>
          </w:tcPr>
          <w:p w14:paraId="59888970" w14:textId="77777777" w:rsidR="009864DB" w:rsidRPr="004D46AC" w:rsidRDefault="009864DB" w:rsidP="009864DB">
            <w:pPr>
              <w:spacing w:line="240" w:lineRule="auto"/>
              <w:ind w:firstLine="0"/>
            </w:pPr>
            <w:r w:rsidRPr="004D46AC">
              <w:t>mixed</w:t>
            </w:r>
          </w:p>
        </w:tc>
        <w:tc>
          <w:tcPr>
            <w:tcW w:w="1177" w:type="dxa"/>
            <w:vAlign w:val="center"/>
          </w:tcPr>
          <w:p w14:paraId="660D667A" w14:textId="77777777" w:rsidR="009864DB" w:rsidRPr="004D46AC" w:rsidRDefault="009864DB" w:rsidP="009864DB">
            <w:pPr>
              <w:spacing w:line="240" w:lineRule="auto"/>
              <w:ind w:firstLine="0"/>
            </w:pPr>
            <w:r w:rsidRPr="004D46AC">
              <w:t>167</w:t>
            </w:r>
          </w:p>
        </w:tc>
        <w:tc>
          <w:tcPr>
            <w:tcW w:w="1210" w:type="dxa"/>
            <w:vAlign w:val="center"/>
          </w:tcPr>
          <w:p w14:paraId="2B213987" w14:textId="77777777" w:rsidR="009864DB" w:rsidRPr="004D46AC" w:rsidRDefault="009864DB" w:rsidP="009864DB">
            <w:pPr>
              <w:spacing w:line="240" w:lineRule="auto"/>
              <w:ind w:firstLine="0"/>
            </w:pPr>
            <w:r w:rsidRPr="004D46AC">
              <w:t>1</w:t>
            </w:r>
          </w:p>
        </w:tc>
        <w:tc>
          <w:tcPr>
            <w:tcW w:w="1155" w:type="dxa"/>
            <w:vAlign w:val="center"/>
          </w:tcPr>
          <w:p w14:paraId="34A8B667" w14:textId="77777777" w:rsidR="009864DB" w:rsidRPr="004D46AC" w:rsidRDefault="009864DB" w:rsidP="009864DB">
            <w:pPr>
              <w:spacing w:line="240" w:lineRule="auto"/>
              <w:ind w:firstLine="0"/>
            </w:pPr>
            <w:r w:rsidRPr="004D46AC">
              <w:t>1</w:t>
            </w:r>
          </w:p>
        </w:tc>
        <w:tc>
          <w:tcPr>
            <w:tcW w:w="1150" w:type="dxa"/>
          </w:tcPr>
          <w:p w14:paraId="476A5666" w14:textId="77777777" w:rsidR="009864DB" w:rsidRPr="004D46AC" w:rsidRDefault="009864DB" w:rsidP="009864DB">
            <w:pPr>
              <w:spacing w:line="240" w:lineRule="auto"/>
              <w:ind w:firstLine="0"/>
            </w:pPr>
            <w:r w:rsidRPr="004D46AC">
              <w:t>1</w:t>
            </w:r>
          </w:p>
        </w:tc>
        <w:tc>
          <w:tcPr>
            <w:tcW w:w="1756" w:type="dxa"/>
            <w:vAlign w:val="center"/>
          </w:tcPr>
          <w:p w14:paraId="55815DBF" w14:textId="77777777" w:rsidR="009864DB" w:rsidRPr="004D46AC" w:rsidRDefault="009864DB" w:rsidP="009864DB">
            <w:pPr>
              <w:spacing w:line="240" w:lineRule="auto"/>
              <w:ind w:firstLine="0"/>
            </w:pPr>
            <w:r w:rsidRPr="004D46AC">
              <w:t>any</w:t>
            </w:r>
          </w:p>
        </w:tc>
        <w:tc>
          <w:tcPr>
            <w:tcW w:w="1152" w:type="dxa"/>
            <w:vAlign w:val="center"/>
          </w:tcPr>
          <w:p w14:paraId="5EF6484B" w14:textId="77777777" w:rsidR="009864DB" w:rsidRPr="004D46AC" w:rsidRDefault="009864DB" w:rsidP="009864DB">
            <w:pPr>
              <w:spacing w:line="240" w:lineRule="auto"/>
              <w:ind w:firstLine="0"/>
            </w:pPr>
            <w:r w:rsidRPr="004D46AC">
              <w:t>77</w:t>
            </w:r>
          </w:p>
        </w:tc>
      </w:tr>
      <w:tr w:rsidR="009864DB" w:rsidRPr="004D46AC" w14:paraId="06179E15" w14:textId="77777777" w:rsidTr="00B518F1">
        <w:trPr>
          <w:trHeight w:val="254"/>
        </w:trPr>
        <w:tc>
          <w:tcPr>
            <w:tcW w:w="1440" w:type="dxa"/>
          </w:tcPr>
          <w:p w14:paraId="23A0DF8F" w14:textId="77777777" w:rsidR="009864DB" w:rsidRPr="004D46AC" w:rsidRDefault="009864DB" w:rsidP="009864DB">
            <w:pPr>
              <w:spacing w:line="240" w:lineRule="auto"/>
              <w:ind w:firstLine="0"/>
            </w:pPr>
            <w:r w:rsidRPr="004D46AC">
              <w:fldChar w:fldCharType="begin">
                <w:fldData xml:space="preserve">PEVuZE5vdGU+PENpdGUgQXV0aG9yWWVhcj0iMSI+PEF1dGhvcj5TY2h1dHRlPC9BdXRob3I+PFll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</w:fldData>
              </w:fldChar>
            </w:r>
            <w:r w:rsidRPr="004D46AC">
              <w:instrText xml:space="preserve"> ADDIN EN.CITE </w:instrText>
            </w:r>
            <w:r w:rsidRPr="004D46AC">
              <w:fldChar w:fldCharType="begin">
                <w:fldData xml:space="preserve">PEVuZE5vdGU+PENpdGUgQXV0aG9yWWVhcj0iMSI+PEF1dGhvcj5TY2h1dHRlPC9BdXRob3I+PFll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</w:fldData>
              </w:fldChar>
            </w:r>
            <w:r w:rsidRPr="004D46AC">
              <w:instrText xml:space="preserve"> ADDIN EN.CITE.DATA </w:instrText>
            </w:r>
            <w:r w:rsidRPr="004D46AC">
              <w:fldChar w:fldCharType="end"/>
            </w:r>
            <w:r w:rsidRPr="004D46AC">
              <w:fldChar w:fldCharType="separate"/>
            </w:r>
            <w:r w:rsidRPr="004D46AC">
              <w:t>Schutte et al. (2022)</w:t>
            </w:r>
            <w:r w:rsidRPr="004D46AC">
              <w:fldChar w:fldCharType="end"/>
            </w:r>
          </w:p>
        </w:tc>
        <w:tc>
          <w:tcPr>
            <w:tcW w:w="1189" w:type="dxa"/>
            <w:vAlign w:val="center"/>
          </w:tcPr>
          <w:p w14:paraId="6DAD3728" w14:textId="77777777" w:rsidR="009864DB" w:rsidRPr="004D46AC" w:rsidRDefault="009864DB" w:rsidP="009864DB">
            <w:pPr>
              <w:spacing w:line="240" w:lineRule="auto"/>
              <w:ind w:firstLine="0"/>
            </w:pPr>
            <w:r w:rsidRPr="004D46AC">
              <w:t>5</w:t>
            </w:r>
          </w:p>
        </w:tc>
        <w:tc>
          <w:tcPr>
            <w:tcW w:w="1186" w:type="dxa"/>
            <w:vAlign w:val="center"/>
          </w:tcPr>
          <w:p w14:paraId="2929DAF1" w14:textId="77777777" w:rsidR="009864DB" w:rsidRPr="004D46AC" w:rsidRDefault="009864DB" w:rsidP="009864DB">
            <w:pPr>
              <w:spacing w:line="240" w:lineRule="auto"/>
              <w:ind w:firstLine="0"/>
            </w:pPr>
            <w:r w:rsidRPr="004D46AC">
              <w:t>48.31</w:t>
            </w:r>
          </w:p>
        </w:tc>
        <w:tc>
          <w:tcPr>
            <w:tcW w:w="1235" w:type="dxa"/>
            <w:vAlign w:val="center"/>
          </w:tcPr>
          <w:p w14:paraId="45C1081F" w14:textId="77777777" w:rsidR="009864DB" w:rsidRPr="004D46AC" w:rsidRDefault="009864DB" w:rsidP="009864DB">
            <w:pPr>
              <w:spacing w:line="240" w:lineRule="auto"/>
              <w:ind w:firstLine="0"/>
            </w:pPr>
            <w:r w:rsidRPr="004D46AC">
              <w:t>DSM4</w:t>
            </w:r>
          </w:p>
        </w:tc>
        <w:tc>
          <w:tcPr>
            <w:tcW w:w="1524" w:type="dxa"/>
            <w:vAlign w:val="center"/>
          </w:tcPr>
          <w:p w14:paraId="19616C6C" w14:textId="77777777" w:rsidR="009864DB" w:rsidRPr="004D46AC" w:rsidRDefault="009864DB" w:rsidP="009864DB">
            <w:pPr>
              <w:spacing w:line="240" w:lineRule="auto"/>
              <w:ind w:firstLine="0"/>
            </w:pPr>
            <w:r w:rsidRPr="004D46AC">
              <w:t>CASH</w:t>
            </w:r>
          </w:p>
        </w:tc>
        <w:tc>
          <w:tcPr>
            <w:tcW w:w="1177" w:type="dxa"/>
            <w:vAlign w:val="center"/>
          </w:tcPr>
          <w:p w14:paraId="498938EF" w14:textId="77777777" w:rsidR="009864DB" w:rsidRPr="004D46AC" w:rsidRDefault="009864DB" w:rsidP="009864DB">
            <w:pPr>
              <w:spacing w:line="240" w:lineRule="auto"/>
              <w:ind w:firstLine="0"/>
            </w:pPr>
            <w:r w:rsidRPr="004D46AC">
              <w:t>113</w:t>
            </w:r>
          </w:p>
        </w:tc>
        <w:tc>
          <w:tcPr>
            <w:tcW w:w="1210" w:type="dxa"/>
            <w:vAlign w:val="center"/>
          </w:tcPr>
          <w:p w14:paraId="305A1087" w14:textId="77777777" w:rsidR="009864DB" w:rsidRPr="004D46AC" w:rsidRDefault="009864DB" w:rsidP="009864DB">
            <w:pPr>
              <w:spacing w:line="240" w:lineRule="auto"/>
              <w:ind w:firstLine="0"/>
            </w:pPr>
            <w:r w:rsidRPr="004D46AC">
              <w:t>unclear</w:t>
            </w:r>
          </w:p>
        </w:tc>
        <w:tc>
          <w:tcPr>
            <w:tcW w:w="1155" w:type="dxa"/>
            <w:vAlign w:val="center"/>
          </w:tcPr>
          <w:p w14:paraId="0A38CD82" w14:textId="77777777" w:rsidR="009864DB" w:rsidRPr="004D46AC" w:rsidRDefault="009864DB" w:rsidP="009864DB">
            <w:pPr>
              <w:spacing w:line="240" w:lineRule="auto"/>
              <w:ind w:firstLine="0"/>
            </w:pPr>
            <w:r w:rsidRPr="004D46AC">
              <w:t>1</w:t>
            </w:r>
          </w:p>
        </w:tc>
        <w:tc>
          <w:tcPr>
            <w:tcW w:w="1150" w:type="dxa"/>
          </w:tcPr>
          <w:p w14:paraId="4030AC20" w14:textId="77777777" w:rsidR="009864DB" w:rsidRPr="004D46AC" w:rsidRDefault="009864DB" w:rsidP="009864DB">
            <w:pPr>
              <w:spacing w:line="240" w:lineRule="auto"/>
              <w:ind w:firstLine="0"/>
            </w:pPr>
            <w:r w:rsidRPr="004D46AC">
              <w:t>1</w:t>
            </w:r>
          </w:p>
        </w:tc>
        <w:tc>
          <w:tcPr>
            <w:tcW w:w="1756" w:type="dxa"/>
            <w:vAlign w:val="center"/>
          </w:tcPr>
          <w:p w14:paraId="26480E6F" w14:textId="77777777" w:rsidR="009864DB" w:rsidRPr="004D46AC" w:rsidRDefault="009864DB" w:rsidP="009864DB">
            <w:pPr>
              <w:spacing w:line="240" w:lineRule="auto"/>
              <w:ind w:firstLine="0"/>
            </w:pPr>
            <w:r w:rsidRPr="004D46AC">
              <w:t>any</w:t>
            </w:r>
          </w:p>
        </w:tc>
        <w:tc>
          <w:tcPr>
            <w:tcW w:w="1152" w:type="dxa"/>
            <w:vAlign w:val="center"/>
          </w:tcPr>
          <w:p w14:paraId="355E84C1" w14:textId="77777777" w:rsidR="009864DB" w:rsidRPr="004D46AC" w:rsidRDefault="009864DB" w:rsidP="009864DB">
            <w:pPr>
              <w:spacing w:line="240" w:lineRule="auto"/>
              <w:ind w:firstLine="0"/>
            </w:pPr>
            <w:r w:rsidRPr="004D46AC">
              <w:t>63</w:t>
            </w:r>
          </w:p>
        </w:tc>
      </w:tr>
      <w:tr w:rsidR="009864DB" w:rsidRPr="004D46AC" w14:paraId="31942557" w14:textId="77777777" w:rsidTr="00B518F1">
        <w:trPr>
          <w:trHeight w:val="262"/>
        </w:trPr>
        <w:tc>
          <w:tcPr>
            <w:tcW w:w="1440" w:type="dxa"/>
          </w:tcPr>
          <w:p w14:paraId="5318476C" w14:textId="77777777" w:rsidR="009864DB" w:rsidRPr="004D46AC" w:rsidRDefault="009864DB" w:rsidP="009864DB">
            <w:pPr>
              <w:spacing w:line="240" w:lineRule="auto"/>
              <w:ind w:firstLine="0"/>
            </w:pPr>
            <w:r w:rsidRPr="004D46AC">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instrText xml:space="preserve"> ADDIN EN.CITE </w:instrText>
            </w:r>
            <w:r w:rsidRPr="004D46AC">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instrText xml:space="preserve"> ADDIN EN.CITE.DATA </w:instrText>
            </w:r>
            <w:r w:rsidRPr="004D46AC">
              <w:fldChar w:fldCharType="end"/>
            </w:r>
            <w:r w:rsidRPr="004D46AC">
              <w:fldChar w:fldCharType="separate"/>
            </w:r>
            <w:r w:rsidRPr="004D46AC">
              <w:t>Morgan et al. (2005)</w:t>
            </w:r>
            <w:r w:rsidRPr="004D46AC">
              <w:fldChar w:fldCharType="end"/>
            </w:r>
          </w:p>
        </w:tc>
        <w:tc>
          <w:tcPr>
            <w:tcW w:w="1189" w:type="dxa"/>
            <w:vAlign w:val="center"/>
          </w:tcPr>
          <w:p w14:paraId="6578D220" w14:textId="77777777" w:rsidR="009864DB" w:rsidRPr="004D46AC" w:rsidRDefault="009864DB" w:rsidP="009864DB">
            <w:pPr>
              <w:spacing w:line="240" w:lineRule="auto"/>
              <w:ind w:firstLine="0"/>
            </w:pPr>
            <w:r w:rsidRPr="004D46AC">
              <w:t>7</w:t>
            </w:r>
          </w:p>
        </w:tc>
        <w:tc>
          <w:tcPr>
            <w:tcW w:w="1186" w:type="dxa"/>
            <w:vAlign w:val="center"/>
          </w:tcPr>
          <w:p w14:paraId="6721F1EF" w14:textId="77777777" w:rsidR="009864DB" w:rsidRPr="004D46AC" w:rsidRDefault="009864DB" w:rsidP="009864DB">
            <w:pPr>
              <w:spacing w:line="240" w:lineRule="auto"/>
              <w:ind w:firstLine="0"/>
            </w:pPr>
            <w:r w:rsidRPr="004D46AC">
              <w:t>42.47</w:t>
            </w:r>
          </w:p>
        </w:tc>
        <w:tc>
          <w:tcPr>
            <w:tcW w:w="1235" w:type="dxa"/>
            <w:vAlign w:val="center"/>
          </w:tcPr>
          <w:p w14:paraId="1C4B55A3" w14:textId="77777777" w:rsidR="009864DB" w:rsidRPr="004D46AC" w:rsidRDefault="009864DB" w:rsidP="009864DB">
            <w:pPr>
              <w:spacing w:line="240" w:lineRule="auto"/>
              <w:ind w:firstLine="0"/>
            </w:pPr>
            <w:r w:rsidRPr="004D46AC">
              <w:t>ICD10</w:t>
            </w:r>
          </w:p>
        </w:tc>
        <w:tc>
          <w:tcPr>
            <w:tcW w:w="1524" w:type="dxa"/>
            <w:vAlign w:val="center"/>
          </w:tcPr>
          <w:p w14:paraId="112112B4" w14:textId="77777777" w:rsidR="009864DB" w:rsidRPr="004D46AC" w:rsidRDefault="009864DB" w:rsidP="009864DB">
            <w:pPr>
              <w:spacing w:line="240" w:lineRule="auto"/>
              <w:ind w:firstLine="0"/>
            </w:pPr>
            <w:r w:rsidRPr="004D46AC">
              <w:t>DIP</w:t>
            </w:r>
          </w:p>
        </w:tc>
        <w:tc>
          <w:tcPr>
            <w:tcW w:w="1177" w:type="dxa"/>
            <w:vAlign w:val="center"/>
          </w:tcPr>
          <w:p w14:paraId="3CD7379E" w14:textId="77777777" w:rsidR="009864DB" w:rsidRPr="004D46AC" w:rsidRDefault="009864DB" w:rsidP="009864DB">
            <w:pPr>
              <w:spacing w:line="240" w:lineRule="auto"/>
              <w:ind w:firstLine="0"/>
            </w:pPr>
            <w:r w:rsidRPr="004D46AC">
              <w:t>112</w:t>
            </w:r>
          </w:p>
        </w:tc>
        <w:tc>
          <w:tcPr>
            <w:tcW w:w="1210" w:type="dxa"/>
            <w:vAlign w:val="center"/>
          </w:tcPr>
          <w:p w14:paraId="277D7307" w14:textId="77777777" w:rsidR="009864DB" w:rsidRPr="004D46AC" w:rsidRDefault="009864DB" w:rsidP="009864DB">
            <w:pPr>
              <w:spacing w:line="240" w:lineRule="auto"/>
              <w:ind w:firstLine="0"/>
            </w:pPr>
            <w:r w:rsidRPr="004D46AC">
              <w:t>2</w:t>
            </w:r>
          </w:p>
        </w:tc>
        <w:tc>
          <w:tcPr>
            <w:tcW w:w="1155" w:type="dxa"/>
            <w:vAlign w:val="center"/>
          </w:tcPr>
          <w:p w14:paraId="12B2AA17" w14:textId="77777777" w:rsidR="009864DB" w:rsidRPr="004D46AC" w:rsidRDefault="009864DB" w:rsidP="009864DB">
            <w:pPr>
              <w:spacing w:line="240" w:lineRule="auto"/>
              <w:ind w:firstLine="0"/>
            </w:pPr>
            <w:r w:rsidRPr="004D46AC">
              <w:t>1</w:t>
            </w:r>
          </w:p>
        </w:tc>
        <w:tc>
          <w:tcPr>
            <w:tcW w:w="1150" w:type="dxa"/>
          </w:tcPr>
          <w:p w14:paraId="6B33DFF6" w14:textId="77777777" w:rsidR="009864DB" w:rsidRPr="004D46AC" w:rsidRDefault="009864DB" w:rsidP="009864DB">
            <w:pPr>
              <w:spacing w:line="240" w:lineRule="auto"/>
              <w:ind w:firstLine="0"/>
            </w:pPr>
            <w:r w:rsidRPr="004D46AC">
              <w:t>1</w:t>
            </w:r>
          </w:p>
        </w:tc>
        <w:tc>
          <w:tcPr>
            <w:tcW w:w="1756" w:type="dxa"/>
            <w:vAlign w:val="center"/>
          </w:tcPr>
          <w:p w14:paraId="4023D5A1" w14:textId="77777777" w:rsidR="009864DB" w:rsidRPr="004D46AC" w:rsidRDefault="009864DB" w:rsidP="009864DB">
            <w:pPr>
              <w:spacing w:line="240" w:lineRule="auto"/>
              <w:ind w:firstLine="0"/>
            </w:pPr>
            <w:r w:rsidRPr="004D46AC">
              <w:t>any</w:t>
            </w:r>
          </w:p>
        </w:tc>
        <w:tc>
          <w:tcPr>
            <w:tcW w:w="1152" w:type="dxa"/>
            <w:vAlign w:val="center"/>
          </w:tcPr>
          <w:p w14:paraId="39C765AB" w14:textId="77777777" w:rsidR="009864DB" w:rsidRPr="004D46AC" w:rsidRDefault="009864DB" w:rsidP="009864DB">
            <w:pPr>
              <w:spacing w:line="240" w:lineRule="auto"/>
              <w:ind w:firstLine="0"/>
            </w:pPr>
            <w:r w:rsidRPr="004D46AC">
              <w:t>96</w:t>
            </w:r>
          </w:p>
        </w:tc>
      </w:tr>
      <w:tr w:rsidR="009864DB" w:rsidRPr="004D46AC" w14:paraId="4DA90C7A" w14:textId="77777777" w:rsidTr="00B518F1">
        <w:trPr>
          <w:trHeight w:val="254"/>
        </w:trPr>
        <w:tc>
          <w:tcPr>
            <w:tcW w:w="1440" w:type="dxa"/>
          </w:tcPr>
          <w:p w14:paraId="1B695ABE" w14:textId="77777777" w:rsidR="009864DB" w:rsidRPr="004D46AC" w:rsidRDefault="009864DB" w:rsidP="009864DB">
            <w:pPr>
              <w:spacing w:line="240" w:lineRule="auto"/>
              <w:ind w:firstLine="0"/>
            </w:pPr>
            <w:r w:rsidRPr="004D46AC">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 </w:instrText>
            </w:r>
            <w:r w:rsidRPr="004D46AC">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instrText xml:space="preserve"> ADDIN EN.CITE.DATA </w:instrText>
            </w:r>
            <w:r w:rsidRPr="004D46AC">
              <w:fldChar w:fldCharType="end"/>
            </w:r>
            <w:r w:rsidRPr="004D46AC">
              <w:fldChar w:fldCharType="separate"/>
            </w:r>
            <w:r w:rsidRPr="004D46AC">
              <w:t>van Bergen et al. (2019)</w:t>
            </w:r>
            <w:r w:rsidRPr="004D46AC">
              <w:fldChar w:fldCharType="end"/>
            </w:r>
          </w:p>
        </w:tc>
        <w:tc>
          <w:tcPr>
            <w:tcW w:w="1189" w:type="dxa"/>
            <w:vAlign w:val="center"/>
          </w:tcPr>
          <w:p w14:paraId="33CAE039" w14:textId="77777777" w:rsidR="009864DB" w:rsidRPr="004D46AC" w:rsidRDefault="009864DB" w:rsidP="009864DB">
            <w:pPr>
              <w:spacing w:line="240" w:lineRule="auto"/>
              <w:ind w:firstLine="0"/>
            </w:pPr>
            <w:r w:rsidRPr="004D46AC">
              <w:t>7</w:t>
            </w:r>
          </w:p>
        </w:tc>
        <w:tc>
          <w:tcPr>
            <w:tcW w:w="1186" w:type="dxa"/>
            <w:vAlign w:val="center"/>
          </w:tcPr>
          <w:p w14:paraId="0908C333" w14:textId="77777777" w:rsidR="009864DB" w:rsidRPr="004D46AC" w:rsidRDefault="009864DB" w:rsidP="009864DB">
            <w:pPr>
              <w:spacing w:line="240" w:lineRule="auto"/>
              <w:ind w:firstLine="0"/>
            </w:pPr>
            <w:r w:rsidRPr="004D46AC">
              <w:t>49.5</w:t>
            </w:r>
          </w:p>
        </w:tc>
        <w:tc>
          <w:tcPr>
            <w:tcW w:w="1235" w:type="dxa"/>
            <w:vAlign w:val="center"/>
          </w:tcPr>
          <w:p w14:paraId="303542DC" w14:textId="77777777" w:rsidR="009864DB" w:rsidRPr="004D46AC" w:rsidRDefault="009864DB" w:rsidP="009864DB">
            <w:pPr>
              <w:spacing w:line="240" w:lineRule="auto"/>
              <w:ind w:firstLine="0"/>
            </w:pPr>
            <w:r w:rsidRPr="004D46AC">
              <w:t>DSM4</w:t>
            </w:r>
          </w:p>
        </w:tc>
        <w:tc>
          <w:tcPr>
            <w:tcW w:w="1524" w:type="dxa"/>
            <w:vAlign w:val="center"/>
          </w:tcPr>
          <w:p w14:paraId="0652C8C5" w14:textId="77777777" w:rsidR="009864DB" w:rsidRPr="004D46AC" w:rsidRDefault="009864DB" w:rsidP="009864DB">
            <w:pPr>
              <w:spacing w:line="240" w:lineRule="auto"/>
              <w:ind w:firstLine="0"/>
            </w:pPr>
            <w:r w:rsidRPr="004D46AC">
              <w:t>SCID</w:t>
            </w:r>
          </w:p>
        </w:tc>
        <w:tc>
          <w:tcPr>
            <w:tcW w:w="1177" w:type="dxa"/>
            <w:vAlign w:val="center"/>
          </w:tcPr>
          <w:p w14:paraId="30ECCEB0" w14:textId="77777777" w:rsidR="009864DB" w:rsidRPr="004D46AC" w:rsidRDefault="009864DB" w:rsidP="009864DB">
            <w:pPr>
              <w:spacing w:line="240" w:lineRule="auto"/>
              <w:ind w:firstLine="0"/>
            </w:pPr>
            <w:r w:rsidRPr="004D46AC">
              <w:t>1342</w:t>
            </w:r>
          </w:p>
        </w:tc>
        <w:tc>
          <w:tcPr>
            <w:tcW w:w="1210" w:type="dxa"/>
            <w:vAlign w:val="center"/>
          </w:tcPr>
          <w:p w14:paraId="07C1F45B" w14:textId="77777777" w:rsidR="009864DB" w:rsidRPr="004D46AC" w:rsidRDefault="009864DB" w:rsidP="009864DB">
            <w:pPr>
              <w:spacing w:line="240" w:lineRule="auto"/>
              <w:ind w:firstLine="0"/>
            </w:pPr>
            <w:r w:rsidRPr="004D46AC">
              <w:t>2</w:t>
            </w:r>
          </w:p>
        </w:tc>
        <w:tc>
          <w:tcPr>
            <w:tcW w:w="1155" w:type="dxa"/>
            <w:vAlign w:val="center"/>
          </w:tcPr>
          <w:p w14:paraId="36C8064D" w14:textId="77777777" w:rsidR="009864DB" w:rsidRPr="004D46AC" w:rsidRDefault="009864DB" w:rsidP="009864DB">
            <w:pPr>
              <w:spacing w:line="240" w:lineRule="auto"/>
              <w:ind w:firstLine="0"/>
            </w:pPr>
            <w:r w:rsidRPr="004D46AC">
              <w:t>2</w:t>
            </w:r>
          </w:p>
        </w:tc>
        <w:tc>
          <w:tcPr>
            <w:tcW w:w="1150" w:type="dxa"/>
          </w:tcPr>
          <w:p w14:paraId="32A67723" w14:textId="77777777" w:rsidR="009864DB" w:rsidRPr="004D46AC" w:rsidRDefault="009864DB" w:rsidP="009864DB">
            <w:pPr>
              <w:spacing w:line="240" w:lineRule="auto"/>
              <w:ind w:firstLine="0"/>
            </w:pPr>
            <w:r w:rsidRPr="004D46AC">
              <w:t>1</w:t>
            </w:r>
          </w:p>
        </w:tc>
        <w:tc>
          <w:tcPr>
            <w:tcW w:w="1756" w:type="dxa"/>
            <w:vAlign w:val="center"/>
          </w:tcPr>
          <w:p w14:paraId="37355846" w14:textId="77777777" w:rsidR="009864DB" w:rsidRPr="004D46AC" w:rsidRDefault="009864DB" w:rsidP="009864DB">
            <w:pPr>
              <w:spacing w:line="240" w:lineRule="auto"/>
              <w:ind w:firstLine="0"/>
            </w:pPr>
            <w:r w:rsidRPr="004D46AC">
              <w:t>any</w:t>
            </w:r>
          </w:p>
        </w:tc>
        <w:tc>
          <w:tcPr>
            <w:tcW w:w="1152" w:type="dxa"/>
            <w:vAlign w:val="center"/>
          </w:tcPr>
          <w:p w14:paraId="1488581D" w14:textId="77777777" w:rsidR="009864DB" w:rsidRPr="004D46AC" w:rsidRDefault="009864DB" w:rsidP="009864DB">
            <w:pPr>
              <w:spacing w:line="240" w:lineRule="auto"/>
              <w:ind w:firstLine="0"/>
            </w:pPr>
            <w:r w:rsidRPr="004D46AC">
              <w:t>925</w:t>
            </w:r>
          </w:p>
        </w:tc>
      </w:tr>
      <w:tr w:rsidR="009864DB" w:rsidRPr="004D46AC" w14:paraId="42945D1D" w14:textId="77777777" w:rsidTr="00B518F1">
        <w:trPr>
          <w:trHeight w:val="254"/>
        </w:trPr>
        <w:tc>
          <w:tcPr>
            <w:tcW w:w="1440" w:type="dxa"/>
          </w:tcPr>
          <w:p w14:paraId="69508A25" w14:textId="77777777" w:rsidR="009864DB" w:rsidRPr="004D46AC" w:rsidRDefault="009864DB" w:rsidP="009864DB">
            <w:pPr>
              <w:spacing w:line="240" w:lineRule="auto"/>
              <w:ind w:firstLine="0"/>
            </w:pPr>
            <w:r w:rsidRPr="004D46AC">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 </w:instrText>
            </w:r>
            <w:r w:rsidRPr="004D46AC">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instrText xml:space="preserve"> ADDIN EN.CITE.DATA </w:instrText>
            </w:r>
            <w:r w:rsidRPr="004D46AC">
              <w:fldChar w:fldCharType="end"/>
            </w:r>
            <w:r w:rsidRPr="004D46AC">
              <w:fldChar w:fldCharType="separate"/>
            </w:r>
            <w:r w:rsidRPr="004D46AC">
              <w:t>Kennedy et al. (2004)</w:t>
            </w:r>
            <w:r w:rsidRPr="004D46AC">
              <w:fldChar w:fldCharType="end"/>
            </w:r>
          </w:p>
        </w:tc>
        <w:tc>
          <w:tcPr>
            <w:tcW w:w="1189" w:type="dxa"/>
            <w:vAlign w:val="center"/>
          </w:tcPr>
          <w:p w14:paraId="51D0A7E0" w14:textId="77777777" w:rsidR="009864DB" w:rsidRPr="004D46AC" w:rsidRDefault="009864DB" w:rsidP="009864DB">
            <w:pPr>
              <w:spacing w:line="240" w:lineRule="auto"/>
              <w:ind w:firstLine="0"/>
            </w:pPr>
            <w:r w:rsidRPr="004D46AC">
              <w:t>4</w:t>
            </w:r>
          </w:p>
        </w:tc>
        <w:tc>
          <w:tcPr>
            <w:tcW w:w="1186" w:type="dxa"/>
            <w:vAlign w:val="center"/>
          </w:tcPr>
          <w:p w14:paraId="4CC50E92" w14:textId="77777777" w:rsidR="009864DB" w:rsidRPr="004D46AC" w:rsidRDefault="009864DB" w:rsidP="009864DB">
            <w:pPr>
              <w:spacing w:line="240" w:lineRule="auto"/>
              <w:ind w:firstLine="0"/>
            </w:pPr>
            <w:r w:rsidRPr="004D46AC">
              <w:t>NA</w:t>
            </w:r>
          </w:p>
        </w:tc>
        <w:tc>
          <w:tcPr>
            <w:tcW w:w="1235" w:type="dxa"/>
            <w:vAlign w:val="center"/>
          </w:tcPr>
          <w:p w14:paraId="3ECCDAD8" w14:textId="77777777" w:rsidR="009864DB" w:rsidRPr="004D46AC" w:rsidRDefault="009864DB" w:rsidP="009864DB">
            <w:pPr>
              <w:spacing w:line="240" w:lineRule="auto"/>
              <w:ind w:firstLine="0"/>
            </w:pPr>
            <w:r w:rsidRPr="004D46AC">
              <w:t>DSM4</w:t>
            </w:r>
          </w:p>
        </w:tc>
        <w:tc>
          <w:tcPr>
            <w:tcW w:w="1524" w:type="dxa"/>
            <w:vAlign w:val="center"/>
          </w:tcPr>
          <w:p w14:paraId="53F46835" w14:textId="77777777" w:rsidR="009864DB" w:rsidRPr="004D46AC" w:rsidRDefault="009864DB" w:rsidP="009864DB">
            <w:pPr>
              <w:spacing w:line="240" w:lineRule="auto"/>
              <w:ind w:firstLine="0"/>
            </w:pPr>
            <w:r w:rsidRPr="004D46AC">
              <w:t>OPCRIT</w:t>
            </w:r>
          </w:p>
        </w:tc>
        <w:tc>
          <w:tcPr>
            <w:tcW w:w="1177" w:type="dxa"/>
            <w:vAlign w:val="center"/>
          </w:tcPr>
          <w:p w14:paraId="624EADFE" w14:textId="77777777" w:rsidR="009864DB" w:rsidRPr="004D46AC" w:rsidRDefault="009864DB" w:rsidP="009864DB">
            <w:pPr>
              <w:spacing w:line="240" w:lineRule="auto"/>
              <w:ind w:firstLine="0"/>
            </w:pPr>
            <w:r w:rsidRPr="004D46AC">
              <w:t>246</w:t>
            </w:r>
          </w:p>
        </w:tc>
        <w:tc>
          <w:tcPr>
            <w:tcW w:w="1210" w:type="dxa"/>
            <w:vAlign w:val="center"/>
          </w:tcPr>
          <w:p w14:paraId="7F75C2F6" w14:textId="77777777" w:rsidR="009864DB" w:rsidRPr="004D46AC" w:rsidRDefault="009864DB" w:rsidP="009864DB">
            <w:pPr>
              <w:spacing w:line="240" w:lineRule="auto"/>
              <w:ind w:firstLine="0"/>
            </w:pPr>
            <w:r w:rsidRPr="004D46AC">
              <w:t>2</w:t>
            </w:r>
          </w:p>
        </w:tc>
        <w:tc>
          <w:tcPr>
            <w:tcW w:w="1155" w:type="dxa"/>
            <w:vAlign w:val="center"/>
          </w:tcPr>
          <w:p w14:paraId="63C54177" w14:textId="77777777" w:rsidR="009864DB" w:rsidRPr="004D46AC" w:rsidRDefault="009864DB" w:rsidP="009864DB">
            <w:pPr>
              <w:spacing w:line="240" w:lineRule="auto"/>
              <w:ind w:firstLine="0"/>
            </w:pPr>
            <w:r w:rsidRPr="004D46AC">
              <w:t>2</w:t>
            </w:r>
          </w:p>
        </w:tc>
        <w:tc>
          <w:tcPr>
            <w:tcW w:w="1150" w:type="dxa"/>
          </w:tcPr>
          <w:p w14:paraId="216D53DD" w14:textId="77777777" w:rsidR="009864DB" w:rsidRPr="004D46AC" w:rsidRDefault="009864DB" w:rsidP="009864DB">
            <w:pPr>
              <w:spacing w:line="240" w:lineRule="auto"/>
              <w:ind w:firstLine="0"/>
            </w:pPr>
            <w:r w:rsidRPr="004D46AC">
              <w:t>1</w:t>
            </w:r>
          </w:p>
        </w:tc>
        <w:tc>
          <w:tcPr>
            <w:tcW w:w="1756" w:type="dxa"/>
            <w:vAlign w:val="center"/>
          </w:tcPr>
          <w:p w14:paraId="7A3712C2" w14:textId="77777777" w:rsidR="009864DB" w:rsidRPr="004D46AC" w:rsidRDefault="009864DB" w:rsidP="009864DB">
            <w:pPr>
              <w:spacing w:line="240" w:lineRule="auto"/>
              <w:ind w:firstLine="0"/>
            </w:pPr>
            <w:r w:rsidRPr="004D46AC">
              <w:t>any</w:t>
            </w:r>
          </w:p>
        </w:tc>
        <w:tc>
          <w:tcPr>
            <w:tcW w:w="1152" w:type="dxa"/>
            <w:vAlign w:val="center"/>
          </w:tcPr>
          <w:p w14:paraId="2DD795A3" w14:textId="77777777" w:rsidR="009864DB" w:rsidRPr="004D46AC" w:rsidRDefault="009864DB" w:rsidP="009864DB">
            <w:pPr>
              <w:spacing w:line="240" w:lineRule="auto"/>
              <w:ind w:firstLine="0"/>
            </w:pPr>
            <w:r w:rsidRPr="004D46AC">
              <w:t>143</w:t>
            </w:r>
          </w:p>
        </w:tc>
      </w:tr>
      <w:tr w:rsidR="009864DB" w:rsidRPr="004D46AC" w14:paraId="6CE4B97C" w14:textId="77777777" w:rsidTr="00B518F1">
        <w:trPr>
          <w:trHeight w:val="254"/>
        </w:trPr>
        <w:tc>
          <w:tcPr>
            <w:tcW w:w="1440" w:type="dxa"/>
          </w:tcPr>
          <w:p w14:paraId="50C505A3" w14:textId="77777777" w:rsidR="009864DB" w:rsidRPr="004D46AC" w:rsidRDefault="009864DB" w:rsidP="009864DB">
            <w:pPr>
              <w:spacing w:line="240" w:lineRule="auto"/>
              <w:ind w:firstLine="0"/>
            </w:pPr>
            <w:r w:rsidRPr="004D46AC">
              <w:fldChar w:fldCharType="begin">
                <w:fldData xml:space="preserve">PEVuZE5vdGU+PENpdGUgQXV0aG9yWWVhcj0iMSI+PEF1dGhvcj5NdXNldHRpPC9BdXRob3I+PFll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</w:fldData>
              </w:fldChar>
            </w:r>
            <w:r w:rsidRPr="004D46AC">
              <w:instrText xml:space="preserve"> ADDIN EN.CITE </w:instrText>
            </w:r>
            <w:r w:rsidRPr="004D46AC">
              <w:fldChar w:fldCharType="begin">
                <w:fldData xml:space="preserve">PEVuZE5vdGU+PENpdGUgQXV0aG9yWWVhcj0iMSI+PEF1dGhvcj5NdXNldHRpPC9BdXRob3I+PFll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</w:fldData>
              </w:fldChar>
            </w:r>
            <w:r w:rsidRPr="004D46AC">
              <w:instrText xml:space="preserve"> ADDIN EN.CITE.DATA </w:instrText>
            </w:r>
            <w:r w:rsidRPr="004D46AC">
              <w:fldChar w:fldCharType="end"/>
            </w:r>
            <w:r w:rsidRPr="004D46AC">
              <w:fldChar w:fldCharType="separate"/>
            </w:r>
            <w:r w:rsidRPr="004D46AC">
              <w:t>Musetti et al. (2018)</w:t>
            </w:r>
            <w:r w:rsidRPr="004D46AC">
              <w:fldChar w:fldCharType="end"/>
            </w:r>
          </w:p>
        </w:tc>
        <w:tc>
          <w:tcPr>
            <w:tcW w:w="1189" w:type="dxa"/>
            <w:vAlign w:val="center"/>
          </w:tcPr>
          <w:p w14:paraId="317631D5" w14:textId="77777777" w:rsidR="009864DB" w:rsidRPr="004D46AC" w:rsidRDefault="009864DB" w:rsidP="009864DB">
            <w:pPr>
              <w:spacing w:line="240" w:lineRule="auto"/>
              <w:ind w:firstLine="0"/>
            </w:pPr>
            <w:r w:rsidRPr="004D46AC">
              <w:t>7</w:t>
            </w:r>
          </w:p>
        </w:tc>
        <w:tc>
          <w:tcPr>
            <w:tcW w:w="1186" w:type="dxa"/>
            <w:vAlign w:val="center"/>
          </w:tcPr>
          <w:p w14:paraId="1E627646" w14:textId="77777777" w:rsidR="009864DB" w:rsidRPr="004D46AC" w:rsidRDefault="009864DB" w:rsidP="009864DB">
            <w:pPr>
              <w:spacing w:line="240" w:lineRule="auto"/>
              <w:ind w:firstLine="0"/>
            </w:pPr>
            <w:r w:rsidRPr="004D46AC">
              <w:t>38.6</w:t>
            </w:r>
          </w:p>
        </w:tc>
        <w:tc>
          <w:tcPr>
            <w:tcW w:w="1235" w:type="dxa"/>
            <w:vAlign w:val="center"/>
          </w:tcPr>
          <w:p w14:paraId="42601041" w14:textId="77777777" w:rsidR="009864DB" w:rsidRPr="004D46AC" w:rsidRDefault="009864DB" w:rsidP="009864DB">
            <w:pPr>
              <w:spacing w:line="240" w:lineRule="auto"/>
              <w:ind w:firstLine="0"/>
            </w:pPr>
            <w:r w:rsidRPr="004D46AC">
              <w:t>DSM4</w:t>
            </w:r>
          </w:p>
        </w:tc>
        <w:tc>
          <w:tcPr>
            <w:tcW w:w="1524" w:type="dxa"/>
            <w:vAlign w:val="center"/>
          </w:tcPr>
          <w:p w14:paraId="7A5C699F" w14:textId="77777777" w:rsidR="009864DB" w:rsidRPr="004D46AC" w:rsidRDefault="009864DB" w:rsidP="009864DB">
            <w:pPr>
              <w:spacing w:line="240" w:lineRule="auto"/>
              <w:ind w:firstLine="0"/>
            </w:pPr>
            <w:r w:rsidRPr="004D46AC">
              <w:t>unclear</w:t>
            </w:r>
          </w:p>
        </w:tc>
        <w:tc>
          <w:tcPr>
            <w:tcW w:w="1177" w:type="dxa"/>
            <w:vAlign w:val="center"/>
          </w:tcPr>
          <w:p w14:paraId="464CFB10" w14:textId="77777777" w:rsidR="009864DB" w:rsidRPr="004D46AC" w:rsidRDefault="009864DB" w:rsidP="009864DB">
            <w:pPr>
              <w:spacing w:line="240" w:lineRule="auto"/>
              <w:ind w:firstLine="0"/>
            </w:pPr>
            <w:r w:rsidRPr="004D46AC">
              <w:t>234</w:t>
            </w:r>
          </w:p>
        </w:tc>
        <w:tc>
          <w:tcPr>
            <w:tcW w:w="1210" w:type="dxa"/>
            <w:vAlign w:val="center"/>
          </w:tcPr>
          <w:p w14:paraId="124869DC" w14:textId="77777777" w:rsidR="009864DB" w:rsidRPr="004D46AC" w:rsidRDefault="009864DB" w:rsidP="009864DB">
            <w:pPr>
              <w:spacing w:line="240" w:lineRule="auto"/>
              <w:ind w:firstLine="0"/>
            </w:pPr>
            <w:r w:rsidRPr="004D46AC">
              <w:t>1</w:t>
            </w:r>
          </w:p>
        </w:tc>
        <w:tc>
          <w:tcPr>
            <w:tcW w:w="1155" w:type="dxa"/>
            <w:vAlign w:val="center"/>
          </w:tcPr>
          <w:p w14:paraId="7F11D69D" w14:textId="77777777" w:rsidR="009864DB" w:rsidRPr="004D46AC" w:rsidRDefault="009864DB" w:rsidP="009864DB">
            <w:pPr>
              <w:spacing w:line="240" w:lineRule="auto"/>
              <w:ind w:firstLine="0"/>
            </w:pPr>
            <w:r w:rsidRPr="004D46AC">
              <w:t>1</w:t>
            </w:r>
          </w:p>
        </w:tc>
        <w:tc>
          <w:tcPr>
            <w:tcW w:w="1150" w:type="dxa"/>
          </w:tcPr>
          <w:p w14:paraId="6A633FFD" w14:textId="77777777" w:rsidR="009864DB" w:rsidRPr="004D46AC" w:rsidRDefault="009864DB" w:rsidP="009864DB">
            <w:pPr>
              <w:spacing w:line="240" w:lineRule="auto"/>
              <w:ind w:firstLine="0"/>
            </w:pPr>
            <w:r w:rsidRPr="004D46AC">
              <w:t>1</w:t>
            </w:r>
          </w:p>
        </w:tc>
        <w:tc>
          <w:tcPr>
            <w:tcW w:w="1756" w:type="dxa"/>
            <w:vAlign w:val="center"/>
          </w:tcPr>
          <w:p w14:paraId="7C9ACFF5" w14:textId="77777777" w:rsidR="009864DB" w:rsidRPr="004D46AC" w:rsidRDefault="009864DB" w:rsidP="009864DB">
            <w:pPr>
              <w:spacing w:line="240" w:lineRule="auto"/>
              <w:ind w:firstLine="0"/>
            </w:pPr>
            <w:r w:rsidRPr="004D46AC">
              <w:t>any</w:t>
            </w:r>
          </w:p>
        </w:tc>
        <w:tc>
          <w:tcPr>
            <w:tcW w:w="1152" w:type="dxa"/>
            <w:vAlign w:val="center"/>
          </w:tcPr>
          <w:p w14:paraId="5A28DE4B" w14:textId="77777777" w:rsidR="009864DB" w:rsidRPr="004D46AC" w:rsidRDefault="009864DB" w:rsidP="009864DB">
            <w:pPr>
              <w:spacing w:line="240" w:lineRule="auto"/>
              <w:ind w:firstLine="0"/>
            </w:pPr>
            <w:r w:rsidRPr="004D46AC">
              <w:t>99</w:t>
            </w:r>
          </w:p>
        </w:tc>
      </w:tr>
      <w:tr w:rsidR="009864DB" w:rsidRPr="004D46AC" w14:paraId="3728CBCC" w14:textId="77777777" w:rsidTr="00B518F1">
        <w:trPr>
          <w:trHeight w:val="254"/>
        </w:trPr>
        <w:tc>
          <w:tcPr>
            <w:tcW w:w="1440" w:type="dxa"/>
          </w:tcPr>
          <w:p w14:paraId="1DACCCE0" w14:textId="77777777" w:rsidR="009864DB" w:rsidRPr="004D46AC" w:rsidRDefault="009864DB" w:rsidP="009864DB">
            <w:pPr>
              <w:spacing w:line="240" w:lineRule="auto"/>
              <w:ind w:firstLine="0"/>
            </w:pPr>
            <w:r w:rsidRPr="004D46AC">
              <w:fldChar w:fldCharType="begin">
                <w:fldData xml:space="preserve">PEVuZE5vdGU+PENpdGUgQXV0aG9yWWVhcj0iMSI+PEF1dGhvcj5Pbmd1cjwvQXV0aG9yPjxZZWFy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</w:fldData>
              </w:fldChar>
            </w:r>
            <w:r w:rsidRPr="004D46AC">
              <w:instrText xml:space="preserve"> ADDIN EN.CITE </w:instrText>
            </w:r>
            <w:r w:rsidRPr="004D46AC">
              <w:fldChar w:fldCharType="begin">
                <w:fldData xml:space="preserve">PEVuZE5vdGU+PENpdGUgQXV0aG9yWWVhcj0iMSI+PEF1dGhvcj5Pbmd1cjwvQXV0aG9yPjxZZWFy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</w:fldData>
              </w:fldChar>
            </w:r>
            <w:r w:rsidRPr="004D46AC">
              <w:instrText xml:space="preserve"> ADDIN EN.CITE.DATA </w:instrText>
            </w:r>
            <w:r w:rsidRPr="004D46AC">
              <w:fldChar w:fldCharType="end"/>
            </w:r>
            <w:r w:rsidRPr="004D46AC">
              <w:fldChar w:fldCharType="separate"/>
            </w:r>
            <w:r w:rsidRPr="004D46AC">
              <w:t>Ongur et al. (2009)</w:t>
            </w:r>
            <w:r w:rsidRPr="004D46AC">
              <w:fldChar w:fldCharType="end"/>
            </w:r>
          </w:p>
        </w:tc>
        <w:tc>
          <w:tcPr>
            <w:tcW w:w="1189" w:type="dxa"/>
            <w:vAlign w:val="center"/>
          </w:tcPr>
          <w:p w14:paraId="093C668D" w14:textId="77777777" w:rsidR="009864DB" w:rsidRPr="004D46AC" w:rsidRDefault="009864DB" w:rsidP="009864DB">
            <w:pPr>
              <w:spacing w:line="240" w:lineRule="auto"/>
              <w:ind w:firstLine="0"/>
            </w:pPr>
            <w:r w:rsidRPr="004D46AC">
              <w:t>7</w:t>
            </w:r>
          </w:p>
        </w:tc>
        <w:tc>
          <w:tcPr>
            <w:tcW w:w="1186" w:type="dxa"/>
            <w:vAlign w:val="center"/>
          </w:tcPr>
          <w:p w14:paraId="6D36D309" w14:textId="77777777" w:rsidR="009864DB" w:rsidRPr="004D46AC" w:rsidRDefault="009864DB" w:rsidP="009864DB">
            <w:pPr>
              <w:spacing w:line="240" w:lineRule="auto"/>
              <w:ind w:firstLine="0"/>
            </w:pPr>
            <w:r w:rsidRPr="004D46AC">
              <w:t>36.4</w:t>
            </w:r>
          </w:p>
        </w:tc>
        <w:tc>
          <w:tcPr>
            <w:tcW w:w="1235" w:type="dxa"/>
            <w:vAlign w:val="center"/>
          </w:tcPr>
          <w:p w14:paraId="6B4AF9BA" w14:textId="77777777" w:rsidR="009864DB" w:rsidRPr="004D46AC" w:rsidRDefault="009864DB" w:rsidP="009864DB">
            <w:pPr>
              <w:spacing w:line="240" w:lineRule="auto"/>
              <w:ind w:firstLine="0"/>
            </w:pPr>
            <w:r w:rsidRPr="004D46AC">
              <w:t>DSM4TR</w:t>
            </w:r>
          </w:p>
        </w:tc>
        <w:tc>
          <w:tcPr>
            <w:tcW w:w="1524" w:type="dxa"/>
            <w:vAlign w:val="center"/>
          </w:tcPr>
          <w:p w14:paraId="365B3F58" w14:textId="77777777" w:rsidR="009864DB" w:rsidRPr="004D46AC" w:rsidRDefault="009864DB" w:rsidP="009864DB">
            <w:pPr>
              <w:spacing w:line="240" w:lineRule="auto"/>
              <w:ind w:firstLine="0"/>
            </w:pPr>
            <w:r w:rsidRPr="004D46AC">
              <w:t>SCID</w:t>
            </w:r>
          </w:p>
        </w:tc>
        <w:tc>
          <w:tcPr>
            <w:tcW w:w="1177" w:type="dxa"/>
            <w:vAlign w:val="center"/>
          </w:tcPr>
          <w:p w14:paraId="6599E6A9" w14:textId="77777777" w:rsidR="009864DB" w:rsidRPr="004D46AC" w:rsidRDefault="009864DB" w:rsidP="009864DB">
            <w:pPr>
              <w:spacing w:line="240" w:lineRule="auto"/>
              <w:ind w:firstLine="0"/>
            </w:pPr>
            <w:r w:rsidRPr="004D46AC">
              <w:t>92</w:t>
            </w:r>
          </w:p>
        </w:tc>
        <w:tc>
          <w:tcPr>
            <w:tcW w:w="1210" w:type="dxa"/>
            <w:vAlign w:val="center"/>
          </w:tcPr>
          <w:p w14:paraId="5C32DD79" w14:textId="77777777" w:rsidR="009864DB" w:rsidRPr="004D46AC" w:rsidRDefault="009864DB" w:rsidP="009864DB">
            <w:pPr>
              <w:spacing w:line="240" w:lineRule="auto"/>
              <w:ind w:firstLine="0"/>
            </w:pPr>
            <w:r w:rsidRPr="004D46AC">
              <w:t>2</w:t>
            </w:r>
          </w:p>
        </w:tc>
        <w:tc>
          <w:tcPr>
            <w:tcW w:w="1155" w:type="dxa"/>
            <w:vAlign w:val="center"/>
          </w:tcPr>
          <w:p w14:paraId="2667635E" w14:textId="77777777" w:rsidR="009864DB" w:rsidRPr="004D46AC" w:rsidRDefault="009864DB" w:rsidP="009864DB">
            <w:pPr>
              <w:spacing w:line="240" w:lineRule="auto"/>
              <w:ind w:firstLine="0"/>
            </w:pPr>
            <w:r w:rsidRPr="004D46AC">
              <w:t>3</w:t>
            </w:r>
          </w:p>
        </w:tc>
        <w:tc>
          <w:tcPr>
            <w:tcW w:w="1150" w:type="dxa"/>
          </w:tcPr>
          <w:p w14:paraId="675BE304" w14:textId="77777777" w:rsidR="009864DB" w:rsidRPr="004D46AC" w:rsidRDefault="009864DB" w:rsidP="009864DB">
            <w:pPr>
              <w:spacing w:line="240" w:lineRule="auto"/>
              <w:ind w:firstLine="0"/>
            </w:pPr>
            <w:r w:rsidRPr="004D46AC">
              <w:t>1</w:t>
            </w:r>
          </w:p>
        </w:tc>
        <w:tc>
          <w:tcPr>
            <w:tcW w:w="1756" w:type="dxa"/>
            <w:vAlign w:val="center"/>
          </w:tcPr>
          <w:p w14:paraId="4B20F070" w14:textId="77777777" w:rsidR="009864DB" w:rsidRPr="004D46AC" w:rsidRDefault="009864DB" w:rsidP="009864DB">
            <w:pPr>
              <w:spacing w:line="240" w:lineRule="auto"/>
              <w:ind w:firstLine="0"/>
            </w:pPr>
            <w:r w:rsidRPr="004D46AC">
              <w:t>any</w:t>
            </w:r>
          </w:p>
        </w:tc>
        <w:tc>
          <w:tcPr>
            <w:tcW w:w="1152" w:type="dxa"/>
            <w:vAlign w:val="center"/>
          </w:tcPr>
          <w:p w14:paraId="49B4C650" w14:textId="77777777" w:rsidR="009864DB" w:rsidRPr="004D46AC" w:rsidRDefault="009864DB" w:rsidP="009864DB">
            <w:pPr>
              <w:spacing w:line="240" w:lineRule="auto"/>
              <w:ind w:firstLine="0"/>
            </w:pPr>
            <w:r w:rsidRPr="004D46AC">
              <w:t>89</w:t>
            </w:r>
          </w:p>
        </w:tc>
      </w:tr>
      <w:tr w:rsidR="009864DB" w:rsidRPr="004D46AC" w14:paraId="3503FEEF" w14:textId="77777777" w:rsidTr="00B518F1">
        <w:trPr>
          <w:trHeight w:val="254"/>
        </w:trPr>
        <w:tc>
          <w:tcPr>
            <w:tcW w:w="1440" w:type="dxa"/>
          </w:tcPr>
          <w:p w14:paraId="331F17B1" w14:textId="77777777" w:rsidR="009864DB" w:rsidRPr="004D46AC" w:rsidRDefault="009864DB" w:rsidP="009864DB">
            <w:pPr>
              <w:spacing w:line="240" w:lineRule="auto"/>
              <w:ind w:firstLine="0"/>
            </w:pPr>
            <w:r w:rsidRPr="004D46AC">
              <w:fldChar w:fldCharType="begin">
                <w:fldData xml:space="preserve">PEVuZE5vdGU+PENpdGUgQXV0aG9yWWVhcj0iMSI+PEF1dGhvcj5CYXJ5c2huaWtvdjwvQXV0aG9y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=
</w:fldData>
              </w:fldChar>
            </w:r>
            <w:r w:rsidRPr="004D46AC">
              <w:instrText xml:space="preserve"> ADDIN EN.CITE </w:instrText>
            </w:r>
            <w:r w:rsidRPr="004D46AC">
              <w:fldChar w:fldCharType="begin">
                <w:fldData xml:space="preserve">PEVuZE5vdGU+PENpdGUgQXV0aG9yWWVhcj0iMSI+PEF1dGhvcj5CYXJ5c2huaWtvdjwvQXV0aG9y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=
</w:fldData>
              </w:fldChar>
            </w:r>
            <w:r w:rsidRPr="004D46AC">
              <w:instrText xml:space="preserve"> ADDIN EN.CITE.DATA </w:instrText>
            </w:r>
            <w:r w:rsidRPr="004D46AC">
              <w:fldChar w:fldCharType="end"/>
            </w:r>
            <w:r w:rsidRPr="004D46AC">
              <w:fldChar w:fldCharType="separate"/>
            </w:r>
            <w:r w:rsidRPr="004D46AC">
              <w:t>Baryshnikov et al. (2018)</w:t>
            </w:r>
            <w:r w:rsidRPr="004D46AC">
              <w:fldChar w:fldCharType="end"/>
            </w:r>
          </w:p>
        </w:tc>
        <w:tc>
          <w:tcPr>
            <w:tcW w:w="1189" w:type="dxa"/>
            <w:vAlign w:val="center"/>
          </w:tcPr>
          <w:p w14:paraId="4ADCBF30" w14:textId="77777777" w:rsidR="009864DB" w:rsidRPr="004D46AC" w:rsidRDefault="009864DB" w:rsidP="009864DB">
            <w:pPr>
              <w:spacing w:line="240" w:lineRule="auto"/>
              <w:ind w:firstLine="0"/>
            </w:pPr>
            <w:r w:rsidRPr="004D46AC">
              <w:t>4</w:t>
            </w:r>
          </w:p>
        </w:tc>
        <w:tc>
          <w:tcPr>
            <w:tcW w:w="1186" w:type="dxa"/>
            <w:vAlign w:val="center"/>
          </w:tcPr>
          <w:p w14:paraId="119F5EC5" w14:textId="77777777" w:rsidR="009864DB" w:rsidRPr="004D46AC" w:rsidRDefault="009864DB" w:rsidP="009864DB">
            <w:pPr>
              <w:spacing w:line="240" w:lineRule="auto"/>
              <w:ind w:firstLine="0"/>
            </w:pPr>
            <w:r w:rsidRPr="004D46AC">
              <w:t>43.7</w:t>
            </w:r>
          </w:p>
        </w:tc>
        <w:tc>
          <w:tcPr>
            <w:tcW w:w="1235" w:type="dxa"/>
            <w:vAlign w:val="center"/>
          </w:tcPr>
          <w:p w14:paraId="2A03663D" w14:textId="77777777" w:rsidR="009864DB" w:rsidRPr="004D46AC" w:rsidRDefault="009864DB" w:rsidP="009864DB">
            <w:pPr>
              <w:spacing w:line="240" w:lineRule="auto"/>
              <w:ind w:firstLine="0"/>
            </w:pPr>
            <w:r w:rsidRPr="004D46AC">
              <w:t>mixed</w:t>
            </w:r>
          </w:p>
        </w:tc>
        <w:tc>
          <w:tcPr>
            <w:tcW w:w="1524" w:type="dxa"/>
            <w:vAlign w:val="center"/>
          </w:tcPr>
          <w:p w14:paraId="5F75EE40" w14:textId="77777777" w:rsidR="009864DB" w:rsidRPr="004D46AC" w:rsidRDefault="009864DB" w:rsidP="009864DB">
            <w:pPr>
              <w:spacing w:line="240" w:lineRule="auto"/>
              <w:ind w:firstLine="0"/>
            </w:pPr>
            <w:r w:rsidRPr="004D46AC">
              <w:t>CAPE-42</w:t>
            </w:r>
          </w:p>
        </w:tc>
        <w:tc>
          <w:tcPr>
            <w:tcW w:w="1177" w:type="dxa"/>
            <w:vAlign w:val="center"/>
          </w:tcPr>
          <w:p w14:paraId="4A420104" w14:textId="77777777" w:rsidR="009864DB" w:rsidRPr="004D46AC" w:rsidRDefault="009864DB" w:rsidP="009864DB">
            <w:pPr>
              <w:spacing w:line="240" w:lineRule="auto"/>
              <w:ind w:firstLine="0"/>
            </w:pPr>
            <w:r w:rsidRPr="004D46AC">
              <w:t>99</w:t>
            </w:r>
          </w:p>
        </w:tc>
        <w:tc>
          <w:tcPr>
            <w:tcW w:w="1210" w:type="dxa"/>
            <w:vAlign w:val="center"/>
          </w:tcPr>
          <w:p w14:paraId="612DC247" w14:textId="77777777" w:rsidR="009864DB" w:rsidRPr="004D46AC" w:rsidRDefault="009864DB" w:rsidP="009864DB">
            <w:pPr>
              <w:spacing w:line="240" w:lineRule="auto"/>
              <w:ind w:firstLine="0"/>
            </w:pPr>
            <w:r w:rsidRPr="004D46AC">
              <w:t>2</w:t>
            </w:r>
          </w:p>
        </w:tc>
        <w:tc>
          <w:tcPr>
            <w:tcW w:w="1155" w:type="dxa"/>
            <w:vAlign w:val="center"/>
          </w:tcPr>
          <w:p w14:paraId="3383171A" w14:textId="77777777" w:rsidR="009864DB" w:rsidRPr="004D46AC" w:rsidRDefault="009864DB" w:rsidP="009864DB">
            <w:pPr>
              <w:spacing w:line="240" w:lineRule="auto"/>
              <w:ind w:firstLine="0"/>
            </w:pPr>
            <w:r w:rsidRPr="004D46AC">
              <w:t>1</w:t>
            </w:r>
          </w:p>
        </w:tc>
        <w:tc>
          <w:tcPr>
            <w:tcW w:w="1150" w:type="dxa"/>
          </w:tcPr>
          <w:p w14:paraId="471A1D35" w14:textId="77777777" w:rsidR="009864DB" w:rsidRPr="004D46AC" w:rsidRDefault="009864DB" w:rsidP="009864DB">
            <w:pPr>
              <w:spacing w:line="240" w:lineRule="auto"/>
              <w:ind w:firstLine="0"/>
            </w:pPr>
            <w:r w:rsidRPr="004D46AC">
              <w:t>1</w:t>
            </w:r>
          </w:p>
        </w:tc>
        <w:tc>
          <w:tcPr>
            <w:tcW w:w="1756" w:type="dxa"/>
            <w:vAlign w:val="center"/>
          </w:tcPr>
          <w:p w14:paraId="4FDF4F26" w14:textId="77777777" w:rsidR="009864DB" w:rsidRPr="004D46AC" w:rsidRDefault="009864DB" w:rsidP="009864DB">
            <w:pPr>
              <w:spacing w:line="240" w:lineRule="auto"/>
              <w:ind w:firstLine="0"/>
            </w:pPr>
            <w:r w:rsidRPr="004D46AC">
              <w:t>grandiosity</w:t>
            </w:r>
          </w:p>
        </w:tc>
        <w:tc>
          <w:tcPr>
            <w:tcW w:w="1152" w:type="dxa"/>
            <w:vAlign w:val="center"/>
          </w:tcPr>
          <w:p w14:paraId="44EC36ED" w14:textId="77777777" w:rsidR="009864DB" w:rsidRPr="004D46AC" w:rsidRDefault="009864DB" w:rsidP="009864DB">
            <w:pPr>
              <w:spacing w:line="240" w:lineRule="auto"/>
              <w:ind w:firstLine="0"/>
            </w:pPr>
            <w:r w:rsidRPr="004D46AC">
              <w:t>77</w:t>
            </w:r>
          </w:p>
        </w:tc>
      </w:tr>
      <w:tr w:rsidR="009864DB" w:rsidRPr="004D46AC" w14:paraId="5115D61C" w14:textId="77777777" w:rsidTr="00B518F1">
        <w:trPr>
          <w:trHeight w:val="262"/>
        </w:trPr>
        <w:tc>
          <w:tcPr>
            <w:tcW w:w="1440" w:type="dxa"/>
          </w:tcPr>
          <w:p w14:paraId="7557F2AF" w14:textId="77777777" w:rsidR="009864DB" w:rsidRPr="004D46AC" w:rsidRDefault="009864DB" w:rsidP="009864DB">
            <w:pPr>
              <w:spacing w:line="240" w:lineRule="auto"/>
              <w:ind w:firstLine="0"/>
            </w:pPr>
            <w:r w:rsidRPr="004D46AC">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instrText xml:space="preserve"> ADDIN EN.CITE </w:instrText>
            </w:r>
            <w:r w:rsidRPr="004D46AC">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instrText xml:space="preserve"> ADDIN EN.CITE.DATA </w:instrText>
            </w:r>
            <w:r w:rsidRPr="004D46AC">
              <w:fldChar w:fldCharType="end"/>
            </w:r>
            <w:r w:rsidRPr="004D46AC">
              <w:fldChar w:fldCharType="separate"/>
            </w:r>
            <w:r w:rsidRPr="004D46AC">
              <w:t>Parker et al. (2013)</w:t>
            </w:r>
            <w:r w:rsidRPr="004D46AC">
              <w:fldChar w:fldCharType="end"/>
            </w:r>
          </w:p>
        </w:tc>
        <w:tc>
          <w:tcPr>
            <w:tcW w:w="1189" w:type="dxa"/>
            <w:vAlign w:val="center"/>
          </w:tcPr>
          <w:p w14:paraId="4A0617F0" w14:textId="77777777" w:rsidR="009864DB" w:rsidRPr="004D46AC" w:rsidRDefault="009864DB" w:rsidP="009864DB">
            <w:pPr>
              <w:spacing w:line="240" w:lineRule="auto"/>
              <w:ind w:firstLine="0"/>
            </w:pPr>
            <w:r w:rsidRPr="004D46AC">
              <w:t>6</w:t>
            </w:r>
          </w:p>
        </w:tc>
        <w:tc>
          <w:tcPr>
            <w:tcW w:w="1186" w:type="dxa"/>
            <w:vAlign w:val="center"/>
          </w:tcPr>
          <w:p w14:paraId="66D12F79" w14:textId="77777777" w:rsidR="009864DB" w:rsidRPr="004D46AC" w:rsidRDefault="009864DB" w:rsidP="009864DB">
            <w:pPr>
              <w:spacing w:line="240" w:lineRule="auto"/>
              <w:ind w:firstLine="0"/>
            </w:pPr>
            <w:r w:rsidRPr="004D46AC">
              <w:t>35.73</w:t>
            </w:r>
          </w:p>
        </w:tc>
        <w:tc>
          <w:tcPr>
            <w:tcW w:w="1235" w:type="dxa"/>
            <w:vAlign w:val="center"/>
          </w:tcPr>
          <w:p w14:paraId="02171445" w14:textId="77777777" w:rsidR="009864DB" w:rsidRPr="004D46AC" w:rsidRDefault="009864DB" w:rsidP="009864DB">
            <w:pPr>
              <w:spacing w:line="240" w:lineRule="auto"/>
              <w:ind w:firstLine="0"/>
            </w:pPr>
            <w:r w:rsidRPr="004D46AC">
              <w:t>DSM4</w:t>
            </w:r>
          </w:p>
        </w:tc>
        <w:tc>
          <w:tcPr>
            <w:tcW w:w="1524" w:type="dxa"/>
            <w:vAlign w:val="center"/>
          </w:tcPr>
          <w:p w14:paraId="4A715057" w14:textId="77777777" w:rsidR="009864DB" w:rsidRPr="004D46AC" w:rsidRDefault="009864DB" w:rsidP="009864DB">
            <w:pPr>
              <w:spacing w:line="240" w:lineRule="auto"/>
              <w:ind w:firstLine="0"/>
            </w:pPr>
            <w:r w:rsidRPr="004D46AC">
              <w:t>mixed</w:t>
            </w:r>
          </w:p>
        </w:tc>
        <w:tc>
          <w:tcPr>
            <w:tcW w:w="1177" w:type="dxa"/>
            <w:vAlign w:val="center"/>
          </w:tcPr>
          <w:p w14:paraId="7823F910" w14:textId="77777777" w:rsidR="009864DB" w:rsidRPr="004D46AC" w:rsidRDefault="009864DB" w:rsidP="009864DB">
            <w:pPr>
              <w:spacing w:line="240" w:lineRule="auto"/>
              <w:ind w:firstLine="0"/>
            </w:pPr>
            <w:r w:rsidRPr="004D46AC">
              <w:t>632</w:t>
            </w:r>
          </w:p>
        </w:tc>
        <w:tc>
          <w:tcPr>
            <w:tcW w:w="1210" w:type="dxa"/>
            <w:vAlign w:val="center"/>
          </w:tcPr>
          <w:p w14:paraId="1716DB64" w14:textId="77777777" w:rsidR="009864DB" w:rsidRPr="004D46AC" w:rsidRDefault="009864DB" w:rsidP="009864DB">
            <w:pPr>
              <w:spacing w:line="240" w:lineRule="auto"/>
              <w:ind w:firstLine="0"/>
            </w:pPr>
            <w:r w:rsidRPr="004D46AC">
              <w:t>unclear</w:t>
            </w:r>
          </w:p>
        </w:tc>
        <w:tc>
          <w:tcPr>
            <w:tcW w:w="1155" w:type="dxa"/>
            <w:vAlign w:val="center"/>
          </w:tcPr>
          <w:p w14:paraId="62EB597A" w14:textId="77777777" w:rsidR="009864DB" w:rsidRPr="004D46AC" w:rsidRDefault="009864DB" w:rsidP="009864DB">
            <w:pPr>
              <w:spacing w:line="240" w:lineRule="auto"/>
              <w:ind w:firstLine="0"/>
            </w:pPr>
            <w:r w:rsidRPr="004D46AC">
              <w:t>1</w:t>
            </w:r>
          </w:p>
        </w:tc>
        <w:tc>
          <w:tcPr>
            <w:tcW w:w="1150" w:type="dxa"/>
          </w:tcPr>
          <w:p w14:paraId="79D48877" w14:textId="77777777" w:rsidR="009864DB" w:rsidRPr="004D46AC" w:rsidRDefault="009864DB" w:rsidP="009864DB">
            <w:pPr>
              <w:spacing w:line="240" w:lineRule="auto"/>
              <w:ind w:firstLine="0"/>
            </w:pPr>
            <w:r w:rsidRPr="004D46AC">
              <w:t>1</w:t>
            </w:r>
          </w:p>
        </w:tc>
        <w:tc>
          <w:tcPr>
            <w:tcW w:w="1756" w:type="dxa"/>
            <w:vAlign w:val="center"/>
          </w:tcPr>
          <w:p w14:paraId="698433B1" w14:textId="77777777" w:rsidR="009864DB" w:rsidRPr="004D46AC" w:rsidRDefault="009864DB" w:rsidP="009864DB">
            <w:pPr>
              <w:spacing w:line="240" w:lineRule="auto"/>
              <w:ind w:firstLine="0"/>
            </w:pPr>
            <w:r w:rsidRPr="004D46AC">
              <w:t>any</w:t>
            </w:r>
          </w:p>
        </w:tc>
        <w:tc>
          <w:tcPr>
            <w:tcW w:w="1152" w:type="dxa"/>
            <w:vAlign w:val="center"/>
          </w:tcPr>
          <w:p w14:paraId="0FBFEDE3" w14:textId="77777777" w:rsidR="009864DB" w:rsidRPr="004D46AC" w:rsidRDefault="009864DB" w:rsidP="009864DB">
            <w:pPr>
              <w:spacing w:line="240" w:lineRule="auto"/>
              <w:ind w:firstLine="0"/>
            </w:pPr>
            <w:r w:rsidRPr="004D46AC">
              <w:t>93</w:t>
            </w:r>
          </w:p>
        </w:tc>
      </w:tr>
      <w:tr w:rsidR="009864DB" w:rsidRPr="004D46AC" w14:paraId="46890C9D" w14:textId="77777777" w:rsidTr="00B518F1">
        <w:trPr>
          <w:trHeight w:val="254"/>
        </w:trPr>
        <w:tc>
          <w:tcPr>
            <w:tcW w:w="1440" w:type="dxa"/>
          </w:tcPr>
          <w:p w14:paraId="4DC3D64C" w14:textId="77777777" w:rsidR="009864DB" w:rsidRPr="004D46AC" w:rsidRDefault="009864DB" w:rsidP="009864DB">
            <w:pPr>
              <w:spacing w:line="240" w:lineRule="auto"/>
              <w:ind w:firstLine="0"/>
            </w:pPr>
            <w:r w:rsidRPr="004D46AC">
              <w:fldChar w:fldCharType="begin">
                <w:fldData xml:space="preserve">PEVuZE5vdGU+PENpdGUgQXV0aG9yWWVhcj0iMSI+PEF1dGhvcj5EZWxsJmFwb3M7T3NzbzwvQXV0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</w:fldData>
              </w:fldChar>
            </w:r>
            <w:r w:rsidRPr="004D46AC">
              <w:instrText xml:space="preserve"> ADDIN EN.CITE </w:instrText>
            </w:r>
            <w:r w:rsidRPr="004D46AC">
              <w:fldChar w:fldCharType="begin">
                <w:fldData xml:space="preserve">PEVuZE5vdGU+PENpdGUgQXV0aG9yWWVhcj0iMSI+PEF1dGhvcj5EZWxsJmFwb3M7T3NzbzwvQXV0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</w:fldData>
              </w:fldChar>
            </w:r>
            <w:r w:rsidRPr="004D46AC">
              <w:instrText xml:space="preserve"> ADDIN EN.CITE.DATA </w:instrText>
            </w:r>
            <w:r w:rsidRPr="004D46AC">
              <w:fldChar w:fldCharType="end"/>
            </w:r>
            <w:r w:rsidRPr="004D46AC">
              <w:fldChar w:fldCharType="separate"/>
            </w:r>
            <w:r w:rsidRPr="004D46AC">
              <w:t>Dell'Osso et al. (2002)</w:t>
            </w:r>
            <w:r w:rsidRPr="004D46AC">
              <w:fldChar w:fldCharType="end"/>
            </w:r>
          </w:p>
        </w:tc>
        <w:tc>
          <w:tcPr>
            <w:tcW w:w="1189" w:type="dxa"/>
            <w:vAlign w:val="center"/>
          </w:tcPr>
          <w:p w14:paraId="6D01118D" w14:textId="77777777" w:rsidR="009864DB" w:rsidRPr="004D46AC" w:rsidRDefault="009864DB" w:rsidP="009864DB">
            <w:pPr>
              <w:spacing w:line="240" w:lineRule="auto"/>
              <w:ind w:firstLine="0"/>
            </w:pPr>
            <w:r w:rsidRPr="004D46AC">
              <w:t>7</w:t>
            </w:r>
          </w:p>
        </w:tc>
        <w:tc>
          <w:tcPr>
            <w:tcW w:w="1186" w:type="dxa"/>
            <w:vAlign w:val="center"/>
          </w:tcPr>
          <w:p w14:paraId="5D0B364C" w14:textId="77777777" w:rsidR="009864DB" w:rsidRPr="004D46AC" w:rsidRDefault="009864DB" w:rsidP="009864DB">
            <w:pPr>
              <w:spacing w:line="240" w:lineRule="auto"/>
              <w:ind w:firstLine="0"/>
            </w:pPr>
            <w:r w:rsidRPr="004D46AC">
              <w:t>36.48</w:t>
            </w:r>
          </w:p>
        </w:tc>
        <w:tc>
          <w:tcPr>
            <w:tcW w:w="1235" w:type="dxa"/>
            <w:vAlign w:val="center"/>
          </w:tcPr>
          <w:p w14:paraId="122EE6FE" w14:textId="77777777" w:rsidR="009864DB" w:rsidRPr="004D46AC" w:rsidRDefault="009864DB" w:rsidP="009864DB">
            <w:pPr>
              <w:spacing w:line="240" w:lineRule="auto"/>
              <w:ind w:firstLine="0"/>
            </w:pPr>
            <w:r w:rsidRPr="004D46AC">
              <w:t>DSM3R</w:t>
            </w:r>
          </w:p>
        </w:tc>
        <w:tc>
          <w:tcPr>
            <w:tcW w:w="1524" w:type="dxa"/>
            <w:vAlign w:val="center"/>
          </w:tcPr>
          <w:p w14:paraId="2C604889" w14:textId="77777777" w:rsidR="009864DB" w:rsidRPr="004D46AC" w:rsidRDefault="009864DB" w:rsidP="009864DB">
            <w:pPr>
              <w:spacing w:line="240" w:lineRule="auto"/>
              <w:ind w:firstLine="0"/>
            </w:pPr>
            <w:r w:rsidRPr="004D46AC">
              <w:t>SCID-P</w:t>
            </w:r>
          </w:p>
        </w:tc>
        <w:tc>
          <w:tcPr>
            <w:tcW w:w="1177" w:type="dxa"/>
            <w:vAlign w:val="center"/>
          </w:tcPr>
          <w:p w14:paraId="04CB7455" w14:textId="77777777" w:rsidR="009864DB" w:rsidRPr="004D46AC" w:rsidRDefault="009864DB" w:rsidP="009864DB">
            <w:pPr>
              <w:spacing w:line="240" w:lineRule="auto"/>
              <w:ind w:firstLine="0"/>
            </w:pPr>
            <w:r w:rsidRPr="004D46AC">
              <w:t>147</w:t>
            </w:r>
          </w:p>
        </w:tc>
        <w:tc>
          <w:tcPr>
            <w:tcW w:w="1210" w:type="dxa"/>
            <w:vAlign w:val="center"/>
          </w:tcPr>
          <w:p w14:paraId="0C3A9C13" w14:textId="77777777" w:rsidR="009864DB" w:rsidRPr="004D46AC" w:rsidRDefault="009864DB" w:rsidP="009864DB">
            <w:pPr>
              <w:spacing w:line="240" w:lineRule="auto"/>
              <w:ind w:firstLine="0"/>
            </w:pPr>
            <w:r w:rsidRPr="004D46AC">
              <w:t>3</w:t>
            </w:r>
          </w:p>
        </w:tc>
        <w:tc>
          <w:tcPr>
            <w:tcW w:w="1155" w:type="dxa"/>
            <w:vAlign w:val="center"/>
          </w:tcPr>
          <w:p w14:paraId="3F824B69" w14:textId="77777777" w:rsidR="009864DB" w:rsidRPr="004D46AC" w:rsidRDefault="009864DB" w:rsidP="009864DB">
            <w:pPr>
              <w:spacing w:line="240" w:lineRule="auto"/>
              <w:ind w:firstLine="0"/>
            </w:pPr>
            <w:r w:rsidRPr="004D46AC">
              <w:t>3</w:t>
            </w:r>
          </w:p>
        </w:tc>
        <w:tc>
          <w:tcPr>
            <w:tcW w:w="1150" w:type="dxa"/>
          </w:tcPr>
          <w:p w14:paraId="0493D211" w14:textId="77777777" w:rsidR="009864DB" w:rsidRPr="004D46AC" w:rsidRDefault="009864DB" w:rsidP="009864DB">
            <w:pPr>
              <w:spacing w:line="240" w:lineRule="auto"/>
              <w:ind w:firstLine="0"/>
            </w:pPr>
            <w:r w:rsidRPr="004D46AC">
              <w:t>1</w:t>
            </w:r>
          </w:p>
        </w:tc>
        <w:tc>
          <w:tcPr>
            <w:tcW w:w="1756" w:type="dxa"/>
            <w:vAlign w:val="center"/>
          </w:tcPr>
          <w:p w14:paraId="35EE7E43" w14:textId="77777777" w:rsidR="009864DB" w:rsidRPr="004D46AC" w:rsidRDefault="009864DB" w:rsidP="009864DB">
            <w:pPr>
              <w:spacing w:line="240" w:lineRule="auto"/>
              <w:ind w:firstLine="0"/>
            </w:pPr>
            <w:r w:rsidRPr="004D46AC">
              <w:t>any</w:t>
            </w:r>
          </w:p>
        </w:tc>
        <w:tc>
          <w:tcPr>
            <w:tcW w:w="1152" w:type="dxa"/>
            <w:vAlign w:val="center"/>
          </w:tcPr>
          <w:p w14:paraId="196EB100" w14:textId="77777777" w:rsidR="009864DB" w:rsidRPr="004D46AC" w:rsidRDefault="009864DB" w:rsidP="009864DB">
            <w:pPr>
              <w:spacing w:line="240" w:lineRule="auto"/>
              <w:ind w:firstLine="0"/>
            </w:pPr>
            <w:r w:rsidRPr="004D46AC">
              <w:t>146</w:t>
            </w:r>
          </w:p>
        </w:tc>
      </w:tr>
      <w:tr w:rsidR="009864DB" w:rsidRPr="004D46AC" w14:paraId="3E1C4C4E" w14:textId="77777777" w:rsidTr="00B518F1">
        <w:trPr>
          <w:trHeight w:val="254"/>
        </w:trPr>
        <w:tc>
          <w:tcPr>
            <w:tcW w:w="1440" w:type="dxa"/>
          </w:tcPr>
          <w:p w14:paraId="12B5C50B" w14:textId="77777777" w:rsidR="009864DB" w:rsidRPr="004D46AC" w:rsidRDefault="009864DB" w:rsidP="009864DB">
            <w:pPr>
              <w:spacing w:line="240" w:lineRule="auto"/>
              <w:ind w:firstLine="0"/>
            </w:pPr>
            <w:r w:rsidRPr="004D46AC">
              <w:fldChar w:fldCharType="begin">
                <w:fldData xml:space="preserve">PEVuZE5vdGU+PENpdGUgQXV0aG9yWWVhcj0iMSI+PEF1dGhvcj5CZW5hYmFycmU8L0F1dGhvcj48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instrText xml:space="preserve"> ADDIN EN.CITE </w:instrText>
            </w:r>
            <w:r w:rsidRPr="004D46AC">
              <w:fldChar w:fldCharType="begin">
                <w:fldData xml:space="preserve">PEVuZE5vdGU+PENpdGUgQXV0aG9yWWVhcj0iMSI+PEF1dGhvcj5CZW5hYmFycmU8L0F1dGhvcj48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instrText xml:space="preserve"> ADDIN EN.CITE.DATA </w:instrText>
            </w:r>
            <w:r w:rsidRPr="004D46AC">
              <w:fldChar w:fldCharType="end"/>
            </w:r>
            <w:r w:rsidRPr="004D46AC">
              <w:fldChar w:fldCharType="separate"/>
            </w:r>
            <w:r w:rsidRPr="004D46AC">
              <w:t>Benabarre et al. (2001)</w:t>
            </w:r>
            <w:r w:rsidRPr="004D46AC">
              <w:fldChar w:fldCharType="end"/>
            </w:r>
          </w:p>
        </w:tc>
        <w:tc>
          <w:tcPr>
            <w:tcW w:w="1189" w:type="dxa"/>
            <w:vAlign w:val="center"/>
          </w:tcPr>
          <w:p w14:paraId="625500F3" w14:textId="77777777" w:rsidR="009864DB" w:rsidRPr="004D46AC" w:rsidRDefault="009864DB" w:rsidP="009864DB">
            <w:pPr>
              <w:spacing w:line="240" w:lineRule="auto"/>
              <w:ind w:firstLine="0"/>
            </w:pPr>
            <w:r w:rsidRPr="004D46AC">
              <w:t>4</w:t>
            </w:r>
          </w:p>
        </w:tc>
        <w:tc>
          <w:tcPr>
            <w:tcW w:w="1186" w:type="dxa"/>
            <w:vAlign w:val="center"/>
          </w:tcPr>
          <w:p w14:paraId="72124ED4" w14:textId="77777777" w:rsidR="009864DB" w:rsidRPr="004D46AC" w:rsidRDefault="009864DB" w:rsidP="009864DB">
            <w:pPr>
              <w:spacing w:line="240" w:lineRule="auto"/>
              <w:ind w:firstLine="0"/>
            </w:pPr>
            <w:r w:rsidRPr="004D46AC">
              <w:t>NA</w:t>
            </w:r>
          </w:p>
        </w:tc>
        <w:tc>
          <w:tcPr>
            <w:tcW w:w="1235" w:type="dxa"/>
            <w:vAlign w:val="center"/>
          </w:tcPr>
          <w:p w14:paraId="43671214" w14:textId="77777777" w:rsidR="009864DB" w:rsidRPr="004D46AC" w:rsidRDefault="009864DB" w:rsidP="009864DB">
            <w:pPr>
              <w:spacing w:line="240" w:lineRule="auto"/>
              <w:ind w:firstLine="0"/>
            </w:pPr>
            <w:r w:rsidRPr="004D46AC">
              <w:t>RDC</w:t>
            </w:r>
          </w:p>
        </w:tc>
        <w:tc>
          <w:tcPr>
            <w:tcW w:w="1524" w:type="dxa"/>
            <w:vAlign w:val="center"/>
          </w:tcPr>
          <w:p w14:paraId="642D54DE" w14:textId="77777777" w:rsidR="009864DB" w:rsidRPr="004D46AC" w:rsidRDefault="009864DB" w:rsidP="009864DB">
            <w:pPr>
              <w:spacing w:line="240" w:lineRule="auto"/>
              <w:ind w:firstLine="0"/>
            </w:pPr>
            <w:r w:rsidRPr="004D46AC">
              <w:t>SADS</w:t>
            </w:r>
          </w:p>
        </w:tc>
        <w:tc>
          <w:tcPr>
            <w:tcW w:w="1177" w:type="dxa"/>
            <w:vAlign w:val="center"/>
          </w:tcPr>
          <w:p w14:paraId="3A1DAD0E" w14:textId="77777777" w:rsidR="009864DB" w:rsidRPr="004D46AC" w:rsidRDefault="009864DB" w:rsidP="009864DB">
            <w:pPr>
              <w:spacing w:line="240" w:lineRule="auto"/>
              <w:ind w:firstLine="0"/>
            </w:pPr>
            <w:r w:rsidRPr="004D46AC">
              <w:t>67</w:t>
            </w:r>
          </w:p>
        </w:tc>
        <w:tc>
          <w:tcPr>
            <w:tcW w:w="1210" w:type="dxa"/>
            <w:vAlign w:val="center"/>
          </w:tcPr>
          <w:p w14:paraId="1F84B4D9" w14:textId="77777777" w:rsidR="009864DB" w:rsidRPr="004D46AC" w:rsidRDefault="009864DB" w:rsidP="009864DB">
            <w:pPr>
              <w:spacing w:line="240" w:lineRule="auto"/>
              <w:ind w:firstLine="0"/>
            </w:pPr>
            <w:r w:rsidRPr="004D46AC">
              <w:t>1</w:t>
            </w:r>
          </w:p>
        </w:tc>
        <w:tc>
          <w:tcPr>
            <w:tcW w:w="1155" w:type="dxa"/>
            <w:vAlign w:val="center"/>
          </w:tcPr>
          <w:p w14:paraId="411ABC9A" w14:textId="77777777" w:rsidR="009864DB" w:rsidRPr="004D46AC" w:rsidRDefault="009864DB" w:rsidP="009864DB">
            <w:pPr>
              <w:spacing w:line="240" w:lineRule="auto"/>
              <w:ind w:firstLine="0"/>
            </w:pPr>
            <w:r w:rsidRPr="004D46AC">
              <w:t>2</w:t>
            </w:r>
          </w:p>
        </w:tc>
        <w:tc>
          <w:tcPr>
            <w:tcW w:w="1150" w:type="dxa"/>
          </w:tcPr>
          <w:p w14:paraId="39C23CA2" w14:textId="77777777" w:rsidR="009864DB" w:rsidRPr="004D46AC" w:rsidRDefault="009864DB" w:rsidP="009864DB">
            <w:pPr>
              <w:spacing w:line="240" w:lineRule="auto"/>
              <w:ind w:firstLine="0"/>
            </w:pPr>
            <w:r w:rsidRPr="004D46AC">
              <w:t>1</w:t>
            </w:r>
          </w:p>
        </w:tc>
        <w:tc>
          <w:tcPr>
            <w:tcW w:w="1756" w:type="dxa"/>
            <w:vAlign w:val="center"/>
          </w:tcPr>
          <w:p w14:paraId="6B9CE0C6" w14:textId="77777777" w:rsidR="009864DB" w:rsidRPr="004D46AC" w:rsidRDefault="009864DB" w:rsidP="009864DB">
            <w:pPr>
              <w:spacing w:line="240" w:lineRule="auto"/>
              <w:ind w:firstLine="0"/>
            </w:pPr>
            <w:r w:rsidRPr="004D46AC">
              <w:t>any</w:t>
            </w:r>
          </w:p>
        </w:tc>
        <w:tc>
          <w:tcPr>
            <w:tcW w:w="1152" w:type="dxa"/>
            <w:vAlign w:val="center"/>
          </w:tcPr>
          <w:p w14:paraId="7C680888" w14:textId="77777777" w:rsidR="009864DB" w:rsidRPr="004D46AC" w:rsidRDefault="009864DB" w:rsidP="009864DB">
            <w:pPr>
              <w:spacing w:line="240" w:lineRule="auto"/>
              <w:ind w:firstLine="0"/>
            </w:pPr>
            <w:r w:rsidRPr="004D46AC">
              <w:t>55</w:t>
            </w:r>
          </w:p>
        </w:tc>
      </w:tr>
      <w:tr w:rsidR="009864DB" w:rsidRPr="004D46AC" w14:paraId="71AF64DB" w14:textId="77777777" w:rsidTr="00B518F1">
        <w:trPr>
          <w:trHeight w:val="254"/>
        </w:trPr>
        <w:tc>
          <w:tcPr>
            <w:tcW w:w="1440" w:type="dxa"/>
          </w:tcPr>
          <w:p w14:paraId="5EA832C3" w14:textId="77777777" w:rsidR="009864DB" w:rsidRPr="004D46AC" w:rsidRDefault="009864DB" w:rsidP="009864DB">
            <w:pPr>
              <w:spacing w:line="240" w:lineRule="auto"/>
              <w:ind w:firstLine="0"/>
            </w:pPr>
            <w:r w:rsidRPr="004D46AC">
              <w:fldChar w:fldCharType="begin">
                <w:fldData xml:space="preserve">PEVuZE5vdGU+PENpdGUgQXV0aG9yWWVhcj0iMSI+PEF1dGhvcj5CYWVrPC9BdXRob3I+PFllYXI+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 </w:instrText>
            </w:r>
            <w:r w:rsidRPr="004D46AC">
              <w:fldChar w:fldCharType="begin">
                <w:fldData xml:space="preserve">PEVuZE5vdGU+PENpdGUgQXV0aG9yWWVhcj0iMSI+PEF1dGhvcj5CYWVrPC9BdXRob3I+PFllYXI+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instrText xml:space="preserve"> ADDIN EN.CITE.DATA </w:instrText>
            </w:r>
            <w:r w:rsidRPr="004D46AC">
              <w:fldChar w:fldCharType="end"/>
            </w:r>
            <w:r w:rsidRPr="004D46AC">
              <w:fldChar w:fldCharType="separate"/>
            </w:r>
            <w:r w:rsidRPr="004D46AC">
              <w:t>Baek et al. (2011)</w:t>
            </w:r>
            <w:r w:rsidRPr="004D46AC">
              <w:fldChar w:fldCharType="end"/>
            </w:r>
          </w:p>
        </w:tc>
        <w:tc>
          <w:tcPr>
            <w:tcW w:w="1189" w:type="dxa"/>
            <w:vAlign w:val="center"/>
          </w:tcPr>
          <w:p w14:paraId="75B0484A" w14:textId="77777777" w:rsidR="009864DB" w:rsidRPr="004D46AC" w:rsidRDefault="009864DB" w:rsidP="009864DB">
            <w:pPr>
              <w:spacing w:line="240" w:lineRule="auto"/>
              <w:ind w:firstLine="0"/>
            </w:pPr>
            <w:r w:rsidRPr="004D46AC">
              <w:t>6</w:t>
            </w:r>
          </w:p>
        </w:tc>
        <w:tc>
          <w:tcPr>
            <w:tcW w:w="1186" w:type="dxa"/>
            <w:vAlign w:val="center"/>
          </w:tcPr>
          <w:p w14:paraId="06D23CD7" w14:textId="77777777" w:rsidR="009864DB" w:rsidRPr="004D46AC" w:rsidRDefault="009864DB" w:rsidP="009864DB">
            <w:pPr>
              <w:spacing w:line="240" w:lineRule="auto"/>
              <w:ind w:firstLine="0"/>
            </w:pPr>
            <w:r w:rsidRPr="004D46AC">
              <w:t>34.14</w:t>
            </w:r>
          </w:p>
        </w:tc>
        <w:tc>
          <w:tcPr>
            <w:tcW w:w="1235" w:type="dxa"/>
            <w:vAlign w:val="center"/>
          </w:tcPr>
          <w:p w14:paraId="4A74C49E" w14:textId="77777777" w:rsidR="009864DB" w:rsidRPr="004D46AC" w:rsidRDefault="009864DB" w:rsidP="009864DB">
            <w:pPr>
              <w:spacing w:line="240" w:lineRule="auto"/>
              <w:ind w:firstLine="0"/>
            </w:pPr>
            <w:r w:rsidRPr="004D46AC">
              <w:t>DSM4</w:t>
            </w:r>
          </w:p>
        </w:tc>
        <w:tc>
          <w:tcPr>
            <w:tcW w:w="1524" w:type="dxa"/>
            <w:vAlign w:val="center"/>
          </w:tcPr>
          <w:p w14:paraId="7CA7CA4B" w14:textId="77777777" w:rsidR="009864DB" w:rsidRPr="004D46AC" w:rsidRDefault="009864DB" w:rsidP="009864DB">
            <w:pPr>
              <w:spacing w:line="240" w:lineRule="auto"/>
              <w:ind w:firstLine="0"/>
            </w:pPr>
            <w:r w:rsidRPr="004D46AC">
              <w:t>DIGS</w:t>
            </w:r>
          </w:p>
        </w:tc>
        <w:tc>
          <w:tcPr>
            <w:tcW w:w="1177" w:type="dxa"/>
            <w:vAlign w:val="center"/>
          </w:tcPr>
          <w:p w14:paraId="4C08AAD6" w14:textId="77777777" w:rsidR="009864DB" w:rsidRPr="004D46AC" w:rsidRDefault="009864DB" w:rsidP="009864DB">
            <w:pPr>
              <w:spacing w:line="240" w:lineRule="auto"/>
              <w:ind w:firstLine="0"/>
            </w:pPr>
            <w:r w:rsidRPr="004D46AC">
              <w:t>105</w:t>
            </w:r>
          </w:p>
        </w:tc>
        <w:tc>
          <w:tcPr>
            <w:tcW w:w="1210" w:type="dxa"/>
            <w:vAlign w:val="center"/>
          </w:tcPr>
          <w:p w14:paraId="038EBCDF" w14:textId="77777777" w:rsidR="009864DB" w:rsidRPr="004D46AC" w:rsidRDefault="009864DB" w:rsidP="009864DB">
            <w:pPr>
              <w:spacing w:line="240" w:lineRule="auto"/>
              <w:ind w:firstLine="0"/>
            </w:pPr>
            <w:r w:rsidRPr="004D46AC">
              <w:t>2</w:t>
            </w:r>
          </w:p>
        </w:tc>
        <w:tc>
          <w:tcPr>
            <w:tcW w:w="1155" w:type="dxa"/>
            <w:vAlign w:val="center"/>
          </w:tcPr>
          <w:p w14:paraId="15F0646C" w14:textId="77777777" w:rsidR="009864DB" w:rsidRPr="004D46AC" w:rsidRDefault="009864DB" w:rsidP="009864DB">
            <w:pPr>
              <w:spacing w:line="240" w:lineRule="auto"/>
              <w:ind w:firstLine="0"/>
            </w:pPr>
            <w:r w:rsidRPr="004D46AC">
              <w:t>1</w:t>
            </w:r>
          </w:p>
        </w:tc>
        <w:tc>
          <w:tcPr>
            <w:tcW w:w="1150" w:type="dxa"/>
          </w:tcPr>
          <w:p w14:paraId="4249398F" w14:textId="77777777" w:rsidR="009864DB" w:rsidRPr="004D46AC" w:rsidRDefault="009864DB" w:rsidP="009864DB">
            <w:pPr>
              <w:spacing w:line="240" w:lineRule="auto"/>
              <w:ind w:firstLine="0"/>
            </w:pPr>
            <w:r w:rsidRPr="004D46AC">
              <w:t>1</w:t>
            </w:r>
          </w:p>
        </w:tc>
        <w:tc>
          <w:tcPr>
            <w:tcW w:w="1756" w:type="dxa"/>
            <w:vAlign w:val="center"/>
          </w:tcPr>
          <w:p w14:paraId="0E31F0E1" w14:textId="77777777" w:rsidR="009864DB" w:rsidRPr="004D46AC" w:rsidRDefault="009864DB" w:rsidP="009864DB">
            <w:pPr>
              <w:spacing w:line="240" w:lineRule="auto"/>
              <w:ind w:firstLine="0"/>
            </w:pPr>
            <w:r w:rsidRPr="004D46AC">
              <w:t>any</w:t>
            </w:r>
          </w:p>
        </w:tc>
        <w:tc>
          <w:tcPr>
            <w:tcW w:w="1152" w:type="dxa"/>
            <w:vAlign w:val="center"/>
          </w:tcPr>
          <w:p w14:paraId="2CF2979E" w14:textId="77777777" w:rsidR="009864DB" w:rsidRPr="004D46AC" w:rsidRDefault="009864DB" w:rsidP="009864DB">
            <w:pPr>
              <w:spacing w:line="240" w:lineRule="auto"/>
              <w:ind w:firstLine="0"/>
            </w:pPr>
            <w:r w:rsidRPr="004D46AC">
              <w:t>24</w:t>
            </w:r>
          </w:p>
        </w:tc>
      </w:tr>
      <w:tr w:rsidR="009864DB" w:rsidRPr="004D46AC" w14:paraId="75313FE5" w14:textId="77777777" w:rsidTr="00B518F1">
        <w:trPr>
          <w:trHeight w:val="254"/>
        </w:trPr>
        <w:tc>
          <w:tcPr>
            <w:tcW w:w="1440" w:type="dxa"/>
          </w:tcPr>
          <w:p w14:paraId="70BD2B4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AuthorYear="1"&gt;&lt;Author&gt;Pfohl&lt;/Author&gt;&lt;Year&gt;1982&lt;/Year&gt;&lt;RecNum&gt;314&lt;/RecNum&gt;&lt;DisplayText&gt;Pfohl et al. (1982)&lt;/DisplayText&gt;&lt;record&gt;&lt;rec-number&gt;314&lt;/rec-number&gt;&lt;foreign-keys&gt;&lt;key app="EN" db-id="aet009sstawa0hewvt3xwf5atffdw2dt02sw" timestamp="1666521537"&gt;314&lt;/key&gt;&lt;/foreign-keys&gt;&lt;ref-type name="Journal Article"&gt;17&lt;/ref-type&gt;&lt;contributors&gt;&lt;authors&gt;&lt;author&gt;Pfohl, B.&lt;/author&gt;&lt;author&gt;Vasquez, N.&lt;/author&gt;&lt;author&gt;Nasrallah, H.&lt;/author&gt;&lt;/authors&gt;&lt;/contributors&gt;&lt;titles&gt;&lt;title&gt;Unipolar vs. bipolar mania: a review of 247 patients&lt;/title&gt;&lt;secondary-title&gt;Br J Psychiatry&lt;/secondary-title&gt;&lt;/titles&gt;&lt;periodical&gt;&lt;full-title&gt;Br J Psychiatry&lt;/full-title&gt;&lt;/periodical&gt;&lt;pages&gt;453-8&lt;/pages&gt;&lt;volume&gt;141&lt;/volume&gt;&lt;keywords&gt;&lt;keyword&gt;Adult&lt;/keyword&gt;&lt;keyword&gt;Age Factors&lt;/keyword&gt;&lt;keyword&gt;Bipolar Disorder/*diagnosis/genetics&lt;/keyword&gt;&lt;keyword&gt;Depressive Disorder/*diagnosis/genetics&lt;/keyword&gt;&lt;keyword&gt;Diagnosis, Differential&lt;/keyword&gt;&lt;keyword&gt;Female&lt;/keyword&gt;&lt;keyword&gt;Humans&lt;/keyword&gt;&lt;keyword&gt;Male&lt;/keyword&gt;&lt;keyword&gt;Mood Disorders/genetics&lt;/keyword&gt;&lt;keyword&gt;Sex Factors&lt;/keyword&gt;&lt;/keywords&gt;&lt;dates&gt;&lt;year&gt;1982&lt;/year&gt;&lt;pub-dates&gt;&lt;date&gt;Nov&lt;/date&gt;&lt;/pub-dates&gt;&lt;/dates&gt;&lt;isbn&gt;0007-1250 (Print)&amp;#xD;0007-1250 (Linking)&lt;/isbn&gt;&lt;accession-num&gt;7150881&lt;/accession-num&gt;&lt;urls&gt;&lt;related-urls&gt;&lt;url&gt;https://www.ncbi.nlm.nih.gov/pubmed/7150881&lt;/url&gt;&lt;/related-urls&gt;&lt;/urls&gt;&lt;electronic-resource-num&gt;10.1192/bjp.141.5.453&lt;/electronic-resource-num&gt;&lt;remote-database-name&gt;Medline&lt;/remote-database-name&gt;&lt;remote-database-provider&gt;NLM&lt;/remote-database-provider&gt;&lt;language&gt;eng&lt;/language&gt;&lt;/record&gt;&lt;/Cite&gt;&lt;/EndNote&gt;</w:instrText>
            </w:r>
            <w:r w:rsidRPr="004D46AC">
              <w:fldChar w:fldCharType="separate"/>
            </w:r>
            <w:r w:rsidRPr="004D46AC">
              <w:t>Pfohl et al. (1982)</w:t>
            </w:r>
            <w:r w:rsidRPr="004D46AC">
              <w:fldChar w:fldCharType="end"/>
            </w:r>
          </w:p>
        </w:tc>
        <w:tc>
          <w:tcPr>
            <w:tcW w:w="1189" w:type="dxa"/>
            <w:vAlign w:val="center"/>
          </w:tcPr>
          <w:p w14:paraId="24333205" w14:textId="77777777" w:rsidR="009864DB" w:rsidRPr="004D46AC" w:rsidRDefault="009864DB" w:rsidP="009864DB">
            <w:pPr>
              <w:spacing w:line="240" w:lineRule="auto"/>
              <w:ind w:firstLine="0"/>
            </w:pPr>
            <w:r w:rsidRPr="004D46AC">
              <w:t>5</w:t>
            </w:r>
          </w:p>
        </w:tc>
        <w:tc>
          <w:tcPr>
            <w:tcW w:w="1186" w:type="dxa"/>
            <w:vAlign w:val="center"/>
          </w:tcPr>
          <w:p w14:paraId="5B12A5D5" w14:textId="77777777" w:rsidR="009864DB" w:rsidRPr="004D46AC" w:rsidRDefault="009864DB" w:rsidP="009864DB">
            <w:pPr>
              <w:spacing w:line="240" w:lineRule="auto"/>
              <w:ind w:firstLine="0"/>
            </w:pPr>
            <w:r w:rsidRPr="004D46AC">
              <w:t>35.25</w:t>
            </w:r>
          </w:p>
        </w:tc>
        <w:tc>
          <w:tcPr>
            <w:tcW w:w="1235" w:type="dxa"/>
            <w:vAlign w:val="center"/>
          </w:tcPr>
          <w:p w14:paraId="7570C92C" w14:textId="77777777" w:rsidR="009864DB" w:rsidRPr="004D46AC" w:rsidRDefault="009864DB" w:rsidP="009864DB">
            <w:pPr>
              <w:spacing w:line="240" w:lineRule="auto"/>
              <w:ind w:firstLine="0"/>
            </w:pPr>
            <w:r w:rsidRPr="004D46AC">
              <w:t>DSM3</w:t>
            </w:r>
          </w:p>
        </w:tc>
        <w:tc>
          <w:tcPr>
            <w:tcW w:w="1524" w:type="dxa"/>
            <w:vAlign w:val="center"/>
          </w:tcPr>
          <w:p w14:paraId="02E2934D" w14:textId="77777777" w:rsidR="009864DB" w:rsidRPr="004D46AC" w:rsidRDefault="009864DB" w:rsidP="009864DB">
            <w:pPr>
              <w:spacing w:line="240" w:lineRule="auto"/>
              <w:ind w:firstLine="0"/>
            </w:pPr>
            <w:r w:rsidRPr="004D46AC">
              <w:t>unclear</w:t>
            </w:r>
          </w:p>
        </w:tc>
        <w:tc>
          <w:tcPr>
            <w:tcW w:w="1177" w:type="dxa"/>
            <w:vAlign w:val="center"/>
          </w:tcPr>
          <w:p w14:paraId="49399D41" w14:textId="77777777" w:rsidR="009864DB" w:rsidRPr="004D46AC" w:rsidRDefault="009864DB" w:rsidP="009864DB">
            <w:pPr>
              <w:spacing w:line="240" w:lineRule="auto"/>
              <w:ind w:firstLine="0"/>
            </w:pPr>
            <w:r w:rsidRPr="004D46AC">
              <w:t>247</w:t>
            </w:r>
          </w:p>
        </w:tc>
        <w:tc>
          <w:tcPr>
            <w:tcW w:w="1210" w:type="dxa"/>
            <w:vAlign w:val="center"/>
          </w:tcPr>
          <w:p w14:paraId="4252ADDE" w14:textId="77777777" w:rsidR="009864DB" w:rsidRPr="004D46AC" w:rsidRDefault="009864DB" w:rsidP="009864DB">
            <w:pPr>
              <w:spacing w:line="240" w:lineRule="auto"/>
              <w:ind w:firstLine="0"/>
            </w:pPr>
            <w:r w:rsidRPr="004D46AC">
              <w:t>3</w:t>
            </w:r>
          </w:p>
        </w:tc>
        <w:tc>
          <w:tcPr>
            <w:tcW w:w="1155" w:type="dxa"/>
            <w:vAlign w:val="center"/>
          </w:tcPr>
          <w:p w14:paraId="78E4F3AA" w14:textId="77777777" w:rsidR="009864DB" w:rsidRPr="004D46AC" w:rsidRDefault="009864DB" w:rsidP="009864DB">
            <w:pPr>
              <w:spacing w:line="240" w:lineRule="auto"/>
              <w:ind w:firstLine="0"/>
            </w:pPr>
            <w:r w:rsidRPr="004D46AC">
              <w:t>2</w:t>
            </w:r>
          </w:p>
        </w:tc>
        <w:tc>
          <w:tcPr>
            <w:tcW w:w="1150" w:type="dxa"/>
          </w:tcPr>
          <w:p w14:paraId="0264AEAF" w14:textId="77777777" w:rsidR="009864DB" w:rsidRPr="004D46AC" w:rsidRDefault="009864DB" w:rsidP="009864DB">
            <w:pPr>
              <w:spacing w:line="240" w:lineRule="auto"/>
              <w:ind w:firstLine="0"/>
            </w:pPr>
            <w:r w:rsidRPr="004D46AC">
              <w:t>1</w:t>
            </w:r>
          </w:p>
        </w:tc>
        <w:tc>
          <w:tcPr>
            <w:tcW w:w="1756" w:type="dxa"/>
            <w:vAlign w:val="center"/>
          </w:tcPr>
          <w:p w14:paraId="6B8E0EAB" w14:textId="77777777" w:rsidR="009864DB" w:rsidRPr="004D46AC" w:rsidRDefault="009864DB" w:rsidP="009864DB">
            <w:pPr>
              <w:spacing w:line="240" w:lineRule="auto"/>
              <w:ind w:firstLine="0"/>
            </w:pPr>
            <w:r w:rsidRPr="004D46AC">
              <w:t>any</w:t>
            </w:r>
          </w:p>
        </w:tc>
        <w:tc>
          <w:tcPr>
            <w:tcW w:w="1152" w:type="dxa"/>
            <w:vAlign w:val="center"/>
          </w:tcPr>
          <w:p w14:paraId="43D59E93" w14:textId="77777777" w:rsidR="009864DB" w:rsidRPr="004D46AC" w:rsidRDefault="009864DB" w:rsidP="009864DB">
            <w:pPr>
              <w:spacing w:line="240" w:lineRule="auto"/>
              <w:ind w:firstLine="0"/>
            </w:pPr>
            <w:r w:rsidRPr="004D46AC">
              <w:t>150</w:t>
            </w:r>
          </w:p>
        </w:tc>
      </w:tr>
      <w:tr w:rsidR="009864DB" w:rsidRPr="004D46AC" w14:paraId="0E229C7B" w14:textId="77777777" w:rsidTr="00B518F1">
        <w:trPr>
          <w:trHeight w:val="254"/>
        </w:trPr>
        <w:tc>
          <w:tcPr>
            <w:tcW w:w="1440" w:type="dxa"/>
          </w:tcPr>
          <w:p w14:paraId="7D6D33DE"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AuthorYear="1"&gt;&lt;Author&gt;Rajkumar&lt;/Author&gt;&lt;Year&gt;2016&lt;/Year&gt;&lt;RecNum&gt;317&lt;/RecNum&gt;&lt;DisplayText&gt;Rajkumar (2016)&lt;/DisplayText&gt;&lt;record&gt;&lt;rec-number&gt;317&lt;/rec-number&gt;&lt;foreign-keys&gt;&lt;key app="EN" db-id="aet009sstawa0hewvt3xwf5atffdw2dt02sw" timestamp="1666523268"&gt;317&lt;/key&gt;&lt;/foreign-keys&gt;&lt;ref-type name="Journal Article"&gt;17&lt;/ref-type&gt;&lt;contributors&gt;&lt;authors&gt;&lt;author&gt;Rajkumar, R. P.&lt;/author&gt;&lt;/authors&gt;&lt;/contributors&gt;&lt;auth-address&gt;Department of Psychiatry, Jawaharlal Institute of Postgraduate Medical Education and Research, Dhanvantari Nagar, Pondicherry 605 006, India. Electronic address: ravi.psych@gmail.com.&lt;/auth-address&gt;&lt;titles&gt;&lt;title&gt;Recurrent unipolar mania: A comparative, cross-sectional study&lt;/title&gt;&lt;secondary-title&gt;Compr Psychiatry&lt;/secondary-title&gt;&lt;/titles&gt;&lt;periodical&gt;&lt;full-title&gt;Compr Psychiatry&lt;/full-title&gt;&lt;/periodical&gt;&lt;pages&gt;136-40&lt;/pages&gt;&lt;volume&gt;65&lt;/volume&gt;&lt;edition&gt;20151123&lt;/edition&gt;&lt;keywords&gt;&lt;keyword&gt;Adult&lt;/keyword&gt;&lt;keyword&gt;Antidepressive Agents/therapeutic use&lt;/keyword&gt;&lt;keyword&gt;Bipolar and Related Disorders/*diagnosis/drug therapy/*epidemiology&lt;/keyword&gt;&lt;keyword&gt;Catatonia/*epidemiology&lt;/keyword&gt;&lt;keyword&gt;Comorbidity&lt;/keyword&gt;&lt;keyword&gt;Cross-Sectional Studies&lt;/keyword&gt;&lt;keyword&gt;Female&lt;/keyword&gt;&lt;keyword&gt;Humans&lt;/keyword&gt;&lt;keyword&gt;India/epidemiology&lt;/keyword&gt;&lt;keyword&gt;Male&lt;/keyword&gt;&lt;keyword&gt;Recurrence&lt;/keyword&gt;&lt;keyword&gt;Risk Factors&lt;/keyword&gt;&lt;keyword&gt;Suicide, Attempted/statistics &amp;amp; numerical data&lt;/keyword&gt;&lt;keyword&gt;Young Adult&lt;/keyword&gt;&lt;/keywords&gt;&lt;dates&gt;&lt;year&gt;2016&lt;/year&gt;&lt;pub-dates&gt;&lt;date&gt;Feb&lt;/date&gt;&lt;/pub-dates&gt;&lt;/dates&gt;&lt;isbn&gt;1532-8384 (Electronic)&amp;#xD;0010-440X (Linking)&lt;/isbn&gt;&lt;accession-num&gt;26774002&lt;/accession-num&gt;&lt;urls&gt;&lt;related-urls&gt;&lt;url&gt;https://www.ncbi.nlm.nih.gov/pubmed/26774002&lt;/url&gt;&lt;/related-urls&gt;&lt;/urls&gt;&lt;electronic-resource-num&gt;10.1016/j.comppsych.2015.11.008&lt;/electronic-resource-num&gt;&lt;remote-database-name&gt;Medline&lt;/remote-database-name&gt;&lt;remote-database-provider&gt;NLM&lt;/remote-database-provider&gt;&lt;language&gt;eng&lt;/language&gt;&lt;/record&gt;&lt;/Cite&gt;&lt;/EndNote&gt;</w:instrText>
            </w:r>
            <w:r w:rsidRPr="004D46AC">
              <w:fldChar w:fldCharType="separate"/>
            </w:r>
            <w:r w:rsidRPr="004D46AC">
              <w:t>Rajkumar (2016)</w:t>
            </w:r>
            <w:r w:rsidRPr="004D46AC">
              <w:fldChar w:fldCharType="end"/>
            </w:r>
          </w:p>
        </w:tc>
        <w:tc>
          <w:tcPr>
            <w:tcW w:w="1189" w:type="dxa"/>
            <w:vAlign w:val="center"/>
          </w:tcPr>
          <w:p w14:paraId="616BB944" w14:textId="77777777" w:rsidR="009864DB" w:rsidRPr="004D46AC" w:rsidRDefault="009864DB" w:rsidP="009864DB">
            <w:pPr>
              <w:spacing w:line="240" w:lineRule="auto"/>
              <w:ind w:firstLine="0"/>
            </w:pPr>
            <w:r w:rsidRPr="004D46AC">
              <w:t>6</w:t>
            </w:r>
          </w:p>
        </w:tc>
        <w:tc>
          <w:tcPr>
            <w:tcW w:w="1186" w:type="dxa"/>
            <w:vAlign w:val="center"/>
          </w:tcPr>
          <w:p w14:paraId="7CAF5C03" w14:textId="77777777" w:rsidR="009864DB" w:rsidRPr="004D46AC" w:rsidRDefault="009864DB" w:rsidP="009864DB">
            <w:pPr>
              <w:spacing w:line="240" w:lineRule="auto"/>
              <w:ind w:firstLine="0"/>
            </w:pPr>
            <w:r w:rsidRPr="004D46AC">
              <w:t>31.64</w:t>
            </w:r>
          </w:p>
        </w:tc>
        <w:tc>
          <w:tcPr>
            <w:tcW w:w="1235" w:type="dxa"/>
            <w:vAlign w:val="center"/>
          </w:tcPr>
          <w:p w14:paraId="6E69D806" w14:textId="77777777" w:rsidR="009864DB" w:rsidRPr="004D46AC" w:rsidRDefault="009864DB" w:rsidP="009864DB">
            <w:pPr>
              <w:spacing w:line="240" w:lineRule="auto"/>
              <w:ind w:firstLine="0"/>
            </w:pPr>
            <w:r w:rsidRPr="004D46AC">
              <w:t>DSM4</w:t>
            </w:r>
          </w:p>
        </w:tc>
        <w:tc>
          <w:tcPr>
            <w:tcW w:w="1524" w:type="dxa"/>
            <w:vAlign w:val="center"/>
          </w:tcPr>
          <w:p w14:paraId="6D913E9C" w14:textId="77777777" w:rsidR="009864DB" w:rsidRPr="004D46AC" w:rsidRDefault="009864DB" w:rsidP="009864DB">
            <w:pPr>
              <w:spacing w:line="240" w:lineRule="auto"/>
              <w:ind w:firstLine="0"/>
            </w:pPr>
            <w:r w:rsidRPr="004D46AC">
              <w:t>MINI</w:t>
            </w:r>
          </w:p>
        </w:tc>
        <w:tc>
          <w:tcPr>
            <w:tcW w:w="1177" w:type="dxa"/>
            <w:vAlign w:val="center"/>
          </w:tcPr>
          <w:p w14:paraId="781BDE2E" w14:textId="77777777" w:rsidR="009864DB" w:rsidRPr="004D46AC" w:rsidRDefault="009864DB" w:rsidP="009864DB">
            <w:pPr>
              <w:spacing w:line="240" w:lineRule="auto"/>
              <w:ind w:firstLine="0"/>
            </w:pPr>
            <w:r w:rsidRPr="004D46AC">
              <w:t>66</w:t>
            </w:r>
          </w:p>
        </w:tc>
        <w:tc>
          <w:tcPr>
            <w:tcW w:w="1210" w:type="dxa"/>
            <w:vAlign w:val="center"/>
          </w:tcPr>
          <w:p w14:paraId="6027801F" w14:textId="77777777" w:rsidR="009864DB" w:rsidRPr="004D46AC" w:rsidRDefault="009864DB" w:rsidP="009864DB">
            <w:pPr>
              <w:spacing w:line="240" w:lineRule="auto"/>
              <w:ind w:firstLine="0"/>
            </w:pPr>
            <w:r w:rsidRPr="004D46AC">
              <w:t>unclear</w:t>
            </w:r>
          </w:p>
        </w:tc>
        <w:tc>
          <w:tcPr>
            <w:tcW w:w="1155" w:type="dxa"/>
            <w:vAlign w:val="center"/>
          </w:tcPr>
          <w:p w14:paraId="666B1760" w14:textId="77777777" w:rsidR="009864DB" w:rsidRPr="004D46AC" w:rsidRDefault="009864DB" w:rsidP="009864DB">
            <w:pPr>
              <w:spacing w:line="240" w:lineRule="auto"/>
              <w:ind w:firstLine="0"/>
            </w:pPr>
            <w:r w:rsidRPr="004D46AC">
              <w:t>2</w:t>
            </w:r>
          </w:p>
        </w:tc>
        <w:tc>
          <w:tcPr>
            <w:tcW w:w="1150" w:type="dxa"/>
          </w:tcPr>
          <w:p w14:paraId="356CB037" w14:textId="77777777" w:rsidR="009864DB" w:rsidRPr="004D46AC" w:rsidRDefault="009864DB" w:rsidP="009864DB">
            <w:pPr>
              <w:spacing w:line="240" w:lineRule="auto"/>
              <w:ind w:firstLine="0"/>
            </w:pPr>
            <w:r w:rsidRPr="004D46AC">
              <w:t>1</w:t>
            </w:r>
          </w:p>
        </w:tc>
        <w:tc>
          <w:tcPr>
            <w:tcW w:w="1756" w:type="dxa"/>
            <w:vAlign w:val="center"/>
          </w:tcPr>
          <w:p w14:paraId="25B10EDD" w14:textId="77777777" w:rsidR="009864DB" w:rsidRPr="004D46AC" w:rsidRDefault="009864DB" w:rsidP="009864DB">
            <w:pPr>
              <w:spacing w:line="240" w:lineRule="auto"/>
              <w:ind w:firstLine="0"/>
            </w:pPr>
            <w:r w:rsidRPr="004D46AC">
              <w:t>any</w:t>
            </w:r>
          </w:p>
        </w:tc>
        <w:tc>
          <w:tcPr>
            <w:tcW w:w="1152" w:type="dxa"/>
            <w:vAlign w:val="center"/>
          </w:tcPr>
          <w:p w14:paraId="149408CF" w14:textId="77777777" w:rsidR="009864DB" w:rsidRPr="004D46AC" w:rsidRDefault="009864DB" w:rsidP="009864DB">
            <w:pPr>
              <w:spacing w:line="240" w:lineRule="auto"/>
              <w:ind w:firstLine="0"/>
            </w:pPr>
            <w:r w:rsidRPr="004D46AC">
              <w:t>42</w:t>
            </w:r>
          </w:p>
        </w:tc>
      </w:tr>
      <w:tr w:rsidR="009864DB" w:rsidRPr="004D46AC" w14:paraId="4A939624" w14:textId="77777777" w:rsidTr="00B518F1">
        <w:trPr>
          <w:trHeight w:val="254"/>
        </w:trPr>
        <w:tc>
          <w:tcPr>
            <w:tcW w:w="1440" w:type="dxa"/>
          </w:tcPr>
          <w:p w14:paraId="60D9E5C3" w14:textId="77777777" w:rsidR="009864DB" w:rsidRPr="004D46AC" w:rsidRDefault="009864DB" w:rsidP="009864DB">
            <w:pPr>
              <w:spacing w:line="240" w:lineRule="auto"/>
              <w:ind w:firstLine="0"/>
            </w:pPr>
            <w:r w:rsidRPr="004D46AC">
              <w:fldChar w:fldCharType="begin"/>
            </w:r>
            <w:r w:rsidRPr="004D46AC">
              <w:instrText xml:space="preserve"> ADDIN EN.CITE &lt;EndNote&gt;&lt;Cite AuthorYear="1"&gt;&lt;Author&gt;Park&lt;/Author&gt;&lt;Year&gt;2014&lt;/Year&gt;&lt;RecNum&gt;320&lt;/RecNum&gt;&lt;DisplayText&gt;Park et al. (2014)&lt;/DisplayText&gt;&lt;record&gt;&lt;rec-number&gt;320&lt;/rec-number&gt;&lt;foreign-keys&gt;&lt;key app="EN" db-id="aet009sstawa0hewvt3xwf5atffdw2dt02sw" timestamp="1666525486"&gt;320&lt;/key&gt;&lt;/foreign-keys&gt;&lt;ref-type name="Journal Article"&gt;17&lt;/ref-type&gt;&lt;contributors&gt;&lt;authors&gt;&lt;author&gt;Park, J.&lt;/author&gt;&lt;author&gt;Ayduk, O.&lt;/author&gt;&lt;author&gt;O&amp;apos;Donnell, L.&lt;/author&gt;&lt;author&gt;Chun, J.&lt;/author&gt;&lt;author&gt;Gruber, J.&lt;/author&gt;&lt;author&gt;Kamali, M.&lt;/author&gt;&lt;author&gt;McInnis, M.&lt;/author&gt;&lt;author&gt;Deldin, P.&lt;/author&gt;&lt;author&gt;Kross, E.&lt;/author&gt;&lt;/authors&gt;&lt;/contributors&gt;&lt;auth-address&gt;University of Michigan, Ann Arbor.&amp;#xD;University of California, Berkeley.&amp;#xD;Beth Israel Deaconess Medical Center.&amp;#xD;Yale University.&lt;/auth-address&gt;&lt;titles&gt;&lt;title&gt;Regulating the High: Cognitive and Neural Processes Underlying Positive Emotion Regulation in Bipolar I Disorder&lt;/title&gt;&lt;secondary-title&gt;Clin Psychol Sci&lt;/secondary-title&gt;&lt;/titles&gt;&lt;periodical&gt;&lt;full-title&gt;Clin Psychol Sci&lt;/full-title&gt;&lt;/periodical&gt;&lt;pages&gt;661-674&lt;/pages&gt;&lt;volume&gt;2&lt;/volume&gt;&lt;number&gt;6&lt;/number&gt;&lt;edition&gt;20140409&lt;/edition&gt;&lt;keywords&gt;&lt;keyword&gt;Bipolar Disorder&lt;/keyword&gt;&lt;keyword&gt;emotion regulation&lt;/keyword&gt;&lt;keyword&gt;psychosis history&lt;/keyword&gt;&lt;keyword&gt;self-distancing&lt;/keyword&gt;&lt;/keywords&gt;&lt;dates&gt;&lt;year&gt;2014&lt;/year&gt;&lt;pub-dates&gt;&lt;date&gt;Nov 1&lt;/date&gt;&lt;/pub-dates&gt;&lt;/dates&gt;&lt;isbn&gt;2167-7026 (Print)&amp;#xD;2167-7034 (Electronic)&amp;#xD;2167-7034 (Linking)&lt;/isbn&gt;&lt;accession-num&gt;26719819&lt;/accession-num&gt;&lt;urls&gt;&lt;related-urls&gt;&lt;url&gt;https://www.ncbi.nlm.nih.gov/pubmed/26719819&lt;/url&gt;&lt;/related-urls&gt;&lt;/urls&gt;&lt;custom2&gt;PMC4692193&lt;/custom2&gt;&lt;custom6&gt;NIHMS569674&lt;/custom6&gt;&lt;electronic-resource-num&gt;10.1177/2167702614527580&lt;/electronic-resource-num&gt;&lt;remote-database-name&gt;PubMed-not-MEDLINE&lt;/remote-database-name&gt;&lt;remote-database-provider&gt;NLM&lt;/remote-database-provider&gt;&lt;language&gt;eng&lt;/language&gt;&lt;/record&gt;&lt;/Cite&gt;&lt;/EndNote&gt;</w:instrText>
            </w:r>
            <w:r w:rsidRPr="004D46AC">
              <w:fldChar w:fldCharType="separate"/>
            </w:r>
            <w:r w:rsidRPr="004D46AC">
              <w:t>Park et al. (2014)</w:t>
            </w:r>
            <w:r w:rsidRPr="004D46AC">
              <w:fldChar w:fldCharType="end"/>
            </w:r>
          </w:p>
        </w:tc>
        <w:tc>
          <w:tcPr>
            <w:tcW w:w="1189" w:type="dxa"/>
            <w:vAlign w:val="center"/>
          </w:tcPr>
          <w:p w14:paraId="225043D5" w14:textId="77777777" w:rsidR="009864DB" w:rsidRPr="004D46AC" w:rsidRDefault="009864DB" w:rsidP="009864DB">
            <w:pPr>
              <w:spacing w:line="240" w:lineRule="auto"/>
              <w:ind w:firstLine="0"/>
            </w:pPr>
            <w:r w:rsidRPr="004D46AC">
              <w:t>6</w:t>
            </w:r>
          </w:p>
        </w:tc>
        <w:tc>
          <w:tcPr>
            <w:tcW w:w="1186" w:type="dxa"/>
            <w:vAlign w:val="center"/>
          </w:tcPr>
          <w:p w14:paraId="7C46FB9F" w14:textId="77777777" w:rsidR="009864DB" w:rsidRPr="004D46AC" w:rsidRDefault="009864DB" w:rsidP="009864DB">
            <w:pPr>
              <w:spacing w:line="240" w:lineRule="auto"/>
              <w:ind w:firstLine="0"/>
            </w:pPr>
            <w:r w:rsidRPr="004D46AC">
              <w:t>41.49</w:t>
            </w:r>
          </w:p>
        </w:tc>
        <w:tc>
          <w:tcPr>
            <w:tcW w:w="1235" w:type="dxa"/>
            <w:vAlign w:val="center"/>
          </w:tcPr>
          <w:p w14:paraId="4A2FFA46" w14:textId="77777777" w:rsidR="009864DB" w:rsidRPr="004D46AC" w:rsidRDefault="009864DB" w:rsidP="009864DB">
            <w:pPr>
              <w:spacing w:line="240" w:lineRule="auto"/>
              <w:ind w:firstLine="0"/>
            </w:pPr>
            <w:r w:rsidRPr="004D46AC">
              <w:t>DSM4</w:t>
            </w:r>
          </w:p>
        </w:tc>
        <w:tc>
          <w:tcPr>
            <w:tcW w:w="1524" w:type="dxa"/>
            <w:vAlign w:val="center"/>
          </w:tcPr>
          <w:p w14:paraId="2DA11E7B" w14:textId="77777777" w:rsidR="009864DB" w:rsidRPr="004D46AC" w:rsidRDefault="009864DB" w:rsidP="009864DB">
            <w:pPr>
              <w:spacing w:line="240" w:lineRule="auto"/>
              <w:ind w:firstLine="0"/>
            </w:pPr>
            <w:r w:rsidRPr="004D46AC">
              <w:t>DIGS</w:t>
            </w:r>
          </w:p>
        </w:tc>
        <w:tc>
          <w:tcPr>
            <w:tcW w:w="1177" w:type="dxa"/>
            <w:vAlign w:val="center"/>
          </w:tcPr>
          <w:p w14:paraId="191B205D" w14:textId="77777777" w:rsidR="009864DB" w:rsidRPr="004D46AC" w:rsidRDefault="009864DB" w:rsidP="009864DB">
            <w:pPr>
              <w:spacing w:line="240" w:lineRule="auto"/>
              <w:ind w:firstLine="0"/>
            </w:pPr>
            <w:r w:rsidRPr="004D46AC">
              <w:t>41</w:t>
            </w:r>
          </w:p>
        </w:tc>
        <w:tc>
          <w:tcPr>
            <w:tcW w:w="1210" w:type="dxa"/>
            <w:vAlign w:val="center"/>
          </w:tcPr>
          <w:p w14:paraId="40B554CB" w14:textId="77777777" w:rsidR="009864DB" w:rsidRPr="004D46AC" w:rsidRDefault="009864DB" w:rsidP="009864DB">
            <w:pPr>
              <w:spacing w:line="240" w:lineRule="auto"/>
              <w:ind w:firstLine="0"/>
            </w:pPr>
            <w:r w:rsidRPr="004D46AC">
              <w:t>2</w:t>
            </w:r>
          </w:p>
        </w:tc>
        <w:tc>
          <w:tcPr>
            <w:tcW w:w="1155" w:type="dxa"/>
            <w:vAlign w:val="center"/>
          </w:tcPr>
          <w:p w14:paraId="0782D4C1" w14:textId="77777777" w:rsidR="009864DB" w:rsidRPr="004D46AC" w:rsidRDefault="009864DB" w:rsidP="009864DB">
            <w:pPr>
              <w:spacing w:line="240" w:lineRule="auto"/>
              <w:ind w:firstLine="0"/>
            </w:pPr>
            <w:r w:rsidRPr="004D46AC">
              <w:t>2</w:t>
            </w:r>
          </w:p>
        </w:tc>
        <w:tc>
          <w:tcPr>
            <w:tcW w:w="1150" w:type="dxa"/>
          </w:tcPr>
          <w:p w14:paraId="41289DE5" w14:textId="77777777" w:rsidR="009864DB" w:rsidRPr="004D46AC" w:rsidRDefault="009864DB" w:rsidP="009864DB">
            <w:pPr>
              <w:spacing w:line="240" w:lineRule="auto"/>
              <w:ind w:firstLine="0"/>
            </w:pPr>
            <w:r w:rsidRPr="004D46AC">
              <w:t>1</w:t>
            </w:r>
          </w:p>
        </w:tc>
        <w:tc>
          <w:tcPr>
            <w:tcW w:w="1756" w:type="dxa"/>
            <w:vAlign w:val="center"/>
          </w:tcPr>
          <w:p w14:paraId="4E3E335B" w14:textId="77777777" w:rsidR="009864DB" w:rsidRPr="004D46AC" w:rsidRDefault="009864DB" w:rsidP="009864DB">
            <w:pPr>
              <w:spacing w:line="240" w:lineRule="auto"/>
              <w:ind w:firstLine="0"/>
            </w:pPr>
            <w:r w:rsidRPr="004D46AC">
              <w:t>any</w:t>
            </w:r>
          </w:p>
        </w:tc>
        <w:tc>
          <w:tcPr>
            <w:tcW w:w="1152" w:type="dxa"/>
            <w:vAlign w:val="center"/>
          </w:tcPr>
          <w:p w14:paraId="434509BE" w14:textId="77777777" w:rsidR="009864DB" w:rsidRPr="004D46AC" w:rsidRDefault="009864DB" w:rsidP="009864DB">
            <w:pPr>
              <w:spacing w:line="240" w:lineRule="auto"/>
              <w:ind w:firstLine="0"/>
            </w:pPr>
            <w:r w:rsidRPr="004D46AC">
              <w:t>19</w:t>
            </w:r>
          </w:p>
        </w:tc>
      </w:tr>
      <w:tr w:rsidR="009864DB" w:rsidRPr="004D46AC" w14:paraId="2B4D1B05" w14:textId="77777777" w:rsidTr="00B518F1">
        <w:trPr>
          <w:trHeight w:val="254"/>
        </w:trPr>
        <w:tc>
          <w:tcPr>
            <w:tcW w:w="1440" w:type="dxa"/>
          </w:tcPr>
          <w:p w14:paraId="1AF3ADEF" w14:textId="77777777" w:rsidR="009864DB" w:rsidRPr="004D46AC" w:rsidRDefault="009864DB" w:rsidP="009864DB">
            <w:pPr>
              <w:spacing w:line="240" w:lineRule="auto"/>
              <w:ind w:firstLine="0"/>
            </w:pPr>
            <w:r w:rsidRPr="004D46AC">
              <w:fldChar w:fldCharType="begin">
                <w:fldData xml:space="preserve">PEVuZE5vdGU+PENpdGUgQXV0aG9yWWVhcj0iMSI+PEF1dGhvcj5FdGFpbjwvQXV0aG9yPjxZZWFy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 </w:instrText>
            </w:r>
            <w:r w:rsidRPr="004D46AC">
              <w:fldChar w:fldCharType="begin">
                <w:fldData xml:space="preserve">PEVuZE5vdGU+PENpdGUgQXV0aG9yWWVhcj0iMSI+PEF1dGhvcj5FdGFpbjwvQXV0aG9yPjxZZWFy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instrText xml:space="preserve"> ADDIN EN.CITE.DATA </w:instrText>
            </w:r>
            <w:r w:rsidRPr="004D46AC">
              <w:fldChar w:fldCharType="end"/>
            </w:r>
            <w:r w:rsidRPr="004D46AC">
              <w:fldChar w:fldCharType="separate"/>
            </w:r>
            <w:r w:rsidRPr="004D46AC">
              <w:t>Etain et al. (2017)</w:t>
            </w:r>
            <w:r w:rsidRPr="004D46AC">
              <w:fldChar w:fldCharType="end"/>
            </w:r>
          </w:p>
        </w:tc>
        <w:tc>
          <w:tcPr>
            <w:tcW w:w="1189" w:type="dxa"/>
            <w:vAlign w:val="center"/>
          </w:tcPr>
          <w:p w14:paraId="11646EE9" w14:textId="77777777" w:rsidR="009864DB" w:rsidRPr="004D46AC" w:rsidRDefault="009864DB" w:rsidP="009864DB">
            <w:pPr>
              <w:spacing w:line="240" w:lineRule="auto"/>
              <w:ind w:firstLine="0"/>
            </w:pPr>
            <w:r w:rsidRPr="004D46AC">
              <w:t>5</w:t>
            </w:r>
          </w:p>
        </w:tc>
        <w:tc>
          <w:tcPr>
            <w:tcW w:w="1186" w:type="dxa"/>
            <w:vAlign w:val="center"/>
          </w:tcPr>
          <w:p w14:paraId="54FFA641" w14:textId="77777777" w:rsidR="009864DB" w:rsidRPr="004D46AC" w:rsidRDefault="009864DB" w:rsidP="009864DB">
            <w:pPr>
              <w:spacing w:line="240" w:lineRule="auto"/>
              <w:ind w:firstLine="0"/>
            </w:pPr>
            <w:r w:rsidRPr="004D46AC">
              <w:t>43</w:t>
            </w:r>
          </w:p>
        </w:tc>
        <w:tc>
          <w:tcPr>
            <w:tcW w:w="1235" w:type="dxa"/>
            <w:vAlign w:val="center"/>
          </w:tcPr>
          <w:p w14:paraId="6E99DBA2" w14:textId="77777777" w:rsidR="009864DB" w:rsidRPr="004D46AC" w:rsidRDefault="009864DB" w:rsidP="009864DB">
            <w:pPr>
              <w:spacing w:line="240" w:lineRule="auto"/>
              <w:ind w:firstLine="0"/>
            </w:pPr>
            <w:r w:rsidRPr="004D46AC">
              <w:t>DSM4</w:t>
            </w:r>
          </w:p>
        </w:tc>
        <w:tc>
          <w:tcPr>
            <w:tcW w:w="1524" w:type="dxa"/>
            <w:vAlign w:val="center"/>
          </w:tcPr>
          <w:p w14:paraId="1F8BD5C2" w14:textId="77777777" w:rsidR="009864DB" w:rsidRPr="004D46AC" w:rsidRDefault="009864DB" w:rsidP="009864DB">
            <w:pPr>
              <w:spacing w:line="240" w:lineRule="auto"/>
              <w:ind w:firstLine="0"/>
            </w:pPr>
            <w:r w:rsidRPr="004D46AC">
              <w:t>PDI</w:t>
            </w:r>
          </w:p>
        </w:tc>
        <w:tc>
          <w:tcPr>
            <w:tcW w:w="1177" w:type="dxa"/>
            <w:vAlign w:val="center"/>
          </w:tcPr>
          <w:p w14:paraId="52942959" w14:textId="77777777" w:rsidR="009864DB" w:rsidRPr="004D46AC" w:rsidRDefault="009864DB" w:rsidP="009864DB">
            <w:pPr>
              <w:spacing w:line="240" w:lineRule="auto"/>
              <w:ind w:firstLine="0"/>
            </w:pPr>
            <w:r w:rsidRPr="004D46AC">
              <w:t>270</w:t>
            </w:r>
          </w:p>
        </w:tc>
        <w:tc>
          <w:tcPr>
            <w:tcW w:w="1210" w:type="dxa"/>
            <w:vAlign w:val="center"/>
          </w:tcPr>
          <w:p w14:paraId="19032C2D" w14:textId="77777777" w:rsidR="009864DB" w:rsidRPr="004D46AC" w:rsidRDefault="009864DB" w:rsidP="009864DB">
            <w:pPr>
              <w:spacing w:line="240" w:lineRule="auto"/>
              <w:ind w:firstLine="0"/>
            </w:pPr>
            <w:r w:rsidRPr="004D46AC">
              <w:t>unclear</w:t>
            </w:r>
          </w:p>
        </w:tc>
        <w:tc>
          <w:tcPr>
            <w:tcW w:w="1155" w:type="dxa"/>
            <w:vAlign w:val="center"/>
          </w:tcPr>
          <w:p w14:paraId="29C282F4" w14:textId="77777777" w:rsidR="009864DB" w:rsidRPr="004D46AC" w:rsidRDefault="009864DB" w:rsidP="009864DB">
            <w:pPr>
              <w:spacing w:line="240" w:lineRule="auto"/>
              <w:ind w:firstLine="0"/>
            </w:pPr>
            <w:r w:rsidRPr="004D46AC">
              <w:t>1</w:t>
            </w:r>
          </w:p>
        </w:tc>
        <w:tc>
          <w:tcPr>
            <w:tcW w:w="1150" w:type="dxa"/>
          </w:tcPr>
          <w:p w14:paraId="2626A4DB" w14:textId="77777777" w:rsidR="009864DB" w:rsidRPr="004D46AC" w:rsidRDefault="009864DB" w:rsidP="009864DB">
            <w:pPr>
              <w:spacing w:line="240" w:lineRule="auto"/>
              <w:ind w:firstLine="0"/>
            </w:pPr>
            <w:r w:rsidRPr="004D46AC">
              <w:t>1</w:t>
            </w:r>
          </w:p>
        </w:tc>
        <w:tc>
          <w:tcPr>
            <w:tcW w:w="1756" w:type="dxa"/>
            <w:vAlign w:val="center"/>
          </w:tcPr>
          <w:p w14:paraId="338F33B6" w14:textId="77777777" w:rsidR="009864DB" w:rsidRPr="004D46AC" w:rsidRDefault="009864DB" w:rsidP="009864DB">
            <w:pPr>
              <w:spacing w:line="240" w:lineRule="auto"/>
              <w:ind w:firstLine="0"/>
            </w:pPr>
            <w:r w:rsidRPr="004D46AC">
              <w:t>suspiciousness</w:t>
            </w:r>
          </w:p>
        </w:tc>
        <w:tc>
          <w:tcPr>
            <w:tcW w:w="1152" w:type="dxa"/>
            <w:vAlign w:val="center"/>
          </w:tcPr>
          <w:p w14:paraId="17BF91E7" w14:textId="77777777" w:rsidR="009864DB" w:rsidRPr="004D46AC" w:rsidRDefault="009864DB" w:rsidP="009864DB">
            <w:pPr>
              <w:spacing w:line="240" w:lineRule="auto"/>
              <w:ind w:firstLine="0"/>
            </w:pPr>
            <w:r w:rsidRPr="004D46AC">
              <w:t>168</w:t>
            </w:r>
          </w:p>
        </w:tc>
      </w:tr>
      <w:tr w:rsidR="009864DB" w:rsidRPr="004D46AC" w14:paraId="68745DC9" w14:textId="77777777" w:rsidTr="00B518F1">
        <w:trPr>
          <w:trHeight w:val="254"/>
        </w:trPr>
        <w:tc>
          <w:tcPr>
            <w:tcW w:w="1440" w:type="dxa"/>
          </w:tcPr>
          <w:p w14:paraId="481248F6" w14:textId="77777777" w:rsidR="009864DB" w:rsidRPr="004D46AC" w:rsidRDefault="009864DB" w:rsidP="009864DB">
            <w:pPr>
              <w:spacing w:line="240" w:lineRule="auto"/>
              <w:ind w:firstLine="0"/>
            </w:pPr>
            <w:r w:rsidRPr="004D46AC">
              <w:lastRenderedPageBreak/>
              <w:fldChar w:fldCharType="begin">
                <w:fldData xml:space="preserve">PEVuZE5vdGU+PENpdGUgQXV0aG9yWWVhcj0iMSI+PEF1dGhvcj5FbG93ZTwvQXV0aG9yPjxZZWFy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</w:fldData>
              </w:fldChar>
            </w:r>
            <w:r w:rsidRPr="004D46AC">
              <w:instrText xml:space="preserve"> ADDIN EN.CITE </w:instrText>
            </w:r>
            <w:r w:rsidRPr="004D46AC">
              <w:fldChar w:fldCharType="begin">
                <w:fldData xml:space="preserve">PEVuZE5vdGU+PENpdGUgQXV0aG9yWWVhcj0iMSI+PEF1dGhvcj5FbG93ZTwvQXV0aG9yPjxZZWFy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</w:fldData>
              </w:fldChar>
            </w:r>
            <w:r w:rsidRPr="004D46AC">
              <w:instrText xml:space="preserve"> ADDIN EN.CITE.DATA </w:instrText>
            </w:r>
            <w:r w:rsidRPr="004D46AC">
              <w:fldChar w:fldCharType="end"/>
            </w:r>
            <w:r w:rsidRPr="004D46AC">
              <w:fldChar w:fldCharType="separate"/>
            </w:r>
            <w:r w:rsidRPr="004D46AC">
              <w:t>Elowe et al. (2022)</w:t>
            </w:r>
            <w:r w:rsidRPr="004D46AC">
              <w:fldChar w:fldCharType="end"/>
            </w:r>
          </w:p>
        </w:tc>
        <w:tc>
          <w:tcPr>
            <w:tcW w:w="1189" w:type="dxa"/>
            <w:vAlign w:val="center"/>
          </w:tcPr>
          <w:p w14:paraId="0085DD6A" w14:textId="77777777" w:rsidR="009864DB" w:rsidRPr="004D46AC" w:rsidRDefault="009864DB" w:rsidP="009864DB">
            <w:pPr>
              <w:spacing w:line="240" w:lineRule="auto"/>
              <w:ind w:firstLine="0"/>
            </w:pPr>
            <w:r w:rsidRPr="004D46AC">
              <w:t>8</w:t>
            </w:r>
          </w:p>
        </w:tc>
        <w:tc>
          <w:tcPr>
            <w:tcW w:w="1186" w:type="dxa"/>
            <w:vAlign w:val="center"/>
          </w:tcPr>
          <w:p w14:paraId="2A8BC908" w14:textId="77777777" w:rsidR="009864DB" w:rsidRPr="004D46AC" w:rsidRDefault="009864DB" w:rsidP="009864DB">
            <w:pPr>
              <w:spacing w:line="240" w:lineRule="auto"/>
              <w:ind w:firstLine="0"/>
            </w:pPr>
            <w:r w:rsidRPr="004D46AC">
              <w:t>41.39</w:t>
            </w:r>
          </w:p>
        </w:tc>
        <w:tc>
          <w:tcPr>
            <w:tcW w:w="1235" w:type="dxa"/>
            <w:vAlign w:val="center"/>
          </w:tcPr>
          <w:p w14:paraId="4FAC011D" w14:textId="77777777" w:rsidR="009864DB" w:rsidRPr="004D46AC" w:rsidRDefault="009864DB" w:rsidP="009864DB">
            <w:pPr>
              <w:spacing w:line="240" w:lineRule="auto"/>
              <w:ind w:firstLine="0"/>
            </w:pPr>
            <w:r w:rsidRPr="004D46AC">
              <w:t>DSM4</w:t>
            </w:r>
          </w:p>
        </w:tc>
        <w:tc>
          <w:tcPr>
            <w:tcW w:w="1524" w:type="dxa"/>
            <w:vAlign w:val="center"/>
          </w:tcPr>
          <w:p w14:paraId="14B38646" w14:textId="77777777" w:rsidR="009864DB" w:rsidRPr="004D46AC" w:rsidRDefault="009864DB" w:rsidP="009864DB">
            <w:pPr>
              <w:spacing w:line="240" w:lineRule="auto"/>
              <w:ind w:firstLine="0"/>
            </w:pPr>
            <w:r w:rsidRPr="004D46AC">
              <w:t>DIGS</w:t>
            </w:r>
          </w:p>
        </w:tc>
        <w:tc>
          <w:tcPr>
            <w:tcW w:w="1177" w:type="dxa"/>
            <w:vAlign w:val="center"/>
          </w:tcPr>
          <w:p w14:paraId="4632E739" w14:textId="77777777" w:rsidR="009864DB" w:rsidRPr="004D46AC" w:rsidRDefault="009864DB" w:rsidP="009864DB">
            <w:pPr>
              <w:spacing w:line="240" w:lineRule="auto"/>
              <w:ind w:firstLine="0"/>
            </w:pPr>
            <w:r w:rsidRPr="004D46AC">
              <w:t>162</w:t>
            </w:r>
          </w:p>
        </w:tc>
        <w:tc>
          <w:tcPr>
            <w:tcW w:w="1210" w:type="dxa"/>
            <w:vAlign w:val="center"/>
          </w:tcPr>
          <w:p w14:paraId="29DD4D99" w14:textId="77777777" w:rsidR="009864DB" w:rsidRPr="004D46AC" w:rsidRDefault="009864DB" w:rsidP="009864DB">
            <w:pPr>
              <w:spacing w:line="240" w:lineRule="auto"/>
              <w:ind w:firstLine="0"/>
            </w:pPr>
            <w:r w:rsidRPr="004D46AC">
              <w:t>2</w:t>
            </w:r>
          </w:p>
        </w:tc>
        <w:tc>
          <w:tcPr>
            <w:tcW w:w="1155" w:type="dxa"/>
            <w:vAlign w:val="center"/>
          </w:tcPr>
          <w:p w14:paraId="29F6C2E5" w14:textId="77777777" w:rsidR="009864DB" w:rsidRPr="004D46AC" w:rsidRDefault="009864DB" w:rsidP="009864DB">
            <w:pPr>
              <w:spacing w:line="240" w:lineRule="auto"/>
              <w:ind w:firstLine="0"/>
            </w:pPr>
            <w:r w:rsidRPr="004D46AC">
              <w:t>2</w:t>
            </w:r>
          </w:p>
        </w:tc>
        <w:tc>
          <w:tcPr>
            <w:tcW w:w="1150" w:type="dxa"/>
          </w:tcPr>
          <w:p w14:paraId="7A9F9CA3" w14:textId="77777777" w:rsidR="009864DB" w:rsidRPr="004D46AC" w:rsidRDefault="009864DB" w:rsidP="009864DB">
            <w:pPr>
              <w:spacing w:line="240" w:lineRule="auto"/>
              <w:ind w:firstLine="0"/>
            </w:pPr>
            <w:r w:rsidRPr="004D46AC">
              <w:t>1</w:t>
            </w:r>
          </w:p>
        </w:tc>
        <w:tc>
          <w:tcPr>
            <w:tcW w:w="1756" w:type="dxa"/>
            <w:vAlign w:val="center"/>
          </w:tcPr>
          <w:p w14:paraId="58490410" w14:textId="77777777" w:rsidR="009864DB" w:rsidRPr="004D46AC" w:rsidRDefault="009864DB" w:rsidP="009864DB">
            <w:pPr>
              <w:spacing w:line="240" w:lineRule="auto"/>
              <w:ind w:firstLine="0"/>
            </w:pPr>
            <w:r w:rsidRPr="004D46AC">
              <w:t>any</w:t>
            </w:r>
          </w:p>
        </w:tc>
        <w:tc>
          <w:tcPr>
            <w:tcW w:w="1152" w:type="dxa"/>
            <w:vAlign w:val="center"/>
          </w:tcPr>
          <w:p w14:paraId="042DB48E" w14:textId="77777777" w:rsidR="009864DB" w:rsidRPr="004D46AC" w:rsidRDefault="009864DB" w:rsidP="009864DB">
            <w:pPr>
              <w:spacing w:line="240" w:lineRule="auto"/>
              <w:ind w:firstLine="0"/>
            </w:pPr>
            <w:r w:rsidRPr="004D46AC">
              <w:t>87</w:t>
            </w:r>
          </w:p>
        </w:tc>
      </w:tr>
      <w:tr w:rsidR="009864DB" w:rsidRPr="004D46AC" w14:paraId="1B3C4436" w14:textId="77777777" w:rsidTr="00B518F1">
        <w:trPr>
          <w:trHeight w:val="254"/>
        </w:trPr>
        <w:tc>
          <w:tcPr>
            <w:tcW w:w="1440" w:type="dxa"/>
          </w:tcPr>
          <w:p w14:paraId="533EDCAF" w14:textId="77777777" w:rsidR="009864DB" w:rsidRPr="004D46AC" w:rsidRDefault="009864DB" w:rsidP="009864DB">
            <w:pPr>
              <w:spacing w:line="240" w:lineRule="auto"/>
              <w:ind w:firstLine="0"/>
            </w:pPr>
            <w:r w:rsidRPr="004D46AC">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instrText xml:space="preserve"> ADDIN EN.CITE </w:instrText>
            </w:r>
            <w:r w:rsidRPr="004D46AC">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instrText xml:space="preserve"> ADDIN EN.CITE.DATA </w:instrText>
            </w:r>
            <w:r w:rsidRPr="004D46AC">
              <w:fldChar w:fldCharType="end"/>
            </w:r>
            <w:r w:rsidRPr="004D46AC">
              <w:fldChar w:fldCharType="separate"/>
            </w:r>
            <w:r w:rsidRPr="004D46AC">
              <w:t>Morgan et al. (2012)</w:t>
            </w:r>
            <w:r w:rsidRPr="004D46AC">
              <w:fldChar w:fldCharType="end"/>
            </w:r>
          </w:p>
        </w:tc>
        <w:tc>
          <w:tcPr>
            <w:tcW w:w="1189" w:type="dxa"/>
            <w:vAlign w:val="center"/>
          </w:tcPr>
          <w:p w14:paraId="2DA4F84C" w14:textId="77777777" w:rsidR="009864DB" w:rsidRPr="004D46AC" w:rsidRDefault="009864DB" w:rsidP="009864DB">
            <w:pPr>
              <w:spacing w:line="240" w:lineRule="auto"/>
              <w:ind w:firstLine="0"/>
            </w:pPr>
            <w:r w:rsidRPr="004D46AC">
              <w:t>5</w:t>
            </w:r>
          </w:p>
        </w:tc>
        <w:tc>
          <w:tcPr>
            <w:tcW w:w="1186" w:type="dxa"/>
            <w:vAlign w:val="center"/>
          </w:tcPr>
          <w:p w14:paraId="2CD64378" w14:textId="77777777" w:rsidR="009864DB" w:rsidRPr="004D46AC" w:rsidRDefault="009864DB" w:rsidP="009864DB">
            <w:pPr>
              <w:spacing w:line="240" w:lineRule="auto"/>
              <w:ind w:firstLine="0"/>
            </w:pPr>
            <w:r w:rsidRPr="004D46AC">
              <w:t>NA</w:t>
            </w:r>
          </w:p>
        </w:tc>
        <w:tc>
          <w:tcPr>
            <w:tcW w:w="1235" w:type="dxa"/>
            <w:vAlign w:val="center"/>
          </w:tcPr>
          <w:p w14:paraId="32E70D7D" w14:textId="77777777" w:rsidR="009864DB" w:rsidRPr="004D46AC" w:rsidRDefault="009864DB" w:rsidP="009864DB">
            <w:pPr>
              <w:spacing w:line="240" w:lineRule="auto"/>
              <w:ind w:firstLine="0"/>
            </w:pPr>
            <w:r w:rsidRPr="004D46AC">
              <w:t>ICD10</w:t>
            </w:r>
          </w:p>
        </w:tc>
        <w:tc>
          <w:tcPr>
            <w:tcW w:w="1524" w:type="dxa"/>
            <w:vAlign w:val="center"/>
          </w:tcPr>
          <w:p w14:paraId="64FD4568" w14:textId="77777777" w:rsidR="009864DB" w:rsidRPr="004D46AC" w:rsidRDefault="009864DB" w:rsidP="009864DB">
            <w:pPr>
              <w:spacing w:line="240" w:lineRule="auto"/>
              <w:ind w:firstLine="0"/>
            </w:pPr>
            <w:r w:rsidRPr="004D46AC">
              <w:t>DIP</w:t>
            </w:r>
          </w:p>
        </w:tc>
        <w:tc>
          <w:tcPr>
            <w:tcW w:w="1177" w:type="dxa"/>
            <w:vAlign w:val="center"/>
          </w:tcPr>
          <w:p w14:paraId="635C8E2E" w14:textId="77777777" w:rsidR="009864DB" w:rsidRPr="004D46AC" w:rsidRDefault="009864DB" w:rsidP="009864DB">
            <w:pPr>
              <w:spacing w:line="240" w:lineRule="auto"/>
              <w:ind w:firstLine="0"/>
            </w:pPr>
            <w:r w:rsidRPr="004D46AC">
              <w:t>319</w:t>
            </w:r>
          </w:p>
        </w:tc>
        <w:tc>
          <w:tcPr>
            <w:tcW w:w="1210" w:type="dxa"/>
            <w:vAlign w:val="center"/>
          </w:tcPr>
          <w:p w14:paraId="70C76E06" w14:textId="77777777" w:rsidR="009864DB" w:rsidRPr="004D46AC" w:rsidRDefault="009864DB" w:rsidP="009864DB">
            <w:pPr>
              <w:spacing w:line="240" w:lineRule="auto"/>
              <w:ind w:firstLine="0"/>
            </w:pPr>
            <w:r w:rsidRPr="004D46AC">
              <w:t>NA</w:t>
            </w:r>
          </w:p>
        </w:tc>
        <w:tc>
          <w:tcPr>
            <w:tcW w:w="1155" w:type="dxa"/>
            <w:vAlign w:val="center"/>
          </w:tcPr>
          <w:p w14:paraId="2DD4CAED" w14:textId="77777777" w:rsidR="009864DB" w:rsidRPr="004D46AC" w:rsidRDefault="009864DB" w:rsidP="009864DB">
            <w:pPr>
              <w:spacing w:line="240" w:lineRule="auto"/>
              <w:ind w:firstLine="0"/>
            </w:pPr>
            <w:r w:rsidRPr="004D46AC">
              <w:t>3</w:t>
            </w:r>
          </w:p>
        </w:tc>
        <w:tc>
          <w:tcPr>
            <w:tcW w:w="1150" w:type="dxa"/>
          </w:tcPr>
          <w:p w14:paraId="5779AB8E" w14:textId="77777777" w:rsidR="009864DB" w:rsidRPr="004D46AC" w:rsidRDefault="009864DB" w:rsidP="009864DB">
            <w:pPr>
              <w:spacing w:line="240" w:lineRule="auto"/>
              <w:ind w:firstLine="0"/>
            </w:pPr>
            <w:r w:rsidRPr="004D46AC">
              <w:t>1</w:t>
            </w:r>
          </w:p>
        </w:tc>
        <w:tc>
          <w:tcPr>
            <w:tcW w:w="1756" w:type="dxa"/>
            <w:vAlign w:val="center"/>
          </w:tcPr>
          <w:p w14:paraId="71B74F09" w14:textId="77777777" w:rsidR="009864DB" w:rsidRPr="004D46AC" w:rsidRDefault="009864DB" w:rsidP="009864DB">
            <w:pPr>
              <w:spacing w:line="240" w:lineRule="auto"/>
              <w:ind w:firstLine="0"/>
            </w:pPr>
            <w:r w:rsidRPr="004D46AC">
              <w:t>any</w:t>
            </w:r>
          </w:p>
        </w:tc>
        <w:tc>
          <w:tcPr>
            <w:tcW w:w="1152" w:type="dxa"/>
            <w:vAlign w:val="center"/>
          </w:tcPr>
          <w:p w14:paraId="205FEE0E" w14:textId="77777777" w:rsidR="009864DB" w:rsidRPr="004D46AC" w:rsidRDefault="009864DB" w:rsidP="009864DB">
            <w:pPr>
              <w:spacing w:line="240" w:lineRule="auto"/>
              <w:ind w:firstLine="0"/>
            </w:pPr>
            <w:r w:rsidRPr="004D46AC">
              <w:t>265</w:t>
            </w:r>
          </w:p>
        </w:tc>
      </w:tr>
    </w:tbl>
    <w:p w14:paraId="72119D23" w14:textId="77777777" w:rsidR="009864DB" w:rsidRPr="004D46AC" w:rsidRDefault="009864DB" w:rsidP="009864DB">
      <w:pPr>
        <w:spacing w:line="240" w:lineRule="auto"/>
        <w:ind w:firstLine="0"/>
      </w:pPr>
      <w:r w:rsidRPr="004D46AC">
        <w:rPr>
          <w:rFonts w:hint="eastAsia"/>
          <w:i/>
          <w:iCs/>
        </w:rPr>
        <w:t>Note</w:t>
      </w:r>
      <w:r w:rsidRPr="004D46AC">
        <w:rPr>
          <w:rFonts w:hint="eastAsia"/>
        </w:rPr>
        <w:t xml:space="preserve">.  </w:t>
      </w:r>
      <w:r w:rsidRPr="004D46AC">
        <w:t>The JBI score refers to the study quality score rated by the JBI checklist (range = 0-9). Pop denotes the patient population (1 = outpatient, 2 = mixed, 3 = inpatient). Criteria specify the diagnostic criteria used, while Assessment refers to the interview tools employed (See Table S6 for details).</w:t>
      </w:r>
      <w:r w:rsidRPr="004D46AC">
        <w:rPr>
          <w:rFonts w:hint="eastAsia"/>
          <w:lang w:val="en-US"/>
        </w:rPr>
        <w:t xml:space="preserve"> </w:t>
      </w:r>
      <w:r w:rsidRPr="004D46AC">
        <w:t xml:space="preserve">BD represents the bipolar diagnosis subtype (0 = BD II, 1 = BSD, 2 = BD I, 3 = Psychotic BD). TF indicates the timeframe (0 = current, 1 = lifetime). </w:t>
      </w:r>
      <w:proofErr w:type="spellStart"/>
      <w:r w:rsidRPr="004D46AC">
        <w:t>Cotyp</w:t>
      </w:r>
      <w:proofErr w:type="spellEnd"/>
      <w:r w:rsidRPr="004D46AC">
        <w:t xml:space="preserve"> refers to the type</w:t>
      </w:r>
      <w:r w:rsidRPr="004D46AC">
        <w:rPr>
          <w:rFonts w:hint="eastAsia"/>
        </w:rPr>
        <w:t xml:space="preserve"> of </w:t>
      </w:r>
      <w:r w:rsidRPr="004D46AC">
        <w:t>cooccurring</w:t>
      </w:r>
      <w:r w:rsidRPr="004D46AC">
        <w:rPr>
          <w:rFonts w:hint="eastAsia"/>
        </w:rPr>
        <w:t xml:space="preserve"> delusions</w:t>
      </w:r>
      <w:r w:rsidRPr="004D46AC">
        <w:t xml:space="preserve"> (</w:t>
      </w:r>
      <w:r w:rsidRPr="004D46AC">
        <w:rPr>
          <w:rFonts w:hint="eastAsia"/>
        </w:rPr>
        <w:t xml:space="preserve">e.g., any delusions, or specific delusion </w:t>
      </w:r>
      <w:r w:rsidRPr="004D46AC">
        <w:t>such</w:t>
      </w:r>
      <w:r w:rsidRPr="004D46AC">
        <w:rPr>
          <w:rFonts w:hint="eastAsia"/>
        </w:rPr>
        <w:t xml:space="preserve"> as grandiosity and idea of reference </w:t>
      </w:r>
      <w:r w:rsidRPr="004D46AC">
        <w:t>etc.).</w:t>
      </w:r>
      <w:r w:rsidRPr="004D46AC">
        <w:rPr>
          <w:rFonts w:hint="eastAsia"/>
          <w:lang w:val="en-US"/>
        </w:rPr>
        <w:t xml:space="preserve"> Co (n): number of patients with this condition.</w:t>
      </w:r>
    </w:p>
    <w:p w14:paraId="5BCF1FEF" w14:textId="77777777" w:rsidR="007075D9" w:rsidRPr="004D46AC" w:rsidRDefault="007075D9" w:rsidP="00D41749">
      <w:pPr>
        <w:spacing w:line="240" w:lineRule="auto"/>
        <w:ind w:firstLine="0"/>
      </w:pPr>
    </w:p>
    <w:p w14:paraId="34090B43" w14:textId="77777777" w:rsidR="007075D9" w:rsidRPr="004D46AC" w:rsidRDefault="007075D9" w:rsidP="00D41749">
      <w:pPr>
        <w:spacing w:line="240" w:lineRule="auto"/>
        <w:ind w:firstLine="0"/>
      </w:pPr>
    </w:p>
    <w:p w14:paraId="5A01D158" w14:textId="7FC6B095" w:rsidR="007075D9" w:rsidRPr="004D46AC" w:rsidRDefault="009864DB" w:rsidP="00D41749">
      <w:pPr>
        <w:spacing w:line="240" w:lineRule="auto"/>
        <w:ind w:firstLine="0"/>
        <w:rPr>
          <w:rFonts w:eastAsiaTheme="minorEastAsia"/>
        </w:rPr>
      </w:pPr>
      <w:r w:rsidRPr="004D46AC">
        <w:rPr>
          <w:rFonts w:eastAsiaTheme="minorEastAsia"/>
        </w:rPr>
        <w:t>R</w:t>
      </w:r>
      <w:r w:rsidRPr="004D46AC">
        <w:rPr>
          <w:rFonts w:eastAsiaTheme="minorEastAsia" w:hint="eastAsia"/>
        </w:rPr>
        <w:t>eference:</w:t>
      </w:r>
    </w:p>
    <w:p w14:paraId="7075CA2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Abrams, R., &amp; Taylor, M. A. (1981). Importance of schizophrenic symptoms in the diagnosis of mania. Am J Psychiatry, 138(5), 658–661. https://doi.org/10.1176/ajp.138.5.658 </w:t>
      </w:r>
    </w:p>
    <w:p w14:paraId="71D96FB7"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Akinhanmi</w:t>
      </w:r>
      <w:proofErr w:type="spellEnd"/>
      <w:r w:rsidRPr="004D46AC">
        <w:rPr>
          <w:rFonts w:eastAsiaTheme="minorEastAsia"/>
        </w:rPr>
        <w:t xml:space="preserve">, M., El-Amin, S., Balls-Berry, J. E., </w:t>
      </w:r>
      <w:proofErr w:type="spellStart"/>
      <w:r w:rsidRPr="004D46AC">
        <w:rPr>
          <w:rFonts w:eastAsiaTheme="minorEastAsia"/>
        </w:rPr>
        <w:t>Vallender</w:t>
      </w:r>
      <w:proofErr w:type="spellEnd"/>
      <w:r w:rsidRPr="004D46AC">
        <w:rPr>
          <w:rFonts w:eastAsiaTheme="minorEastAsia"/>
        </w:rPr>
        <w:t xml:space="preserve">, E. J., Ladner, M., Geske, J., Coombes, B., Biernacka, J., Kelsoe, J., Bipolar Genome, S., &amp; Frye, M. A. (2020). Decreased core symptoms of mania and utilization of lithium/mood stabilizing anticonvulsants in U.S. bipolar I patients of African vs European ancestry. J Affect </w:t>
      </w:r>
      <w:proofErr w:type="spellStart"/>
      <w:r w:rsidRPr="004D46AC">
        <w:rPr>
          <w:rFonts w:eastAsiaTheme="minorEastAsia"/>
        </w:rPr>
        <w:t>Disord</w:t>
      </w:r>
      <w:proofErr w:type="spellEnd"/>
      <w:r w:rsidRPr="004D46AC">
        <w:rPr>
          <w:rFonts w:eastAsiaTheme="minorEastAsia"/>
        </w:rPr>
        <w:t xml:space="preserve">, 260, 361–365. https://doi.org/10.1016/j.jad.2019.09.022 </w:t>
      </w:r>
    </w:p>
    <w:p w14:paraId="3D9FC42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Asaad, T., Okasha, T., Ramy, H., Fekry, M., Zaki, N., Azzam, H., Rabie, M. A., </w:t>
      </w:r>
      <w:proofErr w:type="spellStart"/>
      <w:r w:rsidRPr="004D46AC">
        <w:rPr>
          <w:rFonts w:eastAsiaTheme="minorEastAsia"/>
        </w:rPr>
        <w:t>Elghoneimy</w:t>
      </w:r>
      <w:proofErr w:type="spellEnd"/>
      <w:r w:rsidRPr="004D46AC">
        <w:rPr>
          <w:rFonts w:eastAsiaTheme="minorEastAsia"/>
        </w:rPr>
        <w:t xml:space="preserve">, S., Sultan, M., Hamed, H., Refaat, O., </w:t>
      </w:r>
      <w:proofErr w:type="spellStart"/>
      <w:r w:rsidRPr="004D46AC">
        <w:rPr>
          <w:rFonts w:eastAsiaTheme="minorEastAsia"/>
        </w:rPr>
        <w:t>Shorab</w:t>
      </w:r>
      <w:proofErr w:type="spellEnd"/>
      <w:r w:rsidRPr="004D46AC">
        <w:rPr>
          <w:rFonts w:eastAsiaTheme="minorEastAsia"/>
        </w:rPr>
        <w:t xml:space="preserve">, I., </w:t>
      </w:r>
      <w:proofErr w:type="spellStart"/>
      <w:r w:rsidRPr="004D46AC">
        <w:rPr>
          <w:rFonts w:eastAsiaTheme="minorEastAsia"/>
        </w:rPr>
        <w:t>Elhabiby</w:t>
      </w:r>
      <w:proofErr w:type="spellEnd"/>
      <w:r w:rsidRPr="004D46AC">
        <w:rPr>
          <w:rFonts w:eastAsiaTheme="minorEastAsia"/>
        </w:rPr>
        <w:t xml:space="preserve">, M., </w:t>
      </w:r>
      <w:proofErr w:type="spellStart"/>
      <w:r w:rsidRPr="004D46AC">
        <w:rPr>
          <w:rFonts w:eastAsiaTheme="minorEastAsia"/>
        </w:rPr>
        <w:t>Elgweily</w:t>
      </w:r>
      <w:proofErr w:type="spellEnd"/>
      <w:r w:rsidRPr="004D46AC">
        <w:rPr>
          <w:rFonts w:eastAsiaTheme="minorEastAsia"/>
        </w:rPr>
        <w:t xml:space="preserve">, T., </w:t>
      </w:r>
      <w:proofErr w:type="spellStart"/>
      <w:r w:rsidRPr="004D46AC">
        <w:rPr>
          <w:rFonts w:eastAsiaTheme="minorEastAsia"/>
        </w:rPr>
        <w:t>ElShinnawy</w:t>
      </w:r>
      <w:proofErr w:type="spellEnd"/>
      <w:r w:rsidRPr="004D46AC">
        <w:rPr>
          <w:rFonts w:eastAsiaTheme="minorEastAsia"/>
        </w:rPr>
        <w:t xml:space="preserve">, H., Nasr, M., Fathy, H., Meguid, M. A., Nader, D.,…Ahmed, S. (2014). Correlates of psychiatric co-morbidity in a sample of Egyptian patients with bipolar disorder. J Affect </w:t>
      </w:r>
      <w:proofErr w:type="spellStart"/>
      <w:r w:rsidRPr="004D46AC">
        <w:rPr>
          <w:rFonts w:eastAsiaTheme="minorEastAsia"/>
        </w:rPr>
        <w:t>Disord</w:t>
      </w:r>
      <w:proofErr w:type="spellEnd"/>
      <w:r w:rsidRPr="004D46AC">
        <w:rPr>
          <w:rFonts w:eastAsiaTheme="minorEastAsia"/>
        </w:rPr>
        <w:t xml:space="preserve">, 166, 347–352. https://doi.org/10.1016/j.jad.2014.04.050 </w:t>
      </w:r>
    </w:p>
    <w:p w14:paraId="3535E69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Baek, J. H., Park, D. Y., Choi, J., Kim, J. S., Choi, J. S., Ha, K., Kwon, J. S., Lee, D., &amp; Hong, K. S. (2011). Differences between bipolar I and bipolar II disorders in clinical features, comorbidity, and family history. J Affect </w:t>
      </w:r>
      <w:proofErr w:type="spellStart"/>
      <w:r w:rsidRPr="004D46AC">
        <w:rPr>
          <w:rFonts w:eastAsiaTheme="minorEastAsia"/>
        </w:rPr>
        <w:t>Disord</w:t>
      </w:r>
      <w:proofErr w:type="spellEnd"/>
      <w:r w:rsidRPr="004D46AC">
        <w:rPr>
          <w:rFonts w:eastAsiaTheme="minorEastAsia"/>
        </w:rPr>
        <w:t xml:space="preserve">, 131(1-3), 59–67. https://doi.org/10.1016/j.jad.2010.11.020 </w:t>
      </w:r>
    </w:p>
    <w:p w14:paraId="6FDAF196"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Baethge</w:t>
      </w:r>
      <w:proofErr w:type="spellEnd"/>
      <w:r w:rsidRPr="004D46AC">
        <w:rPr>
          <w:rFonts w:eastAsiaTheme="minorEastAsia"/>
        </w:rPr>
        <w:t xml:space="preserve">, C., </w:t>
      </w:r>
      <w:proofErr w:type="spellStart"/>
      <w:r w:rsidRPr="004D46AC">
        <w:rPr>
          <w:rFonts w:eastAsiaTheme="minorEastAsia"/>
        </w:rPr>
        <w:t>Baldessarini</w:t>
      </w:r>
      <w:proofErr w:type="spellEnd"/>
      <w:r w:rsidRPr="004D46AC">
        <w:rPr>
          <w:rFonts w:eastAsiaTheme="minorEastAsia"/>
        </w:rPr>
        <w:t xml:space="preserve">, R. J., Freudenthal, K., </w:t>
      </w:r>
      <w:proofErr w:type="spellStart"/>
      <w:r w:rsidRPr="004D46AC">
        <w:rPr>
          <w:rFonts w:eastAsiaTheme="minorEastAsia"/>
        </w:rPr>
        <w:t>Streeruwitz</w:t>
      </w:r>
      <w:proofErr w:type="spellEnd"/>
      <w:r w:rsidRPr="004D46AC">
        <w:rPr>
          <w:rFonts w:eastAsiaTheme="minorEastAsia"/>
        </w:rPr>
        <w:t xml:space="preserve">, A., Bauer, M., &amp; </w:t>
      </w:r>
      <w:proofErr w:type="spellStart"/>
      <w:r w:rsidRPr="004D46AC">
        <w:rPr>
          <w:rFonts w:eastAsiaTheme="minorEastAsia"/>
        </w:rPr>
        <w:t>Bschor</w:t>
      </w:r>
      <w:proofErr w:type="spellEnd"/>
      <w:r w:rsidRPr="004D46AC">
        <w:rPr>
          <w:rFonts w:eastAsiaTheme="minorEastAsia"/>
        </w:rPr>
        <w:t xml:space="preserve">, T. (2005). Hallucinations in bipolar disorder: characteristics and comparison to unipolar depression and schizophrenia. Bipolar </w:t>
      </w:r>
      <w:proofErr w:type="spellStart"/>
      <w:r w:rsidRPr="004D46AC">
        <w:rPr>
          <w:rFonts w:eastAsiaTheme="minorEastAsia"/>
        </w:rPr>
        <w:t>Disord</w:t>
      </w:r>
      <w:proofErr w:type="spellEnd"/>
      <w:r w:rsidRPr="004D46AC">
        <w:rPr>
          <w:rFonts w:eastAsiaTheme="minorEastAsia"/>
        </w:rPr>
        <w:t xml:space="preserve">, 7(2), 136–145. https://doi.org/10.1111/j.1399-5618.2004.00175.x </w:t>
      </w:r>
    </w:p>
    <w:p w14:paraId="3D72E81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Baryshnikov, I., </w:t>
      </w:r>
      <w:proofErr w:type="spellStart"/>
      <w:r w:rsidRPr="004D46AC">
        <w:rPr>
          <w:rFonts w:eastAsiaTheme="minorEastAsia"/>
        </w:rPr>
        <w:t>Suvisaari</w:t>
      </w:r>
      <w:proofErr w:type="spellEnd"/>
      <w:r w:rsidRPr="004D46AC">
        <w:rPr>
          <w:rFonts w:eastAsiaTheme="minorEastAsia"/>
        </w:rPr>
        <w:t xml:space="preserve">, J., Aaltonen, K., Koivisto, M., </w:t>
      </w:r>
      <w:proofErr w:type="spellStart"/>
      <w:r w:rsidRPr="004D46AC">
        <w:rPr>
          <w:rFonts w:eastAsiaTheme="minorEastAsia"/>
        </w:rPr>
        <w:t>Melartin</w:t>
      </w:r>
      <w:proofErr w:type="spellEnd"/>
      <w:r w:rsidRPr="004D46AC">
        <w:rPr>
          <w:rFonts w:eastAsiaTheme="minorEastAsia"/>
        </w:rPr>
        <w:t xml:space="preserve">, T., </w:t>
      </w:r>
      <w:proofErr w:type="spellStart"/>
      <w:r w:rsidRPr="004D46AC">
        <w:rPr>
          <w:rFonts w:eastAsiaTheme="minorEastAsia"/>
        </w:rPr>
        <w:t>Naatanen</w:t>
      </w:r>
      <w:proofErr w:type="spellEnd"/>
      <w:r w:rsidRPr="004D46AC">
        <w:rPr>
          <w:rFonts w:eastAsiaTheme="minorEastAsia"/>
        </w:rPr>
        <w:t xml:space="preserve">, P., Suominen, K., Karpov, B., Heikkinen, M., Oksanen, J., </w:t>
      </w:r>
      <w:proofErr w:type="spellStart"/>
      <w:r w:rsidRPr="004D46AC">
        <w:rPr>
          <w:rFonts w:eastAsiaTheme="minorEastAsia"/>
        </w:rPr>
        <w:t>Paunio</w:t>
      </w:r>
      <w:proofErr w:type="spellEnd"/>
      <w:r w:rsidRPr="004D46AC">
        <w:rPr>
          <w:rFonts w:eastAsiaTheme="minorEastAsia"/>
        </w:rPr>
        <w:t xml:space="preserve">, T., Joffe, G., &amp; </w:t>
      </w:r>
      <w:proofErr w:type="spellStart"/>
      <w:r w:rsidRPr="004D46AC">
        <w:rPr>
          <w:rFonts w:eastAsiaTheme="minorEastAsia"/>
        </w:rPr>
        <w:t>Isometsa</w:t>
      </w:r>
      <w:proofErr w:type="spellEnd"/>
      <w:r w:rsidRPr="004D46AC">
        <w:rPr>
          <w:rFonts w:eastAsiaTheme="minorEastAsia"/>
        </w:rPr>
        <w:t xml:space="preserve">, E. (2018). Self-reported psychosis-like experiences in patients with mood disorders. </w:t>
      </w:r>
      <w:proofErr w:type="spellStart"/>
      <w:r w:rsidRPr="004D46AC">
        <w:rPr>
          <w:rFonts w:eastAsiaTheme="minorEastAsia"/>
        </w:rPr>
        <w:t>Eur</w:t>
      </w:r>
      <w:proofErr w:type="spellEnd"/>
      <w:r w:rsidRPr="004D46AC">
        <w:rPr>
          <w:rFonts w:eastAsiaTheme="minorEastAsia"/>
        </w:rPr>
        <w:t xml:space="preserve"> Psychiatry, 51, 90–97. https://doi.org/10.1016/j.eurpsy.2016.07.005 </w:t>
      </w:r>
    </w:p>
    <w:p w14:paraId="7C3DFFFC"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Benabarre</w:t>
      </w:r>
      <w:proofErr w:type="spellEnd"/>
      <w:r w:rsidRPr="004D46AC">
        <w:rPr>
          <w:rFonts w:eastAsiaTheme="minorEastAsia"/>
        </w:rPr>
        <w:t xml:space="preserve">, A., Vieta, E., Colom, F., Martinez-Aran, A., </w:t>
      </w:r>
      <w:proofErr w:type="spellStart"/>
      <w:r w:rsidRPr="004D46AC">
        <w:rPr>
          <w:rFonts w:eastAsiaTheme="minorEastAsia"/>
        </w:rPr>
        <w:t>Reinares</w:t>
      </w:r>
      <w:proofErr w:type="spellEnd"/>
      <w:r w:rsidRPr="004D46AC">
        <w:rPr>
          <w:rFonts w:eastAsiaTheme="minorEastAsia"/>
        </w:rPr>
        <w:t xml:space="preserve">, M., &amp; Gasto, C. (2001). Bipolar disorder, schizoaffective disorder and schizophrenia: epidemiologic, clinical and prognostic differences. </w:t>
      </w:r>
      <w:proofErr w:type="spellStart"/>
      <w:r w:rsidRPr="004D46AC">
        <w:rPr>
          <w:rFonts w:eastAsiaTheme="minorEastAsia"/>
        </w:rPr>
        <w:t>Eur</w:t>
      </w:r>
      <w:proofErr w:type="spellEnd"/>
      <w:r w:rsidRPr="004D46AC">
        <w:rPr>
          <w:rFonts w:eastAsiaTheme="minorEastAsia"/>
        </w:rPr>
        <w:t xml:space="preserve"> Psychiatry, 16(3), 167–172. https://doi.org/10.1016/s0924-9338(01)00559-4 </w:t>
      </w:r>
    </w:p>
    <w:p w14:paraId="719253A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Benazzi, F. (1999). Bipolar versus unipolar psychotic outpatient depression. J Affect </w:t>
      </w:r>
      <w:proofErr w:type="spellStart"/>
      <w:r w:rsidRPr="004D46AC">
        <w:rPr>
          <w:rFonts w:eastAsiaTheme="minorEastAsia"/>
        </w:rPr>
        <w:t>Disord</w:t>
      </w:r>
      <w:proofErr w:type="spellEnd"/>
      <w:r w:rsidRPr="004D46AC">
        <w:rPr>
          <w:rFonts w:eastAsiaTheme="minorEastAsia"/>
        </w:rPr>
        <w:t xml:space="preserve">, 55(1), 63–66. https://doi.org/10.1016/s0165-0327(98)00217-1 </w:t>
      </w:r>
    </w:p>
    <w:p w14:paraId="159FA66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Black, D. W., &amp; Nasrallah, A. (1989). Hallucinations and delusions in 1,715 patients with unipolar and bipolar affective disorders. Psychopathology, 22(1), 28–34. https://doi.org/10.1159/000284576 </w:t>
      </w:r>
    </w:p>
    <w:p w14:paraId="28BF7F9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Bora, E., </w:t>
      </w:r>
      <w:proofErr w:type="spellStart"/>
      <w:r w:rsidRPr="004D46AC">
        <w:rPr>
          <w:rFonts w:eastAsiaTheme="minorEastAsia"/>
        </w:rPr>
        <w:t>Vahip</w:t>
      </w:r>
      <w:proofErr w:type="spellEnd"/>
      <w:r w:rsidRPr="004D46AC">
        <w:rPr>
          <w:rFonts w:eastAsiaTheme="minorEastAsia"/>
        </w:rPr>
        <w:t xml:space="preserve">, S., Akdeniz, F., Gonul, A. S., </w:t>
      </w:r>
      <w:proofErr w:type="spellStart"/>
      <w:r w:rsidRPr="004D46AC">
        <w:rPr>
          <w:rFonts w:eastAsiaTheme="minorEastAsia"/>
        </w:rPr>
        <w:t>Eryavuz</w:t>
      </w:r>
      <w:proofErr w:type="spellEnd"/>
      <w:r w:rsidRPr="004D46AC">
        <w:rPr>
          <w:rFonts w:eastAsiaTheme="minorEastAsia"/>
        </w:rPr>
        <w:t xml:space="preserve">, A., </w:t>
      </w:r>
      <w:proofErr w:type="spellStart"/>
      <w:r w:rsidRPr="004D46AC">
        <w:rPr>
          <w:rFonts w:eastAsiaTheme="minorEastAsia"/>
        </w:rPr>
        <w:t>Ogut</w:t>
      </w:r>
      <w:proofErr w:type="spellEnd"/>
      <w:r w:rsidRPr="004D46AC">
        <w:rPr>
          <w:rFonts w:eastAsiaTheme="minorEastAsia"/>
        </w:rPr>
        <w:t xml:space="preserve">, M., &amp; Alkan, M. (2007). The effect of previous psychotic mood episodes on cognitive impairment in euthymic bipolar patients. Bipolar </w:t>
      </w:r>
      <w:proofErr w:type="spellStart"/>
      <w:r w:rsidRPr="004D46AC">
        <w:rPr>
          <w:rFonts w:eastAsiaTheme="minorEastAsia"/>
        </w:rPr>
        <w:t>Disord</w:t>
      </w:r>
      <w:proofErr w:type="spellEnd"/>
      <w:r w:rsidRPr="004D46AC">
        <w:rPr>
          <w:rFonts w:eastAsiaTheme="minorEastAsia"/>
        </w:rPr>
        <w:t xml:space="preserve">, 9(5), 468–477. https://doi.org/10.1111/j.1399-5618.2007.00469.x </w:t>
      </w:r>
    </w:p>
    <w:p w14:paraId="558E398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Brancati, G. E., Tripodi, B., Novi, M., Barbuti, M., Medda, P., &amp; </w:t>
      </w:r>
      <w:proofErr w:type="spellStart"/>
      <w:r w:rsidRPr="004D46AC">
        <w:rPr>
          <w:rFonts w:eastAsiaTheme="minorEastAsia"/>
        </w:rPr>
        <w:t>Perugi</w:t>
      </w:r>
      <w:proofErr w:type="spellEnd"/>
      <w:r w:rsidRPr="004D46AC">
        <w:rPr>
          <w:rFonts w:eastAsiaTheme="minorEastAsia"/>
        </w:rPr>
        <w:t xml:space="preserve">, G. (2021). Association of treatment facets, severity of manic symptoms, psychomotor disturbances and psychotic features with response to electroconvulsive therapy in bipolar depression. </w:t>
      </w:r>
      <w:r w:rsidRPr="004D46AC">
        <w:rPr>
          <w:rFonts w:eastAsiaTheme="minorEastAsia"/>
        </w:rPr>
        <w:lastRenderedPageBreak/>
        <w:t xml:space="preserve">World J </w:t>
      </w:r>
      <w:proofErr w:type="spellStart"/>
      <w:r w:rsidRPr="004D46AC">
        <w:rPr>
          <w:rFonts w:eastAsiaTheme="minorEastAsia"/>
        </w:rPr>
        <w:t>Biol</w:t>
      </w:r>
      <w:proofErr w:type="spellEnd"/>
      <w:r w:rsidRPr="004D46AC">
        <w:rPr>
          <w:rFonts w:eastAsiaTheme="minorEastAsia"/>
        </w:rPr>
        <w:t xml:space="preserve"> Psychiatry, 22(3), 194–202. https://doi.org/10.1080/15622975.2020.1770860 </w:t>
      </w:r>
    </w:p>
    <w:p w14:paraId="4C41543F"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Braunig</w:t>
      </w:r>
      <w:proofErr w:type="spellEnd"/>
      <w:r w:rsidRPr="004D46AC">
        <w:rPr>
          <w:rFonts w:eastAsiaTheme="minorEastAsia"/>
        </w:rPr>
        <w:t xml:space="preserve">, P., Sarkar, R., Effenberger, S., Schoofs, N., &amp; Kruger, S. (2009). Gender differences in psychotic bipolar mania. Gend Med, 6(2), 356–361. https://doi.org/10.1016/j.genm.2009.07.004 </w:t>
      </w:r>
    </w:p>
    <w:p w14:paraId="0149BFD2"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Breslau, N., &amp; Meltzer, H. Y. (1988). Validity of subtyping psychotic depression: examination of phenomenology and demographic characteristics. Am J Psychiatry, 145(1), 35–40. https://doi.org/10.1176/ajp.145.1.35 </w:t>
      </w:r>
    </w:p>
    <w:p w14:paraId="055080F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Brockington, I. F., Altman, E., Hillier, V., Meltzer, H. Y., &amp; Nand, S. (1982). The clinical picture of bipolar affective disorder in its depressed phase. A report from London and Chicago. Br J Psychiatry, 141, 558–562. https://doi.org/10.1192/bjp.141.6.558 </w:t>
      </w:r>
    </w:p>
    <w:p w14:paraId="7C70DEA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Burton, C. Z., Ryan, K. A., Kamali, M., Marshall, D. F., Harrington, G., McInnis, M. G., &amp; Tso, I. F. (2018). Psychosis in bipolar disorder: Does it represent a more "severe" illness? Bipolar </w:t>
      </w:r>
      <w:proofErr w:type="spellStart"/>
      <w:r w:rsidRPr="004D46AC">
        <w:rPr>
          <w:rFonts w:eastAsiaTheme="minorEastAsia"/>
        </w:rPr>
        <w:t>Disord</w:t>
      </w:r>
      <w:proofErr w:type="spellEnd"/>
      <w:r w:rsidRPr="004D46AC">
        <w:rPr>
          <w:rFonts w:eastAsiaTheme="minorEastAsia"/>
        </w:rPr>
        <w:t xml:space="preserve">, 20(1), 18–26. https://doi.org/10.1111/bdi.12527 </w:t>
      </w:r>
    </w:p>
    <w:p w14:paraId="111B4862"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Caldieraro</w:t>
      </w:r>
      <w:proofErr w:type="spellEnd"/>
      <w:r w:rsidRPr="004D46AC">
        <w:rPr>
          <w:rFonts w:eastAsiaTheme="minorEastAsia"/>
        </w:rPr>
        <w:t xml:space="preserve">, M. A., Sylvia, L. G., Dufour, S., Walsh, S., Janos, J., Rabideau, D. J., Kamali, M., McInnis, M. G., Bobo, W. V., Friedman, E. S., Gao, K., Tohen, M., Reilly-Harrington, N. A., Ketter, T. A., Calabrese, J. R., McElroy, S. L., </w:t>
      </w:r>
      <w:proofErr w:type="spellStart"/>
      <w:r w:rsidRPr="004D46AC">
        <w:rPr>
          <w:rFonts w:eastAsiaTheme="minorEastAsia"/>
        </w:rPr>
        <w:t>Thase</w:t>
      </w:r>
      <w:proofErr w:type="spellEnd"/>
      <w:r w:rsidRPr="004D46AC">
        <w:rPr>
          <w:rFonts w:eastAsiaTheme="minorEastAsia"/>
        </w:rPr>
        <w:t xml:space="preserve">, M. E., Shelton, R. C., Bowden, C. L.,…Nierenberg, A. A. (2017). Clinical correlates of acute bipolar depressive episode with psychosis. J Affect </w:t>
      </w:r>
      <w:proofErr w:type="spellStart"/>
      <w:r w:rsidRPr="004D46AC">
        <w:rPr>
          <w:rFonts w:eastAsiaTheme="minorEastAsia"/>
        </w:rPr>
        <w:t>Disord</w:t>
      </w:r>
      <w:proofErr w:type="spellEnd"/>
      <w:r w:rsidRPr="004D46AC">
        <w:rPr>
          <w:rFonts w:eastAsiaTheme="minorEastAsia"/>
        </w:rPr>
        <w:t xml:space="preserve">, 217, 29–33. https://doi.org/10.1016/j.jad.2017.03.059 </w:t>
      </w:r>
    </w:p>
    <w:p w14:paraId="5EB48E5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Canuso, C. M., Bossie, C. A., Zhu, Y., Youssef, E., &amp; Dunner, D. L. (2008). Psychotic symptoms in patients with bipolar mania. J Affect </w:t>
      </w:r>
      <w:proofErr w:type="spellStart"/>
      <w:r w:rsidRPr="004D46AC">
        <w:rPr>
          <w:rFonts w:eastAsiaTheme="minorEastAsia"/>
        </w:rPr>
        <w:t>Disord</w:t>
      </w:r>
      <w:proofErr w:type="spellEnd"/>
      <w:r w:rsidRPr="004D46AC">
        <w:rPr>
          <w:rFonts w:eastAsiaTheme="minorEastAsia"/>
        </w:rPr>
        <w:t xml:space="preserve">, 111(2-3), 164–169. https://doi.org/10.1016/j.jad.2008.02.014 </w:t>
      </w:r>
    </w:p>
    <w:p w14:paraId="4FC6CA3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Carlson, G. A., Kotov, R., Chang, S. W., Ruggero, C., &amp; </w:t>
      </w:r>
      <w:proofErr w:type="spellStart"/>
      <w:r w:rsidRPr="004D46AC">
        <w:rPr>
          <w:rFonts w:eastAsiaTheme="minorEastAsia"/>
        </w:rPr>
        <w:t>Bromet</w:t>
      </w:r>
      <w:proofErr w:type="spellEnd"/>
      <w:r w:rsidRPr="004D46AC">
        <w:rPr>
          <w:rFonts w:eastAsiaTheme="minorEastAsia"/>
        </w:rPr>
        <w:t xml:space="preserve">, E. J. (2012). Early determinants of four-year clinical outcomes in bipolar disorder with psychosis. Bipolar </w:t>
      </w:r>
      <w:proofErr w:type="spellStart"/>
      <w:r w:rsidRPr="004D46AC">
        <w:rPr>
          <w:rFonts w:eastAsiaTheme="minorEastAsia"/>
        </w:rPr>
        <w:t>Disord</w:t>
      </w:r>
      <w:proofErr w:type="spellEnd"/>
      <w:r w:rsidRPr="004D46AC">
        <w:rPr>
          <w:rFonts w:eastAsiaTheme="minorEastAsia"/>
        </w:rPr>
        <w:t xml:space="preserve">, 14(1), 19–30. https://doi.org/10.1111/j.1399-5618.2012.00982.x </w:t>
      </w:r>
    </w:p>
    <w:p w14:paraId="1849B6C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Cassano, G. B., Rucci, P., Frank, E., Fagiolini, A., </w:t>
      </w:r>
      <w:proofErr w:type="spellStart"/>
      <w:r w:rsidRPr="004D46AC">
        <w:rPr>
          <w:rFonts w:eastAsiaTheme="minorEastAsia"/>
        </w:rPr>
        <w:t>Dell'Osso</w:t>
      </w:r>
      <w:proofErr w:type="spellEnd"/>
      <w:r w:rsidRPr="004D46AC">
        <w:rPr>
          <w:rFonts w:eastAsiaTheme="minorEastAsia"/>
        </w:rPr>
        <w:t xml:space="preserve">, L., Shear, M. K., &amp; Kupfer, D. J. (2004). The mood spectrum in unipolar and bipolar disorder: arguments for a unitary approach. Am J Psychiatry, 161(7), 1264–1269. https://doi.org/10.1176/appi.ajp.161.7.1264 </w:t>
      </w:r>
    </w:p>
    <w:p w14:paraId="5EF55BE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Chaudhary, P., Parikh, N., &amp; Sharma, P. (2021). Characteristics of mood-congruent and mood-incongruent psychotic features in bipolar disorder [journal article]. </w:t>
      </w:r>
      <w:proofErr w:type="spellStart"/>
      <w:r w:rsidRPr="004D46AC">
        <w:rPr>
          <w:rFonts w:eastAsiaTheme="minorEastAsia"/>
        </w:rPr>
        <w:t>Neuropsychiatria</w:t>
      </w:r>
      <w:proofErr w:type="spellEnd"/>
      <w:r w:rsidRPr="004D46AC">
        <w:rPr>
          <w:rFonts w:eastAsiaTheme="minorEastAsia"/>
        </w:rPr>
        <w:t xml:space="preserve"> </w:t>
      </w:r>
      <w:proofErr w:type="spellStart"/>
      <w:r w:rsidRPr="004D46AC">
        <w:rPr>
          <w:rFonts w:eastAsiaTheme="minorEastAsia"/>
        </w:rPr>
        <w:t>i</w:t>
      </w:r>
      <w:proofErr w:type="spellEnd"/>
      <w:r w:rsidRPr="004D46AC">
        <w:rPr>
          <w:rFonts w:eastAsiaTheme="minorEastAsia"/>
        </w:rPr>
        <w:t xml:space="preserve"> </w:t>
      </w:r>
      <w:proofErr w:type="spellStart"/>
      <w:r w:rsidRPr="004D46AC">
        <w:rPr>
          <w:rFonts w:eastAsiaTheme="minorEastAsia"/>
        </w:rPr>
        <w:t>Neuropsychologia</w:t>
      </w:r>
      <w:proofErr w:type="spellEnd"/>
      <w:r w:rsidRPr="004D46AC">
        <w:rPr>
          <w:rFonts w:eastAsiaTheme="minorEastAsia"/>
        </w:rPr>
        <w:t xml:space="preserve">, 16(1-2), 66–75. https://doi.org/10.5114/nan.2021.108035 </w:t>
      </w:r>
    </w:p>
    <w:p w14:paraId="05D3EA4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Conus, P., Abdel-Baki, A., Harrigan, S., Lambert, M., &amp; McGorry, P. D. (2004). Schneiderian first rank symptoms predict poor outcome within first episode manic psychosis. J Affect </w:t>
      </w:r>
      <w:proofErr w:type="spellStart"/>
      <w:r w:rsidRPr="004D46AC">
        <w:rPr>
          <w:rFonts w:eastAsiaTheme="minorEastAsia"/>
        </w:rPr>
        <w:t>Disord</w:t>
      </w:r>
      <w:proofErr w:type="spellEnd"/>
      <w:r w:rsidRPr="004D46AC">
        <w:rPr>
          <w:rFonts w:eastAsiaTheme="minorEastAsia"/>
        </w:rPr>
        <w:t xml:space="preserve">, 81(3), 259–268. https://doi.org/10.1016/j.jad.2003.09.003 </w:t>
      </w:r>
    </w:p>
    <w:p w14:paraId="2DCEE66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Das, A., &amp; Khanna, R. (1993). Organic manic syndrome: causative factors, phenomenology and immediate outcome. J Affect </w:t>
      </w:r>
      <w:proofErr w:type="spellStart"/>
      <w:r w:rsidRPr="004D46AC">
        <w:rPr>
          <w:rFonts w:eastAsiaTheme="minorEastAsia"/>
        </w:rPr>
        <w:t>Disord</w:t>
      </w:r>
      <w:proofErr w:type="spellEnd"/>
      <w:r w:rsidRPr="004D46AC">
        <w:rPr>
          <w:rFonts w:eastAsiaTheme="minorEastAsia"/>
        </w:rPr>
        <w:t xml:space="preserve">, 27(3), 147–153. https://doi.org/10.1016/0165-0327(93)90002-2 </w:t>
      </w:r>
    </w:p>
    <w:p w14:paraId="7569E3FE"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Dell'Osso</w:t>
      </w:r>
      <w:proofErr w:type="spellEnd"/>
      <w:r w:rsidRPr="004D46AC">
        <w:rPr>
          <w:rFonts w:eastAsiaTheme="minorEastAsia"/>
        </w:rPr>
        <w:t xml:space="preserve">, L., Pini, S., Cassano, G. B., Mastrocinque, C., Seckinger, R. A., </w:t>
      </w:r>
      <w:proofErr w:type="spellStart"/>
      <w:r w:rsidRPr="004D46AC">
        <w:rPr>
          <w:rFonts w:eastAsiaTheme="minorEastAsia"/>
        </w:rPr>
        <w:t>Saettoni</w:t>
      </w:r>
      <w:proofErr w:type="spellEnd"/>
      <w:r w:rsidRPr="004D46AC">
        <w:rPr>
          <w:rFonts w:eastAsiaTheme="minorEastAsia"/>
        </w:rPr>
        <w:t xml:space="preserve">, M., </w:t>
      </w:r>
      <w:proofErr w:type="spellStart"/>
      <w:r w:rsidRPr="004D46AC">
        <w:rPr>
          <w:rFonts w:eastAsiaTheme="minorEastAsia"/>
        </w:rPr>
        <w:t>Papasogli</w:t>
      </w:r>
      <w:proofErr w:type="spellEnd"/>
      <w:r w:rsidRPr="004D46AC">
        <w:rPr>
          <w:rFonts w:eastAsiaTheme="minorEastAsia"/>
        </w:rPr>
        <w:t xml:space="preserve">, A., Yale, S. A., &amp; Amador, X. F. (2002). Insight into illness in patients with mania, mixed mania, bipolar depression and major depression with psychotic features. Bipolar </w:t>
      </w:r>
      <w:proofErr w:type="spellStart"/>
      <w:r w:rsidRPr="004D46AC">
        <w:rPr>
          <w:rFonts w:eastAsiaTheme="minorEastAsia"/>
        </w:rPr>
        <w:t>Disord</w:t>
      </w:r>
      <w:proofErr w:type="spellEnd"/>
      <w:r w:rsidRPr="004D46AC">
        <w:rPr>
          <w:rFonts w:eastAsiaTheme="minorEastAsia"/>
        </w:rPr>
        <w:t xml:space="preserve">, 4(5), 315–322. https://doi.org/10.1034/j.1399-5618.2002.01192.x </w:t>
      </w:r>
    </w:p>
    <w:p w14:paraId="7A5C7AA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Ekman, C. J., Petrovic, P., Johansson, A. G., Sellgren, C., Ingvar, M., &amp; Landen, M. (2017). A History of Psychosis in Bipolar Disorder is Associated </w:t>
      </w:r>
      <w:proofErr w:type="gramStart"/>
      <w:r w:rsidRPr="004D46AC">
        <w:rPr>
          <w:rFonts w:eastAsiaTheme="minorEastAsia"/>
        </w:rPr>
        <w:t>With</w:t>
      </w:r>
      <w:proofErr w:type="gramEnd"/>
      <w:r w:rsidRPr="004D46AC">
        <w:rPr>
          <w:rFonts w:eastAsiaTheme="minorEastAsia"/>
        </w:rPr>
        <w:t xml:space="preserve"> Gray Matter Volume Reduction. </w:t>
      </w:r>
      <w:proofErr w:type="spellStart"/>
      <w:r w:rsidRPr="004D46AC">
        <w:rPr>
          <w:rFonts w:eastAsiaTheme="minorEastAsia"/>
        </w:rPr>
        <w:t>Schizophr</w:t>
      </w:r>
      <w:proofErr w:type="spellEnd"/>
      <w:r w:rsidRPr="004D46AC">
        <w:rPr>
          <w:rFonts w:eastAsiaTheme="minorEastAsia"/>
        </w:rPr>
        <w:t xml:space="preserve"> Bull, 43(1), 99–107. https://doi.org/10.1093/schbul/sbw080 </w:t>
      </w:r>
    </w:p>
    <w:p w14:paraId="48DA9B1B"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Elowe</w:t>
      </w:r>
      <w:proofErr w:type="spellEnd"/>
      <w:r w:rsidRPr="004D46AC">
        <w:rPr>
          <w:rFonts w:eastAsiaTheme="minorEastAsia"/>
        </w:rPr>
        <w:t xml:space="preserve">, J., Vallat, J., </w:t>
      </w:r>
      <w:proofErr w:type="spellStart"/>
      <w:r w:rsidRPr="004D46AC">
        <w:rPr>
          <w:rFonts w:eastAsiaTheme="minorEastAsia"/>
        </w:rPr>
        <w:t>Castelao</w:t>
      </w:r>
      <w:proofErr w:type="spellEnd"/>
      <w:r w:rsidRPr="004D46AC">
        <w:rPr>
          <w:rFonts w:eastAsiaTheme="minorEastAsia"/>
        </w:rPr>
        <w:t xml:space="preserve">, E., Strippoli, M. F., Gholam, M., Ranjbar, S., Glaus, J., </w:t>
      </w:r>
      <w:proofErr w:type="spellStart"/>
      <w:r w:rsidRPr="004D46AC">
        <w:rPr>
          <w:rFonts w:eastAsiaTheme="minorEastAsia"/>
        </w:rPr>
        <w:t>Merikangas</w:t>
      </w:r>
      <w:proofErr w:type="spellEnd"/>
      <w:r w:rsidRPr="004D46AC">
        <w:rPr>
          <w:rFonts w:eastAsiaTheme="minorEastAsia"/>
        </w:rPr>
        <w:t xml:space="preserve">, K., Lavigne, B., Marquet, P., Preisig, M., &amp; Vandeleur, C. L. (2022). Psychotic features, particularly mood incongruence, as a hallmark of severity of bipolar I disorder. Int J Bipolar Disord, 10(1), 31. https://doi.org/10.1186/s40345-022-00280-6 </w:t>
      </w:r>
    </w:p>
    <w:p w14:paraId="057D427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Etain, B., </w:t>
      </w:r>
      <w:proofErr w:type="spellStart"/>
      <w:r w:rsidRPr="004D46AC">
        <w:rPr>
          <w:rFonts w:eastAsiaTheme="minorEastAsia"/>
        </w:rPr>
        <w:t>Lajnef</w:t>
      </w:r>
      <w:proofErr w:type="spellEnd"/>
      <w:r w:rsidRPr="004D46AC">
        <w:rPr>
          <w:rFonts w:eastAsiaTheme="minorEastAsia"/>
        </w:rPr>
        <w:t xml:space="preserve">, M., </w:t>
      </w:r>
      <w:proofErr w:type="spellStart"/>
      <w:r w:rsidRPr="004D46AC">
        <w:rPr>
          <w:rFonts w:eastAsiaTheme="minorEastAsia"/>
        </w:rPr>
        <w:t>Bellivier</w:t>
      </w:r>
      <w:proofErr w:type="spellEnd"/>
      <w:r w:rsidRPr="004D46AC">
        <w:rPr>
          <w:rFonts w:eastAsiaTheme="minorEastAsia"/>
        </w:rPr>
        <w:t xml:space="preserve">, F., Henry, C., </w:t>
      </w:r>
      <w:proofErr w:type="spellStart"/>
      <w:r w:rsidRPr="004D46AC">
        <w:rPr>
          <w:rFonts w:eastAsiaTheme="minorEastAsia"/>
        </w:rPr>
        <w:t>M'Bailara</w:t>
      </w:r>
      <w:proofErr w:type="spellEnd"/>
      <w:r w:rsidRPr="004D46AC">
        <w:rPr>
          <w:rFonts w:eastAsiaTheme="minorEastAsia"/>
        </w:rPr>
        <w:t xml:space="preserve">, K., Kahn, J. P., Leboyer, M., &amp; Fisher, H. L. (2017). Revisiting the association between childhood trauma and psychosis in </w:t>
      </w:r>
      <w:r w:rsidRPr="004D46AC">
        <w:rPr>
          <w:rFonts w:eastAsiaTheme="minorEastAsia"/>
        </w:rPr>
        <w:lastRenderedPageBreak/>
        <w:t xml:space="preserve">bipolar disorder: A quasi-dimensional path-analysis. J </w:t>
      </w:r>
      <w:proofErr w:type="spellStart"/>
      <w:r w:rsidRPr="004D46AC">
        <w:rPr>
          <w:rFonts w:eastAsiaTheme="minorEastAsia"/>
        </w:rPr>
        <w:t>Psychiatr</w:t>
      </w:r>
      <w:proofErr w:type="spellEnd"/>
      <w:r w:rsidRPr="004D46AC">
        <w:rPr>
          <w:rFonts w:eastAsiaTheme="minorEastAsia"/>
        </w:rPr>
        <w:t xml:space="preserve"> Res, 84, 73–79. https://doi.org/10.1016/j.jpsychires.2016.09.022 </w:t>
      </w:r>
    </w:p>
    <w:p w14:paraId="316A7E2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Fekadu, A., </w:t>
      </w:r>
      <w:proofErr w:type="spellStart"/>
      <w:r w:rsidRPr="004D46AC">
        <w:rPr>
          <w:rFonts w:eastAsiaTheme="minorEastAsia"/>
        </w:rPr>
        <w:t>Shibre</w:t>
      </w:r>
      <w:proofErr w:type="spellEnd"/>
      <w:r w:rsidRPr="004D46AC">
        <w:rPr>
          <w:rFonts w:eastAsiaTheme="minorEastAsia"/>
        </w:rPr>
        <w:t xml:space="preserve">, T., Alem, A., Kebede, D., Kebreab, S., Negash, A., &amp; Owen, M. J. (2004). Bipolar disorder among an isolated island community in Ethiopia. J Affect </w:t>
      </w:r>
      <w:proofErr w:type="spellStart"/>
      <w:r w:rsidRPr="004D46AC">
        <w:rPr>
          <w:rFonts w:eastAsiaTheme="minorEastAsia"/>
        </w:rPr>
        <w:t>Disord</w:t>
      </w:r>
      <w:proofErr w:type="spellEnd"/>
      <w:r w:rsidRPr="004D46AC">
        <w:rPr>
          <w:rFonts w:eastAsiaTheme="minorEastAsia"/>
        </w:rPr>
        <w:t xml:space="preserve">, 80(1), 1–10. https://doi.org/10.1016/S0165-0327(02)00345-2 </w:t>
      </w:r>
    </w:p>
    <w:p w14:paraId="5D778D1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Garcia-Gonzalez, J., Ramirez, J., Howard, D. M., Brennan, C. H., Munroe, P. B., &amp; Keers, R. (2020). The effects of polygenic risk for psychiatric disorders and smoking behaviour on psychotic experiences in UK Biobank. </w:t>
      </w:r>
      <w:proofErr w:type="spellStart"/>
      <w:r w:rsidRPr="004D46AC">
        <w:rPr>
          <w:rFonts w:eastAsiaTheme="minorEastAsia"/>
        </w:rPr>
        <w:t>Transl</w:t>
      </w:r>
      <w:proofErr w:type="spellEnd"/>
      <w:r w:rsidRPr="004D46AC">
        <w:rPr>
          <w:rFonts w:eastAsiaTheme="minorEastAsia"/>
        </w:rPr>
        <w:t xml:space="preserve"> Psychiatry, 10(1), 330. https://doi.org/10.1038/s41398-020-01009-8 </w:t>
      </w:r>
    </w:p>
    <w:p w14:paraId="4E6C982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Gaudiano, B. A., Uebelacker, L. A., &amp; Miller, I. W. (2007). Course of illness in psychotic mania: is mood incongruence important? J </w:t>
      </w:r>
      <w:proofErr w:type="spellStart"/>
      <w:r w:rsidRPr="004D46AC">
        <w:rPr>
          <w:rFonts w:eastAsiaTheme="minorEastAsia"/>
        </w:rPr>
        <w:t>Nerv</w:t>
      </w:r>
      <w:proofErr w:type="spellEnd"/>
      <w:r w:rsidRPr="004D46AC">
        <w:rPr>
          <w:rFonts w:eastAsiaTheme="minorEastAsia"/>
        </w:rPr>
        <w:t xml:space="preserve"> Ment Dis, 195(3), 226–232. https://doi.org/10.1097/01.nmd.0000243763.81487.4d </w:t>
      </w:r>
    </w:p>
    <w:p w14:paraId="3715E01E"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Gorgulu</w:t>
      </w:r>
      <w:proofErr w:type="spellEnd"/>
      <w:r w:rsidRPr="004D46AC">
        <w:rPr>
          <w:rFonts w:eastAsiaTheme="minorEastAsia"/>
        </w:rPr>
        <w:t xml:space="preserve">, Y., </w:t>
      </w:r>
      <w:proofErr w:type="spellStart"/>
      <w:r w:rsidRPr="004D46AC">
        <w:rPr>
          <w:rFonts w:eastAsiaTheme="minorEastAsia"/>
        </w:rPr>
        <w:t>Uluturk</w:t>
      </w:r>
      <w:proofErr w:type="spellEnd"/>
      <w:r w:rsidRPr="004D46AC">
        <w:rPr>
          <w:rFonts w:eastAsiaTheme="minorEastAsia"/>
        </w:rPr>
        <w:t xml:space="preserve">, M. K., &amp; </w:t>
      </w:r>
      <w:proofErr w:type="spellStart"/>
      <w:r w:rsidRPr="004D46AC">
        <w:rPr>
          <w:rFonts w:eastAsiaTheme="minorEastAsia"/>
        </w:rPr>
        <w:t>Palabiyik</w:t>
      </w:r>
      <w:proofErr w:type="spellEnd"/>
      <w:r w:rsidRPr="004D46AC">
        <w:rPr>
          <w:rFonts w:eastAsiaTheme="minorEastAsia"/>
        </w:rPr>
        <w:t xml:space="preserve">, O. (2021). Comparison of serum BDNF, IL-1beta, IL-6, TNF-alpha, CRP and leucocyte levels in unipolar mania and bipolar disorder. Acta </w:t>
      </w:r>
      <w:proofErr w:type="spellStart"/>
      <w:r w:rsidRPr="004D46AC">
        <w:rPr>
          <w:rFonts w:eastAsiaTheme="minorEastAsia"/>
        </w:rPr>
        <w:t>Neuropsychiatr</w:t>
      </w:r>
      <w:proofErr w:type="spellEnd"/>
      <w:r w:rsidRPr="004D46AC">
        <w:rPr>
          <w:rFonts w:eastAsiaTheme="minorEastAsia"/>
        </w:rPr>
        <w:t xml:space="preserve">, 33(6), 317–322. https://doi.org/10.1017/neu.2021.25 </w:t>
      </w:r>
    </w:p>
    <w:p w14:paraId="5D43B178"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Gosek, P., Heitzman, J., Stefanowski, B., </w:t>
      </w:r>
      <w:proofErr w:type="spellStart"/>
      <w:r w:rsidRPr="004D46AC">
        <w:rPr>
          <w:rFonts w:eastAsiaTheme="minorEastAsia"/>
        </w:rPr>
        <w:t>Antosik-Wojcinska</w:t>
      </w:r>
      <w:proofErr w:type="spellEnd"/>
      <w:r w:rsidRPr="004D46AC">
        <w:rPr>
          <w:rFonts w:eastAsiaTheme="minorEastAsia"/>
        </w:rPr>
        <w:t xml:space="preserve">, A. Z., &amp; </w:t>
      </w:r>
      <w:proofErr w:type="spellStart"/>
      <w:r w:rsidRPr="004D46AC">
        <w:rPr>
          <w:rFonts w:eastAsiaTheme="minorEastAsia"/>
        </w:rPr>
        <w:t>Parnowski</w:t>
      </w:r>
      <w:proofErr w:type="spellEnd"/>
      <w:r w:rsidRPr="004D46AC">
        <w:rPr>
          <w:rFonts w:eastAsiaTheme="minorEastAsia"/>
        </w:rPr>
        <w:t xml:space="preserve">, T. (2019). Symptomatic differences and symptoms stability in unipolar and bipolar depression. Medical charts review in 99 inpatients. </w:t>
      </w:r>
      <w:proofErr w:type="spellStart"/>
      <w:r w:rsidRPr="004D46AC">
        <w:rPr>
          <w:rFonts w:eastAsiaTheme="minorEastAsia"/>
        </w:rPr>
        <w:t>Psychiatr</w:t>
      </w:r>
      <w:proofErr w:type="spellEnd"/>
      <w:r w:rsidRPr="004D46AC">
        <w:rPr>
          <w:rFonts w:eastAsiaTheme="minorEastAsia"/>
        </w:rPr>
        <w:t xml:space="preserve"> Pol, 53(3), 655–672. https://doi.org/10.12740/PP/102656 (</w:t>
      </w:r>
      <w:proofErr w:type="spellStart"/>
      <w:r w:rsidRPr="004D46AC">
        <w:rPr>
          <w:rFonts w:eastAsiaTheme="minorEastAsia"/>
        </w:rPr>
        <w:t>Obraz</w:t>
      </w:r>
      <w:proofErr w:type="spellEnd"/>
      <w:r w:rsidRPr="004D46AC">
        <w:rPr>
          <w:rFonts w:eastAsiaTheme="minorEastAsia"/>
        </w:rPr>
        <w:t xml:space="preserve"> </w:t>
      </w:r>
      <w:proofErr w:type="spellStart"/>
      <w:r w:rsidRPr="004D46AC">
        <w:rPr>
          <w:rFonts w:eastAsiaTheme="minorEastAsia"/>
        </w:rPr>
        <w:t>psychopatologiczny</w:t>
      </w:r>
      <w:proofErr w:type="spellEnd"/>
      <w:r w:rsidRPr="004D46AC">
        <w:rPr>
          <w:rFonts w:eastAsiaTheme="minorEastAsia"/>
        </w:rPr>
        <w:t xml:space="preserve"> </w:t>
      </w:r>
      <w:proofErr w:type="spellStart"/>
      <w:r w:rsidRPr="004D46AC">
        <w:rPr>
          <w:rFonts w:eastAsiaTheme="minorEastAsia"/>
        </w:rPr>
        <w:t>i</w:t>
      </w:r>
      <w:proofErr w:type="spellEnd"/>
      <w:r w:rsidRPr="004D46AC">
        <w:rPr>
          <w:rFonts w:eastAsiaTheme="minorEastAsia"/>
        </w:rPr>
        <w:t xml:space="preserve"> </w:t>
      </w:r>
      <w:proofErr w:type="spellStart"/>
      <w:r w:rsidRPr="004D46AC">
        <w:rPr>
          <w:rFonts w:eastAsiaTheme="minorEastAsia"/>
        </w:rPr>
        <w:t>powtarzalnosc</w:t>
      </w:r>
      <w:proofErr w:type="spellEnd"/>
      <w:r w:rsidRPr="004D46AC">
        <w:rPr>
          <w:rFonts w:eastAsiaTheme="minorEastAsia"/>
        </w:rPr>
        <w:t xml:space="preserve"> </w:t>
      </w:r>
      <w:proofErr w:type="spellStart"/>
      <w:r w:rsidRPr="004D46AC">
        <w:rPr>
          <w:rFonts w:eastAsiaTheme="minorEastAsia"/>
        </w:rPr>
        <w:t>wystepowania</w:t>
      </w:r>
      <w:proofErr w:type="spellEnd"/>
      <w:r w:rsidRPr="004D46AC">
        <w:rPr>
          <w:rFonts w:eastAsiaTheme="minorEastAsia"/>
        </w:rPr>
        <w:t xml:space="preserve"> </w:t>
      </w:r>
      <w:proofErr w:type="spellStart"/>
      <w:r w:rsidRPr="004D46AC">
        <w:rPr>
          <w:rFonts w:eastAsiaTheme="minorEastAsia"/>
        </w:rPr>
        <w:t>objawow</w:t>
      </w:r>
      <w:proofErr w:type="spellEnd"/>
      <w:r w:rsidRPr="004D46AC">
        <w:rPr>
          <w:rFonts w:eastAsiaTheme="minorEastAsia"/>
        </w:rPr>
        <w:t xml:space="preserve"> w </w:t>
      </w:r>
      <w:proofErr w:type="spellStart"/>
      <w:r w:rsidRPr="004D46AC">
        <w:rPr>
          <w:rFonts w:eastAsiaTheme="minorEastAsia"/>
        </w:rPr>
        <w:t>chorobie</w:t>
      </w:r>
      <w:proofErr w:type="spellEnd"/>
      <w:r w:rsidRPr="004D46AC">
        <w:rPr>
          <w:rFonts w:eastAsiaTheme="minorEastAsia"/>
        </w:rPr>
        <w:t xml:space="preserve"> </w:t>
      </w:r>
      <w:proofErr w:type="spellStart"/>
      <w:r w:rsidRPr="004D46AC">
        <w:rPr>
          <w:rFonts w:eastAsiaTheme="minorEastAsia"/>
        </w:rPr>
        <w:t>afektywnej</w:t>
      </w:r>
      <w:proofErr w:type="spellEnd"/>
      <w:r w:rsidRPr="004D46AC">
        <w:rPr>
          <w:rFonts w:eastAsiaTheme="minorEastAsia"/>
        </w:rPr>
        <w:t xml:space="preserve"> </w:t>
      </w:r>
      <w:proofErr w:type="spellStart"/>
      <w:r w:rsidRPr="004D46AC">
        <w:rPr>
          <w:rFonts w:eastAsiaTheme="minorEastAsia"/>
        </w:rPr>
        <w:t>jednobiegunowej</w:t>
      </w:r>
      <w:proofErr w:type="spellEnd"/>
      <w:r w:rsidRPr="004D46AC">
        <w:rPr>
          <w:rFonts w:eastAsiaTheme="minorEastAsia"/>
        </w:rPr>
        <w:t xml:space="preserve"> </w:t>
      </w:r>
      <w:proofErr w:type="spellStart"/>
      <w:r w:rsidRPr="004D46AC">
        <w:rPr>
          <w:rFonts w:eastAsiaTheme="minorEastAsia"/>
        </w:rPr>
        <w:t>i</w:t>
      </w:r>
      <w:proofErr w:type="spellEnd"/>
      <w:r w:rsidRPr="004D46AC">
        <w:rPr>
          <w:rFonts w:eastAsiaTheme="minorEastAsia"/>
        </w:rPr>
        <w:t xml:space="preserve"> </w:t>
      </w:r>
      <w:proofErr w:type="spellStart"/>
      <w:r w:rsidRPr="004D46AC">
        <w:rPr>
          <w:rFonts w:eastAsiaTheme="minorEastAsia"/>
        </w:rPr>
        <w:t>chorobie</w:t>
      </w:r>
      <w:proofErr w:type="spellEnd"/>
      <w:r w:rsidRPr="004D46AC">
        <w:rPr>
          <w:rFonts w:eastAsiaTheme="minorEastAsia"/>
        </w:rPr>
        <w:t xml:space="preserve"> </w:t>
      </w:r>
      <w:proofErr w:type="spellStart"/>
      <w:r w:rsidRPr="004D46AC">
        <w:rPr>
          <w:rFonts w:eastAsiaTheme="minorEastAsia"/>
        </w:rPr>
        <w:t>afektywnej</w:t>
      </w:r>
      <w:proofErr w:type="spellEnd"/>
      <w:r w:rsidRPr="004D46AC">
        <w:rPr>
          <w:rFonts w:eastAsiaTheme="minorEastAsia"/>
        </w:rPr>
        <w:t xml:space="preserve"> </w:t>
      </w:r>
      <w:proofErr w:type="spellStart"/>
      <w:r w:rsidRPr="004D46AC">
        <w:rPr>
          <w:rFonts w:eastAsiaTheme="minorEastAsia"/>
        </w:rPr>
        <w:t>dwubiegunowej</w:t>
      </w:r>
      <w:proofErr w:type="spellEnd"/>
      <w:r w:rsidRPr="004D46AC">
        <w:rPr>
          <w:rFonts w:eastAsiaTheme="minorEastAsia"/>
        </w:rPr>
        <w:t xml:space="preserve">. Analiza </w:t>
      </w:r>
      <w:proofErr w:type="spellStart"/>
      <w:r w:rsidRPr="004D46AC">
        <w:rPr>
          <w:rFonts w:eastAsiaTheme="minorEastAsia"/>
        </w:rPr>
        <w:t>dokumentacji</w:t>
      </w:r>
      <w:proofErr w:type="spellEnd"/>
      <w:r w:rsidRPr="004D46AC">
        <w:rPr>
          <w:rFonts w:eastAsiaTheme="minorEastAsia"/>
        </w:rPr>
        <w:t xml:space="preserve"> 99 </w:t>
      </w:r>
      <w:proofErr w:type="spellStart"/>
      <w:r w:rsidRPr="004D46AC">
        <w:rPr>
          <w:rFonts w:eastAsiaTheme="minorEastAsia"/>
        </w:rPr>
        <w:t>pacjentow</w:t>
      </w:r>
      <w:proofErr w:type="spellEnd"/>
      <w:r w:rsidRPr="004D46AC">
        <w:rPr>
          <w:rFonts w:eastAsiaTheme="minorEastAsia"/>
        </w:rPr>
        <w:t xml:space="preserve">.) </w:t>
      </w:r>
    </w:p>
    <w:p w14:paraId="08FC28E1"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Grunebaum</w:t>
      </w:r>
      <w:proofErr w:type="spellEnd"/>
      <w:r w:rsidRPr="004D46AC">
        <w:rPr>
          <w:rFonts w:eastAsiaTheme="minorEastAsia"/>
        </w:rPr>
        <w:t xml:space="preserve">, M. F., Oquendo, M. A., Harkavy-Friedman, J. M., Ellis, S. P., Li, S., Haas, G. L., Malone, K. M., &amp; Mann, J. J. (2001). Delusions and suicidality. Am J Psychiatry, 158(5), 742–747. https://doi.org/10.1176/appi.ajp.158.5.742 </w:t>
      </w:r>
    </w:p>
    <w:p w14:paraId="4CB902E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Jester, D. J., Hyer, K., Molinari, V., Andel, R., &amp; Rozek, E. (2018). Age-dependent determinants of antipsychotic use among newly admitted residents of skilled nursing facilities: A population-based study. Int J </w:t>
      </w:r>
      <w:proofErr w:type="spellStart"/>
      <w:r w:rsidRPr="004D46AC">
        <w:rPr>
          <w:rFonts w:eastAsiaTheme="minorEastAsia"/>
        </w:rPr>
        <w:t>Geriatr</w:t>
      </w:r>
      <w:proofErr w:type="spellEnd"/>
      <w:r w:rsidRPr="004D46AC">
        <w:rPr>
          <w:rFonts w:eastAsiaTheme="minorEastAsia"/>
        </w:rPr>
        <w:t xml:space="preserve"> Psychiatry, 33(10), 1370–1382. https://doi.org/10.1002/gps.4934 </w:t>
      </w:r>
    </w:p>
    <w:p w14:paraId="70B01B9F"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Keck, P. E., Jr., McElroy, S. L., Havens, J. R., Altshuler, L. L., Nolen, W. A., Frye, M. A., Suppes, T., </w:t>
      </w:r>
      <w:proofErr w:type="spellStart"/>
      <w:r w:rsidRPr="004D46AC">
        <w:rPr>
          <w:rFonts w:eastAsiaTheme="minorEastAsia"/>
        </w:rPr>
        <w:t>Denicoff</w:t>
      </w:r>
      <w:proofErr w:type="spellEnd"/>
      <w:r w:rsidRPr="004D46AC">
        <w:rPr>
          <w:rFonts w:eastAsiaTheme="minorEastAsia"/>
        </w:rPr>
        <w:t xml:space="preserve">, K. D., Kupka, R., Leverich, G. S., Rush, A. J., &amp; Post, R. M. (2003). Psychosis in bipolar disorder: phenomenology and impact on morbidity and course of illness. </w:t>
      </w:r>
      <w:proofErr w:type="spellStart"/>
      <w:r w:rsidRPr="004D46AC">
        <w:rPr>
          <w:rFonts w:eastAsiaTheme="minorEastAsia"/>
        </w:rPr>
        <w:t>Compr</w:t>
      </w:r>
      <w:proofErr w:type="spellEnd"/>
      <w:r w:rsidRPr="004D46AC">
        <w:rPr>
          <w:rFonts w:eastAsiaTheme="minorEastAsia"/>
        </w:rPr>
        <w:t xml:space="preserve"> Psychiatry, 44(4), 263–269. https://doi.org/10.1016/S0010-440X(03)00089-0 </w:t>
      </w:r>
    </w:p>
    <w:p w14:paraId="2F20913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Kennedy, N., Boydell, J., van </w:t>
      </w:r>
      <w:proofErr w:type="spellStart"/>
      <w:r w:rsidRPr="004D46AC">
        <w:rPr>
          <w:rFonts w:eastAsiaTheme="minorEastAsia"/>
        </w:rPr>
        <w:t>Os</w:t>
      </w:r>
      <w:proofErr w:type="spellEnd"/>
      <w:r w:rsidRPr="004D46AC">
        <w:rPr>
          <w:rFonts w:eastAsiaTheme="minorEastAsia"/>
        </w:rPr>
        <w:t xml:space="preserve">, J., &amp; Murray, R. M. (2004). Ethnic differences in first clinical presentation of bipolar disorder: results from an epidemiological study. J Affect </w:t>
      </w:r>
      <w:proofErr w:type="spellStart"/>
      <w:r w:rsidRPr="004D46AC">
        <w:rPr>
          <w:rFonts w:eastAsiaTheme="minorEastAsia"/>
        </w:rPr>
        <w:t>Disord</w:t>
      </w:r>
      <w:proofErr w:type="spellEnd"/>
      <w:r w:rsidRPr="004D46AC">
        <w:rPr>
          <w:rFonts w:eastAsiaTheme="minorEastAsia"/>
        </w:rPr>
        <w:t xml:space="preserve">, 83(2-3), 161–168. https://doi.org/10.1016/j.jad.2004.06.006 </w:t>
      </w:r>
    </w:p>
    <w:p w14:paraId="0F6F6E3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Lish, J. D., Dime-Meenan, S., Whybrow, P. C., Price, R. A., &amp; Hirschfeld, R. M. (1994). The National Depressive and Manic-depressive Association (DMDA) survey of bipolar members. J Affect </w:t>
      </w:r>
      <w:proofErr w:type="spellStart"/>
      <w:r w:rsidRPr="004D46AC">
        <w:rPr>
          <w:rFonts w:eastAsiaTheme="minorEastAsia"/>
        </w:rPr>
        <w:t>Disord</w:t>
      </w:r>
      <w:proofErr w:type="spellEnd"/>
      <w:r w:rsidRPr="004D46AC">
        <w:rPr>
          <w:rFonts w:eastAsiaTheme="minorEastAsia"/>
        </w:rPr>
        <w:t xml:space="preserve">, 31(4), 281–294. https://doi.org/10.1016/0165-0327(94)90104-x </w:t>
      </w:r>
    </w:p>
    <w:p w14:paraId="40E3937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Mancuso, S. G., Morgan, V. A., Mitchell, P. B., Berk, M., Young, A., &amp; Castle, D. J. (2015). A comparison of schizophrenia, schizoaffective disorder, and bipolar disorder: Results from the Second Australian national psychosis survey. J Affect </w:t>
      </w:r>
      <w:proofErr w:type="spellStart"/>
      <w:r w:rsidRPr="004D46AC">
        <w:rPr>
          <w:rFonts w:eastAsiaTheme="minorEastAsia"/>
        </w:rPr>
        <w:t>Disord</w:t>
      </w:r>
      <w:proofErr w:type="spellEnd"/>
      <w:r w:rsidRPr="004D46AC">
        <w:rPr>
          <w:rFonts w:eastAsiaTheme="minorEastAsia"/>
        </w:rPr>
        <w:t xml:space="preserve">, 172, 30–37. https://doi.org/10.1016/j.jad.2014.09.035 </w:t>
      </w:r>
    </w:p>
    <w:p w14:paraId="759CF626"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Morgan, V. A., Mitchell, P. B., &amp; Jablensky, A. V. (2005). The epidemiology of bipolar disorder: sociodemographic, disability and service utilization data from the Australian National Study of Low Prevalence (Psychotic) Disorders. Bipolar </w:t>
      </w:r>
      <w:proofErr w:type="spellStart"/>
      <w:r w:rsidRPr="004D46AC">
        <w:rPr>
          <w:rFonts w:eastAsiaTheme="minorEastAsia"/>
        </w:rPr>
        <w:t>Disord</w:t>
      </w:r>
      <w:proofErr w:type="spellEnd"/>
      <w:r w:rsidRPr="004D46AC">
        <w:rPr>
          <w:rFonts w:eastAsiaTheme="minorEastAsia"/>
        </w:rPr>
        <w:t xml:space="preserve">, 7(4), 326–337. https://doi.org/10.1111/j.1399-5618.2005.00229.x </w:t>
      </w:r>
    </w:p>
    <w:p w14:paraId="219BF94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Morgan, V. A., Waterreus, A., Jablensky, A., Mackinnon, A., McGrath, J. J., Carr, V., Bush, R., Castle, D., Cohen, M., Harvey, C., Galletly, C., Stain, H. J., Neil, A. L., McGorry, P., Hocking, B., Shah, S., &amp; Saw, S. (2012). People living with psychotic illness in 2010: the second Australian national survey of psychosis. </w:t>
      </w:r>
      <w:proofErr w:type="spellStart"/>
      <w:r w:rsidRPr="004D46AC">
        <w:rPr>
          <w:rFonts w:eastAsiaTheme="minorEastAsia"/>
        </w:rPr>
        <w:t>Aust</w:t>
      </w:r>
      <w:proofErr w:type="spellEnd"/>
      <w:r w:rsidRPr="004D46AC">
        <w:rPr>
          <w:rFonts w:eastAsiaTheme="minorEastAsia"/>
        </w:rPr>
        <w:t xml:space="preserve"> N Z J Psychiatry, 46(8), 735–752. https://doi.org/10.1177/0004867412449877 </w:t>
      </w:r>
    </w:p>
    <w:p w14:paraId="77B7F59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Musetti, L., Tundo, A., Benedetti, A., </w:t>
      </w:r>
      <w:proofErr w:type="spellStart"/>
      <w:r w:rsidRPr="004D46AC">
        <w:rPr>
          <w:rFonts w:eastAsiaTheme="minorEastAsia"/>
        </w:rPr>
        <w:t>Massimetti</w:t>
      </w:r>
      <w:proofErr w:type="spellEnd"/>
      <w:r w:rsidRPr="004D46AC">
        <w:rPr>
          <w:rFonts w:eastAsiaTheme="minorEastAsia"/>
        </w:rPr>
        <w:t xml:space="preserve">, G., </w:t>
      </w:r>
      <w:proofErr w:type="spellStart"/>
      <w:r w:rsidRPr="004D46AC">
        <w:rPr>
          <w:rFonts w:eastAsiaTheme="minorEastAsia"/>
        </w:rPr>
        <w:t>Cambiali</w:t>
      </w:r>
      <w:proofErr w:type="spellEnd"/>
      <w:r w:rsidRPr="004D46AC">
        <w:rPr>
          <w:rFonts w:eastAsiaTheme="minorEastAsia"/>
        </w:rPr>
        <w:t xml:space="preserve">, E., </w:t>
      </w:r>
      <w:proofErr w:type="spellStart"/>
      <w:r w:rsidRPr="004D46AC">
        <w:rPr>
          <w:rFonts w:eastAsiaTheme="minorEastAsia"/>
        </w:rPr>
        <w:t>Pergentini</w:t>
      </w:r>
      <w:proofErr w:type="spellEnd"/>
      <w:r w:rsidRPr="004D46AC">
        <w:rPr>
          <w:rFonts w:eastAsiaTheme="minorEastAsia"/>
        </w:rPr>
        <w:t xml:space="preserve">, I., Del Grande, C., &amp; </w:t>
      </w:r>
      <w:proofErr w:type="spellStart"/>
      <w:r w:rsidRPr="004D46AC">
        <w:rPr>
          <w:rFonts w:eastAsiaTheme="minorEastAsia"/>
        </w:rPr>
        <w:t>Dell'Osso</w:t>
      </w:r>
      <w:proofErr w:type="spellEnd"/>
      <w:r w:rsidRPr="004D46AC">
        <w:rPr>
          <w:rFonts w:eastAsiaTheme="minorEastAsia"/>
        </w:rPr>
        <w:t xml:space="preserve">, L. (2018). Lithium, valproate, and carbamazepine prescribing </w:t>
      </w:r>
      <w:r w:rsidRPr="004D46AC">
        <w:rPr>
          <w:rFonts w:eastAsiaTheme="minorEastAsia"/>
        </w:rPr>
        <w:lastRenderedPageBreak/>
        <w:t xml:space="preserve">patterns for long-term treatment of bipolar I and II disorders: A prospective study. Hum </w:t>
      </w:r>
      <w:proofErr w:type="spellStart"/>
      <w:r w:rsidRPr="004D46AC">
        <w:rPr>
          <w:rFonts w:eastAsiaTheme="minorEastAsia"/>
        </w:rPr>
        <w:t>Psychopharmacol</w:t>
      </w:r>
      <w:proofErr w:type="spellEnd"/>
      <w:r w:rsidRPr="004D46AC">
        <w:rPr>
          <w:rFonts w:eastAsiaTheme="minorEastAsia"/>
        </w:rPr>
        <w:t xml:space="preserve">, 33(6), e2676. https://doi.org/10.1002/hup.2676 </w:t>
      </w:r>
    </w:p>
    <w:p w14:paraId="67554392" w14:textId="77777777" w:rsidR="009864DB" w:rsidRPr="004D46AC" w:rsidRDefault="009864DB" w:rsidP="009864DB">
      <w:pPr>
        <w:spacing w:line="240" w:lineRule="auto"/>
        <w:ind w:left="709" w:hanging="720"/>
        <w:rPr>
          <w:rFonts w:eastAsiaTheme="minorEastAsia"/>
        </w:rPr>
      </w:pPr>
      <w:r w:rsidRPr="004D46AC">
        <w:rPr>
          <w:rFonts w:eastAsiaTheme="minorEastAsia"/>
        </w:rPr>
        <w:t>Nakimuli-</w:t>
      </w:r>
      <w:proofErr w:type="spellStart"/>
      <w:r w:rsidRPr="004D46AC">
        <w:rPr>
          <w:rFonts w:eastAsiaTheme="minorEastAsia"/>
        </w:rPr>
        <w:t>Mpungu</w:t>
      </w:r>
      <w:proofErr w:type="spellEnd"/>
      <w:r w:rsidRPr="004D46AC">
        <w:rPr>
          <w:rFonts w:eastAsiaTheme="minorEastAsia"/>
        </w:rPr>
        <w:t xml:space="preserve">, E., Musisi, S., </w:t>
      </w:r>
      <w:proofErr w:type="spellStart"/>
      <w:r w:rsidRPr="004D46AC">
        <w:rPr>
          <w:rFonts w:eastAsiaTheme="minorEastAsia"/>
        </w:rPr>
        <w:t>Mpungu</w:t>
      </w:r>
      <w:proofErr w:type="spellEnd"/>
      <w:r w:rsidRPr="004D46AC">
        <w:rPr>
          <w:rFonts w:eastAsiaTheme="minorEastAsia"/>
        </w:rPr>
        <w:t xml:space="preserve">, S. K., &amp; </w:t>
      </w:r>
      <w:proofErr w:type="spellStart"/>
      <w:r w:rsidRPr="004D46AC">
        <w:rPr>
          <w:rFonts w:eastAsiaTheme="minorEastAsia"/>
        </w:rPr>
        <w:t>Katabira</w:t>
      </w:r>
      <w:proofErr w:type="spellEnd"/>
      <w:r w:rsidRPr="004D46AC">
        <w:rPr>
          <w:rFonts w:eastAsiaTheme="minorEastAsia"/>
        </w:rPr>
        <w:t xml:space="preserve">, E. (2006). Primary mania versus HIV-related secondary mania in Uganda. Am J Psychiatry, 163(8), 1349–1354; quiz 1480. https://doi.org/10.1176/ajp.2006.163.8.1349 </w:t>
      </w:r>
    </w:p>
    <w:p w14:paraId="4D0E2E5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Nisha, A., Sathesh, V., Punnoose, V. P., &amp; Varghese, P. J. (2015). A comparative study on psycho-socio-demographic and clinical profile of patients with bipolar versus unipolar depression. Indian J Psychiatry, 57(4), 392–396. https://doi.org/10.4103/0019-5545.171842 </w:t>
      </w:r>
    </w:p>
    <w:p w14:paraId="34150544"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Ongur</w:t>
      </w:r>
      <w:proofErr w:type="spellEnd"/>
      <w:r w:rsidRPr="004D46AC">
        <w:rPr>
          <w:rFonts w:eastAsiaTheme="minorEastAsia"/>
        </w:rPr>
        <w:t xml:space="preserve">, D., Lin, L., &amp; Cohen, B. M. (2009). Clinical characteristics influencing age at onset in psychotic disorders. </w:t>
      </w:r>
      <w:proofErr w:type="spellStart"/>
      <w:r w:rsidRPr="004D46AC">
        <w:rPr>
          <w:rFonts w:eastAsiaTheme="minorEastAsia"/>
        </w:rPr>
        <w:t>Compr</w:t>
      </w:r>
      <w:proofErr w:type="spellEnd"/>
      <w:r w:rsidRPr="004D46AC">
        <w:rPr>
          <w:rFonts w:eastAsiaTheme="minorEastAsia"/>
        </w:rPr>
        <w:t xml:space="preserve"> Psychiatry, 50(1), 13–19. https://doi.org/10.1016/j.comppsych.2008.06.002 </w:t>
      </w:r>
    </w:p>
    <w:p w14:paraId="2577E1F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Park, J., </w:t>
      </w:r>
      <w:proofErr w:type="spellStart"/>
      <w:r w:rsidRPr="004D46AC">
        <w:rPr>
          <w:rFonts w:eastAsiaTheme="minorEastAsia"/>
        </w:rPr>
        <w:t>Ayduk</w:t>
      </w:r>
      <w:proofErr w:type="spellEnd"/>
      <w:r w:rsidRPr="004D46AC">
        <w:rPr>
          <w:rFonts w:eastAsiaTheme="minorEastAsia"/>
        </w:rPr>
        <w:t xml:space="preserve">, O., O'Donnell, L., Chun, J., Gruber, J., Kamali, M., McInnis, M., Deldin, P., &amp; Kross, E. (2014). Regulating the High: Cognitive and Neural Processes Underlying Positive Emotion Regulation in Bipolar I Disorder. Clin </w:t>
      </w:r>
      <w:proofErr w:type="spellStart"/>
      <w:r w:rsidRPr="004D46AC">
        <w:rPr>
          <w:rFonts w:eastAsiaTheme="minorEastAsia"/>
        </w:rPr>
        <w:t>Psychol</w:t>
      </w:r>
      <w:proofErr w:type="spellEnd"/>
      <w:r w:rsidRPr="004D46AC">
        <w:rPr>
          <w:rFonts w:eastAsiaTheme="minorEastAsia"/>
        </w:rPr>
        <w:t xml:space="preserve"> Sci, 2(6), 661–674. https://doi.org/10.1177/2167702614527580 </w:t>
      </w:r>
    </w:p>
    <w:p w14:paraId="03256A0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Parker, G., Graham, R., Hadzi-Pavlovic, D., McCraw, S., Hong, M., &amp; Friend, P. (2013). Differentiation of bipolar I and II disorders by examining for differences in severity of manic/hypomanic symptoms and the presence or absence of psychosis during that phase. J Affect </w:t>
      </w:r>
      <w:proofErr w:type="spellStart"/>
      <w:r w:rsidRPr="004D46AC">
        <w:rPr>
          <w:rFonts w:eastAsiaTheme="minorEastAsia"/>
        </w:rPr>
        <w:t>Disord</w:t>
      </w:r>
      <w:proofErr w:type="spellEnd"/>
      <w:r w:rsidRPr="004D46AC">
        <w:rPr>
          <w:rFonts w:eastAsiaTheme="minorEastAsia"/>
        </w:rPr>
        <w:t xml:space="preserve">, 150(3), 941–947. https://doi.org/10.1016/j.jad.2013.05.018 </w:t>
      </w:r>
    </w:p>
    <w:p w14:paraId="4D621E9B"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Parker, G., Roy, K., Wilhelm, K., Mitchell, P., &amp; Hadzi-Pavlovic, D. (2000). The nature of bipolar depression: implications for the definition of melancholia. J Affect </w:t>
      </w:r>
      <w:proofErr w:type="spellStart"/>
      <w:r w:rsidRPr="004D46AC">
        <w:rPr>
          <w:rFonts w:eastAsiaTheme="minorEastAsia"/>
        </w:rPr>
        <w:t>Disord</w:t>
      </w:r>
      <w:proofErr w:type="spellEnd"/>
      <w:r w:rsidRPr="004D46AC">
        <w:rPr>
          <w:rFonts w:eastAsiaTheme="minorEastAsia"/>
        </w:rPr>
        <w:t xml:space="preserve">, 59(3), 217–224. https://doi.org/10.1016/s0165-0327(99)00144-5 </w:t>
      </w:r>
    </w:p>
    <w:p w14:paraId="483D0EC1"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Perlman, G., Kotov, R., Fu, J., </w:t>
      </w:r>
      <w:proofErr w:type="spellStart"/>
      <w:r w:rsidRPr="004D46AC">
        <w:rPr>
          <w:rFonts w:eastAsiaTheme="minorEastAsia"/>
        </w:rPr>
        <w:t>Bromet</w:t>
      </w:r>
      <w:proofErr w:type="spellEnd"/>
      <w:r w:rsidRPr="004D46AC">
        <w:rPr>
          <w:rFonts w:eastAsiaTheme="minorEastAsia"/>
        </w:rPr>
        <w:t xml:space="preserve">, E. J., </w:t>
      </w:r>
      <w:proofErr w:type="spellStart"/>
      <w:r w:rsidRPr="004D46AC">
        <w:rPr>
          <w:rFonts w:eastAsiaTheme="minorEastAsia"/>
        </w:rPr>
        <w:t>Fochtmann</w:t>
      </w:r>
      <w:proofErr w:type="spellEnd"/>
      <w:r w:rsidRPr="004D46AC">
        <w:rPr>
          <w:rFonts w:eastAsiaTheme="minorEastAsia"/>
        </w:rPr>
        <w:t xml:space="preserve">, L. J., Medeiros, H., Genomic Psychiatry Cohort, C., Pato, M. T., &amp; Pato, C. N. (2016). Symptoms of psychosis in schizophrenia, schizoaffective disorder, and bipolar disorder: A comparison of African Americans and Caucasians in the Genomic Psychiatry Cohort. Am J Med Genet B </w:t>
      </w:r>
      <w:proofErr w:type="spellStart"/>
      <w:r w:rsidRPr="004D46AC">
        <w:rPr>
          <w:rFonts w:eastAsiaTheme="minorEastAsia"/>
        </w:rPr>
        <w:t>Neuropsychiatr</w:t>
      </w:r>
      <w:proofErr w:type="spellEnd"/>
      <w:r w:rsidRPr="004D46AC">
        <w:rPr>
          <w:rFonts w:eastAsiaTheme="minorEastAsia"/>
        </w:rPr>
        <w:t xml:space="preserve"> Genet, 171(4), 546–555. https://doi.org/10.1002/ajmg.b.32409 </w:t>
      </w:r>
    </w:p>
    <w:p w14:paraId="696BE8E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Pfohl, B., Vasquez, N., &amp; Nasrallah, H. (1982). Unipolar vs. bipolar mania: a review of 247 patients. Br J Psychiatry, 141, 453–458. https://doi.org/10.1192/bjp.141.5.453 </w:t>
      </w:r>
    </w:p>
    <w:p w14:paraId="6BD33AF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Picardi, A., Fonzi, L., </w:t>
      </w:r>
      <w:proofErr w:type="spellStart"/>
      <w:r w:rsidRPr="004D46AC">
        <w:rPr>
          <w:rFonts w:eastAsiaTheme="minorEastAsia"/>
        </w:rPr>
        <w:t>Pallagrosi</w:t>
      </w:r>
      <w:proofErr w:type="spellEnd"/>
      <w:r w:rsidRPr="004D46AC">
        <w:rPr>
          <w:rFonts w:eastAsiaTheme="minorEastAsia"/>
        </w:rPr>
        <w:t xml:space="preserve">, M., Gigantesco, A., &amp; Biondi, M. (2018). Delusional Themes Across Affective and Non-Affective Psychoses. Front Psychiatry, 9, 132. https://doi.org/10.3389/fpsyt.2018.00132 </w:t>
      </w:r>
    </w:p>
    <w:p w14:paraId="2188F28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Poletti, S., </w:t>
      </w:r>
      <w:proofErr w:type="spellStart"/>
      <w:r w:rsidRPr="004D46AC">
        <w:rPr>
          <w:rFonts w:eastAsiaTheme="minorEastAsia"/>
        </w:rPr>
        <w:t>Bollettini</w:t>
      </w:r>
      <w:proofErr w:type="spellEnd"/>
      <w:r w:rsidRPr="004D46AC">
        <w:rPr>
          <w:rFonts w:eastAsiaTheme="minorEastAsia"/>
        </w:rPr>
        <w:t xml:space="preserve">, I., Mazza, E., Locatelli, C., Radaelli, D., Vai, B., </w:t>
      </w:r>
      <w:proofErr w:type="spellStart"/>
      <w:r w:rsidRPr="004D46AC">
        <w:rPr>
          <w:rFonts w:eastAsiaTheme="minorEastAsia"/>
        </w:rPr>
        <w:t>Smeraldi</w:t>
      </w:r>
      <w:proofErr w:type="spellEnd"/>
      <w:r w:rsidRPr="004D46AC">
        <w:rPr>
          <w:rFonts w:eastAsiaTheme="minorEastAsia"/>
        </w:rPr>
        <w:t xml:space="preserve">, E., Colombo, C., &amp; Benedetti, F. (2015). Cognitive performances associate with measures of white matter integrity in bipolar disorder. J Affect </w:t>
      </w:r>
      <w:proofErr w:type="spellStart"/>
      <w:r w:rsidRPr="004D46AC">
        <w:rPr>
          <w:rFonts w:eastAsiaTheme="minorEastAsia"/>
        </w:rPr>
        <w:t>Disord</w:t>
      </w:r>
      <w:proofErr w:type="spellEnd"/>
      <w:r w:rsidRPr="004D46AC">
        <w:rPr>
          <w:rFonts w:eastAsiaTheme="minorEastAsia"/>
        </w:rPr>
        <w:t xml:space="preserve">, 174, 342–352. https://doi.org/10.1016/j.jad.2014.12.030 </w:t>
      </w:r>
    </w:p>
    <w:p w14:paraId="1DCD5A9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Prakash, O., Kumar, C. N., Shivakumar, P. T., Bharath, S., &amp; Varghese, M. (2009). Clinical presentation of mania compared with depression: data from a geriatric clinic in India. Int </w:t>
      </w:r>
      <w:proofErr w:type="spellStart"/>
      <w:r w:rsidRPr="004D46AC">
        <w:rPr>
          <w:rFonts w:eastAsiaTheme="minorEastAsia"/>
        </w:rPr>
        <w:t>Psychogeriatr</w:t>
      </w:r>
      <w:proofErr w:type="spellEnd"/>
      <w:r w:rsidRPr="004D46AC">
        <w:rPr>
          <w:rFonts w:eastAsiaTheme="minorEastAsia"/>
        </w:rPr>
        <w:t xml:space="preserve">, 21(4), 764–767. https://doi.org/10.1017/S1041610209009466 </w:t>
      </w:r>
    </w:p>
    <w:p w14:paraId="6A19577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Rajkumar, R. P. (2016). Recurrent unipolar mania: A comparative, cross-sectional study. </w:t>
      </w:r>
      <w:proofErr w:type="spellStart"/>
      <w:r w:rsidRPr="004D46AC">
        <w:rPr>
          <w:rFonts w:eastAsiaTheme="minorEastAsia"/>
        </w:rPr>
        <w:t>Compr</w:t>
      </w:r>
      <w:proofErr w:type="spellEnd"/>
      <w:r w:rsidRPr="004D46AC">
        <w:rPr>
          <w:rFonts w:eastAsiaTheme="minorEastAsia"/>
        </w:rPr>
        <w:t xml:space="preserve"> Psychiatry, 65, 136–140. https://doi.org/10.1016/j.comppsych.2015.11.008 </w:t>
      </w:r>
    </w:p>
    <w:p w14:paraId="693DD07D"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Reininghaus</w:t>
      </w:r>
      <w:proofErr w:type="spellEnd"/>
      <w:r w:rsidRPr="004D46AC">
        <w:rPr>
          <w:rFonts w:eastAsiaTheme="minorEastAsia"/>
        </w:rPr>
        <w:t xml:space="preserve">, U., Bohnke, J. R., Hosang, G., Farmer, A., Burns, T., McGuffin, P., &amp; Bentall, R. P. (2016). Evaluation of the validity and utility of a transdiagnostic psychosis dimension encompassing schizophrenia and bipolar disorder. Br J Psychiatry, 209(2), 107–113. https://doi.org/10.1192/bjp.bp.115.167882 </w:t>
      </w:r>
    </w:p>
    <w:p w14:paraId="03743E3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Robinson, A. D. (1988). A century of delusions in </w:t>
      </w:r>
      <w:proofErr w:type="gramStart"/>
      <w:r w:rsidRPr="004D46AC">
        <w:rPr>
          <w:rFonts w:eastAsiaTheme="minorEastAsia"/>
        </w:rPr>
        <w:t>south west</w:t>
      </w:r>
      <w:proofErr w:type="gramEnd"/>
      <w:r w:rsidRPr="004D46AC">
        <w:rPr>
          <w:rFonts w:eastAsiaTheme="minorEastAsia"/>
        </w:rPr>
        <w:t xml:space="preserve"> Scotland. Br J Psychiatry, 153, 163–167. https://doi.org/10.1192/bjp.153.2.163 </w:t>
      </w:r>
    </w:p>
    <w:p w14:paraId="1D830ED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Rosen, C., Jones, N., Chase, K. A., Gin, H., Grossman, L. S., &amp; Sharma, R. P. (2016). The </w:t>
      </w:r>
      <w:proofErr w:type="spellStart"/>
      <w:r w:rsidRPr="004D46AC">
        <w:rPr>
          <w:rFonts w:eastAsiaTheme="minorEastAsia"/>
        </w:rPr>
        <w:t>intrasubjectivity</w:t>
      </w:r>
      <w:proofErr w:type="spellEnd"/>
      <w:r w:rsidRPr="004D46AC">
        <w:rPr>
          <w:rFonts w:eastAsiaTheme="minorEastAsia"/>
        </w:rPr>
        <w:t xml:space="preserve"> of self, voices and delusions: A phenomenological analysis. Psychosis, 8(4), 357–368. https://doi.org/10.1080/17522439.2016.1162839 </w:t>
      </w:r>
    </w:p>
    <w:p w14:paraId="47DDC9B7"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Schulze, T. G., Muller, D. J., Krauss, H., Gross, M., Fangerau-Lefevre, H., Illes, F., </w:t>
      </w:r>
      <w:proofErr w:type="spellStart"/>
      <w:r w:rsidRPr="004D46AC">
        <w:rPr>
          <w:rFonts w:eastAsiaTheme="minorEastAsia"/>
        </w:rPr>
        <w:t>Ohlraun</w:t>
      </w:r>
      <w:proofErr w:type="spellEnd"/>
      <w:r w:rsidRPr="004D46AC">
        <w:rPr>
          <w:rFonts w:eastAsiaTheme="minorEastAsia"/>
        </w:rPr>
        <w:t xml:space="preserve">, S., Cichon, S., Held, T., Propping, P., </w:t>
      </w:r>
      <w:proofErr w:type="spellStart"/>
      <w:r w:rsidRPr="004D46AC">
        <w:rPr>
          <w:rFonts w:eastAsiaTheme="minorEastAsia"/>
        </w:rPr>
        <w:t>Nothen</w:t>
      </w:r>
      <w:proofErr w:type="spellEnd"/>
      <w:r w:rsidRPr="004D46AC">
        <w:rPr>
          <w:rFonts w:eastAsiaTheme="minorEastAsia"/>
        </w:rPr>
        <w:t xml:space="preserve">, M. M., Maier, W., &amp; </w:t>
      </w:r>
      <w:proofErr w:type="spellStart"/>
      <w:r w:rsidRPr="004D46AC">
        <w:rPr>
          <w:rFonts w:eastAsiaTheme="minorEastAsia"/>
        </w:rPr>
        <w:t>Rietschel</w:t>
      </w:r>
      <w:proofErr w:type="spellEnd"/>
      <w:r w:rsidRPr="004D46AC">
        <w:rPr>
          <w:rFonts w:eastAsiaTheme="minorEastAsia"/>
        </w:rPr>
        <w:t xml:space="preserve">, M. (2002). Further evidence for age of onset being an indicator for severity in bipolar </w:t>
      </w:r>
      <w:r w:rsidRPr="004D46AC">
        <w:rPr>
          <w:rFonts w:eastAsiaTheme="minorEastAsia"/>
        </w:rPr>
        <w:lastRenderedPageBreak/>
        <w:t xml:space="preserve">disorder. J Affect </w:t>
      </w:r>
      <w:proofErr w:type="spellStart"/>
      <w:r w:rsidRPr="004D46AC">
        <w:rPr>
          <w:rFonts w:eastAsiaTheme="minorEastAsia"/>
        </w:rPr>
        <w:t>Disord</w:t>
      </w:r>
      <w:proofErr w:type="spellEnd"/>
      <w:r w:rsidRPr="004D46AC">
        <w:rPr>
          <w:rFonts w:eastAsiaTheme="minorEastAsia"/>
        </w:rPr>
        <w:t xml:space="preserve">, 68(2-3), 343–345. https://doi.org/10.1016/s0165-0327(01)00306-8 </w:t>
      </w:r>
    </w:p>
    <w:p w14:paraId="2290496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Schurhoff, F., Szoke, A., </w:t>
      </w:r>
      <w:proofErr w:type="spellStart"/>
      <w:r w:rsidRPr="004D46AC">
        <w:rPr>
          <w:rFonts w:eastAsiaTheme="minorEastAsia"/>
        </w:rPr>
        <w:t>Meary</w:t>
      </w:r>
      <w:proofErr w:type="spellEnd"/>
      <w:r w:rsidRPr="004D46AC">
        <w:rPr>
          <w:rFonts w:eastAsiaTheme="minorEastAsia"/>
        </w:rPr>
        <w:t xml:space="preserve">, A., </w:t>
      </w:r>
      <w:proofErr w:type="spellStart"/>
      <w:r w:rsidRPr="004D46AC">
        <w:rPr>
          <w:rFonts w:eastAsiaTheme="minorEastAsia"/>
        </w:rPr>
        <w:t>Bellivier</w:t>
      </w:r>
      <w:proofErr w:type="spellEnd"/>
      <w:r w:rsidRPr="004D46AC">
        <w:rPr>
          <w:rFonts w:eastAsiaTheme="minorEastAsia"/>
        </w:rPr>
        <w:t xml:space="preserve">, F., </w:t>
      </w:r>
      <w:proofErr w:type="spellStart"/>
      <w:r w:rsidRPr="004D46AC">
        <w:rPr>
          <w:rFonts w:eastAsiaTheme="minorEastAsia"/>
        </w:rPr>
        <w:t>Rouillon</w:t>
      </w:r>
      <w:proofErr w:type="spellEnd"/>
      <w:r w:rsidRPr="004D46AC">
        <w:rPr>
          <w:rFonts w:eastAsiaTheme="minorEastAsia"/>
        </w:rPr>
        <w:t xml:space="preserve">, F., Pauls, D., &amp; Leboyer, M. (2003). Familial aggregation of delusional proneness in schizophrenia and bipolar pedigrees. Am J Psychiatry, 160(7), 1313–1319. https://doi.org/10.1176/appi.ajp.160.7.1313 </w:t>
      </w:r>
    </w:p>
    <w:p w14:paraId="145B9DD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Schutte, M. J. L., Voppel, A., Collin, G., Abramovic, L., Boks, M. P. M., Cahn, W., van Haren, N. E. M., Hugdahl, K., Koops, S., Mandl, R. C. W., &amp; Sommer, I. E. C. (2022). Modular-Level Functional Connectome Alterations in Individuals </w:t>
      </w:r>
      <w:proofErr w:type="gramStart"/>
      <w:r w:rsidRPr="004D46AC">
        <w:rPr>
          <w:rFonts w:eastAsiaTheme="minorEastAsia"/>
        </w:rPr>
        <w:t>With</w:t>
      </w:r>
      <w:proofErr w:type="gramEnd"/>
      <w:r w:rsidRPr="004D46AC">
        <w:rPr>
          <w:rFonts w:eastAsiaTheme="minorEastAsia"/>
        </w:rPr>
        <w:t xml:space="preserve"> Hallucinations Across the Psychosis Continuum. </w:t>
      </w:r>
      <w:proofErr w:type="spellStart"/>
      <w:r w:rsidRPr="004D46AC">
        <w:rPr>
          <w:rFonts w:eastAsiaTheme="minorEastAsia"/>
        </w:rPr>
        <w:t>Schizophr</w:t>
      </w:r>
      <w:proofErr w:type="spellEnd"/>
      <w:r w:rsidRPr="004D46AC">
        <w:rPr>
          <w:rFonts w:eastAsiaTheme="minorEastAsia"/>
        </w:rPr>
        <w:t xml:space="preserve"> Bull, 48(3), 684–694. https://doi.org/10.1093/schbul/sbac007 </w:t>
      </w:r>
    </w:p>
    <w:p w14:paraId="19C2791A"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Serretti, A., Mandelli, L., </w:t>
      </w:r>
      <w:proofErr w:type="spellStart"/>
      <w:r w:rsidRPr="004D46AC">
        <w:rPr>
          <w:rFonts w:eastAsiaTheme="minorEastAsia"/>
        </w:rPr>
        <w:t>Lattuada</w:t>
      </w:r>
      <w:proofErr w:type="spellEnd"/>
      <w:r w:rsidRPr="004D46AC">
        <w:rPr>
          <w:rFonts w:eastAsiaTheme="minorEastAsia"/>
        </w:rPr>
        <w:t xml:space="preserve">, E., &amp; </w:t>
      </w:r>
      <w:proofErr w:type="spellStart"/>
      <w:r w:rsidRPr="004D46AC">
        <w:rPr>
          <w:rFonts w:eastAsiaTheme="minorEastAsia"/>
        </w:rPr>
        <w:t>Smeraldi</w:t>
      </w:r>
      <w:proofErr w:type="spellEnd"/>
      <w:r w:rsidRPr="004D46AC">
        <w:rPr>
          <w:rFonts w:eastAsiaTheme="minorEastAsia"/>
        </w:rPr>
        <w:t xml:space="preserve">, E. (2002). Rapid cycling mood disorder: clinical and demographic features. </w:t>
      </w:r>
      <w:proofErr w:type="spellStart"/>
      <w:r w:rsidRPr="004D46AC">
        <w:rPr>
          <w:rFonts w:eastAsiaTheme="minorEastAsia"/>
        </w:rPr>
        <w:t>Compr</w:t>
      </w:r>
      <w:proofErr w:type="spellEnd"/>
      <w:r w:rsidRPr="004D46AC">
        <w:rPr>
          <w:rFonts w:eastAsiaTheme="minorEastAsia"/>
        </w:rPr>
        <w:t xml:space="preserve"> Psychiatry, 43(5), 336–343. https://doi.org/10.1053/comp.2002.34630 </w:t>
      </w:r>
    </w:p>
    <w:p w14:paraId="54AC9EE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Sethi, S., &amp; Khanna, R. (1993). Phenomenology of mania in eastern India. Psychopathology, 26(5-6), 274–278. https://doi.org/10.1159/000284833 </w:t>
      </w:r>
    </w:p>
    <w:p w14:paraId="7D59EB0C"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Skowronek, M. H., Georgi, A., </w:t>
      </w:r>
      <w:proofErr w:type="spellStart"/>
      <w:r w:rsidRPr="004D46AC">
        <w:rPr>
          <w:rFonts w:eastAsiaTheme="minorEastAsia"/>
        </w:rPr>
        <w:t>Jamra</w:t>
      </w:r>
      <w:proofErr w:type="spellEnd"/>
      <w:r w:rsidRPr="004D46AC">
        <w:rPr>
          <w:rFonts w:eastAsiaTheme="minorEastAsia"/>
        </w:rPr>
        <w:t xml:space="preserve">, R. A., Schumacher, J., Becker, T., </w:t>
      </w:r>
      <w:proofErr w:type="spellStart"/>
      <w:r w:rsidRPr="004D46AC">
        <w:rPr>
          <w:rFonts w:eastAsiaTheme="minorEastAsia"/>
        </w:rPr>
        <w:t>Schmael</w:t>
      </w:r>
      <w:proofErr w:type="spellEnd"/>
      <w:r w:rsidRPr="004D46AC">
        <w:rPr>
          <w:rFonts w:eastAsiaTheme="minorEastAsia"/>
        </w:rPr>
        <w:t xml:space="preserve">, C., Paul, T., Deschner, M., </w:t>
      </w:r>
      <w:proofErr w:type="spellStart"/>
      <w:r w:rsidRPr="004D46AC">
        <w:rPr>
          <w:rFonts w:eastAsiaTheme="minorEastAsia"/>
        </w:rPr>
        <w:t>Hofels</w:t>
      </w:r>
      <w:proofErr w:type="spellEnd"/>
      <w:r w:rsidRPr="004D46AC">
        <w:rPr>
          <w:rFonts w:eastAsiaTheme="minorEastAsia"/>
        </w:rPr>
        <w:t xml:space="preserve">, S., Wulff, M., Schwarz, M., Klopp, N., Illig, T., Propping, P., Cichon, S., </w:t>
      </w:r>
      <w:proofErr w:type="spellStart"/>
      <w:r w:rsidRPr="004D46AC">
        <w:rPr>
          <w:rFonts w:eastAsiaTheme="minorEastAsia"/>
        </w:rPr>
        <w:t>Nothen</w:t>
      </w:r>
      <w:proofErr w:type="spellEnd"/>
      <w:r w:rsidRPr="004D46AC">
        <w:rPr>
          <w:rFonts w:eastAsiaTheme="minorEastAsia"/>
        </w:rPr>
        <w:t xml:space="preserve">, M. M., Schulze, T. G., &amp; </w:t>
      </w:r>
      <w:proofErr w:type="spellStart"/>
      <w:r w:rsidRPr="004D46AC">
        <w:rPr>
          <w:rFonts w:eastAsiaTheme="minorEastAsia"/>
        </w:rPr>
        <w:t>Rietschel</w:t>
      </w:r>
      <w:proofErr w:type="spellEnd"/>
      <w:r w:rsidRPr="004D46AC">
        <w:rPr>
          <w:rFonts w:eastAsiaTheme="minorEastAsia"/>
        </w:rPr>
        <w:t xml:space="preserve">, M. (2006). No association between genetic variants at the ASCT1 gene and schizophrenia or bipolar disorder in a German sample. </w:t>
      </w:r>
      <w:proofErr w:type="spellStart"/>
      <w:r w:rsidRPr="004D46AC">
        <w:rPr>
          <w:rFonts w:eastAsiaTheme="minorEastAsia"/>
        </w:rPr>
        <w:t>Psychiatr</w:t>
      </w:r>
      <w:proofErr w:type="spellEnd"/>
      <w:r w:rsidRPr="004D46AC">
        <w:rPr>
          <w:rFonts w:eastAsiaTheme="minorEastAsia"/>
        </w:rPr>
        <w:t xml:space="preserve"> Genet, 16(6), 233–234. https://doi.org/10.1097/01.ypg.0000218621.58009.d1 </w:t>
      </w:r>
    </w:p>
    <w:p w14:paraId="7D9B1C59"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Song, J., Han, D. H., Kim, S. M., Hong, J. S., Min, K. J., Cheong, J. H., &amp; Kim, B. N. (2015). Differences in </w:t>
      </w:r>
      <w:proofErr w:type="spellStart"/>
      <w:r w:rsidRPr="004D46AC">
        <w:rPr>
          <w:rFonts w:eastAsiaTheme="minorEastAsia"/>
        </w:rPr>
        <w:t>gray</w:t>
      </w:r>
      <w:proofErr w:type="spellEnd"/>
      <w:r w:rsidRPr="004D46AC">
        <w:rPr>
          <w:rFonts w:eastAsiaTheme="minorEastAsia"/>
        </w:rPr>
        <w:t xml:space="preserve"> matter volume corresponding to delusion and hallucination in patients with schizophrenia compared with patients who have bipolar disorder. </w:t>
      </w:r>
      <w:proofErr w:type="spellStart"/>
      <w:r w:rsidRPr="004D46AC">
        <w:rPr>
          <w:rFonts w:eastAsiaTheme="minorEastAsia"/>
        </w:rPr>
        <w:t>Neuropsychiatr</w:t>
      </w:r>
      <w:proofErr w:type="spellEnd"/>
      <w:r w:rsidRPr="004D46AC">
        <w:rPr>
          <w:rFonts w:eastAsiaTheme="minorEastAsia"/>
        </w:rPr>
        <w:t xml:space="preserve"> Dis Treat, 11, 1211–1219. https://doi.org/10.2147/NDT.S80438 </w:t>
      </w:r>
    </w:p>
    <w:p w14:paraId="429B7F3D"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Song, J. Y., Yu, H. Y., Kim, S. H., Hwang, S. S., Cho, H. S., Kim, Y. S., Ha, K., &amp; Ahn, Y. M. (2012). Assessment of risk factors related to suicide attempts in patients with bipolar disorder. J </w:t>
      </w:r>
      <w:proofErr w:type="spellStart"/>
      <w:r w:rsidRPr="004D46AC">
        <w:rPr>
          <w:rFonts w:eastAsiaTheme="minorEastAsia"/>
        </w:rPr>
        <w:t>Nerv</w:t>
      </w:r>
      <w:proofErr w:type="spellEnd"/>
      <w:r w:rsidRPr="004D46AC">
        <w:rPr>
          <w:rFonts w:eastAsiaTheme="minorEastAsia"/>
        </w:rPr>
        <w:t xml:space="preserve"> Ment Dis, 200(11), 978–984. https://doi.org/10.1097/NMD.0b013e3182718a07 </w:t>
      </w:r>
    </w:p>
    <w:p w14:paraId="626D1934"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Stein, F., Lemmer, G., Schmitt, S., Brosch, K., Meller, T., Fischer, E., Kraus, C., Lenhard, L., </w:t>
      </w:r>
      <w:proofErr w:type="spellStart"/>
      <w:r w:rsidRPr="004D46AC">
        <w:rPr>
          <w:rFonts w:eastAsiaTheme="minorEastAsia"/>
        </w:rPr>
        <w:t>Kohnlein</w:t>
      </w:r>
      <w:proofErr w:type="spellEnd"/>
      <w:r w:rsidRPr="004D46AC">
        <w:rPr>
          <w:rFonts w:eastAsiaTheme="minorEastAsia"/>
        </w:rPr>
        <w:t xml:space="preserve">, B., Murata, H., Backer, A., Muller, M., Franz, M., Forster, K., Meinert, S., Enneking, V., Koch, K., </w:t>
      </w:r>
      <w:proofErr w:type="spellStart"/>
      <w:r w:rsidRPr="004D46AC">
        <w:rPr>
          <w:rFonts w:eastAsiaTheme="minorEastAsia"/>
        </w:rPr>
        <w:t>Grotegerd</w:t>
      </w:r>
      <w:proofErr w:type="spellEnd"/>
      <w:r w:rsidRPr="004D46AC">
        <w:rPr>
          <w:rFonts w:eastAsiaTheme="minorEastAsia"/>
        </w:rPr>
        <w:t xml:space="preserve">, D., Nagels, A.,…Krug, A. (2020). Factor analyses of multidimensional symptoms in a large group of patients with major depressive disorder, bipolar disorder, schizoaffective disorder and schizophrenia. </w:t>
      </w:r>
      <w:proofErr w:type="spellStart"/>
      <w:r w:rsidRPr="004D46AC">
        <w:rPr>
          <w:rFonts w:eastAsiaTheme="minorEastAsia"/>
        </w:rPr>
        <w:t>Schizophr</w:t>
      </w:r>
      <w:proofErr w:type="spellEnd"/>
      <w:r w:rsidRPr="004D46AC">
        <w:rPr>
          <w:rFonts w:eastAsiaTheme="minorEastAsia"/>
        </w:rPr>
        <w:t xml:space="preserve"> Res, 218, 38–47. https://doi.org/10.1016/j.schres.2020.03.011 </w:t>
      </w:r>
    </w:p>
    <w:p w14:paraId="0E6CDC2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Swann, A. C., Bowden, C. L., Morris, D., Calabrese, J. R., Petty, F., Small, J., Dilsaver, S. C., &amp; Davis, J. M. (1997). Depression during mania. Treatment response to lithium or divalproex. Arch Gen Psychiatry, 54(1), 37–42. https://doi.org/10.1001/archpsyc.1997.01830130041008 </w:t>
      </w:r>
    </w:p>
    <w:p w14:paraId="01457140"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Tohen, M., </w:t>
      </w:r>
      <w:proofErr w:type="spellStart"/>
      <w:r w:rsidRPr="004D46AC">
        <w:rPr>
          <w:rFonts w:eastAsiaTheme="minorEastAsia"/>
        </w:rPr>
        <w:t>Tsuang</w:t>
      </w:r>
      <w:proofErr w:type="spellEnd"/>
      <w:r w:rsidRPr="004D46AC">
        <w:rPr>
          <w:rFonts w:eastAsiaTheme="minorEastAsia"/>
        </w:rPr>
        <w:t xml:space="preserve">, M. T., &amp; Goodwin, D. C. (1992). Prediction of outcome in mania by mood-congruent or mood-incongruent psychotic features. Am J Psychiatry, 149(11), 1580–1584. https://doi.org/10.1176/ajp.149.11.1580 </w:t>
      </w:r>
    </w:p>
    <w:p w14:paraId="60164B8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Toni, C., </w:t>
      </w:r>
      <w:proofErr w:type="spellStart"/>
      <w:r w:rsidRPr="004D46AC">
        <w:rPr>
          <w:rFonts w:eastAsiaTheme="minorEastAsia"/>
        </w:rPr>
        <w:t>Perugi</w:t>
      </w:r>
      <w:proofErr w:type="spellEnd"/>
      <w:r w:rsidRPr="004D46AC">
        <w:rPr>
          <w:rFonts w:eastAsiaTheme="minorEastAsia"/>
        </w:rPr>
        <w:t xml:space="preserve">, G., Mata, B., </w:t>
      </w:r>
      <w:proofErr w:type="spellStart"/>
      <w:r w:rsidRPr="004D46AC">
        <w:rPr>
          <w:rFonts w:eastAsiaTheme="minorEastAsia"/>
        </w:rPr>
        <w:t>Madaro</w:t>
      </w:r>
      <w:proofErr w:type="spellEnd"/>
      <w:r w:rsidRPr="004D46AC">
        <w:rPr>
          <w:rFonts w:eastAsiaTheme="minorEastAsia"/>
        </w:rPr>
        <w:t xml:space="preserve">, D., </w:t>
      </w:r>
      <w:proofErr w:type="spellStart"/>
      <w:r w:rsidRPr="004D46AC">
        <w:rPr>
          <w:rFonts w:eastAsiaTheme="minorEastAsia"/>
        </w:rPr>
        <w:t>Maremmani</w:t>
      </w:r>
      <w:proofErr w:type="spellEnd"/>
      <w:r w:rsidRPr="004D46AC">
        <w:rPr>
          <w:rFonts w:eastAsiaTheme="minorEastAsia"/>
        </w:rPr>
        <w:t xml:space="preserve">, I., &amp; </w:t>
      </w:r>
      <w:proofErr w:type="spellStart"/>
      <w:r w:rsidRPr="004D46AC">
        <w:rPr>
          <w:rFonts w:eastAsiaTheme="minorEastAsia"/>
        </w:rPr>
        <w:t>Akiskal</w:t>
      </w:r>
      <w:proofErr w:type="spellEnd"/>
      <w:r w:rsidRPr="004D46AC">
        <w:rPr>
          <w:rFonts w:eastAsiaTheme="minorEastAsia"/>
        </w:rPr>
        <w:t xml:space="preserve">, H. S. (2001). Is mood-incongruent manic psychosis a distinct subtype?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xml:space="preserve">, 251(1), 12–17. https://doi.org/10.1007/s004060170061 </w:t>
      </w:r>
    </w:p>
    <w:p w14:paraId="525BC15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Toomey, R., Faraone, S. V., Simpson, J. C., &amp; </w:t>
      </w:r>
      <w:proofErr w:type="spellStart"/>
      <w:r w:rsidRPr="004D46AC">
        <w:rPr>
          <w:rFonts w:eastAsiaTheme="minorEastAsia"/>
        </w:rPr>
        <w:t>Tsuang</w:t>
      </w:r>
      <w:proofErr w:type="spellEnd"/>
      <w:r w:rsidRPr="004D46AC">
        <w:rPr>
          <w:rFonts w:eastAsiaTheme="minorEastAsia"/>
        </w:rPr>
        <w:t xml:space="preserve">, M. T. (1998). Negative, positive, and disorganized symptom dimensions in schizophrenia, major depression, and bipolar disorder. J </w:t>
      </w:r>
      <w:proofErr w:type="spellStart"/>
      <w:r w:rsidRPr="004D46AC">
        <w:rPr>
          <w:rFonts w:eastAsiaTheme="minorEastAsia"/>
        </w:rPr>
        <w:t>Nerv</w:t>
      </w:r>
      <w:proofErr w:type="spellEnd"/>
      <w:r w:rsidRPr="004D46AC">
        <w:rPr>
          <w:rFonts w:eastAsiaTheme="minorEastAsia"/>
        </w:rPr>
        <w:t xml:space="preserve"> Ment Dis, 186(8), 470–476. https://doi.org/10.1097/00005053-199808000-00004 </w:t>
      </w:r>
    </w:p>
    <w:p w14:paraId="25145F33"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Tost, H., Ruf, M., Schmal, C., Schulze, T. G., Knorr, C., Vollmert, C., Bosshenz, K., Ende, G., Meyer-Lindenberg, A., Henn, F. A., &amp; </w:t>
      </w:r>
      <w:proofErr w:type="spellStart"/>
      <w:r w:rsidRPr="004D46AC">
        <w:rPr>
          <w:rFonts w:eastAsiaTheme="minorEastAsia"/>
        </w:rPr>
        <w:t>Rietschel</w:t>
      </w:r>
      <w:proofErr w:type="spellEnd"/>
      <w:r w:rsidRPr="004D46AC">
        <w:rPr>
          <w:rFonts w:eastAsiaTheme="minorEastAsia"/>
        </w:rPr>
        <w:t xml:space="preserve">, M. (2010). Prefrontal-temporal </w:t>
      </w:r>
      <w:proofErr w:type="spellStart"/>
      <w:r w:rsidRPr="004D46AC">
        <w:rPr>
          <w:rFonts w:eastAsiaTheme="minorEastAsia"/>
        </w:rPr>
        <w:t>gray</w:t>
      </w:r>
      <w:proofErr w:type="spellEnd"/>
      <w:r w:rsidRPr="004D46AC">
        <w:rPr>
          <w:rFonts w:eastAsiaTheme="minorEastAsia"/>
        </w:rPr>
        <w:t xml:space="preserve"> matter deficits in bipolar disorder patients with persecutory delusions. J Affect </w:t>
      </w:r>
      <w:proofErr w:type="spellStart"/>
      <w:r w:rsidRPr="004D46AC">
        <w:rPr>
          <w:rFonts w:eastAsiaTheme="minorEastAsia"/>
        </w:rPr>
        <w:t>Disord</w:t>
      </w:r>
      <w:proofErr w:type="spellEnd"/>
      <w:r w:rsidRPr="004D46AC">
        <w:rPr>
          <w:rFonts w:eastAsiaTheme="minorEastAsia"/>
        </w:rPr>
        <w:t xml:space="preserve">, 120(1-3), 54–61. https://doi.org/10.1016/j.jad.2009.04.009 </w:t>
      </w:r>
    </w:p>
    <w:p w14:paraId="1994FD66" w14:textId="77777777" w:rsidR="009864DB" w:rsidRPr="004D46AC" w:rsidRDefault="009864DB" w:rsidP="009864DB">
      <w:pPr>
        <w:spacing w:line="240" w:lineRule="auto"/>
        <w:ind w:left="709" w:hanging="720"/>
        <w:rPr>
          <w:rFonts w:eastAsiaTheme="minorEastAsia"/>
        </w:rPr>
      </w:pPr>
      <w:r w:rsidRPr="004D46AC">
        <w:rPr>
          <w:rFonts w:eastAsiaTheme="minorEastAsia"/>
        </w:rPr>
        <w:lastRenderedPageBreak/>
        <w:t xml:space="preserve">Upthegrove, R., Chard, C., Jones, L., Gordon-Smith, K., Forty, L., Jones, I., &amp; Craddock, N. (2015). Adverse childhood events and psychosis in bipolar affective disorder. Br J Psychiatry, 206(3), 191–197. https://doi.org/10.1192/bjp.bp.114.152611 </w:t>
      </w:r>
    </w:p>
    <w:p w14:paraId="03C9EBAE"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van Bergen, A. H., </w:t>
      </w:r>
      <w:proofErr w:type="spellStart"/>
      <w:r w:rsidRPr="004D46AC">
        <w:rPr>
          <w:rFonts w:eastAsiaTheme="minorEastAsia"/>
        </w:rPr>
        <w:t>Verkooijen</w:t>
      </w:r>
      <w:proofErr w:type="spellEnd"/>
      <w:r w:rsidRPr="004D46AC">
        <w:rPr>
          <w:rFonts w:eastAsiaTheme="minorEastAsia"/>
        </w:rPr>
        <w:t xml:space="preserve">, S., Vreeker, A., Abramovic, L., </w:t>
      </w:r>
      <w:proofErr w:type="spellStart"/>
      <w:r w:rsidRPr="004D46AC">
        <w:rPr>
          <w:rFonts w:eastAsiaTheme="minorEastAsia"/>
        </w:rPr>
        <w:t>Hillegers</w:t>
      </w:r>
      <w:proofErr w:type="spellEnd"/>
      <w:r w:rsidRPr="004D46AC">
        <w:rPr>
          <w:rFonts w:eastAsiaTheme="minorEastAsia"/>
        </w:rPr>
        <w:t xml:space="preserve">, M. H., Spijker, A. T., Hoencamp, E., Regeer, E. J., </w:t>
      </w:r>
      <w:proofErr w:type="spellStart"/>
      <w:r w:rsidRPr="004D46AC">
        <w:rPr>
          <w:rFonts w:eastAsiaTheme="minorEastAsia"/>
        </w:rPr>
        <w:t>Knapen</w:t>
      </w:r>
      <w:proofErr w:type="spellEnd"/>
      <w:r w:rsidRPr="004D46AC">
        <w:rPr>
          <w:rFonts w:eastAsiaTheme="minorEastAsia"/>
        </w:rPr>
        <w:t xml:space="preserve">, S. E., Riemersma-van der Lek, R. F., </w:t>
      </w:r>
      <w:proofErr w:type="spellStart"/>
      <w:r w:rsidRPr="004D46AC">
        <w:rPr>
          <w:rFonts w:eastAsiaTheme="minorEastAsia"/>
        </w:rPr>
        <w:t>Schoevers</w:t>
      </w:r>
      <w:proofErr w:type="spellEnd"/>
      <w:r w:rsidRPr="004D46AC">
        <w:rPr>
          <w:rFonts w:eastAsiaTheme="minorEastAsia"/>
        </w:rPr>
        <w:t xml:space="preserve">, R., Stevens, A. W., Schulte, P. F. J., Vonk, R., Hoekstra, R., van Beveren, N. J., Kupka, R. W., Sommer, I. E. C., Ophoff, R. A.,…Boks, M. P. M. (2019). The characteristics of psychotic features in bipolar disorder. </w:t>
      </w:r>
      <w:proofErr w:type="spellStart"/>
      <w:r w:rsidRPr="004D46AC">
        <w:rPr>
          <w:rFonts w:eastAsiaTheme="minorEastAsia"/>
        </w:rPr>
        <w:t>Psychol</w:t>
      </w:r>
      <w:proofErr w:type="spellEnd"/>
      <w:r w:rsidRPr="004D46AC">
        <w:rPr>
          <w:rFonts w:eastAsiaTheme="minorEastAsia"/>
        </w:rPr>
        <w:t xml:space="preserve"> Med, 49(12), 2036–2048. https://doi.org/10.1017/S0033291718002854 </w:t>
      </w:r>
    </w:p>
    <w:p w14:paraId="74631978" w14:textId="77777777" w:rsidR="009864DB" w:rsidRPr="004D46AC" w:rsidRDefault="009864DB" w:rsidP="009864DB">
      <w:pPr>
        <w:spacing w:line="240" w:lineRule="auto"/>
        <w:ind w:left="709" w:hanging="720"/>
        <w:rPr>
          <w:rFonts w:eastAsiaTheme="minorEastAsia"/>
        </w:rPr>
      </w:pPr>
      <w:proofErr w:type="spellStart"/>
      <w:r w:rsidRPr="004D46AC">
        <w:rPr>
          <w:rFonts w:eastAsiaTheme="minorEastAsia"/>
        </w:rPr>
        <w:t>Verdoux</w:t>
      </w:r>
      <w:proofErr w:type="spellEnd"/>
      <w:r w:rsidRPr="004D46AC">
        <w:rPr>
          <w:rFonts w:eastAsiaTheme="minorEastAsia"/>
        </w:rPr>
        <w:t xml:space="preserve">, H., &amp; Bourgeois, M. (1993). Delusional mania: what is a mood-incongruent psychotic feature? J </w:t>
      </w:r>
      <w:proofErr w:type="spellStart"/>
      <w:r w:rsidRPr="004D46AC">
        <w:rPr>
          <w:rFonts w:eastAsiaTheme="minorEastAsia"/>
        </w:rPr>
        <w:t>Nerv</w:t>
      </w:r>
      <w:proofErr w:type="spellEnd"/>
      <w:r w:rsidRPr="004D46AC">
        <w:rPr>
          <w:rFonts w:eastAsiaTheme="minorEastAsia"/>
        </w:rPr>
        <w:t xml:space="preserve"> Ment Dis, 181(8), 517–518. https://doi.org/10.1097/00005053-199308000-00008 </w:t>
      </w:r>
    </w:p>
    <w:p w14:paraId="18D517B1"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Winokur, G. (1984). Psychosis in bipolar and unipolar affective illness with special reference to </w:t>
      </w:r>
      <w:proofErr w:type="spellStart"/>
      <w:r w:rsidRPr="004D46AC">
        <w:rPr>
          <w:rFonts w:eastAsiaTheme="minorEastAsia"/>
        </w:rPr>
        <w:t>schizo</w:t>
      </w:r>
      <w:proofErr w:type="spellEnd"/>
      <w:r w:rsidRPr="004D46AC">
        <w:rPr>
          <w:rFonts w:eastAsiaTheme="minorEastAsia"/>
        </w:rPr>
        <w:t xml:space="preserve">-affective disorder. Br J Psychiatry, 145, 236–242. https://doi.org/10.1192/bjp.145.3.236 </w:t>
      </w:r>
    </w:p>
    <w:p w14:paraId="41FAA7F5" w14:textId="77777777" w:rsidR="009864DB" w:rsidRPr="004D46AC" w:rsidRDefault="009864DB" w:rsidP="009864DB">
      <w:pPr>
        <w:spacing w:line="240" w:lineRule="auto"/>
        <w:ind w:left="709" w:hanging="720"/>
        <w:rPr>
          <w:rFonts w:eastAsiaTheme="minorEastAsia"/>
        </w:rPr>
      </w:pPr>
      <w:r w:rsidRPr="004D46AC">
        <w:rPr>
          <w:rFonts w:eastAsiaTheme="minorEastAsia"/>
        </w:rPr>
        <w:t xml:space="preserve">Winokur, G., Scharfetter, C., &amp; Angst, J. (1985). The diagnostic value in assessing mood congruence in delusions and hallucinations and their relationship to the affective state. </w:t>
      </w:r>
      <w:proofErr w:type="spellStart"/>
      <w:r w:rsidRPr="004D46AC">
        <w:rPr>
          <w:rFonts w:eastAsiaTheme="minorEastAsia"/>
        </w:rPr>
        <w:t>Eur</w:t>
      </w:r>
      <w:proofErr w:type="spellEnd"/>
      <w:r w:rsidRPr="004D46AC">
        <w:rPr>
          <w:rFonts w:eastAsiaTheme="minorEastAsia"/>
        </w:rPr>
        <w:t xml:space="preserve"> Arch Psychiatry </w:t>
      </w:r>
      <w:proofErr w:type="spellStart"/>
      <w:r w:rsidRPr="004D46AC">
        <w:rPr>
          <w:rFonts w:eastAsiaTheme="minorEastAsia"/>
        </w:rPr>
        <w:t>Neurol</w:t>
      </w:r>
      <w:proofErr w:type="spellEnd"/>
      <w:r w:rsidRPr="004D46AC">
        <w:rPr>
          <w:rFonts w:eastAsiaTheme="minorEastAsia"/>
        </w:rPr>
        <w:t xml:space="preserve"> Sci, 234(5), 299–302. https://doi.org/10.1007/BF00381040 </w:t>
      </w:r>
    </w:p>
    <w:p w14:paraId="055D84FA" w14:textId="480A46DB" w:rsidR="009864DB" w:rsidRPr="004D46AC" w:rsidRDefault="009864DB" w:rsidP="009864DB">
      <w:pPr>
        <w:spacing w:line="240" w:lineRule="auto"/>
        <w:ind w:left="709" w:hanging="720"/>
        <w:rPr>
          <w:rFonts w:eastAsiaTheme="minorEastAsia"/>
        </w:rPr>
      </w:pPr>
      <w:r w:rsidRPr="004D46AC">
        <w:rPr>
          <w:rFonts w:eastAsiaTheme="minorEastAsia"/>
        </w:rPr>
        <w:t>Yan, S., Chen, D., Chao, Y. Z., Ji, J., &amp; Taylor, M. A. (1982). Prevalence and characteristics of mania in Chinese inpatients: a prospective study. American Journal of Psychiatry, 139, 1150–1153. https://doi.org/10.1176/ajp.139.9.1150</w:t>
      </w:r>
    </w:p>
    <w:p w14:paraId="12C90C2A" w14:textId="77777777" w:rsidR="007075D9" w:rsidRPr="004D46AC" w:rsidRDefault="007075D9" w:rsidP="00D41749">
      <w:pPr>
        <w:spacing w:line="240" w:lineRule="auto"/>
        <w:ind w:firstLine="0"/>
        <w:rPr>
          <w:rFonts w:eastAsiaTheme="minorEastAsia"/>
        </w:rPr>
      </w:pPr>
    </w:p>
    <w:p w14:paraId="183E2AEA" w14:textId="77777777" w:rsidR="009864DB" w:rsidRPr="004D46AC" w:rsidRDefault="009864DB" w:rsidP="00D41749">
      <w:pPr>
        <w:spacing w:line="240" w:lineRule="auto"/>
        <w:ind w:firstLine="0"/>
        <w:rPr>
          <w:rFonts w:eastAsiaTheme="minorEastAsia"/>
        </w:rPr>
      </w:pPr>
    </w:p>
    <w:p w14:paraId="573A2B05" w14:textId="77777777" w:rsidR="009864DB" w:rsidRPr="004D46AC" w:rsidRDefault="009864DB" w:rsidP="00D41749">
      <w:pPr>
        <w:spacing w:line="240" w:lineRule="auto"/>
        <w:ind w:firstLine="0"/>
        <w:rPr>
          <w:rFonts w:eastAsiaTheme="minorEastAsia"/>
        </w:rPr>
      </w:pPr>
    </w:p>
    <w:p w14:paraId="76D2BB3A" w14:textId="77777777" w:rsidR="009864DB" w:rsidRPr="004D46AC" w:rsidRDefault="009864DB" w:rsidP="00D41749">
      <w:pPr>
        <w:spacing w:line="240" w:lineRule="auto"/>
        <w:ind w:firstLine="0"/>
        <w:rPr>
          <w:rFonts w:eastAsiaTheme="minorEastAsia"/>
        </w:rPr>
      </w:pPr>
    </w:p>
    <w:p w14:paraId="0D527FBC" w14:textId="77777777" w:rsidR="009864DB" w:rsidRPr="004D46AC" w:rsidRDefault="009864DB" w:rsidP="00D41749">
      <w:pPr>
        <w:spacing w:line="240" w:lineRule="auto"/>
        <w:ind w:firstLine="0"/>
        <w:rPr>
          <w:rFonts w:eastAsiaTheme="minorEastAsia"/>
        </w:rPr>
      </w:pPr>
    </w:p>
    <w:p w14:paraId="28305CE8" w14:textId="77777777" w:rsidR="009864DB" w:rsidRPr="004D46AC" w:rsidRDefault="009864DB" w:rsidP="00D41749">
      <w:pPr>
        <w:spacing w:line="240" w:lineRule="auto"/>
        <w:ind w:firstLine="0"/>
        <w:rPr>
          <w:rFonts w:eastAsiaTheme="minorEastAsia"/>
        </w:rPr>
      </w:pPr>
    </w:p>
    <w:p w14:paraId="6F382127" w14:textId="77777777" w:rsidR="009864DB" w:rsidRPr="004D46AC" w:rsidRDefault="009864DB" w:rsidP="00D41749">
      <w:pPr>
        <w:spacing w:line="240" w:lineRule="auto"/>
        <w:ind w:firstLine="0"/>
        <w:rPr>
          <w:rFonts w:eastAsiaTheme="minorEastAsia"/>
        </w:rPr>
      </w:pPr>
    </w:p>
    <w:p w14:paraId="1BFA374C" w14:textId="77777777" w:rsidR="009864DB" w:rsidRPr="004D46AC" w:rsidRDefault="009864DB" w:rsidP="00D41749">
      <w:pPr>
        <w:spacing w:line="240" w:lineRule="auto"/>
        <w:ind w:firstLine="0"/>
        <w:rPr>
          <w:rFonts w:eastAsiaTheme="minorEastAsia"/>
        </w:rPr>
      </w:pPr>
    </w:p>
    <w:p w14:paraId="446CA395" w14:textId="77777777" w:rsidR="009864DB" w:rsidRPr="004D46AC" w:rsidRDefault="009864DB" w:rsidP="00D41749">
      <w:pPr>
        <w:spacing w:line="240" w:lineRule="auto"/>
        <w:ind w:firstLine="0"/>
        <w:rPr>
          <w:rFonts w:eastAsiaTheme="minorEastAsia"/>
        </w:rPr>
      </w:pPr>
    </w:p>
    <w:p w14:paraId="3A642E9A" w14:textId="77777777" w:rsidR="009864DB" w:rsidRPr="004D46AC" w:rsidRDefault="009864DB" w:rsidP="00D41749">
      <w:pPr>
        <w:spacing w:line="240" w:lineRule="auto"/>
        <w:ind w:firstLine="0"/>
        <w:rPr>
          <w:rFonts w:eastAsiaTheme="minorEastAsia"/>
        </w:rPr>
      </w:pPr>
    </w:p>
    <w:p w14:paraId="6D23C644" w14:textId="77777777" w:rsidR="009864DB" w:rsidRPr="004D46AC" w:rsidRDefault="009864DB" w:rsidP="00D41749">
      <w:pPr>
        <w:spacing w:line="240" w:lineRule="auto"/>
        <w:ind w:firstLine="0"/>
        <w:rPr>
          <w:rFonts w:eastAsiaTheme="minorEastAsia"/>
        </w:rPr>
      </w:pPr>
    </w:p>
    <w:p w14:paraId="36E3E8C2" w14:textId="77777777" w:rsidR="009864DB" w:rsidRPr="004D46AC" w:rsidRDefault="009864DB" w:rsidP="00D41749">
      <w:pPr>
        <w:spacing w:line="240" w:lineRule="auto"/>
        <w:ind w:firstLine="0"/>
        <w:rPr>
          <w:rFonts w:eastAsiaTheme="minorEastAsia"/>
        </w:rPr>
      </w:pPr>
    </w:p>
    <w:p w14:paraId="236A120F" w14:textId="77777777" w:rsidR="009864DB" w:rsidRPr="004D46AC" w:rsidRDefault="009864DB" w:rsidP="00D41749">
      <w:pPr>
        <w:spacing w:line="240" w:lineRule="auto"/>
        <w:ind w:firstLine="0"/>
        <w:rPr>
          <w:rFonts w:eastAsiaTheme="minorEastAsia"/>
        </w:rPr>
      </w:pPr>
    </w:p>
    <w:p w14:paraId="3741120D" w14:textId="77777777" w:rsidR="009864DB" w:rsidRPr="004D46AC" w:rsidRDefault="009864DB" w:rsidP="00D41749">
      <w:pPr>
        <w:spacing w:line="240" w:lineRule="auto"/>
        <w:ind w:firstLine="0"/>
        <w:rPr>
          <w:rFonts w:eastAsiaTheme="minorEastAsia"/>
        </w:rPr>
      </w:pPr>
    </w:p>
    <w:p w14:paraId="786E6F0C" w14:textId="77777777" w:rsidR="009864DB" w:rsidRPr="004D46AC" w:rsidRDefault="009864DB" w:rsidP="00D41749">
      <w:pPr>
        <w:spacing w:line="240" w:lineRule="auto"/>
        <w:ind w:firstLine="0"/>
        <w:rPr>
          <w:rFonts w:eastAsiaTheme="minorEastAsia"/>
        </w:rPr>
      </w:pPr>
    </w:p>
    <w:p w14:paraId="081118E5" w14:textId="77777777" w:rsidR="009864DB" w:rsidRPr="004D46AC" w:rsidRDefault="009864DB" w:rsidP="00D41749">
      <w:pPr>
        <w:spacing w:line="240" w:lineRule="auto"/>
        <w:ind w:firstLine="0"/>
        <w:rPr>
          <w:rFonts w:eastAsiaTheme="minorEastAsia"/>
        </w:rPr>
      </w:pPr>
    </w:p>
    <w:p w14:paraId="531ED079" w14:textId="77777777" w:rsidR="009864DB" w:rsidRPr="004D46AC" w:rsidRDefault="009864DB" w:rsidP="00D41749">
      <w:pPr>
        <w:spacing w:line="240" w:lineRule="auto"/>
        <w:ind w:firstLine="0"/>
        <w:rPr>
          <w:rFonts w:eastAsiaTheme="minorEastAsia"/>
        </w:rPr>
      </w:pPr>
    </w:p>
    <w:p w14:paraId="40FFC7D3" w14:textId="77777777" w:rsidR="009864DB" w:rsidRPr="004D46AC" w:rsidRDefault="009864DB" w:rsidP="00D41749">
      <w:pPr>
        <w:spacing w:line="240" w:lineRule="auto"/>
        <w:ind w:firstLine="0"/>
        <w:rPr>
          <w:rFonts w:eastAsiaTheme="minorEastAsia"/>
        </w:rPr>
      </w:pPr>
    </w:p>
    <w:p w14:paraId="6CDB1EAD" w14:textId="77777777" w:rsidR="009864DB" w:rsidRPr="004D46AC" w:rsidRDefault="009864DB" w:rsidP="00D41749">
      <w:pPr>
        <w:spacing w:line="240" w:lineRule="auto"/>
        <w:ind w:firstLine="0"/>
        <w:rPr>
          <w:rFonts w:eastAsiaTheme="minorEastAsia"/>
        </w:rPr>
      </w:pPr>
    </w:p>
    <w:p w14:paraId="5A0AFF83" w14:textId="77777777" w:rsidR="009864DB" w:rsidRPr="004D46AC" w:rsidRDefault="009864DB" w:rsidP="00D41749">
      <w:pPr>
        <w:spacing w:line="240" w:lineRule="auto"/>
        <w:ind w:firstLine="0"/>
        <w:rPr>
          <w:rFonts w:eastAsiaTheme="minorEastAsia"/>
        </w:rPr>
      </w:pPr>
    </w:p>
    <w:p w14:paraId="5BAC4123" w14:textId="77777777" w:rsidR="009864DB" w:rsidRPr="004D46AC" w:rsidRDefault="009864DB" w:rsidP="00D41749">
      <w:pPr>
        <w:spacing w:line="240" w:lineRule="auto"/>
        <w:ind w:firstLine="0"/>
        <w:rPr>
          <w:rFonts w:eastAsiaTheme="minorEastAsia"/>
        </w:rPr>
      </w:pPr>
    </w:p>
    <w:p w14:paraId="491E709D" w14:textId="77777777" w:rsidR="009864DB" w:rsidRPr="004D46AC" w:rsidRDefault="009864DB" w:rsidP="00D41749">
      <w:pPr>
        <w:spacing w:line="240" w:lineRule="auto"/>
        <w:ind w:firstLine="0"/>
        <w:rPr>
          <w:rFonts w:eastAsiaTheme="minorEastAsia"/>
        </w:rPr>
      </w:pPr>
    </w:p>
    <w:p w14:paraId="518598AA" w14:textId="77777777" w:rsidR="009864DB" w:rsidRPr="004D46AC" w:rsidRDefault="009864DB" w:rsidP="00D41749">
      <w:pPr>
        <w:spacing w:line="240" w:lineRule="auto"/>
        <w:ind w:firstLine="0"/>
        <w:rPr>
          <w:rFonts w:eastAsiaTheme="minorEastAsia"/>
        </w:rPr>
      </w:pPr>
    </w:p>
    <w:p w14:paraId="33EB7957" w14:textId="77777777" w:rsidR="009864DB" w:rsidRPr="004D46AC" w:rsidRDefault="009864DB" w:rsidP="00D41749">
      <w:pPr>
        <w:spacing w:line="240" w:lineRule="auto"/>
        <w:ind w:firstLine="0"/>
        <w:rPr>
          <w:rFonts w:eastAsiaTheme="minorEastAsia"/>
        </w:rPr>
      </w:pPr>
    </w:p>
    <w:p w14:paraId="2DE4654C" w14:textId="77777777" w:rsidR="009864DB" w:rsidRPr="004D46AC" w:rsidRDefault="009864DB" w:rsidP="00D41749">
      <w:pPr>
        <w:spacing w:line="240" w:lineRule="auto"/>
        <w:ind w:firstLine="0"/>
        <w:rPr>
          <w:rFonts w:eastAsiaTheme="minorEastAsia"/>
        </w:rPr>
      </w:pPr>
    </w:p>
    <w:p w14:paraId="08F93BD7" w14:textId="77777777" w:rsidR="009864DB" w:rsidRPr="004D46AC" w:rsidRDefault="009864DB" w:rsidP="00D41749">
      <w:pPr>
        <w:spacing w:line="240" w:lineRule="auto"/>
        <w:ind w:firstLine="0"/>
        <w:rPr>
          <w:rFonts w:eastAsiaTheme="minorEastAsia"/>
        </w:rPr>
      </w:pPr>
    </w:p>
    <w:p w14:paraId="35922371" w14:textId="77777777" w:rsidR="009864DB" w:rsidRPr="004D46AC" w:rsidRDefault="009864DB" w:rsidP="00D41749">
      <w:pPr>
        <w:spacing w:line="240" w:lineRule="auto"/>
        <w:ind w:firstLine="0"/>
        <w:rPr>
          <w:rFonts w:eastAsiaTheme="minorEastAsia"/>
        </w:rPr>
      </w:pPr>
    </w:p>
    <w:p w14:paraId="6F4B3642" w14:textId="77777777" w:rsidR="009864DB" w:rsidRPr="004D46AC" w:rsidRDefault="009864DB" w:rsidP="00D41749">
      <w:pPr>
        <w:spacing w:line="240" w:lineRule="auto"/>
        <w:ind w:firstLine="0"/>
        <w:rPr>
          <w:rFonts w:eastAsiaTheme="minorEastAsia"/>
        </w:rPr>
      </w:pPr>
    </w:p>
    <w:p w14:paraId="0A8CB772" w14:textId="77777777" w:rsidR="009864DB" w:rsidRPr="004D46AC" w:rsidRDefault="009864DB" w:rsidP="00D41749">
      <w:pPr>
        <w:spacing w:line="240" w:lineRule="auto"/>
        <w:ind w:firstLine="0"/>
        <w:rPr>
          <w:rFonts w:eastAsiaTheme="minorEastAsia"/>
        </w:rPr>
      </w:pPr>
    </w:p>
    <w:p w14:paraId="151C3571" w14:textId="77777777" w:rsidR="009864DB" w:rsidRPr="004D46AC" w:rsidRDefault="009864DB" w:rsidP="00D41749">
      <w:pPr>
        <w:spacing w:line="240" w:lineRule="auto"/>
        <w:ind w:firstLine="0"/>
        <w:rPr>
          <w:rFonts w:eastAsiaTheme="minorEastAsia"/>
        </w:rPr>
      </w:pPr>
    </w:p>
    <w:p w14:paraId="4FA9FC03" w14:textId="77777777" w:rsidR="009864DB" w:rsidRPr="004D46AC" w:rsidRDefault="009864DB" w:rsidP="00D41749">
      <w:pPr>
        <w:spacing w:line="240" w:lineRule="auto"/>
        <w:ind w:firstLine="0"/>
        <w:rPr>
          <w:rFonts w:eastAsiaTheme="minorEastAsia"/>
        </w:rPr>
      </w:pPr>
    </w:p>
    <w:p w14:paraId="77E1335B" w14:textId="77777777" w:rsidR="009864DB" w:rsidRPr="004D46AC" w:rsidRDefault="009864DB" w:rsidP="00D41749">
      <w:pPr>
        <w:spacing w:line="240" w:lineRule="auto"/>
        <w:ind w:firstLine="0"/>
        <w:rPr>
          <w:rFonts w:eastAsiaTheme="minorEastAsia"/>
        </w:rPr>
      </w:pPr>
    </w:p>
    <w:p w14:paraId="53A8498A" w14:textId="77777777" w:rsidR="009864DB" w:rsidRPr="004D46AC" w:rsidRDefault="009864DB" w:rsidP="00D41749">
      <w:pPr>
        <w:spacing w:line="240" w:lineRule="auto"/>
        <w:ind w:firstLine="0"/>
        <w:rPr>
          <w:rFonts w:eastAsiaTheme="minorEastAsia"/>
        </w:rPr>
      </w:pPr>
    </w:p>
    <w:p w14:paraId="55F48CAB" w14:textId="34346C99" w:rsidR="009864DB" w:rsidRPr="004D46AC" w:rsidRDefault="009864DB" w:rsidP="009864DB">
      <w:pPr>
        <w:pStyle w:val="afff0"/>
        <w:ind w:firstLine="0"/>
        <w:rPr>
          <w:rFonts w:eastAsiaTheme="minorEastAsia"/>
          <w:b/>
          <w:bCs/>
          <w:i w:val="0"/>
          <w:iCs w:val="0"/>
        </w:rPr>
      </w:pPr>
      <w:bookmarkStart w:id="318" w:name="_Toc225271033"/>
      <w:r w:rsidRPr="004D46AC">
        <w:rPr>
          <w:b/>
          <w:bCs/>
          <w:i w:val="0"/>
          <w:iCs w:val="0"/>
        </w:rPr>
        <w:lastRenderedPageBreak/>
        <w:t xml:space="preserve">Table B </w:t>
      </w:r>
      <w:r w:rsidRPr="004D46AC">
        <w:rPr>
          <w:b/>
          <w:bCs/>
          <w:i w:val="0"/>
          <w:iCs w:val="0"/>
        </w:rPr>
        <w:fldChar w:fldCharType="begin"/>
      </w:r>
      <w:r w:rsidRPr="004D46AC">
        <w:rPr>
          <w:b/>
          <w:bCs/>
          <w:i w:val="0"/>
          <w:iCs w:val="0"/>
        </w:rPr>
        <w:instrText xml:space="preserve"> SEQ Table_B \* ARABIC </w:instrText>
      </w:r>
      <w:r w:rsidRPr="004D46AC">
        <w:rPr>
          <w:b/>
          <w:bCs/>
          <w:i w:val="0"/>
          <w:iCs w:val="0"/>
        </w:rPr>
        <w:fldChar w:fldCharType="separate"/>
      </w:r>
      <w:r w:rsidRPr="004D46AC">
        <w:rPr>
          <w:b/>
          <w:bCs/>
          <w:i w:val="0"/>
          <w:iCs w:val="0"/>
          <w:noProof/>
        </w:rPr>
        <w:t>11</w:t>
      </w:r>
      <w:bookmarkEnd w:id="318"/>
      <w:r w:rsidRPr="004D46AC">
        <w:rPr>
          <w:b/>
          <w:bCs/>
          <w:i w:val="0"/>
          <w:iCs w:val="0"/>
        </w:rPr>
        <w:fldChar w:fldCharType="end"/>
      </w:r>
    </w:p>
    <w:p w14:paraId="2E50AD92" w14:textId="77777777" w:rsidR="009864DB" w:rsidRPr="004D46AC" w:rsidRDefault="009864DB" w:rsidP="009864DB">
      <w:pPr>
        <w:spacing w:line="240" w:lineRule="auto"/>
        <w:ind w:firstLine="0"/>
        <w:rPr>
          <w:i/>
          <w:iCs/>
        </w:rPr>
      </w:pPr>
      <w:r w:rsidRPr="004D46AC">
        <w:rPr>
          <w:i/>
          <w:iCs/>
        </w:rPr>
        <w:t>Include studies in the synthesis of cooccurring hallucinations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680"/>
        <w:gridCol w:w="691"/>
        <w:gridCol w:w="997"/>
        <w:gridCol w:w="1250"/>
        <w:gridCol w:w="744"/>
        <w:gridCol w:w="839"/>
        <w:gridCol w:w="480"/>
        <w:gridCol w:w="448"/>
        <w:gridCol w:w="892"/>
        <w:gridCol w:w="639"/>
      </w:tblGrid>
      <w:tr w:rsidR="009864DB" w:rsidRPr="004D46AC" w14:paraId="54339853" w14:textId="77777777" w:rsidTr="00B518F1">
        <w:tc>
          <w:tcPr>
            <w:tcW w:w="1908" w:type="dxa"/>
          </w:tcPr>
          <w:p w14:paraId="681F8A5C" w14:textId="77777777" w:rsidR="009864DB" w:rsidRPr="004D46AC" w:rsidRDefault="009864DB" w:rsidP="009864DB">
            <w:pPr>
              <w:spacing w:line="240" w:lineRule="auto"/>
              <w:ind w:firstLine="0"/>
              <w:rPr>
                <w:i/>
                <w:iCs/>
              </w:rPr>
            </w:pPr>
            <w:r w:rsidRPr="004D46AC">
              <w:t xml:space="preserve">Study </w:t>
            </w:r>
          </w:p>
        </w:tc>
        <w:tc>
          <w:tcPr>
            <w:tcW w:w="1198" w:type="dxa"/>
          </w:tcPr>
          <w:p w14:paraId="1D0BE0D6" w14:textId="77777777" w:rsidR="009864DB" w:rsidRPr="004D46AC" w:rsidRDefault="009864DB" w:rsidP="009864DB">
            <w:pPr>
              <w:spacing w:line="240" w:lineRule="auto"/>
              <w:ind w:firstLine="0"/>
              <w:rPr>
                <w:i/>
                <w:iCs/>
              </w:rPr>
            </w:pPr>
            <w:r w:rsidRPr="004D46AC">
              <w:t>JBI score</w:t>
            </w:r>
          </w:p>
        </w:tc>
        <w:tc>
          <w:tcPr>
            <w:tcW w:w="1178" w:type="dxa"/>
          </w:tcPr>
          <w:p w14:paraId="6BBD3D6B" w14:textId="77777777" w:rsidR="009864DB" w:rsidRPr="004D46AC" w:rsidRDefault="009864DB" w:rsidP="009864DB">
            <w:pPr>
              <w:spacing w:line="240" w:lineRule="auto"/>
              <w:ind w:firstLine="0"/>
              <w:rPr>
                <w:i/>
                <w:iCs/>
              </w:rPr>
            </w:pPr>
            <w:r w:rsidRPr="004D46AC">
              <w:t>Age</w:t>
            </w:r>
          </w:p>
        </w:tc>
        <w:tc>
          <w:tcPr>
            <w:tcW w:w="1221" w:type="dxa"/>
          </w:tcPr>
          <w:p w14:paraId="55EA1D3E" w14:textId="77777777" w:rsidR="009864DB" w:rsidRPr="004D46AC" w:rsidRDefault="009864DB" w:rsidP="009864DB">
            <w:pPr>
              <w:spacing w:line="240" w:lineRule="auto"/>
              <w:ind w:firstLine="0"/>
              <w:rPr>
                <w:i/>
                <w:iCs/>
              </w:rPr>
            </w:pPr>
            <w:r w:rsidRPr="004D46AC">
              <w:t>Criteria</w:t>
            </w:r>
          </w:p>
        </w:tc>
        <w:tc>
          <w:tcPr>
            <w:tcW w:w="1415" w:type="dxa"/>
          </w:tcPr>
          <w:p w14:paraId="1170B89B" w14:textId="77777777" w:rsidR="009864DB" w:rsidRPr="004D46AC" w:rsidRDefault="009864DB" w:rsidP="009864DB">
            <w:pPr>
              <w:spacing w:line="240" w:lineRule="auto"/>
              <w:ind w:firstLine="0"/>
              <w:rPr>
                <w:i/>
                <w:iCs/>
              </w:rPr>
            </w:pPr>
            <w:r w:rsidRPr="004D46AC">
              <w:t>Assessment</w:t>
            </w:r>
          </w:p>
        </w:tc>
        <w:tc>
          <w:tcPr>
            <w:tcW w:w="1147" w:type="dxa"/>
          </w:tcPr>
          <w:p w14:paraId="2C66C70F" w14:textId="77777777" w:rsidR="009864DB" w:rsidRPr="004D46AC" w:rsidRDefault="009864DB" w:rsidP="009864DB">
            <w:pPr>
              <w:spacing w:line="240" w:lineRule="auto"/>
              <w:ind w:firstLine="0"/>
              <w:rPr>
                <w:i/>
                <w:iCs/>
              </w:rPr>
            </w:pPr>
            <w:r w:rsidRPr="004D46AC">
              <w:t>N</w:t>
            </w:r>
          </w:p>
        </w:tc>
        <w:tc>
          <w:tcPr>
            <w:tcW w:w="1178" w:type="dxa"/>
          </w:tcPr>
          <w:p w14:paraId="7DEF5F7D" w14:textId="77777777" w:rsidR="009864DB" w:rsidRPr="004D46AC" w:rsidRDefault="009864DB" w:rsidP="009864DB">
            <w:pPr>
              <w:spacing w:line="240" w:lineRule="auto"/>
              <w:ind w:firstLine="0"/>
              <w:rPr>
                <w:i/>
                <w:iCs/>
              </w:rPr>
            </w:pPr>
            <w:r w:rsidRPr="004D46AC">
              <w:t>Pop</w:t>
            </w:r>
          </w:p>
        </w:tc>
        <w:tc>
          <w:tcPr>
            <w:tcW w:w="1167" w:type="dxa"/>
          </w:tcPr>
          <w:p w14:paraId="632F44D4" w14:textId="77777777" w:rsidR="009864DB" w:rsidRPr="004D46AC" w:rsidRDefault="009864DB" w:rsidP="009864DB">
            <w:pPr>
              <w:spacing w:line="240" w:lineRule="auto"/>
              <w:ind w:firstLine="0"/>
            </w:pPr>
            <w:r w:rsidRPr="004D46AC">
              <w:t>BD</w:t>
            </w:r>
          </w:p>
          <w:p w14:paraId="27707420" w14:textId="77777777" w:rsidR="009864DB" w:rsidRPr="004D46AC" w:rsidRDefault="009864DB" w:rsidP="009864DB">
            <w:pPr>
              <w:spacing w:line="240" w:lineRule="auto"/>
              <w:ind w:firstLine="0"/>
              <w:rPr>
                <w:i/>
                <w:iCs/>
              </w:rPr>
            </w:pPr>
          </w:p>
        </w:tc>
        <w:tc>
          <w:tcPr>
            <w:tcW w:w="1162" w:type="dxa"/>
          </w:tcPr>
          <w:p w14:paraId="2023B3D0" w14:textId="77777777" w:rsidR="009864DB" w:rsidRPr="004D46AC" w:rsidRDefault="009864DB" w:rsidP="009864DB">
            <w:pPr>
              <w:spacing w:line="240" w:lineRule="auto"/>
              <w:ind w:firstLine="0"/>
              <w:rPr>
                <w:i/>
                <w:iCs/>
              </w:rPr>
            </w:pPr>
            <w:r w:rsidRPr="004D46AC">
              <w:t>TF</w:t>
            </w:r>
          </w:p>
        </w:tc>
        <w:tc>
          <w:tcPr>
            <w:tcW w:w="1211" w:type="dxa"/>
          </w:tcPr>
          <w:p w14:paraId="14B5F148" w14:textId="77777777" w:rsidR="009864DB" w:rsidRPr="004D46AC" w:rsidRDefault="009864DB" w:rsidP="009864DB">
            <w:pPr>
              <w:spacing w:line="240" w:lineRule="auto"/>
              <w:ind w:firstLine="0"/>
              <w:rPr>
                <w:i/>
                <w:iCs/>
              </w:rPr>
            </w:pPr>
            <w:proofErr w:type="spellStart"/>
            <w:r w:rsidRPr="004D46AC">
              <w:t>CoTyp</w:t>
            </w:r>
            <w:proofErr w:type="spellEnd"/>
          </w:p>
        </w:tc>
        <w:tc>
          <w:tcPr>
            <w:tcW w:w="1163" w:type="dxa"/>
          </w:tcPr>
          <w:p w14:paraId="22F60BE8" w14:textId="77777777" w:rsidR="009864DB" w:rsidRPr="004D46AC" w:rsidRDefault="009864DB" w:rsidP="009864DB">
            <w:pPr>
              <w:spacing w:line="240" w:lineRule="auto"/>
              <w:ind w:firstLine="0"/>
              <w:rPr>
                <w:i/>
                <w:iCs/>
              </w:rPr>
            </w:pPr>
            <w:r w:rsidRPr="004D46AC">
              <w:t>Co (n)</w:t>
            </w:r>
          </w:p>
        </w:tc>
      </w:tr>
      <w:tr w:rsidR="009864DB" w:rsidRPr="004D46AC" w14:paraId="447E210F" w14:textId="77777777" w:rsidTr="00B518F1">
        <w:tc>
          <w:tcPr>
            <w:tcW w:w="1908" w:type="dxa"/>
          </w:tcPr>
          <w:p w14:paraId="5A678836"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PEVuZE5vdGU+PENpdGUgQXV0aG9yWWVhcj0iMSI+PEF1dGhvcj5Bc2FhZDwvQXV0aG9yPjxZZWFy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rPr>
                <w:i/>
                <w:iCs/>
              </w:rPr>
              <w:instrText xml:space="preserve"> ADDIN EN.CITE </w:instrText>
            </w:r>
            <w:r w:rsidRPr="004D46AC">
              <w:rPr>
                <w:i/>
                <w:iCs/>
              </w:rPr>
              <w:fldChar w:fldCharType="begin">
                <w:fldData xml:space="preserve">PEVuZE5vdGU+PENpdGUgQXV0aG9yWWVhcj0iMSI+PEF1dGhvcj5Bc2FhZDwvQXV0aG9yPjxZZWFy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Asaad et al. (2014)</w:t>
            </w:r>
            <w:r w:rsidRPr="004D46AC">
              <w:fldChar w:fldCharType="end"/>
            </w:r>
          </w:p>
        </w:tc>
        <w:tc>
          <w:tcPr>
            <w:tcW w:w="1198" w:type="dxa"/>
            <w:vAlign w:val="center"/>
          </w:tcPr>
          <w:p w14:paraId="50E15436" w14:textId="77777777" w:rsidR="009864DB" w:rsidRPr="004D46AC" w:rsidRDefault="009864DB" w:rsidP="009864DB">
            <w:pPr>
              <w:spacing w:line="240" w:lineRule="auto"/>
              <w:ind w:firstLine="0"/>
              <w:rPr>
                <w:i/>
                <w:iCs/>
              </w:rPr>
            </w:pPr>
            <w:r w:rsidRPr="004D46AC">
              <w:t>7</w:t>
            </w:r>
          </w:p>
        </w:tc>
        <w:tc>
          <w:tcPr>
            <w:tcW w:w="1178" w:type="dxa"/>
            <w:vAlign w:val="center"/>
          </w:tcPr>
          <w:p w14:paraId="6F68783A" w14:textId="77777777" w:rsidR="009864DB" w:rsidRPr="004D46AC" w:rsidRDefault="009864DB" w:rsidP="009864DB">
            <w:pPr>
              <w:spacing w:line="240" w:lineRule="auto"/>
              <w:ind w:firstLine="0"/>
              <w:rPr>
                <w:i/>
                <w:iCs/>
              </w:rPr>
            </w:pPr>
            <w:r w:rsidRPr="004D46AC">
              <w:t>34.65</w:t>
            </w:r>
          </w:p>
        </w:tc>
        <w:tc>
          <w:tcPr>
            <w:tcW w:w="1221" w:type="dxa"/>
            <w:vAlign w:val="center"/>
          </w:tcPr>
          <w:p w14:paraId="15D93665" w14:textId="77777777" w:rsidR="009864DB" w:rsidRPr="004D46AC" w:rsidRDefault="009864DB" w:rsidP="009864DB">
            <w:pPr>
              <w:spacing w:line="240" w:lineRule="auto"/>
              <w:ind w:firstLine="0"/>
              <w:rPr>
                <w:i/>
                <w:iCs/>
              </w:rPr>
            </w:pPr>
            <w:r w:rsidRPr="004D46AC">
              <w:t>DSM4</w:t>
            </w:r>
          </w:p>
        </w:tc>
        <w:tc>
          <w:tcPr>
            <w:tcW w:w="1415" w:type="dxa"/>
            <w:vAlign w:val="center"/>
          </w:tcPr>
          <w:p w14:paraId="490874C4" w14:textId="77777777" w:rsidR="009864DB" w:rsidRPr="004D46AC" w:rsidRDefault="009864DB" w:rsidP="009864DB">
            <w:pPr>
              <w:spacing w:line="240" w:lineRule="auto"/>
              <w:ind w:firstLine="0"/>
              <w:rPr>
                <w:i/>
                <w:iCs/>
              </w:rPr>
            </w:pPr>
            <w:r w:rsidRPr="004D46AC">
              <w:t>SCID</w:t>
            </w:r>
          </w:p>
        </w:tc>
        <w:tc>
          <w:tcPr>
            <w:tcW w:w="1147" w:type="dxa"/>
            <w:vAlign w:val="center"/>
          </w:tcPr>
          <w:p w14:paraId="64746642" w14:textId="77777777" w:rsidR="009864DB" w:rsidRPr="004D46AC" w:rsidRDefault="009864DB" w:rsidP="009864DB">
            <w:pPr>
              <w:spacing w:line="240" w:lineRule="auto"/>
              <w:ind w:firstLine="0"/>
              <w:rPr>
                <w:i/>
                <w:iCs/>
              </w:rPr>
            </w:pPr>
            <w:r w:rsidRPr="004D46AC">
              <w:t>350</w:t>
            </w:r>
          </w:p>
        </w:tc>
        <w:tc>
          <w:tcPr>
            <w:tcW w:w="1178" w:type="dxa"/>
            <w:vAlign w:val="center"/>
          </w:tcPr>
          <w:p w14:paraId="6083D0C2" w14:textId="77777777" w:rsidR="009864DB" w:rsidRPr="004D46AC" w:rsidRDefault="009864DB" w:rsidP="009864DB">
            <w:pPr>
              <w:spacing w:line="240" w:lineRule="auto"/>
              <w:ind w:firstLine="0"/>
              <w:rPr>
                <w:i/>
                <w:iCs/>
              </w:rPr>
            </w:pPr>
            <w:r w:rsidRPr="004D46AC">
              <w:t>unclear</w:t>
            </w:r>
          </w:p>
        </w:tc>
        <w:tc>
          <w:tcPr>
            <w:tcW w:w="1167" w:type="dxa"/>
            <w:vAlign w:val="center"/>
          </w:tcPr>
          <w:p w14:paraId="3BEC9A10" w14:textId="77777777" w:rsidR="009864DB" w:rsidRPr="004D46AC" w:rsidRDefault="009864DB" w:rsidP="009864DB">
            <w:pPr>
              <w:spacing w:line="240" w:lineRule="auto"/>
              <w:ind w:firstLine="0"/>
              <w:rPr>
                <w:i/>
                <w:iCs/>
              </w:rPr>
            </w:pPr>
            <w:r w:rsidRPr="004D46AC">
              <w:t>1</w:t>
            </w:r>
          </w:p>
        </w:tc>
        <w:tc>
          <w:tcPr>
            <w:tcW w:w="1162" w:type="dxa"/>
          </w:tcPr>
          <w:p w14:paraId="7EDF2DC0"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52EB2C10" w14:textId="77777777" w:rsidR="009864DB" w:rsidRPr="004D46AC" w:rsidRDefault="009864DB" w:rsidP="009864DB">
            <w:pPr>
              <w:spacing w:line="240" w:lineRule="auto"/>
              <w:ind w:firstLine="0"/>
              <w:rPr>
                <w:i/>
                <w:iCs/>
              </w:rPr>
            </w:pPr>
            <w:r w:rsidRPr="004D46AC">
              <w:t>auditory</w:t>
            </w:r>
          </w:p>
        </w:tc>
        <w:tc>
          <w:tcPr>
            <w:tcW w:w="1163" w:type="dxa"/>
            <w:vAlign w:val="center"/>
          </w:tcPr>
          <w:p w14:paraId="230651D5" w14:textId="77777777" w:rsidR="009864DB" w:rsidRPr="004D46AC" w:rsidRDefault="009864DB" w:rsidP="009864DB">
            <w:pPr>
              <w:spacing w:line="240" w:lineRule="auto"/>
              <w:ind w:firstLine="0"/>
              <w:rPr>
                <w:i/>
                <w:iCs/>
              </w:rPr>
            </w:pPr>
            <w:r w:rsidRPr="004D46AC">
              <w:t>113</w:t>
            </w:r>
          </w:p>
        </w:tc>
      </w:tr>
      <w:tr w:rsidR="009864DB" w:rsidRPr="004D46AC" w14:paraId="174DB964" w14:textId="77777777" w:rsidTr="00B518F1">
        <w:tc>
          <w:tcPr>
            <w:tcW w:w="1908" w:type="dxa"/>
          </w:tcPr>
          <w:p w14:paraId="35C71DA2"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AuthorYear="1"&gt;&lt;Author&gt;Swann&lt;/Author&gt;&lt;Year&gt;1997&lt;/Year&gt;&lt;RecNum&gt;49&lt;/RecNum&gt;&lt;DisplayText&gt;Swann et al. (1997)&lt;/DisplayText&gt;&lt;record&gt;&lt;rec-number&gt;49&lt;/rec-number&gt;&lt;foreign-keys&gt;&lt;key app="EN" db-id="aet009sstawa0hewvt3xwf5atffdw2dt02sw" timestamp="1665048706"&gt;49&lt;/key&gt;&lt;/foreign-keys&gt;&lt;ref-type name="Journal Article"&gt;17&lt;/ref-type&gt;&lt;contributors&gt;&lt;authors&gt;&lt;author&gt;Swann, A. C.&lt;/author&gt;&lt;author&gt;Bowden, C. L.&lt;/author&gt;&lt;author&gt;Morris, D.&lt;/author&gt;&lt;author&gt;Calabrese, J. R.&lt;/author&gt;&lt;author&gt;Petty, F.&lt;/author&gt;&lt;author&gt;Small, J.&lt;/author&gt;&lt;author&gt;Dilsaver, S. C.&lt;/author&gt;&lt;author&gt;Davis, J. M.&lt;/author&gt;&lt;/authors&gt;&lt;/contributors&gt;&lt;auth-address&gt;Department of Psychiatry, University of Texas Medical School at Houston, USA.&lt;/auth-address&gt;&lt;titles&gt;&lt;title&gt;Depression during mania. Treatment response to lithium or divalproex&lt;/title&gt;&lt;secondary-title&gt;Arch Gen Psychiatry&lt;/secondary-title&gt;&lt;/titles&gt;&lt;periodical&gt;&lt;full-title&gt;Arch Gen Psychiatry&lt;/full-title&gt;&lt;/periodical&gt;&lt;pages&gt;37-42&lt;/pages&gt;&lt;volume&gt;54&lt;/volume&gt;&lt;number&gt;1&lt;/number&gt;&lt;keywords&gt;&lt;keyword&gt;Adult&lt;/keyword&gt;&lt;keyword&gt;Bipolar Disorder/diagnosis/*drug therapy/psychology&lt;/keyword&gt;&lt;keyword&gt;Double-Blind Method&lt;/keyword&gt;&lt;keyword&gt;Female&lt;/keyword&gt;&lt;keyword&gt;Humans&lt;/keyword&gt;&lt;keyword&gt;Lithium/*therapeutic use&lt;/keyword&gt;&lt;keyword&gt;Male&lt;/keyword&gt;&lt;keyword&gt;Patient Dropouts&lt;/keyword&gt;&lt;keyword&gt;Placebos&lt;/keyword&gt;&lt;keyword&gt;Psychiatric Status Rating Scales&lt;/keyword&gt;&lt;keyword&gt;Severity of Illness Index&lt;/keyword&gt;&lt;keyword&gt;Treatment Outcome&lt;/keyword&gt;&lt;keyword&gt;Valproic Acid/*therapeutic use&lt;/keyword&gt;&lt;/keywords&gt;&lt;dates&gt;&lt;year&gt;1997&lt;/year&gt;&lt;pub-dates&gt;&lt;date&gt;Jan&lt;/date&gt;&lt;/pub-dates&gt;&lt;/dates&gt;&lt;isbn&gt;0003-990X (Print)&amp;#xD;0003-990X (Linking)&lt;/isbn&gt;&lt;accession-num&gt;9006398&lt;/accession-num&gt;&lt;urls&gt;&lt;related-urls&gt;&lt;url&gt;https://www.ncbi.nlm.nih.gov/pubmed/9006398&lt;/url&gt;&lt;/related-urls&gt;&lt;/urls&gt;&lt;electronic-resource-num&gt;10.1001/archpsyc.1997.01830130041008&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Swann et al. (1997)</w:t>
            </w:r>
            <w:r w:rsidRPr="004D46AC">
              <w:fldChar w:fldCharType="end"/>
            </w:r>
          </w:p>
        </w:tc>
        <w:tc>
          <w:tcPr>
            <w:tcW w:w="1198" w:type="dxa"/>
            <w:vAlign w:val="center"/>
          </w:tcPr>
          <w:p w14:paraId="32C899E2" w14:textId="77777777" w:rsidR="009864DB" w:rsidRPr="004D46AC" w:rsidRDefault="009864DB" w:rsidP="009864DB">
            <w:pPr>
              <w:spacing w:line="240" w:lineRule="auto"/>
              <w:ind w:firstLine="0"/>
              <w:rPr>
                <w:i/>
                <w:iCs/>
              </w:rPr>
            </w:pPr>
            <w:r w:rsidRPr="004D46AC">
              <w:t>4</w:t>
            </w:r>
          </w:p>
        </w:tc>
        <w:tc>
          <w:tcPr>
            <w:tcW w:w="1178" w:type="dxa"/>
            <w:vAlign w:val="center"/>
          </w:tcPr>
          <w:p w14:paraId="54C43842" w14:textId="77777777" w:rsidR="009864DB" w:rsidRPr="004D46AC" w:rsidRDefault="009864DB" w:rsidP="009864DB">
            <w:pPr>
              <w:spacing w:line="240" w:lineRule="auto"/>
              <w:ind w:firstLine="0"/>
              <w:rPr>
                <w:i/>
                <w:iCs/>
              </w:rPr>
            </w:pPr>
            <w:r w:rsidRPr="004D46AC">
              <w:t>39</w:t>
            </w:r>
          </w:p>
        </w:tc>
        <w:tc>
          <w:tcPr>
            <w:tcW w:w="1221" w:type="dxa"/>
            <w:vAlign w:val="center"/>
          </w:tcPr>
          <w:p w14:paraId="06AF2EEC" w14:textId="77777777" w:rsidR="009864DB" w:rsidRPr="004D46AC" w:rsidRDefault="009864DB" w:rsidP="009864DB">
            <w:pPr>
              <w:spacing w:line="240" w:lineRule="auto"/>
              <w:ind w:firstLine="0"/>
              <w:rPr>
                <w:i/>
                <w:iCs/>
              </w:rPr>
            </w:pPr>
            <w:r w:rsidRPr="004D46AC">
              <w:t>DSM3</w:t>
            </w:r>
          </w:p>
        </w:tc>
        <w:tc>
          <w:tcPr>
            <w:tcW w:w="1415" w:type="dxa"/>
            <w:vAlign w:val="center"/>
          </w:tcPr>
          <w:p w14:paraId="09A7B947" w14:textId="77777777" w:rsidR="009864DB" w:rsidRPr="004D46AC" w:rsidRDefault="009864DB" w:rsidP="009864DB">
            <w:pPr>
              <w:spacing w:line="240" w:lineRule="auto"/>
              <w:ind w:firstLine="0"/>
              <w:rPr>
                <w:i/>
                <w:iCs/>
              </w:rPr>
            </w:pPr>
            <w:r w:rsidRPr="004D46AC">
              <w:t>SADS</w:t>
            </w:r>
          </w:p>
        </w:tc>
        <w:tc>
          <w:tcPr>
            <w:tcW w:w="1147" w:type="dxa"/>
            <w:vAlign w:val="center"/>
          </w:tcPr>
          <w:p w14:paraId="027B8C59" w14:textId="77777777" w:rsidR="009864DB" w:rsidRPr="004D46AC" w:rsidRDefault="009864DB" w:rsidP="009864DB">
            <w:pPr>
              <w:spacing w:line="240" w:lineRule="auto"/>
              <w:ind w:firstLine="0"/>
              <w:rPr>
                <w:i/>
                <w:iCs/>
              </w:rPr>
            </w:pPr>
            <w:r w:rsidRPr="004D46AC">
              <w:t>178</w:t>
            </w:r>
          </w:p>
        </w:tc>
        <w:tc>
          <w:tcPr>
            <w:tcW w:w="1178" w:type="dxa"/>
            <w:vAlign w:val="center"/>
          </w:tcPr>
          <w:p w14:paraId="58C3E49C" w14:textId="77777777" w:rsidR="009864DB" w:rsidRPr="004D46AC" w:rsidRDefault="009864DB" w:rsidP="009864DB">
            <w:pPr>
              <w:spacing w:line="240" w:lineRule="auto"/>
              <w:ind w:firstLine="0"/>
              <w:rPr>
                <w:i/>
                <w:iCs/>
              </w:rPr>
            </w:pPr>
            <w:r w:rsidRPr="004D46AC">
              <w:t>3</w:t>
            </w:r>
          </w:p>
        </w:tc>
        <w:tc>
          <w:tcPr>
            <w:tcW w:w="1167" w:type="dxa"/>
            <w:vAlign w:val="center"/>
          </w:tcPr>
          <w:p w14:paraId="6E2609F1" w14:textId="77777777" w:rsidR="009864DB" w:rsidRPr="004D46AC" w:rsidRDefault="009864DB" w:rsidP="009864DB">
            <w:pPr>
              <w:spacing w:line="240" w:lineRule="auto"/>
              <w:ind w:firstLine="0"/>
              <w:rPr>
                <w:i/>
                <w:iCs/>
              </w:rPr>
            </w:pPr>
            <w:r w:rsidRPr="004D46AC">
              <w:t>2</w:t>
            </w:r>
          </w:p>
        </w:tc>
        <w:tc>
          <w:tcPr>
            <w:tcW w:w="1162" w:type="dxa"/>
          </w:tcPr>
          <w:p w14:paraId="44584827"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09D4E5B3" w14:textId="77777777" w:rsidR="009864DB" w:rsidRPr="004D46AC" w:rsidRDefault="009864DB" w:rsidP="009864DB">
            <w:pPr>
              <w:spacing w:line="240" w:lineRule="auto"/>
              <w:ind w:firstLine="0"/>
              <w:rPr>
                <w:i/>
                <w:iCs/>
              </w:rPr>
            </w:pPr>
            <w:r w:rsidRPr="004D46AC">
              <w:t>any</w:t>
            </w:r>
          </w:p>
        </w:tc>
        <w:tc>
          <w:tcPr>
            <w:tcW w:w="1163" w:type="dxa"/>
            <w:vAlign w:val="center"/>
          </w:tcPr>
          <w:p w14:paraId="477CBC39" w14:textId="77777777" w:rsidR="009864DB" w:rsidRPr="004D46AC" w:rsidRDefault="009864DB" w:rsidP="009864DB">
            <w:pPr>
              <w:spacing w:line="240" w:lineRule="auto"/>
              <w:ind w:firstLine="0"/>
              <w:rPr>
                <w:i/>
                <w:iCs/>
              </w:rPr>
            </w:pPr>
            <w:r w:rsidRPr="004D46AC">
              <w:t>37</w:t>
            </w:r>
          </w:p>
        </w:tc>
      </w:tr>
      <w:tr w:rsidR="009864DB" w:rsidRPr="004D46AC" w14:paraId="16F473FA" w14:textId="77777777" w:rsidTr="00B518F1">
        <w:tc>
          <w:tcPr>
            <w:tcW w:w="1908" w:type="dxa"/>
          </w:tcPr>
          <w:p w14:paraId="1BCDED46"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AuthorYear="1"&gt;&lt;Author&gt;Black&lt;/Author&gt;&lt;Year&gt;1989&lt;/Year&gt;&lt;RecNum&gt;230&lt;/RecNum&gt;&lt;DisplayText&gt;Black and Nasrallah (1989)&lt;/DisplayText&gt;&lt;record&gt;&lt;rec-number&gt;230&lt;/rec-number&gt;&lt;foreign-keys&gt;&lt;key app="EN" db-id="aet009sstawa0hewvt3xwf5atffdw2dt02sw" timestamp="1666176914"&gt;230&lt;/key&gt;&lt;/foreign-keys&gt;&lt;ref-type name="Journal Article"&gt;17&lt;/ref-type&gt;&lt;contributors&gt;&lt;authors&gt;&lt;author&gt;Black, D. W.&lt;/author&gt;&lt;author&gt;Nasrallah, A.&lt;/author&gt;&lt;/authors&gt;&lt;/contributors&gt;&lt;auth-address&gt;Department of Psychiatry, University of Iowa College of Medicine, Iowa City.&lt;/auth-address&gt;&lt;titles&gt;&lt;title&gt;Hallucinations and delusions in 1,715 patients with unipolar and bipolar affective disorders&lt;/title&gt;&lt;secondary-title&gt;Psychopathology&lt;/secondary-title&gt;&lt;/titles&gt;&lt;periodical&gt;&lt;full-title&gt;Psychopathology&lt;/full-title&gt;&lt;/periodical&gt;&lt;pages&gt;28-34&lt;/pages&gt;&lt;volume&gt;22&lt;/volume&gt;&lt;number&gt;1&lt;/number&gt;&lt;keywords&gt;&lt;keyword&gt;Bipolar Disorder/*complications&lt;/keyword&gt;&lt;keyword&gt;Delusions/*complications&lt;/keyword&gt;&lt;keyword&gt;Depressive Disorder/*complications&lt;/keyword&gt;&lt;keyword&gt;Hallucinations/*complications&lt;/keyword&gt;&lt;keyword&gt;Humans&lt;/keyword&gt;&lt;keyword&gt;Retrospective Studies&lt;/keyword&gt;&lt;/keywords&gt;&lt;dates&gt;&lt;year&gt;1989&lt;/year&gt;&lt;/dates&gt;&lt;isbn&gt;0254-4962 (Print)&amp;#xD;0254-4962 (Linking)&lt;/isbn&gt;&lt;accession-num&gt;2657835&lt;/accession-num&gt;&lt;urls&gt;&lt;related-urls&gt;&lt;url&gt;https://www.ncbi.nlm.nih.gov/pubmed/2657835&lt;/url&gt;&lt;/related-urls&gt;&lt;/urls&gt;&lt;electronic-resource-num&gt;10.1159/000284576&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Black and Nasrallah (1989)</w:t>
            </w:r>
            <w:r w:rsidRPr="004D46AC">
              <w:fldChar w:fldCharType="end"/>
            </w:r>
          </w:p>
        </w:tc>
        <w:tc>
          <w:tcPr>
            <w:tcW w:w="1198" w:type="dxa"/>
            <w:vAlign w:val="center"/>
          </w:tcPr>
          <w:p w14:paraId="461455E5" w14:textId="77777777" w:rsidR="009864DB" w:rsidRPr="004D46AC" w:rsidRDefault="009864DB" w:rsidP="009864DB">
            <w:pPr>
              <w:spacing w:line="240" w:lineRule="auto"/>
              <w:ind w:firstLine="0"/>
              <w:rPr>
                <w:i/>
                <w:iCs/>
              </w:rPr>
            </w:pPr>
            <w:r w:rsidRPr="004D46AC">
              <w:t>5</w:t>
            </w:r>
          </w:p>
        </w:tc>
        <w:tc>
          <w:tcPr>
            <w:tcW w:w="1178" w:type="dxa"/>
            <w:vAlign w:val="center"/>
          </w:tcPr>
          <w:p w14:paraId="15300644" w14:textId="77777777" w:rsidR="009864DB" w:rsidRPr="004D46AC" w:rsidRDefault="009864DB" w:rsidP="009864DB">
            <w:pPr>
              <w:spacing w:line="240" w:lineRule="auto"/>
              <w:ind w:firstLine="0"/>
              <w:rPr>
                <w:i/>
                <w:iCs/>
              </w:rPr>
            </w:pPr>
            <w:r w:rsidRPr="004D46AC">
              <w:t>NA</w:t>
            </w:r>
          </w:p>
        </w:tc>
        <w:tc>
          <w:tcPr>
            <w:tcW w:w="1221" w:type="dxa"/>
            <w:vAlign w:val="center"/>
          </w:tcPr>
          <w:p w14:paraId="6E6D0A89" w14:textId="77777777" w:rsidR="009864DB" w:rsidRPr="004D46AC" w:rsidRDefault="009864DB" w:rsidP="009864DB">
            <w:pPr>
              <w:spacing w:line="240" w:lineRule="auto"/>
              <w:ind w:firstLine="0"/>
              <w:rPr>
                <w:i/>
                <w:iCs/>
              </w:rPr>
            </w:pPr>
            <w:r w:rsidRPr="004D46AC">
              <w:t>DSM3</w:t>
            </w:r>
          </w:p>
        </w:tc>
        <w:tc>
          <w:tcPr>
            <w:tcW w:w="1415" w:type="dxa"/>
            <w:vAlign w:val="center"/>
          </w:tcPr>
          <w:p w14:paraId="683A0D92" w14:textId="77777777" w:rsidR="009864DB" w:rsidRPr="004D46AC" w:rsidRDefault="009864DB" w:rsidP="009864DB">
            <w:pPr>
              <w:spacing w:line="240" w:lineRule="auto"/>
              <w:ind w:firstLine="0"/>
              <w:rPr>
                <w:i/>
                <w:iCs/>
              </w:rPr>
            </w:pPr>
            <w:r w:rsidRPr="004D46AC">
              <w:t>unclear</w:t>
            </w:r>
          </w:p>
        </w:tc>
        <w:tc>
          <w:tcPr>
            <w:tcW w:w="1147" w:type="dxa"/>
            <w:vAlign w:val="center"/>
          </w:tcPr>
          <w:p w14:paraId="16279825" w14:textId="77777777" w:rsidR="009864DB" w:rsidRPr="004D46AC" w:rsidRDefault="009864DB" w:rsidP="009864DB">
            <w:pPr>
              <w:spacing w:line="240" w:lineRule="auto"/>
              <w:ind w:firstLine="0"/>
              <w:rPr>
                <w:i/>
                <w:iCs/>
              </w:rPr>
            </w:pPr>
            <w:r w:rsidRPr="004D46AC">
              <w:t>628</w:t>
            </w:r>
          </w:p>
        </w:tc>
        <w:tc>
          <w:tcPr>
            <w:tcW w:w="1178" w:type="dxa"/>
            <w:vAlign w:val="center"/>
          </w:tcPr>
          <w:p w14:paraId="080491D2" w14:textId="77777777" w:rsidR="009864DB" w:rsidRPr="004D46AC" w:rsidRDefault="009864DB" w:rsidP="009864DB">
            <w:pPr>
              <w:spacing w:line="240" w:lineRule="auto"/>
              <w:ind w:firstLine="0"/>
              <w:rPr>
                <w:i/>
                <w:iCs/>
              </w:rPr>
            </w:pPr>
            <w:r w:rsidRPr="004D46AC">
              <w:t>3</w:t>
            </w:r>
          </w:p>
        </w:tc>
        <w:tc>
          <w:tcPr>
            <w:tcW w:w="1167" w:type="dxa"/>
            <w:vAlign w:val="center"/>
          </w:tcPr>
          <w:p w14:paraId="325AD89E" w14:textId="77777777" w:rsidR="009864DB" w:rsidRPr="004D46AC" w:rsidRDefault="009864DB" w:rsidP="009864DB">
            <w:pPr>
              <w:spacing w:line="240" w:lineRule="auto"/>
              <w:ind w:firstLine="0"/>
              <w:rPr>
                <w:i/>
                <w:iCs/>
              </w:rPr>
            </w:pPr>
            <w:r w:rsidRPr="004D46AC">
              <w:t>1</w:t>
            </w:r>
          </w:p>
        </w:tc>
        <w:tc>
          <w:tcPr>
            <w:tcW w:w="1162" w:type="dxa"/>
          </w:tcPr>
          <w:p w14:paraId="6234E922"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2E09EFC" w14:textId="77777777" w:rsidR="009864DB" w:rsidRPr="004D46AC" w:rsidRDefault="009864DB" w:rsidP="009864DB">
            <w:pPr>
              <w:spacing w:line="240" w:lineRule="auto"/>
              <w:ind w:firstLine="0"/>
              <w:rPr>
                <w:i/>
                <w:iCs/>
              </w:rPr>
            </w:pPr>
            <w:r w:rsidRPr="004D46AC">
              <w:t>any</w:t>
            </w:r>
          </w:p>
        </w:tc>
        <w:tc>
          <w:tcPr>
            <w:tcW w:w="1163" w:type="dxa"/>
            <w:vAlign w:val="center"/>
          </w:tcPr>
          <w:p w14:paraId="1E3FF706" w14:textId="77777777" w:rsidR="009864DB" w:rsidRPr="004D46AC" w:rsidRDefault="009864DB" w:rsidP="009864DB">
            <w:pPr>
              <w:spacing w:line="240" w:lineRule="auto"/>
              <w:ind w:firstLine="0"/>
              <w:rPr>
                <w:i/>
                <w:iCs/>
              </w:rPr>
            </w:pPr>
            <w:r w:rsidRPr="004D46AC">
              <w:t>80</w:t>
            </w:r>
          </w:p>
        </w:tc>
      </w:tr>
      <w:tr w:rsidR="009864DB" w:rsidRPr="004D46AC" w14:paraId="04AB6B32" w14:textId="77777777" w:rsidTr="00B518F1">
        <w:tc>
          <w:tcPr>
            <w:tcW w:w="1908" w:type="dxa"/>
          </w:tcPr>
          <w:p w14:paraId="3B120CA5"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i/>
                <w:iCs/>
              </w:rPr>
              <w:instrText xml:space="preserve"> ADDIN EN.CITE </w:instrText>
            </w:r>
            <w:r w:rsidRPr="004D46AC">
              <w:rPr>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Mancuso et al. (2015)</w:t>
            </w:r>
            <w:r w:rsidRPr="004D46AC">
              <w:fldChar w:fldCharType="end"/>
            </w:r>
          </w:p>
        </w:tc>
        <w:tc>
          <w:tcPr>
            <w:tcW w:w="1198" w:type="dxa"/>
            <w:vAlign w:val="center"/>
          </w:tcPr>
          <w:p w14:paraId="3E7BF314" w14:textId="77777777" w:rsidR="009864DB" w:rsidRPr="004D46AC" w:rsidRDefault="009864DB" w:rsidP="009864DB">
            <w:pPr>
              <w:spacing w:line="240" w:lineRule="auto"/>
              <w:ind w:firstLine="0"/>
              <w:rPr>
                <w:i/>
                <w:iCs/>
              </w:rPr>
            </w:pPr>
            <w:r w:rsidRPr="004D46AC">
              <w:t>7</w:t>
            </w:r>
          </w:p>
        </w:tc>
        <w:tc>
          <w:tcPr>
            <w:tcW w:w="1178" w:type="dxa"/>
            <w:vAlign w:val="center"/>
          </w:tcPr>
          <w:p w14:paraId="342917A4" w14:textId="77777777" w:rsidR="009864DB" w:rsidRPr="004D46AC" w:rsidRDefault="009864DB" w:rsidP="009864DB">
            <w:pPr>
              <w:spacing w:line="240" w:lineRule="auto"/>
              <w:ind w:firstLine="0"/>
              <w:rPr>
                <w:i/>
                <w:iCs/>
              </w:rPr>
            </w:pPr>
            <w:r w:rsidRPr="004D46AC">
              <w:t>40.75</w:t>
            </w:r>
          </w:p>
        </w:tc>
        <w:tc>
          <w:tcPr>
            <w:tcW w:w="1221" w:type="dxa"/>
            <w:vAlign w:val="center"/>
          </w:tcPr>
          <w:p w14:paraId="277CAC19" w14:textId="77777777" w:rsidR="009864DB" w:rsidRPr="004D46AC" w:rsidRDefault="009864DB" w:rsidP="009864DB">
            <w:pPr>
              <w:spacing w:line="240" w:lineRule="auto"/>
              <w:ind w:firstLine="0"/>
              <w:rPr>
                <w:i/>
                <w:iCs/>
              </w:rPr>
            </w:pPr>
            <w:r w:rsidRPr="004D46AC">
              <w:t>ICD10</w:t>
            </w:r>
          </w:p>
        </w:tc>
        <w:tc>
          <w:tcPr>
            <w:tcW w:w="1415" w:type="dxa"/>
            <w:vAlign w:val="center"/>
          </w:tcPr>
          <w:p w14:paraId="74E2F36D" w14:textId="77777777" w:rsidR="009864DB" w:rsidRPr="004D46AC" w:rsidRDefault="009864DB" w:rsidP="009864DB">
            <w:pPr>
              <w:spacing w:line="240" w:lineRule="auto"/>
              <w:ind w:firstLine="0"/>
              <w:rPr>
                <w:i/>
                <w:iCs/>
              </w:rPr>
            </w:pPr>
            <w:r w:rsidRPr="004D46AC">
              <w:t>DIP</w:t>
            </w:r>
          </w:p>
        </w:tc>
        <w:tc>
          <w:tcPr>
            <w:tcW w:w="1147" w:type="dxa"/>
            <w:vAlign w:val="center"/>
          </w:tcPr>
          <w:p w14:paraId="41A18D37" w14:textId="77777777" w:rsidR="009864DB" w:rsidRPr="004D46AC" w:rsidRDefault="009864DB" w:rsidP="009864DB">
            <w:pPr>
              <w:spacing w:line="240" w:lineRule="auto"/>
              <w:ind w:firstLine="0"/>
              <w:rPr>
                <w:i/>
                <w:iCs/>
              </w:rPr>
            </w:pPr>
            <w:r w:rsidRPr="004D46AC">
              <w:t>319</w:t>
            </w:r>
          </w:p>
        </w:tc>
        <w:tc>
          <w:tcPr>
            <w:tcW w:w="1178" w:type="dxa"/>
            <w:vAlign w:val="center"/>
          </w:tcPr>
          <w:p w14:paraId="6DB3511E" w14:textId="77777777" w:rsidR="009864DB" w:rsidRPr="004D46AC" w:rsidRDefault="009864DB" w:rsidP="009864DB">
            <w:pPr>
              <w:spacing w:line="240" w:lineRule="auto"/>
              <w:ind w:firstLine="0"/>
              <w:rPr>
                <w:i/>
                <w:iCs/>
              </w:rPr>
            </w:pPr>
            <w:r w:rsidRPr="004D46AC">
              <w:t>unclear</w:t>
            </w:r>
          </w:p>
        </w:tc>
        <w:tc>
          <w:tcPr>
            <w:tcW w:w="1167" w:type="dxa"/>
            <w:vAlign w:val="center"/>
          </w:tcPr>
          <w:p w14:paraId="133BD972" w14:textId="77777777" w:rsidR="009864DB" w:rsidRPr="004D46AC" w:rsidRDefault="009864DB" w:rsidP="009864DB">
            <w:pPr>
              <w:spacing w:line="240" w:lineRule="auto"/>
              <w:ind w:firstLine="0"/>
              <w:rPr>
                <w:i/>
                <w:iCs/>
              </w:rPr>
            </w:pPr>
            <w:r w:rsidRPr="004D46AC">
              <w:t>3</w:t>
            </w:r>
          </w:p>
        </w:tc>
        <w:tc>
          <w:tcPr>
            <w:tcW w:w="1162" w:type="dxa"/>
          </w:tcPr>
          <w:p w14:paraId="7A11B377"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141EE042" w14:textId="77777777" w:rsidR="009864DB" w:rsidRPr="004D46AC" w:rsidRDefault="009864DB" w:rsidP="009864DB">
            <w:pPr>
              <w:spacing w:line="240" w:lineRule="auto"/>
              <w:ind w:firstLine="0"/>
              <w:rPr>
                <w:i/>
                <w:iCs/>
              </w:rPr>
            </w:pPr>
            <w:r w:rsidRPr="004D46AC">
              <w:t>any</w:t>
            </w:r>
          </w:p>
        </w:tc>
        <w:tc>
          <w:tcPr>
            <w:tcW w:w="1163" w:type="dxa"/>
            <w:vAlign w:val="center"/>
          </w:tcPr>
          <w:p w14:paraId="7F8DF98C" w14:textId="77777777" w:rsidR="009864DB" w:rsidRPr="004D46AC" w:rsidRDefault="009864DB" w:rsidP="009864DB">
            <w:pPr>
              <w:spacing w:line="240" w:lineRule="auto"/>
              <w:ind w:firstLine="0"/>
              <w:rPr>
                <w:i/>
                <w:iCs/>
              </w:rPr>
            </w:pPr>
            <w:r w:rsidRPr="004D46AC">
              <w:t>61</w:t>
            </w:r>
          </w:p>
        </w:tc>
      </w:tr>
      <w:tr w:rsidR="009864DB" w:rsidRPr="004D46AC" w14:paraId="023A59F3" w14:textId="77777777" w:rsidTr="00B518F1">
        <w:tc>
          <w:tcPr>
            <w:tcW w:w="1908" w:type="dxa"/>
          </w:tcPr>
          <w:p w14:paraId="3F3C100A"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AuthorYear="1"&gt;&lt;Author&gt;Benazzi&lt;/Author&gt;&lt;Year&gt;1999&lt;/Year&gt;&lt;RecNum&gt;235&lt;/RecNum&gt;&lt;DisplayText&gt;Benazzi (1999)&lt;/DisplayText&gt;&lt;record&gt;&lt;rec-number&gt;235&lt;/rec-number&gt;&lt;foreign-keys&gt;&lt;key app="EN" db-id="aet009sstawa0hewvt3xwf5atffdw2dt02sw" timestamp="1666185083"&gt;235&lt;/key&gt;&lt;/foreign-keys&gt;&lt;ref-type name="Journal Article"&gt;17&lt;/ref-type&gt;&lt;contributors&gt;&lt;authors&gt;&lt;author&gt;Benazzi, F.&lt;/author&gt;&lt;/authors&gt;&lt;/contributors&gt;&lt;auth-address&gt;Department of Psychiatry, Public Hospital Morgagni, Forli, Italy. f.benazzi@fo.nettuno.it&lt;/auth-address&gt;&lt;titles&gt;&lt;title&gt;Bipolar versus unipolar psychotic outpatient depression&lt;/title&gt;&lt;secondary-title&gt;J Affect Disord&lt;/secondary-title&gt;&lt;/titles&gt;&lt;periodical&gt;&lt;full-title&gt;J Affect Disord&lt;/full-title&gt;&lt;/periodical&gt;&lt;pages&gt;63-6&lt;/pages&gt;&lt;volume&gt;55&lt;/volume&gt;&lt;number&gt;1&lt;/number&gt;&lt;keywords&gt;&lt;keyword&gt;Adult&lt;/keyword&gt;&lt;keyword&gt;Affective Disorders, Psychotic/*diagnosis/psychology&lt;/keyword&gt;&lt;keyword&gt;Aged&lt;/keyword&gt;&lt;keyword&gt;Ambulatory Care&lt;/keyword&gt;&lt;keyword&gt;Bipolar Disorder/*diagnosis/psychology&lt;/keyword&gt;&lt;keyword&gt;Chronic Disease&lt;/keyword&gt;&lt;keyword&gt;Depressive Disorder, Major/*diagnosis/psychology&lt;/keyword&gt;&lt;keyword&gt;Diagnosis, Differential&lt;/keyword&gt;&lt;keyword&gt;Female&lt;/keyword&gt;&lt;keyword&gt;Humans&lt;/keyword&gt;&lt;keyword&gt;Male&lt;/keyword&gt;&lt;keyword&gt;Middle Aged&lt;/keyword&gt;&lt;keyword&gt;Psychiatric Status Rating Scales&lt;/keyword&gt;&lt;/keywords&gt;&lt;dates&gt;&lt;year&gt;1999&lt;/year&gt;&lt;pub-dates&gt;&lt;date&gt;Sep&lt;/date&gt;&lt;/pub-dates&gt;&lt;/dates&gt;&lt;isbn&gt;0165-0327 (Print)&amp;#xD;0165-0327 (Linking)&lt;/isbn&gt;&lt;accession-num&gt;10512608&lt;/accession-num&gt;&lt;urls&gt;&lt;related-urls&gt;&lt;url&gt;https://www.ncbi.nlm.nih.gov/pubmed/10512608&lt;/url&gt;&lt;/related-urls&gt;&lt;/urls&gt;&lt;electronic-resource-num&gt;10.1016/s0165-0327(98)00217-1&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Benazzi (1999)</w:t>
            </w:r>
            <w:r w:rsidRPr="004D46AC">
              <w:fldChar w:fldCharType="end"/>
            </w:r>
          </w:p>
        </w:tc>
        <w:tc>
          <w:tcPr>
            <w:tcW w:w="1198" w:type="dxa"/>
            <w:vAlign w:val="center"/>
          </w:tcPr>
          <w:p w14:paraId="7E403648" w14:textId="77777777" w:rsidR="009864DB" w:rsidRPr="004D46AC" w:rsidRDefault="009864DB" w:rsidP="009864DB">
            <w:pPr>
              <w:spacing w:line="240" w:lineRule="auto"/>
              <w:ind w:firstLine="0"/>
              <w:rPr>
                <w:i/>
                <w:iCs/>
              </w:rPr>
            </w:pPr>
            <w:r w:rsidRPr="004D46AC">
              <w:t>7</w:t>
            </w:r>
          </w:p>
        </w:tc>
        <w:tc>
          <w:tcPr>
            <w:tcW w:w="1178" w:type="dxa"/>
            <w:vAlign w:val="center"/>
          </w:tcPr>
          <w:p w14:paraId="006F6285" w14:textId="77777777" w:rsidR="009864DB" w:rsidRPr="004D46AC" w:rsidRDefault="009864DB" w:rsidP="009864DB">
            <w:pPr>
              <w:spacing w:line="240" w:lineRule="auto"/>
              <w:ind w:firstLine="0"/>
              <w:rPr>
                <w:i/>
                <w:iCs/>
              </w:rPr>
            </w:pPr>
            <w:r w:rsidRPr="004D46AC">
              <w:t>48</w:t>
            </w:r>
          </w:p>
        </w:tc>
        <w:tc>
          <w:tcPr>
            <w:tcW w:w="1221" w:type="dxa"/>
            <w:vAlign w:val="center"/>
          </w:tcPr>
          <w:p w14:paraId="4C232D41" w14:textId="77777777" w:rsidR="009864DB" w:rsidRPr="004D46AC" w:rsidRDefault="009864DB" w:rsidP="009864DB">
            <w:pPr>
              <w:spacing w:line="240" w:lineRule="auto"/>
              <w:ind w:firstLine="0"/>
              <w:rPr>
                <w:i/>
                <w:iCs/>
              </w:rPr>
            </w:pPr>
            <w:r w:rsidRPr="004D46AC">
              <w:t>DSM4</w:t>
            </w:r>
          </w:p>
        </w:tc>
        <w:tc>
          <w:tcPr>
            <w:tcW w:w="1415" w:type="dxa"/>
            <w:vAlign w:val="center"/>
          </w:tcPr>
          <w:p w14:paraId="7C8C0581" w14:textId="77777777" w:rsidR="009864DB" w:rsidRPr="004D46AC" w:rsidRDefault="009864DB" w:rsidP="009864DB">
            <w:pPr>
              <w:spacing w:line="240" w:lineRule="auto"/>
              <w:ind w:firstLine="0"/>
              <w:rPr>
                <w:i/>
                <w:iCs/>
              </w:rPr>
            </w:pPr>
            <w:r w:rsidRPr="004D46AC">
              <w:t>SCID-C</w:t>
            </w:r>
          </w:p>
        </w:tc>
        <w:tc>
          <w:tcPr>
            <w:tcW w:w="1147" w:type="dxa"/>
            <w:vAlign w:val="center"/>
          </w:tcPr>
          <w:p w14:paraId="22BC2AF0" w14:textId="77777777" w:rsidR="009864DB" w:rsidRPr="004D46AC" w:rsidRDefault="009864DB" w:rsidP="009864DB">
            <w:pPr>
              <w:spacing w:line="240" w:lineRule="auto"/>
              <w:ind w:firstLine="0"/>
              <w:rPr>
                <w:i/>
                <w:iCs/>
              </w:rPr>
            </w:pPr>
            <w:r w:rsidRPr="004D46AC">
              <w:t>30</w:t>
            </w:r>
          </w:p>
        </w:tc>
        <w:tc>
          <w:tcPr>
            <w:tcW w:w="1178" w:type="dxa"/>
            <w:vAlign w:val="center"/>
          </w:tcPr>
          <w:p w14:paraId="27C80371" w14:textId="77777777" w:rsidR="009864DB" w:rsidRPr="004D46AC" w:rsidRDefault="009864DB" w:rsidP="009864DB">
            <w:pPr>
              <w:spacing w:line="240" w:lineRule="auto"/>
              <w:ind w:firstLine="0"/>
              <w:rPr>
                <w:i/>
                <w:iCs/>
              </w:rPr>
            </w:pPr>
            <w:r w:rsidRPr="004D46AC">
              <w:t>1</w:t>
            </w:r>
          </w:p>
        </w:tc>
        <w:tc>
          <w:tcPr>
            <w:tcW w:w="1167" w:type="dxa"/>
            <w:vAlign w:val="center"/>
          </w:tcPr>
          <w:p w14:paraId="3F38E01D" w14:textId="77777777" w:rsidR="009864DB" w:rsidRPr="004D46AC" w:rsidRDefault="009864DB" w:rsidP="009864DB">
            <w:pPr>
              <w:spacing w:line="240" w:lineRule="auto"/>
              <w:ind w:firstLine="0"/>
              <w:rPr>
                <w:i/>
                <w:iCs/>
              </w:rPr>
            </w:pPr>
            <w:r w:rsidRPr="004D46AC">
              <w:t>3</w:t>
            </w:r>
          </w:p>
        </w:tc>
        <w:tc>
          <w:tcPr>
            <w:tcW w:w="1162" w:type="dxa"/>
          </w:tcPr>
          <w:p w14:paraId="03FA9F1E"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40B6E890" w14:textId="77777777" w:rsidR="009864DB" w:rsidRPr="004D46AC" w:rsidRDefault="009864DB" w:rsidP="009864DB">
            <w:pPr>
              <w:spacing w:line="240" w:lineRule="auto"/>
              <w:ind w:firstLine="0"/>
              <w:rPr>
                <w:i/>
                <w:iCs/>
              </w:rPr>
            </w:pPr>
            <w:r w:rsidRPr="004D46AC">
              <w:t>any</w:t>
            </w:r>
          </w:p>
        </w:tc>
        <w:tc>
          <w:tcPr>
            <w:tcW w:w="1163" w:type="dxa"/>
            <w:vAlign w:val="center"/>
          </w:tcPr>
          <w:p w14:paraId="4404ABA9" w14:textId="77777777" w:rsidR="009864DB" w:rsidRPr="004D46AC" w:rsidRDefault="009864DB" w:rsidP="009864DB">
            <w:pPr>
              <w:spacing w:line="240" w:lineRule="auto"/>
              <w:ind w:firstLine="0"/>
              <w:rPr>
                <w:i/>
                <w:iCs/>
              </w:rPr>
            </w:pPr>
            <w:r w:rsidRPr="004D46AC">
              <w:t>5</w:t>
            </w:r>
          </w:p>
        </w:tc>
      </w:tr>
      <w:tr w:rsidR="009864DB" w:rsidRPr="004D46AC" w14:paraId="537C27BE" w14:textId="77777777" w:rsidTr="00B518F1">
        <w:tc>
          <w:tcPr>
            <w:tcW w:w="1908" w:type="dxa"/>
          </w:tcPr>
          <w:p w14:paraId="139973CE"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rPr>
                <w:i/>
                <w:iCs/>
              </w:rPr>
              <w:instrText xml:space="preserve"> ADDIN EN.CITE </w:instrText>
            </w:r>
            <w:r w:rsidRPr="004D46AC">
              <w:rPr>
                <w:i/>
                <w:iCs/>
              </w:rPr>
              <w:fldChar w:fldCharType="begin">
                <w:fldData xml:space="preserve">PEVuZE5vdGU+PENpdGUgQXV0aG9yWWVhcj0iMSI+PEF1dGhvcj5CYWV0aGdlPC9BdXRob3I+PFll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Baethge et al. (2005)</w:t>
            </w:r>
            <w:r w:rsidRPr="004D46AC">
              <w:fldChar w:fldCharType="end"/>
            </w:r>
          </w:p>
        </w:tc>
        <w:tc>
          <w:tcPr>
            <w:tcW w:w="1198" w:type="dxa"/>
            <w:vAlign w:val="center"/>
          </w:tcPr>
          <w:p w14:paraId="00FC65FB" w14:textId="77777777" w:rsidR="009864DB" w:rsidRPr="004D46AC" w:rsidRDefault="009864DB" w:rsidP="009864DB">
            <w:pPr>
              <w:spacing w:line="240" w:lineRule="auto"/>
              <w:ind w:firstLine="0"/>
              <w:rPr>
                <w:i/>
                <w:iCs/>
              </w:rPr>
            </w:pPr>
            <w:r w:rsidRPr="004D46AC">
              <w:t>7</w:t>
            </w:r>
          </w:p>
        </w:tc>
        <w:tc>
          <w:tcPr>
            <w:tcW w:w="1178" w:type="dxa"/>
            <w:vAlign w:val="center"/>
          </w:tcPr>
          <w:p w14:paraId="6DE104E1" w14:textId="77777777" w:rsidR="009864DB" w:rsidRPr="004D46AC" w:rsidRDefault="009864DB" w:rsidP="009864DB">
            <w:pPr>
              <w:spacing w:line="240" w:lineRule="auto"/>
              <w:ind w:firstLine="0"/>
              <w:rPr>
                <w:i/>
                <w:iCs/>
              </w:rPr>
            </w:pPr>
            <w:r w:rsidRPr="004D46AC">
              <w:t>NA</w:t>
            </w:r>
          </w:p>
        </w:tc>
        <w:tc>
          <w:tcPr>
            <w:tcW w:w="1221" w:type="dxa"/>
            <w:vAlign w:val="center"/>
          </w:tcPr>
          <w:p w14:paraId="6C851C81" w14:textId="77777777" w:rsidR="009864DB" w:rsidRPr="004D46AC" w:rsidRDefault="009864DB" w:rsidP="009864DB">
            <w:pPr>
              <w:spacing w:line="240" w:lineRule="auto"/>
              <w:ind w:firstLine="0"/>
              <w:rPr>
                <w:i/>
                <w:iCs/>
              </w:rPr>
            </w:pPr>
            <w:r w:rsidRPr="004D46AC">
              <w:t>ICD</w:t>
            </w:r>
          </w:p>
        </w:tc>
        <w:tc>
          <w:tcPr>
            <w:tcW w:w="1415" w:type="dxa"/>
            <w:vAlign w:val="center"/>
          </w:tcPr>
          <w:p w14:paraId="49A3747A" w14:textId="77777777" w:rsidR="009864DB" w:rsidRPr="004D46AC" w:rsidRDefault="009864DB" w:rsidP="009864DB">
            <w:pPr>
              <w:spacing w:line="240" w:lineRule="auto"/>
              <w:ind w:firstLine="0"/>
              <w:rPr>
                <w:i/>
                <w:iCs/>
              </w:rPr>
            </w:pPr>
            <w:r w:rsidRPr="004D46AC">
              <w:t>AMDP</w:t>
            </w:r>
          </w:p>
        </w:tc>
        <w:tc>
          <w:tcPr>
            <w:tcW w:w="1147" w:type="dxa"/>
            <w:vAlign w:val="center"/>
          </w:tcPr>
          <w:p w14:paraId="1EB850A7" w14:textId="77777777" w:rsidR="009864DB" w:rsidRPr="004D46AC" w:rsidRDefault="009864DB" w:rsidP="009864DB">
            <w:pPr>
              <w:spacing w:line="240" w:lineRule="auto"/>
              <w:ind w:firstLine="0"/>
              <w:rPr>
                <w:i/>
                <w:iCs/>
              </w:rPr>
            </w:pPr>
            <w:r w:rsidRPr="004D46AC">
              <w:t>549</w:t>
            </w:r>
          </w:p>
        </w:tc>
        <w:tc>
          <w:tcPr>
            <w:tcW w:w="1178" w:type="dxa"/>
            <w:vAlign w:val="center"/>
          </w:tcPr>
          <w:p w14:paraId="1FFAD277" w14:textId="77777777" w:rsidR="009864DB" w:rsidRPr="004D46AC" w:rsidRDefault="009864DB" w:rsidP="009864DB">
            <w:pPr>
              <w:spacing w:line="240" w:lineRule="auto"/>
              <w:ind w:firstLine="0"/>
              <w:rPr>
                <w:i/>
                <w:iCs/>
              </w:rPr>
            </w:pPr>
            <w:r w:rsidRPr="004D46AC">
              <w:t>3</w:t>
            </w:r>
          </w:p>
        </w:tc>
        <w:tc>
          <w:tcPr>
            <w:tcW w:w="1167" w:type="dxa"/>
            <w:vAlign w:val="center"/>
          </w:tcPr>
          <w:p w14:paraId="7468D0C1" w14:textId="77777777" w:rsidR="009864DB" w:rsidRPr="004D46AC" w:rsidRDefault="009864DB" w:rsidP="009864DB">
            <w:pPr>
              <w:spacing w:line="240" w:lineRule="auto"/>
              <w:ind w:firstLine="0"/>
              <w:rPr>
                <w:i/>
                <w:iCs/>
              </w:rPr>
            </w:pPr>
            <w:r w:rsidRPr="004D46AC">
              <w:t>1</w:t>
            </w:r>
          </w:p>
        </w:tc>
        <w:tc>
          <w:tcPr>
            <w:tcW w:w="1162" w:type="dxa"/>
          </w:tcPr>
          <w:p w14:paraId="741D7EC9"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A95DCD5" w14:textId="77777777" w:rsidR="009864DB" w:rsidRPr="004D46AC" w:rsidRDefault="009864DB" w:rsidP="009864DB">
            <w:pPr>
              <w:spacing w:line="240" w:lineRule="auto"/>
              <w:ind w:firstLine="0"/>
              <w:rPr>
                <w:i/>
                <w:iCs/>
              </w:rPr>
            </w:pPr>
            <w:r w:rsidRPr="004D46AC">
              <w:t>any</w:t>
            </w:r>
          </w:p>
        </w:tc>
        <w:tc>
          <w:tcPr>
            <w:tcW w:w="1163" w:type="dxa"/>
            <w:vAlign w:val="center"/>
          </w:tcPr>
          <w:p w14:paraId="52459BF0" w14:textId="77777777" w:rsidR="009864DB" w:rsidRPr="004D46AC" w:rsidRDefault="009864DB" w:rsidP="009864DB">
            <w:pPr>
              <w:spacing w:line="240" w:lineRule="auto"/>
              <w:ind w:firstLine="0"/>
              <w:rPr>
                <w:i/>
                <w:iCs/>
              </w:rPr>
            </w:pPr>
            <w:r w:rsidRPr="004D46AC">
              <w:t>65</w:t>
            </w:r>
          </w:p>
        </w:tc>
      </w:tr>
      <w:tr w:rsidR="009864DB" w:rsidRPr="004D46AC" w14:paraId="32E74C4E" w14:textId="77777777" w:rsidTr="00B518F1">
        <w:tc>
          <w:tcPr>
            <w:tcW w:w="1908" w:type="dxa"/>
          </w:tcPr>
          <w:p w14:paraId="5D0D90E5"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AuthorYear="1"&gt;&lt;Author&gt;Verdoux&lt;/Author&gt;&lt;Year&gt;1993&lt;/Year&gt;&lt;RecNum&gt;240&lt;/RecNum&gt;&lt;DisplayText&gt;Verdoux and Bourgeois (1993)&lt;/DisplayText&gt;&lt;record&gt;&lt;rec-number&gt;240&lt;/rec-number&gt;&lt;foreign-keys&gt;&lt;key app="EN" db-id="aet009sstawa0hewvt3xwf5atffdw2dt02sw" timestamp="1666194126"&gt;240&lt;/key&gt;&lt;/foreign-keys&gt;&lt;ref-type name="Journal Article"&gt;17&lt;/ref-type&gt;&lt;contributors&gt;&lt;authors&gt;&lt;author&gt;Verdoux, H.&lt;/author&gt;&lt;author&gt;Bourgeois, M.&lt;/author&gt;&lt;/authors&gt;&lt;/contributors&gt;&lt;auth-address&gt;University of Bordeaux, France.&lt;/auth-address&gt;&lt;titles&gt;&lt;title&gt;Delusional mania: what is a mood-incongruent psychotic feature?&lt;/title&gt;&lt;secondary-title&gt;J Nerv Ment Dis&lt;/secondary-title&gt;&lt;/titles&gt;&lt;periodical&gt;&lt;full-title&gt;J Nerv Ment Dis&lt;/full-title&gt;&lt;/periodical&gt;&lt;pages&gt;517-8&lt;/pages&gt;&lt;volume&gt;181&lt;/volume&gt;&lt;number&gt;8&lt;/number&gt;&lt;keywords&gt;&lt;keyword&gt;Adolescent&lt;/keyword&gt;&lt;keyword&gt;Adult&lt;/keyword&gt;&lt;keyword&gt;Bipolar Disorder/classification/*diagnosis/psychology&lt;/keyword&gt;&lt;keyword&gt;Delusions/classification/*diagnosis/psychology&lt;/keyword&gt;&lt;keyword&gt;Female&lt;/keyword&gt;&lt;keyword&gt;Humans&lt;/keyword&gt;&lt;keyword&gt;Male&lt;/keyword&gt;&lt;keyword&gt;Middle Aged&lt;/keyword&gt;&lt;keyword&gt;Prognosis&lt;/keyword&gt;&lt;keyword&gt;Psychiatric Status Rating Scales&lt;/keyword&gt;&lt;keyword&gt;Sex Factors&lt;/keyword&gt;&lt;keyword&gt;Terminology as Topic&lt;/keyword&gt;&lt;/keywords&gt;&lt;dates&gt;&lt;year&gt;1993&lt;/year&gt;&lt;pub-dates&gt;&lt;date&gt;Aug&lt;/date&gt;&lt;/pub-dates&gt;&lt;/dates&gt;&lt;isbn&gt;0022-3018 (Print)&amp;#xD;0022-3018 (Linking)&lt;/isbn&gt;&lt;accession-num&gt;8360644&lt;/accession-num&gt;&lt;urls&gt;&lt;related-urls&gt;&lt;url&gt;https://www.ncbi.nlm.nih.gov/pubmed/8360644&lt;/url&gt;&lt;/related-urls&gt;&lt;/urls&gt;&lt;electronic-resource-num&gt;10.1097/00005053-199308000-00008&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Verdoux and Bourgeois (1993)</w:t>
            </w:r>
            <w:r w:rsidRPr="004D46AC">
              <w:fldChar w:fldCharType="end"/>
            </w:r>
          </w:p>
        </w:tc>
        <w:tc>
          <w:tcPr>
            <w:tcW w:w="1198" w:type="dxa"/>
            <w:vAlign w:val="center"/>
          </w:tcPr>
          <w:p w14:paraId="6C7C781B" w14:textId="77777777" w:rsidR="009864DB" w:rsidRPr="004D46AC" w:rsidRDefault="009864DB" w:rsidP="009864DB">
            <w:pPr>
              <w:spacing w:line="240" w:lineRule="auto"/>
              <w:ind w:firstLine="0"/>
              <w:rPr>
                <w:i/>
                <w:iCs/>
              </w:rPr>
            </w:pPr>
            <w:r w:rsidRPr="004D46AC">
              <w:t>5</w:t>
            </w:r>
          </w:p>
        </w:tc>
        <w:tc>
          <w:tcPr>
            <w:tcW w:w="1178" w:type="dxa"/>
            <w:vAlign w:val="center"/>
          </w:tcPr>
          <w:p w14:paraId="7E18989E" w14:textId="77777777" w:rsidR="009864DB" w:rsidRPr="004D46AC" w:rsidRDefault="009864DB" w:rsidP="009864DB">
            <w:pPr>
              <w:spacing w:line="240" w:lineRule="auto"/>
              <w:ind w:firstLine="0"/>
              <w:rPr>
                <w:i/>
                <w:iCs/>
              </w:rPr>
            </w:pPr>
            <w:r w:rsidRPr="004D46AC">
              <w:t>35.17</w:t>
            </w:r>
          </w:p>
        </w:tc>
        <w:tc>
          <w:tcPr>
            <w:tcW w:w="1221" w:type="dxa"/>
            <w:vAlign w:val="center"/>
          </w:tcPr>
          <w:p w14:paraId="10A3EC7F" w14:textId="77777777" w:rsidR="009864DB" w:rsidRPr="004D46AC" w:rsidRDefault="009864DB" w:rsidP="009864DB">
            <w:pPr>
              <w:spacing w:line="240" w:lineRule="auto"/>
              <w:ind w:firstLine="0"/>
              <w:rPr>
                <w:i/>
                <w:iCs/>
              </w:rPr>
            </w:pPr>
            <w:r w:rsidRPr="004D46AC">
              <w:t>DSM3R</w:t>
            </w:r>
          </w:p>
        </w:tc>
        <w:tc>
          <w:tcPr>
            <w:tcW w:w="1415" w:type="dxa"/>
            <w:vAlign w:val="center"/>
          </w:tcPr>
          <w:p w14:paraId="7BB48ACA" w14:textId="77777777" w:rsidR="009864DB" w:rsidRPr="004D46AC" w:rsidRDefault="009864DB" w:rsidP="009864DB">
            <w:pPr>
              <w:spacing w:line="240" w:lineRule="auto"/>
              <w:ind w:firstLine="0"/>
              <w:rPr>
                <w:i/>
                <w:iCs/>
              </w:rPr>
            </w:pPr>
            <w:r w:rsidRPr="004D46AC">
              <w:t>unclear</w:t>
            </w:r>
          </w:p>
        </w:tc>
        <w:tc>
          <w:tcPr>
            <w:tcW w:w="1147" w:type="dxa"/>
            <w:vAlign w:val="center"/>
          </w:tcPr>
          <w:p w14:paraId="583D7299" w14:textId="77777777" w:rsidR="009864DB" w:rsidRPr="004D46AC" w:rsidRDefault="009864DB" w:rsidP="009864DB">
            <w:pPr>
              <w:spacing w:line="240" w:lineRule="auto"/>
              <w:ind w:firstLine="0"/>
              <w:rPr>
                <w:i/>
                <w:iCs/>
              </w:rPr>
            </w:pPr>
            <w:r w:rsidRPr="004D46AC">
              <w:t>36</w:t>
            </w:r>
          </w:p>
        </w:tc>
        <w:tc>
          <w:tcPr>
            <w:tcW w:w="1178" w:type="dxa"/>
            <w:vAlign w:val="center"/>
          </w:tcPr>
          <w:p w14:paraId="4862444E" w14:textId="77777777" w:rsidR="009864DB" w:rsidRPr="004D46AC" w:rsidRDefault="009864DB" w:rsidP="009864DB">
            <w:pPr>
              <w:spacing w:line="240" w:lineRule="auto"/>
              <w:ind w:firstLine="0"/>
              <w:rPr>
                <w:i/>
                <w:iCs/>
              </w:rPr>
            </w:pPr>
            <w:r w:rsidRPr="004D46AC">
              <w:t>3</w:t>
            </w:r>
          </w:p>
        </w:tc>
        <w:tc>
          <w:tcPr>
            <w:tcW w:w="1167" w:type="dxa"/>
            <w:vAlign w:val="center"/>
          </w:tcPr>
          <w:p w14:paraId="7CE32D50" w14:textId="77777777" w:rsidR="009864DB" w:rsidRPr="004D46AC" w:rsidRDefault="009864DB" w:rsidP="009864DB">
            <w:pPr>
              <w:spacing w:line="240" w:lineRule="auto"/>
              <w:ind w:firstLine="0"/>
              <w:rPr>
                <w:i/>
                <w:iCs/>
              </w:rPr>
            </w:pPr>
            <w:r w:rsidRPr="004D46AC">
              <w:t>3</w:t>
            </w:r>
          </w:p>
        </w:tc>
        <w:tc>
          <w:tcPr>
            <w:tcW w:w="1162" w:type="dxa"/>
          </w:tcPr>
          <w:p w14:paraId="324E531E"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01D785E3" w14:textId="77777777" w:rsidR="009864DB" w:rsidRPr="004D46AC" w:rsidRDefault="009864DB" w:rsidP="009864DB">
            <w:pPr>
              <w:spacing w:line="240" w:lineRule="auto"/>
              <w:ind w:firstLine="0"/>
              <w:rPr>
                <w:i/>
                <w:iCs/>
              </w:rPr>
            </w:pPr>
            <w:r w:rsidRPr="004D46AC">
              <w:t>any</w:t>
            </w:r>
          </w:p>
        </w:tc>
        <w:tc>
          <w:tcPr>
            <w:tcW w:w="1163" w:type="dxa"/>
            <w:vAlign w:val="center"/>
          </w:tcPr>
          <w:p w14:paraId="4437FCBA" w14:textId="77777777" w:rsidR="009864DB" w:rsidRPr="004D46AC" w:rsidRDefault="009864DB" w:rsidP="009864DB">
            <w:pPr>
              <w:spacing w:line="240" w:lineRule="auto"/>
              <w:ind w:firstLine="0"/>
              <w:rPr>
                <w:i/>
                <w:iCs/>
              </w:rPr>
            </w:pPr>
            <w:r w:rsidRPr="004D46AC">
              <w:t>11</w:t>
            </w:r>
          </w:p>
        </w:tc>
      </w:tr>
      <w:tr w:rsidR="009864DB" w:rsidRPr="004D46AC" w14:paraId="4CFEE120" w14:textId="77777777" w:rsidTr="00B518F1">
        <w:tc>
          <w:tcPr>
            <w:tcW w:w="1908" w:type="dxa"/>
          </w:tcPr>
          <w:p w14:paraId="6E6729EB"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AuthorYear="1"&gt;&lt;Author&gt;Breslau&lt;/Author&gt;&lt;Year&gt;1988&lt;/Year&gt;&lt;RecNum&gt;241&lt;/RecNum&gt;&lt;DisplayText&gt;Breslau and Meltzer (1988)&lt;/DisplayText&gt;&lt;record&gt;&lt;rec-number&gt;241&lt;/rec-number&gt;&lt;foreign-keys&gt;&lt;key app="EN" db-id="aet009sstawa0hewvt3xwf5atffdw2dt02sw" timestamp="1666238819"&gt;241&lt;/key&gt;&lt;/foreign-keys&gt;&lt;ref-type name="Journal Article"&gt;17&lt;/ref-type&gt;&lt;contributors&gt;&lt;authors&gt;&lt;author&gt;Breslau, N.&lt;/author&gt;&lt;author&gt;Meltzer, H. Y.&lt;/author&gt;&lt;/authors&gt;&lt;/contributors&gt;&lt;auth-address&gt;Department of Psychiatry, Case Western Reserve School of Medicine, Cleveland.&lt;/auth-address&gt;&lt;titles&gt;&lt;title&gt;Validity of subtyping psychotic depression: examination of phenomenology and demographic characteristics&lt;/title&gt;&lt;secondary-title&gt;Am J Psychiatry&lt;/secondary-title&gt;&lt;/titles&gt;&lt;periodical&gt;&lt;full-title&gt;Am J Psychiatry&lt;/full-title&gt;&lt;/periodical&gt;&lt;pages&gt;35-40&lt;/pages&gt;&lt;volume&gt;145&lt;/volume&gt;&lt;number&gt;1&lt;/number&gt;&lt;keywords&gt;&lt;keyword&gt;Adult&lt;/keyword&gt;&lt;keyword&gt;Age Factors&lt;/keyword&gt;&lt;keyword&gt;Bipolar Disorder/diagnosis/psychology&lt;/keyword&gt;&lt;keyword&gt;Depressive Disorder/classification/*diagnosis/prevention &amp;amp; control/psychology&lt;/keyword&gt;&lt;keyword&gt;Diagnosis, Differential&lt;/keyword&gt;&lt;keyword&gt;Female&lt;/keyword&gt;&lt;keyword&gt;Humans&lt;/keyword&gt;&lt;keyword&gt;Male&lt;/keyword&gt;&lt;keyword&gt;Manuals as Topic&lt;/keyword&gt;&lt;keyword&gt;*Psychiatric Status Rating Scales&lt;/keyword&gt;&lt;keyword&gt;Psychotic Disorders/diagnosis/psychology&lt;/keyword&gt;&lt;keyword&gt;Sex Factors&lt;/keyword&gt;&lt;/keywords&gt;&lt;dates&gt;&lt;year&gt;1988&lt;/year&gt;&lt;pub-dates&gt;&lt;date&gt;Jan&lt;/date&gt;&lt;/pub-dates&gt;&lt;/dates&gt;&lt;isbn&gt;0002-953X (Print)&amp;#xD;0002-953X (Linking)&lt;/isbn&gt;&lt;accession-num&gt;3337290&lt;/accession-num&gt;&lt;urls&gt;&lt;related-urls&gt;&lt;url&gt;https://www.ncbi.nlm.nih.gov/pubmed/3337290&lt;/url&gt;&lt;/related-urls&gt;&lt;/urls&gt;&lt;electronic-resource-num&gt;10.1176/ajp.145.1.35&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Breslau and Meltzer (1988)</w:t>
            </w:r>
            <w:r w:rsidRPr="004D46AC">
              <w:fldChar w:fldCharType="end"/>
            </w:r>
          </w:p>
        </w:tc>
        <w:tc>
          <w:tcPr>
            <w:tcW w:w="1198" w:type="dxa"/>
            <w:vAlign w:val="center"/>
          </w:tcPr>
          <w:p w14:paraId="06C0178F" w14:textId="77777777" w:rsidR="009864DB" w:rsidRPr="004D46AC" w:rsidRDefault="009864DB" w:rsidP="009864DB">
            <w:pPr>
              <w:spacing w:line="240" w:lineRule="auto"/>
              <w:ind w:firstLine="0"/>
              <w:rPr>
                <w:i/>
                <w:iCs/>
              </w:rPr>
            </w:pPr>
            <w:r w:rsidRPr="004D46AC">
              <w:t>5</w:t>
            </w:r>
          </w:p>
        </w:tc>
        <w:tc>
          <w:tcPr>
            <w:tcW w:w="1178" w:type="dxa"/>
            <w:vAlign w:val="center"/>
          </w:tcPr>
          <w:p w14:paraId="12546DBE" w14:textId="77777777" w:rsidR="009864DB" w:rsidRPr="004D46AC" w:rsidRDefault="009864DB" w:rsidP="009864DB">
            <w:pPr>
              <w:spacing w:line="240" w:lineRule="auto"/>
              <w:ind w:firstLine="0"/>
              <w:rPr>
                <w:i/>
                <w:iCs/>
              </w:rPr>
            </w:pPr>
            <w:r w:rsidRPr="004D46AC">
              <w:t>32.9</w:t>
            </w:r>
          </w:p>
        </w:tc>
        <w:tc>
          <w:tcPr>
            <w:tcW w:w="1221" w:type="dxa"/>
            <w:vAlign w:val="center"/>
          </w:tcPr>
          <w:p w14:paraId="4C02CC9E" w14:textId="77777777" w:rsidR="009864DB" w:rsidRPr="004D46AC" w:rsidRDefault="009864DB" w:rsidP="009864DB">
            <w:pPr>
              <w:spacing w:line="240" w:lineRule="auto"/>
              <w:ind w:firstLine="0"/>
              <w:rPr>
                <w:i/>
                <w:iCs/>
              </w:rPr>
            </w:pPr>
            <w:r w:rsidRPr="004D46AC">
              <w:t>RDC</w:t>
            </w:r>
          </w:p>
        </w:tc>
        <w:tc>
          <w:tcPr>
            <w:tcW w:w="1415" w:type="dxa"/>
            <w:vAlign w:val="center"/>
          </w:tcPr>
          <w:p w14:paraId="2270A4E3" w14:textId="77777777" w:rsidR="009864DB" w:rsidRPr="004D46AC" w:rsidRDefault="009864DB" w:rsidP="009864DB">
            <w:pPr>
              <w:spacing w:line="240" w:lineRule="auto"/>
              <w:ind w:firstLine="0"/>
              <w:rPr>
                <w:i/>
                <w:iCs/>
              </w:rPr>
            </w:pPr>
            <w:r w:rsidRPr="004D46AC">
              <w:t>SADS-C</w:t>
            </w:r>
          </w:p>
        </w:tc>
        <w:tc>
          <w:tcPr>
            <w:tcW w:w="1147" w:type="dxa"/>
            <w:vAlign w:val="center"/>
          </w:tcPr>
          <w:p w14:paraId="567269FC" w14:textId="77777777" w:rsidR="009864DB" w:rsidRPr="004D46AC" w:rsidRDefault="009864DB" w:rsidP="009864DB">
            <w:pPr>
              <w:spacing w:line="240" w:lineRule="auto"/>
              <w:ind w:firstLine="0"/>
              <w:rPr>
                <w:i/>
                <w:iCs/>
              </w:rPr>
            </w:pPr>
            <w:r w:rsidRPr="004D46AC">
              <w:t>38</w:t>
            </w:r>
          </w:p>
        </w:tc>
        <w:tc>
          <w:tcPr>
            <w:tcW w:w="1178" w:type="dxa"/>
            <w:vAlign w:val="center"/>
          </w:tcPr>
          <w:p w14:paraId="7E58DA5C" w14:textId="77777777" w:rsidR="009864DB" w:rsidRPr="004D46AC" w:rsidRDefault="009864DB" w:rsidP="009864DB">
            <w:pPr>
              <w:spacing w:line="240" w:lineRule="auto"/>
              <w:ind w:firstLine="0"/>
              <w:rPr>
                <w:i/>
                <w:iCs/>
              </w:rPr>
            </w:pPr>
            <w:r w:rsidRPr="004D46AC">
              <w:t>3</w:t>
            </w:r>
          </w:p>
        </w:tc>
        <w:tc>
          <w:tcPr>
            <w:tcW w:w="1167" w:type="dxa"/>
            <w:vAlign w:val="center"/>
          </w:tcPr>
          <w:p w14:paraId="31BDF841" w14:textId="77777777" w:rsidR="009864DB" w:rsidRPr="004D46AC" w:rsidRDefault="009864DB" w:rsidP="009864DB">
            <w:pPr>
              <w:spacing w:line="240" w:lineRule="auto"/>
              <w:ind w:firstLine="0"/>
              <w:rPr>
                <w:i/>
                <w:iCs/>
              </w:rPr>
            </w:pPr>
            <w:r w:rsidRPr="004D46AC">
              <w:t>1</w:t>
            </w:r>
          </w:p>
        </w:tc>
        <w:tc>
          <w:tcPr>
            <w:tcW w:w="1162" w:type="dxa"/>
          </w:tcPr>
          <w:p w14:paraId="5FE9A0C4"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0C9602A" w14:textId="77777777" w:rsidR="009864DB" w:rsidRPr="004D46AC" w:rsidRDefault="009864DB" w:rsidP="009864DB">
            <w:pPr>
              <w:spacing w:line="240" w:lineRule="auto"/>
              <w:ind w:firstLine="0"/>
              <w:rPr>
                <w:i/>
                <w:iCs/>
              </w:rPr>
            </w:pPr>
            <w:r w:rsidRPr="004D46AC">
              <w:t>auditory</w:t>
            </w:r>
          </w:p>
        </w:tc>
        <w:tc>
          <w:tcPr>
            <w:tcW w:w="1163" w:type="dxa"/>
            <w:vAlign w:val="center"/>
          </w:tcPr>
          <w:p w14:paraId="687AE061" w14:textId="77777777" w:rsidR="009864DB" w:rsidRPr="004D46AC" w:rsidRDefault="009864DB" w:rsidP="009864DB">
            <w:pPr>
              <w:spacing w:line="240" w:lineRule="auto"/>
              <w:ind w:firstLine="0"/>
              <w:rPr>
                <w:i/>
                <w:iCs/>
              </w:rPr>
            </w:pPr>
            <w:r w:rsidRPr="004D46AC">
              <w:t>7</w:t>
            </w:r>
          </w:p>
        </w:tc>
      </w:tr>
      <w:tr w:rsidR="009864DB" w:rsidRPr="004D46AC" w14:paraId="176C76A3" w14:textId="77777777" w:rsidTr="00B518F1">
        <w:tc>
          <w:tcPr>
            <w:tcW w:w="1908" w:type="dxa"/>
          </w:tcPr>
          <w:p w14:paraId="690F5413"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AuthorYear="1"&gt;&lt;Author&gt;Song&lt;/Author&gt;&lt;Year&gt;2015&lt;/Year&gt;&lt;RecNum&gt;243&lt;/RecNum&gt;&lt;DisplayText&gt;Song et al. (2015)&lt;/DisplayText&gt;&lt;record&gt;&lt;rec-number&gt;243&lt;/rec-number&gt;&lt;foreign-keys&gt;&lt;key app="EN" db-id="aet009sstawa0hewvt3xwf5atffdw2dt02sw" timestamp="1666254629"&gt;243&lt;/key&gt;&lt;/foreign-keys&gt;&lt;ref-type name="Journal Article"&gt;17&lt;/ref-type&gt;&lt;contributors&gt;&lt;authors&gt;&lt;author&gt;Song, J.&lt;/author&gt;&lt;author&gt;Han, D. H.&lt;/author&gt;&lt;author&gt;Kim, S. M.&lt;/author&gt;&lt;author&gt;Hong, J. S.&lt;/author&gt;&lt;author&gt;Min, K. J.&lt;/author&gt;&lt;author&gt;Cheong, J. H.&lt;/author&gt;&lt;author&gt;Kim, B. N.&lt;/author&gt;&lt;/authors&gt;&lt;/contributors&gt;&lt;auth-address&gt;Department of Psychiatry, Chung Ang University Hospital, Seoul, South Korea.&amp;#xD;Uimyung Research Institute for Neuroscience, Samyook University, Seoul, South Korea.&amp;#xD;Department of Psychiatry, Seoul National Hospital, Seoul, South Korea.&lt;/auth-address&gt;&lt;titles&gt;&lt;title&gt;Differences in gray matter volume corresponding to delusion and hallucination in patients with schizophrenia compared with patients who have bipolar disorder&lt;/title&gt;&lt;secondary-title&gt;Neuropsychiatr Dis Treat&lt;/secondary-title&gt;&lt;/titles&gt;&lt;periodical&gt;&lt;full-title&gt;Neuropsychiatr Dis Treat&lt;/full-title&gt;&lt;/periodical&gt;&lt;pages&gt;1211-9&lt;/pages&gt;&lt;volume&gt;11&lt;/volume&gt;&lt;edition&gt;20150518&lt;/edition&gt;&lt;keywords&gt;&lt;keyword&gt;bipolar disorder&lt;/keyword&gt;&lt;keyword&gt;delusion&lt;/keyword&gt;&lt;keyword&gt;hallucination&lt;/keyword&gt;&lt;keyword&gt;schizophrenia&lt;/keyword&gt;&lt;keyword&gt;voxel-based morphometry&lt;/keyword&gt;&lt;/keywords&gt;&lt;dates&gt;&lt;year&gt;2015&lt;/year&gt;&lt;/dates&gt;&lt;isbn&gt;1176-6328 (Print)&amp;#xD;1178-2021 (Electronic)&amp;#xD;1176-6328 (Linking)&lt;/isbn&gt;&lt;accession-num&gt;26056452&lt;/accession-num&gt;&lt;urls&gt;&lt;related-urls&gt;&lt;url&gt;https://www.ncbi.nlm.nih.gov/pubmed/26056452&lt;/url&gt;&lt;/related-urls&gt;&lt;/urls&gt;&lt;custom2&gt;PMC4445869&lt;/custom2&gt;&lt;electronic-resource-num&gt;10.2147/NDT.S80438&lt;/electronic-resource-num&gt;&lt;remote-database-name&gt;PubMed-not-MEDLINE&lt;/remote-database-name&gt;&lt;remote-database-provider&gt;NLM&lt;/remote-database-provider&gt;&lt;language&gt;eng&lt;/language&gt;&lt;/record&gt;&lt;/Cite&gt;&lt;/EndNote&gt;</w:instrText>
            </w:r>
            <w:r w:rsidRPr="004D46AC">
              <w:rPr>
                <w:i/>
                <w:iCs/>
              </w:rPr>
              <w:fldChar w:fldCharType="separate"/>
            </w:r>
            <w:r w:rsidRPr="004D46AC">
              <w:rPr>
                <w:i/>
                <w:iCs/>
              </w:rPr>
              <w:t>Song et al. (2015)</w:t>
            </w:r>
            <w:r w:rsidRPr="004D46AC">
              <w:fldChar w:fldCharType="end"/>
            </w:r>
          </w:p>
        </w:tc>
        <w:tc>
          <w:tcPr>
            <w:tcW w:w="1198" w:type="dxa"/>
            <w:vAlign w:val="center"/>
          </w:tcPr>
          <w:p w14:paraId="0C1959BD" w14:textId="77777777" w:rsidR="009864DB" w:rsidRPr="004D46AC" w:rsidRDefault="009864DB" w:rsidP="009864DB">
            <w:pPr>
              <w:spacing w:line="240" w:lineRule="auto"/>
              <w:ind w:firstLine="0"/>
              <w:rPr>
                <w:i/>
                <w:iCs/>
              </w:rPr>
            </w:pPr>
            <w:r w:rsidRPr="004D46AC">
              <w:t>3</w:t>
            </w:r>
          </w:p>
        </w:tc>
        <w:tc>
          <w:tcPr>
            <w:tcW w:w="1178" w:type="dxa"/>
            <w:vAlign w:val="center"/>
          </w:tcPr>
          <w:p w14:paraId="43944C4D" w14:textId="77777777" w:rsidR="009864DB" w:rsidRPr="004D46AC" w:rsidRDefault="009864DB" w:rsidP="009864DB">
            <w:pPr>
              <w:spacing w:line="240" w:lineRule="auto"/>
              <w:ind w:firstLine="0"/>
              <w:rPr>
                <w:i/>
                <w:iCs/>
              </w:rPr>
            </w:pPr>
            <w:r w:rsidRPr="004D46AC">
              <w:t>34.8</w:t>
            </w:r>
          </w:p>
        </w:tc>
        <w:tc>
          <w:tcPr>
            <w:tcW w:w="1221" w:type="dxa"/>
            <w:vAlign w:val="center"/>
          </w:tcPr>
          <w:p w14:paraId="2B3FF8FF" w14:textId="77777777" w:rsidR="009864DB" w:rsidRPr="004D46AC" w:rsidRDefault="009864DB" w:rsidP="009864DB">
            <w:pPr>
              <w:spacing w:line="240" w:lineRule="auto"/>
              <w:ind w:firstLine="0"/>
              <w:rPr>
                <w:i/>
                <w:iCs/>
              </w:rPr>
            </w:pPr>
            <w:r w:rsidRPr="004D46AC">
              <w:t>DSM4</w:t>
            </w:r>
          </w:p>
        </w:tc>
        <w:tc>
          <w:tcPr>
            <w:tcW w:w="1415" w:type="dxa"/>
            <w:vAlign w:val="center"/>
          </w:tcPr>
          <w:p w14:paraId="50400C01" w14:textId="77777777" w:rsidR="009864DB" w:rsidRPr="004D46AC" w:rsidRDefault="009864DB" w:rsidP="009864DB">
            <w:pPr>
              <w:spacing w:line="240" w:lineRule="auto"/>
              <w:ind w:firstLine="0"/>
              <w:rPr>
                <w:i/>
                <w:iCs/>
              </w:rPr>
            </w:pPr>
            <w:r w:rsidRPr="004D46AC">
              <w:t>SCID</w:t>
            </w:r>
          </w:p>
        </w:tc>
        <w:tc>
          <w:tcPr>
            <w:tcW w:w="1147" w:type="dxa"/>
            <w:vAlign w:val="center"/>
          </w:tcPr>
          <w:p w14:paraId="44195323" w14:textId="77777777" w:rsidR="009864DB" w:rsidRPr="004D46AC" w:rsidRDefault="009864DB" w:rsidP="009864DB">
            <w:pPr>
              <w:spacing w:line="240" w:lineRule="auto"/>
              <w:ind w:firstLine="0"/>
              <w:rPr>
                <w:i/>
                <w:iCs/>
              </w:rPr>
            </w:pPr>
            <w:r w:rsidRPr="004D46AC">
              <w:t>44</w:t>
            </w:r>
          </w:p>
        </w:tc>
        <w:tc>
          <w:tcPr>
            <w:tcW w:w="1178" w:type="dxa"/>
            <w:vAlign w:val="center"/>
          </w:tcPr>
          <w:p w14:paraId="1A973837" w14:textId="77777777" w:rsidR="009864DB" w:rsidRPr="004D46AC" w:rsidRDefault="009864DB" w:rsidP="009864DB">
            <w:pPr>
              <w:spacing w:line="240" w:lineRule="auto"/>
              <w:ind w:firstLine="0"/>
              <w:rPr>
                <w:i/>
                <w:iCs/>
              </w:rPr>
            </w:pPr>
            <w:r w:rsidRPr="004D46AC">
              <w:t>2</w:t>
            </w:r>
          </w:p>
        </w:tc>
        <w:tc>
          <w:tcPr>
            <w:tcW w:w="1167" w:type="dxa"/>
            <w:vAlign w:val="center"/>
          </w:tcPr>
          <w:p w14:paraId="365448EF" w14:textId="77777777" w:rsidR="009864DB" w:rsidRPr="004D46AC" w:rsidRDefault="009864DB" w:rsidP="009864DB">
            <w:pPr>
              <w:spacing w:line="240" w:lineRule="auto"/>
              <w:ind w:firstLine="0"/>
              <w:rPr>
                <w:i/>
                <w:iCs/>
              </w:rPr>
            </w:pPr>
            <w:r w:rsidRPr="004D46AC">
              <w:t>3</w:t>
            </w:r>
          </w:p>
        </w:tc>
        <w:tc>
          <w:tcPr>
            <w:tcW w:w="1162" w:type="dxa"/>
          </w:tcPr>
          <w:p w14:paraId="5A7EC014"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4B9BB581" w14:textId="77777777" w:rsidR="009864DB" w:rsidRPr="004D46AC" w:rsidRDefault="009864DB" w:rsidP="009864DB">
            <w:pPr>
              <w:spacing w:line="240" w:lineRule="auto"/>
              <w:ind w:firstLine="0"/>
              <w:rPr>
                <w:i/>
                <w:iCs/>
              </w:rPr>
            </w:pPr>
            <w:r w:rsidRPr="004D46AC">
              <w:t>any</w:t>
            </w:r>
          </w:p>
        </w:tc>
        <w:tc>
          <w:tcPr>
            <w:tcW w:w="1163" w:type="dxa"/>
            <w:vAlign w:val="center"/>
          </w:tcPr>
          <w:p w14:paraId="2F8EE178" w14:textId="77777777" w:rsidR="009864DB" w:rsidRPr="004D46AC" w:rsidRDefault="009864DB" w:rsidP="009864DB">
            <w:pPr>
              <w:spacing w:line="240" w:lineRule="auto"/>
              <w:ind w:firstLine="0"/>
              <w:rPr>
                <w:i/>
                <w:iCs/>
              </w:rPr>
            </w:pPr>
            <w:r w:rsidRPr="004D46AC">
              <w:t>19</w:t>
            </w:r>
          </w:p>
        </w:tc>
      </w:tr>
      <w:tr w:rsidR="009864DB" w:rsidRPr="004D46AC" w14:paraId="42DAB1CD" w14:textId="77777777" w:rsidTr="00B518F1">
        <w:tc>
          <w:tcPr>
            <w:tcW w:w="1908" w:type="dxa"/>
          </w:tcPr>
          <w:p w14:paraId="37100DFA"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AuthorYear="1"&gt;&lt;Author&gt;Das&lt;/Author&gt;&lt;Year&gt;1993&lt;/Year&gt;&lt;RecNum&gt;245&lt;/RecNum&gt;&lt;DisplayText&gt;Das and Khanna (1993)&lt;/DisplayText&gt;&lt;record&gt;&lt;rec-number&gt;245&lt;/rec-number&gt;&lt;foreign-keys&gt;&lt;key app="EN" db-id="aet009sstawa0hewvt3xwf5atffdw2dt02sw" timestamp="1666257238"&gt;245&lt;/key&gt;&lt;/foreign-keys&gt;&lt;ref-type name="Journal Article"&gt;17&lt;/ref-type&gt;&lt;contributors&gt;&lt;authors&gt;&lt;author&gt;Das, A.&lt;/author&gt;&lt;author&gt;Khanna, R.&lt;/author&gt;&lt;/authors&gt;&lt;/contributors&gt;&lt;auth-address&gt;Department of Psychiatry, Central Institute of Psychiatry, Kanke, Ranchi, India.&lt;/auth-address&gt;&lt;titles&gt;&lt;title&gt;Organic manic syndrome: causative factors, phenomenology and immediate outcome&lt;/title&gt;&lt;secondary-title&gt;J Affect Disord&lt;/secondary-title&gt;&lt;/titles&gt;&lt;periodical&gt;&lt;full-title&gt;J Affect Disord&lt;/full-title&gt;&lt;/periodical&gt;&lt;pages&gt;147-53&lt;/pages&gt;&lt;volume&gt;27&lt;/volume&gt;&lt;number&gt;3&lt;/number&gt;&lt;keywords&gt;&lt;keyword&gt;Adult&lt;/keyword&gt;&lt;keyword&gt;Bipolar Disorder/chemically induced/*etiology/psychology&lt;/keyword&gt;&lt;keyword&gt;Diagnosis, Differential&lt;/keyword&gt;&lt;keyword&gt;Female&lt;/keyword&gt;&lt;keyword&gt;Humans&lt;/keyword&gt;&lt;keyword&gt;Male&lt;/keyword&gt;&lt;keyword&gt;Middle Aged&lt;/keyword&gt;&lt;keyword&gt;Neurocognitive Disorders/*etiology/psychology&lt;/keyword&gt;&lt;keyword&gt;Psychiatric Status Rating Scales&lt;/keyword&gt;&lt;keyword&gt;Psychoses, Substance-Induced/*etiology/psychology&lt;/keyword&gt;&lt;/keywords&gt;&lt;dates&gt;&lt;year&gt;1993&lt;/year&gt;&lt;pub-dates&gt;&lt;date&gt;Mar&lt;/date&gt;&lt;/pub-dates&gt;&lt;/dates&gt;&lt;isbn&gt;0165-0327 (Print)&amp;#xD;0165-0327 (Linking)&lt;/isbn&gt;&lt;accession-num&gt;8478503&lt;/accession-num&gt;&lt;urls&gt;&lt;related-urls&gt;&lt;url&gt;https://www.ncbi.nlm.nih.gov/pubmed/8478503&lt;/url&gt;&lt;/related-urls&gt;&lt;/urls&gt;&lt;electronic-resource-num&gt;10.1016/0165-0327(93)90002-2&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Das and Khanna (1993)</w:t>
            </w:r>
            <w:r w:rsidRPr="004D46AC">
              <w:fldChar w:fldCharType="end"/>
            </w:r>
          </w:p>
        </w:tc>
        <w:tc>
          <w:tcPr>
            <w:tcW w:w="1198" w:type="dxa"/>
            <w:vAlign w:val="center"/>
          </w:tcPr>
          <w:p w14:paraId="7DF50396" w14:textId="77777777" w:rsidR="009864DB" w:rsidRPr="004D46AC" w:rsidRDefault="009864DB" w:rsidP="009864DB">
            <w:pPr>
              <w:spacing w:line="240" w:lineRule="auto"/>
              <w:ind w:firstLine="0"/>
              <w:rPr>
                <w:i/>
                <w:iCs/>
              </w:rPr>
            </w:pPr>
            <w:r w:rsidRPr="004D46AC">
              <w:t>5</w:t>
            </w:r>
          </w:p>
        </w:tc>
        <w:tc>
          <w:tcPr>
            <w:tcW w:w="1178" w:type="dxa"/>
            <w:vAlign w:val="center"/>
          </w:tcPr>
          <w:p w14:paraId="3B97948B" w14:textId="77777777" w:rsidR="009864DB" w:rsidRPr="004D46AC" w:rsidRDefault="009864DB" w:rsidP="009864DB">
            <w:pPr>
              <w:spacing w:line="240" w:lineRule="auto"/>
              <w:ind w:firstLine="0"/>
              <w:rPr>
                <w:i/>
                <w:iCs/>
              </w:rPr>
            </w:pPr>
            <w:r w:rsidRPr="004D46AC">
              <w:t>31.93</w:t>
            </w:r>
          </w:p>
        </w:tc>
        <w:tc>
          <w:tcPr>
            <w:tcW w:w="1221" w:type="dxa"/>
            <w:vAlign w:val="center"/>
          </w:tcPr>
          <w:p w14:paraId="412A667F" w14:textId="77777777" w:rsidR="009864DB" w:rsidRPr="004D46AC" w:rsidRDefault="009864DB" w:rsidP="009864DB">
            <w:pPr>
              <w:spacing w:line="240" w:lineRule="auto"/>
              <w:ind w:firstLine="0"/>
              <w:rPr>
                <w:i/>
                <w:iCs/>
              </w:rPr>
            </w:pPr>
            <w:r w:rsidRPr="004D46AC">
              <w:t>DSM3R</w:t>
            </w:r>
          </w:p>
        </w:tc>
        <w:tc>
          <w:tcPr>
            <w:tcW w:w="1415" w:type="dxa"/>
            <w:vAlign w:val="center"/>
          </w:tcPr>
          <w:p w14:paraId="12AAF35A" w14:textId="77777777" w:rsidR="009864DB" w:rsidRPr="004D46AC" w:rsidRDefault="009864DB" w:rsidP="009864DB">
            <w:pPr>
              <w:spacing w:line="240" w:lineRule="auto"/>
              <w:ind w:firstLine="0"/>
              <w:rPr>
                <w:i/>
                <w:iCs/>
              </w:rPr>
            </w:pPr>
            <w:r w:rsidRPr="004D46AC">
              <w:t>unclear</w:t>
            </w:r>
          </w:p>
        </w:tc>
        <w:tc>
          <w:tcPr>
            <w:tcW w:w="1147" w:type="dxa"/>
            <w:vAlign w:val="center"/>
          </w:tcPr>
          <w:p w14:paraId="434675AC" w14:textId="77777777" w:rsidR="009864DB" w:rsidRPr="004D46AC" w:rsidRDefault="009864DB" w:rsidP="009864DB">
            <w:pPr>
              <w:spacing w:line="240" w:lineRule="auto"/>
              <w:ind w:firstLine="0"/>
              <w:rPr>
                <w:i/>
                <w:iCs/>
              </w:rPr>
            </w:pPr>
            <w:r w:rsidRPr="004D46AC">
              <w:t>60</w:t>
            </w:r>
          </w:p>
        </w:tc>
        <w:tc>
          <w:tcPr>
            <w:tcW w:w="1178" w:type="dxa"/>
            <w:vAlign w:val="center"/>
          </w:tcPr>
          <w:p w14:paraId="011D273F" w14:textId="77777777" w:rsidR="009864DB" w:rsidRPr="004D46AC" w:rsidRDefault="009864DB" w:rsidP="009864DB">
            <w:pPr>
              <w:spacing w:line="240" w:lineRule="auto"/>
              <w:ind w:firstLine="0"/>
              <w:rPr>
                <w:i/>
                <w:iCs/>
              </w:rPr>
            </w:pPr>
            <w:r w:rsidRPr="004D46AC">
              <w:t>3</w:t>
            </w:r>
          </w:p>
        </w:tc>
        <w:tc>
          <w:tcPr>
            <w:tcW w:w="1167" w:type="dxa"/>
            <w:vAlign w:val="center"/>
          </w:tcPr>
          <w:p w14:paraId="5677549B" w14:textId="77777777" w:rsidR="009864DB" w:rsidRPr="004D46AC" w:rsidRDefault="009864DB" w:rsidP="009864DB">
            <w:pPr>
              <w:spacing w:line="240" w:lineRule="auto"/>
              <w:ind w:firstLine="0"/>
              <w:rPr>
                <w:i/>
                <w:iCs/>
              </w:rPr>
            </w:pPr>
            <w:r w:rsidRPr="004D46AC">
              <w:t>2</w:t>
            </w:r>
          </w:p>
        </w:tc>
        <w:tc>
          <w:tcPr>
            <w:tcW w:w="1162" w:type="dxa"/>
          </w:tcPr>
          <w:p w14:paraId="3AF5AB68"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DBD85B3" w14:textId="77777777" w:rsidR="009864DB" w:rsidRPr="004D46AC" w:rsidRDefault="009864DB" w:rsidP="009864DB">
            <w:pPr>
              <w:spacing w:line="240" w:lineRule="auto"/>
              <w:ind w:firstLine="0"/>
              <w:rPr>
                <w:i/>
                <w:iCs/>
              </w:rPr>
            </w:pPr>
            <w:r w:rsidRPr="004D46AC">
              <w:t>mc</w:t>
            </w:r>
          </w:p>
        </w:tc>
        <w:tc>
          <w:tcPr>
            <w:tcW w:w="1163" w:type="dxa"/>
            <w:vAlign w:val="center"/>
          </w:tcPr>
          <w:p w14:paraId="6ABF2AD2" w14:textId="77777777" w:rsidR="009864DB" w:rsidRPr="004D46AC" w:rsidRDefault="009864DB" w:rsidP="009864DB">
            <w:pPr>
              <w:spacing w:line="240" w:lineRule="auto"/>
              <w:ind w:firstLine="0"/>
              <w:rPr>
                <w:i/>
                <w:iCs/>
              </w:rPr>
            </w:pPr>
            <w:r w:rsidRPr="004D46AC">
              <w:t>1</w:t>
            </w:r>
          </w:p>
        </w:tc>
      </w:tr>
      <w:tr w:rsidR="009864DB" w:rsidRPr="004D46AC" w14:paraId="5A28BAE8" w14:textId="77777777" w:rsidTr="00B518F1">
        <w:tc>
          <w:tcPr>
            <w:tcW w:w="1908" w:type="dxa"/>
          </w:tcPr>
          <w:p w14:paraId="5AE3D472"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PEVuZE5vdGU+PENpdGUgQXV0aG9yWWVhcj0iMSI+PEF1dGhvcj5PbGZzb248L0F1dGhvcj48WWVh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=
</w:fldData>
              </w:fldChar>
            </w:r>
            <w:r w:rsidRPr="004D46AC">
              <w:rPr>
                <w:i/>
                <w:iCs/>
              </w:rPr>
              <w:instrText xml:space="preserve"> ADDIN EN.CITE </w:instrText>
            </w:r>
            <w:r w:rsidRPr="004D46AC">
              <w:rPr>
                <w:i/>
                <w:iCs/>
              </w:rPr>
              <w:fldChar w:fldCharType="begin">
                <w:fldData xml:space="preserve">PEVuZE5vdGU+PENpdGUgQXV0aG9yWWVhcj0iMSI+PEF1dGhvcj5PbGZzb248L0F1dGhvcj48WWVh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=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Olfson et al. (2005)</w:t>
            </w:r>
            <w:r w:rsidRPr="004D46AC">
              <w:fldChar w:fldCharType="end"/>
            </w:r>
          </w:p>
        </w:tc>
        <w:tc>
          <w:tcPr>
            <w:tcW w:w="1198" w:type="dxa"/>
            <w:vAlign w:val="center"/>
          </w:tcPr>
          <w:p w14:paraId="715A047C" w14:textId="77777777" w:rsidR="009864DB" w:rsidRPr="004D46AC" w:rsidRDefault="009864DB" w:rsidP="009864DB">
            <w:pPr>
              <w:spacing w:line="240" w:lineRule="auto"/>
              <w:ind w:firstLine="0"/>
              <w:rPr>
                <w:i/>
                <w:iCs/>
              </w:rPr>
            </w:pPr>
            <w:r w:rsidRPr="004D46AC">
              <w:t>6</w:t>
            </w:r>
          </w:p>
        </w:tc>
        <w:tc>
          <w:tcPr>
            <w:tcW w:w="1178" w:type="dxa"/>
            <w:vAlign w:val="center"/>
          </w:tcPr>
          <w:p w14:paraId="256AF88B" w14:textId="77777777" w:rsidR="009864DB" w:rsidRPr="004D46AC" w:rsidRDefault="009864DB" w:rsidP="009864DB">
            <w:pPr>
              <w:spacing w:line="240" w:lineRule="auto"/>
              <w:ind w:firstLine="0"/>
              <w:rPr>
                <w:i/>
                <w:iCs/>
              </w:rPr>
            </w:pPr>
            <w:r w:rsidRPr="004D46AC">
              <w:t>NA</w:t>
            </w:r>
          </w:p>
        </w:tc>
        <w:tc>
          <w:tcPr>
            <w:tcW w:w="1221" w:type="dxa"/>
            <w:vAlign w:val="center"/>
          </w:tcPr>
          <w:p w14:paraId="13CDAAC4" w14:textId="77777777" w:rsidR="009864DB" w:rsidRPr="004D46AC" w:rsidRDefault="009864DB" w:rsidP="009864DB">
            <w:pPr>
              <w:spacing w:line="240" w:lineRule="auto"/>
              <w:ind w:firstLine="0"/>
              <w:rPr>
                <w:i/>
                <w:iCs/>
              </w:rPr>
            </w:pPr>
            <w:r w:rsidRPr="004D46AC">
              <w:t>DSM4</w:t>
            </w:r>
          </w:p>
        </w:tc>
        <w:tc>
          <w:tcPr>
            <w:tcW w:w="1415" w:type="dxa"/>
            <w:vAlign w:val="center"/>
          </w:tcPr>
          <w:p w14:paraId="541CD281" w14:textId="77777777" w:rsidR="009864DB" w:rsidRPr="004D46AC" w:rsidRDefault="009864DB" w:rsidP="009864DB">
            <w:pPr>
              <w:spacing w:line="240" w:lineRule="auto"/>
              <w:ind w:firstLine="0"/>
              <w:rPr>
                <w:i/>
                <w:iCs/>
              </w:rPr>
            </w:pPr>
            <w:r w:rsidRPr="004D46AC">
              <w:t>MINI</w:t>
            </w:r>
          </w:p>
        </w:tc>
        <w:tc>
          <w:tcPr>
            <w:tcW w:w="1147" w:type="dxa"/>
            <w:vAlign w:val="center"/>
          </w:tcPr>
          <w:p w14:paraId="70C48CA1" w14:textId="77777777" w:rsidR="009864DB" w:rsidRPr="004D46AC" w:rsidRDefault="009864DB" w:rsidP="009864DB">
            <w:pPr>
              <w:spacing w:line="240" w:lineRule="auto"/>
              <w:ind w:firstLine="0"/>
              <w:rPr>
                <w:i/>
                <w:iCs/>
              </w:rPr>
            </w:pPr>
            <w:r w:rsidRPr="004D46AC">
              <w:t>53</w:t>
            </w:r>
          </w:p>
        </w:tc>
        <w:tc>
          <w:tcPr>
            <w:tcW w:w="1178" w:type="dxa"/>
            <w:vAlign w:val="center"/>
          </w:tcPr>
          <w:p w14:paraId="3F5400AA" w14:textId="77777777" w:rsidR="009864DB" w:rsidRPr="004D46AC" w:rsidRDefault="009864DB" w:rsidP="009864DB">
            <w:pPr>
              <w:spacing w:line="240" w:lineRule="auto"/>
              <w:ind w:firstLine="0"/>
              <w:rPr>
                <w:i/>
                <w:iCs/>
              </w:rPr>
            </w:pPr>
            <w:r w:rsidRPr="004D46AC">
              <w:t>1</w:t>
            </w:r>
          </w:p>
        </w:tc>
        <w:tc>
          <w:tcPr>
            <w:tcW w:w="1167" w:type="dxa"/>
            <w:vAlign w:val="center"/>
          </w:tcPr>
          <w:p w14:paraId="14AA3D1F" w14:textId="77777777" w:rsidR="009864DB" w:rsidRPr="004D46AC" w:rsidRDefault="009864DB" w:rsidP="009864DB">
            <w:pPr>
              <w:spacing w:line="240" w:lineRule="auto"/>
              <w:ind w:firstLine="0"/>
              <w:rPr>
                <w:i/>
                <w:iCs/>
              </w:rPr>
            </w:pPr>
            <w:r w:rsidRPr="004D46AC">
              <w:t>1</w:t>
            </w:r>
          </w:p>
        </w:tc>
        <w:tc>
          <w:tcPr>
            <w:tcW w:w="1162" w:type="dxa"/>
          </w:tcPr>
          <w:p w14:paraId="61F78D0D"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0EB0DCD" w14:textId="77777777" w:rsidR="009864DB" w:rsidRPr="004D46AC" w:rsidRDefault="009864DB" w:rsidP="009864DB">
            <w:pPr>
              <w:spacing w:line="240" w:lineRule="auto"/>
              <w:ind w:firstLine="0"/>
              <w:rPr>
                <w:i/>
                <w:iCs/>
              </w:rPr>
            </w:pPr>
            <w:r w:rsidRPr="004D46AC">
              <w:t>any</w:t>
            </w:r>
          </w:p>
        </w:tc>
        <w:tc>
          <w:tcPr>
            <w:tcW w:w="1163" w:type="dxa"/>
            <w:vAlign w:val="center"/>
          </w:tcPr>
          <w:p w14:paraId="047D68C3" w14:textId="77777777" w:rsidR="009864DB" w:rsidRPr="004D46AC" w:rsidRDefault="009864DB" w:rsidP="009864DB">
            <w:pPr>
              <w:spacing w:line="240" w:lineRule="auto"/>
              <w:ind w:firstLine="0"/>
              <w:rPr>
                <w:i/>
                <w:iCs/>
              </w:rPr>
            </w:pPr>
            <w:r w:rsidRPr="004D46AC">
              <w:t>19</w:t>
            </w:r>
          </w:p>
        </w:tc>
      </w:tr>
      <w:tr w:rsidR="009864DB" w:rsidRPr="004D46AC" w14:paraId="22620A14" w14:textId="77777777" w:rsidTr="00B518F1">
        <w:tc>
          <w:tcPr>
            <w:tcW w:w="1908" w:type="dxa"/>
          </w:tcPr>
          <w:p w14:paraId="67974DB7"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AuthorYear="1"&gt;&lt;Author&gt;Braunig&lt;/Author&gt;&lt;Year&gt;2009&lt;/Year&gt;&lt;RecNum&gt;247&lt;/RecNum&gt;&lt;DisplayText&gt;Braunig et al. (2009)&lt;/DisplayText&gt;&lt;record&gt;&lt;rec-number&gt;247&lt;/rec-number&gt;&lt;foreign-keys&gt;&lt;key app="EN" db-id="aet009sstawa0hewvt3xwf5atffdw2dt02sw" timestamp="1666270598"&gt;247&lt;/key&gt;&lt;/foreign-keys&gt;&lt;ref-type name="Journal Article"&gt;17&lt;/ref-type&gt;&lt;contributors&gt;&lt;authors&gt;&lt;author&gt;Braunig, P.&lt;/author&gt;&lt;author&gt;Sarkar, R.&lt;/author&gt;&lt;author&gt;Effenberger, S.&lt;/author&gt;&lt;author&gt;Schoofs, N.&lt;/author&gt;&lt;author&gt;Kruger, S.&lt;/author&gt;&lt;/authors&gt;&lt;/contributors&gt;&lt;auth-address&gt;Klinink fur Psychiatrie, Psychotherapie und Psychosomatik, Vivantes Humboldt-Klinikum, Berlin, Germany.&lt;/auth-address&gt;&lt;titles&gt;&lt;title&gt;Gender differences in psychotic bipolar mania&lt;/title&gt;&lt;secondary-title&gt;Gend Med&lt;/secondary-title&gt;&lt;/titles&gt;&lt;pages&gt;356-61&lt;/pages&gt;&lt;volume&gt;6&lt;/volume&gt;&lt;number&gt;2&lt;/number&gt;&lt;keywords&gt;&lt;keyword&gt;Adult&lt;/keyword&gt;&lt;keyword&gt;Bipolar Disorder/*psychology&lt;/keyword&gt;&lt;keyword&gt;Delusions/diagnosis/*epidemiology&lt;/keyword&gt;&lt;keyword&gt;Female&lt;/keyword&gt;&lt;keyword&gt;Hallucinations/diagnosis/*epidemiology&lt;/keyword&gt;&lt;keyword&gt;Hospitalization&lt;/keyword&gt;&lt;keyword&gt;Humans&lt;/keyword&gt;&lt;keyword&gt;Male&lt;/keyword&gt;&lt;keyword&gt;Prevalence&lt;/keyword&gt;&lt;keyword&gt;Psychiatric Status Rating Scales&lt;/keyword&gt;&lt;keyword&gt;Sex Distribution&lt;/keyword&gt;&lt;/keywords&gt;&lt;dates&gt;&lt;year&gt;2009&lt;/year&gt;&lt;pub-dates&gt;&lt;date&gt;Jul&lt;/date&gt;&lt;/pub-dates&gt;&lt;/dates&gt;&lt;isbn&gt;1878-7398 (Electronic)&amp;#xD;1550-8579 (Linking)&lt;/isbn&gt;&lt;accession-num&gt;19682662&lt;/accession-num&gt;&lt;urls&gt;&lt;related-urls&gt;&lt;url&gt;https://www.ncbi.nlm.nih.gov/pubmed/19682662&lt;/url&gt;&lt;/related-urls&gt;&lt;/urls&gt;&lt;electronic-resource-num&gt;10.1016/j.genm.2009.07.004&lt;/electronic-resource-num&gt;&lt;remote-database-name&gt;Medline&lt;/remote-database-name&gt;&lt;remote-database-provider&gt;NLM&lt;/remote-database-provider&gt;&lt;/record&gt;&lt;/Cite&gt;&lt;/EndNote&gt;</w:instrText>
            </w:r>
            <w:r w:rsidRPr="004D46AC">
              <w:rPr>
                <w:i/>
                <w:iCs/>
              </w:rPr>
              <w:fldChar w:fldCharType="separate"/>
            </w:r>
            <w:r w:rsidRPr="004D46AC">
              <w:rPr>
                <w:i/>
                <w:iCs/>
              </w:rPr>
              <w:t>Braunig et al. (2009)</w:t>
            </w:r>
            <w:r w:rsidRPr="004D46AC">
              <w:fldChar w:fldCharType="end"/>
            </w:r>
          </w:p>
        </w:tc>
        <w:tc>
          <w:tcPr>
            <w:tcW w:w="1198" w:type="dxa"/>
            <w:vAlign w:val="center"/>
          </w:tcPr>
          <w:p w14:paraId="328D53DA" w14:textId="77777777" w:rsidR="009864DB" w:rsidRPr="004D46AC" w:rsidRDefault="009864DB" w:rsidP="009864DB">
            <w:pPr>
              <w:spacing w:line="240" w:lineRule="auto"/>
              <w:ind w:firstLine="0"/>
              <w:rPr>
                <w:i/>
                <w:iCs/>
              </w:rPr>
            </w:pPr>
            <w:r w:rsidRPr="004D46AC">
              <w:t>6</w:t>
            </w:r>
          </w:p>
        </w:tc>
        <w:tc>
          <w:tcPr>
            <w:tcW w:w="1178" w:type="dxa"/>
            <w:vAlign w:val="center"/>
          </w:tcPr>
          <w:p w14:paraId="72D69B06" w14:textId="77777777" w:rsidR="009864DB" w:rsidRPr="004D46AC" w:rsidRDefault="009864DB" w:rsidP="009864DB">
            <w:pPr>
              <w:spacing w:line="240" w:lineRule="auto"/>
              <w:ind w:firstLine="0"/>
              <w:rPr>
                <w:i/>
                <w:iCs/>
              </w:rPr>
            </w:pPr>
            <w:r w:rsidRPr="004D46AC">
              <w:t>41.27</w:t>
            </w:r>
          </w:p>
        </w:tc>
        <w:tc>
          <w:tcPr>
            <w:tcW w:w="1221" w:type="dxa"/>
            <w:vAlign w:val="center"/>
          </w:tcPr>
          <w:p w14:paraId="2E06244D" w14:textId="77777777" w:rsidR="009864DB" w:rsidRPr="004D46AC" w:rsidRDefault="009864DB" w:rsidP="009864DB">
            <w:pPr>
              <w:spacing w:line="240" w:lineRule="auto"/>
              <w:ind w:firstLine="0"/>
              <w:rPr>
                <w:i/>
                <w:iCs/>
              </w:rPr>
            </w:pPr>
            <w:r w:rsidRPr="004D46AC">
              <w:t>DSM4</w:t>
            </w:r>
          </w:p>
        </w:tc>
        <w:tc>
          <w:tcPr>
            <w:tcW w:w="1415" w:type="dxa"/>
            <w:vAlign w:val="center"/>
          </w:tcPr>
          <w:p w14:paraId="3CAB5FD6" w14:textId="77777777" w:rsidR="009864DB" w:rsidRPr="004D46AC" w:rsidRDefault="009864DB" w:rsidP="009864DB">
            <w:pPr>
              <w:spacing w:line="240" w:lineRule="auto"/>
              <w:ind w:firstLine="0"/>
              <w:rPr>
                <w:i/>
                <w:iCs/>
              </w:rPr>
            </w:pPr>
            <w:r w:rsidRPr="004D46AC">
              <w:t>AMDP</w:t>
            </w:r>
          </w:p>
        </w:tc>
        <w:tc>
          <w:tcPr>
            <w:tcW w:w="1147" w:type="dxa"/>
            <w:vAlign w:val="center"/>
          </w:tcPr>
          <w:p w14:paraId="1588619F" w14:textId="77777777" w:rsidR="009864DB" w:rsidRPr="004D46AC" w:rsidRDefault="009864DB" w:rsidP="009864DB">
            <w:pPr>
              <w:spacing w:line="240" w:lineRule="auto"/>
              <w:ind w:firstLine="0"/>
              <w:rPr>
                <w:i/>
                <w:iCs/>
              </w:rPr>
            </w:pPr>
            <w:r w:rsidRPr="004D46AC">
              <w:t>246</w:t>
            </w:r>
          </w:p>
        </w:tc>
        <w:tc>
          <w:tcPr>
            <w:tcW w:w="1178" w:type="dxa"/>
            <w:vAlign w:val="center"/>
          </w:tcPr>
          <w:p w14:paraId="2C15D22D" w14:textId="77777777" w:rsidR="009864DB" w:rsidRPr="004D46AC" w:rsidRDefault="009864DB" w:rsidP="009864DB">
            <w:pPr>
              <w:spacing w:line="240" w:lineRule="auto"/>
              <w:ind w:firstLine="0"/>
              <w:rPr>
                <w:i/>
                <w:iCs/>
              </w:rPr>
            </w:pPr>
            <w:r w:rsidRPr="004D46AC">
              <w:t>unclear</w:t>
            </w:r>
          </w:p>
        </w:tc>
        <w:tc>
          <w:tcPr>
            <w:tcW w:w="1167" w:type="dxa"/>
            <w:vAlign w:val="center"/>
          </w:tcPr>
          <w:p w14:paraId="5C2CD1C7" w14:textId="77777777" w:rsidR="009864DB" w:rsidRPr="004D46AC" w:rsidRDefault="009864DB" w:rsidP="009864DB">
            <w:pPr>
              <w:spacing w:line="240" w:lineRule="auto"/>
              <w:ind w:firstLine="0"/>
              <w:rPr>
                <w:i/>
                <w:iCs/>
              </w:rPr>
            </w:pPr>
            <w:r w:rsidRPr="004D46AC">
              <w:t>2</w:t>
            </w:r>
          </w:p>
        </w:tc>
        <w:tc>
          <w:tcPr>
            <w:tcW w:w="1162" w:type="dxa"/>
          </w:tcPr>
          <w:p w14:paraId="3E78996F"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33A2FE82" w14:textId="77777777" w:rsidR="009864DB" w:rsidRPr="004D46AC" w:rsidRDefault="009864DB" w:rsidP="009864DB">
            <w:pPr>
              <w:spacing w:line="240" w:lineRule="auto"/>
              <w:ind w:firstLine="0"/>
              <w:rPr>
                <w:i/>
                <w:iCs/>
              </w:rPr>
            </w:pPr>
            <w:r w:rsidRPr="004D46AC">
              <w:t>any</w:t>
            </w:r>
          </w:p>
        </w:tc>
        <w:tc>
          <w:tcPr>
            <w:tcW w:w="1163" w:type="dxa"/>
            <w:vAlign w:val="center"/>
          </w:tcPr>
          <w:p w14:paraId="0F0A8A23" w14:textId="77777777" w:rsidR="009864DB" w:rsidRPr="004D46AC" w:rsidRDefault="009864DB" w:rsidP="009864DB">
            <w:pPr>
              <w:spacing w:line="240" w:lineRule="auto"/>
              <w:ind w:firstLine="0"/>
              <w:rPr>
                <w:i/>
                <w:iCs/>
              </w:rPr>
            </w:pPr>
            <w:r w:rsidRPr="004D46AC">
              <w:t>113</w:t>
            </w:r>
          </w:p>
        </w:tc>
      </w:tr>
      <w:tr w:rsidR="009864DB" w:rsidRPr="004D46AC" w14:paraId="75437FF5" w14:textId="77777777" w:rsidTr="00B518F1">
        <w:tc>
          <w:tcPr>
            <w:tcW w:w="1908" w:type="dxa"/>
          </w:tcPr>
          <w:p w14:paraId="26295EEF"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AuthorYear="1"&gt;&lt;Author&gt;Abrams&lt;/Author&gt;&lt;Year&gt;1981&lt;/Year&gt;&lt;RecNum&gt;248&lt;/RecNum&gt;&lt;DisplayText&gt;Abrams and Taylor (1981)&lt;/DisplayText&gt;&lt;record&gt;&lt;rec-number&gt;248&lt;/rec-number&gt;&lt;foreign-keys&gt;&lt;key app="EN" db-id="aet009sstawa0hewvt3xwf5atffdw2dt02sw" timestamp="1666273817"&gt;248&lt;/key&gt;&lt;/foreign-keys&gt;&lt;ref-type name="Journal Article"&gt;17&lt;/ref-type&gt;&lt;contributors&gt;&lt;authors&gt;&lt;author&gt;Abrams, R.&lt;/author&gt;&lt;author&gt;Taylor, M. A.&lt;/author&gt;&lt;/authors&gt;&lt;/contributors&gt;&lt;titles&gt;&lt;title&gt;Importance of schizophrenic symptoms in the diagnosis of mania&lt;/title&gt;&lt;secondary-title&gt;Am J Psychiatry&lt;/secondary-title&gt;&lt;/titles&gt;&lt;periodical&gt;&lt;full-title&gt;Am J Psychiatry&lt;/full-title&gt;&lt;/periodical&gt;&lt;pages&gt;658-61&lt;/pages&gt;&lt;volume&gt;138&lt;/volume&gt;&lt;number&gt;5&lt;/number&gt;&lt;keywords&gt;&lt;keyword&gt;Affective Disorders, Psychotic/*diagnosis&lt;/keyword&gt;&lt;keyword&gt;Bipolar Disorder/*diagnosis&lt;/keyword&gt;&lt;keyword&gt;Diagnosis, Differential&lt;/keyword&gt;&lt;keyword&gt;Humans&lt;/keyword&gt;&lt;keyword&gt;Prognosis&lt;/keyword&gt;&lt;keyword&gt;Schizophrenia/diagnosis&lt;/keyword&gt;&lt;/keywords&gt;&lt;dates&gt;&lt;year&gt;1981&lt;/year&gt;&lt;pub-dates&gt;&lt;date&gt;May&lt;/date&gt;&lt;/pub-dates&gt;&lt;/dates&gt;&lt;isbn&gt;0002-953X (Print)&amp;#xD;0002-953X (Linking)&lt;/isbn&gt;&lt;accession-num&gt;7235064&lt;/accession-num&gt;&lt;urls&gt;&lt;related-urls&gt;&lt;url&gt;https://www.ncbi.nlm.nih.gov/pubmed/7235064&lt;/url&gt;&lt;/related-urls&gt;&lt;/urls&gt;&lt;electronic-resource-num&gt;10.1176/ajp.138.5.658&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Abrams and Taylor (1981)</w:t>
            </w:r>
            <w:r w:rsidRPr="004D46AC">
              <w:fldChar w:fldCharType="end"/>
            </w:r>
          </w:p>
        </w:tc>
        <w:tc>
          <w:tcPr>
            <w:tcW w:w="1198" w:type="dxa"/>
            <w:vAlign w:val="center"/>
          </w:tcPr>
          <w:p w14:paraId="1C2BBD1C" w14:textId="77777777" w:rsidR="009864DB" w:rsidRPr="004D46AC" w:rsidRDefault="009864DB" w:rsidP="009864DB">
            <w:pPr>
              <w:spacing w:line="240" w:lineRule="auto"/>
              <w:ind w:firstLine="0"/>
              <w:rPr>
                <w:i/>
                <w:iCs/>
              </w:rPr>
            </w:pPr>
            <w:r w:rsidRPr="004D46AC">
              <w:t>6</w:t>
            </w:r>
          </w:p>
        </w:tc>
        <w:tc>
          <w:tcPr>
            <w:tcW w:w="1178" w:type="dxa"/>
            <w:vAlign w:val="center"/>
          </w:tcPr>
          <w:p w14:paraId="55029D2F" w14:textId="77777777" w:rsidR="009864DB" w:rsidRPr="004D46AC" w:rsidRDefault="009864DB" w:rsidP="009864DB">
            <w:pPr>
              <w:spacing w:line="240" w:lineRule="auto"/>
              <w:ind w:firstLine="0"/>
              <w:rPr>
                <w:i/>
                <w:iCs/>
              </w:rPr>
            </w:pPr>
            <w:r w:rsidRPr="004D46AC">
              <w:t>40.32</w:t>
            </w:r>
          </w:p>
        </w:tc>
        <w:tc>
          <w:tcPr>
            <w:tcW w:w="1221" w:type="dxa"/>
            <w:vAlign w:val="center"/>
          </w:tcPr>
          <w:p w14:paraId="6054EEE3" w14:textId="77777777" w:rsidR="009864DB" w:rsidRPr="004D46AC" w:rsidRDefault="009864DB" w:rsidP="009864DB">
            <w:pPr>
              <w:spacing w:line="240" w:lineRule="auto"/>
              <w:ind w:firstLine="0"/>
              <w:rPr>
                <w:i/>
                <w:iCs/>
              </w:rPr>
            </w:pPr>
            <w:proofErr w:type="spellStart"/>
            <w:r w:rsidRPr="004D46AC">
              <w:t>feighner</w:t>
            </w:r>
            <w:proofErr w:type="spellEnd"/>
          </w:p>
        </w:tc>
        <w:tc>
          <w:tcPr>
            <w:tcW w:w="1415" w:type="dxa"/>
            <w:vAlign w:val="center"/>
          </w:tcPr>
          <w:p w14:paraId="355D5A00" w14:textId="77777777" w:rsidR="009864DB" w:rsidRPr="004D46AC" w:rsidRDefault="009864DB" w:rsidP="009864DB">
            <w:pPr>
              <w:spacing w:line="240" w:lineRule="auto"/>
              <w:ind w:firstLine="0"/>
              <w:rPr>
                <w:i/>
                <w:iCs/>
              </w:rPr>
            </w:pPr>
            <w:r w:rsidRPr="004D46AC">
              <w:t>unclear</w:t>
            </w:r>
          </w:p>
        </w:tc>
        <w:tc>
          <w:tcPr>
            <w:tcW w:w="1147" w:type="dxa"/>
            <w:vAlign w:val="center"/>
          </w:tcPr>
          <w:p w14:paraId="59527C2E" w14:textId="77777777" w:rsidR="009864DB" w:rsidRPr="004D46AC" w:rsidRDefault="009864DB" w:rsidP="009864DB">
            <w:pPr>
              <w:spacing w:line="240" w:lineRule="auto"/>
              <w:ind w:firstLine="0"/>
              <w:rPr>
                <w:i/>
                <w:iCs/>
              </w:rPr>
            </w:pPr>
            <w:r w:rsidRPr="004D46AC">
              <w:t>111</w:t>
            </w:r>
          </w:p>
        </w:tc>
        <w:tc>
          <w:tcPr>
            <w:tcW w:w="1178" w:type="dxa"/>
            <w:vAlign w:val="center"/>
          </w:tcPr>
          <w:p w14:paraId="4C72C3CE" w14:textId="77777777" w:rsidR="009864DB" w:rsidRPr="004D46AC" w:rsidRDefault="009864DB" w:rsidP="009864DB">
            <w:pPr>
              <w:spacing w:line="240" w:lineRule="auto"/>
              <w:ind w:firstLine="0"/>
              <w:rPr>
                <w:i/>
                <w:iCs/>
              </w:rPr>
            </w:pPr>
            <w:r w:rsidRPr="004D46AC">
              <w:t>3</w:t>
            </w:r>
          </w:p>
        </w:tc>
        <w:tc>
          <w:tcPr>
            <w:tcW w:w="1167" w:type="dxa"/>
            <w:vAlign w:val="center"/>
          </w:tcPr>
          <w:p w14:paraId="69CEA088" w14:textId="77777777" w:rsidR="009864DB" w:rsidRPr="004D46AC" w:rsidRDefault="009864DB" w:rsidP="009864DB">
            <w:pPr>
              <w:spacing w:line="240" w:lineRule="auto"/>
              <w:ind w:firstLine="0"/>
              <w:rPr>
                <w:i/>
                <w:iCs/>
              </w:rPr>
            </w:pPr>
            <w:r w:rsidRPr="004D46AC">
              <w:t>2</w:t>
            </w:r>
          </w:p>
        </w:tc>
        <w:tc>
          <w:tcPr>
            <w:tcW w:w="1162" w:type="dxa"/>
          </w:tcPr>
          <w:p w14:paraId="36F1746C"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680C261A" w14:textId="77777777" w:rsidR="009864DB" w:rsidRPr="004D46AC" w:rsidRDefault="009864DB" w:rsidP="009864DB">
            <w:pPr>
              <w:spacing w:line="240" w:lineRule="auto"/>
              <w:ind w:firstLine="0"/>
              <w:rPr>
                <w:i/>
                <w:iCs/>
              </w:rPr>
            </w:pPr>
            <w:r w:rsidRPr="004D46AC">
              <w:t>auditory</w:t>
            </w:r>
          </w:p>
        </w:tc>
        <w:tc>
          <w:tcPr>
            <w:tcW w:w="1163" w:type="dxa"/>
            <w:vAlign w:val="center"/>
          </w:tcPr>
          <w:p w14:paraId="351EAF9A" w14:textId="77777777" w:rsidR="009864DB" w:rsidRPr="004D46AC" w:rsidRDefault="009864DB" w:rsidP="009864DB">
            <w:pPr>
              <w:spacing w:line="240" w:lineRule="auto"/>
              <w:ind w:firstLine="0"/>
              <w:rPr>
                <w:i/>
                <w:iCs/>
              </w:rPr>
            </w:pPr>
            <w:r w:rsidRPr="004D46AC">
              <w:t>22</w:t>
            </w:r>
          </w:p>
        </w:tc>
      </w:tr>
      <w:tr w:rsidR="009864DB" w:rsidRPr="004D46AC" w14:paraId="703E1819" w14:textId="77777777" w:rsidTr="00B518F1">
        <w:tc>
          <w:tcPr>
            <w:tcW w:w="1908" w:type="dxa"/>
          </w:tcPr>
          <w:p w14:paraId="3990D21D"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PEVuZE5vdGU+PENpdGUgQXV0aG9yWWVhcj0iMSI+PEF1dGhvcj5QcmFrYXNoPC9BdXRob3I+PFll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rPr>
                <w:i/>
                <w:iCs/>
              </w:rPr>
              <w:instrText xml:space="preserve"> ADDIN EN.CITE </w:instrText>
            </w:r>
            <w:r w:rsidRPr="004D46AC">
              <w:rPr>
                <w:i/>
                <w:iCs/>
              </w:rPr>
              <w:fldChar w:fldCharType="begin">
                <w:fldData xml:space="preserve">PEVuZE5vdGU+PENpdGUgQXV0aG9yWWVhcj0iMSI+PEF1dGhvcj5QcmFrYXNoPC9BdXRob3I+PFll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Prakash et al. (2009)</w:t>
            </w:r>
            <w:r w:rsidRPr="004D46AC">
              <w:fldChar w:fldCharType="end"/>
            </w:r>
          </w:p>
        </w:tc>
        <w:tc>
          <w:tcPr>
            <w:tcW w:w="1198" w:type="dxa"/>
            <w:vAlign w:val="center"/>
          </w:tcPr>
          <w:p w14:paraId="03D982F9" w14:textId="77777777" w:rsidR="009864DB" w:rsidRPr="004D46AC" w:rsidRDefault="009864DB" w:rsidP="009864DB">
            <w:pPr>
              <w:spacing w:line="240" w:lineRule="auto"/>
              <w:ind w:firstLine="0"/>
              <w:rPr>
                <w:i/>
                <w:iCs/>
              </w:rPr>
            </w:pPr>
            <w:r w:rsidRPr="004D46AC">
              <w:t>5</w:t>
            </w:r>
          </w:p>
        </w:tc>
        <w:tc>
          <w:tcPr>
            <w:tcW w:w="1178" w:type="dxa"/>
            <w:vAlign w:val="center"/>
          </w:tcPr>
          <w:p w14:paraId="4A82352A" w14:textId="77777777" w:rsidR="009864DB" w:rsidRPr="004D46AC" w:rsidRDefault="009864DB" w:rsidP="009864DB">
            <w:pPr>
              <w:spacing w:line="240" w:lineRule="auto"/>
              <w:ind w:firstLine="0"/>
              <w:rPr>
                <w:i/>
                <w:iCs/>
              </w:rPr>
            </w:pPr>
            <w:r w:rsidRPr="004D46AC">
              <w:t>68.5</w:t>
            </w:r>
          </w:p>
        </w:tc>
        <w:tc>
          <w:tcPr>
            <w:tcW w:w="1221" w:type="dxa"/>
            <w:vAlign w:val="center"/>
          </w:tcPr>
          <w:p w14:paraId="003E7AA2" w14:textId="77777777" w:rsidR="009864DB" w:rsidRPr="004D46AC" w:rsidRDefault="009864DB" w:rsidP="009864DB">
            <w:pPr>
              <w:spacing w:line="240" w:lineRule="auto"/>
              <w:ind w:firstLine="0"/>
              <w:rPr>
                <w:i/>
                <w:iCs/>
              </w:rPr>
            </w:pPr>
            <w:r w:rsidRPr="004D46AC">
              <w:t>ICD10</w:t>
            </w:r>
          </w:p>
        </w:tc>
        <w:tc>
          <w:tcPr>
            <w:tcW w:w="1415" w:type="dxa"/>
            <w:vAlign w:val="center"/>
          </w:tcPr>
          <w:p w14:paraId="77F33B51" w14:textId="77777777" w:rsidR="009864DB" w:rsidRPr="004D46AC" w:rsidRDefault="009864DB" w:rsidP="009864DB">
            <w:pPr>
              <w:spacing w:line="240" w:lineRule="auto"/>
              <w:ind w:firstLine="0"/>
              <w:rPr>
                <w:i/>
                <w:iCs/>
              </w:rPr>
            </w:pPr>
            <w:r w:rsidRPr="004D46AC">
              <w:t>unclear</w:t>
            </w:r>
          </w:p>
        </w:tc>
        <w:tc>
          <w:tcPr>
            <w:tcW w:w="1147" w:type="dxa"/>
            <w:vAlign w:val="center"/>
          </w:tcPr>
          <w:p w14:paraId="4937818C" w14:textId="77777777" w:rsidR="009864DB" w:rsidRPr="004D46AC" w:rsidRDefault="009864DB" w:rsidP="009864DB">
            <w:pPr>
              <w:spacing w:line="240" w:lineRule="auto"/>
              <w:ind w:firstLine="0"/>
              <w:rPr>
                <w:i/>
                <w:iCs/>
              </w:rPr>
            </w:pPr>
            <w:r w:rsidRPr="004D46AC">
              <w:t>30</w:t>
            </w:r>
          </w:p>
        </w:tc>
        <w:tc>
          <w:tcPr>
            <w:tcW w:w="1178" w:type="dxa"/>
            <w:vAlign w:val="center"/>
          </w:tcPr>
          <w:p w14:paraId="7171A81B" w14:textId="77777777" w:rsidR="009864DB" w:rsidRPr="004D46AC" w:rsidRDefault="009864DB" w:rsidP="009864DB">
            <w:pPr>
              <w:spacing w:line="240" w:lineRule="auto"/>
              <w:ind w:firstLine="0"/>
              <w:rPr>
                <w:i/>
                <w:iCs/>
              </w:rPr>
            </w:pPr>
            <w:r w:rsidRPr="004D46AC">
              <w:t>1</w:t>
            </w:r>
          </w:p>
        </w:tc>
        <w:tc>
          <w:tcPr>
            <w:tcW w:w="1167" w:type="dxa"/>
            <w:vAlign w:val="center"/>
          </w:tcPr>
          <w:p w14:paraId="304B0241" w14:textId="77777777" w:rsidR="009864DB" w:rsidRPr="004D46AC" w:rsidRDefault="009864DB" w:rsidP="009864DB">
            <w:pPr>
              <w:spacing w:line="240" w:lineRule="auto"/>
              <w:ind w:firstLine="0"/>
              <w:rPr>
                <w:i/>
                <w:iCs/>
              </w:rPr>
            </w:pPr>
            <w:r w:rsidRPr="004D46AC">
              <w:t>2</w:t>
            </w:r>
          </w:p>
        </w:tc>
        <w:tc>
          <w:tcPr>
            <w:tcW w:w="1162" w:type="dxa"/>
          </w:tcPr>
          <w:p w14:paraId="48A24790"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14A031E3" w14:textId="77777777" w:rsidR="009864DB" w:rsidRPr="004D46AC" w:rsidRDefault="009864DB" w:rsidP="009864DB">
            <w:pPr>
              <w:spacing w:line="240" w:lineRule="auto"/>
              <w:ind w:firstLine="0"/>
              <w:rPr>
                <w:i/>
                <w:iCs/>
              </w:rPr>
            </w:pPr>
            <w:r w:rsidRPr="004D46AC">
              <w:t>any</w:t>
            </w:r>
          </w:p>
        </w:tc>
        <w:tc>
          <w:tcPr>
            <w:tcW w:w="1163" w:type="dxa"/>
            <w:vAlign w:val="center"/>
          </w:tcPr>
          <w:p w14:paraId="60A68B62" w14:textId="77777777" w:rsidR="009864DB" w:rsidRPr="004D46AC" w:rsidRDefault="009864DB" w:rsidP="009864DB">
            <w:pPr>
              <w:spacing w:line="240" w:lineRule="auto"/>
              <w:ind w:firstLine="0"/>
              <w:rPr>
                <w:i/>
                <w:iCs/>
              </w:rPr>
            </w:pPr>
            <w:r w:rsidRPr="004D46AC">
              <w:t>3</w:t>
            </w:r>
          </w:p>
        </w:tc>
      </w:tr>
      <w:tr w:rsidR="009864DB" w:rsidRPr="004D46AC" w14:paraId="370E0960" w14:textId="77777777" w:rsidTr="00B518F1">
        <w:tc>
          <w:tcPr>
            <w:tcW w:w="1908" w:type="dxa"/>
          </w:tcPr>
          <w:p w14:paraId="192F6DB2"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AuthorYear="1"&gt;&lt;Author&gt;Nisha&lt;/Author&gt;&lt;Year&gt;2015&lt;/Year&gt;&lt;RecNum&gt;256&lt;/RecNum&gt;&lt;DisplayText&gt;Nisha et al. (2015)&lt;/DisplayText&gt;&lt;record&gt;&lt;rec-number&gt;256&lt;/rec-number&gt;&lt;foreign-keys&gt;&lt;key app="EN" db-id="aet009sstawa0hewvt3xwf5atffdw2dt02sw" timestamp="1666336957"&gt;256&lt;/key&gt;&lt;/foreign-keys&gt;&lt;ref-type name="Journal Article"&gt;17&lt;/ref-type&gt;&lt;contributors&gt;&lt;authors&gt;&lt;author&gt;Nisha, A.&lt;/author&gt;&lt;author&gt;Sathesh, V.&lt;/author&gt;&lt;author&gt;Punnoose, V. P.&lt;/author&gt;&lt;author&gt;Varghese, P. J.&lt;/author&gt;&lt;/authors&gt;&lt;/contributors&gt;&lt;auth-address&gt;Department of Psychiatry, MOSC Medical College, Kolenchery, Ernakulam, Kerala, India.&amp;#xD;Department of Psychiatry, T D Medical College, Alappuzha, Kerala, India.&amp;#xD;Department of Psychiatry, Government Medical College, Kottayam, Kerala, India.&lt;/auth-address&gt;&lt;titles&gt;&lt;title&gt;A comparative study on psycho-socio-demographic and clinical profile of patients with bipolar versus unipolar depression&lt;/title&gt;&lt;secondary-title&gt;Indian J Psychiatry&lt;/secondary-title&gt;&lt;/titles&gt;&lt;periodical&gt;&lt;full-title&gt;Indian J Psychiatry&lt;/full-title&gt;&lt;/periodical&gt;&lt;pages&gt;392-6&lt;/pages&gt;&lt;volume&gt;57&lt;/volume&gt;&lt;number&gt;4&lt;/number&gt;&lt;keywords&gt;&lt;keyword&gt;Bipolar depression&lt;/keyword&gt;&lt;keyword&gt;comparative study&lt;/keyword&gt;&lt;keyword&gt;unipolar depression&lt;/keyword&gt;&lt;/keywords&gt;&lt;dates&gt;&lt;year&gt;2015&lt;/year&gt;&lt;pub-dates&gt;&lt;date&gt;Oct-Dec&lt;/date&gt;&lt;/pub-dates&gt;&lt;/dates&gt;&lt;isbn&gt;0019-5545 (Print)&amp;#xD;1998-3794 (Electronic)&amp;#xD;0019-5545 (Linking)&lt;/isbn&gt;&lt;accession-num&gt;26813699&lt;/accession-num&gt;&lt;urls&gt;&lt;related-urls&gt;&lt;url&gt;https://www.ncbi.nlm.nih.gov/pubmed/26813699&lt;/url&gt;&lt;/related-urls&gt;&lt;/urls&gt;&lt;custom2&gt;PMC4711241&lt;/custom2&gt;&lt;electronic-resource-num&gt;10.4103/0019-5545.171842&lt;/electronic-resource-num&gt;&lt;remote-database-name&gt;PubMed-not-MEDLINE&lt;/remote-database-name&gt;&lt;remote-database-provider&gt;PIP&lt;/remote-database-provider&gt;&lt;language&gt;eng&lt;/language&gt;&lt;/record&gt;&lt;/Cite&gt;&lt;/EndNote&gt;</w:instrText>
            </w:r>
            <w:r w:rsidRPr="004D46AC">
              <w:rPr>
                <w:i/>
                <w:iCs/>
              </w:rPr>
              <w:fldChar w:fldCharType="separate"/>
            </w:r>
            <w:r w:rsidRPr="004D46AC">
              <w:rPr>
                <w:i/>
                <w:iCs/>
              </w:rPr>
              <w:t>Nisha et al. (2015)</w:t>
            </w:r>
            <w:r w:rsidRPr="004D46AC">
              <w:fldChar w:fldCharType="end"/>
            </w:r>
          </w:p>
        </w:tc>
        <w:tc>
          <w:tcPr>
            <w:tcW w:w="1198" w:type="dxa"/>
            <w:vAlign w:val="center"/>
          </w:tcPr>
          <w:p w14:paraId="4B900DD2" w14:textId="77777777" w:rsidR="009864DB" w:rsidRPr="004D46AC" w:rsidRDefault="009864DB" w:rsidP="009864DB">
            <w:pPr>
              <w:spacing w:line="240" w:lineRule="auto"/>
              <w:ind w:firstLine="0"/>
              <w:rPr>
                <w:i/>
                <w:iCs/>
              </w:rPr>
            </w:pPr>
            <w:r w:rsidRPr="004D46AC">
              <w:t>6</w:t>
            </w:r>
          </w:p>
        </w:tc>
        <w:tc>
          <w:tcPr>
            <w:tcW w:w="1178" w:type="dxa"/>
            <w:vAlign w:val="center"/>
          </w:tcPr>
          <w:p w14:paraId="706F080E" w14:textId="77777777" w:rsidR="009864DB" w:rsidRPr="004D46AC" w:rsidRDefault="009864DB" w:rsidP="009864DB">
            <w:pPr>
              <w:spacing w:line="240" w:lineRule="auto"/>
              <w:ind w:firstLine="0"/>
              <w:rPr>
                <w:i/>
                <w:iCs/>
              </w:rPr>
            </w:pPr>
            <w:r w:rsidRPr="004D46AC">
              <w:t>39.1</w:t>
            </w:r>
          </w:p>
        </w:tc>
        <w:tc>
          <w:tcPr>
            <w:tcW w:w="1221" w:type="dxa"/>
            <w:vAlign w:val="center"/>
          </w:tcPr>
          <w:p w14:paraId="6E94E7F6" w14:textId="77777777" w:rsidR="009864DB" w:rsidRPr="004D46AC" w:rsidRDefault="009864DB" w:rsidP="009864DB">
            <w:pPr>
              <w:spacing w:line="240" w:lineRule="auto"/>
              <w:ind w:firstLine="0"/>
              <w:rPr>
                <w:i/>
                <w:iCs/>
              </w:rPr>
            </w:pPr>
            <w:r w:rsidRPr="004D46AC">
              <w:t>DCR10</w:t>
            </w:r>
          </w:p>
        </w:tc>
        <w:tc>
          <w:tcPr>
            <w:tcW w:w="1415" w:type="dxa"/>
            <w:vAlign w:val="center"/>
          </w:tcPr>
          <w:p w14:paraId="6193B157" w14:textId="77777777" w:rsidR="009864DB" w:rsidRPr="004D46AC" w:rsidRDefault="009864DB" w:rsidP="009864DB">
            <w:pPr>
              <w:spacing w:line="240" w:lineRule="auto"/>
              <w:ind w:firstLine="0"/>
              <w:rPr>
                <w:i/>
                <w:iCs/>
              </w:rPr>
            </w:pPr>
            <w:r w:rsidRPr="004D46AC">
              <w:t>unclear</w:t>
            </w:r>
          </w:p>
        </w:tc>
        <w:tc>
          <w:tcPr>
            <w:tcW w:w="1147" w:type="dxa"/>
            <w:vAlign w:val="center"/>
          </w:tcPr>
          <w:p w14:paraId="7A0742E0" w14:textId="77777777" w:rsidR="009864DB" w:rsidRPr="004D46AC" w:rsidRDefault="009864DB" w:rsidP="009864DB">
            <w:pPr>
              <w:spacing w:line="240" w:lineRule="auto"/>
              <w:ind w:firstLine="0"/>
              <w:rPr>
                <w:i/>
                <w:iCs/>
              </w:rPr>
            </w:pPr>
            <w:r w:rsidRPr="004D46AC">
              <w:t>30</w:t>
            </w:r>
          </w:p>
        </w:tc>
        <w:tc>
          <w:tcPr>
            <w:tcW w:w="1178" w:type="dxa"/>
            <w:vAlign w:val="center"/>
          </w:tcPr>
          <w:p w14:paraId="039D7747" w14:textId="77777777" w:rsidR="009864DB" w:rsidRPr="004D46AC" w:rsidRDefault="009864DB" w:rsidP="009864DB">
            <w:pPr>
              <w:spacing w:line="240" w:lineRule="auto"/>
              <w:ind w:firstLine="0"/>
              <w:rPr>
                <w:i/>
                <w:iCs/>
              </w:rPr>
            </w:pPr>
            <w:r w:rsidRPr="004D46AC">
              <w:t>3</w:t>
            </w:r>
          </w:p>
        </w:tc>
        <w:tc>
          <w:tcPr>
            <w:tcW w:w="1167" w:type="dxa"/>
            <w:vAlign w:val="center"/>
          </w:tcPr>
          <w:p w14:paraId="4AF5817C" w14:textId="77777777" w:rsidR="009864DB" w:rsidRPr="004D46AC" w:rsidRDefault="009864DB" w:rsidP="009864DB">
            <w:pPr>
              <w:spacing w:line="240" w:lineRule="auto"/>
              <w:ind w:firstLine="0"/>
              <w:rPr>
                <w:i/>
                <w:iCs/>
              </w:rPr>
            </w:pPr>
            <w:r w:rsidRPr="004D46AC">
              <w:t>1</w:t>
            </w:r>
          </w:p>
        </w:tc>
        <w:tc>
          <w:tcPr>
            <w:tcW w:w="1162" w:type="dxa"/>
          </w:tcPr>
          <w:p w14:paraId="47754FB5"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A7FAE8A" w14:textId="77777777" w:rsidR="009864DB" w:rsidRPr="004D46AC" w:rsidRDefault="009864DB" w:rsidP="009864DB">
            <w:pPr>
              <w:spacing w:line="240" w:lineRule="auto"/>
              <w:ind w:firstLine="0"/>
              <w:rPr>
                <w:i/>
                <w:iCs/>
              </w:rPr>
            </w:pPr>
            <w:r w:rsidRPr="004D46AC">
              <w:t>any</w:t>
            </w:r>
          </w:p>
        </w:tc>
        <w:tc>
          <w:tcPr>
            <w:tcW w:w="1163" w:type="dxa"/>
            <w:vAlign w:val="center"/>
          </w:tcPr>
          <w:p w14:paraId="0F57D188" w14:textId="77777777" w:rsidR="009864DB" w:rsidRPr="004D46AC" w:rsidRDefault="009864DB" w:rsidP="009864DB">
            <w:pPr>
              <w:spacing w:line="240" w:lineRule="auto"/>
              <w:ind w:firstLine="0"/>
              <w:rPr>
                <w:i/>
                <w:iCs/>
              </w:rPr>
            </w:pPr>
            <w:r w:rsidRPr="004D46AC">
              <w:t>15</w:t>
            </w:r>
          </w:p>
        </w:tc>
      </w:tr>
      <w:tr w:rsidR="009864DB" w:rsidRPr="004D46AC" w14:paraId="2C9F86DF" w14:textId="77777777" w:rsidTr="00B518F1">
        <w:tc>
          <w:tcPr>
            <w:tcW w:w="1908" w:type="dxa"/>
          </w:tcPr>
          <w:p w14:paraId="308A7FD8"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AuthorYear="1"&gt;&lt;Author&gt;Winokur&lt;/Author&gt;&lt;Year&gt;1985&lt;/Year&gt;&lt;RecNum&gt;303&lt;/RecNum&gt;&lt;DisplayText&gt;Winokur et al. (1985)&lt;/DisplayText&gt;&lt;record&gt;&lt;rec-number&gt;303&lt;/rec-number&gt;&lt;foreign-keys&gt;&lt;key app="EN" db-id="aet009sstawa0hewvt3xwf5atffdw2dt02sw" timestamp="1666493636"&gt;303&lt;/key&gt;&lt;/foreign-keys&gt;&lt;ref-type name="Journal Article"&gt;17&lt;/ref-type&gt;&lt;contributors&gt;&lt;authors&gt;&lt;author&gt;Winokur, G.&lt;/author&gt;&lt;author&gt;Scharfetter, C.&lt;/author&gt;&lt;author&gt;Angst, J.&lt;/author&gt;&lt;/authors&gt;&lt;/contributors&gt;&lt;titles&gt;&lt;title&gt;The diagnostic value in assessing mood congruence in delusions and hallucinations and their relationship to the affective state&lt;/title&gt;&lt;secondary-title&gt;Eur Arch Psychiatry Neurol Sci&lt;/secondary-title&gt;&lt;/titles&gt;&lt;periodical&gt;&lt;full-title&gt;Eur Arch Psychiatry Neurol Sci&lt;/full-title&gt;&lt;/periodical&gt;&lt;pages&gt;299-302&lt;/pages&gt;&lt;volume&gt;234&lt;/volume&gt;&lt;number&gt;5&lt;/number&gt;&lt;keywords&gt;&lt;keyword&gt;Adult&lt;/keyword&gt;&lt;keyword&gt;Bipolar Disorder/*diagnosis/psychology&lt;/keyword&gt;&lt;keyword&gt;Delusions/*diagnosis/psychology&lt;/keyword&gt;&lt;keyword&gt;Depressive Disorder/*diagnosis/psychology&lt;/keyword&gt;&lt;keyword&gt;Diagnosis, Differential&lt;/keyword&gt;&lt;keyword&gt;Female&lt;/keyword&gt;&lt;keyword&gt;Hallucinations/*diagnosis/psychology&lt;/keyword&gt;&lt;keyword&gt;Humans&lt;/keyword&gt;&lt;keyword&gt;Male&lt;/keyword&gt;&lt;keyword&gt;Middle Aged&lt;/keyword&gt;&lt;keyword&gt;Psychotic Disorders/*diagnosis/psychology&lt;/keyword&gt;&lt;keyword&gt;Schizophrenia/*diagnosis&lt;/keyword&gt;&lt;keyword&gt;Schizophrenic Psychology&lt;/keyword&gt;&lt;/keywords&gt;&lt;dates&gt;&lt;year&gt;1985&lt;/year&gt;&lt;/dates&gt;&lt;isbn&gt;0175-758X (Print)&amp;#xD;0175-758X (Linking)&lt;/isbn&gt;&lt;accession-num&gt;3987738&lt;/accession-num&gt;&lt;urls&gt;&lt;related-urls&gt;&lt;url&gt;https://www.ncbi.nlm.nih.gov/pubmed/3987738&lt;/url&gt;&lt;/related-urls&gt;&lt;/urls&gt;&lt;electronic-resource-num&gt;10.1007/BF00381040&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Winokur et al. (1985)</w:t>
            </w:r>
            <w:r w:rsidRPr="004D46AC">
              <w:fldChar w:fldCharType="end"/>
            </w:r>
          </w:p>
        </w:tc>
        <w:tc>
          <w:tcPr>
            <w:tcW w:w="1198" w:type="dxa"/>
            <w:vAlign w:val="center"/>
          </w:tcPr>
          <w:p w14:paraId="4C573E63" w14:textId="77777777" w:rsidR="009864DB" w:rsidRPr="004D46AC" w:rsidRDefault="009864DB" w:rsidP="009864DB">
            <w:pPr>
              <w:spacing w:line="240" w:lineRule="auto"/>
              <w:ind w:firstLine="0"/>
            </w:pPr>
            <w:r w:rsidRPr="004D46AC">
              <w:t>4</w:t>
            </w:r>
          </w:p>
        </w:tc>
        <w:tc>
          <w:tcPr>
            <w:tcW w:w="1178" w:type="dxa"/>
            <w:vAlign w:val="center"/>
          </w:tcPr>
          <w:p w14:paraId="4A01294A" w14:textId="77777777" w:rsidR="009864DB" w:rsidRPr="004D46AC" w:rsidRDefault="009864DB" w:rsidP="009864DB">
            <w:pPr>
              <w:spacing w:line="240" w:lineRule="auto"/>
              <w:ind w:firstLine="0"/>
              <w:rPr>
                <w:i/>
                <w:iCs/>
              </w:rPr>
            </w:pPr>
            <w:r w:rsidRPr="004D46AC">
              <w:t>NA</w:t>
            </w:r>
          </w:p>
        </w:tc>
        <w:tc>
          <w:tcPr>
            <w:tcW w:w="1221" w:type="dxa"/>
            <w:vAlign w:val="center"/>
          </w:tcPr>
          <w:p w14:paraId="2999E71B" w14:textId="77777777" w:rsidR="009864DB" w:rsidRPr="004D46AC" w:rsidRDefault="009864DB" w:rsidP="009864DB">
            <w:pPr>
              <w:spacing w:line="240" w:lineRule="auto"/>
              <w:ind w:firstLine="0"/>
              <w:rPr>
                <w:i/>
                <w:iCs/>
              </w:rPr>
            </w:pPr>
            <w:r w:rsidRPr="004D46AC">
              <w:t>unclear</w:t>
            </w:r>
          </w:p>
        </w:tc>
        <w:tc>
          <w:tcPr>
            <w:tcW w:w="1415" w:type="dxa"/>
            <w:vAlign w:val="center"/>
          </w:tcPr>
          <w:p w14:paraId="1043CDE1" w14:textId="77777777" w:rsidR="009864DB" w:rsidRPr="004D46AC" w:rsidRDefault="009864DB" w:rsidP="009864DB">
            <w:pPr>
              <w:spacing w:line="240" w:lineRule="auto"/>
              <w:ind w:firstLine="0"/>
              <w:rPr>
                <w:i/>
                <w:iCs/>
              </w:rPr>
            </w:pPr>
            <w:r w:rsidRPr="004D46AC">
              <w:t>unclear</w:t>
            </w:r>
          </w:p>
        </w:tc>
        <w:tc>
          <w:tcPr>
            <w:tcW w:w="1147" w:type="dxa"/>
            <w:vAlign w:val="center"/>
          </w:tcPr>
          <w:p w14:paraId="143DE6C4" w14:textId="77777777" w:rsidR="009864DB" w:rsidRPr="004D46AC" w:rsidRDefault="009864DB" w:rsidP="009864DB">
            <w:pPr>
              <w:spacing w:line="240" w:lineRule="auto"/>
              <w:ind w:firstLine="0"/>
              <w:rPr>
                <w:i/>
                <w:iCs/>
              </w:rPr>
            </w:pPr>
            <w:r w:rsidRPr="004D46AC">
              <w:t>122</w:t>
            </w:r>
          </w:p>
        </w:tc>
        <w:tc>
          <w:tcPr>
            <w:tcW w:w="1178" w:type="dxa"/>
            <w:vAlign w:val="center"/>
          </w:tcPr>
          <w:p w14:paraId="25CA9F42" w14:textId="77777777" w:rsidR="009864DB" w:rsidRPr="004D46AC" w:rsidRDefault="009864DB" w:rsidP="009864DB">
            <w:pPr>
              <w:spacing w:line="240" w:lineRule="auto"/>
              <w:ind w:firstLine="0"/>
              <w:rPr>
                <w:i/>
                <w:iCs/>
              </w:rPr>
            </w:pPr>
            <w:r w:rsidRPr="004D46AC">
              <w:t>3</w:t>
            </w:r>
          </w:p>
        </w:tc>
        <w:tc>
          <w:tcPr>
            <w:tcW w:w="1167" w:type="dxa"/>
            <w:vAlign w:val="center"/>
          </w:tcPr>
          <w:p w14:paraId="694C6756" w14:textId="77777777" w:rsidR="009864DB" w:rsidRPr="004D46AC" w:rsidRDefault="009864DB" w:rsidP="009864DB">
            <w:pPr>
              <w:spacing w:line="240" w:lineRule="auto"/>
              <w:ind w:firstLine="0"/>
              <w:rPr>
                <w:i/>
                <w:iCs/>
              </w:rPr>
            </w:pPr>
            <w:r w:rsidRPr="004D46AC">
              <w:t>1</w:t>
            </w:r>
          </w:p>
        </w:tc>
        <w:tc>
          <w:tcPr>
            <w:tcW w:w="1162" w:type="dxa"/>
          </w:tcPr>
          <w:p w14:paraId="33254F92"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396A5B26" w14:textId="77777777" w:rsidR="009864DB" w:rsidRPr="004D46AC" w:rsidRDefault="009864DB" w:rsidP="009864DB">
            <w:pPr>
              <w:spacing w:line="240" w:lineRule="auto"/>
              <w:ind w:firstLine="0"/>
              <w:rPr>
                <w:i/>
                <w:iCs/>
              </w:rPr>
            </w:pPr>
            <w:r w:rsidRPr="004D46AC">
              <w:t>auditory</w:t>
            </w:r>
          </w:p>
        </w:tc>
        <w:tc>
          <w:tcPr>
            <w:tcW w:w="1163" w:type="dxa"/>
            <w:vAlign w:val="center"/>
          </w:tcPr>
          <w:p w14:paraId="403782BE" w14:textId="77777777" w:rsidR="009864DB" w:rsidRPr="004D46AC" w:rsidRDefault="009864DB" w:rsidP="009864DB">
            <w:pPr>
              <w:spacing w:line="240" w:lineRule="auto"/>
              <w:ind w:firstLine="0"/>
              <w:rPr>
                <w:i/>
                <w:iCs/>
              </w:rPr>
            </w:pPr>
            <w:r w:rsidRPr="004D46AC">
              <w:t>17</w:t>
            </w:r>
          </w:p>
        </w:tc>
      </w:tr>
      <w:tr w:rsidR="009864DB" w:rsidRPr="004D46AC" w14:paraId="14ADC938" w14:textId="77777777" w:rsidTr="00B518F1">
        <w:tc>
          <w:tcPr>
            <w:tcW w:w="1908" w:type="dxa"/>
          </w:tcPr>
          <w:p w14:paraId="7F05D64D"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i/>
                <w:iCs/>
              </w:rPr>
              <w:instrText xml:space="preserve"> ADDIN EN.CITE </w:instrText>
            </w:r>
            <w:r w:rsidRPr="004D46AC">
              <w:rPr>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Stein et al. (2020)</w:t>
            </w:r>
            <w:r w:rsidRPr="004D46AC">
              <w:fldChar w:fldCharType="end"/>
            </w:r>
          </w:p>
        </w:tc>
        <w:tc>
          <w:tcPr>
            <w:tcW w:w="1198" w:type="dxa"/>
            <w:vAlign w:val="center"/>
          </w:tcPr>
          <w:p w14:paraId="1DFB3825" w14:textId="77777777" w:rsidR="009864DB" w:rsidRPr="004D46AC" w:rsidRDefault="009864DB" w:rsidP="009864DB">
            <w:pPr>
              <w:spacing w:line="240" w:lineRule="auto"/>
              <w:ind w:firstLine="0"/>
              <w:rPr>
                <w:i/>
                <w:iCs/>
              </w:rPr>
            </w:pPr>
            <w:r w:rsidRPr="004D46AC">
              <w:t>6</w:t>
            </w:r>
          </w:p>
        </w:tc>
        <w:tc>
          <w:tcPr>
            <w:tcW w:w="1178" w:type="dxa"/>
            <w:vAlign w:val="center"/>
          </w:tcPr>
          <w:p w14:paraId="49A593C5" w14:textId="77777777" w:rsidR="009864DB" w:rsidRPr="004D46AC" w:rsidRDefault="009864DB" w:rsidP="009864DB">
            <w:pPr>
              <w:spacing w:line="240" w:lineRule="auto"/>
              <w:ind w:firstLine="0"/>
              <w:rPr>
                <w:i/>
                <w:iCs/>
              </w:rPr>
            </w:pPr>
            <w:r w:rsidRPr="004D46AC">
              <w:t>41.72</w:t>
            </w:r>
          </w:p>
        </w:tc>
        <w:tc>
          <w:tcPr>
            <w:tcW w:w="1221" w:type="dxa"/>
            <w:vAlign w:val="center"/>
          </w:tcPr>
          <w:p w14:paraId="7022CC79" w14:textId="77777777" w:rsidR="009864DB" w:rsidRPr="004D46AC" w:rsidRDefault="009864DB" w:rsidP="009864DB">
            <w:pPr>
              <w:spacing w:line="240" w:lineRule="auto"/>
              <w:ind w:firstLine="0"/>
              <w:rPr>
                <w:i/>
                <w:iCs/>
              </w:rPr>
            </w:pPr>
            <w:r w:rsidRPr="004D46AC">
              <w:t>DSM4</w:t>
            </w:r>
          </w:p>
        </w:tc>
        <w:tc>
          <w:tcPr>
            <w:tcW w:w="1415" w:type="dxa"/>
            <w:vAlign w:val="center"/>
          </w:tcPr>
          <w:p w14:paraId="020B2AFB" w14:textId="77777777" w:rsidR="009864DB" w:rsidRPr="004D46AC" w:rsidRDefault="009864DB" w:rsidP="009864DB">
            <w:pPr>
              <w:spacing w:line="240" w:lineRule="auto"/>
              <w:ind w:firstLine="0"/>
              <w:rPr>
                <w:i/>
                <w:iCs/>
              </w:rPr>
            </w:pPr>
            <w:r w:rsidRPr="004D46AC">
              <w:t>SAPS</w:t>
            </w:r>
          </w:p>
        </w:tc>
        <w:tc>
          <w:tcPr>
            <w:tcW w:w="1147" w:type="dxa"/>
            <w:vAlign w:val="center"/>
          </w:tcPr>
          <w:p w14:paraId="017C9DC1" w14:textId="77777777" w:rsidR="009864DB" w:rsidRPr="004D46AC" w:rsidRDefault="009864DB" w:rsidP="009864DB">
            <w:pPr>
              <w:spacing w:line="240" w:lineRule="auto"/>
              <w:ind w:firstLine="0"/>
              <w:rPr>
                <w:i/>
                <w:iCs/>
              </w:rPr>
            </w:pPr>
            <w:r w:rsidRPr="004D46AC">
              <w:t>151</w:t>
            </w:r>
          </w:p>
        </w:tc>
        <w:tc>
          <w:tcPr>
            <w:tcW w:w="1178" w:type="dxa"/>
            <w:vAlign w:val="center"/>
          </w:tcPr>
          <w:p w14:paraId="24BC9BEE" w14:textId="77777777" w:rsidR="009864DB" w:rsidRPr="004D46AC" w:rsidRDefault="009864DB" w:rsidP="009864DB">
            <w:pPr>
              <w:spacing w:line="240" w:lineRule="auto"/>
              <w:ind w:firstLine="0"/>
              <w:rPr>
                <w:i/>
                <w:iCs/>
              </w:rPr>
            </w:pPr>
            <w:r w:rsidRPr="004D46AC">
              <w:t>2</w:t>
            </w:r>
          </w:p>
        </w:tc>
        <w:tc>
          <w:tcPr>
            <w:tcW w:w="1167" w:type="dxa"/>
            <w:vAlign w:val="center"/>
          </w:tcPr>
          <w:p w14:paraId="72B6C761" w14:textId="77777777" w:rsidR="009864DB" w:rsidRPr="004D46AC" w:rsidRDefault="009864DB" w:rsidP="009864DB">
            <w:pPr>
              <w:spacing w:line="240" w:lineRule="auto"/>
              <w:ind w:firstLine="0"/>
              <w:rPr>
                <w:i/>
                <w:iCs/>
              </w:rPr>
            </w:pPr>
            <w:r w:rsidRPr="004D46AC">
              <w:t>1</w:t>
            </w:r>
          </w:p>
        </w:tc>
        <w:tc>
          <w:tcPr>
            <w:tcW w:w="1162" w:type="dxa"/>
          </w:tcPr>
          <w:p w14:paraId="690BBDB3"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02795C04" w14:textId="77777777" w:rsidR="009864DB" w:rsidRPr="004D46AC" w:rsidRDefault="009864DB" w:rsidP="009864DB">
            <w:pPr>
              <w:spacing w:line="240" w:lineRule="auto"/>
              <w:ind w:firstLine="0"/>
              <w:rPr>
                <w:i/>
                <w:iCs/>
              </w:rPr>
            </w:pPr>
            <w:r w:rsidRPr="004D46AC">
              <w:t>any</w:t>
            </w:r>
          </w:p>
        </w:tc>
        <w:tc>
          <w:tcPr>
            <w:tcW w:w="1163" w:type="dxa"/>
            <w:vAlign w:val="center"/>
          </w:tcPr>
          <w:p w14:paraId="04CBACB8" w14:textId="77777777" w:rsidR="009864DB" w:rsidRPr="004D46AC" w:rsidRDefault="009864DB" w:rsidP="009864DB">
            <w:pPr>
              <w:spacing w:line="240" w:lineRule="auto"/>
              <w:ind w:firstLine="0"/>
              <w:rPr>
                <w:i/>
                <w:iCs/>
              </w:rPr>
            </w:pPr>
            <w:r w:rsidRPr="004D46AC">
              <w:t>11</w:t>
            </w:r>
          </w:p>
        </w:tc>
      </w:tr>
      <w:tr w:rsidR="009864DB" w:rsidRPr="004D46AC" w14:paraId="2F3C54B6" w14:textId="77777777" w:rsidTr="00B518F1">
        <w:tc>
          <w:tcPr>
            <w:tcW w:w="1908" w:type="dxa"/>
          </w:tcPr>
          <w:p w14:paraId="6A0D208E"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rPr>
                <w:i/>
                <w:iCs/>
              </w:rPr>
              <w:instrText xml:space="preserve"> ADDIN EN.CITE </w:instrText>
            </w:r>
            <w:r w:rsidRPr="004D46AC">
              <w:rPr>
                <w:i/>
                <w:iCs/>
              </w:rPr>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Morgan et al. (2012)</w:t>
            </w:r>
            <w:r w:rsidRPr="004D46AC">
              <w:fldChar w:fldCharType="end"/>
            </w:r>
          </w:p>
        </w:tc>
        <w:tc>
          <w:tcPr>
            <w:tcW w:w="1198" w:type="dxa"/>
            <w:vAlign w:val="center"/>
          </w:tcPr>
          <w:p w14:paraId="14A6D386" w14:textId="77777777" w:rsidR="009864DB" w:rsidRPr="004D46AC" w:rsidRDefault="009864DB" w:rsidP="009864DB">
            <w:pPr>
              <w:spacing w:line="240" w:lineRule="auto"/>
              <w:ind w:firstLine="0"/>
              <w:rPr>
                <w:i/>
                <w:iCs/>
              </w:rPr>
            </w:pPr>
            <w:r w:rsidRPr="004D46AC">
              <w:t>5</w:t>
            </w:r>
          </w:p>
        </w:tc>
        <w:tc>
          <w:tcPr>
            <w:tcW w:w="1178" w:type="dxa"/>
            <w:vAlign w:val="center"/>
          </w:tcPr>
          <w:p w14:paraId="5F0D7513" w14:textId="77777777" w:rsidR="009864DB" w:rsidRPr="004D46AC" w:rsidRDefault="009864DB" w:rsidP="009864DB">
            <w:pPr>
              <w:spacing w:line="240" w:lineRule="auto"/>
              <w:ind w:firstLine="0"/>
              <w:rPr>
                <w:i/>
                <w:iCs/>
              </w:rPr>
            </w:pPr>
            <w:r w:rsidRPr="004D46AC">
              <w:t>NA</w:t>
            </w:r>
          </w:p>
        </w:tc>
        <w:tc>
          <w:tcPr>
            <w:tcW w:w="1221" w:type="dxa"/>
            <w:vAlign w:val="center"/>
          </w:tcPr>
          <w:p w14:paraId="225138FD" w14:textId="77777777" w:rsidR="009864DB" w:rsidRPr="004D46AC" w:rsidRDefault="009864DB" w:rsidP="009864DB">
            <w:pPr>
              <w:spacing w:line="240" w:lineRule="auto"/>
              <w:ind w:firstLine="0"/>
              <w:rPr>
                <w:i/>
                <w:iCs/>
              </w:rPr>
            </w:pPr>
            <w:r w:rsidRPr="004D46AC">
              <w:t>ICD10</w:t>
            </w:r>
          </w:p>
        </w:tc>
        <w:tc>
          <w:tcPr>
            <w:tcW w:w="1415" w:type="dxa"/>
            <w:vAlign w:val="center"/>
          </w:tcPr>
          <w:p w14:paraId="210408A5" w14:textId="77777777" w:rsidR="009864DB" w:rsidRPr="004D46AC" w:rsidRDefault="009864DB" w:rsidP="009864DB">
            <w:pPr>
              <w:spacing w:line="240" w:lineRule="auto"/>
              <w:ind w:firstLine="0"/>
              <w:rPr>
                <w:i/>
                <w:iCs/>
              </w:rPr>
            </w:pPr>
            <w:r w:rsidRPr="004D46AC">
              <w:t>DIP</w:t>
            </w:r>
          </w:p>
        </w:tc>
        <w:tc>
          <w:tcPr>
            <w:tcW w:w="1147" w:type="dxa"/>
            <w:vAlign w:val="center"/>
          </w:tcPr>
          <w:p w14:paraId="32CC6767" w14:textId="77777777" w:rsidR="009864DB" w:rsidRPr="004D46AC" w:rsidRDefault="009864DB" w:rsidP="009864DB">
            <w:pPr>
              <w:spacing w:line="240" w:lineRule="auto"/>
              <w:ind w:firstLine="0"/>
              <w:rPr>
                <w:i/>
                <w:iCs/>
              </w:rPr>
            </w:pPr>
            <w:r w:rsidRPr="004D46AC">
              <w:t>319</w:t>
            </w:r>
          </w:p>
        </w:tc>
        <w:tc>
          <w:tcPr>
            <w:tcW w:w="1178" w:type="dxa"/>
            <w:vAlign w:val="center"/>
          </w:tcPr>
          <w:p w14:paraId="66A79C81" w14:textId="77777777" w:rsidR="009864DB" w:rsidRPr="004D46AC" w:rsidRDefault="009864DB" w:rsidP="009864DB">
            <w:pPr>
              <w:spacing w:line="240" w:lineRule="auto"/>
              <w:ind w:firstLine="0"/>
              <w:rPr>
                <w:i/>
                <w:iCs/>
              </w:rPr>
            </w:pPr>
            <w:r w:rsidRPr="004D46AC">
              <w:t>NA</w:t>
            </w:r>
          </w:p>
        </w:tc>
        <w:tc>
          <w:tcPr>
            <w:tcW w:w="1167" w:type="dxa"/>
            <w:vAlign w:val="center"/>
          </w:tcPr>
          <w:p w14:paraId="472BE2A5" w14:textId="77777777" w:rsidR="009864DB" w:rsidRPr="004D46AC" w:rsidRDefault="009864DB" w:rsidP="009864DB">
            <w:pPr>
              <w:spacing w:line="240" w:lineRule="auto"/>
              <w:ind w:firstLine="0"/>
              <w:rPr>
                <w:i/>
                <w:iCs/>
              </w:rPr>
            </w:pPr>
            <w:r w:rsidRPr="004D46AC">
              <w:t>3</w:t>
            </w:r>
          </w:p>
        </w:tc>
        <w:tc>
          <w:tcPr>
            <w:tcW w:w="1162" w:type="dxa"/>
          </w:tcPr>
          <w:p w14:paraId="79A2AF5A"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12E009C" w14:textId="77777777" w:rsidR="009864DB" w:rsidRPr="004D46AC" w:rsidRDefault="009864DB" w:rsidP="009864DB">
            <w:pPr>
              <w:spacing w:line="240" w:lineRule="auto"/>
              <w:ind w:firstLine="0"/>
              <w:rPr>
                <w:i/>
                <w:iCs/>
              </w:rPr>
            </w:pPr>
            <w:r w:rsidRPr="004D46AC">
              <w:t>any</w:t>
            </w:r>
          </w:p>
        </w:tc>
        <w:tc>
          <w:tcPr>
            <w:tcW w:w="1163" w:type="dxa"/>
            <w:vAlign w:val="center"/>
          </w:tcPr>
          <w:p w14:paraId="0CDA56B0" w14:textId="77777777" w:rsidR="009864DB" w:rsidRPr="004D46AC" w:rsidRDefault="009864DB" w:rsidP="009864DB">
            <w:pPr>
              <w:spacing w:line="240" w:lineRule="auto"/>
              <w:ind w:firstLine="0"/>
              <w:rPr>
                <w:i/>
                <w:iCs/>
              </w:rPr>
            </w:pPr>
            <w:r w:rsidRPr="004D46AC">
              <w:t>217</w:t>
            </w:r>
          </w:p>
        </w:tc>
      </w:tr>
      <w:tr w:rsidR="009864DB" w:rsidRPr="004D46AC" w14:paraId="6573106B" w14:textId="77777777" w:rsidTr="00B518F1">
        <w:tc>
          <w:tcPr>
            <w:tcW w:w="1908" w:type="dxa"/>
          </w:tcPr>
          <w:p w14:paraId="388A9B7D"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PEVuZE5vdGU+PENpdGUgQXV0aG9yWWVhcj0iMSI+PEF1dGhvcj5CcmFuY2F0aTwvQXV0aG9yPjxZ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</w:fldData>
              </w:fldChar>
            </w:r>
            <w:r w:rsidRPr="004D46AC">
              <w:rPr>
                <w:i/>
                <w:iCs/>
              </w:rPr>
              <w:instrText xml:space="preserve"> ADDIN EN.CITE </w:instrText>
            </w:r>
            <w:r w:rsidRPr="004D46AC">
              <w:rPr>
                <w:i/>
                <w:iCs/>
              </w:rPr>
              <w:fldChar w:fldCharType="begin">
                <w:fldData xml:space="preserve">PEVuZE5vdGU+PENpdGUgQXV0aG9yWWVhcj0iMSI+PEF1dGhvcj5CcmFuY2F0aTwvQXV0aG9yPjxZ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Brancati et al. (2021)</w:t>
            </w:r>
            <w:r w:rsidRPr="004D46AC">
              <w:fldChar w:fldCharType="end"/>
            </w:r>
          </w:p>
        </w:tc>
        <w:tc>
          <w:tcPr>
            <w:tcW w:w="1198" w:type="dxa"/>
            <w:vAlign w:val="center"/>
          </w:tcPr>
          <w:p w14:paraId="387BEE4A" w14:textId="77777777" w:rsidR="009864DB" w:rsidRPr="004D46AC" w:rsidRDefault="009864DB" w:rsidP="009864DB">
            <w:pPr>
              <w:spacing w:line="240" w:lineRule="auto"/>
              <w:ind w:firstLine="0"/>
              <w:rPr>
                <w:i/>
                <w:iCs/>
              </w:rPr>
            </w:pPr>
            <w:r w:rsidRPr="004D46AC">
              <w:t>5</w:t>
            </w:r>
          </w:p>
        </w:tc>
        <w:tc>
          <w:tcPr>
            <w:tcW w:w="1178" w:type="dxa"/>
            <w:vAlign w:val="center"/>
          </w:tcPr>
          <w:p w14:paraId="05716B99" w14:textId="77777777" w:rsidR="009864DB" w:rsidRPr="004D46AC" w:rsidRDefault="009864DB" w:rsidP="009864DB">
            <w:pPr>
              <w:spacing w:line="240" w:lineRule="auto"/>
              <w:ind w:firstLine="0"/>
              <w:rPr>
                <w:i/>
                <w:iCs/>
              </w:rPr>
            </w:pPr>
            <w:r w:rsidRPr="004D46AC">
              <w:t>48.4</w:t>
            </w:r>
          </w:p>
        </w:tc>
        <w:tc>
          <w:tcPr>
            <w:tcW w:w="1221" w:type="dxa"/>
            <w:vAlign w:val="center"/>
          </w:tcPr>
          <w:p w14:paraId="6B397078" w14:textId="77777777" w:rsidR="009864DB" w:rsidRPr="004D46AC" w:rsidRDefault="009864DB" w:rsidP="009864DB">
            <w:pPr>
              <w:spacing w:line="240" w:lineRule="auto"/>
              <w:ind w:firstLine="0"/>
              <w:rPr>
                <w:i/>
                <w:iCs/>
              </w:rPr>
            </w:pPr>
            <w:r w:rsidRPr="004D46AC">
              <w:t>DSM5</w:t>
            </w:r>
          </w:p>
        </w:tc>
        <w:tc>
          <w:tcPr>
            <w:tcW w:w="1415" w:type="dxa"/>
            <w:vAlign w:val="center"/>
          </w:tcPr>
          <w:p w14:paraId="159CAC06" w14:textId="77777777" w:rsidR="009864DB" w:rsidRPr="004D46AC" w:rsidRDefault="009864DB" w:rsidP="009864DB">
            <w:pPr>
              <w:spacing w:line="240" w:lineRule="auto"/>
              <w:ind w:firstLine="0"/>
              <w:rPr>
                <w:i/>
                <w:iCs/>
              </w:rPr>
            </w:pPr>
            <w:r w:rsidRPr="004D46AC">
              <w:t>CGI</w:t>
            </w:r>
          </w:p>
        </w:tc>
        <w:tc>
          <w:tcPr>
            <w:tcW w:w="1147" w:type="dxa"/>
            <w:vAlign w:val="center"/>
          </w:tcPr>
          <w:p w14:paraId="3680228B" w14:textId="77777777" w:rsidR="009864DB" w:rsidRPr="004D46AC" w:rsidRDefault="009864DB" w:rsidP="009864DB">
            <w:pPr>
              <w:spacing w:line="240" w:lineRule="auto"/>
              <w:ind w:firstLine="0"/>
              <w:rPr>
                <w:i/>
                <w:iCs/>
              </w:rPr>
            </w:pPr>
            <w:r w:rsidRPr="004D46AC">
              <w:t>670</w:t>
            </w:r>
          </w:p>
        </w:tc>
        <w:tc>
          <w:tcPr>
            <w:tcW w:w="1178" w:type="dxa"/>
            <w:vAlign w:val="center"/>
          </w:tcPr>
          <w:p w14:paraId="6CBA0975" w14:textId="77777777" w:rsidR="009864DB" w:rsidRPr="004D46AC" w:rsidRDefault="009864DB" w:rsidP="009864DB">
            <w:pPr>
              <w:spacing w:line="240" w:lineRule="auto"/>
              <w:ind w:firstLine="0"/>
              <w:rPr>
                <w:i/>
                <w:iCs/>
              </w:rPr>
            </w:pPr>
            <w:r w:rsidRPr="004D46AC">
              <w:t>3</w:t>
            </w:r>
          </w:p>
        </w:tc>
        <w:tc>
          <w:tcPr>
            <w:tcW w:w="1167" w:type="dxa"/>
            <w:vAlign w:val="center"/>
          </w:tcPr>
          <w:p w14:paraId="3809BAFA" w14:textId="77777777" w:rsidR="009864DB" w:rsidRPr="004D46AC" w:rsidRDefault="009864DB" w:rsidP="009864DB">
            <w:pPr>
              <w:spacing w:line="240" w:lineRule="auto"/>
              <w:ind w:firstLine="0"/>
              <w:rPr>
                <w:i/>
                <w:iCs/>
              </w:rPr>
            </w:pPr>
            <w:r w:rsidRPr="004D46AC">
              <w:t>1</w:t>
            </w:r>
          </w:p>
        </w:tc>
        <w:tc>
          <w:tcPr>
            <w:tcW w:w="1162" w:type="dxa"/>
          </w:tcPr>
          <w:p w14:paraId="6856CAD4"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64B02831" w14:textId="77777777" w:rsidR="009864DB" w:rsidRPr="004D46AC" w:rsidRDefault="009864DB" w:rsidP="009864DB">
            <w:pPr>
              <w:spacing w:line="240" w:lineRule="auto"/>
              <w:ind w:firstLine="0"/>
              <w:rPr>
                <w:i/>
                <w:iCs/>
              </w:rPr>
            </w:pPr>
            <w:r w:rsidRPr="004D46AC">
              <w:t>any</w:t>
            </w:r>
          </w:p>
        </w:tc>
        <w:tc>
          <w:tcPr>
            <w:tcW w:w="1163" w:type="dxa"/>
            <w:vAlign w:val="center"/>
          </w:tcPr>
          <w:p w14:paraId="5502BF55" w14:textId="77777777" w:rsidR="009864DB" w:rsidRPr="004D46AC" w:rsidRDefault="009864DB" w:rsidP="009864DB">
            <w:pPr>
              <w:spacing w:line="240" w:lineRule="auto"/>
              <w:ind w:firstLine="0"/>
              <w:rPr>
                <w:i/>
                <w:iCs/>
              </w:rPr>
            </w:pPr>
            <w:r w:rsidRPr="004D46AC">
              <w:t>157</w:t>
            </w:r>
          </w:p>
        </w:tc>
      </w:tr>
      <w:tr w:rsidR="009864DB" w:rsidRPr="004D46AC" w14:paraId="4B286F21" w14:textId="77777777" w:rsidTr="00B518F1">
        <w:tc>
          <w:tcPr>
            <w:tcW w:w="1908" w:type="dxa"/>
          </w:tcPr>
          <w:p w14:paraId="0A49D255"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PEVuZE5vdGU+PENpdGUgQXV0aG9yWWVhcj0iMSI+PEF1dGhvcj5TY2h1cmhvZmY8L0F1dGhvcj48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</w:fldData>
              </w:fldChar>
            </w:r>
            <w:r w:rsidRPr="004D46AC">
              <w:rPr>
                <w:i/>
                <w:iCs/>
              </w:rPr>
              <w:instrText xml:space="preserve"> ADDIN EN.CITE </w:instrText>
            </w:r>
            <w:r w:rsidRPr="004D46AC">
              <w:rPr>
                <w:i/>
                <w:iCs/>
              </w:rPr>
              <w:fldChar w:fldCharType="begin">
                <w:fldData xml:space="preserve">PEVuZE5vdGU+PENpdGUgQXV0aG9yWWVhcj0iMSI+PEF1dGhvcj5TY2h1cmhvZmY8L0F1dGhvcj48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Schurhoff et al. (2003)</w:t>
            </w:r>
            <w:r w:rsidRPr="004D46AC">
              <w:fldChar w:fldCharType="end"/>
            </w:r>
          </w:p>
        </w:tc>
        <w:tc>
          <w:tcPr>
            <w:tcW w:w="1198" w:type="dxa"/>
            <w:vAlign w:val="center"/>
          </w:tcPr>
          <w:p w14:paraId="4D16CB37" w14:textId="77777777" w:rsidR="009864DB" w:rsidRPr="004D46AC" w:rsidRDefault="009864DB" w:rsidP="009864DB">
            <w:pPr>
              <w:spacing w:line="240" w:lineRule="auto"/>
              <w:ind w:firstLine="0"/>
              <w:rPr>
                <w:i/>
                <w:iCs/>
              </w:rPr>
            </w:pPr>
            <w:r w:rsidRPr="004D46AC">
              <w:t>6</w:t>
            </w:r>
          </w:p>
        </w:tc>
        <w:tc>
          <w:tcPr>
            <w:tcW w:w="1178" w:type="dxa"/>
            <w:vAlign w:val="center"/>
          </w:tcPr>
          <w:p w14:paraId="7E7EC9A1" w14:textId="77777777" w:rsidR="009864DB" w:rsidRPr="004D46AC" w:rsidRDefault="009864DB" w:rsidP="009864DB">
            <w:pPr>
              <w:spacing w:line="240" w:lineRule="auto"/>
              <w:ind w:firstLine="0"/>
              <w:rPr>
                <w:i/>
                <w:iCs/>
              </w:rPr>
            </w:pPr>
            <w:r w:rsidRPr="004D46AC">
              <w:t>41.14</w:t>
            </w:r>
          </w:p>
        </w:tc>
        <w:tc>
          <w:tcPr>
            <w:tcW w:w="1221" w:type="dxa"/>
            <w:vAlign w:val="center"/>
          </w:tcPr>
          <w:p w14:paraId="610A1EB8" w14:textId="77777777" w:rsidR="009864DB" w:rsidRPr="004D46AC" w:rsidRDefault="009864DB" w:rsidP="009864DB">
            <w:pPr>
              <w:spacing w:line="240" w:lineRule="auto"/>
              <w:ind w:firstLine="0"/>
              <w:rPr>
                <w:i/>
                <w:iCs/>
              </w:rPr>
            </w:pPr>
            <w:r w:rsidRPr="004D46AC">
              <w:t>DSM4</w:t>
            </w:r>
          </w:p>
        </w:tc>
        <w:tc>
          <w:tcPr>
            <w:tcW w:w="1415" w:type="dxa"/>
            <w:vAlign w:val="center"/>
          </w:tcPr>
          <w:p w14:paraId="5C497526" w14:textId="77777777" w:rsidR="009864DB" w:rsidRPr="004D46AC" w:rsidRDefault="009864DB" w:rsidP="009864DB">
            <w:pPr>
              <w:spacing w:line="240" w:lineRule="auto"/>
              <w:ind w:firstLine="0"/>
              <w:rPr>
                <w:i/>
                <w:iCs/>
              </w:rPr>
            </w:pPr>
            <w:r w:rsidRPr="004D46AC">
              <w:t>PDI</w:t>
            </w:r>
          </w:p>
        </w:tc>
        <w:tc>
          <w:tcPr>
            <w:tcW w:w="1147" w:type="dxa"/>
            <w:vAlign w:val="center"/>
          </w:tcPr>
          <w:p w14:paraId="092019C3" w14:textId="77777777" w:rsidR="009864DB" w:rsidRPr="004D46AC" w:rsidRDefault="009864DB" w:rsidP="009864DB">
            <w:pPr>
              <w:spacing w:line="240" w:lineRule="auto"/>
              <w:ind w:firstLine="0"/>
              <w:rPr>
                <w:i/>
                <w:iCs/>
              </w:rPr>
            </w:pPr>
            <w:r w:rsidRPr="004D46AC">
              <w:t>61</w:t>
            </w:r>
          </w:p>
        </w:tc>
        <w:tc>
          <w:tcPr>
            <w:tcW w:w="1178" w:type="dxa"/>
            <w:vAlign w:val="center"/>
          </w:tcPr>
          <w:p w14:paraId="2F88F0FC" w14:textId="77777777" w:rsidR="009864DB" w:rsidRPr="004D46AC" w:rsidRDefault="009864DB" w:rsidP="009864DB">
            <w:pPr>
              <w:spacing w:line="240" w:lineRule="auto"/>
              <w:ind w:firstLine="0"/>
              <w:rPr>
                <w:i/>
                <w:iCs/>
              </w:rPr>
            </w:pPr>
            <w:r w:rsidRPr="004D46AC">
              <w:t>3</w:t>
            </w:r>
          </w:p>
        </w:tc>
        <w:tc>
          <w:tcPr>
            <w:tcW w:w="1167" w:type="dxa"/>
            <w:vAlign w:val="center"/>
          </w:tcPr>
          <w:p w14:paraId="3391AE4B" w14:textId="77777777" w:rsidR="009864DB" w:rsidRPr="004D46AC" w:rsidRDefault="009864DB" w:rsidP="009864DB">
            <w:pPr>
              <w:spacing w:line="240" w:lineRule="auto"/>
              <w:ind w:firstLine="0"/>
              <w:rPr>
                <w:i/>
                <w:iCs/>
              </w:rPr>
            </w:pPr>
            <w:r w:rsidRPr="004D46AC">
              <w:t>1</w:t>
            </w:r>
          </w:p>
        </w:tc>
        <w:tc>
          <w:tcPr>
            <w:tcW w:w="1162" w:type="dxa"/>
          </w:tcPr>
          <w:p w14:paraId="76D8364E"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5FA83DFA" w14:textId="77777777" w:rsidR="009864DB" w:rsidRPr="004D46AC" w:rsidRDefault="009864DB" w:rsidP="009864DB">
            <w:pPr>
              <w:spacing w:line="240" w:lineRule="auto"/>
              <w:ind w:firstLine="0"/>
              <w:rPr>
                <w:i/>
                <w:iCs/>
              </w:rPr>
            </w:pPr>
            <w:r w:rsidRPr="004D46AC">
              <w:t>auditory</w:t>
            </w:r>
          </w:p>
        </w:tc>
        <w:tc>
          <w:tcPr>
            <w:tcW w:w="1163" w:type="dxa"/>
            <w:vAlign w:val="center"/>
          </w:tcPr>
          <w:p w14:paraId="545E9289" w14:textId="77777777" w:rsidR="009864DB" w:rsidRPr="004D46AC" w:rsidRDefault="009864DB" w:rsidP="009864DB">
            <w:pPr>
              <w:spacing w:line="240" w:lineRule="auto"/>
              <w:ind w:firstLine="0"/>
              <w:rPr>
                <w:i/>
                <w:iCs/>
              </w:rPr>
            </w:pPr>
            <w:r w:rsidRPr="004D46AC">
              <w:t>7</w:t>
            </w:r>
          </w:p>
        </w:tc>
      </w:tr>
      <w:tr w:rsidR="009864DB" w:rsidRPr="004D46AC" w14:paraId="1EBB5882" w14:textId="77777777" w:rsidTr="00B518F1">
        <w:tc>
          <w:tcPr>
            <w:tcW w:w="1908" w:type="dxa"/>
          </w:tcPr>
          <w:p w14:paraId="693C2B43" w14:textId="77777777" w:rsidR="009864DB" w:rsidRPr="004D46AC" w:rsidRDefault="009864DB" w:rsidP="009864DB">
            <w:pPr>
              <w:spacing w:line="240" w:lineRule="auto"/>
              <w:ind w:firstLine="0"/>
              <w:rPr>
                <w:i/>
                <w:iCs/>
              </w:rPr>
            </w:pPr>
            <w:r w:rsidRPr="004D46AC">
              <w:rPr>
                <w:i/>
                <w:iCs/>
              </w:rPr>
              <w:lastRenderedPageBreak/>
              <w:fldChar w:fldCharType="begin">
                <w:fldData xml:space="preserve">PEVuZE5vdGU+PENpdGUgQXV0aG9yWWVhcj0iMSI+PEF1dGhvcj5NaXJ6YTwvQXV0aG9yPjxZZWFy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i/>
                <w:iCs/>
              </w:rPr>
              <w:instrText xml:space="preserve"> ADDIN EN.CITE </w:instrText>
            </w:r>
            <w:r w:rsidRPr="004D46AC">
              <w:rPr>
                <w:i/>
                <w:iCs/>
              </w:rPr>
              <w:fldChar w:fldCharType="begin">
                <w:fldData xml:space="preserve">PEVuZE5vdGU+PENpdGUgQXV0aG9yWWVhcj0iMSI+PEF1dGhvcj5NaXJ6YTwvQXV0aG9yPjxZZWFy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Mirza et al. (2021)</w:t>
            </w:r>
            <w:r w:rsidRPr="004D46AC">
              <w:fldChar w:fldCharType="end"/>
            </w:r>
          </w:p>
        </w:tc>
        <w:tc>
          <w:tcPr>
            <w:tcW w:w="1198" w:type="dxa"/>
            <w:vAlign w:val="center"/>
          </w:tcPr>
          <w:p w14:paraId="4454A738" w14:textId="77777777" w:rsidR="009864DB" w:rsidRPr="004D46AC" w:rsidRDefault="009864DB" w:rsidP="009864DB">
            <w:pPr>
              <w:spacing w:line="240" w:lineRule="auto"/>
              <w:ind w:firstLine="0"/>
              <w:rPr>
                <w:i/>
                <w:iCs/>
              </w:rPr>
            </w:pPr>
            <w:r w:rsidRPr="004D46AC">
              <w:t>5</w:t>
            </w:r>
          </w:p>
        </w:tc>
        <w:tc>
          <w:tcPr>
            <w:tcW w:w="1178" w:type="dxa"/>
            <w:vAlign w:val="center"/>
          </w:tcPr>
          <w:p w14:paraId="7E9FEF2C" w14:textId="77777777" w:rsidR="009864DB" w:rsidRPr="004D46AC" w:rsidRDefault="009864DB" w:rsidP="009864DB">
            <w:pPr>
              <w:spacing w:line="240" w:lineRule="auto"/>
              <w:ind w:firstLine="0"/>
              <w:rPr>
                <w:i/>
                <w:iCs/>
              </w:rPr>
            </w:pPr>
            <w:r w:rsidRPr="004D46AC">
              <w:t>NA</w:t>
            </w:r>
          </w:p>
        </w:tc>
        <w:tc>
          <w:tcPr>
            <w:tcW w:w="1221" w:type="dxa"/>
            <w:vAlign w:val="center"/>
          </w:tcPr>
          <w:p w14:paraId="58A77766" w14:textId="77777777" w:rsidR="009864DB" w:rsidRPr="004D46AC" w:rsidRDefault="009864DB" w:rsidP="009864DB">
            <w:pPr>
              <w:spacing w:line="240" w:lineRule="auto"/>
              <w:ind w:firstLine="0"/>
              <w:rPr>
                <w:i/>
                <w:iCs/>
              </w:rPr>
            </w:pPr>
            <w:r w:rsidRPr="004D46AC">
              <w:t>ICD10</w:t>
            </w:r>
          </w:p>
        </w:tc>
        <w:tc>
          <w:tcPr>
            <w:tcW w:w="1415" w:type="dxa"/>
            <w:vAlign w:val="center"/>
          </w:tcPr>
          <w:p w14:paraId="2B9C6D2E" w14:textId="77777777" w:rsidR="009864DB" w:rsidRPr="004D46AC" w:rsidRDefault="009864DB" w:rsidP="009864DB">
            <w:pPr>
              <w:spacing w:line="240" w:lineRule="auto"/>
              <w:ind w:firstLine="0"/>
              <w:rPr>
                <w:i/>
                <w:iCs/>
              </w:rPr>
            </w:pPr>
            <w:proofErr w:type="spellStart"/>
            <w:r w:rsidRPr="004D46AC">
              <w:t>HoNOS</w:t>
            </w:r>
            <w:proofErr w:type="spellEnd"/>
          </w:p>
        </w:tc>
        <w:tc>
          <w:tcPr>
            <w:tcW w:w="1147" w:type="dxa"/>
            <w:vAlign w:val="center"/>
          </w:tcPr>
          <w:p w14:paraId="2B15517B" w14:textId="77777777" w:rsidR="009864DB" w:rsidRPr="004D46AC" w:rsidRDefault="009864DB" w:rsidP="009864DB">
            <w:pPr>
              <w:spacing w:line="240" w:lineRule="auto"/>
              <w:ind w:firstLine="0"/>
              <w:rPr>
                <w:i/>
                <w:iCs/>
              </w:rPr>
            </w:pPr>
            <w:r w:rsidRPr="004D46AC">
              <w:t>3379</w:t>
            </w:r>
          </w:p>
        </w:tc>
        <w:tc>
          <w:tcPr>
            <w:tcW w:w="1178" w:type="dxa"/>
            <w:vAlign w:val="center"/>
          </w:tcPr>
          <w:p w14:paraId="6BE3B85E" w14:textId="77777777" w:rsidR="009864DB" w:rsidRPr="004D46AC" w:rsidRDefault="009864DB" w:rsidP="009864DB">
            <w:pPr>
              <w:spacing w:line="240" w:lineRule="auto"/>
              <w:ind w:firstLine="0"/>
              <w:rPr>
                <w:i/>
                <w:iCs/>
              </w:rPr>
            </w:pPr>
            <w:r w:rsidRPr="004D46AC">
              <w:t>2</w:t>
            </w:r>
          </w:p>
        </w:tc>
        <w:tc>
          <w:tcPr>
            <w:tcW w:w="1167" w:type="dxa"/>
            <w:vAlign w:val="center"/>
          </w:tcPr>
          <w:p w14:paraId="1A24E271" w14:textId="77777777" w:rsidR="009864DB" w:rsidRPr="004D46AC" w:rsidRDefault="009864DB" w:rsidP="009864DB">
            <w:pPr>
              <w:spacing w:line="240" w:lineRule="auto"/>
              <w:ind w:firstLine="0"/>
              <w:rPr>
                <w:i/>
                <w:iCs/>
              </w:rPr>
            </w:pPr>
            <w:r w:rsidRPr="004D46AC">
              <w:t>1</w:t>
            </w:r>
          </w:p>
        </w:tc>
        <w:tc>
          <w:tcPr>
            <w:tcW w:w="1162" w:type="dxa"/>
          </w:tcPr>
          <w:p w14:paraId="140FB8EF"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3A365EEC" w14:textId="77777777" w:rsidR="009864DB" w:rsidRPr="004D46AC" w:rsidRDefault="009864DB" w:rsidP="009864DB">
            <w:pPr>
              <w:spacing w:line="240" w:lineRule="auto"/>
              <w:ind w:firstLine="0"/>
              <w:rPr>
                <w:i/>
                <w:iCs/>
              </w:rPr>
            </w:pPr>
            <w:r w:rsidRPr="004D46AC">
              <w:t>any</w:t>
            </w:r>
          </w:p>
        </w:tc>
        <w:tc>
          <w:tcPr>
            <w:tcW w:w="1163" w:type="dxa"/>
            <w:vAlign w:val="center"/>
          </w:tcPr>
          <w:p w14:paraId="52E4631E" w14:textId="77777777" w:rsidR="009864DB" w:rsidRPr="004D46AC" w:rsidRDefault="009864DB" w:rsidP="009864DB">
            <w:pPr>
              <w:spacing w:line="240" w:lineRule="auto"/>
              <w:ind w:firstLine="0"/>
              <w:rPr>
                <w:i/>
                <w:iCs/>
              </w:rPr>
            </w:pPr>
            <w:r w:rsidRPr="004D46AC">
              <w:t>1063</w:t>
            </w:r>
          </w:p>
        </w:tc>
      </w:tr>
      <w:tr w:rsidR="009864DB" w:rsidRPr="004D46AC" w14:paraId="0C86E1B7" w14:textId="77777777" w:rsidTr="00B518F1">
        <w:tc>
          <w:tcPr>
            <w:tcW w:w="1908" w:type="dxa"/>
          </w:tcPr>
          <w:p w14:paraId="143F2834"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PEVuZE5vdGU+PENpdGUgQXV0aG9yWWVhcj0iMSI+PEF1dGhvcj5Nb3JjaC1Kb2huc2VuPC9BdXRo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</w:fldData>
              </w:fldChar>
            </w:r>
            <w:r w:rsidRPr="004D46AC">
              <w:rPr>
                <w:i/>
                <w:iCs/>
              </w:rPr>
              <w:instrText xml:space="preserve"> ADDIN EN.CITE </w:instrText>
            </w:r>
            <w:r w:rsidRPr="004D46AC">
              <w:rPr>
                <w:i/>
                <w:iCs/>
              </w:rPr>
              <w:fldChar w:fldCharType="begin">
                <w:fldData xml:space="preserve">PEVuZE5vdGU+PENpdGUgQXV0aG9yWWVhcj0iMSI+PEF1dGhvcj5Nb3JjaC1Kb2huc2VuPC9BdXRo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Morch-Johnsen et al. (2018)</w:t>
            </w:r>
            <w:r w:rsidRPr="004D46AC">
              <w:fldChar w:fldCharType="end"/>
            </w:r>
          </w:p>
        </w:tc>
        <w:tc>
          <w:tcPr>
            <w:tcW w:w="1198" w:type="dxa"/>
            <w:vAlign w:val="center"/>
          </w:tcPr>
          <w:p w14:paraId="55F6167A" w14:textId="77777777" w:rsidR="009864DB" w:rsidRPr="004D46AC" w:rsidRDefault="009864DB" w:rsidP="009864DB">
            <w:pPr>
              <w:spacing w:line="240" w:lineRule="auto"/>
              <w:ind w:firstLine="0"/>
              <w:rPr>
                <w:i/>
                <w:iCs/>
              </w:rPr>
            </w:pPr>
            <w:r w:rsidRPr="004D46AC">
              <w:t>6</w:t>
            </w:r>
          </w:p>
        </w:tc>
        <w:tc>
          <w:tcPr>
            <w:tcW w:w="1178" w:type="dxa"/>
            <w:vAlign w:val="center"/>
          </w:tcPr>
          <w:p w14:paraId="5CC91A04" w14:textId="77777777" w:rsidR="009864DB" w:rsidRPr="004D46AC" w:rsidRDefault="009864DB" w:rsidP="009864DB">
            <w:pPr>
              <w:spacing w:line="240" w:lineRule="auto"/>
              <w:ind w:firstLine="0"/>
              <w:rPr>
                <w:i/>
                <w:iCs/>
              </w:rPr>
            </w:pPr>
            <w:r w:rsidRPr="004D46AC">
              <w:t>34.5</w:t>
            </w:r>
          </w:p>
        </w:tc>
        <w:tc>
          <w:tcPr>
            <w:tcW w:w="1221" w:type="dxa"/>
            <w:vAlign w:val="center"/>
          </w:tcPr>
          <w:p w14:paraId="29F7E12C" w14:textId="77777777" w:rsidR="009864DB" w:rsidRPr="004D46AC" w:rsidRDefault="009864DB" w:rsidP="009864DB">
            <w:pPr>
              <w:spacing w:line="240" w:lineRule="auto"/>
              <w:ind w:firstLine="0"/>
              <w:rPr>
                <w:i/>
                <w:iCs/>
              </w:rPr>
            </w:pPr>
            <w:r w:rsidRPr="004D46AC">
              <w:t>DSM4</w:t>
            </w:r>
          </w:p>
        </w:tc>
        <w:tc>
          <w:tcPr>
            <w:tcW w:w="1415" w:type="dxa"/>
            <w:vAlign w:val="center"/>
          </w:tcPr>
          <w:p w14:paraId="25862708" w14:textId="77777777" w:rsidR="009864DB" w:rsidRPr="004D46AC" w:rsidRDefault="009864DB" w:rsidP="009864DB">
            <w:pPr>
              <w:spacing w:line="240" w:lineRule="auto"/>
              <w:ind w:firstLine="0"/>
              <w:rPr>
                <w:i/>
                <w:iCs/>
              </w:rPr>
            </w:pPr>
            <w:r w:rsidRPr="004D46AC">
              <w:t>SCID</w:t>
            </w:r>
          </w:p>
        </w:tc>
        <w:tc>
          <w:tcPr>
            <w:tcW w:w="1147" w:type="dxa"/>
            <w:vAlign w:val="center"/>
          </w:tcPr>
          <w:p w14:paraId="269433C7" w14:textId="77777777" w:rsidR="009864DB" w:rsidRPr="004D46AC" w:rsidRDefault="009864DB" w:rsidP="009864DB">
            <w:pPr>
              <w:spacing w:line="240" w:lineRule="auto"/>
              <w:ind w:firstLine="0"/>
              <w:rPr>
                <w:i/>
                <w:iCs/>
              </w:rPr>
            </w:pPr>
            <w:r w:rsidRPr="004D46AC">
              <w:t>157</w:t>
            </w:r>
          </w:p>
        </w:tc>
        <w:tc>
          <w:tcPr>
            <w:tcW w:w="1178" w:type="dxa"/>
            <w:vAlign w:val="center"/>
          </w:tcPr>
          <w:p w14:paraId="1E9312EA" w14:textId="77777777" w:rsidR="009864DB" w:rsidRPr="004D46AC" w:rsidRDefault="009864DB" w:rsidP="009864DB">
            <w:pPr>
              <w:spacing w:line="240" w:lineRule="auto"/>
              <w:ind w:firstLine="0"/>
              <w:rPr>
                <w:i/>
                <w:iCs/>
              </w:rPr>
            </w:pPr>
            <w:r w:rsidRPr="004D46AC">
              <w:t>1</w:t>
            </w:r>
          </w:p>
        </w:tc>
        <w:tc>
          <w:tcPr>
            <w:tcW w:w="1167" w:type="dxa"/>
            <w:vAlign w:val="center"/>
          </w:tcPr>
          <w:p w14:paraId="0B4968A3" w14:textId="77777777" w:rsidR="009864DB" w:rsidRPr="004D46AC" w:rsidRDefault="009864DB" w:rsidP="009864DB">
            <w:pPr>
              <w:spacing w:line="240" w:lineRule="auto"/>
              <w:ind w:firstLine="0"/>
              <w:rPr>
                <w:i/>
                <w:iCs/>
              </w:rPr>
            </w:pPr>
            <w:r w:rsidRPr="004D46AC">
              <w:t>1</w:t>
            </w:r>
          </w:p>
        </w:tc>
        <w:tc>
          <w:tcPr>
            <w:tcW w:w="1162" w:type="dxa"/>
          </w:tcPr>
          <w:p w14:paraId="1A3FEF96"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1D71414" w14:textId="77777777" w:rsidR="009864DB" w:rsidRPr="004D46AC" w:rsidRDefault="009864DB" w:rsidP="009864DB">
            <w:pPr>
              <w:spacing w:line="240" w:lineRule="auto"/>
              <w:ind w:firstLine="0"/>
              <w:rPr>
                <w:i/>
                <w:iCs/>
              </w:rPr>
            </w:pPr>
            <w:r w:rsidRPr="004D46AC">
              <w:t>auditory</w:t>
            </w:r>
          </w:p>
        </w:tc>
        <w:tc>
          <w:tcPr>
            <w:tcW w:w="1163" w:type="dxa"/>
            <w:vAlign w:val="center"/>
          </w:tcPr>
          <w:p w14:paraId="5329FAC9" w14:textId="77777777" w:rsidR="009864DB" w:rsidRPr="004D46AC" w:rsidRDefault="009864DB" w:rsidP="009864DB">
            <w:pPr>
              <w:spacing w:line="240" w:lineRule="auto"/>
              <w:ind w:firstLine="0"/>
              <w:rPr>
                <w:i/>
                <w:iCs/>
              </w:rPr>
            </w:pPr>
            <w:r w:rsidRPr="004D46AC">
              <w:t>22</w:t>
            </w:r>
          </w:p>
        </w:tc>
      </w:tr>
      <w:tr w:rsidR="009864DB" w:rsidRPr="004D46AC" w14:paraId="62CFA608" w14:textId="77777777" w:rsidTr="00B518F1">
        <w:tc>
          <w:tcPr>
            <w:tcW w:w="1908" w:type="dxa"/>
          </w:tcPr>
          <w:p w14:paraId="2D8DE427"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PEVuZE5vdGU+PENpdGUgQXV0aG9yWWVhcj0iMSI+PEF1dGhvcj5Hb3JndWx1PC9BdXRob3I+PFll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</w:fldData>
              </w:fldChar>
            </w:r>
            <w:r w:rsidRPr="004D46AC">
              <w:rPr>
                <w:i/>
                <w:iCs/>
              </w:rPr>
              <w:instrText xml:space="preserve"> ADDIN EN.CITE </w:instrText>
            </w:r>
            <w:r w:rsidRPr="004D46AC">
              <w:rPr>
                <w:i/>
                <w:iCs/>
              </w:rPr>
              <w:fldChar w:fldCharType="begin">
                <w:fldData xml:space="preserve">PEVuZE5vdGU+PENpdGUgQXV0aG9yWWVhcj0iMSI+PEF1dGhvcj5Hb3JndWx1PC9BdXRob3I+PFll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Gorgulu et al. (2021)</w:t>
            </w:r>
            <w:r w:rsidRPr="004D46AC">
              <w:fldChar w:fldCharType="end"/>
            </w:r>
          </w:p>
        </w:tc>
        <w:tc>
          <w:tcPr>
            <w:tcW w:w="1198" w:type="dxa"/>
            <w:vAlign w:val="center"/>
          </w:tcPr>
          <w:p w14:paraId="37766843" w14:textId="77777777" w:rsidR="009864DB" w:rsidRPr="004D46AC" w:rsidRDefault="009864DB" w:rsidP="009864DB">
            <w:pPr>
              <w:spacing w:line="240" w:lineRule="auto"/>
              <w:ind w:firstLine="0"/>
              <w:rPr>
                <w:i/>
                <w:iCs/>
              </w:rPr>
            </w:pPr>
            <w:r w:rsidRPr="004D46AC">
              <w:t>5</w:t>
            </w:r>
          </w:p>
        </w:tc>
        <w:tc>
          <w:tcPr>
            <w:tcW w:w="1178" w:type="dxa"/>
            <w:vAlign w:val="center"/>
          </w:tcPr>
          <w:p w14:paraId="548A9FBD" w14:textId="77777777" w:rsidR="009864DB" w:rsidRPr="004D46AC" w:rsidRDefault="009864DB" w:rsidP="009864DB">
            <w:pPr>
              <w:spacing w:line="240" w:lineRule="auto"/>
              <w:ind w:firstLine="0"/>
              <w:rPr>
                <w:i/>
                <w:iCs/>
              </w:rPr>
            </w:pPr>
            <w:r w:rsidRPr="004D46AC">
              <w:t>41.94</w:t>
            </w:r>
          </w:p>
        </w:tc>
        <w:tc>
          <w:tcPr>
            <w:tcW w:w="1221" w:type="dxa"/>
            <w:vAlign w:val="center"/>
          </w:tcPr>
          <w:p w14:paraId="651F07D9" w14:textId="77777777" w:rsidR="009864DB" w:rsidRPr="004D46AC" w:rsidRDefault="009864DB" w:rsidP="009864DB">
            <w:pPr>
              <w:spacing w:line="240" w:lineRule="auto"/>
              <w:ind w:firstLine="0"/>
              <w:rPr>
                <w:i/>
                <w:iCs/>
              </w:rPr>
            </w:pPr>
            <w:r w:rsidRPr="004D46AC">
              <w:t>DSM5</w:t>
            </w:r>
          </w:p>
        </w:tc>
        <w:tc>
          <w:tcPr>
            <w:tcW w:w="1415" w:type="dxa"/>
            <w:vAlign w:val="center"/>
          </w:tcPr>
          <w:p w14:paraId="727D0923" w14:textId="77777777" w:rsidR="009864DB" w:rsidRPr="004D46AC" w:rsidRDefault="009864DB" w:rsidP="009864DB">
            <w:pPr>
              <w:spacing w:line="240" w:lineRule="auto"/>
              <w:ind w:firstLine="0"/>
              <w:rPr>
                <w:i/>
                <w:iCs/>
              </w:rPr>
            </w:pPr>
            <w:r w:rsidRPr="004D46AC">
              <w:t>unclear</w:t>
            </w:r>
          </w:p>
        </w:tc>
        <w:tc>
          <w:tcPr>
            <w:tcW w:w="1147" w:type="dxa"/>
            <w:vAlign w:val="center"/>
          </w:tcPr>
          <w:p w14:paraId="41D486D7" w14:textId="77777777" w:rsidR="009864DB" w:rsidRPr="004D46AC" w:rsidRDefault="009864DB" w:rsidP="009864DB">
            <w:pPr>
              <w:spacing w:line="240" w:lineRule="auto"/>
              <w:ind w:firstLine="0"/>
              <w:rPr>
                <w:i/>
                <w:iCs/>
              </w:rPr>
            </w:pPr>
            <w:r w:rsidRPr="004D46AC">
              <w:t>80</w:t>
            </w:r>
          </w:p>
        </w:tc>
        <w:tc>
          <w:tcPr>
            <w:tcW w:w="1178" w:type="dxa"/>
            <w:vAlign w:val="center"/>
          </w:tcPr>
          <w:p w14:paraId="1145BB27" w14:textId="77777777" w:rsidR="009864DB" w:rsidRPr="004D46AC" w:rsidRDefault="009864DB" w:rsidP="009864DB">
            <w:pPr>
              <w:spacing w:line="240" w:lineRule="auto"/>
              <w:ind w:firstLine="0"/>
              <w:rPr>
                <w:i/>
                <w:iCs/>
              </w:rPr>
            </w:pPr>
            <w:r w:rsidRPr="004D46AC">
              <w:t>2</w:t>
            </w:r>
          </w:p>
        </w:tc>
        <w:tc>
          <w:tcPr>
            <w:tcW w:w="1167" w:type="dxa"/>
            <w:vAlign w:val="center"/>
          </w:tcPr>
          <w:p w14:paraId="3B2980DD" w14:textId="77777777" w:rsidR="009864DB" w:rsidRPr="004D46AC" w:rsidRDefault="009864DB" w:rsidP="009864DB">
            <w:pPr>
              <w:spacing w:line="240" w:lineRule="auto"/>
              <w:ind w:firstLine="0"/>
              <w:rPr>
                <w:i/>
                <w:iCs/>
              </w:rPr>
            </w:pPr>
            <w:r w:rsidRPr="004D46AC">
              <w:t>2</w:t>
            </w:r>
          </w:p>
        </w:tc>
        <w:tc>
          <w:tcPr>
            <w:tcW w:w="1162" w:type="dxa"/>
          </w:tcPr>
          <w:p w14:paraId="424172E1"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63E0FE59" w14:textId="77777777" w:rsidR="009864DB" w:rsidRPr="004D46AC" w:rsidRDefault="009864DB" w:rsidP="009864DB">
            <w:pPr>
              <w:spacing w:line="240" w:lineRule="auto"/>
              <w:ind w:firstLine="0"/>
              <w:rPr>
                <w:i/>
                <w:iCs/>
              </w:rPr>
            </w:pPr>
            <w:r w:rsidRPr="004D46AC">
              <w:t>any</w:t>
            </w:r>
          </w:p>
        </w:tc>
        <w:tc>
          <w:tcPr>
            <w:tcW w:w="1163" w:type="dxa"/>
            <w:vAlign w:val="center"/>
          </w:tcPr>
          <w:p w14:paraId="498A89A7" w14:textId="77777777" w:rsidR="009864DB" w:rsidRPr="004D46AC" w:rsidRDefault="009864DB" w:rsidP="009864DB">
            <w:pPr>
              <w:spacing w:line="240" w:lineRule="auto"/>
              <w:ind w:firstLine="0"/>
              <w:rPr>
                <w:i/>
                <w:iCs/>
              </w:rPr>
            </w:pPr>
            <w:r w:rsidRPr="004D46AC">
              <w:t>16</w:t>
            </w:r>
          </w:p>
        </w:tc>
      </w:tr>
      <w:tr w:rsidR="009864DB" w:rsidRPr="004D46AC" w14:paraId="02C30CD9" w14:textId="77777777" w:rsidTr="00B518F1">
        <w:tc>
          <w:tcPr>
            <w:tcW w:w="1908" w:type="dxa"/>
          </w:tcPr>
          <w:p w14:paraId="53215CFE"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PEVuZE5vdGU+PENpdGUgQXV0aG9yWWVhcj0iMSI+PEF1dGhvcj5OYWtpbXVsaS1NcHVuZ3U8L0F1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rPr>
                <w:i/>
                <w:iCs/>
              </w:rPr>
              <w:instrText xml:space="preserve"> ADDIN EN.CITE </w:instrText>
            </w:r>
            <w:r w:rsidRPr="004D46AC">
              <w:rPr>
                <w:i/>
                <w:iCs/>
              </w:rPr>
              <w:fldChar w:fldCharType="begin">
                <w:fldData xml:space="preserve">PEVuZE5vdGU+PENpdGUgQXV0aG9yWWVhcj0iMSI+PEF1dGhvcj5OYWtpbXVsaS1NcHVuZ3U8L0F1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Nakimuli-Mpungu et al. (2006)</w:t>
            </w:r>
            <w:r w:rsidRPr="004D46AC">
              <w:fldChar w:fldCharType="end"/>
            </w:r>
          </w:p>
        </w:tc>
        <w:tc>
          <w:tcPr>
            <w:tcW w:w="1198" w:type="dxa"/>
            <w:vAlign w:val="center"/>
          </w:tcPr>
          <w:p w14:paraId="41F95F2E" w14:textId="77777777" w:rsidR="009864DB" w:rsidRPr="004D46AC" w:rsidRDefault="009864DB" w:rsidP="009864DB">
            <w:pPr>
              <w:spacing w:line="240" w:lineRule="auto"/>
              <w:ind w:firstLine="0"/>
              <w:rPr>
                <w:i/>
                <w:iCs/>
              </w:rPr>
            </w:pPr>
            <w:r w:rsidRPr="004D46AC">
              <w:t>6</w:t>
            </w:r>
          </w:p>
        </w:tc>
        <w:tc>
          <w:tcPr>
            <w:tcW w:w="1178" w:type="dxa"/>
            <w:vAlign w:val="center"/>
          </w:tcPr>
          <w:p w14:paraId="16C53890" w14:textId="77777777" w:rsidR="009864DB" w:rsidRPr="004D46AC" w:rsidRDefault="009864DB" w:rsidP="009864DB">
            <w:pPr>
              <w:spacing w:line="240" w:lineRule="auto"/>
              <w:ind w:firstLine="0"/>
              <w:rPr>
                <w:i/>
                <w:iCs/>
              </w:rPr>
            </w:pPr>
            <w:r w:rsidRPr="004D46AC">
              <w:t>25.2</w:t>
            </w:r>
          </w:p>
        </w:tc>
        <w:tc>
          <w:tcPr>
            <w:tcW w:w="1221" w:type="dxa"/>
            <w:vAlign w:val="center"/>
          </w:tcPr>
          <w:p w14:paraId="27179F6A" w14:textId="77777777" w:rsidR="009864DB" w:rsidRPr="004D46AC" w:rsidRDefault="009864DB" w:rsidP="009864DB">
            <w:pPr>
              <w:spacing w:line="240" w:lineRule="auto"/>
              <w:ind w:firstLine="0"/>
              <w:rPr>
                <w:i/>
                <w:iCs/>
              </w:rPr>
            </w:pPr>
            <w:r w:rsidRPr="004D46AC">
              <w:t>DSM4</w:t>
            </w:r>
          </w:p>
        </w:tc>
        <w:tc>
          <w:tcPr>
            <w:tcW w:w="1415" w:type="dxa"/>
            <w:vAlign w:val="center"/>
          </w:tcPr>
          <w:p w14:paraId="504B7AB3" w14:textId="77777777" w:rsidR="009864DB" w:rsidRPr="004D46AC" w:rsidRDefault="009864DB" w:rsidP="009864DB">
            <w:pPr>
              <w:spacing w:line="240" w:lineRule="auto"/>
              <w:ind w:firstLine="0"/>
              <w:rPr>
                <w:i/>
                <w:iCs/>
              </w:rPr>
            </w:pPr>
            <w:r w:rsidRPr="004D46AC">
              <w:t>unclear</w:t>
            </w:r>
          </w:p>
        </w:tc>
        <w:tc>
          <w:tcPr>
            <w:tcW w:w="1147" w:type="dxa"/>
            <w:vAlign w:val="center"/>
          </w:tcPr>
          <w:p w14:paraId="7AAF1305" w14:textId="77777777" w:rsidR="009864DB" w:rsidRPr="004D46AC" w:rsidRDefault="009864DB" w:rsidP="009864DB">
            <w:pPr>
              <w:spacing w:line="240" w:lineRule="auto"/>
              <w:ind w:firstLine="0"/>
              <w:rPr>
                <w:i/>
                <w:iCs/>
              </w:rPr>
            </w:pPr>
            <w:r w:rsidRPr="004D46AC">
              <w:t>64</w:t>
            </w:r>
          </w:p>
        </w:tc>
        <w:tc>
          <w:tcPr>
            <w:tcW w:w="1178" w:type="dxa"/>
            <w:vAlign w:val="center"/>
          </w:tcPr>
          <w:p w14:paraId="29799989" w14:textId="77777777" w:rsidR="009864DB" w:rsidRPr="004D46AC" w:rsidRDefault="009864DB" w:rsidP="009864DB">
            <w:pPr>
              <w:spacing w:line="240" w:lineRule="auto"/>
              <w:ind w:firstLine="0"/>
              <w:rPr>
                <w:i/>
                <w:iCs/>
              </w:rPr>
            </w:pPr>
            <w:r w:rsidRPr="004D46AC">
              <w:t>3</w:t>
            </w:r>
          </w:p>
        </w:tc>
        <w:tc>
          <w:tcPr>
            <w:tcW w:w="1167" w:type="dxa"/>
            <w:vAlign w:val="center"/>
          </w:tcPr>
          <w:p w14:paraId="3903D3D8" w14:textId="77777777" w:rsidR="009864DB" w:rsidRPr="004D46AC" w:rsidRDefault="009864DB" w:rsidP="009864DB">
            <w:pPr>
              <w:spacing w:line="240" w:lineRule="auto"/>
              <w:ind w:firstLine="0"/>
              <w:rPr>
                <w:i/>
                <w:iCs/>
              </w:rPr>
            </w:pPr>
            <w:r w:rsidRPr="004D46AC">
              <w:t>2</w:t>
            </w:r>
          </w:p>
        </w:tc>
        <w:tc>
          <w:tcPr>
            <w:tcW w:w="1162" w:type="dxa"/>
          </w:tcPr>
          <w:p w14:paraId="62E2CC59"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31C66C17" w14:textId="77777777" w:rsidR="009864DB" w:rsidRPr="004D46AC" w:rsidRDefault="009864DB" w:rsidP="009864DB">
            <w:pPr>
              <w:spacing w:line="240" w:lineRule="auto"/>
              <w:ind w:firstLine="0"/>
              <w:rPr>
                <w:i/>
                <w:iCs/>
              </w:rPr>
            </w:pPr>
            <w:r w:rsidRPr="004D46AC">
              <w:t>auditory</w:t>
            </w:r>
          </w:p>
        </w:tc>
        <w:tc>
          <w:tcPr>
            <w:tcW w:w="1163" w:type="dxa"/>
            <w:vAlign w:val="center"/>
          </w:tcPr>
          <w:p w14:paraId="242D8E91" w14:textId="77777777" w:rsidR="009864DB" w:rsidRPr="004D46AC" w:rsidRDefault="009864DB" w:rsidP="009864DB">
            <w:pPr>
              <w:spacing w:line="240" w:lineRule="auto"/>
              <w:ind w:firstLine="0"/>
              <w:rPr>
                <w:i/>
                <w:iCs/>
              </w:rPr>
            </w:pPr>
            <w:r w:rsidRPr="004D46AC">
              <w:t>10</w:t>
            </w:r>
          </w:p>
        </w:tc>
      </w:tr>
      <w:tr w:rsidR="009864DB" w:rsidRPr="004D46AC" w14:paraId="6ED24F67" w14:textId="77777777" w:rsidTr="00B518F1">
        <w:tc>
          <w:tcPr>
            <w:tcW w:w="1908" w:type="dxa"/>
          </w:tcPr>
          <w:p w14:paraId="0FD08ED7"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PEVuZE5vdGU+PENpdGUgQXV0aG9yWWVhcj0iMSI+PEF1dGhvcj5SZWluaW5naGF1czwvQXV0aG9y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rPr>
                <w:i/>
                <w:iCs/>
              </w:rPr>
              <w:instrText xml:space="preserve"> ADDIN EN.CITE </w:instrText>
            </w:r>
            <w:r w:rsidRPr="004D46AC">
              <w:rPr>
                <w:i/>
                <w:iCs/>
              </w:rPr>
              <w:fldChar w:fldCharType="begin">
                <w:fldData xml:space="preserve">PEVuZE5vdGU+PENpdGUgQXV0aG9yWWVhcj0iMSI+PEF1dGhvcj5SZWluaW5naGF1czwvQXV0aG9y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Reininghaus et al. (2016)</w:t>
            </w:r>
            <w:r w:rsidRPr="004D46AC">
              <w:fldChar w:fldCharType="end"/>
            </w:r>
          </w:p>
        </w:tc>
        <w:tc>
          <w:tcPr>
            <w:tcW w:w="1198" w:type="dxa"/>
            <w:vAlign w:val="center"/>
          </w:tcPr>
          <w:p w14:paraId="4F0495D0" w14:textId="77777777" w:rsidR="009864DB" w:rsidRPr="004D46AC" w:rsidRDefault="009864DB" w:rsidP="009864DB">
            <w:pPr>
              <w:spacing w:line="240" w:lineRule="auto"/>
              <w:ind w:firstLine="0"/>
              <w:rPr>
                <w:i/>
                <w:iCs/>
              </w:rPr>
            </w:pPr>
            <w:r w:rsidRPr="004D46AC">
              <w:t>7</w:t>
            </w:r>
          </w:p>
        </w:tc>
        <w:tc>
          <w:tcPr>
            <w:tcW w:w="1178" w:type="dxa"/>
            <w:vAlign w:val="center"/>
          </w:tcPr>
          <w:p w14:paraId="7DF436E2" w14:textId="77777777" w:rsidR="009864DB" w:rsidRPr="004D46AC" w:rsidRDefault="009864DB" w:rsidP="009864DB">
            <w:pPr>
              <w:spacing w:line="240" w:lineRule="auto"/>
              <w:ind w:firstLine="0"/>
              <w:rPr>
                <w:i/>
                <w:iCs/>
              </w:rPr>
            </w:pPr>
            <w:r w:rsidRPr="004D46AC">
              <w:t>48</w:t>
            </w:r>
          </w:p>
        </w:tc>
        <w:tc>
          <w:tcPr>
            <w:tcW w:w="1221" w:type="dxa"/>
            <w:vAlign w:val="center"/>
          </w:tcPr>
          <w:p w14:paraId="1CEA72A4" w14:textId="77777777" w:rsidR="009864DB" w:rsidRPr="004D46AC" w:rsidRDefault="009864DB" w:rsidP="009864DB">
            <w:pPr>
              <w:spacing w:line="240" w:lineRule="auto"/>
              <w:ind w:firstLine="0"/>
              <w:rPr>
                <w:i/>
                <w:iCs/>
              </w:rPr>
            </w:pPr>
            <w:r w:rsidRPr="004D46AC">
              <w:t>RDC</w:t>
            </w:r>
          </w:p>
        </w:tc>
        <w:tc>
          <w:tcPr>
            <w:tcW w:w="1415" w:type="dxa"/>
            <w:vAlign w:val="center"/>
          </w:tcPr>
          <w:p w14:paraId="693CBED7" w14:textId="77777777" w:rsidR="009864DB" w:rsidRPr="004D46AC" w:rsidRDefault="009864DB" w:rsidP="009864DB">
            <w:pPr>
              <w:spacing w:line="240" w:lineRule="auto"/>
              <w:ind w:firstLine="0"/>
              <w:rPr>
                <w:i/>
                <w:iCs/>
              </w:rPr>
            </w:pPr>
            <w:r w:rsidRPr="004D46AC">
              <w:t>OPCRIT</w:t>
            </w:r>
          </w:p>
        </w:tc>
        <w:tc>
          <w:tcPr>
            <w:tcW w:w="1147" w:type="dxa"/>
            <w:vAlign w:val="center"/>
          </w:tcPr>
          <w:p w14:paraId="5A721FF6" w14:textId="77777777" w:rsidR="009864DB" w:rsidRPr="004D46AC" w:rsidRDefault="009864DB" w:rsidP="009864DB">
            <w:pPr>
              <w:spacing w:line="240" w:lineRule="auto"/>
              <w:ind w:firstLine="0"/>
              <w:rPr>
                <w:i/>
                <w:iCs/>
              </w:rPr>
            </w:pPr>
            <w:r w:rsidRPr="004D46AC">
              <w:t>477</w:t>
            </w:r>
          </w:p>
        </w:tc>
        <w:tc>
          <w:tcPr>
            <w:tcW w:w="1178" w:type="dxa"/>
            <w:vAlign w:val="center"/>
          </w:tcPr>
          <w:p w14:paraId="674102BF" w14:textId="77777777" w:rsidR="009864DB" w:rsidRPr="004D46AC" w:rsidRDefault="009864DB" w:rsidP="009864DB">
            <w:pPr>
              <w:spacing w:line="240" w:lineRule="auto"/>
              <w:ind w:firstLine="0"/>
              <w:rPr>
                <w:i/>
                <w:iCs/>
              </w:rPr>
            </w:pPr>
            <w:r w:rsidRPr="004D46AC">
              <w:t>2</w:t>
            </w:r>
          </w:p>
        </w:tc>
        <w:tc>
          <w:tcPr>
            <w:tcW w:w="1167" w:type="dxa"/>
            <w:vAlign w:val="center"/>
          </w:tcPr>
          <w:p w14:paraId="4413462F" w14:textId="77777777" w:rsidR="009864DB" w:rsidRPr="004D46AC" w:rsidRDefault="009864DB" w:rsidP="009864DB">
            <w:pPr>
              <w:spacing w:line="240" w:lineRule="auto"/>
              <w:ind w:firstLine="0"/>
              <w:rPr>
                <w:i/>
                <w:iCs/>
              </w:rPr>
            </w:pPr>
            <w:r w:rsidRPr="004D46AC">
              <w:t>1</w:t>
            </w:r>
          </w:p>
        </w:tc>
        <w:tc>
          <w:tcPr>
            <w:tcW w:w="1162" w:type="dxa"/>
          </w:tcPr>
          <w:p w14:paraId="32784906"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4B963DC0" w14:textId="77777777" w:rsidR="009864DB" w:rsidRPr="004D46AC" w:rsidRDefault="009864DB" w:rsidP="009864DB">
            <w:pPr>
              <w:spacing w:line="240" w:lineRule="auto"/>
              <w:ind w:firstLine="0"/>
              <w:rPr>
                <w:i/>
                <w:iCs/>
              </w:rPr>
            </w:pPr>
            <w:r w:rsidRPr="004D46AC">
              <w:t>any</w:t>
            </w:r>
          </w:p>
        </w:tc>
        <w:tc>
          <w:tcPr>
            <w:tcW w:w="1163" w:type="dxa"/>
            <w:vAlign w:val="center"/>
          </w:tcPr>
          <w:p w14:paraId="5DCBCF08" w14:textId="77777777" w:rsidR="009864DB" w:rsidRPr="004D46AC" w:rsidRDefault="009864DB" w:rsidP="009864DB">
            <w:pPr>
              <w:spacing w:line="240" w:lineRule="auto"/>
              <w:ind w:firstLine="0"/>
              <w:rPr>
                <w:i/>
                <w:iCs/>
              </w:rPr>
            </w:pPr>
            <w:r w:rsidRPr="004D46AC">
              <w:t>0</w:t>
            </w:r>
          </w:p>
        </w:tc>
      </w:tr>
      <w:tr w:rsidR="009864DB" w:rsidRPr="004D46AC" w14:paraId="38C10EA7" w14:textId="77777777" w:rsidTr="00B518F1">
        <w:tc>
          <w:tcPr>
            <w:tcW w:w="1908" w:type="dxa"/>
          </w:tcPr>
          <w:p w14:paraId="153D1908"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PEVuZE5vdGU+PENpdGUgQXV0aG9yWWVhcj0iMSI+PEF1dGhvcj5KZXN0ZXI8L0F1dGhvcj48WWVh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rPr>
                <w:i/>
                <w:iCs/>
              </w:rPr>
              <w:instrText xml:space="preserve"> ADDIN EN.CITE </w:instrText>
            </w:r>
            <w:r w:rsidRPr="004D46AC">
              <w:rPr>
                <w:i/>
                <w:iCs/>
              </w:rPr>
              <w:fldChar w:fldCharType="begin">
                <w:fldData xml:space="preserve">PEVuZE5vdGU+PENpdGUgQXV0aG9yWWVhcj0iMSI+PEF1dGhvcj5KZXN0ZXI8L0F1dGhvcj48WWVh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Jester et al. (2018)</w:t>
            </w:r>
            <w:r w:rsidRPr="004D46AC">
              <w:fldChar w:fldCharType="end"/>
            </w:r>
          </w:p>
        </w:tc>
        <w:tc>
          <w:tcPr>
            <w:tcW w:w="1198" w:type="dxa"/>
            <w:vAlign w:val="center"/>
          </w:tcPr>
          <w:p w14:paraId="63F6100F" w14:textId="77777777" w:rsidR="009864DB" w:rsidRPr="004D46AC" w:rsidRDefault="009864DB" w:rsidP="009864DB">
            <w:pPr>
              <w:spacing w:line="240" w:lineRule="auto"/>
              <w:ind w:firstLine="0"/>
              <w:rPr>
                <w:i/>
                <w:iCs/>
              </w:rPr>
            </w:pPr>
            <w:r w:rsidRPr="004D46AC">
              <w:t>4</w:t>
            </w:r>
          </w:p>
        </w:tc>
        <w:tc>
          <w:tcPr>
            <w:tcW w:w="1178" w:type="dxa"/>
            <w:vAlign w:val="center"/>
          </w:tcPr>
          <w:p w14:paraId="71D30C94" w14:textId="77777777" w:rsidR="009864DB" w:rsidRPr="004D46AC" w:rsidRDefault="009864DB" w:rsidP="009864DB">
            <w:pPr>
              <w:spacing w:line="240" w:lineRule="auto"/>
              <w:ind w:firstLine="0"/>
              <w:rPr>
                <w:i/>
                <w:iCs/>
              </w:rPr>
            </w:pPr>
            <w:r w:rsidRPr="004D46AC">
              <w:t>NA</w:t>
            </w:r>
          </w:p>
        </w:tc>
        <w:tc>
          <w:tcPr>
            <w:tcW w:w="1221" w:type="dxa"/>
            <w:vAlign w:val="center"/>
          </w:tcPr>
          <w:p w14:paraId="489670A4" w14:textId="77777777" w:rsidR="009864DB" w:rsidRPr="004D46AC" w:rsidRDefault="009864DB" w:rsidP="009864DB">
            <w:pPr>
              <w:spacing w:line="240" w:lineRule="auto"/>
              <w:ind w:firstLine="0"/>
              <w:rPr>
                <w:i/>
                <w:iCs/>
              </w:rPr>
            </w:pPr>
            <w:r w:rsidRPr="004D46AC">
              <w:t>unclear</w:t>
            </w:r>
          </w:p>
        </w:tc>
        <w:tc>
          <w:tcPr>
            <w:tcW w:w="1415" w:type="dxa"/>
            <w:vAlign w:val="center"/>
          </w:tcPr>
          <w:p w14:paraId="4E6C2C8D" w14:textId="77777777" w:rsidR="009864DB" w:rsidRPr="004D46AC" w:rsidRDefault="009864DB" w:rsidP="009864DB">
            <w:pPr>
              <w:spacing w:line="240" w:lineRule="auto"/>
              <w:ind w:firstLine="0"/>
              <w:rPr>
                <w:i/>
                <w:iCs/>
              </w:rPr>
            </w:pPr>
            <w:r w:rsidRPr="004D46AC">
              <w:t>MDS</w:t>
            </w:r>
          </w:p>
        </w:tc>
        <w:tc>
          <w:tcPr>
            <w:tcW w:w="1147" w:type="dxa"/>
            <w:vAlign w:val="center"/>
          </w:tcPr>
          <w:p w14:paraId="26F6096C" w14:textId="77777777" w:rsidR="009864DB" w:rsidRPr="004D46AC" w:rsidRDefault="009864DB" w:rsidP="009864DB">
            <w:pPr>
              <w:spacing w:line="240" w:lineRule="auto"/>
              <w:ind w:firstLine="0"/>
              <w:rPr>
                <w:i/>
                <w:iCs/>
              </w:rPr>
            </w:pPr>
            <w:r w:rsidRPr="004D46AC">
              <w:t>23130</w:t>
            </w:r>
          </w:p>
        </w:tc>
        <w:tc>
          <w:tcPr>
            <w:tcW w:w="1178" w:type="dxa"/>
            <w:vAlign w:val="center"/>
          </w:tcPr>
          <w:p w14:paraId="47D432CD" w14:textId="77777777" w:rsidR="009864DB" w:rsidRPr="004D46AC" w:rsidRDefault="009864DB" w:rsidP="009864DB">
            <w:pPr>
              <w:spacing w:line="240" w:lineRule="auto"/>
              <w:ind w:firstLine="0"/>
              <w:rPr>
                <w:i/>
                <w:iCs/>
              </w:rPr>
            </w:pPr>
            <w:r w:rsidRPr="004D46AC">
              <w:t>unclear</w:t>
            </w:r>
          </w:p>
        </w:tc>
        <w:tc>
          <w:tcPr>
            <w:tcW w:w="1167" w:type="dxa"/>
            <w:vAlign w:val="center"/>
          </w:tcPr>
          <w:p w14:paraId="32ADAFA6" w14:textId="77777777" w:rsidR="009864DB" w:rsidRPr="004D46AC" w:rsidRDefault="009864DB" w:rsidP="009864DB">
            <w:pPr>
              <w:spacing w:line="240" w:lineRule="auto"/>
              <w:ind w:firstLine="0"/>
              <w:rPr>
                <w:i/>
                <w:iCs/>
              </w:rPr>
            </w:pPr>
            <w:r w:rsidRPr="004D46AC">
              <w:t>1</w:t>
            </w:r>
          </w:p>
        </w:tc>
        <w:tc>
          <w:tcPr>
            <w:tcW w:w="1162" w:type="dxa"/>
          </w:tcPr>
          <w:p w14:paraId="4C385097"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778902B" w14:textId="77777777" w:rsidR="009864DB" w:rsidRPr="004D46AC" w:rsidRDefault="009864DB" w:rsidP="009864DB">
            <w:pPr>
              <w:spacing w:line="240" w:lineRule="auto"/>
              <w:ind w:firstLine="0"/>
              <w:rPr>
                <w:i/>
                <w:iCs/>
              </w:rPr>
            </w:pPr>
            <w:r w:rsidRPr="004D46AC">
              <w:t>any</w:t>
            </w:r>
          </w:p>
        </w:tc>
        <w:tc>
          <w:tcPr>
            <w:tcW w:w="1163" w:type="dxa"/>
            <w:vAlign w:val="center"/>
          </w:tcPr>
          <w:p w14:paraId="573F76E5" w14:textId="77777777" w:rsidR="009864DB" w:rsidRPr="004D46AC" w:rsidRDefault="009864DB" w:rsidP="009864DB">
            <w:pPr>
              <w:spacing w:line="240" w:lineRule="auto"/>
              <w:ind w:firstLine="0"/>
              <w:rPr>
                <w:i/>
                <w:iCs/>
              </w:rPr>
            </w:pPr>
            <w:r w:rsidRPr="004D46AC">
              <w:t>745</w:t>
            </w:r>
          </w:p>
        </w:tc>
      </w:tr>
      <w:tr w:rsidR="009864DB" w:rsidRPr="004D46AC" w14:paraId="45C32C6D" w14:textId="77777777" w:rsidTr="00B518F1">
        <w:tc>
          <w:tcPr>
            <w:tcW w:w="1908" w:type="dxa"/>
          </w:tcPr>
          <w:p w14:paraId="615BDFE0"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PEVuZE5vdGU+PENpdGUgQXV0aG9yWWVhcj0iMSI+PEF1dGhvcj5Sb3NlbjwvQXV0aG9yPjxZZWFy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</w:fldData>
              </w:fldChar>
            </w:r>
            <w:r w:rsidRPr="004D46AC">
              <w:rPr>
                <w:i/>
                <w:iCs/>
              </w:rPr>
              <w:instrText xml:space="preserve"> ADDIN EN.CITE </w:instrText>
            </w:r>
            <w:r w:rsidRPr="004D46AC">
              <w:rPr>
                <w:i/>
                <w:iCs/>
              </w:rPr>
              <w:fldChar w:fldCharType="begin">
                <w:fldData xml:space="preserve">PEVuZE5vdGU+PENpdGUgQXV0aG9yWWVhcj0iMSI+PEF1dGhvcj5Sb3NlbjwvQXV0aG9yPjxZZWFy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Rosen et al. (2016)</w:t>
            </w:r>
            <w:r w:rsidRPr="004D46AC">
              <w:fldChar w:fldCharType="end"/>
            </w:r>
          </w:p>
        </w:tc>
        <w:tc>
          <w:tcPr>
            <w:tcW w:w="1198" w:type="dxa"/>
            <w:vAlign w:val="center"/>
          </w:tcPr>
          <w:p w14:paraId="1CA891F5" w14:textId="77777777" w:rsidR="009864DB" w:rsidRPr="004D46AC" w:rsidRDefault="009864DB" w:rsidP="009864DB">
            <w:pPr>
              <w:spacing w:line="240" w:lineRule="auto"/>
              <w:ind w:firstLine="0"/>
              <w:rPr>
                <w:i/>
                <w:iCs/>
              </w:rPr>
            </w:pPr>
            <w:r w:rsidRPr="004D46AC">
              <w:t>4</w:t>
            </w:r>
          </w:p>
        </w:tc>
        <w:tc>
          <w:tcPr>
            <w:tcW w:w="1178" w:type="dxa"/>
            <w:vAlign w:val="center"/>
          </w:tcPr>
          <w:p w14:paraId="09F427F8" w14:textId="77777777" w:rsidR="009864DB" w:rsidRPr="004D46AC" w:rsidRDefault="009864DB" w:rsidP="009864DB">
            <w:pPr>
              <w:spacing w:line="240" w:lineRule="auto"/>
              <w:ind w:firstLine="0"/>
              <w:rPr>
                <w:i/>
                <w:iCs/>
              </w:rPr>
            </w:pPr>
            <w:r w:rsidRPr="004D46AC">
              <w:t>NA</w:t>
            </w:r>
          </w:p>
        </w:tc>
        <w:tc>
          <w:tcPr>
            <w:tcW w:w="1221" w:type="dxa"/>
            <w:vAlign w:val="center"/>
          </w:tcPr>
          <w:p w14:paraId="76ADFEE7" w14:textId="77777777" w:rsidR="009864DB" w:rsidRPr="004D46AC" w:rsidRDefault="009864DB" w:rsidP="009864DB">
            <w:pPr>
              <w:spacing w:line="240" w:lineRule="auto"/>
              <w:ind w:firstLine="0"/>
              <w:rPr>
                <w:i/>
                <w:iCs/>
              </w:rPr>
            </w:pPr>
            <w:r w:rsidRPr="004D46AC">
              <w:t>DSM4TR</w:t>
            </w:r>
          </w:p>
        </w:tc>
        <w:tc>
          <w:tcPr>
            <w:tcW w:w="1415" w:type="dxa"/>
            <w:vAlign w:val="center"/>
          </w:tcPr>
          <w:p w14:paraId="0C18CB66" w14:textId="77777777" w:rsidR="009864DB" w:rsidRPr="004D46AC" w:rsidRDefault="009864DB" w:rsidP="009864DB">
            <w:pPr>
              <w:spacing w:line="240" w:lineRule="auto"/>
              <w:ind w:firstLine="0"/>
              <w:rPr>
                <w:i/>
                <w:iCs/>
              </w:rPr>
            </w:pPr>
            <w:r w:rsidRPr="004D46AC">
              <w:t>SCID</w:t>
            </w:r>
          </w:p>
        </w:tc>
        <w:tc>
          <w:tcPr>
            <w:tcW w:w="1147" w:type="dxa"/>
            <w:vAlign w:val="center"/>
          </w:tcPr>
          <w:p w14:paraId="2E3FB5B0" w14:textId="77777777" w:rsidR="009864DB" w:rsidRPr="004D46AC" w:rsidRDefault="009864DB" w:rsidP="009864DB">
            <w:pPr>
              <w:spacing w:line="240" w:lineRule="auto"/>
              <w:ind w:firstLine="0"/>
              <w:rPr>
                <w:i/>
                <w:iCs/>
              </w:rPr>
            </w:pPr>
            <w:r w:rsidRPr="004D46AC">
              <w:t>33</w:t>
            </w:r>
          </w:p>
        </w:tc>
        <w:tc>
          <w:tcPr>
            <w:tcW w:w="1178" w:type="dxa"/>
            <w:vAlign w:val="center"/>
          </w:tcPr>
          <w:p w14:paraId="5D29EC2A" w14:textId="77777777" w:rsidR="009864DB" w:rsidRPr="004D46AC" w:rsidRDefault="009864DB" w:rsidP="009864DB">
            <w:pPr>
              <w:spacing w:line="240" w:lineRule="auto"/>
              <w:ind w:firstLine="0"/>
              <w:rPr>
                <w:i/>
                <w:iCs/>
              </w:rPr>
            </w:pPr>
            <w:r w:rsidRPr="004D46AC">
              <w:t>unclear</w:t>
            </w:r>
          </w:p>
        </w:tc>
        <w:tc>
          <w:tcPr>
            <w:tcW w:w="1167" w:type="dxa"/>
            <w:vAlign w:val="center"/>
          </w:tcPr>
          <w:p w14:paraId="2C55EF2F" w14:textId="77777777" w:rsidR="009864DB" w:rsidRPr="004D46AC" w:rsidRDefault="009864DB" w:rsidP="009864DB">
            <w:pPr>
              <w:spacing w:line="240" w:lineRule="auto"/>
              <w:ind w:firstLine="0"/>
              <w:rPr>
                <w:i/>
                <w:iCs/>
              </w:rPr>
            </w:pPr>
            <w:r w:rsidRPr="004D46AC">
              <w:t>3</w:t>
            </w:r>
          </w:p>
        </w:tc>
        <w:tc>
          <w:tcPr>
            <w:tcW w:w="1162" w:type="dxa"/>
          </w:tcPr>
          <w:p w14:paraId="77C5B570"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6CE81F2" w14:textId="77777777" w:rsidR="009864DB" w:rsidRPr="004D46AC" w:rsidRDefault="009864DB" w:rsidP="009864DB">
            <w:pPr>
              <w:spacing w:line="240" w:lineRule="auto"/>
              <w:ind w:firstLine="0"/>
              <w:rPr>
                <w:i/>
                <w:iCs/>
              </w:rPr>
            </w:pPr>
            <w:r w:rsidRPr="004D46AC">
              <w:t>auditory</w:t>
            </w:r>
          </w:p>
        </w:tc>
        <w:tc>
          <w:tcPr>
            <w:tcW w:w="1163" w:type="dxa"/>
            <w:vAlign w:val="center"/>
          </w:tcPr>
          <w:p w14:paraId="6B5C0F48" w14:textId="77777777" w:rsidR="009864DB" w:rsidRPr="004D46AC" w:rsidRDefault="009864DB" w:rsidP="009864DB">
            <w:pPr>
              <w:spacing w:line="240" w:lineRule="auto"/>
              <w:ind w:firstLine="0"/>
              <w:rPr>
                <w:i/>
                <w:iCs/>
              </w:rPr>
            </w:pPr>
            <w:r w:rsidRPr="004D46AC">
              <w:t>26</w:t>
            </w:r>
          </w:p>
        </w:tc>
      </w:tr>
      <w:tr w:rsidR="009864DB" w:rsidRPr="004D46AC" w14:paraId="75A2F75A" w14:textId="77777777" w:rsidTr="00B518F1">
        <w:tc>
          <w:tcPr>
            <w:tcW w:w="1908" w:type="dxa"/>
          </w:tcPr>
          <w:p w14:paraId="6B8C2165"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PEVuZE5vdGU+PENpdGUgQXV0aG9yWWVhcj0iMSI+PEF1dGhvcj5Ub29tZXk8L0F1dGhvcj48WWVh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rPr>
                <w:i/>
                <w:iCs/>
              </w:rPr>
              <w:instrText xml:space="preserve"> ADDIN EN.CITE </w:instrText>
            </w:r>
            <w:r w:rsidRPr="004D46AC">
              <w:rPr>
                <w:i/>
                <w:iCs/>
              </w:rPr>
              <w:fldChar w:fldCharType="begin">
                <w:fldData xml:space="preserve">PEVuZE5vdGU+PENpdGUgQXV0aG9yWWVhcj0iMSI+PEF1dGhvcj5Ub29tZXk8L0F1dGhvcj48WWVh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Toomey et al. (1998)</w:t>
            </w:r>
            <w:r w:rsidRPr="004D46AC">
              <w:fldChar w:fldCharType="end"/>
            </w:r>
          </w:p>
        </w:tc>
        <w:tc>
          <w:tcPr>
            <w:tcW w:w="1198" w:type="dxa"/>
            <w:vAlign w:val="center"/>
          </w:tcPr>
          <w:p w14:paraId="79EA0AB0" w14:textId="77777777" w:rsidR="009864DB" w:rsidRPr="004D46AC" w:rsidRDefault="009864DB" w:rsidP="009864DB">
            <w:pPr>
              <w:spacing w:line="240" w:lineRule="auto"/>
              <w:ind w:firstLine="0"/>
              <w:rPr>
                <w:i/>
                <w:iCs/>
              </w:rPr>
            </w:pPr>
            <w:r w:rsidRPr="004D46AC">
              <w:t>6</w:t>
            </w:r>
          </w:p>
        </w:tc>
        <w:tc>
          <w:tcPr>
            <w:tcW w:w="1178" w:type="dxa"/>
            <w:vAlign w:val="center"/>
          </w:tcPr>
          <w:p w14:paraId="22A8EA77" w14:textId="77777777" w:rsidR="009864DB" w:rsidRPr="004D46AC" w:rsidRDefault="009864DB" w:rsidP="009864DB">
            <w:pPr>
              <w:spacing w:line="240" w:lineRule="auto"/>
              <w:ind w:firstLine="0"/>
              <w:rPr>
                <w:i/>
                <w:iCs/>
              </w:rPr>
            </w:pPr>
            <w:r w:rsidRPr="004D46AC">
              <w:t>47.7</w:t>
            </w:r>
          </w:p>
        </w:tc>
        <w:tc>
          <w:tcPr>
            <w:tcW w:w="1221" w:type="dxa"/>
            <w:vAlign w:val="center"/>
          </w:tcPr>
          <w:p w14:paraId="453799B1" w14:textId="77777777" w:rsidR="009864DB" w:rsidRPr="004D46AC" w:rsidRDefault="009864DB" w:rsidP="009864DB">
            <w:pPr>
              <w:spacing w:line="240" w:lineRule="auto"/>
              <w:ind w:firstLine="0"/>
              <w:rPr>
                <w:i/>
                <w:iCs/>
              </w:rPr>
            </w:pPr>
            <w:r w:rsidRPr="004D46AC">
              <w:t>unclear</w:t>
            </w:r>
          </w:p>
        </w:tc>
        <w:tc>
          <w:tcPr>
            <w:tcW w:w="1415" w:type="dxa"/>
            <w:vAlign w:val="center"/>
          </w:tcPr>
          <w:p w14:paraId="010FF991" w14:textId="77777777" w:rsidR="009864DB" w:rsidRPr="004D46AC" w:rsidRDefault="009864DB" w:rsidP="009864DB">
            <w:pPr>
              <w:spacing w:line="240" w:lineRule="auto"/>
              <w:ind w:firstLine="0"/>
              <w:rPr>
                <w:i/>
                <w:iCs/>
              </w:rPr>
            </w:pPr>
            <w:r w:rsidRPr="004D46AC">
              <w:t>SADS</w:t>
            </w:r>
          </w:p>
        </w:tc>
        <w:tc>
          <w:tcPr>
            <w:tcW w:w="1147" w:type="dxa"/>
            <w:vAlign w:val="center"/>
          </w:tcPr>
          <w:p w14:paraId="5CE5D01E" w14:textId="77777777" w:rsidR="009864DB" w:rsidRPr="004D46AC" w:rsidRDefault="009864DB" w:rsidP="009864DB">
            <w:pPr>
              <w:spacing w:line="240" w:lineRule="auto"/>
              <w:ind w:firstLine="0"/>
              <w:rPr>
                <w:i/>
                <w:iCs/>
              </w:rPr>
            </w:pPr>
            <w:r w:rsidRPr="004D46AC">
              <w:t>58</w:t>
            </w:r>
          </w:p>
        </w:tc>
        <w:tc>
          <w:tcPr>
            <w:tcW w:w="1178" w:type="dxa"/>
            <w:vAlign w:val="center"/>
          </w:tcPr>
          <w:p w14:paraId="776E01B0" w14:textId="77777777" w:rsidR="009864DB" w:rsidRPr="004D46AC" w:rsidRDefault="009864DB" w:rsidP="009864DB">
            <w:pPr>
              <w:spacing w:line="240" w:lineRule="auto"/>
              <w:ind w:firstLine="0"/>
              <w:rPr>
                <w:i/>
                <w:iCs/>
              </w:rPr>
            </w:pPr>
            <w:r w:rsidRPr="004D46AC">
              <w:t>2</w:t>
            </w:r>
          </w:p>
        </w:tc>
        <w:tc>
          <w:tcPr>
            <w:tcW w:w="1167" w:type="dxa"/>
            <w:vAlign w:val="center"/>
          </w:tcPr>
          <w:p w14:paraId="5243ACBB" w14:textId="77777777" w:rsidR="009864DB" w:rsidRPr="004D46AC" w:rsidRDefault="009864DB" w:rsidP="009864DB">
            <w:pPr>
              <w:spacing w:line="240" w:lineRule="auto"/>
              <w:ind w:firstLine="0"/>
              <w:rPr>
                <w:i/>
                <w:iCs/>
              </w:rPr>
            </w:pPr>
            <w:r w:rsidRPr="004D46AC">
              <w:t>3</w:t>
            </w:r>
          </w:p>
        </w:tc>
        <w:tc>
          <w:tcPr>
            <w:tcW w:w="1162" w:type="dxa"/>
          </w:tcPr>
          <w:p w14:paraId="09465C13"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6B470C15" w14:textId="77777777" w:rsidR="009864DB" w:rsidRPr="004D46AC" w:rsidRDefault="009864DB" w:rsidP="009864DB">
            <w:pPr>
              <w:spacing w:line="240" w:lineRule="auto"/>
              <w:ind w:firstLine="0"/>
              <w:rPr>
                <w:i/>
                <w:iCs/>
              </w:rPr>
            </w:pPr>
            <w:r w:rsidRPr="004D46AC">
              <w:t>any</w:t>
            </w:r>
          </w:p>
        </w:tc>
        <w:tc>
          <w:tcPr>
            <w:tcW w:w="1163" w:type="dxa"/>
            <w:vAlign w:val="center"/>
          </w:tcPr>
          <w:p w14:paraId="1FA770E6" w14:textId="77777777" w:rsidR="009864DB" w:rsidRPr="004D46AC" w:rsidRDefault="009864DB" w:rsidP="009864DB">
            <w:pPr>
              <w:spacing w:line="240" w:lineRule="auto"/>
              <w:ind w:firstLine="0"/>
              <w:rPr>
                <w:i/>
                <w:iCs/>
              </w:rPr>
            </w:pPr>
            <w:r w:rsidRPr="004D46AC">
              <w:t>0</w:t>
            </w:r>
          </w:p>
        </w:tc>
      </w:tr>
      <w:tr w:rsidR="009864DB" w:rsidRPr="004D46AC" w14:paraId="67FEF4CE" w14:textId="77777777" w:rsidTr="00B518F1">
        <w:tc>
          <w:tcPr>
            <w:tcW w:w="1908" w:type="dxa"/>
          </w:tcPr>
          <w:p w14:paraId="07F822B2"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rPr>
                <w:i/>
                <w:iCs/>
              </w:rPr>
              <w:instrText xml:space="preserve"> ADDIN EN.CITE </w:instrText>
            </w:r>
            <w:r w:rsidRPr="004D46AC">
              <w:rPr>
                <w:i/>
                <w:iCs/>
              </w:rPr>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Morgan et al. (2005)</w:t>
            </w:r>
            <w:r w:rsidRPr="004D46AC">
              <w:fldChar w:fldCharType="end"/>
            </w:r>
          </w:p>
        </w:tc>
        <w:tc>
          <w:tcPr>
            <w:tcW w:w="1198" w:type="dxa"/>
            <w:vAlign w:val="center"/>
          </w:tcPr>
          <w:p w14:paraId="5557C8D3" w14:textId="77777777" w:rsidR="009864DB" w:rsidRPr="004D46AC" w:rsidRDefault="009864DB" w:rsidP="009864DB">
            <w:pPr>
              <w:spacing w:line="240" w:lineRule="auto"/>
              <w:ind w:firstLine="0"/>
              <w:rPr>
                <w:i/>
                <w:iCs/>
              </w:rPr>
            </w:pPr>
            <w:r w:rsidRPr="004D46AC">
              <w:t>7</w:t>
            </w:r>
          </w:p>
        </w:tc>
        <w:tc>
          <w:tcPr>
            <w:tcW w:w="1178" w:type="dxa"/>
            <w:vAlign w:val="center"/>
          </w:tcPr>
          <w:p w14:paraId="23C02F67" w14:textId="77777777" w:rsidR="009864DB" w:rsidRPr="004D46AC" w:rsidRDefault="009864DB" w:rsidP="009864DB">
            <w:pPr>
              <w:spacing w:line="240" w:lineRule="auto"/>
              <w:ind w:firstLine="0"/>
              <w:rPr>
                <w:i/>
                <w:iCs/>
              </w:rPr>
            </w:pPr>
            <w:r w:rsidRPr="004D46AC">
              <w:t>42.47</w:t>
            </w:r>
          </w:p>
        </w:tc>
        <w:tc>
          <w:tcPr>
            <w:tcW w:w="1221" w:type="dxa"/>
            <w:vAlign w:val="center"/>
          </w:tcPr>
          <w:p w14:paraId="1EE759B6" w14:textId="77777777" w:rsidR="009864DB" w:rsidRPr="004D46AC" w:rsidRDefault="009864DB" w:rsidP="009864DB">
            <w:pPr>
              <w:spacing w:line="240" w:lineRule="auto"/>
              <w:ind w:firstLine="0"/>
              <w:rPr>
                <w:i/>
                <w:iCs/>
              </w:rPr>
            </w:pPr>
            <w:r w:rsidRPr="004D46AC">
              <w:t>ICD10</w:t>
            </w:r>
          </w:p>
        </w:tc>
        <w:tc>
          <w:tcPr>
            <w:tcW w:w="1415" w:type="dxa"/>
            <w:vAlign w:val="center"/>
          </w:tcPr>
          <w:p w14:paraId="2C69660C" w14:textId="77777777" w:rsidR="009864DB" w:rsidRPr="004D46AC" w:rsidRDefault="009864DB" w:rsidP="009864DB">
            <w:pPr>
              <w:spacing w:line="240" w:lineRule="auto"/>
              <w:ind w:firstLine="0"/>
              <w:rPr>
                <w:i/>
                <w:iCs/>
              </w:rPr>
            </w:pPr>
            <w:r w:rsidRPr="004D46AC">
              <w:t>DIP</w:t>
            </w:r>
          </w:p>
        </w:tc>
        <w:tc>
          <w:tcPr>
            <w:tcW w:w="1147" w:type="dxa"/>
            <w:vAlign w:val="center"/>
          </w:tcPr>
          <w:p w14:paraId="627CA669" w14:textId="77777777" w:rsidR="009864DB" w:rsidRPr="004D46AC" w:rsidRDefault="009864DB" w:rsidP="009864DB">
            <w:pPr>
              <w:spacing w:line="240" w:lineRule="auto"/>
              <w:ind w:firstLine="0"/>
              <w:rPr>
                <w:i/>
                <w:iCs/>
              </w:rPr>
            </w:pPr>
            <w:r w:rsidRPr="004D46AC">
              <w:t>112</w:t>
            </w:r>
          </w:p>
        </w:tc>
        <w:tc>
          <w:tcPr>
            <w:tcW w:w="1178" w:type="dxa"/>
            <w:vAlign w:val="center"/>
          </w:tcPr>
          <w:p w14:paraId="6308F1FE" w14:textId="77777777" w:rsidR="009864DB" w:rsidRPr="004D46AC" w:rsidRDefault="009864DB" w:rsidP="009864DB">
            <w:pPr>
              <w:spacing w:line="240" w:lineRule="auto"/>
              <w:ind w:firstLine="0"/>
              <w:rPr>
                <w:i/>
                <w:iCs/>
              </w:rPr>
            </w:pPr>
            <w:r w:rsidRPr="004D46AC">
              <w:t>2</w:t>
            </w:r>
          </w:p>
        </w:tc>
        <w:tc>
          <w:tcPr>
            <w:tcW w:w="1167" w:type="dxa"/>
            <w:vAlign w:val="center"/>
          </w:tcPr>
          <w:p w14:paraId="69389408" w14:textId="77777777" w:rsidR="009864DB" w:rsidRPr="004D46AC" w:rsidRDefault="009864DB" w:rsidP="009864DB">
            <w:pPr>
              <w:spacing w:line="240" w:lineRule="auto"/>
              <w:ind w:firstLine="0"/>
              <w:rPr>
                <w:i/>
                <w:iCs/>
              </w:rPr>
            </w:pPr>
            <w:r w:rsidRPr="004D46AC">
              <w:t>3</w:t>
            </w:r>
          </w:p>
        </w:tc>
        <w:tc>
          <w:tcPr>
            <w:tcW w:w="1162" w:type="dxa"/>
          </w:tcPr>
          <w:p w14:paraId="3A93F34A"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58E92570" w14:textId="77777777" w:rsidR="009864DB" w:rsidRPr="004D46AC" w:rsidRDefault="009864DB" w:rsidP="009864DB">
            <w:pPr>
              <w:spacing w:line="240" w:lineRule="auto"/>
              <w:ind w:firstLine="0"/>
              <w:rPr>
                <w:i/>
                <w:iCs/>
              </w:rPr>
            </w:pPr>
            <w:r w:rsidRPr="004D46AC">
              <w:t>any</w:t>
            </w:r>
          </w:p>
        </w:tc>
        <w:tc>
          <w:tcPr>
            <w:tcW w:w="1163" w:type="dxa"/>
            <w:vAlign w:val="center"/>
          </w:tcPr>
          <w:p w14:paraId="034E2570" w14:textId="77777777" w:rsidR="009864DB" w:rsidRPr="004D46AC" w:rsidRDefault="009864DB" w:rsidP="009864DB">
            <w:pPr>
              <w:spacing w:line="240" w:lineRule="auto"/>
              <w:ind w:firstLine="0"/>
              <w:rPr>
                <w:i/>
                <w:iCs/>
              </w:rPr>
            </w:pPr>
            <w:r w:rsidRPr="004D46AC">
              <w:t>4</w:t>
            </w:r>
          </w:p>
        </w:tc>
      </w:tr>
      <w:tr w:rsidR="009864DB" w:rsidRPr="004D46AC" w14:paraId="561E6052" w14:textId="77777777" w:rsidTr="00B518F1">
        <w:tc>
          <w:tcPr>
            <w:tcW w:w="1908" w:type="dxa"/>
          </w:tcPr>
          <w:p w14:paraId="3B0268BE"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PEVuZE5vdGU+PENpdGUgQXV0aG9yWWVhcj0iMSI+PEF1dGhvcj5DYWxkaWVyYXJvPC9BdXRob3I+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rPr>
                <w:i/>
                <w:iCs/>
              </w:rPr>
              <w:instrText xml:space="preserve"> ADDIN EN.CITE </w:instrText>
            </w:r>
            <w:r w:rsidRPr="004D46AC">
              <w:rPr>
                <w:i/>
                <w:iCs/>
              </w:rPr>
              <w:fldChar w:fldCharType="begin">
                <w:fldData xml:space="preserve">PEVuZE5vdGU+PENpdGUgQXV0aG9yWWVhcj0iMSI+PEF1dGhvcj5DYWxkaWVyYXJvPC9BdXRob3I+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Caldieraro et al. (2017)</w:t>
            </w:r>
            <w:r w:rsidRPr="004D46AC">
              <w:fldChar w:fldCharType="end"/>
            </w:r>
          </w:p>
        </w:tc>
        <w:tc>
          <w:tcPr>
            <w:tcW w:w="1198" w:type="dxa"/>
            <w:vAlign w:val="center"/>
          </w:tcPr>
          <w:p w14:paraId="66790CB3" w14:textId="77777777" w:rsidR="009864DB" w:rsidRPr="004D46AC" w:rsidRDefault="009864DB" w:rsidP="009864DB">
            <w:pPr>
              <w:spacing w:line="240" w:lineRule="auto"/>
              <w:ind w:firstLine="0"/>
              <w:rPr>
                <w:i/>
                <w:iCs/>
              </w:rPr>
            </w:pPr>
            <w:r w:rsidRPr="004D46AC">
              <w:t>5</w:t>
            </w:r>
          </w:p>
        </w:tc>
        <w:tc>
          <w:tcPr>
            <w:tcW w:w="1178" w:type="dxa"/>
            <w:vAlign w:val="center"/>
          </w:tcPr>
          <w:p w14:paraId="4CE91A66" w14:textId="77777777" w:rsidR="009864DB" w:rsidRPr="004D46AC" w:rsidRDefault="009864DB" w:rsidP="009864DB">
            <w:pPr>
              <w:spacing w:line="240" w:lineRule="auto"/>
              <w:ind w:firstLine="0"/>
              <w:rPr>
                <w:i/>
                <w:iCs/>
              </w:rPr>
            </w:pPr>
            <w:r w:rsidRPr="004D46AC">
              <w:t>39.45</w:t>
            </w:r>
          </w:p>
        </w:tc>
        <w:tc>
          <w:tcPr>
            <w:tcW w:w="1221" w:type="dxa"/>
            <w:vAlign w:val="center"/>
          </w:tcPr>
          <w:p w14:paraId="25A6A00F" w14:textId="77777777" w:rsidR="009864DB" w:rsidRPr="004D46AC" w:rsidRDefault="009864DB" w:rsidP="009864DB">
            <w:pPr>
              <w:spacing w:line="240" w:lineRule="auto"/>
              <w:ind w:firstLine="0"/>
              <w:rPr>
                <w:i/>
                <w:iCs/>
              </w:rPr>
            </w:pPr>
            <w:r w:rsidRPr="004D46AC">
              <w:t>DSM4TR</w:t>
            </w:r>
          </w:p>
        </w:tc>
        <w:tc>
          <w:tcPr>
            <w:tcW w:w="1415" w:type="dxa"/>
            <w:vAlign w:val="center"/>
          </w:tcPr>
          <w:p w14:paraId="04573399" w14:textId="77777777" w:rsidR="009864DB" w:rsidRPr="004D46AC" w:rsidRDefault="009864DB" w:rsidP="009864DB">
            <w:pPr>
              <w:spacing w:line="240" w:lineRule="auto"/>
              <w:ind w:firstLine="0"/>
              <w:rPr>
                <w:i/>
                <w:iCs/>
              </w:rPr>
            </w:pPr>
            <w:r w:rsidRPr="004D46AC">
              <w:t>BISS</w:t>
            </w:r>
          </w:p>
        </w:tc>
        <w:tc>
          <w:tcPr>
            <w:tcW w:w="1147" w:type="dxa"/>
            <w:vAlign w:val="center"/>
          </w:tcPr>
          <w:p w14:paraId="20632763" w14:textId="77777777" w:rsidR="009864DB" w:rsidRPr="004D46AC" w:rsidRDefault="009864DB" w:rsidP="009864DB">
            <w:pPr>
              <w:spacing w:line="240" w:lineRule="auto"/>
              <w:ind w:firstLine="0"/>
              <w:rPr>
                <w:i/>
                <w:iCs/>
              </w:rPr>
            </w:pPr>
            <w:r w:rsidRPr="004D46AC">
              <w:t>303</w:t>
            </w:r>
          </w:p>
        </w:tc>
        <w:tc>
          <w:tcPr>
            <w:tcW w:w="1178" w:type="dxa"/>
            <w:vAlign w:val="center"/>
          </w:tcPr>
          <w:p w14:paraId="16EABA4A" w14:textId="77777777" w:rsidR="009864DB" w:rsidRPr="004D46AC" w:rsidRDefault="009864DB" w:rsidP="009864DB">
            <w:pPr>
              <w:spacing w:line="240" w:lineRule="auto"/>
              <w:ind w:firstLine="0"/>
              <w:rPr>
                <w:i/>
                <w:iCs/>
              </w:rPr>
            </w:pPr>
            <w:r w:rsidRPr="004D46AC">
              <w:t>1</w:t>
            </w:r>
          </w:p>
        </w:tc>
        <w:tc>
          <w:tcPr>
            <w:tcW w:w="1167" w:type="dxa"/>
            <w:vAlign w:val="center"/>
          </w:tcPr>
          <w:p w14:paraId="45F95AA3" w14:textId="77777777" w:rsidR="009864DB" w:rsidRPr="004D46AC" w:rsidRDefault="009864DB" w:rsidP="009864DB">
            <w:pPr>
              <w:spacing w:line="240" w:lineRule="auto"/>
              <w:ind w:firstLine="0"/>
              <w:rPr>
                <w:i/>
                <w:iCs/>
              </w:rPr>
            </w:pPr>
            <w:r w:rsidRPr="004D46AC">
              <w:t>1</w:t>
            </w:r>
          </w:p>
        </w:tc>
        <w:tc>
          <w:tcPr>
            <w:tcW w:w="1162" w:type="dxa"/>
          </w:tcPr>
          <w:p w14:paraId="0A16EA12"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C1E79A0" w14:textId="77777777" w:rsidR="009864DB" w:rsidRPr="004D46AC" w:rsidRDefault="009864DB" w:rsidP="009864DB">
            <w:pPr>
              <w:spacing w:line="240" w:lineRule="auto"/>
              <w:ind w:firstLine="0"/>
              <w:rPr>
                <w:i/>
                <w:iCs/>
              </w:rPr>
            </w:pPr>
            <w:r w:rsidRPr="004D46AC">
              <w:t>any</w:t>
            </w:r>
          </w:p>
        </w:tc>
        <w:tc>
          <w:tcPr>
            <w:tcW w:w="1163" w:type="dxa"/>
            <w:vAlign w:val="center"/>
          </w:tcPr>
          <w:p w14:paraId="282CB4BC" w14:textId="77777777" w:rsidR="009864DB" w:rsidRPr="004D46AC" w:rsidRDefault="009864DB" w:rsidP="009864DB">
            <w:pPr>
              <w:spacing w:line="240" w:lineRule="auto"/>
              <w:ind w:firstLine="0"/>
              <w:rPr>
                <w:i/>
                <w:iCs/>
              </w:rPr>
            </w:pPr>
            <w:r w:rsidRPr="004D46AC">
              <w:t>22</w:t>
            </w:r>
          </w:p>
        </w:tc>
      </w:tr>
      <w:tr w:rsidR="009864DB" w:rsidRPr="004D46AC" w14:paraId="1872613F" w14:textId="77777777" w:rsidTr="00B518F1">
        <w:tc>
          <w:tcPr>
            <w:tcW w:w="1908" w:type="dxa"/>
          </w:tcPr>
          <w:p w14:paraId="66620354"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PEVuZE5vdGU+PENpdGUgQXV0aG9yWWVhcj0iMSI+PEF1dGhvcj5GZWthZHU8L0F1dGhvcj48WWVh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rPr>
                <w:i/>
                <w:iCs/>
              </w:rPr>
              <w:instrText xml:space="preserve"> ADDIN EN.CITE </w:instrText>
            </w:r>
            <w:r w:rsidRPr="004D46AC">
              <w:rPr>
                <w:i/>
                <w:iCs/>
              </w:rPr>
              <w:fldChar w:fldCharType="begin">
                <w:fldData xml:space="preserve">PEVuZE5vdGU+PENpdGUgQXV0aG9yWWVhcj0iMSI+PEF1dGhvcj5GZWthZHU8L0F1dGhvcj48WWVh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Fekadu et al. (2004)</w:t>
            </w:r>
            <w:r w:rsidRPr="004D46AC">
              <w:fldChar w:fldCharType="end"/>
            </w:r>
          </w:p>
        </w:tc>
        <w:tc>
          <w:tcPr>
            <w:tcW w:w="1198" w:type="dxa"/>
            <w:vAlign w:val="center"/>
          </w:tcPr>
          <w:p w14:paraId="592689AD" w14:textId="77777777" w:rsidR="009864DB" w:rsidRPr="004D46AC" w:rsidRDefault="009864DB" w:rsidP="009864DB">
            <w:pPr>
              <w:spacing w:line="240" w:lineRule="auto"/>
              <w:ind w:firstLine="0"/>
              <w:rPr>
                <w:i/>
                <w:iCs/>
              </w:rPr>
            </w:pPr>
            <w:r w:rsidRPr="004D46AC">
              <w:t>6</w:t>
            </w:r>
          </w:p>
        </w:tc>
        <w:tc>
          <w:tcPr>
            <w:tcW w:w="1178" w:type="dxa"/>
            <w:vAlign w:val="center"/>
          </w:tcPr>
          <w:p w14:paraId="367C9BB9" w14:textId="77777777" w:rsidR="009864DB" w:rsidRPr="004D46AC" w:rsidRDefault="009864DB" w:rsidP="009864DB">
            <w:pPr>
              <w:spacing w:line="240" w:lineRule="auto"/>
              <w:ind w:firstLine="0"/>
              <w:rPr>
                <w:i/>
                <w:iCs/>
              </w:rPr>
            </w:pPr>
            <w:r w:rsidRPr="004D46AC">
              <w:t>27</w:t>
            </w:r>
          </w:p>
        </w:tc>
        <w:tc>
          <w:tcPr>
            <w:tcW w:w="1221" w:type="dxa"/>
            <w:vAlign w:val="center"/>
          </w:tcPr>
          <w:p w14:paraId="656ED4EF" w14:textId="77777777" w:rsidR="009864DB" w:rsidRPr="004D46AC" w:rsidRDefault="009864DB" w:rsidP="009864DB">
            <w:pPr>
              <w:spacing w:line="240" w:lineRule="auto"/>
              <w:ind w:firstLine="0"/>
              <w:rPr>
                <w:i/>
                <w:iCs/>
              </w:rPr>
            </w:pPr>
            <w:r w:rsidRPr="004D46AC">
              <w:t>ICD10</w:t>
            </w:r>
          </w:p>
        </w:tc>
        <w:tc>
          <w:tcPr>
            <w:tcW w:w="1415" w:type="dxa"/>
            <w:vAlign w:val="center"/>
          </w:tcPr>
          <w:p w14:paraId="67EBAEA9" w14:textId="77777777" w:rsidR="009864DB" w:rsidRPr="004D46AC" w:rsidRDefault="009864DB" w:rsidP="009864DB">
            <w:pPr>
              <w:spacing w:line="240" w:lineRule="auto"/>
              <w:ind w:firstLine="0"/>
              <w:rPr>
                <w:i/>
                <w:iCs/>
              </w:rPr>
            </w:pPr>
            <w:r w:rsidRPr="004D46AC">
              <w:t>SCAN</w:t>
            </w:r>
          </w:p>
        </w:tc>
        <w:tc>
          <w:tcPr>
            <w:tcW w:w="1147" w:type="dxa"/>
            <w:vAlign w:val="center"/>
          </w:tcPr>
          <w:p w14:paraId="5798816E" w14:textId="77777777" w:rsidR="009864DB" w:rsidRPr="004D46AC" w:rsidRDefault="009864DB" w:rsidP="009864DB">
            <w:pPr>
              <w:spacing w:line="240" w:lineRule="auto"/>
              <w:ind w:firstLine="0"/>
              <w:rPr>
                <w:i/>
                <w:iCs/>
              </w:rPr>
            </w:pPr>
            <w:r w:rsidRPr="004D46AC">
              <w:t>31</w:t>
            </w:r>
          </w:p>
        </w:tc>
        <w:tc>
          <w:tcPr>
            <w:tcW w:w="1178" w:type="dxa"/>
            <w:vAlign w:val="center"/>
          </w:tcPr>
          <w:p w14:paraId="10AA325B" w14:textId="77777777" w:rsidR="009864DB" w:rsidRPr="004D46AC" w:rsidRDefault="009864DB" w:rsidP="009864DB">
            <w:pPr>
              <w:spacing w:line="240" w:lineRule="auto"/>
              <w:ind w:firstLine="0"/>
              <w:rPr>
                <w:i/>
                <w:iCs/>
              </w:rPr>
            </w:pPr>
            <w:r w:rsidRPr="004D46AC">
              <w:t>1</w:t>
            </w:r>
          </w:p>
        </w:tc>
        <w:tc>
          <w:tcPr>
            <w:tcW w:w="1167" w:type="dxa"/>
            <w:vAlign w:val="center"/>
          </w:tcPr>
          <w:p w14:paraId="6C5A74EB" w14:textId="77777777" w:rsidR="009864DB" w:rsidRPr="004D46AC" w:rsidRDefault="009864DB" w:rsidP="009864DB">
            <w:pPr>
              <w:spacing w:line="240" w:lineRule="auto"/>
              <w:ind w:firstLine="0"/>
              <w:rPr>
                <w:i/>
                <w:iCs/>
              </w:rPr>
            </w:pPr>
            <w:r w:rsidRPr="004D46AC">
              <w:t>1</w:t>
            </w:r>
          </w:p>
        </w:tc>
        <w:tc>
          <w:tcPr>
            <w:tcW w:w="1162" w:type="dxa"/>
          </w:tcPr>
          <w:p w14:paraId="65444D7C"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085D8077" w14:textId="77777777" w:rsidR="009864DB" w:rsidRPr="004D46AC" w:rsidRDefault="009864DB" w:rsidP="009864DB">
            <w:pPr>
              <w:spacing w:line="240" w:lineRule="auto"/>
              <w:ind w:firstLine="0"/>
              <w:rPr>
                <w:i/>
                <w:iCs/>
              </w:rPr>
            </w:pPr>
            <w:r w:rsidRPr="004D46AC">
              <w:t>any</w:t>
            </w:r>
          </w:p>
        </w:tc>
        <w:tc>
          <w:tcPr>
            <w:tcW w:w="1163" w:type="dxa"/>
            <w:vAlign w:val="center"/>
          </w:tcPr>
          <w:p w14:paraId="061616B9" w14:textId="77777777" w:rsidR="009864DB" w:rsidRPr="004D46AC" w:rsidRDefault="009864DB" w:rsidP="009864DB">
            <w:pPr>
              <w:spacing w:line="240" w:lineRule="auto"/>
              <w:ind w:firstLine="0"/>
              <w:rPr>
                <w:i/>
                <w:iCs/>
              </w:rPr>
            </w:pPr>
            <w:r w:rsidRPr="004D46AC">
              <w:t>3</w:t>
            </w:r>
          </w:p>
        </w:tc>
      </w:tr>
      <w:tr w:rsidR="009864DB" w:rsidRPr="004D46AC" w14:paraId="2F737630" w14:textId="77777777" w:rsidTr="00B518F1">
        <w:tc>
          <w:tcPr>
            <w:tcW w:w="1908" w:type="dxa"/>
          </w:tcPr>
          <w:p w14:paraId="77095D8A"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i/>
                <w:iCs/>
              </w:rPr>
              <w:instrText xml:space="preserve"> ADDIN EN.CITE </w:instrText>
            </w:r>
            <w:r w:rsidRPr="004D46AC">
              <w:rPr>
                <w:i/>
                <w:iCs/>
              </w:rPr>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Kennedy et al. (2004)</w:t>
            </w:r>
            <w:r w:rsidRPr="004D46AC">
              <w:fldChar w:fldCharType="end"/>
            </w:r>
          </w:p>
        </w:tc>
        <w:tc>
          <w:tcPr>
            <w:tcW w:w="1198" w:type="dxa"/>
            <w:vAlign w:val="center"/>
          </w:tcPr>
          <w:p w14:paraId="3D56650E" w14:textId="77777777" w:rsidR="009864DB" w:rsidRPr="004D46AC" w:rsidRDefault="009864DB" w:rsidP="009864DB">
            <w:pPr>
              <w:spacing w:line="240" w:lineRule="auto"/>
              <w:ind w:firstLine="0"/>
              <w:rPr>
                <w:i/>
                <w:iCs/>
              </w:rPr>
            </w:pPr>
            <w:r w:rsidRPr="004D46AC">
              <w:t>4</w:t>
            </w:r>
          </w:p>
        </w:tc>
        <w:tc>
          <w:tcPr>
            <w:tcW w:w="1178" w:type="dxa"/>
            <w:vAlign w:val="center"/>
          </w:tcPr>
          <w:p w14:paraId="366F8F8C" w14:textId="77777777" w:rsidR="009864DB" w:rsidRPr="004D46AC" w:rsidRDefault="009864DB" w:rsidP="009864DB">
            <w:pPr>
              <w:spacing w:line="240" w:lineRule="auto"/>
              <w:ind w:firstLine="0"/>
              <w:rPr>
                <w:i/>
                <w:iCs/>
              </w:rPr>
            </w:pPr>
            <w:r w:rsidRPr="004D46AC">
              <w:t>NA</w:t>
            </w:r>
          </w:p>
        </w:tc>
        <w:tc>
          <w:tcPr>
            <w:tcW w:w="1221" w:type="dxa"/>
            <w:vAlign w:val="center"/>
          </w:tcPr>
          <w:p w14:paraId="70E2AFF2" w14:textId="77777777" w:rsidR="009864DB" w:rsidRPr="004D46AC" w:rsidRDefault="009864DB" w:rsidP="009864DB">
            <w:pPr>
              <w:spacing w:line="240" w:lineRule="auto"/>
              <w:ind w:firstLine="0"/>
              <w:rPr>
                <w:i/>
                <w:iCs/>
              </w:rPr>
            </w:pPr>
            <w:r w:rsidRPr="004D46AC">
              <w:t>DSM4</w:t>
            </w:r>
          </w:p>
        </w:tc>
        <w:tc>
          <w:tcPr>
            <w:tcW w:w="1415" w:type="dxa"/>
            <w:vAlign w:val="center"/>
          </w:tcPr>
          <w:p w14:paraId="4384B8B2" w14:textId="77777777" w:rsidR="009864DB" w:rsidRPr="004D46AC" w:rsidRDefault="009864DB" w:rsidP="009864DB">
            <w:pPr>
              <w:spacing w:line="240" w:lineRule="auto"/>
              <w:ind w:firstLine="0"/>
              <w:rPr>
                <w:i/>
                <w:iCs/>
              </w:rPr>
            </w:pPr>
            <w:r w:rsidRPr="004D46AC">
              <w:t>OPCRIT</w:t>
            </w:r>
          </w:p>
        </w:tc>
        <w:tc>
          <w:tcPr>
            <w:tcW w:w="1147" w:type="dxa"/>
            <w:vAlign w:val="center"/>
          </w:tcPr>
          <w:p w14:paraId="55AE6027" w14:textId="77777777" w:rsidR="009864DB" w:rsidRPr="004D46AC" w:rsidRDefault="009864DB" w:rsidP="009864DB">
            <w:pPr>
              <w:spacing w:line="240" w:lineRule="auto"/>
              <w:ind w:firstLine="0"/>
              <w:rPr>
                <w:i/>
                <w:iCs/>
              </w:rPr>
            </w:pPr>
            <w:r w:rsidRPr="004D46AC">
              <w:t>246</w:t>
            </w:r>
          </w:p>
        </w:tc>
        <w:tc>
          <w:tcPr>
            <w:tcW w:w="1178" w:type="dxa"/>
            <w:vAlign w:val="center"/>
          </w:tcPr>
          <w:p w14:paraId="1DAB89B1" w14:textId="77777777" w:rsidR="009864DB" w:rsidRPr="004D46AC" w:rsidRDefault="009864DB" w:rsidP="009864DB">
            <w:pPr>
              <w:spacing w:line="240" w:lineRule="auto"/>
              <w:ind w:firstLine="0"/>
              <w:rPr>
                <w:i/>
                <w:iCs/>
              </w:rPr>
            </w:pPr>
            <w:r w:rsidRPr="004D46AC">
              <w:t>2</w:t>
            </w:r>
          </w:p>
        </w:tc>
        <w:tc>
          <w:tcPr>
            <w:tcW w:w="1167" w:type="dxa"/>
            <w:vAlign w:val="center"/>
          </w:tcPr>
          <w:p w14:paraId="58CE16C1" w14:textId="77777777" w:rsidR="009864DB" w:rsidRPr="004D46AC" w:rsidRDefault="009864DB" w:rsidP="009864DB">
            <w:pPr>
              <w:spacing w:line="240" w:lineRule="auto"/>
              <w:ind w:firstLine="0"/>
              <w:rPr>
                <w:i/>
                <w:iCs/>
              </w:rPr>
            </w:pPr>
            <w:r w:rsidRPr="004D46AC">
              <w:t>2</w:t>
            </w:r>
          </w:p>
        </w:tc>
        <w:tc>
          <w:tcPr>
            <w:tcW w:w="1162" w:type="dxa"/>
          </w:tcPr>
          <w:p w14:paraId="754BC094"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627DF21" w14:textId="77777777" w:rsidR="009864DB" w:rsidRPr="004D46AC" w:rsidRDefault="009864DB" w:rsidP="009864DB">
            <w:pPr>
              <w:spacing w:line="240" w:lineRule="auto"/>
              <w:ind w:firstLine="0"/>
              <w:rPr>
                <w:i/>
                <w:iCs/>
              </w:rPr>
            </w:pPr>
            <w:r w:rsidRPr="004D46AC">
              <w:t>auditory</w:t>
            </w:r>
          </w:p>
        </w:tc>
        <w:tc>
          <w:tcPr>
            <w:tcW w:w="1163" w:type="dxa"/>
            <w:vAlign w:val="center"/>
          </w:tcPr>
          <w:p w14:paraId="72A7EE72" w14:textId="77777777" w:rsidR="009864DB" w:rsidRPr="004D46AC" w:rsidRDefault="009864DB" w:rsidP="009864DB">
            <w:pPr>
              <w:spacing w:line="240" w:lineRule="auto"/>
              <w:ind w:firstLine="0"/>
              <w:rPr>
                <w:i/>
                <w:iCs/>
              </w:rPr>
            </w:pPr>
            <w:r w:rsidRPr="004D46AC">
              <w:t>41</w:t>
            </w:r>
          </w:p>
        </w:tc>
      </w:tr>
      <w:tr w:rsidR="009864DB" w:rsidRPr="004D46AC" w14:paraId="4EE7B965" w14:textId="77777777" w:rsidTr="00B518F1">
        <w:tc>
          <w:tcPr>
            <w:tcW w:w="1908" w:type="dxa"/>
          </w:tcPr>
          <w:p w14:paraId="7B89E321"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AuthorYear="1"&gt;&lt;Author&gt;Parker&lt;/Author&gt;&lt;Year&gt;2000&lt;/Year&gt;&lt;RecNum&gt;163&lt;/RecNum&gt;&lt;DisplayText&gt;Parker et al. (2000)&lt;/DisplayText&gt;&lt;record&gt;&lt;rec-number&gt;163&lt;/rec-number&gt;&lt;foreign-keys&gt;&lt;key app="EN" db-id="aet009sstawa0hewvt3xwf5atffdw2dt02sw" timestamp="1665761883"&gt;163&lt;/key&gt;&lt;/foreign-keys&gt;&lt;ref-type name="Journal Article"&gt;17&lt;/ref-type&gt;&lt;contributors&gt;&lt;authors&gt;&lt;author&gt;Parker, G.&lt;/author&gt;&lt;author&gt;Roy, K.&lt;/author&gt;&lt;author&gt;Wilhelm, K.&lt;/author&gt;&lt;author&gt;Mitchell, P.&lt;/author&gt;&lt;author&gt;Hadzi-Pavlovic, D.&lt;/author&gt;&lt;/authors&gt;&lt;/contributors&gt;&lt;auth-address&gt;Mood Disorders Unit, Prince of Wales Hospital, Randwick, and School of Psychiatry, University of New South Wales, 2031, Randwick, Australia.&lt;/auth-address&gt;&lt;titles&gt;&lt;title&gt;The nature of bipolar depression: implications for the definition of melancholia&lt;/title&gt;&lt;secondary-title&gt;J Affect Disord&lt;/secondary-title&gt;&lt;/titles&gt;&lt;periodical&gt;&lt;full-title&gt;J Affect Disord&lt;/full-title&gt;&lt;/periodical&gt;&lt;pages&gt;217-24&lt;/pages&gt;&lt;volume&gt;59&lt;/volume&gt;&lt;number&gt;3&lt;/number&gt;&lt;keywords&gt;&lt;keyword&gt;Adult&lt;/keyword&gt;&lt;keyword&gt;Bipolar Disorder/classification/*diagnosis/psychology&lt;/keyword&gt;&lt;keyword&gt;Depressive Disorder/classification/*diagnosis/psychology&lt;/keyword&gt;&lt;keyword&gt;Female&lt;/keyword&gt;&lt;keyword&gt;Humans&lt;/keyword&gt;&lt;keyword&gt;Male&lt;/keyword&gt;&lt;keyword&gt;Middle Aged&lt;/keyword&gt;&lt;keyword&gt;Psychiatric Status Rating Scales/statistics &amp;amp; numerical data&lt;/keyword&gt;&lt;keyword&gt;Psychometrics&lt;/keyword&gt;&lt;keyword&gt;Reproducibility of Results&lt;/keyword&gt;&lt;/keywords&gt;&lt;dates&gt;&lt;year&gt;2000&lt;/year&gt;&lt;pub-dates&gt;&lt;date&gt;Sep&lt;/date&gt;&lt;/pub-dates&gt;&lt;/dates&gt;&lt;isbn&gt;0165-0327 (Print)&amp;#xD;0165-0327 (Linking)&lt;/isbn&gt;&lt;accession-num&gt;10854638&lt;/accession-num&gt;&lt;urls&gt;&lt;related-urls&gt;&lt;url&gt;https://www.ncbi.nlm.nih.gov/pubmed/10854638&lt;/url&gt;&lt;/related-urls&gt;&lt;/urls&gt;&lt;electronic-resource-num&gt;10.1016/s0165-0327(99)00144-5&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Parker et al. (2000)</w:t>
            </w:r>
            <w:r w:rsidRPr="004D46AC">
              <w:fldChar w:fldCharType="end"/>
            </w:r>
          </w:p>
        </w:tc>
        <w:tc>
          <w:tcPr>
            <w:tcW w:w="1198" w:type="dxa"/>
            <w:vAlign w:val="center"/>
          </w:tcPr>
          <w:p w14:paraId="73DB6511" w14:textId="77777777" w:rsidR="009864DB" w:rsidRPr="004D46AC" w:rsidRDefault="009864DB" w:rsidP="009864DB">
            <w:pPr>
              <w:spacing w:line="240" w:lineRule="auto"/>
              <w:ind w:firstLine="0"/>
              <w:rPr>
                <w:i/>
                <w:iCs/>
              </w:rPr>
            </w:pPr>
            <w:r w:rsidRPr="004D46AC">
              <w:t>4</w:t>
            </w:r>
          </w:p>
        </w:tc>
        <w:tc>
          <w:tcPr>
            <w:tcW w:w="1178" w:type="dxa"/>
            <w:vAlign w:val="center"/>
          </w:tcPr>
          <w:p w14:paraId="42C13596" w14:textId="77777777" w:rsidR="009864DB" w:rsidRPr="004D46AC" w:rsidRDefault="009864DB" w:rsidP="009864DB">
            <w:pPr>
              <w:spacing w:line="240" w:lineRule="auto"/>
              <w:ind w:firstLine="0"/>
              <w:rPr>
                <w:i/>
                <w:iCs/>
              </w:rPr>
            </w:pPr>
            <w:r w:rsidRPr="004D46AC">
              <w:t>46.3</w:t>
            </w:r>
          </w:p>
        </w:tc>
        <w:tc>
          <w:tcPr>
            <w:tcW w:w="1221" w:type="dxa"/>
            <w:vAlign w:val="center"/>
          </w:tcPr>
          <w:p w14:paraId="09319170" w14:textId="77777777" w:rsidR="009864DB" w:rsidRPr="004D46AC" w:rsidRDefault="009864DB" w:rsidP="009864DB">
            <w:pPr>
              <w:spacing w:line="240" w:lineRule="auto"/>
              <w:ind w:firstLine="0"/>
              <w:rPr>
                <w:i/>
                <w:iCs/>
              </w:rPr>
            </w:pPr>
            <w:r w:rsidRPr="004D46AC">
              <w:t>DSM</w:t>
            </w:r>
          </w:p>
        </w:tc>
        <w:tc>
          <w:tcPr>
            <w:tcW w:w="1415" w:type="dxa"/>
            <w:vAlign w:val="center"/>
          </w:tcPr>
          <w:p w14:paraId="4DA53646" w14:textId="77777777" w:rsidR="009864DB" w:rsidRPr="004D46AC" w:rsidRDefault="009864DB" w:rsidP="009864DB">
            <w:pPr>
              <w:spacing w:line="240" w:lineRule="auto"/>
              <w:ind w:firstLine="0"/>
              <w:rPr>
                <w:i/>
                <w:iCs/>
              </w:rPr>
            </w:pPr>
            <w:r w:rsidRPr="004D46AC">
              <w:t>CORE</w:t>
            </w:r>
          </w:p>
        </w:tc>
        <w:tc>
          <w:tcPr>
            <w:tcW w:w="1147" w:type="dxa"/>
            <w:vAlign w:val="center"/>
          </w:tcPr>
          <w:p w14:paraId="56200B4C" w14:textId="77777777" w:rsidR="009864DB" w:rsidRPr="004D46AC" w:rsidRDefault="009864DB" w:rsidP="009864DB">
            <w:pPr>
              <w:spacing w:line="240" w:lineRule="auto"/>
              <w:ind w:firstLine="0"/>
              <w:rPr>
                <w:i/>
                <w:iCs/>
              </w:rPr>
            </w:pPr>
            <w:r w:rsidRPr="004D46AC">
              <w:t>83</w:t>
            </w:r>
          </w:p>
        </w:tc>
        <w:tc>
          <w:tcPr>
            <w:tcW w:w="1178" w:type="dxa"/>
            <w:vAlign w:val="center"/>
          </w:tcPr>
          <w:p w14:paraId="265E43B8" w14:textId="77777777" w:rsidR="009864DB" w:rsidRPr="004D46AC" w:rsidRDefault="009864DB" w:rsidP="009864DB">
            <w:pPr>
              <w:spacing w:line="240" w:lineRule="auto"/>
              <w:ind w:firstLine="0"/>
              <w:rPr>
                <w:i/>
                <w:iCs/>
              </w:rPr>
            </w:pPr>
            <w:r w:rsidRPr="004D46AC">
              <w:t>2</w:t>
            </w:r>
          </w:p>
        </w:tc>
        <w:tc>
          <w:tcPr>
            <w:tcW w:w="1167" w:type="dxa"/>
            <w:vAlign w:val="center"/>
          </w:tcPr>
          <w:p w14:paraId="0958ACE9" w14:textId="77777777" w:rsidR="009864DB" w:rsidRPr="004D46AC" w:rsidRDefault="009864DB" w:rsidP="009864DB">
            <w:pPr>
              <w:spacing w:line="240" w:lineRule="auto"/>
              <w:ind w:firstLine="0"/>
              <w:rPr>
                <w:i/>
                <w:iCs/>
              </w:rPr>
            </w:pPr>
            <w:r w:rsidRPr="004D46AC">
              <w:t>1</w:t>
            </w:r>
          </w:p>
        </w:tc>
        <w:tc>
          <w:tcPr>
            <w:tcW w:w="1162" w:type="dxa"/>
          </w:tcPr>
          <w:p w14:paraId="29EE0990"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BF1A584" w14:textId="77777777" w:rsidR="009864DB" w:rsidRPr="004D46AC" w:rsidRDefault="009864DB" w:rsidP="009864DB">
            <w:pPr>
              <w:spacing w:line="240" w:lineRule="auto"/>
              <w:ind w:firstLine="0"/>
              <w:rPr>
                <w:i/>
                <w:iCs/>
              </w:rPr>
            </w:pPr>
            <w:r w:rsidRPr="004D46AC">
              <w:t>any</w:t>
            </w:r>
          </w:p>
        </w:tc>
        <w:tc>
          <w:tcPr>
            <w:tcW w:w="1163" w:type="dxa"/>
            <w:vAlign w:val="center"/>
          </w:tcPr>
          <w:p w14:paraId="70678860" w14:textId="77777777" w:rsidR="009864DB" w:rsidRPr="004D46AC" w:rsidRDefault="009864DB" w:rsidP="009864DB">
            <w:pPr>
              <w:spacing w:line="240" w:lineRule="auto"/>
              <w:ind w:firstLine="0"/>
              <w:rPr>
                <w:i/>
                <w:iCs/>
              </w:rPr>
            </w:pPr>
            <w:r w:rsidRPr="004D46AC">
              <w:t>7</w:t>
            </w:r>
          </w:p>
        </w:tc>
      </w:tr>
      <w:tr w:rsidR="009864DB" w:rsidRPr="004D46AC" w14:paraId="2022B15B" w14:textId="77777777" w:rsidTr="00B518F1">
        <w:tc>
          <w:tcPr>
            <w:tcW w:w="1908" w:type="dxa"/>
          </w:tcPr>
          <w:p w14:paraId="2AC02E89"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AuthorYear="1"&gt;&lt;Author&gt;Yan&lt;/Author&gt;&lt;Year&gt;1982&lt;/Year&gt;&lt;RecNum&gt;1379&lt;/RecNum&gt;&lt;DisplayText&gt;Yan et al. (1982)&lt;/DisplayText&gt;&lt;record&gt;&lt;rec-number&gt;1379&lt;/rec-number&gt;&lt;foreign-keys&gt;&lt;key app="EN" db-id="aet009sstawa0hewvt3xwf5atffdw2dt02sw" timestamp="1771734251"&gt;1379&lt;/key&gt;&lt;/foreign-keys&gt;&lt;ref-type name="Journal Article"&gt;17&lt;/ref-type&gt;&lt;contributors&gt;&lt;authors&gt;&lt;author&gt;Shanming Yan &lt;/author&gt;&lt;author&gt;D. Chen&lt;/author&gt;&lt;author&gt;Y. Z Chao&lt;/author&gt;&lt;author&gt;J. Ji&lt;/author&gt;&lt;author&gt;M. A. Taylor&lt;/author&gt;&lt;/authors&gt;&lt;/contributors&gt;&lt;titles&gt;&lt;title&gt;Prevalence and characteristics of mania in Chinese inpatients: a prospective study&lt;/title&gt;&lt;secondary-title&gt;American Journal of Psychiatry&lt;/secondary-title&gt;&lt;/titles&gt;&lt;periodical&gt;&lt;full-title&gt;American Journal of Psychiatry&lt;/full-title&gt;&lt;/periodical&gt;&lt;pages&gt;1150-1153&lt;/pages&gt;&lt;volume&gt;139&lt;/volume&gt;&lt;dates&gt;&lt;year&gt;1982&lt;/year&gt;&lt;pub-dates&gt;&lt;date&gt;1982/09/01&lt;/date&gt;&lt;/pub-dates&gt;&lt;/dates&gt;&lt;publisher&gt;American Psychiatric Publishing&lt;/publisher&gt;&lt;urls&gt;&lt;related-urls&gt;&lt;url&gt;https://doi.org/10.1176/ajp.139.9.1150&lt;/url&gt;&lt;/related-urls&gt;&lt;/urls&gt;&lt;electronic-resource-num&gt;10.1176/ajp.139.9.1150&lt;/electronic-resource-num&gt;&lt;access-date&gt;2026/02/21&lt;/access-date&gt;&lt;/record&gt;&lt;/Cite&gt;&lt;/EndNote&gt;</w:instrText>
            </w:r>
            <w:r w:rsidRPr="004D46AC">
              <w:rPr>
                <w:i/>
                <w:iCs/>
              </w:rPr>
              <w:fldChar w:fldCharType="separate"/>
            </w:r>
            <w:r w:rsidRPr="004D46AC">
              <w:rPr>
                <w:i/>
                <w:iCs/>
              </w:rPr>
              <w:t>Yan et al. (1982)</w:t>
            </w:r>
            <w:r w:rsidRPr="004D46AC">
              <w:fldChar w:fldCharType="end"/>
            </w:r>
          </w:p>
        </w:tc>
        <w:tc>
          <w:tcPr>
            <w:tcW w:w="1198" w:type="dxa"/>
            <w:vAlign w:val="center"/>
          </w:tcPr>
          <w:p w14:paraId="29C60541" w14:textId="77777777" w:rsidR="009864DB" w:rsidRPr="004D46AC" w:rsidRDefault="009864DB" w:rsidP="009864DB">
            <w:pPr>
              <w:spacing w:line="240" w:lineRule="auto"/>
              <w:ind w:firstLine="0"/>
              <w:rPr>
                <w:i/>
                <w:iCs/>
              </w:rPr>
            </w:pPr>
            <w:r w:rsidRPr="004D46AC">
              <w:t>6</w:t>
            </w:r>
          </w:p>
        </w:tc>
        <w:tc>
          <w:tcPr>
            <w:tcW w:w="1178" w:type="dxa"/>
            <w:vAlign w:val="center"/>
          </w:tcPr>
          <w:p w14:paraId="2CC44D08" w14:textId="77777777" w:rsidR="009864DB" w:rsidRPr="004D46AC" w:rsidRDefault="009864DB" w:rsidP="009864DB">
            <w:pPr>
              <w:spacing w:line="240" w:lineRule="auto"/>
              <w:ind w:firstLine="0"/>
              <w:rPr>
                <w:i/>
                <w:iCs/>
              </w:rPr>
            </w:pPr>
            <w:r w:rsidRPr="004D46AC">
              <w:t>31.51</w:t>
            </w:r>
          </w:p>
        </w:tc>
        <w:tc>
          <w:tcPr>
            <w:tcW w:w="1221" w:type="dxa"/>
            <w:vAlign w:val="center"/>
          </w:tcPr>
          <w:p w14:paraId="01CBEB26" w14:textId="77777777" w:rsidR="009864DB" w:rsidRPr="004D46AC" w:rsidRDefault="009864DB" w:rsidP="009864DB">
            <w:pPr>
              <w:spacing w:line="240" w:lineRule="auto"/>
              <w:ind w:firstLine="0"/>
              <w:rPr>
                <w:i/>
                <w:iCs/>
              </w:rPr>
            </w:pPr>
            <w:r w:rsidRPr="004D46AC">
              <w:t>mixed</w:t>
            </w:r>
          </w:p>
        </w:tc>
        <w:tc>
          <w:tcPr>
            <w:tcW w:w="1415" w:type="dxa"/>
            <w:vAlign w:val="center"/>
          </w:tcPr>
          <w:p w14:paraId="0708CFF9" w14:textId="77777777" w:rsidR="009864DB" w:rsidRPr="004D46AC" w:rsidRDefault="009864DB" w:rsidP="009864DB">
            <w:pPr>
              <w:spacing w:line="240" w:lineRule="auto"/>
              <w:ind w:firstLine="0"/>
              <w:rPr>
                <w:i/>
                <w:iCs/>
              </w:rPr>
            </w:pPr>
            <w:r w:rsidRPr="004D46AC">
              <w:t>unclear</w:t>
            </w:r>
          </w:p>
        </w:tc>
        <w:tc>
          <w:tcPr>
            <w:tcW w:w="1147" w:type="dxa"/>
            <w:vAlign w:val="center"/>
          </w:tcPr>
          <w:p w14:paraId="781F3BA7" w14:textId="77777777" w:rsidR="009864DB" w:rsidRPr="004D46AC" w:rsidRDefault="009864DB" w:rsidP="009864DB">
            <w:pPr>
              <w:spacing w:line="240" w:lineRule="auto"/>
              <w:ind w:firstLine="0"/>
              <w:rPr>
                <w:i/>
                <w:iCs/>
              </w:rPr>
            </w:pPr>
            <w:r w:rsidRPr="004D46AC">
              <w:t>108</w:t>
            </w:r>
          </w:p>
        </w:tc>
        <w:tc>
          <w:tcPr>
            <w:tcW w:w="1178" w:type="dxa"/>
            <w:vAlign w:val="center"/>
          </w:tcPr>
          <w:p w14:paraId="61406F57" w14:textId="77777777" w:rsidR="009864DB" w:rsidRPr="004D46AC" w:rsidRDefault="009864DB" w:rsidP="009864DB">
            <w:pPr>
              <w:spacing w:line="240" w:lineRule="auto"/>
              <w:ind w:firstLine="0"/>
              <w:rPr>
                <w:i/>
                <w:iCs/>
              </w:rPr>
            </w:pPr>
            <w:r w:rsidRPr="004D46AC">
              <w:t>3</w:t>
            </w:r>
          </w:p>
        </w:tc>
        <w:tc>
          <w:tcPr>
            <w:tcW w:w="1167" w:type="dxa"/>
            <w:vAlign w:val="center"/>
          </w:tcPr>
          <w:p w14:paraId="7FFC4D12" w14:textId="77777777" w:rsidR="009864DB" w:rsidRPr="004D46AC" w:rsidRDefault="009864DB" w:rsidP="009864DB">
            <w:pPr>
              <w:spacing w:line="240" w:lineRule="auto"/>
              <w:ind w:firstLine="0"/>
              <w:rPr>
                <w:i/>
                <w:iCs/>
              </w:rPr>
            </w:pPr>
            <w:r w:rsidRPr="004D46AC">
              <w:t>2</w:t>
            </w:r>
          </w:p>
        </w:tc>
        <w:tc>
          <w:tcPr>
            <w:tcW w:w="1162" w:type="dxa"/>
          </w:tcPr>
          <w:p w14:paraId="0D259E08"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72C615C" w14:textId="77777777" w:rsidR="009864DB" w:rsidRPr="004D46AC" w:rsidRDefault="009864DB" w:rsidP="009864DB">
            <w:pPr>
              <w:spacing w:line="240" w:lineRule="auto"/>
              <w:ind w:firstLine="0"/>
              <w:rPr>
                <w:i/>
                <w:iCs/>
              </w:rPr>
            </w:pPr>
            <w:r w:rsidRPr="004D46AC">
              <w:t>auditory</w:t>
            </w:r>
          </w:p>
        </w:tc>
        <w:tc>
          <w:tcPr>
            <w:tcW w:w="1163" w:type="dxa"/>
            <w:vAlign w:val="center"/>
          </w:tcPr>
          <w:p w14:paraId="7C9FF90F" w14:textId="77777777" w:rsidR="009864DB" w:rsidRPr="004D46AC" w:rsidRDefault="009864DB" w:rsidP="009864DB">
            <w:pPr>
              <w:spacing w:line="240" w:lineRule="auto"/>
              <w:ind w:firstLine="0"/>
              <w:rPr>
                <w:i/>
                <w:iCs/>
              </w:rPr>
            </w:pPr>
            <w:r w:rsidRPr="004D46AC">
              <w:t>14</w:t>
            </w:r>
          </w:p>
        </w:tc>
      </w:tr>
      <w:tr w:rsidR="009864DB" w:rsidRPr="004D46AC" w14:paraId="68B8438C" w14:textId="77777777" w:rsidTr="00B518F1">
        <w:tc>
          <w:tcPr>
            <w:tcW w:w="1908" w:type="dxa"/>
          </w:tcPr>
          <w:p w14:paraId="6DFAC21A"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PEVuZE5vdGU+PENpdGUgQXV0aG9yWWVhcj0iMSI+PEF1dGhvcj5DYXJsc29uPC9BdXRob3I+PFll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</w:fldData>
              </w:fldChar>
            </w:r>
            <w:r w:rsidRPr="004D46AC">
              <w:rPr>
                <w:i/>
                <w:iCs/>
              </w:rPr>
              <w:instrText xml:space="preserve"> ADDIN EN.CITE </w:instrText>
            </w:r>
            <w:r w:rsidRPr="004D46AC">
              <w:rPr>
                <w:i/>
                <w:iCs/>
              </w:rPr>
              <w:fldChar w:fldCharType="begin">
                <w:fldData xml:space="preserve">PEVuZE5vdGU+PENpdGUgQXV0aG9yWWVhcj0iMSI+PEF1dGhvcj5DYXJsc29uPC9BdXRob3I+PFll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Carlson et al. (2012)</w:t>
            </w:r>
            <w:r w:rsidRPr="004D46AC">
              <w:fldChar w:fldCharType="end"/>
            </w:r>
          </w:p>
        </w:tc>
        <w:tc>
          <w:tcPr>
            <w:tcW w:w="1198" w:type="dxa"/>
            <w:vAlign w:val="center"/>
          </w:tcPr>
          <w:p w14:paraId="47F55BAD" w14:textId="77777777" w:rsidR="009864DB" w:rsidRPr="004D46AC" w:rsidRDefault="009864DB" w:rsidP="009864DB">
            <w:pPr>
              <w:spacing w:line="240" w:lineRule="auto"/>
              <w:ind w:firstLine="0"/>
              <w:rPr>
                <w:i/>
                <w:iCs/>
              </w:rPr>
            </w:pPr>
            <w:r w:rsidRPr="004D46AC">
              <w:t>6</w:t>
            </w:r>
          </w:p>
        </w:tc>
        <w:tc>
          <w:tcPr>
            <w:tcW w:w="1178" w:type="dxa"/>
            <w:vAlign w:val="center"/>
          </w:tcPr>
          <w:p w14:paraId="2ACADBFB" w14:textId="77777777" w:rsidR="009864DB" w:rsidRPr="004D46AC" w:rsidRDefault="009864DB" w:rsidP="009864DB">
            <w:pPr>
              <w:spacing w:line="240" w:lineRule="auto"/>
              <w:ind w:firstLine="0"/>
              <w:rPr>
                <w:i/>
                <w:iCs/>
              </w:rPr>
            </w:pPr>
            <w:r w:rsidRPr="004D46AC">
              <w:t>29.3</w:t>
            </w:r>
          </w:p>
        </w:tc>
        <w:tc>
          <w:tcPr>
            <w:tcW w:w="1221" w:type="dxa"/>
            <w:vAlign w:val="center"/>
          </w:tcPr>
          <w:p w14:paraId="436607BF" w14:textId="77777777" w:rsidR="009864DB" w:rsidRPr="004D46AC" w:rsidRDefault="009864DB" w:rsidP="009864DB">
            <w:pPr>
              <w:spacing w:line="240" w:lineRule="auto"/>
              <w:ind w:firstLine="0"/>
              <w:rPr>
                <w:i/>
                <w:iCs/>
              </w:rPr>
            </w:pPr>
            <w:r w:rsidRPr="004D46AC">
              <w:t>DSM3R</w:t>
            </w:r>
          </w:p>
        </w:tc>
        <w:tc>
          <w:tcPr>
            <w:tcW w:w="1415" w:type="dxa"/>
            <w:vAlign w:val="center"/>
          </w:tcPr>
          <w:p w14:paraId="3C4402E1" w14:textId="77777777" w:rsidR="009864DB" w:rsidRPr="004D46AC" w:rsidRDefault="009864DB" w:rsidP="009864DB">
            <w:pPr>
              <w:spacing w:line="240" w:lineRule="auto"/>
              <w:ind w:firstLine="0"/>
              <w:rPr>
                <w:i/>
                <w:iCs/>
              </w:rPr>
            </w:pPr>
            <w:r w:rsidRPr="004D46AC">
              <w:t>SCID</w:t>
            </w:r>
          </w:p>
        </w:tc>
        <w:tc>
          <w:tcPr>
            <w:tcW w:w="1147" w:type="dxa"/>
            <w:vAlign w:val="center"/>
          </w:tcPr>
          <w:p w14:paraId="182F3913" w14:textId="77777777" w:rsidR="009864DB" w:rsidRPr="004D46AC" w:rsidRDefault="009864DB" w:rsidP="009864DB">
            <w:pPr>
              <w:spacing w:line="240" w:lineRule="auto"/>
              <w:ind w:firstLine="0"/>
              <w:rPr>
                <w:i/>
                <w:iCs/>
              </w:rPr>
            </w:pPr>
            <w:r w:rsidRPr="004D46AC">
              <w:t>126</w:t>
            </w:r>
          </w:p>
        </w:tc>
        <w:tc>
          <w:tcPr>
            <w:tcW w:w="1178" w:type="dxa"/>
            <w:vAlign w:val="center"/>
          </w:tcPr>
          <w:p w14:paraId="66AD3E61" w14:textId="77777777" w:rsidR="009864DB" w:rsidRPr="004D46AC" w:rsidRDefault="009864DB" w:rsidP="009864DB">
            <w:pPr>
              <w:spacing w:line="240" w:lineRule="auto"/>
              <w:ind w:firstLine="0"/>
              <w:rPr>
                <w:i/>
                <w:iCs/>
              </w:rPr>
            </w:pPr>
            <w:r w:rsidRPr="004D46AC">
              <w:t>3</w:t>
            </w:r>
          </w:p>
        </w:tc>
        <w:tc>
          <w:tcPr>
            <w:tcW w:w="1167" w:type="dxa"/>
            <w:vAlign w:val="center"/>
          </w:tcPr>
          <w:p w14:paraId="1F3EFD16" w14:textId="77777777" w:rsidR="009864DB" w:rsidRPr="004D46AC" w:rsidRDefault="009864DB" w:rsidP="009864DB">
            <w:pPr>
              <w:spacing w:line="240" w:lineRule="auto"/>
              <w:ind w:firstLine="0"/>
              <w:rPr>
                <w:i/>
                <w:iCs/>
              </w:rPr>
            </w:pPr>
            <w:r w:rsidRPr="004D46AC">
              <w:t>3</w:t>
            </w:r>
          </w:p>
        </w:tc>
        <w:tc>
          <w:tcPr>
            <w:tcW w:w="1162" w:type="dxa"/>
          </w:tcPr>
          <w:p w14:paraId="4E7FF368"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1DA9C263" w14:textId="77777777" w:rsidR="009864DB" w:rsidRPr="004D46AC" w:rsidRDefault="009864DB" w:rsidP="009864DB">
            <w:pPr>
              <w:spacing w:line="240" w:lineRule="auto"/>
              <w:ind w:firstLine="0"/>
              <w:rPr>
                <w:i/>
                <w:iCs/>
              </w:rPr>
            </w:pPr>
            <w:r w:rsidRPr="004D46AC">
              <w:t>any</w:t>
            </w:r>
          </w:p>
        </w:tc>
        <w:tc>
          <w:tcPr>
            <w:tcW w:w="1163" w:type="dxa"/>
            <w:vAlign w:val="center"/>
          </w:tcPr>
          <w:p w14:paraId="14930F22" w14:textId="77777777" w:rsidR="009864DB" w:rsidRPr="004D46AC" w:rsidRDefault="009864DB" w:rsidP="009864DB">
            <w:pPr>
              <w:spacing w:line="240" w:lineRule="auto"/>
              <w:ind w:firstLine="0"/>
              <w:rPr>
                <w:i/>
                <w:iCs/>
              </w:rPr>
            </w:pPr>
            <w:r w:rsidRPr="004D46AC">
              <w:t>64</w:t>
            </w:r>
          </w:p>
        </w:tc>
      </w:tr>
      <w:tr w:rsidR="009864DB" w:rsidRPr="004D46AC" w14:paraId="72B78C29" w14:textId="77777777" w:rsidTr="00B518F1">
        <w:tc>
          <w:tcPr>
            <w:tcW w:w="1908" w:type="dxa"/>
          </w:tcPr>
          <w:p w14:paraId="0004348B"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AuthorYear="1"&gt;&lt;Author&gt;Tohen&lt;/Author&gt;&lt;Year&gt;1992&lt;/Year&gt;&lt;RecNum&gt;300&lt;/RecNum&gt;&lt;DisplayText&gt;Tohen et al. (1992)&lt;/DisplayText&gt;&lt;record&gt;&lt;rec-number&gt;300&lt;/rec-number&gt;&lt;foreign-keys&gt;&lt;key app="EN" db-id="aet009sstawa0hewvt3xwf5atffdw2dt02sw" timestamp="1666489195"&gt;300&lt;/key&gt;&lt;/foreign-keys&gt;&lt;ref-type name="Journal Article"&gt;17&lt;/ref-type&gt;&lt;contributors&gt;&lt;authors&gt;&lt;author&gt;Tohen, M.&lt;/author&gt;&lt;author&gt;Tsuang, M. T.&lt;/author&gt;&lt;author&gt;Goodwin, D. C.&lt;/author&gt;&lt;/authors&gt;&lt;/contributors&gt;&lt;auth-address&gt;Department of Psychiatry, Harvard Medical School, Boston, MA.&lt;/auth-address&gt;&lt;titles&gt;&lt;title&gt;Prediction of outcome in mania by mood-congruent or mood-incongruent psychotic features&lt;/title&gt;&lt;secondary-title&gt;Am J Psychiatry&lt;/secondary-title&gt;&lt;/titles&gt;&lt;periodical&gt;&lt;full-title&gt;Am J Psychiatry&lt;/full-title&gt;&lt;/periodical&gt;&lt;pages&gt;1580-4&lt;/pages&gt;&lt;volume&gt;149&lt;/volume&gt;&lt;number&gt;11&lt;/number&gt;&lt;keywords&gt;&lt;keyword&gt;Adult&lt;/keyword&gt;&lt;keyword&gt;Bipolar Disorder/classification/*diagnosis/psychology&lt;/keyword&gt;&lt;keyword&gt;Delusions/psychology&lt;/keyword&gt;&lt;keyword&gt;Employment&lt;/keyword&gt;&lt;keyword&gt;Female&lt;/keyword&gt;&lt;keyword&gt;Follow-Up Studies&lt;/keyword&gt;&lt;keyword&gt;Hallucinations/diagnosis/psychology&lt;/keyword&gt;&lt;keyword&gt;Humans&lt;/keyword&gt;&lt;keyword&gt;Male&lt;/keyword&gt;&lt;keyword&gt;Odds Ratio&lt;/keyword&gt;&lt;keyword&gt;Probability&lt;/keyword&gt;&lt;keyword&gt;Prognosis&lt;/keyword&gt;&lt;keyword&gt;Proportional Hazards Models&lt;/keyword&gt;&lt;keyword&gt;Psychiatric Status Rating Scales&lt;/keyword&gt;&lt;keyword&gt;Recurrence&lt;/keyword&gt;&lt;keyword&gt;Residence Characteristics&lt;/keyword&gt;&lt;keyword&gt;Sex Factors&lt;/keyword&gt;&lt;keyword&gt;Survival Analysis&lt;/keyword&gt;&lt;/keywords&gt;&lt;dates&gt;&lt;year&gt;1992&lt;/year&gt;&lt;pub-dates&gt;&lt;date&gt;Nov&lt;/date&gt;&lt;/pub-dates&gt;&lt;/dates&gt;&lt;isbn&gt;0002-953X (Print)&amp;#xD;0002-953X (Linking)&lt;/isbn&gt;&lt;accession-num&gt;1415828&lt;/accession-num&gt;&lt;urls&gt;&lt;related-urls&gt;&lt;url&gt;https://www.ncbi.nlm.nih.gov/pubmed/1415828&lt;/url&gt;&lt;/related-urls&gt;&lt;/urls&gt;&lt;electronic-resource-num&gt;10.1176/ajp.149.11.1580&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Tohen et al. (1992)</w:t>
            </w:r>
            <w:r w:rsidRPr="004D46AC">
              <w:fldChar w:fldCharType="end"/>
            </w:r>
          </w:p>
        </w:tc>
        <w:tc>
          <w:tcPr>
            <w:tcW w:w="1198" w:type="dxa"/>
            <w:vAlign w:val="center"/>
          </w:tcPr>
          <w:p w14:paraId="3C607470" w14:textId="77777777" w:rsidR="009864DB" w:rsidRPr="004D46AC" w:rsidRDefault="009864DB" w:rsidP="009864DB">
            <w:pPr>
              <w:spacing w:line="240" w:lineRule="auto"/>
              <w:ind w:firstLine="0"/>
              <w:rPr>
                <w:i/>
                <w:iCs/>
              </w:rPr>
            </w:pPr>
            <w:r w:rsidRPr="004D46AC">
              <w:t>6</w:t>
            </w:r>
          </w:p>
        </w:tc>
        <w:tc>
          <w:tcPr>
            <w:tcW w:w="1178" w:type="dxa"/>
            <w:vAlign w:val="center"/>
          </w:tcPr>
          <w:p w14:paraId="5B5FD284" w14:textId="77777777" w:rsidR="009864DB" w:rsidRPr="004D46AC" w:rsidRDefault="009864DB" w:rsidP="009864DB">
            <w:pPr>
              <w:spacing w:line="240" w:lineRule="auto"/>
              <w:ind w:firstLine="0"/>
              <w:rPr>
                <w:i/>
                <w:iCs/>
              </w:rPr>
            </w:pPr>
            <w:r w:rsidRPr="004D46AC">
              <w:t>30</w:t>
            </w:r>
          </w:p>
        </w:tc>
        <w:tc>
          <w:tcPr>
            <w:tcW w:w="1221" w:type="dxa"/>
            <w:vAlign w:val="center"/>
          </w:tcPr>
          <w:p w14:paraId="061BF3E3" w14:textId="77777777" w:rsidR="009864DB" w:rsidRPr="004D46AC" w:rsidRDefault="009864DB" w:rsidP="009864DB">
            <w:pPr>
              <w:spacing w:line="240" w:lineRule="auto"/>
              <w:ind w:firstLine="0"/>
              <w:rPr>
                <w:i/>
                <w:iCs/>
              </w:rPr>
            </w:pPr>
            <w:r w:rsidRPr="004D46AC">
              <w:t>DSM3</w:t>
            </w:r>
          </w:p>
        </w:tc>
        <w:tc>
          <w:tcPr>
            <w:tcW w:w="1415" w:type="dxa"/>
            <w:vAlign w:val="center"/>
          </w:tcPr>
          <w:p w14:paraId="79680E73" w14:textId="77777777" w:rsidR="009864DB" w:rsidRPr="004D46AC" w:rsidRDefault="009864DB" w:rsidP="009864DB">
            <w:pPr>
              <w:spacing w:line="240" w:lineRule="auto"/>
              <w:ind w:firstLine="0"/>
              <w:rPr>
                <w:i/>
                <w:iCs/>
              </w:rPr>
            </w:pPr>
            <w:r w:rsidRPr="004D46AC">
              <w:t>DIS</w:t>
            </w:r>
          </w:p>
        </w:tc>
        <w:tc>
          <w:tcPr>
            <w:tcW w:w="1147" w:type="dxa"/>
            <w:vAlign w:val="center"/>
          </w:tcPr>
          <w:p w14:paraId="27FF3A74" w14:textId="77777777" w:rsidR="009864DB" w:rsidRPr="004D46AC" w:rsidRDefault="009864DB" w:rsidP="009864DB">
            <w:pPr>
              <w:spacing w:line="240" w:lineRule="auto"/>
              <w:ind w:firstLine="0"/>
              <w:rPr>
                <w:i/>
                <w:iCs/>
              </w:rPr>
            </w:pPr>
            <w:r w:rsidRPr="004D46AC">
              <w:t>54</w:t>
            </w:r>
          </w:p>
        </w:tc>
        <w:tc>
          <w:tcPr>
            <w:tcW w:w="1178" w:type="dxa"/>
            <w:vAlign w:val="center"/>
          </w:tcPr>
          <w:p w14:paraId="0572448B" w14:textId="77777777" w:rsidR="009864DB" w:rsidRPr="004D46AC" w:rsidRDefault="009864DB" w:rsidP="009864DB">
            <w:pPr>
              <w:spacing w:line="240" w:lineRule="auto"/>
              <w:ind w:firstLine="0"/>
              <w:rPr>
                <w:i/>
                <w:iCs/>
              </w:rPr>
            </w:pPr>
            <w:r w:rsidRPr="004D46AC">
              <w:t>3</w:t>
            </w:r>
          </w:p>
        </w:tc>
        <w:tc>
          <w:tcPr>
            <w:tcW w:w="1167" w:type="dxa"/>
            <w:vAlign w:val="center"/>
          </w:tcPr>
          <w:p w14:paraId="0BBC3827" w14:textId="77777777" w:rsidR="009864DB" w:rsidRPr="004D46AC" w:rsidRDefault="009864DB" w:rsidP="009864DB">
            <w:pPr>
              <w:spacing w:line="240" w:lineRule="auto"/>
              <w:ind w:firstLine="0"/>
              <w:rPr>
                <w:i/>
                <w:iCs/>
              </w:rPr>
            </w:pPr>
            <w:r w:rsidRPr="004D46AC">
              <w:t>3</w:t>
            </w:r>
          </w:p>
        </w:tc>
        <w:tc>
          <w:tcPr>
            <w:tcW w:w="1162" w:type="dxa"/>
          </w:tcPr>
          <w:p w14:paraId="4EC2F7B9"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8A65FF5" w14:textId="77777777" w:rsidR="009864DB" w:rsidRPr="004D46AC" w:rsidRDefault="009864DB" w:rsidP="009864DB">
            <w:pPr>
              <w:spacing w:line="240" w:lineRule="auto"/>
              <w:ind w:firstLine="0"/>
              <w:rPr>
                <w:i/>
                <w:iCs/>
              </w:rPr>
            </w:pPr>
            <w:r w:rsidRPr="004D46AC">
              <w:t>auditory</w:t>
            </w:r>
          </w:p>
        </w:tc>
        <w:tc>
          <w:tcPr>
            <w:tcW w:w="1163" w:type="dxa"/>
            <w:vAlign w:val="center"/>
          </w:tcPr>
          <w:p w14:paraId="11BBF520" w14:textId="77777777" w:rsidR="009864DB" w:rsidRPr="004D46AC" w:rsidRDefault="009864DB" w:rsidP="009864DB">
            <w:pPr>
              <w:spacing w:line="240" w:lineRule="auto"/>
              <w:ind w:firstLine="0"/>
              <w:rPr>
                <w:i/>
                <w:iCs/>
              </w:rPr>
            </w:pPr>
            <w:r w:rsidRPr="004D46AC">
              <w:t>16</w:t>
            </w:r>
          </w:p>
        </w:tc>
      </w:tr>
      <w:tr w:rsidR="009864DB" w:rsidRPr="004D46AC" w14:paraId="3AB9B532" w14:textId="77777777" w:rsidTr="00B518F1">
        <w:tc>
          <w:tcPr>
            <w:tcW w:w="1908" w:type="dxa"/>
          </w:tcPr>
          <w:p w14:paraId="0689024D"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AuthorYear="1"&gt;&lt;Author&gt;Winokur&lt;/Author&gt;&lt;Year&gt;1985&lt;/Year&gt;&lt;RecNum&gt;303&lt;/RecNum&gt;&lt;DisplayText&gt;Winokur et al. (1985)&lt;/DisplayText&gt;&lt;record&gt;&lt;rec-number&gt;303&lt;/rec-number&gt;&lt;foreign-keys&gt;&lt;key app="EN" db-id="aet009sstawa0hewvt3xwf5atffdw2dt02sw" timestamp="1666493636"&gt;303&lt;/key&gt;&lt;/foreign-keys&gt;&lt;ref-type name="Journal Article"&gt;17&lt;/ref-type&gt;&lt;contributors&gt;&lt;authors&gt;&lt;author&gt;Winokur, G.&lt;/author&gt;&lt;author&gt;Scharfetter, C.&lt;/author&gt;&lt;author&gt;Angst, J.&lt;/author&gt;&lt;/authors&gt;&lt;/contributors&gt;&lt;titles&gt;&lt;title&gt;The diagnostic value in assessing mood congruence in delusions and hallucinations and their relationship to the affective state&lt;/title&gt;&lt;secondary-title&gt;Eur Arch Psychiatry Neurol Sci&lt;/secondary-title&gt;&lt;/titles&gt;&lt;periodical&gt;&lt;full-title&gt;Eur Arch Psychiatry Neurol Sci&lt;/full-title&gt;&lt;/periodical&gt;&lt;pages&gt;299-302&lt;/pages&gt;&lt;volume&gt;234&lt;/volume&gt;&lt;number&gt;5&lt;/number&gt;&lt;keywords&gt;&lt;keyword&gt;Adult&lt;/keyword&gt;&lt;keyword&gt;Bipolar Disorder/*diagnosis/psychology&lt;/keyword&gt;&lt;keyword&gt;Delusions/*diagnosis/psychology&lt;/keyword&gt;&lt;keyword&gt;Depressive Disorder/*diagnosis/psychology&lt;/keyword&gt;&lt;keyword&gt;Diagnosis, Differential&lt;/keyword&gt;&lt;keyword&gt;Female&lt;/keyword&gt;&lt;keyword&gt;Hallucinations/*diagnosis/psychology&lt;/keyword&gt;&lt;keyword&gt;Humans&lt;/keyword&gt;&lt;keyword&gt;Male&lt;/keyword&gt;&lt;keyword&gt;Middle Aged&lt;/keyword&gt;&lt;keyword&gt;Psychotic Disorders/*diagnosis/psychology&lt;/keyword&gt;&lt;keyword&gt;Schizophrenia/*diagnosis&lt;/keyword&gt;&lt;keyword&gt;Schizophrenic Psychology&lt;/keyword&gt;&lt;/keywords&gt;&lt;dates&gt;&lt;year&gt;1985&lt;/year&gt;&lt;/dates&gt;&lt;isbn&gt;0175-758X (Print)&amp;#xD;0175-758X (Linking)&lt;/isbn&gt;&lt;accession-num&gt;3987738&lt;/accession-num&gt;&lt;urls&gt;&lt;related-urls&gt;&lt;url&gt;https://www.ncbi.nlm.nih.gov/pubmed/3987738&lt;/url&gt;&lt;/related-urls&gt;&lt;/urls&gt;&lt;electronic-resource-num&gt;10.1007/BF00381040&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Winokur et al. (1985)</w:t>
            </w:r>
            <w:r w:rsidRPr="004D46AC">
              <w:fldChar w:fldCharType="end"/>
            </w:r>
          </w:p>
        </w:tc>
        <w:tc>
          <w:tcPr>
            <w:tcW w:w="1198" w:type="dxa"/>
            <w:vAlign w:val="center"/>
          </w:tcPr>
          <w:p w14:paraId="5129EBC2" w14:textId="77777777" w:rsidR="009864DB" w:rsidRPr="004D46AC" w:rsidRDefault="009864DB" w:rsidP="009864DB">
            <w:pPr>
              <w:spacing w:line="240" w:lineRule="auto"/>
              <w:ind w:firstLine="0"/>
              <w:rPr>
                <w:i/>
                <w:iCs/>
              </w:rPr>
            </w:pPr>
            <w:r w:rsidRPr="004D46AC">
              <w:t>5</w:t>
            </w:r>
          </w:p>
        </w:tc>
        <w:tc>
          <w:tcPr>
            <w:tcW w:w="1178" w:type="dxa"/>
            <w:vAlign w:val="center"/>
          </w:tcPr>
          <w:p w14:paraId="50465CA0" w14:textId="77777777" w:rsidR="009864DB" w:rsidRPr="004D46AC" w:rsidRDefault="009864DB" w:rsidP="009864DB">
            <w:pPr>
              <w:spacing w:line="240" w:lineRule="auto"/>
              <w:ind w:firstLine="0"/>
              <w:rPr>
                <w:i/>
                <w:iCs/>
              </w:rPr>
            </w:pPr>
            <w:r w:rsidRPr="004D46AC">
              <w:t>NA</w:t>
            </w:r>
          </w:p>
        </w:tc>
        <w:tc>
          <w:tcPr>
            <w:tcW w:w="1221" w:type="dxa"/>
            <w:vAlign w:val="center"/>
          </w:tcPr>
          <w:p w14:paraId="365C3639" w14:textId="77777777" w:rsidR="009864DB" w:rsidRPr="004D46AC" w:rsidRDefault="009864DB" w:rsidP="009864DB">
            <w:pPr>
              <w:spacing w:line="240" w:lineRule="auto"/>
              <w:ind w:firstLine="0"/>
              <w:rPr>
                <w:i/>
                <w:iCs/>
              </w:rPr>
            </w:pPr>
            <w:r w:rsidRPr="004D46AC">
              <w:t>ICD8</w:t>
            </w:r>
          </w:p>
        </w:tc>
        <w:tc>
          <w:tcPr>
            <w:tcW w:w="1415" w:type="dxa"/>
            <w:vAlign w:val="center"/>
          </w:tcPr>
          <w:p w14:paraId="0A990938" w14:textId="77777777" w:rsidR="009864DB" w:rsidRPr="004D46AC" w:rsidRDefault="009864DB" w:rsidP="009864DB">
            <w:pPr>
              <w:spacing w:line="240" w:lineRule="auto"/>
              <w:ind w:firstLine="0"/>
              <w:rPr>
                <w:i/>
                <w:iCs/>
              </w:rPr>
            </w:pPr>
            <w:r w:rsidRPr="004D46AC">
              <w:t>mixed</w:t>
            </w:r>
          </w:p>
        </w:tc>
        <w:tc>
          <w:tcPr>
            <w:tcW w:w="1147" w:type="dxa"/>
            <w:vAlign w:val="center"/>
          </w:tcPr>
          <w:p w14:paraId="2C035B06" w14:textId="77777777" w:rsidR="009864DB" w:rsidRPr="004D46AC" w:rsidRDefault="009864DB" w:rsidP="009864DB">
            <w:pPr>
              <w:spacing w:line="240" w:lineRule="auto"/>
              <w:ind w:firstLine="0"/>
              <w:rPr>
                <w:i/>
                <w:iCs/>
              </w:rPr>
            </w:pPr>
            <w:r w:rsidRPr="004D46AC">
              <w:t>30</w:t>
            </w:r>
          </w:p>
        </w:tc>
        <w:tc>
          <w:tcPr>
            <w:tcW w:w="1178" w:type="dxa"/>
            <w:vAlign w:val="center"/>
          </w:tcPr>
          <w:p w14:paraId="17C7B911" w14:textId="77777777" w:rsidR="009864DB" w:rsidRPr="004D46AC" w:rsidRDefault="009864DB" w:rsidP="009864DB">
            <w:pPr>
              <w:spacing w:line="240" w:lineRule="auto"/>
              <w:ind w:firstLine="0"/>
              <w:rPr>
                <w:i/>
                <w:iCs/>
              </w:rPr>
            </w:pPr>
            <w:r w:rsidRPr="004D46AC">
              <w:t>unclear</w:t>
            </w:r>
          </w:p>
        </w:tc>
        <w:tc>
          <w:tcPr>
            <w:tcW w:w="1167" w:type="dxa"/>
            <w:vAlign w:val="center"/>
          </w:tcPr>
          <w:p w14:paraId="64138A61" w14:textId="77777777" w:rsidR="009864DB" w:rsidRPr="004D46AC" w:rsidRDefault="009864DB" w:rsidP="009864DB">
            <w:pPr>
              <w:spacing w:line="240" w:lineRule="auto"/>
              <w:ind w:firstLine="0"/>
              <w:rPr>
                <w:i/>
                <w:iCs/>
              </w:rPr>
            </w:pPr>
            <w:r w:rsidRPr="004D46AC">
              <w:t>1</w:t>
            </w:r>
          </w:p>
        </w:tc>
        <w:tc>
          <w:tcPr>
            <w:tcW w:w="1162" w:type="dxa"/>
          </w:tcPr>
          <w:p w14:paraId="5CB096D5"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7D976349" w14:textId="77777777" w:rsidR="009864DB" w:rsidRPr="004D46AC" w:rsidRDefault="009864DB" w:rsidP="009864DB">
            <w:pPr>
              <w:spacing w:line="240" w:lineRule="auto"/>
              <w:ind w:firstLine="0"/>
              <w:rPr>
                <w:i/>
                <w:iCs/>
              </w:rPr>
            </w:pPr>
            <w:r w:rsidRPr="004D46AC">
              <w:t>any</w:t>
            </w:r>
          </w:p>
        </w:tc>
        <w:tc>
          <w:tcPr>
            <w:tcW w:w="1163" w:type="dxa"/>
            <w:vAlign w:val="center"/>
          </w:tcPr>
          <w:p w14:paraId="33C8D5AA" w14:textId="77777777" w:rsidR="009864DB" w:rsidRPr="004D46AC" w:rsidRDefault="009864DB" w:rsidP="009864DB">
            <w:pPr>
              <w:spacing w:line="240" w:lineRule="auto"/>
              <w:ind w:firstLine="0"/>
              <w:rPr>
                <w:i/>
                <w:iCs/>
              </w:rPr>
            </w:pPr>
            <w:r w:rsidRPr="004D46AC">
              <w:t>8</w:t>
            </w:r>
          </w:p>
        </w:tc>
      </w:tr>
      <w:tr w:rsidR="009864DB" w:rsidRPr="004D46AC" w14:paraId="766F2266" w14:textId="77777777" w:rsidTr="00B518F1">
        <w:tc>
          <w:tcPr>
            <w:tcW w:w="1908" w:type="dxa"/>
          </w:tcPr>
          <w:p w14:paraId="01692239"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AuthorYear="1"&gt;&lt;Author&gt;Conus&lt;/Author&gt;&lt;Year&gt;2004&lt;/Year&gt;&lt;RecNum&gt;304&lt;/RecNum&gt;&lt;DisplayText&gt;Conus et al. (2004)&lt;/DisplayText&gt;&lt;record&gt;&lt;rec-number&gt;304&lt;/rec-number&gt;&lt;foreign-keys&gt;&lt;key app="EN" db-id="aet009sstawa0hewvt3xwf5atffdw2dt02sw" timestamp="1666496187"&gt;304&lt;/key&gt;&lt;/foreign-keys&gt;&lt;ref-type name="Journal Article"&gt;17&lt;/ref-type&gt;&lt;contributors&gt;&lt;authors&gt;&lt;author&gt;Conus, P.&lt;/author&gt;&lt;author&gt;Abdel-Baki, A.&lt;/author&gt;&lt;author&gt;Harrigan, S.&lt;/author&gt;&lt;author&gt;Lambert, M.&lt;/author&gt;&lt;author&gt;McGorry, P. D.&lt;/author&gt;&lt;/authors&gt;&lt;/contributors&gt;&lt;auth-address&gt;ORYGEN Research Centre, Parkville, Victoria, Australia. philippe.conus@hospvd.ch&lt;/auth-address&gt;&lt;titles&gt;&lt;title&gt;Schneiderian first rank symptoms predict poor outcome within first episode manic psychosis&lt;/title&gt;&lt;secondary-title&gt;J Affect Disord&lt;/secondary-title&gt;&lt;/titles&gt;&lt;periodical&gt;&lt;full-title&gt;J Affect Disord&lt;/full-title&gt;&lt;/periodical&gt;&lt;pages&gt;259-68&lt;/pages&gt;&lt;volume&gt;81&lt;/volume&gt;&lt;number&gt;3&lt;/number&gt;&lt;keywords&gt;&lt;keyword&gt;Adult&lt;/keyword&gt;&lt;keyword&gt;Diagnostic and Statistical Manual of Mental Disorders&lt;/keyword&gt;&lt;keyword&gt;Female&lt;/keyword&gt;&lt;keyword&gt;Humans&lt;/keyword&gt;&lt;keyword&gt;Male&lt;/keyword&gt;&lt;keyword&gt;Predictive Value of Tests&lt;/keyword&gt;&lt;keyword&gt;Prognosis&lt;/keyword&gt;&lt;keyword&gt;Prospective Studies&lt;/keyword&gt;&lt;keyword&gt;*Psychiatric Status Rating Scales&lt;/keyword&gt;&lt;keyword&gt;Psychotic Disorders/*psychology/therapy&lt;/keyword&gt;&lt;keyword&gt;Treatment Outcome&lt;/keyword&gt;&lt;/keywords&gt;&lt;dates&gt;&lt;year&gt;2004&lt;/year&gt;&lt;pub-dates&gt;&lt;date&gt;Sep&lt;/date&gt;&lt;/pub-dates&gt;&lt;/dates&gt;&lt;isbn&gt;0165-0327 (Print)&amp;#xD;0165-0327 (Linking)&lt;/isbn&gt;&lt;accession-num&gt;15337330&lt;/accession-num&gt;&lt;urls&gt;&lt;related-urls&gt;&lt;url&gt;https://www.ncbi.nlm.nih.gov/pubmed/15337330&lt;/url&gt;&lt;/related-urls&gt;&lt;/urls&gt;&lt;electronic-resource-num&gt;10.1016/j.jad.2003.09.003&lt;/electronic-resource-num&gt;&lt;remote-database-name&gt;Medline&lt;/remote-database-name&gt;&lt;remote-database-provider&gt;NLM&lt;/remote-database-provider&gt;&lt;/record&gt;&lt;/Cite&gt;&lt;/EndNote&gt;</w:instrText>
            </w:r>
            <w:r w:rsidRPr="004D46AC">
              <w:rPr>
                <w:i/>
                <w:iCs/>
              </w:rPr>
              <w:fldChar w:fldCharType="separate"/>
            </w:r>
            <w:r w:rsidRPr="004D46AC">
              <w:rPr>
                <w:i/>
                <w:iCs/>
              </w:rPr>
              <w:t>Conus et al. (2004)</w:t>
            </w:r>
            <w:r w:rsidRPr="004D46AC">
              <w:fldChar w:fldCharType="end"/>
            </w:r>
          </w:p>
        </w:tc>
        <w:tc>
          <w:tcPr>
            <w:tcW w:w="1198" w:type="dxa"/>
            <w:vAlign w:val="center"/>
          </w:tcPr>
          <w:p w14:paraId="39529D21" w14:textId="77777777" w:rsidR="009864DB" w:rsidRPr="004D46AC" w:rsidRDefault="009864DB" w:rsidP="009864DB">
            <w:pPr>
              <w:spacing w:line="240" w:lineRule="auto"/>
              <w:ind w:firstLine="0"/>
              <w:rPr>
                <w:i/>
                <w:iCs/>
              </w:rPr>
            </w:pPr>
            <w:r w:rsidRPr="004D46AC">
              <w:t>4</w:t>
            </w:r>
          </w:p>
        </w:tc>
        <w:tc>
          <w:tcPr>
            <w:tcW w:w="1178" w:type="dxa"/>
            <w:vAlign w:val="center"/>
          </w:tcPr>
          <w:p w14:paraId="3162CC37" w14:textId="77777777" w:rsidR="009864DB" w:rsidRPr="004D46AC" w:rsidRDefault="009864DB" w:rsidP="009864DB">
            <w:pPr>
              <w:spacing w:line="240" w:lineRule="auto"/>
              <w:ind w:firstLine="0"/>
              <w:rPr>
                <w:i/>
                <w:iCs/>
              </w:rPr>
            </w:pPr>
            <w:r w:rsidRPr="004D46AC">
              <w:t>22.2</w:t>
            </w:r>
          </w:p>
        </w:tc>
        <w:tc>
          <w:tcPr>
            <w:tcW w:w="1221" w:type="dxa"/>
            <w:vAlign w:val="center"/>
          </w:tcPr>
          <w:p w14:paraId="36411506" w14:textId="77777777" w:rsidR="009864DB" w:rsidRPr="004D46AC" w:rsidRDefault="009864DB" w:rsidP="009864DB">
            <w:pPr>
              <w:spacing w:line="240" w:lineRule="auto"/>
              <w:ind w:firstLine="0"/>
              <w:rPr>
                <w:i/>
                <w:iCs/>
              </w:rPr>
            </w:pPr>
            <w:r w:rsidRPr="004D46AC">
              <w:t>DSM3R</w:t>
            </w:r>
          </w:p>
        </w:tc>
        <w:tc>
          <w:tcPr>
            <w:tcW w:w="1415" w:type="dxa"/>
            <w:vAlign w:val="center"/>
          </w:tcPr>
          <w:p w14:paraId="79D0661C" w14:textId="77777777" w:rsidR="009864DB" w:rsidRPr="004D46AC" w:rsidRDefault="009864DB" w:rsidP="009864DB">
            <w:pPr>
              <w:spacing w:line="240" w:lineRule="auto"/>
              <w:ind w:firstLine="0"/>
              <w:rPr>
                <w:i/>
                <w:iCs/>
              </w:rPr>
            </w:pPr>
            <w:r w:rsidRPr="004D46AC">
              <w:t>BPRS</w:t>
            </w:r>
          </w:p>
        </w:tc>
        <w:tc>
          <w:tcPr>
            <w:tcW w:w="1147" w:type="dxa"/>
            <w:vAlign w:val="center"/>
          </w:tcPr>
          <w:p w14:paraId="4AEA45B2" w14:textId="77777777" w:rsidR="009864DB" w:rsidRPr="004D46AC" w:rsidRDefault="009864DB" w:rsidP="009864DB">
            <w:pPr>
              <w:spacing w:line="240" w:lineRule="auto"/>
              <w:ind w:firstLine="0"/>
              <w:rPr>
                <w:i/>
                <w:iCs/>
              </w:rPr>
            </w:pPr>
            <w:r w:rsidRPr="004D46AC">
              <w:t>87</w:t>
            </w:r>
          </w:p>
        </w:tc>
        <w:tc>
          <w:tcPr>
            <w:tcW w:w="1178" w:type="dxa"/>
            <w:vAlign w:val="center"/>
          </w:tcPr>
          <w:p w14:paraId="18808B84" w14:textId="77777777" w:rsidR="009864DB" w:rsidRPr="004D46AC" w:rsidRDefault="009864DB" w:rsidP="009864DB">
            <w:pPr>
              <w:spacing w:line="240" w:lineRule="auto"/>
              <w:ind w:firstLine="0"/>
              <w:rPr>
                <w:i/>
                <w:iCs/>
              </w:rPr>
            </w:pPr>
            <w:r w:rsidRPr="004D46AC">
              <w:t>unclear</w:t>
            </w:r>
          </w:p>
        </w:tc>
        <w:tc>
          <w:tcPr>
            <w:tcW w:w="1167" w:type="dxa"/>
            <w:vAlign w:val="center"/>
          </w:tcPr>
          <w:p w14:paraId="1675163B" w14:textId="77777777" w:rsidR="009864DB" w:rsidRPr="004D46AC" w:rsidRDefault="009864DB" w:rsidP="009864DB">
            <w:pPr>
              <w:spacing w:line="240" w:lineRule="auto"/>
              <w:ind w:firstLine="0"/>
              <w:rPr>
                <w:i/>
                <w:iCs/>
              </w:rPr>
            </w:pPr>
            <w:r w:rsidRPr="004D46AC">
              <w:t>3</w:t>
            </w:r>
          </w:p>
        </w:tc>
        <w:tc>
          <w:tcPr>
            <w:tcW w:w="1162" w:type="dxa"/>
          </w:tcPr>
          <w:p w14:paraId="24E28FA8"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2ADD8AE" w14:textId="77777777" w:rsidR="009864DB" w:rsidRPr="004D46AC" w:rsidRDefault="009864DB" w:rsidP="009864DB">
            <w:pPr>
              <w:spacing w:line="240" w:lineRule="auto"/>
              <w:ind w:firstLine="0"/>
              <w:rPr>
                <w:i/>
                <w:iCs/>
              </w:rPr>
            </w:pPr>
            <w:r w:rsidRPr="004D46AC">
              <w:t>any</w:t>
            </w:r>
          </w:p>
        </w:tc>
        <w:tc>
          <w:tcPr>
            <w:tcW w:w="1163" w:type="dxa"/>
            <w:vAlign w:val="center"/>
          </w:tcPr>
          <w:p w14:paraId="025E4AFB" w14:textId="77777777" w:rsidR="009864DB" w:rsidRPr="004D46AC" w:rsidRDefault="009864DB" w:rsidP="009864DB">
            <w:pPr>
              <w:spacing w:line="240" w:lineRule="auto"/>
              <w:ind w:firstLine="0"/>
              <w:rPr>
                <w:i/>
                <w:iCs/>
              </w:rPr>
            </w:pPr>
            <w:r w:rsidRPr="004D46AC">
              <w:t>48</w:t>
            </w:r>
          </w:p>
        </w:tc>
      </w:tr>
      <w:tr w:rsidR="009864DB" w:rsidRPr="004D46AC" w14:paraId="18D5D38A" w14:textId="77777777" w:rsidTr="00B518F1">
        <w:tc>
          <w:tcPr>
            <w:tcW w:w="1908" w:type="dxa"/>
          </w:tcPr>
          <w:p w14:paraId="20878B22"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AuthorYear="1"&gt;&lt;Author&gt;Toni&lt;/Author&gt;&lt;Year&gt;2001&lt;/Year&gt;&lt;RecNum&gt;305&lt;/RecNum&gt;&lt;DisplayText&gt;Toni et al. (2001)&lt;/DisplayText&gt;&lt;record&gt;&lt;rec-number&gt;305&lt;/rec-number&gt;&lt;foreign-keys&gt;&lt;key app="EN" db-id="aet009sstawa0hewvt3xwf5atffdw2dt02sw" timestamp="1666500572"&gt;305&lt;/key&gt;&lt;/foreign-keys&gt;&lt;ref-type name="Journal Article"&gt;17&lt;/ref-type&gt;&lt;contributors&gt;&lt;authors&gt;&lt;author&gt;Toni, C.&lt;/author&gt;&lt;author&gt;Perugi, G.&lt;/author&gt;&lt;author&gt;Mata, B.&lt;/author&gt;&lt;author&gt;Madaro, D.&lt;/author&gt;&lt;author&gt;Maremmani, I.&lt;/author&gt;&lt;author&gt;Akiskal, H. S.&lt;/author&gt;&lt;/authors&gt;&lt;/contributors&gt;&lt;auth-address&gt;Department of Psychiatry, University of Pisa, Via Roma 67, 56100, Pisa, Italy.&lt;/auth-address&gt;&lt;titles&gt;&lt;title&gt;Is mood-incongruent manic psychosis a distinct subtype?&lt;/title&gt;&lt;secondary-title&gt;Eur Arch Psychiatry Clin Neurosci&lt;/secondary-title&gt;&lt;/titles&gt;&lt;periodical&gt;&lt;full-title&gt;Eur Arch Psychiatry Clin Neurosci&lt;/full-title&gt;&lt;/periodical&gt;&lt;pages&gt;12-7&lt;/pages&gt;&lt;volume&gt;251&lt;/volume&gt;&lt;number&gt;1&lt;/number&gt;&lt;keywords&gt;&lt;keyword&gt;Adolescent&lt;/keyword&gt;&lt;keyword&gt;Adult&lt;/keyword&gt;&lt;keyword&gt;Aged&lt;/keyword&gt;&lt;keyword&gt;Bipolar Disorder/classification/*diagnosis/psychology&lt;/keyword&gt;&lt;keyword&gt;Diagnosis, Differential&lt;/keyword&gt;&lt;keyword&gt;Female&lt;/keyword&gt;&lt;keyword&gt;Humans&lt;/keyword&gt;&lt;keyword&gt;Male&lt;/keyword&gt;&lt;keyword&gt;Middle Aged&lt;/keyword&gt;&lt;keyword&gt;Psychiatric Status Rating Scales&lt;/keyword&gt;&lt;keyword&gt;Psychotic Disorders/classification/*diagnosis/psychology&lt;/keyword&gt;&lt;/keywords&gt;&lt;dates&gt;&lt;year&gt;2001&lt;/year&gt;&lt;/dates&gt;&lt;isbn&gt;0940-1334 (Print)&amp;#xD;0940-1334 (Linking)&lt;/isbn&gt;&lt;accession-num&gt;11315512&lt;/accession-num&gt;&lt;urls&gt;&lt;related-urls&gt;&lt;url&gt;https://www.ncbi.nlm.nih.gov/pubmed/11315512&lt;/url&gt;&lt;/related-urls&gt;&lt;/urls&gt;&lt;electronic-resource-num&gt;10.1007/s004060170061&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Toni et al. (2001)</w:t>
            </w:r>
            <w:r w:rsidRPr="004D46AC">
              <w:fldChar w:fldCharType="end"/>
            </w:r>
          </w:p>
        </w:tc>
        <w:tc>
          <w:tcPr>
            <w:tcW w:w="1198" w:type="dxa"/>
            <w:vAlign w:val="center"/>
          </w:tcPr>
          <w:p w14:paraId="0AF16D4C" w14:textId="77777777" w:rsidR="009864DB" w:rsidRPr="004D46AC" w:rsidRDefault="009864DB" w:rsidP="009864DB">
            <w:pPr>
              <w:spacing w:line="240" w:lineRule="auto"/>
              <w:ind w:firstLine="0"/>
              <w:rPr>
                <w:i/>
                <w:iCs/>
              </w:rPr>
            </w:pPr>
            <w:r w:rsidRPr="004D46AC">
              <w:t>7</w:t>
            </w:r>
          </w:p>
        </w:tc>
        <w:tc>
          <w:tcPr>
            <w:tcW w:w="1178" w:type="dxa"/>
            <w:vAlign w:val="center"/>
          </w:tcPr>
          <w:p w14:paraId="6AFABD32" w14:textId="77777777" w:rsidR="009864DB" w:rsidRPr="004D46AC" w:rsidRDefault="009864DB" w:rsidP="009864DB">
            <w:pPr>
              <w:spacing w:line="240" w:lineRule="auto"/>
              <w:ind w:firstLine="0"/>
              <w:rPr>
                <w:i/>
                <w:iCs/>
              </w:rPr>
            </w:pPr>
            <w:r w:rsidRPr="004D46AC">
              <w:t>37.9</w:t>
            </w:r>
          </w:p>
        </w:tc>
        <w:tc>
          <w:tcPr>
            <w:tcW w:w="1221" w:type="dxa"/>
            <w:vAlign w:val="center"/>
          </w:tcPr>
          <w:p w14:paraId="30391709" w14:textId="77777777" w:rsidR="009864DB" w:rsidRPr="004D46AC" w:rsidRDefault="009864DB" w:rsidP="009864DB">
            <w:pPr>
              <w:spacing w:line="240" w:lineRule="auto"/>
              <w:ind w:firstLine="0"/>
              <w:rPr>
                <w:i/>
                <w:iCs/>
              </w:rPr>
            </w:pPr>
            <w:r w:rsidRPr="004D46AC">
              <w:t>DSM3R</w:t>
            </w:r>
          </w:p>
        </w:tc>
        <w:tc>
          <w:tcPr>
            <w:tcW w:w="1415" w:type="dxa"/>
            <w:vAlign w:val="center"/>
          </w:tcPr>
          <w:p w14:paraId="19356F17" w14:textId="77777777" w:rsidR="009864DB" w:rsidRPr="004D46AC" w:rsidRDefault="009864DB" w:rsidP="009864DB">
            <w:pPr>
              <w:spacing w:line="240" w:lineRule="auto"/>
              <w:ind w:firstLine="0"/>
              <w:rPr>
                <w:i/>
                <w:iCs/>
              </w:rPr>
            </w:pPr>
            <w:r w:rsidRPr="004D46AC">
              <w:t>SAPS</w:t>
            </w:r>
          </w:p>
        </w:tc>
        <w:tc>
          <w:tcPr>
            <w:tcW w:w="1147" w:type="dxa"/>
            <w:vAlign w:val="center"/>
          </w:tcPr>
          <w:p w14:paraId="31F38F63" w14:textId="77777777" w:rsidR="009864DB" w:rsidRPr="004D46AC" w:rsidRDefault="009864DB" w:rsidP="009864DB">
            <w:pPr>
              <w:spacing w:line="240" w:lineRule="auto"/>
              <w:ind w:firstLine="0"/>
              <w:rPr>
                <w:i/>
                <w:iCs/>
              </w:rPr>
            </w:pPr>
            <w:r w:rsidRPr="004D46AC">
              <w:t>155</w:t>
            </w:r>
          </w:p>
        </w:tc>
        <w:tc>
          <w:tcPr>
            <w:tcW w:w="1178" w:type="dxa"/>
            <w:vAlign w:val="center"/>
          </w:tcPr>
          <w:p w14:paraId="67D08E1F" w14:textId="77777777" w:rsidR="009864DB" w:rsidRPr="004D46AC" w:rsidRDefault="009864DB" w:rsidP="009864DB">
            <w:pPr>
              <w:spacing w:line="240" w:lineRule="auto"/>
              <w:ind w:firstLine="0"/>
              <w:rPr>
                <w:i/>
                <w:iCs/>
              </w:rPr>
            </w:pPr>
            <w:r w:rsidRPr="004D46AC">
              <w:t>3</w:t>
            </w:r>
          </w:p>
        </w:tc>
        <w:tc>
          <w:tcPr>
            <w:tcW w:w="1167" w:type="dxa"/>
            <w:vAlign w:val="center"/>
          </w:tcPr>
          <w:p w14:paraId="46E92E34" w14:textId="77777777" w:rsidR="009864DB" w:rsidRPr="004D46AC" w:rsidRDefault="009864DB" w:rsidP="009864DB">
            <w:pPr>
              <w:spacing w:line="240" w:lineRule="auto"/>
              <w:ind w:firstLine="0"/>
              <w:rPr>
                <w:i/>
                <w:iCs/>
              </w:rPr>
            </w:pPr>
            <w:r w:rsidRPr="004D46AC">
              <w:t>2</w:t>
            </w:r>
          </w:p>
        </w:tc>
        <w:tc>
          <w:tcPr>
            <w:tcW w:w="1162" w:type="dxa"/>
          </w:tcPr>
          <w:p w14:paraId="7A9E4CCA"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25F4E1A9" w14:textId="77777777" w:rsidR="009864DB" w:rsidRPr="004D46AC" w:rsidRDefault="009864DB" w:rsidP="009864DB">
            <w:pPr>
              <w:spacing w:line="240" w:lineRule="auto"/>
              <w:ind w:firstLine="0"/>
              <w:rPr>
                <w:i/>
                <w:iCs/>
              </w:rPr>
            </w:pPr>
            <w:r w:rsidRPr="004D46AC">
              <w:t>auditory</w:t>
            </w:r>
          </w:p>
        </w:tc>
        <w:tc>
          <w:tcPr>
            <w:tcW w:w="1163" w:type="dxa"/>
            <w:vAlign w:val="center"/>
          </w:tcPr>
          <w:p w14:paraId="3E81E909" w14:textId="77777777" w:rsidR="009864DB" w:rsidRPr="004D46AC" w:rsidRDefault="009864DB" w:rsidP="009864DB">
            <w:pPr>
              <w:spacing w:line="240" w:lineRule="auto"/>
              <w:ind w:firstLine="0"/>
              <w:rPr>
                <w:i/>
                <w:iCs/>
              </w:rPr>
            </w:pPr>
            <w:r w:rsidRPr="004D46AC">
              <w:t>18</w:t>
            </w:r>
          </w:p>
        </w:tc>
      </w:tr>
      <w:tr w:rsidR="009864DB" w:rsidRPr="004D46AC" w14:paraId="732262BF" w14:textId="77777777" w:rsidTr="00B518F1">
        <w:tc>
          <w:tcPr>
            <w:tcW w:w="1908" w:type="dxa"/>
          </w:tcPr>
          <w:p w14:paraId="5E2123BB"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AuthorYear="1"&gt;&lt;Author&gt;Brockington&lt;/Author&gt;&lt;Year&gt;1982&lt;/Year&gt;&lt;RecNum&gt;306&lt;/RecNum&gt;&lt;DisplayText&gt;Brockington et al. (1982)&lt;/DisplayText&gt;&lt;record&gt;&lt;rec-number&gt;306&lt;/rec-number&gt;&lt;foreign-keys&gt;&lt;key app="EN" db-id="aet009sstawa0hewvt3xwf5atffdw2dt02sw" timestamp="1666501748"&gt;306&lt;/key&gt;&lt;/foreign-keys&gt;&lt;ref-type name="Journal Article"&gt;17&lt;/ref-type&gt;&lt;contributors&gt;&lt;authors&gt;&lt;author&gt;Brockington, I. F.&lt;/author&gt;&lt;author&gt;Altman, E.&lt;/author&gt;&lt;author&gt;Hillier, V.&lt;/author&gt;&lt;author&gt;Meltzer, H. Y.&lt;/author&gt;&lt;author&gt;Nand, S.&lt;/author&gt;&lt;/authors&gt;&lt;/contributors&gt;&lt;titles&gt;&lt;title&gt;The clinical picture of bipolar affective disorder in its depressed phase. A report from London and Chicago&lt;/title&gt;&lt;secondary-title&gt;Br J Psychiatry&lt;/secondary-title&gt;&lt;/titles&gt;&lt;periodical&gt;&lt;full-title&gt;Br J Psychiatry&lt;/full-title&gt;&lt;/periodical&gt;&lt;pages&gt;558-62&lt;/pages&gt;&lt;volume&gt;141&lt;/volume&gt;&lt;keywords&gt;&lt;keyword&gt;Bipolar Disorder/diagnosis/*psychology&lt;/keyword&gt;&lt;keyword&gt;Chicago&lt;/keyword&gt;&lt;keyword&gt;Depressive Disorder/diagnosis/psychology&lt;/keyword&gt;&lt;keyword&gt;Diagnosis, Differential&lt;/keyword&gt;&lt;keyword&gt;Humans&lt;/keyword&gt;&lt;keyword&gt;Interview, Psychological&lt;/keyword&gt;&lt;keyword&gt;London&lt;/keyword&gt;&lt;keyword&gt;Thinking&lt;/keyword&gt;&lt;/keywords&gt;&lt;dates&gt;&lt;year&gt;1982&lt;/year&gt;&lt;pub-dates&gt;&lt;date&gt;Dec&lt;/date&gt;&lt;/pub-dates&gt;&lt;/dates&gt;&lt;isbn&gt;0007-1250 (Print)&amp;#xD;0007-1250 (Linking)&lt;/isbn&gt;&lt;accession-num&gt;7159802&lt;/accession-num&gt;&lt;urls&gt;&lt;related-urls&gt;&lt;url&gt;https://www.ncbi.nlm.nih.gov/pubmed/7159802&lt;/url&gt;&lt;/related-urls&gt;&lt;/urls&gt;&lt;electronic-resource-num&gt;10.1192/bjp.141.6.558&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Brockington et al. (1982)</w:t>
            </w:r>
            <w:r w:rsidRPr="004D46AC">
              <w:fldChar w:fldCharType="end"/>
            </w:r>
          </w:p>
        </w:tc>
        <w:tc>
          <w:tcPr>
            <w:tcW w:w="1198" w:type="dxa"/>
            <w:vAlign w:val="center"/>
          </w:tcPr>
          <w:p w14:paraId="3864AB87" w14:textId="77777777" w:rsidR="009864DB" w:rsidRPr="004D46AC" w:rsidRDefault="009864DB" w:rsidP="009864DB">
            <w:pPr>
              <w:spacing w:line="240" w:lineRule="auto"/>
              <w:ind w:firstLine="0"/>
              <w:rPr>
                <w:i/>
                <w:iCs/>
              </w:rPr>
            </w:pPr>
            <w:r w:rsidRPr="004D46AC">
              <w:t>4</w:t>
            </w:r>
          </w:p>
        </w:tc>
        <w:tc>
          <w:tcPr>
            <w:tcW w:w="1178" w:type="dxa"/>
            <w:vAlign w:val="center"/>
          </w:tcPr>
          <w:p w14:paraId="091537C8" w14:textId="77777777" w:rsidR="009864DB" w:rsidRPr="004D46AC" w:rsidRDefault="009864DB" w:rsidP="009864DB">
            <w:pPr>
              <w:spacing w:line="240" w:lineRule="auto"/>
              <w:ind w:firstLine="0"/>
              <w:rPr>
                <w:i/>
                <w:iCs/>
              </w:rPr>
            </w:pPr>
            <w:r w:rsidRPr="004D46AC">
              <w:t>NA</w:t>
            </w:r>
          </w:p>
        </w:tc>
        <w:tc>
          <w:tcPr>
            <w:tcW w:w="1221" w:type="dxa"/>
            <w:vAlign w:val="center"/>
          </w:tcPr>
          <w:p w14:paraId="0E09B00D" w14:textId="77777777" w:rsidR="009864DB" w:rsidRPr="004D46AC" w:rsidRDefault="009864DB" w:rsidP="009864DB">
            <w:pPr>
              <w:spacing w:line="240" w:lineRule="auto"/>
              <w:ind w:firstLine="0"/>
              <w:rPr>
                <w:i/>
                <w:iCs/>
              </w:rPr>
            </w:pPr>
            <w:r w:rsidRPr="004D46AC">
              <w:t>RDC</w:t>
            </w:r>
          </w:p>
        </w:tc>
        <w:tc>
          <w:tcPr>
            <w:tcW w:w="1415" w:type="dxa"/>
            <w:vAlign w:val="center"/>
          </w:tcPr>
          <w:p w14:paraId="24B3A5A3" w14:textId="77777777" w:rsidR="009864DB" w:rsidRPr="004D46AC" w:rsidRDefault="009864DB" w:rsidP="009864DB">
            <w:pPr>
              <w:spacing w:line="240" w:lineRule="auto"/>
              <w:ind w:firstLine="0"/>
              <w:rPr>
                <w:i/>
                <w:iCs/>
              </w:rPr>
            </w:pPr>
            <w:r w:rsidRPr="004D46AC">
              <w:t>PSE</w:t>
            </w:r>
          </w:p>
        </w:tc>
        <w:tc>
          <w:tcPr>
            <w:tcW w:w="1147" w:type="dxa"/>
            <w:vAlign w:val="center"/>
          </w:tcPr>
          <w:p w14:paraId="1AE61990" w14:textId="77777777" w:rsidR="009864DB" w:rsidRPr="004D46AC" w:rsidRDefault="009864DB" w:rsidP="009864DB">
            <w:pPr>
              <w:spacing w:line="240" w:lineRule="auto"/>
              <w:ind w:firstLine="0"/>
              <w:rPr>
                <w:i/>
                <w:iCs/>
              </w:rPr>
            </w:pPr>
            <w:r w:rsidRPr="004D46AC">
              <w:t>32</w:t>
            </w:r>
          </w:p>
        </w:tc>
        <w:tc>
          <w:tcPr>
            <w:tcW w:w="1178" w:type="dxa"/>
            <w:vAlign w:val="center"/>
          </w:tcPr>
          <w:p w14:paraId="086F5766" w14:textId="77777777" w:rsidR="009864DB" w:rsidRPr="004D46AC" w:rsidRDefault="009864DB" w:rsidP="009864DB">
            <w:pPr>
              <w:spacing w:line="240" w:lineRule="auto"/>
              <w:ind w:firstLine="0"/>
              <w:rPr>
                <w:i/>
                <w:iCs/>
              </w:rPr>
            </w:pPr>
            <w:r w:rsidRPr="004D46AC">
              <w:t>unclear</w:t>
            </w:r>
          </w:p>
        </w:tc>
        <w:tc>
          <w:tcPr>
            <w:tcW w:w="1167" w:type="dxa"/>
            <w:vAlign w:val="center"/>
          </w:tcPr>
          <w:p w14:paraId="32788C5E" w14:textId="77777777" w:rsidR="009864DB" w:rsidRPr="004D46AC" w:rsidRDefault="009864DB" w:rsidP="009864DB">
            <w:pPr>
              <w:spacing w:line="240" w:lineRule="auto"/>
              <w:ind w:firstLine="0"/>
              <w:rPr>
                <w:i/>
                <w:iCs/>
              </w:rPr>
            </w:pPr>
            <w:r w:rsidRPr="004D46AC">
              <w:t>1</w:t>
            </w:r>
          </w:p>
        </w:tc>
        <w:tc>
          <w:tcPr>
            <w:tcW w:w="1162" w:type="dxa"/>
          </w:tcPr>
          <w:p w14:paraId="55ADC159"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05DF4CF3" w14:textId="77777777" w:rsidR="009864DB" w:rsidRPr="004D46AC" w:rsidRDefault="009864DB" w:rsidP="009864DB">
            <w:pPr>
              <w:spacing w:line="240" w:lineRule="auto"/>
              <w:ind w:firstLine="0"/>
              <w:rPr>
                <w:i/>
                <w:iCs/>
              </w:rPr>
            </w:pPr>
            <w:r w:rsidRPr="004D46AC">
              <w:t>auditory</w:t>
            </w:r>
          </w:p>
        </w:tc>
        <w:tc>
          <w:tcPr>
            <w:tcW w:w="1163" w:type="dxa"/>
            <w:vAlign w:val="center"/>
          </w:tcPr>
          <w:p w14:paraId="6297C30B" w14:textId="77777777" w:rsidR="009864DB" w:rsidRPr="004D46AC" w:rsidRDefault="009864DB" w:rsidP="009864DB">
            <w:pPr>
              <w:spacing w:line="240" w:lineRule="auto"/>
              <w:ind w:firstLine="0"/>
              <w:rPr>
                <w:i/>
                <w:iCs/>
              </w:rPr>
            </w:pPr>
            <w:r w:rsidRPr="004D46AC">
              <w:t>3</w:t>
            </w:r>
          </w:p>
        </w:tc>
      </w:tr>
      <w:tr w:rsidR="009864DB" w:rsidRPr="004D46AC" w14:paraId="1B6D321A" w14:textId="77777777" w:rsidTr="00B518F1">
        <w:tc>
          <w:tcPr>
            <w:tcW w:w="1908" w:type="dxa"/>
          </w:tcPr>
          <w:p w14:paraId="09332CDB"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PEVuZE5vdGU+PENpdGUgQXV0aG9yWWVhcj0iMSI+PEF1dGhvcj5HYXVkaWFubzwvQXV0aG9yPjxZ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rPr>
                <w:i/>
                <w:iCs/>
              </w:rPr>
              <w:instrText xml:space="preserve"> ADDIN EN.CITE </w:instrText>
            </w:r>
            <w:r w:rsidRPr="004D46AC">
              <w:rPr>
                <w:i/>
                <w:iCs/>
              </w:rPr>
              <w:fldChar w:fldCharType="begin">
                <w:fldData xml:space="preserve">PEVuZE5vdGU+PENpdGUgQXV0aG9yWWVhcj0iMSI+PEF1dGhvcj5HYXVkaWFubzwvQXV0aG9yPjxZ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Gaudiano et al. (2007)</w:t>
            </w:r>
            <w:r w:rsidRPr="004D46AC">
              <w:fldChar w:fldCharType="end"/>
            </w:r>
          </w:p>
        </w:tc>
        <w:tc>
          <w:tcPr>
            <w:tcW w:w="1198" w:type="dxa"/>
            <w:vAlign w:val="center"/>
          </w:tcPr>
          <w:p w14:paraId="0B4C7D97" w14:textId="77777777" w:rsidR="009864DB" w:rsidRPr="004D46AC" w:rsidRDefault="009864DB" w:rsidP="009864DB">
            <w:pPr>
              <w:spacing w:line="240" w:lineRule="auto"/>
              <w:ind w:firstLine="0"/>
              <w:rPr>
                <w:i/>
                <w:iCs/>
              </w:rPr>
            </w:pPr>
            <w:r w:rsidRPr="004D46AC">
              <w:t>6</w:t>
            </w:r>
          </w:p>
        </w:tc>
        <w:tc>
          <w:tcPr>
            <w:tcW w:w="1178" w:type="dxa"/>
            <w:vAlign w:val="center"/>
          </w:tcPr>
          <w:p w14:paraId="107ACDE5" w14:textId="77777777" w:rsidR="009864DB" w:rsidRPr="004D46AC" w:rsidRDefault="009864DB" w:rsidP="009864DB">
            <w:pPr>
              <w:spacing w:line="240" w:lineRule="auto"/>
              <w:ind w:firstLine="0"/>
              <w:rPr>
                <w:i/>
                <w:iCs/>
              </w:rPr>
            </w:pPr>
            <w:r w:rsidRPr="004D46AC">
              <w:t>39</w:t>
            </w:r>
          </w:p>
        </w:tc>
        <w:tc>
          <w:tcPr>
            <w:tcW w:w="1221" w:type="dxa"/>
            <w:vAlign w:val="center"/>
          </w:tcPr>
          <w:p w14:paraId="52397AF8" w14:textId="77777777" w:rsidR="009864DB" w:rsidRPr="004D46AC" w:rsidRDefault="009864DB" w:rsidP="009864DB">
            <w:pPr>
              <w:spacing w:line="240" w:lineRule="auto"/>
              <w:ind w:firstLine="0"/>
              <w:rPr>
                <w:i/>
                <w:iCs/>
              </w:rPr>
            </w:pPr>
            <w:r w:rsidRPr="004D46AC">
              <w:t>DSM</w:t>
            </w:r>
          </w:p>
        </w:tc>
        <w:tc>
          <w:tcPr>
            <w:tcW w:w="1415" w:type="dxa"/>
            <w:vAlign w:val="center"/>
          </w:tcPr>
          <w:p w14:paraId="022F5F74" w14:textId="77777777" w:rsidR="009864DB" w:rsidRPr="004D46AC" w:rsidRDefault="009864DB" w:rsidP="009864DB">
            <w:pPr>
              <w:spacing w:line="240" w:lineRule="auto"/>
              <w:ind w:firstLine="0"/>
              <w:rPr>
                <w:i/>
                <w:iCs/>
              </w:rPr>
            </w:pPr>
            <w:r w:rsidRPr="004D46AC">
              <w:t>SCID</w:t>
            </w:r>
          </w:p>
        </w:tc>
        <w:tc>
          <w:tcPr>
            <w:tcW w:w="1147" w:type="dxa"/>
            <w:vAlign w:val="center"/>
          </w:tcPr>
          <w:p w14:paraId="6E6D9312" w14:textId="77777777" w:rsidR="009864DB" w:rsidRPr="004D46AC" w:rsidRDefault="009864DB" w:rsidP="009864DB">
            <w:pPr>
              <w:spacing w:line="240" w:lineRule="auto"/>
              <w:ind w:firstLine="0"/>
              <w:rPr>
                <w:i/>
                <w:iCs/>
              </w:rPr>
            </w:pPr>
            <w:r w:rsidRPr="004D46AC">
              <w:t>74</w:t>
            </w:r>
          </w:p>
        </w:tc>
        <w:tc>
          <w:tcPr>
            <w:tcW w:w="1178" w:type="dxa"/>
            <w:vAlign w:val="center"/>
          </w:tcPr>
          <w:p w14:paraId="7CB000A4" w14:textId="77777777" w:rsidR="009864DB" w:rsidRPr="004D46AC" w:rsidRDefault="009864DB" w:rsidP="009864DB">
            <w:pPr>
              <w:spacing w:line="240" w:lineRule="auto"/>
              <w:ind w:firstLine="0"/>
              <w:rPr>
                <w:i/>
                <w:iCs/>
              </w:rPr>
            </w:pPr>
            <w:r w:rsidRPr="004D46AC">
              <w:t>3</w:t>
            </w:r>
          </w:p>
        </w:tc>
        <w:tc>
          <w:tcPr>
            <w:tcW w:w="1167" w:type="dxa"/>
            <w:vAlign w:val="center"/>
          </w:tcPr>
          <w:p w14:paraId="0715821A" w14:textId="77777777" w:rsidR="009864DB" w:rsidRPr="004D46AC" w:rsidRDefault="009864DB" w:rsidP="009864DB">
            <w:pPr>
              <w:spacing w:line="240" w:lineRule="auto"/>
              <w:ind w:firstLine="0"/>
              <w:rPr>
                <w:i/>
                <w:iCs/>
              </w:rPr>
            </w:pPr>
            <w:r w:rsidRPr="004D46AC">
              <w:t>2</w:t>
            </w:r>
          </w:p>
        </w:tc>
        <w:tc>
          <w:tcPr>
            <w:tcW w:w="1162" w:type="dxa"/>
          </w:tcPr>
          <w:p w14:paraId="5F2CCFEC"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55317E94" w14:textId="77777777" w:rsidR="009864DB" w:rsidRPr="004D46AC" w:rsidRDefault="009864DB" w:rsidP="009864DB">
            <w:pPr>
              <w:spacing w:line="240" w:lineRule="auto"/>
              <w:ind w:firstLine="0"/>
              <w:rPr>
                <w:i/>
                <w:iCs/>
              </w:rPr>
            </w:pPr>
            <w:r w:rsidRPr="004D46AC">
              <w:t>auditory</w:t>
            </w:r>
          </w:p>
        </w:tc>
        <w:tc>
          <w:tcPr>
            <w:tcW w:w="1163" w:type="dxa"/>
            <w:vAlign w:val="center"/>
          </w:tcPr>
          <w:p w14:paraId="66D1D88B" w14:textId="77777777" w:rsidR="009864DB" w:rsidRPr="004D46AC" w:rsidRDefault="009864DB" w:rsidP="009864DB">
            <w:pPr>
              <w:spacing w:line="240" w:lineRule="auto"/>
              <w:ind w:firstLine="0"/>
              <w:rPr>
                <w:i/>
                <w:iCs/>
              </w:rPr>
            </w:pPr>
            <w:r w:rsidRPr="004D46AC">
              <w:t>25</w:t>
            </w:r>
          </w:p>
        </w:tc>
      </w:tr>
      <w:tr w:rsidR="009864DB" w:rsidRPr="004D46AC" w14:paraId="6D430844" w14:textId="77777777" w:rsidTr="00B518F1">
        <w:tc>
          <w:tcPr>
            <w:tcW w:w="1908" w:type="dxa"/>
          </w:tcPr>
          <w:p w14:paraId="4727CE9C"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PEVuZE5vdGU+PENpdGUgQXV0aG9yWWVhcj0iMSI+PEF1dGhvcj5Nb3JnYW48L0F1dGhvcj48WWVh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</w:fldData>
              </w:fldChar>
            </w:r>
            <w:r w:rsidRPr="004D46AC">
              <w:rPr>
                <w:i/>
                <w:iCs/>
              </w:rPr>
              <w:instrText xml:space="preserve"> ADDIN EN.CITE </w:instrText>
            </w:r>
            <w:r w:rsidRPr="004D46AC">
              <w:rPr>
                <w:i/>
                <w:iCs/>
              </w:rPr>
              <w:fldChar w:fldCharType="begin">
                <w:fldData xml:space="preserve">PEVuZE5vdGU+PENpdGUgQXV0aG9yWWVhcj0iMSI+PEF1dGhvcj5Nb3JnYW48L0F1dGhvcj48WWVh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Morgan et al. (2022)</w:t>
            </w:r>
            <w:r w:rsidRPr="004D46AC">
              <w:fldChar w:fldCharType="end"/>
            </w:r>
          </w:p>
        </w:tc>
        <w:tc>
          <w:tcPr>
            <w:tcW w:w="1198" w:type="dxa"/>
            <w:vAlign w:val="center"/>
          </w:tcPr>
          <w:p w14:paraId="5D2E153B" w14:textId="77777777" w:rsidR="009864DB" w:rsidRPr="004D46AC" w:rsidRDefault="009864DB" w:rsidP="009864DB">
            <w:pPr>
              <w:spacing w:line="240" w:lineRule="auto"/>
              <w:ind w:firstLine="0"/>
              <w:rPr>
                <w:i/>
                <w:iCs/>
              </w:rPr>
            </w:pPr>
            <w:r w:rsidRPr="004D46AC">
              <w:t>6</w:t>
            </w:r>
          </w:p>
        </w:tc>
        <w:tc>
          <w:tcPr>
            <w:tcW w:w="1178" w:type="dxa"/>
            <w:vAlign w:val="center"/>
          </w:tcPr>
          <w:p w14:paraId="4BF15B1D" w14:textId="77777777" w:rsidR="009864DB" w:rsidRPr="004D46AC" w:rsidRDefault="009864DB" w:rsidP="009864DB">
            <w:pPr>
              <w:spacing w:line="240" w:lineRule="auto"/>
              <w:ind w:firstLine="0"/>
              <w:rPr>
                <w:i/>
                <w:iCs/>
              </w:rPr>
            </w:pPr>
            <w:r w:rsidRPr="004D46AC">
              <w:t>38.45</w:t>
            </w:r>
          </w:p>
        </w:tc>
        <w:tc>
          <w:tcPr>
            <w:tcW w:w="1221" w:type="dxa"/>
            <w:vAlign w:val="center"/>
          </w:tcPr>
          <w:p w14:paraId="054149D8" w14:textId="77777777" w:rsidR="009864DB" w:rsidRPr="004D46AC" w:rsidRDefault="009864DB" w:rsidP="009864DB">
            <w:pPr>
              <w:spacing w:line="240" w:lineRule="auto"/>
              <w:ind w:firstLine="0"/>
              <w:rPr>
                <w:i/>
                <w:iCs/>
              </w:rPr>
            </w:pPr>
            <w:r w:rsidRPr="004D46AC">
              <w:t>DSM5</w:t>
            </w:r>
          </w:p>
        </w:tc>
        <w:tc>
          <w:tcPr>
            <w:tcW w:w="1415" w:type="dxa"/>
            <w:vAlign w:val="center"/>
          </w:tcPr>
          <w:p w14:paraId="34BAA2EF" w14:textId="77777777" w:rsidR="009864DB" w:rsidRPr="004D46AC" w:rsidRDefault="009864DB" w:rsidP="009864DB">
            <w:pPr>
              <w:spacing w:line="240" w:lineRule="auto"/>
              <w:ind w:firstLine="0"/>
              <w:rPr>
                <w:i/>
                <w:iCs/>
              </w:rPr>
            </w:pPr>
            <w:r w:rsidRPr="004D46AC">
              <w:t xml:space="preserve">EMA rating </w:t>
            </w:r>
          </w:p>
        </w:tc>
        <w:tc>
          <w:tcPr>
            <w:tcW w:w="1147" w:type="dxa"/>
            <w:vAlign w:val="center"/>
          </w:tcPr>
          <w:p w14:paraId="77097EE4" w14:textId="77777777" w:rsidR="009864DB" w:rsidRPr="004D46AC" w:rsidRDefault="009864DB" w:rsidP="009864DB">
            <w:pPr>
              <w:spacing w:line="240" w:lineRule="auto"/>
              <w:ind w:firstLine="0"/>
              <w:rPr>
                <w:i/>
                <w:iCs/>
              </w:rPr>
            </w:pPr>
            <w:r w:rsidRPr="004D46AC">
              <w:t>114</w:t>
            </w:r>
          </w:p>
        </w:tc>
        <w:tc>
          <w:tcPr>
            <w:tcW w:w="1178" w:type="dxa"/>
            <w:vAlign w:val="center"/>
          </w:tcPr>
          <w:p w14:paraId="4255E963" w14:textId="77777777" w:rsidR="009864DB" w:rsidRPr="004D46AC" w:rsidRDefault="009864DB" w:rsidP="009864DB">
            <w:pPr>
              <w:spacing w:line="240" w:lineRule="auto"/>
              <w:ind w:firstLine="0"/>
              <w:rPr>
                <w:i/>
                <w:iCs/>
              </w:rPr>
            </w:pPr>
            <w:r w:rsidRPr="004D46AC">
              <w:t>2</w:t>
            </w:r>
          </w:p>
        </w:tc>
        <w:tc>
          <w:tcPr>
            <w:tcW w:w="1167" w:type="dxa"/>
            <w:vAlign w:val="center"/>
          </w:tcPr>
          <w:p w14:paraId="74E75ED7" w14:textId="77777777" w:rsidR="009864DB" w:rsidRPr="004D46AC" w:rsidRDefault="009864DB" w:rsidP="009864DB">
            <w:pPr>
              <w:spacing w:line="240" w:lineRule="auto"/>
              <w:ind w:firstLine="0"/>
              <w:rPr>
                <w:i/>
                <w:iCs/>
              </w:rPr>
            </w:pPr>
            <w:r w:rsidRPr="004D46AC">
              <w:t>1</w:t>
            </w:r>
          </w:p>
        </w:tc>
        <w:tc>
          <w:tcPr>
            <w:tcW w:w="1162" w:type="dxa"/>
          </w:tcPr>
          <w:p w14:paraId="6B2E632D" w14:textId="77777777" w:rsidR="009864DB" w:rsidRPr="004D46AC" w:rsidRDefault="009864DB" w:rsidP="009864DB">
            <w:pPr>
              <w:spacing w:line="240" w:lineRule="auto"/>
              <w:ind w:firstLine="0"/>
              <w:rPr>
                <w:i/>
                <w:iCs/>
              </w:rPr>
            </w:pPr>
            <w:r w:rsidRPr="004D46AC">
              <w:rPr>
                <w:i/>
                <w:iCs/>
              </w:rPr>
              <w:t>0</w:t>
            </w:r>
          </w:p>
        </w:tc>
        <w:tc>
          <w:tcPr>
            <w:tcW w:w="1211" w:type="dxa"/>
            <w:vAlign w:val="center"/>
          </w:tcPr>
          <w:p w14:paraId="6D9FA5F6" w14:textId="77777777" w:rsidR="009864DB" w:rsidRPr="004D46AC" w:rsidRDefault="009864DB" w:rsidP="009864DB">
            <w:pPr>
              <w:spacing w:line="240" w:lineRule="auto"/>
              <w:ind w:firstLine="0"/>
              <w:rPr>
                <w:i/>
                <w:iCs/>
              </w:rPr>
            </w:pPr>
            <w:r w:rsidRPr="004D46AC">
              <w:t>auditory</w:t>
            </w:r>
          </w:p>
        </w:tc>
        <w:tc>
          <w:tcPr>
            <w:tcW w:w="1163" w:type="dxa"/>
            <w:vAlign w:val="center"/>
          </w:tcPr>
          <w:p w14:paraId="20AECEDF" w14:textId="77777777" w:rsidR="009864DB" w:rsidRPr="004D46AC" w:rsidRDefault="009864DB" w:rsidP="009864DB">
            <w:pPr>
              <w:spacing w:line="240" w:lineRule="auto"/>
              <w:ind w:firstLine="0"/>
              <w:rPr>
                <w:i/>
                <w:iCs/>
              </w:rPr>
            </w:pPr>
            <w:r w:rsidRPr="004D46AC">
              <w:t>9</w:t>
            </w:r>
          </w:p>
        </w:tc>
      </w:tr>
      <w:tr w:rsidR="009864DB" w:rsidRPr="004D46AC" w14:paraId="65A857B2" w14:textId="77777777" w:rsidTr="00B518F1">
        <w:tc>
          <w:tcPr>
            <w:tcW w:w="1908" w:type="dxa"/>
          </w:tcPr>
          <w:p w14:paraId="3FA10EF1"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rPr>
                <w:i/>
                <w:iCs/>
              </w:rPr>
              <w:instrText xml:space="preserve"> ADDIN EN.CITE </w:instrText>
            </w:r>
            <w:r w:rsidRPr="004D46AC">
              <w:rPr>
                <w:i/>
                <w:iCs/>
              </w:rPr>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Keck et al. (2003)</w:t>
            </w:r>
            <w:r w:rsidRPr="004D46AC">
              <w:fldChar w:fldCharType="end"/>
            </w:r>
          </w:p>
        </w:tc>
        <w:tc>
          <w:tcPr>
            <w:tcW w:w="1198" w:type="dxa"/>
            <w:vAlign w:val="center"/>
          </w:tcPr>
          <w:p w14:paraId="20C6FF4E" w14:textId="77777777" w:rsidR="009864DB" w:rsidRPr="004D46AC" w:rsidRDefault="009864DB" w:rsidP="009864DB">
            <w:pPr>
              <w:spacing w:line="240" w:lineRule="auto"/>
              <w:ind w:firstLine="0"/>
              <w:rPr>
                <w:i/>
                <w:iCs/>
              </w:rPr>
            </w:pPr>
            <w:r w:rsidRPr="004D46AC">
              <w:t>7</w:t>
            </w:r>
          </w:p>
        </w:tc>
        <w:tc>
          <w:tcPr>
            <w:tcW w:w="1178" w:type="dxa"/>
            <w:vAlign w:val="center"/>
          </w:tcPr>
          <w:p w14:paraId="0D3D1F51" w14:textId="77777777" w:rsidR="009864DB" w:rsidRPr="004D46AC" w:rsidRDefault="009864DB" w:rsidP="009864DB">
            <w:pPr>
              <w:spacing w:line="240" w:lineRule="auto"/>
              <w:ind w:firstLine="0"/>
              <w:rPr>
                <w:i/>
                <w:iCs/>
              </w:rPr>
            </w:pPr>
            <w:r w:rsidRPr="004D46AC">
              <w:t>41.32</w:t>
            </w:r>
          </w:p>
        </w:tc>
        <w:tc>
          <w:tcPr>
            <w:tcW w:w="1221" w:type="dxa"/>
            <w:vAlign w:val="center"/>
          </w:tcPr>
          <w:p w14:paraId="7CE720F1" w14:textId="77777777" w:rsidR="009864DB" w:rsidRPr="004D46AC" w:rsidRDefault="009864DB" w:rsidP="009864DB">
            <w:pPr>
              <w:spacing w:line="240" w:lineRule="auto"/>
              <w:ind w:firstLine="0"/>
              <w:rPr>
                <w:i/>
                <w:iCs/>
              </w:rPr>
            </w:pPr>
            <w:r w:rsidRPr="004D46AC">
              <w:t>DSM4</w:t>
            </w:r>
          </w:p>
        </w:tc>
        <w:tc>
          <w:tcPr>
            <w:tcW w:w="1415" w:type="dxa"/>
            <w:vAlign w:val="center"/>
          </w:tcPr>
          <w:p w14:paraId="49E7B86F" w14:textId="77777777" w:rsidR="009864DB" w:rsidRPr="004D46AC" w:rsidRDefault="009864DB" w:rsidP="009864DB">
            <w:pPr>
              <w:spacing w:line="240" w:lineRule="auto"/>
              <w:ind w:firstLine="0"/>
              <w:rPr>
                <w:i/>
                <w:iCs/>
              </w:rPr>
            </w:pPr>
            <w:r w:rsidRPr="004D46AC">
              <w:t>SCID-P</w:t>
            </w:r>
          </w:p>
        </w:tc>
        <w:tc>
          <w:tcPr>
            <w:tcW w:w="1147" w:type="dxa"/>
            <w:vAlign w:val="center"/>
          </w:tcPr>
          <w:p w14:paraId="599B4FF7" w14:textId="77777777" w:rsidR="009864DB" w:rsidRPr="004D46AC" w:rsidRDefault="009864DB" w:rsidP="009864DB">
            <w:pPr>
              <w:spacing w:line="240" w:lineRule="auto"/>
              <w:ind w:firstLine="0"/>
              <w:rPr>
                <w:i/>
                <w:iCs/>
              </w:rPr>
            </w:pPr>
            <w:r w:rsidRPr="004D46AC">
              <w:t>2</w:t>
            </w:r>
          </w:p>
        </w:tc>
        <w:tc>
          <w:tcPr>
            <w:tcW w:w="1178" w:type="dxa"/>
            <w:vAlign w:val="center"/>
          </w:tcPr>
          <w:p w14:paraId="3657A82C" w14:textId="77777777" w:rsidR="009864DB" w:rsidRPr="004D46AC" w:rsidRDefault="009864DB" w:rsidP="009864DB">
            <w:pPr>
              <w:spacing w:line="240" w:lineRule="auto"/>
              <w:ind w:firstLine="0"/>
              <w:rPr>
                <w:i/>
                <w:iCs/>
              </w:rPr>
            </w:pPr>
            <w:r w:rsidRPr="004D46AC">
              <w:t>1</w:t>
            </w:r>
          </w:p>
        </w:tc>
        <w:tc>
          <w:tcPr>
            <w:tcW w:w="1167" w:type="dxa"/>
            <w:vAlign w:val="center"/>
          </w:tcPr>
          <w:p w14:paraId="5BDB79F9" w14:textId="77777777" w:rsidR="009864DB" w:rsidRPr="004D46AC" w:rsidRDefault="009864DB" w:rsidP="009864DB">
            <w:pPr>
              <w:spacing w:line="240" w:lineRule="auto"/>
              <w:ind w:firstLine="0"/>
              <w:rPr>
                <w:i/>
                <w:iCs/>
              </w:rPr>
            </w:pPr>
            <w:r w:rsidRPr="004D46AC">
              <w:t>2</w:t>
            </w:r>
          </w:p>
        </w:tc>
        <w:tc>
          <w:tcPr>
            <w:tcW w:w="1162" w:type="dxa"/>
          </w:tcPr>
          <w:p w14:paraId="0DE32512"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5E11CE52" w14:textId="77777777" w:rsidR="009864DB" w:rsidRPr="004D46AC" w:rsidRDefault="009864DB" w:rsidP="009864DB">
            <w:pPr>
              <w:spacing w:line="240" w:lineRule="auto"/>
              <w:ind w:firstLine="0"/>
              <w:rPr>
                <w:i/>
                <w:iCs/>
              </w:rPr>
            </w:pPr>
            <w:r w:rsidRPr="004D46AC">
              <w:t>auditory</w:t>
            </w:r>
          </w:p>
        </w:tc>
        <w:tc>
          <w:tcPr>
            <w:tcW w:w="1163" w:type="dxa"/>
            <w:vAlign w:val="center"/>
          </w:tcPr>
          <w:p w14:paraId="6C251520" w14:textId="77777777" w:rsidR="009864DB" w:rsidRPr="004D46AC" w:rsidRDefault="009864DB" w:rsidP="009864DB">
            <w:pPr>
              <w:spacing w:line="240" w:lineRule="auto"/>
              <w:ind w:firstLine="0"/>
              <w:rPr>
                <w:i/>
                <w:iCs/>
              </w:rPr>
            </w:pPr>
            <w:r w:rsidRPr="004D46AC">
              <w:t>88</w:t>
            </w:r>
          </w:p>
        </w:tc>
      </w:tr>
      <w:tr w:rsidR="009864DB" w:rsidRPr="004D46AC" w14:paraId="70E96C07" w14:textId="77777777" w:rsidTr="00B518F1">
        <w:tc>
          <w:tcPr>
            <w:tcW w:w="1908" w:type="dxa"/>
          </w:tcPr>
          <w:p w14:paraId="0639373C"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PEVuZE5vdGU+PENpdGUgQXV0aG9yWWVhcj0iMSI+PEF1dGhvcj5DYXNzYW5vPC9BdXRob3I+PFll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==
</w:fldData>
              </w:fldChar>
            </w:r>
            <w:r w:rsidRPr="004D46AC">
              <w:rPr>
                <w:i/>
                <w:iCs/>
              </w:rPr>
              <w:instrText xml:space="preserve"> ADDIN EN.CITE </w:instrText>
            </w:r>
            <w:r w:rsidRPr="004D46AC">
              <w:rPr>
                <w:i/>
                <w:iCs/>
              </w:rPr>
              <w:fldChar w:fldCharType="begin">
                <w:fldData xml:space="preserve">PEVuZE5vdGU+PENpdGUgQXV0aG9yWWVhcj0iMSI+PEF1dGhvcj5DYXNzYW5vPC9BdXRob3I+PFll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==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Cassano et al. (2004)</w:t>
            </w:r>
            <w:r w:rsidRPr="004D46AC">
              <w:fldChar w:fldCharType="end"/>
            </w:r>
          </w:p>
        </w:tc>
        <w:tc>
          <w:tcPr>
            <w:tcW w:w="1198" w:type="dxa"/>
            <w:vAlign w:val="center"/>
          </w:tcPr>
          <w:p w14:paraId="5C08BE07" w14:textId="77777777" w:rsidR="009864DB" w:rsidRPr="004D46AC" w:rsidRDefault="009864DB" w:rsidP="009864DB">
            <w:pPr>
              <w:spacing w:line="240" w:lineRule="auto"/>
              <w:ind w:firstLine="0"/>
              <w:rPr>
                <w:i/>
                <w:iCs/>
              </w:rPr>
            </w:pPr>
            <w:r w:rsidRPr="004D46AC">
              <w:t>4</w:t>
            </w:r>
          </w:p>
        </w:tc>
        <w:tc>
          <w:tcPr>
            <w:tcW w:w="1178" w:type="dxa"/>
            <w:vAlign w:val="center"/>
          </w:tcPr>
          <w:p w14:paraId="566F0C73" w14:textId="77777777" w:rsidR="009864DB" w:rsidRPr="004D46AC" w:rsidRDefault="009864DB" w:rsidP="009864DB">
            <w:pPr>
              <w:spacing w:line="240" w:lineRule="auto"/>
              <w:ind w:firstLine="0"/>
              <w:rPr>
                <w:i/>
                <w:iCs/>
              </w:rPr>
            </w:pPr>
            <w:r w:rsidRPr="004D46AC">
              <w:t>43.7</w:t>
            </w:r>
          </w:p>
        </w:tc>
        <w:tc>
          <w:tcPr>
            <w:tcW w:w="1221" w:type="dxa"/>
            <w:vAlign w:val="center"/>
          </w:tcPr>
          <w:p w14:paraId="7D3D85EB" w14:textId="77777777" w:rsidR="009864DB" w:rsidRPr="004D46AC" w:rsidRDefault="009864DB" w:rsidP="009864DB">
            <w:pPr>
              <w:spacing w:line="240" w:lineRule="auto"/>
              <w:ind w:firstLine="0"/>
              <w:rPr>
                <w:i/>
                <w:iCs/>
              </w:rPr>
            </w:pPr>
            <w:r w:rsidRPr="004D46AC">
              <w:t>mixed</w:t>
            </w:r>
          </w:p>
        </w:tc>
        <w:tc>
          <w:tcPr>
            <w:tcW w:w="1415" w:type="dxa"/>
            <w:vAlign w:val="center"/>
          </w:tcPr>
          <w:p w14:paraId="3C478906" w14:textId="77777777" w:rsidR="009864DB" w:rsidRPr="004D46AC" w:rsidRDefault="009864DB" w:rsidP="009864DB">
            <w:pPr>
              <w:spacing w:line="240" w:lineRule="auto"/>
              <w:ind w:firstLine="0"/>
              <w:rPr>
                <w:i/>
                <w:iCs/>
              </w:rPr>
            </w:pPr>
            <w:r w:rsidRPr="004D46AC">
              <w:t>MINI</w:t>
            </w:r>
          </w:p>
        </w:tc>
        <w:tc>
          <w:tcPr>
            <w:tcW w:w="1147" w:type="dxa"/>
            <w:vAlign w:val="center"/>
          </w:tcPr>
          <w:p w14:paraId="1F608060" w14:textId="77777777" w:rsidR="009864DB" w:rsidRPr="004D46AC" w:rsidRDefault="009864DB" w:rsidP="009864DB">
            <w:pPr>
              <w:spacing w:line="240" w:lineRule="auto"/>
              <w:ind w:firstLine="0"/>
              <w:rPr>
                <w:i/>
                <w:iCs/>
              </w:rPr>
            </w:pPr>
            <w:r w:rsidRPr="004D46AC">
              <w:t>2</w:t>
            </w:r>
          </w:p>
        </w:tc>
        <w:tc>
          <w:tcPr>
            <w:tcW w:w="1178" w:type="dxa"/>
            <w:vAlign w:val="center"/>
          </w:tcPr>
          <w:p w14:paraId="5429AA81" w14:textId="77777777" w:rsidR="009864DB" w:rsidRPr="004D46AC" w:rsidRDefault="009864DB" w:rsidP="009864DB">
            <w:pPr>
              <w:spacing w:line="240" w:lineRule="auto"/>
              <w:ind w:firstLine="0"/>
              <w:rPr>
                <w:i/>
                <w:iCs/>
              </w:rPr>
            </w:pPr>
            <w:r w:rsidRPr="004D46AC">
              <w:t>2</w:t>
            </w:r>
          </w:p>
        </w:tc>
        <w:tc>
          <w:tcPr>
            <w:tcW w:w="1167" w:type="dxa"/>
            <w:vAlign w:val="center"/>
          </w:tcPr>
          <w:p w14:paraId="5D7F0994" w14:textId="77777777" w:rsidR="009864DB" w:rsidRPr="004D46AC" w:rsidRDefault="009864DB" w:rsidP="009864DB">
            <w:pPr>
              <w:spacing w:line="240" w:lineRule="auto"/>
              <w:ind w:firstLine="0"/>
              <w:rPr>
                <w:i/>
                <w:iCs/>
              </w:rPr>
            </w:pPr>
            <w:r w:rsidRPr="004D46AC">
              <w:t>2</w:t>
            </w:r>
          </w:p>
        </w:tc>
        <w:tc>
          <w:tcPr>
            <w:tcW w:w="1162" w:type="dxa"/>
          </w:tcPr>
          <w:p w14:paraId="6D9F5020"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13D1C1E8" w14:textId="77777777" w:rsidR="009864DB" w:rsidRPr="004D46AC" w:rsidRDefault="009864DB" w:rsidP="009864DB">
            <w:pPr>
              <w:spacing w:line="240" w:lineRule="auto"/>
              <w:ind w:firstLine="0"/>
              <w:rPr>
                <w:i/>
                <w:iCs/>
              </w:rPr>
            </w:pPr>
            <w:r w:rsidRPr="004D46AC">
              <w:t>auditory</w:t>
            </w:r>
          </w:p>
        </w:tc>
        <w:tc>
          <w:tcPr>
            <w:tcW w:w="1163" w:type="dxa"/>
            <w:vAlign w:val="center"/>
          </w:tcPr>
          <w:p w14:paraId="71089282" w14:textId="77777777" w:rsidR="009864DB" w:rsidRPr="004D46AC" w:rsidRDefault="009864DB" w:rsidP="009864DB">
            <w:pPr>
              <w:spacing w:line="240" w:lineRule="auto"/>
              <w:ind w:firstLine="0"/>
              <w:rPr>
                <w:i/>
                <w:iCs/>
              </w:rPr>
            </w:pPr>
            <w:r w:rsidRPr="004D46AC">
              <w:t>22</w:t>
            </w:r>
          </w:p>
        </w:tc>
      </w:tr>
      <w:tr w:rsidR="009864DB" w:rsidRPr="004D46AC" w14:paraId="15A34787" w14:textId="77777777" w:rsidTr="00B518F1">
        <w:tc>
          <w:tcPr>
            <w:tcW w:w="1908" w:type="dxa"/>
          </w:tcPr>
          <w:p w14:paraId="45E22A79" w14:textId="77777777" w:rsidR="009864DB" w:rsidRPr="004D46AC" w:rsidRDefault="009864DB" w:rsidP="009864DB">
            <w:pPr>
              <w:spacing w:line="240" w:lineRule="auto"/>
              <w:ind w:firstLine="0"/>
              <w:rPr>
                <w:i/>
                <w:iCs/>
              </w:rPr>
            </w:pPr>
            <w:r w:rsidRPr="004D46AC">
              <w:rPr>
                <w:i/>
                <w:iCs/>
              </w:rPr>
              <w:lastRenderedPageBreak/>
              <w:fldChar w:fldCharType="begin"/>
            </w:r>
            <w:r w:rsidRPr="004D46AC">
              <w:rPr>
                <w:i/>
                <w:iCs/>
              </w:rPr>
              <w:instrText xml:space="preserve"> ADDIN EN.CITE &lt;EndNote&gt;&lt;Cite AuthorYear="1"&gt;&lt;Author&gt;Serretti&lt;/Author&gt;&lt;Year&gt;2002&lt;/Year&gt;&lt;RecNum&gt;48&lt;/RecNum&gt;&lt;DisplayText&gt;Serretti et al. (2002)&lt;/DisplayText&gt;&lt;record&gt;&lt;rec-number&gt;48&lt;/rec-number&gt;&lt;foreign-keys&gt;&lt;key app="EN" db-id="aet009sstawa0hewvt3xwf5atffdw2dt02sw" timestamp="1665047287"&gt;48&lt;/key&gt;&lt;/foreign-keys&gt;&lt;ref-type name="Journal Article"&gt;17&lt;/ref-type&gt;&lt;contributors&gt;&lt;authors&gt;&lt;author&gt;Serretti, A.&lt;/author&gt;&lt;author&gt;Mandelli, L.&lt;/author&gt;&lt;author&gt;Lattuada, E.&lt;/author&gt;&lt;author&gt;Smeraldi, E.&lt;/author&gt;&lt;/authors&gt;&lt;/contributors&gt;&lt;auth-address&gt;Department of Psychiatry, Vita-Salute University, San Raffaele Institute, Milan, Italy.&lt;/auth-address&gt;&lt;titles&gt;&lt;title&gt;Rapid cycling mood disorder: clinical and demographic features&lt;/title&gt;&lt;secondary-title&gt;Compr Psychiatry&lt;/secondary-title&gt;&lt;/titles&gt;&lt;periodical&gt;&lt;full-title&gt;Compr Psychiatry&lt;/full-title&gt;&lt;/periodical&gt;&lt;pages&gt;336-43&lt;/pages&gt;&lt;volume&gt;43&lt;/volume&gt;&lt;number&gt;5&lt;/number&gt;&lt;keywords&gt;&lt;keyword&gt;Adult&lt;/keyword&gt;&lt;keyword&gt;Age Factors&lt;/keyword&gt;&lt;keyword&gt;Bipolar Disorder/*classification/diagnosis&lt;/keyword&gt;&lt;keyword&gt;Female&lt;/keyword&gt;&lt;keyword&gt;Humans&lt;/keyword&gt;&lt;keyword&gt;Interview, Psychological&lt;/keyword&gt;&lt;keyword&gt;Male&lt;/keyword&gt;&lt;keyword&gt;*Periodicity&lt;/keyword&gt;&lt;keyword&gt;Psychiatric Status Rating Scales&lt;/keyword&gt;&lt;keyword&gt;Retrospective Studies&lt;/keyword&gt;&lt;keyword&gt;Self Concept&lt;/keyword&gt;&lt;keyword&gt;Statistics as Topic/methods&lt;/keyword&gt;&lt;keyword&gt;Suicide, Attempted/psychology&lt;/keyword&gt;&lt;/keywords&gt;&lt;dates&gt;&lt;year&gt;2002&lt;/year&gt;&lt;pub-dates&gt;&lt;date&gt;Sep-Oct&lt;/date&gt;&lt;/pub-dates&gt;&lt;/dates&gt;&lt;isbn&gt;0010-440X (Print)&amp;#xD;0010-440X (Linking)&lt;/isbn&gt;&lt;accession-num&gt;12216008&lt;/accession-num&gt;&lt;urls&gt;&lt;related-urls&gt;&lt;url&gt;https://www.ncbi.nlm.nih.gov/pubmed/12216008&lt;/url&gt;&lt;/related-urls&gt;&lt;/urls&gt;&lt;electronic-resource-num&gt;10.1053/comp.2002.34630&lt;/electronic-resource-num&gt;&lt;remote-database-name&gt;Medline&lt;/remote-database-name&gt;&lt;remote-database-provider&gt;NLM&lt;/remote-database-provider&gt;&lt;/record&gt;&lt;/Cite&gt;&lt;/EndNote&gt;</w:instrText>
            </w:r>
            <w:r w:rsidRPr="004D46AC">
              <w:rPr>
                <w:i/>
                <w:iCs/>
              </w:rPr>
              <w:fldChar w:fldCharType="separate"/>
            </w:r>
            <w:r w:rsidRPr="004D46AC">
              <w:rPr>
                <w:i/>
                <w:iCs/>
              </w:rPr>
              <w:t>Serretti et al. (2002)</w:t>
            </w:r>
            <w:r w:rsidRPr="004D46AC">
              <w:fldChar w:fldCharType="end"/>
            </w:r>
          </w:p>
        </w:tc>
        <w:tc>
          <w:tcPr>
            <w:tcW w:w="1198" w:type="dxa"/>
            <w:vAlign w:val="center"/>
          </w:tcPr>
          <w:p w14:paraId="10844D62" w14:textId="77777777" w:rsidR="009864DB" w:rsidRPr="004D46AC" w:rsidRDefault="009864DB" w:rsidP="009864DB">
            <w:pPr>
              <w:spacing w:line="240" w:lineRule="auto"/>
              <w:ind w:firstLine="0"/>
              <w:rPr>
                <w:i/>
                <w:iCs/>
              </w:rPr>
            </w:pPr>
            <w:r w:rsidRPr="004D46AC">
              <w:t>7</w:t>
            </w:r>
          </w:p>
        </w:tc>
        <w:tc>
          <w:tcPr>
            <w:tcW w:w="1178" w:type="dxa"/>
            <w:vAlign w:val="center"/>
          </w:tcPr>
          <w:p w14:paraId="3E9971E2" w14:textId="77777777" w:rsidR="009864DB" w:rsidRPr="004D46AC" w:rsidRDefault="009864DB" w:rsidP="009864DB">
            <w:pPr>
              <w:spacing w:line="240" w:lineRule="auto"/>
              <w:ind w:firstLine="0"/>
              <w:rPr>
                <w:i/>
                <w:iCs/>
              </w:rPr>
            </w:pPr>
            <w:r w:rsidRPr="004D46AC">
              <w:t>44.36</w:t>
            </w:r>
          </w:p>
        </w:tc>
        <w:tc>
          <w:tcPr>
            <w:tcW w:w="1221" w:type="dxa"/>
            <w:vAlign w:val="center"/>
          </w:tcPr>
          <w:p w14:paraId="1FB2B74E" w14:textId="77777777" w:rsidR="009864DB" w:rsidRPr="004D46AC" w:rsidRDefault="009864DB" w:rsidP="009864DB">
            <w:pPr>
              <w:spacing w:line="240" w:lineRule="auto"/>
              <w:ind w:firstLine="0"/>
              <w:rPr>
                <w:i/>
                <w:iCs/>
              </w:rPr>
            </w:pPr>
            <w:r w:rsidRPr="004D46AC">
              <w:t>DSM</w:t>
            </w:r>
          </w:p>
        </w:tc>
        <w:tc>
          <w:tcPr>
            <w:tcW w:w="1415" w:type="dxa"/>
            <w:vAlign w:val="center"/>
          </w:tcPr>
          <w:p w14:paraId="262EFAC3" w14:textId="77777777" w:rsidR="009864DB" w:rsidRPr="004D46AC" w:rsidRDefault="009864DB" w:rsidP="009864DB">
            <w:pPr>
              <w:spacing w:line="240" w:lineRule="auto"/>
              <w:ind w:firstLine="0"/>
              <w:rPr>
                <w:i/>
                <w:iCs/>
              </w:rPr>
            </w:pPr>
            <w:r w:rsidRPr="004D46AC">
              <w:t>OPCRIT</w:t>
            </w:r>
          </w:p>
        </w:tc>
        <w:tc>
          <w:tcPr>
            <w:tcW w:w="1147" w:type="dxa"/>
            <w:vAlign w:val="center"/>
          </w:tcPr>
          <w:p w14:paraId="7356D2FE" w14:textId="77777777" w:rsidR="009864DB" w:rsidRPr="004D46AC" w:rsidRDefault="009864DB" w:rsidP="009864DB">
            <w:pPr>
              <w:spacing w:line="240" w:lineRule="auto"/>
              <w:ind w:firstLine="0"/>
              <w:rPr>
                <w:i/>
                <w:iCs/>
              </w:rPr>
            </w:pPr>
            <w:r w:rsidRPr="004D46AC">
              <w:t>1</w:t>
            </w:r>
          </w:p>
        </w:tc>
        <w:tc>
          <w:tcPr>
            <w:tcW w:w="1178" w:type="dxa"/>
            <w:vAlign w:val="center"/>
          </w:tcPr>
          <w:p w14:paraId="64E95767" w14:textId="77777777" w:rsidR="009864DB" w:rsidRPr="004D46AC" w:rsidRDefault="009864DB" w:rsidP="009864DB">
            <w:pPr>
              <w:spacing w:line="240" w:lineRule="auto"/>
              <w:ind w:firstLine="0"/>
              <w:rPr>
                <w:i/>
                <w:iCs/>
              </w:rPr>
            </w:pPr>
            <w:r w:rsidRPr="004D46AC">
              <w:t>2</w:t>
            </w:r>
          </w:p>
        </w:tc>
        <w:tc>
          <w:tcPr>
            <w:tcW w:w="1167" w:type="dxa"/>
            <w:vAlign w:val="center"/>
          </w:tcPr>
          <w:p w14:paraId="66CAF171" w14:textId="77777777" w:rsidR="009864DB" w:rsidRPr="004D46AC" w:rsidRDefault="009864DB" w:rsidP="009864DB">
            <w:pPr>
              <w:spacing w:line="240" w:lineRule="auto"/>
              <w:ind w:firstLine="0"/>
              <w:rPr>
                <w:i/>
                <w:iCs/>
              </w:rPr>
            </w:pPr>
            <w:r w:rsidRPr="004D46AC">
              <w:t>1</w:t>
            </w:r>
          </w:p>
        </w:tc>
        <w:tc>
          <w:tcPr>
            <w:tcW w:w="1162" w:type="dxa"/>
          </w:tcPr>
          <w:p w14:paraId="129D72E4"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D4D4B74" w14:textId="77777777" w:rsidR="009864DB" w:rsidRPr="004D46AC" w:rsidRDefault="009864DB" w:rsidP="009864DB">
            <w:pPr>
              <w:spacing w:line="240" w:lineRule="auto"/>
              <w:ind w:firstLine="0"/>
              <w:rPr>
                <w:i/>
                <w:iCs/>
              </w:rPr>
            </w:pPr>
            <w:r w:rsidRPr="004D46AC">
              <w:t>any</w:t>
            </w:r>
          </w:p>
        </w:tc>
        <w:tc>
          <w:tcPr>
            <w:tcW w:w="1163" w:type="dxa"/>
            <w:vAlign w:val="center"/>
          </w:tcPr>
          <w:p w14:paraId="59546493" w14:textId="77777777" w:rsidR="009864DB" w:rsidRPr="004D46AC" w:rsidRDefault="009864DB" w:rsidP="009864DB">
            <w:pPr>
              <w:spacing w:line="240" w:lineRule="auto"/>
              <w:ind w:firstLine="0"/>
              <w:rPr>
                <w:i/>
                <w:iCs/>
              </w:rPr>
            </w:pPr>
            <w:r w:rsidRPr="004D46AC">
              <w:t>168</w:t>
            </w:r>
          </w:p>
        </w:tc>
      </w:tr>
      <w:tr w:rsidR="009864DB" w:rsidRPr="004D46AC" w14:paraId="42AA3EF4" w14:textId="77777777" w:rsidTr="00B518F1">
        <w:tc>
          <w:tcPr>
            <w:tcW w:w="1908" w:type="dxa"/>
          </w:tcPr>
          <w:p w14:paraId="33FBBDA4"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PEVuZE5vdGU+PENpdGUgQXV0aG9yWWVhcj0iMSI+PEF1dGhvcj5CdXJ0b248L0F1dGhvcj48WWVh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rPr>
                <w:i/>
                <w:iCs/>
              </w:rPr>
              <w:instrText xml:space="preserve"> ADDIN EN.CITE </w:instrText>
            </w:r>
            <w:r w:rsidRPr="004D46AC">
              <w:rPr>
                <w:i/>
                <w:iCs/>
              </w:rPr>
              <w:fldChar w:fldCharType="begin">
                <w:fldData xml:space="preserve">PEVuZE5vdGU+PENpdGUgQXV0aG9yWWVhcj0iMSI+PEF1dGhvcj5CdXJ0b248L0F1dGhvcj48WWVh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Burton et al. (2018)</w:t>
            </w:r>
            <w:r w:rsidRPr="004D46AC">
              <w:fldChar w:fldCharType="end"/>
            </w:r>
          </w:p>
        </w:tc>
        <w:tc>
          <w:tcPr>
            <w:tcW w:w="1198" w:type="dxa"/>
            <w:vAlign w:val="center"/>
          </w:tcPr>
          <w:p w14:paraId="5BA70DE0" w14:textId="77777777" w:rsidR="009864DB" w:rsidRPr="004D46AC" w:rsidRDefault="009864DB" w:rsidP="009864DB">
            <w:pPr>
              <w:spacing w:line="240" w:lineRule="auto"/>
              <w:ind w:firstLine="0"/>
              <w:rPr>
                <w:i/>
                <w:iCs/>
              </w:rPr>
            </w:pPr>
            <w:r w:rsidRPr="004D46AC">
              <w:t>6</w:t>
            </w:r>
          </w:p>
        </w:tc>
        <w:tc>
          <w:tcPr>
            <w:tcW w:w="1178" w:type="dxa"/>
            <w:vAlign w:val="center"/>
          </w:tcPr>
          <w:p w14:paraId="32CC274A" w14:textId="77777777" w:rsidR="009864DB" w:rsidRPr="004D46AC" w:rsidRDefault="009864DB" w:rsidP="009864DB">
            <w:pPr>
              <w:spacing w:line="240" w:lineRule="auto"/>
              <w:ind w:firstLine="0"/>
              <w:rPr>
                <w:i/>
                <w:iCs/>
              </w:rPr>
            </w:pPr>
            <w:r w:rsidRPr="004D46AC">
              <w:t>40.9</w:t>
            </w:r>
          </w:p>
        </w:tc>
        <w:tc>
          <w:tcPr>
            <w:tcW w:w="1221" w:type="dxa"/>
            <w:vAlign w:val="center"/>
          </w:tcPr>
          <w:p w14:paraId="5D0BFE59" w14:textId="77777777" w:rsidR="009864DB" w:rsidRPr="004D46AC" w:rsidRDefault="009864DB" w:rsidP="009864DB">
            <w:pPr>
              <w:spacing w:line="240" w:lineRule="auto"/>
              <w:ind w:firstLine="0"/>
              <w:rPr>
                <w:i/>
                <w:iCs/>
              </w:rPr>
            </w:pPr>
            <w:r w:rsidRPr="004D46AC">
              <w:t>DSM4</w:t>
            </w:r>
          </w:p>
        </w:tc>
        <w:tc>
          <w:tcPr>
            <w:tcW w:w="1415" w:type="dxa"/>
            <w:vAlign w:val="center"/>
          </w:tcPr>
          <w:p w14:paraId="30298C93" w14:textId="77777777" w:rsidR="009864DB" w:rsidRPr="004D46AC" w:rsidRDefault="009864DB" w:rsidP="009864DB">
            <w:pPr>
              <w:spacing w:line="240" w:lineRule="auto"/>
              <w:ind w:firstLine="0"/>
              <w:rPr>
                <w:i/>
                <w:iCs/>
              </w:rPr>
            </w:pPr>
            <w:r w:rsidRPr="004D46AC">
              <w:t>DIGS</w:t>
            </w:r>
          </w:p>
        </w:tc>
        <w:tc>
          <w:tcPr>
            <w:tcW w:w="1147" w:type="dxa"/>
            <w:vAlign w:val="center"/>
          </w:tcPr>
          <w:p w14:paraId="4502C0FD" w14:textId="77777777" w:rsidR="009864DB" w:rsidRPr="004D46AC" w:rsidRDefault="009864DB" w:rsidP="009864DB">
            <w:pPr>
              <w:spacing w:line="240" w:lineRule="auto"/>
              <w:ind w:firstLine="0"/>
              <w:rPr>
                <w:i/>
                <w:iCs/>
              </w:rPr>
            </w:pPr>
            <w:r w:rsidRPr="004D46AC">
              <w:t>1</w:t>
            </w:r>
          </w:p>
        </w:tc>
        <w:tc>
          <w:tcPr>
            <w:tcW w:w="1178" w:type="dxa"/>
            <w:vAlign w:val="center"/>
          </w:tcPr>
          <w:p w14:paraId="15B27EBB" w14:textId="77777777" w:rsidR="009864DB" w:rsidRPr="004D46AC" w:rsidRDefault="009864DB" w:rsidP="009864DB">
            <w:pPr>
              <w:spacing w:line="240" w:lineRule="auto"/>
              <w:ind w:firstLine="0"/>
              <w:rPr>
                <w:i/>
                <w:iCs/>
              </w:rPr>
            </w:pPr>
            <w:r w:rsidRPr="004D46AC">
              <w:t>unclear</w:t>
            </w:r>
          </w:p>
        </w:tc>
        <w:tc>
          <w:tcPr>
            <w:tcW w:w="1167" w:type="dxa"/>
            <w:vAlign w:val="center"/>
          </w:tcPr>
          <w:p w14:paraId="7BB49715" w14:textId="77777777" w:rsidR="009864DB" w:rsidRPr="004D46AC" w:rsidRDefault="009864DB" w:rsidP="009864DB">
            <w:pPr>
              <w:spacing w:line="240" w:lineRule="auto"/>
              <w:ind w:firstLine="0"/>
              <w:rPr>
                <w:i/>
                <w:iCs/>
              </w:rPr>
            </w:pPr>
            <w:r w:rsidRPr="004D46AC">
              <w:t>1</w:t>
            </w:r>
          </w:p>
        </w:tc>
        <w:tc>
          <w:tcPr>
            <w:tcW w:w="1162" w:type="dxa"/>
          </w:tcPr>
          <w:p w14:paraId="5A1507F3"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3DED0E9" w14:textId="77777777" w:rsidR="009864DB" w:rsidRPr="004D46AC" w:rsidRDefault="009864DB" w:rsidP="009864DB">
            <w:pPr>
              <w:spacing w:line="240" w:lineRule="auto"/>
              <w:ind w:firstLine="0"/>
              <w:rPr>
                <w:i/>
                <w:iCs/>
              </w:rPr>
            </w:pPr>
            <w:r w:rsidRPr="004D46AC">
              <w:t>any</w:t>
            </w:r>
          </w:p>
        </w:tc>
        <w:tc>
          <w:tcPr>
            <w:tcW w:w="1163" w:type="dxa"/>
            <w:vAlign w:val="center"/>
          </w:tcPr>
          <w:p w14:paraId="46018077" w14:textId="77777777" w:rsidR="009864DB" w:rsidRPr="004D46AC" w:rsidRDefault="009864DB" w:rsidP="009864DB">
            <w:pPr>
              <w:spacing w:line="240" w:lineRule="auto"/>
              <w:ind w:firstLine="0"/>
              <w:rPr>
                <w:i/>
                <w:iCs/>
              </w:rPr>
            </w:pPr>
            <w:r w:rsidRPr="004D46AC">
              <w:t>88</w:t>
            </w:r>
          </w:p>
        </w:tc>
      </w:tr>
      <w:tr w:rsidR="009864DB" w:rsidRPr="004D46AC" w14:paraId="038669F6" w14:textId="77777777" w:rsidTr="00B518F1">
        <w:tc>
          <w:tcPr>
            <w:tcW w:w="1908" w:type="dxa"/>
          </w:tcPr>
          <w:p w14:paraId="183DFBCC"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i/>
                <w:iCs/>
              </w:rPr>
              <w:instrText xml:space="preserve"> ADDIN EN.CITE </w:instrText>
            </w:r>
            <w:r w:rsidRPr="004D46AC">
              <w:rPr>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Mancuso et al. (2015)</w:t>
            </w:r>
            <w:r w:rsidRPr="004D46AC">
              <w:fldChar w:fldCharType="end"/>
            </w:r>
          </w:p>
        </w:tc>
        <w:tc>
          <w:tcPr>
            <w:tcW w:w="1198" w:type="dxa"/>
            <w:vAlign w:val="center"/>
          </w:tcPr>
          <w:p w14:paraId="1CF17CD4" w14:textId="77777777" w:rsidR="009864DB" w:rsidRPr="004D46AC" w:rsidRDefault="009864DB" w:rsidP="009864DB">
            <w:pPr>
              <w:spacing w:line="240" w:lineRule="auto"/>
              <w:ind w:firstLine="0"/>
              <w:rPr>
                <w:i/>
                <w:iCs/>
              </w:rPr>
            </w:pPr>
            <w:r w:rsidRPr="004D46AC">
              <w:t>7</w:t>
            </w:r>
          </w:p>
        </w:tc>
        <w:tc>
          <w:tcPr>
            <w:tcW w:w="1178" w:type="dxa"/>
            <w:vAlign w:val="center"/>
          </w:tcPr>
          <w:p w14:paraId="774EA1EF" w14:textId="77777777" w:rsidR="009864DB" w:rsidRPr="004D46AC" w:rsidRDefault="009864DB" w:rsidP="009864DB">
            <w:pPr>
              <w:spacing w:line="240" w:lineRule="auto"/>
              <w:ind w:firstLine="0"/>
              <w:rPr>
                <w:i/>
                <w:iCs/>
              </w:rPr>
            </w:pPr>
            <w:r w:rsidRPr="004D46AC">
              <w:t>40.75</w:t>
            </w:r>
          </w:p>
        </w:tc>
        <w:tc>
          <w:tcPr>
            <w:tcW w:w="1221" w:type="dxa"/>
            <w:vAlign w:val="center"/>
          </w:tcPr>
          <w:p w14:paraId="1EA7549F" w14:textId="77777777" w:rsidR="009864DB" w:rsidRPr="004D46AC" w:rsidRDefault="009864DB" w:rsidP="009864DB">
            <w:pPr>
              <w:spacing w:line="240" w:lineRule="auto"/>
              <w:ind w:firstLine="0"/>
              <w:rPr>
                <w:i/>
                <w:iCs/>
              </w:rPr>
            </w:pPr>
            <w:r w:rsidRPr="004D46AC">
              <w:t>ICD10</w:t>
            </w:r>
          </w:p>
        </w:tc>
        <w:tc>
          <w:tcPr>
            <w:tcW w:w="1415" w:type="dxa"/>
            <w:vAlign w:val="center"/>
          </w:tcPr>
          <w:p w14:paraId="146628E9" w14:textId="77777777" w:rsidR="009864DB" w:rsidRPr="004D46AC" w:rsidRDefault="009864DB" w:rsidP="009864DB">
            <w:pPr>
              <w:spacing w:line="240" w:lineRule="auto"/>
              <w:ind w:firstLine="0"/>
              <w:rPr>
                <w:i/>
                <w:iCs/>
              </w:rPr>
            </w:pPr>
            <w:r w:rsidRPr="004D46AC">
              <w:t>DIP</w:t>
            </w:r>
          </w:p>
        </w:tc>
        <w:tc>
          <w:tcPr>
            <w:tcW w:w="1147" w:type="dxa"/>
            <w:vAlign w:val="center"/>
          </w:tcPr>
          <w:p w14:paraId="2E3C419F" w14:textId="77777777" w:rsidR="009864DB" w:rsidRPr="004D46AC" w:rsidRDefault="009864DB" w:rsidP="009864DB">
            <w:pPr>
              <w:spacing w:line="240" w:lineRule="auto"/>
              <w:ind w:firstLine="0"/>
              <w:rPr>
                <w:i/>
                <w:iCs/>
              </w:rPr>
            </w:pPr>
            <w:r w:rsidRPr="004D46AC">
              <w:t>3</w:t>
            </w:r>
          </w:p>
        </w:tc>
        <w:tc>
          <w:tcPr>
            <w:tcW w:w="1178" w:type="dxa"/>
            <w:vAlign w:val="center"/>
          </w:tcPr>
          <w:p w14:paraId="58AE3578" w14:textId="77777777" w:rsidR="009864DB" w:rsidRPr="004D46AC" w:rsidRDefault="009864DB" w:rsidP="009864DB">
            <w:pPr>
              <w:spacing w:line="240" w:lineRule="auto"/>
              <w:ind w:firstLine="0"/>
              <w:rPr>
                <w:i/>
                <w:iCs/>
              </w:rPr>
            </w:pPr>
            <w:r w:rsidRPr="004D46AC">
              <w:t>unclear</w:t>
            </w:r>
          </w:p>
        </w:tc>
        <w:tc>
          <w:tcPr>
            <w:tcW w:w="1167" w:type="dxa"/>
            <w:vAlign w:val="center"/>
          </w:tcPr>
          <w:p w14:paraId="2E462C17" w14:textId="77777777" w:rsidR="009864DB" w:rsidRPr="004D46AC" w:rsidRDefault="009864DB" w:rsidP="009864DB">
            <w:pPr>
              <w:spacing w:line="240" w:lineRule="auto"/>
              <w:ind w:firstLine="0"/>
              <w:rPr>
                <w:i/>
                <w:iCs/>
              </w:rPr>
            </w:pPr>
            <w:r w:rsidRPr="004D46AC">
              <w:t>3</w:t>
            </w:r>
          </w:p>
        </w:tc>
        <w:tc>
          <w:tcPr>
            <w:tcW w:w="1162" w:type="dxa"/>
          </w:tcPr>
          <w:p w14:paraId="55162C9F"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4EBAA76D" w14:textId="77777777" w:rsidR="009864DB" w:rsidRPr="004D46AC" w:rsidRDefault="009864DB" w:rsidP="009864DB">
            <w:pPr>
              <w:spacing w:line="240" w:lineRule="auto"/>
              <w:ind w:firstLine="0"/>
              <w:rPr>
                <w:i/>
                <w:iCs/>
              </w:rPr>
            </w:pPr>
            <w:r w:rsidRPr="004D46AC">
              <w:t>any</w:t>
            </w:r>
          </w:p>
        </w:tc>
        <w:tc>
          <w:tcPr>
            <w:tcW w:w="1163" w:type="dxa"/>
            <w:vAlign w:val="center"/>
          </w:tcPr>
          <w:p w14:paraId="69B5EE5E" w14:textId="77777777" w:rsidR="009864DB" w:rsidRPr="004D46AC" w:rsidRDefault="009864DB" w:rsidP="009864DB">
            <w:pPr>
              <w:spacing w:line="240" w:lineRule="auto"/>
              <w:ind w:firstLine="0"/>
              <w:rPr>
                <w:i/>
                <w:iCs/>
              </w:rPr>
            </w:pPr>
            <w:r w:rsidRPr="004D46AC">
              <w:t>217</w:t>
            </w:r>
          </w:p>
        </w:tc>
      </w:tr>
      <w:tr w:rsidR="009864DB" w:rsidRPr="004D46AC" w14:paraId="35393E08" w14:textId="77777777" w:rsidTr="00B518F1">
        <w:tc>
          <w:tcPr>
            <w:tcW w:w="1908" w:type="dxa"/>
          </w:tcPr>
          <w:p w14:paraId="569BC5BA"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rPr>
                <w:i/>
                <w:iCs/>
              </w:rPr>
              <w:instrText xml:space="preserve"> ADDIN EN.CITE </w:instrText>
            </w:r>
            <w:r w:rsidRPr="004D46AC">
              <w:rPr>
                <w:i/>
                <w:iCs/>
              </w:rPr>
              <w:fldChar w:fldCharType="begin">
                <w:fldData xml:space="preserve">PEVuZE5vdGU+PENpdGUgQXV0aG9yWWVhcj0iMSI+PEF1dGhvcj5VcHRoZWdyb3ZlPC9BdXRob3I+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Upthegrove et al. (2015)</w:t>
            </w:r>
            <w:r w:rsidRPr="004D46AC">
              <w:fldChar w:fldCharType="end"/>
            </w:r>
          </w:p>
        </w:tc>
        <w:tc>
          <w:tcPr>
            <w:tcW w:w="1198" w:type="dxa"/>
            <w:vAlign w:val="center"/>
          </w:tcPr>
          <w:p w14:paraId="30FD55BA" w14:textId="77777777" w:rsidR="009864DB" w:rsidRPr="004D46AC" w:rsidRDefault="009864DB" w:rsidP="009864DB">
            <w:pPr>
              <w:spacing w:line="240" w:lineRule="auto"/>
              <w:ind w:firstLine="0"/>
              <w:rPr>
                <w:i/>
                <w:iCs/>
              </w:rPr>
            </w:pPr>
            <w:r w:rsidRPr="004D46AC">
              <w:t>6</w:t>
            </w:r>
          </w:p>
        </w:tc>
        <w:tc>
          <w:tcPr>
            <w:tcW w:w="1178" w:type="dxa"/>
            <w:vAlign w:val="center"/>
          </w:tcPr>
          <w:p w14:paraId="01CE7C4B" w14:textId="77777777" w:rsidR="009864DB" w:rsidRPr="004D46AC" w:rsidRDefault="009864DB" w:rsidP="009864DB">
            <w:pPr>
              <w:spacing w:line="240" w:lineRule="auto"/>
              <w:ind w:firstLine="0"/>
              <w:rPr>
                <w:i/>
                <w:iCs/>
              </w:rPr>
            </w:pPr>
            <w:r w:rsidRPr="004D46AC">
              <w:t>47</w:t>
            </w:r>
          </w:p>
        </w:tc>
        <w:tc>
          <w:tcPr>
            <w:tcW w:w="1221" w:type="dxa"/>
            <w:vAlign w:val="center"/>
          </w:tcPr>
          <w:p w14:paraId="6982F3CE" w14:textId="77777777" w:rsidR="009864DB" w:rsidRPr="004D46AC" w:rsidRDefault="009864DB" w:rsidP="009864DB">
            <w:pPr>
              <w:spacing w:line="240" w:lineRule="auto"/>
              <w:ind w:firstLine="0"/>
              <w:rPr>
                <w:i/>
                <w:iCs/>
              </w:rPr>
            </w:pPr>
            <w:r w:rsidRPr="004D46AC">
              <w:t>DSM4</w:t>
            </w:r>
          </w:p>
        </w:tc>
        <w:tc>
          <w:tcPr>
            <w:tcW w:w="1415" w:type="dxa"/>
            <w:vAlign w:val="center"/>
          </w:tcPr>
          <w:p w14:paraId="5FD00645" w14:textId="77777777" w:rsidR="009864DB" w:rsidRPr="004D46AC" w:rsidRDefault="009864DB" w:rsidP="009864DB">
            <w:pPr>
              <w:spacing w:line="240" w:lineRule="auto"/>
              <w:ind w:firstLine="0"/>
              <w:rPr>
                <w:i/>
                <w:iCs/>
              </w:rPr>
            </w:pPr>
            <w:r w:rsidRPr="004D46AC">
              <w:t>SCAN</w:t>
            </w:r>
          </w:p>
        </w:tc>
        <w:tc>
          <w:tcPr>
            <w:tcW w:w="1147" w:type="dxa"/>
            <w:vAlign w:val="center"/>
          </w:tcPr>
          <w:p w14:paraId="4A8D6D24" w14:textId="77777777" w:rsidR="009864DB" w:rsidRPr="004D46AC" w:rsidRDefault="009864DB" w:rsidP="009864DB">
            <w:pPr>
              <w:spacing w:line="240" w:lineRule="auto"/>
              <w:ind w:firstLine="0"/>
              <w:rPr>
                <w:i/>
                <w:iCs/>
              </w:rPr>
            </w:pPr>
            <w:r w:rsidRPr="004D46AC">
              <w:t>2</w:t>
            </w:r>
          </w:p>
        </w:tc>
        <w:tc>
          <w:tcPr>
            <w:tcW w:w="1178" w:type="dxa"/>
            <w:vAlign w:val="center"/>
          </w:tcPr>
          <w:p w14:paraId="2EA0E362" w14:textId="77777777" w:rsidR="009864DB" w:rsidRPr="004D46AC" w:rsidRDefault="009864DB" w:rsidP="009864DB">
            <w:pPr>
              <w:spacing w:line="240" w:lineRule="auto"/>
              <w:ind w:firstLine="0"/>
              <w:rPr>
                <w:i/>
                <w:iCs/>
              </w:rPr>
            </w:pPr>
            <w:r w:rsidRPr="004D46AC">
              <w:t>unclear</w:t>
            </w:r>
          </w:p>
        </w:tc>
        <w:tc>
          <w:tcPr>
            <w:tcW w:w="1167" w:type="dxa"/>
            <w:vAlign w:val="center"/>
          </w:tcPr>
          <w:p w14:paraId="6D3FF041" w14:textId="77777777" w:rsidR="009864DB" w:rsidRPr="004D46AC" w:rsidRDefault="009864DB" w:rsidP="009864DB">
            <w:pPr>
              <w:spacing w:line="240" w:lineRule="auto"/>
              <w:ind w:firstLine="0"/>
              <w:rPr>
                <w:i/>
                <w:iCs/>
              </w:rPr>
            </w:pPr>
            <w:r w:rsidRPr="004D46AC">
              <w:t>2</w:t>
            </w:r>
          </w:p>
        </w:tc>
        <w:tc>
          <w:tcPr>
            <w:tcW w:w="1162" w:type="dxa"/>
          </w:tcPr>
          <w:p w14:paraId="48F0DCA8"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5B4DFA5D" w14:textId="77777777" w:rsidR="009864DB" w:rsidRPr="004D46AC" w:rsidRDefault="009864DB" w:rsidP="009864DB">
            <w:pPr>
              <w:spacing w:line="240" w:lineRule="auto"/>
              <w:ind w:firstLine="0"/>
              <w:rPr>
                <w:i/>
                <w:iCs/>
              </w:rPr>
            </w:pPr>
            <w:r w:rsidRPr="004D46AC">
              <w:t>auditory</w:t>
            </w:r>
          </w:p>
        </w:tc>
        <w:tc>
          <w:tcPr>
            <w:tcW w:w="1163" w:type="dxa"/>
            <w:vAlign w:val="center"/>
          </w:tcPr>
          <w:p w14:paraId="598A99C0" w14:textId="77777777" w:rsidR="009864DB" w:rsidRPr="004D46AC" w:rsidRDefault="009864DB" w:rsidP="009864DB">
            <w:pPr>
              <w:spacing w:line="240" w:lineRule="auto"/>
              <w:ind w:firstLine="0"/>
              <w:rPr>
                <w:i/>
                <w:iCs/>
              </w:rPr>
            </w:pPr>
            <w:r w:rsidRPr="004D46AC">
              <w:t>469</w:t>
            </w:r>
          </w:p>
        </w:tc>
      </w:tr>
      <w:tr w:rsidR="009864DB" w:rsidRPr="004D46AC" w14:paraId="0FBBBEBF" w14:textId="77777777" w:rsidTr="00B518F1">
        <w:tc>
          <w:tcPr>
            <w:tcW w:w="1908" w:type="dxa"/>
          </w:tcPr>
          <w:p w14:paraId="700D863B"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PEVuZE5vdGU+PENpdGUgQXV0aG9yWWVhcj0iMSI+PEF1dGhvcj5HYXJjaWEtR29uemFsZXo8L0F1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</w:fldData>
              </w:fldChar>
            </w:r>
            <w:r w:rsidRPr="004D46AC">
              <w:rPr>
                <w:i/>
                <w:iCs/>
              </w:rPr>
              <w:instrText xml:space="preserve"> ADDIN EN.CITE </w:instrText>
            </w:r>
            <w:r w:rsidRPr="004D46AC">
              <w:rPr>
                <w:i/>
                <w:iCs/>
              </w:rPr>
              <w:fldChar w:fldCharType="begin">
                <w:fldData xml:space="preserve">PEVuZE5vdGU+PENpdGUgQXV0aG9yWWVhcj0iMSI+PEF1dGhvcj5HYXJjaWEtR29uemFsZXo8L0F1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Garcia-Gonzalez et al. (2020)</w:t>
            </w:r>
            <w:r w:rsidRPr="004D46AC">
              <w:fldChar w:fldCharType="end"/>
            </w:r>
          </w:p>
        </w:tc>
        <w:tc>
          <w:tcPr>
            <w:tcW w:w="1198" w:type="dxa"/>
            <w:vAlign w:val="center"/>
          </w:tcPr>
          <w:p w14:paraId="51E370A8" w14:textId="77777777" w:rsidR="009864DB" w:rsidRPr="004D46AC" w:rsidRDefault="009864DB" w:rsidP="009864DB">
            <w:pPr>
              <w:spacing w:line="240" w:lineRule="auto"/>
              <w:ind w:firstLine="0"/>
              <w:rPr>
                <w:i/>
                <w:iCs/>
              </w:rPr>
            </w:pPr>
            <w:r w:rsidRPr="004D46AC">
              <w:t>5</w:t>
            </w:r>
          </w:p>
        </w:tc>
        <w:tc>
          <w:tcPr>
            <w:tcW w:w="1178" w:type="dxa"/>
            <w:vAlign w:val="center"/>
          </w:tcPr>
          <w:p w14:paraId="1D65B42D" w14:textId="77777777" w:rsidR="009864DB" w:rsidRPr="004D46AC" w:rsidRDefault="009864DB" w:rsidP="009864DB">
            <w:pPr>
              <w:spacing w:line="240" w:lineRule="auto"/>
              <w:ind w:firstLine="0"/>
              <w:rPr>
                <w:i/>
                <w:iCs/>
              </w:rPr>
            </w:pPr>
            <w:r w:rsidRPr="004D46AC">
              <w:t>55.93</w:t>
            </w:r>
          </w:p>
        </w:tc>
        <w:tc>
          <w:tcPr>
            <w:tcW w:w="1221" w:type="dxa"/>
            <w:vAlign w:val="center"/>
          </w:tcPr>
          <w:p w14:paraId="61BDDF56" w14:textId="77777777" w:rsidR="009864DB" w:rsidRPr="004D46AC" w:rsidRDefault="009864DB" w:rsidP="009864DB">
            <w:pPr>
              <w:spacing w:line="240" w:lineRule="auto"/>
              <w:ind w:firstLine="0"/>
              <w:rPr>
                <w:i/>
                <w:iCs/>
              </w:rPr>
            </w:pPr>
            <w:r w:rsidRPr="004D46AC">
              <w:t>unclear</w:t>
            </w:r>
          </w:p>
        </w:tc>
        <w:tc>
          <w:tcPr>
            <w:tcW w:w="1415" w:type="dxa"/>
            <w:vAlign w:val="center"/>
          </w:tcPr>
          <w:p w14:paraId="4C2DE0E6" w14:textId="77777777" w:rsidR="009864DB" w:rsidRPr="004D46AC" w:rsidRDefault="009864DB" w:rsidP="009864DB">
            <w:pPr>
              <w:spacing w:line="240" w:lineRule="auto"/>
              <w:ind w:firstLine="0"/>
              <w:rPr>
                <w:i/>
                <w:iCs/>
              </w:rPr>
            </w:pPr>
            <w:r w:rsidRPr="004D46AC">
              <w:t>CIDI</w:t>
            </w:r>
          </w:p>
        </w:tc>
        <w:tc>
          <w:tcPr>
            <w:tcW w:w="1147" w:type="dxa"/>
            <w:vAlign w:val="center"/>
          </w:tcPr>
          <w:p w14:paraId="1719BEA9" w14:textId="77777777" w:rsidR="009864DB" w:rsidRPr="004D46AC" w:rsidRDefault="009864DB" w:rsidP="009864DB">
            <w:pPr>
              <w:spacing w:line="240" w:lineRule="auto"/>
              <w:ind w:firstLine="0"/>
              <w:rPr>
                <w:i/>
                <w:iCs/>
              </w:rPr>
            </w:pPr>
            <w:r w:rsidRPr="004D46AC">
              <w:t>1</w:t>
            </w:r>
          </w:p>
        </w:tc>
        <w:tc>
          <w:tcPr>
            <w:tcW w:w="1178" w:type="dxa"/>
            <w:vAlign w:val="center"/>
          </w:tcPr>
          <w:p w14:paraId="51B40A79" w14:textId="77777777" w:rsidR="009864DB" w:rsidRPr="004D46AC" w:rsidRDefault="009864DB" w:rsidP="009864DB">
            <w:pPr>
              <w:spacing w:line="240" w:lineRule="auto"/>
              <w:ind w:firstLine="0"/>
              <w:rPr>
                <w:i/>
                <w:iCs/>
              </w:rPr>
            </w:pPr>
            <w:r w:rsidRPr="004D46AC">
              <w:t>unclear</w:t>
            </w:r>
          </w:p>
        </w:tc>
        <w:tc>
          <w:tcPr>
            <w:tcW w:w="1167" w:type="dxa"/>
            <w:vAlign w:val="center"/>
          </w:tcPr>
          <w:p w14:paraId="03029CD3" w14:textId="77777777" w:rsidR="009864DB" w:rsidRPr="004D46AC" w:rsidRDefault="009864DB" w:rsidP="009864DB">
            <w:pPr>
              <w:spacing w:line="240" w:lineRule="auto"/>
              <w:ind w:firstLine="0"/>
              <w:rPr>
                <w:i/>
                <w:iCs/>
              </w:rPr>
            </w:pPr>
            <w:r w:rsidRPr="004D46AC">
              <w:t>1</w:t>
            </w:r>
          </w:p>
        </w:tc>
        <w:tc>
          <w:tcPr>
            <w:tcW w:w="1162" w:type="dxa"/>
          </w:tcPr>
          <w:p w14:paraId="16470E77"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F02AD78" w14:textId="77777777" w:rsidR="009864DB" w:rsidRPr="004D46AC" w:rsidRDefault="009864DB" w:rsidP="009864DB">
            <w:pPr>
              <w:spacing w:line="240" w:lineRule="auto"/>
              <w:ind w:firstLine="0"/>
              <w:rPr>
                <w:i/>
                <w:iCs/>
              </w:rPr>
            </w:pPr>
            <w:r w:rsidRPr="004D46AC">
              <w:t>any</w:t>
            </w:r>
          </w:p>
        </w:tc>
        <w:tc>
          <w:tcPr>
            <w:tcW w:w="1163" w:type="dxa"/>
            <w:vAlign w:val="center"/>
          </w:tcPr>
          <w:p w14:paraId="64C5B4F3" w14:textId="77777777" w:rsidR="009864DB" w:rsidRPr="004D46AC" w:rsidRDefault="009864DB" w:rsidP="009864DB">
            <w:pPr>
              <w:spacing w:line="240" w:lineRule="auto"/>
              <w:ind w:firstLine="0"/>
              <w:rPr>
                <w:i/>
                <w:iCs/>
              </w:rPr>
            </w:pPr>
            <w:r w:rsidRPr="004D46AC">
              <w:t>268</w:t>
            </w:r>
          </w:p>
        </w:tc>
      </w:tr>
      <w:tr w:rsidR="009864DB" w:rsidRPr="004D46AC" w14:paraId="5A83BDC4" w14:textId="77777777" w:rsidTr="00B518F1">
        <w:tc>
          <w:tcPr>
            <w:tcW w:w="1908" w:type="dxa"/>
          </w:tcPr>
          <w:p w14:paraId="30917184"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AuthorYear="1"&gt;&lt;Author&gt;Schulze&lt;/Author&gt;&lt;Year&gt;2002&lt;/Year&gt;&lt;RecNum&gt;239&lt;/RecNum&gt;&lt;DisplayText&gt;Schulze et al. (2002)&lt;/DisplayText&gt;&lt;record&gt;&lt;rec-number&gt;239&lt;/rec-number&gt;&lt;foreign-keys&gt;&lt;key app="EN" db-id="aet009sstawa0hewvt3xwf5atffdw2dt02sw" timestamp="1666192267"&gt;239&lt;/key&gt;&lt;/foreign-keys&gt;&lt;ref-type name="Journal Article"&gt;17&lt;/ref-type&gt;&lt;contributors&gt;&lt;authors&gt;&lt;author&gt;Schulze, T. G.&lt;/author&gt;&lt;author&gt;Muller, D. J.&lt;/author&gt;&lt;author&gt;Krauss, H.&lt;/author&gt;&lt;author&gt;Gross, M.&lt;/author&gt;&lt;author&gt;Fangerau-Lefevre, H.&lt;/author&gt;&lt;author&gt;Illes, F.&lt;/author&gt;&lt;author&gt;Ohlraun, S.&lt;/author&gt;&lt;author&gt;Cichon, S.&lt;/author&gt;&lt;author&gt;Held, T.&lt;/author&gt;&lt;author&gt;Propping, P.&lt;/author&gt;&lt;author&gt;Nothen, M. M.&lt;/author&gt;&lt;author&gt;Maier, W.&lt;/author&gt;&lt;author&gt;Rietschel, M.&lt;/author&gt;&lt;/authors&gt;&lt;/contributors&gt;&lt;titles&gt;&lt;title&gt;Further evidence for age of onset being an indicator for severity in bipolar disorder&lt;/title&gt;&lt;secondary-title&gt;J Affect Disord&lt;/secondary-title&gt;&lt;/titles&gt;&lt;periodical&gt;&lt;full-title&gt;J Affect Disord&lt;/full-title&gt;&lt;/periodical&gt;&lt;pages&gt;343-5&lt;/pages&gt;&lt;volume&gt;68&lt;/volume&gt;&lt;number&gt;2-3&lt;/number&gt;&lt;keywords&gt;&lt;keyword&gt;Adult&lt;/keyword&gt;&lt;keyword&gt;Age Factors&lt;/keyword&gt;&lt;keyword&gt;Aged&lt;/keyword&gt;&lt;keyword&gt;Bipolar Disorder/*diagnosis/genetics/psychology&lt;/keyword&gt;&lt;keyword&gt;Female&lt;/keyword&gt;&lt;keyword&gt;Humans&lt;/keyword&gt;&lt;keyword&gt;Male&lt;/keyword&gt;&lt;keyword&gt;Middle Aged&lt;/keyword&gt;&lt;keyword&gt;Phenotype&lt;/keyword&gt;&lt;keyword&gt;Prognosis&lt;/keyword&gt;&lt;keyword&gt;Psychiatric Status Rating Scales&lt;/keyword&gt;&lt;/keywords&gt;&lt;dates&gt;&lt;year&gt;2002&lt;/year&gt;&lt;pub-dates&gt;&lt;date&gt;Apr&lt;/date&gt;&lt;/pub-dates&gt;&lt;/dates&gt;&lt;isbn&gt;0165-0327 (Print)&amp;#xD;0165-0327 (Linking)&lt;/isbn&gt;&lt;accession-num&gt;12063163&lt;/accession-num&gt;&lt;urls&gt;&lt;related-urls&gt;&lt;url&gt;https://www.ncbi.nlm.nih.gov/pubmed/12063163&lt;/url&gt;&lt;/related-urls&gt;&lt;/urls&gt;&lt;electronic-resource-num&gt;10.1016/s0165-0327(01)00306-8&lt;/electronic-resource-num&gt;&lt;remote-database-name&gt;Medline&lt;/remote-database-name&gt;&lt;remote-database-provider&gt;NLM&lt;/remote-database-provider&gt;&lt;/record&gt;&lt;/Cite&gt;&lt;/EndNote&gt;</w:instrText>
            </w:r>
            <w:r w:rsidRPr="004D46AC">
              <w:rPr>
                <w:i/>
                <w:iCs/>
              </w:rPr>
              <w:fldChar w:fldCharType="separate"/>
            </w:r>
            <w:r w:rsidRPr="004D46AC">
              <w:rPr>
                <w:i/>
                <w:iCs/>
              </w:rPr>
              <w:t>Schulze et al. (2002)</w:t>
            </w:r>
            <w:r w:rsidRPr="004D46AC">
              <w:fldChar w:fldCharType="end"/>
            </w:r>
          </w:p>
        </w:tc>
        <w:tc>
          <w:tcPr>
            <w:tcW w:w="1198" w:type="dxa"/>
            <w:vAlign w:val="center"/>
          </w:tcPr>
          <w:p w14:paraId="56BC9D68" w14:textId="77777777" w:rsidR="009864DB" w:rsidRPr="004D46AC" w:rsidRDefault="009864DB" w:rsidP="009864DB">
            <w:pPr>
              <w:spacing w:line="240" w:lineRule="auto"/>
              <w:ind w:firstLine="0"/>
              <w:rPr>
                <w:i/>
                <w:iCs/>
              </w:rPr>
            </w:pPr>
            <w:r w:rsidRPr="004D46AC">
              <w:t>5</w:t>
            </w:r>
          </w:p>
        </w:tc>
        <w:tc>
          <w:tcPr>
            <w:tcW w:w="1178" w:type="dxa"/>
            <w:vAlign w:val="center"/>
          </w:tcPr>
          <w:p w14:paraId="1CEF916D" w14:textId="77777777" w:rsidR="009864DB" w:rsidRPr="004D46AC" w:rsidRDefault="009864DB" w:rsidP="009864DB">
            <w:pPr>
              <w:spacing w:line="240" w:lineRule="auto"/>
              <w:ind w:firstLine="0"/>
              <w:rPr>
                <w:i/>
                <w:iCs/>
              </w:rPr>
            </w:pPr>
            <w:r w:rsidRPr="004D46AC">
              <w:t>43.02</w:t>
            </w:r>
          </w:p>
        </w:tc>
        <w:tc>
          <w:tcPr>
            <w:tcW w:w="1221" w:type="dxa"/>
            <w:vAlign w:val="center"/>
          </w:tcPr>
          <w:p w14:paraId="2DAAB2A1" w14:textId="77777777" w:rsidR="009864DB" w:rsidRPr="004D46AC" w:rsidRDefault="009864DB" w:rsidP="009864DB">
            <w:pPr>
              <w:spacing w:line="240" w:lineRule="auto"/>
              <w:ind w:firstLine="0"/>
              <w:rPr>
                <w:i/>
                <w:iCs/>
              </w:rPr>
            </w:pPr>
            <w:r w:rsidRPr="004D46AC">
              <w:t>DSM4</w:t>
            </w:r>
          </w:p>
        </w:tc>
        <w:tc>
          <w:tcPr>
            <w:tcW w:w="1415" w:type="dxa"/>
            <w:vAlign w:val="center"/>
          </w:tcPr>
          <w:p w14:paraId="08938E87" w14:textId="77777777" w:rsidR="009864DB" w:rsidRPr="004D46AC" w:rsidRDefault="009864DB" w:rsidP="009864DB">
            <w:pPr>
              <w:spacing w:line="240" w:lineRule="auto"/>
              <w:ind w:firstLine="0"/>
              <w:rPr>
                <w:i/>
                <w:iCs/>
              </w:rPr>
            </w:pPr>
            <w:r w:rsidRPr="004D46AC">
              <w:t>mixed</w:t>
            </w:r>
          </w:p>
        </w:tc>
        <w:tc>
          <w:tcPr>
            <w:tcW w:w="1147" w:type="dxa"/>
            <w:vAlign w:val="center"/>
          </w:tcPr>
          <w:p w14:paraId="1FCF81D3" w14:textId="77777777" w:rsidR="009864DB" w:rsidRPr="004D46AC" w:rsidRDefault="009864DB" w:rsidP="009864DB">
            <w:pPr>
              <w:spacing w:line="240" w:lineRule="auto"/>
              <w:ind w:firstLine="0"/>
              <w:rPr>
                <w:i/>
                <w:iCs/>
              </w:rPr>
            </w:pPr>
            <w:r w:rsidRPr="004D46AC">
              <w:t>1</w:t>
            </w:r>
          </w:p>
        </w:tc>
        <w:tc>
          <w:tcPr>
            <w:tcW w:w="1178" w:type="dxa"/>
            <w:vAlign w:val="center"/>
          </w:tcPr>
          <w:p w14:paraId="76B438A4" w14:textId="77777777" w:rsidR="009864DB" w:rsidRPr="004D46AC" w:rsidRDefault="009864DB" w:rsidP="009864DB">
            <w:pPr>
              <w:spacing w:line="240" w:lineRule="auto"/>
              <w:ind w:firstLine="0"/>
              <w:rPr>
                <w:i/>
                <w:iCs/>
              </w:rPr>
            </w:pPr>
            <w:r w:rsidRPr="004D46AC">
              <w:t>3</w:t>
            </w:r>
          </w:p>
        </w:tc>
        <w:tc>
          <w:tcPr>
            <w:tcW w:w="1167" w:type="dxa"/>
            <w:vAlign w:val="center"/>
          </w:tcPr>
          <w:p w14:paraId="7AEDE63C" w14:textId="77777777" w:rsidR="009864DB" w:rsidRPr="004D46AC" w:rsidRDefault="009864DB" w:rsidP="009864DB">
            <w:pPr>
              <w:spacing w:line="240" w:lineRule="auto"/>
              <w:ind w:firstLine="0"/>
              <w:rPr>
                <w:i/>
                <w:iCs/>
              </w:rPr>
            </w:pPr>
            <w:r w:rsidRPr="004D46AC">
              <w:t>1</w:t>
            </w:r>
          </w:p>
        </w:tc>
        <w:tc>
          <w:tcPr>
            <w:tcW w:w="1162" w:type="dxa"/>
          </w:tcPr>
          <w:p w14:paraId="13A672FA"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39598F0" w14:textId="77777777" w:rsidR="009864DB" w:rsidRPr="004D46AC" w:rsidRDefault="009864DB" w:rsidP="009864DB">
            <w:pPr>
              <w:spacing w:line="240" w:lineRule="auto"/>
              <w:ind w:firstLine="0"/>
              <w:rPr>
                <w:i/>
                <w:iCs/>
              </w:rPr>
            </w:pPr>
            <w:r w:rsidRPr="004D46AC">
              <w:t>any</w:t>
            </w:r>
          </w:p>
        </w:tc>
        <w:tc>
          <w:tcPr>
            <w:tcW w:w="1163" w:type="dxa"/>
            <w:vAlign w:val="center"/>
          </w:tcPr>
          <w:p w14:paraId="4D193143" w14:textId="77777777" w:rsidR="009864DB" w:rsidRPr="004D46AC" w:rsidRDefault="009864DB" w:rsidP="009864DB">
            <w:pPr>
              <w:spacing w:line="240" w:lineRule="auto"/>
              <w:ind w:firstLine="0"/>
              <w:rPr>
                <w:i/>
                <w:iCs/>
              </w:rPr>
            </w:pPr>
            <w:r w:rsidRPr="004D46AC">
              <w:t>20</w:t>
            </w:r>
          </w:p>
        </w:tc>
      </w:tr>
      <w:tr w:rsidR="009864DB" w:rsidRPr="004D46AC" w14:paraId="6BD4B664" w14:textId="77777777" w:rsidTr="00B518F1">
        <w:tc>
          <w:tcPr>
            <w:tcW w:w="1908" w:type="dxa"/>
          </w:tcPr>
          <w:p w14:paraId="0B13EDA9"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PEVuZE5vdGU+PENpdGUgQXV0aG9yWWVhcj0iMSI+PEF1dGhvcj5Ub3N0PC9BdXRob3I+PFllYXI+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rPr>
                <w:i/>
                <w:iCs/>
              </w:rPr>
              <w:instrText xml:space="preserve"> ADDIN EN.CITE </w:instrText>
            </w:r>
            <w:r w:rsidRPr="004D46AC">
              <w:rPr>
                <w:i/>
                <w:iCs/>
              </w:rPr>
              <w:fldChar w:fldCharType="begin">
                <w:fldData xml:space="preserve">PEVuZE5vdGU+PENpdGUgQXV0aG9yWWVhcj0iMSI+PEF1dGhvcj5Ub3N0PC9BdXRob3I+PFllYXI+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Tost et al. (2010)</w:t>
            </w:r>
            <w:r w:rsidRPr="004D46AC">
              <w:fldChar w:fldCharType="end"/>
            </w:r>
          </w:p>
        </w:tc>
        <w:tc>
          <w:tcPr>
            <w:tcW w:w="1198" w:type="dxa"/>
            <w:vAlign w:val="center"/>
          </w:tcPr>
          <w:p w14:paraId="16911DA0" w14:textId="77777777" w:rsidR="009864DB" w:rsidRPr="004D46AC" w:rsidRDefault="009864DB" w:rsidP="009864DB">
            <w:pPr>
              <w:spacing w:line="240" w:lineRule="auto"/>
              <w:ind w:firstLine="0"/>
              <w:rPr>
                <w:i/>
                <w:iCs/>
              </w:rPr>
            </w:pPr>
            <w:r w:rsidRPr="004D46AC">
              <w:t>6</w:t>
            </w:r>
          </w:p>
        </w:tc>
        <w:tc>
          <w:tcPr>
            <w:tcW w:w="1178" w:type="dxa"/>
            <w:vAlign w:val="center"/>
          </w:tcPr>
          <w:p w14:paraId="582A4390" w14:textId="77777777" w:rsidR="009864DB" w:rsidRPr="004D46AC" w:rsidRDefault="009864DB" w:rsidP="009864DB">
            <w:pPr>
              <w:spacing w:line="240" w:lineRule="auto"/>
              <w:ind w:firstLine="0"/>
              <w:rPr>
                <w:i/>
                <w:iCs/>
              </w:rPr>
            </w:pPr>
            <w:r w:rsidRPr="004D46AC">
              <w:t>42.4</w:t>
            </w:r>
          </w:p>
        </w:tc>
        <w:tc>
          <w:tcPr>
            <w:tcW w:w="1221" w:type="dxa"/>
            <w:vAlign w:val="center"/>
          </w:tcPr>
          <w:p w14:paraId="686ECD3E" w14:textId="77777777" w:rsidR="009864DB" w:rsidRPr="004D46AC" w:rsidRDefault="009864DB" w:rsidP="009864DB">
            <w:pPr>
              <w:spacing w:line="240" w:lineRule="auto"/>
              <w:ind w:firstLine="0"/>
              <w:rPr>
                <w:i/>
                <w:iCs/>
              </w:rPr>
            </w:pPr>
            <w:r w:rsidRPr="004D46AC">
              <w:t>DSM4</w:t>
            </w:r>
          </w:p>
        </w:tc>
        <w:tc>
          <w:tcPr>
            <w:tcW w:w="1415" w:type="dxa"/>
            <w:vAlign w:val="center"/>
          </w:tcPr>
          <w:p w14:paraId="7DC4ACDF" w14:textId="77777777" w:rsidR="009864DB" w:rsidRPr="004D46AC" w:rsidRDefault="009864DB" w:rsidP="009864DB">
            <w:pPr>
              <w:spacing w:line="240" w:lineRule="auto"/>
              <w:ind w:firstLine="0"/>
              <w:rPr>
                <w:i/>
                <w:iCs/>
              </w:rPr>
            </w:pPr>
            <w:r w:rsidRPr="004D46AC">
              <w:t>SCID</w:t>
            </w:r>
          </w:p>
        </w:tc>
        <w:tc>
          <w:tcPr>
            <w:tcW w:w="1147" w:type="dxa"/>
            <w:vAlign w:val="center"/>
          </w:tcPr>
          <w:p w14:paraId="7D28CFAF" w14:textId="77777777" w:rsidR="009864DB" w:rsidRPr="004D46AC" w:rsidRDefault="009864DB" w:rsidP="009864DB">
            <w:pPr>
              <w:spacing w:line="240" w:lineRule="auto"/>
              <w:ind w:firstLine="0"/>
              <w:rPr>
                <w:i/>
                <w:iCs/>
              </w:rPr>
            </w:pPr>
            <w:r w:rsidRPr="004D46AC">
              <w:t>2</w:t>
            </w:r>
          </w:p>
        </w:tc>
        <w:tc>
          <w:tcPr>
            <w:tcW w:w="1178" w:type="dxa"/>
            <w:vAlign w:val="center"/>
          </w:tcPr>
          <w:p w14:paraId="21B46356" w14:textId="77777777" w:rsidR="009864DB" w:rsidRPr="004D46AC" w:rsidRDefault="009864DB" w:rsidP="009864DB">
            <w:pPr>
              <w:spacing w:line="240" w:lineRule="auto"/>
              <w:ind w:firstLine="0"/>
              <w:rPr>
                <w:i/>
                <w:iCs/>
              </w:rPr>
            </w:pPr>
            <w:r w:rsidRPr="004D46AC">
              <w:t>3</w:t>
            </w:r>
          </w:p>
        </w:tc>
        <w:tc>
          <w:tcPr>
            <w:tcW w:w="1167" w:type="dxa"/>
            <w:vAlign w:val="center"/>
          </w:tcPr>
          <w:p w14:paraId="2053B056" w14:textId="77777777" w:rsidR="009864DB" w:rsidRPr="004D46AC" w:rsidRDefault="009864DB" w:rsidP="009864DB">
            <w:pPr>
              <w:spacing w:line="240" w:lineRule="auto"/>
              <w:ind w:firstLine="0"/>
              <w:rPr>
                <w:i/>
                <w:iCs/>
              </w:rPr>
            </w:pPr>
            <w:r w:rsidRPr="004D46AC">
              <w:t>2</w:t>
            </w:r>
          </w:p>
        </w:tc>
        <w:tc>
          <w:tcPr>
            <w:tcW w:w="1162" w:type="dxa"/>
          </w:tcPr>
          <w:p w14:paraId="45A0A1C4"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E6AC3D4" w14:textId="77777777" w:rsidR="009864DB" w:rsidRPr="004D46AC" w:rsidRDefault="009864DB" w:rsidP="009864DB">
            <w:pPr>
              <w:spacing w:line="240" w:lineRule="auto"/>
              <w:ind w:firstLine="0"/>
              <w:rPr>
                <w:i/>
                <w:iCs/>
              </w:rPr>
            </w:pPr>
            <w:r w:rsidRPr="004D46AC">
              <w:t>any</w:t>
            </w:r>
          </w:p>
        </w:tc>
        <w:tc>
          <w:tcPr>
            <w:tcW w:w="1163" w:type="dxa"/>
            <w:vAlign w:val="center"/>
          </w:tcPr>
          <w:p w14:paraId="20E77DE0" w14:textId="77777777" w:rsidR="009864DB" w:rsidRPr="004D46AC" w:rsidRDefault="009864DB" w:rsidP="009864DB">
            <w:pPr>
              <w:spacing w:line="240" w:lineRule="auto"/>
              <w:ind w:firstLine="0"/>
              <w:rPr>
                <w:i/>
                <w:iCs/>
              </w:rPr>
            </w:pPr>
            <w:r w:rsidRPr="004D46AC">
              <w:t>8</w:t>
            </w:r>
          </w:p>
        </w:tc>
      </w:tr>
      <w:tr w:rsidR="009864DB" w:rsidRPr="004D46AC" w14:paraId="70F51BC7" w14:textId="77777777" w:rsidTr="00B518F1">
        <w:tc>
          <w:tcPr>
            <w:tcW w:w="1908" w:type="dxa"/>
          </w:tcPr>
          <w:p w14:paraId="5A66071F"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PEVuZE5vdGU+PENpdGUgQXV0aG9yWWVhcj0iMSI+PEF1dGhvcj5PbGZzb248L0F1dGhvcj48WWVh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=
</w:fldData>
              </w:fldChar>
            </w:r>
            <w:r w:rsidRPr="004D46AC">
              <w:rPr>
                <w:i/>
                <w:iCs/>
              </w:rPr>
              <w:instrText xml:space="preserve"> ADDIN EN.CITE </w:instrText>
            </w:r>
            <w:r w:rsidRPr="004D46AC">
              <w:rPr>
                <w:i/>
                <w:iCs/>
              </w:rPr>
              <w:fldChar w:fldCharType="begin">
                <w:fldData xml:space="preserve">PEVuZE5vdGU+PENpdGUgQXV0aG9yWWVhcj0iMSI+PEF1dGhvcj5PbGZzb248L0F1dGhvcj48WWVh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=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Olfson et al. (2005)</w:t>
            </w:r>
            <w:r w:rsidRPr="004D46AC">
              <w:fldChar w:fldCharType="end"/>
            </w:r>
          </w:p>
        </w:tc>
        <w:tc>
          <w:tcPr>
            <w:tcW w:w="1198" w:type="dxa"/>
            <w:vAlign w:val="center"/>
          </w:tcPr>
          <w:p w14:paraId="172C2694" w14:textId="77777777" w:rsidR="009864DB" w:rsidRPr="004D46AC" w:rsidRDefault="009864DB" w:rsidP="009864DB">
            <w:pPr>
              <w:spacing w:line="240" w:lineRule="auto"/>
              <w:ind w:firstLine="0"/>
              <w:rPr>
                <w:i/>
                <w:iCs/>
              </w:rPr>
            </w:pPr>
            <w:r w:rsidRPr="004D46AC">
              <w:t>6</w:t>
            </w:r>
          </w:p>
        </w:tc>
        <w:tc>
          <w:tcPr>
            <w:tcW w:w="1178" w:type="dxa"/>
            <w:vAlign w:val="center"/>
          </w:tcPr>
          <w:p w14:paraId="13D0A7FA" w14:textId="77777777" w:rsidR="009864DB" w:rsidRPr="004D46AC" w:rsidRDefault="009864DB" w:rsidP="009864DB">
            <w:pPr>
              <w:spacing w:line="240" w:lineRule="auto"/>
              <w:ind w:firstLine="0"/>
              <w:rPr>
                <w:i/>
                <w:iCs/>
              </w:rPr>
            </w:pPr>
            <w:r w:rsidRPr="004D46AC">
              <w:t>NA</w:t>
            </w:r>
          </w:p>
        </w:tc>
        <w:tc>
          <w:tcPr>
            <w:tcW w:w="1221" w:type="dxa"/>
            <w:vAlign w:val="center"/>
          </w:tcPr>
          <w:p w14:paraId="46C8DBBD" w14:textId="77777777" w:rsidR="009864DB" w:rsidRPr="004D46AC" w:rsidRDefault="009864DB" w:rsidP="009864DB">
            <w:pPr>
              <w:spacing w:line="240" w:lineRule="auto"/>
              <w:ind w:firstLine="0"/>
              <w:rPr>
                <w:i/>
                <w:iCs/>
              </w:rPr>
            </w:pPr>
            <w:r w:rsidRPr="004D46AC">
              <w:t>DSM4</w:t>
            </w:r>
          </w:p>
        </w:tc>
        <w:tc>
          <w:tcPr>
            <w:tcW w:w="1415" w:type="dxa"/>
            <w:vAlign w:val="center"/>
          </w:tcPr>
          <w:p w14:paraId="22A2CB29" w14:textId="77777777" w:rsidR="009864DB" w:rsidRPr="004D46AC" w:rsidRDefault="009864DB" w:rsidP="009864DB">
            <w:pPr>
              <w:spacing w:line="240" w:lineRule="auto"/>
              <w:ind w:firstLine="0"/>
              <w:rPr>
                <w:i/>
                <w:iCs/>
              </w:rPr>
            </w:pPr>
            <w:r w:rsidRPr="004D46AC">
              <w:t>MINI</w:t>
            </w:r>
          </w:p>
        </w:tc>
        <w:tc>
          <w:tcPr>
            <w:tcW w:w="1147" w:type="dxa"/>
            <w:vAlign w:val="center"/>
          </w:tcPr>
          <w:p w14:paraId="5A58B424" w14:textId="77777777" w:rsidR="009864DB" w:rsidRPr="004D46AC" w:rsidRDefault="009864DB" w:rsidP="009864DB">
            <w:pPr>
              <w:spacing w:line="240" w:lineRule="auto"/>
              <w:ind w:firstLine="0"/>
              <w:rPr>
                <w:i/>
                <w:iCs/>
              </w:rPr>
            </w:pPr>
            <w:r w:rsidRPr="004D46AC">
              <w:t>1</w:t>
            </w:r>
          </w:p>
        </w:tc>
        <w:tc>
          <w:tcPr>
            <w:tcW w:w="1178" w:type="dxa"/>
            <w:vAlign w:val="center"/>
          </w:tcPr>
          <w:p w14:paraId="1803B786" w14:textId="77777777" w:rsidR="009864DB" w:rsidRPr="004D46AC" w:rsidRDefault="009864DB" w:rsidP="009864DB">
            <w:pPr>
              <w:spacing w:line="240" w:lineRule="auto"/>
              <w:ind w:firstLine="0"/>
              <w:rPr>
                <w:i/>
                <w:iCs/>
              </w:rPr>
            </w:pPr>
            <w:r w:rsidRPr="004D46AC">
              <w:t>1</w:t>
            </w:r>
          </w:p>
        </w:tc>
        <w:tc>
          <w:tcPr>
            <w:tcW w:w="1167" w:type="dxa"/>
            <w:vAlign w:val="center"/>
          </w:tcPr>
          <w:p w14:paraId="61A45F7A" w14:textId="77777777" w:rsidR="009864DB" w:rsidRPr="004D46AC" w:rsidRDefault="009864DB" w:rsidP="009864DB">
            <w:pPr>
              <w:spacing w:line="240" w:lineRule="auto"/>
              <w:ind w:firstLine="0"/>
              <w:rPr>
                <w:i/>
                <w:iCs/>
              </w:rPr>
            </w:pPr>
            <w:r w:rsidRPr="004D46AC">
              <w:t>1</w:t>
            </w:r>
          </w:p>
        </w:tc>
        <w:tc>
          <w:tcPr>
            <w:tcW w:w="1162" w:type="dxa"/>
          </w:tcPr>
          <w:p w14:paraId="79EFB651"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C3229F3" w14:textId="77777777" w:rsidR="009864DB" w:rsidRPr="004D46AC" w:rsidRDefault="009864DB" w:rsidP="009864DB">
            <w:pPr>
              <w:spacing w:line="240" w:lineRule="auto"/>
              <w:ind w:firstLine="0"/>
              <w:rPr>
                <w:i/>
                <w:iCs/>
              </w:rPr>
            </w:pPr>
            <w:r w:rsidRPr="004D46AC">
              <w:t>any</w:t>
            </w:r>
          </w:p>
        </w:tc>
        <w:tc>
          <w:tcPr>
            <w:tcW w:w="1163" w:type="dxa"/>
            <w:vAlign w:val="center"/>
          </w:tcPr>
          <w:p w14:paraId="2B80381B" w14:textId="77777777" w:rsidR="009864DB" w:rsidRPr="004D46AC" w:rsidRDefault="009864DB" w:rsidP="009864DB">
            <w:pPr>
              <w:spacing w:line="240" w:lineRule="auto"/>
              <w:ind w:firstLine="0"/>
              <w:rPr>
                <w:i/>
                <w:iCs/>
              </w:rPr>
            </w:pPr>
            <w:r w:rsidRPr="004D46AC">
              <w:t>38</w:t>
            </w:r>
          </w:p>
        </w:tc>
      </w:tr>
      <w:tr w:rsidR="009864DB" w:rsidRPr="004D46AC" w14:paraId="4C4A23E3" w14:textId="77777777" w:rsidTr="00B518F1">
        <w:tc>
          <w:tcPr>
            <w:tcW w:w="1908" w:type="dxa"/>
          </w:tcPr>
          <w:p w14:paraId="06379570"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PEVuZE5vdGU+PENpdGUgQXV0aG9yWWVhcj0iMSI+PEF1dGhvcj5Ba2luaGFubWk8L0F1dGhvcj48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rPr>
                <w:i/>
                <w:iCs/>
              </w:rPr>
              <w:instrText xml:space="preserve"> ADDIN EN.CITE </w:instrText>
            </w:r>
            <w:r w:rsidRPr="004D46AC">
              <w:rPr>
                <w:i/>
                <w:iCs/>
              </w:rPr>
              <w:fldChar w:fldCharType="begin">
                <w:fldData xml:space="preserve">PEVuZE5vdGU+PENpdGUgQXV0aG9yWWVhcj0iMSI+PEF1dGhvcj5Ba2luaGFubWk8L0F1dGhvcj48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Akinhanmi et al. (2020)</w:t>
            </w:r>
            <w:r w:rsidRPr="004D46AC">
              <w:fldChar w:fldCharType="end"/>
            </w:r>
          </w:p>
        </w:tc>
        <w:tc>
          <w:tcPr>
            <w:tcW w:w="1198" w:type="dxa"/>
            <w:vAlign w:val="center"/>
          </w:tcPr>
          <w:p w14:paraId="1D6C8BC8" w14:textId="77777777" w:rsidR="009864DB" w:rsidRPr="004D46AC" w:rsidRDefault="009864DB" w:rsidP="009864DB">
            <w:pPr>
              <w:spacing w:line="240" w:lineRule="auto"/>
              <w:ind w:firstLine="0"/>
              <w:rPr>
                <w:i/>
                <w:iCs/>
              </w:rPr>
            </w:pPr>
            <w:r w:rsidRPr="004D46AC">
              <w:t>5</w:t>
            </w:r>
          </w:p>
        </w:tc>
        <w:tc>
          <w:tcPr>
            <w:tcW w:w="1178" w:type="dxa"/>
            <w:vAlign w:val="center"/>
          </w:tcPr>
          <w:p w14:paraId="683B43EE" w14:textId="77777777" w:rsidR="009864DB" w:rsidRPr="004D46AC" w:rsidRDefault="009864DB" w:rsidP="009864DB">
            <w:pPr>
              <w:spacing w:line="240" w:lineRule="auto"/>
              <w:ind w:firstLine="0"/>
              <w:rPr>
                <w:i/>
                <w:iCs/>
              </w:rPr>
            </w:pPr>
            <w:r w:rsidRPr="004D46AC">
              <w:t>41.81</w:t>
            </w:r>
          </w:p>
        </w:tc>
        <w:tc>
          <w:tcPr>
            <w:tcW w:w="1221" w:type="dxa"/>
            <w:vAlign w:val="center"/>
          </w:tcPr>
          <w:p w14:paraId="44A9FE37" w14:textId="77777777" w:rsidR="009864DB" w:rsidRPr="004D46AC" w:rsidRDefault="009864DB" w:rsidP="009864DB">
            <w:pPr>
              <w:spacing w:line="240" w:lineRule="auto"/>
              <w:ind w:firstLine="0"/>
              <w:rPr>
                <w:i/>
                <w:iCs/>
              </w:rPr>
            </w:pPr>
            <w:r w:rsidRPr="004D46AC">
              <w:t>unclear</w:t>
            </w:r>
          </w:p>
        </w:tc>
        <w:tc>
          <w:tcPr>
            <w:tcW w:w="1415" w:type="dxa"/>
            <w:vAlign w:val="center"/>
          </w:tcPr>
          <w:p w14:paraId="488A6E61" w14:textId="77777777" w:rsidR="009864DB" w:rsidRPr="004D46AC" w:rsidRDefault="009864DB" w:rsidP="009864DB">
            <w:pPr>
              <w:spacing w:line="240" w:lineRule="auto"/>
              <w:ind w:firstLine="0"/>
              <w:rPr>
                <w:i/>
                <w:iCs/>
              </w:rPr>
            </w:pPr>
            <w:r w:rsidRPr="004D46AC">
              <w:t>DIGS</w:t>
            </w:r>
          </w:p>
        </w:tc>
        <w:tc>
          <w:tcPr>
            <w:tcW w:w="1147" w:type="dxa"/>
            <w:vAlign w:val="center"/>
          </w:tcPr>
          <w:p w14:paraId="01B95662" w14:textId="77777777" w:rsidR="009864DB" w:rsidRPr="004D46AC" w:rsidRDefault="009864DB" w:rsidP="009864DB">
            <w:pPr>
              <w:spacing w:line="240" w:lineRule="auto"/>
              <w:ind w:firstLine="0"/>
              <w:rPr>
                <w:i/>
                <w:iCs/>
              </w:rPr>
            </w:pPr>
            <w:r w:rsidRPr="004D46AC">
              <w:t>2</w:t>
            </w:r>
          </w:p>
        </w:tc>
        <w:tc>
          <w:tcPr>
            <w:tcW w:w="1178" w:type="dxa"/>
            <w:vAlign w:val="center"/>
          </w:tcPr>
          <w:p w14:paraId="3E33AA98" w14:textId="77777777" w:rsidR="009864DB" w:rsidRPr="004D46AC" w:rsidRDefault="009864DB" w:rsidP="009864DB">
            <w:pPr>
              <w:spacing w:line="240" w:lineRule="auto"/>
              <w:ind w:firstLine="0"/>
              <w:rPr>
                <w:i/>
                <w:iCs/>
              </w:rPr>
            </w:pPr>
            <w:r w:rsidRPr="004D46AC">
              <w:t>unclear</w:t>
            </w:r>
          </w:p>
        </w:tc>
        <w:tc>
          <w:tcPr>
            <w:tcW w:w="1167" w:type="dxa"/>
            <w:vAlign w:val="center"/>
          </w:tcPr>
          <w:p w14:paraId="5F245D84" w14:textId="77777777" w:rsidR="009864DB" w:rsidRPr="004D46AC" w:rsidRDefault="009864DB" w:rsidP="009864DB">
            <w:pPr>
              <w:spacing w:line="240" w:lineRule="auto"/>
              <w:ind w:firstLine="0"/>
              <w:rPr>
                <w:i/>
                <w:iCs/>
              </w:rPr>
            </w:pPr>
            <w:r w:rsidRPr="004D46AC">
              <w:t>2</w:t>
            </w:r>
          </w:p>
        </w:tc>
        <w:tc>
          <w:tcPr>
            <w:tcW w:w="1162" w:type="dxa"/>
          </w:tcPr>
          <w:p w14:paraId="112468B3"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CD1430A" w14:textId="77777777" w:rsidR="009864DB" w:rsidRPr="004D46AC" w:rsidRDefault="009864DB" w:rsidP="009864DB">
            <w:pPr>
              <w:spacing w:line="240" w:lineRule="auto"/>
              <w:ind w:firstLine="0"/>
              <w:rPr>
                <w:i/>
                <w:iCs/>
              </w:rPr>
            </w:pPr>
            <w:r w:rsidRPr="004D46AC">
              <w:t>any</w:t>
            </w:r>
          </w:p>
        </w:tc>
        <w:tc>
          <w:tcPr>
            <w:tcW w:w="1163" w:type="dxa"/>
            <w:vAlign w:val="center"/>
          </w:tcPr>
          <w:p w14:paraId="4305B052" w14:textId="77777777" w:rsidR="009864DB" w:rsidRPr="004D46AC" w:rsidRDefault="009864DB" w:rsidP="009864DB">
            <w:pPr>
              <w:spacing w:line="240" w:lineRule="auto"/>
              <w:ind w:firstLine="0"/>
              <w:rPr>
                <w:i/>
                <w:iCs/>
              </w:rPr>
            </w:pPr>
            <w:r w:rsidRPr="004D46AC">
              <w:t>212</w:t>
            </w:r>
          </w:p>
        </w:tc>
      </w:tr>
      <w:tr w:rsidR="009864DB" w:rsidRPr="004D46AC" w14:paraId="27C6E082" w14:textId="77777777" w:rsidTr="00B518F1">
        <w:tc>
          <w:tcPr>
            <w:tcW w:w="1908" w:type="dxa"/>
          </w:tcPr>
          <w:p w14:paraId="534F9D18"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rPr>
                <w:i/>
                <w:iCs/>
              </w:rPr>
              <w:instrText xml:space="preserve"> ADDIN EN.CITE </w:instrText>
            </w:r>
            <w:r w:rsidRPr="004D46AC">
              <w:rPr>
                <w:i/>
                <w:iCs/>
              </w:rPr>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Perlman et al. (2016)</w:t>
            </w:r>
            <w:r w:rsidRPr="004D46AC">
              <w:fldChar w:fldCharType="end"/>
            </w:r>
          </w:p>
        </w:tc>
        <w:tc>
          <w:tcPr>
            <w:tcW w:w="1198" w:type="dxa"/>
            <w:vAlign w:val="center"/>
          </w:tcPr>
          <w:p w14:paraId="304A958F" w14:textId="77777777" w:rsidR="009864DB" w:rsidRPr="004D46AC" w:rsidRDefault="009864DB" w:rsidP="009864DB">
            <w:pPr>
              <w:spacing w:line="240" w:lineRule="auto"/>
              <w:ind w:firstLine="0"/>
              <w:rPr>
                <w:i/>
                <w:iCs/>
              </w:rPr>
            </w:pPr>
            <w:r w:rsidRPr="004D46AC">
              <w:t>5</w:t>
            </w:r>
          </w:p>
        </w:tc>
        <w:tc>
          <w:tcPr>
            <w:tcW w:w="1178" w:type="dxa"/>
            <w:vAlign w:val="center"/>
          </w:tcPr>
          <w:p w14:paraId="385861BF" w14:textId="77777777" w:rsidR="009864DB" w:rsidRPr="004D46AC" w:rsidRDefault="009864DB" w:rsidP="009864DB">
            <w:pPr>
              <w:spacing w:line="240" w:lineRule="auto"/>
              <w:ind w:firstLine="0"/>
              <w:rPr>
                <w:i/>
                <w:iCs/>
              </w:rPr>
            </w:pPr>
            <w:r w:rsidRPr="004D46AC">
              <w:t>44.35</w:t>
            </w:r>
          </w:p>
        </w:tc>
        <w:tc>
          <w:tcPr>
            <w:tcW w:w="1221" w:type="dxa"/>
            <w:vAlign w:val="center"/>
          </w:tcPr>
          <w:p w14:paraId="31AAAB36" w14:textId="77777777" w:rsidR="009864DB" w:rsidRPr="004D46AC" w:rsidRDefault="009864DB" w:rsidP="009864DB">
            <w:pPr>
              <w:spacing w:line="240" w:lineRule="auto"/>
              <w:ind w:firstLine="0"/>
              <w:rPr>
                <w:i/>
                <w:iCs/>
              </w:rPr>
            </w:pPr>
            <w:r w:rsidRPr="004D46AC">
              <w:t>DSM4</w:t>
            </w:r>
          </w:p>
        </w:tc>
        <w:tc>
          <w:tcPr>
            <w:tcW w:w="1415" w:type="dxa"/>
            <w:vAlign w:val="center"/>
          </w:tcPr>
          <w:p w14:paraId="7B7713C0" w14:textId="77777777" w:rsidR="009864DB" w:rsidRPr="004D46AC" w:rsidRDefault="009864DB" w:rsidP="009864DB">
            <w:pPr>
              <w:spacing w:line="240" w:lineRule="auto"/>
              <w:ind w:firstLine="0"/>
              <w:rPr>
                <w:i/>
                <w:iCs/>
              </w:rPr>
            </w:pPr>
            <w:r w:rsidRPr="004D46AC">
              <w:t>DI-PAD</w:t>
            </w:r>
          </w:p>
        </w:tc>
        <w:tc>
          <w:tcPr>
            <w:tcW w:w="1147" w:type="dxa"/>
            <w:vAlign w:val="center"/>
          </w:tcPr>
          <w:p w14:paraId="223DA47D" w14:textId="77777777" w:rsidR="009864DB" w:rsidRPr="004D46AC" w:rsidRDefault="009864DB" w:rsidP="009864DB">
            <w:pPr>
              <w:spacing w:line="240" w:lineRule="auto"/>
              <w:ind w:firstLine="0"/>
              <w:rPr>
                <w:i/>
                <w:iCs/>
              </w:rPr>
            </w:pPr>
            <w:r w:rsidRPr="004D46AC">
              <w:t>1</w:t>
            </w:r>
          </w:p>
        </w:tc>
        <w:tc>
          <w:tcPr>
            <w:tcW w:w="1178" w:type="dxa"/>
            <w:vAlign w:val="center"/>
          </w:tcPr>
          <w:p w14:paraId="31DC0D14" w14:textId="77777777" w:rsidR="009864DB" w:rsidRPr="004D46AC" w:rsidRDefault="009864DB" w:rsidP="009864DB">
            <w:pPr>
              <w:spacing w:line="240" w:lineRule="auto"/>
              <w:ind w:firstLine="0"/>
              <w:rPr>
                <w:i/>
                <w:iCs/>
              </w:rPr>
            </w:pPr>
            <w:r w:rsidRPr="004D46AC">
              <w:t>unclear</w:t>
            </w:r>
          </w:p>
        </w:tc>
        <w:tc>
          <w:tcPr>
            <w:tcW w:w="1167" w:type="dxa"/>
            <w:vAlign w:val="center"/>
          </w:tcPr>
          <w:p w14:paraId="61EE7E8C" w14:textId="77777777" w:rsidR="009864DB" w:rsidRPr="004D46AC" w:rsidRDefault="009864DB" w:rsidP="009864DB">
            <w:pPr>
              <w:spacing w:line="240" w:lineRule="auto"/>
              <w:ind w:firstLine="0"/>
              <w:rPr>
                <w:i/>
                <w:iCs/>
              </w:rPr>
            </w:pPr>
            <w:r w:rsidRPr="004D46AC">
              <w:t>1</w:t>
            </w:r>
          </w:p>
        </w:tc>
        <w:tc>
          <w:tcPr>
            <w:tcW w:w="1162" w:type="dxa"/>
          </w:tcPr>
          <w:p w14:paraId="1579A93D"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75E3D9B" w14:textId="77777777" w:rsidR="009864DB" w:rsidRPr="004D46AC" w:rsidRDefault="009864DB" w:rsidP="009864DB">
            <w:pPr>
              <w:spacing w:line="240" w:lineRule="auto"/>
              <w:ind w:firstLine="0"/>
              <w:rPr>
                <w:i/>
                <w:iCs/>
              </w:rPr>
            </w:pPr>
            <w:r w:rsidRPr="004D46AC">
              <w:t>any</w:t>
            </w:r>
          </w:p>
        </w:tc>
        <w:tc>
          <w:tcPr>
            <w:tcW w:w="1163" w:type="dxa"/>
            <w:vAlign w:val="center"/>
          </w:tcPr>
          <w:p w14:paraId="756E6934" w14:textId="77777777" w:rsidR="009864DB" w:rsidRPr="004D46AC" w:rsidRDefault="009864DB" w:rsidP="009864DB">
            <w:pPr>
              <w:spacing w:line="240" w:lineRule="auto"/>
              <w:ind w:firstLine="0"/>
              <w:rPr>
                <w:i/>
                <w:iCs/>
              </w:rPr>
            </w:pPr>
            <w:r w:rsidRPr="004D46AC">
              <w:t>514</w:t>
            </w:r>
          </w:p>
        </w:tc>
      </w:tr>
      <w:tr w:rsidR="009864DB" w:rsidRPr="004D46AC" w14:paraId="6C545D06" w14:textId="77777777" w:rsidTr="00B518F1">
        <w:tc>
          <w:tcPr>
            <w:tcW w:w="1908" w:type="dxa"/>
          </w:tcPr>
          <w:p w14:paraId="139FB55E"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i/>
                <w:iCs/>
              </w:rPr>
              <w:instrText xml:space="preserve"> ADDIN EN.CITE </w:instrText>
            </w:r>
            <w:r w:rsidRPr="004D46AC">
              <w:rPr>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Stein et al. (2020)</w:t>
            </w:r>
            <w:r w:rsidRPr="004D46AC">
              <w:fldChar w:fldCharType="end"/>
            </w:r>
          </w:p>
        </w:tc>
        <w:tc>
          <w:tcPr>
            <w:tcW w:w="1198" w:type="dxa"/>
            <w:vAlign w:val="center"/>
          </w:tcPr>
          <w:p w14:paraId="70FD9E54" w14:textId="77777777" w:rsidR="009864DB" w:rsidRPr="004D46AC" w:rsidRDefault="009864DB" w:rsidP="009864DB">
            <w:pPr>
              <w:spacing w:line="240" w:lineRule="auto"/>
              <w:ind w:firstLine="0"/>
              <w:rPr>
                <w:i/>
                <w:iCs/>
              </w:rPr>
            </w:pPr>
            <w:r w:rsidRPr="004D46AC">
              <w:t>6</w:t>
            </w:r>
          </w:p>
        </w:tc>
        <w:tc>
          <w:tcPr>
            <w:tcW w:w="1178" w:type="dxa"/>
            <w:vAlign w:val="center"/>
          </w:tcPr>
          <w:p w14:paraId="4CAFEBC9" w14:textId="77777777" w:rsidR="009864DB" w:rsidRPr="004D46AC" w:rsidRDefault="009864DB" w:rsidP="009864DB">
            <w:pPr>
              <w:spacing w:line="240" w:lineRule="auto"/>
              <w:ind w:firstLine="0"/>
              <w:rPr>
                <w:i/>
                <w:iCs/>
              </w:rPr>
            </w:pPr>
            <w:r w:rsidRPr="004D46AC">
              <w:t>41.72</w:t>
            </w:r>
          </w:p>
        </w:tc>
        <w:tc>
          <w:tcPr>
            <w:tcW w:w="1221" w:type="dxa"/>
            <w:vAlign w:val="center"/>
          </w:tcPr>
          <w:p w14:paraId="13F54DD2" w14:textId="77777777" w:rsidR="009864DB" w:rsidRPr="004D46AC" w:rsidRDefault="009864DB" w:rsidP="009864DB">
            <w:pPr>
              <w:spacing w:line="240" w:lineRule="auto"/>
              <w:ind w:firstLine="0"/>
              <w:rPr>
                <w:i/>
                <w:iCs/>
              </w:rPr>
            </w:pPr>
            <w:r w:rsidRPr="004D46AC">
              <w:t>DSM4</w:t>
            </w:r>
          </w:p>
        </w:tc>
        <w:tc>
          <w:tcPr>
            <w:tcW w:w="1415" w:type="dxa"/>
            <w:vAlign w:val="center"/>
          </w:tcPr>
          <w:p w14:paraId="44B735EC" w14:textId="77777777" w:rsidR="009864DB" w:rsidRPr="004D46AC" w:rsidRDefault="009864DB" w:rsidP="009864DB">
            <w:pPr>
              <w:spacing w:line="240" w:lineRule="auto"/>
              <w:ind w:firstLine="0"/>
              <w:rPr>
                <w:i/>
                <w:iCs/>
              </w:rPr>
            </w:pPr>
            <w:r w:rsidRPr="004D46AC">
              <w:t>SAPS</w:t>
            </w:r>
          </w:p>
        </w:tc>
        <w:tc>
          <w:tcPr>
            <w:tcW w:w="1147" w:type="dxa"/>
            <w:vAlign w:val="center"/>
          </w:tcPr>
          <w:p w14:paraId="439C8742" w14:textId="77777777" w:rsidR="009864DB" w:rsidRPr="004D46AC" w:rsidRDefault="009864DB" w:rsidP="009864DB">
            <w:pPr>
              <w:spacing w:line="240" w:lineRule="auto"/>
              <w:ind w:firstLine="0"/>
              <w:rPr>
                <w:i/>
                <w:iCs/>
              </w:rPr>
            </w:pPr>
            <w:r w:rsidRPr="004D46AC">
              <w:t>1</w:t>
            </w:r>
          </w:p>
        </w:tc>
        <w:tc>
          <w:tcPr>
            <w:tcW w:w="1178" w:type="dxa"/>
            <w:vAlign w:val="center"/>
          </w:tcPr>
          <w:p w14:paraId="66FDD7B9" w14:textId="77777777" w:rsidR="009864DB" w:rsidRPr="004D46AC" w:rsidRDefault="009864DB" w:rsidP="009864DB">
            <w:pPr>
              <w:spacing w:line="240" w:lineRule="auto"/>
              <w:ind w:firstLine="0"/>
              <w:rPr>
                <w:i/>
                <w:iCs/>
              </w:rPr>
            </w:pPr>
            <w:r w:rsidRPr="004D46AC">
              <w:t>2</w:t>
            </w:r>
          </w:p>
        </w:tc>
        <w:tc>
          <w:tcPr>
            <w:tcW w:w="1167" w:type="dxa"/>
            <w:vAlign w:val="center"/>
          </w:tcPr>
          <w:p w14:paraId="3349D1DD" w14:textId="77777777" w:rsidR="009864DB" w:rsidRPr="004D46AC" w:rsidRDefault="009864DB" w:rsidP="009864DB">
            <w:pPr>
              <w:spacing w:line="240" w:lineRule="auto"/>
              <w:ind w:firstLine="0"/>
              <w:rPr>
                <w:i/>
                <w:iCs/>
              </w:rPr>
            </w:pPr>
            <w:r w:rsidRPr="004D46AC">
              <w:t>1</w:t>
            </w:r>
          </w:p>
        </w:tc>
        <w:tc>
          <w:tcPr>
            <w:tcW w:w="1162" w:type="dxa"/>
          </w:tcPr>
          <w:p w14:paraId="3204D637"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E9AC807" w14:textId="77777777" w:rsidR="009864DB" w:rsidRPr="004D46AC" w:rsidRDefault="009864DB" w:rsidP="009864DB">
            <w:pPr>
              <w:spacing w:line="240" w:lineRule="auto"/>
              <w:ind w:firstLine="0"/>
              <w:rPr>
                <w:i/>
                <w:iCs/>
              </w:rPr>
            </w:pPr>
            <w:r w:rsidRPr="004D46AC">
              <w:t>any</w:t>
            </w:r>
          </w:p>
        </w:tc>
        <w:tc>
          <w:tcPr>
            <w:tcW w:w="1163" w:type="dxa"/>
            <w:vAlign w:val="center"/>
          </w:tcPr>
          <w:p w14:paraId="12F8C2C3" w14:textId="77777777" w:rsidR="009864DB" w:rsidRPr="004D46AC" w:rsidRDefault="009864DB" w:rsidP="009864DB">
            <w:pPr>
              <w:spacing w:line="240" w:lineRule="auto"/>
              <w:ind w:firstLine="0"/>
              <w:rPr>
                <w:i/>
                <w:iCs/>
              </w:rPr>
            </w:pPr>
            <w:r w:rsidRPr="004D46AC">
              <w:t>15</w:t>
            </w:r>
          </w:p>
        </w:tc>
      </w:tr>
      <w:tr w:rsidR="009864DB" w:rsidRPr="004D46AC" w14:paraId="6793FE0A" w14:textId="77777777" w:rsidTr="00B518F1">
        <w:tc>
          <w:tcPr>
            <w:tcW w:w="1908" w:type="dxa"/>
          </w:tcPr>
          <w:p w14:paraId="7B819321"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PEVuZE5vdGU+PENpdGUgQXV0aG9yWWVhcj0iMSI+PEF1dGhvcj5Id2FuZzwvQXV0aG9yPjxZZWFy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rPr>
                <w:i/>
                <w:iCs/>
              </w:rPr>
              <w:instrText xml:space="preserve"> ADDIN EN.CITE </w:instrText>
            </w:r>
            <w:r w:rsidRPr="004D46AC">
              <w:rPr>
                <w:i/>
                <w:iCs/>
              </w:rPr>
              <w:fldChar w:fldCharType="begin">
                <w:fldData xml:space="preserve">PEVuZE5vdGU+PENpdGUgQXV0aG9yWWVhcj0iMSI+PEF1dGhvcj5Id2FuZzwvQXV0aG9yPjxZZWFy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==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Hwang et al. (2021)</w:t>
            </w:r>
            <w:r w:rsidRPr="004D46AC">
              <w:fldChar w:fldCharType="end"/>
            </w:r>
          </w:p>
        </w:tc>
        <w:tc>
          <w:tcPr>
            <w:tcW w:w="1198" w:type="dxa"/>
            <w:vAlign w:val="center"/>
          </w:tcPr>
          <w:p w14:paraId="34F6652E" w14:textId="77777777" w:rsidR="009864DB" w:rsidRPr="004D46AC" w:rsidRDefault="009864DB" w:rsidP="009864DB">
            <w:pPr>
              <w:spacing w:line="240" w:lineRule="auto"/>
              <w:ind w:firstLine="0"/>
              <w:rPr>
                <w:i/>
                <w:iCs/>
              </w:rPr>
            </w:pPr>
            <w:r w:rsidRPr="004D46AC">
              <w:t>4</w:t>
            </w:r>
          </w:p>
        </w:tc>
        <w:tc>
          <w:tcPr>
            <w:tcW w:w="1178" w:type="dxa"/>
            <w:vAlign w:val="center"/>
          </w:tcPr>
          <w:p w14:paraId="6B9469DA" w14:textId="77777777" w:rsidR="009864DB" w:rsidRPr="004D46AC" w:rsidRDefault="009864DB" w:rsidP="009864DB">
            <w:pPr>
              <w:spacing w:line="240" w:lineRule="auto"/>
              <w:ind w:firstLine="0"/>
              <w:rPr>
                <w:i/>
                <w:iCs/>
              </w:rPr>
            </w:pPr>
            <w:r w:rsidRPr="004D46AC">
              <w:t>NA</w:t>
            </w:r>
          </w:p>
        </w:tc>
        <w:tc>
          <w:tcPr>
            <w:tcW w:w="1221" w:type="dxa"/>
            <w:vAlign w:val="center"/>
          </w:tcPr>
          <w:p w14:paraId="37ADCFB9" w14:textId="77777777" w:rsidR="009864DB" w:rsidRPr="004D46AC" w:rsidRDefault="009864DB" w:rsidP="009864DB">
            <w:pPr>
              <w:spacing w:line="240" w:lineRule="auto"/>
              <w:ind w:firstLine="0"/>
              <w:rPr>
                <w:i/>
                <w:iCs/>
              </w:rPr>
            </w:pPr>
            <w:r w:rsidRPr="004D46AC">
              <w:t>DSM4TR</w:t>
            </w:r>
          </w:p>
        </w:tc>
        <w:tc>
          <w:tcPr>
            <w:tcW w:w="1415" w:type="dxa"/>
            <w:vAlign w:val="center"/>
          </w:tcPr>
          <w:p w14:paraId="2206CC0B" w14:textId="77777777" w:rsidR="009864DB" w:rsidRPr="004D46AC" w:rsidRDefault="009864DB" w:rsidP="009864DB">
            <w:pPr>
              <w:spacing w:line="240" w:lineRule="auto"/>
              <w:ind w:firstLine="0"/>
              <w:rPr>
                <w:i/>
                <w:iCs/>
              </w:rPr>
            </w:pPr>
            <w:r w:rsidRPr="004D46AC">
              <w:t>SCID</w:t>
            </w:r>
          </w:p>
        </w:tc>
        <w:tc>
          <w:tcPr>
            <w:tcW w:w="1147" w:type="dxa"/>
            <w:vAlign w:val="center"/>
          </w:tcPr>
          <w:p w14:paraId="79CE81AF" w14:textId="77777777" w:rsidR="009864DB" w:rsidRPr="004D46AC" w:rsidRDefault="009864DB" w:rsidP="009864DB">
            <w:pPr>
              <w:spacing w:line="240" w:lineRule="auto"/>
              <w:ind w:firstLine="0"/>
              <w:rPr>
                <w:i/>
                <w:iCs/>
              </w:rPr>
            </w:pPr>
            <w:r w:rsidRPr="004D46AC">
              <w:t>1</w:t>
            </w:r>
          </w:p>
        </w:tc>
        <w:tc>
          <w:tcPr>
            <w:tcW w:w="1178" w:type="dxa"/>
            <w:vAlign w:val="center"/>
          </w:tcPr>
          <w:p w14:paraId="0251FF8E" w14:textId="77777777" w:rsidR="009864DB" w:rsidRPr="004D46AC" w:rsidRDefault="009864DB" w:rsidP="009864DB">
            <w:pPr>
              <w:spacing w:line="240" w:lineRule="auto"/>
              <w:ind w:firstLine="0"/>
              <w:rPr>
                <w:i/>
                <w:iCs/>
              </w:rPr>
            </w:pPr>
            <w:r w:rsidRPr="004D46AC">
              <w:t>2</w:t>
            </w:r>
          </w:p>
        </w:tc>
        <w:tc>
          <w:tcPr>
            <w:tcW w:w="1167" w:type="dxa"/>
            <w:vAlign w:val="center"/>
          </w:tcPr>
          <w:p w14:paraId="1EC58A22" w14:textId="77777777" w:rsidR="009864DB" w:rsidRPr="004D46AC" w:rsidRDefault="009864DB" w:rsidP="009864DB">
            <w:pPr>
              <w:spacing w:line="240" w:lineRule="auto"/>
              <w:ind w:firstLine="0"/>
              <w:rPr>
                <w:i/>
                <w:iCs/>
              </w:rPr>
            </w:pPr>
            <w:r w:rsidRPr="004D46AC">
              <w:t>1</w:t>
            </w:r>
          </w:p>
        </w:tc>
        <w:tc>
          <w:tcPr>
            <w:tcW w:w="1162" w:type="dxa"/>
          </w:tcPr>
          <w:p w14:paraId="1B50FFE4"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0D758787" w14:textId="77777777" w:rsidR="009864DB" w:rsidRPr="004D46AC" w:rsidRDefault="009864DB" w:rsidP="009864DB">
            <w:pPr>
              <w:spacing w:line="240" w:lineRule="auto"/>
              <w:ind w:firstLine="0"/>
              <w:rPr>
                <w:i/>
                <w:iCs/>
              </w:rPr>
            </w:pPr>
            <w:r w:rsidRPr="004D46AC">
              <w:t>auditory</w:t>
            </w:r>
          </w:p>
        </w:tc>
        <w:tc>
          <w:tcPr>
            <w:tcW w:w="1163" w:type="dxa"/>
            <w:vAlign w:val="center"/>
          </w:tcPr>
          <w:p w14:paraId="70DCF445" w14:textId="77777777" w:rsidR="009864DB" w:rsidRPr="004D46AC" w:rsidRDefault="009864DB" w:rsidP="009864DB">
            <w:pPr>
              <w:spacing w:line="240" w:lineRule="auto"/>
              <w:ind w:firstLine="0"/>
              <w:rPr>
                <w:i/>
                <w:iCs/>
              </w:rPr>
            </w:pPr>
            <w:r w:rsidRPr="004D46AC">
              <w:t>22</w:t>
            </w:r>
          </w:p>
        </w:tc>
      </w:tr>
      <w:tr w:rsidR="009864DB" w:rsidRPr="004D46AC" w14:paraId="6BD2E167" w14:textId="77777777" w:rsidTr="00B518F1">
        <w:tc>
          <w:tcPr>
            <w:tcW w:w="1908" w:type="dxa"/>
          </w:tcPr>
          <w:p w14:paraId="3385B2F4"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PEVuZE5vdGU+PENpdGUgQXV0aG9yWWVhcj0iMSI+PEF1dGhvcj5DaG91aW5hcmQ8L0F1dGhvcj48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rPr>
                <w:i/>
                <w:iCs/>
              </w:rPr>
              <w:instrText xml:space="preserve"> ADDIN EN.CITE </w:instrText>
            </w:r>
            <w:r w:rsidRPr="004D46AC">
              <w:rPr>
                <w:i/>
                <w:iCs/>
              </w:rPr>
              <w:fldChar w:fldCharType="begin">
                <w:fldData xml:space="preserve">PEVuZE5vdGU+PENpdGUgQXV0aG9yWWVhcj0iMSI+PEF1dGhvcj5DaG91aW5hcmQ8L0F1dGhvcj48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Chouinard et al. (2019)</w:t>
            </w:r>
            <w:r w:rsidRPr="004D46AC">
              <w:fldChar w:fldCharType="end"/>
            </w:r>
          </w:p>
        </w:tc>
        <w:tc>
          <w:tcPr>
            <w:tcW w:w="1198" w:type="dxa"/>
            <w:vAlign w:val="center"/>
          </w:tcPr>
          <w:p w14:paraId="2B2F1501" w14:textId="77777777" w:rsidR="009864DB" w:rsidRPr="004D46AC" w:rsidRDefault="009864DB" w:rsidP="009864DB">
            <w:pPr>
              <w:spacing w:line="240" w:lineRule="auto"/>
              <w:ind w:firstLine="0"/>
              <w:rPr>
                <w:i/>
                <w:iCs/>
              </w:rPr>
            </w:pPr>
            <w:r w:rsidRPr="004D46AC">
              <w:t>4</w:t>
            </w:r>
          </w:p>
        </w:tc>
        <w:tc>
          <w:tcPr>
            <w:tcW w:w="1178" w:type="dxa"/>
            <w:vAlign w:val="center"/>
          </w:tcPr>
          <w:p w14:paraId="4845A373" w14:textId="77777777" w:rsidR="009864DB" w:rsidRPr="004D46AC" w:rsidRDefault="009864DB" w:rsidP="009864DB">
            <w:pPr>
              <w:spacing w:line="240" w:lineRule="auto"/>
              <w:ind w:firstLine="0"/>
              <w:rPr>
                <w:i/>
                <w:iCs/>
              </w:rPr>
            </w:pPr>
            <w:r w:rsidRPr="004D46AC">
              <w:t>36.5</w:t>
            </w:r>
          </w:p>
        </w:tc>
        <w:tc>
          <w:tcPr>
            <w:tcW w:w="1221" w:type="dxa"/>
            <w:vAlign w:val="center"/>
          </w:tcPr>
          <w:p w14:paraId="329C55AF" w14:textId="77777777" w:rsidR="009864DB" w:rsidRPr="004D46AC" w:rsidRDefault="009864DB" w:rsidP="009864DB">
            <w:pPr>
              <w:spacing w:line="240" w:lineRule="auto"/>
              <w:ind w:firstLine="0"/>
              <w:rPr>
                <w:i/>
                <w:iCs/>
              </w:rPr>
            </w:pPr>
            <w:r w:rsidRPr="004D46AC">
              <w:t>DSM4TR</w:t>
            </w:r>
          </w:p>
        </w:tc>
        <w:tc>
          <w:tcPr>
            <w:tcW w:w="1415" w:type="dxa"/>
            <w:vAlign w:val="center"/>
          </w:tcPr>
          <w:p w14:paraId="328FEB6C" w14:textId="77777777" w:rsidR="009864DB" w:rsidRPr="004D46AC" w:rsidRDefault="009864DB" w:rsidP="009864DB">
            <w:pPr>
              <w:spacing w:line="240" w:lineRule="auto"/>
              <w:ind w:firstLine="0"/>
              <w:rPr>
                <w:i/>
                <w:iCs/>
              </w:rPr>
            </w:pPr>
            <w:r w:rsidRPr="004D46AC">
              <w:t>SCID</w:t>
            </w:r>
          </w:p>
        </w:tc>
        <w:tc>
          <w:tcPr>
            <w:tcW w:w="1147" w:type="dxa"/>
            <w:vAlign w:val="center"/>
          </w:tcPr>
          <w:p w14:paraId="564767B3" w14:textId="77777777" w:rsidR="009864DB" w:rsidRPr="004D46AC" w:rsidRDefault="009864DB" w:rsidP="009864DB">
            <w:pPr>
              <w:spacing w:line="240" w:lineRule="auto"/>
              <w:ind w:firstLine="0"/>
              <w:rPr>
                <w:i/>
                <w:iCs/>
              </w:rPr>
            </w:pPr>
            <w:r w:rsidRPr="004D46AC">
              <w:t>3</w:t>
            </w:r>
          </w:p>
        </w:tc>
        <w:tc>
          <w:tcPr>
            <w:tcW w:w="1178" w:type="dxa"/>
            <w:vAlign w:val="center"/>
          </w:tcPr>
          <w:p w14:paraId="0C621339" w14:textId="77777777" w:rsidR="009864DB" w:rsidRPr="004D46AC" w:rsidRDefault="009864DB" w:rsidP="009864DB">
            <w:pPr>
              <w:spacing w:line="240" w:lineRule="auto"/>
              <w:ind w:firstLine="0"/>
              <w:rPr>
                <w:i/>
                <w:iCs/>
              </w:rPr>
            </w:pPr>
            <w:r w:rsidRPr="004D46AC">
              <w:t>2</w:t>
            </w:r>
          </w:p>
        </w:tc>
        <w:tc>
          <w:tcPr>
            <w:tcW w:w="1167" w:type="dxa"/>
            <w:vAlign w:val="center"/>
          </w:tcPr>
          <w:p w14:paraId="29883957" w14:textId="77777777" w:rsidR="009864DB" w:rsidRPr="004D46AC" w:rsidRDefault="009864DB" w:rsidP="009864DB">
            <w:pPr>
              <w:spacing w:line="240" w:lineRule="auto"/>
              <w:ind w:firstLine="0"/>
              <w:rPr>
                <w:i/>
                <w:iCs/>
              </w:rPr>
            </w:pPr>
            <w:r w:rsidRPr="004D46AC">
              <w:t>3</w:t>
            </w:r>
          </w:p>
        </w:tc>
        <w:tc>
          <w:tcPr>
            <w:tcW w:w="1162" w:type="dxa"/>
          </w:tcPr>
          <w:p w14:paraId="6A0C8AF5"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E3BB65C" w14:textId="77777777" w:rsidR="009864DB" w:rsidRPr="004D46AC" w:rsidRDefault="009864DB" w:rsidP="009864DB">
            <w:pPr>
              <w:spacing w:line="240" w:lineRule="auto"/>
              <w:ind w:firstLine="0"/>
              <w:rPr>
                <w:i/>
                <w:iCs/>
              </w:rPr>
            </w:pPr>
            <w:r w:rsidRPr="004D46AC">
              <w:t>visual</w:t>
            </w:r>
          </w:p>
        </w:tc>
        <w:tc>
          <w:tcPr>
            <w:tcW w:w="1163" w:type="dxa"/>
            <w:vAlign w:val="center"/>
          </w:tcPr>
          <w:p w14:paraId="53CFF410" w14:textId="77777777" w:rsidR="009864DB" w:rsidRPr="004D46AC" w:rsidRDefault="009864DB" w:rsidP="009864DB">
            <w:pPr>
              <w:spacing w:line="240" w:lineRule="auto"/>
              <w:ind w:firstLine="0"/>
              <w:rPr>
                <w:i/>
                <w:iCs/>
              </w:rPr>
            </w:pPr>
            <w:r w:rsidRPr="004D46AC">
              <w:t>66</w:t>
            </w:r>
          </w:p>
        </w:tc>
      </w:tr>
      <w:tr w:rsidR="009864DB" w:rsidRPr="004D46AC" w14:paraId="36C56384" w14:textId="77777777" w:rsidTr="00B518F1">
        <w:tc>
          <w:tcPr>
            <w:tcW w:w="1908" w:type="dxa"/>
          </w:tcPr>
          <w:p w14:paraId="141E1339"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PEVuZE5vdGU+PENpdGUgQXV0aG9yWWVhcj0iMSI+PEF1dGhvcj5Tb25nPC9BdXRob3I+PFllYXI+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rPr>
                <w:i/>
                <w:iCs/>
              </w:rPr>
              <w:instrText xml:space="preserve"> ADDIN EN.CITE </w:instrText>
            </w:r>
            <w:r w:rsidRPr="004D46AC">
              <w:rPr>
                <w:i/>
                <w:iCs/>
              </w:rPr>
              <w:fldChar w:fldCharType="begin">
                <w:fldData xml:space="preserve">PEVuZE5vdGU+PENpdGUgQXV0aG9yWWVhcj0iMSI+PEF1dGhvcj5Tb25nPC9BdXRob3I+PFllYXI+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Song et al. (2012)</w:t>
            </w:r>
            <w:r w:rsidRPr="004D46AC">
              <w:fldChar w:fldCharType="end"/>
            </w:r>
          </w:p>
        </w:tc>
        <w:tc>
          <w:tcPr>
            <w:tcW w:w="1198" w:type="dxa"/>
            <w:vAlign w:val="center"/>
          </w:tcPr>
          <w:p w14:paraId="60D42D46" w14:textId="77777777" w:rsidR="009864DB" w:rsidRPr="004D46AC" w:rsidRDefault="009864DB" w:rsidP="009864DB">
            <w:pPr>
              <w:spacing w:line="240" w:lineRule="auto"/>
              <w:ind w:firstLine="0"/>
              <w:rPr>
                <w:i/>
                <w:iCs/>
              </w:rPr>
            </w:pPr>
            <w:r w:rsidRPr="004D46AC">
              <w:t>6</w:t>
            </w:r>
          </w:p>
        </w:tc>
        <w:tc>
          <w:tcPr>
            <w:tcW w:w="1178" w:type="dxa"/>
            <w:vAlign w:val="center"/>
          </w:tcPr>
          <w:p w14:paraId="46D9BFC7" w14:textId="77777777" w:rsidR="009864DB" w:rsidRPr="004D46AC" w:rsidRDefault="009864DB" w:rsidP="009864DB">
            <w:pPr>
              <w:spacing w:line="240" w:lineRule="auto"/>
              <w:ind w:firstLine="0"/>
              <w:rPr>
                <w:i/>
                <w:iCs/>
              </w:rPr>
            </w:pPr>
            <w:r w:rsidRPr="004D46AC">
              <w:t>32.2</w:t>
            </w:r>
          </w:p>
        </w:tc>
        <w:tc>
          <w:tcPr>
            <w:tcW w:w="1221" w:type="dxa"/>
            <w:vAlign w:val="center"/>
          </w:tcPr>
          <w:p w14:paraId="2A9F1DF8" w14:textId="77777777" w:rsidR="009864DB" w:rsidRPr="004D46AC" w:rsidRDefault="009864DB" w:rsidP="009864DB">
            <w:pPr>
              <w:spacing w:line="240" w:lineRule="auto"/>
              <w:ind w:firstLine="0"/>
              <w:rPr>
                <w:i/>
                <w:iCs/>
              </w:rPr>
            </w:pPr>
            <w:r w:rsidRPr="004D46AC">
              <w:t>DSM4</w:t>
            </w:r>
          </w:p>
        </w:tc>
        <w:tc>
          <w:tcPr>
            <w:tcW w:w="1415" w:type="dxa"/>
            <w:vAlign w:val="center"/>
          </w:tcPr>
          <w:p w14:paraId="354D836B" w14:textId="77777777" w:rsidR="009864DB" w:rsidRPr="004D46AC" w:rsidRDefault="009864DB" w:rsidP="009864DB">
            <w:pPr>
              <w:spacing w:line="240" w:lineRule="auto"/>
              <w:ind w:firstLine="0"/>
              <w:rPr>
                <w:i/>
                <w:iCs/>
              </w:rPr>
            </w:pPr>
            <w:r w:rsidRPr="004D46AC">
              <w:t>DIGS</w:t>
            </w:r>
          </w:p>
        </w:tc>
        <w:tc>
          <w:tcPr>
            <w:tcW w:w="1147" w:type="dxa"/>
            <w:vAlign w:val="center"/>
          </w:tcPr>
          <w:p w14:paraId="79B76EEB" w14:textId="77777777" w:rsidR="009864DB" w:rsidRPr="004D46AC" w:rsidRDefault="009864DB" w:rsidP="009864DB">
            <w:pPr>
              <w:spacing w:line="240" w:lineRule="auto"/>
              <w:ind w:firstLine="0"/>
              <w:rPr>
                <w:i/>
                <w:iCs/>
              </w:rPr>
            </w:pPr>
            <w:r w:rsidRPr="004D46AC">
              <w:t>1</w:t>
            </w:r>
          </w:p>
        </w:tc>
        <w:tc>
          <w:tcPr>
            <w:tcW w:w="1178" w:type="dxa"/>
            <w:vAlign w:val="center"/>
          </w:tcPr>
          <w:p w14:paraId="0D271F6A" w14:textId="77777777" w:rsidR="009864DB" w:rsidRPr="004D46AC" w:rsidRDefault="009864DB" w:rsidP="009864DB">
            <w:pPr>
              <w:spacing w:line="240" w:lineRule="auto"/>
              <w:ind w:firstLine="0"/>
              <w:rPr>
                <w:i/>
                <w:iCs/>
              </w:rPr>
            </w:pPr>
            <w:r w:rsidRPr="004D46AC">
              <w:t>unclear</w:t>
            </w:r>
          </w:p>
        </w:tc>
        <w:tc>
          <w:tcPr>
            <w:tcW w:w="1167" w:type="dxa"/>
            <w:vAlign w:val="center"/>
          </w:tcPr>
          <w:p w14:paraId="30ECEAAB" w14:textId="77777777" w:rsidR="009864DB" w:rsidRPr="004D46AC" w:rsidRDefault="009864DB" w:rsidP="009864DB">
            <w:pPr>
              <w:spacing w:line="240" w:lineRule="auto"/>
              <w:ind w:firstLine="0"/>
              <w:rPr>
                <w:i/>
                <w:iCs/>
              </w:rPr>
            </w:pPr>
            <w:r w:rsidRPr="004D46AC">
              <w:t>1</w:t>
            </w:r>
          </w:p>
        </w:tc>
        <w:tc>
          <w:tcPr>
            <w:tcW w:w="1162" w:type="dxa"/>
          </w:tcPr>
          <w:p w14:paraId="0BF36EB4"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14EA94EF" w14:textId="77777777" w:rsidR="009864DB" w:rsidRPr="004D46AC" w:rsidRDefault="009864DB" w:rsidP="009864DB">
            <w:pPr>
              <w:spacing w:line="240" w:lineRule="auto"/>
              <w:ind w:firstLine="0"/>
              <w:rPr>
                <w:i/>
                <w:iCs/>
              </w:rPr>
            </w:pPr>
            <w:r w:rsidRPr="004D46AC">
              <w:t>auditory</w:t>
            </w:r>
          </w:p>
        </w:tc>
        <w:tc>
          <w:tcPr>
            <w:tcW w:w="1163" w:type="dxa"/>
            <w:vAlign w:val="center"/>
          </w:tcPr>
          <w:p w14:paraId="06604861" w14:textId="77777777" w:rsidR="009864DB" w:rsidRPr="004D46AC" w:rsidRDefault="009864DB" w:rsidP="009864DB">
            <w:pPr>
              <w:spacing w:line="240" w:lineRule="auto"/>
              <w:ind w:firstLine="0"/>
              <w:rPr>
                <w:i/>
                <w:iCs/>
              </w:rPr>
            </w:pPr>
            <w:r w:rsidRPr="004D46AC">
              <w:t>65</w:t>
            </w:r>
          </w:p>
        </w:tc>
      </w:tr>
      <w:tr w:rsidR="009864DB" w:rsidRPr="004D46AC" w14:paraId="1C1A8408" w14:textId="77777777" w:rsidTr="00B518F1">
        <w:tc>
          <w:tcPr>
            <w:tcW w:w="1908" w:type="dxa"/>
          </w:tcPr>
          <w:p w14:paraId="4D879439"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PEVuZE5vdGU+PENpdGUgQXV0aG9yWWVhcj0iMSI+PEF1dGhvcj5Fa21hbjwvQXV0aG9yPjxZZWFy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rPr>
                <w:i/>
                <w:iCs/>
              </w:rPr>
              <w:instrText xml:space="preserve"> ADDIN EN.CITE </w:instrText>
            </w:r>
            <w:r w:rsidRPr="004D46AC">
              <w:rPr>
                <w:i/>
                <w:iCs/>
              </w:rPr>
              <w:fldChar w:fldCharType="begin">
                <w:fldData xml:space="preserve">PEVuZE5vdGU+PENpdGUgQXV0aG9yWWVhcj0iMSI+PEF1dGhvcj5Fa21hbjwvQXV0aG9yPjxZZWFy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Ekman et al. (2017)</w:t>
            </w:r>
            <w:r w:rsidRPr="004D46AC">
              <w:fldChar w:fldCharType="end"/>
            </w:r>
            <w:r w:rsidRPr="004D46AC">
              <w:rPr>
                <w:i/>
                <w:iCs/>
              </w:rPr>
              <w:t xml:space="preserve"> </w:t>
            </w:r>
          </w:p>
        </w:tc>
        <w:tc>
          <w:tcPr>
            <w:tcW w:w="1198" w:type="dxa"/>
            <w:vAlign w:val="center"/>
          </w:tcPr>
          <w:p w14:paraId="654E1D4E" w14:textId="77777777" w:rsidR="009864DB" w:rsidRPr="004D46AC" w:rsidRDefault="009864DB" w:rsidP="009864DB">
            <w:pPr>
              <w:spacing w:line="240" w:lineRule="auto"/>
              <w:ind w:firstLine="0"/>
              <w:rPr>
                <w:i/>
                <w:iCs/>
              </w:rPr>
            </w:pPr>
            <w:r w:rsidRPr="004D46AC">
              <w:t>7</w:t>
            </w:r>
          </w:p>
        </w:tc>
        <w:tc>
          <w:tcPr>
            <w:tcW w:w="1178" w:type="dxa"/>
            <w:vAlign w:val="center"/>
          </w:tcPr>
          <w:p w14:paraId="00C727EF" w14:textId="77777777" w:rsidR="009864DB" w:rsidRPr="004D46AC" w:rsidRDefault="009864DB" w:rsidP="009864DB">
            <w:pPr>
              <w:spacing w:line="240" w:lineRule="auto"/>
              <w:ind w:firstLine="0"/>
              <w:rPr>
                <w:i/>
                <w:iCs/>
              </w:rPr>
            </w:pPr>
            <w:r w:rsidRPr="004D46AC">
              <w:t>38.47</w:t>
            </w:r>
          </w:p>
        </w:tc>
        <w:tc>
          <w:tcPr>
            <w:tcW w:w="1221" w:type="dxa"/>
            <w:vAlign w:val="center"/>
          </w:tcPr>
          <w:p w14:paraId="7353B332" w14:textId="77777777" w:rsidR="009864DB" w:rsidRPr="004D46AC" w:rsidRDefault="009864DB" w:rsidP="009864DB">
            <w:pPr>
              <w:spacing w:line="240" w:lineRule="auto"/>
              <w:ind w:firstLine="0"/>
              <w:rPr>
                <w:i/>
                <w:iCs/>
              </w:rPr>
            </w:pPr>
            <w:r w:rsidRPr="004D46AC">
              <w:t>DSM4TR</w:t>
            </w:r>
          </w:p>
        </w:tc>
        <w:tc>
          <w:tcPr>
            <w:tcW w:w="1415" w:type="dxa"/>
            <w:vAlign w:val="center"/>
          </w:tcPr>
          <w:p w14:paraId="6D0E67EB" w14:textId="77777777" w:rsidR="009864DB" w:rsidRPr="004D46AC" w:rsidRDefault="009864DB" w:rsidP="009864DB">
            <w:pPr>
              <w:spacing w:line="240" w:lineRule="auto"/>
              <w:ind w:firstLine="0"/>
              <w:rPr>
                <w:i/>
                <w:iCs/>
              </w:rPr>
            </w:pPr>
            <w:r w:rsidRPr="004D46AC">
              <w:t>mixed</w:t>
            </w:r>
          </w:p>
        </w:tc>
        <w:tc>
          <w:tcPr>
            <w:tcW w:w="1147" w:type="dxa"/>
            <w:vAlign w:val="center"/>
          </w:tcPr>
          <w:p w14:paraId="5CB5972F" w14:textId="77777777" w:rsidR="009864DB" w:rsidRPr="004D46AC" w:rsidRDefault="009864DB" w:rsidP="009864DB">
            <w:pPr>
              <w:spacing w:line="240" w:lineRule="auto"/>
              <w:ind w:firstLine="0"/>
              <w:rPr>
                <w:i/>
                <w:iCs/>
              </w:rPr>
            </w:pPr>
            <w:r w:rsidRPr="004D46AC">
              <w:t>1</w:t>
            </w:r>
          </w:p>
        </w:tc>
        <w:tc>
          <w:tcPr>
            <w:tcW w:w="1178" w:type="dxa"/>
            <w:vAlign w:val="center"/>
          </w:tcPr>
          <w:p w14:paraId="3D75C6CF" w14:textId="77777777" w:rsidR="009864DB" w:rsidRPr="004D46AC" w:rsidRDefault="009864DB" w:rsidP="009864DB">
            <w:pPr>
              <w:spacing w:line="240" w:lineRule="auto"/>
              <w:ind w:firstLine="0"/>
              <w:rPr>
                <w:i/>
                <w:iCs/>
              </w:rPr>
            </w:pPr>
            <w:r w:rsidRPr="004D46AC">
              <w:t>1</w:t>
            </w:r>
          </w:p>
        </w:tc>
        <w:tc>
          <w:tcPr>
            <w:tcW w:w="1167" w:type="dxa"/>
            <w:vAlign w:val="center"/>
          </w:tcPr>
          <w:p w14:paraId="6A58B9C8" w14:textId="77777777" w:rsidR="009864DB" w:rsidRPr="004D46AC" w:rsidRDefault="009864DB" w:rsidP="009864DB">
            <w:pPr>
              <w:spacing w:line="240" w:lineRule="auto"/>
              <w:ind w:firstLine="0"/>
              <w:rPr>
                <w:i/>
                <w:iCs/>
              </w:rPr>
            </w:pPr>
            <w:r w:rsidRPr="004D46AC">
              <w:t>1</w:t>
            </w:r>
          </w:p>
        </w:tc>
        <w:tc>
          <w:tcPr>
            <w:tcW w:w="1162" w:type="dxa"/>
          </w:tcPr>
          <w:p w14:paraId="68DC0B8A"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5CB39DD3" w14:textId="77777777" w:rsidR="009864DB" w:rsidRPr="004D46AC" w:rsidRDefault="009864DB" w:rsidP="009864DB">
            <w:pPr>
              <w:spacing w:line="240" w:lineRule="auto"/>
              <w:ind w:firstLine="0"/>
              <w:rPr>
                <w:i/>
                <w:iCs/>
              </w:rPr>
            </w:pPr>
            <w:r w:rsidRPr="004D46AC">
              <w:t>any</w:t>
            </w:r>
          </w:p>
        </w:tc>
        <w:tc>
          <w:tcPr>
            <w:tcW w:w="1163" w:type="dxa"/>
            <w:vAlign w:val="center"/>
          </w:tcPr>
          <w:p w14:paraId="71BA88AF" w14:textId="77777777" w:rsidR="009864DB" w:rsidRPr="004D46AC" w:rsidRDefault="009864DB" w:rsidP="009864DB">
            <w:pPr>
              <w:spacing w:line="240" w:lineRule="auto"/>
              <w:ind w:firstLine="0"/>
              <w:rPr>
                <w:i/>
                <w:iCs/>
              </w:rPr>
            </w:pPr>
            <w:r w:rsidRPr="004D46AC">
              <w:t>40</w:t>
            </w:r>
          </w:p>
        </w:tc>
      </w:tr>
      <w:tr w:rsidR="009864DB" w:rsidRPr="004D46AC" w14:paraId="42C21400" w14:textId="77777777" w:rsidTr="00B518F1">
        <w:tc>
          <w:tcPr>
            <w:tcW w:w="1908" w:type="dxa"/>
          </w:tcPr>
          <w:p w14:paraId="4047F475"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AuthorYear="1"&gt;&lt;Author&gt;Lewandowski&lt;/Author&gt;&lt;Year&gt;2009&lt;/Year&gt;&lt;RecNum&gt;281&lt;/RecNum&gt;&lt;DisplayText&gt;Lewandowski et al. (2009)&lt;/DisplayText&gt;&lt;record&gt;&lt;rec-number&gt;281&lt;/rec-number&gt;&lt;foreign-keys&gt;&lt;key app="EN" db-id="aet009sstawa0hewvt3xwf5atffdw2dt02sw" timestamp="1666428282"&gt;281&lt;/key&gt;&lt;/foreign-keys&gt;&lt;ref-type name="Journal Article"&gt;17&lt;/ref-type&gt;&lt;contributors&gt;&lt;authors&gt;&lt;author&gt;Lewandowski, K. E.&lt;/author&gt;&lt;author&gt;DePaola, J.&lt;/author&gt;&lt;author&gt;Camsari, G. B.&lt;/author&gt;&lt;author&gt;Cohen, B. M.&lt;/author&gt;&lt;author&gt;Ongur, D.&lt;/author&gt;&lt;/authors&gt;&lt;/contributors&gt;&lt;auth-address&gt;McLean Hospital, 115 Mill St., Belmont, MA 02478, USA. klewandowski@mclean.harvard.edu&lt;/auth-address&gt;&lt;titles&gt;&lt;title&gt;Tactile, olfactory, and gustatory hallucinations in psychotic disorders: a descriptive study&lt;/title&gt;&lt;secondary-title&gt;Ann Acad Med Singap&lt;/secondary-title&gt;&lt;/titles&gt;&lt;periodical&gt;&lt;full-title&gt;Ann Acad Med Singap&lt;/full-title&gt;&lt;/periodical&gt;&lt;pages&gt;383-5&lt;/pages&gt;&lt;volume&gt;38&lt;/volume&gt;&lt;number&gt;5&lt;/number&gt;&lt;keywords&gt;&lt;keyword&gt;Adolescent&lt;/keyword&gt;&lt;keyword&gt;Adult&lt;/keyword&gt;&lt;keyword&gt;Aged&lt;/keyword&gt;&lt;keyword&gt;Bipolar Disorder/physiopathology&lt;/keyword&gt;&lt;keyword&gt;Cohort Studies&lt;/keyword&gt;&lt;keyword&gt;Female&lt;/keyword&gt;&lt;keyword&gt;Hallucinations/*psychology&lt;/keyword&gt;&lt;keyword&gt;Humans&lt;/keyword&gt;&lt;keyword&gt;Male&lt;/keyword&gt;&lt;keyword&gt;Middle Aged&lt;/keyword&gt;&lt;keyword&gt;Psychotic Disorders/physiopathology/*psychology&lt;/keyword&gt;&lt;keyword&gt;Schizophrenia/physiopathology&lt;/keyword&gt;&lt;keyword&gt;*Smell&lt;/keyword&gt;&lt;keyword&gt;*Touch&lt;/keyword&gt;&lt;keyword&gt;Young Adult&lt;/keyword&gt;&lt;/keywords&gt;&lt;dates&gt;&lt;year&gt;2009&lt;/year&gt;&lt;pub-dates&gt;&lt;date&gt;May&lt;/date&gt;&lt;/pub-dates&gt;&lt;/dates&gt;&lt;isbn&gt;2972-4066 (Electronic)&amp;#xD;0304-4602 (Linking)&lt;/isbn&gt;&lt;accession-num&gt;19521636&lt;/accession-num&gt;&lt;urls&gt;&lt;related-urls&gt;&lt;url&gt;https://www.ncbi.nlm.nih.gov/pubmed/19521636&lt;/url&gt;&lt;/related-urls&gt;&lt;/urls&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Lewandowski et al. (2009)</w:t>
            </w:r>
            <w:r w:rsidRPr="004D46AC">
              <w:fldChar w:fldCharType="end"/>
            </w:r>
          </w:p>
        </w:tc>
        <w:tc>
          <w:tcPr>
            <w:tcW w:w="1198" w:type="dxa"/>
            <w:vAlign w:val="center"/>
          </w:tcPr>
          <w:p w14:paraId="237A0645" w14:textId="77777777" w:rsidR="009864DB" w:rsidRPr="004D46AC" w:rsidRDefault="009864DB" w:rsidP="009864DB">
            <w:pPr>
              <w:spacing w:line="240" w:lineRule="auto"/>
              <w:ind w:firstLine="0"/>
              <w:rPr>
                <w:i/>
                <w:iCs/>
              </w:rPr>
            </w:pPr>
            <w:r w:rsidRPr="004D46AC">
              <w:t>6</w:t>
            </w:r>
          </w:p>
        </w:tc>
        <w:tc>
          <w:tcPr>
            <w:tcW w:w="1178" w:type="dxa"/>
            <w:vAlign w:val="center"/>
          </w:tcPr>
          <w:p w14:paraId="1B4F4FC6" w14:textId="77777777" w:rsidR="009864DB" w:rsidRPr="004D46AC" w:rsidRDefault="009864DB" w:rsidP="009864DB">
            <w:pPr>
              <w:spacing w:line="240" w:lineRule="auto"/>
              <w:ind w:firstLine="0"/>
              <w:rPr>
                <w:i/>
                <w:iCs/>
              </w:rPr>
            </w:pPr>
            <w:r w:rsidRPr="004D46AC">
              <w:t>NA</w:t>
            </w:r>
          </w:p>
        </w:tc>
        <w:tc>
          <w:tcPr>
            <w:tcW w:w="1221" w:type="dxa"/>
            <w:vAlign w:val="center"/>
          </w:tcPr>
          <w:p w14:paraId="4CB41614" w14:textId="77777777" w:rsidR="009864DB" w:rsidRPr="004D46AC" w:rsidRDefault="009864DB" w:rsidP="009864DB">
            <w:pPr>
              <w:spacing w:line="240" w:lineRule="auto"/>
              <w:ind w:firstLine="0"/>
              <w:rPr>
                <w:i/>
                <w:iCs/>
              </w:rPr>
            </w:pPr>
            <w:r w:rsidRPr="004D46AC">
              <w:t>DSM4TR</w:t>
            </w:r>
          </w:p>
        </w:tc>
        <w:tc>
          <w:tcPr>
            <w:tcW w:w="1415" w:type="dxa"/>
            <w:vAlign w:val="center"/>
          </w:tcPr>
          <w:p w14:paraId="33BFCB1E" w14:textId="77777777" w:rsidR="009864DB" w:rsidRPr="004D46AC" w:rsidRDefault="009864DB" w:rsidP="009864DB">
            <w:pPr>
              <w:spacing w:line="240" w:lineRule="auto"/>
              <w:ind w:firstLine="0"/>
              <w:rPr>
                <w:i/>
                <w:iCs/>
              </w:rPr>
            </w:pPr>
            <w:r w:rsidRPr="004D46AC">
              <w:t>SCID</w:t>
            </w:r>
          </w:p>
        </w:tc>
        <w:tc>
          <w:tcPr>
            <w:tcW w:w="1147" w:type="dxa"/>
            <w:vAlign w:val="center"/>
          </w:tcPr>
          <w:p w14:paraId="5FE00D2C" w14:textId="77777777" w:rsidR="009864DB" w:rsidRPr="004D46AC" w:rsidRDefault="009864DB" w:rsidP="009864DB">
            <w:pPr>
              <w:spacing w:line="240" w:lineRule="auto"/>
              <w:ind w:firstLine="0"/>
              <w:rPr>
                <w:i/>
                <w:iCs/>
              </w:rPr>
            </w:pPr>
            <w:r w:rsidRPr="004D46AC">
              <w:t>2</w:t>
            </w:r>
          </w:p>
        </w:tc>
        <w:tc>
          <w:tcPr>
            <w:tcW w:w="1178" w:type="dxa"/>
            <w:vAlign w:val="center"/>
          </w:tcPr>
          <w:p w14:paraId="31663191" w14:textId="77777777" w:rsidR="009864DB" w:rsidRPr="004D46AC" w:rsidRDefault="009864DB" w:rsidP="009864DB">
            <w:pPr>
              <w:spacing w:line="240" w:lineRule="auto"/>
              <w:ind w:firstLine="0"/>
              <w:rPr>
                <w:i/>
                <w:iCs/>
              </w:rPr>
            </w:pPr>
            <w:r w:rsidRPr="004D46AC">
              <w:t>2</w:t>
            </w:r>
          </w:p>
        </w:tc>
        <w:tc>
          <w:tcPr>
            <w:tcW w:w="1167" w:type="dxa"/>
            <w:vAlign w:val="center"/>
          </w:tcPr>
          <w:p w14:paraId="388866B0" w14:textId="77777777" w:rsidR="009864DB" w:rsidRPr="004D46AC" w:rsidRDefault="009864DB" w:rsidP="009864DB">
            <w:pPr>
              <w:spacing w:line="240" w:lineRule="auto"/>
              <w:ind w:firstLine="0"/>
              <w:rPr>
                <w:i/>
                <w:iCs/>
              </w:rPr>
            </w:pPr>
            <w:r w:rsidRPr="004D46AC">
              <w:t>2</w:t>
            </w:r>
          </w:p>
        </w:tc>
        <w:tc>
          <w:tcPr>
            <w:tcW w:w="1162" w:type="dxa"/>
          </w:tcPr>
          <w:p w14:paraId="63D82DB3"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75E1BF8" w14:textId="77777777" w:rsidR="009864DB" w:rsidRPr="004D46AC" w:rsidRDefault="009864DB" w:rsidP="009864DB">
            <w:pPr>
              <w:spacing w:line="240" w:lineRule="auto"/>
              <w:ind w:firstLine="0"/>
              <w:rPr>
                <w:i/>
                <w:iCs/>
              </w:rPr>
            </w:pPr>
            <w:r w:rsidRPr="004D46AC">
              <w:t>any</w:t>
            </w:r>
          </w:p>
        </w:tc>
        <w:tc>
          <w:tcPr>
            <w:tcW w:w="1163" w:type="dxa"/>
            <w:vAlign w:val="center"/>
          </w:tcPr>
          <w:p w14:paraId="7063E12B" w14:textId="77777777" w:rsidR="009864DB" w:rsidRPr="004D46AC" w:rsidRDefault="009864DB" w:rsidP="009864DB">
            <w:pPr>
              <w:spacing w:line="240" w:lineRule="auto"/>
              <w:ind w:firstLine="0"/>
              <w:rPr>
                <w:i/>
                <w:iCs/>
              </w:rPr>
            </w:pPr>
            <w:r w:rsidRPr="004D46AC">
              <w:t>77</w:t>
            </w:r>
          </w:p>
        </w:tc>
      </w:tr>
      <w:tr w:rsidR="009864DB" w:rsidRPr="004D46AC" w14:paraId="3FE0906C" w14:textId="77777777" w:rsidTr="00B518F1">
        <w:tc>
          <w:tcPr>
            <w:tcW w:w="1908" w:type="dxa"/>
          </w:tcPr>
          <w:p w14:paraId="2A8614B3"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PEVuZE5vdGU+PENpdGUgQXV0aG9yWWVhcj0iMSI+PEF1dGhvcj5Nb3JjaC1Kb2huc2VuPC9BdXRo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</w:fldData>
              </w:fldChar>
            </w:r>
            <w:r w:rsidRPr="004D46AC">
              <w:rPr>
                <w:i/>
                <w:iCs/>
              </w:rPr>
              <w:instrText xml:space="preserve"> ADDIN EN.CITE </w:instrText>
            </w:r>
            <w:r w:rsidRPr="004D46AC">
              <w:rPr>
                <w:i/>
                <w:iCs/>
              </w:rPr>
              <w:fldChar w:fldCharType="begin">
                <w:fldData xml:space="preserve">PEVuZE5vdGU+PENpdGUgQXV0aG9yWWVhcj0iMSI+PEF1dGhvcj5Nb3JjaC1Kb2huc2VuPC9BdXRo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Morch-Johnsen et al. (2018)</w:t>
            </w:r>
            <w:r w:rsidRPr="004D46AC">
              <w:fldChar w:fldCharType="end"/>
            </w:r>
          </w:p>
        </w:tc>
        <w:tc>
          <w:tcPr>
            <w:tcW w:w="1198" w:type="dxa"/>
            <w:vAlign w:val="center"/>
          </w:tcPr>
          <w:p w14:paraId="74D4E28D" w14:textId="77777777" w:rsidR="009864DB" w:rsidRPr="004D46AC" w:rsidRDefault="009864DB" w:rsidP="009864DB">
            <w:pPr>
              <w:spacing w:line="240" w:lineRule="auto"/>
              <w:ind w:firstLine="0"/>
              <w:rPr>
                <w:i/>
                <w:iCs/>
              </w:rPr>
            </w:pPr>
            <w:r w:rsidRPr="004D46AC">
              <w:t>6</w:t>
            </w:r>
          </w:p>
        </w:tc>
        <w:tc>
          <w:tcPr>
            <w:tcW w:w="1178" w:type="dxa"/>
            <w:vAlign w:val="center"/>
          </w:tcPr>
          <w:p w14:paraId="26043F06" w14:textId="77777777" w:rsidR="009864DB" w:rsidRPr="004D46AC" w:rsidRDefault="009864DB" w:rsidP="009864DB">
            <w:pPr>
              <w:spacing w:line="240" w:lineRule="auto"/>
              <w:ind w:firstLine="0"/>
              <w:rPr>
                <w:i/>
                <w:iCs/>
              </w:rPr>
            </w:pPr>
            <w:r w:rsidRPr="004D46AC">
              <w:t>34.5</w:t>
            </w:r>
          </w:p>
        </w:tc>
        <w:tc>
          <w:tcPr>
            <w:tcW w:w="1221" w:type="dxa"/>
            <w:vAlign w:val="center"/>
          </w:tcPr>
          <w:p w14:paraId="0BF29024" w14:textId="77777777" w:rsidR="009864DB" w:rsidRPr="004D46AC" w:rsidRDefault="009864DB" w:rsidP="009864DB">
            <w:pPr>
              <w:spacing w:line="240" w:lineRule="auto"/>
              <w:ind w:firstLine="0"/>
              <w:rPr>
                <w:i/>
                <w:iCs/>
              </w:rPr>
            </w:pPr>
            <w:r w:rsidRPr="004D46AC">
              <w:t>DSM4</w:t>
            </w:r>
          </w:p>
        </w:tc>
        <w:tc>
          <w:tcPr>
            <w:tcW w:w="1415" w:type="dxa"/>
            <w:vAlign w:val="center"/>
          </w:tcPr>
          <w:p w14:paraId="73906913" w14:textId="77777777" w:rsidR="009864DB" w:rsidRPr="004D46AC" w:rsidRDefault="009864DB" w:rsidP="009864DB">
            <w:pPr>
              <w:spacing w:line="240" w:lineRule="auto"/>
              <w:ind w:firstLine="0"/>
              <w:rPr>
                <w:i/>
                <w:iCs/>
              </w:rPr>
            </w:pPr>
            <w:r w:rsidRPr="004D46AC">
              <w:t>SCID</w:t>
            </w:r>
          </w:p>
        </w:tc>
        <w:tc>
          <w:tcPr>
            <w:tcW w:w="1147" w:type="dxa"/>
            <w:vAlign w:val="center"/>
          </w:tcPr>
          <w:p w14:paraId="061C005B" w14:textId="77777777" w:rsidR="009864DB" w:rsidRPr="004D46AC" w:rsidRDefault="009864DB" w:rsidP="009864DB">
            <w:pPr>
              <w:spacing w:line="240" w:lineRule="auto"/>
              <w:ind w:firstLine="0"/>
              <w:rPr>
                <w:i/>
                <w:iCs/>
              </w:rPr>
            </w:pPr>
            <w:r w:rsidRPr="004D46AC">
              <w:t>1</w:t>
            </w:r>
          </w:p>
        </w:tc>
        <w:tc>
          <w:tcPr>
            <w:tcW w:w="1178" w:type="dxa"/>
            <w:vAlign w:val="center"/>
          </w:tcPr>
          <w:p w14:paraId="7B465FAC" w14:textId="77777777" w:rsidR="009864DB" w:rsidRPr="004D46AC" w:rsidRDefault="009864DB" w:rsidP="009864DB">
            <w:pPr>
              <w:spacing w:line="240" w:lineRule="auto"/>
              <w:ind w:firstLine="0"/>
              <w:rPr>
                <w:i/>
                <w:iCs/>
              </w:rPr>
            </w:pPr>
            <w:r w:rsidRPr="004D46AC">
              <w:t>1</w:t>
            </w:r>
          </w:p>
        </w:tc>
        <w:tc>
          <w:tcPr>
            <w:tcW w:w="1167" w:type="dxa"/>
            <w:vAlign w:val="center"/>
          </w:tcPr>
          <w:p w14:paraId="55D147AA" w14:textId="77777777" w:rsidR="009864DB" w:rsidRPr="004D46AC" w:rsidRDefault="009864DB" w:rsidP="009864DB">
            <w:pPr>
              <w:spacing w:line="240" w:lineRule="auto"/>
              <w:ind w:firstLine="0"/>
              <w:rPr>
                <w:i/>
                <w:iCs/>
              </w:rPr>
            </w:pPr>
            <w:r w:rsidRPr="004D46AC">
              <w:t>1</w:t>
            </w:r>
          </w:p>
        </w:tc>
        <w:tc>
          <w:tcPr>
            <w:tcW w:w="1162" w:type="dxa"/>
          </w:tcPr>
          <w:p w14:paraId="58B71A1A"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03712D04" w14:textId="77777777" w:rsidR="009864DB" w:rsidRPr="004D46AC" w:rsidRDefault="009864DB" w:rsidP="009864DB">
            <w:pPr>
              <w:spacing w:line="240" w:lineRule="auto"/>
              <w:ind w:firstLine="0"/>
              <w:rPr>
                <w:i/>
                <w:iCs/>
              </w:rPr>
            </w:pPr>
            <w:r w:rsidRPr="004D46AC">
              <w:t>auditory</w:t>
            </w:r>
          </w:p>
        </w:tc>
        <w:tc>
          <w:tcPr>
            <w:tcW w:w="1163" w:type="dxa"/>
            <w:vAlign w:val="center"/>
          </w:tcPr>
          <w:p w14:paraId="27D8B691" w14:textId="77777777" w:rsidR="009864DB" w:rsidRPr="004D46AC" w:rsidRDefault="009864DB" w:rsidP="009864DB">
            <w:pPr>
              <w:spacing w:line="240" w:lineRule="auto"/>
              <w:ind w:firstLine="0"/>
              <w:rPr>
                <w:i/>
                <w:iCs/>
              </w:rPr>
            </w:pPr>
            <w:r w:rsidRPr="004D46AC">
              <w:t>49</w:t>
            </w:r>
          </w:p>
        </w:tc>
      </w:tr>
      <w:tr w:rsidR="009864DB" w:rsidRPr="004D46AC" w14:paraId="1CD814B4" w14:textId="77777777" w:rsidTr="00B518F1">
        <w:tc>
          <w:tcPr>
            <w:tcW w:w="1908" w:type="dxa"/>
          </w:tcPr>
          <w:p w14:paraId="25115E78"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PEVuZE5vdGU+PENpdGUgQXV0aG9yWWVhcj0iMSI+PEF1dGhvcj5IYW1tZXJzbGV5PC9BdXRob3I+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rPr>
                <w:i/>
                <w:iCs/>
              </w:rPr>
              <w:instrText xml:space="preserve"> ADDIN EN.CITE </w:instrText>
            </w:r>
            <w:r w:rsidRPr="004D46AC">
              <w:rPr>
                <w:i/>
                <w:iCs/>
              </w:rPr>
              <w:fldChar w:fldCharType="begin">
                <w:fldData xml:space="preserve">PEVuZE5vdGU+PENpdGUgQXV0aG9yWWVhcj0iMSI+PEF1dGhvcj5IYW1tZXJzbGV5PC9BdXRob3I+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Hammersley et al. (2003)</w:t>
            </w:r>
            <w:r w:rsidRPr="004D46AC">
              <w:fldChar w:fldCharType="end"/>
            </w:r>
          </w:p>
        </w:tc>
        <w:tc>
          <w:tcPr>
            <w:tcW w:w="1198" w:type="dxa"/>
            <w:vAlign w:val="center"/>
          </w:tcPr>
          <w:p w14:paraId="2661F644" w14:textId="77777777" w:rsidR="009864DB" w:rsidRPr="004D46AC" w:rsidRDefault="009864DB" w:rsidP="009864DB">
            <w:pPr>
              <w:spacing w:line="240" w:lineRule="auto"/>
              <w:ind w:firstLine="0"/>
              <w:rPr>
                <w:i/>
                <w:iCs/>
              </w:rPr>
            </w:pPr>
            <w:r w:rsidRPr="004D46AC">
              <w:t>5</w:t>
            </w:r>
          </w:p>
        </w:tc>
        <w:tc>
          <w:tcPr>
            <w:tcW w:w="1178" w:type="dxa"/>
            <w:vAlign w:val="center"/>
          </w:tcPr>
          <w:p w14:paraId="17314BEC" w14:textId="77777777" w:rsidR="009864DB" w:rsidRPr="004D46AC" w:rsidRDefault="009864DB" w:rsidP="009864DB">
            <w:pPr>
              <w:spacing w:line="240" w:lineRule="auto"/>
              <w:ind w:firstLine="0"/>
              <w:rPr>
                <w:i/>
                <w:iCs/>
              </w:rPr>
            </w:pPr>
            <w:r w:rsidRPr="004D46AC">
              <w:t>40.5</w:t>
            </w:r>
          </w:p>
        </w:tc>
        <w:tc>
          <w:tcPr>
            <w:tcW w:w="1221" w:type="dxa"/>
            <w:vAlign w:val="center"/>
          </w:tcPr>
          <w:p w14:paraId="593A5F92" w14:textId="77777777" w:rsidR="009864DB" w:rsidRPr="004D46AC" w:rsidRDefault="009864DB" w:rsidP="009864DB">
            <w:pPr>
              <w:spacing w:line="240" w:lineRule="auto"/>
              <w:ind w:firstLine="0"/>
              <w:rPr>
                <w:i/>
                <w:iCs/>
              </w:rPr>
            </w:pPr>
            <w:r w:rsidRPr="004D46AC">
              <w:t>DSM4</w:t>
            </w:r>
          </w:p>
        </w:tc>
        <w:tc>
          <w:tcPr>
            <w:tcW w:w="1415" w:type="dxa"/>
            <w:vAlign w:val="center"/>
          </w:tcPr>
          <w:p w14:paraId="2F713EC7" w14:textId="77777777" w:rsidR="009864DB" w:rsidRPr="004D46AC" w:rsidRDefault="009864DB" w:rsidP="009864DB">
            <w:pPr>
              <w:spacing w:line="240" w:lineRule="auto"/>
              <w:ind w:firstLine="0"/>
              <w:rPr>
                <w:i/>
                <w:iCs/>
              </w:rPr>
            </w:pPr>
            <w:r w:rsidRPr="004D46AC">
              <w:t>SCID</w:t>
            </w:r>
          </w:p>
        </w:tc>
        <w:tc>
          <w:tcPr>
            <w:tcW w:w="1147" w:type="dxa"/>
            <w:vAlign w:val="center"/>
          </w:tcPr>
          <w:p w14:paraId="268230DC" w14:textId="77777777" w:rsidR="009864DB" w:rsidRPr="004D46AC" w:rsidRDefault="009864DB" w:rsidP="009864DB">
            <w:pPr>
              <w:spacing w:line="240" w:lineRule="auto"/>
              <w:ind w:firstLine="0"/>
              <w:rPr>
                <w:i/>
                <w:iCs/>
              </w:rPr>
            </w:pPr>
            <w:r w:rsidRPr="004D46AC">
              <w:t>1</w:t>
            </w:r>
          </w:p>
        </w:tc>
        <w:tc>
          <w:tcPr>
            <w:tcW w:w="1178" w:type="dxa"/>
            <w:vAlign w:val="center"/>
          </w:tcPr>
          <w:p w14:paraId="6B993638" w14:textId="77777777" w:rsidR="009864DB" w:rsidRPr="004D46AC" w:rsidRDefault="009864DB" w:rsidP="009864DB">
            <w:pPr>
              <w:spacing w:line="240" w:lineRule="auto"/>
              <w:ind w:firstLine="0"/>
              <w:rPr>
                <w:i/>
                <w:iCs/>
              </w:rPr>
            </w:pPr>
            <w:r w:rsidRPr="004D46AC">
              <w:t>unclear</w:t>
            </w:r>
          </w:p>
        </w:tc>
        <w:tc>
          <w:tcPr>
            <w:tcW w:w="1167" w:type="dxa"/>
            <w:vAlign w:val="center"/>
          </w:tcPr>
          <w:p w14:paraId="6FC1FB6D" w14:textId="77777777" w:rsidR="009864DB" w:rsidRPr="004D46AC" w:rsidRDefault="009864DB" w:rsidP="009864DB">
            <w:pPr>
              <w:spacing w:line="240" w:lineRule="auto"/>
              <w:ind w:firstLine="0"/>
              <w:rPr>
                <w:i/>
                <w:iCs/>
              </w:rPr>
            </w:pPr>
            <w:r w:rsidRPr="004D46AC">
              <w:t>1</w:t>
            </w:r>
          </w:p>
        </w:tc>
        <w:tc>
          <w:tcPr>
            <w:tcW w:w="1162" w:type="dxa"/>
          </w:tcPr>
          <w:p w14:paraId="7FD772D0"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075C9D43" w14:textId="77777777" w:rsidR="009864DB" w:rsidRPr="004D46AC" w:rsidRDefault="009864DB" w:rsidP="009864DB">
            <w:pPr>
              <w:spacing w:line="240" w:lineRule="auto"/>
              <w:ind w:firstLine="0"/>
              <w:rPr>
                <w:i/>
                <w:iCs/>
              </w:rPr>
            </w:pPr>
            <w:r w:rsidRPr="004D46AC">
              <w:t>any</w:t>
            </w:r>
          </w:p>
        </w:tc>
        <w:tc>
          <w:tcPr>
            <w:tcW w:w="1163" w:type="dxa"/>
            <w:vAlign w:val="center"/>
          </w:tcPr>
          <w:p w14:paraId="0709C505" w14:textId="77777777" w:rsidR="009864DB" w:rsidRPr="004D46AC" w:rsidRDefault="009864DB" w:rsidP="009864DB">
            <w:pPr>
              <w:spacing w:line="240" w:lineRule="auto"/>
              <w:ind w:firstLine="0"/>
              <w:rPr>
                <w:i/>
                <w:iCs/>
              </w:rPr>
            </w:pPr>
            <w:r w:rsidRPr="004D46AC">
              <w:t>45</w:t>
            </w:r>
          </w:p>
        </w:tc>
      </w:tr>
      <w:tr w:rsidR="009864DB" w:rsidRPr="004D46AC" w14:paraId="6B2741B3" w14:textId="77777777" w:rsidTr="00B518F1">
        <w:tc>
          <w:tcPr>
            <w:tcW w:w="1908" w:type="dxa"/>
          </w:tcPr>
          <w:p w14:paraId="289F0699"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PEVuZE5vdGU+PENpdGUgQXV0aG9yWWVhcj0iMSI+PEF1dGhvcj5aZW5pc2VrPC9BdXRob3I+PFll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rPr>
                <w:i/>
                <w:iCs/>
              </w:rPr>
              <w:instrText xml:space="preserve"> ADDIN EN.CITE </w:instrText>
            </w:r>
            <w:r w:rsidRPr="004D46AC">
              <w:rPr>
                <w:i/>
                <w:iCs/>
              </w:rPr>
              <w:fldChar w:fldCharType="begin">
                <w:fldData xml:space="preserve">PEVuZE5vdGU+PENpdGUgQXV0aG9yWWVhcj0iMSI+PEF1dGhvcj5aZW5pc2VrPC9BdXRob3I+PFll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=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Zenisek et al. (2015)</w:t>
            </w:r>
            <w:r w:rsidRPr="004D46AC">
              <w:fldChar w:fldCharType="end"/>
            </w:r>
          </w:p>
        </w:tc>
        <w:tc>
          <w:tcPr>
            <w:tcW w:w="1198" w:type="dxa"/>
            <w:vAlign w:val="center"/>
          </w:tcPr>
          <w:p w14:paraId="77CCE0D0" w14:textId="77777777" w:rsidR="009864DB" w:rsidRPr="004D46AC" w:rsidRDefault="009864DB" w:rsidP="009864DB">
            <w:pPr>
              <w:spacing w:line="240" w:lineRule="auto"/>
              <w:ind w:firstLine="0"/>
              <w:rPr>
                <w:i/>
                <w:iCs/>
              </w:rPr>
            </w:pPr>
            <w:r w:rsidRPr="004D46AC">
              <w:t>4</w:t>
            </w:r>
          </w:p>
        </w:tc>
        <w:tc>
          <w:tcPr>
            <w:tcW w:w="1178" w:type="dxa"/>
            <w:vAlign w:val="center"/>
          </w:tcPr>
          <w:p w14:paraId="09D98579" w14:textId="77777777" w:rsidR="009864DB" w:rsidRPr="004D46AC" w:rsidRDefault="009864DB" w:rsidP="009864DB">
            <w:pPr>
              <w:spacing w:line="240" w:lineRule="auto"/>
              <w:ind w:firstLine="0"/>
              <w:rPr>
                <w:i/>
                <w:iCs/>
              </w:rPr>
            </w:pPr>
            <w:r w:rsidRPr="004D46AC">
              <w:t>35.89</w:t>
            </w:r>
          </w:p>
        </w:tc>
        <w:tc>
          <w:tcPr>
            <w:tcW w:w="1221" w:type="dxa"/>
            <w:vAlign w:val="center"/>
          </w:tcPr>
          <w:p w14:paraId="78E23ACF" w14:textId="77777777" w:rsidR="009864DB" w:rsidRPr="004D46AC" w:rsidRDefault="009864DB" w:rsidP="009864DB">
            <w:pPr>
              <w:spacing w:line="240" w:lineRule="auto"/>
              <w:ind w:firstLine="0"/>
              <w:rPr>
                <w:i/>
                <w:iCs/>
              </w:rPr>
            </w:pPr>
            <w:r w:rsidRPr="004D46AC">
              <w:t>DSM4</w:t>
            </w:r>
          </w:p>
        </w:tc>
        <w:tc>
          <w:tcPr>
            <w:tcW w:w="1415" w:type="dxa"/>
            <w:vAlign w:val="center"/>
          </w:tcPr>
          <w:p w14:paraId="19F71ED2" w14:textId="77777777" w:rsidR="009864DB" w:rsidRPr="004D46AC" w:rsidRDefault="009864DB" w:rsidP="009864DB">
            <w:pPr>
              <w:spacing w:line="240" w:lineRule="auto"/>
              <w:ind w:firstLine="0"/>
              <w:rPr>
                <w:i/>
                <w:iCs/>
              </w:rPr>
            </w:pPr>
            <w:r w:rsidRPr="004D46AC">
              <w:t>SCID</w:t>
            </w:r>
          </w:p>
        </w:tc>
        <w:tc>
          <w:tcPr>
            <w:tcW w:w="1147" w:type="dxa"/>
            <w:vAlign w:val="center"/>
          </w:tcPr>
          <w:p w14:paraId="38662F70" w14:textId="77777777" w:rsidR="009864DB" w:rsidRPr="004D46AC" w:rsidRDefault="009864DB" w:rsidP="009864DB">
            <w:pPr>
              <w:spacing w:line="240" w:lineRule="auto"/>
              <w:ind w:firstLine="0"/>
              <w:rPr>
                <w:i/>
                <w:iCs/>
              </w:rPr>
            </w:pPr>
            <w:r w:rsidRPr="004D46AC">
              <w:t>1</w:t>
            </w:r>
          </w:p>
        </w:tc>
        <w:tc>
          <w:tcPr>
            <w:tcW w:w="1178" w:type="dxa"/>
            <w:vAlign w:val="center"/>
          </w:tcPr>
          <w:p w14:paraId="4336AAA9" w14:textId="77777777" w:rsidR="009864DB" w:rsidRPr="004D46AC" w:rsidRDefault="009864DB" w:rsidP="009864DB">
            <w:pPr>
              <w:spacing w:line="240" w:lineRule="auto"/>
              <w:ind w:firstLine="0"/>
              <w:rPr>
                <w:i/>
                <w:iCs/>
              </w:rPr>
            </w:pPr>
            <w:r w:rsidRPr="004D46AC">
              <w:t>1</w:t>
            </w:r>
          </w:p>
        </w:tc>
        <w:tc>
          <w:tcPr>
            <w:tcW w:w="1167" w:type="dxa"/>
            <w:vAlign w:val="center"/>
          </w:tcPr>
          <w:p w14:paraId="233E0078" w14:textId="77777777" w:rsidR="009864DB" w:rsidRPr="004D46AC" w:rsidRDefault="009864DB" w:rsidP="009864DB">
            <w:pPr>
              <w:spacing w:line="240" w:lineRule="auto"/>
              <w:ind w:firstLine="0"/>
              <w:rPr>
                <w:i/>
                <w:iCs/>
              </w:rPr>
            </w:pPr>
            <w:r w:rsidRPr="004D46AC">
              <w:t>1</w:t>
            </w:r>
          </w:p>
        </w:tc>
        <w:tc>
          <w:tcPr>
            <w:tcW w:w="1162" w:type="dxa"/>
          </w:tcPr>
          <w:p w14:paraId="1CA4C4BA"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81BD1D5" w14:textId="77777777" w:rsidR="009864DB" w:rsidRPr="004D46AC" w:rsidRDefault="009864DB" w:rsidP="009864DB">
            <w:pPr>
              <w:spacing w:line="240" w:lineRule="auto"/>
              <w:ind w:firstLine="0"/>
              <w:rPr>
                <w:i/>
                <w:iCs/>
              </w:rPr>
            </w:pPr>
            <w:r w:rsidRPr="004D46AC">
              <w:t>auditory</w:t>
            </w:r>
          </w:p>
        </w:tc>
        <w:tc>
          <w:tcPr>
            <w:tcW w:w="1163" w:type="dxa"/>
            <w:vAlign w:val="center"/>
          </w:tcPr>
          <w:p w14:paraId="5E4DD668" w14:textId="77777777" w:rsidR="009864DB" w:rsidRPr="004D46AC" w:rsidRDefault="009864DB" w:rsidP="009864DB">
            <w:pPr>
              <w:spacing w:line="240" w:lineRule="auto"/>
              <w:ind w:firstLine="0"/>
              <w:rPr>
                <w:i/>
                <w:iCs/>
              </w:rPr>
            </w:pPr>
            <w:r w:rsidRPr="004D46AC">
              <w:t>17</w:t>
            </w:r>
          </w:p>
        </w:tc>
      </w:tr>
      <w:tr w:rsidR="009864DB" w:rsidRPr="004D46AC" w14:paraId="047C5F3C" w14:textId="77777777" w:rsidTr="00B518F1">
        <w:tc>
          <w:tcPr>
            <w:tcW w:w="1908" w:type="dxa"/>
          </w:tcPr>
          <w:p w14:paraId="5C105BC6"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PEVuZE5vdGU+PENpdGUgQXV0aG9yWWVhcj0iMSI+PEF1dGhvcj5TY2h1dHRlPC9BdXRob3I+PFll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</w:fldData>
              </w:fldChar>
            </w:r>
            <w:r w:rsidRPr="004D46AC">
              <w:rPr>
                <w:i/>
                <w:iCs/>
              </w:rPr>
              <w:instrText xml:space="preserve"> ADDIN EN.CITE </w:instrText>
            </w:r>
            <w:r w:rsidRPr="004D46AC">
              <w:rPr>
                <w:i/>
                <w:iCs/>
              </w:rPr>
              <w:fldChar w:fldCharType="begin">
                <w:fldData xml:space="preserve">PEVuZE5vdGU+PENpdGUgQXV0aG9yWWVhcj0iMSI+PEF1dGhvcj5TY2h1dHRlPC9BdXRob3I+PFll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Schutte et al. (2022)</w:t>
            </w:r>
            <w:r w:rsidRPr="004D46AC">
              <w:fldChar w:fldCharType="end"/>
            </w:r>
          </w:p>
        </w:tc>
        <w:tc>
          <w:tcPr>
            <w:tcW w:w="1198" w:type="dxa"/>
            <w:vAlign w:val="center"/>
          </w:tcPr>
          <w:p w14:paraId="7A9D9C8F" w14:textId="77777777" w:rsidR="009864DB" w:rsidRPr="004D46AC" w:rsidRDefault="009864DB" w:rsidP="009864DB">
            <w:pPr>
              <w:spacing w:line="240" w:lineRule="auto"/>
              <w:ind w:firstLine="0"/>
              <w:rPr>
                <w:i/>
                <w:iCs/>
              </w:rPr>
            </w:pPr>
            <w:r w:rsidRPr="004D46AC">
              <w:t>5</w:t>
            </w:r>
          </w:p>
        </w:tc>
        <w:tc>
          <w:tcPr>
            <w:tcW w:w="1178" w:type="dxa"/>
            <w:vAlign w:val="center"/>
          </w:tcPr>
          <w:p w14:paraId="0B8C0DCB" w14:textId="77777777" w:rsidR="009864DB" w:rsidRPr="004D46AC" w:rsidRDefault="009864DB" w:rsidP="009864DB">
            <w:pPr>
              <w:spacing w:line="240" w:lineRule="auto"/>
              <w:ind w:firstLine="0"/>
              <w:rPr>
                <w:i/>
                <w:iCs/>
              </w:rPr>
            </w:pPr>
            <w:r w:rsidRPr="004D46AC">
              <w:t>48.31</w:t>
            </w:r>
          </w:p>
        </w:tc>
        <w:tc>
          <w:tcPr>
            <w:tcW w:w="1221" w:type="dxa"/>
            <w:vAlign w:val="center"/>
          </w:tcPr>
          <w:p w14:paraId="16F9D155" w14:textId="77777777" w:rsidR="009864DB" w:rsidRPr="004D46AC" w:rsidRDefault="009864DB" w:rsidP="009864DB">
            <w:pPr>
              <w:spacing w:line="240" w:lineRule="auto"/>
              <w:ind w:firstLine="0"/>
              <w:rPr>
                <w:i/>
                <w:iCs/>
              </w:rPr>
            </w:pPr>
            <w:r w:rsidRPr="004D46AC">
              <w:t>DSM4</w:t>
            </w:r>
          </w:p>
        </w:tc>
        <w:tc>
          <w:tcPr>
            <w:tcW w:w="1415" w:type="dxa"/>
            <w:vAlign w:val="center"/>
          </w:tcPr>
          <w:p w14:paraId="08E06048" w14:textId="77777777" w:rsidR="009864DB" w:rsidRPr="004D46AC" w:rsidRDefault="009864DB" w:rsidP="009864DB">
            <w:pPr>
              <w:spacing w:line="240" w:lineRule="auto"/>
              <w:ind w:firstLine="0"/>
              <w:rPr>
                <w:i/>
                <w:iCs/>
              </w:rPr>
            </w:pPr>
            <w:r w:rsidRPr="004D46AC">
              <w:t>CASH</w:t>
            </w:r>
          </w:p>
        </w:tc>
        <w:tc>
          <w:tcPr>
            <w:tcW w:w="1147" w:type="dxa"/>
            <w:vAlign w:val="center"/>
          </w:tcPr>
          <w:p w14:paraId="22DA58B0" w14:textId="77777777" w:rsidR="009864DB" w:rsidRPr="004D46AC" w:rsidRDefault="009864DB" w:rsidP="009864DB">
            <w:pPr>
              <w:spacing w:line="240" w:lineRule="auto"/>
              <w:ind w:firstLine="0"/>
              <w:rPr>
                <w:i/>
                <w:iCs/>
              </w:rPr>
            </w:pPr>
            <w:r w:rsidRPr="004D46AC">
              <w:t>1</w:t>
            </w:r>
          </w:p>
        </w:tc>
        <w:tc>
          <w:tcPr>
            <w:tcW w:w="1178" w:type="dxa"/>
            <w:vAlign w:val="center"/>
          </w:tcPr>
          <w:p w14:paraId="2D892A0F" w14:textId="77777777" w:rsidR="009864DB" w:rsidRPr="004D46AC" w:rsidRDefault="009864DB" w:rsidP="009864DB">
            <w:pPr>
              <w:spacing w:line="240" w:lineRule="auto"/>
              <w:ind w:firstLine="0"/>
              <w:rPr>
                <w:i/>
                <w:iCs/>
              </w:rPr>
            </w:pPr>
            <w:r w:rsidRPr="004D46AC">
              <w:t>unclear</w:t>
            </w:r>
          </w:p>
        </w:tc>
        <w:tc>
          <w:tcPr>
            <w:tcW w:w="1167" w:type="dxa"/>
            <w:vAlign w:val="center"/>
          </w:tcPr>
          <w:p w14:paraId="021F5E4A" w14:textId="77777777" w:rsidR="009864DB" w:rsidRPr="004D46AC" w:rsidRDefault="009864DB" w:rsidP="009864DB">
            <w:pPr>
              <w:spacing w:line="240" w:lineRule="auto"/>
              <w:ind w:firstLine="0"/>
              <w:rPr>
                <w:i/>
                <w:iCs/>
              </w:rPr>
            </w:pPr>
            <w:r w:rsidRPr="004D46AC">
              <w:t>1</w:t>
            </w:r>
          </w:p>
        </w:tc>
        <w:tc>
          <w:tcPr>
            <w:tcW w:w="1162" w:type="dxa"/>
          </w:tcPr>
          <w:p w14:paraId="0870F263"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00F679A" w14:textId="77777777" w:rsidR="009864DB" w:rsidRPr="004D46AC" w:rsidRDefault="009864DB" w:rsidP="009864DB">
            <w:pPr>
              <w:spacing w:line="240" w:lineRule="auto"/>
              <w:ind w:firstLine="0"/>
              <w:rPr>
                <w:i/>
                <w:iCs/>
              </w:rPr>
            </w:pPr>
            <w:r w:rsidRPr="004D46AC">
              <w:t>any</w:t>
            </w:r>
          </w:p>
        </w:tc>
        <w:tc>
          <w:tcPr>
            <w:tcW w:w="1163" w:type="dxa"/>
            <w:vAlign w:val="center"/>
          </w:tcPr>
          <w:p w14:paraId="1A067327" w14:textId="77777777" w:rsidR="009864DB" w:rsidRPr="004D46AC" w:rsidRDefault="009864DB" w:rsidP="009864DB">
            <w:pPr>
              <w:spacing w:line="240" w:lineRule="auto"/>
              <w:ind w:firstLine="0"/>
              <w:rPr>
                <w:i/>
                <w:iCs/>
              </w:rPr>
            </w:pPr>
            <w:r w:rsidRPr="004D46AC">
              <w:t>73</w:t>
            </w:r>
          </w:p>
        </w:tc>
      </w:tr>
      <w:tr w:rsidR="009864DB" w:rsidRPr="004D46AC" w14:paraId="588B0F97" w14:textId="77777777" w:rsidTr="00B518F1">
        <w:tc>
          <w:tcPr>
            <w:tcW w:w="1908" w:type="dxa"/>
          </w:tcPr>
          <w:p w14:paraId="325E3FE3"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rPr>
                <w:i/>
                <w:iCs/>
              </w:rPr>
              <w:instrText xml:space="preserve"> ADDIN EN.CITE </w:instrText>
            </w:r>
            <w:r w:rsidRPr="004D46AC">
              <w:rPr>
                <w:i/>
                <w:iCs/>
              </w:rPr>
              <w:fldChar w:fldCharType="begin">
                <w:fldData xml:space="preserve">PEVuZE5vdGU+PENpdGUgQXV0aG9yWWVhcj0iMSI+PEF1dGhvcj5Nb3JnYW48L0F1dGhvcj48WWVh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Morgan et al. (2005)</w:t>
            </w:r>
            <w:r w:rsidRPr="004D46AC">
              <w:fldChar w:fldCharType="end"/>
            </w:r>
          </w:p>
        </w:tc>
        <w:tc>
          <w:tcPr>
            <w:tcW w:w="1198" w:type="dxa"/>
            <w:vAlign w:val="center"/>
          </w:tcPr>
          <w:p w14:paraId="64C5BF0E" w14:textId="77777777" w:rsidR="009864DB" w:rsidRPr="004D46AC" w:rsidRDefault="009864DB" w:rsidP="009864DB">
            <w:pPr>
              <w:spacing w:line="240" w:lineRule="auto"/>
              <w:ind w:firstLine="0"/>
              <w:rPr>
                <w:i/>
                <w:iCs/>
              </w:rPr>
            </w:pPr>
            <w:r w:rsidRPr="004D46AC">
              <w:t>7</w:t>
            </w:r>
          </w:p>
        </w:tc>
        <w:tc>
          <w:tcPr>
            <w:tcW w:w="1178" w:type="dxa"/>
            <w:vAlign w:val="center"/>
          </w:tcPr>
          <w:p w14:paraId="113F62E4" w14:textId="77777777" w:rsidR="009864DB" w:rsidRPr="004D46AC" w:rsidRDefault="009864DB" w:rsidP="009864DB">
            <w:pPr>
              <w:spacing w:line="240" w:lineRule="auto"/>
              <w:ind w:firstLine="0"/>
              <w:rPr>
                <w:i/>
                <w:iCs/>
              </w:rPr>
            </w:pPr>
            <w:r w:rsidRPr="004D46AC">
              <w:t>42.47</w:t>
            </w:r>
          </w:p>
        </w:tc>
        <w:tc>
          <w:tcPr>
            <w:tcW w:w="1221" w:type="dxa"/>
            <w:vAlign w:val="center"/>
          </w:tcPr>
          <w:p w14:paraId="47C18065" w14:textId="77777777" w:rsidR="009864DB" w:rsidRPr="004D46AC" w:rsidRDefault="009864DB" w:rsidP="009864DB">
            <w:pPr>
              <w:spacing w:line="240" w:lineRule="auto"/>
              <w:ind w:firstLine="0"/>
              <w:rPr>
                <w:i/>
                <w:iCs/>
              </w:rPr>
            </w:pPr>
            <w:r w:rsidRPr="004D46AC">
              <w:t>ICD10</w:t>
            </w:r>
          </w:p>
        </w:tc>
        <w:tc>
          <w:tcPr>
            <w:tcW w:w="1415" w:type="dxa"/>
            <w:vAlign w:val="center"/>
          </w:tcPr>
          <w:p w14:paraId="65678C0A" w14:textId="77777777" w:rsidR="009864DB" w:rsidRPr="004D46AC" w:rsidRDefault="009864DB" w:rsidP="009864DB">
            <w:pPr>
              <w:spacing w:line="240" w:lineRule="auto"/>
              <w:ind w:firstLine="0"/>
              <w:rPr>
                <w:i/>
                <w:iCs/>
              </w:rPr>
            </w:pPr>
            <w:r w:rsidRPr="004D46AC">
              <w:t>DIP</w:t>
            </w:r>
          </w:p>
        </w:tc>
        <w:tc>
          <w:tcPr>
            <w:tcW w:w="1147" w:type="dxa"/>
            <w:vAlign w:val="center"/>
          </w:tcPr>
          <w:p w14:paraId="5074444F" w14:textId="77777777" w:rsidR="009864DB" w:rsidRPr="004D46AC" w:rsidRDefault="009864DB" w:rsidP="009864DB">
            <w:pPr>
              <w:spacing w:line="240" w:lineRule="auto"/>
              <w:ind w:firstLine="0"/>
              <w:rPr>
                <w:i/>
                <w:iCs/>
              </w:rPr>
            </w:pPr>
            <w:r w:rsidRPr="004D46AC">
              <w:t>3</w:t>
            </w:r>
          </w:p>
        </w:tc>
        <w:tc>
          <w:tcPr>
            <w:tcW w:w="1178" w:type="dxa"/>
            <w:vAlign w:val="center"/>
          </w:tcPr>
          <w:p w14:paraId="176D5B06" w14:textId="77777777" w:rsidR="009864DB" w:rsidRPr="004D46AC" w:rsidRDefault="009864DB" w:rsidP="009864DB">
            <w:pPr>
              <w:spacing w:line="240" w:lineRule="auto"/>
              <w:ind w:firstLine="0"/>
              <w:rPr>
                <w:i/>
                <w:iCs/>
              </w:rPr>
            </w:pPr>
            <w:r w:rsidRPr="004D46AC">
              <w:t>2</w:t>
            </w:r>
          </w:p>
        </w:tc>
        <w:tc>
          <w:tcPr>
            <w:tcW w:w="1167" w:type="dxa"/>
            <w:vAlign w:val="center"/>
          </w:tcPr>
          <w:p w14:paraId="5949C43A" w14:textId="77777777" w:rsidR="009864DB" w:rsidRPr="004D46AC" w:rsidRDefault="009864DB" w:rsidP="009864DB">
            <w:pPr>
              <w:spacing w:line="240" w:lineRule="auto"/>
              <w:ind w:firstLine="0"/>
              <w:rPr>
                <w:i/>
                <w:iCs/>
              </w:rPr>
            </w:pPr>
            <w:r w:rsidRPr="004D46AC">
              <w:t>3</w:t>
            </w:r>
          </w:p>
        </w:tc>
        <w:tc>
          <w:tcPr>
            <w:tcW w:w="1162" w:type="dxa"/>
          </w:tcPr>
          <w:p w14:paraId="7DF9D71C"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74BE388B" w14:textId="77777777" w:rsidR="009864DB" w:rsidRPr="004D46AC" w:rsidRDefault="009864DB" w:rsidP="009864DB">
            <w:pPr>
              <w:spacing w:line="240" w:lineRule="auto"/>
              <w:ind w:firstLine="0"/>
              <w:rPr>
                <w:i/>
                <w:iCs/>
              </w:rPr>
            </w:pPr>
            <w:r w:rsidRPr="004D46AC">
              <w:t>any</w:t>
            </w:r>
          </w:p>
        </w:tc>
        <w:tc>
          <w:tcPr>
            <w:tcW w:w="1163" w:type="dxa"/>
            <w:vAlign w:val="center"/>
          </w:tcPr>
          <w:p w14:paraId="408C1193" w14:textId="77777777" w:rsidR="009864DB" w:rsidRPr="004D46AC" w:rsidRDefault="009864DB" w:rsidP="009864DB">
            <w:pPr>
              <w:spacing w:line="240" w:lineRule="auto"/>
              <w:ind w:firstLine="0"/>
              <w:rPr>
                <w:i/>
                <w:iCs/>
              </w:rPr>
            </w:pPr>
            <w:r w:rsidRPr="004D46AC">
              <w:t>23</w:t>
            </w:r>
          </w:p>
        </w:tc>
      </w:tr>
      <w:tr w:rsidR="009864DB" w:rsidRPr="004D46AC" w14:paraId="722EFD2F" w14:textId="77777777" w:rsidTr="00B518F1">
        <w:tc>
          <w:tcPr>
            <w:tcW w:w="1908" w:type="dxa"/>
          </w:tcPr>
          <w:p w14:paraId="69E1EFDD"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rPr>
                <w:i/>
                <w:iCs/>
              </w:rPr>
              <w:instrText xml:space="preserve"> ADDIN EN.CITE </w:instrText>
            </w:r>
            <w:r w:rsidRPr="004D46AC">
              <w:rPr>
                <w:i/>
                <w:iCs/>
              </w:rPr>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van Bergen et al. (2019)</w:t>
            </w:r>
            <w:r w:rsidRPr="004D46AC">
              <w:fldChar w:fldCharType="end"/>
            </w:r>
          </w:p>
        </w:tc>
        <w:tc>
          <w:tcPr>
            <w:tcW w:w="1198" w:type="dxa"/>
            <w:vAlign w:val="center"/>
          </w:tcPr>
          <w:p w14:paraId="1BBBF397" w14:textId="77777777" w:rsidR="009864DB" w:rsidRPr="004D46AC" w:rsidRDefault="009864DB" w:rsidP="009864DB">
            <w:pPr>
              <w:spacing w:line="240" w:lineRule="auto"/>
              <w:ind w:firstLine="0"/>
              <w:rPr>
                <w:i/>
                <w:iCs/>
              </w:rPr>
            </w:pPr>
            <w:r w:rsidRPr="004D46AC">
              <w:t>7</w:t>
            </w:r>
          </w:p>
        </w:tc>
        <w:tc>
          <w:tcPr>
            <w:tcW w:w="1178" w:type="dxa"/>
            <w:vAlign w:val="center"/>
          </w:tcPr>
          <w:p w14:paraId="147C9677" w14:textId="77777777" w:rsidR="009864DB" w:rsidRPr="004D46AC" w:rsidRDefault="009864DB" w:rsidP="009864DB">
            <w:pPr>
              <w:spacing w:line="240" w:lineRule="auto"/>
              <w:ind w:firstLine="0"/>
              <w:rPr>
                <w:i/>
                <w:iCs/>
              </w:rPr>
            </w:pPr>
            <w:r w:rsidRPr="004D46AC">
              <w:t>49.5</w:t>
            </w:r>
          </w:p>
        </w:tc>
        <w:tc>
          <w:tcPr>
            <w:tcW w:w="1221" w:type="dxa"/>
            <w:vAlign w:val="center"/>
          </w:tcPr>
          <w:p w14:paraId="0AA505F6" w14:textId="77777777" w:rsidR="009864DB" w:rsidRPr="004D46AC" w:rsidRDefault="009864DB" w:rsidP="009864DB">
            <w:pPr>
              <w:spacing w:line="240" w:lineRule="auto"/>
              <w:ind w:firstLine="0"/>
              <w:rPr>
                <w:i/>
                <w:iCs/>
              </w:rPr>
            </w:pPr>
            <w:r w:rsidRPr="004D46AC">
              <w:t>DSM4</w:t>
            </w:r>
          </w:p>
        </w:tc>
        <w:tc>
          <w:tcPr>
            <w:tcW w:w="1415" w:type="dxa"/>
            <w:vAlign w:val="center"/>
          </w:tcPr>
          <w:p w14:paraId="77E260B7" w14:textId="77777777" w:rsidR="009864DB" w:rsidRPr="004D46AC" w:rsidRDefault="009864DB" w:rsidP="009864DB">
            <w:pPr>
              <w:spacing w:line="240" w:lineRule="auto"/>
              <w:ind w:firstLine="0"/>
              <w:rPr>
                <w:i/>
                <w:iCs/>
              </w:rPr>
            </w:pPr>
            <w:r w:rsidRPr="004D46AC">
              <w:t>SCID</w:t>
            </w:r>
          </w:p>
        </w:tc>
        <w:tc>
          <w:tcPr>
            <w:tcW w:w="1147" w:type="dxa"/>
            <w:vAlign w:val="center"/>
          </w:tcPr>
          <w:p w14:paraId="42A54F15" w14:textId="77777777" w:rsidR="009864DB" w:rsidRPr="004D46AC" w:rsidRDefault="009864DB" w:rsidP="009864DB">
            <w:pPr>
              <w:spacing w:line="240" w:lineRule="auto"/>
              <w:ind w:firstLine="0"/>
              <w:rPr>
                <w:i/>
                <w:iCs/>
              </w:rPr>
            </w:pPr>
            <w:r w:rsidRPr="004D46AC">
              <w:t>2</w:t>
            </w:r>
          </w:p>
        </w:tc>
        <w:tc>
          <w:tcPr>
            <w:tcW w:w="1178" w:type="dxa"/>
            <w:vAlign w:val="center"/>
          </w:tcPr>
          <w:p w14:paraId="5AD7A32E" w14:textId="77777777" w:rsidR="009864DB" w:rsidRPr="004D46AC" w:rsidRDefault="009864DB" w:rsidP="009864DB">
            <w:pPr>
              <w:spacing w:line="240" w:lineRule="auto"/>
              <w:ind w:firstLine="0"/>
              <w:rPr>
                <w:i/>
                <w:iCs/>
              </w:rPr>
            </w:pPr>
            <w:r w:rsidRPr="004D46AC">
              <w:t>2</w:t>
            </w:r>
          </w:p>
        </w:tc>
        <w:tc>
          <w:tcPr>
            <w:tcW w:w="1167" w:type="dxa"/>
            <w:vAlign w:val="center"/>
          </w:tcPr>
          <w:p w14:paraId="1D9C11A7" w14:textId="77777777" w:rsidR="009864DB" w:rsidRPr="004D46AC" w:rsidRDefault="009864DB" w:rsidP="009864DB">
            <w:pPr>
              <w:spacing w:line="240" w:lineRule="auto"/>
              <w:ind w:firstLine="0"/>
              <w:rPr>
                <w:i/>
                <w:iCs/>
              </w:rPr>
            </w:pPr>
            <w:r w:rsidRPr="004D46AC">
              <w:t>2</w:t>
            </w:r>
          </w:p>
        </w:tc>
        <w:tc>
          <w:tcPr>
            <w:tcW w:w="1162" w:type="dxa"/>
          </w:tcPr>
          <w:p w14:paraId="075DE367"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7E98E95" w14:textId="77777777" w:rsidR="009864DB" w:rsidRPr="004D46AC" w:rsidRDefault="009864DB" w:rsidP="009864DB">
            <w:pPr>
              <w:spacing w:line="240" w:lineRule="auto"/>
              <w:ind w:firstLine="0"/>
              <w:rPr>
                <w:i/>
                <w:iCs/>
              </w:rPr>
            </w:pPr>
            <w:r w:rsidRPr="004D46AC">
              <w:t>any</w:t>
            </w:r>
          </w:p>
        </w:tc>
        <w:tc>
          <w:tcPr>
            <w:tcW w:w="1163" w:type="dxa"/>
            <w:vAlign w:val="center"/>
          </w:tcPr>
          <w:p w14:paraId="160FAB65" w14:textId="77777777" w:rsidR="009864DB" w:rsidRPr="004D46AC" w:rsidRDefault="009864DB" w:rsidP="009864DB">
            <w:pPr>
              <w:spacing w:line="240" w:lineRule="auto"/>
              <w:ind w:firstLine="0"/>
              <w:rPr>
                <w:i/>
                <w:iCs/>
              </w:rPr>
            </w:pPr>
            <w:r w:rsidRPr="004D46AC">
              <w:t>573</w:t>
            </w:r>
          </w:p>
        </w:tc>
      </w:tr>
      <w:tr w:rsidR="009864DB" w:rsidRPr="004D46AC" w14:paraId="15182679" w14:textId="77777777" w:rsidTr="00B518F1">
        <w:tc>
          <w:tcPr>
            <w:tcW w:w="1908" w:type="dxa"/>
          </w:tcPr>
          <w:p w14:paraId="0FB3D675" w14:textId="77777777" w:rsidR="009864DB" w:rsidRPr="004D46AC" w:rsidRDefault="009864DB" w:rsidP="009864DB">
            <w:pPr>
              <w:spacing w:line="240" w:lineRule="auto"/>
              <w:ind w:firstLine="0"/>
              <w:rPr>
                <w:i/>
                <w:iCs/>
              </w:rPr>
            </w:pPr>
            <w:r w:rsidRPr="004D46AC">
              <w:rPr>
                <w:i/>
                <w:iCs/>
              </w:rPr>
              <w:lastRenderedPageBreak/>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i/>
                <w:iCs/>
              </w:rPr>
              <w:instrText xml:space="preserve"> ADDIN EN.CITE </w:instrText>
            </w:r>
            <w:r w:rsidRPr="004D46AC">
              <w:rPr>
                <w:i/>
                <w:iCs/>
              </w:rPr>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Kennedy et al. (2004)</w:t>
            </w:r>
            <w:r w:rsidRPr="004D46AC">
              <w:fldChar w:fldCharType="end"/>
            </w:r>
          </w:p>
        </w:tc>
        <w:tc>
          <w:tcPr>
            <w:tcW w:w="1198" w:type="dxa"/>
            <w:vAlign w:val="center"/>
          </w:tcPr>
          <w:p w14:paraId="01370D04" w14:textId="77777777" w:rsidR="009864DB" w:rsidRPr="004D46AC" w:rsidRDefault="009864DB" w:rsidP="009864DB">
            <w:pPr>
              <w:spacing w:line="240" w:lineRule="auto"/>
              <w:ind w:firstLine="0"/>
              <w:rPr>
                <w:i/>
                <w:iCs/>
              </w:rPr>
            </w:pPr>
            <w:r w:rsidRPr="004D46AC">
              <w:t>4</w:t>
            </w:r>
          </w:p>
        </w:tc>
        <w:tc>
          <w:tcPr>
            <w:tcW w:w="1178" w:type="dxa"/>
            <w:vAlign w:val="center"/>
          </w:tcPr>
          <w:p w14:paraId="37FB0302" w14:textId="77777777" w:rsidR="009864DB" w:rsidRPr="004D46AC" w:rsidRDefault="009864DB" w:rsidP="009864DB">
            <w:pPr>
              <w:spacing w:line="240" w:lineRule="auto"/>
              <w:ind w:firstLine="0"/>
              <w:rPr>
                <w:i/>
                <w:iCs/>
              </w:rPr>
            </w:pPr>
            <w:r w:rsidRPr="004D46AC">
              <w:t>NA</w:t>
            </w:r>
          </w:p>
        </w:tc>
        <w:tc>
          <w:tcPr>
            <w:tcW w:w="1221" w:type="dxa"/>
            <w:vAlign w:val="center"/>
          </w:tcPr>
          <w:p w14:paraId="33AF322E" w14:textId="77777777" w:rsidR="009864DB" w:rsidRPr="004D46AC" w:rsidRDefault="009864DB" w:rsidP="009864DB">
            <w:pPr>
              <w:spacing w:line="240" w:lineRule="auto"/>
              <w:ind w:firstLine="0"/>
              <w:rPr>
                <w:i/>
                <w:iCs/>
              </w:rPr>
            </w:pPr>
            <w:r w:rsidRPr="004D46AC">
              <w:t>DSM4</w:t>
            </w:r>
          </w:p>
        </w:tc>
        <w:tc>
          <w:tcPr>
            <w:tcW w:w="1415" w:type="dxa"/>
            <w:vAlign w:val="center"/>
          </w:tcPr>
          <w:p w14:paraId="6324D478" w14:textId="77777777" w:rsidR="009864DB" w:rsidRPr="004D46AC" w:rsidRDefault="009864DB" w:rsidP="009864DB">
            <w:pPr>
              <w:spacing w:line="240" w:lineRule="auto"/>
              <w:ind w:firstLine="0"/>
              <w:rPr>
                <w:i/>
                <w:iCs/>
              </w:rPr>
            </w:pPr>
            <w:r w:rsidRPr="004D46AC">
              <w:t>OPCRIT</w:t>
            </w:r>
          </w:p>
        </w:tc>
        <w:tc>
          <w:tcPr>
            <w:tcW w:w="1147" w:type="dxa"/>
            <w:vAlign w:val="center"/>
          </w:tcPr>
          <w:p w14:paraId="16F7DD8F" w14:textId="77777777" w:rsidR="009864DB" w:rsidRPr="004D46AC" w:rsidRDefault="009864DB" w:rsidP="009864DB">
            <w:pPr>
              <w:spacing w:line="240" w:lineRule="auto"/>
              <w:ind w:firstLine="0"/>
              <w:rPr>
                <w:i/>
                <w:iCs/>
              </w:rPr>
            </w:pPr>
            <w:r w:rsidRPr="004D46AC">
              <w:t>2</w:t>
            </w:r>
          </w:p>
        </w:tc>
        <w:tc>
          <w:tcPr>
            <w:tcW w:w="1178" w:type="dxa"/>
            <w:vAlign w:val="center"/>
          </w:tcPr>
          <w:p w14:paraId="3DFB61E2" w14:textId="77777777" w:rsidR="009864DB" w:rsidRPr="004D46AC" w:rsidRDefault="009864DB" w:rsidP="009864DB">
            <w:pPr>
              <w:spacing w:line="240" w:lineRule="auto"/>
              <w:ind w:firstLine="0"/>
              <w:rPr>
                <w:i/>
                <w:iCs/>
              </w:rPr>
            </w:pPr>
            <w:r w:rsidRPr="004D46AC">
              <w:t>2</w:t>
            </w:r>
          </w:p>
        </w:tc>
        <w:tc>
          <w:tcPr>
            <w:tcW w:w="1167" w:type="dxa"/>
            <w:vAlign w:val="center"/>
          </w:tcPr>
          <w:p w14:paraId="6FE6F803" w14:textId="77777777" w:rsidR="009864DB" w:rsidRPr="004D46AC" w:rsidRDefault="009864DB" w:rsidP="009864DB">
            <w:pPr>
              <w:spacing w:line="240" w:lineRule="auto"/>
              <w:ind w:firstLine="0"/>
              <w:rPr>
                <w:i/>
                <w:iCs/>
              </w:rPr>
            </w:pPr>
            <w:r w:rsidRPr="004D46AC">
              <w:t>2</w:t>
            </w:r>
          </w:p>
        </w:tc>
        <w:tc>
          <w:tcPr>
            <w:tcW w:w="1162" w:type="dxa"/>
          </w:tcPr>
          <w:p w14:paraId="0AC56DED"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5316C0B0" w14:textId="77777777" w:rsidR="009864DB" w:rsidRPr="004D46AC" w:rsidRDefault="009864DB" w:rsidP="009864DB">
            <w:pPr>
              <w:spacing w:line="240" w:lineRule="auto"/>
              <w:ind w:firstLine="0"/>
              <w:rPr>
                <w:i/>
                <w:iCs/>
              </w:rPr>
            </w:pPr>
            <w:r w:rsidRPr="004D46AC">
              <w:t>auditory</w:t>
            </w:r>
          </w:p>
        </w:tc>
        <w:tc>
          <w:tcPr>
            <w:tcW w:w="1163" w:type="dxa"/>
            <w:vAlign w:val="center"/>
          </w:tcPr>
          <w:p w14:paraId="2AEB047E" w14:textId="77777777" w:rsidR="009864DB" w:rsidRPr="004D46AC" w:rsidRDefault="009864DB" w:rsidP="009864DB">
            <w:pPr>
              <w:spacing w:line="240" w:lineRule="auto"/>
              <w:ind w:firstLine="0"/>
              <w:rPr>
                <w:i/>
                <w:iCs/>
              </w:rPr>
            </w:pPr>
            <w:r w:rsidRPr="004D46AC">
              <w:t>42</w:t>
            </w:r>
          </w:p>
        </w:tc>
      </w:tr>
      <w:tr w:rsidR="009864DB" w:rsidRPr="004D46AC" w14:paraId="7E28D61B" w14:textId="77777777" w:rsidTr="00B518F1">
        <w:tc>
          <w:tcPr>
            <w:tcW w:w="1908" w:type="dxa"/>
          </w:tcPr>
          <w:p w14:paraId="5A88BB7C"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PEVuZE5vdGU+PENpdGUgQXV0aG9yWWVhcj0iMSI+PEF1dGhvcj5Pbmd1cjwvQXV0aG9yPjxZZWFy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</w:fldData>
              </w:fldChar>
            </w:r>
            <w:r w:rsidRPr="004D46AC">
              <w:rPr>
                <w:i/>
                <w:iCs/>
              </w:rPr>
              <w:instrText xml:space="preserve"> ADDIN EN.CITE </w:instrText>
            </w:r>
            <w:r w:rsidRPr="004D46AC">
              <w:rPr>
                <w:i/>
                <w:iCs/>
              </w:rPr>
              <w:fldChar w:fldCharType="begin">
                <w:fldData xml:space="preserve">PEVuZE5vdGU+PENpdGUgQXV0aG9yWWVhcj0iMSI+PEF1dGhvcj5Pbmd1cjwvQXV0aG9yPjxZZWFy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Ongur et al. (2009)</w:t>
            </w:r>
            <w:r w:rsidRPr="004D46AC">
              <w:fldChar w:fldCharType="end"/>
            </w:r>
          </w:p>
        </w:tc>
        <w:tc>
          <w:tcPr>
            <w:tcW w:w="1198" w:type="dxa"/>
            <w:vAlign w:val="center"/>
          </w:tcPr>
          <w:p w14:paraId="4A8D617B" w14:textId="77777777" w:rsidR="009864DB" w:rsidRPr="004D46AC" w:rsidRDefault="009864DB" w:rsidP="009864DB">
            <w:pPr>
              <w:spacing w:line="240" w:lineRule="auto"/>
              <w:ind w:firstLine="0"/>
              <w:rPr>
                <w:i/>
                <w:iCs/>
              </w:rPr>
            </w:pPr>
            <w:r w:rsidRPr="004D46AC">
              <w:t>7</w:t>
            </w:r>
          </w:p>
        </w:tc>
        <w:tc>
          <w:tcPr>
            <w:tcW w:w="1178" w:type="dxa"/>
            <w:vAlign w:val="center"/>
          </w:tcPr>
          <w:p w14:paraId="2CE198EE" w14:textId="77777777" w:rsidR="009864DB" w:rsidRPr="004D46AC" w:rsidRDefault="009864DB" w:rsidP="009864DB">
            <w:pPr>
              <w:spacing w:line="240" w:lineRule="auto"/>
              <w:ind w:firstLine="0"/>
              <w:rPr>
                <w:i/>
                <w:iCs/>
              </w:rPr>
            </w:pPr>
            <w:r w:rsidRPr="004D46AC">
              <w:t>36.4</w:t>
            </w:r>
          </w:p>
        </w:tc>
        <w:tc>
          <w:tcPr>
            <w:tcW w:w="1221" w:type="dxa"/>
            <w:vAlign w:val="center"/>
          </w:tcPr>
          <w:p w14:paraId="65B4B5DB" w14:textId="77777777" w:rsidR="009864DB" w:rsidRPr="004D46AC" w:rsidRDefault="009864DB" w:rsidP="009864DB">
            <w:pPr>
              <w:spacing w:line="240" w:lineRule="auto"/>
              <w:ind w:firstLine="0"/>
              <w:rPr>
                <w:i/>
                <w:iCs/>
              </w:rPr>
            </w:pPr>
            <w:r w:rsidRPr="004D46AC">
              <w:t>DSM4TR</w:t>
            </w:r>
          </w:p>
        </w:tc>
        <w:tc>
          <w:tcPr>
            <w:tcW w:w="1415" w:type="dxa"/>
            <w:vAlign w:val="center"/>
          </w:tcPr>
          <w:p w14:paraId="60B172C4" w14:textId="77777777" w:rsidR="009864DB" w:rsidRPr="004D46AC" w:rsidRDefault="009864DB" w:rsidP="009864DB">
            <w:pPr>
              <w:spacing w:line="240" w:lineRule="auto"/>
              <w:ind w:firstLine="0"/>
              <w:rPr>
                <w:i/>
                <w:iCs/>
              </w:rPr>
            </w:pPr>
            <w:r w:rsidRPr="004D46AC">
              <w:t>SCID</w:t>
            </w:r>
          </w:p>
        </w:tc>
        <w:tc>
          <w:tcPr>
            <w:tcW w:w="1147" w:type="dxa"/>
            <w:vAlign w:val="center"/>
          </w:tcPr>
          <w:p w14:paraId="128CABBD" w14:textId="77777777" w:rsidR="009864DB" w:rsidRPr="004D46AC" w:rsidRDefault="009864DB" w:rsidP="009864DB">
            <w:pPr>
              <w:spacing w:line="240" w:lineRule="auto"/>
              <w:ind w:firstLine="0"/>
              <w:rPr>
                <w:i/>
                <w:iCs/>
              </w:rPr>
            </w:pPr>
            <w:r w:rsidRPr="004D46AC">
              <w:t>3</w:t>
            </w:r>
          </w:p>
        </w:tc>
        <w:tc>
          <w:tcPr>
            <w:tcW w:w="1178" w:type="dxa"/>
            <w:vAlign w:val="center"/>
          </w:tcPr>
          <w:p w14:paraId="39A51FAB" w14:textId="77777777" w:rsidR="009864DB" w:rsidRPr="004D46AC" w:rsidRDefault="009864DB" w:rsidP="009864DB">
            <w:pPr>
              <w:spacing w:line="240" w:lineRule="auto"/>
              <w:ind w:firstLine="0"/>
              <w:rPr>
                <w:i/>
                <w:iCs/>
              </w:rPr>
            </w:pPr>
            <w:r w:rsidRPr="004D46AC">
              <w:t>2</w:t>
            </w:r>
          </w:p>
        </w:tc>
        <w:tc>
          <w:tcPr>
            <w:tcW w:w="1167" w:type="dxa"/>
            <w:vAlign w:val="center"/>
          </w:tcPr>
          <w:p w14:paraId="0EBCAAD5" w14:textId="77777777" w:rsidR="009864DB" w:rsidRPr="004D46AC" w:rsidRDefault="009864DB" w:rsidP="009864DB">
            <w:pPr>
              <w:spacing w:line="240" w:lineRule="auto"/>
              <w:ind w:firstLine="0"/>
              <w:rPr>
                <w:i/>
                <w:iCs/>
              </w:rPr>
            </w:pPr>
            <w:r w:rsidRPr="004D46AC">
              <w:t>3</w:t>
            </w:r>
          </w:p>
        </w:tc>
        <w:tc>
          <w:tcPr>
            <w:tcW w:w="1162" w:type="dxa"/>
          </w:tcPr>
          <w:p w14:paraId="76F25A55"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4A806E7B" w14:textId="77777777" w:rsidR="009864DB" w:rsidRPr="004D46AC" w:rsidRDefault="009864DB" w:rsidP="009864DB">
            <w:pPr>
              <w:spacing w:line="240" w:lineRule="auto"/>
              <w:ind w:firstLine="0"/>
              <w:rPr>
                <w:i/>
                <w:iCs/>
              </w:rPr>
            </w:pPr>
            <w:r w:rsidRPr="004D46AC">
              <w:t>any</w:t>
            </w:r>
          </w:p>
        </w:tc>
        <w:tc>
          <w:tcPr>
            <w:tcW w:w="1163" w:type="dxa"/>
            <w:vAlign w:val="center"/>
          </w:tcPr>
          <w:p w14:paraId="3C1B4B69" w14:textId="77777777" w:rsidR="009864DB" w:rsidRPr="004D46AC" w:rsidRDefault="009864DB" w:rsidP="009864DB">
            <w:pPr>
              <w:spacing w:line="240" w:lineRule="auto"/>
              <w:ind w:firstLine="0"/>
              <w:rPr>
                <w:i/>
                <w:iCs/>
              </w:rPr>
            </w:pPr>
            <w:r w:rsidRPr="004D46AC">
              <w:t>44</w:t>
            </w:r>
          </w:p>
        </w:tc>
      </w:tr>
      <w:tr w:rsidR="009864DB" w:rsidRPr="004D46AC" w14:paraId="2493B4D7" w14:textId="77777777" w:rsidTr="00B518F1">
        <w:tc>
          <w:tcPr>
            <w:tcW w:w="1908" w:type="dxa"/>
          </w:tcPr>
          <w:p w14:paraId="7FAAB746"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rPr>
                <w:i/>
                <w:iCs/>
              </w:rPr>
              <w:instrText xml:space="preserve"> ADDIN EN.CITE </w:instrText>
            </w:r>
            <w:r w:rsidRPr="004D46AC">
              <w:rPr>
                <w:i/>
                <w:iCs/>
              </w:rPr>
              <w:fldChar w:fldCharType="begin">
                <w:fldData xml:space="preserve">PEVuZE5vdGU+PENpdGUgQXV0aG9yWWVhcj0iMSI+PEF1dGhvcj5QYXJrZXI8L0F1dGhvcj48WWVh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Parker et al. (2013)</w:t>
            </w:r>
            <w:r w:rsidRPr="004D46AC">
              <w:fldChar w:fldCharType="end"/>
            </w:r>
          </w:p>
        </w:tc>
        <w:tc>
          <w:tcPr>
            <w:tcW w:w="1198" w:type="dxa"/>
            <w:vAlign w:val="center"/>
          </w:tcPr>
          <w:p w14:paraId="5346072B" w14:textId="77777777" w:rsidR="009864DB" w:rsidRPr="004D46AC" w:rsidRDefault="009864DB" w:rsidP="009864DB">
            <w:pPr>
              <w:spacing w:line="240" w:lineRule="auto"/>
              <w:ind w:firstLine="0"/>
              <w:rPr>
                <w:i/>
                <w:iCs/>
              </w:rPr>
            </w:pPr>
            <w:r w:rsidRPr="004D46AC">
              <w:t>6</w:t>
            </w:r>
          </w:p>
        </w:tc>
        <w:tc>
          <w:tcPr>
            <w:tcW w:w="1178" w:type="dxa"/>
            <w:vAlign w:val="center"/>
          </w:tcPr>
          <w:p w14:paraId="408DD782" w14:textId="77777777" w:rsidR="009864DB" w:rsidRPr="004D46AC" w:rsidRDefault="009864DB" w:rsidP="009864DB">
            <w:pPr>
              <w:spacing w:line="240" w:lineRule="auto"/>
              <w:ind w:firstLine="0"/>
              <w:rPr>
                <w:i/>
                <w:iCs/>
              </w:rPr>
            </w:pPr>
            <w:r w:rsidRPr="004D46AC">
              <w:t>35.73</w:t>
            </w:r>
          </w:p>
        </w:tc>
        <w:tc>
          <w:tcPr>
            <w:tcW w:w="1221" w:type="dxa"/>
            <w:vAlign w:val="center"/>
          </w:tcPr>
          <w:p w14:paraId="1C917CBB" w14:textId="77777777" w:rsidR="009864DB" w:rsidRPr="004D46AC" w:rsidRDefault="009864DB" w:rsidP="009864DB">
            <w:pPr>
              <w:spacing w:line="240" w:lineRule="auto"/>
              <w:ind w:firstLine="0"/>
              <w:rPr>
                <w:i/>
                <w:iCs/>
              </w:rPr>
            </w:pPr>
            <w:r w:rsidRPr="004D46AC">
              <w:t>DSM4</w:t>
            </w:r>
          </w:p>
        </w:tc>
        <w:tc>
          <w:tcPr>
            <w:tcW w:w="1415" w:type="dxa"/>
            <w:vAlign w:val="center"/>
          </w:tcPr>
          <w:p w14:paraId="146AD7FF" w14:textId="77777777" w:rsidR="009864DB" w:rsidRPr="004D46AC" w:rsidRDefault="009864DB" w:rsidP="009864DB">
            <w:pPr>
              <w:spacing w:line="240" w:lineRule="auto"/>
              <w:ind w:firstLine="0"/>
              <w:rPr>
                <w:i/>
                <w:iCs/>
              </w:rPr>
            </w:pPr>
            <w:r w:rsidRPr="004D46AC">
              <w:t>mixed</w:t>
            </w:r>
          </w:p>
        </w:tc>
        <w:tc>
          <w:tcPr>
            <w:tcW w:w="1147" w:type="dxa"/>
            <w:vAlign w:val="center"/>
          </w:tcPr>
          <w:p w14:paraId="61ECFEBE" w14:textId="77777777" w:rsidR="009864DB" w:rsidRPr="004D46AC" w:rsidRDefault="009864DB" w:rsidP="009864DB">
            <w:pPr>
              <w:spacing w:line="240" w:lineRule="auto"/>
              <w:ind w:firstLine="0"/>
              <w:rPr>
                <w:i/>
                <w:iCs/>
              </w:rPr>
            </w:pPr>
            <w:r w:rsidRPr="004D46AC">
              <w:t>1</w:t>
            </w:r>
          </w:p>
        </w:tc>
        <w:tc>
          <w:tcPr>
            <w:tcW w:w="1178" w:type="dxa"/>
            <w:vAlign w:val="center"/>
          </w:tcPr>
          <w:p w14:paraId="5BF5A633" w14:textId="77777777" w:rsidR="009864DB" w:rsidRPr="004D46AC" w:rsidRDefault="009864DB" w:rsidP="009864DB">
            <w:pPr>
              <w:spacing w:line="240" w:lineRule="auto"/>
              <w:ind w:firstLine="0"/>
              <w:rPr>
                <w:i/>
                <w:iCs/>
              </w:rPr>
            </w:pPr>
            <w:r w:rsidRPr="004D46AC">
              <w:t>unclear</w:t>
            </w:r>
          </w:p>
        </w:tc>
        <w:tc>
          <w:tcPr>
            <w:tcW w:w="1167" w:type="dxa"/>
            <w:vAlign w:val="center"/>
          </w:tcPr>
          <w:p w14:paraId="79F5D0EF" w14:textId="77777777" w:rsidR="009864DB" w:rsidRPr="004D46AC" w:rsidRDefault="009864DB" w:rsidP="009864DB">
            <w:pPr>
              <w:spacing w:line="240" w:lineRule="auto"/>
              <w:ind w:firstLine="0"/>
              <w:rPr>
                <w:i/>
                <w:iCs/>
              </w:rPr>
            </w:pPr>
            <w:r w:rsidRPr="004D46AC">
              <w:t>1</w:t>
            </w:r>
          </w:p>
        </w:tc>
        <w:tc>
          <w:tcPr>
            <w:tcW w:w="1162" w:type="dxa"/>
          </w:tcPr>
          <w:p w14:paraId="665D5BEE"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269CA416" w14:textId="77777777" w:rsidR="009864DB" w:rsidRPr="004D46AC" w:rsidRDefault="009864DB" w:rsidP="009864DB">
            <w:pPr>
              <w:spacing w:line="240" w:lineRule="auto"/>
              <w:ind w:firstLine="0"/>
              <w:rPr>
                <w:i/>
                <w:iCs/>
              </w:rPr>
            </w:pPr>
            <w:r w:rsidRPr="004D46AC">
              <w:t>any</w:t>
            </w:r>
          </w:p>
        </w:tc>
        <w:tc>
          <w:tcPr>
            <w:tcW w:w="1163" w:type="dxa"/>
            <w:vAlign w:val="center"/>
          </w:tcPr>
          <w:p w14:paraId="624FA5AC" w14:textId="77777777" w:rsidR="009864DB" w:rsidRPr="004D46AC" w:rsidRDefault="009864DB" w:rsidP="009864DB">
            <w:pPr>
              <w:spacing w:line="240" w:lineRule="auto"/>
              <w:ind w:firstLine="0"/>
              <w:rPr>
                <w:i/>
                <w:iCs/>
              </w:rPr>
            </w:pPr>
            <w:r w:rsidRPr="004D46AC">
              <w:t>92</w:t>
            </w:r>
          </w:p>
        </w:tc>
      </w:tr>
      <w:tr w:rsidR="009864DB" w:rsidRPr="004D46AC" w14:paraId="40E87A84" w14:textId="77777777" w:rsidTr="00B518F1">
        <w:tc>
          <w:tcPr>
            <w:tcW w:w="1908" w:type="dxa"/>
          </w:tcPr>
          <w:p w14:paraId="518D7186"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PEVuZE5vdGU+PENpdGUgQXV0aG9yWWVhcj0iMSI+PEF1dGhvcj5CZW5hYmFycmU8L0F1dGhvcj48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rPr>
                <w:i/>
                <w:iCs/>
              </w:rPr>
              <w:instrText xml:space="preserve"> ADDIN EN.CITE </w:instrText>
            </w:r>
            <w:r w:rsidRPr="004D46AC">
              <w:rPr>
                <w:i/>
                <w:iCs/>
              </w:rPr>
              <w:fldChar w:fldCharType="begin">
                <w:fldData xml:space="preserve">PEVuZE5vdGU+PENpdGUgQXV0aG9yWWVhcj0iMSI+PEF1dGhvcj5CZW5hYmFycmU8L0F1dGhvcj48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Benabarre et al. (2001)</w:t>
            </w:r>
            <w:r w:rsidRPr="004D46AC">
              <w:fldChar w:fldCharType="end"/>
            </w:r>
          </w:p>
        </w:tc>
        <w:tc>
          <w:tcPr>
            <w:tcW w:w="1198" w:type="dxa"/>
            <w:vAlign w:val="center"/>
          </w:tcPr>
          <w:p w14:paraId="3A48FE38" w14:textId="77777777" w:rsidR="009864DB" w:rsidRPr="004D46AC" w:rsidRDefault="009864DB" w:rsidP="009864DB">
            <w:pPr>
              <w:spacing w:line="240" w:lineRule="auto"/>
              <w:ind w:firstLine="0"/>
              <w:rPr>
                <w:i/>
                <w:iCs/>
              </w:rPr>
            </w:pPr>
            <w:r w:rsidRPr="004D46AC">
              <w:t>4</w:t>
            </w:r>
          </w:p>
        </w:tc>
        <w:tc>
          <w:tcPr>
            <w:tcW w:w="1178" w:type="dxa"/>
            <w:vAlign w:val="center"/>
          </w:tcPr>
          <w:p w14:paraId="1D4D6A56" w14:textId="77777777" w:rsidR="009864DB" w:rsidRPr="004D46AC" w:rsidRDefault="009864DB" w:rsidP="009864DB">
            <w:pPr>
              <w:spacing w:line="240" w:lineRule="auto"/>
              <w:ind w:firstLine="0"/>
              <w:rPr>
                <w:i/>
                <w:iCs/>
              </w:rPr>
            </w:pPr>
            <w:r w:rsidRPr="004D46AC">
              <w:t>NA</w:t>
            </w:r>
          </w:p>
        </w:tc>
        <w:tc>
          <w:tcPr>
            <w:tcW w:w="1221" w:type="dxa"/>
            <w:vAlign w:val="center"/>
          </w:tcPr>
          <w:p w14:paraId="3DF51D5D" w14:textId="77777777" w:rsidR="009864DB" w:rsidRPr="004D46AC" w:rsidRDefault="009864DB" w:rsidP="009864DB">
            <w:pPr>
              <w:spacing w:line="240" w:lineRule="auto"/>
              <w:ind w:firstLine="0"/>
              <w:rPr>
                <w:i/>
                <w:iCs/>
              </w:rPr>
            </w:pPr>
            <w:r w:rsidRPr="004D46AC">
              <w:t>RDC</w:t>
            </w:r>
          </w:p>
        </w:tc>
        <w:tc>
          <w:tcPr>
            <w:tcW w:w="1415" w:type="dxa"/>
            <w:vAlign w:val="center"/>
          </w:tcPr>
          <w:p w14:paraId="7F74547E" w14:textId="77777777" w:rsidR="009864DB" w:rsidRPr="004D46AC" w:rsidRDefault="009864DB" w:rsidP="009864DB">
            <w:pPr>
              <w:spacing w:line="240" w:lineRule="auto"/>
              <w:ind w:firstLine="0"/>
              <w:rPr>
                <w:i/>
                <w:iCs/>
              </w:rPr>
            </w:pPr>
            <w:r w:rsidRPr="004D46AC">
              <w:t>SADS</w:t>
            </w:r>
          </w:p>
        </w:tc>
        <w:tc>
          <w:tcPr>
            <w:tcW w:w="1147" w:type="dxa"/>
            <w:vAlign w:val="center"/>
          </w:tcPr>
          <w:p w14:paraId="2CDA7291" w14:textId="77777777" w:rsidR="009864DB" w:rsidRPr="004D46AC" w:rsidRDefault="009864DB" w:rsidP="009864DB">
            <w:pPr>
              <w:spacing w:line="240" w:lineRule="auto"/>
              <w:ind w:firstLine="0"/>
              <w:rPr>
                <w:i/>
                <w:iCs/>
              </w:rPr>
            </w:pPr>
            <w:r w:rsidRPr="004D46AC">
              <w:t>2</w:t>
            </w:r>
          </w:p>
        </w:tc>
        <w:tc>
          <w:tcPr>
            <w:tcW w:w="1178" w:type="dxa"/>
            <w:vAlign w:val="center"/>
          </w:tcPr>
          <w:p w14:paraId="5369E3D7" w14:textId="77777777" w:rsidR="009864DB" w:rsidRPr="004D46AC" w:rsidRDefault="009864DB" w:rsidP="009864DB">
            <w:pPr>
              <w:spacing w:line="240" w:lineRule="auto"/>
              <w:ind w:firstLine="0"/>
              <w:rPr>
                <w:i/>
                <w:iCs/>
              </w:rPr>
            </w:pPr>
            <w:r w:rsidRPr="004D46AC">
              <w:t>1</w:t>
            </w:r>
          </w:p>
        </w:tc>
        <w:tc>
          <w:tcPr>
            <w:tcW w:w="1167" w:type="dxa"/>
            <w:vAlign w:val="center"/>
          </w:tcPr>
          <w:p w14:paraId="20568DAB" w14:textId="77777777" w:rsidR="009864DB" w:rsidRPr="004D46AC" w:rsidRDefault="009864DB" w:rsidP="009864DB">
            <w:pPr>
              <w:spacing w:line="240" w:lineRule="auto"/>
              <w:ind w:firstLine="0"/>
              <w:rPr>
                <w:i/>
                <w:iCs/>
              </w:rPr>
            </w:pPr>
            <w:r w:rsidRPr="004D46AC">
              <w:t>2</w:t>
            </w:r>
          </w:p>
        </w:tc>
        <w:tc>
          <w:tcPr>
            <w:tcW w:w="1162" w:type="dxa"/>
          </w:tcPr>
          <w:p w14:paraId="33859571"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26C2CBFF" w14:textId="77777777" w:rsidR="009864DB" w:rsidRPr="004D46AC" w:rsidRDefault="009864DB" w:rsidP="009864DB">
            <w:pPr>
              <w:spacing w:line="240" w:lineRule="auto"/>
              <w:ind w:firstLine="0"/>
              <w:rPr>
                <w:i/>
                <w:iCs/>
              </w:rPr>
            </w:pPr>
            <w:r w:rsidRPr="004D46AC">
              <w:t>any</w:t>
            </w:r>
          </w:p>
        </w:tc>
        <w:tc>
          <w:tcPr>
            <w:tcW w:w="1163" w:type="dxa"/>
            <w:vAlign w:val="center"/>
          </w:tcPr>
          <w:p w14:paraId="1A18B51B" w14:textId="77777777" w:rsidR="009864DB" w:rsidRPr="004D46AC" w:rsidRDefault="009864DB" w:rsidP="009864DB">
            <w:pPr>
              <w:spacing w:line="240" w:lineRule="auto"/>
              <w:ind w:firstLine="0"/>
              <w:rPr>
                <w:i/>
                <w:iCs/>
              </w:rPr>
            </w:pPr>
            <w:r w:rsidRPr="004D46AC">
              <w:t>23</w:t>
            </w:r>
          </w:p>
        </w:tc>
      </w:tr>
      <w:tr w:rsidR="009864DB" w:rsidRPr="004D46AC" w14:paraId="3E247021" w14:textId="77777777" w:rsidTr="00B518F1">
        <w:tc>
          <w:tcPr>
            <w:tcW w:w="1908" w:type="dxa"/>
          </w:tcPr>
          <w:p w14:paraId="31B0EC27"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PEVuZE5vdGU+PENpdGUgQXV0aG9yWWVhcj0iMSI+PEF1dGhvcj5CYWVrPC9BdXRob3I+PFllYXI+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rPr>
                <w:i/>
                <w:iCs/>
              </w:rPr>
              <w:instrText xml:space="preserve"> ADDIN EN.CITE </w:instrText>
            </w:r>
            <w:r w:rsidRPr="004D46AC">
              <w:rPr>
                <w:i/>
                <w:iCs/>
              </w:rPr>
              <w:fldChar w:fldCharType="begin">
                <w:fldData xml:space="preserve">PEVuZE5vdGU+PENpdGUgQXV0aG9yWWVhcj0iMSI+PEF1dGhvcj5CYWVrPC9BdXRob3I+PFllYXI+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Baek et al. (2011)</w:t>
            </w:r>
            <w:r w:rsidRPr="004D46AC">
              <w:fldChar w:fldCharType="end"/>
            </w:r>
          </w:p>
        </w:tc>
        <w:tc>
          <w:tcPr>
            <w:tcW w:w="1198" w:type="dxa"/>
            <w:vAlign w:val="center"/>
          </w:tcPr>
          <w:p w14:paraId="6B60519B" w14:textId="77777777" w:rsidR="009864DB" w:rsidRPr="004D46AC" w:rsidRDefault="009864DB" w:rsidP="009864DB">
            <w:pPr>
              <w:spacing w:line="240" w:lineRule="auto"/>
              <w:ind w:firstLine="0"/>
              <w:rPr>
                <w:i/>
                <w:iCs/>
              </w:rPr>
            </w:pPr>
            <w:r w:rsidRPr="004D46AC">
              <w:t>6</w:t>
            </w:r>
          </w:p>
        </w:tc>
        <w:tc>
          <w:tcPr>
            <w:tcW w:w="1178" w:type="dxa"/>
            <w:vAlign w:val="center"/>
          </w:tcPr>
          <w:p w14:paraId="6927A569" w14:textId="77777777" w:rsidR="009864DB" w:rsidRPr="004D46AC" w:rsidRDefault="009864DB" w:rsidP="009864DB">
            <w:pPr>
              <w:spacing w:line="240" w:lineRule="auto"/>
              <w:ind w:firstLine="0"/>
              <w:rPr>
                <w:i/>
                <w:iCs/>
              </w:rPr>
            </w:pPr>
            <w:r w:rsidRPr="004D46AC">
              <w:t>34.14</w:t>
            </w:r>
          </w:p>
        </w:tc>
        <w:tc>
          <w:tcPr>
            <w:tcW w:w="1221" w:type="dxa"/>
            <w:vAlign w:val="center"/>
          </w:tcPr>
          <w:p w14:paraId="3101A1F5" w14:textId="77777777" w:rsidR="009864DB" w:rsidRPr="004D46AC" w:rsidRDefault="009864DB" w:rsidP="009864DB">
            <w:pPr>
              <w:spacing w:line="240" w:lineRule="auto"/>
              <w:ind w:firstLine="0"/>
              <w:rPr>
                <w:i/>
                <w:iCs/>
              </w:rPr>
            </w:pPr>
            <w:r w:rsidRPr="004D46AC">
              <w:t>DSM4</w:t>
            </w:r>
          </w:p>
        </w:tc>
        <w:tc>
          <w:tcPr>
            <w:tcW w:w="1415" w:type="dxa"/>
            <w:vAlign w:val="center"/>
          </w:tcPr>
          <w:p w14:paraId="26AF14AA" w14:textId="77777777" w:rsidR="009864DB" w:rsidRPr="004D46AC" w:rsidRDefault="009864DB" w:rsidP="009864DB">
            <w:pPr>
              <w:spacing w:line="240" w:lineRule="auto"/>
              <w:ind w:firstLine="0"/>
              <w:rPr>
                <w:i/>
                <w:iCs/>
              </w:rPr>
            </w:pPr>
            <w:r w:rsidRPr="004D46AC">
              <w:t>DIGS</w:t>
            </w:r>
          </w:p>
        </w:tc>
        <w:tc>
          <w:tcPr>
            <w:tcW w:w="1147" w:type="dxa"/>
            <w:vAlign w:val="center"/>
          </w:tcPr>
          <w:p w14:paraId="25B87D60" w14:textId="77777777" w:rsidR="009864DB" w:rsidRPr="004D46AC" w:rsidRDefault="009864DB" w:rsidP="009864DB">
            <w:pPr>
              <w:spacing w:line="240" w:lineRule="auto"/>
              <w:ind w:firstLine="0"/>
              <w:rPr>
                <w:i/>
                <w:iCs/>
              </w:rPr>
            </w:pPr>
            <w:r w:rsidRPr="004D46AC">
              <w:t>1</w:t>
            </w:r>
          </w:p>
        </w:tc>
        <w:tc>
          <w:tcPr>
            <w:tcW w:w="1178" w:type="dxa"/>
            <w:vAlign w:val="center"/>
          </w:tcPr>
          <w:p w14:paraId="31AE8785" w14:textId="77777777" w:rsidR="009864DB" w:rsidRPr="004D46AC" w:rsidRDefault="009864DB" w:rsidP="009864DB">
            <w:pPr>
              <w:spacing w:line="240" w:lineRule="auto"/>
              <w:ind w:firstLine="0"/>
              <w:rPr>
                <w:i/>
                <w:iCs/>
              </w:rPr>
            </w:pPr>
            <w:r w:rsidRPr="004D46AC">
              <w:t>2</w:t>
            </w:r>
          </w:p>
        </w:tc>
        <w:tc>
          <w:tcPr>
            <w:tcW w:w="1167" w:type="dxa"/>
            <w:vAlign w:val="center"/>
          </w:tcPr>
          <w:p w14:paraId="0F91C346" w14:textId="77777777" w:rsidR="009864DB" w:rsidRPr="004D46AC" w:rsidRDefault="009864DB" w:rsidP="009864DB">
            <w:pPr>
              <w:spacing w:line="240" w:lineRule="auto"/>
              <w:ind w:firstLine="0"/>
              <w:rPr>
                <w:i/>
                <w:iCs/>
              </w:rPr>
            </w:pPr>
            <w:r w:rsidRPr="004D46AC">
              <w:t>1</w:t>
            </w:r>
          </w:p>
        </w:tc>
        <w:tc>
          <w:tcPr>
            <w:tcW w:w="1162" w:type="dxa"/>
          </w:tcPr>
          <w:p w14:paraId="65FD129E"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8C02E76" w14:textId="77777777" w:rsidR="009864DB" w:rsidRPr="004D46AC" w:rsidRDefault="009864DB" w:rsidP="009864DB">
            <w:pPr>
              <w:spacing w:line="240" w:lineRule="auto"/>
              <w:ind w:firstLine="0"/>
              <w:rPr>
                <w:i/>
                <w:iCs/>
              </w:rPr>
            </w:pPr>
            <w:r w:rsidRPr="004D46AC">
              <w:t>any</w:t>
            </w:r>
          </w:p>
        </w:tc>
        <w:tc>
          <w:tcPr>
            <w:tcW w:w="1163" w:type="dxa"/>
            <w:vAlign w:val="center"/>
          </w:tcPr>
          <w:p w14:paraId="3FC33065" w14:textId="77777777" w:rsidR="009864DB" w:rsidRPr="004D46AC" w:rsidRDefault="009864DB" w:rsidP="009864DB">
            <w:pPr>
              <w:spacing w:line="240" w:lineRule="auto"/>
              <w:ind w:firstLine="0"/>
              <w:rPr>
                <w:i/>
                <w:iCs/>
              </w:rPr>
            </w:pPr>
            <w:r w:rsidRPr="004D46AC">
              <w:t>13</w:t>
            </w:r>
          </w:p>
        </w:tc>
      </w:tr>
      <w:tr w:rsidR="009864DB" w:rsidRPr="004D46AC" w14:paraId="30E544A6" w14:textId="77777777" w:rsidTr="00B518F1">
        <w:tc>
          <w:tcPr>
            <w:tcW w:w="1908" w:type="dxa"/>
          </w:tcPr>
          <w:p w14:paraId="16EE68E0"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AuthorYear="1"&gt;&lt;Author&gt;Pfohl&lt;/Author&gt;&lt;Year&gt;1982&lt;/Year&gt;&lt;RecNum&gt;314&lt;/RecNum&gt;&lt;DisplayText&gt;Pfohl et al. (1982)&lt;/DisplayText&gt;&lt;record&gt;&lt;rec-number&gt;314&lt;/rec-number&gt;&lt;foreign-keys&gt;&lt;key app="EN" db-id="aet009sstawa0hewvt3xwf5atffdw2dt02sw" timestamp="1666521537"&gt;314&lt;/key&gt;&lt;/foreign-keys&gt;&lt;ref-type name="Journal Article"&gt;17&lt;/ref-type&gt;&lt;contributors&gt;&lt;authors&gt;&lt;author&gt;Pfohl, B.&lt;/author&gt;&lt;author&gt;Vasquez, N.&lt;/author&gt;&lt;author&gt;Nasrallah, H.&lt;/author&gt;&lt;/authors&gt;&lt;/contributors&gt;&lt;titles&gt;&lt;title&gt;Unipolar vs. bipolar mania: a review of 247 patients&lt;/title&gt;&lt;secondary-title&gt;Br J Psychiatry&lt;/secondary-title&gt;&lt;/titles&gt;&lt;periodical&gt;&lt;full-title&gt;Br J Psychiatry&lt;/full-title&gt;&lt;/periodical&gt;&lt;pages&gt;453-8&lt;/pages&gt;&lt;volume&gt;141&lt;/volume&gt;&lt;keywords&gt;&lt;keyword&gt;Adult&lt;/keyword&gt;&lt;keyword&gt;Age Factors&lt;/keyword&gt;&lt;keyword&gt;Bipolar Disorder/*diagnosis/genetics&lt;/keyword&gt;&lt;keyword&gt;Depressive Disorder/*diagnosis/genetics&lt;/keyword&gt;&lt;keyword&gt;Diagnosis, Differential&lt;/keyword&gt;&lt;keyword&gt;Female&lt;/keyword&gt;&lt;keyword&gt;Humans&lt;/keyword&gt;&lt;keyword&gt;Male&lt;/keyword&gt;&lt;keyword&gt;Mood Disorders/genetics&lt;/keyword&gt;&lt;keyword&gt;Sex Factors&lt;/keyword&gt;&lt;/keywords&gt;&lt;dates&gt;&lt;year&gt;1982&lt;/year&gt;&lt;pub-dates&gt;&lt;date&gt;Nov&lt;/date&gt;&lt;/pub-dates&gt;&lt;/dates&gt;&lt;isbn&gt;0007-1250 (Print)&amp;#xD;0007-1250 (Linking)&lt;/isbn&gt;&lt;accession-num&gt;7150881&lt;/accession-num&gt;&lt;urls&gt;&lt;related-urls&gt;&lt;url&gt;https://www.ncbi.nlm.nih.gov/pubmed/7150881&lt;/url&gt;&lt;/related-urls&gt;&lt;/urls&gt;&lt;electronic-resource-num&gt;10.1192/bjp.141.5.453&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Pfohl et al. (1982)</w:t>
            </w:r>
            <w:r w:rsidRPr="004D46AC">
              <w:fldChar w:fldCharType="end"/>
            </w:r>
          </w:p>
        </w:tc>
        <w:tc>
          <w:tcPr>
            <w:tcW w:w="1198" w:type="dxa"/>
            <w:vAlign w:val="center"/>
          </w:tcPr>
          <w:p w14:paraId="533A0668" w14:textId="77777777" w:rsidR="009864DB" w:rsidRPr="004D46AC" w:rsidRDefault="009864DB" w:rsidP="009864DB">
            <w:pPr>
              <w:spacing w:line="240" w:lineRule="auto"/>
              <w:ind w:firstLine="0"/>
              <w:rPr>
                <w:i/>
                <w:iCs/>
              </w:rPr>
            </w:pPr>
            <w:r w:rsidRPr="004D46AC">
              <w:t>5</w:t>
            </w:r>
          </w:p>
        </w:tc>
        <w:tc>
          <w:tcPr>
            <w:tcW w:w="1178" w:type="dxa"/>
            <w:vAlign w:val="center"/>
          </w:tcPr>
          <w:p w14:paraId="7414A3FC" w14:textId="77777777" w:rsidR="009864DB" w:rsidRPr="004D46AC" w:rsidRDefault="009864DB" w:rsidP="009864DB">
            <w:pPr>
              <w:spacing w:line="240" w:lineRule="auto"/>
              <w:ind w:firstLine="0"/>
              <w:rPr>
                <w:i/>
                <w:iCs/>
              </w:rPr>
            </w:pPr>
            <w:r w:rsidRPr="004D46AC">
              <w:t>35.25</w:t>
            </w:r>
          </w:p>
        </w:tc>
        <w:tc>
          <w:tcPr>
            <w:tcW w:w="1221" w:type="dxa"/>
            <w:vAlign w:val="center"/>
          </w:tcPr>
          <w:p w14:paraId="56E40371" w14:textId="77777777" w:rsidR="009864DB" w:rsidRPr="004D46AC" w:rsidRDefault="009864DB" w:rsidP="009864DB">
            <w:pPr>
              <w:spacing w:line="240" w:lineRule="auto"/>
              <w:ind w:firstLine="0"/>
              <w:rPr>
                <w:i/>
                <w:iCs/>
              </w:rPr>
            </w:pPr>
            <w:r w:rsidRPr="004D46AC">
              <w:t>DSM3</w:t>
            </w:r>
          </w:p>
        </w:tc>
        <w:tc>
          <w:tcPr>
            <w:tcW w:w="1415" w:type="dxa"/>
            <w:vAlign w:val="center"/>
          </w:tcPr>
          <w:p w14:paraId="0464DA80" w14:textId="77777777" w:rsidR="009864DB" w:rsidRPr="004D46AC" w:rsidRDefault="009864DB" w:rsidP="009864DB">
            <w:pPr>
              <w:spacing w:line="240" w:lineRule="auto"/>
              <w:ind w:firstLine="0"/>
              <w:rPr>
                <w:i/>
                <w:iCs/>
              </w:rPr>
            </w:pPr>
            <w:r w:rsidRPr="004D46AC">
              <w:t>unclear</w:t>
            </w:r>
          </w:p>
        </w:tc>
        <w:tc>
          <w:tcPr>
            <w:tcW w:w="1147" w:type="dxa"/>
            <w:vAlign w:val="center"/>
          </w:tcPr>
          <w:p w14:paraId="2C1F08D0" w14:textId="77777777" w:rsidR="009864DB" w:rsidRPr="004D46AC" w:rsidRDefault="009864DB" w:rsidP="009864DB">
            <w:pPr>
              <w:spacing w:line="240" w:lineRule="auto"/>
              <w:ind w:firstLine="0"/>
              <w:rPr>
                <w:i/>
                <w:iCs/>
              </w:rPr>
            </w:pPr>
            <w:r w:rsidRPr="004D46AC">
              <w:t>2</w:t>
            </w:r>
          </w:p>
        </w:tc>
        <w:tc>
          <w:tcPr>
            <w:tcW w:w="1178" w:type="dxa"/>
            <w:vAlign w:val="center"/>
          </w:tcPr>
          <w:p w14:paraId="3DA1E2C3" w14:textId="77777777" w:rsidR="009864DB" w:rsidRPr="004D46AC" w:rsidRDefault="009864DB" w:rsidP="009864DB">
            <w:pPr>
              <w:spacing w:line="240" w:lineRule="auto"/>
              <w:ind w:firstLine="0"/>
              <w:rPr>
                <w:i/>
                <w:iCs/>
              </w:rPr>
            </w:pPr>
            <w:r w:rsidRPr="004D46AC">
              <w:t>3</w:t>
            </w:r>
          </w:p>
        </w:tc>
        <w:tc>
          <w:tcPr>
            <w:tcW w:w="1167" w:type="dxa"/>
            <w:vAlign w:val="center"/>
          </w:tcPr>
          <w:p w14:paraId="06852C75" w14:textId="77777777" w:rsidR="009864DB" w:rsidRPr="004D46AC" w:rsidRDefault="009864DB" w:rsidP="009864DB">
            <w:pPr>
              <w:spacing w:line="240" w:lineRule="auto"/>
              <w:ind w:firstLine="0"/>
              <w:rPr>
                <w:i/>
                <w:iCs/>
              </w:rPr>
            </w:pPr>
            <w:r w:rsidRPr="004D46AC">
              <w:t>2</w:t>
            </w:r>
          </w:p>
        </w:tc>
        <w:tc>
          <w:tcPr>
            <w:tcW w:w="1162" w:type="dxa"/>
          </w:tcPr>
          <w:p w14:paraId="3E074145"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75FD9D2" w14:textId="77777777" w:rsidR="009864DB" w:rsidRPr="004D46AC" w:rsidRDefault="009864DB" w:rsidP="009864DB">
            <w:pPr>
              <w:spacing w:line="240" w:lineRule="auto"/>
              <w:ind w:firstLine="0"/>
              <w:rPr>
                <w:i/>
                <w:iCs/>
              </w:rPr>
            </w:pPr>
            <w:r w:rsidRPr="004D46AC">
              <w:t>any</w:t>
            </w:r>
          </w:p>
        </w:tc>
        <w:tc>
          <w:tcPr>
            <w:tcW w:w="1163" w:type="dxa"/>
            <w:vAlign w:val="center"/>
          </w:tcPr>
          <w:p w14:paraId="73341A63" w14:textId="77777777" w:rsidR="009864DB" w:rsidRPr="004D46AC" w:rsidRDefault="009864DB" w:rsidP="009864DB">
            <w:pPr>
              <w:spacing w:line="240" w:lineRule="auto"/>
              <w:ind w:firstLine="0"/>
              <w:rPr>
                <w:i/>
                <w:iCs/>
              </w:rPr>
            </w:pPr>
            <w:r w:rsidRPr="004D46AC">
              <w:t>75</w:t>
            </w:r>
          </w:p>
        </w:tc>
      </w:tr>
      <w:tr w:rsidR="009864DB" w:rsidRPr="004D46AC" w14:paraId="071519D2" w14:textId="77777777" w:rsidTr="00B518F1">
        <w:tc>
          <w:tcPr>
            <w:tcW w:w="1908" w:type="dxa"/>
          </w:tcPr>
          <w:p w14:paraId="6687515F"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AuthorYear="1"&gt;&lt;Author&gt;Rajkumar&lt;/Author&gt;&lt;Year&gt;2016&lt;/Year&gt;&lt;RecNum&gt;317&lt;/RecNum&gt;&lt;DisplayText&gt;Rajkumar (2016)&lt;/DisplayText&gt;&lt;record&gt;&lt;rec-number&gt;317&lt;/rec-number&gt;&lt;foreign-keys&gt;&lt;key app="EN" db-id="aet009sstawa0hewvt3xwf5atffdw2dt02sw" timestamp="1666523268"&gt;317&lt;/key&gt;&lt;/foreign-keys&gt;&lt;ref-type name="Journal Article"&gt;17&lt;/ref-type&gt;&lt;contributors&gt;&lt;authors&gt;&lt;author&gt;Rajkumar, R. P.&lt;/author&gt;&lt;/authors&gt;&lt;/contributors&gt;&lt;auth-address&gt;Department of Psychiatry, Jawaharlal Institute of Postgraduate Medical Education and Research, Dhanvantari Nagar, Pondicherry 605 006, India. Electronic address: ravi.psych@gmail.com.&lt;/auth-address&gt;&lt;titles&gt;&lt;title&gt;Recurrent unipolar mania: A comparative, cross-sectional study&lt;/title&gt;&lt;secondary-title&gt;Compr Psychiatry&lt;/secondary-title&gt;&lt;/titles&gt;&lt;periodical&gt;&lt;full-title&gt;Compr Psychiatry&lt;/full-title&gt;&lt;/periodical&gt;&lt;pages&gt;136-40&lt;/pages&gt;&lt;volume&gt;65&lt;/volume&gt;&lt;edition&gt;20151123&lt;/edition&gt;&lt;keywords&gt;&lt;keyword&gt;Adult&lt;/keyword&gt;&lt;keyword&gt;Antidepressive Agents/therapeutic use&lt;/keyword&gt;&lt;keyword&gt;Bipolar and Related Disorders/*diagnosis/drug therapy/*epidemiology&lt;/keyword&gt;&lt;keyword&gt;Catatonia/*epidemiology&lt;/keyword&gt;&lt;keyword&gt;Comorbidity&lt;/keyword&gt;&lt;keyword&gt;Cross-Sectional Studies&lt;/keyword&gt;&lt;keyword&gt;Female&lt;/keyword&gt;&lt;keyword&gt;Humans&lt;/keyword&gt;&lt;keyword&gt;India/epidemiology&lt;/keyword&gt;&lt;keyword&gt;Male&lt;/keyword&gt;&lt;keyword&gt;Recurrence&lt;/keyword&gt;&lt;keyword&gt;Risk Factors&lt;/keyword&gt;&lt;keyword&gt;Suicide, Attempted/statistics &amp;amp; numerical data&lt;/keyword&gt;&lt;keyword&gt;Young Adult&lt;/keyword&gt;&lt;/keywords&gt;&lt;dates&gt;&lt;year&gt;2016&lt;/year&gt;&lt;pub-dates&gt;&lt;date&gt;Feb&lt;/date&gt;&lt;/pub-dates&gt;&lt;/dates&gt;&lt;isbn&gt;1532-8384 (Electronic)&amp;#xD;0010-440X (Linking)&lt;/isbn&gt;&lt;accession-num&gt;26774002&lt;/accession-num&gt;&lt;urls&gt;&lt;related-urls&gt;&lt;url&gt;https://www.ncbi.nlm.nih.gov/pubmed/26774002&lt;/url&gt;&lt;/related-urls&gt;&lt;/urls&gt;&lt;electronic-resource-num&gt;10.1016/j.comppsych.2015.11.008&lt;/electronic-resource-num&gt;&lt;remote-database-name&gt;Medline&lt;/remote-database-name&gt;&lt;remote-database-provider&gt;NLM&lt;/remote-database-provider&gt;&lt;language&gt;eng&lt;/language&gt;&lt;/record&gt;&lt;/Cite&gt;&lt;/EndNote&gt;</w:instrText>
            </w:r>
            <w:r w:rsidRPr="004D46AC">
              <w:rPr>
                <w:i/>
                <w:iCs/>
              </w:rPr>
              <w:fldChar w:fldCharType="separate"/>
            </w:r>
            <w:r w:rsidRPr="004D46AC">
              <w:rPr>
                <w:i/>
                <w:iCs/>
              </w:rPr>
              <w:t>Rajkumar (2016)</w:t>
            </w:r>
            <w:r w:rsidRPr="004D46AC">
              <w:fldChar w:fldCharType="end"/>
            </w:r>
          </w:p>
        </w:tc>
        <w:tc>
          <w:tcPr>
            <w:tcW w:w="1198" w:type="dxa"/>
            <w:vAlign w:val="center"/>
          </w:tcPr>
          <w:p w14:paraId="704984C6" w14:textId="77777777" w:rsidR="009864DB" w:rsidRPr="004D46AC" w:rsidRDefault="009864DB" w:rsidP="009864DB">
            <w:pPr>
              <w:spacing w:line="240" w:lineRule="auto"/>
              <w:ind w:firstLine="0"/>
              <w:rPr>
                <w:i/>
                <w:iCs/>
              </w:rPr>
            </w:pPr>
            <w:r w:rsidRPr="004D46AC">
              <w:t>6</w:t>
            </w:r>
          </w:p>
        </w:tc>
        <w:tc>
          <w:tcPr>
            <w:tcW w:w="1178" w:type="dxa"/>
            <w:vAlign w:val="center"/>
          </w:tcPr>
          <w:p w14:paraId="4F7782E9" w14:textId="77777777" w:rsidR="009864DB" w:rsidRPr="004D46AC" w:rsidRDefault="009864DB" w:rsidP="009864DB">
            <w:pPr>
              <w:spacing w:line="240" w:lineRule="auto"/>
              <w:ind w:firstLine="0"/>
              <w:rPr>
                <w:i/>
                <w:iCs/>
              </w:rPr>
            </w:pPr>
            <w:r w:rsidRPr="004D46AC">
              <w:t>31.64</w:t>
            </w:r>
          </w:p>
        </w:tc>
        <w:tc>
          <w:tcPr>
            <w:tcW w:w="1221" w:type="dxa"/>
            <w:vAlign w:val="center"/>
          </w:tcPr>
          <w:p w14:paraId="36E5FC89" w14:textId="77777777" w:rsidR="009864DB" w:rsidRPr="004D46AC" w:rsidRDefault="009864DB" w:rsidP="009864DB">
            <w:pPr>
              <w:spacing w:line="240" w:lineRule="auto"/>
              <w:ind w:firstLine="0"/>
              <w:rPr>
                <w:i/>
                <w:iCs/>
              </w:rPr>
            </w:pPr>
            <w:r w:rsidRPr="004D46AC">
              <w:t>DSM4</w:t>
            </w:r>
          </w:p>
        </w:tc>
        <w:tc>
          <w:tcPr>
            <w:tcW w:w="1415" w:type="dxa"/>
            <w:vAlign w:val="center"/>
          </w:tcPr>
          <w:p w14:paraId="3015F015" w14:textId="77777777" w:rsidR="009864DB" w:rsidRPr="004D46AC" w:rsidRDefault="009864DB" w:rsidP="009864DB">
            <w:pPr>
              <w:spacing w:line="240" w:lineRule="auto"/>
              <w:ind w:firstLine="0"/>
              <w:rPr>
                <w:i/>
                <w:iCs/>
              </w:rPr>
            </w:pPr>
            <w:r w:rsidRPr="004D46AC">
              <w:t>MINI</w:t>
            </w:r>
          </w:p>
        </w:tc>
        <w:tc>
          <w:tcPr>
            <w:tcW w:w="1147" w:type="dxa"/>
            <w:vAlign w:val="center"/>
          </w:tcPr>
          <w:p w14:paraId="54A82713" w14:textId="77777777" w:rsidR="009864DB" w:rsidRPr="004D46AC" w:rsidRDefault="009864DB" w:rsidP="009864DB">
            <w:pPr>
              <w:spacing w:line="240" w:lineRule="auto"/>
              <w:ind w:firstLine="0"/>
              <w:rPr>
                <w:i/>
                <w:iCs/>
              </w:rPr>
            </w:pPr>
            <w:r w:rsidRPr="004D46AC">
              <w:t>2</w:t>
            </w:r>
          </w:p>
        </w:tc>
        <w:tc>
          <w:tcPr>
            <w:tcW w:w="1178" w:type="dxa"/>
            <w:vAlign w:val="center"/>
          </w:tcPr>
          <w:p w14:paraId="51EFEEC0" w14:textId="77777777" w:rsidR="009864DB" w:rsidRPr="004D46AC" w:rsidRDefault="009864DB" w:rsidP="009864DB">
            <w:pPr>
              <w:spacing w:line="240" w:lineRule="auto"/>
              <w:ind w:firstLine="0"/>
              <w:rPr>
                <w:i/>
                <w:iCs/>
              </w:rPr>
            </w:pPr>
            <w:r w:rsidRPr="004D46AC">
              <w:t>unclear</w:t>
            </w:r>
          </w:p>
        </w:tc>
        <w:tc>
          <w:tcPr>
            <w:tcW w:w="1167" w:type="dxa"/>
            <w:vAlign w:val="center"/>
          </w:tcPr>
          <w:p w14:paraId="7CA71656" w14:textId="77777777" w:rsidR="009864DB" w:rsidRPr="004D46AC" w:rsidRDefault="009864DB" w:rsidP="009864DB">
            <w:pPr>
              <w:spacing w:line="240" w:lineRule="auto"/>
              <w:ind w:firstLine="0"/>
              <w:rPr>
                <w:i/>
                <w:iCs/>
              </w:rPr>
            </w:pPr>
            <w:r w:rsidRPr="004D46AC">
              <w:t>2</w:t>
            </w:r>
          </w:p>
        </w:tc>
        <w:tc>
          <w:tcPr>
            <w:tcW w:w="1162" w:type="dxa"/>
          </w:tcPr>
          <w:p w14:paraId="3110D23C"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6D5E1E56" w14:textId="77777777" w:rsidR="009864DB" w:rsidRPr="004D46AC" w:rsidRDefault="009864DB" w:rsidP="009864DB">
            <w:pPr>
              <w:spacing w:line="240" w:lineRule="auto"/>
              <w:ind w:firstLine="0"/>
              <w:rPr>
                <w:i/>
                <w:iCs/>
              </w:rPr>
            </w:pPr>
            <w:r w:rsidRPr="004D46AC">
              <w:t>any</w:t>
            </w:r>
          </w:p>
        </w:tc>
        <w:tc>
          <w:tcPr>
            <w:tcW w:w="1163" w:type="dxa"/>
            <w:vAlign w:val="center"/>
          </w:tcPr>
          <w:p w14:paraId="4EBEC194" w14:textId="77777777" w:rsidR="009864DB" w:rsidRPr="004D46AC" w:rsidRDefault="009864DB" w:rsidP="009864DB">
            <w:pPr>
              <w:spacing w:line="240" w:lineRule="auto"/>
              <w:ind w:firstLine="0"/>
              <w:rPr>
                <w:i/>
                <w:iCs/>
              </w:rPr>
            </w:pPr>
            <w:r w:rsidRPr="004D46AC">
              <w:t>12</w:t>
            </w:r>
          </w:p>
        </w:tc>
      </w:tr>
      <w:tr w:rsidR="009864DB" w:rsidRPr="004D46AC" w14:paraId="7CA2355C" w14:textId="77777777" w:rsidTr="00B518F1">
        <w:tc>
          <w:tcPr>
            <w:tcW w:w="1908" w:type="dxa"/>
          </w:tcPr>
          <w:p w14:paraId="4F8C329A" w14:textId="77777777" w:rsidR="009864DB" w:rsidRPr="004D46AC" w:rsidRDefault="009864DB" w:rsidP="009864DB">
            <w:pPr>
              <w:spacing w:line="240" w:lineRule="auto"/>
              <w:ind w:firstLine="0"/>
              <w:rPr>
                <w:i/>
                <w:iCs/>
              </w:rPr>
            </w:pPr>
            <w:r w:rsidRPr="004D46AC">
              <w:rPr>
                <w:i/>
                <w:iCs/>
              </w:rPr>
              <w:fldChar w:fldCharType="begin"/>
            </w:r>
            <w:r w:rsidRPr="004D46AC">
              <w:rPr>
                <w:i/>
                <w:iCs/>
              </w:rPr>
              <w:instrText xml:space="preserve"> ADDIN EN.CITE &lt;EndNote&gt;&lt;Cite AuthorYear="1"&gt;&lt;Author&gt;Park&lt;/Author&gt;&lt;Year&gt;2014&lt;/Year&gt;&lt;RecNum&gt;320&lt;/RecNum&gt;&lt;DisplayText&gt;Park et al. (2014)&lt;/DisplayText&gt;&lt;record&gt;&lt;rec-number&gt;320&lt;/rec-number&gt;&lt;foreign-keys&gt;&lt;key app="EN" db-id="aet009sstawa0hewvt3xwf5atffdw2dt02sw" timestamp="1666525486"&gt;320&lt;/key&gt;&lt;/foreign-keys&gt;&lt;ref-type name="Journal Article"&gt;17&lt;/ref-type&gt;&lt;contributors&gt;&lt;authors&gt;&lt;author&gt;Park, J.&lt;/author&gt;&lt;author&gt;Ayduk, O.&lt;/author&gt;&lt;author&gt;O&amp;apos;Donnell, L.&lt;/author&gt;&lt;author&gt;Chun, J.&lt;/author&gt;&lt;author&gt;Gruber, J.&lt;/author&gt;&lt;author&gt;Kamali, M.&lt;/author&gt;&lt;author&gt;McInnis, M.&lt;/author&gt;&lt;author&gt;Deldin, P.&lt;/author&gt;&lt;author&gt;Kross, E.&lt;/author&gt;&lt;/authors&gt;&lt;/contributors&gt;&lt;auth-address&gt;University of Michigan, Ann Arbor.&amp;#xD;University of California, Berkeley.&amp;#xD;Beth Israel Deaconess Medical Center.&amp;#xD;Yale University.&lt;/auth-address&gt;&lt;titles&gt;&lt;title&gt;Regulating the High: Cognitive and Neural Processes Underlying Positive Emotion Regulation in Bipolar I Disorder&lt;/title&gt;&lt;secondary-title&gt;Clin Psychol Sci&lt;/secondary-title&gt;&lt;/titles&gt;&lt;periodical&gt;&lt;full-title&gt;Clin Psychol Sci&lt;/full-title&gt;&lt;/periodical&gt;&lt;pages&gt;661-674&lt;/pages&gt;&lt;volume&gt;2&lt;/volume&gt;&lt;number&gt;6&lt;/number&gt;&lt;edition&gt;20140409&lt;/edition&gt;&lt;keywords&gt;&lt;keyword&gt;Bipolar Disorder&lt;/keyword&gt;&lt;keyword&gt;emotion regulation&lt;/keyword&gt;&lt;keyword&gt;psychosis history&lt;/keyword&gt;&lt;keyword&gt;self-distancing&lt;/keyword&gt;&lt;/keywords&gt;&lt;dates&gt;&lt;year&gt;2014&lt;/year&gt;&lt;pub-dates&gt;&lt;date&gt;Nov 1&lt;/date&gt;&lt;/pub-dates&gt;&lt;/dates&gt;&lt;isbn&gt;2167-7026 (Print)&amp;#xD;2167-7034 (Electronic)&amp;#xD;2167-7034 (Linking)&lt;/isbn&gt;&lt;accession-num&gt;26719819&lt;/accession-num&gt;&lt;urls&gt;&lt;related-urls&gt;&lt;url&gt;https://www.ncbi.nlm.nih.gov/pubmed/26719819&lt;/url&gt;&lt;/related-urls&gt;&lt;/urls&gt;&lt;custom2&gt;PMC4692193&lt;/custom2&gt;&lt;custom6&gt;NIHMS569674&lt;/custom6&gt;&lt;electronic-resource-num&gt;10.1177/2167702614527580&lt;/electronic-resource-num&gt;&lt;remote-database-name&gt;PubMed-not-MEDLINE&lt;/remote-database-name&gt;&lt;remote-database-provider&gt;NLM&lt;/remote-database-provider&gt;&lt;language&gt;eng&lt;/language&gt;&lt;/record&gt;&lt;/Cite&gt;&lt;/EndNote&gt;</w:instrText>
            </w:r>
            <w:r w:rsidRPr="004D46AC">
              <w:rPr>
                <w:i/>
                <w:iCs/>
              </w:rPr>
              <w:fldChar w:fldCharType="separate"/>
            </w:r>
            <w:r w:rsidRPr="004D46AC">
              <w:rPr>
                <w:i/>
                <w:iCs/>
              </w:rPr>
              <w:t>Park et al. (2014)</w:t>
            </w:r>
            <w:r w:rsidRPr="004D46AC">
              <w:fldChar w:fldCharType="end"/>
            </w:r>
          </w:p>
        </w:tc>
        <w:tc>
          <w:tcPr>
            <w:tcW w:w="1198" w:type="dxa"/>
            <w:vAlign w:val="center"/>
          </w:tcPr>
          <w:p w14:paraId="507E2951" w14:textId="77777777" w:rsidR="009864DB" w:rsidRPr="004D46AC" w:rsidRDefault="009864DB" w:rsidP="009864DB">
            <w:pPr>
              <w:spacing w:line="240" w:lineRule="auto"/>
              <w:ind w:firstLine="0"/>
              <w:rPr>
                <w:i/>
                <w:iCs/>
              </w:rPr>
            </w:pPr>
            <w:r w:rsidRPr="004D46AC">
              <w:t>6</w:t>
            </w:r>
          </w:p>
        </w:tc>
        <w:tc>
          <w:tcPr>
            <w:tcW w:w="1178" w:type="dxa"/>
            <w:vAlign w:val="center"/>
          </w:tcPr>
          <w:p w14:paraId="1303ED6F" w14:textId="77777777" w:rsidR="009864DB" w:rsidRPr="004D46AC" w:rsidRDefault="009864DB" w:rsidP="009864DB">
            <w:pPr>
              <w:spacing w:line="240" w:lineRule="auto"/>
              <w:ind w:firstLine="0"/>
              <w:rPr>
                <w:i/>
                <w:iCs/>
              </w:rPr>
            </w:pPr>
            <w:r w:rsidRPr="004D46AC">
              <w:t>41.49</w:t>
            </w:r>
          </w:p>
        </w:tc>
        <w:tc>
          <w:tcPr>
            <w:tcW w:w="1221" w:type="dxa"/>
            <w:vAlign w:val="center"/>
          </w:tcPr>
          <w:p w14:paraId="18B8691C" w14:textId="77777777" w:rsidR="009864DB" w:rsidRPr="004D46AC" w:rsidRDefault="009864DB" w:rsidP="009864DB">
            <w:pPr>
              <w:spacing w:line="240" w:lineRule="auto"/>
              <w:ind w:firstLine="0"/>
              <w:rPr>
                <w:i/>
                <w:iCs/>
              </w:rPr>
            </w:pPr>
            <w:r w:rsidRPr="004D46AC">
              <w:t>DSM4</w:t>
            </w:r>
          </w:p>
        </w:tc>
        <w:tc>
          <w:tcPr>
            <w:tcW w:w="1415" w:type="dxa"/>
            <w:vAlign w:val="center"/>
          </w:tcPr>
          <w:p w14:paraId="75A509F8" w14:textId="77777777" w:rsidR="009864DB" w:rsidRPr="004D46AC" w:rsidRDefault="009864DB" w:rsidP="009864DB">
            <w:pPr>
              <w:spacing w:line="240" w:lineRule="auto"/>
              <w:ind w:firstLine="0"/>
              <w:rPr>
                <w:i/>
                <w:iCs/>
              </w:rPr>
            </w:pPr>
            <w:r w:rsidRPr="004D46AC">
              <w:t>DIGS</w:t>
            </w:r>
          </w:p>
        </w:tc>
        <w:tc>
          <w:tcPr>
            <w:tcW w:w="1147" w:type="dxa"/>
            <w:vAlign w:val="center"/>
          </w:tcPr>
          <w:p w14:paraId="577C7524" w14:textId="77777777" w:rsidR="009864DB" w:rsidRPr="004D46AC" w:rsidRDefault="009864DB" w:rsidP="009864DB">
            <w:pPr>
              <w:spacing w:line="240" w:lineRule="auto"/>
              <w:ind w:firstLine="0"/>
              <w:rPr>
                <w:i/>
                <w:iCs/>
              </w:rPr>
            </w:pPr>
            <w:r w:rsidRPr="004D46AC">
              <w:t>2</w:t>
            </w:r>
          </w:p>
        </w:tc>
        <w:tc>
          <w:tcPr>
            <w:tcW w:w="1178" w:type="dxa"/>
            <w:vAlign w:val="center"/>
          </w:tcPr>
          <w:p w14:paraId="5CA6BE44" w14:textId="77777777" w:rsidR="009864DB" w:rsidRPr="004D46AC" w:rsidRDefault="009864DB" w:rsidP="009864DB">
            <w:pPr>
              <w:spacing w:line="240" w:lineRule="auto"/>
              <w:ind w:firstLine="0"/>
              <w:rPr>
                <w:i/>
                <w:iCs/>
              </w:rPr>
            </w:pPr>
            <w:r w:rsidRPr="004D46AC">
              <w:t>2</w:t>
            </w:r>
          </w:p>
        </w:tc>
        <w:tc>
          <w:tcPr>
            <w:tcW w:w="1167" w:type="dxa"/>
            <w:vAlign w:val="center"/>
          </w:tcPr>
          <w:p w14:paraId="03DE2EE4" w14:textId="77777777" w:rsidR="009864DB" w:rsidRPr="004D46AC" w:rsidRDefault="009864DB" w:rsidP="009864DB">
            <w:pPr>
              <w:spacing w:line="240" w:lineRule="auto"/>
              <w:ind w:firstLine="0"/>
              <w:rPr>
                <w:i/>
                <w:iCs/>
              </w:rPr>
            </w:pPr>
            <w:r w:rsidRPr="004D46AC">
              <w:t>2</w:t>
            </w:r>
          </w:p>
        </w:tc>
        <w:tc>
          <w:tcPr>
            <w:tcW w:w="1162" w:type="dxa"/>
          </w:tcPr>
          <w:p w14:paraId="7DB9A1CA"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5580AEBA" w14:textId="77777777" w:rsidR="009864DB" w:rsidRPr="004D46AC" w:rsidRDefault="009864DB" w:rsidP="009864DB">
            <w:pPr>
              <w:spacing w:line="240" w:lineRule="auto"/>
              <w:ind w:firstLine="0"/>
              <w:rPr>
                <w:i/>
                <w:iCs/>
              </w:rPr>
            </w:pPr>
            <w:r w:rsidRPr="004D46AC">
              <w:t>any</w:t>
            </w:r>
          </w:p>
        </w:tc>
        <w:tc>
          <w:tcPr>
            <w:tcW w:w="1163" w:type="dxa"/>
            <w:vAlign w:val="center"/>
          </w:tcPr>
          <w:p w14:paraId="44BC0896" w14:textId="77777777" w:rsidR="009864DB" w:rsidRPr="004D46AC" w:rsidRDefault="009864DB" w:rsidP="009864DB">
            <w:pPr>
              <w:spacing w:line="240" w:lineRule="auto"/>
              <w:ind w:firstLine="0"/>
              <w:rPr>
                <w:i/>
                <w:iCs/>
              </w:rPr>
            </w:pPr>
            <w:r w:rsidRPr="004D46AC">
              <w:t>14</w:t>
            </w:r>
          </w:p>
        </w:tc>
      </w:tr>
      <w:tr w:rsidR="009864DB" w:rsidRPr="004D46AC" w14:paraId="136CBAD4" w14:textId="77777777" w:rsidTr="00B518F1">
        <w:tc>
          <w:tcPr>
            <w:tcW w:w="1908" w:type="dxa"/>
          </w:tcPr>
          <w:p w14:paraId="75E60693"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PEVuZE5vdGU+PENpdGUgQXV0aG9yWWVhcj0iMSI+PEF1dGhvcj5FbG93ZTwvQXV0aG9yPjxZZWFy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</w:fldData>
              </w:fldChar>
            </w:r>
            <w:r w:rsidRPr="004D46AC">
              <w:rPr>
                <w:i/>
                <w:iCs/>
              </w:rPr>
              <w:instrText xml:space="preserve"> ADDIN EN.CITE </w:instrText>
            </w:r>
            <w:r w:rsidRPr="004D46AC">
              <w:rPr>
                <w:i/>
                <w:iCs/>
              </w:rPr>
              <w:fldChar w:fldCharType="begin">
                <w:fldData xml:space="preserve">PEVuZE5vdGU+PENpdGUgQXV0aG9yWWVhcj0iMSI+PEF1dGhvcj5FbG93ZTwvQXV0aG9yPjxZZWFy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Elowe et al. (2022)</w:t>
            </w:r>
            <w:r w:rsidRPr="004D46AC">
              <w:fldChar w:fldCharType="end"/>
            </w:r>
          </w:p>
        </w:tc>
        <w:tc>
          <w:tcPr>
            <w:tcW w:w="1198" w:type="dxa"/>
            <w:vAlign w:val="center"/>
          </w:tcPr>
          <w:p w14:paraId="149734DC" w14:textId="77777777" w:rsidR="009864DB" w:rsidRPr="004D46AC" w:rsidRDefault="009864DB" w:rsidP="009864DB">
            <w:pPr>
              <w:spacing w:line="240" w:lineRule="auto"/>
              <w:ind w:firstLine="0"/>
              <w:rPr>
                <w:i/>
                <w:iCs/>
              </w:rPr>
            </w:pPr>
            <w:r w:rsidRPr="004D46AC">
              <w:t>8</w:t>
            </w:r>
          </w:p>
        </w:tc>
        <w:tc>
          <w:tcPr>
            <w:tcW w:w="1178" w:type="dxa"/>
            <w:vAlign w:val="center"/>
          </w:tcPr>
          <w:p w14:paraId="07D38E5A" w14:textId="77777777" w:rsidR="009864DB" w:rsidRPr="004D46AC" w:rsidRDefault="009864DB" w:rsidP="009864DB">
            <w:pPr>
              <w:spacing w:line="240" w:lineRule="auto"/>
              <w:ind w:firstLine="0"/>
              <w:rPr>
                <w:i/>
                <w:iCs/>
              </w:rPr>
            </w:pPr>
            <w:r w:rsidRPr="004D46AC">
              <w:t>41.39</w:t>
            </w:r>
          </w:p>
        </w:tc>
        <w:tc>
          <w:tcPr>
            <w:tcW w:w="1221" w:type="dxa"/>
            <w:vAlign w:val="center"/>
          </w:tcPr>
          <w:p w14:paraId="5A08CF89" w14:textId="77777777" w:rsidR="009864DB" w:rsidRPr="004D46AC" w:rsidRDefault="009864DB" w:rsidP="009864DB">
            <w:pPr>
              <w:spacing w:line="240" w:lineRule="auto"/>
              <w:ind w:firstLine="0"/>
              <w:rPr>
                <w:i/>
                <w:iCs/>
              </w:rPr>
            </w:pPr>
            <w:r w:rsidRPr="004D46AC">
              <w:t>DSM4</w:t>
            </w:r>
          </w:p>
        </w:tc>
        <w:tc>
          <w:tcPr>
            <w:tcW w:w="1415" w:type="dxa"/>
            <w:vAlign w:val="center"/>
          </w:tcPr>
          <w:p w14:paraId="1F0EA77E" w14:textId="77777777" w:rsidR="009864DB" w:rsidRPr="004D46AC" w:rsidRDefault="009864DB" w:rsidP="009864DB">
            <w:pPr>
              <w:spacing w:line="240" w:lineRule="auto"/>
              <w:ind w:firstLine="0"/>
              <w:rPr>
                <w:i/>
                <w:iCs/>
              </w:rPr>
            </w:pPr>
            <w:r w:rsidRPr="004D46AC">
              <w:t>DIGS</w:t>
            </w:r>
          </w:p>
        </w:tc>
        <w:tc>
          <w:tcPr>
            <w:tcW w:w="1147" w:type="dxa"/>
            <w:vAlign w:val="center"/>
          </w:tcPr>
          <w:p w14:paraId="103C55C2" w14:textId="77777777" w:rsidR="009864DB" w:rsidRPr="004D46AC" w:rsidRDefault="009864DB" w:rsidP="009864DB">
            <w:pPr>
              <w:spacing w:line="240" w:lineRule="auto"/>
              <w:ind w:firstLine="0"/>
              <w:rPr>
                <w:i/>
                <w:iCs/>
              </w:rPr>
            </w:pPr>
            <w:r w:rsidRPr="004D46AC">
              <w:t>2</w:t>
            </w:r>
          </w:p>
        </w:tc>
        <w:tc>
          <w:tcPr>
            <w:tcW w:w="1178" w:type="dxa"/>
            <w:vAlign w:val="center"/>
          </w:tcPr>
          <w:p w14:paraId="75B2A3CD" w14:textId="77777777" w:rsidR="009864DB" w:rsidRPr="004D46AC" w:rsidRDefault="009864DB" w:rsidP="009864DB">
            <w:pPr>
              <w:spacing w:line="240" w:lineRule="auto"/>
              <w:ind w:firstLine="0"/>
              <w:rPr>
                <w:i/>
                <w:iCs/>
              </w:rPr>
            </w:pPr>
            <w:r w:rsidRPr="004D46AC">
              <w:t>2</w:t>
            </w:r>
          </w:p>
        </w:tc>
        <w:tc>
          <w:tcPr>
            <w:tcW w:w="1167" w:type="dxa"/>
            <w:vAlign w:val="center"/>
          </w:tcPr>
          <w:p w14:paraId="6142F5BE" w14:textId="77777777" w:rsidR="009864DB" w:rsidRPr="004D46AC" w:rsidRDefault="009864DB" w:rsidP="009864DB">
            <w:pPr>
              <w:spacing w:line="240" w:lineRule="auto"/>
              <w:ind w:firstLine="0"/>
              <w:rPr>
                <w:i/>
                <w:iCs/>
              </w:rPr>
            </w:pPr>
            <w:r w:rsidRPr="004D46AC">
              <w:t>2</w:t>
            </w:r>
          </w:p>
        </w:tc>
        <w:tc>
          <w:tcPr>
            <w:tcW w:w="1162" w:type="dxa"/>
          </w:tcPr>
          <w:p w14:paraId="60DA670B"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35AFF5DA" w14:textId="77777777" w:rsidR="009864DB" w:rsidRPr="004D46AC" w:rsidRDefault="009864DB" w:rsidP="009864DB">
            <w:pPr>
              <w:spacing w:line="240" w:lineRule="auto"/>
              <w:ind w:firstLine="0"/>
              <w:rPr>
                <w:i/>
                <w:iCs/>
              </w:rPr>
            </w:pPr>
            <w:r w:rsidRPr="004D46AC">
              <w:t>any</w:t>
            </w:r>
          </w:p>
        </w:tc>
        <w:tc>
          <w:tcPr>
            <w:tcW w:w="1163" w:type="dxa"/>
            <w:vAlign w:val="center"/>
          </w:tcPr>
          <w:p w14:paraId="3A777267" w14:textId="77777777" w:rsidR="009864DB" w:rsidRPr="004D46AC" w:rsidRDefault="009864DB" w:rsidP="009864DB">
            <w:pPr>
              <w:spacing w:line="240" w:lineRule="auto"/>
              <w:ind w:firstLine="0"/>
              <w:rPr>
                <w:i/>
                <w:iCs/>
              </w:rPr>
            </w:pPr>
            <w:r w:rsidRPr="004D46AC">
              <w:t>50</w:t>
            </w:r>
          </w:p>
        </w:tc>
      </w:tr>
      <w:tr w:rsidR="009864DB" w:rsidRPr="004D46AC" w14:paraId="2D7A6B23" w14:textId="77777777" w:rsidTr="00B518F1">
        <w:tc>
          <w:tcPr>
            <w:tcW w:w="1908" w:type="dxa"/>
          </w:tcPr>
          <w:p w14:paraId="4D480F96" w14:textId="77777777" w:rsidR="009864DB" w:rsidRPr="004D46AC" w:rsidRDefault="009864DB" w:rsidP="009864DB">
            <w:pPr>
              <w:spacing w:line="240" w:lineRule="auto"/>
              <w:ind w:firstLine="0"/>
              <w:rPr>
                <w:i/>
                <w:iCs/>
              </w:rPr>
            </w:pPr>
            <w:r w:rsidRPr="004D46AC">
              <w:rPr>
                <w:i/>
                <w:iCs/>
              </w:rPr>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rPr>
                <w:i/>
                <w:iCs/>
              </w:rPr>
              <w:instrText xml:space="preserve"> ADDIN EN.CITE </w:instrText>
            </w:r>
            <w:r w:rsidRPr="004D46AC">
              <w:rPr>
                <w:i/>
                <w:iCs/>
              </w:rPr>
              <w:fldChar w:fldCharType="begin">
                <w:fldData xml:space="preserve">PEVuZE5vdGU+PENpdGUgQXV0aG9yWWVhcj0iMSI+PEF1dGhvcj5Nb3JnYW48L0F1dGhvcj48WWVh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</w:fldData>
              </w:fldChar>
            </w:r>
            <w:r w:rsidRPr="004D46AC">
              <w:rPr>
                <w:i/>
                <w:iCs/>
              </w:rPr>
              <w:instrText xml:space="preserve"> ADDIN EN.CITE.DATA </w:instrText>
            </w:r>
            <w:r w:rsidRPr="004D46AC">
              <w:fldChar w:fldCharType="end"/>
            </w:r>
            <w:r w:rsidRPr="004D46AC">
              <w:rPr>
                <w:i/>
                <w:iCs/>
              </w:rPr>
            </w:r>
            <w:r w:rsidRPr="004D46AC">
              <w:rPr>
                <w:i/>
                <w:iCs/>
              </w:rPr>
              <w:fldChar w:fldCharType="separate"/>
            </w:r>
            <w:r w:rsidRPr="004D46AC">
              <w:rPr>
                <w:i/>
                <w:iCs/>
              </w:rPr>
              <w:t>Morgan et al. (2012)</w:t>
            </w:r>
            <w:r w:rsidRPr="004D46AC">
              <w:fldChar w:fldCharType="end"/>
            </w:r>
          </w:p>
        </w:tc>
        <w:tc>
          <w:tcPr>
            <w:tcW w:w="1198" w:type="dxa"/>
            <w:vAlign w:val="center"/>
          </w:tcPr>
          <w:p w14:paraId="608ACCA6" w14:textId="77777777" w:rsidR="009864DB" w:rsidRPr="004D46AC" w:rsidRDefault="009864DB" w:rsidP="009864DB">
            <w:pPr>
              <w:spacing w:line="240" w:lineRule="auto"/>
              <w:ind w:firstLine="0"/>
              <w:rPr>
                <w:i/>
                <w:iCs/>
              </w:rPr>
            </w:pPr>
            <w:r w:rsidRPr="004D46AC">
              <w:t>5</w:t>
            </w:r>
          </w:p>
        </w:tc>
        <w:tc>
          <w:tcPr>
            <w:tcW w:w="1178" w:type="dxa"/>
            <w:vAlign w:val="center"/>
          </w:tcPr>
          <w:p w14:paraId="47D9F05E" w14:textId="77777777" w:rsidR="009864DB" w:rsidRPr="004D46AC" w:rsidRDefault="009864DB" w:rsidP="009864DB">
            <w:pPr>
              <w:spacing w:line="240" w:lineRule="auto"/>
              <w:ind w:firstLine="0"/>
              <w:rPr>
                <w:i/>
                <w:iCs/>
              </w:rPr>
            </w:pPr>
            <w:r w:rsidRPr="004D46AC">
              <w:t>NA</w:t>
            </w:r>
          </w:p>
        </w:tc>
        <w:tc>
          <w:tcPr>
            <w:tcW w:w="1221" w:type="dxa"/>
            <w:vAlign w:val="center"/>
          </w:tcPr>
          <w:p w14:paraId="0EE72DDA" w14:textId="77777777" w:rsidR="009864DB" w:rsidRPr="004D46AC" w:rsidRDefault="009864DB" w:rsidP="009864DB">
            <w:pPr>
              <w:spacing w:line="240" w:lineRule="auto"/>
              <w:ind w:firstLine="0"/>
              <w:rPr>
                <w:i/>
                <w:iCs/>
              </w:rPr>
            </w:pPr>
            <w:r w:rsidRPr="004D46AC">
              <w:t>ICD10</w:t>
            </w:r>
          </w:p>
        </w:tc>
        <w:tc>
          <w:tcPr>
            <w:tcW w:w="1415" w:type="dxa"/>
            <w:vAlign w:val="center"/>
          </w:tcPr>
          <w:p w14:paraId="55D6C6A8" w14:textId="77777777" w:rsidR="009864DB" w:rsidRPr="004D46AC" w:rsidRDefault="009864DB" w:rsidP="009864DB">
            <w:pPr>
              <w:spacing w:line="240" w:lineRule="auto"/>
              <w:ind w:firstLine="0"/>
              <w:rPr>
                <w:i/>
                <w:iCs/>
              </w:rPr>
            </w:pPr>
            <w:r w:rsidRPr="004D46AC">
              <w:t>DIP</w:t>
            </w:r>
          </w:p>
        </w:tc>
        <w:tc>
          <w:tcPr>
            <w:tcW w:w="1147" w:type="dxa"/>
            <w:vAlign w:val="center"/>
          </w:tcPr>
          <w:p w14:paraId="2B8FF94B" w14:textId="77777777" w:rsidR="009864DB" w:rsidRPr="004D46AC" w:rsidRDefault="009864DB" w:rsidP="009864DB">
            <w:pPr>
              <w:spacing w:line="240" w:lineRule="auto"/>
              <w:ind w:firstLine="0"/>
              <w:rPr>
                <w:i/>
                <w:iCs/>
              </w:rPr>
            </w:pPr>
            <w:r w:rsidRPr="004D46AC">
              <w:t>3</w:t>
            </w:r>
          </w:p>
        </w:tc>
        <w:tc>
          <w:tcPr>
            <w:tcW w:w="1178" w:type="dxa"/>
            <w:vAlign w:val="center"/>
          </w:tcPr>
          <w:p w14:paraId="4D5B790E" w14:textId="77777777" w:rsidR="009864DB" w:rsidRPr="004D46AC" w:rsidRDefault="009864DB" w:rsidP="009864DB">
            <w:pPr>
              <w:spacing w:line="240" w:lineRule="auto"/>
              <w:ind w:firstLine="0"/>
              <w:rPr>
                <w:i/>
                <w:iCs/>
              </w:rPr>
            </w:pPr>
            <w:r w:rsidRPr="004D46AC">
              <w:t>NA</w:t>
            </w:r>
          </w:p>
        </w:tc>
        <w:tc>
          <w:tcPr>
            <w:tcW w:w="1167" w:type="dxa"/>
            <w:vAlign w:val="center"/>
          </w:tcPr>
          <w:p w14:paraId="493FDA83" w14:textId="77777777" w:rsidR="009864DB" w:rsidRPr="004D46AC" w:rsidRDefault="009864DB" w:rsidP="009864DB">
            <w:pPr>
              <w:spacing w:line="240" w:lineRule="auto"/>
              <w:ind w:firstLine="0"/>
              <w:rPr>
                <w:i/>
                <w:iCs/>
              </w:rPr>
            </w:pPr>
            <w:r w:rsidRPr="004D46AC">
              <w:t>3</w:t>
            </w:r>
          </w:p>
        </w:tc>
        <w:tc>
          <w:tcPr>
            <w:tcW w:w="1162" w:type="dxa"/>
          </w:tcPr>
          <w:p w14:paraId="31AEB7EC" w14:textId="77777777" w:rsidR="009864DB" w:rsidRPr="004D46AC" w:rsidRDefault="009864DB" w:rsidP="009864DB">
            <w:pPr>
              <w:spacing w:line="240" w:lineRule="auto"/>
              <w:ind w:firstLine="0"/>
              <w:rPr>
                <w:i/>
                <w:iCs/>
              </w:rPr>
            </w:pPr>
            <w:r w:rsidRPr="004D46AC">
              <w:rPr>
                <w:i/>
                <w:iCs/>
              </w:rPr>
              <w:t>1</w:t>
            </w:r>
          </w:p>
        </w:tc>
        <w:tc>
          <w:tcPr>
            <w:tcW w:w="1211" w:type="dxa"/>
            <w:vAlign w:val="center"/>
          </w:tcPr>
          <w:p w14:paraId="16D29488" w14:textId="77777777" w:rsidR="009864DB" w:rsidRPr="004D46AC" w:rsidRDefault="009864DB" w:rsidP="009864DB">
            <w:pPr>
              <w:spacing w:line="240" w:lineRule="auto"/>
              <w:ind w:firstLine="0"/>
              <w:rPr>
                <w:i/>
                <w:iCs/>
              </w:rPr>
            </w:pPr>
            <w:r w:rsidRPr="004D46AC">
              <w:t>any</w:t>
            </w:r>
          </w:p>
        </w:tc>
        <w:tc>
          <w:tcPr>
            <w:tcW w:w="1163" w:type="dxa"/>
            <w:vAlign w:val="center"/>
          </w:tcPr>
          <w:p w14:paraId="2798D6F0" w14:textId="77777777" w:rsidR="009864DB" w:rsidRPr="004D46AC" w:rsidRDefault="009864DB" w:rsidP="009864DB">
            <w:pPr>
              <w:spacing w:line="240" w:lineRule="auto"/>
              <w:ind w:firstLine="0"/>
              <w:rPr>
                <w:i/>
                <w:iCs/>
              </w:rPr>
            </w:pPr>
            <w:r w:rsidRPr="004D46AC">
              <w:t>217</w:t>
            </w:r>
          </w:p>
        </w:tc>
      </w:tr>
    </w:tbl>
    <w:p w14:paraId="4C6CEF29" w14:textId="77777777" w:rsidR="009864DB" w:rsidRPr="004D46AC" w:rsidRDefault="009864DB" w:rsidP="009864DB">
      <w:pPr>
        <w:spacing w:line="240" w:lineRule="auto"/>
        <w:ind w:firstLine="0"/>
        <w:rPr>
          <w:rFonts w:eastAsiaTheme="minorEastAsia"/>
        </w:rPr>
      </w:pPr>
      <w:r w:rsidRPr="004D46AC">
        <w:rPr>
          <w:rFonts w:hint="eastAsia"/>
          <w:i/>
          <w:iCs/>
        </w:rPr>
        <w:t>Note</w:t>
      </w:r>
      <w:r w:rsidRPr="004D46AC">
        <w:rPr>
          <w:rFonts w:hint="eastAsia"/>
        </w:rPr>
        <w:t xml:space="preserve">. </w:t>
      </w:r>
      <w:r w:rsidRPr="004D46AC">
        <w:t>The JBI score refers to the study quality score rated by the JBI checklist (range = 0-9). Pop denotes the patient population (1 = outpatient, 2 = mixed, 3 = inpatient). Criteria specify the diagnostic criteria used, while Assessment refers to the interview tools employed (See Table S6 for details).</w:t>
      </w:r>
      <w:r w:rsidRPr="004D46AC">
        <w:rPr>
          <w:rFonts w:hint="eastAsia"/>
        </w:rPr>
        <w:t xml:space="preserve"> </w:t>
      </w:r>
      <w:r w:rsidRPr="004D46AC">
        <w:t xml:space="preserve">BD represents the bipolar diagnosis subtype (0 = BD II, 1 = BSD, 2 = BD I, 3 = Psychotic BD). TF indicates the timeframe (0 = current, 1 = lifetime). </w:t>
      </w:r>
      <w:proofErr w:type="spellStart"/>
      <w:r w:rsidRPr="004D46AC">
        <w:t>Cotyp</w:t>
      </w:r>
      <w:proofErr w:type="spellEnd"/>
      <w:r w:rsidRPr="004D46AC">
        <w:t xml:space="preserve"> refers to the type</w:t>
      </w:r>
      <w:r w:rsidRPr="004D46AC">
        <w:rPr>
          <w:rFonts w:hint="eastAsia"/>
        </w:rPr>
        <w:t xml:space="preserve"> of </w:t>
      </w:r>
      <w:r w:rsidRPr="004D46AC">
        <w:t>cooccurring</w:t>
      </w:r>
      <w:r w:rsidRPr="004D46AC">
        <w:rPr>
          <w:rFonts w:hint="eastAsia"/>
        </w:rPr>
        <w:t xml:space="preserve"> hallucinations </w:t>
      </w:r>
      <w:r w:rsidRPr="004D46AC">
        <w:t>(</w:t>
      </w:r>
      <w:r w:rsidRPr="004D46AC">
        <w:rPr>
          <w:rFonts w:hint="eastAsia"/>
        </w:rPr>
        <w:t>e.g., any hallucinations, mc: mood congruent hallucinations, or auditory hallucinations</w:t>
      </w:r>
      <w:r w:rsidRPr="004D46AC">
        <w:t>).</w:t>
      </w:r>
      <w:r w:rsidRPr="004D46AC">
        <w:rPr>
          <w:rFonts w:hint="eastAsia"/>
        </w:rPr>
        <w:t xml:space="preserve"> Co (n): number of patients with this condition.</w:t>
      </w:r>
    </w:p>
    <w:p w14:paraId="6BAF58FA" w14:textId="77777777" w:rsidR="009864DB" w:rsidRPr="004D46AC" w:rsidRDefault="009864DB" w:rsidP="009864DB">
      <w:pPr>
        <w:spacing w:line="240" w:lineRule="auto"/>
        <w:ind w:firstLine="0"/>
        <w:rPr>
          <w:rFonts w:eastAsiaTheme="minorEastAsia"/>
        </w:rPr>
      </w:pPr>
    </w:p>
    <w:p w14:paraId="20F37EE6" w14:textId="77777777" w:rsidR="009864DB" w:rsidRPr="004D46AC" w:rsidRDefault="009864DB" w:rsidP="009864DB">
      <w:pPr>
        <w:spacing w:line="240" w:lineRule="auto"/>
        <w:ind w:firstLine="0"/>
        <w:rPr>
          <w:rFonts w:eastAsiaTheme="minorEastAsia"/>
        </w:rPr>
      </w:pPr>
    </w:p>
    <w:p w14:paraId="7D0B8407" w14:textId="3BDC5EBD" w:rsidR="009864DB" w:rsidRPr="004D46AC" w:rsidRDefault="009864DB" w:rsidP="009864DB">
      <w:pPr>
        <w:spacing w:line="240" w:lineRule="auto"/>
        <w:ind w:firstLine="0"/>
        <w:rPr>
          <w:rFonts w:eastAsiaTheme="minorEastAsia"/>
        </w:rPr>
      </w:pPr>
      <w:r w:rsidRPr="004D46AC">
        <w:rPr>
          <w:rFonts w:eastAsiaTheme="minorEastAsia" w:hint="eastAsia"/>
        </w:rPr>
        <w:t>Reference:</w:t>
      </w:r>
    </w:p>
    <w:p w14:paraId="2112A74A"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Abrams, R., &amp; Taylor, M. A. (1981). Importance of schizophrenic symptoms in the diagnosis of mania. Am J Psychiatry, 138(5), 658–661. https://doi.org/10.1176/ajp.138.5.658 </w:t>
      </w:r>
    </w:p>
    <w:p w14:paraId="63A87D73"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Akinhanmi</w:t>
      </w:r>
      <w:proofErr w:type="spellEnd"/>
      <w:r w:rsidRPr="004D46AC">
        <w:rPr>
          <w:rFonts w:eastAsiaTheme="minorEastAsia"/>
        </w:rPr>
        <w:t xml:space="preserve">, M., El-Amin, S., Balls-Berry, J. E., </w:t>
      </w:r>
      <w:proofErr w:type="spellStart"/>
      <w:r w:rsidRPr="004D46AC">
        <w:rPr>
          <w:rFonts w:eastAsiaTheme="minorEastAsia"/>
        </w:rPr>
        <w:t>Vallender</w:t>
      </w:r>
      <w:proofErr w:type="spellEnd"/>
      <w:r w:rsidRPr="004D46AC">
        <w:rPr>
          <w:rFonts w:eastAsiaTheme="minorEastAsia"/>
        </w:rPr>
        <w:t xml:space="preserve">, E. J., Ladner, M., Geske, J., Coombes, B., Biernacka, J., Kelsoe, J., Bipolar Genome, S., &amp; Frye, M. A. (2020). Decreased core symptoms of mania and utilization of lithium/mood stabilizing anticonvulsants in U.S. bipolar I patients of African vs European ancestry. J Affect </w:t>
      </w:r>
      <w:proofErr w:type="spellStart"/>
      <w:r w:rsidRPr="004D46AC">
        <w:rPr>
          <w:rFonts w:eastAsiaTheme="minorEastAsia"/>
        </w:rPr>
        <w:t>Disord</w:t>
      </w:r>
      <w:proofErr w:type="spellEnd"/>
      <w:r w:rsidRPr="004D46AC">
        <w:rPr>
          <w:rFonts w:eastAsiaTheme="minorEastAsia"/>
        </w:rPr>
        <w:t xml:space="preserve">, 260, 361–365. https://doi.org/10.1016/j.jad.2019.09.022 </w:t>
      </w:r>
    </w:p>
    <w:p w14:paraId="51E18E20"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Asaad, T., Okasha, T., Ramy, H., Fekry, M., Zaki, N., Azzam, H., Rabie, M. A., </w:t>
      </w:r>
      <w:proofErr w:type="spellStart"/>
      <w:r w:rsidRPr="004D46AC">
        <w:rPr>
          <w:rFonts w:eastAsiaTheme="minorEastAsia"/>
        </w:rPr>
        <w:t>Elghoneimy</w:t>
      </w:r>
      <w:proofErr w:type="spellEnd"/>
      <w:r w:rsidRPr="004D46AC">
        <w:rPr>
          <w:rFonts w:eastAsiaTheme="minorEastAsia"/>
        </w:rPr>
        <w:t xml:space="preserve">, S., Sultan, M., Hamed, H., Refaat, O., </w:t>
      </w:r>
      <w:proofErr w:type="spellStart"/>
      <w:r w:rsidRPr="004D46AC">
        <w:rPr>
          <w:rFonts w:eastAsiaTheme="minorEastAsia"/>
        </w:rPr>
        <w:t>Shorab</w:t>
      </w:r>
      <w:proofErr w:type="spellEnd"/>
      <w:r w:rsidRPr="004D46AC">
        <w:rPr>
          <w:rFonts w:eastAsiaTheme="minorEastAsia"/>
        </w:rPr>
        <w:t xml:space="preserve">, I., </w:t>
      </w:r>
      <w:proofErr w:type="spellStart"/>
      <w:r w:rsidRPr="004D46AC">
        <w:rPr>
          <w:rFonts w:eastAsiaTheme="minorEastAsia"/>
        </w:rPr>
        <w:t>Elhabiby</w:t>
      </w:r>
      <w:proofErr w:type="spellEnd"/>
      <w:r w:rsidRPr="004D46AC">
        <w:rPr>
          <w:rFonts w:eastAsiaTheme="minorEastAsia"/>
        </w:rPr>
        <w:t xml:space="preserve">, M., </w:t>
      </w:r>
      <w:proofErr w:type="spellStart"/>
      <w:r w:rsidRPr="004D46AC">
        <w:rPr>
          <w:rFonts w:eastAsiaTheme="minorEastAsia"/>
        </w:rPr>
        <w:t>Elgweily</w:t>
      </w:r>
      <w:proofErr w:type="spellEnd"/>
      <w:r w:rsidRPr="004D46AC">
        <w:rPr>
          <w:rFonts w:eastAsiaTheme="minorEastAsia"/>
        </w:rPr>
        <w:t xml:space="preserve">, T., </w:t>
      </w:r>
      <w:proofErr w:type="spellStart"/>
      <w:r w:rsidRPr="004D46AC">
        <w:rPr>
          <w:rFonts w:eastAsiaTheme="minorEastAsia"/>
        </w:rPr>
        <w:t>ElShinnawy</w:t>
      </w:r>
      <w:proofErr w:type="spellEnd"/>
      <w:r w:rsidRPr="004D46AC">
        <w:rPr>
          <w:rFonts w:eastAsiaTheme="minorEastAsia"/>
        </w:rPr>
        <w:t xml:space="preserve">, H., Nasr, M., Fathy, H., Meguid, M. A., Nader, D.,…Ahmed, S. (2014). Correlates of psychiatric co-morbidity in a sample of Egyptian patients with bipolar disorder. J Affect </w:t>
      </w:r>
      <w:proofErr w:type="spellStart"/>
      <w:r w:rsidRPr="004D46AC">
        <w:rPr>
          <w:rFonts w:eastAsiaTheme="minorEastAsia"/>
        </w:rPr>
        <w:t>Disord</w:t>
      </w:r>
      <w:proofErr w:type="spellEnd"/>
      <w:r w:rsidRPr="004D46AC">
        <w:rPr>
          <w:rFonts w:eastAsiaTheme="minorEastAsia"/>
        </w:rPr>
        <w:t xml:space="preserve">, 166, 347–352. https://doi.org/10.1016/j.jad.2014.04.050 </w:t>
      </w:r>
    </w:p>
    <w:p w14:paraId="55164A4D"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Baek, J. H., Park, D. Y., Choi, J., Kim, J. S., Choi, J. S., Ha, K., Kwon, J. S., Lee, D., &amp; Hong, K. S. (2011). Differences between bipolar I and bipolar II disorders in clinical features, comorbidity, and family history. J Affect </w:t>
      </w:r>
      <w:proofErr w:type="spellStart"/>
      <w:r w:rsidRPr="004D46AC">
        <w:rPr>
          <w:rFonts w:eastAsiaTheme="minorEastAsia"/>
        </w:rPr>
        <w:t>Disord</w:t>
      </w:r>
      <w:proofErr w:type="spellEnd"/>
      <w:r w:rsidRPr="004D46AC">
        <w:rPr>
          <w:rFonts w:eastAsiaTheme="minorEastAsia"/>
        </w:rPr>
        <w:t xml:space="preserve">, 131(1-3), 59–67. https://doi.org/10.1016/j.jad.2010.11.020 </w:t>
      </w:r>
    </w:p>
    <w:p w14:paraId="532D3C4C"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Baethge</w:t>
      </w:r>
      <w:proofErr w:type="spellEnd"/>
      <w:r w:rsidRPr="004D46AC">
        <w:rPr>
          <w:rFonts w:eastAsiaTheme="minorEastAsia"/>
        </w:rPr>
        <w:t xml:space="preserve">, C., </w:t>
      </w:r>
      <w:proofErr w:type="spellStart"/>
      <w:r w:rsidRPr="004D46AC">
        <w:rPr>
          <w:rFonts w:eastAsiaTheme="minorEastAsia"/>
        </w:rPr>
        <w:t>Baldessarini</w:t>
      </w:r>
      <w:proofErr w:type="spellEnd"/>
      <w:r w:rsidRPr="004D46AC">
        <w:rPr>
          <w:rFonts w:eastAsiaTheme="minorEastAsia"/>
        </w:rPr>
        <w:t xml:space="preserve">, R. J., Freudenthal, K., </w:t>
      </w:r>
      <w:proofErr w:type="spellStart"/>
      <w:r w:rsidRPr="004D46AC">
        <w:rPr>
          <w:rFonts w:eastAsiaTheme="minorEastAsia"/>
        </w:rPr>
        <w:t>Streeruwitz</w:t>
      </w:r>
      <w:proofErr w:type="spellEnd"/>
      <w:r w:rsidRPr="004D46AC">
        <w:rPr>
          <w:rFonts w:eastAsiaTheme="minorEastAsia"/>
        </w:rPr>
        <w:t xml:space="preserve">, A., Bauer, M., &amp; </w:t>
      </w:r>
      <w:proofErr w:type="spellStart"/>
      <w:r w:rsidRPr="004D46AC">
        <w:rPr>
          <w:rFonts w:eastAsiaTheme="minorEastAsia"/>
        </w:rPr>
        <w:t>Bschor</w:t>
      </w:r>
      <w:proofErr w:type="spellEnd"/>
      <w:r w:rsidRPr="004D46AC">
        <w:rPr>
          <w:rFonts w:eastAsiaTheme="minorEastAsia"/>
        </w:rPr>
        <w:t xml:space="preserve">, T. (2005). Hallucinations in bipolar disorder: characteristics and comparison to unipolar depression and schizophrenia. Bipolar </w:t>
      </w:r>
      <w:proofErr w:type="spellStart"/>
      <w:r w:rsidRPr="004D46AC">
        <w:rPr>
          <w:rFonts w:eastAsiaTheme="minorEastAsia"/>
        </w:rPr>
        <w:t>Disord</w:t>
      </w:r>
      <w:proofErr w:type="spellEnd"/>
      <w:r w:rsidRPr="004D46AC">
        <w:rPr>
          <w:rFonts w:eastAsiaTheme="minorEastAsia"/>
        </w:rPr>
        <w:t xml:space="preserve">, 7(2), 136–145. https://doi.org/10.1111/j.1399-5618.2004.00175.x </w:t>
      </w:r>
    </w:p>
    <w:p w14:paraId="096EFEAA"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Benabarre</w:t>
      </w:r>
      <w:proofErr w:type="spellEnd"/>
      <w:r w:rsidRPr="004D46AC">
        <w:rPr>
          <w:rFonts w:eastAsiaTheme="minorEastAsia"/>
        </w:rPr>
        <w:t xml:space="preserve">, A., Vieta, E., Colom, F., Martinez-Aran, A., </w:t>
      </w:r>
      <w:proofErr w:type="spellStart"/>
      <w:r w:rsidRPr="004D46AC">
        <w:rPr>
          <w:rFonts w:eastAsiaTheme="minorEastAsia"/>
        </w:rPr>
        <w:t>Reinares</w:t>
      </w:r>
      <w:proofErr w:type="spellEnd"/>
      <w:r w:rsidRPr="004D46AC">
        <w:rPr>
          <w:rFonts w:eastAsiaTheme="minorEastAsia"/>
        </w:rPr>
        <w:t xml:space="preserve">, M., &amp; Gasto, C. (2001). Bipolar disorder, schizoaffective disorder and schizophrenia: epidemiologic, clinical </w:t>
      </w:r>
      <w:r w:rsidRPr="004D46AC">
        <w:rPr>
          <w:rFonts w:eastAsiaTheme="minorEastAsia"/>
        </w:rPr>
        <w:lastRenderedPageBreak/>
        <w:t xml:space="preserve">and prognostic differences. </w:t>
      </w:r>
      <w:proofErr w:type="spellStart"/>
      <w:r w:rsidRPr="004D46AC">
        <w:rPr>
          <w:rFonts w:eastAsiaTheme="minorEastAsia"/>
        </w:rPr>
        <w:t>Eur</w:t>
      </w:r>
      <w:proofErr w:type="spellEnd"/>
      <w:r w:rsidRPr="004D46AC">
        <w:rPr>
          <w:rFonts w:eastAsiaTheme="minorEastAsia"/>
        </w:rPr>
        <w:t xml:space="preserve"> Psychiatry, 16(3), 167–172. https://doi.org/10.1016/s0924-9338(01)00559-4 </w:t>
      </w:r>
    </w:p>
    <w:p w14:paraId="022C6514"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Benazzi, F. (1999). Bipolar versus unipolar psychotic outpatient depression. J Affect </w:t>
      </w:r>
      <w:proofErr w:type="spellStart"/>
      <w:r w:rsidRPr="004D46AC">
        <w:rPr>
          <w:rFonts w:eastAsiaTheme="minorEastAsia"/>
        </w:rPr>
        <w:t>Disord</w:t>
      </w:r>
      <w:proofErr w:type="spellEnd"/>
      <w:r w:rsidRPr="004D46AC">
        <w:rPr>
          <w:rFonts w:eastAsiaTheme="minorEastAsia"/>
        </w:rPr>
        <w:t xml:space="preserve">, 55(1), 63–66. https://doi.org/10.1016/s0165-0327(98)00217-1 </w:t>
      </w:r>
    </w:p>
    <w:p w14:paraId="7C2E4EE8"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Black, D. W., &amp; Nasrallah, A. (1989). Hallucinations and delusions in 1,715 patients with unipolar and bipolar affective disorders. Psychopathology, 22(1), 28–34. https://doi.org/10.1159/000284576 </w:t>
      </w:r>
    </w:p>
    <w:p w14:paraId="179625A7"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Brancati, G. E., Tripodi, B., Novi, M., Barbuti, M., Medda, P., &amp; </w:t>
      </w:r>
      <w:proofErr w:type="spellStart"/>
      <w:r w:rsidRPr="004D46AC">
        <w:rPr>
          <w:rFonts w:eastAsiaTheme="minorEastAsia"/>
        </w:rPr>
        <w:t>Perugi</w:t>
      </w:r>
      <w:proofErr w:type="spellEnd"/>
      <w:r w:rsidRPr="004D46AC">
        <w:rPr>
          <w:rFonts w:eastAsiaTheme="minorEastAsia"/>
        </w:rPr>
        <w:t xml:space="preserve">, G. (2021). Association of treatment facets, severity of manic symptoms, psychomotor disturbances and psychotic features with response to electroconvulsive therapy in bipolar depression. World J </w:t>
      </w:r>
      <w:proofErr w:type="spellStart"/>
      <w:r w:rsidRPr="004D46AC">
        <w:rPr>
          <w:rFonts w:eastAsiaTheme="minorEastAsia"/>
        </w:rPr>
        <w:t>Biol</w:t>
      </w:r>
      <w:proofErr w:type="spellEnd"/>
      <w:r w:rsidRPr="004D46AC">
        <w:rPr>
          <w:rFonts w:eastAsiaTheme="minorEastAsia"/>
        </w:rPr>
        <w:t xml:space="preserve"> Psychiatry, 22(3), 194–202. https://doi.org/10.1080/15622975.2020.1770860 </w:t>
      </w:r>
    </w:p>
    <w:p w14:paraId="762F3C86"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Braunig</w:t>
      </w:r>
      <w:proofErr w:type="spellEnd"/>
      <w:r w:rsidRPr="004D46AC">
        <w:rPr>
          <w:rFonts w:eastAsiaTheme="minorEastAsia"/>
        </w:rPr>
        <w:t xml:space="preserve">, P., Sarkar, R., Effenberger, S., Schoofs, N., &amp; Kruger, S. (2009). Gender differences in psychotic bipolar mania. Gend Med, 6(2), 356–361. https://doi.org/10.1016/j.genm.2009.07.004 </w:t>
      </w:r>
    </w:p>
    <w:p w14:paraId="0D31DE1D"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Breslau, N., &amp; Meltzer, H. Y. (1988). Validity of subtyping psychotic depression: examination of phenomenology and demographic characteristics. Am J Psychiatry, 145(1), 35–40. https://doi.org/10.1176/ajp.145.1.35 </w:t>
      </w:r>
    </w:p>
    <w:p w14:paraId="4D22B4B5"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Brockington, I. F., Altman, E., Hillier, V., Meltzer, H. Y., &amp; Nand, S. (1982). The clinical picture of bipolar affective disorder in its depressed phase. A report from London and Chicago. Br J Psychiatry, 141, 558–562. https://doi.org/10.1192/bjp.141.6.558 </w:t>
      </w:r>
    </w:p>
    <w:p w14:paraId="477B6A1B"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Burton, C. Z., Ryan, K. A., Kamali, M., Marshall, D. F., Harrington, G., McInnis, M. G., &amp; Tso, I. F. (2018). Psychosis in bipolar disorder: Does it represent a more "severe" illness? Bipolar </w:t>
      </w:r>
      <w:proofErr w:type="spellStart"/>
      <w:r w:rsidRPr="004D46AC">
        <w:rPr>
          <w:rFonts w:eastAsiaTheme="minorEastAsia"/>
        </w:rPr>
        <w:t>Disord</w:t>
      </w:r>
      <w:proofErr w:type="spellEnd"/>
      <w:r w:rsidRPr="004D46AC">
        <w:rPr>
          <w:rFonts w:eastAsiaTheme="minorEastAsia"/>
        </w:rPr>
        <w:t xml:space="preserve">, 20(1), 18–26. https://doi.org/10.1111/bdi.12527 </w:t>
      </w:r>
    </w:p>
    <w:p w14:paraId="64A26C4B"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Caldieraro</w:t>
      </w:r>
      <w:proofErr w:type="spellEnd"/>
      <w:r w:rsidRPr="004D46AC">
        <w:rPr>
          <w:rFonts w:eastAsiaTheme="minorEastAsia"/>
        </w:rPr>
        <w:t xml:space="preserve">, M. A., Sylvia, L. G., Dufour, S., Walsh, S., Janos, J., Rabideau, D. J., Kamali, M., McInnis, M. G., Bobo, W. V., Friedman, E. S., Gao, K., Tohen, M., Reilly-Harrington, N. A., Ketter, T. A., Calabrese, J. R., McElroy, S. L., </w:t>
      </w:r>
      <w:proofErr w:type="spellStart"/>
      <w:r w:rsidRPr="004D46AC">
        <w:rPr>
          <w:rFonts w:eastAsiaTheme="minorEastAsia"/>
        </w:rPr>
        <w:t>Thase</w:t>
      </w:r>
      <w:proofErr w:type="spellEnd"/>
      <w:r w:rsidRPr="004D46AC">
        <w:rPr>
          <w:rFonts w:eastAsiaTheme="minorEastAsia"/>
        </w:rPr>
        <w:t xml:space="preserve">, M. E., Shelton, R. C., Bowden, C. L.,…Nierenberg, A. A. (2017). Clinical correlates of acute bipolar depressive episode with psychosis. J Affect </w:t>
      </w:r>
      <w:proofErr w:type="spellStart"/>
      <w:r w:rsidRPr="004D46AC">
        <w:rPr>
          <w:rFonts w:eastAsiaTheme="minorEastAsia"/>
        </w:rPr>
        <w:t>Disord</w:t>
      </w:r>
      <w:proofErr w:type="spellEnd"/>
      <w:r w:rsidRPr="004D46AC">
        <w:rPr>
          <w:rFonts w:eastAsiaTheme="minorEastAsia"/>
        </w:rPr>
        <w:t xml:space="preserve">, 217, 29–33. https://doi.org/10.1016/j.jad.2017.03.059 </w:t>
      </w:r>
    </w:p>
    <w:p w14:paraId="462154F5"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Carlson, G. A., Kotov, R., Chang, S. W., Ruggero, C., &amp; </w:t>
      </w:r>
      <w:proofErr w:type="spellStart"/>
      <w:r w:rsidRPr="004D46AC">
        <w:rPr>
          <w:rFonts w:eastAsiaTheme="minorEastAsia"/>
        </w:rPr>
        <w:t>Bromet</w:t>
      </w:r>
      <w:proofErr w:type="spellEnd"/>
      <w:r w:rsidRPr="004D46AC">
        <w:rPr>
          <w:rFonts w:eastAsiaTheme="minorEastAsia"/>
        </w:rPr>
        <w:t xml:space="preserve">, E. J. (2012). Early determinants of four-year clinical outcomes in bipolar disorder with psychosis. Bipolar </w:t>
      </w:r>
      <w:proofErr w:type="spellStart"/>
      <w:r w:rsidRPr="004D46AC">
        <w:rPr>
          <w:rFonts w:eastAsiaTheme="minorEastAsia"/>
        </w:rPr>
        <w:t>Disord</w:t>
      </w:r>
      <w:proofErr w:type="spellEnd"/>
      <w:r w:rsidRPr="004D46AC">
        <w:rPr>
          <w:rFonts w:eastAsiaTheme="minorEastAsia"/>
        </w:rPr>
        <w:t xml:space="preserve">, 14(1), 19–30. https://doi.org/10.1111/j.1399-5618.2012.00982.x </w:t>
      </w:r>
    </w:p>
    <w:p w14:paraId="07C5216F"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Cassano, G. B., Rucci, P., Frank, E., Fagiolini, A., </w:t>
      </w:r>
      <w:proofErr w:type="spellStart"/>
      <w:r w:rsidRPr="004D46AC">
        <w:rPr>
          <w:rFonts w:eastAsiaTheme="minorEastAsia"/>
        </w:rPr>
        <w:t>Dell'Osso</w:t>
      </w:r>
      <w:proofErr w:type="spellEnd"/>
      <w:r w:rsidRPr="004D46AC">
        <w:rPr>
          <w:rFonts w:eastAsiaTheme="minorEastAsia"/>
        </w:rPr>
        <w:t xml:space="preserve">, L., Shear, M. K., &amp; Kupfer, D. J. (2004). The mood spectrum in unipolar and bipolar disorder: arguments for a unitary approach. Am J Psychiatry, 161(7), 1264–1269. https://doi.org/10.1176/appi.ajp.161.7.1264 </w:t>
      </w:r>
    </w:p>
    <w:p w14:paraId="30A05E6A"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Chouinard, V. A., Shinn, A. K., Valeri, L., Chouinard, P. A., Gardner, M. E., Asan, A. E., Cohen, B. M., &amp; </w:t>
      </w:r>
      <w:proofErr w:type="spellStart"/>
      <w:r w:rsidRPr="004D46AC">
        <w:rPr>
          <w:rFonts w:eastAsiaTheme="minorEastAsia"/>
        </w:rPr>
        <w:t>Ongur</w:t>
      </w:r>
      <w:proofErr w:type="spellEnd"/>
      <w:r w:rsidRPr="004D46AC">
        <w:rPr>
          <w:rFonts w:eastAsiaTheme="minorEastAsia"/>
        </w:rPr>
        <w:t xml:space="preserve">, D. (2019). Visual hallucinations associated with multimodal hallucinations, suicide attempts and morbidity of illness in psychotic disorders. </w:t>
      </w:r>
      <w:proofErr w:type="spellStart"/>
      <w:r w:rsidRPr="004D46AC">
        <w:rPr>
          <w:rFonts w:eastAsiaTheme="minorEastAsia"/>
        </w:rPr>
        <w:t>Schizophr</w:t>
      </w:r>
      <w:proofErr w:type="spellEnd"/>
      <w:r w:rsidRPr="004D46AC">
        <w:rPr>
          <w:rFonts w:eastAsiaTheme="minorEastAsia"/>
        </w:rPr>
        <w:t xml:space="preserve"> Res, 208, 196–201. https://doi.org/10.1016/j.schres.2019.02.022 </w:t>
      </w:r>
    </w:p>
    <w:p w14:paraId="1352E01A"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Conus, P., Abdel-Baki, A., Harrigan, S., Lambert, M., &amp; McGorry, P. D. (2004). Schneiderian first rank symptoms predict poor outcome within first episode manic psychosis. J Affect </w:t>
      </w:r>
      <w:proofErr w:type="spellStart"/>
      <w:r w:rsidRPr="004D46AC">
        <w:rPr>
          <w:rFonts w:eastAsiaTheme="minorEastAsia"/>
        </w:rPr>
        <w:t>Disord</w:t>
      </w:r>
      <w:proofErr w:type="spellEnd"/>
      <w:r w:rsidRPr="004D46AC">
        <w:rPr>
          <w:rFonts w:eastAsiaTheme="minorEastAsia"/>
        </w:rPr>
        <w:t xml:space="preserve">, 81(3), 259–268. https://doi.org/10.1016/j.jad.2003.09.003 </w:t>
      </w:r>
    </w:p>
    <w:p w14:paraId="6D6C05E2"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Das, A., &amp; Khanna, R. (1993). Organic manic syndrome: causative factors, phenomenology and immediate outcome. J Affect </w:t>
      </w:r>
      <w:proofErr w:type="spellStart"/>
      <w:r w:rsidRPr="004D46AC">
        <w:rPr>
          <w:rFonts w:eastAsiaTheme="minorEastAsia"/>
        </w:rPr>
        <w:t>Disord</w:t>
      </w:r>
      <w:proofErr w:type="spellEnd"/>
      <w:r w:rsidRPr="004D46AC">
        <w:rPr>
          <w:rFonts w:eastAsiaTheme="minorEastAsia"/>
        </w:rPr>
        <w:t xml:space="preserve">, 27(3), 147–153. https://doi.org/10.1016/0165-0327(93)90002-2 </w:t>
      </w:r>
    </w:p>
    <w:p w14:paraId="642A9108"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Ekman, C. J., Petrovic, P., Johansson, A. G., Sellgren, C., Ingvar, M., &amp; Landen, M. (2017). A History of Psychosis in Bipolar Disorder is Associated </w:t>
      </w:r>
      <w:proofErr w:type="gramStart"/>
      <w:r w:rsidRPr="004D46AC">
        <w:rPr>
          <w:rFonts w:eastAsiaTheme="minorEastAsia"/>
        </w:rPr>
        <w:t>With</w:t>
      </w:r>
      <w:proofErr w:type="gramEnd"/>
      <w:r w:rsidRPr="004D46AC">
        <w:rPr>
          <w:rFonts w:eastAsiaTheme="minorEastAsia"/>
        </w:rPr>
        <w:t xml:space="preserve"> Gray Matter Volume Reduction. </w:t>
      </w:r>
      <w:proofErr w:type="spellStart"/>
      <w:r w:rsidRPr="004D46AC">
        <w:rPr>
          <w:rFonts w:eastAsiaTheme="minorEastAsia"/>
        </w:rPr>
        <w:t>Schizophr</w:t>
      </w:r>
      <w:proofErr w:type="spellEnd"/>
      <w:r w:rsidRPr="004D46AC">
        <w:rPr>
          <w:rFonts w:eastAsiaTheme="minorEastAsia"/>
        </w:rPr>
        <w:t xml:space="preserve"> Bull, 43(1), 99–107. https://doi.org/10.1093/schbul/sbw080 </w:t>
      </w:r>
    </w:p>
    <w:p w14:paraId="500AC954"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Elowe</w:t>
      </w:r>
      <w:proofErr w:type="spellEnd"/>
      <w:r w:rsidRPr="004D46AC">
        <w:rPr>
          <w:rFonts w:eastAsiaTheme="minorEastAsia"/>
        </w:rPr>
        <w:t xml:space="preserve">, J., Vallat, J., </w:t>
      </w:r>
      <w:proofErr w:type="spellStart"/>
      <w:r w:rsidRPr="004D46AC">
        <w:rPr>
          <w:rFonts w:eastAsiaTheme="minorEastAsia"/>
        </w:rPr>
        <w:t>Castelao</w:t>
      </w:r>
      <w:proofErr w:type="spellEnd"/>
      <w:r w:rsidRPr="004D46AC">
        <w:rPr>
          <w:rFonts w:eastAsiaTheme="minorEastAsia"/>
        </w:rPr>
        <w:t xml:space="preserve">, E., Strippoli, M. F., Gholam, M., Ranjbar, S., Glaus, J., </w:t>
      </w:r>
      <w:proofErr w:type="spellStart"/>
      <w:r w:rsidRPr="004D46AC">
        <w:rPr>
          <w:rFonts w:eastAsiaTheme="minorEastAsia"/>
        </w:rPr>
        <w:t>Merikangas</w:t>
      </w:r>
      <w:proofErr w:type="spellEnd"/>
      <w:r w:rsidRPr="004D46AC">
        <w:rPr>
          <w:rFonts w:eastAsiaTheme="minorEastAsia"/>
        </w:rPr>
        <w:t xml:space="preserve">, K., Lavigne, B., Marquet, P., Preisig, M., &amp; Vandeleur, C. L. (2022). Psychotic features, particularly mood incongruence, as a hallmark of severity of bipolar I disorder. Int J Bipolar Disord, 10(1), 31. https://doi.org/10.1186/s40345-022-00280-6 </w:t>
      </w:r>
    </w:p>
    <w:p w14:paraId="48DA8B29" w14:textId="77777777" w:rsidR="009864DB" w:rsidRPr="004D46AC" w:rsidRDefault="009864DB" w:rsidP="009864DB">
      <w:pPr>
        <w:spacing w:line="240" w:lineRule="auto"/>
        <w:ind w:left="720" w:hanging="720"/>
        <w:rPr>
          <w:rFonts w:eastAsiaTheme="minorEastAsia"/>
        </w:rPr>
      </w:pPr>
      <w:r w:rsidRPr="004D46AC">
        <w:rPr>
          <w:rFonts w:eastAsiaTheme="minorEastAsia"/>
        </w:rPr>
        <w:lastRenderedPageBreak/>
        <w:t xml:space="preserve">Fekadu, A., </w:t>
      </w:r>
      <w:proofErr w:type="spellStart"/>
      <w:r w:rsidRPr="004D46AC">
        <w:rPr>
          <w:rFonts w:eastAsiaTheme="minorEastAsia"/>
        </w:rPr>
        <w:t>Shibre</w:t>
      </w:r>
      <w:proofErr w:type="spellEnd"/>
      <w:r w:rsidRPr="004D46AC">
        <w:rPr>
          <w:rFonts w:eastAsiaTheme="minorEastAsia"/>
        </w:rPr>
        <w:t xml:space="preserve">, T., Alem, A., Kebede, D., Kebreab, S., Negash, A., &amp; Owen, M. J. (2004). Bipolar disorder among an isolated island community in Ethiopia. J Affect </w:t>
      </w:r>
      <w:proofErr w:type="spellStart"/>
      <w:r w:rsidRPr="004D46AC">
        <w:rPr>
          <w:rFonts w:eastAsiaTheme="minorEastAsia"/>
        </w:rPr>
        <w:t>Disord</w:t>
      </w:r>
      <w:proofErr w:type="spellEnd"/>
      <w:r w:rsidRPr="004D46AC">
        <w:rPr>
          <w:rFonts w:eastAsiaTheme="minorEastAsia"/>
        </w:rPr>
        <w:t xml:space="preserve">, 80(1), 1–10. https://doi.org/10.1016/S0165-0327(02)00345-2 </w:t>
      </w:r>
    </w:p>
    <w:p w14:paraId="0319701A"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Garcia-Gonzalez, J., Ramirez, J., Howard, D. M., Brennan, C. H., Munroe, P. B., &amp; Keers, R. (2020). The effects of polygenic risk for psychiatric disorders and smoking behaviour on psychotic experiences in UK Biobank. </w:t>
      </w:r>
      <w:proofErr w:type="spellStart"/>
      <w:r w:rsidRPr="004D46AC">
        <w:rPr>
          <w:rFonts w:eastAsiaTheme="minorEastAsia"/>
        </w:rPr>
        <w:t>Transl</w:t>
      </w:r>
      <w:proofErr w:type="spellEnd"/>
      <w:r w:rsidRPr="004D46AC">
        <w:rPr>
          <w:rFonts w:eastAsiaTheme="minorEastAsia"/>
        </w:rPr>
        <w:t xml:space="preserve"> Psychiatry, 10(1), 330. https://doi.org/10.1038/s41398-020-01009-8 </w:t>
      </w:r>
    </w:p>
    <w:p w14:paraId="01EE3E83"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Gaudiano, B. A., Uebelacker, L. A., &amp; Miller, I. W. (2007). Course of illness in psychotic mania: is mood incongruence important? J </w:t>
      </w:r>
      <w:proofErr w:type="spellStart"/>
      <w:r w:rsidRPr="004D46AC">
        <w:rPr>
          <w:rFonts w:eastAsiaTheme="minorEastAsia"/>
        </w:rPr>
        <w:t>Nerv</w:t>
      </w:r>
      <w:proofErr w:type="spellEnd"/>
      <w:r w:rsidRPr="004D46AC">
        <w:rPr>
          <w:rFonts w:eastAsiaTheme="minorEastAsia"/>
        </w:rPr>
        <w:t xml:space="preserve"> Ment Dis, 195(3), 226–232. https://doi.org/10.1097/01.nmd.0000243763.81487.4d </w:t>
      </w:r>
    </w:p>
    <w:p w14:paraId="2BE0C963"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Gorgulu</w:t>
      </w:r>
      <w:proofErr w:type="spellEnd"/>
      <w:r w:rsidRPr="004D46AC">
        <w:rPr>
          <w:rFonts w:eastAsiaTheme="minorEastAsia"/>
        </w:rPr>
        <w:t xml:space="preserve">, Y., </w:t>
      </w:r>
      <w:proofErr w:type="spellStart"/>
      <w:r w:rsidRPr="004D46AC">
        <w:rPr>
          <w:rFonts w:eastAsiaTheme="minorEastAsia"/>
        </w:rPr>
        <w:t>Uluturk</w:t>
      </w:r>
      <w:proofErr w:type="spellEnd"/>
      <w:r w:rsidRPr="004D46AC">
        <w:rPr>
          <w:rFonts w:eastAsiaTheme="minorEastAsia"/>
        </w:rPr>
        <w:t xml:space="preserve">, M. K., &amp; </w:t>
      </w:r>
      <w:proofErr w:type="spellStart"/>
      <w:r w:rsidRPr="004D46AC">
        <w:rPr>
          <w:rFonts w:eastAsiaTheme="minorEastAsia"/>
        </w:rPr>
        <w:t>Palabiyik</w:t>
      </w:r>
      <w:proofErr w:type="spellEnd"/>
      <w:r w:rsidRPr="004D46AC">
        <w:rPr>
          <w:rFonts w:eastAsiaTheme="minorEastAsia"/>
        </w:rPr>
        <w:t xml:space="preserve">, O. (2021). Comparison of serum BDNF, IL-1beta, IL-6, TNF-alpha, CRP and leucocyte levels in unipolar mania and bipolar disorder. Acta </w:t>
      </w:r>
      <w:proofErr w:type="spellStart"/>
      <w:r w:rsidRPr="004D46AC">
        <w:rPr>
          <w:rFonts w:eastAsiaTheme="minorEastAsia"/>
        </w:rPr>
        <w:t>Neuropsychiatr</w:t>
      </w:r>
      <w:proofErr w:type="spellEnd"/>
      <w:r w:rsidRPr="004D46AC">
        <w:rPr>
          <w:rFonts w:eastAsiaTheme="minorEastAsia"/>
        </w:rPr>
        <w:t xml:space="preserve">, 33(6), 317–322. https://doi.org/10.1017/neu.2021.25 </w:t>
      </w:r>
    </w:p>
    <w:p w14:paraId="699AA25D"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Hammersley, P., Dias, A., Todd, G., Bowen-Jones, K., Reilly, B., &amp; Bentall, R. P. (2003). Childhood trauma and hallucinations in bipolar affective disorder: preliminary investigation. Br J Psychiatry, 182, 543–547. https://doi.org/10.1192/bjp.182.6.543 </w:t>
      </w:r>
    </w:p>
    <w:p w14:paraId="6C53C650"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Hwang, M., Roh, Y. S., Talero, J., Cohen, B. M., Baker, J. T., Brady, R. O., </w:t>
      </w:r>
      <w:proofErr w:type="spellStart"/>
      <w:r w:rsidRPr="004D46AC">
        <w:rPr>
          <w:rFonts w:eastAsiaTheme="minorEastAsia"/>
        </w:rPr>
        <w:t>Ongur</w:t>
      </w:r>
      <w:proofErr w:type="spellEnd"/>
      <w:r w:rsidRPr="004D46AC">
        <w:rPr>
          <w:rFonts w:eastAsiaTheme="minorEastAsia"/>
        </w:rPr>
        <w:t xml:space="preserve">, D., &amp; Shinn, A. K. (2021). Auditory hallucinations across the psychosis spectrum: Evidence of dysconnectivity involving cerebellar and temporal lobe regions. Neuroimage Clin, 32, 102893. https://doi.org/10.1016/j.nicl.2021.102893 </w:t>
      </w:r>
    </w:p>
    <w:p w14:paraId="64EBE6EB"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Jester, D. J., Hyer, K., Molinari, V., Andel, R., &amp; Rozek, E. (2018). Age-dependent determinants of antipsychotic use among newly admitted residents of skilled nursing facilities: A population-based study. Int J </w:t>
      </w:r>
      <w:proofErr w:type="spellStart"/>
      <w:r w:rsidRPr="004D46AC">
        <w:rPr>
          <w:rFonts w:eastAsiaTheme="minorEastAsia"/>
        </w:rPr>
        <w:t>Geriatr</w:t>
      </w:r>
      <w:proofErr w:type="spellEnd"/>
      <w:r w:rsidRPr="004D46AC">
        <w:rPr>
          <w:rFonts w:eastAsiaTheme="minorEastAsia"/>
        </w:rPr>
        <w:t xml:space="preserve"> Psychiatry, 33(10), 1370–1382. https://doi.org/10.1002/gps.4934 </w:t>
      </w:r>
    </w:p>
    <w:p w14:paraId="4906A8F3"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Keck, P. E., Jr., McElroy, S. L., Havens, J. R., Altshuler, L. L., Nolen, W. A., Frye, M. A., Suppes, T., </w:t>
      </w:r>
      <w:proofErr w:type="spellStart"/>
      <w:r w:rsidRPr="004D46AC">
        <w:rPr>
          <w:rFonts w:eastAsiaTheme="minorEastAsia"/>
        </w:rPr>
        <w:t>Denicoff</w:t>
      </w:r>
      <w:proofErr w:type="spellEnd"/>
      <w:r w:rsidRPr="004D46AC">
        <w:rPr>
          <w:rFonts w:eastAsiaTheme="minorEastAsia"/>
        </w:rPr>
        <w:t xml:space="preserve">, K. D., Kupka, R., Leverich, G. S., Rush, A. J., &amp; Post, R. M. (2003). Psychosis in bipolar disorder: phenomenology and impact on morbidity and course of illness. </w:t>
      </w:r>
      <w:proofErr w:type="spellStart"/>
      <w:r w:rsidRPr="004D46AC">
        <w:rPr>
          <w:rFonts w:eastAsiaTheme="minorEastAsia"/>
        </w:rPr>
        <w:t>Compr</w:t>
      </w:r>
      <w:proofErr w:type="spellEnd"/>
      <w:r w:rsidRPr="004D46AC">
        <w:rPr>
          <w:rFonts w:eastAsiaTheme="minorEastAsia"/>
        </w:rPr>
        <w:t xml:space="preserve"> Psychiatry, 44(4), 263–269. https://doi.org/10.1016/S0010-440X(03)00089-0 </w:t>
      </w:r>
    </w:p>
    <w:p w14:paraId="1F8C5B7B"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Kennedy, N., Boydell, J., van </w:t>
      </w:r>
      <w:proofErr w:type="spellStart"/>
      <w:r w:rsidRPr="004D46AC">
        <w:rPr>
          <w:rFonts w:eastAsiaTheme="minorEastAsia"/>
        </w:rPr>
        <w:t>Os</w:t>
      </w:r>
      <w:proofErr w:type="spellEnd"/>
      <w:r w:rsidRPr="004D46AC">
        <w:rPr>
          <w:rFonts w:eastAsiaTheme="minorEastAsia"/>
        </w:rPr>
        <w:t xml:space="preserve">, J., &amp; Murray, R. M. (2004). Ethnic differences in first clinical presentation of bipolar disorder: results from an epidemiological study. J Affect </w:t>
      </w:r>
      <w:proofErr w:type="spellStart"/>
      <w:r w:rsidRPr="004D46AC">
        <w:rPr>
          <w:rFonts w:eastAsiaTheme="minorEastAsia"/>
        </w:rPr>
        <w:t>Disord</w:t>
      </w:r>
      <w:proofErr w:type="spellEnd"/>
      <w:r w:rsidRPr="004D46AC">
        <w:rPr>
          <w:rFonts w:eastAsiaTheme="minorEastAsia"/>
        </w:rPr>
        <w:t xml:space="preserve">, 83(2-3), 161–168. https://doi.org/10.1016/j.jad.2004.06.006 </w:t>
      </w:r>
    </w:p>
    <w:p w14:paraId="669E320E"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Lewandowski, K. E., DePaola, J., </w:t>
      </w:r>
      <w:proofErr w:type="spellStart"/>
      <w:r w:rsidRPr="004D46AC">
        <w:rPr>
          <w:rFonts w:eastAsiaTheme="minorEastAsia"/>
        </w:rPr>
        <w:t>Camsari</w:t>
      </w:r>
      <w:proofErr w:type="spellEnd"/>
      <w:r w:rsidRPr="004D46AC">
        <w:rPr>
          <w:rFonts w:eastAsiaTheme="minorEastAsia"/>
        </w:rPr>
        <w:t xml:space="preserve">, G. B., Cohen, B. M., &amp; </w:t>
      </w:r>
      <w:proofErr w:type="spellStart"/>
      <w:r w:rsidRPr="004D46AC">
        <w:rPr>
          <w:rFonts w:eastAsiaTheme="minorEastAsia"/>
        </w:rPr>
        <w:t>Ongur</w:t>
      </w:r>
      <w:proofErr w:type="spellEnd"/>
      <w:r w:rsidRPr="004D46AC">
        <w:rPr>
          <w:rFonts w:eastAsiaTheme="minorEastAsia"/>
        </w:rPr>
        <w:t xml:space="preserve">, D. (2009). Tactile, olfactory, and gustatory hallucinations in psychotic disorders: a descriptive study. Ann </w:t>
      </w:r>
      <w:proofErr w:type="spellStart"/>
      <w:r w:rsidRPr="004D46AC">
        <w:rPr>
          <w:rFonts w:eastAsiaTheme="minorEastAsia"/>
        </w:rPr>
        <w:t>Acad</w:t>
      </w:r>
      <w:proofErr w:type="spellEnd"/>
      <w:r w:rsidRPr="004D46AC">
        <w:rPr>
          <w:rFonts w:eastAsiaTheme="minorEastAsia"/>
        </w:rPr>
        <w:t xml:space="preserve"> Med </w:t>
      </w:r>
      <w:proofErr w:type="spellStart"/>
      <w:r w:rsidRPr="004D46AC">
        <w:rPr>
          <w:rFonts w:eastAsiaTheme="minorEastAsia"/>
        </w:rPr>
        <w:t>Singap</w:t>
      </w:r>
      <w:proofErr w:type="spellEnd"/>
      <w:r w:rsidRPr="004D46AC">
        <w:rPr>
          <w:rFonts w:eastAsiaTheme="minorEastAsia"/>
        </w:rPr>
        <w:t xml:space="preserve">, 38(5), 383–385. </w:t>
      </w:r>
    </w:p>
    <w:p w14:paraId="5DF34203"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Mancuso, S. G., Morgan, V. A., Mitchell, P. B., Berk, M., Young, A., &amp; Castle, D. J. (2015). A comparison of schizophrenia, schizoaffective disorder, and bipolar disorder: Results from the Second Australian national psychosis survey. J Affect </w:t>
      </w:r>
      <w:proofErr w:type="spellStart"/>
      <w:r w:rsidRPr="004D46AC">
        <w:rPr>
          <w:rFonts w:eastAsiaTheme="minorEastAsia"/>
        </w:rPr>
        <w:t>Disord</w:t>
      </w:r>
      <w:proofErr w:type="spellEnd"/>
      <w:r w:rsidRPr="004D46AC">
        <w:rPr>
          <w:rFonts w:eastAsiaTheme="minorEastAsia"/>
        </w:rPr>
        <w:t xml:space="preserve">, 172, 30–37. https://doi.org/10.1016/j.jad.2014.09.035 </w:t>
      </w:r>
    </w:p>
    <w:p w14:paraId="583861C1"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Mirza, L., Das-Munshi, J., Chaturvedi, J., Wu, H., Kraljevic, Z., Searle, T., Shaari, S., Mascio, A., Skiada, N., Roberts, A., Bean, D., Stewart, R., Dobson, R., &amp; Bendayan, R. (2021). Investigating the association between physical health comorbidities and disability in individuals with severe mental illness. </w:t>
      </w:r>
      <w:proofErr w:type="spellStart"/>
      <w:r w:rsidRPr="004D46AC">
        <w:rPr>
          <w:rFonts w:eastAsiaTheme="minorEastAsia"/>
        </w:rPr>
        <w:t>Eur</w:t>
      </w:r>
      <w:proofErr w:type="spellEnd"/>
      <w:r w:rsidRPr="004D46AC">
        <w:rPr>
          <w:rFonts w:eastAsiaTheme="minorEastAsia"/>
        </w:rPr>
        <w:t xml:space="preserve"> Psychiatry, 64(1), e77. https://doi.org/10.1192/j.eurpsy.2021.2255 </w:t>
      </w:r>
    </w:p>
    <w:p w14:paraId="060AFBD7"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Morch-Johnsen, L., Nerland, S., Jorgensen, K. N., Osnes, K., Hartberg, C. B., Andreassen, O. A., Melle, I., </w:t>
      </w:r>
      <w:proofErr w:type="spellStart"/>
      <w:r w:rsidRPr="004D46AC">
        <w:rPr>
          <w:rFonts w:eastAsiaTheme="minorEastAsia"/>
        </w:rPr>
        <w:t>Nesvag</w:t>
      </w:r>
      <w:proofErr w:type="spellEnd"/>
      <w:r w:rsidRPr="004D46AC">
        <w:rPr>
          <w:rFonts w:eastAsiaTheme="minorEastAsia"/>
        </w:rPr>
        <w:t xml:space="preserve">, R., &amp; </w:t>
      </w:r>
      <w:proofErr w:type="spellStart"/>
      <w:r w:rsidRPr="004D46AC">
        <w:rPr>
          <w:rFonts w:eastAsiaTheme="minorEastAsia"/>
        </w:rPr>
        <w:t>Agartz</w:t>
      </w:r>
      <w:proofErr w:type="spellEnd"/>
      <w:r w:rsidRPr="004D46AC">
        <w:rPr>
          <w:rFonts w:eastAsiaTheme="minorEastAsia"/>
        </w:rPr>
        <w:t xml:space="preserve">, I. (2018). Cortical thickness abnormalities in bipolar disorder patients with a lifetime history of auditory hallucinations. Bipolar </w:t>
      </w:r>
      <w:proofErr w:type="spellStart"/>
      <w:r w:rsidRPr="004D46AC">
        <w:rPr>
          <w:rFonts w:eastAsiaTheme="minorEastAsia"/>
        </w:rPr>
        <w:t>Disord</w:t>
      </w:r>
      <w:proofErr w:type="spellEnd"/>
      <w:r w:rsidRPr="004D46AC">
        <w:rPr>
          <w:rFonts w:eastAsiaTheme="minorEastAsia"/>
        </w:rPr>
        <w:t xml:space="preserve">, 20(7), 647–657. https://doi.org/10.1111/bdi.12627 </w:t>
      </w:r>
    </w:p>
    <w:p w14:paraId="6E6C0899"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Morgan, O., </w:t>
      </w:r>
      <w:proofErr w:type="spellStart"/>
      <w:r w:rsidRPr="004D46AC">
        <w:rPr>
          <w:rFonts w:eastAsiaTheme="minorEastAsia"/>
        </w:rPr>
        <w:t>Strassnig</w:t>
      </w:r>
      <w:proofErr w:type="spellEnd"/>
      <w:r w:rsidRPr="004D46AC">
        <w:rPr>
          <w:rFonts w:eastAsiaTheme="minorEastAsia"/>
        </w:rPr>
        <w:t xml:space="preserve">, M. T., Moore, R. C., Depp, C. A., Ackerman, R. A., Pinkham, A. E., &amp; Harvey, P. D. (2022). Accuracy of immediate self-assessment of neurocognitive test performance: Associations with psychiatric diagnosis and longitudinal psychotic symptoms. J </w:t>
      </w:r>
      <w:proofErr w:type="spellStart"/>
      <w:r w:rsidRPr="004D46AC">
        <w:rPr>
          <w:rFonts w:eastAsiaTheme="minorEastAsia"/>
        </w:rPr>
        <w:t>Psychiatr</w:t>
      </w:r>
      <w:proofErr w:type="spellEnd"/>
      <w:r w:rsidRPr="004D46AC">
        <w:rPr>
          <w:rFonts w:eastAsiaTheme="minorEastAsia"/>
        </w:rPr>
        <w:t xml:space="preserve"> Res, 156, 594–601. https://doi.org/10.1016/j.jpsychires.2022.10.069 </w:t>
      </w:r>
    </w:p>
    <w:p w14:paraId="4192B6D7"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Morgan, V. A., Mitchell, P. B., &amp; Jablensky, A. V. (2005). The epidemiology of bipolar disorder: sociodemographic, disability and service utilization data from the Australian </w:t>
      </w:r>
      <w:r w:rsidRPr="004D46AC">
        <w:rPr>
          <w:rFonts w:eastAsiaTheme="minorEastAsia"/>
        </w:rPr>
        <w:lastRenderedPageBreak/>
        <w:t xml:space="preserve">National Study of Low Prevalence (Psychotic) Disorders. Bipolar </w:t>
      </w:r>
      <w:proofErr w:type="spellStart"/>
      <w:r w:rsidRPr="004D46AC">
        <w:rPr>
          <w:rFonts w:eastAsiaTheme="minorEastAsia"/>
        </w:rPr>
        <w:t>Disord</w:t>
      </w:r>
      <w:proofErr w:type="spellEnd"/>
      <w:r w:rsidRPr="004D46AC">
        <w:rPr>
          <w:rFonts w:eastAsiaTheme="minorEastAsia"/>
        </w:rPr>
        <w:t xml:space="preserve">, 7(4), 326–337. https://doi.org/10.1111/j.1399-5618.2005.00229.x </w:t>
      </w:r>
    </w:p>
    <w:p w14:paraId="347D2741"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Morgan, V. A., Waterreus, A., Jablensky, A., Mackinnon, A., McGrath, J. J., Carr, V., Bush, R., Castle, D., Cohen, M., Harvey, C., Galletly, C., Stain, H. J., Neil, A. L., McGorry, P., Hocking, B., Shah, S., &amp; Saw, S. (2012). People living with psychotic illness in 2010: the second Australian national survey of psychosis. </w:t>
      </w:r>
      <w:proofErr w:type="spellStart"/>
      <w:r w:rsidRPr="004D46AC">
        <w:rPr>
          <w:rFonts w:eastAsiaTheme="minorEastAsia"/>
        </w:rPr>
        <w:t>Aust</w:t>
      </w:r>
      <w:proofErr w:type="spellEnd"/>
      <w:r w:rsidRPr="004D46AC">
        <w:rPr>
          <w:rFonts w:eastAsiaTheme="minorEastAsia"/>
        </w:rPr>
        <w:t xml:space="preserve"> N Z J Psychiatry, 46(8), 735–752. https://doi.org/10.1177/0004867412449877 </w:t>
      </w:r>
    </w:p>
    <w:p w14:paraId="4057B797" w14:textId="77777777" w:rsidR="009864DB" w:rsidRPr="004D46AC" w:rsidRDefault="009864DB" w:rsidP="009864DB">
      <w:pPr>
        <w:spacing w:line="240" w:lineRule="auto"/>
        <w:ind w:left="720" w:hanging="720"/>
        <w:rPr>
          <w:rFonts w:eastAsiaTheme="minorEastAsia"/>
        </w:rPr>
      </w:pPr>
      <w:r w:rsidRPr="004D46AC">
        <w:rPr>
          <w:rFonts w:eastAsiaTheme="minorEastAsia"/>
        </w:rPr>
        <w:t>Nakimuli-</w:t>
      </w:r>
      <w:proofErr w:type="spellStart"/>
      <w:r w:rsidRPr="004D46AC">
        <w:rPr>
          <w:rFonts w:eastAsiaTheme="minorEastAsia"/>
        </w:rPr>
        <w:t>Mpungu</w:t>
      </w:r>
      <w:proofErr w:type="spellEnd"/>
      <w:r w:rsidRPr="004D46AC">
        <w:rPr>
          <w:rFonts w:eastAsiaTheme="minorEastAsia"/>
        </w:rPr>
        <w:t xml:space="preserve">, E., Musisi, S., </w:t>
      </w:r>
      <w:proofErr w:type="spellStart"/>
      <w:r w:rsidRPr="004D46AC">
        <w:rPr>
          <w:rFonts w:eastAsiaTheme="minorEastAsia"/>
        </w:rPr>
        <w:t>Mpungu</w:t>
      </w:r>
      <w:proofErr w:type="spellEnd"/>
      <w:r w:rsidRPr="004D46AC">
        <w:rPr>
          <w:rFonts w:eastAsiaTheme="minorEastAsia"/>
        </w:rPr>
        <w:t xml:space="preserve">, S. K., &amp; </w:t>
      </w:r>
      <w:proofErr w:type="spellStart"/>
      <w:r w:rsidRPr="004D46AC">
        <w:rPr>
          <w:rFonts w:eastAsiaTheme="minorEastAsia"/>
        </w:rPr>
        <w:t>Katabira</w:t>
      </w:r>
      <w:proofErr w:type="spellEnd"/>
      <w:r w:rsidRPr="004D46AC">
        <w:rPr>
          <w:rFonts w:eastAsiaTheme="minorEastAsia"/>
        </w:rPr>
        <w:t xml:space="preserve">, E. (2006). Primary mania versus HIV-related secondary mania in Uganda. Am J Psychiatry, 163(8), 1349–1354; quiz 1480. https://doi.org/10.1176/ajp.2006.163.8.1349 </w:t>
      </w:r>
    </w:p>
    <w:p w14:paraId="002AE092"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Nisha, A., Sathesh, V., Punnoose, V. P., &amp; Varghese, P. J. (2015). A comparative study on psycho-socio-demographic and clinical profile of patients with bipolar versus unipolar depression. Indian J Psychiatry, 57(4), 392–396. https://doi.org/10.4103/0019-5545.171842 </w:t>
      </w:r>
    </w:p>
    <w:p w14:paraId="07F5E3CF"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Olfson, M., Das, A. K., Gameroff, M. J., </w:t>
      </w:r>
      <w:proofErr w:type="spellStart"/>
      <w:r w:rsidRPr="004D46AC">
        <w:rPr>
          <w:rFonts w:eastAsiaTheme="minorEastAsia"/>
        </w:rPr>
        <w:t>Pilowsky</w:t>
      </w:r>
      <w:proofErr w:type="spellEnd"/>
      <w:r w:rsidRPr="004D46AC">
        <w:rPr>
          <w:rFonts w:eastAsiaTheme="minorEastAsia"/>
        </w:rPr>
        <w:t xml:space="preserve">, D., Feder, A., Gross, R., Lantigua, R., Shea, S., &amp; Weissman, M. M. (2005). Bipolar depression in a low-income primary care clinic. Am J Psychiatry, 162(11), 2146–2151. https://doi.org/10.1176/appi.ajp.162.11.2146 </w:t>
      </w:r>
    </w:p>
    <w:p w14:paraId="7F313A76"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Ongur</w:t>
      </w:r>
      <w:proofErr w:type="spellEnd"/>
      <w:r w:rsidRPr="004D46AC">
        <w:rPr>
          <w:rFonts w:eastAsiaTheme="minorEastAsia"/>
        </w:rPr>
        <w:t xml:space="preserve">, D., Lin, L., &amp; Cohen, B. M. (2009). Clinical characteristics influencing age at onset in psychotic disorders. </w:t>
      </w:r>
      <w:proofErr w:type="spellStart"/>
      <w:r w:rsidRPr="004D46AC">
        <w:rPr>
          <w:rFonts w:eastAsiaTheme="minorEastAsia"/>
        </w:rPr>
        <w:t>Compr</w:t>
      </w:r>
      <w:proofErr w:type="spellEnd"/>
      <w:r w:rsidRPr="004D46AC">
        <w:rPr>
          <w:rFonts w:eastAsiaTheme="minorEastAsia"/>
        </w:rPr>
        <w:t xml:space="preserve"> Psychiatry, 50(1), 13–19. https://doi.org/10.1016/j.comppsych.2008.06.002 </w:t>
      </w:r>
    </w:p>
    <w:p w14:paraId="1E9CCD47"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Park, J., </w:t>
      </w:r>
      <w:proofErr w:type="spellStart"/>
      <w:r w:rsidRPr="004D46AC">
        <w:rPr>
          <w:rFonts w:eastAsiaTheme="minorEastAsia"/>
        </w:rPr>
        <w:t>Ayduk</w:t>
      </w:r>
      <w:proofErr w:type="spellEnd"/>
      <w:r w:rsidRPr="004D46AC">
        <w:rPr>
          <w:rFonts w:eastAsiaTheme="minorEastAsia"/>
        </w:rPr>
        <w:t xml:space="preserve">, O., O'Donnell, L., Chun, J., Gruber, J., Kamali, M., McInnis, M., Deldin, P., &amp; Kross, E. (2014). Regulating the High: Cognitive and Neural Processes Underlying Positive Emotion Regulation in Bipolar I Disorder. Clin </w:t>
      </w:r>
      <w:proofErr w:type="spellStart"/>
      <w:r w:rsidRPr="004D46AC">
        <w:rPr>
          <w:rFonts w:eastAsiaTheme="minorEastAsia"/>
        </w:rPr>
        <w:t>Psychol</w:t>
      </w:r>
      <w:proofErr w:type="spellEnd"/>
      <w:r w:rsidRPr="004D46AC">
        <w:rPr>
          <w:rFonts w:eastAsiaTheme="minorEastAsia"/>
        </w:rPr>
        <w:t xml:space="preserve"> Sci, 2(6), 661–674. https://doi.org/10.1177/2167702614527580 </w:t>
      </w:r>
    </w:p>
    <w:p w14:paraId="007BD046"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Parker, G., Graham, R., Hadzi-Pavlovic, D., McCraw, S., Hong, M., &amp; Friend, P. (2013). Differentiation of bipolar I and II disorders by examining for differences in severity of manic/hypomanic symptoms and the presence or absence of psychosis during that phase. J Affect </w:t>
      </w:r>
      <w:proofErr w:type="spellStart"/>
      <w:r w:rsidRPr="004D46AC">
        <w:rPr>
          <w:rFonts w:eastAsiaTheme="minorEastAsia"/>
        </w:rPr>
        <w:t>Disord</w:t>
      </w:r>
      <w:proofErr w:type="spellEnd"/>
      <w:r w:rsidRPr="004D46AC">
        <w:rPr>
          <w:rFonts w:eastAsiaTheme="minorEastAsia"/>
        </w:rPr>
        <w:t xml:space="preserve">, 150(3), 941–947. https://doi.org/10.1016/j.jad.2013.05.018 </w:t>
      </w:r>
    </w:p>
    <w:p w14:paraId="28F1B8BD"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Parker, G., Roy, K., Wilhelm, K., Mitchell, P., &amp; Hadzi-Pavlovic, D. (2000). The nature of bipolar depression: implications for the definition of melancholia. J Affect </w:t>
      </w:r>
      <w:proofErr w:type="spellStart"/>
      <w:r w:rsidRPr="004D46AC">
        <w:rPr>
          <w:rFonts w:eastAsiaTheme="minorEastAsia"/>
        </w:rPr>
        <w:t>Disord</w:t>
      </w:r>
      <w:proofErr w:type="spellEnd"/>
      <w:r w:rsidRPr="004D46AC">
        <w:rPr>
          <w:rFonts w:eastAsiaTheme="minorEastAsia"/>
        </w:rPr>
        <w:t xml:space="preserve">, 59(3), 217–224. https://doi.org/10.1016/s0165-0327(99)00144-5 </w:t>
      </w:r>
    </w:p>
    <w:p w14:paraId="5C49040D"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Perlman, G., Kotov, R., Fu, J., </w:t>
      </w:r>
      <w:proofErr w:type="spellStart"/>
      <w:r w:rsidRPr="004D46AC">
        <w:rPr>
          <w:rFonts w:eastAsiaTheme="minorEastAsia"/>
        </w:rPr>
        <w:t>Bromet</w:t>
      </w:r>
      <w:proofErr w:type="spellEnd"/>
      <w:r w:rsidRPr="004D46AC">
        <w:rPr>
          <w:rFonts w:eastAsiaTheme="minorEastAsia"/>
        </w:rPr>
        <w:t xml:space="preserve">, E. J., </w:t>
      </w:r>
      <w:proofErr w:type="spellStart"/>
      <w:r w:rsidRPr="004D46AC">
        <w:rPr>
          <w:rFonts w:eastAsiaTheme="minorEastAsia"/>
        </w:rPr>
        <w:t>Fochtmann</w:t>
      </w:r>
      <w:proofErr w:type="spellEnd"/>
      <w:r w:rsidRPr="004D46AC">
        <w:rPr>
          <w:rFonts w:eastAsiaTheme="minorEastAsia"/>
        </w:rPr>
        <w:t xml:space="preserve">, L. J., Medeiros, H., Genomic Psychiatry Cohort, C., Pato, M. T., &amp; Pato, C. N. (2016). Symptoms of psychosis in schizophrenia, schizoaffective disorder, and bipolar disorder: A comparison of African Americans and Caucasians in the Genomic Psychiatry Cohort. Am J Med Genet B </w:t>
      </w:r>
      <w:proofErr w:type="spellStart"/>
      <w:r w:rsidRPr="004D46AC">
        <w:rPr>
          <w:rFonts w:eastAsiaTheme="minorEastAsia"/>
        </w:rPr>
        <w:t>Neuropsychiatr</w:t>
      </w:r>
      <w:proofErr w:type="spellEnd"/>
      <w:r w:rsidRPr="004D46AC">
        <w:rPr>
          <w:rFonts w:eastAsiaTheme="minorEastAsia"/>
        </w:rPr>
        <w:t xml:space="preserve"> Genet, 171(4), 546–555. https://doi.org/10.1002/ajmg.b.32409 </w:t>
      </w:r>
    </w:p>
    <w:p w14:paraId="782D4072"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Pfohl, B., Vasquez, N., &amp; Nasrallah, H. (1982). Unipolar vs. bipolar mania: a review of 247 patients. Br J Psychiatry, 141, 453–458. https://doi.org/10.1192/bjp.141.5.453 </w:t>
      </w:r>
    </w:p>
    <w:p w14:paraId="7B0E5623"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Prakash, O., Kumar, C. N., Shivakumar, P. T., Bharath, S., &amp; Varghese, M. (2009). Clinical presentation of mania compared with depression: data from a geriatric clinic in India. Int </w:t>
      </w:r>
      <w:proofErr w:type="spellStart"/>
      <w:r w:rsidRPr="004D46AC">
        <w:rPr>
          <w:rFonts w:eastAsiaTheme="minorEastAsia"/>
        </w:rPr>
        <w:t>Psychogeriatr</w:t>
      </w:r>
      <w:proofErr w:type="spellEnd"/>
      <w:r w:rsidRPr="004D46AC">
        <w:rPr>
          <w:rFonts w:eastAsiaTheme="minorEastAsia"/>
        </w:rPr>
        <w:t xml:space="preserve">, 21(4), 764–767. https://doi.org/10.1017/S1041610209009466 </w:t>
      </w:r>
    </w:p>
    <w:p w14:paraId="700B7F50"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Rajkumar, R. P. (2016). Recurrent unipolar mania: A comparative, cross-sectional study. </w:t>
      </w:r>
      <w:proofErr w:type="spellStart"/>
      <w:r w:rsidRPr="004D46AC">
        <w:rPr>
          <w:rFonts w:eastAsiaTheme="minorEastAsia"/>
        </w:rPr>
        <w:t>Compr</w:t>
      </w:r>
      <w:proofErr w:type="spellEnd"/>
      <w:r w:rsidRPr="004D46AC">
        <w:rPr>
          <w:rFonts w:eastAsiaTheme="minorEastAsia"/>
        </w:rPr>
        <w:t xml:space="preserve"> Psychiatry, 65, 136–140. https://doi.org/10.1016/j.comppsych.2015.11.008 </w:t>
      </w:r>
    </w:p>
    <w:p w14:paraId="042010FC"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Reininghaus</w:t>
      </w:r>
      <w:proofErr w:type="spellEnd"/>
      <w:r w:rsidRPr="004D46AC">
        <w:rPr>
          <w:rFonts w:eastAsiaTheme="minorEastAsia"/>
        </w:rPr>
        <w:t xml:space="preserve">, U., Bohnke, J. R., Hosang, G., Farmer, A., Burns, T., McGuffin, P., &amp; Bentall, R. P. (2016). Evaluation of the validity and utility of a transdiagnostic psychosis dimension encompassing schizophrenia and bipolar disorder. Br J Psychiatry, 209(2), 107–113. https://doi.org/10.1192/bjp.bp.115.167882 </w:t>
      </w:r>
    </w:p>
    <w:p w14:paraId="5D383CD5"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Rosen, C., Jones, N., Chase, K. A., Gin, H., Grossman, L. S., &amp; Sharma, R. P. (2016). The </w:t>
      </w:r>
      <w:proofErr w:type="spellStart"/>
      <w:r w:rsidRPr="004D46AC">
        <w:rPr>
          <w:rFonts w:eastAsiaTheme="minorEastAsia"/>
        </w:rPr>
        <w:t>intrasubjectivity</w:t>
      </w:r>
      <w:proofErr w:type="spellEnd"/>
      <w:r w:rsidRPr="004D46AC">
        <w:rPr>
          <w:rFonts w:eastAsiaTheme="minorEastAsia"/>
        </w:rPr>
        <w:t xml:space="preserve"> of self, voices and delusions: A phenomenological analysis. Psychosis, 8(4), 357–368. https://doi.org/10.1080/17522439.2016.1162839 </w:t>
      </w:r>
    </w:p>
    <w:p w14:paraId="51829470"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Schulze, T. G., Muller, D. J., Krauss, H., Gross, M., Fangerau-Lefevre, H., Illes, F., </w:t>
      </w:r>
      <w:proofErr w:type="spellStart"/>
      <w:r w:rsidRPr="004D46AC">
        <w:rPr>
          <w:rFonts w:eastAsiaTheme="minorEastAsia"/>
        </w:rPr>
        <w:t>Ohlraun</w:t>
      </w:r>
      <w:proofErr w:type="spellEnd"/>
      <w:r w:rsidRPr="004D46AC">
        <w:rPr>
          <w:rFonts w:eastAsiaTheme="minorEastAsia"/>
        </w:rPr>
        <w:t xml:space="preserve">, S., Cichon, S., Held, T., Propping, P., </w:t>
      </w:r>
      <w:proofErr w:type="spellStart"/>
      <w:r w:rsidRPr="004D46AC">
        <w:rPr>
          <w:rFonts w:eastAsiaTheme="minorEastAsia"/>
        </w:rPr>
        <w:t>Nothen</w:t>
      </w:r>
      <w:proofErr w:type="spellEnd"/>
      <w:r w:rsidRPr="004D46AC">
        <w:rPr>
          <w:rFonts w:eastAsiaTheme="minorEastAsia"/>
        </w:rPr>
        <w:t xml:space="preserve">, M. M., Maier, W., &amp; </w:t>
      </w:r>
      <w:proofErr w:type="spellStart"/>
      <w:r w:rsidRPr="004D46AC">
        <w:rPr>
          <w:rFonts w:eastAsiaTheme="minorEastAsia"/>
        </w:rPr>
        <w:t>Rietschel</w:t>
      </w:r>
      <w:proofErr w:type="spellEnd"/>
      <w:r w:rsidRPr="004D46AC">
        <w:rPr>
          <w:rFonts w:eastAsiaTheme="minorEastAsia"/>
        </w:rPr>
        <w:t xml:space="preserve">, M. (2002). Further evidence for age of onset being an indicator for severity in bipolar </w:t>
      </w:r>
      <w:r w:rsidRPr="004D46AC">
        <w:rPr>
          <w:rFonts w:eastAsiaTheme="minorEastAsia"/>
        </w:rPr>
        <w:lastRenderedPageBreak/>
        <w:t xml:space="preserve">disorder. J Affect </w:t>
      </w:r>
      <w:proofErr w:type="spellStart"/>
      <w:r w:rsidRPr="004D46AC">
        <w:rPr>
          <w:rFonts w:eastAsiaTheme="minorEastAsia"/>
        </w:rPr>
        <w:t>Disord</w:t>
      </w:r>
      <w:proofErr w:type="spellEnd"/>
      <w:r w:rsidRPr="004D46AC">
        <w:rPr>
          <w:rFonts w:eastAsiaTheme="minorEastAsia"/>
        </w:rPr>
        <w:t xml:space="preserve">, 68(2-3), 343–345. https://doi.org/10.1016/s0165-0327(01)00306-8 </w:t>
      </w:r>
    </w:p>
    <w:p w14:paraId="19857D75"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Schurhoff, F., Szoke, A., </w:t>
      </w:r>
      <w:proofErr w:type="spellStart"/>
      <w:r w:rsidRPr="004D46AC">
        <w:rPr>
          <w:rFonts w:eastAsiaTheme="minorEastAsia"/>
        </w:rPr>
        <w:t>Meary</w:t>
      </w:r>
      <w:proofErr w:type="spellEnd"/>
      <w:r w:rsidRPr="004D46AC">
        <w:rPr>
          <w:rFonts w:eastAsiaTheme="minorEastAsia"/>
        </w:rPr>
        <w:t xml:space="preserve">, A., </w:t>
      </w:r>
      <w:proofErr w:type="spellStart"/>
      <w:r w:rsidRPr="004D46AC">
        <w:rPr>
          <w:rFonts w:eastAsiaTheme="minorEastAsia"/>
        </w:rPr>
        <w:t>Bellivier</w:t>
      </w:r>
      <w:proofErr w:type="spellEnd"/>
      <w:r w:rsidRPr="004D46AC">
        <w:rPr>
          <w:rFonts w:eastAsiaTheme="minorEastAsia"/>
        </w:rPr>
        <w:t xml:space="preserve">, F., </w:t>
      </w:r>
      <w:proofErr w:type="spellStart"/>
      <w:r w:rsidRPr="004D46AC">
        <w:rPr>
          <w:rFonts w:eastAsiaTheme="minorEastAsia"/>
        </w:rPr>
        <w:t>Rouillon</w:t>
      </w:r>
      <w:proofErr w:type="spellEnd"/>
      <w:r w:rsidRPr="004D46AC">
        <w:rPr>
          <w:rFonts w:eastAsiaTheme="minorEastAsia"/>
        </w:rPr>
        <w:t xml:space="preserve">, F., Pauls, D., &amp; Leboyer, M. (2003). Familial aggregation of delusional proneness in schizophrenia and bipolar pedigrees. Am J Psychiatry, 160(7), 1313–1319. https://doi.org/10.1176/appi.ajp.160.7.1313 </w:t>
      </w:r>
    </w:p>
    <w:p w14:paraId="312AB324"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Schutte, M. J. L., Voppel, A., Collin, G., Abramovic, L., Boks, M. P. M., Cahn, W., van Haren, N. E. M., Hugdahl, K., Koops, S., Mandl, R. C. W., &amp; Sommer, I. E. C. (2022). Modular-Level Functional Connectome Alterations in Individuals </w:t>
      </w:r>
      <w:proofErr w:type="gramStart"/>
      <w:r w:rsidRPr="004D46AC">
        <w:rPr>
          <w:rFonts w:eastAsiaTheme="minorEastAsia"/>
        </w:rPr>
        <w:t>With</w:t>
      </w:r>
      <w:proofErr w:type="gramEnd"/>
      <w:r w:rsidRPr="004D46AC">
        <w:rPr>
          <w:rFonts w:eastAsiaTheme="minorEastAsia"/>
        </w:rPr>
        <w:t xml:space="preserve"> Hallucinations Across the Psychosis Continuum. </w:t>
      </w:r>
      <w:proofErr w:type="spellStart"/>
      <w:r w:rsidRPr="004D46AC">
        <w:rPr>
          <w:rFonts w:eastAsiaTheme="minorEastAsia"/>
        </w:rPr>
        <w:t>Schizophr</w:t>
      </w:r>
      <w:proofErr w:type="spellEnd"/>
      <w:r w:rsidRPr="004D46AC">
        <w:rPr>
          <w:rFonts w:eastAsiaTheme="minorEastAsia"/>
        </w:rPr>
        <w:t xml:space="preserve"> Bull, 48(3), 684–694. https://doi.org/10.1093/schbul/sbac007 </w:t>
      </w:r>
    </w:p>
    <w:p w14:paraId="4E274A6A"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Serretti, A., Mandelli, L., </w:t>
      </w:r>
      <w:proofErr w:type="spellStart"/>
      <w:r w:rsidRPr="004D46AC">
        <w:rPr>
          <w:rFonts w:eastAsiaTheme="minorEastAsia"/>
        </w:rPr>
        <w:t>Lattuada</w:t>
      </w:r>
      <w:proofErr w:type="spellEnd"/>
      <w:r w:rsidRPr="004D46AC">
        <w:rPr>
          <w:rFonts w:eastAsiaTheme="minorEastAsia"/>
        </w:rPr>
        <w:t xml:space="preserve">, E., &amp; </w:t>
      </w:r>
      <w:proofErr w:type="spellStart"/>
      <w:r w:rsidRPr="004D46AC">
        <w:rPr>
          <w:rFonts w:eastAsiaTheme="minorEastAsia"/>
        </w:rPr>
        <w:t>Smeraldi</w:t>
      </w:r>
      <w:proofErr w:type="spellEnd"/>
      <w:r w:rsidRPr="004D46AC">
        <w:rPr>
          <w:rFonts w:eastAsiaTheme="minorEastAsia"/>
        </w:rPr>
        <w:t xml:space="preserve">, E. (2002). Rapid cycling mood disorder: clinical and demographic features. </w:t>
      </w:r>
      <w:proofErr w:type="spellStart"/>
      <w:r w:rsidRPr="004D46AC">
        <w:rPr>
          <w:rFonts w:eastAsiaTheme="minorEastAsia"/>
        </w:rPr>
        <w:t>Compr</w:t>
      </w:r>
      <w:proofErr w:type="spellEnd"/>
      <w:r w:rsidRPr="004D46AC">
        <w:rPr>
          <w:rFonts w:eastAsiaTheme="minorEastAsia"/>
        </w:rPr>
        <w:t xml:space="preserve"> Psychiatry, 43(5), 336–343. https://doi.org/10.1053/comp.2002.34630 </w:t>
      </w:r>
    </w:p>
    <w:p w14:paraId="545E9248"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Song, J., Han, D. H., Kim, S. M., Hong, J. S., Min, K. J., Cheong, J. H., &amp; Kim, B. N. (2015). Differences in </w:t>
      </w:r>
      <w:proofErr w:type="spellStart"/>
      <w:r w:rsidRPr="004D46AC">
        <w:rPr>
          <w:rFonts w:eastAsiaTheme="minorEastAsia"/>
        </w:rPr>
        <w:t>gray</w:t>
      </w:r>
      <w:proofErr w:type="spellEnd"/>
      <w:r w:rsidRPr="004D46AC">
        <w:rPr>
          <w:rFonts w:eastAsiaTheme="minorEastAsia"/>
        </w:rPr>
        <w:t xml:space="preserve"> matter volume corresponding to delusion and hallucination in patients with schizophrenia compared with patients who have bipolar disorder. </w:t>
      </w:r>
      <w:proofErr w:type="spellStart"/>
      <w:r w:rsidRPr="004D46AC">
        <w:rPr>
          <w:rFonts w:eastAsiaTheme="minorEastAsia"/>
        </w:rPr>
        <w:t>Neuropsychiatr</w:t>
      </w:r>
      <w:proofErr w:type="spellEnd"/>
      <w:r w:rsidRPr="004D46AC">
        <w:rPr>
          <w:rFonts w:eastAsiaTheme="minorEastAsia"/>
        </w:rPr>
        <w:t xml:space="preserve"> Dis Treat, 11, 1211–1219. https://doi.org/10.2147/NDT.S80438 </w:t>
      </w:r>
    </w:p>
    <w:p w14:paraId="4B1EC2D3"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Song, J. Y., Yu, H. Y., Kim, S. H., Hwang, S. S., Cho, H. S., Kim, Y. S., Ha, K., &amp; Ahn, Y. M. (2012). Assessment of risk factors related to suicide attempts in patients with bipolar disorder. J </w:t>
      </w:r>
      <w:proofErr w:type="spellStart"/>
      <w:r w:rsidRPr="004D46AC">
        <w:rPr>
          <w:rFonts w:eastAsiaTheme="minorEastAsia"/>
        </w:rPr>
        <w:t>Nerv</w:t>
      </w:r>
      <w:proofErr w:type="spellEnd"/>
      <w:r w:rsidRPr="004D46AC">
        <w:rPr>
          <w:rFonts w:eastAsiaTheme="minorEastAsia"/>
        </w:rPr>
        <w:t xml:space="preserve"> Ment Dis, 200(11), 978–984. https://doi.org/10.1097/NMD.0b013e3182718a07 </w:t>
      </w:r>
    </w:p>
    <w:p w14:paraId="7624FD5A"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Stein, F., Lemmer, G., Schmitt, S., Brosch, K., Meller, T., Fischer, E., Kraus, C., Lenhard, L., </w:t>
      </w:r>
      <w:proofErr w:type="spellStart"/>
      <w:r w:rsidRPr="004D46AC">
        <w:rPr>
          <w:rFonts w:eastAsiaTheme="minorEastAsia"/>
        </w:rPr>
        <w:t>Kohnlein</w:t>
      </w:r>
      <w:proofErr w:type="spellEnd"/>
      <w:r w:rsidRPr="004D46AC">
        <w:rPr>
          <w:rFonts w:eastAsiaTheme="minorEastAsia"/>
        </w:rPr>
        <w:t xml:space="preserve">, B., Murata, H., Backer, A., Muller, M., Franz, M., Forster, K., Meinert, S., Enneking, V., Koch, K., </w:t>
      </w:r>
      <w:proofErr w:type="spellStart"/>
      <w:r w:rsidRPr="004D46AC">
        <w:rPr>
          <w:rFonts w:eastAsiaTheme="minorEastAsia"/>
        </w:rPr>
        <w:t>Grotegerd</w:t>
      </w:r>
      <w:proofErr w:type="spellEnd"/>
      <w:r w:rsidRPr="004D46AC">
        <w:rPr>
          <w:rFonts w:eastAsiaTheme="minorEastAsia"/>
        </w:rPr>
        <w:t xml:space="preserve">, D., Nagels, A.,…Krug, A. (2020). Factor analyses of multidimensional symptoms in a large group of patients with major depressive disorder, bipolar disorder, schizoaffective disorder and schizophrenia. </w:t>
      </w:r>
      <w:proofErr w:type="spellStart"/>
      <w:r w:rsidRPr="004D46AC">
        <w:rPr>
          <w:rFonts w:eastAsiaTheme="minorEastAsia"/>
        </w:rPr>
        <w:t>Schizophr</w:t>
      </w:r>
      <w:proofErr w:type="spellEnd"/>
      <w:r w:rsidRPr="004D46AC">
        <w:rPr>
          <w:rFonts w:eastAsiaTheme="minorEastAsia"/>
        </w:rPr>
        <w:t xml:space="preserve"> Res, 218, 38–47. https://doi.org/10.1016/j.schres.2020.03.011 </w:t>
      </w:r>
    </w:p>
    <w:p w14:paraId="04186AB2"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Swann, A. C., Bowden, C. L., Morris, D., Calabrese, J. R., Petty, F., Small, J., Dilsaver, S. C., &amp; Davis, J. M. (1997). Depression during mania. Treatment response to lithium or divalproex. Arch Gen Psychiatry, 54(1), 37–42. https://doi.org/10.1001/archpsyc.1997.01830130041008 </w:t>
      </w:r>
    </w:p>
    <w:p w14:paraId="37C1F207"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Tohen, M., </w:t>
      </w:r>
      <w:proofErr w:type="spellStart"/>
      <w:r w:rsidRPr="004D46AC">
        <w:rPr>
          <w:rFonts w:eastAsiaTheme="minorEastAsia"/>
        </w:rPr>
        <w:t>Tsuang</w:t>
      </w:r>
      <w:proofErr w:type="spellEnd"/>
      <w:r w:rsidRPr="004D46AC">
        <w:rPr>
          <w:rFonts w:eastAsiaTheme="minorEastAsia"/>
        </w:rPr>
        <w:t xml:space="preserve">, M. T., &amp; Goodwin, D. C. (1992). Prediction of outcome in mania by mood-congruent or mood-incongruent psychotic features. Am J Psychiatry, 149(11), 1580–1584. https://doi.org/10.1176/ajp.149.11.1580 </w:t>
      </w:r>
    </w:p>
    <w:p w14:paraId="266EB556"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Toni, C., </w:t>
      </w:r>
      <w:proofErr w:type="spellStart"/>
      <w:r w:rsidRPr="004D46AC">
        <w:rPr>
          <w:rFonts w:eastAsiaTheme="minorEastAsia"/>
        </w:rPr>
        <w:t>Perugi</w:t>
      </w:r>
      <w:proofErr w:type="spellEnd"/>
      <w:r w:rsidRPr="004D46AC">
        <w:rPr>
          <w:rFonts w:eastAsiaTheme="minorEastAsia"/>
        </w:rPr>
        <w:t xml:space="preserve">, G., Mata, B., </w:t>
      </w:r>
      <w:proofErr w:type="spellStart"/>
      <w:r w:rsidRPr="004D46AC">
        <w:rPr>
          <w:rFonts w:eastAsiaTheme="minorEastAsia"/>
        </w:rPr>
        <w:t>Madaro</w:t>
      </w:r>
      <w:proofErr w:type="spellEnd"/>
      <w:r w:rsidRPr="004D46AC">
        <w:rPr>
          <w:rFonts w:eastAsiaTheme="minorEastAsia"/>
        </w:rPr>
        <w:t xml:space="preserve">, D., </w:t>
      </w:r>
      <w:proofErr w:type="spellStart"/>
      <w:r w:rsidRPr="004D46AC">
        <w:rPr>
          <w:rFonts w:eastAsiaTheme="minorEastAsia"/>
        </w:rPr>
        <w:t>Maremmani</w:t>
      </w:r>
      <w:proofErr w:type="spellEnd"/>
      <w:r w:rsidRPr="004D46AC">
        <w:rPr>
          <w:rFonts w:eastAsiaTheme="minorEastAsia"/>
        </w:rPr>
        <w:t xml:space="preserve">, I., &amp; </w:t>
      </w:r>
      <w:proofErr w:type="spellStart"/>
      <w:r w:rsidRPr="004D46AC">
        <w:rPr>
          <w:rFonts w:eastAsiaTheme="minorEastAsia"/>
        </w:rPr>
        <w:t>Akiskal</w:t>
      </w:r>
      <w:proofErr w:type="spellEnd"/>
      <w:r w:rsidRPr="004D46AC">
        <w:rPr>
          <w:rFonts w:eastAsiaTheme="minorEastAsia"/>
        </w:rPr>
        <w:t xml:space="preserve">, H. S. (2001). Is mood-incongruent manic psychosis a distinct subtype? </w:t>
      </w:r>
      <w:proofErr w:type="spellStart"/>
      <w:r w:rsidRPr="004D46AC">
        <w:rPr>
          <w:rFonts w:eastAsiaTheme="minorEastAsia"/>
        </w:rPr>
        <w:t>Eur</w:t>
      </w:r>
      <w:proofErr w:type="spellEnd"/>
      <w:r w:rsidRPr="004D46AC">
        <w:rPr>
          <w:rFonts w:eastAsiaTheme="minorEastAsia"/>
        </w:rPr>
        <w:t xml:space="preserve"> Arch Psychiatry Clin </w:t>
      </w:r>
      <w:proofErr w:type="spellStart"/>
      <w:r w:rsidRPr="004D46AC">
        <w:rPr>
          <w:rFonts w:eastAsiaTheme="minorEastAsia"/>
        </w:rPr>
        <w:t>Neurosci</w:t>
      </w:r>
      <w:proofErr w:type="spellEnd"/>
      <w:r w:rsidRPr="004D46AC">
        <w:rPr>
          <w:rFonts w:eastAsiaTheme="minorEastAsia"/>
        </w:rPr>
        <w:t xml:space="preserve">, 251(1), 12–17. https://doi.org/10.1007/s004060170061 </w:t>
      </w:r>
    </w:p>
    <w:p w14:paraId="002F5FF7"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Toomey, R., Faraone, S. V., Simpson, J. C., &amp; </w:t>
      </w:r>
      <w:proofErr w:type="spellStart"/>
      <w:r w:rsidRPr="004D46AC">
        <w:rPr>
          <w:rFonts w:eastAsiaTheme="minorEastAsia"/>
        </w:rPr>
        <w:t>Tsuang</w:t>
      </w:r>
      <w:proofErr w:type="spellEnd"/>
      <w:r w:rsidRPr="004D46AC">
        <w:rPr>
          <w:rFonts w:eastAsiaTheme="minorEastAsia"/>
        </w:rPr>
        <w:t xml:space="preserve">, M. T. (1998). Negative, positive, and disorganized symptom dimensions in schizophrenia, major depression, and bipolar disorder. J </w:t>
      </w:r>
      <w:proofErr w:type="spellStart"/>
      <w:r w:rsidRPr="004D46AC">
        <w:rPr>
          <w:rFonts w:eastAsiaTheme="minorEastAsia"/>
        </w:rPr>
        <w:t>Nerv</w:t>
      </w:r>
      <w:proofErr w:type="spellEnd"/>
      <w:r w:rsidRPr="004D46AC">
        <w:rPr>
          <w:rFonts w:eastAsiaTheme="minorEastAsia"/>
        </w:rPr>
        <w:t xml:space="preserve"> Ment Dis, 186(8), 470–476. https://doi.org/10.1097/00005053-199808000-00004 </w:t>
      </w:r>
    </w:p>
    <w:p w14:paraId="3481314A"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Tost, H., Ruf, M., Schmal, C., Schulze, T. G., Knorr, C., Vollmert, C., Bosshenz, K., Ende, G., Meyer-Lindenberg, A., Henn, F. A., &amp; </w:t>
      </w:r>
      <w:proofErr w:type="spellStart"/>
      <w:r w:rsidRPr="004D46AC">
        <w:rPr>
          <w:rFonts w:eastAsiaTheme="minorEastAsia"/>
        </w:rPr>
        <w:t>Rietschel</w:t>
      </w:r>
      <w:proofErr w:type="spellEnd"/>
      <w:r w:rsidRPr="004D46AC">
        <w:rPr>
          <w:rFonts w:eastAsiaTheme="minorEastAsia"/>
        </w:rPr>
        <w:t xml:space="preserve">, M. (2010). Prefrontal-temporal </w:t>
      </w:r>
      <w:proofErr w:type="spellStart"/>
      <w:r w:rsidRPr="004D46AC">
        <w:rPr>
          <w:rFonts w:eastAsiaTheme="minorEastAsia"/>
        </w:rPr>
        <w:t>gray</w:t>
      </w:r>
      <w:proofErr w:type="spellEnd"/>
      <w:r w:rsidRPr="004D46AC">
        <w:rPr>
          <w:rFonts w:eastAsiaTheme="minorEastAsia"/>
        </w:rPr>
        <w:t xml:space="preserve"> matter deficits in bipolar disorder patients with persecutory delusions. J Affect </w:t>
      </w:r>
      <w:proofErr w:type="spellStart"/>
      <w:r w:rsidRPr="004D46AC">
        <w:rPr>
          <w:rFonts w:eastAsiaTheme="minorEastAsia"/>
        </w:rPr>
        <w:t>Disord</w:t>
      </w:r>
      <w:proofErr w:type="spellEnd"/>
      <w:r w:rsidRPr="004D46AC">
        <w:rPr>
          <w:rFonts w:eastAsiaTheme="minorEastAsia"/>
        </w:rPr>
        <w:t xml:space="preserve">, 120(1-3), 54–61. https://doi.org/10.1016/j.jad.2009.04.009 </w:t>
      </w:r>
    </w:p>
    <w:p w14:paraId="5B4CC451"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Upthegrove, R., Chard, C., Jones, L., Gordon-Smith, K., Forty, L., Jones, I., &amp; Craddock, N. (2015). Adverse childhood events and psychosis in bipolar affective disorder. Br J Psychiatry, 206(3), 191–197. https://doi.org/10.1192/bjp.bp.114.152611 </w:t>
      </w:r>
    </w:p>
    <w:p w14:paraId="2B1436E3"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van Bergen, A. H., </w:t>
      </w:r>
      <w:proofErr w:type="spellStart"/>
      <w:r w:rsidRPr="004D46AC">
        <w:rPr>
          <w:rFonts w:eastAsiaTheme="minorEastAsia"/>
        </w:rPr>
        <w:t>Verkooijen</w:t>
      </w:r>
      <w:proofErr w:type="spellEnd"/>
      <w:r w:rsidRPr="004D46AC">
        <w:rPr>
          <w:rFonts w:eastAsiaTheme="minorEastAsia"/>
        </w:rPr>
        <w:t xml:space="preserve">, S., Vreeker, A., Abramovic, L., </w:t>
      </w:r>
      <w:proofErr w:type="spellStart"/>
      <w:r w:rsidRPr="004D46AC">
        <w:rPr>
          <w:rFonts w:eastAsiaTheme="minorEastAsia"/>
        </w:rPr>
        <w:t>Hillegers</w:t>
      </w:r>
      <w:proofErr w:type="spellEnd"/>
      <w:r w:rsidRPr="004D46AC">
        <w:rPr>
          <w:rFonts w:eastAsiaTheme="minorEastAsia"/>
        </w:rPr>
        <w:t xml:space="preserve">, M. H., Spijker, A. T., Hoencamp, E., Regeer, E. J., </w:t>
      </w:r>
      <w:proofErr w:type="spellStart"/>
      <w:r w:rsidRPr="004D46AC">
        <w:rPr>
          <w:rFonts w:eastAsiaTheme="minorEastAsia"/>
        </w:rPr>
        <w:t>Knapen</w:t>
      </w:r>
      <w:proofErr w:type="spellEnd"/>
      <w:r w:rsidRPr="004D46AC">
        <w:rPr>
          <w:rFonts w:eastAsiaTheme="minorEastAsia"/>
        </w:rPr>
        <w:t xml:space="preserve">, S. E., Riemersma-van der Lek, R. F., </w:t>
      </w:r>
      <w:proofErr w:type="spellStart"/>
      <w:r w:rsidRPr="004D46AC">
        <w:rPr>
          <w:rFonts w:eastAsiaTheme="minorEastAsia"/>
        </w:rPr>
        <w:t>Schoevers</w:t>
      </w:r>
      <w:proofErr w:type="spellEnd"/>
      <w:r w:rsidRPr="004D46AC">
        <w:rPr>
          <w:rFonts w:eastAsiaTheme="minorEastAsia"/>
        </w:rPr>
        <w:t xml:space="preserve">, R., Stevens, A. W., Schulte, P. F. J., Vonk, R., Hoekstra, R., van Beveren, N. J., Kupka, R. W., Sommer, I. E. C., Ophoff, R. A.,…Boks, M. P. M. (2019). The characteristics of psychotic features in bipolar disorder. </w:t>
      </w:r>
      <w:proofErr w:type="spellStart"/>
      <w:r w:rsidRPr="004D46AC">
        <w:rPr>
          <w:rFonts w:eastAsiaTheme="minorEastAsia"/>
        </w:rPr>
        <w:t>Psychol</w:t>
      </w:r>
      <w:proofErr w:type="spellEnd"/>
      <w:r w:rsidRPr="004D46AC">
        <w:rPr>
          <w:rFonts w:eastAsiaTheme="minorEastAsia"/>
        </w:rPr>
        <w:t xml:space="preserve"> Med, 49(12), 2036–2048. https://doi.org/10.1017/S0033291718002854 </w:t>
      </w:r>
    </w:p>
    <w:p w14:paraId="418A65AD"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lastRenderedPageBreak/>
        <w:t>Verdoux</w:t>
      </w:r>
      <w:proofErr w:type="spellEnd"/>
      <w:r w:rsidRPr="004D46AC">
        <w:rPr>
          <w:rFonts w:eastAsiaTheme="minorEastAsia"/>
        </w:rPr>
        <w:t xml:space="preserve">, H., &amp; Bourgeois, M. (1993). Delusional mania: what is a mood-incongruent psychotic feature? J </w:t>
      </w:r>
      <w:proofErr w:type="spellStart"/>
      <w:r w:rsidRPr="004D46AC">
        <w:rPr>
          <w:rFonts w:eastAsiaTheme="minorEastAsia"/>
        </w:rPr>
        <w:t>Nerv</w:t>
      </w:r>
      <w:proofErr w:type="spellEnd"/>
      <w:r w:rsidRPr="004D46AC">
        <w:rPr>
          <w:rFonts w:eastAsiaTheme="minorEastAsia"/>
        </w:rPr>
        <w:t xml:space="preserve"> Ment Dis, 181(8), 517–518. https://doi.org/10.1097/00005053-199308000-00008 </w:t>
      </w:r>
    </w:p>
    <w:p w14:paraId="756B7510"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Winokur, G., Scharfetter, C., &amp; Angst, J. (1985). The diagnostic value in assessing mood congruence in delusions and hallucinations and their relationship to the affective state. </w:t>
      </w:r>
      <w:proofErr w:type="spellStart"/>
      <w:r w:rsidRPr="004D46AC">
        <w:rPr>
          <w:rFonts w:eastAsiaTheme="minorEastAsia"/>
        </w:rPr>
        <w:t>Eur</w:t>
      </w:r>
      <w:proofErr w:type="spellEnd"/>
      <w:r w:rsidRPr="004D46AC">
        <w:rPr>
          <w:rFonts w:eastAsiaTheme="minorEastAsia"/>
        </w:rPr>
        <w:t xml:space="preserve"> Arch Psychiatry </w:t>
      </w:r>
      <w:proofErr w:type="spellStart"/>
      <w:r w:rsidRPr="004D46AC">
        <w:rPr>
          <w:rFonts w:eastAsiaTheme="minorEastAsia"/>
        </w:rPr>
        <w:t>Neurol</w:t>
      </w:r>
      <w:proofErr w:type="spellEnd"/>
      <w:r w:rsidRPr="004D46AC">
        <w:rPr>
          <w:rFonts w:eastAsiaTheme="minorEastAsia"/>
        </w:rPr>
        <w:t xml:space="preserve"> Sci, 234(5), 299–302. https://doi.org/10.1007/BF00381040 </w:t>
      </w:r>
    </w:p>
    <w:p w14:paraId="3676D123"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Yan, S., Chen, D., Chao, Y. Z., Ji, J., &amp; Taylor, M. A. (1982). Prevalence and characteristics of mania in Chinese inpatients: a prospective study. American Journal of Psychiatry, 139, 1150–1153. https://doi.org/10.1176/ajp.139.9.1150 </w:t>
      </w:r>
    </w:p>
    <w:p w14:paraId="0741FBF8"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Zenisek, R., Thaler, N. S., Sutton, G. P., Ringdahl, E. N., Snyder, J. S., &amp; Allen, D. N. (2015). Auditory processing deficits in bipolar disorder with and without a history of psychotic features. Bipolar </w:t>
      </w:r>
      <w:proofErr w:type="spellStart"/>
      <w:r w:rsidRPr="004D46AC">
        <w:rPr>
          <w:rFonts w:eastAsiaTheme="minorEastAsia"/>
        </w:rPr>
        <w:t>Disord</w:t>
      </w:r>
      <w:proofErr w:type="spellEnd"/>
      <w:r w:rsidRPr="004D46AC">
        <w:rPr>
          <w:rFonts w:eastAsiaTheme="minorEastAsia"/>
        </w:rPr>
        <w:t xml:space="preserve">, 17(7), 769–780. https://doi.org/10.1111/bdi.12333 </w:t>
      </w:r>
    </w:p>
    <w:p w14:paraId="2D6BEAC0" w14:textId="77777777" w:rsidR="009864DB" w:rsidRPr="004D46AC" w:rsidRDefault="009864DB" w:rsidP="009864DB">
      <w:pPr>
        <w:spacing w:line="240" w:lineRule="auto"/>
        <w:ind w:left="720" w:hanging="720"/>
        <w:rPr>
          <w:rFonts w:eastAsiaTheme="minorEastAsia"/>
        </w:rPr>
      </w:pPr>
    </w:p>
    <w:p w14:paraId="51A8F316" w14:textId="77777777" w:rsidR="009864DB" w:rsidRPr="004D46AC" w:rsidRDefault="009864DB" w:rsidP="009864DB">
      <w:pPr>
        <w:spacing w:line="240" w:lineRule="auto"/>
        <w:ind w:left="720" w:hanging="720"/>
        <w:rPr>
          <w:rFonts w:eastAsiaTheme="minorEastAsia"/>
        </w:rPr>
      </w:pPr>
    </w:p>
    <w:p w14:paraId="7BAA1824" w14:textId="77777777" w:rsidR="009864DB" w:rsidRPr="004D46AC" w:rsidRDefault="009864DB" w:rsidP="009864DB">
      <w:pPr>
        <w:spacing w:line="240" w:lineRule="auto"/>
        <w:ind w:left="720" w:hanging="720"/>
        <w:rPr>
          <w:rFonts w:eastAsiaTheme="minorEastAsia"/>
        </w:rPr>
      </w:pPr>
    </w:p>
    <w:p w14:paraId="4164F52E" w14:textId="77777777" w:rsidR="009864DB" w:rsidRPr="004D46AC" w:rsidRDefault="009864DB" w:rsidP="009864DB">
      <w:pPr>
        <w:spacing w:line="240" w:lineRule="auto"/>
        <w:ind w:left="720" w:hanging="720"/>
        <w:rPr>
          <w:rFonts w:eastAsiaTheme="minorEastAsia"/>
        </w:rPr>
      </w:pPr>
    </w:p>
    <w:p w14:paraId="0B98F68B" w14:textId="77777777" w:rsidR="009864DB" w:rsidRPr="004D46AC" w:rsidRDefault="009864DB" w:rsidP="009864DB">
      <w:pPr>
        <w:spacing w:line="240" w:lineRule="auto"/>
        <w:ind w:left="720" w:hanging="720"/>
        <w:rPr>
          <w:rFonts w:eastAsiaTheme="minorEastAsia"/>
        </w:rPr>
      </w:pPr>
    </w:p>
    <w:p w14:paraId="06269058" w14:textId="77777777" w:rsidR="009864DB" w:rsidRPr="004D46AC" w:rsidRDefault="009864DB" w:rsidP="009864DB">
      <w:pPr>
        <w:spacing w:line="240" w:lineRule="auto"/>
        <w:ind w:left="720" w:hanging="720"/>
        <w:rPr>
          <w:rFonts w:eastAsiaTheme="minorEastAsia"/>
        </w:rPr>
      </w:pPr>
    </w:p>
    <w:p w14:paraId="08558803" w14:textId="77777777" w:rsidR="009864DB" w:rsidRPr="004D46AC" w:rsidRDefault="009864DB" w:rsidP="009864DB">
      <w:pPr>
        <w:spacing w:line="240" w:lineRule="auto"/>
        <w:ind w:left="720" w:hanging="720"/>
        <w:rPr>
          <w:rFonts w:eastAsiaTheme="minorEastAsia"/>
        </w:rPr>
      </w:pPr>
    </w:p>
    <w:p w14:paraId="0AC4065C" w14:textId="77777777" w:rsidR="009864DB" w:rsidRPr="004D46AC" w:rsidRDefault="009864DB" w:rsidP="009864DB">
      <w:pPr>
        <w:spacing w:line="240" w:lineRule="auto"/>
        <w:ind w:left="720" w:hanging="720"/>
        <w:rPr>
          <w:rFonts w:eastAsiaTheme="minorEastAsia"/>
        </w:rPr>
      </w:pPr>
    </w:p>
    <w:p w14:paraId="0A619626" w14:textId="77777777" w:rsidR="009864DB" w:rsidRPr="004D46AC" w:rsidRDefault="009864DB" w:rsidP="009864DB">
      <w:pPr>
        <w:spacing w:line="240" w:lineRule="auto"/>
        <w:ind w:left="720" w:hanging="720"/>
        <w:rPr>
          <w:rFonts w:eastAsiaTheme="minorEastAsia"/>
        </w:rPr>
      </w:pPr>
    </w:p>
    <w:p w14:paraId="4AE15325" w14:textId="77777777" w:rsidR="009864DB" w:rsidRPr="004D46AC" w:rsidRDefault="009864DB" w:rsidP="009864DB">
      <w:pPr>
        <w:spacing w:line="240" w:lineRule="auto"/>
        <w:ind w:left="720" w:hanging="720"/>
        <w:rPr>
          <w:rFonts w:eastAsiaTheme="minorEastAsia"/>
        </w:rPr>
      </w:pPr>
    </w:p>
    <w:p w14:paraId="3C0FADAF" w14:textId="77777777" w:rsidR="009864DB" w:rsidRPr="004D46AC" w:rsidRDefault="009864DB" w:rsidP="009864DB">
      <w:pPr>
        <w:spacing w:line="240" w:lineRule="auto"/>
        <w:ind w:left="720" w:hanging="720"/>
        <w:rPr>
          <w:rFonts w:eastAsiaTheme="minorEastAsia"/>
        </w:rPr>
      </w:pPr>
    </w:p>
    <w:p w14:paraId="13FA46BE" w14:textId="77777777" w:rsidR="009864DB" w:rsidRPr="004D46AC" w:rsidRDefault="009864DB" w:rsidP="009864DB">
      <w:pPr>
        <w:spacing w:line="240" w:lineRule="auto"/>
        <w:ind w:left="720" w:hanging="720"/>
        <w:rPr>
          <w:rFonts w:eastAsiaTheme="minorEastAsia"/>
        </w:rPr>
      </w:pPr>
    </w:p>
    <w:p w14:paraId="45A38879" w14:textId="77777777" w:rsidR="009864DB" w:rsidRPr="004D46AC" w:rsidRDefault="009864DB" w:rsidP="009864DB">
      <w:pPr>
        <w:spacing w:line="240" w:lineRule="auto"/>
        <w:ind w:left="720" w:hanging="720"/>
        <w:rPr>
          <w:rFonts w:eastAsiaTheme="minorEastAsia"/>
        </w:rPr>
      </w:pPr>
    </w:p>
    <w:p w14:paraId="6F17BF4E" w14:textId="77777777" w:rsidR="009864DB" w:rsidRPr="004D46AC" w:rsidRDefault="009864DB" w:rsidP="009864DB">
      <w:pPr>
        <w:spacing w:line="240" w:lineRule="auto"/>
        <w:ind w:left="720" w:hanging="720"/>
        <w:rPr>
          <w:rFonts w:eastAsiaTheme="minorEastAsia"/>
        </w:rPr>
      </w:pPr>
    </w:p>
    <w:p w14:paraId="5E6E97A3" w14:textId="77777777" w:rsidR="009864DB" w:rsidRPr="004D46AC" w:rsidRDefault="009864DB" w:rsidP="009864DB">
      <w:pPr>
        <w:spacing w:line="240" w:lineRule="auto"/>
        <w:ind w:left="720" w:hanging="720"/>
        <w:rPr>
          <w:rFonts w:eastAsiaTheme="minorEastAsia"/>
        </w:rPr>
      </w:pPr>
    </w:p>
    <w:p w14:paraId="74A9B6CA" w14:textId="77777777" w:rsidR="009864DB" w:rsidRPr="004D46AC" w:rsidRDefault="009864DB" w:rsidP="009864DB">
      <w:pPr>
        <w:spacing w:line="240" w:lineRule="auto"/>
        <w:ind w:left="720" w:hanging="720"/>
        <w:rPr>
          <w:rFonts w:eastAsiaTheme="minorEastAsia"/>
        </w:rPr>
      </w:pPr>
    </w:p>
    <w:p w14:paraId="1130ABDA" w14:textId="77777777" w:rsidR="009864DB" w:rsidRPr="004D46AC" w:rsidRDefault="009864DB" w:rsidP="009864DB">
      <w:pPr>
        <w:spacing w:line="240" w:lineRule="auto"/>
        <w:ind w:left="720" w:hanging="720"/>
        <w:rPr>
          <w:rFonts w:eastAsiaTheme="minorEastAsia"/>
        </w:rPr>
      </w:pPr>
    </w:p>
    <w:p w14:paraId="387867C1" w14:textId="77777777" w:rsidR="009864DB" w:rsidRPr="004D46AC" w:rsidRDefault="009864DB" w:rsidP="009864DB">
      <w:pPr>
        <w:spacing w:line="240" w:lineRule="auto"/>
        <w:ind w:left="720" w:hanging="720"/>
        <w:rPr>
          <w:rFonts w:eastAsiaTheme="minorEastAsia"/>
        </w:rPr>
      </w:pPr>
    </w:p>
    <w:p w14:paraId="3D1F159E" w14:textId="77777777" w:rsidR="009864DB" w:rsidRPr="004D46AC" w:rsidRDefault="009864DB" w:rsidP="009864DB">
      <w:pPr>
        <w:spacing w:line="240" w:lineRule="auto"/>
        <w:ind w:left="720" w:hanging="720"/>
        <w:rPr>
          <w:rFonts w:eastAsiaTheme="minorEastAsia"/>
        </w:rPr>
      </w:pPr>
    </w:p>
    <w:p w14:paraId="001F28E3" w14:textId="77777777" w:rsidR="009864DB" w:rsidRPr="004D46AC" w:rsidRDefault="009864DB" w:rsidP="009864DB">
      <w:pPr>
        <w:spacing w:line="240" w:lineRule="auto"/>
        <w:ind w:left="720" w:hanging="720"/>
        <w:rPr>
          <w:rFonts w:eastAsiaTheme="minorEastAsia"/>
        </w:rPr>
      </w:pPr>
    </w:p>
    <w:p w14:paraId="58F06DA4" w14:textId="77777777" w:rsidR="009864DB" w:rsidRPr="004D46AC" w:rsidRDefault="009864DB" w:rsidP="009864DB">
      <w:pPr>
        <w:spacing w:line="240" w:lineRule="auto"/>
        <w:ind w:left="720" w:hanging="720"/>
        <w:rPr>
          <w:rFonts w:eastAsiaTheme="minorEastAsia"/>
        </w:rPr>
      </w:pPr>
    </w:p>
    <w:p w14:paraId="2EEB3F7E" w14:textId="77777777" w:rsidR="009864DB" w:rsidRPr="004D46AC" w:rsidRDefault="009864DB" w:rsidP="009864DB">
      <w:pPr>
        <w:spacing w:line="240" w:lineRule="auto"/>
        <w:ind w:left="720" w:hanging="720"/>
        <w:rPr>
          <w:rFonts w:eastAsiaTheme="minorEastAsia"/>
        </w:rPr>
      </w:pPr>
    </w:p>
    <w:p w14:paraId="2D96E1E3" w14:textId="77777777" w:rsidR="009864DB" w:rsidRPr="004D46AC" w:rsidRDefault="009864DB" w:rsidP="009864DB">
      <w:pPr>
        <w:spacing w:line="240" w:lineRule="auto"/>
        <w:ind w:left="720" w:hanging="720"/>
        <w:rPr>
          <w:rFonts w:eastAsiaTheme="minorEastAsia"/>
        </w:rPr>
      </w:pPr>
    </w:p>
    <w:p w14:paraId="7A17C583" w14:textId="77777777" w:rsidR="009864DB" w:rsidRPr="004D46AC" w:rsidRDefault="009864DB" w:rsidP="009864DB">
      <w:pPr>
        <w:spacing w:line="240" w:lineRule="auto"/>
        <w:ind w:left="720" w:hanging="720"/>
        <w:rPr>
          <w:rFonts w:eastAsiaTheme="minorEastAsia"/>
        </w:rPr>
      </w:pPr>
    </w:p>
    <w:p w14:paraId="2FBC01E0" w14:textId="77777777" w:rsidR="009864DB" w:rsidRPr="004D46AC" w:rsidRDefault="009864DB" w:rsidP="009864DB">
      <w:pPr>
        <w:spacing w:line="240" w:lineRule="auto"/>
        <w:ind w:left="720" w:hanging="720"/>
        <w:rPr>
          <w:rFonts w:eastAsiaTheme="minorEastAsia"/>
        </w:rPr>
      </w:pPr>
    </w:p>
    <w:p w14:paraId="65AC31F6" w14:textId="77777777" w:rsidR="009864DB" w:rsidRPr="004D46AC" w:rsidRDefault="009864DB" w:rsidP="009864DB">
      <w:pPr>
        <w:spacing w:line="240" w:lineRule="auto"/>
        <w:ind w:left="720" w:hanging="720"/>
        <w:rPr>
          <w:rFonts w:eastAsiaTheme="minorEastAsia"/>
        </w:rPr>
      </w:pPr>
    </w:p>
    <w:p w14:paraId="622EE598" w14:textId="77777777" w:rsidR="009864DB" w:rsidRPr="004D46AC" w:rsidRDefault="009864DB" w:rsidP="009864DB">
      <w:pPr>
        <w:spacing w:line="240" w:lineRule="auto"/>
        <w:ind w:left="720" w:hanging="720"/>
        <w:rPr>
          <w:rFonts w:eastAsiaTheme="minorEastAsia"/>
        </w:rPr>
      </w:pPr>
    </w:p>
    <w:p w14:paraId="553333CE" w14:textId="77777777" w:rsidR="009864DB" w:rsidRPr="004D46AC" w:rsidRDefault="009864DB" w:rsidP="009864DB">
      <w:pPr>
        <w:spacing w:line="240" w:lineRule="auto"/>
        <w:ind w:left="720" w:hanging="720"/>
        <w:rPr>
          <w:rFonts w:eastAsiaTheme="minorEastAsia"/>
        </w:rPr>
      </w:pPr>
    </w:p>
    <w:p w14:paraId="381B4B89" w14:textId="77777777" w:rsidR="009864DB" w:rsidRPr="004D46AC" w:rsidRDefault="009864DB" w:rsidP="009864DB">
      <w:pPr>
        <w:spacing w:line="240" w:lineRule="auto"/>
        <w:ind w:left="720" w:hanging="720"/>
        <w:rPr>
          <w:rFonts w:eastAsiaTheme="minorEastAsia"/>
        </w:rPr>
      </w:pPr>
    </w:p>
    <w:p w14:paraId="11E4E474" w14:textId="77777777" w:rsidR="009864DB" w:rsidRPr="004D46AC" w:rsidRDefault="009864DB" w:rsidP="009864DB">
      <w:pPr>
        <w:spacing w:line="240" w:lineRule="auto"/>
        <w:ind w:left="720" w:hanging="720"/>
        <w:rPr>
          <w:rFonts w:eastAsiaTheme="minorEastAsia"/>
        </w:rPr>
      </w:pPr>
    </w:p>
    <w:p w14:paraId="11636243" w14:textId="77777777" w:rsidR="009864DB" w:rsidRPr="004D46AC" w:rsidRDefault="009864DB" w:rsidP="009864DB">
      <w:pPr>
        <w:spacing w:line="240" w:lineRule="auto"/>
        <w:ind w:left="720" w:hanging="720"/>
        <w:rPr>
          <w:rFonts w:eastAsiaTheme="minorEastAsia"/>
        </w:rPr>
      </w:pPr>
    </w:p>
    <w:p w14:paraId="79A79E86" w14:textId="77777777" w:rsidR="009864DB" w:rsidRPr="004D46AC" w:rsidRDefault="009864DB" w:rsidP="009864DB">
      <w:pPr>
        <w:spacing w:line="240" w:lineRule="auto"/>
        <w:ind w:left="720" w:hanging="720"/>
        <w:rPr>
          <w:rFonts w:eastAsiaTheme="minorEastAsia"/>
        </w:rPr>
      </w:pPr>
    </w:p>
    <w:p w14:paraId="01ABED0C" w14:textId="77777777" w:rsidR="009864DB" w:rsidRPr="004D46AC" w:rsidRDefault="009864DB" w:rsidP="009864DB">
      <w:pPr>
        <w:spacing w:line="240" w:lineRule="auto"/>
        <w:ind w:left="720" w:hanging="720"/>
        <w:rPr>
          <w:rFonts w:eastAsiaTheme="minorEastAsia"/>
        </w:rPr>
      </w:pPr>
    </w:p>
    <w:p w14:paraId="2788F82F" w14:textId="77777777" w:rsidR="009864DB" w:rsidRPr="004D46AC" w:rsidRDefault="009864DB" w:rsidP="009864DB">
      <w:pPr>
        <w:spacing w:line="240" w:lineRule="auto"/>
        <w:ind w:left="720" w:hanging="720"/>
        <w:rPr>
          <w:rFonts w:eastAsiaTheme="minorEastAsia"/>
        </w:rPr>
      </w:pPr>
    </w:p>
    <w:p w14:paraId="1654B526" w14:textId="77777777" w:rsidR="009864DB" w:rsidRPr="004D46AC" w:rsidRDefault="009864DB" w:rsidP="009864DB">
      <w:pPr>
        <w:spacing w:line="240" w:lineRule="auto"/>
        <w:ind w:left="720" w:hanging="720"/>
        <w:rPr>
          <w:rFonts w:eastAsiaTheme="minorEastAsia"/>
        </w:rPr>
      </w:pPr>
    </w:p>
    <w:p w14:paraId="4AF85208" w14:textId="77777777" w:rsidR="009864DB" w:rsidRPr="004D46AC" w:rsidRDefault="009864DB" w:rsidP="009864DB">
      <w:pPr>
        <w:spacing w:line="240" w:lineRule="auto"/>
        <w:ind w:left="720" w:hanging="720"/>
        <w:rPr>
          <w:rFonts w:eastAsiaTheme="minorEastAsia"/>
        </w:rPr>
      </w:pPr>
    </w:p>
    <w:p w14:paraId="65D5E050" w14:textId="77777777" w:rsidR="009864DB" w:rsidRPr="004D46AC" w:rsidRDefault="009864DB" w:rsidP="009864DB">
      <w:pPr>
        <w:spacing w:line="240" w:lineRule="auto"/>
        <w:ind w:left="720" w:hanging="720"/>
        <w:rPr>
          <w:rFonts w:eastAsiaTheme="minorEastAsia"/>
        </w:rPr>
      </w:pPr>
    </w:p>
    <w:p w14:paraId="228A5C73" w14:textId="77777777" w:rsidR="009864DB" w:rsidRPr="004D46AC" w:rsidRDefault="009864DB" w:rsidP="009864DB">
      <w:pPr>
        <w:spacing w:line="240" w:lineRule="auto"/>
        <w:ind w:left="720" w:hanging="720"/>
        <w:rPr>
          <w:rFonts w:eastAsiaTheme="minorEastAsia"/>
        </w:rPr>
      </w:pPr>
    </w:p>
    <w:p w14:paraId="4FF5D32A" w14:textId="77777777" w:rsidR="009864DB" w:rsidRPr="004D46AC" w:rsidRDefault="009864DB" w:rsidP="009864DB">
      <w:pPr>
        <w:spacing w:line="240" w:lineRule="auto"/>
        <w:ind w:left="720" w:hanging="720"/>
        <w:rPr>
          <w:rFonts w:eastAsiaTheme="minorEastAsia"/>
        </w:rPr>
      </w:pPr>
    </w:p>
    <w:p w14:paraId="78DCBD4E" w14:textId="77777777" w:rsidR="009864DB" w:rsidRPr="004D46AC" w:rsidRDefault="009864DB" w:rsidP="009864DB">
      <w:pPr>
        <w:spacing w:line="240" w:lineRule="auto"/>
        <w:ind w:left="720" w:hanging="720"/>
        <w:rPr>
          <w:rFonts w:eastAsiaTheme="minorEastAsia"/>
        </w:rPr>
      </w:pPr>
    </w:p>
    <w:p w14:paraId="7B91A635" w14:textId="77777777" w:rsidR="009864DB" w:rsidRPr="004D46AC" w:rsidRDefault="009864DB" w:rsidP="009864DB">
      <w:pPr>
        <w:spacing w:line="240" w:lineRule="auto"/>
        <w:ind w:left="720" w:hanging="720"/>
        <w:rPr>
          <w:rFonts w:eastAsiaTheme="minorEastAsia"/>
        </w:rPr>
      </w:pPr>
    </w:p>
    <w:p w14:paraId="71E83A03" w14:textId="77777777" w:rsidR="009864DB" w:rsidRPr="004D46AC" w:rsidRDefault="009864DB" w:rsidP="009864DB">
      <w:pPr>
        <w:spacing w:line="240" w:lineRule="auto"/>
        <w:ind w:left="720" w:hanging="720"/>
        <w:rPr>
          <w:rFonts w:eastAsiaTheme="minorEastAsia"/>
        </w:rPr>
      </w:pPr>
    </w:p>
    <w:p w14:paraId="15E103D2" w14:textId="7CDFBE70" w:rsidR="009864DB" w:rsidRPr="004D46AC" w:rsidRDefault="009864DB" w:rsidP="009864DB">
      <w:pPr>
        <w:pStyle w:val="afff0"/>
        <w:ind w:firstLine="0"/>
        <w:rPr>
          <w:rFonts w:eastAsiaTheme="minorEastAsia"/>
          <w:b/>
          <w:bCs/>
          <w:i w:val="0"/>
          <w:iCs w:val="0"/>
        </w:rPr>
      </w:pPr>
      <w:bookmarkStart w:id="319" w:name="_Toc225271034"/>
      <w:r w:rsidRPr="004D46AC">
        <w:rPr>
          <w:b/>
          <w:bCs/>
          <w:i w:val="0"/>
          <w:iCs w:val="0"/>
        </w:rPr>
        <w:lastRenderedPageBreak/>
        <w:t xml:space="preserve">Table B </w:t>
      </w:r>
      <w:r w:rsidRPr="004D46AC">
        <w:rPr>
          <w:b/>
          <w:bCs/>
          <w:i w:val="0"/>
          <w:iCs w:val="0"/>
        </w:rPr>
        <w:fldChar w:fldCharType="begin"/>
      </w:r>
      <w:r w:rsidRPr="004D46AC">
        <w:rPr>
          <w:b/>
          <w:bCs/>
          <w:i w:val="0"/>
          <w:iCs w:val="0"/>
        </w:rPr>
        <w:instrText xml:space="preserve"> SEQ Table_B \* ARABIC </w:instrText>
      </w:r>
      <w:r w:rsidRPr="004D46AC">
        <w:rPr>
          <w:b/>
          <w:bCs/>
          <w:i w:val="0"/>
          <w:iCs w:val="0"/>
        </w:rPr>
        <w:fldChar w:fldCharType="separate"/>
      </w:r>
      <w:r w:rsidRPr="004D46AC">
        <w:rPr>
          <w:b/>
          <w:bCs/>
          <w:i w:val="0"/>
          <w:iCs w:val="0"/>
          <w:noProof/>
        </w:rPr>
        <w:t>12</w:t>
      </w:r>
      <w:bookmarkEnd w:id="319"/>
      <w:r w:rsidRPr="004D46AC">
        <w:rPr>
          <w:b/>
          <w:bCs/>
          <w:i w:val="0"/>
          <w:iCs w:val="0"/>
        </w:rPr>
        <w:fldChar w:fldCharType="end"/>
      </w:r>
    </w:p>
    <w:p w14:paraId="55AEEE33" w14:textId="77777777" w:rsidR="009864DB" w:rsidRPr="004D46AC" w:rsidRDefault="009864DB" w:rsidP="009864DB">
      <w:pPr>
        <w:spacing w:line="240" w:lineRule="auto"/>
        <w:ind w:firstLine="0"/>
        <w:rPr>
          <w:rFonts w:eastAsiaTheme="minorEastAsia"/>
          <w:i/>
          <w:iCs/>
        </w:rPr>
      </w:pPr>
      <w:r w:rsidRPr="004D46AC">
        <w:rPr>
          <w:rFonts w:eastAsiaTheme="minorEastAsia"/>
          <w:i/>
          <w:iCs/>
        </w:rPr>
        <w:t>Include studies in the synthesis of cooccurring thought disorders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2"/>
        <w:gridCol w:w="719"/>
        <w:gridCol w:w="731"/>
        <w:gridCol w:w="961"/>
        <w:gridCol w:w="1337"/>
        <w:gridCol w:w="674"/>
        <w:gridCol w:w="891"/>
        <w:gridCol w:w="502"/>
        <w:gridCol w:w="468"/>
        <w:gridCol w:w="811"/>
        <w:gridCol w:w="560"/>
      </w:tblGrid>
      <w:tr w:rsidR="009864DB" w:rsidRPr="004D46AC" w14:paraId="55F09731" w14:textId="77777777" w:rsidTr="00B518F1">
        <w:trPr>
          <w:trHeight w:val="561"/>
        </w:trPr>
        <w:tc>
          <w:tcPr>
            <w:tcW w:w="1907" w:type="dxa"/>
          </w:tcPr>
          <w:p w14:paraId="32F50D18" w14:textId="77777777" w:rsidR="009864DB" w:rsidRPr="004D46AC" w:rsidRDefault="009864DB" w:rsidP="009864DB">
            <w:pPr>
              <w:spacing w:line="240" w:lineRule="auto"/>
              <w:ind w:firstLine="0"/>
              <w:rPr>
                <w:rFonts w:eastAsiaTheme="minorEastAsia"/>
                <w:i/>
                <w:iCs/>
              </w:rPr>
            </w:pPr>
            <w:r w:rsidRPr="004D46AC">
              <w:rPr>
                <w:rFonts w:eastAsiaTheme="minorEastAsia"/>
              </w:rPr>
              <w:t xml:space="preserve">Study </w:t>
            </w:r>
          </w:p>
        </w:tc>
        <w:tc>
          <w:tcPr>
            <w:tcW w:w="1118" w:type="dxa"/>
          </w:tcPr>
          <w:p w14:paraId="7E042124" w14:textId="77777777" w:rsidR="009864DB" w:rsidRPr="004D46AC" w:rsidRDefault="009864DB" w:rsidP="009864DB">
            <w:pPr>
              <w:spacing w:line="240" w:lineRule="auto"/>
              <w:ind w:firstLine="0"/>
              <w:rPr>
                <w:rFonts w:eastAsiaTheme="minorEastAsia"/>
                <w:i/>
                <w:iCs/>
              </w:rPr>
            </w:pPr>
            <w:r w:rsidRPr="004D46AC">
              <w:rPr>
                <w:rFonts w:eastAsiaTheme="minorEastAsia"/>
              </w:rPr>
              <w:t>JBI score</w:t>
            </w:r>
          </w:p>
        </w:tc>
        <w:tc>
          <w:tcPr>
            <w:tcW w:w="1100" w:type="dxa"/>
          </w:tcPr>
          <w:p w14:paraId="7F785098" w14:textId="77777777" w:rsidR="009864DB" w:rsidRPr="004D46AC" w:rsidRDefault="009864DB" w:rsidP="009864DB">
            <w:pPr>
              <w:spacing w:line="240" w:lineRule="auto"/>
              <w:ind w:firstLine="0"/>
              <w:rPr>
                <w:rFonts w:eastAsiaTheme="minorEastAsia"/>
                <w:i/>
                <w:iCs/>
              </w:rPr>
            </w:pPr>
            <w:r w:rsidRPr="004D46AC">
              <w:rPr>
                <w:rFonts w:eastAsiaTheme="minorEastAsia"/>
              </w:rPr>
              <w:t>Age</w:t>
            </w:r>
          </w:p>
        </w:tc>
        <w:tc>
          <w:tcPr>
            <w:tcW w:w="1271" w:type="dxa"/>
          </w:tcPr>
          <w:p w14:paraId="45B8D46D" w14:textId="77777777" w:rsidR="009864DB" w:rsidRPr="004D46AC" w:rsidRDefault="009864DB" w:rsidP="009864DB">
            <w:pPr>
              <w:spacing w:line="240" w:lineRule="auto"/>
              <w:ind w:firstLine="0"/>
              <w:rPr>
                <w:rFonts w:eastAsiaTheme="minorEastAsia"/>
                <w:i/>
                <w:iCs/>
              </w:rPr>
            </w:pPr>
            <w:r w:rsidRPr="004D46AC">
              <w:rPr>
                <w:rFonts w:eastAsiaTheme="minorEastAsia"/>
              </w:rPr>
              <w:t>Criteria</w:t>
            </w:r>
          </w:p>
        </w:tc>
        <w:tc>
          <w:tcPr>
            <w:tcW w:w="1945" w:type="dxa"/>
          </w:tcPr>
          <w:p w14:paraId="5EBA2127" w14:textId="77777777" w:rsidR="009864DB" w:rsidRPr="004D46AC" w:rsidRDefault="009864DB" w:rsidP="009864DB">
            <w:pPr>
              <w:spacing w:line="240" w:lineRule="auto"/>
              <w:ind w:firstLine="0"/>
              <w:rPr>
                <w:rFonts w:eastAsiaTheme="minorEastAsia"/>
                <w:i/>
                <w:iCs/>
              </w:rPr>
            </w:pPr>
            <w:r w:rsidRPr="004D46AC">
              <w:rPr>
                <w:rFonts w:eastAsiaTheme="minorEastAsia"/>
              </w:rPr>
              <w:t>Assessment</w:t>
            </w:r>
          </w:p>
        </w:tc>
        <w:tc>
          <w:tcPr>
            <w:tcW w:w="1072" w:type="dxa"/>
          </w:tcPr>
          <w:p w14:paraId="2596C0EB" w14:textId="77777777" w:rsidR="009864DB" w:rsidRPr="004D46AC" w:rsidRDefault="009864DB" w:rsidP="009864DB">
            <w:pPr>
              <w:spacing w:line="240" w:lineRule="auto"/>
              <w:ind w:firstLine="0"/>
              <w:rPr>
                <w:rFonts w:eastAsiaTheme="minorEastAsia"/>
                <w:i/>
                <w:iCs/>
              </w:rPr>
            </w:pPr>
            <w:r w:rsidRPr="004D46AC">
              <w:rPr>
                <w:rFonts w:eastAsiaTheme="minorEastAsia"/>
              </w:rPr>
              <w:t>N</w:t>
            </w:r>
          </w:p>
        </w:tc>
        <w:tc>
          <w:tcPr>
            <w:tcW w:w="1101" w:type="dxa"/>
          </w:tcPr>
          <w:p w14:paraId="2373B27E" w14:textId="77777777" w:rsidR="009864DB" w:rsidRPr="004D46AC" w:rsidRDefault="009864DB" w:rsidP="009864DB">
            <w:pPr>
              <w:spacing w:line="240" w:lineRule="auto"/>
              <w:ind w:firstLine="0"/>
              <w:rPr>
                <w:rFonts w:eastAsiaTheme="minorEastAsia"/>
                <w:i/>
                <w:iCs/>
              </w:rPr>
            </w:pPr>
            <w:r w:rsidRPr="004D46AC">
              <w:rPr>
                <w:rFonts w:eastAsiaTheme="minorEastAsia"/>
              </w:rPr>
              <w:t>Pop</w:t>
            </w:r>
          </w:p>
        </w:tc>
        <w:tc>
          <w:tcPr>
            <w:tcW w:w="1090" w:type="dxa"/>
          </w:tcPr>
          <w:p w14:paraId="28934B50" w14:textId="77777777" w:rsidR="009864DB" w:rsidRPr="004D46AC" w:rsidRDefault="009864DB" w:rsidP="009864DB">
            <w:pPr>
              <w:spacing w:line="240" w:lineRule="auto"/>
              <w:ind w:firstLine="0"/>
              <w:rPr>
                <w:rFonts w:eastAsiaTheme="minorEastAsia"/>
              </w:rPr>
            </w:pPr>
            <w:r w:rsidRPr="004D46AC">
              <w:rPr>
                <w:rFonts w:eastAsiaTheme="minorEastAsia"/>
              </w:rPr>
              <w:t>BD</w:t>
            </w:r>
          </w:p>
          <w:p w14:paraId="35BD171A" w14:textId="77777777" w:rsidR="009864DB" w:rsidRPr="004D46AC" w:rsidRDefault="009864DB" w:rsidP="009864DB">
            <w:pPr>
              <w:spacing w:line="240" w:lineRule="auto"/>
              <w:ind w:firstLine="0"/>
              <w:rPr>
                <w:rFonts w:eastAsiaTheme="minorEastAsia"/>
                <w:i/>
                <w:iCs/>
              </w:rPr>
            </w:pPr>
          </w:p>
        </w:tc>
        <w:tc>
          <w:tcPr>
            <w:tcW w:w="1086" w:type="dxa"/>
          </w:tcPr>
          <w:p w14:paraId="322C0E86" w14:textId="77777777" w:rsidR="009864DB" w:rsidRPr="004D46AC" w:rsidRDefault="009864DB" w:rsidP="009864DB">
            <w:pPr>
              <w:spacing w:line="240" w:lineRule="auto"/>
              <w:ind w:firstLine="0"/>
              <w:rPr>
                <w:rFonts w:eastAsiaTheme="minorEastAsia"/>
                <w:i/>
                <w:iCs/>
              </w:rPr>
            </w:pPr>
            <w:r w:rsidRPr="004D46AC">
              <w:rPr>
                <w:rFonts w:eastAsiaTheme="minorEastAsia"/>
              </w:rPr>
              <w:t>TF</w:t>
            </w:r>
          </w:p>
        </w:tc>
        <w:tc>
          <w:tcPr>
            <w:tcW w:w="1171" w:type="dxa"/>
          </w:tcPr>
          <w:p w14:paraId="5F35E87E"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CoTyp</w:t>
            </w:r>
            <w:proofErr w:type="spellEnd"/>
          </w:p>
        </w:tc>
        <w:tc>
          <w:tcPr>
            <w:tcW w:w="1087" w:type="dxa"/>
          </w:tcPr>
          <w:p w14:paraId="3225245B" w14:textId="77777777" w:rsidR="009864DB" w:rsidRPr="004D46AC" w:rsidRDefault="009864DB" w:rsidP="009864DB">
            <w:pPr>
              <w:spacing w:line="240" w:lineRule="auto"/>
              <w:ind w:firstLine="0"/>
              <w:rPr>
                <w:rFonts w:eastAsiaTheme="minorEastAsia"/>
                <w:i/>
                <w:iCs/>
              </w:rPr>
            </w:pPr>
            <w:r w:rsidRPr="004D46AC">
              <w:rPr>
                <w:rFonts w:eastAsiaTheme="minorEastAsia"/>
              </w:rPr>
              <w:t>Co (n)</w:t>
            </w:r>
          </w:p>
        </w:tc>
      </w:tr>
      <w:tr w:rsidR="009864DB" w:rsidRPr="004D46AC" w14:paraId="16ABA15B" w14:textId="77777777" w:rsidTr="00B518F1">
        <w:trPr>
          <w:trHeight w:val="307"/>
        </w:trPr>
        <w:tc>
          <w:tcPr>
            <w:tcW w:w="1907" w:type="dxa"/>
          </w:tcPr>
          <w:p w14:paraId="09E50E5E"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Mancuso et al. (2015)</w:t>
            </w:r>
            <w:r w:rsidRPr="004D46AC">
              <w:rPr>
                <w:rFonts w:eastAsiaTheme="minorEastAsia"/>
              </w:rPr>
              <w:fldChar w:fldCharType="end"/>
            </w:r>
          </w:p>
        </w:tc>
        <w:tc>
          <w:tcPr>
            <w:tcW w:w="1118" w:type="dxa"/>
            <w:vAlign w:val="center"/>
          </w:tcPr>
          <w:p w14:paraId="3364DE47" w14:textId="77777777" w:rsidR="009864DB" w:rsidRPr="004D46AC" w:rsidRDefault="009864DB" w:rsidP="009864DB">
            <w:pPr>
              <w:spacing w:line="240" w:lineRule="auto"/>
              <w:ind w:firstLine="0"/>
              <w:rPr>
                <w:rFonts w:eastAsiaTheme="minorEastAsia"/>
                <w:i/>
                <w:iCs/>
              </w:rPr>
            </w:pPr>
            <w:r w:rsidRPr="004D46AC">
              <w:rPr>
                <w:rFonts w:eastAsiaTheme="minorEastAsia"/>
              </w:rPr>
              <w:t>7</w:t>
            </w:r>
          </w:p>
        </w:tc>
        <w:tc>
          <w:tcPr>
            <w:tcW w:w="1100" w:type="dxa"/>
            <w:vAlign w:val="center"/>
          </w:tcPr>
          <w:p w14:paraId="3FB01120" w14:textId="77777777" w:rsidR="009864DB" w:rsidRPr="004D46AC" w:rsidRDefault="009864DB" w:rsidP="009864DB">
            <w:pPr>
              <w:spacing w:line="240" w:lineRule="auto"/>
              <w:ind w:firstLine="0"/>
              <w:rPr>
                <w:rFonts w:eastAsiaTheme="minorEastAsia"/>
                <w:i/>
                <w:iCs/>
              </w:rPr>
            </w:pPr>
            <w:r w:rsidRPr="004D46AC">
              <w:rPr>
                <w:rFonts w:eastAsiaTheme="minorEastAsia"/>
              </w:rPr>
              <w:t>40.75</w:t>
            </w:r>
          </w:p>
        </w:tc>
        <w:tc>
          <w:tcPr>
            <w:tcW w:w="1271" w:type="dxa"/>
            <w:vAlign w:val="center"/>
          </w:tcPr>
          <w:p w14:paraId="608DCF77" w14:textId="77777777" w:rsidR="009864DB" w:rsidRPr="004D46AC" w:rsidRDefault="009864DB" w:rsidP="009864DB">
            <w:pPr>
              <w:spacing w:line="240" w:lineRule="auto"/>
              <w:ind w:firstLine="0"/>
              <w:rPr>
                <w:rFonts w:eastAsiaTheme="minorEastAsia"/>
                <w:i/>
                <w:iCs/>
              </w:rPr>
            </w:pPr>
            <w:r w:rsidRPr="004D46AC">
              <w:rPr>
                <w:rFonts w:eastAsiaTheme="minorEastAsia"/>
              </w:rPr>
              <w:t>ICD10</w:t>
            </w:r>
          </w:p>
        </w:tc>
        <w:tc>
          <w:tcPr>
            <w:tcW w:w="1945" w:type="dxa"/>
            <w:vAlign w:val="center"/>
          </w:tcPr>
          <w:p w14:paraId="3B5CF613" w14:textId="77777777" w:rsidR="009864DB" w:rsidRPr="004D46AC" w:rsidRDefault="009864DB" w:rsidP="009864DB">
            <w:pPr>
              <w:spacing w:line="240" w:lineRule="auto"/>
              <w:ind w:firstLine="0"/>
              <w:rPr>
                <w:rFonts w:eastAsiaTheme="minorEastAsia"/>
                <w:i/>
                <w:iCs/>
              </w:rPr>
            </w:pPr>
            <w:r w:rsidRPr="004D46AC">
              <w:rPr>
                <w:rFonts w:eastAsiaTheme="minorEastAsia"/>
              </w:rPr>
              <w:t>DIP</w:t>
            </w:r>
          </w:p>
        </w:tc>
        <w:tc>
          <w:tcPr>
            <w:tcW w:w="1072" w:type="dxa"/>
            <w:vAlign w:val="center"/>
          </w:tcPr>
          <w:p w14:paraId="78591BAE" w14:textId="77777777" w:rsidR="009864DB" w:rsidRPr="004D46AC" w:rsidRDefault="009864DB" w:rsidP="009864DB">
            <w:pPr>
              <w:spacing w:line="240" w:lineRule="auto"/>
              <w:ind w:firstLine="0"/>
              <w:rPr>
                <w:rFonts w:eastAsiaTheme="minorEastAsia"/>
                <w:i/>
                <w:iCs/>
              </w:rPr>
            </w:pPr>
            <w:r w:rsidRPr="004D46AC">
              <w:rPr>
                <w:rFonts w:eastAsiaTheme="minorEastAsia"/>
              </w:rPr>
              <w:t>319</w:t>
            </w:r>
          </w:p>
        </w:tc>
        <w:tc>
          <w:tcPr>
            <w:tcW w:w="1101" w:type="dxa"/>
            <w:vAlign w:val="center"/>
          </w:tcPr>
          <w:p w14:paraId="0D87C7D1" w14:textId="77777777" w:rsidR="009864DB" w:rsidRPr="004D46AC" w:rsidRDefault="009864DB" w:rsidP="009864DB">
            <w:pPr>
              <w:spacing w:line="240" w:lineRule="auto"/>
              <w:ind w:firstLine="0"/>
              <w:rPr>
                <w:rFonts w:eastAsiaTheme="minorEastAsia"/>
                <w:i/>
                <w:iCs/>
              </w:rPr>
            </w:pPr>
            <w:r w:rsidRPr="004D46AC">
              <w:rPr>
                <w:rFonts w:eastAsiaTheme="minorEastAsia"/>
              </w:rPr>
              <w:t>unclear</w:t>
            </w:r>
          </w:p>
        </w:tc>
        <w:tc>
          <w:tcPr>
            <w:tcW w:w="1090" w:type="dxa"/>
            <w:vAlign w:val="center"/>
          </w:tcPr>
          <w:p w14:paraId="2D095C18" w14:textId="77777777" w:rsidR="009864DB" w:rsidRPr="004D46AC" w:rsidRDefault="009864DB" w:rsidP="009864DB">
            <w:pPr>
              <w:spacing w:line="240" w:lineRule="auto"/>
              <w:ind w:firstLine="0"/>
              <w:rPr>
                <w:rFonts w:eastAsiaTheme="minorEastAsia"/>
                <w:i/>
                <w:iCs/>
              </w:rPr>
            </w:pPr>
            <w:r w:rsidRPr="004D46AC">
              <w:rPr>
                <w:rFonts w:eastAsiaTheme="minorEastAsia"/>
              </w:rPr>
              <w:t>3</w:t>
            </w:r>
          </w:p>
        </w:tc>
        <w:tc>
          <w:tcPr>
            <w:tcW w:w="1086" w:type="dxa"/>
          </w:tcPr>
          <w:p w14:paraId="5B1EBCEA"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45423FB0" w14:textId="77777777" w:rsidR="009864DB" w:rsidRPr="004D46AC" w:rsidRDefault="009864DB" w:rsidP="009864DB">
            <w:pPr>
              <w:spacing w:line="240" w:lineRule="auto"/>
              <w:ind w:firstLine="0"/>
              <w:rPr>
                <w:rFonts w:eastAsiaTheme="minorEastAsia"/>
                <w:i/>
                <w:iCs/>
              </w:rPr>
            </w:pPr>
            <w:r w:rsidRPr="004D46AC">
              <w:rPr>
                <w:rFonts w:eastAsiaTheme="minorEastAsia"/>
              </w:rPr>
              <w:t>any</w:t>
            </w:r>
          </w:p>
        </w:tc>
        <w:tc>
          <w:tcPr>
            <w:tcW w:w="1087" w:type="dxa"/>
            <w:vAlign w:val="center"/>
          </w:tcPr>
          <w:p w14:paraId="1992253F" w14:textId="77777777" w:rsidR="009864DB" w:rsidRPr="004D46AC" w:rsidRDefault="009864DB" w:rsidP="009864DB">
            <w:pPr>
              <w:spacing w:line="240" w:lineRule="auto"/>
              <w:ind w:firstLine="0"/>
              <w:rPr>
                <w:rFonts w:eastAsiaTheme="minorEastAsia"/>
                <w:i/>
                <w:iCs/>
              </w:rPr>
            </w:pPr>
            <w:r w:rsidRPr="004D46AC">
              <w:rPr>
                <w:rFonts w:eastAsiaTheme="minorEastAsia"/>
              </w:rPr>
              <w:t>36</w:t>
            </w:r>
          </w:p>
        </w:tc>
      </w:tr>
      <w:tr w:rsidR="009864DB" w:rsidRPr="004D46AC" w14:paraId="0B8E4BBA" w14:textId="77777777" w:rsidTr="00B518F1">
        <w:trPr>
          <w:trHeight w:val="300"/>
        </w:trPr>
        <w:tc>
          <w:tcPr>
            <w:tcW w:w="1907" w:type="dxa"/>
          </w:tcPr>
          <w:p w14:paraId="5159CDC4"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r>
            <w:r w:rsidRPr="004D46AC">
              <w:rPr>
                <w:rFonts w:eastAsiaTheme="minorEastAsia"/>
                <w:i/>
                <w:iCs/>
              </w:rPr>
              <w:instrText xml:space="preserve"> ADDIN EN.CITE &lt;EndNote&gt;&lt;Cite AuthorYear="1"&gt;&lt;Author&gt;Breslau&lt;/Author&gt;&lt;Year&gt;1988&lt;/Year&gt;&lt;RecNum&gt;241&lt;/RecNum&gt;&lt;DisplayText&gt;Breslau and Meltzer (1988)&lt;/DisplayText&gt;&lt;record&gt;&lt;rec-number&gt;241&lt;/rec-number&gt;&lt;foreign-keys&gt;&lt;key app="EN" db-id="aet009sstawa0hewvt3xwf5atffdw2dt02sw" timestamp="1666238819"&gt;241&lt;/key&gt;&lt;/foreign-keys&gt;&lt;ref-type name="Journal Article"&gt;17&lt;/ref-type&gt;&lt;contributors&gt;&lt;authors&gt;&lt;author&gt;Breslau, N.&lt;/author&gt;&lt;author&gt;Meltzer, H. Y.&lt;/author&gt;&lt;/authors&gt;&lt;/contributors&gt;&lt;auth-address&gt;Department of Psychiatry, Case Western Reserve School of Medicine, Cleveland.&lt;/auth-address&gt;&lt;titles&gt;&lt;title&gt;Validity of subtyping psychotic depression: examination of phenomenology and demographic characteristics&lt;/title&gt;&lt;secondary-title&gt;Am J Psychiatry&lt;/secondary-title&gt;&lt;/titles&gt;&lt;periodical&gt;&lt;full-title&gt;Am J Psychiatry&lt;/full-title&gt;&lt;/periodical&gt;&lt;pages&gt;35-40&lt;/pages&gt;&lt;volume&gt;145&lt;/volume&gt;&lt;number&gt;1&lt;/number&gt;&lt;keywords&gt;&lt;keyword&gt;Adult&lt;/keyword&gt;&lt;keyword&gt;Age Factors&lt;/keyword&gt;&lt;keyword&gt;Bipolar Disorder/diagnosis/psychology&lt;/keyword&gt;&lt;keyword&gt;Depressive Disorder/classification/*diagnosis/prevention &amp;amp; control/psychology&lt;/keyword&gt;&lt;keyword&gt;Diagnosis, Differential&lt;/keyword&gt;&lt;keyword&gt;Female&lt;/keyword&gt;&lt;keyword&gt;Humans&lt;/keyword&gt;&lt;keyword&gt;Male&lt;/keyword&gt;&lt;keyword&gt;Manuals as Topic&lt;/keyword&gt;&lt;keyword&gt;*Psychiatric Status Rating Scales&lt;/keyword&gt;&lt;keyword&gt;Psychotic Disorders/diagnosis/psychology&lt;/keyword&gt;&lt;keyword&gt;Sex Factors&lt;/keyword&gt;&lt;/keywords&gt;&lt;dates&gt;&lt;year&gt;1988&lt;/year&gt;&lt;pub-dates&gt;&lt;date&gt;Jan&lt;/date&gt;&lt;/pub-dates&gt;&lt;/dates&gt;&lt;isbn&gt;0002-953X (Print)&amp;#xD;0002-953X (Linking)&lt;/isbn&gt;&lt;accession-num&gt;3337290&lt;/accession-num&gt;&lt;urls&gt;&lt;related-urls&gt;&lt;url&gt;https://www.ncbi.nlm.nih.gov/pubmed/3337290&lt;/url&gt;&lt;/related-urls&gt;&lt;/urls&gt;&lt;electronic-resource-num&gt;10.1176/ajp.145.1.35&lt;/electronic-resource-num&gt;&lt;remote-database-name&gt;Medline&lt;/remote-database-name&gt;&lt;remote-database-provider&gt;NLM&lt;/remote-database-provider&gt;&lt;language&gt;eng&lt;/language&gt;&lt;/record&gt;&lt;/Cite&gt;&lt;/EndNote&gt;</w:instrText>
            </w:r>
            <w:r w:rsidRPr="004D46AC">
              <w:rPr>
                <w:rFonts w:eastAsiaTheme="minorEastAsia"/>
                <w:i/>
                <w:iCs/>
              </w:rPr>
              <w:fldChar w:fldCharType="separate"/>
            </w:r>
            <w:r w:rsidRPr="004D46AC">
              <w:rPr>
                <w:rFonts w:eastAsiaTheme="minorEastAsia"/>
                <w:i/>
                <w:iCs/>
              </w:rPr>
              <w:t>Breslau and Meltzer (1988)</w:t>
            </w:r>
            <w:r w:rsidRPr="004D46AC">
              <w:rPr>
                <w:rFonts w:eastAsiaTheme="minorEastAsia"/>
              </w:rPr>
              <w:fldChar w:fldCharType="end"/>
            </w:r>
          </w:p>
        </w:tc>
        <w:tc>
          <w:tcPr>
            <w:tcW w:w="1118" w:type="dxa"/>
            <w:vAlign w:val="center"/>
          </w:tcPr>
          <w:p w14:paraId="7D37AA65" w14:textId="77777777" w:rsidR="009864DB" w:rsidRPr="004D46AC" w:rsidRDefault="009864DB" w:rsidP="009864DB">
            <w:pPr>
              <w:spacing w:line="240" w:lineRule="auto"/>
              <w:ind w:firstLine="0"/>
              <w:rPr>
                <w:rFonts w:eastAsiaTheme="minorEastAsia"/>
                <w:i/>
                <w:iCs/>
              </w:rPr>
            </w:pPr>
            <w:r w:rsidRPr="004D46AC">
              <w:rPr>
                <w:rFonts w:eastAsiaTheme="minorEastAsia"/>
              </w:rPr>
              <w:t>5</w:t>
            </w:r>
          </w:p>
        </w:tc>
        <w:tc>
          <w:tcPr>
            <w:tcW w:w="1100" w:type="dxa"/>
            <w:vAlign w:val="center"/>
          </w:tcPr>
          <w:p w14:paraId="5B90EEDC" w14:textId="77777777" w:rsidR="009864DB" w:rsidRPr="004D46AC" w:rsidRDefault="009864DB" w:rsidP="009864DB">
            <w:pPr>
              <w:spacing w:line="240" w:lineRule="auto"/>
              <w:ind w:firstLine="0"/>
              <w:rPr>
                <w:rFonts w:eastAsiaTheme="minorEastAsia"/>
                <w:i/>
                <w:iCs/>
              </w:rPr>
            </w:pPr>
            <w:r w:rsidRPr="004D46AC">
              <w:rPr>
                <w:rFonts w:eastAsiaTheme="minorEastAsia"/>
              </w:rPr>
              <w:t>32.9</w:t>
            </w:r>
          </w:p>
        </w:tc>
        <w:tc>
          <w:tcPr>
            <w:tcW w:w="1271" w:type="dxa"/>
            <w:vAlign w:val="center"/>
          </w:tcPr>
          <w:p w14:paraId="622845A9" w14:textId="77777777" w:rsidR="009864DB" w:rsidRPr="004D46AC" w:rsidRDefault="009864DB" w:rsidP="009864DB">
            <w:pPr>
              <w:spacing w:line="240" w:lineRule="auto"/>
              <w:ind w:firstLine="0"/>
              <w:rPr>
                <w:rFonts w:eastAsiaTheme="minorEastAsia"/>
                <w:i/>
                <w:iCs/>
              </w:rPr>
            </w:pPr>
            <w:r w:rsidRPr="004D46AC">
              <w:rPr>
                <w:rFonts w:eastAsiaTheme="minorEastAsia"/>
              </w:rPr>
              <w:t>RDC</w:t>
            </w:r>
          </w:p>
        </w:tc>
        <w:tc>
          <w:tcPr>
            <w:tcW w:w="1945" w:type="dxa"/>
            <w:vAlign w:val="center"/>
          </w:tcPr>
          <w:p w14:paraId="3E055922" w14:textId="77777777" w:rsidR="009864DB" w:rsidRPr="004D46AC" w:rsidRDefault="009864DB" w:rsidP="009864DB">
            <w:pPr>
              <w:spacing w:line="240" w:lineRule="auto"/>
              <w:ind w:firstLine="0"/>
              <w:rPr>
                <w:rFonts w:eastAsiaTheme="minorEastAsia"/>
                <w:i/>
                <w:iCs/>
              </w:rPr>
            </w:pPr>
            <w:r w:rsidRPr="004D46AC">
              <w:rPr>
                <w:rFonts w:eastAsiaTheme="minorEastAsia"/>
              </w:rPr>
              <w:t>SADS-C</w:t>
            </w:r>
          </w:p>
        </w:tc>
        <w:tc>
          <w:tcPr>
            <w:tcW w:w="1072" w:type="dxa"/>
            <w:vAlign w:val="center"/>
          </w:tcPr>
          <w:p w14:paraId="6E39470A" w14:textId="77777777" w:rsidR="009864DB" w:rsidRPr="004D46AC" w:rsidRDefault="009864DB" w:rsidP="009864DB">
            <w:pPr>
              <w:spacing w:line="240" w:lineRule="auto"/>
              <w:ind w:firstLine="0"/>
              <w:rPr>
                <w:rFonts w:eastAsiaTheme="minorEastAsia"/>
                <w:i/>
                <w:iCs/>
              </w:rPr>
            </w:pPr>
            <w:r w:rsidRPr="004D46AC">
              <w:rPr>
                <w:rFonts w:eastAsiaTheme="minorEastAsia"/>
              </w:rPr>
              <w:t>38</w:t>
            </w:r>
          </w:p>
        </w:tc>
        <w:tc>
          <w:tcPr>
            <w:tcW w:w="1101" w:type="dxa"/>
            <w:vAlign w:val="center"/>
          </w:tcPr>
          <w:p w14:paraId="266734BC" w14:textId="77777777" w:rsidR="009864DB" w:rsidRPr="004D46AC" w:rsidRDefault="009864DB" w:rsidP="009864DB">
            <w:pPr>
              <w:spacing w:line="240" w:lineRule="auto"/>
              <w:ind w:firstLine="0"/>
              <w:rPr>
                <w:rFonts w:eastAsiaTheme="minorEastAsia"/>
                <w:i/>
                <w:iCs/>
              </w:rPr>
            </w:pPr>
            <w:r w:rsidRPr="004D46AC">
              <w:rPr>
                <w:rFonts w:eastAsiaTheme="minorEastAsia"/>
              </w:rPr>
              <w:t>3</w:t>
            </w:r>
          </w:p>
        </w:tc>
        <w:tc>
          <w:tcPr>
            <w:tcW w:w="1090" w:type="dxa"/>
            <w:vAlign w:val="center"/>
          </w:tcPr>
          <w:p w14:paraId="605ECB90" w14:textId="77777777" w:rsidR="009864DB" w:rsidRPr="004D46AC" w:rsidRDefault="009864DB" w:rsidP="009864DB">
            <w:pPr>
              <w:spacing w:line="240" w:lineRule="auto"/>
              <w:ind w:firstLine="0"/>
              <w:rPr>
                <w:rFonts w:eastAsiaTheme="minorEastAsia"/>
                <w:i/>
                <w:iCs/>
              </w:rPr>
            </w:pPr>
            <w:r w:rsidRPr="004D46AC">
              <w:rPr>
                <w:rFonts w:eastAsiaTheme="minorEastAsia"/>
              </w:rPr>
              <w:t>1</w:t>
            </w:r>
          </w:p>
        </w:tc>
        <w:tc>
          <w:tcPr>
            <w:tcW w:w="1086" w:type="dxa"/>
          </w:tcPr>
          <w:p w14:paraId="2FB44727"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321A75F7" w14:textId="77777777" w:rsidR="009864DB" w:rsidRPr="004D46AC" w:rsidRDefault="009864DB" w:rsidP="009864DB">
            <w:pPr>
              <w:spacing w:line="240" w:lineRule="auto"/>
              <w:ind w:firstLine="0"/>
              <w:rPr>
                <w:rFonts w:eastAsiaTheme="minorEastAsia"/>
                <w:i/>
                <w:iCs/>
              </w:rPr>
            </w:pPr>
            <w:r w:rsidRPr="004D46AC">
              <w:rPr>
                <w:rFonts w:eastAsiaTheme="minorEastAsia"/>
              </w:rPr>
              <w:t>any</w:t>
            </w:r>
          </w:p>
        </w:tc>
        <w:tc>
          <w:tcPr>
            <w:tcW w:w="1087" w:type="dxa"/>
            <w:vAlign w:val="center"/>
          </w:tcPr>
          <w:p w14:paraId="3C2C538E" w14:textId="77777777" w:rsidR="009864DB" w:rsidRPr="004D46AC" w:rsidRDefault="009864DB" w:rsidP="009864DB">
            <w:pPr>
              <w:spacing w:line="240" w:lineRule="auto"/>
              <w:ind w:firstLine="0"/>
              <w:rPr>
                <w:rFonts w:eastAsiaTheme="minorEastAsia"/>
                <w:i/>
                <w:iCs/>
              </w:rPr>
            </w:pPr>
            <w:r w:rsidRPr="004D46AC">
              <w:rPr>
                <w:rFonts w:eastAsiaTheme="minorEastAsia"/>
              </w:rPr>
              <w:t>16</w:t>
            </w:r>
          </w:p>
        </w:tc>
      </w:tr>
      <w:tr w:rsidR="009864DB" w:rsidRPr="004D46AC" w14:paraId="28D1BADE" w14:textId="77777777" w:rsidTr="00B518F1">
        <w:trPr>
          <w:trHeight w:val="300"/>
        </w:trPr>
        <w:tc>
          <w:tcPr>
            <w:tcW w:w="1907" w:type="dxa"/>
          </w:tcPr>
          <w:p w14:paraId="6CFBC994"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r>
            <w:r w:rsidRPr="004D46AC">
              <w:rPr>
                <w:rFonts w:eastAsiaTheme="minorEastAsia"/>
                <w:i/>
                <w:iCs/>
              </w:rPr>
              <w:instrText xml:space="preserve"> ADDIN EN.CITE &lt;EndNote&gt;&lt;Cite AuthorYear="1"&gt;&lt;Author&gt;Marengo&lt;/Author&gt;&lt;Year&gt;1985&lt;/Year&gt;&lt;RecNum&gt;242&lt;/RecNum&gt;&lt;DisplayText&gt;Marengo and Harrow (1985)&lt;/DisplayText&gt;&lt;record&gt;&lt;rec-number&gt;242&lt;/rec-number&gt;&lt;foreign-keys&gt;&lt;key app="EN" db-id="aet009sstawa0hewvt3xwf5atffdw2dt02sw" timestamp="1666253582"&gt;242&lt;/key&gt;&lt;/foreign-keys&gt;&lt;ref-type name="Journal Article"&gt;17&lt;/ref-type&gt;&lt;contributors&gt;&lt;authors&gt;&lt;author&gt;Marengo, J.&lt;/author&gt;&lt;author&gt;Harrow, M.&lt;/author&gt;&lt;/authors&gt;&lt;/contributors&gt;&lt;titles&gt;&lt;title&gt;Thought disorder. A function of schizophrenia, mania, or psychosis?&lt;/title&gt;&lt;secondary-title&gt;J Nerv Ment Dis&lt;/secondary-title&gt;&lt;/titles&gt;&lt;periodical&gt;&lt;full-title&gt;J Nerv Ment Dis&lt;/full-title&gt;&lt;/periodical&gt;&lt;pages&gt;35-41&lt;/pages&gt;&lt;volume&gt;173&lt;/volume&gt;&lt;number&gt;1&lt;/number&gt;&lt;keywords&gt;&lt;keyword&gt;Acute Disease&lt;/keyword&gt;&lt;keyword&gt;Adult&lt;/keyword&gt;&lt;keyword&gt;Bipolar Disorder/*diagnosis/psychology&lt;/keyword&gt;&lt;keyword&gt;Cognition Disorders/*diagnosis/psychology&lt;/keyword&gt;&lt;keyword&gt;Delusions/diagnosis/psychology&lt;/keyword&gt;&lt;keyword&gt;Diagnosis, Differential&lt;/keyword&gt;&lt;keyword&gt;Female&lt;/keyword&gt;&lt;keyword&gt;Hallucinations/diagnosis/psychology&lt;/keyword&gt;&lt;keyword&gt;Hospitalization&lt;/keyword&gt;&lt;keyword&gt;Humans&lt;/keyword&gt;&lt;keyword&gt;Male&lt;/keyword&gt;&lt;keyword&gt;Personality Inventory&lt;/keyword&gt;&lt;keyword&gt;Psychiatric Status Rating Scales&lt;/keyword&gt;&lt;keyword&gt;Psychotic Disorders/*diagnosis/psychology&lt;/keyword&gt;&lt;keyword&gt;Schizophrenia/*diagnosis&lt;/keyword&gt;&lt;keyword&gt;*Schizophrenic Psychology&lt;/keyword&gt;&lt;/keywords&gt;&lt;dates&gt;&lt;year&gt;1985&lt;/year&gt;&lt;pub-dates&gt;&lt;date&gt;Jan&lt;/date&gt;&lt;/pub-dates&gt;&lt;/dates&gt;&lt;isbn&gt;0022-3018 (Print)&amp;#xD;0022-3018 (Linking)&lt;/isbn&gt;&lt;accession-num&gt;3965610&lt;/accession-num&gt;&lt;urls&gt;&lt;related-urls&gt;&lt;url&gt;https://www.ncbi.nlm.nih.gov/pubmed/3965610&lt;/url&gt;&lt;/related-urls&gt;&lt;/urls&gt;&lt;remote-database-name&gt;Medline&lt;/remote-database-name&gt;&lt;remote-database-provider&gt;NLM&lt;/remote-database-provider&gt;&lt;language&gt;eng&lt;/language&gt;&lt;/record&gt;&lt;/Cite&gt;&lt;/EndNote&gt;</w:instrText>
            </w:r>
            <w:r w:rsidRPr="004D46AC">
              <w:rPr>
                <w:rFonts w:eastAsiaTheme="minorEastAsia"/>
                <w:i/>
                <w:iCs/>
              </w:rPr>
              <w:fldChar w:fldCharType="separate"/>
            </w:r>
            <w:r w:rsidRPr="004D46AC">
              <w:rPr>
                <w:rFonts w:eastAsiaTheme="minorEastAsia"/>
                <w:i/>
                <w:iCs/>
              </w:rPr>
              <w:t>Marengo and Harrow (1985)</w:t>
            </w:r>
            <w:r w:rsidRPr="004D46AC">
              <w:rPr>
                <w:rFonts w:eastAsiaTheme="minorEastAsia"/>
              </w:rPr>
              <w:fldChar w:fldCharType="end"/>
            </w:r>
          </w:p>
        </w:tc>
        <w:tc>
          <w:tcPr>
            <w:tcW w:w="1118" w:type="dxa"/>
            <w:vAlign w:val="center"/>
          </w:tcPr>
          <w:p w14:paraId="127116A6" w14:textId="77777777" w:rsidR="009864DB" w:rsidRPr="004D46AC" w:rsidRDefault="009864DB" w:rsidP="009864DB">
            <w:pPr>
              <w:spacing w:line="240" w:lineRule="auto"/>
              <w:ind w:firstLine="0"/>
              <w:rPr>
                <w:rFonts w:eastAsiaTheme="minorEastAsia"/>
                <w:i/>
                <w:iCs/>
              </w:rPr>
            </w:pPr>
            <w:r w:rsidRPr="004D46AC">
              <w:rPr>
                <w:rFonts w:eastAsiaTheme="minorEastAsia"/>
              </w:rPr>
              <w:t>4</w:t>
            </w:r>
          </w:p>
        </w:tc>
        <w:tc>
          <w:tcPr>
            <w:tcW w:w="1100" w:type="dxa"/>
            <w:vAlign w:val="center"/>
          </w:tcPr>
          <w:p w14:paraId="177E96BA" w14:textId="77777777" w:rsidR="009864DB" w:rsidRPr="004D46AC" w:rsidRDefault="009864DB" w:rsidP="009864DB">
            <w:pPr>
              <w:spacing w:line="240" w:lineRule="auto"/>
              <w:ind w:firstLine="0"/>
              <w:rPr>
                <w:rFonts w:eastAsiaTheme="minorEastAsia"/>
                <w:i/>
                <w:iCs/>
              </w:rPr>
            </w:pPr>
            <w:r w:rsidRPr="004D46AC">
              <w:rPr>
                <w:rFonts w:eastAsiaTheme="minorEastAsia"/>
              </w:rPr>
              <w:t>23</w:t>
            </w:r>
          </w:p>
        </w:tc>
        <w:tc>
          <w:tcPr>
            <w:tcW w:w="1271" w:type="dxa"/>
            <w:vAlign w:val="center"/>
          </w:tcPr>
          <w:p w14:paraId="6E692ECA" w14:textId="77777777" w:rsidR="009864DB" w:rsidRPr="004D46AC" w:rsidRDefault="009864DB" w:rsidP="009864DB">
            <w:pPr>
              <w:spacing w:line="240" w:lineRule="auto"/>
              <w:ind w:firstLine="0"/>
              <w:rPr>
                <w:rFonts w:eastAsiaTheme="minorEastAsia"/>
                <w:i/>
                <w:iCs/>
              </w:rPr>
            </w:pPr>
            <w:r w:rsidRPr="004D46AC">
              <w:rPr>
                <w:rFonts w:eastAsiaTheme="minorEastAsia"/>
              </w:rPr>
              <w:t>mixed</w:t>
            </w:r>
          </w:p>
        </w:tc>
        <w:tc>
          <w:tcPr>
            <w:tcW w:w="1945" w:type="dxa"/>
            <w:vAlign w:val="center"/>
          </w:tcPr>
          <w:p w14:paraId="5434F7B0" w14:textId="77777777" w:rsidR="009864DB" w:rsidRPr="004D46AC" w:rsidRDefault="009864DB" w:rsidP="009864DB">
            <w:pPr>
              <w:spacing w:line="240" w:lineRule="auto"/>
              <w:ind w:firstLine="0"/>
              <w:rPr>
                <w:rFonts w:eastAsiaTheme="minorEastAsia"/>
                <w:i/>
                <w:iCs/>
              </w:rPr>
            </w:pPr>
            <w:r w:rsidRPr="004D46AC">
              <w:rPr>
                <w:rFonts w:eastAsiaTheme="minorEastAsia"/>
              </w:rPr>
              <w:t>CMBT</w:t>
            </w:r>
          </w:p>
        </w:tc>
        <w:tc>
          <w:tcPr>
            <w:tcW w:w="1072" w:type="dxa"/>
            <w:vAlign w:val="center"/>
          </w:tcPr>
          <w:p w14:paraId="0F0F01F8" w14:textId="77777777" w:rsidR="009864DB" w:rsidRPr="004D46AC" w:rsidRDefault="009864DB" w:rsidP="009864DB">
            <w:pPr>
              <w:spacing w:line="240" w:lineRule="auto"/>
              <w:ind w:firstLine="0"/>
              <w:rPr>
                <w:rFonts w:eastAsiaTheme="minorEastAsia"/>
                <w:i/>
                <w:iCs/>
              </w:rPr>
            </w:pPr>
            <w:r w:rsidRPr="004D46AC">
              <w:rPr>
                <w:rFonts w:eastAsiaTheme="minorEastAsia"/>
              </w:rPr>
              <w:t>38</w:t>
            </w:r>
          </w:p>
        </w:tc>
        <w:tc>
          <w:tcPr>
            <w:tcW w:w="1101" w:type="dxa"/>
            <w:vAlign w:val="center"/>
          </w:tcPr>
          <w:p w14:paraId="4DCB3134" w14:textId="77777777" w:rsidR="009864DB" w:rsidRPr="004D46AC" w:rsidRDefault="009864DB" w:rsidP="009864DB">
            <w:pPr>
              <w:spacing w:line="240" w:lineRule="auto"/>
              <w:ind w:firstLine="0"/>
              <w:rPr>
                <w:rFonts w:eastAsiaTheme="minorEastAsia"/>
                <w:i/>
                <w:iCs/>
              </w:rPr>
            </w:pPr>
            <w:r w:rsidRPr="004D46AC">
              <w:rPr>
                <w:rFonts w:eastAsiaTheme="minorEastAsia"/>
              </w:rPr>
              <w:t>3</w:t>
            </w:r>
          </w:p>
        </w:tc>
        <w:tc>
          <w:tcPr>
            <w:tcW w:w="1090" w:type="dxa"/>
            <w:vAlign w:val="center"/>
          </w:tcPr>
          <w:p w14:paraId="072B74E1"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292F9F2D"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22FA471C" w14:textId="77777777" w:rsidR="009864DB" w:rsidRPr="004D46AC" w:rsidRDefault="009864DB" w:rsidP="009864DB">
            <w:pPr>
              <w:spacing w:line="240" w:lineRule="auto"/>
              <w:ind w:firstLine="0"/>
              <w:rPr>
                <w:rFonts w:eastAsiaTheme="minorEastAsia"/>
                <w:i/>
                <w:iCs/>
              </w:rPr>
            </w:pPr>
            <w:r w:rsidRPr="004D46AC">
              <w:rPr>
                <w:rFonts w:eastAsiaTheme="minorEastAsia"/>
              </w:rPr>
              <w:t>any</w:t>
            </w:r>
          </w:p>
        </w:tc>
        <w:tc>
          <w:tcPr>
            <w:tcW w:w="1087" w:type="dxa"/>
            <w:vAlign w:val="center"/>
          </w:tcPr>
          <w:p w14:paraId="7686B4C4" w14:textId="77777777" w:rsidR="009864DB" w:rsidRPr="004D46AC" w:rsidRDefault="009864DB" w:rsidP="009864DB">
            <w:pPr>
              <w:spacing w:line="240" w:lineRule="auto"/>
              <w:ind w:firstLine="0"/>
              <w:rPr>
                <w:rFonts w:eastAsiaTheme="minorEastAsia"/>
                <w:i/>
                <w:iCs/>
              </w:rPr>
            </w:pPr>
            <w:r w:rsidRPr="004D46AC">
              <w:rPr>
                <w:rFonts w:eastAsiaTheme="minorEastAsia"/>
              </w:rPr>
              <w:t>28</w:t>
            </w:r>
          </w:p>
        </w:tc>
      </w:tr>
      <w:tr w:rsidR="009864DB" w:rsidRPr="004D46AC" w14:paraId="0245E71A" w14:textId="77777777" w:rsidTr="00B518F1">
        <w:trPr>
          <w:trHeight w:val="307"/>
        </w:trPr>
        <w:tc>
          <w:tcPr>
            <w:tcW w:w="1907" w:type="dxa"/>
          </w:tcPr>
          <w:p w14:paraId="10FA8D46"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r>
            <w:r w:rsidRPr="004D46AC">
              <w:rPr>
                <w:rFonts w:eastAsiaTheme="minorEastAsia"/>
                <w:i/>
                <w:iCs/>
              </w:rPr>
              <w:instrText xml:space="preserve"> ADDIN EN.CITE &lt;EndNote&gt;&lt;Cite AuthorYear="1"&gt;&lt;Author&gt;Abrams&lt;/Author&gt;&lt;Year&gt;1981&lt;/Year&gt;&lt;RecNum&gt;248&lt;/RecNum&gt;&lt;DisplayText&gt;Abrams and Taylor (1981)&lt;/DisplayText&gt;&lt;record&gt;&lt;rec-number&gt;248&lt;/rec-number&gt;&lt;foreign-keys&gt;&lt;key app="EN" db-id="aet009sstawa0hewvt3xwf5atffdw2dt02sw" timestamp="1666273817"&gt;248&lt;/key&gt;&lt;/foreign-keys&gt;&lt;ref-type name="Journal Article"&gt;17&lt;/ref-type&gt;&lt;contributors&gt;&lt;authors&gt;&lt;author&gt;Abrams, R.&lt;/author&gt;&lt;author&gt;Taylor, M. A.&lt;/author&gt;&lt;/authors&gt;&lt;/contributors&gt;&lt;titles&gt;&lt;title&gt;Importance of schizophrenic symptoms in the diagnosis of mania&lt;/title&gt;&lt;secondary-title&gt;Am J Psychiatry&lt;/secondary-title&gt;&lt;/titles&gt;&lt;periodical&gt;&lt;full-title&gt;Am J Psychiatry&lt;/full-title&gt;&lt;/periodical&gt;&lt;pages&gt;658-61&lt;/pages&gt;&lt;volume&gt;138&lt;/volume&gt;&lt;number&gt;5&lt;/number&gt;&lt;keywords&gt;&lt;keyword&gt;Affective Disorders, Psychotic/*diagnosis&lt;/keyword&gt;&lt;keyword&gt;Bipolar Disorder/*diagnosis&lt;/keyword&gt;&lt;keyword&gt;Diagnosis, Differential&lt;/keyword&gt;&lt;keyword&gt;Humans&lt;/keyword&gt;&lt;keyword&gt;Prognosis&lt;/keyword&gt;&lt;keyword&gt;Schizophrenia/diagnosis&lt;/keyword&gt;&lt;/keywords&gt;&lt;dates&gt;&lt;year&gt;1981&lt;/year&gt;&lt;pub-dates&gt;&lt;date&gt;May&lt;/date&gt;&lt;/pub-dates&gt;&lt;/dates&gt;&lt;isbn&gt;0002-953X (Print)&amp;#xD;0002-953X (Linking)&lt;/isbn&gt;&lt;accession-num&gt;7235064&lt;/accession-num&gt;&lt;urls&gt;&lt;related-urls&gt;&lt;url&gt;https://www.ncbi.nlm.nih.gov/pubmed/7235064&lt;/url&gt;&lt;/related-urls&gt;&lt;/urls&gt;&lt;electronic-resource-num&gt;10.1176/ajp.138.5.658&lt;/electronic-resource-num&gt;&lt;remote-database-name&gt;Medline&lt;/remote-database-name&gt;&lt;remote-database-provider&gt;NLM&lt;/remote-database-provider&gt;&lt;language&gt;eng&lt;/language&gt;&lt;/record&gt;&lt;/Cite&gt;&lt;/EndNote&gt;</w:instrText>
            </w:r>
            <w:r w:rsidRPr="004D46AC">
              <w:rPr>
                <w:rFonts w:eastAsiaTheme="minorEastAsia"/>
                <w:i/>
                <w:iCs/>
              </w:rPr>
              <w:fldChar w:fldCharType="separate"/>
            </w:r>
            <w:r w:rsidRPr="004D46AC">
              <w:rPr>
                <w:rFonts w:eastAsiaTheme="minorEastAsia"/>
                <w:i/>
                <w:iCs/>
              </w:rPr>
              <w:t>Abrams and Taylor (1981)</w:t>
            </w:r>
            <w:r w:rsidRPr="004D46AC">
              <w:rPr>
                <w:rFonts w:eastAsiaTheme="minorEastAsia"/>
              </w:rPr>
              <w:fldChar w:fldCharType="end"/>
            </w:r>
          </w:p>
        </w:tc>
        <w:tc>
          <w:tcPr>
            <w:tcW w:w="1118" w:type="dxa"/>
            <w:vAlign w:val="center"/>
          </w:tcPr>
          <w:p w14:paraId="770A79DD" w14:textId="77777777" w:rsidR="009864DB" w:rsidRPr="004D46AC" w:rsidRDefault="009864DB" w:rsidP="009864DB">
            <w:pPr>
              <w:spacing w:line="240" w:lineRule="auto"/>
              <w:ind w:firstLine="0"/>
              <w:rPr>
                <w:rFonts w:eastAsiaTheme="minorEastAsia"/>
                <w:i/>
                <w:iCs/>
              </w:rPr>
            </w:pPr>
            <w:r w:rsidRPr="004D46AC">
              <w:rPr>
                <w:rFonts w:eastAsiaTheme="minorEastAsia"/>
              </w:rPr>
              <w:t>6</w:t>
            </w:r>
          </w:p>
        </w:tc>
        <w:tc>
          <w:tcPr>
            <w:tcW w:w="1100" w:type="dxa"/>
            <w:vAlign w:val="center"/>
          </w:tcPr>
          <w:p w14:paraId="67F1FF68" w14:textId="77777777" w:rsidR="009864DB" w:rsidRPr="004D46AC" w:rsidRDefault="009864DB" w:rsidP="009864DB">
            <w:pPr>
              <w:spacing w:line="240" w:lineRule="auto"/>
              <w:ind w:firstLine="0"/>
              <w:rPr>
                <w:rFonts w:eastAsiaTheme="minorEastAsia"/>
                <w:i/>
                <w:iCs/>
              </w:rPr>
            </w:pPr>
            <w:r w:rsidRPr="004D46AC">
              <w:rPr>
                <w:rFonts w:eastAsiaTheme="minorEastAsia"/>
              </w:rPr>
              <w:t>40.32</w:t>
            </w:r>
          </w:p>
        </w:tc>
        <w:tc>
          <w:tcPr>
            <w:tcW w:w="1271" w:type="dxa"/>
            <w:vAlign w:val="center"/>
          </w:tcPr>
          <w:p w14:paraId="49E016D1"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feighner</w:t>
            </w:r>
            <w:proofErr w:type="spellEnd"/>
          </w:p>
        </w:tc>
        <w:tc>
          <w:tcPr>
            <w:tcW w:w="1945" w:type="dxa"/>
            <w:vAlign w:val="center"/>
          </w:tcPr>
          <w:p w14:paraId="34D82831" w14:textId="77777777" w:rsidR="009864DB" w:rsidRPr="004D46AC" w:rsidRDefault="009864DB" w:rsidP="009864DB">
            <w:pPr>
              <w:spacing w:line="240" w:lineRule="auto"/>
              <w:ind w:firstLine="0"/>
              <w:rPr>
                <w:rFonts w:eastAsiaTheme="minorEastAsia"/>
                <w:i/>
                <w:iCs/>
              </w:rPr>
            </w:pPr>
            <w:r w:rsidRPr="004D46AC">
              <w:rPr>
                <w:rFonts w:eastAsiaTheme="minorEastAsia"/>
              </w:rPr>
              <w:t>unclear</w:t>
            </w:r>
          </w:p>
        </w:tc>
        <w:tc>
          <w:tcPr>
            <w:tcW w:w="1072" w:type="dxa"/>
            <w:vAlign w:val="center"/>
          </w:tcPr>
          <w:p w14:paraId="638AB897" w14:textId="77777777" w:rsidR="009864DB" w:rsidRPr="004D46AC" w:rsidRDefault="009864DB" w:rsidP="009864DB">
            <w:pPr>
              <w:spacing w:line="240" w:lineRule="auto"/>
              <w:ind w:firstLine="0"/>
              <w:rPr>
                <w:rFonts w:eastAsiaTheme="minorEastAsia"/>
                <w:i/>
                <w:iCs/>
              </w:rPr>
            </w:pPr>
            <w:r w:rsidRPr="004D46AC">
              <w:rPr>
                <w:rFonts w:eastAsiaTheme="minorEastAsia"/>
              </w:rPr>
              <w:t>111</w:t>
            </w:r>
          </w:p>
        </w:tc>
        <w:tc>
          <w:tcPr>
            <w:tcW w:w="1101" w:type="dxa"/>
            <w:vAlign w:val="center"/>
          </w:tcPr>
          <w:p w14:paraId="5BD85C0F" w14:textId="77777777" w:rsidR="009864DB" w:rsidRPr="004D46AC" w:rsidRDefault="009864DB" w:rsidP="009864DB">
            <w:pPr>
              <w:spacing w:line="240" w:lineRule="auto"/>
              <w:ind w:firstLine="0"/>
              <w:rPr>
                <w:rFonts w:eastAsiaTheme="minorEastAsia"/>
                <w:i/>
                <w:iCs/>
              </w:rPr>
            </w:pPr>
            <w:r w:rsidRPr="004D46AC">
              <w:rPr>
                <w:rFonts w:eastAsiaTheme="minorEastAsia"/>
              </w:rPr>
              <w:t>3</w:t>
            </w:r>
          </w:p>
        </w:tc>
        <w:tc>
          <w:tcPr>
            <w:tcW w:w="1090" w:type="dxa"/>
            <w:vAlign w:val="center"/>
          </w:tcPr>
          <w:p w14:paraId="1650982C"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2CEA98F7"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3EFB126C"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ftd</w:t>
            </w:r>
            <w:proofErr w:type="spellEnd"/>
          </w:p>
        </w:tc>
        <w:tc>
          <w:tcPr>
            <w:tcW w:w="1087" w:type="dxa"/>
            <w:vAlign w:val="center"/>
          </w:tcPr>
          <w:p w14:paraId="40FE9925" w14:textId="77777777" w:rsidR="009864DB" w:rsidRPr="004D46AC" w:rsidRDefault="009864DB" w:rsidP="009864DB">
            <w:pPr>
              <w:spacing w:line="240" w:lineRule="auto"/>
              <w:ind w:firstLine="0"/>
              <w:rPr>
                <w:rFonts w:eastAsiaTheme="minorEastAsia"/>
                <w:i/>
                <w:iCs/>
              </w:rPr>
            </w:pPr>
            <w:r w:rsidRPr="004D46AC">
              <w:rPr>
                <w:rFonts w:eastAsiaTheme="minorEastAsia"/>
              </w:rPr>
              <w:t>9</w:t>
            </w:r>
          </w:p>
        </w:tc>
      </w:tr>
      <w:tr w:rsidR="009864DB" w:rsidRPr="004D46AC" w14:paraId="359D500D" w14:textId="77777777" w:rsidTr="00B518F1">
        <w:trPr>
          <w:trHeight w:val="300"/>
        </w:trPr>
        <w:tc>
          <w:tcPr>
            <w:tcW w:w="1907" w:type="dxa"/>
          </w:tcPr>
          <w:p w14:paraId="4EBF8EEF"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Stein et al. (2020)</w:t>
            </w:r>
            <w:r w:rsidRPr="004D46AC">
              <w:rPr>
                <w:rFonts w:eastAsiaTheme="minorEastAsia"/>
              </w:rPr>
              <w:fldChar w:fldCharType="end"/>
            </w:r>
          </w:p>
        </w:tc>
        <w:tc>
          <w:tcPr>
            <w:tcW w:w="1118" w:type="dxa"/>
            <w:vAlign w:val="center"/>
          </w:tcPr>
          <w:p w14:paraId="25DB5366" w14:textId="77777777" w:rsidR="009864DB" w:rsidRPr="004D46AC" w:rsidRDefault="009864DB" w:rsidP="009864DB">
            <w:pPr>
              <w:spacing w:line="240" w:lineRule="auto"/>
              <w:ind w:firstLine="0"/>
              <w:rPr>
                <w:rFonts w:eastAsiaTheme="minorEastAsia"/>
                <w:i/>
                <w:iCs/>
              </w:rPr>
            </w:pPr>
            <w:r w:rsidRPr="004D46AC">
              <w:rPr>
                <w:rFonts w:eastAsiaTheme="minorEastAsia"/>
              </w:rPr>
              <w:t>6</w:t>
            </w:r>
          </w:p>
        </w:tc>
        <w:tc>
          <w:tcPr>
            <w:tcW w:w="1100" w:type="dxa"/>
            <w:vAlign w:val="center"/>
          </w:tcPr>
          <w:p w14:paraId="6A1B4219" w14:textId="77777777" w:rsidR="009864DB" w:rsidRPr="004D46AC" w:rsidRDefault="009864DB" w:rsidP="009864DB">
            <w:pPr>
              <w:spacing w:line="240" w:lineRule="auto"/>
              <w:ind w:firstLine="0"/>
              <w:rPr>
                <w:rFonts w:eastAsiaTheme="minorEastAsia"/>
                <w:i/>
                <w:iCs/>
              </w:rPr>
            </w:pPr>
            <w:r w:rsidRPr="004D46AC">
              <w:rPr>
                <w:rFonts w:eastAsiaTheme="minorEastAsia"/>
              </w:rPr>
              <w:t>41.72</w:t>
            </w:r>
          </w:p>
        </w:tc>
        <w:tc>
          <w:tcPr>
            <w:tcW w:w="1271" w:type="dxa"/>
            <w:vAlign w:val="center"/>
          </w:tcPr>
          <w:p w14:paraId="32C3B550" w14:textId="77777777" w:rsidR="009864DB" w:rsidRPr="004D46AC" w:rsidRDefault="009864DB" w:rsidP="009864DB">
            <w:pPr>
              <w:spacing w:line="240" w:lineRule="auto"/>
              <w:ind w:firstLine="0"/>
              <w:rPr>
                <w:rFonts w:eastAsiaTheme="minorEastAsia"/>
                <w:i/>
                <w:iCs/>
              </w:rPr>
            </w:pPr>
            <w:r w:rsidRPr="004D46AC">
              <w:rPr>
                <w:rFonts w:eastAsiaTheme="minorEastAsia"/>
              </w:rPr>
              <w:t>DSM4</w:t>
            </w:r>
          </w:p>
        </w:tc>
        <w:tc>
          <w:tcPr>
            <w:tcW w:w="1945" w:type="dxa"/>
            <w:vAlign w:val="center"/>
          </w:tcPr>
          <w:p w14:paraId="190F9E0C" w14:textId="77777777" w:rsidR="009864DB" w:rsidRPr="004D46AC" w:rsidRDefault="009864DB" w:rsidP="009864DB">
            <w:pPr>
              <w:spacing w:line="240" w:lineRule="auto"/>
              <w:ind w:firstLine="0"/>
              <w:rPr>
                <w:rFonts w:eastAsiaTheme="minorEastAsia"/>
                <w:i/>
                <w:iCs/>
              </w:rPr>
            </w:pPr>
            <w:r w:rsidRPr="004D46AC">
              <w:rPr>
                <w:rFonts w:eastAsiaTheme="minorEastAsia"/>
              </w:rPr>
              <w:t>SAPS</w:t>
            </w:r>
          </w:p>
        </w:tc>
        <w:tc>
          <w:tcPr>
            <w:tcW w:w="1072" w:type="dxa"/>
            <w:vAlign w:val="center"/>
          </w:tcPr>
          <w:p w14:paraId="072EFFFD" w14:textId="77777777" w:rsidR="009864DB" w:rsidRPr="004D46AC" w:rsidRDefault="009864DB" w:rsidP="009864DB">
            <w:pPr>
              <w:spacing w:line="240" w:lineRule="auto"/>
              <w:ind w:firstLine="0"/>
              <w:rPr>
                <w:rFonts w:eastAsiaTheme="minorEastAsia"/>
                <w:i/>
                <w:iCs/>
              </w:rPr>
            </w:pPr>
            <w:r w:rsidRPr="004D46AC">
              <w:rPr>
                <w:rFonts w:eastAsiaTheme="minorEastAsia"/>
              </w:rPr>
              <w:t>151</w:t>
            </w:r>
          </w:p>
        </w:tc>
        <w:tc>
          <w:tcPr>
            <w:tcW w:w="1101" w:type="dxa"/>
            <w:vAlign w:val="center"/>
          </w:tcPr>
          <w:p w14:paraId="311F4748"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90" w:type="dxa"/>
            <w:vAlign w:val="center"/>
          </w:tcPr>
          <w:p w14:paraId="17FE5BBE" w14:textId="77777777" w:rsidR="009864DB" w:rsidRPr="004D46AC" w:rsidRDefault="009864DB" w:rsidP="009864DB">
            <w:pPr>
              <w:spacing w:line="240" w:lineRule="auto"/>
              <w:ind w:firstLine="0"/>
              <w:rPr>
                <w:rFonts w:eastAsiaTheme="minorEastAsia"/>
                <w:i/>
                <w:iCs/>
              </w:rPr>
            </w:pPr>
            <w:r w:rsidRPr="004D46AC">
              <w:rPr>
                <w:rFonts w:eastAsiaTheme="minorEastAsia"/>
              </w:rPr>
              <w:t>1</w:t>
            </w:r>
          </w:p>
        </w:tc>
        <w:tc>
          <w:tcPr>
            <w:tcW w:w="1086" w:type="dxa"/>
          </w:tcPr>
          <w:p w14:paraId="14123F8C"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1B1CA831"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pftd</w:t>
            </w:r>
            <w:proofErr w:type="spellEnd"/>
          </w:p>
        </w:tc>
        <w:tc>
          <w:tcPr>
            <w:tcW w:w="1087" w:type="dxa"/>
            <w:vAlign w:val="center"/>
          </w:tcPr>
          <w:p w14:paraId="356D1A78" w14:textId="77777777" w:rsidR="009864DB" w:rsidRPr="004D46AC" w:rsidRDefault="009864DB" w:rsidP="009864DB">
            <w:pPr>
              <w:spacing w:line="240" w:lineRule="auto"/>
              <w:ind w:firstLine="0"/>
              <w:rPr>
                <w:rFonts w:eastAsiaTheme="minorEastAsia"/>
                <w:i/>
                <w:iCs/>
              </w:rPr>
            </w:pPr>
            <w:r w:rsidRPr="004D46AC">
              <w:rPr>
                <w:rFonts w:eastAsiaTheme="minorEastAsia"/>
              </w:rPr>
              <w:t>62</w:t>
            </w:r>
          </w:p>
        </w:tc>
      </w:tr>
      <w:tr w:rsidR="009864DB" w:rsidRPr="004D46AC" w14:paraId="5720C9E7" w14:textId="77777777" w:rsidTr="00B518F1">
        <w:trPr>
          <w:trHeight w:val="300"/>
        </w:trPr>
        <w:tc>
          <w:tcPr>
            <w:tcW w:w="1907" w:type="dxa"/>
          </w:tcPr>
          <w:p w14:paraId="6F14D01F"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PEVuZE5vdGU+PENpdGUgQXV0aG9yWWVhcj0iMSI+PEF1dGhvcj5SZWluaW5naGF1czwvQXV0aG9y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PEVuZE5vdGU+PENpdGUgQXV0aG9yWWVhcj0iMSI+PEF1dGhvcj5SZWluaW5naGF1czwvQXV0aG9y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=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Reininghaus et al. (2016)</w:t>
            </w:r>
            <w:r w:rsidRPr="004D46AC">
              <w:rPr>
                <w:rFonts w:eastAsiaTheme="minorEastAsia"/>
              </w:rPr>
              <w:fldChar w:fldCharType="end"/>
            </w:r>
          </w:p>
        </w:tc>
        <w:tc>
          <w:tcPr>
            <w:tcW w:w="1118" w:type="dxa"/>
            <w:vAlign w:val="center"/>
          </w:tcPr>
          <w:p w14:paraId="0C812775" w14:textId="77777777" w:rsidR="009864DB" w:rsidRPr="004D46AC" w:rsidRDefault="009864DB" w:rsidP="009864DB">
            <w:pPr>
              <w:spacing w:line="240" w:lineRule="auto"/>
              <w:ind w:firstLine="0"/>
              <w:rPr>
                <w:rFonts w:eastAsiaTheme="minorEastAsia"/>
                <w:i/>
                <w:iCs/>
              </w:rPr>
            </w:pPr>
            <w:r w:rsidRPr="004D46AC">
              <w:rPr>
                <w:rFonts w:eastAsiaTheme="minorEastAsia"/>
              </w:rPr>
              <w:t>7</w:t>
            </w:r>
          </w:p>
        </w:tc>
        <w:tc>
          <w:tcPr>
            <w:tcW w:w="1100" w:type="dxa"/>
            <w:vAlign w:val="center"/>
          </w:tcPr>
          <w:p w14:paraId="51D36016" w14:textId="77777777" w:rsidR="009864DB" w:rsidRPr="004D46AC" w:rsidRDefault="009864DB" w:rsidP="009864DB">
            <w:pPr>
              <w:spacing w:line="240" w:lineRule="auto"/>
              <w:ind w:firstLine="0"/>
              <w:rPr>
                <w:rFonts w:eastAsiaTheme="minorEastAsia"/>
                <w:i/>
                <w:iCs/>
              </w:rPr>
            </w:pPr>
            <w:r w:rsidRPr="004D46AC">
              <w:rPr>
                <w:rFonts w:eastAsiaTheme="minorEastAsia"/>
              </w:rPr>
              <w:t>48</w:t>
            </w:r>
          </w:p>
        </w:tc>
        <w:tc>
          <w:tcPr>
            <w:tcW w:w="1271" w:type="dxa"/>
            <w:vAlign w:val="center"/>
          </w:tcPr>
          <w:p w14:paraId="351A08C1" w14:textId="77777777" w:rsidR="009864DB" w:rsidRPr="004D46AC" w:rsidRDefault="009864DB" w:rsidP="009864DB">
            <w:pPr>
              <w:spacing w:line="240" w:lineRule="auto"/>
              <w:ind w:firstLine="0"/>
              <w:rPr>
                <w:rFonts w:eastAsiaTheme="minorEastAsia"/>
                <w:i/>
                <w:iCs/>
              </w:rPr>
            </w:pPr>
            <w:r w:rsidRPr="004D46AC">
              <w:rPr>
                <w:rFonts w:eastAsiaTheme="minorEastAsia"/>
              </w:rPr>
              <w:t>RDC</w:t>
            </w:r>
          </w:p>
        </w:tc>
        <w:tc>
          <w:tcPr>
            <w:tcW w:w="1945" w:type="dxa"/>
            <w:vAlign w:val="center"/>
          </w:tcPr>
          <w:p w14:paraId="42CEA902" w14:textId="77777777" w:rsidR="009864DB" w:rsidRPr="004D46AC" w:rsidRDefault="009864DB" w:rsidP="009864DB">
            <w:pPr>
              <w:spacing w:line="240" w:lineRule="auto"/>
              <w:ind w:firstLine="0"/>
              <w:rPr>
                <w:rFonts w:eastAsiaTheme="minorEastAsia"/>
                <w:i/>
                <w:iCs/>
              </w:rPr>
            </w:pPr>
            <w:r w:rsidRPr="004D46AC">
              <w:rPr>
                <w:rFonts w:eastAsiaTheme="minorEastAsia"/>
              </w:rPr>
              <w:t>OPCRIT</w:t>
            </w:r>
          </w:p>
        </w:tc>
        <w:tc>
          <w:tcPr>
            <w:tcW w:w="1072" w:type="dxa"/>
            <w:vAlign w:val="center"/>
          </w:tcPr>
          <w:p w14:paraId="0D3683DA" w14:textId="77777777" w:rsidR="009864DB" w:rsidRPr="004D46AC" w:rsidRDefault="009864DB" w:rsidP="009864DB">
            <w:pPr>
              <w:spacing w:line="240" w:lineRule="auto"/>
              <w:ind w:firstLine="0"/>
              <w:rPr>
                <w:rFonts w:eastAsiaTheme="minorEastAsia"/>
                <w:i/>
                <w:iCs/>
              </w:rPr>
            </w:pPr>
            <w:r w:rsidRPr="004D46AC">
              <w:rPr>
                <w:rFonts w:eastAsiaTheme="minorEastAsia"/>
              </w:rPr>
              <w:t>477</w:t>
            </w:r>
          </w:p>
        </w:tc>
        <w:tc>
          <w:tcPr>
            <w:tcW w:w="1101" w:type="dxa"/>
            <w:vAlign w:val="center"/>
          </w:tcPr>
          <w:p w14:paraId="7F6CF8AA"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90" w:type="dxa"/>
            <w:vAlign w:val="center"/>
          </w:tcPr>
          <w:p w14:paraId="128C93FC" w14:textId="77777777" w:rsidR="009864DB" w:rsidRPr="004D46AC" w:rsidRDefault="009864DB" w:rsidP="009864DB">
            <w:pPr>
              <w:spacing w:line="240" w:lineRule="auto"/>
              <w:ind w:firstLine="0"/>
              <w:rPr>
                <w:rFonts w:eastAsiaTheme="minorEastAsia"/>
                <w:i/>
                <w:iCs/>
              </w:rPr>
            </w:pPr>
            <w:r w:rsidRPr="004D46AC">
              <w:rPr>
                <w:rFonts w:eastAsiaTheme="minorEastAsia"/>
              </w:rPr>
              <w:t>1</w:t>
            </w:r>
          </w:p>
        </w:tc>
        <w:tc>
          <w:tcPr>
            <w:tcW w:w="1086" w:type="dxa"/>
          </w:tcPr>
          <w:p w14:paraId="3615F8B3"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03F2AFD1"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pftd</w:t>
            </w:r>
            <w:proofErr w:type="spellEnd"/>
          </w:p>
        </w:tc>
        <w:tc>
          <w:tcPr>
            <w:tcW w:w="1087" w:type="dxa"/>
            <w:vAlign w:val="center"/>
          </w:tcPr>
          <w:p w14:paraId="104F8EAA" w14:textId="77777777" w:rsidR="009864DB" w:rsidRPr="004D46AC" w:rsidRDefault="009864DB" w:rsidP="009864DB">
            <w:pPr>
              <w:spacing w:line="240" w:lineRule="auto"/>
              <w:ind w:firstLine="0"/>
              <w:rPr>
                <w:rFonts w:eastAsiaTheme="minorEastAsia"/>
                <w:i/>
                <w:iCs/>
              </w:rPr>
            </w:pPr>
            <w:r w:rsidRPr="004D46AC">
              <w:rPr>
                <w:rFonts w:eastAsiaTheme="minorEastAsia"/>
              </w:rPr>
              <w:t>0</w:t>
            </w:r>
          </w:p>
        </w:tc>
      </w:tr>
      <w:tr w:rsidR="009864DB" w:rsidRPr="004D46AC" w14:paraId="5BB64165" w14:textId="77777777" w:rsidTr="00B518F1">
        <w:trPr>
          <w:trHeight w:val="307"/>
        </w:trPr>
        <w:tc>
          <w:tcPr>
            <w:tcW w:w="1907" w:type="dxa"/>
          </w:tcPr>
          <w:p w14:paraId="1FEE7AF6"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r>
            <w:r w:rsidRPr="004D46AC">
              <w:rPr>
                <w:rFonts w:eastAsiaTheme="minorEastAsia"/>
                <w:i/>
                <w:iCs/>
              </w:rPr>
              <w:instrText xml:space="preserve"> ADDIN EN.CITE &lt;EndNote&gt;&lt;Cite AuthorYear="1"&gt;&lt;Author&gt;Taylor&lt;/Author&gt;&lt;Year&gt;1994&lt;/Year&gt;&lt;RecNum&gt;297&lt;/RecNum&gt;&lt;DisplayText&gt;Taylor et al. (1994)&lt;/DisplayText&gt;&lt;record&gt;&lt;rec-number&gt;297&lt;/rec-number&gt;&lt;foreign-keys&gt;&lt;key app="EN" db-id="aet009sstawa0hewvt3xwf5atffdw2dt02sw" timestamp="1666455801"&gt;297&lt;/key&gt;&lt;/foreign-keys&gt;&lt;ref-type name="Journal Article"&gt;17&lt;/ref-type&gt;&lt;contributors&gt;&lt;authors&gt;&lt;author&gt;Taylor, M. A.&lt;/author&gt;&lt;author&gt;Reed, R.&lt;/author&gt;&lt;author&gt;Berenbaum, S.&lt;/author&gt;&lt;/authors&gt;&lt;/contributors&gt;&lt;auth-address&gt;Department of Psychiatry, Finch University of Health Sciences, Chicago Medical School, Illinois 60064.&lt;/auth-address&gt;&lt;titles&gt;&lt;title&gt;Patterns of speech disorders in schizophrenia and mania&lt;/title&gt;&lt;secondary-title&gt;J Nerv Ment Dis&lt;/secondary-title&gt;&lt;/titles&gt;&lt;periodical&gt;&lt;full-title&gt;J Nerv Ment Dis&lt;/full-title&gt;&lt;/periodical&gt;&lt;pages&gt;319-26&lt;/pages&gt;&lt;volume&gt;182&lt;/volume&gt;&lt;number&gt;6&lt;/number&gt;&lt;keywords&gt;&lt;keyword&gt;Adolescent&lt;/keyword&gt;&lt;keyword&gt;Adult&lt;/keyword&gt;&lt;keyword&gt;Affect&lt;/keyword&gt;&lt;keyword&gt;Bipolar Disorder/classification/*diagnosis/psychology&lt;/keyword&gt;&lt;keyword&gt;Diagnosis, Differential&lt;/keyword&gt;&lt;keyword&gt;Factor Analysis, Statistical&lt;/keyword&gt;&lt;keyword&gt;Humans&lt;/keyword&gt;&lt;keyword&gt;Male&lt;/keyword&gt;&lt;keyword&gt;Middle Aged&lt;/keyword&gt;&lt;keyword&gt;Psychiatric Status Rating Scales&lt;/keyword&gt;&lt;keyword&gt;Psychotic Disorders/classification/diagnosis/psychology&lt;/keyword&gt;&lt;keyword&gt;Schizophrenia/classification/*diagnosis&lt;/keyword&gt;&lt;keyword&gt;Schizophrenic Language&lt;/keyword&gt;&lt;keyword&gt;*Schizophrenic Psychology&lt;/keyword&gt;&lt;keyword&gt;Speech Disorders/classification/*diagnosis/psychology&lt;/keyword&gt;&lt;/keywords&gt;&lt;dates&gt;&lt;year&gt;1994&lt;/year&gt;&lt;pub-dates&gt;&lt;date&gt;Jun&lt;/date&gt;&lt;/pub-dates&gt;&lt;/dates&gt;&lt;isbn&gt;0022-3018 (Print)&amp;#xD;0022-3018 (Linking)&lt;/isbn&gt;&lt;accession-num&gt;8201303&lt;/accession-num&gt;&lt;urls&gt;&lt;related-urls&gt;&lt;url&gt;https://www.ncbi.nlm.nih.gov/pubmed/8201303&lt;/url&gt;&lt;/related-urls&gt;&lt;/urls&gt;&lt;electronic-resource-num&gt;10.1097/00005053-199406000-00002&lt;/electronic-resource-num&gt;&lt;remote-database-name&gt;Medline&lt;/remote-database-name&gt;&lt;remote-database-provider&gt;NLM&lt;/remote-database-provider&gt;&lt;language&gt;eng&lt;/language&gt;&lt;/record&gt;&lt;/Cite&gt;&lt;/EndNote&gt;</w:instrText>
            </w:r>
            <w:r w:rsidRPr="004D46AC">
              <w:rPr>
                <w:rFonts w:eastAsiaTheme="minorEastAsia"/>
                <w:i/>
                <w:iCs/>
              </w:rPr>
              <w:fldChar w:fldCharType="separate"/>
            </w:r>
            <w:r w:rsidRPr="004D46AC">
              <w:rPr>
                <w:rFonts w:eastAsiaTheme="minorEastAsia"/>
                <w:i/>
                <w:iCs/>
              </w:rPr>
              <w:t>Taylor et al. (1994)</w:t>
            </w:r>
            <w:r w:rsidRPr="004D46AC">
              <w:rPr>
                <w:rFonts w:eastAsiaTheme="minorEastAsia"/>
              </w:rPr>
              <w:fldChar w:fldCharType="end"/>
            </w:r>
          </w:p>
        </w:tc>
        <w:tc>
          <w:tcPr>
            <w:tcW w:w="1118" w:type="dxa"/>
            <w:vAlign w:val="center"/>
          </w:tcPr>
          <w:p w14:paraId="1AEFF341" w14:textId="77777777" w:rsidR="009864DB" w:rsidRPr="004D46AC" w:rsidRDefault="009864DB" w:rsidP="009864DB">
            <w:pPr>
              <w:spacing w:line="240" w:lineRule="auto"/>
              <w:ind w:firstLine="0"/>
              <w:rPr>
                <w:rFonts w:eastAsiaTheme="minorEastAsia"/>
                <w:i/>
                <w:iCs/>
              </w:rPr>
            </w:pPr>
            <w:r w:rsidRPr="004D46AC">
              <w:rPr>
                <w:rFonts w:eastAsiaTheme="minorEastAsia"/>
              </w:rPr>
              <w:t>5</w:t>
            </w:r>
          </w:p>
        </w:tc>
        <w:tc>
          <w:tcPr>
            <w:tcW w:w="1100" w:type="dxa"/>
            <w:vAlign w:val="center"/>
          </w:tcPr>
          <w:p w14:paraId="0253CDD3" w14:textId="77777777" w:rsidR="009864DB" w:rsidRPr="004D46AC" w:rsidRDefault="009864DB" w:rsidP="009864DB">
            <w:pPr>
              <w:spacing w:line="240" w:lineRule="auto"/>
              <w:ind w:firstLine="0"/>
              <w:rPr>
                <w:rFonts w:eastAsiaTheme="minorEastAsia"/>
                <w:i/>
                <w:iCs/>
              </w:rPr>
            </w:pPr>
            <w:r w:rsidRPr="004D46AC">
              <w:rPr>
                <w:rFonts w:eastAsiaTheme="minorEastAsia"/>
              </w:rPr>
              <w:t>55.27</w:t>
            </w:r>
          </w:p>
        </w:tc>
        <w:tc>
          <w:tcPr>
            <w:tcW w:w="1271" w:type="dxa"/>
            <w:vAlign w:val="center"/>
          </w:tcPr>
          <w:p w14:paraId="640BB685" w14:textId="77777777" w:rsidR="009864DB" w:rsidRPr="004D46AC" w:rsidRDefault="009864DB" w:rsidP="009864DB">
            <w:pPr>
              <w:spacing w:line="240" w:lineRule="auto"/>
              <w:ind w:firstLine="0"/>
              <w:rPr>
                <w:rFonts w:eastAsiaTheme="minorEastAsia"/>
                <w:i/>
                <w:iCs/>
              </w:rPr>
            </w:pPr>
            <w:r w:rsidRPr="004D46AC">
              <w:rPr>
                <w:rFonts w:eastAsiaTheme="minorEastAsia"/>
              </w:rPr>
              <w:t>DSM3</w:t>
            </w:r>
          </w:p>
        </w:tc>
        <w:tc>
          <w:tcPr>
            <w:tcW w:w="1945" w:type="dxa"/>
            <w:vAlign w:val="center"/>
          </w:tcPr>
          <w:p w14:paraId="3066063A" w14:textId="77777777" w:rsidR="009864DB" w:rsidRPr="004D46AC" w:rsidRDefault="009864DB" w:rsidP="009864DB">
            <w:pPr>
              <w:spacing w:line="240" w:lineRule="auto"/>
              <w:ind w:firstLine="0"/>
              <w:rPr>
                <w:rFonts w:eastAsiaTheme="minorEastAsia"/>
                <w:i/>
                <w:iCs/>
              </w:rPr>
            </w:pPr>
            <w:r w:rsidRPr="004D46AC">
              <w:rPr>
                <w:rFonts w:eastAsiaTheme="minorEastAsia"/>
              </w:rPr>
              <w:t>mixed</w:t>
            </w:r>
          </w:p>
        </w:tc>
        <w:tc>
          <w:tcPr>
            <w:tcW w:w="1072" w:type="dxa"/>
            <w:vAlign w:val="center"/>
          </w:tcPr>
          <w:p w14:paraId="5509BDDB" w14:textId="77777777" w:rsidR="009864DB" w:rsidRPr="004D46AC" w:rsidRDefault="009864DB" w:rsidP="009864DB">
            <w:pPr>
              <w:spacing w:line="240" w:lineRule="auto"/>
              <w:ind w:firstLine="0"/>
              <w:rPr>
                <w:rFonts w:eastAsiaTheme="minorEastAsia"/>
                <w:i/>
                <w:iCs/>
              </w:rPr>
            </w:pPr>
            <w:r w:rsidRPr="004D46AC">
              <w:rPr>
                <w:rFonts w:eastAsiaTheme="minorEastAsia"/>
              </w:rPr>
              <w:t>62</w:t>
            </w:r>
          </w:p>
        </w:tc>
        <w:tc>
          <w:tcPr>
            <w:tcW w:w="1101" w:type="dxa"/>
            <w:vAlign w:val="center"/>
          </w:tcPr>
          <w:p w14:paraId="71C54BC7" w14:textId="77777777" w:rsidR="009864DB" w:rsidRPr="004D46AC" w:rsidRDefault="009864DB" w:rsidP="009864DB">
            <w:pPr>
              <w:spacing w:line="240" w:lineRule="auto"/>
              <w:ind w:firstLine="0"/>
              <w:rPr>
                <w:rFonts w:eastAsiaTheme="minorEastAsia"/>
                <w:i/>
                <w:iCs/>
              </w:rPr>
            </w:pPr>
            <w:r w:rsidRPr="004D46AC">
              <w:rPr>
                <w:rFonts w:eastAsiaTheme="minorEastAsia"/>
              </w:rPr>
              <w:t>unclear</w:t>
            </w:r>
          </w:p>
        </w:tc>
        <w:tc>
          <w:tcPr>
            <w:tcW w:w="1090" w:type="dxa"/>
            <w:vAlign w:val="center"/>
          </w:tcPr>
          <w:p w14:paraId="38F90D9A"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458B8D9C"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15C46A26"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ftd</w:t>
            </w:r>
            <w:proofErr w:type="spellEnd"/>
          </w:p>
        </w:tc>
        <w:tc>
          <w:tcPr>
            <w:tcW w:w="1087" w:type="dxa"/>
            <w:vAlign w:val="center"/>
          </w:tcPr>
          <w:p w14:paraId="2B28EA6E" w14:textId="77777777" w:rsidR="009864DB" w:rsidRPr="004D46AC" w:rsidRDefault="009864DB" w:rsidP="009864DB">
            <w:pPr>
              <w:spacing w:line="240" w:lineRule="auto"/>
              <w:ind w:firstLine="0"/>
              <w:rPr>
                <w:rFonts w:eastAsiaTheme="minorEastAsia"/>
                <w:i/>
                <w:iCs/>
              </w:rPr>
            </w:pPr>
            <w:r w:rsidRPr="004D46AC">
              <w:rPr>
                <w:rFonts w:eastAsiaTheme="minorEastAsia"/>
              </w:rPr>
              <w:t>4</w:t>
            </w:r>
          </w:p>
        </w:tc>
      </w:tr>
      <w:tr w:rsidR="009864DB" w:rsidRPr="004D46AC" w14:paraId="30CD2043" w14:textId="77777777" w:rsidTr="00B518F1">
        <w:trPr>
          <w:trHeight w:val="300"/>
        </w:trPr>
        <w:tc>
          <w:tcPr>
            <w:tcW w:w="1907" w:type="dxa"/>
          </w:tcPr>
          <w:p w14:paraId="79F7ABCF"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PEVuZE5vdGU+PENpdGUgQXV0aG9yWWVhcj0iMSI+PEF1dGhvcj5Ub29tZXk8L0F1dGhvcj48WWVh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PEVuZE5vdGU+PENpdGUgQXV0aG9yWWVhcj0iMSI+PEF1dGhvcj5Ub29tZXk8L0F1dGhvcj48WWVh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Toomey et al. (1998)</w:t>
            </w:r>
            <w:r w:rsidRPr="004D46AC">
              <w:rPr>
                <w:rFonts w:eastAsiaTheme="minorEastAsia"/>
              </w:rPr>
              <w:fldChar w:fldCharType="end"/>
            </w:r>
          </w:p>
        </w:tc>
        <w:tc>
          <w:tcPr>
            <w:tcW w:w="1118" w:type="dxa"/>
            <w:vAlign w:val="center"/>
          </w:tcPr>
          <w:p w14:paraId="2D872886" w14:textId="77777777" w:rsidR="009864DB" w:rsidRPr="004D46AC" w:rsidRDefault="009864DB" w:rsidP="009864DB">
            <w:pPr>
              <w:spacing w:line="240" w:lineRule="auto"/>
              <w:ind w:firstLine="0"/>
              <w:rPr>
                <w:rFonts w:eastAsiaTheme="minorEastAsia"/>
                <w:i/>
                <w:iCs/>
              </w:rPr>
            </w:pPr>
            <w:r w:rsidRPr="004D46AC">
              <w:rPr>
                <w:rFonts w:eastAsiaTheme="minorEastAsia"/>
              </w:rPr>
              <w:t>6</w:t>
            </w:r>
          </w:p>
        </w:tc>
        <w:tc>
          <w:tcPr>
            <w:tcW w:w="1100" w:type="dxa"/>
            <w:vAlign w:val="center"/>
          </w:tcPr>
          <w:p w14:paraId="352A6E21" w14:textId="77777777" w:rsidR="009864DB" w:rsidRPr="004D46AC" w:rsidRDefault="009864DB" w:rsidP="009864DB">
            <w:pPr>
              <w:spacing w:line="240" w:lineRule="auto"/>
              <w:ind w:firstLine="0"/>
              <w:rPr>
                <w:rFonts w:eastAsiaTheme="minorEastAsia"/>
                <w:i/>
                <w:iCs/>
              </w:rPr>
            </w:pPr>
            <w:r w:rsidRPr="004D46AC">
              <w:rPr>
                <w:rFonts w:eastAsiaTheme="minorEastAsia"/>
              </w:rPr>
              <w:t>47.7</w:t>
            </w:r>
          </w:p>
        </w:tc>
        <w:tc>
          <w:tcPr>
            <w:tcW w:w="1271" w:type="dxa"/>
            <w:vAlign w:val="center"/>
          </w:tcPr>
          <w:p w14:paraId="37CFAC79" w14:textId="77777777" w:rsidR="009864DB" w:rsidRPr="004D46AC" w:rsidRDefault="009864DB" w:rsidP="009864DB">
            <w:pPr>
              <w:spacing w:line="240" w:lineRule="auto"/>
              <w:ind w:firstLine="0"/>
              <w:rPr>
                <w:rFonts w:eastAsiaTheme="minorEastAsia"/>
                <w:i/>
                <w:iCs/>
              </w:rPr>
            </w:pPr>
            <w:r w:rsidRPr="004D46AC">
              <w:rPr>
                <w:rFonts w:eastAsiaTheme="minorEastAsia"/>
              </w:rPr>
              <w:t>unclear</w:t>
            </w:r>
          </w:p>
        </w:tc>
        <w:tc>
          <w:tcPr>
            <w:tcW w:w="1945" w:type="dxa"/>
            <w:vAlign w:val="center"/>
          </w:tcPr>
          <w:p w14:paraId="3518788C" w14:textId="77777777" w:rsidR="009864DB" w:rsidRPr="004D46AC" w:rsidRDefault="009864DB" w:rsidP="009864DB">
            <w:pPr>
              <w:spacing w:line="240" w:lineRule="auto"/>
              <w:ind w:firstLine="0"/>
              <w:rPr>
                <w:rFonts w:eastAsiaTheme="minorEastAsia"/>
                <w:i/>
                <w:iCs/>
              </w:rPr>
            </w:pPr>
            <w:r w:rsidRPr="004D46AC">
              <w:rPr>
                <w:rFonts w:eastAsiaTheme="minorEastAsia"/>
              </w:rPr>
              <w:t>SADS</w:t>
            </w:r>
          </w:p>
        </w:tc>
        <w:tc>
          <w:tcPr>
            <w:tcW w:w="1072" w:type="dxa"/>
            <w:vAlign w:val="center"/>
          </w:tcPr>
          <w:p w14:paraId="06D55D7E" w14:textId="77777777" w:rsidR="009864DB" w:rsidRPr="004D46AC" w:rsidRDefault="009864DB" w:rsidP="009864DB">
            <w:pPr>
              <w:spacing w:line="240" w:lineRule="auto"/>
              <w:ind w:firstLine="0"/>
              <w:rPr>
                <w:rFonts w:eastAsiaTheme="minorEastAsia"/>
                <w:i/>
                <w:iCs/>
              </w:rPr>
            </w:pPr>
            <w:r w:rsidRPr="004D46AC">
              <w:rPr>
                <w:rFonts w:eastAsiaTheme="minorEastAsia"/>
              </w:rPr>
              <w:t>58</w:t>
            </w:r>
          </w:p>
        </w:tc>
        <w:tc>
          <w:tcPr>
            <w:tcW w:w="1101" w:type="dxa"/>
            <w:vAlign w:val="center"/>
          </w:tcPr>
          <w:p w14:paraId="42705AF4"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90" w:type="dxa"/>
            <w:vAlign w:val="center"/>
          </w:tcPr>
          <w:p w14:paraId="6B5E149C" w14:textId="77777777" w:rsidR="009864DB" w:rsidRPr="004D46AC" w:rsidRDefault="009864DB" w:rsidP="009864DB">
            <w:pPr>
              <w:spacing w:line="240" w:lineRule="auto"/>
              <w:ind w:firstLine="0"/>
              <w:rPr>
                <w:rFonts w:eastAsiaTheme="minorEastAsia"/>
                <w:i/>
                <w:iCs/>
              </w:rPr>
            </w:pPr>
            <w:r w:rsidRPr="004D46AC">
              <w:rPr>
                <w:rFonts w:eastAsiaTheme="minorEastAsia"/>
              </w:rPr>
              <w:t>3</w:t>
            </w:r>
          </w:p>
        </w:tc>
        <w:tc>
          <w:tcPr>
            <w:tcW w:w="1086" w:type="dxa"/>
          </w:tcPr>
          <w:p w14:paraId="134999F0" w14:textId="77777777" w:rsidR="009864DB" w:rsidRPr="004D46AC" w:rsidRDefault="009864DB" w:rsidP="009864DB">
            <w:pPr>
              <w:spacing w:line="240" w:lineRule="auto"/>
              <w:ind w:firstLine="0"/>
              <w:rPr>
                <w:rFonts w:eastAsiaTheme="minorEastAsia"/>
                <w:i/>
                <w:iCs/>
              </w:rPr>
            </w:pPr>
            <w:r w:rsidRPr="004D46AC">
              <w:rPr>
                <w:rFonts w:eastAsiaTheme="minorEastAsia"/>
                <w:i/>
                <w:iCs/>
              </w:rPr>
              <w:t>0</w:t>
            </w:r>
          </w:p>
        </w:tc>
        <w:tc>
          <w:tcPr>
            <w:tcW w:w="1171" w:type="dxa"/>
            <w:vAlign w:val="center"/>
          </w:tcPr>
          <w:p w14:paraId="09A34A02" w14:textId="77777777" w:rsidR="009864DB" w:rsidRPr="004D46AC" w:rsidRDefault="009864DB" w:rsidP="009864DB">
            <w:pPr>
              <w:spacing w:line="240" w:lineRule="auto"/>
              <w:ind w:firstLine="0"/>
              <w:rPr>
                <w:rFonts w:eastAsiaTheme="minorEastAsia"/>
                <w:i/>
                <w:iCs/>
              </w:rPr>
            </w:pPr>
            <w:r w:rsidRPr="004D46AC">
              <w:rPr>
                <w:rFonts w:eastAsiaTheme="minorEastAsia"/>
              </w:rPr>
              <w:t>any</w:t>
            </w:r>
          </w:p>
        </w:tc>
        <w:tc>
          <w:tcPr>
            <w:tcW w:w="1087" w:type="dxa"/>
            <w:vAlign w:val="center"/>
          </w:tcPr>
          <w:p w14:paraId="585ADC95" w14:textId="77777777" w:rsidR="009864DB" w:rsidRPr="004D46AC" w:rsidRDefault="009864DB" w:rsidP="009864DB">
            <w:pPr>
              <w:spacing w:line="240" w:lineRule="auto"/>
              <w:ind w:firstLine="0"/>
              <w:rPr>
                <w:rFonts w:eastAsiaTheme="minorEastAsia"/>
                <w:i/>
                <w:iCs/>
              </w:rPr>
            </w:pPr>
            <w:r w:rsidRPr="004D46AC">
              <w:rPr>
                <w:rFonts w:eastAsiaTheme="minorEastAsia"/>
              </w:rPr>
              <w:t>20</w:t>
            </w:r>
          </w:p>
        </w:tc>
      </w:tr>
      <w:tr w:rsidR="009864DB" w:rsidRPr="004D46AC" w14:paraId="1E71D680" w14:textId="77777777" w:rsidTr="00B518F1">
        <w:trPr>
          <w:trHeight w:val="307"/>
        </w:trPr>
        <w:tc>
          <w:tcPr>
            <w:tcW w:w="1907" w:type="dxa"/>
          </w:tcPr>
          <w:p w14:paraId="485B85E7"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PEVuZE5vdGU+PENpdGUgQXV0aG9yWWVhcj0iMSI+PEF1dGhvcj5LZWNrPC9BdXRob3I+PFllYXI+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Keck et al. (2003)</w:t>
            </w:r>
            <w:r w:rsidRPr="004D46AC">
              <w:rPr>
                <w:rFonts w:eastAsiaTheme="minorEastAsia"/>
              </w:rPr>
              <w:fldChar w:fldCharType="end"/>
            </w:r>
          </w:p>
        </w:tc>
        <w:tc>
          <w:tcPr>
            <w:tcW w:w="1118" w:type="dxa"/>
            <w:vAlign w:val="center"/>
          </w:tcPr>
          <w:p w14:paraId="7A2CC768" w14:textId="77777777" w:rsidR="009864DB" w:rsidRPr="004D46AC" w:rsidRDefault="009864DB" w:rsidP="009864DB">
            <w:pPr>
              <w:spacing w:line="240" w:lineRule="auto"/>
              <w:ind w:firstLine="0"/>
              <w:rPr>
                <w:rFonts w:eastAsiaTheme="minorEastAsia"/>
                <w:i/>
                <w:iCs/>
              </w:rPr>
            </w:pPr>
            <w:r w:rsidRPr="004D46AC">
              <w:rPr>
                <w:rFonts w:eastAsiaTheme="minorEastAsia"/>
              </w:rPr>
              <w:t>7</w:t>
            </w:r>
          </w:p>
        </w:tc>
        <w:tc>
          <w:tcPr>
            <w:tcW w:w="1100" w:type="dxa"/>
            <w:vAlign w:val="center"/>
          </w:tcPr>
          <w:p w14:paraId="22EACE7A" w14:textId="77777777" w:rsidR="009864DB" w:rsidRPr="004D46AC" w:rsidRDefault="009864DB" w:rsidP="009864DB">
            <w:pPr>
              <w:spacing w:line="240" w:lineRule="auto"/>
              <w:ind w:firstLine="0"/>
              <w:rPr>
                <w:rFonts w:eastAsiaTheme="minorEastAsia"/>
                <w:i/>
                <w:iCs/>
              </w:rPr>
            </w:pPr>
            <w:r w:rsidRPr="004D46AC">
              <w:rPr>
                <w:rFonts w:eastAsiaTheme="minorEastAsia"/>
              </w:rPr>
              <w:t>41.32</w:t>
            </w:r>
          </w:p>
        </w:tc>
        <w:tc>
          <w:tcPr>
            <w:tcW w:w="1271" w:type="dxa"/>
            <w:vAlign w:val="center"/>
          </w:tcPr>
          <w:p w14:paraId="24FFF52A" w14:textId="77777777" w:rsidR="009864DB" w:rsidRPr="004D46AC" w:rsidRDefault="009864DB" w:rsidP="009864DB">
            <w:pPr>
              <w:spacing w:line="240" w:lineRule="auto"/>
              <w:ind w:firstLine="0"/>
              <w:rPr>
                <w:rFonts w:eastAsiaTheme="minorEastAsia"/>
                <w:i/>
                <w:iCs/>
              </w:rPr>
            </w:pPr>
            <w:r w:rsidRPr="004D46AC">
              <w:rPr>
                <w:rFonts w:eastAsiaTheme="minorEastAsia"/>
              </w:rPr>
              <w:t>DSM4</w:t>
            </w:r>
          </w:p>
        </w:tc>
        <w:tc>
          <w:tcPr>
            <w:tcW w:w="1945" w:type="dxa"/>
            <w:vAlign w:val="center"/>
          </w:tcPr>
          <w:p w14:paraId="0A6D13BE" w14:textId="77777777" w:rsidR="009864DB" w:rsidRPr="004D46AC" w:rsidRDefault="009864DB" w:rsidP="009864DB">
            <w:pPr>
              <w:spacing w:line="240" w:lineRule="auto"/>
              <w:ind w:firstLine="0"/>
              <w:rPr>
                <w:rFonts w:eastAsiaTheme="minorEastAsia"/>
                <w:i/>
                <w:iCs/>
              </w:rPr>
            </w:pPr>
            <w:r w:rsidRPr="004D46AC">
              <w:rPr>
                <w:rFonts w:eastAsiaTheme="minorEastAsia"/>
              </w:rPr>
              <w:t>SCID-P</w:t>
            </w:r>
          </w:p>
        </w:tc>
        <w:tc>
          <w:tcPr>
            <w:tcW w:w="1072" w:type="dxa"/>
            <w:vAlign w:val="center"/>
          </w:tcPr>
          <w:p w14:paraId="159B1E71" w14:textId="77777777" w:rsidR="009864DB" w:rsidRPr="004D46AC" w:rsidRDefault="009864DB" w:rsidP="009864DB">
            <w:pPr>
              <w:spacing w:line="240" w:lineRule="auto"/>
              <w:ind w:firstLine="0"/>
              <w:rPr>
                <w:rFonts w:eastAsiaTheme="minorEastAsia"/>
                <w:i/>
                <w:iCs/>
              </w:rPr>
            </w:pPr>
            <w:r w:rsidRPr="004D46AC">
              <w:rPr>
                <w:rFonts w:eastAsiaTheme="minorEastAsia"/>
              </w:rPr>
              <w:t>352</w:t>
            </w:r>
          </w:p>
        </w:tc>
        <w:tc>
          <w:tcPr>
            <w:tcW w:w="1101" w:type="dxa"/>
            <w:vAlign w:val="center"/>
          </w:tcPr>
          <w:p w14:paraId="7AEB9449" w14:textId="77777777" w:rsidR="009864DB" w:rsidRPr="004D46AC" w:rsidRDefault="009864DB" w:rsidP="009864DB">
            <w:pPr>
              <w:spacing w:line="240" w:lineRule="auto"/>
              <w:ind w:firstLine="0"/>
              <w:rPr>
                <w:rFonts w:eastAsiaTheme="minorEastAsia"/>
                <w:i/>
                <w:iCs/>
              </w:rPr>
            </w:pPr>
            <w:r w:rsidRPr="004D46AC">
              <w:rPr>
                <w:rFonts w:eastAsiaTheme="minorEastAsia"/>
              </w:rPr>
              <w:t>1</w:t>
            </w:r>
          </w:p>
        </w:tc>
        <w:tc>
          <w:tcPr>
            <w:tcW w:w="1090" w:type="dxa"/>
            <w:vAlign w:val="center"/>
          </w:tcPr>
          <w:p w14:paraId="3AA4C069"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5D765AC7"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20856DF2" w14:textId="77777777" w:rsidR="009864DB" w:rsidRPr="004D46AC" w:rsidRDefault="009864DB" w:rsidP="009864DB">
            <w:pPr>
              <w:spacing w:line="240" w:lineRule="auto"/>
              <w:ind w:firstLine="0"/>
              <w:rPr>
                <w:rFonts w:eastAsiaTheme="minorEastAsia"/>
                <w:i/>
                <w:iCs/>
              </w:rPr>
            </w:pPr>
            <w:r w:rsidRPr="004D46AC">
              <w:rPr>
                <w:rFonts w:eastAsiaTheme="minorEastAsia"/>
              </w:rPr>
              <w:t>ds</w:t>
            </w:r>
          </w:p>
        </w:tc>
        <w:tc>
          <w:tcPr>
            <w:tcW w:w="1087" w:type="dxa"/>
            <w:vAlign w:val="center"/>
          </w:tcPr>
          <w:p w14:paraId="39D794BD" w14:textId="77777777" w:rsidR="009864DB" w:rsidRPr="004D46AC" w:rsidRDefault="009864DB" w:rsidP="009864DB">
            <w:pPr>
              <w:spacing w:line="240" w:lineRule="auto"/>
              <w:ind w:firstLine="0"/>
              <w:rPr>
                <w:rFonts w:eastAsiaTheme="minorEastAsia"/>
                <w:i/>
                <w:iCs/>
              </w:rPr>
            </w:pPr>
            <w:r w:rsidRPr="004D46AC">
              <w:rPr>
                <w:rFonts w:eastAsiaTheme="minorEastAsia"/>
              </w:rPr>
              <w:t>21</w:t>
            </w:r>
          </w:p>
        </w:tc>
      </w:tr>
      <w:tr w:rsidR="009864DB" w:rsidRPr="004D46AC" w14:paraId="2C0C1F96" w14:textId="77777777" w:rsidTr="00B518F1">
        <w:trPr>
          <w:trHeight w:val="300"/>
        </w:trPr>
        <w:tc>
          <w:tcPr>
            <w:tcW w:w="1907" w:type="dxa"/>
          </w:tcPr>
          <w:p w14:paraId="103EBD0D"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PEVuZE5vdGU+PENpdGUgQXV0aG9yWWVhcj0iMSI+PEF1dGhvcj5NYW5jdXNvPC9BdXRob3I+PFll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==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Mancuso et al. (2015)</w:t>
            </w:r>
            <w:r w:rsidRPr="004D46AC">
              <w:rPr>
                <w:rFonts w:eastAsiaTheme="minorEastAsia"/>
              </w:rPr>
              <w:fldChar w:fldCharType="end"/>
            </w:r>
          </w:p>
        </w:tc>
        <w:tc>
          <w:tcPr>
            <w:tcW w:w="1118" w:type="dxa"/>
            <w:vAlign w:val="center"/>
          </w:tcPr>
          <w:p w14:paraId="51E75950" w14:textId="77777777" w:rsidR="009864DB" w:rsidRPr="004D46AC" w:rsidRDefault="009864DB" w:rsidP="009864DB">
            <w:pPr>
              <w:spacing w:line="240" w:lineRule="auto"/>
              <w:ind w:firstLine="0"/>
              <w:rPr>
                <w:rFonts w:eastAsiaTheme="minorEastAsia"/>
                <w:i/>
                <w:iCs/>
              </w:rPr>
            </w:pPr>
            <w:r w:rsidRPr="004D46AC">
              <w:rPr>
                <w:rFonts w:eastAsiaTheme="minorEastAsia"/>
              </w:rPr>
              <w:t>7</w:t>
            </w:r>
          </w:p>
        </w:tc>
        <w:tc>
          <w:tcPr>
            <w:tcW w:w="1100" w:type="dxa"/>
            <w:vAlign w:val="center"/>
          </w:tcPr>
          <w:p w14:paraId="335A37BE" w14:textId="77777777" w:rsidR="009864DB" w:rsidRPr="004D46AC" w:rsidRDefault="009864DB" w:rsidP="009864DB">
            <w:pPr>
              <w:spacing w:line="240" w:lineRule="auto"/>
              <w:ind w:firstLine="0"/>
              <w:rPr>
                <w:rFonts w:eastAsiaTheme="minorEastAsia"/>
                <w:i/>
                <w:iCs/>
              </w:rPr>
            </w:pPr>
            <w:r w:rsidRPr="004D46AC">
              <w:rPr>
                <w:rFonts w:eastAsiaTheme="minorEastAsia"/>
              </w:rPr>
              <w:t>40.75</w:t>
            </w:r>
          </w:p>
        </w:tc>
        <w:tc>
          <w:tcPr>
            <w:tcW w:w="1271" w:type="dxa"/>
            <w:vAlign w:val="center"/>
          </w:tcPr>
          <w:p w14:paraId="27193A28" w14:textId="77777777" w:rsidR="009864DB" w:rsidRPr="004D46AC" w:rsidRDefault="009864DB" w:rsidP="009864DB">
            <w:pPr>
              <w:spacing w:line="240" w:lineRule="auto"/>
              <w:ind w:firstLine="0"/>
              <w:rPr>
                <w:rFonts w:eastAsiaTheme="minorEastAsia"/>
                <w:i/>
                <w:iCs/>
              </w:rPr>
            </w:pPr>
            <w:r w:rsidRPr="004D46AC">
              <w:rPr>
                <w:rFonts w:eastAsiaTheme="minorEastAsia"/>
              </w:rPr>
              <w:t>ICD10</w:t>
            </w:r>
          </w:p>
        </w:tc>
        <w:tc>
          <w:tcPr>
            <w:tcW w:w="1945" w:type="dxa"/>
            <w:vAlign w:val="center"/>
          </w:tcPr>
          <w:p w14:paraId="0DD8EAF9" w14:textId="77777777" w:rsidR="009864DB" w:rsidRPr="004D46AC" w:rsidRDefault="009864DB" w:rsidP="009864DB">
            <w:pPr>
              <w:spacing w:line="240" w:lineRule="auto"/>
              <w:ind w:firstLine="0"/>
              <w:rPr>
                <w:rFonts w:eastAsiaTheme="minorEastAsia"/>
                <w:i/>
                <w:iCs/>
              </w:rPr>
            </w:pPr>
            <w:r w:rsidRPr="004D46AC">
              <w:rPr>
                <w:rFonts w:eastAsiaTheme="minorEastAsia"/>
              </w:rPr>
              <w:t>DIP</w:t>
            </w:r>
          </w:p>
        </w:tc>
        <w:tc>
          <w:tcPr>
            <w:tcW w:w="1072" w:type="dxa"/>
            <w:vAlign w:val="center"/>
          </w:tcPr>
          <w:p w14:paraId="55BB0F26" w14:textId="77777777" w:rsidR="009864DB" w:rsidRPr="004D46AC" w:rsidRDefault="009864DB" w:rsidP="009864DB">
            <w:pPr>
              <w:spacing w:line="240" w:lineRule="auto"/>
              <w:ind w:firstLine="0"/>
              <w:rPr>
                <w:rFonts w:eastAsiaTheme="minorEastAsia"/>
                <w:i/>
                <w:iCs/>
              </w:rPr>
            </w:pPr>
            <w:r w:rsidRPr="004D46AC">
              <w:rPr>
                <w:rFonts w:eastAsiaTheme="minorEastAsia"/>
              </w:rPr>
              <w:t>319</w:t>
            </w:r>
          </w:p>
        </w:tc>
        <w:tc>
          <w:tcPr>
            <w:tcW w:w="1101" w:type="dxa"/>
            <w:vAlign w:val="center"/>
          </w:tcPr>
          <w:p w14:paraId="04410398" w14:textId="77777777" w:rsidR="009864DB" w:rsidRPr="004D46AC" w:rsidRDefault="009864DB" w:rsidP="009864DB">
            <w:pPr>
              <w:spacing w:line="240" w:lineRule="auto"/>
              <w:ind w:firstLine="0"/>
              <w:rPr>
                <w:rFonts w:eastAsiaTheme="minorEastAsia"/>
                <w:i/>
                <w:iCs/>
              </w:rPr>
            </w:pPr>
            <w:r w:rsidRPr="004D46AC">
              <w:rPr>
                <w:rFonts w:eastAsiaTheme="minorEastAsia"/>
              </w:rPr>
              <w:t>unclear</w:t>
            </w:r>
          </w:p>
        </w:tc>
        <w:tc>
          <w:tcPr>
            <w:tcW w:w="1090" w:type="dxa"/>
            <w:vAlign w:val="center"/>
          </w:tcPr>
          <w:p w14:paraId="4D338914" w14:textId="77777777" w:rsidR="009864DB" w:rsidRPr="004D46AC" w:rsidRDefault="009864DB" w:rsidP="009864DB">
            <w:pPr>
              <w:spacing w:line="240" w:lineRule="auto"/>
              <w:ind w:firstLine="0"/>
              <w:rPr>
                <w:rFonts w:eastAsiaTheme="minorEastAsia"/>
                <w:i/>
                <w:iCs/>
              </w:rPr>
            </w:pPr>
            <w:r w:rsidRPr="004D46AC">
              <w:rPr>
                <w:rFonts w:eastAsiaTheme="minorEastAsia"/>
              </w:rPr>
              <w:t>3</w:t>
            </w:r>
          </w:p>
        </w:tc>
        <w:tc>
          <w:tcPr>
            <w:tcW w:w="1086" w:type="dxa"/>
          </w:tcPr>
          <w:p w14:paraId="4D1E9A35"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2A0ECA35" w14:textId="77777777" w:rsidR="009864DB" w:rsidRPr="004D46AC" w:rsidRDefault="009864DB" w:rsidP="009864DB">
            <w:pPr>
              <w:spacing w:line="240" w:lineRule="auto"/>
              <w:ind w:firstLine="0"/>
              <w:rPr>
                <w:rFonts w:eastAsiaTheme="minorEastAsia"/>
                <w:i/>
                <w:iCs/>
              </w:rPr>
            </w:pPr>
            <w:r w:rsidRPr="004D46AC">
              <w:rPr>
                <w:rFonts w:eastAsiaTheme="minorEastAsia"/>
              </w:rPr>
              <w:t>any</w:t>
            </w:r>
          </w:p>
        </w:tc>
        <w:tc>
          <w:tcPr>
            <w:tcW w:w="1087" w:type="dxa"/>
            <w:vAlign w:val="center"/>
          </w:tcPr>
          <w:p w14:paraId="14701CC3" w14:textId="77777777" w:rsidR="009864DB" w:rsidRPr="004D46AC" w:rsidRDefault="009864DB" w:rsidP="009864DB">
            <w:pPr>
              <w:spacing w:line="240" w:lineRule="auto"/>
              <w:ind w:firstLine="0"/>
              <w:rPr>
                <w:rFonts w:eastAsiaTheme="minorEastAsia"/>
                <w:i/>
                <w:iCs/>
              </w:rPr>
            </w:pPr>
            <w:r w:rsidRPr="004D46AC">
              <w:rPr>
                <w:rFonts w:eastAsiaTheme="minorEastAsia"/>
              </w:rPr>
              <w:t>105</w:t>
            </w:r>
          </w:p>
        </w:tc>
      </w:tr>
      <w:tr w:rsidR="009864DB" w:rsidRPr="004D46AC" w14:paraId="4A882130" w14:textId="77777777" w:rsidTr="00B518F1">
        <w:trPr>
          <w:trHeight w:val="300"/>
        </w:trPr>
        <w:tc>
          <w:tcPr>
            <w:tcW w:w="1907" w:type="dxa"/>
          </w:tcPr>
          <w:p w14:paraId="6824808D"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PEVuZE5vdGU+PENpdGUgQXV0aG9yWWVhcj0iMSI+PEF1dGhvcj5QZXJsbWFuPC9BdXRob3I+PFll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Perlman et al. (2016)</w:t>
            </w:r>
            <w:r w:rsidRPr="004D46AC">
              <w:rPr>
                <w:rFonts w:eastAsiaTheme="minorEastAsia"/>
              </w:rPr>
              <w:fldChar w:fldCharType="end"/>
            </w:r>
          </w:p>
        </w:tc>
        <w:tc>
          <w:tcPr>
            <w:tcW w:w="1118" w:type="dxa"/>
            <w:vAlign w:val="center"/>
          </w:tcPr>
          <w:p w14:paraId="5B6490DD" w14:textId="77777777" w:rsidR="009864DB" w:rsidRPr="004D46AC" w:rsidRDefault="009864DB" w:rsidP="009864DB">
            <w:pPr>
              <w:spacing w:line="240" w:lineRule="auto"/>
              <w:ind w:firstLine="0"/>
              <w:rPr>
                <w:rFonts w:eastAsiaTheme="minorEastAsia"/>
                <w:i/>
                <w:iCs/>
              </w:rPr>
            </w:pPr>
            <w:r w:rsidRPr="004D46AC">
              <w:rPr>
                <w:rFonts w:eastAsiaTheme="minorEastAsia"/>
              </w:rPr>
              <w:t>5</w:t>
            </w:r>
          </w:p>
        </w:tc>
        <w:tc>
          <w:tcPr>
            <w:tcW w:w="1100" w:type="dxa"/>
            <w:vAlign w:val="center"/>
          </w:tcPr>
          <w:p w14:paraId="3C1660DA" w14:textId="77777777" w:rsidR="009864DB" w:rsidRPr="004D46AC" w:rsidRDefault="009864DB" w:rsidP="009864DB">
            <w:pPr>
              <w:spacing w:line="240" w:lineRule="auto"/>
              <w:ind w:firstLine="0"/>
              <w:rPr>
                <w:rFonts w:eastAsiaTheme="minorEastAsia"/>
                <w:i/>
                <w:iCs/>
              </w:rPr>
            </w:pPr>
            <w:r w:rsidRPr="004D46AC">
              <w:rPr>
                <w:rFonts w:eastAsiaTheme="minorEastAsia"/>
              </w:rPr>
              <w:t>44.35</w:t>
            </w:r>
          </w:p>
        </w:tc>
        <w:tc>
          <w:tcPr>
            <w:tcW w:w="1271" w:type="dxa"/>
            <w:vAlign w:val="center"/>
          </w:tcPr>
          <w:p w14:paraId="418E5A9F" w14:textId="77777777" w:rsidR="009864DB" w:rsidRPr="004D46AC" w:rsidRDefault="009864DB" w:rsidP="009864DB">
            <w:pPr>
              <w:spacing w:line="240" w:lineRule="auto"/>
              <w:ind w:firstLine="0"/>
              <w:rPr>
                <w:rFonts w:eastAsiaTheme="minorEastAsia"/>
                <w:i/>
                <w:iCs/>
              </w:rPr>
            </w:pPr>
            <w:r w:rsidRPr="004D46AC">
              <w:rPr>
                <w:rFonts w:eastAsiaTheme="minorEastAsia"/>
              </w:rPr>
              <w:t>DSM4</w:t>
            </w:r>
          </w:p>
        </w:tc>
        <w:tc>
          <w:tcPr>
            <w:tcW w:w="1945" w:type="dxa"/>
            <w:vAlign w:val="center"/>
          </w:tcPr>
          <w:p w14:paraId="0D374DEC" w14:textId="77777777" w:rsidR="009864DB" w:rsidRPr="004D46AC" w:rsidRDefault="009864DB" w:rsidP="009864DB">
            <w:pPr>
              <w:spacing w:line="240" w:lineRule="auto"/>
              <w:ind w:firstLine="0"/>
              <w:rPr>
                <w:rFonts w:eastAsiaTheme="minorEastAsia"/>
                <w:i/>
                <w:iCs/>
              </w:rPr>
            </w:pPr>
            <w:r w:rsidRPr="004D46AC">
              <w:rPr>
                <w:rFonts w:eastAsiaTheme="minorEastAsia"/>
              </w:rPr>
              <w:t>DI-PAD</w:t>
            </w:r>
          </w:p>
        </w:tc>
        <w:tc>
          <w:tcPr>
            <w:tcW w:w="1072" w:type="dxa"/>
            <w:vAlign w:val="center"/>
          </w:tcPr>
          <w:p w14:paraId="1DB50724" w14:textId="77777777" w:rsidR="009864DB" w:rsidRPr="004D46AC" w:rsidRDefault="009864DB" w:rsidP="009864DB">
            <w:pPr>
              <w:spacing w:line="240" w:lineRule="auto"/>
              <w:ind w:firstLine="0"/>
              <w:rPr>
                <w:rFonts w:eastAsiaTheme="minorEastAsia"/>
                <w:i/>
                <w:iCs/>
              </w:rPr>
            </w:pPr>
            <w:r w:rsidRPr="004D46AC">
              <w:rPr>
                <w:rFonts w:eastAsiaTheme="minorEastAsia"/>
              </w:rPr>
              <w:t>2084</w:t>
            </w:r>
          </w:p>
        </w:tc>
        <w:tc>
          <w:tcPr>
            <w:tcW w:w="1101" w:type="dxa"/>
            <w:vAlign w:val="center"/>
          </w:tcPr>
          <w:p w14:paraId="44DFB097" w14:textId="77777777" w:rsidR="009864DB" w:rsidRPr="004D46AC" w:rsidRDefault="009864DB" w:rsidP="009864DB">
            <w:pPr>
              <w:spacing w:line="240" w:lineRule="auto"/>
              <w:ind w:firstLine="0"/>
              <w:rPr>
                <w:rFonts w:eastAsiaTheme="minorEastAsia"/>
                <w:i/>
                <w:iCs/>
              </w:rPr>
            </w:pPr>
            <w:r w:rsidRPr="004D46AC">
              <w:rPr>
                <w:rFonts w:eastAsiaTheme="minorEastAsia"/>
              </w:rPr>
              <w:t>unclear</w:t>
            </w:r>
          </w:p>
        </w:tc>
        <w:tc>
          <w:tcPr>
            <w:tcW w:w="1090" w:type="dxa"/>
            <w:vAlign w:val="center"/>
          </w:tcPr>
          <w:p w14:paraId="548679C1" w14:textId="77777777" w:rsidR="009864DB" w:rsidRPr="004D46AC" w:rsidRDefault="009864DB" w:rsidP="009864DB">
            <w:pPr>
              <w:spacing w:line="240" w:lineRule="auto"/>
              <w:ind w:firstLine="0"/>
              <w:rPr>
                <w:rFonts w:eastAsiaTheme="minorEastAsia"/>
                <w:i/>
                <w:iCs/>
              </w:rPr>
            </w:pPr>
            <w:r w:rsidRPr="004D46AC">
              <w:rPr>
                <w:rFonts w:eastAsiaTheme="minorEastAsia"/>
              </w:rPr>
              <w:t>1</w:t>
            </w:r>
          </w:p>
        </w:tc>
        <w:tc>
          <w:tcPr>
            <w:tcW w:w="1086" w:type="dxa"/>
          </w:tcPr>
          <w:p w14:paraId="45F9C657"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1A3AE0A8"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pftd</w:t>
            </w:r>
            <w:proofErr w:type="spellEnd"/>
          </w:p>
        </w:tc>
        <w:tc>
          <w:tcPr>
            <w:tcW w:w="1087" w:type="dxa"/>
            <w:vAlign w:val="center"/>
          </w:tcPr>
          <w:p w14:paraId="5FC959D5" w14:textId="77777777" w:rsidR="009864DB" w:rsidRPr="004D46AC" w:rsidRDefault="009864DB" w:rsidP="009864DB">
            <w:pPr>
              <w:spacing w:line="240" w:lineRule="auto"/>
              <w:ind w:firstLine="0"/>
              <w:rPr>
                <w:rFonts w:eastAsiaTheme="minorEastAsia"/>
                <w:i/>
                <w:iCs/>
              </w:rPr>
            </w:pPr>
            <w:r w:rsidRPr="004D46AC">
              <w:rPr>
                <w:rFonts w:eastAsiaTheme="minorEastAsia"/>
              </w:rPr>
              <w:t>275</w:t>
            </w:r>
          </w:p>
        </w:tc>
      </w:tr>
      <w:tr w:rsidR="009864DB" w:rsidRPr="004D46AC" w14:paraId="3C8899F3" w14:textId="77777777" w:rsidTr="00B518F1">
        <w:trPr>
          <w:trHeight w:val="307"/>
        </w:trPr>
        <w:tc>
          <w:tcPr>
            <w:tcW w:w="1907" w:type="dxa"/>
          </w:tcPr>
          <w:p w14:paraId="636DFBFD"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PEVuZE5vdGU+PENpdGUgQXV0aG9yWWVhcj0iMSI+PEF1dGhvcj5TdGVpbjwvQXV0aG9yPjxZZWFy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=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Stein et al. (2020)</w:t>
            </w:r>
            <w:r w:rsidRPr="004D46AC">
              <w:rPr>
                <w:rFonts w:eastAsiaTheme="minorEastAsia"/>
              </w:rPr>
              <w:fldChar w:fldCharType="end"/>
            </w:r>
          </w:p>
        </w:tc>
        <w:tc>
          <w:tcPr>
            <w:tcW w:w="1118" w:type="dxa"/>
            <w:vAlign w:val="center"/>
          </w:tcPr>
          <w:p w14:paraId="0D68F2AD" w14:textId="77777777" w:rsidR="009864DB" w:rsidRPr="004D46AC" w:rsidRDefault="009864DB" w:rsidP="009864DB">
            <w:pPr>
              <w:spacing w:line="240" w:lineRule="auto"/>
              <w:ind w:firstLine="0"/>
              <w:rPr>
                <w:rFonts w:eastAsiaTheme="minorEastAsia"/>
                <w:i/>
                <w:iCs/>
              </w:rPr>
            </w:pPr>
            <w:r w:rsidRPr="004D46AC">
              <w:rPr>
                <w:rFonts w:eastAsiaTheme="minorEastAsia"/>
              </w:rPr>
              <w:t>6</w:t>
            </w:r>
          </w:p>
        </w:tc>
        <w:tc>
          <w:tcPr>
            <w:tcW w:w="1100" w:type="dxa"/>
            <w:vAlign w:val="center"/>
          </w:tcPr>
          <w:p w14:paraId="0E32A18E" w14:textId="77777777" w:rsidR="009864DB" w:rsidRPr="004D46AC" w:rsidRDefault="009864DB" w:rsidP="009864DB">
            <w:pPr>
              <w:spacing w:line="240" w:lineRule="auto"/>
              <w:ind w:firstLine="0"/>
              <w:rPr>
                <w:rFonts w:eastAsiaTheme="minorEastAsia"/>
                <w:i/>
                <w:iCs/>
              </w:rPr>
            </w:pPr>
            <w:r w:rsidRPr="004D46AC">
              <w:rPr>
                <w:rFonts w:eastAsiaTheme="minorEastAsia"/>
              </w:rPr>
              <w:t>41.72</w:t>
            </w:r>
          </w:p>
        </w:tc>
        <w:tc>
          <w:tcPr>
            <w:tcW w:w="1271" w:type="dxa"/>
            <w:vAlign w:val="center"/>
          </w:tcPr>
          <w:p w14:paraId="476C7BBC" w14:textId="77777777" w:rsidR="009864DB" w:rsidRPr="004D46AC" w:rsidRDefault="009864DB" w:rsidP="009864DB">
            <w:pPr>
              <w:spacing w:line="240" w:lineRule="auto"/>
              <w:ind w:firstLine="0"/>
              <w:rPr>
                <w:rFonts w:eastAsiaTheme="minorEastAsia"/>
                <w:i/>
                <w:iCs/>
              </w:rPr>
            </w:pPr>
            <w:r w:rsidRPr="004D46AC">
              <w:rPr>
                <w:rFonts w:eastAsiaTheme="minorEastAsia"/>
              </w:rPr>
              <w:t>DSM4</w:t>
            </w:r>
          </w:p>
        </w:tc>
        <w:tc>
          <w:tcPr>
            <w:tcW w:w="1945" w:type="dxa"/>
            <w:vAlign w:val="center"/>
          </w:tcPr>
          <w:p w14:paraId="27D3A926" w14:textId="77777777" w:rsidR="009864DB" w:rsidRPr="004D46AC" w:rsidRDefault="009864DB" w:rsidP="009864DB">
            <w:pPr>
              <w:spacing w:line="240" w:lineRule="auto"/>
              <w:ind w:firstLine="0"/>
              <w:rPr>
                <w:rFonts w:eastAsiaTheme="minorEastAsia"/>
                <w:i/>
                <w:iCs/>
              </w:rPr>
            </w:pPr>
            <w:r w:rsidRPr="004D46AC">
              <w:rPr>
                <w:rFonts w:eastAsiaTheme="minorEastAsia"/>
              </w:rPr>
              <w:t>SAPS</w:t>
            </w:r>
          </w:p>
        </w:tc>
        <w:tc>
          <w:tcPr>
            <w:tcW w:w="1072" w:type="dxa"/>
            <w:vAlign w:val="center"/>
          </w:tcPr>
          <w:p w14:paraId="7E0CE613" w14:textId="77777777" w:rsidR="009864DB" w:rsidRPr="004D46AC" w:rsidRDefault="009864DB" w:rsidP="009864DB">
            <w:pPr>
              <w:spacing w:line="240" w:lineRule="auto"/>
              <w:ind w:firstLine="0"/>
              <w:rPr>
                <w:rFonts w:eastAsiaTheme="minorEastAsia"/>
                <w:i/>
                <w:iCs/>
              </w:rPr>
            </w:pPr>
            <w:r w:rsidRPr="004D46AC">
              <w:rPr>
                <w:rFonts w:eastAsiaTheme="minorEastAsia"/>
              </w:rPr>
              <w:t>151</w:t>
            </w:r>
          </w:p>
        </w:tc>
        <w:tc>
          <w:tcPr>
            <w:tcW w:w="1101" w:type="dxa"/>
            <w:vAlign w:val="center"/>
          </w:tcPr>
          <w:p w14:paraId="4FE36DD9"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90" w:type="dxa"/>
            <w:vAlign w:val="center"/>
          </w:tcPr>
          <w:p w14:paraId="62F9FCEA" w14:textId="77777777" w:rsidR="009864DB" w:rsidRPr="004D46AC" w:rsidRDefault="009864DB" w:rsidP="009864DB">
            <w:pPr>
              <w:spacing w:line="240" w:lineRule="auto"/>
              <w:ind w:firstLine="0"/>
              <w:rPr>
                <w:rFonts w:eastAsiaTheme="minorEastAsia"/>
                <w:i/>
                <w:iCs/>
              </w:rPr>
            </w:pPr>
            <w:r w:rsidRPr="004D46AC">
              <w:rPr>
                <w:rFonts w:eastAsiaTheme="minorEastAsia"/>
              </w:rPr>
              <w:t>1</w:t>
            </w:r>
          </w:p>
        </w:tc>
        <w:tc>
          <w:tcPr>
            <w:tcW w:w="1086" w:type="dxa"/>
          </w:tcPr>
          <w:p w14:paraId="2B688A1B"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6486F344"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pftd</w:t>
            </w:r>
            <w:proofErr w:type="spellEnd"/>
          </w:p>
        </w:tc>
        <w:tc>
          <w:tcPr>
            <w:tcW w:w="1087" w:type="dxa"/>
            <w:vAlign w:val="center"/>
          </w:tcPr>
          <w:p w14:paraId="282F6028" w14:textId="77777777" w:rsidR="009864DB" w:rsidRPr="004D46AC" w:rsidRDefault="009864DB" w:rsidP="009864DB">
            <w:pPr>
              <w:spacing w:line="240" w:lineRule="auto"/>
              <w:ind w:firstLine="0"/>
              <w:rPr>
                <w:rFonts w:eastAsiaTheme="minorEastAsia"/>
                <w:i/>
                <w:iCs/>
              </w:rPr>
            </w:pPr>
            <w:r w:rsidRPr="004D46AC">
              <w:rPr>
                <w:rFonts w:eastAsiaTheme="minorEastAsia"/>
              </w:rPr>
              <w:t>70</w:t>
            </w:r>
          </w:p>
        </w:tc>
      </w:tr>
      <w:tr w:rsidR="009864DB" w:rsidRPr="004D46AC" w14:paraId="3A9394A0" w14:textId="77777777" w:rsidTr="00B518F1">
        <w:trPr>
          <w:trHeight w:val="300"/>
        </w:trPr>
        <w:tc>
          <w:tcPr>
            <w:tcW w:w="1907" w:type="dxa"/>
          </w:tcPr>
          <w:p w14:paraId="5F86DAB0"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PEVuZE5vdGU+PENpdGUgQXV0aG9yWWVhcj0iMSI+PEF1dGhvcj52YW4gQmVyZ2VuPC9BdXRob3I+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van Bergen et al. (2019)</w:t>
            </w:r>
            <w:r w:rsidRPr="004D46AC">
              <w:rPr>
                <w:rFonts w:eastAsiaTheme="minorEastAsia"/>
              </w:rPr>
              <w:fldChar w:fldCharType="end"/>
            </w:r>
          </w:p>
        </w:tc>
        <w:tc>
          <w:tcPr>
            <w:tcW w:w="1118" w:type="dxa"/>
            <w:vAlign w:val="center"/>
          </w:tcPr>
          <w:p w14:paraId="538082DB" w14:textId="77777777" w:rsidR="009864DB" w:rsidRPr="004D46AC" w:rsidRDefault="009864DB" w:rsidP="009864DB">
            <w:pPr>
              <w:spacing w:line="240" w:lineRule="auto"/>
              <w:ind w:firstLine="0"/>
              <w:rPr>
                <w:rFonts w:eastAsiaTheme="minorEastAsia"/>
                <w:i/>
                <w:iCs/>
              </w:rPr>
            </w:pPr>
            <w:r w:rsidRPr="004D46AC">
              <w:rPr>
                <w:rFonts w:eastAsiaTheme="minorEastAsia"/>
              </w:rPr>
              <w:t>7</w:t>
            </w:r>
          </w:p>
        </w:tc>
        <w:tc>
          <w:tcPr>
            <w:tcW w:w="1100" w:type="dxa"/>
            <w:vAlign w:val="center"/>
          </w:tcPr>
          <w:p w14:paraId="0428DB23" w14:textId="77777777" w:rsidR="009864DB" w:rsidRPr="004D46AC" w:rsidRDefault="009864DB" w:rsidP="009864DB">
            <w:pPr>
              <w:spacing w:line="240" w:lineRule="auto"/>
              <w:ind w:firstLine="0"/>
              <w:rPr>
                <w:rFonts w:eastAsiaTheme="minorEastAsia"/>
                <w:i/>
                <w:iCs/>
              </w:rPr>
            </w:pPr>
            <w:r w:rsidRPr="004D46AC">
              <w:rPr>
                <w:rFonts w:eastAsiaTheme="minorEastAsia"/>
              </w:rPr>
              <w:t>49.5</w:t>
            </w:r>
          </w:p>
        </w:tc>
        <w:tc>
          <w:tcPr>
            <w:tcW w:w="1271" w:type="dxa"/>
            <w:vAlign w:val="center"/>
          </w:tcPr>
          <w:p w14:paraId="2E6B7D72" w14:textId="77777777" w:rsidR="009864DB" w:rsidRPr="004D46AC" w:rsidRDefault="009864DB" w:rsidP="009864DB">
            <w:pPr>
              <w:spacing w:line="240" w:lineRule="auto"/>
              <w:ind w:firstLine="0"/>
              <w:rPr>
                <w:rFonts w:eastAsiaTheme="minorEastAsia"/>
                <w:i/>
                <w:iCs/>
              </w:rPr>
            </w:pPr>
            <w:r w:rsidRPr="004D46AC">
              <w:rPr>
                <w:rFonts w:eastAsiaTheme="minorEastAsia"/>
              </w:rPr>
              <w:t>DSM4</w:t>
            </w:r>
          </w:p>
        </w:tc>
        <w:tc>
          <w:tcPr>
            <w:tcW w:w="1945" w:type="dxa"/>
            <w:vAlign w:val="center"/>
          </w:tcPr>
          <w:p w14:paraId="6CB84CF0" w14:textId="77777777" w:rsidR="009864DB" w:rsidRPr="004D46AC" w:rsidRDefault="009864DB" w:rsidP="009864DB">
            <w:pPr>
              <w:spacing w:line="240" w:lineRule="auto"/>
              <w:ind w:firstLine="0"/>
              <w:rPr>
                <w:rFonts w:eastAsiaTheme="minorEastAsia"/>
                <w:i/>
                <w:iCs/>
              </w:rPr>
            </w:pPr>
            <w:r w:rsidRPr="004D46AC">
              <w:rPr>
                <w:rFonts w:eastAsiaTheme="minorEastAsia"/>
              </w:rPr>
              <w:t>SCID</w:t>
            </w:r>
          </w:p>
        </w:tc>
        <w:tc>
          <w:tcPr>
            <w:tcW w:w="1072" w:type="dxa"/>
            <w:vAlign w:val="center"/>
          </w:tcPr>
          <w:p w14:paraId="756C7ACF" w14:textId="77777777" w:rsidR="009864DB" w:rsidRPr="004D46AC" w:rsidRDefault="009864DB" w:rsidP="009864DB">
            <w:pPr>
              <w:spacing w:line="240" w:lineRule="auto"/>
              <w:ind w:firstLine="0"/>
              <w:rPr>
                <w:rFonts w:eastAsiaTheme="minorEastAsia"/>
                <w:i/>
                <w:iCs/>
              </w:rPr>
            </w:pPr>
            <w:r w:rsidRPr="004D46AC">
              <w:rPr>
                <w:rFonts w:eastAsiaTheme="minorEastAsia"/>
              </w:rPr>
              <w:t>1342</w:t>
            </w:r>
          </w:p>
        </w:tc>
        <w:tc>
          <w:tcPr>
            <w:tcW w:w="1101" w:type="dxa"/>
            <w:vAlign w:val="center"/>
          </w:tcPr>
          <w:p w14:paraId="5DB05F7E"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90" w:type="dxa"/>
            <w:vAlign w:val="center"/>
          </w:tcPr>
          <w:p w14:paraId="524C4E32"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5460C3CE"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1F44A867" w14:textId="77777777" w:rsidR="009864DB" w:rsidRPr="004D46AC" w:rsidRDefault="009864DB" w:rsidP="009864DB">
            <w:pPr>
              <w:spacing w:line="240" w:lineRule="auto"/>
              <w:ind w:firstLine="0"/>
              <w:rPr>
                <w:rFonts w:eastAsiaTheme="minorEastAsia"/>
                <w:i/>
                <w:iCs/>
              </w:rPr>
            </w:pPr>
            <w:r w:rsidRPr="004D46AC">
              <w:rPr>
                <w:rFonts w:eastAsiaTheme="minorEastAsia"/>
              </w:rPr>
              <w:t>any</w:t>
            </w:r>
          </w:p>
        </w:tc>
        <w:tc>
          <w:tcPr>
            <w:tcW w:w="1087" w:type="dxa"/>
            <w:vAlign w:val="center"/>
          </w:tcPr>
          <w:p w14:paraId="27FD46D8" w14:textId="77777777" w:rsidR="009864DB" w:rsidRPr="004D46AC" w:rsidRDefault="009864DB" w:rsidP="009864DB">
            <w:pPr>
              <w:spacing w:line="240" w:lineRule="auto"/>
              <w:ind w:firstLine="0"/>
              <w:rPr>
                <w:rFonts w:eastAsiaTheme="minorEastAsia"/>
                <w:i/>
                <w:iCs/>
              </w:rPr>
            </w:pPr>
            <w:r w:rsidRPr="004D46AC">
              <w:rPr>
                <w:rFonts w:eastAsiaTheme="minorEastAsia"/>
              </w:rPr>
              <w:t>801</w:t>
            </w:r>
          </w:p>
        </w:tc>
      </w:tr>
      <w:tr w:rsidR="009864DB" w:rsidRPr="004D46AC" w14:paraId="2D57690B" w14:textId="77777777" w:rsidTr="00B518F1">
        <w:trPr>
          <w:trHeight w:val="300"/>
        </w:trPr>
        <w:tc>
          <w:tcPr>
            <w:tcW w:w="1907" w:type="dxa"/>
          </w:tcPr>
          <w:p w14:paraId="4AB994E4"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rFonts w:eastAsiaTheme="minorEastAsia"/>
                <w:i/>
                <w:iCs/>
              </w:rPr>
              <w:instrText xml:space="preserve"> ADDIN EN.CITE </w:instrText>
            </w:r>
            <w:r w:rsidRPr="004D46AC">
              <w:rPr>
                <w:rFonts w:eastAsiaTheme="minorEastAsia"/>
                <w:i/>
                <w:iCs/>
              </w:rPr>
              <w:fldChar w:fldCharType="begin">
                <w:fldData xml:space="preserve">PEVuZE5vdGU+PENpdGUgQXV0aG9yWWVhcj0iMSI+PEF1dGhvcj5LZW5uZWR5PC9BdXRob3I+PFll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</w:fldData>
              </w:fldChar>
            </w:r>
            <w:r w:rsidRPr="004D46AC">
              <w:rPr>
                <w:rFonts w:eastAsiaTheme="minorEastAsia"/>
                <w:i/>
                <w:iCs/>
              </w:rPr>
              <w:instrText xml:space="preserve"> ADDIN EN.CITE.DATA </w:instrText>
            </w:r>
            <w:r w:rsidRPr="004D46AC">
              <w:rPr>
                <w:rFonts w:eastAsiaTheme="minorEastAsia"/>
              </w:rPr>
            </w:r>
            <w:r w:rsidRPr="004D46AC">
              <w:rPr>
                <w:rFonts w:eastAsiaTheme="minorEastAsia"/>
              </w:rPr>
              <w:fldChar w:fldCharType="end"/>
            </w:r>
            <w:r w:rsidRPr="004D46AC">
              <w:rPr>
                <w:rFonts w:eastAsiaTheme="minorEastAsia"/>
                <w:i/>
                <w:iCs/>
              </w:rPr>
            </w:r>
            <w:r w:rsidRPr="004D46AC">
              <w:rPr>
                <w:rFonts w:eastAsiaTheme="minorEastAsia"/>
                <w:i/>
                <w:iCs/>
              </w:rPr>
              <w:fldChar w:fldCharType="separate"/>
            </w:r>
            <w:r w:rsidRPr="004D46AC">
              <w:rPr>
                <w:rFonts w:eastAsiaTheme="minorEastAsia"/>
                <w:i/>
                <w:iCs/>
              </w:rPr>
              <w:t>Kennedy et al. (2004)</w:t>
            </w:r>
            <w:r w:rsidRPr="004D46AC">
              <w:rPr>
                <w:rFonts w:eastAsiaTheme="minorEastAsia"/>
              </w:rPr>
              <w:fldChar w:fldCharType="end"/>
            </w:r>
          </w:p>
        </w:tc>
        <w:tc>
          <w:tcPr>
            <w:tcW w:w="1118" w:type="dxa"/>
            <w:vAlign w:val="center"/>
          </w:tcPr>
          <w:p w14:paraId="4C91D5B4" w14:textId="77777777" w:rsidR="009864DB" w:rsidRPr="004D46AC" w:rsidRDefault="009864DB" w:rsidP="009864DB">
            <w:pPr>
              <w:spacing w:line="240" w:lineRule="auto"/>
              <w:ind w:firstLine="0"/>
              <w:rPr>
                <w:rFonts w:eastAsiaTheme="minorEastAsia"/>
                <w:i/>
                <w:iCs/>
              </w:rPr>
            </w:pPr>
            <w:r w:rsidRPr="004D46AC">
              <w:rPr>
                <w:rFonts w:eastAsiaTheme="minorEastAsia"/>
              </w:rPr>
              <w:t>4</w:t>
            </w:r>
          </w:p>
        </w:tc>
        <w:tc>
          <w:tcPr>
            <w:tcW w:w="1100" w:type="dxa"/>
            <w:vAlign w:val="center"/>
          </w:tcPr>
          <w:p w14:paraId="11C0434B" w14:textId="77777777" w:rsidR="009864DB" w:rsidRPr="004D46AC" w:rsidRDefault="009864DB" w:rsidP="009864DB">
            <w:pPr>
              <w:spacing w:line="240" w:lineRule="auto"/>
              <w:ind w:firstLine="0"/>
              <w:rPr>
                <w:rFonts w:eastAsiaTheme="minorEastAsia"/>
                <w:i/>
                <w:iCs/>
              </w:rPr>
            </w:pPr>
            <w:r w:rsidRPr="004D46AC">
              <w:rPr>
                <w:rFonts w:eastAsiaTheme="minorEastAsia"/>
              </w:rPr>
              <w:t>NA</w:t>
            </w:r>
          </w:p>
        </w:tc>
        <w:tc>
          <w:tcPr>
            <w:tcW w:w="1271" w:type="dxa"/>
            <w:vAlign w:val="center"/>
          </w:tcPr>
          <w:p w14:paraId="17E2531D" w14:textId="77777777" w:rsidR="009864DB" w:rsidRPr="004D46AC" w:rsidRDefault="009864DB" w:rsidP="009864DB">
            <w:pPr>
              <w:spacing w:line="240" w:lineRule="auto"/>
              <w:ind w:firstLine="0"/>
              <w:rPr>
                <w:rFonts w:eastAsiaTheme="minorEastAsia"/>
                <w:i/>
                <w:iCs/>
              </w:rPr>
            </w:pPr>
            <w:r w:rsidRPr="004D46AC">
              <w:rPr>
                <w:rFonts w:eastAsiaTheme="minorEastAsia"/>
              </w:rPr>
              <w:t>DSM4</w:t>
            </w:r>
          </w:p>
        </w:tc>
        <w:tc>
          <w:tcPr>
            <w:tcW w:w="1945" w:type="dxa"/>
            <w:vAlign w:val="center"/>
          </w:tcPr>
          <w:p w14:paraId="609B4238" w14:textId="77777777" w:rsidR="009864DB" w:rsidRPr="004D46AC" w:rsidRDefault="009864DB" w:rsidP="009864DB">
            <w:pPr>
              <w:spacing w:line="240" w:lineRule="auto"/>
              <w:ind w:firstLine="0"/>
              <w:rPr>
                <w:rFonts w:eastAsiaTheme="minorEastAsia"/>
                <w:i/>
                <w:iCs/>
              </w:rPr>
            </w:pPr>
            <w:r w:rsidRPr="004D46AC">
              <w:rPr>
                <w:rFonts w:eastAsiaTheme="minorEastAsia"/>
              </w:rPr>
              <w:t>OPCRIT</w:t>
            </w:r>
          </w:p>
        </w:tc>
        <w:tc>
          <w:tcPr>
            <w:tcW w:w="1072" w:type="dxa"/>
            <w:vAlign w:val="center"/>
          </w:tcPr>
          <w:p w14:paraId="3F485182" w14:textId="77777777" w:rsidR="009864DB" w:rsidRPr="004D46AC" w:rsidRDefault="009864DB" w:rsidP="009864DB">
            <w:pPr>
              <w:spacing w:line="240" w:lineRule="auto"/>
              <w:ind w:firstLine="0"/>
              <w:rPr>
                <w:rFonts w:eastAsiaTheme="minorEastAsia"/>
                <w:i/>
                <w:iCs/>
              </w:rPr>
            </w:pPr>
            <w:r w:rsidRPr="004D46AC">
              <w:rPr>
                <w:rFonts w:eastAsiaTheme="minorEastAsia"/>
              </w:rPr>
              <w:t>246</w:t>
            </w:r>
          </w:p>
        </w:tc>
        <w:tc>
          <w:tcPr>
            <w:tcW w:w="1101" w:type="dxa"/>
            <w:vAlign w:val="center"/>
          </w:tcPr>
          <w:p w14:paraId="546BC908"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90" w:type="dxa"/>
            <w:vAlign w:val="center"/>
          </w:tcPr>
          <w:p w14:paraId="460C2BD2"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5BF9F10D"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1EA170CB" w14:textId="77777777" w:rsidR="009864DB" w:rsidRPr="004D46AC" w:rsidRDefault="009864DB" w:rsidP="009864DB">
            <w:pPr>
              <w:spacing w:line="240" w:lineRule="auto"/>
              <w:ind w:firstLine="0"/>
              <w:rPr>
                <w:rFonts w:eastAsiaTheme="minorEastAsia"/>
                <w:i/>
                <w:iCs/>
              </w:rPr>
            </w:pPr>
            <w:r w:rsidRPr="004D46AC">
              <w:rPr>
                <w:rFonts w:eastAsiaTheme="minorEastAsia"/>
              </w:rPr>
              <w:t>any</w:t>
            </w:r>
          </w:p>
        </w:tc>
        <w:tc>
          <w:tcPr>
            <w:tcW w:w="1087" w:type="dxa"/>
            <w:vAlign w:val="center"/>
          </w:tcPr>
          <w:p w14:paraId="3270D2E5" w14:textId="77777777" w:rsidR="009864DB" w:rsidRPr="004D46AC" w:rsidRDefault="009864DB" w:rsidP="009864DB">
            <w:pPr>
              <w:spacing w:line="240" w:lineRule="auto"/>
              <w:ind w:firstLine="0"/>
              <w:rPr>
                <w:rFonts w:eastAsiaTheme="minorEastAsia"/>
                <w:i/>
                <w:iCs/>
              </w:rPr>
            </w:pPr>
            <w:r w:rsidRPr="004D46AC">
              <w:rPr>
                <w:rFonts w:eastAsiaTheme="minorEastAsia"/>
              </w:rPr>
              <w:t>89</w:t>
            </w:r>
          </w:p>
        </w:tc>
      </w:tr>
      <w:tr w:rsidR="009864DB" w:rsidRPr="004D46AC" w14:paraId="5E2F2E7D" w14:textId="77777777" w:rsidTr="00B518F1">
        <w:trPr>
          <w:trHeight w:val="307"/>
        </w:trPr>
        <w:tc>
          <w:tcPr>
            <w:tcW w:w="1907" w:type="dxa"/>
          </w:tcPr>
          <w:p w14:paraId="0D659A46"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r>
            <w:r w:rsidRPr="004D46AC">
              <w:rPr>
                <w:rFonts w:eastAsiaTheme="minorEastAsia"/>
                <w:i/>
                <w:iCs/>
              </w:rPr>
              <w:instrText xml:space="preserve"> ADDIN EN.CITE &lt;EndNote&gt;&lt;Cite AuthorYear="1"&gt;&lt;Author&gt;Pfohl&lt;/Author&gt;&lt;Year&gt;1982&lt;/Year&gt;&lt;RecNum&gt;314&lt;/RecNum&gt;&lt;DisplayText&gt;Pfohl et al. (1982)&lt;/DisplayText&gt;&lt;record&gt;&lt;rec-number&gt;314&lt;/rec-number&gt;&lt;foreign-keys&gt;&lt;key app="EN" db-id="aet009sstawa0hewvt3xwf5atffdw2dt02sw" timestamp="1666521537"&gt;314&lt;/key&gt;&lt;/foreign-keys&gt;&lt;ref-type name="Journal Article"&gt;17&lt;/ref-type&gt;&lt;contributors&gt;&lt;authors&gt;&lt;author&gt;Pfohl, B.&lt;/author&gt;&lt;author&gt;Vasquez, N.&lt;/author&gt;&lt;author&gt;Nasrallah, H.&lt;/author&gt;&lt;/authors&gt;&lt;/contributors&gt;&lt;titles&gt;&lt;title&gt;Unipolar vs. bipolar mania: a review of 247 patients&lt;/title&gt;&lt;secondary-title&gt;Br J Psychiatry&lt;/secondary-title&gt;&lt;/titles&gt;&lt;periodical&gt;&lt;full-title&gt;Br J Psychiatry&lt;/full-title&gt;&lt;/periodical&gt;&lt;pages&gt;453-8&lt;/pages&gt;&lt;volume&gt;141&lt;/volume&gt;&lt;keywords&gt;&lt;keyword&gt;Adult&lt;/keyword&gt;&lt;keyword&gt;Age Factors&lt;/keyword&gt;&lt;keyword&gt;Bipolar Disorder/*diagnosis/genetics&lt;/keyword&gt;&lt;keyword&gt;Depressive Disorder/*diagnosis/genetics&lt;/keyword&gt;&lt;keyword&gt;Diagnosis, Differential&lt;/keyword&gt;&lt;keyword&gt;Female&lt;/keyword&gt;&lt;keyword&gt;Humans&lt;/keyword&gt;&lt;keyword&gt;Male&lt;/keyword&gt;&lt;keyword&gt;Mood Disorders/genetics&lt;/keyword&gt;&lt;keyword&gt;Sex Factors&lt;/keyword&gt;&lt;/keywords&gt;&lt;dates&gt;&lt;year&gt;1982&lt;/year&gt;&lt;pub-dates&gt;&lt;date&gt;Nov&lt;/date&gt;&lt;/pub-dates&gt;&lt;/dates&gt;&lt;isbn&gt;0007-1250 (Print)&amp;#xD;0007-1250 (Linking)&lt;/isbn&gt;&lt;accession-num&gt;7150881&lt;/accession-num&gt;&lt;urls&gt;&lt;related-urls&gt;&lt;url&gt;https://www.ncbi.nlm.nih.gov/pubmed/7150881&lt;/url&gt;&lt;/related-urls&gt;&lt;/urls&gt;&lt;electronic-resource-num&gt;10.1192/bjp.141.5.453&lt;/electronic-resource-num&gt;&lt;remote-database-name&gt;Medline&lt;/remote-database-name&gt;&lt;remote-database-provider&gt;NLM&lt;/remote-database-provider&gt;&lt;language&gt;eng&lt;/language&gt;&lt;/record&gt;&lt;/Cite&gt;&lt;/EndNote&gt;</w:instrText>
            </w:r>
            <w:r w:rsidRPr="004D46AC">
              <w:rPr>
                <w:rFonts w:eastAsiaTheme="minorEastAsia"/>
                <w:i/>
                <w:iCs/>
              </w:rPr>
              <w:fldChar w:fldCharType="separate"/>
            </w:r>
            <w:r w:rsidRPr="004D46AC">
              <w:rPr>
                <w:rFonts w:eastAsiaTheme="minorEastAsia"/>
                <w:i/>
                <w:iCs/>
              </w:rPr>
              <w:t>Pfohl et al. (1982)</w:t>
            </w:r>
            <w:r w:rsidRPr="004D46AC">
              <w:rPr>
                <w:rFonts w:eastAsiaTheme="minorEastAsia"/>
              </w:rPr>
              <w:fldChar w:fldCharType="end"/>
            </w:r>
          </w:p>
        </w:tc>
        <w:tc>
          <w:tcPr>
            <w:tcW w:w="1118" w:type="dxa"/>
            <w:vAlign w:val="center"/>
          </w:tcPr>
          <w:p w14:paraId="0DDC29A7" w14:textId="77777777" w:rsidR="009864DB" w:rsidRPr="004D46AC" w:rsidRDefault="009864DB" w:rsidP="009864DB">
            <w:pPr>
              <w:spacing w:line="240" w:lineRule="auto"/>
              <w:ind w:firstLine="0"/>
              <w:rPr>
                <w:rFonts w:eastAsiaTheme="minorEastAsia"/>
                <w:i/>
                <w:iCs/>
              </w:rPr>
            </w:pPr>
            <w:r w:rsidRPr="004D46AC">
              <w:rPr>
                <w:rFonts w:eastAsiaTheme="minorEastAsia"/>
              </w:rPr>
              <w:t>5</w:t>
            </w:r>
          </w:p>
        </w:tc>
        <w:tc>
          <w:tcPr>
            <w:tcW w:w="1100" w:type="dxa"/>
            <w:vAlign w:val="center"/>
          </w:tcPr>
          <w:p w14:paraId="5236A450" w14:textId="77777777" w:rsidR="009864DB" w:rsidRPr="004D46AC" w:rsidRDefault="009864DB" w:rsidP="009864DB">
            <w:pPr>
              <w:spacing w:line="240" w:lineRule="auto"/>
              <w:ind w:firstLine="0"/>
              <w:rPr>
                <w:rFonts w:eastAsiaTheme="minorEastAsia"/>
                <w:i/>
                <w:iCs/>
              </w:rPr>
            </w:pPr>
            <w:r w:rsidRPr="004D46AC">
              <w:rPr>
                <w:rFonts w:eastAsiaTheme="minorEastAsia"/>
              </w:rPr>
              <w:t>35.25</w:t>
            </w:r>
          </w:p>
        </w:tc>
        <w:tc>
          <w:tcPr>
            <w:tcW w:w="1271" w:type="dxa"/>
            <w:vAlign w:val="center"/>
          </w:tcPr>
          <w:p w14:paraId="154A7731" w14:textId="77777777" w:rsidR="009864DB" w:rsidRPr="004D46AC" w:rsidRDefault="009864DB" w:rsidP="009864DB">
            <w:pPr>
              <w:spacing w:line="240" w:lineRule="auto"/>
              <w:ind w:firstLine="0"/>
              <w:rPr>
                <w:rFonts w:eastAsiaTheme="minorEastAsia"/>
                <w:i/>
                <w:iCs/>
              </w:rPr>
            </w:pPr>
            <w:r w:rsidRPr="004D46AC">
              <w:rPr>
                <w:rFonts w:eastAsiaTheme="minorEastAsia"/>
              </w:rPr>
              <w:t>DSM3</w:t>
            </w:r>
          </w:p>
        </w:tc>
        <w:tc>
          <w:tcPr>
            <w:tcW w:w="1945" w:type="dxa"/>
            <w:vAlign w:val="center"/>
          </w:tcPr>
          <w:p w14:paraId="64CB5C61" w14:textId="77777777" w:rsidR="009864DB" w:rsidRPr="004D46AC" w:rsidRDefault="009864DB" w:rsidP="009864DB">
            <w:pPr>
              <w:spacing w:line="240" w:lineRule="auto"/>
              <w:ind w:firstLine="0"/>
              <w:rPr>
                <w:rFonts w:eastAsiaTheme="minorEastAsia"/>
                <w:i/>
                <w:iCs/>
              </w:rPr>
            </w:pPr>
            <w:r w:rsidRPr="004D46AC">
              <w:rPr>
                <w:rFonts w:eastAsiaTheme="minorEastAsia"/>
              </w:rPr>
              <w:t>unclear</w:t>
            </w:r>
          </w:p>
        </w:tc>
        <w:tc>
          <w:tcPr>
            <w:tcW w:w="1072" w:type="dxa"/>
            <w:vAlign w:val="center"/>
          </w:tcPr>
          <w:p w14:paraId="68A3DD50" w14:textId="77777777" w:rsidR="009864DB" w:rsidRPr="004D46AC" w:rsidRDefault="009864DB" w:rsidP="009864DB">
            <w:pPr>
              <w:spacing w:line="240" w:lineRule="auto"/>
              <w:ind w:firstLine="0"/>
              <w:rPr>
                <w:rFonts w:eastAsiaTheme="minorEastAsia"/>
                <w:i/>
                <w:iCs/>
              </w:rPr>
            </w:pPr>
            <w:r w:rsidRPr="004D46AC">
              <w:rPr>
                <w:rFonts w:eastAsiaTheme="minorEastAsia"/>
              </w:rPr>
              <w:t>247</w:t>
            </w:r>
          </w:p>
        </w:tc>
        <w:tc>
          <w:tcPr>
            <w:tcW w:w="1101" w:type="dxa"/>
            <w:vAlign w:val="center"/>
          </w:tcPr>
          <w:p w14:paraId="716E2B5D" w14:textId="77777777" w:rsidR="009864DB" w:rsidRPr="004D46AC" w:rsidRDefault="009864DB" w:rsidP="009864DB">
            <w:pPr>
              <w:spacing w:line="240" w:lineRule="auto"/>
              <w:ind w:firstLine="0"/>
              <w:rPr>
                <w:rFonts w:eastAsiaTheme="minorEastAsia"/>
                <w:i/>
                <w:iCs/>
              </w:rPr>
            </w:pPr>
            <w:r w:rsidRPr="004D46AC">
              <w:rPr>
                <w:rFonts w:eastAsiaTheme="minorEastAsia"/>
              </w:rPr>
              <w:t>3</w:t>
            </w:r>
          </w:p>
        </w:tc>
        <w:tc>
          <w:tcPr>
            <w:tcW w:w="1090" w:type="dxa"/>
            <w:vAlign w:val="center"/>
          </w:tcPr>
          <w:p w14:paraId="2A827ECE"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6B476D97"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2E442202"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ftd</w:t>
            </w:r>
            <w:proofErr w:type="spellEnd"/>
          </w:p>
        </w:tc>
        <w:tc>
          <w:tcPr>
            <w:tcW w:w="1087" w:type="dxa"/>
            <w:vAlign w:val="center"/>
          </w:tcPr>
          <w:p w14:paraId="06D96CCA" w14:textId="77777777" w:rsidR="009864DB" w:rsidRPr="004D46AC" w:rsidRDefault="009864DB" w:rsidP="009864DB">
            <w:pPr>
              <w:spacing w:line="240" w:lineRule="auto"/>
              <w:ind w:firstLine="0"/>
              <w:rPr>
                <w:rFonts w:eastAsiaTheme="minorEastAsia"/>
                <w:i/>
                <w:iCs/>
              </w:rPr>
            </w:pPr>
            <w:r w:rsidRPr="004D46AC">
              <w:rPr>
                <w:rFonts w:eastAsiaTheme="minorEastAsia"/>
              </w:rPr>
              <w:t>143</w:t>
            </w:r>
          </w:p>
        </w:tc>
      </w:tr>
      <w:tr w:rsidR="009864DB" w:rsidRPr="004D46AC" w14:paraId="6FC48135" w14:textId="77777777" w:rsidTr="00B518F1">
        <w:trPr>
          <w:trHeight w:val="300"/>
        </w:trPr>
        <w:tc>
          <w:tcPr>
            <w:tcW w:w="1907" w:type="dxa"/>
          </w:tcPr>
          <w:p w14:paraId="53175896" w14:textId="77777777" w:rsidR="009864DB" w:rsidRPr="004D46AC" w:rsidRDefault="009864DB" w:rsidP="009864DB">
            <w:pPr>
              <w:spacing w:line="240" w:lineRule="auto"/>
              <w:ind w:firstLine="0"/>
              <w:rPr>
                <w:rFonts w:eastAsiaTheme="minorEastAsia"/>
                <w:i/>
                <w:iCs/>
              </w:rPr>
            </w:pPr>
            <w:r w:rsidRPr="004D46AC">
              <w:rPr>
                <w:rFonts w:eastAsiaTheme="minorEastAsia"/>
                <w:i/>
                <w:iCs/>
              </w:rPr>
              <w:fldChar w:fldCharType="begin"/>
            </w:r>
            <w:r w:rsidRPr="004D46AC">
              <w:rPr>
                <w:rFonts w:eastAsiaTheme="minorEastAsia"/>
                <w:i/>
                <w:iCs/>
              </w:rPr>
              <w:instrText xml:space="preserve"> ADDIN EN.CITE &lt;EndNote&gt;&lt;Cite AuthorYear="1"&gt;&lt;Author&gt;Park&lt;/Author&gt;&lt;Year&gt;2014&lt;/Year&gt;&lt;RecNum&gt;320&lt;/RecNum&gt;&lt;DisplayText&gt;Park et al. (2014)&lt;/DisplayText&gt;&lt;record&gt;&lt;rec-number&gt;320&lt;/rec-number&gt;&lt;foreign-keys&gt;&lt;key app="EN" db-id="aet009sstawa0hewvt3xwf5atffdw2dt02sw" timestamp="1666525486"&gt;320&lt;/key&gt;&lt;/foreign-keys&gt;&lt;ref-type name="Journal Article"&gt;17&lt;/ref-type&gt;&lt;contributors&gt;&lt;authors&gt;&lt;author&gt;Park, J.&lt;/author&gt;&lt;author&gt;Ayduk, O.&lt;/author&gt;&lt;author&gt;O&amp;apos;Donnell, L.&lt;/author&gt;&lt;author&gt;Chun, J.&lt;/author&gt;&lt;author&gt;Gruber, J.&lt;/author&gt;&lt;author&gt;Kamali, M.&lt;/author&gt;&lt;author&gt;McInnis, M.&lt;/author&gt;&lt;author&gt;Deldin, P.&lt;/author&gt;&lt;author&gt;Kross, E.&lt;/author&gt;&lt;/authors&gt;&lt;/contributors&gt;&lt;auth-address&gt;University of Michigan, Ann Arbor.&amp;#xD;University of California, Berkeley.&amp;#xD;Beth Israel Deaconess Medical Center.&amp;#xD;Yale University.&lt;/auth-address&gt;&lt;titles&gt;&lt;title&gt;Regulating the High: Cognitive and Neural Processes Underlying Positive Emotion Regulation in Bipolar I Disorder&lt;/title&gt;&lt;secondary-title&gt;Clin Psychol Sci&lt;/secondary-title&gt;&lt;/titles&gt;&lt;periodical&gt;&lt;full-title&gt;Clin Psychol Sci&lt;/full-title&gt;&lt;/periodical&gt;&lt;pages&gt;661-674&lt;/pages&gt;&lt;volume&gt;2&lt;/volume&gt;&lt;number&gt;6&lt;/number&gt;&lt;edition&gt;20140409&lt;/edition&gt;&lt;keywords&gt;&lt;keyword&gt;Bipolar Disorder&lt;/keyword&gt;&lt;keyword&gt;emotion regulation&lt;/keyword&gt;&lt;keyword&gt;psychosis history&lt;/keyword&gt;&lt;keyword&gt;self-distancing&lt;/keyword&gt;&lt;/keywords&gt;&lt;dates&gt;&lt;year&gt;2014&lt;/year&gt;&lt;pub-dates&gt;&lt;date&gt;Nov 1&lt;/date&gt;&lt;/pub-dates&gt;&lt;/dates&gt;&lt;isbn&gt;2167-7026 (Print)&amp;#xD;2167-7034 (Electronic)&amp;#xD;2167-7034 (Linking)&lt;/isbn&gt;&lt;accession-num&gt;26719819&lt;/accession-num&gt;&lt;urls&gt;&lt;related-urls&gt;&lt;url&gt;https://www.ncbi.nlm.nih.gov/pubmed/26719819&lt;/url&gt;&lt;/related-urls&gt;&lt;/urls&gt;&lt;custom2&gt;PMC4692193&lt;/custom2&gt;&lt;custom6&gt;NIHMS569674&lt;/custom6&gt;&lt;electronic-resource-num&gt;10.1177/2167702614527580&lt;/electronic-resource-num&gt;&lt;remote-database-name&gt;PubMed-not-MEDLINE&lt;/remote-database-name&gt;&lt;remote-database-provider&gt;NLM&lt;/remote-database-provider&gt;&lt;language&gt;eng&lt;/language&gt;&lt;/record&gt;&lt;/Cite&gt;&lt;/EndNote&gt;</w:instrText>
            </w:r>
            <w:r w:rsidRPr="004D46AC">
              <w:rPr>
                <w:rFonts w:eastAsiaTheme="minorEastAsia"/>
                <w:i/>
                <w:iCs/>
              </w:rPr>
              <w:fldChar w:fldCharType="separate"/>
            </w:r>
            <w:r w:rsidRPr="004D46AC">
              <w:rPr>
                <w:rFonts w:eastAsiaTheme="minorEastAsia"/>
                <w:i/>
                <w:iCs/>
              </w:rPr>
              <w:t>Park et al. (2014)</w:t>
            </w:r>
            <w:r w:rsidRPr="004D46AC">
              <w:rPr>
                <w:rFonts w:eastAsiaTheme="minorEastAsia"/>
              </w:rPr>
              <w:fldChar w:fldCharType="end"/>
            </w:r>
          </w:p>
        </w:tc>
        <w:tc>
          <w:tcPr>
            <w:tcW w:w="1118" w:type="dxa"/>
            <w:vAlign w:val="center"/>
          </w:tcPr>
          <w:p w14:paraId="41AE50E7" w14:textId="77777777" w:rsidR="009864DB" w:rsidRPr="004D46AC" w:rsidRDefault="009864DB" w:rsidP="009864DB">
            <w:pPr>
              <w:spacing w:line="240" w:lineRule="auto"/>
              <w:ind w:firstLine="0"/>
              <w:rPr>
                <w:rFonts w:eastAsiaTheme="minorEastAsia"/>
                <w:i/>
                <w:iCs/>
              </w:rPr>
            </w:pPr>
            <w:r w:rsidRPr="004D46AC">
              <w:rPr>
                <w:rFonts w:eastAsiaTheme="minorEastAsia"/>
              </w:rPr>
              <w:t>6</w:t>
            </w:r>
          </w:p>
        </w:tc>
        <w:tc>
          <w:tcPr>
            <w:tcW w:w="1100" w:type="dxa"/>
            <w:vAlign w:val="center"/>
          </w:tcPr>
          <w:p w14:paraId="576282A9" w14:textId="77777777" w:rsidR="009864DB" w:rsidRPr="004D46AC" w:rsidRDefault="009864DB" w:rsidP="009864DB">
            <w:pPr>
              <w:spacing w:line="240" w:lineRule="auto"/>
              <w:ind w:firstLine="0"/>
              <w:rPr>
                <w:rFonts w:eastAsiaTheme="minorEastAsia"/>
                <w:i/>
                <w:iCs/>
              </w:rPr>
            </w:pPr>
            <w:r w:rsidRPr="004D46AC">
              <w:rPr>
                <w:rFonts w:eastAsiaTheme="minorEastAsia"/>
              </w:rPr>
              <w:t>41.49</w:t>
            </w:r>
          </w:p>
        </w:tc>
        <w:tc>
          <w:tcPr>
            <w:tcW w:w="1271" w:type="dxa"/>
            <w:vAlign w:val="center"/>
          </w:tcPr>
          <w:p w14:paraId="793B77F0" w14:textId="77777777" w:rsidR="009864DB" w:rsidRPr="004D46AC" w:rsidRDefault="009864DB" w:rsidP="009864DB">
            <w:pPr>
              <w:spacing w:line="240" w:lineRule="auto"/>
              <w:ind w:firstLine="0"/>
              <w:rPr>
                <w:rFonts w:eastAsiaTheme="minorEastAsia"/>
                <w:i/>
                <w:iCs/>
              </w:rPr>
            </w:pPr>
            <w:r w:rsidRPr="004D46AC">
              <w:rPr>
                <w:rFonts w:eastAsiaTheme="minorEastAsia"/>
              </w:rPr>
              <w:t>DSM4</w:t>
            </w:r>
          </w:p>
        </w:tc>
        <w:tc>
          <w:tcPr>
            <w:tcW w:w="1945" w:type="dxa"/>
            <w:vAlign w:val="center"/>
          </w:tcPr>
          <w:p w14:paraId="79753DA0" w14:textId="77777777" w:rsidR="009864DB" w:rsidRPr="004D46AC" w:rsidRDefault="009864DB" w:rsidP="009864DB">
            <w:pPr>
              <w:spacing w:line="240" w:lineRule="auto"/>
              <w:ind w:firstLine="0"/>
              <w:rPr>
                <w:rFonts w:eastAsiaTheme="minorEastAsia"/>
                <w:i/>
                <w:iCs/>
              </w:rPr>
            </w:pPr>
            <w:r w:rsidRPr="004D46AC">
              <w:rPr>
                <w:rFonts w:eastAsiaTheme="minorEastAsia"/>
              </w:rPr>
              <w:t>DIGS</w:t>
            </w:r>
          </w:p>
        </w:tc>
        <w:tc>
          <w:tcPr>
            <w:tcW w:w="1072" w:type="dxa"/>
            <w:vAlign w:val="center"/>
          </w:tcPr>
          <w:p w14:paraId="21CA24AE" w14:textId="77777777" w:rsidR="009864DB" w:rsidRPr="004D46AC" w:rsidRDefault="009864DB" w:rsidP="009864DB">
            <w:pPr>
              <w:spacing w:line="240" w:lineRule="auto"/>
              <w:ind w:firstLine="0"/>
              <w:rPr>
                <w:rFonts w:eastAsiaTheme="minorEastAsia"/>
                <w:i/>
                <w:iCs/>
              </w:rPr>
            </w:pPr>
            <w:r w:rsidRPr="004D46AC">
              <w:rPr>
                <w:rFonts w:eastAsiaTheme="minorEastAsia"/>
              </w:rPr>
              <w:t>41</w:t>
            </w:r>
          </w:p>
        </w:tc>
        <w:tc>
          <w:tcPr>
            <w:tcW w:w="1101" w:type="dxa"/>
            <w:vAlign w:val="center"/>
          </w:tcPr>
          <w:p w14:paraId="62EDDCEF"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90" w:type="dxa"/>
            <w:vAlign w:val="center"/>
          </w:tcPr>
          <w:p w14:paraId="5A419FBA"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c>
          <w:tcPr>
            <w:tcW w:w="1086" w:type="dxa"/>
          </w:tcPr>
          <w:p w14:paraId="229999C9" w14:textId="77777777" w:rsidR="009864DB" w:rsidRPr="004D46AC" w:rsidRDefault="009864DB" w:rsidP="009864DB">
            <w:pPr>
              <w:spacing w:line="240" w:lineRule="auto"/>
              <w:ind w:firstLine="0"/>
              <w:rPr>
                <w:rFonts w:eastAsiaTheme="minorEastAsia"/>
                <w:i/>
                <w:iCs/>
              </w:rPr>
            </w:pPr>
            <w:r w:rsidRPr="004D46AC">
              <w:rPr>
                <w:rFonts w:eastAsiaTheme="minorEastAsia"/>
                <w:i/>
                <w:iCs/>
              </w:rPr>
              <w:t>1</w:t>
            </w:r>
          </w:p>
        </w:tc>
        <w:tc>
          <w:tcPr>
            <w:tcW w:w="1171" w:type="dxa"/>
            <w:vAlign w:val="center"/>
          </w:tcPr>
          <w:p w14:paraId="79AD671E" w14:textId="77777777" w:rsidR="009864DB" w:rsidRPr="004D46AC" w:rsidRDefault="009864DB" w:rsidP="009864DB">
            <w:pPr>
              <w:spacing w:line="240" w:lineRule="auto"/>
              <w:ind w:firstLine="0"/>
              <w:rPr>
                <w:rFonts w:eastAsiaTheme="minorEastAsia"/>
                <w:i/>
                <w:iCs/>
              </w:rPr>
            </w:pPr>
            <w:proofErr w:type="spellStart"/>
            <w:r w:rsidRPr="004D46AC">
              <w:rPr>
                <w:rFonts w:eastAsiaTheme="minorEastAsia"/>
              </w:rPr>
              <w:t>dtb</w:t>
            </w:r>
            <w:proofErr w:type="spellEnd"/>
          </w:p>
        </w:tc>
        <w:tc>
          <w:tcPr>
            <w:tcW w:w="1087" w:type="dxa"/>
            <w:vAlign w:val="center"/>
          </w:tcPr>
          <w:p w14:paraId="0C59E575" w14:textId="77777777" w:rsidR="009864DB" w:rsidRPr="004D46AC" w:rsidRDefault="009864DB" w:rsidP="009864DB">
            <w:pPr>
              <w:spacing w:line="240" w:lineRule="auto"/>
              <w:ind w:firstLine="0"/>
              <w:rPr>
                <w:rFonts w:eastAsiaTheme="minorEastAsia"/>
                <w:i/>
                <w:iCs/>
              </w:rPr>
            </w:pPr>
            <w:r w:rsidRPr="004D46AC">
              <w:rPr>
                <w:rFonts w:eastAsiaTheme="minorEastAsia"/>
              </w:rPr>
              <w:t>2</w:t>
            </w:r>
          </w:p>
        </w:tc>
      </w:tr>
    </w:tbl>
    <w:p w14:paraId="609DC7F0" w14:textId="77777777" w:rsidR="009864DB" w:rsidRPr="004D46AC" w:rsidRDefault="009864DB" w:rsidP="009864DB">
      <w:pPr>
        <w:spacing w:line="240" w:lineRule="auto"/>
        <w:ind w:firstLine="0"/>
        <w:rPr>
          <w:rFonts w:eastAsiaTheme="minorEastAsia"/>
        </w:rPr>
      </w:pPr>
      <w:r w:rsidRPr="004D46AC">
        <w:rPr>
          <w:rFonts w:eastAsiaTheme="minorEastAsia"/>
          <w:i/>
          <w:iCs/>
        </w:rPr>
        <w:t xml:space="preserve">Note. </w:t>
      </w:r>
      <w:r w:rsidRPr="004D46AC">
        <w:rPr>
          <w:rFonts w:eastAsiaTheme="minorEastAsia"/>
        </w:rPr>
        <w:t xml:space="preserve">The JBI score refers to the study quality score rated by the JBI checklist (range = 0-9). Pop denotes the patient population (1 = outpatient, 2 = mixed, 3 = inpatient). Criteria specify the diagnostic criteria used, while Assessment refers to the interview tools employed (See Table S6 for details). BD </w:t>
      </w:r>
      <w:proofErr w:type="gramStart"/>
      <w:r w:rsidRPr="004D46AC">
        <w:rPr>
          <w:rFonts w:eastAsiaTheme="minorEastAsia"/>
        </w:rPr>
        <w:t>represents  the</w:t>
      </w:r>
      <w:proofErr w:type="gramEnd"/>
      <w:r w:rsidRPr="004D46AC">
        <w:rPr>
          <w:rFonts w:eastAsiaTheme="minorEastAsia"/>
        </w:rPr>
        <w:t xml:space="preserve"> bipolar diagnosis subtype (0 = BD II, 1 = BSD, 2 = BD I, 3 = Psychotic BD). TF indicates the timeframe (0 = current, 1 = lifetime). </w:t>
      </w:r>
      <w:proofErr w:type="spellStart"/>
      <w:r w:rsidRPr="004D46AC">
        <w:rPr>
          <w:rFonts w:eastAsiaTheme="minorEastAsia"/>
        </w:rPr>
        <w:t>Cotyp</w:t>
      </w:r>
      <w:proofErr w:type="spellEnd"/>
      <w:r w:rsidRPr="004D46AC">
        <w:rPr>
          <w:rFonts w:eastAsiaTheme="minorEastAsia"/>
        </w:rPr>
        <w:t xml:space="preserve"> refers to the type of cooccurring thought disorders (e.g.,</w:t>
      </w:r>
      <w:r w:rsidRPr="004D46AC">
        <w:rPr>
          <w:rFonts w:eastAsiaTheme="minorEastAsia" w:hint="eastAsia"/>
        </w:rPr>
        <w:t xml:space="preserve"> </w:t>
      </w:r>
      <w:proofErr w:type="spellStart"/>
      <w:r w:rsidRPr="004D46AC">
        <w:rPr>
          <w:rFonts w:eastAsiaTheme="minorEastAsia" w:hint="eastAsia"/>
        </w:rPr>
        <w:t>ftd</w:t>
      </w:r>
      <w:proofErr w:type="spellEnd"/>
      <w:r w:rsidRPr="004D46AC">
        <w:rPr>
          <w:rFonts w:eastAsiaTheme="minorEastAsia" w:hint="eastAsia"/>
        </w:rPr>
        <w:t xml:space="preserve">= formal thought disorder, ds = disturbed speech, </w:t>
      </w:r>
      <w:proofErr w:type="spellStart"/>
      <w:r w:rsidRPr="004D46AC">
        <w:rPr>
          <w:rFonts w:eastAsiaTheme="minorEastAsia" w:hint="eastAsia"/>
        </w:rPr>
        <w:t>dtb</w:t>
      </w:r>
      <w:proofErr w:type="spellEnd"/>
      <w:r w:rsidRPr="004D46AC">
        <w:rPr>
          <w:rFonts w:eastAsiaTheme="minorEastAsia" w:hint="eastAsia"/>
        </w:rPr>
        <w:t xml:space="preserve"> = disorganised thoughts and behaviours, </w:t>
      </w:r>
      <w:proofErr w:type="spellStart"/>
      <w:r w:rsidRPr="004D46AC">
        <w:rPr>
          <w:rFonts w:eastAsiaTheme="minorEastAsia" w:hint="eastAsia"/>
        </w:rPr>
        <w:t>pftd</w:t>
      </w:r>
      <w:proofErr w:type="spellEnd"/>
      <w:r w:rsidRPr="004D46AC">
        <w:rPr>
          <w:rFonts w:eastAsiaTheme="minorEastAsia" w:hint="eastAsia"/>
        </w:rPr>
        <w:t xml:space="preserve"> = positive formal thought disorder</w:t>
      </w:r>
      <w:r w:rsidRPr="004D46AC">
        <w:rPr>
          <w:rFonts w:eastAsiaTheme="minorEastAsia"/>
        </w:rPr>
        <w:t>). Co (n): number of patients with this condition.</w:t>
      </w:r>
    </w:p>
    <w:p w14:paraId="0F4FD76B" w14:textId="77777777" w:rsidR="009864DB" w:rsidRPr="004D46AC" w:rsidRDefault="009864DB" w:rsidP="009864DB">
      <w:pPr>
        <w:spacing w:line="240" w:lineRule="auto"/>
        <w:ind w:firstLine="0"/>
        <w:rPr>
          <w:rFonts w:eastAsiaTheme="minorEastAsia"/>
        </w:rPr>
      </w:pPr>
    </w:p>
    <w:p w14:paraId="17DD6E84" w14:textId="77777777" w:rsidR="009864DB" w:rsidRPr="004D46AC" w:rsidRDefault="009864DB" w:rsidP="009864DB">
      <w:pPr>
        <w:spacing w:line="240" w:lineRule="auto"/>
        <w:ind w:firstLine="0"/>
        <w:rPr>
          <w:rFonts w:eastAsiaTheme="minorEastAsia"/>
        </w:rPr>
      </w:pPr>
    </w:p>
    <w:p w14:paraId="3D1AB53D" w14:textId="745C9D64" w:rsidR="009864DB" w:rsidRPr="004D46AC" w:rsidRDefault="009864DB" w:rsidP="009864DB">
      <w:pPr>
        <w:spacing w:line="240" w:lineRule="auto"/>
        <w:ind w:firstLine="0"/>
        <w:rPr>
          <w:rFonts w:eastAsiaTheme="minorEastAsia"/>
        </w:rPr>
      </w:pPr>
      <w:r w:rsidRPr="004D46AC">
        <w:rPr>
          <w:rFonts w:eastAsiaTheme="minorEastAsia" w:hint="eastAsia"/>
        </w:rPr>
        <w:lastRenderedPageBreak/>
        <w:t>Reference:</w:t>
      </w:r>
    </w:p>
    <w:p w14:paraId="40286668"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Abrams, R., &amp; Taylor, M. A. (1981). Importance of schizophrenic symptoms in the diagnosis of mania. Am J Psychiatry, 138(5), 658–661. https://doi.org/10.1176/ajp.138.5.658 </w:t>
      </w:r>
    </w:p>
    <w:p w14:paraId="68ED791F"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Breslau, N., &amp; Meltzer, H. Y. (1988). Validity of subtyping psychotic depression: examination of phenomenology and demographic characteristics. Am J Psychiatry, 145(1), 35–40. https://doi.org/10.1176/ajp.145.1.35 </w:t>
      </w:r>
    </w:p>
    <w:p w14:paraId="794C9631"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Keck, P. E., Jr., McElroy, S. L., Havens, J. R., Altshuler, L. L., Nolen, W. A., Frye, M. A., Suppes, T., </w:t>
      </w:r>
      <w:proofErr w:type="spellStart"/>
      <w:r w:rsidRPr="004D46AC">
        <w:rPr>
          <w:rFonts w:eastAsiaTheme="minorEastAsia"/>
        </w:rPr>
        <w:t>Denicoff</w:t>
      </w:r>
      <w:proofErr w:type="spellEnd"/>
      <w:r w:rsidRPr="004D46AC">
        <w:rPr>
          <w:rFonts w:eastAsiaTheme="minorEastAsia"/>
        </w:rPr>
        <w:t xml:space="preserve">, K. D., Kupka, R., Leverich, G. S., Rush, A. J., &amp; Post, R. M. (2003). Psychosis in bipolar disorder: phenomenology and impact on morbidity and course of illness. </w:t>
      </w:r>
      <w:proofErr w:type="spellStart"/>
      <w:r w:rsidRPr="004D46AC">
        <w:rPr>
          <w:rFonts w:eastAsiaTheme="minorEastAsia"/>
        </w:rPr>
        <w:t>Compr</w:t>
      </w:r>
      <w:proofErr w:type="spellEnd"/>
      <w:r w:rsidRPr="004D46AC">
        <w:rPr>
          <w:rFonts w:eastAsiaTheme="minorEastAsia"/>
        </w:rPr>
        <w:t xml:space="preserve"> Psychiatry, 44(4), 263–269. https://doi.org/10.1016/S0010-440X(03)00089-0 </w:t>
      </w:r>
    </w:p>
    <w:p w14:paraId="0A2AC047"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Kennedy, N., Boydell, J., van </w:t>
      </w:r>
      <w:proofErr w:type="spellStart"/>
      <w:r w:rsidRPr="004D46AC">
        <w:rPr>
          <w:rFonts w:eastAsiaTheme="minorEastAsia"/>
        </w:rPr>
        <w:t>Os</w:t>
      </w:r>
      <w:proofErr w:type="spellEnd"/>
      <w:r w:rsidRPr="004D46AC">
        <w:rPr>
          <w:rFonts w:eastAsiaTheme="minorEastAsia"/>
        </w:rPr>
        <w:t xml:space="preserve">, J., &amp; Murray, R. M. (2004). Ethnic differences in first clinical presentation of bipolar disorder: results from an epidemiological study. J Affect </w:t>
      </w:r>
      <w:proofErr w:type="spellStart"/>
      <w:r w:rsidRPr="004D46AC">
        <w:rPr>
          <w:rFonts w:eastAsiaTheme="minorEastAsia"/>
        </w:rPr>
        <w:t>Disord</w:t>
      </w:r>
      <w:proofErr w:type="spellEnd"/>
      <w:r w:rsidRPr="004D46AC">
        <w:rPr>
          <w:rFonts w:eastAsiaTheme="minorEastAsia"/>
        </w:rPr>
        <w:t xml:space="preserve">, 83(2-3), 161–168. https://doi.org/10.1016/j.jad.2004.06.006 </w:t>
      </w:r>
    </w:p>
    <w:p w14:paraId="251F1B9E"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Mancuso, S. G., Morgan, V. A., Mitchell, P. B., Berk, M., Young, A., &amp; Castle, D. J. (2015). A comparison of schizophrenia, schizoaffective disorder, and bipolar disorder: Results from the Second Australian national psychosis survey. J Affect </w:t>
      </w:r>
      <w:proofErr w:type="spellStart"/>
      <w:r w:rsidRPr="004D46AC">
        <w:rPr>
          <w:rFonts w:eastAsiaTheme="minorEastAsia"/>
        </w:rPr>
        <w:t>Disord</w:t>
      </w:r>
      <w:proofErr w:type="spellEnd"/>
      <w:r w:rsidRPr="004D46AC">
        <w:rPr>
          <w:rFonts w:eastAsiaTheme="minorEastAsia"/>
        </w:rPr>
        <w:t xml:space="preserve">, 172, 30–37. https://doi.org/10.1016/j.jad.2014.09.035 </w:t>
      </w:r>
    </w:p>
    <w:p w14:paraId="35733C3D"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Marengo, J., &amp; Harrow, M. (1985). Thought disorder. A function of schizophrenia, mania, or psychosis? J </w:t>
      </w:r>
      <w:proofErr w:type="spellStart"/>
      <w:r w:rsidRPr="004D46AC">
        <w:rPr>
          <w:rFonts w:eastAsiaTheme="minorEastAsia"/>
        </w:rPr>
        <w:t>Nerv</w:t>
      </w:r>
      <w:proofErr w:type="spellEnd"/>
      <w:r w:rsidRPr="004D46AC">
        <w:rPr>
          <w:rFonts w:eastAsiaTheme="minorEastAsia"/>
        </w:rPr>
        <w:t xml:space="preserve"> Ment Dis, 173(1), 35–41. </w:t>
      </w:r>
    </w:p>
    <w:p w14:paraId="20DAC0B6"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Park, J., </w:t>
      </w:r>
      <w:proofErr w:type="spellStart"/>
      <w:r w:rsidRPr="004D46AC">
        <w:rPr>
          <w:rFonts w:eastAsiaTheme="minorEastAsia"/>
        </w:rPr>
        <w:t>Ayduk</w:t>
      </w:r>
      <w:proofErr w:type="spellEnd"/>
      <w:r w:rsidRPr="004D46AC">
        <w:rPr>
          <w:rFonts w:eastAsiaTheme="minorEastAsia"/>
        </w:rPr>
        <w:t xml:space="preserve">, O., O'Donnell, L., Chun, J., Gruber, J., Kamali, M., McInnis, M., Deldin, P., &amp; Kross, E. (2014). Regulating the High: Cognitive and Neural Processes Underlying Positive Emotion Regulation in Bipolar I Disorder. Clin </w:t>
      </w:r>
      <w:proofErr w:type="spellStart"/>
      <w:r w:rsidRPr="004D46AC">
        <w:rPr>
          <w:rFonts w:eastAsiaTheme="minorEastAsia"/>
        </w:rPr>
        <w:t>Psychol</w:t>
      </w:r>
      <w:proofErr w:type="spellEnd"/>
      <w:r w:rsidRPr="004D46AC">
        <w:rPr>
          <w:rFonts w:eastAsiaTheme="minorEastAsia"/>
        </w:rPr>
        <w:t xml:space="preserve"> Sci, 2(6), 661–674. https://doi.org/10.1177/2167702614527580 </w:t>
      </w:r>
    </w:p>
    <w:p w14:paraId="031FC3B6"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Perlman, G., Kotov, R., Fu, J., </w:t>
      </w:r>
      <w:proofErr w:type="spellStart"/>
      <w:r w:rsidRPr="004D46AC">
        <w:rPr>
          <w:rFonts w:eastAsiaTheme="minorEastAsia"/>
        </w:rPr>
        <w:t>Bromet</w:t>
      </w:r>
      <w:proofErr w:type="spellEnd"/>
      <w:r w:rsidRPr="004D46AC">
        <w:rPr>
          <w:rFonts w:eastAsiaTheme="minorEastAsia"/>
        </w:rPr>
        <w:t xml:space="preserve">, E. J., </w:t>
      </w:r>
      <w:proofErr w:type="spellStart"/>
      <w:r w:rsidRPr="004D46AC">
        <w:rPr>
          <w:rFonts w:eastAsiaTheme="minorEastAsia"/>
        </w:rPr>
        <w:t>Fochtmann</w:t>
      </w:r>
      <w:proofErr w:type="spellEnd"/>
      <w:r w:rsidRPr="004D46AC">
        <w:rPr>
          <w:rFonts w:eastAsiaTheme="minorEastAsia"/>
        </w:rPr>
        <w:t xml:space="preserve">, L. J., Medeiros, H., Genomic Psychiatry Cohort, C., Pato, M. T., &amp; Pato, C. N. (2016). Symptoms of psychosis in schizophrenia, schizoaffective disorder, and bipolar disorder: A comparison of African Americans and Caucasians in the Genomic Psychiatry Cohort. Am J Med Genet B </w:t>
      </w:r>
      <w:proofErr w:type="spellStart"/>
      <w:r w:rsidRPr="004D46AC">
        <w:rPr>
          <w:rFonts w:eastAsiaTheme="minorEastAsia"/>
        </w:rPr>
        <w:t>Neuropsychiatr</w:t>
      </w:r>
      <w:proofErr w:type="spellEnd"/>
      <w:r w:rsidRPr="004D46AC">
        <w:rPr>
          <w:rFonts w:eastAsiaTheme="minorEastAsia"/>
        </w:rPr>
        <w:t xml:space="preserve"> Genet, 171(4), 546–555. https://doi.org/10.1002/ajmg.b.32409 </w:t>
      </w:r>
    </w:p>
    <w:p w14:paraId="74A3DC6E"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Pfohl, B., Vasquez, N., &amp; Nasrallah, H. (1982). Unipolar vs. bipolar mania: a review of 247 patients. Br J Psychiatry, 141, 453–458. https://doi.org/10.1192/bjp.141.5.453 </w:t>
      </w:r>
    </w:p>
    <w:p w14:paraId="4D4C5475" w14:textId="77777777" w:rsidR="009864DB" w:rsidRPr="004D46AC" w:rsidRDefault="009864DB" w:rsidP="009864DB">
      <w:pPr>
        <w:spacing w:line="240" w:lineRule="auto"/>
        <w:ind w:left="720" w:hanging="720"/>
        <w:rPr>
          <w:rFonts w:eastAsiaTheme="minorEastAsia"/>
        </w:rPr>
      </w:pPr>
      <w:proofErr w:type="spellStart"/>
      <w:r w:rsidRPr="004D46AC">
        <w:rPr>
          <w:rFonts w:eastAsiaTheme="minorEastAsia"/>
        </w:rPr>
        <w:t>Reininghaus</w:t>
      </w:r>
      <w:proofErr w:type="spellEnd"/>
      <w:r w:rsidRPr="004D46AC">
        <w:rPr>
          <w:rFonts w:eastAsiaTheme="minorEastAsia"/>
        </w:rPr>
        <w:t xml:space="preserve">, U., Bohnke, J. R., Hosang, G., Farmer, A., Burns, T., McGuffin, P., &amp; Bentall, R. P. (2016). Evaluation of the validity and utility of a transdiagnostic psychosis dimension encompassing schizophrenia and bipolar disorder. Br J Psychiatry, 209(2), 107–113. https://doi.org/10.1192/bjp.bp.115.167882 </w:t>
      </w:r>
    </w:p>
    <w:p w14:paraId="0450FE06"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Stein, F., Lemmer, G., Schmitt, S., Brosch, K., Meller, T., Fischer, E., Kraus, C., Lenhard, L., </w:t>
      </w:r>
      <w:proofErr w:type="spellStart"/>
      <w:r w:rsidRPr="004D46AC">
        <w:rPr>
          <w:rFonts w:eastAsiaTheme="minorEastAsia"/>
        </w:rPr>
        <w:t>Kohnlein</w:t>
      </w:r>
      <w:proofErr w:type="spellEnd"/>
      <w:r w:rsidRPr="004D46AC">
        <w:rPr>
          <w:rFonts w:eastAsiaTheme="minorEastAsia"/>
        </w:rPr>
        <w:t xml:space="preserve">, B., Murata, H., Backer, A., Muller, M., Franz, M., Forster, K., Meinert, S., Enneking, V., Koch, K., </w:t>
      </w:r>
      <w:proofErr w:type="spellStart"/>
      <w:r w:rsidRPr="004D46AC">
        <w:rPr>
          <w:rFonts w:eastAsiaTheme="minorEastAsia"/>
        </w:rPr>
        <w:t>Grotegerd</w:t>
      </w:r>
      <w:proofErr w:type="spellEnd"/>
      <w:r w:rsidRPr="004D46AC">
        <w:rPr>
          <w:rFonts w:eastAsiaTheme="minorEastAsia"/>
        </w:rPr>
        <w:t xml:space="preserve">, D., Nagels, A.,…Krug, A. (2020). Factor analyses of multidimensional symptoms in a large group of patients with major depressive disorder, bipolar disorder, schizoaffective disorder and schizophrenia. </w:t>
      </w:r>
      <w:proofErr w:type="spellStart"/>
      <w:r w:rsidRPr="004D46AC">
        <w:rPr>
          <w:rFonts w:eastAsiaTheme="minorEastAsia"/>
        </w:rPr>
        <w:t>Schizophr</w:t>
      </w:r>
      <w:proofErr w:type="spellEnd"/>
      <w:r w:rsidRPr="004D46AC">
        <w:rPr>
          <w:rFonts w:eastAsiaTheme="minorEastAsia"/>
        </w:rPr>
        <w:t xml:space="preserve"> Res, 218, 38–47. https://doi.org/10.1016/j.schres.2020.03.011 </w:t>
      </w:r>
    </w:p>
    <w:p w14:paraId="322DE6C6"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Taylor, M. A., Reed, R., &amp; Berenbaum, S. (1994). Patterns of speech disorders in schizophrenia and mania. J </w:t>
      </w:r>
      <w:proofErr w:type="spellStart"/>
      <w:r w:rsidRPr="004D46AC">
        <w:rPr>
          <w:rFonts w:eastAsiaTheme="minorEastAsia"/>
        </w:rPr>
        <w:t>Nerv</w:t>
      </w:r>
      <w:proofErr w:type="spellEnd"/>
      <w:r w:rsidRPr="004D46AC">
        <w:rPr>
          <w:rFonts w:eastAsiaTheme="minorEastAsia"/>
        </w:rPr>
        <w:t xml:space="preserve"> Ment Dis, 182(6), 319–326. https://doi.org/10.1097/00005053-199406000-00002 </w:t>
      </w:r>
    </w:p>
    <w:p w14:paraId="25FB156B" w14:textId="77777777" w:rsidR="009864DB" w:rsidRPr="004D46AC" w:rsidRDefault="009864DB" w:rsidP="009864DB">
      <w:pPr>
        <w:spacing w:line="240" w:lineRule="auto"/>
        <w:ind w:left="720" w:hanging="720"/>
        <w:rPr>
          <w:rFonts w:eastAsiaTheme="minorEastAsia"/>
        </w:rPr>
      </w:pPr>
      <w:r w:rsidRPr="004D46AC">
        <w:rPr>
          <w:rFonts w:eastAsiaTheme="minorEastAsia"/>
        </w:rPr>
        <w:t xml:space="preserve">Toomey, R., Faraone, S. V., Simpson, J. C., &amp; </w:t>
      </w:r>
      <w:proofErr w:type="spellStart"/>
      <w:r w:rsidRPr="004D46AC">
        <w:rPr>
          <w:rFonts w:eastAsiaTheme="minorEastAsia"/>
        </w:rPr>
        <w:t>Tsuang</w:t>
      </w:r>
      <w:proofErr w:type="spellEnd"/>
      <w:r w:rsidRPr="004D46AC">
        <w:rPr>
          <w:rFonts w:eastAsiaTheme="minorEastAsia"/>
        </w:rPr>
        <w:t xml:space="preserve">, M. T. (1998). Negative, positive, and disorganized symptom dimensions in schizophrenia, major depression, and bipolar disorder. J </w:t>
      </w:r>
      <w:proofErr w:type="spellStart"/>
      <w:r w:rsidRPr="004D46AC">
        <w:rPr>
          <w:rFonts w:eastAsiaTheme="minorEastAsia"/>
        </w:rPr>
        <w:t>Nerv</w:t>
      </w:r>
      <w:proofErr w:type="spellEnd"/>
      <w:r w:rsidRPr="004D46AC">
        <w:rPr>
          <w:rFonts w:eastAsiaTheme="minorEastAsia"/>
        </w:rPr>
        <w:t xml:space="preserve"> Ment Dis, 186(8), 470–476. https://doi.org/10.1097/00005053-199808000-00004 </w:t>
      </w:r>
    </w:p>
    <w:p w14:paraId="4032F2FA" w14:textId="03E4D011" w:rsidR="007075D9" w:rsidRPr="004D46AC" w:rsidRDefault="009864DB" w:rsidP="009864DB">
      <w:pPr>
        <w:spacing w:line="240" w:lineRule="auto"/>
        <w:ind w:left="720" w:hanging="720"/>
        <w:rPr>
          <w:rFonts w:eastAsiaTheme="minorEastAsia"/>
        </w:rPr>
      </w:pPr>
      <w:r w:rsidRPr="004D46AC">
        <w:rPr>
          <w:rFonts w:eastAsiaTheme="minorEastAsia"/>
        </w:rPr>
        <w:t xml:space="preserve">van Bergen, A. H., </w:t>
      </w:r>
      <w:proofErr w:type="spellStart"/>
      <w:r w:rsidRPr="004D46AC">
        <w:rPr>
          <w:rFonts w:eastAsiaTheme="minorEastAsia"/>
        </w:rPr>
        <w:t>Verkooijen</w:t>
      </w:r>
      <w:proofErr w:type="spellEnd"/>
      <w:r w:rsidRPr="004D46AC">
        <w:rPr>
          <w:rFonts w:eastAsiaTheme="minorEastAsia"/>
        </w:rPr>
        <w:t xml:space="preserve">, S., Vreeker, A., Abramovic, L., </w:t>
      </w:r>
      <w:proofErr w:type="spellStart"/>
      <w:r w:rsidRPr="004D46AC">
        <w:rPr>
          <w:rFonts w:eastAsiaTheme="minorEastAsia"/>
        </w:rPr>
        <w:t>Hillegers</w:t>
      </w:r>
      <w:proofErr w:type="spellEnd"/>
      <w:r w:rsidRPr="004D46AC">
        <w:rPr>
          <w:rFonts w:eastAsiaTheme="minorEastAsia"/>
        </w:rPr>
        <w:t xml:space="preserve">, M. H., Spijker, A. T., Hoencamp, E., Regeer, E. J., </w:t>
      </w:r>
      <w:proofErr w:type="spellStart"/>
      <w:r w:rsidRPr="004D46AC">
        <w:rPr>
          <w:rFonts w:eastAsiaTheme="minorEastAsia"/>
        </w:rPr>
        <w:t>Knapen</w:t>
      </w:r>
      <w:proofErr w:type="spellEnd"/>
      <w:r w:rsidRPr="004D46AC">
        <w:rPr>
          <w:rFonts w:eastAsiaTheme="minorEastAsia"/>
        </w:rPr>
        <w:t xml:space="preserve">, S. E., Riemersma-van der Lek, R. F., </w:t>
      </w:r>
      <w:proofErr w:type="spellStart"/>
      <w:r w:rsidRPr="004D46AC">
        <w:rPr>
          <w:rFonts w:eastAsiaTheme="minorEastAsia"/>
        </w:rPr>
        <w:t>Schoevers</w:t>
      </w:r>
      <w:proofErr w:type="spellEnd"/>
      <w:r w:rsidRPr="004D46AC">
        <w:rPr>
          <w:rFonts w:eastAsiaTheme="minorEastAsia"/>
        </w:rPr>
        <w:t xml:space="preserve">, R., Stevens, A. W., Schulte, P. F. J., Vonk, R., Hoekstra, R., van Beveren, N. J., Kupka, R. W., Sommer, I. E. C., Ophoff, R. A.,…Boks, M. P. M. (2019). The characteristics of psychotic features in bipolar disorder. </w:t>
      </w:r>
      <w:proofErr w:type="spellStart"/>
      <w:r w:rsidRPr="004D46AC">
        <w:rPr>
          <w:rFonts w:eastAsiaTheme="minorEastAsia"/>
        </w:rPr>
        <w:t>Psychol</w:t>
      </w:r>
      <w:proofErr w:type="spellEnd"/>
      <w:r w:rsidRPr="004D46AC">
        <w:rPr>
          <w:rFonts w:eastAsiaTheme="minorEastAsia"/>
        </w:rPr>
        <w:t xml:space="preserve"> Med, 49(12), 2036–2048. https://doi.org/10.1017/S0033291718002854 </w:t>
      </w:r>
    </w:p>
    <w:p w14:paraId="7DA049F1" w14:textId="77777777" w:rsidR="007075D9" w:rsidRPr="004D46AC" w:rsidRDefault="007075D9" w:rsidP="00D41749">
      <w:pPr>
        <w:spacing w:line="240" w:lineRule="auto"/>
        <w:ind w:firstLine="0"/>
      </w:pPr>
    </w:p>
    <w:p w14:paraId="09419CB0" w14:textId="77777777" w:rsidR="007075D9" w:rsidRPr="004D46AC" w:rsidRDefault="007075D9" w:rsidP="00D41749">
      <w:pPr>
        <w:spacing w:line="240" w:lineRule="auto"/>
        <w:ind w:firstLine="0"/>
      </w:pPr>
      <w:r w:rsidRPr="004D46AC">
        <w:rPr>
          <w:noProof/>
        </w:rPr>
        <w:lastRenderedPageBreak/>
        <w:drawing>
          <wp:inline distT="0" distB="0" distL="0" distR="0" wp14:anchorId="5713015E" wp14:editId="0F2857B5">
            <wp:extent cx="5278120" cy="4971415"/>
            <wp:effectExtent l="0" t="0" r="0" b="635"/>
            <wp:docPr id="349744086" name="图片 60" descr="图片包含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744086" name="图片 60" descr="图片包含 表格&#10;&#10;AI 生成的内容可能不正确。"/>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278120" cy="4971415"/>
                    </a:xfrm>
                    <a:prstGeom prst="rect">
                      <a:avLst/>
                    </a:prstGeom>
                    <a:noFill/>
                    <a:ln>
                      <a:noFill/>
                    </a:ln>
                  </pic:spPr>
                </pic:pic>
              </a:graphicData>
            </a:graphic>
          </wp:inline>
        </w:drawing>
      </w:r>
    </w:p>
    <w:p w14:paraId="003FDBD5" w14:textId="414E10C7" w:rsidR="00D41749" w:rsidRPr="004D46AC" w:rsidRDefault="00D41749" w:rsidP="00D41749">
      <w:pPr>
        <w:pStyle w:val="afff0"/>
        <w:spacing w:after="0"/>
        <w:ind w:firstLine="0"/>
        <w:rPr>
          <w:rFonts w:eastAsiaTheme="minorEastAsia"/>
          <w:b/>
          <w:bCs/>
          <w:i w:val="0"/>
          <w:iCs w:val="0"/>
          <w:color w:val="auto"/>
          <w:sz w:val="22"/>
          <w:szCs w:val="22"/>
        </w:rPr>
      </w:pPr>
      <w:bookmarkStart w:id="320" w:name="_Toc219880183"/>
      <w:r w:rsidRPr="004D46AC">
        <w:rPr>
          <w:b/>
          <w:bCs/>
          <w:i w:val="0"/>
          <w:iCs w:val="0"/>
          <w:color w:val="auto"/>
          <w:sz w:val="22"/>
          <w:szCs w:val="22"/>
        </w:rPr>
        <w:t xml:space="preserve">Figure B </w:t>
      </w:r>
      <w:r w:rsidRPr="004D46AC">
        <w:rPr>
          <w:b/>
          <w:bCs/>
          <w:i w:val="0"/>
          <w:iCs w:val="0"/>
          <w:color w:val="auto"/>
          <w:sz w:val="22"/>
          <w:szCs w:val="22"/>
        </w:rPr>
        <w:fldChar w:fldCharType="begin"/>
      </w:r>
      <w:r w:rsidRPr="004D46AC">
        <w:rPr>
          <w:b/>
          <w:bCs/>
          <w:i w:val="0"/>
          <w:iCs w:val="0"/>
          <w:color w:val="auto"/>
          <w:sz w:val="22"/>
          <w:szCs w:val="22"/>
        </w:rPr>
        <w:instrText xml:space="preserve"> SEQ Figure_B \* ARABIC </w:instrText>
      </w:r>
      <w:r w:rsidRPr="004D46AC">
        <w:rPr>
          <w:b/>
          <w:bCs/>
          <w:i w:val="0"/>
          <w:iCs w:val="0"/>
          <w:color w:val="auto"/>
          <w:sz w:val="22"/>
          <w:szCs w:val="22"/>
        </w:rPr>
        <w:fldChar w:fldCharType="separate"/>
      </w:r>
      <w:r w:rsidRPr="004D46AC">
        <w:rPr>
          <w:b/>
          <w:bCs/>
          <w:i w:val="0"/>
          <w:iCs w:val="0"/>
          <w:noProof/>
          <w:color w:val="auto"/>
          <w:sz w:val="22"/>
          <w:szCs w:val="22"/>
        </w:rPr>
        <w:t>1</w:t>
      </w:r>
      <w:bookmarkEnd w:id="320"/>
      <w:r w:rsidRPr="004D46AC">
        <w:rPr>
          <w:b/>
          <w:bCs/>
          <w:i w:val="0"/>
          <w:iCs w:val="0"/>
          <w:color w:val="auto"/>
          <w:sz w:val="22"/>
          <w:szCs w:val="22"/>
        </w:rPr>
        <w:fldChar w:fldCharType="end"/>
      </w:r>
    </w:p>
    <w:p w14:paraId="5E431201" w14:textId="6A680AD7" w:rsidR="007075D9" w:rsidRPr="004D46AC" w:rsidRDefault="007075D9" w:rsidP="00D41749">
      <w:pPr>
        <w:spacing w:line="240" w:lineRule="auto"/>
        <w:ind w:firstLine="0"/>
        <w:rPr>
          <w:i/>
          <w:iCs/>
        </w:rPr>
      </w:pPr>
      <w:r w:rsidRPr="004D46AC">
        <w:rPr>
          <w:i/>
          <w:iCs/>
        </w:rPr>
        <w:t xml:space="preserve">Pooled </w:t>
      </w:r>
      <w:r w:rsidR="00071810" w:rsidRPr="004D46AC">
        <w:rPr>
          <w:rFonts w:eastAsiaTheme="minorEastAsia" w:hint="eastAsia"/>
          <w:i/>
          <w:iCs/>
        </w:rPr>
        <w:t>p</w:t>
      </w:r>
      <w:r w:rsidRPr="004D46AC">
        <w:rPr>
          <w:i/>
          <w:iCs/>
        </w:rPr>
        <w:t xml:space="preserve">revalence of </w:t>
      </w:r>
      <w:r w:rsidR="00071810" w:rsidRPr="004D46AC">
        <w:rPr>
          <w:rFonts w:eastAsiaTheme="minorEastAsia" w:hint="eastAsia"/>
          <w:i/>
          <w:iCs/>
        </w:rPr>
        <w:t>c</w:t>
      </w:r>
      <w:r w:rsidRPr="004D46AC">
        <w:rPr>
          <w:i/>
          <w:iCs/>
        </w:rPr>
        <w:t xml:space="preserve">omorbid </w:t>
      </w:r>
      <w:r w:rsidR="00071810" w:rsidRPr="004D46AC">
        <w:rPr>
          <w:rFonts w:eastAsiaTheme="minorEastAsia" w:hint="eastAsia"/>
          <w:i/>
          <w:iCs/>
        </w:rPr>
        <w:t>s</w:t>
      </w:r>
      <w:r w:rsidRPr="004D46AC">
        <w:rPr>
          <w:i/>
          <w:iCs/>
        </w:rPr>
        <w:t xml:space="preserve">chizophrenia in </w:t>
      </w:r>
      <w:r w:rsidR="00071810" w:rsidRPr="004D46AC">
        <w:rPr>
          <w:rFonts w:eastAsiaTheme="minorEastAsia" w:hint="eastAsia"/>
          <w:i/>
          <w:iCs/>
        </w:rPr>
        <w:t>b</w:t>
      </w:r>
      <w:r w:rsidRPr="004D46AC">
        <w:rPr>
          <w:i/>
          <w:iCs/>
        </w:rPr>
        <w:t xml:space="preserve">ipolar </w:t>
      </w:r>
      <w:r w:rsidR="00071810" w:rsidRPr="004D46AC">
        <w:rPr>
          <w:rFonts w:eastAsiaTheme="minorEastAsia" w:hint="eastAsia"/>
          <w:i/>
          <w:iCs/>
        </w:rPr>
        <w:t>p</w:t>
      </w:r>
      <w:r w:rsidRPr="004D46AC">
        <w:rPr>
          <w:i/>
          <w:iCs/>
        </w:rPr>
        <w:t>atients</w:t>
      </w:r>
    </w:p>
    <w:p w14:paraId="4E16A4BA" w14:textId="77777777" w:rsidR="007075D9" w:rsidRPr="004D46AC" w:rsidRDefault="007075D9" w:rsidP="00D41749">
      <w:pPr>
        <w:spacing w:line="240" w:lineRule="auto"/>
        <w:ind w:firstLine="0"/>
        <w:rPr>
          <w:b/>
          <w:bCs/>
          <w:i/>
          <w:iCs/>
        </w:rPr>
      </w:pPr>
    </w:p>
    <w:p w14:paraId="55BA50C8" w14:textId="77777777" w:rsidR="007075D9" w:rsidRPr="004D46AC" w:rsidRDefault="007075D9" w:rsidP="00D41749">
      <w:pPr>
        <w:spacing w:line="240" w:lineRule="auto"/>
        <w:ind w:firstLine="0"/>
        <w:rPr>
          <w:b/>
          <w:bCs/>
          <w:i/>
          <w:iCs/>
        </w:rPr>
      </w:pPr>
    </w:p>
    <w:p w14:paraId="67B9E0FF" w14:textId="77777777" w:rsidR="007075D9" w:rsidRPr="004D46AC" w:rsidRDefault="007075D9" w:rsidP="00D41749">
      <w:pPr>
        <w:spacing w:line="240" w:lineRule="auto"/>
        <w:ind w:firstLine="0"/>
        <w:rPr>
          <w:b/>
          <w:bCs/>
          <w:i/>
          <w:iCs/>
        </w:rPr>
      </w:pPr>
    </w:p>
    <w:p w14:paraId="60F97665" w14:textId="77777777" w:rsidR="007075D9" w:rsidRPr="004D46AC" w:rsidRDefault="007075D9" w:rsidP="00D41749">
      <w:pPr>
        <w:spacing w:line="240" w:lineRule="auto"/>
        <w:ind w:firstLine="0"/>
        <w:rPr>
          <w:b/>
          <w:bCs/>
          <w:i/>
          <w:iCs/>
        </w:rPr>
      </w:pPr>
    </w:p>
    <w:p w14:paraId="5D3FDFC6" w14:textId="77777777" w:rsidR="007075D9" w:rsidRPr="004D46AC" w:rsidRDefault="007075D9" w:rsidP="00D41749">
      <w:pPr>
        <w:spacing w:line="240" w:lineRule="auto"/>
        <w:ind w:firstLine="0"/>
        <w:rPr>
          <w:b/>
          <w:bCs/>
          <w:i/>
          <w:iCs/>
        </w:rPr>
      </w:pPr>
    </w:p>
    <w:p w14:paraId="76789C06" w14:textId="77777777" w:rsidR="007075D9" w:rsidRPr="004D46AC" w:rsidRDefault="007075D9" w:rsidP="00D41749">
      <w:pPr>
        <w:spacing w:line="240" w:lineRule="auto"/>
        <w:ind w:firstLine="0"/>
        <w:rPr>
          <w:b/>
          <w:bCs/>
          <w:i/>
          <w:iCs/>
        </w:rPr>
      </w:pPr>
    </w:p>
    <w:p w14:paraId="0C067E01" w14:textId="77777777" w:rsidR="007075D9" w:rsidRPr="004D46AC" w:rsidRDefault="007075D9" w:rsidP="00D41749">
      <w:pPr>
        <w:spacing w:line="240" w:lineRule="auto"/>
        <w:ind w:firstLine="0"/>
        <w:rPr>
          <w:b/>
          <w:bCs/>
          <w:i/>
          <w:iCs/>
        </w:rPr>
      </w:pPr>
    </w:p>
    <w:p w14:paraId="701CAE86" w14:textId="77777777" w:rsidR="007075D9" w:rsidRPr="004D46AC" w:rsidRDefault="007075D9" w:rsidP="00D41749">
      <w:pPr>
        <w:spacing w:line="240" w:lineRule="auto"/>
        <w:ind w:firstLine="0"/>
        <w:rPr>
          <w:b/>
          <w:bCs/>
          <w:i/>
          <w:iCs/>
        </w:rPr>
      </w:pPr>
    </w:p>
    <w:p w14:paraId="1760336F" w14:textId="77777777" w:rsidR="007075D9" w:rsidRPr="004D46AC" w:rsidRDefault="007075D9" w:rsidP="00D41749">
      <w:pPr>
        <w:spacing w:line="240" w:lineRule="auto"/>
        <w:ind w:firstLine="0"/>
        <w:rPr>
          <w:rFonts w:eastAsiaTheme="minorEastAsia"/>
          <w:b/>
          <w:bCs/>
          <w:i/>
          <w:iCs/>
        </w:rPr>
      </w:pPr>
    </w:p>
    <w:p w14:paraId="182966D1" w14:textId="77777777" w:rsidR="00CC3324" w:rsidRPr="004D46AC" w:rsidRDefault="00CC3324" w:rsidP="00D41749">
      <w:pPr>
        <w:spacing w:line="240" w:lineRule="auto"/>
        <w:ind w:firstLine="0"/>
        <w:rPr>
          <w:rFonts w:eastAsiaTheme="minorEastAsia"/>
          <w:b/>
          <w:bCs/>
          <w:i/>
          <w:iCs/>
        </w:rPr>
      </w:pPr>
    </w:p>
    <w:p w14:paraId="2598C8BD" w14:textId="77777777" w:rsidR="00CC3324" w:rsidRPr="004D46AC" w:rsidRDefault="00CC3324" w:rsidP="00D41749">
      <w:pPr>
        <w:spacing w:line="240" w:lineRule="auto"/>
        <w:ind w:firstLine="0"/>
        <w:rPr>
          <w:rFonts w:eastAsiaTheme="minorEastAsia"/>
          <w:b/>
          <w:bCs/>
          <w:i/>
          <w:iCs/>
        </w:rPr>
      </w:pPr>
    </w:p>
    <w:p w14:paraId="1B7F839A" w14:textId="77777777" w:rsidR="00CC3324" w:rsidRPr="004D46AC" w:rsidRDefault="00CC3324" w:rsidP="00D41749">
      <w:pPr>
        <w:spacing w:line="240" w:lineRule="auto"/>
        <w:ind w:firstLine="0"/>
        <w:rPr>
          <w:rFonts w:eastAsiaTheme="minorEastAsia"/>
          <w:b/>
          <w:bCs/>
          <w:i/>
          <w:iCs/>
        </w:rPr>
      </w:pPr>
    </w:p>
    <w:p w14:paraId="3F0520B3" w14:textId="77777777" w:rsidR="00CC3324" w:rsidRPr="004D46AC" w:rsidRDefault="00CC3324" w:rsidP="00D41749">
      <w:pPr>
        <w:spacing w:line="240" w:lineRule="auto"/>
        <w:ind w:firstLine="0"/>
        <w:rPr>
          <w:rFonts w:eastAsiaTheme="minorEastAsia"/>
          <w:b/>
          <w:bCs/>
          <w:i/>
          <w:iCs/>
        </w:rPr>
      </w:pPr>
    </w:p>
    <w:p w14:paraId="60A1DA67" w14:textId="77777777" w:rsidR="007075D9" w:rsidRPr="004D46AC" w:rsidRDefault="007075D9" w:rsidP="00D41749">
      <w:pPr>
        <w:spacing w:line="240" w:lineRule="auto"/>
        <w:ind w:firstLine="0"/>
        <w:rPr>
          <w:b/>
          <w:bCs/>
          <w:i/>
          <w:iCs/>
        </w:rPr>
      </w:pPr>
    </w:p>
    <w:p w14:paraId="3C447A49" w14:textId="77777777" w:rsidR="007075D9" w:rsidRPr="004D46AC" w:rsidRDefault="007075D9" w:rsidP="00D41749">
      <w:pPr>
        <w:spacing w:line="240" w:lineRule="auto"/>
        <w:ind w:firstLine="0"/>
      </w:pPr>
      <w:r w:rsidRPr="004D46AC">
        <w:rPr>
          <w:noProof/>
        </w:rPr>
        <w:lastRenderedPageBreak/>
        <w:drawing>
          <wp:inline distT="0" distB="0" distL="0" distR="0" wp14:anchorId="19B96517" wp14:editId="7867EEE1">
            <wp:extent cx="2360930" cy="1365885"/>
            <wp:effectExtent l="0" t="0" r="1270" b="5715"/>
            <wp:docPr id="2132167212" name="图片 59"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67212" name="图片 59" descr="图表&#10;&#10;AI 生成的内容可能不正确。"/>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360930" cy="1365885"/>
                    </a:xfrm>
                    <a:prstGeom prst="rect">
                      <a:avLst/>
                    </a:prstGeom>
                    <a:noFill/>
                    <a:ln>
                      <a:noFill/>
                    </a:ln>
                  </pic:spPr>
                </pic:pic>
              </a:graphicData>
            </a:graphic>
          </wp:inline>
        </w:drawing>
      </w:r>
      <w:r w:rsidRPr="004D46AC">
        <w:t xml:space="preserve"> </w:t>
      </w:r>
      <w:r w:rsidRPr="004D46AC">
        <w:rPr>
          <w:noProof/>
        </w:rPr>
        <w:drawing>
          <wp:inline distT="0" distB="0" distL="0" distR="0" wp14:anchorId="46443189" wp14:editId="412D4217">
            <wp:extent cx="2280285" cy="1313815"/>
            <wp:effectExtent l="0" t="0" r="5715" b="635"/>
            <wp:docPr id="129060797" name="图片 58"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0797" name="图片 58" descr="图表, 散点图&#10;&#10;AI 生成的内容可能不正确。"/>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280285" cy="1313815"/>
                    </a:xfrm>
                    <a:prstGeom prst="rect">
                      <a:avLst/>
                    </a:prstGeom>
                    <a:noFill/>
                    <a:ln>
                      <a:noFill/>
                    </a:ln>
                  </pic:spPr>
                </pic:pic>
              </a:graphicData>
            </a:graphic>
          </wp:inline>
        </w:drawing>
      </w:r>
    </w:p>
    <w:p w14:paraId="2A140655" w14:textId="77777777" w:rsidR="007075D9" w:rsidRPr="004D46AC" w:rsidRDefault="007075D9" w:rsidP="00D41749">
      <w:pPr>
        <w:spacing w:line="240" w:lineRule="auto"/>
        <w:ind w:firstLine="0"/>
      </w:pPr>
      <w:r w:rsidRPr="004D46AC">
        <w:t xml:space="preserve"> (a)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5FFA7B7E" w14:textId="02EDCA97" w:rsidR="00D41749" w:rsidRPr="004D46AC" w:rsidRDefault="00D41749" w:rsidP="00D41749">
      <w:pPr>
        <w:spacing w:line="240" w:lineRule="auto"/>
        <w:ind w:firstLine="0"/>
        <w:rPr>
          <w:rFonts w:eastAsiaTheme="minorEastAsia"/>
          <w:b/>
          <w:bCs/>
        </w:rPr>
      </w:pPr>
      <w:bookmarkStart w:id="321" w:name="_Toc219880184"/>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w:t>
      </w:r>
      <w:bookmarkEnd w:id="321"/>
      <w:r w:rsidRPr="004D46AC">
        <w:rPr>
          <w:b/>
          <w:bCs/>
        </w:rPr>
        <w:fldChar w:fldCharType="end"/>
      </w:r>
      <w:r w:rsidRPr="004D46AC">
        <w:rPr>
          <w:rFonts w:eastAsiaTheme="minorEastAsia" w:hint="eastAsia"/>
          <w:b/>
          <w:bCs/>
        </w:rPr>
        <w:t xml:space="preserve"> </w:t>
      </w:r>
    </w:p>
    <w:p w14:paraId="08552142" w14:textId="24C41FD1" w:rsidR="007075D9" w:rsidRPr="004D46AC" w:rsidRDefault="007075D9" w:rsidP="00D41749">
      <w:pPr>
        <w:spacing w:line="240" w:lineRule="auto"/>
        <w:ind w:firstLine="0"/>
        <w:rPr>
          <w:i/>
          <w:iCs/>
        </w:rPr>
      </w:pPr>
      <w:r w:rsidRPr="004D46AC">
        <w:rPr>
          <w:i/>
          <w:iCs/>
        </w:rPr>
        <w:t xml:space="preserve">Funnel </w:t>
      </w:r>
      <w:r w:rsidR="00071810" w:rsidRPr="004D46AC">
        <w:rPr>
          <w:rFonts w:eastAsiaTheme="minorEastAsia" w:hint="eastAsia"/>
          <w:i/>
          <w:iCs/>
        </w:rPr>
        <w:t>p</w:t>
      </w:r>
      <w:r w:rsidRPr="004D46AC">
        <w:rPr>
          <w:i/>
          <w:iCs/>
        </w:rPr>
        <w:t xml:space="preserve">lots for the </w:t>
      </w:r>
      <w:r w:rsidR="00071810" w:rsidRPr="004D46AC">
        <w:rPr>
          <w:rFonts w:eastAsiaTheme="minorEastAsia" w:hint="eastAsia"/>
          <w:i/>
          <w:iCs/>
        </w:rPr>
        <w:t>c</w:t>
      </w:r>
      <w:r w:rsidRPr="004D46AC">
        <w:rPr>
          <w:i/>
          <w:iCs/>
        </w:rPr>
        <w:t xml:space="preserve">omorbid </w:t>
      </w:r>
      <w:r w:rsidR="00071810" w:rsidRPr="004D46AC">
        <w:rPr>
          <w:rFonts w:eastAsiaTheme="minorEastAsia" w:hint="eastAsia"/>
          <w:i/>
          <w:iCs/>
        </w:rPr>
        <w:t>s</w:t>
      </w:r>
      <w:r w:rsidRPr="004D46AC">
        <w:rPr>
          <w:i/>
          <w:iCs/>
        </w:rPr>
        <w:t>chizophrenia</w:t>
      </w:r>
    </w:p>
    <w:p w14:paraId="44E98DC9" w14:textId="77777777" w:rsidR="007075D9" w:rsidRPr="004D46AC" w:rsidRDefault="007075D9" w:rsidP="00D41749">
      <w:pPr>
        <w:spacing w:line="240" w:lineRule="auto"/>
        <w:ind w:firstLine="0"/>
        <w:rPr>
          <w:b/>
          <w:bCs/>
          <w:i/>
          <w:iCs/>
        </w:rPr>
      </w:pPr>
    </w:p>
    <w:p w14:paraId="4EF12352" w14:textId="77777777" w:rsidR="007075D9" w:rsidRPr="004D46AC" w:rsidRDefault="007075D9" w:rsidP="00D41749">
      <w:pPr>
        <w:spacing w:line="240" w:lineRule="auto"/>
        <w:ind w:firstLine="0"/>
        <w:rPr>
          <w:b/>
          <w:bCs/>
          <w:i/>
          <w:iCs/>
        </w:rPr>
      </w:pPr>
    </w:p>
    <w:p w14:paraId="13E4EFB0" w14:textId="77777777" w:rsidR="007075D9" w:rsidRPr="004D46AC" w:rsidRDefault="007075D9" w:rsidP="00D41749">
      <w:pPr>
        <w:spacing w:line="240" w:lineRule="auto"/>
        <w:ind w:firstLine="0"/>
        <w:rPr>
          <w:b/>
          <w:bCs/>
          <w:i/>
          <w:iCs/>
        </w:rPr>
      </w:pPr>
    </w:p>
    <w:p w14:paraId="50CBDFD2" w14:textId="77777777" w:rsidR="007075D9" w:rsidRPr="004D46AC" w:rsidRDefault="007075D9" w:rsidP="00D41749">
      <w:pPr>
        <w:spacing w:line="240" w:lineRule="auto"/>
        <w:ind w:firstLine="0"/>
        <w:rPr>
          <w:b/>
          <w:bCs/>
          <w:i/>
          <w:iCs/>
        </w:rPr>
      </w:pPr>
    </w:p>
    <w:p w14:paraId="38564D90" w14:textId="77777777" w:rsidR="007075D9" w:rsidRPr="004D46AC" w:rsidRDefault="007075D9" w:rsidP="00D41749">
      <w:pPr>
        <w:spacing w:line="240" w:lineRule="auto"/>
        <w:ind w:firstLine="0"/>
        <w:rPr>
          <w:b/>
          <w:bCs/>
          <w:i/>
          <w:iCs/>
        </w:rPr>
      </w:pPr>
    </w:p>
    <w:p w14:paraId="61EA51B8" w14:textId="77777777" w:rsidR="007075D9" w:rsidRPr="004D46AC" w:rsidRDefault="007075D9" w:rsidP="00D41749">
      <w:pPr>
        <w:spacing w:line="240" w:lineRule="auto"/>
        <w:ind w:firstLine="0"/>
        <w:rPr>
          <w:b/>
          <w:bCs/>
          <w:i/>
          <w:iCs/>
        </w:rPr>
      </w:pPr>
    </w:p>
    <w:p w14:paraId="754DF9D3" w14:textId="77777777" w:rsidR="007075D9" w:rsidRPr="004D46AC" w:rsidRDefault="007075D9" w:rsidP="00D41749">
      <w:pPr>
        <w:spacing w:line="240" w:lineRule="auto"/>
        <w:ind w:firstLine="0"/>
        <w:rPr>
          <w:b/>
          <w:bCs/>
          <w:i/>
          <w:iCs/>
        </w:rPr>
      </w:pPr>
    </w:p>
    <w:p w14:paraId="4B7608C4" w14:textId="77777777" w:rsidR="007075D9" w:rsidRPr="004D46AC" w:rsidRDefault="007075D9" w:rsidP="00D41749">
      <w:pPr>
        <w:spacing w:line="240" w:lineRule="auto"/>
        <w:ind w:firstLine="0"/>
        <w:rPr>
          <w:b/>
          <w:bCs/>
          <w:i/>
          <w:iCs/>
        </w:rPr>
      </w:pPr>
    </w:p>
    <w:p w14:paraId="0A3B1D73" w14:textId="77777777" w:rsidR="007075D9" w:rsidRPr="004D46AC" w:rsidRDefault="007075D9" w:rsidP="00D41749">
      <w:pPr>
        <w:spacing w:line="240" w:lineRule="auto"/>
        <w:ind w:firstLine="0"/>
        <w:rPr>
          <w:b/>
          <w:bCs/>
          <w:i/>
          <w:iCs/>
        </w:rPr>
      </w:pPr>
    </w:p>
    <w:p w14:paraId="18E57AE1" w14:textId="77777777" w:rsidR="007075D9" w:rsidRPr="004D46AC" w:rsidRDefault="007075D9" w:rsidP="00D41749">
      <w:pPr>
        <w:spacing w:line="240" w:lineRule="auto"/>
        <w:ind w:firstLine="0"/>
        <w:rPr>
          <w:b/>
          <w:bCs/>
          <w:i/>
          <w:iCs/>
        </w:rPr>
      </w:pPr>
    </w:p>
    <w:p w14:paraId="36A7C2C2" w14:textId="77777777" w:rsidR="007075D9" w:rsidRPr="004D46AC" w:rsidRDefault="007075D9" w:rsidP="00D41749">
      <w:pPr>
        <w:spacing w:line="240" w:lineRule="auto"/>
        <w:ind w:firstLine="0"/>
        <w:rPr>
          <w:b/>
          <w:bCs/>
          <w:i/>
          <w:iCs/>
        </w:rPr>
      </w:pPr>
    </w:p>
    <w:p w14:paraId="5CE76F15" w14:textId="77777777" w:rsidR="007075D9" w:rsidRPr="004D46AC" w:rsidRDefault="007075D9" w:rsidP="00D41749">
      <w:pPr>
        <w:spacing w:line="240" w:lineRule="auto"/>
        <w:ind w:firstLine="0"/>
        <w:rPr>
          <w:b/>
          <w:bCs/>
          <w:i/>
          <w:iCs/>
        </w:rPr>
      </w:pPr>
    </w:p>
    <w:p w14:paraId="359D53F8" w14:textId="77777777" w:rsidR="007075D9" w:rsidRPr="004D46AC" w:rsidRDefault="007075D9" w:rsidP="00D41749">
      <w:pPr>
        <w:spacing w:line="240" w:lineRule="auto"/>
        <w:ind w:firstLine="0"/>
        <w:rPr>
          <w:b/>
          <w:bCs/>
          <w:i/>
          <w:iCs/>
        </w:rPr>
      </w:pPr>
    </w:p>
    <w:p w14:paraId="6FAB14AD" w14:textId="77777777" w:rsidR="007075D9" w:rsidRPr="004D46AC" w:rsidRDefault="007075D9" w:rsidP="00D41749">
      <w:pPr>
        <w:spacing w:line="240" w:lineRule="auto"/>
        <w:ind w:firstLine="0"/>
        <w:rPr>
          <w:b/>
          <w:bCs/>
          <w:i/>
          <w:iCs/>
        </w:rPr>
      </w:pPr>
    </w:p>
    <w:p w14:paraId="11452AE9" w14:textId="77777777" w:rsidR="007075D9" w:rsidRPr="004D46AC" w:rsidRDefault="007075D9" w:rsidP="00D41749">
      <w:pPr>
        <w:spacing w:line="240" w:lineRule="auto"/>
        <w:ind w:firstLine="0"/>
        <w:rPr>
          <w:b/>
          <w:bCs/>
          <w:i/>
          <w:iCs/>
        </w:rPr>
      </w:pPr>
    </w:p>
    <w:p w14:paraId="258BDC13" w14:textId="77777777" w:rsidR="007075D9" w:rsidRPr="004D46AC" w:rsidRDefault="007075D9" w:rsidP="00D41749">
      <w:pPr>
        <w:spacing w:line="240" w:lineRule="auto"/>
        <w:ind w:firstLine="0"/>
        <w:rPr>
          <w:b/>
          <w:bCs/>
          <w:i/>
          <w:iCs/>
        </w:rPr>
      </w:pPr>
    </w:p>
    <w:p w14:paraId="01869DEC" w14:textId="77777777" w:rsidR="007075D9" w:rsidRPr="004D46AC" w:rsidRDefault="007075D9" w:rsidP="00D41749">
      <w:pPr>
        <w:spacing w:line="240" w:lineRule="auto"/>
        <w:ind w:firstLine="0"/>
        <w:rPr>
          <w:b/>
          <w:bCs/>
          <w:i/>
          <w:iCs/>
        </w:rPr>
      </w:pPr>
    </w:p>
    <w:p w14:paraId="2465121F" w14:textId="77777777" w:rsidR="007075D9" w:rsidRPr="004D46AC" w:rsidRDefault="007075D9" w:rsidP="00D41749">
      <w:pPr>
        <w:spacing w:line="240" w:lineRule="auto"/>
        <w:ind w:firstLine="0"/>
        <w:rPr>
          <w:b/>
          <w:bCs/>
          <w:i/>
          <w:iCs/>
        </w:rPr>
      </w:pPr>
    </w:p>
    <w:p w14:paraId="5474E942"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004D46B9" wp14:editId="2F9EDCEF">
            <wp:extent cx="5278120" cy="4432935"/>
            <wp:effectExtent l="0" t="0" r="0" b="5715"/>
            <wp:docPr id="1587875285" name="图片 57"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875285" name="图片 57" descr="表格&#10;&#10;AI 生成的内容可能不正确。"/>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278120" cy="4432935"/>
                    </a:xfrm>
                    <a:prstGeom prst="rect">
                      <a:avLst/>
                    </a:prstGeom>
                    <a:noFill/>
                    <a:ln>
                      <a:noFill/>
                    </a:ln>
                  </pic:spPr>
                </pic:pic>
              </a:graphicData>
            </a:graphic>
          </wp:inline>
        </w:drawing>
      </w:r>
    </w:p>
    <w:p w14:paraId="710E03FC" w14:textId="28B16967" w:rsidR="00D41749" w:rsidRPr="004D46AC" w:rsidRDefault="00D41749" w:rsidP="00D41749">
      <w:pPr>
        <w:spacing w:line="240" w:lineRule="auto"/>
        <w:ind w:firstLine="0"/>
        <w:rPr>
          <w:rFonts w:eastAsiaTheme="minorEastAsia"/>
          <w:b/>
          <w:bCs/>
        </w:rPr>
      </w:pPr>
      <w:bookmarkStart w:id="322" w:name="_Toc219880185"/>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w:t>
      </w:r>
      <w:bookmarkEnd w:id="322"/>
      <w:r w:rsidRPr="004D46AC">
        <w:rPr>
          <w:b/>
          <w:bCs/>
        </w:rPr>
        <w:fldChar w:fldCharType="end"/>
      </w:r>
    </w:p>
    <w:p w14:paraId="48AA54F1" w14:textId="4136D1E6" w:rsidR="007075D9" w:rsidRPr="004D46AC" w:rsidRDefault="007075D9" w:rsidP="00D41749">
      <w:pPr>
        <w:spacing w:line="240" w:lineRule="auto"/>
        <w:ind w:firstLine="0"/>
        <w:rPr>
          <w:i/>
          <w:iCs/>
        </w:rPr>
      </w:pPr>
      <w:bookmarkStart w:id="323" w:name="OLE_LINK95"/>
      <w:r w:rsidRPr="004D46AC">
        <w:rPr>
          <w:i/>
          <w:iCs/>
        </w:rPr>
        <w:t xml:space="preserve">Pooled </w:t>
      </w:r>
      <w:r w:rsidR="00071810" w:rsidRPr="004D46AC">
        <w:rPr>
          <w:rFonts w:eastAsiaTheme="minorEastAsia" w:hint="eastAsia"/>
          <w:i/>
          <w:iCs/>
        </w:rPr>
        <w:t>p</w:t>
      </w:r>
      <w:r w:rsidRPr="004D46AC">
        <w:rPr>
          <w:i/>
          <w:iCs/>
        </w:rPr>
        <w:t xml:space="preserve">revalence of </w:t>
      </w:r>
      <w:r w:rsidR="00071810" w:rsidRPr="004D46AC">
        <w:rPr>
          <w:rFonts w:eastAsiaTheme="minorEastAsia" w:hint="eastAsia"/>
          <w:i/>
          <w:iCs/>
        </w:rPr>
        <w:t>m</w:t>
      </w:r>
      <w:r w:rsidRPr="004D46AC">
        <w:rPr>
          <w:i/>
          <w:iCs/>
        </w:rPr>
        <w:t>ood incongruent psychosis</w:t>
      </w:r>
    </w:p>
    <w:bookmarkEnd w:id="323"/>
    <w:p w14:paraId="49898116" w14:textId="77777777" w:rsidR="007075D9" w:rsidRPr="004D46AC" w:rsidRDefault="007075D9" w:rsidP="00D41749">
      <w:pPr>
        <w:spacing w:line="240" w:lineRule="auto"/>
        <w:ind w:firstLine="0"/>
        <w:rPr>
          <w:b/>
          <w:bCs/>
          <w:i/>
          <w:iCs/>
        </w:rPr>
      </w:pPr>
    </w:p>
    <w:p w14:paraId="3B29F32C" w14:textId="77777777" w:rsidR="007075D9" w:rsidRPr="004D46AC" w:rsidRDefault="007075D9" w:rsidP="00D41749">
      <w:pPr>
        <w:spacing w:line="240" w:lineRule="auto"/>
        <w:ind w:firstLine="0"/>
        <w:rPr>
          <w:b/>
          <w:bCs/>
          <w:i/>
          <w:iCs/>
        </w:rPr>
      </w:pPr>
    </w:p>
    <w:p w14:paraId="5362B214" w14:textId="77777777" w:rsidR="007075D9" w:rsidRPr="004D46AC" w:rsidRDefault="007075D9" w:rsidP="00D41749">
      <w:pPr>
        <w:spacing w:line="240" w:lineRule="auto"/>
        <w:ind w:firstLine="0"/>
        <w:rPr>
          <w:b/>
          <w:bCs/>
          <w:i/>
          <w:iCs/>
        </w:rPr>
      </w:pPr>
    </w:p>
    <w:p w14:paraId="0C5693F8" w14:textId="77777777" w:rsidR="007075D9" w:rsidRPr="004D46AC" w:rsidRDefault="007075D9" w:rsidP="00D41749">
      <w:pPr>
        <w:spacing w:line="240" w:lineRule="auto"/>
        <w:ind w:firstLine="0"/>
        <w:rPr>
          <w:b/>
          <w:bCs/>
          <w:i/>
          <w:iCs/>
        </w:rPr>
      </w:pPr>
    </w:p>
    <w:p w14:paraId="70773761" w14:textId="77777777" w:rsidR="007075D9" w:rsidRPr="004D46AC" w:rsidRDefault="007075D9" w:rsidP="00D41749">
      <w:pPr>
        <w:spacing w:line="240" w:lineRule="auto"/>
        <w:ind w:firstLine="0"/>
        <w:rPr>
          <w:b/>
          <w:bCs/>
          <w:i/>
          <w:iCs/>
        </w:rPr>
      </w:pPr>
    </w:p>
    <w:p w14:paraId="28947D79" w14:textId="77777777" w:rsidR="007075D9" w:rsidRPr="004D46AC" w:rsidRDefault="007075D9" w:rsidP="00D41749">
      <w:pPr>
        <w:spacing w:line="240" w:lineRule="auto"/>
        <w:ind w:firstLine="0"/>
        <w:rPr>
          <w:b/>
          <w:bCs/>
          <w:i/>
          <w:iCs/>
        </w:rPr>
      </w:pPr>
    </w:p>
    <w:p w14:paraId="639E60E6" w14:textId="77777777" w:rsidR="007075D9" w:rsidRPr="004D46AC" w:rsidRDefault="007075D9" w:rsidP="00D41749">
      <w:pPr>
        <w:spacing w:line="240" w:lineRule="auto"/>
        <w:ind w:firstLine="0"/>
        <w:rPr>
          <w:b/>
          <w:bCs/>
          <w:i/>
          <w:iCs/>
        </w:rPr>
      </w:pPr>
    </w:p>
    <w:p w14:paraId="4DF83E81" w14:textId="77777777" w:rsidR="007075D9" w:rsidRPr="004D46AC" w:rsidRDefault="007075D9" w:rsidP="00D41749">
      <w:pPr>
        <w:spacing w:line="240" w:lineRule="auto"/>
        <w:ind w:firstLine="0"/>
        <w:rPr>
          <w:b/>
          <w:bCs/>
          <w:i/>
          <w:iCs/>
        </w:rPr>
      </w:pPr>
    </w:p>
    <w:p w14:paraId="4782CABB" w14:textId="77777777" w:rsidR="007075D9" w:rsidRPr="004D46AC" w:rsidRDefault="007075D9" w:rsidP="00D41749">
      <w:pPr>
        <w:spacing w:line="240" w:lineRule="auto"/>
        <w:ind w:firstLine="0"/>
        <w:rPr>
          <w:b/>
          <w:bCs/>
          <w:i/>
          <w:iCs/>
        </w:rPr>
      </w:pPr>
    </w:p>
    <w:p w14:paraId="7FA84909" w14:textId="77777777" w:rsidR="007075D9" w:rsidRPr="004D46AC" w:rsidRDefault="007075D9" w:rsidP="00D41749">
      <w:pPr>
        <w:spacing w:line="240" w:lineRule="auto"/>
        <w:ind w:firstLine="0"/>
        <w:rPr>
          <w:rFonts w:eastAsiaTheme="minorEastAsia"/>
          <w:b/>
          <w:bCs/>
          <w:i/>
          <w:iCs/>
        </w:rPr>
      </w:pPr>
    </w:p>
    <w:p w14:paraId="7ECE7D70" w14:textId="77777777" w:rsidR="00CC3324" w:rsidRPr="004D46AC" w:rsidRDefault="00CC3324" w:rsidP="00D41749">
      <w:pPr>
        <w:spacing w:line="240" w:lineRule="auto"/>
        <w:ind w:firstLine="0"/>
        <w:rPr>
          <w:rFonts w:eastAsiaTheme="minorEastAsia"/>
          <w:b/>
          <w:bCs/>
          <w:i/>
          <w:iCs/>
        </w:rPr>
      </w:pPr>
    </w:p>
    <w:p w14:paraId="27673A93" w14:textId="77777777" w:rsidR="00CC3324" w:rsidRPr="004D46AC" w:rsidRDefault="00CC3324" w:rsidP="00D41749">
      <w:pPr>
        <w:spacing w:line="240" w:lineRule="auto"/>
        <w:ind w:firstLine="0"/>
        <w:rPr>
          <w:rFonts w:eastAsiaTheme="minorEastAsia"/>
          <w:b/>
          <w:bCs/>
          <w:i/>
          <w:iCs/>
        </w:rPr>
      </w:pPr>
    </w:p>
    <w:p w14:paraId="0E5A1678" w14:textId="77777777" w:rsidR="00CC3324" w:rsidRPr="004D46AC" w:rsidRDefault="00CC3324" w:rsidP="00D41749">
      <w:pPr>
        <w:spacing w:line="240" w:lineRule="auto"/>
        <w:ind w:firstLine="0"/>
        <w:rPr>
          <w:rFonts w:eastAsiaTheme="minorEastAsia"/>
          <w:b/>
          <w:bCs/>
          <w:i/>
          <w:iCs/>
        </w:rPr>
      </w:pPr>
    </w:p>
    <w:p w14:paraId="341FBD9A" w14:textId="77777777" w:rsidR="00CC3324" w:rsidRPr="004D46AC" w:rsidRDefault="00CC3324" w:rsidP="00D41749">
      <w:pPr>
        <w:spacing w:line="240" w:lineRule="auto"/>
        <w:ind w:firstLine="0"/>
        <w:rPr>
          <w:rFonts w:eastAsiaTheme="minorEastAsia"/>
          <w:b/>
          <w:bCs/>
          <w:i/>
          <w:iCs/>
        </w:rPr>
      </w:pPr>
    </w:p>
    <w:p w14:paraId="26E3BC58" w14:textId="77777777" w:rsidR="00CC3324" w:rsidRPr="004D46AC" w:rsidRDefault="00CC3324" w:rsidP="00D41749">
      <w:pPr>
        <w:spacing w:line="240" w:lineRule="auto"/>
        <w:ind w:firstLine="0"/>
        <w:rPr>
          <w:rFonts w:eastAsiaTheme="minorEastAsia"/>
          <w:b/>
          <w:bCs/>
          <w:i/>
          <w:iCs/>
        </w:rPr>
      </w:pPr>
    </w:p>
    <w:p w14:paraId="3F0A9DF3" w14:textId="77777777" w:rsidR="00CC3324" w:rsidRPr="004D46AC" w:rsidRDefault="00CC3324" w:rsidP="00D41749">
      <w:pPr>
        <w:spacing w:line="240" w:lineRule="auto"/>
        <w:ind w:firstLine="0"/>
        <w:rPr>
          <w:rFonts w:eastAsiaTheme="minorEastAsia"/>
          <w:b/>
          <w:bCs/>
          <w:i/>
          <w:iCs/>
        </w:rPr>
      </w:pPr>
    </w:p>
    <w:p w14:paraId="7606EE0E" w14:textId="77777777" w:rsidR="007075D9" w:rsidRPr="004D46AC" w:rsidRDefault="007075D9" w:rsidP="00D41749">
      <w:pPr>
        <w:spacing w:line="240" w:lineRule="auto"/>
        <w:ind w:firstLine="0"/>
        <w:rPr>
          <w:b/>
          <w:bCs/>
          <w:i/>
          <w:iCs/>
        </w:rPr>
      </w:pPr>
    </w:p>
    <w:p w14:paraId="02E77ECF" w14:textId="77777777" w:rsidR="007075D9" w:rsidRPr="004D46AC" w:rsidRDefault="007075D9" w:rsidP="00D41749">
      <w:pPr>
        <w:spacing w:line="240" w:lineRule="auto"/>
        <w:ind w:firstLine="0"/>
        <w:rPr>
          <w:b/>
          <w:bCs/>
          <w:i/>
          <w:iCs/>
        </w:rPr>
      </w:pPr>
    </w:p>
    <w:p w14:paraId="05F87816"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7C8E795D" wp14:editId="00D2EA63">
            <wp:extent cx="2326640" cy="1302385"/>
            <wp:effectExtent l="0" t="0" r="0" b="0"/>
            <wp:docPr id="1103592952" name="图片 56"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92952" name="图片 56" descr="图表&#10;&#10;AI 生成的内容可能不正确。"/>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326640" cy="1302385"/>
                    </a:xfrm>
                    <a:prstGeom prst="rect">
                      <a:avLst/>
                    </a:prstGeom>
                    <a:noFill/>
                    <a:ln>
                      <a:noFill/>
                    </a:ln>
                  </pic:spPr>
                </pic:pic>
              </a:graphicData>
            </a:graphic>
          </wp:inline>
        </w:drawing>
      </w:r>
      <w:r w:rsidRPr="004D46AC">
        <w:rPr>
          <w:noProof/>
        </w:rPr>
        <w:drawing>
          <wp:inline distT="0" distB="0" distL="0" distR="0" wp14:anchorId="36768659" wp14:editId="7C0CC884">
            <wp:extent cx="2390140" cy="1319530"/>
            <wp:effectExtent l="0" t="0" r="0" b="0"/>
            <wp:docPr id="1020826873" name="图片 55"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26873" name="图片 55" descr="图表, 散点图&#10;&#10;AI 生成的内容可能不正确。"/>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390140" cy="1319530"/>
                    </a:xfrm>
                    <a:prstGeom prst="rect">
                      <a:avLst/>
                    </a:prstGeom>
                    <a:noFill/>
                    <a:ln>
                      <a:noFill/>
                    </a:ln>
                  </pic:spPr>
                </pic:pic>
              </a:graphicData>
            </a:graphic>
          </wp:inline>
        </w:drawing>
      </w:r>
    </w:p>
    <w:p w14:paraId="28238FE7"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512F950E" w14:textId="22C41B55" w:rsidR="00D41749" w:rsidRPr="004D46AC" w:rsidRDefault="00D41749" w:rsidP="00D41749">
      <w:pPr>
        <w:spacing w:line="240" w:lineRule="auto"/>
        <w:ind w:firstLine="0"/>
        <w:rPr>
          <w:rFonts w:eastAsiaTheme="minorEastAsia"/>
          <w:b/>
          <w:bCs/>
        </w:rPr>
      </w:pPr>
      <w:bookmarkStart w:id="324" w:name="_Toc219880186"/>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4</w:t>
      </w:r>
      <w:bookmarkEnd w:id="324"/>
      <w:r w:rsidRPr="004D46AC">
        <w:rPr>
          <w:b/>
          <w:bCs/>
        </w:rPr>
        <w:fldChar w:fldCharType="end"/>
      </w:r>
    </w:p>
    <w:p w14:paraId="7CCC6774" w14:textId="5ECF48FA" w:rsidR="007075D9" w:rsidRPr="004D46AC" w:rsidRDefault="007075D9" w:rsidP="00D41749">
      <w:pPr>
        <w:spacing w:line="240" w:lineRule="auto"/>
        <w:ind w:firstLine="0"/>
        <w:rPr>
          <w:i/>
          <w:iCs/>
        </w:rPr>
      </w:pPr>
      <w:r w:rsidRPr="004D46AC">
        <w:rPr>
          <w:i/>
          <w:iCs/>
        </w:rPr>
        <w:t>Funnel plots for mood incongruent psychosis</w:t>
      </w:r>
    </w:p>
    <w:p w14:paraId="48A9D7AF" w14:textId="77777777" w:rsidR="007075D9" w:rsidRPr="004D46AC" w:rsidRDefault="007075D9" w:rsidP="00D41749">
      <w:pPr>
        <w:spacing w:line="240" w:lineRule="auto"/>
        <w:ind w:firstLine="0"/>
        <w:rPr>
          <w:b/>
          <w:bCs/>
          <w:i/>
          <w:iCs/>
        </w:rPr>
      </w:pPr>
      <w:r w:rsidRPr="004D46AC">
        <w:rPr>
          <w:b/>
          <w:i/>
          <w:noProof/>
        </w:rPr>
        <w:lastRenderedPageBreak/>
        <w:drawing>
          <wp:inline distT="0" distB="0" distL="0" distR="0" wp14:anchorId="11756080" wp14:editId="51DE7E4A">
            <wp:extent cx="3269615" cy="8171815"/>
            <wp:effectExtent l="0" t="0" r="6985" b="635"/>
            <wp:docPr id="1854005167" name="图片 54"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05167" name="图片 54" descr="背景图案&#10;&#10;AI 生成的内容可能不正确。"/>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3269615" cy="8171815"/>
                    </a:xfrm>
                    <a:prstGeom prst="rect">
                      <a:avLst/>
                    </a:prstGeom>
                    <a:noFill/>
                    <a:ln>
                      <a:noFill/>
                    </a:ln>
                  </pic:spPr>
                </pic:pic>
              </a:graphicData>
            </a:graphic>
          </wp:inline>
        </w:drawing>
      </w:r>
    </w:p>
    <w:p w14:paraId="36C428DF" w14:textId="734181F6" w:rsidR="007075D9" w:rsidRPr="004D46AC" w:rsidRDefault="00D41749" w:rsidP="00D41749">
      <w:pPr>
        <w:spacing w:line="240" w:lineRule="auto"/>
        <w:ind w:firstLine="0"/>
        <w:rPr>
          <w:b/>
          <w:bCs/>
        </w:rPr>
      </w:pPr>
      <w:bookmarkStart w:id="325" w:name="_Toc219880187"/>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5</w:t>
      </w:r>
      <w:bookmarkEnd w:id="325"/>
      <w:r w:rsidRPr="004D46AC">
        <w:rPr>
          <w:b/>
          <w:bCs/>
        </w:rPr>
        <w:fldChar w:fldCharType="end"/>
      </w:r>
    </w:p>
    <w:p w14:paraId="1E60B3C1" w14:textId="77777777" w:rsidR="007075D9" w:rsidRPr="004D46AC" w:rsidRDefault="007075D9" w:rsidP="00D41749">
      <w:pPr>
        <w:spacing w:line="240" w:lineRule="auto"/>
        <w:ind w:firstLine="0"/>
        <w:rPr>
          <w:i/>
          <w:iCs/>
        </w:rPr>
      </w:pPr>
      <w:r w:rsidRPr="004D46AC">
        <w:rPr>
          <w:i/>
          <w:iCs/>
        </w:rPr>
        <w:t>Pooled rate of lifetime psychosis in bipolar patients</w:t>
      </w:r>
    </w:p>
    <w:p w14:paraId="7EDCA430"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2D3870E0" wp14:editId="694F05C8">
            <wp:extent cx="2338070" cy="1290320"/>
            <wp:effectExtent l="0" t="0" r="5080" b="5080"/>
            <wp:docPr id="1952583887" name="图片 53"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83887" name="图片 53" descr="图表, 散点图&#10;&#10;AI 生成的内容可能不正确。"/>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338070" cy="129032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179DC3A4" wp14:editId="1A673955">
            <wp:extent cx="2308860" cy="1267460"/>
            <wp:effectExtent l="0" t="0" r="0" b="8890"/>
            <wp:docPr id="934029397" name="图片 52"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29397" name="图片 52" descr="图表, 散点图&#10;&#10;AI 生成的内容可能不正确。"/>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2308860" cy="1267460"/>
                    </a:xfrm>
                    <a:prstGeom prst="rect">
                      <a:avLst/>
                    </a:prstGeom>
                    <a:noFill/>
                    <a:ln>
                      <a:noFill/>
                    </a:ln>
                  </pic:spPr>
                </pic:pic>
              </a:graphicData>
            </a:graphic>
          </wp:inline>
        </w:drawing>
      </w:r>
    </w:p>
    <w:p w14:paraId="7193C4AA"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397B455F" w14:textId="261AAB43" w:rsidR="00D41749" w:rsidRPr="004D46AC" w:rsidRDefault="00D41749" w:rsidP="00D41749">
      <w:pPr>
        <w:spacing w:line="240" w:lineRule="auto"/>
        <w:ind w:firstLine="0"/>
        <w:rPr>
          <w:rFonts w:eastAsiaTheme="minorEastAsia"/>
          <w:b/>
          <w:bCs/>
        </w:rPr>
      </w:pPr>
      <w:bookmarkStart w:id="326" w:name="_Toc219880188"/>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6</w:t>
      </w:r>
      <w:bookmarkEnd w:id="326"/>
      <w:r w:rsidRPr="004D46AC">
        <w:rPr>
          <w:b/>
          <w:bCs/>
        </w:rPr>
        <w:fldChar w:fldCharType="end"/>
      </w:r>
    </w:p>
    <w:p w14:paraId="2B932DE1" w14:textId="08C99C3B" w:rsidR="007075D9" w:rsidRPr="004D46AC" w:rsidRDefault="007075D9" w:rsidP="00D41749">
      <w:pPr>
        <w:spacing w:line="240" w:lineRule="auto"/>
        <w:ind w:firstLine="0"/>
        <w:rPr>
          <w:rFonts w:eastAsiaTheme="minorEastAsia"/>
          <w:i/>
          <w:iCs/>
        </w:rPr>
      </w:pPr>
      <w:r w:rsidRPr="004D46AC">
        <w:rPr>
          <w:i/>
          <w:iCs/>
        </w:rPr>
        <w:t>Funnel plots for the lifetime psychosis</w:t>
      </w:r>
    </w:p>
    <w:p w14:paraId="4483E71D" w14:textId="77777777" w:rsidR="00CC3324" w:rsidRPr="004D46AC" w:rsidRDefault="00CC3324" w:rsidP="00D41749">
      <w:pPr>
        <w:spacing w:line="240" w:lineRule="auto"/>
        <w:ind w:firstLine="0"/>
        <w:rPr>
          <w:rFonts w:eastAsiaTheme="minorEastAsia"/>
          <w:i/>
          <w:iCs/>
        </w:rPr>
      </w:pPr>
    </w:p>
    <w:p w14:paraId="0394210B" w14:textId="77777777" w:rsidR="00CC3324" w:rsidRPr="004D46AC" w:rsidRDefault="00CC3324" w:rsidP="00D41749">
      <w:pPr>
        <w:spacing w:line="240" w:lineRule="auto"/>
        <w:ind w:firstLine="0"/>
        <w:rPr>
          <w:rFonts w:eastAsiaTheme="minorEastAsia"/>
          <w:i/>
          <w:iCs/>
        </w:rPr>
      </w:pPr>
    </w:p>
    <w:p w14:paraId="4853D8D2" w14:textId="77777777" w:rsidR="007075D9" w:rsidRPr="004D46AC" w:rsidRDefault="007075D9" w:rsidP="00D41749">
      <w:pPr>
        <w:spacing w:line="240" w:lineRule="auto"/>
        <w:ind w:firstLine="0"/>
        <w:rPr>
          <w:b/>
          <w:bCs/>
          <w:i/>
          <w:iCs/>
        </w:rPr>
      </w:pPr>
    </w:p>
    <w:p w14:paraId="53B1C016"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050F21B0" wp14:editId="308C0C12">
            <wp:extent cx="5272405" cy="6655435"/>
            <wp:effectExtent l="0" t="0" r="4445" b="0"/>
            <wp:docPr id="1641000312" name="图片 5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00312" name="图片 51" descr="表格&#10;&#10;AI 生成的内容可能不正确。"/>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272405" cy="6655435"/>
                    </a:xfrm>
                    <a:prstGeom prst="rect">
                      <a:avLst/>
                    </a:prstGeom>
                    <a:noFill/>
                    <a:ln>
                      <a:noFill/>
                    </a:ln>
                  </pic:spPr>
                </pic:pic>
              </a:graphicData>
            </a:graphic>
          </wp:inline>
        </w:drawing>
      </w:r>
    </w:p>
    <w:p w14:paraId="630ECD48" w14:textId="0F1B52E5" w:rsidR="00D41749" w:rsidRPr="004D46AC" w:rsidRDefault="00D41749" w:rsidP="00D41749">
      <w:pPr>
        <w:spacing w:line="240" w:lineRule="auto"/>
        <w:ind w:firstLine="0"/>
        <w:rPr>
          <w:rFonts w:eastAsiaTheme="minorEastAsia"/>
          <w:b/>
          <w:bCs/>
        </w:rPr>
      </w:pPr>
      <w:bookmarkStart w:id="327" w:name="_Toc219880189"/>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7</w:t>
      </w:r>
      <w:bookmarkEnd w:id="327"/>
      <w:r w:rsidRPr="004D46AC">
        <w:rPr>
          <w:b/>
          <w:bCs/>
        </w:rPr>
        <w:fldChar w:fldCharType="end"/>
      </w:r>
    </w:p>
    <w:p w14:paraId="096A3070" w14:textId="77777777" w:rsidR="007075D9" w:rsidRPr="004D46AC" w:rsidRDefault="007075D9" w:rsidP="00D41749">
      <w:pPr>
        <w:spacing w:line="240" w:lineRule="auto"/>
        <w:ind w:firstLine="0"/>
        <w:rPr>
          <w:i/>
          <w:iCs/>
        </w:rPr>
      </w:pPr>
      <w:r w:rsidRPr="004D46AC">
        <w:rPr>
          <w:i/>
          <w:iCs/>
        </w:rPr>
        <w:t>The rate of lifetime psychosis in patients with bipolar I</w:t>
      </w:r>
    </w:p>
    <w:p w14:paraId="49D0FB13" w14:textId="77777777" w:rsidR="007075D9" w:rsidRPr="004D46AC" w:rsidRDefault="007075D9" w:rsidP="00D41749">
      <w:pPr>
        <w:spacing w:line="240" w:lineRule="auto"/>
        <w:ind w:firstLine="0"/>
        <w:rPr>
          <w:b/>
          <w:bCs/>
          <w:i/>
          <w:iCs/>
        </w:rPr>
      </w:pPr>
    </w:p>
    <w:p w14:paraId="713CDF31" w14:textId="77777777" w:rsidR="007075D9" w:rsidRPr="004D46AC" w:rsidRDefault="007075D9" w:rsidP="00D41749">
      <w:pPr>
        <w:spacing w:line="240" w:lineRule="auto"/>
        <w:ind w:firstLine="0"/>
        <w:rPr>
          <w:rFonts w:eastAsiaTheme="minorEastAsia"/>
          <w:b/>
          <w:bCs/>
          <w:i/>
          <w:iCs/>
        </w:rPr>
      </w:pPr>
    </w:p>
    <w:p w14:paraId="5A925900" w14:textId="77777777" w:rsidR="00CC3324" w:rsidRPr="004D46AC" w:rsidRDefault="00CC3324" w:rsidP="00D41749">
      <w:pPr>
        <w:spacing w:line="240" w:lineRule="auto"/>
        <w:ind w:firstLine="0"/>
        <w:rPr>
          <w:rFonts w:eastAsiaTheme="minorEastAsia"/>
          <w:b/>
          <w:bCs/>
          <w:i/>
          <w:iCs/>
        </w:rPr>
      </w:pPr>
    </w:p>
    <w:p w14:paraId="474B4C18" w14:textId="77777777" w:rsidR="007075D9" w:rsidRPr="004D46AC" w:rsidRDefault="007075D9" w:rsidP="00D41749">
      <w:pPr>
        <w:spacing w:line="240" w:lineRule="auto"/>
        <w:ind w:firstLine="0"/>
        <w:rPr>
          <w:b/>
          <w:bCs/>
          <w:i/>
          <w:iCs/>
        </w:rPr>
      </w:pPr>
    </w:p>
    <w:p w14:paraId="2EB300C6" w14:textId="77777777" w:rsidR="007075D9" w:rsidRPr="004D46AC" w:rsidRDefault="007075D9" w:rsidP="00D41749">
      <w:pPr>
        <w:spacing w:line="240" w:lineRule="auto"/>
        <w:ind w:firstLine="0"/>
        <w:rPr>
          <w:b/>
          <w:bCs/>
          <w:i/>
          <w:iCs/>
        </w:rPr>
      </w:pPr>
    </w:p>
    <w:p w14:paraId="24316D6B"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07B7CBAF" wp14:editId="310DB471">
            <wp:extent cx="2100580" cy="1151890"/>
            <wp:effectExtent l="0" t="0" r="0" b="0"/>
            <wp:docPr id="1504295996" name="图片 50" descr="图表, 散点图, 漏斗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95996" name="图片 50" descr="图表, 散点图, 漏斗图&#10;&#10;AI 生成的内容可能不正确。"/>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100580" cy="115189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75D031E8" wp14:editId="4F178FD6">
            <wp:extent cx="1973580" cy="1105535"/>
            <wp:effectExtent l="0" t="0" r="7620" b="0"/>
            <wp:docPr id="1623248671" name="图片 49"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48671" name="图片 49" descr="图表, 散点图&#10;&#10;AI 生成的内容可能不正确。"/>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973580" cy="1105535"/>
                    </a:xfrm>
                    <a:prstGeom prst="rect">
                      <a:avLst/>
                    </a:prstGeom>
                    <a:noFill/>
                    <a:ln>
                      <a:noFill/>
                    </a:ln>
                  </pic:spPr>
                </pic:pic>
              </a:graphicData>
            </a:graphic>
          </wp:inline>
        </w:drawing>
      </w:r>
    </w:p>
    <w:p w14:paraId="173F7246"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36E723F1" w14:textId="63D2C2FC" w:rsidR="00D41749" w:rsidRPr="004D46AC" w:rsidRDefault="00D41749" w:rsidP="00D41749">
      <w:pPr>
        <w:spacing w:line="240" w:lineRule="auto"/>
        <w:ind w:firstLine="0"/>
        <w:rPr>
          <w:rFonts w:eastAsiaTheme="minorEastAsia"/>
          <w:b/>
          <w:bCs/>
        </w:rPr>
      </w:pPr>
      <w:bookmarkStart w:id="328" w:name="_Toc219880190"/>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8</w:t>
      </w:r>
      <w:bookmarkEnd w:id="328"/>
      <w:r w:rsidRPr="004D46AC">
        <w:rPr>
          <w:b/>
          <w:bCs/>
        </w:rPr>
        <w:fldChar w:fldCharType="end"/>
      </w:r>
    </w:p>
    <w:p w14:paraId="0923EE8D" w14:textId="734EF3AD" w:rsidR="007075D9" w:rsidRPr="004D46AC" w:rsidRDefault="007075D9" w:rsidP="00D41749">
      <w:pPr>
        <w:spacing w:line="240" w:lineRule="auto"/>
        <w:ind w:firstLine="0"/>
        <w:rPr>
          <w:i/>
          <w:iCs/>
        </w:rPr>
      </w:pPr>
      <w:r w:rsidRPr="004D46AC">
        <w:rPr>
          <w:i/>
          <w:iCs/>
        </w:rPr>
        <w:t>Funnel plots for the lifetime psychosis in patients with bipolar I</w:t>
      </w:r>
    </w:p>
    <w:p w14:paraId="42835CAE" w14:textId="77777777" w:rsidR="007075D9" w:rsidRPr="004D46AC" w:rsidRDefault="007075D9" w:rsidP="00D41749">
      <w:pPr>
        <w:spacing w:line="240" w:lineRule="auto"/>
        <w:ind w:firstLine="0"/>
        <w:rPr>
          <w:b/>
          <w:bCs/>
          <w:i/>
          <w:iCs/>
        </w:rPr>
      </w:pPr>
    </w:p>
    <w:p w14:paraId="448767A9" w14:textId="77777777" w:rsidR="007075D9" w:rsidRPr="004D46AC" w:rsidRDefault="007075D9" w:rsidP="00D41749">
      <w:pPr>
        <w:spacing w:line="240" w:lineRule="auto"/>
        <w:ind w:firstLine="0"/>
        <w:rPr>
          <w:b/>
          <w:bCs/>
          <w:i/>
          <w:iCs/>
        </w:rPr>
      </w:pPr>
    </w:p>
    <w:p w14:paraId="19A0A02E" w14:textId="77777777" w:rsidR="007075D9" w:rsidRPr="004D46AC" w:rsidRDefault="007075D9" w:rsidP="00D41749">
      <w:pPr>
        <w:spacing w:line="240" w:lineRule="auto"/>
        <w:ind w:firstLine="0"/>
        <w:rPr>
          <w:b/>
          <w:bCs/>
          <w:i/>
          <w:iCs/>
        </w:rPr>
      </w:pPr>
    </w:p>
    <w:p w14:paraId="422DB9C3" w14:textId="77777777" w:rsidR="007075D9" w:rsidRPr="004D46AC" w:rsidRDefault="007075D9" w:rsidP="00D41749">
      <w:pPr>
        <w:spacing w:line="240" w:lineRule="auto"/>
        <w:ind w:firstLine="0"/>
        <w:rPr>
          <w:b/>
          <w:bCs/>
          <w:i/>
          <w:iCs/>
        </w:rPr>
      </w:pPr>
    </w:p>
    <w:p w14:paraId="6F3C3864" w14:textId="77777777" w:rsidR="007075D9" w:rsidRPr="004D46AC" w:rsidRDefault="007075D9" w:rsidP="00D41749">
      <w:pPr>
        <w:spacing w:line="240" w:lineRule="auto"/>
        <w:ind w:firstLine="0"/>
        <w:rPr>
          <w:b/>
          <w:bCs/>
          <w:i/>
          <w:iCs/>
        </w:rPr>
      </w:pPr>
    </w:p>
    <w:p w14:paraId="744C4A43" w14:textId="77777777" w:rsidR="007075D9" w:rsidRPr="004D46AC" w:rsidRDefault="007075D9" w:rsidP="00D41749">
      <w:pPr>
        <w:spacing w:line="240" w:lineRule="auto"/>
        <w:ind w:firstLine="0"/>
        <w:rPr>
          <w:b/>
          <w:bCs/>
          <w:i/>
          <w:iCs/>
        </w:rPr>
      </w:pPr>
    </w:p>
    <w:p w14:paraId="2DC9E8F2" w14:textId="77777777" w:rsidR="007075D9" w:rsidRPr="004D46AC" w:rsidRDefault="007075D9" w:rsidP="00D41749">
      <w:pPr>
        <w:spacing w:line="240" w:lineRule="auto"/>
        <w:ind w:firstLine="0"/>
        <w:rPr>
          <w:b/>
          <w:bCs/>
          <w:i/>
          <w:iCs/>
        </w:rPr>
      </w:pPr>
    </w:p>
    <w:p w14:paraId="35FA6874" w14:textId="77777777" w:rsidR="007075D9" w:rsidRPr="004D46AC" w:rsidRDefault="007075D9" w:rsidP="00D41749">
      <w:pPr>
        <w:spacing w:line="240" w:lineRule="auto"/>
        <w:ind w:firstLine="0"/>
        <w:rPr>
          <w:b/>
          <w:bCs/>
          <w:i/>
          <w:iCs/>
        </w:rPr>
      </w:pPr>
    </w:p>
    <w:p w14:paraId="6285EA21" w14:textId="77777777" w:rsidR="007075D9" w:rsidRPr="004D46AC" w:rsidRDefault="007075D9" w:rsidP="00D41749">
      <w:pPr>
        <w:spacing w:line="240" w:lineRule="auto"/>
        <w:ind w:firstLine="0"/>
        <w:rPr>
          <w:b/>
          <w:bCs/>
          <w:i/>
          <w:iCs/>
        </w:rPr>
      </w:pPr>
    </w:p>
    <w:p w14:paraId="4673D279" w14:textId="77777777" w:rsidR="007075D9" w:rsidRPr="004D46AC" w:rsidRDefault="007075D9" w:rsidP="00D41749">
      <w:pPr>
        <w:spacing w:line="240" w:lineRule="auto"/>
        <w:ind w:firstLine="0"/>
        <w:rPr>
          <w:b/>
          <w:bCs/>
          <w:i/>
          <w:iCs/>
        </w:rPr>
      </w:pPr>
    </w:p>
    <w:p w14:paraId="645E47AB" w14:textId="77777777" w:rsidR="007075D9" w:rsidRPr="004D46AC" w:rsidRDefault="007075D9" w:rsidP="00D41749">
      <w:pPr>
        <w:spacing w:line="240" w:lineRule="auto"/>
        <w:ind w:firstLine="0"/>
        <w:rPr>
          <w:b/>
          <w:bCs/>
          <w:i/>
          <w:iCs/>
        </w:rPr>
      </w:pPr>
    </w:p>
    <w:p w14:paraId="0FF0518D" w14:textId="77777777" w:rsidR="007075D9" w:rsidRPr="004D46AC" w:rsidRDefault="007075D9" w:rsidP="00D41749">
      <w:pPr>
        <w:spacing w:line="240" w:lineRule="auto"/>
        <w:ind w:firstLine="0"/>
        <w:rPr>
          <w:b/>
          <w:bCs/>
          <w:i/>
          <w:iCs/>
        </w:rPr>
      </w:pPr>
    </w:p>
    <w:p w14:paraId="11754D51" w14:textId="77777777" w:rsidR="007075D9" w:rsidRPr="004D46AC" w:rsidRDefault="007075D9" w:rsidP="00D41749">
      <w:pPr>
        <w:spacing w:line="240" w:lineRule="auto"/>
        <w:ind w:firstLine="0"/>
        <w:rPr>
          <w:rFonts w:eastAsiaTheme="minorEastAsia"/>
          <w:b/>
          <w:bCs/>
          <w:i/>
          <w:iCs/>
        </w:rPr>
      </w:pPr>
    </w:p>
    <w:p w14:paraId="674E9867" w14:textId="77777777" w:rsidR="00CC3324" w:rsidRPr="004D46AC" w:rsidRDefault="00CC3324" w:rsidP="00D41749">
      <w:pPr>
        <w:spacing w:line="240" w:lineRule="auto"/>
        <w:ind w:firstLine="0"/>
        <w:rPr>
          <w:rFonts w:eastAsiaTheme="minorEastAsia"/>
          <w:b/>
          <w:bCs/>
          <w:i/>
          <w:iCs/>
        </w:rPr>
      </w:pPr>
    </w:p>
    <w:p w14:paraId="3719F95C" w14:textId="77777777" w:rsidR="00CC3324" w:rsidRPr="004D46AC" w:rsidRDefault="00CC3324" w:rsidP="00D41749">
      <w:pPr>
        <w:spacing w:line="240" w:lineRule="auto"/>
        <w:ind w:firstLine="0"/>
        <w:rPr>
          <w:rFonts w:eastAsiaTheme="minorEastAsia"/>
          <w:b/>
          <w:bCs/>
          <w:i/>
          <w:iCs/>
        </w:rPr>
      </w:pPr>
    </w:p>
    <w:p w14:paraId="1BBD1BB8" w14:textId="77777777" w:rsidR="00CC3324" w:rsidRPr="004D46AC" w:rsidRDefault="00CC3324" w:rsidP="00D41749">
      <w:pPr>
        <w:spacing w:line="240" w:lineRule="auto"/>
        <w:ind w:firstLine="0"/>
        <w:rPr>
          <w:rFonts w:eastAsiaTheme="minorEastAsia"/>
          <w:b/>
          <w:bCs/>
          <w:i/>
          <w:iCs/>
        </w:rPr>
      </w:pPr>
    </w:p>
    <w:p w14:paraId="7C59BE87" w14:textId="77777777" w:rsidR="00CC3324" w:rsidRPr="004D46AC" w:rsidRDefault="00CC3324" w:rsidP="00D41749">
      <w:pPr>
        <w:spacing w:line="240" w:lineRule="auto"/>
        <w:ind w:firstLine="0"/>
        <w:rPr>
          <w:rFonts w:eastAsiaTheme="minorEastAsia"/>
          <w:b/>
          <w:bCs/>
          <w:i/>
          <w:iCs/>
        </w:rPr>
      </w:pPr>
    </w:p>
    <w:p w14:paraId="08F7B309" w14:textId="77777777" w:rsidR="00CC3324" w:rsidRPr="004D46AC" w:rsidRDefault="00CC3324" w:rsidP="00D41749">
      <w:pPr>
        <w:spacing w:line="240" w:lineRule="auto"/>
        <w:ind w:firstLine="0"/>
        <w:rPr>
          <w:rFonts w:eastAsiaTheme="minorEastAsia"/>
          <w:b/>
          <w:bCs/>
          <w:i/>
          <w:iCs/>
        </w:rPr>
      </w:pPr>
    </w:p>
    <w:p w14:paraId="5C23CDA7" w14:textId="77777777" w:rsidR="007075D9" w:rsidRPr="004D46AC" w:rsidRDefault="007075D9" w:rsidP="00D41749">
      <w:pPr>
        <w:spacing w:line="240" w:lineRule="auto"/>
        <w:ind w:firstLine="0"/>
        <w:rPr>
          <w:b/>
          <w:bCs/>
          <w:i/>
          <w:iCs/>
        </w:rPr>
      </w:pPr>
    </w:p>
    <w:p w14:paraId="64956678" w14:textId="77777777" w:rsidR="007075D9" w:rsidRPr="004D46AC" w:rsidRDefault="007075D9" w:rsidP="00D41749">
      <w:pPr>
        <w:spacing w:line="240" w:lineRule="auto"/>
        <w:ind w:firstLine="0"/>
        <w:rPr>
          <w:b/>
          <w:bCs/>
          <w:i/>
          <w:iCs/>
        </w:rPr>
      </w:pPr>
    </w:p>
    <w:p w14:paraId="5288EB86" w14:textId="77777777" w:rsidR="007075D9" w:rsidRPr="004D46AC" w:rsidRDefault="007075D9" w:rsidP="00D41749">
      <w:pPr>
        <w:spacing w:line="240" w:lineRule="auto"/>
        <w:ind w:firstLine="0"/>
        <w:rPr>
          <w:b/>
          <w:bCs/>
          <w:i/>
          <w:iCs/>
        </w:rPr>
      </w:pPr>
    </w:p>
    <w:p w14:paraId="69C05D07" w14:textId="77777777" w:rsidR="007075D9" w:rsidRPr="004D46AC" w:rsidRDefault="007075D9" w:rsidP="00D41749">
      <w:pPr>
        <w:spacing w:line="240" w:lineRule="auto"/>
        <w:ind w:firstLine="0"/>
        <w:rPr>
          <w:b/>
          <w:bCs/>
          <w:i/>
          <w:iCs/>
        </w:rPr>
      </w:pPr>
    </w:p>
    <w:p w14:paraId="13BDBE39" w14:textId="77777777" w:rsidR="007075D9" w:rsidRPr="004D46AC" w:rsidRDefault="007075D9" w:rsidP="00D41749">
      <w:pPr>
        <w:spacing w:line="240" w:lineRule="auto"/>
        <w:ind w:firstLine="0"/>
        <w:rPr>
          <w:b/>
          <w:bCs/>
          <w:i/>
          <w:iCs/>
        </w:rPr>
      </w:pPr>
    </w:p>
    <w:p w14:paraId="71373AAA" w14:textId="77777777" w:rsidR="007075D9" w:rsidRPr="004D46AC" w:rsidRDefault="007075D9" w:rsidP="00D41749">
      <w:pPr>
        <w:spacing w:line="240" w:lineRule="auto"/>
        <w:ind w:firstLine="0"/>
        <w:rPr>
          <w:b/>
          <w:bCs/>
          <w:i/>
          <w:iCs/>
        </w:rPr>
      </w:pPr>
    </w:p>
    <w:p w14:paraId="6ED2812B" w14:textId="77777777" w:rsidR="007075D9" w:rsidRPr="004D46AC" w:rsidRDefault="007075D9" w:rsidP="00D41749">
      <w:pPr>
        <w:spacing w:line="240" w:lineRule="auto"/>
        <w:ind w:firstLine="0"/>
        <w:rPr>
          <w:b/>
          <w:bCs/>
          <w:i/>
          <w:iCs/>
        </w:rPr>
      </w:pPr>
    </w:p>
    <w:p w14:paraId="1CB240BD"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55F5D6A3" wp14:editId="2E857B78">
            <wp:extent cx="5272405" cy="3223260"/>
            <wp:effectExtent l="0" t="0" r="4445" b="0"/>
            <wp:docPr id="244988669" name="图片 48"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88669" name="图片 48" descr="图片包含 文本&#10;&#10;AI 生成的内容可能不正确。"/>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272405" cy="3223260"/>
                    </a:xfrm>
                    <a:prstGeom prst="rect">
                      <a:avLst/>
                    </a:prstGeom>
                    <a:noFill/>
                    <a:ln>
                      <a:noFill/>
                    </a:ln>
                  </pic:spPr>
                </pic:pic>
              </a:graphicData>
            </a:graphic>
          </wp:inline>
        </w:drawing>
      </w:r>
    </w:p>
    <w:p w14:paraId="6B054C4E" w14:textId="57447046" w:rsidR="00D41749" w:rsidRPr="004D46AC" w:rsidRDefault="00D41749" w:rsidP="00D41749">
      <w:pPr>
        <w:spacing w:line="240" w:lineRule="auto"/>
        <w:ind w:firstLine="0"/>
        <w:rPr>
          <w:rFonts w:eastAsiaTheme="minorEastAsia"/>
          <w:b/>
          <w:bCs/>
        </w:rPr>
      </w:pPr>
      <w:bookmarkStart w:id="329" w:name="_Toc219880191"/>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9</w:t>
      </w:r>
      <w:bookmarkEnd w:id="329"/>
      <w:r w:rsidRPr="004D46AC">
        <w:rPr>
          <w:b/>
          <w:bCs/>
        </w:rPr>
        <w:fldChar w:fldCharType="end"/>
      </w:r>
    </w:p>
    <w:p w14:paraId="74C053F7" w14:textId="5B948027" w:rsidR="007075D9" w:rsidRPr="004D46AC" w:rsidRDefault="007075D9" w:rsidP="00D41749">
      <w:pPr>
        <w:spacing w:line="240" w:lineRule="auto"/>
        <w:ind w:firstLine="0"/>
        <w:rPr>
          <w:i/>
          <w:iCs/>
        </w:rPr>
      </w:pPr>
      <w:bookmarkStart w:id="330" w:name="OLE_LINK96"/>
      <w:r w:rsidRPr="004D46AC">
        <w:rPr>
          <w:i/>
          <w:iCs/>
        </w:rPr>
        <w:t>The rate of lifetime psychosis in patients with bipolar II</w:t>
      </w:r>
    </w:p>
    <w:bookmarkEnd w:id="330"/>
    <w:p w14:paraId="116221A5" w14:textId="77777777" w:rsidR="007075D9" w:rsidRPr="004D46AC" w:rsidRDefault="007075D9" w:rsidP="00D41749">
      <w:pPr>
        <w:spacing w:line="240" w:lineRule="auto"/>
        <w:ind w:firstLine="0"/>
        <w:rPr>
          <w:b/>
          <w:bCs/>
          <w:i/>
          <w:iCs/>
        </w:rPr>
      </w:pPr>
    </w:p>
    <w:p w14:paraId="7CB1749B" w14:textId="77777777" w:rsidR="007075D9" w:rsidRPr="004D46AC" w:rsidRDefault="007075D9" w:rsidP="00D41749">
      <w:pPr>
        <w:spacing w:line="240" w:lineRule="auto"/>
        <w:ind w:firstLine="0"/>
        <w:rPr>
          <w:b/>
          <w:bCs/>
          <w:i/>
          <w:iCs/>
        </w:rPr>
      </w:pPr>
    </w:p>
    <w:p w14:paraId="3ED34AF4" w14:textId="77777777" w:rsidR="007075D9" w:rsidRPr="004D46AC" w:rsidRDefault="007075D9" w:rsidP="00D41749">
      <w:pPr>
        <w:spacing w:line="240" w:lineRule="auto"/>
        <w:ind w:firstLine="0"/>
        <w:rPr>
          <w:b/>
          <w:bCs/>
          <w:i/>
          <w:iCs/>
        </w:rPr>
      </w:pPr>
    </w:p>
    <w:p w14:paraId="4AEF5B2A" w14:textId="77777777" w:rsidR="007075D9" w:rsidRPr="004D46AC" w:rsidRDefault="007075D9" w:rsidP="00D41749">
      <w:pPr>
        <w:spacing w:line="240" w:lineRule="auto"/>
        <w:ind w:firstLine="0"/>
        <w:rPr>
          <w:b/>
          <w:bCs/>
          <w:i/>
          <w:iCs/>
        </w:rPr>
      </w:pPr>
    </w:p>
    <w:p w14:paraId="5B894302" w14:textId="77777777" w:rsidR="007075D9" w:rsidRPr="004D46AC" w:rsidRDefault="007075D9" w:rsidP="00D41749">
      <w:pPr>
        <w:spacing w:line="240" w:lineRule="auto"/>
        <w:ind w:firstLine="0"/>
        <w:rPr>
          <w:b/>
          <w:bCs/>
          <w:i/>
          <w:iCs/>
        </w:rPr>
      </w:pPr>
    </w:p>
    <w:p w14:paraId="3BDC7B05" w14:textId="77777777" w:rsidR="007075D9" w:rsidRPr="004D46AC" w:rsidRDefault="007075D9" w:rsidP="00D41749">
      <w:pPr>
        <w:spacing w:line="240" w:lineRule="auto"/>
        <w:ind w:firstLine="0"/>
        <w:rPr>
          <w:b/>
          <w:bCs/>
          <w:i/>
          <w:iCs/>
        </w:rPr>
      </w:pPr>
    </w:p>
    <w:p w14:paraId="146839BF" w14:textId="77777777" w:rsidR="007075D9" w:rsidRPr="004D46AC" w:rsidRDefault="007075D9" w:rsidP="00D41749">
      <w:pPr>
        <w:spacing w:line="240" w:lineRule="auto"/>
        <w:ind w:firstLine="0"/>
        <w:rPr>
          <w:b/>
          <w:bCs/>
          <w:i/>
          <w:iCs/>
        </w:rPr>
      </w:pPr>
    </w:p>
    <w:p w14:paraId="7D7C206F" w14:textId="77777777" w:rsidR="007075D9" w:rsidRPr="004D46AC" w:rsidRDefault="007075D9" w:rsidP="00D41749">
      <w:pPr>
        <w:spacing w:line="240" w:lineRule="auto"/>
        <w:ind w:firstLine="0"/>
        <w:rPr>
          <w:b/>
          <w:bCs/>
          <w:i/>
          <w:iCs/>
        </w:rPr>
      </w:pPr>
    </w:p>
    <w:p w14:paraId="1DF5508A" w14:textId="77777777" w:rsidR="007075D9" w:rsidRPr="004D46AC" w:rsidRDefault="007075D9" w:rsidP="00D41749">
      <w:pPr>
        <w:spacing w:line="240" w:lineRule="auto"/>
        <w:ind w:firstLine="0"/>
        <w:rPr>
          <w:b/>
          <w:bCs/>
          <w:i/>
          <w:iCs/>
        </w:rPr>
      </w:pPr>
    </w:p>
    <w:p w14:paraId="671F8EAE" w14:textId="77777777" w:rsidR="007075D9" w:rsidRPr="004D46AC" w:rsidRDefault="007075D9" w:rsidP="00D41749">
      <w:pPr>
        <w:spacing w:line="240" w:lineRule="auto"/>
        <w:ind w:firstLine="0"/>
        <w:rPr>
          <w:b/>
          <w:bCs/>
          <w:i/>
          <w:iCs/>
        </w:rPr>
      </w:pPr>
    </w:p>
    <w:p w14:paraId="40B18D2A" w14:textId="77777777" w:rsidR="007075D9" w:rsidRPr="004D46AC" w:rsidRDefault="007075D9" w:rsidP="00D41749">
      <w:pPr>
        <w:spacing w:line="240" w:lineRule="auto"/>
        <w:ind w:firstLine="0"/>
        <w:rPr>
          <w:b/>
          <w:bCs/>
          <w:i/>
          <w:iCs/>
        </w:rPr>
      </w:pPr>
    </w:p>
    <w:p w14:paraId="768169EF" w14:textId="77777777" w:rsidR="007075D9" w:rsidRPr="004D46AC" w:rsidRDefault="007075D9" w:rsidP="00D41749">
      <w:pPr>
        <w:spacing w:line="240" w:lineRule="auto"/>
        <w:ind w:firstLine="0"/>
        <w:rPr>
          <w:b/>
          <w:bCs/>
          <w:i/>
          <w:iCs/>
        </w:rPr>
      </w:pPr>
    </w:p>
    <w:p w14:paraId="5DC9E252" w14:textId="77777777" w:rsidR="007075D9" w:rsidRPr="004D46AC" w:rsidRDefault="007075D9" w:rsidP="00D41749">
      <w:pPr>
        <w:spacing w:line="240" w:lineRule="auto"/>
        <w:ind w:firstLine="0"/>
        <w:rPr>
          <w:rFonts w:eastAsiaTheme="minorEastAsia"/>
          <w:b/>
          <w:bCs/>
          <w:i/>
          <w:iCs/>
        </w:rPr>
      </w:pPr>
    </w:p>
    <w:p w14:paraId="7D4F254E" w14:textId="77777777" w:rsidR="00CC3324" w:rsidRPr="004D46AC" w:rsidRDefault="00CC3324" w:rsidP="00D41749">
      <w:pPr>
        <w:spacing w:line="240" w:lineRule="auto"/>
        <w:ind w:firstLine="0"/>
        <w:rPr>
          <w:rFonts w:eastAsiaTheme="minorEastAsia"/>
          <w:b/>
          <w:bCs/>
          <w:i/>
          <w:iCs/>
        </w:rPr>
      </w:pPr>
    </w:p>
    <w:p w14:paraId="064D43E3" w14:textId="77777777" w:rsidR="00CC3324" w:rsidRPr="004D46AC" w:rsidRDefault="00CC3324" w:rsidP="00D41749">
      <w:pPr>
        <w:spacing w:line="240" w:lineRule="auto"/>
        <w:ind w:firstLine="0"/>
        <w:rPr>
          <w:rFonts w:eastAsiaTheme="minorEastAsia"/>
          <w:b/>
          <w:bCs/>
          <w:i/>
          <w:iCs/>
        </w:rPr>
      </w:pPr>
    </w:p>
    <w:p w14:paraId="62A53A0B" w14:textId="77777777" w:rsidR="00CC3324" w:rsidRPr="004D46AC" w:rsidRDefault="00CC3324" w:rsidP="00D41749">
      <w:pPr>
        <w:spacing w:line="240" w:lineRule="auto"/>
        <w:ind w:firstLine="0"/>
        <w:rPr>
          <w:rFonts w:eastAsiaTheme="minorEastAsia"/>
          <w:b/>
          <w:bCs/>
          <w:i/>
          <w:iCs/>
        </w:rPr>
      </w:pPr>
    </w:p>
    <w:p w14:paraId="4D785DA9" w14:textId="77777777" w:rsidR="00CC3324" w:rsidRPr="004D46AC" w:rsidRDefault="00CC3324" w:rsidP="00D41749">
      <w:pPr>
        <w:spacing w:line="240" w:lineRule="auto"/>
        <w:ind w:firstLine="0"/>
        <w:rPr>
          <w:rFonts w:eastAsiaTheme="minorEastAsia"/>
          <w:b/>
          <w:bCs/>
          <w:i/>
          <w:iCs/>
        </w:rPr>
      </w:pPr>
    </w:p>
    <w:p w14:paraId="382D920D" w14:textId="77777777" w:rsidR="00CC3324" w:rsidRPr="004D46AC" w:rsidRDefault="00CC3324" w:rsidP="00D41749">
      <w:pPr>
        <w:spacing w:line="240" w:lineRule="auto"/>
        <w:ind w:firstLine="0"/>
        <w:rPr>
          <w:rFonts w:eastAsiaTheme="minorEastAsia"/>
          <w:b/>
          <w:bCs/>
          <w:i/>
          <w:iCs/>
        </w:rPr>
      </w:pPr>
    </w:p>
    <w:p w14:paraId="519855C2" w14:textId="77777777" w:rsidR="00CC3324" w:rsidRPr="004D46AC" w:rsidRDefault="00CC3324" w:rsidP="00D41749">
      <w:pPr>
        <w:spacing w:line="240" w:lineRule="auto"/>
        <w:ind w:firstLine="0"/>
        <w:rPr>
          <w:rFonts w:eastAsiaTheme="minorEastAsia"/>
          <w:b/>
          <w:bCs/>
          <w:i/>
          <w:iCs/>
        </w:rPr>
      </w:pPr>
    </w:p>
    <w:p w14:paraId="25B462B8" w14:textId="77777777" w:rsidR="00CC3324" w:rsidRPr="004D46AC" w:rsidRDefault="00CC3324" w:rsidP="00D41749">
      <w:pPr>
        <w:spacing w:line="240" w:lineRule="auto"/>
        <w:ind w:firstLine="0"/>
        <w:rPr>
          <w:rFonts w:eastAsiaTheme="minorEastAsia"/>
          <w:b/>
          <w:bCs/>
          <w:i/>
          <w:iCs/>
        </w:rPr>
      </w:pPr>
    </w:p>
    <w:p w14:paraId="5B2D1806" w14:textId="77777777" w:rsidR="00CC3324" w:rsidRPr="004D46AC" w:rsidRDefault="00CC3324" w:rsidP="00D41749">
      <w:pPr>
        <w:spacing w:line="240" w:lineRule="auto"/>
        <w:ind w:firstLine="0"/>
        <w:rPr>
          <w:rFonts w:eastAsiaTheme="minorEastAsia"/>
          <w:b/>
          <w:bCs/>
          <w:i/>
          <w:iCs/>
        </w:rPr>
      </w:pPr>
    </w:p>
    <w:p w14:paraId="45DC84C2" w14:textId="77777777" w:rsidR="00CC3324" w:rsidRPr="004D46AC" w:rsidRDefault="00CC3324" w:rsidP="00D41749">
      <w:pPr>
        <w:spacing w:line="240" w:lineRule="auto"/>
        <w:ind w:firstLine="0"/>
        <w:rPr>
          <w:rFonts w:eastAsiaTheme="minorEastAsia"/>
          <w:b/>
          <w:bCs/>
          <w:i/>
          <w:iCs/>
        </w:rPr>
      </w:pPr>
    </w:p>
    <w:p w14:paraId="58BC3506" w14:textId="77777777" w:rsidR="00CC3324" w:rsidRPr="004D46AC" w:rsidRDefault="00CC3324" w:rsidP="00D41749">
      <w:pPr>
        <w:spacing w:line="240" w:lineRule="auto"/>
        <w:ind w:firstLine="0"/>
        <w:rPr>
          <w:rFonts w:eastAsiaTheme="minorEastAsia"/>
          <w:b/>
          <w:bCs/>
          <w:i/>
          <w:iCs/>
        </w:rPr>
      </w:pPr>
    </w:p>
    <w:p w14:paraId="25729778" w14:textId="77777777" w:rsidR="00CC3324" w:rsidRPr="004D46AC" w:rsidRDefault="00CC3324" w:rsidP="00D41749">
      <w:pPr>
        <w:spacing w:line="240" w:lineRule="auto"/>
        <w:ind w:firstLine="0"/>
        <w:rPr>
          <w:rFonts w:eastAsiaTheme="minorEastAsia"/>
          <w:b/>
          <w:bCs/>
          <w:i/>
          <w:iCs/>
        </w:rPr>
      </w:pPr>
    </w:p>
    <w:p w14:paraId="24FC3E3B" w14:textId="77777777" w:rsidR="007075D9" w:rsidRPr="004D46AC" w:rsidRDefault="007075D9" w:rsidP="00D41749">
      <w:pPr>
        <w:spacing w:line="240" w:lineRule="auto"/>
        <w:ind w:firstLine="0"/>
        <w:rPr>
          <w:b/>
          <w:bCs/>
          <w:i/>
          <w:iCs/>
        </w:rPr>
      </w:pPr>
    </w:p>
    <w:p w14:paraId="7BEC1A1F" w14:textId="77777777" w:rsidR="007075D9" w:rsidRPr="004D46AC" w:rsidRDefault="007075D9" w:rsidP="00D41749">
      <w:pPr>
        <w:spacing w:line="240" w:lineRule="auto"/>
        <w:ind w:firstLine="0"/>
        <w:rPr>
          <w:b/>
          <w:bCs/>
          <w:i/>
          <w:iCs/>
        </w:rPr>
      </w:pPr>
    </w:p>
    <w:p w14:paraId="2BB31C69"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2A377874" wp14:editId="2D14C705">
            <wp:extent cx="2355215" cy="1256030"/>
            <wp:effectExtent l="0" t="0" r="6985" b="1270"/>
            <wp:docPr id="486177319" name="图片 47" descr="图表, 漏斗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77319" name="图片 47" descr="图表, 漏斗图&#10;&#10;AI 生成的内容可能不正确。"/>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355215" cy="125603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1123CC3B" wp14:editId="255EBCDE">
            <wp:extent cx="2372995" cy="1284605"/>
            <wp:effectExtent l="0" t="0" r="8255" b="0"/>
            <wp:docPr id="2001372610" name="图片 46"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72610" name="图片 46" descr="图表, 散点图&#10;&#10;AI 生成的内容可能不正确。"/>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372995" cy="1284605"/>
                    </a:xfrm>
                    <a:prstGeom prst="rect">
                      <a:avLst/>
                    </a:prstGeom>
                    <a:noFill/>
                    <a:ln>
                      <a:noFill/>
                    </a:ln>
                  </pic:spPr>
                </pic:pic>
              </a:graphicData>
            </a:graphic>
          </wp:inline>
        </w:drawing>
      </w:r>
    </w:p>
    <w:p w14:paraId="1155B972"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20B800F7" w14:textId="77777777" w:rsidR="007075D9" w:rsidRPr="004D46AC" w:rsidRDefault="007075D9" w:rsidP="00D41749">
      <w:pPr>
        <w:spacing w:line="240" w:lineRule="auto"/>
        <w:ind w:firstLine="0"/>
        <w:rPr>
          <w:b/>
          <w:bCs/>
          <w:i/>
          <w:iCs/>
        </w:rPr>
      </w:pPr>
    </w:p>
    <w:p w14:paraId="3314D807" w14:textId="456ACA32" w:rsidR="00D41749" w:rsidRPr="004D46AC" w:rsidRDefault="00D41749" w:rsidP="00D41749">
      <w:pPr>
        <w:spacing w:line="240" w:lineRule="auto"/>
        <w:ind w:firstLine="0"/>
        <w:rPr>
          <w:rFonts w:eastAsiaTheme="minorEastAsia"/>
          <w:b/>
          <w:bCs/>
        </w:rPr>
      </w:pPr>
      <w:bookmarkStart w:id="331" w:name="_Toc219880192"/>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10</w:t>
      </w:r>
      <w:bookmarkEnd w:id="331"/>
      <w:r w:rsidRPr="004D46AC">
        <w:rPr>
          <w:b/>
          <w:bCs/>
        </w:rPr>
        <w:fldChar w:fldCharType="end"/>
      </w:r>
    </w:p>
    <w:p w14:paraId="671F2E68" w14:textId="08C2C539" w:rsidR="007075D9" w:rsidRPr="004D46AC" w:rsidRDefault="007075D9" w:rsidP="00D41749">
      <w:pPr>
        <w:spacing w:line="240" w:lineRule="auto"/>
        <w:ind w:firstLine="0"/>
        <w:rPr>
          <w:i/>
          <w:iCs/>
        </w:rPr>
      </w:pPr>
      <w:r w:rsidRPr="004D46AC">
        <w:rPr>
          <w:i/>
          <w:iCs/>
        </w:rPr>
        <w:t>Funnel plots for lifetime psychosis in patients with bipolar II</w:t>
      </w:r>
    </w:p>
    <w:p w14:paraId="3244295E" w14:textId="77777777" w:rsidR="007075D9" w:rsidRPr="004D46AC" w:rsidRDefault="007075D9" w:rsidP="00D41749">
      <w:pPr>
        <w:spacing w:line="240" w:lineRule="auto"/>
        <w:ind w:firstLine="0"/>
        <w:rPr>
          <w:b/>
          <w:bCs/>
          <w:i/>
          <w:iCs/>
        </w:rPr>
      </w:pPr>
    </w:p>
    <w:p w14:paraId="7BF3CFF7" w14:textId="77777777" w:rsidR="007075D9" w:rsidRPr="004D46AC" w:rsidRDefault="007075D9" w:rsidP="00D41749">
      <w:pPr>
        <w:spacing w:line="240" w:lineRule="auto"/>
        <w:ind w:firstLine="0"/>
        <w:rPr>
          <w:b/>
          <w:bCs/>
          <w:i/>
          <w:iCs/>
        </w:rPr>
      </w:pPr>
    </w:p>
    <w:p w14:paraId="537E283F" w14:textId="77777777" w:rsidR="007075D9" w:rsidRPr="004D46AC" w:rsidRDefault="007075D9" w:rsidP="00D41749">
      <w:pPr>
        <w:spacing w:line="240" w:lineRule="auto"/>
        <w:ind w:firstLine="0"/>
        <w:rPr>
          <w:b/>
          <w:bCs/>
          <w:i/>
          <w:iCs/>
        </w:rPr>
      </w:pPr>
    </w:p>
    <w:p w14:paraId="29DAD9EC" w14:textId="77777777" w:rsidR="007075D9" w:rsidRPr="004D46AC" w:rsidRDefault="007075D9" w:rsidP="00D41749">
      <w:pPr>
        <w:spacing w:line="240" w:lineRule="auto"/>
        <w:ind w:firstLine="0"/>
        <w:rPr>
          <w:b/>
          <w:bCs/>
          <w:i/>
          <w:iCs/>
        </w:rPr>
      </w:pPr>
    </w:p>
    <w:p w14:paraId="4BE6EED4" w14:textId="77777777" w:rsidR="007075D9" w:rsidRPr="004D46AC" w:rsidRDefault="007075D9" w:rsidP="00D41749">
      <w:pPr>
        <w:spacing w:line="240" w:lineRule="auto"/>
        <w:ind w:firstLine="0"/>
        <w:rPr>
          <w:b/>
          <w:bCs/>
          <w:i/>
          <w:iCs/>
        </w:rPr>
      </w:pPr>
    </w:p>
    <w:p w14:paraId="7565086A" w14:textId="77777777" w:rsidR="007075D9" w:rsidRPr="004D46AC" w:rsidRDefault="007075D9" w:rsidP="00D41749">
      <w:pPr>
        <w:spacing w:line="240" w:lineRule="auto"/>
        <w:ind w:firstLine="0"/>
        <w:rPr>
          <w:b/>
          <w:bCs/>
          <w:i/>
          <w:iCs/>
        </w:rPr>
      </w:pPr>
    </w:p>
    <w:p w14:paraId="4000BCB3" w14:textId="77777777" w:rsidR="007075D9" w:rsidRPr="004D46AC" w:rsidRDefault="007075D9" w:rsidP="00D41749">
      <w:pPr>
        <w:spacing w:line="240" w:lineRule="auto"/>
        <w:ind w:firstLine="0"/>
        <w:rPr>
          <w:b/>
          <w:bCs/>
          <w:i/>
          <w:iCs/>
        </w:rPr>
      </w:pPr>
    </w:p>
    <w:p w14:paraId="7753F1F8" w14:textId="77777777" w:rsidR="007075D9" w:rsidRPr="004D46AC" w:rsidRDefault="007075D9" w:rsidP="00D41749">
      <w:pPr>
        <w:spacing w:line="240" w:lineRule="auto"/>
        <w:ind w:firstLine="0"/>
        <w:rPr>
          <w:b/>
          <w:bCs/>
          <w:i/>
          <w:iCs/>
        </w:rPr>
      </w:pPr>
    </w:p>
    <w:p w14:paraId="6A76BA37" w14:textId="77777777" w:rsidR="007075D9" w:rsidRPr="004D46AC" w:rsidRDefault="007075D9" w:rsidP="00D41749">
      <w:pPr>
        <w:spacing w:line="240" w:lineRule="auto"/>
        <w:ind w:firstLine="0"/>
        <w:rPr>
          <w:b/>
          <w:bCs/>
          <w:i/>
          <w:iCs/>
        </w:rPr>
      </w:pPr>
    </w:p>
    <w:p w14:paraId="67D2CB63" w14:textId="77777777" w:rsidR="007075D9" w:rsidRPr="004D46AC" w:rsidRDefault="007075D9" w:rsidP="00D41749">
      <w:pPr>
        <w:spacing w:line="240" w:lineRule="auto"/>
        <w:ind w:firstLine="0"/>
        <w:rPr>
          <w:b/>
          <w:bCs/>
          <w:i/>
          <w:iCs/>
        </w:rPr>
      </w:pPr>
    </w:p>
    <w:p w14:paraId="1CD17506" w14:textId="77777777" w:rsidR="007075D9" w:rsidRPr="004D46AC" w:rsidRDefault="007075D9" w:rsidP="00D41749">
      <w:pPr>
        <w:spacing w:line="240" w:lineRule="auto"/>
        <w:ind w:firstLine="0"/>
        <w:rPr>
          <w:b/>
          <w:bCs/>
          <w:i/>
          <w:iCs/>
        </w:rPr>
      </w:pPr>
    </w:p>
    <w:p w14:paraId="2A833BC6" w14:textId="77777777" w:rsidR="007075D9" w:rsidRPr="004D46AC" w:rsidRDefault="007075D9" w:rsidP="00D41749">
      <w:pPr>
        <w:spacing w:line="240" w:lineRule="auto"/>
        <w:ind w:firstLine="0"/>
        <w:rPr>
          <w:b/>
          <w:bCs/>
          <w:i/>
          <w:iCs/>
        </w:rPr>
      </w:pPr>
    </w:p>
    <w:p w14:paraId="0798F78B" w14:textId="77777777" w:rsidR="007075D9" w:rsidRPr="004D46AC" w:rsidRDefault="007075D9" w:rsidP="00D41749">
      <w:pPr>
        <w:spacing w:line="240" w:lineRule="auto"/>
        <w:ind w:firstLine="0"/>
        <w:rPr>
          <w:b/>
          <w:bCs/>
          <w:i/>
          <w:iCs/>
        </w:rPr>
      </w:pPr>
    </w:p>
    <w:p w14:paraId="125D5675" w14:textId="77777777" w:rsidR="007075D9" w:rsidRPr="004D46AC" w:rsidRDefault="007075D9" w:rsidP="00D41749">
      <w:pPr>
        <w:spacing w:line="240" w:lineRule="auto"/>
        <w:ind w:firstLine="0"/>
        <w:rPr>
          <w:b/>
          <w:bCs/>
          <w:i/>
          <w:iCs/>
        </w:rPr>
      </w:pPr>
    </w:p>
    <w:p w14:paraId="21CA7A82" w14:textId="77777777" w:rsidR="007075D9" w:rsidRPr="004D46AC" w:rsidRDefault="007075D9" w:rsidP="00D41749">
      <w:pPr>
        <w:spacing w:line="240" w:lineRule="auto"/>
        <w:ind w:firstLine="0"/>
        <w:rPr>
          <w:rFonts w:eastAsiaTheme="minorEastAsia"/>
          <w:b/>
          <w:bCs/>
          <w:i/>
          <w:iCs/>
        </w:rPr>
      </w:pPr>
    </w:p>
    <w:p w14:paraId="319EECCB" w14:textId="77777777" w:rsidR="00CC3324" w:rsidRPr="004D46AC" w:rsidRDefault="00CC3324" w:rsidP="00D41749">
      <w:pPr>
        <w:spacing w:line="240" w:lineRule="auto"/>
        <w:ind w:firstLine="0"/>
        <w:rPr>
          <w:rFonts w:eastAsiaTheme="minorEastAsia"/>
          <w:b/>
          <w:bCs/>
          <w:i/>
          <w:iCs/>
        </w:rPr>
      </w:pPr>
    </w:p>
    <w:p w14:paraId="400C17FB" w14:textId="77777777" w:rsidR="00CC3324" w:rsidRPr="004D46AC" w:rsidRDefault="00CC3324" w:rsidP="00D41749">
      <w:pPr>
        <w:spacing w:line="240" w:lineRule="auto"/>
        <w:ind w:firstLine="0"/>
        <w:rPr>
          <w:rFonts w:eastAsiaTheme="minorEastAsia"/>
          <w:b/>
          <w:bCs/>
          <w:i/>
          <w:iCs/>
        </w:rPr>
      </w:pPr>
    </w:p>
    <w:p w14:paraId="58CE0A21" w14:textId="77777777" w:rsidR="00CC3324" w:rsidRPr="004D46AC" w:rsidRDefault="00CC3324" w:rsidP="00D41749">
      <w:pPr>
        <w:spacing w:line="240" w:lineRule="auto"/>
        <w:ind w:firstLine="0"/>
        <w:rPr>
          <w:rFonts w:eastAsiaTheme="minorEastAsia"/>
          <w:b/>
          <w:bCs/>
          <w:i/>
          <w:iCs/>
        </w:rPr>
      </w:pPr>
    </w:p>
    <w:p w14:paraId="6123F8BD" w14:textId="77777777" w:rsidR="00CC3324" w:rsidRPr="004D46AC" w:rsidRDefault="00CC3324" w:rsidP="00D41749">
      <w:pPr>
        <w:spacing w:line="240" w:lineRule="auto"/>
        <w:ind w:firstLine="0"/>
        <w:rPr>
          <w:rFonts w:eastAsiaTheme="minorEastAsia"/>
          <w:b/>
          <w:bCs/>
          <w:i/>
          <w:iCs/>
        </w:rPr>
      </w:pPr>
    </w:p>
    <w:p w14:paraId="73DE128B" w14:textId="77777777" w:rsidR="00CC3324" w:rsidRPr="004D46AC" w:rsidRDefault="00CC3324" w:rsidP="00D41749">
      <w:pPr>
        <w:spacing w:line="240" w:lineRule="auto"/>
        <w:ind w:firstLine="0"/>
        <w:rPr>
          <w:rFonts w:eastAsiaTheme="minorEastAsia"/>
          <w:b/>
          <w:bCs/>
          <w:i/>
          <w:iCs/>
        </w:rPr>
      </w:pPr>
    </w:p>
    <w:p w14:paraId="56E606E5" w14:textId="77777777" w:rsidR="00CC3324" w:rsidRPr="004D46AC" w:rsidRDefault="00CC3324" w:rsidP="00D41749">
      <w:pPr>
        <w:spacing w:line="240" w:lineRule="auto"/>
        <w:ind w:firstLine="0"/>
        <w:rPr>
          <w:rFonts w:eastAsiaTheme="minorEastAsia"/>
          <w:b/>
          <w:bCs/>
          <w:i/>
          <w:iCs/>
        </w:rPr>
      </w:pPr>
    </w:p>
    <w:p w14:paraId="024DBD13" w14:textId="77777777" w:rsidR="00CC3324" w:rsidRPr="004D46AC" w:rsidRDefault="00CC3324" w:rsidP="00D41749">
      <w:pPr>
        <w:spacing w:line="240" w:lineRule="auto"/>
        <w:ind w:firstLine="0"/>
        <w:rPr>
          <w:rFonts w:eastAsiaTheme="minorEastAsia"/>
          <w:b/>
          <w:bCs/>
          <w:i/>
          <w:iCs/>
        </w:rPr>
      </w:pPr>
    </w:p>
    <w:p w14:paraId="7477C348" w14:textId="77777777" w:rsidR="00CC3324" w:rsidRPr="004D46AC" w:rsidRDefault="00CC3324" w:rsidP="00D41749">
      <w:pPr>
        <w:spacing w:line="240" w:lineRule="auto"/>
        <w:ind w:firstLine="0"/>
        <w:rPr>
          <w:rFonts w:eastAsiaTheme="minorEastAsia"/>
          <w:b/>
          <w:bCs/>
          <w:i/>
          <w:iCs/>
        </w:rPr>
      </w:pPr>
    </w:p>
    <w:p w14:paraId="5310AB4F" w14:textId="77777777" w:rsidR="00CC3324" w:rsidRPr="004D46AC" w:rsidRDefault="00CC3324" w:rsidP="00D41749">
      <w:pPr>
        <w:spacing w:line="240" w:lineRule="auto"/>
        <w:ind w:firstLine="0"/>
        <w:rPr>
          <w:rFonts w:eastAsiaTheme="minorEastAsia"/>
          <w:b/>
          <w:bCs/>
          <w:i/>
          <w:iCs/>
        </w:rPr>
      </w:pPr>
    </w:p>
    <w:p w14:paraId="38F34E47" w14:textId="77777777" w:rsidR="00CC3324" w:rsidRPr="004D46AC" w:rsidRDefault="00CC3324" w:rsidP="00D41749">
      <w:pPr>
        <w:spacing w:line="240" w:lineRule="auto"/>
        <w:ind w:firstLine="0"/>
        <w:rPr>
          <w:rFonts w:eastAsiaTheme="minorEastAsia"/>
          <w:b/>
          <w:bCs/>
          <w:i/>
          <w:iCs/>
        </w:rPr>
      </w:pPr>
    </w:p>
    <w:p w14:paraId="7A2A1064" w14:textId="77777777" w:rsidR="00CC3324" w:rsidRPr="004D46AC" w:rsidRDefault="00CC3324" w:rsidP="00D41749">
      <w:pPr>
        <w:spacing w:line="240" w:lineRule="auto"/>
        <w:ind w:firstLine="0"/>
        <w:rPr>
          <w:rFonts w:eastAsiaTheme="minorEastAsia"/>
          <w:b/>
          <w:bCs/>
          <w:i/>
          <w:iCs/>
        </w:rPr>
      </w:pPr>
    </w:p>
    <w:p w14:paraId="6FCA82F3" w14:textId="77777777" w:rsidR="007075D9" w:rsidRPr="004D46AC" w:rsidRDefault="007075D9" w:rsidP="00D41749">
      <w:pPr>
        <w:spacing w:line="240" w:lineRule="auto"/>
        <w:ind w:firstLine="0"/>
        <w:rPr>
          <w:b/>
          <w:bCs/>
          <w:i/>
          <w:iCs/>
        </w:rPr>
      </w:pPr>
    </w:p>
    <w:p w14:paraId="470E872F" w14:textId="77777777" w:rsidR="007075D9" w:rsidRPr="004D46AC" w:rsidRDefault="007075D9" w:rsidP="00D41749">
      <w:pPr>
        <w:spacing w:line="240" w:lineRule="auto"/>
        <w:ind w:firstLine="0"/>
        <w:rPr>
          <w:b/>
          <w:bCs/>
          <w:i/>
          <w:iCs/>
        </w:rPr>
      </w:pPr>
    </w:p>
    <w:p w14:paraId="1364E6ED" w14:textId="77777777" w:rsidR="007075D9" w:rsidRPr="004D46AC" w:rsidRDefault="007075D9" w:rsidP="00D41749">
      <w:pPr>
        <w:spacing w:line="240" w:lineRule="auto"/>
        <w:ind w:firstLine="0"/>
        <w:rPr>
          <w:b/>
          <w:bCs/>
          <w:i/>
          <w:iCs/>
        </w:rPr>
      </w:pPr>
    </w:p>
    <w:p w14:paraId="20FBC533"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3E80446D" wp14:editId="3CE8154A">
            <wp:extent cx="5278120" cy="2367280"/>
            <wp:effectExtent l="0" t="0" r="0" b="0"/>
            <wp:docPr id="563532635" name="图片 45"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32635" name="图片 45" descr="表格&#10;&#10;AI 生成的内容可能不正确。"/>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278120" cy="2367280"/>
                    </a:xfrm>
                    <a:prstGeom prst="rect">
                      <a:avLst/>
                    </a:prstGeom>
                    <a:noFill/>
                    <a:ln>
                      <a:noFill/>
                    </a:ln>
                  </pic:spPr>
                </pic:pic>
              </a:graphicData>
            </a:graphic>
          </wp:inline>
        </w:drawing>
      </w:r>
    </w:p>
    <w:p w14:paraId="642D060F" w14:textId="43B525A8" w:rsidR="00D41749" w:rsidRPr="004D46AC" w:rsidRDefault="00D41749" w:rsidP="00D41749">
      <w:pPr>
        <w:spacing w:line="240" w:lineRule="auto"/>
        <w:ind w:firstLine="0"/>
        <w:rPr>
          <w:rFonts w:eastAsiaTheme="minorEastAsia"/>
          <w:b/>
          <w:bCs/>
        </w:rPr>
      </w:pPr>
      <w:bookmarkStart w:id="332" w:name="_Toc219880193"/>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11</w:t>
      </w:r>
      <w:bookmarkEnd w:id="332"/>
      <w:r w:rsidRPr="004D46AC">
        <w:rPr>
          <w:b/>
          <w:bCs/>
        </w:rPr>
        <w:fldChar w:fldCharType="end"/>
      </w:r>
    </w:p>
    <w:p w14:paraId="3CAD22D7" w14:textId="0FDB1E7B" w:rsidR="007075D9" w:rsidRPr="004D46AC" w:rsidRDefault="007075D9" w:rsidP="00D41749">
      <w:pPr>
        <w:spacing w:line="240" w:lineRule="auto"/>
        <w:ind w:firstLine="0"/>
        <w:rPr>
          <w:i/>
          <w:iCs/>
        </w:rPr>
      </w:pPr>
      <w:bookmarkStart w:id="333" w:name="OLE_LINK97"/>
      <w:r w:rsidRPr="004D46AC">
        <w:rPr>
          <w:i/>
          <w:iCs/>
        </w:rPr>
        <w:t>Pooled rate of lifetime psychosis in bipolar patients with manic episode</w:t>
      </w:r>
    </w:p>
    <w:bookmarkEnd w:id="333"/>
    <w:p w14:paraId="591E5E75" w14:textId="77777777" w:rsidR="007075D9" w:rsidRPr="004D46AC" w:rsidRDefault="007075D9" w:rsidP="00D41749">
      <w:pPr>
        <w:spacing w:line="240" w:lineRule="auto"/>
        <w:ind w:firstLine="0"/>
        <w:rPr>
          <w:b/>
          <w:bCs/>
          <w:i/>
          <w:iCs/>
        </w:rPr>
      </w:pPr>
    </w:p>
    <w:p w14:paraId="7D1A8BDC" w14:textId="77777777" w:rsidR="007075D9" w:rsidRPr="004D46AC" w:rsidRDefault="007075D9" w:rsidP="00D41749">
      <w:pPr>
        <w:spacing w:line="240" w:lineRule="auto"/>
        <w:ind w:firstLine="0"/>
        <w:rPr>
          <w:b/>
          <w:bCs/>
          <w:i/>
          <w:iCs/>
        </w:rPr>
      </w:pPr>
    </w:p>
    <w:p w14:paraId="7E74838F" w14:textId="77777777" w:rsidR="007075D9" w:rsidRPr="004D46AC" w:rsidRDefault="007075D9" w:rsidP="00D41749">
      <w:pPr>
        <w:spacing w:line="240" w:lineRule="auto"/>
        <w:ind w:firstLine="0"/>
        <w:rPr>
          <w:b/>
          <w:bCs/>
          <w:i/>
          <w:iCs/>
        </w:rPr>
      </w:pPr>
    </w:p>
    <w:p w14:paraId="56E802E7" w14:textId="77777777" w:rsidR="007075D9" w:rsidRPr="004D46AC" w:rsidRDefault="007075D9" w:rsidP="00D41749">
      <w:pPr>
        <w:spacing w:line="240" w:lineRule="auto"/>
        <w:ind w:firstLine="0"/>
        <w:rPr>
          <w:b/>
          <w:bCs/>
          <w:i/>
          <w:iCs/>
        </w:rPr>
      </w:pPr>
    </w:p>
    <w:p w14:paraId="1DC43ECC" w14:textId="77777777" w:rsidR="007075D9" w:rsidRPr="004D46AC" w:rsidRDefault="007075D9" w:rsidP="00D41749">
      <w:pPr>
        <w:spacing w:line="240" w:lineRule="auto"/>
        <w:ind w:firstLine="0"/>
        <w:rPr>
          <w:b/>
          <w:bCs/>
          <w:i/>
          <w:iCs/>
        </w:rPr>
      </w:pPr>
    </w:p>
    <w:p w14:paraId="0CA9DAA6" w14:textId="77777777" w:rsidR="007075D9" w:rsidRPr="004D46AC" w:rsidRDefault="007075D9" w:rsidP="00D41749">
      <w:pPr>
        <w:spacing w:line="240" w:lineRule="auto"/>
        <w:ind w:firstLine="0"/>
        <w:rPr>
          <w:b/>
          <w:bCs/>
          <w:i/>
          <w:iCs/>
        </w:rPr>
      </w:pPr>
    </w:p>
    <w:p w14:paraId="6B35D12B" w14:textId="77777777" w:rsidR="007075D9" w:rsidRPr="004D46AC" w:rsidRDefault="007075D9" w:rsidP="00D41749">
      <w:pPr>
        <w:spacing w:line="240" w:lineRule="auto"/>
        <w:ind w:firstLine="0"/>
        <w:rPr>
          <w:b/>
          <w:bCs/>
          <w:i/>
          <w:iCs/>
        </w:rPr>
      </w:pPr>
    </w:p>
    <w:p w14:paraId="0AA647AD" w14:textId="77777777" w:rsidR="007075D9" w:rsidRPr="004D46AC" w:rsidRDefault="007075D9" w:rsidP="00D41749">
      <w:pPr>
        <w:spacing w:line="240" w:lineRule="auto"/>
        <w:ind w:firstLine="0"/>
        <w:rPr>
          <w:b/>
          <w:bCs/>
          <w:i/>
          <w:iCs/>
        </w:rPr>
      </w:pPr>
    </w:p>
    <w:p w14:paraId="28185E70" w14:textId="77777777" w:rsidR="007075D9" w:rsidRPr="004D46AC" w:rsidRDefault="007075D9" w:rsidP="00D41749">
      <w:pPr>
        <w:spacing w:line="240" w:lineRule="auto"/>
        <w:ind w:firstLine="0"/>
        <w:rPr>
          <w:b/>
          <w:bCs/>
          <w:i/>
          <w:iCs/>
        </w:rPr>
      </w:pPr>
    </w:p>
    <w:p w14:paraId="49EBB711" w14:textId="77777777" w:rsidR="007075D9" w:rsidRPr="004D46AC" w:rsidRDefault="007075D9" w:rsidP="00D41749">
      <w:pPr>
        <w:spacing w:line="240" w:lineRule="auto"/>
        <w:ind w:firstLine="0"/>
        <w:rPr>
          <w:b/>
          <w:bCs/>
          <w:i/>
          <w:iCs/>
        </w:rPr>
      </w:pPr>
    </w:p>
    <w:p w14:paraId="72DAF2D8" w14:textId="77777777" w:rsidR="007075D9" w:rsidRPr="004D46AC" w:rsidRDefault="007075D9" w:rsidP="00D41749">
      <w:pPr>
        <w:spacing w:line="240" w:lineRule="auto"/>
        <w:ind w:firstLine="0"/>
        <w:rPr>
          <w:b/>
          <w:bCs/>
          <w:i/>
          <w:iCs/>
        </w:rPr>
      </w:pPr>
    </w:p>
    <w:p w14:paraId="54A34958" w14:textId="77777777" w:rsidR="007075D9" w:rsidRPr="004D46AC" w:rsidRDefault="007075D9" w:rsidP="00D41749">
      <w:pPr>
        <w:spacing w:line="240" w:lineRule="auto"/>
        <w:ind w:firstLine="0"/>
        <w:rPr>
          <w:b/>
          <w:bCs/>
          <w:i/>
          <w:iCs/>
        </w:rPr>
      </w:pPr>
    </w:p>
    <w:p w14:paraId="17419EFF" w14:textId="77777777" w:rsidR="007075D9" w:rsidRPr="004D46AC" w:rsidRDefault="007075D9" w:rsidP="00D41749">
      <w:pPr>
        <w:spacing w:line="240" w:lineRule="auto"/>
        <w:ind w:firstLine="0"/>
        <w:rPr>
          <w:b/>
          <w:bCs/>
          <w:i/>
          <w:iCs/>
        </w:rPr>
      </w:pPr>
    </w:p>
    <w:p w14:paraId="4B7D50F0" w14:textId="77777777" w:rsidR="007075D9" w:rsidRPr="004D46AC" w:rsidRDefault="007075D9" w:rsidP="00D41749">
      <w:pPr>
        <w:spacing w:line="240" w:lineRule="auto"/>
        <w:ind w:firstLine="0"/>
        <w:rPr>
          <w:b/>
          <w:bCs/>
          <w:i/>
          <w:iCs/>
        </w:rPr>
      </w:pPr>
    </w:p>
    <w:p w14:paraId="2196D8C9" w14:textId="77777777" w:rsidR="007075D9" w:rsidRPr="004D46AC" w:rsidRDefault="007075D9" w:rsidP="00D41749">
      <w:pPr>
        <w:spacing w:line="240" w:lineRule="auto"/>
        <w:ind w:firstLine="0"/>
        <w:rPr>
          <w:b/>
          <w:bCs/>
          <w:i/>
          <w:iCs/>
        </w:rPr>
      </w:pPr>
    </w:p>
    <w:p w14:paraId="33076971" w14:textId="77777777" w:rsidR="007075D9" w:rsidRPr="004D46AC" w:rsidRDefault="007075D9" w:rsidP="00D41749">
      <w:pPr>
        <w:spacing w:line="240" w:lineRule="auto"/>
        <w:ind w:firstLine="0"/>
        <w:rPr>
          <w:b/>
          <w:bCs/>
          <w:i/>
          <w:iCs/>
        </w:rPr>
      </w:pPr>
    </w:p>
    <w:p w14:paraId="3E64E666" w14:textId="77777777" w:rsidR="007075D9" w:rsidRPr="004D46AC" w:rsidRDefault="007075D9" w:rsidP="00D41749">
      <w:pPr>
        <w:spacing w:line="240" w:lineRule="auto"/>
        <w:ind w:firstLine="0"/>
        <w:rPr>
          <w:b/>
          <w:bCs/>
          <w:i/>
          <w:iCs/>
        </w:rPr>
      </w:pPr>
    </w:p>
    <w:p w14:paraId="3FE7A26F" w14:textId="77777777" w:rsidR="007075D9" w:rsidRPr="004D46AC" w:rsidRDefault="007075D9" w:rsidP="00D41749">
      <w:pPr>
        <w:spacing w:line="240" w:lineRule="auto"/>
        <w:ind w:firstLine="0"/>
        <w:rPr>
          <w:b/>
          <w:bCs/>
          <w:i/>
          <w:iCs/>
        </w:rPr>
      </w:pPr>
    </w:p>
    <w:p w14:paraId="344F4BD3" w14:textId="77777777" w:rsidR="007075D9" w:rsidRPr="004D46AC" w:rsidRDefault="007075D9" w:rsidP="00D41749">
      <w:pPr>
        <w:spacing w:line="240" w:lineRule="auto"/>
        <w:ind w:firstLine="0"/>
        <w:rPr>
          <w:rFonts w:eastAsiaTheme="minorEastAsia"/>
          <w:b/>
          <w:bCs/>
          <w:i/>
          <w:iCs/>
        </w:rPr>
      </w:pPr>
    </w:p>
    <w:p w14:paraId="013495A4" w14:textId="77777777" w:rsidR="00CC3324" w:rsidRPr="004D46AC" w:rsidRDefault="00CC3324" w:rsidP="00D41749">
      <w:pPr>
        <w:spacing w:line="240" w:lineRule="auto"/>
        <w:ind w:firstLine="0"/>
        <w:rPr>
          <w:rFonts w:eastAsiaTheme="minorEastAsia"/>
          <w:b/>
          <w:bCs/>
          <w:i/>
          <w:iCs/>
        </w:rPr>
      </w:pPr>
    </w:p>
    <w:p w14:paraId="70E641D1" w14:textId="77777777" w:rsidR="00CC3324" w:rsidRPr="004D46AC" w:rsidRDefault="00CC3324" w:rsidP="00D41749">
      <w:pPr>
        <w:spacing w:line="240" w:lineRule="auto"/>
        <w:ind w:firstLine="0"/>
        <w:rPr>
          <w:rFonts w:eastAsiaTheme="minorEastAsia"/>
          <w:b/>
          <w:bCs/>
          <w:i/>
          <w:iCs/>
        </w:rPr>
      </w:pPr>
    </w:p>
    <w:p w14:paraId="2B9A0ABA" w14:textId="77777777" w:rsidR="00CC3324" w:rsidRPr="004D46AC" w:rsidRDefault="00CC3324" w:rsidP="00D41749">
      <w:pPr>
        <w:spacing w:line="240" w:lineRule="auto"/>
        <w:ind w:firstLine="0"/>
        <w:rPr>
          <w:rFonts w:eastAsiaTheme="minorEastAsia"/>
          <w:b/>
          <w:bCs/>
          <w:i/>
          <w:iCs/>
        </w:rPr>
      </w:pPr>
    </w:p>
    <w:p w14:paraId="6BFA279F" w14:textId="77777777" w:rsidR="00CC3324" w:rsidRPr="004D46AC" w:rsidRDefault="00CC3324" w:rsidP="00D41749">
      <w:pPr>
        <w:spacing w:line="240" w:lineRule="auto"/>
        <w:ind w:firstLine="0"/>
        <w:rPr>
          <w:rFonts w:eastAsiaTheme="minorEastAsia"/>
          <w:b/>
          <w:bCs/>
          <w:i/>
          <w:iCs/>
        </w:rPr>
      </w:pPr>
    </w:p>
    <w:p w14:paraId="7B7A59AF" w14:textId="77777777" w:rsidR="00CC3324" w:rsidRPr="004D46AC" w:rsidRDefault="00CC3324" w:rsidP="00D41749">
      <w:pPr>
        <w:spacing w:line="240" w:lineRule="auto"/>
        <w:ind w:firstLine="0"/>
        <w:rPr>
          <w:rFonts w:eastAsiaTheme="minorEastAsia"/>
          <w:b/>
          <w:bCs/>
          <w:i/>
          <w:iCs/>
        </w:rPr>
      </w:pPr>
    </w:p>
    <w:p w14:paraId="7518E2E7" w14:textId="77777777" w:rsidR="00CC3324" w:rsidRPr="004D46AC" w:rsidRDefault="00CC3324" w:rsidP="00D41749">
      <w:pPr>
        <w:spacing w:line="240" w:lineRule="auto"/>
        <w:ind w:firstLine="0"/>
        <w:rPr>
          <w:rFonts w:eastAsiaTheme="minorEastAsia"/>
          <w:b/>
          <w:bCs/>
          <w:i/>
          <w:iCs/>
        </w:rPr>
      </w:pPr>
    </w:p>
    <w:p w14:paraId="7ADEE773" w14:textId="77777777" w:rsidR="00CC3324" w:rsidRPr="004D46AC" w:rsidRDefault="00CC3324" w:rsidP="00D41749">
      <w:pPr>
        <w:spacing w:line="240" w:lineRule="auto"/>
        <w:ind w:firstLine="0"/>
        <w:rPr>
          <w:rFonts w:eastAsiaTheme="minorEastAsia"/>
          <w:b/>
          <w:bCs/>
          <w:i/>
          <w:iCs/>
        </w:rPr>
      </w:pPr>
    </w:p>
    <w:p w14:paraId="54925C19" w14:textId="77777777" w:rsidR="00CC3324" w:rsidRPr="004D46AC" w:rsidRDefault="00CC3324" w:rsidP="00D41749">
      <w:pPr>
        <w:spacing w:line="240" w:lineRule="auto"/>
        <w:ind w:firstLine="0"/>
        <w:rPr>
          <w:rFonts w:eastAsiaTheme="minorEastAsia"/>
          <w:b/>
          <w:bCs/>
          <w:i/>
          <w:iCs/>
        </w:rPr>
      </w:pPr>
    </w:p>
    <w:p w14:paraId="03101BB5" w14:textId="77777777" w:rsidR="00CC3324" w:rsidRPr="004D46AC" w:rsidRDefault="00CC3324" w:rsidP="00D41749">
      <w:pPr>
        <w:spacing w:line="240" w:lineRule="auto"/>
        <w:ind w:firstLine="0"/>
        <w:rPr>
          <w:rFonts w:eastAsiaTheme="minorEastAsia"/>
          <w:b/>
          <w:bCs/>
          <w:i/>
          <w:iCs/>
        </w:rPr>
      </w:pPr>
    </w:p>
    <w:p w14:paraId="5281E276" w14:textId="77777777" w:rsidR="00CC3324" w:rsidRPr="004D46AC" w:rsidRDefault="00CC3324" w:rsidP="00D41749">
      <w:pPr>
        <w:spacing w:line="240" w:lineRule="auto"/>
        <w:ind w:firstLine="0"/>
        <w:rPr>
          <w:rFonts w:eastAsiaTheme="minorEastAsia"/>
          <w:b/>
          <w:bCs/>
          <w:i/>
          <w:iCs/>
        </w:rPr>
      </w:pPr>
    </w:p>
    <w:p w14:paraId="611CACC6" w14:textId="77777777" w:rsidR="007075D9" w:rsidRPr="004D46AC" w:rsidRDefault="007075D9" w:rsidP="00D41749">
      <w:pPr>
        <w:spacing w:line="240" w:lineRule="auto"/>
        <w:ind w:firstLine="0"/>
        <w:rPr>
          <w:b/>
          <w:bCs/>
          <w:i/>
          <w:iCs/>
        </w:rPr>
      </w:pPr>
    </w:p>
    <w:p w14:paraId="241D20F1"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47CF5190" wp14:editId="7778D108">
            <wp:extent cx="2598420" cy="1388745"/>
            <wp:effectExtent l="0" t="0" r="0" b="1905"/>
            <wp:docPr id="1956657958" name="图片 44" descr="图表, 漏斗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657958" name="图片 44" descr="图表, 漏斗图&#10;&#10;AI 生成的内容可能不正确。"/>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598420" cy="1388745"/>
                    </a:xfrm>
                    <a:prstGeom prst="rect">
                      <a:avLst/>
                    </a:prstGeom>
                    <a:noFill/>
                    <a:ln>
                      <a:noFill/>
                    </a:ln>
                  </pic:spPr>
                </pic:pic>
              </a:graphicData>
            </a:graphic>
          </wp:inline>
        </w:drawing>
      </w:r>
      <w:r w:rsidRPr="004D46AC">
        <w:rPr>
          <w:noProof/>
        </w:rPr>
        <w:drawing>
          <wp:inline distT="0" distB="0" distL="0" distR="0" wp14:anchorId="70F82A4C" wp14:editId="7B7B9254">
            <wp:extent cx="2563495" cy="1412240"/>
            <wp:effectExtent l="0" t="0" r="8255" b="0"/>
            <wp:docPr id="950727478" name="图片 43"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27478" name="图片 43" descr="图表, 散点图&#10;&#10;AI 生成的内容可能不正确。"/>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563495" cy="1412240"/>
                    </a:xfrm>
                    <a:prstGeom prst="rect">
                      <a:avLst/>
                    </a:prstGeom>
                    <a:noFill/>
                    <a:ln>
                      <a:noFill/>
                    </a:ln>
                  </pic:spPr>
                </pic:pic>
              </a:graphicData>
            </a:graphic>
          </wp:inline>
        </w:drawing>
      </w:r>
    </w:p>
    <w:p w14:paraId="0C857E71"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7DE21FEC" w14:textId="53897856" w:rsidR="00D41749" w:rsidRPr="004D46AC" w:rsidRDefault="00D41749" w:rsidP="00D41749">
      <w:pPr>
        <w:spacing w:line="240" w:lineRule="auto"/>
        <w:ind w:firstLine="0"/>
        <w:rPr>
          <w:rFonts w:eastAsiaTheme="minorEastAsia"/>
          <w:b/>
          <w:bCs/>
        </w:rPr>
      </w:pPr>
      <w:bookmarkStart w:id="334" w:name="_Toc219880194"/>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12</w:t>
      </w:r>
      <w:bookmarkEnd w:id="334"/>
      <w:r w:rsidRPr="004D46AC">
        <w:rPr>
          <w:b/>
          <w:bCs/>
        </w:rPr>
        <w:fldChar w:fldCharType="end"/>
      </w:r>
    </w:p>
    <w:p w14:paraId="418180CD" w14:textId="36B94D95" w:rsidR="007075D9" w:rsidRPr="004D46AC" w:rsidRDefault="007075D9" w:rsidP="00D41749">
      <w:pPr>
        <w:spacing w:line="240" w:lineRule="auto"/>
        <w:ind w:firstLine="0"/>
        <w:rPr>
          <w:i/>
          <w:iCs/>
        </w:rPr>
      </w:pPr>
      <w:bookmarkStart w:id="335" w:name="OLE_LINK98"/>
      <w:r w:rsidRPr="004D46AC">
        <w:rPr>
          <w:i/>
          <w:iCs/>
        </w:rPr>
        <w:t>Funnel plots for lifetime psychosis in bipolar patients with manic episode</w:t>
      </w:r>
    </w:p>
    <w:bookmarkEnd w:id="335"/>
    <w:p w14:paraId="2036FD09" w14:textId="77777777" w:rsidR="007075D9" w:rsidRPr="004D46AC" w:rsidRDefault="007075D9" w:rsidP="00D41749">
      <w:pPr>
        <w:spacing w:line="240" w:lineRule="auto"/>
        <w:ind w:firstLine="0"/>
        <w:rPr>
          <w:b/>
          <w:bCs/>
          <w:i/>
          <w:iCs/>
        </w:rPr>
      </w:pPr>
    </w:p>
    <w:p w14:paraId="7895FD76" w14:textId="77777777" w:rsidR="007075D9" w:rsidRPr="004D46AC" w:rsidRDefault="007075D9" w:rsidP="00D41749">
      <w:pPr>
        <w:spacing w:line="240" w:lineRule="auto"/>
        <w:ind w:firstLine="0"/>
        <w:rPr>
          <w:b/>
          <w:bCs/>
          <w:i/>
          <w:iCs/>
        </w:rPr>
      </w:pPr>
    </w:p>
    <w:p w14:paraId="2D2984BD" w14:textId="77777777" w:rsidR="007075D9" w:rsidRPr="004D46AC" w:rsidRDefault="007075D9" w:rsidP="00D41749">
      <w:pPr>
        <w:spacing w:line="240" w:lineRule="auto"/>
        <w:ind w:firstLine="0"/>
        <w:rPr>
          <w:b/>
          <w:bCs/>
          <w:i/>
          <w:iCs/>
        </w:rPr>
      </w:pPr>
    </w:p>
    <w:p w14:paraId="2CD61DA7" w14:textId="77777777" w:rsidR="007075D9" w:rsidRPr="004D46AC" w:rsidRDefault="007075D9" w:rsidP="00D41749">
      <w:pPr>
        <w:spacing w:line="240" w:lineRule="auto"/>
        <w:ind w:firstLine="0"/>
        <w:rPr>
          <w:b/>
          <w:bCs/>
          <w:i/>
          <w:iCs/>
        </w:rPr>
      </w:pPr>
    </w:p>
    <w:p w14:paraId="2D3C6516" w14:textId="77777777" w:rsidR="007075D9" w:rsidRPr="004D46AC" w:rsidRDefault="007075D9" w:rsidP="00D41749">
      <w:pPr>
        <w:spacing w:line="240" w:lineRule="auto"/>
        <w:ind w:firstLine="0"/>
        <w:rPr>
          <w:b/>
          <w:bCs/>
          <w:i/>
          <w:iCs/>
        </w:rPr>
      </w:pPr>
    </w:p>
    <w:p w14:paraId="00FED988" w14:textId="77777777" w:rsidR="007075D9" w:rsidRPr="004D46AC" w:rsidRDefault="007075D9" w:rsidP="00D41749">
      <w:pPr>
        <w:spacing w:line="240" w:lineRule="auto"/>
        <w:ind w:firstLine="0"/>
        <w:rPr>
          <w:b/>
          <w:bCs/>
          <w:i/>
          <w:iCs/>
        </w:rPr>
      </w:pPr>
    </w:p>
    <w:p w14:paraId="4BEBF665" w14:textId="77777777" w:rsidR="007075D9" w:rsidRPr="004D46AC" w:rsidRDefault="007075D9" w:rsidP="00D41749">
      <w:pPr>
        <w:spacing w:line="240" w:lineRule="auto"/>
        <w:ind w:firstLine="0"/>
        <w:rPr>
          <w:b/>
          <w:bCs/>
          <w:i/>
          <w:iCs/>
        </w:rPr>
      </w:pPr>
    </w:p>
    <w:p w14:paraId="36585F2E" w14:textId="77777777" w:rsidR="007075D9" w:rsidRPr="004D46AC" w:rsidRDefault="007075D9" w:rsidP="00D41749">
      <w:pPr>
        <w:spacing w:line="240" w:lineRule="auto"/>
        <w:ind w:firstLine="0"/>
        <w:rPr>
          <w:b/>
          <w:bCs/>
          <w:i/>
          <w:iCs/>
        </w:rPr>
      </w:pPr>
    </w:p>
    <w:p w14:paraId="77482885" w14:textId="77777777" w:rsidR="007075D9" w:rsidRPr="004D46AC" w:rsidRDefault="007075D9" w:rsidP="00D41749">
      <w:pPr>
        <w:spacing w:line="240" w:lineRule="auto"/>
        <w:ind w:firstLine="0"/>
        <w:rPr>
          <w:b/>
          <w:bCs/>
          <w:i/>
          <w:iCs/>
        </w:rPr>
      </w:pPr>
    </w:p>
    <w:p w14:paraId="26477B17" w14:textId="77777777" w:rsidR="007075D9" w:rsidRPr="004D46AC" w:rsidRDefault="007075D9" w:rsidP="00D41749">
      <w:pPr>
        <w:spacing w:line="240" w:lineRule="auto"/>
        <w:ind w:firstLine="0"/>
        <w:rPr>
          <w:b/>
          <w:bCs/>
          <w:i/>
          <w:iCs/>
        </w:rPr>
      </w:pPr>
    </w:p>
    <w:p w14:paraId="1F49F61A" w14:textId="77777777" w:rsidR="007075D9" w:rsidRPr="004D46AC" w:rsidRDefault="007075D9" w:rsidP="00D41749">
      <w:pPr>
        <w:spacing w:line="240" w:lineRule="auto"/>
        <w:ind w:firstLine="0"/>
        <w:rPr>
          <w:b/>
          <w:bCs/>
          <w:i/>
          <w:iCs/>
        </w:rPr>
      </w:pPr>
    </w:p>
    <w:p w14:paraId="737307A1" w14:textId="77777777" w:rsidR="007075D9" w:rsidRPr="004D46AC" w:rsidRDefault="007075D9" w:rsidP="00D41749">
      <w:pPr>
        <w:spacing w:line="240" w:lineRule="auto"/>
        <w:ind w:firstLine="0"/>
        <w:rPr>
          <w:b/>
          <w:bCs/>
          <w:i/>
          <w:iCs/>
        </w:rPr>
      </w:pPr>
    </w:p>
    <w:p w14:paraId="1EF89092" w14:textId="77777777" w:rsidR="007075D9" w:rsidRPr="004D46AC" w:rsidRDefault="007075D9" w:rsidP="00D41749">
      <w:pPr>
        <w:spacing w:line="240" w:lineRule="auto"/>
        <w:ind w:firstLine="0"/>
        <w:rPr>
          <w:b/>
          <w:bCs/>
          <w:i/>
          <w:iCs/>
        </w:rPr>
      </w:pPr>
    </w:p>
    <w:p w14:paraId="40CEE5DD" w14:textId="77777777" w:rsidR="007075D9" w:rsidRPr="004D46AC" w:rsidRDefault="007075D9" w:rsidP="00D41749">
      <w:pPr>
        <w:spacing w:line="240" w:lineRule="auto"/>
        <w:ind w:firstLine="0"/>
        <w:rPr>
          <w:rFonts w:eastAsiaTheme="minorEastAsia"/>
          <w:b/>
          <w:bCs/>
          <w:i/>
          <w:iCs/>
        </w:rPr>
      </w:pPr>
    </w:p>
    <w:p w14:paraId="478E8810" w14:textId="77777777" w:rsidR="00CC3324" w:rsidRPr="004D46AC" w:rsidRDefault="00CC3324" w:rsidP="00D41749">
      <w:pPr>
        <w:spacing w:line="240" w:lineRule="auto"/>
        <w:ind w:firstLine="0"/>
        <w:rPr>
          <w:rFonts w:eastAsiaTheme="minorEastAsia"/>
          <w:b/>
          <w:bCs/>
          <w:i/>
          <w:iCs/>
        </w:rPr>
      </w:pPr>
    </w:p>
    <w:p w14:paraId="1579F669" w14:textId="77777777" w:rsidR="00CC3324" w:rsidRPr="004D46AC" w:rsidRDefault="00CC3324" w:rsidP="00D41749">
      <w:pPr>
        <w:spacing w:line="240" w:lineRule="auto"/>
        <w:ind w:firstLine="0"/>
        <w:rPr>
          <w:rFonts w:eastAsiaTheme="minorEastAsia"/>
          <w:b/>
          <w:bCs/>
          <w:i/>
          <w:iCs/>
        </w:rPr>
      </w:pPr>
    </w:p>
    <w:p w14:paraId="1FBD4E24" w14:textId="77777777" w:rsidR="00CC3324" w:rsidRPr="004D46AC" w:rsidRDefault="00CC3324" w:rsidP="00D41749">
      <w:pPr>
        <w:spacing w:line="240" w:lineRule="auto"/>
        <w:ind w:firstLine="0"/>
        <w:rPr>
          <w:rFonts w:eastAsiaTheme="minorEastAsia"/>
          <w:b/>
          <w:bCs/>
          <w:i/>
          <w:iCs/>
        </w:rPr>
      </w:pPr>
    </w:p>
    <w:p w14:paraId="03180843" w14:textId="77777777" w:rsidR="00CC3324" w:rsidRPr="004D46AC" w:rsidRDefault="00CC3324" w:rsidP="00D41749">
      <w:pPr>
        <w:spacing w:line="240" w:lineRule="auto"/>
        <w:ind w:firstLine="0"/>
        <w:rPr>
          <w:rFonts w:eastAsiaTheme="minorEastAsia"/>
          <w:b/>
          <w:bCs/>
          <w:i/>
          <w:iCs/>
        </w:rPr>
      </w:pPr>
    </w:p>
    <w:p w14:paraId="7548FFD9" w14:textId="77777777" w:rsidR="00CC3324" w:rsidRPr="004D46AC" w:rsidRDefault="00CC3324" w:rsidP="00D41749">
      <w:pPr>
        <w:spacing w:line="240" w:lineRule="auto"/>
        <w:ind w:firstLine="0"/>
        <w:rPr>
          <w:rFonts w:eastAsiaTheme="minorEastAsia"/>
          <w:b/>
          <w:bCs/>
          <w:i/>
          <w:iCs/>
        </w:rPr>
      </w:pPr>
    </w:p>
    <w:p w14:paraId="7786F769" w14:textId="77777777" w:rsidR="00CC3324" w:rsidRPr="004D46AC" w:rsidRDefault="00CC3324" w:rsidP="00D41749">
      <w:pPr>
        <w:spacing w:line="240" w:lineRule="auto"/>
        <w:ind w:firstLine="0"/>
        <w:rPr>
          <w:rFonts w:eastAsiaTheme="minorEastAsia"/>
          <w:b/>
          <w:bCs/>
          <w:i/>
          <w:iCs/>
        </w:rPr>
      </w:pPr>
    </w:p>
    <w:p w14:paraId="7DBFCEC5" w14:textId="77777777" w:rsidR="00CC3324" w:rsidRPr="004D46AC" w:rsidRDefault="00CC3324" w:rsidP="00D41749">
      <w:pPr>
        <w:spacing w:line="240" w:lineRule="auto"/>
        <w:ind w:firstLine="0"/>
        <w:rPr>
          <w:rFonts w:eastAsiaTheme="minorEastAsia"/>
          <w:b/>
          <w:bCs/>
          <w:i/>
          <w:iCs/>
        </w:rPr>
      </w:pPr>
    </w:p>
    <w:p w14:paraId="50AD9609" w14:textId="77777777" w:rsidR="00CC3324" w:rsidRPr="004D46AC" w:rsidRDefault="00CC3324" w:rsidP="00D41749">
      <w:pPr>
        <w:spacing w:line="240" w:lineRule="auto"/>
        <w:ind w:firstLine="0"/>
        <w:rPr>
          <w:rFonts w:eastAsiaTheme="minorEastAsia"/>
          <w:b/>
          <w:bCs/>
          <w:i/>
          <w:iCs/>
        </w:rPr>
      </w:pPr>
    </w:p>
    <w:p w14:paraId="76D6D9B1" w14:textId="77777777" w:rsidR="00CC3324" w:rsidRPr="004D46AC" w:rsidRDefault="00CC3324" w:rsidP="00D41749">
      <w:pPr>
        <w:spacing w:line="240" w:lineRule="auto"/>
        <w:ind w:firstLine="0"/>
        <w:rPr>
          <w:rFonts w:eastAsiaTheme="minorEastAsia"/>
          <w:b/>
          <w:bCs/>
          <w:i/>
          <w:iCs/>
        </w:rPr>
      </w:pPr>
    </w:p>
    <w:p w14:paraId="28E3A572" w14:textId="77777777" w:rsidR="00CC3324" w:rsidRPr="004D46AC" w:rsidRDefault="00CC3324" w:rsidP="00D41749">
      <w:pPr>
        <w:spacing w:line="240" w:lineRule="auto"/>
        <w:ind w:firstLine="0"/>
        <w:rPr>
          <w:rFonts w:eastAsiaTheme="minorEastAsia"/>
          <w:b/>
          <w:bCs/>
          <w:i/>
          <w:iCs/>
        </w:rPr>
      </w:pPr>
    </w:p>
    <w:p w14:paraId="2866442E" w14:textId="77777777" w:rsidR="00CC3324" w:rsidRPr="004D46AC" w:rsidRDefault="00CC3324" w:rsidP="00D41749">
      <w:pPr>
        <w:spacing w:line="240" w:lineRule="auto"/>
        <w:ind w:firstLine="0"/>
        <w:rPr>
          <w:rFonts w:eastAsiaTheme="minorEastAsia"/>
          <w:b/>
          <w:bCs/>
          <w:i/>
          <w:iCs/>
        </w:rPr>
      </w:pPr>
    </w:p>
    <w:p w14:paraId="539141F0" w14:textId="77777777" w:rsidR="00CC3324" w:rsidRPr="004D46AC" w:rsidRDefault="00CC3324" w:rsidP="00D41749">
      <w:pPr>
        <w:spacing w:line="240" w:lineRule="auto"/>
        <w:ind w:firstLine="0"/>
        <w:rPr>
          <w:rFonts w:eastAsiaTheme="minorEastAsia"/>
          <w:b/>
          <w:bCs/>
          <w:i/>
          <w:iCs/>
        </w:rPr>
      </w:pPr>
    </w:p>
    <w:p w14:paraId="14E14852" w14:textId="77777777" w:rsidR="00CC3324" w:rsidRPr="004D46AC" w:rsidRDefault="00CC3324" w:rsidP="00D41749">
      <w:pPr>
        <w:spacing w:line="240" w:lineRule="auto"/>
        <w:ind w:firstLine="0"/>
        <w:rPr>
          <w:rFonts w:eastAsiaTheme="minorEastAsia"/>
          <w:b/>
          <w:bCs/>
          <w:i/>
          <w:iCs/>
        </w:rPr>
      </w:pPr>
    </w:p>
    <w:p w14:paraId="185DAC65" w14:textId="77777777" w:rsidR="00CC3324" w:rsidRPr="004D46AC" w:rsidRDefault="00CC3324" w:rsidP="00D41749">
      <w:pPr>
        <w:spacing w:line="240" w:lineRule="auto"/>
        <w:ind w:firstLine="0"/>
        <w:rPr>
          <w:rFonts w:eastAsiaTheme="minorEastAsia"/>
          <w:b/>
          <w:bCs/>
          <w:i/>
          <w:iCs/>
        </w:rPr>
      </w:pPr>
    </w:p>
    <w:p w14:paraId="349000E1" w14:textId="77777777" w:rsidR="00CC3324" w:rsidRPr="004D46AC" w:rsidRDefault="00CC3324" w:rsidP="00D41749">
      <w:pPr>
        <w:spacing w:line="240" w:lineRule="auto"/>
        <w:ind w:firstLine="0"/>
        <w:rPr>
          <w:rFonts w:eastAsiaTheme="minorEastAsia"/>
          <w:b/>
          <w:bCs/>
          <w:i/>
          <w:iCs/>
        </w:rPr>
      </w:pPr>
    </w:p>
    <w:p w14:paraId="77C681E7" w14:textId="77777777" w:rsidR="00CC3324" w:rsidRPr="004D46AC" w:rsidRDefault="00CC3324" w:rsidP="00D41749">
      <w:pPr>
        <w:spacing w:line="240" w:lineRule="auto"/>
        <w:ind w:firstLine="0"/>
        <w:rPr>
          <w:rFonts w:eastAsiaTheme="minorEastAsia"/>
          <w:b/>
          <w:bCs/>
          <w:i/>
          <w:iCs/>
        </w:rPr>
      </w:pPr>
    </w:p>
    <w:p w14:paraId="5C552B4C" w14:textId="77777777" w:rsidR="007075D9" w:rsidRPr="004D46AC" w:rsidRDefault="007075D9" w:rsidP="00D41749">
      <w:pPr>
        <w:spacing w:line="240" w:lineRule="auto"/>
        <w:ind w:firstLine="0"/>
        <w:rPr>
          <w:b/>
          <w:bCs/>
          <w:i/>
          <w:iCs/>
        </w:rPr>
      </w:pPr>
    </w:p>
    <w:p w14:paraId="4A6ADE8C" w14:textId="77777777" w:rsidR="007075D9" w:rsidRPr="004D46AC" w:rsidRDefault="007075D9" w:rsidP="00D41749">
      <w:pPr>
        <w:spacing w:line="240" w:lineRule="auto"/>
        <w:ind w:firstLine="0"/>
        <w:rPr>
          <w:b/>
          <w:bCs/>
          <w:i/>
          <w:iCs/>
        </w:rPr>
      </w:pPr>
    </w:p>
    <w:p w14:paraId="00E875D5"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4EA98FEF" wp14:editId="5F683C8F">
            <wp:extent cx="5278120" cy="2048510"/>
            <wp:effectExtent l="0" t="0" r="0" b="8890"/>
            <wp:docPr id="910851840" name="图片 42"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51840" name="图片 42" descr="图片包含 文本&#10;&#10;AI 生成的内容可能不正确。"/>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278120" cy="2048510"/>
                    </a:xfrm>
                    <a:prstGeom prst="rect">
                      <a:avLst/>
                    </a:prstGeom>
                    <a:noFill/>
                    <a:ln>
                      <a:noFill/>
                    </a:ln>
                  </pic:spPr>
                </pic:pic>
              </a:graphicData>
            </a:graphic>
          </wp:inline>
        </w:drawing>
      </w:r>
    </w:p>
    <w:p w14:paraId="0F94D27C" w14:textId="20750908" w:rsidR="00D41749" w:rsidRPr="004D46AC" w:rsidRDefault="00D41749" w:rsidP="00D41749">
      <w:pPr>
        <w:spacing w:line="240" w:lineRule="auto"/>
        <w:ind w:firstLine="0"/>
        <w:rPr>
          <w:rFonts w:eastAsiaTheme="minorEastAsia"/>
          <w:b/>
          <w:bCs/>
        </w:rPr>
      </w:pPr>
      <w:bookmarkStart w:id="336" w:name="_Toc219880195"/>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13</w:t>
      </w:r>
      <w:bookmarkEnd w:id="336"/>
      <w:r w:rsidRPr="004D46AC">
        <w:rPr>
          <w:b/>
          <w:bCs/>
        </w:rPr>
        <w:fldChar w:fldCharType="end"/>
      </w:r>
    </w:p>
    <w:p w14:paraId="399F2787" w14:textId="77777777" w:rsidR="007075D9" w:rsidRPr="004D46AC" w:rsidRDefault="007075D9" w:rsidP="00D41749">
      <w:pPr>
        <w:spacing w:line="240" w:lineRule="auto"/>
        <w:ind w:firstLine="0"/>
        <w:rPr>
          <w:i/>
          <w:iCs/>
        </w:rPr>
      </w:pPr>
      <w:r w:rsidRPr="004D46AC">
        <w:rPr>
          <w:i/>
          <w:iCs/>
        </w:rPr>
        <w:t>Pooled rate of lifetime psychosis in bipolar patients with depressive episode</w:t>
      </w:r>
    </w:p>
    <w:p w14:paraId="29BC2775" w14:textId="77777777" w:rsidR="007075D9" w:rsidRPr="004D46AC" w:rsidRDefault="007075D9" w:rsidP="00D41749">
      <w:pPr>
        <w:spacing w:line="240" w:lineRule="auto"/>
        <w:ind w:firstLine="0"/>
        <w:rPr>
          <w:b/>
          <w:bCs/>
          <w:i/>
          <w:iCs/>
        </w:rPr>
      </w:pPr>
    </w:p>
    <w:p w14:paraId="32427CEF" w14:textId="77777777" w:rsidR="007075D9" w:rsidRPr="004D46AC" w:rsidRDefault="007075D9" w:rsidP="00D41749">
      <w:pPr>
        <w:spacing w:line="240" w:lineRule="auto"/>
        <w:ind w:firstLine="0"/>
        <w:rPr>
          <w:b/>
          <w:bCs/>
          <w:i/>
          <w:iCs/>
        </w:rPr>
      </w:pPr>
    </w:p>
    <w:p w14:paraId="3BBFB6F7" w14:textId="77777777" w:rsidR="007075D9" w:rsidRPr="004D46AC" w:rsidRDefault="007075D9" w:rsidP="00D41749">
      <w:pPr>
        <w:spacing w:line="240" w:lineRule="auto"/>
        <w:ind w:firstLine="0"/>
        <w:rPr>
          <w:b/>
          <w:bCs/>
          <w:i/>
          <w:iCs/>
        </w:rPr>
      </w:pPr>
    </w:p>
    <w:p w14:paraId="44DAE8EA" w14:textId="77777777" w:rsidR="007075D9" w:rsidRPr="004D46AC" w:rsidRDefault="007075D9" w:rsidP="00D41749">
      <w:pPr>
        <w:spacing w:line="240" w:lineRule="auto"/>
        <w:ind w:firstLine="0"/>
        <w:rPr>
          <w:b/>
          <w:bCs/>
          <w:i/>
          <w:iCs/>
        </w:rPr>
      </w:pPr>
    </w:p>
    <w:p w14:paraId="1D2621EA" w14:textId="77777777" w:rsidR="007075D9" w:rsidRPr="004D46AC" w:rsidRDefault="007075D9" w:rsidP="00D41749">
      <w:pPr>
        <w:spacing w:line="240" w:lineRule="auto"/>
        <w:ind w:firstLine="0"/>
        <w:rPr>
          <w:b/>
          <w:bCs/>
          <w:i/>
          <w:iCs/>
        </w:rPr>
      </w:pPr>
    </w:p>
    <w:p w14:paraId="5AEFDDBB" w14:textId="77777777" w:rsidR="007075D9" w:rsidRPr="004D46AC" w:rsidRDefault="007075D9" w:rsidP="00D41749">
      <w:pPr>
        <w:spacing w:line="240" w:lineRule="auto"/>
        <w:ind w:firstLine="0"/>
        <w:rPr>
          <w:b/>
          <w:bCs/>
          <w:i/>
          <w:iCs/>
        </w:rPr>
      </w:pPr>
    </w:p>
    <w:p w14:paraId="3F1A32F7" w14:textId="77777777" w:rsidR="007075D9" w:rsidRPr="004D46AC" w:rsidRDefault="007075D9" w:rsidP="00D41749">
      <w:pPr>
        <w:spacing w:line="240" w:lineRule="auto"/>
        <w:ind w:firstLine="0"/>
        <w:rPr>
          <w:b/>
          <w:bCs/>
          <w:i/>
          <w:iCs/>
        </w:rPr>
      </w:pPr>
    </w:p>
    <w:p w14:paraId="6B21F403" w14:textId="77777777" w:rsidR="007075D9" w:rsidRPr="004D46AC" w:rsidRDefault="007075D9" w:rsidP="00D41749">
      <w:pPr>
        <w:spacing w:line="240" w:lineRule="auto"/>
        <w:ind w:firstLine="0"/>
        <w:rPr>
          <w:b/>
          <w:bCs/>
          <w:i/>
          <w:iCs/>
        </w:rPr>
      </w:pPr>
    </w:p>
    <w:p w14:paraId="109AFF78" w14:textId="77777777" w:rsidR="007075D9" w:rsidRPr="004D46AC" w:rsidRDefault="007075D9" w:rsidP="00D41749">
      <w:pPr>
        <w:spacing w:line="240" w:lineRule="auto"/>
        <w:ind w:firstLine="0"/>
        <w:rPr>
          <w:b/>
          <w:bCs/>
          <w:i/>
          <w:iCs/>
        </w:rPr>
      </w:pPr>
    </w:p>
    <w:p w14:paraId="2547531F" w14:textId="77777777" w:rsidR="007075D9" w:rsidRPr="004D46AC" w:rsidRDefault="007075D9" w:rsidP="00D41749">
      <w:pPr>
        <w:spacing w:line="240" w:lineRule="auto"/>
        <w:ind w:firstLine="0"/>
        <w:rPr>
          <w:b/>
          <w:bCs/>
          <w:i/>
          <w:iCs/>
        </w:rPr>
      </w:pPr>
    </w:p>
    <w:p w14:paraId="3C4C8C67" w14:textId="77777777" w:rsidR="007075D9" w:rsidRPr="004D46AC" w:rsidRDefault="007075D9" w:rsidP="00D41749">
      <w:pPr>
        <w:spacing w:line="240" w:lineRule="auto"/>
        <w:ind w:firstLine="0"/>
        <w:rPr>
          <w:b/>
          <w:bCs/>
          <w:i/>
          <w:iCs/>
        </w:rPr>
      </w:pPr>
    </w:p>
    <w:p w14:paraId="5FB31179" w14:textId="77777777" w:rsidR="007075D9" w:rsidRPr="004D46AC" w:rsidRDefault="007075D9" w:rsidP="00D41749">
      <w:pPr>
        <w:spacing w:line="240" w:lineRule="auto"/>
        <w:ind w:firstLine="0"/>
        <w:rPr>
          <w:b/>
          <w:bCs/>
          <w:i/>
          <w:iCs/>
        </w:rPr>
      </w:pPr>
    </w:p>
    <w:p w14:paraId="73B248CA" w14:textId="77777777" w:rsidR="007075D9" w:rsidRPr="004D46AC" w:rsidRDefault="007075D9" w:rsidP="00D41749">
      <w:pPr>
        <w:spacing w:line="240" w:lineRule="auto"/>
        <w:ind w:firstLine="0"/>
        <w:rPr>
          <w:b/>
          <w:bCs/>
          <w:i/>
          <w:iCs/>
        </w:rPr>
      </w:pPr>
    </w:p>
    <w:p w14:paraId="199F5490" w14:textId="77777777" w:rsidR="007075D9" w:rsidRPr="004D46AC" w:rsidRDefault="007075D9" w:rsidP="00D41749">
      <w:pPr>
        <w:spacing w:line="240" w:lineRule="auto"/>
        <w:ind w:firstLine="0"/>
        <w:rPr>
          <w:b/>
          <w:bCs/>
          <w:i/>
          <w:iCs/>
        </w:rPr>
      </w:pPr>
    </w:p>
    <w:p w14:paraId="107BD070" w14:textId="77777777" w:rsidR="007075D9" w:rsidRPr="004D46AC" w:rsidRDefault="007075D9" w:rsidP="00D41749">
      <w:pPr>
        <w:spacing w:line="240" w:lineRule="auto"/>
        <w:ind w:firstLine="0"/>
        <w:rPr>
          <w:b/>
          <w:bCs/>
          <w:i/>
          <w:iCs/>
        </w:rPr>
      </w:pPr>
    </w:p>
    <w:p w14:paraId="78F80E09" w14:textId="77777777" w:rsidR="007075D9" w:rsidRPr="004D46AC" w:rsidRDefault="007075D9" w:rsidP="00D41749">
      <w:pPr>
        <w:spacing w:line="240" w:lineRule="auto"/>
        <w:ind w:firstLine="0"/>
        <w:rPr>
          <w:b/>
          <w:bCs/>
          <w:i/>
          <w:iCs/>
        </w:rPr>
      </w:pPr>
    </w:p>
    <w:p w14:paraId="5F3F55B2" w14:textId="77777777" w:rsidR="007075D9" w:rsidRPr="004D46AC" w:rsidRDefault="007075D9" w:rsidP="00D41749">
      <w:pPr>
        <w:spacing w:line="240" w:lineRule="auto"/>
        <w:ind w:firstLine="0"/>
        <w:rPr>
          <w:rFonts w:eastAsiaTheme="minorEastAsia"/>
          <w:b/>
          <w:bCs/>
          <w:i/>
          <w:iCs/>
        </w:rPr>
      </w:pPr>
    </w:p>
    <w:p w14:paraId="62E1B1E8" w14:textId="77777777" w:rsidR="00CC3324" w:rsidRPr="004D46AC" w:rsidRDefault="00CC3324" w:rsidP="00D41749">
      <w:pPr>
        <w:spacing w:line="240" w:lineRule="auto"/>
        <w:ind w:firstLine="0"/>
        <w:rPr>
          <w:rFonts w:eastAsiaTheme="minorEastAsia"/>
          <w:b/>
          <w:bCs/>
          <w:i/>
          <w:iCs/>
        </w:rPr>
      </w:pPr>
    </w:p>
    <w:p w14:paraId="5F007271" w14:textId="77777777" w:rsidR="00CC3324" w:rsidRPr="004D46AC" w:rsidRDefault="00CC3324" w:rsidP="00D41749">
      <w:pPr>
        <w:spacing w:line="240" w:lineRule="auto"/>
        <w:ind w:firstLine="0"/>
        <w:rPr>
          <w:rFonts w:eastAsiaTheme="minorEastAsia"/>
          <w:b/>
          <w:bCs/>
          <w:i/>
          <w:iCs/>
        </w:rPr>
      </w:pPr>
    </w:p>
    <w:p w14:paraId="5AB580AE" w14:textId="77777777" w:rsidR="00CC3324" w:rsidRPr="004D46AC" w:rsidRDefault="00CC3324" w:rsidP="00D41749">
      <w:pPr>
        <w:spacing w:line="240" w:lineRule="auto"/>
        <w:ind w:firstLine="0"/>
        <w:rPr>
          <w:rFonts w:eastAsiaTheme="minorEastAsia"/>
          <w:b/>
          <w:bCs/>
          <w:i/>
          <w:iCs/>
        </w:rPr>
      </w:pPr>
    </w:p>
    <w:p w14:paraId="7845732D" w14:textId="77777777" w:rsidR="00CC3324" w:rsidRPr="004D46AC" w:rsidRDefault="00CC3324" w:rsidP="00D41749">
      <w:pPr>
        <w:spacing w:line="240" w:lineRule="auto"/>
        <w:ind w:firstLine="0"/>
        <w:rPr>
          <w:rFonts w:eastAsiaTheme="minorEastAsia"/>
          <w:b/>
          <w:bCs/>
          <w:i/>
          <w:iCs/>
        </w:rPr>
      </w:pPr>
    </w:p>
    <w:p w14:paraId="5E1352A8" w14:textId="77777777" w:rsidR="00CC3324" w:rsidRPr="004D46AC" w:rsidRDefault="00CC3324" w:rsidP="00D41749">
      <w:pPr>
        <w:spacing w:line="240" w:lineRule="auto"/>
        <w:ind w:firstLine="0"/>
        <w:rPr>
          <w:rFonts w:eastAsiaTheme="minorEastAsia"/>
          <w:b/>
          <w:bCs/>
          <w:i/>
          <w:iCs/>
        </w:rPr>
      </w:pPr>
    </w:p>
    <w:p w14:paraId="70353787" w14:textId="77777777" w:rsidR="00CC3324" w:rsidRPr="004D46AC" w:rsidRDefault="00CC3324" w:rsidP="00D41749">
      <w:pPr>
        <w:spacing w:line="240" w:lineRule="auto"/>
        <w:ind w:firstLine="0"/>
        <w:rPr>
          <w:rFonts w:eastAsiaTheme="minorEastAsia"/>
          <w:b/>
          <w:bCs/>
          <w:i/>
          <w:iCs/>
        </w:rPr>
      </w:pPr>
    </w:p>
    <w:p w14:paraId="505F4B4B" w14:textId="77777777" w:rsidR="00CC3324" w:rsidRPr="004D46AC" w:rsidRDefault="00CC3324" w:rsidP="00D41749">
      <w:pPr>
        <w:spacing w:line="240" w:lineRule="auto"/>
        <w:ind w:firstLine="0"/>
        <w:rPr>
          <w:rFonts w:eastAsiaTheme="minorEastAsia"/>
          <w:b/>
          <w:bCs/>
          <w:i/>
          <w:iCs/>
        </w:rPr>
      </w:pPr>
    </w:p>
    <w:p w14:paraId="6FDE8200" w14:textId="77777777" w:rsidR="00CC3324" w:rsidRPr="004D46AC" w:rsidRDefault="00CC3324" w:rsidP="00D41749">
      <w:pPr>
        <w:spacing w:line="240" w:lineRule="auto"/>
        <w:ind w:firstLine="0"/>
        <w:rPr>
          <w:rFonts w:eastAsiaTheme="minorEastAsia"/>
          <w:b/>
          <w:bCs/>
          <w:i/>
          <w:iCs/>
        </w:rPr>
      </w:pPr>
    </w:p>
    <w:p w14:paraId="7231A00A" w14:textId="77777777" w:rsidR="00CC3324" w:rsidRPr="004D46AC" w:rsidRDefault="00CC3324" w:rsidP="00D41749">
      <w:pPr>
        <w:spacing w:line="240" w:lineRule="auto"/>
        <w:ind w:firstLine="0"/>
        <w:rPr>
          <w:rFonts w:eastAsiaTheme="minorEastAsia"/>
          <w:b/>
          <w:bCs/>
          <w:i/>
          <w:iCs/>
        </w:rPr>
      </w:pPr>
    </w:p>
    <w:p w14:paraId="3DCFBB0D" w14:textId="77777777" w:rsidR="00CC3324" w:rsidRPr="004D46AC" w:rsidRDefault="00CC3324" w:rsidP="00D41749">
      <w:pPr>
        <w:spacing w:line="240" w:lineRule="auto"/>
        <w:ind w:firstLine="0"/>
        <w:rPr>
          <w:rFonts w:eastAsiaTheme="minorEastAsia"/>
          <w:b/>
          <w:bCs/>
          <w:i/>
          <w:iCs/>
        </w:rPr>
      </w:pPr>
    </w:p>
    <w:p w14:paraId="0A49E821" w14:textId="77777777" w:rsidR="00CC3324" w:rsidRPr="004D46AC" w:rsidRDefault="00CC3324" w:rsidP="00D41749">
      <w:pPr>
        <w:spacing w:line="240" w:lineRule="auto"/>
        <w:ind w:firstLine="0"/>
        <w:rPr>
          <w:rFonts w:eastAsiaTheme="minorEastAsia"/>
          <w:b/>
          <w:bCs/>
          <w:i/>
          <w:iCs/>
        </w:rPr>
      </w:pPr>
    </w:p>
    <w:p w14:paraId="4AAE0767" w14:textId="77777777" w:rsidR="00CC3324" w:rsidRPr="004D46AC" w:rsidRDefault="00CC3324" w:rsidP="00D41749">
      <w:pPr>
        <w:spacing w:line="240" w:lineRule="auto"/>
        <w:ind w:firstLine="0"/>
        <w:rPr>
          <w:rFonts w:eastAsiaTheme="minorEastAsia"/>
          <w:b/>
          <w:bCs/>
          <w:i/>
          <w:iCs/>
        </w:rPr>
      </w:pPr>
    </w:p>
    <w:p w14:paraId="7F43AB29" w14:textId="77777777" w:rsidR="00CC3324" w:rsidRPr="004D46AC" w:rsidRDefault="00CC3324" w:rsidP="00D41749">
      <w:pPr>
        <w:spacing w:line="240" w:lineRule="auto"/>
        <w:ind w:firstLine="0"/>
        <w:rPr>
          <w:rFonts w:eastAsiaTheme="minorEastAsia"/>
          <w:b/>
          <w:bCs/>
          <w:i/>
          <w:iCs/>
        </w:rPr>
      </w:pPr>
    </w:p>
    <w:p w14:paraId="3EA407AD" w14:textId="77777777" w:rsidR="00CC3324" w:rsidRPr="004D46AC" w:rsidRDefault="00CC3324" w:rsidP="00D41749">
      <w:pPr>
        <w:spacing w:line="240" w:lineRule="auto"/>
        <w:ind w:firstLine="0"/>
        <w:rPr>
          <w:rFonts w:eastAsiaTheme="minorEastAsia"/>
          <w:b/>
          <w:bCs/>
          <w:i/>
          <w:iCs/>
        </w:rPr>
      </w:pPr>
    </w:p>
    <w:p w14:paraId="37E69D85" w14:textId="77777777" w:rsidR="00CC3324" w:rsidRPr="004D46AC" w:rsidRDefault="00CC3324" w:rsidP="00D41749">
      <w:pPr>
        <w:spacing w:line="240" w:lineRule="auto"/>
        <w:ind w:firstLine="0"/>
        <w:rPr>
          <w:rFonts w:eastAsiaTheme="minorEastAsia"/>
          <w:b/>
          <w:bCs/>
          <w:i/>
          <w:iCs/>
        </w:rPr>
      </w:pPr>
    </w:p>
    <w:p w14:paraId="1BC77332" w14:textId="77777777" w:rsidR="007075D9" w:rsidRPr="004D46AC" w:rsidRDefault="007075D9" w:rsidP="00D41749">
      <w:pPr>
        <w:spacing w:line="240" w:lineRule="auto"/>
        <w:ind w:firstLine="0"/>
        <w:rPr>
          <w:b/>
          <w:bCs/>
          <w:i/>
          <w:iCs/>
        </w:rPr>
      </w:pPr>
    </w:p>
    <w:p w14:paraId="4D9AFD5C"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5859CDB4" wp14:editId="08355BAB">
            <wp:extent cx="2517775" cy="1377315"/>
            <wp:effectExtent l="0" t="0" r="0" b="0"/>
            <wp:docPr id="889872393" name="图片 41" descr="图表, 漏斗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72393" name="图片 41" descr="图表, 漏斗图&#10;&#10;AI 生成的内容可能不正确。"/>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517775" cy="1377315"/>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020A6A78" wp14:editId="64A32BAC">
            <wp:extent cx="2540635" cy="1412240"/>
            <wp:effectExtent l="0" t="0" r="0" b="0"/>
            <wp:docPr id="1755304870" name="图片 40"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04870" name="图片 40" descr="图表, 散点图&#10;&#10;AI 生成的内容可能不正确。"/>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540635" cy="1412240"/>
                    </a:xfrm>
                    <a:prstGeom prst="rect">
                      <a:avLst/>
                    </a:prstGeom>
                    <a:noFill/>
                    <a:ln>
                      <a:noFill/>
                    </a:ln>
                  </pic:spPr>
                </pic:pic>
              </a:graphicData>
            </a:graphic>
          </wp:inline>
        </w:drawing>
      </w:r>
    </w:p>
    <w:p w14:paraId="4DF6951A"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5525B554" w14:textId="74BA945D" w:rsidR="00D41749" w:rsidRPr="004D46AC" w:rsidRDefault="00D41749" w:rsidP="00D41749">
      <w:pPr>
        <w:spacing w:line="240" w:lineRule="auto"/>
        <w:ind w:firstLine="0"/>
        <w:rPr>
          <w:rFonts w:eastAsiaTheme="minorEastAsia"/>
          <w:b/>
          <w:bCs/>
        </w:rPr>
      </w:pPr>
      <w:bookmarkStart w:id="337" w:name="_Toc219880196"/>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14</w:t>
      </w:r>
      <w:bookmarkEnd w:id="337"/>
      <w:r w:rsidRPr="004D46AC">
        <w:rPr>
          <w:b/>
          <w:bCs/>
        </w:rPr>
        <w:fldChar w:fldCharType="end"/>
      </w:r>
    </w:p>
    <w:p w14:paraId="5B67F394" w14:textId="4AB321D5" w:rsidR="007075D9" w:rsidRPr="004D46AC" w:rsidRDefault="007075D9" w:rsidP="00D41749">
      <w:pPr>
        <w:spacing w:line="240" w:lineRule="auto"/>
        <w:ind w:firstLine="0"/>
        <w:rPr>
          <w:i/>
          <w:iCs/>
        </w:rPr>
      </w:pPr>
      <w:bookmarkStart w:id="338" w:name="OLE_LINK99"/>
      <w:r w:rsidRPr="004D46AC">
        <w:rPr>
          <w:i/>
          <w:iCs/>
        </w:rPr>
        <w:t>Funnel plots for lifetime psychosis in bipolar patients with depressive episode</w:t>
      </w:r>
      <w:bookmarkEnd w:id="338"/>
    </w:p>
    <w:p w14:paraId="3DF848D6" w14:textId="77777777" w:rsidR="007075D9" w:rsidRPr="004D46AC" w:rsidRDefault="007075D9" w:rsidP="00D41749">
      <w:pPr>
        <w:spacing w:line="240" w:lineRule="auto"/>
        <w:ind w:firstLine="0"/>
        <w:rPr>
          <w:b/>
          <w:bCs/>
          <w:i/>
          <w:iCs/>
        </w:rPr>
      </w:pPr>
    </w:p>
    <w:p w14:paraId="790F0BEF" w14:textId="77777777" w:rsidR="007075D9" w:rsidRPr="004D46AC" w:rsidRDefault="007075D9" w:rsidP="00D41749">
      <w:pPr>
        <w:spacing w:line="240" w:lineRule="auto"/>
        <w:ind w:firstLine="0"/>
        <w:rPr>
          <w:b/>
          <w:bCs/>
          <w:i/>
          <w:iCs/>
        </w:rPr>
      </w:pPr>
    </w:p>
    <w:p w14:paraId="5149D9FE" w14:textId="77777777" w:rsidR="007075D9" w:rsidRPr="004D46AC" w:rsidRDefault="007075D9" w:rsidP="00D41749">
      <w:pPr>
        <w:spacing w:line="240" w:lineRule="auto"/>
        <w:ind w:firstLine="0"/>
        <w:rPr>
          <w:b/>
          <w:bCs/>
          <w:i/>
          <w:iCs/>
        </w:rPr>
      </w:pPr>
    </w:p>
    <w:p w14:paraId="193CBD04" w14:textId="77777777" w:rsidR="007075D9" w:rsidRPr="004D46AC" w:rsidRDefault="007075D9" w:rsidP="00D41749">
      <w:pPr>
        <w:spacing w:line="240" w:lineRule="auto"/>
        <w:ind w:firstLine="0"/>
        <w:rPr>
          <w:b/>
          <w:bCs/>
          <w:i/>
          <w:iCs/>
        </w:rPr>
      </w:pPr>
    </w:p>
    <w:p w14:paraId="4A2C10D4" w14:textId="77777777" w:rsidR="007075D9" w:rsidRPr="004D46AC" w:rsidRDefault="007075D9" w:rsidP="00D41749">
      <w:pPr>
        <w:spacing w:line="240" w:lineRule="auto"/>
        <w:ind w:firstLine="0"/>
        <w:rPr>
          <w:b/>
          <w:bCs/>
          <w:i/>
          <w:iCs/>
        </w:rPr>
      </w:pPr>
    </w:p>
    <w:p w14:paraId="178E6EB5" w14:textId="77777777" w:rsidR="007075D9" w:rsidRPr="004D46AC" w:rsidRDefault="007075D9" w:rsidP="00D41749">
      <w:pPr>
        <w:spacing w:line="240" w:lineRule="auto"/>
        <w:ind w:firstLine="0"/>
        <w:rPr>
          <w:b/>
          <w:bCs/>
          <w:i/>
          <w:iCs/>
        </w:rPr>
      </w:pPr>
    </w:p>
    <w:p w14:paraId="4E39D97D" w14:textId="77777777" w:rsidR="007075D9" w:rsidRPr="004D46AC" w:rsidRDefault="007075D9" w:rsidP="00D41749">
      <w:pPr>
        <w:spacing w:line="240" w:lineRule="auto"/>
        <w:ind w:firstLine="0"/>
        <w:rPr>
          <w:b/>
          <w:bCs/>
          <w:i/>
          <w:iCs/>
        </w:rPr>
      </w:pPr>
    </w:p>
    <w:p w14:paraId="1C59720B" w14:textId="77777777" w:rsidR="007075D9" w:rsidRPr="004D46AC" w:rsidRDefault="007075D9" w:rsidP="00D41749">
      <w:pPr>
        <w:spacing w:line="240" w:lineRule="auto"/>
        <w:ind w:firstLine="0"/>
        <w:rPr>
          <w:b/>
          <w:bCs/>
          <w:i/>
          <w:iCs/>
        </w:rPr>
      </w:pPr>
    </w:p>
    <w:p w14:paraId="2E78DD79" w14:textId="77777777" w:rsidR="007075D9" w:rsidRPr="004D46AC" w:rsidRDefault="007075D9" w:rsidP="00D41749">
      <w:pPr>
        <w:spacing w:line="240" w:lineRule="auto"/>
        <w:ind w:firstLine="0"/>
        <w:rPr>
          <w:b/>
          <w:bCs/>
          <w:i/>
          <w:iCs/>
        </w:rPr>
      </w:pPr>
    </w:p>
    <w:p w14:paraId="6DD53DC0" w14:textId="77777777" w:rsidR="007075D9" w:rsidRPr="004D46AC" w:rsidRDefault="007075D9" w:rsidP="00D41749">
      <w:pPr>
        <w:spacing w:line="240" w:lineRule="auto"/>
        <w:ind w:firstLine="0"/>
        <w:rPr>
          <w:b/>
          <w:bCs/>
          <w:i/>
          <w:iCs/>
        </w:rPr>
      </w:pPr>
    </w:p>
    <w:p w14:paraId="28AEE3F1" w14:textId="77777777" w:rsidR="007075D9" w:rsidRPr="004D46AC" w:rsidRDefault="007075D9" w:rsidP="00D41749">
      <w:pPr>
        <w:spacing w:line="240" w:lineRule="auto"/>
        <w:ind w:firstLine="0"/>
        <w:rPr>
          <w:b/>
          <w:bCs/>
          <w:i/>
          <w:iCs/>
        </w:rPr>
      </w:pPr>
    </w:p>
    <w:p w14:paraId="586B4B52" w14:textId="77777777" w:rsidR="007075D9" w:rsidRPr="004D46AC" w:rsidRDefault="007075D9" w:rsidP="00D41749">
      <w:pPr>
        <w:spacing w:line="240" w:lineRule="auto"/>
        <w:ind w:firstLine="0"/>
        <w:rPr>
          <w:b/>
          <w:bCs/>
          <w:i/>
          <w:iCs/>
        </w:rPr>
      </w:pPr>
    </w:p>
    <w:p w14:paraId="27358087" w14:textId="77777777" w:rsidR="007075D9" w:rsidRPr="004D46AC" w:rsidRDefault="007075D9" w:rsidP="00D41749">
      <w:pPr>
        <w:spacing w:line="240" w:lineRule="auto"/>
        <w:ind w:firstLine="0"/>
        <w:rPr>
          <w:b/>
          <w:bCs/>
          <w:i/>
          <w:iCs/>
        </w:rPr>
      </w:pPr>
    </w:p>
    <w:p w14:paraId="4A90788F" w14:textId="77777777" w:rsidR="007075D9" w:rsidRPr="004D46AC" w:rsidRDefault="007075D9" w:rsidP="00D41749">
      <w:pPr>
        <w:spacing w:line="240" w:lineRule="auto"/>
        <w:ind w:firstLine="0"/>
        <w:rPr>
          <w:b/>
          <w:bCs/>
          <w:i/>
          <w:iCs/>
        </w:rPr>
      </w:pPr>
    </w:p>
    <w:p w14:paraId="236DE4A9" w14:textId="77777777" w:rsidR="007075D9" w:rsidRPr="004D46AC" w:rsidRDefault="007075D9" w:rsidP="00D41749">
      <w:pPr>
        <w:spacing w:line="240" w:lineRule="auto"/>
        <w:ind w:firstLine="0"/>
        <w:rPr>
          <w:b/>
          <w:bCs/>
          <w:i/>
          <w:iCs/>
        </w:rPr>
      </w:pPr>
    </w:p>
    <w:p w14:paraId="49E9F1A6" w14:textId="77777777" w:rsidR="007075D9" w:rsidRPr="004D46AC" w:rsidRDefault="007075D9" w:rsidP="00D41749">
      <w:pPr>
        <w:spacing w:line="240" w:lineRule="auto"/>
        <w:ind w:firstLine="0"/>
        <w:rPr>
          <w:b/>
          <w:bCs/>
          <w:i/>
          <w:iCs/>
        </w:rPr>
      </w:pPr>
    </w:p>
    <w:p w14:paraId="2EE8475F" w14:textId="77777777" w:rsidR="007075D9" w:rsidRPr="004D46AC" w:rsidRDefault="007075D9" w:rsidP="00D41749">
      <w:pPr>
        <w:spacing w:line="240" w:lineRule="auto"/>
        <w:ind w:firstLine="0"/>
        <w:rPr>
          <w:b/>
          <w:bCs/>
          <w:i/>
          <w:iCs/>
        </w:rPr>
      </w:pPr>
    </w:p>
    <w:p w14:paraId="2006C7BA" w14:textId="77777777" w:rsidR="007075D9" w:rsidRPr="004D46AC" w:rsidRDefault="007075D9" w:rsidP="00D41749">
      <w:pPr>
        <w:spacing w:line="240" w:lineRule="auto"/>
        <w:ind w:firstLine="0"/>
        <w:rPr>
          <w:b/>
          <w:bCs/>
          <w:i/>
          <w:iCs/>
        </w:rPr>
      </w:pPr>
    </w:p>
    <w:p w14:paraId="3F28F799" w14:textId="77777777" w:rsidR="007075D9" w:rsidRPr="004D46AC" w:rsidRDefault="007075D9" w:rsidP="00D41749">
      <w:pPr>
        <w:spacing w:line="240" w:lineRule="auto"/>
        <w:ind w:firstLine="0"/>
        <w:rPr>
          <w:b/>
          <w:bCs/>
          <w:i/>
          <w:iCs/>
        </w:rPr>
      </w:pPr>
      <w:r w:rsidRPr="004D46AC">
        <w:rPr>
          <w:b/>
          <w:i/>
          <w:noProof/>
        </w:rPr>
        <w:lastRenderedPageBreak/>
        <w:drawing>
          <wp:inline distT="0" distB="0" distL="0" distR="0" wp14:anchorId="62CF5A86" wp14:editId="7388BA84">
            <wp:extent cx="4693289" cy="7327900"/>
            <wp:effectExtent l="0" t="0" r="0" b="6350"/>
            <wp:docPr id="845044768" name="图片 39"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44768" name="图片 39" descr="表格&#10;&#10;AI 生成的内容可能不正确。"/>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4700817" cy="7339654"/>
                    </a:xfrm>
                    <a:prstGeom prst="rect">
                      <a:avLst/>
                    </a:prstGeom>
                    <a:noFill/>
                    <a:ln>
                      <a:noFill/>
                    </a:ln>
                  </pic:spPr>
                </pic:pic>
              </a:graphicData>
            </a:graphic>
          </wp:inline>
        </w:drawing>
      </w:r>
    </w:p>
    <w:p w14:paraId="043BB2F4" w14:textId="2A18CE31" w:rsidR="00D41749" w:rsidRPr="004D46AC" w:rsidRDefault="00D41749" w:rsidP="00D41749">
      <w:pPr>
        <w:spacing w:line="240" w:lineRule="auto"/>
        <w:ind w:firstLine="0"/>
        <w:rPr>
          <w:rFonts w:eastAsiaTheme="minorEastAsia"/>
          <w:b/>
          <w:bCs/>
        </w:rPr>
      </w:pPr>
      <w:bookmarkStart w:id="339" w:name="_Toc219880197"/>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15</w:t>
      </w:r>
      <w:bookmarkEnd w:id="339"/>
      <w:r w:rsidRPr="004D46AC">
        <w:rPr>
          <w:b/>
          <w:bCs/>
        </w:rPr>
        <w:fldChar w:fldCharType="end"/>
      </w:r>
    </w:p>
    <w:p w14:paraId="6398CD03" w14:textId="77777777" w:rsidR="007075D9" w:rsidRPr="004D46AC" w:rsidRDefault="007075D9" w:rsidP="00D41749">
      <w:pPr>
        <w:spacing w:line="240" w:lineRule="auto"/>
        <w:ind w:firstLine="0"/>
        <w:rPr>
          <w:i/>
          <w:iCs/>
        </w:rPr>
      </w:pPr>
      <w:r w:rsidRPr="004D46AC">
        <w:rPr>
          <w:i/>
          <w:iCs/>
        </w:rPr>
        <w:t>Pooled rate of current psychosis in bipolar patients</w:t>
      </w:r>
    </w:p>
    <w:p w14:paraId="77FDC6FA"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2B852AA7" wp14:editId="2EC20643">
            <wp:extent cx="2360930" cy="1278890"/>
            <wp:effectExtent l="0" t="0" r="1270" b="0"/>
            <wp:docPr id="1157768656" name="图片 38"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68656" name="图片 38" descr="图表, 散点图&#10;&#10;AI 生成的内容可能不正确。"/>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360930" cy="127889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6476F7A7" wp14:editId="4307AE2A">
            <wp:extent cx="2465705" cy="1360170"/>
            <wp:effectExtent l="0" t="0" r="0" b="0"/>
            <wp:docPr id="1972655244" name="图片 37"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55244" name="图片 37" descr="图表, 散点图&#10;&#10;AI 生成的内容可能不正确。"/>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465705" cy="1360170"/>
                    </a:xfrm>
                    <a:prstGeom prst="rect">
                      <a:avLst/>
                    </a:prstGeom>
                    <a:noFill/>
                    <a:ln>
                      <a:noFill/>
                    </a:ln>
                  </pic:spPr>
                </pic:pic>
              </a:graphicData>
            </a:graphic>
          </wp:inline>
        </w:drawing>
      </w:r>
    </w:p>
    <w:p w14:paraId="5DC74B52"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10B69F1F" w14:textId="7B05F5B1" w:rsidR="00D41749" w:rsidRPr="004D46AC" w:rsidRDefault="00D41749" w:rsidP="00D41749">
      <w:pPr>
        <w:spacing w:line="240" w:lineRule="auto"/>
        <w:ind w:firstLine="0"/>
        <w:rPr>
          <w:rFonts w:eastAsiaTheme="minorEastAsia"/>
          <w:b/>
          <w:bCs/>
        </w:rPr>
      </w:pPr>
      <w:bookmarkStart w:id="340" w:name="_Toc219880198"/>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16</w:t>
      </w:r>
      <w:bookmarkEnd w:id="340"/>
      <w:r w:rsidRPr="004D46AC">
        <w:rPr>
          <w:b/>
          <w:bCs/>
        </w:rPr>
        <w:fldChar w:fldCharType="end"/>
      </w:r>
    </w:p>
    <w:p w14:paraId="6A1A6C16" w14:textId="77777777" w:rsidR="007075D9" w:rsidRPr="004D46AC" w:rsidRDefault="007075D9" w:rsidP="00D41749">
      <w:pPr>
        <w:spacing w:line="240" w:lineRule="auto"/>
        <w:ind w:firstLine="0"/>
        <w:rPr>
          <w:i/>
          <w:iCs/>
        </w:rPr>
      </w:pPr>
      <w:r w:rsidRPr="004D46AC">
        <w:rPr>
          <w:i/>
          <w:iCs/>
        </w:rPr>
        <w:t>Funnel plots for current psychosis in bipolar patients</w:t>
      </w:r>
    </w:p>
    <w:p w14:paraId="12B16F2C" w14:textId="77777777" w:rsidR="007075D9" w:rsidRPr="004D46AC" w:rsidRDefault="007075D9" w:rsidP="00D41749">
      <w:pPr>
        <w:spacing w:line="240" w:lineRule="auto"/>
        <w:ind w:firstLine="0"/>
        <w:rPr>
          <w:b/>
          <w:bCs/>
          <w:i/>
          <w:iCs/>
        </w:rPr>
      </w:pPr>
    </w:p>
    <w:p w14:paraId="3C02A308" w14:textId="77777777" w:rsidR="007075D9" w:rsidRPr="004D46AC" w:rsidRDefault="007075D9" w:rsidP="00D41749">
      <w:pPr>
        <w:spacing w:line="240" w:lineRule="auto"/>
        <w:ind w:firstLine="0"/>
        <w:rPr>
          <w:b/>
          <w:bCs/>
          <w:i/>
          <w:iCs/>
        </w:rPr>
      </w:pPr>
    </w:p>
    <w:p w14:paraId="4C353EA6" w14:textId="77777777" w:rsidR="007075D9" w:rsidRPr="004D46AC" w:rsidRDefault="007075D9" w:rsidP="00D41749">
      <w:pPr>
        <w:spacing w:line="240" w:lineRule="auto"/>
        <w:ind w:firstLine="0"/>
        <w:rPr>
          <w:b/>
          <w:bCs/>
          <w:i/>
          <w:iCs/>
        </w:rPr>
      </w:pPr>
    </w:p>
    <w:p w14:paraId="31B150DB" w14:textId="77777777" w:rsidR="007075D9" w:rsidRPr="004D46AC" w:rsidRDefault="007075D9" w:rsidP="00D41749">
      <w:pPr>
        <w:spacing w:line="240" w:lineRule="auto"/>
        <w:ind w:firstLine="0"/>
        <w:rPr>
          <w:b/>
          <w:bCs/>
          <w:i/>
          <w:iCs/>
        </w:rPr>
      </w:pPr>
    </w:p>
    <w:p w14:paraId="7A77A045" w14:textId="77777777" w:rsidR="007075D9" w:rsidRPr="004D46AC" w:rsidRDefault="007075D9" w:rsidP="00D41749">
      <w:pPr>
        <w:spacing w:line="240" w:lineRule="auto"/>
        <w:ind w:firstLine="0"/>
        <w:rPr>
          <w:b/>
          <w:bCs/>
          <w:i/>
          <w:iCs/>
        </w:rPr>
      </w:pPr>
    </w:p>
    <w:p w14:paraId="5A4C788B" w14:textId="77777777" w:rsidR="007075D9" w:rsidRPr="004D46AC" w:rsidRDefault="007075D9" w:rsidP="00D41749">
      <w:pPr>
        <w:spacing w:line="240" w:lineRule="auto"/>
        <w:ind w:firstLine="0"/>
        <w:rPr>
          <w:b/>
          <w:bCs/>
          <w:i/>
          <w:iCs/>
        </w:rPr>
      </w:pPr>
    </w:p>
    <w:p w14:paraId="42B9418A" w14:textId="77777777" w:rsidR="007075D9" w:rsidRPr="004D46AC" w:rsidRDefault="007075D9" w:rsidP="00D41749">
      <w:pPr>
        <w:spacing w:line="240" w:lineRule="auto"/>
        <w:ind w:firstLine="0"/>
        <w:rPr>
          <w:b/>
          <w:bCs/>
          <w:i/>
          <w:iCs/>
        </w:rPr>
      </w:pPr>
    </w:p>
    <w:p w14:paraId="58142B31" w14:textId="77777777" w:rsidR="007075D9" w:rsidRPr="004D46AC" w:rsidRDefault="007075D9" w:rsidP="00D41749">
      <w:pPr>
        <w:spacing w:line="240" w:lineRule="auto"/>
        <w:ind w:firstLine="0"/>
        <w:rPr>
          <w:b/>
          <w:bCs/>
          <w:i/>
          <w:iCs/>
        </w:rPr>
      </w:pPr>
    </w:p>
    <w:p w14:paraId="18C9CB66" w14:textId="77777777" w:rsidR="007075D9" w:rsidRPr="004D46AC" w:rsidRDefault="007075D9" w:rsidP="00D41749">
      <w:pPr>
        <w:spacing w:line="240" w:lineRule="auto"/>
        <w:ind w:firstLine="0"/>
        <w:rPr>
          <w:b/>
          <w:bCs/>
          <w:i/>
          <w:iCs/>
        </w:rPr>
      </w:pPr>
    </w:p>
    <w:p w14:paraId="108CBE4E" w14:textId="77777777" w:rsidR="007075D9" w:rsidRPr="004D46AC" w:rsidRDefault="007075D9" w:rsidP="00D41749">
      <w:pPr>
        <w:spacing w:line="240" w:lineRule="auto"/>
        <w:ind w:firstLine="0"/>
        <w:rPr>
          <w:b/>
          <w:bCs/>
          <w:i/>
          <w:iCs/>
        </w:rPr>
      </w:pPr>
    </w:p>
    <w:p w14:paraId="026D7D4C" w14:textId="77777777" w:rsidR="007075D9" w:rsidRPr="004D46AC" w:rsidRDefault="007075D9" w:rsidP="00D41749">
      <w:pPr>
        <w:spacing w:line="240" w:lineRule="auto"/>
        <w:ind w:firstLine="0"/>
        <w:rPr>
          <w:b/>
          <w:bCs/>
          <w:i/>
          <w:iCs/>
        </w:rPr>
      </w:pPr>
    </w:p>
    <w:p w14:paraId="3D6C809C" w14:textId="77777777" w:rsidR="007075D9" w:rsidRPr="004D46AC" w:rsidRDefault="007075D9" w:rsidP="00D41749">
      <w:pPr>
        <w:spacing w:line="240" w:lineRule="auto"/>
        <w:ind w:firstLine="0"/>
        <w:rPr>
          <w:b/>
          <w:bCs/>
          <w:i/>
          <w:iCs/>
        </w:rPr>
      </w:pPr>
    </w:p>
    <w:p w14:paraId="068EBCC4" w14:textId="77777777" w:rsidR="007075D9" w:rsidRPr="004D46AC" w:rsidRDefault="007075D9" w:rsidP="00D41749">
      <w:pPr>
        <w:spacing w:line="240" w:lineRule="auto"/>
        <w:ind w:firstLine="0"/>
        <w:rPr>
          <w:b/>
          <w:bCs/>
          <w:i/>
          <w:iCs/>
        </w:rPr>
      </w:pPr>
    </w:p>
    <w:p w14:paraId="2CEC5863" w14:textId="77777777" w:rsidR="007075D9" w:rsidRPr="004D46AC" w:rsidRDefault="007075D9" w:rsidP="00D41749">
      <w:pPr>
        <w:spacing w:line="240" w:lineRule="auto"/>
        <w:ind w:firstLine="0"/>
        <w:rPr>
          <w:b/>
          <w:bCs/>
          <w:i/>
          <w:iCs/>
        </w:rPr>
      </w:pPr>
    </w:p>
    <w:p w14:paraId="020795C0" w14:textId="77777777" w:rsidR="007075D9" w:rsidRPr="004D46AC" w:rsidRDefault="007075D9" w:rsidP="00D41749">
      <w:pPr>
        <w:spacing w:line="240" w:lineRule="auto"/>
        <w:ind w:firstLine="0"/>
        <w:rPr>
          <w:b/>
          <w:bCs/>
          <w:i/>
          <w:iCs/>
        </w:rPr>
      </w:pPr>
    </w:p>
    <w:p w14:paraId="78089AAC" w14:textId="77777777" w:rsidR="007075D9" w:rsidRPr="004D46AC" w:rsidRDefault="007075D9" w:rsidP="00D41749">
      <w:pPr>
        <w:spacing w:line="240" w:lineRule="auto"/>
        <w:ind w:firstLine="0"/>
        <w:rPr>
          <w:b/>
          <w:bCs/>
          <w:i/>
          <w:iCs/>
        </w:rPr>
      </w:pPr>
    </w:p>
    <w:p w14:paraId="7D22B3F7" w14:textId="77777777" w:rsidR="007075D9" w:rsidRPr="004D46AC" w:rsidRDefault="007075D9" w:rsidP="00D41749">
      <w:pPr>
        <w:spacing w:line="240" w:lineRule="auto"/>
        <w:ind w:firstLine="0"/>
        <w:rPr>
          <w:b/>
          <w:bCs/>
          <w:i/>
          <w:iCs/>
        </w:rPr>
      </w:pPr>
    </w:p>
    <w:p w14:paraId="375F08D6" w14:textId="77777777" w:rsidR="007075D9" w:rsidRPr="004D46AC" w:rsidRDefault="007075D9" w:rsidP="00D41749">
      <w:pPr>
        <w:spacing w:line="240" w:lineRule="auto"/>
        <w:ind w:firstLine="0"/>
        <w:rPr>
          <w:b/>
          <w:bCs/>
          <w:i/>
          <w:iCs/>
        </w:rPr>
      </w:pPr>
    </w:p>
    <w:p w14:paraId="53E2C831" w14:textId="77777777" w:rsidR="007075D9" w:rsidRPr="004D46AC" w:rsidRDefault="007075D9" w:rsidP="00D41749">
      <w:pPr>
        <w:spacing w:line="240" w:lineRule="auto"/>
        <w:ind w:firstLine="0"/>
        <w:rPr>
          <w:b/>
          <w:bCs/>
          <w:i/>
          <w:iCs/>
        </w:rPr>
      </w:pPr>
    </w:p>
    <w:p w14:paraId="3E26E075"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18B15BB3" wp14:editId="67179EB8">
            <wp:extent cx="3380105" cy="5457190"/>
            <wp:effectExtent l="0" t="0" r="0" b="0"/>
            <wp:docPr id="1257550464" name="图片 36"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550464" name="图片 36" descr="表格&#10;&#10;AI 生成的内容可能不正确。"/>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380105" cy="5457190"/>
                    </a:xfrm>
                    <a:prstGeom prst="rect">
                      <a:avLst/>
                    </a:prstGeom>
                    <a:noFill/>
                    <a:ln>
                      <a:noFill/>
                    </a:ln>
                  </pic:spPr>
                </pic:pic>
              </a:graphicData>
            </a:graphic>
          </wp:inline>
        </w:drawing>
      </w:r>
    </w:p>
    <w:p w14:paraId="17D97924" w14:textId="6A45945D" w:rsidR="00D41749" w:rsidRPr="004D46AC" w:rsidRDefault="00D41749" w:rsidP="00D41749">
      <w:pPr>
        <w:spacing w:line="240" w:lineRule="auto"/>
        <w:ind w:firstLine="0"/>
        <w:rPr>
          <w:rFonts w:eastAsiaTheme="minorEastAsia"/>
          <w:b/>
          <w:bCs/>
        </w:rPr>
      </w:pPr>
      <w:bookmarkStart w:id="341" w:name="_Toc219880199"/>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17</w:t>
      </w:r>
      <w:bookmarkEnd w:id="341"/>
      <w:r w:rsidRPr="004D46AC">
        <w:rPr>
          <w:b/>
          <w:bCs/>
        </w:rPr>
        <w:fldChar w:fldCharType="end"/>
      </w:r>
    </w:p>
    <w:p w14:paraId="196726B1" w14:textId="2F923A75" w:rsidR="007075D9" w:rsidRPr="004D46AC" w:rsidRDefault="007075D9" w:rsidP="00D41749">
      <w:pPr>
        <w:spacing w:line="240" w:lineRule="auto"/>
        <w:ind w:firstLine="0"/>
        <w:rPr>
          <w:i/>
          <w:iCs/>
        </w:rPr>
      </w:pPr>
      <w:r w:rsidRPr="004D46AC">
        <w:rPr>
          <w:i/>
          <w:iCs/>
        </w:rPr>
        <w:t>Pooled rate of current psychosis in bipolar I patients</w:t>
      </w:r>
    </w:p>
    <w:p w14:paraId="25441E42" w14:textId="77777777" w:rsidR="007075D9" w:rsidRPr="004D46AC" w:rsidRDefault="007075D9" w:rsidP="00D41749">
      <w:pPr>
        <w:spacing w:line="240" w:lineRule="auto"/>
        <w:ind w:firstLine="0"/>
        <w:rPr>
          <w:b/>
          <w:bCs/>
          <w:i/>
          <w:iCs/>
        </w:rPr>
      </w:pPr>
    </w:p>
    <w:p w14:paraId="4149882B" w14:textId="77777777" w:rsidR="007075D9" w:rsidRPr="004D46AC" w:rsidRDefault="007075D9" w:rsidP="00D41749">
      <w:pPr>
        <w:spacing w:line="240" w:lineRule="auto"/>
        <w:ind w:firstLine="0"/>
        <w:rPr>
          <w:b/>
          <w:bCs/>
          <w:i/>
          <w:iCs/>
        </w:rPr>
      </w:pPr>
    </w:p>
    <w:p w14:paraId="3CF9AA52" w14:textId="77777777" w:rsidR="007075D9" w:rsidRPr="004D46AC" w:rsidRDefault="007075D9" w:rsidP="00D41749">
      <w:pPr>
        <w:spacing w:line="240" w:lineRule="auto"/>
        <w:ind w:firstLine="0"/>
        <w:rPr>
          <w:b/>
          <w:bCs/>
          <w:i/>
          <w:iCs/>
        </w:rPr>
      </w:pPr>
    </w:p>
    <w:p w14:paraId="5107D751" w14:textId="77777777" w:rsidR="007075D9" w:rsidRPr="004D46AC" w:rsidRDefault="007075D9" w:rsidP="00D41749">
      <w:pPr>
        <w:spacing w:line="240" w:lineRule="auto"/>
        <w:ind w:firstLine="0"/>
        <w:rPr>
          <w:b/>
          <w:bCs/>
          <w:i/>
          <w:iCs/>
        </w:rPr>
      </w:pPr>
    </w:p>
    <w:p w14:paraId="34DC1BDD" w14:textId="77777777" w:rsidR="007075D9" w:rsidRPr="004D46AC" w:rsidRDefault="007075D9" w:rsidP="00D41749">
      <w:pPr>
        <w:spacing w:line="240" w:lineRule="auto"/>
        <w:ind w:firstLine="0"/>
        <w:rPr>
          <w:b/>
          <w:bCs/>
          <w:i/>
          <w:iCs/>
        </w:rPr>
      </w:pPr>
    </w:p>
    <w:p w14:paraId="7B25B42A" w14:textId="77777777" w:rsidR="007075D9" w:rsidRPr="004D46AC" w:rsidRDefault="007075D9" w:rsidP="00D41749">
      <w:pPr>
        <w:spacing w:line="240" w:lineRule="auto"/>
        <w:ind w:firstLine="0"/>
        <w:rPr>
          <w:b/>
          <w:bCs/>
          <w:i/>
          <w:iCs/>
        </w:rPr>
      </w:pPr>
    </w:p>
    <w:p w14:paraId="707DA903" w14:textId="77777777" w:rsidR="007075D9" w:rsidRPr="004D46AC" w:rsidRDefault="007075D9" w:rsidP="00D41749">
      <w:pPr>
        <w:spacing w:line="240" w:lineRule="auto"/>
        <w:ind w:firstLine="0"/>
        <w:rPr>
          <w:rFonts w:eastAsiaTheme="minorEastAsia"/>
          <w:b/>
          <w:bCs/>
          <w:i/>
          <w:iCs/>
        </w:rPr>
      </w:pPr>
    </w:p>
    <w:p w14:paraId="1AB47394" w14:textId="77777777" w:rsidR="00CC3324" w:rsidRPr="004D46AC" w:rsidRDefault="00CC3324" w:rsidP="00D41749">
      <w:pPr>
        <w:spacing w:line="240" w:lineRule="auto"/>
        <w:ind w:firstLine="0"/>
        <w:rPr>
          <w:rFonts w:eastAsiaTheme="minorEastAsia"/>
          <w:b/>
          <w:bCs/>
          <w:i/>
          <w:iCs/>
        </w:rPr>
      </w:pPr>
    </w:p>
    <w:p w14:paraId="25075E4E" w14:textId="77777777" w:rsidR="00CC3324" w:rsidRPr="004D46AC" w:rsidRDefault="00CC3324" w:rsidP="00D41749">
      <w:pPr>
        <w:spacing w:line="240" w:lineRule="auto"/>
        <w:ind w:firstLine="0"/>
        <w:rPr>
          <w:rFonts w:eastAsiaTheme="minorEastAsia"/>
          <w:b/>
          <w:bCs/>
          <w:i/>
          <w:iCs/>
        </w:rPr>
      </w:pPr>
    </w:p>
    <w:p w14:paraId="39DCC039" w14:textId="77777777" w:rsidR="00CC3324" w:rsidRPr="004D46AC" w:rsidRDefault="00CC3324" w:rsidP="00D41749">
      <w:pPr>
        <w:spacing w:line="240" w:lineRule="auto"/>
        <w:ind w:firstLine="0"/>
        <w:rPr>
          <w:rFonts w:eastAsiaTheme="minorEastAsia"/>
          <w:b/>
          <w:bCs/>
          <w:i/>
          <w:iCs/>
        </w:rPr>
      </w:pPr>
    </w:p>
    <w:p w14:paraId="1FC9DEBD" w14:textId="77777777" w:rsidR="007075D9" w:rsidRPr="004D46AC" w:rsidRDefault="007075D9" w:rsidP="00D41749">
      <w:pPr>
        <w:spacing w:line="240" w:lineRule="auto"/>
        <w:ind w:firstLine="0"/>
        <w:rPr>
          <w:b/>
          <w:bCs/>
          <w:i/>
          <w:iCs/>
        </w:rPr>
      </w:pPr>
    </w:p>
    <w:p w14:paraId="1E72BBE0"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1030D7A2" wp14:editId="3CCD0CB6">
            <wp:extent cx="2436495" cy="1302385"/>
            <wp:effectExtent l="0" t="0" r="1905" b="0"/>
            <wp:docPr id="520986584" name="图片 35"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86584" name="图片 35" descr="图表&#10;&#10;AI 生成的内容可能不正确。"/>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436495" cy="1302385"/>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216D7810" wp14:editId="7FA3BE66">
            <wp:extent cx="2395855" cy="1319530"/>
            <wp:effectExtent l="0" t="0" r="4445" b="0"/>
            <wp:docPr id="818546653" name="图片 34"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46653" name="图片 34" descr="图表, 散点图&#10;&#10;AI 生成的内容可能不正确。"/>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395855" cy="1319530"/>
                    </a:xfrm>
                    <a:prstGeom prst="rect">
                      <a:avLst/>
                    </a:prstGeom>
                    <a:noFill/>
                    <a:ln>
                      <a:noFill/>
                    </a:ln>
                  </pic:spPr>
                </pic:pic>
              </a:graphicData>
            </a:graphic>
          </wp:inline>
        </w:drawing>
      </w:r>
    </w:p>
    <w:p w14:paraId="329E313B"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057EEEBA" w14:textId="3E67DE9A" w:rsidR="00D41749" w:rsidRPr="004D46AC" w:rsidRDefault="00D41749" w:rsidP="00D41749">
      <w:pPr>
        <w:spacing w:line="240" w:lineRule="auto"/>
        <w:ind w:firstLine="0"/>
        <w:rPr>
          <w:rFonts w:eastAsiaTheme="minorEastAsia"/>
          <w:b/>
          <w:bCs/>
        </w:rPr>
      </w:pPr>
      <w:bookmarkStart w:id="342" w:name="_Toc219880200"/>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18</w:t>
      </w:r>
      <w:bookmarkEnd w:id="342"/>
      <w:r w:rsidRPr="004D46AC">
        <w:rPr>
          <w:b/>
          <w:bCs/>
        </w:rPr>
        <w:fldChar w:fldCharType="end"/>
      </w:r>
    </w:p>
    <w:p w14:paraId="3E58BADD" w14:textId="287E047D" w:rsidR="007075D9" w:rsidRPr="004D46AC" w:rsidRDefault="007075D9" w:rsidP="00D41749">
      <w:pPr>
        <w:spacing w:line="240" w:lineRule="auto"/>
        <w:ind w:firstLine="0"/>
        <w:rPr>
          <w:i/>
          <w:iCs/>
        </w:rPr>
      </w:pPr>
      <w:r w:rsidRPr="004D46AC">
        <w:rPr>
          <w:i/>
          <w:iCs/>
        </w:rPr>
        <w:t>Funnel plots for current psychosis in bipolar I patients</w:t>
      </w:r>
    </w:p>
    <w:p w14:paraId="6D0597E9" w14:textId="77777777" w:rsidR="007075D9" w:rsidRPr="004D46AC" w:rsidRDefault="007075D9" w:rsidP="00D41749">
      <w:pPr>
        <w:spacing w:line="240" w:lineRule="auto"/>
        <w:ind w:firstLine="0"/>
      </w:pPr>
    </w:p>
    <w:p w14:paraId="0AA1A781" w14:textId="77777777" w:rsidR="007075D9" w:rsidRPr="004D46AC" w:rsidRDefault="007075D9" w:rsidP="00D41749">
      <w:pPr>
        <w:spacing w:line="240" w:lineRule="auto"/>
        <w:ind w:firstLine="0"/>
      </w:pPr>
    </w:p>
    <w:p w14:paraId="76A3BC07" w14:textId="77777777" w:rsidR="007075D9" w:rsidRPr="004D46AC" w:rsidRDefault="007075D9" w:rsidP="00D41749">
      <w:pPr>
        <w:spacing w:line="240" w:lineRule="auto"/>
        <w:ind w:firstLine="0"/>
      </w:pPr>
    </w:p>
    <w:p w14:paraId="02715348" w14:textId="77777777" w:rsidR="007075D9" w:rsidRPr="004D46AC" w:rsidRDefault="007075D9" w:rsidP="00D41749">
      <w:pPr>
        <w:spacing w:line="240" w:lineRule="auto"/>
        <w:ind w:firstLine="0"/>
      </w:pPr>
    </w:p>
    <w:p w14:paraId="509492A6" w14:textId="77777777" w:rsidR="007075D9" w:rsidRPr="004D46AC" w:rsidRDefault="007075D9" w:rsidP="00D41749">
      <w:pPr>
        <w:spacing w:line="240" w:lineRule="auto"/>
        <w:ind w:firstLine="0"/>
      </w:pPr>
    </w:p>
    <w:p w14:paraId="6ECACB90" w14:textId="77777777" w:rsidR="007075D9" w:rsidRPr="004D46AC" w:rsidRDefault="007075D9" w:rsidP="00D41749">
      <w:pPr>
        <w:spacing w:line="240" w:lineRule="auto"/>
        <w:ind w:firstLine="0"/>
      </w:pPr>
    </w:p>
    <w:p w14:paraId="74F03B4F" w14:textId="77777777" w:rsidR="007075D9" w:rsidRPr="004D46AC" w:rsidRDefault="007075D9" w:rsidP="00D41749">
      <w:pPr>
        <w:spacing w:line="240" w:lineRule="auto"/>
        <w:ind w:firstLine="0"/>
      </w:pPr>
    </w:p>
    <w:p w14:paraId="3F204A66" w14:textId="77777777" w:rsidR="007075D9" w:rsidRPr="004D46AC" w:rsidRDefault="007075D9" w:rsidP="00D41749">
      <w:pPr>
        <w:spacing w:line="240" w:lineRule="auto"/>
        <w:ind w:firstLine="0"/>
      </w:pPr>
    </w:p>
    <w:p w14:paraId="54D2F8E7" w14:textId="77777777" w:rsidR="007075D9" w:rsidRPr="004D46AC" w:rsidRDefault="007075D9" w:rsidP="00D41749">
      <w:pPr>
        <w:spacing w:line="240" w:lineRule="auto"/>
        <w:ind w:firstLine="0"/>
      </w:pPr>
    </w:p>
    <w:p w14:paraId="3CA3AB8E" w14:textId="77777777" w:rsidR="007075D9" w:rsidRPr="004D46AC" w:rsidRDefault="007075D9" w:rsidP="00D41749">
      <w:pPr>
        <w:spacing w:line="240" w:lineRule="auto"/>
        <w:ind w:firstLine="0"/>
      </w:pPr>
    </w:p>
    <w:p w14:paraId="6DF9472B" w14:textId="77777777" w:rsidR="007075D9" w:rsidRPr="004D46AC" w:rsidRDefault="007075D9" w:rsidP="00D41749">
      <w:pPr>
        <w:spacing w:line="240" w:lineRule="auto"/>
        <w:ind w:firstLine="0"/>
      </w:pPr>
    </w:p>
    <w:p w14:paraId="0F2C1BA2" w14:textId="77777777" w:rsidR="007075D9" w:rsidRPr="004D46AC" w:rsidRDefault="007075D9" w:rsidP="00D41749">
      <w:pPr>
        <w:spacing w:line="240" w:lineRule="auto"/>
        <w:ind w:firstLine="0"/>
      </w:pPr>
    </w:p>
    <w:p w14:paraId="2A2CD59E" w14:textId="77777777" w:rsidR="007075D9" w:rsidRPr="004D46AC" w:rsidRDefault="007075D9" w:rsidP="00D41749">
      <w:pPr>
        <w:spacing w:line="240" w:lineRule="auto"/>
        <w:ind w:firstLine="0"/>
      </w:pPr>
    </w:p>
    <w:p w14:paraId="150BD7FB" w14:textId="77777777" w:rsidR="007075D9" w:rsidRPr="004D46AC" w:rsidRDefault="007075D9" w:rsidP="00D41749">
      <w:pPr>
        <w:spacing w:line="240" w:lineRule="auto"/>
        <w:ind w:firstLine="0"/>
      </w:pPr>
    </w:p>
    <w:p w14:paraId="026979E6" w14:textId="77777777" w:rsidR="007075D9" w:rsidRPr="004D46AC" w:rsidRDefault="007075D9" w:rsidP="00D41749">
      <w:pPr>
        <w:spacing w:line="240" w:lineRule="auto"/>
        <w:ind w:firstLine="0"/>
      </w:pPr>
    </w:p>
    <w:p w14:paraId="23762B7F" w14:textId="77777777" w:rsidR="007075D9" w:rsidRPr="004D46AC" w:rsidRDefault="007075D9" w:rsidP="00D41749">
      <w:pPr>
        <w:spacing w:line="240" w:lineRule="auto"/>
        <w:ind w:firstLine="0"/>
      </w:pPr>
    </w:p>
    <w:p w14:paraId="076F70CC" w14:textId="77777777" w:rsidR="007075D9" w:rsidRPr="004D46AC" w:rsidRDefault="007075D9" w:rsidP="00D41749">
      <w:pPr>
        <w:spacing w:line="240" w:lineRule="auto"/>
        <w:ind w:firstLine="0"/>
        <w:rPr>
          <w:rFonts w:eastAsiaTheme="minorEastAsia"/>
        </w:rPr>
      </w:pPr>
    </w:p>
    <w:p w14:paraId="454DD1FD" w14:textId="77777777" w:rsidR="00CC3324" w:rsidRPr="004D46AC" w:rsidRDefault="00CC3324" w:rsidP="00D41749">
      <w:pPr>
        <w:spacing w:line="240" w:lineRule="auto"/>
        <w:ind w:firstLine="0"/>
        <w:rPr>
          <w:rFonts w:eastAsiaTheme="minorEastAsia"/>
        </w:rPr>
      </w:pPr>
    </w:p>
    <w:p w14:paraId="54C406F6" w14:textId="77777777" w:rsidR="00CC3324" w:rsidRPr="004D46AC" w:rsidRDefault="00CC3324" w:rsidP="00D41749">
      <w:pPr>
        <w:spacing w:line="240" w:lineRule="auto"/>
        <w:ind w:firstLine="0"/>
        <w:rPr>
          <w:rFonts w:eastAsiaTheme="minorEastAsia"/>
        </w:rPr>
      </w:pPr>
    </w:p>
    <w:p w14:paraId="1DCA523F" w14:textId="77777777" w:rsidR="00CC3324" w:rsidRPr="004D46AC" w:rsidRDefault="00CC3324" w:rsidP="00D41749">
      <w:pPr>
        <w:spacing w:line="240" w:lineRule="auto"/>
        <w:ind w:firstLine="0"/>
        <w:rPr>
          <w:rFonts w:eastAsiaTheme="minorEastAsia"/>
        </w:rPr>
      </w:pPr>
    </w:p>
    <w:p w14:paraId="2F4C1025" w14:textId="77777777" w:rsidR="00CC3324" w:rsidRPr="004D46AC" w:rsidRDefault="00CC3324" w:rsidP="00D41749">
      <w:pPr>
        <w:spacing w:line="240" w:lineRule="auto"/>
        <w:ind w:firstLine="0"/>
        <w:rPr>
          <w:rFonts w:eastAsiaTheme="minorEastAsia"/>
        </w:rPr>
      </w:pPr>
    </w:p>
    <w:p w14:paraId="627B88CC" w14:textId="77777777" w:rsidR="00CC3324" w:rsidRPr="004D46AC" w:rsidRDefault="00CC3324" w:rsidP="00D41749">
      <w:pPr>
        <w:spacing w:line="240" w:lineRule="auto"/>
        <w:ind w:firstLine="0"/>
        <w:rPr>
          <w:rFonts w:eastAsiaTheme="minorEastAsia"/>
        </w:rPr>
      </w:pPr>
    </w:p>
    <w:p w14:paraId="6D300110" w14:textId="77777777" w:rsidR="00CC3324" w:rsidRPr="004D46AC" w:rsidRDefault="00CC3324" w:rsidP="00D41749">
      <w:pPr>
        <w:spacing w:line="240" w:lineRule="auto"/>
        <w:ind w:firstLine="0"/>
        <w:rPr>
          <w:rFonts w:eastAsiaTheme="minorEastAsia"/>
        </w:rPr>
      </w:pPr>
    </w:p>
    <w:p w14:paraId="22514C8C" w14:textId="77777777" w:rsidR="00CC3324" w:rsidRPr="004D46AC" w:rsidRDefault="00CC3324" w:rsidP="00D41749">
      <w:pPr>
        <w:spacing w:line="240" w:lineRule="auto"/>
        <w:ind w:firstLine="0"/>
        <w:rPr>
          <w:rFonts w:eastAsiaTheme="minorEastAsia"/>
        </w:rPr>
      </w:pPr>
    </w:p>
    <w:p w14:paraId="257E8459" w14:textId="77777777" w:rsidR="00CC3324" w:rsidRPr="004D46AC" w:rsidRDefault="00CC3324" w:rsidP="00D41749">
      <w:pPr>
        <w:spacing w:line="240" w:lineRule="auto"/>
        <w:ind w:firstLine="0"/>
        <w:rPr>
          <w:rFonts w:eastAsiaTheme="minorEastAsia"/>
        </w:rPr>
      </w:pPr>
    </w:p>
    <w:p w14:paraId="2A6C5E90" w14:textId="77777777" w:rsidR="00CC3324" w:rsidRPr="004D46AC" w:rsidRDefault="00CC3324" w:rsidP="00D41749">
      <w:pPr>
        <w:spacing w:line="240" w:lineRule="auto"/>
        <w:ind w:firstLine="0"/>
        <w:rPr>
          <w:rFonts w:eastAsiaTheme="minorEastAsia"/>
        </w:rPr>
      </w:pPr>
    </w:p>
    <w:p w14:paraId="03E62A8C" w14:textId="77777777" w:rsidR="00CC3324" w:rsidRPr="004D46AC" w:rsidRDefault="00CC3324" w:rsidP="00D41749">
      <w:pPr>
        <w:spacing w:line="240" w:lineRule="auto"/>
        <w:ind w:firstLine="0"/>
        <w:rPr>
          <w:rFonts w:eastAsiaTheme="minorEastAsia"/>
        </w:rPr>
      </w:pPr>
    </w:p>
    <w:p w14:paraId="46EA6B9C" w14:textId="77777777" w:rsidR="00CC3324" w:rsidRPr="004D46AC" w:rsidRDefault="00CC3324" w:rsidP="00D41749">
      <w:pPr>
        <w:spacing w:line="240" w:lineRule="auto"/>
        <w:ind w:firstLine="0"/>
        <w:rPr>
          <w:rFonts w:eastAsiaTheme="minorEastAsia"/>
        </w:rPr>
      </w:pPr>
    </w:p>
    <w:p w14:paraId="6DE821A8" w14:textId="77777777" w:rsidR="00CC3324" w:rsidRPr="004D46AC" w:rsidRDefault="00CC3324" w:rsidP="00D41749">
      <w:pPr>
        <w:spacing w:line="240" w:lineRule="auto"/>
        <w:ind w:firstLine="0"/>
        <w:rPr>
          <w:rFonts w:eastAsiaTheme="minorEastAsia"/>
        </w:rPr>
      </w:pPr>
    </w:p>
    <w:p w14:paraId="686189AB" w14:textId="77777777" w:rsidR="00CC3324" w:rsidRPr="004D46AC" w:rsidRDefault="00CC3324" w:rsidP="00D41749">
      <w:pPr>
        <w:spacing w:line="240" w:lineRule="auto"/>
        <w:ind w:firstLine="0"/>
        <w:rPr>
          <w:rFonts w:eastAsiaTheme="minorEastAsia"/>
        </w:rPr>
      </w:pPr>
    </w:p>
    <w:p w14:paraId="5946FB6E" w14:textId="77777777" w:rsidR="007075D9" w:rsidRPr="004D46AC" w:rsidRDefault="007075D9" w:rsidP="00D41749">
      <w:pPr>
        <w:spacing w:line="240" w:lineRule="auto"/>
        <w:ind w:firstLine="0"/>
      </w:pPr>
    </w:p>
    <w:p w14:paraId="13288314" w14:textId="77777777" w:rsidR="007075D9" w:rsidRPr="004D46AC" w:rsidRDefault="007075D9" w:rsidP="00D41749">
      <w:pPr>
        <w:spacing w:line="240" w:lineRule="auto"/>
        <w:ind w:firstLine="0"/>
      </w:pPr>
    </w:p>
    <w:p w14:paraId="1439611F"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47CC3EEC" wp14:editId="3997118A">
            <wp:extent cx="5278120" cy="1967865"/>
            <wp:effectExtent l="0" t="0" r="0" b="0"/>
            <wp:docPr id="1631960893" name="图片 33" descr="图片包含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60893" name="图片 33" descr="图片包含 表格&#10;&#10;AI 生成的内容可能不正确。"/>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278120" cy="1967865"/>
                    </a:xfrm>
                    <a:prstGeom prst="rect">
                      <a:avLst/>
                    </a:prstGeom>
                    <a:noFill/>
                    <a:ln>
                      <a:noFill/>
                    </a:ln>
                  </pic:spPr>
                </pic:pic>
              </a:graphicData>
            </a:graphic>
          </wp:inline>
        </w:drawing>
      </w:r>
    </w:p>
    <w:p w14:paraId="0B998906" w14:textId="581B3ED2" w:rsidR="00D41749" w:rsidRPr="004D46AC" w:rsidRDefault="00D41749" w:rsidP="00D41749">
      <w:pPr>
        <w:spacing w:line="240" w:lineRule="auto"/>
        <w:ind w:firstLine="0"/>
        <w:rPr>
          <w:rFonts w:eastAsiaTheme="minorEastAsia"/>
          <w:b/>
          <w:bCs/>
        </w:rPr>
      </w:pPr>
      <w:bookmarkStart w:id="343" w:name="_Toc219880201"/>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19</w:t>
      </w:r>
      <w:bookmarkEnd w:id="343"/>
      <w:r w:rsidRPr="004D46AC">
        <w:rPr>
          <w:b/>
          <w:bCs/>
        </w:rPr>
        <w:fldChar w:fldCharType="end"/>
      </w:r>
    </w:p>
    <w:p w14:paraId="22D3C6F1" w14:textId="19206A45" w:rsidR="007075D9" w:rsidRPr="004D46AC" w:rsidRDefault="007075D9" w:rsidP="00D41749">
      <w:pPr>
        <w:spacing w:line="240" w:lineRule="auto"/>
        <w:ind w:firstLine="0"/>
        <w:rPr>
          <w:i/>
          <w:iCs/>
        </w:rPr>
      </w:pPr>
      <w:bookmarkStart w:id="344" w:name="OLE_LINK100"/>
      <w:r w:rsidRPr="004D46AC">
        <w:rPr>
          <w:i/>
          <w:iCs/>
        </w:rPr>
        <w:t>Pooled rate of current psychosis in bipolar II patients</w:t>
      </w:r>
    </w:p>
    <w:bookmarkEnd w:id="344"/>
    <w:p w14:paraId="3183DBA6" w14:textId="77777777" w:rsidR="007075D9" w:rsidRPr="004D46AC" w:rsidRDefault="007075D9" w:rsidP="00D41749">
      <w:pPr>
        <w:spacing w:line="240" w:lineRule="auto"/>
        <w:ind w:firstLine="0"/>
        <w:rPr>
          <w:b/>
          <w:bCs/>
          <w:i/>
          <w:iCs/>
        </w:rPr>
      </w:pPr>
    </w:p>
    <w:p w14:paraId="2A8E4FD0" w14:textId="77777777" w:rsidR="007075D9" w:rsidRPr="004D46AC" w:rsidRDefault="007075D9" w:rsidP="00D41749">
      <w:pPr>
        <w:spacing w:line="240" w:lineRule="auto"/>
        <w:ind w:firstLine="0"/>
        <w:rPr>
          <w:b/>
          <w:bCs/>
          <w:i/>
          <w:iCs/>
        </w:rPr>
      </w:pPr>
    </w:p>
    <w:p w14:paraId="3098B69B" w14:textId="77777777" w:rsidR="007075D9" w:rsidRPr="004D46AC" w:rsidRDefault="007075D9" w:rsidP="00D41749">
      <w:pPr>
        <w:spacing w:line="240" w:lineRule="auto"/>
        <w:ind w:firstLine="0"/>
        <w:rPr>
          <w:b/>
          <w:bCs/>
          <w:i/>
          <w:iCs/>
        </w:rPr>
      </w:pPr>
    </w:p>
    <w:p w14:paraId="6DA21C31" w14:textId="77777777" w:rsidR="007075D9" w:rsidRPr="004D46AC" w:rsidRDefault="007075D9" w:rsidP="00D41749">
      <w:pPr>
        <w:spacing w:line="240" w:lineRule="auto"/>
        <w:ind w:firstLine="0"/>
        <w:rPr>
          <w:b/>
          <w:bCs/>
          <w:i/>
          <w:iCs/>
        </w:rPr>
      </w:pPr>
    </w:p>
    <w:p w14:paraId="7F20735E" w14:textId="77777777" w:rsidR="007075D9" w:rsidRPr="004D46AC" w:rsidRDefault="007075D9" w:rsidP="00D41749">
      <w:pPr>
        <w:spacing w:line="240" w:lineRule="auto"/>
        <w:ind w:firstLine="0"/>
        <w:rPr>
          <w:b/>
          <w:bCs/>
          <w:i/>
          <w:iCs/>
        </w:rPr>
      </w:pPr>
    </w:p>
    <w:p w14:paraId="1AF6C8D3" w14:textId="77777777" w:rsidR="007075D9" w:rsidRPr="004D46AC" w:rsidRDefault="007075D9" w:rsidP="00D41749">
      <w:pPr>
        <w:spacing w:line="240" w:lineRule="auto"/>
        <w:ind w:firstLine="0"/>
        <w:rPr>
          <w:b/>
          <w:bCs/>
          <w:i/>
          <w:iCs/>
        </w:rPr>
      </w:pPr>
    </w:p>
    <w:p w14:paraId="0882FAE2" w14:textId="77777777" w:rsidR="007075D9" w:rsidRPr="004D46AC" w:rsidRDefault="007075D9" w:rsidP="00D41749">
      <w:pPr>
        <w:spacing w:line="240" w:lineRule="auto"/>
        <w:ind w:firstLine="0"/>
        <w:rPr>
          <w:b/>
          <w:bCs/>
          <w:i/>
          <w:iCs/>
        </w:rPr>
      </w:pPr>
    </w:p>
    <w:p w14:paraId="23DF545E" w14:textId="77777777" w:rsidR="007075D9" w:rsidRPr="004D46AC" w:rsidRDefault="007075D9" w:rsidP="00D41749">
      <w:pPr>
        <w:spacing w:line="240" w:lineRule="auto"/>
        <w:ind w:firstLine="0"/>
        <w:rPr>
          <w:b/>
          <w:bCs/>
          <w:i/>
          <w:iCs/>
        </w:rPr>
      </w:pPr>
    </w:p>
    <w:p w14:paraId="49B470B1" w14:textId="77777777" w:rsidR="007075D9" w:rsidRPr="004D46AC" w:rsidRDefault="007075D9" w:rsidP="00D41749">
      <w:pPr>
        <w:spacing w:line="240" w:lineRule="auto"/>
        <w:ind w:firstLine="0"/>
        <w:rPr>
          <w:b/>
          <w:bCs/>
          <w:i/>
          <w:iCs/>
        </w:rPr>
      </w:pPr>
    </w:p>
    <w:p w14:paraId="2A540846" w14:textId="77777777" w:rsidR="007075D9" w:rsidRPr="004D46AC" w:rsidRDefault="007075D9" w:rsidP="00D41749">
      <w:pPr>
        <w:spacing w:line="240" w:lineRule="auto"/>
        <w:ind w:firstLine="0"/>
        <w:rPr>
          <w:b/>
          <w:bCs/>
          <w:i/>
          <w:iCs/>
        </w:rPr>
      </w:pPr>
    </w:p>
    <w:p w14:paraId="74CE3454" w14:textId="77777777" w:rsidR="007075D9" w:rsidRPr="004D46AC" w:rsidRDefault="007075D9" w:rsidP="00D41749">
      <w:pPr>
        <w:spacing w:line="240" w:lineRule="auto"/>
        <w:ind w:firstLine="0"/>
        <w:rPr>
          <w:b/>
          <w:bCs/>
          <w:i/>
          <w:iCs/>
        </w:rPr>
      </w:pPr>
    </w:p>
    <w:p w14:paraId="25BA5E9F" w14:textId="77777777" w:rsidR="007075D9" w:rsidRPr="004D46AC" w:rsidRDefault="007075D9" w:rsidP="00D41749">
      <w:pPr>
        <w:spacing w:line="240" w:lineRule="auto"/>
        <w:ind w:firstLine="0"/>
        <w:rPr>
          <w:b/>
          <w:bCs/>
          <w:i/>
          <w:iCs/>
        </w:rPr>
      </w:pPr>
    </w:p>
    <w:p w14:paraId="79CCC702" w14:textId="77777777" w:rsidR="007075D9" w:rsidRPr="004D46AC" w:rsidRDefault="007075D9" w:rsidP="00D41749">
      <w:pPr>
        <w:spacing w:line="240" w:lineRule="auto"/>
        <w:ind w:firstLine="0"/>
        <w:rPr>
          <w:b/>
          <w:bCs/>
          <w:i/>
          <w:iCs/>
        </w:rPr>
      </w:pPr>
    </w:p>
    <w:p w14:paraId="3FFBA258" w14:textId="77777777" w:rsidR="007075D9" w:rsidRPr="004D46AC" w:rsidRDefault="007075D9" w:rsidP="00D41749">
      <w:pPr>
        <w:spacing w:line="240" w:lineRule="auto"/>
        <w:ind w:firstLine="0"/>
        <w:rPr>
          <w:b/>
          <w:bCs/>
          <w:i/>
          <w:iCs/>
        </w:rPr>
      </w:pPr>
    </w:p>
    <w:p w14:paraId="338FE54F" w14:textId="77777777" w:rsidR="007075D9" w:rsidRPr="004D46AC" w:rsidRDefault="007075D9" w:rsidP="00D41749">
      <w:pPr>
        <w:spacing w:line="240" w:lineRule="auto"/>
        <w:ind w:firstLine="0"/>
        <w:rPr>
          <w:b/>
          <w:bCs/>
          <w:i/>
          <w:iCs/>
        </w:rPr>
      </w:pPr>
    </w:p>
    <w:p w14:paraId="325CCB49" w14:textId="77777777" w:rsidR="007075D9" w:rsidRPr="004D46AC" w:rsidRDefault="007075D9" w:rsidP="00D41749">
      <w:pPr>
        <w:spacing w:line="240" w:lineRule="auto"/>
        <w:ind w:firstLine="0"/>
        <w:rPr>
          <w:rFonts w:eastAsiaTheme="minorEastAsia"/>
          <w:b/>
          <w:bCs/>
          <w:i/>
          <w:iCs/>
        </w:rPr>
      </w:pPr>
    </w:p>
    <w:p w14:paraId="606A4088" w14:textId="77777777" w:rsidR="00CC3324" w:rsidRPr="004D46AC" w:rsidRDefault="00CC3324" w:rsidP="00D41749">
      <w:pPr>
        <w:spacing w:line="240" w:lineRule="auto"/>
        <w:ind w:firstLine="0"/>
        <w:rPr>
          <w:rFonts w:eastAsiaTheme="minorEastAsia"/>
          <w:b/>
          <w:bCs/>
          <w:i/>
          <w:iCs/>
        </w:rPr>
      </w:pPr>
    </w:p>
    <w:p w14:paraId="4BBEE431" w14:textId="77777777" w:rsidR="00CC3324" w:rsidRPr="004D46AC" w:rsidRDefault="00CC3324" w:rsidP="00D41749">
      <w:pPr>
        <w:spacing w:line="240" w:lineRule="auto"/>
        <w:ind w:firstLine="0"/>
        <w:rPr>
          <w:rFonts w:eastAsiaTheme="minorEastAsia"/>
          <w:b/>
          <w:bCs/>
          <w:i/>
          <w:iCs/>
        </w:rPr>
      </w:pPr>
    </w:p>
    <w:p w14:paraId="74D94C08" w14:textId="77777777" w:rsidR="00CC3324" w:rsidRPr="004D46AC" w:rsidRDefault="00CC3324" w:rsidP="00D41749">
      <w:pPr>
        <w:spacing w:line="240" w:lineRule="auto"/>
        <w:ind w:firstLine="0"/>
        <w:rPr>
          <w:rFonts w:eastAsiaTheme="minorEastAsia"/>
          <w:b/>
          <w:bCs/>
          <w:i/>
          <w:iCs/>
        </w:rPr>
      </w:pPr>
    </w:p>
    <w:p w14:paraId="67AA17C4" w14:textId="77777777" w:rsidR="00CC3324" w:rsidRPr="004D46AC" w:rsidRDefault="00CC3324" w:rsidP="00D41749">
      <w:pPr>
        <w:spacing w:line="240" w:lineRule="auto"/>
        <w:ind w:firstLine="0"/>
        <w:rPr>
          <w:rFonts w:eastAsiaTheme="minorEastAsia"/>
          <w:b/>
          <w:bCs/>
          <w:i/>
          <w:iCs/>
        </w:rPr>
      </w:pPr>
    </w:p>
    <w:p w14:paraId="60FFFD89" w14:textId="77777777" w:rsidR="00CC3324" w:rsidRPr="004D46AC" w:rsidRDefault="00CC3324" w:rsidP="00D41749">
      <w:pPr>
        <w:spacing w:line="240" w:lineRule="auto"/>
        <w:ind w:firstLine="0"/>
        <w:rPr>
          <w:rFonts w:eastAsiaTheme="minorEastAsia"/>
          <w:b/>
          <w:bCs/>
          <w:i/>
          <w:iCs/>
        </w:rPr>
      </w:pPr>
    </w:p>
    <w:p w14:paraId="5434B70F" w14:textId="77777777" w:rsidR="00CC3324" w:rsidRPr="004D46AC" w:rsidRDefault="00CC3324" w:rsidP="00D41749">
      <w:pPr>
        <w:spacing w:line="240" w:lineRule="auto"/>
        <w:ind w:firstLine="0"/>
        <w:rPr>
          <w:rFonts w:eastAsiaTheme="minorEastAsia"/>
          <w:b/>
          <w:bCs/>
          <w:i/>
          <w:iCs/>
        </w:rPr>
      </w:pPr>
    </w:p>
    <w:p w14:paraId="402FFC64" w14:textId="77777777" w:rsidR="00CC3324" w:rsidRPr="004D46AC" w:rsidRDefault="00CC3324" w:rsidP="00D41749">
      <w:pPr>
        <w:spacing w:line="240" w:lineRule="auto"/>
        <w:ind w:firstLine="0"/>
        <w:rPr>
          <w:rFonts w:eastAsiaTheme="minorEastAsia"/>
          <w:b/>
          <w:bCs/>
          <w:i/>
          <w:iCs/>
        </w:rPr>
      </w:pPr>
    </w:p>
    <w:p w14:paraId="6A261A64" w14:textId="77777777" w:rsidR="00CC3324" w:rsidRPr="004D46AC" w:rsidRDefault="00CC3324" w:rsidP="00D41749">
      <w:pPr>
        <w:spacing w:line="240" w:lineRule="auto"/>
        <w:ind w:firstLine="0"/>
        <w:rPr>
          <w:rFonts w:eastAsiaTheme="minorEastAsia"/>
          <w:b/>
          <w:bCs/>
          <w:i/>
          <w:iCs/>
        </w:rPr>
      </w:pPr>
    </w:p>
    <w:p w14:paraId="75F940D1" w14:textId="77777777" w:rsidR="00CC3324" w:rsidRPr="004D46AC" w:rsidRDefault="00CC3324" w:rsidP="00D41749">
      <w:pPr>
        <w:spacing w:line="240" w:lineRule="auto"/>
        <w:ind w:firstLine="0"/>
        <w:rPr>
          <w:rFonts w:eastAsiaTheme="minorEastAsia"/>
          <w:b/>
          <w:bCs/>
          <w:i/>
          <w:iCs/>
        </w:rPr>
      </w:pPr>
    </w:p>
    <w:p w14:paraId="6F319D03" w14:textId="77777777" w:rsidR="00CC3324" w:rsidRPr="004D46AC" w:rsidRDefault="00CC3324" w:rsidP="00D41749">
      <w:pPr>
        <w:spacing w:line="240" w:lineRule="auto"/>
        <w:ind w:firstLine="0"/>
        <w:rPr>
          <w:rFonts w:eastAsiaTheme="minorEastAsia"/>
          <w:b/>
          <w:bCs/>
          <w:i/>
          <w:iCs/>
        </w:rPr>
      </w:pPr>
    </w:p>
    <w:p w14:paraId="7D6637F5" w14:textId="77777777" w:rsidR="00CC3324" w:rsidRPr="004D46AC" w:rsidRDefault="00CC3324" w:rsidP="00D41749">
      <w:pPr>
        <w:spacing w:line="240" w:lineRule="auto"/>
        <w:ind w:firstLine="0"/>
        <w:rPr>
          <w:rFonts w:eastAsiaTheme="minorEastAsia"/>
          <w:b/>
          <w:bCs/>
          <w:i/>
          <w:iCs/>
        </w:rPr>
      </w:pPr>
    </w:p>
    <w:p w14:paraId="53807DAF" w14:textId="77777777" w:rsidR="00CC3324" w:rsidRPr="004D46AC" w:rsidRDefault="00CC3324" w:rsidP="00D41749">
      <w:pPr>
        <w:spacing w:line="240" w:lineRule="auto"/>
        <w:ind w:firstLine="0"/>
        <w:rPr>
          <w:rFonts w:eastAsiaTheme="minorEastAsia"/>
          <w:b/>
          <w:bCs/>
          <w:i/>
          <w:iCs/>
        </w:rPr>
      </w:pPr>
    </w:p>
    <w:p w14:paraId="77903A8B" w14:textId="77777777" w:rsidR="00CC3324" w:rsidRPr="004D46AC" w:rsidRDefault="00CC3324" w:rsidP="00D41749">
      <w:pPr>
        <w:spacing w:line="240" w:lineRule="auto"/>
        <w:ind w:firstLine="0"/>
        <w:rPr>
          <w:rFonts w:eastAsiaTheme="minorEastAsia"/>
          <w:b/>
          <w:bCs/>
          <w:i/>
          <w:iCs/>
        </w:rPr>
      </w:pPr>
    </w:p>
    <w:p w14:paraId="1B69A4AE" w14:textId="77777777" w:rsidR="00CC3324" w:rsidRPr="004D46AC" w:rsidRDefault="00CC3324" w:rsidP="00D41749">
      <w:pPr>
        <w:spacing w:line="240" w:lineRule="auto"/>
        <w:ind w:firstLine="0"/>
        <w:rPr>
          <w:rFonts w:eastAsiaTheme="minorEastAsia"/>
          <w:b/>
          <w:bCs/>
          <w:i/>
          <w:iCs/>
        </w:rPr>
      </w:pPr>
    </w:p>
    <w:p w14:paraId="1933E8C9" w14:textId="77777777" w:rsidR="00CC3324" w:rsidRPr="004D46AC" w:rsidRDefault="00CC3324" w:rsidP="00D41749">
      <w:pPr>
        <w:spacing w:line="240" w:lineRule="auto"/>
        <w:ind w:firstLine="0"/>
        <w:rPr>
          <w:rFonts w:eastAsiaTheme="minorEastAsia"/>
          <w:b/>
          <w:bCs/>
          <w:i/>
          <w:iCs/>
        </w:rPr>
      </w:pPr>
    </w:p>
    <w:p w14:paraId="2CEF8337" w14:textId="77777777" w:rsidR="007075D9" w:rsidRPr="004D46AC" w:rsidRDefault="007075D9" w:rsidP="00D41749">
      <w:pPr>
        <w:spacing w:line="240" w:lineRule="auto"/>
        <w:ind w:firstLine="0"/>
        <w:rPr>
          <w:b/>
          <w:bCs/>
          <w:i/>
          <w:iCs/>
        </w:rPr>
      </w:pPr>
    </w:p>
    <w:p w14:paraId="7B89AAB2" w14:textId="77777777" w:rsidR="007075D9" w:rsidRPr="004D46AC" w:rsidRDefault="007075D9" w:rsidP="00D41749">
      <w:pPr>
        <w:spacing w:line="240" w:lineRule="auto"/>
        <w:ind w:firstLine="0"/>
        <w:rPr>
          <w:b/>
          <w:bCs/>
          <w:i/>
          <w:iCs/>
        </w:rPr>
      </w:pPr>
    </w:p>
    <w:p w14:paraId="6B666712"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100D3567" wp14:editId="65C67593">
            <wp:extent cx="2540635" cy="1394460"/>
            <wp:effectExtent l="0" t="0" r="0" b="0"/>
            <wp:docPr id="1765668266" name="图片 32" descr="图表, 漏斗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68266" name="图片 32" descr="图表, 漏斗图&#10;&#10;AI 生成的内容可能不正确。"/>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540635" cy="139446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099986D9" wp14:editId="61D6E6FB">
            <wp:extent cx="2633345" cy="1394460"/>
            <wp:effectExtent l="0" t="0" r="0" b="0"/>
            <wp:docPr id="32923898" name="图片 3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23898" name="图片 31" descr="图表&#10;&#10;AI 生成的内容可能不正确。"/>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633345" cy="1394460"/>
                    </a:xfrm>
                    <a:prstGeom prst="rect">
                      <a:avLst/>
                    </a:prstGeom>
                    <a:noFill/>
                    <a:ln>
                      <a:noFill/>
                    </a:ln>
                  </pic:spPr>
                </pic:pic>
              </a:graphicData>
            </a:graphic>
          </wp:inline>
        </w:drawing>
      </w:r>
    </w:p>
    <w:p w14:paraId="528D19D8"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3F6A6A90" w14:textId="32AB4939" w:rsidR="00D41749" w:rsidRPr="004D46AC" w:rsidRDefault="00D41749" w:rsidP="00D41749">
      <w:pPr>
        <w:spacing w:line="240" w:lineRule="auto"/>
        <w:ind w:firstLine="0"/>
        <w:rPr>
          <w:rFonts w:eastAsiaTheme="minorEastAsia"/>
          <w:b/>
          <w:bCs/>
        </w:rPr>
      </w:pPr>
      <w:bookmarkStart w:id="345" w:name="_Toc219880202"/>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20</w:t>
      </w:r>
      <w:bookmarkEnd w:id="345"/>
      <w:r w:rsidRPr="004D46AC">
        <w:rPr>
          <w:b/>
          <w:bCs/>
        </w:rPr>
        <w:fldChar w:fldCharType="end"/>
      </w:r>
    </w:p>
    <w:p w14:paraId="560D8A9C" w14:textId="646CDD15" w:rsidR="007075D9" w:rsidRPr="004D46AC" w:rsidRDefault="007075D9" w:rsidP="00D41749">
      <w:pPr>
        <w:spacing w:line="240" w:lineRule="auto"/>
        <w:ind w:firstLine="0"/>
        <w:rPr>
          <w:i/>
          <w:iCs/>
        </w:rPr>
      </w:pPr>
      <w:r w:rsidRPr="004D46AC">
        <w:rPr>
          <w:i/>
          <w:iCs/>
        </w:rPr>
        <w:t>Funnel plots for current psychosis in bipolar II patients</w:t>
      </w:r>
    </w:p>
    <w:p w14:paraId="608B5FA8" w14:textId="77777777" w:rsidR="007075D9" w:rsidRPr="004D46AC" w:rsidRDefault="007075D9" w:rsidP="00D41749">
      <w:pPr>
        <w:spacing w:line="240" w:lineRule="auto"/>
        <w:ind w:firstLine="0"/>
      </w:pPr>
    </w:p>
    <w:p w14:paraId="5DE199D4"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0C681536" wp14:editId="10026CEC">
            <wp:extent cx="5278120" cy="7575550"/>
            <wp:effectExtent l="0" t="0" r="0" b="6350"/>
            <wp:docPr id="1314863212" name="图片 30"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63212" name="图片 30" descr="表格&#10;&#10;AI 生成的内容可能不正确。"/>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278120" cy="7575550"/>
                    </a:xfrm>
                    <a:prstGeom prst="rect">
                      <a:avLst/>
                    </a:prstGeom>
                    <a:noFill/>
                    <a:ln>
                      <a:noFill/>
                    </a:ln>
                  </pic:spPr>
                </pic:pic>
              </a:graphicData>
            </a:graphic>
          </wp:inline>
        </w:drawing>
      </w:r>
    </w:p>
    <w:p w14:paraId="4206EE9B" w14:textId="52CE11EF" w:rsidR="00D41749" w:rsidRPr="004D46AC" w:rsidRDefault="00D41749" w:rsidP="00D41749">
      <w:pPr>
        <w:spacing w:line="240" w:lineRule="auto"/>
        <w:ind w:firstLine="0"/>
        <w:rPr>
          <w:rFonts w:eastAsiaTheme="minorEastAsia"/>
          <w:b/>
          <w:bCs/>
        </w:rPr>
      </w:pPr>
      <w:bookmarkStart w:id="346" w:name="_Toc219880203"/>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21</w:t>
      </w:r>
      <w:bookmarkEnd w:id="346"/>
      <w:r w:rsidRPr="004D46AC">
        <w:rPr>
          <w:b/>
          <w:bCs/>
        </w:rPr>
        <w:fldChar w:fldCharType="end"/>
      </w:r>
    </w:p>
    <w:p w14:paraId="07AA8AAE" w14:textId="074A21FF" w:rsidR="007075D9" w:rsidRPr="004D46AC" w:rsidRDefault="007075D9" w:rsidP="00D41749">
      <w:pPr>
        <w:spacing w:line="240" w:lineRule="auto"/>
        <w:ind w:firstLine="0"/>
        <w:rPr>
          <w:i/>
          <w:iCs/>
        </w:rPr>
      </w:pPr>
      <w:bookmarkStart w:id="347" w:name="OLE_LINK101"/>
      <w:r w:rsidRPr="004D46AC">
        <w:rPr>
          <w:i/>
          <w:iCs/>
        </w:rPr>
        <w:t>Pooled rate of current psychosis in bipolar patients with manic episode</w:t>
      </w:r>
    </w:p>
    <w:bookmarkEnd w:id="347"/>
    <w:p w14:paraId="3496E025" w14:textId="77777777" w:rsidR="007075D9" w:rsidRPr="004D46AC" w:rsidRDefault="007075D9" w:rsidP="00D41749">
      <w:pPr>
        <w:spacing w:line="240" w:lineRule="auto"/>
        <w:ind w:firstLine="0"/>
        <w:rPr>
          <w:b/>
          <w:bCs/>
          <w:i/>
          <w:iCs/>
        </w:rPr>
      </w:pPr>
    </w:p>
    <w:p w14:paraId="1B21C85B" w14:textId="77777777" w:rsidR="007075D9" w:rsidRPr="004D46AC" w:rsidRDefault="007075D9" w:rsidP="00D41749">
      <w:pPr>
        <w:spacing w:line="240" w:lineRule="auto"/>
        <w:ind w:firstLine="0"/>
        <w:rPr>
          <w:b/>
          <w:bCs/>
          <w:i/>
          <w:iCs/>
        </w:rPr>
      </w:pPr>
    </w:p>
    <w:p w14:paraId="7A100786"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481944F8" wp14:editId="0C77B085">
            <wp:extent cx="2349500" cy="1290320"/>
            <wp:effectExtent l="0" t="0" r="0" b="5080"/>
            <wp:docPr id="690536723" name="图片 29"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36723" name="图片 29" descr="图表, 散点图&#10;&#10;AI 生成的内容可能不正确。"/>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349500" cy="129032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66BB8A4C" wp14:editId="43B5775A">
            <wp:extent cx="2349500" cy="1308100"/>
            <wp:effectExtent l="0" t="0" r="0" b="6350"/>
            <wp:docPr id="895728708" name="图片 28"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28708" name="图片 28" descr="图表, 散点图&#10;&#10;AI 生成的内容可能不正确。"/>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349500" cy="1308100"/>
                    </a:xfrm>
                    <a:prstGeom prst="rect">
                      <a:avLst/>
                    </a:prstGeom>
                    <a:noFill/>
                    <a:ln>
                      <a:noFill/>
                    </a:ln>
                  </pic:spPr>
                </pic:pic>
              </a:graphicData>
            </a:graphic>
          </wp:inline>
        </w:drawing>
      </w:r>
    </w:p>
    <w:p w14:paraId="53FD8FEC"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7C733985" w14:textId="583E4D3D" w:rsidR="00D41749" w:rsidRPr="004D46AC" w:rsidRDefault="00D41749" w:rsidP="00D41749">
      <w:pPr>
        <w:spacing w:line="240" w:lineRule="auto"/>
        <w:ind w:firstLine="0"/>
        <w:rPr>
          <w:rFonts w:eastAsiaTheme="minorEastAsia"/>
          <w:b/>
          <w:bCs/>
        </w:rPr>
      </w:pPr>
      <w:bookmarkStart w:id="348" w:name="_Toc219880204"/>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22</w:t>
      </w:r>
      <w:bookmarkEnd w:id="348"/>
      <w:r w:rsidRPr="004D46AC">
        <w:rPr>
          <w:b/>
          <w:bCs/>
        </w:rPr>
        <w:fldChar w:fldCharType="end"/>
      </w:r>
    </w:p>
    <w:p w14:paraId="7A0E9459" w14:textId="4A21597F" w:rsidR="007075D9" w:rsidRPr="004D46AC" w:rsidRDefault="007075D9" w:rsidP="00D41749">
      <w:pPr>
        <w:spacing w:line="240" w:lineRule="auto"/>
        <w:ind w:firstLine="0"/>
        <w:rPr>
          <w:i/>
          <w:iCs/>
        </w:rPr>
      </w:pPr>
      <w:r w:rsidRPr="004D46AC">
        <w:rPr>
          <w:i/>
          <w:iCs/>
        </w:rPr>
        <w:t>Funnel plots for current psychosis in bipolar patients with manic episode</w:t>
      </w:r>
    </w:p>
    <w:p w14:paraId="1C5E039C" w14:textId="77777777" w:rsidR="007075D9" w:rsidRPr="004D46AC" w:rsidRDefault="007075D9" w:rsidP="00D41749">
      <w:pPr>
        <w:spacing w:line="240" w:lineRule="auto"/>
        <w:ind w:firstLine="0"/>
        <w:rPr>
          <w:b/>
          <w:bCs/>
          <w:i/>
          <w:iCs/>
        </w:rPr>
      </w:pPr>
    </w:p>
    <w:p w14:paraId="5DBD3317" w14:textId="77777777" w:rsidR="007075D9" w:rsidRPr="004D46AC" w:rsidRDefault="007075D9" w:rsidP="00D41749">
      <w:pPr>
        <w:spacing w:line="240" w:lineRule="auto"/>
        <w:ind w:firstLine="0"/>
        <w:rPr>
          <w:b/>
          <w:bCs/>
          <w:i/>
          <w:iCs/>
        </w:rPr>
      </w:pPr>
    </w:p>
    <w:p w14:paraId="3E5DD4C5" w14:textId="77777777" w:rsidR="007075D9" w:rsidRPr="004D46AC" w:rsidRDefault="007075D9" w:rsidP="00D41749">
      <w:pPr>
        <w:spacing w:line="240" w:lineRule="auto"/>
        <w:ind w:firstLine="0"/>
        <w:rPr>
          <w:b/>
          <w:bCs/>
          <w:i/>
          <w:iCs/>
        </w:rPr>
      </w:pPr>
    </w:p>
    <w:p w14:paraId="30B8541F" w14:textId="77777777" w:rsidR="007075D9" w:rsidRPr="004D46AC" w:rsidRDefault="007075D9" w:rsidP="00D41749">
      <w:pPr>
        <w:spacing w:line="240" w:lineRule="auto"/>
        <w:ind w:firstLine="0"/>
        <w:rPr>
          <w:b/>
          <w:bCs/>
          <w:i/>
          <w:iCs/>
        </w:rPr>
      </w:pPr>
    </w:p>
    <w:p w14:paraId="2A7FF8D6" w14:textId="77777777" w:rsidR="007075D9" w:rsidRPr="004D46AC" w:rsidRDefault="007075D9" w:rsidP="00D41749">
      <w:pPr>
        <w:spacing w:line="240" w:lineRule="auto"/>
        <w:ind w:firstLine="0"/>
        <w:rPr>
          <w:b/>
          <w:bCs/>
          <w:i/>
          <w:iCs/>
        </w:rPr>
      </w:pPr>
    </w:p>
    <w:p w14:paraId="0A79FFD7" w14:textId="77777777" w:rsidR="007075D9" w:rsidRPr="004D46AC" w:rsidRDefault="007075D9" w:rsidP="00D41749">
      <w:pPr>
        <w:spacing w:line="240" w:lineRule="auto"/>
        <w:ind w:firstLine="0"/>
        <w:rPr>
          <w:b/>
          <w:bCs/>
          <w:i/>
          <w:iCs/>
        </w:rPr>
      </w:pPr>
    </w:p>
    <w:p w14:paraId="05588345" w14:textId="77777777" w:rsidR="007075D9" w:rsidRPr="004D46AC" w:rsidRDefault="007075D9" w:rsidP="00D41749">
      <w:pPr>
        <w:spacing w:line="240" w:lineRule="auto"/>
        <w:ind w:firstLine="0"/>
        <w:rPr>
          <w:b/>
          <w:bCs/>
          <w:i/>
          <w:iCs/>
        </w:rPr>
      </w:pPr>
    </w:p>
    <w:p w14:paraId="2FB0AF55" w14:textId="77777777" w:rsidR="007075D9" w:rsidRPr="004D46AC" w:rsidRDefault="007075D9" w:rsidP="00D41749">
      <w:pPr>
        <w:spacing w:line="240" w:lineRule="auto"/>
        <w:ind w:firstLine="0"/>
        <w:rPr>
          <w:b/>
          <w:bCs/>
          <w:i/>
          <w:iCs/>
        </w:rPr>
      </w:pPr>
    </w:p>
    <w:p w14:paraId="28430B60" w14:textId="77777777" w:rsidR="007075D9" w:rsidRPr="004D46AC" w:rsidRDefault="007075D9" w:rsidP="00D41749">
      <w:pPr>
        <w:spacing w:line="240" w:lineRule="auto"/>
        <w:ind w:firstLine="0"/>
        <w:rPr>
          <w:b/>
          <w:bCs/>
          <w:i/>
          <w:iCs/>
        </w:rPr>
      </w:pPr>
    </w:p>
    <w:p w14:paraId="2F181DE5" w14:textId="77777777" w:rsidR="007075D9" w:rsidRPr="004D46AC" w:rsidRDefault="007075D9" w:rsidP="00D41749">
      <w:pPr>
        <w:spacing w:line="240" w:lineRule="auto"/>
        <w:ind w:firstLine="0"/>
        <w:rPr>
          <w:b/>
          <w:bCs/>
          <w:i/>
          <w:iCs/>
        </w:rPr>
      </w:pPr>
    </w:p>
    <w:p w14:paraId="4B3FA0A0" w14:textId="77777777" w:rsidR="007075D9" w:rsidRPr="004D46AC" w:rsidRDefault="007075D9" w:rsidP="00D41749">
      <w:pPr>
        <w:spacing w:line="240" w:lineRule="auto"/>
        <w:ind w:firstLine="0"/>
        <w:rPr>
          <w:b/>
          <w:bCs/>
          <w:i/>
          <w:iCs/>
        </w:rPr>
      </w:pPr>
    </w:p>
    <w:p w14:paraId="6301EA12" w14:textId="77777777" w:rsidR="007075D9" w:rsidRPr="004D46AC" w:rsidRDefault="007075D9" w:rsidP="00D41749">
      <w:pPr>
        <w:spacing w:line="240" w:lineRule="auto"/>
        <w:ind w:firstLine="0"/>
        <w:rPr>
          <w:b/>
          <w:bCs/>
          <w:i/>
          <w:iCs/>
        </w:rPr>
      </w:pPr>
    </w:p>
    <w:p w14:paraId="5B7DAD79" w14:textId="77777777" w:rsidR="007075D9" w:rsidRPr="004D46AC" w:rsidRDefault="007075D9" w:rsidP="00D41749">
      <w:pPr>
        <w:spacing w:line="240" w:lineRule="auto"/>
        <w:ind w:firstLine="0"/>
        <w:rPr>
          <w:b/>
          <w:bCs/>
          <w:i/>
          <w:iCs/>
        </w:rPr>
      </w:pPr>
    </w:p>
    <w:p w14:paraId="7F74DB3D" w14:textId="77777777" w:rsidR="007075D9" w:rsidRPr="004D46AC" w:rsidRDefault="007075D9" w:rsidP="00D41749">
      <w:pPr>
        <w:spacing w:line="240" w:lineRule="auto"/>
        <w:ind w:firstLine="0"/>
        <w:rPr>
          <w:b/>
          <w:bCs/>
          <w:i/>
          <w:iCs/>
        </w:rPr>
      </w:pPr>
    </w:p>
    <w:p w14:paraId="410B9CA9" w14:textId="77777777" w:rsidR="007075D9" w:rsidRPr="004D46AC" w:rsidRDefault="007075D9" w:rsidP="00D41749">
      <w:pPr>
        <w:spacing w:line="240" w:lineRule="auto"/>
        <w:ind w:firstLine="0"/>
        <w:rPr>
          <w:b/>
          <w:bCs/>
          <w:i/>
          <w:iCs/>
        </w:rPr>
      </w:pPr>
    </w:p>
    <w:p w14:paraId="7585CFA4" w14:textId="77777777" w:rsidR="007075D9" w:rsidRPr="004D46AC" w:rsidRDefault="007075D9" w:rsidP="00D41749">
      <w:pPr>
        <w:spacing w:line="240" w:lineRule="auto"/>
        <w:ind w:firstLine="0"/>
        <w:rPr>
          <w:b/>
          <w:bCs/>
          <w:i/>
          <w:iCs/>
        </w:rPr>
      </w:pPr>
    </w:p>
    <w:p w14:paraId="297BB506" w14:textId="77777777" w:rsidR="007075D9" w:rsidRPr="004D46AC" w:rsidRDefault="007075D9" w:rsidP="00D41749">
      <w:pPr>
        <w:spacing w:line="240" w:lineRule="auto"/>
        <w:ind w:firstLine="0"/>
        <w:rPr>
          <w:b/>
          <w:bCs/>
          <w:i/>
          <w:iCs/>
        </w:rPr>
      </w:pPr>
    </w:p>
    <w:p w14:paraId="09DC7722" w14:textId="77777777" w:rsidR="007075D9" w:rsidRPr="004D46AC" w:rsidRDefault="007075D9" w:rsidP="00D41749">
      <w:pPr>
        <w:spacing w:line="240" w:lineRule="auto"/>
        <w:ind w:firstLine="0"/>
        <w:rPr>
          <w:b/>
          <w:bCs/>
          <w:i/>
          <w:iCs/>
        </w:rPr>
      </w:pPr>
    </w:p>
    <w:p w14:paraId="69D2FF8F" w14:textId="77777777" w:rsidR="007075D9" w:rsidRPr="004D46AC" w:rsidRDefault="007075D9" w:rsidP="00D41749">
      <w:pPr>
        <w:spacing w:line="240" w:lineRule="auto"/>
        <w:ind w:firstLine="0"/>
        <w:rPr>
          <w:b/>
          <w:bCs/>
          <w:i/>
          <w:iCs/>
        </w:rPr>
      </w:pPr>
    </w:p>
    <w:p w14:paraId="5EA2F13B"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23B08732" wp14:editId="463F584A">
            <wp:extent cx="5272405" cy="4218940"/>
            <wp:effectExtent l="0" t="0" r="4445" b="0"/>
            <wp:docPr id="1428496401" name="图片 27"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96401" name="图片 27" descr="文本&#10;&#10;AI 生成的内容可能不正确。"/>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272405" cy="4218940"/>
                    </a:xfrm>
                    <a:prstGeom prst="rect">
                      <a:avLst/>
                    </a:prstGeom>
                    <a:noFill/>
                    <a:ln>
                      <a:noFill/>
                    </a:ln>
                  </pic:spPr>
                </pic:pic>
              </a:graphicData>
            </a:graphic>
          </wp:inline>
        </w:drawing>
      </w:r>
    </w:p>
    <w:p w14:paraId="43224137" w14:textId="21E30EAD" w:rsidR="00D41749" w:rsidRPr="004D46AC" w:rsidRDefault="00D41749" w:rsidP="00D41749">
      <w:pPr>
        <w:spacing w:line="240" w:lineRule="auto"/>
        <w:ind w:firstLine="0"/>
        <w:rPr>
          <w:rFonts w:eastAsiaTheme="minorEastAsia"/>
          <w:b/>
          <w:bCs/>
        </w:rPr>
      </w:pPr>
      <w:bookmarkStart w:id="349" w:name="_Toc219880205"/>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23</w:t>
      </w:r>
      <w:bookmarkEnd w:id="349"/>
      <w:r w:rsidRPr="004D46AC">
        <w:rPr>
          <w:b/>
          <w:bCs/>
        </w:rPr>
        <w:fldChar w:fldCharType="end"/>
      </w:r>
    </w:p>
    <w:p w14:paraId="15739A13" w14:textId="77777777" w:rsidR="007075D9" w:rsidRPr="004D46AC" w:rsidRDefault="007075D9" w:rsidP="00D41749">
      <w:pPr>
        <w:spacing w:line="240" w:lineRule="auto"/>
        <w:ind w:firstLine="0"/>
        <w:rPr>
          <w:i/>
          <w:iCs/>
        </w:rPr>
      </w:pPr>
      <w:r w:rsidRPr="004D46AC">
        <w:rPr>
          <w:i/>
          <w:iCs/>
        </w:rPr>
        <w:t>Pooled rate of current psychosis in bipolar patients with depressive episode</w:t>
      </w:r>
    </w:p>
    <w:p w14:paraId="0EEA92FD" w14:textId="77777777" w:rsidR="007075D9" w:rsidRPr="004D46AC" w:rsidRDefault="007075D9" w:rsidP="00D41749">
      <w:pPr>
        <w:spacing w:line="240" w:lineRule="auto"/>
        <w:ind w:firstLine="0"/>
        <w:rPr>
          <w:b/>
          <w:bCs/>
          <w:i/>
          <w:iCs/>
        </w:rPr>
      </w:pPr>
    </w:p>
    <w:p w14:paraId="58159D58" w14:textId="77777777" w:rsidR="007075D9" w:rsidRPr="004D46AC" w:rsidRDefault="007075D9" w:rsidP="00D41749">
      <w:pPr>
        <w:spacing w:line="240" w:lineRule="auto"/>
        <w:ind w:firstLine="0"/>
        <w:rPr>
          <w:b/>
          <w:bCs/>
          <w:i/>
          <w:iCs/>
        </w:rPr>
      </w:pPr>
    </w:p>
    <w:p w14:paraId="504223F7" w14:textId="77777777" w:rsidR="007075D9" w:rsidRPr="004D46AC" w:rsidRDefault="007075D9" w:rsidP="00D41749">
      <w:pPr>
        <w:spacing w:line="240" w:lineRule="auto"/>
        <w:ind w:firstLine="0"/>
        <w:rPr>
          <w:b/>
          <w:bCs/>
          <w:i/>
          <w:iCs/>
        </w:rPr>
      </w:pPr>
    </w:p>
    <w:p w14:paraId="146AA342" w14:textId="77777777" w:rsidR="007075D9" w:rsidRPr="004D46AC" w:rsidRDefault="007075D9" w:rsidP="00D41749">
      <w:pPr>
        <w:spacing w:line="240" w:lineRule="auto"/>
        <w:ind w:firstLine="0"/>
        <w:rPr>
          <w:b/>
          <w:bCs/>
          <w:i/>
          <w:iCs/>
        </w:rPr>
      </w:pPr>
    </w:p>
    <w:p w14:paraId="5A05DD5D" w14:textId="77777777" w:rsidR="007075D9" w:rsidRPr="004D46AC" w:rsidRDefault="007075D9" w:rsidP="00D41749">
      <w:pPr>
        <w:spacing w:line="240" w:lineRule="auto"/>
        <w:ind w:firstLine="0"/>
        <w:rPr>
          <w:b/>
          <w:bCs/>
          <w:i/>
          <w:iCs/>
        </w:rPr>
      </w:pPr>
    </w:p>
    <w:p w14:paraId="2E0A1014" w14:textId="77777777" w:rsidR="007075D9" w:rsidRPr="004D46AC" w:rsidRDefault="007075D9" w:rsidP="00D41749">
      <w:pPr>
        <w:spacing w:line="240" w:lineRule="auto"/>
        <w:ind w:firstLine="0"/>
        <w:rPr>
          <w:b/>
          <w:bCs/>
          <w:i/>
          <w:iCs/>
        </w:rPr>
      </w:pPr>
    </w:p>
    <w:p w14:paraId="53179A31" w14:textId="77777777" w:rsidR="007075D9" w:rsidRPr="004D46AC" w:rsidRDefault="007075D9" w:rsidP="00D41749">
      <w:pPr>
        <w:spacing w:line="240" w:lineRule="auto"/>
        <w:ind w:firstLine="0"/>
        <w:rPr>
          <w:b/>
          <w:bCs/>
          <w:i/>
          <w:iCs/>
        </w:rPr>
      </w:pPr>
    </w:p>
    <w:p w14:paraId="4B833C37" w14:textId="77777777" w:rsidR="007075D9" w:rsidRPr="004D46AC" w:rsidRDefault="007075D9" w:rsidP="00D41749">
      <w:pPr>
        <w:spacing w:line="240" w:lineRule="auto"/>
        <w:ind w:firstLine="0"/>
        <w:rPr>
          <w:b/>
          <w:bCs/>
          <w:i/>
          <w:iCs/>
        </w:rPr>
      </w:pPr>
    </w:p>
    <w:p w14:paraId="04A9F1D6" w14:textId="77777777" w:rsidR="007075D9" w:rsidRPr="004D46AC" w:rsidRDefault="007075D9" w:rsidP="00D41749">
      <w:pPr>
        <w:spacing w:line="240" w:lineRule="auto"/>
        <w:ind w:firstLine="0"/>
        <w:rPr>
          <w:b/>
          <w:bCs/>
          <w:i/>
          <w:iCs/>
        </w:rPr>
      </w:pPr>
    </w:p>
    <w:p w14:paraId="06AF48C8" w14:textId="77777777" w:rsidR="007075D9" w:rsidRPr="004D46AC" w:rsidRDefault="007075D9" w:rsidP="00D41749">
      <w:pPr>
        <w:spacing w:line="240" w:lineRule="auto"/>
        <w:ind w:firstLine="0"/>
        <w:rPr>
          <w:b/>
          <w:bCs/>
          <w:i/>
          <w:iCs/>
        </w:rPr>
      </w:pPr>
    </w:p>
    <w:p w14:paraId="0D87D050" w14:textId="77777777" w:rsidR="007075D9" w:rsidRPr="004D46AC" w:rsidRDefault="007075D9" w:rsidP="00D41749">
      <w:pPr>
        <w:spacing w:line="240" w:lineRule="auto"/>
        <w:ind w:firstLine="0"/>
        <w:rPr>
          <w:b/>
          <w:bCs/>
          <w:i/>
          <w:iCs/>
        </w:rPr>
      </w:pPr>
    </w:p>
    <w:p w14:paraId="2E4F549F" w14:textId="77777777" w:rsidR="007075D9" w:rsidRPr="004D46AC" w:rsidRDefault="007075D9" w:rsidP="00D41749">
      <w:pPr>
        <w:spacing w:line="240" w:lineRule="auto"/>
        <w:ind w:firstLine="0"/>
        <w:rPr>
          <w:rFonts w:eastAsiaTheme="minorEastAsia"/>
          <w:b/>
          <w:bCs/>
          <w:i/>
          <w:iCs/>
        </w:rPr>
      </w:pPr>
    </w:p>
    <w:p w14:paraId="0A86F8EE" w14:textId="77777777" w:rsidR="00CC3324" w:rsidRPr="004D46AC" w:rsidRDefault="00CC3324" w:rsidP="00D41749">
      <w:pPr>
        <w:spacing w:line="240" w:lineRule="auto"/>
        <w:ind w:firstLine="0"/>
        <w:rPr>
          <w:rFonts w:eastAsiaTheme="minorEastAsia"/>
          <w:b/>
          <w:bCs/>
          <w:i/>
          <w:iCs/>
        </w:rPr>
      </w:pPr>
    </w:p>
    <w:p w14:paraId="1C61B5B0" w14:textId="77777777" w:rsidR="00CC3324" w:rsidRPr="004D46AC" w:rsidRDefault="00CC3324" w:rsidP="00D41749">
      <w:pPr>
        <w:spacing w:line="240" w:lineRule="auto"/>
        <w:ind w:firstLine="0"/>
        <w:rPr>
          <w:rFonts w:eastAsiaTheme="minorEastAsia"/>
          <w:b/>
          <w:bCs/>
          <w:i/>
          <w:iCs/>
        </w:rPr>
      </w:pPr>
    </w:p>
    <w:p w14:paraId="3CD1A8A9" w14:textId="77777777" w:rsidR="00CC3324" w:rsidRPr="004D46AC" w:rsidRDefault="00CC3324" w:rsidP="00D41749">
      <w:pPr>
        <w:spacing w:line="240" w:lineRule="auto"/>
        <w:ind w:firstLine="0"/>
        <w:rPr>
          <w:rFonts w:eastAsiaTheme="minorEastAsia"/>
          <w:b/>
          <w:bCs/>
          <w:i/>
          <w:iCs/>
        </w:rPr>
      </w:pPr>
    </w:p>
    <w:p w14:paraId="04DC89BF" w14:textId="77777777" w:rsidR="00CC3324" w:rsidRPr="004D46AC" w:rsidRDefault="00CC3324" w:rsidP="00D41749">
      <w:pPr>
        <w:spacing w:line="240" w:lineRule="auto"/>
        <w:ind w:firstLine="0"/>
        <w:rPr>
          <w:rFonts w:eastAsiaTheme="minorEastAsia"/>
          <w:b/>
          <w:bCs/>
          <w:i/>
          <w:iCs/>
        </w:rPr>
      </w:pPr>
    </w:p>
    <w:p w14:paraId="76F97050" w14:textId="77777777" w:rsidR="00CC3324" w:rsidRPr="004D46AC" w:rsidRDefault="00CC3324" w:rsidP="00D41749">
      <w:pPr>
        <w:spacing w:line="240" w:lineRule="auto"/>
        <w:ind w:firstLine="0"/>
        <w:rPr>
          <w:rFonts w:eastAsiaTheme="minorEastAsia"/>
          <w:b/>
          <w:bCs/>
          <w:i/>
          <w:iCs/>
        </w:rPr>
      </w:pPr>
    </w:p>
    <w:p w14:paraId="4972E4C3" w14:textId="77777777" w:rsidR="00CC3324" w:rsidRPr="004D46AC" w:rsidRDefault="00CC3324" w:rsidP="00D41749">
      <w:pPr>
        <w:spacing w:line="240" w:lineRule="auto"/>
        <w:ind w:firstLine="0"/>
        <w:rPr>
          <w:rFonts w:eastAsiaTheme="minorEastAsia"/>
          <w:b/>
          <w:bCs/>
          <w:i/>
          <w:iCs/>
        </w:rPr>
      </w:pPr>
    </w:p>
    <w:p w14:paraId="51179938" w14:textId="77777777" w:rsidR="00CC3324" w:rsidRPr="004D46AC" w:rsidRDefault="00CC3324" w:rsidP="00D41749">
      <w:pPr>
        <w:spacing w:line="240" w:lineRule="auto"/>
        <w:ind w:firstLine="0"/>
        <w:rPr>
          <w:rFonts w:eastAsiaTheme="minorEastAsia"/>
          <w:b/>
          <w:bCs/>
          <w:i/>
          <w:iCs/>
        </w:rPr>
      </w:pPr>
    </w:p>
    <w:p w14:paraId="346E1D25"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072AE188" wp14:editId="131ADF4C">
            <wp:extent cx="2280285" cy="1226820"/>
            <wp:effectExtent l="0" t="0" r="5715" b="0"/>
            <wp:docPr id="1363136171" name="图片 26"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36171" name="图片 26" descr="图表&#10;&#10;AI 生成的内容可能不正确。"/>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280285" cy="122682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08F525A1" wp14:editId="3FB13BC0">
            <wp:extent cx="2349500" cy="1313815"/>
            <wp:effectExtent l="0" t="0" r="0" b="635"/>
            <wp:docPr id="1130478272" name="图片 25"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78272" name="图片 25" descr="图表, 散点图&#10;&#10;AI 生成的内容可能不正确。"/>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349500" cy="1313815"/>
                    </a:xfrm>
                    <a:prstGeom prst="rect">
                      <a:avLst/>
                    </a:prstGeom>
                    <a:noFill/>
                    <a:ln>
                      <a:noFill/>
                    </a:ln>
                  </pic:spPr>
                </pic:pic>
              </a:graphicData>
            </a:graphic>
          </wp:inline>
        </w:drawing>
      </w:r>
    </w:p>
    <w:p w14:paraId="7F60F5EB"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5B888510" w14:textId="37E747C7" w:rsidR="00D41749" w:rsidRPr="004D46AC" w:rsidRDefault="00D41749" w:rsidP="00D41749">
      <w:pPr>
        <w:spacing w:line="240" w:lineRule="auto"/>
        <w:ind w:firstLine="0"/>
        <w:rPr>
          <w:rFonts w:eastAsiaTheme="minorEastAsia"/>
          <w:b/>
          <w:bCs/>
        </w:rPr>
      </w:pPr>
      <w:bookmarkStart w:id="350" w:name="_Toc219880206"/>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24</w:t>
      </w:r>
      <w:bookmarkEnd w:id="350"/>
      <w:r w:rsidRPr="004D46AC">
        <w:rPr>
          <w:b/>
          <w:bCs/>
        </w:rPr>
        <w:fldChar w:fldCharType="end"/>
      </w:r>
    </w:p>
    <w:p w14:paraId="08A0FC42" w14:textId="508A0FAF" w:rsidR="007075D9" w:rsidRPr="004D46AC" w:rsidRDefault="007075D9" w:rsidP="00D41749">
      <w:pPr>
        <w:spacing w:line="240" w:lineRule="auto"/>
        <w:ind w:firstLine="0"/>
        <w:rPr>
          <w:i/>
          <w:iCs/>
        </w:rPr>
      </w:pPr>
      <w:r w:rsidRPr="004D46AC">
        <w:rPr>
          <w:i/>
          <w:iCs/>
        </w:rPr>
        <w:t>Funnel plots for current psychosis in bipolar patients with depressive episode</w:t>
      </w:r>
    </w:p>
    <w:p w14:paraId="22FA17B1" w14:textId="77777777" w:rsidR="007075D9" w:rsidRPr="004D46AC" w:rsidRDefault="007075D9" w:rsidP="00D41749">
      <w:pPr>
        <w:spacing w:line="240" w:lineRule="auto"/>
        <w:ind w:firstLine="0"/>
      </w:pPr>
    </w:p>
    <w:p w14:paraId="6F6B9F1D" w14:textId="77777777" w:rsidR="007075D9" w:rsidRPr="004D46AC" w:rsidRDefault="007075D9" w:rsidP="00D41749">
      <w:pPr>
        <w:spacing w:line="240" w:lineRule="auto"/>
        <w:ind w:firstLine="0"/>
      </w:pPr>
    </w:p>
    <w:p w14:paraId="0EC4161F" w14:textId="77777777" w:rsidR="007075D9" w:rsidRPr="004D46AC" w:rsidRDefault="007075D9" w:rsidP="00D41749">
      <w:pPr>
        <w:spacing w:line="240" w:lineRule="auto"/>
        <w:ind w:firstLine="0"/>
      </w:pPr>
    </w:p>
    <w:p w14:paraId="13915D09" w14:textId="77777777" w:rsidR="007075D9" w:rsidRPr="004D46AC" w:rsidRDefault="007075D9" w:rsidP="00D41749">
      <w:pPr>
        <w:spacing w:line="240" w:lineRule="auto"/>
        <w:ind w:firstLine="0"/>
      </w:pPr>
    </w:p>
    <w:p w14:paraId="4AAAD778" w14:textId="77777777" w:rsidR="007075D9" w:rsidRPr="004D46AC" w:rsidRDefault="007075D9" w:rsidP="00D41749">
      <w:pPr>
        <w:spacing w:line="240" w:lineRule="auto"/>
        <w:ind w:firstLine="0"/>
      </w:pPr>
    </w:p>
    <w:p w14:paraId="1718EF16" w14:textId="77777777" w:rsidR="007075D9" w:rsidRPr="004D46AC" w:rsidRDefault="007075D9" w:rsidP="00D41749">
      <w:pPr>
        <w:spacing w:line="240" w:lineRule="auto"/>
        <w:ind w:firstLine="0"/>
      </w:pPr>
    </w:p>
    <w:p w14:paraId="3298E653" w14:textId="77777777" w:rsidR="007075D9" w:rsidRPr="004D46AC" w:rsidRDefault="007075D9" w:rsidP="00D41749">
      <w:pPr>
        <w:spacing w:line="240" w:lineRule="auto"/>
        <w:ind w:firstLine="0"/>
      </w:pPr>
    </w:p>
    <w:p w14:paraId="2EC8D4FF" w14:textId="77777777" w:rsidR="007075D9" w:rsidRPr="004D46AC" w:rsidRDefault="007075D9" w:rsidP="00D41749">
      <w:pPr>
        <w:spacing w:line="240" w:lineRule="auto"/>
        <w:ind w:firstLine="0"/>
      </w:pPr>
    </w:p>
    <w:p w14:paraId="69A0021E" w14:textId="77777777" w:rsidR="007075D9" w:rsidRPr="004D46AC" w:rsidRDefault="007075D9" w:rsidP="00D41749">
      <w:pPr>
        <w:spacing w:line="240" w:lineRule="auto"/>
        <w:ind w:firstLine="0"/>
      </w:pPr>
    </w:p>
    <w:p w14:paraId="3A7E1DAD" w14:textId="77777777" w:rsidR="007075D9" w:rsidRPr="004D46AC" w:rsidRDefault="007075D9" w:rsidP="00D41749">
      <w:pPr>
        <w:spacing w:line="240" w:lineRule="auto"/>
        <w:ind w:firstLine="0"/>
      </w:pPr>
    </w:p>
    <w:p w14:paraId="13455B74" w14:textId="77777777" w:rsidR="007075D9" w:rsidRPr="004D46AC" w:rsidRDefault="007075D9" w:rsidP="00D41749">
      <w:pPr>
        <w:spacing w:line="240" w:lineRule="auto"/>
        <w:ind w:firstLine="0"/>
      </w:pPr>
    </w:p>
    <w:p w14:paraId="66D2304E" w14:textId="77777777" w:rsidR="007075D9" w:rsidRPr="004D46AC" w:rsidRDefault="007075D9" w:rsidP="00D41749">
      <w:pPr>
        <w:spacing w:line="240" w:lineRule="auto"/>
        <w:ind w:firstLine="0"/>
      </w:pPr>
    </w:p>
    <w:p w14:paraId="2893FEE6" w14:textId="77777777" w:rsidR="007075D9" w:rsidRPr="004D46AC" w:rsidRDefault="007075D9" w:rsidP="00D41749">
      <w:pPr>
        <w:spacing w:line="240" w:lineRule="auto"/>
        <w:ind w:firstLine="0"/>
      </w:pPr>
    </w:p>
    <w:p w14:paraId="50A679DF" w14:textId="77777777" w:rsidR="007075D9" w:rsidRPr="004D46AC" w:rsidRDefault="007075D9" w:rsidP="00D41749">
      <w:pPr>
        <w:spacing w:line="240" w:lineRule="auto"/>
        <w:ind w:firstLine="0"/>
      </w:pPr>
    </w:p>
    <w:p w14:paraId="1D9E4252" w14:textId="77777777" w:rsidR="007075D9" w:rsidRPr="004D46AC" w:rsidRDefault="007075D9" w:rsidP="00D41749">
      <w:pPr>
        <w:spacing w:line="240" w:lineRule="auto"/>
        <w:ind w:firstLine="0"/>
      </w:pPr>
    </w:p>
    <w:p w14:paraId="5B630341" w14:textId="77777777" w:rsidR="007075D9" w:rsidRPr="004D46AC" w:rsidRDefault="007075D9" w:rsidP="00D41749">
      <w:pPr>
        <w:spacing w:line="240" w:lineRule="auto"/>
        <w:ind w:firstLine="0"/>
      </w:pPr>
    </w:p>
    <w:p w14:paraId="0080A8B0" w14:textId="77777777" w:rsidR="007075D9" w:rsidRPr="004D46AC" w:rsidRDefault="007075D9" w:rsidP="00D41749">
      <w:pPr>
        <w:spacing w:line="240" w:lineRule="auto"/>
        <w:ind w:firstLine="0"/>
      </w:pPr>
    </w:p>
    <w:p w14:paraId="62D413C5" w14:textId="77777777" w:rsidR="007075D9" w:rsidRPr="004D46AC" w:rsidRDefault="007075D9" w:rsidP="00D41749">
      <w:pPr>
        <w:spacing w:line="240" w:lineRule="auto"/>
        <w:ind w:firstLine="0"/>
        <w:rPr>
          <w:rFonts w:eastAsiaTheme="minorEastAsia"/>
        </w:rPr>
      </w:pPr>
    </w:p>
    <w:p w14:paraId="58EE5310" w14:textId="77777777" w:rsidR="00CC3324" w:rsidRPr="004D46AC" w:rsidRDefault="00CC3324" w:rsidP="00D41749">
      <w:pPr>
        <w:spacing w:line="240" w:lineRule="auto"/>
        <w:ind w:firstLine="0"/>
        <w:rPr>
          <w:rFonts w:eastAsiaTheme="minorEastAsia"/>
        </w:rPr>
      </w:pPr>
    </w:p>
    <w:p w14:paraId="67307DAC" w14:textId="77777777" w:rsidR="00CC3324" w:rsidRPr="004D46AC" w:rsidRDefault="00CC3324" w:rsidP="00D41749">
      <w:pPr>
        <w:spacing w:line="240" w:lineRule="auto"/>
        <w:ind w:firstLine="0"/>
        <w:rPr>
          <w:rFonts w:eastAsiaTheme="minorEastAsia"/>
        </w:rPr>
      </w:pPr>
    </w:p>
    <w:p w14:paraId="4CC8B272" w14:textId="77777777" w:rsidR="00CC3324" w:rsidRPr="004D46AC" w:rsidRDefault="00CC3324" w:rsidP="00D41749">
      <w:pPr>
        <w:spacing w:line="240" w:lineRule="auto"/>
        <w:ind w:firstLine="0"/>
        <w:rPr>
          <w:rFonts w:eastAsiaTheme="minorEastAsia"/>
        </w:rPr>
      </w:pPr>
    </w:p>
    <w:p w14:paraId="2C342458" w14:textId="77777777" w:rsidR="00CC3324" w:rsidRPr="004D46AC" w:rsidRDefault="00CC3324" w:rsidP="00D41749">
      <w:pPr>
        <w:spacing w:line="240" w:lineRule="auto"/>
        <w:ind w:firstLine="0"/>
        <w:rPr>
          <w:rFonts w:eastAsiaTheme="minorEastAsia"/>
        </w:rPr>
      </w:pPr>
    </w:p>
    <w:p w14:paraId="5D5963F4" w14:textId="77777777" w:rsidR="00CC3324" w:rsidRPr="004D46AC" w:rsidRDefault="00CC3324" w:rsidP="00D41749">
      <w:pPr>
        <w:spacing w:line="240" w:lineRule="auto"/>
        <w:ind w:firstLine="0"/>
        <w:rPr>
          <w:rFonts w:eastAsiaTheme="minorEastAsia"/>
        </w:rPr>
      </w:pPr>
    </w:p>
    <w:p w14:paraId="77D82011" w14:textId="77777777" w:rsidR="00CC3324" w:rsidRPr="004D46AC" w:rsidRDefault="00CC3324" w:rsidP="00D41749">
      <w:pPr>
        <w:spacing w:line="240" w:lineRule="auto"/>
        <w:ind w:firstLine="0"/>
        <w:rPr>
          <w:rFonts w:eastAsiaTheme="minorEastAsia"/>
        </w:rPr>
      </w:pPr>
    </w:p>
    <w:p w14:paraId="4841A6BF" w14:textId="77777777" w:rsidR="00CC3324" w:rsidRPr="004D46AC" w:rsidRDefault="00CC3324" w:rsidP="00D41749">
      <w:pPr>
        <w:spacing w:line="240" w:lineRule="auto"/>
        <w:ind w:firstLine="0"/>
        <w:rPr>
          <w:rFonts w:eastAsiaTheme="minorEastAsia"/>
        </w:rPr>
      </w:pPr>
    </w:p>
    <w:p w14:paraId="2BAF0AD8" w14:textId="77777777" w:rsidR="00CC3324" w:rsidRPr="004D46AC" w:rsidRDefault="00CC3324" w:rsidP="00D41749">
      <w:pPr>
        <w:spacing w:line="240" w:lineRule="auto"/>
        <w:ind w:firstLine="0"/>
        <w:rPr>
          <w:rFonts w:eastAsiaTheme="minorEastAsia"/>
        </w:rPr>
      </w:pPr>
    </w:p>
    <w:p w14:paraId="28CFF21D" w14:textId="77777777" w:rsidR="00CC3324" w:rsidRPr="004D46AC" w:rsidRDefault="00CC3324" w:rsidP="00D41749">
      <w:pPr>
        <w:spacing w:line="240" w:lineRule="auto"/>
        <w:ind w:firstLine="0"/>
        <w:rPr>
          <w:rFonts w:eastAsiaTheme="minorEastAsia"/>
        </w:rPr>
      </w:pPr>
    </w:p>
    <w:p w14:paraId="189F0FA0" w14:textId="77777777" w:rsidR="00CC3324" w:rsidRPr="004D46AC" w:rsidRDefault="00CC3324" w:rsidP="00D41749">
      <w:pPr>
        <w:spacing w:line="240" w:lineRule="auto"/>
        <w:ind w:firstLine="0"/>
        <w:rPr>
          <w:rFonts w:eastAsiaTheme="minorEastAsia"/>
        </w:rPr>
      </w:pPr>
    </w:p>
    <w:p w14:paraId="5D9EBFAB" w14:textId="77777777" w:rsidR="00CC3324" w:rsidRPr="004D46AC" w:rsidRDefault="00CC3324" w:rsidP="00D41749">
      <w:pPr>
        <w:spacing w:line="240" w:lineRule="auto"/>
        <w:ind w:firstLine="0"/>
        <w:rPr>
          <w:rFonts w:eastAsiaTheme="minorEastAsia"/>
        </w:rPr>
      </w:pPr>
    </w:p>
    <w:p w14:paraId="640D97EF" w14:textId="77777777" w:rsidR="00CC3324" w:rsidRPr="004D46AC" w:rsidRDefault="00CC3324" w:rsidP="00D41749">
      <w:pPr>
        <w:spacing w:line="240" w:lineRule="auto"/>
        <w:ind w:firstLine="0"/>
        <w:rPr>
          <w:rFonts w:eastAsiaTheme="minorEastAsia"/>
        </w:rPr>
      </w:pPr>
    </w:p>
    <w:p w14:paraId="7D07505E" w14:textId="77777777" w:rsidR="007075D9" w:rsidRPr="004D46AC" w:rsidRDefault="007075D9" w:rsidP="00D41749">
      <w:pPr>
        <w:spacing w:line="240" w:lineRule="auto"/>
        <w:ind w:firstLine="0"/>
      </w:pPr>
    </w:p>
    <w:p w14:paraId="1CA32FB8" w14:textId="77777777" w:rsidR="007075D9" w:rsidRPr="004D46AC" w:rsidRDefault="007075D9" w:rsidP="00D41749">
      <w:pPr>
        <w:spacing w:line="240" w:lineRule="auto"/>
        <w:ind w:firstLine="0"/>
      </w:pPr>
      <w:r w:rsidRPr="004D46AC">
        <w:rPr>
          <w:noProof/>
        </w:rPr>
        <w:lastRenderedPageBreak/>
        <w:drawing>
          <wp:inline distT="0" distB="0" distL="0" distR="0" wp14:anchorId="0D4DF950" wp14:editId="2CAB1024">
            <wp:extent cx="5272405" cy="2355215"/>
            <wp:effectExtent l="0" t="0" r="4445" b="6985"/>
            <wp:docPr id="935887266" name="图片 24"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87266" name="图片 24" descr="图片包含 文本&#10;&#10;AI 生成的内容可能不正确。"/>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272405" cy="2355215"/>
                    </a:xfrm>
                    <a:prstGeom prst="rect">
                      <a:avLst/>
                    </a:prstGeom>
                    <a:noFill/>
                    <a:ln>
                      <a:noFill/>
                    </a:ln>
                  </pic:spPr>
                </pic:pic>
              </a:graphicData>
            </a:graphic>
          </wp:inline>
        </w:drawing>
      </w:r>
    </w:p>
    <w:p w14:paraId="2EFAC5D1" w14:textId="7A396C25" w:rsidR="00D41749" w:rsidRPr="004D46AC" w:rsidRDefault="00D41749" w:rsidP="00D41749">
      <w:pPr>
        <w:spacing w:line="240" w:lineRule="auto"/>
        <w:ind w:firstLine="0"/>
        <w:rPr>
          <w:rFonts w:eastAsiaTheme="minorEastAsia"/>
          <w:b/>
          <w:bCs/>
        </w:rPr>
      </w:pPr>
      <w:bookmarkStart w:id="351" w:name="_Toc219880207"/>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25</w:t>
      </w:r>
      <w:bookmarkEnd w:id="351"/>
      <w:r w:rsidRPr="004D46AC">
        <w:rPr>
          <w:b/>
          <w:bCs/>
        </w:rPr>
        <w:fldChar w:fldCharType="end"/>
      </w:r>
    </w:p>
    <w:p w14:paraId="7CC5CFDE" w14:textId="0C5188D3" w:rsidR="007075D9" w:rsidRPr="004D46AC" w:rsidRDefault="007075D9" w:rsidP="00D41749">
      <w:pPr>
        <w:spacing w:line="240" w:lineRule="auto"/>
        <w:ind w:firstLine="0"/>
        <w:rPr>
          <w:i/>
          <w:iCs/>
        </w:rPr>
      </w:pPr>
      <w:r w:rsidRPr="004D46AC">
        <w:rPr>
          <w:i/>
          <w:iCs/>
        </w:rPr>
        <w:t>Pooled rate of current psychosis in bipolar patients with mixed episode</w:t>
      </w:r>
    </w:p>
    <w:p w14:paraId="4BC474B4" w14:textId="77777777" w:rsidR="007075D9" w:rsidRPr="004D46AC" w:rsidRDefault="007075D9" w:rsidP="00D41749">
      <w:pPr>
        <w:spacing w:line="240" w:lineRule="auto"/>
        <w:ind w:firstLine="0"/>
        <w:rPr>
          <w:b/>
          <w:bCs/>
          <w:i/>
          <w:iCs/>
        </w:rPr>
      </w:pPr>
    </w:p>
    <w:p w14:paraId="4ABDFD60" w14:textId="77777777" w:rsidR="007075D9" w:rsidRPr="004D46AC" w:rsidRDefault="007075D9" w:rsidP="00D41749">
      <w:pPr>
        <w:spacing w:line="240" w:lineRule="auto"/>
        <w:ind w:firstLine="0"/>
        <w:rPr>
          <w:b/>
          <w:bCs/>
          <w:i/>
          <w:iCs/>
        </w:rPr>
      </w:pPr>
    </w:p>
    <w:p w14:paraId="75AE197F" w14:textId="77777777" w:rsidR="007075D9" w:rsidRPr="004D46AC" w:rsidRDefault="007075D9" w:rsidP="00D41749">
      <w:pPr>
        <w:spacing w:line="240" w:lineRule="auto"/>
        <w:ind w:firstLine="0"/>
        <w:rPr>
          <w:b/>
          <w:bCs/>
          <w:i/>
          <w:iCs/>
        </w:rPr>
      </w:pPr>
    </w:p>
    <w:p w14:paraId="3315243C" w14:textId="77777777" w:rsidR="007075D9" w:rsidRPr="004D46AC" w:rsidRDefault="007075D9" w:rsidP="00D41749">
      <w:pPr>
        <w:spacing w:line="240" w:lineRule="auto"/>
        <w:ind w:firstLine="0"/>
        <w:rPr>
          <w:b/>
          <w:bCs/>
          <w:i/>
          <w:iCs/>
        </w:rPr>
      </w:pPr>
    </w:p>
    <w:p w14:paraId="4D1BD874" w14:textId="77777777" w:rsidR="007075D9" w:rsidRPr="004D46AC" w:rsidRDefault="007075D9" w:rsidP="00D41749">
      <w:pPr>
        <w:spacing w:line="240" w:lineRule="auto"/>
        <w:ind w:firstLine="0"/>
        <w:rPr>
          <w:b/>
          <w:bCs/>
          <w:i/>
          <w:iCs/>
        </w:rPr>
      </w:pPr>
    </w:p>
    <w:p w14:paraId="404BBEFF" w14:textId="77777777" w:rsidR="007075D9" w:rsidRPr="004D46AC" w:rsidRDefault="007075D9" w:rsidP="00D41749">
      <w:pPr>
        <w:spacing w:line="240" w:lineRule="auto"/>
        <w:ind w:firstLine="0"/>
        <w:rPr>
          <w:b/>
          <w:bCs/>
          <w:i/>
          <w:iCs/>
        </w:rPr>
      </w:pPr>
    </w:p>
    <w:p w14:paraId="34EB02D8" w14:textId="77777777" w:rsidR="007075D9" w:rsidRPr="004D46AC" w:rsidRDefault="007075D9" w:rsidP="00D41749">
      <w:pPr>
        <w:spacing w:line="240" w:lineRule="auto"/>
        <w:ind w:firstLine="0"/>
        <w:rPr>
          <w:b/>
          <w:bCs/>
          <w:i/>
          <w:iCs/>
        </w:rPr>
      </w:pPr>
    </w:p>
    <w:p w14:paraId="36D8F9E0" w14:textId="77777777" w:rsidR="007075D9" w:rsidRPr="004D46AC" w:rsidRDefault="007075D9" w:rsidP="00D41749">
      <w:pPr>
        <w:spacing w:line="240" w:lineRule="auto"/>
        <w:ind w:firstLine="0"/>
        <w:rPr>
          <w:b/>
          <w:bCs/>
          <w:i/>
          <w:iCs/>
        </w:rPr>
      </w:pPr>
    </w:p>
    <w:p w14:paraId="3CF6E54F" w14:textId="77777777" w:rsidR="007075D9" w:rsidRPr="004D46AC" w:rsidRDefault="007075D9" w:rsidP="00D41749">
      <w:pPr>
        <w:spacing w:line="240" w:lineRule="auto"/>
        <w:ind w:firstLine="0"/>
        <w:rPr>
          <w:b/>
          <w:bCs/>
          <w:i/>
          <w:iCs/>
        </w:rPr>
      </w:pPr>
    </w:p>
    <w:p w14:paraId="66C7E6DB" w14:textId="77777777" w:rsidR="007075D9" w:rsidRPr="004D46AC" w:rsidRDefault="007075D9" w:rsidP="00D41749">
      <w:pPr>
        <w:spacing w:line="240" w:lineRule="auto"/>
        <w:ind w:firstLine="0"/>
        <w:rPr>
          <w:b/>
          <w:bCs/>
          <w:i/>
          <w:iCs/>
        </w:rPr>
      </w:pPr>
    </w:p>
    <w:p w14:paraId="1DF053A0" w14:textId="77777777" w:rsidR="007075D9" w:rsidRPr="004D46AC" w:rsidRDefault="007075D9" w:rsidP="00D41749">
      <w:pPr>
        <w:spacing w:line="240" w:lineRule="auto"/>
        <w:ind w:firstLine="0"/>
        <w:rPr>
          <w:b/>
          <w:bCs/>
          <w:i/>
          <w:iCs/>
        </w:rPr>
      </w:pPr>
    </w:p>
    <w:p w14:paraId="27C4E277" w14:textId="77777777" w:rsidR="007075D9" w:rsidRPr="004D46AC" w:rsidRDefault="007075D9" w:rsidP="00D41749">
      <w:pPr>
        <w:spacing w:line="240" w:lineRule="auto"/>
        <w:ind w:firstLine="0"/>
        <w:rPr>
          <w:b/>
          <w:bCs/>
          <w:i/>
          <w:iCs/>
        </w:rPr>
      </w:pPr>
    </w:p>
    <w:p w14:paraId="4730B1B1" w14:textId="77777777" w:rsidR="007075D9" w:rsidRPr="004D46AC" w:rsidRDefault="007075D9" w:rsidP="00D41749">
      <w:pPr>
        <w:spacing w:line="240" w:lineRule="auto"/>
        <w:ind w:firstLine="0"/>
        <w:rPr>
          <w:b/>
          <w:bCs/>
          <w:i/>
          <w:iCs/>
        </w:rPr>
      </w:pPr>
    </w:p>
    <w:p w14:paraId="321DB190" w14:textId="77777777" w:rsidR="007075D9" w:rsidRPr="004D46AC" w:rsidRDefault="007075D9" w:rsidP="00D41749">
      <w:pPr>
        <w:spacing w:line="240" w:lineRule="auto"/>
        <w:ind w:firstLine="0"/>
        <w:rPr>
          <w:b/>
          <w:bCs/>
          <w:i/>
          <w:iCs/>
        </w:rPr>
      </w:pPr>
    </w:p>
    <w:p w14:paraId="3831A81F" w14:textId="77777777" w:rsidR="007075D9" w:rsidRPr="004D46AC" w:rsidRDefault="007075D9" w:rsidP="00D41749">
      <w:pPr>
        <w:spacing w:line="240" w:lineRule="auto"/>
        <w:ind w:firstLine="0"/>
        <w:rPr>
          <w:b/>
          <w:bCs/>
          <w:i/>
          <w:iCs/>
        </w:rPr>
      </w:pPr>
    </w:p>
    <w:p w14:paraId="640B79B0" w14:textId="77777777" w:rsidR="007075D9" w:rsidRPr="004D46AC" w:rsidRDefault="007075D9" w:rsidP="00D41749">
      <w:pPr>
        <w:spacing w:line="240" w:lineRule="auto"/>
        <w:ind w:firstLine="0"/>
        <w:rPr>
          <w:rFonts w:eastAsiaTheme="minorEastAsia"/>
          <w:b/>
          <w:bCs/>
          <w:i/>
          <w:iCs/>
        </w:rPr>
      </w:pPr>
    </w:p>
    <w:p w14:paraId="77924145" w14:textId="77777777" w:rsidR="00CC3324" w:rsidRPr="004D46AC" w:rsidRDefault="00CC3324" w:rsidP="00D41749">
      <w:pPr>
        <w:spacing w:line="240" w:lineRule="auto"/>
        <w:ind w:firstLine="0"/>
        <w:rPr>
          <w:rFonts w:eastAsiaTheme="minorEastAsia"/>
          <w:b/>
          <w:bCs/>
          <w:i/>
          <w:iCs/>
        </w:rPr>
      </w:pPr>
    </w:p>
    <w:p w14:paraId="41067294" w14:textId="77777777" w:rsidR="00CC3324" w:rsidRPr="004D46AC" w:rsidRDefault="00CC3324" w:rsidP="00D41749">
      <w:pPr>
        <w:spacing w:line="240" w:lineRule="auto"/>
        <w:ind w:firstLine="0"/>
        <w:rPr>
          <w:rFonts w:eastAsiaTheme="minorEastAsia"/>
          <w:b/>
          <w:bCs/>
          <w:i/>
          <w:iCs/>
        </w:rPr>
      </w:pPr>
    </w:p>
    <w:p w14:paraId="0577D7A2" w14:textId="77777777" w:rsidR="00CC3324" w:rsidRPr="004D46AC" w:rsidRDefault="00CC3324" w:rsidP="00D41749">
      <w:pPr>
        <w:spacing w:line="240" w:lineRule="auto"/>
        <w:ind w:firstLine="0"/>
        <w:rPr>
          <w:rFonts w:eastAsiaTheme="minorEastAsia"/>
          <w:b/>
          <w:bCs/>
          <w:i/>
          <w:iCs/>
        </w:rPr>
      </w:pPr>
    </w:p>
    <w:p w14:paraId="25094B93" w14:textId="77777777" w:rsidR="00CC3324" w:rsidRPr="004D46AC" w:rsidRDefault="00CC3324" w:rsidP="00D41749">
      <w:pPr>
        <w:spacing w:line="240" w:lineRule="auto"/>
        <w:ind w:firstLine="0"/>
        <w:rPr>
          <w:rFonts w:eastAsiaTheme="minorEastAsia"/>
          <w:b/>
          <w:bCs/>
          <w:i/>
          <w:iCs/>
        </w:rPr>
      </w:pPr>
    </w:p>
    <w:p w14:paraId="064F04AE" w14:textId="77777777" w:rsidR="00CC3324" w:rsidRPr="004D46AC" w:rsidRDefault="00CC3324" w:rsidP="00D41749">
      <w:pPr>
        <w:spacing w:line="240" w:lineRule="auto"/>
        <w:ind w:firstLine="0"/>
        <w:rPr>
          <w:rFonts w:eastAsiaTheme="minorEastAsia"/>
          <w:b/>
          <w:bCs/>
          <w:i/>
          <w:iCs/>
        </w:rPr>
      </w:pPr>
    </w:p>
    <w:p w14:paraId="7D661D36" w14:textId="77777777" w:rsidR="00CC3324" w:rsidRPr="004D46AC" w:rsidRDefault="00CC3324" w:rsidP="00D41749">
      <w:pPr>
        <w:spacing w:line="240" w:lineRule="auto"/>
        <w:ind w:firstLine="0"/>
        <w:rPr>
          <w:rFonts w:eastAsiaTheme="minorEastAsia"/>
          <w:b/>
          <w:bCs/>
          <w:i/>
          <w:iCs/>
        </w:rPr>
      </w:pPr>
    </w:p>
    <w:p w14:paraId="1050D8F8" w14:textId="77777777" w:rsidR="00CC3324" w:rsidRPr="004D46AC" w:rsidRDefault="00CC3324" w:rsidP="00D41749">
      <w:pPr>
        <w:spacing w:line="240" w:lineRule="auto"/>
        <w:ind w:firstLine="0"/>
        <w:rPr>
          <w:rFonts w:eastAsiaTheme="minorEastAsia"/>
          <w:b/>
          <w:bCs/>
          <w:i/>
          <w:iCs/>
        </w:rPr>
      </w:pPr>
    </w:p>
    <w:p w14:paraId="09F1345C" w14:textId="77777777" w:rsidR="00CC3324" w:rsidRPr="004D46AC" w:rsidRDefault="00CC3324" w:rsidP="00D41749">
      <w:pPr>
        <w:spacing w:line="240" w:lineRule="auto"/>
        <w:ind w:firstLine="0"/>
        <w:rPr>
          <w:rFonts w:eastAsiaTheme="minorEastAsia"/>
          <w:b/>
          <w:bCs/>
          <w:i/>
          <w:iCs/>
        </w:rPr>
      </w:pPr>
    </w:p>
    <w:p w14:paraId="13016671" w14:textId="77777777" w:rsidR="00CC3324" w:rsidRPr="004D46AC" w:rsidRDefault="00CC3324" w:rsidP="00D41749">
      <w:pPr>
        <w:spacing w:line="240" w:lineRule="auto"/>
        <w:ind w:firstLine="0"/>
        <w:rPr>
          <w:rFonts w:eastAsiaTheme="minorEastAsia"/>
          <w:b/>
          <w:bCs/>
          <w:i/>
          <w:iCs/>
        </w:rPr>
      </w:pPr>
    </w:p>
    <w:p w14:paraId="69DF16A2" w14:textId="77777777" w:rsidR="00CC3324" w:rsidRPr="004D46AC" w:rsidRDefault="00CC3324" w:rsidP="00D41749">
      <w:pPr>
        <w:spacing w:line="240" w:lineRule="auto"/>
        <w:ind w:firstLine="0"/>
        <w:rPr>
          <w:rFonts w:eastAsiaTheme="minorEastAsia"/>
          <w:b/>
          <w:bCs/>
          <w:i/>
          <w:iCs/>
        </w:rPr>
      </w:pPr>
    </w:p>
    <w:p w14:paraId="3D30DFC4" w14:textId="77777777" w:rsidR="00CC3324" w:rsidRPr="004D46AC" w:rsidRDefault="00CC3324" w:rsidP="00D41749">
      <w:pPr>
        <w:spacing w:line="240" w:lineRule="auto"/>
        <w:ind w:firstLine="0"/>
        <w:rPr>
          <w:rFonts w:eastAsiaTheme="minorEastAsia"/>
          <w:b/>
          <w:bCs/>
          <w:i/>
          <w:iCs/>
        </w:rPr>
      </w:pPr>
    </w:p>
    <w:p w14:paraId="40B1CE97" w14:textId="77777777" w:rsidR="00CC3324" w:rsidRPr="004D46AC" w:rsidRDefault="00CC3324" w:rsidP="00D41749">
      <w:pPr>
        <w:spacing w:line="240" w:lineRule="auto"/>
        <w:ind w:firstLine="0"/>
        <w:rPr>
          <w:rFonts w:eastAsiaTheme="minorEastAsia"/>
          <w:b/>
          <w:bCs/>
          <w:i/>
          <w:iCs/>
        </w:rPr>
      </w:pPr>
    </w:p>
    <w:p w14:paraId="7AD810DD" w14:textId="77777777" w:rsidR="00CC3324" w:rsidRPr="004D46AC" w:rsidRDefault="00CC3324" w:rsidP="00D41749">
      <w:pPr>
        <w:spacing w:line="240" w:lineRule="auto"/>
        <w:ind w:firstLine="0"/>
        <w:rPr>
          <w:rFonts w:eastAsiaTheme="minorEastAsia"/>
          <w:b/>
          <w:bCs/>
          <w:i/>
          <w:iCs/>
        </w:rPr>
      </w:pPr>
    </w:p>
    <w:p w14:paraId="27483945" w14:textId="77777777" w:rsidR="007075D9" w:rsidRPr="004D46AC" w:rsidRDefault="007075D9" w:rsidP="00D41749">
      <w:pPr>
        <w:spacing w:line="240" w:lineRule="auto"/>
        <w:ind w:firstLine="0"/>
        <w:rPr>
          <w:b/>
          <w:bCs/>
          <w:i/>
          <w:iCs/>
        </w:rPr>
      </w:pPr>
    </w:p>
    <w:p w14:paraId="18C9C7DD"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686F037B" wp14:editId="05E582F8">
            <wp:extent cx="2453640" cy="1330960"/>
            <wp:effectExtent l="0" t="0" r="3810" b="2540"/>
            <wp:docPr id="253981593" name="图片 2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81593" name="图片 23" descr="图表&#10;&#10;AI 生成的内容可能不正确。"/>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453640" cy="133096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50DE0C2E" wp14:editId="7186215E">
            <wp:extent cx="2453640" cy="1365885"/>
            <wp:effectExtent l="0" t="0" r="3810" b="5715"/>
            <wp:docPr id="1060634516" name="图片 22"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34516" name="图片 22" descr="图表, 散点图&#10;&#10;AI 生成的内容可能不正确。"/>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453640" cy="1365885"/>
                    </a:xfrm>
                    <a:prstGeom prst="rect">
                      <a:avLst/>
                    </a:prstGeom>
                    <a:noFill/>
                    <a:ln>
                      <a:noFill/>
                    </a:ln>
                  </pic:spPr>
                </pic:pic>
              </a:graphicData>
            </a:graphic>
          </wp:inline>
        </w:drawing>
      </w:r>
    </w:p>
    <w:p w14:paraId="10051AD1"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528CC834" w14:textId="223895BE" w:rsidR="00D41749" w:rsidRPr="004D46AC" w:rsidRDefault="00D41749" w:rsidP="00D41749">
      <w:pPr>
        <w:spacing w:line="240" w:lineRule="auto"/>
        <w:ind w:firstLine="0"/>
        <w:rPr>
          <w:rFonts w:eastAsiaTheme="minorEastAsia"/>
          <w:b/>
          <w:bCs/>
        </w:rPr>
      </w:pPr>
      <w:bookmarkStart w:id="352" w:name="_Toc219880208"/>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26</w:t>
      </w:r>
      <w:bookmarkEnd w:id="352"/>
      <w:r w:rsidRPr="004D46AC">
        <w:rPr>
          <w:b/>
          <w:bCs/>
        </w:rPr>
        <w:fldChar w:fldCharType="end"/>
      </w:r>
    </w:p>
    <w:p w14:paraId="416A57D3" w14:textId="77777777" w:rsidR="007075D9" w:rsidRPr="004D46AC" w:rsidRDefault="007075D9" w:rsidP="00D41749">
      <w:pPr>
        <w:spacing w:line="240" w:lineRule="auto"/>
        <w:ind w:firstLine="0"/>
        <w:rPr>
          <w:i/>
          <w:iCs/>
        </w:rPr>
      </w:pPr>
      <w:r w:rsidRPr="004D46AC">
        <w:rPr>
          <w:i/>
          <w:iCs/>
        </w:rPr>
        <w:t>Funnel plots for current psychosis in bipolar patients with mixed episode</w:t>
      </w:r>
    </w:p>
    <w:p w14:paraId="27B7FE23" w14:textId="77777777" w:rsidR="007075D9" w:rsidRPr="004D46AC" w:rsidRDefault="007075D9" w:rsidP="00D41749">
      <w:pPr>
        <w:spacing w:line="240" w:lineRule="auto"/>
        <w:ind w:firstLine="0"/>
        <w:rPr>
          <w:b/>
          <w:bCs/>
          <w:i/>
          <w:iCs/>
        </w:rPr>
      </w:pPr>
    </w:p>
    <w:p w14:paraId="589D5F4D" w14:textId="77777777" w:rsidR="007075D9" w:rsidRPr="004D46AC" w:rsidRDefault="007075D9" w:rsidP="00D41749">
      <w:pPr>
        <w:spacing w:line="240" w:lineRule="auto"/>
        <w:ind w:firstLine="0"/>
        <w:rPr>
          <w:b/>
          <w:bCs/>
          <w:i/>
          <w:iCs/>
        </w:rPr>
      </w:pPr>
    </w:p>
    <w:p w14:paraId="285DFDF7" w14:textId="77777777" w:rsidR="007075D9" w:rsidRPr="004D46AC" w:rsidRDefault="007075D9" w:rsidP="00D41749">
      <w:pPr>
        <w:spacing w:line="240" w:lineRule="auto"/>
        <w:ind w:firstLine="0"/>
        <w:rPr>
          <w:b/>
          <w:bCs/>
          <w:i/>
          <w:iCs/>
        </w:rPr>
      </w:pPr>
    </w:p>
    <w:p w14:paraId="38E4C346" w14:textId="77777777" w:rsidR="007075D9" w:rsidRPr="004D46AC" w:rsidRDefault="007075D9" w:rsidP="00D41749">
      <w:pPr>
        <w:spacing w:line="240" w:lineRule="auto"/>
        <w:ind w:firstLine="0"/>
        <w:rPr>
          <w:b/>
          <w:bCs/>
          <w:i/>
          <w:iCs/>
        </w:rPr>
      </w:pPr>
    </w:p>
    <w:p w14:paraId="3B242667" w14:textId="77777777" w:rsidR="007075D9" w:rsidRPr="004D46AC" w:rsidRDefault="007075D9" w:rsidP="00D41749">
      <w:pPr>
        <w:spacing w:line="240" w:lineRule="auto"/>
        <w:ind w:firstLine="0"/>
        <w:rPr>
          <w:b/>
          <w:bCs/>
          <w:i/>
          <w:iCs/>
        </w:rPr>
      </w:pPr>
    </w:p>
    <w:p w14:paraId="74E20C51" w14:textId="77777777" w:rsidR="007075D9" w:rsidRPr="004D46AC" w:rsidRDefault="007075D9" w:rsidP="00D41749">
      <w:pPr>
        <w:spacing w:line="240" w:lineRule="auto"/>
        <w:ind w:firstLine="0"/>
        <w:rPr>
          <w:b/>
          <w:bCs/>
          <w:i/>
          <w:iCs/>
        </w:rPr>
      </w:pPr>
    </w:p>
    <w:p w14:paraId="1EFF6388" w14:textId="77777777" w:rsidR="007075D9" w:rsidRPr="004D46AC" w:rsidRDefault="007075D9" w:rsidP="00D41749">
      <w:pPr>
        <w:spacing w:line="240" w:lineRule="auto"/>
        <w:ind w:firstLine="0"/>
        <w:rPr>
          <w:b/>
          <w:bCs/>
          <w:i/>
          <w:iCs/>
        </w:rPr>
      </w:pPr>
    </w:p>
    <w:p w14:paraId="469A25A8" w14:textId="77777777" w:rsidR="007075D9" w:rsidRPr="004D46AC" w:rsidRDefault="007075D9" w:rsidP="00D41749">
      <w:pPr>
        <w:spacing w:line="240" w:lineRule="auto"/>
        <w:ind w:firstLine="0"/>
        <w:rPr>
          <w:b/>
          <w:bCs/>
          <w:i/>
          <w:iCs/>
        </w:rPr>
      </w:pPr>
    </w:p>
    <w:p w14:paraId="22A3824A" w14:textId="77777777" w:rsidR="007075D9" w:rsidRPr="004D46AC" w:rsidRDefault="007075D9" w:rsidP="00D41749">
      <w:pPr>
        <w:spacing w:line="240" w:lineRule="auto"/>
        <w:ind w:firstLine="0"/>
        <w:rPr>
          <w:b/>
          <w:bCs/>
          <w:i/>
          <w:iCs/>
        </w:rPr>
      </w:pPr>
    </w:p>
    <w:p w14:paraId="75CA05B4" w14:textId="77777777" w:rsidR="007075D9" w:rsidRPr="004D46AC" w:rsidRDefault="007075D9" w:rsidP="00D41749">
      <w:pPr>
        <w:spacing w:line="240" w:lineRule="auto"/>
        <w:ind w:firstLine="0"/>
        <w:rPr>
          <w:b/>
          <w:bCs/>
          <w:i/>
          <w:iCs/>
        </w:rPr>
      </w:pPr>
    </w:p>
    <w:p w14:paraId="6249CCC4" w14:textId="77777777" w:rsidR="007075D9" w:rsidRPr="004D46AC" w:rsidRDefault="007075D9" w:rsidP="00D41749">
      <w:pPr>
        <w:spacing w:line="240" w:lineRule="auto"/>
        <w:ind w:firstLine="0"/>
        <w:rPr>
          <w:b/>
          <w:bCs/>
          <w:i/>
          <w:iCs/>
        </w:rPr>
      </w:pPr>
    </w:p>
    <w:p w14:paraId="44415724" w14:textId="77777777" w:rsidR="007075D9" w:rsidRPr="004D46AC" w:rsidRDefault="007075D9" w:rsidP="00D41749">
      <w:pPr>
        <w:spacing w:line="240" w:lineRule="auto"/>
        <w:ind w:firstLine="0"/>
        <w:rPr>
          <w:b/>
          <w:bCs/>
          <w:i/>
          <w:iCs/>
        </w:rPr>
      </w:pPr>
    </w:p>
    <w:p w14:paraId="19B8D50D" w14:textId="77777777" w:rsidR="007075D9" w:rsidRPr="004D46AC" w:rsidRDefault="007075D9" w:rsidP="00D41749">
      <w:pPr>
        <w:spacing w:line="240" w:lineRule="auto"/>
        <w:ind w:firstLine="0"/>
        <w:rPr>
          <w:b/>
          <w:bCs/>
          <w:i/>
          <w:iCs/>
        </w:rPr>
      </w:pPr>
    </w:p>
    <w:p w14:paraId="62D20673" w14:textId="77777777" w:rsidR="007075D9" w:rsidRPr="004D46AC" w:rsidRDefault="007075D9" w:rsidP="00D41749">
      <w:pPr>
        <w:spacing w:line="240" w:lineRule="auto"/>
        <w:ind w:firstLine="0"/>
        <w:rPr>
          <w:b/>
          <w:bCs/>
          <w:i/>
          <w:iCs/>
        </w:rPr>
      </w:pPr>
    </w:p>
    <w:p w14:paraId="2E4E427E" w14:textId="77777777" w:rsidR="007075D9" w:rsidRPr="004D46AC" w:rsidRDefault="007075D9" w:rsidP="00D41749">
      <w:pPr>
        <w:spacing w:line="240" w:lineRule="auto"/>
        <w:ind w:firstLine="0"/>
        <w:rPr>
          <w:b/>
          <w:bCs/>
          <w:i/>
          <w:iCs/>
        </w:rPr>
      </w:pPr>
    </w:p>
    <w:p w14:paraId="0B59B804" w14:textId="77777777" w:rsidR="007075D9" w:rsidRPr="004D46AC" w:rsidRDefault="007075D9" w:rsidP="00D41749">
      <w:pPr>
        <w:spacing w:line="240" w:lineRule="auto"/>
        <w:ind w:firstLine="0"/>
        <w:rPr>
          <w:b/>
          <w:bCs/>
          <w:i/>
          <w:iCs/>
        </w:rPr>
      </w:pPr>
    </w:p>
    <w:p w14:paraId="0BF51592" w14:textId="77777777" w:rsidR="007075D9" w:rsidRPr="004D46AC" w:rsidRDefault="007075D9" w:rsidP="00D41749">
      <w:pPr>
        <w:spacing w:line="240" w:lineRule="auto"/>
        <w:ind w:firstLine="0"/>
        <w:rPr>
          <w:rFonts w:eastAsiaTheme="minorEastAsia"/>
          <w:b/>
          <w:bCs/>
          <w:i/>
          <w:iCs/>
        </w:rPr>
      </w:pPr>
    </w:p>
    <w:p w14:paraId="38E34753" w14:textId="77777777" w:rsidR="00CC3324" w:rsidRPr="004D46AC" w:rsidRDefault="00CC3324" w:rsidP="00D41749">
      <w:pPr>
        <w:spacing w:line="240" w:lineRule="auto"/>
        <w:ind w:firstLine="0"/>
        <w:rPr>
          <w:rFonts w:eastAsiaTheme="minorEastAsia"/>
          <w:b/>
          <w:bCs/>
          <w:i/>
          <w:iCs/>
        </w:rPr>
      </w:pPr>
    </w:p>
    <w:p w14:paraId="233004C9" w14:textId="77777777" w:rsidR="00CC3324" w:rsidRPr="004D46AC" w:rsidRDefault="00CC3324" w:rsidP="00D41749">
      <w:pPr>
        <w:spacing w:line="240" w:lineRule="auto"/>
        <w:ind w:firstLine="0"/>
        <w:rPr>
          <w:rFonts w:eastAsiaTheme="minorEastAsia"/>
          <w:b/>
          <w:bCs/>
          <w:i/>
          <w:iCs/>
        </w:rPr>
      </w:pPr>
    </w:p>
    <w:p w14:paraId="64A0FD63" w14:textId="77777777" w:rsidR="00CC3324" w:rsidRPr="004D46AC" w:rsidRDefault="00CC3324" w:rsidP="00D41749">
      <w:pPr>
        <w:spacing w:line="240" w:lineRule="auto"/>
        <w:ind w:firstLine="0"/>
        <w:rPr>
          <w:rFonts w:eastAsiaTheme="minorEastAsia"/>
          <w:b/>
          <w:bCs/>
          <w:i/>
          <w:iCs/>
        </w:rPr>
      </w:pPr>
    </w:p>
    <w:p w14:paraId="33AB42BF" w14:textId="77777777" w:rsidR="00CC3324" w:rsidRPr="004D46AC" w:rsidRDefault="00CC3324" w:rsidP="00D41749">
      <w:pPr>
        <w:spacing w:line="240" w:lineRule="auto"/>
        <w:ind w:firstLine="0"/>
        <w:rPr>
          <w:rFonts w:eastAsiaTheme="minorEastAsia"/>
          <w:b/>
          <w:bCs/>
          <w:i/>
          <w:iCs/>
        </w:rPr>
      </w:pPr>
    </w:p>
    <w:p w14:paraId="5E1FA2D4" w14:textId="77777777" w:rsidR="00CC3324" w:rsidRPr="004D46AC" w:rsidRDefault="00CC3324" w:rsidP="00D41749">
      <w:pPr>
        <w:spacing w:line="240" w:lineRule="auto"/>
        <w:ind w:firstLine="0"/>
        <w:rPr>
          <w:rFonts w:eastAsiaTheme="minorEastAsia"/>
          <w:b/>
          <w:bCs/>
          <w:i/>
          <w:iCs/>
        </w:rPr>
      </w:pPr>
    </w:p>
    <w:p w14:paraId="3E0A0466" w14:textId="77777777" w:rsidR="00CC3324" w:rsidRPr="004D46AC" w:rsidRDefault="00CC3324" w:rsidP="00D41749">
      <w:pPr>
        <w:spacing w:line="240" w:lineRule="auto"/>
        <w:ind w:firstLine="0"/>
        <w:rPr>
          <w:rFonts w:eastAsiaTheme="minorEastAsia"/>
          <w:b/>
          <w:bCs/>
          <w:i/>
          <w:iCs/>
        </w:rPr>
      </w:pPr>
    </w:p>
    <w:p w14:paraId="54494AA5" w14:textId="77777777" w:rsidR="007075D9" w:rsidRPr="004D46AC" w:rsidRDefault="007075D9" w:rsidP="00D41749">
      <w:pPr>
        <w:spacing w:line="240" w:lineRule="auto"/>
        <w:ind w:firstLine="0"/>
        <w:rPr>
          <w:b/>
          <w:bCs/>
          <w:i/>
          <w:iCs/>
        </w:rPr>
      </w:pPr>
    </w:p>
    <w:p w14:paraId="1AC17628" w14:textId="77777777" w:rsidR="007075D9" w:rsidRPr="004D46AC" w:rsidRDefault="007075D9" w:rsidP="00D41749">
      <w:pPr>
        <w:spacing w:line="240" w:lineRule="auto"/>
        <w:ind w:firstLine="0"/>
      </w:pPr>
    </w:p>
    <w:p w14:paraId="0ADEAAAF"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41BAF920" wp14:editId="3CF422B5">
            <wp:extent cx="5278120" cy="3246755"/>
            <wp:effectExtent l="0" t="0" r="0" b="0"/>
            <wp:docPr id="1880333517" name="图片 2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33517" name="图片 21" descr="表格&#10;&#10;AI 生成的内容可能不正确。"/>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278120" cy="3246755"/>
                    </a:xfrm>
                    <a:prstGeom prst="rect">
                      <a:avLst/>
                    </a:prstGeom>
                    <a:noFill/>
                    <a:ln>
                      <a:noFill/>
                    </a:ln>
                  </pic:spPr>
                </pic:pic>
              </a:graphicData>
            </a:graphic>
          </wp:inline>
        </w:drawing>
      </w:r>
    </w:p>
    <w:p w14:paraId="3673B2B7" w14:textId="51FEDA32" w:rsidR="00D41749" w:rsidRPr="004D46AC" w:rsidRDefault="00D41749" w:rsidP="00D41749">
      <w:pPr>
        <w:spacing w:line="240" w:lineRule="auto"/>
        <w:ind w:firstLine="0"/>
        <w:rPr>
          <w:rFonts w:eastAsiaTheme="minorEastAsia"/>
          <w:b/>
          <w:bCs/>
        </w:rPr>
      </w:pPr>
      <w:bookmarkStart w:id="353" w:name="_Toc219880209"/>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27</w:t>
      </w:r>
      <w:bookmarkEnd w:id="353"/>
      <w:r w:rsidRPr="004D46AC">
        <w:rPr>
          <w:b/>
          <w:bCs/>
        </w:rPr>
        <w:fldChar w:fldCharType="end"/>
      </w:r>
    </w:p>
    <w:p w14:paraId="044E5986" w14:textId="13DD9397" w:rsidR="007075D9" w:rsidRPr="004D46AC" w:rsidRDefault="007075D9" w:rsidP="00D41749">
      <w:pPr>
        <w:spacing w:line="240" w:lineRule="auto"/>
        <w:ind w:firstLine="0"/>
        <w:rPr>
          <w:i/>
          <w:iCs/>
        </w:rPr>
      </w:pPr>
      <w:r w:rsidRPr="004D46AC">
        <w:rPr>
          <w:i/>
          <w:iCs/>
        </w:rPr>
        <w:t xml:space="preserve">Pooled rate of first episode psychosis in bipolar patients </w:t>
      </w:r>
    </w:p>
    <w:p w14:paraId="4CCD23D3" w14:textId="77777777" w:rsidR="007075D9" w:rsidRPr="004D46AC" w:rsidRDefault="007075D9" w:rsidP="00D41749">
      <w:pPr>
        <w:spacing w:line="240" w:lineRule="auto"/>
        <w:ind w:firstLine="0"/>
        <w:rPr>
          <w:b/>
          <w:bCs/>
          <w:i/>
          <w:iCs/>
        </w:rPr>
      </w:pPr>
    </w:p>
    <w:p w14:paraId="74E42DB1" w14:textId="77777777" w:rsidR="007075D9" w:rsidRPr="004D46AC" w:rsidRDefault="007075D9" w:rsidP="00D41749">
      <w:pPr>
        <w:spacing w:line="240" w:lineRule="auto"/>
        <w:ind w:firstLine="0"/>
        <w:rPr>
          <w:b/>
          <w:bCs/>
          <w:i/>
          <w:iCs/>
        </w:rPr>
      </w:pPr>
    </w:p>
    <w:p w14:paraId="70B9C98C" w14:textId="77777777" w:rsidR="007075D9" w:rsidRPr="004D46AC" w:rsidRDefault="007075D9" w:rsidP="00D41749">
      <w:pPr>
        <w:spacing w:line="240" w:lineRule="auto"/>
        <w:ind w:firstLine="0"/>
        <w:rPr>
          <w:b/>
          <w:bCs/>
          <w:i/>
          <w:iCs/>
        </w:rPr>
      </w:pPr>
    </w:p>
    <w:p w14:paraId="2275EF94" w14:textId="77777777" w:rsidR="007075D9" w:rsidRPr="004D46AC" w:rsidRDefault="007075D9" w:rsidP="00D41749">
      <w:pPr>
        <w:spacing w:line="240" w:lineRule="auto"/>
        <w:ind w:firstLine="0"/>
        <w:rPr>
          <w:b/>
          <w:bCs/>
          <w:i/>
          <w:iCs/>
        </w:rPr>
      </w:pPr>
    </w:p>
    <w:p w14:paraId="2174D403" w14:textId="77777777" w:rsidR="007075D9" w:rsidRPr="004D46AC" w:rsidRDefault="007075D9" w:rsidP="00D41749">
      <w:pPr>
        <w:spacing w:line="240" w:lineRule="auto"/>
        <w:ind w:firstLine="0"/>
        <w:rPr>
          <w:b/>
          <w:bCs/>
          <w:i/>
          <w:iCs/>
        </w:rPr>
      </w:pPr>
    </w:p>
    <w:p w14:paraId="19F6495D" w14:textId="77777777" w:rsidR="007075D9" w:rsidRPr="004D46AC" w:rsidRDefault="007075D9" w:rsidP="00D41749">
      <w:pPr>
        <w:spacing w:line="240" w:lineRule="auto"/>
        <w:ind w:firstLine="0"/>
        <w:rPr>
          <w:b/>
          <w:bCs/>
          <w:i/>
          <w:iCs/>
        </w:rPr>
      </w:pPr>
    </w:p>
    <w:p w14:paraId="18693933" w14:textId="77777777" w:rsidR="007075D9" w:rsidRPr="004D46AC" w:rsidRDefault="007075D9" w:rsidP="00D41749">
      <w:pPr>
        <w:spacing w:line="240" w:lineRule="auto"/>
        <w:ind w:firstLine="0"/>
        <w:rPr>
          <w:b/>
          <w:bCs/>
          <w:i/>
          <w:iCs/>
        </w:rPr>
      </w:pPr>
    </w:p>
    <w:p w14:paraId="17C406C9" w14:textId="77777777" w:rsidR="007075D9" w:rsidRPr="004D46AC" w:rsidRDefault="007075D9" w:rsidP="00D41749">
      <w:pPr>
        <w:spacing w:line="240" w:lineRule="auto"/>
        <w:ind w:firstLine="0"/>
        <w:rPr>
          <w:b/>
          <w:bCs/>
          <w:i/>
          <w:iCs/>
        </w:rPr>
      </w:pPr>
    </w:p>
    <w:p w14:paraId="56451BC5" w14:textId="77777777" w:rsidR="007075D9" w:rsidRPr="004D46AC" w:rsidRDefault="007075D9" w:rsidP="00D41749">
      <w:pPr>
        <w:spacing w:line="240" w:lineRule="auto"/>
        <w:ind w:firstLine="0"/>
        <w:rPr>
          <w:b/>
          <w:bCs/>
          <w:i/>
          <w:iCs/>
        </w:rPr>
      </w:pPr>
    </w:p>
    <w:p w14:paraId="34472ABC" w14:textId="77777777" w:rsidR="007075D9" w:rsidRPr="004D46AC" w:rsidRDefault="007075D9" w:rsidP="00D41749">
      <w:pPr>
        <w:spacing w:line="240" w:lineRule="auto"/>
        <w:ind w:firstLine="0"/>
        <w:rPr>
          <w:b/>
          <w:bCs/>
          <w:i/>
          <w:iCs/>
        </w:rPr>
      </w:pPr>
    </w:p>
    <w:p w14:paraId="293F43CB" w14:textId="77777777" w:rsidR="007075D9" w:rsidRPr="004D46AC" w:rsidRDefault="007075D9" w:rsidP="00D41749">
      <w:pPr>
        <w:spacing w:line="240" w:lineRule="auto"/>
        <w:ind w:firstLine="0"/>
        <w:rPr>
          <w:b/>
          <w:bCs/>
          <w:i/>
          <w:iCs/>
        </w:rPr>
      </w:pPr>
    </w:p>
    <w:p w14:paraId="7B187FE2" w14:textId="77777777" w:rsidR="007075D9" w:rsidRPr="004D46AC" w:rsidRDefault="007075D9" w:rsidP="00D41749">
      <w:pPr>
        <w:spacing w:line="240" w:lineRule="auto"/>
        <w:ind w:firstLine="0"/>
        <w:rPr>
          <w:rFonts w:eastAsiaTheme="minorEastAsia"/>
          <w:b/>
          <w:bCs/>
          <w:i/>
          <w:iCs/>
        </w:rPr>
      </w:pPr>
    </w:p>
    <w:p w14:paraId="35144598" w14:textId="77777777" w:rsidR="00CC3324" w:rsidRPr="004D46AC" w:rsidRDefault="00CC3324" w:rsidP="00D41749">
      <w:pPr>
        <w:spacing w:line="240" w:lineRule="auto"/>
        <w:ind w:firstLine="0"/>
        <w:rPr>
          <w:rFonts w:eastAsiaTheme="minorEastAsia"/>
          <w:b/>
          <w:bCs/>
          <w:i/>
          <w:iCs/>
        </w:rPr>
      </w:pPr>
    </w:p>
    <w:p w14:paraId="5CDC1C7C" w14:textId="77777777" w:rsidR="00CC3324" w:rsidRPr="004D46AC" w:rsidRDefault="00CC3324" w:rsidP="00D41749">
      <w:pPr>
        <w:spacing w:line="240" w:lineRule="auto"/>
        <w:ind w:firstLine="0"/>
        <w:rPr>
          <w:rFonts w:eastAsiaTheme="minorEastAsia"/>
          <w:b/>
          <w:bCs/>
          <w:i/>
          <w:iCs/>
        </w:rPr>
      </w:pPr>
    </w:p>
    <w:p w14:paraId="71769994" w14:textId="77777777" w:rsidR="00CC3324" w:rsidRPr="004D46AC" w:rsidRDefault="00CC3324" w:rsidP="00D41749">
      <w:pPr>
        <w:spacing w:line="240" w:lineRule="auto"/>
        <w:ind w:firstLine="0"/>
        <w:rPr>
          <w:rFonts w:eastAsiaTheme="minorEastAsia"/>
          <w:b/>
          <w:bCs/>
          <w:i/>
          <w:iCs/>
        </w:rPr>
      </w:pPr>
    </w:p>
    <w:p w14:paraId="77CC7A08" w14:textId="77777777" w:rsidR="00CC3324" w:rsidRPr="004D46AC" w:rsidRDefault="00CC3324" w:rsidP="00D41749">
      <w:pPr>
        <w:spacing w:line="240" w:lineRule="auto"/>
        <w:ind w:firstLine="0"/>
        <w:rPr>
          <w:rFonts w:eastAsiaTheme="minorEastAsia"/>
          <w:b/>
          <w:bCs/>
          <w:i/>
          <w:iCs/>
        </w:rPr>
      </w:pPr>
    </w:p>
    <w:p w14:paraId="12AEFFDC" w14:textId="77777777" w:rsidR="00CC3324" w:rsidRPr="004D46AC" w:rsidRDefault="00CC3324" w:rsidP="00D41749">
      <w:pPr>
        <w:spacing w:line="240" w:lineRule="auto"/>
        <w:ind w:firstLine="0"/>
        <w:rPr>
          <w:rFonts w:eastAsiaTheme="minorEastAsia"/>
          <w:b/>
          <w:bCs/>
          <w:i/>
          <w:iCs/>
        </w:rPr>
      </w:pPr>
    </w:p>
    <w:p w14:paraId="5FCCFB97" w14:textId="77777777" w:rsidR="00CC3324" w:rsidRPr="004D46AC" w:rsidRDefault="00CC3324" w:rsidP="00D41749">
      <w:pPr>
        <w:spacing w:line="240" w:lineRule="auto"/>
        <w:ind w:firstLine="0"/>
        <w:rPr>
          <w:rFonts w:eastAsiaTheme="minorEastAsia"/>
          <w:b/>
          <w:bCs/>
          <w:i/>
          <w:iCs/>
        </w:rPr>
      </w:pPr>
    </w:p>
    <w:p w14:paraId="0D782290" w14:textId="77777777" w:rsidR="00CC3324" w:rsidRPr="004D46AC" w:rsidRDefault="00CC3324" w:rsidP="00D41749">
      <w:pPr>
        <w:spacing w:line="240" w:lineRule="auto"/>
        <w:ind w:firstLine="0"/>
        <w:rPr>
          <w:rFonts w:eastAsiaTheme="minorEastAsia"/>
          <w:b/>
          <w:bCs/>
          <w:i/>
          <w:iCs/>
        </w:rPr>
      </w:pPr>
    </w:p>
    <w:p w14:paraId="318F7D4B" w14:textId="77777777" w:rsidR="00CC3324" w:rsidRPr="004D46AC" w:rsidRDefault="00CC3324" w:rsidP="00D41749">
      <w:pPr>
        <w:spacing w:line="240" w:lineRule="auto"/>
        <w:ind w:firstLine="0"/>
        <w:rPr>
          <w:rFonts w:eastAsiaTheme="minorEastAsia"/>
          <w:b/>
          <w:bCs/>
          <w:i/>
          <w:iCs/>
        </w:rPr>
      </w:pPr>
    </w:p>
    <w:p w14:paraId="22A5583C" w14:textId="77777777" w:rsidR="00CC3324" w:rsidRPr="004D46AC" w:rsidRDefault="00CC3324" w:rsidP="00D41749">
      <w:pPr>
        <w:spacing w:line="240" w:lineRule="auto"/>
        <w:ind w:firstLine="0"/>
        <w:rPr>
          <w:rFonts w:eastAsiaTheme="minorEastAsia"/>
          <w:b/>
          <w:bCs/>
          <w:i/>
          <w:iCs/>
        </w:rPr>
      </w:pPr>
    </w:p>
    <w:p w14:paraId="1AC6148C" w14:textId="77777777" w:rsidR="00CC3324" w:rsidRPr="004D46AC" w:rsidRDefault="00CC3324" w:rsidP="00D41749">
      <w:pPr>
        <w:spacing w:line="240" w:lineRule="auto"/>
        <w:ind w:firstLine="0"/>
        <w:rPr>
          <w:rFonts w:eastAsiaTheme="minorEastAsia"/>
          <w:b/>
          <w:bCs/>
          <w:i/>
          <w:iCs/>
        </w:rPr>
      </w:pPr>
    </w:p>
    <w:p w14:paraId="28EBAB72" w14:textId="77777777" w:rsidR="00CC3324" w:rsidRPr="004D46AC" w:rsidRDefault="00CC3324" w:rsidP="00D41749">
      <w:pPr>
        <w:spacing w:line="240" w:lineRule="auto"/>
        <w:ind w:firstLine="0"/>
        <w:rPr>
          <w:rFonts w:eastAsiaTheme="minorEastAsia"/>
          <w:b/>
          <w:bCs/>
          <w:i/>
          <w:iCs/>
        </w:rPr>
      </w:pPr>
    </w:p>
    <w:p w14:paraId="1551D7FC" w14:textId="77777777" w:rsidR="00CC3324" w:rsidRPr="004D46AC" w:rsidRDefault="00CC3324" w:rsidP="00D41749">
      <w:pPr>
        <w:spacing w:line="240" w:lineRule="auto"/>
        <w:ind w:firstLine="0"/>
        <w:rPr>
          <w:rFonts w:eastAsiaTheme="minorEastAsia"/>
          <w:b/>
          <w:bCs/>
          <w:i/>
          <w:iCs/>
        </w:rPr>
      </w:pPr>
    </w:p>
    <w:p w14:paraId="75EF09B1" w14:textId="77777777" w:rsidR="007075D9" w:rsidRPr="004D46AC" w:rsidRDefault="007075D9" w:rsidP="00D41749">
      <w:pPr>
        <w:spacing w:line="240" w:lineRule="auto"/>
        <w:ind w:firstLine="0"/>
        <w:rPr>
          <w:b/>
          <w:bCs/>
          <w:i/>
          <w:iCs/>
        </w:rPr>
      </w:pPr>
    </w:p>
    <w:p w14:paraId="6E53D099" w14:textId="77777777" w:rsidR="007075D9" w:rsidRPr="004D46AC" w:rsidRDefault="007075D9" w:rsidP="00D41749">
      <w:pPr>
        <w:spacing w:line="240" w:lineRule="auto"/>
        <w:ind w:firstLine="0"/>
        <w:rPr>
          <w:b/>
          <w:bCs/>
          <w:i/>
          <w:iCs/>
        </w:rPr>
      </w:pPr>
    </w:p>
    <w:p w14:paraId="20765CD1"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7CE44AAC" wp14:editId="5D11AF47">
            <wp:extent cx="2436495" cy="1319530"/>
            <wp:effectExtent l="0" t="0" r="1905" b="0"/>
            <wp:docPr id="1563352225" name="图片 20"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52225" name="图片 20" descr="图表&#10;&#10;AI 生成的内容可能不正确。"/>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436495" cy="131953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0A7E2E4F" wp14:editId="25C33550">
            <wp:extent cx="2442210" cy="1354455"/>
            <wp:effectExtent l="0" t="0" r="0" b="0"/>
            <wp:docPr id="677290799" name="图片 19"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90799" name="图片 19" descr="图表, 散点图&#10;&#10;AI 生成的内容可能不正确。"/>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442210" cy="1354455"/>
                    </a:xfrm>
                    <a:prstGeom prst="rect">
                      <a:avLst/>
                    </a:prstGeom>
                    <a:noFill/>
                    <a:ln>
                      <a:noFill/>
                    </a:ln>
                  </pic:spPr>
                </pic:pic>
              </a:graphicData>
            </a:graphic>
          </wp:inline>
        </w:drawing>
      </w:r>
    </w:p>
    <w:p w14:paraId="77D392AB"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380EB2BC" w14:textId="2977E649" w:rsidR="00D41749" w:rsidRPr="004D46AC" w:rsidRDefault="00D41749" w:rsidP="00D41749">
      <w:pPr>
        <w:spacing w:line="240" w:lineRule="auto"/>
        <w:ind w:firstLine="0"/>
        <w:rPr>
          <w:rFonts w:eastAsiaTheme="minorEastAsia"/>
          <w:b/>
          <w:bCs/>
        </w:rPr>
      </w:pPr>
      <w:bookmarkStart w:id="354" w:name="_Toc219880210"/>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28</w:t>
      </w:r>
      <w:bookmarkEnd w:id="354"/>
      <w:r w:rsidRPr="004D46AC">
        <w:rPr>
          <w:b/>
          <w:bCs/>
        </w:rPr>
        <w:fldChar w:fldCharType="end"/>
      </w:r>
    </w:p>
    <w:p w14:paraId="668A4959" w14:textId="77777777" w:rsidR="007075D9" w:rsidRPr="004D46AC" w:rsidRDefault="007075D9" w:rsidP="00D41749">
      <w:pPr>
        <w:spacing w:line="240" w:lineRule="auto"/>
        <w:ind w:firstLine="0"/>
        <w:rPr>
          <w:i/>
          <w:iCs/>
        </w:rPr>
      </w:pPr>
      <w:r w:rsidRPr="004D46AC">
        <w:rPr>
          <w:i/>
          <w:iCs/>
        </w:rPr>
        <w:t>Funnel plots for first episode psychosis in bipolar patients</w:t>
      </w:r>
    </w:p>
    <w:p w14:paraId="622CC461" w14:textId="77777777" w:rsidR="007075D9" w:rsidRPr="004D46AC" w:rsidRDefault="007075D9" w:rsidP="00D41749">
      <w:pPr>
        <w:spacing w:line="240" w:lineRule="auto"/>
        <w:ind w:firstLine="0"/>
        <w:rPr>
          <w:b/>
          <w:bCs/>
          <w:i/>
          <w:iCs/>
        </w:rPr>
      </w:pPr>
    </w:p>
    <w:p w14:paraId="6A76B067" w14:textId="77777777" w:rsidR="007075D9" w:rsidRPr="004D46AC" w:rsidRDefault="007075D9" w:rsidP="00D41749">
      <w:pPr>
        <w:spacing w:line="240" w:lineRule="auto"/>
        <w:ind w:firstLine="0"/>
        <w:rPr>
          <w:b/>
          <w:bCs/>
          <w:i/>
          <w:iCs/>
        </w:rPr>
      </w:pPr>
    </w:p>
    <w:p w14:paraId="665A4039" w14:textId="77777777" w:rsidR="007075D9" w:rsidRPr="004D46AC" w:rsidRDefault="007075D9" w:rsidP="00D41749">
      <w:pPr>
        <w:spacing w:line="240" w:lineRule="auto"/>
        <w:ind w:firstLine="0"/>
        <w:rPr>
          <w:b/>
          <w:bCs/>
          <w:i/>
          <w:iCs/>
        </w:rPr>
      </w:pPr>
    </w:p>
    <w:p w14:paraId="2F5EBE9F" w14:textId="77777777" w:rsidR="007075D9" w:rsidRPr="004D46AC" w:rsidRDefault="007075D9" w:rsidP="00D41749">
      <w:pPr>
        <w:spacing w:line="240" w:lineRule="auto"/>
        <w:ind w:firstLine="0"/>
        <w:rPr>
          <w:b/>
          <w:bCs/>
          <w:i/>
          <w:iCs/>
        </w:rPr>
      </w:pPr>
    </w:p>
    <w:p w14:paraId="60C3B386" w14:textId="77777777" w:rsidR="007075D9" w:rsidRPr="004D46AC" w:rsidRDefault="007075D9" w:rsidP="00D41749">
      <w:pPr>
        <w:spacing w:line="240" w:lineRule="auto"/>
        <w:ind w:firstLine="0"/>
        <w:rPr>
          <w:b/>
          <w:bCs/>
          <w:i/>
          <w:iCs/>
        </w:rPr>
      </w:pPr>
    </w:p>
    <w:p w14:paraId="4ECB0CBF" w14:textId="77777777" w:rsidR="007075D9" w:rsidRPr="004D46AC" w:rsidRDefault="007075D9" w:rsidP="00D41749">
      <w:pPr>
        <w:spacing w:line="240" w:lineRule="auto"/>
        <w:ind w:firstLine="0"/>
        <w:rPr>
          <w:b/>
          <w:bCs/>
          <w:i/>
          <w:iCs/>
        </w:rPr>
      </w:pPr>
    </w:p>
    <w:p w14:paraId="5EB4D8E5" w14:textId="77777777" w:rsidR="007075D9" w:rsidRPr="004D46AC" w:rsidRDefault="007075D9" w:rsidP="00D41749">
      <w:pPr>
        <w:spacing w:line="240" w:lineRule="auto"/>
        <w:ind w:firstLine="0"/>
        <w:rPr>
          <w:b/>
          <w:bCs/>
          <w:i/>
          <w:iCs/>
        </w:rPr>
      </w:pPr>
    </w:p>
    <w:p w14:paraId="5AF1BD67" w14:textId="77777777" w:rsidR="007075D9" w:rsidRPr="004D46AC" w:rsidRDefault="007075D9" w:rsidP="00D41749">
      <w:pPr>
        <w:spacing w:line="240" w:lineRule="auto"/>
        <w:ind w:firstLine="0"/>
        <w:rPr>
          <w:b/>
          <w:bCs/>
          <w:i/>
          <w:iCs/>
        </w:rPr>
      </w:pPr>
    </w:p>
    <w:p w14:paraId="06FC0E0F" w14:textId="77777777" w:rsidR="007075D9" w:rsidRPr="004D46AC" w:rsidRDefault="007075D9" w:rsidP="00D41749">
      <w:pPr>
        <w:spacing w:line="240" w:lineRule="auto"/>
        <w:ind w:firstLine="0"/>
        <w:rPr>
          <w:b/>
          <w:bCs/>
          <w:i/>
          <w:iCs/>
        </w:rPr>
      </w:pPr>
    </w:p>
    <w:p w14:paraId="0EB40FAC" w14:textId="77777777" w:rsidR="007075D9" w:rsidRPr="004D46AC" w:rsidRDefault="007075D9" w:rsidP="00D41749">
      <w:pPr>
        <w:spacing w:line="240" w:lineRule="auto"/>
        <w:ind w:firstLine="0"/>
        <w:rPr>
          <w:b/>
          <w:bCs/>
          <w:i/>
          <w:iCs/>
        </w:rPr>
      </w:pPr>
    </w:p>
    <w:p w14:paraId="2CC9F222" w14:textId="77777777" w:rsidR="007075D9" w:rsidRPr="004D46AC" w:rsidRDefault="007075D9" w:rsidP="00D41749">
      <w:pPr>
        <w:spacing w:line="240" w:lineRule="auto"/>
        <w:ind w:firstLine="0"/>
        <w:rPr>
          <w:b/>
          <w:bCs/>
          <w:i/>
          <w:iCs/>
        </w:rPr>
      </w:pPr>
    </w:p>
    <w:p w14:paraId="5A5AC21D" w14:textId="77777777" w:rsidR="007075D9" w:rsidRPr="004D46AC" w:rsidRDefault="007075D9" w:rsidP="00D41749">
      <w:pPr>
        <w:spacing w:line="240" w:lineRule="auto"/>
        <w:ind w:firstLine="0"/>
        <w:rPr>
          <w:b/>
          <w:bCs/>
          <w:i/>
          <w:iCs/>
        </w:rPr>
      </w:pPr>
    </w:p>
    <w:p w14:paraId="66D5C27A" w14:textId="77777777" w:rsidR="007075D9" w:rsidRPr="004D46AC" w:rsidRDefault="007075D9" w:rsidP="00D41749">
      <w:pPr>
        <w:spacing w:line="240" w:lineRule="auto"/>
        <w:ind w:firstLine="0"/>
        <w:rPr>
          <w:b/>
          <w:bCs/>
          <w:i/>
          <w:iCs/>
        </w:rPr>
      </w:pPr>
    </w:p>
    <w:p w14:paraId="3192AA66" w14:textId="77777777" w:rsidR="007075D9" w:rsidRPr="004D46AC" w:rsidRDefault="007075D9" w:rsidP="00D41749">
      <w:pPr>
        <w:spacing w:line="240" w:lineRule="auto"/>
        <w:ind w:firstLine="0"/>
        <w:rPr>
          <w:b/>
          <w:bCs/>
          <w:i/>
          <w:iCs/>
        </w:rPr>
      </w:pPr>
    </w:p>
    <w:p w14:paraId="629FC9FE" w14:textId="77777777" w:rsidR="007075D9" w:rsidRPr="004D46AC" w:rsidRDefault="007075D9" w:rsidP="00D41749">
      <w:pPr>
        <w:spacing w:line="240" w:lineRule="auto"/>
        <w:ind w:firstLine="0"/>
        <w:rPr>
          <w:b/>
          <w:bCs/>
          <w:i/>
          <w:iCs/>
        </w:rPr>
      </w:pPr>
    </w:p>
    <w:p w14:paraId="2715054B" w14:textId="77777777" w:rsidR="007075D9" w:rsidRPr="004D46AC" w:rsidRDefault="007075D9" w:rsidP="00D41749">
      <w:pPr>
        <w:spacing w:line="240" w:lineRule="auto"/>
        <w:ind w:firstLine="0"/>
        <w:rPr>
          <w:b/>
          <w:bCs/>
          <w:i/>
          <w:iCs/>
        </w:rPr>
      </w:pPr>
    </w:p>
    <w:p w14:paraId="6C78D6ED" w14:textId="77777777" w:rsidR="007075D9" w:rsidRPr="004D46AC" w:rsidRDefault="007075D9" w:rsidP="00D41749">
      <w:pPr>
        <w:spacing w:line="240" w:lineRule="auto"/>
        <w:ind w:firstLine="0"/>
        <w:rPr>
          <w:b/>
          <w:bCs/>
          <w:i/>
          <w:iCs/>
        </w:rPr>
      </w:pPr>
    </w:p>
    <w:p w14:paraId="72DA2347" w14:textId="77777777" w:rsidR="007075D9" w:rsidRPr="004D46AC" w:rsidRDefault="007075D9" w:rsidP="00D41749">
      <w:pPr>
        <w:spacing w:line="240" w:lineRule="auto"/>
        <w:ind w:firstLine="0"/>
        <w:rPr>
          <w:b/>
          <w:bCs/>
          <w:i/>
          <w:iCs/>
        </w:rPr>
      </w:pPr>
    </w:p>
    <w:p w14:paraId="35884B43" w14:textId="77777777" w:rsidR="007075D9" w:rsidRPr="004D46AC" w:rsidRDefault="007075D9" w:rsidP="00D41749">
      <w:pPr>
        <w:spacing w:line="240" w:lineRule="auto"/>
        <w:ind w:firstLine="0"/>
        <w:rPr>
          <w:b/>
          <w:bCs/>
          <w:i/>
          <w:iCs/>
        </w:rPr>
      </w:pPr>
    </w:p>
    <w:p w14:paraId="48BC158B"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4CE102C5" wp14:editId="6F342F0F">
            <wp:extent cx="5278120" cy="6111240"/>
            <wp:effectExtent l="0" t="0" r="0" b="3810"/>
            <wp:docPr id="1069355266" name="图片 18"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55266" name="图片 18" descr="图片包含 文本&#10;&#10;AI 生成的内容可能不正确。"/>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278120" cy="6111240"/>
                    </a:xfrm>
                    <a:prstGeom prst="rect">
                      <a:avLst/>
                    </a:prstGeom>
                    <a:noFill/>
                    <a:ln>
                      <a:noFill/>
                    </a:ln>
                  </pic:spPr>
                </pic:pic>
              </a:graphicData>
            </a:graphic>
          </wp:inline>
        </w:drawing>
      </w:r>
    </w:p>
    <w:p w14:paraId="21EBAD6B" w14:textId="4532ABC6" w:rsidR="00D41749" w:rsidRPr="004D46AC" w:rsidRDefault="00D41749" w:rsidP="00D41749">
      <w:pPr>
        <w:spacing w:line="240" w:lineRule="auto"/>
        <w:ind w:firstLine="0"/>
        <w:rPr>
          <w:rFonts w:eastAsiaTheme="minorEastAsia"/>
          <w:b/>
          <w:bCs/>
        </w:rPr>
      </w:pPr>
      <w:bookmarkStart w:id="355" w:name="_Toc219880211"/>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29</w:t>
      </w:r>
      <w:bookmarkEnd w:id="355"/>
      <w:r w:rsidRPr="004D46AC">
        <w:rPr>
          <w:b/>
          <w:bCs/>
        </w:rPr>
        <w:fldChar w:fldCharType="end"/>
      </w:r>
    </w:p>
    <w:p w14:paraId="16C7D9E5" w14:textId="5355E980" w:rsidR="007075D9" w:rsidRPr="004D46AC" w:rsidRDefault="007075D9" w:rsidP="00D41749">
      <w:pPr>
        <w:spacing w:line="240" w:lineRule="auto"/>
        <w:ind w:firstLine="0"/>
        <w:rPr>
          <w:i/>
          <w:iCs/>
        </w:rPr>
      </w:pPr>
      <w:r w:rsidRPr="004D46AC">
        <w:rPr>
          <w:i/>
          <w:iCs/>
        </w:rPr>
        <w:t>Pooled rate of lifetime delusions in bipolar patients</w:t>
      </w:r>
    </w:p>
    <w:p w14:paraId="0BFED6AC" w14:textId="77777777" w:rsidR="007075D9" w:rsidRPr="004D46AC" w:rsidRDefault="007075D9" w:rsidP="00D41749">
      <w:pPr>
        <w:spacing w:line="240" w:lineRule="auto"/>
        <w:ind w:firstLine="0"/>
        <w:rPr>
          <w:b/>
          <w:bCs/>
          <w:i/>
          <w:iCs/>
        </w:rPr>
      </w:pPr>
    </w:p>
    <w:p w14:paraId="4A7E4BF7" w14:textId="77777777" w:rsidR="007075D9" w:rsidRPr="004D46AC" w:rsidRDefault="007075D9" w:rsidP="00D41749">
      <w:pPr>
        <w:spacing w:line="240" w:lineRule="auto"/>
        <w:ind w:firstLine="0"/>
        <w:rPr>
          <w:b/>
          <w:bCs/>
          <w:i/>
          <w:iCs/>
        </w:rPr>
      </w:pPr>
    </w:p>
    <w:p w14:paraId="6A352782" w14:textId="77777777" w:rsidR="007075D9" w:rsidRPr="004D46AC" w:rsidRDefault="007075D9" w:rsidP="00D41749">
      <w:pPr>
        <w:spacing w:line="240" w:lineRule="auto"/>
        <w:ind w:firstLine="0"/>
        <w:rPr>
          <w:b/>
          <w:bCs/>
          <w:i/>
          <w:iCs/>
        </w:rPr>
      </w:pPr>
    </w:p>
    <w:p w14:paraId="14398BD5" w14:textId="77777777" w:rsidR="007075D9" w:rsidRPr="004D46AC" w:rsidRDefault="007075D9" w:rsidP="00D41749">
      <w:pPr>
        <w:spacing w:line="240" w:lineRule="auto"/>
        <w:ind w:firstLine="0"/>
        <w:rPr>
          <w:b/>
          <w:bCs/>
          <w:i/>
          <w:iCs/>
        </w:rPr>
      </w:pPr>
    </w:p>
    <w:p w14:paraId="7EB6298A" w14:textId="77777777" w:rsidR="007075D9" w:rsidRPr="004D46AC" w:rsidRDefault="007075D9" w:rsidP="00D41749">
      <w:pPr>
        <w:spacing w:line="240" w:lineRule="auto"/>
        <w:ind w:firstLine="0"/>
        <w:rPr>
          <w:b/>
          <w:bCs/>
          <w:i/>
          <w:iCs/>
        </w:rPr>
      </w:pPr>
    </w:p>
    <w:p w14:paraId="2D64980F" w14:textId="77777777" w:rsidR="007075D9" w:rsidRPr="004D46AC" w:rsidRDefault="007075D9" w:rsidP="00D41749">
      <w:pPr>
        <w:spacing w:line="240" w:lineRule="auto"/>
        <w:ind w:firstLine="0"/>
        <w:rPr>
          <w:rFonts w:eastAsiaTheme="minorEastAsia"/>
          <w:b/>
          <w:bCs/>
          <w:i/>
          <w:iCs/>
        </w:rPr>
      </w:pPr>
    </w:p>
    <w:p w14:paraId="0C9F3B21" w14:textId="77777777" w:rsidR="00CC3324" w:rsidRPr="004D46AC" w:rsidRDefault="00CC3324" w:rsidP="00D41749">
      <w:pPr>
        <w:spacing w:line="240" w:lineRule="auto"/>
        <w:ind w:firstLine="0"/>
        <w:rPr>
          <w:rFonts w:eastAsiaTheme="minorEastAsia"/>
          <w:b/>
          <w:bCs/>
          <w:i/>
          <w:iCs/>
        </w:rPr>
      </w:pPr>
    </w:p>
    <w:p w14:paraId="072A33EC"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3FFE3714" wp14:editId="1693D202">
            <wp:extent cx="2477135" cy="1360170"/>
            <wp:effectExtent l="0" t="0" r="0" b="0"/>
            <wp:docPr id="1496245426" name="图片 17"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45426" name="图片 17" descr="图表, 散点图&#10;&#10;AI 生成的内容可能不正确。"/>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477135" cy="136017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3FEC651A" wp14:editId="6AEF7022">
            <wp:extent cx="2488565" cy="1388745"/>
            <wp:effectExtent l="0" t="0" r="6985" b="1905"/>
            <wp:docPr id="446429017" name="图片 16"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29017" name="图片 16" descr="图表, 散点图&#10;&#10;AI 生成的内容可能不正确。"/>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488565" cy="1388745"/>
                    </a:xfrm>
                    <a:prstGeom prst="rect">
                      <a:avLst/>
                    </a:prstGeom>
                    <a:noFill/>
                    <a:ln>
                      <a:noFill/>
                    </a:ln>
                  </pic:spPr>
                </pic:pic>
              </a:graphicData>
            </a:graphic>
          </wp:inline>
        </w:drawing>
      </w:r>
    </w:p>
    <w:p w14:paraId="7916883F"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3450A75E" w14:textId="491C8A74" w:rsidR="00D41749" w:rsidRPr="004D46AC" w:rsidRDefault="00D41749" w:rsidP="00D41749">
      <w:pPr>
        <w:spacing w:line="240" w:lineRule="auto"/>
        <w:ind w:firstLine="0"/>
        <w:rPr>
          <w:rFonts w:eastAsiaTheme="minorEastAsia"/>
          <w:b/>
          <w:bCs/>
        </w:rPr>
      </w:pPr>
      <w:bookmarkStart w:id="356" w:name="_Toc219880212"/>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30</w:t>
      </w:r>
      <w:bookmarkEnd w:id="356"/>
      <w:r w:rsidRPr="004D46AC">
        <w:rPr>
          <w:b/>
          <w:bCs/>
        </w:rPr>
        <w:fldChar w:fldCharType="end"/>
      </w:r>
    </w:p>
    <w:p w14:paraId="74A5D2A2" w14:textId="03718038" w:rsidR="007075D9" w:rsidRPr="004D46AC" w:rsidRDefault="007075D9" w:rsidP="00D41749">
      <w:pPr>
        <w:spacing w:line="240" w:lineRule="auto"/>
        <w:ind w:firstLine="0"/>
        <w:rPr>
          <w:i/>
          <w:iCs/>
        </w:rPr>
      </w:pPr>
      <w:r w:rsidRPr="004D46AC">
        <w:rPr>
          <w:i/>
          <w:iCs/>
        </w:rPr>
        <w:t>Funnel plots for lifetime delusions in bipolar patients</w:t>
      </w:r>
    </w:p>
    <w:p w14:paraId="188E896A"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7EADB272" wp14:editId="68A3C768">
            <wp:extent cx="5278120" cy="7801610"/>
            <wp:effectExtent l="0" t="0" r="0" b="8890"/>
            <wp:docPr id="1684569046" name="图片 15" descr="图片包含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69046" name="图片 15" descr="图片包含 表格&#10;&#10;AI 生成的内容可能不正确。"/>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278120" cy="7801610"/>
                    </a:xfrm>
                    <a:prstGeom prst="rect">
                      <a:avLst/>
                    </a:prstGeom>
                    <a:noFill/>
                    <a:ln>
                      <a:noFill/>
                    </a:ln>
                  </pic:spPr>
                </pic:pic>
              </a:graphicData>
            </a:graphic>
          </wp:inline>
        </w:drawing>
      </w:r>
    </w:p>
    <w:p w14:paraId="31C432C3" w14:textId="40AF08DA" w:rsidR="00D41749" w:rsidRPr="004D46AC" w:rsidRDefault="00D41749" w:rsidP="00D41749">
      <w:pPr>
        <w:pStyle w:val="afff0"/>
        <w:spacing w:after="0"/>
        <w:ind w:firstLine="0"/>
        <w:rPr>
          <w:b/>
          <w:bCs/>
          <w:i w:val="0"/>
          <w:iCs w:val="0"/>
          <w:color w:val="auto"/>
          <w:sz w:val="22"/>
          <w:szCs w:val="22"/>
        </w:rPr>
      </w:pPr>
      <w:bookmarkStart w:id="357" w:name="_Toc219880213"/>
      <w:r w:rsidRPr="004D46AC">
        <w:rPr>
          <w:b/>
          <w:bCs/>
          <w:i w:val="0"/>
          <w:iCs w:val="0"/>
          <w:color w:val="auto"/>
          <w:sz w:val="22"/>
          <w:szCs w:val="22"/>
        </w:rPr>
        <w:t xml:space="preserve">Figure B </w:t>
      </w:r>
      <w:r w:rsidRPr="004D46AC">
        <w:rPr>
          <w:b/>
          <w:bCs/>
          <w:i w:val="0"/>
          <w:iCs w:val="0"/>
          <w:color w:val="auto"/>
          <w:sz w:val="22"/>
          <w:szCs w:val="22"/>
        </w:rPr>
        <w:fldChar w:fldCharType="begin"/>
      </w:r>
      <w:r w:rsidRPr="004D46AC">
        <w:rPr>
          <w:b/>
          <w:bCs/>
          <w:i w:val="0"/>
          <w:iCs w:val="0"/>
          <w:color w:val="auto"/>
          <w:sz w:val="22"/>
          <w:szCs w:val="22"/>
        </w:rPr>
        <w:instrText xml:space="preserve"> SEQ Figure_B \* ARABIC </w:instrText>
      </w:r>
      <w:r w:rsidRPr="004D46AC">
        <w:rPr>
          <w:b/>
          <w:bCs/>
          <w:i w:val="0"/>
          <w:iCs w:val="0"/>
          <w:color w:val="auto"/>
          <w:sz w:val="22"/>
          <w:szCs w:val="22"/>
        </w:rPr>
        <w:fldChar w:fldCharType="separate"/>
      </w:r>
      <w:r w:rsidRPr="004D46AC">
        <w:rPr>
          <w:b/>
          <w:bCs/>
          <w:i w:val="0"/>
          <w:iCs w:val="0"/>
          <w:noProof/>
          <w:color w:val="auto"/>
          <w:sz w:val="22"/>
          <w:szCs w:val="22"/>
        </w:rPr>
        <w:t>31</w:t>
      </w:r>
      <w:bookmarkEnd w:id="357"/>
      <w:r w:rsidRPr="004D46AC">
        <w:rPr>
          <w:b/>
          <w:bCs/>
          <w:i w:val="0"/>
          <w:iCs w:val="0"/>
          <w:color w:val="auto"/>
          <w:sz w:val="22"/>
          <w:szCs w:val="22"/>
        </w:rPr>
        <w:fldChar w:fldCharType="end"/>
      </w:r>
    </w:p>
    <w:p w14:paraId="6E4275E3" w14:textId="77777777" w:rsidR="007075D9" w:rsidRPr="004D46AC" w:rsidRDefault="007075D9" w:rsidP="00D41749">
      <w:pPr>
        <w:spacing w:line="240" w:lineRule="auto"/>
        <w:ind w:firstLine="0"/>
        <w:rPr>
          <w:i/>
          <w:iCs/>
        </w:rPr>
      </w:pPr>
      <w:r w:rsidRPr="004D46AC">
        <w:rPr>
          <w:i/>
          <w:iCs/>
        </w:rPr>
        <w:t xml:space="preserve">Pooled rate of current delusions in bipolar patients </w:t>
      </w:r>
    </w:p>
    <w:p w14:paraId="06B17616" w14:textId="77777777" w:rsidR="007075D9" w:rsidRPr="004D46AC" w:rsidRDefault="007075D9" w:rsidP="00D41749">
      <w:pPr>
        <w:spacing w:line="240" w:lineRule="auto"/>
        <w:ind w:firstLine="0"/>
        <w:rPr>
          <w:b/>
          <w:bCs/>
          <w:i/>
          <w:iCs/>
        </w:rPr>
      </w:pPr>
    </w:p>
    <w:p w14:paraId="610BDDC4" w14:textId="77777777" w:rsidR="007075D9" w:rsidRPr="004D46AC" w:rsidRDefault="007075D9" w:rsidP="00D41749">
      <w:pPr>
        <w:spacing w:line="240" w:lineRule="auto"/>
        <w:ind w:firstLine="0"/>
        <w:rPr>
          <w:b/>
          <w:bCs/>
          <w:i/>
          <w:iCs/>
        </w:rPr>
      </w:pPr>
    </w:p>
    <w:p w14:paraId="1F4795C0"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6E25D4B1" wp14:editId="3C5D8A6E">
            <wp:extent cx="2604135" cy="1377315"/>
            <wp:effectExtent l="0" t="0" r="5715" b="0"/>
            <wp:docPr id="775724580" name="图片 14"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24580" name="图片 14" descr="图表, 散点图&#10;&#10;AI 生成的内容可能不正确。"/>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604135" cy="1377315"/>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6B9468D0" wp14:editId="3785DF03">
            <wp:extent cx="2552065" cy="1429385"/>
            <wp:effectExtent l="0" t="0" r="635" b="0"/>
            <wp:docPr id="1817020218" name="图片 13"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020218" name="图片 13" descr="图表, 直方图&#10;&#10;AI 生成的内容可能不正确。"/>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552065" cy="1429385"/>
                    </a:xfrm>
                    <a:prstGeom prst="rect">
                      <a:avLst/>
                    </a:prstGeom>
                    <a:noFill/>
                    <a:ln>
                      <a:noFill/>
                    </a:ln>
                  </pic:spPr>
                </pic:pic>
              </a:graphicData>
            </a:graphic>
          </wp:inline>
        </w:drawing>
      </w:r>
    </w:p>
    <w:p w14:paraId="1848AFA8"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4201C5BF" w14:textId="41FF9058" w:rsidR="00D41749" w:rsidRPr="004D46AC" w:rsidRDefault="00D41749" w:rsidP="00D41749">
      <w:pPr>
        <w:spacing w:line="240" w:lineRule="auto"/>
        <w:ind w:firstLine="0"/>
        <w:rPr>
          <w:rFonts w:eastAsiaTheme="minorEastAsia"/>
          <w:b/>
          <w:bCs/>
        </w:rPr>
      </w:pPr>
      <w:bookmarkStart w:id="358" w:name="_Toc219880214"/>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32</w:t>
      </w:r>
      <w:bookmarkEnd w:id="358"/>
      <w:r w:rsidRPr="004D46AC">
        <w:rPr>
          <w:b/>
          <w:bCs/>
        </w:rPr>
        <w:fldChar w:fldCharType="end"/>
      </w:r>
    </w:p>
    <w:p w14:paraId="66A2C324" w14:textId="38F249B0" w:rsidR="007075D9" w:rsidRPr="004D46AC" w:rsidRDefault="007075D9" w:rsidP="00D41749">
      <w:pPr>
        <w:spacing w:line="240" w:lineRule="auto"/>
        <w:ind w:firstLine="0"/>
        <w:rPr>
          <w:i/>
          <w:iCs/>
        </w:rPr>
      </w:pPr>
      <w:r w:rsidRPr="004D46AC">
        <w:rPr>
          <w:i/>
          <w:iCs/>
        </w:rPr>
        <w:t>Funnel plots for current delusions in bipolar patients</w:t>
      </w:r>
    </w:p>
    <w:p w14:paraId="0D2528BA" w14:textId="77777777" w:rsidR="007075D9" w:rsidRPr="004D46AC" w:rsidRDefault="007075D9" w:rsidP="00D41749">
      <w:pPr>
        <w:spacing w:line="240" w:lineRule="auto"/>
        <w:ind w:firstLine="0"/>
        <w:rPr>
          <w:b/>
          <w:bCs/>
          <w:i/>
          <w:iCs/>
        </w:rPr>
      </w:pPr>
    </w:p>
    <w:p w14:paraId="65982995" w14:textId="77777777" w:rsidR="007075D9" w:rsidRPr="004D46AC" w:rsidRDefault="007075D9" w:rsidP="00D41749">
      <w:pPr>
        <w:spacing w:line="240" w:lineRule="auto"/>
        <w:ind w:firstLine="0"/>
        <w:rPr>
          <w:b/>
          <w:bCs/>
          <w:i/>
          <w:iCs/>
        </w:rPr>
      </w:pPr>
    </w:p>
    <w:p w14:paraId="198013F2" w14:textId="77777777" w:rsidR="007075D9" w:rsidRPr="004D46AC" w:rsidRDefault="007075D9" w:rsidP="00D41749">
      <w:pPr>
        <w:spacing w:line="240" w:lineRule="auto"/>
        <w:ind w:firstLine="0"/>
        <w:rPr>
          <w:b/>
          <w:bCs/>
          <w:i/>
          <w:iCs/>
        </w:rPr>
      </w:pPr>
    </w:p>
    <w:p w14:paraId="6189E415" w14:textId="77777777" w:rsidR="007075D9" w:rsidRPr="004D46AC" w:rsidRDefault="007075D9" w:rsidP="00D41749">
      <w:pPr>
        <w:spacing w:line="240" w:lineRule="auto"/>
        <w:ind w:firstLine="0"/>
        <w:rPr>
          <w:b/>
          <w:bCs/>
          <w:i/>
          <w:iCs/>
        </w:rPr>
      </w:pPr>
    </w:p>
    <w:p w14:paraId="01FFEA2D" w14:textId="77777777" w:rsidR="007075D9" w:rsidRPr="004D46AC" w:rsidRDefault="007075D9" w:rsidP="00D41749">
      <w:pPr>
        <w:spacing w:line="240" w:lineRule="auto"/>
        <w:ind w:firstLine="0"/>
        <w:rPr>
          <w:b/>
          <w:bCs/>
          <w:i/>
          <w:iCs/>
        </w:rPr>
      </w:pPr>
    </w:p>
    <w:p w14:paraId="51C76D14" w14:textId="77777777" w:rsidR="007075D9" w:rsidRPr="004D46AC" w:rsidRDefault="007075D9" w:rsidP="00D41749">
      <w:pPr>
        <w:spacing w:line="240" w:lineRule="auto"/>
        <w:ind w:firstLine="0"/>
        <w:rPr>
          <w:b/>
          <w:bCs/>
          <w:i/>
          <w:iCs/>
        </w:rPr>
      </w:pPr>
    </w:p>
    <w:p w14:paraId="6AB082F7" w14:textId="77777777" w:rsidR="007075D9" w:rsidRPr="004D46AC" w:rsidRDefault="007075D9" w:rsidP="00D41749">
      <w:pPr>
        <w:spacing w:line="240" w:lineRule="auto"/>
        <w:ind w:firstLine="0"/>
        <w:rPr>
          <w:b/>
          <w:bCs/>
          <w:i/>
          <w:iCs/>
        </w:rPr>
      </w:pPr>
    </w:p>
    <w:p w14:paraId="109D2163" w14:textId="77777777" w:rsidR="007075D9" w:rsidRPr="004D46AC" w:rsidRDefault="007075D9" w:rsidP="00D41749">
      <w:pPr>
        <w:spacing w:line="240" w:lineRule="auto"/>
        <w:ind w:firstLine="0"/>
        <w:rPr>
          <w:b/>
          <w:bCs/>
          <w:i/>
          <w:iCs/>
        </w:rPr>
      </w:pPr>
    </w:p>
    <w:p w14:paraId="77169CC4"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25C93BDA" wp14:editId="3409D1CB">
            <wp:extent cx="5278120" cy="6250305"/>
            <wp:effectExtent l="0" t="0" r="0" b="0"/>
            <wp:docPr id="930183431" name="图片 12"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83431" name="图片 12" descr="图片包含 文本&#10;&#10;AI 生成的内容可能不正确。"/>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278120" cy="6250305"/>
                    </a:xfrm>
                    <a:prstGeom prst="rect">
                      <a:avLst/>
                    </a:prstGeom>
                    <a:noFill/>
                    <a:ln>
                      <a:noFill/>
                    </a:ln>
                  </pic:spPr>
                </pic:pic>
              </a:graphicData>
            </a:graphic>
          </wp:inline>
        </w:drawing>
      </w:r>
    </w:p>
    <w:p w14:paraId="70ED280A" w14:textId="0FE7CBEE" w:rsidR="00D41749" w:rsidRPr="004D46AC" w:rsidRDefault="00D41749" w:rsidP="00D41749">
      <w:pPr>
        <w:spacing w:line="240" w:lineRule="auto"/>
        <w:ind w:firstLine="0"/>
        <w:rPr>
          <w:rFonts w:eastAsiaTheme="minorEastAsia"/>
          <w:b/>
          <w:bCs/>
        </w:rPr>
      </w:pPr>
      <w:bookmarkStart w:id="359" w:name="_Toc219880215"/>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33</w:t>
      </w:r>
      <w:bookmarkEnd w:id="359"/>
      <w:r w:rsidRPr="004D46AC">
        <w:rPr>
          <w:b/>
          <w:bCs/>
        </w:rPr>
        <w:fldChar w:fldCharType="end"/>
      </w:r>
    </w:p>
    <w:p w14:paraId="590BCC03" w14:textId="407C0589" w:rsidR="007075D9" w:rsidRPr="004D46AC" w:rsidRDefault="007075D9" w:rsidP="00D41749">
      <w:pPr>
        <w:spacing w:line="240" w:lineRule="auto"/>
        <w:ind w:firstLine="0"/>
        <w:rPr>
          <w:i/>
          <w:iCs/>
        </w:rPr>
      </w:pPr>
      <w:r w:rsidRPr="004D46AC">
        <w:rPr>
          <w:i/>
          <w:iCs/>
        </w:rPr>
        <w:t>Pooled rate of lifetime hallucinations in bipolar patients</w:t>
      </w:r>
    </w:p>
    <w:p w14:paraId="349E803C" w14:textId="77777777" w:rsidR="007075D9" w:rsidRPr="004D46AC" w:rsidRDefault="007075D9" w:rsidP="00D41749">
      <w:pPr>
        <w:spacing w:line="240" w:lineRule="auto"/>
        <w:ind w:firstLine="0"/>
        <w:rPr>
          <w:b/>
          <w:bCs/>
          <w:i/>
          <w:iCs/>
        </w:rPr>
      </w:pPr>
    </w:p>
    <w:p w14:paraId="3FAA3BEA" w14:textId="77777777" w:rsidR="007075D9" w:rsidRPr="004D46AC" w:rsidRDefault="007075D9" w:rsidP="00D41749">
      <w:pPr>
        <w:spacing w:line="240" w:lineRule="auto"/>
        <w:ind w:firstLine="0"/>
        <w:rPr>
          <w:b/>
          <w:bCs/>
          <w:i/>
          <w:iCs/>
        </w:rPr>
      </w:pPr>
    </w:p>
    <w:p w14:paraId="00C949BE" w14:textId="77777777" w:rsidR="007075D9" w:rsidRPr="004D46AC" w:rsidRDefault="007075D9" w:rsidP="00D41749">
      <w:pPr>
        <w:spacing w:line="240" w:lineRule="auto"/>
        <w:ind w:firstLine="0"/>
        <w:rPr>
          <w:b/>
          <w:bCs/>
          <w:i/>
          <w:iCs/>
        </w:rPr>
      </w:pPr>
    </w:p>
    <w:p w14:paraId="451EA74F" w14:textId="77777777" w:rsidR="007075D9" w:rsidRPr="004D46AC" w:rsidRDefault="007075D9" w:rsidP="00D41749">
      <w:pPr>
        <w:spacing w:line="240" w:lineRule="auto"/>
        <w:ind w:firstLine="0"/>
        <w:rPr>
          <w:b/>
          <w:bCs/>
          <w:i/>
          <w:iCs/>
        </w:rPr>
      </w:pPr>
    </w:p>
    <w:p w14:paraId="44055EC3" w14:textId="77777777" w:rsidR="007075D9" w:rsidRPr="004D46AC" w:rsidRDefault="007075D9" w:rsidP="00D41749">
      <w:pPr>
        <w:spacing w:line="240" w:lineRule="auto"/>
        <w:ind w:firstLine="0"/>
        <w:rPr>
          <w:b/>
          <w:bCs/>
          <w:i/>
          <w:iCs/>
        </w:rPr>
      </w:pPr>
    </w:p>
    <w:p w14:paraId="1D1134B6" w14:textId="77777777" w:rsidR="007075D9" w:rsidRPr="004D46AC" w:rsidRDefault="007075D9" w:rsidP="00D41749">
      <w:pPr>
        <w:spacing w:line="240" w:lineRule="auto"/>
        <w:ind w:firstLine="0"/>
        <w:rPr>
          <w:b/>
          <w:bCs/>
          <w:i/>
          <w:iCs/>
        </w:rPr>
      </w:pPr>
    </w:p>
    <w:p w14:paraId="381FE3BD"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77C22A0A" wp14:editId="6ED3C4E8">
            <wp:extent cx="2499995" cy="1365885"/>
            <wp:effectExtent l="0" t="0" r="0" b="5715"/>
            <wp:docPr id="748781035" name="图片 11" descr="图表, 漏斗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81035" name="图片 11" descr="图表, 漏斗图&#10;&#10;AI 生成的内容可能不正确。"/>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499995" cy="1365885"/>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4D35DB1C" wp14:editId="2623B17E">
            <wp:extent cx="2517775" cy="1383030"/>
            <wp:effectExtent l="0" t="0" r="0" b="7620"/>
            <wp:docPr id="348553773" name="图片 10"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53773" name="图片 10" descr="图表, 散点图&#10;&#10;AI 生成的内容可能不正确。"/>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517775" cy="1383030"/>
                    </a:xfrm>
                    <a:prstGeom prst="rect">
                      <a:avLst/>
                    </a:prstGeom>
                    <a:noFill/>
                    <a:ln>
                      <a:noFill/>
                    </a:ln>
                  </pic:spPr>
                </pic:pic>
              </a:graphicData>
            </a:graphic>
          </wp:inline>
        </w:drawing>
      </w:r>
    </w:p>
    <w:p w14:paraId="3A709749"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4A872EEB" w14:textId="435ABB12" w:rsidR="00D41749" w:rsidRPr="004D46AC" w:rsidRDefault="00D41749" w:rsidP="00D41749">
      <w:pPr>
        <w:spacing w:line="240" w:lineRule="auto"/>
        <w:ind w:firstLine="0"/>
        <w:rPr>
          <w:rFonts w:eastAsiaTheme="minorEastAsia"/>
          <w:b/>
          <w:bCs/>
        </w:rPr>
      </w:pPr>
      <w:bookmarkStart w:id="360" w:name="_Toc219880216"/>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34</w:t>
      </w:r>
      <w:bookmarkEnd w:id="360"/>
      <w:r w:rsidRPr="004D46AC">
        <w:rPr>
          <w:b/>
          <w:bCs/>
        </w:rPr>
        <w:fldChar w:fldCharType="end"/>
      </w:r>
    </w:p>
    <w:p w14:paraId="26A50033" w14:textId="77777777" w:rsidR="007075D9" w:rsidRPr="004D46AC" w:rsidRDefault="007075D9" w:rsidP="00D41749">
      <w:pPr>
        <w:spacing w:line="240" w:lineRule="auto"/>
        <w:ind w:firstLine="0"/>
        <w:rPr>
          <w:i/>
          <w:iCs/>
        </w:rPr>
      </w:pPr>
      <w:r w:rsidRPr="004D46AC">
        <w:rPr>
          <w:i/>
          <w:iCs/>
        </w:rPr>
        <w:t>Funnel plots for lifetime hallucinations in bipolar patients</w:t>
      </w:r>
    </w:p>
    <w:p w14:paraId="23055C0D" w14:textId="77777777" w:rsidR="007075D9" w:rsidRPr="004D46AC" w:rsidRDefault="007075D9" w:rsidP="00D41749">
      <w:pPr>
        <w:spacing w:line="240" w:lineRule="auto"/>
        <w:ind w:firstLine="0"/>
        <w:rPr>
          <w:b/>
          <w:bCs/>
          <w:i/>
          <w:iCs/>
        </w:rPr>
      </w:pPr>
    </w:p>
    <w:p w14:paraId="1FA9290E" w14:textId="77777777" w:rsidR="007075D9" w:rsidRPr="004D46AC" w:rsidRDefault="007075D9" w:rsidP="00D41749">
      <w:pPr>
        <w:spacing w:line="240" w:lineRule="auto"/>
        <w:ind w:firstLine="0"/>
        <w:rPr>
          <w:b/>
          <w:bCs/>
          <w:i/>
          <w:iCs/>
        </w:rPr>
      </w:pPr>
    </w:p>
    <w:p w14:paraId="3798B8C1" w14:textId="77777777" w:rsidR="007075D9" w:rsidRPr="004D46AC" w:rsidRDefault="007075D9" w:rsidP="00D41749">
      <w:pPr>
        <w:spacing w:line="240" w:lineRule="auto"/>
        <w:ind w:firstLine="0"/>
        <w:rPr>
          <w:b/>
          <w:bCs/>
          <w:i/>
          <w:iCs/>
        </w:rPr>
      </w:pPr>
    </w:p>
    <w:p w14:paraId="78F4A691" w14:textId="77777777" w:rsidR="007075D9" w:rsidRPr="004D46AC" w:rsidRDefault="007075D9" w:rsidP="00D41749">
      <w:pPr>
        <w:spacing w:line="240" w:lineRule="auto"/>
        <w:ind w:firstLine="0"/>
        <w:rPr>
          <w:b/>
          <w:bCs/>
          <w:i/>
          <w:iCs/>
        </w:rPr>
      </w:pPr>
    </w:p>
    <w:p w14:paraId="5CA6FC70" w14:textId="77777777" w:rsidR="007075D9" w:rsidRPr="004D46AC" w:rsidRDefault="007075D9" w:rsidP="00D41749">
      <w:pPr>
        <w:spacing w:line="240" w:lineRule="auto"/>
        <w:ind w:firstLine="0"/>
        <w:rPr>
          <w:b/>
          <w:bCs/>
          <w:i/>
          <w:iCs/>
        </w:rPr>
      </w:pPr>
    </w:p>
    <w:p w14:paraId="0D2F46F5" w14:textId="77777777" w:rsidR="007075D9" w:rsidRPr="004D46AC" w:rsidRDefault="007075D9" w:rsidP="00D41749">
      <w:pPr>
        <w:spacing w:line="240" w:lineRule="auto"/>
        <w:ind w:firstLine="0"/>
        <w:rPr>
          <w:b/>
          <w:bCs/>
          <w:i/>
          <w:iCs/>
        </w:rPr>
      </w:pPr>
    </w:p>
    <w:p w14:paraId="69C1D88D" w14:textId="77777777" w:rsidR="007075D9" w:rsidRPr="004D46AC" w:rsidRDefault="007075D9" w:rsidP="00D41749">
      <w:pPr>
        <w:spacing w:line="240" w:lineRule="auto"/>
        <w:ind w:firstLine="0"/>
        <w:rPr>
          <w:b/>
          <w:bCs/>
          <w:i/>
          <w:iCs/>
        </w:rPr>
      </w:pPr>
    </w:p>
    <w:p w14:paraId="4C9D983A" w14:textId="77777777" w:rsidR="007075D9" w:rsidRPr="004D46AC" w:rsidRDefault="007075D9" w:rsidP="00D41749">
      <w:pPr>
        <w:spacing w:line="240" w:lineRule="auto"/>
        <w:ind w:firstLine="0"/>
        <w:rPr>
          <w:b/>
          <w:bCs/>
          <w:i/>
          <w:iCs/>
        </w:rPr>
      </w:pPr>
    </w:p>
    <w:p w14:paraId="54E5BE56" w14:textId="77777777" w:rsidR="007075D9" w:rsidRPr="004D46AC" w:rsidRDefault="007075D9" w:rsidP="00D41749">
      <w:pPr>
        <w:spacing w:line="240" w:lineRule="auto"/>
        <w:ind w:firstLine="0"/>
        <w:rPr>
          <w:b/>
          <w:bCs/>
          <w:i/>
          <w:iCs/>
        </w:rPr>
      </w:pPr>
    </w:p>
    <w:p w14:paraId="0CC3DE35" w14:textId="77777777" w:rsidR="007075D9" w:rsidRPr="004D46AC" w:rsidRDefault="007075D9" w:rsidP="00D41749">
      <w:pPr>
        <w:spacing w:line="240" w:lineRule="auto"/>
        <w:ind w:firstLine="0"/>
        <w:rPr>
          <w:b/>
          <w:bCs/>
          <w:i/>
          <w:iCs/>
        </w:rPr>
      </w:pPr>
    </w:p>
    <w:p w14:paraId="51305F7C" w14:textId="77777777" w:rsidR="007075D9" w:rsidRPr="004D46AC" w:rsidRDefault="007075D9" w:rsidP="00D41749">
      <w:pPr>
        <w:spacing w:line="240" w:lineRule="auto"/>
        <w:ind w:firstLine="0"/>
        <w:rPr>
          <w:b/>
          <w:bCs/>
          <w:i/>
          <w:iCs/>
        </w:rPr>
      </w:pPr>
    </w:p>
    <w:p w14:paraId="47CBF5C8" w14:textId="77777777" w:rsidR="007075D9" w:rsidRPr="004D46AC" w:rsidRDefault="007075D9" w:rsidP="00D41749">
      <w:pPr>
        <w:spacing w:line="240" w:lineRule="auto"/>
        <w:ind w:firstLine="0"/>
        <w:rPr>
          <w:b/>
          <w:bCs/>
          <w:i/>
          <w:iCs/>
        </w:rPr>
      </w:pPr>
    </w:p>
    <w:p w14:paraId="76A0DC69" w14:textId="77777777" w:rsidR="007075D9" w:rsidRPr="004D46AC" w:rsidRDefault="007075D9" w:rsidP="00D41749">
      <w:pPr>
        <w:spacing w:line="240" w:lineRule="auto"/>
        <w:ind w:firstLine="0"/>
      </w:pPr>
    </w:p>
    <w:p w14:paraId="1434916C"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425CECF7" wp14:editId="01FB906F">
            <wp:extent cx="5278120" cy="7367270"/>
            <wp:effectExtent l="0" t="0" r="0" b="5080"/>
            <wp:docPr id="111777341" name="图片 9"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7341" name="图片 9" descr="表格&#10;&#10;AI 生成的内容可能不正确。"/>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278120" cy="7367270"/>
                    </a:xfrm>
                    <a:prstGeom prst="rect">
                      <a:avLst/>
                    </a:prstGeom>
                    <a:noFill/>
                    <a:ln>
                      <a:noFill/>
                    </a:ln>
                  </pic:spPr>
                </pic:pic>
              </a:graphicData>
            </a:graphic>
          </wp:inline>
        </w:drawing>
      </w:r>
    </w:p>
    <w:p w14:paraId="10B0B8BE" w14:textId="43F5E6D7" w:rsidR="00D41749" w:rsidRPr="004D46AC" w:rsidRDefault="00D41749" w:rsidP="00D41749">
      <w:pPr>
        <w:spacing w:line="240" w:lineRule="auto"/>
        <w:ind w:firstLine="0"/>
        <w:rPr>
          <w:rFonts w:eastAsiaTheme="minorEastAsia"/>
          <w:b/>
          <w:bCs/>
        </w:rPr>
      </w:pPr>
      <w:bookmarkStart w:id="361" w:name="_Toc219880217"/>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35</w:t>
      </w:r>
      <w:bookmarkEnd w:id="361"/>
      <w:r w:rsidRPr="004D46AC">
        <w:rPr>
          <w:b/>
          <w:bCs/>
        </w:rPr>
        <w:fldChar w:fldCharType="end"/>
      </w:r>
    </w:p>
    <w:p w14:paraId="1AB5BD15" w14:textId="22116732" w:rsidR="007075D9" w:rsidRPr="004D46AC" w:rsidRDefault="007075D9" w:rsidP="00D41749">
      <w:pPr>
        <w:spacing w:line="240" w:lineRule="auto"/>
        <w:ind w:firstLine="0"/>
        <w:rPr>
          <w:i/>
          <w:iCs/>
        </w:rPr>
      </w:pPr>
      <w:r w:rsidRPr="004D46AC">
        <w:rPr>
          <w:i/>
          <w:iCs/>
        </w:rPr>
        <w:t>Pooled rate of current hallucinations in bipolar patients</w:t>
      </w:r>
    </w:p>
    <w:p w14:paraId="4923992F" w14:textId="77777777" w:rsidR="007075D9" w:rsidRPr="004D46AC" w:rsidRDefault="007075D9" w:rsidP="00D41749">
      <w:pPr>
        <w:spacing w:line="240" w:lineRule="auto"/>
        <w:ind w:firstLine="0"/>
        <w:rPr>
          <w:b/>
          <w:bCs/>
          <w:i/>
          <w:iCs/>
        </w:rPr>
      </w:pPr>
    </w:p>
    <w:p w14:paraId="75B86FA5" w14:textId="77777777" w:rsidR="007075D9" w:rsidRPr="004D46AC" w:rsidRDefault="007075D9" w:rsidP="00D41749">
      <w:pPr>
        <w:spacing w:line="240" w:lineRule="auto"/>
        <w:ind w:firstLine="0"/>
        <w:rPr>
          <w:b/>
          <w:bCs/>
          <w:i/>
          <w:iCs/>
        </w:rPr>
      </w:pPr>
    </w:p>
    <w:p w14:paraId="3FA00966"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2AE0977E" wp14:editId="052073DA">
            <wp:extent cx="2430780" cy="1319530"/>
            <wp:effectExtent l="0" t="0" r="7620" b="0"/>
            <wp:docPr id="1889458865" name="图片 8"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58865" name="图片 8" descr="图表, 散点图&#10;&#10;AI 生成的内容可能不正确。"/>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430780" cy="131953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490929B8" wp14:editId="7F92422B">
            <wp:extent cx="2442210" cy="1354455"/>
            <wp:effectExtent l="0" t="0" r="0" b="0"/>
            <wp:docPr id="345835521" name="图片 7"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35521" name="图片 7" descr="图表, 散点图&#10;&#10;AI 生成的内容可能不正确。"/>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442210" cy="1354455"/>
                    </a:xfrm>
                    <a:prstGeom prst="rect">
                      <a:avLst/>
                    </a:prstGeom>
                    <a:noFill/>
                    <a:ln>
                      <a:noFill/>
                    </a:ln>
                  </pic:spPr>
                </pic:pic>
              </a:graphicData>
            </a:graphic>
          </wp:inline>
        </w:drawing>
      </w:r>
    </w:p>
    <w:p w14:paraId="79955CA7"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4BA5A809" w14:textId="17377813" w:rsidR="00D41749" w:rsidRPr="004D46AC" w:rsidRDefault="00D41749" w:rsidP="00D41749">
      <w:pPr>
        <w:spacing w:line="240" w:lineRule="auto"/>
        <w:ind w:firstLine="0"/>
        <w:rPr>
          <w:rFonts w:eastAsiaTheme="minorEastAsia"/>
          <w:b/>
          <w:bCs/>
        </w:rPr>
      </w:pPr>
      <w:bookmarkStart w:id="362" w:name="_Toc219880218"/>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36</w:t>
      </w:r>
      <w:bookmarkEnd w:id="362"/>
      <w:r w:rsidRPr="004D46AC">
        <w:rPr>
          <w:b/>
          <w:bCs/>
        </w:rPr>
        <w:fldChar w:fldCharType="end"/>
      </w:r>
    </w:p>
    <w:p w14:paraId="79702512" w14:textId="77777777" w:rsidR="007075D9" w:rsidRPr="004D46AC" w:rsidRDefault="007075D9" w:rsidP="00D41749">
      <w:pPr>
        <w:spacing w:line="240" w:lineRule="auto"/>
        <w:ind w:firstLine="0"/>
        <w:rPr>
          <w:i/>
          <w:iCs/>
        </w:rPr>
      </w:pPr>
      <w:r w:rsidRPr="004D46AC">
        <w:rPr>
          <w:i/>
          <w:iCs/>
        </w:rPr>
        <w:t>Funnel plots for current hallucinations in bipolar patients</w:t>
      </w:r>
    </w:p>
    <w:p w14:paraId="5E4B2CBB" w14:textId="77777777" w:rsidR="007075D9" w:rsidRPr="004D46AC" w:rsidRDefault="007075D9" w:rsidP="00D41749">
      <w:pPr>
        <w:spacing w:line="240" w:lineRule="auto"/>
        <w:ind w:firstLine="0"/>
        <w:rPr>
          <w:b/>
          <w:bCs/>
          <w:i/>
          <w:iCs/>
        </w:rPr>
      </w:pPr>
    </w:p>
    <w:p w14:paraId="04FFF241" w14:textId="77777777" w:rsidR="007075D9" w:rsidRPr="004D46AC" w:rsidRDefault="007075D9" w:rsidP="00D41749">
      <w:pPr>
        <w:spacing w:line="240" w:lineRule="auto"/>
        <w:ind w:firstLine="0"/>
        <w:rPr>
          <w:b/>
          <w:bCs/>
          <w:i/>
          <w:iCs/>
        </w:rPr>
      </w:pPr>
    </w:p>
    <w:p w14:paraId="69FD65CD" w14:textId="77777777" w:rsidR="007075D9" w:rsidRPr="004D46AC" w:rsidRDefault="007075D9" w:rsidP="00D41749">
      <w:pPr>
        <w:spacing w:line="240" w:lineRule="auto"/>
        <w:ind w:firstLine="0"/>
        <w:rPr>
          <w:b/>
          <w:bCs/>
          <w:i/>
          <w:iCs/>
        </w:rPr>
      </w:pPr>
    </w:p>
    <w:p w14:paraId="39376089" w14:textId="77777777" w:rsidR="007075D9" w:rsidRPr="004D46AC" w:rsidRDefault="007075D9" w:rsidP="00D41749">
      <w:pPr>
        <w:spacing w:line="240" w:lineRule="auto"/>
        <w:ind w:firstLine="0"/>
        <w:rPr>
          <w:b/>
          <w:bCs/>
          <w:i/>
          <w:iCs/>
        </w:rPr>
      </w:pPr>
    </w:p>
    <w:p w14:paraId="1C7F334D" w14:textId="77777777" w:rsidR="007075D9" w:rsidRPr="004D46AC" w:rsidRDefault="007075D9" w:rsidP="00D41749">
      <w:pPr>
        <w:spacing w:line="240" w:lineRule="auto"/>
        <w:ind w:firstLine="0"/>
        <w:rPr>
          <w:b/>
          <w:bCs/>
          <w:i/>
          <w:iCs/>
        </w:rPr>
      </w:pPr>
    </w:p>
    <w:p w14:paraId="56DFC80B" w14:textId="77777777" w:rsidR="007075D9" w:rsidRPr="004D46AC" w:rsidRDefault="007075D9" w:rsidP="00D41749">
      <w:pPr>
        <w:spacing w:line="240" w:lineRule="auto"/>
        <w:ind w:firstLine="0"/>
        <w:rPr>
          <w:b/>
          <w:bCs/>
          <w:i/>
          <w:iCs/>
        </w:rPr>
      </w:pPr>
    </w:p>
    <w:p w14:paraId="620A3B3D" w14:textId="77777777" w:rsidR="007075D9" w:rsidRPr="004D46AC" w:rsidRDefault="007075D9" w:rsidP="00D41749">
      <w:pPr>
        <w:spacing w:line="240" w:lineRule="auto"/>
        <w:ind w:firstLine="0"/>
        <w:rPr>
          <w:b/>
          <w:bCs/>
          <w:i/>
          <w:iCs/>
        </w:rPr>
      </w:pPr>
    </w:p>
    <w:p w14:paraId="3D8F8CEB" w14:textId="77777777" w:rsidR="007075D9" w:rsidRPr="004D46AC" w:rsidRDefault="007075D9" w:rsidP="00D41749">
      <w:pPr>
        <w:spacing w:line="240" w:lineRule="auto"/>
        <w:ind w:firstLine="0"/>
        <w:rPr>
          <w:b/>
          <w:bCs/>
          <w:i/>
          <w:iCs/>
        </w:rPr>
      </w:pPr>
    </w:p>
    <w:p w14:paraId="471DF394" w14:textId="77777777" w:rsidR="007075D9" w:rsidRPr="004D46AC" w:rsidRDefault="007075D9" w:rsidP="00D41749">
      <w:pPr>
        <w:spacing w:line="240" w:lineRule="auto"/>
        <w:ind w:firstLine="0"/>
        <w:rPr>
          <w:b/>
          <w:bCs/>
          <w:i/>
          <w:iCs/>
        </w:rPr>
      </w:pPr>
    </w:p>
    <w:p w14:paraId="6316574B" w14:textId="77777777" w:rsidR="007075D9" w:rsidRPr="004D46AC" w:rsidRDefault="007075D9" w:rsidP="00D41749">
      <w:pPr>
        <w:spacing w:line="240" w:lineRule="auto"/>
        <w:ind w:firstLine="0"/>
        <w:rPr>
          <w:b/>
          <w:bCs/>
          <w:i/>
          <w:iCs/>
        </w:rPr>
      </w:pPr>
    </w:p>
    <w:p w14:paraId="6B1FD2FA" w14:textId="77777777" w:rsidR="007075D9" w:rsidRPr="004D46AC" w:rsidRDefault="007075D9" w:rsidP="00D41749">
      <w:pPr>
        <w:spacing w:line="240" w:lineRule="auto"/>
        <w:ind w:firstLine="0"/>
        <w:rPr>
          <w:b/>
          <w:bCs/>
          <w:i/>
          <w:iCs/>
        </w:rPr>
      </w:pPr>
    </w:p>
    <w:p w14:paraId="3EEDAEE4" w14:textId="77777777" w:rsidR="007075D9" w:rsidRPr="004D46AC" w:rsidRDefault="007075D9" w:rsidP="00D41749">
      <w:pPr>
        <w:spacing w:line="240" w:lineRule="auto"/>
        <w:ind w:firstLine="0"/>
        <w:rPr>
          <w:b/>
          <w:bCs/>
          <w:i/>
          <w:iCs/>
        </w:rPr>
      </w:pPr>
    </w:p>
    <w:p w14:paraId="3F5B3439" w14:textId="77777777" w:rsidR="007075D9" w:rsidRPr="004D46AC" w:rsidRDefault="007075D9" w:rsidP="00D41749">
      <w:pPr>
        <w:spacing w:line="240" w:lineRule="auto"/>
        <w:ind w:firstLine="0"/>
        <w:rPr>
          <w:b/>
          <w:bCs/>
          <w:i/>
          <w:iCs/>
        </w:rPr>
      </w:pPr>
    </w:p>
    <w:p w14:paraId="28EF4EEB" w14:textId="77777777" w:rsidR="007075D9" w:rsidRPr="004D46AC" w:rsidRDefault="007075D9" w:rsidP="00D41749">
      <w:pPr>
        <w:spacing w:line="240" w:lineRule="auto"/>
        <w:ind w:firstLine="0"/>
        <w:rPr>
          <w:b/>
          <w:bCs/>
          <w:i/>
          <w:iCs/>
        </w:rPr>
      </w:pPr>
    </w:p>
    <w:p w14:paraId="7FB34989" w14:textId="77777777" w:rsidR="007075D9" w:rsidRPr="004D46AC" w:rsidRDefault="007075D9" w:rsidP="00D41749">
      <w:pPr>
        <w:spacing w:line="240" w:lineRule="auto"/>
        <w:ind w:firstLine="0"/>
        <w:rPr>
          <w:b/>
          <w:bCs/>
          <w:i/>
          <w:iCs/>
        </w:rPr>
      </w:pPr>
    </w:p>
    <w:p w14:paraId="1C190781" w14:textId="77777777" w:rsidR="007075D9" w:rsidRPr="004D46AC" w:rsidRDefault="007075D9" w:rsidP="00D41749">
      <w:pPr>
        <w:spacing w:line="240" w:lineRule="auto"/>
        <w:ind w:firstLine="0"/>
        <w:rPr>
          <w:b/>
          <w:bCs/>
          <w:i/>
          <w:iCs/>
        </w:rPr>
      </w:pPr>
    </w:p>
    <w:p w14:paraId="0741A7B9" w14:textId="77777777" w:rsidR="007075D9" w:rsidRPr="004D46AC" w:rsidRDefault="007075D9" w:rsidP="00D41749">
      <w:pPr>
        <w:spacing w:line="240" w:lineRule="auto"/>
        <w:ind w:firstLine="0"/>
        <w:rPr>
          <w:b/>
          <w:bCs/>
          <w:i/>
          <w:iCs/>
        </w:rPr>
      </w:pPr>
    </w:p>
    <w:p w14:paraId="7CCC1F19" w14:textId="77777777" w:rsidR="007075D9" w:rsidRPr="004D46AC" w:rsidRDefault="007075D9" w:rsidP="00D41749">
      <w:pPr>
        <w:spacing w:line="240" w:lineRule="auto"/>
        <w:ind w:firstLine="0"/>
        <w:rPr>
          <w:rFonts w:eastAsiaTheme="minorEastAsia"/>
          <w:b/>
          <w:bCs/>
          <w:i/>
          <w:iCs/>
        </w:rPr>
      </w:pPr>
    </w:p>
    <w:p w14:paraId="0DEFD002" w14:textId="77777777" w:rsidR="00CC3324" w:rsidRPr="004D46AC" w:rsidRDefault="00CC3324" w:rsidP="00D41749">
      <w:pPr>
        <w:spacing w:line="240" w:lineRule="auto"/>
        <w:ind w:firstLine="0"/>
        <w:rPr>
          <w:rFonts w:eastAsiaTheme="minorEastAsia"/>
          <w:b/>
          <w:bCs/>
          <w:i/>
          <w:iCs/>
        </w:rPr>
      </w:pPr>
    </w:p>
    <w:p w14:paraId="089CC41A" w14:textId="77777777" w:rsidR="00CC3324" w:rsidRPr="004D46AC" w:rsidRDefault="00CC3324" w:rsidP="00D41749">
      <w:pPr>
        <w:spacing w:line="240" w:lineRule="auto"/>
        <w:ind w:firstLine="0"/>
        <w:rPr>
          <w:rFonts w:eastAsiaTheme="minorEastAsia"/>
          <w:b/>
          <w:bCs/>
          <w:i/>
          <w:iCs/>
        </w:rPr>
      </w:pPr>
    </w:p>
    <w:p w14:paraId="25AAA7B7" w14:textId="77777777" w:rsidR="00CC3324" w:rsidRPr="004D46AC" w:rsidRDefault="00CC3324" w:rsidP="00D41749">
      <w:pPr>
        <w:spacing w:line="240" w:lineRule="auto"/>
        <w:ind w:firstLine="0"/>
        <w:rPr>
          <w:rFonts w:eastAsiaTheme="minorEastAsia"/>
          <w:b/>
          <w:bCs/>
          <w:i/>
          <w:iCs/>
        </w:rPr>
      </w:pPr>
    </w:p>
    <w:p w14:paraId="189B1FAD" w14:textId="77777777" w:rsidR="00CC3324" w:rsidRPr="004D46AC" w:rsidRDefault="00CC3324" w:rsidP="00D41749">
      <w:pPr>
        <w:spacing w:line="240" w:lineRule="auto"/>
        <w:ind w:firstLine="0"/>
        <w:rPr>
          <w:rFonts w:eastAsiaTheme="minorEastAsia"/>
          <w:b/>
          <w:bCs/>
          <w:i/>
          <w:iCs/>
        </w:rPr>
      </w:pPr>
    </w:p>
    <w:p w14:paraId="30769BE2" w14:textId="77777777" w:rsidR="00CC3324" w:rsidRPr="004D46AC" w:rsidRDefault="00CC3324" w:rsidP="00D41749">
      <w:pPr>
        <w:spacing w:line="240" w:lineRule="auto"/>
        <w:ind w:firstLine="0"/>
        <w:rPr>
          <w:rFonts w:eastAsiaTheme="minorEastAsia"/>
          <w:b/>
          <w:bCs/>
          <w:i/>
          <w:iCs/>
        </w:rPr>
      </w:pPr>
    </w:p>
    <w:p w14:paraId="2DCC62AF" w14:textId="77777777" w:rsidR="00CC3324" w:rsidRPr="004D46AC" w:rsidRDefault="00CC3324" w:rsidP="00D41749">
      <w:pPr>
        <w:spacing w:line="240" w:lineRule="auto"/>
        <w:ind w:firstLine="0"/>
        <w:rPr>
          <w:rFonts w:eastAsiaTheme="minorEastAsia"/>
          <w:b/>
          <w:bCs/>
          <w:i/>
          <w:iCs/>
        </w:rPr>
      </w:pPr>
    </w:p>
    <w:p w14:paraId="3B69BEE6" w14:textId="77777777" w:rsidR="00CC3324" w:rsidRPr="004D46AC" w:rsidRDefault="00CC3324" w:rsidP="00D41749">
      <w:pPr>
        <w:spacing w:line="240" w:lineRule="auto"/>
        <w:ind w:firstLine="0"/>
        <w:rPr>
          <w:rFonts w:eastAsiaTheme="minorEastAsia"/>
          <w:b/>
          <w:bCs/>
          <w:i/>
          <w:iCs/>
        </w:rPr>
      </w:pPr>
    </w:p>
    <w:p w14:paraId="78EC82E3" w14:textId="77777777" w:rsidR="00CC3324" w:rsidRPr="004D46AC" w:rsidRDefault="00CC3324" w:rsidP="00D41749">
      <w:pPr>
        <w:spacing w:line="240" w:lineRule="auto"/>
        <w:ind w:firstLine="0"/>
        <w:rPr>
          <w:rFonts w:eastAsiaTheme="minorEastAsia"/>
          <w:b/>
          <w:bCs/>
          <w:i/>
          <w:iCs/>
        </w:rPr>
      </w:pPr>
    </w:p>
    <w:p w14:paraId="02B28A1C" w14:textId="77777777" w:rsidR="00CC3324" w:rsidRPr="004D46AC" w:rsidRDefault="00CC3324" w:rsidP="00D41749">
      <w:pPr>
        <w:spacing w:line="240" w:lineRule="auto"/>
        <w:ind w:firstLine="0"/>
        <w:rPr>
          <w:rFonts w:eastAsiaTheme="minorEastAsia"/>
          <w:b/>
          <w:bCs/>
          <w:i/>
          <w:iCs/>
        </w:rPr>
      </w:pPr>
    </w:p>
    <w:p w14:paraId="3DD1F971" w14:textId="77777777" w:rsidR="007075D9" w:rsidRPr="004D46AC" w:rsidRDefault="007075D9" w:rsidP="00D41749">
      <w:pPr>
        <w:spacing w:line="240" w:lineRule="auto"/>
        <w:ind w:firstLine="0"/>
        <w:rPr>
          <w:b/>
          <w:bCs/>
          <w:i/>
          <w:iCs/>
        </w:rPr>
      </w:pPr>
    </w:p>
    <w:p w14:paraId="3B5B4B87" w14:textId="77777777" w:rsidR="007075D9" w:rsidRPr="004D46AC" w:rsidRDefault="007075D9" w:rsidP="00D41749">
      <w:pPr>
        <w:spacing w:line="240" w:lineRule="auto"/>
        <w:ind w:firstLine="0"/>
        <w:rPr>
          <w:b/>
          <w:bCs/>
          <w:i/>
          <w:iCs/>
        </w:rPr>
      </w:pPr>
    </w:p>
    <w:p w14:paraId="386D4DF7"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29017305" wp14:editId="37A642FC">
            <wp:extent cx="5278120" cy="2395855"/>
            <wp:effectExtent l="0" t="0" r="0" b="4445"/>
            <wp:docPr id="1528025770" name="图片 6"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25770" name="图片 6" descr="文本&#10;&#10;AI 生成的内容可能不正确。"/>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278120" cy="2395855"/>
                    </a:xfrm>
                    <a:prstGeom prst="rect">
                      <a:avLst/>
                    </a:prstGeom>
                    <a:noFill/>
                    <a:ln>
                      <a:noFill/>
                    </a:ln>
                  </pic:spPr>
                </pic:pic>
              </a:graphicData>
            </a:graphic>
          </wp:inline>
        </w:drawing>
      </w:r>
    </w:p>
    <w:p w14:paraId="3AC6F9F1" w14:textId="4D0851B7" w:rsidR="00D41749" w:rsidRPr="004D46AC" w:rsidRDefault="00D41749" w:rsidP="00D41749">
      <w:pPr>
        <w:spacing w:line="240" w:lineRule="auto"/>
        <w:ind w:firstLine="0"/>
        <w:rPr>
          <w:rFonts w:eastAsiaTheme="minorEastAsia"/>
          <w:b/>
          <w:bCs/>
        </w:rPr>
      </w:pPr>
      <w:bookmarkStart w:id="363" w:name="_Toc219880219"/>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37</w:t>
      </w:r>
      <w:bookmarkEnd w:id="363"/>
      <w:r w:rsidRPr="004D46AC">
        <w:rPr>
          <w:b/>
          <w:bCs/>
        </w:rPr>
        <w:fldChar w:fldCharType="end"/>
      </w:r>
    </w:p>
    <w:p w14:paraId="527C95F5" w14:textId="79011D1E" w:rsidR="007075D9" w:rsidRPr="004D46AC" w:rsidRDefault="007075D9" w:rsidP="00D41749">
      <w:pPr>
        <w:spacing w:line="240" w:lineRule="auto"/>
        <w:ind w:firstLine="0"/>
        <w:rPr>
          <w:i/>
          <w:iCs/>
        </w:rPr>
      </w:pPr>
      <w:bookmarkStart w:id="364" w:name="OLE_LINK102"/>
      <w:r w:rsidRPr="004D46AC">
        <w:rPr>
          <w:i/>
          <w:iCs/>
        </w:rPr>
        <w:t>Pooled rate of lifetime thought disorders in bipolar patients</w:t>
      </w:r>
    </w:p>
    <w:bookmarkEnd w:id="364"/>
    <w:p w14:paraId="1091AF00" w14:textId="77777777" w:rsidR="007075D9" w:rsidRPr="004D46AC" w:rsidRDefault="007075D9" w:rsidP="00D41749">
      <w:pPr>
        <w:spacing w:line="240" w:lineRule="auto"/>
        <w:ind w:firstLine="0"/>
        <w:rPr>
          <w:b/>
          <w:bCs/>
          <w:i/>
          <w:iCs/>
        </w:rPr>
      </w:pPr>
    </w:p>
    <w:p w14:paraId="3FF3420E" w14:textId="77777777" w:rsidR="007075D9" w:rsidRPr="004D46AC" w:rsidRDefault="007075D9" w:rsidP="00D41749">
      <w:pPr>
        <w:spacing w:line="240" w:lineRule="auto"/>
        <w:ind w:firstLine="0"/>
        <w:rPr>
          <w:b/>
          <w:bCs/>
          <w:i/>
          <w:iCs/>
        </w:rPr>
      </w:pPr>
    </w:p>
    <w:p w14:paraId="7239EF9F" w14:textId="77777777" w:rsidR="007075D9" w:rsidRPr="004D46AC" w:rsidRDefault="007075D9" w:rsidP="00D41749">
      <w:pPr>
        <w:spacing w:line="240" w:lineRule="auto"/>
        <w:ind w:firstLine="0"/>
        <w:rPr>
          <w:b/>
          <w:bCs/>
          <w:i/>
          <w:iCs/>
        </w:rPr>
      </w:pPr>
    </w:p>
    <w:p w14:paraId="33AA8D1D" w14:textId="77777777" w:rsidR="007075D9" w:rsidRPr="004D46AC" w:rsidRDefault="007075D9" w:rsidP="00D41749">
      <w:pPr>
        <w:spacing w:line="240" w:lineRule="auto"/>
        <w:ind w:firstLine="0"/>
        <w:rPr>
          <w:b/>
          <w:bCs/>
          <w:i/>
          <w:iCs/>
        </w:rPr>
      </w:pPr>
    </w:p>
    <w:p w14:paraId="30F4702C" w14:textId="77777777" w:rsidR="007075D9" w:rsidRPr="004D46AC" w:rsidRDefault="007075D9" w:rsidP="00D41749">
      <w:pPr>
        <w:spacing w:line="240" w:lineRule="auto"/>
        <w:ind w:firstLine="0"/>
        <w:rPr>
          <w:b/>
          <w:bCs/>
          <w:i/>
          <w:iCs/>
        </w:rPr>
      </w:pPr>
    </w:p>
    <w:p w14:paraId="2C800B46" w14:textId="77777777" w:rsidR="007075D9" w:rsidRPr="004D46AC" w:rsidRDefault="007075D9" w:rsidP="00D41749">
      <w:pPr>
        <w:spacing w:line="240" w:lineRule="auto"/>
        <w:ind w:firstLine="0"/>
        <w:rPr>
          <w:b/>
          <w:bCs/>
          <w:i/>
          <w:iCs/>
        </w:rPr>
      </w:pPr>
    </w:p>
    <w:p w14:paraId="473D3440" w14:textId="77777777" w:rsidR="007075D9" w:rsidRPr="004D46AC" w:rsidRDefault="007075D9" w:rsidP="00D41749">
      <w:pPr>
        <w:spacing w:line="240" w:lineRule="auto"/>
        <w:ind w:firstLine="0"/>
        <w:rPr>
          <w:b/>
          <w:bCs/>
          <w:i/>
          <w:iCs/>
        </w:rPr>
      </w:pPr>
    </w:p>
    <w:p w14:paraId="120A6175" w14:textId="77777777" w:rsidR="007075D9" w:rsidRPr="004D46AC" w:rsidRDefault="007075D9" w:rsidP="00D41749">
      <w:pPr>
        <w:spacing w:line="240" w:lineRule="auto"/>
        <w:ind w:firstLine="0"/>
        <w:rPr>
          <w:b/>
          <w:bCs/>
          <w:i/>
          <w:iCs/>
        </w:rPr>
      </w:pPr>
    </w:p>
    <w:p w14:paraId="33496FB1" w14:textId="77777777" w:rsidR="007075D9" w:rsidRPr="004D46AC" w:rsidRDefault="007075D9" w:rsidP="00D41749">
      <w:pPr>
        <w:spacing w:line="240" w:lineRule="auto"/>
        <w:ind w:firstLine="0"/>
        <w:rPr>
          <w:b/>
          <w:bCs/>
          <w:i/>
          <w:iCs/>
        </w:rPr>
      </w:pPr>
    </w:p>
    <w:p w14:paraId="234E96E5" w14:textId="77777777" w:rsidR="007075D9" w:rsidRPr="004D46AC" w:rsidRDefault="007075D9" w:rsidP="00D41749">
      <w:pPr>
        <w:spacing w:line="240" w:lineRule="auto"/>
        <w:ind w:firstLine="0"/>
        <w:rPr>
          <w:b/>
          <w:bCs/>
          <w:i/>
          <w:iCs/>
        </w:rPr>
      </w:pPr>
    </w:p>
    <w:p w14:paraId="18FF8E82" w14:textId="77777777" w:rsidR="007075D9" w:rsidRPr="004D46AC" w:rsidRDefault="007075D9" w:rsidP="00D41749">
      <w:pPr>
        <w:spacing w:line="240" w:lineRule="auto"/>
        <w:ind w:firstLine="0"/>
        <w:rPr>
          <w:b/>
          <w:bCs/>
          <w:i/>
          <w:iCs/>
        </w:rPr>
      </w:pPr>
    </w:p>
    <w:p w14:paraId="1F0AD75D" w14:textId="77777777" w:rsidR="007075D9" w:rsidRPr="004D46AC" w:rsidRDefault="007075D9" w:rsidP="00D41749">
      <w:pPr>
        <w:spacing w:line="240" w:lineRule="auto"/>
        <w:ind w:firstLine="0"/>
        <w:rPr>
          <w:b/>
          <w:bCs/>
          <w:i/>
          <w:iCs/>
        </w:rPr>
      </w:pPr>
    </w:p>
    <w:p w14:paraId="7DF4BEDB" w14:textId="77777777" w:rsidR="007075D9" w:rsidRPr="004D46AC" w:rsidRDefault="007075D9" w:rsidP="00D41749">
      <w:pPr>
        <w:spacing w:line="240" w:lineRule="auto"/>
        <w:ind w:firstLine="0"/>
        <w:rPr>
          <w:b/>
          <w:bCs/>
          <w:i/>
          <w:iCs/>
        </w:rPr>
      </w:pPr>
    </w:p>
    <w:p w14:paraId="314AE0FA" w14:textId="77777777" w:rsidR="007075D9" w:rsidRPr="004D46AC" w:rsidRDefault="007075D9" w:rsidP="00D41749">
      <w:pPr>
        <w:spacing w:line="240" w:lineRule="auto"/>
        <w:ind w:firstLine="0"/>
        <w:rPr>
          <w:b/>
          <w:bCs/>
          <w:i/>
          <w:iCs/>
        </w:rPr>
      </w:pPr>
    </w:p>
    <w:p w14:paraId="20A5B5C2" w14:textId="77777777" w:rsidR="007075D9" w:rsidRPr="004D46AC" w:rsidRDefault="007075D9" w:rsidP="00D41749">
      <w:pPr>
        <w:spacing w:line="240" w:lineRule="auto"/>
        <w:ind w:firstLine="0"/>
        <w:rPr>
          <w:rFonts w:eastAsiaTheme="minorEastAsia"/>
          <w:b/>
          <w:bCs/>
          <w:i/>
          <w:iCs/>
        </w:rPr>
      </w:pPr>
    </w:p>
    <w:p w14:paraId="5585666B" w14:textId="77777777" w:rsidR="00CC3324" w:rsidRPr="004D46AC" w:rsidRDefault="00CC3324" w:rsidP="00D41749">
      <w:pPr>
        <w:spacing w:line="240" w:lineRule="auto"/>
        <w:ind w:firstLine="0"/>
        <w:rPr>
          <w:rFonts w:eastAsiaTheme="minorEastAsia"/>
          <w:b/>
          <w:bCs/>
          <w:i/>
          <w:iCs/>
        </w:rPr>
      </w:pPr>
    </w:p>
    <w:p w14:paraId="7CB5AB55" w14:textId="77777777" w:rsidR="00CC3324" w:rsidRPr="004D46AC" w:rsidRDefault="00CC3324" w:rsidP="00D41749">
      <w:pPr>
        <w:spacing w:line="240" w:lineRule="auto"/>
        <w:ind w:firstLine="0"/>
        <w:rPr>
          <w:rFonts w:eastAsiaTheme="minorEastAsia"/>
          <w:b/>
          <w:bCs/>
          <w:i/>
          <w:iCs/>
        </w:rPr>
      </w:pPr>
    </w:p>
    <w:p w14:paraId="666ACB94" w14:textId="77777777" w:rsidR="00CC3324" w:rsidRPr="004D46AC" w:rsidRDefault="00CC3324" w:rsidP="00D41749">
      <w:pPr>
        <w:spacing w:line="240" w:lineRule="auto"/>
        <w:ind w:firstLine="0"/>
        <w:rPr>
          <w:rFonts w:eastAsiaTheme="minorEastAsia"/>
          <w:b/>
          <w:bCs/>
          <w:i/>
          <w:iCs/>
        </w:rPr>
      </w:pPr>
    </w:p>
    <w:p w14:paraId="62F2FF35" w14:textId="77777777" w:rsidR="00CC3324" w:rsidRPr="004D46AC" w:rsidRDefault="00CC3324" w:rsidP="00D41749">
      <w:pPr>
        <w:spacing w:line="240" w:lineRule="auto"/>
        <w:ind w:firstLine="0"/>
        <w:rPr>
          <w:rFonts w:eastAsiaTheme="minorEastAsia"/>
          <w:b/>
          <w:bCs/>
          <w:i/>
          <w:iCs/>
        </w:rPr>
      </w:pPr>
    </w:p>
    <w:p w14:paraId="64200E99" w14:textId="77777777" w:rsidR="00CC3324" w:rsidRPr="004D46AC" w:rsidRDefault="00CC3324" w:rsidP="00D41749">
      <w:pPr>
        <w:spacing w:line="240" w:lineRule="auto"/>
        <w:ind w:firstLine="0"/>
        <w:rPr>
          <w:rFonts w:eastAsiaTheme="minorEastAsia"/>
          <w:b/>
          <w:bCs/>
          <w:i/>
          <w:iCs/>
        </w:rPr>
      </w:pPr>
    </w:p>
    <w:p w14:paraId="03C7C023" w14:textId="77777777" w:rsidR="00CC3324" w:rsidRPr="004D46AC" w:rsidRDefault="00CC3324" w:rsidP="00D41749">
      <w:pPr>
        <w:spacing w:line="240" w:lineRule="auto"/>
        <w:ind w:firstLine="0"/>
        <w:rPr>
          <w:rFonts w:eastAsiaTheme="minorEastAsia"/>
          <w:b/>
          <w:bCs/>
          <w:i/>
          <w:iCs/>
        </w:rPr>
      </w:pPr>
    </w:p>
    <w:p w14:paraId="4CC72034" w14:textId="77777777" w:rsidR="00CC3324" w:rsidRPr="004D46AC" w:rsidRDefault="00CC3324" w:rsidP="00D41749">
      <w:pPr>
        <w:spacing w:line="240" w:lineRule="auto"/>
        <w:ind w:firstLine="0"/>
        <w:rPr>
          <w:rFonts w:eastAsiaTheme="minorEastAsia"/>
          <w:b/>
          <w:bCs/>
          <w:i/>
          <w:iCs/>
        </w:rPr>
      </w:pPr>
    </w:p>
    <w:p w14:paraId="2CDEACC5" w14:textId="77777777" w:rsidR="00CC3324" w:rsidRPr="004D46AC" w:rsidRDefault="00CC3324" w:rsidP="00D41749">
      <w:pPr>
        <w:spacing w:line="240" w:lineRule="auto"/>
        <w:ind w:firstLine="0"/>
        <w:rPr>
          <w:rFonts w:eastAsiaTheme="minorEastAsia"/>
          <w:b/>
          <w:bCs/>
          <w:i/>
          <w:iCs/>
        </w:rPr>
      </w:pPr>
    </w:p>
    <w:p w14:paraId="3729D96E" w14:textId="77777777" w:rsidR="00CC3324" w:rsidRPr="004D46AC" w:rsidRDefault="00CC3324" w:rsidP="00D41749">
      <w:pPr>
        <w:spacing w:line="240" w:lineRule="auto"/>
        <w:ind w:firstLine="0"/>
        <w:rPr>
          <w:rFonts w:eastAsiaTheme="minorEastAsia"/>
          <w:b/>
          <w:bCs/>
          <w:i/>
          <w:iCs/>
        </w:rPr>
      </w:pPr>
    </w:p>
    <w:p w14:paraId="68686FD6" w14:textId="77777777" w:rsidR="00CC3324" w:rsidRPr="004D46AC" w:rsidRDefault="00CC3324" w:rsidP="00D41749">
      <w:pPr>
        <w:spacing w:line="240" w:lineRule="auto"/>
        <w:ind w:firstLine="0"/>
        <w:rPr>
          <w:rFonts w:eastAsiaTheme="minorEastAsia"/>
          <w:b/>
          <w:bCs/>
          <w:i/>
          <w:iCs/>
        </w:rPr>
      </w:pPr>
    </w:p>
    <w:p w14:paraId="0DF1C1A5" w14:textId="77777777" w:rsidR="00CC3324" w:rsidRPr="004D46AC" w:rsidRDefault="00CC3324" w:rsidP="00D41749">
      <w:pPr>
        <w:spacing w:line="240" w:lineRule="auto"/>
        <w:ind w:firstLine="0"/>
        <w:rPr>
          <w:rFonts w:eastAsiaTheme="minorEastAsia"/>
          <w:b/>
          <w:bCs/>
          <w:i/>
          <w:iCs/>
        </w:rPr>
      </w:pPr>
    </w:p>
    <w:p w14:paraId="7302FE9C" w14:textId="77777777" w:rsidR="00CC3324" w:rsidRPr="004D46AC" w:rsidRDefault="00CC3324" w:rsidP="00D41749">
      <w:pPr>
        <w:spacing w:line="240" w:lineRule="auto"/>
        <w:ind w:firstLine="0"/>
        <w:rPr>
          <w:rFonts w:eastAsiaTheme="minorEastAsia"/>
          <w:b/>
          <w:bCs/>
          <w:i/>
          <w:iCs/>
        </w:rPr>
      </w:pPr>
    </w:p>
    <w:p w14:paraId="60D58485" w14:textId="77777777" w:rsidR="00CC3324" w:rsidRPr="004D46AC" w:rsidRDefault="00CC3324" w:rsidP="00D41749">
      <w:pPr>
        <w:spacing w:line="240" w:lineRule="auto"/>
        <w:ind w:firstLine="0"/>
        <w:rPr>
          <w:rFonts w:eastAsiaTheme="minorEastAsia"/>
          <w:b/>
          <w:bCs/>
          <w:i/>
          <w:iCs/>
        </w:rPr>
      </w:pPr>
    </w:p>
    <w:p w14:paraId="7B64E973" w14:textId="77777777" w:rsidR="00CC3324" w:rsidRPr="004D46AC" w:rsidRDefault="00CC3324" w:rsidP="00D41749">
      <w:pPr>
        <w:spacing w:line="240" w:lineRule="auto"/>
        <w:ind w:firstLine="0"/>
        <w:rPr>
          <w:rFonts w:eastAsiaTheme="minorEastAsia"/>
          <w:b/>
          <w:bCs/>
          <w:i/>
          <w:iCs/>
        </w:rPr>
      </w:pPr>
    </w:p>
    <w:p w14:paraId="103A8C47" w14:textId="77777777" w:rsidR="007075D9" w:rsidRPr="004D46AC" w:rsidRDefault="007075D9" w:rsidP="00D41749">
      <w:pPr>
        <w:spacing w:line="240" w:lineRule="auto"/>
        <w:ind w:firstLine="0"/>
        <w:rPr>
          <w:b/>
          <w:bCs/>
          <w:i/>
          <w:iCs/>
        </w:rPr>
      </w:pPr>
    </w:p>
    <w:p w14:paraId="31242722"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006491EC" wp14:editId="2D3EAC14">
            <wp:extent cx="2291715" cy="1308100"/>
            <wp:effectExtent l="0" t="0" r="0" b="6350"/>
            <wp:docPr id="417444628" name="图片 5" descr="图表, 漏斗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44628" name="图片 5" descr="图表, 漏斗图&#10;&#10;AI 生成的内容可能不正确。"/>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2291715" cy="1308100"/>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585C4E96" wp14:editId="683FB81E">
            <wp:extent cx="2401570" cy="1354455"/>
            <wp:effectExtent l="0" t="0" r="0" b="0"/>
            <wp:docPr id="609520454" name="图片 4"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20454" name="图片 4" descr="图片包含 图表&#10;&#10;AI 生成的内容可能不正确。"/>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401570" cy="1354455"/>
                    </a:xfrm>
                    <a:prstGeom prst="rect">
                      <a:avLst/>
                    </a:prstGeom>
                    <a:noFill/>
                    <a:ln>
                      <a:noFill/>
                    </a:ln>
                  </pic:spPr>
                </pic:pic>
              </a:graphicData>
            </a:graphic>
          </wp:inline>
        </w:drawing>
      </w:r>
    </w:p>
    <w:p w14:paraId="52FE04B0"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plot by sample size</w:t>
      </w:r>
    </w:p>
    <w:p w14:paraId="466D3BD0" w14:textId="72580F6C" w:rsidR="00D41749" w:rsidRPr="004D46AC" w:rsidRDefault="00D41749" w:rsidP="00D41749">
      <w:pPr>
        <w:spacing w:line="240" w:lineRule="auto"/>
        <w:ind w:firstLine="0"/>
        <w:rPr>
          <w:rFonts w:eastAsiaTheme="minorEastAsia"/>
          <w:b/>
          <w:bCs/>
        </w:rPr>
      </w:pPr>
      <w:bookmarkStart w:id="365" w:name="_Toc219880220"/>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38</w:t>
      </w:r>
      <w:bookmarkEnd w:id="365"/>
      <w:r w:rsidRPr="004D46AC">
        <w:rPr>
          <w:b/>
          <w:bCs/>
        </w:rPr>
        <w:fldChar w:fldCharType="end"/>
      </w:r>
    </w:p>
    <w:p w14:paraId="7B846319" w14:textId="038CAA48" w:rsidR="007075D9" w:rsidRPr="004D46AC" w:rsidRDefault="007075D9" w:rsidP="00D41749">
      <w:pPr>
        <w:spacing w:line="240" w:lineRule="auto"/>
        <w:ind w:firstLine="0"/>
        <w:rPr>
          <w:i/>
          <w:iCs/>
        </w:rPr>
      </w:pPr>
      <w:r w:rsidRPr="004D46AC">
        <w:rPr>
          <w:i/>
          <w:iCs/>
        </w:rPr>
        <w:t>Funnel plots for lifetime thought disorders in bipolar patients</w:t>
      </w:r>
    </w:p>
    <w:p w14:paraId="20DAA368" w14:textId="77777777" w:rsidR="007075D9" w:rsidRPr="004D46AC" w:rsidRDefault="007075D9" w:rsidP="00D41749">
      <w:pPr>
        <w:spacing w:line="240" w:lineRule="auto"/>
        <w:ind w:firstLine="0"/>
        <w:rPr>
          <w:b/>
          <w:bCs/>
          <w:i/>
          <w:iCs/>
        </w:rPr>
      </w:pPr>
    </w:p>
    <w:p w14:paraId="7EBB80DA" w14:textId="77777777" w:rsidR="007075D9" w:rsidRPr="004D46AC" w:rsidRDefault="007075D9" w:rsidP="00D41749">
      <w:pPr>
        <w:spacing w:line="240" w:lineRule="auto"/>
        <w:ind w:firstLine="0"/>
        <w:rPr>
          <w:b/>
          <w:bCs/>
          <w:i/>
          <w:iCs/>
        </w:rPr>
      </w:pPr>
    </w:p>
    <w:p w14:paraId="7A4B349C" w14:textId="77777777" w:rsidR="007075D9" w:rsidRPr="004D46AC" w:rsidRDefault="007075D9" w:rsidP="00D41749">
      <w:pPr>
        <w:spacing w:line="240" w:lineRule="auto"/>
        <w:ind w:firstLine="0"/>
        <w:rPr>
          <w:b/>
          <w:bCs/>
          <w:i/>
          <w:iCs/>
        </w:rPr>
      </w:pPr>
    </w:p>
    <w:p w14:paraId="322E49F8" w14:textId="77777777" w:rsidR="007075D9" w:rsidRPr="004D46AC" w:rsidRDefault="007075D9" w:rsidP="00D41749">
      <w:pPr>
        <w:spacing w:line="240" w:lineRule="auto"/>
        <w:ind w:firstLine="0"/>
        <w:rPr>
          <w:b/>
          <w:bCs/>
          <w:i/>
          <w:iCs/>
        </w:rPr>
      </w:pPr>
    </w:p>
    <w:p w14:paraId="34D88E54" w14:textId="77777777" w:rsidR="007075D9" w:rsidRPr="004D46AC" w:rsidRDefault="007075D9" w:rsidP="00D41749">
      <w:pPr>
        <w:spacing w:line="240" w:lineRule="auto"/>
        <w:ind w:firstLine="0"/>
        <w:rPr>
          <w:b/>
          <w:bCs/>
          <w:i/>
          <w:iCs/>
        </w:rPr>
      </w:pPr>
    </w:p>
    <w:p w14:paraId="72D9012F" w14:textId="77777777" w:rsidR="007075D9" w:rsidRPr="004D46AC" w:rsidRDefault="007075D9" w:rsidP="00D41749">
      <w:pPr>
        <w:spacing w:line="240" w:lineRule="auto"/>
        <w:ind w:firstLine="0"/>
        <w:rPr>
          <w:b/>
          <w:bCs/>
          <w:i/>
          <w:iCs/>
        </w:rPr>
      </w:pPr>
    </w:p>
    <w:p w14:paraId="0A0F4BA8" w14:textId="77777777" w:rsidR="007075D9" w:rsidRPr="004D46AC" w:rsidRDefault="007075D9" w:rsidP="00D41749">
      <w:pPr>
        <w:spacing w:line="240" w:lineRule="auto"/>
        <w:ind w:firstLine="0"/>
        <w:rPr>
          <w:b/>
          <w:bCs/>
          <w:i/>
          <w:iCs/>
        </w:rPr>
      </w:pPr>
    </w:p>
    <w:p w14:paraId="07D62EF2" w14:textId="77777777" w:rsidR="007075D9" w:rsidRPr="004D46AC" w:rsidRDefault="007075D9" w:rsidP="00D41749">
      <w:pPr>
        <w:spacing w:line="240" w:lineRule="auto"/>
        <w:ind w:firstLine="0"/>
        <w:rPr>
          <w:b/>
          <w:bCs/>
          <w:i/>
          <w:iCs/>
        </w:rPr>
      </w:pPr>
    </w:p>
    <w:p w14:paraId="3ED3B542" w14:textId="77777777" w:rsidR="007075D9" w:rsidRPr="004D46AC" w:rsidRDefault="007075D9" w:rsidP="00D41749">
      <w:pPr>
        <w:spacing w:line="240" w:lineRule="auto"/>
        <w:ind w:firstLine="0"/>
        <w:rPr>
          <w:b/>
          <w:bCs/>
          <w:i/>
          <w:iCs/>
        </w:rPr>
      </w:pPr>
    </w:p>
    <w:p w14:paraId="5ADD796B" w14:textId="77777777" w:rsidR="007075D9" w:rsidRPr="004D46AC" w:rsidRDefault="007075D9" w:rsidP="00D41749">
      <w:pPr>
        <w:spacing w:line="240" w:lineRule="auto"/>
        <w:ind w:firstLine="0"/>
        <w:rPr>
          <w:b/>
          <w:bCs/>
          <w:i/>
          <w:iCs/>
        </w:rPr>
      </w:pPr>
    </w:p>
    <w:p w14:paraId="7D87F2E8" w14:textId="77777777" w:rsidR="007075D9" w:rsidRPr="004D46AC" w:rsidRDefault="007075D9" w:rsidP="00D41749">
      <w:pPr>
        <w:spacing w:line="240" w:lineRule="auto"/>
        <w:ind w:firstLine="0"/>
        <w:rPr>
          <w:b/>
          <w:bCs/>
          <w:i/>
          <w:iCs/>
        </w:rPr>
      </w:pPr>
    </w:p>
    <w:p w14:paraId="637EA3D8" w14:textId="77777777" w:rsidR="007075D9" w:rsidRPr="004D46AC" w:rsidRDefault="007075D9" w:rsidP="00D41749">
      <w:pPr>
        <w:spacing w:line="240" w:lineRule="auto"/>
        <w:ind w:firstLine="0"/>
        <w:rPr>
          <w:b/>
          <w:bCs/>
          <w:i/>
          <w:iCs/>
        </w:rPr>
      </w:pPr>
    </w:p>
    <w:p w14:paraId="0C606F29" w14:textId="77777777" w:rsidR="007075D9" w:rsidRPr="004D46AC" w:rsidRDefault="007075D9" w:rsidP="00D41749">
      <w:pPr>
        <w:spacing w:line="240" w:lineRule="auto"/>
        <w:ind w:firstLine="0"/>
        <w:rPr>
          <w:rFonts w:eastAsiaTheme="minorEastAsia"/>
          <w:b/>
          <w:bCs/>
          <w:i/>
          <w:iCs/>
        </w:rPr>
      </w:pPr>
    </w:p>
    <w:p w14:paraId="27D175BB" w14:textId="77777777" w:rsidR="00CC3324" w:rsidRPr="004D46AC" w:rsidRDefault="00CC3324" w:rsidP="00D41749">
      <w:pPr>
        <w:spacing w:line="240" w:lineRule="auto"/>
        <w:ind w:firstLine="0"/>
        <w:rPr>
          <w:rFonts w:eastAsiaTheme="minorEastAsia"/>
          <w:b/>
          <w:bCs/>
          <w:i/>
          <w:iCs/>
        </w:rPr>
      </w:pPr>
    </w:p>
    <w:p w14:paraId="387B2590" w14:textId="77777777" w:rsidR="00CC3324" w:rsidRPr="004D46AC" w:rsidRDefault="00CC3324" w:rsidP="00D41749">
      <w:pPr>
        <w:spacing w:line="240" w:lineRule="auto"/>
        <w:ind w:firstLine="0"/>
        <w:rPr>
          <w:rFonts w:eastAsiaTheme="minorEastAsia"/>
          <w:b/>
          <w:bCs/>
          <w:i/>
          <w:iCs/>
        </w:rPr>
      </w:pPr>
    </w:p>
    <w:p w14:paraId="71F500CF" w14:textId="77777777" w:rsidR="00CC3324" w:rsidRPr="004D46AC" w:rsidRDefault="00CC3324" w:rsidP="00D41749">
      <w:pPr>
        <w:spacing w:line="240" w:lineRule="auto"/>
        <w:ind w:firstLine="0"/>
        <w:rPr>
          <w:rFonts w:eastAsiaTheme="minorEastAsia"/>
          <w:b/>
          <w:bCs/>
          <w:i/>
          <w:iCs/>
        </w:rPr>
      </w:pPr>
    </w:p>
    <w:p w14:paraId="5D32325E" w14:textId="77777777" w:rsidR="00CC3324" w:rsidRPr="004D46AC" w:rsidRDefault="00CC3324" w:rsidP="00D41749">
      <w:pPr>
        <w:spacing w:line="240" w:lineRule="auto"/>
        <w:ind w:firstLine="0"/>
        <w:rPr>
          <w:rFonts w:eastAsiaTheme="minorEastAsia"/>
          <w:b/>
          <w:bCs/>
          <w:i/>
          <w:iCs/>
        </w:rPr>
      </w:pPr>
    </w:p>
    <w:p w14:paraId="7F6C5230" w14:textId="77777777" w:rsidR="00CC3324" w:rsidRPr="004D46AC" w:rsidRDefault="00CC3324" w:rsidP="00D41749">
      <w:pPr>
        <w:spacing w:line="240" w:lineRule="auto"/>
        <w:ind w:firstLine="0"/>
        <w:rPr>
          <w:rFonts w:eastAsiaTheme="minorEastAsia"/>
          <w:b/>
          <w:bCs/>
          <w:i/>
          <w:iCs/>
        </w:rPr>
      </w:pPr>
    </w:p>
    <w:p w14:paraId="21DF0532" w14:textId="77777777" w:rsidR="00CC3324" w:rsidRPr="004D46AC" w:rsidRDefault="00CC3324" w:rsidP="00D41749">
      <w:pPr>
        <w:spacing w:line="240" w:lineRule="auto"/>
        <w:ind w:firstLine="0"/>
        <w:rPr>
          <w:rFonts w:eastAsiaTheme="minorEastAsia"/>
          <w:b/>
          <w:bCs/>
          <w:i/>
          <w:iCs/>
        </w:rPr>
      </w:pPr>
    </w:p>
    <w:p w14:paraId="6AE91B1C" w14:textId="77777777" w:rsidR="00CC3324" w:rsidRPr="004D46AC" w:rsidRDefault="00CC3324" w:rsidP="00D41749">
      <w:pPr>
        <w:spacing w:line="240" w:lineRule="auto"/>
        <w:ind w:firstLine="0"/>
        <w:rPr>
          <w:rFonts w:eastAsiaTheme="minorEastAsia"/>
          <w:b/>
          <w:bCs/>
          <w:i/>
          <w:iCs/>
        </w:rPr>
      </w:pPr>
    </w:p>
    <w:p w14:paraId="2A266F5E" w14:textId="77777777" w:rsidR="00CC3324" w:rsidRPr="004D46AC" w:rsidRDefault="00CC3324" w:rsidP="00D41749">
      <w:pPr>
        <w:spacing w:line="240" w:lineRule="auto"/>
        <w:ind w:firstLine="0"/>
        <w:rPr>
          <w:rFonts w:eastAsiaTheme="minorEastAsia"/>
          <w:b/>
          <w:bCs/>
          <w:i/>
          <w:iCs/>
        </w:rPr>
      </w:pPr>
    </w:p>
    <w:p w14:paraId="3BE09DBB" w14:textId="77777777" w:rsidR="00CC3324" w:rsidRPr="004D46AC" w:rsidRDefault="00CC3324" w:rsidP="00D41749">
      <w:pPr>
        <w:spacing w:line="240" w:lineRule="auto"/>
        <w:ind w:firstLine="0"/>
        <w:rPr>
          <w:rFonts w:eastAsiaTheme="minorEastAsia"/>
          <w:b/>
          <w:bCs/>
          <w:i/>
          <w:iCs/>
        </w:rPr>
      </w:pPr>
    </w:p>
    <w:p w14:paraId="02FA75C5" w14:textId="77777777" w:rsidR="00CC3324" w:rsidRPr="004D46AC" w:rsidRDefault="00CC3324" w:rsidP="00D41749">
      <w:pPr>
        <w:spacing w:line="240" w:lineRule="auto"/>
        <w:ind w:firstLine="0"/>
        <w:rPr>
          <w:rFonts w:eastAsiaTheme="minorEastAsia"/>
          <w:b/>
          <w:bCs/>
          <w:i/>
          <w:iCs/>
        </w:rPr>
      </w:pPr>
    </w:p>
    <w:p w14:paraId="4A464E20" w14:textId="77777777" w:rsidR="00CC3324" w:rsidRPr="004D46AC" w:rsidRDefault="00CC3324" w:rsidP="00D41749">
      <w:pPr>
        <w:spacing w:line="240" w:lineRule="auto"/>
        <w:ind w:firstLine="0"/>
        <w:rPr>
          <w:rFonts w:eastAsiaTheme="minorEastAsia"/>
          <w:b/>
          <w:bCs/>
          <w:i/>
          <w:iCs/>
        </w:rPr>
      </w:pPr>
    </w:p>
    <w:p w14:paraId="781FA94C" w14:textId="77777777" w:rsidR="00CC3324" w:rsidRPr="004D46AC" w:rsidRDefault="00CC3324" w:rsidP="00D41749">
      <w:pPr>
        <w:spacing w:line="240" w:lineRule="auto"/>
        <w:ind w:firstLine="0"/>
        <w:rPr>
          <w:rFonts w:eastAsiaTheme="minorEastAsia"/>
          <w:b/>
          <w:bCs/>
          <w:i/>
          <w:iCs/>
        </w:rPr>
      </w:pPr>
    </w:p>
    <w:p w14:paraId="59F01E95" w14:textId="77777777" w:rsidR="00CC3324" w:rsidRPr="004D46AC" w:rsidRDefault="00CC3324" w:rsidP="00D41749">
      <w:pPr>
        <w:spacing w:line="240" w:lineRule="auto"/>
        <w:ind w:firstLine="0"/>
        <w:rPr>
          <w:rFonts w:eastAsiaTheme="minorEastAsia"/>
          <w:b/>
          <w:bCs/>
          <w:i/>
          <w:iCs/>
        </w:rPr>
      </w:pPr>
    </w:p>
    <w:p w14:paraId="78B33BF7" w14:textId="77777777" w:rsidR="00CC3324" w:rsidRPr="004D46AC" w:rsidRDefault="00CC3324" w:rsidP="00D41749">
      <w:pPr>
        <w:spacing w:line="240" w:lineRule="auto"/>
        <w:ind w:firstLine="0"/>
        <w:rPr>
          <w:rFonts w:eastAsiaTheme="minorEastAsia"/>
          <w:b/>
          <w:bCs/>
          <w:i/>
          <w:iCs/>
        </w:rPr>
      </w:pPr>
    </w:p>
    <w:p w14:paraId="6A953BA1" w14:textId="77777777" w:rsidR="007075D9" w:rsidRPr="004D46AC" w:rsidRDefault="007075D9" w:rsidP="00D41749">
      <w:pPr>
        <w:spacing w:line="240" w:lineRule="auto"/>
        <w:ind w:firstLine="0"/>
        <w:rPr>
          <w:b/>
          <w:bCs/>
          <w:i/>
          <w:iCs/>
        </w:rPr>
      </w:pPr>
    </w:p>
    <w:p w14:paraId="7A1D711E" w14:textId="77777777" w:rsidR="007075D9" w:rsidRPr="004D46AC" w:rsidRDefault="007075D9" w:rsidP="00D41749">
      <w:pPr>
        <w:spacing w:line="240" w:lineRule="auto"/>
        <w:ind w:firstLine="0"/>
        <w:rPr>
          <w:b/>
          <w:bCs/>
          <w:i/>
          <w:iCs/>
        </w:rPr>
      </w:pPr>
      <w:r w:rsidRPr="004D46AC">
        <w:rPr>
          <w:noProof/>
        </w:rPr>
        <w:lastRenderedPageBreak/>
        <w:drawing>
          <wp:inline distT="0" distB="0" distL="0" distR="0" wp14:anchorId="6F8738C1" wp14:editId="3199267F">
            <wp:extent cx="5278120" cy="2604135"/>
            <wp:effectExtent l="0" t="0" r="0" b="5715"/>
            <wp:docPr id="837032607" name="图片 3"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32607" name="图片 3" descr="图片包含 文本&#10;&#10;AI 生成的内容可能不正确。"/>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278120" cy="2604135"/>
                    </a:xfrm>
                    <a:prstGeom prst="rect">
                      <a:avLst/>
                    </a:prstGeom>
                    <a:noFill/>
                    <a:ln>
                      <a:noFill/>
                    </a:ln>
                  </pic:spPr>
                </pic:pic>
              </a:graphicData>
            </a:graphic>
          </wp:inline>
        </w:drawing>
      </w:r>
    </w:p>
    <w:p w14:paraId="6082E0F3" w14:textId="20F1F4CF" w:rsidR="00D41749" w:rsidRPr="004D46AC" w:rsidRDefault="00D41749" w:rsidP="00D41749">
      <w:pPr>
        <w:spacing w:line="240" w:lineRule="auto"/>
        <w:ind w:firstLine="0"/>
        <w:rPr>
          <w:rFonts w:eastAsiaTheme="minorEastAsia"/>
          <w:b/>
          <w:bCs/>
        </w:rPr>
      </w:pPr>
      <w:bookmarkStart w:id="366" w:name="_Toc219880221"/>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39</w:t>
      </w:r>
      <w:bookmarkEnd w:id="366"/>
      <w:r w:rsidRPr="004D46AC">
        <w:rPr>
          <w:b/>
          <w:bCs/>
        </w:rPr>
        <w:fldChar w:fldCharType="end"/>
      </w:r>
    </w:p>
    <w:p w14:paraId="73F6489A" w14:textId="40FA61B3" w:rsidR="007075D9" w:rsidRPr="004D46AC" w:rsidRDefault="007075D9" w:rsidP="00D41749">
      <w:pPr>
        <w:spacing w:line="240" w:lineRule="auto"/>
        <w:ind w:firstLine="0"/>
        <w:rPr>
          <w:i/>
          <w:iCs/>
        </w:rPr>
      </w:pPr>
      <w:r w:rsidRPr="004D46AC">
        <w:rPr>
          <w:i/>
          <w:iCs/>
        </w:rPr>
        <w:t>Pooled rate of current thought disorders in bipolar patients</w:t>
      </w:r>
    </w:p>
    <w:p w14:paraId="4A4C3F12" w14:textId="77777777" w:rsidR="007075D9" w:rsidRPr="004D46AC" w:rsidRDefault="007075D9" w:rsidP="00D41749">
      <w:pPr>
        <w:spacing w:line="240" w:lineRule="auto"/>
        <w:ind w:firstLine="0"/>
        <w:rPr>
          <w:b/>
          <w:bCs/>
          <w:i/>
          <w:iCs/>
        </w:rPr>
      </w:pPr>
    </w:p>
    <w:p w14:paraId="6A1C6A95" w14:textId="77777777" w:rsidR="007075D9" w:rsidRPr="004D46AC" w:rsidRDefault="007075D9" w:rsidP="00D41749">
      <w:pPr>
        <w:spacing w:line="240" w:lineRule="auto"/>
        <w:ind w:firstLine="0"/>
        <w:rPr>
          <w:b/>
          <w:bCs/>
          <w:i/>
          <w:iCs/>
        </w:rPr>
      </w:pPr>
    </w:p>
    <w:p w14:paraId="5F31B62F" w14:textId="77777777" w:rsidR="007075D9" w:rsidRPr="004D46AC" w:rsidRDefault="007075D9" w:rsidP="00D41749">
      <w:pPr>
        <w:spacing w:line="240" w:lineRule="auto"/>
        <w:ind w:firstLine="0"/>
        <w:rPr>
          <w:b/>
          <w:bCs/>
          <w:i/>
          <w:iCs/>
        </w:rPr>
      </w:pPr>
    </w:p>
    <w:p w14:paraId="11272409" w14:textId="77777777" w:rsidR="007075D9" w:rsidRPr="004D46AC" w:rsidRDefault="007075D9" w:rsidP="00D41749">
      <w:pPr>
        <w:spacing w:line="240" w:lineRule="auto"/>
        <w:ind w:firstLine="0"/>
        <w:rPr>
          <w:b/>
          <w:bCs/>
          <w:i/>
          <w:iCs/>
        </w:rPr>
      </w:pPr>
    </w:p>
    <w:p w14:paraId="259E2385" w14:textId="77777777" w:rsidR="007075D9" w:rsidRPr="004D46AC" w:rsidRDefault="007075D9" w:rsidP="00D41749">
      <w:pPr>
        <w:spacing w:line="240" w:lineRule="auto"/>
        <w:ind w:firstLine="0"/>
        <w:rPr>
          <w:b/>
          <w:bCs/>
          <w:i/>
          <w:iCs/>
        </w:rPr>
      </w:pPr>
    </w:p>
    <w:p w14:paraId="3EC56C46" w14:textId="77777777" w:rsidR="007075D9" w:rsidRPr="004D46AC" w:rsidRDefault="007075D9" w:rsidP="00D41749">
      <w:pPr>
        <w:spacing w:line="240" w:lineRule="auto"/>
        <w:ind w:firstLine="0"/>
        <w:rPr>
          <w:b/>
          <w:bCs/>
          <w:i/>
          <w:iCs/>
        </w:rPr>
      </w:pPr>
    </w:p>
    <w:p w14:paraId="36D793CB" w14:textId="77777777" w:rsidR="007075D9" w:rsidRPr="004D46AC" w:rsidRDefault="007075D9" w:rsidP="00D41749">
      <w:pPr>
        <w:spacing w:line="240" w:lineRule="auto"/>
        <w:ind w:firstLine="0"/>
        <w:rPr>
          <w:b/>
          <w:bCs/>
          <w:i/>
          <w:iCs/>
        </w:rPr>
      </w:pPr>
    </w:p>
    <w:p w14:paraId="074DAED6" w14:textId="77777777" w:rsidR="007075D9" w:rsidRPr="004D46AC" w:rsidRDefault="007075D9" w:rsidP="00D41749">
      <w:pPr>
        <w:spacing w:line="240" w:lineRule="auto"/>
        <w:ind w:firstLine="0"/>
        <w:rPr>
          <w:b/>
          <w:bCs/>
          <w:i/>
          <w:iCs/>
        </w:rPr>
      </w:pPr>
    </w:p>
    <w:p w14:paraId="4A390449" w14:textId="77777777" w:rsidR="007075D9" w:rsidRPr="004D46AC" w:rsidRDefault="007075D9" w:rsidP="00D41749">
      <w:pPr>
        <w:spacing w:line="240" w:lineRule="auto"/>
        <w:ind w:firstLine="0"/>
        <w:rPr>
          <w:b/>
          <w:bCs/>
          <w:i/>
          <w:iCs/>
        </w:rPr>
      </w:pPr>
    </w:p>
    <w:p w14:paraId="0866355F" w14:textId="77777777" w:rsidR="007075D9" w:rsidRPr="004D46AC" w:rsidRDefault="007075D9" w:rsidP="00D41749">
      <w:pPr>
        <w:spacing w:line="240" w:lineRule="auto"/>
        <w:ind w:firstLine="0"/>
        <w:rPr>
          <w:b/>
          <w:bCs/>
          <w:i/>
          <w:iCs/>
        </w:rPr>
      </w:pPr>
    </w:p>
    <w:p w14:paraId="541A309D" w14:textId="77777777" w:rsidR="007075D9" w:rsidRPr="004D46AC" w:rsidRDefault="007075D9" w:rsidP="00D41749">
      <w:pPr>
        <w:spacing w:line="240" w:lineRule="auto"/>
        <w:ind w:firstLine="0"/>
        <w:rPr>
          <w:b/>
          <w:bCs/>
          <w:i/>
          <w:iCs/>
        </w:rPr>
      </w:pPr>
    </w:p>
    <w:p w14:paraId="0BC7CC3B" w14:textId="77777777" w:rsidR="007075D9" w:rsidRPr="004D46AC" w:rsidRDefault="007075D9" w:rsidP="00D41749">
      <w:pPr>
        <w:spacing w:line="240" w:lineRule="auto"/>
        <w:ind w:firstLine="0"/>
        <w:rPr>
          <w:b/>
          <w:bCs/>
          <w:i/>
          <w:iCs/>
        </w:rPr>
      </w:pPr>
    </w:p>
    <w:p w14:paraId="0AF2BB12" w14:textId="77777777" w:rsidR="007075D9" w:rsidRPr="004D46AC" w:rsidRDefault="007075D9" w:rsidP="00D41749">
      <w:pPr>
        <w:spacing w:line="240" w:lineRule="auto"/>
        <w:ind w:firstLine="0"/>
        <w:rPr>
          <w:rFonts w:eastAsiaTheme="minorEastAsia"/>
          <w:b/>
          <w:bCs/>
          <w:i/>
          <w:iCs/>
        </w:rPr>
      </w:pPr>
    </w:p>
    <w:p w14:paraId="03BD1C18" w14:textId="77777777" w:rsidR="00CC3324" w:rsidRPr="004D46AC" w:rsidRDefault="00CC3324" w:rsidP="00D41749">
      <w:pPr>
        <w:spacing w:line="240" w:lineRule="auto"/>
        <w:ind w:firstLine="0"/>
        <w:rPr>
          <w:rFonts w:eastAsiaTheme="minorEastAsia"/>
          <w:b/>
          <w:bCs/>
          <w:i/>
          <w:iCs/>
        </w:rPr>
      </w:pPr>
    </w:p>
    <w:p w14:paraId="4CC803D4" w14:textId="77777777" w:rsidR="00CC3324" w:rsidRPr="004D46AC" w:rsidRDefault="00CC3324" w:rsidP="00D41749">
      <w:pPr>
        <w:spacing w:line="240" w:lineRule="auto"/>
        <w:ind w:firstLine="0"/>
        <w:rPr>
          <w:rFonts w:eastAsiaTheme="minorEastAsia"/>
          <w:b/>
          <w:bCs/>
          <w:i/>
          <w:iCs/>
        </w:rPr>
      </w:pPr>
    </w:p>
    <w:p w14:paraId="48215ADD" w14:textId="77777777" w:rsidR="00CC3324" w:rsidRPr="004D46AC" w:rsidRDefault="00CC3324" w:rsidP="00D41749">
      <w:pPr>
        <w:spacing w:line="240" w:lineRule="auto"/>
        <w:ind w:firstLine="0"/>
        <w:rPr>
          <w:rFonts w:eastAsiaTheme="minorEastAsia"/>
          <w:b/>
          <w:bCs/>
          <w:i/>
          <w:iCs/>
        </w:rPr>
      </w:pPr>
    </w:p>
    <w:p w14:paraId="33FD0D65" w14:textId="77777777" w:rsidR="00CC3324" w:rsidRPr="004D46AC" w:rsidRDefault="00CC3324" w:rsidP="00D41749">
      <w:pPr>
        <w:spacing w:line="240" w:lineRule="auto"/>
        <w:ind w:firstLine="0"/>
        <w:rPr>
          <w:rFonts w:eastAsiaTheme="minorEastAsia"/>
          <w:b/>
          <w:bCs/>
          <w:i/>
          <w:iCs/>
        </w:rPr>
      </w:pPr>
    </w:p>
    <w:p w14:paraId="713E681F" w14:textId="77777777" w:rsidR="00CC3324" w:rsidRPr="004D46AC" w:rsidRDefault="00CC3324" w:rsidP="00D41749">
      <w:pPr>
        <w:spacing w:line="240" w:lineRule="auto"/>
        <w:ind w:firstLine="0"/>
        <w:rPr>
          <w:rFonts w:eastAsiaTheme="minorEastAsia"/>
          <w:b/>
          <w:bCs/>
          <w:i/>
          <w:iCs/>
        </w:rPr>
      </w:pPr>
    </w:p>
    <w:p w14:paraId="21B977FB" w14:textId="77777777" w:rsidR="00CC3324" w:rsidRPr="004D46AC" w:rsidRDefault="00CC3324" w:rsidP="00D41749">
      <w:pPr>
        <w:spacing w:line="240" w:lineRule="auto"/>
        <w:ind w:firstLine="0"/>
        <w:rPr>
          <w:rFonts w:eastAsiaTheme="minorEastAsia"/>
          <w:b/>
          <w:bCs/>
          <w:i/>
          <w:iCs/>
        </w:rPr>
      </w:pPr>
    </w:p>
    <w:p w14:paraId="26114C33" w14:textId="77777777" w:rsidR="00CC3324" w:rsidRPr="004D46AC" w:rsidRDefault="00CC3324" w:rsidP="00D41749">
      <w:pPr>
        <w:spacing w:line="240" w:lineRule="auto"/>
        <w:ind w:firstLine="0"/>
        <w:rPr>
          <w:rFonts w:eastAsiaTheme="minorEastAsia"/>
          <w:b/>
          <w:bCs/>
          <w:i/>
          <w:iCs/>
        </w:rPr>
      </w:pPr>
    </w:p>
    <w:p w14:paraId="557C01A7" w14:textId="77777777" w:rsidR="00CC3324" w:rsidRPr="004D46AC" w:rsidRDefault="00CC3324" w:rsidP="00D41749">
      <w:pPr>
        <w:spacing w:line="240" w:lineRule="auto"/>
        <w:ind w:firstLine="0"/>
        <w:rPr>
          <w:rFonts w:eastAsiaTheme="minorEastAsia"/>
          <w:b/>
          <w:bCs/>
          <w:i/>
          <w:iCs/>
        </w:rPr>
      </w:pPr>
    </w:p>
    <w:p w14:paraId="01A9BC74" w14:textId="77777777" w:rsidR="00CC3324" w:rsidRPr="004D46AC" w:rsidRDefault="00CC3324" w:rsidP="00D41749">
      <w:pPr>
        <w:spacing w:line="240" w:lineRule="auto"/>
        <w:ind w:firstLine="0"/>
        <w:rPr>
          <w:rFonts w:eastAsiaTheme="minorEastAsia"/>
          <w:b/>
          <w:bCs/>
          <w:i/>
          <w:iCs/>
        </w:rPr>
      </w:pPr>
    </w:p>
    <w:p w14:paraId="4C83301E" w14:textId="77777777" w:rsidR="00CC3324" w:rsidRPr="004D46AC" w:rsidRDefault="00CC3324" w:rsidP="00D41749">
      <w:pPr>
        <w:spacing w:line="240" w:lineRule="auto"/>
        <w:ind w:firstLine="0"/>
        <w:rPr>
          <w:rFonts w:eastAsiaTheme="minorEastAsia"/>
          <w:b/>
          <w:bCs/>
          <w:i/>
          <w:iCs/>
        </w:rPr>
      </w:pPr>
    </w:p>
    <w:p w14:paraId="409AD079" w14:textId="77777777" w:rsidR="00CC3324" w:rsidRPr="004D46AC" w:rsidRDefault="00CC3324" w:rsidP="00D41749">
      <w:pPr>
        <w:spacing w:line="240" w:lineRule="auto"/>
        <w:ind w:firstLine="0"/>
        <w:rPr>
          <w:rFonts w:eastAsiaTheme="minorEastAsia"/>
          <w:b/>
          <w:bCs/>
          <w:i/>
          <w:iCs/>
        </w:rPr>
      </w:pPr>
    </w:p>
    <w:p w14:paraId="407EC8CE" w14:textId="77777777" w:rsidR="00CC3324" w:rsidRPr="004D46AC" w:rsidRDefault="00CC3324" w:rsidP="00D41749">
      <w:pPr>
        <w:spacing w:line="240" w:lineRule="auto"/>
        <w:ind w:firstLine="0"/>
        <w:rPr>
          <w:rFonts w:eastAsiaTheme="minorEastAsia"/>
          <w:b/>
          <w:bCs/>
          <w:i/>
          <w:iCs/>
        </w:rPr>
      </w:pPr>
    </w:p>
    <w:p w14:paraId="6A133AF8" w14:textId="77777777" w:rsidR="00CC3324" w:rsidRPr="004D46AC" w:rsidRDefault="00CC3324" w:rsidP="00D41749">
      <w:pPr>
        <w:spacing w:line="240" w:lineRule="auto"/>
        <w:ind w:firstLine="0"/>
        <w:rPr>
          <w:rFonts w:eastAsiaTheme="minorEastAsia"/>
          <w:b/>
          <w:bCs/>
          <w:i/>
          <w:iCs/>
        </w:rPr>
      </w:pPr>
    </w:p>
    <w:p w14:paraId="2D4A5A5F" w14:textId="77777777" w:rsidR="00CC3324" w:rsidRPr="004D46AC" w:rsidRDefault="00CC3324" w:rsidP="00D41749">
      <w:pPr>
        <w:spacing w:line="240" w:lineRule="auto"/>
        <w:ind w:firstLine="0"/>
        <w:rPr>
          <w:rFonts w:eastAsiaTheme="minorEastAsia"/>
          <w:b/>
          <w:bCs/>
          <w:i/>
          <w:iCs/>
        </w:rPr>
      </w:pPr>
    </w:p>
    <w:p w14:paraId="1CFF4788" w14:textId="77777777" w:rsidR="007075D9" w:rsidRPr="004D46AC" w:rsidRDefault="007075D9" w:rsidP="00D41749">
      <w:pPr>
        <w:spacing w:line="240" w:lineRule="auto"/>
        <w:ind w:firstLine="0"/>
        <w:rPr>
          <w:b/>
          <w:bCs/>
          <w:i/>
          <w:iCs/>
        </w:rPr>
      </w:pPr>
    </w:p>
    <w:p w14:paraId="0867E368" w14:textId="77777777" w:rsidR="007075D9" w:rsidRPr="004D46AC" w:rsidRDefault="007075D9" w:rsidP="00D41749">
      <w:pPr>
        <w:spacing w:line="240" w:lineRule="auto"/>
        <w:ind w:firstLine="0"/>
        <w:rPr>
          <w:b/>
          <w:bCs/>
          <w:i/>
          <w:iCs/>
        </w:rPr>
      </w:pPr>
    </w:p>
    <w:p w14:paraId="148BCCB3" w14:textId="77777777" w:rsidR="007075D9" w:rsidRPr="004D46AC" w:rsidRDefault="007075D9" w:rsidP="00D41749">
      <w:pPr>
        <w:spacing w:line="240" w:lineRule="auto"/>
        <w:ind w:firstLine="0"/>
        <w:rPr>
          <w:b/>
          <w:bCs/>
          <w:i/>
          <w:iCs/>
        </w:rPr>
      </w:pPr>
    </w:p>
    <w:p w14:paraId="5238A02E" w14:textId="77777777" w:rsidR="007075D9" w:rsidRPr="004D46AC" w:rsidRDefault="007075D9" w:rsidP="00D41749">
      <w:pPr>
        <w:spacing w:line="240" w:lineRule="auto"/>
        <w:ind w:firstLine="0"/>
        <w:rPr>
          <w:noProof/>
        </w:rPr>
      </w:pPr>
      <w:r w:rsidRPr="004D46AC">
        <w:rPr>
          <w:noProof/>
        </w:rPr>
        <w:lastRenderedPageBreak/>
        <w:drawing>
          <wp:inline distT="0" distB="0" distL="0" distR="0" wp14:anchorId="5B669CA5" wp14:editId="0A943CDD">
            <wp:extent cx="2211070" cy="1261745"/>
            <wp:effectExtent l="0" t="0" r="0" b="0"/>
            <wp:docPr id="742523138" name="图片 2"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23138" name="图片 2" descr="图表&#10;&#10;AI 生成的内容可能不正确。"/>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211070" cy="1261745"/>
                    </a:xfrm>
                    <a:prstGeom prst="rect">
                      <a:avLst/>
                    </a:prstGeom>
                    <a:noFill/>
                    <a:ln>
                      <a:noFill/>
                    </a:ln>
                  </pic:spPr>
                </pic:pic>
              </a:graphicData>
            </a:graphic>
          </wp:inline>
        </w:drawing>
      </w:r>
      <w:r w:rsidRPr="004D46AC">
        <w:rPr>
          <w:noProof/>
        </w:rPr>
        <w:t xml:space="preserve">    </w:t>
      </w:r>
      <w:r w:rsidRPr="004D46AC">
        <w:rPr>
          <w:noProof/>
        </w:rPr>
        <w:drawing>
          <wp:inline distT="0" distB="0" distL="0" distR="0" wp14:anchorId="73EF925E" wp14:editId="48CF272B">
            <wp:extent cx="2245360" cy="1261745"/>
            <wp:effectExtent l="0" t="0" r="2540" b="0"/>
            <wp:docPr id="1169713649" name="图片 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13649" name="图片 1" descr="图表, 散点图&#10;&#10;AI 生成的内容可能不正确。"/>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245360" cy="1261745"/>
                    </a:xfrm>
                    <a:prstGeom prst="rect">
                      <a:avLst/>
                    </a:prstGeom>
                    <a:noFill/>
                    <a:ln>
                      <a:noFill/>
                    </a:ln>
                  </pic:spPr>
                </pic:pic>
              </a:graphicData>
            </a:graphic>
          </wp:inline>
        </w:drawing>
      </w:r>
    </w:p>
    <w:p w14:paraId="6165E48B" w14:textId="77777777" w:rsidR="007075D9" w:rsidRPr="004D46AC" w:rsidRDefault="007075D9" w:rsidP="00D41749">
      <w:pPr>
        <w:spacing w:line="240" w:lineRule="auto"/>
        <w:ind w:firstLine="0"/>
      </w:pPr>
      <w:r w:rsidRPr="004D46AC">
        <w:t xml:space="preserve">(a) original funnel </w:t>
      </w:r>
      <w:r w:rsidRPr="004D46AC">
        <w:rPr>
          <w:i/>
          <w:iCs/>
        </w:rPr>
        <w:t xml:space="preserve">             </w:t>
      </w:r>
      <w:proofErr w:type="gramStart"/>
      <w:r w:rsidRPr="004D46AC">
        <w:rPr>
          <w:i/>
          <w:iCs/>
        </w:rPr>
        <w:t xml:space="preserve">   </w:t>
      </w:r>
      <w:r w:rsidRPr="004D46AC">
        <w:t>(</w:t>
      </w:r>
      <w:proofErr w:type="gramEnd"/>
      <w:r w:rsidRPr="004D46AC">
        <w:t>b) funnel plot by sample size</w:t>
      </w:r>
    </w:p>
    <w:p w14:paraId="2850EC9F" w14:textId="43925CA3" w:rsidR="00D41749" w:rsidRPr="004D46AC" w:rsidRDefault="00D41749" w:rsidP="00D41749">
      <w:pPr>
        <w:spacing w:line="240" w:lineRule="auto"/>
        <w:ind w:firstLine="0"/>
        <w:rPr>
          <w:rFonts w:eastAsiaTheme="minorEastAsia"/>
          <w:b/>
          <w:bCs/>
        </w:rPr>
      </w:pPr>
      <w:bookmarkStart w:id="367" w:name="_Toc219880222"/>
      <w:r w:rsidRPr="004D46AC">
        <w:rPr>
          <w:b/>
          <w:bCs/>
        </w:rPr>
        <w:t xml:space="preserve">Figure B </w:t>
      </w:r>
      <w:r w:rsidRPr="004D46AC">
        <w:rPr>
          <w:b/>
          <w:bCs/>
        </w:rPr>
        <w:fldChar w:fldCharType="begin"/>
      </w:r>
      <w:r w:rsidRPr="004D46AC">
        <w:rPr>
          <w:b/>
          <w:bCs/>
        </w:rPr>
        <w:instrText xml:space="preserve"> SEQ Figure_B \* ARABIC </w:instrText>
      </w:r>
      <w:r w:rsidRPr="004D46AC">
        <w:rPr>
          <w:b/>
          <w:bCs/>
        </w:rPr>
        <w:fldChar w:fldCharType="separate"/>
      </w:r>
      <w:r w:rsidRPr="004D46AC">
        <w:rPr>
          <w:b/>
          <w:bCs/>
          <w:noProof/>
        </w:rPr>
        <w:t>40</w:t>
      </w:r>
      <w:bookmarkEnd w:id="367"/>
      <w:r w:rsidRPr="004D46AC">
        <w:rPr>
          <w:b/>
          <w:bCs/>
        </w:rPr>
        <w:fldChar w:fldCharType="end"/>
      </w:r>
    </w:p>
    <w:p w14:paraId="036D0856" w14:textId="2CB57274" w:rsidR="007075D9" w:rsidRPr="004D46AC" w:rsidRDefault="007075D9" w:rsidP="009864DB">
      <w:pPr>
        <w:spacing w:line="240" w:lineRule="auto"/>
        <w:ind w:firstLine="0"/>
        <w:rPr>
          <w:rFonts w:eastAsiaTheme="minorEastAsia"/>
          <w:i/>
          <w:iCs/>
        </w:rPr>
      </w:pPr>
      <w:bookmarkStart w:id="368" w:name="OLE_LINK103"/>
      <w:r w:rsidRPr="004D46AC">
        <w:rPr>
          <w:i/>
          <w:iCs/>
        </w:rPr>
        <w:t>Funnel plots for current thought disorders in bipolar patients</w:t>
      </w:r>
      <w:bookmarkEnd w:id="368"/>
    </w:p>
    <w:p w14:paraId="08E5720F" w14:textId="77777777" w:rsidR="007075D9" w:rsidRPr="004D46AC" w:rsidRDefault="007075D9" w:rsidP="00B518F1">
      <w:pPr>
        <w:spacing w:line="360" w:lineRule="auto"/>
        <w:rPr>
          <w:i/>
          <w:iCs/>
        </w:rPr>
      </w:pPr>
    </w:p>
    <w:p w14:paraId="6555605F" w14:textId="77777777" w:rsidR="007075D9" w:rsidRPr="004D46AC" w:rsidRDefault="007075D9" w:rsidP="00B518F1">
      <w:pPr>
        <w:spacing w:line="360" w:lineRule="auto"/>
        <w:rPr>
          <w:i/>
          <w:iCs/>
        </w:rPr>
      </w:pPr>
    </w:p>
    <w:p w14:paraId="175EFBD3" w14:textId="77777777" w:rsidR="007075D9" w:rsidRPr="004D46AC" w:rsidRDefault="007075D9" w:rsidP="00B518F1">
      <w:pPr>
        <w:spacing w:line="360" w:lineRule="auto"/>
        <w:rPr>
          <w:i/>
          <w:iCs/>
        </w:rPr>
      </w:pPr>
    </w:p>
    <w:p w14:paraId="31EF82ED" w14:textId="77777777" w:rsidR="007075D9" w:rsidRPr="004D46AC" w:rsidRDefault="007075D9" w:rsidP="00B518F1">
      <w:pPr>
        <w:spacing w:line="360" w:lineRule="auto"/>
        <w:rPr>
          <w:i/>
          <w:iCs/>
        </w:rPr>
      </w:pPr>
    </w:p>
    <w:p w14:paraId="4C7E9D8E" w14:textId="77777777" w:rsidR="007075D9" w:rsidRPr="004D46AC" w:rsidRDefault="007075D9" w:rsidP="00B518F1">
      <w:pPr>
        <w:spacing w:line="360" w:lineRule="auto"/>
        <w:rPr>
          <w:i/>
          <w:iCs/>
        </w:rPr>
      </w:pPr>
    </w:p>
    <w:p w14:paraId="306F3A29" w14:textId="77777777" w:rsidR="007075D9" w:rsidRPr="004D46AC" w:rsidRDefault="007075D9" w:rsidP="00B518F1">
      <w:pPr>
        <w:spacing w:line="360" w:lineRule="auto"/>
        <w:rPr>
          <w:i/>
          <w:iCs/>
        </w:rPr>
      </w:pPr>
    </w:p>
    <w:p w14:paraId="36170E1D" w14:textId="77777777" w:rsidR="007075D9" w:rsidRPr="004D46AC" w:rsidRDefault="007075D9" w:rsidP="00B518F1">
      <w:pPr>
        <w:spacing w:line="360" w:lineRule="auto"/>
        <w:rPr>
          <w:i/>
          <w:iCs/>
        </w:rPr>
      </w:pPr>
    </w:p>
    <w:p w14:paraId="2D85327F" w14:textId="77777777" w:rsidR="007075D9" w:rsidRPr="004D46AC" w:rsidRDefault="007075D9" w:rsidP="00B518F1">
      <w:pPr>
        <w:spacing w:line="360" w:lineRule="auto"/>
        <w:rPr>
          <w:i/>
          <w:iCs/>
        </w:rPr>
      </w:pPr>
    </w:p>
    <w:p w14:paraId="69EF024F" w14:textId="77777777" w:rsidR="007075D9" w:rsidRPr="004D46AC" w:rsidRDefault="007075D9" w:rsidP="00B518F1">
      <w:pPr>
        <w:spacing w:line="360" w:lineRule="auto"/>
        <w:rPr>
          <w:i/>
          <w:iCs/>
        </w:rPr>
      </w:pPr>
    </w:p>
    <w:p w14:paraId="1138782E" w14:textId="77777777" w:rsidR="007075D9" w:rsidRPr="004D46AC" w:rsidRDefault="007075D9" w:rsidP="00B518F1">
      <w:pPr>
        <w:spacing w:line="360" w:lineRule="auto"/>
        <w:rPr>
          <w:i/>
          <w:iCs/>
        </w:rPr>
      </w:pPr>
    </w:p>
    <w:p w14:paraId="3E672A45" w14:textId="77777777" w:rsidR="007075D9" w:rsidRPr="004D46AC" w:rsidRDefault="007075D9" w:rsidP="00B518F1">
      <w:pPr>
        <w:spacing w:line="360" w:lineRule="auto"/>
        <w:rPr>
          <w:i/>
          <w:iCs/>
        </w:rPr>
      </w:pPr>
    </w:p>
    <w:p w14:paraId="16CD5D54" w14:textId="77777777" w:rsidR="007075D9" w:rsidRPr="004D46AC" w:rsidRDefault="007075D9" w:rsidP="00B518F1">
      <w:pPr>
        <w:spacing w:line="360" w:lineRule="auto"/>
        <w:rPr>
          <w:i/>
          <w:iCs/>
        </w:rPr>
      </w:pPr>
    </w:p>
    <w:p w14:paraId="5F822533" w14:textId="77777777" w:rsidR="007075D9" w:rsidRPr="004D46AC" w:rsidRDefault="007075D9" w:rsidP="00B518F1">
      <w:pPr>
        <w:spacing w:line="360" w:lineRule="auto"/>
        <w:rPr>
          <w:i/>
          <w:iCs/>
        </w:rPr>
      </w:pPr>
    </w:p>
    <w:p w14:paraId="1ED9EC85" w14:textId="77777777" w:rsidR="007075D9" w:rsidRPr="004D46AC" w:rsidRDefault="007075D9" w:rsidP="00B518F1">
      <w:pPr>
        <w:spacing w:line="360" w:lineRule="auto"/>
        <w:rPr>
          <w:i/>
          <w:iCs/>
        </w:rPr>
      </w:pPr>
    </w:p>
    <w:p w14:paraId="29537FBD" w14:textId="77777777" w:rsidR="007075D9" w:rsidRPr="004D46AC" w:rsidRDefault="007075D9" w:rsidP="00B518F1">
      <w:pPr>
        <w:spacing w:line="360" w:lineRule="auto"/>
        <w:rPr>
          <w:rFonts w:eastAsiaTheme="minorEastAsia"/>
          <w:i/>
          <w:iCs/>
        </w:rPr>
      </w:pPr>
    </w:p>
    <w:p w14:paraId="120B01C0" w14:textId="77777777" w:rsidR="00CC3324" w:rsidRPr="004D46AC" w:rsidRDefault="00CC3324" w:rsidP="00B518F1">
      <w:pPr>
        <w:spacing w:line="360" w:lineRule="auto"/>
        <w:rPr>
          <w:rFonts w:eastAsiaTheme="minorEastAsia"/>
          <w:i/>
          <w:iCs/>
        </w:rPr>
      </w:pPr>
    </w:p>
    <w:p w14:paraId="2D06E384" w14:textId="77777777" w:rsidR="00CC3324" w:rsidRPr="004D46AC" w:rsidRDefault="00CC3324" w:rsidP="00B518F1">
      <w:pPr>
        <w:spacing w:line="360" w:lineRule="auto"/>
        <w:rPr>
          <w:rFonts w:eastAsiaTheme="minorEastAsia"/>
          <w:i/>
          <w:iCs/>
        </w:rPr>
      </w:pPr>
    </w:p>
    <w:p w14:paraId="19418890" w14:textId="77777777" w:rsidR="00CC3324" w:rsidRPr="004D46AC" w:rsidRDefault="00CC3324" w:rsidP="00B518F1">
      <w:pPr>
        <w:spacing w:line="360" w:lineRule="auto"/>
        <w:rPr>
          <w:rFonts w:eastAsiaTheme="minorEastAsia"/>
          <w:i/>
          <w:iCs/>
        </w:rPr>
      </w:pPr>
    </w:p>
    <w:p w14:paraId="3A63B14C" w14:textId="77777777" w:rsidR="00CC3324" w:rsidRPr="004D46AC" w:rsidRDefault="00CC3324" w:rsidP="00B518F1">
      <w:pPr>
        <w:spacing w:line="360" w:lineRule="auto"/>
        <w:rPr>
          <w:rFonts w:eastAsiaTheme="minorEastAsia"/>
          <w:i/>
          <w:iCs/>
        </w:rPr>
      </w:pPr>
    </w:p>
    <w:p w14:paraId="0CF30632" w14:textId="77777777" w:rsidR="00CC3324" w:rsidRPr="004D46AC" w:rsidRDefault="00CC3324" w:rsidP="00B518F1">
      <w:pPr>
        <w:spacing w:line="360" w:lineRule="auto"/>
        <w:rPr>
          <w:rFonts w:eastAsiaTheme="minorEastAsia"/>
          <w:i/>
          <w:iCs/>
        </w:rPr>
      </w:pPr>
    </w:p>
    <w:p w14:paraId="041564B0" w14:textId="77777777" w:rsidR="00CC3324" w:rsidRPr="004D46AC" w:rsidRDefault="00CC3324" w:rsidP="00B518F1">
      <w:pPr>
        <w:spacing w:line="360" w:lineRule="auto"/>
        <w:rPr>
          <w:rFonts w:eastAsiaTheme="minorEastAsia"/>
          <w:i/>
          <w:iCs/>
        </w:rPr>
      </w:pPr>
    </w:p>
    <w:p w14:paraId="63526190" w14:textId="77777777" w:rsidR="00CC3324" w:rsidRPr="004D46AC" w:rsidRDefault="00CC3324" w:rsidP="00B518F1">
      <w:pPr>
        <w:spacing w:line="360" w:lineRule="auto"/>
        <w:rPr>
          <w:rFonts w:eastAsiaTheme="minorEastAsia"/>
          <w:i/>
          <w:iCs/>
        </w:rPr>
      </w:pPr>
    </w:p>
    <w:p w14:paraId="416FCF1B" w14:textId="77777777" w:rsidR="00CC3324" w:rsidRPr="004D46AC" w:rsidRDefault="00CC3324" w:rsidP="00B518F1">
      <w:pPr>
        <w:spacing w:line="360" w:lineRule="auto"/>
        <w:rPr>
          <w:rFonts w:eastAsiaTheme="minorEastAsia"/>
          <w:i/>
          <w:iCs/>
        </w:rPr>
      </w:pPr>
    </w:p>
    <w:p w14:paraId="4DA763B6" w14:textId="77777777" w:rsidR="00CC3324" w:rsidRPr="004D46AC" w:rsidRDefault="00CC3324" w:rsidP="00B518F1">
      <w:pPr>
        <w:spacing w:line="360" w:lineRule="auto"/>
        <w:rPr>
          <w:rFonts w:eastAsiaTheme="minorEastAsia"/>
          <w:i/>
          <w:iCs/>
        </w:rPr>
      </w:pPr>
    </w:p>
    <w:p w14:paraId="20C8EC82" w14:textId="523A96BB" w:rsidR="007075D9" w:rsidRPr="004D46AC" w:rsidRDefault="007075D9" w:rsidP="009864DB">
      <w:pPr>
        <w:spacing w:line="240" w:lineRule="auto"/>
        <w:ind w:firstLine="0"/>
        <w:sectPr w:rsidR="007075D9" w:rsidRPr="004D46AC" w:rsidSect="007075D9">
          <w:pgSz w:w="11906" w:h="16838"/>
          <w:pgMar w:top="1440" w:right="1440" w:bottom="1440" w:left="1440" w:header="708" w:footer="708" w:gutter="0"/>
          <w:cols w:space="708"/>
          <w:docGrid w:linePitch="360"/>
        </w:sectPr>
      </w:pPr>
      <w:r w:rsidRPr="004D46AC">
        <w:t xml:space="preserve"> </w:t>
      </w:r>
    </w:p>
    <w:p w14:paraId="5726078C" w14:textId="77777777" w:rsidR="007075D9" w:rsidRPr="004D46AC" w:rsidRDefault="007075D9" w:rsidP="00B518F1">
      <w:pPr>
        <w:pStyle w:val="2"/>
        <w:rPr>
          <w:rFonts w:eastAsiaTheme="minorEastAsia"/>
        </w:rPr>
      </w:pPr>
      <w:bookmarkStart w:id="369" w:name="_Toc219888796"/>
      <w:r w:rsidRPr="004D46AC">
        <w:rPr>
          <w:rFonts w:hint="eastAsia"/>
        </w:rPr>
        <w:lastRenderedPageBreak/>
        <w:t xml:space="preserve">Appendix </w:t>
      </w:r>
      <w:r w:rsidRPr="004D46AC">
        <w:rPr>
          <w:rFonts w:eastAsiaTheme="minorEastAsia" w:hint="eastAsia"/>
        </w:rPr>
        <w:t>C</w:t>
      </w:r>
      <w:r w:rsidRPr="004D46AC">
        <w:t xml:space="preserve">: Supplementary Files for Chapter </w:t>
      </w:r>
      <w:r w:rsidRPr="004D46AC">
        <w:rPr>
          <w:rFonts w:eastAsiaTheme="minorEastAsia" w:hint="eastAsia"/>
        </w:rPr>
        <w:t>3</w:t>
      </w:r>
      <w:bookmarkEnd w:id="369"/>
    </w:p>
    <w:p w14:paraId="68FC7B45" w14:textId="3AE9C920" w:rsidR="007075D9" w:rsidRPr="004D46AC" w:rsidRDefault="00CE2F7A" w:rsidP="00CE2F7A">
      <w:pPr>
        <w:pStyle w:val="afff0"/>
        <w:spacing w:after="0"/>
        <w:ind w:firstLine="0"/>
        <w:rPr>
          <w:rFonts w:eastAsiaTheme="minorEastAsia"/>
          <w:b/>
          <w:bCs/>
          <w:i w:val="0"/>
          <w:iCs w:val="0"/>
          <w:color w:val="auto"/>
          <w:sz w:val="22"/>
          <w:szCs w:val="22"/>
        </w:rPr>
      </w:pPr>
      <w:bookmarkStart w:id="370" w:name="_Toc219870633"/>
      <w:bookmarkStart w:id="371" w:name="_Toc219885504"/>
      <w:r w:rsidRPr="004D46AC">
        <w:rPr>
          <w:b/>
          <w:bCs/>
          <w:i w:val="0"/>
          <w:iCs w:val="0"/>
          <w:color w:val="auto"/>
          <w:sz w:val="22"/>
          <w:szCs w:val="22"/>
        </w:rPr>
        <w:t xml:space="preserve">Table C </w:t>
      </w:r>
      <w:r w:rsidRPr="004D46AC">
        <w:rPr>
          <w:b/>
          <w:bCs/>
          <w:i w:val="0"/>
          <w:iCs w:val="0"/>
          <w:color w:val="auto"/>
          <w:sz w:val="22"/>
          <w:szCs w:val="22"/>
        </w:rPr>
        <w:fldChar w:fldCharType="begin"/>
      </w:r>
      <w:r w:rsidRPr="004D46AC">
        <w:rPr>
          <w:b/>
          <w:bCs/>
          <w:i w:val="0"/>
          <w:iCs w:val="0"/>
          <w:color w:val="auto"/>
          <w:sz w:val="22"/>
          <w:szCs w:val="22"/>
        </w:rPr>
        <w:instrText xml:space="preserve"> SEQ Table_C \* ARABIC </w:instrText>
      </w:r>
      <w:r w:rsidRPr="004D46AC">
        <w:rPr>
          <w:b/>
          <w:bCs/>
          <w:i w:val="0"/>
          <w:iCs w:val="0"/>
          <w:color w:val="auto"/>
          <w:sz w:val="22"/>
          <w:szCs w:val="22"/>
        </w:rPr>
        <w:fldChar w:fldCharType="separate"/>
      </w:r>
      <w:r w:rsidR="009050EB" w:rsidRPr="004D46AC">
        <w:rPr>
          <w:b/>
          <w:bCs/>
          <w:i w:val="0"/>
          <w:iCs w:val="0"/>
          <w:noProof/>
          <w:color w:val="auto"/>
          <w:sz w:val="22"/>
          <w:szCs w:val="22"/>
        </w:rPr>
        <w:t>1</w:t>
      </w:r>
      <w:bookmarkEnd w:id="370"/>
      <w:bookmarkEnd w:id="371"/>
      <w:r w:rsidRPr="004D46AC">
        <w:rPr>
          <w:b/>
          <w:bCs/>
          <w:i w:val="0"/>
          <w:iCs w:val="0"/>
          <w:color w:val="auto"/>
          <w:sz w:val="22"/>
          <w:szCs w:val="22"/>
        </w:rPr>
        <w:fldChar w:fldCharType="end"/>
      </w:r>
    </w:p>
    <w:p w14:paraId="3911F81C" w14:textId="77777777" w:rsidR="007075D9" w:rsidRPr="004D46AC" w:rsidRDefault="007075D9" w:rsidP="00CE2F7A">
      <w:pPr>
        <w:spacing w:line="240" w:lineRule="auto"/>
        <w:ind w:firstLine="0"/>
        <w:rPr>
          <w:i/>
          <w:iCs/>
        </w:rPr>
      </w:pPr>
      <w:r w:rsidRPr="004D46AC">
        <w:rPr>
          <w:i/>
          <w:iCs/>
        </w:rPr>
        <w:t>Item selection: reason and action</w:t>
      </w:r>
    </w:p>
    <w:tbl>
      <w:tblPr>
        <w:tblStyle w:val="afc"/>
        <w:tblW w:w="0" w:type="auto"/>
        <w:tblLook w:val="04A0" w:firstRow="1" w:lastRow="0" w:firstColumn="1" w:lastColumn="0" w:noHBand="0" w:noVBand="1"/>
      </w:tblPr>
      <w:tblGrid>
        <w:gridCol w:w="657"/>
        <w:gridCol w:w="3201"/>
        <w:gridCol w:w="1158"/>
        <w:gridCol w:w="3323"/>
      </w:tblGrid>
      <w:tr w:rsidR="007075D9" w:rsidRPr="004D46AC" w14:paraId="45C645C1" w14:textId="77777777" w:rsidTr="00B518F1">
        <w:tc>
          <w:tcPr>
            <w:tcW w:w="657" w:type="dxa"/>
          </w:tcPr>
          <w:p w14:paraId="01680F2F" w14:textId="77777777" w:rsidR="007075D9" w:rsidRPr="004D46AC" w:rsidRDefault="007075D9" w:rsidP="00CE2F7A">
            <w:pPr>
              <w:spacing w:line="240" w:lineRule="auto"/>
              <w:ind w:firstLine="0"/>
            </w:pPr>
            <w:r w:rsidRPr="004D46AC">
              <w:t>Item</w:t>
            </w:r>
          </w:p>
        </w:tc>
        <w:tc>
          <w:tcPr>
            <w:tcW w:w="3201" w:type="dxa"/>
          </w:tcPr>
          <w:p w14:paraId="101B3CB8" w14:textId="77777777" w:rsidR="007075D9" w:rsidRPr="004D46AC" w:rsidRDefault="007075D9" w:rsidP="00CE2F7A">
            <w:pPr>
              <w:spacing w:line="240" w:lineRule="auto"/>
              <w:ind w:firstLine="0"/>
            </w:pPr>
            <w:r w:rsidRPr="004D46AC">
              <w:t>Description</w:t>
            </w:r>
          </w:p>
        </w:tc>
        <w:tc>
          <w:tcPr>
            <w:tcW w:w="1115" w:type="dxa"/>
          </w:tcPr>
          <w:p w14:paraId="7FF50C9F" w14:textId="77777777" w:rsidR="007075D9" w:rsidRPr="004D46AC" w:rsidRDefault="007075D9" w:rsidP="00CE2F7A">
            <w:pPr>
              <w:spacing w:line="240" w:lineRule="auto"/>
              <w:ind w:firstLine="0"/>
            </w:pPr>
            <w:r w:rsidRPr="004D46AC">
              <w:t>Action</w:t>
            </w:r>
          </w:p>
        </w:tc>
        <w:tc>
          <w:tcPr>
            <w:tcW w:w="3323" w:type="dxa"/>
          </w:tcPr>
          <w:p w14:paraId="76F23ACA" w14:textId="77777777" w:rsidR="007075D9" w:rsidRPr="004D46AC" w:rsidRDefault="007075D9" w:rsidP="00CE2F7A">
            <w:pPr>
              <w:spacing w:line="240" w:lineRule="auto"/>
              <w:ind w:firstLine="0"/>
            </w:pPr>
            <w:r w:rsidRPr="004D46AC">
              <w:t>Note</w:t>
            </w:r>
          </w:p>
        </w:tc>
      </w:tr>
      <w:tr w:rsidR="007075D9" w:rsidRPr="004D46AC" w14:paraId="4EAF7D8A" w14:textId="77777777" w:rsidTr="00B518F1">
        <w:tc>
          <w:tcPr>
            <w:tcW w:w="8296" w:type="dxa"/>
            <w:gridSpan w:val="4"/>
          </w:tcPr>
          <w:p w14:paraId="626EC604" w14:textId="77777777" w:rsidR="007075D9" w:rsidRPr="004D46AC" w:rsidRDefault="007075D9" w:rsidP="00CE2F7A">
            <w:pPr>
              <w:spacing w:line="240" w:lineRule="auto"/>
              <w:ind w:firstLine="0"/>
            </w:pPr>
            <w:r w:rsidRPr="004D46AC">
              <w:t>Positive Syndrome (PANSS)</w:t>
            </w:r>
          </w:p>
        </w:tc>
      </w:tr>
      <w:tr w:rsidR="007075D9" w:rsidRPr="004D46AC" w14:paraId="4BBEA32A" w14:textId="77777777" w:rsidTr="00B518F1">
        <w:tc>
          <w:tcPr>
            <w:tcW w:w="657" w:type="dxa"/>
          </w:tcPr>
          <w:p w14:paraId="3D6FFB2A" w14:textId="77777777" w:rsidR="007075D9" w:rsidRPr="004D46AC" w:rsidRDefault="007075D9" w:rsidP="00CE2F7A">
            <w:pPr>
              <w:spacing w:line="240" w:lineRule="auto"/>
              <w:ind w:firstLine="0"/>
            </w:pPr>
            <w:r w:rsidRPr="004D46AC">
              <w:t>P1</w:t>
            </w:r>
          </w:p>
        </w:tc>
        <w:tc>
          <w:tcPr>
            <w:tcW w:w="3201" w:type="dxa"/>
          </w:tcPr>
          <w:p w14:paraId="0C03408B" w14:textId="77777777" w:rsidR="007075D9" w:rsidRPr="004D46AC" w:rsidRDefault="007075D9" w:rsidP="00CE2F7A">
            <w:pPr>
              <w:spacing w:line="240" w:lineRule="auto"/>
              <w:ind w:firstLine="0"/>
            </w:pPr>
            <w:r w:rsidRPr="004D46AC">
              <w:t>Delusions</w:t>
            </w:r>
          </w:p>
        </w:tc>
        <w:tc>
          <w:tcPr>
            <w:tcW w:w="1115" w:type="dxa"/>
          </w:tcPr>
          <w:p w14:paraId="73CFD681" w14:textId="77777777" w:rsidR="007075D9" w:rsidRPr="004D46AC" w:rsidRDefault="007075D9" w:rsidP="00CE2F7A">
            <w:pPr>
              <w:spacing w:line="240" w:lineRule="auto"/>
              <w:ind w:firstLine="0"/>
            </w:pPr>
            <w:r w:rsidRPr="004D46AC">
              <w:t>exclusion</w:t>
            </w:r>
          </w:p>
        </w:tc>
        <w:tc>
          <w:tcPr>
            <w:tcW w:w="3323" w:type="dxa"/>
          </w:tcPr>
          <w:p w14:paraId="0765140B" w14:textId="77777777" w:rsidR="007075D9" w:rsidRPr="004D46AC" w:rsidRDefault="007075D9" w:rsidP="00CE2F7A">
            <w:pPr>
              <w:spacing w:line="240" w:lineRule="auto"/>
              <w:ind w:firstLine="0"/>
            </w:pPr>
            <w:proofErr w:type="gramStart"/>
            <w:r w:rsidRPr="004D46AC">
              <w:t>Similar to</w:t>
            </w:r>
            <w:proofErr w:type="gramEnd"/>
            <w:r w:rsidRPr="004D46AC">
              <w:t xml:space="preserve"> P5 and P6</w:t>
            </w:r>
          </w:p>
        </w:tc>
      </w:tr>
      <w:tr w:rsidR="007075D9" w:rsidRPr="004D46AC" w14:paraId="2658E0CE" w14:textId="77777777" w:rsidTr="00B518F1">
        <w:tc>
          <w:tcPr>
            <w:tcW w:w="657" w:type="dxa"/>
          </w:tcPr>
          <w:p w14:paraId="6B8672CC" w14:textId="77777777" w:rsidR="007075D9" w:rsidRPr="004D46AC" w:rsidRDefault="007075D9" w:rsidP="00CE2F7A">
            <w:pPr>
              <w:spacing w:line="240" w:lineRule="auto"/>
              <w:ind w:firstLine="0"/>
            </w:pPr>
            <w:r w:rsidRPr="004D46AC">
              <w:t>P2</w:t>
            </w:r>
          </w:p>
        </w:tc>
        <w:tc>
          <w:tcPr>
            <w:tcW w:w="3201" w:type="dxa"/>
          </w:tcPr>
          <w:p w14:paraId="1FEEF592" w14:textId="77777777" w:rsidR="007075D9" w:rsidRPr="004D46AC" w:rsidRDefault="007075D9" w:rsidP="00CE2F7A">
            <w:pPr>
              <w:spacing w:line="240" w:lineRule="auto"/>
              <w:ind w:firstLine="0"/>
            </w:pPr>
            <w:r w:rsidRPr="004D46AC">
              <w:t>Conceptual disorganization</w:t>
            </w:r>
          </w:p>
        </w:tc>
        <w:tc>
          <w:tcPr>
            <w:tcW w:w="1115" w:type="dxa"/>
          </w:tcPr>
          <w:p w14:paraId="2D4FA673" w14:textId="77777777" w:rsidR="007075D9" w:rsidRPr="004D46AC" w:rsidRDefault="007075D9" w:rsidP="00CE2F7A">
            <w:pPr>
              <w:spacing w:line="240" w:lineRule="auto"/>
              <w:ind w:firstLine="0"/>
            </w:pPr>
            <w:r w:rsidRPr="004D46AC">
              <w:t>Inclusion</w:t>
            </w:r>
          </w:p>
        </w:tc>
        <w:tc>
          <w:tcPr>
            <w:tcW w:w="3323" w:type="dxa"/>
          </w:tcPr>
          <w:p w14:paraId="63B15D65" w14:textId="77777777" w:rsidR="007075D9" w:rsidRPr="004D46AC" w:rsidRDefault="007075D9" w:rsidP="00CE2F7A">
            <w:pPr>
              <w:spacing w:line="240" w:lineRule="auto"/>
              <w:ind w:firstLine="0"/>
            </w:pPr>
          </w:p>
        </w:tc>
      </w:tr>
      <w:tr w:rsidR="007075D9" w:rsidRPr="004D46AC" w14:paraId="4A71D5DB" w14:textId="77777777" w:rsidTr="00B518F1">
        <w:tc>
          <w:tcPr>
            <w:tcW w:w="657" w:type="dxa"/>
          </w:tcPr>
          <w:p w14:paraId="3AB51501" w14:textId="77777777" w:rsidR="007075D9" w:rsidRPr="004D46AC" w:rsidRDefault="007075D9" w:rsidP="00CE2F7A">
            <w:pPr>
              <w:spacing w:line="240" w:lineRule="auto"/>
              <w:ind w:firstLine="0"/>
            </w:pPr>
            <w:r w:rsidRPr="004D46AC">
              <w:t>P3</w:t>
            </w:r>
          </w:p>
        </w:tc>
        <w:tc>
          <w:tcPr>
            <w:tcW w:w="3201" w:type="dxa"/>
          </w:tcPr>
          <w:p w14:paraId="4FF39CDB" w14:textId="77777777" w:rsidR="007075D9" w:rsidRPr="004D46AC" w:rsidRDefault="007075D9" w:rsidP="00CE2F7A">
            <w:pPr>
              <w:spacing w:line="240" w:lineRule="auto"/>
              <w:ind w:firstLine="0"/>
            </w:pPr>
            <w:r w:rsidRPr="004D46AC">
              <w:t>Hallucinations</w:t>
            </w:r>
          </w:p>
        </w:tc>
        <w:tc>
          <w:tcPr>
            <w:tcW w:w="1115" w:type="dxa"/>
          </w:tcPr>
          <w:p w14:paraId="4FD56110" w14:textId="77777777" w:rsidR="007075D9" w:rsidRPr="004D46AC" w:rsidRDefault="007075D9" w:rsidP="00CE2F7A">
            <w:pPr>
              <w:spacing w:line="240" w:lineRule="auto"/>
              <w:ind w:firstLine="0"/>
            </w:pPr>
            <w:r w:rsidRPr="004D46AC">
              <w:t>Inclusion</w:t>
            </w:r>
          </w:p>
        </w:tc>
        <w:tc>
          <w:tcPr>
            <w:tcW w:w="3323" w:type="dxa"/>
          </w:tcPr>
          <w:p w14:paraId="47F9850B" w14:textId="77777777" w:rsidR="007075D9" w:rsidRPr="004D46AC" w:rsidRDefault="007075D9" w:rsidP="00CE2F7A">
            <w:pPr>
              <w:spacing w:line="240" w:lineRule="auto"/>
              <w:ind w:firstLine="0"/>
            </w:pPr>
          </w:p>
        </w:tc>
      </w:tr>
      <w:tr w:rsidR="007075D9" w:rsidRPr="004D46AC" w14:paraId="184EF5DB" w14:textId="77777777" w:rsidTr="00B518F1">
        <w:tc>
          <w:tcPr>
            <w:tcW w:w="657" w:type="dxa"/>
          </w:tcPr>
          <w:p w14:paraId="0C260AC1" w14:textId="77777777" w:rsidR="007075D9" w:rsidRPr="004D46AC" w:rsidRDefault="007075D9" w:rsidP="00CE2F7A">
            <w:pPr>
              <w:spacing w:line="240" w:lineRule="auto"/>
              <w:ind w:firstLine="0"/>
            </w:pPr>
            <w:r w:rsidRPr="004D46AC">
              <w:t>P4</w:t>
            </w:r>
          </w:p>
        </w:tc>
        <w:tc>
          <w:tcPr>
            <w:tcW w:w="3201" w:type="dxa"/>
          </w:tcPr>
          <w:p w14:paraId="2A773993" w14:textId="77777777" w:rsidR="007075D9" w:rsidRPr="004D46AC" w:rsidRDefault="007075D9" w:rsidP="00CE2F7A">
            <w:pPr>
              <w:spacing w:line="240" w:lineRule="auto"/>
              <w:ind w:firstLine="0"/>
            </w:pPr>
            <w:r w:rsidRPr="004D46AC">
              <w:t>Excitement</w:t>
            </w:r>
          </w:p>
        </w:tc>
        <w:tc>
          <w:tcPr>
            <w:tcW w:w="1115" w:type="dxa"/>
          </w:tcPr>
          <w:p w14:paraId="3AE87D5E" w14:textId="77777777" w:rsidR="007075D9" w:rsidRPr="004D46AC" w:rsidRDefault="007075D9" w:rsidP="00CE2F7A">
            <w:pPr>
              <w:spacing w:line="240" w:lineRule="auto"/>
              <w:ind w:firstLine="0"/>
            </w:pPr>
            <w:r w:rsidRPr="004D46AC">
              <w:t>Inclusion</w:t>
            </w:r>
          </w:p>
        </w:tc>
        <w:tc>
          <w:tcPr>
            <w:tcW w:w="3323" w:type="dxa"/>
          </w:tcPr>
          <w:p w14:paraId="041E4523" w14:textId="77777777" w:rsidR="007075D9" w:rsidRPr="004D46AC" w:rsidRDefault="007075D9" w:rsidP="00CE2F7A">
            <w:pPr>
              <w:spacing w:line="240" w:lineRule="auto"/>
              <w:ind w:firstLine="0"/>
            </w:pPr>
          </w:p>
        </w:tc>
      </w:tr>
      <w:tr w:rsidR="007075D9" w:rsidRPr="004D46AC" w14:paraId="2A131FC4" w14:textId="77777777" w:rsidTr="00B518F1">
        <w:tc>
          <w:tcPr>
            <w:tcW w:w="657" w:type="dxa"/>
          </w:tcPr>
          <w:p w14:paraId="283A977F" w14:textId="77777777" w:rsidR="007075D9" w:rsidRPr="004D46AC" w:rsidRDefault="007075D9" w:rsidP="00CE2F7A">
            <w:pPr>
              <w:spacing w:line="240" w:lineRule="auto"/>
              <w:ind w:firstLine="0"/>
            </w:pPr>
            <w:r w:rsidRPr="004D46AC">
              <w:t>P5</w:t>
            </w:r>
          </w:p>
        </w:tc>
        <w:tc>
          <w:tcPr>
            <w:tcW w:w="3201" w:type="dxa"/>
          </w:tcPr>
          <w:p w14:paraId="6AD29ACE" w14:textId="77777777" w:rsidR="007075D9" w:rsidRPr="004D46AC" w:rsidRDefault="007075D9" w:rsidP="00CE2F7A">
            <w:pPr>
              <w:spacing w:line="240" w:lineRule="auto"/>
              <w:ind w:firstLine="0"/>
            </w:pPr>
            <w:r w:rsidRPr="004D46AC">
              <w:t>Grandiosity</w:t>
            </w:r>
          </w:p>
        </w:tc>
        <w:tc>
          <w:tcPr>
            <w:tcW w:w="1115" w:type="dxa"/>
          </w:tcPr>
          <w:p w14:paraId="2C89CF77" w14:textId="77777777" w:rsidR="007075D9" w:rsidRPr="004D46AC" w:rsidRDefault="007075D9" w:rsidP="00CE2F7A">
            <w:pPr>
              <w:spacing w:line="240" w:lineRule="auto"/>
              <w:ind w:firstLine="0"/>
            </w:pPr>
            <w:r w:rsidRPr="004D46AC">
              <w:t>Inclusion</w:t>
            </w:r>
          </w:p>
        </w:tc>
        <w:tc>
          <w:tcPr>
            <w:tcW w:w="3323" w:type="dxa"/>
          </w:tcPr>
          <w:p w14:paraId="3DE8E12C" w14:textId="77777777" w:rsidR="007075D9" w:rsidRPr="004D46AC" w:rsidRDefault="007075D9" w:rsidP="00CE2F7A">
            <w:pPr>
              <w:spacing w:line="240" w:lineRule="auto"/>
              <w:ind w:firstLine="0"/>
            </w:pPr>
          </w:p>
        </w:tc>
      </w:tr>
      <w:tr w:rsidR="007075D9" w:rsidRPr="004D46AC" w14:paraId="75A0C5A6" w14:textId="77777777" w:rsidTr="00B518F1">
        <w:tc>
          <w:tcPr>
            <w:tcW w:w="657" w:type="dxa"/>
          </w:tcPr>
          <w:p w14:paraId="3AB66052" w14:textId="77777777" w:rsidR="007075D9" w:rsidRPr="004D46AC" w:rsidRDefault="007075D9" w:rsidP="00CE2F7A">
            <w:pPr>
              <w:spacing w:line="240" w:lineRule="auto"/>
              <w:ind w:firstLine="0"/>
            </w:pPr>
            <w:r w:rsidRPr="004D46AC">
              <w:t>P6</w:t>
            </w:r>
          </w:p>
        </w:tc>
        <w:tc>
          <w:tcPr>
            <w:tcW w:w="3201" w:type="dxa"/>
          </w:tcPr>
          <w:p w14:paraId="0199F386" w14:textId="77777777" w:rsidR="007075D9" w:rsidRPr="004D46AC" w:rsidRDefault="007075D9" w:rsidP="00CE2F7A">
            <w:pPr>
              <w:spacing w:line="240" w:lineRule="auto"/>
              <w:ind w:firstLine="0"/>
            </w:pPr>
            <w:r w:rsidRPr="004D46AC">
              <w:t>Suspiciousness/persecution</w:t>
            </w:r>
          </w:p>
        </w:tc>
        <w:tc>
          <w:tcPr>
            <w:tcW w:w="1115" w:type="dxa"/>
          </w:tcPr>
          <w:p w14:paraId="0A2004F8" w14:textId="77777777" w:rsidR="007075D9" w:rsidRPr="004D46AC" w:rsidRDefault="007075D9" w:rsidP="00CE2F7A">
            <w:pPr>
              <w:spacing w:line="240" w:lineRule="auto"/>
              <w:ind w:firstLine="0"/>
            </w:pPr>
            <w:r w:rsidRPr="004D46AC">
              <w:t>Inclusion</w:t>
            </w:r>
          </w:p>
        </w:tc>
        <w:tc>
          <w:tcPr>
            <w:tcW w:w="3323" w:type="dxa"/>
          </w:tcPr>
          <w:p w14:paraId="096B54CC" w14:textId="77777777" w:rsidR="007075D9" w:rsidRPr="004D46AC" w:rsidRDefault="007075D9" w:rsidP="00CE2F7A">
            <w:pPr>
              <w:spacing w:line="240" w:lineRule="auto"/>
              <w:ind w:firstLine="0"/>
            </w:pPr>
          </w:p>
        </w:tc>
      </w:tr>
      <w:tr w:rsidR="007075D9" w:rsidRPr="004D46AC" w14:paraId="59E22C63" w14:textId="77777777" w:rsidTr="00B518F1">
        <w:tc>
          <w:tcPr>
            <w:tcW w:w="657" w:type="dxa"/>
          </w:tcPr>
          <w:p w14:paraId="33CB67F4" w14:textId="77777777" w:rsidR="007075D9" w:rsidRPr="004D46AC" w:rsidRDefault="007075D9" w:rsidP="00CE2F7A">
            <w:pPr>
              <w:spacing w:line="240" w:lineRule="auto"/>
              <w:ind w:firstLine="0"/>
            </w:pPr>
            <w:r w:rsidRPr="004D46AC">
              <w:t>P7</w:t>
            </w:r>
          </w:p>
        </w:tc>
        <w:tc>
          <w:tcPr>
            <w:tcW w:w="3201" w:type="dxa"/>
          </w:tcPr>
          <w:p w14:paraId="1D5FDA6D" w14:textId="77777777" w:rsidR="007075D9" w:rsidRPr="004D46AC" w:rsidRDefault="007075D9" w:rsidP="00CE2F7A">
            <w:pPr>
              <w:spacing w:line="240" w:lineRule="auto"/>
              <w:ind w:firstLine="0"/>
            </w:pPr>
            <w:r w:rsidRPr="004D46AC">
              <w:t>Hostility</w:t>
            </w:r>
          </w:p>
        </w:tc>
        <w:tc>
          <w:tcPr>
            <w:tcW w:w="1115" w:type="dxa"/>
          </w:tcPr>
          <w:p w14:paraId="014B58D3" w14:textId="77777777" w:rsidR="007075D9" w:rsidRPr="004D46AC" w:rsidRDefault="007075D9" w:rsidP="00CE2F7A">
            <w:pPr>
              <w:spacing w:line="240" w:lineRule="auto"/>
              <w:ind w:firstLine="0"/>
            </w:pPr>
            <w:r w:rsidRPr="004D46AC">
              <w:t>exclusion</w:t>
            </w:r>
          </w:p>
        </w:tc>
        <w:tc>
          <w:tcPr>
            <w:tcW w:w="3323" w:type="dxa"/>
          </w:tcPr>
          <w:p w14:paraId="429B463B" w14:textId="77777777" w:rsidR="007075D9" w:rsidRPr="004D46AC" w:rsidRDefault="007075D9" w:rsidP="00CE2F7A">
            <w:pPr>
              <w:spacing w:line="240" w:lineRule="auto"/>
              <w:ind w:firstLine="0"/>
            </w:pPr>
            <w:proofErr w:type="gramStart"/>
            <w:r w:rsidRPr="004D46AC">
              <w:t>Similar to</w:t>
            </w:r>
            <w:proofErr w:type="gramEnd"/>
            <w:r w:rsidRPr="004D46AC">
              <w:t xml:space="preserve"> Y9</w:t>
            </w:r>
          </w:p>
        </w:tc>
      </w:tr>
      <w:tr w:rsidR="007075D9" w:rsidRPr="004D46AC" w14:paraId="7089F7E9" w14:textId="77777777" w:rsidTr="00B518F1">
        <w:tc>
          <w:tcPr>
            <w:tcW w:w="8296" w:type="dxa"/>
            <w:gridSpan w:val="4"/>
          </w:tcPr>
          <w:p w14:paraId="54CDA6EF" w14:textId="77777777" w:rsidR="007075D9" w:rsidRPr="004D46AC" w:rsidRDefault="007075D9" w:rsidP="00CE2F7A">
            <w:pPr>
              <w:spacing w:line="240" w:lineRule="auto"/>
              <w:ind w:firstLine="0"/>
            </w:pPr>
            <w:r w:rsidRPr="004D46AC">
              <w:t>Negative Syndrome (PANSS)</w:t>
            </w:r>
          </w:p>
        </w:tc>
      </w:tr>
      <w:tr w:rsidR="007075D9" w:rsidRPr="004D46AC" w14:paraId="2787CF37" w14:textId="77777777" w:rsidTr="00B518F1">
        <w:tc>
          <w:tcPr>
            <w:tcW w:w="657" w:type="dxa"/>
          </w:tcPr>
          <w:p w14:paraId="77F8A4B8" w14:textId="77777777" w:rsidR="007075D9" w:rsidRPr="004D46AC" w:rsidRDefault="007075D9" w:rsidP="00CE2F7A">
            <w:pPr>
              <w:spacing w:line="240" w:lineRule="auto"/>
              <w:ind w:firstLine="0"/>
            </w:pPr>
            <w:r w:rsidRPr="004D46AC">
              <w:t>N1</w:t>
            </w:r>
          </w:p>
        </w:tc>
        <w:tc>
          <w:tcPr>
            <w:tcW w:w="3201" w:type="dxa"/>
          </w:tcPr>
          <w:p w14:paraId="18D42972" w14:textId="77777777" w:rsidR="007075D9" w:rsidRPr="004D46AC" w:rsidRDefault="007075D9" w:rsidP="00CE2F7A">
            <w:pPr>
              <w:spacing w:line="240" w:lineRule="auto"/>
              <w:ind w:firstLine="0"/>
            </w:pPr>
            <w:r w:rsidRPr="004D46AC">
              <w:t>Blunted affect</w:t>
            </w:r>
          </w:p>
        </w:tc>
        <w:tc>
          <w:tcPr>
            <w:tcW w:w="1115" w:type="dxa"/>
          </w:tcPr>
          <w:p w14:paraId="1E46C4F8" w14:textId="77777777" w:rsidR="007075D9" w:rsidRPr="004D46AC" w:rsidRDefault="007075D9" w:rsidP="00CE2F7A">
            <w:pPr>
              <w:spacing w:line="240" w:lineRule="auto"/>
              <w:ind w:firstLine="0"/>
            </w:pPr>
            <w:r w:rsidRPr="004D46AC">
              <w:t>Inclusion</w:t>
            </w:r>
          </w:p>
        </w:tc>
        <w:tc>
          <w:tcPr>
            <w:tcW w:w="3323" w:type="dxa"/>
          </w:tcPr>
          <w:p w14:paraId="1BFF2DAC" w14:textId="77777777" w:rsidR="007075D9" w:rsidRPr="004D46AC" w:rsidRDefault="007075D9" w:rsidP="00CE2F7A">
            <w:pPr>
              <w:spacing w:line="240" w:lineRule="auto"/>
              <w:ind w:firstLine="0"/>
            </w:pPr>
          </w:p>
        </w:tc>
      </w:tr>
      <w:tr w:rsidR="007075D9" w:rsidRPr="004D46AC" w14:paraId="6A41D97F" w14:textId="77777777" w:rsidTr="00B518F1">
        <w:tc>
          <w:tcPr>
            <w:tcW w:w="657" w:type="dxa"/>
          </w:tcPr>
          <w:p w14:paraId="20253F82" w14:textId="77777777" w:rsidR="007075D9" w:rsidRPr="004D46AC" w:rsidRDefault="007075D9" w:rsidP="00CE2F7A">
            <w:pPr>
              <w:spacing w:line="240" w:lineRule="auto"/>
              <w:ind w:firstLine="0"/>
            </w:pPr>
            <w:r w:rsidRPr="004D46AC">
              <w:t>N2</w:t>
            </w:r>
          </w:p>
        </w:tc>
        <w:tc>
          <w:tcPr>
            <w:tcW w:w="3201" w:type="dxa"/>
          </w:tcPr>
          <w:p w14:paraId="50021F7D" w14:textId="77777777" w:rsidR="007075D9" w:rsidRPr="004D46AC" w:rsidRDefault="007075D9" w:rsidP="00CE2F7A">
            <w:pPr>
              <w:spacing w:line="240" w:lineRule="auto"/>
              <w:ind w:firstLine="0"/>
            </w:pPr>
            <w:r w:rsidRPr="004D46AC">
              <w:t>Emotional withdrawal</w:t>
            </w:r>
          </w:p>
        </w:tc>
        <w:tc>
          <w:tcPr>
            <w:tcW w:w="1115" w:type="dxa"/>
          </w:tcPr>
          <w:p w14:paraId="7C7EE043" w14:textId="77777777" w:rsidR="007075D9" w:rsidRPr="004D46AC" w:rsidRDefault="007075D9" w:rsidP="00CE2F7A">
            <w:pPr>
              <w:spacing w:line="240" w:lineRule="auto"/>
              <w:ind w:firstLine="0"/>
            </w:pPr>
            <w:r w:rsidRPr="004D46AC">
              <w:t>Merge</w:t>
            </w:r>
          </w:p>
        </w:tc>
        <w:tc>
          <w:tcPr>
            <w:tcW w:w="3323" w:type="dxa"/>
          </w:tcPr>
          <w:p w14:paraId="2A6E7316" w14:textId="77777777" w:rsidR="007075D9" w:rsidRPr="004D46AC" w:rsidRDefault="007075D9" w:rsidP="00CE2F7A">
            <w:pPr>
              <w:spacing w:line="240" w:lineRule="auto"/>
              <w:ind w:firstLine="0"/>
            </w:pPr>
            <w:r w:rsidRPr="004D46AC">
              <w:t>Merged with N4 (new item: WD)</w:t>
            </w:r>
          </w:p>
        </w:tc>
      </w:tr>
      <w:tr w:rsidR="007075D9" w:rsidRPr="004D46AC" w14:paraId="2B4D9E3A" w14:textId="77777777" w:rsidTr="00B518F1">
        <w:tc>
          <w:tcPr>
            <w:tcW w:w="657" w:type="dxa"/>
          </w:tcPr>
          <w:p w14:paraId="7B41DA6A" w14:textId="77777777" w:rsidR="007075D9" w:rsidRPr="004D46AC" w:rsidRDefault="007075D9" w:rsidP="00CE2F7A">
            <w:pPr>
              <w:spacing w:line="240" w:lineRule="auto"/>
              <w:ind w:firstLine="0"/>
            </w:pPr>
            <w:r w:rsidRPr="004D46AC">
              <w:t>N3</w:t>
            </w:r>
          </w:p>
        </w:tc>
        <w:tc>
          <w:tcPr>
            <w:tcW w:w="3201" w:type="dxa"/>
          </w:tcPr>
          <w:p w14:paraId="28650953" w14:textId="77777777" w:rsidR="007075D9" w:rsidRPr="004D46AC" w:rsidRDefault="007075D9" w:rsidP="00CE2F7A">
            <w:pPr>
              <w:spacing w:line="240" w:lineRule="auto"/>
              <w:ind w:firstLine="0"/>
            </w:pPr>
            <w:r w:rsidRPr="004D46AC">
              <w:t>Poor rapport</w:t>
            </w:r>
          </w:p>
        </w:tc>
        <w:tc>
          <w:tcPr>
            <w:tcW w:w="1115" w:type="dxa"/>
          </w:tcPr>
          <w:p w14:paraId="47236F85" w14:textId="77777777" w:rsidR="007075D9" w:rsidRPr="004D46AC" w:rsidRDefault="007075D9" w:rsidP="00CE2F7A">
            <w:pPr>
              <w:spacing w:line="240" w:lineRule="auto"/>
              <w:ind w:firstLine="0"/>
            </w:pPr>
            <w:r w:rsidRPr="004D46AC">
              <w:t>Merge</w:t>
            </w:r>
          </w:p>
        </w:tc>
        <w:tc>
          <w:tcPr>
            <w:tcW w:w="3323" w:type="dxa"/>
          </w:tcPr>
          <w:p w14:paraId="357A2E43" w14:textId="77777777" w:rsidR="007075D9" w:rsidRPr="004D46AC" w:rsidRDefault="007075D9" w:rsidP="00CE2F7A">
            <w:pPr>
              <w:spacing w:line="240" w:lineRule="auto"/>
              <w:ind w:firstLine="0"/>
            </w:pPr>
            <w:r w:rsidRPr="004D46AC">
              <w:t>Merged with N6 (new item: RC)</w:t>
            </w:r>
          </w:p>
        </w:tc>
      </w:tr>
      <w:tr w:rsidR="007075D9" w:rsidRPr="004D46AC" w14:paraId="3043968A" w14:textId="77777777" w:rsidTr="00B518F1">
        <w:tc>
          <w:tcPr>
            <w:tcW w:w="657" w:type="dxa"/>
          </w:tcPr>
          <w:p w14:paraId="5BBBE166" w14:textId="77777777" w:rsidR="007075D9" w:rsidRPr="004D46AC" w:rsidRDefault="007075D9" w:rsidP="00CE2F7A">
            <w:pPr>
              <w:spacing w:line="240" w:lineRule="auto"/>
              <w:ind w:firstLine="0"/>
            </w:pPr>
            <w:r w:rsidRPr="004D46AC">
              <w:t>N4</w:t>
            </w:r>
          </w:p>
        </w:tc>
        <w:tc>
          <w:tcPr>
            <w:tcW w:w="3201" w:type="dxa"/>
          </w:tcPr>
          <w:p w14:paraId="51C2E716" w14:textId="77777777" w:rsidR="007075D9" w:rsidRPr="004D46AC" w:rsidRDefault="007075D9" w:rsidP="00CE2F7A">
            <w:pPr>
              <w:spacing w:line="240" w:lineRule="auto"/>
              <w:ind w:firstLine="0"/>
            </w:pPr>
            <w:r w:rsidRPr="004D46AC">
              <w:t>Passive/apathetic social withdrawal</w:t>
            </w:r>
          </w:p>
        </w:tc>
        <w:tc>
          <w:tcPr>
            <w:tcW w:w="1115" w:type="dxa"/>
          </w:tcPr>
          <w:p w14:paraId="3D281973" w14:textId="77777777" w:rsidR="007075D9" w:rsidRPr="004D46AC" w:rsidRDefault="007075D9" w:rsidP="00CE2F7A">
            <w:pPr>
              <w:spacing w:line="240" w:lineRule="auto"/>
              <w:ind w:firstLine="0"/>
            </w:pPr>
            <w:r w:rsidRPr="004D46AC">
              <w:t>Merge</w:t>
            </w:r>
          </w:p>
        </w:tc>
        <w:tc>
          <w:tcPr>
            <w:tcW w:w="3323" w:type="dxa"/>
          </w:tcPr>
          <w:p w14:paraId="46651E2E" w14:textId="77777777" w:rsidR="007075D9" w:rsidRPr="004D46AC" w:rsidRDefault="007075D9" w:rsidP="00CE2F7A">
            <w:pPr>
              <w:spacing w:line="240" w:lineRule="auto"/>
              <w:ind w:firstLine="0"/>
            </w:pPr>
            <w:r w:rsidRPr="004D46AC">
              <w:t>Merged with N2 (new item: WD)</w:t>
            </w:r>
          </w:p>
        </w:tc>
      </w:tr>
      <w:tr w:rsidR="007075D9" w:rsidRPr="004D46AC" w14:paraId="7AF5F808" w14:textId="77777777" w:rsidTr="00B518F1">
        <w:tc>
          <w:tcPr>
            <w:tcW w:w="657" w:type="dxa"/>
          </w:tcPr>
          <w:p w14:paraId="2BF2FF14" w14:textId="77777777" w:rsidR="007075D9" w:rsidRPr="004D46AC" w:rsidRDefault="007075D9" w:rsidP="00CE2F7A">
            <w:pPr>
              <w:spacing w:line="240" w:lineRule="auto"/>
              <w:ind w:firstLine="0"/>
            </w:pPr>
            <w:r w:rsidRPr="004D46AC">
              <w:t>N5</w:t>
            </w:r>
          </w:p>
        </w:tc>
        <w:tc>
          <w:tcPr>
            <w:tcW w:w="3201" w:type="dxa"/>
          </w:tcPr>
          <w:p w14:paraId="24307F07" w14:textId="77777777" w:rsidR="007075D9" w:rsidRPr="004D46AC" w:rsidRDefault="007075D9" w:rsidP="00CE2F7A">
            <w:pPr>
              <w:spacing w:line="240" w:lineRule="auto"/>
              <w:ind w:firstLine="0"/>
            </w:pPr>
            <w:r w:rsidRPr="004D46AC">
              <w:t>Difficulty in abstract thinking</w:t>
            </w:r>
          </w:p>
        </w:tc>
        <w:tc>
          <w:tcPr>
            <w:tcW w:w="1115" w:type="dxa"/>
          </w:tcPr>
          <w:p w14:paraId="7386046F" w14:textId="77777777" w:rsidR="007075D9" w:rsidRPr="004D46AC" w:rsidRDefault="007075D9" w:rsidP="00CE2F7A">
            <w:pPr>
              <w:spacing w:line="240" w:lineRule="auto"/>
              <w:ind w:firstLine="0"/>
            </w:pPr>
            <w:r w:rsidRPr="004D46AC">
              <w:t>Inclusion</w:t>
            </w:r>
          </w:p>
        </w:tc>
        <w:tc>
          <w:tcPr>
            <w:tcW w:w="3323" w:type="dxa"/>
          </w:tcPr>
          <w:p w14:paraId="77650ECE" w14:textId="77777777" w:rsidR="007075D9" w:rsidRPr="004D46AC" w:rsidRDefault="007075D9" w:rsidP="00CE2F7A">
            <w:pPr>
              <w:spacing w:line="240" w:lineRule="auto"/>
              <w:ind w:firstLine="0"/>
            </w:pPr>
          </w:p>
        </w:tc>
      </w:tr>
      <w:tr w:rsidR="007075D9" w:rsidRPr="004D46AC" w14:paraId="43B6C318" w14:textId="77777777" w:rsidTr="00B518F1">
        <w:tc>
          <w:tcPr>
            <w:tcW w:w="657" w:type="dxa"/>
          </w:tcPr>
          <w:p w14:paraId="49394D35" w14:textId="77777777" w:rsidR="007075D9" w:rsidRPr="004D46AC" w:rsidRDefault="007075D9" w:rsidP="00CE2F7A">
            <w:pPr>
              <w:spacing w:line="240" w:lineRule="auto"/>
              <w:ind w:firstLine="0"/>
            </w:pPr>
            <w:r w:rsidRPr="004D46AC">
              <w:t>N6</w:t>
            </w:r>
          </w:p>
        </w:tc>
        <w:tc>
          <w:tcPr>
            <w:tcW w:w="3201" w:type="dxa"/>
          </w:tcPr>
          <w:p w14:paraId="3653BF4C" w14:textId="77777777" w:rsidR="007075D9" w:rsidRPr="004D46AC" w:rsidRDefault="007075D9" w:rsidP="00CE2F7A">
            <w:pPr>
              <w:spacing w:line="240" w:lineRule="auto"/>
              <w:ind w:firstLine="0"/>
            </w:pPr>
            <w:r w:rsidRPr="004D46AC">
              <w:t>Lack of spontaneity and flow of conversation</w:t>
            </w:r>
          </w:p>
        </w:tc>
        <w:tc>
          <w:tcPr>
            <w:tcW w:w="1115" w:type="dxa"/>
          </w:tcPr>
          <w:p w14:paraId="45DEA6AB" w14:textId="77777777" w:rsidR="007075D9" w:rsidRPr="004D46AC" w:rsidRDefault="007075D9" w:rsidP="00CE2F7A">
            <w:pPr>
              <w:spacing w:line="240" w:lineRule="auto"/>
              <w:ind w:firstLine="0"/>
            </w:pPr>
            <w:r w:rsidRPr="004D46AC">
              <w:t>Merge</w:t>
            </w:r>
          </w:p>
        </w:tc>
        <w:tc>
          <w:tcPr>
            <w:tcW w:w="3323" w:type="dxa"/>
          </w:tcPr>
          <w:p w14:paraId="09ACC2B8" w14:textId="77777777" w:rsidR="007075D9" w:rsidRPr="004D46AC" w:rsidRDefault="007075D9" w:rsidP="00CE2F7A">
            <w:pPr>
              <w:spacing w:line="240" w:lineRule="auto"/>
              <w:ind w:firstLine="0"/>
            </w:pPr>
            <w:r w:rsidRPr="004D46AC">
              <w:t>Merged with N3 (new item: RC)</w:t>
            </w:r>
          </w:p>
        </w:tc>
      </w:tr>
      <w:tr w:rsidR="007075D9" w:rsidRPr="004D46AC" w14:paraId="434EC454" w14:textId="77777777" w:rsidTr="00B518F1">
        <w:tc>
          <w:tcPr>
            <w:tcW w:w="657" w:type="dxa"/>
          </w:tcPr>
          <w:p w14:paraId="556736AD" w14:textId="77777777" w:rsidR="007075D9" w:rsidRPr="004D46AC" w:rsidRDefault="007075D9" w:rsidP="00CE2F7A">
            <w:pPr>
              <w:spacing w:line="240" w:lineRule="auto"/>
              <w:ind w:firstLine="0"/>
            </w:pPr>
            <w:r w:rsidRPr="004D46AC">
              <w:t>N7</w:t>
            </w:r>
          </w:p>
        </w:tc>
        <w:tc>
          <w:tcPr>
            <w:tcW w:w="3201" w:type="dxa"/>
          </w:tcPr>
          <w:p w14:paraId="73A96535" w14:textId="77777777" w:rsidR="007075D9" w:rsidRPr="004D46AC" w:rsidRDefault="007075D9" w:rsidP="00CE2F7A">
            <w:pPr>
              <w:spacing w:line="240" w:lineRule="auto"/>
              <w:ind w:firstLine="0"/>
            </w:pPr>
            <w:r w:rsidRPr="004D46AC">
              <w:t>Stereotyped thinking</w:t>
            </w:r>
          </w:p>
        </w:tc>
        <w:tc>
          <w:tcPr>
            <w:tcW w:w="1115" w:type="dxa"/>
          </w:tcPr>
          <w:p w14:paraId="449CA4B4" w14:textId="77777777" w:rsidR="007075D9" w:rsidRPr="004D46AC" w:rsidRDefault="007075D9" w:rsidP="00CE2F7A">
            <w:pPr>
              <w:spacing w:line="240" w:lineRule="auto"/>
              <w:ind w:firstLine="0"/>
            </w:pPr>
            <w:r w:rsidRPr="004D46AC">
              <w:t>Inclusion</w:t>
            </w:r>
          </w:p>
        </w:tc>
        <w:tc>
          <w:tcPr>
            <w:tcW w:w="3323" w:type="dxa"/>
          </w:tcPr>
          <w:p w14:paraId="4867705F" w14:textId="77777777" w:rsidR="007075D9" w:rsidRPr="004D46AC" w:rsidRDefault="007075D9" w:rsidP="00CE2F7A">
            <w:pPr>
              <w:spacing w:line="240" w:lineRule="auto"/>
              <w:ind w:firstLine="0"/>
            </w:pPr>
          </w:p>
        </w:tc>
      </w:tr>
      <w:tr w:rsidR="007075D9" w:rsidRPr="004D46AC" w14:paraId="7ABBBD48" w14:textId="77777777" w:rsidTr="00B518F1">
        <w:tc>
          <w:tcPr>
            <w:tcW w:w="3858" w:type="dxa"/>
            <w:gridSpan w:val="2"/>
          </w:tcPr>
          <w:p w14:paraId="3FCE9FDC" w14:textId="77777777" w:rsidR="007075D9" w:rsidRPr="004D46AC" w:rsidRDefault="007075D9" w:rsidP="00CE2F7A">
            <w:pPr>
              <w:spacing w:line="240" w:lineRule="auto"/>
              <w:ind w:firstLine="0"/>
            </w:pPr>
            <w:r w:rsidRPr="004D46AC">
              <w:t>General psychiatric symptoms</w:t>
            </w:r>
          </w:p>
        </w:tc>
        <w:tc>
          <w:tcPr>
            <w:tcW w:w="1115" w:type="dxa"/>
          </w:tcPr>
          <w:p w14:paraId="74D7907D" w14:textId="77777777" w:rsidR="007075D9" w:rsidRPr="004D46AC" w:rsidRDefault="007075D9" w:rsidP="00CE2F7A">
            <w:pPr>
              <w:spacing w:line="240" w:lineRule="auto"/>
              <w:ind w:firstLine="0"/>
            </w:pPr>
            <w:r w:rsidRPr="004D46AC">
              <w:t>Exclusion</w:t>
            </w:r>
          </w:p>
        </w:tc>
        <w:tc>
          <w:tcPr>
            <w:tcW w:w="3323" w:type="dxa"/>
          </w:tcPr>
          <w:p w14:paraId="0CCEF5E3" w14:textId="77777777" w:rsidR="007075D9" w:rsidRPr="004D46AC" w:rsidRDefault="007075D9" w:rsidP="00CE2F7A">
            <w:pPr>
              <w:spacing w:line="240" w:lineRule="auto"/>
              <w:ind w:firstLine="0"/>
            </w:pPr>
            <w:r w:rsidRPr="004D46AC">
              <w:t>These symptoms are not specific to schizophrenia. Considering the computational cost and network stability, these items were excluded.</w:t>
            </w:r>
          </w:p>
        </w:tc>
      </w:tr>
      <w:tr w:rsidR="007075D9" w:rsidRPr="004D46AC" w14:paraId="7785ACC0" w14:textId="77777777" w:rsidTr="00B518F1">
        <w:tc>
          <w:tcPr>
            <w:tcW w:w="8296" w:type="dxa"/>
            <w:gridSpan w:val="4"/>
          </w:tcPr>
          <w:p w14:paraId="0F597FBA" w14:textId="77777777" w:rsidR="007075D9" w:rsidRPr="004D46AC" w:rsidRDefault="007075D9" w:rsidP="00CE2F7A">
            <w:pPr>
              <w:spacing w:line="240" w:lineRule="auto"/>
              <w:ind w:firstLine="0"/>
            </w:pPr>
            <w:r w:rsidRPr="004D46AC">
              <w:t>Manic syndrome (YMRS)</w:t>
            </w:r>
          </w:p>
        </w:tc>
      </w:tr>
      <w:tr w:rsidR="007075D9" w:rsidRPr="004D46AC" w14:paraId="730E861E" w14:textId="77777777" w:rsidTr="00B518F1">
        <w:tc>
          <w:tcPr>
            <w:tcW w:w="657" w:type="dxa"/>
          </w:tcPr>
          <w:p w14:paraId="5E414C11" w14:textId="77777777" w:rsidR="007075D9" w:rsidRPr="004D46AC" w:rsidRDefault="007075D9" w:rsidP="00CE2F7A">
            <w:pPr>
              <w:spacing w:line="240" w:lineRule="auto"/>
              <w:ind w:firstLine="0"/>
            </w:pPr>
            <w:r w:rsidRPr="004D46AC">
              <w:t>Y1</w:t>
            </w:r>
          </w:p>
        </w:tc>
        <w:tc>
          <w:tcPr>
            <w:tcW w:w="3201" w:type="dxa"/>
          </w:tcPr>
          <w:p w14:paraId="0A100E02" w14:textId="77777777" w:rsidR="007075D9" w:rsidRPr="004D46AC" w:rsidRDefault="007075D9" w:rsidP="00CE2F7A">
            <w:pPr>
              <w:spacing w:line="240" w:lineRule="auto"/>
              <w:ind w:firstLine="0"/>
            </w:pPr>
            <w:r w:rsidRPr="004D46AC">
              <w:t>Elevated Mood</w:t>
            </w:r>
          </w:p>
        </w:tc>
        <w:tc>
          <w:tcPr>
            <w:tcW w:w="1115" w:type="dxa"/>
            <w:vMerge w:val="restart"/>
          </w:tcPr>
          <w:p w14:paraId="24F6106F" w14:textId="77777777" w:rsidR="007075D9" w:rsidRPr="004D46AC" w:rsidRDefault="007075D9" w:rsidP="00CE2F7A">
            <w:pPr>
              <w:spacing w:line="240" w:lineRule="auto"/>
              <w:ind w:firstLine="0"/>
            </w:pPr>
            <w:r w:rsidRPr="004D46AC">
              <w:t>Merge</w:t>
            </w:r>
          </w:p>
        </w:tc>
        <w:tc>
          <w:tcPr>
            <w:tcW w:w="3323" w:type="dxa"/>
            <w:vMerge w:val="restart"/>
          </w:tcPr>
          <w:p w14:paraId="0EE14486" w14:textId="77777777" w:rsidR="007075D9" w:rsidRPr="004D46AC" w:rsidRDefault="007075D9" w:rsidP="00CE2F7A">
            <w:pPr>
              <w:spacing w:line="240" w:lineRule="auto"/>
              <w:ind w:firstLine="0"/>
            </w:pPr>
            <w:r w:rsidRPr="004D46AC">
              <w:t>The new item was ME</w:t>
            </w:r>
          </w:p>
        </w:tc>
      </w:tr>
      <w:tr w:rsidR="007075D9" w:rsidRPr="004D46AC" w14:paraId="308F58CC" w14:textId="77777777" w:rsidTr="00B518F1">
        <w:tc>
          <w:tcPr>
            <w:tcW w:w="657" w:type="dxa"/>
          </w:tcPr>
          <w:p w14:paraId="0F3C2B02" w14:textId="77777777" w:rsidR="007075D9" w:rsidRPr="004D46AC" w:rsidRDefault="007075D9" w:rsidP="00CE2F7A">
            <w:pPr>
              <w:spacing w:line="240" w:lineRule="auto"/>
              <w:ind w:firstLine="0"/>
            </w:pPr>
            <w:r w:rsidRPr="004D46AC">
              <w:t>Y2</w:t>
            </w:r>
          </w:p>
        </w:tc>
        <w:tc>
          <w:tcPr>
            <w:tcW w:w="3201" w:type="dxa"/>
          </w:tcPr>
          <w:p w14:paraId="124A93D1" w14:textId="77777777" w:rsidR="007075D9" w:rsidRPr="004D46AC" w:rsidRDefault="007075D9" w:rsidP="00CE2F7A">
            <w:pPr>
              <w:spacing w:line="240" w:lineRule="auto"/>
              <w:ind w:firstLine="0"/>
            </w:pPr>
            <w:r w:rsidRPr="004D46AC">
              <w:t>Increased Motor Activity-Energy</w:t>
            </w:r>
          </w:p>
        </w:tc>
        <w:tc>
          <w:tcPr>
            <w:tcW w:w="1115" w:type="dxa"/>
            <w:vMerge/>
          </w:tcPr>
          <w:p w14:paraId="52157338" w14:textId="77777777" w:rsidR="007075D9" w:rsidRPr="004D46AC" w:rsidRDefault="007075D9" w:rsidP="00CE2F7A">
            <w:pPr>
              <w:spacing w:line="240" w:lineRule="auto"/>
              <w:ind w:firstLine="0"/>
            </w:pPr>
          </w:p>
        </w:tc>
        <w:tc>
          <w:tcPr>
            <w:tcW w:w="3323" w:type="dxa"/>
            <w:vMerge/>
          </w:tcPr>
          <w:p w14:paraId="1BF21153" w14:textId="77777777" w:rsidR="007075D9" w:rsidRPr="004D46AC" w:rsidRDefault="007075D9" w:rsidP="00CE2F7A">
            <w:pPr>
              <w:spacing w:line="240" w:lineRule="auto"/>
              <w:ind w:firstLine="0"/>
            </w:pPr>
          </w:p>
        </w:tc>
      </w:tr>
      <w:tr w:rsidR="007075D9" w:rsidRPr="004D46AC" w14:paraId="133852DC" w14:textId="77777777" w:rsidTr="00B518F1">
        <w:tc>
          <w:tcPr>
            <w:tcW w:w="657" w:type="dxa"/>
          </w:tcPr>
          <w:p w14:paraId="064E5411" w14:textId="77777777" w:rsidR="007075D9" w:rsidRPr="004D46AC" w:rsidRDefault="007075D9" w:rsidP="00CE2F7A">
            <w:pPr>
              <w:spacing w:line="240" w:lineRule="auto"/>
              <w:ind w:firstLine="0"/>
            </w:pPr>
            <w:r w:rsidRPr="004D46AC">
              <w:t>Y3</w:t>
            </w:r>
          </w:p>
        </w:tc>
        <w:tc>
          <w:tcPr>
            <w:tcW w:w="3201" w:type="dxa"/>
          </w:tcPr>
          <w:p w14:paraId="05FBCE5F" w14:textId="77777777" w:rsidR="007075D9" w:rsidRPr="004D46AC" w:rsidRDefault="007075D9" w:rsidP="00CE2F7A">
            <w:pPr>
              <w:spacing w:line="240" w:lineRule="auto"/>
              <w:ind w:firstLine="0"/>
            </w:pPr>
            <w:r w:rsidRPr="004D46AC">
              <w:t>Sexual Interest</w:t>
            </w:r>
          </w:p>
        </w:tc>
        <w:tc>
          <w:tcPr>
            <w:tcW w:w="1115" w:type="dxa"/>
          </w:tcPr>
          <w:p w14:paraId="2828BCD9" w14:textId="77777777" w:rsidR="007075D9" w:rsidRPr="004D46AC" w:rsidRDefault="007075D9" w:rsidP="00CE2F7A">
            <w:pPr>
              <w:spacing w:line="240" w:lineRule="auto"/>
              <w:ind w:firstLine="0"/>
            </w:pPr>
            <w:r w:rsidRPr="004D46AC">
              <w:t>Inclusion</w:t>
            </w:r>
          </w:p>
        </w:tc>
        <w:tc>
          <w:tcPr>
            <w:tcW w:w="3323" w:type="dxa"/>
          </w:tcPr>
          <w:p w14:paraId="3DE19C5C" w14:textId="77777777" w:rsidR="007075D9" w:rsidRPr="004D46AC" w:rsidRDefault="007075D9" w:rsidP="00CE2F7A">
            <w:pPr>
              <w:spacing w:line="240" w:lineRule="auto"/>
              <w:ind w:firstLine="0"/>
            </w:pPr>
          </w:p>
        </w:tc>
      </w:tr>
      <w:tr w:rsidR="007075D9" w:rsidRPr="004D46AC" w14:paraId="66AF7F6E" w14:textId="77777777" w:rsidTr="00B518F1">
        <w:tc>
          <w:tcPr>
            <w:tcW w:w="657" w:type="dxa"/>
          </w:tcPr>
          <w:p w14:paraId="72CF88CD" w14:textId="77777777" w:rsidR="007075D9" w:rsidRPr="004D46AC" w:rsidRDefault="007075D9" w:rsidP="00CE2F7A">
            <w:pPr>
              <w:spacing w:line="240" w:lineRule="auto"/>
              <w:ind w:firstLine="0"/>
            </w:pPr>
            <w:r w:rsidRPr="004D46AC">
              <w:t>Y4</w:t>
            </w:r>
          </w:p>
        </w:tc>
        <w:tc>
          <w:tcPr>
            <w:tcW w:w="3201" w:type="dxa"/>
          </w:tcPr>
          <w:p w14:paraId="1EC01A3C" w14:textId="77777777" w:rsidR="007075D9" w:rsidRPr="004D46AC" w:rsidRDefault="007075D9" w:rsidP="00CE2F7A">
            <w:pPr>
              <w:spacing w:line="240" w:lineRule="auto"/>
              <w:ind w:firstLine="0"/>
            </w:pPr>
            <w:r w:rsidRPr="004D46AC">
              <w:t>Decreased Sleep</w:t>
            </w:r>
          </w:p>
        </w:tc>
        <w:tc>
          <w:tcPr>
            <w:tcW w:w="1115" w:type="dxa"/>
          </w:tcPr>
          <w:p w14:paraId="4ABB29B7" w14:textId="77777777" w:rsidR="007075D9" w:rsidRPr="004D46AC" w:rsidRDefault="007075D9" w:rsidP="00CE2F7A">
            <w:pPr>
              <w:spacing w:line="240" w:lineRule="auto"/>
              <w:ind w:firstLine="0"/>
            </w:pPr>
            <w:r w:rsidRPr="004D46AC">
              <w:t>Merge</w:t>
            </w:r>
          </w:p>
        </w:tc>
        <w:tc>
          <w:tcPr>
            <w:tcW w:w="3323" w:type="dxa"/>
          </w:tcPr>
          <w:p w14:paraId="093C3AFC" w14:textId="77777777" w:rsidR="007075D9" w:rsidRPr="004D46AC" w:rsidRDefault="007075D9" w:rsidP="00CE2F7A">
            <w:pPr>
              <w:spacing w:line="240" w:lineRule="auto"/>
              <w:ind w:firstLine="0"/>
            </w:pPr>
            <w:r w:rsidRPr="004D46AC">
              <w:t>Merged with M4 (new item: SP)</w:t>
            </w:r>
          </w:p>
        </w:tc>
      </w:tr>
      <w:tr w:rsidR="007075D9" w:rsidRPr="004D46AC" w14:paraId="39B72D6D" w14:textId="77777777" w:rsidTr="00B518F1">
        <w:tc>
          <w:tcPr>
            <w:tcW w:w="657" w:type="dxa"/>
          </w:tcPr>
          <w:p w14:paraId="75B88D67" w14:textId="77777777" w:rsidR="007075D9" w:rsidRPr="004D46AC" w:rsidRDefault="007075D9" w:rsidP="00CE2F7A">
            <w:pPr>
              <w:spacing w:line="240" w:lineRule="auto"/>
              <w:ind w:firstLine="0"/>
            </w:pPr>
            <w:r w:rsidRPr="004D46AC">
              <w:t>Y5</w:t>
            </w:r>
          </w:p>
        </w:tc>
        <w:tc>
          <w:tcPr>
            <w:tcW w:w="3201" w:type="dxa"/>
          </w:tcPr>
          <w:p w14:paraId="44159E94" w14:textId="77777777" w:rsidR="007075D9" w:rsidRPr="004D46AC" w:rsidRDefault="007075D9" w:rsidP="00CE2F7A">
            <w:pPr>
              <w:spacing w:line="240" w:lineRule="auto"/>
              <w:ind w:firstLine="0"/>
            </w:pPr>
            <w:r w:rsidRPr="004D46AC">
              <w:t>Irritability</w:t>
            </w:r>
          </w:p>
        </w:tc>
        <w:tc>
          <w:tcPr>
            <w:tcW w:w="1115" w:type="dxa"/>
          </w:tcPr>
          <w:p w14:paraId="0C717ED7" w14:textId="77777777" w:rsidR="007075D9" w:rsidRPr="004D46AC" w:rsidRDefault="007075D9" w:rsidP="00CE2F7A">
            <w:pPr>
              <w:spacing w:line="240" w:lineRule="auto"/>
              <w:ind w:firstLine="0"/>
            </w:pPr>
            <w:r w:rsidRPr="004D46AC">
              <w:t>Merge</w:t>
            </w:r>
          </w:p>
        </w:tc>
        <w:tc>
          <w:tcPr>
            <w:tcW w:w="3323" w:type="dxa"/>
          </w:tcPr>
          <w:p w14:paraId="791BC73B" w14:textId="77777777" w:rsidR="007075D9" w:rsidRPr="004D46AC" w:rsidRDefault="007075D9" w:rsidP="00CE2F7A">
            <w:pPr>
              <w:spacing w:line="240" w:lineRule="auto"/>
              <w:ind w:firstLine="0"/>
            </w:pPr>
            <w:r w:rsidRPr="004D46AC">
              <w:t>Merged with Y9 (new item: IA)</w:t>
            </w:r>
          </w:p>
        </w:tc>
      </w:tr>
      <w:tr w:rsidR="007075D9" w:rsidRPr="004D46AC" w14:paraId="774733CD" w14:textId="77777777" w:rsidTr="00B518F1">
        <w:tc>
          <w:tcPr>
            <w:tcW w:w="657" w:type="dxa"/>
          </w:tcPr>
          <w:p w14:paraId="43568657" w14:textId="77777777" w:rsidR="007075D9" w:rsidRPr="004D46AC" w:rsidRDefault="007075D9" w:rsidP="00CE2F7A">
            <w:pPr>
              <w:spacing w:line="240" w:lineRule="auto"/>
              <w:ind w:firstLine="0"/>
            </w:pPr>
            <w:r w:rsidRPr="004D46AC">
              <w:t>Y6</w:t>
            </w:r>
          </w:p>
        </w:tc>
        <w:tc>
          <w:tcPr>
            <w:tcW w:w="3201" w:type="dxa"/>
          </w:tcPr>
          <w:p w14:paraId="696C85FA" w14:textId="77777777" w:rsidR="007075D9" w:rsidRPr="004D46AC" w:rsidRDefault="007075D9" w:rsidP="00CE2F7A">
            <w:pPr>
              <w:spacing w:line="240" w:lineRule="auto"/>
              <w:ind w:firstLine="0"/>
            </w:pPr>
            <w:r w:rsidRPr="004D46AC">
              <w:t>Speed and amount of Speech</w:t>
            </w:r>
          </w:p>
        </w:tc>
        <w:tc>
          <w:tcPr>
            <w:tcW w:w="1115" w:type="dxa"/>
          </w:tcPr>
          <w:p w14:paraId="035CC7E0" w14:textId="77777777" w:rsidR="007075D9" w:rsidRPr="004D46AC" w:rsidRDefault="007075D9" w:rsidP="00CE2F7A">
            <w:pPr>
              <w:spacing w:line="240" w:lineRule="auto"/>
              <w:ind w:firstLine="0"/>
            </w:pPr>
            <w:r w:rsidRPr="004D46AC">
              <w:t>Inclusion</w:t>
            </w:r>
          </w:p>
        </w:tc>
        <w:tc>
          <w:tcPr>
            <w:tcW w:w="3323" w:type="dxa"/>
          </w:tcPr>
          <w:p w14:paraId="196CA01D" w14:textId="77777777" w:rsidR="007075D9" w:rsidRPr="004D46AC" w:rsidRDefault="007075D9" w:rsidP="00CE2F7A">
            <w:pPr>
              <w:spacing w:line="240" w:lineRule="auto"/>
              <w:ind w:firstLine="0"/>
            </w:pPr>
          </w:p>
        </w:tc>
      </w:tr>
      <w:tr w:rsidR="007075D9" w:rsidRPr="004D46AC" w14:paraId="2D7782AC" w14:textId="77777777" w:rsidTr="00B518F1">
        <w:tc>
          <w:tcPr>
            <w:tcW w:w="657" w:type="dxa"/>
          </w:tcPr>
          <w:p w14:paraId="019B3351" w14:textId="77777777" w:rsidR="007075D9" w:rsidRPr="004D46AC" w:rsidRDefault="007075D9" w:rsidP="00CE2F7A">
            <w:pPr>
              <w:spacing w:line="240" w:lineRule="auto"/>
              <w:ind w:firstLine="0"/>
            </w:pPr>
            <w:r w:rsidRPr="004D46AC">
              <w:t>Y7</w:t>
            </w:r>
          </w:p>
        </w:tc>
        <w:tc>
          <w:tcPr>
            <w:tcW w:w="3201" w:type="dxa"/>
          </w:tcPr>
          <w:p w14:paraId="3A0C5702" w14:textId="77777777" w:rsidR="007075D9" w:rsidRPr="004D46AC" w:rsidRDefault="007075D9" w:rsidP="00CE2F7A">
            <w:pPr>
              <w:spacing w:line="240" w:lineRule="auto"/>
              <w:ind w:firstLine="0"/>
            </w:pPr>
            <w:r w:rsidRPr="004D46AC">
              <w:t>Language Thought disorder</w:t>
            </w:r>
          </w:p>
        </w:tc>
        <w:tc>
          <w:tcPr>
            <w:tcW w:w="1115" w:type="dxa"/>
          </w:tcPr>
          <w:p w14:paraId="0672C47E" w14:textId="77777777" w:rsidR="007075D9" w:rsidRPr="004D46AC" w:rsidRDefault="007075D9" w:rsidP="00CE2F7A">
            <w:pPr>
              <w:spacing w:line="240" w:lineRule="auto"/>
              <w:ind w:firstLine="0"/>
            </w:pPr>
            <w:r w:rsidRPr="004D46AC">
              <w:t>Inclusion</w:t>
            </w:r>
          </w:p>
        </w:tc>
        <w:tc>
          <w:tcPr>
            <w:tcW w:w="3323" w:type="dxa"/>
          </w:tcPr>
          <w:p w14:paraId="7BE8CFC4" w14:textId="77777777" w:rsidR="007075D9" w:rsidRPr="004D46AC" w:rsidRDefault="007075D9" w:rsidP="00CE2F7A">
            <w:pPr>
              <w:spacing w:line="240" w:lineRule="auto"/>
              <w:ind w:firstLine="0"/>
            </w:pPr>
          </w:p>
        </w:tc>
      </w:tr>
      <w:tr w:rsidR="007075D9" w:rsidRPr="004D46AC" w14:paraId="5200D44D" w14:textId="77777777" w:rsidTr="00B518F1">
        <w:tc>
          <w:tcPr>
            <w:tcW w:w="657" w:type="dxa"/>
          </w:tcPr>
          <w:p w14:paraId="5CDCCCAF" w14:textId="77777777" w:rsidR="007075D9" w:rsidRPr="004D46AC" w:rsidRDefault="007075D9" w:rsidP="00CE2F7A">
            <w:pPr>
              <w:spacing w:line="240" w:lineRule="auto"/>
              <w:ind w:firstLine="0"/>
            </w:pPr>
            <w:r w:rsidRPr="004D46AC">
              <w:t>Y8</w:t>
            </w:r>
          </w:p>
        </w:tc>
        <w:tc>
          <w:tcPr>
            <w:tcW w:w="3201" w:type="dxa"/>
          </w:tcPr>
          <w:p w14:paraId="1DA54B5D" w14:textId="77777777" w:rsidR="007075D9" w:rsidRPr="004D46AC" w:rsidRDefault="007075D9" w:rsidP="00CE2F7A">
            <w:pPr>
              <w:spacing w:line="240" w:lineRule="auto"/>
              <w:ind w:firstLine="0"/>
            </w:pPr>
            <w:r w:rsidRPr="004D46AC">
              <w:t>Content</w:t>
            </w:r>
          </w:p>
        </w:tc>
        <w:tc>
          <w:tcPr>
            <w:tcW w:w="1115" w:type="dxa"/>
          </w:tcPr>
          <w:p w14:paraId="6948F6F0" w14:textId="77777777" w:rsidR="007075D9" w:rsidRPr="004D46AC" w:rsidRDefault="007075D9" w:rsidP="00CE2F7A">
            <w:pPr>
              <w:spacing w:line="240" w:lineRule="auto"/>
              <w:ind w:firstLine="0"/>
            </w:pPr>
            <w:r w:rsidRPr="004D46AC">
              <w:t>Exclusion</w:t>
            </w:r>
          </w:p>
        </w:tc>
        <w:tc>
          <w:tcPr>
            <w:tcW w:w="3323" w:type="dxa"/>
          </w:tcPr>
          <w:p w14:paraId="2F365252" w14:textId="77777777" w:rsidR="007075D9" w:rsidRPr="004D46AC" w:rsidRDefault="007075D9" w:rsidP="00CE2F7A">
            <w:pPr>
              <w:spacing w:line="240" w:lineRule="auto"/>
              <w:ind w:firstLine="0"/>
            </w:pPr>
            <w:r w:rsidRPr="004D46AC">
              <w:t xml:space="preserve">Categorical and </w:t>
            </w:r>
            <w:proofErr w:type="gramStart"/>
            <w:r w:rsidRPr="004D46AC">
              <w:t>similar to</w:t>
            </w:r>
            <w:proofErr w:type="gramEnd"/>
            <w:r w:rsidRPr="004D46AC">
              <w:t xml:space="preserve"> P6 and P5</w:t>
            </w:r>
          </w:p>
        </w:tc>
      </w:tr>
      <w:tr w:rsidR="007075D9" w:rsidRPr="004D46AC" w14:paraId="4423D8AE" w14:textId="77777777" w:rsidTr="00B518F1">
        <w:tc>
          <w:tcPr>
            <w:tcW w:w="657" w:type="dxa"/>
          </w:tcPr>
          <w:p w14:paraId="04DD76E0" w14:textId="77777777" w:rsidR="007075D9" w:rsidRPr="004D46AC" w:rsidRDefault="007075D9" w:rsidP="00CE2F7A">
            <w:pPr>
              <w:spacing w:line="240" w:lineRule="auto"/>
              <w:ind w:firstLine="0"/>
            </w:pPr>
            <w:r w:rsidRPr="004D46AC">
              <w:t>Y9</w:t>
            </w:r>
          </w:p>
        </w:tc>
        <w:tc>
          <w:tcPr>
            <w:tcW w:w="3201" w:type="dxa"/>
          </w:tcPr>
          <w:p w14:paraId="3F262E3D" w14:textId="77777777" w:rsidR="007075D9" w:rsidRPr="004D46AC" w:rsidRDefault="007075D9" w:rsidP="00CE2F7A">
            <w:pPr>
              <w:spacing w:line="240" w:lineRule="auto"/>
              <w:ind w:firstLine="0"/>
            </w:pPr>
            <w:r w:rsidRPr="004D46AC">
              <w:t>Disruptive-Aggressive Behaviour</w:t>
            </w:r>
          </w:p>
        </w:tc>
        <w:tc>
          <w:tcPr>
            <w:tcW w:w="1115" w:type="dxa"/>
          </w:tcPr>
          <w:p w14:paraId="36C8C336" w14:textId="77777777" w:rsidR="007075D9" w:rsidRPr="004D46AC" w:rsidRDefault="007075D9" w:rsidP="00CE2F7A">
            <w:pPr>
              <w:spacing w:line="240" w:lineRule="auto"/>
              <w:ind w:firstLine="0"/>
            </w:pPr>
            <w:r w:rsidRPr="004D46AC">
              <w:t>Merge</w:t>
            </w:r>
          </w:p>
        </w:tc>
        <w:tc>
          <w:tcPr>
            <w:tcW w:w="3323" w:type="dxa"/>
          </w:tcPr>
          <w:p w14:paraId="4EF5BB6B" w14:textId="77777777" w:rsidR="007075D9" w:rsidRPr="004D46AC" w:rsidRDefault="007075D9" w:rsidP="00CE2F7A">
            <w:pPr>
              <w:spacing w:line="240" w:lineRule="auto"/>
              <w:ind w:firstLine="0"/>
            </w:pPr>
            <w:r w:rsidRPr="004D46AC">
              <w:t>Merged with Y5 (new item: IA)</w:t>
            </w:r>
          </w:p>
        </w:tc>
      </w:tr>
      <w:tr w:rsidR="007075D9" w:rsidRPr="004D46AC" w14:paraId="4D6110CC" w14:textId="77777777" w:rsidTr="00B518F1">
        <w:tc>
          <w:tcPr>
            <w:tcW w:w="657" w:type="dxa"/>
          </w:tcPr>
          <w:p w14:paraId="2E3C58C3" w14:textId="77777777" w:rsidR="007075D9" w:rsidRPr="004D46AC" w:rsidRDefault="007075D9" w:rsidP="00CE2F7A">
            <w:pPr>
              <w:spacing w:line="240" w:lineRule="auto"/>
              <w:ind w:firstLine="0"/>
            </w:pPr>
            <w:r w:rsidRPr="004D46AC">
              <w:t>Y10</w:t>
            </w:r>
          </w:p>
        </w:tc>
        <w:tc>
          <w:tcPr>
            <w:tcW w:w="3201" w:type="dxa"/>
          </w:tcPr>
          <w:p w14:paraId="5C260A9A" w14:textId="77777777" w:rsidR="007075D9" w:rsidRPr="004D46AC" w:rsidRDefault="007075D9" w:rsidP="00CE2F7A">
            <w:pPr>
              <w:spacing w:line="240" w:lineRule="auto"/>
              <w:ind w:firstLine="0"/>
            </w:pPr>
            <w:r w:rsidRPr="004D46AC">
              <w:t>Appearance</w:t>
            </w:r>
          </w:p>
        </w:tc>
        <w:tc>
          <w:tcPr>
            <w:tcW w:w="1115" w:type="dxa"/>
          </w:tcPr>
          <w:p w14:paraId="3A71A703" w14:textId="77777777" w:rsidR="007075D9" w:rsidRPr="004D46AC" w:rsidRDefault="007075D9" w:rsidP="00CE2F7A">
            <w:pPr>
              <w:spacing w:line="240" w:lineRule="auto"/>
              <w:ind w:firstLine="0"/>
            </w:pPr>
            <w:r w:rsidRPr="004D46AC">
              <w:t>Inclusion</w:t>
            </w:r>
          </w:p>
        </w:tc>
        <w:tc>
          <w:tcPr>
            <w:tcW w:w="3323" w:type="dxa"/>
          </w:tcPr>
          <w:p w14:paraId="3520FB9A" w14:textId="77777777" w:rsidR="007075D9" w:rsidRPr="004D46AC" w:rsidRDefault="007075D9" w:rsidP="00CE2F7A">
            <w:pPr>
              <w:spacing w:line="240" w:lineRule="auto"/>
              <w:ind w:firstLine="0"/>
            </w:pPr>
          </w:p>
        </w:tc>
      </w:tr>
      <w:tr w:rsidR="007075D9" w:rsidRPr="004D46AC" w14:paraId="2B1B660F" w14:textId="77777777" w:rsidTr="00B518F1">
        <w:tc>
          <w:tcPr>
            <w:tcW w:w="657" w:type="dxa"/>
          </w:tcPr>
          <w:p w14:paraId="1FCE3163" w14:textId="77777777" w:rsidR="007075D9" w:rsidRPr="004D46AC" w:rsidRDefault="007075D9" w:rsidP="00CE2F7A">
            <w:pPr>
              <w:spacing w:line="240" w:lineRule="auto"/>
              <w:ind w:firstLine="0"/>
            </w:pPr>
            <w:r w:rsidRPr="004D46AC">
              <w:t>Y11</w:t>
            </w:r>
          </w:p>
        </w:tc>
        <w:tc>
          <w:tcPr>
            <w:tcW w:w="3201" w:type="dxa"/>
          </w:tcPr>
          <w:p w14:paraId="44495D2F" w14:textId="77777777" w:rsidR="007075D9" w:rsidRPr="004D46AC" w:rsidRDefault="007075D9" w:rsidP="00CE2F7A">
            <w:pPr>
              <w:spacing w:line="240" w:lineRule="auto"/>
              <w:ind w:firstLine="0"/>
            </w:pPr>
            <w:r w:rsidRPr="004D46AC">
              <w:t>Insight</w:t>
            </w:r>
          </w:p>
        </w:tc>
        <w:tc>
          <w:tcPr>
            <w:tcW w:w="1115" w:type="dxa"/>
          </w:tcPr>
          <w:p w14:paraId="4D88B315" w14:textId="77777777" w:rsidR="007075D9" w:rsidRPr="004D46AC" w:rsidRDefault="007075D9" w:rsidP="00CE2F7A">
            <w:pPr>
              <w:spacing w:line="240" w:lineRule="auto"/>
              <w:ind w:firstLine="0"/>
            </w:pPr>
            <w:r w:rsidRPr="004D46AC">
              <w:t>Inclusion</w:t>
            </w:r>
          </w:p>
        </w:tc>
        <w:tc>
          <w:tcPr>
            <w:tcW w:w="3323" w:type="dxa"/>
          </w:tcPr>
          <w:p w14:paraId="104B12C2" w14:textId="77777777" w:rsidR="007075D9" w:rsidRPr="004D46AC" w:rsidRDefault="007075D9" w:rsidP="00CE2F7A">
            <w:pPr>
              <w:spacing w:line="240" w:lineRule="auto"/>
              <w:ind w:firstLine="0"/>
            </w:pPr>
          </w:p>
        </w:tc>
      </w:tr>
      <w:tr w:rsidR="007075D9" w:rsidRPr="004D46AC" w14:paraId="567D7D32" w14:textId="77777777" w:rsidTr="00B518F1">
        <w:tc>
          <w:tcPr>
            <w:tcW w:w="8296" w:type="dxa"/>
            <w:gridSpan w:val="4"/>
          </w:tcPr>
          <w:p w14:paraId="55270F29" w14:textId="77777777" w:rsidR="007075D9" w:rsidRPr="004D46AC" w:rsidRDefault="007075D9" w:rsidP="00CE2F7A">
            <w:pPr>
              <w:spacing w:line="240" w:lineRule="auto"/>
              <w:ind w:firstLine="0"/>
            </w:pPr>
          </w:p>
        </w:tc>
      </w:tr>
      <w:tr w:rsidR="007075D9" w:rsidRPr="004D46AC" w14:paraId="5DEA4CBC" w14:textId="77777777" w:rsidTr="00B518F1">
        <w:tc>
          <w:tcPr>
            <w:tcW w:w="657" w:type="dxa"/>
          </w:tcPr>
          <w:p w14:paraId="2738D72F" w14:textId="77777777" w:rsidR="007075D9" w:rsidRPr="004D46AC" w:rsidRDefault="007075D9" w:rsidP="00CE2F7A">
            <w:pPr>
              <w:spacing w:line="240" w:lineRule="auto"/>
              <w:ind w:firstLine="0"/>
            </w:pPr>
            <w:r w:rsidRPr="004D46AC">
              <w:t>M1</w:t>
            </w:r>
          </w:p>
        </w:tc>
        <w:tc>
          <w:tcPr>
            <w:tcW w:w="3201" w:type="dxa"/>
          </w:tcPr>
          <w:p w14:paraId="4AA3EEC1" w14:textId="77777777" w:rsidR="007075D9" w:rsidRPr="004D46AC" w:rsidRDefault="007075D9" w:rsidP="00CE2F7A">
            <w:pPr>
              <w:spacing w:line="240" w:lineRule="auto"/>
              <w:ind w:firstLine="0"/>
            </w:pPr>
            <w:r w:rsidRPr="004D46AC">
              <w:t>Apparent Sadness</w:t>
            </w:r>
          </w:p>
        </w:tc>
        <w:tc>
          <w:tcPr>
            <w:tcW w:w="1115" w:type="dxa"/>
          </w:tcPr>
          <w:p w14:paraId="0E0B434C" w14:textId="77777777" w:rsidR="007075D9" w:rsidRPr="004D46AC" w:rsidRDefault="007075D9" w:rsidP="00CE2F7A">
            <w:pPr>
              <w:spacing w:line="240" w:lineRule="auto"/>
              <w:ind w:firstLine="0"/>
            </w:pPr>
            <w:r w:rsidRPr="004D46AC">
              <w:t>Exclusion</w:t>
            </w:r>
          </w:p>
        </w:tc>
        <w:tc>
          <w:tcPr>
            <w:tcW w:w="3323" w:type="dxa"/>
          </w:tcPr>
          <w:p w14:paraId="612184A3" w14:textId="77777777" w:rsidR="007075D9" w:rsidRPr="004D46AC" w:rsidRDefault="007075D9" w:rsidP="00CE2F7A">
            <w:pPr>
              <w:spacing w:line="240" w:lineRule="auto"/>
              <w:ind w:firstLine="0"/>
            </w:pPr>
            <w:proofErr w:type="gramStart"/>
            <w:r w:rsidRPr="004D46AC">
              <w:t>Similar to</w:t>
            </w:r>
            <w:proofErr w:type="gramEnd"/>
            <w:r w:rsidRPr="004D46AC">
              <w:t xml:space="preserve"> M2. This item is rated by observer, which is excluded to maintain the consistency of the measurement.</w:t>
            </w:r>
          </w:p>
        </w:tc>
      </w:tr>
      <w:tr w:rsidR="007075D9" w:rsidRPr="004D46AC" w14:paraId="441742F8" w14:textId="77777777" w:rsidTr="00B518F1">
        <w:tc>
          <w:tcPr>
            <w:tcW w:w="657" w:type="dxa"/>
          </w:tcPr>
          <w:p w14:paraId="008EBB3E" w14:textId="77777777" w:rsidR="007075D9" w:rsidRPr="004D46AC" w:rsidRDefault="007075D9" w:rsidP="00CE2F7A">
            <w:pPr>
              <w:spacing w:line="240" w:lineRule="auto"/>
              <w:ind w:firstLine="0"/>
            </w:pPr>
            <w:r w:rsidRPr="004D46AC">
              <w:t>M2</w:t>
            </w:r>
          </w:p>
        </w:tc>
        <w:tc>
          <w:tcPr>
            <w:tcW w:w="3201" w:type="dxa"/>
          </w:tcPr>
          <w:p w14:paraId="7EB1DF0F" w14:textId="77777777" w:rsidR="007075D9" w:rsidRPr="004D46AC" w:rsidRDefault="007075D9" w:rsidP="00CE2F7A">
            <w:pPr>
              <w:spacing w:line="240" w:lineRule="auto"/>
              <w:ind w:firstLine="0"/>
            </w:pPr>
            <w:r w:rsidRPr="004D46AC">
              <w:t>Reported Sadness</w:t>
            </w:r>
          </w:p>
        </w:tc>
        <w:tc>
          <w:tcPr>
            <w:tcW w:w="1115" w:type="dxa"/>
          </w:tcPr>
          <w:p w14:paraId="08C742BB" w14:textId="77777777" w:rsidR="007075D9" w:rsidRPr="004D46AC" w:rsidRDefault="007075D9" w:rsidP="00CE2F7A">
            <w:pPr>
              <w:spacing w:line="240" w:lineRule="auto"/>
              <w:ind w:firstLine="0"/>
            </w:pPr>
            <w:r w:rsidRPr="004D46AC">
              <w:t>Inclusion</w:t>
            </w:r>
          </w:p>
        </w:tc>
        <w:tc>
          <w:tcPr>
            <w:tcW w:w="3323" w:type="dxa"/>
          </w:tcPr>
          <w:p w14:paraId="5F57BDBF" w14:textId="77777777" w:rsidR="007075D9" w:rsidRPr="004D46AC" w:rsidRDefault="007075D9" w:rsidP="00CE2F7A">
            <w:pPr>
              <w:spacing w:line="240" w:lineRule="auto"/>
              <w:ind w:firstLine="0"/>
            </w:pPr>
          </w:p>
        </w:tc>
      </w:tr>
      <w:tr w:rsidR="007075D9" w:rsidRPr="004D46AC" w14:paraId="77E572D0" w14:textId="77777777" w:rsidTr="00B518F1">
        <w:tc>
          <w:tcPr>
            <w:tcW w:w="657" w:type="dxa"/>
          </w:tcPr>
          <w:p w14:paraId="4B71043A" w14:textId="77777777" w:rsidR="007075D9" w:rsidRPr="004D46AC" w:rsidRDefault="007075D9" w:rsidP="00CE2F7A">
            <w:pPr>
              <w:spacing w:line="240" w:lineRule="auto"/>
              <w:ind w:firstLine="0"/>
            </w:pPr>
            <w:r w:rsidRPr="004D46AC">
              <w:t>M3</w:t>
            </w:r>
          </w:p>
        </w:tc>
        <w:tc>
          <w:tcPr>
            <w:tcW w:w="3201" w:type="dxa"/>
          </w:tcPr>
          <w:p w14:paraId="49BC00A2" w14:textId="77777777" w:rsidR="007075D9" w:rsidRPr="004D46AC" w:rsidRDefault="007075D9" w:rsidP="00CE2F7A">
            <w:pPr>
              <w:spacing w:line="240" w:lineRule="auto"/>
              <w:ind w:firstLine="0"/>
            </w:pPr>
            <w:r w:rsidRPr="004D46AC">
              <w:t>Inner tension</w:t>
            </w:r>
          </w:p>
        </w:tc>
        <w:tc>
          <w:tcPr>
            <w:tcW w:w="1115" w:type="dxa"/>
          </w:tcPr>
          <w:p w14:paraId="4C711F57" w14:textId="77777777" w:rsidR="007075D9" w:rsidRPr="004D46AC" w:rsidRDefault="007075D9" w:rsidP="00CE2F7A">
            <w:pPr>
              <w:spacing w:line="240" w:lineRule="auto"/>
              <w:ind w:firstLine="0"/>
            </w:pPr>
            <w:r w:rsidRPr="004D46AC">
              <w:t>Inclusion</w:t>
            </w:r>
          </w:p>
        </w:tc>
        <w:tc>
          <w:tcPr>
            <w:tcW w:w="3323" w:type="dxa"/>
          </w:tcPr>
          <w:p w14:paraId="2ACC3A4D" w14:textId="77777777" w:rsidR="007075D9" w:rsidRPr="004D46AC" w:rsidRDefault="007075D9" w:rsidP="00CE2F7A">
            <w:pPr>
              <w:spacing w:line="240" w:lineRule="auto"/>
              <w:ind w:firstLine="0"/>
            </w:pPr>
          </w:p>
        </w:tc>
      </w:tr>
      <w:tr w:rsidR="007075D9" w:rsidRPr="004D46AC" w14:paraId="794CF2B6" w14:textId="77777777" w:rsidTr="00B518F1">
        <w:tc>
          <w:tcPr>
            <w:tcW w:w="657" w:type="dxa"/>
          </w:tcPr>
          <w:p w14:paraId="38728368" w14:textId="77777777" w:rsidR="007075D9" w:rsidRPr="004D46AC" w:rsidRDefault="007075D9" w:rsidP="00CE2F7A">
            <w:pPr>
              <w:spacing w:line="240" w:lineRule="auto"/>
              <w:ind w:firstLine="0"/>
            </w:pPr>
            <w:r w:rsidRPr="004D46AC">
              <w:t>M4</w:t>
            </w:r>
          </w:p>
        </w:tc>
        <w:tc>
          <w:tcPr>
            <w:tcW w:w="3201" w:type="dxa"/>
          </w:tcPr>
          <w:p w14:paraId="1C2811B6" w14:textId="77777777" w:rsidR="007075D9" w:rsidRPr="004D46AC" w:rsidRDefault="007075D9" w:rsidP="00CE2F7A">
            <w:pPr>
              <w:spacing w:line="240" w:lineRule="auto"/>
              <w:ind w:firstLine="0"/>
            </w:pPr>
            <w:r w:rsidRPr="004D46AC">
              <w:t>Reduced Sleep</w:t>
            </w:r>
          </w:p>
        </w:tc>
        <w:tc>
          <w:tcPr>
            <w:tcW w:w="1115" w:type="dxa"/>
          </w:tcPr>
          <w:p w14:paraId="483C404B" w14:textId="77777777" w:rsidR="007075D9" w:rsidRPr="004D46AC" w:rsidRDefault="007075D9" w:rsidP="00CE2F7A">
            <w:pPr>
              <w:spacing w:line="240" w:lineRule="auto"/>
              <w:ind w:firstLine="0"/>
            </w:pPr>
            <w:r w:rsidRPr="004D46AC">
              <w:t>Merge</w:t>
            </w:r>
          </w:p>
        </w:tc>
        <w:tc>
          <w:tcPr>
            <w:tcW w:w="3323" w:type="dxa"/>
          </w:tcPr>
          <w:p w14:paraId="4A7B5A88" w14:textId="77777777" w:rsidR="007075D9" w:rsidRPr="004D46AC" w:rsidRDefault="007075D9" w:rsidP="00CE2F7A">
            <w:pPr>
              <w:spacing w:line="240" w:lineRule="auto"/>
              <w:ind w:firstLine="0"/>
            </w:pPr>
            <w:r w:rsidRPr="004D46AC">
              <w:t>Merged with Y4 (new item: SP)</w:t>
            </w:r>
          </w:p>
        </w:tc>
      </w:tr>
      <w:tr w:rsidR="007075D9" w:rsidRPr="004D46AC" w14:paraId="101540B4" w14:textId="77777777" w:rsidTr="00B518F1">
        <w:tc>
          <w:tcPr>
            <w:tcW w:w="657" w:type="dxa"/>
          </w:tcPr>
          <w:p w14:paraId="1808321F" w14:textId="77777777" w:rsidR="007075D9" w:rsidRPr="004D46AC" w:rsidRDefault="007075D9" w:rsidP="00CE2F7A">
            <w:pPr>
              <w:spacing w:line="240" w:lineRule="auto"/>
              <w:ind w:firstLine="0"/>
            </w:pPr>
            <w:r w:rsidRPr="004D46AC">
              <w:t>M5</w:t>
            </w:r>
          </w:p>
        </w:tc>
        <w:tc>
          <w:tcPr>
            <w:tcW w:w="3201" w:type="dxa"/>
          </w:tcPr>
          <w:p w14:paraId="0D77886F" w14:textId="77777777" w:rsidR="007075D9" w:rsidRPr="004D46AC" w:rsidRDefault="007075D9" w:rsidP="00CE2F7A">
            <w:pPr>
              <w:spacing w:line="240" w:lineRule="auto"/>
              <w:ind w:firstLine="0"/>
            </w:pPr>
            <w:r w:rsidRPr="004D46AC">
              <w:t>Reduced appetite</w:t>
            </w:r>
          </w:p>
        </w:tc>
        <w:tc>
          <w:tcPr>
            <w:tcW w:w="1115" w:type="dxa"/>
          </w:tcPr>
          <w:p w14:paraId="3DB9D481" w14:textId="77777777" w:rsidR="007075D9" w:rsidRPr="004D46AC" w:rsidRDefault="007075D9" w:rsidP="00CE2F7A">
            <w:pPr>
              <w:spacing w:line="240" w:lineRule="auto"/>
              <w:ind w:firstLine="0"/>
            </w:pPr>
            <w:r w:rsidRPr="004D46AC">
              <w:t>Inclusion</w:t>
            </w:r>
          </w:p>
        </w:tc>
        <w:tc>
          <w:tcPr>
            <w:tcW w:w="3323" w:type="dxa"/>
          </w:tcPr>
          <w:p w14:paraId="1D1A2BF6" w14:textId="77777777" w:rsidR="007075D9" w:rsidRPr="004D46AC" w:rsidRDefault="007075D9" w:rsidP="00CE2F7A">
            <w:pPr>
              <w:spacing w:line="240" w:lineRule="auto"/>
              <w:ind w:firstLine="0"/>
            </w:pPr>
          </w:p>
        </w:tc>
      </w:tr>
      <w:tr w:rsidR="007075D9" w:rsidRPr="004D46AC" w14:paraId="4ECF8DCB" w14:textId="77777777" w:rsidTr="00B518F1">
        <w:tc>
          <w:tcPr>
            <w:tcW w:w="657" w:type="dxa"/>
          </w:tcPr>
          <w:p w14:paraId="1A60060B" w14:textId="77777777" w:rsidR="007075D9" w:rsidRPr="004D46AC" w:rsidRDefault="007075D9" w:rsidP="00CE2F7A">
            <w:pPr>
              <w:spacing w:line="240" w:lineRule="auto"/>
              <w:ind w:firstLine="0"/>
            </w:pPr>
            <w:r w:rsidRPr="004D46AC">
              <w:lastRenderedPageBreak/>
              <w:t>M6</w:t>
            </w:r>
          </w:p>
        </w:tc>
        <w:tc>
          <w:tcPr>
            <w:tcW w:w="3201" w:type="dxa"/>
          </w:tcPr>
          <w:p w14:paraId="70D4A6DD" w14:textId="77777777" w:rsidR="007075D9" w:rsidRPr="004D46AC" w:rsidRDefault="007075D9" w:rsidP="00CE2F7A">
            <w:pPr>
              <w:spacing w:line="240" w:lineRule="auto"/>
              <w:ind w:firstLine="0"/>
            </w:pPr>
            <w:r w:rsidRPr="004D46AC">
              <w:rPr>
                <w:shd w:val="clear" w:color="auto" w:fill="FFFFFF"/>
              </w:rPr>
              <w:t>Concentration difficulty</w:t>
            </w:r>
          </w:p>
        </w:tc>
        <w:tc>
          <w:tcPr>
            <w:tcW w:w="1115" w:type="dxa"/>
          </w:tcPr>
          <w:p w14:paraId="29126871" w14:textId="77777777" w:rsidR="007075D9" w:rsidRPr="004D46AC" w:rsidRDefault="007075D9" w:rsidP="00CE2F7A">
            <w:pPr>
              <w:spacing w:line="240" w:lineRule="auto"/>
              <w:ind w:firstLine="0"/>
            </w:pPr>
            <w:r w:rsidRPr="004D46AC">
              <w:t>Inclusion</w:t>
            </w:r>
          </w:p>
        </w:tc>
        <w:tc>
          <w:tcPr>
            <w:tcW w:w="3323" w:type="dxa"/>
          </w:tcPr>
          <w:p w14:paraId="423D9024" w14:textId="77777777" w:rsidR="007075D9" w:rsidRPr="004D46AC" w:rsidRDefault="007075D9" w:rsidP="00CE2F7A">
            <w:pPr>
              <w:spacing w:line="240" w:lineRule="auto"/>
              <w:ind w:firstLine="0"/>
            </w:pPr>
          </w:p>
        </w:tc>
      </w:tr>
      <w:tr w:rsidR="007075D9" w:rsidRPr="004D46AC" w14:paraId="5133ECF7" w14:textId="77777777" w:rsidTr="00B518F1">
        <w:tc>
          <w:tcPr>
            <w:tcW w:w="657" w:type="dxa"/>
          </w:tcPr>
          <w:p w14:paraId="0B7F80FD" w14:textId="77777777" w:rsidR="007075D9" w:rsidRPr="004D46AC" w:rsidRDefault="007075D9" w:rsidP="00CE2F7A">
            <w:pPr>
              <w:spacing w:line="240" w:lineRule="auto"/>
              <w:ind w:firstLine="0"/>
            </w:pPr>
            <w:r w:rsidRPr="004D46AC">
              <w:t>M7</w:t>
            </w:r>
          </w:p>
        </w:tc>
        <w:tc>
          <w:tcPr>
            <w:tcW w:w="3201" w:type="dxa"/>
          </w:tcPr>
          <w:p w14:paraId="35840E07" w14:textId="77777777" w:rsidR="007075D9" w:rsidRPr="004D46AC" w:rsidRDefault="007075D9" w:rsidP="00CE2F7A">
            <w:pPr>
              <w:spacing w:line="240" w:lineRule="auto"/>
              <w:ind w:firstLine="0"/>
            </w:pPr>
            <w:r w:rsidRPr="004D46AC">
              <w:t>Lassitude (Retardation)</w:t>
            </w:r>
          </w:p>
        </w:tc>
        <w:tc>
          <w:tcPr>
            <w:tcW w:w="1115" w:type="dxa"/>
          </w:tcPr>
          <w:p w14:paraId="261AEB27" w14:textId="77777777" w:rsidR="007075D9" w:rsidRPr="004D46AC" w:rsidRDefault="007075D9" w:rsidP="00CE2F7A">
            <w:pPr>
              <w:spacing w:line="240" w:lineRule="auto"/>
              <w:ind w:firstLine="0"/>
            </w:pPr>
            <w:r w:rsidRPr="004D46AC">
              <w:t>Inclusion</w:t>
            </w:r>
          </w:p>
        </w:tc>
        <w:tc>
          <w:tcPr>
            <w:tcW w:w="3323" w:type="dxa"/>
          </w:tcPr>
          <w:p w14:paraId="71BBEB04" w14:textId="77777777" w:rsidR="007075D9" w:rsidRPr="004D46AC" w:rsidRDefault="007075D9" w:rsidP="00CE2F7A">
            <w:pPr>
              <w:spacing w:line="240" w:lineRule="auto"/>
              <w:ind w:firstLine="0"/>
            </w:pPr>
          </w:p>
        </w:tc>
      </w:tr>
      <w:tr w:rsidR="007075D9" w:rsidRPr="004D46AC" w14:paraId="47949A80" w14:textId="77777777" w:rsidTr="00B518F1">
        <w:tc>
          <w:tcPr>
            <w:tcW w:w="657" w:type="dxa"/>
          </w:tcPr>
          <w:p w14:paraId="5016AAF4" w14:textId="77777777" w:rsidR="007075D9" w:rsidRPr="004D46AC" w:rsidRDefault="007075D9" w:rsidP="00CE2F7A">
            <w:pPr>
              <w:spacing w:line="240" w:lineRule="auto"/>
              <w:ind w:firstLine="0"/>
            </w:pPr>
            <w:r w:rsidRPr="004D46AC">
              <w:t>M8</w:t>
            </w:r>
          </w:p>
        </w:tc>
        <w:tc>
          <w:tcPr>
            <w:tcW w:w="3201" w:type="dxa"/>
          </w:tcPr>
          <w:p w14:paraId="10A929B6" w14:textId="77777777" w:rsidR="007075D9" w:rsidRPr="004D46AC" w:rsidRDefault="007075D9" w:rsidP="00CE2F7A">
            <w:pPr>
              <w:spacing w:line="240" w:lineRule="auto"/>
              <w:ind w:firstLine="0"/>
            </w:pPr>
            <w:r w:rsidRPr="004D46AC">
              <w:rPr>
                <w:shd w:val="clear" w:color="auto" w:fill="FFFFFF"/>
              </w:rPr>
              <w:t>Inability to feel (Reduced Interests)</w:t>
            </w:r>
          </w:p>
        </w:tc>
        <w:tc>
          <w:tcPr>
            <w:tcW w:w="1115" w:type="dxa"/>
          </w:tcPr>
          <w:p w14:paraId="44B1E124" w14:textId="77777777" w:rsidR="007075D9" w:rsidRPr="004D46AC" w:rsidRDefault="007075D9" w:rsidP="00CE2F7A">
            <w:pPr>
              <w:spacing w:line="240" w:lineRule="auto"/>
              <w:ind w:firstLine="0"/>
            </w:pPr>
            <w:r w:rsidRPr="004D46AC">
              <w:t>Inclusion</w:t>
            </w:r>
          </w:p>
        </w:tc>
        <w:tc>
          <w:tcPr>
            <w:tcW w:w="3323" w:type="dxa"/>
          </w:tcPr>
          <w:p w14:paraId="7716FA7E" w14:textId="77777777" w:rsidR="007075D9" w:rsidRPr="004D46AC" w:rsidRDefault="007075D9" w:rsidP="00CE2F7A">
            <w:pPr>
              <w:spacing w:line="240" w:lineRule="auto"/>
              <w:ind w:firstLine="0"/>
            </w:pPr>
          </w:p>
        </w:tc>
      </w:tr>
      <w:tr w:rsidR="007075D9" w:rsidRPr="004D46AC" w14:paraId="02EE26A2" w14:textId="77777777" w:rsidTr="00B518F1">
        <w:tc>
          <w:tcPr>
            <w:tcW w:w="657" w:type="dxa"/>
          </w:tcPr>
          <w:p w14:paraId="2AF7FB8A" w14:textId="77777777" w:rsidR="007075D9" w:rsidRPr="004D46AC" w:rsidRDefault="007075D9" w:rsidP="00CE2F7A">
            <w:pPr>
              <w:spacing w:line="240" w:lineRule="auto"/>
              <w:ind w:firstLine="0"/>
            </w:pPr>
            <w:r w:rsidRPr="004D46AC">
              <w:t>M9</w:t>
            </w:r>
          </w:p>
        </w:tc>
        <w:tc>
          <w:tcPr>
            <w:tcW w:w="3201" w:type="dxa"/>
          </w:tcPr>
          <w:p w14:paraId="0679AB36" w14:textId="77777777" w:rsidR="007075D9" w:rsidRPr="004D46AC" w:rsidRDefault="007075D9" w:rsidP="00CE2F7A">
            <w:pPr>
              <w:spacing w:line="240" w:lineRule="auto"/>
              <w:ind w:firstLine="0"/>
            </w:pPr>
            <w:r w:rsidRPr="004D46AC">
              <w:rPr>
                <w:shd w:val="clear" w:color="auto" w:fill="FFFFFF"/>
              </w:rPr>
              <w:t>Pessimistic thoughts</w:t>
            </w:r>
          </w:p>
        </w:tc>
        <w:tc>
          <w:tcPr>
            <w:tcW w:w="1115" w:type="dxa"/>
          </w:tcPr>
          <w:p w14:paraId="04A9F470" w14:textId="77777777" w:rsidR="007075D9" w:rsidRPr="004D46AC" w:rsidRDefault="007075D9" w:rsidP="00CE2F7A">
            <w:pPr>
              <w:spacing w:line="240" w:lineRule="auto"/>
              <w:ind w:firstLine="0"/>
            </w:pPr>
            <w:r w:rsidRPr="004D46AC">
              <w:t>Inclusion</w:t>
            </w:r>
          </w:p>
        </w:tc>
        <w:tc>
          <w:tcPr>
            <w:tcW w:w="3323" w:type="dxa"/>
          </w:tcPr>
          <w:p w14:paraId="07131A8C" w14:textId="77777777" w:rsidR="007075D9" w:rsidRPr="004D46AC" w:rsidRDefault="007075D9" w:rsidP="00CE2F7A">
            <w:pPr>
              <w:spacing w:line="240" w:lineRule="auto"/>
              <w:ind w:firstLine="0"/>
            </w:pPr>
          </w:p>
        </w:tc>
      </w:tr>
      <w:tr w:rsidR="007075D9" w:rsidRPr="004D46AC" w14:paraId="363AFBE1" w14:textId="77777777" w:rsidTr="00B518F1">
        <w:tc>
          <w:tcPr>
            <w:tcW w:w="657" w:type="dxa"/>
          </w:tcPr>
          <w:p w14:paraId="054CCA0E" w14:textId="77777777" w:rsidR="007075D9" w:rsidRPr="004D46AC" w:rsidRDefault="007075D9" w:rsidP="00CE2F7A">
            <w:pPr>
              <w:spacing w:line="240" w:lineRule="auto"/>
              <w:ind w:firstLine="0"/>
            </w:pPr>
            <w:r w:rsidRPr="004D46AC">
              <w:t>M10</w:t>
            </w:r>
          </w:p>
        </w:tc>
        <w:tc>
          <w:tcPr>
            <w:tcW w:w="3201" w:type="dxa"/>
          </w:tcPr>
          <w:p w14:paraId="6DF02D36" w14:textId="77777777" w:rsidR="007075D9" w:rsidRPr="004D46AC" w:rsidRDefault="007075D9" w:rsidP="00CE2F7A">
            <w:pPr>
              <w:spacing w:line="240" w:lineRule="auto"/>
              <w:ind w:firstLine="0"/>
            </w:pPr>
            <w:r w:rsidRPr="004D46AC">
              <w:rPr>
                <w:shd w:val="clear" w:color="auto" w:fill="FFFFFF"/>
              </w:rPr>
              <w:t>Suicidal thoughts</w:t>
            </w:r>
          </w:p>
        </w:tc>
        <w:tc>
          <w:tcPr>
            <w:tcW w:w="1115" w:type="dxa"/>
          </w:tcPr>
          <w:p w14:paraId="3203754F" w14:textId="77777777" w:rsidR="007075D9" w:rsidRPr="004D46AC" w:rsidRDefault="007075D9" w:rsidP="00CE2F7A">
            <w:pPr>
              <w:spacing w:line="240" w:lineRule="auto"/>
              <w:ind w:firstLine="0"/>
            </w:pPr>
            <w:r w:rsidRPr="004D46AC">
              <w:t>Inclusion</w:t>
            </w:r>
          </w:p>
        </w:tc>
        <w:tc>
          <w:tcPr>
            <w:tcW w:w="3323" w:type="dxa"/>
          </w:tcPr>
          <w:p w14:paraId="49B81644" w14:textId="77777777" w:rsidR="007075D9" w:rsidRPr="004D46AC" w:rsidRDefault="007075D9" w:rsidP="00CE2F7A">
            <w:pPr>
              <w:spacing w:line="240" w:lineRule="auto"/>
              <w:ind w:firstLine="0"/>
            </w:pPr>
          </w:p>
        </w:tc>
      </w:tr>
    </w:tbl>
    <w:p w14:paraId="0FDDC407" w14:textId="77777777" w:rsidR="007075D9" w:rsidRPr="004D46AC" w:rsidRDefault="007075D9" w:rsidP="00CE2F7A">
      <w:pPr>
        <w:spacing w:line="240" w:lineRule="auto"/>
        <w:ind w:firstLine="0"/>
      </w:pPr>
      <w:r w:rsidRPr="004D46AC">
        <w:rPr>
          <w:i/>
          <w:iCs/>
        </w:rPr>
        <w:t>Note</w:t>
      </w:r>
      <w:r w:rsidRPr="004D46AC">
        <w:t xml:space="preserve">. Item exclusions of P1, P7, General Psychiatric Symptoms and M1 were based on face validity, judged by an expert of this area. The rest items underwent a statistical checking (i.e., </w:t>
      </w:r>
      <w:proofErr w:type="spellStart"/>
      <w:r w:rsidRPr="004D46AC">
        <w:t>wTO</w:t>
      </w:r>
      <w:proofErr w:type="spellEnd"/>
      <w:r w:rsidRPr="004D46AC">
        <w:t xml:space="preserve"> score), and the pair of variables with score higher than 0.25 should be merged by addition. </w:t>
      </w:r>
    </w:p>
    <w:p w14:paraId="49B5F97D" w14:textId="77777777" w:rsidR="007075D9" w:rsidRPr="004D46AC" w:rsidRDefault="007075D9" w:rsidP="00CE2F7A">
      <w:pPr>
        <w:spacing w:line="240" w:lineRule="auto"/>
        <w:ind w:firstLine="0"/>
      </w:pPr>
    </w:p>
    <w:p w14:paraId="65310C0C" w14:textId="77777777" w:rsidR="007075D9" w:rsidRPr="004D46AC" w:rsidRDefault="007075D9" w:rsidP="00CE2F7A">
      <w:pPr>
        <w:spacing w:line="240" w:lineRule="auto"/>
        <w:ind w:firstLine="0"/>
        <w:rPr>
          <w:b/>
          <w:bCs/>
        </w:rPr>
      </w:pPr>
    </w:p>
    <w:p w14:paraId="25A807D2" w14:textId="77777777" w:rsidR="007075D9" w:rsidRPr="004D46AC" w:rsidRDefault="007075D9" w:rsidP="00CE2F7A">
      <w:pPr>
        <w:spacing w:line="240" w:lineRule="auto"/>
        <w:ind w:firstLine="0"/>
        <w:rPr>
          <w:b/>
          <w:bCs/>
        </w:rPr>
      </w:pPr>
    </w:p>
    <w:p w14:paraId="3A40C680" w14:textId="77777777" w:rsidR="007075D9" w:rsidRPr="004D46AC" w:rsidRDefault="007075D9" w:rsidP="00CE2F7A">
      <w:pPr>
        <w:spacing w:line="240" w:lineRule="auto"/>
        <w:ind w:firstLine="0"/>
        <w:rPr>
          <w:rFonts w:eastAsiaTheme="minorEastAsia"/>
          <w:b/>
          <w:bCs/>
        </w:rPr>
      </w:pPr>
    </w:p>
    <w:p w14:paraId="73FD7FBD" w14:textId="77777777" w:rsidR="00CC3324" w:rsidRPr="004D46AC" w:rsidRDefault="00CC3324" w:rsidP="00CE2F7A">
      <w:pPr>
        <w:spacing w:line="240" w:lineRule="auto"/>
        <w:ind w:firstLine="0"/>
        <w:rPr>
          <w:rFonts w:eastAsiaTheme="minorEastAsia"/>
          <w:b/>
          <w:bCs/>
        </w:rPr>
      </w:pPr>
    </w:p>
    <w:p w14:paraId="12A1AE35" w14:textId="77777777" w:rsidR="00CC3324" w:rsidRPr="004D46AC" w:rsidRDefault="00CC3324" w:rsidP="00CE2F7A">
      <w:pPr>
        <w:spacing w:line="240" w:lineRule="auto"/>
        <w:ind w:firstLine="0"/>
        <w:rPr>
          <w:rFonts w:eastAsiaTheme="minorEastAsia"/>
          <w:b/>
          <w:bCs/>
        </w:rPr>
      </w:pPr>
    </w:p>
    <w:p w14:paraId="55678713" w14:textId="77777777" w:rsidR="00CC3324" w:rsidRPr="004D46AC" w:rsidRDefault="00CC3324" w:rsidP="00CE2F7A">
      <w:pPr>
        <w:spacing w:line="240" w:lineRule="auto"/>
        <w:ind w:firstLine="0"/>
        <w:rPr>
          <w:rFonts w:eastAsiaTheme="minorEastAsia"/>
          <w:b/>
          <w:bCs/>
        </w:rPr>
      </w:pPr>
    </w:p>
    <w:p w14:paraId="7C003F63" w14:textId="77777777" w:rsidR="00CC3324" w:rsidRPr="004D46AC" w:rsidRDefault="00CC3324" w:rsidP="00CE2F7A">
      <w:pPr>
        <w:spacing w:line="240" w:lineRule="auto"/>
        <w:ind w:firstLine="0"/>
        <w:rPr>
          <w:rFonts w:eastAsiaTheme="minorEastAsia"/>
          <w:b/>
          <w:bCs/>
        </w:rPr>
      </w:pPr>
    </w:p>
    <w:p w14:paraId="22607018" w14:textId="77777777" w:rsidR="00CC3324" w:rsidRPr="004D46AC" w:rsidRDefault="00CC3324" w:rsidP="00CE2F7A">
      <w:pPr>
        <w:spacing w:line="240" w:lineRule="auto"/>
        <w:ind w:firstLine="0"/>
        <w:rPr>
          <w:rFonts w:eastAsiaTheme="minorEastAsia"/>
          <w:b/>
          <w:bCs/>
        </w:rPr>
      </w:pPr>
    </w:p>
    <w:p w14:paraId="1D61E84F" w14:textId="77777777" w:rsidR="00CC3324" w:rsidRPr="004D46AC" w:rsidRDefault="00CC3324" w:rsidP="00CE2F7A">
      <w:pPr>
        <w:spacing w:line="240" w:lineRule="auto"/>
        <w:ind w:firstLine="0"/>
        <w:rPr>
          <w:rFonts w:eastAsiaTheme="minorEastAsia"/>
          <w:b/>
          <w:bCs/>
        </w:rPr>
      </w:pPr>
    </w:p>
    <w:p w14:paraId="0E0A8733" w14:textId="77777777" w:rsidR="00CC3324" w:rsidRPr="004D46AC" w:rsidRDefault="00CC3324" w:rsidP="00CE2F7A">
      <w:pPr>
        <w:spacing w:line="240" w:lineRule="auto"/>
        <w:ind w:firstLine="0"/>
        <w:rPr>
          <w:rFonts w:eastAsiaTheme="minorEastAsia"/>
          <w:b/>
          <w:bCs/>
        </w:rPr>
      </w:pPr>
    </w:p>
    <w:p w14:paraId="7A1F9E2A" w14:textId="77777777" w:rsidR="00CC3324" w:rsidRPr="004D46AC" w:rsidRDefault="00CC3324" w:rsidP="00CE2F7A">
      <w:pPr>
        <w:spacing w:line="240" w:lineRule="auto"/>
        <w:ind w:firstLine="0"/>
        <w:rPr>
          <w:rFonts w:eastAsiaTheme="minorEastAsia"/>
          <w:b/>
          <w:bCs/>
        </w:rPr>
      </w:pPr>
    </w:p>
    <w:p w14:paraId="682F4AE5" w14:textId="77777777" w:rsidR="00CC3324" w:rsidRPr="004D46AC" w:rsidRDefault="00CC3324" w:rsidP="00CE2F7A">
      <w:pPr>
        <w:spacing w:line="240" w:lineRule="auto"/>
        <w:ind w:firstLine="0"/>
        <w:rPr>
          <w:rFonts w:eastAsiaTheme="minorEastAsia"/>
          <w:b/>
          <w:bCs/>
        </w:rPr>
      </w:pPr>
    </w:p>
    <w:p w14:paraId="6A7AC4E0" w14:textId="77777777" w:rsidR="00CC3324" w:rsidRPr="004D46AC" w:rsidRDefault="00CC3324" w:rsidP="00CE2F7A">
      <w:pPr>
        <w:spacing w:line="240" w:lineRule="auto"/>
        <w:ind w:firstLine="0"/>
        <w:rPr>
          <w:rFonts w:eastAsiaTheme="minorEastAsia"/>
          <w:b/>
          <w:bCs/>
        </w:rPr>
      </w:pPr>
    </w:p>
    <w:p w14:paraId="5AA3735B" w14:textId="77777777" w:rsidR="00CC3324" w:rsidRPr="004D46AC" w:rsidRDefault="00CC3324" w:rsidP="00CE2F7A">
      <w:pPr>
        <w:spacing w:line="240" w:lineRule="auto"/>
        <w:ind w:firstLine="0"/>
        <w:rPr>
          <w:rFonts w:eastAsiaTheme="minorEastAsia"/>
          <w:b/>
          <w:bCs/>
        </w:rPr>
      </w:pPr>
    </w:p>
    <w:p w14:paraId="056737C0" w14:textId="77777777" w:rsidR="00CC3324" w:rsidRPr="004D46AC" w:rsidRDefault="00CC3324" w:rsidP="00CE2F7A">
      <w:pPr>
        <w:spacing w:line="240" w:lineRule="auto"/>
        <w:ind w:firstLine="0"/>
        <w:rPr>
          <w:rFonts w:eastAsiaTheme="minorEastAsia"/>
          <w:b/>
          <w:bCs/>
        </w:rPr>
      </w:pPr>
    </w:p>
    <w:p w14:paraId="1CCCFAB8" w14:textId="77777777" w:rsidR="00CC3324" w:rsidRPr="004D46AC" w:rsidRDefault="00CC3324" w:rsidP="00CE2F7A">
      <w:pPr>
        <w:spacing w:line="240" w:lineRule="auto"/>
        <w:ind w:firstLine="0"/>
        <w:rPr>
          <w:rFonts w:eastAsiaTheme="minorEastAsia"/>
          <w:b/>
          <w:bCs/>
        </w:rPr>
      </w:pPr>
    </w:p>
    <w:p w14:paraId="6A9DF397" w14:textId="77777777" w:rsidR="00CC3324" w:rsidRPr="004D46AC" w:rsidRDefault="00CC3324" w:rsidP="00CE2F7A">
      <w:pPr>
        <w:spacing w:line="240" w:lineRule="auto"/>
        <w:ind w:firstLine="0"/>
        <w:rPr>
          <w:rFonts w:eastAsiaTheme="minorEastAsia"/>
          <w:b/>
          <w:bCs/>
        </w:rPr>
      </w:pPr>
    </w:p>
    <w:p w14:paraId="5B2154DE" w14:textId="77777777" w:rsidR="00CC3324" w:rsidRPr="004D46AC" w:rsidRDefault="00CC3324" w:rsidP="00CE2F7A">
      <w:pPr>
        <w:spacing w:line="240" w:lineRule="auto"/>
        <w:ind w:firstLine="0"/>
        <w:rPr>
          <w:rFonts w:eastAsiaTheme="minorEastAsia"/>
          <w:b/>
          <w:bCs/>
        </w:rPr>
      </w:pPr>
    </w:p>
    <w:p w14:paraId="2B0FBE37" w14:textId="77777777" w:rsidR="00CC3324" w:rsidRPr="004D46AC" w:rsidRDefault="00CC3324" w:rsidP="00CE2F7A">
      <w:pPr>
        <w:spacing w:line="240" w:lineRule="auto"/>
        <w:ind w:firstLine="0"/>
        <w:rPr>
          <w:rFonts w:eastAsiaTheme="minorEastAsia"/>
          <w:b/>
          <w:bCs/>
        </w:rPr>
      </w:pPr>
    </w:p>
    <w:p w14:paraId="4421101E" w14:textId="77777777" w:rsidR="00CC3324" w:rsidRPr="004D46AC" w:rsidRDefault="00CC3324" w:rsidP="00CE2F7A">
      <w:pPr>
        <w:spacing w:line="240" w:lineRule="auto"/>
        <w:ind w:firstLine="0"/>
        <w:rPr>
          <w:rFonts w:eastAsiaTheme="minorEastAsia"/>
          <w:b/>
          <w:bCs/>
        </w:rPr>
      </w:pPr>
    </w:p>
    <w:p w14:paraId="5823C529" w14:textId="77777777" w:rsidR="00CC3324" w:rsidRPr="004D46AC" w:rsidRDefault="00CC3324" w:rsidP="00CE2F7A">
      <w:pPr>
        <w:spacing w:line="240" w:lineRule="auto"/>
        <w:ind w:firstLine="0"/>
        <w:rPr>
          <w:rFonts w:eastAsiaTheme="minorEastAsia"/>
          <w:b/>
          <w:bCs/>
        </w:rPr>
      </w:pPr>
    </w:p>
    <w:p w14:paraId="5DD0885C" w14:textId="77777777" w:rsidR="00CC3324" w:rsidRPr="004D46AC" w:rsidRDefault="00CC3324" w:rsidP="00CE2F7A">
      <w:pPr>
        <w:spacing w:line="240" w:lineRule="auto"/>
        <w:ind w:firstLine="0"/>
        <w:rPr>
          <w:rFonts w:eastAsiaTheme="minorEastAsia"/>
          <w:b/>
          <w:bCs/>
        </w:rPr>
      </w:pPr>
    </w:p>
    <w:p w14:paraId="7E9449F0" w14:textId="77777777" w:rsidR="00CC3324" w:rsidRPr="004D46AC" w:rsidRDefault="00CC3324" w:rsidP="00CE2F7A">
      <w:pPr>
        <w:spacing w:line="240" w:lineRule="auto"/>
        <w:ind w:firstLine="0"/>
        <w:rPr>
          <w:rFonts w:eastAsiaTheme="minorEastAsia"/>
          <w:b/>
          <w:bCs/>
        </w:rPr>
      </w:pPr>
    </w:p>
    <w:p w14:paraId="12C826C0" w14:textId="77777777" w:rsidR="00CC3324" w:rsidRPr="004D46AC" w:rsidRDefault="00CC3324" w:rsidP="00CE2F7A">
      <w:pPr>
        <w:spacing w:line="240" w:lineRule="auto"/>
        <w:ind w:firstLine="0"/>
        <w:rPr>
          <w:rFonts w:eastAsiaTheme="minorEastAsia"/>
          <w:b/>
          <w:bCs/>
        </w:rPr>
      </w:pPr>
    </w:p>
    <w:p w14:paraId="02527F94" w14:textId="77777777" w:rsidR="00CC3324" w:rsidRPr="004D46AC" w:rsidRDefault="00CC3324" w:rsidP="00CE2F7A">
      <w:pPr>
        <w:spacing w:line="240" w:lineRule="auto"/>
        <w:ind w:firstLine="0"/>
        <w:rPr>
          <w:rFonts w:eastAsiaTheme="minorEastAsia"/>
          <w:b/>
          <w:bCs/>
        </w:rPr>
      </w:pPr>
    </w:p>
    <w:p w14:paraId="1D9CC820" w14:textId="77777777" w:rsidR="00CC3324" w:rsidRPr="004D46AC" w:rsidRDefault="00CC3324" w:rsidP="00CE2F7A">
      <w:pPr>
        <w:spacing w:line="240" w:lineRule="auto"/>
        <w:ind w:firstLine="0"/>
        <w:rPr>
          <w:rFonts w:eastAsiaTheme="minorEastAsia"/>
          <w:b/>
          <w:bCs/>
        </w:rPr>
      </w:pPr>
    </w:p>
    <w:p w14:paraId="43AD4399" w14:textId="77777777" w:rsidR="00CC3324" w:rsidRPr="004D46AC" w:rsidRDefault="00CC3324" w:rsidP="00CE2F7A">
      <w:pPr>
        <w:spacing w:line="240" w:lineRule="auto"/>
        <w:ind w:firstLine="0"/>
        <w:rPr>
          <w:rFonts w:eastAsiaTheme="minorEastAsia"/>
          <w:b/>
          <w:bCs/>
        </w:rPr>
      </w:pPr>
    </w:p>
    <w:p w14:paraId="4F103EF6" w14:textId="77777777" w:rsidR="00CC3324" w:rsidRPr="004D46AC" w:rsidRDefault="00CC3324" w:rsidP="00CE2F7A">
      <w:pPr>
        <w:spacing w:line="240" w:lineRule="auto"/>
        <w:ind w:firstLine="0"/>
        <w:rPr>
          <w:rFonts w:eastAsiaTheme="minorEastAsia"/>
          <w:b/>
          <w:bCs/>
        </w:rPr>
      </w:pPr>
    </w:p>
    <w:p w14:paraId="30A6EDFF" w14:textId="77777777" w:rsidR="00CC3324" w:rsidRPr="004D46AC" w:rsidRDefault="00CC3324" w:rsidP="00CE2F7A">
      <w:pPr>
        <w:spacing w:line="240" w:lineRule="auto"/>
        <w:ind w:firstLine="0"/>
        <w:rPr>
          <w:rFonts w:eastAsiaTheme="minorEastAsia"/>
          <w:b/>
          <w:bCs/>
        </w:rPr>
      </w:pPr>
    </w:p>
    <w:p w14:paraId="5265D264" w14:textId="77777777" w:rsidR="00CC3324" w:rsidRPr="004D46AC" w:rsidRDefault="00CC3324" w:rsidP="00CE2F7A">
      <w:pPr>
        <w:spacing w:line="240" w:lineRule="auto"/>
        <w:ind w:firstLine="0"/>
        <w:rPr>
          <w:rFonts w:eastAsiaTheme="minorEastAsia"/>
          <w:b/>
          <w:bCs/>
        </w:rPr>
      </w:pPr>
    </w:p>
    <w:p w14:paraId="22855C92" w14:textId="77777777" w:rsidR="00CC3324" w:rsidRPr="004D46AC" w:rsidRDefault="00CC3324" w:rsidP="00CE2F7A">
      <w:pPr>
        <w:spacing w:line="240" w:lineRule="auto"/>
        <w:ind w:firstLine="0"/>
        <w:rPr>
          <w:rFonts w:eastAsiaTheme="minorEastAsia"/>
          <w:b/>
          <w:bCs/>
        </w:rPr>
      </w:pPr>
    </w:p>
    <w:p w14:paraId="4E99BEFC" w14:textId="77777777" w:rsidR="00CC3324" w:rsidRPr="004D46AC" w:rsidRDefault="00CC3324" w:rsidP="00CE2F7A">
      <w:pPr>
        <w:spacing w:line="240" w:lineRule="auto"/>
        <w:ind w:firstLine="0"/>
        <w:rPr>
          <w:rFonts w:eastAsiaTheme="minorEastAsia"/>
          <w:b/>
          <w:bCs/>
        </w:rPr>
      </w:pPr>
    </w:p>
    <w:p w14:paraId="78F9E7F2" w14:textId="77777777" w:rsidR="00CC3324" w:rsidRPr="004D46AC" w:rsidRDefault="00CC3324" w:rsidP="00CE2F7A">
      <w:pPr>
        <w:spacing w:line="240" w:lineRule="auto"/>
        <w:ind w:firstLine="0"/>
        <w:rPr>
          <w:rFonts w:eastAsiaTheme="minorEastAsia"/>
          <w:b/>
          <w:bCs/>
        </w:rPr>
      </w:pPr>
    </w:p>
    <w:p w14:paraId="1F3DF5C1" w14:textId="77777777" w:rsidR="00CC3324" w:rsidRPr="004D46AC" w:rsidRDefault="00CC3324" w:rsidP="00CE2F7A">
      <w:pPr>
        <w:spacing w:line="240" w:lineRule="auto"/>
        <w:ind w:firstLine="0"/>
        <w:rPr>
          <w:rFonts w:eastAsiaTheme="minorEastAsia"/>
          <w:b/>
          <w:bCs/>
        </w:rPr>
      </w:pPr>
    </w:p>
    <w:p w14:paraId="389624B1" w14:textId="77777777" w:rsidR="00CC3324" w:rsidRPr="004D46AC" w:rsidRDefault="00CC3324" w:rsidP="00CE2F7A">
      <w:pPr>
        <w:spacing w:line="240" w:lineRule="auto"/>
        <w:ind w:firstLine="0"/>
        <w:rPr>
          <w:rFonts w:eastAsiaTheme="minorEastAsia"/>
          <w:b/>
          <w:bCs/>
        </w:rPr>
      </w:pPr>
    </w:p>
    <w:p w14:paraId="702DDC3E" w14:textId="77777777" w:rsidR="00CC3324" w:rsidRPr="004D46AC" w:rsidRDefault="00CC3324" w:rsidP="00CE2F7A">
      <w:pPr>
        <w:spacing w:line="240" w:lineRule="auto"/>
        <w:ind w:firstLine="0"/>
        <w:rPr>
          <w:rFonts w:eastAsiaTheme="minorEastAsia"/>
          <w:b/>
          <w:bCs/>
        </w:rPr>
      </w:pPr>
    </w:p>
    <w:p w14:paraId="53975BBB" w14:textId="77777777" w:rsidR="00CC3324" w:rsidRPr="004D46AC" w:rsidRDefault="00CC3324" w:rsidP="00CE2F7A">
      <w:pPr>
        <w:spacing w:line="240" w:lineRule="auto"/>
        <w:ind w:firstLine="0"/>
        <w:rPr>
          <w:rFonts w:eastAsiaTheme="minorEastAsia"/>
          <w:b/>
          <w:bCs/>
        </w:rPr>
      </w:pPr>
    </w:p>
    <w:p w14:paraId="51E8F3A8" w14:textId="77777777" w:rsidR="00CC3324" w:rsidRPr="004D46AC" w:rsidRDefault="00CC3324" w:rsidP="00CE2F7A">
      <w:pPr>
        <w:spacing w:line="240" w:lineRule="auto"/>
        <w:ind w:firstLine="0"/>
        <w:rPr>
          <w:rFonts w:eastAsiaTheme="minorEastAsia"/>
          <w:b/>
          <w:bCs/>
        </w:rPr>
      </w:pPr>
    </w:p>
    <w:p w14:paraId="37D0D76C" w14:textId="77777777" w:rsidR="00CC3324" w:rsidRPr="004D46AC" w:rsidRDefault="00CC3324" w:rsidP="00CE2F7A">
      <w:pPr>
        <w:spacing w:line="240" w:lineRule="auto"/>
        <w:ind w:firstLine="0"/>
        <w:rPr>
          <w:rFonts w:eastAsiaTheme="minorEastAsia"/>
          <w:b/>
          <w:bCs/>
        </w:rPr>
      </w:pPr>
    </w:p>
    <w:p w14:paraId="2DCB4868" w14:textId="77777777" w:rsidR="00CC3324" w:rsidRPr="004D46AC" w:rsidRDefault="00CC3324" w:rsidP="00CE2F7A">
      <w:pPr>
        <w:spacing w:line="240" w:lineRule="auto"/>
        <w:ind w:firstLine="0"/>
        <w:rPr>
          <w:rFonts w:eastAsiaTheme="minorEastAsia"/>
          <w:b/>
          <w:bCs/>
        </w:rPr>
      </w:pPr>
    </w:p>
    <w:p w14:paraId="68D6F88F" w14:textId="77777777" w:rsidR="00CC3324" w:rsidRPr="004D46AC" w:rsidRDefault="00CC3324" w:rsidP="00CE2F7A">
      <w:pPr>
        <w:spacing w:line="240" w:lineRule="auto"/>
        <w:ind w:firstLine="0"/>
        <w:rPr>
          <w:rFonts w:eastAsiaTheme="minorEastAsia"/>
          <w:b/>
          <w:bCs/>
        </w:rPr>
      </w:pPr>
    </w:p>
    <w:p w14:paraId="620BF3B7" w14:textId="77777777" w:rsidR="007075D9" w:rsidRPr="004D46AC" w:rsidRDefault="007075D9" w:rsidP="00CE2F7A">
      <w:pPr>
        <w:spacing w:line="240" w:lineRule="auto"/>
        <w:ind w:firstLine="0"/>
        <w:rPr>
          <w:b/>
          <w:bCs/>
        </w:rPr>
      </w:pPr>
    </w:p>
    <w:p w14:paraId="7F919DCD" w14:textId="77777777" w:rsidR="007075D9" w:rsidRPr="004D46AC" w:rsidRDefault="007075D9" w:rsidP="00CE2F7A">
      <w:pPr>
        <w:spacing w:line="240" w:lineRule="auto"/>
        <w:ind w:firstLine="0"/>
        <w:rPr>
          <w:b/>
          <w:bCs/>
        </w:rPr>
      </w:pPr>
    </w:p>
    <w:p w14:paraId="105FB803" w14:textId="4E258E6A" w:rsidR="007075D9" w:rsidRPr="004D46AC" w:rsidRDefault="00CE2F7A" w:rsidP="00CE2F7A">
      <w:pPr>
        <w:pStyle w:val="afff0"/>
        <w:spacing w:after="0"/>
        <w:ind w:firstLine="0"/>
        <w:rPr>
          <w:rFonts w:eastAsiaTheme="minorEastAsia"/>
          <w:b/>
          <w:bCs/>
          <w:i w:val="0"/>
          <w:iCs w:val="0"/>
          <w:color w:val="auto"/>
          <w:sz w:val="22"/>
          <w:szCs w:val="22"/>
        </w:rPr>
      </w:pPr>
      <w:bookmarkStart w:id="372" w:name="_Toc219870634"/>
      <w:bookmarkStart w:id="373" w:name="_Toc219885505"/>
      <w:r w:rsidRPr="004D46AC">
        <w:rPr>
          <w:b/>
          <w:bCs/>
          <w:i w:val="0"/>
          <w:iCs w:val="0"/>
          <w:color w:val="auto"/>
          <w:sz w:val="22"/>
          <w:szCs w:val="22"/>
        </w:rPr>
        <w:lastRenderedPageBreak/>
        <w:t xml:space="preserve">Table C </w:t>
      </w:r>
      <w:r w:rsidRPr="004D46AC">
        <w:rPr>
          <w:b/>
          <w:bCs/>
          <w:i w:val="0"/>
          <w:iCs w:val="0"/>
          <w:color w:val="auto"/>
          <w:sz w:val="22"/>
          <w:szCs w:val="22"/>
        </w:rPr>
        <w:fldChar w:fldCharType="begin"/>
      </w:r>
      <w:r w:rsidRPr="004D46AC">
        <w:rPr>
          <w:b/>
          <w:bCs/>
          <w:i w:val="0"/>
          <w:iCs w:val="0"/>
          <w:color w:val="auto"/>
          <w:sz w:val="22"/>
          <w:szCs w:val="22"/>
        </w:rPr>
        <w:instrText xml:space="preserve"> SEQ Table_C \* ARABIC </w:instrText>
      </w:r>
      <w:r w:rsidRPr="004D46AC">
        <w:rPr>
          <w:b/>
          <w:bCs/>
          <w:i w:val="0"/>
          <w:iCs w:val="0"/>
          <w:color w:val="auto"/>
          <w:sz w:val="22"/>
          <w:szCs w:val="22"/>
        </w:rPr>
        <w:fldChar w:fldCharType="separate"/>
      </w:r>
      <w:r w:rsidR="009050EB" w:rsidRPr="004D46AC">
        <w:rPr>
          <w:b/>
          <w:bCs/>
          <w:i w:val="0"/>
          <w:iCs w:val="0"/>
          <w:noProof/>
          <w:color w:val="auto"/>
          <w:sz w:val="22"/>
          <w:szCs w:val="22"/>
        </w:rPr>
        <w:t>2</w:t>
      </w:r>
      <w:bookmarkEnd w:id="372"/>
      <w:bookmarkEnd w:id="373"/>
      <w:r w:rsidRPr="004D46AC">
        <w:rPr>
          <w:b/>
          <w:bCs/>
          <w:i w:val="0"/>
          <w:iCs w:val="0"/>
          <w:color w:val="auto"/>
          <w:sz w:val="22"/>
          <w:szCs w:val="22"/>
        </w:rPr>
        <w:fldChar w:fldCharType="end"/>
      </w:r>
    </w:p>
    <w:p w14:paraId="43230C5A" w14:textId="77777777" w:rsidR="007075D9" w:rsidRPr="004D46AC" w:rsidRDefault="007075D9" w:rsidP="00CE2F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i/>
          <w:iCs/>
          <w:color w:val="000000"/>
          <w:kern w:val="0"/>
          <w:bdr w:val="none" w:sz="0" w:space="0" w:color="auto" w:frame="1"/>
        </w:rPr>
      </w:pPr>
      <w:bookmarkStart w:id="374" w:name="OLE_LINK89"/>
      <w:r w:rsidRPr="004D46AC">
        <w:rPr>
          <w:rFonts w:eastAsia="SimSun"/>
          <w:i/>
          <w:iCs/>
          <w:color w:val="000000"/>
          <w:kern w:val="0"/>
          <w:bdr w:val="none" w:sz="0" w:space="0" w:color="auto" w:frame="1"/>
        </w:rPr>
        <w:t>Sensitivity check through UVA analysis excluding general psychiatric problems</w:t>
      </w:r>
    </w:p>
    <w:tbl>
      <w:tblPr>
        <w:tblStyle w:val="afc"/>
        <w:tblW w:w="0" w:type="auto"/>
        <w:tblLook w:val="04A0" w:firstRow="1" w:lastRow="0" w:firstColumn="1" w:lastColumn="0" w:noHBand="0" w:noVBand="1"/>
      </w:tblPr>
      <w:tblGrid>
        <w:gridCol w:w="3739"/>
        <w:gridCol w:w="3740"/>
        <w:gridCol w:w="1043"/>
      </w:tblGrid>
      <w:tr w:rsidR="007075D9" w:rsidRPr="004D46AC" w14:paraId="7A8D45F8" w14:textId="77777777" w:rsidTr="00B518F1">
        <w:tc>
          <w:tcPr>
            <w:tcW w:w="3739" w:type="dxa"/>
          </w:tcPr>
          <w:bookmarkEnd w:id="374"/>
          <w:p w14:paraId="329DBA8E"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Node 1</w:t>
            </w:r>
          </w:p>
        </w:tc>
        <w:tc>
          <w:tcPr>
            <w:tcW w:w="3740" w:type="dxa"/>
          </w:tcPr>
          <w:p w14:paraId="680A959A"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Node2</w:t>
            </w:r>
          </w:p>
        </w:tc>
        <w:tc>
          <w:tcPr>
            <w:tcW w:w="1043" w:type="dxa"/>
          </w:tcPr>
          <w:p w14:paraId="791A21BD"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proofErr w:type="spellStart"/>
            <w:r w:rsidRPr="004D46AC">
              <w:rPr>
                <w:rFonts w:eastAsia="SimSun"/>
                <w:color w:val="000000"/>
                <w:bdr w:val="none" w:sz="0" w:space="0" w:color="auto" w:frame="1"/>
              </w:rPr>
              <w:t>wTO</w:t>
            </w:r>
            <w:proofErr w:type="spellEnd"/>
          </w:p>
        </w:tc>
      </w:tr>
      <w:tr w:rsidR="007075D9" w:rsidRPr="004D46AC" w14:paraId="31981AA9" w14:textId="77777777" w:rsidTr="00B518F1">
        <w:tc>
          <w:tcPr>
            <w:tcW w:w="3739" w:type="dxa"/>
          </w:tcPr>
          <w:p w14:paraId="18C2341B"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Y4 (Reduced need for sleep)</w:t>
            </w:r>
          </w:p>
        </w:tc>
        <w:tc>
          <w:tcPr>
            <w:tcW w:w="3740" w:type="dxa"/>
          </w:tcPr>
          <w:p w14:paraId="6D55B0C5"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M4 (Reduced time for sleep)</w:t>
            </w:r>
          </w:p>
        </w:tc>
        <w:tc>
          <w:tcPr>
            <w:tcW w:w="1043" w:type="dxa"/>
          </w:tcPr>
          <w:p w14:paraId="0B6B61EB" w14:textId="77777777" w:rsidR="007075D9" w:rsidRPr="004D46AC" w:rsidRDefault="007075D9" w:rsidP="00CE2F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.705</w:t>
            </w:r>
          </w:p>
        </w:tc>
      </w:tr>
      <w:tr w:rsidR="007075D9" w:rsidRPr="004D46AC" w14:paraId="06A114EB" w14:textId="77777777" w:rsidTr="00B518F1">
        <w:tc>
          <w:tcPr>
            <w:tcW w:w="3739" w:type="dxa"/>
          </w:tcPr>
          <w:p w14:paraId="33439844"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N3 (Poor rapport)</w:t>
            </w:r>
          </w:p>
        </w:tc>
        <w:tc>
          <w:tcPr>
            <w:tcW w:w="3740" w:type="dxa"/>
          </w:tcPr>
          <w:p w14:paraId="43353E7F"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N6 (Lack of spontaneity and flow of conversation)</w:t>
            </w:r>
          </w:p>
        </w:tc>
        <w:tc>
          <w:tcPr>
            <w:tcW w:w="1043" w:type="dxa"/>
          </w:tcPr>
          <w:p w14:paraId="6CAB6726"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.355</w:t>
            </w:r>
          </w:p>
        </w:tc>
      </w:tr>
      <w:tr w:rsidR="007075D9" w:rsidRPr="004D46AC" w14:paraId="653FFF6C" w14:textId="77777777" w:rsidTr="00B518F1">
        <w:tc>
          <w:tcPr>
            <w:tcW w:w="3739" w:type="dxa"/>
          </w:tcPr>
          <w:p w14:paraId="6CAC3570"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P7 (Hostility)</w:t>
            </w:r>
          </w:p>
        </w:tc>
        <w:tc>
          <w:tcPr>
            <w:tcW w:w="3740" w:type="dxa"/>
          </w:tcPr>
          <w:p w14:paraId="258B0120"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Y9 (Aggressive and disruptive behaviour)</w:t>
            </w:r>
          </w:p>
        </w:tc>
        <w:tc>
          <w:tcPr>
            <w:tcW w:w="1043" w:type="dxa"/>
          </w:tcPr>
          <w:p w14:paraId="60B6F0C7" w14:textId="77777777" w:rsidR="007075D9" w:rsidRPr="004D46AC" w:rsidRDefault="007075D9" w:rsidP="00CE2F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.333</w:t>
            </w:r>
          </w:p>
        </w:tc>
      </w:tr>
      <w:tr w:rsidR="007075D9" w:rsidRPr="004D46AC" w14:paraId="7234F340" w14:textId="77777777" w:rsidTr="00B518F1">
        <w:tc>
          <w:tcPr>
            <w:tcW w:w="3739" w:type="dxa"/>
          </w:tcPr>
          <w:p w14:paraId="6336B91C"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N2 (Emotional withdrawal)</w:t>
            </w:r>
          </w:p>
        </w:tc>
        <w:tc>
          <w:tcPr>
            <w:tcW w:w="3740" w:type="dxa"/>
          </w:tcPr>
          <w:p w14:paraId="45685012"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N4 (Passive/apathetic social withdrawal)</w:t>
            </w:r>
          </w:p>
        </w:tc>
        <w:tc>
          <w:tcPr>
            <w:tcW w:w="1043" w:type="dxa"/>
          </w:tcPr>
          <w:p w14:paraId="4DD4A7C4"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.324</w:t>
            </w:r>
          </w:p>
        </w:tc>
      </w:tr>
      <w:tr w:rsidR="007075D9" w:rsidRPr="004D46AC" w14:paraId="63F6FA58" w14:textId="77777777" w:rsidTr="00B518F1">
        <w:tc>
          <w:tcPr>
            <w:tcW w:w="3739" w:type="dxa"/>
          </w:tcPr>
          <w:p w14:paraId="7464D169"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Y1 (Mood elevation)</w:t>
            </w:r>
          </w:p>
        </w:tc>
        <w:tc>
          <w:tcPr>
            <w:tcW w:w="3740" w:type="dxa"/>
          </w:tcPr>
          <w:p w14:paraId="5AC2B064"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Y2 (Increased motor activity/energy)</w:t>
            </w:r>
          </w:p>
        </w:tc>
        <w:tc>
          <w:tcPr>
            <w:tcW w:w="1043" w:type="dxa"/>
          </w:tcPr>
          <w:p w14:paraId="79F5C0EB"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.291</w:t>
            </w:r>
          </w:p>
        </w:tc>
      </w:tr>
      <w:tr w:rsidR="007075D9" w:rsidRPr="004D46AC" w14:paraId="13AFB35E" w14:textId="77777777" w:rsidTr="00B518F1">
        <w:tc>
          <w:tcPr>
            <w:tcW w:w="3739" w:type="dxa"/>
          </w:tcPr>
          <w:p w14:paraId="14EEEF4B"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P7 (Hostility)</w:t>
            </w:r>
          </w:p>
        </w:tc>
        <w:tc>
          <w:tcPr>
            <w:tcW w:w="3740" w:type="dxa"/>
          </w:tcPr>
          <w:p w14:paraId="2D5EC43F"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Y5 (Irritability)</w:t>
            </w:r>
          </w:p>
        </w:tc>
        <w:tc>
          <w:tcPr>
            <w:tcW w:w="1043" w:type="dxa"/>
          </w:tcPr>
          <w:p w14:paraId="279B80FA"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.291</w:t>
            </w:r>
          </w:p>
        </w:tc>
      </w:tr>
      <w:tr w:rsidR="007075D9" w:rsidRPr="004D46AC" w14:paraId="11C8B665" w14:textId="77777777" w:rsidTr="00B518F1">
        <w:tc>
          <w:tcPr>
            <w:tcW w:w="3739" w:type="dxa"/>
          </w:tcPr>
          <w:p w14:paraId="5680C7A2"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M2 (Reported sadness)</w:t>
            </w:r>
          </w:p>
        </w:tc>
        <w:tc>
          <w:tcPr>
            <w:tcW w:w="3740" w:type="dxa"/>
          </w:tcPr>
          <w:p w14:paraId="25776B51"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M1 (Apparent sadness)</w:t>
            </w:r>
          </w:p>
        </w:tc>
        <w:tc>
          <w:tcPr>
            <w:tcW w:w="1043" w:type="dxa"/>
          </w:tcPr>
          <w:p w14:paraId="715CD79E"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.266</w:t>
            </w:r>
          </w:p>
        </w:tc>
      </w:tr>
      <w:tr w:rsidR="007075D9" w:rsidRPr="004D46AC" w14:paraId="73899BC1" w14:textId="77777777" w:rsidTr="00B518F1">
        <w:tc>
          <w:tcPr>
            <w:tcW w:w="3739" w:type="dxa"/>
          </w:tcPr>
          <w:p w14:paraId="5C0A0D0B"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P1 (Delusions)</w:t>
            </w:r>
          </w:p>
        </w:tc>
        <w:tc>
          <w:tcPr>
            <w:tcW w:w="3740" w:type="dxa"/>
          </w:tcPr>
          <w:p w14:paraId="08A33C5C"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P3 (Hallucinations)</w:t>
            </w:r>
          </w:p>
        </w:tc>
        <w:tc>
          <w:tcPr>
            <w:tcW w:w="1043" w:type="dxa"/>
          </w:tcPr>
          <w:p w14:paraId="794F5555"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.257</w:t>
            </w:r>
          </w:p>
        </w:tc>
      </w:tr>
      <w:tr w:rsidR="007075D9" w:rsidRPr="004D46AC" w14:paraId="383531CC" w14:textId="77777777" w:rsidTr="00B518F1">
        <w:tc>
          <w:tcPr>
            <w:tcW w:w="3739" w:type="dxa"/>
          </w:tcPr>
          <w:p w14:paraId="01294150"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P2 (Conceptual disorganisation)</w:t>
            </w:r>
          </w:p>
        </w:tc>
        <w:tc>
          <w:tcPr>
            <w:tcW w:w="3740" w:type="dxa"/>
          </w:tcPr>
          <w:p w14:paraId="26BB59D4"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N7 (Stereotyped thinking)</w:t>
            </w:r>
          </w:p>
        </w:tc>
        <w:tc>
          <w:tcPr>
            <w:tcW w:w="1043" w:type="dxa"/>
          </w:tcPr>
          <w:p w14:paraId="7C71E398"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.247</w:t>
            </w:r>
          </w:p>
        </w:tc>
      </w:tr>
      <w:tr w:rsidR="007075D9" w:rsidRPr="004D46AC" w14:paraId="7B7E6F7F" w14:textId="77777777" w:rsidTr="00B518F1">
        <w:tc>
          <w:tcPr>
            <w:tcW w:w="3739" w:type="dxa"/>
          </w:tcPr>
          <w:p w14:paraId="6BC42CCF"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P1 (Delusions)</w:t>
            </w:r>
          </w:p>
        </w:tc>
        <w:tc>
          <w:tcPr>
            <w:tcW w:w="3740" w:type="dxa"/>
          </w:tcPr>
          <w:p w14:paraId="5FF7E8E6"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P6 (Paranoia/ Suspiciousness)</w:t>
            </w:r>
          </w:p>
        </w:tc>
        <w:tc>
          <w:tcPr>
            <w:tcW w:w="1043" w:type="dxa"/>
          </w:tcPr>
          <w:p w14:paraId="44AEA861"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.244</w:t>
            </w:r>
          </w:p>
        </w:tc>
      </w:tr>
      <w:tr w:rsidR="007075D9" w:rsidRPr="004D46AC" w14:paraId="1176D2B1" w14:textId="77777777" w:rsidTr="00B518F1">
        <w:tc>
          <w:tcPr>
            <w:tcW w:w="3739" w:type="dxa"/>
          </w:tcPr>
          <w:p w14:paraId="3C88484F"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N1 (Blunt affect)</w:t>
            </w:r>
          </w:p>
        </w:tc>
        <w:tc>
          <w:tcPr>
            <w:tcW w:w="3740" w:type="dxa"/>
          </w:tcPr>
          <w:p w14:paraId="534ACB33"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N6 (Lack of spontaneity and flow of conversation)</w:t>
            </w:r>
          </w:p>
        </w:tc>
        <w:tc>
          <w:tcPr>
            <w:tcW w:w="1043" w:type="dxa"/>
          </w:tcPr>
          <w:p w14:paraId="77624ED2"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.238</w:t>
            </w:r>
          </w:p>
        </w:tc>
      </w:tr>
      <w:tr w:rsidR="007075D9" w:rsidRPr="004D46AC" w14:paraId="04A3026F" w14:textId="77777777" w:rsidTr="00B518F1">
        <w:tc>
          <w:tcPr>
            <w:tcW w:w="3739" w:type="dxa"/>
          </w:tcPr>
          <w:p w14:paraId="167D8248"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Y5 (Irritability)</w:t>
            </w:r>
          </w:p>
        </w:tc>
        <w:tc>
          <w:tcPr>
            <w:tcW w:w="3740" w:type="dxa"/>
          </w:tcPr>
          <w:p w14:paraId="67FBBD8D"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Y9 (Aggressive and disruptive behaviour)</w:t>
            </w:r>
          </w:p>
        </w:tc>
        <w:tc>
          <w:tcPr>
            <w:tcW w:w="1043" w:type="dxa"/>
          </w:tcPr>
          <w:p w14:paraId="3FA3A94F"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.233</w:t>
            </w:r>
          </w:p>
        </w:tc>
      </w:tr>
      <w:tr w:rsidR="007075D9" w:rsidRPr="004D46AC" w14:paraId="5332A302" w14:textId="77777777" w:rsidTr="00B518F1">
        <w:tc>
          <w:tcPr>
            <w:tcW w:w="3739" w:type="dxa"/>
          </w:tcPr>
          <w:p w14:paraId="7CA121C8"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M9 (Pessimistic thoughts)</w:t>
            </w:r>
          </w:p>
        </w:tc>
        <w:tc>
          <w:tcPr>
            <w:tcW w:w="3740" w:type="dxa"/>
          </w:tcPr>
          <w:p w14:paraId="4C99DE1B"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M10 (Suicidal thoughts)</w:t>
            </w:r>
          </w:p>
        </w:tc>
        <w:tc>
          <w:tcPr>
            <w:tcW w:w="1043" w:type="dxa"/>
          </w:tcPr>
          <w:p w14:paraId="45EA93BD" w14:textId="77777777" w:rsidR="007075D9" w:rsidRPr="004D46AC" w:rsidRDefault="007075D9" w:rsidP="00CE2F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rPr>
                <w:rFonts w:eastAsia="SimSun"/>
                <w:color w:val="000000"/>
                <w:bdr w:val="none" w:sz="0" w:space="0" w:color="auto" w:frame="1"/>
              </w:rPr>
            </w:pPr>
            <w:r w:rsidRPr="004D46AC">
              <w:rPr>
                <w:rFonts w:eastAsia="SimSun"/>
                <w:color w:val="000000"/>
                <w:bdr w:val="none" w:sz="0" w:space="0" w:color="auto" w:frame="1"/>
              </w:rPr>
              <w:t>0.231</w:t>
            </w:r>
          </w:p>
        </w:tc>
      </w:tr>
    </w:tbl>
    <w:p w14:paraId="58A46C66" w14:textId="77777777" w:rsidR="007075D9" w:rsidRPr="004D46AC" w:rsidRDefault="007075D9" w:rsidP="00CE2F7A">
      <w:pPr>
        <w:spacing w:line="240" w:lineRule="auto"/>
        <w:ind w:firstLine="0"/>
      </w:pPr>
      <w:r w:rsidRPr="004D46AC">
        <w:rPr>
          <w:i/>
          <w:iCs/>
        </w:rPr>
        <w:t>Note</w:t>
      </w:r>
      <w:r w:rsidRPr="004D46AC">
        <w:t xml:space="preserve">. This straight UVA solution differed from the two-stage solution in that it did not exclude P1 and M1 and did not merge Y5 and Y9. For conceptual distinctiveness, P1 and P3 were added into the model without merging, and the rest were merged by addition if they exhibited a </w:t>
      </w:r>
      <w:proofErr w:type="spellStart"/>
      <w:r w:rsidRPr="004D46AC">
        <w:t>wTO</w:t>
      </w:r>
      <w:proofErr w:type="spellEnd"/>
      <w:r w:rsidRPr="004D46AC">
        <w:t xml:space="preserve"> score higher than 0.25. The colouring denotes that the pair of nodes was merged by addition before the estimation of the network model.</w:t>
      </w:r>
    </w:p>
    <w:p w14:paraId="36DF7BBE" w14:textId="77777777" w:rsidR="007075D9" w:rsidRPr="004D46AC" w:rsidRDefault="007075D9" w:rsidP="00CE2F7A">
      <w:pPr>
        <w:spacing w:line="240" w:lineRule="auto"/>
        <w:ind w:firstLine="0"/>
        <w:rPr>
          <w:b/>
          <w:bCs/>
        </w:rPr>
      </w:pPr>
    </w:p>
    <w:p w14:paraId="369AF713" w14:textId="77777777" w:rsidR="007075D9" w:rsidRPr="004D46AC" w:rsidRDefault="007075D9" w:rsidP="00CE2F7A">
      <w:pPr>
        <w:spacing w:line="240" w:lineRule="auto"/>
        <w:ind w:firstLine="0"/>
        <w:rPr>
          <w:b/>
          <w:bCs/>
        </w:rPr>
      </w:pPr>
    </w:p>
    <w:p w14:paraId="72055F94" w14:textId="77777777" w:rsidR="007075D9" w:rsidRPr="004D46AC" w:rsidRDefault="007075D9" w:rsidP="00CE2F7A">
      <w:pPr>
        <w:spacing w:line="240" w:lineRule="auto"/>
        <w:ind w:firstLine="0"/>
        <w:rPr>
          <w:b/>
          <w:bCs/>
        </w:rPr>
      </w:pPr>
    </w:p>
    <w:p w14:paraId="53309C23" w14:textId="77777777" w:rsidR="007075D9" w:rsidRPr="004D46AC" w:rsidRDefault="007075D9" w:rsidP="00CE2F7A">
      <w:pPr>
        <w:spacing w:line="240" w:lineRule="auto"/>
        <w:ind w:firstLine="0"/>
        <w:rPr>
          <w:b/>
          <w:bCs/>
        </w:rPr>
      </w:pPr>
    </w:p>
    <w:p w14:paraId="0AE2CFCC" w14:textId="77777777" w:rsidR="007075D9" w:rsidRPr="004D46AC" w:rsidRDefault="007075D9" w:rsidP="00CE2F7A">
      <w:pPr>
        <w:spacing w:line="240" w:lineRule="auto"/>
        <w:ind w:firstLine="0"/>
        <w:rPr>
          <w:rFonts w:eastAsiaTheme="minorEastAsia"/>
          <w:b/>
          <w:bCs/>
        </w:rPr>
      </w:pPr>
    </w:p>
    <w:p w14:paraId="1E8A71B5" w14:textId="77777777" w:rsidR="00CC3324" w:rsidRPr="004D46AC" w:rsidRDefault="00CC3324" w:rsidP="00CE2F7A">
      <w:pPr>
        <w:spacing w:line="240" w:lineRule="auto"/>
        <w:ind w:firstLine="0"/>
        <w:rPr>
          <w:rFonts w:eastAsiaTheme="minorEastAsia"/>
          <w:b/>
          <w:bCs/>
        </w:rPr>
      </w:pPr>
    </w:p>
    <w:p w14:paraId="63B6A9CF" w14:textId="77777777" w:rsidR="00CC3324" w:rsidRPr="004D46AC" w:rsidRDefault="00CC3324" w:rsidP="00CE2F7A">
      <w:pPr>
        <w:spacing w:line="240" w:lineRule="auto"/>
        <w:ind w:firstLine="0"/>
        <w:rPr>
          <w:rFonts w:eastAsiaTheme="minorEastAsia"/>
          <w:b/>
          <w:bCs/>
        </w:rPr>
      </w:pPr>
    </w:p>
    <w:p w14:paraId="393C85D3" w14:textId="77777777" w:rsidR="00CC3324" w:rsidRPr="004D46AC" w:rsidRDefault="00CC3324" w:rsidP="00CE2F7A">
      <w:pPr>
        <w:spacing w:line="240" w:lineRule="auto"/>
        <w:ind w:firstLine="0"/>
        <w:rPr>
          <w:rFonts w:eastAsiaTheme="minorEastAsia"/>
          <w:b/>
          <w:bCs/>
        </w:rPr>
      </w:pPr>
    </w:p>
    <w:p w14:paraId="6A79DEB9" w14:textId="77777777" w:rsidR="00CC3324" w:rsidRPr="004D46AC" w:rsidRDefault="00CC3324" w:rsidP="00CE2F7A">
      <w:pPr>
        <w:spacing w:line="240" w:lineRule="auto"/>
        <w:ind w:firstLine="0"/>
        <w:rPr>
          <w:rFonts w:eastAsiaTheme="minorEastAsia"/>
          <w:b/>
          <w:bCs/>
        </w:rPr>
      </w:pPr>
    </w:p>
    <w:p w14:paraId="37B6DF0B" w14:textId="77777777" w:rsidR="00CC3324" w:rsidRPr="004D46AC" w:rsidRDefault="00CC3324" w:rsidP="00CE2F7A">
      <w:pPr>
        <w:spacing w:line="240" w:lineRule="auto"/>
        <w:ind w:firstLine="0"/>
        <w:rPr>
          <w:rFonts w:eastAsiaTheme="minorEastAsia"/>
          <w:b/>
          <w:bCs/>
        </w:rPr>
      </w:pPr>
    </w:p>
    <w:p w14:paraId="3763AA59" w14:textId="77777777" w:rsidR="00CC3324" w:rsidRPr="004D46AC" w:rsidRDefault="00CC3324" w:rsidP="00CE2F7A">
      <w:pPr>
        <w:spacing w:line="240" w:lineRule="auto"/>
        <w:ind w:firstLine="0"/>
        <w:rPr>
          <w:rFonts w:eastAsiaTheme="minorEastAsia"/>
          <w:b/>
          <w:bCs/>
        </w:rPr>
      </w:pPr>
    </w:p>
    <w:p w14:paraId="3CF2653F" w14:textId="77777777" w:rsidR="00CC3324" w:rsidRPr="004D46AC" w:rsidRDefault="00CC3324" w:rsidP="00CE2F7A">
      <w:pPr>
        <w:spacing w:line="240" w:lineRule="auto"/>
        <w:ind w:firstLine="0"/>
        <w:rPr>
          <w:rFonts w:eastAsiaTheme="minorEastAsia"/>
          <w:b/>
          <w:bCs/>
        </w:rPr>
      </w:pPr>
    </w:p>
    <w:p w14:paraId="68CFBAE2" w14:textId="77777777" w:rsidR="00CC3324" w:rsidRPr="004D46AC" w:rsidRDefault="00CC3324" w:rsidP="00CE2F7A">
      <w:pPr>
        <w:spacing w:line="240" w:lineRule="auto"/>
        <w:ind w:firstLine="0"/>
        <w:rPr>
          <w:rFonts w:eastAsiaTheme="minorEastAsia"/>
          <w:b/>
          <w:bCs/>
        </w:rPr>
      </w:pPr>
    </w:p>
    <w:p w14:paraId="586AEC76" w14:textId="77777777" w:rsidR="00CC3324" w:rsidRPr="004D46AC" w:rsidRDefault="00CC3324" w:rsidP="00CE2F7A">
      <w:pPr>
        <w:spacing w:line="240" w:lineRule="auto"/>
        <w:ind w:firstLine="0"/>
        <w:rPr>
          <w:rFonts w:eastAsiaTheme="minorEastAsia"/>
          <w:b/>
          <w:bCs/>
        </w:rPr>
      </w:pPr>
    </w:p>
    <w:p w14:paraId="70BDC178" w14:textId="77777777" w:rsidR="00CC3324" w:rsidRPr="004D46AC" w:rsidRDefault="00CC3324" w:rsidP="00CE2F7A">
      <w:pPr>
        <w:spacing w:line="240" w:lineRule="auto"/>
        <w:ind w:firstLine="0"/>
        <w:rPr>
          <w:rFonts w:eastAsiaTheme="minorEastAsia"/>
          <w:b/>
          <w:bCs/>
        </w:rPr>
      </w:pPr>
    </w:p>
    <w:p w14:paraId="2AE01395" w14:textId="77777777" w:rsidR="00CC3324" w:rsidRPr="004D46AC" w:rsidRDefault="00CC3324" w:rsidP="00CE2F7A">
      <w:pPr>
        <w:spacing w:line="240" w:lineRule="auto"/>
        <w:ind w:firstLine="0"/>
        <w:rPr>
          <w:rFonts w:eastAsiaTheme="minorEastAsia"/>
          <w:b/>
          <w:bCs/>
        </w:rPr>
      </w:pPr>
    </w:p>
    <w:p w14:paraId="708F8E73" w14:textId="77777777" w:rsidR="00CC3324" w:rsidRPr="004D46AC" w:rsidRDefault="00CC3324" w:rsidP="00CE2F7A">
      <w:pPr>
        <w:spacing w:line="240" w:lineRule="auto"/>
        <w:ind w:firstLine="0"/>
        <w:rPr>
          <w:rFonts w:eastAsiaTheme="minorEastAsia"/>
          <w:b/>
          <w:bCs/>
        </w:rPr>
      </w:pPr>
    </w:p>
    <w:p w14:paraId="3F292B31" w14:textId="77777777" w:rsidR="00CC3324" w:rsidRPr="004D46AC" w:rsidRDefault="00CC3324" w:rsidP="00CE2F7A">
      <w:pPr>
        <w:spacing w:line="240" w:lineRule="auto"/>
        <w:ind w:firstLine="0"/>
        <w:rPr>
          <w:rFonts w:eastAsiaTheme="minorEastAsia"/>
          <w:b/>
          <w:bCs/>
        </w:rPr>
      </w:pPr>
    </w:p>
    <w:p w14:paraId="00EFDF79" w14:textId="77777777" w:rsidR="00CC3324" w:rsidRPr="004D46AC" w:rsidRDefault="00CC3324" w:rsidP="00CE2F7A">
      <w:pPr>
        <w:spacing w:line="240" w:lineRule="auto"/>
        <w:ind w:firstLine="0"/>
        <w:rPr>
          <w:rFonts w:eastAsiaTheme="minorEastAsia"/>
          <w:b/>
          <w:bCs/>
        </w:rPr>
      </w:pPr>
    </w:p>
    <w:p w14:paraId="3AE2AEC9" w14:textId="77777777" w:rsidR="00CC3324" w:rsidRPr="004D46AC" w:rsidRDefault="00CC3324" w:rsidP="00CE2F7A">
      <w:pPr>
        <w:spacing w:line="240" w:lineRule="auto"/>
        <w:ind w:firstLine="0"/>
        <w:rPr>
          <w:rFonts w:eastAsiaTheme="minorEastAsia"/>
          <w:b/>
          <w:bCs/>
        </w:rPr>
      </w:pPr>
    </w:p>
    <w:p w14:paraId="441A2356" w14:textId="77777777" w:rsidR="00CC3324" w:rsidRPr="004D46AC" w:rsidRDefault="00CC3324" w:rsidP="00CE2F7A">
      <w:pPr>
        <w:spacing w:line="240" w:lineRule="auto"/>
        <w:ind w:firstLine="0"/>
        <w:rPr>
          <w:rFonts w:eastAsiaTheme="minorEastAsia"/>
          <w:b/>
          <w:bCs/>
        </w:rPr>
      </w:pPr>
    </w:p>
    <w:p w14:paraId="255E6C1D" w14:textId="77777777" w:rsidR="00CC3324" w:rsidRPr="004D46AC" w:rsidRDefault="00CC3324" w:rsidP="00CE2F7A">
      <w:pPr>
        <w:spacing w:line="240" w:lineRule="auto"/>
        <w:ind w:firstLine="0"/>
        <w:rPr>
          <w:rFonts w:eastAsiaTheme="minorEastAsia"/>
          <w:b/>
          <w:bCs/>
        </w:rPr>
      </w:pPr>
    </w:p>
    <w:p w14:paraId="1E602DA7" w14:textId="77777777" w:rsidR="00CC3324" w:rsidRPr="004D46AC" w:rsidRDefault="00CC3324" w:rsidP="00CE2F7A">
      <w:pPr>
        <w:spacing w:line="240" w:lineRule="auto"/>
        <w:ind w:firstLine="0"/>
        <w:rPr>
          <w:rFonts w:eastAsiaTheme="minorEastAsia"/>
          <w:b/>
          <w:bCs/>
        </w:rPr>
      </w:pPr>
    </w:p>
    <w:p w14:paraId="0260DE9D" w14:textId="77777777" w:rsidR="00CC3324" w:rsidRPr="004D46AC" w:rsidRDefault="00CC3324" w:rsidP="00CE2F7A">
      <w:pPr>
        <w:spacing w:line="240" w:lineRule="auto"/>
        <w:ind w:firstLine="0"/>
        <w:rPr>
          <w:rFonts w:eastAsiaTheme="minorEastAsia"/>
          <w:b/>
          <w:bCs/>
        </w:rPr>
      </w:pPr>
    </w:p>
    <w:p w14:paraId="5AE85E20" w14:textId="77777777" w:rsidR="00CC3324" w:rsidRPr="004D46AC" w:rsidRDefault="00CC3324" w:rsidP="00CE2F7A">
      <w:pPr>
        <w:spacing w:line="240" w:lineRule="auto"/>
        <w:ind w:firstLine="0"/>
        <w:rPr>
          <w:rFonts w:eastAsiaTheme="minorEastAsia"/>
          <w:b/>
          <w:bCs/>
        </w:rPr>
      </w:pPr>
    </w:p>
    <w:p w14:paraId="22611D6D" w14:textId="77777777" w:rsidR="00CC3324" w:rsidRPr="004D46AC" w:rsidRDefault="00CC3324" w:rsidP="00CE2F7A">
      <w:pPr>
        <w:spacing w:line="240" w:lineRule="auto"/>
        <w:ind w:firstLine="0"/>
        <w:rPr>
          <w:rFonts w:eastAsiaTheme="minorEastAsia"/>
          <w:b/>
          <w:bCs/>
        </w:rPr>
      </w:pPr>
    </w:p>
    <w:p w14:paraId="3A4A79DC" w14:textId="77777777" w:rsidR="007075D9" w:rsidRPr="004D46AC" w:rsidRDefault="007075D9" w:rsidP="00CE2F7A">
      <w:pPr>
        <w:spacing w:line="240" w:lineRule="auto"/>
        <w:ind w:firstLine="0"/>
        <w:rPr>
          <w:b/>
          <w:bCs/>
        </w:rPr>
      </w:pPr>
    </w:p>
    <w:p w14:paraId="211F788E" w14:textId="60877FB5" w:rsidR="00CE2F7A" w:rsidRPr="004D46AC" w:rsidRDefault="00CE2F7A" w:rsidP="00CE2F7A">
      <w:pPr>
        <w:pStyle w:val="afff0"/>
        <w:spacing w:after="0"/>
        <w:ind w:firstLine="0"/>
        <w:rPr>
          <w:b/>
          <w:bCs/>
          <w:i w:val="0"/>
          <w:iCs w:val="0"/>
          <w:sz w:val="22"/>
          <w:szCs w:val="22"/>
        </w:rPr>
      </w:pPr>
      <w:bookmarkStart w:id="375" w:name="_Toc219870635"/>
      <w:bookmarkStart w:id="376" w:name="_Toc219885506"/>
      <w:r w:rsidRPr="004D46AC">
        <w:rPr>
          <w:b/>
          <w:bCs/>
          <w:i w:val="0"/>
          <w:iCs w:val="0"/>
          <w:sz w:val="22"/>
          <w:szCs w:val="22"/>
        </w:rPr>
        <w:lastRenderedPageBreak/>
        <w:t xml:space="preserve">Table C </w:t>
      </w:r>
      <w:r w:rsidRPr="004D46AC">
        <w:rPr>
          <w:b/>
          <w:bCs/>
          <w:i w:val="0"/>
          <w:iCs w:val="0"/>
          <w:sz w:val="22"/>
          <w:szCs w:val="22"/>
        </w:rPr>
        <w:fldChar w:fldCharType="begin"/>
      </w:r>
      <w:r w:rsidRPr="004D46AC">
        <w:rPr>
          <w:b/>
          <w:bCs/>
          <w:i w:val="0"/>
          <w:iCs w:val="0"/>
          <w:sz w:val="22"/>
          <w:szCs w:val="22"/>
        </w:rPr>
        <w:instrText xml:space="preserve"> SEQ Table_C \* ARABIC </w:instrText>
      </w:r>
      <w:r w:rsidRPr="004D46AC">
        <w:rPr>
          <w:b/>
          <w:bCs/>
          <w:i w:val="0"/>
          <w:iCs w:val="0"/>
          <w:sz w:val="22"/>
          <w:szCs w:val="22"/>
        </w:rPr>
        <w:fldChar w:fldCharType="separate"/>
      </w:r>
      <w:r w:rsidR="009050EB" w:rsidRPr="004D46AC">
        <w:rPr>
          <w:b/>
          <w:bCs/>
          <w:i w:val="0"/>
          <w:iCs w:val="0"/>
          <w:noProof/>
          <w:sz w:val="22"/>
          <w:szCs w:val="22"/>
        </w:rPr>
        <w:t>3</w:t>
      </w:r>
      <w:bookmarkEnd w:id="375"/>
      <w:bookmarkEnd w:id="376"/>
      <w:r w:rsidRPr="004D46AC">
        <w:rPr>
          <w:b/>
          <w:bCs/>
          <w:i w:val="0"/>
          <w:iCs w:val="0"/>
          <w:sz w:val="22"/>
          <w:szCs w:val="22"/>
        </w:rPr>
        <w:fldChar w:fldCharType="end"/>
      </w:r>
    </w:p>
    <w:p w14:paraId="4DEB00CA" w14:textId="77777777" w:rsidR="007075D9" w:rsidRPr="004D46AC" w:rsidRDefault="007075D9" w:rsidP="00CE2F7A">
      <w:pPr>
        <w:spacing w:line="240" w:lineRule="auto"/>
        <w:ind w:firstLine="0"/>
        <w:rPr>
          <w:i/>
          <w:iCs/>
        </w:rPr>
      </w:pPr>
      <w:r w:rsidRPr="004D46AC">
        <w:rPr>
          <w:i/>
          <w:iCs/>
        </w:rPr>
        <w:t>The comparison statistics of the selected items in subgroups</w:t>
      </w:r>
    </w:p>
    <w:tbl>
      <w:tblPr>
        <w:tblStyle w:val="afc"/>
        <w:tblW w:w="9004" w:type="dxa"/>
        <w:tblLook w:val="04A0" w:firstRow="1" w:lastRow="0" w:firstColumn="1" w:lastColumn="0" w:noHBand="0" w:noVBand="1"/>
      </w:tblPr>
      <w:tblGrid>
        <w:gridCol w:w="1891"/>
        <w:gridCol w:w="801"/>
        <w:gridCol w:w="865"/>
        <w:gridCol w:w="866"/>
        <w:gridCol w:w="1536"/>
        <w:gridCol w:w="3045"/>
      </w:tblGrid>
      <w:tr w:rsidR="007075D9" w:rsidRPr="004D46AC" w14:paraId="429EDA00" w14:textId="77777777" w:rsidTr="00B518F1">
        <w:trPr>
          <w:trHeight w:val="354"/>
        </w:trPr>
        <w:tc>
          <w:tcPr>
            <w:tcW w:w="1941" w:type="dxa"/>
          </w:tcPr>
          <w:p w14:paraId="4B8A19FA" w14:textId="77777777" w:rsidR="007075D9" w:rsidRPr="004D46AC" w:rsidRDefault="007075D9" w:rsidP="00CE2F7A">
            <w:pPr>
              <w:spacing w:line="240" w:lineRule="auto"/>
              <w:ind w:firstLine="0"/>
              <w:rPr>
                <w:b/>
                <w:bCs/>
              </w:rPr>
            </w:pPr>
            <w:r w:rsidRPr="004D46AC">
              <w:rPr>
                <w:b/>
                <w:bCs/>
              </w:rPr>
              <w:t xml:space="preserve">Items </w:t>
            </w:r>
          </w:p>
        </w:tc>
        <w:tc>
          <w:tcPr>
            <w:tcW w:w="804" w:type="dxa"/>
          </w:tcPr>
          <w:p w14:paraId="0C13686F" w14:textId="77777777" w:rsidR="007075D9" w:rsidRPr="004D46AC" w:rsidRDefault="007075D9" w:rsidP="00CE2F7A">
            <w:pPr>
              <w:spacing w:line="240" w:lineRule="auto"/>
              <w:ind w:firstLine="0"/>
              <w:rPr>
                <w:b/>
                <w:bCs/>
              </w:rPr>
            </w:pPr>
            <w:r w:rsidRPr="004D46AC">
              <w:rPr>
                <w:b/>
                <w:bCs/>
              </w:rPr>
              <w:t>PBD</w:t>
            </w:r>
          </w:p>
        </w:tc>
        <w:tc>
          <w:tcPr>
            <w:tcW w:w="891" w:type="dxa"/>
          </w:tcPr>
          <w:p w14:paraId="5F9A3148" w14:textId="77777777" w:rsidR="007075D9" w:rsidRPr="004D46AC" w:rsidRDefault="007075D9" w:rsidP="00CE2F7A">
            <w:pPr>
              <w:spacing w:line="240" w:lineRule="auto"/>
              <w:ind w:firstLine="0"/>
              <w:rPr>
                <w:b/>
                <w:bCs/>
              </w:rPr>
            </w:pPr>
            <w:r w:rsidRPr="004D46AC">
              <w:rPr>
                <w:b/>
                <w:bCs/>
              </w:rPr>
              <w:t>SCA</w:t>
            </w:r>
          </w:p>
        </w:tc>
        <w:tc>
          <w:tcPr>
            <w:tcW w:w="892" w:type="dxa"/>
          </w:tcPr>
          <w:p w14:paraId="39617185" w14:textId="77777777" w:rsidR="007075D9" w:rsidRPr="004D46AC" w:rsidRDefault="007075D9" w:rsidP="00CE2F7A">
            <w:pPr>
              <w:spacing w:line="240" w:lineRule="auto"/>
              <w:ind w:firstLine="0"/>
              <w:rPr>
                <w:b/>
                <w:bCs/>
              </w:rPr>
            </w:pPr>
            <w:r w:rsidRPr="004D46AC">
              <w:rPr>
                <w:b/>
                <w:bCs/>
              </w:rPr>
              <w:t>SCZ</w:t>
            </w:r>
          </w:p>
        </w:tc>
        <w:tc>
          <w:tcPr>
            <w:tcW w:w="974" w:type="dxa"/>
          </w:tcPr>
          <w:p w14:paraId="6A4CD767" w14:textId="77777777" w:rsidR="007075D9" w:rsidRPr="004D46AC" w:rsidRDefault="007075D9" w:rsidP="00CE2F7A">
            <w:pPr>
              <w:spacing w:line="240" w:lineRule="auto"/>
              <w:ind w:firstLine="0"/>
              <w:rPr>
                <w:b/>
                <w:bCs/>
                <w:i/>
                <w:iCs/>
              </w:rPr>
            </w:pPr>
            <w:r w:rsidRPr="004D46AC">
              <w:rPr>
                <w:b/>
                <w:bCs/>
                <w:i/>
                <w:iCs/>
              </w:rPr>
              <w:t xml:space="preserve">Chi square </w:t>
            </w:r>
            <w:r w:rsidRPr="004D46AC">
              <w:rPr>
                <w:b/>
                <w:bCs/>
              </w:rPr>
              <w:t>(unadjusted)</w:t>
            </w:r>
          </w:p>
        </w:tc>
        <w:tc>
          <w:tcPr>
            <w:tcW w:w="3502" w:type="dxa"/>
          </w:tcPr>
          <w:p w14:paraId="20F06D53" w14:textId="77777777" w:rsidR="007075D9" w:rsidRPr="004D46AC" w:rsidRDefault="007075D9" w:rsidP="00CE2F7A">
            <w:pPr>
              <w:spacing w:line="240" w:lineRule="auto"/>
              <w:ind w:firstLine="0"/>
              <w:rPr>
                <w:b/>
                <w:bCs/>
              </w:rPr>
            </w:pPr>
            <w:r w:rsidRPr="004D46AC">
              <w:rPr>
                <w:b/>
                <w:bCs/>
              </w:rPr>
              <w:t>Direction (adjusted)</w:t>
            </w:r>
          </w:p>
        </w:tc>
      </w:tr>
      <w:tr w:rsidR="007075D9" w:rsidRPr="004D46AC" w14:paraId="56AC1F78" w14:textId="77777777" w:rsidTr="00B518F1">
        <w:trPr>
          <w:trHeight w:val="241"/>
        </w:trPr>
        <w:tc>
          <w:tcPr>
            <w:tcW w:w="1941" w:type="dxa"/>
          </w:tcPr>
          <w:p w14:paraId="631E0B76" w14:textId="77777777" w:rsidR="007075D9" w:rsidRPr="004D46AC" w:rsidRDefault="007075D9" w:rsidP="00CE2F7A">
            <w:pPr>
              <w:spacing w:line="240" w:lineRule="auto"/>
              <w:ind w:firstLine="0"/>
            </w:pPr>
            <w:r w:rsidRPr="004D46AC">
              <w:rPr>
                <w:b/>
                <w:bCs/>
              </w:rPr>
              <w:t>P2</w:t>
            </w:r>
            <w:r w:rsidRPr="004D46AC">
              <w:t xml:space="preserve"> Conceptual disorganisation</w:t>
            </w:r>
          </w:p>
        </w:tc>
        <w:tc>
          <w:tcPr>
            <w:tcW w:w="804" w:type="dxa"/>
          </w:tcPr>
          <w:p w14:paraId="12AAA96D" w14:textId="77777777" w:rsidR="007075D9" w:rsidRPr="004D46AC" w:rsidRDefault="007075D9" w:rsidP="00CE2F7A">
            <w:pPr>
              <w:spacing w:line="240" w:lineRule="auto"/>
              <w:ind w:firstLine="0"/>
            </w:pPr>
            <w:r w:rsidRPr="004D46AC">
              <w:t>1.64 (0.96)</w:t>
            </w:r>
          </w:p>
        </w:tc>
        <w:tc>
          <w:tcPr>
            <w:tcW w:w="891" w:type="dxa"/>
          </w:tcPr>
          <w:p w14:paraId="3832823B" w14:textId="77777777" w:rsidR="007075D9" w:rsidRPr="004D46AC" w:rsidRDefault="007075D9" w:rsidP="00CE2F7A">
            <w:pPr>
              <w:spacing w:line="240" w:lineRule="auto"/>
              <w:ind w:firstLine="0"/>
            </w:pPr>
            <w:r w:rsidRPr="004D46AC">
              <w:t>2.18 (1.19)</w:t>
            </w:r>
          </w:p>
        </w:tc>
        <w:tc>
          <w:tcPr>
            <w:tcW w:w="892" w:type="dxa"/>
          </w:tcPr>
          <w:p w14:paraId="04BADDCA" w14:textId="77777777" w:rsidR="007075D9" w:rsidRPr="004D46AC" w:rsidRDefault="007075D9" w:rsidP="00CE2F7A">
            <w:pPr>
              <w:spacing w:line="240" w:lineRule="auto"/>
              <w:ind w:firstLine="0"/>
            </w:pPr>
            <w:r w:rsidRPr="004D46AC">
              <w:t>2.41 (1.34)</w:t>
            </w:r>
          </w:p>
        </w:tc>
        <w:tc>
          <w:tcPr>
            <w:tcW w:w="974" w:type="dxa"/>
          </w:tcPr>
          <w:p w14:paraId="0FDB4562" w14:textId="77777777" w:rsidR="007075D9" w:rsidRPr="004D46AC" w:rsidRDefault="007075D9" w:rsidP="00CE2F7A">
            <w:pPr>
              <w:spacing w:line="240" w:lineRule="auto"/>
              <w:ind w:firstLine="0"/>
            </w:pPr>
            <w:r w:rsidRPr="004D46AC">
              <w:t>126.43***</w:t>
            </w:r>
          </w:p>
        </w:tc>
        <w:tc>
          <w:tcPr>
            <w:tcW w:w="3502" w:type="dxa"/>
          </w:tcPr>
          <w:p w14:paraId="6A018083" w14:textId="77777777" w:rsidR="007075D9" w:rsidRPr="004D46AC" w:rsidRDefault="007075D9" w:rsidP="00CE2F7A">
            <w:pPr>
              <w:spacing w:line="240" w:lineRule="auto"/>
              <w:ind w:firstLine="0"/>
            </w:pPr>
            <w:r w:rsidRPr="004D46AC">
              <w:t>SCZ&gt;SCA**</w:t>
            </w:r>
            <w:r w:rsidRPr="004D46AC">
              <w:rPr>
                <w:rFonts w:eastAsia="DengXian"/>
                <w:vertAlign w:val="superscript"/>
              </w:rPr>
              <w:t>†</w:t>
            </w:r>
            <w:r w:rsidRPr="004D46AC">
              <w:t>; SCZ&gt;PBD***</w:t>
            </w:r>
            <w:r w:rsidRPr="004D46AC">
              <w:rPr>
                <w:rFonts w:eastAsia="DengXian"/>
                <w:vertAlign w:val="superscript"/>
              </w:rPr>
              <w:t>††</w:t>
            </w:r>
            <w:r w:rsidRPr="004D46AC">
              <w:t>; SCA&gt;PBD***</w:t>
            </w:r>
            <w:r w:rsidRPr="004D46AC">
              <w:rPr>
                <w:rFonts w:eastAsia="DengXian"/>
                <w:vertAlign w:val="superscript"/>
              </w:rPr>
              <w:t>†</w:t>
            </w:r>
            <w:r w:rsidRPr="004D46AC">
              <w:t>;</w:t>
            </w:r>
          </w:p>
        </w:tc>
      </w:tr>
      <w:tr w:rsidR="007075D9" w:rsidRPr="004D46AC" w14:paraId="66198750" w14:textId="77777777" w:rsidTr="00B518F1">
        <w:trPr>
          <w:trHeight w:val="249"/>
        </w:trPr>
        <w:tc>
          <w:tcPr>
            <w:tcW w:w="1941" w:type="dxa"/>
          </w:tcPr>
          <w:p w14:paraId="24401E6E" w14:textId="77777777" w:rsidR="007075D9" w:rsidRPr="004D46AC" w:rsidRDefault="007075D9" w:rsidP="00CE2F7A">
            <w:pPr>
              <w:spacing w:line="240" w:lineRule="auto"/>
              <w:ind w:firstLine="0"/>
            </w:pPr>
            <w:r w:rsidRPr="004D46AC">
              <w:rPr>
                <w:b/>
                <w:bCs/>
              </w:rPr>
              <w:t>P3</w:t>
            </w:r>
            <w:r w:rsidRPr="004D46AC">
              <w:t xml:space="preserve"> Hallucinations</w:t>
            </w:r>
          </w:p>
        </w:tc>
        <w:tc>
          <w:tcPr>
            <w:tcW w:w="804" w:type="dxa"/>
          </w:tcPr>
          <w:p w14:paraId="4ADC21A6" w14:textId="77777777" w:rsidR="007075D9" w:rsidRPr="004D46AC" w:rsidRDefault="007075D9" w:rsidP="00CE2F7A">
            <w:pPr>
              <w:spacing w:line="240" w:lineRule="auto"/>
              <w:ind w:firstLine="0"/>
            </w:pPr>
            <w:r w:rsidRPr="004D46AC">
              <w:t>1.53 (1.03)</w:t>
            </w:r>
          </w:p>
        </w:tc>
        <w:tc>
          <w:tcPr>
            <w:tcW w:w="891" w:type="dxa"/>
          </w:tcPr>
          <w:p w14:paraId="7A03C647" w14:textId="77777777" w:rsidR="007075D9" w:rsidRPr="004D46AC" w:rsidRDefault="007075D9" w:rsidP="00CE2F7A">
            <w:pPr>
              <w:spacing w:line="240" w:lineRule="auto"/>
              <w:ind w:firstLine="0"/>
            </w:pPr>
            <w:r w:rsidRPr="004D46AC">
              <w:t>3.01 (1.65)</w:t>
            </w:r>
          </w:p>
        </w:tc>
        <w:tc>
          <w:tcPr>
            <w:tcW w:w="892" w:type="dxa"/>
          </w:tcPr>
          <w:p w14:paraId="7DDA7DFC" w14:textId="77777777" w:rsidR="007075D9" w:rsidRPr="004D46AC" w:rsidRDefault="007075D9" w:rsidP="00CE2F7A">
            <w:pPr>
              <w:spacing w:line="240" w:lineRule="auto"/>
              <w:ind w:firstLine="0"/>
            </w:pPr>
            <w:r w:rsidRPr="004D46AC">
              <w:t>2.81 (1.70)</w:t>
            </w:r>
          </w:p>
        </w:tc>
        <w:tc>
          <w:tcPr>
            <w:tcW w:w="974" w:type="dxa"/>
          </w:tcPr>
          <w:p w14:paraId="422037D7" w14:textId="77777777" w:rsidR="007075D9" w:rsidRPr="004D46AC" w:rsidRDefault="007075D9" w:rsidP="00CE2F7A">
            <w:pPr>
              <w:spacing w:line="240" w:lineRule="auto"/>
              <w:ind w:firstLine="0"/>
            </w:pPr>
            <w:r w:rsidRPr="004D46AC">
              <w:t>280.85***</w:t>
            </w:r>
          </w:p>
        </w:tc>
        <w:tc>
          <w:tcPr>
            <w:tcW w:w="3502" w:type="dxa"/>
          </w:tcPr>
          <w:p w14:paraId="690B005B"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SCZ&gt;PBD***</w:t>
            </w:r>
            <w:r w:rsidRPr="004D46AC">
              <w:rPr>
                <w:rFonts w:eastAsia="DengXian"/>
                <w:vertAlign w:val="superscript"/>
              </w:rPr>
              <w:t>††</w:t>
            </w:r>
            <w:r w:rsidRPr="004D46AC">
              <w:t>; SCA&gt;PBD***</w:t>
            </w:r>
            <w:r w:rsidRPr="004D46AC">
              <w:rPr>
                <w:rFonts w:eastAsia="DengXian"/>
                <w:vertAlign w:val="superscript"/>
              </w:rPr>
              <w:t>††</w:t>
            </w:r>
            <w:r w:rsidRPr="004D46AC">
              <w:t>.</w:t>
            </w:r>
          </w:p>
        </w:tc>
      </w:tr>
      <w:tr w:rsidR="007075D9" w:rsidRPr="004D46AC" w14:paraId="22182A75" w14:textId="77777777" w:rsidTr="00B518F1">
        <w:trPr>
          <w:trHeight w:val="241"/>
        </w:trPr>
        <w:tc>
          <w:tcPr>
            <w:tcW w:w="1941" w:type="dxa"/>
          </w:tcPr>
          <w:p w14:paraId="7C68E33F" w14:textId="77777777" w:rsidR="007075D9" w:rsidRPr="004D46AC" w:rsidRDefault="007075D9" w:rsidP="00CE2F7A">
            <w:pPr>
              <w:spacing w:line="240" w:lineRule="auto"/>
              <w:ind w:firstLine="0"/>
            </w:pPr>
            <w:r w:rsidRPr="004D46AC">
              <w:rPr>
                <w:b/>
                <w:bCs/>
              </w:rPr>
              <w:t>P4</w:t>
            </w:r>
            <w:r w:rsidRPr="004D46AC">
              <w:t xml:space="preserve"> Excitements</w:t>
            </w:r>
          </w:p>
        </w:tc>
        <w:tc>
          <w:tcPr>
            <w:tcW w:w="804" w:type="dxa"/>
          </w:tcPr>
          <w:p w14:paraId="5EE2EA43" w14:textId="77777777" w:rsidR="007075D9" w:rsidRPr="004D46AC" w:rsidRDefault="007075D9" w:rsidP="00CE2F7A">
            <w:pPr>
              <w:spacing w:line="240" w:lineRule="auto"/>
              <w:ind w:firstLine="0"/>
            </w:pPr>
            <w:r w:rsidRPr="004D46AC">
              <w:t>2.02 (1.08)</w:t>
            </w:r>
          </w:p>
        </w:tc>
        <w:tc>
          <w:tcPr>
            <w:tcW w:w="891" w:type="dxa"/>
          </w:tcPr>
          <w:p w14:paraId="4241E847" w14:textId="77777777" w:rsidR="007075D9" w:rsidRPr="004D46AC" w:rsidRDefault="007075D9" w:rsidP="00CE2F7A">
            <w:pPr>
              <w:spacing w:line="240" w:lineRule="auto"/>
              <w:ind w:firstLine="0"/>
            </w:pPr>
            <w:r w:rsidRPr="004D46AC">
              <w:t>2.06 (1.10)</w:t>
            </w:r>
          </w:p>
        </w:tc>
        <w:tc>
          <w:tcPr>
            <w:tcW w:w="892" w:type="dxa"/>
          </w:tcPr>
          <w:p w14:paraId="7578C0C2" w14:textId="77777777" w:rsidR="007075D9" w:rsidRPr="004D46AC" w:rsidRDefault="007075D9" w:rsidP="00CE2F7A">
            <w:pPr>
              <w:spacing w:line="240" w:lineRule="auto"/>
              <w:ind w:firstLine="0"/>
            </w:pPr>
            <w:r w:rsidRPr="004D46AC">
              <w:t>1.74 (1.10)</w:t>
            </w:r>
          </w:p>
        </w:tc>
        <w:tc>
          <w:tcPr>
            <w:tcW w:w="974" w:type="dxa"/>
          </w:tcPr>
          <w:p w14:paraId="3487D1EE" w14:textId="77777777" w:rsidR="007075D9" w:rsidRPr="004D46AC" w:rsidRDefault="007075D9" w:rsidP="00CE2F7A">
            <w:pPr>
              <w:spacing w:line="240" w:lineRule="auto"/>
              <w:ind w:firstLine="0"/>
            </w:pPr>
            <w:r w:rsidRPr="004D46AC">
              <w:t>34.89***</w:t>
            </w:r>
          </w:p>
        </w:tc>
        <w:tc>
          <w:tcPr>
            <w:tcW w:w="3502" w:type="dxa"/>
          </w:tcPr>
          <w:p w14:paraId="598D7040"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79486CAD" w14:textId="77777777" w:rsidTr="00B518F1">
        <w:trPr>
          <w:trHeight w:val="241"/>
        </w:trPr>
        <w:tc>
          <w:tcPr>
            <w:tcW w:w="1941" w:type="dxa"/>
          </w:tcPr>
          <w:p w14:paraId="142190DD" w14:textId="77777777" w:rsidR="007075D9" w:rsidRPr="004D46AC" w:rsidRDefault="007075D9" w:rsidP="00CE2F7A">
            <w:pPr>
              <w:spacing w:line="240" w:lineRule="auto"/>
              <w:ind w:firstLine="0"/>
            </w:pPr>
            <w:r w:rsidRPr="004D46AC">
              <w:rPr>
                <w:b/>
                <w:bCs/>
              </w:rPr>
              <w:t>P5</w:t>
            </w:r>
            <w:r w:rsidRPr="004D46AC">
              <w:t xml:space="preserve"> Grandiosity</w:t>
            </w:r>
          </w:p>
        </w:tc>
        <w:tc>
          <w:tcPr>
            <w:tcW w:w="804" w:type="dxa"/>
          </w:tcPr>
          <w:p w14:paraId="66BF3743" w14:textId="77777777" w:rsidR="007075D9" w:rsidRPr="004D46AC" w:rsidRDefault="007075D9" w:rsidP="00CE2F7A">
            <w:pPr>
              <w:spacing w:line="240" w:lineRule="auto"/>
              <w:ind w:firstLine="0"/>
            </w:pPr>
            <w:r w:rsidRPr="004D46AC">
              <w:t>1.86 (1.06)</w:t>
            </w:r>
          </w:p>
        </w:tc>
        <w:tc>
          <w:tcPr>
            <w:tcW w:w="891" w:type="dxa"/>
          </w:tcPr>
          <w:p w14:paraId="50B80265" w14:textId="77777777" w:rsidR="007075D9" w:rsidRPr="004D46AC" w:rsidRDefault="007075D9" w:rsidP="00CE2F7A">
            <w:pPr>
              <w:spacing w:line="240" w:lineRule="auto"/>
              <w:ind w:firstLine="0"/>
            </w:pPr>
            <w:r w:rsidRPr="004D46AC">
              <w:t>2.15 (1.27)</w:t>
            </w:r>
          </w:p>
        </w:tc>
        <w:tc>
          <w:tcPr>
            <w:tcW w:w="892" w:type="dxa"/>
          </w:tcPr>
          <w:p w14:paraId="3E40BC9A" w14:textId="77777777" w:rsidR="007075D9" w:rsidRPr="004D46AC" w:rsidRDefault="007075D9" w:rsidP="00CE2F7A">
            <w:pPr>
              <w:spacing w:line="240" w:lineRule="auto"/>
              <w:ind w:firstLine="0"/>
            </w:pPr>
            <w:r w:rsidRPr="004D46AC">
              <w:t>2.05 (1.27)</w:t>
            </w:r>
          </w:p>
        </w:tc>
        <w:tc>
          <w:tcPr>
            <w:tcW w:w="974" w:type="dxa"/>
          </w:tcPr>
          <w:p w14:paraId="5490269A" w14:textId="77777777" w:rsidR="007075D9" w:rsidRPr="004D46AC" w:rsidRDefault="007075D9" w:rsidP="00CE2F7A">
            <w:pPr>
              <w:spacing w:line="240" w:lineRule="auto"/>
              <w:ind w:firstLine="0"/>
            </w:pPr>
            <w:r w:rsidRPr="004D46AC">
              <w:t>11.78**</w:t>
            </w:r>
          </w:p>
        </w:tc>
        <w:tc>
          <w:tcPr>
            <w:tcW w:w="3502" w:type="dxa"/>
          </w:tcPr>
          <w:p w14:paraId="3925C6CD"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w:t>
            </w:r>
          </w:p>
        </w:tc>
      </w:tr>
      <w:tr w:rsidR="007075D9" w:rsidRPr="004D46AC" w14:paraId="40B6D402" w14:textId="77777777" w:rsidTr="00B518F1">
        <w:trPr>
          <w:trHeight w:val="249"/>
        </w:trPr>
        <w:tc>
          <w:tcPr>
            <w:tcW w:w="1941" w:type="dxa"/>
          </w:tcPr>
          <w:p w14:paraId="6A7E309E" w14:textId="77777777" w:rsidR="007075D9" w:rsidRPr="004D46AC" w:rsidRDefault="007075D9" w:rsidP="00CE2F7A">
            <w:pPr>
              <w:spacing w:line="240" w:lineRule="auto"/>
              <w:ind w:firstLine="0"/>
            </w:pPr>
            <w:r w:rsidRPr="004D46AC">
              <w:rPr>
                <w:b/>
                <w:bCs/>
              </w:rPr>
              <w:t>P6</w:t>
            </w:r>
            <w:r w:rsidRPr="004D46AC">
              <w:t xml:space="preserve"> Paranoia/ Suspiciousness</w:t>
            </w:r>
          </w:p>
        </w:tc>
        <w:tc>
          <w:tcPr>
            <w:tcW w:w="804" w:type="dxa"/>
          </w:tcPr>
          <w:p w14:paraId="061BFC56" w14:textId="77777777" w:rsidR="007075D9" w:rsidRPr="004D46AC" w:rsidRDefault="007075D9" w:rsidP="00CE2F7A">
            <w:pPr>
              <w:spacing w:line="240" w:lineRule="auto"/>
              <w:ind w:firstLine="0"/>
            </w:pPr>
            <w:r w:rsidRPr="004D46AC">
              <w:t>2.35 (1.27)</w:t>
            </w:r>
          </w:p>
        </w:tc>
        <w:tc>
          <w:tcPr>
            <w:tcW w:w="891" w:type="dxa"/>
          </w:tcPr>
          <w:p w14:paraId="7AAC2809" w14:textId="77777777" w:rsidR="007075D9" w:rsidRPr="004D46AC" w:rsidRDefault="007075D9" w:rsidP="00CE2F7A">
            <w:pPr>
              <w:spacing w:line="240" w:lineRule="auto"/>
              <w:ind w:firstLine="0"/>
            </w:pPr>
            <w:r w:rsidRPr="004D46AC">
              <w:t>3.28 (1.42)</w:t>
            </w:r>
          </w:p>
        </w:tc>
        <w:tc>
          <w:tcPr>
            <w:tcW w:w="892" w:type="dxa"/>
          </w:tcPr>
          <w:p w14:paraId="3988D556" w14:textId="77777777" w:rsidR="007075D9" w:rsidRPr="004D46AC" w:rsidRDefault="007075D9" w:rsidP="00CE2F7A">
            <w:pPr>
              <w:spacing w:line="240" w:lineRule="auto"/>
              <w:ind w:firstLine="0"/>
            </w:pPr>
            <w:r w:rsidRPr="004D46AC">
              <w:t>3.12 (1.45)</w:t>
            </w:r>
          </w:p>
        </w:tc>
        <w:tc>
          <w:tcPr>
            <w:tcW w:w="974" w:type="dxa"/>
          </w:tcPr>
          <w:p w14:paraId="516D05A7" w14:textId="77777777" w:rsidR="007075D9" w:rsidRPr="004D46AC" w:rsidRDefault="007075D9" w:rsidP="00CE2F7A">
            <w:pPr>
              <w:spacing w:line="240" w:lineRule="auto"/>
              <w:ind w:firstLine="0"/>
            </w:pPr>
            <w:r w:rsidRPr="004D46AC">
              <w:t>136.15***</w:t>
            </w:r>
          </w:p>
        </w:tc>
        <w:tc>
          <w:tcPr>
            <w:tcW w:w="3502" w:type="dxa"/>
          </w:tcPr>
          <w:p w14:paraId="5E7EC776" w14:textId="77777777" w:rsidR="007075D9" w:rsidRPr="004D46AC" w:rsidRDefault="007075D9" w:rsidP="00CE2F7A">
            <w:pPr>
              <w:spacing w:line="240" w:lineRule="auto"/>
              <w:ind w:firstLine="0"/>
            </w:pPr>
            <w:r w:rsidRPr="004D46AC">
              <w:t>SCZ &gt;PBD***</w:t>
            </w:r>
            <w:r w:rsidRPr="004D46AC">
              <w:rPr>
                <w:rFonts w:eastAsia="DengXian"/>
                <w:vertAlign w:val="superscript"/>
              </w:rPr>
              <w:t>†</w:t>
            </w:r>
            <w:r w:rsidRPr="004D46AC">
              <w:t>; SCA&gt; PBD***</w:t>
            </w:r>
            <w:r w:rsidRPr="004D46AC">
              <w:rPr>
                <w:rFonts w:eastAsia="DengXian"/>
                <w:vertAlign w:val="superscript"/>
              </w:rPr>
              <w:t>††</w:t>
            </w:r>
            <w:r w:rsidRPr="004D46AC">
              <w:t>.</w:t>
            </w:r>
          </w:p>
        </w:tc>
      </w:tr>
      <w:tr w:rsidR="007075D9" w:rsidRPr="004D46AC" w14:paraId="064983D7" w14:textId="77777777" w:rsidTr="00B518F1">
        <w:trPr>
          <w:trHeight w:val="241"/>
        </w:trPr>
        <w:tc>
          <w:tcPr>
            <w:tcW w:w="1941" w:type="dxa"/>
          </w:tcPr>
          <w:p w14:paraId="40F017E9" w14:textId="77777777" w:rsidR="007075D9" w:rsidRPr="004D46AC" w:rsidRDefault="007075D9" w:rsidP="00CE2F7A">
            <w:pPr>
              <w:spacing w:line="240" w:lineRule="auto"/>
              <w:ind w:firstLine="0"/>
            </w:pPr>
            <w:r w:rsidRPr="004D46AC">
              <w:rPr>
                <w:b/>
                <w:bCs/>
              </w:rPr>
              <w:t>N1</w:t>
            </w:r>
            <w:r w:rsidRPr="004D46AC">
              <w:t xml:space="preserve"> Blunt affect</w:t>
            </w:r>
          </w:p>
        </w:tc>
        <w:tc>
          <w:tcPr>
            <w:tcW w:w="804" w:type="dxa"/>
          </w:tcPr>
          <w:p w14:paraId="55D20E8C" w14:textId="77777777" w:rsidR="007075D9" w:rsidRPr="004D46AC" w:rsidRDefault="007075D9" w:rsidP="00CE2F7A">
            <w:pPr>
              <w:spacing w:line="240" w:lineRule="auto"/>
              <w:ind w:firstLine="0"/>
            </w:pPr>
            <w:r w:rsidRPr="004D46AC">
              <w:t>1.69 (1.09)</w:t>
            </w:r>
          </w:p>
        </w:tc>
        <w:tc>
          <w:tcPr>
            <w:tcW w:w="891" w:type="dxa"/>
          </w:tcPr>
          <w:p w14:paraId="768506F1" w14:textId="77777777" w:rsidR="007075D9" w:rsidRPr="004D46AC" w:rsidRDefault="007075D9" w:rsidP="00CE2F7A">
            <w:pPr>
              <w:spacing w:line="240" w:lineRule="auto"/>
              <w:ind w:firstLine="0"/>
            </w:pPr>
            <w:r w:rsidRPr="004D46AC">
              <w:t>2.24 (1.33)</w:t>
            </w:r>
          </w:p>
        </w:tc>
        <w:tc>
          <w:tcPr>
            <w:tcW w:w="892" w:type="dxa"/>
          </w:tcPr>
          <w:p w14:paraId="686855F1" w14:textId="77777777" w:rsidR="007075D9" w:rsidRPr="004D46AC" w:rsidRDefault="007075D9" w:rsidP="00CE2F7A">
            <w:pPr>
              <w:spacing w:line="240" w:lineRule="auto"/>
              <w:ind w:firstLine="0"/>
            </w:pPr>
            <w:r w:rsidRPr="004D46AC">
              <w:t>2.70 (1.47)</w:t>
            </w:r>
          </w:p>
        </w:tc>
        <w:tc>
          <w:tcPr>
            <w:tcW w:w="974" w:type="dxa"/>
          </w:tcPr>
          <w:p w14:paraId="05B5EB47" w14:textId="77777777" w:rsidR="007075D9" w:rsidRPr="004D46AC" w:rsidRDefault="007075D9" w:rsidP="00CE2F7A">
            <w:pPr>
              <w:spacing w:line="240" w:lineRule="auto"/>
              <w:ind w:firstLine="0"/>
            </w:pPr>
            <w:r w:rsidRPr="004D46AC">
              <w:t>177.81***</w:t>
            </w:r>
          </w:p>
        </w:tc>
        <w:tc>
          <w:tcPr>
            <w:tcW w:w="3502" w:type="dxa"/>
          </w:tcPr>
          <w:p w14:paraId="2F0FA569" w14:textId="77777777" w:rsidR="007075D9" w:rsidRPr="004D46AC" w:rsidRDefault="007075D9" w:rsidP="00CE2F7A">
            <w:pPr>
              <w:spacing w:line="240" w:lineRule="auto"/>
              <w:ind w:firstLine="0"/>
            </w:pPr>
            <w:r w:rsidRPr="004D46AC">
              <w:t>SCZ&gt;SCA***</w:t>
            </w:r>
            <w:r w:rsidRPr="004D46AC">
              <w:rPr>
                <w:rFonts w:eastAsia="DengXian"/>
                <w:vertAlign w:val="superscript"/>
              </w:rPr>
              <w:t>†</w:t>
            </w:r>
            <w:r w:rsidRPr="004D46AC">
              <w:t>; SCZ&gt;PBD***</w:t>
            </w:r>
            <w:r w:rsidRPr="004D46AC">
              <w:rPr>
                <w:rFonts w:eastAsia="DengXian"/>
                <w:vertAlign w:val="superscript"/>
              </w:rPr>
              <w:t>††</w:t>
            </w:r>
            <w:r w:rsidRPr="004D46AC">
              <w:t>; SCA&gt;PBD***</w:t>
            </w:r>
            <w:r w:rsidRPr="004D46AC">
              <w:rPr>
                <w:rFonts w:eastAsia="DengXian"/>
                <w:vertAlign w:val="superscript"/>
              </w:rPr>
              <w:t>†</w:t>
            </w:r>
            <w:r w:rsidRPr="004D46AC">
              <w:t>.</w:t>
            </w:r>
          </w:p>
        </w:tc>
      </w:tr>
      <w:tr w:rsidR="007075D9" w:rsidRPr="004D46AC" w14:paraId="06540F34" w14:textId="77777777" w:rsidTr="00B518F1">
        <w:trPr>
          <w:trHeight w:val="241"/>
        </w:trPr>
        <w:tc>
          <w:tcPr>
            <w:tcW w:w="1941" w:type="dxa"/>
          </w:tcPr>
          <w:p w14:paraId="4D5388A6" w14:textId="77777777" w:rsidR="007075D9" w:rsidRPr="004D46AC" w:rsidRDefault="007075D9" w:rsidP="00CE2F7A">
            <w:pPr>
              <w:spacing w:line="240" w:lineRule="auto"/>
              <w:ind w:firstLine="0"/>
            </w:pPr>
            <w:r w:rsidRPr="004D46AC">
              <w:rPr>
                <w:b/>
                <w:bCs/>
              </w:rPr>
              <w:t>RC</w:t>
            </w:r>
            <w:r w:rsidRPr="004D46AC">
              <w:t xml:space="preserve"> Poor rapport and rigid conversation</w:t>
            </w:r>
          </w:p>
        </w:tc>
        <w:tc>
          <w:tcPr>
            <w:tcW w:w="804" w:type="dxa"/>
          </w:tcPr>
          <w:p w14:paraId="18AE3554" w14:textId="77777777" w:rsidR="007075D9" w:rsidRPr="004D46AC" w:rsidRDefault="007075D9" w:rsidP="00CE2F7A">
            <w:pPr>
              <w:spacing w:line="240" w:lineRule="auto"/>
              <w:ind w:firstLine="0"/>
            </w:pPr>
            <w:r w:rsidRPr="004D46AC">
              <w:t>2.90 (1.60)</w:t>
            </w:r>
          </w:p>
        </w:tc>
        <w:tc>
          <w:tcPr>
            <w:tcW w:w="891" w:type="dxa"/>
          </w:tcPr>
          <w:p w14:paraId="6E409601" w14:textId="77777777" w:rsidR="007075D9" w:rsidRPr="004D46AC" w:rsidRDefault="007075D9" w:rsidP="00CE2F7A">
            <w:pPr>
              <w:spacing w:line="240" w:lineRule="auto"/>
              <w:ind w:firstLine="0"/>
            </w:pPr>
            <w:r w:rsidRPr="004D46AC">
              <w:t>3.51 (2.01)</w:t>
            </w:r>
          </w:p>
        </w:tc>
        <w:tc>
          <w:tcPr>
            <w:tcW w:w="892" w:type="dxa"/>
          </w:tcPr>
          <w:p w14:paraId="3EC790EF" w14:textId="77777777" w:rsidR="007075D9" w:rsidRPr="004D46AC" w:rsidRDefault="007075D9" w:rsidP="00CE2F7A">
            <w:pPr>
              <w:spacing w:line="240" w:lineRule="auto"/>
              <w:ind w:firstLine="0"/>
            </w:pPr>
            <w:r w:rsidRPr="004D46AC">
              <w:t>3.97 (2.25)</w:t>
            </w:r>
          </w:p>
        </w:tc>
        <w:tc>
          <w:tcPr>
            <w:tcW w:w="974" w:type="dxa"/>
          </w:tcPr>
          <w:p w14:paraId="0910024F" w14:textId="77777777" w:rsidR="007075D9" w:rsidRPr="004D46AC" w:rsidRDefault="007075D9" w:rsidP="00CE2F7A">
            <w:pPr>
              <w:spacing w:line="240" w:lineRule="auto"/>
              <w:ind w:firstLine="0"/>
            </w:pPr>
            <w:r w:rsidRPr="004D46AC">
              <w:t>95.00***</w:t>
            </w:r>
          </w:p>
        </w:tc>
        <w:tc>
          <w:tcPr>
            <w:tcW w:w="3502" w:type="dxa"/>
          </w:tcPr>
          <w:p w14:paraId="4635503D" w14:textId="77777777" w:rsidR="007075D9" w:rsidRPr="004D46AC" w:rsidRDefault="007075D9" w:rsidP="00CE2F7A">
            <w:pPr>
              <w:spacing w:line="240" w:lineRule="auto"/>
              <w:ind w:firstLine="0"/>
            </w:pPr>
            <w:r w:rsidRPr="004D46AC">
              <w:t>SCZ&gt;SCA***</w:t>
            </w:r>
            <w:r w:rsidRPr="004D46AC">
              <w:rPr>
                <w:rFonts w:eastAsia="DengXian"/>
                <w:vertAlign w:val="superscript"/>
              </w:rPr>
              <w:t>†</w:t>
            </w:r>
            <w:r w:rsidRPr="004D46AC">
              <w:t>; SCZ&gt;PBD***</w:t>
            </w:r>
            <w:r w:rsidRPr="004D46AC">
              <w:rPr>
                <w:rFonts w:eastAsia="DengXian"/>
                <w:vertAlign w:val="superscript"/>
              </w:rPr>
              <w:t>†</w:t>
            </w:r>
            <w:r w:rsidRPr="004D46AC">
              <w:t>; SCA&gt;PBD***</w:t>
            </w:r>
            <w:r w:rsidRPr="004D46AC">
              <w:rPr>
                <w:rFonts w:eastAsia="DengXian"/>
                <w:vertAlign w:val="superscript"/>
              </w:rPr>
              <w:t>†</w:t>
            </w:r>
            <w:r w:rsidRPr="004D46AC">
              <w:t>.</w:t>
            </w:r>
          </w:p>
        </w:tc>
      </w:tr>
      <w:tr w:rsidR="007075D9" w:rsidRPr="004D46AC" w14:paraId="00222241" w14:textId="77777777" w:rsidTr="00B518F1">
        <w:trPr>
          <w:trHeight w:val="241"/>
        </w:trPr>
        <w:tc>
          <w:tcPr>
            <w:tcW w:w="1941" w:type="dxa"/>
          </w:tcPr>
          <w:p w14:paraId="61D7E59A" w14:textId="77777777" w:rsidR="007075D9" w:rsidRPr="004D46AC" w:rsidRDefault="007075D9" w:rsidP="00CE2F7A">
            <w:pPr>
              <w:spacing w:line="240" w:lineRule="auto"/>
              <w:ind w:firstLine="0"/>
            </w:pPr>
            <w:r w:rsidRPr="004D46AC">
              <w:rPr>
                <w:b/>
                <w:bCs/>
              </w:rPr>
              <w:t xml:space="preserve">WD </w:t>
            </w:r>
            <w:r w:rsidRPr="004D46AC">
              <w:t>Withdrawal</w:t>
            </w:r>
          </w:p>
        </w:tc>
        <w:tc>
          <w:tcPr>
            <w:tcW w:w="804" w:type="dxa"/>
          </w:tcPr>
          <w:p w14:paraId="32902920" w14:textId="77777777" w:rsidR="007075D9" w:rsidRPr="004D46AC" w:rsidRDefault="007075D9" w:rsidP="00CE2F7A">
            <w:pPr>
              <w:spacing w:line="240" w:lineRule="auto"/>
              <w:ind w:firstLine="0"/>
            </w:pPr>
            <w:r w:rsidRPr="004D46AC">
              <w:t>3.97 (2.28)</w:t>
            </w:r>
          </w:p>
        </w:tc>
        <w:tc>
          <w:tcPr>
            <w:tcW w:w="891" w:type="dxa"/>
          </w:tcPr>
          <w:p w14:paraId="5F8684D8" w14:textId="77777777" w:rsidR="007075D9" w:rsidRPr="004D46AC" w:rsidRDefault="007075D9" w:rsidP="00CE2F7A">
            <w:pPr>
              <w:spacing w:line="240" w:lineRule="auto"/>
              <w:ind w:firstLine="0"/>
            </w:pPr>
            <w:r w:rsidRPr="004D46AC">
              <w:t>4.97 (2.56)</w:t>
            </w:r>
          </w:p>
        </w:tc>
        <w:tc>
          <w:tcPr>
            <w:tcW w:w="892" w:type="dxa"/>
          </w:tcPr>
          <w:p w14:paraId="46A3329A" w14:textId="77777777" w:rsidR="007075D9" w:rsidRPr="004D46AC" w:rsidRDefault="007075D9" w:rsidP="00CE2F7A">
            <w:pPr>
              <w:spacing w:line="240" w:lineRule="auto"/>
              <w:ind w:firstLine="0"/>
            </w:pPr>
            <w:r w:rsidRPr="004D46AC">
              <w:t>4.99 (2.45)</w:t>
            </w:r>
          </w:p>
        </w:tc>
        <w:tc>
          <w:tcPr>
            <w:tcW w:w="974" w:type="dxa"/>
          </w:tcPr>
          <w:p w14:paraId="7DD91981" w14:textId="77777777" w:rsidR="007075D9" w:rsidRPr="004D46AC" w:rsidRDefault="007075D9" w:rsidP="00CE2F7A">
            <w:pPr>
              <w:spacing w:line="240" w:lineRule="auto"/>
              <w:ind w:firstLine="0"/>
            </w:pPr>
            <w:r w:rsidRPr="004D46AC">
              <w:t>69.05***</w:t>
            </w:r>
          </w:p>
        </w:tc>
        <w:tc>
          <w:tcPr>
            <w:tcW w:w="3502" w:type="dxa"/>
          </w:tcPr>
          <w:p w14:paraId="0CB468B8" w14:textId="77777777" w:rsidR="007075D9" w:rsidRPr="004D46AC" w:rsidRDefault="007075D9" w:rsidP="00CE2F7A">
            <w:pPr>
              <w:spacing w:line="240" w:lineRule="auto"/>
              <w:ind w:firstLine="0"/>
            </w:pPr>
            <w:r w:rsidRPr="004D46AC">
              <w:t>SCZ&gt;PBD***</w:t>
            </w:r>
            <w:r w:rsidRPr="004D46AC">
              <w:rPr>
                <w:rFonts w:eastAsia="DengXian"/>
                <w:vertAlign w:val="superscript"/>
              </w:rPr>
              <w:t>†</w:t>
            </w:r>
            <w:r w:rsidRPr="004D46AC">
              <w:t>; SCA&gt; PBD***</w:t>
            </w:r>
            <w:r w:rsidRPr="004D46AC">
              <w:rPr>
                <w:rFonts w:eastAsia="DengXian"/>
                <w:vertAlign w:val="superscript"/>
              </w:rPr>
              <w:t>†</w:t>
            </w:r>
            <w:r w:rsidRPr="004D46AC">
              <w:t>.</w:t>
            </w:r>
          </w:p>
        </w:tc>
      </w:tr>
      <w:tr w:rsidR="007075D9" w:rsidRPr="004D46AC" w14:paraId="27B03CC0" w14:textId="77777777" w:rsidTr="00B518F1">
        <w:trPr>
          <w:trHeight w:val="249"/>
        </w:trPr>
        <w:tc>
          <w:tcPr>
            <w:tcW w:w="1941" w:type="dxa"/>
          </w:tcPr>
          <w:p w14:paraId="3888CF10" w14:textId="77777777" w:rsidR="007075D9" w:rsidRPr="004D46AC" w:rsidRDefault="007075D9" w:rsidP="00CE2F7A">
            <w:pPr>
              <w:spacing w:line="240" w:lineRule="auto"/>
              <w:ind w:firstLine="0"/>
            </w:pPr>
            <w:r w:rsidRPr="004D46AC">
              <w:rPr>
                <w:b/>
                <w:bCs/>
              </w:rPr>
              <w:t>N5</w:t>
            </w:r>
            <w:r w:rsidRPr="004D46AC">
              <w:t xml:space="preserve"> Difficulty in abstract thinking</w:t>
            </w:r>
          </w:p>
        </w:tc>
        <w:tc>
          <w:tcPr>
            <w:tcW w:w="804" w:type="dxa"/>
          </w:tcPr>
          <w:p w14:paraId="737C5C2C" w14:textId="77777777" w:rsidR="007075D9" w:rsidRPr="004D46AC" w:rsidRDefault="007075D9" w:rsidP="00CE2F7A">
            <w:pPr>
              <w:spacing w:line="240" w:lineRule="auto"/>
              <w:ind w:firstLine="0"/>
            </w:pPr>
            <w:r w:rsidRPr="004D46AC">
              <w:t>2.30 (1.38)</w:t>
            </w:r>
          </w:p>
        </w:tc>
        <w:tc>
          <w:tcPr>
            <w:tcW w:w="891" w:type="dxa"/>
          </w:tcPr>
          <w:p w14:paraId="04E8F787" w14:textId="77777777" w:rsidR="007075D9" w:rsidRPr="004D46AC" w:rsidRDefault="007075D9" w:rsidP="00CE2F7A">
            <w:pPr>
              <w:spacing w:line="240" w:lineRule="auto"/>
              <w:ind w:firstLine="0"/>
            </w:pPr>
            <w:r w:rsidRPr="004D46AC">
              <w:t>3.01 (1.44)</w:t>
            </w:r>
          </w:p>
        </w:tc>
        <w:tc>
          <w:tcPr>
            <w:tcW w:w="892" w:type="dxa"/>
          </w:tcPr>
          <w:p w14:paraId="786CAD1D" w14:textId="77777777" w:rsidR="007075D9" w:rsidRPr="004D46AC" w:rsidRDefault="007075D9" w:rsidP="00CE2F7A">
            <w:pPr>
              <w:spacing w:line="240" w:lineRule="auto"/>
              <w:ind w:firstLine="0"/>
            </w:pPr>
            <w:r w:rsidRPr="004D46AC">
              <w:t>3.23 (1.50)</w:t>
            </w:r>
          </w:p>
        </w:tc>
        <w:tc>
          <w:tcPr>
            <w:tcW w:w="974" w:type="dxa"/>
          </w:tcPr>
          <w:p w14:paraId="7C3A1EC7" w14:textId="77777777" w:rsidR="007075D9" w:rsidRPr="004D46AC" w:rsidRDefault="007075D9" w:rsidP="00CE2F7A">
            <w:pPr>
              <w:spacing w:line="240" w:lineRule="auto"/>
              <w:ind w:firstLine="0"/>
            </w:pPr>
            <w:r w:rsidRPr="004D46AC">
              <w:t>137.71***</w:t>
            </w:r>
          </w:p>
        </w:tc>
        <w:tc>
          <w:tcPr>
            <w:tcW w:w="3502" w:type="dxa"/>
          </w:tcPr>
          <w:p w14:paraId="5CBBB233" w14:textId="77777777" w:rsidR="007075D9" w:rsidRPr="004D46AC" w:rsidRDefault="007075D9" w:rsidP="00CE2F7A">
            <w:pPr>
              <w:spacing w:line="240" w:lineRule="auto"/>
              <w:ind w:firstLine="0"/>
            </w:pPr>
            <w:r w:rsidRPr="004D46AC">
              <w:t>SCZ&gt;SCA*; SCZ&gt;PBD***</w:t>
            </w:r>
            <w:r w:rsidRPr="004D46AC">
              <w:rPr>
                <w:rFonts w:eastAsia="DengXian"/>
                <w:vertAlign w:val="superscript"/>
              </w:rPr>
              <w:t>††</w:t>
            </w:r>
            <w:r w:rsidRPr="004D46AC">
              <w:t>; SCZ&gt;PBD***</w:t>
            </w:r>
            <w:r w:rsidRPr="004D46AC">
              <w:rPr>
                <w:rFonts w:eastAsia="DengXian"/>
                <w:vertAlign w:val="superscript"/>
              </w:rPr>
              <w:t>†</w:t>
            </w:r>
            <w:r w:rsidRPr="004D46AC">
              <w:t>.</w:t>
            </w:r>
          </w:p>
        </w:tc>
      </w:tr>
      <w:tr w:rsidR="007075D9" w:rsidRPr="004D46AC" w14:paraId="7585F9F0" w14:textId="77777777" w:rsidTr="00B518F1">
        <w:trPr>
          <w:trHeight w:val="241"/>
        </w:trPr>
        <w:tc>
          <w:tcPr>
            <w:tcW w:w="1941" w:type="dxa"/>
          </w:tcPr>
          <w:p w14:paraId="2F174CA5" w14:textId="77777777" w:rsidR="007075D9" w:rsidRPr="004D46AC" w:rsidRDefault="007075D9" w:rsidP="00CE2F7A">
            <w:pPr>
              <w:spacing w:line="240" w:lineRule="auto"/>
              <w:ind w:firstLine="0"/>
            </w:pPr>
            <w:r w:rsidRPr="004D46AC">
              <w:rPr>
                <w:b/>
                <w:bCs/>
              </w:rPr>
              <w:t>N7</w:t>
            </w:r>
            <w:r w:rsidRPr="004D46AC">
              <w:t xml:space="preserve"> Stereotyped thinking</w:t>
            </w:r>
          </w:p>
        </w:tc>
        <w:tc>
          <w:tcPr>
            <w:tcW w:w="804" w:type="dxa"/>
          </w:tcPr>
          <w:p w14:paraId="2BE426F1" w14:textId="77777777" w:rsidR="007075D9" w:rsidRPr="004D46AC" w:rsidRDefault="007075D9" w:rsidP="00CE2F7A">
            <w:pPr>
              <w:spacing w:line="240" w:lineRule="auto"/>
              <w:ind w:firstLine="0"/>
            </w:pPr>
            <w:r w:rsidRPr="004D46AC">
              <w:t>1.40 (0.82)</w:t>
            </w:r>
          </w:p>
        </w:tc>
        <w:tc>
          <w:tcPr>
            <w:tcW w:w="891" w:type="dxa"/>
          </w:tcPr>
          <w:p w14:paraId="6AB6AC96" w14:textId="77777777" w:rsidR="007075D9" w:rsidRPr="004D46AC" w:rsidRDefault="007075D9" w:rsidP="00CE2F7A">
            <w:pPr>
              <w:spacing w:line="240" w:lineRule="auto"/>
              <w:ind w:firstLine="0"/>
            </w:pPr>
            <w:r w:rsidRPr="004D46AC">
              <w:t>1.69 (1.04)</w:t>
            </w:r>
          </w:p>
        </w:tc>
        <w:tc>
          <w:tcPr>
            <w:tcW w:w="892" w:type="dxa"/>
          </w:tcPr>
          <w:p w14:paraId="7D07E9CE" w14:textId="77777777" w:rsidR="007075D9" w:rsidRPr="004D46AC" w:rsidRDefault="007075D9" w:rsidP="00CE2F7A">
            <w:pPr>
              <w:spacing w:line="240" w:lineRule="auto"/>
              <w:ind w:firstLine="0"/>
            </w:pPr>
            <w:r w:rsidRPr="004D46AC">
              <w:t>1.81 (1.08)</w:t>
            </w:r>
          </w:p>
        </w:tc>
        <w:tc>
          <w:tcPr>
            <w:tcW w:w="974" w:type="dxa"/>
          </w:tcPr>
          <w:p w14:paraId="33A17295" w14:textId="77777777" w:rsidR="007075D9" w:rsidRPr="004D46AC" w:rsidRDefault="007075D9" w:rsidP="00CE2F7A">
            <w:pPr>
              <w:spacing w:line="240" w:lineRule="auto"/>
              <w:ind w:firstLine="0"/>
            </w:pPr>
            <w:r w:rsidRPr="004D46AC">
              <w:t>62.60***</w:t>
            </w:r>
          </w:p>
        </w:tc>
        <w:tc>
          <w:tcPr>
            <w:tcW w:w="3502" w:type="dxa"/>
          </w:tcPr>
          <w:p w14:paraId="53B58396" w14:textId="77777777" w:rsidR="007075D9" w:rsidRPr="004D46AC" w:rsidRDefault="007075D9" w:rsidP="00CE2F7A">
            <w:pPr>
              <w:spacing w:line="240" w:lineRule="auto"/>
              <w:ind w:firstLine="0"/>
            </w:pPr>
            <w:r w:rsidRPr="004D46AC">
              <w:t>SCZ&gt;SCA*</w:t>
            </w:r>
            <w:r w:rsidRPr="004D46AC">
              <w:rPr>
                <w:rFonts w:eastAsia="DengXian"/>
                <w:vertAlign w:val="superscript"/>
              </w:rPr>
              <w:t>†</w:t>
            </w:r>
            <w:r w:rsidRPr="004D46AC">
              <w:t>; SCZ&gt;PBD***</w:t>
            </w:r>
            <w:r w:rsidRPr="004D46AC">
              <w:rPr>
                <w:rFonts w:eastAsia="DengXian"/>
                <w:vertAlign w:val="superscript"/>
              </w:rPr>
              <w:t>†</w:t>
            </w:r>
            <w:r w:rsidRPr="004D46AC">
              <w:t>; SCA&gt;PBD***</w:t>
            </w:r>
            <w:r w:rsidRPr="004D46AC">
              <w:rPr>
                <w:rFonts w:eastAsia="DengXian"/>
                <w:vertAlign w:val="superscript"/>
              </w:rPr>
              <w:t>†</w:t>
            </w:r>
            <w:r w:rsidRPr="004D46AC">
              <w:t>.</w:t>
            </w:r>
          </w:p>
        </w:tc>
      </w:tr>
      <w:tr w:rsidR="007075D9" w:rsidRPr="004D46AC" w14:paraId="0E687109" w14:textId="77777777" w:rsidTr="00B518F1">
        <w:trPr>
          <w:trHeight w:val="241"/>
        </w:trPr>
        <w:tc>
          <w:tcPr>
            <w:tcW w:w="1941" w:type="dxa"/>
          </w:tcPr>
          <w:p w14:paraId="2FD27455" w14:textId="77777777" w:rsidR="007075D9" w:rsidRPr="004D46AC" w:rsidRDefault="007075D9" w:rsidP="00CE2F7A">
            <w:pPr>
              <w:spacing w:line="240" w:lineRule="auto"/>
              <w:ind w:firstLine="0"/>
            </w:pPr>
            <w:r w:rsidRPr="004D46AC">
              <w:rPr>
                <w:b/>
                <w:bCs/>
              </w:rPr>
              <w:t>ME</w:t>
            </w:r>
            <w:r w:rsidRPr="004D46AC">
              <w:t xml:space="preserve"> Mood/energy elevation</w:t>
            </w:r>
          </w:p>
        </w:tc>
        <w:tc>
          <w:tcPr>
            <w:tcW w:w="804" w:type="dxa"/>
          </w:tcPr>
          <w:p w14:paraId="37C5BC5E" w14:textId="77777777" w:rsidR="007075D9" w:rsidRPr="004D46AC" w:rsidRDefault="007075D9" w:rsidP="00CE2F7A">
            <w:pPr>
              <w:spacing w:line="240" w:lineRule="auto"/>
              <w:ind w:firstLine="0"/>
            </w:pPr>
            <w:r w:rsidRPr="004D46AC">
              <w:t>1.11 (1.70)</w:t>
            </w:r>
          </w:p>
        </w:tc>
        <w:tc>
          <w:tcPr>
            <w:tcW w:w="891" w:type="dxa"/>
          </w:tcPr>
          <w:p w14:paraId="37D833AC" w14:textId="77777777" w:rsidR="007075D9" w:rsidRPr="004D46AC" w:rsidRDefault="007075D9" w:rsidP="00CE2F7A">
            <w:pPr>
              <w:spacing w:line="240" w:lineRule="auto"/>
              <w:ind w:firstLine="0"/>
            </w:pPr>
            <w:r w:rsidRPr="004D46AC">
              <w:t>0.86 (1.35)</w:t>
            </w:r>
          </w:p>
        </w:tc>
        <w:tc>
          <w:tcPr>
            <w:tcW w:w="892" w:type="dxa"/>
          </w:tcPr>
          <w:p w14:paraId="7C4318EF" w14:textId="77777777" w:rsidR="007075D9" w:rsidRPr="004D46AC" w:rsidRDefault="007075D9" w:rsidP="00CE2F7A">
            <w:pPr>
              <w:spacing w:line="240" w:lineRule="auto"/>
              <w:ind w:firstLine="0"/>
            </w:pPr>
            <w:r w:rsidRPr="004D46AC">
              <w:t>0.49 (.97)</w:t>
            </w:r>
          </w:p>
        </w:tc>
        <w:tc>
          <w:tcPr>
            <w:tcW w:w="974" w:type="dxa"/>
          </w:tcPr>
          <w:p w14:paraId="352085A8" w14:textId="77777777" w:rsidR="007075D9" w:rsidRPr="004D46AC" w:rsidRDefault="007075D9" w:rsidP="00CE2F7A">
            <w:pPr>
              <w:spacing w:line="240" w:lineRule="auto"/>
              <w:ind w:firstLine="0"/>
            </w:pPr>
            <w:r w:rsidRPr="004D46AC">
              <w:t>46.81***</w:t>
            </w:r>
          </w:p>
        </w:tc>
        <w:tc>
          <w:tcPr>
            <w:tcW w:w="3502" w:type="dxa"/>
          </w:tcPr>
          <w:p w14:paraId="3BB4492F"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0B041F2C" w14:textId="77777777" w:rsidTr="00B518F1">
        <w:trPr>
          <w:trHeight w:val="241"/>
        </w:trPr>
        <w:tc>
          <w:tcPr>
            <w:tcW w:w="1941" w:type="dxa"/>
          </w:tcPr>
          <w:p w14:paraId="57C51B64" w14:textId="77777777" w:rsidR="007075D9" w:rsidRPr="004D46AC" w:rsidRDefault="007075D9" w:rsidP="00CE2F7A">
            <w:pPr>
              <w:spacing w:line="240" w:lineRule="auto"/>
              <w:ind w:firstLine="0"/>
            </w:pPr>
            <w:r w:rsidRPr="004D46AC">
              <w:rPr>
                <w:b/>
                <w:bCs/>
              </w:rPr>
              <w:t>Y3</w:t>
            </w:r>
            <w:r w:rsidRPr="004D46AC">
              <w:t xml:space="preserve"> Sexual interest</w:t>
            </w:r>
          </w:p>
        </w:tc>
        <w:tc>
          <w:tcPr>
            <w:tcW w:w="804" w:type="dxa"/>
          </w:tcPr>
          <w:p w14:paraId="3FB8C337" w14:textId="77777777" w:rsidR="007075D9" w:rsidRPr="004D46AC" w:rsidRDefault="007075D9" w:rsidP="00CE2F7A">
            <w:pPr>
              <w:spacing w:line="240" w:lineRule="auto"/>
              <w:ind w:firstLine="0"/>
            </w:pPr>
            <w:r w:rsidRPr="004D46AC">
              <w:t>0.25 (0.65)</w:t>
            </w:r>
          </w:p>
        </w:tc>
        <w:tc>
          <w:tcPr>
            <w:tcW w:w="891" w:type="dxa"/>
          </w:tcPr>
          <w:p w14:paraId="2E25E06F" w14:textId="77777777" w:rsidR="007075D9" w:rsidRPr="004D46AC" w:rsidRDefault="007075D9" w:rsidP="00CE2F7A">
            <w:pPr>
              <w:spacing w:line="240" w:lineRule="auto"/>
              <w:ind w:firstLine="0"/>
            </w:pPr>
            <w:r w:rsidRPr="004D46AC">
              <w:t>0.24 (0.62)</w:t>
            </w:r>
          </w:p>
        </w:tc>
        <w:tc>
          <w:tcPr>
            <w:tcW w:w="892" w:type="dxa"/>
          </w:tcPr>
          <w:p w14:paraId="7E1FD8CA" w14:textId="77777777" w:rsidR="007075D9" w:rsidRPr="004D46AC" w:rsidRDefault="007075D9" w:rsidP="00CE2F7A">
            <w:pPr>
              <w:spacing w:line="240" w:lineRule="auto"/>
              <w:ind w:firstLine="0"/>
            </w:pPr>
            <w:r w:rsidRPr="004D46AC">
              <w:t>0.16 (0.51)</w:t>
            </w:r>
          </w:p>
        </w:tc>
        <w:tc>
          <w:tcPr>
            <w:tcW w:w="974" w:type="dxa"/>
          </w:tcPr>
          <w:p w14:paraId="26CCAEC0" w14:textId="77777777" w:rsidR="007075D9" w:rsidRPr="004D46AC" w:rsidRDefault="007075D9" w:rsidP="00CE2F7A">
            <w:pPr>
              <w:spacing w:line="240" w:lineRule="auto"/>
              <w:ind w:firstLine="0"/>
            </w:pPr>
            <w:r w:rsidRPr="004D46AC">
              <w:t>7.46*</w:t>
            </w:r>
          </w:p>
        </w:tc>
        <w:tc>
          <w:tcPr>
            <w:tcW w:w="3502" w:type="dxa"/>
          </w:tcPr>
          <w:p w14:paraId="1558CED9"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48F99688" w14:textId="77777777" w:rsidTr="00B518F1">
        <w:trPr>
          <w:trHeight w:val="249"/>
        </w:trPr>
        <w:tc>
          <w:tcPr>
            <w:tcW w:w="1941" w:type="dxa"/>
          </w:tcPr>
          <w:p w14:paraId="382C8146" w14:textId="77777777" w:rsidR="007075D9" w:rsidRPr="004D46AC" w:rsidRDefault="007075D9" w:rsidP="00CE2F7A">
            <w:pPr>
              <w:spacing w:line="240" w:lineRule="auto"/>
              <w:ind w:firstLine="0"/>
            </w:pPr>
            <w:r w:rsidRPr="004D46AC">
              <w:rPr>
                <w:b/>
                <w:bCs/>
              </w:rPr>
              <w:t>IA</w:t>
            </w:r>
            <w:r w:rsidRPr="004D46AC">
              <w:t xml:space="preserve"> Irritability/ aggressive-disruptive behaviour</w:t>
            </w:r>
          </w:p>
        </w:tc>
        <w:tc>
          <w:tcPr>
            <w:tcW w:w="804" w:type="dxa"/>
          </w:tcPr>
          <w:p w14:paraId="1E682D4E" w14:textId="77777777" w:rsidR="007075D9" w:rsidRPr="004D46AC" w:rsidRDefault="007075D9" w:rsidP="00CE2F7A">
            <w:pPr>
              <w:spacing w:line="240" w:lineRule="auto"/>
              <w:ind w:firstLine="0"/>
            </w:pPr>
            <w:r w:rsidRPr="004D46AC">
              <w:t>1.95 (2.44)</w:t>
            </w:r>
          </w:p>
        </w:tc>
        <w:tc>
          <w:tcPr>
            <w:tcW w:w="891" w:type="dxa"/>
          </w:tcPr>
          <w:p w14:paraId="1D9EB8C5" w14:textId="77777777" w:rsidR="007075D9" w:rsidRPr="004D46AC" w:rsidRDefault="007075D9" w:rsidP="00CE2F7A">
            <w:pPr>
              <w:spacing w:line="240" w:lineRule="auto"/>
              <w:ind w:firstLine="0"/>
            </w:pPr>
            <w:r w:rsidRPr="004D46AC">
              <w:t>2.10 (2.50)</w:t>
            </w:r>
          </w:p>
        </w:tc>
        <w:tc>
          <w:tcPr>
            <w:tcW w:w="892" w:type="dxa"/>
          </w:tcPr>
          <w:p w14:paraId="6D231037" w14:textId="77777777" w:rsidR="007075D9" w:rsidRPr="004D46AC" w:rsidRDefault="007075D9" w:rsidP="00CE2F7A">
            <w:pPr>
              <w:spacing w:line="240" w:lineRule="auto"/>
              <w:ind w:firstLine="0"/>
            </w:pPr>
            <w:r w:rsidRPr="004D46AC">
              <w:t>1.26 (2.00)</w:t>
            </w:r>
          </w:p>
        </w:tc>
        <w:tc>
          <w:tcPr>
            <w:tcW w:w="974" w:type="dxa"/>
          </w:tcPr>
          <w:p w14:paraId="75320616" w14:textId="77777777" w:rsidR="007075D9" w:rsidRPr="004D46AC" w:rsidRDefault="007075D9" w:rsidP="00CE2F7A">
            <w:pPr>
              <w:spacing w:line="240" w:lineRule="auto"/>
              <w:ind w:firstLine="0"/>
            </w:pPr>
            <w:r w:rsidRPr="004D46AC">
              <w:t>50.62***</w:t>
            </w:r>
          </w:p>
        </w:tc>
        <w:tc>
          <w:tcPr>
            <w:tcW w:w="3502" w:type="dxa"/>
          </w:tcPr>
          <w:p w14:paraId="1B2080CA"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18F838BF" w14:textId="77777777" w:rsidTr="00B518F1">
        <w:trPr>
          <w:trHeight w:val="241"/>
        </w:trPr>
        <w:tc>
          <w:tcPr>
            <w:tcW w:w="1941" w:type="dxa"/>
          </w:tcPr>
          <w:p w14:paraId="2A10AE62" w14:textId="77777777" w:rsidR="007075D9" w:rsidRPr="004D46AC" w:rsidRDefault="007075D9" w:rsidP="00CE2F7A">
            <w:pPr>
              <w:spacing w:line="240" w:lineRule="auto"/>
              <w:ind w:firstLine="0"/>
            </w:pPr>
            <w:r w:rsidRPr="004D46AC">
              <w:rPr>
                <w:b/>
                <w:bCs/>
              </w:rPr>
              <w:t xml:space="preserve">Y6 </w:t>
            </w:r>
            <w:r w:rsidRPr="004D46AC">
              <w:t>Speed and amount of speech</w:t>
            </w:r>
          </w:p>
        </w:tc>
        <w:tc>
          <w:tcPr>
            <w:tcW w:w="804" w:type="dxa"/>
          </w:tcPr>
          <w:p w14:paraId="5CFEAA4F" w14:textId="77777777" w:rsidR="007075D9" w:rsidRPr="004D46AC" w:rsidRDefault="007075D9" w:rsidP="00CE2F7A">
            <w:pPr>
              <w:spacing w:line="240" w:lineRule="auto"/>
              <w:ind w:firstLine="0"/>
            </w:pPr>
            <w:r w:rsidRPr="004D46AC">
              <w:t>0.89 (1.64)</w:t>
            </w:r>
          </w:p>
        </w:tc>
        <w:tc>
          <w:tcPr>
            <w:tcW w:w="891" w:type="dxa"/>
          </w:tcPr>
          <w:p w14:paraId="30D88832" w14:textId="77777777" w:rsidR="007075D9" w:rsidRPr="004D46AC" w:rsidRDefault="007075D9" w:rsidP="00CE2F7A">
            <w:pPr>
              <w:spacing w:line="240" w:lineRule="auto"/>
              <w:ind w:firstLine="0"/>
            </w:pPr>
            <w:r w:rsidRPr="004D46AC">
              <w:t>0.70 (1.36)</w:t>
            </w:r>
          </w:p>
        </w:tc>
        <w:tc>
          <w:tcPr>
            <w:tcW w:w="892" w:type="dxa"/>
          </w:tcPr>
          <w:p w14:paraId="7DEDA46D" w14:textId="77777777" w:rsidR="007075D9" w:rsidRPr="004D46AC" w:rsidRDefault="007075D9" w:rsidP="00CE2F7A">
            <w:pPr>
              <w:spacing w:line="240" w:lineRule="auto"/>
              <w:ind w:firstLine="0"/>
            </w:pPr>
            <w:r w:rsidRPr="004D46AC">
              <w:t>0.46 (1.09)</w:t>
            </w:r>
          </w:p>
        </w:tc>
        <w:tc>
          <w:tcPr>
            <w:tcW w:w="974" w:type="dxa"/>
          </w:tcPr>
          <w:p w14:paraId="20C9E7A1" w14:textId="77777777" w:rsidR="007075D9" w:rsidRPr="004D46AC" w:rsidRDefault="007075D9" w:rsidP="00CE2F7A">
            <w:pPr>
              <w:spacing w:line="240" w:lineRule="auto"/>
              <w:ind w:firstLine="0"/>
            </w:pPr>
            <w:r w:rsidRPr="004D46AC">
              <w:t>21.17***</w:t>
            </w:r>
          </w:p>
        </w:tc>
        <w:tc>
          <w:tcPr>
            <w:tcW w:w="3502" w:type="dxa"/>
          </w:tcPr>
          <w:p w14:paraId="7CC7D30B"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351357E4" w14:textId="77777777" w:rsidTr="00B518F1">
        <w:trPr>
          <w:trHeight w:val="241"/>
        </w:trPr>
        <w:tc>
          <w:tcPr>
            <w:tcW w:w="1941" w:type="dxa"/>
          </w:tcPr>
          <w:p w14:paraId="05A5B2A9" w14:textId="77777777" w:rsidR="007075D9" w:rsidRPr="004D46AC" w:rsidRDefault="007075D9" w:rsidP="00CE2F7A">
            <w:pPr>
              <w:spacing w:line="240" w:lineRule="auto"/>
              <w:ind w:firstLine="0"/>
            </w:pPr>
            <w:r w:rsidRPr="004D46AC">
              <w:rPr>
                <w:b/>
                <w:bCs/>
              </w:rPr>
              <w:t>Y7</w:t>
            </w:r>
            <w:r w:rsidRPr="004D46AC">
              <w:t xml:space="preserve"> Language thought disorder</w:t>
            </w:r>
          </w:p>
        </w:tc>
        <w:tc>
          <w:tcPr>
            <w:tcW w:w="804" w:type="dxa"/>
          </w:tcPr>
          <w:p w14:paraId="40C3A482" w14:textId="77777777" w:rsidR="007075D9" w:rsidRPr="004D46AC" w:rsidRDefault="007075D9" w:rsidP="00CE2F7A">
            <w:pPr>
              <w:spacing w:line="240" w:lineRule="auto"/>
              <w:ind w:firstLine="0"/>
            </w:pPr>
            <w:r w:rsidRPr="004D46AC">
              <w:t>0.55 (0.85)</w:t>
            </w:r>
          </w:p>
        </w:tc>
        <w:tc>
          <w:tcPr>
            <w:tcW w:w="891" w:type="dxa"/>
          </w:tcPr>
          <w:p w14:paraId="2C8AE206" w14:textId="77777777" w:rsidR="007075D9" w:rsidRPr="004D46AC" w:rsidRDefault="007075D9" w:rsidP="00CE2F7A">
            <w:pPr>
              <w:spacing w:line="240" w:lineRule="auto"/>
              <w:ind w:firstLine="0"/>
            </w:pPr>
            <w:r w:rsidRPr="004D46AC">
              <w:t>0.75 (0.91)</w:t>
            </w:r>
          </w:p>
        </w:tc>
        <w:tc>
          <w:tcPr>
            <w:tcW w:w="892" w:type="dxa"/>
          </w:tcPr>
          <w:p w14:paraId="670DCF01" w14:textId="77777777" w:rsidR="007075D9" w:rsidRPr="004D46AC" w:rsidRDefault="007075D9" w:rsidP="00CE2F7A">
            <w:pPr>
              <w:spacing w:line="240" w:lineRule="auto"/>
              <w:ind w:firstLine="0"/>
            </w:pPr>
            <w:r w:rsidRPr="004D46AC">
              <w:t>0.50 (0.81)</w:t>
            </w:r>
          </w:p>
        </w:tc>
        <w:tc>
          <w:tcPr>
            <w:tcW w:w="974" w:type="dxa"/>
          </w:tcPr>
          <w:p w14:paraId="17CB3680" w14:textId="77777777" w:rsidR="007075D9" w:rsidRPr="004D46AC" w:rsidRDefault="007075D9" w:rsidP="00CE2F7A">
            <w:pPr>
              <w:spacing w:line="240" w:lineRule="auto"/>
              <w:ind w:firstLine="0"/>
            </w:pPr>
            <w:r w:rsidRPr="004D46AC">
              <w:t>29.35***</w:t>
            </w:r>
          </w:p>
        </w:tc>
        <w:tc>
          <w:tcPr>
            <w:tcW w:w="3502" w:type="dxa"/>
          </w:tcPr>
          <w:p w14:paraId="69F69DDF"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SCA&gt;SCZ***</w:t>
            </w:r>
            <w:r w:rsidRPr="004D46AC">
              <w:rPr>
                <w:rFonts w:eastAsia="DengXian"/>
                <w:vertAlign w:val="superscript"/>
              </w:rPr>
              <w:t>†</w:t>
            </w:r>
            <w:r w:rsidRPr="004D46AC">
              <w:t>.</w:t>
            </w:r>
          </w:p>
        </w:tc>
      </w:tr>
      <w:tr w:rsidR="007075D9" w:rsidRPr="004D46AC" w14:paraId="4AC059FC" w14:textId="77777777" w:rsidTr="00B518F1">
        <w:trPr>
          <w:trHeight w:val="249"/>
        </w:trPr>
        <w:tc>
          <w:tcPr>
            <w:tcW w:w="1941" w:type="dxa"/>
          </w:tcPr>
          <w:p w14:paraId="421FA48A" w14:textId="77777777" w:rsidR="007075D9" w:rsidRPr="004D46AC" w:rsidRDefault="007075D9" w:rsidP="00CE2F7A">
            <w:pPr>
              <w:spacing w:line="240" w:lineRule="auto"/>
              <w:ind w:firstLine="0"/>
            </w:pPr>
            <w:r w:rsidRPr="004D46AC">
              <w:rPr>
                <w:b/>
                <w:bCs/>
              </w:rPr>
              <w:t>Y10</w:t>
            </w:r>
            <w:r w:rsidRPr="004D46AC">
              <w:t xml:space="preserve"> Appearance</w:t>
            </w:r>
          </w:p>
        </w:tc>
        <w:tc>
          <w:tcPr>
            <w:tcW w:w="804" w:type="dxa"/>
          </w:tcPr>
          <w:p w14:paraId="52F80C63" w14:textId="77777777" w:rsidR="007075D9" w:rsidRPr="004D46AC" w:rsidRDefault="007075D9" w:rsidP="00CE2F7A">
            <w:pPr>
              <w:spacing w:line="240" w:lineRule="auto"/>
              <w:ind w:firstLine="0"/>
            </w:pPr>
            <w:r w:rsidRPr="004D46AC">
              <w:t>0.30 (0.63)</w:t>
            </w:r>
          </w:p>
        </w:tc>
        <w:tc>
          <w:tcPr>
            <w:tcW w:w="891" w:type="dxa"/>
          </w:tcPr>
          <w:p w14:paraId="11000C08" w14:textId="77777777" w:rsidR="007075D9" w:rsidRPr="004D46AC" w:rsidRDefault="007075D9" w:rsidP="00CE2F7A">
            <w:pPr>
              <w:spacing w:line="240" w:lineRule="auto"/>
              <w:ind w:firstLine="0"/>
            </w:pPr>
            <w:r w:rsidRPr="004D46AC">
              <w:t>0.35 (0.70)</w:t>
            </w:r>
          </w:p>
        </w:tc>
        <w:tc>
          <w:tcPr>
            <w:tcW w:w="892" w:type="dxa"/>
          </w:tcPr>
          <w:p w14:paraId="49DA4F1F" w14:textId="77777777" w:rsidR="007075D9" w:rsidRPr="004D46AC" w:rsidRDefault="007075D9" w:rsidP="00CE2F7A">
            <w:pPr>
              <w:spacing w:line="240" w:lineRule="auto"/>
              <w:ind w:firstLine="0"/>
            </w:pPr>
            <w:r w:rsidRPr="004D46AC">
              <w:t>0.38 (0.71)</w:t>
            </w:r>
          </w:p>
        </w:tc>
        <w:tc>
          <w:tcPr>
            <w:tcW w:w="974" w:type="dxa"/>
          </w:tcPr>
          <w:p w14:paraId="571A2549" w14:textId="77777777" w:rsidR="007075D9" w:rsidRPr="004D46AC" w:rsidRDefault="007075D9" w:rsidP="00CE2F7A">
            <w:pPr>
              <w:spacing w:line="240" w:lineRule="auto"/>
              <w:ind w:firstLine="0"/>
            </w:pPr>
            <w:r w:rsidRPr="004D46AC">
              <w:t>3.95</w:t>
            </w:r>
          </w:p>
        </w:tc>
        <w:tc>
          <w:tcPr>
            <w:tcW w:w="3502" w:type="dxa"/>
          </w:tcPr>
          <w:p w14:paraId="2115573C" w14:textId="77777777" w:rsidR="007075D9" w:rsidRPr="004D46AC" w:rsidRDefault="007075D9" w:rsidP="00CE2F7A">
            <w:pPr>
              <w:spacing w:line="240" w:lineRule="auto"/>
              <w:ind w:firstLine="0"/>
            </w:pPr>
            <w:r w:rsidRPr="004D46AC">
              <w:t>-</w:t>
            </w:r>
          </w:p>
        </w:tc>
      </w:tr>
      <w:tr w:rsidR="007075D9" w:rsidRPr="004D46AC" w14:paraId="547785F2" w14:textId="77777777" w:rsidTr="00B518F1">
        <w:trPr>
          <w:trHeight w:val="241"/>
        </w:trPr>
        <w:tc>
          <w:tcPr>
            <w:tcW w:w="1941" w:type="dxa"/>
          </w:tcPr>
          <w:p w14:paraId="5048F36F" w14:textId="77777777" w:rsidR="007075D9" w:rsidRPr="004D46AC" w:rsidRDefault="007075D9" w:rsidP="00CE2F7A">
            <w:pPr>
              <w:spacing w:line="240" w:lineRule="auto"/>
              <w:ind w:firstLine="0"/>
            </w:pPr>
            <w:r w:rsidRPr="004D46AC">
              <w:rPr>
                <w:b/>
                <w:bCs/>
              </w:rPr>
              <w:t>Y11</w:t>
            </w:r>
            <w:r w:rsidRPr="004D46AC">
              <w:t xml:space="preserve"> Insight</w:t>
            </w:r>
          </w:p>
        </w:tc>
        <w:tc>
          <w:tcPr>
            <w:tcW w:w="804" w:type="dxa"/>
          </w:tcPr>
          <w:p w14:paraId="19AFCFD4" w14:textId="77777777" w:rsidR="007075D9" w:rsidRPr="004D46AC" w:rsidRDefault="007075D9" w:rsidP="00CE2F7A">
            <w:pPr>
              <w:spacing w:line="240" w:lineRule="auto"/>
              <w:ind w:firstLine="0"/>
            </w:pPr>
            <w:r w:rsidRPr="004D46AC">
              <w:t>0.24 (0.61)</w:t>
            </w:r>
          </w:p>
        </w:tc>
        <w:tc>
          <w:tcPr>
            <w:tcW w:w="891" w:type="dxa"/>
          </w:tcPr>
          <w:p w14:paraId="08C4BE14" w14:textId="77777777" w:rsidR="007075D9" w:rsidRPr="004D46AC" w:rsidRDefault="007075D9" w:rsidP="00CE2F7A">
            <w:pPr>
              <w:spacing w:line="240" w:lineRule="auto"/>
              <w:ind w:firstLine="0"/>
            </w:pPr>
            <w:r w:rsidRPr="004D46AC">
              <w:t>0.52 (0.85)</w:t>
            </w:r>
          </w:p>
        </w:tc>
        <w:tc>
          <w:tcPr>
            <w:tcW w:w="892" w:type="dxa"/>
          </w:tcPr>
          <w:p w14:paraId="7EBCB25E" w14:textId="77777777" w:rsidR="007075D9" w:rsidRPr="004D46AC" w:rsidRDefault="007075D9" w:rsidP="00CE2F7A">
            <w:pPr>
              <w:spacing w:line="240" w:lineRule="auto"/>
              <w:ind w:firstLine="0"/>
            </w:pPr>
            <w:r w:rsidRPr="004D46AC">
              <w:t>0.76 (1.15)</w:t>
            </w:r>
          </w:p>
        </w:tc>
        <w:tc>
          <w:tcPr>
            <w:tcW w:w="974" w:type="dxa"/>
          </w:tcPr>
          <w:p w14:paraId="2813CDB1" w14:textId="77777777" w:rsidR="007075D9" w:rsidRPr="004D46AC" w:rsidRDefault="007075D9" w:rsidP="00CE2F7A">
            <w:pPr>
              <w:spacing w:line="240" w:lineRule="auto"/>
              <w:ind w:firstLine="0"/>
            </w:pPr>
            <w:r w:rsidRPr="004D46AC">
              <w:t>90.73***</w:t>
            </w:r>
          </w:p>
        </w:tc>
        <w:tc>
          <w:tcPr>
            <w:tcW w:w="3502" w:type="dxa"/>
          </w:tcPr>
          <w:p w14:paraId="1AC6B76D" w14:textId="77777777" w:rsidR="007075D9" w:rsidRPr="004D46AC" w:rsidRDefault="007075D9" w:rsidP="00CE2F7A">
            <w:pPr>
              <w:spacing w:line="240" w:lineRule="auto"/>
              <w:ind w:firstLine="0"/>
            </w:pPr>
            <w:r w:rsidRPr="004D46AC">
              <w:t>SCZ &gt;SCA***</w:t>
            </w:r>
            <w:r w:rsidRPr="004D46AC">
              <w:rPr>
                <w:rFonts w:eastAsia="DengXian"/>
                <w:vertAlign w:val="superscript"/>
              </w:rPr>
              <w:t>†</w:t>
            </w:r>
            <w:r w:rsidRPr="004D46AC">
              <w:t>; SCZ&gt;PBD***</w:t>
            </w:r>
            <w:r w:rsidRPr="004D46AC">
              <w:rPr>
                <w:rFonts w:eastAsia="DengXian"/>
                <w:vertAlign w:val="superscript"/>
              </w:rPr>
              <w:t>†</w:t>
            </w:r>
            <w:r w:rsidRPr="004D46AC">
              <w:t>; SCA&gt;PBD***</w:t>
            </w:r>
            <w:r w:rsidRPr="004D46AC">
              <w:rPr>
                <w:rFonts w:eastAsia="DengXian"/>
                <w:vertAlign w:val="superscript"/>
              </w:rPr>
              <w:t>†</w:t>
            </w:r>
            <w:r w:rsidRPr="004D46AC">
              <w:t>.</w:t>
            </w:r>
          </w:p>
        </w:tc>
      </w:tr>
      <w:tr w:rsidR="007075D9" w:rsidRPr="004D46AC" w14:paraId="1287C332" w14:textId="77777777" w:rsidTr="00B518F1">
        <w:trPr>
          <w:trHeight w:val="241"/>
        </w:trPr>
        <w:tc>
          <w:tcPr>
            <w:tcW w:w="1941" w:type="dxa"/>
          </w:tcPr>
          <w:p w14:paraId="085A7B58" w14:textId="77777777" w:rsidR="007075D9" w:rsidRPr="004D46AC" w:rsidRDefault="007075D9" w:rsidP="00CE2F7A">
            <w:pPr>
              <w:spacing w:line="240" w:lineRule="auto"/>
              <w:ind w:firstLine="0"/>
            </w:pPr>
            <w:r w:rsidRPr="004D46AC">
              <w:rPr>
                <w:b/>
                <w:bCs/>
              </w:rPr>
              <w:t>M2</w:t>
            </w:r>
            <w:r w:rsidRPr="004D46AC">
              <w:t xml:space="preserve"> Reported sadness</w:t>
            </w:r>
          </w:p>
        </w:tc>
        <w:tc>
          <w:tcPr>
            <w:tcW w:w="804" w:type="dxa"/>
          </w:tcPr>
          <w:p w14:paraId="123A9E10" w14:textId="77777777" w:rsidR="007075D9" w:rsidRPr="004D46AC" w:rsidRDefault="007075D9" w:rsidP="00CE2F7A">
            <w:pPr>
              <w:spacing w:line="240" w:lineRule="auto"/>
              <w:ind w:firstLine="0"/>
            </w:pPr>
            <w:r w:rsidRPr="004D46AC">
              <w:t>1.32 (1.49)</w:t>
            </w:r>
          </w:p>
        </w:tc>
        <w:tc>
          <w:tcPr>
            <w:tcW w:w="891" w:type="dxa"/>
          </w:tcPr>
          <w:p w14:paraId="6DCE7D0A" w14:textId="77777777" w:rsidR="007075D9" w:rsidRPr="004D46AC" w:rsidRDefault="007075D9" w:rsidP="00CE2F7A">
            <w:pPr>
              <w:spacing w:line="240" w:lineRule="auto"/>
              <w:ind w:firstLine="0"/>
            </w:pPr>
            <w:r w:rsidRPr="004D46AC">
              <w:t>1.54 (1.55)</w:t>
            </w:r>
          </w:p>
        </w:tc>
        <w:tc>
          <w:tcPr>
            <w:tcW w:w="892" w:type="dxa"/>
          </w:tcPr>
          <w:p w14:paraId="259FCF70" w14:textId="77777777" w:rsidR="007075D9" w:rsidRPr="004D46AC" w:rsidRDefault="007075D9" w:rsidP="00CE2F7A">
            <w:pPr>
              <w:spacing w:line="240" w:lineRule="auto"/>
              <w:ind w:firstLine="0"/>
            </w:pPr>
            <w:r w:rsidRPr="004D46AC">
              <w:t>0.91 (1.29)</w:t>
            </w:r>
          </w:p>
        </w:tc>
        <w:tc>
          <w:tcPr>
            <w:tcW w:w="974" w:type="dxa"/>
          </w:tcPr>
          <w:p w14:paraId="7EE5B741" w14:textId="77777777" w:rsidR="007075D9" w:rsidRPr="004D46AC" w:rsidRDefault="007075D9" w:rsidP="00CE2F7A">
            <w:pPr>
              <w:spacing w:line="240" w:lineRule="auto"/>
              <w:ind w:firstLine="0"/>
            </w:pPr>
            <w:r w:rsidRPr="004D46AC">
              <w:t>60.01***</w:t>
            </w:r>
          </w:p>
        </w:tc>
        <w:tc>
          <w:tcPr>
            <w:tcW w:w="3502" w:type="dxa"/>
          </w:tcPr>
          <w:p w14:paraId="4DB421F6"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020E40BF" w14:textId="77777777" w:rsidTr="00B518F1">
        <w:trPr>
          <w:trHeight w:val="241"/>
        </w:trPr>
        <w:tc>
          <w:tcPr>
            <w:tcW w:w="1941" w:type="dxa"/>
          </w:tcPr>
          <w:p w14:paraId="7D580D0F" w14:textId="77777777" w:rsidR="007075D9" w:rsidRPr="004D46AC" w:rsidRDefault="007075D9" w:rsidP="00CE2F7A">
            <w:pPr>
              <w:spacing w:line="240" w:lineRule="auto"/>
              <w:ind w:firstLine="0"/>
            </w:pPr>
            <w:r w:rsidRPr="004D46AC">
              <w:rPr>
                <w:b/>
                <w:bCs/>
              </w:rPr>
              <w:t>M3</w:t>
            </w:r>
            <w:r w:rsidRPr="004D46AC">
              <w:t xml:space="preserve"> Inner tension</w:t>
            </w:r>
          </w:p>
        </w:tc>
        <w:tc>
          <w:tcPr>
            <w:tcW w:w="804" w:type="dxa"/>
          </w:tcPr>
          <w:p w14:paraId="35F9E59F" w14:textId="77777777" w:rsidR="007075D9" w:rsidRPr="004D46AC" w:rsidRDefault="007075D9" w:rsidP="00CE2F7A">
            <w:pPr>
              <w:spacing w:line="240" w:lineRule="auto"/>
              <w:ind w:firstLine="0"/>
            </w:pPr>
            <w:r w:rsidRPr="004D46AC">
              <w:t>1.71 (1.50)</w:t>
            </w:r>
          </w:p>
        </w:tc>
        <w:tc>
          <w:tcPr>
            <w:tcW w:w="891" w:type="dxa"/>
          </w:tcPr>
          <w:p w14:paraId="4EEAD143" w14:textId="77777777" w:rsidR="007075D9" w:rsidRPr="004D46AC" w:rsidRDefault="007075D9" w:rsidP="00CE2F7A">
            <w:pPr>
              <w:spacing w:line="240" w:lineRule="auto"/>
              <w:ind w:firstLine="0"/>
            </w:pPr>
            <w:r w:rsidRPr="004D46AC">
              <w:t>1.99 (1.47)</w:t>
            </w:r>
          </w:p>
        </w:tc>
        <w:tc>
          <w:tcPr>
            <w:tcW w:w="892" w:type="dxa"/>
          </w:tcPr>
          <w:p w14:paraId="216AE2A4" w14:textId="77777777" w:rsidR="007075D9" w:rsidRPr="004D46AC" w:rsidRDefault="007075D9" w:rsidP="00CE2F7A">
            <w:pPr>
              <w:spacing w:line="240" w:lineRule="auto"/>
              <w:ind w:firstLine="0"/>
            </w:pPr>
            <w:r w:rsidRPr="004D46AC">
              <w:t>1.25 (1.42)</w:t>
            </w:r>
          </w:p>
        </w:tc>
        <w:tc>
          <w:tcPr>
            <w:tcW w:w="974" w:type="dxa"/>
          </w:tcPr>
          <w:p w14:paraId="1C856541" w14:textId="77777777" w:rsidR="007075D9" w:rsidRPr="004D46AC" w:rsidRDefault="007075D9" w:rsidP="00CE2F7A">
            <w:pPr>
              <w:spacing w:line="240" w:lineRule="auto"/>
              <w:ind w:firstLine="0"/>
            </w:pPr>
            <w:r w:rsidRPr="004D46AC">
              <w:t>79.72***</w:t>
            </w:r>
          </w:p>
        </w:tc>
        <w:tc>
          <w:tcPr>
            <w:tcW w:w="3502" w:type="dxa"/>
          </w:tcPr>
          <w:p w14:paraId="448A2084"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2F3C599F" w14:textId="77777777" w:rsidTr="00B518F1">
        <w:trPr>
          <w:trHeight w:val="249"/>
        </w:trPr>
        <w:tc>
          <w:tcPr>
            <w:tcW w:w="1941" w:type="dxa"/>
          </w:tcPr>
          <w:p w14:paraId="77D69C3A" w14:textId="77777777" w:rsidR="007075D9" w:rsidRPr="004D46AC" w:rsidRDefault="007075D9" w:rsidP="00CE2F7A">
            <w:pPr>
              <w:spacing w:line="240" w:lineRule="auto"/>
              <w:ind w:firstLine="0"/>
            </w:pPr>
            <w:r w:rsidRPr="004D46AC">
              <w:rPr>
                <w:b/>
                <w:bCs/>
              </w:rPr>
              <w:t>M5</w:t>
            </w:r>
            <w:r w:rsidRPr="004D46AC">
              <w:t xml:space="preserve"> Reduced appetite</w:t>
            </w:r>
          </w:p>
        </w:tc>
        <w:tc>
          <w:tcPr>
            <w:tcW w:w="804" w:type="dxa"/>
          </w:tcPr>
          <w:p w14:paraId="7F3449CA" w14:textId="77777777" w:rsidR="007075D9" w:rsidRPr="004D46AC" w:rsidRDefault="007075D9" w:rsidP="00CE2F7A">
            <w:pPr>
              <w:spacing w:line="240" w:lineRule="auto"/>
              <w:ind w:firstLine="0"/>
            </w:pPr>
            <w:r w:rsidRPr="004D46AC">
              <w:t>0.56 (1.21)</w:t>
            </w:r>
          </w:p>
        </w:tc>
        <w:tc>
          <w:tcPr>
            <w:tcW w:w="891" w:type="dxa"/>
          </w:tcPr>
          <w:p w14:paraId="13FFD0BB" w14:textId="77777777" w:rsidR="007075D9" w:rsidRPr="004D46AC" w:rsidRDefault="007075D9" w:rsidP="00CE2F7A">
            <w:pPr>
              <w:spacing w:line="240" w:lineRule="auto"/>
              <w:ind w:firstLine="0"/>
            </w:pPr>
            <w:r w:rsidRPr="004D46AC">
              <w:t>0.69 (1.30)</w:t>
            </w:r>
          </w:p>
        </w:tc>
        <w:tc>
          <w:tcPr>
            <w:tcW w:w="892" w:type="dxa"/>
          </w:tcPr>
          <w:p w14:paraId="57F763A2" w14:textId="77777777" w:rsidR="007075D9" w:rsidRPr="004D46AC" w:rsidRDefault="007075D9" w:rsidP="00CE2F7A">
            <w:pPr>
              <w:spacing w:line="240" w:lineRule="auto"/>
              <w:ind w:firstLine="0"/>
            </w:pPr>
            <w:r w:rsidRPr="004D46AC">
              <w:t>0.34 (0.90)</w:t>
            </w:r>
          </w:p>
        </w:tc>
        <w:tc>
          <w:tcPr>
            <w:tcW w:w="974" w:type="dxa"/>
          </w:tcPr>
          <w:p w14:paraId="48B6258D" w14:textId="77777777" w:rsidR="007075D9" w:rsidRPr="004D46AC" w:rsidRDefault="007075D9" w:rsidP="00CE2F7A">
            <w:pPr>
              <w:spacing w:line="240" w:lineRule="auto"/>
              <w:ind w:firstLine="0"/>
            </w:pPr>
            <w:r w:rsidRPr="004D46AC">
              <w:t>27.00***</w:t>
            </w:r>
          </w:p>
        </w:tc>
        <w:tc>
          <w:tcPr>
            <w:tcW w:w="3502" w:type="dxa"/>
          </w:tcPr>
          <w:p w14:paraId="0ECB7B0D"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6C971254" w14:textId="77777777" w:rsidTr="00B518F1">
        <w:trPr>
          <w:trHeight w:val="241"/>
        </w:trPr>
        <w:tc>
          <w:tcPr>
            <w:tcW w:w="1941" w:type="dxa"/>
          </w:tcPr>
          <w:p w14:paraId="3946EF92" w14:textId="77777777" w:rsidR="007075D9" w:rsidRPr="004D46AC" w:rsidRDefault="007075D9" w:rsidP="00CE2F7A">
            <w:pPr>
              <w:spacing w:line="240" w:lineRule="auto"/>
              <w:ind w:firstLine="0"/>
            </w:pPr>
            <w:r w:rsidRPr="004D46AC">
              <w:rPr>
                <w:b/>
                <w:bCs/>
              </w:rPr>
              <w:lastRenderedPageBreak/>
              <w:t>M6</w:t>
            </w:r>
            <w:r w:rsidRPr="004D46AC">
              <w:t xml:space="preserve"> Concentration difficulty</w:t>
            </w:r>
          </w:p>
        </w:tc>
        <w:tc>
          <w:tcPr>
            <w:tcW w:w="804" w:type="dxa"/>
          </w:tcPr>
          <w:p w14:paraId="71618077" w14:textId="77777777" w:rsidR="007075D9" w:rsidRPr="004D46AC" w:rsidRDefault="007075D9" w:rsidP="00CE2F7A">
            <w:pPr>
              <w:spacing w:line="240" w:lineRule="auto"/>
              <w:ind w:firstLine="0"/>
            </w:pPr>
            <w:r w:rsidRPr="004D46AC">
              <w:t>1.34 (1.61)</w:t>
            </w:r>
          </w:p>
        </w:tc>
        <w:tc>
          <w:tcPr>
            <w:tcW w:w="891" w:type="dxa"/>
          </w:tcPr>
          <w:p w14:paraId="448A398F" w14:textId="77777777" w:rsidR="007075D9" w:rsidRPr="004D46AC" w:rsidRDefault="007075D9" w:rsidP="00CE2F7A">
            <w:pPr>
              <w:spacing w:line="240" w:lineRule="auto"/>
              <w:ind w:firstLine="0"/>
            </w:pPr>
            <w:r w:rsidRPr="004D46AC">
              <w:t>1.80 (1.66)</w:t>
            </w:r>
          </w:p>
        </w:tc>
        <w:tc>
          <w:tcPr>
            <w:tcW w:w="892" w:type="dxa"/>
          </w:tcPr>
          <w:p w14:paraId="05CF052F" w14:textId="77777777" w:rsidR="007075D9" w:rsidRPr="004D46AC" w:rsidRDefault="007075D9" w:rsidP="00CE2F7A">
            <w:pPr>
              <w:spacing w:line="240" w:lineRule="auto"/>
              <w:ind w:firstLine="0"/>
            </w:pPr>
            <w:r w:rsidRPr="004D46AC">
              <w:t>1.19 (1.55)</w:t>
            </w:r>
          </w:p>
        </w:tc>
        <w:tc>
          <w:tcPr>
            <w:tcW w:w="974" w:type="dxa"/>
          </w:tcPr>
          <w:p w14:paraId="72069491" w14:textId="77777777" w:rsidR="007075D9" w:rsidRPr="004D46AC" w:rsidRDefault="007075D9" w:rsidP="00CE2F7A">
            <w:pPr>
              <w:spacing w:line="240" w:lineRule="auto"/>
              <w:ind w:firstLine="0"/>
            </w:pPr>
            <w:r w:rsidRPr="004D46AC">
              <w:t>48.86***</w:t>
            </w:r>
          </w:p>
        </w:tc>
        <w:tc>
          <w:tcPr>
            <w:tcW w:w="3502" w:type="dxa"/>
          </w:tcPr>
          <w:p w14:paraId="017E7D3C"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SCA&gt;SCZ***</w:t>
            </w:r>
            <w:r w:rsidRPr="004D46AC">
              <w:rPr>
                <w:rFonts w:eastAsia="DengXian"/>
                <w:vertAlign w:val="superscript"/>
              </w:rPr>
              <w:t>†</w:t>
            </w:r>
            <w:r w:rsidRPr="004D46AC">
              <w:t>.</w:t>
            </w:r>
          </w:p>
        </w:tc>
      </w:tr>
      <w:tr w:rsidR="007075D9" w:rsidRPr="004D46AC" w14:paraId="3F64BC8A" w14:textId="77777777" w:rsidTr="00B518F1">
        <w:trPr>
          <w:trHeight w:val="241"/>
        </w:trPr>
        <w:tc>
          <w:tcPr>
            <w:tcW w:w="1941" w:type="dxa"/>
          </w:tcPr>
          <w:p w14:paraId="7AA70ECF" w14:textId="77777777" w:rsidR="007075D9" w:rsidRPr="004D46AC" w:rsidRDefault="007075D9" w:rsidP="00CE2F7A">
            <w:pPr>
              <w:spacing w:line="240" w:lineRule="auto"/>
              <w:ind w:firstLine="0"/>
            </w:pPr>
            <w:r w:rsidRPr="004D46AC">
              <w:rPr>
                <w:b/>
                <w:bCs/>
              </w:rPr>
              <w:t>M7</w:t>
            </w:r>
            <w:r w:rsidRPr="004D46AC">
              <w:t xml:space="preserve"> Retardation</w:t>
            </w:r>
          </w:p>
        </w:tc>
        <w:tc>
          <w:tcPr>
            <w:tcW w:w="804" w:type="dxa"/>
          </w:tcPr>
          <w:p w14:paraId="75F00EF6" w14:textId="77777777" w:rsidR="007075D9" w:rsidRPr="004D46AC" w:rsidRDefault="007075D9" w:rsidP="00CE2F7A">
            <w:pPr>
              <w:spacing w:line="240" w:lineRule="auto"/>
              <w:ind w:firstLine="0"/>
            </w:pPr>
            <w:r w:rsidRPr="004D46AC">
              <w:t>1.46 (1.60)</w:t>
            </w:r>
          </w:p>
        </w:tc>
        <w:tc>
          <w:tcPr>
            <w:tcW w:w="891" w:type="dxa"/>
          </w:tcPr>
          <w:p w14:paraId="157AE5A3" w14:textId="77777777" w:rsidR="007075D9" w:rsidRPr="004D46AC" w:rsidRDefault="007075D9" w:rsidP="00CE2F7A">
            <w:pPr>
              <w:spacing w:line="240" w:lineRule="auto"/>
              <w:ind w:firstLine="0"/>
            </w:pPr>
            <w:r w:rsidRPr="004D46AC">
              <w:t>1.72 (1.62)</w:t>
            </w:r>
          </w:p>
        </w:tc>
        <w:tc>
          <w:tcPr>
            <w:tcW w:w="892" w:type="dxa"/>
          </w:tcPr>
          <w:p w14:paraId="26C851D8" w14:textId="77777777" w:rsidR="007075D9" w:rsidRPr="004D46AC" w:rsidRDefault="007075D9" w:rsidP="00CE2F7A">
            <w:pPr>
              <w:spacing w:line="240" w:lineRule="auto"/>
              <w:ind w:firstLine="0"/>
            </w:pPr>
            <w:r w:rsidRPr="004D46AC">
              <w:t>1.12 (1.42)</w:t>
            </w:r>
          </w:p>
        </w:tc>
        <w:tc>
          <w:tcPr>
            <w:tcW w:w="974" w:type="dxa"/>
          </w:tcPr>
          <w:p w14:paraId="6DF884B6" w14:textId="77777777" w:rsidR="007075D9" w:rsidRPr="004D46AC" w:rsidRDefault="007075D9" w:rsidP="00CE2F7A">
            <w:pPr>
              <w:spacing w:line="240" w:lineRule="auto"/>
              <w:ind w:firstLine="0"/>
            </w:pPr>
            <w:r w:rsidRPr="004D46AC">
              <w:t>44.53***</w:t>
            </w:r>
          </w:p>
        </w:tc>
        <w:tc>
          <w:tcPr>
            <w:tcW w:w="3502" w:type="dxa"/>
          </w:tcPr>
          <w:p w14:paraId="720831A0"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06FAEE87" w14:textId="77777777" w:rsidTr="00B518F1">
        <w:trPr>
          <w:trHeight w:val="249"/>
        </w:trPr>
        <w:tc>
          <w:tcPr>
            <w:tcW w:w="1941" w:type="dxa"/>
          </w:tcPr>
          <w:p w14:paraId="16A1C5E3" w14:textId="77777777" w:rsidR="007075D9" w:rsidRPr="004D46AC" w:rsidRDefault="007075D9" w:rsidP="00CE2F7A">
            <w:pPr>
              <w:spacing w:line="240" w:lineRule="auto"/>
              <w:ind w:firstLine="0"/>
            </w:pPr>
            <w:r w:rsidRPr="004D46AC">
              <w:rPr>
                <w:b/>
                <w:bCs/>
              </w:rPr>
              <w:t>M8</w:t>
            </w:r>
            <w:r w:rsidRPr="004D46AC">
              <w:t xml:space="preserve"> Inability to feel</w:t>
            </w:r>
          </w:p>
        </w:tc>
        <w:tc>
          <w:tcPr>
            <w:tcW w:w="804" w:type="dxa"/>
          </w:tcPr>
          <w:p w14:paraId="57316171" w14:textId="77777777" w:rsidR="007075D9" w:rsidRPr="004D46AC" w:rsidRDefault="007075D9" w:rsidP="00CE2F7A">
            <w:pPr>
              <w:spacing w:line="240" w:lineRule="auto"/>
              <w:ind w:firstLine="0"/>
            </w:pPr>
            <w:r w:rsidRPr="004D46AC">
              <w:t>1.13 (1.59)</w:t>
            </w:r>
          </w:p>
        </w:tc>
        <w:tc>
          <w:tcPr>
            <w:tcW w:w="891" w:type="dxa"/>
          </w:tcPr>
          <w:p w14:paraId="1C740CF0" w14:textId="77777777" w:rsidR="007075D9" w:rsidRPr="004D46AC" w:rsidRDefault="007075D9" w:rsidP="00CE2F7A">
            <w:pPr>
              <w:spacing w:line="240" w:lineRule="auto"/>
              <w:ind w:firstLine="0"/>
            </w:pPr>
            <w:r w:rsidRPr="004D46AC">
              <w:t>1.32 (1.56)</w:t>
            </w:r>
          </w:p>
        </w:tc>
        <w:tc>
          <w:tcPr>
            <w:tcW w:w="892" w:type="dxa"/>
          </w:tcPr>
          <w:p w14:paraId="2B210158" w14:textId="77777777" w:rsidR="007075D9" w:rsidRPr="004D46AC" w:rsidRDefault="007075D9" w:rsidP="00CE2F7A">
            <w:pPr>
              <w:spacing w:line="240" w:lineRule="auto"/>
              <w:ind w:firstLine="0"/>
            </w:pPr>
            <w:r w:rsidRPr="004D46AC">
              <w:t>0.86 (1.38)</w:t>
            </w:r>
          </w:p>
        </w:tc>
        <w:tc>
          <w:tcPr>
            <w:tcW w:w="974" w:type="dxa"/>
          </w:tcPr>
          <w:p w14:paraId="2C3D629D" w14:textId="77777777" w:rsidR="007075D9" w:rsidRPr="004D46AC" w:rsidRDefault="007075D9" w:rsidP="00CE2F7A">
            <w:pPr>
              <w:spacing w:line="240" w:lineRule="auto"/>
              <w:ind w:firstLine="0"/>
            </w:pPr>
            <w:r w:rsidRPr="004D46AC">
              <w:t>31.57***</w:t>
            </w:r>
          </w:p>
        </w:tc>
        <w:tc>
          <w:tcPr>
            <w:tcW w:w="3502" w:type="dxa"/>
          </w:tcPr>
          <w:p w14:paraId="49FCEC1D"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PBD&gt;SCZ**</w:t>
            </w:r>
            <w:r w:rsidRPr="004D46AC">
              <w:rPr>
                <w:rFonts w:eastAsia="DengXian"/>
                <w:vertAlign w:val="superscript"/>
              </w:rPr>
              <w:t>†</w:t>
            </w:r>
            <w:r w:rsidRPr="004D46AC">
              <w:t>; SCA&gt;SCZ***</w:t>
            </w:r>
            <w:r w:rsidRPr="004D46AC">
              <w:rPr>
                <w:rFonts w:eastAsia="DengXian"/>
                <w:vertAlign w:val="superscript"/>
              </w:rPr>
              <w:t>†</w:t>
            </w:r>
          </w:p>
        </w:tc>
      </w:tr>
      <w:tr w:rsidR="007075D9" w:rsidRPr="004D46AC" w14:paraId="05A72D6E" w14:textId="77777777" w:rsidTr="00B518F1">
        <w:trPr>
          <w:trHeight w:val="241"/>
        </w:trPr>
        <w:tc>
          <w:tcPr>
            <w:tcW w:w="1941" w:type="dxa"/>
          </w:tcPr>
          <w:p w14:paraId="639D6A49" w14:textId="77777777" w:rsidR="007075D9" w:rsidRPr="004D46AC" w:rsidRDefault="007075D9" w:rsidP="00CE2F7A">
            <w:pPr>
              <w:spacing w:line="240" w:lineRule="auto"/>
              <w:ind w:firstLine="0"/>
            </w:pPr>
            <w:r w:rsidRPr="004D46AC">
              <w:rPr>
                <w:b/>
                <w:bCs/>
              </w:rPr>
              <w:t>M9</w:t>
            </w:r>
            <w:r w:rsidRPr="004D46AC">
              <w:t xml:space="preserve"> Pessimistic thoughts</w:t>
            </w:r>
          </w:p>
        </w:tc>
        <w:tc>
          <w:tcPr>
            <w:tcW w:w="804" w:type="dxa"/>
          </w:tcPr>
          <w:p w14:paraId="29036A08" w14:textId="77777777" w:rsidR="007075D9" w:rsidRPr="004D46AC" w:rsidRDefault="007075D9" w:rsidP="00CE2F7A">
            <w:pPr>
              <w:spacing w:line="240" w:lineRule="auto"/>
              <w:ind w:firstLine="0"/>
            </w:pPr>
            <w:r w:rsidRPr="004D46AC">
              <w:t>1.21 (1.44)</w:t>
            </w:r>
          </w:p>
        </w:tc>
        <w:tc>
          <w:tcPr>
            <w:tcW w:w="891" w:type="dxa"/>
          </w:tcPr>
          <w:p w14:paraId="030783E2" w14:textId="77777777" w:rsidR="007075D9" w:rsidRPr="004D46AC" w:rsidRDefault="007075D9" w:rsidP="00CE2F7A">
            <w:pPr>
              <w:spacing w:line="240" w:lineRule="auto"/>
              <w:ind w:firstLine="0"/>
            </w:pPr>
            <w:r w:rsidRPr="004D46AC">
              <w:t>1.43 (1.55)</w:t>
            </w:r>
          </w:p>
        </w:tc>
        <w:tc>
          <w:tcPr>
            <w:tcW w:w="892" w:type="dxa"/>
          </w:tcPr>
          <w:p w14:paraId="525B39CF" w14:textId="77777777" w:rsidR="007075D9" w:rsidRPr="004D46AC" w:rsidRDefault="007075D9" w:rsidP="00CE2F7A">
            <w:pPr>
              <w:spacing w:line="240" w:lineRule="auto"/>
              <w:ind w:firstLine="0"/>
            </w:pPr>
            <w:r w:rsidRPr="004D46AC">
              <w:t>0.86 (1.28)</w:t>
            </w:r>
          </w:p>
        </w:tc>
        <w:tc>
          <w:tcPr>
            <w:tcW w:w="974" w:type="dxa"/>
          </w:tcPr>
          <w:p w14:paraId="10C5A9B3" w14:textId="77777777" w:rsidR="007075D9" w:rsidRPr="004D46AC" w:rsidRDefault="007075D9" w:rsidP="00CE2F7A">
            <w:pPr>
              <w:spacing w:line="240" w:lineRule="auto"/>
              <w:ind w:firstLine="0"/>
            </w:pPr>
            <w:r w:rsidRPr="004D46AC">
              <w:t>50.41***</w:t>
            </w:r>
          </w:p>
        </w:tc>
        <w:tc>
          <w:tcPr>
            <w:tcW w:w="3502" w:type="dxa"/>
          </w:tcPr>
          <w:p w14:paraId="0A0BE6F0"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0598AE21" w14:textId="77777777" w:rsidTr="00B518F1">
        <w:trPr>
          <w:trHeight w:val="241"/>
        </w:trPr>
        <w:tc>
          <w:tcPr>
            <w:tcW w:w="1941" w:type="dxa"/>
          </w:tcPr>
          <w:p w14:paraId="798676D3" w14:textId="77777777" w:rsidR="007075D9" w:rsidRPr="004D46AC" w:rsidRDefault="007075D9" w:rsidP="00CE2F7A">
            <w:pPr>
              <w:spacing w:line="240" w:lineRule="auto"/>
              <w:ind w:firstLine="0"/>
            </w:pPr>
            <w:r w:rsidRPr="004D46AC">
              <w:rPr>
                <w:b/>
                <w:bCs/>
              </w:rPr>
              <w:t>M10</w:t>
            </w:r>
            <w:r w:rsidRPr="004D46AC">
              <w:t xml:space="preserve"> Suicidal thoughts</w:t>
            </w:r>
          </w:p>
        </w:tc>
        <w:tc>
          <w:tcPr>
            <w:tcW w:w="804" w:type="dxa"/>
          </w:tcPr>
          <w:p w14:paraId="368980C0" w14:textId="77777777" w:rsidR="007075D9" w:rsidRPr="004D46AC" w:rsidRDefault="007075D9" w:rsidP="00CE2F7A">
            <w:pPr>
              <w:spacing w:line="240" w:lineRule="auto"/>
              <w:ind w:firstLine="0"/>
            </w:pPr>
            <w:r w:rsidRPr="004D46AC">
              <w:t>0.42 (0.99)</w:t>
            </w:r>
          </w:p>
        </w:tc>
        <w:tc>
          <w:tcPr>
            <w:tcW w:w="891" w:type="dxa"/>
          </w:tcPr>
          <w:p w14:paraId="541D2894" w14:textId="77777777" w:rsidR="007075D9" w:rsidRPr="004D46AC" w:rsidRDefault="007075D9" w:rsidP="00CE2F7A">
            <w:pPr>
              <w:spacing w:line="240" w:lineRule="auto"/>
              <w:ind w:firstLine="0"/>
            </w:pPr>
            <w:r w:rsidRPr="004D46AC">
              <w:t>0.62 (1.17)</w:t>
            </w:r>
          </w:p>
        </w:tc>
        <w:tc>
          <w:tcPr>
            <w:tcW w:w="892" w:type="dxa"/>
          </w:tcPr>
          <w:p w14:paraId="7DAAA601" w14:textId="77777777" w:rsidR="007075D9" w:rsidRPr="004D46AC" w:rsidRDefault="007075D9" w:rsidP="00CE2F7A">
            <w:pPr>
              <w:spacing w:line="240" w:lineRule="auto"/>
              <w:ind w:firstLine="0"/>
            </w:pPr>
            <w:r w:rsidRPr="004D46AC">
              <w:t>0.26 (0.77)</w:t>
            </w:r>
          </w:p>
        </w:tc>
        <w:tc>
          <w:tcPr>
            <w:tcW w:w="974" w:type="dxa"/>
          </w:tcPr>
          <w:p w14:paraId="16AF7851" w14:textId="77777777" w:rsidR="007075D9" w:rsidRPr="004D46AC" w:rsidRDefault="007075D9" w:rsidP="00CE2F7A">
            <w:pPr>
              <w:spacing w:line="240" w:lineRule="auto"/>
              <w:ind w:firstLine="0"/>
            </w:pPr>
            <w:r w:rsidRPr="004D46AC">
              <w:t>42.88***</w:t>
            </w:r>
          </w:p>
        </w:tc>
        <w:tc>
          <w:tcPr>
            <w:tcW w:w="3502" w:type="dxa"/>
          </w:tcPr>
          <w:p w14:paraId="64A769F4" w14:textId="77777777" w:rsidR="007075D9" w:rsidRPr="004D46AC" w:rsidRDefault="007075D9" w:rsidP="00CE2F7A">
            <w:pPr>
              <w:spacing w:line="240" w:lineRule="auto"/>
              <w:ind w:firstLine="0"/>
            </w:pPr>
            <w:r w:rsidRPr="004D46AC">
              <w:t>SCA&gt;PBD***</w:t>
            </w:r>
            <w:r w:rsidRPr="004D46AC">
              <w:rPr>
                <w:rFonts w:eastAsia="DengXian"/>
                <w:vertAlign w:val="superscript"/>
              </w:rPr>
              <w:t>†</w:t>
            </w:r>
            <w:r w:rsidRPr="004D46AC">
              <w:t>; SCA&gt;SCZ***</w:t>
            </w:r>
            <w:r w:rsidRPr="004D46AC">
              <w:rPr>
                <w:rFonts w:eastAsia="DengXian"/>
                <w:vertAlign w:val="superscript"/>
              </w:rPr>
              <w:t>†</w:t>
            </w:r>
            <w:r w:rsidRPr="004D46AC">
              <w:t>; PBD&gt;SCZ**</w:t>
            </w:r>
            <w:r w:rsidRPr="004D46AC">
              <w:rPr>
                <w:rFonts w:eastAsia="DengXian"/>
                <w:vertAlign w:val="superscript"/>
              </w:rPr>
              <w:t>†</w:t>
            </w:r>
            <w:r w:rsidRPr="004D46AC">
              <w:t>.</w:t>
            </w:r>
          </w:p>
        </w:tc>
      </w:tr>
      <w:tr w:rsidR="007075D9" w:rsidRPr="004D46AC" w14:paraId="31D8E724" w14:textId="77777777" w:rsidTr="00B518F1">
        <w:trPr>
          <w:trHeight w:val="249"/>
        </w:trPr>
        <w:tc>
          <w:tcPr>
            <w:tcW w:w="1941" w:type="dxa"/>
          </w:tcPr>
          <w:p w14:paraId="4D5CDE76" w14:textId="77777777" w:rsidR="007075D9" w:rsidRPr="004D46AC" w:rsidRDefault="007075D9" w:rsidP="00CE2F7A">
            <w:pPr>
              <w:spacing w:line="240" w:lineRule="auto"/>
              <w:ind w:firstLine="0"/>
            </w:pPr>
            <w:r w:rsidRPr="004D46AC">
              <w:rPr>
                <w:b/>
                <w:bCs/>
              </w:rPr>
              <w:t>SP</w:t>
            </w:r>
            <w:r w:rsidRPr="004D46AC">
              <w:t xml:space="preserve"> Sleep problems</w:t>
            </w:r>
          </w:p>
        </w:tc>
        <w:tc>
          <w:tcPr>
            <w:tcW w:w="804" w:type="dxa"/>
          </w:tcPr>
          <w:p w14:paraId="7ECF30BA" w14:textId="77777777" w:rsidR="007075D9" w:rsidRPr="004D46AC" w:rsidRDefault="007075D9" w:rsidP="00CE2F7A">
            <w:pPr>
              <w:spacing w:line="240" w:lineRule="auto"/>
              <w:ind w:firstLine="0"/>
            </w:pPr>
            <w:r w:rsidRPr="004D46AC">
              <w:t>1.88 (2.58)</w:t>
            </w:r>
          </w:p>
        </w:tc>
        <w:tc>
          <w:tcPr>
            <w:tcW w:w="891" w:type="dxa"/>
          </w:tcPr>
          <w:p w14:paraId="6D8D43EE" w14:textId="77777777" w:rsidR="007075D9" w:rsidRPr="004D46AC" w:rsidRDefault="007075D9" w:rsidP="00CE2F7A">
            <w:pPr>
              <w:spacing w:line="240" w:lineRule="auto"/>
              <w:ind w:firstLine="0"/>
            </w:pPr>
            <w:r w:rsidRPr="004D46AC">
              <w:t>2.13 (2.62)</w:t>
            </w:r>
          </w:p>
        </w:tc>
        <w:tc>
          <w:tcPr>
            <w:tcW w:w="892" w:type="dxa"/>
          </w:tcPr>
          <w:p w14:paraId="5F74051C" w14:textId="77777777" w:rsidR="007075D9" w:rsidRPr="004D46AC" w:rsidRDefault="007075D9" w:rsidP="00CE2F7A">
            <w:pPr>
              <w:spacing w:line="240" w:lineRule="auto"/>
              <w:ind w:firstLine="0"/>
            </w:pPr>
            <w:r w:rsidRPr="004D46AC">
              <w:t>1.21 (2.08)</w:t>
            </w:r>
          </w:p>
        </w:tc>
        <w:tc>
          <w:tcPr>
            <w:tcW w:w="974" w:type="dxa"/>
          </w:tcPr>
          <w:p w14:paraId="00F4E28F" w14:textId="77777777" w:rsidR="007075D9" w:rsidRPr="004D46AC" w:rsidRDefault="007075D9" w:rsidP="00CE2F7A">
            <w:pPr>
              <w:spacing w:line="240" w:lineRule="auto"/>
              <w:ind w:firstLine="0"/>
            </w:pPr>
            <w:r w:rsidRPr="004D46AC">
              <w:t>47.11***</w:t>
            </w:r>
          </w:p>
        </w:tc>
        <w:tc>
          <w:tcPr>
            <w:tcW w:w="3502" w:type="dxa"/>
          </w:tcPr>
          <w:p w14:paraId="4DA44431" w14:textId="77777777" w:rsidR="007075D9" w:rsidRPr="004D46AC" w:rsidRDefault="007075D9" w:rsidP="00CE2F7A">
            <w:pPr>
              <w:spacing w:line="240" w:lineRule="auto"/>
              <w:ind w:firstLine="0"/>
            </w:pPr>
            <w:r w:rsidRPr="004D46AC">
              <w:t>SCA&gt;SCZ***</w:t>
            </w:r>
            <w:r w:rsidRPr="004D46AC">
              <w:rPr>
                <w:rFonts w:eastAsia="DengXian"/>
                <w:vertAlign w:val="superscript"/>
              </w:rPr>
              <w:t>†</w:t>
            </w:r>
            <w:r w:rsidRPr="004D46AC">
              <w:t>; PBD&gt;SCZ***</w:t>
            </w:r>
            <w:r w:rsidRPr="004D46AC">
              <w:rPr>
                <w:rFonts w:eastAsia="DengXian"/>
                <w:vertAlign w:val="superscript"/>
              </w:rPr>
              <w:t>†</w:t>
            </w:r>
            <w:r w:rsidRPr="004D46AC">
              <w:t>.</w:t>
            </w:r>
          </w:p>
        </w:tc>
      </w:tr>
    </w:tbl>
    <w:p w14:paraId="69281F20" w14:textId="77777777" w:rsidR="007075D9" w:rsidRPr="004D46AC" w:rsidRDefault="007075D9" w:rsidP="00CE2F7A">
      <w:pPr>
        <w:spacing w:line="240" w:lineRule="auto"/>
        <w:ind w:firstLine="0"/>
      </w:pPr>
      <w:r w:rsidRPr="004D46AC">
        <w:rPr>
          <w:i/>
          <w:iCs/>
        </w:rPr>
        <w:t>Note</w:t>
      </w:r>
      <w:r w:rsidRPr="004D46AC">
        <w:t xml:space="preserve">. The chi square value was derived from </w:t>
      </w:r>
      <w:bookmarkStart w:id="377" w:name="_Hlk159438447"/>
      <w:r w:rsidRPr="004D46AC">
        <w:t>Kruskal-</w:t>
      </w:r>
      <w:proofErr w:type="gramStart"/>
      <w:r w:rsidRPr="004D46AC">
        <w:t>Wallis</w:t>
      </w:r>
      <w:proofErr w:type="gramEnd"/>
      <w:r w:rsidRPr="004D46AC">
        <w:t xml:space="preserve"> test.</w:t>
      </w:r>
      <w:bookmarkEnd w:id="377"/>
      <w:r w:rsidRPr="004D46AC">
        <w:t xml:space="preserve"> The p value for paired comparison was adjusted by BH (</w:t>
      </w:r>
      <w:bookmarkStart w:id="378" w:name="_Hlk159438767"/>
      <w:r w:rsidRPr="004D46AC">
        <w:t>Benjamini &amp; Hochberg</w:t>
      </w:r>
      <w:bookmarkEnd w:id="378"/>
      <w:r w:rsidRPr="004D46AC">
        <w:t xml:space="preserve">) method. The group difference was not significant if it was not reported in the direction column. For the ease of interpretation, the </w:t>
      </w:r>
      <w:r w:rsidRPr="004D46AC">
        <w:rPr>
          <w:i/>
          <w:iCs/>
        </w:rPr>
        <w:t>M(SD)</w:t>
      </w:r>
      <w:r w:rsidRPr="004D46AC">
        <w:t xml:space="preserve"> was reported instead of </w:t>
      </w:r>
      <w:r w:rsidRPr="004D46AC">
        <w:rPr>
          <w:i/>
          <w:iCs/>
        </w:rPr>
        <w:t>median</w:t>
      </w:r>
      <w:r w:rsidRPr="004D46AC">
        <w:t xml:space="preserve"> </w:t>
      </w:r>
      <w:r w:rsidRPr="004D46AC">
        <w:rPr>
          <w:i/>
          <w:iCs/>
        </w:rPr>
        <w:t>(range)</w:t>
      </w:r>
      <w:r w:rsidRPr="004D46AC">
        <w:t>.</w:t>
      </w:r>
    </w:p>
    <w:p w14:paraId="433F00AA" w14:textId="77777777" w:rsidR="007075D9" w:rsidRPr="004D46AC" w:rsidRDefault="007075D9" w:rsidP="00CE2F7A">
      <w:pPr>
        <w:spacing w:line="240" w:lineRule="auto"/>
        <w:ind w:firstLine="0"/>
      </w:pPr>
      <w:r w:rsidRPr="004D46AC">
        <w:t xml:space="preserve">*: </w:t>
      </w:r>
      <w:r w:rsidRPr="004D46AC">
        <w:rPr>
          <w:i/>
          <w:iCs/>
        </w:rPr>
        <w:t>p</w:t>
      </w:r>
      <w:r w:rsidRPr="004D46AC">
        <w:rPr>
          <w:rFonts w:hint="eastAsia"/>
          <w:i/>
          <w:iCs/>
        </w:rPr>
        <w:t xml:space="preserve"> </w:t>
      </w:r>
      <w:r w:rsidRPr="004D46AC">
        <w:t>&lt;</w:t>
      </w:r>
      <w:r w:rsidRPr="004D46AC">
        <w:rPr>
          <w:rFonts w:hint="eastAsia"/>
        </w:rPr>
        <w:t xml:space="preserve"> </w:t>
      </w:r>
      <w:r w:rsidRPr="004D46AC">
        <w:t xml:space="preserve">.05; **: </w:t>
      </w:r>
      <w:r w:rsidRPr="004D46AC">
        <w:rPr>
          <w:i/>
          <w:iCs/>
        </w:rPr>
        <w:t>p</w:t>
      </w:r>
      <w:r w:rsidRPr="004D46AC">
        <w:rPr>
          <w:rFonts w:hint="eastAsia"/>
        </w:rPr>
        <w:t xml:space="preserve"> </w:t>
      </w:r>
      <w:r w:rsidRPr="004D46AC">
        <w:t>&lt;</w:t>
      </w:r>
      <w:r w:rsidRPr="004D46AC">
        <w:rPr>
          <w:rFonts w:hint="eastAsia"/>
        </w:rPr>
        <w:t xml:space="preserve"> </w:t>
      </w:r>
      <w:r w:rsidRPr="004D46AC">
        <w:t xml:space="preserve">.01; ***: </w:t>
      </w:r>
      <w:r w:rsidRPr="004D46AC">
        <w:rPr>
          <w:i/>
          <w:iCs/>
        </w:rPr>
        <w:t>p</w:t>
      </w:r>
      <w:r w:rsidRPr="004D46AC">
        <w:rPr>
          <w:rFonts w:hint="eastAsia"/>
        </w:rPr>
        <w:t xml:space="preserve"> </w:t>
      </w:r>
      <w:r w:rsidRPr="004D46AC">
        <w:t>&lt;</w:t>
      </w:r>
      <w:r w:rsidRPr="004D46AC">
        <w:rPr>
          <w:rFonts w:hint="eastAsia"/>
        </w:rPr>
        <w:t xml:space="preserve"> </w:t>
      </w:r>
      <w:r w:rsidRPr="004D46AC">
        <w:t>.001</w:t>
      </w:r>
      <w:r w:rsidRPr="004D46AC">
        <w:rPr>
          <w:rFonts w:hint="eastAsia"/>
        </w:rPr>
        <w:t>.</w:t>
      </w:r>
    </w:p>
    <w:p w14:paraId="63096521" w14:textId="77777777" w:rsidR="007075D9" w:rsidRPr="004D46AC" w:rsidRDefault="007075D9" w:rsidP="00CE2F7A">
      <w:pPr>
        <w:spacing w:line="240" w:lineRule="auto"/>
        <w:ind w:firstLine="0"/>
        <w:rPr>
          <w:rFonts w:eastAsia="DengXian"/>
        </w:rPr>
      </w:pPr>
      <w:r w:rsidRPr="004D46AC">
        <w:rPr>
          <w:rFonts w:eastAsia="DengXian"/>
          <w:vertAlign w:val="superscript"/>
        </w:rPr>
        <w:t>†</w:t>
      </w:r>
      <w:r w:rsidRPr="004D46AC">
        <w:rPr>
          <w:rFonts w:eastAsia="DengXian" w:hint="eastAsia"/>
          <w:vertAlign w:val="superscript"/>
        </w:rPr>
        <w:t xml:space="preserve"> </w:t>
      </w:r>
      <w:proofErr w:type="gramStart"/>
      <w:r w:rsidRPr="004D46AC">
        <w:rPr>
          <w:rFonts w:eastAsia="DengXian"/>
        </w:rPr>
        <w:t>small</w:t>
      </w:r>
      <w:proofErr w:type="gramEnd"/>
      <w:r w:rsidRPr="004D46AC">
        <w:rPr>
          <w:rFonts w:eastAsia="DengXian"/>
        </w:rPr>
        <w:t xml:space="preserve"> effect size (</w:t>
      </w:r>
      <w:r w:rsidRPr="004D46AC">
        <w:rPr>
          <w:rFonts w:eastAsia="DengXian"/>
          <w:i/>
          <w:iCs/>
        </w:rPr>
        <w:t>r</w:t>
      </w:r>
      <w:r w:rsidRPr="004D46AC">
        <w:rPr>
          <w:rFonts w:eastAsia="DengXian" w:hint="eastAsia"/>
          <w:i/>
          <w:iCs/>
        </w:rPr>
        <w:t xml:space="preserve"> </w:t>
      </w:r>
      <w:r w:rsidRPr="004D46AC">
        <w:rPr>
          <w:rFonts w:eastAsia="DengXian"/>
        </w:rPr>
        <w:t>=</w:t>
      </w:r>
      <w:r w:rsidRPr="004D46AC">
        <w:rPr>
          <w:rFonts w:eastAsia="DengXian" w:hint="eastAsia"/>
        </w:rPr>
        <w:t xml:space="preserve"> </w:t>
      </w:r>
      <w:r w:rsidRPr="004D46AC">
        <w:rPr>
          <w:rFonts w:eastAsia="DengXian"/>
        </w:rPr>
        <w:t xml:space="preserve">.10-.29), </w:t>
      </w:r>
      <w:r w:rsidRPr="004D46AC">
        <w:rPr>
          <w:rFonts w:eastAsia="DengXian"/>
          <w:vertAlign w:val="superscript"/>
        </w:rPr>
        <w:t>††</w:t>
      </w:r>
      <w:r w:rsidRPr="004D46AC">
        <w:rPr>
          <w:rFonts w:eastAsia="DengXian"/>
        </w:rPr>
        <w:t>moderate effect size</w:t>
      </w:r>
      <w:r w:rsidRPr="004D46AC">
        <w:rPr>
          <w:rFonts w:eastAsia="DengXian" w:hint="eastAsia"/>
        </w:rPr>
        <w:t xml:space="preserve"> </w:t>
      </w:r>
      <w:r w:rsidRPr="004D46AC">
        <w:rPr>
          <w:rFonts w:eastAsia="DengXian"/>
        </w:rPr>
        <w:t>(</w:t>
      </w:r>
      <w:r w:rsidRPr="004D46AC">
        <w:rPr>
          <w:rFonts w:eastAsia="DengXian"/>
          <w:i/>
          <w:iCs/>
        </w:rPr>
        <w:t>r</w:t>
      </w:r>
      <w:r w:rsidRPr="004D46AC">
        <w:rPr>
          <w:rFonts w:eastAsia="DengXian" w:hint="eastAsia"/>
          <w:i/>
          <w:iCs/>
        </w:rPr>
        <w:t xml:space="preserve"> </w:t>
      </w:r>
      <w:r w:rsidRPr="004D46AC">
        <w:rPr>
          <w:rFonts w:eastAsia="DengXian"/>
        </w:rPr>
        <w:t>=</w:t>
      </w:r>
      <w:r w:rsidRPr="004D46AC">
        <w:rPr>
          <w:rFonts w:eastAsia="DengXian" w:hint="eastAsia"/>
        </w:rPr>
        <w:t xml:space="preserve"> </w:t>
      </w:r>
      <w:r w:rsidRPr="004D46AC">
        <w:rPr>
          <w:rFonts w:eastAsia="DengXian"/>
        </w:rPr>
        <w:t>.30-.49)</w:t>
      </w:r>
      <w:r w:rsidRPr="004D46AC">
        <w:rPr>
          <w:rFonts w:eastAsia="DengXian" w:hint="eastAsia"/>
        </w:rPr>
        <w:t>.</w:t>
      </w:r>
    </w:p>
    <w:p w14:paraId="7A7987FD" w14:textId="77777777" w:rsidR="007075D9" w:rsidRPr="004D46AC" w:rsidRDefault="007075D9" w:rsidP="00CE2F7A">
      <w:pPr>
        <w:spacing w:line="240" w:lineRule="auto"/>
        <w:ind w:firstLine="0"/>
      </w:pPr>
    </w:p>
    <w:p w14:paraId="19B43C65" w14:textId="77777777" w:rsidR="00CC3324" w:rsidRPr="004D46AC" w:rsidRDefault="00CC3324" w:rsidP="00CE2F7A">
      <w:pPr>
        <w:pStyle w:val="afff0"/>
        <w:spacing w:after="0"/>
        <w:ind w:firstLine="0"/>
        <w:rPr>
          <w:rFonts w:eastAsiaTheme="minorEastAsia"/>
          <w:b/>
          <w:bCs/>
          <w:i w:val="0"/>
          <w:iCs w:val="0"/>
          <w:color w:val="auto"/>
          <w:sz w:val="22"/>
          <w:szCs w:val="22"/>
        </w:rPr>
      </w:pPr>
      <w:bookmarkStart w:id="379" w:name="_Toc219870636"/>
      <w:bookmarkStart w:id="380" w:name="_Toc219885507"/>
    </w:p>
    <w:p w14:paraId="18309AE5" w14:textId="77777777" w:rsidR="00CC3324" w:rsidRPr="004D46AC" w:rsidRDefault="00CC3324" w:rsidP="00CC3324">
      <w:pPr>
        <w:rPr>
          <w:rFonts w:eastAsiaTheme="minorEastAsia"/>
        </w:rPr>
      </w:pPr>
    </w:p>
    <w:p w14:paraId="3D010088" w14:textId="77777777" w:rsidR="00CC3324" w:rsidRPr="004D46AC" w:rsidRDefault="00CC3324" w:rsidP="00CC3324">
      <w:pPr>
        <w:rPr>
          <w:rFonts w:eastAsiaTheme="minorEastAsia"/>
        </w:rPr>
      </w:pPr>
    </w:p>
    <w:p w14:paraId="097F9CDF" w14:textId="77777777" w:rsidR="00CC3324" w:rsidRPr="004D46AC" w:rsidRDefault="00CC3324" w:rsidP="00CC3324">
      <w:pPr>
        <w:rPr>
          <w:rFonts w:eastAsiaTheme="minorEastAsia"/>
        </w:rPr>
      </w:pPr>
    </w:p>
    <w:p w14:paraId="618CBC46" w14:textId="77777777" w:rsidR="00CC3324" w:rsidRPr="004D46AC" w:rsidRDefault="00CC3324" w:rsidP="00CC3324">
      <w:pPr>
        <w:rPr>
          <w:rFonts w:eastAsiaTheme="minorEastAsia"/>
        </w:rPr>
      </w:pPr>
    </w:p>
    <w:p w14:paraId="2B76E35C" w14:textId="77777777" w:rsidR="00CC3324" w:rsidRPr="004D46AC" w:rsidRDefault="00CC3324" w:rsidP="00CC3324">
      <w:pPr>
        <w:rPr>
          <w:rFonts w:eastAsiaTheme="minorEastAsia"/>
        </w:rPr>
      </w:pPr>
    </w:p>
    <w:p w14:paraId="2AE54E03" w14:textId="77777777" w:rsidR="00CC3324" w:rsidRPr="004D46AC" w:rsidRDefault="00CC3324" w:rsidP="00CC3324">
      <w:pPr>
        <w:rPr>
          <w:rFonts w:eastAsiaTheme="minorEastAsia"/>
        </w:rPr>
      </w:pPr>
    </w:p>
    <w:p w14:paraId="12DC16E9" w14:textId="77777777" w:rsidR="00CC3324" w:rsidRPr="004D46AC" w:rsidRDefault="00CC3324" w:rsidP="00CC3324">
      <w:pPr>
        <w:rPr>
          <w:rFonts w:eastAsiaTheme="minorEastAsia"/>
        </w:rPr>
      </w:pPr>
    </w:p>
    <w:p w14:paraId="45807908" w14:textId="77777777" w:rsidR="00CC3324" w:rsidRPr="004D46AC" w:rsidRDefault="00CC3324" w:rsidP="00CC3324">
      <w:pPr>
        <w:rPr>
          <w:rFonts w:eastAsiaTheme="minorEastAsia"/>
        </w:rPr>
      </w:pPr>
    </w:p>
    <w:p w14:paraId="384E01E7" w14:textId="77777777" w:rsidR="00CC3324" w:rsidRPr="004D46AC" w:rsidRDefault="00CC3324" w:rsidP="00CC3324">
      <w:pPr>
        <w:rPr>
          <w:rFonts w:eastAsiaTheme="minorEastAsia"/>
        </w:rPr>
      </w:pPr>
    </w:p>
    <w:p w14:paraId="116CEF65" w14:textId="77777777" w:rsidR="00CC3324" w:rsidRPr="004D46AC" w:rsidRDefault="00CC3324" w:rsidP="00CC3324">
      <w:pPr>
        <w:rPr>
          <w:rFonts w:eastAsiaTheme="minorEastAsia"/>
        </w:rPr>
      </w:pPr>
    </w:p>
    <w:p w14:paraId="01F4680A" w14:textId="77777777" w:rsidR="00CC3324" w:rsidRPr="004D46AC" w:rsidRDefault="00CC3324" w:rsidP="00CC3324">
      <w:pPr>
        <w:rPr>
          <w:rFonts w:eastAsiaTheme="minorEastAsia"/>
        </w:rPr>
      </w:pPr>
    </w:p>
    <w:p w14:paraId="1B2BC1DA" w14:textId="77777777" w:rsidR="00CC3324" w:rsidRPr="004D46AC" w:rsidRDefault="00CC3324" w:rsidP="00CC3324">
      <w:pPr>
        <w:rPr>
          <w:rFonts w:eastAsiaTheme="minorEastAsia"/>
        </w:rPr>
      </w:pPr>
    </w:p>
    <w:p w14:paraId="58B523EC" w14:textId="77777777" w:rsidR="00CC3324" w:rsidRPr="004D46AC" w:rsidRDefault="00CC3324" w:rsidP="00CC3324">
      <w:pPr>
        <w:rPr>
          <w:rFonts w:eastAsiaTheme="minorEastAsia"/>
        </w:rPr>
      </w:pPr>
    </w:p>
    <w:p w14:paraId="23A0BAE7" w14:textId="77777777" w:rsidR="00CC3324" w:rsidRPr="004D46AC" w:rsidRDefault="00CC3324" w:rsidP="00CC3324">
      <w:pPr>
        <w:rPr>
          <w:rFonts w:eastAsiaTheme="minorEastAsia"/>
        </w:rPr>
      </w:pPr>
    </w:p>
    <w:p w14:paraId="6B299C1A" w14:textId="77777777" w:rsidR="00CC3324" w:rsidRPr="004D46AC" w:rsidRDefault="00CC3324" w:rsidP="00CC3324">
      <w:pPr>
        <w:rPr>
          <w:rFonts w:eastAsiaTheme="minorEastAsia"/>
        </w:rPr>
      </w:pPr>
    </w:p>
    <w:p w14:paraId="2E2A8C93" w14:textId="77777777" w:rsidR="00CC3324" w:rsidRPr="004D46AC" w:rsidRDefault="00CC3324" w:rsidP="00CC3324">
      <w:pPr>
        <w:rPr>
          <w:rFonts w:eastAsiaTheme="minorEastAsia"/>
        </w:rPr>
      </w:pPr>
    </w:p>
    <w:p w14:paraId="3483553F" w14:textId="77777777" w:rsidR="00CC3324" w:rsidRPr="004D46AC" w:rsidRDefault="00CC3324" w:rsidP="00CC3324">
      <w:pPr>
        <w:rPr>
          <w:rFonts w:eastAsiaTheme="minorEastAsia"/>
        </w:rPr>
      </w:pPr>
    </w:p>
    <w:p w14:paraId="2362EF6C" w14:textId="02B2A017" w:rsidR="007075D9" w:rsidRPr="004D46AC" w:rsidRDefault="00CE2F7A" w:rsidP="00CE2F7A">
      <w:pPr>
        <w:pStyle w:val="afff0"/>
        <w:spacing w:after="0"/>
        <w:ind w:firstLine="0"/>
        <w:rPr>
          <w:rFonts w:eastAsiaTheme="minorEastAsia"/>
          <w:b/>
          <w:bCs/>
          <w:i w:val="0"/>
          <w:iCs w:val="0"/>
          <w:color w:val="auto"/>
          <w:sz w:val="22"/>
          <w:szCs w:val="22"/>
        </w:rPr>
      </w:pPr>
      <w:r w:rsidRPr="004D46AC">
        <w:rPr>
          <w:b/>
          <w:bCs/>
          <w:i w:val="0"/>
          <w:iCs w:val="0"/>
          <w:color w:val="auto"/>
          <w:sz w:val="22"/>
          <w:szCs w:val="22"/>
        </w:rPr>
        <w:lastRenderedPageBreak/>
        <w:t xml:space="preserve">Table C </w:t>
      </w:r>
      <w:r w:rsidRPr="004D46AC">
        <w:rPr>
          <w:b/>
          <w:bCs/>
          <w:i w:val="0"/>
          <w:iCs w:val="0"/>
          <w:color w:val="auto"/>
          <w:sz w:val="22"/>
          <w:szCs w:val="22"/>
        </w:rPr>
        <w:fldChar w:fldCharType="begin"/>
      </w:r>
      <w:r w:rsidRPr="004D46AC">
        <w:rPr>
          <w:b/>
          <w:bCs/>
          <w:i w:val="0"/>
          <w:iCs w:val="0"/>
          <w:color w:val="auto"/>
          <w:sz w:val="22"/>
          <w:szCs w:val="22"/>
        </w:rPr>
        <w:instrText xml:space="preserve"> SEQ Table_C \* ARABIC </w:instrText>
      </w:r>
      <w:r w:rsidRPr="004D46AC">
        <w:rPr>
          <w:b/>
          <w:bCs/>
          <w:i w:val="0"/>
          <w:iCs w:val="0"/>
          <w:color w:val="auto"/>
          <w:sz w:val="22"/>
          <w:szCs w:val="22"/>
        </w:rPr>
        <w:fldChar w:fldCharType="separate"/>
      </w:r>
      <w:r w:rsidR="009050EB" w:rsidRPr="004D46AC">
        <w:rPr>
          <w:b/>
          <w:bCs/>
          <w:i w:val="0"/>
          <w:iCs w:val="0"/>
          <w:noProof/>
          <w:color w:val="auto"/>
          <w:sz w:val="22"/>
          <w:szCs w:val="22"/>
        </w:rPr>
        <w:t>4</w:t>
      </w:r>
      <w:bookmarkEnd w:id="379"/>
      <w:bookmarkEnd w:id="380"/>
      <w:r w:rsidRPr="004D46AC">
        <w:rPr>
          <w:b/>
          <w:bCs/>
          <w:i w:val="0"/>
          <w:iCs w:val="0"/>
          <w:color w:val="auto"/>
          <w:sz w:val="22"/>
          <w:szCs w:val="22"/>
        </w:rPr>
        <w:fldChar w:fldCharType="end"/>
      </w:r>
    </w:p>
    <w:p w14:paraId="2587B51D" w14:textId="77777777" w:rsidR="007075D9" w:rsidRPr="004D46AC" w:rsidRDefault="007075D9" w:rsidP="00CE2F7A">
      <w:pPr>
        <w:spacing w:line="240" w:lineRule="auto"/>
        <w:ind w:firstLine="0"/>
        <w:rPr>
          <w:i/>
          <w:iCs/>
        </w:rPr>
      </w:pPr>
      <w:r w:rsidRPr="004D46AC">
        <w:rPr>
          <w:i/>
          <w:iCs/>
        </w:rPr>
        <w:t>The ordered edge statistics of the edges with non-zero weight in network of all patients</w:t>
      </w:r>
    </w:p>
    <w:tbl>
      <w:tblPr>
        <w:tblStyle w:val="afc"/>
        <w:tblW w:w="7938" w:type="dxa"/>
        <w:tblLook w:val="04A0" w:firstRow="1" w:lastRow="0" w:firstColumn="1" w:lastColumn="0" w:noHBand="0" w:noVBand="1"/>
      </w:tblPr>
      <w:tblGrid>
        <w:gridCol w:w="1434"/>
        <w:gridCol w:w="1687"/>
        <w:gridCol w:w="1687"/>
        <w:gridCol w:w="1687"/>
        <w:gridCol w:w="1443"/>
      </w:tblGrid>
      <w:tr w:rsidR="007075D9" w:rsidRPr="004D46AC" w14:paraId="309FA5C9" w14:textId="77777777" w:rsidTr="00B518F1">
        <w:tc>
          <w:tcPr>
            <w:tcW w:w="1434" w:type="dxa"/>
            <w:vAlign w:val="center"/>
          </w:tcPr>
          <w:p w14:paraId="623BD9D2" w14:textId="77777777" w:rsidR="007075D9" w:rsidRPr="004D46AC" w:rsidRDefault="007075D9" w:rsidP="00CE2F7A">
            <w:pPr>
              <w:spacing w:line="240" w:lineRule="auto"/>
              <w:ind w:firstLine="0"/>
            </w:pPr>
            <w:r w:rsidRPr="004D46AC">
              <w:rPr>
                <w:rFonts w:eastAsia="DengXian"/>
                <w:b/>
                <w:bCs/>
                <w:color w:val="000000"/>
              </w:rPr>
              <w:t>Edge</w:t>
            </w:r>
          </w:p>
        </w:tc>
        <w:tc>
          <w:tcPr>
            <w:tcW w:w="1687" w:type="dxa"/>
            <w:vAlign w:val="center"/>
          </w:tcPr>
          <w:p w14:paraId="2D2047A6" w14:textId="77777777" w:rsidR="007075D9" w:rsidRPr="004D46AC" w:rsidRDefault="007075D9" w:rsidP="00CE2F7A">
            <w:pPr>
              <w:spacing w:line="240" w:lineRule="auto"/>
              <w:ind w:firstLine="0"/>
            </w:pPr>
            <w:r w:rsidRPr="004D46AC">
              <w:rPr>
                <w:b/>
                <w:bCs/>
                <w:i/>
                <w:iCs/>
              </w:rPr>
              <w:t>Weight</w:t>
            </w:r>
          </w:p>
        </w:tc>
        <w:tc>
          <w:tcPr>
            <w:tcW w:w="1687" w:type="dxa"/>
            <w:vAlign w:val="center"/>
          </w:tcPr>
          <w:p w14:paraId="4A697688" w14:textId="77777777" w:rsidR="007075D9" w:rsidRPr="004D46AC" w:rsidRDefault="007075D9" w:rsidP="00CE2F7A">
            <w:pPr>
              <w:spacing w:line="240" w:lineRule="auto"/>
              <w:ind w:firstLine="0"/>
            </w:pPr>
            <w:r w:rsidRPr="004D46AC">
              <w:rPr>
                <w:rFonts w:eastAsia="DengXian"/>
                <w:b/>
                <w:bCs/>
                <w:i/>
                <w:iCs/>
                <w:color w:val="000000"/>
              </w:rPr>
              <w:t>BCI</w:t>
            </w:r>
            <w:r w:rsidRPr="004D46AC">
              <w:rPr>
                <w:rFonts w:eastAsia="DengXian"/>
                <w:b/>
                <w:bCs/>
                <w:color w:val="000000"/>
              </w:rPr>
              <w:t xml:space="preserve"> (lower)</w:t>
            </w:r>
          </w:p>
        </w:tc>
        <w:tc>
          <w:tcPr>
            <w:tcW w:w="1687" w:type="dxa"/>
            <w:vAlign w:val="center"/>
          </w:tcPr>
          <w:p w14:paraId="4AF52755" w14:textId="77777777" w:rsidR="007075D9" w:rsidRPr="004D46AC" w:rsidRDefault="007075D9" w:rsidP="00CE2F7A">
            <w:pPr>
              <w:spacing w:line="240" w:lineRule="auto"/>
              <w:ind w:firstLine="0"/>
            </w:pPr>
            <w:r w:rsidRPr="004D46AC">
              <w:rPr>
                <w:rFonts w:eastAsia="DengXian"/>
                <w:b/>
                <w:bCs/>
                <w:i/>
                <w:iCs/>
                <w:color w:val="000000"/>
              </w:rPr>
              <w:t>BCI</w:t>
            </w:r>
            <w:r w:rsidRPr="004D46AC">
              <w:rPr>
                <w:rFonts w:eastAsia="DengXian"/>
                <w:b/>
                <w:bCs/>
                <w:color w:val="000000"/>
              </w:rPr>
              <w:t xml:space="preserve"> (upper)</w:t>
            </w:r>
          </w:p>
        </w:tc>
        <w:tc>
          <w:tcPr>
            <w:tcW w:w="1443" w:type="dxa"/>
            <w:vAlign w:val="center"/>
          </w:tcPr>
          <w:p w14:paraId="39F2BF3F" w14:textId="77777777" w:rsidR="007075D9" w:rsidRPr="004D46AC" w:rsidRDefault="007075D9" w:rsidP="00CE2F7A">
            <w:pPr>
              <w:spacing w:line="240" w:lineRule="auto"/>
              <w:ind w:firstLine="0"/>
            </w:pPr>
            <w:r w:rsidRPr="004D46AC">
              <w:rPr>
                <w:rFonts w:eastAsia="DengXian"/>
                <w:b/>
                <w:bCs/>
                <w:i/>
                <w:iCs/>
                <w:color w:val="000000"/>
              </w:rPr>
              <w:t>P0</w:t>
            </w:r>
          </w:p>
        </w:tc>
      </w:tr>
      <w:tr w:rsidR="007075D9" w:rsidRPr="004D46AC" w14:paraId="1D2F4922" w14:textId="77777777" w:rsidTr="00B518F1">
        <w:tc>
          <w:tcPr>
            <w:tcW w:w="1434" w:type="dxa"/>
            <w:vAlign w:val="center"/>
          </w:tcPr>
          <w:p w14:paraId="77A7D7F3" w14:textId="77777777" w:rsidR="007075D9" w:rsidRPr="004D46AC" w:rsidRDefault="007075D9" w:rsidP="00CE2F7A">
            <w:pPr>
              <w:spacing w:line="240" w:lineRule="auto"/>
              <w:ind w:firstLine="0"/>
              <w:rPr>
                <w:b/>
                <w:bCs/>
                <w:i/>
                <w:iCs/>
              </w:rPr>
            </w:pPr>
            <w:r w:rsidRPr="004D46AC">
              <w:rPr>
                <w:rFonts w:eastAsia="DengXian"/>
                <w:color w:val="000000"/>
              </w:rPr>
              <w:t>N1--RC</w:t>
            </w:r>
          </w:p>
        </w:tc>
        <w:tc>
          <w:tcPr>
            <w:tcW w:w="1687" w:type="dxa"/>
            <w:vAlign w:val="center"/>
          </w:tcPr>
          <w:p w14:paraId="7D146D80" w14:textId="77777777" w:rsidR="007075D9" w:rsidRPr="004D46AC" w:rsidRDefault="007075D9" w:rsidP="00CE2F7A">
            <w:pPr>
              <w:spacing w:line="240" w:lineRule="auto"/>
              <w:ind w:firstLine="0"/>
              <w:rPr>
                <w:b/>
                <w:bCs/>
                <w:i/>
                <w:iCs/>
              </w:rPr>
            </w:pPr>
            <w:r w:rsidRPr="004D46AC">
              <w:rPr>
                <w:color w:val="000000"/>
              </w:rPr>
              <w:t xml:space="preserve">0.41 </w:t>
            </w:r>
          </w:p>
        </w:tc>
        <w:tc>
          <w:tcPr>
            <w:tcW w:w="1687" w:type="dxa"/>
            <w:vAlign w:val="center"/>
          </w:tcPr>
          <w:p w14:paraId="13B9BAD1" w14:textId="77777777" w:rsidR="007075D9" w:rsidRPr="004D46AC" w:rsidRDefault="007075D9" w:rsidP="00CE2F7A">
            <w:pPr>
              <w:spacing w:line="240" w:lineRule="auto"/>
              <w:ind w:firstLine="0"/>
              <w:rPr>
                <w:b/>
                <w:bCs/>
                <w:i/>
                <w:iCs/>
              </w:rPr>
            </w:pPr>
            <w:r w:rsidRPr="004D46AC">
              <w:rPr>
                <w:color w:val="000000"/>
              </w:rPr>
              <w:t xml:space="preserve">0.37 </w:t>
            </w:r>
          </w:p>
        </w:tc>
        <w:tc>
          <w:tcPr>
            <w:tcW w:w="1687" w:type="dxa"/>
            <w:vAlign w:val="center"/>
          </w:tcPr>
          <w:p w14:paraId="5740AC61" w14:textId="77777777" w:rsidR="007075D9" w:rsidRPr="004D46AC" w:rsidRDefault="007075D9" w:rsidP="00CE2F7A">
            <w:pPr>
              <w:spacing w:line="240" w:lineRule="auto"/>
              <w:ind w:firstLine="0"/>
              <w:rPr>
                <w:b/>
                <w:bCs/>
                <w:i/>
                <w:iCs/>
              </w:rPr>
            </w:pPr>
            <w:r w:rsidRPr="004D46AC">
              <w:rPr>
                <w:color w:val="000000"/>
              </w:rPr>
              <w:t xml:space="preserve">0.46 </w:t>
            </w:r>
          </w:p>
        </w:tc>
        <w:tc>
          <w:tcPr>
            <w:tcW w:w="1443" w:type="dxa"/>
            <w:vAlign w:val="center"/>
          </w:tcPr>
          <w:p w14:paraId="6721F7E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ED33B99" w14:textId="77777777" w:rsidTr="00B518F1">
        <w:tc>
          <w:tcPr>
            <w:tcW w:w="1434" w:type="dxa"/>
            <w:vAlign w:val="center"/>
          </w:tcPr>
          <w:p w14:paraId="3A156163" w14:textId="77777777" w:rsidR="007075D9" w:rsidRPr="004D46AC" w:rsidRDefault="007075D9" w:rsidP="00CE2F7A">
            <w:pPr>
              <w:spacing w:line="240" w:lineRule="auto"/>
              <w:ind w:firstLine="0"/>
              <w:rPr>
                <w:b/>
                <w:bCs/>
                <w:i/>
                <w:iCs/>
              </w:rPr>
            </w:pPr>
            <w:r w:rsidRPr="004D46AC">
              <w:rPr>
                <w:rFonts w:eastAsia="DengXian"/>
                <w:color w:val="000000"/>
              </w:rPr>
              <w:t>P2--N7</w:t>
            </w:r>
          </w:p>
        </w:tc>
        <w:tc>
          <w:tcPr>
            <w:tcW w:w="1687" w:type="dxa"/>
            <w:vAlign w:val="center"/>
          </w:tcPr>
          <w:p w14:paraId="6145EA1B" w14:textId="77777777" w:rsidR="007075D9" w:rsidRPr="004D46AC" w:rsidRDefault="007075D9" w:rsidP="00CE2F7A">
            <w:pPr>
              <w:spacing w:line="240" w:lineRule="auto"/>
              <w:ind w:firstLine="0"/>
              <w:rPr>
                <w:b/>
                <w:bCs/>
                <w:i/>
                <w:iCs/>
              </w:rPr>
            </w:pPr>
            <w:r w:rsidRPr="004D46AC">
              <w:rPr>
                <w:color w:val="000000"/>
              </w:rPr>
              <w:t xml:space="preserve">0.31 </w:t>
            </w:r>
          </w:p>
        </w:tc>
        <w:tc>
          <w:tcPr>
            <w:tcW w:w="1687" w:type="dxa"/>
            <w:vAlign w:val="center"/>
          </w:tcPr>
          <w:p w14:paraId="5232F12A" w14:textId="77777777" w:rsidR="007075D9" w:rsidRPr="004D46AC" w:rsidRDefault="007075D9" w:rsidP="00CE2F7A">
            <w:pPr>
              <w:spacing w:line="240" w:lineRule="auto"/>
              <w:ind w:firstLine="0"/>
              <w:rPr>
                <w:b/>
                <w:bCs/>
                <w:i/>
                <w:iCs/>
              </w:rPr>
            </w:pPr>
            <w:r w:rsidRPr="004D46AC">
              <w:rPr>
                <w:color w:val="000000"/>
              </w:rPr>
              <w:t xml:space="preserve">0.27 </w:t>
            </w:r>
          </w:p>
        </w:tc>
        <w:tc>
          <w:tcPr>
            <w:tcW w:w="1687" w:type="dxa"/>
            <w:vAlign w:val="center"/>
          </w:tcPr>
          <w:p w14:paraId="075AAC8E" w14:textId="77777777" w:rsidR="007075D9" w:rsidRPr="004D46AC" w:rsidRDefault="007075D9" w:rsidP="00CE2F7A">
            <w:pPr>
              <w:spacing w:line="240" w:lineRule="auto"/>
              <w:ind w:firstLine="0"/>
              <w:rPr>
                <w:b/>
                <w:bCs/>
                <w:i/>
                <w:iCs/>
              </w:rPr>
            </w:pPr>
            <w:r w:rsidRPr="004D46AC">
              <w:rPr>
                <w:color w:val="000000"/>
              </w:rPr>
              <w:t xml:space="preserve">0.35 </w:t>
            </w:r>
          </w:p>
        </w:tc>
        <w:tc>
          <w:tcPr>
            <w:tcW w:w="1443" w:type="dxa"/>
            <w:vAlign w:val="center"/>
          </w:tcPr>
          <w:p w14:paraId="3C9A845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B307141" w14:textId="77777777" w:rsidTr="00B518F1">
        <w:tc>
          <w:tcPr>
            <w:tcW w:w="1434" w:type="dxa"/>
            <w:vAlign w:val="center"/>
          </w:tcPr>
          <w:p w14:paraId="58A20F15" w14:textId="77777777" w:rsidR="007075D9" w:rsidRPr="004D46AC" w:rsidRDefault="007075D9" w:rsidP="00CE2F7A">
            <w:pPr>
              <w:spacing w:line="240" w:lineRule="auto"/>
              <w:ind w:firstLine="0"/>
              <w:rPr>
                <w:b/>
                <w:bCs/>
                <w:i/>
                <w:iCs/>
              </w:rPr>
            </w:pPr>
            <w:r w:rsidRPr="004D46AC">
              <w:rPr>
                <w:rFonts w:eastAsia="DengXian"/>
                <w:color w:val="000000"/>
              </w:rPr>
              <w:t>ME--Y6</w:t>
            </w:r>
          </w:p>
        </w:tc>
        <w:tc>
          <w:tcPr>
            <w:tcW w:w="1687" w:type="dxa"/>
            <w:vAlign w:val="center"/>
          </w:tcPr>
          <w:p w14:paraId="5C2982CD" w14:textId="77777777" w:rsidR="007075D9" w:rsidRPr="004D46AC" w:rsidRDefault="007075D9" w:rsidP="00CE2F7A">
            <w:pPr>
              <w:spacing w:line="240" w:lineRule="auto"/>
              <w:ind w:firstLine="0"/>
              <w:rPr>
                <w:b/>
                <w:bCs/>
                <w:i/>
                <w:iCs/>
              </w:rPr>
            </w:pPr>
            <w:r w:rsidRPr="004D46AC">
              <w:rPr>
                <w:color w:val="000000"/>
              </w:rPr>
              <w:t xml:space="preserve">0.28 </w:t>
            </w:r>
          </w:p>
        </w:tc>
        <w:tc>
          <w:tcPr>
            <w:tcW w:w="1687" w:type="dxa"/>
            <w:vAlign w:val="center"/>
          </w:tcPr>
          <w:p w14:paraId="3F8BDB13" w14:textId="77777777" w:rsidR="007075D9" w:rsidRPr="004D46AC" w:rsidRDefault="007075D9" w:rsidP="00CE2F7A">
            <w:pPr>
              <w:spacing w:line="240" w:lineRule="auto"/>
              <w:ind w:firstLine="0"/>
              <w:rPr>
                <w:b/>
                <w:bCs/>
                <w:i/>
                <w:iCs/>
              </w:rPr>
            </w:pPr>
            <w:r w:rsidRPr="004D46AC">
              <w:rPr>
                <w:color w:val="000000"/>
              </w:rPr>
              <w:t xml:space="preserve">0.23 </w:t>
            </w:r>
          </w:p>
        </w:tc>
        <w:tc>
          <w:tcPr>
            <w:tcW w:w="1687" w:type="dxa"/>
            <w:vAlign w:val="center"/>
          </w:tcPr>
          <w:p w14:paraId="73603141" w14:textId="77777777" w:rsidR="007075D9" w:rsidRPr="004D46AC" w:rsidRDefault="007075D9" w:rsidP="00CE2F7A">
            <w:pPr>
              <w:spacing w:line="240" w:lineRule="auto"/>
              <w:ind w:firstLine="0"/>
              <w:rPr>
                <w:b/>
                <w:bCs/>
                <w:i/>
                <w:iCs/>
              </w:rPr>
            </w:pPr>
            <w:r w:rsidRPr="004D46AC">
              <w:rPr>
                <w:color w:val="000000"/>
              </w:rPr>
              <w:t xml:space="preserve">0.33 </w:t>
            </w:r>
          </w:p>
        </w:tc>
        <w:tc>
          <w:tcPr>
            <w:tcW w:w="1443" w:type="dxa"/>
            <w:vAlign w:val="center"/>
          </w:tcPr>
          <w:p w14:paraId="4C4E842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5B02071" w14:textId="77777777" w:rsidTr="00B518F1">
        <w:tc>
          <w:tcPr>
            <w:tcW w:w="1434" w:type="dxa"/>
            <w:vAlign w:val="center"/>
          </w:tcPr>
          <w:p w14:paraId="0C75C773" w14:textId="77777777" w:rsidR="007075D9" w:rsidRPr="004D46AC" w:rsidRDefault="007075D9" w:rsidP="00CE2F7A">
            <w:pPr>
              <w:spacing w:line="240" w:lineRule="auto"/>
              <w:ind w:firstLine="0"/>
              <w:rPr>
                <w:b/>
                <w:bCs/>
                <w:i/>
                <w:iCs/>
              </w:rPr>
            </w:pPr>
            <w:r w:rsidRPr="004D46AC">
              <w:rPr>
                <w:rFonts w:eastAsia="DengXian"/>
                <w:color w:val="000000"/>
              </w:rPr>
              <w:t>P3--P6</w:t>
            </w:r>
          </w:p>
        </w:tc>
        <w:tc>
          <w:tcPr>
            <w:tcW w:w="1687" w:type="dxa"/>
            <w:vAlign w:val="center"/>
          </w:tcPr>
          <w:p w14:paraId="1D712B92" w14:textId="77777777" w:rsidR="007075D9" w:rsidRPr="004D46AC" w:rsidRDefault="007075D9" w:rsidP="00CE2F7A">
            <w:pPr>
              <w:spacing w:line="240" w:lineRule="auto"/>
              <w:ind w:firstLine="0"/>
              <w:rPr>
                <w:b/>
                <w:bCs/>
                <w:i/>
                <w:iCs/>
              </w:rPr>
            </w:pPr>
            <w:r w:rsidRPr="004D46AC">
              <w:rPr>
                <w:color w:val="000000"/>
              </w:rPr>
              <w:t xml:space="preserve">0.24 </w:t>
            </w:r>
          </w:p>
        </w:tc>
        <w:tc>
          <w:tcPr>
            <w:tcW w:w="1687" w:type="dxa"/>
            <w:vAlign w:val="center"/>
          </w:tcPr>
          <w:p w14:paraId="19A13AA3"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59533456" w14:textId="77777777" w:rsidR="007075D9" w:rsidRPr="004D46AC" w:rsidRDefault="007075D9" w:rsidP="00CE2F7A">
            <w:pPr>
              <w:spacing w:line="240" w:lineRule="auto"/>
              <w:ind w:firstLine="0"/>
              <w:rPr>
                <w:b/>
                <w:bCs/>
                <w:i/>
                <w:iCs/>
              </w:rPr>
            </w:pPr>
            <w:r w:rsidRPr="004D46AC">
              <w:rPr>
                <w:color w:val="000000"/>
              </w:rPr>
              <w:t xml:space="preserve">0.28 </w:t>
            </w:r>
          </w:p>
        </w:tc>
        <w:tc>
          <w:tcPr>
            <w:tcW w:w="1443" w:type="dxa"/>
            <w:vAlign w:val="center"/>
          </w:tcPr>
          <w:p w14:paraId="680BBF2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7F40D91" w14:textId="77777777" w:rsidTr="00B518F1">
        <w:tc>
          <w:tcPr>
            <w:tcW w:w="1434" w:type="dxa"/>
            <w:vAlign w:val="center"/>
          </w:tcPr>
          <w:p w14:paraId="70D96584" w14:textId="77777777" w:rsidR="007075D9" w:rsidRPr="004D46AC" w:rsidRDefault="007075D9" w:rsidP="00CE2F7A">
            <w:pPr>
              <w:spacing w:line="240" w:lineRule="auto"/>
              <w:ind w:firstLine="0"/>
              <w:rPr>
                <w:b/>
                <w:bCs/>
                <w:i/>
                <w:iCs/>
              </w:rPr>
            </w:pPr>
            <w:r w:rsidRPr="004D46AC">
              <w:rPr>
                <w:rFonts w:eastAsia="DengXian"/>
                <w:color w:val="000000"/>
              </w:rPr>
              <w:t>M9--M10</w:t>
            </w:r>
          </w:p>
        </w:tc>
        <w:tc>
          <w:tcPr>
            <w:tcW w:w="1687" w:type="dxa"/>
            <w:vAlign w:val="center"/>
          </w:tcPr>
          <w:p w14:paraId="5F186A51" w14:textId="77777777" w:rsidR="007075D9" w:rsidRPr="004D46AC" w:rsidRDefault="007075D9" w:rsidP="00CE2F7A">
            <w:pPr>
              <w:spacing w:line="240" w:lineRule="auto"/>
              <w:ind w:firstLine="0"/>
              <w:rPr>
                <w:b/>
                <w:bCs/>
                <w:i/>
                <w:iCs/>
              </w:rPr>
            </w:pPr>
            <w:r w:rsidRPr="004D46AC">
              <w:rPr>
                <w:color w:val="000000"/>
              </w:rPr>
              <w:t xml:space="preserve">0.23 </w:t>
            </w:r>
          </w:p>
        </w:tc>
        <w:tc>
          <w:tcPr>
            <w:tcW w:w="1687" w:type="dxa"/>
            <w:vAlign w:val="center"/>
          </w:tcPr>
          <w:p w14:paraId="46B39EE2"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73E32ECC" w14:textId="77777777" w:rsidR="007075D9" w:rsidRPr="004D46AC" w:rsidRDefault="007075D9" w:rsidP="00CE2F7A">
            <w:pPr>
              <w:spacing w:line="240" w:lineRule="auto"/>
              <w:ind w:firstLine="0"/>
              <w:rPr>
                <w:b/>
                <w:bCs/>
                <w:i/>
                <w:iCs/>
              </w:rPr>
            </w:pPr>
            <w:r w:rsidRPr="004D46AC">
              <w:rPr>
                <w:color w:val="000000"/>
              </w:rPr>
              <w:t xml:space="preserve">0.28 </w:t>
            </w:r>
          </w:p>
        </w:tc>
        <w:tc>
          <w:tcPr>
            <w:tcW w:w="1443" w:type="dxa"/>
            <w:vAlign w:val="center"/>
          </w:tcPr>
          <w:p w14:paraId="6D873B1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CAEC3EF" w14:textId="77777777" w:rsidTr="00B518F1">
        <w:tc>
          <w:tcPr>
            <w:tcW w:w="1434" w:type="dxa"/>
            <w:vAlign w:val="center"/>
          </w:tcPr>
          <w:p w14:paraId="68B976E0" w14:textId="77777777" w:rsidR="007075D9" w:rsidRPr="004D46AC" w:rsidRDefault="007075D9" w:rsidP="00CE2F7A">
            <w:pPr>
              <w:spacing w:line="240" w:lineRule="auto"/>
              <w:ind w:firstLine="0"/>
              <w:rPr>
                <w:b/>
                <w:bCs/>
                <w:i/>
                <w:iCs/>
              </w:rPr>
            </w:pPr>
            <w:r w:rsidRPr="004D46AC">
              <w:rPr>
                <w:rFonts w:eastAsia="DengXian"/>
                <w:color w:val="000000"/>
              </w:rPr>
              <w:t>WD--M8</w:t>
            </w:r>
          </w:p>
        </w:tc>
        <w:tc>
          <w:tcPr>
            <w:tcW w:w="1687" w:type="dxa"/>
            <w:vAlign w:val="center"/>
          </w:tcPr>
          <w:p w14:paraId="2E124B50" w14:textId="77777777" w:rsidR="007075D9" w:rsidRPr="004D46AC" w:rsidRDefault="007075D9" w:rsidP="00CE2F7A">
            <w:pPr>
              <w:spacing w:line="240" w:lineRule="auto"/>
              <w:ind w:firstLine="0"/>
              <w:rPr>
                <w:b/>
                <w:bCs/>
                <w:i/>
                <w:iCs/>
              </w:rPr>
            </w:pPr>
            <w:r w:rsidRPr="004D46AC">
              <w:rPr>
                <w:color w:val="000000"/>
              </w:rPr>
              <w:t xml:space="preserve">0.23 </w:t>
            </w:r>
          </w:p>
        </w:tc>
        <w:tc>
          <w:tcPr>
            <w:tcW w:w="1687" w:type="dxa"/>
            <w:vAlign w:val="center"/>
          </w:tcPr>
          <w:p w14:paraId="0EE01109"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44FA38FF" w14:textId="77777777" w:rsidR="007075D9" w:rsidRPr="004D46AC" w:rsidRDefault="007075D9" w:rsidP="00CE2F7A">
            <w:pPr>
              <w:spacing w:line="240" w:lineRule="auto"/>
              <w:ind w:firstLine="0"/>
              <w:rPr>
                <w:b/>
                <w:bCs/>
                <w:i/>
                <w:iCs/>
              </w:rPr>
            </w:pPr>
            <w:r w:rsidRPr="004D46AC">
              <w:rPr>
                <w:color w:val="000000"/>
              </w:rPr>
              <w:t xml:space="preserve">0.26 </w:t>
            </w:r>
          </w:p>
        </w:tc>
        <w:tc>
          <w:tcPr>
            <w:tcW w:w="1443" w:type="dxa"/>
            <w:vAlign w:val="center"/>
          </w:tcPr>
          <w:p w14:paraId="4E69675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0E84391" w14:textId="77777777" w:rsidTr="00B518F1">
        <w:tc>
          <w:tcPr>
            <w:tcW w:w="1434" w:type="dxa"/>
            <w:vAlign w:val="center"/>
          </w:tcPr>
          <w:p w14:paraId="179F724E" w14:textId="77777777" w:rsidR="007075D9" w:rsidRPr="004D46AC" w:rsidRDefault="007075D9" w:rsidP="00CE2F7A">
            <w:pPr>
              <w:spacing w:line="240" w:lineRule="auto"/>
              <w:ind w:firstLine="0"/>
              <w:rPr>
                <w:b/>
                <w:bCs/>
                <w:i/>
                <w:iCs/>
              </w:rPr>
            </w:pPr>
            <w:r w:rsidRPr="004D46AC">
              <w:rPr>
                <w:rFonts w:eastAsia="DengXian"/>
                <w:color w:val="000000"/>
              </w:rPr>
              <w:t>M7--M8</w:t>
            </w:r>
          </w:p>
        </w:tc>
        <w:tc>
          <w:tcPr>
            <w:tcW w:w="1687" w:type="dxa"/>
            <w:vAlign w:val="center"/>
          </w:tcPr>
          <w:p w14:paraId="5AF0E2F1" w14:textId="77777777" w:rsidR="007075D9" w:rsidRPr="004D46AC" w:rsidRDefault="007075D9" w:rsidP="00CE2F7A">
            <w:pPr>
              <w:spacing w:line="240" w:lineRule="auto"/>
              <w:ind w:firstLine="0"/>
              <w:rPr>
                <w:b/>
                <w:bCs/>
                <w:i/>
                <w:iCs/>
              </w:rPr>
            </w:pPr>
            <w:r w:rsidRPr="004D46AC">
              <w:rPr>
                <w:color w:val="000000"/>
              </w:rPr>
              <w:t xml:space="preserve">0.22 </w:t>
            </w:r>
          </w:p>
        </w:tc>
        <w:tc>
          <w:tcPr>
            <w:tcW w:w="1687" w:type="dxa"/>
            <w:vAlign w:val="center"/>
          </w:tcPr>
          <w:p w14:paraId="663F11C3"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1C995A5B" w14:textId="77777777" w:rsidR="007075D9" w:rsidRPr="004D46AC" w:rsidRDefault="007075D9" w:rsidP="00CE2F7A">
            <w:pPr>
              <w:spacing w:line="240" w:lineRule="auto"/>
              <w:ind w:firstLine="0"/>
              <w:rPr>
                <w:b/>
                <w:bCs/>
                <w:i/>
                <w:iCs/>
              </w:rPr>
            </w:pPr>
            <w:r w:rsidRPr="004D46AC">
              <w:rPr>
                <w:color w:val="000000"/>
              </w:rPr>
              <w:t xml:space="preserve">0.26 </w:t>
            </w:r>
          </w:p>
        </w:tc>
        <w:tc>
          <w:tcPr>
            <w:tcW w:w="1443" w:type="dxa"/>
            <w:vAlign w:val="center"/>
          </w:tcPr>
          <w:p w14:paraId="422C19D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B6104AA" w14:textId="77777777" w:rsidTr="00B518F1">
        <w:tc>
          <w:tcPr>
            <w:tcW w:w="1434" w:type="dxa"/>
            <w:vAlign w:val="center"/>
          </w:tcPr>
          <w:p w14:paraId="5974F22F" w14:textId="77777777" w:rsidR="007075D9" w:rsidRPr="004D46AC" w:rsidRDefault="007075D9" w:rsidP="00CE2F7A">
            <w:pPr>
              <w:spacing w:line="240" w:lineRule="auto"/>
              <w:ind w:firstLine="0"/>
              <w:rPr>
                <w:b/>
                <w:bCs/>
                <w:i/>
                <w:iCs/>
              </w:rPr>
            </w:pPr>
            <w:r w:rsidRPr="004D46AC">
              <w:rPr>
                <w:rFonts w:eastAsia="DengXian"/>
                <w:color w:val="000000"/>
              </w:rPr>
              <w:t>M5--SP</w:t>
            </w:r>
          </w:p>
        </w:tc>
        <w:tc>
          <w:tcPr>
            <w:tcW w:w="1687" w:type="dxa"/>
            <w:vAlign w:val="center"/>
          </w:tcPr>
          <w:p w14:paraId="767BCD1D" w14:textId="77777777" w:rsidR="007075D9" w:rsidRPr="004D46AC" w:rsidRDefault="007075D9" w:rsidP="00CE2F7A">
            <w:pPr>
              <w:spacing w:line="240" w:lineRule="auto"/>
              <w:ind w:firstLine="0"/>
              <w:rPr>
                <w:b/>
                <w:bCs/>
                <w:i/>
                <w:iCs/>
              </w:rPr>
            </w:pPr>
            <w:r w:rsidRPr="004D46AC">
              <w:rPr>
                <w:color w:val="000000"/>
              </w:rPr>
              <w:t xml:space="preserve">0.21 </w:t>
            </w:r>
          </w:p>
        </w:tc>
        <w:tc>
          <w:tcPr>
            <w:tcW w:w="1687" w:type="dxa"/>
            <w:vAlign w:val="center"/>
          </w:tcPr>
          <w:p w14:paraId="0678BBCA"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60C8D75F" w14:textId="77777777" w:rsidR="007075D9" w:rsidRPr="004D46AC" w:rsidRDefault="007075D9" w:rsidP="00CE2F7A">
            <w:pPr>
              <w:spacing w:line="240" w:lineRule="auto"/>
              <w:ind w:firstLine="0"/>
              <w:rPr>
                <w:b/>
                <w:bCs/>
                <w:i/>
                <w:iCs/>
              </w:rPr>
            </w:pPr>
            <w:r w:rsidRPr="004D46AC">
              <w:rPr>
                <w:color w:val="000000"/>
              </w:rPr>
              <w:t xml:space="preserve">0.26 </w:t>
            </w:r>
          </w:p>
        </w:tc>
        <w:tc>
          <w:tcPr>
            <w:tcW w:w="1443" w:type="dxa"/>
            <w:vAlign w:val="center"/>
          </w:tcPr>
          <w:p w14:paraId="13FB510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FACBA43" w14:textId="77777777" w:rsidTr="00B518F1">
        <w:tc>
          <w:tcPr>
            <w:tcW w:w="1434" w:type="dxa"/>
            <w:vAlign w:val="center"/>
          </w:tcPr>
          <w:p w14:paraId="43FCB64A" w14:textId="77777777" w:rsidR="007075D9" w:rsidRPr="004D46AC" w:rsidRDefault="007075D9" w:rsidP="00CE2F7A">
            <w:pPr>
              <w:spacing w:line="240" w:lineRule="auto"/>
              <w:ind w:firstLine="0"/>
              <w:rPr>
                <w:b/>
                <w:bCs/>
                <w:i/>
                <w:iCs/>
              </w:rPr>
            </w:pPr>
            <w:r w:rsidRPr="004D46AC">
              <w:rPr>
                <w:rFonts w:eastAsia="DengXian"/>
                <w:color w:val="000000"/>
              </w:rPr>
              <w:t>P6--WD</w:t>
            </w:r>
          </w:p>
        </w:tc>
        <w:tc>
          <w:tcPr>
            <w:tcW w:w="1687" w:type="dxa"/>
            <w:vAlign w:val="center"/>
          </w:tcPr>
          <w:p w14:paraId="50EA0821" w14:textId="77777777" w:rsidR="007075D9" w:rsidRPr="004D46AC" w:rsidRDefault="007075D9" w:rsidP="00CE2F7A">
            <w:pPr>
              <w:spacing w:line="240" w:lineRule="auto"/>
              <w:ind w:firstLine="0"/>
              <w:rPr>
                <w:b/>
                <w:bCs/>
                <w:i/>
                <w:iCs/>
              </w:rPr>
            </w:pPr>
            <w:r w:rsidRPr="004D46AC">
              <w:rPr>
                <w:color w:val="000000"/>
              </w:rPr>
              <w:t xml:space="preserve">0.20 </w:t>
            </w:r>
          </w:p>
        </w:tc>
        <w:tc>
          <w:tcPr>
            <w:tcW w:w="1687" w:type="dxa"/>
            <w:vAlign w:val="center"/>
          </w:tcPr>
          <w:p w14:paraId="3D46AC43"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5B4B4ABF" w14:textId="77777777" w:rsidR="007075D9" w:rsidRPr="004D46AC" w:rsidRDefault="007075D9" w:rsidP="00CE2F7A">
            <w:pPr>
              <w:spacing w:line="240" w:lineRule="auto"/>
              <w:ind w:firstLine="0"/>
              <w:rPr>
                <w:b/>
                <w:bCs/>
                <w:i/>
                <w:iCs/>
              </w:rPr>
            </w:pPr>
            <w:r w:rsidRPr="004D46AC">
              <w:rPr>
                <w:color w:val="000000"/>
              </w:rPr>
              <w:t xml:space="preserve">0.24 </w:t>
            </w:r>
          </w:p>
        </w:tc>
        <w:tc>
          <w:tcPr>
            <w:tcW w:w="1443" w:type="dxa"/>
            <w:vAlign w:val="center"/>
          </w:tcPr>
          <w:p w14:paraId="727F7B5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5EC664C" w14:textId="77777777" w:rsidTr="00B518F1">
        <w:tc>
          <w:tcPr>
            <w:tcW w:w="1434" w:type="dxa"/>
            <w:vAlign w:val="center"/>
          </w:tcPr>
          <w:p w14:paraId="40727295" w14:textId="77777777" w:rsidR="007075D9" w:rsidRPr="004D46AC" w:rsidRDefault="007075D9" w:rsidP="00CE2F7A">
            <w:pPr>
              <w:spacing w:line="240" w:lineRule="auto"/>
              <w:ind w:firstLine="0"/>
              <w:rPr>
                <w:b/>
                <w:bCs/>
                <w:i/>
                <w:iCs/>
              </w:rPr>
            </w:pPr>
            <w:r w:rsidRPr="004D46AC">
              <w:rPr>
                <w:rFonts w:eastAsia="DengXian"/>
                <w:color w:val="000000"/>
              </w:rPr>
              <w:t>ME--Y7</w:t>
            </w:r>
          </w:p>
        </w:tc>
        <w:tc>
          <w:tcPr>
            <w:tcW w:w="1687" w:type="dxa"/>
            <w:vAlign w:val="center"/>
          </w:tcPr>
          <w:p w14:paraId="01A29A98" w14:textId="77777777" w:rsidR="007075D9" w:rsidRPr="004D46AC" w:rsidRDefault="007075D9" w:rsidP="00CE2F7A">
            <w:pPr>
              <w:spacing w:line="240" w:lineRule="auto"/>
              <w:ind w:firstLine="0"/>
              <w:rPr>
                <w:b/>
                <w:bCs/>
                <w:i/>
                <w:iCs/>
              </w:rPr>
            </w:pPr>
            <w:r w:rsidRPr="004D46AC">
              <w:rPr>
                <w:color w:val="000000"/>
              </w:rPr>
              <w:t xml:space="preserve">0.20 </w:t>
            </w:r>
          </w:p>
        </w:tc>
        <w:tc>
          <w:tcPr>
            <w:tcW w:w="1687" w:type="dxa"/>
            <w:vAlign w:val="center"/>
          </w:tcPr>
          <w:p w14:paraId="5611723D"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765870C4" w14:textId="77777777" w:rsidR="007075D9" w:rsidRPr="004D46AC" w:rsidRDefault="007075D9" w:rsidP="00CE2F7A">
            <w:pPr>
              <w:spacing w:line="240" w:lineRule="auto"/>
              <w:ind w:firstLine="0"/>
              <w:rPr>
                <w:b/>
                <w:bCs/>
                <w:i/>
                <w:iCs/>
              </w:rPr>
            </w:pPr>
            <w:r w:rsidRPr="004D46AC">
              <w:rPr>
                <w:color w:val="000000"/>
              </w:rPr>
              <w:t xml:space="preserve">0.24 </w:t>
            </w:r>
          </w:p>
        </w:tc>
        <w:tc>
          <w:tcPr>
            <w:tcW w:w="1443" w:type="dxa"/>
            <w:vAlign w:val="center"/>
          </w:tcPr>
          <w:p w14:paraId="39EAF60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A378C02" w14:textId="77777777" w:rsidTr="00B518F1">
        <w:tc>
          <w:tcPr>
            <w:tcW w:w="1434" w:type="dxa"/>
            <w:vAlign w:val="center"/>
          </w:tcPr>
          <w:p w14:paraId="591D3498" w14:textId="77777777" w:rsidR="007075D9" w:rsidRPr="004D46AC" w:rsidRDefault="007075D9" w:rsidP="00CE2F7A">
            <w:pPr>
              <w:spacing w:line="240" w:lineRule="auto"/>
              <w:ind w:firstLine="0"/>
              <w:rPr>
                <w:b/>
                <w:bCs/>
                <w:i/>
                <w:iCs/>
              </w:rPr>
            </w:pPr>
            <w:r w:rsidRPr="004D46AC">
              <w:rPr>
                <w:rFonts w:eastAsia="DengXian"/>
                <w:color w:val="000000"/>
              </w:rPr>
              <w:t>Y6--Y7</w:t>
            </w:r>
          </w:p>
        </w:tc>
        <w:tc>
          <w:tcPr>
            <w:tcW w:w="1687" w:type="dxa"/>
            <w:vAlign w:val="center"/>
          </w:tcPr>
          <w:p w14:paraId="507793E5"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16718884"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1C8EFF01" w14:textId="77777777" w:rsidR="007075D9" w:rsidRPr="004D46AC" w:rsidRDefault="007075D9" w:rsidP="00CE2F7A">
            <w:pPr>
              <w:spacing w:line="240" w:lineRule="auto"/>
              <w:ind w:firstLine="0"/>
              <w:rPr>
                <w:b/>
                <w:bCs/>
                <w:i/>
                <w:iCs/>
              </w:rPr>
            </w:pPr>
            <w:r w:rsidRPr="004D46AC">
              <w:rPr>
                <w:color w:val="000000"/>
              </w:rPr>
              <w:t xml:space="preserve">0.24 </w:t>
            </w:r>
          </w:p>
        </w:tc>
        <w:tc>
          <w:tcPr>
            <w:tcW w:w="1443" w:type="dxa"/>
            <w:vAlign w:val="center"/>
          </w:tcPr>
          <w:p w14:paraId="34D9950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C94F234" w14:textId="77777777" w:rsidTr="00B518F1">
        <w:tc>
          <w:tcPr>
            <w:tcW w:w="1434" w:type="dxa"/>
            <w:vAlign w:val="center"/>
          </w:tcPr>
          <w:p w14:paraId="6002E75D" w14:textId="77777777" w:rsidR="007075D9" w:rsidRPr="004D46AC" w:rsidRDefault="007075D9" w:rsidP="00CE2F7A">
            <w:pPr>
              <w:spacing w:line="240" w:lineRule="auto"/>
              <w:ind w:firstLine="0"/>
              <w:rPr>
                <w:b/>
                <w:bCs/>
                <w:i/>
                <w:iCs/>
              </w:rPr>
            </w:pPr>
            <w:r w:rsidRPr="004D46AC">
              <w:rPr>
                <w:rFonts w:eastAsia="DengXian"/>
                <w:color w:val="000000"/>
              </w:rPr>
              <w:t>Y7--M6</w:t>
            </w:r>
          </w:p>
        </w:tc>
        <w:tc>
          <w:tcPr>
            <w:tcW w:w="1687" w:type="dxa"/>
            <w:vAlign w:val="center"/>
          </w:tcPr>
          <w:p w14:paraId="6A72D54A"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526D7769"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4C8AD6D4"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05605B2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996D724" w14:textId="77777777" w:rsidTr="00B518F1">
        <w:tc>
          <w:tcPr>
            <w:tcW w:w="1434" w:type="dxa"/>
            <w:vAlign w:val="center"/>
          </w:tcPr>
          <w:p w14:paraId="591CA056" w14:textId="77777777" w:rsidR="007075D9" w:rsidRPr="004D46AC" w:rsidRDefault="007075D9" w:rsidP="00CE2F7A">
            <w:pPr>
              <w:spacing w:line="240" w:lineRule="auto"/>
              <w:ind w:firstLine="0"/>
              <w:rPr>
                <w:b/>
                <w:bCs/>
                <w:i/>
                <w:iCs/>
              </w:rPr>
            </w:pPr>
            <w:r w:rsidRPr="004D46AC">
              <w:rPr>
                <w:rFonts w:eastAsia="DengXian"/>
                <w:color w:val="000000"/>
              </w:rPr>
              <w:t>N1--WD</w:t>
            </w:r>
          </w:p>
        </w:tc>
        <w:tc>
          <w:tcPr>
            <w:tcW w:w="1687" w:type="dxa"/>
            <w:vAlign w:val="center"/>
          </w:tcPr>
          <w:p w14:paraId="3A3FEF37" w14:textId="77777777" w:rsidR="007075D9" w:rsidRPr="004D46AC" w:rsidRDefault="007075D9" w:rsidP="00CE2F7A">
            <w:pPr>
              <w:spacing w:line="240" w:lineRule="auto"/>
              <w:ind w:firstLine="0"/>
              <w:rPr>
                <w:b/>
                <w:bCs/>
                <w:i/>
                <w:iCs/>
              </w:rPr>
            </w:pPr>
            <w:r w:rsidRPr="004D46AC">
              <w:rPr>
                <w:color w:val="000000"/>
              </w:rPr>
              <w:t xml:space="preserve">0.18 </w:t>
            </w:r>
          </w:p>
        </w:tc>
        <w:tc>
          <w:tcPr>
            <w:tcW w:w="1687" w:type="dxa"/>
            <w:vAlign w:val="center"/>
          </w:tcPr>
          <w:p w14:paraId="41C8E101"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526CBCE7"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3097C61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5B20AF0" w14:textId="77777777" w:rsidTr="00B518F1">
        <w:tc>
          <w:tcPr>
            <w:tcW w:w="1434" w:type="dxa"/>
            <w:vAlign w:val="center"/>
          </w:tcPr>
          <w:p w14:paraId="3AC84CCE" w14:textId="77777777" w:rsidR="007075D9" w:rsidRPr="004D46AC" w:rsidRDefault="007075D9" w:rsidP="00CE2F7A">
            <w:pPr>
              <w:spacing w:line="240" w:lineRule="auto"/>
              <w:ind w:firstLine="0"/>
              <w:rPr>
                <w:b/>
                <w:bCs/>
                <w:i/>
                <w:iCs/>
              </w:rPr>
            </w:pPr>
            <w:r w:rsidRPr="004D46AC">
              <w:rPr>
                <w:rFonts w:eastAsia="DengXian"/>
                <w:color w:val="000000"/>
              </w:rPr>
              <w:t>RC--WD</w:t>
            </w:r>
          </w:p>
        </w:tc>
        <w:tc>
          <w:tcPr>
            <w:tcW w:w="1687" w:type="dxa"/>
            <w:vAlign w:val="center"/>
          </w:tcPr>
          <w:p w14:paraId="313754AD"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32B84285"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61DCC1B4"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6D000AF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BD37FC6" w14:textId="77777777" w:rsidTr="00B518F1">
        <w:tc>
          <w:tcPr>
            <w:tcW w:w="1434" w:type="dxa"/>
            <w:vAlign w:val="center"/>
          </w:tcPr>
          <w:p w14:paraId="0A5A653E" w14:textId="77777777" w:rsidR="007075D9" w:rsidRPr="004D46AC" w:rsidRDefault="007075D9" w:rsidP="00CE2F7A">
            <w:pPr>
              <w:spacing w:line="240" w:lineRule="auto"/>
              <w:ind w:firstLine="0"/>
              <w:rPr>
                <w:b/>
                <w:bCs/>
                <w:i/>
                <w:iCs/>
              </w:rPr>
            </w:pPr>
            <w:r w:rsidRPr="004D46AC">
              <w:rPr>
                <w:rFonts w:eastAsia="DengXian"/>
                <w:color w:val="000000"/>
              </w:rPr>
              <w:t>M3--M9</w:t>
            </w:r>
          </w:p>
        </w:tc>
        <w:tc>
          <w:tcPr>
            <w:tcW w:w="1687" w:type="dxa"/>
            <w:vAlign w:val="center"/>
          </w:tcPr>
          <w:p w14:paraId="48EABD03"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7061EC7C"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77BA4D6D"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41393C8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E98D64B" w14:textId="77777777" w:rsidTr="00B518F1">
        <w:tc>
          <w:tcPr>
            <w:tcW w:w="1434" w:type="dxa"/>
            <w:vAlign w:val="center"/>
          </w:tcPr>
          <w:p w14:paraId="0BD9B762" w14:textId="77777777" w:rsidR="007075D9" w:rsidRPr="004D46AC" w:rsidRDefault="007075D9" w:rsidP="00CE2F7A">
            <w:pPr>
              <w:spacing w:line="240" w:lineRule="auto"/>
              <w:ind w:firstLine="0"/>
              <w:rPr>
                <w:b/>
                <w:bCs/>
                <w:i/>
                <w:iCs/>
              </w:rPr>
            </w:pPr>
            <w:r w:rsidRPr="004D46AC">
              <w:rPr>
                <w:rFonts w:eastAsia="DengXian"/>
                <w:color w:val="000000"/>
              </w:rPr>
              <w:t>IA--M3</w:t>
            </w:r>
          </w:p>
        </w:tc>
        <w:tc>
          <w:tcPr>
            <w:tcW w:w="1687" w:type="dxa"/>
            <w:vAlign w:val="center"/>
          </w:tcPr>
          <w:p w14:paraId="3A5CE605"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18F1293B"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76C786FC"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5F92677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CD3B800" w14:textId="77777777" w:rsidTr="00B518F1">
        <w:tc>
          <w:tcPr>
            <w:tcW w:w="1434" w:type="dxa"/>
            <w:vAlign w:val="center"/>
          </w:tcPr>
          <w:p w14:paraId="1861B159" w14:textId="77777777" w:rsidR="007075D9" w:rsidRPr="004D46AC" w:rsidRDefault="007075D9" w:rsidP="00CE2F7A">
            <w:pPr>
              <w:spacing w:line="240" w:lineRule="auto"/>
              <w:ind w:firstLine="0"/>
              <w:rPr>
                <w:b/>
                <w:bCs/>
                <w:i/>
                <w:iCs/>
              </w:rPr>
            </w:pPr>
            <w:r w:rsidRPr="004D46AC">
              <w:rPr>
                <w:rFonts w:eastAsia="DengXian"/>
                <w:color w:val="000000"/>
              </w:rPr>
              <w:t>M2--M8</w:t>
            </w:r>
          </w:p>
        </w:tc>
        <w:tc>
          <w:tcPr>
            <w:tcW w:w="1687" w:type="dxa"/>
            <w:vAlign w:val="center"/>
          </w:tcPr>
          <w:p w14:paraId="76DD5C59"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252CCB4E"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4280244F"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48FDD4A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2DE6D66" w14:textId="77777777" w:rsidTr="00B518F1">
        <w:tc>
          <w:tcPr>
            <w:tcW w:w="1434" w:type="dxa"/>
            <w:vAlign w:val="center"/>
          </w:tcPr>
          <w:p w14:paraId="7146ADB7" w14:textId="77777777" w:rsidR="007075D9" w:rsidRPr="004D46AC" w:rsidRDefault="007075D9" w:rsidP="00CE2F7A">
            <w:pPr>
              <w:spacing w:line="240" w:lineRule="auto"/>
              <w:ind w:firstLine="0"/>
              <w:rPr>
                <w:b/>
                <w:bCs/>
                <w:i/>
                <w:iCs/>
              </w:rPr>
            </w:pPr>
            <w:r w:rsidRPr="004D46AC">
              <w:rPr>
                <w:rFonts w:eastAsia="DengXian"/>
                <w:color w:val="000000"/>
              </w:rPr>
              <w:t>P2--N5</w:t>
            </w:r>
          </w:p>
        </w:tc>
        <w:tc>
          <w:tcPr>
            <w:tcW w:w="1687" w:type="dxa"/>
            <w:vAlign w:val="center"/>
          </w:tcPr>
          <w:p w14:paraId="3F833DE4"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28EA29C6"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3A515185"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5CB124D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9698AB2" w14:textId="77777777" w:rsidTr="00B518F1">
        <w:tc>
          <w:tcPr>
            <w:tcW w:w="1434" w:type="dxa"/>
            <w:vAlign w:val="center"/>
          </w:tcPr>
          <w:p w14:paraId="7A17A51D" w14:textId="77777777" w:rsidR="007075D9" w:rsidRPr="004D46AC" w:rsidRDefault="007075D9" w:rsidP="00CE2F7A">
            <w:pPr>
              <w:spacing w:line="240" w:lineRule="auto"/>
              <w:ind w:firstLine="0"/>
              <w:rPr>
                <w:b/>
                <w:bCs/>
                <w:i/>
                <w:iCs/>
              </w:rPr>
            </w:pPr>
            <w:r w:rsidRPr="004D46AC">
              <w:rPr>
                <w:rFonts w:eastAsia="DengXian"/>
                <w:color w:val="000000"/>
              </w:rPr>
              <w:t>IA--Y7</w:t>
            </w:r>
          </w:p>
        </w:tc>
        <w:tc>
          <w:tcPr>
            <w:tcW w:w="1687" w:type="dxa"/>
            <w:vAlign w:val="center"/>
          </w:tcPr>
          <w:p w14:paraId="7826392D"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6D6C660F"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7294513F"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3EFDCB3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E7305D4" w14:textId="77777777" w:rsidTr="00B518F1">
        <w:tc>
          <w:tcPr>
            <w:tcW w:w="1434" w:type="dxa"/>
            <w:vAlign w:val="center"/>
          </w:tcPr>
          <w:p w14:paraId="50FA8B5B" w14:textId="77777777" w:rsidR="007075D9" w:rsidRPr="004D46AC" w:rsidRDefault="007075D9" w:rsidP="00CE2F7A">
            <w:pPr>
              <w:spacing w:line="240" w:lineRule="auto"/>
              <w:ind w:firstLine="0"/>
              <w:rPr>
                <w:b/>
                <w:bCs/>
                <w:i/>
                <w:iCs/>
              </w:rPr>
            </w:pPr>
            <w:r w:rsidRPr="004D46AC">
              <w:rPr>
                <w:rFonts w:eastAsia="DengXian"/>
                <w:color w:val="000000"/>
              </w:rPr>
              <w:t>M6--M7</w:t>
            </w:r>
          </w:p>
        </w:tc>
        <w:tc>
          <w:tcPr>
            <w:tcW w:w="1687" w:type="dxa"/>
            <w:vAlign w:val="center"/>
          </w:tcPr>
          <w:p w14:paraId="36C100D8"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254A2FB1"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2A146F3F"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6CFC847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F1EE339" w14:textId="77777777" w:rsidTr="00B518F1">
        <w:tc>
          <w:tcPr>
            <w:tcW w:w="1434" w:type="dxa"/>
            <w:vAlign w:val="center"/>
          </w:tcPr>
          <w:p w14:paraId="0DB350D6" w14:textId="77777777" w:rsidR="007075D9" w:rsidRPr="004D46AC" w:rsidRDefault="007075D9" w:rsidP="00CE2F7A">
            <w:pPr>
              <w:spacing w:line="240" w:lineRule="auto"/>
              <w:ind w:firstLine="0"/>
              <w:rPr>
                <w:b/>
                <w:bCs/>
                <w:i/>
                <w:iCs/>
              </w:rPr>
            </w:pPr>
            <w:r w:rsidRPr="004D46AC">
              <w:rPr>
                <w:rFonts w:eastAsia="DengXian"/>
                <w:color w:val="000000"/>
              </w:rPr>
              <w:t>M3--M6</w:t>
            </w:r>
          </w:p>
        </w:tc>
        <w:tc>
          <w:tcPr>
            <w:tcW w:w="1687" w:type="dxa"/>
            <w:vAlign w:val="center"/>
          </w:tcPr>
          <w:p w14:paraId="3330EBC6"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76D1D016"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6A28CEEE"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3A9772E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3145CED" w14:textId="77777777" w:rsidTr="00B518F1">
        <w:tc>
          <w:tcPr>
            <w:tcW w:w="1434" w:type="dxa"/>
            <w:vAlign w:val="center"/>
          </w:tcPr>
          <w:p w14:paraId="3EFFF878" w14:textId="77777777" w:rsidR="007075D9" w:rsidRPr="004D46AC" w:rsidRDefault="007075D9" w:rsidP="00CE2F7A">
            <w:pPr>
              <w:spacing w:line="240" w:lineRule="auto"/>
              <w:ind w:firstLine="0"/>
              <w:rPr>
                <w:b/>
                <w:bCs/>
                <w:i/>
                <w:iCs/>
              </w:rPr>
            </w:pPr>
            <w:r w:rsidRPr="004D46AC">
              <w:rPr>
                <w:rFonts w:eastAsia="DengXian"/>
                <w:color w:val="000000"/>
              </w:rPr>
              <w:t>N5--N7</w:t>
            </w:r>
          </w:p>
        </w:tc>
        <w:tc>
          <w:tcPr>
            <w:tcW w:w="1687" w:type="dxa"/>
            <w:vAlign w:val="center"/>
          </w:tcPr>
          <w:p w14:paraId="7CEBE99C"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016DF399"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7226D3AD"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56937C4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2DBCB93" w14:textId="77777777" w:rsidTr="00B518F1">
        <w:tc>
          <w:tcPr>
            <w:tcW w:w="1434" w:type="dxa"/>
            <w:vAlign w:val="center"/>
          </w:tcPr>
          <w:p w14:paraId="6F3DF0D2" w14:textId="77777777" w:rsidR="007075D9" w:rsidRPr="004D46AC" w:rsidRDefault="007075D9" w:rsidP="00CE2F7A">
            <w:pPr>
              <w:spacing w:line="240" w:lineRule="auto"/>
              <w:ind w:firstLine="0"/>
              <w:rPr>
                <w:b/>
                <w:bCs/>
                <w:i/>
                <w:iCs/>
              </w:rPr>
            </w:pPr>
            <w:r w:rsidRPr="004D46AC">
              <w:rPr>
                <w:rFonts w:eastAsia="DengXian"/>
                <w:color w:val="000000"/>
              </w:rPr>
              <w:t>M6--M8</w:t>
            </w:r>
          </w:p>
        </w:tc>
        <w:tc>
          <w:tcPr>
            <w:tcW w:w="1687" w:type="dxa"/>
            <w:vAlign w:val="center"/>
          </w:tcPr>
          <w:p w14:paraId="364CAAE4"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3644B762"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053BFA2E"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68F9667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D1AED44" w14:textId="77777777" w:rsidTr="00B518F1">
        <w:tc>
          <w:tcPr>
            <w:tcW w:w="1434" w:type="dxa"/>
            <w:vAlign w:val="center"/>
          </w:tcPr>
          <w:p w14:paraId="051DAE08" w14:textId="77777777" w:rsidR="007075D9" w:rsidRPr="004D46AC" w:rsidRDefault="007075D9" w:rsidP="00CE2F7A">
            <w:pPr>
              <w:spacing w:line="240" w:lineRule="auto"/>
              <w:ind w:firstLine="0"/>
              <w:rPr>
                <w:b/>
                <w:bCs/>
                <w:i/>
                <w:iCs/>
              </w:rPr>
            </w:pPr>
            <w:r w:rsidRPr="004D46AC">
              <w:rPr>
                <w:rFonts w:eastAsia="DengXian"/>
                <w:color w:val="000000"/>
              </w:rPr>
              <w:t>M2--M9</w:t>
            </w:r>
          </w:p>
        </w:tc>
        <w:tc>
          <w:tcPr>
            <w:tcW w:w="1687" w:type="dxa"/>
            <w:vAlign w:val="center"/>
          </w:tcPr>
          <w:p w14:paraId="5EAA2466"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40433F70"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EE5721E"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7357DF3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77B2BD3" w14:textId="77777777" w:rsidTr="00B518F1">
        <w:tc>
          <w:tcPr>
            <w:tcW w:w="1434" w:type="dxa"/>
            <w:vAlign w:val="center"/>
          </w:tcPr>
          <w:p w14:paraId="5D0D0AAA" w14:textId="77777777" w:rsidR="007075D9" w:rsidRPr="004D46AC" w:rsidRDefault="007075D9" w:rsidP="00CE2F7A">
            <w:pPr>
              <w:spacing w:line="240" w:lineRule="auto"/>
              <w:ind w:firstLine="0"/>
              <w:rPr>
                <w:b/>
                <w:bCs/>
                <w:i/>
                <w:iCs/>
              </w:rPr>
            </w:pPr>
            <w:r w:rsidRPr="004D46AC">
              <w:rPr>
                <w:rFonts w:eastAsia="DengXian"/>
                <w:color w:val="000000"/>
              </w:rPr>
              <w:t>P4--P5</w:t>
            </w:r>
          </w:p>
        </w:tc>
        <w:tc>
          <w:tcPr>
            <w:tcW w:w="1687" w:type="dxa"/>
            <w:vAlign w:val="center"/>
          </w:tcPr>
          <w:p w14:paraId="585F081A"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50C6C04F"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73CC81FE"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07A3F1A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E2DE243" w14:textId="77777777" w:rsidTr="00B518F1">
        <w:tc>
          <w:tcPr>
            <w:tcW w:w="1434" w:type="dxa"/>
            <w:vAlign w:val="center"/>
          </w:tcPr>
          <w:p w14:paraId="0B4D1D6A" w14:textId="77777777" w:rsidR="007075D9" w:rsidRPr="004D46AC" w:rsidRDefault="007075D9" w:rsidP="00CE2F7A">
            <w:pPr>
              <w:spacing w:line="240" w:lineRule="auto"/>
              <w:ind w:firstLine="0"/>
              <w:rPr>
                <w:b/>
                <w:bCs/>
                <w:i/>
                <w:iCs/>
              </w:rPr>
            </w:pPr>
            <w:r w:rsidRPr="004D46AC">
              <w:rPr>
                <w:rFonts w:eastAsia="DengXian"/>
                <w:color w:val="000000"/>
              </w:rPr>
              <w:t>M7--M9</w:t>
            </w:r>
          </w:p>
        </w:tc>
        <w:tc>
          <w:tcPr>
            <w:tcW w:w="1687" w:type="dxa"/>
            <w:vAlign w:val="center"/>
          </w:tcPr>
          <w:p w14:paraId="286E243B"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2470B22B"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126FE115"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691AA4B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A1A08CE" w14:textId="77777777" w:rsidTr="00B518F1">
        <w:tc>
          <w:tcPr>
            <w:tcW w:w="1434" w:type="dxa"/>
            <w:vAlign w:val="center"/>
          </w:tcPr>
          <w:p w14:paraId="014DFFC2" w14:textId="77777777" w:rsidR="007075D9" w:rsidRPr="004D46AC" w:rsidRDefault="007075D9" w:rsidP="00CE2F7A">
            <w:pPr>
              <w:spacing w:line="240" w:lineRule="auto"/>
              <w:ind w:firstLine="0"/>
              <w:rPr>
                <w:b/>
                <w:bCs/>
                <w:i/>
                <w:iCs/>
              </w:rPr>
            </w:pPr>
            <w:r w:rsidRPr="004D46AC">
              <w:rPr>
                <w:rFonts w:eastAsia="DengXian"/>
                <w:color w:val="000000"/>
              </w:rPr>
              <w:t>M8--M9</w:t>
            </w:r>
          </w:p>
        </w:tc>
        <w:tc>
          <w:tcPr>
            <w:tcW w:w="1687" w:type="dxa"/>
            <w:vAlign w:val="center"/>
          </w:tcPr>
          <w:p w14:paraId="285959AB"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06D1C4B3"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3873C242"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4BF03B2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60D6F8E" w14:textId="77777777" w:rsidTr="00B518F1">
        <w:tc>
          <w:tcPr>
            <w:tcW w:w="1434" w:type="dxa"/>
            <w:vAlign w:val="center"/>
          </w:tcPr>
          <w:p w14:paraId="33D0A52C" w14:textId="77777777" w:rsidR="007075D9" w:rsidRPr="004D46AC" w:rsidRDefault="007075D9" w:rsidP="00CE2F7A">
            <w:pPr>
              <w:spacing w:line="240" w:lineRule="auto"/>
              <w:ind w:firstLine="0"/>
              <w:rPr>
                <w:b/>
                <w:bCs/>
                <w:i/>
                <w:iCs/>
              </w:rPr>
            </w:pPr>
            <w:r w:rsidRPr="004D46AC">
              <w:rPr>
                <w:rFonts w:eastAsia="DengXian"/>
                <w:color w:val="000000"/>
              </w:rPr>
              <w:t>M2--M10</w:t>
            </w:r>
          </w:p>
        </w:tc>
        <w:tc>
          <w:tcPr>
            <w:tcW w:w="1687" w:type="dxa"/>
            <w:vAlign w:val="center"/>
          </w:tcPr>
          <w:p w14:paraId="665D56C2"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25D63F26"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27415326"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101F911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8BC2264" w14:textId="77777777" w:rsidTr="00B518F1">
        <w:tc>
          <w:tcPr>
            <w:tcW w:w="1434" w:type="dxa"/>
            <w:vAlign w:val="center"/>
          </w:tcPr>
          <w:p w14:paraId="6C7D5268" w14:textId="77777777" w:rsidR="007075D9" w:rsidRPr="004D46AC" w:rsidRDefault="007075D9" w:rsidP="00CE2F7A">
            <w:pPr>
              <w:spacing w:line="240" w:lineRule="auto"/>
              <w:ind w:firstLine="0"/>
              <w:rPr>
                <w:b/>
                <w:bCs/>
                <w:i/>
                <w:iCs/>
              </w:rPr>
            </w:pPr>
            <w:r w:rsidRPr="004D46AC">
              <w:rPr>
                <w:rFonts w:eastAsia="DengXian"/>
                <w:color w:val="000000"/>
              </w:rPr>
              <w:t>P4--ME</w:t>
            </w:r>
          </w:p>
        </w:tc>
        <w:tc>
          <w:tcPr>
            <w:tcW w:w="1687" w:type="dxa"/>
            <w:vAlign w:val="center"/>
          </w:tcPr>
          <w:p w14:paraId="1ECF45FC"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10BCA519"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30166DAD"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677A452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6D43810" w14:textId="77777777" w:rsidTr="00B518F1">
        <w:tc>
          <w:tcPr>
            <w:tcW w:w="1434" w:type="dxa"/>
            <w:vAlign w:val="center"/>
          </w:tcPr>
          <w:p w14:paraId="448030C4" w14:textId="77777777" w:rsidR="007075D9" w:rsidRPr="004D46AC" w:rsidRDefault="007075D9" w:rsidP="00CE2F7A">
            <w:pPr>
              <w:spacing w:line="240" w:lineRule="auto"/>
              <w:ind w:firstLine="0"/>
              <w:rPr>
                <w:b/>
                <w:bCs/>
                <w:i/>
                <w:iCs/>
              </w:rPr>
            </w:pPr>
            <w:r w:rsidRPr="004D46AC">
              <w:rPr>
                <w:rFonts w:eastAsia="DengXian"/>
                <w:color w:val="000000"/>
              </w:rPr>
              <w:t>M2--M7</w:t>
            </w:r>
          </w:p>
        </w:tc>
        <w:tc>
          <w:tcPr>
            <w:tcW w:w="1687" w:type="dxa"/>
            <w:vAlign w:val="center"/>
          </w:tcPr>
          <w:p w14:paraId="04DBB243"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7B526CC2"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24234610"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7843A9C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E315AEA" w14:textId="77777777" w:rsidTr="00B518F1">
        <w:tc>
          <w:tcPr>
            <w:tcW w:w="1434" w:type="dxa"/>
            <w:vAlign w:val="center"/>
          </w:tcPr>
          <w:p w14:paraId="2677ADD5" w14:textId="77777777" w:rsidR="007075D9" w:rsidRPr="004D46AC" w:rsidRDefault="007075D9" w:rsidP="00CE2F7A">
            <w:pPr>
              <w:spacing w:line="240" w:lineRule="auto"/>
              <w:ind w:firstLine="0"/>
              <w:rPr>
                <w:b/>
                <w:bCs/>
                <w:i/>
                <w:iCs/>
              </w:rPr>
            </w:pPr>
            <w:r w:rsidRPr="004D46AC">
              <w:rPr>
                <w:rFonts w:eastAsia="DengXian"/>
                <w:color w:val="000000"/>
              </w:rPr>
              <w:t>ME--Y3</w:t>
            </w:r>
          </w:p>
        </w:tc>
        <w:tc>
          <w:tcPr>
            <w:tcW w:w="1687" w:type="dxa"/>
            <w:vAlign w:val="center"/>
          </w:tcPr>
          <w:p w14:paraId="58548D0F"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3EB459A2"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27DF65E2"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4054544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87990C4" w14:textId="77777777" w:rsidTr="00B518F1">
        <w:tc>
          <w:tcPr>
            <w:tcW w:w="1434" w:type="dxa"/>
            <w:vAlign w:val="center"/>
          </w:tcPr>
          <w:p w14:paraId="4679B546" w14:textId="77777777" w:rsidR="007075D9" w:rsidRPr="004D46AC" w:rsidRDefault="007075D9" w:rsidP="00CE2F7A">
            <w:pPr>
              <w:spacing w:line="240" w:lineRule="auto"/>
              <w:ind w:firstLine="0"/>
              <w:rPr>
                <w:b/>
                <w:bCs/>
                <w:i/>
                <w:iCs/>
              </w:rPr>
            </w:pPr>
            <w:r w:rsidRPr="004D46AC">
              <w:rPr>
                <w:rFonts w:eastAsia="DengXian"/>
                <w:color w:val="000000"/>
              </w:rPr>
              <w:t>M3--SP</w:t>
            </w:r>
          </w:p>
        </w:tc>
        <w:tc>
          <w:tcPr>
            <w:tcW w:w="1687" w:type="dxa"/>
            <w:vAlign w:val="center"/>
          </w:tcPr>
          <w:p w14:paraId="462C186B"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24B1A07B"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4D665FD5"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6B773D5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28D72CC" w14:textId="77777777" w:rsidTr="00B518F1">
        <w:tc>
          <w:tcPr>
            <w:tcW w:w="1434" w:type="dxa"/>
            <w:vAlign w:val="center"/>
          </w:tcPr>
          <w:p w14:paraId="4AB39EC5" w14:textId="77777777" w:rsidR="007075D9" w:rsidRPr="004D46AC" w:rsidRDefault="007075D9" w:rsidP="00CE2F7A">
            <w:pPr>
              <w:spacing w:line="240" w:lineRule="auto"/>
              <w:ind w:firstLine="0"/>
              <w:rPr>
                <w:b/>
                <w:bCs/>
                <w:i/>
                <w:iCs/>
              </w:rPr>
            </w:pPr>
            <w:r w:rsidRPr="004D46AC">
              <w:rPr>
                <w:rFonts w:eastAsia="DengXian"/>
                <w:color w:val="000000"/>
              </w:rPr>
              <w:t>N1--N5</w:t>
            </w:r>
          </w:p>
        </w:tc>
        <w:tc>
          <w:tcPr>
            <w:tcW w:w="1687" w:type="dxa"/>
            <w:vAlign w:val="center"/>
          </w:tcPr>
          <w:p w14:paraId="67DED729"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6AF139CD"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43435B9E"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0A1E96D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ACCBACB" w14:textId="77777777" w:rsidTr="00B518F1">
        <w:tc>
          <w:tcPr>
            <w:tcW w:w="1434" w:type="dxa"/>
            <w:vAlign w:val="center"/>
          </w:tcPr>
          <w:p w14:paraId="1779DAE5" w14:textId="77777777" w:rsidR="007075D9" w:rsidRPr="004D46AC" w:rsidRDefault="007075D9" w:rsidP="00CE2F7A">
            <w:pPr>
              <w:spacing w:line="240" w:lineRule="auto"/>
              <w:ind w:firstLine="0"/>
              <w:rPr>
                <w:b/>
                <w:bCs/>
                <w:i/>
                <w:iCs/>
              </w:rPr>
            </w:pPr>
            <w:r w:rsidRPr="004D46AC">
              <w:rPr>
                <w:rFonts w:eastAsia="DengXian"/>
                <w:color w:val="000000"/>
              </w:rPr>
              <w:t>RC--N7</w:t>
            </w:r>
          </w:p>
        </w:tc>
        <w:tc>
          <w:tcPr>
            <w:tcW w:w="1687" w:type="dxa"/>
            <w:vAlign w:val="center"/>
          </w:tcPr>
          <w:p w14:paraId="38CF546A"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04E63C74"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0FA9EEBB"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0538457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E46AFE4" w14:textId="77777777" w:rsidTr="00B518F1">
        <w:tc>
          <w:tcPr>
            <w:tcW w:w="1434" w:type="dxa"/>
            <w:vAlign w:val="center"/>
          </w:tcPr>
          <w:p w14:paraId="7B26E72B" w14:textId="77777777" w:rsidR="007075D9" w:rsidRPr="004D46AC" w:rsidRDefault="007075D9" w:rsidP="00CE2F7A">
            <w:pPr>
              <w:spacing w:line="240" w:lineRule="auto"/>
              <w:ind w:firstLine="0"/>
              <w:rPr>
                <w:b/>
                <w:bCs/>
                <w:i/>
                <w:iCs/>
              </w:rPr>
            </w:pPr>
            <w:r w:rsidRPr="004D46AC">
              <w:rPr>
                <w:rFonts w:eastAsia="DengXian"/>
                <w:color w:val="000000"/>
              </w:rPr>
              <w:t>P4--Y6</w:t>
            </w:r>
          </w:p>
        </w:tc>
        <w:tc>
          <w:tcPr>
            <w:tcW w:w="1687" w:type="dxa"/>
            <w:vAlign w:val="center"/>
          </w:tcPr>
          <w:p w14:paraId="1E7F4C44"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149D990F"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7D058B71"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58C37AB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1BD2921" w14:textId="77777777" w:rsidTr="00B518F1">
        <w:tc>
          <w:tcPr>
            <w:tcW w:w="1434" w:type="dxa"/>
            <w:vAlign w:val="center"/>
          </w:tcPr>
          <w:p w14:paraId="58D6A4A1" w14:textId="77777777" w:rsidR="007075D9" w:rsidRPr="004D46AC" w:rsidRDefault="007075D9" w:rsidP="00CE2F7A">
            <w:pPr>
              <w:spacing w:line="240" w:lineRule="auto"/>
              <w:ind w:firstLine="0"/>
              <w:rPr>
                <w:b/>
                <w:bCs/>
                <w:i/>
                <w:iCs/>
              </w:rPr>
            </w:pPr>
            <w:r w:rsidRPr="004D46AC">
              <w:rPr>
                <w:rFonts w:eastAsia="DengXian"/>
                <w:color w:val="000000"/>
              </w:rPr>
              <w:t>M3--M7</w:t>
            </w:r>
          </w:p>
        </w:tc>
        <w:tc>
          <w:tcPr>
            <w:tcW w:w="1687" w:type="dxa"/>
            <w:vAlign w:val="center"/>
          </w:tcPr>
          <w:p w14:paraId="3D76966C"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09757039"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795EFD04"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4C1D792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6334428" w14:textId="77777777" w:rsidTr="00B518F1">
        <w:tc>
          <w:tcPr>
            <w:tcW w:w="1434" w:type="dxa"/>
            <w:vAlign w:val="center"/>
          </w:tcPr>
          <w:p w14:paraId="70DFA2AA" w14:textId="77777777" w:rsidR="007075D9" w:rsidRPr="004D46AC" w:rsidRDefault="007075D9" w:rsidP="00CE2F7A">
            <w:pPr>
              <w:spacing w:line="240" w:lineRule="auto"/>
              <w:ind w:firstLine="0"/>
              <w:rPr>
                <w:b/>
                <w:bCs/>
                <w:i/>
                <w:iCs/>
              </w:rPr>
            </w:pPr>
            <w:r w:rsidRPr="004D46AC">
              <w:rPr>
                <w:rFonts w:eastAsia="DengXian"/>
                <w:color w:val="000000"/>
              </w:rPr>
              <w:t>P4--Y7</w:t>
            </w:r>
          </w:p>
        </w:tc>
        <w:tc>
          <w:tcPr>
            <w:tcW w:w="1687" w:type="dxa"/>
            <w:vAlign w:val="center"/>
          </w:tcPr>
          <w:p w14:paraId="4E703F21"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4332BA11"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0C18F94B"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352060E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E916180" w14:textId="77777777" w:rsidTr="00B518F1">
        <w:tc>
          <w:tcPr>
            <w:tcW w:w="1434" w:type="dxa"/>
            <w:vAlign w:val="center"/>
          </w:tcPr>
          <w:p w14:paraId="67CA8720" w14:textId="77777777" w:rsidR="007075D9" w:rsidRPr="004D46AC" w:rsidRDefault="007075D9" w:rsidP="00CE2F7A">
            <w:pPr>
              <w:spacing w:line="240" w:lineRule="auto"/>
              <w:ind w:firstLine="0"/>
              <w:rPr>
                <w:b/>
                <w:bCs/>
                <w:i/>
                <w:iCs/>
              </w:rPr>
            </w:pPr>
            <w:r w:rsidRPr="004D46AC">
              <w:rPr>
                <w:rFonts w:eastAsia="DengXian"/>
                <w:color w:val="000000"/>
              </w:rPr>
              <w:t>P6--IA</w:t>
            </w:r>
          </w:p>
        </w:tc>
        <w:tc>
          <w:tcPr>
            <w:tcW w:w="1687" w:type="dxa"/>
            <w:vAlign w:val="center"/>
          </w:tcPr>
          <w:p w14:paraId="5FAEB33C"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4C1EF21E"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5A3B4343"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2E903D6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57F553D" w14:textId="77777777" w:rsidTr="00B518F1">
        <w:tc>
          <w:tcPr>
            <w:tcW w:w="1434" w:type="dxa"/>
            <w:vAlign w:val="center"/>
          </w:tcPr>
          <w:p w14:paraId="5A5662B6" w14:textId="77777777" w:rsidR="007075D9" w:rsidRPr="004D46AC" w:rsidRDefault="007075D9" w:rsidP="00CE2F7A">
            <w:pPr>
              <w:spacing w:line="240" w:lineRule="auto"/>
              <w:ind w:firstLine="0"/>
              <w:rPr>
                <w:b/>
                <w:bCs/>
                <w:i/>
                <w:iCs/>
              </w:rPr>
            </w:pPr>
            <w:r w:rsidRPr="004D46AC">
              <w:rPr>
                <w:rFonts w:eastAsia="DengXian"/>
                <w:color w:val="000000"/>
              </w:rPr>
              <w:t>P5--P6</w:t>
            </w:r>
          </w:p>
        </w:tc>
        <w:tc>
          <w:tcPr>
            <w:tcW w:w="1687" w:type="dxa"/>
            <w:vAlign w:val="center"/>
          </w:tcPr>
          <w:p w14:paraId="3F15B9A8"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3F803E32"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35DEC7AD"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3E9F049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8FC6A09" w14:textId="77777777" w:rsidTr="00B518F1">
        <w:tc>
          <w:tcPr>
            <w:tcW w:w="1434" w:type="dxa"/>
            <w:vAlign w:val="center"/>
          </w:tcPr>
          <w:p w14:paraId="30F5FD32" w14:textId="77777777" w:rsidR="007075D9" w:rsidRPr="004D46AC" w:rsidRDefault="007075D9" w:rsidP="00CE2F7A">
            <w:pPr>
              <w:spacing w:line="240" w:lineRule="auto"/>
              <w:ind w:firstLine="0"/>
              <w:rPr>
                <w:b/>
                <w:bCs/>
                <w:i/>
                <w:iCs/>
              </w:rPr>
            </w:pPr>
            <w:r w:rsidRPr="004D46AC">
              <w:rPr>
                <w:rFonts w:eastAsia="DengXian"/>
                <w:color w:val="000000"/>
              </w:rPr>
              <w:t>P5--Y11</w:t>
            </w:r>
          </w:p>
        </w:tc>
        <w:tc>
          <w:tcPr>
            <w:tcW w:w="1687" w:type="dxa"/>
            <w:vAlign w:val="center"/>
          </w:tcPr>
          <w:p w14:paraId="67FF40B4"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4662158D"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BE1AC19"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5B9407C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1D3833A" w14:textId="77777777" w:rsidTr="00B518F1">
        <w:tc>
          <w:tcPr>
            <w:tcW w:w="1434" w:type="dxa"/>
            <w:vAlign w:val="center"/>
          </w:tcPr>
          <w:p w14:paraId="667CD34D" w14:textId="77777777" w:rsidR="007075D9" w:rsidRPr="004D46AC" w:rsidRDefault="007075D9" w:rsidP="00CE2F7A">
            <w:pPr>
              <w:spacing w:line="240" w:lineRule="auto"/>
              <w:ind w:firstLine="0"/>
              <w:rPr>
                <w:b/>
                <w:bCs/>
                <w:i/>
                <w:iCs/>
              </w:rPr>
            </w:pPr>
            <w:r w:rsidRPr="004D46AC">
              <w:rPr>
                <w:rFonts w:eastAsia="DengXian"/>
                <w:color w:val="000000"/>
              </w:rPr>
              <w:t>P5--N7</w:t>
            </w:r>
          </w:p>
        </w:tc>
        <w:tc>
          <w:tcPr>
            <w:tcW w:w="1687" w:type="dxa"/>
            <w:vAlign w:val="center"/>
          </w:tcPr>
          <w:p w14:paraId="5DC330B9"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24311DCC"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0B50E6DE"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39B5784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EAEAF65" w14:textId="77777777" w:rsidTr="00B518F1">
        <w:tc>
          <w:tcPr>
            <w:tcW w:w="1434" w:type="dxa"/>
            <w:vAlign w:val="center"/>
          </w:tcPr>
          <w:p w14:paraId="2A5DF63A" w14:textId="77777777" w:rsidR="007075D9" w:rsidRPr="004D46AC" w:rsidRDefault="007075D9" w:rsidP="00CE2F7A">
            <w:pPr>
              <w:spacing w:line="240" w:lineRule="auto"/>
              <w:ind w:firstLine="0"/>
              <w:rPr>
                <w:b/>
                <w:bCs/>
                <w:i/>
                <w:iCs/>
              </w:rPr>
            </w:pPr>
            <w:r w:rsidRPr="004D46AC">
              <w:rPr>
                <w:rFonts w:eastAsia="DengXian"/>
                <w:color w:val="000000"/>
              </w:rPr>
              <w:t>IA--SP</w:t>
            </w:r>
          </w:p>
        </w:tc>
        <w:tc>
          <w:tcPr>
            <w:tcW w:w="1687" w:type="dxa"/>
            <w:vAlign w:val="center"/>
          </w:tcPr>
          <w:p w14:paraId="71BBE4B7"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50422290"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1434BF50"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469C211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D1C4F8C" w14:textId="77777777" w:rsidTr="00B518F1">
        <w:tc>
          <w:tcPr>
            <w:tcW w:w="1434" w:type="dxa"/>
            <w:vAlign w:val="center"/>
          </w:tcPr>
          <w:p w14:paraId="3E8BA470" w14:textId="77777777" w:rsidR="007075D9" w:rsidRPr="004D46AC" w:rsidRDefault="007075D9" w:rsidP="00CE2F7A">
            <w:pPr>
              <w:spacing w:line="240" w:lineRule="auto"/>
              <w:ind w:firstLine="0"/>
              <w:rPr>
                <w:b/>
                <w:bCs/>
                <w:i/>
                <w:iCs/>
              </w:rPr>
            </w:pPr>
            <w:r w:rsidRPr="004D46AC">
              <w:rPr>
                <w:rFonts w:eastAsia="DengXian"/>
                <w:color w:val="000000"/>
              </w:rPr>
              <w:t>P3--N5</w:t>
            </w:r>
          </w:p>
        </w:tc>
        <w:tc>
          <w:tcPr>
            <w:tcW w:w="1687" w:type="dxa"/>
            <w:vAlign w:val="center"/>
          </w:tcPr>
          <w:p w14:paraId="0E302226"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79ACDE4"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8D9859C"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0BE78D1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CC53BB0" w14:textId="77777777" w:rsidTr="00B518F1">
        <w:tc>
          <w:tcPr>
            <w:tcW w:w="1434" w:type="dxa"/>
            <w:vAlign w:val="center"/>
          </w:tcPr>
          <w:p w14:paraId="52247D6F" w14:textId="77777777" w:rsidR="007075D9" w:rsidRPr="004D46AC" w:rsidRDefault="007075D9" w:rsidP="00CE2F7A">
            <w:pPr>
              <w:spacing w:line="240" w:lineRule="auto"/>
              <w:ind w:firstLine="0"/>
              <w:rPr>
                <w:b/>
                <w:bCs/>
                <w:i/>
                <w:iCs/>
              </w:rPr>
            </w:pPr>
            <w:r w:rsidRPr="004D46AC">
              <w:rPr>
                <w:rFonts w:eastAsia="DengXian"/>
                <w:color w:val="000000"/>
              </w:rPr>
              <w:t>P2--Y7</w:t>
            </w:r>
          </w:p>
        </w:tc>
        <w:tc>
          <w:tcPr>
            <w:tcW w:w="1687" w:type="dxa"/>
            <w:vAlign w:val="center"/>
          </w:tcPr>
          <w:p w14:paraId="5CECE16A"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06909466"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399CE50"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6E8CDB4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4CC87FA" w14:textId="77777777" w:rsidTr="00B518F1">
        <w:tc>
          <w:tcPr>
            <w:tcW w:w="1434" w:type="dxa"/>
            <w:vAlign w:val="center"/>
          </w:tcPr>
          <w:p w14:paraId="258FA362" w14:textId="77777777" w:rsidR="007075D9" w:rsidRPr="004D46AC" w:rsidRDefault="007075D9" w:rsidP="00CE2F7A">
            <w:pPr>
              <w:spacing w:line="240" w:lineRule="auto"/>
              <w:ind w:firstLine="0"/>
              <w:rPr>
                <w:b/>
                <w:bCs/>
                <w:i/>
                <w:iCs/>
              </w:rPr>
            </w:pPr>
            <w:r w:rsidRPr="004D46AC">
              <w:rPr>
                <w:rFonts w:eastAsia="DengXian"/>
                <w:color w:val="000000"/>
              </w:rPr>
              <w:t>P2--P4</w:t>
            </w:r>
          </w:p>
        </w:tc>
        <w:tc>
          <w:tcPr>
            <w:tcW w:w="1687" w:type="dxa"/>
            <w:vAlign w:val="center"/>
          </w:tcPr>
          <w:p w14:paraId="127BB548"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2EE633FE"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506570E3"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5EA8979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245AE45" w14:textId="77777777" w:rsidTr="00B518F1">
        <w:tc>
          <w:tcPr>
            <w:tcW w:w="1434" w:type="dxa"/>
            <w:vAlign w:val="center"/>
          </w:tcPr>
          <w:p w14:paraId="3589288F" w14:textId="77777777" w:rsidR="007075D9" w:rsidRPr="004D46AC" w:rsidRDefault="007075D9" w:rsidP="00CE2F7A">
            <w:pPr>
              <w:spacing w:line="240" w:lineRule="auto"/>
              <w:ind w:firstLine="0"/>
              <w:rPr>
                <w:b/>
                <w:bCs/>
                <w:i/>
                <w:iCs/>
              </w:rPr>
            </w:pPr>
            <w:r w:rsidRPr="004D46AC">
              <w:rPr>
                <w:rFonts w:eastAsia="DengXian"/>
                <w:color w:val="000000"/>
              </w:rPr>
              <w:t>M2--M6</w:t>
            </w:r>
          </w:p>
        </w:tc>
        <w:tc>
          <w:tcPr>
            <w:tcW w:w="1687" w:type="dxa"/>
            <w:vAlign w:val="center"/>
          </w:tcPr>
          <w:p w14:paraId="69E5CC44"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2FDA3022"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075639D"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127B610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3A4EB67" w14:textId="77777777" w:rsidTr="00B518F1">
        <w:tc>
          <w:tcPr>
            <w:tcW w:w="1434" w:type="dxa"/>
            <w:vAlign w:val="center"/>
          </w:tcPr>
          <w:p w14:paraId="663B6268" w14:textId="77777777" w:rsidR="007075D9" w:rsidRPr="004D46AC" w:rsidRDefault="007075D9" w:rsidP="00CE2F7A">
            <w:pPr>
              <w:spacing w:line="240" w:lineRule="auto"/>
              <w:ind w:firstLine="0"/>
              <w:rPr>
                <w:b/>
                <w:bCs/>
                <w:i/>
                <w:iCs/>
              </w:rPr>
            </w:pPr>
            <w:r w:rsidRPr="004D46AC">
              <w:rPr>
                <w:rFonts w:eastAsia="DengXian"/>
                <w:color w:val="000000"/>
              </w:rPr>
              <w:t>P4--IA</w:t>
            </w:r>
          </w:p>
        </w:tc>
        <w:tc>
          <w:tcPr>
            <w:tcW w:w="1687" w:type="dxa"/>
            <w:vAlign w:val="center"/>
          </w:tcPr>
          <w:p w14:paraId="0F3B2BB7"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C08CF97"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2910B1F8"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00882FF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3B66199" w14:textId="77777777" w:rsidTr="00B518F1">
        <w:tc>
          <w:tcPr>
            <w:tcW w:w="1434" w:type="dxa"/>
            <w:vAlign w:val="center"/>
          </w:tcPr>
          <w:p w14:paraId="68E78BA2" w14:textId="77777777" w:rsidR="007075D9" w:rsidRPr="004D46AC" w:rsidRDefault="007075D9" w:rsidP="00CE2F7A">
            <w:pPr>
              <w:spacing w:line="240" w:lineRule="auto"/>
              <w:ind w:firstLine="0"/>
              <w:rPr>
                <w:b/>
                <w:bCs/>
                <w:i/>
                <w:iCs/>
              </w:rPr>
            </w:pPr>
            <w:r w:rsidRPr="004D46AC">
              <w:rPr>
                <w:rFonts w:eastAsia="DengXian"/>
                <w:color w:val="000000"/>
              </w:rPr>
              <w:t>M2--M3</w:t>
            </w:r>
          </w:p>
        </w:tc>
        <w:tc>
          <w:tcPr>
            <w:tcW w:w="1687" w:type="dxa"/>
            <w:vAlign w:val="center"/>
          </w:tcPr>
          <w:p w14:paraId="15E4BA8D"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02D56EA5"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510264FD"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63E92ED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321DBE5" w14:textId="77777777" w:rsidTr="00B518F1">
        <w:tc>
          <w:tcPr>
            <w:tcW w:w="1434" w:type="dxa"/>
            <w:vAlign w:val="center"/>
          </w:tcPr>
          <w:p w14:paraId="06CAD140" w14:textId="77777777" w:rsidR="007075D9" w:rsidRPr="004D46AC" w:rsidRDefault="007075D9" w:rsidP="00CE2F7A">
            <w:pPr>
              <w:spacing w:line="240" w:lineRule="auto"/>
              <w:ind w:firstLine="0"/>
              <w:rPr>
                <w:b/>
                <w:bCs/>
                <w:i/>
                <w:iCs/>
              </w:rPr>
            </w:pPr>
            <w:r w:rsidRPr="004D46AC">
              <w:rPr>
                <w:rFonts w:eastAsia="DengXian"/>
                <w:color w:val="000000"/>
              </w:rPr>
              <w:t>M5--M8</w:t>
            </w:r>
          </w:p>
        </w:tc>
        <w:tc>
          <w:tcPr>
            <w:tcW w:w="1687" w:type="dxa"/>
            <w:vAlign w:val="center"/>
          </w:tcPr>
          <w:p w14:paraId="2DCA2D3D"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40363E5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C02B737"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0F3BC5D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8593597" w14:textId="77777777" w:rsidTr="00B518F1">
        <w:tc>
          <w:tcPr>
            <w:tcW w:w="1434" w:type="dxa"/>
            <w:vAlign w:val="center"/>
          </w:tcPr>
          <w:p w14:paraId="44FD8D4C" w14:textId="77777777" w:rsidR="007075D9" w:rsidRPr="004D46AC" w:rsidRDefault="007075D9" w:rsidP="00CE2F7A">
            <w:pPr>
              <w:spacing w:line="240" w:lineRule="auto"/>
              <w:ind w:firstLine="0"/>
              <w:rPr>
                <w:b/>
                <w:bCs/>
                <w:i/>
                <w:iCs/>
              </w:rPr>
            </w:pPr>
            <w:r w:rsidRPr="004D46AC">
              <w:rPr>
                <w:rFonts w:eastAsia="DengXian"/>
                <w:color w:val="000000"/>
              </w:rPr>
              <w:t>P2--P6</w:t>
            </w:r>
          </w:p>
        </w:tc>
        <w:tc>
          <w:tcPr>
            <w:tcW w:w="1687" w:type="dxa"/>
            <w:vAlign w:val="center"/>
          </w:tcPr>
          <w:p w14:paraId="4E2283CA"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1D26AB6F"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F8B8D00"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57AD245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DF12B79" w14:textId="77777777" w:rsidTr="00B518F1">
        <w:tc>
          <w:tcPr>
            <w:tcW w:w="1434" w:type="dxa"/>
            <w:vAlign w:val="center"/>
          </w:tcPr>
          <w:p w14:paraId="0169BCF9" w14:textId="77777777" w:rsidR="007075D9" w:rsidRPr="004D46AC" w:rsidRDefault="007075D9" w:rsidP="00CE2F7A">
            <w:pPr>
              <w:spacing w:line="240" w:lineRule="auto"/>
              <w:ind w:firstLine="0"/>
              <w:rPr>
                <w:b/>
                <w:bCs/>
                <w:i/>
                <w:iCs/>
              </w:rPr>
            </w:pPr>
            <w:r w:rsidRPr="004D46AC">
              <w:rPr>
                <w:rFonts w:eastAsia="DengXian"/>
                <w:color w:val="000000"/>
              </w:rPr>
              <w:lastRenderedPageBreak/>
              <w:t>P2--Y11</w:t>
            </w:r>
          </w:p>
        </w:tc>
        <w:tc>
          <w:tcPr>
            <w:tcW w:w="1687" w:type="dxa"/>
            <w:vAlign w:val="center"/>
          </w:tcPr>
          <w:p w14:paraId="50834B23"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7E65DC6"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BA854FD"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43D1428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8F6078B" w14:textId="77777777" w:rsidTr="00B518F1">
        <w:tc>
          <w:tcPr>
            <w:tcW w:w="1434" w:type="dxa"/>
            <w:vAlign w:val="center"/>
          </w:tcPr>
          <w:p w14:paraId="381DAE47" w14:textId="77777777" w:rsidR="007075D9" w:rsidRPr="004D46AC" w:rsidRDefault="007075D9" w:rsidP="00CE2F7A">
            <w:pPr>
              <w:spacing w:line="240" w:lineRule="auto"/>
              <w:ind w:firstLine="0"/>
              <w:rPr>
                <w:b/>
                <w:bCs/>
                <w:i/>
                <w:iCs/>
              </w:rPr>
            </w:pPr>
            <w:r w:rsidRPr="004D46AC">
              <w:rPr>
                <w:rFonts w:eastAsia="DengXian"/>
                <w:color w:val="000000"/>
              </w:rPr>
              <w:t>P6--N7</w:t>
            </w:r>
          </w:p>
        </w:tc>
        <w:tc>
          <w:tcPr>
            <w:tcW w:w="1687" w:type="dxa"/>
            <w:vAlign w:val="center"/>
          </w:tcPr>
          <w:p w14:paraId="65B3B428"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3A133E9E"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F56164F"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74A27F2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03EB323" w14:textId="77777777" w:rsidTr="00B518F1">
        <w:tc>
          <w:tcPr>
            <w:tcW w:w="1434" w:type="dxa"/>
            <w:vAlign w:val="center"/>
          </w:tcPr>
          <w:p w14:paraId="318C0E7A" w14:textId="77777777" w:rsidR="007075D9" w:rsidRPr="004D46AC" w:rsidRDefault="007075D9" w:rsidP="00CE2F7A">
            <w:pPr>
              <w:spacing w:line="240" w:lineRule="auto"/>
              <w:ind w:firstLine="0"/>
              <w:rPr>
                <w:b/>
                <w:bCs/>
                <w:i/>
                <w:iCs/>
              </w:rPr>
            </w:pPr>
            <w:r w:rsidRPr="004D46AC">
              <w:rPr>
                <w:rFonts w:eastAsia="DengXian"/>
                <w:color w:val="000000"/>
              </w:rPr>
              <w:t>IA--Y6</w:t>
            </w:r>
          </w:p>
        </w:tc>
        <w:tc>
          <w:tcPr>
            <w:tcW w:w="1687" w:type="dxa"/>
            <w:vAlign w:val="center"/>
          </w:tcPr>
          <w:p w14:paraId="651433E3"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31775F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614564C"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153F80D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0266D4D" w14:textId="77777777" w:rsidTr="00B518F1">
        <w:tc>
          <w:tcPr>
            <w:tcW w:w="1434" w:type="dxa"/>
            <w:vAlign w:val="center"/>
          </w:tcPr>
          <w:p w14:paraId="406B294B" w14:textId="77777777" w:rsidR="007075D9" w:rsidRPr="004D46AC" w:rsidRDefault="007075D9" w:rsidP="00CE2F7A">
            <w:pPr>
              <w:spacing w:line="240" w:lineRule="auto"/>
              <w:ind w:firstLine="0"/>
              <w:rPr>
                <w:b/>
                <w:bCs/>
                <w:i/>
                <w:iCs/>
              </w:rPr>
            </w:pPr>
            <w:r w:rsidRPr="004D46AC">
              <w:rPr>
                <w:rFonts w:eastAsia="DengXian"/>
                <w:color w:val="000000"/>
              </w:rPr>
              <w:t>M6--SP</w:t>
            </w:r>
          </w:p>
        </w:tc>
        <w:tc>
          <w:tcPr>
            <w:tcW w:w="1687" w:type="dxa"/>
            <w:vAlign w:val="center"/>
          </w:tcPr>
          <w:p w14:paraId="6A1C0B71"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0EFEF27"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FB683BC"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37E8919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435AF7D" w14:textId="77777777" w:rsidTr="00B518F1">
        <w:tc>
          <w:tcPr>
            <w:tcW w:w="1434" w:type="dxa"/>
            <w:vAlign w:val="center"/>
          </w:tcPr>
          <w:p w14:paraId="0D3C1132" w14:textId="77777777" w:rsidR="007075D9" w:rsidRPr="004D46AC" w:rsidRDefault="007075D9" w:rsidP="00CE2F7A">
            <w:pPr>
              <w:spacing w:line="240" w:lineRule="auto"/>
              <w:ind w:firstLine="0"/>
              <w:rPr>
                <w:b/>
                <w:bCs/>
                <w:i/>
                <w:iCs/>
              </w:rPr>
            </w:pPr>
            <w:r w:rsidRPr="004D46AC">
              <w:rPr>
                <w:rFonts w:eastAsia="DengXian"/>
                <w:color w:val="000000"/>
              </w:rPr>
              <w:t>P2--P3</w:t>
            </w:r>
          </w:p>
        </w:tc>
        <w:tc>
          <w:tcPr>
            <w:tcW w:w="1687" w:type="dxa"/>
            <w:vAlign w:val="center"/>
          </w:tcPr>
          <w:p w14:paraId="546C6622"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D96FE51"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4A74CB6"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2136891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85A8CB8" w14:textId="77777777" w:rsidTr="00B518F1">
        <w:tc>
          <w:tcPr>
            <w:tcW w:w="1434" w:type="dxa"/>
            <w:vAlign w:val="center"/>
          </w:tcPr>
          <w:p w14:paraId="5A9A257A" w14:textId="77777777" w:rsidR="007075D9" w:rsidRPr="004D46AC" w:rsidRDefault="007075D9" w:rsidP="00CE2F7A">
            <w:pPr>
              <w:spacing w:line="240" w:lineRule="auto"/>
              <w:ind w:firstLine="0"/>
              <w:rPr>
                <w:b/>
                <w:bCs/>
                <w:i/>
                <w:iCs/>
              </w:rPr>
            </w:pPr>
            <w:r w:rsidRPr="004D46AC">
              <w:rPr>
                <w:rFonts w:eastAsia="DengXian"/>
                <w:color w:val="000000"/>
              </w:rPr>
              <w:t>WD--M2</w:t>
            </w:r>
          </w:p>
        </w:tc>
        <w:tc>
          <w:tcPr>
            <w:tcW w:w="1687" w:type="dxa"/>
            <w:vAlign w:val="center"/>
          </w:tcPr>
          <w:p w14:paraId="669C95B4"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2028192C"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D5A6D59"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5121CA4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6B563DC" w14:textId="77777777" w:rsidTr="00B518F1">
        <w:tc>
          <w:tcPr>
            <w:tcW w:w="1434" w:type="dxa"/>
            <w:vAlign w:val="center"/>
          </w:tcPr>
          <w:p w14:paraId="64D530C7" w14:textId="77777777" w:rsidR="007075D9" w:rsidRPr="004D46AC" w:rsidRDefault="007075D9" w:rsidP="00CE2F7A">
            <w:pPr>
              <w:spacing w:line="240" w:lineRule="auto"/>
              <w:ind w:firstLine="0"/>
              <w:rPr>
                <w:b/>
                <w:bCs/>
                <w:i/>
                <w:iCs/>
              </w:rPr>
            </w:pPr>
            <w:r w:rsidRPr="004D46AC">
              <w:rPr>
                <w:rFonts w:eastAsia="DengXian"/>
                <w:color w:val="000000"/>
              </w:rPr>
              <w:t>ME--SP</w:t>
            </w:r>
          </w:p>
        </w:tc>
        <w:tc>
          <w:tcPr>
            <w:tcW w:w="1687" w:type="dxa"/>
            <w:vAlign w:val="center"/>
          </w:tcPr>
          <w:p w14:paraId="61BD3C80"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33C6DE28"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F456E55"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55A6AFD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AFFFC2D" w14:textId="77777777" w:rsidTr="00B518F1">
        <w:tc>
          <w:tcPr>
            <w:tcW w:w="1434" w:type="dxa"/>
            <w:vAlign w:val="center"/>
          </w:tcPr>
          <w:p w14:paraId="27C4E011" w14:textId="77777777" w:rsidR="007075D9" w:rsidRPr="004D46AC" w:rsidRDefault="007075D9" w:rsidP="00CE2F7A">
            <w:pPr>
              <w:spacing w:line="240" w:lineRule="auto"/>
              <w:ind w:firstLine="0"/>
              <w:rPr>
                <w:b/>
                <w:bCs/>
                <w:i/>
                <w:iCs/>
              </w:rPr>
            </w:pPr>
            <w:r w:rsidRPr="004D46AC">
              <w:rPr>
                <w:rFonts w:eastAsia="DengXian"/>
                <w:color w:val="000000"/>
              </w:rPr>
              <w:t>WD--N7</w:t>
            </w:r>
          </w:p>
        </w:tc>
        <w:tc>
          <w:tcPr>
            <w:tcW w:w="1687" w:type="dxa"/>
            <w:vAlign w:val="center"/>
          </w:tcPr>
          <w:p w14:paraId="46D4AA71"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679B88B7"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4D8C240"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1AA0EF1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66E5C37" w14:textId="77777777" w:rsidTr="00B518F1">
        <w:tc>
          <w:tcPr>
            <w:tcW w:w="1434" w:type="dxa"/>
            <w:vAlign w:val="center"/>
          </w:tcPr>
          <w:p w14:paraId="397A0923" w14:textId="77777777" w:rsidR="007075D9" w:rsidRPr="004D46AC" w:rsidRDefault="007075D9" w:rsidP="00CE2F7A">
            <w:pPr>
              <w:spacing w:line="240" w:lineRule="auto"/>
              <w:ind w:firstLine="0"/>
              <w:rPr>
                <w:b/>
                <w:bCs/>
                <w:i/>
                <w:iCs/>
              </w:rPr>
            </w:pPr>
            <w:r w:rsidRPr="004D46AC">
              <w:rPr>
                <w:rFonts w:eastAsia="DengXian"/>
                <w:color w:val="000000"/>
              </w:rPr>
              <w:t>P5--ME</w:t>
            </w:r>
          </w:p>
        </w:tc>
        <w:tc>
          <w:tcPr>
            <w:tcW w:w="1687" w:type="dxa"/>
            <w:vAlign w:val="center"/>
          </w:tcPr>
          <w:p w14:paraId="19BD65CC"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1F71409"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EC85757"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76CB75A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EF4C977" w14:textId="77777777" w:rsidTr="00B518F1">
        <w:tc>
          <w:tcPr>
            <w:tcW w:w="1434" w:type="dxa"/>
            <w:vAlign w:val="center"/>
          </w:tcPr>
          <w:p w14:paraId="02D49941" w14:textId="77777777" w:rsidR="007075D9" w:rsidRPr="004D46AC" w:rsidRDefault="007075D9" w:rsidP="00CE2F7A">
            <w:pPr>
              <w:spacing w:line="240" w:lineRule="auto"/>
              <w:ind w:firstLine="0"/>
              <w:rPr>
                <w:b/>
                <w:bCs/>
                <w:i/>
                <w:iCs/>
              </w:rPr>
            </w:pPr>
            <w:r w:rsidRPr="004D46AC">
              <w:rPr>
                <w:rFonts w:eastAsia="DengXian"/>
                <w:color w:val="000000"/>
              </w:rPr>
              <w:t>Y10--M7</w:t>
            </w:r>
          </w:p>
        </w:tc>
        <w:tc>
          <w:tcPr>
            <w:tcW w:w="1687" w:type="dxa"/>
            <w:vAlign w:val="center"/>
          </w:tcPr>
          <w:p w14:paraId="3107FC0D"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A5D435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6EDF997"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728CCF2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62B0645" w14:textId="77777777" w:rsidTr="00B518F1">
        <w:tc>
          <w:tcPr>
            <w:tcW w:w="1434" w:type="dxa"/>
            <w:vAlign w:val="center"/>
          </w:tcPr>
          <w:p w14:paraId="2FE1A516" w14:textId="77777777" w:rsidR="007075D9" w:rsidRPr="004D46AC" w:rsidRDefault="007075D9" w:rsidP="00CE2F7A">
            <w:pPr>
              <w:spacing w:line="240" w:lineRule="auto"/>
              <w:ind w:firstLine="0"/>
              <w:rPr>
                <w:b/>
                <w:bCs/>
                <w:i/>
                <w:iCs/>
              </w:rPr>
            </w:pPr>
            <w:r w:rsidRPr="004D46AC">
              <w:rPr>
                <w:rFonts w:eastAsia="DengXian"/>
                <w:color w:val="000000"/>
              </w:rPr>
              <w:t>WD--M7</w:t>
            </w:r>
          </w:p>
        </w:tc>
        <w:tc>
          <w:tcPr>
            <w:tcW w:w="1687" w:type="dxa"/>
            <w:vAlign w:val="center"/>
          </w:tcPr>
          <w:p w14:paraId="7E870213"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C677EE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97B2779"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14A62D7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F49D580" w14:textId="77777777" w:rsidTr="00B518F1">
        <w:tc>
          <w:tcPr>
            <w:tcW w:w="1434" w:type="dxa"/>
            <w:vAlign w:val="center"/>
          </w:tcPr>
          <w:p w14:paraId="7B9C6F50" w14:textId="77777777" w:rsidR="007075D9" w:rsidRPr="004D46AC" w:rsidRDefault="007075D9" w:rsidP="00CE2F7A">
            <w:pPr>
              <w:spacing w:line="240" w:lineRule="auto"/>
              <w:ind w:firstLine="0"/>
              <w:rPr>
                <w:b/>
                <w:bCs/>
                <w:i/>
                <w:iCs/>
              </w:rPr>
            </w:pPr>
            <w:r w:rsidRPr="004D46AC">
              <w:rPr>
                <w:rFonts w:eastAsia="DengXian"/>
                <w:color w:val="000000"/>
              </w:rPr>
              <w:t>IA--M9</w:t>
            </w:r>
          </w:p>
        </w:tc>
        <w:tc>
          <w:tcPr>
            <w:tcW w:w="1687" w:type="dxa"/>
            <w:vAlign w:val="center"/>
          </w:tcPr>
          <w:p w14:paraId="3B673FA2"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0300EF2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5E3D268"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200BC9C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ECDAF21" w14:textId="77777777" w:rsidTr="00B518F1">
        <w:tc>
          <w:tcPr>
            <w:tcW w:w="1434" w:type="dxa"/>
            <w:vAlign w:val="center"/>
          </w:tcPr>
          <w:p w14:paraId="4E907E65" w14:textId="77777777" w:rsidR="007075D9" w:rsidRPr="004D46AC" w:rsidRDefault="007075D9" w:rsidP="00CE2F7A">
            <w:pPr>
              <w:spacing w:line="240" w:lineRule="auto"/>
              <w:ind w:firstLine="0"/>
              <w:rPr>
                <w:b/>
                <w:bCs/>
                <w:i/>
                <w:iCs/>
              </w:rPr>
            </w:pPr>
            <w:r w:rsidRPr="004D46AC">
              <w:rPr>
                <w:rFonts w:eastAsia="DengXian"/>
                <w:color w:val="000000"/>
              </w:rPr>
              <w:t>M3--M10</w:t>
            </w:r>
          </w:p>
        </w:tc>
        <w:tc>
          <w:tcPr>
            <w:tcW w:w="1687" w:type="dxa"/>
            <w:vAlign w:val="center"/>
          </w:tcPr>
          <w:p w14:paraId="184DBBF1"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792FB87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6C44B47"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2388B67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E584100" w14:textId="77777777" w:rsidTr="00B518F1">
        <w:tc>
          <w:tcPr>
            <w:tcW w:w="1434" w:type="dxa"/>
            <w:vAlign w:val="center"/>
          </w:tcPr>
          <w:p w14:paraId="43C45709" w14:textId="77777777" w:rsidR="007075D9" w:rsidRPr="004D46AC" w:rsidRDefault="007075D9" w:rsidP="00CE2F7A">
            <w:pPr>
              <w:spacing w:line="240" w:lineRule="auto"/>
              <w:ind w:firstLine="0"/>
              <w:rPr>
                <w:b/>
                <w:bCs/>
                <w:i/>
                <w:iCs/>
              </w:rPr>
            </w:pPr>
            <w:r w:rsidRPr="004D46AC">
              <w:rPr>
                <w:rFonts w:eastAsia="DengXian"/>
                <w:color w:val="000000"/>
              </w:rPr>
              <w:t>M2--SP</w:t>
            </w:r>
          </w:p>
        </w:tc>
        <w:tc>
          <w:tcPr>
            <w:tcW w:w="1687" w:type="dxa"/>
            <w:vAlign w:val="center"/>
          </w:tcPr>
          <w:p w14:paraId="5E4BCA23"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C9680B3"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4D420A7"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68F5876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563BABD" w14:textId="77777777" w:rsidTr="00B518F1">
        <w:tc>
          <w:tcPr>
            <w:tcW w:w="1434" w:type="dxa"/>
            <w:vAlign w:val="center"/>
          </w:tcPr>
          <w:p w14:paraId="0AC27AE4" w14:textId="77777777" w:rsidR="007075D9" w:rsidRPr="004D46AC" w:rsidRDefault="007075D9" w:rsidP="00CE2F7A">
            <w:pPr>
              <w:spacing w:line="240" w:lineRule="auto"/>
              <w:ind w:firstLine="0"/>
              <w:rPr>
                <w:b/>
                <w:bCs/>
                <w:i/>
                <w:iCs/>
              </w:rPr>
            </w:pPr>
            <w:r w:rsidRPr="004D46AC">
              <w:rPr>
                <w:rFonts w:eastAsia="DengXian"/>
                <w:color w:val="000000"/>
              </w:rPr>
              <w:t>M3--M5</w:t>
            </w:r>
          </w:p>
        </w:tc>
        <w:tc>
          <w:tcPr>
            <w:tcW w:w="1687" w:type="dxa"/>
            <w:vAlign w:val="center"/>
          </w:tcPr>
          <w:p w14:paraId="61F120CB"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7A83ECC6"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21F70C0"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7B35434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C67761B" w14:textId="77777777" w:rsidTr="00B518F1">
        <w:tc>
          <w:tcPr>
            <w:tcW w:w="1434" w:type="dxa"/>
            <w:vAlign w:val="center"/>
          </w:tcPr>
          <w:p w14:paraId="1DFFAF84" w14:textId="77777777" w:rsidR="007075D9" w:rsidRPr="004D46AC" w:rsidRDefault="007075D9" w:rsidP="00CE2F7A">
            <w:pPr>
              <w:spacing w:line="240" w:lineRule="auto"/>
              <w:ind w:firstLine="0"/>
              <w:rPr>
                <w:b/>
                <w:bCs/>
                <w:i/>
                <w:iCs/>
              </w:rPr>
            </w:pPr>
            <w:r w:rsidRPr="004D46AC">
              <w:rPr>
                <w:rFonts w:eastAsia="DengXian"/>
                <w:color w:val="000000"/>
              </w:rPr>
              <w:t>P2--N1</w:t>
            </w:r>
          </w:p>
        </w:tc>
        <w:tc>
          <w:tcPr>
            <w:tcW w:w="1687" w:type="dxa"/>
            <w:vAlign w:val="center"/>
          </w:tcPr>
          <w:p w14:paraId="74FD2009"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2DC2E53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8E14BA0"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661EF34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4F03A32" w14:textId="77777777" w:rsidTr="00B518F1">
        <w:tc>
          <w:tcPr>
            <w:tcW w:w="1434" w:type="dxa"/>
            <w:vAlign w:val="center"/>
          </w:tcPr>
          <w:p w14:paraId="382AD40F" w14:textId="77777777" w:rsidR="007075D9" w:rsidRPr="004D46AC" w:rsidRDefault="007075D9" w:rsidP="00CE2F7A">
            <w:pPr>
              <w:spacing w:line="240" w:lineRule="auto"/>
              <w:ind w:firstLine="0"/>
              <w:rPr>
                <w:b/>
                <w:bCs/>
                <w:i/>
                <w:iCs/>
              </w:rPr>
            </w:pPr>
            <w:r w:rsidRPr="004D46AC">
              <w:rPr>
                <w:rFonts w:eastAsia="DengXian"/>
                <w:color w:val="000000"/>
              </w:rPr>
              <w:t>P4--M3</w:t>
            </w:r>
          </w:p>
        </w:tc>
        <w:tc>
          <w:tcPr>
            <w:tcW w:w="1687" w:type="dxa"/>
            <w:vAlign w:val="center"/>
          </w:tcPr>
          <w:p w14:paraId="5E160CA7"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0EF04E4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3F75A40"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334E110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CEB5CD3" w14:textId="77777777" w:rsidTr="00B518F1">
        <w:tc>
          <w:tcPr>
            <w:tcW w:w="1434" w:type="dxa"/>
            <w:vAlign w:val="center"/>
          </w:tcPr>
          <w:p w14:paraId="1EF56549" w14:textId="77777777" w:rsidR="007075D9" w:rsidRPr="004D46AC" w:rsidRDefault="007075D9" w:rsidP="00CE2F7A">
            <w:pPr>
              <w:spacing w:line="240" w:lineRule="auto"/>
              <w:ind w:firstLine="0"/>
              <w:rPr>
                <w:b/>
                <w:bCs/>
                <w:i/>
                <w:iCs/>
              </w:rPr>
            </w:pPr>
            <w:r w:rsidRPr="004D46AC">
              <w:rPr>
                <w:rFonts w:eastAsia="DengXian"/>
                <w:color w:val="000000"/>
              </w:rPr>
              <w:t>P4--N7</w:t>
            </w:r>
          </w:p>
        </w:tc>
        <w:tc>
          <w:tcPr>
            <w:tcW w:w="1687" w:type="dxa"/>
            <w:vAlign w:val="center"/>
          </w:tcPr>
          <w:p w14:paraId="473B622F"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4C32758C"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6D458D8"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5B61404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95F4575" w14:textId="77777777" w:rsidTr="00B518F1">
        <w:tc>
          <w:tcPr>
            <w:tcW w:w="1434" w:type="dxa"/>
            <w:vAlign w:val="center"/>
          </w:tcPr>
          <w:p w14:paraId="2C54E89D" w14:textId="77777777" w:rsidR="007075D9" w:rsidRPr="004D46AC" w:rsidRDefault="007075D9" w:rsidP="00CE2F7A">
            <w:pPr>
              <w:spacing w:line="240" w:lineRule="auto"/>
              <w:ind w:firstLine="0"/>
              <w:rPr>
                <w:b/>
                <w:bCs/>
                <w:i/>
                <w:iCs/>
              </w:rPr>
            </w:pPr>
            <w:r w:rsidRPr="004D46AC">
              <w:rPr>
                <w:rFonts w:eastAsia="DengXian"/>
                <w:color w:val="000000"/>
              </w:rPr>
              <w:t>M8--M10</w:t>
            </w:r>
          </w:p>
        </w:tc>
        <w:tc>
          <w:tcPr>
            <w:tcW w:w="1687" w:type="dxa"/>
            <w:vAlign w:val="center"/>
          </w:tcPr>
          <w:p w14:paraId="506CA055"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24FB9CA"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7975D36"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4DFD0F0"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3714495E" w14:textId="77777777" w:rsidTr="00B518F1">
        <w:tc>
          <w:tcPr>
            <w:tcW w:w="1434" w:type="dxa"/>
            <w:vAlign w:val="center"/>
          </w:tcPr>
          <w:p w14:paraId="76F84ACE" w14:textId="77777777" w:rsidR="007075D9" w:rsidRPr="004D46AC" w:rsidRDefault="007075D9" w:rsidP="00CE2F7A">
            <w:pPr>
              <w:spacing w:line="240" w:lineRule="auto"/>
              <w:ind w:firstLine="0"/>
              <w:rPr>
                <w:b/>
                <w:bCs/>
                <w:i/>
                <w:iCs/>
              </w:rPr>
            </w:pPr>
            <w:r w:rsidRPr="004D46AC">
              <w:rPr>
                <w:rFonts w:eastAsia="DengXian"/>
                <w:color w:val="000000"/>
              </w:rPr>
              <w:t>Y3--Y6</w:t>
            </w:r>
          </w:p>
        </w:tc>
        <w:tc>
          <w:tcPr>
            <w:tcW w:w="1687" w:type="dxa"/>
            <w:vAlign w:val="center"/>
          </w:tcPr>
          <w:p w14:paraId="2E5AAE9B"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67E94E3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C699E7D"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7AF228CD"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05083DF8" w14:textId="77777777" w:rsidTr="00B518F1">
        <w:tc>
          <w:tcPr>
            <w:tcW w:w="1434" w:type="dxa"/>
            <w:vAlign w:val="center"/>
          </w:tcPr>
          <w:p w14:paraId="204F6F98" w14:textId="77777777" w:rsidR="007075D9" w:rsidRPr="004D46AC" w:rsidRDefault="007075D9" w:rsidP="00CE2F7A">
            <w:pPr>
              <w:spacing w:line="240" w:lineRule="auto"/>
              <w:ind w:firstLine="0"/>
              <w:rPr>
                <w:b/>
                <w:bCs/>
                <w:i/>
                <w:iCs/>
              </w:rPr>
            </w:pPr>
            <w:r w:rsidRPr="004D46AC">
              <w:rPr>
                <w:rFonts w:eastAsia="DengXian"/>
                <w:color w:val="000000"/>
              </w:rPr>
              <w:t>P3--P5</w:t>
            </w:r>
          </w:p>
        </w:tc>
        <w:tc>
          <w:tcPr>
            <w:tcW w:w="1687" w:type="dxa"/>
            <w:vAlign w:val="center"/>
          </w:tcPr>
          <w:p w14:paraId="2278E8E5"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138B686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6309DF1"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722809A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001C3C8" w14:textId="77777777" w:rsidTr="00B518F1">
        <w:tc>
          <w:tcPr>
            <w:tcW w:w="1434" w:type="dxa"/>
            <w:vAlign w:val="center"/>
          </w:tcPr>
          <w:p w14:paraId="283DF9FC" w14:textId="77777777" w:rsidR="007075D9" w:rsidRPr="004D46AC" w:rsidRDefault="007075D9" w:rsidP="00CE2F7A">
            <w:pPr>
              <w:spacing w:line="240" w:lineRule="auto"/>
              <w:ind w:firstLine="0"/>
              <w:rPr>
                <w:b/>
                <w:bCs/>
                <w:i/>
                <w:iCs/>
              </w:rPr>
            </w:pPr>
            <w:r w:rsidRPr="004D46AC">
              <w:rPr>
                <w:rFonts w:eastAsia="DengXian"/>
                <w:color w:val="000000"/>
              </w:rPr>
              <w:t>IA--Y10</w:t>
            </w:r>
          </w:p>
        </w:tc>
        <w:tc>
          <w:tcPr>
            <w:tcW w:w="1687" w:type="dxa"/>
            <w:vAlign w:val="center"/>
          </w:tcPr>
          <w:p w14:paraId="6CABF66F"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1C1A01E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CC6CA77"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6151F3C5"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724B5526" w14:textId="77777777" w:rsidTr="00B518F1">
        <w:tc>
          <w:tcPr>
            <w:tcW w:w="1434" w:type="dxa"/>
            <w:vAlign w:val="center"/>
          </w:tcPr>
          <w:p w14:paraId="7EC082C1" w14:textId="77777777" w:rsidR="007075D9" w:rsidRPr="004D46AC" w:rsidRDefault="007075D9" w:rsidP="00CE2F7A">
            <w:pPr>
              <w:spacing w:line="240" w:lineRule="auto"/>
              <w:ind w:firstLine="0"/>
              <w:rPr>
                <w:b/>
                <w:bCs/>
                <w:i/>
                <w:iCs/>
              </w:rPr>
            </w:pPr>
            <w:r w:rsidRPr="004D46AC">
              <w:rPr>
                <w:rFonts w:eastAsia="DengXian"/>
                <w:color w:val="000000"/>
              </w:rPr>
              <w:t>Y3--Y10</w:t>
            </w:r>
          </w:p>
        </w:tc>
        <w:tc>
          <w:tcPr>
            <w:tcW w:w="1687" w:type="dxa"/>
            <w:vAlign w:val="center"/>
          </w:tcPr>
          <w:p w14:paraId="3A6521AC"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54C98B3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2EDAA1F"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2A44081"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6F723D37" w14:textId="77777777" w:rsidTr="00B518F1">
        <w:tc>
          <w:tcPr>
            <w:tcW w:w="1434" w:type="dxa"/>
            <w:vAlign w:val="center"/>
          </w:tcPr>
          <w:p w14:paraId="4F0E8D2A" w14:textId="77777777" w:rsidR="007075D9" w:rsidRPr="004D46AC" w:rsidRDefault="007075D9" w:rsidP="00CE2F7A">
            <w:pPr>
              <w:spacing w:line="240" w:lineRule="auto"/>
              <w:ind w:firstLine="0"/>
              <w:rPr>
                <w:b/>
                <w:bCs/>
                <w:i/>
                <w:iCs/>
              </w:rPr>
            </w:pPr>
            <w:r w:rsidRPr="004D46AC">
              <w:rPr>
                <w:rFonts w:eastAsia="DengXian"/>
                <w:color w:val="000000"/>
              </w:rPr>
              <w:t>P5--Y3</w:t>
            </w:r>
          </w:p>
        </w:tc>
        <w:tc>
          <w:tcPr>
            <w:tcW w:w="1687" w:type="dxa"/>
            <w:vAlign w:val="center"/>
          </w:tcPr>
          <w:p w14:paraId="7C4A667C"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4D4AA845"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4263768"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0928708B"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600E0E06" w14:textId="77777777" w:rsidTr="00B518F1">
        <w:tc>
          <w:tcPr>
            <w:tcW w:w="1434" w:type="dxa"/>
            <w:vAlign w:val="center"/>
          </w:tcPr>
          <w:p w14:paraId="0CA35414" w14:textId="77777777" w:rsidR="007075D9" w:rsidRPr="004D46AC" w:rsidRDefault="007075D9" w:rsidP="00CE2F7A">
            <w:pPr>
              <w:spacing w:line="240" w:lineRule="auto"/>
              <w:ind w:firstLine="0"/>
              <w:rPr>
                <w:b/>
                <w:bCs/>
                <w:i/>
                <w:iCs/>
              </w:rPr>
            </w:pPr>
            <w:r w:rsidRPr="004D46AC">
              <w:rPr>
                <w:rFonts w:eastAsia="DengXian"/>
                <w:color w:val="000000"/>
              </w:rPr>
              <w:t>P2--P5</w:t>
            </w:r>
          </w:p>
        </w:tc>
        <w:tc>
          <w:tcPr>
            <w:tcW w:w="1687" w:type="dxa"/>
            <w:vAlign w:val="center"/>
          </w:tcPr>
          <w:p w14:paraId="70DD48B9"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43BC9A7"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4B413F7"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7B6EADCA"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41DE8892" w14:textId="77777777" w:rsidTr="00B518F1">
        <w:tc>
          <w:tcPr>
            <w:tcW w:w="1434" w:type="dxa"/>
            <w:vAlign w:val="center"/>
          </w:tcPr>
          <w:p w14:paraId="163CEEE6" w14:textId="77777777" w:rsidR="007075D9" w:rsidRPr="004D46AC" w:rsidRDefault="007075D9" w:rsidP="00CE2F7A">
            <w:pPr>
              <w:spacing w:line="240" w:lineRule="auto"/>
              <w:ind w:firstLine="0"/>
              <w:rPr>
                <w:b/>
                <w:bCs/>
                <w:i/>
                <w:iCs/>
              </w:rPr>
            </w:pPr>
            <w:r w:rsidRPr="004D46AC">
              <w:rPr>
                <w:rFonts w:eastAsia="DengXian"/>
                <w:color w:val="000000"/>
              </w:rPr>
              <w:t>Y3--IA</w:t>
            </w:r>
          </w:p>
        </w:tc>
        <w:tc>
          <w:tcPr>
            <w:tcW w:w="1687" w:type="dxa"/>
            <w:vAlign w:val="center"/>
          </w:tcPr>
          <w:p w14:paraId="3AA5A48D"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7FA69B7F"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5A85504"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15D25A4A"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299A467C" w14:textId="77777777" w:rsidTr="00B518F1">
        <w:tc>
          <w:tcPr>
            <w:tcW w:w="1434" w:type="dxa"/>
            <w:vAlign w:val="center"/>
          </w:tcPr>
          <w:p w14:paraId="112A3204" w14:textId="77777777" w:rsidR="007075D9" w:rsidRPr="004D46AC" w:rsidRDefault="007075D9" w:rsidP="00CE2F7A">
            <w:pPr>
              <w:spacing w:line="240" w:lineRule="auto"/>
              <w:ind w:firstLine="0"/>
              <w:rPr>
                <w:b/>
                <w:bCs/>
                <w:i/>
                <w:iCs/>
              </w:rPr>
            </w:pPr>
            <w:r w:rsidRPr="004D46AC">
              <w:rPr>
                <w:rFonts w:eastAsia="DengXian"/>
                <w:color w:val="000000"/>
              </w:rPr>
              <w:t>N7--Y10</w:t>
            </w:r>
          </w:p>
        </w:tc>
        <w:tc>
          <w:tcPr>
            <w:tcW w:w="1687" w:type="dxa"/>
            <w:vAlign w:val="center"/>
          </w:tcPr>
          <w:p w14:paraId="1ACD894A"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5A189A72"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CE9FAF3"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374D3FED"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2155EB1D" w14:textId="77777777" w:rsidTr="00B518F1">
        <w:tc>
          <w:tcPr>
            <w:tcW w:w="1434" w:type="dxa"/>
            <w:vAlign w:val="center"/>
          </w:tcPr>
          <w:p w14:paraId="1E8EBF4B" w14:textId="77777777" w:rsidR="007075D9" w:rsidRPr="004D46AC" w:rsidRDefault="007075D9" w:rsidP="00CE2F7A">
            <w:pPr>
              <w:spacing w:line="240" w:lineRule="auto"/>
              <w:ind w:firstLine="0"/>
              <w:rPr>
                <w:b/>
                <w:bCs/>
                <w:i/>
                <w:iCs/>
              </w:rPr>
            </w:pPr>
            <w:r w:rsidRPr="004D46AC">
              <w:rPr>
                <w:rFonts w:eastAsia="DengXian"/>
                <w:color w:val="000000"/>
              </w:rPr>
              <w:t>P3--M6</w:t>
            </w:r>
          </w:p>
        </w:tc>
        <w:tc>
          <w:tcPr>
            <w:tcW w:w="1687" w:type="dxa"/>
            <w:vAlign w:val="center"/>
          </w:tcPr>
          <w:p w14:paraId="654D5538"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62CB2F4A"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7E223F1"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2989AA45"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4640EAEF" w14:textId="77777777" w:rsidTr="00B518F1">
        <w:tc>
          <w:tcPr>
            <w:tcW w:w="1434" w:type="dxa"/>
            <w:vAlign w:val="center"/>
          </w:tcPr>
          <w:p w14:paraId="78298D66" w14:textId="77777777" w:rsidR="007075D9" w:rsidRPr="004D46AC" w:rsidRDefault="007075D9" w:rsidP="00CE2F7A">
            <w:pPr>
              <w:spacing w:line="240" w:lineRule="auto"/>
              <w:ind w:firstLine="0"/>
              <w:rPr>
                <w:b/>
                <w:bCs/>
                <w:i/>
                <w:iCs/>
              </w:rPr>
            </w:pPr>
            <w:r w:rsidRPr="004D46AC">
              <w:rPr>
                <w:rFonts w:eastAsia="DengXian"/>
                <w:color w:val="000000"/>
              </w:rPr>
              <w:t>P6--M3</w:t>
            </w:r>
          </w:p>
        </w:tc>
        <w:tc>
          <w:tcPr>
            <w:tcW w:w="1687" w:type="dxa"/>
            <w:vAlign w:val="center"/>
          </w:tcPr>
          <w:p w14:paraId="6D228866"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60D7A51E"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BE657AC"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5EBE5147"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314D728E" w14:textId="77777777" w:rsidTr="00B518F1">
        <w:tc>
          <w:tcPr>
            <w:tcW w:w="1434" w:type="dxa"/>
            <w:vAlign w:val="center"/>
          </w:tcPr>
          <w:p w14:paraId="43819A02" w14:textId="77777777" w:rsidR="007075D9" w:rsidRPr="004D46AC" w:rsidRDefault="007075D9" w:rsidP="00CE2F7A">
            <w:pPr>
              <w:spacing w:line="240" w:lineRule="auto"/>
              <w:ind w:firstLine="0"/>
              <w:rPr>
                <w:b/>
                <w:bCs/>
                <w:i/>
                <w:iCs/>
              </w:rPr>
            </w:pPr>
            <w:r w:rsidRPr="004D46AC">
              <w:rPr>
                <w:rFonts w:eastAsia="DengXian"/>
                <w:color w:val="000000"/>
              </w:rPr>
              <w:t>P6--RC</w:t>
            </w:r>
          </w:p>
        </w:tc>
        <w:tc>
          <w:tcPr>
            <w:tcW w:w="1687" w:type="dxa"/>
            <w:vAlign w:val="center"/>
          </w:tcPr>
          <w:p w14:paraId="5DFE07A1"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7577A193"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97E686F"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517930AE"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46711747" w14:textId="77777777" w:rsidTr="00B518F1">
        <w:tc>
          <w:tcPr>
            <w:tcW w:w="1434" w:type="dxa"/>
            <w:vAlign w:val="center"/>
          </w:tcPr>
          <w:p w14:paraId="03308848" w14:textId="77777777" w:rsidR="007075D9" w:rsidRPr="004D46AC" w:rsidRDefault="007075D9" w:rsidP="00CE2F7A">
            <w:pPr>
              <w:spacing w:line="240" w:lineRule="auto"/>
              <w:ind w:firstLine="0"/>
              <w:rPr>
                <w:b/>
                <w:bCs/>
                <w:i/>
                <w:iCs/>
              </w:rPr>
            </w:pPr>
            <w:r w:rsidRPr="004D46AC">
              <w:rPr>
                <w:rFonts w:eastAsia="DengXian"/>
                <w:color w:val="000000"/>
              </w:rPr>
              <w:t>IA--M2</w:t>
            </w:r>
          </w:p>
        </w:tc>
        <w:tc>
          <w:tcPr>
            <w:tcW w:w="1687" w:type="dxa"/>
            <w:vAlign w:val="center"/>
          </w:tcPr>
          <w:p w14:paraId="77E8EBB3"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DA71F0D"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4F5F0B37"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0C3E207D"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65454DEA" w14:textId="77777777" w:rsidTr="00B518F1">
        <w:tc>
          <w:tcPr>
            <w:tcW w:w="1434" w:type="dxa"/>
            <w:vAlign w:val="center"/>
          </w:tcPr>
          <w:p w14:paraId="7B96DDA6" w14:textId="77777777" w:rsidR="007075D9" w:rsidRPr="004D46AC" w:rsidRDefault="007075D9" w:rsidP="00CE2F7A">
            <w:pPr>
              <w:spacing w:line="240" w:lineRule="auto"/>
              <w:ind w:firstLine="0"/>
              <w:rPr>
                <w:b/>
                <w:bCs/>
                <w:i/>
                <w:iCs/>
              </w:rPr>
            </w:pPr>
            <w:r w:rsidRPr="004D46AC">
              <w:rPr>
                <w:rFonts w:eastAsia="DengXian"/>
                <w:color w:val="000000"/>
              </w:rPr>
              <w:t>Y7--Y10</w:t>
            </w:r>
          </w:p>
        </w:tc>
        <w:tc>
          <w:tcPr>
            <w:tcW w:w="1687" w:type="dxa"/>
            <w:vAlign w:val="center"/>
          </w:tcPr>
          <w:p w14:paraId="65C227D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47FF4D1"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1BDFE439"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77432091"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501B634F" w14:textId="77777777" w:rsidTr="00B518F1">
        <w:tc>
          <w:tcPr>
            <w:tcW w:w="1434" w:type="dxa"/>
            <w:vAlign w:val="center"/>
          </w:tcPr>
          <w:p w14:paraId="2ECAF1EF" w14:textId="77777777" w:rsidR="007075D9" w:rsidRPr="004D46AC" w:rsidRDefault="007075D9" w:rsidP="00CE2F7A">
            <w:pPr>
              <w:spacing w:line="240" w:lineRule="auto"/>
              <w:ind w:firstLine="0"/>
              <w:rPr>
                <w:b/>
                <w:bCs/>
                <w:i/>
                <w:iCs/>
              </w:rPr>
            </w:pPr>
            <w:r w:rsidRPr="004D46AC">
              <w:rPr>
                <w:rFonts w:eastAsia="DengXian"/>
                <w:color w:val="000000"/>
              </w:rPr>
              <w:t>Y10--Y11</w:t>
            </w:r>
          </w:p>
        </w:tc>
        <w:tc>
          <w:tcPr>
            <w:tcW w:w="1687" w:type="dxa"/>
            <w:vAlign w:val="center"/>
          </w:tcPr>
          <w:p w14:paraId="3AB0353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4F56AB3"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260B1CF6"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1362CB3B"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3917C41A" w14:textId="77777777" w:rsidTr="00B518F1">
        <w:tc>
          <w:tcPr>
            <w:tcW w:w="1434" w:type="dxa"/>
            <w:vAlign w:val="center"/>
          </w:tcPr>
          <w:p w14:paraId="45BDB57A" w14:textId="77777777" w:rsidR="007075D9" w:rsidRPr="004D46AC" w:rsidRDefault="007075D9" w:rsidP="00CE2F7A">
            <w:pPr>
              <w:spacing w:line="240" w:lineRule="auto"/>
              <w:ind w:firstLine="0"/>
              <w:rPr>
                <w:b/>
                <w:bCs/>
                <w:i/>
                <w:iCs/>
              </w:rPr>
            </w:pPr>
            <w:r w:rsidRPr="004D46AC">
              <w:rPr>
                <w:rFonts w:eastAsia="DengXian"/>
                <w:color w:val="000000"/>
              </w:rPr>
              <w:t>WD--Y10</w:t>
            </w:r>
          </w:p>
        </w:tc>
        <w:tc>
          <w:tcPr>
            <w:tcW w:w="1687" w:type="dxa"/>
            <w:vAlign w:val="center"/>
          </w:tcPr>
          <w:p w14:paraId="19E7D2C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D8CE9E3"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1F59702"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55AF1725"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55E99727" w14:textId="77777777" w:rsidTr="00B518F1">
        <w:tc>
          <w:tcPr>
            <w:tcW w:w="1434" w:type="dxa"/>
            <w:vAlign w:val="center"/>
          </w:tcPr>
          <w:p w14:paraId="5FCAF53B" w14:textId="77777777" w:rsidR="007075D9" w:rsidRPr="004D46AC" w:rsidRDefault="007075D9" w:rsidP="00CE2F7A">
            <w:pPr>
              <w:spacing w:line="240" w:lineRule="auto"/>
              <w:ind w:firstLine="0"/>
              <w:rPr>
                <w:b/>
                <w:bCs/>
                <w:i/>
                <w:iCs/>
              </w:rPr>
            </w:pPr>
            <w:r w:rsidRPr="004D46AC">
              <w:rPr>
                <w:rFonts w:eastAsia="DengXian"/>
                <w:color w:val="000000"/>
              </w:rPr>
              <w:t>P2--Y6</w:t>
            </w:r>
          </w:p>
        </w:tc>
        <w:tc>
          <w:tcPr>
            <w:tcW w:w="1687" w:type="dxa"/>
            <w:vAlign w:val="center"/>
          </w:tcPr>
          <w:p w14:paraId="082EC5D5"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568375A"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0A20294D"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0EDD2BE5"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6C853A8E" w14:textId="77777777" w:rsidTr="00B518F1">
        <w:tc>
          <w:tcPr>
            <w:tcW w:w="1434" w:type="dxa"/>
            <w:vAlign w:val="center"/>
          </w:tcPr>
          <w:p w14:paraId="7D589E63" w14:textId="77777777" w:rsidR="007075D9" w:rsidRPr="004D46AC" w:rsidRDefault="007075D9" w:rsidP="00CE2F7A">
            <w:pPr>
              <w:spacing w:line="240" w:lineRule="auto"/>
              <w:ind w:firstLine="0"/>
              <w:rPr>
                <w:b/>
                <w:bCs/>
                <w:i/>
                <w:iCs/>
              </w:rPr>
            </w:pPr>
            <w:r w:rsidRPr="004D46AC">
              <w:rPr>
                <w:rFonts w:eastAsia="DengXian"/>
                <w:color w:val="000000"/>
              </w:rPr>
              <w:t>P3--WD</w:t>
            </w:r>
          </w:p>
        </w:tc>
        <w:tc>
          <w:tcPr>
            <w:tcW w:w="1687" w:type="dxa"/>
            <w:vAlign w:val="center"/>
          </w:tcPr>
          <w:p w14:paraId="4BC13965"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EC3B43A"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44E5FB6C"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45EB3CB8"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75765C90" w14:textId="77777777" w:rsidTr="00B518F1">
        <w:tc>
          <w:tcPr>
            <w:tcW w:w="1434" w:type="dxa"/>
            <w:vAlign w:val="center"/>
          </w:tcPr>
          <w:p w14:paraId="4E244003" w14:textId="77777777" w:rsidR="007075D9" w:rsidRPr="004D46AC" w:rsidRDefault="007075D9" w:rsidP="00CE2F7A">
            <w:pPr>
              <w:spacing w:line="240" w:lineRule="auto"/>
              <w:ind w:firstLine="0"/>
              <w:rPr>
                <w:b/>
                <w:bCs/>
                <w:i/>
                <w:iCs/>
              </w:rPr>
            </w:pPr>
            <w:r w:rsidRPr="004D46AC">
              <w:rPr>
                <w:rFonts w:eastAsia="DengXian"/>
                <w:color w:val="000000"/>
              </w:rPr>
              <w:t>P6--N5</w:t>
            </w:r>
          </w:p>
        </w:tc>
        <w:tc>
          <w:tcPr>
            <w:tcW w:w="1687" w:type="dxa"/>
            <w:vAlign w:val="center"/>
          </w:tcPr>
          <w:p w14:paraId="5FB8989E"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7C3C3F5"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C4170AF"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358CCBE2"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0CF9CE06" w14:textId="77777777" w:rsidTr="00B518F1">
        <w:tc>
          <w:tcPr>
            <w:tcW w:w="1434" w:type="dxa"/>
            <w:vAlign w:val="center"/>
          </w:tcPr>
          <w:p w14:paraId="58C9FABF" w14:textId="77777777" w:rsidR="007075D9" w:rsidRPr="004D46AC" w:rsidRDefault="007075D9" w:rsidP="00CE2F7A">
            <w:pPr>
              <w:spacing w:line="240" w:lineRule="auto"/>
              <w:ind w:firstLine="0"/>
              <w:rPr>
                <w:b/>
                <w:bCs/>
                <w:i/>
                <w:iCs/>
              </w:rPr>
            </w:pPr>
            <w:r w:rsidRPr="004D46AC">
              <w:rPr>
                <w:rFonts w:eastAsia="DengXian"/>
                <w:color w:val="000000"/>
              </w:rPr>
              <w:t>M2--M5</w:t>
            </w:r>
          </w:p>
        </w:tc>
        <w:tc>
          <w:tcPr>
            <w:tcW w:w="1687" w:type="dxa"/>
            <w:vAlign w:val="center"/>
          </w:tcPr>
          <w:p w14:paraId="57A543B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A244EAC"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DEB1258"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1E2BAF89"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51481C02" w14:textId="77777777" w:rsidTr="00B518F1">
        <w:tc>
          <w:tcPr>
            <w:tcW w:w="1434" w:type="dxa"/>
            <w:vAlign w:val="center"/>
          </w:tcPr>
          <w:p w14:paraId="666178F2" w14:textId="77777777" w:rsidR="007075D9" w:rsidRPr="004D46AC" w:rsidRDefault="007075D9" w:rsidP="00CE2F7A">
            <w:pPr>
              <w:spacing w:line="240" w:lineRule="auto"/>
              <w:ind w:firstLine="0"/>
              <w:rPr>
                <w:b/>
                <w:bCs/>
                <w:i/>
                <w:iCs/>
              </w:rPr>
            </w:pPr>
            <w:r w:rsidRPr="004D46AC">
              <w:rPr>
                <w:rFonts w:eastAsia="DengXian"/>
                <w:color w:val="000000"/>
              </w:rPr>
              <w:t>P5--Y7</w:t>
            </w:r>
          </w:p>
        </w:tc>
        <w:tc>
          <w:tcPr>
            <w:tcW w:w="1687" w:type="dxa"/>
            <w:vAlign w:val="center"/>
          </w:tcPr>
          <w:p w14:paraId="4469C1A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8378A39"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5BE8305"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28B5609C"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79161D97" w14:textId="77777777" w:rsidTr="00B518F1">
        <w:tc>
          <w:tcPr>
            <w:tcW w:w="1434" w:type="dxa"/>
            <w:vAlign w:val="center"/>
          </w:tcPr>
          <w:p w14:paraId="566762AD" w14:textId="77777777" w:rsidR="007075D9" w:rsidRPr="004D46AC" w:rsidRDefault="007075D9" w:rsidP="00CE2F7A">
            <w:pPr>
              <w:spacing w:line="240" w:lineRule="auto"/>
              <w:ind w:firstLine="0"/>
              <w:rPr>
                <w:b/>
                <w:bCs/>
                <w:i/>
                <w:iCs/>
              </w:rPr>
            </w:pPr>
            <w:r w:rsidRPr="004D46AC">
              <w:rPr>
                <w:rFonts w:eastAsia="DengXian"/>
                <w:color w:val="000000"/>
              </w:rPr>
              <w:t>M6--M9</w:t>
            </w:r>
          </w:p>
        </w:tc>
        <w:tc>
          <w:tcPr>
            <w:tcW w:w="1687" w:type="dxa"/>
            <w:vAlign w:val="center"/>
          </w:tcPr>
          <w:p w14:paraId="57415A8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13B5C38"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D4D7C07"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009BEE6B"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7211BE58" w14:textId="77777777" w:rsidTr="00B518F1">
        <w:tc>
          <w:tcPr>
            <w:tcW w:w="1434" w:type="dxa"/>
            <w:vAlign w:val="center"/>
          </w:tcPr>
          <w:p w14:paraId="607A15D4" w14:textId="77777777" w:rsidR="007075D9" w:rsidRPr="004D46AC" w:rsidRDefault="007075D9" w:rsidP="00CE2F7A">
            <w:pPr>
              <w:spacing w:line="240" w:lineRule="auto"/>
              <w:ind w:firstLine="0"/>
              <w:rPr>
                <w:b/>
                <w:bCs/>
                <w:i/>
                <w:iCs/>
              </w:rPr>
            </w:pPr>
            <w:r w:rsidRPr="004D46AC">
              <w:rPr>
                <w:rFonts w:eastAsia="DengXian"/>
                <w:color w:val="000000"/>
              </w:rPr>
              <w:t>P4--P6</w:t>
            </w:r>
          </w:p>
        </w:tc>
        <w:tc>
          <w:tcPr>
            <w:tcW w:w="1687" w:type="dxa"/>
            <w:vAlign w:val="center"/>
          </w:tcPr>
          <w:p w14:paraId="46A441A7"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6778321"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1EE4C33"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3DEE17BF"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6FB8638B" w14:textId="77777777" w:rsidTr="00B518F1">
        <w:tc>
          <w:tcPr>
            <w:tcW w:w="1434" w:type="dxa"/>
            <w:vAlign w:val="center"/>
          </w:tcPr>
          <w:p w14:paraId="2DC02C82" w14:textId="77777777" w:rsidR="007075D9" w:rsidRPr="004D46AC" w:rsidRDefault="007075D9" w:rsidP="00CE2F7A">
            <w:pPr>
              <w:spacing w:line="240" w:lineRule="auto"/>
              <w:ind w:firstLine="0"/>
              <w:rPr>
                <w:b/>
                <w:bCs/>
                <w:i/>
                <w:iCs/>
              </w:rPr>
            </w:pPr>
            <w:r w:rsidRPr="004D46AC">
              <w:rPr>
                <w:rFonts w:eastAsia="DengXian"/>
                <w:color w:val="000000"/>
              </w:rPr>
              <w:t>M5--M7</w:t>
            </w:r>
          </w:p>
        </w:tc>
        <w:tc>
          <w:tcPr>
            <w:tcW w:w="1687" w:type="dxa"/>
            <w:vAlign w:val="center"/>
          </w:tcPr>
          <w:p w14:paraId="4078387D"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F1BF54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E9D1415"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7B18566C"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6144BE12" w14:textId="77777777" w:rsidTr="00B518F1">
        <w:tc>
          <w:tcPr>
            <w:tcW w:w="1434" w:type="dxa"/>
            <w:vAlign w:val="center"/>
          </w:tcPr>
          <w:p w14:paraId="0FCFC482" w14:textId="77777777" w:rsidR="007075D9" w:rsidRPr="004D46AC" w:rsidRDefault="007075D9" w:rsidP="00CE2F7A">
            <w:pPr>
              <w:spacing w:line="240" w:lineRule="auto"/>
              <w:ind w:firstLine="0"/>
              <w:rPr>
                <w:b/>
                <w:bCs/>
                <w:i/>
                <w:iCs/>
              </w:rPr>
            </w:pPr>
            <w:r w:rsidRPr="004D46AC">
              <w:rPr>
                <w:rFonts w:eastAsia="DengXian"/>
                <w:color w:val="000000"/>
              </w:rPr>
              <w:t>RC--N5</w:t>
            </w:r>
          </w:p>
        </w:tc>
        <w:tc>
          <w:tcPr>
            <w:tcW w:w="1687" w:type="dxa"/>
            <w:vAlign w:val="center"/>
          </w:tcPr>
          <w:p w14:paraId="30B2703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886CDC9"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6916485"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42CA2D9D"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007937C6" w14:textId="77777777" w:rsidTr="00B518F1">
        <w:tc>
          <w:tcPr>
            <w:tcW w:w="1434" w:type="dxa"/>
            <w:vAlign w:val="center"/>
          </w:tcPr>
          <w:p w14:paraId="253C90CE" w14:textId="77777777" w:rsidR="007075D9" w:rsidRPr="004D46AC" w:rsidRDefault="007075D9" w:rsidP="00CE2F7A">
            <w:pPr>
              <w:spacing w:line="240" w:lineRule="auto"/>
              <w:ind w:firstLine="0"/>
              <w:rPr>
                <w:b/>
                <w:bCs/>
                <w:i/>
                <w:iCs/>
              </w:rPr>
            </w:pPr>
            <w:r w:rsidRPr="004D46AC">
              <w:rPr>
                <w:rFonts w:eastAsia="DengXian"/>
                <w:color w:val="000000"/>
              </w:rPr>
              <w:t>N1--Y10</w:t>
            </w:r>
          </w:p>
        </w:tc>
        <w:tc>
          <w:tcPr>
            <w:tcW w:w="1687" w:type="dxa"/>
            <w:vAlign w:val="center"/>
          </w:tcPr>
          <w:p w14:paraId="1F8C07A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A0D6854"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4F684B3C"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6F1B2C23"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273A64A4" w14:textId="77777777" w:rsidTr="00B518F1">
        <w:tc>
          <w:tcPr>
            <w:tcW w:w="1434" w:type="dxa"/>
            <w:vAlign w:val="center"/>
          </w:tcPr>
          <w:p w14:paraId="455D608D" w14:textId="77777777" w:rsidR="007075D9" w:rsidRPr="004D46AC" w:rsidRDefault="007075D9" w:rsidP="00CE2F7A">
            <w:pPr>
              <w:spacing w:line="240" w:lineRule="auto"/>
              <w:ind w:firstLine="0"/>
              <w:rPr>
                <w:b/>
                <w:bCs/>
                <w:i/>
                <w:iCs/>
              </w:rPr>
            </w:pPr>
            <w:r w:rsidRPr="004D46AC">
              <w:rPr>
                <w:rFonts w:eastAsia="DengXian"/>
                <w:color w:val="000000"/>
              </w:rPr>
              <w:t>IA--M8</w:t>
            </w:r>
          </w:p>
        </w:tc>
        <w:tc>
          <w:tcPr>
            <w:tcW w:w="1687" w:type="dxa"/>
            <w:vAlign w:val="center"/>
          </w:tcPr>
          <w:p w14:paraId="2A4DCED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6054708"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382BC79"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19853B23" w14:textId="77777777" w:rsidR="007075D9" w:rsidRPr="004D46AC" w:rsidRDefault="007075D9" w:rsidP="00CE2F7A">
            <w:pPr>
              <w:spacing w:line="240" w:lineRule="auto"/>
              <w:ind w:firstLine="0"/>
              <w:rPr>
                <w:b/>
                <w:bCs/>
                <w:i/>
                <w:iCs/>
              </w:rPr>
            </w:pPr>
            <w:r w:rsidRPr="004D46AC">
              <w:rPr>
                <w:color w:val="000000"/>
              </w:rPr>
              <w:t xml:space="preserve">0.08 </w:t>
            </w:r>
          </w:p>
        </w:tc>
      </w:tr>
      <w:tr w:rsidR="007075D9" w:rsidRPr="004D46AC" w14:paraId="17ADDD23" w14:textId="77777777" w:rsidTr="00B518F1">
        <w:tc>
          <w:tcPr>
            <w:tcW w:w="1434" w:type="dxa"/>
            <w:vAlign w:val="center"/>
          </w:tcPr>
          <w:p w14:paraId="0633A087" w14:textId="77777777" w:rsidR="007075D9" w:rsidRPr="004D46AC" w:rsidRDefault="007075D9" w:rsidP="00CE2F7A">
            <w:pPr>
              <w:spacing w:line="240" w:lineRule="auto"/>
              <w:ind w:firstLine="0"/>
              <w:rPr>
                <w:b/>
                <w:bCs/>
                <w:i/>
                <w:iCs/>
              </w:rPr>
            </w:pPr>
            <w:r w:rsidRPr="004D46AC">
              <w:rPr>
                <w:rFonts w:eastAsia="DengXian"/>
                <w:color w:val="000000"/>
              </w:rPr>
              <w:t>M5--M6</w:t>
            </w:r>
          </w:p>
        </w:tc>
        <w:tc>
          <w:tcPr>
            <w:tcW w:w="1687" w:type="dxa"/>
            <w:vAlign w:val="center"/>
          </w:tcPr>
          <w:p w14:paraId="05A2105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558D2E3"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B9F11AD"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1075F111"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5EAEB667" w14:textId="77777777" w:rsidTr="00B518F1">
        <w:tc>
          <w:tcPr>
            <w:tcW w:w="1434" w:type="dxa"/>
            <w:vAlign w:val="center"/>
          </w:tcPr>
          <w:p w14:paraId="040957E4" w14:textId="77777777" w:rsidR="007075D9" w:rsidRPr="004D46AC" w:rsidRDefault="007075D9" w:rsidP="00CE2F7A">
            <w:pPr>
              <w:spacing w:line="240" w:lineRule="auto"/>
              <w:ind w:firstLine="0"/>
              <w:rPr>
                <w:b/>
                <w:bCs/>
                <w:i/>
                <w:iCs/>
              </w:rPr>
            </w:pPr>
            <w:r w:rsidRPr="004D46AC">
              <w:rPr>
                <w:rFonts w:eastAsia="DengXian"/>
                <w:color w:val="000000"/>
              </w:rPr>
              <w:t>Y7--Y11</w:t>
            </w:r>
          </w:p>
        </w:tc>
        <w:tc>
          <w:tcPr>
            <w:tcW w:w="1687" w:type="dxa"/>
            <w:vAlign w:val="center"/>
          </w:tcPr>
          <w:p w14:paraId="757D86F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BAE9F78"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528A938"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23F08F1B"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192009DF" w14:textId="77777777" w:rsidTr="00B518F1">
        <w:tc>
          <w:tcPr>
            <w:tcW w:w="1434" w:type="dxa"/>
            <w:vAlign w:val="center"/>
          </w:tcPr>
          <w:p w14:paraId="6F988513" w14:textId="77777777" w:rsidR="007075D9" w:rsidRPr="004D46AC" w:rsidRDefault="007075D9" w:rsidP="00CE2F7A">
            <w:pPr>
              <w:spacing w:line="240" w:lineRule="auto"/>
              <w:ind w:firstLine="0"/>
              <w:rPr>
                <w:b/>
                <w:bCs/>
                <w:i/>
                <w:iCs/>
              </w:rPr>
            </w:pPr>
            <w:r w:rsidRPr="004D46AC">
              <w:rPr>
                <w:rFonts w:eastAsia="DengXian"/>
                <w:color w:val="000000"/>
              </w:rPr>
              <w:t>P6--Y11</w:t>
            </w:r>
          </w:p>
        </w:tc>
        <w:tc>
          <w:tcPr>
            <w:tcW w:w="1687" w:type="dxa"/>
            <w:vAlign w:val="center"/>
          </w:tcPr>
          <w:p w14:paraId="49362D2D"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E6FFA2E"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8DD8097"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149AFE72"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56F55C67" w14:textId="77777777" w:rsidTr="00B518F1">
        <w:tc>
          <w:tcPr>
            <w:tcW w:w="1434" w:type="dxa"/>
            <w:vAlign w:val="center"/>
          </w:tcPr>
          <w:p w14:paraId="7D277B29" w14:textId="77777777" w:rsidR="007075D9" w:rsidRPr="004D46AC" w:rsidRDefault="007075D9" w:rsidP="00CE2F7A">
            <w:pPr>
              <w:spacing w:line="240" w:lineRule="auto"/>
              <w:ind w:firstLine="0"/>
              <w:rPr>
                <w:b/>
                <w:bCs/>
                <w:i/>
                <w:iCs/>
              </w:rPr>
            </w:pPr>
            <w:r w:rsidRPr="004D46AC">
              <w:rPr>
                <w:rFonts w:eastAsia="DengXian"/>
                <w:color w:val="000000"/>
              </w:rPr>
              <w:t>N1--N7</w:t>
            </w:r>
          </w:p>
        </w:tc>
        <w:tc>
          <w:tcPr>
            <w:tcW w:w="1687" w:type="dxa"/>
            <w:vAlign w:val="center"/>
          </w:tcPr>
          <w:p w14:paraId="6EACDB3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862A89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BEB94EE"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17BD5F15" w14:textId="77777777" w:rsidR="007075D9" w:rsidRPr="004D46AC" w:rsidRDefault="007075D9" w:rsidP="00CE2F7A">
            <w:pPr>
              <w:spacing w:line="240" w:lineRule="auto"/>
              <w:ind w:firstLine="0"/>
              <w:rPr>
                <w:b/>
                <w:bCs/>
                <w:i/>
                <w:iCs/>
              </w:rPr>
            </w:pPr>
            <w:r w:rsidRPr="004D46AC">
              <w:rPr>
                <w:color w:val="000000"/>
              </w:rPr>
              <w:t xml:space="preserve">0.09 </w:t>
            </w:r>
          </w:p>
        </w:tc>
      </w:tr>
      <w:tr w:rsidR="007075D9" w:rsidRPr="004D46AC" w14:paraId="4EFBD75F" w14:textId="77777777" w:rsidTr="00B518F1">
        <w:tc>
          <w:tcPr>
            <w:tcW w:w="1434" w:type="dxa"/>
            <w:vAlign w:val="center"/>
          </w:tcPr>
          <w:p w14:paraId="1DE6C8F7" w14:textId="77777777" w:rsidR="007075D9" w:rsidRPr="004D46AC" w:rsidRDefault="007075D9" w:rsidP="00CE2F7A">
            <w:pPr>
              <w:spacing w:line="240" w:lineRule="auto"/>
              <w:ind w:firstLine="0"/>
              <w:rPr>
                <w:b/>
                <w:bCs/>
                <w:i/>
                <w:iCs/>
              </w:rPr>
            </w:pPr>
            <w:r w:rsidRPr="004D46AC">
              <w:rPr>
                <w:rFonts w:eastAsia="DengXian"/>
                <w:color w:val="000000"/>
              </w:rPr>
              <w:t>N1--M2</w:t>
            </w:r>
          </w:p>
        </w:tc>
        <w:tc>
          <w:tcPr>
            <w:tcW w:w="1687" w:type="dxa"/>
            <w:vAlign w:val="center"/>
          </w:tcPr>
          <w:p w14:paraId="39B874A3"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45F60F0"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A16BB38"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251919B4"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0C8C8300" w14:textId="77777777" w:rsidTr="00B518F1">
        <w:tc>
          <w:tcPr>
            <w:tcW w:w="1434" w:type="dxa"/>
            <w:vAlign w:val="center"/>
          </w:tcPr>
          <w:p w14:paraId="2E822E35" w14:textId="77777777" w:rsidR="007075D9" w:rsidRPr="004D46AC" w:rsidRDefault="007075D9" w:rsidP="00CE2F7A">
            <w:pPr>
              <w:spacing w:line="240" w:lineRule="auto"/>
              <w:ind w:firstLine="0"/>
              <w:rPr>
                <w:b/>
                <w:bCs/>
                <w:i/>
                <w:iCs/>
              </w:rPr>
            </w:pPr>
            <w:r w:rsidRPr="004D46AC">
              <w:rPr>
                <w:rFonts w:eastAsia="DengXian"/>
                <w:color w:val="000000"/>
              </w:rPr>
              <w:t>Y7--M3</w:t>
            </w:r>
          </w:p>
        </w:tc>
        <w:tc>
          <w:tcPr>
            <w:tcW w:w="1687" w:type="dxa"/>
            <w:vAlign w:val="center"/>
          </w:tcPr>
          <w:p w14:paraId="533360CC"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5155F2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FEF59D7"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2C5679D4" w14:textId="77777777" w:rsidR="007075D9" w:rsidRPr="004D46AC" w:rsidRDefault="007075D9" w:rsidP="00CE2F7A">
            <w:pPr>
              <w:spacing w:line="240" w:lineRule="auto"/>
              <w:ind w:firstLine="0"/>
              <w:rPr>
                <w:b/>
                <w:bCs/>
                <w:i/>
                <w:iCs/>
              </w:rPr>
            </w:pPr>
            <w:r w:rsidRPr="004D46AC">
              <w:rPr>
                <w:color w:val="000000"/>
              </w:rPr>
              <w:t xml:space="preserve">0.09 </w:t>
            </w:r>
          </w:p>
        </w:tc>
      </w:tr>
      <w:tr w:rsidR="007075D9" w:rsidRPr="004D46AC" w14:paraId="453985E1" w14:textId="77777777" w:rsidTr="00B518F1">
        <w:tc>
          <w:tcPr>
            <w:tcW w:w="1434" w:type="dxa"/>
            <w:vAlign w:val="center"/>
          </w:tcPr>
          <w:p w14:paraId="058A4755" w14:textId="77777777" w:rsidR="007075D9" w:rsidRPr="004D46AC" w:rsidRDefault="007075D9" w:rsidP="00CE2F7A">
            <w:pPr>
              <w:spacing w:line="240" w:lineRule="auto"/>
              <w:ind w:firstLine="0"/>
              <w:rPr>
                <w:b/>
                <w:bCs/>
                <w:i/>
                <w:iCs/>
              </w:rPr>
            </w:pPr>
            <w:r w:rsidRPr="004D46AC">
              <w:rPr>
                <w:rFonts w:eastAsia="DengXian"/>
                <w:color w:val="000000"/>
              </w:rPr>
              <w:t>Y10--M9</w:t>
            </w:r>
          </w:p>
        </w:tc>
        <w:tc>
          <w:tcPr>
            <w:tcW w:w="1687" w:type="dxa"/>
            <w:vAlign w:val="center"/>
          </w:tcPr>
          <w:p w14:paraId="24DF416D"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3DDB942"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C18D778"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300EDCCE"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0217978E" w14:textId="77777777" w:rsidTr="00B518F1">
        <w:tc>
          <w:tcPr>
            <w:tcW w:w="1434" w:type="dxa"/>
            <w:vAlign w:val="center"/>
          </w:tcPr>
          <w:p w14:paraId="4AD1E7AC" w14:textId="77777777" w:rsidR="007075D9" w:rsidRPr="004D46AC" w:rsidRDefault="007075D9" w:rsidP="00CE2F7A">
            <w:pPr>
              <w:spacing w:line="240" w:lineRule="auto"/>
              <w:ind w:firstLine="0"/>
              <w:rPr>
                <w:b/>
                <w:bCs/>
                <w:i/>
                <w:iCs/>
              </w:rPr>
            </w:pPr>
            <w:r w:rsidRPr="004D46AC">
              <w:rPr>
                <w:rFonts w:eastAsia="DengXian"/>
                <w:color w:val="000000"/>
              </w:rPr>
              <w:t>P4--SP</w:t>
            </w:r>
          </w:p>
        </w:tc>
        <w:tc>
          <w:tcPr>
            <w:tcW w:w="1687" w:type="dxa"/>
            <w:vAlign w:val="center"/>
          </w:tcPr>
          <w:p w14:paraId="71B190A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406D7A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58B965A"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6713EA7C"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001BFC71" w14:textId="77777777" w:rsidTr="00B518F1">
        <w:tc>
          <w:tcPr>
            <w:tcW w:w="1434" w:type="dxa"/>
            <w:vAlign w:val="center"/>
          </w:tcPr>
          <w:p w14:paraId="5E1DC367" w14:textId="77777777" w:rsidR="007075D9" w:rsidRPr="004D46AC" w:rsidRDefault="007075D9" w:rsidP="00CE2F7A">
            <w:pPr>
              <w:spacing w:line="240" w:lineRule="auto"/>
              <w:ind w:firstLine="0"/>
              <w:rPr>
                <w:b/>
                <w:bCs/>
                <w:i/>
                <w:iCs/>
              </w:rPr>
            </w:pPr>
            <w:r w:rsidRPr="004D46AC">
              <w:rPr>
                <w:rFonts w:eastAsia="DengXian"/>
                <w:color w:val="000000"/>
              </w:rPr>
              <w:lastRenderedPageBreak/>
              <w:t>M5--M10</w:t>
            </w:r>
          </w:p>
        </w:tc>
        <w:tc>
          <w:tcPr>
            <w:tcW w:w="1687" w:type="dxa"/>
            <w:vAlign w:val="center"/>
          </w:tcPr>
          <w:p w14:paraId="36DE35B1"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5BE87A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9675FB8"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0DD00351" w14:textId="77777777" w:rsidR="007075D9" w:rsidRPr="004D46AC" w:rsidRDefault="007075D9" w:rsidP="00CE2F7A">
            <w:pPr>
              <w:spacing w:line="240" w:lineRule="auto"/>
              <w:ind w:firstLine="0"/>
              <w:rPr>
                <w:b/>
                <w:bCs/>
                <w:i/>
                <w:iCs/>
              </w:rPr>
            </w:pPr>
            <w:r w:rsidRPr="004D46AC">
              <w:rPr>
                <w:color w:val="000000"/>
              </w:rPr>
              <w:t xml:space="preserve">0.17 </w:t>
            </w:r>
          </w:p>
        </w:tc>
      </w:tr>
      <w:tr w:rsidR="007075D9" w:rsidRPr="004D46AC" w14:paraId="4BD1B8B3" w14:textId="77777777" w:rsidTr="00B518F1">
        <w:tc>
          <w:tcPr>
            <w:tcW w:w="1434" w:type="dxa"/>
            <w:vAlign w:val="center"/>
          </w:tcPr>
          <w:p w14:paraId="4CB02F80" w14:textId="77777777" w:rsidR="007075D9" w:rsidRPr="004D46AC" w:rsidRDefault="007075D9" w:rsidP="00CE2F7A">
            <w:pPr>
              <w:spacing w:line="240" w:lineRule="auto"/>
              <w:ind w:firstLine="0"/>
              <w:rPr>
                <w:b/>
                <w:bCs/>
                <w:i/>
                <w:iCs/>
              </w:rPr>
            </w:pPr>
            <w:r w:rsidRPr="004D46AC">
              <w:rPr>
                <w:rFonts w:eastAsia="DengXian"/>
                <w:color w:val="000000"/>
              </w:rPr>
              <w:t>M3--M8</w:t>
            </w:r>
          </w:p>
        </w:tc>
        <w:tc>
          <w:tcPr>
            <w:tcW w:w="1687" w:type="dxa"/>
            <w:vAlign w:val="center"/>
          </w:tcPr>
          <w:p w14:paraId="1E1B210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1CF2ED7"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444960B"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663CF6B7"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68E7568F" w14:textId="77777777" w:rsidTr="00B518F1">
        <w:tc>
          <w:tcPr>
            <w:tcW w:w="1434" w:type="dxa"/>
            <w:vAlign w:val="center"/>
          </w:tcPr>
          <w:p w14:paraId="47A78C49" w14:textId="77777777" w:rsidR="007075D9" w:rsidRPr="004D46AC" w:rsidRDefault="007075D9" w:rsidP="00CE2F7A">
            <w:pPr>
              <w:spacing w:line="240" w:lineRule="auto"/>
              <w:ind w:firstLine="0"/>
              <w:rPr>
                <w:b/>
                <w:bCs/>
                <w:i/>
                <w:iCs/>
              </w:rPr>
            </w:pPr>
            <w:r w:rsidRPr="004D46AC">
              <w:rPr>
                <w:rFonts w:eastAsia="DengXian"/>
                <w:color w:val="000000"/>
              </w:rPr>
              <w:t>P3--Y7</w:t>
            </w:r>
          </w:p>
        </w:tc>
        <w:tc>
          <w:tcPr>
            <w:tcW w:w="1687" w:type="dxa"/>
            <w:vAlign w:val="center"/>
          </w:tcPr>
          <w:p w14:paraId="01BD9D8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250B85A"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DBD4803"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71807A79" w14:textId="77777777" w:rsidR="007075D9" w:rsidRPr="004D46AC" w:rsidRDefault="007075D9" w:rsidP="00CE2F7A">
            <w:pPr>
              <w:spacing w:line="240" w:lineRule="auto"/>
              <w:ind w:firstLine="0"/>
              <w:rPr>
                <w:b/>
                <w:bCs/>
                <w:i/>
                <w:iCs/>
              </w:rPr>
            </w:pPr>
            <w:r w:rsidRPr="004D46AC">
              <w:rPr>
                <w:color w:val="000000"/>
              </w:rPr>
              <w:t xml:space="preserve">0.17 </w:t>
            </w:r>
          </w:p>
        </w:tc>
      </w:tr>
      <w:tr w:rsidR="007075D9" w:rsidRPr="004D46AC" w14:paraId="1517333E" w14:textId="77777777" w:rsidTr="00B518F1">
        <w:tc>
          <w:tcPr>
            <w:tcW w:w="1434" w:type="dxa"/>
            <w:vAlign w:val="center"/>
          </w:tcPr>
          <w:p w14:paraId="0DF0ADA7" w14:textId="77777777" w:rsidR="007075D9" w:rsidRPr="004D46AC" w:rsidRDefault="007075D9" w:rsidP="00CE2F7A">
            <w:pPr>
              <w:spacing w:line="240" w:lineRule="auto"/>
              <w:ind w:firstLine="0"/>
              <w:rPr>
                <w:b/>
                <w:bCs/>
                <w:i/>
                <w:iCs/>
              </w:rPr>
            </w:pPr>
            <w:r w:rsidRPr="004D46AC">
              <w:rPr>
                <w:rFonts w:eastAsia="DengXian"/>
                <w:color w:val="000000"/>
              </w:rPr>
              <w:t>Y6--SP</w:t>
            </w:r>
          </w:p>
        </w:tc>
        <w:tc>
          <w:tcPr>
            <w:tcW w:w="1687" w:type="dxa"/>
            <w:vAlign w:val="center"/>
          </w:tcPr>
          <w:p w14:paraId="6542A34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87DC84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C7A546B"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1C055EEC" w14:textId="77777777" w:rsidR="007075D9" w:rsidRPr="004D46AC" w:rsidRDefault="007075D9" w:rsidP="00CE2F7A">
            <w:pPr>
              <w:spacing w:line="240" w:lineRule="auto"/>
              <w:ind w:firstLine="0"/>
              <w:rPr>
                <w:b/>
                <w:bCs/>
                <w:i/>
                <w:iCs/>
              </w:rPr>
            </w:pPr>
            <w:r w:rsidRPr="004D46AC">
              <w:rPr>
                <w:color w:val="000000"/>
              </w:rPr>
              <w:t xml:space="preserve">0.19 </w:t>
            </w:r>
          </w:p>
        </w:tc>
      </w:tr>
      <w:tr w:rsidR="007075D9" w:rsidRPr="004D46AC" w14:paraId="41FBEE39" w14:textId="77777777" w:rsidTr="00B518F1">
        <w:tc>
          <w:tcPr>
            <w:tcW w:w="1434" w:type="dxa"/>
            <w:vAlign w:val="center"/>
          </w:tcPr>
          <w:p w14:paraId="36158B25" w14:textId="77777777" w:rsidR="007075D9" w:rsidRPr="004D46AC" w:rsidRDefault="007075D9" w:rsidP="00CE2F7A">
            <w:pPr>
              <w:spacing w:line="240" w:lineRule="auto"/>
              <w:ind w:firstLine="0"/>
              <w:rPr>
                <w:b/>
                <w:bCs/>
                <w:i/>
                <w:iCs/>
              </w:rPr>
            </w:pPr>
            <w:r w:rsidRPr="004D46AC">
              <w:rPr>
                <w:rFonts w:eastAsia="DengXian"/>
                <w:color w:val="000000"/>
              </w:rPr>
              <w:t>P3--M5</w:t>
            </w:r>
          </w:p>
        </w:tc>
        <w:tc>
          <w:tcPr>
            <w:tcW w:w="1687" w:type="dxa"/>
            <w:vAlign w:val="center"/>
          </w:tcPr>
          <w:p w14:paraId="7387D81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D78E4E9"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1F2854D"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2FF0BFD4" w14:textId="77777777" w:rsidR="007075D9" w:rsidRPr="004D46AC" w:rsidRDefault="007075D9" w:rsidP="00CE2F7A">
            <w:pPr>
              <w:spacing w:line="240" w:lineRule="auto"/>
              <w:ind w:firstLine="0"/>
              <w:rPr>
                <w:b/>
                <w:bCs/>
                <w:i/>
                <w:iCs/>
              </w:rPr>
            </w:pPr>
            <w:r w:rsidRPr="004D46AC">
              <w:rPr>
                <w:color w:val="000000"/>
              </w:rPr>
              <w:t xml:space="preserve">0.24 </w:t>
            </w:r>
          </w:p>
        </w:tc>
      </w:tr>
      <w:tr w:rsidR="007075D9" w:rsidRPr="004D46AC" w14:paraId="54111821" w14:textId="77777777" w:rsidTr="00B518F1">
        <w:tc>
          <w:tcPr>
            <w:tcW w:w="1434" w:type="dxa"/>
            <w:vAlign w:val="center"/>
          </w:tcPr>
          <w:p w14:paraId="78EEE21C" w14:textId="77777777" w:rsidR="007075D9" w:rsidRPr="004D46AC" w:rsidRDefault="007075D9" w:rsidP="00CE2F7A">
            <w:pPr>
              <w:spacing w:line="240" w:lineRule="auto"/>
              <w:ind w:firstLine="0"/>
              <w:rPr>
                <w:b/>
                <w:bCs/>
                <w:i/>
                <w:iCs/>
              </w:rPr>
            </w:pPr>
            <w:r w:rsidRPr="004D46AC">
              <w:rPr>
                <w:rFonts w:eastAsia="DengXian"/>
                <w:color w:val="000000"/>
              </w:rPr>
              <w:t>P4--M6</w:t>
            </w:r>
          </w:p>
        </w:tc>
        <w:tc>
          <w:tcPr>
            <w:tcW w:w="1687" w:type="dxa"/>
            <w:vAlign w:val="center"/>
          </w:tcPr>
          <w:p w14:paraId="7F65517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CF347D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C1764C2"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3881511A" w14:textId="77777777" w:rsidR="007075D9" w:rsidRPr="004D46AC" w:rsidRDefault="007075D9" w:rsidP="00CE2F7A">
            <w:pPr>
              <w:spacing w:line="240" w:lineRule="auto"/>
              <w:ind w:firstLine="0"/>
              <w:rPr>
                <w:b/>
                <w:bCs/>
                <w:i/>
                <w:iCs/>
              </w:rPr>
            </w:pPr>
            <w:r w:rsidRPr="004D46AC">
              <w:rPr>
                <w:color w:val="000000"/>
              </w:rPr>
              <w:t xml:space="preserve">0.14 </w:t>
            </w:r>
          </w:p>
        </w:tc>
      </w:tr>
      <w:tr w:rsidR="007075D9" w:rsidRPr="004D46AC" w14:paraId="2E9AC1D4" w14:textId="77777777" w:rsidTr="00B518F1">
        <w:tc>
          <w:tcPr>
            <w:tcW w:w="1434" w:type="dxa"/>
            <w:vAlign w:val="center"/>
          </w:tcPr>
          <w:p w14:paraId="2ED780FB" w14:textId="77777777" w:rsidR="007075D9" w:rsidRPr="004D46AC" w:rsidRDefault="007075D9" w:rsidP="00CE2F7A">
            <w:pPr>
              <w:spacing w:line="240" w:lineRule="auto"/>
              <w:ind w:firstLine="0"/>
              <w:rPr>
                <w:b/>
                <w:bCs/>
                <w:i/>
                <w:iCs/>
              </w:rPr>
            </w:pPr>
            <w:r w:rsidRPr="004D46AC">
              <w:rPr>
                <w:rFonts w:eastAsia="DengXian"/>
                <w:color w:val="000000"/>
              </w:rPr>
              <w:t>WD--M10</w:t>
            </w:r>
          </w:p>
        </w:tc>
        <w:tc>
          <w:tcPr>
            <w:tcW w:w="1687" w:type="dxa"/>
            <w:vAlign w:val="center"/>
          </w:tcPr>
          <w:p w14:paraId="1C7BF29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A16DA7B"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9C88709"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5CF142C1"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6221C784" w14:textId="77777777" w:rsidTr="00B518F1">
        <w:tc>
          <w:tcPr>
            <w:tcW w:w="1434" w:type="dxa"/>
            <w:vAlign w:val="center"/>
          </w:tcPr>
          <w:p w14:paraId="020AA215" w14:textId="77777777" w:rsidR="007075D9" w:rsidRPr="004D46AC" w:rsidRDefault="007075D9" w:rsidP="00CE2F7A">
            <w:pPr>
              <w:spacing w:line="240" w:lineRule="auto"/>
              <w:ind w:firstLine="0"/>
              <w:rPr>
                <w:b/>
                <w:bCs/>
                <w:i/>
                <w:iCs/>
              </w:rPr>
            </w:pPr>
            <w:r w:rsidRPr="004D46AC">
              <w:rPr>
                <w:rFonts w:eastAsia="DengXian"/>
                <w:color w:val="000000"/>
              </w:rPr>
              <w:t>IA--Y11</w:t>
            </w:r>
          </w:p>
        </w:tc>
        <w:tc>
          <w:tcPr>
            <w:tcW w:w="1687" w:type="dxa"/>
            <w:vAlign w:val="center"/>
          </w:tcPr>
          <w:p w14:paraId="6CF8BEB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DB9707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E1B5020"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28DDDADB" w14:textId="77777777" w:rsidR="007075D9" w:rsidRPr="004D46AC" w:rsidRDefault="007075D9" w:rsidP="00CE2F7A">
            <w:pPr>
              <w:spacing w:line="240" w:lineRule="auto"/>
              <w:ind w:firstLine="0"/>
              <w:rPr>
                <w:b/>
                <w:bCs/>
                <w:i/>
                <w:iCs/>
              </w:rPr>
            </w:pPr>
            <w:r w:rsidRPr="004D46AC">
              <w:rPr>
                <w:color w:val="000000"/>
              </w:rPr>
              <w:t xml:space="preserve">0.25 </w:t>
            </w:r>
          </w:p>
        </w:tc>
      </w:tr>
      <w:tr w:rsidR="007075D9" w:rsidRPr="004D46AC" w14:paraId="2F575A1B" w14:textId="77777777" w:rsidTr="00B518F1">
        <w:tc>
          <w:tcPr>
            <w:tcW w:w="1434" w:type="dxa"/>
            <w:vAlign w:val="center"/>
          </w:tcPr>
          <w:p w14:paraId="44F0097D" w14:textId="77777777" w:rsidR="007075D9" w:rsidRPr="004D46AC" w:rsidRDefault="007075D9" w:rsidP="00CE2F7A">
            <w:pPr>
              <w:spacing w:line="240" w:lineRule="auto"/>
              <w:ind w:firstLine="0"/>
              <w:rPr>
                <w:b/>
                <w:bCs/>
                <w:i/>
                <w:iCs/>
              </w:rPr>
            </w:pPr>
            <w:r w:rsidRPr="004D46AC">
              <w:rPr>
                <w:rFonts w:eastAsia="DengXian"/>
                <w:color w:val="000000"/>
              </w:rPr>
              <w:t>M7--M10</w:t>
            </w:r>
          </w:p>
        </w:tc>
        <w:tc>
          <w:tcPr>
            <w:tcW w:w="1687" w:type="dxa"/>
            <w:vAlign w:val="center"/>
          </w:tcPr>
          <w:p w14:paraId="47A8E7E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5D4C36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E58713A"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61FC83C0" w14:textId="77777777" w:rsidR="007075D9" w:rsidRPr="004D46AC" w:rsidRDefault="007075D9" w:rsidP="00CE2F7A">
            <w:pPr>
              <w:spacing w:line="240" w:lineRule="auto"/>
              <w:ind w:firstLine="0"/>
              <w:rPr>
                <w:b/>
                <w:bCs/>
                <w:i/>
                <w:iCs/>
              </w:rPr>
            </w:pPr>
            <w:r w:rsidRPr="004D46AC">
              <w:rPr>
                <w:color w:val="000000"/>
              </w:rPr>
              <w:t xml:space="preserve">0.24 </w:t>
            </w:r>
          </w:p>
        </w:tc>
      </w:tr>
      <w:tr w:rsidR="007075D9" w:rsidRPr="004D46AC" w14:paraId="3C90D634" w14:textId="77777777" w:rsidTr="00B518F1">
        <w:tc>
          <w:tcPr>
            <w:tcW w:w="1434" w:type="dxa"/>
            <w:vAlign w:val="center"/>
          </w:tcPr>
          <w:p w14:paraId="4528933A" w14:textId="77777777" w:rsidR="007075D9" w:rsidRPr="004D46AC" w:rsidRDefault="007075D9" w:rsidP="00CE2F7A">
            <w:pPr>
              <w:spacing w:line="240" w:lineRule="auto"/>
              <w:ind w:firstLine="0"/>
              <w:rPr>
                <w:b/>
                <w:bCs/>
                <w:i/>
                <w:iCs/>
              </w:rPr>
            </w:pPr>
            <w:r w:rsidRPr="004D46AC">
              <w:rPr>
                <w:rFonts w:eastAsia="DengXian"/>
                <w:color w:val="000000"/>
              </w:rPr>
              <w:t>RC--Y11</w:t>
            </w:r>
          </w:p>
        </w:tc>
        <w:tc>
          <w:tcPr>
            <w:tcW w:w="1687" w:type="dxa"/>
            <w:vAlign w:val="center"/>
          </w:tcPr>
          <w:p w14:paraId="40A4F49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348C4AA"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9AD65E0"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3C2A4473" w14:textId="77777777" w:rsidR="007075D9" w:rsidRPr="004D46AC" w:rsidRDefault="007075D9" w:rsidP="00CE2F7A">
            <w:pPr>
              <w:spacing w:line="240" w:lineRule="auto"/>
              <w:ind w:firstLine="0"/>
              <w:rPr>
                <w:b/>
                <w:bCs/>
                <w:i/>
                <w:iCs/>
              </w:rPr>
            </w:pPr>
            <w:r w:rsidRPr="004D46AC">
              <w:rPr>
                <w:color w:val="000000"/>
              </w:rPr>
              <w:t xml:space="preserve">0.30 </w:t>
            </w:r>
          </w:p>
        </w:tc>
      </w:tr>
      <w:tr w:rsidR="007075D9" w:rsidRPr="004D46AC" w14:paraId="267B32C7" w14:textId="77777777" w:rsidTr="00B518F1">
        <w:tc>
          <w:tcPr>
            <w:tcW w:w="1434" w:type="dxa"/>
            <w:vAlign w:val="center"/>
          </w:tcPr>
          <w:p w14:paraId="1B766E59" w14:textId="77777777" w:rsidR="007075D9" w:rsidRPr="004D46AC" w:rsidRDefault="007075D9" w:rsidP="00CE2F7A">
            <w:pPr>
              <w:spacing w:line="240" w:lineRule="auto"/>
              <w:ind w:firstLine="0"/>
              <w:rPr>
                <w:b/>
                <w:bCs/>
                <w:i/>
                <w:iCs/>
              </w:rPr>
            </w:pPr>
            <w:r w:rsidRPr="004D46AC">
              <w:rPr>
                <w:rFonts w:eastAsia="DengXian"/>
                <w:color w:val="000000"/>
              </w:rPr>
              <w:t>Y10--M3</w:t>
            </w:r>
          </w:p>
        </w:tc>
        <w:tc>
          <w:tcPr>
            <w:tcW w:w="1687" w:type="dxa"/>
            <w:vAlign w:val="center"/>
          </w:tcPr>
          <w:p w14:paraId="2973FD9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1D33DC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FF4D0AD"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6DF68C8F" w14:textId="77777777" w:rsidR="007075D9" w:rsidRPr="004D46AC" w:rsidRDefault="007075D9" w:rsidP="00CE2F7A">
            <w:pPr>
              <w:spacing w:line="240" w:lineRule="auto"/>
              <w:ind w:firstLine="0"/>
              <w:rPr>
                <w:b/>
                <w:bCs/>
                <w:i/>
                <w:iCs/>
              </w:rPr>
            </w:pPr>
            <w:r w:rsidRPr="004D46AC">
              <w:rPr>
                <w:color w:val="000000"/>
              </w:rPr>
              <w:t xml:space="preserve">0.26 </w:t>
            </w:r>
          </w:p>
        </w:tc>
      </w:tr>
      <w:tr w:rsidR="007075D9" w:rsidRPr="004D46AC" w14:paraId="7B7C08C4" w14:textId="77777777" w:rsidTr="00B518F1">
        <w:tc>
          <w:tcPr>
            <w:tcW w:w="1434" w:type="dxa"/>
            <w:vAlign w:val="center"/>
          </w:tcPr>
          <w:p w14:paraId="5F57B443" w14:textId="77777777" w:rsidR="007075D9" w:rsidRPr="004D46AC" w:rsidRDefault="007075D9" w:rsidP="00CE2F7A">
            <w:pPr>
              <w:spacing w:line="240" w:lineRule="auto"/>
              <w:ind w:firstLine="0"/>
              <w:rPr>
                <w:b/>
                <w:bCs/>
                <w:i/>
                <w:iCs/>
              </w:rPr>
            </w:pPr>
            <w:r w:rsidRPr="004D46AC">
              <w:rPr>
                <w:rFonts w:eastAsia="DengXian"/>
                <w:color w:val="000000"/>
              </w:rPr>
              <w:t>P3--N1</w:t>
            </w:r>
          </w:p>
        </w:tc>
        <w:tc>
          <w:tcPr>
            <w:tcW w:w="1687" w:type="dxa"/>
            <w:vAlign w:val="center"/>
          </w:tcPr>
          <w:p w14:paraId="42AB627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3EDD0F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5775E9E"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1F758BAC" w14:textId="77777777" w:rsidR="007075D9" w:rsidRPr="004D46AC" w:rsidRDefault="007075D9" w:rsidP="00CE2F7A">
            <w:pPr>
              <w:spacing w:line="240" w:lineRule="auto"/>
              <w:ind w:firstLine="0"/>
              <w:rPr>
                <w:b/>
                <w:bCs/>
                <w:i/>
                <w:iCs/>
              </w:rPr>
            </w:pPr>
            <w:r w:rsidRPr="004D46AC">
              <w:rPr>
                <w:color w:val="000000"/>
              </w:rPr>
              <w:t xml:space="preserve">0.20 </w:t>
            </w:r>
          </w:p>
        </w:tc>
      </w:tr>
      <w:tr w:rsidR="007075D9" w:rsidRPr="004D46AC" w14:paraId="4DBF703A" w14:textId="77777777" w:rsidTr="00B518F1">
        <w:tc>
          <w:tcPr>
            <w:tcW w:w="1434" w:type="dxa"/>
            <w:vAlign w:val="center"/>
          </w:tcPr>
          <w:p w14:paraId="60694BC0" w14:textId="77777777" w:rsidR="007075D9" w:rsidRPr="004D46AC" w:rsidRDefault="007075D9" w:rsidP="00CE2F7A">
            <w:pPr>
              <w:spacing w:line="240" w:lineRule="auto"/>
              <w:ind w:firstLine="0"/>
              <w:rPr>
                <w:b/>
                <w:bCs/>
                <w:i/>
                <w:iCs/>
              </w:rPr>
            </w:pPr>
            <w:r w:rsidRPr="004D46AC">
              <w:rPr>
                <w:rFonts w:eastAsia="DengXian"/>
                <w:color w:val="000000"/>
              </w:rPr>
              <w:t>P2--RC</w:t>
            </w:r>
          </w:p>
        </w:tc>
        <w:tc>
          <w:tcPr>
            <w:tcW w:w="1687" w:type="dxa"/>
            <w:vAlign w:val="center"/>
          </w:tcPr>
          <w:p w14:paraId="428BEB0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CC4431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04D7648"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16BF8E36" w14:textId="77777777" w:rsidR="007075D9" w:rsidRPr="004D46AC" w:rsidRDefault="007075D9" w:rsidP="00CE2F7A">
            <w:pPr>
              <w:spacing w:line="240" w:lineRule="auto"/>
              <w:ind w:firstLine="0"/>
              <w:rPr>
                <w:b/>
                <w:bCs/>
                <w:i/>
                <w:iCs/>
              </w:rPr>
            </w:pPr>
            <w:r w:rsidRPr="004D46AC">
              <w:rPr>
                <w:color w:val="000000"/>
              </w:rPr>
              <w:t xml:space="preserve">0.20 </w:t>
            </w:r>
          </w:p>
        </w:tc>
      </w:tr>
      <w:tr w:rsidR="007075D9" w:rsidRPr="004D46AC" w14:paraId="723EA2C9" w14:textId="77777777" w:rsidTr="00B518F1">
        <w:tc>
          <w:tcPr>
            <w:tcW w:w="1434" w:type="dxa"/>
            <w:vAlign w:val="center"/>
          </w:tcPr>
          <w:p w14:paraId="44414D44" w14:textId="77777777" w:rsidR="007075D9" w:rsidRPr="004D46AC" w:rsidRDefault="007075D9" w:rsidP="00CE2F7A">
            <w:pPr>
              <w:spacing w:line="240" w:lineRule="auto"/>
              <w:ind w:firstLine="0"/>
              <w:rPr>
                <w:b/>
                <w:bCs/>
                <w:i/>
                <w:iCs/>
              </w:rPr>
            </w:pPr>
            <w:r w:rsidRPr="004D46AC">
              <w:rPr>
                <w:rFonts w:eastAsia="DengXian"/>
                <w:color w:val="000000"/>
              </w:rPr>
              <w:t>P6--M2</w:t>
            </w:r>
          </w:p>
        </w:tc>
        <w:tc>
          <w:tcPr>
            <w:tcW w:w="1687" w:type="dxa"/>
            <w:vAlign w:val="center"/>
          </w:tcPr>
          <w:p w14:paraId="183E0EA2"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FC42A08"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38D2BD4"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19D74354" w14:textId="77777777" w:rsidR="007075D9" w:rsidRPr="004D46AC" w:rsidRDefault="007075D9" w:rsidP="00CE2F7A">
            <w:pPr>
              <w:spacing w:line="240" w:lineRule="auto"/>
              <w:ind w:firstLine="0"/>
              <w:rPr>
                <w:b/>
                <w:bCs/>
                <w:i/>
                <w:iCs/>
              </w:rPr>
            </w:pPr>
            <w:r w:rsidRPr="004D46AC">
              <w:rPr>
                <w:color w:val="000000"/>
              </w:rPr>
              <w:t xml:space="preserve">0.22 </w:t>
            </w:r>
          </w:p>
        </w:tc>
      </w:tr>
      <w:tr w:rsidR="007075D9" w:rsidRPr="004D46AC" w14:paraId="59E8D37F" w14:textId="77777777" w:rsidTr="00B518F1">
        <w:tc>
          <w:tcPr>
            <w:tcW w:w="1434" w:type="dxa"/>
            <w:vAlign w:val="center"/>
          </w:tcPr>
          <w:p w14:paraId="67F7FED7" w14:textId="77777777" w:rsidR="007075D9" w:rsidRPr="004D46AC" w:rsidRDefault="007075D9" w:rsidP="00CE2F7A">
            <w:pPr>
              <w:spacing w:line="240" w:lineRule="auto"/>
              <w:ind w:firstLine="0"/>
              <w:rPr>
                <w:b/>
                <w:bCs/>
                <w:i/>
                <w:iCs/>
              </w:rPr>
            </w:pPr>
            <w:r w:rsidRPr="004D46AC">
              <w:rPr>
                <w:rFonts w:eastAsia="DengXian"/>
                <w:color w:val="000000"/>
              </w:rPr>
              <w:t>M9--SP</w:t>
            </w:r>
          </w:p>
        </w:tc>
        <w:tc>
          <w:tcPr>
            <w:tcW w:w="1687" w:type="dxa"/>
            <w:vAlign w:val="center"/>
          </w:tcPr>
          <w:p w14:paraId="2FF867D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7B4152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29CF4B5"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5A646E50" w14:textId="77777777" w:rsidR="007075D9" w:rsidRPr="004D46AC" w:rsidRDefault="007075D9" w:rsidP="00CE2F7A">
            <w:pPr>
              <w:spacing w:line="240" w:lineRule="auto"/>
              <w:ind w:firstLine="0"/>
              <w:rPr>
                <w:b/>
                <w:bCs/>
                <w:i/>
                <w:iCs/>
              </w:rPr>
            </w:pPr>
            <w:r w:rsidRPr="004D46AC">
              <w:rPr>
                <w:color w:val="000000"/>
              </w:rPr>
              <w:t xml:space="preserve">0.30 </w:t>
            </w:r>
          </w:p>
        </w:tc>
      </w:tr>
      <w:tr w:rsidR="007075D9" w:rsidRPr="004D46AC" w14:paraId="43D204AC" w14:textId="77777777" w:rsidTr="00B518F1">
        <w:tc>
          <w:tcPr>
            <w:tcW w:w="1434" w:type="dxa"/>
            <w:vAlign w:val="center"/>
          </w:tcPr>
          <w:p w14:paraId="54069736" w14:textId="77777777" w:rsidR="007075D9" w:rsidRPr="004D46AC" w:rsidRDefault="007075D9" w:rsidP="00CE2F7A">
            <w:pPr>
              <w:spacing w:line="240" w:lineRule="auto"/>
              <w:ind w:firstLine="0"/>
              <w:rPr>
                <w:b/>
                <w:bCs/>
                <w:i/>
                <w:iCs/>
              </w:rPr>
            </w:pPr>
            <w:r w:rsidRPr="004D46AC">
              <w:rPr>
                <w:rFonts w:eastAsia="DengXian"/>
                <w:color w:val="000000"/>
              </w:rPr>
              <w:t>ME--IA</w:t>
            </w:r>
          </w:p>
        </w:tc>
        <w:tc>
          <w:tcPr>
            <w:tcW w:w="1687" w:type="dxa"/>
            <w:vAlign w:val="center"/>
          </w:tcPr>
          <w:p w14:paraId="1BE3D7EC"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EDF4264"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602BF03"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526690E8" w14:textId="77777777" w:rsidR="007075D9" w:rsidRPr="004D46AC" w:rsidRDefault="007075D9" w:rsidP="00CE2F7A">
            <w:pPr>
              <w:spacing w:line="240" w:lineRule="auto"/>
              <w:ind w:firstLine="0"/>
              <w:rPr>
                <w:b/>
                <w:bCs/>
                <w:i/>
                <w:iCs/>
              </w:rPr>
            </w:pPr>
            <w:r w:rsidRPr="004D46AC">
              <w:rPr>
                <w:color w:val="000000"/>
              </w:rPr>
              <w:t xml:space="preserve">0.25 </w:t>
            </w:r>
          </w:p>
        </w:tc>
      </w:tr>
      <w:tr w:rsidR="007075D9" w:rsidRPr="004D46AC" w14:paraId="732C7235" w14:textId="77777777" w:rsidTr="00B518F1">
        <w:tc>
          <w:tcPr>
            <w:tcW w:w="1434" w:type="dxa"/>
            <w:vAlign w:val="center"/>
          </w:tcPr>
          <w:p w14:paraId="6B0A2601" w14:textId="77777777" w:rsidR="007075D9" w:rsidRPr="004D46AC" w:rsidRDefault="007075D9" w:rsidP="00CE2F7A">
            <w:pPr>
              <w:spacing w:line="240" w:lineRule="auto"/>
              <w:ind w:firstLine="0"/>
              <w:rPr>
                <w:b/>
                <w:bCs/>
                <w:i/>
                <w:iCs/>
              </w:rPr>
            </w:pPr>
            <w:r w:rsidRPr="004D46AC">
              <w:rPr>
                <w:rFonts w:eastAsia="DengXian"/>
                <w:color w:val="000000"/>
              </w:rPr>
              <w:t>N5--Y10</w:t>
            </w:r>
          </w:p>
        </w:tc>
        <w:tc>
          <w:tcPr>
            <w:tcW w:w="1687" w:type="dxa"/>
            <w:vAlign w:val="center"/>
          </w:tcPr>
          <w:p w14:paraId="7F60E74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396676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C0928E3"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06728A33" w14:textId="77777777" w:rsidR="007075D9" w:rsidRPr="004D46AC" w:rsidRDefault="007075D9" w:rsidP="00CE2F7A">
            <w:pPr>
              <w:spacing w:line="240" w:lineRule="auto"/>
              <w:ind w:firstLine="0"/>
              <w:rPr>
                <w:b/>
                <w:bCs/>
                <w:i/>
                <w:iCs/>
              </w:rPr>
            </w:pPr>
            <w:r w:rsidRPr="004D46AC">
              <w:rPr>
                <w:color w:val="000000"/>
              </w:rPr>
              <w:t xml:space="preserve">0.27 </w:t>
            </w:r>
          </w:p>
        </w:tc>
      </w:tr>
      <w:tr w:rsidR="007075D9" w:rsidRPr="004D46AC" w14:paraId="49A46104" w14:textId="77777777" w:rsidTr="00B518F1">
        <w:tc>
          <w:tcPr>
            <w:tcW w:w="1434" w:type="dxa"/>
            <w:vAlign w:val="center"/>
          </w:tcPr>
          <w:p w14:paraId="0B26577D" w14:textId="77777777" w:rsidR="007075D9" w:rsidRPr="004D46AC" w:rsidRDefault="007075D9" w:rsidP="00CE2F7A">
            <w:pPr>
              <w:spacing w:line="240" w:lineRule="auto"/>
              <w:ind w:firstLine="0"/>
              <w:rPr>
                <w:b/>
                <w:bCs/>
                <w:i/>
                <w:iCs/>
              </w:rPr>
            </w:pPr>
            <w:r w:rsidRPr="004D46AC">
              <w:rPr>
                <w:rFonts w:eastAsia="DengXian"/>
                <w:color w:val="000000"/>
              </w:rPr>
              <w:t>N5--M5</w:t>
            </w:r>
          </w:p>
        </w:tc>
        <w:tc>
          <w:tcPr>
            <w:tcW w:w="1687" w:type="dxa"/>
            <w:vAlign w:val="center"/>
          </w:tcPr>
          <w:p w14:paraId="58F7102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934904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08FA5EC"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71DD1610" w14:textId="77777777" w:rsidR="007075D9" w:rsidRPr="004D46AC" w:rsidRDefault="007075D9" w:rsidP="00CE2F7A">
            <w:pPr>
              <w:spacing w:line="240" w:lineRule="auto"/>
              <w:ind w:firstLine="0"/>
              <w:rPr>
                <w:b/>
                <w:bCs/>
                <w:i/>
                <w:iCs/>
              </w:rPr>
            </w:pPr>
            <w:r w:rsidRPr="004D46AC">
              <w:rPr>
                <w:color w:val="000000"/>
              </w:rPr>
              <w:t xml:space="preserve">0.26 </w:t>
            </w:r>
          </w:p>
        </w:tc>
      </w:tr>
      <w:tr w:rsidR="007075D9" w:rsidRPr="004D46AC" w14:paraId="0FA6B342" w14:textId="77777777" w:rsidTr="00B518F1">
        <w:tc>
          <w:tcPr>
            <w:tcW w:w="1434" w:type="dxa"/>
            <w:vAlign w:val="center"/>
          </w:tcPr>
          <w:p w14:paraId="422AC460" w14:textId="77777777" w:rsidR="007075D9" w:rsidRPr="004D46AC" w:rsidRDefault="007075D9" w:rsidP="00CE2F7A">
            <w:pPr>
              <w:spacing w:line="240" w:lineRule="auto"/>
              <w:ind w:firstLine="0"/>
              <w:rPr>
                <w:b/>
                <w:bCs/>
                <w:i/>
                <w:iCs/>
              </w:rPr>
            </w:pPr>
            <w:r w:rsidRPr="004D46AC">
              <w:rPr>
                <w:rFonts w:eastAsia="DengXian"/>
                <w:color w:val="000000"/>
              </w:rPr>
              <w:t>P3--M3</w:t>
            </w:r>
          </w:p>
        </w:tc>
        <w:tc>
          <w:tcPr>
            <w:tcW w:w="1687" w:type="dxa"/>
            <w:vAlign w:val="center"/>
          </w:tcPr>
          <w:p w14:paraId="7DBC5C4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E2C317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0723B7B"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7960BFB0" w14:textId="77777777" w:rsidR="007075D9" w:rsidRPr="004D46AC" w:rsidRDefault="007075D9" w:rsidP="00CE2F7A">
            <w:pPr>
              <w:spacing w:line="240" w:lineRule="auto"/>
              <w:ind w:firstLine="0"/>
              <w:rPr>
                <w:b/>
                <w:bCs/>
                <w:i/>
                <w:iCs/>
              </w:rPr>
            </w:pPr>
            <w:r w:rsidRPr="004D46AC">
              <w:rPr>
                <w:color w:val="000000"/>
              </w:rPr>
              <w:t xml:space="preserve">0.26 </w:t>
            </w:r>
          </w:p>
        </w:tc>
      </w:tr>
      <w:tr w:rsidR="007075D9" w:rsidRPr="004D46AC" w14:paraId="1E9478ED" w14:textId="77777777" w:rsidTr="00B518F1">
        <w:tc>
          <w:tcPr>
            <w:tcW w:w="1434" w:type="dxa"/>
            <w:vAlign w:val="center"/>
          </w:tcPr>
          <w:p w14:paraId="0937A93F" w14:textId="77777777" w:rsidR="007075D9" w:rsidRPr="004D46AC" w:rsidRDefault="007075D9" w:rsidP="00CE2F7A">
            <w:pPr>
              <w:spacing w:line="240" w:lineRule="auto"/>
              <w:ind w:firstLine="0"/>
              <w:rPr>
                <w:b/>
                <w:bCs/>
                <w:i/>
                <w:iCs/>
              </w:rPr>
            </w:pPr>
            <w:r w:rsidRPr="004D46AC">
              <w:rPr>
                <w:rFonts w:eastAsia="DengXian"/>
                <w:color w:val="000000"/>
              </w:rPr>
              <w:t>P5--IA</w:t>
            </w:r>
          </w:p>
        </w:tc>
        <w:tc>
          <w:tcPr>
            <w:tcW w:w="1687" w:type="dxa"/>
            <w:vAlign w:val="center"/>
          </w:tcPr>
          <w:p w14:paraId="3764873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6A32A36"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C971110"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2A767C8A" w14:textId="77777777" w:rsidR="007075D9" w:rsidRPr="004D46AC" w:rsidRDefault="007075D9" w:rsidP="00CE2F7A">
            <w:pPr>
              <w:spacing w:line="240" w:lineRule="auto"/>
              <w:ind w:firstLine="0"/>
              <w:rPr>
                <w:b/>
                <w:bCs/>
                <w:i/>
                <w:iCs/>
              </w:rPr>
            </w:pPr>
            <w:r w:rsidRPr="004D46AC">
              <w:rPr>
                <w:color w:val="000000"/>
              </w:rPr>
              <w:t xml:space="preserve">0.28 </w:t>
            </w:r>
          </w:p>
        </w:tc>
      </w:tr>
      <w:tr w:rsidR="007075D9" w:rsidRPr="004D46AC" w14:paraId="1CAF938C" w14:textId="77777777" w:rsidTr="00B518F1">
        <w:tc>
          <w:tcPr>
            <w:tcW w:w="1434" w:type="dxa"/>
            <w:vAlign w:val="center"/>
          </w:tcPr>
          <w:p w14:paraId="40EFD7D1" w14:textId="77777777" w:rsidR="007075D9" w:rsidRPr="004D46AC" w:rsidRDefault="007075D9" w:rsidP="00CE2F7A">
            <w:pPr>
              <w:spacing w:line="240" w:lineRule="auto"/>
              <w:ind w:firstLine="0"/>
              <w:rPr>
                <w:b/>
                <w:bCs/>
                <w:i/>
                <w:iCs/>
              </w:rPr>
            </w:pPr>
            <w:r w:rsidRPr="004D46AC">
              <w:rPr>
                <w:rFonts w:eastAsia="DengXian"/>
                <w:color w:val="000000"/>
              </w:rPr>
              <w:t>P3--M10</w:t>
            </w:r>
          </w:p>
        </w:tc>
        <w:tc>
          <w:tcPr>
            <w:tcW w:w="1687" w:type="dxa"/>
            <w:vAlign w:val="center"/>
          </w:tcPr>
          <w:p w14:paraId="4C373DD9"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E4C8E4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9FA97C6"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7D9D7572"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25E8DD28" w14:textId="77777777" w:rsidTr="00B518F1">
        <w:tc>
          <w:tcPr>
            <w:tcW w:w="1434" w:type="dxa"/>
            <w:vAlign w:val="center"/>
          </w:tcPr>
          <w:p w14:paraId="16BC2286" w14:textId="77777777" w:rsidR="007075D9" w:rsidRPr="004D46AC" w:rsidRDefault="007075D9" w:rsidP="00CE2F7A">
            <w:pPr>
              <w:spacing w:line="240" w:lineRule="auto"/>
              <w:ind w:firstLine="0"/>
              <w:rPr>
                <w:b/>
                <w:bCs/>
                <w:i/>
                <w:iCs/>
              </w:rPr>
            </w:pPr>
            <w:r w:rsidRPr="004D46AC">
              <w:rPr>
                <w:rFonts w:eastAsia="DengXian"/>
                <w:color w:val="000000"/>
              </w:rPr>
              <w:t>Y10--M8</w:t>
            </w:r>
          </w:p>
        </w:tc>
        <w:tc>
          <w:tcPr>
            <w:tcW w:w="1687" w:type="dxa"/>
            <w:vAlign w:val="center"/>
          </w:tcPr>
          <w:p w14:paraId="4A853F27"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4D4982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ADDF9F8"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50CB64DA" w14:textId="77777777" w:rsidR="007075D9" w:rsidRPr="004D46AC" w:rsidRDefault="007075D9" w:rsidP="00CE2F7A">
            <w:pPr>
              <w:spacing w:line="240" w:lineRule="auto"/>
              <w:ind w:firstLine="0"/>
              <w:rPr>
                <w:b/>
                <w:bCs/>
                <w:i/>
                <w:iCs/>
              </w:rPr>
            </w:pPr>
            <w:r w:rsidRPr="004D46AC">
              <w:rPr>
                <w:color w:val="000000"/>
              </w:rPr>
              <w:t xml:space="preserve">0.33 </w:t>
            </w:r>
          </w:p>
        </w:tc>
      </w:tr>
      <w:tr w:rsidR="007075D9" w:rsidRPr="004D46AC" w14:paraId="6F09DE1E" w14:textId="77777777" w:rsidTr="00B518F1">
        <w:tc>
          <w:tcPr>
            <w:tcW w:w="1434" w:type="dxa"/>
            <w:vAlign w:val="center"/>
          </w:tcPr>
          <w:p w14:paraId="717918D3" w14:textId="77777777" w:rsidR="007075D9" w:rsidRPr="004D46AC" w:rsidRDefault="007075D9" w:rsidP="00CE2F7A">
            <w:pPr>
              <w:spacing w:line="240" w:lineRule="auto"/>
              <w:ind w:firstLine="0"/>
              <w:rPr>
                <w:b/>
                <w:bCs/>
                <w:i/>
                <w:iCs/>
              </w:rPr>
            </w:pPr>
            <w:r w:rsidRPr="004D46AC">
              <w:rPr>
                <w:rFonts w:eastAsia="DengXian"/>
                <w:color w:val="000000"/>
              </w:rPr>
              <w:t>IA--M5</w:t>
            </w:r>
          </w:p>
        </w:tc>
        <w:tc>
          <w:tcPr>
            <w:tcW w:w="1687" w:type="dxa"/>
            <w:vAlign w:val="center"/>
          </w:tcPr>
          <w:p w14:paraId="4DBA59E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118BBE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CEE6357"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5065DE31" w14:textId="77777777" w:rsidR="007075D9" w:rsidRPr="004D46AC" w:rsidRDefault="007075D9" w:rsidP="00CE2F7A">
            <w:pPr>
              <w:spacing w:line="240" w:lineRule="auto"/>
              <w:ind w:firstLine="0"/>
              <w:rPr>
                <w:b/>
                <w:bCs/>
                <w:i/>
                <w:iCs/>
              </w:rPr>
            </w:pPr>
            <w:r w:rsidRPr="004D46AC">
              <w:rPr>
                <w:color w:val="000000"/>
              </w:rPr>
              <w:t xml:space="preserve">0.36 </w:t>
            </w:r>
          </w:p>
        </w:tc>
      </w:tr>
      <w:tr w:rsidR="007075D9" w:rsidRPr="004D46AC" w14:paraId="3AC3D1E8" w14:textId="77777777" w:rsidTr="00B518F1">
        <w:tc>
          <w:tcPr>
            <w:tcW w:w="1434" w:type="dxa"/>
            <w:vAlign w:val="center"/>
          </w:tcPr>
          <w:p w14:paraId="689B2506" w14:textId="77777777" w:rsidR="007075D9" w:rsidRPr="004D46AC" w:rsidRDefault="007075D9" w:rsidP="00CE2F7A">
            <w:pPr>
              <w:spacing w:line="240" w:lineRule="auto"/>
              <w:ind w:firstLine="0"/>
              <w:rPr>
                <w:b/>
                <w:bCs/>
                <w:i/>
                <w:iCs/>
              </w:rPr>
            </w:pPr>
            <w:r w:rsidRPr="004D46AC">
              <w:rPr>
                <w:rFonts w:eastAsia="DengXian"/>
                <w:color w:val="000000"/>
              </w:rPr>
              <w:t>P6--Y7</w:t>
            </w:r>
          </w:p>
        </w:tc>
        <w:tc>
          <w:tcPr>
            <w:tcW w:w="1687" w:type="dxa"/>
            <w:vAlign w:val="center"/>
          </w:tcPr>
          <w:p w14:paraId="22E84866"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42E362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BDFC8B0"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1322D7F7" w14:textId="77777777" w:rsidR="007075D9" w:rsidRPr="004D46AC" w:rsidRDefault="007075D9" w:rsidP="00CE2F7A">
            <w:pPr>
              <w:spacing w:line="240" w:lineRule="auto"/>
              <w:ind w:firstLine="0"/>
              <w:rPr>
                <w:b/>
                <w:bCs/>
                <w:i/>
                <w:iCs/>
              </w:rPr>
            </w:pPr>
            <w:r w:rsidRPr="004D46AC">
              <w:rPr>
                <w:color w:val="000000"/>
              </w:rPr>
              <w:t xml:space="preserve">0.29 </w:t>
            </w:r>
          </w:p>
        </w:tc>
      </w:tr>
      <w:tr w:rsidR="007075D9" w:rsidRPr="004D46AC" w14:paraId="08F39ECF" w14:textId="77777777" w:rsidTr="00B518F1">
        <w:tc>
          <w:tcPr>
            <w:tcW w:w="1434" w:type="dxa"/>
            <w:vAlign w:val="center"/>
          </w:tcPr>
          <w:p w14:paraId="05588D72" w14:textId="77777777" w:rsidR="007075D9" w:rsidRPr="004D46AC" w:rsidRDefault="007075D9" w:rsidP="00CE2F7A">
            <w:pPr>
              <w:spacing w:line="240" w:lineRule="auto"/>
              <w:ind w:firstLine="0"/>
              <w:rPr>
                <w:b/>
                <w:bCs/>
                <w:i/>
                <w:iCs/>
              </w:rPr>
            </w:pPr>
            <w:r w:rsidRPr="004D46AC">
              <w:rPr>
                <w:rFonts w:eastAsia="DengXian"/>
                <w:color w:val="000000"/>
              </w:rPr>
              <w:t>Y7--SP</w:t>
            </w:r>
          </w:p>
        </w:tc>
        <w:tc>
          <w:tcPr>
            <w:tcW w:w="1687" w:type="dxa"/>
            <w:vAlign w:val="center"/>
          </w:tcPr>
          <w:p w14:paraId="313711E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8B77DD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262E17E"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46717072"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234AE4AB" w14:textId="77777777" w:rsidTr="00B518F1">
        <w:tc>
          <w:tcPr>
            <w:tcW w:w="1434" w:type="dxa"/>
            <w:vAlign w:val="center"/>
          </w:tcPr>
          <w:p w14:paraId="05201311" w14:textId="77777777" w:rsidR="007075D9" w:rsidRPr="004D46AC" w:rsidRDefault="007075D9" w:rsidP="00CE2F7A">
            <w:pPr>
              <w:spacing w:line="240" w:lineRule="auto"/>
              <w:ind w:firstLine="0"/>
              <w:rPr>
                <w:b/>
                <w:bCs/>
                <w:i/>
                <w:iCs/>
              </w:rPr>
            </w:pPr>
            <w:r w:rsidRPr="004D46AC">
              <w:rPr>
                <w:rFonts w:eastAsia="DengXian"/>
                <w:color w:val="000000"/>
              </w:rPr>
              <w:t>P6--M6</w:t>
            </w:r>
          </w:p>
        </w:tc>
        <w:tc>
          <w:tcPr>
            <w:tcW w:w="1687" w:type="dxa"/>
            <w:vAlign w:val="center"/>
          </w:tcPr>
          <w:p w14:paraId="3A88189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2233EA8"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D276D8C"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1CA28EBF" w14:textId="77777777" w:rsidR="007075D9" w:rsidRPr="004D46AC" w:rsidRDefault="007075D9" w:rsidP="00CE2F7A">
            <w:pPr>
              <w:spacing w:line="240" w:lineRule="auto"/>
              <w:ind w:firstLine="0"/>
              <w:rPr>
                <w:b/>
                <w:bCs/>
                <w:i/>
                <w:iCs/>
              </w:rPr>
            </w:pPr>
            <w:r w:rsidRPr="004D46AC">
              <w:rPr>
                <w:color w:val="000000"/>
              </w:rPr>
              <w:t xml:space="preserve">0.43 </w:t>
            </w:r>
          </w:p>
        </w:tc>
      </w:tr>
      <w:tr w:rsidR="007075D9" w:rsidRPr="004D46AC" w14:paraId="259E4D2E" w14:textId="77777777" w:rsidTr="00B518F1">
        <w:tc>
          <w:tcPr>
            <w:tcW w:w="1434" w:type="dxa"/>
            <w:vAlign w:val="center"/>
          </w:tcPr>
          <w:p w14:paraId="0B333F34" w14:textId="77777777" w:rsidR="007075D9" w:rsidRPr="004D46AC" w:rsidRDefault="007075D9" w:rsidP="00CE2F7A">
            <w:pPr>
              <w:spacing w:line="240" w:lineRule="auto"/>
              <w:ind w:firstLine="0"/>
              <w:rPr>
                <w:b/>
                <w:bCs/>
                <w:i/>
                <w:iCs/>
              </w:rPr>
            </w:pPr>
            <w:r w:rsidRPr="004D46AC">
              <w:rPr>
                <w:rFonts w:eastAsia="DengXian"/>
                <w:color w:val="000000"/>
              </w:rPr>
              <w:t>M7--SP</w:t>
            </w:r>
          </w:p>
        </w:tc>
        <w:tc>
          <w:tcPr>
            <w:tcW w:w="1687" w:type="dxa"/>
            <w:vAlign w:val="center"/>
          </w:tcPr>
          <w:p w14:paraId="480C618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E05E49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31E3975"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198F32D8"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7A5A2666" w14:textId="77777777" w:rsidTr="00B518F1">
        <w:tc>
          <w:tcPr>
            <w:tcW w:w="1434" w:type="dxa"/>
            <w:vAlign w:val="center"/>
          </w:tcPr>
          <w:p w14:paraId="4503A6D7" w14:textId="77777777" w:rsidR="007075D9" w:rsidRPr="004D46AC" w:rsidRDefault="007075D9" w:rsidP="00CE2F7A">
            <w:pPr>
              <w:spacing w:line="240" w:lineRule="auto"/>
              <w:ind w:firstLine="0"/>
              <w:rPr>
                <w:b/>
                <w:bCs/>
                <w:i/>
                <w:iCs/>
              </w:rPr>
            </w:pPr>
            <w:r w:rsidRPr="004D46AC">
              <w:rPr>
                <w:rFonts w:eastAsia="DengXian"/>
                <w:color w:val="000000"/>
              </w:rPr>
              <w:t>Y3--SP</w:t>
            </w:r>
          </w:p>
        </w:tc>
        <w:tc>
          <w:tcPr>
            <w:tcW w:w="1687" w:type="dxa"/>
            <w:vAlign w:val="center"/>
          </w:tcPr>
          <w:p w14:paraId="38246ABC"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81F85F6"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C631C24"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213B4887" w14:textId="77777777" w:rsidR="007075D9" w:rsidRPr="004D46AC" w:rsidRDefault="007075D9" w:rsidP="00CE2F7A">
            <w:pPr>
              <w:spacing w:line="240" w:lineRule="auto"/>
              <w:ind w:firstLine="0"/>
              <w:rPr>
                <w:b/>
                <w:bCs/>
                <w:i/>
                <w:iCs/>
              </w:rPr>
            </w:pPr>
            <w:r w:rsidRPr="004D46AC">
              <w:rPr>
                <w:color w:val="000000"/>
              </w:rPr>
              <w:t xml:space="preserve">0.43 </w:t>
            </w:r>
          </w:p>
        </w:tc>
      </w:tr>
      <w:tr w:rsidR="007075D9" w:rsidRPr="004D46AC" w14:paraId="7DC16AEB" w14:textId="77777777" w:rsidTr="00B518F1">
        <w:tc>
          <w:tcPr>
            <w:tcW w:w="1434" w:type="dxa"/>
            <w:vAlign w:val="center"/>
          </w:tcPr>
          <w:p w14:paraId="6F802292" w14:textId="77777777" w:rsidR="007075D9" w:rsidRPr="004D46AC" w:rsidRDefault="007075D9" w:rsidP="00CE2F7A">
            <w:pPr>
              <w:spacing w:line="240" w:lineRule="auto"/>
              <w:ind w:firstLine="0"/>
              <w:rPr>
                <w:b/>
                <w:bCs/>
                <w:i/>
                <w:iCs/>
              </w:rPr>
            </w:pPr>
            <w:r w:rsidRPr="004D46AC">
              <w:rPr>
                <w:rFonts w:eastAsia="DengXian"/>
                <w:color w:val="000000"/>
              </w:rPr>
              <w:t>M8--SP</w:t>
            </w:r>
          </w:p>
        </w:tc>
        <w:tc>
          <w:tcPr>
            <w:tcW w:w="1687" w:type="dxa"/>
            <w:vAlign w:val="center"/>
          </w:tcPr>
          <w:p w14:paraId="21BB1D46"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25EBF0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7D24229"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4840EC98" w14:textId="77777777" w:rsidR="007075D9" w:rsidRPr="004D46AC" w:rsidRDefault="007075D9" w:rsidP="00CE2F7A">
            <w:pPr>
              <w:spacing w:line="240" w:lineRule="auto"/>
              <w:ind w:firstLine="0"/>
              <w:rPr>
                <w:b/>
                <w:bCs/>
                <w:i/>
                <w:iCs/>
              </w:rPr>
            </w:pPr>
            <w:r w:rsidRPr="004D46AC">
              <w:rPr>
                <w:color w:val="000000"/>
              </w:rPr>
              <w:t xml:space="preserve">0.40 </w:t>
            </w:r>
          </w:p>
        </w:tc>
      </w:tr>
      <w:tr w:rsidR="007075D9" w:rsidRPr="004D46AC" w14:paraId="098B6DAA" w14:textId="77777777" w:rsidTr="00B518F1">
        <w:tc>
          <w:tcPr>
            <w:tcW w:w="1434" w:type="dxa"/>
            <w:vAlign w:val="center"/>
          </w:tcPr>
          <w:p w14:paraId="002FA233" w14:textId="77777777" w:rsidR="007075D9" w:rsidRPr="004D46AC" w:rsidRDefault="007075D9" w:rsidP="00CE2F7A">
            <w:pPr>
              <w:spacing w:line="240" w:lineRule="auto"/>
              <w:ind w:firstLine="0"/>
              <w:rPr>
                <w:b/>
                <w:bCs/>
                <w:i/>
                <w:iCs/>
              </w:rPr>
            </w:pPr>
            <w:r w:rsidRPr="004D46AC">
              <w:rPr>
                <w:rFonts w:eastAsia="DengXian"/>
                <w:color w:val="000000"/>
              </w:rPr>
              <w:t>P5--Y6</w:t>
            </w:r>
          </w:p>
        </w:tc>
        <w:tc>
          <w:tcPr>
            <w:tcW w:w="1687" w:type="dxa"/>
            <w:vAlign w:val="center"/>
          </w:tcPr>
          <w:p w14:paraId="3E6E3680"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52D9A4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1846C7C"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3042B0F5" w14:textId="77777777" w:rsidR="007075D9" w:rsidRPr="004D46AC" w:rsidRDefault="007075D9" w:rsidP="00CE2F7A">
            <w:pPr>
              <w:spacing w:line="240" w:lineRule="auto"/>
              <w:ind w:firstLine="0"/>
              <w:rPr>
                <w:b/>
                <w:bCs/>
                <w:i/>
                <w:iCs/>
              </w:rPr>
            </w:pPr>
            <w:r w:rsidRPr="004D46AC">
              <w:rPr>
                <w:color w:val="000000"/>
              </w:rPr>
              <w:t xml:space="preserve">0.40 </w:t>
            </w:r>
          </w:p>
        </w:tc>
      </w:tr>
      <w:tr w:rsidR="007075D9" w:rsidRPr="004D46AC" w14:paraId="6E99F5CC" w14:textId="77777777" w:rsidTr="00B518F1">
        <w:tc>
          <w:tcPr>
            <w:tcW w:w="1434" w:type="dxa"/>
            <w:vAlign w:val="center"/>
          </w:tcPr>
          <w:p w14:paraId="44FAD13F" w14:textId="77777777" w:rsidR="007075D9" w:rsidRPr="004D46AC" w:rsidRDefault="007075D9" w:rsidP="00CE2F7A">
            <w:pPr>
              <w:spacing w:line="240" w:lineRule="auto"/>
              <w:ind w:firstLine="0"/>
              <w:rPr>
                <w:b/>
                <w:bCs/>
                <w:i/>
                <w:iCs/>
              </w:rPr>
            </w:pPr>
            <w:r w:rsidRPr="004D46AC">
              <w:rPr>
                <w:rFonts w:eastAsia="DengXian"/>
                <w:color w:val="000000"/>
              </w:rPr>
              <w:t>Y10--M5</w:t>
            </w:r>
          </w:p>
        </w:tc>
        <w:tc>
          <w:tcPr>
            <w:tcW w:w="1687" w:type="dxa"/>
            <w:vAlign w:val="center"/>
          </w:tcPr>
          <w:p w14:paraId="653A4A75"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8474BEA"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2380894"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2AADF4ED" w14:textId="77777777" w:rsidR="007075D9" w:rsidRPr="004D46AC" w:rsidRDefault="007075D9" w:rsidP="00CE2F7A">
            <w:pPr>
              <w:spacing w:line="240" w:lineRule="auto"/>
              <w:ind w:firstLine="0"/>
              <w:rPr>
                <w:b/>
                <w:bCs/>
                <w:i/>
                <w:iCs/>
              </w:rPr>
            </w:pPr>
            <w:r w:rsidRPr="004D46AC">
              <w:rPr>
                <w:color w:val="000000"/>
              </w:rPr>
              <w:t xml:space="preserve">0.50 </w:t>
            </w:r>
          </w:p>
        </w:tc>
      </w:tr>
      <w:tr w:rsidR="007075D9" w:rsidRPr="004D46AC" w14:paraId="78FE9FA8" w14:textId="77777777" w:rsidTr="00B518F1">
        <w:tc>
          <w:tcPr>
            <w:tcW w:w="1434" w:type="dxa"/>
            <w:vAlign w:val="center"/>
          </w:tcPr>
          <w:p w14:paraId="23777AD0" w14:textId="77777777" w:rsidR="007075D9" w:rsidRPr="004D46AC" w:rsidRDefault="007075D9" w:rsidP="00CE2F7A">
            <w:pPr>
              <w:spacing w:line="240" w:lineRule="auto"/>
              <w:ind w:firstLine="0"/>
              <w:rPr>
                <w:b/>
                <w:bCs/>
                <w:i/>
                <w:iCs/>
              </w:rPr>
            </w:pPr>
            <w:r w:rsidRPr="004D46AC">
              <w:rPr>
                <w:rFonts w:eastAsia="DengXian"/>
                <w:color w:val="000000"/>
              </w:rPr>
              <w:t>WD--M9</w:t>
            </w:r>
          </w:p>
        </w:tc>
        <w:tc>
          <w:tcPr>
            <w:tcW w:w="1687" w:type="dxa"/>
            <w:vAlign w:val="center"/>
          </w:tcPr>
          <w:p w14:paraId="39AF4006"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338047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70F29DB"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4BC5A959" w14:textId="77777777" w:rsidR="007075D9" w:rsidRPr="004D46AC" w:rsidRDefault="007075D9" w:rsidP="00CE2F7A">
            <w:pPr>
              <w:spacing w:line="240" w:lineRule="auto"/>
              <w:ind w:firstLine="0"/>
              <w:rPr>
                <w:b/>
                <w:bCs/>
                <w:i/>
                <w:iCs/>
              </w:rPr>
            </w:pPr>
            <w:r w:rsidRPr="004D46AC">
              <w:rPr>
                <w:color w:val="000000"/>
              </w:rPr>
              <w:t xml:space="preserve">0.49 </w:t>
            </w:r>
          </w:p>
        </w:tc>
      </w:tr>
      <w:tr w:rsidR="007075D9" w:rsidRPr="004D46AC" w14:paraId="425A1DE8" w14:textId="77777777" w:rsidTr="00B518F1">
        <w:tc>
          <w:tcPr>
            <w:tcW w:w="1434" w:type="dxa"/>
            <w:vAlign w:val="center"/>
          </w:tcPr>
          <w:p w14:paraId="5B3FF88D" w14:textId="77777777" w:rsidR="007075D9" w:rsidRPr="004D46AC" w:rsidRDefault="007075D9" w:rsidP="00CE2F7A">
            <w:pPr>
              <w:spacing w:line="240" w:lineRule="auto"/>
              <w:ind w:firstLine="0"/>
              <w:rPr>
                <w:b/>
                <w:bCs/>
                <w:i/>
                <w:iCs/>
              </w:rPr>
            </w:pPr>
            <w:r w:rsidRPr="004D46AC">
              <w:rPr>
                <w:rFonts w:eastAsia="DengXian"/>
                <w:color w:val="000000"/>
              </w:rPr>
              <w:t>P3--SP</w:t>
            </w:r>
          </w:p>
        </w:tc>
        <w:tc>
          <w:tcPr>
            <w:tcW w:w="1687" w:type="dxa"/>
            <w:vAlign w:val="center"/>
          </w:tcPr>
          <w:p w14:paraId="402F114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8B62196"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E336710"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0505960D" w14:textId="77777777" w:rsidR="007075D9" w:rsidRPr="004D46AC" w:rsidRDefault="007075D9" w:rsidP="00CE2F7A">
            <w:pPr>
              <w:spacing w:line="240" w:lineRule="auto"/>
              <w:ind w:firstLine="0"/>
              <w:rPr>
                <w:b/>
                <w:bCs/>
                <w:i/>
                <w:iCs/>
              </w:rPr>
            </w:pPr>
            <w:r w:rsidRPr="004D46AC">
              <w:rPr>
                <w:color w:val="000000"/>
              </w:rPr>
              <w:t xml:space="preserve">0.49 </w:t>
            </w:r>
          </w:p>
        </w:tc>
      </w:tr>
      <w:tr w:rsidR="007075D9" w:rsidRPr="004D46AC" w14:paraId="73B9F440" w14:textId="77777777" w:rsidTr="00B518F1">
        <w:tc>
          <w:tcPr>
            <w:tcW w:w="1434" w:type="dxa"/>
            <w:vAlign w:val="center"/>
          </w:tcPr>
          <w:p w14:paraId="163A1511" w14:textId="77777777" w:rsidR="007075D9" w:rsidRPr="004D46AC" w:rsidRDefault="007075D9" w:rsidP="00CE2F7A">
            <w:pPr>
              <w:spacing w:line="240" w:lineRule="auto"/>
              <w:ind w:firstLine="0"/>
              <w:rPr>
                <w:b/>
                <w:bCs/>
                <w:i/>
                <w:iCs/>
              </w:rPr>
            </w:pPr>
            <w:r w:rsidRPr="004D46AC">
              <w:rPr>
                <w:rFonts w:eastAsia="DengXian"/>
                <w:color w:val="000000"/>
              </w:rPr>
              <w:t>WD--N5</w:t>
            </w:r>
          </w:p>
        </w:tc>
        <w:tc>
          <w:tcPr>
            <w:tcW w:w="1687" w:type="dxa"/>
            <w:vAlign w:val="center"/>
          </w:tcPr>
          <w:p w14:paraId="4D46E11A"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3367791"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B95B657"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4980F814"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61DCDE26" w14:textId="77777777" w:rsidTr="00B518F1">
        <w:tc>
          <w:tcPr>
            <w:tcW w:w="1434" w:type="dxa"/>
            <w:vAlign w:val="center"/>
          </w:tcPr>
          <w:p w14:paraId="3FDC250D" w14:textId="77777777" w:rsidR="007075D9" w:rsidRPr="004D46AC" w:rsidRDefault="007075D9" w:rsidP="00CE2F7A">
            <w:pPr>
              <w:spacing w:line="240" w:lineRule="auto"/>
              <w:ind w:firstLine="0"/>
              <w:rPr>
                <w:b/>
                <w:bCs/>
                <w:i/>
                <w:iCs/>
              </w:rPr>
            </w:pPr>
            <w:r w:rsidRPr="004D46AC">
              <w:rPr>
                <w:rFonts w:eastAsia="DengXian"/>
                <w:color w:val="000000"/>
              </w:rPr>
              <w:t>P3--N7</w:t>
            </w:r>
          </w:p>
        </w:tc>
        <w:tc>
          <w:tcPr>
            <w:tcW w:w="1687" w:type="dxa"/>
            <w:vAlign w:val="center"/>
          </w:tcPr>
          <w:p w14:paraId="7B86297A"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64F231A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A675864"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29B6B8D0" w14:textId="77777777" w:rsidR="007075D9" w:rsidRPr="004D46AC" w:rsidRDefault="007075D9" w:rsidP="00CE2F7A">
            <w:pPr>
              <w:spacing w:line="240" w:lineRule="auto"/>
              <w:ind w:firstLine="0"/>
              <w:rPr>
                <w:b/>
                <w:bCs/>
                <w:i/>
                <w:iCs/>
              </w:rPr>
            </w:pPr>
            <w:r w:rsidRPr="004D46AC">
              <w:rPr>
                <w:color w:val="000000"/>
              </w:rPr>
              <w:t xml:space="preserve">0.49 </w:t>
            </w:r>
          </w:p>
        </w:tc>
      </w:tr>
      <w:tr w:rsidR="007075D9" w:rsidRPr="004D46AC" w14:paraId="1AE7290E" w14:textId="77777777" w:rsidTr="00B518F1">
        <w:tc>
          <w:tcPr>
            <w:tcW w:w="1434" w:type="dxa"/>
            <w:vAlign w:val="center"/>
          </w:tcPr>
          <w:p w14:paraId="714348CB" w14:textId="77777777" w:rsidR="007075D9" w:rsidRPr="004D46AC" w:rsidRDefault="007075D9" w:rsidP="00CE2F7A">
            <w:pPr>
              <w:spacing w:line="240" w:lineRule="auto"/>
              <w:ind w:firstLine="0"/>
              <w:rPr>
                <w:b/>
                <w:bCs/>
                <w:i/>
                <w:iCs/>
              </w:rPr>
            </w:pPr>
            <w:r w:rsidRPr="004D46AC">
              <w:rPr>
                <w:rFonts w:eastAsia="DengXian"/>
                <w:color w:val="000000"/>
              </w:rPr>
              <w:t>IA--M7</w:t>
            </w:r>
          </w:p>
        </w:tc>
        <w:tc>
          <w:tcPr>
            <w:tcW w:w="1687" w:type="dxa"/>
            <w:vAlign w:val="center"/>
          </w:tcPr>
          <w:p w14:paraId="3D4C90A7"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D5628B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D64CA5A"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0EB39852" w14:textId="77777777" w:rsidR="007075D9" w:rsidRPr="004D46AC" w:rsidRDefault="007075D9" w:rsidP="00CE2F7A">
            <w:pPr>
              <w:spacing w:line="240" w:lineRule="auto"/>
              <w:ind w:firstLine="0"/>
              <w:rPr>
                <w:b/>
                <w:bCs/>
                <w:i/>
                <w:iCs/>
              </w:rPr>
            </w:pPr>
            <w:r w:rsidRPr="004D46AC">
              <w:rPr>
                <w:color w:val="000000"/>
              </w:rPr>
              <w:t xml:space="preserve">0.47 </w:t>
            </w:r>
          </w:p>
        </w:tc>
      </w:tr>
      <w:tr w:rsidR="007075D9" w:rsidRPr="004D46AC" w14:paraId="29417AE1" w14:textId="77777777" w:rsidTr="00B518F1">
        <w:tc>
          <w:tcPr>
            <w:tcW w:w="1434" w:type="dxa"/>
            <w:vAlign w:val="center"/>
          </w:tcPr>
          <w:p w14:paraId="311EB875" w14:textId="77777777" w:rsidR="007075D9" w:rsidRPr="004D46AC" w:rsidRDefault="007075D9" w:rsidP="00CE2F7A">
            <w:pPr>
              <w:spacing w:line="240" w:lineRule="auto"/>
              <w:ind w:firstLine="0"/>
              <w:rPr>
                <w:b/>
                <w:bCs/>
                <w:i/>
                <w:iCs/>
              </w:rPr>
            </w:pPr>
            <w:r w:rsidRPr="004D46AC">
              <w:rPr>
                <w:rFonts w:eastAsia="DengXian"/>
                <w:color w:val="000000"/>
              </w:rPr>
              <w:t>Y10--M6</w:t>
            </w:r>
          </w:p>
        </w:tc>
        <w:tc>
          <w:tcPr>
            <w:tcW w:w="1687" w:type="dxa"/>
            <w:vAlign w:val="center"/>
          </w:tcPr>
          <w:p w14:paraId="02972717"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BC354E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F9C0613"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6FA1B249" w14:textId="77777777" w:rsidR="007075D9" w:rsidRPr="004D46AC" w:rsidRDefault="007075D9" w:rsidP="00CE2F7A">
            <w:pPr>
              <w:spacing w:line="240" w:lineRule="auto"/>
              <w:ind w:firstLine="0"/>
              <w:rPr>
                <w:b/>
                <w:bCs/>
                <w:i/>
                <w:iCs/>
              </w:rPr>
            </w:pPr>
            <w:r w:rsidRPr="004D46AC">
              <w:rPr>
                <w:color w:val="000000"/>
              </w:rPr>
              <w:t xml:space="preserve">0.53 </w:t>
            </w:r>
          </w:p>
        </w:tc>
      </w:tr>
      <w:tr w:rsidR="007075D9" w:rsidRPr="004D46AC" w14:paraId="0A67F87C" w14:textId="77777777" w:rsidTr="00B518F1">
        <w:tc>
          <w:tcPr>
            <w:tcW w:w="1434" w:type="dxa"/>
            <w:vAlign w:val="center"/>
          </w:tcPr>
          <w:p w14:paraId="5013D3FE" w14:textId="77777777" w:rsidR="007075D9" w:rsidRPr="004D46AC" w:rsidRDefault="007075D9" w:rsidP="00CE2F7A">
            <w:pPr>
              <w:spacing w:line="240" w:lineRule="auto"/>
              <w:ind w:firstLine="0"/>
              <w:rPr>
                <w:b/>
                <w:bCs/>
                <w:i/>
                <w:iCs/>
              </w:rPr>
            </w:pPr>
            <w:r w:rsidRPr="004D46AC">
              <w:rPr>
                <w:rFonts w:eastAsia="DengXian"/>
                <w:color w:val="000000"/>
              </w:rPr>
              <w:t>Y3--M3</w:t>
            </w:r>
          </w:p>
        </w:tc>
        <w:tc>
          <w:tcPr>
            <w:tcW w:w="1687" w:type="dxa"/>
            <w:vAlign w:val="center"/>
          </w:tcPr>
          <w:p w14:paraId="23B89157"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AAC76D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5572351"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3AF2A9C7" w14:textId="77777777" w:rsidR="007075D9" w:rsidRPr="004D46AC" w:rsidRDefault="007075D9" w:rsidP="00CE2F7A">
            <w:pPr>
              <w:spacing w:line="240" w:lineRule="auto"/>
              <w:ind w:firstLine="0"/>
              <w:rPr>
                <w:b/>
                <w:bCs/>
                <w:i/>
                <w:iCs/>
              </w:rPr>
            </w:pPr>
            <w:r w:rsidRPr="004D46AC">
              <w:rPr>
                <w:color w:val="000000"/>
              </w:rPr>
              <w:t xml:space="preserve">0.52 </w:t>
            </w:r>
          </w:p>
        </w:tc>
      </w:tr>
      <w:tr w:rsidR="007075D9" w:rsidRPr="004D46AC" w14:paraId="0EE761C1" w14:textId="77777777" w:rsidTr="00B518F1">
        <w:tc>
          <w:tcPr>
            <w:tcW w:w="1434" w:type="dxa"/>
            <w:vAlign w:val="center"/>
          </w:tcPr>
          <w:p w14:paraId="51B46192" w14:textId="77777777" w:rsidR="007075D9" w:rsidRPr="004D46AC" w:rsidRDefault="007075D9" w:rsidP="00CE2F7A">
            <w:pPr>
              <w:spacing w:line="240" w:lineRule="auto"/>
              <w:ind w:firstLine="0"/>
              <w:rPr>
                <w:b/>
                <w:bCs/>
                <w:i/>
                <w:iCs/>
              </w:rPr>
            </w:pPr>
            <w:r w:rsidRPr="004D46AC">
              <w:rPr>
                <w:rFonts w:eastAsia="DengXian"/>
                <w:color w:val="000000"/>
              </w:rPr>
              <w:t>M6--M10</w:t>
            </w:r>
          </w:p>
        </w:tc>
        <w:tc>
          <w:tcPr>
            <w:tcW w:w="1687" w:type="dxa"/>
            <w:vAlign w:val="center"/>
          </w:tcPr>
          <w:p w14:paraId="1010048B"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18B0E8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EBA310E"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27F8CD44" w14:textId="77777777" w:rsidR="007075D9" w:rsidRPr="004D46AC" w:rsidRDefault="007075D9" w:rsidP="00CE2F7A">
            <w:pPr>
              <w:spacing w:line="240" w:lineRule="auto"/>
              <w:ind w:firstLine="0"/>
              <w:rPr>
                <w:b/>
                <w:bCs/>
                <w:i/>
                <w:iCs/>
              </w:rPr>
            </w:pPr>
            <w:r w:rsidRPr="004D46AC">
              <w:rPr>
                <w:color w:val="000000"/>
              </w:rPr>
              <w:t xml:space="preserve">0.51 </w:t>
            </w:r>
          </w:p>
        </w:tc>
      </w:tr>
      <w:tr w:rsidR="007075D9" w:rsidRPr="004D46AC" w14:paraId="00F84B2B" w14:textId="77777777" w:rsidTr="00B518F1">
        <w:tc>
          <w:tcPr>
            <w:tcW w:w="1434" w:type="dxa"/>
            <w:vAlign w:val="center"/>
          </w:tcPr>
          <w:p w14:paraId="5D9DD77E" w14:textId="77777777" w:rsidR="007075D9" w:rsidRPr="004D46AC" w:rsidRDefault="007075D9" w:rsidP="00CE2F7A">
            <w:pPr>
              <w:spacing w:line="240" w:lineRule="auto"/>
              <w:ind w:firstLine="0"/>
              <w:rPr>
                <w:b/>
                <w:bCs/>
                <w:i/>
                <w:iCs/>
              </w:rPr>
            </w:pPr>
            <w:r w:rsidRPr="004D46AC">
              <w:rPr>
                <w:rFonts w:eastAsia="DengXian"/>
                <w:color w:val="000000"/>
              </w:rPr>
              <w:t>N7--IA</w:t>
            </w:r>
          </w:p>
        </w:tc>
        <w:tc>
          <w:tcPr>
            <w:tcW w:w="1687" w:type="dxa"/>
            <w:vAlign w:val="center"/>
          </w:tcPr>
          <w:p w14:paraId="0B60E753"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1F9719D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2C834C4"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559CF1E2" w14:textId="77777777" w:rsidR="007075D9" w:rsidRPr="004D46AC" w:rsidRDefault="007075D9" w:rsidP="00CE2F7A">
            <w:pPr>
              <w:spacing w:line="240" w:lineRule="auto"/>
              <w:ind w:firstLine="0"/>
              <w:rPr>
                <w:b/>
                <w:bCs/>
                <w:i/>
                <w:iCs/>
              </w:rPr>
            </w:pPr>
            <w:r w:rsidRPr="004D46AC">
              <w:rPr>
                <w:color w:val="000000"/>
              </w:rPr>
              <w:t xml:space="preserve">0.55 </w:t>
            </w:r>
          </w:p>
        </w:tc>
      </w:tr>
      <w:tr w:rsidR="007075D9" w:rsidRPr="004D46AC" w14:paraId="0C430BE8" w14:textId="77777777" w:rsidTr="00B518F1">
        <w:tc>
          <w:tcPr>
            <w:tcW w:w="1434" w:type="dxa"/>
            <w:vAlign w:val="center"/>
          </w:tcPr>
          <w:p w14:paraId="50684F7E" w14:textId="77777777" w:rsidR="007075D9" w:rsidRPr="004D46AC" w:rsidRDefault="007075D9" w:rsidP="00CE2F7A">
            <w:pPr>
              <w:spacing w:line="240" w:lineRule="auto"/>
              <w:ind w:firstLine="0"/>
              <w:rPr>
                <w:b/>
                <w:bCs/>
                <w:i/>
                <w:iCs/>
              </w:rPr>
            </w:pPr>
            <w:r w:rsidRPr="004D46AC">
              <w:rPr>
                <w:rFonts w:eastAsia="DengXian"/>
                <w:color w:val="000000"/>
              </w:rPr>
              <w:t>N1--M5</w:t>
            </w:r>
          </w:p>
        </w:tc>
        <w:tc>
          <w:tcPr>
            <w:tcW w:w="1687" w:type="dxa"/>
            <w:vAlign w:val="center"/>
          </w:tcPr>
          <w:p w14:paraId="4CBE6852"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FB4E509"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9C35C8B"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76C204E7" w14:textId="77777777" w:rsidR="007075D9" w:rsidRPr="004D46AC" w:rsidRDefault="007075D9" w:rsidP="00CE2F7A">
            <w:pPr>
              <w:spacing w:line="240" w:lineRule="auto"/>
              <w:ind w:firstLine="0"/>
              <w:rPr>
                <w:b/>
                <w:bCs/>
                <w:i/>
                <w:iCs/>
              </w:rPr>
            </w:pPr>
            <w:r w:rsidRPr="004D46AC">
              <w:rPr>
                <w:color w:val="000000"/>
              </w:rPr>
              <w:t xml:space="preserve">0.51 </w:t>
            </w:r>
          </w:p>
        </w:tc>
      </w:tr>
      <w:tr w:rsidR="007075D9" w:rsidRPr="004D46AC" w14:paraId="51EAACE3" w14:textId="77777777" w:rsidTr="00B518F1">
        <w:tc>
          <w:tcPr>
            <w:tcW w:w="1434" w:type="dxa"/>
            <w:vAlign w:val="center"/>
          </w:tcPr>
          <w:p w14:paraId="032C6BAC" w14:textId="77777777" w:rsidR="007075D9" w:rsidRPr="004D46AC" w:rsidRDefault="007075D9" w:rsidP="00CE2F7A">
            <w:pPr>
              <w:spacing w:line="240" w:lineRule="auto"/>
              <w:ind w:firstLine="0"/>
              <w:rPr>
                <w:b/>
                <w:bCs/>
                <w:i/>
                <w:iCs/>
              </w:rPr>
            </w:pPr>
            <w:r w:rsidRPr="004D46AC">
              <w:rPr>
                <w:rFonts w:eastAsia="DengXian"/>
                <w:color w:val="000000"/>
              </w:rPr>
              <w:t>P5--M8</w:t>
            </w:r>
          </w:p>
        </w:tc>
        <w:tc>
          <w:tcPr>
            <w:tcW w:w="1687" w:type="dxa"/>
            <w:vAlign w:val="center"/>
          </w:tcPr>
          <w:p w14:paraId="5A2B554A"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4B73CD6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49AD662"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331F46C4" w14:textId="77777777" w:rsidR="007075D9" w:rsidRPr="004D46AC" w:rsidRDefault="007075D9" w:rsidP="00CE2F7A">
            <w:pPr>
              <w:spacing w:line="240" w:lineRule="auto"/>
              <w:ind w:firstLine="0"/>
              <w:rPr>
                <w:b/>
                <w:bCs/>
                <w:i/>
                <w:iCs/>
              </w:rPr>
            </w:pPr>
            <w:r w:rsidRPr="004D46AC">
              <w:rPr>
                <w:color w:val="000000"/>
              </w:rPr>
              <w:t xml:space="preserve">0.57 </w:t>
            </w:r>
          </w:p>
        </w:tc>
      </w:tr>
      <w:tr w:rsidR="007075D9" w:rsidRPr="004D46AC" w14:paraId="6082B43D" w14:textId="77777777" w:rsidTr="00B518F1">
        <w:tc>
          <w:tcPr>
            <w:tcW w:w="1434" w:type="dxa"/>
            <w:vAlign w:val="center"/>
          </w:tcPr>
          <w:p w14:paraId="32F75895" w14:textId="77777777" w:rsidR="007075D9" w:rsidRPr="004D46AC" w:rsidRDefault="007075D9" w:rsidP="00CE2F7A">
            <w:pPr>
              <w:spacing w:line="240" w:lineRule="auto"/>
              <w:ind w:firstLine="0"/>
              <w:rPr>
                <w:b/>
                <w:bCs/>
                <w:i/>
                <w:iCs/>
              </w:rPr>
            </w:pPr>
            <w:r w:rsidRPr="004D46AC">
              <w:rPr>
                <w:rFonts w:eastAsia="DengXian"/>
                <w:color w:val="000000"/>
              </w:rPr>
              <w:t>Y11--M7</w:t>
            </w:r>
          </w:p>
        </w:tc>
        <w:tc>
          <w:tcPr>
            <w:tcW w:w="1687" w:type="dxa"/>
            <w:vAlign w:val="center"/>
          </w:tcPr>
          <w:p w14:paraId="560E16FB"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59486A1"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DFDBA75"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69E710F7" w14:textId="77777777" w:rsidR="007075D9" w:rsidRPr="004D46AC" w:rsidRDefault="007075D9" w:rsidP="00CE2F7A">
            <w:pPr>
              <w:spacing w:line="240" w:lineRule="auto"/>
              <w:ind w:firstLine="0"/>
              <w:rPr>
                <w:b/>
                <w:bCs/>
                <w:i/>
                <w:iCs/>
              </w:rPr>
            </w:pPr>
            <w:r w:rsidRPr="004D46AC">
              <w:rPr>
                <w:color w:val="000000"/>
              </w:rPr>
              <w:t xml:space="preserve">0.45 </w:t>
            </w:r>
          </w:p>
        </w:tc>
      </w:tr>
      <w:tr w:rsidR="007075D9" w:rsidRPr="004D46AC" w14:paraId="14AD6954" w14:textId="77777777" w:rsidTr="00B518F1">
        <w:tc>
          <w:tcPr>
            <w:tcW w:w="1434" w:type="dxa"/>
            <w:vAlign w:val="center"/>
          </w:tcPr>
          <w:p w14:paraId="11496034" w14:textId="77777777" w:rsidR="007075D9" w:rsidRPr="004D46AC" w:rsidRDefault="007075D9" w:rsidP="00CE2F7A">
            <w:pPr>
              <w:spacing w:line="240" w:lineRule="auto"/>
              <w:ind w:firstLine="0"/>
              <w:rPr>
                <w:b/>
                <w:bCs/>
                <w:i/>
                <w:iCs/>
              </w:rPr>
            </w:pPr>
            <w:r w:rsidRPr="004D46AC">
              <w:rPr>
                <w:rFonts w:eastAsia="DengXian"/>
                <w:color w:val="000000"/>
              </w:rPr>
              <w:t>P5--WD</w:t>
            </w:r>
          </w:p>
        </w:tc>
        <w:tc>
          <w:tcPr>
            <w:tcW w:w="1687" w:type="dxa"/>
            <w:vAlign w:val="center"/>
          </w:tcPr>
          <w:p w14:paraId="46FC6EC7"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D32917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804A0BB"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64971FD7" w14:textId="77777777" w:rsidR="007075D9" w:rsidRPr="004D46AC" w:rsidRDefault="007075D9" w:rsidP="00CE2F7A">
            <w:pPr>
              <w:spacing w:line="240" w:lineRule="auto"/>
              <w:ind w:firstLine="0"/>
              <w:rPr>
                <w:b/>
                <w:bCs/>
                <w:i/>
                <w:iCs/>
              </w:rPr>
            </w:pPr>
            <w:r w:rsidRPr="004D46AC">
              <w:rPr>
                <w:color w:val="000000"/>
              </w:rPr>
              <w:t xml:space="preserve">0.55 </w:t>
            </w:r>
          </w:p>
        </w:tc>
      </w:tr>
      <w:tr w:rsidR="007075D9" w:rsidRPr="004D46AC" w14:paraId="458B1DE4" w14:textId="77777777" w:rsidTr="00B518F1">
        <w:tc>
          <w:tcPr>
            <w:tcW w:w="1434" w:type="dxa"/>
            <w:vAlign w:val="center"/>
          </w:tcPr>
          <w:p w14:paraId="5BAE7668" w14:textId="77777777" w:rsidR="007075D9" w:rsidRPr="004D46AC" w:rsidRDefault="007075D9" w:rsidP="00CE2F7A">
            <w:pPr>
              <w:spacing w:line="240" w:lineRule="auto"/>
              <w:ind w:firstLine="0"/>
              <w:rPr>
                <w:b/>
                <w:bCs/>
                <w:i/>
                <w:iCs/>
              </w:rPr>
            </w:pPr>
            <w:r w:rsidRPr="004D46AC">
              <w:rPr>
                <w:rFonts w:eastAsia="DengXian"/>
                <w:color w:val="000000"/>
              </w:rPr>
              <w:t>N1--SP</w:t>
            </w:r>
          </w:p>
        </w:tc>
        <w:tc>
          <w:tcPr>
            <w:tcW w:w="1687" w:type="dxa"/>
            <w:vAlign w:val="center"/>
          </w:tcPr>
          <w:p w14:paraId="4F016B2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4782B7C"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128DAA3"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67586798" w14:textId="77777777" w:rsidR="007075D9" w:rsidRPr="004D46AC" w:rsidRDefault="007075D9" w:rsidP="00CE2F7A">
            <w:pPr>
              <w:spacing w:line="240" w:lineRule="auto"/>
              <w:ind w:firstLine="0"/>
              <w:rPr>
                <w:b/>
                <w:bCs/>
                <w:i/>
                <w:iCs/>
              </w:rPr>
            </w:pPr>
            <w:r w:rsidRPr="004D46AC">
              <w:rPr>
                <w:color w:val="000000"/>
              </w:rPr>
              <w:t xml:space="preserve">0.47 </w:t>
            </w:r>
          </w:p>
        </w:tc>
      </w:tr>
      <w:tr w:rsidR="007075D9" w:rsidRPr="004D46AC" w14:paraId="15490A79" w14:textId="77777777" w:rsidTr="00B518F1">
        <w:tc>
          <w:tcPr>
            <w:tcW w:w="1434" w:type="dxa"/>
            <w:vAlign w:val="center"/>
          </w:tcPr>
          <w:p w14:paraId="05068E58" w14:textId="77777777" w:rsidR="007075D9" w:rsidRPr="004D46AC" w:rsidRDefault="007075D9" w:rsidP="00CE2F7A">
            <w:pPr>
              <w:spacing w:line="240" w:lineRule="auto"/>
              <w:ind w:firstLine="0"/>
              <w:rPr>
                <w:b/>
                <w:bCs/>
                <w:i/>
                <w:iCs/>
              </w:rPr>
            </w:pPr>
            <w:r w:rsidRPr="004D46AC">
              <w:rPr>
                <w:rFonts w:eastAsia="DengXian"/>
                <w:color w:val="000000"/>
              </w:rPr>
              <w:t>P5--M5</w:t>
            </w:r>
          </w:p>
        </w:tc>
        <w:tc>
          <w:tcPr>
            <w:tcW w:w="1687" w:type="dxa"/>
            <w:vAlign w:val="center"/>
          </w:tcPr>
          <w:p w14:paraId="678F89A0"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89FC028"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39B69C3"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2C3556A0"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33C949CB" w14:textId="77777777" w:rsidTr="00B518F1">
        <w:tc>
          <w:tcPr>
            <w:tcW w:w="1434" w:type="dxa"/>
            <w:vAlign w:val="center"/>
          </w:tcPr>
          <w:p w14:paraId="2E238F56" w14:textId="77777777" w:rsidR="007075D9" w:rsidRPr="004D46AC" w:rsidRDefault="007075D9" w:rsidP="00CE2F7A">
            <w:pPr>
              <w:spacing w:line="240" w:lineRule="auto"/>
              <w:ind w:firstLine="0"/>
              <w:rPr>
                <w:b/>
                <w:bCs/>
                <w:i/>
                <w:iCs/>
              </w:rPr>
            </w:pPr>
            <w:r w:rsidRPr="004D46AC">
              <w:rPr>
                <w:rFonts w:eastAsia="DengXian"/>
                <w:color w:val="000000"/>
              </w:rPr>
              <w:t>RC--SP</w:t>
            </w:r>
          </w:p>
        </w:tc>
        <w:tc>
          <w:tcPr>
            <w:tcW w:w="1687" w:type="dxa"/>
            <w:vAlign w:val="center"/>
          </w:tcPr>
          <w:p w14:paraId="253EA5BE"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F693925"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2C23974"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6022D81A" w14:textId="77777777" w:rsidR="007075D9" w:rsidRPr="004D46AC" w:rsidRDefault="007075D9" w:rsidP="00CE2F7A">
            <w:pPr>
              <w:spacing w:line="240" w:lineRule="auto"/>
              <w:ind w:firstLine="0"/>
              <w:rPr>
                <w:b/>
                <w:bCs/>
                <w:i/>
                <w:iCs/>
              </w:rPr>
            </w:pPr>
            <w:r w:rsidRPr="004D46AC">
              <w:rPr>
                <w:color w:val="000000"/>
              </w:rPr>
              <w:t xml:space="preserve">0.42 </w:t>
            </w:r>
          </w:p>
        </w:tc>
      </w:tr>
      <w:tr w:rsidR="007075D9" w:rsidRPr="004D46AC" w14:paraId="5D572486" w14:textId="77777777" w:rsidTr="00B518F1">
        <w:tc>
          <w:tcPr>
            <w:tcW w:w="1434" w:type="dxa"/>
            <w:vAlign w:val="center"/>
          </w:tcPr>
          <w:p w14:paraId="4C20BD3F" w14:textId="77777777" w:rsidR="007075D9" w:rsidRPr="004D46AC" w:rsidRDefault="007075D9" w:rsidP="00CE2F7A">
            <w:pPr>
              <w:spacing w:line="240" w:lineRule="auto"/>
              <w:ind w:firstLine="0"/>
              <w:rPr>
                <w:b/>
                <w:bCs/>
                <w:i/>
                <w:iCs/>
              </w:rPr>
            </w:pPr>
            <w:r w:rsidRPr="004D46AC">
              <w:rPr>
                <w:rFonts w:eastAsia="DengXian"/>
                <w:color w:val="000000"/>
              </w:rPr>
              <w:t>P2--SP</w:t>
            </w:r>
          </w:p>
        </w:tc>
        <w:tc>
          <w:tcPr>
            <w:tcW w:w="1687" w:type="dxa"/>
            <w:vAlign w:val="center"/>
          </w:tcPr>
          <w:p w14:paraId="1F090530"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818BA1C"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7A89C70"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0A864D7B" w14:textId="77777777" w:rsidR="007075D9" w:rsidRPr="004D46AC" w:rsidRDefault="007075D9" w:rsidP="00CE2F7A">
            <w:pPr>
              <w:spacing w:line="240" w:lineRule="auto"/>
              <w:ind w:firstLine="0"/>
              <w:rPr>
                <w:b/>
                <w:bCs/>
                <w:i/>
                <w:iCs/>
              </w:rPr>
            </w:pPr>
            <w:r w:rsidRPr="004D46AC">
              <w:rPr>
                <w:color w:val="000000"/>
              </w:rPr>
              <w:t xml:space="preserve">0.36 </w:t>
            </w:r>
          </w:p>
        </w:tc>
      </w:tr>
      <w:tr w:rsidR="007075D9" w:rsidRPr="004D46AC" w14:paraId="776D7309" w14:textId="77777777" w:rsidTr="00B518F1">
        <w:tc>
          <w:tcPr>
            <w:tcW w:w="1434" w:type="dxa"/>
            <w:vAlign w:val="center"/>
          </w:tcPr>
          <w:p w14:paraId="73211566" w14:textId="77777777" w:rsidR="007075D9" w:rsidRPr="004D46AC" w:rsidRDefault="007075D9" w:rsidP="00CE2F7A">
            <w:pPr>
              <w:spacing w:line="240" w:lineRule="auto"/>
              <w:ind w:firstLine="0"/>
              <w:rPr>
                <w:b/>
                <w:bCs/>
                <w:i/>
                <w:iCs/>
              </w:rPr>
            </w:pPr>
            <w:r w:rsidRPr="004D46AC">
              <w:rPr>
                <w:rFonts w:eastAsia="DengXian"/>
                <w:color w:val="000000"/>
              </w:rPr>
              <w:t>P2--M3</w:t>
            </w:r>
          </w:p>
        </w:tc>
        <w:tc>
          <w:tcPr>
            <w:tcW w:w="1687" w:type="dxa"/>
            <w:vAlign w:val="center"/>
          </w:tcPr>
          <w:p w14:paraId="573ED966"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126F4E6"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E8DE309"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544BB50C"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4E35F869" w14:textId="77777777" w:rsidTr="00B518F1">
        <w:tc>
          <w:tcPr>
            <w:tcW w:w="1434" w:type="dxa"/>
            <w:vAlign w:val="center"/>
          </w:tcPr>
          <w:p w14:paraId="3CE30CC4" w14:textId="77777777" w:rsidR="007075D9" w:rsidRPr="004D46AC" w:rsidRDefault="007075D9" w:rsidP="00CE2F7A">
            <w:pPr>
              <w:spacing w:line="240" w:lineRule="auto"/>
              <w:ind w:firstLine="0"/>
              <w:rPr>
                <w:b/>
                <w:bCs/>
                <w:i/>
                <w:iCs/>
              </w:rPr>
            </w:pPr>
            <w:r w:rsidRPr="004D46AC">
              <w:rPr>
                <w:rFonts w:eastAsia="DengXian"/>
                <w:color w:val="000000"/>
              </w:rPr>
              <w:t>P2--M10</w:t>
            </w:r>
          </w:p>
        </w:tc>
        <w:tc>
          <w:tcPr>
            <w:tcW w:w="1687" w:type="dxa"/>
            <w:vAlign w:val="center"/>
          </w:tcPr>
          <w:p w14:paraId="6D6D95A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01297A3"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45000CA"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0C3AFE2F" w14:textId="77777777" w:rsidR="007075D9" w:rsidRPr="004D46AC" w:rsidRDefault="007075D9" w:rsidP="00CE2F7A">
            <w:pPr>
              <w:spacing w:line="240" w:lineRule="auto"/>
              <w:ind w:firstLine="0"/>
              <w:rPr>
                <w:b/>
                <w:bCs/>
                <w:i/>
                <w:iCs/>
              </w:rPr>
            </w:pPr>
            <w:r w:rsidRPr="004D46AC">
              <w:rPr>
                <w:color w:val="000000"/>
              </w:rPr>
              <w:t xml:space="preserve">0.34 </w:t>
            </w:r>
          </w:p>
        </w:tc>
      </w:tr>
      <w:tr w:rsidR="007075D9" w:rsidRPr="004D46AC" w14:paraId="657844C6" w14:textId="77777777" w:rsidTr="00B518F1">
        <w:tc>
          <w:tcPr>
            <w:tcW w:w="1434" w:type="dxa"/>
            <w:vAlign w:val="center"/>
          </w:tcPr>
          <w:p w14:paraId="0787BBD9" w14:textId="77777777" w:rsidR="007075D9" w:rsidRPr="004D46AC" w:rsidRDefault="007075D9" w:rsidP="00CE2F7A">
            <w:pPr>
              <w:spacing w:line="240" w:lineRule="auto"/>
              <w:ind w:firstLine="0"/>
              <w:rPr>
                <w:b/>
                <w:bCs/>
                <w:i/>
                <w:iCs/>
              </w:rPr>
            </w:pPr>
            <w:r w:rsidRPr="004D46AC">
              <w:rPr>
                <w:rFonts w:eastAsia="DengXian"/>
                <w:color w:val="000000"/>
              </w:rPr>
              <w:t>WD--ME</w:t>
            </w:r>
          </w:p>
        </w:tc>
        <w:tc>
          <w:tcPr>
            <w:tcW w:w="1687" w:type="dxa"/>
            <w:vAlign w:val="center"/>
          </w:tcPr>
          <w:p w14:paraId="7D3E364A"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6B5B981"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149A7730"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04DB2071" w14:textId="77777777" w:rsidR="007075D9" w:rsidRPr="004D46AC" w:rsidRDefault="007075D9" w:rsidP="00CE2F7A">
            <w:pPr>
              <w:spacing w:line="240" w:lineRule="auto"/>
              <w:ind w:firstLine="0"/>
              <w:rPr>
                <w:b/>
                <w:bCs/>
                <w:i/>
                <w:iCs/>
              </w:rPr>
            </w:pPr>
            <w:r w:rsidRPr="004D46AC">
              <w:rPr>
                <w:color w:val="000000"/>
              </w:rPr>
              <w:t xml:space="preserve">0.20 </w:t>
            </w:r>
          </w:p>
        </w:tc>
      </w:tr>
      <w:tr w:rsidR="007075D9" w:rsidRPr="004D46AC" w14:paraId="37BD8FD8" w14:textId="77777777" w:rsidTr="00B518F1">
        <w:tc>
          <w:tcPr>
            <w:tcW w:w="1434" w:type="dxa"/>
            <w:vAlign w:val="center"/>
          </w:tcPr>
          <w:p w14:paraId="51F342D6" w14:textId="77777777" w:rsidR="007075D9" w:rsidRPr="004D46AC" w:rsidRDefault="007075D9" w:rsidP="00CE2F7A">
            <w:pPr>
              <w:spacing w:line="240" w:lineRule="auto"/>
              <w:ind w:firstLine="0"/>
              <w:rPr>
                <w:b/>
                <w:bCs/>
                <w:i/>
                <w:iCs/>
              </w:rPr>
            </w:pPr>
            <w:r w:rsidRPr="004D46AC">
              <w:rPr>
                <w:rFonts w:eastAsia="DengXian"/>
                <w:color w:val="000000"/>
              </w:rPr>
              <w:t>RC--Y6</w:t>
            </w:r>
          </w:p>
        </w:tc>
        <w:tc>
          <w:tcPr>
            <w:tcW w:w="1687" w:type="dxa"/>
            <w:vAlign w:val="center"/>
          </w:tcPr>
          <w:p w14:paraId="7C57DC96"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1B66652"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5D802D22"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195046EC" w14:textId="77777777" w:rsidR="007075D9" w:rsidRPr="004D46AC" w:rsidRDefault="007075D9" w:rsidP="00CE2F7A">
            <w:pPr>
              <w:spacing w:line="240" w:lineRule="auto"/>
              <w:ind w:firstLine="0"/>
              <w:rPr>
                <w:b/>
                <w:bCs/>
                <w:i/>
                <w:iCs/>
              </w:rPr>
            </w:pPr>
            <w:r w:rsidRPr="004D46AC">
              <w:rPr>
                <w:color w:val="000000"/>
              </w:rPr>
              <w:t xml:space="preserve">0.27 </w:t>
            </w:r>
          </w:p>
        </w:tc>
      </w:tr>
      <w:tr w:rsidR="007075D9" w:rsidRPr="004D46AC" w14:paraId="73094702" w14:textId="77777777" w:rsidTr="00B518F1">
        <w:tc>
          <w:tcPr>
            <w:tcW w:w="1434" w:type="dxa"/>
            <w:vAlign w:val="center"/>
          </w:tcPr>
          <w:p w14:paraId="7E442F93" w14:textId="77777777" w:rsidR="007075D9" w:rsidRPr="004D46AC" w:rsidRDefault="007075D9" w:rsidP="00CE2F7A">
            <w:pPr>
              <w:spacing w:line="240" w:lineRule="auto"/>
              <w:ind w:firstLine="0"/>
              <w:rPr>
                <w:b/>
                <w:bCs/>
                <w:i/>
                <w:iCs/>
              </w:rPr>
            </w:pPr>
            <w:r w:rsidRPr="004D46AC">
              <w:rPr>
                <w:rFonts w:eastAsia="DengXian"/>
                <w:color w:val="000000"/>
              </w:rPr>
              <w:t>Y6--M2</w:t>
            </w:r>
          </w:p>
        </w:tc>
        <w:tc>
          <w:tcPr>
            <w:tcW w:w="1687" w:type="dxa"/>
            <w:vAlign w:val="center"/>
          </w:tcPr>
          <w:p w14:paraId="18E2200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5F274BF"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1758793"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04DED11F" w14:textId="77777777" w:rsidR="007075D9" w:rsidRPr="004D46AC" w:rsidRDefault="007075D9" w:rsidP="00CE2F7A">
            <w:pPr>
              <w:spacing w:line="240" w:lineRule="auto"/>
              <w:ind w:firstLine="0"/>
              <w:rPr>
                <w:b/>
                <w:bCs/>
                <w:i/>
                <w:iCs/>
              </w:rPr>
            </w:pPr>
            <w:r w:rsidRPr="004D46AC">
              <w:rPr>
                <w:color w:val="000000"/>
              </w:rPr>
              <w:t xml:space="preserve">0.26 </w:t>
            </w:r>
          </w:p>
        </w:tc>
      </w:tr>
      <w:tr w:rsidR="007075D9" w:rsidRPr="004D46AC" w14:paraId="7A9701B2" w14:textId="77777777" w:rsidTr="00B518F1">
        <w:tc>
          <w:tcPr>
            <w:tcW w:w="1434" w:type="dxa"/>
            <w:vAlign w:val="center"/>
          </w:tcPr>
          <w:p w14:paraId="45F61322" w14:textId="77777777" w:rsidR="007075D9" w:rsidRPr="004D46AC" w:rsidRDefault="007075D9" w:rsidP="00CE2F7A">
            <w:pPr>
              <w:spacing w:line="240" w:lineRule="auto"/>
              <w:ind w:firstLine="0"/>
              <w:rPr>
                <w:b/>
                <w:bCs/>
                <w:i/>
                <w:iCs/>
              </w:rPr>
            </w:pPr>
            <w:r w:rsidRPr="004D46AC">
              <w:rPr>
                <w:rFonts w:eastAsia="DengXian"/>
                <w:color w:val="000000"/>
              </w:rPr>
              <w:lastRenderedPageBreak/>
              <w:t>ME--M7</w:t>
            </w:r>
          </w:p>
        </w:tc>
        <w:tc>
          <w:tcPr>
            <w:tcW w:w="1687" w:type="dxa"/>
            <w:vAlign w:val="center"/>
          </w:tcPr>
          <w:p w14:paraId="0C48DF7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2B2739C"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30A0029"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61B51296" w14:textId="77777777" w:rsidR="007075D9" w:rsidRPr="004D46AC" w:rsidRDefault="007075D9" w:rsidP="00CE2F7A">
            <w:pPr>
              <w:spacing w:line="240" w:lineRule="auto"/>
              <w:ind w:firstLine="0"/>
              <w:rPr>
                <w:b/>
                <w:bCs/>
                <w:i/>
                <w:iCs/>
              </w:rPr>
            </w:pPr>
            <w:r w:rsidRPr="004D46AC">
              <w:rPr>
                <w:color w:val="000000"/>
              </w:rPr>
              <w:t xml:space="preserve">0.14 </w:t>
            </w:r>
          </w:p>
        </w:tc>
      </w:tr>
      <w:tr w:rsidR="007075D9" w:rsidRPr="004D46AC" w14:paraId="72E0C62F" w14:textId="77777777" w:rsidTr="00B518F1">
        <w:tc>
          <w:tcPr>
            <w:tcW w:w="1434" w:type="dxa"/>
            <w:vAlign w:val="center"/>
          </w:tcPr>
          <w:p w14:paraId="0E28F783" w14:textId="77777777" w:rsidR="007075D9" w:rsidRPr="004D46AC" w:rsidRDefault="007075D9" w:rsidP="00CE2F7A">
            <w:pPr>
              <w:spacing w:line="240" w:lineRule="auto"/>
              <w:ind w:firstLine="0"/>
              <w:rPr>
                <w:b/>
                <w:bCs/>
                <w:i/>
                <w:iCs/>
              </w:rPr>
            </w:pPr>
            <w:r w:rsidRPr="004D46AC">
              <w:rPr>
                <w:rFonts w:eastAsia="DengXian"/>
                <w:color w:val="000000"/>
              </w:rPr>
              <w:t>N1--IA</w:t>
            </w:r>
          </w:p>
        </w:tc>
        <w:tc>
          <w:tcPr>
            <w:tcW w:w="1687" w:type="dxa"/>
            <w:vAlign w:val="center"/>
          </w:tcPr>
          <w:p w14:paraId="54AC1B2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99A9AB5"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6B2DEF0A"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5C3831F1"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527F2875" w14:textId="77777777" w:rsidTr="00B518F1">
        <w:tc>
          <w:tcPr>
            <w:tcW w:w="1434" w:type="dxa"/>
            <w:vAlign w:val="center"/>
          </w:tcPr>
          <w:p w14:paraId="341FFEE6" w14:textId="77777777" w:rsidR="007075D9" w:rsidRPr="004D46AC" w:rsidRDefault="007075D9" w:rsidP="00CE2F7A">
            <w:pPr>
              <w:spacing w:line="240" w:lineRule="auto"/>
              <w:ind w:firstLine="0"/>
              <w:rPr>
                <w:b/>
                <w:bCs/>
                <w:i/>
                <w:iCs/>
              </w:rPr>
            </w:pPr>
            <w:r w:rsidRPr="004D46AC">
              <w:rPr>
                <w:rFonts w:eastAsia="DengXian"/>
                <w:color w:val="000000"/>
              </w:rPr>
              <w:t>ME--M8</w:t>
            </w:r>
          </w:p>
        </w:tc>
        <w:tc>
          <w:tcPr>
            <w:tcW w:w="1687" w:type="dxa"/>
            <w:vAlign w:val="center"/>
          </w:tcPr>
          <w:p w14:paraId="4A8280E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B98762A"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2F9E4F9"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77D21BBD" w14:textId="77777777" w:rsidR="007075D9" w:rsidRPr="004D46AC" w:rsidRDefault="007075D9" w:rsidP="00CE2F7A">
            <w:pPr>
              <w:spacing w:line="240" w:lineRule="auto"/>
              <w:ind w:firstLine="0"/>
              <w:rPr>
                <w:b/>
                <w:bCs/>
                <w:i/>
                <w:iCs/>
              </w:rPr>
            </w:pPr>
            <w:r w:rsidRPr="004D46AC">
              <w:rPr>
                <w:color w:val="000000"/>
              </w:rPr>
              <w:t xml:space="preserve">0.09 </w:t>
            </w:r>
          </w:p>
        </w:tc>
      </w:tr>
      <w:tr w:rsidR="007075D9" w:rsidRPr="004D46AC" w14:paraId="45F9419F" w14:textId="77777777" w:rsidTr="00B518F1">
        <w:tc>
          <w:tcPr>
            <w:tcW w:w="1434" w:type="dxa"/>
            <w:vAlign w:val="center"/>
          </w:tcPr>
          <w:p w14:paraId="733FE1A6" w14:textId="77777777" w:rsidR="007075D9" w:rsidRPr="004D46AC" w:rsidRDefault="007075D9" w:rsidP="00CE2F7A">
            <w:pPr>
              <w:spacing w:line="240" w:lineRule="auto"/>
              <w:ind w:firstLine="0"/>
              <w:rPr>
                <w:b/>
                <w:bCs/>
                <w:i/>
                <w:iCs/>
              </w:rPr>
            </w:pPr>
            <w:r w:rsidRPr="004D46AC">
              <w:rPr>
                <w:rFonts w:eastAsia="DengXian"/>
                <w:color w:val="000000"/>
              </w:rPr>
              <w:t>P5--M7</w:t>
            </w:r>
          </w:p>
        </w:tc>
        <w:tc>
          <w:tcPr>
            <w:tcW w:w="1687" w:type="dxa"/>
            <w:vAlign w:val="center"/>
          </w:tcPr>
          <w:p w14:paraId="74C092A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AC688CE"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4D7AF79D"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017A2565" w14:textId="77777777" w:rsidR="007075D9" w:rsidRPr="004D46AC" w:rsidRDefault="007075D9" w:rsidP="00CE2F7A">
            <w:pPr>
              <w:spacing w:line="240" w:lineRule="auto"/>
              <w:ind w:firstLine="0"/>
              <w:rPr>
                <w:b/>
                <w:bCs/>
                <w:i/>
                <w:iCs/>
              </w:rPr>
            </w:pPr>
            <w:r w:rsidRPr="004D46AC">
              <w:rPr>
                <w:color w:val="000000"/>
              </w:rPr>
              <w:t xml:space="preserve">0.16 </w:t>
            </w:r>
          </w:p>
        </w:tc>
      </w:tr>
      <w:tr w:rsidR="007075D9" w:rsidRPr="004D46AC" w14:paraId="2A761779" w14:textId="77777777" w:rsidTr="00B518F1">
        <w:tc>
          <w:tcPr>
            <w:tcW w:w="1434" w:type="dxa"/>
            <w:vAlign w:val="center"/>
          </w:tcPr>
          <w:p w14:paraId="065757DE" w14:textId="77777777" w:rsidR="007075D9" w:rsidRPr="004D46AC" w:rsidRDefault="007075D9" w:rsidP="00CE2F7A">
            <w:pPr>
              <w:spacing w:line="240" w:lineRule="auto"/>
              <w:ind w:firstLine="0"/>
              <w:rPr>
                <w:b/>
                <w:bCs/>
                <w:i/>
                <w:iCs/>
              </w:rPr>
            </w:pPr>
            <w:r w:rsidRPr="004D46AC">
              <w:rPr>
                <w:rFonts w:eastAsia="DengXian"/>
                <w:color w:val="000000"/>
              </w:rPr>
              <w:t>Y11--M3</w:t>
            </w:r>
          </w:p>
        </w:tc>
        <w:tc>
          <w:tcPr>
            <w:tcW w:w="1687" w:type="dxa"/>
            <w:vAlign w:val="center"/>
          </w:tcPr>
          <w:p w14:paraId="5FD29C3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DBED4A6"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0CF0BDC6"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0AAD03C3" w14:textId="77777777" w:rsidR="007075D9" w:rsidRPr="004D46AC" w:rsidRDefault="007075D9" w:rsidP="00CE2F7A">
            <w:pPr>
              <w:spacing w:line="240" w:lineRule="auto"/>
              <w:ind w:firstLine="0"/>
              <w:rPr>
                <w:b/>
                <w:bCs/>
                <w:i/>
                <w:iCs/>
              </w:rPr>
            </w:pPr>
            <w:r w:rsidRPr="004D46AC">
              <w:rPr>
                <w:color w:val="000000"/>
              </w:rPr>
              <w:t xml:space="preserve">0.17 </w:t>
            </w:r>
          </w:p>
        </w:tc>
      </w:tr>
      <w:tr w:rsidR="007075D9" w:rsidRPr="004D46AC" w14:paraId="4DEE14B4" w14:textId="77777777" w:rsidTr="00B518F1">
        <w:tc>
          <w:tcPr>
            <w:tcW w:w="1434" w:type="dxa"/>
            <w:vAlign w:val="center"/>
          </w:tcPr>
          <w:p w14:paraId="0F6F4950" w14:textId="77777777" w:rsidR="007075D9" w:rsidRPr="004D46AC" w:rsidRDefault="007075D9" w:rsidP="00CE2F7A">
            <w:pPr>
              <w:spacing w:line="240" w:lineRule="auto"/>
              <w:ind w:firstLine="0"/>
              <w:rPr>
                <w:b/>
                <w:bCs/>
                <w:i/>
                <w:iCs/>
              </w:rPr>
            </w:pPr>
            <w:r w:rsidRPr="004D46AC">
              <w:rPr>
                <w:rFonts w:eastAsia="DengXian"/>
                <w:color w:val="000000"/>
              </w:rPr>
              <w:t>RC--M9</w:t>
            </w:r>
          </w:p>
        </w:tc>
        <w:tc>
          <w:tcPr>
            <w:tcW w:w="1687" w:type="dxa"/>
            <w:vAlign w:val="center"/>
          </w:tcPr>
          <w:p w14:paraId="3B5C390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C05DABA"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67A4E916" w14:textId="77777777" w:rsidR="007075D9" w:rsidRPr="004D46AC" w:rsidRDefault="007075D9" w:rsidP="00CE2F7A">
            <w:pPr>
              <w:spacing w:line="240" w:lineRule="auto"/>
              <w:ind w:firstLine="0"/>
              <w:rPr>
                <w:b/>
                <w:bCs/>
                <w:i/>
                <w:iCs/>
              </w:rPr>
            </w:pPr>
            <w:r w:rsidRPr="004D46AC">
              <w:rPr>
                <w:color w:val="000000"/>
              </w:rPr>
              <w:t xml:space="preserve">0.00 </w:t>
            </w:r>
          </w:p>
        </w:tc>
        <w:tc>
          <w:tcPr>
            <w:tcW w:w="1443" w:type="dxa"/>
            <w:vAlign w:val="center"/>
          </w:tcPr>
          <w:p w14:paraId="3C8ED0D3"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5EA495BA" w14:textId="77777777" w:rsidTr="00B518F1">
        <w:tc>
          <w:tcPr>
            <w:tcW w:w="1434" w:type="dxa"/>
            <w:vAlign w:val="center"/>
          </w:tcPr>
          <w:p w14:paraId="419D265E" w14:textId="77777777" w:rsidR="007075D9" w:rsidRPr="004D46AC" w:rsidRDefault="007075D9" w:rsidP="00CE2F7A">
            <w:pPr>
              <w:spacing w:line="240" w:lineRule="auto"/>
              <w:ind w:firstLine="0"/>
              <w:rPr>
                <w:b/>
                <w:bCs/>
                <w:i/>
                <w:iCs/>
              </w:rPr>
            </w:pPr>
            <w:r w:rsidRPr="004D46AC">
              <w:rPr>
                <w:rFonts w:eastAsia="DengXian"/>
                <w:color w:val="000000"/>
              </w:rPr>
              <w:t>N5--M10</w:t>
            </w:r>
          </w:p>
        </w:tc>
        <w:tc>
          <w:tcPr>
            <w:tcW w:w="1687" w:type="dxa"/>
            <w:vAlign w:val="center"/>
          </w:tcPr>
          <w:p w14:paraId="44D5A9F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3E6E71C"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C3D10B6" w14:textId="77777777" w:rsidR="007075D9" w:rsidRPr="004D46AC" w:rsidRDefault="007075D9" w:rsidP="00CE2F7A">
            <w:pPr>
              <w:spacing w:line="240" w:lineRule="auto"/>
              <w:ind w:firstLine="0"/>
              <w:rPr>
                <w:b/>
                <w:bCs/>
                <w:i/>
                <w:iCs/>
              </w:rPr>
            </w:pPr>
            <w:r w:rsidRPr="004D46AC">
              <w:rPr>
                <w:color w:val="000000"/>
              </w:rPr>
              <w:t xml:space="preserve">0.00 </w:t>
            </w:r>
          </w:p>
        </w:tc>
        <w:tc>
          <w:tcPr>
            <w:tcW w:w="1443" w:type="dxa"/>
            <w:vAlign w:val="center"/>
          </w:tcPr>
          <w:p w14:paraId="2DB6F368"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4AA1668F" w14:textId="77777777" w:rsidTr="00B518F1">
        <w:tc>
          <w:tcPr>
            <w:tcW w:w="1434" w:type="dxa"/>
            <w:vAlign w:val="center"/>
          </w:tcPr>
          <w:p w14:paraId="6B10DC35" w14:textId="77777777" w:rsidR="007075D9" w:rsidRPr="004D46AC" w:rsidRDefault="007075D9" w:rsidP="00CE2F7A">
            <w:pPr>
              <w:spacing w:line="240" w:lineRule="auto"/>
              <w:ind w:firstLine="0"/>
              <w:rPr>
                <w:b/>
                <w:bCs/>
                <w:i/>
                <w:iCs/>
              </w:rPr>
            </w:pPr>
            <w:r w:rsidRPr="004D46AC">
              <w:rPr>
                <w:rFonts w:eastAsia="DengXian"/>
                <w:color w:val="000000"/>
              </w:rPr>
              <w:t>WD--Y6</w:t>
            </w:r>
          </w:p>
        </w:tc>
        <w:tc>
          <w:tcPr>
            <w:tcW w:w="1687" w:type="dxa"/>
            <w:vAlign w:val="center"/>
          </w:tcPr>
          <w:p w14:paraId="00DCBCB7"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F407BD8"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7DBCC42" w14:textId="77777777" w:rsidR="007075D9" w:rsidRPr="004D46AC" w:rsidRDefault="007075D9" w:rsidP="00CE2F7A">
            <w:pPr>
              <w:spacing w:line="240" w:lineRule="auto"/>
              <w:ind w:firstLine="0"/>
              <w:rPr>
                <w:b/>
                <w:bCs/>
                <w:i/>
                <w:iCs/>
              </w:rPr>
            </w:pPr>
            <w:r w:rsidRPr="004D46AC">
              <w:rPr>
                <w:color w:val="000000"/>
              </w:rPr>
              <w:t xml:space="preserve">-0.00 </w:t>
            </w:r>
          </w:p>
        </w:tc>
        <w:tc>
          <w:tcPr>
            <w:tcW w:w="1443" w:type="dxa"/>
            <w:vAlign w:val="center"/>
          </w:tcPr>
          <w:p w14:paraId="2637ED90"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5A6967DD" w14:textId="77777777" w:rsidTr="00B518F1">
        <w:tc>
          <w:tcPr>
            <w:tcW w:w="1434" w:type="dxa"/>
            <w:vAlign w:val="center"/>
          </w:tcPr>
          <w:p w14:paraId="2CE84D19" w14:textId="77777777" w:rsidR="007075D9" w:rsidRPr="004D46AC" w:rsidRDefault="007075D9" w:rsidP="00CE2F7A">
            <w:pPr>
              <w:spacing w:line="240" w:lineRule="auto"/>
              <w:ind w:firstLine="0"/>
              <w:rPr>
                <w:b/>
                <w:bCs/>
                <w:i/>
                <w:iCs/>
              </w:rPr>
            </w:pPr>
            <w:r w:rsidRPr="004D46AC">
              <w:rPr>
                <w:rFonts w:eastAsia="DengXian"/>
                <w:color w:val="000000"/>
              </w:rPr>
              <w:t>ME--M2</w:t>
            </w:r>
          </w:p>
        </w:tc>
        <w:tc>
          <w:tcPr>
            <w:tcW w:w="1687" w:type="dxa"/>
            <w:vAlign w:val="center"/>
          </w:tcPr>
          <w:p w14:paraId="66E2870E"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1B640F29"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68A66106"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51E507C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2680881" w14:textId="77777777" w:rsidTr="00B518F1">
        <w:tc>
          <w:tcPr>
            <w:tcW w:w="1434" w:type="dxa"/>
            <w:vAlign w:val="center"/>
          </w:tcPr>
          <w:p w14:paraId="18C2770F" w14:textId="77777777" w:rsidR="007075D9" w:rsidRPr="004D46AC" w:rsidRDefault="007075D9" w:rsidP="00CE2F7A">
            <w:pPr>
              <w:spacing w:line="240" w:lineRule="auto"/>
              <w:ind w:firstLine="0"/>
              <w:rPr>
                <w:b/>
                <w:bCs/>
                <w:i/>
                <w:iCs/>
              </w:rPr>
            </w:pPr>
            <w:r w:rsidRPr="004D46AC">
              <w:rPr>
                <w:rFonts w:eastAsia="DengXian"/>
                <w:color w:val="000000"/>
              </w:rPr>
              <w:t>P4--N1</w:t>
            </w:r>
          </w:p>
        </w:tc>
        <w:tc>
          <w:tcPr>
            <w:tcW w:w="1687" w:type="dxa"/>
            <w:vAlign w:val="center"/>
          </w:tcPr>
          <w:p w14:paraId="775E31E5"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73AD07EA"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5015813C"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640BC3E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8A7D7E7" w14:textId="77777777" w:rsidTr="00B518F1">
        <w:tc>
          <w:tcPr>
            <w:tcW w:w="1434" w:type="dxa"/>
            <w:vAlign w:val="center"/>
          </w:tcPr>
          <w:p w14:paraId="5C1B198C" w14:textId="77777777" w:rsidR="007075D9" w:rsidRPr="004D46AC" w:rsidRDefault="007075D9" w:rsidP="00CE2F7A">
            <w:pPr>
              <w:spacing w:line="240" w:lineRule="auto"/>
              <w:ind w:firstLine="0"/>
              <w:rPr>
                <w:b/>
                <w:bCs/>
                <w:i/>
                <w:iCs/>
              </w:rPr>
            </w:pPr>
            <w:r w:rsidRPr="004D46AC">
              <w:rPr>
                <w:rFonts w:eastAsia="DengXian"/>
                <w:color w:val="000000"/>
              </w:rPr>
              <w:t>N1--ME</w:t>
            </w:r>
          </w:p>
        </w:tc>
        <w:tc>
          <w:tcPr>
            <w:tcW w:w="1687" w:type="dxa"/>
            <w:vAlign w:val="center"/>
          </w:tcPr>
          <w:p w14:paraId="16B00427"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799BFC0B"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702134D1"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44F43BD3" w14:textId="77777777" w:rsidR="007075D9" w:rsidRPr="004D46AC" w:rsidRDefault="007075D9" w:rsidP="00CE2F7A">
            <w:pPr>
              <w:spacing w:line="240" w:lineRule="auto"/>
              <w:ind w:firstLine="0"/>
              <w:rPr>
                <w:b/>
                <w:bCs/>
                <w:i/>
                <w:iCs/>
              </w:rPr>
            </w:pPr>
            <w:r w:rsidRPr="004D46AC">
              <w:rPr>
                <w:color w:val="000000"/>
              </w:rPr>
              <w:t xml:space="preserve">0.00 </w:t>
            </w:r>
          </w:p>
        </w:tc>
      </w:tr>
    </w:tbl>
    <w:p w14:paraId="0A12B959" w14:textId="77777777" w:rsidR="007075D9" w:rsidRPr="004D46AC" w:rsidRDefault="007075D9" w:rsidP="00CE2F7A">
      <w:pPr>
        <w:spacing w:line="240" w:lineRule="auto"/>
        <w:ind w:firstLine="0"/>
      </w:pPr>
      <w:r w:rsidRPr="004D46AC">
        <w:rPr>
          <w:i/>
          <w:iCs/>
        </w:rPr>
        <w:t>Note</w:t>
      </w:r>
      <w:r w:rsidRPr="004D46AC">
        <w:t>. The value represents the edge weight of the network in all participants of the group, and the BCI (lower-upper) indicates the confidence intervals of the edge in the bootstrapped networks. The P0 represents the estimated rate at which the edge weight is zero in the bootstrapped sample. Edges with a non-zero weight in more than 70% of the bootstrapped networks were selected to be presented in this table.</w:t>
      </w:r>
    </w:p>
    <w:p w14:paraId="0CEE6470" w14:textId="77777777" w:rsidR="009050EB" w:rsidRPr="004D46AC" w:rsidRDefault="009050EB" w:rsidP="009050EB">
      <w:pPr>
        <w:pStyle w:val="afff0"/>
        <w:ind w:firstLine="0"/>
        <w:rPr>
          <w:rFonts w:eastAsiaTheme="minorEastAsia"/>
        </w:rPr>
      </w:pPr>
    </w:p>
    <w:p w14:paraId="5BA3C12F" w14:textId="77777777" w:rsidR="00CC3324" w:rsidRPr="004D46AC" w:rsidRDefault="00CC3324" w:rsidP="00CC3324">
      <w:pPr>
        <w:rPr>
          <w:rFonts w:eastAsiaTheme="minorEastAsia"/>
        </w:rPr>
      </w:pPr>
    </w:p>
    <w:p w14:paraId="3DAA5BAC" w14:textId="77777777" w:rsidR="00CC3324" w:rsidRPr="004D46AC" w:rsidRDefault="00CC3324" w:rsidP="00CC3324">
      <w:pPr>
        <w:rPr>
          <w:rFonts w:eastAsiaTheme="minorEastAsia"/>
        </w:rPr>
      </w:pPr>
    </w:p>
    <w:p w14:paraId="46DACB75" w14:textId="77777777" w:rsidR="00CC3324" w:rsidRPr="004D46AC" w:rsidRDefault="00CC3324" w:rsidP="00CC3324">
      <w:pPr>
        <w:rPr>
          <w:rFonts w:eastAsiaTheme="minorEastAsia"/>
        </w:rPr>
      </w:pPr>
    </w:p>
    <w:p w14:paraId="151EACBD" w14:textId="77777777" w:rsidR="00CC3324" w:rsidRPr="004D46AC" w:rsidRDefault="00CC3324" w:rsidP="00CC3324">
      <w:pPr>
        <w:rPr>
          <w:rFonts w:eastAsiaTheme="minorEastAsia"/>
        </w:rPr>
      </w:pPr>
    </w:p>
    <w:p w14:paraId="21F07C38" w14:textId="77777777" w:rsidR="00CC3324" w:rsidRPr="004D46AC" w:rsidRDefault="00CC3324" w:rsidP="00CC3324">
      <w:pPr>
        <w:rPr>
          <w:rFonts w:eastAsiaTheme="minorEastAsia"/>
        </w:rPr>
      </w:pPr>
    </w:p>
    <w:p w14:paraId="4C48F6AC" w14:textId="77777777" w:rsidR="00CC3324" w:rsidRPr="004D46AC" w:rsidRDefault="00CC3324" w:rsidP="00CC3324">
      <w:pPr>
        <w:rPr>
          <w:rFonts w:eastAsiaTheme="minorEastAsia"/>
        </w:rPr>
      </w:pPr>
    </w:p>
    <w:p w14:paraId="7FFC7101" w14:textId="77777777" w:rsidR="00CC3324" w:rsidRPr="004D46AC" w:rsidRDefault="00CC3324" w:rsidP="00CC3324">
      <w:pPr>
        <w:rPr>
          <w:rFonts w:eastAsiaTheme="minorEastAsia"/>
        </w:rPr>
      </w:pPr>
    </w:p>
    <w:p w14:paraId="0BF8CCFA" w14:textId="77777777" w:rsidR="00CC3324" w:rsidRPr="004D46AC" w:rsidRDefault="00CC3324" w:rsidP="00CC3324">
      <w:pPr>
        <w:rPr>
          <w:rFonts w:eastAsiaTheme="minorEastAsia"/>
        </w:rPr>
      </w:pPr>
    </w:p>
    <w:p w14:paraId="3A75A145" w14:textId="77777777" w:rsidR="00CC3324" w:rsidRPr="004D46AC" w:rsidRDefault="00CC3324" w:rsidP="00CC3324">
      <w:pPr>
        <w:rPr>
          <w:rFonts w:eastAsiaTheme="minorEastAsia"/>
        </w:rPr>
      </w:pPr>
    </w:p>
    <w:p w14:paraId="3F70606A" w14:textId="77777777" w:rsidR="00CC3324" w:rsidRPr="004D46AC" w:rsidRDefault="00CC3324" w:rsidP="00CC3324">
      <w:pPr>
        <w:rPr>
          <w:rFonts w:eastAsiaTheme="minorEastAsia"/>
        </w:rPr>
      </w:pPr>
    </w:p>
    <w:p w14:paraId="1B9F95C3" w14:textId="77777777" w:rsidR="00CC3324" w:rsidRPr="004D46AC" w:rsidRDefault="00CC3324" w:rsidP="00CC3324">
      <w:pPr>
        <w:rPr>
          <w:rFonts w:eastAsiaTheme="minorEastAsia"/>
        </w:rPr>
      </w:pPr>
    </w:p>
    <w:p w14:paraId="5ECE0C6A" w14:textId="77777777" w:rsidR="00CC3324" w:rsidRPr="004D46AC" w:rsidRDefault="00CC3324" w:rsidP="00CC3324">
      <w:pPr>
        <w:rPr>
          <w:rFonts w:eastAsiaTheme="minorEastAsia"/>
        </w:rPr>
      </w:pPr>
    </w:p>
    <w:p w14:paraId="3E7CD8D2" w14:textId="77777777" w:rsidR="00CC3324" w:rsidRPr="004D46AC" w:rsidRDefault="00CC3324" w:rsidP="00CC3324">
      <w:pPr>
        <w:rPr>
          <w:rFonts w:eastAsiaTheme="minorEastAsia"/>
        </w:rPr>
      </w:pPr>
    </w:p>
    <w:p w14:paraId="6E9C2AC6" w14:textId="77777777" w:rsidR="00CC3324" w:rsidRPr="004D46AC" w:rsidRDefault="00CC3324" w:rsidP="00CC3324">
      <w:pPr>
        <w:rPr>
          <w:rFonts w:eastAsiaTheme="minorEastAsia"/>
        </w:rPr>
      </w:pPr>
    </w:p>
    <w:p w14:paraId="47AE0C33" w14:textId="77777777" w:rsidR="00CC3324" w:rsidRPr="004D46AC" w:rsidRDefault="00CC3324" w:rsidP="00CC3324">
      <w:pPr>
        <w:rPr>
          <w:rFonts w:eastAsiaTheme="minorEastAsia"/>
        </w:rPr>
      </w:pPr>
    </w:p>
    <w:p w14:paraId="38BE030F" w14:textId="77777777" w:rsidR="00CC3324" w:rsidRPr="004D46AC" w:rsidRDefault="00CC3324" w:rsidP="00CC3324">
      <w:pPr>
        <w:rPr>
          <w:rFonts w:eastAsiaTheme="minorEastAsia"/>
        </w:rPr>
      </w:pPr>
    </w:p>
    <w:p w14:paraId="402FD2DD" w14:textId="77777777" w:rsidR="00CC3324" w:rsidRPr="004D46AC" w:rsidRDefault="00CC3324" w:rsidP="00CC3324">
      <w:pPr>
        <w:rPr>
          <w:rFonts w:eastAsiaTheme="minorEastAsia"/>
        </w:rPr>
      </w:pPr>
    </w:p>
    <w:p w14:paraId="30B185B6" w14:textId="77777777" w:rsidR="00CC3324" w:rsidRPr="004D46AC" w:rsidRDefault="00CC3324" w:rsidP="00CC3324">
      <w:pPr>
        <w:rPr>
          <w:rFonts w:eastAsiaTheme="minorEastAsia"/>
        </w:rPr>
      </w:pPr>
    </w:p>
    <w:p w14:paraId="7C24C176" w14:textId="77777777" w:rsidR="00CC3324" w:rsidRPr="004D46AC" w:rsidRDefault="00CC3324" w:rsidP="00CC3324">
      <w:pPr>
        <w:rPr>
          <w:rFonts w:eastAsiaTheme="minorEastAsia"/>
        </w:rPr>
      </w:pPr>
    </w:p>
    <w:p w14:paraId="0B5D4B8D" w14:textId="3E115F4B" w:rsidR="007075D9" w:rsidRPr="004D46AC" w:rsidRDefault="009050EB" w:rsidP="009050EB">
      <w:pPr>
        <w:pStyle w:val="afff0"/>
        <w:spacing w:after="0"/>
        <w:ind w:firstLine="0"/>
        <w:rPr>
          <w:rFonts w:eastAsiaTheme="minorEastAsia"/>
          <w:b/>
          <w:bCs/>
          <w:i w:val="0"/>
          <w:iCs w:val="0"/>
          <w:color w:val="auto"/>
          <w:sz w:val="22"/>
          <w:szCs w:val="22"/>
        </w:rPr>
      </w:pPr>
      <w:bookmarkStart w:id="381" w:name="_Toc219870637"/>
      <w:bookmarkStart w:id="382" w:name="_Toc219885508"/>
      <w:r w:rsidRPr="004D46AC">
        <w:rPr>
          <w:b/>
          <w:bCs/>
          <w:i w:val="0"/>
          <w:iCs w:val="0"/>
          <w:color w:val="auto"/>
          <w:sz w:val="22"/>
          <w:szCs w:val="22"/>
        </w:rPr>
        <w:lastRenderedPageBreak/>
        <w:t xml:space="preserve">Table C </w:t>
      </w:r>
      <w:r w:rsidRPr="004D46AC">
        <w:rPr>
          <w:b/>
          <w:bCs/>
          <w:i w:val="0"/>
          <w:iCs w:val="0"/>
          <w:color w:val="auto"/>
          <w:sz w:val="22"/>
          <w:szCs w:val="22"/>
        </w:rPr>
        <w:fldChar w:fldCharType="begin"/>
      </w:r>
      <w:r w:rsidRPr="004D46AC">
        <w:rPr>
          <w:b/>
          <w:bCs/>
          <w:i w:val="0"/>
          <w:iCs w:val="0"/>
          <w:color w:val="auto"/>
          <w:sz w:val="22"/>
          <w:szCs w:val="22"/>
        </w:rPr>
        <w:instrText xml:space="preserve"> SEQ Table_C \* ARABIC </w:instrText>
      </w:r>
      <w:r w:rsidRPr="004D46AC">
        <w:rPr>
          <w:b/>
          <w:bCs/>
          <w:i w:val="0"/>
          <w:iCs w:val="0"/>
          <w:color w:val="auto"/>
          <w:sz w:val="22"/>
          <w:szCs w:val="22"/>
        </w:rPr>
        <w:fldChar w:fldCharType="separate"/>
      </w:r>
      <w:r w:rsidRPr="004D46AC">
        <w:rPr>
          <w:b/>
          <w:bCs/>
          <w:i w:val="0"/>
          <w:iCs w:val="0"/>
          <w:noProof/>
          <w:color w:val="auto"/>
          <w:sz w:val="22"/>
          <w:szCs w:val="22"/>
        </w:rPr>
        <w:t>5</w:t>
      </w:r>
      <w:bookmarkEnd w:id="381"/>
      <w:bookmarkEnd w:id="382"/>
      <w:r w:rsidRPr="004D46AC">
        <w:rPr>
          <w:b/>
          <w:bCs/>
          <w:i w:val="0"/>
          <w:iCs w:val="0"/>
          <w:color w:val="auto"/>
          <w:sz w:val="22"/>
          <w:szCs w:val="22"/>
        </w:rPr>
        <w:fldChar w:fldCharType="end"/>
      </w:r>
    </w:p>
    <w:p w14:paraId="152806E3" w14:textId="77777777" w:rsidR="007075D9" w:rsidRPr="004D46AC" w:rsidRDefault="007075D9" w:rsidP="00CE2F7A">
      <w:pPr>
        <w:spacing w:line="240" w:lineRule="auto"/>
        <w:ind w:firstLine="0"/>
        <w:rPr>
          <w:i/>
          <w:iCs/>
        </w:rPr>
      </w:pPr>
      <w:r w:rsidRPr="004D46AC">
        <w:rPr>
          <w:i/>
          <w:iCs/>
        </w:rPr>
        <w:t>The ordered edge statistics of the edges with non-zero weight in network of PBD patients</w:t>
      </w:r>
    </w:p>
    <w:tbl>
      <w:tblPr>
        <w:tblStyle w:val="afc"/>
        <w:tblW w:w="7938" w:type="dxa"/>
        <w:tblLook w:val="04A0" w:firstRow="1" w:lastRow="0" w:firstColumn="1" w:lastColumn="0" w:noHBand="0" w:noVBand="1"/>
      </w:tblPr>
      <w:tblGrid>
        <w:gridCol w:w="1564"/>
        <w:gridCol w:w="1603"/>
        <w:gridCol w:w="1603"/>
        <w:gridCol w:w="1603"/>
        <w:gridCol w:w="1565"/>
      </w:tblGrid>
      <w:tr w:rsidR="007075D9" w:rsidRPr="004D46AC" w14:paraId="75E10A50" w14:textId="77777777" w:rsidTr="00B518F1">
        <w:tc>
          <w:tcPr>
            <w:tcW w:w="1564" w:type="dxa"/>
            <w:vAlign w:val="center"/>
          </w:tcPr>
          <w:p w14:paraId="3B9D01D1" w14:textId="77777777" w:rsidR="007075D9" w:rsidRPr="004D46AC" w:rsidRDefault="007075D9" w:rsidP="00CE2F7A">
            <w:pPr>
              <w:spacing w:line="240" w:lineRule="auto"/>
              <w:ind w:firstLine="0"/>
              <w:rPr>
                <w:b/>
                <w:bCs/>
                <w:i/>
                <w:iCs/>
              </w:rPr>
            </w:pPr>
            <w:r w:rsidRPr="004D46AC">
              <w:rPr>
                <w:rFonts w:eastAsia="DengXian"/>
                <w:b/>
                <w:bCs/>
                <w:color w:val="000000"/>
              </w:rPr>
              <w:t>Edge</w:t>
            </w:r>
          </w:p>
        </w:tc>
        <w:tc>
          <w:tcPr>
            <w:tcW w:w="1603" w:type="dxa"/>
            <w:vAlign w:val="center"/>
          </w:tcPr>
          <w:p w14:paraId="115B701E" w14:textId="77777777" w:rsidR="007075D9" w:rsidRPr="004D46AC" w:rsidRDefault="007075D9" w:rsidP="00CE2F7A">
            <w:pPr>
              <w:spacing w:line="240" w:lineRule="auto"/>
              <w:ind w:firstLine="0"/>
              <w:rPr>
                <w:b/>
                <w:bCs/>
                <w:i/>
                <w:iCs/>
              </w:rPr>
            </w:pPr>
            <w:r w:rsidRPr="004D46AC">
              <w:rPr>
                <w:b/>
                <w:bCs/>
                <w:i/>
                <w:iCs/>
              </w:rPr>
              <w:t>Weight</w:t>
            </w:r>
          </w:p>
        </w:tc>
        <w:tc>
          <w:tcPr>
            <w:tcW w:w="1603" w:type="dxa"/>
            <w:vAlign w:val="center"/>
          </w:tcPr>
          <w:p w14:paraId="7BE8E36B" w14:textId="77777777" w:rsidR="007075D9" w:rsidRPr="004D46AC" w:rsidRDefault="007075D9" w:rsidP="00CE2F7A">
            <w:pPr>
              <w:spacing w:line="240" w:lineRule="auto"/>
              <w:ind w:firstLine="0"/>
              <w:rPr>
                <w:b/>
                <w:bCs/>
                <w:i/>
                <w:iCs/>
              </w:rPr>
            </w:pPr>
            <w:r w:rsidRPr="004D46AC">
              <w:rPr>
                <w:rFonts w:eastAsia="DengXian"/>
                <w:b/>
                <w:bCs/>
                <w:i/>
                <w:iCs/>
                <w:color w:val="000000"/>
              </w:rPr>
              <w:t>BCI</w:t>
            </w:r>
            <w:r w:rsidRPr="004D46AC">
              <w:rPr>
                <w:rFonts w:eastAsia="DengXian"/>
                <w:b/>
                <w:bCs/>
                <w:color w:val="000000"/>
              </w:rPr>
              <w:t xml:space="preserve"> (lower)</w:t>
            </w:r>
          </w:p>
        </w:tc>
        <w:tc>
          <w:tcPr>
            <w:tcW w:w="1603" w:type="dxa"/>
            <w:vAlign w:val="center"/>
          </w:tcPr>
          <w:p w14:paraId="30698CBD" w14:textId="77777777" w:rsidR="007075D9" w:rsidRPr="004D46AC" w:rsidRDefault="007075D9" w:rsidP="00CE2F7A">
            <w:pPr>
              <w:spacing w:line="240" w:lineRule="auto"/>
              <w:ind w:firstLine="0"/>
              <w:rPr>
                <w:b/>
                <w:bCs/>
                <w:i/>
                <w:iCs/>
              </w:rPr>
            </w:pPr>
            <w:r w:rsidRPr="004D46AC">
              <w:rPr>
                <w:rFonts w:eastAsia="DengXian"/>
                <w:b/>
                <w:bCs/>
                <w:i/>
                <w:iCs/>
                <w:color w:val="000000"/>
              </w:rPr>
              <w:t>BCI</w:t>
            </w:r>
            <w:r w:rsidRPr="004D46AC">
              <w:rPr>
                <w:rFonts w:eastAsia="DengXian"/>
                <w:b/>
                <w:bCs/>
                <w:color w:val="000000"/>
              </w:rPr>
              <w:t xml:space="preserve"> (upper)</w:t>
            </w:r>
          </w:p>
        </w:tc>
        <w:tc>
          <w:tcPr>
            <w:tcW w:w="1565" w:type="dxa"/>
            <w:vAlign w:val="center"/>
          </w:tcPr>
          <w:p w14:paraId="5C48F4B7" w14:textId="77777777" w:rsidR="007075D9" w:rsidRPr="004D46AC" w:rsidRDefault="007075D9" w:rsidP="00CE2F7A">
            <w:pPr>
              <w:spacing w:line="240" w:lineRule="auto"/>
              <w:ind w:firstLine="0"/>
              <w:rPr>
                <w:b/>
                <w:bCs/>
                <w:i/>
                <w:iCs/>
              </w:rPr>
            </w:pPr>
            <w:r w:rsidRPr="004D46AC">
              <w:rPr>
                <w:rFonts w:eastAsia="DengXian"/>
                <w:b/>
                <w:bCs/>
                <w:i/>
                <w:iCs/>
                <w:color w:val="000000"/>
              </w:rPr>
              <w:t>P0</w:t>
            </w:r>
          </w:p>
        </w:tc>
      </w:tr>
      <w:tr w:rsidR="007075D9" w:rsidRPr="004D46AC" w14:paraId="5403E3B9" w14:textId="77777777" w:rsidTr="00B518F1">
        <w:tc>
          <w:tcPr>
            <w:tcW w:w="1564" w:type="dxa"/>
            <w:vAlign w:val="center"/>
          </w:tcPr>
          <w:p w14:paraId="5555863D" w14:textId="77777777" w:rsidR="007075D9" w:rsidRPr="004D46AC" w:rsidRDefault="007075D9" w:rsidP="00CE2F7A">
            <w:pPr>
              <w:spacing w:line="240" w:lineRule="auto"/>
              <w:ind w:firstLine="0"/>
              <w:rPr>
                <w:b/>
                <w:bCs/>
                <w:i/>
                <w:iCs/>
              </w:rPr>
            </w:pPr>
            <w:r w:rsidRPr="004D46AC">
              <w:rPr>
                <w:rFonts w:eastAsia="DengXian"/>
                <w:color w:val="000000"/>
              </w:rPr>
              <w:t>N1--RC</w:t>
            </w:r>
          </w:p>
        </w:tc>
        <w:tc>
          <w:tcPr>
            <w:tcW w:w="1603" w:type="dxa"/>
            <w:vAlign w:val="center"/>
          </w:tcPr>
          <w:p w14:paraId="4D0BB0A5" w14:textId="77777777" w:rsidR="007075D9" w:rsidRPr="004D46AC" w:rsidRDefault="007075D9" w:rsidP="00CE2F7A">
            <w:pPr>
              <w:spacing w:line="240" w:lineRule="auto"/>
              <w:ind w:firstLine="0"/>
              <w:rPr>
                <w:b/>
                <w:bCs/>
                <w:i/>
                <w:iCs/>
              </w:rPr>
            </w:pPr>
            <w:r w:rsidRPr="004D46AC">
              <w:rPr>
                <w:color w:val="000000"/>
              </w:rPr>
              <w:t xml:space="preserve">0.39 </w:t>
            </w:r>
          </w:p>
        </w:tc>
        <w:tc>
          <w:tcPr>
            <w:tcW w:w="1603" w:type="dxa"/>
            <w:vAlign w:val="center"/>
          </w:tcPr>
          <w:p w14:paraId="548485A7" w14:textId="77777777" w:rsidR="007075D9" w:rsidRPr="004D46AC" w:rsidRDefault="007075D9" w:rsidP="00CE2F7A">
            <w:pPr>
              <w:spacing w:line="240" w:lineRule="auto"/>
              <w:ind w:firstLine="0"/>
              <w:rPr>
                <w:b/>
                <w:bCs/>
                <w:i/>
                <w:iCs/>
              </w:rPr>
            </w:pPr>
            <w:r w:rsidRPr="004D46AC">
              <w:rPr>
                <w:color w:val="000000"/>
              </w:rPr>
              <w:t xml:space="preserve">0.31 </w:t>
            </w:r>
          </w:p>
        </w:tc>
        <w:tc>
          <w:tcPr>
            <w:tcW w:w="1603" w:type="dxa"/>
            <w:vAlign w:val="center"/>
          </w:tcPr>
          <w:p w14:paraId="7B083E17" w14:textId="77777777" w:rsidR="007075D9" w:rsidRPr="004D46AC" w:rsidRDefault="007075D9" w:rsidP="00CE2F7A">
            <w:pPr>
              <w:spacing w:line="240" w:lineRule="auto"/>
              <w:ind w:firstLine="0"/>
              <w:rPr>
                <w:b/>
                <w:bCs/>
                <w:i/>
                <w:iCs/>
              </w:rPr>
            </w:pPr>
            <w:r w:rsidRPr="004D46AC">
              <w:rPr>
                <w:color w:val="000000"/>
              </w:rPr>
              <w:t xml:space="preserve">0.47 </w:t>
            </w:r>
          </w:p>
        </w:tc>
        <w:tc>
          <w:tcPr>
            <w:tcW w:w="1565" w:type="dxa"/>
            <w:vAlign w:val="center"/>
          </w:tcPr>
          <w:p w14:paraId="0643042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F4CC579" w14:textId="77777777" w:rsidTr="00B518F1">
        <w:tc>
          <w:tcPr>
            <w:tcW w:w="1564" w:type="dxa"/>
            <w:vAlign w:val="center"/>
          </w:tcPr>
          <w:p w14:paraId="344424F2" w14:textId="77777777" w:rsidR="007075D9" w:rsidRPr="004D46AC" w:rsidRDefault="007075D9" w:rsidP="00CE2F7A">
            <w:pPr>
              <w:spacing w:line="240" w:lineRule="auto"/>
              <w:ind w:firstLine="0"/>
              <w:rPr>
                <w:b/>
                <w:bCs/>
                <w:i/>
                <w:iCs/>
              </w:rPr>
            </w:pPr>
            <w:r w:rsidRPr="004D46AC">
              <w:rPr>
                <w:rFonts w:eastAsia="DengXian"/>
                <w:color w:val="000000"/>
              </w:rPr>
              <w:t>ME--Y6</w:t>
            </w:r>
          </w:p>
        </w:tc>
        <w:tc>
          <w:tcPr>
            <w:tcW w:w="1603" w:type="dxa"/>
            <w:vAlign w:val="center"/>
          </w:tcPr>
          <w:p w14:paraId="354A319B" w14:textId="77777777" w:rsidR="007075D9" w:rsidRPr="004D46AC" w:rsidRDefault="007075D9" w:rsidP="00CE2F7A">
            <w:pPr>
              <w:spacing w:line="240" w:lineRule="auto"/>
              <w:ind w:firstLine="0"/>
              <w:rPr>
                <w:b/>
                <w:bCs/>
                <w:i/>
                <w:iCs/>
              </w:rPr>
            </w:pPr>
            <w:r w:rsidRPr="004D46AC">
              <w:rPr>
                <w:color w:val="000000"/>
              </w:rPr>
              <w:t xml:space="preserve">0.31 </w:t>
            </w:r>
          </w:p>
        </w:tc>
        <w:tc>
          <w:tcPr>
            <w:tcW w:w="1603" w:type="dxa"/>
            <w:vAlign w:val="center"/>
          </w:tcPr>
          <w:p w14:paraId="7A5DCB0A" w14:textId="77777777" w:rsidR="007075D9" w:rsidRPr="004D46AC" w:rsidRDefault="007075D9" w:rsidP="00CE2F7A">
            <w:pPr>
              <w:spacing w:line="240" w:lineRule="auto"/>
              <w:ind w:firstLine="0"/>
              <w:rPr>
                <w:b/>
                <w:bCs/>
                <w:i/>
                <w:iCs/>
              </w:rPr>
            </w:pPr>
            <w:r w:rsidRPr="004D46AC">
              <w:rPr>
                <w:color w:val="000000"/>
              </w:rPr>
              <w:t xml:space="preserve">0.23 </w:t>
            </w:r>
          </w:p>
        </w:tc>
        <w:tc>
          <w:tcPr>
            <w:tcW w:w="1603" w:type="dxa"/>
            <w:vAlign w:val="center"/>
          </w:tcPr>
          <w:p w14:paraId="7B4346A0" w14:textId="77777777" w:rsidR="007075D9" w:rsidRPr="004D46AC" w:rsidRDefault="007075D9" w:rsidP="00CE2F7A">
            <w:pPr>
              <w:spacing w:line="240" w:lineRule="auto"/>
              <w:ind w:firstLine="0"/>
              <w:rPr>
                <w:b/>
                <w:bCs/>
                <w:i/>
                <w:iCs/>
              </w:rPr>
            </w:pPr>
            <w:r w:rsidRPr="004D46AC">
              <w:rPr>
                <w:color w:val="000000"/>
              </w:rPr>
              <w:t xml:space="preserve">0.39 </w:t>
            </w:r>
          </w:p>
        </w:tc>
        <w:tc>
          <w:tcPr>
            <w:tcW w:w="1565" w:type="dxa"/>
            <w:vAlign w:val="center"/>
          </w:tcPr>
          <w:p w14:paraId="5EF95C0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EA1A110" w14:textId="77777777" w:rsidTr="00B518F1">
        <w:tc>
          <w:tcPr>
            <w:tcW w:w="1564" w:type="dxa"/>
            <w:vAlign w:val="center"/>
          </w:tcPr>
          <w:p w14:paraId="5F4084A1" w14:textId="77777777" w:rsidR="007075D9" w:rsidRPr="004D46AC" w:rsidRDefault="007075D9" w:rsidP="00CE2F7A">
            <w:pPr>
              <w:spacing w:line="240" w:lineRule="auto"/>
              <w:ind w:firstLine="0"/>
              <w:rPr>
                <w:b/>
                <w:bCs/>
                <w:i/>
                <w:iCs/>
              </w:rPr>
            </w:pPr>
            <w:r w:rsidRPr="004D46AC">
              <w:rPr>
                <w:rFonts w:eastAsia="DengXian"/>
                <w:color w:val="000000"/>
              </w:rPr>
              <w:t>P2--N7</w:t>
            </w:r>
          </w:p>
        </w:tc>
        <w:tc>
          <w:tcPr>
            <w:tcW w:w="1603" w:type="dxa"/>
            <w:vAlign w:val="center"/>
          </w:tcPr>
          <w:p w14:paraId="492CEDE1" w14:textId="77777777" w:rsidR="007075D9" w:rsidRPr="004D46AC" w:rsidRDefault="007075D9" w:rsidP="00CE2F7A">
            <w:pPr>
              <w:spacing w:line="240" w:lineRule="auto"/>
              <w:ind w:firstLine="0"/>
              <w:rPr>
                <w:b/>
                <w:bCs/>
                <w:i/>
                <w:iCs/>
              </w:rPr>
            </w:pPr>
            <w:r w:rsidRPr="004D46AC">
              <w:rPr>
                <w:color w:val="000000"/>
              </w:rPr>
              <w:t xml:space="preserve">0.29 </w:t>
            </w:r>
          </w:p>
        </w:tc>
        <w:tc>
          <w:tcPr>
            <w:tcW w:w="1603" w:type="dxa"/>
            <w:vAlign w:val="center"/>
          </w:tcPr>
          <w:p w14:paraId="5BAE9EF6" w14:textId="77777777" w:rsidR="007075D9" w:rsidRPr="004D46AC" w:rsidRDefault="007075D9" w:rsidP="00CE2F7A">
            <w:pPr>
              <w:spacing w:line="240" w:lineRule="auto"/>
              <w:ind w:firstLine="0"/>
              <w:rPr>
                <w:b/>
                <w:bCs/>
                <w:i/>
                <w:iCs/>
              </w:rPr>
            </w:pPr>
            <w:r w:rsidRPr="004D46AC">
              <w:rPr>
                <w:color w:val="000000"/>
              </w:rPr>
              <w:t xml:space="preserve">0.21 </w:t>
            </w:r>
          </w:p>
        </w:tc>
        <w:tc>
          <w:tcPr>
            <w:tcW w:w="1603" w:type="dxa"/>
            <w:vAlign w:val="center"/>
          </w:tcPr>
          <w:p w14:paraId="5515357B" w14:textId="77777777" w:rsidR="007075D9" w:rsidRPr="004D46AC" w:rsidRDefault="007075D9" w:rsidP="00CE2F7A">
            <w:pPr>
              <w:spacing w:line="240" w:lineRule="auto"/>
              <w:ind w:firstLine="0"/>
              <w:rPr>
                <w:b/>
                <w:bCs/>
                <w:i/>
                <w:iCs/>
              </w:rPr>
            </w:pPr>
            <w:r w:rsidRPr="004D46AC">
              <w:rPr>
                <w:color w:val="000000"/>
              </w:rPr>
              <w:t xml:space="preserve">0.36 </w:t>
            </w:r>
          </w:p>
        </w:tc>
        <w:tc>
          <w:tcPr>
            <w:tcW w:w="1565" w:type="dxa"/>
            <w:vAlign w:val="center"/>
          </w:tcPr>
          <w:p w14:paraId="29B1A20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8F6B141" w14:textId="77777777" w:rsidTr="00B518F1">
        <w:tc>
          <w:tcPr>
            <w:tcW w:w="1564" w:type="dxa"/>
            <w:vAlign w:val="center"/>
          </w:tcPr>
          <w:p w14:paraId="39ACB755" w14:textId="77777777" w:rsidR="007075D9" w:rsidRPr="004D46AC" w:rsidRDefault="007075D9" w:rsidP="00CE2F7A">
            <w:pPr>
              <w:spacing w:line="240" w:lineRule="auto"/>
              <w:ind w:firstLine="0"/>
              <w:rPr>
                <w:b/>
                <w:bCs/>
                <w:i/>
                <w:iCs/>
              </w:rPr>
            </w:pPr>
            <w:r w:rsidRPr="004D46AC">
              <w:rPr>
                <w:rFonts w:eastAsia="DengXian"/>
                <w:color w:val="000000"/>
              </w:rPr>
              <w:t>WD--M8</w:t>
            </w:r>
          </w:p>
        </w:tc>
        <w:tc>
          <w:tcPr>
            <w:tcW w:w="1603" w:type="dxa"/>
            <w:vAlign w:val="center"/>
          </w:tcPr>
          <w:p w14:paraId="32020D86" w14:textId="77777777" w:rsidR="007075D9" w:rsidRPr="004D46AC" w:rsidRDefault="007075D9" w:rsidP="00CE2F7A">
            <w:pPr>
              <w:spacing w:line="240" w:lineRule="auto"/>
              <w:ind w:firstLine="0"/>
              <w:rPr>
                <w:b/>
                <w:bCs/>
                <w:i/>
                <w:iCs/>
              </w:rPr>
            </w:pPr>
            <w:r w:rsidRPr="004D46AC">
              <w:rPr>
                <w:color w:val="000000"/>
              </w:rPr>
              <w:t xml:space="preserve">0.28 </w:t>
            </w:r>
          </w:p>
        </w:tc>
        <w:tc>
          <w:tcPr>
            <w:tcW w:w="1603" w:type="dxa"/>
            <w:vAlign w:val="center"/>
          </w:tcPr>
          <w:p w14:paraId="13CD98C3" w14:textId="77777777" w:rsidR="007075D9" w:rsidRPr="004D46AC" w:rsidRDefault="007075D9" w:rsidP="00CE2F7A">
            <w:pPr>
              <w:spacing w:line="240" w:lineRule="auto"/>
              <w:ind w:firstLine="0"/>
              <w:rPr>
                <w:b/>
                <w:bCs/>
                <w:i/>
                <w:iCs/>
              </w:rPr>
            </w:pPr>
            <w:r w:rsidRPr="004D46AC">
              <w:rPr>
                <w:color w:val="000000"/>
              </w:rPr>
              <w:t xml:space="preserve">0.21 </w:t>
            </w:r>
          </w:p>
        </w:tc>
        <w:tc>
          <w:tcPr>
            <w:tcW w:w="1603" w:type="dxa"/>
            <w:vAlign w:val="center"/>
          </w:tcPr>
          <w:p w14:paraId="516A2477" w14:textId="77777777" w:rsidR="007075D9" w:rsidRPr="004D46AC" w:rsidRDefault="007075D9" w:rsidP="00CE2F7A">
            <w:pPr>
              <w:spacing w:line="240" w:lineRule="auto"/>
              <w:ind w:firstLine="0"/>
              <w:rPr>
                <w:b/>
                <w:bCs/>
                <w:i/>
                <w:iCs/>
              </w:rPr>
            </w:pPr>
            <w:r w:rsidRPr="004D46AC">
              <w:rPr>
                <w:color w:val="000000"/>
              </w:rPr>
              <w:t xml:space="preserve">0.34 </w:t>
            </w:r>
          </w:p>
        </w:tc>
        <w:tc>
          <w:tcPr>
            <w:tcW w:w="1565" w:type="dxa"/>
            <w:vAlign w:val="center"/>
          </w:tcPr>
          <w:p w14:paraId="7005C8D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8B901DF" w14:textId="77777777" w:rsidTr="00B518F1">
        <w:tc>
          <w:tcPr>
            <w:tcW w:w="1564" w:type="dxa"/>
            <w:vAlign w:val="center"/>
          </w:tcPr>
          <w:p w14:paraId="1AFAD9AA" w14:textId="77777777" w:rsidR="007075D9" w:rsidRPr="004D46AC" w:rsidRDefault="007075D9" w:rsidP="00CE2F7A">
            <w:pPr>
              <w:spacing w:line="240" w:lineRule="auto"/>
              <w:ind w:firstLine="0"/>
              <w:rPr>
                <w:b/>
                <w:bCs/>
                <w:i/>
                <w:iCs/>
              </w:rPr>
            </w:pPr>
            <w:r w:rsidRPr="004D46AC">
              <w:rPr>
                <w:rFonts w:eastAsia="DengXian"/>
                <w:color w:val="000000"/>
              </w:rPr>
              <w:t>ME--Y7</w:t>
            </w:r>
          </w:p>
        </w:tc>
        <w:tc>
          <w:tcPr>
            <w:tcW w:w="1603" w:type="dxa"/>
            <w:vAlign w:val="center"/>
          </w:tcPr>
          <w:p w14:paraId="247D1A70" w14:textId="77777777" w:rsidR="007075D9" w:rsidRPr="004D46AC" w:rsidRDefault="007075D9" w:rsidP="00CE2F7A">
            <w:pPr>
              <w:spacing w:line="240" w:lineRule="auto"/>
              <w:ind w:firstLine="0"/>
              <w:rPr>
                <w:b/>
                <w:bCs/>
                <w:i/>
                <w:iCs/>
              </w:rPr>
            </w:pPr>
            <w:r w:rsidRPr="004D46AC">
              <w:rPr>
                <w:color w:val="000000"/>
              </w:rPr>
              <w:t xml:space="preserve">0.23 </w:t>
            </w:r>
          </w:p>
        </w:tc>
        <w:tc>
          <w:tcPr>
            <w:tcW w:w="1603" w:type="dxa"/>
            <w:vAlign w:val="center"/>
          </w:tcPr>
          <w:p w14:paraId="6E6BFFB2" w14:textId="77777777" w:rsidR="007075D9" w:rsidRPr="004D46AC" w:rsidRDefault="007075D9" w:rsidP="00CE2F7A">
            <w:pPr>
              <w:spacing w:line="240" w:lineRule="auto"/>
              <w:ind w:firstLine="0"/>
              <w:rPr>
                <w:b/>
                <w:bCs/>
                <w:i/>
                <w:iCs/>
              </w:rPr>
            </w:pPr>
            <w:r w:rsidRPr="004D46AC">
              <w:rPr>
                <w:color w:val="000000"/>
              </w:rPr>
              <w:t xml:space="preserve">0.15 </w:t>
            </w:r>
          </w:p>
        </w:tc>
        <w:tc>
          <w:tcPr>
            <w:tcW w:w="1603" w:type="dxa"/>
            <w:vAlign w:val="center"/>
          </w:tcPr>
          <w:p w14:paraId="403D34AB" w14:textId="77777777" w:rsidR="007075D9" w:rsidRPr="004D46AC" w:rsidRDefault="007075D9" w:rsidP="00CE2F7A">
            <w:pPr>
              <w:spacing w:line="240" w:lineRule="auto"/>
              <w:ind w:firstLine="0"/>
              <w:rPr>
                <w:b/>
                <w:bCs/>
                <w:i/>
                <w:iCs/>
              </w:rPr>
            </w:pPr>
            <w:r w:rsidRPr="004D46AC">
              <w:rPr>
                <w:color w:val="000000"/>
              </w:rPr>
              <w:t xml:space="preserve">0.31 </w:t>
            </w:r>
          </w:p>
        </w:tc>
        <w:tc>
          <w:tcPr>
            <w:tcW w:w="1565" w:type="dxa"/>
            <w:vAlign w:val="center"/>
          </w:tcPr>
          <w:p w14:paraId="071A584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A71766E" w14:textId="77777777" w:rsidTr="00B518F1">
        <w:tc>
          <w:tcPr>
            <w:tcW w:w="1564" w:type="dxa"/>
            <w:vAlign w:val="center"/>
          </w:tcPr>
          <w:p w14:paraId="0C898156" w14:textId="77777777" w:rsidR="007075D9" w:rsidRPr="004D46AC" w:rsidRDefault="007075D9" w:rsidP="00CE2F7A">
            <w:pPr>
              <w:spacing w:line="240" w:lineRule="auto"/>
              <w:ind w:firstLine="0"/>
              <w:rPr>
                <w:b/>
                <w:bCs/>
                <w:i/>
                <w:iCs/>
              </w:rPr>
            </w:pPr>
            <w:r w:rsidRPr="004D46AC">
              <w:rPr>
                <w:rFonts w:eastAsia="DengXian"/>
                <w:color w:val="000000"/>
              </w:rPr>
              <w:t>M9--M10</w:t>
            </w:r>
          </w:p>
        </w:tc>
        <w:tc>
          <w:tcPr>
            <w:tcW w:w="1603" w:type="dxa"/>
            <w:vAlign w:val="center"/>
          </w:tcPr>
          <w:p w14:paraId="123371FF" w14:textId="77777777" w:rsidR="007075D9" w:rsidRPr="004D46AC" w:rsidRDefault="007075D9" w:rsidP="00CE2F7A">
            <w:pPr>
              <w:spacing w:line="240" w:lineRule="auto"/>
              <w:ind w:firstLine="0"/>
              <w:rPr>
                <w:b/>
                <w:bCs/>
                <w:i/>
                <w:iCs/>
              </w:rPr>
            </w:pPr>
            <w:r w:rsidRPr="004D46AC">
              <w:rPr>
                <w:color w:val="000000"/>
              </w:rPr>
              <w:t xml:space="preserve">0.22 </w:t>
            </w:r>
          </w:p>
        </w:tc>
        <w:tc>
          <w:tcPr>
            <w:tcW w:w="1603" w:type="dxa"/>
            <w:vAlign w:val="center"/>
          </w:tcPr>
          <w:p w14:paraId="5AA90E7D" w14:textId="77777777" w:rsidR="007075D9" w:rsidRPr="004D46AC" w:rsidRDefault="007075D9" w:rsidP="00CE2F7A">
            <w:pPr>
              <w:spacing w:line="240" w:lineRule="auto"/>
              <w:ind w:firstLine="0"/>
              <w:rPr>
                <w:b/>
                <w:bCs/>
                <w:i/>
                <w:iCs/>
              </w:rPr>
            </w:pPr>
            <w:r w:rsidRPr="004D46AC">
              <w:rPr>
                <w:color w:val="000000"/>
              </w:rPr>
              <w:t xml:space="preserve">0.15 </w:t>
            </w:r>
          </w:p>
        </w:tc>
        <w:tc>
          <w:tcPr>
            <w:tcW w:w="1603" w:type="dxa"/>
            <w:vAlign w:val="center"/>
          </w:tcPr>
          <w:p w14:paraId="229DBCDC" w14:textId="77777777" w:rsidR="007075D9" w:rsidRPr="004D46AC" w:rsidRDefault="007075D9" w:rsidP="00CE2F7A">
            <w:pPr>
              <w:spacing w:line="240" w:lineRule="auto"/>
              <w:ind w:firstLine="0"/>
              <w:rPr>
                <w:b/>
                <w:bCs/>
                <w:i/>
                <w:iCs/>
              </w:rPr>
            </w:pPr>
            <w:r w:rsidRPr="004D46AC">
              <w:rPr>
                <w:color w:val="000000"/>
              </w:rPr>
              <w:t xml:space="preserve">0.30 </w:t>
            </w:r>
          </w:p>
        </w:tc>
        <w:tc>
          <w:tcPr>
            <w:tcW w:w="1565" w:type="dxa"/>
            <w:vAlign w:val="center"/>
          </w:tcPr>
          <w:p w14:paraId="1863098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07ED40E" w14:textId="77777777" w:rsidTr="00B518F1">
        <w:tc>
          <w:tcPr>
            <w:tcW w:w="1564" w:type="dxa"/>
            <w:vAlign w:val="center"/>
          </w:tcPr>
          <w:p w14:paraId="5DD93380" w14:textId="77777777" w:rsidR="007075D9" w:rsidRPr="004D46AC" w:rsidRDefault="007075D9" w:rsidP="00CE2F7A">
            <w:pPr>
              <w:spacing w:line="240" w:lineRule="auto"/>
              <w:ind w:firstLine="0"/>
              <w:rPr>
                <w:b/>
                <w:bCs/>
                <w:i/>
                <w:iCs/>
              </w:rPr>
            </w:pPr>
            <w:r w:rsidRPr="004D46AC">
              <w:rPr>
                <w:rFonts w:eastAsia="DengXian"/>
                <w:color w:val="000000"/>
              </w:rPr>
              <w:t>M7--M8</w:t>
            </w:r>
          </w:p>
        </w:tc>
        <w:tc>
          <w:tcPr>
            <w:tcW w:w="1603" w:type="dxa"/>
            <w:vAlign w:val="center"/>
          </w:tcPr>
          <w:p w14:paraId="709991A9" w14:textId="77777777" w:rsidR="007075D9" w:rsidRPr="004D46AC" w:rsidRDefault="007075D9" w:rsidP="00CE2F7A">
            <w:pPr>
              <w:spacing w:line="240" w:lineRule="auto"/>
              <w:ind w:firstLine="0"/>
              <w:rPr>
                <w:b/>
                <w:bCs/>
                <w:i/>
                <w:iCs/>
              </w:rPr>
            </w:pPr>
            <w:r w:rsidRPr="004D46AC">
              <w:rPr>
                <w:color w:val="000000"/>
              </w:rPr>
              <w:t xml:space="preserve">0.22 </w:t>
            </w:r>
          </w:p>
        </w:tc>
        <w:tc>
          <w:tcPr>
            <w:tcW w:w="1603" w:type="dxa"/>
            <w:vAlign w:val="center"/>
          </w:tcPr>
          <w:p w14:paraId="4E75EA45" w14:textId="77777777" w:rsidR="007075D9" w:rsidRPr="004D46AC" w:rsidRDefault="007075D9" w:rsidP="00CE2F7A">
            <w:pPr>
              <w:spacing w:line="240" w:lineRule="auto"/>
              <w:ind w:firstLine="0"/>
              <w:rPr>
                <w:b/>
                <w:bCs/>
                <w:i/>
                <w:iCs/>
              </w:rPr>
            </w:pPr>
            <w:r w:rsidRPr="004D46AC">
              <w:rPr>
                <w:color w:val="000000"/>
              </w:rPr>
              <w:t xml:space="preserve">0.14 </w:t>
            </w:r>
          </w:p>
        </w:tc>
        <w:tc>
          <w:tcPr>
            <w:tcW w:w="1603" w:type="dxa"/>
            <w:vAlign w:val="center"/>
          </w:tcPr>
          <w:p w14:paraId="1CA925DF" w14:textId="77777777" w:rsidR="007075D9" w:rsidRPr="004D46AC" w:rsidRDefault="007075D9" w:rsidP="00CE2F7A">
            <w:pPr>
              <w:spacing w:line="240" w:lineRule="auto"/>
              <w:ind w:firstLine="0"/>
              <w:rPr>
                <w:b/>
                <w:bCs/>
                <w:i/>
                <w:iCs/>
              </w:rPr>
            </w:pPr>
            <w:r w:rsidRPr="004D46AC">
              <w:rPr>
                <w:color w:val="000000"/>
              </w:rPr>
              <w:t xml:space="preserve">0.30 </w:t>
            </w:r>
          </w:p>
        </w:tc>
        <w:tc>
          <w:tcPr>
            <w:tcW w:w="1565" w:type="dxa"/>
            <w:vAlign w:val="center"/>
          </w:tcPr>
          <w:p w14:paraId="201E967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2EE3760" w14:textId="77777777" w:rsidTr="00B518F1">
        <w:tc>
          <w:tcPr>
            <w:tcW w:w="1564" w:type="dxa"/>
            <w:vAlign w:val="center"/>
          </w:tcPr>
          <w:p w14:paraId="2C99F6DA" w14:textId="77777777" w:rsidR="007075D9" w:rsidRPr="004D46AC" w:rsidRDefault="007075D9" w:rsidP="00CE2F7A">
            <w:pPr>
              <w:spacing w:line="240" w:lineRule="auto"/>
              <w:ind w:firstLine="0"/>
              <w:rPr>
                <w:b/>
                <w:bCs/>
                <w:i/>
                <w:iCs/>
              </w:rPr>
            </w:pPr>
            <w:r w:rsidRPr="004D46AC">
              <w:rPr>
                <w:rFonts w:eastAsia="DengXian"/>
                <w:color w:val="000000"/>
              </w:rPr>
              <w:t>Y6--Y7</w:t>
            </w:r>
          </w:p>
        </w:tc>
        <w:tc>
          <w:tcPr>
            <w:tcW w:w="1603" w:type="dxa"/>
            <w:vAlign w:val="center"/>
          </w:tcPr>
          <w:p w14:paraId="299FD3E7" w14:textId="77777777" w:rsidR="007075D9" w:rsidRPr="004D46AC" w:rsidRDefault="007075D9" w:rsidP="00CE2F7A">
            <w:pPr>
              <w:spacing w:line="240" w:lineRule="auto"/>
              <w:ind w:firstLine="0"/>
              <w:rPr>
                <w:b/>
                <w:bCs/>
                <w:i/>
                <w:iCs/>
              </w:rPr>
            </w:pPr>
            <w:r w:rsidRPr="004D46AC">
              <w:rPr>
                <w:color w:val="000000"/>
              </w:rPr>
              <w:t xml:space="preserve">0.22 </w:t>
            </w:r>
          </w:p>
        </w:tc>
        <w:tc>
          <w:tcPr>
            <w:tcW w:w="1603" w:type="dxa"/>
            <w:vAlign w:val="center"/>
          </w:tcPr>
          <w:p w14:paraId="7390FC10" w14:textId="77777777" w:rsidR="007075D9" w:rsidRPr="004D46AC" w:rsidRDefault="007075D9" w:rsidP="00CE2F7A">
            <w:pPr>
              <w:spacing w:line="240" w:lineRule="auto"/>
              <w:ind w:firstLine="0"/>
              <w:rPr>
                <w:b/>
                <w:bCs/>
                <w:i/>
                <w:iCs/>
              </w:rPr>
            </w:pPr>
            <w:r w:rsidRPr="004D46AC">
              <w:rPr>
                <w:color w:val="000000"/>
              </w:rPr>
              <w:t xml:space="preserve">0.14 </w:t>
            </w:r>
          </w:p>
        </w:tc>
        <w:tc>
          <w:tcPr>
            <w:tcW w:w="1603" w:type="dxa"/>
            <w:vAlign w:val="center"/>
          </w:tcPr>
          <w:p w14:paraId="1C22E607" w14:textId="77777777" w:rsidR="007075D9" w:rsidRPr="004D46AC" w:rsidRDefault="007075D9" w:rsidP="00CE2F7A">
            <w:pPr>
              <w:spacing w:line="240" w:lineRule="auto"/>
              <w:ind w:firstLine="0"/>
              <w:rPr>
                <w:b/>
                <w:bCs/>
                <w:i/>
                <w:iCs/>
              </w:rPr>
            </w:pPr>
            <w:r w:rsidRPr="004D46AC">
              <w:rPr>
                <w:color w:val="000000"/>
              </w:rPr>
              <w:t xml:space="preserve">0.30 </w:t>
            </w:r>
          </w:p>
        </w:tc>
        <w:tc>
          <w:tcPr>
            <w:tcW w:w="1565" w:type="dxa"/>
            <w:vAlign w:val="center"/>
          </w:tcPr>
          <w:p w14:paraId="01DF69E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F7EAC7E" w14:textId="77777777" w:rsidTr="00B518F1">
        <w:tc>
          <w:tcPr>
            <w:tcW w:w="1564" w:type="dxa"/>
            <w:vAlign w:val="center"/>
          </w:tcPr>
          <w:p w14:paraId="37CF5F21" w14:textId="77777777" w:rsidR="007075D9" w:rsidRPr="004D46AC" w:rsidRDefault="007075D9" w:rsidP="00CE2F7A">
            <w:pPr>
              <w:spacing w:line="240" w:lineRule="auto"/>
              <w:ind w:firstLine="0"/>
              <w:rPr>
                <w:b/>
                <w:bCs/>
                <w:i/>
                <w:iCs/>
              </w:rPr>
            </w:pPr>
            <w:r w:rsidRPr="004D46AC">
              <w:rPr>
                <w:rFonts w:eastAsia="DengXian"/>
                <w:color w:val="000000"/>
              </w:rPr>
              <w:t>M2--M9</w:t>
            </w:r>
          </w:p>
        </w:tc>
        <w:tc>
          <w:tcPr>
            <w:tcW w:w="1603" w:type="dxa"/>
            <w:vAlign w:val="center"/>
          </w:tcPr>
          <w:p w14:paraId="29814C22" w14:textId="77777777" w:rsidR="007075D9" w:rsidRPr="004D46AC" w:rsidRDefault="007075D9" w:rsidP="00CE2F7A">
            <w:pPr>
              <w:spacing w:line="240" w:lineRule="auto"/>
              <w:ind w:firstLine="0"/>
              <w:rPr>
                <w:b/>
                <w:bCs/>
                <w:i/>
                <w:iCs/>
              </w:rPr>
            </w:pPr>
            <w:r w:rsidRPr="004D46AC">
              <w:rPr>
                <w:color w:val="000000"/>
              </w:rPr>
              <w:t xml:space="preserve">0.22 </w:t>
            </w:r>
          </w:p>
        </w:tc>
        <w:tc>
          <w:tcPr>
            <w:tcW w:w="1603" w:type="dxa"/>
            <w:vAlign w:val="center"/>
          </w:tcPr>
          <w:p w14:paraId="60527157" w14:textId="77777777" w:rsidR="007075D9" w:rsidRPr="004D46AC" w:rsidRDefault="007075D9" w:rsidP="00CE2F7A">
            <w:pPr>
              <w:spacing w:line="240" w:lineRule="auto"/>
              <w:ind w:firstLine="0"/>
              <w:rPr>
                <w:b/>
                <w:bCs/>
                <w:i/>
                <w:iCs/>
              </w:rPr>
            </w:pPr>
            <w:r w:rsidRPr="004D46AC">
              <w:rPr>
                <w:color w:val="000000"/>
              </w:rPr>
              <w:t xml:space="preserve">0.14 </w:t>
            </w:r>
          </w:p>
        </w:tc>
        <w:tc>
          <w:tcPr>
            <w:tcW w:w="1603" w:type="dxa"/>
            <w:vAlign w:val="center"/>
          </w:tcPr>
          <w:p w14:paraId="55D31143" w14:textId="77777777" w:rsidR="007075D9" w:rsidRPr="004D46AC" w:rsidRDefault="007075D9" w:rsidP="00CE2F7A">
            <w:pPr>
              <w:spacing w:line="240" w:lineRule="auto"/>
              <w:ind w:firstLine="0"/>
              <w:rPr>
                <w:b/>
                <w:bCs/>
                <w:i/>
                <w:iCs/>
              </w:rPr>
            </w:pPr>
            <w:r w:rsidRPr="004D46AC">
              <w:rPr>
                <w:color w:val="000000"/>
              </w:rPr>
              <w:t xml:space="preserve">0.30 </w:t>
            </w:r>
          </w:p>
        </w:tc>
        <w:tc>
          <w:tcPr>
            <w:tcW w:w="1565" w:type="dxa"/>
            <w:vAlign w:val="center"/>
          </w:tcPr>
          <w:p w14:paraId="1D4A1E7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A73A7C5" w14:textId="77777777" w:rsidTr="00B518F1">
        <w:tc>
          <w:tcPr>
            <w:tcW w:w="1564" w:type="dxa"/>
            <w:vAlign w:val="center"/>
          </w:tcPr>
          <w:p w14:paraId="79AC36A3" w14:textId="77777777" w:rsidR="007075D9" w:rsidRPr="004D46AC" w:rsidRDefault="007075D9" w:rsidP="00CE2F7A">
            <w:pPr>
              <w:spacing w:line="240" w:lineRule="auto"/>
              <w:ind w:firstLine="0"/>
              <w:rPr>
                <w:b/>
                <w:bCs/>
                <w:i/>
                <w:iCs/>
              </w:rPr>
            </w:pPr>
            <w:r w:rsidRPr="004D46AC">
              <w:rPr>
                <w:rFonts w:eastAsia="DengXian"/>
                <w:color w:val="000000"/>
              </w:rPr>
              <w:t>M5--SP</w:t>
            </w:r>
          </w:p>
        </w:tc>
        <w:tc>
          <w:tcPr>
            <w:tcW w:w="1603" w:type="dxa"/>
            <w:vAlign w:val="center"/>
          </w:tcPr>
          <w:p w14:paraId="5EB8F563" w14:textId="77777777" w:rsidR="007075D9" w:rsidRPr="004D46AC" w:rsidRDefault="007075D9" w:rsidP="00CE2F7A">
            <w:pPr>
              <w:spacing w:line="240" w:lineRule="auto"/>
              <w:ind w:firstLine="0"/>
              <w:rPr>
                <w:b/>
                <w:bCs/>
                <w:i/>
                <w:iCs/>
              </w:rPr>
            </w:pPr>
            <w:r w:rsidRPr="004D46AC">
              <w:rPr>
                <w:color w:val="000000"/>
              </w:rPr>
              <w:t xml:space="preserve">0.22 </w:t>
            </w:r>
          </w:p>
        </w:tc>
        <w:tc>
          <w:tcPr>
            <w:tcW w:w="1603" w:type="dxa"/>
            <w:vAlign w:val="center"/>
          </w:tcPr>
          <w:p w14:paraId="78AABFA3" w14:textId="77777777" w:rsidR="007075D9" w:rsidRPr="004D46AC" w:rsidRDefault="007075D9" w:rsidP="00CE2F7A">
            <w:pPr>
              <w:spacing w:line="240" w:lineRule="auto"/>
              <w:ind w:firstLine="0"/>
              <w:rPr>
                <w:b/>
                <w:bCs/>
                <w:i/>
                <w:iCs/>
              </w:rPr>
            </w:pPr>
            <w:r w:rsidRPr="004D46AC">
              <w:rPr>
                <w:color w:val="000000"/>
              </w:rPr>
              <w:t xml:space="preserve">0.13 </w:t>
            </w:r>
          </w:p>
        </w:tc>
        <w:tc>
          <w:tcPr>
            <w:tcW w:w="1603" w:type="dxa"/>
            <w:vAlign w:val="center"/>
          </w:tcPr>
          <w:p w14:paraId="4986C6E7" w14:textId="77777777" w:rsidR="007075D9" w:rsidRPr="004D46AC" w:rsidRDefault="007075D9" w:rsidP="00CE2F7A">
            <w:pPr>
              <w:spacing w:line="240" w:lineRule="auto"/>
              <w:ind w:firstLine="0"/>
              <w:rPr>
                <w:b/>
                <w:bCs/>
                <w:i/>
                <w:iCs/>
              </w:rPr>
            </w:pPr>
            <w:r w:rsidRPr="004D46AC">
              <w:rPr>
                <w:color w:val="000000"/>
              </w:rPr>
              <w:t xml:space="preserve">0.30 </w:t>
            </w:r>
          </w:p>
        </w:tc>
        <w:tc>
          <w:tcPr>
            <w:tcW w:w="1565" w:type="dxa"/>
            <w:vAlign w:val="center"/>
          </w:tcPr>
          <w:p w14:paraId="52895AF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66BF6C3" w14:textId="77777777" w:rsidTr="00B518F1">
        <w:tc>
          <w:tcPr>
            <w:tcW w:w="1564" w:type="dxa"/>
            <w:vAlign w:val="center"/>
          </w:tcPr>
          <w:p w14:paraId="41F81BF0" w14:textId="77777777" w:rsidR="007075D9" w:rsidRPr="004D46AC" w:rsidRDefault="007075D9" w:rsidP="00CE2F7A">
            <w:pPr>
              <w:spacing w:line="240" w:lineRule="auto"/>
              <w:ind w:firstLine="0"/>
              <w:rPr>
                <w:b/>
                <w:bCs/>
                <w:i/>
                <w:iCs/>
              </w:rPr>
            </w:pPr>
            <w:r w:rsidRPr="004D46AC">
              <w:rPr>
                <w:rFonts w:eastAsia="DengXian"/>
                <w:color w:val="000000"/>
              </w:rPr>
              <w:t>M2--M8</w:t>
            </w:r>
          </w:p>
        </w:tc>
        <w:tc>
          <w:tcPr>
            <w:tcW w:w="1603" w:type="dxa"/>
            <w:vAlign w:val="center"/>
          </w:tcPr>
          <w:p w14:paraId="6654AB44" w14:textId="77777777" w:rsidR="007075D9" w:rsidRPr="004D46AC" w:rsidRDefault="007075D9" w:rsidP="00CE2F7A">
            <w:pPr>
              <w:spacing w:line="240" w:lineRule="auto"/>
              <w:ind w:firstLine="0"/>
              <w:rPr>
                <w:b/>
                <w:bCs/>
                <w:i/>
                <w:iCs/>
              </w:rPr>
            </w:pPr>
            <w:r w:rsidRPr="004D46AC">
              <w:rPr>
                <w:color w:val="000000"/>
              </w:rPr>
              <w:t xml:space="preserve">0.20 </w:t>
            </w:r>
          </w:p>
        </w:tc>
        <w:tc>
          <w:tcPr>
            <w:tcW w:w="1603" w:type="dxa"/>
            <w:vAlign w:val="center"/>
          </w:tcPr>
          <w:p w14:paraId="593B2AD1" w14:textId="77777777" w:rsidR="007075D9" w:rsidRPr="004D46AC" w:rsidRDefault="007075D9" w:rsidP="00CE2F7A">
            <w:pPr>
              <w:spacing w:line="240" w:lineRule="auto"/>
              <w:ind w:firstLine="0"/>
              <w:rPr>
                <w:b/>
                <w:bCs/>
                <w:i/>
                <w:iCs/>
              </w:rPr>
            </w:pPr>
            <w:r w:rsidRPr="004D46AC">
              <w:rPr>
                <w:color w:val="000000"/>
              </w:rPr>
              <w:t xml:space="preserve">0.12 </w:t>
            </w:r>
          </w:p>
        </w:tc>
        <w:tc>
          <w:tcPr>
            <w:tcW w:w="1603" w:type="dxa"/>
            <w:vAlign w:val="center"/>
          </w:tcPr>
          <w:p w14:paraId="4DE668F8" w14:textId="77777777" w:rsidR="007075D9" w:rsidRPr="004D46AC" w:rsidRDefault="007075D9" w:rsidP="00CE2F7A">
            <w:pPr>
              <w:spacing w:line="240" w:lineRule="auto"/>
              <w:ind w:firstLine="0"/>
              <w:rPr>
                <w:b/>
                <w:bCs/>
                <w:i/>
                <w:iCs/>
              </w:rPr>
            </w:pPr>
            <w:r w:rsidRPr="004D46AC">
              <w:rPr>
                <w:color w:val="000000"/>
              </w:rPr>
              <w:t xml:space="preserve">0.28 </w:t>
            </w:r>
          </w:p>
        </w:tc>
        <w:tc>
          <w:tcPr>
            <w:tcW w:w="1565" w:type="dxa"/>
            <w:vAlign w:val="center"/>
          </w:tcPr>
          <w:p w14:paraId="1B55D22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6809994" w14:textId="77777777" w:rsidTr="00B518F1">
        <w:tc>
          <w:tcPr>
            <w:tcW w:w="1564" w:type="dxa"/>
            <w:vAlign w:val="center"/>
          </w:tcPr>
          <w:p w14:paraId="36E67374" w14:textId="77777777" w:rsidR="007075D9" w:rsidRPr="004D46AC" w:rsidRDefault="007075D9" w:rsidP="00CE2F7A">
            <w:pPr>
              <w:spacing w:line="240" w:lineRule="auto"/>
              <w:ind w:firstLine="0"/>
              <w:rPr>
                <w:b/>
                <w:bCs/>
                <w:i/>
                <w:iCs/>
              </w:rPr>
            </w:pPr>
            <w:r w:rsidRPr="004D46AC">
              <w:rPr>
                <w:rFonts w:eastAsia="DengXian"/>
                <w:color w:val="000000"/>
              </w:rPr>
              <w:t>Y7--M6</w:t>
            </w:r>
          </w:p>
        </w:tc>
        <w:tc>
          <w:tcPr>
            <w:tcW w:w="1603" w:type="dxa"/>
            <w:vAlign w:val="center"/>
          </w:tcPr>
          <w:p w14:paraId="41E7F019" w14:textId="77777777" w:rsidR="007075D9" w:rsidRPr="004D46AC" w:rsidRDefault="007075D9" w:rsidP="00CE2F7A">
            <w:pPr>
              <w:spacing w:line="240" w:lineRule="auto"/>
              <w:ind w:firstLine="0"/>
              <w:rPr>
                <w:b/>
                <w:bCs/>
                <w:i/>
                <w:iCs/>
              </w:rPr>
            </w:pPr>
            <w:r w:rsidRPr="004D46AC">
              <w:rPr>
                <w:color w:val="000000"/>
              </w:rPr>
              <w:t xml:space="preserve">0.19 </w:t>
            </w:r>
          </w:p>
        </w:tc>
        <w:tc>
          <w:tcPr>
            <w:tcW w:w="1603" w:type="dxa"/>
            <w:vAlign w:val="center"/>
          </w:tcPr>
          <w:p w14:paraId="79F2C971" w14:textId="77777777" w:rsidR="007075D9" w:rsidRPr="004D46AC" w:rsidRDefault="007075D9" w:rsidP="00CE2F7A">
            <w:pPr>
              <w:spacing w:line="240" w:lineRule="auto"/>
              <w:ind w:firstLine="0"/>
              <w:rPr>
                <w:b/>
                <w:bCs/>
                <w:i/>
                <w:iCs/>
              </w:rPr>
            </w:pPr>
            <w:r w:rsidRPr="004D46AC">
              <w:rPr>
                <w:color w:val="000000"/>
              </w:rPr>
              <w:t xml:space="preserve">0.12 </w:t>
            </w:r>
          </w:p>
        </w:tc>
        <w:tc>
          <w:tcPr>
            <w:tcW w:w="1603" w:type="dxa"/>
            <w:vAlign w:val="center"/>
          </w:tcPr>
          <w:p w14:paraId="7226F680" w14:textId="77777777" w:rsidR="007075D9" w:rsidRPr="004D46AC" w:rsidRDefault="007075D9" w:rsidP="00CE2F7A">
            <w:pPr>
              <w:spacing w:line="240" w:lineRule="auto"/>
              <w:ind w:firstLine="0"/>
              <w:rPr>
                <w:b/>
                <w:bCs/>
                <w:i/>
                <w:iCs/>
              </w:rPr>
            </w:pPr>
            <w:r w:rsidRPr="004D46AC">
              <w:rPr>
                <w:color w:val="000000"/>
              </w:rPr>
              <w:t xml:space="preserve">0.25 </w:t>
            </w:r>
          </w:p>
        </w:tc>
        <w:tc>
          <w:tcPr>
            <w:tcW w:w="1565" w:type="dxa"/>
            <w:vAlign w:val="center"/>
          </w:tcPr>
          <w:p w14:paraId="5BCB6F7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DCE6818" w14:textId="77777777" w:rsidTr="00B518F1">
        <w:tc>
          <w:tcPr>
            <w:tcW w:w="1564" w:type="dxa"/>
            <w:vAlign w:val="center"/>
          </w:tcPr>
          <w:p w14:paraId="2E9078B7" w14:textId="77777777" w:rsidR="007075D9" w:rsidRPr="004D46AC" w:rsidRDefault="007075D9" w:rsidP="00CE2F7A">
            <w:pPr>
              <w:spacing w:line="240" w:lineRule="auto"/>
              <w:ind w:firstLine="0"/>
              <w:rPr>
                <w:b/>
                <w:bCs/>
                <w:i/>
                <w:iCs/>
              </w:rPr>
            </w:pPr>
            <w:r w:rsidRPr="004D46AC">
              <w:rPr>
                <w:rFonts w:eastAsia="DengXian"/>
                <w:color w:val="000000"/>
              </w:rPr>
              <w:t>P2--P4</w:t>
            </w:r>
          </w:p>
        </w:tc>
        <w:tc>
          <w:tcPr>
            <w:tcW w:w="1603" w:type="dxa"/>
            <w:vAlign w:val="center"/>
          </w:tcPr>
          <w:p w14:paraId="7773D5ED" w14:textId="77777777" w:rsidR="007075D9" w:rsidRPr="004D46AC" w:rsidRDefault="007075D9" w:rsidP="00CE2F7A">
            <w:pPr>
              <w:spacing w:line="240" w:lineRule="auto"/>
              <w:ind w:firstLine="0"/>
              <w:rPr>
                <w:b/>
                <w:bCs/>
                <w:i/>
                <w:iCs/>
              </w:rPr>
            </w:pPr>
            <w:r w:rsidRPr="004D46AC">
              <w:rPr>
                <w:color w:val="000000"/>
              </w:rPr>
              <w:t xml:space="preserve">0.18 </w:t>
            </w:r>
          </w:p>
        </w:tc>
        <w:tc>
          <w:tcPr>
            <w:tcW w:w="1603" w:type="dxa"/>
            <w:vAlign w:val="center"/>
          </w:tcPr>
          <w:p w14:paraId="31E2CFF2" w14:textId="77777777" w:rsidR="007075D9" w:rsidRPr="004D46AC" w:rsidRDefault="007075D9" w:rsidP="00CE2F7A">
            <w:pPr>
              <w:spacing w:line="240" w:lineRule="auto"/>
              <w:ind w:firstLine="0"/>
              <w:rPr>
                <w:b/>
                <w:bCs/>
                <w:i/>
                <w:iCs/>
              </w:rPr>
            </w:pPr>
            <w:r w:rsidRPr="004D46AC">
              <w:rPr>
                <w:color w:val="000000"/>
              </w:rPr>
              <w:t xml:space="preserve">0.11 </w:t>
            </w:r>
          </w:p>
        </w:tc>
        <w:tc>
          <w:tcPr>
            <w:tcW w:w="1603" w:type="dxa"/>
            <w:vAlign w:val="center"/>
          </w:tcPr>
          <w:p w14:paraId="655051A6" w14:textId="77777777" w:rsidR="007075D9" w:rsidRPr="004D46AC" w:rsidRDefault="007075D9" w:rsidP="00CE2F7A">
            <w:pPr>
              <w:spacing w:line="240" w:lineRule="auto"/>
              <w:ind w:firstLine="0"/>
              <w:rPr>
                <w:b/>
                <w:bCs/>
                <w:i/>
                <w:iCs/>
              </w:rPr>
            </w:pPr>
            <w:r w:rsidRPr="004D46AC">
              <w:rPr>
                <w:color w:val="000000"/>
              </w:rPr>
              <w:t xml:space="preserve">0.26 </w:t>
            </w:r>
          </w:p>
        </w:tc>
        <w:tc>
          <w:tcPr>
            <w:tcW w:w="1565" w:type="dxa"/>
            <w:vAlign w:val="center"/>
          </w:tcPr>
          <w:p w14:paraId="55594C3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0270B41" w14:textId="77777777" w:rsidTr="00B518F1">
        <w:tc>
          <w:tcPr>
            <w:tcW w:w="1564" w:type="dxa"/>
            <w:vAlign w:val="center"/>
          </w:tcPr>
          <w:p w14:paraId="527C59CD" w14:textId="77777777" w:rsidR="007075D9" w:rsidRPr="004D46AC" w:rsidRDefault="007075D9" w:rsidP="00CE2F7A">
            <w:pPr>
              <w:spacing w:line="240" w:lineRule="auto"/>
              <w:ind w:firstLine="0"/>
              <w:rPr>
                <w:b/>
                <w:bCs/>
                <w:i/>
                <w:iCs/>
              </w:rPr>
            </w:pPr>
            <w:r w:rsidRPr="004D46AC">
              <w:rPr>
                <w:rFonts w:eastAsia="DengXian"/>
                <w:color w:val="000000"/>
              </w:rPr>
              <w:t>IA--Y7</w:t>
            </w:r>
          </w:p>
        </w:tc>
        <w:tc>
          <w:tcPr>
            <w:tcW w:w="1603" w:type="dxa"/>
            <w:vAlign w:val="center"/>
          </w:tcPr>
          <w:p w14:paraId="078DFBB2" w14:textId="77777777" w:rsidR="007075D9" w:rsidRPr="004D46AC" w:rsidRDefault="007075D9" w:rsidP="00CE2F7A">
            <w:pPr>
              <w:spacing w:line="240" w:lineRule="auto"/>
              <w:ind w:firstLine="0"/>
              <w:rPr>
                <w:b/>
                <w:bCs/>
                <w:i/>
                <w:iCs/>
              </w:rPr>
            </w:pPr>
            <w:r w:rsidRPr="004D46AC">
              <w:rPr>
                <w:color w:val="000000"/>
              </w:rPr>
              <w:t xml:space="preserve">0.18 </w:t>
            </w:r>
          </w:p>
        </w:tc>
        <w:tc>
          <w:tcPr>
            <w:tcW w:w="1603" w:type="dxa"/>
            <w:vAlign w:val="center"/>
          </w:tcPr>
          <w:p w14:paraId="6CFD968E" w14:textId="77777777" w:rsidR="007075D9" w:rsidRPr="004D46AC" w:rsidRDefault="007075D9" w:rsidP="00CE2F7A">
            <w:pPr>
              <w:spacing w:line="240" w:lineRule="auto"/>
              <w:ind w:firstLine="0"/>
              <w:rPr>
                <w:b/>
                <w:bCs/>
                <w:i/>
                <w:iCs/>
              </w:rPr>
            </w:pPr>
            <w:r w:rsidRPr="004D46AC">
              <w:rPr>
                <w:color w:val="000000"/>
              </w:rPr>
              <w:t xml:space="preserve">0.11 </w:t>
            </w:r>
          </w:p>
        </w:tc>
        <w:tc>
          <w:tcPr>
            <w:tcW w:w="1603" w:type="dxa"/>
            <w:vAlign w:val="center"/>
          </w:tcPr>
          <w:p w14:paraId="5785BCF2" w14:textId="77777777" w:rsidR="007075D9" w:rsidRPr="004D46AC" w:rsidRDefault="007075D9" w:rsidP="00CE2F7A">
            <w:pPr>
              <w:spacing w:line="240" w:lineRule="auto"/>
              <w:ind w:firstLine="0"/>
              <w:rPr>
                <w:b/>
                <w:bCs/>
                <w:i/>
                <w:iCs/>
              </w:rPr>
            </w:pPr>
            <w:r w:rsidRPr="004D46AC">
              <w:rPr>
                <w:color w:val="000000"/>
              </w:rPr>
              <w:t xml:space="preserve">0.25 </w:t>
            </w:r>
          </w:p>
        </w:tc>
        <w:tc>
          <w:tcPr>
            <w:tcW w:w="1565" w:type="dxa"/>
            <w:vAlign w:val="center"/>
          </w:tcPr>
          <w:p w14:paraId="40AE776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AC2972E" w14:textId="77777777" w:rsidTr="00B518F1">
        <w:tc>
          <w:tcPr>
            <w:tcW w:w="1564" w:type="dxa"/>
            <w:vAlign w:val="center"/>
          </w:tcPr>
          <w:p w14:paraId="74E75A82" w14:textId="77777777" w:rsidR="007075D9" w:rsidRPr="004D46AC" w:rsidRDefault="007075D9" w:rsidP="00CE2F7A">
            <w:pPr>
              <w:spacing w:line="240" w:lineRule="auto"/>
              <w:ind w:firstLine="0"/>
              <w:rPr>
                <w:b/>
                <w:bCs/>
                <w:i/>
                <w:iCs/>
              </w:rPr>
            </w:pPr>
            <w:r w:rsidRPr="004D46AC">
              <w:rPr>
                <w:rFonts w:eastAsia="DengXian"/>
                <w:color w:val="000000"/>
              </w:rPr>
              <w:t>M3--M6</w:t>
            </w:r>
          </w:p>
        </w:tc>
        <w:tc>
          <w:tcPr>
            <w:tcW w:w="1603" w:type="dxa"/>
            <w:vAlign w:val="center"/>
          </w:tcPr>
          <w:p w14:paraId="6A881946" w14:textId="77777777" w:rsidR="007075D9" w:rsidRPr="004D46AC" w:rsidRDefault="007075D9" w:rsidP="00CE2F7A">
            <w:pPr>
              <w:spacing w:line="240" w:lineRule="auto"/>
              <w:ind w:firstLine="0"/>
              <w:rPr>
                <w:b/>
                <w:bCs/>
                <w:i/>
                <w:iCs/>
              </w:rPr>
            </w:pPr>
            <w:r w:rsidRPr="004D46AC">
              <w:rPr>
                <w:color w:val="000000"/>
              </w:rPr>
              <w:t xml:space="preserve">0.17 </w:t>
            </w:r>
          </w:p>
        </w:tc>
        <w:tc>
          <w:tcPr>
            <w:tcW w:w="1603" w:type="dxa"/>
            <w:vAlign w:val="center"/>
          </w:tcPr>
          <w:p w14:paraId="023E77D0" w14:textId="77777777" w:rsidR="007075D9" w:rsidRPr="004D46AC" w:rsidRDefault="007075D9" w:rsidP="00CE2F7A">
            <w:pPr>
              <w:spacing w:line="240" w:lineRule="auto"/>
              <w:ind w:firstLine="0"/>
              <w:rPr>
                <w:b/>
                <w:bCs/>
                <w:i/>
                <w:iCs/>
              </w:rPr>
            </w:pPr>
            <w:r w:rsidRPr="004D46AC">
              <w:rPr>
                <w:color w:val="000000"/>
              </w:rPr>
              <w:t xml:space="preserve">0.10 </w:t>
            </w:r>
          </w:p>
        </w:tc>
        <w:tc>
          <w:tcPr>
            <w:tcW w:w="1603" w:type="dxa"/>
            <w:vAlign w:val="center"/>
          </w:tcPr>
          <w:p w14:paraId="318710D3" w14:textId="77777777" w:rsidR="007075D9" w:rsidRPr="004D46AC" w:rsidRDefault="007075D9" w:rsidP="00CE2F7A">
            <w:pPr>
              <w:spacing w:line="240" w:lineRule="auto"/>
              <w:ind w:firstLine="0"/>
              <w:rPr>
                <w:b/>
                <w:bCs/>
                <w:i/>
                <w:iCs/>
              </w:rPr>
            </w:pPr>
            <w:r w:rsidRPr="004D46AC">
              <w:rPr>
                <w:color w:val="000000"/>
              </w:rPr>
              <w:t xml:space="preserve">0.25 </w:t>
            </w:r>
          </w:p>
        </w:tc>
        <w:tc>
          <w:tcPr>
            <w:tcW w:w="1565" w:type="dxa"/>
            <w:vAlign w:val="center"/>
          </w:tcPr>
          <w:p w14:paraId="259D333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AB49B00" w14:textId="77777777" w:rsidTr="00B518F1">
        <w:tc>
          <w:tcPr>
            <w:tcW w:w="1564" w:type="dxa"/>
            <w:vAlign w:val="center"/>
          </w:tcPr>
          <w:p w14:paraId="362E7D27" w14:textId="77777777" w:rsidR="007075D9" w:rsidRPr="004D46AC" w:rsidRDefault="007075D9" w:rsidP="00CE2F7A">
            <w:pPr>
              <w:spacing w:line="240" w:lineRule="auto"/>
              <w:ind w:firstLine="0"/>
              <w:rPr>
                <w:b/>
                <w:bCs/>
                <w:i/>
                <w:iCs/>
              </w:rPr>
            </w:pPr>
            <w:r w:rsidRPr="004D46AC">
              <w:rPr>
                <w:rFonts w:eastAsia="DengXian"/>
                <w:color w:val="000000"/>
              </w:rPr>
              <w:t>M3--M9</w:t>
            </w:r>
          </w:p>
        </w:tc>
        <w:tc>
          <w:tcPr>
            <w:tcW w:w="1603" w:type="dxa"/>
            <w:vAlign w:val="center"/>
          </w:tcPr>
          <w:p w14:paraId="308418E9" w14:textId="77777777" w:rsidR="007075D9" w:rsidRPr="004D46AC" w:rsidRDefault="007075D9" w:rsidP="00CE2F7A">
            <w:pPr>
              <w:spacing w:line="240" w:lineRule="auto"/>
              <w:ind w:firstLine="0"/>
              <w:rPr>
                <w:b/>
                <w:bCs/>
                <w:i/>
                <w:iCs/>
              </w:rPr>
            </w:pPr>
            <w:r w:rsidRPr="004D46AC">
              <w:rPr>
                <w:color w:val="000000"/>
              </w:rPr>
              <w:t xml:space="preserve">0.17 </w:t>
            </w:r>
          </w:p>
        </w:tc>
        <w:tc>
          <w:tcPr>
            <w:tcW w:w="1603" w:type="dxa"/>
            <w:vAlign w:val="center"/>
          </w:tcPr>
          <w:p w14:paraId="56BC7105" w14:textId="77777777" w:rsidR="007075D9" w:rsidRPr="004D46AC" w:rsidRDefault="007075D9" w:rsidP="00CE2F7A">
            <w:pPr>
              <w:spacing w:line="240" w:lineRule="auto"/>
              <w:ind w:firstLine="0"/>
              <w:rPr>
                <w:b/>
                <w:bCs/>
                <w:i/>
                <w:iCs/>
              </w:rPr>
            </w:pPr>
            <w:r w:rsidRPr="004D46AC">
              <w:rPr>
                <w:color w:val="000000"/>
              </w:rPr>
              <w:t xml:space="preserve">0.10 </w:t>
            </w:r>
          </w:p>
        </w:tc>
        <w:tc>
          <w:tcPr>
            <w:tcW w:w="1603" w:type="dxa"/>
            <w:vAlign w:val="center"/>
          </w:tcPr>
          <w:p w14:paraId="1648A682" w14:textId="77777777" w:rsidR="007075D9" w:rsidRPr="004D46AC" w:rsidRDefault="007075D9" w:rsidP="00CE2F7A">
            <w:pPr>
              <w:spacing w:line="240" w:lineRule="auto"/>
              <w:ind w:firstLine="0"/>
              <w:rPr>
                <w:b/>
                <w:bCs/>
                <w:i/>
                <w:iCs/>
              </w:rPr>
            </w:pPr>
            <w:r w:rsidRPr="004D46AC">
              <w:rPr>
                <w:color w:val="000000"/>
              </w:rPr>
              <w:t xml:space="preserve">0.25 </w:t>
            </w:r>
          </w:p>
        </w:tc>
        <w:tc>
          <w:tcPr>
            <w:tcW w:w="1565" w:type="dxa"/>
            <w:vAlign w:val="center"/>
          </w:tcPr>
          <w:p w14:paraId="7C288CF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E6DCB65" w14:textId="77777777" w:rsidTr="00B518F1">
        <w:tc>
          <w:tcPr>
            <w:tcW w:w="1564" w:type="dxa"/>
            <w:vAlign w:val="center"/>
          </w:tcPr>
          <w:p w14:paraId="3DAB1C8D" w14:textId="77777777" w:rsidR="007075D9" w:rsidRPr="004D46AC" w:rsidRDefault="007075D9" w:rsidP="00CE2F7A">
            <w:pPr>
              <w:spacing w:line="240" w:lineRule="auto"/>
              <w:ind w:firstLine="0"/>
              <w:rPr>
                <w:b/>
                <w:bCs/>
                <w:i/>
                <w:iCs/>
              </w:rPr>
            </w:pPr>
            <w:r w:rsidRPr="004D46AC">
              <w:rPr>
                <w:rFonts w:eastAsia="DengXian"/>
                <w:color w:val="000000"/>
              </w:rPr>
              <w:t>M6--M8</w:t>
            </w:r>
          </w:p>
        </w:tc>
        <w:tc>
          <w:tcPr>
            <w:tcW w:w="1603" w:type="dxa"/>
            <w:vAlign w:val="center"/>
          </w:tcPr>
          <w:p w14:paraId="687326FC" w14:textId="77777777" w:rsidR="007075D9" w:rsidRPr="004D46AC" w:rsidRDefault="007075D9" w:rsidP="00CE2F7A">
            <w:pPr>
              <w:spacing w:line="240" w:lineRule="auto"/>
              <w:ind w:firstLine="0"/>
              <w:rPr>
                <w:b/>
                <w:bCs/>
                <w:i/>
                <w:iCs/>
              </w:rPr>
            </w:pPr>
            <w:r w:rsidRPr="004D46AC">
              <w:rPr>
                <w:color w:val="000000"/>
              </w:rPr>
              <w:t xml:space="preserve">0.17 </w:t>
            </w:r>
          </w:p>
        </w:tc>
        <w:tc>
          <w:tcPr>
            <w:tcW w:w="1603" w:type="dxa"/>
            <w:vAlign w:val="center"/>
          </w:tcPr>
          <w:p w14:paraId="24AB829E" w14:textId="77777777" w:rsidR="007075D9" w:rsidRPr="004D46AC" w:rsidRDefault="007075D9" w:rsidP="00CE2F7A">
            <w:pPr>
              <w:spacing w:line="240" w:lineRule="auto"/>
              <w:ind w:firstLine="0"/>
              <w:rPr>
                <w:b/>
                <w:bCs/>
                <w:i/>
                <w:iCs/>
              </w:rPr>
            </w:pPr>
            <w:r w:rsidRPr="004D46AC">
              <w:rPr>
                <w:color w:val="000000"/>
              </w:rPr>
              <w:t xml:space="preserve">0.09 </w:t>
            </w:r>
          </w:p>
        </w:tc>
        <w:tc>
          <w:tcPr>
            <w:tcW w:w="1603" w:type="dxa"/>
            <w:vAlign w:val="center"/>
          </w:tcPr>
          <w:p w14:paraId="62BE9E8B" w14:textId="77777777" w:rsidR="007075D9" w:rsidRPr="004D46AC" w:rsidRDefault="007075D9" w:rsidP="00CE2F7A">
            <w:pPr>
              <w:spacing w:line="240" w:lineRule="auto"/>
              <w:ind w:firstLine="0"/>
              <w:rPr>
                <w:b/>
                <w:bCs/>
                <w:i/>
                <w:iCs/>
              </w:rPr>
            </w:pPr>
            <w:r w:rsidRPr="004D46AC">
              <w:rPr>
                <w:color w:val="000000"/>
              </w:rPr>
              <w:t xml:space="preserve">0.25 </w:t>
            </w:r>
          </w:p>
        </w:tc>
        <w:tc>
          <w:tcPr>
            <w:tcW w:w="1565" w:type="dxa"/>
            <w:vAlign w:val="center"/>
          </w:tcPr>
          <w:p w14:paraId="45D52EB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A859148" w14:textId="77777777" w:rsidTr="00B518F1">
        <w:tc>
          <w:tcPr>
            <w:tcW w:w="1564" w:type="dxa"/>
            <w:vAlign w:val="center"/>
          </w:tcPr>
          <w:p w14:paraId="75209BE8" w14:textId="77777777" w:rsidR="007075D9" w:rsidRPr="004D46AC" w:rsidRDefault="007075D9" w:rsidP="00CE2F7A">
            <w:pPr>
              <w:spacing w:line="240" w:lineRule="auto"/>
              <w:ind w:firstLine="0"/>
              <w:rPr>
                <w:b/>
                <w:bCs/>
                <w:i/>
                <w:iCs/>
              </w:rPr>
            </w:pPr>
            <w:r w:rsidRPr="004D46AC">
              <w:rPr>
                <w:rFonts w:eastAsia="DengXian"/>
                <w:color w:val="000000"/>
              </w:rPr>
              <w:t>P4--P5</w:t>
            </w:r>
          </w:p>
        </w:tc>
        <w:tc>
          <w:tcPr>
            <w:tcW w:w="1603" w:type="dxa"/>
            <w:vAlign w:val="center"/>
          </w:tcPr>
          <w:p w14:paraId="7F0A18A6" w14:textId="77777777" w:rsidR="007075D9" w:rsidRPr="004D46AC" w:rsidRDefault="007075D9" w:rsidP="00CE2F7A">
            <w:pPr>
              <w:spacing w:line="240" w:lineRule="auto"/>
              <w:ind w:firstLine="0"/>
              <w:rPr>
                <w:b/>
                <w:bCs/>
                <w:i/>
                <w:iCs/>
              </w:rPr>
            </w:pPr>
            <w:r w:rsidRPr="004D46AC">
              <w:rPr>
                <w:color w:val="000000"/>
              </w:rPr>
              <w:t xml:space="preserve">0.16 </w:t>
            </w:r>
          </w:p>
        </w:tc>
        <w:tc>
          <w:tcPr>
            <w:tcW w:w="1603" w:type="dxa"/>
            <w:vAlign w:val="center"/>
          </w:tcPr>
          <w:p w14:paraId="4160A4CC"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339EEFC4" w14:textId="77777777" w:rsidR="007075D9" w:rsidRPr="004D46AC" w:rsidRDefault="007075D9" w:rsidP="00CE2F7A">
            <w:pPr>
              <w:spacing w:line="240" w:lineRule="auto"/>
              <w:ind w:firstLine="0"/>
              <w:rPr>
                <w:b/>
                <w:bCs/>
                <w:i/>
                <w:iCs/>
              </w:rPr>
            </w:pPr>
            <w:r w:rsidRPr="004D46AC">
              <w:rPr>
                <w:color w:val="000000"/>
              </w:rPr>
              <w:t xml:space="preserve">0.24 </w:t>
            </w:r>
          </w:p>
        </w:tc>
        <w:tc>
          <w:tcPr>
            <w:tcW w:w="1565" w:type="dxa"/>
            <w:vAlign w:val="center"/>
          </w:tcPr>
          <w:p w14:paraId="7360FAE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F83E291" w14:textId="77777777" w:rsidTr="00B518F1">
        <w:tc>
          <w:tcPr>
            <w:tcW w:w="1564" w:type="dxa"/>
            <w:vAlign w:val="center"/>
          </w:tcPr>
          <w:p w14:paraId="212367A0" w14:textId="77777777" w:rsidR="007075D9" w:rsidRPr="004D46AC" w:rsidRDefault="007075D9" w:rsidP="00CE2F7A">
            <w:pPr>
              <w:spacing w:line="240" w:lineRule="auto"/>
              <w:ind w:firstLine="0"/>
              <w:rPr>
                <w:b/>
                <w:bCs/>
                <w:i/>
                <w:iCs/>
              </w:rPr>
            </w:pPr>
            <w:r w:rsidRPr="004D46AC">
              <w:rPr>
                <w:rFonts w:eastAsia="DengXian"/>
                <w:color w:val="000000"/>
              </w:rPr>
              <w:t>ME--Y3</w:t>
            </w:r>
          </w:p>
        </w:tc>
        <w:tc>
          <w:tcPr>
            <w:tcW w:w="1603" w:type="dxa"/>
            <w:vAlign w:val="center"/>
          </w:tcPr>
          <w:p w14:paraId="664B3140" w14:textId="77777777" w:rsidR="007075D9" w:rsidRPr="004D46AC" w:rsidRDefault="007075D9" w:rsidP="00CE2F7A">
            <w:pPr>
              <w:spacing w:line="240" w:lineRule="auto"/>
              <w:ind w:firstLine="0"/>
              <w:rPr>
                <w:b/>
                <w:bCs/>
                <w:i/>
                <w:iCs/>
              </w:rPr>
            </w:pPr>
            <w:r w:rsidRPr="004D46AC">
              <w:rPr>
                <w:color w:val="000000"/>
              </w:rPr>
              <w:t xml:space="preserve">0.16 </w:t>
            </w:r>
          </w:p>
        </w:tc>
        <w:tc>
          <w:tcPr>
            <w:tcW w:w="1603" w:type="dxa"/>
            <w:vAlign w:val="center"/>
          </w:tcPr>
          <w:p w14:paraId="6DAD5311"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2D58A5D1" w14:textId="77777777" w:rsidR="007075D9" w:rsidRPr="004D46AC" w:rsidRDefault="007075D9" w:rsidP="00CE2F7A">
            <w:pPr>
              <w:spacing w:line="240" w:lineRule="auto"/>
              <w:ind w:firstLine="0"/>
              <w:rPr>
                <w:b/>
                <w:bCs/>
                <w:i/>
                <w:iCs/>
              </w:rPr>
            </w:pPr>
            <w:r w:rsidRPr="004D46AC">
              <w:rPr>
                <w:color w:val="000000"/>
              </w:rPr>
              <w:t xml:space="preserve">0.24 </w:t>
            </w:r>
          </w:p>
        </w:tc>
        <w:tc>
          <w:tcPr>
            <w:tcW w:w="1565" w:type="dxa"/>
            <w:vAlign w:val="center"/>
          </w:tcPr>
          <w:p w14:paraId="3CDE197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2574CDE" w14:textId="77777777" w:rsidTr="00B518F1">
        <w:tc>
          <w:tcPr>
            <w:tcW w:w="1564" w:type="dxa"/>
            <w:vAlign w:val="center"/>
          </w:tcPr>
          <w:p w14:paraId="7197A393" w14:textId="77777777" w:rsidR="007075D9" w:rsidRPr="004D46AC" w:rsidRDefault="007075D9" w:rsidP="00CE2F7A">
            <w:pPr>
              <w:spacing w:line="240" w:lineRule="auto"/>
              <w:ind w:firstLine="0"/>
              <w:rPr>
                <w:b/>
                <w:bCs/>
                <w:i/>
                <w:iCs/>
              </w:rPr>
            </w:pPr>
            <w:r w:rsidRPr="004D46AC">
              <w:rPr>
                <w:rFonts w:eastAsia="DengXian"/>
                <w:color w:val="000000"/>
              </w:rPr>
              <w:t>P6--IA</w:t>
            </w:r>
          </w:p>
        </w:tc>
        <w:tc>
          <w:tcPr>
            <w:tcW w:w="1603" w:type="dxa"/>
            <w:vAlign w:val="center"/>
          </w:tcPr>
          <w:p w14:paraId="616B2281" w14:textId="77777777" w:rsidR="007075D9" w:rsidRPr="004D46AC" w:rsidRDefault="007075D9" w:rsidP="00CE2F7A">
            <w:pPr>
              <w:spacing w:line="240" w:lineRule="auto"/>
              <w:ind w:firstLine="0"/>
              <w:rPr>
                <w:b/>
                <w:bCs/>
                <w:i/>
                <w:iCs/>
              </w:rPr>
            </w:pPr>
            <w:r w:rsidRPr="004D46AC">
              <w:rPr>
                <w:color w:val="000000"/>
              </w:rPr>
              <w:t xml:space="preserve">0.15 </w:t>
            </w:r>
          </w:p>
        </w:tc>
        <w:tc>
          <w:tcPr>
            <w:tcW w:w="1603" w:type="dxa"/>
            <w:vAlign w:val="center"/>
          </w:tcPr>
          <w:p w14:paraId="6617A27A"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33C10693" w14:textId="77777777" w:rsidR="007075D9" w:rsidRPr="004D46AC" w:rsidRDefault="007075D9" w:rsidP="00CE2F7A">
            <w:pPr>
              <w:spacing w:line="240" w:lineRule="auto"/>
              <w:ind w:firstLine="0"/>
              <w:rPr>
                <w:b/>
                <w:bCs/>
                <w:i/>
                <w:iCs/>
              </w:rPr>
            </w:pPr>
            <w:r w:rsidRPr="004D46AC">
              <w:rPr>
                <w:color w:val="000000"/>
              </w:rPr>
              <w:t xml:space="preserve">0.22 </w:t>
            </w:r>
          </w:p>
        </w:tc>
        <w:tc>
          <w:tcPr>
            <w:tcW w:w="1565" w:type="dxa"/>
            <w:vAlign w:val="center"/>
          </w:tcPr>
          <w:p w14:paraId="0F26109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ADDB81C" w14:textId="77777777" w:rsidTr="00B518F1">
        <w:tc>
          <w:tcPr>
            <w:tcW w:w="1564" w:type="dxa"/>
            <w:vAlign w:val="center"/>
          </w:tcPr>
          <w:p w14:paraId="2A2CBC96" w14:textId="77777777" w:rsidR="007075D9" w:rsidRPr="004D46AC" w:rsidRDefault="007075D9" w:rsidP="00CE2F7A">
            <w:pPr>
              <w:spacing w:line="240" w:lineRule="auto"/>
              <w:ind w:firstLine="0"/>
              <w:rPr>
                <w:b/>
                <w:bCs/>
                <w:i/>
                <w:iCs/>
              </w:rPr>
            </w:pPr>
            <w:r w:rsidRPr="004D46AC">
              <w:rPr>
                <w:rFonts w:eastAsia="DengXian"/>
                <w:color w:val="000000"/>
              </w:rPr>
              <w:t>M6--M7</w:t>
            </w:r>
          </w:p>
        </w:tc>
        <w:tc>
          <w:tcPr>
            <w:tcW w:w="1603" w:type="dxa"/>
            <w:vAlign w:val="center"/>
          </w:tcPr>
          <w:p w14:paraId="114B9B77" w14:textId="77777777" w:rsidR="007075D9" w:rsidRPr="004D46AC" w:rsidRDefault="007075D9" w:rsidP="00CE2F7A">
            <w:pPr>
              <w:spacing w:line="240" w:lineRule="auto"/>
              <w:ind w:firstLine="0"/>
              <w:rPr>
                <w:b/>
                <w:bCs/>
                <w:i/>
                <w:iCs/>
              </w:rPr>
            </w:pPr>
            <w:r w:rsidRPr="004D46AC">
              <w:rPr>
                <w:color w:val="000000"/>
              </w:rPr>
              <w:t xml:space="preserve">0.15 </w:t>
            </w:r>
          </w:p>
        </w:tc>
        <w:tc>
          <w:tcPr>
            <w:tcW w:w="1603" w:type="dxa"/>
            <w:vAlign w:val="center"/>
          </w:tcPr>
          <w:p w14:paraId="1C97D6F6"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081E4DB9" w14:textId="77777777" w:rsidR="007075D9" w:rsidRPr="004D46AC" w:rsidRDefault="007075D9" w:rsidP="00CE2F7A">
            <w:pPr>
              <w:spacing w:line="240" w:lineRule="auto"/>
              <w:ind w:firstLine="0"/>
              <w:rPr>
                <w:b/>
                <w:bCs/>
                <w:i/>
                <w:iCs/>
              </w:rPr>
            </w:pPr>
            <w:r w:rsidRPr="004D46AC">
              <w:rPr>
                <w:color w:val="000000"/>
              </w:rPr>
              <w:t xml:space="preserve">0.23 </w:t>
            </w:r>
          </w:p>
        </w:tc>
        <w:tc>
          <w:tcPr>
            <w:tcW w:w="1565" w:type="dxa"/>
            <w:vAlign w:val="center"/>
          </w:tcPr>
          <w:p w14:paraId="0D98681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F472360" w14:textId="77777777" w:rsidTr="00B518F1">
        <w:tc>
          <w:tcPr>
            <w:tcW w:w="1564" w:type="dxa"/>
            <w:vAlign w:val="center"/>
          </w:tcPr>
          <w:p w14:paraId="16ECD2C8" w14:textId="77777777" w:rsidR="007075D9" w:rsidRPr="004D46AC" w:rsidRDefault="007075D9" w:rsidP="00CE2F7A">
            <w:pPr>
              <w:spacing w:line="240" w:lineRule="auto"/>
              <w:ind w:firstLine="0"/>
              <w:rPr>
                <w:b/>
                <w:bCs/>
                <w:i/>
                <w:iCs/>
              </w:rPr>
            </w:pPr>
            <w:r w:rsidRPr="004D46AC">
              <w:rPr>
                <w:rFonts w:eastAsia="DengXian"/>
                <w:color w:val="000000"/>
              </w:rPr>
              <w:t>RC--WD</w:t>
            </w:r>
          </w:p>
        </w:tc>
        <w:tc>
          <w:tcPr>
            <w:tcW w:w="1603" w:type="dxa"/>
            <w:vAlign w:val="center"/>
          </w:tcPr>
          <w:p w14:paraId="165EF682" w14:textId="77777777" w:rsidR="007075D9" w:rsidRPr="004D46AC" w:rsidRDefault="007075D9" w:rsidP="00CE2F7A">
            <w:pPr>
              <w:spacing w:line="240" w:lineRule="auto"/>
              <w:ind w:firstLine="0"/>
              <w:rPr>
                <w:b/>
                <w:bCs/>
                <w:i/>
                <w:iCs/>
              </w:rPr>
            </w:pPr>
            <w:r w:rsidRPr="004D46AC">
              <w:rPr>
                <w:color w:val="000000"/>
              </w:rPr>
              <w:t xml:space="preserve">0.14 </w:t>
            </w:r>
          </w:p>
        </w:tc>
        <w:tc>
          <w:tcPr>
            <w:tcW w:w="1603" w:type="dxa"/>
            <w:vAlign w:val="center"/>
          </w:tcPr>
          <w:p w14:paraId="5423A760"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76D8F905" w14:textId="77777777" w:rsidR="007075D9" w:rsidRPr="004D46AC" w:rsidRDefault="007075D9" w:rsidP="00CE2F7A">
            <w:pPr>
              <w:spacing w:line="240" w:lineRule="auto"/>
              <w:ind w:firstLine="0"/>
              <w:rPr>
                <w:b/>
                <w:bCs/>
                <w:i/>
                <w:iCs/>
              </w:rPr>
            </w:pPr>
            <w:r w:rsidRPr="004D46AC">
              <w:rPr>
                <w:color w:val="000000"/>
              </w:rPr>
              <w:t xml:space="preserve">0.21 </w:t>
            </w:r>
          </w:p>
        </w:tc>
        <w:tc>
          <w:tcPr>
            <w:tcW w:w="1565" w:type="dxa"/>
            <w:vAlign w:val="center"/>
          </w:tcPr>
          <w:p w14:paraId="7CD62B4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6E444E0" w14:textId="77777777" w:rsidTr="00B518F1">
        <w:tc>
          <w:tcPr>
            <w:tcW w:w="1564" w:type="dxa"/>
            <w:vAlign w:val="center"/>
          </w:tcPr>
          <w:p w14:paraId="2724F8F6" w14:textId="77777777" w:rsidR="007075D9" w:rsidRPr="004D46AC" w:rsidRDefault="007075D9" w:rsidP="00CE2F7A">
            <w:pPr>
              <w:spacing w:line="240" w:lineRule="auto"/>
              <w:ind w:firstLine="0"/>
              <w:rPr>
                <w:b/>
                <w:bCs/>
                <w:i/>
                <w:iCs/>
              </w:rPr>
            </w:pPr>
            <w:r w:rsidRPr="004D46AC">
              <w:rPr>
                <w:rFonts w:eastAsia="DengXian"/>
                <w:color w:val="000000"/>
              </w:rPr>
              <w:t>P4--Y7</w:t>
            </w:r>
          </w:p>
        </w:tc>
        <w:tc>
          <w:tcPr>
            <w:tcW w:w="1603" w:type="dxa"/>
            <w:vAlign w:val="center"/>
          </w:tcPr>
          <w:p w14:paraId="506FBC19" w14:textId="77777777" w:rsidR="007075D9" w:rsidRPr="004D46AC" w:rsidRDefault="007075D9" w:rsidP="00CE2F7A">
            <w:pPr>
              <w:spacing w:line="240" w:lineRule="auto"/>
              <w:ind w:firstLine="0"/>
              <w:rPr>
                <w:b/>
                <w:bCs/>
                <w:i/>
                <w:iCs/>
              </w:rPr>
            </w:pPr>
            <w:r w:rsidRPr="004D46AC">
              <w:rPr>
                <w:color w:val="000000"/>
              </w:rPr>
              <w:t xml:space="preserve">0.14 </w:t>
            </w:r>
          </w:p>
        </w:tc>
        <w:tc>
          <w:tcPr>
            <w:tcW w:w="1603" w:type="dxa"/>
            <w:vAlign w:val="center"/>
          </w:tcPr>
          <w:p w14:paraId="698FF6E7"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52FFE45E" w14:textId="77777777" w:rsidR="007075D9" w:rsidRPr="004D46AC" w:rsidRDefault="007075D9" w:rsidP="00CE2F7A">
            <w:pPr>
              <w:spacing w:line="240" w:lineRule="auto"/>
              <w:ind w:firstLine="0"/>
              <w:rPr>
                <w:b/>
                <w:bCs/>
                <w:i/>
                <w:iCs/>
              </w:rPr>
            </w:pPr>
            <w:r w:rsidRPr="004D46AC">
              <w:rPr>
                <w:color w:val="000000"/>
              </w:rPr>
              <w:t xml:space="preserve">0.21 </w:t>
            </w:r>
          </w:p>
        </w:tc>
        <w:tc>
          <w:tcPr>
            <w:tcW w:w="1565" w:type="dxa"/>
            <w:vAlign w:val="center"/>
          </w:tcPr>
          <w:p w14:paraId="3DE8CBE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A80EE02" w14:textId="77777777" w:rsidTr="00B518F1">
        <w:tc>
          <w:tcPr>
            <w:tcW w:w="1564" w:type="dxa"/>
            <w:vAlign w:val="center"/>
          </w:tcPr>
          <w:p w14:paraId="1E330FEE" w14:textId="77777777" w:rsidR="007075D9" w:rsidRPr="004D46AC" w:rsidRDefault="007075D9" w:rsidP="00CE2F7A">
            <w:pPr>
              <w:spacing w:line="240" w:lineRule="auto"/>
              <w:ind w:firstLine="0"/>
              <w:rPr>
                <w:b/>
                <w:bCs/>
                <w:i/>
                <w:iCs/>
              </w:rPr>
            </w:pPr>
            <w:r w:rsidRPr="004D46AC">
              <w:rPr>
                <w:rFonts w:eastAsia="DengXian"/>
                <w:color w:val="000000"/>
              </w:rPr>
              <w:t>M7--M9</w:t>
            </w:r>
          </w:p>
        </w:tc>
        <w:tc>
          <w:tcPr>
            <w:tcW w:w="1603" w:type="dxa"/>
            <w:vAlign w:val="center"/>
          </w:tcPr>
          <w:p w14:paraId="27F6ED09" w14:textId="77777777" w:rsidR="007075D9" w:rsidRPr="004D46AC" w:rsidRDefault="007075D9" w:rsidP="00CE2F7A">
            <w:pPr>
              <w:spacing w:line="240" w:lineRule="auto"/>
              <w:ind w:firstLine="0"/>
              <w:rPr>
                <w:b/>
                <w:bCs/>
                <w:i/>
                <w:iCs/>
              </w:rPr>
            </w:pPr>
            <w:r w:rsidRPr="004D46AC">
              <w:rPr>
                <w:color w:val="000000"/>
              </w:rPr>
              <w:t xml:space="preserve">0.14 </w:t>
            </w:r>
          </w:p>
        </w:tc>
        <w:tc>
          <w:tcPr>
            <w:tcW w:w="1603" w:type="dxa"/>
            <w:vAlign w:val="center"/>
          </w:tcPr>
          <w:p w14:paraId="46F0485D"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0B14E650" w14:textId="77777777" w:rsidR="007075D9" w:rsidRPr="004D46AC" w:rsidRDefault="007075D9" w:rsidP="00CE2F7A">
            <w:pPr>
              <w:spacing w:line="240" w:lineRule="auto"/>
              <w:ind w:firstLine="0"/>
              <w:rPr>
                <w:b/>
                <w:bCs/>
                <w:i/>
                <w:iCs/>
              </w:rPr>
            </w:pPr>
            <w:r w:rsidRPr="004D46AC">
              <w:rPr>
                <w:color w:val="000000"/>
              </w:rPr>
              <w:t xml:space="preserve">0.22 </w:t>
            </w:r>
          </w:p>
        </w:tc>
        <w:tc>
          <w:tcPr>
            <w:tcW w:w="1565" w:type="dxa"/>
            <w:vAlign w:val="center"/>
          </w:tcPr>
          <w:p w14:paraId="3BD44C5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3EA2E95" w14:textId="77777777" w:rsidTr="00B518F1">
        <w:tc>
          <w:tcPr>
            <w:tcW w:w="1564" w:type="dxa"/>
            <w:vAlign w:val="center"/>
          </w:tcPr>
          <w:p w14:paraId="1F37A51C" w14:textId="77777777" w:rsidR="007075D9" w:rsidRPr="004D46AC" w:rsidRDefault="007075D9" w:rsidP="00CE2F7A">
            <w:pPr>
              <w:spacing w:line="240" w:lineRule="auto"/>
              <w:ind w:firstLine="0"/>
              <w:rPr>
                <w:b/>
                <w:bCs/>
                <w:i/>
                <w:iCs/>
              </w:rPr>
            </w:pPr>
            <w:r w:rsidRPr="004D46AC">
              <w:rPr>
                <w:rFonts w:eastAsia="DengXian"/>
                <w:color w:val="000000"/>
              </w:rPr>
              <w:t>P6--WD</w:t>
            </w:r>
          </w:p>
        </w:tc>
        <w:tc>
          <w:tcPr>
            <w:tcW w:w="1603" w:type="dxa"/>
            <w:vAlign w:val="center"/>
          </w:tcPr>
          <w:p w14:paraId="34C5E99B" w14:textId="77777777" w:rsidR="007075D9" w:rsidRPr="004D46AC" w:rsidRDefault="007075D9" w:rsidP="00CE2F7A">
            <w:pPr>
              <w:spacing w:line="240" w:lineRule="auto"/>
              <w:ind w:firstLine="0"/>
              <w:rPr>
                <w:b/>
                <w:bCs/>
                <w:i/>
                <w:iCs/>
              </w:rPr>
            </w:pPr>
            <w:r w:rsidRPr="004D46AC">
              <w:rPr>
                <w:color w:val="000000"/>
              </w:rPr>
              <w:t xml:space="preserve">0.14 </w:t>
            </w:r>
          </w:p>
        </w:tc>
        <w:tc>
          <w:tcPr>
            <w:tcW w:w="1603" w:type="dxa"/>
            <w:vAlign w:val="center"/>
          </w:tcPr>
          <w:p w14:paraId="279FAF42"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3413498C" w14:textId="77777777" w:rsidR="007075D9" w:rsidRPr="004D46AC" w:rsidRDefault="007075D9" w:rsidP="00CE2F7A">
            <w:pPr>
              <w:spacing w:line="240" w:lineRule="auto"/>
              <w:ind w:firstLine="0"/>
              <w:rPr>
                <w:b/>
                <w:bCs/>
                <w:i/>
                <w:iCs/>
              </w:rPr>
            </w:pPr>
            <w:r w:rsidRPr="004D46AC">
              <w:rPr>
                <w:color w:val="000000"/>
              </w:rPr>
              <w:t xml:space="preserve">0.20 </w:t>
            </w:r>
          </w:p>
        </w:tc>
        <w:tc>
          <w:tcPr>
            <w:tcW w:w="1565" w:type="dxa"/>
            <w:vAlign w:val="center"/>
          </w:tcPr>
          <w:p w14:paraId="62F9602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88EA9B1" w14:textId="77777777" w:rsidTr="00B518F1">
        <w:tc>
          <w:tcPr>
            <w:tcW w:w="1564" w:type="dxa"/>
            <w:vAlign w:val="center"/>
          </w:tcPr>
          <w:p w14:paraId="1A09B404" w14:textId="77777777" w:rsidR="007075D9" w:rsidRPr="004D46AC" w:rsidRDefault="007075D9" w:rsidP="00CE2F7A">
            <w:pPr>
              <w:spacing w:line="240" w:lineRule="auto"/>
              <w:ind w:firstLine="0"/>
              <w:rPr>
                <w:b/>
                <w:bCs/>
                <w:i/>
                <w:iCs/>
              </w:rPr>
            </w:pPr>
            <w:r w:rsidRPr="004D46AC">
              <w:rPr>
                <w:rFonts w:eastAsia="DengXian"/>
                <w:color w:val="000000"/>
              </w:rPr>
              <w:t>P4--Y6</w:t>
            </w:r>
          </w:p>
        </w:tc>
        <w:tc>
          <w:tcPr>
            <w:tcW w:w="1603" w:type="dxa"/>
            <w:vAlign w:val="center"/>
          </w:tcPr>
          <w:p w14:paraId="014BC58A" w14:textId="77777777" w:rsidR="007075D9" w:rsidRPr="004D46AC" w:rsidRDefault="007075D9" w:rsidP="00CE2F7A">
            <w:pPr>
              <w:spacing w:line="240" w:lineRule="auto"/>
              <w:ind w:firstLine="0"/>
              <w:rPr>
                <w:b/>
                <w:bCs/>
                <w:i/>
                <w:iCs/>
              </w:rPr>
            </w:pPr>
            <w:r w:rsidRPr="004D46AC">
              <w:rPr>
                <w:color w:val="000000"/>
              </w:rPr>
              <w:t xml:space="preserve">0.13 </w:t>
            </w:r>
          </w:p>
        </w:tc>
        <w:tc>
          <w:tcPr>
            <w:tcW w:w="1603" w:type="dxa"/>
            <w:vAlign w:val="center"/>
          </w:tcPr>
          <w:p w14:paraId="52E5E891"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5917EDAC" w14:textId="77777777" w:rsidR="007075D9" w:rsidRPr="004D46AC" w:rsidRDefault="007075D9" w:rsidP="00CE2F7A">
            <w:pPr>
              <w:spacing w:line="240" w:lineRule="auto"/>
              <w:ind w:firstLine="0"/>
              <w:rPr>
                <w:b/>
                <w:bCs/>
                <w:i/>
                <w:iCs/>
              </w:rPr>
            </w:pPr>
            <w:r w:rsidRPr="004D46AC">
              <w:rPr>
                <w:color w:val="000000"/>
              </w:rPr>
              <w:t xml:space="preserve">0.20 </w:t>
            </w:r>
          </w:p>
        </w:tc>
        <w:tc>
          <w:tcPr>
            <w:tcW w:w="1565" w:type="dxa"/>
            <w:vAlign w:val="center"/>
          </w:tcPr>
          <w:p w14:paraId="0605D37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57A9C3F" w14:textId="77777777" w:rsidTr="00B518F1">
        <w:tc>
          <w:tcPr>
            <w:tcW w:w="1564" w:type="dxa"/>
            <w:vAlign w:val="center"/>
          </w:tcPr>
          <w:p w14:paraId="0410B1E3" w14:textId="77777777" w:rsidR="007075D9" w:rsidRPr="004D46AC" w:rsidRDefault="007075D9" w:rsidP="00CE2F7A">
            <w:pPr>
              <w:spacing w:line="240" w:lineRule="auto"/>
              <w:ind w:firstLine="0"/>
              <w:rPr>
                <w:b/>
                <w:bCs/>
                <w:i/>
                <w:iCs/>
              </w:rPr>
            </w:pPr>
            <w:r w:rsidRPr="004D46AC">
              <w:rPr>
                <w:rFonts w:eastAsia="DengXian"/>
                <w:color w:val="000000"/>
              </w:rPr>
              <w:t>IA--M3</w:t>
            </w:r>
          </w:p>
        </w:tc>
        <w:tc>
          <w:tcPr>
            <w:tcW w:w="1603" w:type="dxa"/>
            <w:vAlign w:val="center"/>
          </w:tcPr>
          <w:p w14:paraId="0F8508FD" w14:textId="77777777" w:rsidR="007075D9" w:rsidRPr="004D46AC" w:rsidRDefault="007075D9" w:rsidP="00CE2F7A">
            <w:pPr>
              <w:spacing w:line="240" w:lineRule="auto"/>
              <w:ind w:firstLine="0"/>
              <w:rPr>
                <w:b/>
                <w:bCs/>
                <w:i/>
                <w:iCs/>
              </w:rPr>
            </w:pPr>
            <w:r w:rsidRPr="004D46AC">
              <w:rPr>
                <w:color w:val="000000"/>
              </w:rPr>
              <w:t xml:space="preserve">0.13 </w:t>
            </w:r>
          </w:p>
        </w:tc>
        <w:tc>
          <w:tcPr>
            <w:tcW w:w="1603" w:type="dxa"/>
            <w:vAlign w:val="center"/>
          </w:tcPr>
          <w:p w14:paraId="7DB69C3C"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6194B131" w14:textId="77777777" w:rsidR="007075D9" w:rsidRPr="004D46AC" w:rsidRDefault="007075D9" w:rsidP="00CE2F7A">
            <w:pPr>
              <w:spacing w:line="240" w:lineRule="auto"/>
              <w:ind w:firstLine="0"/>
              <w:rPr>
                <w:b/>
                <w:bCs/>
                <w:i/>
                <w:iCs/>
              </w:rPr>
            </w:pPr>
            <w:r w:rsidRPr="004D46AC">
              <w:rPr>
                <w:color w:val="000000"/>
              </w:rPr>
              <w:t xml:space="preserve">0.21 </w:t>
            </w:r>
          </w:p>
        </w:tc>
        <w:tc>
          <w:tcPr>
            <w:tcW w:w="1565" w:type="dxa"/>
            <w:vAlign w:val="center"/>
          </w:tcPr>
          <w:p w14:paraId="205E875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3DF87F0" w14:textId="77777777" w:rsidTr="00B518F1">
        <w:tc>
          <w:tcPr>
            <w:tcW w:w="1564" w:type="dxa"/>
            <w:vAlign w:val="center"/>
          </w:tcPr>
          <w:p w14:paraId="2BC90AF5" w14:textId="77777777" w:rsidR="007075D9" w:rsidRPr="004D46AC" w:rsidRDefault="007075D9" w:rsidP="00CE2F7A">
            <w:pPr>
              <w:spacing w:line="240" w:lineRule="auto"/>
              <w:ind w:firstLine="0"/>
              <w:rPr>
                <w:b/>
                <w:bCs/>
                <w:i/>
                <w:iCs/>
              </w:rPr>
            </w:pPr>
            <w:r w:rsidRPr="004D46AC">
              <w:rPr>
                <w:rFonts w:eastAsia="DengXian"/>
                <w:color w:val="000000"/>
              </w:rPr>
              <w:t>M8--M9</w:t>
            </w:r>
          </w:p>
        </w:tc>
        <w:tc>
          <w:tcPr>
            <w:tcW w:w="1603" w:type="dxa"/>
            <w:vAlign w:val="center"/>
          </w:tcPr>
          <w:p w14:paraId="5AB62C53" w14:textId="77777777" w:rsidR="007075D9" w:rsidRPr="004D46AC" w:rsidRDefault="007075D9" w:rsidP="00CE2F7A">
            <w:pPr>
              <w:spacing w:line="240" w:lineRule="auto"/>
              <w:ind w:firstLine="0"/>
              <w:rPr>
                <w:b/>
                <w:bCs/>
                <w:i/>
                <w:iCs/>
              </w:rPr>
            </w:pPr>
            <w:r w:rsidRPr="004D46AC">
              <w:rPr>
                <w:color w:val="000000"/>
              </w:rPr>
              <w:t xml:space="preserve">0.12 </w:t>
            </w:r>
          </w:p>
        </w:tc>
        <w:tc>
          <w:tcPr>
            <w:tcW w:w="1603" w:type="dxa"/>
            <w:vAlign w:val="center"/>
          </w:tcPr>
          <w:p w14:paraId="19CF4565"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3FA5F3FB" w14:textId="77777777" w:rsidR="007075D9" w:rsidRPr="004D46AC" w:rsidRDefault="007075D9" w:rsidP="00CE2F7A">
            <w:pPr>
              <w:spacing w:line="240" w:lineRule="auto"/>
              <w:ind w:firstLine="0"/>
              <w:rPr>
                <w:b/>
                <w:bCs/>
                <w:i/>
                <w:iCs/>
              </w:rPr>
            </w:pPr>
            <w:r w:rsidRPr="004D46AC">
              <w:rPr>
                <w:color w:val="000000"/>
              </w:rPr>
              <w:t xml:space="preserve">0.20 </w:t>
            </w:r>
          </w:p>
        </w:tc>
        <w:tc>
          <w:tcPr>
            <w:tcW w:w="1565" w:type="dxa"/>
            <w:vAlign w:val="center"/>
          </w:tcPr>
          <w:p w14:paraId="5C8DB82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0068E4D" w14:textId="77777777" w:rsidTr="00B518F1">
        <w:tc>
          <w:tcPr>
            <w:tcW w:w="1564" w:type="dxa"/>
            <w:vAlign w:val="center"/>
          </w:tcPr>
          <w:p w14:paraId="716EEA1C" w14:textId="77777777" w:rsidR="007075D9" w:rsidRPr="004D46AC" w:rsidRDefault="007075D9" w:rsidP="00CE2F7A">
            <w:pPr>
              <w:spacing w:line="240" w:lineRule="auto"/>
              <w:ind w:firstLine="0"/>
              <w:rPr>
                <w:b/>
                <w:bCs/>
                <w:i/>
                <w:iCs/>
              </w:rPr>
            </w:pPr>
            <w:r w:rsidRPr="004D46AC">
              <w:rPr>
                <w:rFonts w:eastAsia="DengXian"/>
                <w:color w:val="000000"/>
              </w:rPr>
              <w:t>M6--SP</w:t>
            </w:r>
          </w:p>
        </w:tc>
        <w:tc>
          <w:tcPr>
            <w:tcW w:w="1603" w:type="dxa"/>
            <w:vAlign w:val="center"/>
          </w:tcPr>
          <w:p w14:paraId="471831E7" w14:textId="77777777" w:rsidR="007075D9" w:rsidRPr="004D46AC" w:rsidRDefault="007075D9" w:rsidP="00CE2F7A">
            <w:pPr>
              <w:spacing w:line="240" w:lineRule="auto"/>
              <w:ind w:firstLine="0"/>
              <w:rPr>
                <w:b/>
                <w:bCs/>
                <w:i/>
                <w:iCs/>
              </w:rPr>
            </w:pPr>
            <w:r w:rsidRPr="004D46AC">
              <w:rPr>
                <w:color w:val="000000"/>
              </w:rPr>
              <w:t xml:space="preserve">0.12 </w:t>
            </w:r>
          </w:p>
        </w:tc>
        <w:tc>
          <w:tcPr>
            <w:tcW w:w="1603" w:type="dxa"/>
            <w:vAlign w:val="center"/>
          </w:tcPr>
          <w:p w14:paraId="063F3CF8"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4312A599" w14:textId="77777777" w:rsidR="007075D9" w:rsidRPr="004D46AC" w:rsidRDefault="007075D9" w:rsidP="00CE2F7A">
            <w:pPr>
              <w:spacing w:line="240" w:lineRule="auto"/>
              <w:ind w:firstLine="0"/>
              <w:rPr>
                <w:b/>
                <w:bCs/>
                <w:i/>
                <w:iCs/>
              </w:rPr>
            </w:pPr>
            <w:r w:rsidRPr="004D46AC">
              <w:rPr>
                <w:color w:val="000000"/>
              </w:rPr>
              <w:t xml:space="preserve">0.19 </w:t>
            </w:r>
          </w:p>
        </w:tc>
        <w:tc>
          <w:tcPr>
            <w:tcW w:w="1565" w:type="dxa"/>
            <w:vAlign w:val="center"/>
          </w:tcPr>
          <w:p w14:paraId="3D67BE9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2611458" w14:textId="77777777" w:rsidTr="00B518F1">
        <w:tc>
          <w:tcPr>
            <w:tcW w:w="1564" w:type="dxa"/>
            <w:vAlign w:val="center"/>
          </w:tcPr>
          <w:p w14:paraId="268E00B5" w14:textId="77777777" w:rsidR="007075D9" w:rsidRPr="004D46AC" w:rsidRDefault="007075D9" w:rsidP="00CE2F7A">
            <w:pPr>
              <w:spacing w:line="240" w:lineRule="auto"/>
              <w:ind w:firstLine="0"/>
              <w:rPr>
                <w:b/>
                <w:bCs/>
                <w:i/>
                <w:iCs/>
              </w:rPr>
            </w:pPr>
            <w:r w:rsidRPr="004D46AC">
              <w:rPr>
                <w:rFonts w:eastAsia="DengXian"/>
                <w:color w:val="000000"/>
              </w:rPr>
              <w:t>IA--SP</w:t>
            </w:r>
          </w:p>
        </w:tc>
        <w:tc>
          <w:tcPr>
            <w:tcW w:w="1603" w:type="dxa"/>
            <w:vAlign w:val="center"/>
          </w:tcPr>
          <w:p w14:paraId="30BDE656" w14:textId="77777777" w:rsidR="007075D9" w:rsidRPr="004D46AC" w:rsidRDefault="007075D9" w:rsidP="00CE2F7A">
            <w:pPr>
              <w:spacing w:line="240" w:lineRule="auto"/>
              <w:ind w:firstLine="0"/>
              <w:rPr>
                <w:b/>
                <w:bCs/>
                <w:i/>
                <w:iCs/>
              </w:rPr>
            </w:pPr>
            <w:r w:rsidRPr="004D46AC">
              <w:rPr>
                <w:color w:val="000000"/>
              </w:rPr>
              <w:t xml:space="preserve">0.12 </w:t>
            </w:r>
          </w:p>
        </w:tc>
        <w:tc>
          <w:tcPr>
            <w:tcW w:w="1603" w:type="dxa"/>
            <w:vAlign w:val="center"/>
          </w:tcPr>
          <w:p w14:paraId="003A4F22"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57FA6F51" w14:textId="77777777" w:rsidR="007075D9" w:rsidRPr="004D46AC" w:rsidRDefault="007075D9" w:rsidP="00CE2F7A">
            <w:pPr>
              <w:spacing w:line="240" w:lineRule="auto"/>
              <w:ind w:firstLine="0"/>
              <w:rPr>
                <w:b/>
                <w:bCs/>
                <w:i/>
                <w:iCs/>
              </w:rPr>
            </w:pPr>
            <w:r w:rsidRPr="004D46AC">
              <w:rPr>
                <w:color w:val="000000"/>
              </w:rPr>
              <w:t xml:space="preserve">0.19 </w:t>
            </w:r>
          </w:p>
        </w:tc>
        <w:tc>
          <w:tcPr>
            <w:tcW w:w="1565" w:type="dxa"/>
            <w:vAlign w:val="center"/>
          </w:tcPr>
          <w:p w14:paraId="3D8D577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45E8CC8" w14:textId="77777777" w:rsidTr="00B518F1">
        <w:tc>
          <w:tcPr>
            <w:tcW w:w="1564" w:type="dxa"/>
            <w:vAlign w:val="center"/>
          </w:tcPr>
          <w:p w14:paraId="115662F1" w14:textId="77777777" w:rsidR="007075D9" w:rsidRPr="004D46AC" w:rsidRDefault="007075D9" w:rsidP="00CE2F7A">
            <w:pPr>
              <w:spacing w:line="240" w:lineRule="auto"/>
              <w:ind w:firstLine="0"/>
              <w:rPr>
                <w:b/>
                <w:bCs/>
                <w:i/>
                <w:iCs/>
              </w:rPr>
            </w:pPr>
            <w:r w:rsidRPr="004D46AC">
              <w:rPr>
                <w:rFonts w:eastAsia="DengXian"/>
                <w:color w:val="000000"/>
              </w:rPr>
              <w:t>P3--P6</w:t>
            </w:r>
          </w:p>
        </w:tc>
        <w:tc>
          <w:tcPr>
            <w:tcW w:w="1603" w:type="dxa"/>
            <w:vAlign w:val="center"/>
          </w:tcPr>
          <w:p w14:paraId="3A1E6B7A" w14:textId="77777777" w:rsidR="007075D9" w:rsidRPr="004D46AC" w:rsidRDefault="007075D9" w:rsidP="00CE2F7A">
            <w:pPr>
              <w:spacing w:line="240" w:lineRule="auto"/>
              <w:ind w:firstLine="0"/>
              <w:rPr>
                <w:b/>
                <w:bCs/>
                <w:i/>
                <w:iCs/>
              </w:rPr>
            </w:pPr>
            <w:r w:rsidRPr="004D46AC">
              <w:rPr>
                <w:color w:val="000000"/>
              </w:rPr>
              <w:t xml:space="preserve">0.12 </w:t>
            </w:r>
          </w:p>
        </w:tc>
        <w:tc>
          <w:tcPr>
            <w:tcW w:w="1603" w:type="dxa"/>
            <w:vAlign w:val="center"/>
          </w:tcPr>
          <w:p w14:paraId="3C0DFC70"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7F9A3BB6" w14:textId="77777777" w:rsidR="007075D9" w:rsidRPr="004D46AC" w:rsidRDefault="007075D9" w:rsidP="00CE2F7A">
            <w:pPr>
              <w:spacing w:line="240" w:lineRule="auto"/>
              <w:ind w:firstLine="0"/>
              <w:rPr>
                <w:b/>
                <w:bCs/>
                <w:i/>
                <w:iCs/>
              </w:rPr>
            </w:pPr>
            <w:r w:rsidRPr="004D46AC">
              <w:rPr>
                <w:color w:val="000000"/>
              </w:rPr>
              <w:t xml:space="preserve">0.19 </w:t>
            </w:r>
          </w:p>
        </w:tc>
        <w:tc>
          <w:tcPr>
            <w:tcW w:w="1565" w:type="dxa"/>
            <w:vAlign w:val="center"/>
          </w:tcPr>
          <w:p w14:paraId="5AF1ABF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13D4BEE" w14:textId="77777777" w:rsidTr="00B518F1">
        <w:tc>
          <w:tcPr>
            <w:tcW w:w="1564" w:type="dxa"/>
            <w:vAlign w:val="center"/>
          </w:tcPr>
          <w:p w14:paraId="3A4B7FAA" w14:textId="77777777" w:rsidR="007075D9" w:rsidRPr="004D46AC" w:rsidRDefault="007075D9" w:rsidP="00CE2F7A">
            <w:pPr>
              <w:spacing w:line="240" w:lineRule="auto"/>
              <w:ind w:firstLine="0"/>
              <w:rPr>
                <w:b/>
                <w:bCs/>
                <w:i/>
                <w:iCs/>
              </w:rPr>
            </w:pPr>
            <w:r w:rsidRPr="004D46AC">
              <w:rPr>
                <w:rFonts w:eastAsia="DengXian"/>
                <w:color w:val="000000"/>
              </w:rPr>
              <w:t>N1--WD</w:t>
            </w:r>
          </w:p>
        </w:tc>
        <w:tc>
          <w:tcPr>
            <w:tcW w:w="1603" w:type="dxa"/>
            <w:vAlign w:val="center"/>
          </w:tcPr>
          <w:p w14:paraId="7D6D80A2" w14:textId="77777777" w:rsidR="007075D9" w:rsidRPr="004D46AC" w:rsidRDefault="007075D9" w:rsidP="00CE2F7A">
            <w:pPr>
              <w:spacing w:line="240" w:lineRule="auto"/>
              <w:ind w:firstLine="0"/>
              <w:rPr>
                <w:b/>
                <w:bCs/>
                <w:i/>
                <w:iCs/>
              </w:rPr>
            </w:pPr>
            <w:r w:rsidRPr="004D46AC">
              <w:rPr>
                <w:color w:val="000000"/>
              </w:rPr>
              <w:t xml:space="preserve">0.11 </w:t>
            </w:r>
          </w:p>
        </w:tc>
        <w:tc>
          <w:tcPr>
            <w:tcW w:w="1603" w:type="dxa"/>
            <w:vAlign w:val="center"/>
          </w:tcPr>
          <w:p w14:paraId="6CECCBEC"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53580D5A" w14:textId="77777777" w:rsidR="007075D9" w:rsidRPr="004D46AC" w:rsidRDefault="007075D9" w:rsidP="00CE2F7A">
            <w:pPr>
              <w:spacing w:line="240" w:lineRule="auto"/>
              <w:ind w:firstLine="0"/>
              <w:rPr>
                <w:b/>
                <w:bCs/>
                <w:i/>
                <w:iCs/>
              </w:rPr>
            </w:pPr>
            <w:r w:rsidRPr="004D46AC">
              <w:rPr>
                <w:color w:val="000000"/>
              </w:rPr>
              <w:t xml:space="preserve">0.18 </w:t>
            </w:r>
          </w:p>
        </w:tc>
        <w:tc>
          <w:tcPr>
            <w:tcW w:w="1565" w:type="dxa"/>
            <w:vAlign w:val="center"/>
          </w:tcPr>
          <w:p w14:paraId="74050FD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216404B" w14:textId="77777777" w:rsidTr="00B518F1">
        <w:tc>
          <w:tcPr>
            <w:tcW w:w="1564" w:type="dxa"/>
            <w:vAlign w:val="center"/>
          </w:tcPr>
          <w:p w14:paraId="27968C28" w14:textId="77777777" w:rsidR="007075D9" w:rsidRPr="004D46AC" w:rsidRDefault="007075D9" w:rsidP="00CE2F7A">
            <w:pPr>
              <w:spacing w:line="240" w:lineRule="auto"/>
              <w:ind w:firstLine="0"/>
              <w:rPr>
                <w:b/>
                <w:bCs/>
                <w:i/>
                <w:iCs/>
              </w:rPr>
            </w:pPr>
            <w:r w:rsidRPr="004D46AC">
              <w:rPr>
                <w:rFonts w:eastAsia="DengXian"/>
                <w:color w:val="000000"/>
              </w:rPr>
              <w:t>P2--P5</w:t>
            </w:r>
          </w:p>
        </w:tc>
        <w:tc>
          <w:tcPr>
            <w:tcW w:w="1603" w:type="dxa"/>
            <w:vAlign w:val="center"/>
          </w:tcPr>
          <w:p w14:paraId="558B91D4" w14:textId="77777777" w:rsidR="007075D9" w:rsidRPr="004D46AC" w:rsidRDefault="007075D9" w:rsidP="00CE2F7A">
            <w:pPr>
              <w:spacing w:line="240" w:lineRule="auto"/>
              <w:ind w:firstLine="0"/>
              <w:rPr>
                <w:b/>
                <w:bCs/>
                <w:i/>
                <w:iCs/>
              </w:rPr>
            </w:pPr>
            <w:r w:rsidRPr="004D46AC">
              <w:rPr>
                <w:color w:val="000000"/>
              </w:rPr>
              <w:t xml:space="preserve">0.10 </w:t>
            </w:r>
          </w:p>
        </w:tc>
        <w:tc>
          <w:tcPr>
            <w:tcW w:w="1603" w:type="dxa"/>
            <w:vAlign w:val="center"/>
          </w:tcPr>
          <w:p w14:paraId="6666594D"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7F7CDB0D" w14:textId="77777777" w:rsidR="007075D9" w:rsidRPr="004D46AC" w:rsidRDefault="007075D9" w:rsidP="00CE2F7A">
            <w:pPr>
              <w:spacing w:line="240" w:lineRule="auto"/>
              <w:ind w:firstLine="0"/>
              <w:rPr>
                <w:b/>
                <w:bCs/>
                <w:i/>
                <w:iCs/>
              </w:rPr>
            </w:pPr>
            <w:r w:rsidRPr="004D46AC">
              <w:rPr>
                <w:color w:val="000000"/>
              </w:rPr>
              <w:t xml:space="preserve">0.18 </w:t>
            </w:r>
          </w:p>
        </w:tc>
        <w:tc>
          <w:tcPr>
            <w:tcW w:w="1565" w:type="dxa"/>
            <w:vAlign w:val="center"/>
          </w:tcPr>
          <w:p w14:paraId="73EC7A21"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090BBBFC" w14:textId="77777777" w:rsidTr="00B518F1">
        <w:tc>
          <w:tcPr>
            <w:tcW w:w="1564" w:type="dxa"/>
            <w:vAlign w:val="center"/>
          </w:tcPr>
          <w:p w14:paraId="3AAD6446" w14:textId="77777777" w:rsidR="007075D9" w:rsidRPr="004D46AC" w:rsidRDefault="007075D9" w:rsidP="00CE2F7A">
            <w:pPr>
              <w:spacing w:line="240" w:lineRule="auto"/>
              <w:ind w:firstLine="0"/>
              <w:rPr>
                <w:b/>
                <w:bCs/>
                <w:i/>
                <w:iCs/>
              </w:rPr>
            </w:pPr>
            <w:r w:rsidRPr="004D46AC">
              <w:rPr>
                <w:rFonts w:eastAsia="DengXian"/>
                <w:color w:val="000000"/>
              </w:rPr>
              <w:t>N5--N7</w:t>
            </w:r>
          </w:p>
        </w:tc>
        <w:tc>
          <w:tcPr>
            <w:tcW w:w="1603" w:type="dxa"/>
            <w:vAlign w:val="center"/>
          </w:tcPr>
          <w:p w14:paraId="28ECA1E8" w14:textId="77777777" w:rsidR="007075D9" w:rsidRPr="004D46AC" w:rsidRDefault="007075D9" w:rsidP="00CE2F7A">
            <w:pPr>
              <w:spacing w:line="240" w:lineRule="auto"/>
              <w:ind w:firstLine="0"/>
              <w:rPr>
                <w:b/>
                <w:bCs/>
                <w:i/>
                <w:iCs/>
              </w:rPr>
            </w:pPr>
            <w:r w:rsidRPr="004D46AC">
              <w:rPr>
                <w:color w:val="000000"/>
              </w:rPr>
              <w:t xml:space="preserve">0.10 </w:t>
            </w:r>
          </w:p>
        </w:tc>
        <w:tc>
          <w:tcPr>
            <w:tcW w:w="1603" w:type="dxa"/>
            <w:vAlign w:val="center"/>
          </w:tcPr>
          <w:p w14:paraId="190BF7E8"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7B3242B7" w14:textId="77777777" w:rsidR="007075D9" w:rsidRPr="004D46AC" w:rsidRDefault="007075D9" w:rsidP="00CE2F7A">
            <w:pPr>
              <w:spacing w:line="240" w:lineRule="auto"/>
              <w:ind w:firstLine="0"/>
              <w:rPr>
                <w:b/>
                <w:bCs/>
                <w:i/>
                <w:iCs/>
              </w:rPr>
            </w:pPr>
            <w:r w:rsidRPr="004D46AC">
              <w:rPr>
                <w:color w:val="000000"/>
              </w:rPr>
              <w:t xml:space="preserve">0.18 </w:t>
            </w:r>
          </w:p>
        </w:tc>
        <w:tc>
          <w:tcPr>
            <w:tcW w:w="1565" w:type="dxa"/>
            <w:vAlign w:val="center"/>
          </w:tcPr>
          <w:p w14:paraId="5236529A"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27425387" w14:textId="77777777" w:rsidTr="00B518F1">
        <w:tc>
          <w:tcPr>
            <w:tcW w:w="1564" w:type="dxa"/>
            <w:vAlign w:val="center"/>
          </w:tcPr>
          <w:p w14:paraId="22376474" w14:textId="77777777" w:rsidR="007075D9" w:rsidRPr="004D46AC" w:rsidRDefault="007075D9" w:rsidP="00CE2F7A">
            <w:pPr>
              <w:spacing w:line="240" w:lineRule="auto"/>
              <w:ind w:firstLine="0"/>
              <w:rPr>
                <w:b/>
                <w:bCs/>
                <w:i/>
                <w:iCs/>
              </w:rPr>
            </w:pPr>
            <w:r w:rsidRPr="004D46AC">
              <w:rPr>
                <w:rFonts w:eastAsia="DengXian"/>
                <w:color w:val="000000"/>
              </w:rPr>
              <w:t>M3--SP</w:t>
            </w:r>
          </w:p>
        </w:tc>
        <w:tc>
          <w:tcPr>
            <w:tcW w:w="1603" w:type="dxa"/>
            <w:vAlign w:val="center"/>
          </w:tcPr>
          <w:p w14:paraId="42156891" w14:textId="77777777" w:rsidR="007075D9" w:rsidRPr="004D46AC" w:rsidRDefault="007075D9" w:rsidP="00CE2F7A">
            <w:pPr>
              <w:spacing w:line="240" w:lineRule="auto"/>
              <w:ind w:firstLine="0"/>
              <w:rPr>
                <w:b/>
                <w:bCs/>
                <w:i/>
                <w:iCs/>
              </w:rPr>
            </w:pPr>
            <w:r w:rsidRPr="004D46AC">
              <w:rPr>
                <w:color w:val="000000"/>
              </w:rPr>
              <w:t xml:space="preserve">0.10 </w:t>
            </w:r>
          </w:p>
        </w:tc>
        <w:tc>
          <w:tcPr>
            <w:tcW w:w="1603" w:type="dxa"/>
            <w:vAlign w:val="center"/>
          </w:tcPr>
          <w:p w14:paraId="4A5965E1"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62A65575" w14:textId="77777777" w:rsidR="007075D9" w:rsidRPr="004D46AC" w:rsidRDefault="007075D9" w:rsidP="00CE2F7A">
            <w:pPr>
              <w:spacing w:line="240" w:lineRule="auto"/>
              <w:ind w:firstLine="0"/>
              <w:rPr>
                <w:b/>
                <w:bCs/>
                <w:i/>
                <w:iCs/>
              </w:rPr>
            </w:pPr>
            <w:r w:rsidRPr="004D46AC">
              <w:rPr>
                <w:color w:val="000000"/>
              </w:rPr>
              <w:t xml:space="preserve">0.17 </w:t>
            </w:r>
          </w:p>
        </w:tc>
        <w:tc>
          <w:tcPr>
            <w:tcW w:w="1565" w:type="dxa"/>
            <w:vAlign w:val="center"/>
          </w:tcPr>
          <w:p w14:paraId="222958D9"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4DADB88E" w14:textId="77777777" w:rsidTr="00B518F1">
        <w:tc>
          <w:tcPr>
            <w:tcW w:w="1564" w:type="dxa"/>
            <w:vAlign w:val="center"/>
          </w:tcPr>
          <w:p w14:paraId="368B1B97" w14:textId="77777777" w:rsidR="007075D9" w:rsidRPr="004D46AC" w:rsidRDefault="007075D9" w:rsidP="00CE2F7A">
            <w:pPr>
              <w:spacing w:line="240" w:lineRule="auto"/>
              <w:ind w:firstLine="0"/>
              <w:rPr>
                <w:b/>
                <w:bCs/>
                <w:i/>
                <w:iCs/>
              </w:rPr>
            </w:pPr>
            <w:r w:rsidRPr="004D46AC">
              <w:rPr>
                <w:rFonts w:eastAsia="DengXian"/>
                <w:color w:val="000000"/>
              </w:rPr>
              <w:t>P4--ME</w:t>
            </w:r>
          </w:p>
        </w:tc>
        <w:tc>
          <w:tcPr>
            <w:tcW w:w="1603" w:type="dxa"/>
            <w:vAlign w:val="center"/>
          </w:tcPr>
          <w:p w14:paraId="11AE3684" w14:textId="77777777" w:rsidR="007075D9" w:rsidRPr="004D46AC" w:rsidRDefault="007075D9" w:rsidP="00CE2F7A">
            <w:pPr>
              <w:spacing w:line="240" w:lineRule="auto"/>
              <w:ind w:firstLine="0"/>
              <w:rPr>
                <w:b/>
                <w:bCs/>
                <w:i/>
                <w:iCs/>
              </w:rPr>
            </w:pPr>
            <w:r w:rsidRPr="004D46AC">
              <w:rPr>
                <w:color w:val="000000"/>
              </w:rPr>
              <w:t xml:space="preserve">0.10 </w:t>
            </w:r>
          </w:p>
        </w:tc>
        <w:tc>
          <w:tcPr>
            <w:tcW w:w="1603" w:type="dxa"/>
            <w:vAlign w:val="center"/>
          </w:tcPr>
          <w:p w14:paraId="636E2471"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1378EFA0" w14:textId="77777777" w:rsidR="007075D9" w:rsidRPr="004D46AC" w:rsidRDefault="007075D9" w:rsidP="00CE2F7A">
            <w:pPr>
              <w:spacing w:line="240" w:lineRule="auto"/>
              <w:ind w:firstLine="0"/>
              <w:rPr>
                <w:b/>
                <w:bCs/>
                <w:i/>
                <w:iCs/>
              </w:rPr>
            </w:pPr>
            <w:r w:rsidRPr="004D46AC">
              <w:rPr>
                <w:color w:val="000000"/>
              </w:rPr>
              <w:t xml:space="preserve">0.17 </w:t>
            </w:r>
          </w:p>
        </w:tc>
        <w:tc>
          <w:tcPr>
            <w:tcW w:w="1565" w:type="dxa"/>
            <w:vAlign w:val="center"/>
          </w:tcPr>
          <w:p w14:paraId="218D882C"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596A796C" w14:textId="77777777" w:rsidTr="00B518F1">
        <w:tc>
          <w:tcPr>
            <w:tcW w:w="1564" w:type="dxa"/>
            <w:vAlign w:val="center"/>
          </w:tcPr>
          <w:p w14:paraId="1C8DFEBF" w14:textId="77777777" w:rsidR="007075D9" w:rsidRPr="004D46AC" w:rsidRDefault="007075D9" w:rsidP="00CE2F7A">
            <w:pPr>
              <w:spacing w:line="240" w:lineRule="auto"/>
              <w:ind w:firstLine="0"/>
              <w:rPr>
                <w:b/>
                <w:bCs/>
                <w:i/>
                <w:iCs/>
              </w:rPr>
            </w:pPr>
            <w:r w:rsidRPr="004D46AC">
              <w:rPr>
                <w:rFonts w:eastAsia="DengXian"/>
                <w:color w:val="000000"/>
              </w:rPr>
              <w:t>N1--N5</w:t>
            </w:r>
          </w:p>
        </w:tc>
        <w:tc>
          <w:tcPr>
            <w:tcW w:w="1603" w:type="dxa"/>
            <w:vAlign w:val="center"/>
          </w:tcPr>
          <w:p w14:paraId="0E72B317" w14:textId="77777777" w:rsidR="007075D9" w:rsidRPr="004D46AC" w:rsidRDefault="007075D9" w:rsidP="00CE2F7A">
            <w:pPr>
              <w:spacing w:line="240" w:lineRule="auto"/>
              <w:ind w:firstLine="0"/>
              <w:rPr>
                <w:b/>
                <w:bCs/>
                <w:i/>
                <w:iCs/>
              </w:rPr>
            </w:pPr>
            <w:r w:rsidRPr="004D46AC">
              <w:rPr>
                <w:color w:val="000000"/>
              </w:rPr>
              <w:t xml:space="preserve">0.09 </w:t>
            </w:r>
          </w:p>
        </w:tc>
        <w:tc>
          <w:tcPr>
            <w:tcW w:w="1603" w:type="dxa"/>
            <w:vAlign w:val="center"/>
          </w:tcPr>
          <w:p w14:paraId="614D3AB1"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6AD18120" w14:textId="77777777" w:rsidR="007075D9" w:rsidRPr="004D46AC" w:rsidRDefault="007075D9" w:rsidP="00CE2F7A">
            <w:pPr>
              <w:spacing w:line="240" w:lineRule="auto"/>
              <w:ind w:firstLine="0"/>
              <w:rPr>
                <w:b/>
                <w:bCs/>
                <w:i/>
                <w:iCs/>
              </w:rPr>
            </w:pPr>
            <w:r w:rsidRPr="004D46AC">
              <w:rPr>
                <w:color w:val="000000"/>
              </w:rPr>
              <w:t xml:space="preserve">0.17 </w:t>
            </w:r>
          </w:p>
        </w:tc>
        <w:tc>
          <w:tcPr>
            <w:tcW w:w="1565" w:type="dxa"/>
            <w:vAlign w:val="center"/>
          </w:tcPr>
          <w:p w14:paraId="025386E4"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50353B38" w14:textId="77777777" w:rsidTr="00B518F1">
        <w:tc>
          <w:tcPr>
            <w:tcW w:w="1564" w:type="dxa"/>
            <w:vAlign w:val="center"/>
          </w:tcPr>
          <w:p w14:paraId="64C0FE99" w14:textId="77777777" w:rsidR="007075D9" w:rsidRPr="004D46AC" w:rsidRDefault="007075D9" w:rsidP="00CE2F7A">
            <w:pPr>
              <w:spacing w:line="240" w:lineRule="auto"/>
              <w:ind w:firstLine="0"/>
              <w:rPr>
                <w:b/>
                <w:bCs/>
                <w:i/>
                <w:iCs/>
              </w:rPr>
            </w:pPr>
            <w:r w:rsidRPr="004D46AC">
              <w:rPr>
                <w:rFonts w:eastAsia="DengXian"/>
                <w:color w:val="000000"/>
              </w:rPr>
              <w:t>M3--M7</w:t>
            </w:r>
          </w:p>
        </w:tc>
        <w:tc>
          <w:tcPr>
            <w:tcW w:w="1603" w:type="dxa"/>
            <w:vAlign w:val="center"/>
          </w:tcPr>
          <w:p w14:paraId="5AF426AC" w14:textId="77777777" w:rsidR="007075D9" w:rsidRPr="004D46AC" w:rsidRDefault="007075D9" w:rsidP="00CE2F7A">
            <w:pPr>
              <w:spacing w:line="240" w:lineRule="auto"/>
              <w:ind w:firstLine="0"/>
              <w:rPr>
                <w:b/>
                <w:bCs/>
                <w:i/>
                <w:iCs/>
              </w:rPr>
            </w:pPr>
            <w:r w:rsidRPr="004D46AC">
              <w:rPr>
                <w:color w:val="000000"/>
              </w:rPr>
              <w:t xml:space="preserve">0.09 </w:t>
            </w:r>
          </w:p>
        </w:tc>
        <w:tc>
          <w:tcPr>
            <w:tcW w:w="1603" w:type="dxa"/>
            <w:vAlign w:val="center"/>
          </w:tcPr>
          <w:p w14:paraId="637C6E52"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37A137D3" w14:textId="77777777" w:rsidR="007075D9" w:rsidRPr="004D46AC" w:rsidRDefault="007075D9" w:rsidP="00CE2F7A">
            <w:pPr>
              <w:spacing w:line="240" w:lineRule="auto"/>
              <w:ind w:firstLine="0"/>
              <w:rPr>
                <w:b/>
                <w:bCs/>
                <w:i/>
                <w:iCs/>
              </w:rPr>
            </w:pPr>
            <w:r w:rsidRPr="004D46AC">
              <w:rPr>
                <w:color w:val="000000"/>
              </w:rPr>
              <w:t xml:space="preserve">0.17 </w:t>
            </w:r>
          </w:p>
        </w:tc>
        <w:tc>
          <w:tcPr>
            <w:tcW w:w="1565" w:type="dxa"/>
            <w:vAlign w:val="center"/>
          </w:tcPr>
          <w:p w14:paraId="3EE7730B"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1A327B35" w14:textId="77777777" w:rsidTr="00B518F1">
        <w:tc>
          <w:tcPr>
            <w:tcW w:w="1564" w:type="dxa"/>
            <w:vAlign w:val="center"/>
          </w:tcPr>
          <w:p w14:paraId="252DC576" w14:textId="77777777" w:rsidR="007075D9" w:rsidRPr="004D46AC" w:rsidRDefault="007075D9" w:rsidP="00CE2F7A">
            <w:pPr>
              <w:spacing w:line="240" w:lineRule="auto"/>
              <w:ind w:firstLine="0"/>
              <w:rPr>
                <w:b/>
                <w:bCs/>
                <w:i/>
                <w:iCs/>
              </w:rPr>
            </w:pPr>
            <w:r w:rsidRPr="004D46AC">
              <w:rPr>
                <w:rFonts w:eastAsia="DengXian"/>
                <w:color w:val="000000"/>
              </w:rPr>
              <w:t>P2--P6</w:t>
            </w:r>
          </w:p>
        </w:tc>
        <w:tc>
          <w:tcPr>
            <w:tcW w:w="1603" w:type="dxa"/>
            <w:vAlign w:val="center"/>
          </w:tcPr>
          <w:p w14:paraId="67FD0BD8" w14:textId="77777777" w:rsidR="007075D9" w:rsidRPr="004D46AC" w:rsidRDefault="007075D9" w:rsidP="00CE2F7A">
            <w:pPr>
              <w:spacing w:line="240" w:lineRule="auto"/>
              <w:ind w:firstLine="0"/>
              <w:rPr>
                <w:b/>
                <w:bCs/>
                <w:i/>
                <w:iCs/>
              </w:rPr>
            </w:pPr>
            <w:r w:rsidRPr="004D46AC">
              <w:rPr>
                <w:color w:val="000000"/>
              </w:rPr>
              <w:t xml:space="preserve">0.09 </w:t>
            </w:r>
          </w:p>
        </w:tc>
        <w:tc>
          <w:tcPr>
            <w:tcW w:w="1603" w:type="dxa"/>
            <w:vAlign w:val="center"/>
          </w:tcPr>
          <w:p w14:paraId="71BC3E59"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5DB0D737"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643D2E9F"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153652F1" w14:textId="77777777" w:rsidTr="00B518F1">
        <w:tc>
          <w:tcPr>
            <w:tcW w:w="1564" w:type="dxa"/>
            <w:vAlign w:val="center"/>
          </w:tcPr>
          <w:p w14:paraId="1DAD53E2" w14:textId="77777777" w:rsidR="007075D9" w:rsidRPr="004D46AC" w:rsidRDefault="007075D9" w:rsidP="00CE2F7A">
            <w:pPr>
              <w:spacing w:line="240" w:lineRule="auto"/>
              <w:ind w:firstLine="0"/>
              <w:rPr>
                <w:b/>
                <w:bCs/>
                <w:i/>
                <w:iCs/>
              </w:rPr>
            </w:pPr>
            <w:r w:rsidRPr="004D46AC">
              <w:rPr>
                <w:rFonts w:eastAsia="DengXian"/>
                <w:color w:val="000000"/>
              </w:rPr>
              <w:t>WD--M7</w:t>
            </w:r>
          </w:p>
        </w:tc>
        <w:tc>
          <w:tcPr>
            <w:tcW w:w="1603" w:type="dxa"/>
            <w:vAlign w:val="center"/>
          </w:tcPr>
          <w:p w14:paraId="1D77BE59" w14:textId="77777777" w:rsidR="007075D9" w:rsidRPr="004D46AC" w:rsidRDefault="007075D9" w:rsidP="00CE2F7A">
            <w:pPr>
              <w:spacing w:line="240" w:lineRule="auto"/>
              <w:ind w:firstLine="0"/>
              <w:rPr>
                <w:b/>
                <w:bCs/>
                <w:i/>
                <w:iCs/>
              </w:rPr>
            </w:pPr>
            <w:r w:rsidRPr="004D46AC">
              <w:rPr>
                <w:color w:val="000000"/>
              </w:rPr>
              <w:t xml:space="preserve">0.09 </w:t>
            </w:r>
          </w:p>
        </w:tc>
        <w:tc>
          <w:tcPr>
            <w:tcW w:w="1603" w:type="dxa"/>
            <w:vAlign w:val="center"/>
          </w:tcPr>
          <w:p w14:paraId="15CE2D7B"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21B396A9"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01A7961C"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7D0F3C0C" w14:textId="77777777" w:rsidTr="00B518F1">
        <w:tc>
          <w:tcPr>
            <w:tcW w:w="1564" w:type="dxa"/>
            <w:vAlign w:val="center"/>
          </w:tcPr>
          <w:p w14:paraId="6018A5D1" w14:textId="77777777" w:rsidR="007075D9" w:rsidRPr="004D46AC" w:rsidRDefault="007075D9" w:rsidP="00CE2F7A">
            <w:pPr>
              <w:spacing w:line="240" w:lineRule="auto"/>
              <w:ind w:firstLine="0"/>
              <w:rPr>
                <w:b/>
                <w:bCs/>
                <w:i/>
                <w:iCs/>
              </w:rPr>
            </w:pPr>
            <w:r w:rsidRPr="004D46AC">
              <w:rPr>
                <w:rFonts w:eastAsia="DengXian"/>
                <w:color w:val="000000"/>
              </w:rPr>
              <w:t>P6--N5</w:t>
            </w:r>
          </w:p>
        </w:tc>
        <w:tc>
          <w:tcPr>
            <w:tcW w:w="1603" w:type="dxa"/>
            <w:vAlign w:val="center"/>
          </w:tcPr>
          <w:p w14:paraId="2C9E2618" w14:textId="77777777" w:rsidR="007075D9" w:rsidRPr="004D46AC" w:rsidRDefault="007075D9" w:rsidP="00CE2F7A">
            <w:pPr>
              <w:spacing w:line="240" w:lineRule="auto"/>
              <w:ind w:firstLine="0"/>
              <w:rPr>
                <w:b/>
                <w:bCs/>
                <w:i/>
                <w:iCs/>
              </w:rPr>
            </w:pPr>
            <w:r w:rsidRPr="004D46AC">
              <w:rPr>
                <w:color w:val="000000"/>
              </w:rPr>
              <w:t xml:space="preserve">0.09 </w:t>
            </w:r>
          </w:p>
        </w:tc>
        <w:tc>
          <w:tcPr>
            <w:tcW w:w="1603" w:type="dxa"/>
            <w:vAlign w:val="center"/>
          </w:tcPr>
          <w:p w14:paraId="4A283CBC"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04AEE638"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44C2B7BA"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2DB60641" w14:textId="77777777" w:rsidTr="00B518F1">
        <w:tc>
          <w:tcPr>
            <w:tcW w:w="1564" w:type="dxa"/>
            <w:vAlign w:val="center"/>
          </w:tcPr>
          <w:p w14:paraId="4C7FA4A0" w14:textId="77777777" w:rsidR="007075D9" w:rsidRPr="004D46AC" w:rsidRDefault="007075D9" w:rsidP="00CE2F7A">
            <w:pPr>
              <w:spacing w:line="240" w:lineRule="auto"/>
              <w:ind w:firstLine="0"/>
              <w:rPr>
                <w:b/>
                <w:bCs/>
                <w:i/>
                <w:iCs/>
              </w:rPr>
            </w:pPr>
            <w:r w:rsidRPr="004D46AC">
              <w:rPr>
                <w:rFonts w:eastAsia="DengXian"/>
                <w:color w:val="000000"/>
              </w:rPr>
              <w:t>M2--M3</w:t>
            </w:r>
          </w:p>
        </w:tc>
        <w:tc>
          <w:tcPr>
            <w:tcW w:w="1603" w:type="dxa"/>
            <w:vAlign w:val="center"/>
          </w:tcPr>
          <w:p w14:paraId="57DB6929" w14:textId="77777777" w:rsidR="007075D9" w:rsidRPr="004D46AC" w:rsidRDefault="007075D9" w:rsidP="00CE2F7A">
            <w:pPr>
              <w:spacing w:line="240" w:lineRule="auto"/>
              <w:ind w:firstLine="0"/>
              <w:rPr>
                <w:b/>
                <w:bCs/>
                <w:i/>
                <w:iCs/>
              </w:rPr>
            </w:pPr>
            <w:r w:rsidRPr="004D46AC">
              <w:rPr>
                <w:color w:val="000000"/>
              </w:rPr>
              <w:t xml:space="preserve">0.09 </w:t>
            </w:r>
          </w:p>
        </w:tc>
        <w:tc>
          <w:tcPr>
            <w:tcW w:w="1603" w:type="dxa"/>
            <w:vAlign w:val="center"/>
          </w:tcPr>
          <w:p w14:paraId="175E3E56"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58A2710"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70093EAA"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30943727" w14:textId="77777777" w:rsidTr="00B518F1">
        <w:tc>
          <w:tcPr>
            <w:tcW w:w="1564" w:type="dxa"/>
            <w:vAlign w:val="center"/>
          </w:tcPr>
          <w:p w14:paraId="3B1AC740" w14:textId="77777777" w:rsidR="007075D9" w:rsidRPr="004D46AC" w:rsidRDefault="007075D9" w:rsidP="00CE2F7A">
            <w:pPr>
              <w:spacing w:line="240" w:lineRule="auto"/>
              <w:ind w:firstLine="0"/>
              <w:rPr>
                <w:b/>
                <w:bCs/>
                <w:i/>
                <w:iCs/>
              </w:rPr>
            </w:pPr>
            <w:r w:rsidRPr="004D46AC">
              <w:rPr>
                <w:rFonts w:eastAsia="DengXian"/>
                <w:color w:val="000000"/>
              </w:rPr>
              <w:t>WD--N7</w:t>
            </w:r>
          </w:p>
        </w:tc>
        <w:tc>
          <w:tcPr>
            <w:tcW w:w="1603" w:type="dxa"/>
            <w:vAlign w:val="center"/>
          </w:tcPr>
          <w:p w14:paraId="0D5AC1B6"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6DC62653"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65B93BBB"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0E355F43"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121758BC" w14:textId="77777777" w:rsidTr="00B518F1">
        <w:tc>
          <w:tcPr>
            <w:tcW w:w="1564" w:type="dxa"/>
            <w:vAlign w:val="center"/>
          </w:tcPr>
          <w:p w14:paraId="41149448" w14:textId="77777777" w:rsidR="007075D9" w:rsidRPr="004D46AC" w:rsidRDefault="007075D9" w:rsidP="00CE2F7A">
            <w:pPr>
              <w:spacing w:line="240" w:lineRule="auto"/>
              <w:ind w:firstLine="0"/>
              <w:rPr>
                <w:b/>
                <w:bCs/>
                <w:i/>
                <w:iCs/>
              </w:rPr>
            </w:pPr>
            <w:r w:rsidRPr="004D46AC">
              <w:rPr>
                <w:rFonts w:eastAsia="DengXian"/>
                <w:color w:val="000000"/>
              </w:rPr>
              <w:t>RC--N7</w:t>
            </w:r>
          </w:p>
        </w:tc>
        <w:tc>
          <w:tcPr>
            <w:tcW w:w="1603" w:type="dxa"/>
            <w:vAlign w:val="center"/>
          </w:tcPr>
          <w:p w14:paraId="4D896213"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2A845D87"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3304C9BA"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59BBBB90"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074587F2" w14:textId="77777777" w:rsidTr="00B518F1">
        <w:tc>
          <w:tcPr>
            <w:tcW w:w="1564" w:type="dxa"/>
            <w:vAlign w:val="center"/>
          </w:tcPr>
          <w:p w14:paraId="24B3DA79" w14:textId="77777777" w:rsidR="007075D9" w:rsidRPr="004D46AC" w:rsidRDefault="007075D9" w:rsidP="00CE2F7A">
            <w:pPr>
              <w:spacing w:line="240" w:lineRule="auto"/>
              <w:ind w:firstLine="0"/>
              <w:rPr>
                <w:b/>
                <w:bCs/>
                <w:i/>
                <w:iCs/>
              </w:rPr>
            </w:pPr>
            <w:r w:rsidRPr="004D46AC">
              <w:rPr>
                <w:rFonts w:eastAsia="DengXian"/>
                <w:color w:val="000000"/>
              </w:rPr>
              <w:t>ME--SP</w:t>
            </w:r>
          </w:p>
        </w:tc>
        <w:tc>
          <w:tcPr>
            <w:tcW w:w="1603" w:type="dxa"/>
            <w:vAlign w:val="center"/>
          </w:tcPr>
          <w:p w14:paraId="22D113F3"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49F70966"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253069C5"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4D566AA1"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63D4C463" w14:textId="77777777" w:rsidTr="00B518F1">
        <w:tc>
          <w:tcPr>
            <w:tcW w:w="1564" w:type="dxa"/>
            <w:vAlign w:val="center"/>
          </w:tcPr>
          <w:p w14:paraId="117D0025" w14:textId="77777777" w:rsidR="007075D9" w:rsidRPr="004D46AC" w:rsidRDefault="007075D9" w:rsidP="00CE2F7A">
            <w:pPr>
              <w:spacing w:line="240" w:lineRule="auto"/>
              <w:ind w:firstLine="0"/>
              <w:rPr>
                <w:b/>
                <w:bCs/>
                <w:i/>
                <w:iCs/>
              </w:rPr>
            </w:pPr>
            <w:r w:rsidRPr="004D46AC">
              <w:rPr>
                <w:rFonts w:eastAsia="DengXian"/>
                <w:color w:val="000000"/>
              </w:rPr>
              <w:t>M2--M7</w:t>
            </w:r>
          </w:p>
        </w:tc>
        <w:tc>
          <w:tcPr>
            <w:tcW w:w="1603" w:type="dxa"/>
            <w:vAlign w:val="center"/>
          </w:tcPr>
          <w:p w14:paraId="037B4BE2"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2C1AD8AC"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CF70179"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4B004145"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23C2B06F" w14:textId="77777777" w:rsidTr="00B518F1">
        <w:tc>
          <w:tcPr>
            <w:tcW w:w="1564" w:type="dxa"/>
            <w:vAlign w:val="center"/>
          </w:tcPr>
          <w:p w14:paraId="747EFF60" w14:textId="77777777" w:rsidR="007075D9" w:rsidRPr="004D46AC" w:rsidRDefault="007075D9" w:rsidP="00CE2F7A">
            <w:pPr>
              <w:spacing w:line="240" w:lineRule="auto"/>
              <w:ind w:firstLine="0"/>
              <w:rPr>
                <w:b/>
                <w:bCs/>
                <w:i/>
                <w:iCs/>
              </w:rPr>
            </w:pPr>
            <w:r w:rsidRPr="004D46AC">
              <w:rPr>
                <w:rFonts w:eastAsia="DengXian"/>
                <w:color w:val="000000"/>
              </w:rPr>
              <w:t>Y10--M7</w:t>
            </w:r>
          </w:p>
        </w:tc>
        <w:tc>
          <w:tcPr>
            <w:tcW w:w="1603" w:type="dxa"/>
            <w:vAlign w:val="center"/>
          </w:tcPr>
          <w:p w14:paraId="4717F7EA"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7D8EB787"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6723A8FB"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5E169799"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165A4B71" w14:textId="77777777" w:rsidTr="00B518F1">
        <w:tc>
          <w:tcPr>
            <w:tcW w:w="1564" w:type="dxa"/>
            <w:vAlign w:val="center"/>
          </w:tcPr>
          <w:p w14:paraId="7EF762B8" w14:textId="77777777" w:rsidR="007075D9" w:rsidRPr="004D46AC" w:rsidRDefault="007075D9" w:rsidP="00CE2F7A">
            <w:pPr>
              <w:spacing w:line="240" w:lineRule="auto"/>
              <w:ind w:firstLine="0"/>
              <w:rPr>
                <w:b/>
                <w:bCs/>
                <w:i/>
                <w:iCs/>
              </w:rPr>
            </w:pPr>
            <w:r w:rsidRPr="004D46AC">
              <w:rPr>
                <w:rFonts w:eastAsia="DengXian"/>
                <w:color w:val="000000"/>
              </w:rPr>
              <w:t>P5--ME</w:t>
            </w:r>
          </w:p>
        </w:tc>
        <w:tc>
          <w:tcPr>
            <w:tcW w:w="1603" w:type="dxa"/>
            <w:vAlign w:val="center"/>
          </w:tcPr>
          <w:p w14:paraId="73932939"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6FA15DA0"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C91AEF3"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1BF16271"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5F15002A" w14:textId="77777777" w:rsidTr="00B518F1">
        <w:tc>
          <w:tcPr>
            <w:tcW w:w="1564" w:type="dxa"/>
            <w:vAlign w:val="center"/>
          </w:tcPr>
          <w:p w14:paraId="210CDEFB" w14:textId="77777777" w:rsidR="007075D9" w:rsidRPr="004D46AC" w:rsidRDefault="007075D9" w:rsidP="00CE2F7A">
            <w:pPr>
              <w:spacing w:line="240" w:lineRule="auto"/>
              <w:ind w:firstLine="0"/>
              <w:rPr>
                <w:b/>
                <w:bCs/>
                <w:i/>
                <w:iCs/>
              </w:rPr>
            </w:pPr>
            <w:r w:rsidRPr="004D46AC">
              <w:rPr>
                <w:rFonts w:eastAsia="DengXian"/>
                <w:color w:val="000000"/>
              </w:rPr>
              <w:t>P4--IA</w:t>
            </w:r>
          </w:p>
        </w:tc>
        <w:tc>
          <w:tcPr>
            <w:tcW w:w="1603" w:type="dxa"/>
            <w:vAlign w:val="center"/>
          </w:tcPr>
          <w:p w14:paraId="05D30E1E"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0CD13A97"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51C17458"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0599245F"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1FB31DF8" w14:textId="77777777" w:rsidTr="00B518F1">
        <w:tc>
          <w:tcPr>
            <w:tcW w:w="1564" w:type="dxa"/>
            <w:vAlign w:val="center"/>
          </w:tcPr>
          <w:p w14:paraId="43B4392D" w14:textId="77777777" w:rsidR="007075D9" w:rsidRPr="004D46AC" w:rsidRDefault="007075D9" w:rsidP="00CE2F7A">
            <w:pPr>
              <w:spacing w:line="240" w:lineRule="auto"/>
              <w:ind w:firstLine="0"/>
              <w:rPr>
                <w:b/>
                <w:bCs/>
                <w:i/>
                <w:iCs/>
              </w:rPr>
            </w:pPr>
            <w:r w:rsidRPr="004D46AC">
              <w:rPr>
                <w:rFonts w:eastAsia="DengXian"/>
                <w:color w:val="000000"/>
              </w:rPr>
              <w:t>P2--N5</w:t>
            </w:r>
          </w:p>
        </w:tc>
        <w:tc>
          <w:tcPr>
            <w:tcW w:w="1603" w:type="dxa"/>
            <w:vAlign w:val="center"/>
          </w:tcPr>
          <w:p w14:paraId="74025F17"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1A06FD34"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92C7382"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5957FDDE"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76A681C9" w14:textId="77777777" w:rsidTr="00B518F1">
        <w:tc>
          <w:tcPr>
            <w:tcW w:w="1564" w:type="dxa"/>
            <w:vAlign w:val="center"/>
          </w:tcPr>
          <w:p w14:paraId="35917149" w14:textId="77777777" w:rsidR="007075D9" w:rsidRPr="004D46AC" w:rsidRDefault="007075D9" w:rsidP="00CE2F7A">
            <w:pPr>
              <w:spacing w:line="240" w:lineRule="auto"/>
              <w:ind w:firstLine="0"/>
              <w:rPr>
                <w:b/>
                <w:bCs/>
                <w:i/>
                <w:iCs/>
              </w:rPr>
            </w:pPr>
            <w:r w:rsidRPr="004D46AC">
              <w:rPr>
                <w:rFonts w:eastAsia="DengXian"/>
                <w:color w:val="000000"/>
              </w:rPr>
              <w:lastRenderedPageBreak/>
              <w:t>N7--Y10</w:t>
            </w:r>
          </w:p>
        </w:tc>
        <w:tc>
          <w:tcPr>
            <w:tcW w:w="1603" w:type="dxa"/>
            <w:vAlign w:val="center"/>
          </w:tcPr>
          <w:p w14:paraId="27B3CE38"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37FB05DF"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341D1973"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5B6617A8"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5246D906" w14:textId="77777777" w:rsidTr="00B518F1">
        <w:tc>
          <w:tcPr>
            <w:tcW w:w="1564" w:type="dxa"/>
            <w:vAlign w:val="center"/>
          </w:tcPr>
          <w:p w14:paraId="6CCE0297" w14:textId="77777777" w:rsidR="007075D9" w:rsidRPr="004D46AC" w:rsidRDefault="007075D9" w:rsidP="00CE2F7A">
            <w:pPr>
              <w:spacing w:line="240" w:lineRule="auto"/>
              <w:ind w:firstLine="0"/>
              <w:rPr>
                <w:b/>
                <w:bCs/>
                <w:i/>
                <w:iCs/>
              </w:rPr>
            </w:pPr>
            <w:r w:rsidRPr="004D46AC">
              <w:rPr>
                <w:rFonts w:eastAsia="DengXian"/>
                <w:color w:val="000000"/>
              </w:rPr>
              <w:t>P6--M3</w:t>
            </w:r>
          </w:p>
        </w:tc>
        <w:tc>
          <w:tcPr>
            <w:tcW w:w="1603" w:type="dxa"/>
            <w:vAlign w:val="center"/>
          </w:tcPr>
          <w:p w14:paraId="36463D63"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3FADD369"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0A9431D3"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7248147C"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70B4FB77" w14:textId="77777777" w:rsidTr="00B518F1">
        <w:tc>
          <w:tcPr>
            <w:tcW w:w="1564" w:type="dxa"/>
            <w:vAlign w:val="center"/>
          </w:tcPr>
          <w:p w14:paraId="03009E50" w14:textId="77777777" w:rsidR="007075D9" w:rsidRPr="004D46AC" w:rsidRDefault="007075D9" w:rsidP="00CE2F7A">
            <w:pPr>
              <w:spacing w:line="240" w:lineRule="auto"/>
              <w:ind w:firstLine="0"/>
              <w:rPr>
                <w:b/>
                <w:bCs/>
                <w:i/>
                <w:iCs/>
              </w:rPr>
            </w:pPr>
            <w:r w:rsidRPr="004D46AC">
              <w:rPr>
                <w:rFonts w:eastAsia="DengXian"/>
                <w:color w:val="000000"/>
              </w:rPr>
              <w:t>M8--M10</w:t>
            </w:r>
          </w:p>
        </w:tc>
        <w:tc>
          <w:tcPr>
            <w:tcW w:w="1603" w:type="dxa"/>
            <w:vAlign w:val="center"/>
          </w:tcPr>
          <w:p w14:paraId="49C62274"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5124893E"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01B1FCD9"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243DC4D6"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17C676FF" w14:textId="77777777" w:rsidTr="00B518F1">
        <w:tc>
          <w:tcPr>
            <w:tcW w:w="1564" w:type="dxa"/>
            <w:vAlign w:val="center"/>
          </w:tcPr>
          <w:p w14:paraId="6A1FFE23" w14:textId="77777777" w:rsidR="007075D9" w:rsidRPr="004D46AC" w:rsidRDefault="007075D9" w:rsidP="00CE2F7A">
            <w:pPr>
              <w:spacing w:line="240" w:lineRule="auto"/>
              <w:ind w:firstLine="0"/>
              <w:rPr>
                <w:b/>
                <w:bCs/>
                <w:i/>
                <w:iCs/>
              </w:rPr>
            </w:pPr>
            <w:r w:rsidRPr="004D46AC">
              <w:rPr>
                <w:rFonts w:eastAsia="DengXian"/>
                <w:color w:val="000000"/>
              </w:rPr>
              <w:t>P2--P3</w:t>
            </w:r>
          </w:p>
        </w:tc>
        <w:tc>
          <w:tcPr>
            <w:tcW w:w="1603" w:type="dxa"/>
            <w:vAlign w:val="center"/>
          </w:tcPr>
          <w:p w14:paraId="686572EF"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16F71C15"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20FD22A1" w14:textId="77777777" w:rsidR="007075D9" w:rsidRPr="004D46AC" w:rsidRDefault="007075D9" w:rsidP="00CE2F7A">
            <w:pPr>
              <w:spacing w:line="240" w:lineRule="auto"/>
              <w:ind w:firstLine="0"/>
              <w:rPr>
                <w:b/>
                <w:bCs/>
                <w:i/>
                <w:iCs/>
              </w:rPr>
            </w:pPr>
            <w:r w:rsidRPr="004D46AC">
              <w:rPr>
                <w:color w:val="000000"/>
              </w:rPr>
              <w:t xml:space="preserve">0.16 </w:t>
            </w:r>
          </w:p>
        </w:tc>
        <w:tc>
          <w:tcPr>
            <w:tcW w:w="1565" w:type="dxa"/>
            <w:vAlign w:val="center"/>
          </w:tcPr>
          <w:p w14:paraId="2A263B87"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33D94E9F" w14:textId="77777777" w:rsidTr="00B518F1">
        <w:tc>
          <w:tcPr>
            <w:tcW w:w="1564" w:type="dxa"/>
            <w:vAlign w:val="center"/>
          </w:tcPr>
          <w:p w14:paraId="33CFDD05" w14:textId="77777777" w:rsidR="007075D9" w:rsidRPr="004D46AC" w:rsidRDefault="007075D9" w:rsidP="00CE2F7A">
            <w:pPr>
              <w:spacing w:line="240" w:lineRule="auto"/>
              <w:ind w:firstLine="0"/>
              <w:rPr>
                <w:b/>
                <w:bCs/>
                <w:i/>
                <w:iCs/>
              </w:rPr>
            </w:pPr>
            <w:r w:rsidRPr="004D46AC">
              <w:rPr>
                <w:rFonts w:eastAsia="DengXian"/>
                <w:color w:val="000000"/>
              </w:rPr>
              <w:t>IA--M9</w:t>
            </w:r>
          </w:p>
        </w:tc>
        <w:tc>
          <w:tcPr>
            <w:tcW w:w="1603" w:type="dxa"/>
            <w:vAlign w:val="center"/>
          </w:tcPr>
          <w:p w14:paraId="485ECE20"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78167C23"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1A534BE"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09E51167"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1E93E2BA" w14:textId="77777777" w:rsidTr="00B518F1">
        <w:tc>
          <w:tcPr>
            <w:tcW w:w="1564" w:type="dxa"/>
            <w:vAlign w:val="center"/>
          </w:tcPr>
          <w:p w14:paraId="32A9F810" w14:textId="77777777" w:rsidR="007075D9" w:rsidRPr="004D46AC" w:rsidRDefault="007075D9" w:rsidP="00CE2F7A">
            <w:pPr>
              <w:spacing w:line="240" w:lineRule="auto"/>
              <w:ind w:firstLine="0"/>
              <w:rPr>
                <w:b/>
                <w:bCs/>
                <w:i/>
                <w:iCs/>
              </w:rPr>
            </w:pPr>
            <w:r w:rsidRPr="004D46AC">
              <w:rPr>
                <w:rFonts w:eastAsia="DengXian"/>
                <w:color w:val="000000"/>
              </w:rPr>
              <w:t>P5--N7</w:t>
            </w:r>
          </w:p>
        </w:tc>
        <w:tc>
          <w:tcPr>
            <w:tcW w:w="1603" w:type="dxa"/>
            <w:vAlign w:val="center"/>
          </w:tcPr>
          <w:p w14:paraId="3D9E5089"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7D845F9F"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5A555E61"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1812A6C0"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66021598" w14:textId="77777777" w:rsidTr="00B518F1">
        <w:tc>
          <w:tcPr>
            <w:tcW w:w="1564" w:type="dxa"/>
            <w:vAlign w:val="center"/>
          </w:tcPr>
          <w:p w14:paraId="2A6DBE48" w14:textId="77777777" w:rsidR="007075D9" w:rsidRPr="004D46AC" w:rsidRDefault="007075D9" w:rsidP="00CE2F7A">
            <w:pPr>
              <w:spacing w:line="240" w:lineRule="auto"/>
              <w:ind w:firstLine="0"/>
              <w:rPr>
                <w:b/>
                <w:bCs/>
                <w:i/>
                <w:iCs/>
              </w:rPr>
            </w:pPr>
            <w:r w:rsidRPr="004D46AC">
              <w:rPr>
                <w:rFonts w:eastAsia="DengXian"/>
                <w:color w:val="000000"/>
              </w:rPr>
              <w:t>P6--N7</w:t>
            </w:r>
          </w:p>
        </w:tc>
        <w:tc>
          <w:tcPr>
            <w:tcW w:w="1603" w:type="dxa"/>
            <w:vAlign w:val="center"/>
          </w:tcPr>
          <w:p w14:paraId="4F299949"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09EA6A27"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00F70B7A"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207FE85E"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66FEB349" w14:textId="77777777" w:rsidTr="00B518F1">
        <w:tc>
          <w:tcPr>
            <w:tcW w:w="1564" w:type="dxa"/>
            <w:vAlign w:val="center"/>
          </w:tcPr>
          <w:p w14:paraId="79035D71" w14:textId="77777777" w:rsidR="007075D9" w:rsidRPr="004D46AC" w:rsidRDefault="007075D9" w:rsidP="00CE2F7A">
            <w:pPr>
              <w:spacing w:line="240" w:lineRule="auto"/>
              <w:ind w:firstLine="0"/>
              <w:rPr>
                <w:b/>
                <w:bCs/>
                <w:i/>
                <w:iCs/>
              </w:rPr>
            </w:pPr>
            <w:r w:rsidRPr="004D46AC">
              <w:rPr>
                <w:rFonts w:eastAsia="DengXian"/>
                <w:color w:val="000000"/>
              </w:rPr>
              <w:t>N1--M2</w:t>
            </w:r>
          </w:p>
        </w:tc>
        <w:tc>
          <w:tcPr>
            <w:tcW w:w="1603" w:type="dxa"/>
            <w:vAlign w:val="center"/>
          </w:tcPr>
          <w:p w14:paraId="1124ABE5"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46E31CC6"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1D3B4B2"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01C7BF33"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13B211B8" w14:textId="77777777" w:rsidTr="00B518F1">
        <w:tc>
          <w:tcPr>
            <w:tcW w:w="1564" w:type="dxa"/>
            <w:vAlign w:val="center"/>
          </w:tcPr>
          <w:p w14:paraId="5430D45B" w14:textId="77777777" w:rsidR="007075D9" w:rsidRPr="004D46AC" w:rsidRDefault="007075D9" w:rsidP="00CE2F7A">
            <w:pPr>
              <w:spacing w:line="240" w:lineRule="auto"/>
              <w:ind w:firstLine="0"/>
              <w:rPr>
                <w:b/>
                <w:bCs/>
                <w:i/>
                <w:iCs/>
              </w:rPr>
            </w:pPr>
            <w:r w:rsidRPr="004D46AC">
              <w:rPr>
                <w:rFonts w:eastAsia="DengXian"/>
                <w:color w:val="000000"/>
              </w:rPr>
              <w:t>N1--Y10</w:t>
            </w:r>
          </w:p>
        </w:tc>
        <w:tc>
          <w:tcPr>
            <w:tcW w:w="1603" w:type="dxa"/>
            <w:vAlign w:val="center"/>
          </w:tcPr>
          <w:p w14:paraId="704F99EC"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38D0DE08"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3FE2B6F1"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779113D0"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448DDE21" w14:textId="77777777" w:rsidTr="00B518F1">
        <w:tc>
          <w:tcPr>
            <w:tcW w:w="1564" w:type="dxa"/>
            <w:vAlign w:val="center"/>
          </w:tcPr>
          <w:p w14:paraId="315E7CC3" w14:textId="77777777" w:rsidR="007075D9" w:rsidRPr="004D46AC" w:rsidRDefault="007075D9" w:rsidP="00CE2F7A">
            <w:pPr>
              <w:spacing w:line="240" w:lineRule="auto"/>
              <w:ind w:firstLine="0"/>
              <w:rPr>
                <w:b/>
                <w:bCs/>
                <w:i/>
                <w:iCs/>
              </w:rPr>
            </w:pPr>
            <w:r w:rsidRPr="004D46AC">
              <w:rPr>
                <w:rFonts w:eastAsia="DengXian"/>
                <w:color w:val="000000"/>
              </w:rPr>
              <w:t>P5--P6</w:t>
            </w:r>
          </w:p>
        </w:tc>
        <w:tc>
          <w:tcPr>
            <w:tcW w:w="1603" w:type="dxa"/>
            <w:vAlign w:val="center"/>
          </w:tcPr>
          <w:p w14:paraId="10E5122B"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3EF6C07B"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1B4305C1"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75407322"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4D8CFA2D" w14:textId="77777777" w:rsidTr="00B518F1">
        <w:tc>
          <w:tcPr>
            <w:tcW w:w="1564" w:type="dxa"/>
            <w:vAlign w:val="center"/>
          </w:tcPr>
          <w:p w14:paraId="118F7EB8" w14:textId="77777777" w:rsidR="007075D9" w:rsidRPr="004D46AC" w:rsidRDefault="007075D9" w:rsidP="00CE2F7A">
            <w:pPr>
              <w:spacing w:line="240" w:lineRule="auto"/>
              <w:ind w:firstLine="0"/>
              <w:rPr>
                <w:b/>
                <w:bCs/>
                <w:i/>
                <w:iCs/>
              </w:rPr>
            </w:pPr>
            <w:r w:rsidRPr="004D46AC">
              <w:rPr>
                <w:rFonts w:eastAsia="DengXian"/>
                <w:color w:val="000000"/>
              </w:rPr>
              <w:t>M3--M10</w:t>
            </w:r>
          </w:p>
        </w:tc>
        <w:tc>
          <w:tcPr>
            <w:tcW w:w="1603" w:type="dxa"/>
            <w:vAlign w:val="center"/>
          </w:tcPr>
          <w:p w14:paraId="48FD0D71"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2EF99586"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37E9F79E"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25CD3C3F"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39D165A3" w14:textId="77777777" w:rsidTr="00B518F1">
        <w:tc>
          <w:tcPr>
            <w:tcW w:w="1564" w:type="dxa"/>
            <w:vAlign w:val="center"/>
          </w:tcPr>
          <w:p w14:paraId="34668084" w14:textId="77777777" w:rsidR="007075D9" w:rsidRPr="004D46AC" w:rsidRDefault="007075D9" w:rsidP="00CE2F7A">
            <w:pPr>
              <w:spacing w:line="240" w:lineRule="auto"/>
              <w:ind w:firstLine="0"/>
              <w:rPr>
                <w:b/>
                <w:bCs/>
                <w:i/>
                <w:iCs/>
              </w:rPr>
            </w:pPr>
            <w:r w:rsidRPr="004D46AC">
              <w:rPr>
                <w:rFonts w:eastAsia="DengXian"/>
                <w:color w:val="000000"/>
              </w:rPr>
              <w:t>P3--P5</w:t>
            </w:r>
          </w:p>
        </w:tc>
        <w:tc>
          <w:tcPr>
            <w:tcW w:w="1603" w:type="dxa"/>
            <w:vAlign w:val="center"/>
          </w:tcPr>
          <w:p w14:paraId="5B5D1E92"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1E6A9FFB"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7B882AF5" w14:textId="77777777" w:rsidR="007075D9" w:rsidRPr="004D46AC" w:rsidRDefault="007075D9" w:rsidP="00CE2F7A">
            <w:pPr>
              <w:spacing w:line="240" w:lineRule="auto"/>
              <w:ind w:firstLine="0"/>
              <w:rPr>
                <w:b/>
                <w:bCs/>
                <w:i/>
                <w:iCs/>
              </w:rPr>
            </w:pPr>
            <w:r w:rsidRPr="004D46AC">
              <w:rPr>
                <w:color w:val="000000"/>
              </w:rPr>
              <w:t xml:space="preserve">0.15 </w:t>
            </w:r>
          </w:p>
        </w:tc>
        <w:tc>
          <w:tcPr>
            <w:tcW w:w="1565" w:type="dxa"/>
            <w:vAlign w:val="center"/>
          </w:tcPr>
          <w:p w14:paraId="31E503D9" w14:textId="77777777" w:rsidR="007075D9" w:rsidRPr="004D46AC" w:rsidRDefault="007075D9" w:rsidP="00CE2F7A">
            <w:pPr>
              <w:spacing w:line="240" w:lineRule="auto"/>
              <w:ind w:firstLine="0"/>
              <w:rPr>
                <w:b/>
                <w:bCs/>
                <w:i/>
                <w:iCs/>
              </w:rPr>
            </w:pPr>
            <w:r w:rsidRPr="004D46AC">
              <w:rPr>
                <w:color w:val="000000"/>
              </w:rPr>
              <w:t xml:space="preserve">0.08 </w:t>
            </w:r>
          </w:p>
        </w:tc>
      </w:tr>
      <w:tr w:rsidR="007075D9" w:rsidRPr="004D46AC" w14:paraId="4FE6A4FD" w14:textId="77777777" w:rsidTr="00B518F1">
        <w:tc>
          <w:tcPr>
            <w:tcW w:w="1564" w:type="dxa"/>
            <w:vAlign w:val="center"/>
          </w:tcPr>
          <w:p w14:paraId="3134F4D5" w14:textId="77777777" w:rsidR="007075D9" w:rsidRPr="004D46AC" w:rsidRDefault="007075D9" w:rsidP="00CE2F7A">
            <w:pPr>
              <w:spacing w:line="240" w:lineRule="auto"/>
              <w:ind w:firstLine="0"/>
              <w:rPr>
                <w:b/>
                <w:bCs/>
                <w:i/>
                <w:iCs/>
              </w:rPr>
            </w:pPr>
            <w:r w:rsidRPr="004D46AC">
              <w:rPr>
                <w:rFonts w:eastAsia="DengXian"/>
                <w:color w:val="000000"/>
              </w:rPr>
              <w:t>P3--ME</w:t>
            </w:r>
          </w:p>
        </w:tc>
        <w:tc>
          <w:tcPr>
            <w:tcW w:w="1603" w:type="dxa"/>
            <w:vAlign w:val="center"/>
          </w:tcPr>
          <w:p w14:paraId="57A16851"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662BDC91"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3BB98B28"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581C4742"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2F8F6EE2" w14:textId="77777777" w:rsidTr="00B518F1">
        <w:tc>
          <w:tcPr>
            <w:tcW w:w="1564" w:type="dxa"/>
            <w:vAlign w:val="center"/>
          </w:tcPr>
          <w:p w14:paraId="5E545AF8" w14:textId="77777777" w:rsidR="007075D9" w:rsidRPr="004D46AC" w:rsidRDefault="007075D9" w:rsidP="00CE2F7A">
            <w:pPr>
              <w:spacing w:line="240" w:lineRule="auto"/>
              <w:ind w:firstLine="0"/>
              <w:rPr>
                <w:b/>
                <w:bCs/>
                <w:i/>
                <w:iCs/>
              </w:rPr>
            </w:pPr>
            <w:r w:rsidRPr="004D46AC">
              <w:rPr>
                <w:rFonts w:eastAsia="DengXian"/>
                <w:color w:val="000000"/>
              </w:rPr>
              <w:t>Y3--IA</w:t>
            </w:r>
          </w:p>
        </w:tc>
        <w:tc>
          <w:tcPr>
            <w:tcW w:w="1603" w:type="dxa"/>
            <w:vAlign w:val="center"/>
          </w:tcPr>
          <w:p w14:paraId="6532CCDC"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68E9FBEC"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73726B11"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07825F52"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3193AB0E" w14:textId="77777777" w:rsidTr="00B518F1">
        <w:tc>
          <w:tcPr>
            <w:tcW w:w="1564" w:type="dxa"/>
            <w:vAlign w:val="center"/>
          </w:tcPr>
          <w:p w14:paraId="2C9DA061" w14:textId="77777777" w:rsidR="007075D9" w:rsidRPr="004D46AC" w:rsidRDefault="007075D9" w:rsidP="00CE2F7A">
            <w:pPr>
              <w:spacing w:line="240" w:lineRule="auto"/>
              <w:ind w:firstLine="0"/>
              <w:rPr>
                <w:b/>
                <w:bCs/>
                <w:i/>
                <w:iCs/>
              </w:rPr>
            </w:pPr>
            <w:r w:rsidRPr="004D46AC">
              <w:rPr>
                <w:rFonts w:eastAsia="DengXian"/>
                <w:color w:val="000000"/>
              </w:rPr>
              <w:t>RC--N5</w:t>
            </w:r>
          </w:p>
        </w:tc>
        <w:tc>
          <w:tcPr>
            <w:tcW w:w="1603" w:type="dxa"/>
            <w:vAlign w:val="center"/>
          </w:tcPr>
          <w:p w14:paraId="361E7FA2"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4B132DE3"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39D4349B"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1CF301AA"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1A3BEBA1" w14:textId="77777777" w:rsidTr="00B518F1">
        <w:tc>
          <w:tcPr>
            <w:tcW w:w="1564" w:type="dxa"/>
            <w:vAlign w:val="center"/>
          </w:tcPr>
          <w:p w14:paraId="0915F8D4" w14:textId="77777777" w:rsidR="007075D9" w:rsidRPr="004D46AC" w:rsidRDefault="007075D9" w:rsidP="00CE2F7A">
            <w:pPr>
              <w:spacing w:line="240" w:lineRule="auto"/>
              <w:ind w:firstLine="0"/>
              <w:rPr>
                <w:b/>
                <w:bCs/>
                <w:i/>
                <w:iCs/>
              </w:rPr>
            </w:pPr>
            <w:r w:rsidRPr="004D46AC">
              <w:rPr>
                <w:rFonts w:eastAsia="DengXian"/>
                <w:color w:val="000000"/>
              </w:rPr>
              <w:t>M2--M10</w:t>
            </w:r>
          </w:p>
        </w:tc>
        <w:tc>
          <w:tcPr>
            <w:tcW w:w="1603" w:type="dxa"/>
            <w:vAlign w:val="center"/>
          </w:tcPr>
          <w:p w14:paraId="2AF78E18"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76130795"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5316C94D" w14:textId="77777777" w:rsidR="007075D9" w:rsidRPr="004D46AC" w:rsidRDefault="007075D9" w:rsidP="00CE2F7A">
            <w:pPr>
              <w:spacing w:line="240" w:lineRule="auto"/>
              <w:ind w:firstLine="0"/>
              <w:rPr>
                <w:b/>
                <w:bCs/>
                <w:i/>
                <w:iCs/>
              </w:rPr>
            </w:pPr>
            <w:r w:rsidRPr="004D46AC">
              <w:rPr>
                <w:color w:val="000000"/>
              </w:rPr>
              <w:t xml:space="preserve">0.14 </w:t>
            </w:r>
          </w:p>
        </w:tc>
        <w:tc>
          <w:tcPr>
            <w:tcW w:w="1565" w:type="dxa"/>
            <w:vAlign w:val="center"/>
          </w:tcPr>
          <w:p w14:paraId="2C3577A6"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3BC9B53E" w14:textId="77777777" w:rsidTr="00B518F1">
        <w:tc>
          <w:tcPr>
            <w:tcW w:w="1564" w:type="dxa"/>
            <w:vAlign w:val="center"/>
          </w:tcPr>
          <w:p w14:paraId="07CB4E8B" w14:textId="77777777" w:rsidR="007075D9" w:rsidRPr="004D46AC" w:rsidRDefault="007075D9" w:rsidP="00CE2F7A">
            <w:pPr>
              <w:spacing w:line="240" w:lineRule="auto"/>
              <w:ind w:firstLine="0"/>
              <w:rPr>
                <w:b/>
                <w:bCs/>
                <w:i/>
                <w:iCs/>
              </w:rPr>
            </w:pPr>
            <w:r w:rsidRPr="004D46AC">
              <w:rPr>
                <w:rFonts w:eastAsia="DengXian"/>
                <w:color w:val="000000"/>
              </w:rPr>
              <w:t>P4--P6</w:t>
            </w:r>
          </w:p>
        </w:tc>
        <w:tc>
          <w:tcPr>
            <w:tcW w:w="1603" w:type="dxa"/>
            <w:vAlign w:val="center"/>
          </w:tcPr>
          <w:p w14:paraId="1D90CFD0"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57812392"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03E7D0C" w14:textId="77777777" w:rsidR="007075D9" w:rsidRPr="004D46AC" w:rsidRDefault="007075D9" w:rsidP="00CE2F7A">
            <w:pPr>
              <w:spacing w:line="240" w:lineRule="auto"/>
              <w:ind w:firstLine="0"/>
              <w:rPr>
                <w:b/>
                <w:bCs/>
                <w:i/>
                <w:iCs/>
              </w:rPr>
            </w:pPr>
            <w:r w:rsidRPr="004D46AC">
              <w:rPr>
                <w:color w:val="000000"/>
              </w:rPr>
              <w:t xml:space="preserve">0.13 </w:t>
            </w:r>
          </w:p>
        </w:tc>
        <w:tc>
          <w:tcPr>
            <w:tcW w:w="1565" w:type="dxa"/>
            <w:vAlign w:val="center"/>
          </w:tcPr>
          <w:p w14:paraId="484FE324"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59B6BA8B" w14:textId="77777777" w:rsidTr="00B518F1">
        <w:tc>
          <w:tcPr>
            <w:tcW w:w="1564" w:type="dxa"/>
            <w:vAlign w:val="center"/>
          </w:tcPr>
          <w:p w14:paraId="443AEB35" w14:textId="77777777" w:rsidR="007075D9" w:rsidRPr="004D46AC" w:rsidRDefault="007075D9" w:rsidP="00CE2F7A">
            <w:pPr>
              <w:spacing w:line="240" w:lineRule="auto"/>
              <w:ind w:firstLine="0"/>
              <w:rPr>
                <w:b/>
                <w:bCs/>
                <w:i/>
                <w:iCs/>
              </w:rPr>
            </w:pPr>
            <w:r w:rsidRPr="004D46AC">
              <w:rPr>
                <w:rFonts w:eastAsia="DengXian"/>
                <w:color w:val="000000"/>
              </w:rPr>
              <w:t>WD--M2</w:t>
            </w:r>
          </w:p>
        </w:tc>
        <w:tc>
          <w:tcPr>
            <w:tcW w:w="1603" w:type="dxa"/>
            <w:vAlign w:val="center"/>
          </w:tcPr>
          <w:p w14:paraId="235E285F"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6E3F8F5D"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76BCE3C" w14:textId="77777777" w:rsidR="007075D9" w:rsidRPr="004D46AC" w:rsidRDefault="007075D9" w:rsidP="00CE2F7A">
            <w:pPr>
              <w:spacing w:line="240" w:lineRule="auto"/>
              <w:ind w:firstLine="0"/>
              <w:rPr>
                <w:b/>
                <w:bCs/>
                <w:i/>
                <w:iCs/>
              </w:rPr>
            </w:pPr>
            <w:r w:rsidRPr="004D46AC">
              <w:rPr>
                <w:color w:val="000000"/>
              </w:rPr>
              <w:t xml:space="preserve">0.13 </w:t>
            </w:r>
          </w:p>
        </w:tc>
        <w:tc>
          <w:tcPr>
            <w:tcW w:w="1565" w:type="dxa"/>
            <w:vAlign w:val="center"/>
          </w:tcPr>
          <w:p w14:paraId="1DD3998F" w14:textId="77777777" w:rsidR="007075D9" w:rsidRPr="004D46AC" w:rsidRDefault="007075D9" w:rsidP="00CE2F7A">
            <w:pPr>
              <w:spacing w:line="240" w:lineRule="auto"/>
              <w:ind w:firstLine="0"/>
              <w:rPr>
                <w:b/>
                <w:bCs/>
                <w:i/>
                <w:iCs/>
              </w:rPr>
            </w:pPr>
            <w:r w:rsidRPr="004D46AC">
              <w:rPr>
                <w:color w:val="000000"/>
              </w:rPr>
              <w:t xml:space="preserve">0.08 </w:t>
            </w:r>
          </w:p>
        </w:tc>
      </w:tr>
      <w:tr w:rsidR="007075D9" w:rsidRPr="004D46AC" w14:paraId="76F9C860" w14:textId="77777777" w:rsidTr="00B518F1">
        <w:tc>
          <w:tcPr>
            <w:tcW w:w="1564" w:type="dxa"/>
            <w:vAlign w:val="center"/>
          </w:tcPr>
          <w:p w14:paraId="521F5E28" w14:textId="77777777" w:rsidR="007075D9" w:rsidRPr="004D46AC" w:rsidRDefault="007075D9" w:rsidP="00CE2F7A">
            <w:pPr>
              <w:spacing w:line="240" w:lineRule="auto"/>
              <w:ind w:firstLine="0"/>
              <w:rPr>
                <w:b/>
                <w:bCs/>
                <w:i/>
                <w:iCs/>
              </w:rPr>
            </w:pPr>
            <w:r w:rsidRPr="004D46AC">
              <w:rPr>
                <w:rFonts w:eastAsia="DengXian"/>
                <w:color w:val="000000"/>
              </w:rPr>
              <w:t>M5--M8</w:t>
            </w:r>
          </w:p>
        </w:tc>
        <w:tc>
          <w:tcPr>
            <w:tcW w:w="1603" w:type="dxa"/>
            <w:vAlign w:val="center"/>
          </w:tcPr>
          <w:p w14:paraId="186C0172"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02802EE3"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0A935DFC"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528943C5" w14:textId="77777777" w:rsidR="007075D9" w:rsidRPr="004D46AC" w:rsidRDefault="007075D9" w:rsidP="00CE2F7A">
            <w:pPr>
              <w:spacing w:line="240" w:lineRule="auto"/>
              <w:ind w:firstLine="0"/>
              <w:rPr>
                <w:b/>
                <w:bCs/>
                <w:i/>
                <w:iCs/>
              </w:rPr>
            </w:pPr>
            <w:r w:rsidRPr="004D46AC">
              <w:rPr>
                <w:color w:val="000000"/>
              </w:rPr>
              <w:t xml:space="preserve">0.12 </w:t>
            </w:r>
          </w:p>
        </w:tc>
      </w:tr>
      <w:tr w:rsidR="007075D9" w:rsidRPr="004D46AC" w14:paraId="789F3B19" w14:textId="77777777" w:rsidTr="00B518F1">
        <w:tc>
          <w:tcPr>
            <w:tcW w:w="1564" w:type="dxa"/>
            <w:vAlign w:val="center"/>
          </w:tcPr>
          <w:p w14:paraId="67890A67" w14:textId="77777777" w:rsidR="007075D9" w:rsidRPr="004D46AC" w:rsidRDefault="007075D9" w:rsidP="00CE2F7A">
            <w:pPr>
              <w:spacing w:line="240" w:lineRule="auto"/>
              <w:ind w:firstLine="0"/>
              <w:rPr>
                <w:b/>
                <w:bCs/>
                <w:i/>
                <w:iCs/>
              </w:rPr>
            </w:pPr>
            <w:r w:rsidRPr="004D46AC">
              <w:rPr>
                <w:rFonts w:eastAsia="DengXian"/>
                <w:color w:val="000000"/>
              </w:rPr>
              <w:t>IA--Y10</w:t>
            </w:r>
          </w:p>
        </w:tc>
        <w:tc>
          <w:tcPr>
            <w:tcW w:w="1603" w:type="dxa"/>
            <w:vAlign w:val="center"/>
          </w:tcPr>
          <w:p w14:paraId="0F60F141"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15140A4E"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3CDC14F3"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621C741C" w14:textId="77777777" w:rsidR="007075D9" w:rsidRPr="004D46AC" w:rsidRDefault="007075D9" w:rsidP="00CE2F7A">
            <w:pPr>
              <w:spacing w:line="240" w:lineRule="auto"/>
              <w:ind w:firstLine="0"/>
              <w:rPr>
                <w:b/>
                <w:bCs/>
                <w:i/>
                <w:iCs/>
              </w:rPr>
            </w:pPr>
            <w:r w:rsidRPr="004D46AC">
              <w:rPr>
                <w:color w:val="000000"/>
              </w:rPr>
              <w:t xml:space="preserve">0.10 </w:t>
            </w:r>
          </w:p>
        </w:tc>
      </w:tr>
      <w:tr w:rsidR="007075D9" w:rsidRPr="004D46AC" w14:paraId="5530EE23" w14:textId="77777777" w:rsidTr="00B518F1">
        <w:tc>
          <w:tcPr>
            <w:tcW w:w="1564" w:type="dxa"/>
            <w:vAlign w:val="center"/>
          </w:tcPr>
          <w:p w14:paraId="0FAB21A0" w14:textId="77777777" w:rsidR="007075D9" w:rsidRPr="004D46AC" w:rsidRDefault="007075D9" w:rsidP="00CE2F7A">
            <w:pPr>
              <w:spacing w:line="240" w:lineRule="auto"/>
              <w:ind w:firstLine="0"/>
              <w:rPr>
                <w:b/>
                <w:bCs/>
                <w:i/>
                <w:iCs/>
              </w:rPr>
            </w:pPr>
            <w:r w:rsidRPr="004D46AC">
              <w:rPr>
                <w:rFonts w:eastAsia="DengXian"/>
                <w:color w:val="000000"/>
              </w:rPr>
              <w:t>P6--RC</w:t>
            </w:r>
          </w:p>
        </w:tc>
        <w:tc>
          <w:tcPr>
            <w:tcW w:w="1603" w:type="dxa"/>
            <w:vAlign w:val="center"/>
          </w:tcPr>
          <w:p w14:paraId="3335AE33"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2D68A169"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22050C8B" w14:textId="77777777" w:rsidR="007075D9" w:rsidRPr="004D46AC" w:rsidRDefault="007075D9" w:rsidP="00CE2F7A">
            <w:pPr>
              <w:spacing w:line="240" w:lineRule="auto"/>
              <w:ind w:firstLine="0"/>
              <w:rPr>
                <w:b/>
                <w:bCs/>
                <w:i/>
                <w:iCs/>
              </w:rPr>
            </w:pPr>
            <w:r w:rsidRPr="004D46AC">
              <w:rPr>
                <w:color w:val="000000"/>
              </w:rPr>
              <w:t xml:space="preserve">0.13 </w:t>
            </w:r>
          </w:p>
        </w:tc>
        <w:tc>
          <w:tcPr>
            <w:tcW w:w="1565" w:type="dxa"/>
            <w:vAlign w:val="center"/>
          </w:tcPr>
          <w:p w14:paraId="36BEEA57"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09A72273" w14:textId="77777777" w:rsidTr="00B518F1">
        <w:tc>
          <w:tcPr>
            <w:tcW w:w="1564" w:type="dxa"/>
            <w:vAlign w:val="center"/>
          </w:tcPr>
          <w:p w14:paraId="512C8915" w14:textId="77777777" w:rsidR="007075D9" w:rsidRPr="004D46AC" w:rsidRDefault="007075D9" w:rsidP="00CE2F7A">
            <w:pPr>
              <w:spacing w:line="240" w:lineRule="auto"/>
              <w:ind w:firstLine="0"/>
              <w:rPr>
                <w:b/>
                <w:bCs/>
                <w:i/>
                <w:iCs/>
              </w:rPr>
            </w:pPr>
            <w:r w:rsidRPr="004D46AC">
              <w:rPr>
                <w:rFonts w:eastAsia="DengXian"/>
                <w:color w:val="000000"/>
              </w:rPr>
              <w:t>P5--Y11</w:t>
            </w:r>
          </w:p>
        </w:tc>
        <w:tc>
          <w:tcPr>
            <w:tcW w:w="1603" w:type="dxa"/>
            <w:vAlign w:val="center"/>
          </w:tcPr>
          <w:p w14:paraId="3493D8B3"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26ED1E59"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71B21592" w14:textId="77777777" w:rsidR="007075D9" w:rsidRPr="004D46AC" w:rsidRDefault="007075D9" w:rsidP="00CE2F7A">
            <w:pPr>
              <w:spacing w:line="240" w:lineRule="auto"/>
              <w:ind w:firstLine="0"/>
              <w:rPr>
                <w:b/>
                <w:bCs/>
                <w:i/>
                <w:iCs/>
              </w:rPr>
            </w:pPr>
            <w:r w:rsidRPr="004D46AC">
              <w:rPr>
                <w:color w:val="000000"/>
              </w:rPr>
              <w:t xml:space="preserve">0.13 </w:t>
            </w:r>
          </w:p>
        </w:tc>
        <w:tc>
          <w:tcPr>
            <w:tcW w:w="1565" w:type="dxa"/>
            <w:vAlign w:val="center"/>
          </w:tcPr>
          <w:p w14:paraId="57F268B1" w14:textId="77777777" w:rsidR="007075D9" w:rsidRPr="004D46AC" w:rsidRDefault="007075D9" w:rsidP="00CE2F7A">
            <w:pPr>
              <w:spacing w:line="240" w:lineRule="auto"/>
              <w:ind w:firstLine="0"/>
              <w:rPr>
                <w:b/>
                <w:bCs/>
                <w:i/>
                <w:iCs/>
              </w:rPr>
            </w:pPr>
            <w:r w:rsidRPr="004D46AC">
              <w:rPr>
                <w:color w:val="000000"/>
              </w:rPr>
              <w:t xml:space="preserve">0.16 </w:t>
            </w:r>
          </w:p>
        </w:tc>
      </w:tr>
      <w:tr w:rsidR="007075D9" w:rsidRPr="004D46AC" w14:paraId="719A7839" w14:textId="77777777" w:rsidTr="00B518F1">
        <w:tc>
          <w:tcPr>
            <w:tcW w:w="1564" w:type="dxa"/>
            <w:vAlign w:val="center"/>
          </w:tcPr>
          <w:p w14:paraId="6BE14894" w14:textId="77777777" w:rsidR="007075D9" w:rsidRPr="004D46AC" w:rsidRDefault="007075D9" w:rsidP="00CE2F7A">
            <w:pPr>
              <w:spacing w:line="240" w:lineRule="auto"/>
              <w:ind w:firstLine="0"/>
              <w:rPr>
                <w:b/>
                <w:bCs/>
                <w:i/>
                <w:iCs/>
              </w:rPr>
            </w:pPr>
            <w:r w:rsidRPr="004D46AC">
              <w:rPr>
                <w:rFonts w:eastAsia="DengXian"/>
                <w:color w:val="000000"/>
              </w:rPr>
              <w:t>Y6--SP</w:t>
            </w:r>
          </w:p>
        </w:tc>
        <w:tc>
          <w:tcPr>
            <w:tcW w:w="1603" w:type="dxa"/>
            <w:vAlign w:val="center"/>
          </w:tcPr>
          <w:p w14:paraId="3CAA3573" w14:textId="77777777" w:rsidR="007075D9" w:rsidRPr="004D46AC" w:rsidRDefault="007075D9" w:rsidP="00CE2F7A">
            <w:pPr>
              <w:spacing w:line="240" w:lineRule="auto"/>
              <w:ind w:firstLine="0"/>
              <w:rPr>
                <w:b/>
                <w:bCs/>
                <w:i/>
                <w:iCs/>
              </w:rPr>
            </w:pPr>
            <w:r w:rsidRPr="004D46AC">
              <w:rPr>
                <w:color w:val="000000"/>
              </w:rPr>
              <w:t xml:space="preserve">0.06 </w:t>
            </w:r>
          </w:p>
        </w:tc>
        <w:tc>
          <w:tcPr>
            <w:tcW w:w="1603" w:type="dxa"/>
            <w:vAlign w:val="center"/>
          </w:tcPr>
          <w:p w14:paraId="68D154F7"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41B57FEA"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6AF91B55" w14:textId="77777777" w:rsidR="007075D9" w:rsidRPr="004D46AC" w:rsidRDefault="007075D9" w:rsidP="00CE2F7A">
            <w:pPr>
              <w:spacing w:line="240" w:lineRule="auto"/>
              <w:ind w:firstLine="0"/>
              <w:rPr>
                <w:b/>
                <w:bCs/>
                <w:i/>
                <w:iCs/>
              </w:rPr>
            </w:pPr>
            <w:r w:rsidRPr="004D46AC">
              <w:rPr>
                <w:color w:val="000000"/>
              </w:rPr>
              <w:t xml:space="preserve">0.09 </w:t>
            </w:r>
          </w:p>
        </w:tc>
      </w:tr>
      <w:tr w:rsidR="007075D9" w:rsidRPr="004D46AC" w14:paraId="07973A8D" w14:textId="77777777" w:rsidTr="00B518F1">
        <w:tc>
          <w:tcPr>
            <w:tcW w:w="1564" w:type="dxa"/>
            <w:vAlign w:val="center"/>
          </w:tcPr>
          <w:p w14:paraId="4E0315B9" w14:textId="77777777" w:rsidR="007075D9" w:rsidRPr="004D46AC" w:rsidRDefault="007075D9" w:rsidP="00CE2F7A">
            <w:pPr>
              <w:spacing w:line="240" w:lineRule="auto"/>
              <w:ind w:firstLine="0"/>
              <w:rPr>
                <w:b/>
                <w:bCs/>
                <w:i/>
                <w:iCs/>
              </w:rPr>
            </w:pPr>
            <w:r w:rsidRPr="004D46AC">
              <w:rPr>
                <w:rFonts w:eastAsia="DengXian"/>
                <w:color w:val="000000"/>
              </w:rPr>
              <w:t>P2--Y6</w:t>
            </w:r>
          </w:p>
        </w:tc>
        <w:tc>
          <w:tcPr>
            <w:tcW w:w="1603" w:type="dxa"/>
            <w:vAlign w:val="center"/>
          </w:tcPr>
          <w:p w14:paraId="67652D27"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2F820DEE"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2B5D385B"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3247CD2E" w14:textId="77777777" w:rsidR="007075D9" w:rsidRPr="004D46AC" w:rsidRDefault="007075D9" w:rsidP="00CE2F7A">
            <w:pPr>
              <w:spacing w:line="240" w:lineRule="auto"/>
              <w:ind w:firstLine="0"/>
              <w:rPr>
                <w:b/>
                <w:bCs/>
                <w:i/>
                <w:iCs/>
              </w:rPr>
            </w:pPr>
            <w:r w:rsidRPr="004D46AC">
              <w:rPr>
                <w:color w:val="000000"/>
              </w:rPr>
              <w:t xml:space="preserve">0.10 </w:t>
            </w:r>
          </w:p>
        </w:tc>
      </w:tr>
      <w:tr w:rsidR="007075D9" w:rsidRPr="004D46AC" w14:paraId="3A390B32" w14:textId="77777777" w:rsidTr="00B518F1">
        <w:tc>
          <w:tcPr>
            <w:tcW w:w="1564" w:type="dxa"/>
            <w:vAlign w:val="center"/>
          </w:tcPr>
          <w:p w14:paraId="4FADE8B9" w14:textId="77777777" w:rsidR="007075D9" w:rsidRPr="004D46AC" w:rsidRDefault="007075D9" w:rsidP="00CE2F7A">
            <w:pPr>
              <w:spacing w:line="240" w:lineRule="auto"/>
              <w:ind w:firstLine="0"/>
              <w:rPr>
                <w:b/>
                <w:bCs/>
                <w:i/>
                <w:iCs/>
              </w:rPr>
            </w:pPr>
            <w:r w:rsidRPr="004D46AC">
              <w:rPr>
                <w:rFonts w:eastAsia="DengXian"/>
                <w:color w:val="000000"/>
              </w:rPr>
              <w:t>P4--M3</w:t>
            </w:r>
          </w:p>
        </w:tc>
        <w:tc>
          <w:tcPr>
            <w:tcW w:w="1603" w:type="dxa"/>
            <w:vAlign w:val="center"/>
          </w:tcPr>
          <w:p w14:paraId="5DC5CF35"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08AB0178"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23640A93"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4FF662CC" w14:textId="77777777" w:rsidR="007075D9" w:rsidRPr="004D46AC" w:rsidRDefault="007075D9" w:rsidP="00CE2F7A">
            <w:pPr>
              <w:spacing w:line="240" w:lineRule="auto"/>
              <w:ind w:firstLine="0"/>
              <w:rPr>
                <w:b/>
                <w:bCs/>
                <w:i/>
                <w:iCs/>
              </w:rPr>
            </w:pPr>
            <w:r w:rsidRPr="004D46AC">
              <w:rPr>
                <w:color w:val="000000"/>
              </w:rPr>
              <w:t xml:space="preserve">0.08 </w:t>
            </w:r>
          </w:p>
        </w:tc>
      </w:tr>
      <w:tr w:rsidR="007075D9" w:rsidRPr="004D46AC" w14:paraId="6FB26B91" w14:textId="77777777" w:rsidTr="00B518F1">
        <w:tc>
          <w:tcPr>
            <w:tcW w:w="1564" w:type="dxa"/>
            <w:vAlign w:val="center"/>
          </w:tcPr>
          <w:p w14:paraId="396F43E6" w14:textId="77777777" w:rsidR="007075D9" w:rsidRPr="004D46AC" w:rsidRDefault="007075D9" w:rsidP="00CE2F7A">
            <w:pPr>
              <w:spacing w:line="240" w:lineRule="auto"/>
              <w:ind w:firstLine="0"/>
              <w:rPr>
                <w:b/>
                <w:bCs/>
                <w:i/>
                <w:iCs/>
              </w:rPr>
            </w:pPr>
            <w:r w:rsidRPr="004D46AC">
              <w:rPr>
                <w:rFonts w:eastAsia="DengXian"/>
                <w:color w:val="000000"/>
              </w:rPr>
              <w:t>M5--M6</w:t>
            </w:r>
          </w:p>
        </w:tc>
        <w:tc>
          <w:tcPr>
            <w:tcW w:w="1603" w:type="dxa"/>
            <w:vAlign w:val="center"/>
          </w:tcPr>
          <w:p w14:paraId="7C8C9403"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38171F8A"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6A21D310"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2EAAF62A"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2F4F7530" w14:textId="77777777" w:rsidTr="00B518F1">
        <w:tc>
          <w:tcPr>
            <w:tcW w:w="1564" w:type="dxa"/>
            <w:vAlign w:val="center"/>
          </w:tcPr>
          <w:p w14:paraId="2AD5905D" w14:textId="77777777" w:rsidR="007075D9" w:rsidRPr="004D46AC" w:rsidRDefault="007075D9" w:rsidP="00CE2F7A">
            <w:pPr>
              <w:spacing w:line="240" w:lineRule="auto"/>
              <w:ind w:firstLine="0"/>
              <w:rPr>
                <w:b/>
                <w:bCs/>
                <w:i/>
                <w:iCs/>
              </w:rPr>
            </w:pPr>
            <w:r w:rsidRPr="004D46AC">
              <w:rPr>
                <w:rFonts w:eastAsia="DengXian"/>
                <w:color w:val="000000"/>
              </w:rPr>
              <w:t>Y10--M8</w:t>
            </w:r>
          </w:p>
        </w:tc>
        <w:tc>
          <w:tcPr>
            <w:tcW w:w="1603" w:type="dxa"/>
            <w:vAlign w:val="center"/>
          </w:tcPr>
          <w:p w14:paraId="5E100ED5"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2915F36C"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4A283B3E"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04759E88"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43AE9C94" w14:textId="77777777" w:rsidTr="00B518F1">
        <w:tc>
          <w:tcPr>
            <w:tcW w:w="1564" w:type="dxa"/>
            <w:vAlign w:val="center"/>
          </w:tcPr>
          <w:p w14:paraId="164F8B9B" w14:textId="77777777" w:rsidR="007075D9" w:rsidRPr="004D46AC" w:rsidRDefault="007075D9" w:rsidP="00CE2F7A">
            <w:pPr>
              <w:spacing w:line="240" w:lineRule="auto"/>
              <w:ind w:firstLine="0"/>
              <w:rPr>
                <w:b/>
                <w:bCs/>
                <w:i/>
                <w:iCs/>
              </w:rPr>
            </w:pPr>
            <w:r w:rsidRPr="004D46AC">
              <w:rPr>
                <w:rFonts w:eastAsia="DengXian"/>
                <w:color w:val="000000"/>
              </w:rPr>
              <w:t>P6--N1</w:t>
            </w:r>
          </w:p>
        </w:tc>
        <w:tc>
          <w:tcPr>
            <w:tcW w:w="1603" w:type="dxa"/>
            <w:vAlign w:val="center"/>
          </w:tcPr>
          <w:p w14:paraId="04AB72A2"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4059629B"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40289F2A"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716ED357" w14:textId="77777777" w:rsidR="007075D9" w:rsidRPr="004D46AC" w:rsidRDefault="007075D9" w:rsidP="00CE2F7A">
            <w:pPr>
              <w:spacing w:line="240" w:lineRule="auto"/>
              <w:ind w:firstLine="0"/>
              <w:rPr>
                <w:b/>
                <w:bCs/>
                <w:i/>
                <w:iCs/>
              </w:rPr>
            </w:pPr>
            <w:r w:rsidRPr="004D46AC">
              <w:rPr>
                <w:color w:val="000000"/>
              </w:rPr>
              <w:t xml:space="preserve">0.09 </w:t>
            </w:r>
          </w:p>
        </w:tc>
      </w:tr>
      <w:tr w:rsidR="007075D9" w:rsidRPr="004D46AC" w14:paraId="7F9915A9" w14:textId="77777777" w:rsidTr="00B518F1">
        <w:tc>
          <w:tcPr>
            <w:tcW w:w="1564" w:type="dxa"/>
            <w:vAlign w:val="center"/>
          </w:tcPr>
          <w:p w14:paraId="1CB9A9DE" w14:textId="77777777" w:rsidR="007075D9" w:rsidRPr="004D46AC" w:rsidRDefault="007075D9" w:rsidP="00CE2F7A">
            <w:pPr>
              <w:spacing w:line="240" w:lineRule="auto"/>
              <w:ind w:firstLine="0"/>
              <w:rPr>
                <w:b/>
                <w:bCs/>
                <w:i/>
                <w:iCs/>
              </w:rPr>
            </w:pPr>
            <w:r w:rsidRPr="004D46AC">
              <w:rPr>
                <w:rFonts w:eastAsia="DengXian"/>
                <w:color w:val="000000"/>
              </w:rPr>
              <w:t>P3--N5</w:t>
            </w:r>
          </w:p>
        </w:tc>
        <w:tc>
          <w:tcPr>
            <w:tcW w:w="1603" w:type="dxa"/>
            <w:vAlign w:val="center"/>
          </w:tcPr>
          <w:p w14:paraId="19B663CC"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051F3ACA"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1A1F1B45"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3665EF46" w14:textId="77777777" w:rsidR="007075D9" w:rsidRPr="004D46AC" w:rsidRDefault="007075D9" w:rsidP="00CE2F7A">
            <w:pPr>
              <w:spacing w:line="240" w:lineRule="auto"/>
              <w:ind w:firstLine="0"/>
              <w:rPr>
                <w:b/>
                <w:bCs/>
                <w:i/>
                <w:iCs/>
              </w:rPr>
            </w:pPr>
            <w:r w:rsidRPr="004D46AC">
              <w:rPr>
                <w:color w:val="000000"/>
              </w:rPr>
              <w:t xml:space="preserve">0.14 </w:t>
            </w:r>
          </w:p>
        </w:tc>
      </w:tr>
      <w:tr w:rsidR="007075D9" w:rsidRPr="004D46AC" w14:paraId="554FA5E0" w14:textId="77777777" w:rsidTr="00B518F1">
        <w:tc>
          <w:tcPr>
            <w:tcW w:w="1564" w:type="dxa"/>
            <w:vAlign w:val="center"/>
          </w:tcPr>
          <w:p w14:paraId="2EE0EE4E" w14:textId="77777777" w:rsidR="007075D9" w:rsidRPr="004D46AC" w:rsidRDefault="007075D9" w:rsidP="00CE2F7A">
            <w:pPr>
              <w:spacing w:line="240" w:lineRule="auto"/>
              <w:ind w:firstLine="0"/>
              <w:rPr>
                <w:b/>
                <w:bCs/>
                <w:i/>
                <w:iCs/>
              </w:rPr>
            </w:pPr>
            <w:r w:rsidRPr="004D46AC">
              <w:rPr>
                <w:rFonts w:eastAsia="DengXian"/>
                <w:color w:val="000000"/>
              </w:rPr>
              <w:t>Y3--Y6</w:t>
            </w:r>
          </w:p>
        </w:tc>
        <w:tc>
          <w:tcPr>
            <w:tcW w:w="1603" w:type="dxa"/>
            <w:vAlign w:val="center"/>
          </w:tcPr>
          <w:p w14:paraId="0622EE32"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0518AF10"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1F00A373"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768B33D0" w14:textId="77777777" w:rsidR="007075D9" w:rsidRPr="004D46AC" w:rsidRDefault="007075D9" w:rsidP="00CE2F7A">
            <w:pPr>
              <w:spacing w:line="240" w:lineRule="auto"/>
              <w:ind w:firstLine="0"/>
              <w:rPr>
                <w:b/>
                <w:bCs/>
                <w:i/>
                <w:iCs/>
              </w:rPr>
            </w:pPr>
            <w:r w:rsidRPr="004D46AC">
              <w:rPr>
                <w:color w:val="000000"/>
              </w:rPr>
              <w:t xml:space="preserve">0.17 </w:t>
            </w:r>
          </w:p>
        </w:tc>
      </w:tr>
      <w:tr w:rsidR="007075D9" w:rsidRPr="004D46AC" w14:paraId="6EBC9D20" w14:textId="77777777" w:rsidTr="00B518F1">
        <w:tc>
          <w:tcPr>
            <w:tcW w:w="1564" w:type="dxa"/>
            <w:vAlign w:val="center"/>
          </w:tcPr>
          <w:p w14:paraId="6B9B7131" w14:textId="77777777" w:rsidR="007075D9" w:rsidRPr="004D46AC" w:rsidRDefault="007075D9" w:rsidP="00CE2F7A">
            <w:pPr>
              <w:spacing w:line="240" w:lineRule="auto"/>
              <w:ind w:firstLine="0"/>
              <w:rPr>
                <w:b/>
                <w:bCs/>
                <w:i/>
                <w:iCs/>
              </w:rPr>
            </w:pPr>
            <w:r w:rsidRPr="004D46AC">
              <w:rPr>
                <w:rFonts w:eastAsia="DengXian"/>
                <w:color w:val="000000"/>
              </w:rPr>
              <w:t>Y10--M3</w:t>
            </w:r>
          </w:p>
        </w:tc>
        <w:tc>
          <w:tcPr>
            <w:tcW w:w="1603" w:type="dxa"/>
            <w:vAlign w:val="center"/>
          </w:tcPr>
          <w:p w14:paraId="45525771"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02F16099"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01137932" w14:textId="77777777" w:rsidR="007075D9" w:rsidRPr="004D46AC" w:rsidRDefault="007075D9" w:rsidP="00CE2F7A">
            <w:pPr>
              <w:spacing w:line="240" w:lineRule="auto"/>
              <w:ind w:firstLine="0"/>
              <w:rPr>
                <w:b/>
                <w:bCs/>
                <w:i/>
                <w:iCs/>
              </w:rPr>
            </w:pPr>
            <w:r w:rsidRPr="004D46AC">
              <w:rPr>
                <w:color w:val="000000"/>
              </w:rPr>
              <w:t xml:space="preserve">0.11 </w:t>
            </w:r>
          </w:p>
        </w:tc>
        <w:tc>
          <w:tcPr>
            <w:tcW w:w="1565" w:type="dxa"/>
            <w:vAlign w:val="center"/>
          </w:tcPr>
          <w:p w14:paraId="631D1BB3"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777127A1" w14:textId="77777777" w:rsidTr="00B518F1">
        <w:tc>
          <w:tcPr>
            <w:tcW w:w="1564" w:type="dxa"/>
            <w:vAlign w:val="center"/>
          </w:tcPr>
          <w:p w14:paraId="54E4D26E" w14:textId="77777777" w:rsidR="007075D9" w:rsidRPr="004D46AC" w:rsidRDefault="007075D9" w:rsidP="00CE2F7A">
            <w:pPr>
              <w:spacing w:line="240" w:lineRule="auto"/>
              <w:ind w:firstLine="0"/>
              <w:rPr>
                <w:b/>
                <w:bCs/>
                <w:i/>
                <w:iCs/>
              </w:rPr>
            </w:pPr>
            <w:r w:rsidRPr="004D46AC">
              <w:rPr>
                <w:rFonts w:eastAsia="DengXian"/>
                <w:color w:val="000000"/>
              </w:rPr>
              <w:t>M2--M6</w:t>
            </w:r>
          </w:p>
        </w:tc>
        <w:tc>
          <w:tcPr>
            <w:tcW w:w="1603" w:type="dxa"/>
            <w:vAlign w:val="center"/>
          </w:tcPr>
          <w:p w14:paraId="69699EE6"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1401CEB3"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4636725" w14:textId="77777777" w:rsidR="007075D9" w:rsidRPr="004D46AC" w:rsidRDefault="007075D9" w:rsidP="00CE2F7A">
            <w:pPr>
              <w:spacing w:line="240" w:lineRule="auto"/>
              <w:ind w:firstLine="0"/>
              <w:rPr>
                <w:b/>
                <w:bCs/>
                <w:i/>
                <w:iCs/>
              </w:rPr>
            </w:pPr>
            <w:r w:rsidRPr="004D46AC">
              <w:rPr>
                <w:color w:val="000000"/>
              </w:rPr>
              <w:t xml:space="preserve">0.12 </w:t>
            </w:r>
          </w:p>
        </w:tc>
        <w:tc>
          <w:tcPr>
            <w:tcW w:w="1565" w:type="dxa"/>
            <w:vAlign w:val="center"/>
          </w:tcPr>
          <w:p w14:paraId="1478C02D"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7F36EF94" w14:textId="77777777" w:rsidTr="00B518F1">
        <w:tc>
          <w:tcPr>
            <w:tcW w:w="1564" w:type="dxa"/>
            <w:vAlign w:val="center"/>
          </w:tcPr>
          <w:p w14:paraId="4B0A4EEA" w14:textId="77777777" w:rsidR="007075D9" w:rsidRPr="004D46AC" w:rsidRDefault="007075D9" w:rsidP="00CE2F7A">
            <w:pPr>
              <w:spacing w:line="240" w:lineRule="auto"/>
              <w:ind w:firstLine="0"/>
              <w:rPr>
                <w:b/>
                <w:bCs/>
                <w:i/>
                <w:iCs/>
              </w:rPr>
            </w:pPr>
            <w:r w:rsidRPr="004D46AC">
              <w:rPr>
                <w:rFonts w:eastAsia="DengXian"/>
                <w:color w:val="000000"/>
              </w:rPr>
              <w:t>RC--Y11</w:t>
            </w:r>
          </w:p>
        </w:tc>
        <w:tc>
          <w:tcPr>
            <w:tcW w:w="1603" w:type="dxa"/>
            <w:vAlign w:val="center"/>
          </w:tcPr>
          <w:p w14:paraId="6582318F"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4EB430E3"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71C44A8E" w14:textId="77777777" w:rsidR="007075D9" w:rsidRPr="004D46AC" w:rsidRDefault="007075D9" w:rsidP="00CE2F7A">
            <w:pPr>
              <w:spacing w:line="240" w:lineRule="auto"/>
              <w:ind w:firstLine="0"/>
              <w:rPr>
                <w:b/>
                <w:bCs/>
                <w:i/>
                <w:iCs/>
              </w:rPr>
            </w:pPr>
            <w:r w:rsidRPr="004D46AC">
              <w:rPr>
                <w:color w:val="000000"/>
              </w:rPr>
              <w:t xml:space="preserve">0.11 </w:t>
            </w:r>
          </w:p>
        </w:tc>
        <w:tc>
          <w:tcPr>
            <w:tcW w:w="1565" w:type="dxa"/>
            <w:vAlign w:val="center"/>
          </w:tcPr>
          <w:p w14:paraId="126D1E7A" w14:textId="77777777" w:rsidR="007075D9" w:rsidRPr="004D46AC" w:rsidRDefault="007075D9" w:rsidP="00CE2F7A">
            <w:pPr>
              <w:spacing w:line="240" w:lineRule="auto"/>
              <w:ind w:firstLine="0"/>
              <w:rPr>
                <w:b/>
                <w:bCs/>
                <w:i/>
                <w:iCs/>
              </w:rPr>
            </w:pPr>
            <w:r w:rsidRPr="004D46AC">
              <w:rPr>
                <w:color w:val="000000"/>
              </w:rPr>
              <w:t xml:space="preserve">0.29 </w:t>
            </w:r>
          </w:p>
        </w:tc>
      </w:tr>
      <w:tr w:rsidR="007075D9" w:rsidRPr="004D46AC" w14:paraId="045F5A93" w14:textId="77777777" w:rsidTr="00B518F1">
        <w:tc>
          <w:tcPr>
            <w:tcW w:w="1564" w:type="dxa"/>
            <w:vAlign w:val="center"/>
          </w:tcPr>
          <w:p w14:paraId="799208FB" w14:textId="77777777" w:rsidR="007075D9" w:rsidRPr="004D46AC" w:rsidRDefault="007075D9" w:rsidP="00CE2F7A">
            <w:pPr>
              <w:spacing w:line="240" w:lineRule="auto"/>
              <w:ind w:firstLine="0"/>
              <w:rPr>
                <w:b/>
                <w:bCs/>
                <w:i/>
                <w:iCs/>
              </w:rPr>
            </w:pPr>
            <w:r w:rsidRPr="004D46AC">
              <w:rPr>
                <w:rFonts w:eastAsia="DengXian"/>
                <w:color w:val="000000"/>
              </w:rPr>
              <w:t>WD--M9</w:t>
            </w:r>
          </w:p>
        </w:tc>
        <w:tc>
          <w:tcPr>
            <w:tcW w:w="1603" w:type="dxa"/>
            <w:vAlign w:val="center"/>
          </w:tcPr>
          <w:p w14:paraId="726F8E13"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3CAA69B6"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70A639DD"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3406CFD1" w14:textId="77777777" w:rsidR="007075D9" w:rsidRPr="004D46AC" w:rsidRDefault="007075D9" w:rsidP="00CE2F7A">
            <w:pPr>
              <w:spacing w:line="240" w:lineRule="auto"/>
              <w:ind w:firstLine="0"/>
              <w:rPr>
                <w:b/>
                <w:bCs/>
                <w:i/>
                <w:iCs/>
              </w:rPr>
            </w:pPr>
            <w:r w:rsidRPr="004D46AC">
              <w:rPr>
                <w:color w:val="000000"/>
              </w:rPr>
              <w:t xml:space="preserve">0.12 </w:t>
            </w:r>
          </w:p>
        </w:tc>
      </w:tr>
      <w:tr w:rsidR="007075D9" w:rsidRPr="004D46AC" w14:paraId="156C8C34" w14:textId="77777777" w:rsidTr="00B518F1">
        <w:tc>
          <w:tcPr>
            <w:tcW w:w="1564" w:type="dxa"/>
            <w:vAlign w:val="center"/>
          </w:tcPr>
          <w:p w14:paraId="59225E1E" w14:textId="77777777" w:rsidR="007075D9" w:rsidRPr="004D46AC" w:rsidRDefault="007075D9" w:rsidP="00CE2F7A">
            <w:pPr>
              <w:spacing w:line="240" w:lineRule="auto"/>
              <w:ind w:firstLine="0"/>
              <w:rPr>
                <w:b/>
                <w:bCs/>
                <w:i/>
                <w:iCs/>
              </w:rPr>
            </w:pPr>
            <w:r w:rsidRPr="004D46AC">
              <w:rPr>
                <w:rFonts w:eastAsia="DengXian"/>
                <w:color w:val="000000"/>
              </w:rPr>
              <w:t>M6--M10</w:t>
            </w:r>
          </w:p>
        </w:tc>
        <w:tc>
          <w:tcPr>
            <w:tcW w:w="1603" w:type="dxa"/>
            <w:vAlign w:val="center"/>
          </w:tcPr>
          <w:p w14:paraId="16817EE4"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00EDAA14"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38A26C0D"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4A17FDB3" w14:textId="77777777" w:rsidR="007075D9" w:rsidRPr="004D46AC" w:rsidRDefault="007075D9" w:rsidP="00CE2F7A">
            <w:pPr>
              <w:spacing w:line="240" w:lineRule="auto"/>
              <w:ind w:firstLine="0"/>
              <w:rPr>
                <w:b/>
                <w:bCs/>
                <w:i/>
                <w:iCs/>
              </w:rPr>
            </w:pPr>
            <w:r w:rsidRPr="004D46AC">
              <w:rPr>
                <w:color w:val="000000"/>
              </w:rPr>
              <w:t xml:space="preserve">0.18 </w:t>
            </w:r>
          </w:p>
        </w:tc>
      </w:tr>
      <w:tr w:rsidR="007075D9" w:rsidRPr="004D46AC" w14:paraId="70E2A214" w14:textId="77777777" w:rsidTr="00B518F1">
        <w:tc>
          <w:tcPr>
            <w:tcW w:w="1564" w:type="dxa"/>
            <w:vAlign w:val="center"/>
          </w:tcPr>
          <w:p w14:paraId="004B6802" w14:textId="77777777" w:rsidR="007075D9" w:rsidRPr="004D46AC" w:rsidRDefault="007075D9" w:rsidP="00CE2F7A">
            <w:pPr>
              <w:spacing w:line="240" w:lineRule="auto"/>
              <w:ind w:firstLine="0"/>
              <w:rPr>
                <w:b/>
                <w:bCs/>
                <w:i/>
                <w:iCs/>
              </w:rPr>
            </w:pPr>
            <w:r w:rsidRPr="004D46AC">
              <w:rPr>
                <w:rFonts w:eastAsia="DengXian"/>
                <w:color w:val="000000"/>
              </w:rPr>
              <w:t>N7--Y6</w:t>
            </w:r>
          </w:p>
        </w:tc>
        <w:tc>
          <w:tcPr>
            <w:tcW w:w="1603" w:type="dxa"/>
            <w:vAlign w:val="center"/>
          </w:tcPr>
          <w:p w14:paraId="67E1C248"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5AE72EC8"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71FA82B9"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3275EBC5" w14:textId="77777777" w:rsidR="007075D9" w:rsidRPr="004D46AC" w:rsidRDefault="007075D9" w:rsidP="00CE2F7A">
            <w:pPr>
              <w:spacing w:line="240" w:lineRule="auto"/>
              <w:ind w:firstLine="0"/>
              <w:rPr>
                <w:b/>
                <w:bCs/>
                <w:i/>
                <w:iCs/>
              </w:rPr>
            </w:pPr>
            <w:r w:rsidRPr="004D46AC">
              <w:rPr>
                <w:color w:val="000000"/>
              </w:rPr>
              <w:t xml:space="preserve">0.21 </w:t>
            </w:r>
          </w:p>
        </w:tc>
      </w:tr>
      <w:tr w:rsidR="007075D9" w:rsidRPr="004D46AC" w14:paraId="7C106604" w14:textId="77777777" w:rsidTr="00B518F1">
        <w:tc>
          <w:tcPr>
            <w:tcW w:w="1564" w:type="dxa"/>
            <w:vAlign w:val="center"/>
          </w:tcPr>
          <w:p w14:paraId="4170DE57" w14:textId="77777777" w:rsidR="007075D9" w:rsidRPr="004D46AC" w:rsidRDefault="007075D9" w:rsidP="00CE2F7A">
            <w:pPr>
              <w:spacing w:line="240" w:lineRule="auto"/>
              <w:ind w:firstLine="0"/>
              <w:rPr>
                <w:b/>
                <w:bCs/>
                <w:i/>
                <w:iCs/>
              </w:rPr>
            </w:pPr>
            <w:r w:rsidRPr="004D46AC">
              <w:rPr>
                <w:rFonts w:eastAsia="DengXian"/>
                <w:color w:val="000000"/>
              </w:rPr>
              <w:t>M6--M9</w:t>
            </w:r>
          </w:p>
        </w:tc>
        <w:tc>
          <w:tcPr>
            <w:tcW w:w="1603" w:type="dxa"/>
            <w:vAlign w:val="center"/>
          </w:tcPr>
          <w:p w14:paraId="220E79DD"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2065C6FD"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7B8F981F"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4ECBD0A7"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6E4A3E0D" w14:textId="77777777" w:rsidTr="00B518F1">
        <w:tc>
          <w:tcPr>
            <w:tcW w:w="1564" w:type="dxa"/>
            <w:vAlign w:val="center"/>
          </w:tcPr>
          <w:p w14:paraId="1C268F02" w14:textId="77777777" w:rsidR="007075D9" w:rsidRPr="004D46AC" w:rsidRDefault="007075D9" w:rsidP="00CE2F7A">
            <w:pPr>
              <w:spacing w:line="240" w:lineRule="auto"/>
              <w:ind w:firstLine="0"/>
              <w:rPr>
                <w:b/>
                <w:bCs/>
                <w:i/>
                <w:iCs/>
              </w:rPr>
            </w:pPr>
            <w:r w:rsidRPr="004D46AC">
              <w:rPr>
                <w:rFonts w:eastAsia="DengXian"/>
                <w:color w:val="000000"/>
              </w:rPr>
              <w:t>M3--M5</w:t>
            </w:r>
          </w:p>
        </w:tc>
        <w:tc>
          <w:tcPr>
            <w:tcW w:w="1603" w:type="dxa"/>
            <w:vAlign w:val="center"/>
          </w:tcPr>
          <w:p w14:paraId="0E48F468"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1FD4E17F"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44DB82F4" w14:textId="77777777" w:rsidR="007075D9" w:rsidRPr="004D46AC" w:rsidRDefault="007075D9" w:rsidP="00CE2F7A">
            <w:pPr>
              <w:spacing w:line="240" w:lineRule="auto"/>
              <w:ind w:firstLine="0"/>
              <w:rPr>
                <w:b/>
                <w:bCs/>
                <w:i/>
                <w:iCs/>
              </w:rPr>
            </w:pPr>
            <w:r w:rsidRPr="004D46AC">
              <w:rPr>
                <w:color w:val="000000"/>
              </w:rPr>
              <w:t xml:space="preserve">0.09 </w:t>
            </w:r>
          </w:p>
        </w:tc>
        <w:tc>
          <w:tcPr>
            <w:tcW w:w="1565" w:type="dxa"/>
            <w:vAlign w:val="center"/>
          </w:tcPr>
          <w:p w14:paraId="343B9EDC" w14:textId="77777777" w:rsidR="007075D9" w:rsidRPr="004D46AC" w:rsidRDefault="007075D9" w:rsidP="00CE2F7A">
            <w:pPr>
              <w:spacing w:line="240" w:lineRule="auto"/>
              <w:ind w:firstLine="0"/>
              <w:rPr>
                <w:b/>
                <w:bCs/>
                <w:i/>
                <w:iCs/>
              </w:rPr>
            </w:pPr>
            <w:r w:rsidRPr="004D46AC">
              <w:rPr>
                <w:color w:val="000000"/>
              </w:rPr>
              <w:t xml:space="preserve">0.22 </w:t>
            </w:r>
          </w:p>
        </w:tc>
      </w:tr>
      <w:tr w:rsidR="007075D9" w:rsidRPr="004D46AC" w14:paraId="0AC0A601" w14:textId="77777777" w:rsidTr="00B518F1">
        <w:tc>
          <w:tcPr>
            <w:tcW w:w="1564" w:type="dxa"/>
            <w:vAlign w:val="center"/>
          </w:tcPr>
          <w:p w14:paraId="313B7AA6" w14:textId="77777777" w:rsidR="007075D9" w:rsidRPr="004D46AC" w:rsidRDefault="007075D9" w:rsidP="00CE2F7A">
            <w:pPr>
              <w:spacing w:line="240" w:lineRule="auto"/>
              <w:ind w:firstLine="0"/>
              <w:rPr>
                <w:b/>
                <w:bCs/>
                <w:i/>
                <w:iCs/>
              </w:rPr>
            </w:pPr>
            <w:r w:rsidRPr="004D46AC">
              <w:rPr>
                <w:rFonts w:eastAsia="DengXian"/>
                <w:color w:val="000000"/>
              </w:rPr>
              <w:t>N5--Y10</w:t>
            </w:r>
          </w:p>
        </w:tc>
        <w:tc>
          <w:tcPr>
            <w:tcW w:w="1603" w:type="dxa"/>
            <w:vAlign w:val="center"/>
          </w:tcPr>
          <w:p w14:paraId="51DD0AF2"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27F9BB2F"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328EC8AD"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2AB55D15" w14:textId="77777777" w:rsidR="007075D9" w:rsidRPr="004D46AC" w:rsidRDefault="007075D9" w:rsidP="00CE2F7A">
            <w:pPr>
              <w:spacing w:line="240" w:lineRule="auto"/>
              <w:ind w:firstLine="0"/>
              <w:rPr>
                <w:b/>
                <w:bCs/>
                <w:i/>
                <w:iCs/>
              </w:rPr>
            </w:pPr>
            <w:r w:rsidRPr="004D46AC">
              <w:rPr>
                <w:color w:val="000000"/>
              </w:rPr>
              <w:t xml:space="preserve">0.28 </w:t>
            </w:r>
          </w:p>
        </w:tc>
      </w:tr>
      <w:tr w:rsidR="007075D9" w:rsidRPr="004D46AC" w14:paraId="7896D4E9" w14:textId="77777777" w:rsidTr="00B518F1">
        <w:tc>
          <w:tcPr>
            <w:tcW w:w="1564" w:type="dxa"/>
            <w:vAlign w:val="center"/>
          </w:tcPr>
          <w:p w14:paraId="1BAD30C2" w14:textId="77777777" w:rsidR="007075D9" w:rsidRPr="004D46AC" w:rsidRDefault="007075D9" w:rsidP="00CE2F7A">
            <w:pPr>
              <w:spacing w:line="240" w:lineRule="auto"/>
              <w:ind w:firstLine="0"/>
              <w:rPr>
                <w:b/>
                <w:bCs/>
                <w:i/>
                <w:iCs/>
              </w:rPr>
            </w:pPr>
            <w:r w:rsidRPr="004D46AC">
              <w:rPr>
                <w:rFonts w:eastAsia="DengXian"/>
                <w:color w:val="000000"/>
              </w:rPr>
              <w:t>M5--M7</w:t>
            </w:r>
          </w:p>
        </w:tc>
        <w:tc>
          <w:tcPr>
            <w:tcW w:w="1603" w:type="dxa"/>
            <w:vAlign w:val="center"/>
          </w:tcPr>
          <w:p w14:paraId="5E344563"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1656C8AD"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1A5D42EE"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06DD7324" w14:textId="77777777" w:rsidR="007075D9" w:rsidRPr="004D46AC" w:rsidRDefault="007075D9" w:rsidP="00CE2F7A">
            <w:pPr>
              <w:spacing w:line="240" w:lineRule="auto"/>
              <w:ind w:firstLine="0"/>
              <w:rPr>
                <w:b/>
                <w:bCs/>
                <w:i/>
                <w:iCs/>
              </w:rPr>
            </w:pPr>
            <w:r w:rsidRPr="004D46AC">
              <w:rPr>
                <w:color w:val="000000"/>
              </w:rPr>
              <w:t xml:space="preserve">0.24 </w:t>
            </w:r>
          </w:p>
        </w:tc>
      </w:tr>
      <w:tr w:rsidR="007075D9" w:rsidRPr="004D46AC" w14:paraId="0F75A72F" w14:textId="77777777" w:rsidTr="00B518F1">
        <w:tc>
          <w:tcPr>
            <w:tcW w:w="1564" w:type="dxa"/>
            <w:vAlign w:val="center"/>
          </w:tcPr>
          <w:p w14:paraId="4D72EE9F" w14:textId="77777777" w:rsidR="007075D9" w:rsidRPr="004D46AC" w:rsidRDefault="007075D9" w:rsidP="00CE2F7A">
            <w:pPr>
              <w:spacing w:line="240" w:lineRule="auto"/>
              <w:ind w:firstLine="0"/>
              <w:rPr>
                <w:b/>
                <w:bCs/>
                <w:i/>
                <w:iCs/>
              </w:rPr>
            </w:pPr>
            <w:r w:rsidRPr="004D46AC">
              <w:rPr>
                <w:rFonts w:eastAsia="DengXian"/>
                <w:color w:val="000000"/>
              </w:rPr>
              <w:t>N1--N7</w:t>
            </w:r>
          </w:p>
        </w:tc>
        <w:tc>
          <w:tcPr>
            <w:tcW w:w="1603" w:type="dxa"/>
            <w:vAlign w:val="center"/>
          </w:tcPr>
          <w:p w14:paraId="4D392CE4"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57C0C95"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2FB7D3B"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250016C1"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7C2D2FC2" w14:textId="77777777" w:rsidTr="00B518F1">
        <w:tc>
          <w:tcPr>
            <w:tcW w:w="1564" w:type="dxa"/>
            <w:vAlign w:val="center"/>
          </w:tcPr>
          <w:p w14:paraId="2F9B6AFA" w14:textId="77777777" w:rsidR="007075D9" w:rsidRPr="004D46AC" w:rsidRDefault="007075D9" w:rsidP="00CE2F7A">
            <w:pPr>
              <w:spacing w:line="240" w:lineRule="auto"/>
              <w:ind w:firstLine="0"/>
              <w:rPr>
                <w:b/>
                <w:bCs/>
                <w:i/>
                <w:iCs/>
              </w:rPr>
            </w:pPr>
            <w:r w:rsidRPr="004D46AC">
              <w:rPr>
                <w:rFonts w:eastAsia="DengXian"/>
                <w:color w:val="000000"/>
              </w:rPr>
              <w:t>M3--M8</w:t>
            </w:r>
          </w:p>
        </w:tc>
        <w:tc>
          <w:tcPr>
            <w:tcW w:w="1603" w:type="dxa"/>
            <w:vAlign w:val="center"/>
          </w:tcPr>
          <w:p w14:paraId="7863B56F"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4346181"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088D6736" w14:textId="77777777" w:rsidR="007075D9" w:rsidRPr="004D46AC" w:rsidRDefault="007075D9" w:rsidP="00CE2F7A">
            <w:pPr>
              <w:spacing w:line="240" w:lineRule="auto"/>
              <w:ind w:firstLine="0"/>
              <w:rPr>
                <w:b/>
                <w:bCs/>
                <w:i/>
                <w:iCs/>
              </w:rPr>
            </w:pPr>
            <w:r w:rsidRPr="004D46AC">
              <w:rPr>
                <w:color w:val="000000"/>
              </w:rPr>
              <w:t xml:space="preserve">0.09 </w:t>
            </w:r>
          </w:p>
        </w:tc>
        <w:tc>
          <w:tcPr>
            <w:tcW w:w="1565" w:type="dxa"/>
            <w:vAlign w:val="center"/>
          </w:tcPr>
          <w:p w14:paraId="33BD31D3" w14:textId="77777777" w:rsidR="007075D9" w:rsidRPr="004D46AC" w:rsidRDefault="007075D9" w:rsidP="00CE2F7A">
            <w:pPr>
              <w:spacing w:line="240" w:lineRule="auto"/>
              <w:ind w:firstLine="0"/>
              <w:rPr>
                <w:b/>
                <w:bCs/>
                <w:i/>
                <w:iCs/>
              </w:rPr>
            </w:pPr>
            <w:r w:rsidRPr="004D46AC">
              <w:rPr>
                <w:color w:val="000000"/>
              </w:rPr>
              <w:t xml:space="preserve">0.19 </w:t>
            </w:r>
          </w:p>
        </w:tc>
      </w:tr>
      <w:tr w:rsidR="007075D9" w:rsidRPr="004D46AC" w14:paraId="2CF5D509" w14:textId="77777777" w:rsidTr="00B518F1">
        <w:tc>
          <w:tcPr>
            <w:tcW w:w="1564" w:type="dxa"/>
            <w:vAlign w:val="center"/>
          </w:tcPr>
          <w:p w14:paraId="6C8E29F3" w14:textId="77777777" w:rsidR="007075D9" w:rsidRPr="004D46AC" w:rsidRDefault="007075D9" w:rsidP="00CE2F7A">
            <w:pPr>
              <w:spacing w:line="240" w:lineRule="auto"/>
              <w:ind w:firstLine="0"/>
              <w:rPr>
                <w:b/>
                <w:bCs/>
                <w:i/>
                <w:iCs/>
              </w:rPr>
            </w:pPr>
            <w:r w:rsidRPr="004D46AC">
              <w:rPr>
                <w:rFonts w:eastAsia="DengXian"/>
                <w:color w:val="000000"/>
              </w:rPr>
              <w:t>M5--M10</w:t>
            </w:r>
          </w:p>
        </w:tc>
        <w:tc>
          <w:tcPr>
            <w:tcW w:w="1603" w:type="dxa"/>
            <w:vAlign w:val="center"/>
          </w:tcPr>
          <w:p w14:paraId="24EC2E83"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13C12C56"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74CEA36D" w14:textId="77777777" w:rsidR="007075D9" w:rsidRPr="004D46AC" w:rsidRDefault="007075D9" w:rsidP="00CE2F7A">
            <w:pPr>
              <w:spacing w:line="240" w:lineRule="auto"/>
              <w:ind w:firstLine="0"/>
              <w:rPr>
                <w:b/>
                <w:bCs/>
                <w:i/>
                <w:iCs/>
              </w:rPr>
            </w:pPr>
            <w:r w:rsidRPr="004D46AC">
              <w:rPr>
                <w:color w:val="000000"/>
              </w:rPr>
              <w:t xml:space="preserve">0.10 </w:t>
            </w:r>
          </w:p>
        </w:tc>
        <w:tc>
          <w:tcPr>
            <w:tcW w:w="1565" w:type="dxa"/>
            <w:vAlign w:val="center"/>
          </w:tcPr>
          <w:p w14:paraId="366071AD" w14:textId="77777777" w:rsidR="007075D9" w:rsidRPr="004D46AC" w:rsidRDefault="007075D9" w:rsidP="00CE2F7A">
            <w:pPr>
              <w:spacing w:line="240" w:lineRule="auto"/>
              <w:ind w:firstLine="0"/>
              <w:rPr>
                <w:b/>
                <w:bCs/>
                <w:i/>
                <w:iCs/>
              </w:rPr>
            </w:pPr>
            <w:r w:rsidRPr="004D46AC">
              <w:rPr>
                <w:color w:val="000000"/>
              </w:rPr>
              <w:t xml:space="preserve">0.31 </w:t>
            </w:r>
          </w:p>
        </w:tc>
      </w:tr>
      <w:tr w:rsidR="007075D9" w:rsidRPr="004D46AC" w14:paraId="3105876B" w14:textId="77777777" w:rsidTr="00B518F1">
        <w:tc>
          <w:tcPr>
            <w:tcW w:w="1564" w:type="dxa"/>
            <w:vAlign w:val="center"/>
          </w:tcPr>
          <w:p w14:paraId="6DFA9647" w14:textId="77777777" w:rsidR="007075D9" w:rsidRPr="004D46AC" w:rsidRDefault="007075D9" w:rsidP="00CE2F7A">
            <w:pPr>
              <w:spacing w:line="240" w:lineRule="auto"/>
              <w:ind w:firstLine="0"/>
              <w:rPr>
                <w:b/>
                <w:bCs/>
                <w:i/>
                <w:iCs/>
              </w:rPr>
            </w:pPr>
            <w:r w:rsidRPr="004D46AC">
              <w:rPr>
                <w:rFonts w:eastAsia="DengXian"/>
                <w:color w:val="000000"/>
              </w:rPr>
              <w:t>Y10--M9</w:t>
            </w:r>
          </w:p>
        </w:tc>
        <w:tc>
          <w:tcPr>
            <w:tcW w:w="1603" w:type="dxa"/>
            <w:vAlign w:val="center"/>
          </w:tcPr>
          <w:p w14:paraId="41642418"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39C981C3"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0283F5E7" w14:textId="77777777" w:rsidR="007075D9" w:rsidRPr="004D46AC" w:rsidRDefault="007075D9" w:rsidP="00CE2F7A">
            <w:pPr>
              <w:spacing w:line="240" w:lineRule="auto"/>
              <w:ind w:firstLine="0"/>
              <w:rPr>
                <w:b/>
                <w:bCs/>
                <w:i/>
                <w:iCs/>
              </w:rPr>
            </w:pPr>
            <w:r w:rsidRPr="004D46AC">
              <w:rPr>
                <w:color w:val="000000"/>
              </w:rPr>
              <w:t xml:space="preserve">0.09 </w:t>
            </w:r>
          </w:p>
        </w:tc>
        <w:tc>
          <w:tcPr>
            <w:tcW w:w="1565" w:type="dxa"/>
            <w:vAlign w:val="center"/>
          </w:tcPr>
          <w:p w14:paraId="1B7D4D27" w14:textId="77777777" w:rsidR="007075D9" w:rsidRPr="004D46AC" w:rsidRDefault="007075D9" w:rsidP="00CE2F7A">
            <w:pPr>
              <w:spacing w:line="240" w:lineRule="auto"/>
              <w:ind w:firstLine="0"/>
              <w:rPr>
                <w:b/>
                <w:bCs/>
                <w:i/>
                <w:iCs/>
              </w:rPr>
            </w:pPr>
            <w:r w:rsidRPr="004D46AC">
              <w:rPr>
                <w:color w:val="000000"/>
              </w:rPr>
              <w:t xml:space="preserve">0.24 </w:t>
            </w:r>
          </w:p>
        </w:tc>
      </w:tr>
      <w:tr w:rsidR="007075D9" w:rsidRPr="004D46AC" w14:paraId="737E0E59" w14:textId="77777777" w:rsidTr="00B518F1">
        <w:tc>
          <w:tcPr>
            <w:tcW w:w="1564" w:type="dxa"/>
            <w:vAlign w:val="center"/>
          </w:tcPr>
          <w:p w14:paraId="3C28F1D5" w14:textId="77777777" w:rsidR="007075D9" w:rsidRPr="004D46AC" w:rsidRDefault="007075D9" w:rsidP="00CE2F7A">
            <w:pPr>
              <w:spacing w:line="240" w:lineRule="auto"/>
              <w:ind w:firstLine="0"/>
              <w:rPr>
                <w:b/>
                <w:bCs/>
                <w:i/>
                <w:iCs/>
              </w:rPr>
            </w:pPr>
            <w:r w:rsidRPr="004D46AC">
              <w:rPr>
                <w:rFonts w:eastAsia="DengXian"/>
                <w:color w:val="000000"/>
              </w:rPr>
              <w:t>P3--N7</w:t>
            </w:r>
          </w:p>
        </w:tc>
        <w:tc>
          <w:tcPr>
            <w:tcW w:w="1603" w:type="dxa"/>
            <w:vAlign w:val="center"/>
          </w:tcPr>
          <w:p w14:paraId="09D249AE"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63614EC2"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27174B4F" w14:textId="77777777" w:rsidR="007075D9" w:rsidRPr="004D46AC" w:rsidRDefault="007075D9" w:rsidP="00CE2F7A">
            <w:pPr>
              <w:spacing w:line="240" w:lineRule="auto"/>
              <w:ind w:firstLine="0"/>
              <w:rPr>
                <w:b/>
                <w:bCs/>
                <w:i/>
                <w:iCs/>
              </w:rPr>
            </w:pPr>
            <w:r w:rsidRPr="004D46AC">
              <w:rPr>
                <w:color w:val="000000"/>
              </w:rPr>
              <w:t xml:space="preserve">0.09 </w:t>
            </w:r>
          </w:p>
        </w:tc>
        <w:tc>
          <w:tcPr>
            <w:tcW w:w="1565" w:type="dxa"/>
            <w:vAlign w:val="center"/>
          </w:tcPr>
          <w:p w14:paraId="43B0DF94" w14:textId="77777777" w:rsidR="007075D9" w:rsidRPr="004D46AC" w:rsidRDefault="007075D9" w:rsidP="00CE2F7A">
            <w:pPr>
              <w:spacing w:line="240" w:lineRule="auto"/>
              <w:ind w:firstLine="0"/>
              <w:rPr>
                <w:b/>
                <w:bCs/>
                <w:i/>
                <w:iCs/>
              </w:rPr>
            </w:pPr>
            <w:r w:rsidRPr="004D46AC">
              <w:rPr>
                <w:color w:val="000000"/>
              </w:rPr>
              <w:t xml:space="preserve">0.29 </w:t>
            </w:r>
          </w:p>
        </w:tc>
      </w:tr>
      <w:tr w:rsidR="007075D9" w:rsidRPr="004D46AC" w14:paraId="6C54891A" w14:textId="77777777" w:rsidTr="00B518F1">
        <w:tc>
          <w:tcPr>
            <w:tcW w:w="1564" w:type="dxa"/>
            <w:vAlign w:val="center"/>
          </w:tcPr>
          <w:p w14:paraId="45F96784" w14:textId="77777777" w:rsidR="007075D9" w:rsidRPr="004D46AC" w:rsidRDefault="007075D9" w:rsidP="00CE2F7A">
            <w:pPr>
              <w:spacing w:line="240" w:lineRule="auto"/>
              <w:ind w:firstLine="0"/>
              <w:rPr>
                <w:b/>
                <w:bCs/>
                <w:i/>
                <w:iCs/>
              </w:rPr>
            </w:pPr>
            <w:r w:rsidRPr="004D46AC">
              <w:rPr>
                <w:rFonts w:eastAsia="DengXian"/>
                <w:color w:val="000000"/>
              </w:rPr>
              <w:t>P2--Y11</w:t>
            </w:r>
          </w:p>
        </w:tc>
        <w:tc>
          <w:tcPr>
            <w:tcW w:w="1603" w:type="dxa"/>
            <w:vAlign w:val="center"/>
          </w:tcPr>
          <w:p w14:paraId="0C04FE1C"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369532C4"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14C964B2" w14:textId="77777777" w:rsidR="007075D9" w:rsidRPr="004D46AC" w:rsidRDefault="007075D9" w:rsidP="00CE2F7A">
            <w:pPr>
              <w:spacing w:line="240" w:lineRule="auto"/>
              <w:ind w:firstLine="0"/>
              <w:rPr>
                <w:b/>
                <w:bCs/>
                <w:i/>
                <w:iCs/>
              </w:rPr>
            </w:pPr>
            <w:r w:rsidRPr="004D46AC">
              <w:rPr>
                <w:color w:val="000000"/>
              </w:rPr>
              <w:t xml:space="preserve">0.09 </w:t>
            </w:r>
          </w:p>
        </w:tc>
        <w:tc>
          <w:tcPr>
            <w:tcW w:w="1565" w:type="dxa"/>
            <w:vAlign w:val="center"/>
          </w:tcPr>
          <w:p w14:paraId="0D28ABD4"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13C4C125" w14:textId="77777777" w:rsidTr="00B518F1">
        <w:tc>
          <w:tcPr>
            <w:tcW w:w="1564" w:type="dxa"/>
            <w:vAlign w:val="center"/>
          </w:tcPr>
          <w:p w14:paraId="021CA748" w14:textId="77777777" w:rsidR="007075D9" w:rsidRPr="004D46AC" w:rsidRDefault="007075D9" w:rsidP="00CE2F7A">
            <w:pPr>
              <w:spacing w:line="240" w:lineRule="auto"/>
              <w:ind w:firstLine="0"/>
              <w:rPr>
                <w:b/>
                <w:bCs/>
                <w:i/>
                <w:iCs/>
              </w:rPr>
            </w:pPr>
            <w:r w:rsidRPr="004D46AC">
              <w:rPr>
                <w:rFonts w:eastAsia="DengXian"/>
                <w:color w:val="000000"/>
              </w:rPr>
              <w:t>WD--Y10</w:t>
            </w:r>
          </w:p>
        </w:tc>
        <w:tc>
          <w:tcPr>
            <w:tcW w:w="1603" w:type="dxa"/>
            <w:vAlign w:val="center"/>
          </w:tcPr>
          <w:p w14:paraId="204A19F3"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55D239DF"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7D031280" w14:textId="77777777" w:rsidR="007075D9" w:rsidRPr="004D46AC" w:rsidRDefault="007075D9" w:rsidP="00CE2F7A">
            <w:pPr>
              <w:spacing w:line="240" w:lineRule="auto"/>
              <w:ind w:firstLine="0"/>
              <w:rPr>
                <w:b/>
                <w:bCs/>
                <w:i/>
                <w:iCs/>
              </w:rPr>
            </w:pPr>
            <w:r w:rsidRPr="004D46AC">
              <w:rPr>
                <w:color w:val="000000"/>
              </w:rPr>
              <w:t xml:space="preserve">0.09 </w:t>
            </w:r>
          </w:p>
        </w:tc>
        <w:tc>
          <w:tcPr>
            <w:tcW w:w="1565" w:type="dxa"/>
            <w:vAlign w:val="center"/>
          </w:tcPr>
          <w:p w14:paraId="79E9A751"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5A44173D" w14:textId="77777777" w:rsidTr="00B518F1">
        <w:tc>
          <w:tcPr>
            <w:tcW w:w="1564" w:type="dxa"/>
            <w:vAlign w:val="center"/>
          </w:tcPr>
          <w:p w14:paraId="7E325F83" w14:textId="77777777" w:rsidR="007075D9" w:rsidRPr="004D46AC" w:rsidRDefault="007075D9" w:rsidP="00CE2F7A">
            <w:pPr>
              <w:spacing w:line="240" w:lineRule="auto"/>
              <w:ind w:firstLine="0"/>
              <w:rPr>
                <w:b/>
                <w:bCs/>
                <w:i/>
                <w:iCs/>
              </w:rPr>
            </w:pPr>
            <w:r w:rsidRPr="004D46AC">
              <w:rPr>
                <w:rFonts w:eastAsia="DengXian"/>
                <w:color w:val="000000"/>
              </w:rPr>
              <w:t>Y3--M3</w:t>
            </w:r>
          </w:p>
        </w:tc>
        <w:tc>
          <w:tcPr>
            <w:tcW w:w="1603" w:type="dxa"/>
            <w:vAlign w:val="center"/>
          </w:tcPr>
          <w:p w14:paraId="6D8711D5"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71C41249"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09FE68BE" w14:textId="77777777" w:rsidR="007075D9" w:rsidRPr="004D46AC" w:rsidRDefault="007075D9" w:rsidP="00CE2F7A">
            <w:pPr>
              <w:spacing w:line="240" w:lineRule="auto"/>
              <w:ind w:firstLine="0"/>
              <w:rPr>
                <w:b/>
                <w:bCs/>
                <w:i/>
                <w:iCs/>
              </w:rPr>
            </w:pPr>
            <w:r w:rsidRPr="004D46AC">
              <w:rPr>
                <w:color w:val="000000"/>
              </w:rPr>
              <w:t xml:space="preserve">0.08 </w:t>
            </w:r>
          </w:p>
        </w:tc>
        <w:tc>
          <w:tcPr>
            <w:tcW w:w="1565" w:type="dxa"/>
            <w:vAlign w:val="center"/>
          </w:tcPr>
          <w:p w14:paraId="0004FBFF" w14:textId="77777777" w:rsidR="007075D9" w:rsidRPr="004D46AC" w:rsidRDefault="007075D9" w:rsidP="00CE2F7A">
            <w:pPr>
              <w:spacing w:line="240" w:lineRule="auto"/>
              <w:ind w:firstLine="0"/>
              <w:rPr>
                <w:b/>
                <w:bCs/>
                <w:i/>
                <w:iCs/>
              </w:rPr>
            </w:pPr>
            <w:r w:rsidRPr="004D46AC">
              <w:rPr>
                <w:color w:val="000000"/>
              </w:rPr>
              <w:t xml:space="preserve">0.28 </w:t>
            </w:r>
          </w:p>
        </w:tc>
      </w:tr>
      <w:tr w:rsidR="007075D9" w:rsidRPr="004D46AC" w14:paraId="567B3117" w14:textId="77777777" w:rsidTr="00B518F1">
        <w:tc>
          <w:tcPr>
            <w:tcW w:w="1564" w:type="dxa"/>
            <w:vAlign w:val="center"/>
          </w:tcPr>
          <w:p w14:paraId="013C6272" w14:textId="77777777" w:rsidR="007075D9" w:rsidRPr="004D46AC" w:rsidRDefault="007075D9" w:rsidP="00CE2F7A">
            <w:pPr>
              <w:spacing w:line="240" w:lineRule="auto"/>
              <w:ind w:firstLine="0"/>
              <w:rPr>
                <w:b/>
                <w:bCs/>
                <w:i/>
                <w:iCs/>
              </w:rPr>
            </w:pPr>
            <w:r w:rsidRPr="004D46AC">
              <w:rPr>
                <w:rFonts w:eastAsia="DengXian"/>
                <w:color w:val="000000"/>
              </w:rPr>
              <w:t>P5--RC</w:t>
            </w:r>
          </w:p>
        </w:tc>
        <w:tc>
          <w:tcPr>
            <w:tcW w:w="1603" w:type="dxa"/>
            <w:vAlign w:val="center"/>
          </w:tcPr>
          <w:p w14:paraId="0499643E"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0BA7542D"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D55036B" w14:textId="77777777" w:rsidR="007075D9" w:rsidRPr="004D46AC" w:rsidRDefault="007075D9" w:rsidP="00CE2F7A">
            <w:pPr>
              <w:spacing w:line="240" w:lineRule="auto"/>
              <w:ind w:firstLine="0"/>
              <w:rPr>
                <w:b/>
                <w:bCs/>
                <w:i/>
                <w:iCs/>
              </w:rPr>
            </w:pPr>
            <w:r w:rsidRPr="004D46AC">
              <w:rPr>
                <w:color w:val="000000"/>
              </w:rPr>
              <w:t xml:space="preserve">0.08 </w:t>
            </w:r>
          </w:p>
        </w:tc>
        <w:tc>
          <w:tcPr>
            <w:tcW w:w="1565" w:type="dxa"/>
            <w:vAlign w:val="center"/>
          </w:tcPr>
          <w:p w14:paraId="3170FBDE" w14:textId="77777777" w:rsidR="007075D9" w:rsidRPr="004D46AC" w:rsidRDefault="007075D9" w:rsidP="00CE2F7A">
            <w:pPr>
              <w:spacing w:line="240" w:lineRule="auto"/>
              <w:ind w:firstLine="0"/>
              <w:rPr>
                <w:b/>
                <w:bCs/>
                <w:i/>
                <w:iCs/>
              </w:rPr>
            </w:pPr>
            <w:r w:rsidRPr="004D46AC">
              <w:rPr>
                <w:color w:val="000000"/>
              </w:rPr>
              <w:t xml:space="preserve">0.31 </w:t>
            </w:r>
          </w:p>
        </w:tc>
      </w:tr>
      <w:tr w:rsidR="007075D9" w:rsidRPr="004D46AC" w14:paraId="730BAEE9" w14:textId="77777777" w:rsidTr="00B518F1">
        <w:tc>
          <w:tcPr>
            <w:tcW w:w="1564" w:type="dxa"/>
            <w:vAlign w:val="center"/>
          </w:tcPr>
          <w:p w14:paraId="4F171719" w14:textId="77777777" w:rsidR="007075D9" w:rsidRPr="004D46AC" w:rsidRDefault="007075D9" w:rsidP="00CE2F7A">
            <w:pPr>
              <w:spacing w:line="240" w:lineRule="auto"/>
              <w:ind w:firstLine="0"/>
              <w:rPr>
                <w:b/>
                <w:bCs/>
                <w:i/>
                <w:iCs/>
              </w:rPr>
            </w:pPr>
            <w:r w:rsidRPr="004D46AC">
              <w:rPr>
                <w:rFonts w:eastAsia="DengXian"/>
                <w:color w:val="000000"/>
              </w:rPr>
              <w:t>P2--Y7</w:t>
            </w:r>
          </w:p>
        </w:tc>
        <w:tc>
          <w:tcPr>
            <w:tcW w:w="1603" w:type="dxa"/>
            <w:vAlign w:val="center"/>
          </w:tcPr>
          <w:p w14:paraId="43DDE875"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332BAA32"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D2D03E7" w14:textId="77777777" w:rsidR="007075D9" w:rsidRPr="004D46AC" w:rsidRDefault="007075D9" w:rsidP="00CE2F7A">
            <w:pPr>
              <w:spacing w:line="240" w:lineRule="auto"/>
              <w:ind w:firstLine="0"/>
              <w:rPr>
                <w:b/>
                <w:bCs/>
                <w:i/>
                <w:iCs/>
              </w:rPr>
            </w:pPr>
            <w:r w:rsidRPr="004D46AC">
              <w:rPr>
                <w:color w:val="000000"/>
              </w:rPr>
              <w:t xml:space="preserve">0.08 </w:t>
            </w:r>
          </w:p>
        </w:tc>
        <w:tc>
          <w:tcPr>
            <w:tcW w:w="1565" w:type="dxa"/>
            <w:vAlign w:val="center"/>
          </w:tcPr>
          <w:p w14:paraId="32FB7030" w14:textId="77777777" w:rsidR="007075D9" w:rsidRPr="004D46AC" w:rsidRDefault="007075D9" w:rsidP="00CE2F7A">
            <w:pPr>
              <w:spacing w:line="240" w:lineRule="auto"/>
              <w:ind w:firstLine="0"/>
              <w:rPr>
                <w:b/>
                <w:bCs/>
                <w:i/>
                <w:iCs/>
              </w:rPr>
            </w:pPr>
            <w:r w:rsidRPr="004D46AC">
              <w:rPr>
                <w:color w:val="000000"/>
              </w:rPr>
              <w:t xml:space="preserve">0.32 </w:t>
            </w:r>
          </w:p>
        </w:tc>
      </w:tr>
      <w:tr w:rsidR="007075D9" w:rsidRPr="004D46AC" w14:paraId="02460011" w14:textId="77777777" w:rsidTr="00B518F1">
        <w:tc>
          <w:tcPr>
            <w:tcW w:w="1564" w:type="dxa"/>
            <w:vAlign w:val="center"/>
          </w:tcPr>
          <w:p w14:paraId="224219CE" w14:textId="77777777" w:rsidR="007075D9" w:rsidRPr="004D46AC" w:rsidRDefault="007075D9" w:rsidP="00CE2F7A">
            <w:pPr>
              <w:spacing w:line="240" w:lineRule="auto"/>
              <w:ind w:firstLine="0"/>
              <w:rPr>
                <w:b/>
                <w:bCs/>
                <w:i/>
                <w:iCs/>
              </w:rPr>
            </w:pPr>
            <w:r w:rsidRPr="004D46AC">
              <w:rPr>
                <w:rFonts w:eastAsia="DengXian"/>
                <w:color w:val="000000"/>
              </w:rPr>
              <w:t>M2--M5</w:t>
            </w:r>
          </w:p>
        </w:tc>
        <w:tc>
          <w:tcPr>
            <w:tcW w:w="1603" w:type="dxa"/>
            <w:vAlign w:val="center"/>
          </w:tcPr>
          <w:p w14:paraId="5CE4C2BC"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4F0F8A67"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23D5EAC" w14:textId="77777777" w:rsidR="007075D9" w:rsidRPr="004D46AC" w:rsidRDefault="007075D9" w:rsidP="00CE2F7A">
            <w:pPr>
              <w:spacing w:line="240" w:lineRule="auto"/>
              <w:ind w:firstLine="0"/>
              <w:rPr>
                <w:b/>
                <w:bCs/>
                <w:i/>
                <w:iCs/>
              </w:rPr>
            </w:pPr>
            <w:r w:rsidRPr="004D46AC">
              <w:rPr>
                <w:color w:val="000000"/>
              </w:rPr>
              <w:t xml:space="preserve">0.08 </w:t>
            </w:r>
          </w:p>
        </w:tc>
        <w:tc>
          <w:tcPr>
            <w:tcW w:w="1565" w:type="dxa"/>
            <w:vAlign w:val="center"/>
          </w:tcPr>
          <w:p w14:paraId="2765AA61"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08AA493A" w14:textId="77777777" w:rsidTr="00B518F1">
        <w:tc>
          <w:tcPr>
            <w:tcW w:w="1564" w:type="dxa"/>
            <w:vAlign w:val="center"/>
          </w:tcPr>
          <w:p w14:paraId="527D41D3" w14:textId="77777777" w:rsidR="007075D9" w:rsidRPr="004D46AC" w:rsidRDefault="007075D9" w:rsidP="00CE2F7A">
            <w:pPr>
              <w:spacing w:line="240" w:lineRule="auto"/>
              <w:ind w:firstLine="0"/>
              <w:rPr>
                <w:b/>
                <w:bCs/>
                <w:i/>
                <w:iCs/>
              </w:rPr>
            </w:pPr>
            <w:r w:rsidRPr="004D46AC">
              <w:rPr>
                <w:rFonts w:eastAsia="DengXian"/>
                <w:color w:val="000000"/>
              </w:rPr>
              <w:t>P3--M5</w:t>
            </w:r>
          </w:p>
        </w:tc>
        <w:tc>
          <w:tcPr>
            <w:tcW w:w="1603" w:type="dxa"/>
            <w:vAlign w:val="center"/>
          </w:tcPr>
          <w:p w14:paraId="2A531798"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50BCE7D4"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7A168009" w14:textId="77777777" w:rsidR="007075D9" w:rsidRPr="004D46AC" w:rsidRDefault="007075D9" w:rsidP="00CE2F7A">
            <w:pPr>
              <w:spacing w:line="240" w:lineRule="auto"/>
              <w:ind w:firstLine="0"/>
              <w:rPr>
                <w:b/>
                <w:bCs/>
                <w:i/>
                <w:iCs/>
              </w:rPr>
            </w:pPr>
            <w:r w:rsidRPr="004D46AC">
              <w:rPr>
                <w:color w:val="000000"/>
              </w:rPr>
              <w:t xml:space="preserve">0.08 </w:t>
            </w:r>
          </w:p>
        </w:tc>
        <w:tc>
          <w:tcPr>
            <w:tcW w:w="1565" w:type="dxa"/>
            <w:vAlign w:val="center"/>
          </w:tcPr>
          <w:p w14:paraId="4C3AD92C" w14:textId="77777777" w:rsidR="007075D9" w:rsidRPr="004D46AC" w:rsidRDefault="007075D9" w:rsidP="00CE2F7A">
            <w:pPr>
              <w:spacing w:line="240" w:lineRule="auto"/>
              <w:ind w:firstLine="0"/>
              <w:rPr>
                <w:b/>
                <w:bCs/>
                <w:i/>
                <w:iCs/>
              </w:rPr>
            </w:pPr>
            <w:r w:rsidRPr="004D46AC">
              <w:rPr>
                <w:color w:val="000000"/>
              </w:rPr>
              <w:t xml:space="preserve">0.48 </w:t>
            </w:r>
          </w:p>
        </w:tc>
      </w:tr>
      <w:tr w:rsidR="007075D9" w:rsidRPr="004D46AC" w14:paraId="303667CC" w14:textId="77777777" w:rsidTr="00B518F1">
        <w:tc>
          <w:tcPr>
            <w:tcW w:w="1564" w:type="dxa"/>
            <w:vAlign w:val="center"/>
          </w:tcPr>
          <w:p w14:paraId="07C7DA31" w14:textId="77777777" w:rsidR="007075D9" w:rsidRPr="004D46AC" w:rsidRDefault="007075D9" w:rsidP="00CE2F7A">
            <w:pPr>
              <w:spacing w:line="240" w:lineRule="auto"/>
              <w:ind w:firstLine="0"/>
              <w:rPr>
                <w:b/>
                <w:bCs/>
                <w:i/>
                <w:iCs/>
              </w:rPr>
            </w:pPr>
            <w:r w:rsidRPr="004D46AC">
              <w:rPr>
                <w:rFonts w:eastAsia="DengXian"/>
                <w:color w:val="000000"/>
              </w:rPr>
              <w:t>Y7--Y10</w:t>
            </w:r>
          </w:p>
        </w:tc>
        <w:tc>
          <w:tcPr>
            <w:tcW w:w="1603" w:type="dxa"/>
            <w:vAlign w:val="center"/>
          </w:tcPr>
          <w:p w14:paraId="190A2C0C"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36487C36"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15D1F1C5" w14:textId="77777777" w:rsidR="007075D9" w:rsidRPr="004D46AC" w:rsidRDefault="007075D9" w:rsidP="00CE2F7A">
            <w:pPr>
              <w:spacing w:line="240" w:lineRule="auto"/>
              <w:ind w:firstLine="0"/>
              <w:rPr>
                <w:b/>
                <w:bCs/>
                <w:i/>
                <w:iCs/>
              </w:rPr>
            </w:pPr>
            <w:r w:rsidRPr="004D46AC">
              <w:rPr>
                <w:color w:val="000000"/>
              </w:rPr>
              <w:t xml:space="preserve">0.08 </w:t>
            </w:r>
          </w:p>
        </w:tc>
        <w:tc>
          <w:tcPr>
            <w:tcW w:w="1565" w:type="dxa"/>
            <w:vAlign w:val="center"/>
          </w:tcPr>
          <w:p w14:paraId="3234D75A" w14:textId="77777777" w:rsidR="007075D9" w:rsidRPr="004D46AC" w:rsidRDefault="007075D9" w:rsidP="00CE2F7A">
            <w:pPr>
              <w:spacing w:line="240" w:lineRule="auto"/>
              <w:ind w:firstLine="0"/>
              <w:rPr>
                <w:b/>
                <w:bCs/>
                <w:i/>
                <w:iCs/>
              </w:rPr>
            </w:pPr>
            <w:r w:rsidRPr="004D46AC">
              <w:rPr>
                <w:color w:val="000000"/>
              </w:rPr>
              <w:t xml:space="preserve">0.36 </w:t>
            </w:r>
          </w:p>
        </w:tc>
      </w:tr>
      <w:tr w:rsidR="007075D9" w:rsidRPr="004D46AC" w14:paraId="4506DA8C" w14:textId="77777777" w:rsidTr="00B518F1">
        <w:tc>
          <w:tcPr>
            <w:tcW w:w="1564" w:type="dxa"/>
            <w:vAlign w:val="center"/>
          </w:tcPr>
          <w:p w14:paraId="3238B741" w14:textId="77777777" w:rsidR="007075D9" w:rsidRPr="004D46AC" w:rsidRDefault="007075D9" w:rsidP="00CE2F7A">
            <w:pPr>
              <w:spacing w:line="240" w:lineRule="auto"/>
              <w:ind w:firstLine="0"/>
              <w:rPr>
                <w:b/>
                <w:bCs/>
                <w:i/>
                <w:iCs/>
              </w:rPr>
            </w:pPr>
            <w:r w:rsidRPr="004D46AC">
              <w:rPr>
                <w:rFonts w:eastAsia="DengXian"/>
                <w:color w:val="000000"/>
              </w:rPr>
              <w:lastRenderedPageBreak/>
              <w:t>P3--M8</w:t>
            </w:r>
          </w:p>
        </w:tc>
        <w:tc>
          <w:tcPr>
            <w:tcW w:w="1603" w:type="dxa"/>
            <w:vAlign w:val="center"/>
          </w:tcPr>
          <w:p w14:paraId="44DB10A7"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231AC0EB"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5467C093"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2B53B300" w14:textId="77777777" w:rsidR="007075D9" w:rsidRPr="004D46AC" w:rsidRDefault="007075D9" w:rsidP="00CE2F7A">
            <w:pPr>
              <w:spacing w:line="240" w:lineRule="auto"/>
              <w:ind w:firstLine="0"/>
              <w:rPr>
                <w:b/>
                <w:bCs/>
                <w:i/>
                <w:iCs/>
              </w:rPr>
            </w:pPr>
            <w:r w:rsidRPr="004D46AC">
              <w:rPr>
                <w:color w:val="000000"/>
              </w:rPr>
              <w:t xml:space="preserve">0.51 </w:t>
            </w:r>
          </w:p>
        </w:tc>
      </w:tr>
      <w:tr w:rsidR="007075D9" w:rsidRPr="004D46AC" w14:paraId="4111A044" w14:textId="77777777" w:rsidTr="00B518F1">
        <w:tc>
          <w:tcPr>
            <w:tcW w:w="1564" w:type="dxa"/>
            <w:vAlign w:val="center"/>
          </w:tcPr>
          <w:p w14:paraId="32FAF4A4" w14:textId="77777777" w:rsidR="007075D9" w:rsidRPr="004D46AC" w:rsidRDefault="007075D9" w:rsidP="00CE2F7A">
            <w:pPr>
              <w:spacing w:line="240" w:lineRule="auto"/>
              <w:ind w:firstLine="0"/>
              <w:rPr>
                <w:b/>
                <w:bCs/>
                <w:i/>
                <w:iCs/>
              </w:rPr>
            </w:pPr>
            <w:r w:rsidRPr="004D46AC">
              <w:rPr>
                <w:rFonts w:eastAsia="DengXian"/>
                <w:color w:val="000000"/>
              </w:rPr>
              <w:t>N7--Y11</w:t>
            </w:r>
          </w:p>
        </w:tc>
        <w:tc>
          <w:tcPr>
            <w:tcW w:w="1603" w:type="dxa"/>
            <w:vAlign w:val="center"/>
          </w:tcPr>
          <w:p w14:paraId="608811DD"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5F2246C4"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4101B43B" w14:textId="77777777" w:rsidR="007075D9" w:rsidRPr="004D46AC" w:rsidRDefault="007075D9" w:rsidP="00CE2F7A">
            <w:pPr>
              <w:spacing w:line="240" w:lineRule="auto"/>
              <w:ind w:firstLine="0"/>
              <w:rPr>
                <w:b/>
                <w:bCs/>
                <w:i/>
                <w:iCs/>
              </w:rPr>
            </w:pPr>
            <w:r w:rsidRPr="004D46AC">
              <w:rPr>
                <w:color w:val="000000"/>
              </w:rPr>
              <w:t xml:space="preserve">0.08 </w:t>
            </w:r>
          </w:p>
        </w:tc>
        <w:tc>
          <w:tcPr>
            <w:tcW w:w="1565" w:type="dxa"/>
            <w:vAlign w:val="center"/>
          </w:tcPr>
          <w:p w14:paraId="796C0BE7" w14:textId="77777777" w:rsidR="007075D9" w:rsidRPr="004D46AC" w:rsidRDefault="007075D9" w:rsidP="00CE2F7A">
            <w:pPr>
              <w:spacing w:line="240" w:lineRule="auto"/>
              <w:ind w:firstLine="0"/>
              <w:rPr>
                <w:b/>
                <w:bCs/>
                <w:i/>
                <w:iCs/>
              </w:rPr>
            </w:pPr>
            <w:r w:rsidRPr="004D46AC">
              <w:rPr>
                <w:color w:val="000000"/>
              </w:rPr>
              <w:t xml:space="preserve">0.41 </w:t>
            </w:r>
          </w:p>
        </w:tc>
      </w:tr>
      <w:tr w:rsidR="007075D9" w:rsidRPr="004D46AC" w14:paraId="251D59AB" w14:textId="77777777" w:rsidTr="00B518F1">
        <w:tc>
          <w:tcPr>
            <w:tcW w:w="1564" w:type="dxa"/>
            <w:vAlign w:val="center"/>
          </w:tcPr>
          <w:p w14:paraId="5C3E3A93" w14:textId="77777777" w:rsidR="007075D9" w:rsidRPr="004D46AC" w:rsidRDefault="007075D9" w:rsidP="00CE2F7A">
            <w:pPr>
              <w:spacing w:line="240" w:lineRule="auto"/>
              <w:ind w:firstLine="0"/>
              <w:rPr>
                <w:b/>
                <w:bCs/>
                <w:i/>
                <w:iCs/>
              </w:rPr>
            </w:pPr>
            <w:r w:rsidRPr="004D46AC">
              <w:rPr>
                <w:rFonts w:eastAsia="DengXian"/>
                <w:color w:val="000000"/>
              </w:rPr>
              <w:t>IA--M2</w:t>
            </w:r>
          </w:p>
        </w:tc>
        <w:tc>
          <w:tcPr>
            <w:tcW w:w="1603" w:type="dxa"/>
            <w:vAlign w:val="center"/>
          </w:tcPr>
          <w:p w14:paraId="5A5A0C7E"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4B9E179D"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0AFCB3B6"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1B870025" w14:textId="77777777" w:rsidR="007075D9" w:rsidRPr="004D46AC" w:rsidRDefault="007075D9" w:rsidP="00CE2F7A">
            <w:pPr>
              <w:spacing w:line="240" w:lineRule="auto"/>
              <w:ind w:firstLine="0"/>
              <w:rPr>
                <w:b/>
                <w:bCs/>
                <w:i/>
                <w:iCs/>
              </w:rPr>
            </w:pPr>
            <w:r w:rsidRPr="004D46AC">
              <w:rPr>
                <w:color w:val="000000"/>
              </w:rPr>
              <w:t xml:space="preserve">0.36 </w:t>
            </w:r>
          </w:p>
        </w:tc>
      </w:tr>
      <w:tr w:rsidR="007075D9" w:rsidRPr="004D46AC" w14:paraId="2D6CB4BE" w14:textId="77777777" w:rsidTr="00B518F1">
        <w:tc>
          <w:tcPr>
            <w:tcW w:w="1564" w:type="dxa"/>
            <w:vAlign w:val="center"/>
          </w:tcPr>
          <w:p w14:paraId="7205C0DF" w14:textId="77777777" w:rsidR="007075D9" w:rsidRPr="004D46AC" w:rsidRDefault="007075D9" w:rsidP="00CE2F7A">
            <w:pPr>
              <w:spacing w:line="240" w:lineRule="auto"/>
              <w:ind w:firstLine="0"/>
              <w:rPr>
                <w:b/>
                <w:bCs/>
                <w:i/>
                <w:iCs/>
              </w:rPr>
            </w:pPr>
            <w:r w:rsidRPr="004D46AC">
              <w:rPr>
                <w:rFonts w:eastAsia="DengXian"/>
                <w:color w:val="000000"/>
              </w:rPr>
              <w:t>P3--M3</w:t>
            </w:r>
          </w:p>
        </w:tc>
        <w:tc>
          <w:tcPr>
            <w:tcW w:w="1603" w:type="dxa"/>
            <w:vAlign w:val="center"/>
          </w:tcPr>
          <w:p w14:paraId="61C51D5A"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6203E6BA"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4AB75007"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7585E9F1" w14:textId="77777777" w:rsidR="007075D9" w:rsidRPr="004D46AC" w:rsidRDefault="007075D9" w:rsidP="00CE2F7A">
            <w:pPr>
              <w:spacing w:line="240" w:lineRule="auto"/>
              <w:ind w:firstLine="0"/>
              <w:rPr>
                <w:b/>
                <w:bCs/>
                <w:i/>
                <w:iCs/>
              </w:rPr>
            </w:pPr>
            <w:r w:rsidRPr="004D46AC">
              <w:rPr>
                <w:color w:val="000000"/>
              </w:rPr>
              <w:t xml:space="preserve">0.45 </w:t>
            </w:r>
          </w:p>
        </w:tc>
      </w:tr>
      <w:tr w:rsidR="007075D9" w:rsidRPr="004D46AC" w14:paraId="0BCB804A" w14:textId="77777777" w:rsidTr="00B518F1">
        <w:tc>
          <w:tcPr>
            <w:tcW w:w="1564" w:type="dxa"/>
            <w:vAlign w:val="center"/>
          </w:tcPr>
          <w:p w14:paraId="3E5EAFF8" w14:textId="77777777" w:rsidR="007075D9" w:rsidRPr="004D46AC" w:rsidRDefault="007075D9" w:rsidP="00CE2F7A">
            <w:pPr>
              <w:spacing w:line="240" w:lineRule="auto"/>
              <w:ind w:firstLine="0"/>
              <w:rPr>
                <w:b/>
                <w:bCs/>
                <w:i/>
                <w:iCs/>
              </w:rPr>
            </w:pPr>
            <w:r w:rsidRPr="004D46AC">
              <w:rPr>
                <w:rFonts w:eastAsia="DengXian"/>
                <w:color w:val="000000"/>
              </w:rPr>
              <w:t>M9--SP</w:t>
            </w:r>
          </w:p>
        </w:tc>
        <w:tc>
          <w:tcPr>
            <w:tcW w:w="1603" w:type="dxa"/>
            <w:vAlign w:val="center"/>
          </w:tcPr>
          <w:p w14:paraId="519199DB"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59C83B73"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719DA342"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478D1E2D" w14:textId="77777777" w:rsidR="007075D9" w:rsidRPr="004D46AC" w:rsidRDefault="007075D9" w:rsidP="00CE2F7A">
            <w:pPr>
              <w:spacing w:line="240" w:lineRule="auto"/>
              <w:ind w:firstLine="0"/>
              <w:rPr>
                <w:b/>
                <w:bCs/>
                <w:i/>
                <w:iCs/>
              </w:rPr>
            </w:pPr>
            <w:r w:rsidRPr="004D46AC">
              <w:rPr>
                <w:color w:val="000000"/>
              </w:rPr>
              <w:t xml:space="preserve">0.41 </w:t>
            </w:r>
          </w:p>
        </w:tc>
      </w:tr>
      <w:tr w:rsidR="007075D9" w:rsidRPr="004D46AC" w14:paraId="6E6E5F41" w14:textId="77777777" w:rsidTr="00B518F1">
        <w:tc>
          <w:tcPr>
            <w:tcW w:w="1564" w:type="dxa"/>
            <w:vAlign w:val="center"/>
          </w:tcPr>
          <w:p w14:paraId="1905457E" w14:textId="77777777" w:rsidR="007075D9" w:rsidRPr="004D46AC" w:rsidRDefault="007075D9" w:rsidP="00CE2F7A">
            <w:pPr>
              <w:spacing w:line="240" w:lineRule="auto"/>
              <w:ind w:firstLine="0"/>
              <w:rPr>
                <w:b/>
                <w:bCs/>
                <w:i/>
                <w:iCs/>
              </w:rPr>
            </w:pPr>
            <w:r w:rsidRPr="004D46AC">
              <w:rPr>
                <w:rFonts w:eastAsia="DengXian"/>
                <w:color w:val="000000"/>
              </w:rPr>
              <w:t>WD--M3</w:t>
            </w:r>
          </w:p>
        </w:tc>
        <w:tc>
          <w:tcPr>
            <w:tcW w:w="1603" w:type="dxa"/>
            <w:vAlign w:val="center"/>
          </w:tcPr>
          <w:p w14:paraId="7A47A57F"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29A4F837"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38D33238"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193A58D3" w14:textId="77777777" w:rsidR="007075D9" w:rsidRPr="004D46AC" w:rsidRDefault="007075D9" w:rsidP="00CE2F7A">
            <w:pPr>
              <w:spacing w:line="240" w:lineRule="auto"/>
              <w:ind w:firstLine="0"/>
              <w:rPr>
                <w:b/>
                <w:bCs/>
                <w:i/>
                <w:iCs/>
              </w:rPr>
            </w:pPr>
            <w:r w:rsidRPr="004D46AC">
              <w:rPr>
                <w:color w:val="000000"/>
              </w:rPr>
              <w:t xml:space="preserve">0.31 </w:t>
            </w:r>
          </w:p>
        </w:tc>
      </w:tr>
      <w:tr w:rsidR="007075D9" w:rsidRPr="004D46AC" w14:paraId="74D6A0E5" w14:textId="77777777" w:rsidTr="00B518F1">
        <w:tc>
          <w:tcPr>
            <w:tcW w:w="1564" w:type="dxa"/>
            <w:vAlign w:val="center"/>
          </w:tcPr>
          <w:p w14:paraId="1B494131" w14:textId="77777777" w:rsidR="007075D9" w:rsidRPr="004D46AC" w:rsidRDefault="007075D9" w:rsidP="00CE2F7A">
            <w:pPr>
              <w:spacing w:line="240" w:lineRule="auto"/>
              <w:ind w:firstLine="0"/>
              <w:rPr>
                <w:b/>
                <w:bCs/>
                <w:i/>
                <w:iCs/>
              </w:rPr>
            </w:pPr>
            <w:r w:rsidRPr="004D46AC">
              <w:rPr>
                <w:rFonts w:eastAsia="DengXian"/>
                <w:color w:val="000000"/>
              </w:rPr>
              <w:t>N7--Y7</w:t>
            </w:r>
          </w:p>
        </w:tc>
        <w:tc>
          <w:tcPr>
            <w:tcW w:w="1603" w:type="dxa"/>
            <w:vAlign w:val="center"/>
          </w:tcPr>
          <w:p w14:paraId="6456C2F3"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6F81CF6C"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61FF58B2"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1BFA8540" w14:textId="77777777" w:rsidR="007075D9" w:rsidRPr="004D46AC" w:rsidRDefault="007075D9" w:rsidP="00CE2F7A">
            <w:pPr>
              <w:spacing w:line="240" w:lineRule="auto"/>
              <w:ind w:firstLine="0"/>
              <w:rPr>
                <w:b/>
                <w:bCs/>
                <w:i/>
                <w:iCs/>
              </w:rPr>
            </w:pPr>
            <w:r w:rsidRPr="004D46AC">
              <w:rPr>
                <w:color w:val="000000"/>
              </w:rPr>
              <w:t xml:space="preserve">0.40 </w:t>
            </w:r>
          </w:p>
        </w:tc>
      </w:tr>
      <w:tr w:rsidR="007075D9" w:rsidRPr="004D46AC" w14:paraId="4629FF70" w14:textId="77777777" w:rsidTr="00B518F1">
        <w:tc>
          <w:tcPr>
            <w:tcW w:w="1564" w:type="dxa"/>
            <w:vAlign w:val="center"/>
          </w:tcPr>
          <w:p w14:paraId="68E75751" w14:textId="77777777" w:rsidR="007075D9" w:rsidRPr="004D46AC" w:rsidRDefault="007075D9" w:rsidP="00CE2F7A">
            <w:pPr>
              <w:spacing w:line="240" w:lineRule="auto"/>
              <w:ind w:firstLine="0"/>
              <w:rPr>
                <w:b/>
                <w:bCs/>
                <w:i/>
                <w:iCs/>
              </w:rPr>
            </w:pPr>
            <w:r w:rsidRPr="004D46AC">
              <w:rPr>
                <w:rFonts w:eastAsia="DengXian"/>
                <w:color w:val="000000"/>
              </w:rPr>
              <w:t>IA--M6</w:t>
            </w:r>
          </w:p>
        </w:tc>
        <w:tc>
          <w:tcPr>
            <w:tcW w:w="1603" w:type="dxa"/>
            <w:vAlign w:val="center"/>
          </w:tcPr>
          <w:p w14:paraId="0E0DAE72"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3DEA1418"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5811BDE6"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3BAF10F3"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5F7E4B8C" w14:textId="77777777" w:rsidTr="00B518F1">
        <w:tc>
          <w:tcPr>
            <w:tcW w:w="1564" w:type="dxa"/>
            <w:vAlign w:val="center"/>
          </w:tcPr>
          <w:p w14:paraId="54393843" w14:textId="77777777" w:rsidR="007075D9" w:rsidRPr="004D46AC" w:rsidRDefault="007075D9" w:rsidP="00CE2F7A">
            <w:pPr>
              <w:spacing w:line="240" w:lineRule="auto"/>
              <w:ind w:firstLine="0"/>
              <w:rPr>
                <w:b/>
                <w:bCs/>
                <w:i/>
                <w:iCs/>
              </w:rPr>
            </w:pPr>
            <w:r w:rsidRPr="004D46AC">
              <w:rPr>
                <w:rFonts w:eastAsia="DengXian"/>
                <w:color w:val="000000"/>
              </w:rPr>
              <w:t>N7--IA</w:t>
            </w:r>
          </w:p>
        </w:tc>
        <w:tc>
          <w:tcPr>
            <w:tcW w:w="1603" w:type="dxa"/>
            <w:vAlign w:val="center"/>
          </w:tcPr>
          <w:p w14:paraId="3230549B"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032A983A"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141E9B5A"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753A7A9A" w14:textId="77777777" w:rsidR="007075D9" w:rsidRPr="004D46AC" w:rsidRDefault="007075D9" w:rsidP="00CE2F7A">
            <w:pPr>
              <w:spacing w:line="240" w:lineRule="auto"/>
              <w:ind w:firstLine="0"/>
              <w:rPr>
                <w:b/>
                <w:bCs/>
                <w:i/>
                <w:iCs/>
              </w:rPr>
            </w:pPr>
            <w:r w:rsidRPr="004D46AC">
              <w:rPr>
                <w:color w:val="000000"/>
              </w:rPr>
              <w:t xml:space="preserve">0.42 </w:t>
            </w:r>
          </w:p>
        </w:tc>
      </w:tr>
      <w:tr w:rsidR="007075D9" w:rsidRPr="004D46AC" w14:paraId="5E216B1F" w14:textId="77777777" w:rsidTr="00B518F1">
        <w:tc>
          <w:tcPr>
            <w:tcW w:w="1564" w:type="dxa"/>
            <w:vAlign w:val="center"/>
          </w:tcPr>
          <w:p w14:paraId="0B251F64" w14:textId="77777777" w:rsidR="007075D9" w:rsidRPr="004D46AC" w:rsidRDefault="007075D9" w:rsidP="00CE2F7A">
            <w:pPr>
              <w:spacing w:line="240" w:lineRule="auto"/>
              <w:ind w:firstLine="0"/>
              <w:rPr>
                <w:b/>
                <w:bCs/>
                <w:i/>
                <w:iCs/>
              </w:rPr>
            </w:pPr>
            <w:r w:rsidRPr="004D46AC">
              <w:rPr>
                <w:rFonts w:eastAsia="DengXian"/>
                <w:color w:val="000000"/>
              </w:rPr>
              <w:t>IA--Y11</w:t>
            </w:r>
          </w:p>
        </w:tc>
        <w:tc>
          <w:tcPr>
            <w:tcW w:w="1603" w:type="dxa"/>
            <w:vAlign w:val="center"/>
          </w:tcPr>
          <w:p w14:paraId="2A31F787"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59F1B25C"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285455BB"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4669A666" w14:textId="77777777" w:rsidR="007075D9" w:rsidRPr="004D46AC" w:rsidRDefault="007075D9" w:rsidP="00CE2F7A">
            <w:pPr>
              <w:spacing w:line="240" w:lineRule="auto"/>
              <w:ind w:firstLine="0"/>
              <w:rPr>
                <w:b/>
                <w:bCs/>
                <w:i/>
                <w:iCs/>
              </w:rPr>
            </w:pPr>
            <w:r w:rsidRPr="004D46AC">
              <w:rPr>
                <w:color w:val="000000"/>
              </w:rPr>
              <w:t xml:space="preserve">0.45 </w:t>
            </w:r>
          </w:p>
        </w:tc>
      </w:tr>
      <w:tr w:rsidR="007075D9" w:rsidRPr="004D46AC" w14:paraId="14D2BCC2" w14:textId="77777777" w:rsidTr="00B518F1">
        <w:tc>
          <w:tcPr>
            <w:tcW w:w="1564" w:type="dxa"/>
            <w:vAlign w:val="center"/>
          </w:tcPr>
          <w:p w14:paraId="43177CD2" w14:textId="77777777" w:rsidR="007075D9" w:rsidRPr="004D46AC" w:rsidRDefault="007075D9" w:rsidP="00CE2F7A">
            <w:pPr>
              <w:spacing w:line="240" w:lineRule="auto"/>
              <w:ind w:firstLine="0"/>
              <w:rPr>
                <w:b/>
                <w:bCs/>
                <w:i/>
                <w:iCs/>
              </w:rPr>
            </w:pPr>
            <w:r w:rsidRPr="004D46AC">
              <w:rPr>
                <w:rFonts w:eastAsia="DengXian"/>
                <w:color w:val="000000"/>
              </w:rPr>
              <w:t>P5--Y3</w:t>
            </w:r>
          </w:p>
        </w:tc>
        <w:tc>
          <w:tcPr>
            <w:tcW w:w="1603" w:type="dxa"/>
            <w:vAlign w:val="center"/>
          </w:tcPr>
          <w:p w14:paraId="771C6817"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17D23876"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76CCD550"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2B206516" w14:textId="77777777" w:rsidR="007075D9" w:rsidRPr="004D46AC" w:rsidRDefault="007075D9" w:rsidP="00CE2F7A">
            <w:pPr>
              <w:spacing w:line="240" w:lineRule="auto"/>
              <w:ind w:firstLine="0"/>
              <w:rPr>
                <w:b/>
                <w:bCs/>
                <w:i/>
                <w:iCs/>
              </w:rPr>
            </w:pPr>
            <w:r w:rsidRPr="004D46AC">
              <w:rPr>
                <w:color w:val="000000"/>
              </w:rPr>
              <w:t xml:space="preserve">0.43 </w:t>
            </w:r>
          </w:p>
        </w:tc>
      </w:tr>
      <w:tr w:rsidR="007075D9" w:rsidRPr="004D46AC" w14:paraId="0EB72D80" w14:textId="77777777" w:rsidTr="00B518F1">
        <w:tc>
          <w:tcPr>
            <w:tcW w:w="1564" w:type="dxa"/>
            <w:vAlign w:val="center"/>
          </w:tcPr>
          <w:p w14:paraId="73A0280E" w14:textId="77777777" w:rsidR="007075D9" w:rsidRPr="004D46AC" w:rsidRDefault="007075D9" w:rsidP="00CE2F7A">
            <w:pPr>
              <w:spacing w:line="240" w:lineRule="auto"/>
              <w:ind w:firstLine="0"/>
              <w:rPr>
                <w:b/>
                <w:bCs/>
                <w:i/>
                <w:iCs/>
              </w:rPr>
            </w:pPr>
            <w:r w:rsidRPr="004D46AC">
              <w:rPr>
                <w:rFonts w:eastAsia="DengXian"/>
                <w:color w:val="000000"/>
              </w:rPr>
              <w:t>P6--M7</w:t>
            </w:r>
          </w:p>
        </w:tc>
        <w:tc>
          <w:tcPr>
            <w:tcW w:w="1603" w:type="dxa"/>
            <w:vAlign w:val="center"/>
          </w:tcPr>
          <w:p w14:paraId="622D8929"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07F3CF47"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F63810E"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175ABAA6" w14:textId="77777777" w:rsidR="007075D9" w:rsidRPr="004D46AC" w:rsidRDefault="007075D9" w:rsidP="00CE2F7A">
            <w:pPr>
              <w:spacing w:line="240" w:lineRule="auto"/>
              <w:ind w:firstLine="0"/>
              <w:rPr>
                <w:b/>
                <w:bCs/>
                <w:i/>
                <w:iCs/>
              </w:rPr>
            </w:pPr>
            <w:r w:rsidRPr="004D46AC">
              <w:rPr>
                <w:color w:val="000000"/>
              </w:rPr>
              <w:t xml:space="preserve">0.47 </w:t>
            </w:r>
          </w:p>
        </w:tc>
      </w:tr>
      <w:tr w:rsidR="007075D9" w:rsidRPr="004D46AC" w14:paraId="70A988AF" w14:textId="77777777" w:rsidTr="00B518F1">
        <w:tc>
          <w:tcPr>
            <w:tcW w:w="1564" w:type="dxa"/>
            <w:vAlign w:val="center"/>
          </w:tcPr>
          <w:p w14:paraId="24594E02" w14:textId="77777777" w:rsidR="007075D9" w:rsidRPr="004D46AC" w:rsidRDefault="007075D9" w:rsidP="00CE2F7A">
            <w:pPr>
              <w:spacing w:line="240" w:lineRule="auto"/>
              <w:ind w:firstLine="0"/>
              <w:rPr>
                <w:b/>
                <w:bCs/>
                <w:i/>
                <w:iCs/>
              </w:rPr>
            </w:pPr>
            <w:r w:rsidRPr="004D46AC">
              <w:rPr>
                <w:rFonts w:eastAsia="DengXian"/>
                <w:color w:val="000000"/>
              </w:rPr>
              <w:t>Y10--M6</w:t>
            </w:r>
          </w:p>
        </w:tc>
        <w:tc>
          <w:tcPr>
            <w:tcW w:w="1603" w:type="dxa"/>
            <w:vAlign w:val="center"/>
          </w:tcPr>
          <w:p w14:paraId="111279A6"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0CD17D65"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5BC445FC"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13BDBA87" w14:textId="77777777" w:rsidR="007075D9" w:rsidRPr="004D46AC" w:rsidRDefault="007075D9" w:rsidP="00CE2F7A">
            <w:pPr>
              <w:spacing w:line="240" w:lineRule="auto"/>
              <w:ind w:firstLine="0"/>
              <w:rPr>
                <w:b/>
                <w:bCs/>
                <w:i/>
                <w:iCs/>
              </w:rPr>
            </w:pPr>
            <w:r w:rsidRPr="004D46AC">
              <w:rPr>
                <w:color w:val="000000"/>
              </w:rPr>
              <w:t xml:space="preserve">0.37 </w:t>
            </w:r>
          </w:p>
        </w:tc>
      </w:tr>
      <w:tr w:rsidR="007075D9" w:rsidRPr="004D46AC" w14:paraId="145C4D71" w14:textId="77777777" w:rsidTr="00B518F1">
        <w:tc>
          <w:tcPr>
            <w:tcW w:w="1564" w:type="dxa"/>
            <w:vAlign w:val="center"/>
          </w:tcPr>
          <w:p w14:paraId="32ED91E5" w14:textId="77777777" w:rsidR="007075D9" w:rsidRPr="004D46AC" w:rsidRDefault="007075D9" w:rsidP="00CE2F7A">
            <w:pPr>
              <w:spacing w:line="240" w:lineRule="auto"/>
              <w:ind w:firstLine="0"/>
              <w:rPr>
                <w:b/>
                <w:bCs/>
                <w:i/>
                <w:iCs/>
              </w:rPr>
            </w:pPr>
            <w:r w:rsidRPr="004D46AC">
              <w:rPr>
                <w:rFonts w:eastAsia="DengXian"/>
                <w:color w:val="000000"/>
              </w:rPr>
              <w:t>M8--SP</w:t>
            </w:r>
          </w:p>
        </w:tc>
        <w:tc>
          <w:tcPr>
            <w:tcW w:w="1603" w:type="dxa"/>
            <w:vAlign w:val="center"/>
          </w:tcPr>
          <w:p w14:paraId="5F02BC75"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0704AC2C"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594DDB64" w14:textId="77777777" w:rsidR="007075D9" w:rsidRPr="004D46AC" w:rsidRDefault="007075D9" w:rsidP="00CE2F7A">
            <w:pPr>
              <w:spacing w:line="240" w:lineRule="auto"/>
              <w:ind w:firstLine="0"/>
              <w:rPr>
                <w:b/>
                <w:bCs/>
                <w:i/>
                <w:iCs/>
              </w:rPr>
            </w:pPr>
            <w:r w:rsidRPr="004D46AC">
              <w:rPr>
                <w:color w:val="000000"/>
              </w:rPr>
              <w:t xml:space="preserve">0.05 </w:t>
            </w:r>
          </w:p>
        </w:tc>
        <w:tc>
          <w:tcPr>
            <w:tcW w:w="1565" w:type="dxa"/>
            <w:vAlign w:val="center"/>
          </w:tcPr>
          <w:p w14:paraId="1AE66924" w14:textId="77777777" w:rsidR="007075D9" w:rsidRPr="004D46AC" w:rsidRDefault="007075D9" w:rsidP="00CE2F7A">
            <w:pPr>
              <w:spacing w:line="240" w:lineRule="auto"/>
              <w:ind w:firstLine="0"/>
              <w:rPr>
                <w:b/>
                <w:bCs/>
                <w:i/>
                <w:iCs/>
              </w:rPr>
            </w:pPr>
            <w:r w:rsidRPr="004D46AC">
              <w:rPr>
                <w:color w:val="000000"/>
              </w:rPr>
              <w:t xml:space="preserve">0.52 </w:t>
            </w:r>
          </w:p>
        </w:tc>
      </w:tr>
      <w:tr w:rsidR="007075D9" w:rsidRPr="004D46AC" w14:paraId="2AD06BBB" w14:textId="77777777" w:rsidTr="00B518F1">
        <w:tc>
          <w:tcPr>
            <w:tcW w:w="1564" w:type="dxa"/>
            <w:vAlign w:val="center"/>
          </w:tcPr>
          <w:p w14:paraId="3413A6D7" w14:textId="77777777" w:rsidR="007075D9" w:rsidRPr="004D46AC" w:rsidRDefault="007075D9" w:rsidP="00CE2F7A">
            <w:pPr>
              <w:spacing w:line="240" w:lineRule="auto"/>
              <w:ind w:firstLine="0"/>
              <w:rPr>
                <w:b/>
                <w:bCs/>
                <w:i/>
                <w:iCs/>
              </w:rPr>
            </w:pPr>
            <w:r w:rsidRPr="004D46AC">
              <w:rPr>
                <w:rFonts w:eastAsia="DengXian"/>
                <w:color w:val="000000"/>
              </w:rPr>
              <w:t>P5--Y6</w:t>
            </w:r>
          </w:p>
        </w:tc>
        <w:tc>
          <w:tcPr>
            <w:tcW w:w="1603" w:type="dxa"/>
            <w:vAlign w:val="center"/>
          </w:tcPr>
          <w:p w14:paraId="70F4682F"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6B4DCA5C"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22590BDB"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4D28A1B5" w14:textId="77777777" w:rsidR="007075D9" w:rsidRPr="004D46AC" w:rsidRDefault="007075D9" w:rsidP="00CE2F7A">
            <w:pPr>
              <w:spacing w:line="240" w:lineRule="auto"/>
              <w:ind w:firstLine="0"/>
              <w:rPr>
                <w:b/>
                <w:bCs/>
                <w:i/>
                <w:iCs/>
              </w:rPr>
            </w:pPr>
            <w:r w:rsidRPr="004D46AC">
              <w:rPr>
                <w:color w:val="000000"/>
              </w:rPr>
              <w:t xml:space="preserve">0.38 </w:t>
            </w:r>
          </w:p>
        </w:tc>
      </w:tr>
      <w:tr w:rsidR="007075D9" w:rsidRPr="004D46AC" w14:paraId="40C146B1" w14:textId="77777777" w:rsidTr="00B518F1">
        <w:tc>
          <w:tcPr>
            <w:tcW w:w="1564" w:type="dxa"/>
            <w:vAlign w:val="center"/>
          </w:tcPr>
          <w:p w14:paraId="18C1A9A5" w14:textId="77777777" w:rsidR="007075D9" w:rsidRPr="004D46AC" w:rsidRDefault="007075D9" w:rsidP="00CE2F7A">
            <w:pPr>
              <w:spacing w:line="240" w:lineRule="auto"/>
              <w:ind w:firstLine="0"/>
              <w:rPr>
                <w:b/>
                <w:bCs/>
                <w:i/>
                <w:iCs/>
              </w:rPr>
            </w:pPr>
            <w:r w:rsidRPr="004D46AC">
              <w:rPr>
                <w:rFonts w:eastAsia="DengXian"/>
                <w:color w:val="000000"/>
              </w:rPr>
              <w:t>Y7--M5</w:t>
            </w:r>
          </w:p>
        </w:tc>
        <w:tc>
          <w:tcPr>
            <w:tcW w:w="1603" w:type="dxa"/>
            <w:vAlign w:val="center"/>
          </w:tcPr>
          <w:p w14:paraId="5895E812"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09F4DF2C"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12224C4A"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48D57A4A" w14:textId="77777777" w:rsidR="007075D9" w:rsidRPr="004D46AC" w:rsidRDefault="007075D9" w:rsidP="00CE2F7A">
            <w:pPr>
              <w:spacing w:line="240" w:lineRule="auto"/>
              <w:ind w:firstLine="0"/>
              <w:rPr>
                <w:b/>
                <w:bCs/>
                <w:i/>
                <w:iCs/>
              </w:rPr>
            </w:pPr>
            <w:r w:rsidRPr="004D46AC">
              <w:rPr>
                <w:color w:val="000000"/>
              </w:rPr>
              <w:t xml:space="preserve">0.46 </w:t>
            </w:r>
          </w:p>
        </w:tc>
      </w:tr>
      <w:tr w:rsidR="007075D9" w:rsidRPr="004D46AC" w14:paraId="1651A480" w14:textId="77777777" w:rsidTr="00B518F1">
        <w:tc>
          <w:tcPr>
            <w:tcW w:w="1564" w:type="dxa"/>
            <w:vAlign w:val="center"/>
          </w:tcPr>
          <w:p w14:paraId="51C1DE06" w14:textId="77777777" w:rsidR="007075D9" w:rsidRPr="004D46AC" w:rsidRDefault="007075D9" w:rsidP="00CE2F7A">
            <w:pPr>
              <w:spacing w:line="240" w:lineRule="auto"/>
              <w:ind w:firstLine="0"/>
              <w:rPr>
                <w:b/>
                <w:bCs/>
                <w:i/>
                <w:iCs/>
              </w:rPr>
            </w:pPr>
            <w:r w:rsidRPr="004D46AC">
              <w:rPr>
                <w:rFonts w:eastAsia="DengXian"/>
                <w:color w:val="000000"/>
              </w:rPr>
              <w:t>IA--Y6</w:t>
            </w:r>
          </w:p>
        </w:tc>
        <w:tc>
          <w:tcPr>
            <w:tcW w:w="1603" w:type="dxa"/>
            <w:vAlign w:val="center"/>
          </w:tcPr>
          <w:p w14:paraId="156F7156"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6F5BABF5"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2AE0CD4B"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0D307052" w14:textId="77777777" w:rsidR="007075D9" w:rsidRPr="004D46AC" w:rsidRDefault="007075D9" w:rsidP="00CE2F7A">
            <w:pPr>
              <w:spacing w:line="240" w:lineRule="auto"/>
              <w:ind w:firstLine="0"/>
              <w:rPr>
                <w:b/>
                <w:bCs/>
                <w:i/>
                <w:iCs/>
              </w:rPr>
            </w:pPr>
            <w:r w:rsidRPr="004D46AC">
              <w:rPr>
                <w:color w:val="000000"/>
              </w:rPr>
              <w:t xml:space="preserve">0.44 </w:t>
            </w:r>
          </w:p>
        </w:tc>
      </w:tr>
      <w:tr w:rsidR="007075D9" w:rsidRPr="004D46AC" w14:paraId="2A6C61D1" w14:textId="77777777" w:rsidTr="00B518F1">
        <w:tc>
          <w:tcPr>
            <w:tcW w:w="1564" w:type="dxa"/>
            <w:vAlign w:val="center"/>
          </w:tcPr>
          <w:p w14:paraId="55208A81" w14:textId="77777777" w:rsidR="007075D9" w:rsidRPr="004D46AC" w:rsidRDefault="007075D9" w:rsidP="00CE2F7A">
            <w:pPr>
              <w:spacing w:line="240" w:lineRule="auto"/>
              <w:ind w:firstLine="0"/>
              <w:rPr>
                <w:b/>
                <w:bCs/>
                <w:i/>
                <w:iCs/>
              </w:rPr>
            </w:pPr>
            <w:r w:rsidRPr="004D46AC">
              <w:rPr>
                <w:rFonts w:eastAsia="DengXian"/>
                <w:color w:val="000000"/>
              </w:rPr>
              <w:t>Y7--M3</w:t>
            </w:r>
          </w:p>
        </w:tc>
        <w:tc>
          <w:tcPr>
            <w:tcW w:w="1603" w:type="dxa"/>
            <w:vAlign w:val="center"/>
          </w:tcPr>
          <w:p w14:paraId="5C6E660E"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24E1635"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58B6B10A" w14:textId="77777777" w:rsidR="007075D9" w:rsidRPr="004D46AC" w:rsidRDefault="007075D9" w:rsidP="00CE2F7A">
            <w:pPr>
              <w:spacing w:line="240" w:lineRule="auto"/>
              <w:ind w:firstLine="0"/>
              <w:rPr>
                <w:b/>
                <w:bCs/>
                <w:i/>
                <w:iCs/>
              </w:rPr>
            </w:pPr>
            <w:r w:rsidRPr="004D46AC">
              <w:rPr>
                <w:color w:val="000000"/>
              </w:rPr>
              <w:t xml:space="preserve">0.06 </w:t>
            </w:r>
          </w:p>
        </w:tc>
        <w:tc>
          <w:tcPr>
            <w:tcW w:w="1565" w:type="dxa"/>
            <w:vAlign w:val="center"/>
          </w:tcPr>
          <w:p w14:paraId="73B2B8E7" w14:textId="77777777" w:rsidR="007075D9" w:rsidRPr="004D46AC" w:rsidRDefault="007075D9" w:rsidP="00CE2F7A">
            <w:pPr>
              <w:spacing w:line="240" w:lineRule="auto"/>
              <w:ind w:firstLine="0"/>
              <w:rPr>
                <w:b/>
                <w:bCs/>
                <w:i/>
                <w:iCs/>
              </w:rPr>
            </w:pPr>
            <w:r w:rsidRPr="004D46AC">
              <w:rPr>
                <w:color w:val="000000"/>
              </w:rPr>
              <w:t xml:space="preserve">0.38 </w:t>
            </w:r>
          </w:p>
        </w:tc>
      </w:tr>
      <w:tr w:rsidR="007075D9" w:rsidRPr="004D46AC" w14:paraId="3787576A" w14:textId="77777777" w:rsidTr="00B518F1">
        <w:tc>
          <w:tcPr>
            <w:tcW w:w="1564" w:type="dxa"/>
            <w:vAlign w:val="center"/>
          </w:tcPr>
          <w:p w14:paraId="1AF157FC" w14:textId="77777777" w:rsidR="007075D9" w:rsidRPr="004D46AC" w:rsidRDefault="007075D9" w:rsidP="00CE2F7A">
            <w:pPr>
              <w:spacing w:line="240" w:lineRule="auto"/>
              <w:ind w:firstLine="0"/>
              <w:rPr>
                <w:b/>
                <w:bCs/>
                <w:i/>
                <w:iCs/>
              </w:rPr>
            </w:pPr>
            <w:r w:rsidRPr="004D46AC">
              <w:rPr>
                <w:rFonts w:eastAsia="DengXian"/>
                <w:color w:val="000000"/>
              </w:rPr>
              <w:t>Y10--Y11</w:t>
            </w:r>
          </w:p>
        </w:tc>
        <w:tc>
          <w:tcPr>
            <w:tcW w:w="1603" w:type="dxa"/>
            <w:vAlign w:val="center"/>
          </w:tcPr>
          <w:p w14:paraId="37C915D8"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3857DB42"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1D833A03" w14:textId="77777777" w:rsidR="007075D9" w:rsidRPr="004D46AC" w:rsidRDefault="007075D9" w:rsidP="00CE2F7A">
            <w:pPr>
              <w:spacing w:line="240" w:lineRule="auto"/>
              <w:ind w:firstLine="0"/>
              <w:rPr>
                <w:b/>
                <w:bCs/>
                <w:i/>
                <w:iCs/>
              </w:rPr>
            </w:pPr>
            <w:r w:rsidRPr="004D46AC">
              <w:rPr>
                <w:color w:val="000000"/>
              </w:rPr>
              <w:t xml:space="preserve">0.07 </w:t>
            </w:r>
          </w:p>
        </w:tc>
        <w:tc>
          <w:tcPr>
            <w:tcW w:w="1565" w:type="dxa"/>
            <w:vAlign w:val="center"/>
          </w:tcPr>
          <w:p w14:paraId="4E55400F" w14:textId="77777777" w:rsidR="007075D9" w:rsidRPr="004D46AC" w:rsidRDefault="007075D9" w:rsidP="00CE2F7A">
            <w:pPr>
              <w:spacing w:line="240" w:lineRule="auto"/>
              <w:ind w:firstLine="0"/>
              <w:rPr>
                <w:b/>
                <w:bCs/>
                <w:i/>
                <w:iCs/>
              </w:rPr>
            </w:pPr>
            <w:r w:rsidRPr="004D46AC">
              <w:rPr>
                <w:color w:val="000000"/>
              </w:rPr>
              <w:t xml:space="preserve">0.51 </w:t>
            </w:r>
          </w:p>
        </w:tc>
      </w:tr>
      <w:tr w:rsidR="007075D9" w:rsidRPr="004D46AC" w14:paraId="67021C9C" w14:textId="77777777" w:rsidTr="00B518F1">
        <w:tc>
          <w:tcPr>
            <w:tcW w:w="1564" w:type="dxa"/>
            <w:vAlign w:val="center"/>
          </w:tcPr>
          <w:p w14:paraId="5E3160C9" w14:textId="77777777" w:rsidR="007075D9" w:rsidRPr="004D46AC" w:rsidRDefault="007075D9" w:rsidP="00CE2F7A">
            <w:pPr>
              <w:spacing w:line="240" w:lineRule="auto"/>
              <w:ind w:firstLine="0"/>
              <w:rPr>
                <w:b/>
                <w:bCs/>
                <w:i/>
                <w:iCs/>
              </w:rPr>
            </w:pPr>
            <w:r w:rsidRPr="004D46AC">
              <w:rPr>
                <w:rFonts w:eastAsia="DengXian"/>
                <w:color w:val="000000"/>
              </w:rPr>
              <w:t>Y7--M7</w:t>
            </w:r>
          </w:p>
        </w:tc>
        <w:tc>
          <w:tcPr>
            <w:tcW w:w="1603" w:type="dxa"/>
            <w:vAlign w:val="center"/>
          </w:tcPr>
          <w:p w14:paraId="275AF2B6"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671DF4F9"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034BF1E4" w14:textId="77777777" w:rsidR="007075D9" w:rsidRPr="004D46AC" w:rsidRDefault="007075D9" w:rsidP="00CE2F7A">
            <w:pPr>
              <w:spacing w:line="240" w:lineRule="auto"/>
              <w:ind w:firstLine="0"/>
              <w:rPr>
                <w:b/>
                <w:bCs/>
                <w:i/>
                <w:iCs/>
              </w:rPr>
            </w:pPr>
            <w:r w:rsidRPr="004D46AC">
              <w:rPr>
                <w:color w:val="000000"/>
              </w:rPr>
              <w:t xml:space="preserve">0.05 </w:t>
            </w:r>
          </w:p>
        </w:tc>
        <w:tc>
          <w:tcPr>
            <w:tcW w:w="1565" w:type="dxa"/>
            <w:vAlign w:val="center"/>
          </w:tcPr>
          <w:p w14:paraId="138B6DDB" w14:textId="77777777" w:rsidR="007075D9" w:rsidRPr="004D46AC" w:rsidRDefault="007075D9" w:rsidP="00CE2F7A">
            <w:pPr>
              <w:spacing w:line="240" w:lineRule="auto"/>
              <w:ind w:firstLine="0"/>
              <w:rPr>
                <w:b/>
                <w:bCs/>
                <w:i/>
                <w:iCs/>
              </w:rPr>
            </w:pPr>
            <w:r w:rsidRPr="004D46AC">
              <w:rPr>
                <w:color w:val="000000"/>
              </w:rPr>
              <w:t xml:space="preserve">0.54 </w:t>
            </w:r>
          </w:p>
        </w:tc>
      </w:tr>
      <w:tr w:rsidR="007075D9" w:rsidRPr="004D46AC" w14:paraId="6A344077" w14:textId="77777777" w:rsidTr="00B518F1">
        <w:tc>
          <w:tcPr>
            <w:tcW w:w="1564" w:type="dxa"/>
            <w:vAlign w:val="center"/>
          </w:tcPr>
          <w:p w14:paraId="57108A67" w14:textId="77777777" w:rsidR="007075D9" w:rsidRPr="004D46AC" w:rsidRDefault="007075D9" w:rsidP="00CE2F7A">
            <w:pPr>
              <w:spacing w:line="240" w:lineRule="auto"/>
              <w:ind w:firstLine="0"/>
              <w:rPr>
                <w:b/>
                <w:bCs/>
                <w:i/>
                <w:iCs/>
              </w:rPr>
            </w:pPr>
            <w:r w:rsidRPr="004D46AC">
              <w:rPr>
                <w:rFonts w:eastAsia="DengXian"/>
                <w:color w:val="000000"/>
              </w:rPr>
              <w:t>N5--M3</w:t>
            </w:r>
          </w:p>
        </w:tc>
        <w:tc>
          <w:tcPr>
            <w:tcW w:w="1603" w:type="dxa"/>
            <w:vAlign w:val="center"/>
          </w:tcPr>
          <w:p w14:paraId="309A6351"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2DE0E25C"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2758A549"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0EC9AE66" w14:textId="77777777" w:rsidR="007075D9" w:rsidRPr="004D46AC" w:rsidRDefault="007075D9" w:rsidP="00CE2F7A">
            <w:pPr>
              <w:spacing w:line="240" w:lineRule="auto"/>
              <w:ind w:firstLine="0"/>
              <w:rPr>
                <w:b/>
                <w:bCs/>
                <w:i/>
                <w:iCs/>
              </w:rPr>
            </w:pPr>
            <w:r w:rsidRPr="004D46AC">
              <w:rPr>
                <w:color w:val="000000"/>
              </w:rPr>
              <w:t xml:space="preserve">0.59 </w:t>
            </w:r>
          </w:p>
        </w:tc>
      </w:tr>
      <w:tr w:rsidR="007075D9" w:rsidRPr="004D46AC" w14:paraId="0502648A" w14:textId="77777777" w:rsidTr="00B518F1">
        <w:tc>
          <w:tcPr>
            <w:tcW w:w="1564" w:type="dxa"/>
            <w:vAlign w:val="center"/>
          </w:tcPr>
          <w:p w14:paraId="719A0505" w14:textId="77777777" w:rsidR="007075D9" w:rsidRPr="004D46AC" w:rsidRDefault="007075D9" w:rsidP="00CE2F7A">
            <w:pPr>
              <w:spacing w:line="240" w:lineRule="auto"/>
              <w:ind w:firstLine="0"/>
              <w:rPr>
                <w:b/>
                <w:bCs/>
                <w:i/>
                <w:iCs/>
              </w:rPr>
            </w:pPr>
            <w:r w:rsidRPr="004D46AC">
              <w:rPr>
                <w:rFonts w:eastAsia="DengXian"/>
                <w:color w:val="000000"/>
              </w:rPr>
              <w:t>P6--M9</w:t>
            </w:r>
          </w:p>
        </w:tc>
        <w:tc>
          <w:tcPr>
            <w:tcW w:w="1603" w:type="dxa"/>
            <w:vAlign w:val="center"/>
          </w:tcPr>
          <w:p w14:paraId="3CBF9152"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1C36BE0C"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7B25A23B"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6DCDA366" w14:textId="77777777" w:rsidR="007075D9" w:rsidRPr="004D46AC" w:rsidRDefault="007075D9" w:rsidP="00CE2F7A">
            <w:pPr>
              <w:spacing w:line="240" w:lineRule="auto"/>
              <w:ind w:firstLine="0"/>
              <w:rPr>
                <w:b/>
                <w:bCs/>
                <w:i/>
                <w:iCs/>
              </w:rPr>
            </w:pPr>
            <w:r w:rsidRPr="004D46AC">
              <w:rPr>
                <w:color w:val="000000"/>
              </w:rPr>
              <w:t xml:space="preserve">0.57 </w:t>
            </w:r>
          </w:p>
        </w:tc>
      </w:tr>
      <w:tr w:rsidR="007075D9" w:rsidRPr="004D46AC" w14:paraId="4FF9B873" w14:textId="77777777" w:rsidTr="00B518F1">
        <w:tc>
          <w:tcPr>
            <w:tcW w:w="1564" w:type="dxa"/>
            <w:vAlign w:val="center"/>
          </w:tcPr>
          <w:p w14:paraId="47D7A593" w14:textId="77777777" w:rsidR="007075D9" w:rsidRPr="004D46AC" w:rsidRDefault="007075D9" w:rsidP="00CE2F7A">
            <w:pPr>
              <w:spacing w:line="240" w:lineRule="auto"/>
              <w:ind w:firstLine="0"/>
              <w:rPr>
                <w:b/>
                <w:bCs/>
                <w:i/>
                <w:iCs/>
              </w:rPr>
            </w:pPr>
            <w:r w:rsidRPr="004D46AC">
              <w:rPr>
                <w:rFonts w:eastAsia="DengXian"/>
                <w:color w:val="000000"/>
              </w:rPr>
              <w:t>P3--SP</w:t>
            </w:r>
          </w:p>
        </w:tc>
        <w:tc>
          <w:tcPr>
            <w:tcW w:w="1603" w:type="dxa"/>
            <w:vAlign w:val="center"/>
          </w:tcPr>
          <w:p w14:paraId="36F7CF05"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5BCDCBC1"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010E9C42" w14:textId="77777777" w:rsidR="007075D9" w:rsidRPr="004D46AC" w:rsidRDefault="007075D9" w:rsidP="00CE2F7A">
            <w:pPr>
              <w:spacing w:line="240" w:lineRule="auto"/>
              <w:ind w:firstLine="0"/>
              <w:rPr>
                <w:b/>
                <w:bCs/>
                <w:i/>
                <w:iCs/>
              </w:rPr>
            </w:pPr>
            <w:r w:rsidRPr="004D46AC">
              <w:rPr>
                <w:color w:val="000000"/>
              </w:rPr>
              <w:t xml:space="preserve">0.05 </w:t>
            </w:r>
          </w:p>
        </w:tc>
        <w:tc>
          <w:tcPr>
            <w:tcW w:w="1565" w:type="dxa"/>
            <w:vAlign w:val="center"/>
          </w:tcPr>
          <w:p w14:paraId="288D4E18" w14:textId="77777777" w:rsidR="007075D9" w:rsidRPr="004D46AC" w:rsidRDefault="007075D9" w:rsidP="00CE2F7A">
            <w:pPr>
              <w:spacing w:line="240" w:lineRule="auto"/>
              <w:ind w:firstLine="0"/>
              <w:rPr>
                <w:b/>
                <w:bCs/>
                <w:i/>
                <w:iCs/>
              </w:rPr>
            </w:pPr>
            <w:r w:rsidRPr="004D46AC">
              <w:rPr>
                <w:color w:val="000000"/>
              </w:rPr>
              <w:t xml:space="preserve">0.57 </w:t>
            </w:r>
          </w:p>
        </w:tc>
      </w:tr>
      <w:tr w:rsidR="007075D9" w:rsidRPr="004D46AC" w14:paraId="22AAF6D4" w14:textId="77777777" w:rsidTr="00B518F1">
        <w:tc>
          <w:tcPr>
            <w:tcW w:w="1564" w:type="dxa"/>
            <w:vAlign w:val="center"/>
          </w:tcPr>
          <w:p w14:paraId="3A25EEEE" w14:textId="77777777" w:rsidR="007075D9" w:rsidRPr="004D46AC" w:rsidRDefault="007075D9" w:rsidP="00CE2F7A">
            <w:pPr>
              <w:spacing w:line="240" w:lineRule="auto"/>
              <w:ind w:firstLine="0"/>
              <w:rPr>
                <w:b/>
                <w:bCs/>
                <w:i/>
                <w:iCs/>
              </w:rPr>
            </w:pPr>
            <w:r w:rsidRPr="004D46AC">
              <w:rPr>
                <w:rFonts w:eastAsia="DengXian"/>
                <w:color w:val="000000"/>
              </w:rPr>
              <w:t>N5--IA</w:t>
            </w:r>
          </w:p>
        </w:tc>
        <w:tc>
          <w:tcPr>
            <w:tcW w:w="1603" w:type="dxa"/>
            <w:vAlign w:val="center"/>
          </w:tcPr>
          <w:p w14:paraId="5C4BE5D8"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66BD70F3"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0CA3002F"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644ABFBF" w14:textId="77777777" w:rsidR="007075D9" w:rsidRPr="004D46AC" w:rsidRDefault="007075D9" w:rsidP="00CE2F7A">
            <w:pPr>
              <w:spacing w:line="240" w:lineRule="auto"/>
              <w:ind w:firstLine="0"/>
              <w:rPr>
                <w:b/>
                <w:bCs/>
                <w:i/>
                <w:iCs/>
              </w:rPr>
            </w:pPr>
            <w:r w:rsidRPr="004D46AC">
              <w:rPr>
                <w:color w:val="000000"/>
              </w:rPr>
              <w:t xml:space="preserve">0.56 </w:t>
            </w:r>
          </w:p>
        </w:tc>
      </w:tr>
      <w:tr w:rsidR="007075D9" w:rsidRPr="004D46AC" w14:paraId="315A20D1" w14:textId="77777777" w:rsidTr="00B518F1">
        <w:tc>
          <w:tcPr>
            <w:tcW w:w="1564" w:type="dxa"/>
            <w:vAlign w:val="center"/>
          </w:tcPr>
          <w:p w14:paraId="13CBE0D6" w14:textId="77777777" w:rsidR="007075D9" w:rsidRPr="004D46AC" w:rsidRDefault="007075D9" w:rsidP="00CE2F7A">
            <w:pPr>
              <w:spacing w:line="240" w:lineRule="auto"/>
              <w:ind w:firstLine="0"/>
              <w:rPr>
                <w:b/>
                <w:bCs/>
                <w:i/>
                <w:iCs/>
              </w:rPr>
            </w:pPr>
            <w:r w:rsidRPr="004D46AC">
              <w:rPr>
                <w:rFonts w:eastAsia="DengXian"/>
                <w:color w:val="000000"/>
              </w:rPr>
              <w:t>M7--M10</w:t>
            </w:r>
          </w:p>
        </w:tc>
        <w:tc>
          <w:tcPr>
            <w:tcW w:w="1603" w:type="dxa"/>
            <w:vAlign w:val="center"/>
          </w:tcPr>
          <w:p w14:paraId="0F7D1F9A"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4E3210B7"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71B8180A" w14:textId="77777777" w:rsidR="007075D9" w:rsidRPr="004D46AC" w:rsidRDefault="007075D9" w:rsidP="00CE2F7A">
            <w:pPr>
              <w:spacing w:line="240" w:lineRule="auto"/>
              <w:ind w:firstLine="0"/>
              <w:rPr>
                <w:b/>
                <w:bCs/>
                <w:i/>
                <w:iCs/>
              </w:rPr>
            </w:pPr>
            <w:r w:rsidRPr="004D46AC">
              <w:rPr>
                <w:color w:val="000000"/>
              </w:rPr>
              <w:t xml:space="preserve">0.05 </w:t>
            </w:r>
          </w:p>
        </w:tc>
        <w:tc>
          <w:tcPr>
            <w:tcW w:w="1565" w:type="dxa"/>
            <w:vAlign w:val="center"/>
          </w:tcPr>
          <w:p w14:paraId="3E7F367D" w14:textId="77777777" w:rsidR="007075D9" w:rsidRPr="004D46AC" w:rsidRDefault="007075D9" w:rsidP="00CE2F7A">
            <w:pPr>
              <w:spacing w:line="240" w:lineRule="auto"/>
              <w:ind w:firstLine="0"/>
              <w:rPr>
                <w:b/>
                <w:bCs/>
                <w:i/>
                <w:iCs/>
              </w:rPr>
            </w:pPr>
            <w:r w:rsidRPr="004D46AC">
              <w:rPr>
                <w:color w:val="000000"/>
              </w:rPr>
              <w:t xml:space="preserve">0.49 </w:t>
            </w:r>
          </w:p>
        </w:tc>
      </w:tr>
      <w:tr w:rsidR="007075D9" w:rsidRPr="004D46AC" w14:paraId="21956380" w14:textId="77777777" w:rsidTr="00B518F1">
        <w:tc>
          <w:tcPr>
            <w:tcW w:w="1564" w:type="dxa"/>
            <w:vAlign w:val="center"/>
          </w:tcPr>
          <w:p w14:paraId="69A9CFBC" w14:textId="77777777" w:rsidR="007075D9" w:rsidRPr="004D46AC" w:rsidRDefault="007075D9" w:rsidP="00CE2F7A">
            <w:pPr>
              <w:spacing w:line="240" w:lineRule="auto"/>
              <w:ind w:firstLine="0"/>
              <w:rPr>
                <w:b/>
                <w:bCs/>
                <w:i/>
                <w:iCs/>
              </w:rPr>
            </w:pPr>
            <w:r w:rsidRPr="004D46AC">
              <w:rPr>
                <w:rFonts w:eastAsia="DengXian"/>
                <w:color w:val="000000"/>
              </w:rPr>
              <w:t>IA--M8</w:t>
            </w:r>
          </w:p>
        </w:tc>
        <w:tc>
          <w:tcPr>
            <w:tcW w:w="1603" w:type="dxa"/>
            <w:vAlign w:val="center"/>
          </w:tcPr>
          <w:p w14:paraId="32934906"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576529F8"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5F07F12C"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4EBC1C45" w14:textId="77777777" w:rsidR="007075D9" w:rsidRPr="004D46AC" w:rsidRDefault="007075D9" w:rsidP="00CE2F7A">
            <w:pPr>
              <w:spacing w:line="240" w:lineRule="auto"/>
              <w:ind w:firstLine="0"/>
              <w:rPr>
                <w:b/>
                <w:bCs/>
                <w:i/>
                <w:iCs/>
              </w:rPr>
            </w:pPr>
            <w:r w:rsidRPr="004D46AC">
              <w:rPr>
                <w:color w:val="000000"/>
              </w:rPr>
              <w:t xml:space="preserve">0.55 </w:t>
            </w:r>
          </w:p>
        </w:tc>
      </w:tr>
      <w:tr w:rsidR="007075D9" w:rsidRPr="004D46AC" w14:paraId="45DBF8B2" w14:textId="77777777" w:rsidTr="00B518F1">
        <w:tc>
          <w:tcPr>
            <w:tcW w:w="1564" w:type="dxa"/>
            <w:vAlign w:val="center"/>
          </w:tcPr>
          <w:p w14:paraId="7B16F692" w14:textId="77777777" w:rsidR="007075D9" w:rsidRPr="004D46AC" w:rsidRDefault="007075D9" w:rsidP="00CE2F7A">
            <w:pPr>
              <w:spacing w:line="240" w:lineRule="auto"/>
              <w:ind w:firstLine="0"/>
              <w:rPr>
                <w:b/>
                <w:bCs/>
                <w:i/>
                <w:iCs/>
              </w:rPr>
            </w:pPr>
            <w:r w:rsidRPr="004D46AC">
              <w:rPr>
                <w:rFonts w:eastAsia="DengXian"/>
                <w:color w:val="000000"/>
              </w:rPr>
              <w:t>N1--M7</w:t>
            </w:r>
          </w:p>
        </w:tc>
        <w:tc>
          <w:tcPr>
            <w:tcW w:w="1603" w:type="dxa"/>
            <w:vAlign w:val="center"/>
          </w:tcPr>
          <w:p w14:paraId="3AFE2D69"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4420DE0D"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3BF36872"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03FAC173" w14:textId="77777777" w:rsidR="007075D9" w:rsidRPr="004D46AC" w:rsidRDefault="007075D9" w:rsidP="00CE2F7A">
            <w:pPr>
              <w:spacing w:line="240" w:lineRule="auto"/>
              <w:ind w:firstLine="0"/>
              <w:rPr>
                <w:b/>
                <w:bCs/>
                <w:i/>
                <w:iCs/>
              </w:rPr>
            </w:pPr>
            <w:r w:rsidRPr="004D46AC">
              <w:rPr>
                <w:color w:val="000000"/>
              </w:rPr>
              <w:t xml:space="preserve">0.49 </w:t>
            </w:r>
          </w:p>
        </w:tc>
      </w:tr>
      <w:tr w:rsidR="007075D9" w:rsidRPr="004D46AC" w14:paraId="75E22247" w14:textId="77777777" w:rsidTr="00B518F1">
        <w:tc>
          <w:tcPr>
            <w:tcW w:w="1564" w:type="dxa"/>
            <w:vAlign w:val="center"/>
          </w:tcPr>
          <w:p w14:paraId="22E0AD0B" w14:textId="77777777" w:rsidR="007075D9" w:rsidRPr="004D46AC" w:rsidRDefault="007075D9" w:rsidP="00CE2F7A">
            <w:pPr>
              <w:spacing w:line="240" w:lineRule="auto"/>
              <w:ind w:firstLine="0"/>
              <w:rPr>
                <w:b/>
                <w:bCs/>
                <w:i/>
                <w:iCs/>
              </w:rPr>
            </w:pPr>
            <w:r w:rsidRPr="004D46AC">
              <w:rPr>
                <w:rFonts w:eastAsia="DengXian"/>
                <w:color w:val="000000"/>
              </w:rPr>
              <w:t>P6--Y7</w:t>
            </w:r>
          </w:p>
        </w:tc>
        <w:tc>
          <w:tcPr>
            <w:tcW w:w="1603" w:type="dxa"/>
            <w:vAlign w:val="center"/>
          </w:tcPr>
          <w:p w14:paraId="205B3373"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65D17BF2"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308CE375"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27FED29A" w14:textId="77777777" w:rsidR="007075D9" w:rsidRPr="004D46AC" w:rsidRDefault="007075D9" w:rsidP="00CE2F7A">
            <w:pPr>
              <w:spacing w:line="240" w:lineRule="auto"/>
              <w:ind w:firstLine="0"/>
              <w:rPr>
                <w:b/>
                <w:bCs/>
                <w:i/>
                <w:iCs/>
              </w:rPr>
            </w:pPr>
            <w:r w:rsidRPr="004D46AC">
              <w:rPr>
                <w:color w:val="000000"/>
              </w:rPr>
              <w:t xml:space="preserve">0.49 </w:t>
            </w:r>
          </w:p>
        </w:tc>
      </w:tr>
      <w:tr w:rsidR="007075D9" w:rsidRPr="004D46AC" w14:paraId="3154861E" w14:textId="77777777" w:rsidTr="00B518F1">
        <w:tc>
          <w:tcPr>
            <w:tcW w:w="1564" w:type="dxa"/>
            <w:vAlign w:val="center"/>
          </w:tcPr>
          <w:p w14:paraId="7F49F0CE" w14:textId="77777777" w:rsidR="007075D9" w:rsidRPr="004D46AC" w:rsidRDefault="007075D9" w:rsidP="00CE2F7A">
            <w:pPr>
              <w:spacing w:line="240" w:lineRule="auto"/>
              <w:ind w:firstLine="0"/>
              <w:rPr>
                <w:b/>
                <w:bCs/>
                <w:i/>
                <w:iCs/>
              </w:rPr>
            </w:pPr>
            <w:r w:rsidRPr="004D46AC">
              <w:rPr>
                <w:rFonts w:eastAsia="DengXian"/>
                <w:color w:val="000000"/>
              </w:rPr>
              <w:t>M7--SP</w:t>
            </w:r>
          </w:p>
        </w:tc>
        <w:tc>
          <w:tcPr>
            <w:tcW w:w="1603" w:type="dxa"/>
            <w:vAlign w:val="center"/>
          </w:tcPr>
          <w:p w14:paraId="52A80825"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134D5048"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180D8FA8"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5B4CEE08" w14:textId="77777777" w:rsidR="007075D9" w:rsidRPr="004D46AC" w:rsidRDefault="007075D9" w:rsidP="00CE2F7A">
            <w:pPr>
              <w:spacing w:line="240" w:lineRule="auto"/>
              <w:ind w:firstLine="0"/>
              <w:rPr>
                <w:b/>
                <w:bCs/>
                <w:i/>
                <w:iCs/>
              </w:rPr>
            </w:pPr>
            <w:r w:rsidRPr="004D46AC">
              <w:rPr>
                <w:color w:val="000000"/>
              </w:rPr>
              <w:t xml:space="preserve">0.55 </w:t>
            </w:r>
          </w:p>
        </w:tc>
      </w:tr>
      <w:tr w:rsidR="007075D9" w:rsidRPr="004D46AC" w14:paraId="6B2FC3D9" w14:textId="77777777" w:rsidTr="00B518F1">
        <w:tc>
          <w:tcPr>
            <w:tcW w:w="1564" w:type="dxa"/>
            <w:vAlign w:val="center"/>
          </w:tcPr>
          <w:p w14:paraId="12AA053E" w14:textId="77777777" w:rsidR="007075D9" w:rsidRPr="004D46AC" w:rsidRDefault="007075D9" w:rsidP="00CE2F7A">
            <w:pPr>
              <w:spacing w:line="240" w:lineRule="auto"/>
              <w:ind w:firstLine="0"/>
              <w:rPr>
                <w:b/>
                <w:bCs/>
                <w:i/>
                <w:iCs/>
              </w:rPr>
            </w:pPr>
            <w:r w:rsidRPr="004D46AC">
              <w:rPr>
                <w:rFonts w:eastAsia="DengXian"/>
                <w:color w:val="000000"/>
              </w:rPr>
              <w:t>P6--M6</w:t>
            </w:r>
          </w:p>
        </w:tc>
        <w:tc>
          <w:tcPr>
            <w:tcW w:w="1603" w:type="dxa"/>
            <w:vAlign w:val="center"/>
          </w:tcPr>
          <w:p w14:paraId="1F97D4EC"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1ED01A75"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3093C13D"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2F69069F" w14:textId="77777777" w:rsidR="007075D9" w:rsidRPr="004D46AC" w:rsidRDefault="007075D9" w:rsidP="00CE2F7A">
            <w:pPr>
              <w:spacing w:line="240" w:lineRule="auto"/>
              <w:ind w:firstLine="0"/>
              <w:rPr>
                <w:b/>
                <w:bCs/>
                <w:i/>
                <w:iCs/>
              </w:rPr>
            </w:pPr>
            <w:r w:rsidRPr="004D46AC">
              <w:rPr>
                <w:color w:val="000000"/>
              </w:rPr>
              <w:t xml:space="preserve">0.60 </w:t>
            </w:r>
          </w:p>
        </w:tc>
      </w:tr>
      <w:tr w:rsidR="007075D9" w:rsidRPr="004D46AC" w14:paraId="72E0608F" w14:textId="77777777" w:rsidTr="00B518F1">
        <w:tc>
          <w:tcPr>
            <w:tcW w:w="1564" w:type="dxa"/>
            <w:vAlign w:val="center"/>
          </w:tcPr>
          <w:p w14:paraId="22793D9E" w14:textId="77777777" w:rsidR="007075D9" w:rsidRPr="004D46AC" w:rsidRDefault="007075D9" w:rsidP="00CE2F7A">
            <w:pPr>
              <w:spacing w:line="240" w:lineRule="auto"/>
              <w:ind w:firstLine="0"/>
              <w:rPr>
                <w:b/>
                <w:bCs/>
                <w:i/>
                <w:iCs/>
              </w:rPr>
            </w:pPr>
            <w:r w:rsidRPr="004D46AC">
              <w:rPr>
                <w:rFonts w:eastAsia="DengXian"/>
                <w:color w:val="000000"/>
              </w:rPr>
              <w:t>N5--M10</w:t>
            </w:r>
          </w:p>
        </w:tc>
        <w:tc>
          <w:tcPr>
            <w:tcW w:w="1603" w:type="dxa"/>
            <w:vAlign w:val="center"/>
          </w:tcPr>
          <w:p w14:paraId="203D8B86" w14:textId="77777777" w:rsidR="007075D9" w:rsidRPr="004D46AC" w:rsidRDefault="007075D9" w:rsidP="00CE2F7A">
            <w:pPr>
              <w:spacing w:line="240" w:lineRule="auto"/>
              <w:ind w:firstLine="0"/>
              <w:rPr>
                <w:b/>
                <w:bCs/>
                <w:i/>
                <w:iCs/>
              </w:rPr>
            </w:pPr>
            <w:r w:rsidRPr="004D46AC">
              <w:rPr>
                <w:color w:val="000000"/>
              </w:rPr>
              <w:t xml:space="preserve">-0.00 </w:t>
            </w:r>
          </w:p>
        </w:tc>
        <w:tc>
          <w:tcPr>
            <w:tcW w:w="1603" w:type="dxa"/>
            <w:vAlign w:val="center"/>
          </w:tcPr>
          <w:p w14:paraId="741E6533"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4D1D4758" w14:textId="77777777" w:rsidR="007075D9" w:rsidRPr="004D46AC" w:rsidRDefault="007075D9" w:rsidP="00CE2F7A">
            <w:pPr>
              <w:spacing w:line="240" w:lineRule="auto"/>
              <w:ind w:firstLine="0"/>
              <w:rPr>
                <w:b/>
                <w:bCs/>
                <w:i/>
                <w:iCs/>
              </w:rPr>
            </w:pPr>
            <w:r w:rsidRPr="004D46AC">
              <w:rPr>
                <w:color w:val="000000"/>
              </w:rPr>
              <w:t xml:space="preserve">0.04 </w:t>
            </w:r>
          </w:p>
        </w:tc>
        <w:tc>
          <w:tcPr>
            <w:tcW w:w="1565" w:type="dxa"/>
            <w:vAlign w:val="center"/>
          </w:tcPr>
          <w:p w14:paraId="7746D182" w14:textId="77777777" w:rsidR="007075D9" w:rsidRPr="004D46AC" w:rsidRDefault="007075D9" w:rsidP="00CE2F7A">
            <w:pPr>
              <w:spacing w:line="240" w:lineRule="auto"/>
              <w:ind w:firstLine="0"/>
              <w:rPr>
                <w:b/>
                <w:bCs/>
                <w:i/>
                <w:iCs/>
              </w:rPr>
            </w:pPr>
            <w:r w:rsidRPr="004D46AC">
              <w:rPr>
                <w:color w:val="000000"/>
              </w:rPr>
              <w:t xml:space="preserve">0.58 </w:t>
            </w:r>
          </w:p>
        </w:tc>
      </w:tr>
      <w:tr w:rsidR="007075D9" w:rsidRPr="004D46AC" w14:paraId="3DA727F4" w14:textId="77777777" w:rsidTr="00B518F1">
        <w:tc>
          <w:tcPr>
            <w:tcW w:w="1564" w:type="dxa"/>
            <w:vAlign w:val="center"/>
          </w:tcPr>
          <w:p w14:paraId="24E5435D" w14:textId="77777777" w:rsidR="007075D9" w:rsidRPr="004D46AC" w:rsidRDefault="007075D9" w:rsidP="00CE2F7A">
            <w:pPr>
              <w:spacing w:line="240" w:lineRule="auto"/>
              <w:ind w:firstLine="0"/>
              <w:rPr>
                <w:b/>
                <w:bCs/>
                <w:i/>
                <w:iCs/>
              </w:rPr>
            </w:pPr>
            <w:r w:rsidRPr="004D46AC">
              <w:rPr>
                <w:rFonts w:eastAsia="DengXian"/>
                <w:color w:val="000000"/>
              </w:rPr>
              <w:t>P5--M7</w:t>
            </w:r>
          </w:p>
        </w:tc>
        <w:tc>
          <w:tcPr>
            <w:tcW w:w="1603" w:type="dxa"/>
            <w:vAlign w:val="center"/>
          </w:tcPr>
          <w:p w14:paraId="0A56128B" w14:textId="77777777" w:rsidR="007075D9" w:rsidRPr="004D46AC" w:rsidRDefault="007075D9" w:rsidP="00CE2F7A">
            <w:pPr>
              <w:spacing w:line="240" w:lineRule="auto"/>
              <w:ind w:firstLine="0"/>
              <w:rPr>
                <w:b/>
                <w:bCs/>
                <w:i/>
                <w:iCs/>
              </w:rPr>
            </w:pPr>
            <w:r w:rsidRPr="004D46AC">
              <w:rPr>
                <w:color w:val="000000"/>
              </w:rPr>
              <w:t xml:space="preserve">-0.01 </w:t>
            </w:r>
          </w:p>
        </w:tc>
        <w:tc>
          <w:tcPr>
            <w:tcW w:w="1603" w:type="dxa"/>
            <w:vAlign w:val="center"/>
          </w:tcPr>
          <w:p w14:paraId="2312041D" w14:textId="77777777" w:rsidR="007075D9" w:rsidRPr="004D46AC" w:rsidRDefault="007075D9" w:rsidP="00CE2F7A">
            <w:pPr>
              <w:spacing w:line="240" w:lineRule="auto"/>
              <w:ind w:firstLine="0"/>
              <w:rPr>
                <w:b/>
                <w:bCs/>
                <w:i/>
                <w:iCs/>
              </w:rPr>
            </w:pPr>
            <w:r w:rsidRPr="004D46AC">
              <w:rPr>
                <w:color w:val="000000"/>
              </w:rPr>
              <w:t xml:space="preserve">-0.05 </w:t>
            </w:r>
          </w:p>
        </w:tc>
        <w:tc>
          <w:tcPr>
            <w:tcW w:w="1603" w:type="dxa"/>
            <w:vAlign w:val="center"/>
          </w:tcPr>
          <w:p w14:paraId="0534870F" w14:textId="77777777" w:rsidR="007075D9" w:rsidRPr="004D46AC" w:rsidRDefault="007075D9" w:rsidP="00CE2F7A">
            <w:pPr>
              <w:spacing w:line="240" w:lineRule="auto"/>
              <w:ind w:firstLine="0"/>
              <w:rPr>
                <w:b/>
                <w:bCs/>
                <w:i/>
                <w:iCs/>
              </w:rPr>
            </w:pPr>
            <w:r w:rsidRPr="004D46AC">
              <w:rPr>
                <w:color w:val="000000"/>
              </w:rPr>
              <w:t xml:space="preserve">0.03 </w:t>
            </w:r>
          </w:p>
        </w:tc>
        <w:tc>
          <w:tcPr>
            <w:tcW w:w="1565" w:type="dxa"/>
            <w:vAlign w:val="center"/>
          </w:tcPr>
          <w:p w14:paraId="4B2DF89B" w14:textId="77777777" w:rsidR="007075D9" w:rsidRPr="004D46AC" w:rsidRDefault="007075D9" w:rsidP="00CE2F7A">
            <w:pPr>
              <w:spacing w:line="240" w:lineRule="auto"/>
              <w:ind w:firstLine="0"/>
              <w:rPr>
                <w:b/>
                <w:bCs/>
                <w:i/>
                <w:iCs/>
              </w:rPr>
            </w:pPr>
            <w:r w:rsidRPr="004D46AC">
              <w:rPr>
                <w:color w:val="000000"/>
              </w:rPr>
              <w:t xml:space="preserve">0.54 </w:t>
            </w:r>
          </w:p>
        </w:tc>
      </w:tr>
      <w:tr w:rsidR="007075D9" w:rsidRPr="004D46AC" w14:paraId="50392F75" w14:textId="77777777" w:rsidTr="00B518F1">
        <w:tc>
          <w:tcPr>
            <w:tcW w:w="1564" w:type="dxa"/>
            <w:vAlign w:val="center"/>
          </w:tcPr>
          <w:p w14:paraId="50B486B8" w14:textId="77777777" w:rsidR="007075D9" w:rsidRPr="004D46AC" w:rsidRDefault="007075D9" w:rsidP="00CE2F7A">
            <w:pPr>
              <w:spacing w:line="240" w:lineRule="auto"/>
              <w:ind w:firstLine="0"/>
              <w:rPr>
                <w:b/>
                <w:bCs/>
                <w:i/>
                <w:iCs/>
              </w:rPr>
            </w:pPr>
            <w:r w:rsidRPr="004D46AC">
              <w:rPr>
                <w:rFonts w:eastAsia="DengXian"/>
                <w:color w:val="000000"/>
              </w:rPr>
              <w:t>WD--ME</w:t>
            </w:r>
          </w:p>
        </w:tc>
        <w:tc>
          <w:tcPr>
            <w:tcW w:w="1603" w:type="dxa"/>
            <w:vAlign w:val="center"/>
          </w:tcPr>
          <w:p w14:paraId="38A11AD5"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178F3CFD"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6D23870E" w14:textId="77777777" w:rsidR="007075D9" w:rsidRPr="004D46AC" w:rsidRDefault="007075D9" w:rsidP="00CE2F7A">
            <w:pPr>
              <w:spacing w:line="240" w:lineRule="auto"/>
              <w:ind w:firstLine="0"/>
              <w:rPr>
                <w:b/>
                <w:bCs/>
                <w:i/>
                <w:iCs/>
              </w:rPr>
            </w:pPr>
            <w:r w:rsidRPr="004D46AC">
              <w:rPr>
                <w:color w:val="000000"/>
              </w:rPr>
              <w:t xml:space="preserve">0.02 </w:t>
            </w:r>
          </w:p>
        </w:tc>
        <w:tc>
          <w:tcPr>
            <w:tcW w:w="1565" w:type="dxa"/>
            <w:vAlign w:val="center"/>
          </w:tcPr>
          <w:p w14:paraId="0701196D"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38838BF0" w14:textId="77777777" w:rsidTr="00B518F1">
        <w:tc>
          <w:tcPr>
            <w:tcW w:w="1564" w:type="dxa"/>
            <w:vAlign w:val="center"/>
          </w:tcPr>
          <w:p w14:paraId="3CDE7292" w14:textId="77777777" w:rsidR="007075D9" w:rsidRPr="004D46AC" w:rsidRDefault="007075D9" w:rsidP="00CE2F7A">
            <w:pPr>
              <w:spacing w:line="240" w:lineRule="auto"/>
              <w:ind w:firstLine="0"/>
              <w:rPr>
                <w:b/>
                <w:bCs/>
                <w:i/>
                <w:iCs/>
              </w:rPr>
            </w:pPr>
            <w:r w:rsidRPr="004D46AC">
              <w:rPr>
                <w:rFonts w:eastAsia="DengXian"/>
                <w:color w:val="000000"/>
              </w:rPr>
              <w:t>ME--M7</w:t>
            </w:r>
          </w:p>
        </w:tc>
        <w:tc>
          <w:tcPr>
            <w:tcW w:w="1603" w:type="dxa"/>
            <w:vAlign w:val="center"/>
          </w:tcPr>
          <w:p w14:paraId="3CDE276D" w14:textId="77777777" w:rsidR="007075D9" w:rsidRPr="004D46AC" w:rsidRDefault="007075D9" w:rsidP="00CE2F7A">
            <w:pPr>
              <w:spacing w:line="240" w:lineRule="auto"/>
              <w:ind w:firstLine="0"/>
              <w:rPr>
                <w:b/>
                <w:bCs/>
                <w:i/>
                <w:iCs/>
              </w:rPr>
            </w:pPr>
            <w:r w:rsidRPr="004D46AC">
              <w:rPr>
                <w:color w:val="000000"/>
              </w:rPr>
              <w:t xml:space="preserve">-0.02 </w:t>
            </w:r>
          </w:p>
        </w:tc>
        <w:tc>
          <w:tcPr>
            <w:tcW w:w="1603" w:type="dxa"/>
            <w:vAlign w:val="center"/>
          </w:tcPr>
          <w:p w14:paraId="319B5904"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2FB2AED1" w14:textId="77777777" w:rsidR="007075D9" w:rsidRPr="004D46AC" w:rsidRDefault="007075D9" w:rsidP="00CE2F7A">
            <w:pPr>
              <w:spacing w:line="240" w:lineRule="auto"/>
              <w:ind w:firstLine="0"/>
              <w:rPr>
                <w:b/>
                <w:bCs/>
                <w:i/>
                <w:iCs/>
              </w:rPr>
            </w:pPr>
            <w:r w:rsidRPr="004D46AC">
              <w:rPr>
                <w:color w:val="000000"/>
              </w:rPr>
              <w:t xml:space="preserve">0.02 </w:t>
            </w:r>
          </w:p>
        </w:tc>
        <w:tc>
          <w:tcPr>
            <w:tcW w:w="1565" w:type="dxa"/>
            <w:vAlign w:val="center"/>
          </w:tcPr>
          <w:p w14:paraId="74E962E3"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6A92134F" w14:textId="77777777" w:rsidTr="00B518F1">
        <w:tc>
          <w:tcPr>
            <w:tcW w:w="1564" w:type="dxa"/>
            <w:vAlign w:val="center"/>
          </w:tcPr>
          <w:p w14:paraId="299C3833" w14:textId="77777777" w:rsidR="007075D9" w:rsidRPr="004D46AC" w:rsidRDefault="007075D9" w:rsidP="00CE2F7A">
            <w:pPr>
              <w:spacing w:line="240" w:lineRule="auto"/>
              <w:ind w:firstLine="0"/>
              <w:rPr>
                <w:b/>
                <w:bCs/>
                <w:i/>
                <w:iCs/>
              </w:rPr>
            </w:pPr>
            <w:r w:rsidRPr="004D46AC">
              <w:rPr>
                <w:rFonts w:eastAsia="DengXian"/>
                <w:color w:val="000000"/>
              </w:rPr>
              <w:t>P5--M10</w:t>
            </w:r>
          </w:p>
        </w:tc>
        <w:tc>
          <w:tcPr>
            <w:tcW w:w="1603" w:type="dxa"/>
            <w:vAlign w:val="center"/>
          </w:tcPr>
          <w:p w14:paraId="6924D757"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45660424"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75B9A341" w14:textId="77777777" w:rsidR="007075D9" w:rsidRPr="004D46AC" w:rsidRDefault="007075D9" w:rsidP="00CE2F7A">
            <w:pPr>
              <w:spacing w:line="240" w:lineRule="auto"/>
              <w:ind w:firstLine="0"/>
              <w:rPr>
                <w:b/>
                <w:bCs/>
                <w:i/>
                <w:iCs/>
              </w:rPr>
            </w:pPr>
            <w:r w:rsidRPr="004D46AC">
              <w:rPr>
                <w:color w:val="000000"/>
              </w:rPr>
              <w:t xml:space="preserve">0.03 </w:t>
            </w:r>
          </w:p>
        </w:tc>
        <w:tc>
          <w:tcPr>
            <w:tcW w:w="1565" w:type="dxa"/>
            <w:vAlign w:val="center"/>
          </w:tcPr>
          <w:p w14:paraId="6DB8EE12"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173642CE" w14:textId="77777777" w:rsidTr="00B518F1">
        <w:tc>
          <w:tcPr>
            <w:tcW w:w="1564" w:type="dxa"/>
            <w:vAlign w:val="center"/>
          </w:tcPr>
          <w:p w14:paraId="00FBB7C3" w14:textId="77777777" w:rsidR="007075D9" w:rsidRPr="004D46AC" w:rsidRDefault="007075D9" w:rsidP="00CE2F7A">
            <w:pPr>
              <w:spacing w:line="240" w:lineRule="auto"/>
              <w:ind w:firstLine="0"/>
              <w:rPr>
                <w:b/>
                <w:bCs/>
                <w:i/>
                <w:iCs/>
              </w:rPr>
            </w:pPr>
            <w:r w:rsidRPr="004D46AC">
              <w:rPr>
                <w:rFonts w:eastAsia="DengXian"/>
                <w:color w:val="000000"/>
              </w:rPr>
              <w:t>ME--M8</w:t>
            </w:r>
          </w:p>
        </w:tc>
        <w:tc>
          <w:tcPr>
            <w:tcW w:w="1603" w:type="dxa"/>
            <w:vAlign w:val="center"/>
          </w:tcPr>
          <w:p w14:paraId="53C56332" w14:textId="77777777" w:rsidR="007075D9" w:rsidRPr="004D46AC" w:rsidRDefault="007075D9" w:rsidP="00CE2F7A">
            <w:pPr>
              <w:spacing w:line="240" w:lineRule="auto"/>
              <w:ind w:firstLine="0"/>
              <w:rPr>
                <w:b/>
                <w:bCs/>
                <w:i/>
                <w:iCs/>
              </w:rPr>
            </w:pPr>
            <w:r w:rsidRPr="004D46AC">
              <w:rPr>
                <w:color w:val="000000"/>
              </w:rPr>
              <w:t xml:space="preserve">-0.03 </w:t>
            </w:r>
          </w:p>
        </w:tc>
        <w:tc>
          <w:tcPr>
            <w:tcW w:w="1603" w:type="dxa"/>
            <w:vAlign w:val="center"/>
          </w:tcPr>
          <w:p w14:paraId="567B4736"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5267C3F3" w14:textId="77777777" w:rsidR="007075D9" w:rsidRPr="004D46AC" w:rsidRDefault="007075D9" w:rsidP="00CE2F7A">
            <w:pPr>
              <w:spacing w:line="240" w:lineRule="auto"/>
              <w:ind w:firstLine="0"/>
              <w:rPr>
                <w:b/>
                <w:bCs/>
                <w:i/>
                <w:iCs/>
              </w:rPr>
            </w:pPr>
            <w:r w:rsidRPr="004D46AC">
              <w:rPr>
                <w:color w:val="000000"/>
              </w:rPr>
              <w:t xml:space="preserve">0.01 </w:t>
            </w:r>
          </w:p>
        </w:tc>
        <w:tc>
          <w:tcPr>
            <w:tcW w:w="1565" w:type="dxa"/>
            <w:vAlign w:val="center"/>
          </w:tcPr>
          <w:p w14:paraId="71D5193E" w14:textId="77777777" w:rsidR="007075D9" w:rsidRPr="004D46AC" w:rsidRDefault="007075D9" w:rsidP="00CE2F7A">
            <w:pPr>
              <w:spacing w:line="240" w:lineRule="auto"/>
              <w:ind w:firstLine="0"/>
              <w:rPr>
                <w:b/>
                <w:bCs/>
                <w:i/>
                <w:iCs/>
              </w:rPr>
            </w:pPr>
            <w:r w:rsidRPr="004D46AC">
              <w:rPr>
                <w:color w:val="000000"/>
              </w:rPr>
              <w:t xml:space="preserve">0.28 </w:t>
            </w:r>
          </w:p>
        </w:tc>
      </w:tr>
      <w:tr w:rsidR="007075D9" w:rsidRPr="004D46AC" w14:paraId="32EE7296" w14:textId="77777777" w:rsidTr="00B518F1">
        <w:tc>
          <w:tcPr>
            <w:tcW w:w="1564" w:type="dxa"/>
            <w:vAlign w:val="center"/>
          </w:tcPr>
          <w:p w14:paraId="17ADA63D" w14:textId="77777777" w:rsidR="007075D9" w:rsidRPr="004D46AC" w:rsidRDefault="007075D9" w:rsidP="00CE2F7A">
            <w:pPr>
              <w:spacing w:line="240" w:lineRule="auto"/>
              <w:ind w:firstLine="0"/>
              <w:rPr>
                <w:b/>
                <w:bCs/>
                <w:i/>
                <w:iCs/>
              </w:rPr>
            </w:pPr>
            <w:r w:rsidRPr="004D46AC">
              <w:rPr>
                <w:rFonts w:eastAsia="DengXian"/>
                <w:color w:val="000000"/>
              </w:rPr>
              <w:t>Y6--M9</w:t>
            </w:r>
          </w:p>
        </w:tc>
        <w:tc>
          <w:tcPr>
            <w:tcW w:w="1603" w:type="dxa"/>
            <w:vAlign w:val="center"/>
          </w:tcPr>
          <w:p w14:paraId="7BCF3DFC" w14:textId="77777777" w:rsidR="007075D9" w:rsidRPr="004D46AC" w:rsidRDefault="007075D9" w:rsidP="00CE2F7A">
            <w:pPr>
              <w:spacing w:line="240" w:lineRule="auto"/>
              <w:ind w:firstLine="0"/>
              <w:rPr>
                <w:b/>
                <w:bCs/>
                <w:i/>
                <w:iCs/>
              </w:rPr>
            </w:pPr>
            <w:r w:rsidRPr="004D46AC">
              <w:rPr>
                <w:color w:val="000000"/>
              </w:rPr>
              <w:t xml:space="preserve">-0.04 </w:t>
            </w:r>
          </w:p>
        </w:tc>
        <w:tc>
          <w:tcPr>
            <w:tcW w:w="1603" w:type="dxa"/>
            <w:vAlign w:val="center"/>
          </w:tcPr>
          <w:p w14:paraId="5889E5DB" w14:textId="77777777" w:rsidR="007075D9" w:rsidRPr="004D46AC" w:rsidRDefault="007075D9" w:rsidP="00CE2F7A">
            <w:pPr>
              <w:spacing w:line="240" w:lineRule="auto"/>
              <w:ind w:firstLine="0"/>
              <w:rPr>
                <w:b/>
                <w:bCs/>
                <w:i/>
                <w:iCs/>
              </w:rPr>
            </w:pPr>
            <w:r w:rsidRPr="004D46AC">
              <w:rPr>
                <w:color w:val="000000"/>
              </w:rPr>
              <w:t xml:space="preserve">-0.08 </w:t>
            </w:r>
          </w:p>
        </w:tc>
        <w:tc>
          <w:tcPr>
            <w:tcW w:w="1603" w:type="dxa"/>
            <w:vAlign w:val="center"/>
          </w:tcPr>
          <w:p w14:paraId="3D43DF65" w14:textId="77777777" w:rsidR="007075D9" w:rsidRPr="004D46AC" w:rsidRDefault="007075D9" w:rsidP="00CE2F7A">
            <w:pPr>
              <w:spacing w:line="240" w:lineRule="auto"/>
              <w:ind w:firstLine="0"/>
              <w:rPr>
                <w:b/>
                <w:bCs/>
                <w:i/>
                <w:iCs/>
              </w:rPr>
            </w:pPr>
            <w:r w:rsidRPr="004D46AC">
              <w:rPr>
                <w:color w:val="000000"/>
              </w:rPr>
              <w:t xml:space="preserve">0.01 </w:t>
            </w:r>
          </w:p>
        </w:tc>
        <w:tc>
          <w:tcPr>
            <w:tcW w:w="1565" w:type="dxa"/>
            <w:vAlign w:val="center"/>
          </w:tcPr>
          <w:p w14:paraId="6FDE018D" w14:textId="77777777" w:rsidR="007075D9" w:rsidRPr="004D46AC" w:rsidRDefault="007075D9" w:rsidP="00CE2F7A">
            <w:pPr>
              <w:spacing w:line="240" w:lineRule="auto"/>
              <w:ind w:firstLine="0"/>
              <w:rPr>
                <w:b/>
                <w:bCs/>
                <w:i/>
                <w:iCs/>
              </w:rPr>
            </w:pPr>
            <w:r w:rsidRPr="004D46AC">
              <w:rPr>
                <w:color w:val="000000"/>
              </w:rPr>
              <w:t xml:space="preserve">0.36 </w:t>
            </w:r>
          </w:p>
        </w:tc>
      </w:tr>
      <w:tr w:rsidR="007075D9" w:rsidRPr="004D46AC" w14:paraId="3023E4AA" w14:textId="77777777" w:rsidTr="00B518F1">
        <w:tc>
          <w:tcPr>
            <w:tcW w:w="1564" w:type="dxa"/>
            <w:vAlign w:val="center"/>
          </w:tcPr>
          <w:p w14:paraId="00AEC1C8" w14:textId="77777777" w:rsidR="007075D9" w:rsidRPr="004D46AC" w:rsidRDefault="007075D9" w:rsidP="00CE2F7A">
            <w:pPr>
              <w:spacing w:line="240" w:lineRule="auto"/>
              <w:ind w:firstLine="0"/>
              <w:rPr>
                <w:b/>
                <w:bCs/>
                <w:i/>
                <w:iCs/>
              </w:rPr>
            </w:pPr>
            <w:r w:rsidRPr="004D46AC">
              <w:rPr>
                <w:rFonts w:eastAsia="DengXian"/>
                <w:color w:val="000000"/>
              </w:rPr>
              <w:t>N1--ME</w:t>
            </w:r>
          </w:p>
        </w:tc>
        <w:tc>
          <w:tcPr>
            <w:tcW w:w="1603" w:type="dxa"/>
            <w:vAlign w:val="center"/>
          </w:tcPr>
          <w:p w14:paraId="4B4CCE9A" w14:textId="77777777" w:rsidR="007075D9" w:rsidRPr="004D46AC" w:rsidRDefault="007075D9" w:rsidP="00CE2F7A">
            <w:pPr>
              <w:spacing w:line="240" w:lineRule="auto"/>
              <w:ind w:firstLine="0"/>
              <w:rPr>
                <w:b/>
                <w:bCs/>
                <w:i/>
                <w:iCs/>
              </w:rPr>
            </w:pPr>
            <w:r w:rsidRPr="004D46AC">
              <w:rPr>
                <w:color w:val="000000"/>
              </w:rPr>
              <w:t xml:space="preserve">-0.07 </w:t>
            </w:r>
          </w:p>
        </w:tc>
        <w:tc>
          <w:tcPr>
            <w:tcW w:w="1603" w:type="dxa"/>
            <w:vAlign w:val="center"/>
          </w:tcPr>
          <w:p w14:paraId="5C9EC595" w14:textId="77777777" w:rsidR="007075D9" w:rsidRPr="004D46AC" w:rsidRDefault="007075D9" w:rsidP="00CE2F7A">
            <w:pPr>
              <w:spacing w:line="240" w:lineRule="auto"/>
              <w:ind w:firstLine="0"/>
              <w:rPr>
                <w:b/>
                <w:bCs/>
                <w:i/>
                <w:iCs/>
              </w:rPr>
            </w:pPr>
            <w:r w:rsidRPr="004D46AC">
              <w:rPr>
                <w:color w:val="000000"/>
              </w:rPr>
              <w:t xml:space="preserve">-0.13 </w:t>
            </w:r>
          </w:p>
        </w:tc>
        <w:tc>
          <w:tcPr>
            <w:tcW w:w="1603" w:type="dxa"/>
            <w:vAlign w:val="center"/>
          </w:tcPr>
          <w:p w14:paraId="520ED00D" w14:textId="77777777" w:rsidR="007075D9" w:rsidRPr="004D46AC" w:rsidRDefault="007075D9" w:rsidP="00CE2F7A">
            <w:pPr>
              <w:spacing w:line="240" w:lineRule="auto"/>
              <w:ind w:firstLine="0"/>
              <w:rPr>
                <w:b/>
                <w:bCs/>
                <w:i/>
                <w:iCs/>
              </w:rPr>
            </w:pPr>
            <w:r w:rsidRPr="004D46AC">
              <w:rPr>
                <w:color w:val="000000"/>
              </w:rPr>
              <w:t xml:space="preserve">-0.01 </w:t>
            </w:r>
          </w:p>
        </w:tc>
        <w:tc>
          <w:tcPr>
            <w:tcW w:w="1565" w:type="dxa"/>
            <w:vAlign w:val="center"/>
          </w:tcPr>
          <w:p w14:paraId="1D506448" w14:textId="77777777" w:rsidR="007075D9" w:rsidRPr="004D46AC" w:rsidRDefault="007075D9" w:rsidP="00CE2F7A">
            <w:pPr>
              <w:spacing w:line="240" w:lineRule="auto"/>
              <w:ind w:firstLine="0"/>
              <w:rPr>
                <w:b/>
                <w:bCs/>
                <w:i/>
                <w:iCs/>
              </w:rPr>
            </w:pPr>
            <w:r w:rsidRPr="004D46AC">
              <w:rPr>
                <w:color w:val="000000"/>
              </w:rPr>
              <w:t xml:space="preserve">0.06 </w:t>
            </w:r>
          </w:p>
        </w:tc>
      </w:tr>
    </w:tbl>
    <w:p w14:paraId="6C0824AC" w14:textId="77777777" w:rsidR="007075D9" w:rsidRPr="004D46AC" w:rsidRDefault="007075D9" w:rsidP="00CE2F7A">
      <w:pPr>
        <w:spacing w:line="240" w:lineRule="auto"/>
        <w:ind w:firstLine="0"/>
      </w:pPr>
      <w:r w:rsidRPr="004D46AC">
        <w:rPr>
          <w:i/>
          <w:iCs/>
        </w:rPr>
        <w:t>Note</w:t>
      </w:r>
      <w:r w:rsidRPr="004D46AC">
        <w:t>. The value represents the edge weight of the network in all participants of the group, and the BCI (lower-upper) indicates the confidence intervals of the edge in the bootstrapped networks. The P0 represents the estimated rate at which the edge weight is zero in the bootstrapped sample. Edges with a non-zero weight in more than 70% of the bootstrapped networks were selected to be presented in this table.</w:t>
      </w:r>
    </w:p>
    <w:p w14:paraId="0F73CF4D" w14:textId="77777777" w:rsidR="007075D9" w:rsidRPr="004D46AC" w:rsidRDefault="007075D9" w:rsidP="00CE2F7A">
      <w:pPr>
        <w:spacing w:line="240" w:lineRule="auto"/>
        <w:ind w:firstLine="0"/>
      </w:pPr>
    </w:p>
    <w:p w14:paraId="68E47757" w14:textId="77777777" w:rsidR="007075D9" w:rsidRPr="004D46AC" w:rsidRDefault="007075D9" w:rsidP="00CE2F7A">
      <w:pPr>
        <w:spacing w:line="240" w:lineRule="auto"/>
        <w:ind w:firstLine="0"/>
      </w:pPr>
    </w:p>
    <w:p w14:paraId="1FC3318E" w14:textId="77777777" w:rsidR="007075D9" w:rsidRPr="004D46AC" w:rsidRDefault="007075D9" w:rsidP="00CE2F7A">
      <w:pPr>
        <w:spacing w:line="240" w:lineRule="auto"/>
        <w:ind w:firstLine="0"/>
      </w:pPr>
    </w:p>
    <w:p w14:paraId="1E50CC1C" w14:textId="77777777" w:rsidR="007075D9" w:rsidRPr="004D46AC" w:rsidRDefault="007075D9" w:rsidP="00CE2F7A">
      <w:pPr>
        <w:spacing w:line="240" w:lineRule="auto"/>
        <w:ind w:firstLine="0"/>
      </w:pPr>
    </w:p>
    <w:p w14:paraId="1CB31881" w14:textId="77777777" w:rsidR="007075D9" w:rsidRPr="004D46AC" w:rsidRDefault="007075D9" w:rsidP="00CE2F7A">
      <w:pPr>
        <w:spacing w:line="240" w:lineRule="auto"/>
        <w:ind w:firstLine="0"/>
      </w:pPr>
    </w:p>
    <w:p w14:paraId="1DBFC789" w14:textId="77777777" w:rsidR="007075D9" w:rsidRPr="004D46AC" w:rsidRDefault="007075D9" w:rsidP="00CE2F7A">
      <w:pPr>
        <w:spacing w:line="240" w:lineRule="auto"/>
        <w:ind w:firstLine="0"/>
      </w:pPr>
    </w:p>
    <w:p w14:paraId="61568EDC" w14:textId="77777777" w:rsidR="007075D9" w:rsidRPr="004D46AC" w:rsidRDefault="007075D9" w:rsidP="00CE2F7A">
      <w:pPr>
        <w:spacing w:line="240" w:lineRule="auto"/>
        <w:ind w:firstLine="0"/>
      </w:pPr>
    </w:p>
    <w:p w14:paraId="50B381AF" w14:textId="77777777" w:rsidR="007075D9" w:rsidRPr="004D46AC" w:rsidRDefault="007075D9" w:rsidP="00CE2F7A">
      <w:pPr>
        <w:spacing w:line="240" w:lineRule="auto"/>
        <w:ind w:firstLine="0"/>
      </w:pPr>
    </w:p>
    <w:p w14:paraId="118308C5" w14:textId="77777777" w:rsidR="007075D9" w:rsidRPr="004D46AC" w:rsidRDefault="007075D9" w:rsidP="00CE2F7A">
      <w:pPr>
        <w:spacing w:line="240" w:lineRule="auto"/>
        <w:ind w:firstLine="0"/>
      </w:pPr>
    </w:p>
    <w:p w14:paraId="2312470C" w14:textId="77777777" w:rsidR="007075D9" w:rsidRPr="004D46AC" w:rsidRDefault="007075D9" w:rsidP="00CE2F7A">
      <w:pPr>
        <w:spacing w:line="240" w:lineRule="auto"/>
        <w:ind w:firstLine="0"/>
        <w:rPr>
          <w:rFonts w:eastAsiaTheme="minorEastAsia"/>
        </w:rPr>
      </w:pPr>
    </w:p>
    <w:p w14:paraId="0F3C6896" w14:textId="66B2B080" w:rsidR="007075D9" w:rsidRPr="004D46AC" w:rsidRDefault="009050EB" w:rsidP="009050EB">
      <w:pPr>
        <w:pStyle w:val="afff0"/>
        <w:spacing w:after="0"/>
        <w:ind w:firstLine="0"/>
        <w:rPr>
          <w:rFonts w:eastAsiaTheme="minorEastAsia"/>
          <w:b/>
          <w:bCs/>
          <w:i w:val="0"/>
          <w:iCs w:val="0"/>
          <w:color w:val="auto"/>
          <w:sz w:val="22"/>
          <w:szCs w:val="22"/>
        </w:rPr>
      </w:pPr>
      <w:bookmarkStart w:id="383" w:name="_Toc219870638"/>
      <w:bookmarkStart w:id="384" w:name="_Toc219885509"/>
      <w:r w:rsidRPr="004D46AC">
        <w:rPr>
          <w:b/>
          <w:bCs/>
          <w:i w:val="0"/>
          <w:iCs w:val="0"/>
          <w:color w:val="auto"/>
          <w:sz w:val="22"/>
          <w:szCs w:val="22"/>
        </w:rPr>
        <w:lastRenderedPageBreak/>
        <w:t xml:space="preserve">Table C </w:t>
      </w:r>
      <w:r w:rsidRPr="004D46AC">
        <w:rPr>
          <w:b/>
          <w:bCs/>
          <w:i w:val="0"/>
          <w:iCs w:val="0"/>
          <w:color w:val="auto"/>
          <w:sz w:val="22"/>
          <w:szCs w:val="22"/>
        </w:rPr>
        <w:fldChar w:fldCharType="begin"/>
      </w:r>
      <w:r w:rsidRPr="004D46AC">
        <w:rPr>
          <w:b/>
          <w:bCs/>
          <w:i w:val="0"/>
          <w:iCs w:val="0"/>
          <w:color w:val="auto"/>
          <w:sz w:val="22"/>
          <w:szCs w:val="22"/>
        </w:rPr>
        <w:instrText xml:space="preserve"> SEQ Table_C \* ARABIC </w:instrText>
      </w:r>
      <w:r w:rsidRPr="004D46AC">
        <w:rPr>
          <w:b/>
          <w:bCs/>
          <w:i w:val="0"/>
          <w:iCs w:val="0"/>
          <w:color w:val="auto"/>
          <w:sz w:val="22"/>
          <w:szCs w:val="22"/>
        </w:rPr>
        <w:fldChar w:fldCharType="separate"/>
      </w:r>
      <w:r w:rsidRPr="004D46AC">
        <w:rPr>
          <w:b/>
          <w:bCs/>
          <w:i w:val="0"/>
          <w:iCs w:val="0"/>
          <w:noProof/>
          <w:color w:val="auto"/>
          <w:sz w:val="22"/>
          <w:szCs w:val="22"/>
        </w:rPr>
        <w:t>6</w:t>
      </w:r>
      <w:bookmarkEnd w:id="383"/>
      <w:bookmarkEnd w:id="384"/>
      <w:r w:rsidRPr="004D46AC">
        <w:rPr>
          <w:b/>
          <w:bCs/>
          <w:i w:val="0"/>
          <w:iCs w:val="0"/>
          <w:color w:val="auto"/>
          <w:sz w:val="22"/>
          <w:szCs w:val="22"/>
        </w:rPr>
        <w:fldChar w:fldCharType="end"/>
      </w:r>
    </w:p>
    <w:p w14:paraId="1B84F213" w14:textId="77777777" w:rsidR="007075D9" w:rsidRPr="004D46AC" w:rsidRDefault="007075D9" w:rsidP="00CE2F7A">
      <w:pPr>
        <w:spacing w:line="240" w:lineRule="auto"/>
        <w:ind w:firstLine="0"/>
        <w:rPr>
          <w:i/>
          <w:iCs/>
        </w:rPr>
      </w:pPr>
      <w:r w:rsidRPr="004D46AC">
        <w:rPr>
          <w:i/>
          <w:iCs/>
        </w:rPr>
        <w:t>The ordered edge statistics of the edges with non-zero weight in network of SCA patients</w:t>
      </w:r>
    </w:p>
    <w:tbl>
      <w:tblPr>
        <w:tblStyle w:val="afc"/>
        <w:tblW w:w="7938" w:type="dxa"/>
        <w:tblLook w:val="04A0" w:firstRow="1" w:lastRow="0" w:firstColumn="1" w:lastColumn="0" w:noHBand="0" w:noVBand="1"/>
      </w:tblPr>
      <w:tblGrid>
        <w:gridCol w:w="1434"/>
        <w:gridCol w:w="1687"/>
        <w:gridCol w:w="1687"/>
        <w:gridCol w:w="1687"/>
        <w:gridCol w:w="1443"/>
      </w:tblGrid>
      <w:tr w:rsidR="007075D9" w:rsidRPr="004D46AC" w14:paraId="4D4C654E" w14:textId="77777777" w:rsidTr="00B518F1">
        <w:tc>
          <w:tcPr>
            <w:tcW w:w="1434" w:type="dxa"/>
            <w:vAlign w:val="center"/>
          </w:tcPr>
          <w:p w14:paraId="5647837D" w14:textId="77777777" w:rsidR="007075D9" w:rsidRPr="004D46AC" w:rsidRDefault="007075D9" w:rsidP="00CE2F7A">
            <w:pPr>
              <w:spacing w:line="240" w:lineRule="auto"/>
              <w:ind w:firstLine="0"/>
              <w:rPr>
                <w:b/>
                <w:bCs/>
              </w:rPr>
            </w:pPr>
            <w:r w:rsidRPr="004D46AC">
              <w:rPr>
                <w:rFonts w:eastAsia="DengXian"/>
                <w:b/>
                <w:bCs/>
                <w:color w:val="000000"/>
              </w:rPr>
              <w:t>Edge</w:t>
            </w:r>
          </w:p>
        </w:tc>
        <w:tc>
          <w:tcPr>
            <w:tcW w:w="1687" w:type="dxa"/>
            <w:vAlign w:val="center"/>
          </w:tcPr>
          <w:p w14:paraId="108C4248" w14:textId="77777777" w:rsidR="007075D9" w:rsidRPr="004D46AC" w:rsidRDefault="007075D9" w:rsidP="00CE2F7A">
            <w:pPr>
              <w:spacing w:line="240" w:lineRule="auto"/>
              <w:ind w:firstLine="0"/>
              <w:rPr>
                <w:b/>
                <w:bCs/>
                <w:i/>
                <w:iCs/>
              </w:rPr>
            </w:pPr>
            <w:r w:rsidRPr="004D46AC">
              <w:rPr>
                <w:b/>
                <w:bCs/>
                <w:i/>
                <w:iCs/>
              </w:rPr>
              <w:t>Weight</w:t>
            </w:r>
          </w:p>
        </w:tc>
        <w:tc>
          <w:tcPr>
            <w:tcW w:w="1687" w:type="dxa"/>
            <w:vAlign w:val="center"/>
          </w:tcPr>
          <w:p w14:paraId="6FD77EE6" w14:textId="77777777" w:rsidR="007075D9" w:rsidRPr="004D46AC" w:rsidRDefault="007075D9" w:rsidP="00CE2F7A">
            <w:pPr>
              <w:spacing w:line="240" w:lineRule="auto"/>
              <w:ind w:firstLine="0"/>
              <w:rPr>
                <w:b/>
                <w:bCs/>
              </w:rPr>
            </w:pPr>
            <w:r w:rsidRPr="004D46AC">
              <w:rPr>
                <w:rFonts w:eastAsia="DengXian"/>
                <w:b/>
                <w:bCs/>
                <w:i/>
                <w:iCs/>
                <w:color w:val="000000"/>
              </w:rPr>
              <w:t>BCI</w:t>
            </w:r>
            <w:r w:rsidRPr="004D46AC">
              <w:rPr>
                <w:rFonts w:eastAsia="DengXian"/>
                <w:b/>
                <w:bCs/>
                <w:color w:val="000000"/>
              </w:rPr>
              <w:t xml:space="preserve"> (lower)</w:t>
            </w:r>
          </w:p>
        </w:tc>
        <w:tc>
          <w:tcPr>
            <w:tcW w:w="1687" w:type="dxa"/>
            <w:vAlign w:val="center"/>
          </w:tcPr>
          <w:p w14:paraId="392C26FB" w14:textId="77777777" w:rsidR="007075D9" w:rsidRPr="004D46AC" w:rsidRDefault="007075D9" w:rsidP="00CE2F7A">
            <w:pPr>
              <w:spacing w:line="240" w:lineRule="auto"/>
              <w:ind w:firstLine="0"/>
              <w:rPr>
                <w:b/>
                <w:bCs/>
              </w:rPr>
            </w:pPr>
            <w:r w:rsidRPr="004D46AC">
              <w:rPr>
                <w:rFonts w:eastAsia="DengXian"/>
                <w:b/>
                <w:bCs/>
                <w:i/>
                <w:iCs/>
                <w:color w:val="000000"/>
              </w:rPr>
              <w:t>BCI</w:t>
            </w:r>
            <w:r w:rsidRPr="004D46AC">
              <w:rPr>
                <w:rFonts w:eastAsia="DengXian"/>
                <w:b/>
                <w:bCs/>
                <w:color w:val="000000"/>
              </w:rPr>
              <w:t xml:space="preserve"> (upper)</w:t>
            </w:r>
          </w:p>
        </w:tc>
        <w:tc>
          <w:tcPr>
            <w:tcW w:w="1443" w:type="dxa"/>
            <w:vAlign w:val="center"/>
          </w:tcPr>
          <w:p w14:paraId="6DE03489" w14:textId="77777777" w:rsidR="007075D9" w:rsidRPr="004D46AC" w:rsidRDefault="007075D9" w:rsidP="00CE2F7A">
            <w:pPr>
              <w:spacing w:line="240" w:lineRule="auto"/>
              <w:ind w:firstLine="0"/>
              <w:rPr>
                <w:b/>
                <w:bCs/>
                <w:i/>
                <w:iCs/>
              </w:rPr>
            </w:pPr>
            <w:r w:rsidRPr="004D46AC">
              <w:rPr>
                <w:rFonts w:eastAsia="DengXian"/>
                <w:b/>
                <w:bCs/>
                <w:i/>
                <w:iCs/>
                <w:color w:val="000000"/>
              </w:rPr>
              <w:t>P0</w:t>
            </w:r>
          </w:p>
        </w:tc>
      </w:tr>
      <w:tr w:rsidR="007075D9" w:rsidRPr="004D46AC" w14:paraId="1AF69BA1" w14:textId="77777777" w:rsidTr="00B518F1">
        <w:tc>
          <w:tcPr>
            <w:tcW w:w="1434" w:type="dxa"/>
            <w:vAlign w:val="center"/>
          </w:tcPr>
          <w:p w14:paraId="06D72CCB" w14:textId="77777777" w:rsidR="007075D9" w:rsidRPr="004D46AC" w:rsidRDefault="007075D9" w:rsidP="00CE2F7A">
            <w:pPr>
              <w:spacing w:line="240" w:lineRule="auto"/>
              <w:ind w:firstLine="0"/>
              <w:rPr>
                <w:b/>
                <w:bCs/>
                <w:i/>
                <w:iCs/>
              </w:rPr>
            </w:pPr>
            <w:r w:rsidRPr="004D46AC">
              <w:rPr>
                <w:rFonts w:eastAsia="DengXian"/>
                <w:color w:val="000000"/>
              </w:rPr>
              <w:t>N1--RC</w:t>
            </w:r>
          </w:p>
        </w:tc>
        <w:tc>
          <w:tcPr>
            <w:tcW w:w="1687" w:type="dxa"/>
            <w:vAlign w:val="center"/>
          </w:tcPr>
          <w:p w14:paraId="07DE17DB" w14:textId="77777777" w:rsidR="007075D9" w:rsidRPr="004D46AC" w:rsidRDefault="007075D9" w:rsidP="00CE2F7A">
            <w:pPr>
              <w:spacing w:line="240" w:lineRule="auto"/>
              <w:ind w:firstLine="0"/>
              <w:rPr>
                <w:b/>
                <w:bCs/>
                <w:i/>
                <w:iCs/>
              </w:rPr>
            </w:pPr>
            <w:r w:rsidRPr="004D46AC">
              <w:rPr>
                <w:color w:val="000000"/>
              </w:rPr>
              <w:t xml:space="preserve">0.39 </w:t>
            </w:r>
          </w:p>
        </w:tc>
        <w:tc>
          <w:tcPr>
            <w:tcW w:w="1687" w:type="dxa"/>
            <w:vAlign w:val="center"/>
          </w:tcPr>
          <w:p w14:paraId="6E45D132" w14:textId="77777777" w:rsidR="007075D9" w:rsidRPr="004D46AC" w:rsidRDefault="007075D9" w:rsidP="00CE2F7A">
            <w:pPr>
              <w:spacing w:line="240" w:lineRule="auto"/>
              <w:ind w:firstLine="0"/>
              <w:rPr>
                <w:b/>
                <w:bCs/>
                <w:i/>
                <w:iCs/>
              </w:rPr>
            </w:pPr>
            <w:r w:rsidRPr="004D46AC">
              <w:rPr>
                <w:color w:val="000000"/>
              </w:rPr>
              <w:t xml:space="preserve">0.32 </w:t>
            </w:r>
          </w:p>
        </w:tc>
        <w:tc>
          <w:tcPr>
            <w:tcW w:w="1687" w:type="dxa"/>
            <w:vAlign w:val="center"/>
          </w:tcPr>
          <w:p w14:paraId="0777648D" w14:textId="77777777" w:rsidR="007075D9" w:rsidRPr="004D46AC" w:rsidRDefault="007075D9" w:rsidP="00CE2F7A">
            <w:pPr>
              <w:spacing w:line="240" w:lineRule="auto"/>
              <w:ind w:firstLine="0"/>
              <w:rPr>
                <w:b/>
                <w:bCs/>
                <w:i/>
                <w:iCs/>
              </w:rPr>
            </w:pPr>
            <w:r w:rsidRPr="004D46AC">
              <w:rPr>
                <w:color w:val="000000"/>
              </w:rPr>
              <w:t xml:space="preserve">0.47 </w:t>
            </w:r>
          </w:p>
        </w:tc>
        <w:tc>
          <w:tcPr>
            <w:tcW w:w="1443" w:type="dxa"/>
            <w:vAlign w:val="center"/>
          </w:tcPr>
          <w:p w14:paraId="0A59329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DD5E760" w14:textId="77777777" w:rsidTr="00B518F1">
        <w:tc>
          <w:tcPr>
            <w:tcW w:w="1434" w:type="dxa"/>
            <w:vAlign w:val="center"/>
          </w:tcPr>
          <w:p w14:paraId="01BD41FD" w14:textId="77777777" w:rsidR="007075D9" w:rsidRPr="004D46AC" w:rsidRDefault="007075D9" w:rsidP="00CE2F7A">
            <w:pPr>
              <w:spacing w:line="240" w:lineRule="auto"/>
              <w:ind w:firstLine="0"/>
              <w:rPr>
                <w:b/>
                <w:bCs/>
                <w:i/>
                <w:iCs/>
              </w:rPr>
            </w:pPr>
            <w:r w:rsidRPr="004D46AC">
              <w:rPr>
                <w:rFonts w:eastAsia="DengXian"/>
                <w:color w:val="000000"/>
              </w:rPr>
              <w:t>P2--N7</w:t>
            </w:r>
          </w:p>
        </w:tc>
        <w:tc>
          <w:tcPr>
            <w:tcW w:w="1687" w:type="dxa"/>
            <w:vAlign w:val="center"/>
          </w:tcPr>
          <w:p w14:paraId="549939DC" w14:textId="77777777" w:rsidR="007075D9" w:rsidRPr="004D46AC" w:rsidRDefault="007075D9" w:rsidP="00CE2F7A">
            <w:pPr>
              <w:spacing w:line="240" w:lineRule="auto"/>
              <w:ind w:firstLine="0"/>
              <w:rPr>
                <w:b/>
                <w:bCs/>
                <w:i/>
                <w:iCs/>
              </w:rPr>
            </w:pPr>
            <w:r w:rsidRPr="004D46AC">
              <w:rPr>
                <w:color w:val="000000"/>
              </w:rPr>
              <w:t xml:space="preserve">0.29 </w:t>
            </w:r>
          </w:p>
        </w:tc>
        <w:tc>
          <w:tcPr>
            <w:tcW w:w="1687" w:type="dxa"/>
            <w:vAlign w:val="center"/>
          </w:tcPr>
          <w:p w14:paraId="154D9A8C" w14:textId="77777777" w:rsidR="007075D9" w:rsidRPr="004D46AC" w:rsidRDefault="007075D9" w:rsidP="00CE2F7A">
            <w:pPr>
              <w:spacing w:line="240" w:lineRule="auto"/>
              <w:ind w:firstLine="0"/>
              <w:rPr>
                <w:b/>
                <w:bCs/>
                <w:i/>
                <w:iCs/>
              </w:rPr>
            </w:pPr>
            <w:r w:rsidRPr="004D46AC">
              <w:rPr>
                <w:color w:val="000000"/>
              </w:rPr>
              <w:t xml:space="preserve">0.21 </w:t>
            </w:r>
          </w:p>
        </w:tc>
        <w:tc>
          <w:tcPr>
            <w:tcW w:w="1687" w:type="dxa"/>
            <w:vAlign w:val="center"/>
          </w:tcPr>
          <w:p w14:paraId="5D2EAD5F" w14:textId="77777777" w:rsidR="007075D9" w:rsidRPr="004D46AC" w:rsidRDefault="007075D9" w:rsidP="00CE2F7A">
            <w:pPr>
              <w:spacing w:line="240" w:lineRule="auto"/>
              <w:ind w:firstLine="0"/>
              <w:rPr>
                <w:b/>
                <w:bCs/>
                <w:i/>
                <w:iCs/>
              </w:rPr>
            </w:pPr>
            <w:r w:rsidRPr="004D46AC">
              <w:rPr>
                <w:color w:val="000000"/>
              </w:rPr>
              <w:t xml:space="preserve">0.36 </w:t>
            </w:r>
          </w:p>
        </w:tc>
        <w:tc>
          <w:tcPr>
            <w:tcW w:w="1443" w:type="dxa"/>
            <w:vAlign w:val="center"/>
          </w:tcPr>
          <w:p w14:paraId="62BDFE6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52157C4" w14:textId="77777777" w:rsidTr="00B518F1">
        <w:tc>
          <w:tcPr>
            <w:tcW w:w="1434" w:type="dxa"/>
            <w:vAlign w:val="center"/>
          </w:tcPr>
          <w:p w14:paraId="021A1091" w14:textId="77777777" w:rsidR="007075D9" w:rsidRPr="004D46AC" w:rsidRDefault="007075D9" w:rsidP="00CE2F7A">
            <w:pPr>
              <w:spacing w:line="240" w:lineRule="auto"/>
              <w:ind w:firstLine="0"/>
              <w:rPr>
                <w:b/>
                <w:bCs/>
                <w:i/>
                <w:iCs/>
              </w:rPr>
            </w:pPr>
            <w:r w:rsidRPr="004D46AC">
              <w:rPr>
                <w:rFonts w:eastAsia="DengXian"/>
                <w:color w:val="000000"/>
              </w:rPr>
              <w:t>ME--Y6</w:t>
            </w:r>
          </w:p>
        </w:tc>
        <w:tc>
          <w:tcPr>
            <w:tcW w:w="1687" w:type="dxa"/>
            <w:vAlign w:val="center"/>
          </w:tcPr>
          <w:p w14:paraId="3CFA311D" w14:textId="77777777" w:rsidR="007075D9" w:rsidRPr="004D46AC" w:rsidRDefault="007075D9" w:rsidP="00CE2F7A">
            <w:pPr>
              <w:spacing w:line="240" w:lineRule="auto"/>
              <w:ind w:firstLine="0"/>
              <w:rPr>
                <w:b/>
                <w:bCs/>
                <w:i/>
                <w:iCs/>
              </w:rPr>
            </w:pPr>
            <w:r w:rsidRPr="004D46AC">
              <w:rPr>
                <w:color w:val="000000"/>
              </w:rPr>
              <w:t xml:space="preserve">0.24 </w:t>
            </w:r>
          </w:p>
        </w:tc>
        <w:tc>
          <w:tcPr>
            <w:tcW w:w="1687" w:type="dxa"/>
            <w:vAlign w:val="center"/>
          </w:tcPr>
          <w:p w14:paraId="653B0658"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246F4286" w14:textId="77777777" w:rsidR="007075D9" w:rsidRPr="004D46AC" w:rsidRDefault="007075D9" w:rsidP="00CE2F7A">
            <w:pPr>
              <w:spacing w:line="240" w:lineRule="auto"/>
              <w:ind w:firstLine="0"/>
              <w:rPr>
                <w:b/>
                <w:bCs/>
                <w:i/>
                <w:iCs/>
              </w:rPr>
            </w:pPr>
            <w:r w:rsidRPr="004D46AC">
              <w:rPr>
                <w:color w:val="000000"/>
              </w:rPr>
              <w:t xml:space="preserve">0.32 </w:t>
            </w:r>
          </w:p>
        </w:tc>
        <w:tc>
          <w:tcPr>
            <w:tcW w:w="1443" w:type="dxa"/>
            <w:vAlign w:val="center"/>
          </w:tcPr>
          <w:p w14:paraId="5B57DF6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987831A" w14:textId="77777777" w:rsidTr="00B518F1">
        <w:tc>
          <w:tcPr>
            <w:tcW w:w="1434" w:type="dxa"/>
            <w:vAlign w:val="center"/>
          </w:tcPr>
          <w:p w14:paraId="7B30D7A3" w14:textId="77777777" w:rsidR="007075D9" w:rsidRPr="004D46AC" w:rsidRDefault="007075D9" w:rsidP="00CE2F7A">
            <w:pPr>
              <w:spacing w:line="240" w:lineRule="auto"/>
              <w:ind w:firstLine="0"/>
              <w:rPr>
                <w:b/>
                <w:bCs/>
                <w:i/>
                <w:iCs/>
              </w:rPr>
            </w:pPr>
            <w:r w:rsidRPr="004D46AC">
              <w:rPr>
                <w:rFonts w:eastAsia="DengXian"/>
                <w:color w:val="000000"/>
              </w:rPr>
              <w:t>M9--M10</w:t>
            </w:r>
          </w:p>
        </w:tc>
        <w:tc>
          <w:tcPr>
            <w:tcW w:w="1687" w:type="dxa"/>
            <w:vAlign w:val="center"/>
          </w:tcPr>
          <w:p w14:paraId="1BCD7576" w14:textId="77777777" w:rsidR="007075D9" w:rsidRPr="004D46AC" w:rsidRDefault="007075D9" w:rsidP="00CE2F7A">
            <w:pPr>
              <w:spacing w:line="240" w:lineRule="auto"/>
              <w:ind w:firstLine="0"/>
              <w:rPr>
                <w:b/>
                <w:bCs/>
                <w:i/>
                <w:iCs/>
              </w:rPr>
            </w:pPr>
            <w:r w:rsidRPr="004D46AC">
              <w:rPr>
                <w:color w:val="000000"/>
              </w:rPr>
              <w:t xml:space="preserve">0.22 </w:t>
            </w:r>
          </w:p>
        </w:tc>
        <w:tc>
          <w:tcPr>
            <w:tcW w:w="1687" w:type="dxa"/>
            <w:vAlign w:val="center"/>
          </w:tcPr>
          <w:p w14:paraId="3420036A"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4B2FC14A" w14:textId="77777777" w:rsidR="007075D9" w:rsidRPr="004D46AC" w:rsidRDefault="007075D9" w:rsidP="00CE2F7A">
            <w:pPr>
              <w:spacing w:line="240" w:lineRule="auto"/>
              <w:ind w:firstLine="0"/>
              <w:rPr>
                <w:b/>
                <w:bCs/>
                <w:i/>
                <w:iCs/>
              </w:rPr>
            </w:pPr>
            <w:r w:rsidRPr="004D46AC">
              <w:rPr>
                <w:color w:val="000000"/>
              </w:rPr>
              <w:t xml:space="preserve">0.30 </w:t>
            </w:r>
          </w:p>
        </w:tc>
        <w:tc>
          <w:tcPr>
            <w:tcW w:w="1443" w:type="dxa"/>
            <w:vAlign w:val="center"/>
          </w:tcPr>
          <w:p w14:paraId="02170E2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763727F" w14:textId="77777777" w:rsidTr="00B518F1">
        <w:tc>
          <w:tcPr>
            <w:tcW w:w="1434" w:type="dxa"/>
            <w:vAlign w:val="center"/>
          </w:tcPr>
          <w:p w14:paraId="6EBD6379" w14:textId="77777777" w:rsidR="007075D9" w:rsidRPr="004D46AC" w:rsidRDefault="007075D9" w:rsidP="00CE2F7A">
            <w:pPr>
              <w:spacing w:line="240" w:lineRule="auto"/>
              <w:ind w:firstLine="0"/>
              <w:rPr>
                <w:b/>
                <w:bCs/>
                <w:i/>
                <w:iCs/>
              </w:rPr>
            </w:pPr>
            <w:r w:rsidRPr="004D46AC">
              <w:rPr>
                <w:rFonts w:eastAsia="DengXian"/>
                <w:color w:val="000000"/>
              </w:rPr>
              <w:t>M8--M9</w:t>
            </w:r>
          </w:p>
        </w:tc>
        <w:tc>
          <w:tcPr>
            <w:tcW w:w="1687" w:type="dxa"/>
            <w:vAlign w:val="center"/>
          </w:tcPr>
          <w:p w14:paraId="729E006E" w14:textId="77777777" w:rsidR="007075D9" w:rsidRPr="004D46AC" w:rsidRDefault="007075D9" w:rsidP="00CE2F7A">
            <w:pPr>
              <w:spacing w:line="240" w:lineRule="auto"/>
              <w:ind w:firstLine="0"/>
              <w:rPr>
                <w:b/>
                <w:bCs/>
                <w:i/>
                <w:iCs/>
              </w:rPr>
            </w:pPr>
            <w:r w:rsidRPr="004D46AC">
              <w:rPr>
                <w:color w:val="000000"/>
              </w:rPr>
              <w:t xml:space="preserve">0.21 </w:t>
            </w:r>
          </w:p>
        </w:tc>
        <w:tc>
          <w:tcPr>
            <w:tcW w:w="1687" w:type="dxa"/>
            <w:vAlign w:val="center"/>
          </w:tcPr>
          <w:p w14:paraId="32837652"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785EF317" w14:textId="77777777" w:rsidR="007075D9" w:rsidRPr="004D46AC" w:rsidRDefault="007075D9" w:rsidP="00CE2F7A">
            <w:pPr>
              <w:spacing w:line="240" w:lineRule="auto"/>
              <w:ind w:firstLine="0"/>
              <w:rPr>
                <w:b/>
                <w:bCs/>
                <w:i/>
                <w:iCs/>
              </w:rPr>
            </w:pPr>
            <w:r w:rsidRPr="004D46AC">
              <w:rPr>
                <w:color w:val="000000"/>
              </w:rPr>
              <w:t xml:space="preserve">0.29 </w:t>
            </w:r>
          </w:p>
        </w:tc>
        <w:tc>
          <w:tcPr>
            <w:tcW w:w="1443" w:type="dxa"/>
            <w:vAlign w:val="center"/>
          </w:tcPr>
          <w:p w14:paraId="6DA0A83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D23C0CF" w14:textId="77777777" w:rsidTr="00B518F1">
        <w:tc>
          <w:tcPr>
            <w:tcW w:w="1434" w:type="dxa"/>
            <w:vAlign w:val="center"/>
          </w:tcPr>
          <w:p w14:paraId="4D2C447C" w14:textId="77777777" w:rsidR="007075D9" w:rsidRPr="004D46AC" w:rsidRDefault="007075D9" w:rsidP="00CE2F7A">
            <w:pPr>
              <w:spacing w:line="240" w:lineRule="auto"/>
              <w:ind w:firstLine="0"/>
              <w:rPr>
                <w:b/>
                <w:bCs/>
                <w:i/>
                <w:iCs/>
              </w:rPr>
            </w:pPr>
            <w:r w:rsidRPr="004D46AC">
              <w:rPr>
                <w:rFonts w:eastAsia="DengXian"/>
                <w:color w:val="000000"/>
              </w:rPr>
              <w:t>Y6--Y7</w:t>
            </w:r>
          </w:p>
        </w:tc>
        <w:tc>
          <w:tcPr>
            <w:tcW w:w="1687" w:type="dxa"/>
            <w:vAlign w:val="center"/>
          </w:tcPr>
          <w:p w14:paraId="364C146D" w14:textId="77777777" w:rsidR="007075D9" w:rsidRPr="004D46AC" w:rsidRDefault="007075D9" w:rsidP="00CE2F7A">
            <w:pPr>
              <w:spacing w:line="240" w:lineRule="auto"/>
              <w:ind w:firstLine="0"/>
              <w:rPr>
                <w:b/>
                <w:bCs/>
                <w:i/>
                <w:iCs/>
              </w:rPr>
            </w:pPr>
            <w:r w:rsidRPr="004D46AC">
              <w:rPr>
                <w:color w:val="000000"/>
              </w:rPr>
              <w:t xml:space="preserve">0.21 </w:t>
            </w:r>
          </w:p>
        </w:tc>
        <w:tc>
          <w:tcPr>
            <w:tcW w:w="1687" w:type="dxa"/>
            <w:vAlign w:val="center"/>
          </w:tcPr>
          <w:p w14:paraId="1FB86919"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00A4B336" w14:textId="77777777" w:rsidR="007075D9" w:rsidRPr="004D46AC" w:rsidRDefault="007075D9" w:rsidP="00CE2F7A">
            <w:pPr>
              <w:spacing w:line="240" w:lineRule="auto"/>
              <w:ind w:firstLine="0"/>
              <w:rPr>
                <w:b/>
                <w:bCs/>
                <w:i/>
                <w:iCs/>
              </w:rPr>
            </w:pPr>
            <w:r w:rsidRPr="004D46AC">
              <w:rPr>
                <w:color w:val="000000"/>
              </w:rPr>
              <w:t xml:space="preserve">0.29 </w:t>
            </w:r>
          </w:p>
        </w:tc>
        <w:tc>
          <w:tcPr>
            <w:tcW w:w="1443" w:type="dxa"/>
            <w:vAlign w:val="center"/>
          </w:tcPr>
          <w:p w14:paraId="497BCAE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A2AF572" w14:textId="77777777" w:rsidTr="00B518F1">
        <w:tc>
          <w:tcPr>
            <w:tcW w:w="1434" w:type="dxa"/>
            <w:vAlign w:val="center"/>
          </w:tcPr>
          <w:p w14:paraId="4FA88FAD" w14:textId="77777777" w:rsidR="007075D9" w:rsidRPr="004D46AC" w:rsidRDefault="007075D9" w:rsidP="00CE2F7A">
            <w:pPr>
              <w:spacing w:line="240" w:lineRule="auto"/>
              <w:ind w:firstLine="0"/>
              <w:rPr>
                <w:b/>
                <w:bCs/>
                <w:i/>
                <w:iCs/>
              </w:rPr>
            </w:pPr>
            <w:r w:rsidRPr="004D46AC">
              <w:rPr>
                <w:rFonts w:eastAsia="DengXian"/>
                <w:color w:val="000000"/>
              </w:rPr>
              <w:t>P6--WD</w:t>
            </w:r>
          </w:p>
        </w:tc>
        <w:tc>
          <w:tcPr>
            <w:tcW w:w="1687" w:type="dxa"/>
            <w:vAlign w:val="center"/>
          </w:tcPr>
          <w:p w14:paraId="109CCED2" w14:textId="77777777" w:rsidR="007075D9" w:rsidRPr="004D46AC" w:rsidRDefault="007075D9" w:rsidP="00CE2F7A">
            <w:pPr>
              <w:spacing w:line="240" w:lineRule="auto"/>
              <w:ind w:firstLine="0"/>
              <w:rPr>
                <w:b/>
                <w:bCs/>
                <w:i/>
                <w:iCs/>
              </w:rPr>
            </w:pPr>
            <w:r w:rsidRPr="004D46AC">
              <w:rPr>
                <w:color w:val="000000"/>
              </w:rPr>
              <w:t xml:space="preserve">0.21 </w:t>
            </w:r>
          </w:p>
        </w:tc>
        <w:tc>
          <w:tcPr>
            <w:tcW w:w="1687" w:type="dxa"/>
            <w:vAlign w:val="center"/>
          </w:tcPr>
          <w:p w14:paraId="6AB70223"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09D9ED3B" w14:textId="77777777" w:rsidR="007075D9" w:rsidRPr="004D46AC" w:rsidRDefault="007075D9" w:rsidP="00CE2F7A">
            <w:pPr>
              <w:spacing w:line="240" w:lineRule="auto"/>
              <w:ind w:firstLine="0"/>
              <w:rPr>
                <w:b/>
                <w:bCs/>
                <w:i/>
                <w:iCs/>
              </w:rPr>
            </w:pPr>
            <w:r w:rsidRPr="004D46AC">
              <w:rPr>
                <w:color w:val="000000"/>
              </w:rPr>
              <w:t xml:space="preserve">0.28 </w:t>
            </w:r>
          </w:p>
        </w:tc>
        <w:tc>
          <w:tcPr>
            <w:tcW w:w="1443" w:type="dxa"/>
            <w:vAlign w:val="center"/>
          </w:tcPr>
          <w:p w14:paraId="086EB53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1D049DA" w14:textId="77777777" w:rsidTr="00B518F1">
        <w:tc>
          <w:tcPr>
            <w:tcW w:w="1434" w:type="dxa"/>
            <w:vAlign w:val="center"/>
          </w:tcPr>
          <w:p w14:paraId="7D16D08E" w14:textId="77777777" w:rsidR="007075D9" w:rsidRPr="004D46AC" w:rsidRDefault="007075D9" w:rsidP="00CE2F7A">
            <w:pPr>
              <w:spacing w:line="240" w:lineRule="auto"/>
              <w:ind w:firstLine="0"/>
              <w:rPr>
                <w:b/>
                <w:bCs/>
                <w:i/>
                <w:iCs/>
              </w:rPr>
            </w:pPr>
            <w:r w:rsidRPr="004D46AC">
              <w:rPr>
                <w:rFonts w:eastAsia="DengXian"/>
                <w:color w:val="000000"/>
              </w:rPr>
              <w:t>M7--M8</w:t>
            </w:r>
          </w:p>
        </w:tc>
        <w:tc>
          <w:tcPr>
            <w:tcW w:w="1687" w:type="dxa"/>
            <w:vAlign w:val="center"/>
          </w:tcPr>
          <w:p w14:paraId="6F4BD5FD" w14:textId="77777777" w:rsidR="007075D9" w:rsidRPr="004D46AC" w:rsidRDefault="007075D9" w:rsidP="00CE2F7A">
            <w:pPr>
              <w:spacing w:line="240" w:lineRule="auto"/>
              <w:ind w:firstLine="0"/>
              <w:rPr>
                <w:b/>
                <w:bCs/>
                <w:i/>
                <w:iCs/>
              </w:rPr>
            </w:pPr>
            <w:r w:rsidRPr="004D46AC">
              <w:rPr>
                <w:color w:val="000000"/>
              </w:rPr>
              <w:t xml:space="preserve">0.21 </w:t>
            </w:r>
          </w:p>
        </w:tc>
        <w:tc>
          <w:tcPr>
            <w:tcW w:w="1687" w:type="dxa"/>
            <w:vAlign w:val="center"/>
          </w:tcPr>
          <w:p w14:paraId="4B5D353C"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51D00F0B" w14:textId="77777777" w:rsidR="007075D9" w:rsidRPr="004D46AC" w:rsidRDefault="007075D9" w:rsidP="00CE2F7A">
            <w:pPr>
              <w:spacing w:line="240" w:lineRule="auto"/>
              <w:ind w:firstLine="0"/>
              <w:rPr>
                <w:b/>
                <w:bCs/>
                <w:i/>
                <w:iCs/>
              </w:rPr>
            </w:pPr>
            <w:r w:rsidRPr="004D46AC">
              <w:rPr>
                <w:color w:val="000000"/>
              </w:rPr>
              <w:t xml:space="preserve">0.29 </w:t>
            </w:r>
          </w:p>
        </w:tc>
        <w:tc>
          <w:tcPr>
            <w:tcW w:w="1443" w:type="dxa"/>
            <w:vAlign w:val="center"/>
          </w:tcPr>
          <w:p w14:paraId="35DE077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95E5D1D" w14:textId="77777777" w:rsidTr="00B518F1">
        <w:tc>
          <w:tcPr>
            <w:tcW w:w="1434" w:type="dxa"/>
            <w:vAlign w:val="center"/>
          </w:tcPr>
          <w:p w14:paraId="4EADF4D4" w14:textId="77777777" w:rsidR="007075D9" w:rsidRPr="004D46AC" w:rsidRDefault="007075D9" w:rsidP="00CE2F7A">
            <w:pPr>
              <w:spacing w:line="240" w:lineRule="auto"/>
              <w:ind w:firstLine="0"/>
              <w:rPr>
                <w:b/>
                <w:bCs/>
                <w:i/>
                <w:iCs/>
              </w:rPr>
            </w:pPr>
            <w:r w:rsidRPr="004D46AC">
              <w:rPr>
                <w:rFonts w:eastAsia="DengXian"/>
                <w:color w:val="000000"/>
              </w:rPr>
              <w:t>WD--M8</w:t>
            </w:r>
          </w:p>
        </w:tc>
        <w:tc>
          <w:tcPr>
            <w:tcW w:w="1687" w:type="dxa"/>
            <w:vAlign w:val="center"/>
          </w:tcPr>
          <w:p w14:paraId="0296518B" w14:textId="77777777" w:rsidR="007075D9" w:rsidRPr="004D46AC" w:rsidRDefault="007075D9" w:rsidP="00CE2F7A">
            <w:pPr>
              <w:spacing w:line="240" w:lineRule="auto"/>
              <w:ind w:firstLine="0"/>
              <w:rPr>
                <w:b/>
                <w:bCs/>
                <w:i/>
                <w:iCs/>
              </w:rPr>
            </w:pPr>
            <w:r w:rsidRPr="004D46AC">
              <w:rPr>
                <w:color w:val="000000"/>
              </w:rPr>
              <w:t xml:space="preserve">0.21 </w:t>
            </w:r>
          </w:p>
        </w:tc>
        <w:tc>
          <w:tcPr>
            <w:tcW w:w="1687" w:type="dxa"/>
            <w:vAlign w:val="center"/>
          </w:tcPr>
          <w:p w14:paraId="5BC303E2"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6378CC65" w14:textId="77777777" w:rsidR="007075D9" w:rsidRPr="004D46AC" w:rsidRDefault="007075D9" w:rsidP="00CE2F7A">
            <w:pPr>
              <w:spacing w:line="240" w:lineRule="auto"/>
              <w:ind w:firstLine="0"/>
              <w:rPr>
                <w:b/>
                <w:bCs/>
                <w:i/>
                <w:iCs/>
              </w:rPr>
            </w:pPr>
            <w:r w:rsidRPr="004D46AC">
              <w:rPr>
                <w:color w:val="000000"/>
              </w:rPr>
              <w:t xml:space="preserve">0.27 </w:t>
            </w:r>
          </w:p>
        </w:tc>
        <w:tc>
          <w:tcPr>
            <w:tcW w:w="1443" w:type="dxa"/>
            <w:vAlign w:val="center"/>
          </w:tcPr>
          <w:p w14:paraId="2C4620A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2258626" w14:textId="77777777" w:rsidTr="00B518F1">
        <w:tc>
          <w:tcPr>
            <w:tcW w:w="1434" w:type="dxa"/>
            <w:vAlign w:val="center"/>
          </w:tcPr>
          <w:p w14:paraId="5426E3D9" w14:textId="77777777" w:rsidR="007075D9" w:rsidRPr="004D46AC" w:rsidRDefault="007075D9" w:rsidP="00CE2F7A">
            <w:pPr>
              <w:spacing w:line="240" w:lineRule="auto"/>
              <w:ind w:firstLine="0"/>
              <w:rPr>
                <w:b/>
                <w:bCs/>
                <w:i/>
                <w:iCs/>
              </w:rPr>
            </w:pPr>
            <w:r w:rsidRPr="004D46AC">
              <w:rPr>
                <w:rFonts w:eastAsia="DengXian"/>
                <w:color w:val="000000"/>
              </w:rPr>
              <w:t>M5--SP</w:t>
            </w:r>
          </w:p>
        </w:tc>
        <w:tc>
          <w:tcPr>
            <w:tcW w:w="1687" w:type="dxa"/>
            <w:vAlign w:val="center"/>
          </w:tcPr>
          <w:p w14:paraId="72FFCC27" w14:textId="77777777" w:rsidR="007075D9" w:rsidRPr="004D46AC" w:rsidRDefault="007075D9" w:rsidP="00CE2F7A">
            <w:pPr>
              <w:spacing w:line="240" w:lineRule="auto"/>
              <w:ind w:firstLine="0"/>
              <w:rPr>
                <w:b/>
                <w:bCs/>
                <w:i/>
                <w:iCs/>
              </w:rPr>
            </w:pPr>
            <w:r w:rsidRPr="004D46AC">
              <w:rPr>
                <w:color w:val="000000"/>
              </w:rPr>
              <w:t xml:space="preserve">0.20 </w:t>
            </w:r>
          </w:p>
        </w:tc>
        <w:tc>
          <w:tcPr>
            <w:tcW w:w="1687" w:type="dxa"/>
            <w:vAlign w:val="center"/>
          </w:tcPr>
          <w:p w14:paraId="5A47E994"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13D8C4E2" w14:textId="77777777" w:rsidR="007075D9" w:rsidRPr="004D46AC" w:rsidRDefault="007075D9" w:rsidP="00CE2F7A">
            <w:pPr>
              <w:spacing w:line="240" w:lineRule="auto"/>
              <w:ind w:firstLine="0"/>
              <w:rPr>
                <w:b/>
                <w:bCs/>
                <w:i/>
                <w:iCs/>
              </w:rPr>
            </w:pPr>
            <w:r w:rsidRPr="004D46AC">
              <w:rPr>
                <w:color w:val="000000"/>
              </w:rPr>
              <w:t xml:space="preserve">0.28 </w:t>
            </w:r>
          </w:p>
        </w:tc>
        <w:tc>
          <w:tcPr>
            <w:tcW w:w="1443" w:type="dxa"/>
            <w:vAlign w:val="center"/>
          </w:tcPr>
          <w:p w14:paraId="7E05DE1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FCE334F" w14:textId="77777777" w:rsidTr="00B518F1">
        <w:tc>
          <w:tcPr>
            <w:tcW w:w="1434" w:type="dxa"/>
            <w:vAlign w:val="center"/>
          </w:tcPr>
          <w:p w14:paraId="34983466" w14:textId="77777777" w:rsidR="007075D9" w:rsidRPr="004D46AC" w:rsidRDefault="007075D9" w:rsidP="00CE2F7A">
            <w:pPr>
              <w:spacing w:line="240" w:lineRule="auto"/>
              <w:ind w:firstLine="0"/>
              <w:rPr>
                <w:b/>
                <w:bCs/>
                <w:i/>
                <w:iCs/>
              </w:rPr>
            </w:pPr>
            <w:r w:rsidRPr="004D46AC">
              <w:rPr>
                <w:rFonts w:eastAsia="DengXian"/>
                <w:color w:val="000000"/>
              </w:rPr>
              <w:t>IA--M3</w:t>
            </w:r>
          </w:p>
        </w:tc>
        <w:tc>
          <w:tcPr>
            <w:tcW w:w="1687" w:type="dxa"/>
            <w:vAlign w:val="center"/>
          </w:tcPr>
          <w:p w14:paraId="4E1F09AA"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17C2AC15"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225055A2" w14:textId="77777777" w:rsidR="007075D9" w:rsidRPr="004D46AC" w:rsidRDefault="007075D9" w:rsidP="00CE2F7A">
            <w:pPr>
              <w:spacing w:line="240" w:lineRule="auto"/>
              <w:ind w:firstLine="0"/>
              <w:rPr>
                <w:b/>
                <w:bCs/>
                <w:i/>
                <w:iCs/>
              </w:rPr>
            </w:pPr>
            <w:r w:rsidRPr="004D46AC">
              <w:rPr>
                <w:color w:val="000000"/>
              </w:rPr>
              <w:t xml:space="preserve">0.27 </w:t>
            </w:r>
          </w:p>
        </w:tc>
        <w:tc>
          <w:tcPr>
            <w:tcW w:w="1443" w:type="dxa"/>
            <w:vAlign w:val="center"/>
          </w:tcPr>
          <w:p w14:paraId="7EF1DD9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04C5AFD" w14:textId="77777777" w:rsidTr="00B518F1">
        <w:tc>
          <w:tcPr>
            <w:tcW w:w="1434" w:type="dxa"/>
            <w:vAlign w:val="center"/>
          </w:tcPr>
          <w:p w14:paraId="44932E8C" w14:textId="77777777" w:rsidR="007075D9" w:rsidRPr="004D46AC" w:rsidRDefault="007075D9" w:rsidP="00CE2F7A">
            <w:pPr>
              <w:spacing w:line="240" w:lineRule="auto"/>
              <w:ind w:firstLine="0"/>
              <w:rPr>
                <w:b/>
                <w:bCs/>
                <w:i/>
                <w:iCs/>
              </w:rPr>
            </w:pPr>
            <w:r w:rsidRPr="004D46AC">
              <w:rPr>
                <w:rFonts w:eastAsia="DengXian"/>
                <w:color w:val="000000"/>
              </w:rPr>
              <w:t>P3--P6</w:t>
            </w:r>
          </w:p>
        </w:tc>
        <w:tc>
          <w:tcPr>
            <w:tcW w:w="1687" w:type="dxa"/>
            <w:vAlign w:val="center"/>
          </w:tcPr>
          <w:p w14:paraId="5D6D8A53"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4E606758"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636988F6" w14:textId="77777777" w:rsidR="007075D9" w:rsidRPr="004D46AC" w:rsidRDefault="007075D9" w:rsidP="00CE2F7A">
            <w:pPr>
              <w:spacing w:line="240" w:lineRule="auto"/>
              <w:ind w:firstLine="0"/>
              <w:rPr>
                <w:b/>
                <w:bCs/>
                <w:i/>
                <w:iCs/>
              </w:rPr>
            </w:pPr>
            <w:r w:rsidRPr="004D46AC">
              <w:rPr>
                <w:color w:val="000000"/>
              </w:rPr>
              <w:t xml:space="preserve">0.26 </w:t>
            </w:r>
          </w:p>
        </w:tc>
        <w:tc>
          <w:tcPr>
            <w:tcW w:w="1443" w:type="dxa"/>
            <w:vAlign w:val="center"/>
          </w:tcPr>
          <w:p w14:paraId="62B8381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4805A3A" w14:textId="77777777" w:rsidTr="00B518F1">
        <w:tc>
          <w:tcPr>
            <w:tcW w:w="1434" w:type="dxa"/>
            <w:vAlign w:val="center"/>
          </w:tcPr>
          <w:p w14:paraId="1C4B8231" w14:textId="77777777" w:rsidR="007075D9" w:rsidRPr="004D46AC" w:rsidRDefault="007075D9" w:rsidP="00CE2F7A">
            <w:pPr>
              <w:spacing w:line="240" w:lineRule="auto"/>
              <w:ind w:firstLine="0"/>
              <w:rPr>
                <w:b/>
                <w:bCs/>
                <w:i/>
                <w:iCs/>
              </w:rPr>
            </w:pPr>
            <w:r w:rsidRPr="004D46AC">
              <w:rPr>
                <w:rFonts w:eastAsia="DengXian"/>
                <w:color w:val="000000"/>
              </w:rPr>
              <w:t>M2--M8</w:t>
            </w:r>
          </w:p>
        </w:tc>
        <w:tc>
          <w:tcPr>
            <w:tcW w:w="1687" w:type="dxa"/>
            <w:vAlign w:val="center"/>
          </w:tcPr>
          <w:p w14:paraId="17CE42F5"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5EEB6A79"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08608A03" w14:textId="77777777" w:rsidR="007075D9" w:rsidRPr="004D46AC" w:rsidRDefault="007075D9" w:rsidP="00CE2F7A">
            <w:pPr>
              <w:spacing w:line="240" w:lineRule="auto"/>
              <w:ind w:firstLine="0"/>
              <w:rPr>
                <w:b/>
                <w:bCs/>
                <w:i/>
                <w:iCs/>
              </w:rPr>
            </w:pPr>
            <w:r w:rsidRPr="004D46AC">
              <w:rPr>
                <w:color w:val="000000"/>
              </w:rPr>
              <w:t xml:space="preserve">0.26 </w:t>
            </w:r>
          </w:p>
        </w:tc>
        <w:tc>
          <w:tcPr>
            <w:tcW w:w="1443" w:type="dxa"/>
            <w:vAlign w:val="center"/>
          </w:tcPr>
          <w:p w14:paraId="7A9B57B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FF052C5" w14:textId="77777777" w:rsidTr="00B518F1">
        <w:tc>
          <w:tcPr>
            <w:tcW w:w="1434" w:type="dxa"/>
            <w:vAlign w:val="center"/>
          </w:tcPr>
          <w:p w14:paraId="3B1221A3" w14:textId="77777777" w:rsidR="007075D9" w:rsidRPr="004D46AC" w:rsidRDefault="007075D9" w:rsidP="00CE2F7A">
            <w:pPr>
              <w:spacing w:line="240" w:lineRule="auto"/>
              <w:ind w:firstLine="0"/>
              <w:rPr>
                <w:b/>
                <w:bCs/>
                <w:i/>
                <w:iCs/>
              </w:rPr>
            </w:pPr>
            <w:r w:rsidRPr="004D46AC">
              <w:rPr>
                <w:rFonts w:eastAsia="DengXian"/>
                <w:color w:val="000000"/>
              </w:rPr>
              <w:t>M2--M10</w:t>
            </w:r>
          </w:p>
        </w:tc>
        <w:tc>
          <w:tcPr>
            <w:tcW w:w="1687" w:type="dxa"/>
            <w:vAlign w:val="center"/>
          </w:tcPr>
          <w:p w14:paraId="41A13764" w14:textId="77777777" w:rsidR="007075D9" w:rsidRPr="004D46AC" w:rsidRDefault="007075D9" w:rsidP="00CE2F7A">
            <w:pPr>
              <w:spacing w:line="240" w:lineRule="auto"/>
              <w:ind w:firstLine="0"/>
              <w:rPr>
                <w:b/>
                <w:bCs/>
                <w:i/>
                <w:iCs/>
              </w:rPr>
            </w:pPr>
            <w:r w:rsidRPr="004D46AC">
              <w:rPr>
                <w:color w:val="000000"/>
              </w:rPr>
              <w:t xml:space="preserve">0.18 </w:t>
            </w:r>
          </w:p>
        </w:tc>
        <w:tc>
          <w:tcPr>
            <w:tcW w:w="1687" w:type="dxa"/>
            <w:vAlign w:val="center"/>
          </w:tcPr>
          <w:p w14:paraId="60D6D49D"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2CA76A58" w14:textId="77777777" w:rsidR="007075D9" w:rsidRPr="004D46AC" w:rsidRDefault="007075D9" w:rsidP="00CE2F7A">
            <w:pPr>
              <w:spacing w:line="240" w:lineRule="auto"/>
              <w:ind w:firstLine="0"/>
              <w:rPr>
                <w:b/>
                <w:bCs/>
                <w:i/>
                <w:iCs/>
              </w:rPr>
            </w:pPr>
            <w:r w:rsidRPr="004D46AC">
              <w:rPr>
                <w:color w:val="000000"/>
              </w:rPr>
              <w:t xml:space="preserve">0.25 </w:t>
            </w:r>
          </w:p>
        </w:tc>
        <w:tc>
          <w:tcPr>
            <w:tcW w:w="1443" w:type="dxa"/>
            <w:vAlign w:val="center"/>
          </w:tcPr>
          <w:p w14:paraId="2DA78D9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4CBBC8A" w14:textId="77777777" w:rsidTr="00B518F1">
        <w:tc>
          <w:tcPr>
            <w:tcW w:w="1434" w:type="dxa"/>
            <w:vAlign w:val="center"/>
          </w:tcPr>
          <w:p w14:paraId="11A412C8" w14:textId="77777777" w:rsidR="007075D9" w:rsidRPr="004D46AC" w:rsidRDefault="007075D9" w:rsidP="00CE2F7A">
            <w:pPr>
              <w:spacing w:line="240" w:lineRule="auto"/>
              <w:ind w:firstLine="0"/>
              <w:rPr>
                <w:b/>
                <w:bCs/>
                <w:i/>
                <w:iCs/>
              </w:rPr>
            </w:pPr>
            <w:r w:rsidRPr="004D46AC">
              <w:rPr>
                <w:rFonts w:eastAsia="DengXian"/>
                <w:color w:val="000000"/>
              </w:rPr>
              <w:t>N5--N7</w:t>
            </w:r>
          </w:p>
        </w:tc>
        <w:tc>
          <w:tcPr>
            <w:tcW w:w="1687" w:type="dxa"/>
            <w:vAlign w:val="center"/>
          </w:tcPr>
          <w:p w14:paraId="5E713382"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37D1EC8D"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0B6CAD66" w14:textId="77777777" w:rsidR="007075D9" w:rsidRPr="004D46AC" w:rsidRDefault="007075D9" w:rsidP="00CE2F7A">
            <w:pPr>
              <w:spacing w:line="240" w:lineRule="auto"/>
              <w:ind w:firstLine="0"/>
              <w:rPr>
                <w:b/>
                <w:bCs/>
                <w:i/>
                <w:iCs/>
              </w:rPr>
            </w:pPr>
            <w:r w:rsidRPr="004D46AC">
              <w:rPr>
                <w:color w:val="000000"/>
              </w:rPr>
              <w:t xml:space="preserve">0.24 </w:t>
            </w:r>
          </w:p>
        </w:tc>
        <w:tc>
          <w:tcPr>
            <w:tcW w:w="1443" w:type="dxa"/>
            <w:vAlign w:val="center"/>
          </w:tcPr>
          <w:p w14:paraId="6344E32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C383A0D" w14:textId="77777777" w:rsidTr="00B518F1">
        <w:tc>
          <w:tcPr>
            <w:tcW w:w="1434" w:type="dxa"/>
            <w:vAlign w:val="center"/>
          </w:tcPr>
          <w:p w14:paraId="770CE4C1" w14:textId="77777777" w:rsidR="007075D9" w:rsidRPr="004D46AC" w:rsidRDefault="007075D9" w:rsidP="00CE2F7A">
            <w:pPr>
              <w:spacing w:line="240" w:lineRule="auto"/>
              <w:ind w:firstLine="0"/>
              <w:rPr>
                <w:b/>
                <w:bCs/>
                <w:i/>
                <w:iCs/>
              </w:rPr>
            </w:pPr>
            <w:r w:rsidRPr="004D46AC">
              <w:rPr>
                <w:rFonts w:eastAsia="DengXian"/>
                <w:color w:val="000000"/>
              </w:rPr>
              <w:t>P2--N5</w:t>
            </w:r>
          </w:p>
        </w:tc>
        <w:tc>
          <w:tcPr>
            <w:tcW w:w="1687" w:type="dxa"/>
            <w:vAlign w:val="center"/>
          </w:tcPr>
          <w:p w14:paraId="44B0AC29"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48C97809"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740ED49F" w14:textId="77777777" w:rsidR="007075D9" w:rsidRPr="004D46AC" w:rsidRDefault="007075D9" w:rsidP="00CE2F7A">
            <w:pPr>
              <w:spacing w:line="240" w:lineRule="auto"/>
              <w:ind w:firstLine="0"/>
              <w:rPr>
                <w:b/>
                <w:bCs/>
                <w:i/>
                <w:iCs/>
              </w:rPr>
            </w:pPr>
            <w:r w:rsidRPr="004D46AC">
              <w:rPr>
                <w:color w:val="000000"/>
              </w:rPr>
              <w:t xml:space="preserve">0.25 </w:t>
            </w:r>
          </w:p>
        </w:tc>
        <w:tc>
          <w:tcPr>
            <w:tcW w:w="1443" w:type="dxa"/>
            <w:vAlign w:val="center"/>
          </w:tcPr>
          <w:p w14:paraId="77FFD26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105247E" w14:textId="77777777" w:rsidTr="00B518F1">
        <w:tc>
          <w:tcPr>
            <w:tcW w:w="1434" w:type="dxa"/>
            <w:vAlign w:val="center"/>
          </w:tcPr>
          <w:p w14:paraId="0417BCD9" w14:textId="77777777" w:rsidR="007075D9" w:rsidRPr="004D46AC" w:rsidRDefault="007075D9" w:rsidP="00CE2F7A">
            <w:pPr>
              <w:spacing w:line="240" w:lineRule="auto"/>
              <w:ind w:firstLine="0"/>
              <w:rPr>
                <w:b/>
                <w:bCs/>
                <w:i/>
                <w:iCs/>
              </w:rPr>
            </w:pPr>
            <w:r w:rsidRPr="004D46AC">
              <w:rPr>
                <w:rFonts w:eastAsia="DengXian"/>
                <w:color w:val="000000"/>
              </w:rPr>
              <w:t>IA--Y7</w:t>
            </w:r>
          </w:p>
        </w:tc>
        <w:tc>
          <w:tcPr>
            <w:tcW w:w="1687" w:type="dxa"/>
            <w:vAlign w:val="center"/>
          </w:tcPr>
          <w:p w14:paraId="1DB4862F"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318C7924"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7510192A"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05A25E3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F914DC0" w14:textId="77777777" w:rsidTr="00B518F1">
        <w:tc>
          <w:tcPr>
            <w:tcW w:w="1434" w:type="dxa"/>
            <w:vAlign w:val="center"/>
          </w:tcPr>
          <w:p w14:paraId="7D55DEAB" w14:textId="77777777" w:rsidR="007075D9" w:rsidRPr="004D46AC" w:rsidRDefault="007075D9" w:rsidP="00CE2F7A">
            <w:pPr>
              <w:spacing w:line="240" w:lineRule="auto"/>
              <w:ind w:firstLine="0"/>
              <w:rPr>
                <w:b/>
                <w:bCs/>
                <w:i/>
                <w:iCs/>
              </w:rPr>
            </w:pPr>
            <w:r w:rsidRPr="004D46AC">
              <w:rPr>
                <w:rFonts w:eastAsia="DengXian"/>
                <w:color w:val="000000"/>
              </w:rPr>
              <w:t>RC--WD</w:t>
            </w:r>
          </w:p>
        </w:tc>
        <w:tc>
          <w:tcPr>
            <w:tcW w:w="1687" w:type="dxa"/>
            <w:vAlign w:val="center"/>
          </w:tcPr>
          <w:p w14:paraId="624C51B6"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24E79C3E"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461CA4B"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169A7BE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54D914B" w14:textId="77777777" w:rsidTr="00B518F1">
        <w:tc>
          <w:tcPr>
            <w:tcW w:w="1434" w:type="dxa"/>
            <w:vAlign w:val="center"/>
          </w:tcPr>
          <w:p w14:paraId="446094FE" w14:textId="77777777" w:rsidR="007075D9" w:rsidRPr="004D46AC" w:rsidRDefault="007075D9" w:rsidP="00CE2F7A">
            <w:pPr>
              <w:spacing w:line="240" w:lineRule="auto"/>
              <w:ind w:firstLine="0"/>
              <w:rPr>
                <w:b/>
                <w:bCs/>
                <w:i/>
                <w:iCs/>
              </w:rPr>
            </w:pPr>
            <w:r w:rsidRPr="004D46AC">
              <w:rPr>
                <w:rFonts w:eastAsia="DengXian"/>
                <w:color w:val="000000"/>
              </w:rPr>
              <w:t>P4--Y7</w:t>
            </w:r>
          </w:p>
        </w:tc>
        <w:tc>
          <w:tcPr>
            <w:tcW w:w="1687" w:type="dxa"/>
            <w:vAlign w:val="center"/>
          </w:tcPr>
          <w:p w14:paraId="4840B0BC"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74C8FBAD"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5D6C24D1"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18CD414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CAD66F2" w14:textId="77777777" w:rsidTr="00B518F1">
        <w:tc>
          <w:tcPr>
            <w:tcW w:w="1434" w:type="dxa"/>
            <w:vAlign w:val="center"/>
          </w:tcPr>
          <w:p w14:paraId="5BCB9794" w14:textId="77777777" w:rsidR="007075D9" w:rsidRPr="004D46AC" w:rsidRDefault="007075D9" w:rsidP="00CE2F7A">
            <w:pPr>
              <w:spacing w:line="240" w:lineRule="auto"/>
              <w:ind w:firstLine="0"/>
              <w:rPr>
                <w:b/>
                <w:bCs/>
                <w:i/>
                <w:iCs/>
              </w:rPr>
            </w:pPr>
            <w:r w:rsidRPr="004D46AC">
              <w:rPr>
                <w:rFonts w:eastAsia="DengXian"/>
                <w:color w:val="000000"/>
              </w:rPr>
              <w:t>ME--Y7</w:t>
            </w:r>
          </w:p>
        </w:tc>
        <w:tc>
          <w:tcPr>
            <w:tcW w:w="1687" w:type="dxa"/>
            <w:vAlign w:val="center"/>
          </w:tcPr>
          <w:p w14:paraId="2C82DE7C"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339E0D18"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1692796" w14:textId="77777777" w:rsidR="007075D9" w:rsidRPr="004D46AC" w:rsidRDefault="007075D9" w:rsidP="00CE2F7A">
            <w:pPr>
              <w:spacing w:line="240" w:lineRule="auto"/>
              <w:ind w:firstLine="0"/>
              <w:rPr>
                <w:b/>
                <w:bCs/>
                <w:i/>
                <w:iCs/>
              </w:rPr>
            </w:pPr>
            <w:r w:rsidRPr="004D46AC">
              <w:rPr>
                <w:color w:val="000000"/>
              </w:rPr>
              <w:t xml:space="preserve">0.24 </w:t>
            </w:r>
          </w:p>
        </w:tc>
        <w:tc>
          <w:tcPr>
            <w:tcW w:w="1443" w:type="dxa"/>
            <w:vAlign w:val="center"/>
          </w:tcPr>
          <w:p w14:paraId="4A20857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6DC3A83" w14:textId="77777777" w:rsidTr="00B518F1">
        <w:tc>
          <w:tcPr>
            <w:tcW w:w="1434" w:type="dxa"/>
            <w:vAlign w:val="center"/>
          </w:tcPr>
          <w:p w14:paraId="035332A7" w14:textId="77777777" w:rsidR="007075D9" w:rsidRPr="004D46AC" w:rsidRDefault="007075D9" w:rsidP="00CE2F7A">
            <w:pPr>
              <w:spacing w:line="240" w:lineRule="auto"/>
              <w:ind w:firstLine="0"/>
              <w:rPr>
                <w:b/>
                <w:bCs/>
                <w:i/>
                <w:iCs/>
              </w:rPr>
            </w:pPr>
            <w:r w:rsidRPr="004D46AC">
              <w:rPr>
                <w:rFonts w:eastAsia="DengXian"/>
                <w:color w:val="000000"/>
              </w:rPr>
              <w:t>P4--ME</w:t>
            </w:r>
          </w:p>
        </w:tc>
        <w:tc>
          <w:tcPr>
            <w:tcW w:w="1687" w:type="dxa"/>
            <w:vAlign w:val="center"/>
          </w:tcPr>
          <w:p w14:paraId="29CAD0E4"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64BC725A"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2C7BC807"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23B58C8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F651D89" w14:textId="77777777" w:rsidTr="00B518F1">
        <w:tc>
          <w:tcPr>
            <w:tcW w:w="1434" w:type="dxa"/>
            <w:vAlign w:val="center"/>
          </w:tcPr>
          <w:p w14:paraId="49BD5A8D" w14:textId="77777777" w:rsidR="007075D9" w:rsidRPr="004D46AC" w:rsidRDefault="007075D9" w:rsidP="00CE2F7A">
            <w:pPr>
              <w:spacing w:line="240" w:lineRule="auto"/>
              <w:ind w:firstLine="0"/>
              <w:rPr>
                <w:b/>
                <w:bCs/>
                <w:i/>
                <w:iCs/>
              </w:rPr>
            </w:pPr>
            <w:r w:rsidRPr="004D46AC">
              <w:rPr>
                <w:rFonts w:eastAsia="DengXian"/>
                <w:color w:val="000000"/>
              </w:rPr>
              <w:t>M3--M9</w:t>
            </w:r>
          </w:p>
        </w:tc>
        <w:tc>
          <w:tcPr>
            <w:tcW w:w="1687" w:type="dxa"/>
            <w:vAlign w:val="center"/>
          </w:tcPr>
          <w:p w14:paraId="0047BE73"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5B61F27B"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57A03512"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3820DA5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719D110" w14:textId="77777777" w:rsidTr="00B518F1">
        <w:tc>
          <w:tcPr>
            <w:tcW w:w="1434" w:type="dxa"/>
            <w:vAlign w:val="center"/>
          </w:tcPr>
          <w:p w14:paraId="452AFA1E" w14:textId="77777777" w:rsidR="007075D9" w:rsidRPr="004D46AC" w:rsidRDefault="007075D9" w:rsidP="00CE2F7A">
            <w:pPr>
              <w:spacing w:line="240" w:lineRule="auto"/>
              <w:ind w:firstLine="0"/>
              <w:rPr>
                <w:b/>
                <w:bCs/>
                <w:i/>
                <w:iCs/>
              </w:rPr>
            </w:pPr>
            <w:r w:rsidRPr="004D46AC">
              <w:rPr>
                <w:rFonts w:eastAsia="DengXian"/>
                <w:color w:val="000000"/>
              </w:rPr>
              <w:t>Y7--M6</w:t>
            </w:r>
          </w:p>
        </w:tc>
        <w:tc>
          <w:tcPr>
            <w:tcW w:w="1687" w:type="dxa"/>
            <w:vAlign w:val="center"/>
          </w:tcPr>
          <w:p w14:paraId="1CCA3993"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150F8CBA"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0968A9F"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7A50C17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775537B" w14:textId="77777777" w:rsidTr="00B518F1">
        <w:tc>
          <w:tcPr>
            <w:tcW w:w="1434" w:type="dxa"/>
            <w:vAlign w:val="center"/>
          </w:tcPr>
          <w:p w14:paraId="04761188" w14:textId="77777777" w:rsidR="007075D9" w:rsidRPr="004D46AC" w:rsidRDefault="007075D9" w:rsidP="00CE2F7A">
            <w:pPr>
              <w:spacing w:line="240" w:lineRule="auto"/>
              <w:ind w:firstLine="0"/>
              <w:rPr>
                <w:b/>
                <w:bCs/>
                <w:i/>
                <w:iCs/>
              </w:rPr>
            </w:pPr>
            <w:r w:rsidRPr="004D46AC">
              <w:rPr>
                <w:rFonts w:eastAsia="DengXian"/>
                <w:color w:val="000000"/>
              </w:rPr>
              <w:t>M6--M7</w:t>
            </w:r>
          </w:p>
        </w:tc>
        <w:tc>
          <w:tcPr>
            <w:tcW w:w="1687" w:type="dxa"/>
            <w:vAlign w:val="center"/>
          </w:tcPr>
          <w:p w14:paraId="408B4328"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399C2A93"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371A2976"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01B5687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EC605EB" w14:textId="77777777" w:rsidTr="00B518F1">
        <w:tc>
          <w:tcPr>
            <w:tcW w:w="1434" w:type="dxa"/>
            <w:vAlign w:val="center"/>
          </w:tcPr>
          <w:p w14:paraId="5B105CA4" w14:textId="77777777" w:rsidR="007075D9" w:rsidRPr="004D46AC" w:rsidRDefault="007075D9" w:rsidP="00CE2F7A">
            <w:pPr>
              <w:spacing w:line="240" w:lineRule="auto"/>
              <w:ind w:firstLine="0"/>
              <w:rPr>
                <w:b/>
                <w:bCs/>
                <w:i/>
                <w:iCs/>
              </w:rPr>
            </w:pPr>
            <w:r w:rsidRPr="004D46AC">
              <w:rPr>
                <w:rFonts w:eastAsia="DengXian"/>
                <w:color w:val="000000"/>
              </w:rPr>
              <w:t>WD--M2</w:t>
            </w:r>
          </w:p>
        </w:tc>
        <w:tc>
          <w:tcPr>
            <w:tcW w:w="1687" w:type="dxa"/>
            <w:vAlign w:val="center"/>
          </w:tcPr>
          <w:p w14:paraId="1DBEF0F2"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412E46EF"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2764228E"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478E725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1CE34A6" w14:textId="77777777" w:rsidTr="00B518F1">
        <w:tc>
          <w:tcPr>
            <w:tcW w:w="1434" w:type="dxa"/>
            <w:vAlign w:val="center"/>
          </w:tcPr>
          <w:p w14:paraId="4DDDE1AF" w14:textId="77777777" w:rsidR="007075D9" w:rsidRPr="004D46AC" w:rsidRDefault="007075D9" w:rsidP="00CE2F7A">
            <w:pPr>
              <w:spacing w:line="240" w:lineRule="auto"/>
              <w:ind w:firstLine="0"/>
              <w:rPr>
                <w:b/>
                <w:bCs/>
                <w:i/>
                <w:iCs/>
              </w:rPr>
            </w:pPr>
            <w:r w:rsidRPr="004D46AC">
              <w:rPr>
                <w:rFonts w:eastAsia="DengXian"/>
                <w:color w:val="000000"/>
              </w:rPr>
              <w:t>M3--M6</w:t>
            </w:r>
          </w:p>
        </w:tc>
        <w:tc>
          <w:tcPr>
            <w:tcW w:w="1687" w:type="dxa"/>
            <w:vAlign w:val="center"/>
          </w:tcPr>
          <w:p w14:paraId="5427E432"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196A220A"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17A8A53D"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3BD7D33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DB02DF0" w14:textId="77777777" w:rsidTr="00B518F1">
        <w:tc>
          <w:tcPr>
            <w:tcW w:w="1434" w:type="dxa"/>
            <w:vAlign w:val="center"/>
          </w:tcPr>
          <w:p w14:paraId="3EC6BE70" w14:textId="77777777" w:rsidR="007075D9" w:rsidRPr="004D46AC" w:rsidRDefault="007075D9" w:rsidP="00CE2F7A">
            <w:pPr>
              <w:spacing w:line="240" w:lineRule="auto"/>
              <w:ind w:firstLine="0"/>
              <w:rPr>
                <w:b/>
                <w:bCs/>
                <w:i/>
                <w:iCs/>
              </w:rPr>
            </w:pPr>
            <w:r w:rsidRPr="004D46AC">
              <w:rPr>
                <w:rFonts w:eastAsia="DengXian"/>
                <w:color w:val="000000"/>
              </w:rPr>
              <w:t>M2--M7</w:t>
            </w:r>
          </w:p>
        </w:tc>
        <w:tc>
          <w:tcPr>
            <w:tcW w:w="1687" w:type="dxa"/>
            <w:vAlign w:val="center"/>
          </w:tcPr>
          <w:p w14:paraId="6984AB5F"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21AF4FCD"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5D9541B7"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4206E5F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2CEA54F" w14:textId="77777777" w:rsidTr="00B518F1">
        <w:tc>
          <w:tcPr>
            <w:tcW w:w="1434" w:type="dxa"/>
            <w:vAlign w:val="center"/>
          </w:tcPr>
          <w:p w14:paraId="0ADF0C6F" w14:textId="77777777" w:rsidR="007075D9" w:rsidRPr="004D46AC" w:rsidRDefault="007075D9" w:rsidP="00CE2F7A">
            <w:pPr>
              <w:spacing w:line="240" w:lineRule="auto"/>
              <w:ind w:firstLine="0"/>
              <w:rPr>
                <w:b/>
                <w:bCs/>
                <w:i/>
                <w:iCs/>
              </w:rPr>
            </w:pPr>
            <w:r w:rsidRPr="004D46AC">
              <w:rPr>
                <w:rFonts w:eastAsia="DengXian"/>
                <w:color w:val="000000"/>
              </w:rPr>
              <w:t>N1--WD</w:t>
            </w:r>
          </w:p>
        </w:tc>
        <w:tc>
          <w:tcPr>
            <w:tcW w:w="1687" w:type="dxa"/>
            <w:vAlign w:val="center"/>
          </w:tcPr>
          <w:p w14:paraId="29ECB34D"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78A7548E"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4663C5A5"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7CA220B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B7EE14D" w14:textId="77777777" w:rsidTr="00B518F1">
        <w:tc>
          <w:tcPr>
            <w:tcW w:w="1434" w:type="dxa"/>
            <w:vAlign w:val="center"/>
          </w:tcPr>
          <w:p w14:paraId="7CA8BFCE" w14:textId="77777777" w:rsidR="007075D9" w:rsidRPr="004D46AC" w:rsidRDefault="007075D9" w:rsidP="00CE2F7A">
            <w:pPr>
              <w:spacing w:line="240" w:lineRule="auto"/>
              <w:ind w:firstLine="0"/>
              <w:rPr>
                <w:b/>
                <w:bCs/>
                <w:i/>
                <w:iCs/>
              </w:rPr>
            </w:pPr>
            <w:r w:rsidRPr="004D46AC">
              <w:rPr>
                <w:rFonts w:eastAsia="DengXian"/>
                <w:color w:val="000000"/>
              </w:rPr>
              <w:t>RC--N7</w:t>
            </w:r>
          </w:p>
        </w:tc>
        <w:tc>
          <w:tcPr>
            <w:tcW w:w="1687" w:type="dxa"/>
            <w:vAlign w:val="center"/>
          </w:tcPr>
          <w:p w14:paraId="70D348A1"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74963FFF"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43220F0D"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0CA8317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7D7EDAF" w14:textId="77777777" w:rsidTr="00B518F1">
        <w:tc>
          <w:tcPr>
            <w:tcW w:w="1434" w:type="dxa"/>
            <w:vAlign w:val="center"/>
          </w:tcPr>
          <w:p w14:paraId="3D96017E" w14:textId="77777777" w:rsidR="007075D9" w:rsidRPr="004D46AC" w:rsidRDefault="007075D9" w:rsidP="00CE2F7A">
            <w:pPr>
              <w:spacing w:line="240" w:lineRule="auto"/>
              <w:ind w:firstLine="0"/>
              <w:rPr>
                <w:b/>
                <w:bCs/>
                <w:i/>
                <w:iCs/>
              </w:rPr>
            </w:pPr>
            <w:r w:rsidRPr="004D46AC">
              <w:rPr>
                <w:rFonts w:eastAsia="DengXian"/>
                <w:color w:val="000000"/>
              </w:rPr>
              <w:t>P4--IA</w:t>
            </w:r>
          </w:p>
        </w:tc>
        <w:tc>
          <w:tcPr>
            <w:tcW w:w="1687" w:type="dxa"/>
            <w:vAlign w:val="center"/>
          </w:tcPr>
          <w:p w14:paraId="3EC4134B"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0324F9E5"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C936AE8"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7E79204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822698D" w14:textId="77777777" w:rsidTr="00B518F1">
        <w:tc>
          <w:tcPr>
            <w:tcW w:w="1434" w:type="dxa"/>
            <w:vAlign w:val="center"/>
          </w:tcPr>
          <w:p w14:paraId="01C5F45F" w14:textId="77777777" w:rsidR="007075D9" w:rsidRPr="004D46AC" w:rsidRDefault="007075D9" w:rsidP="00CE2F7A">
            <w:pPr>
              <w:spacing w:line="240" w:lineRule="auto"/>
              <w:ind w:firstLine="0"/>
              <w:rPr>
                <w:b/>
                <w:bCs/>
                <w:i/>
                <w:iCs/>
              </w:rPr>
            </w:pPr>
            <w:r w:rsidRPr="004D46AC">
              <w:rPr>
                <w:rFonts w:eastAsia="DengXian"/>
                <w:color w:val="000000"/>
              </w:rPr>
              <w:t>P5--N7</w:t>
            </w:r>
          </w:p>
        </w:tc>
        <w:tc>
          <w:tcPr>
            <w:tcW w:w="1687" w:type="dxa"/>
            <w:vAlign w:val="center"/>
          </w:tcPr>
          <w:p w14:paraId="223C90EB"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089047E4"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2222A902"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26BA678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DE84B11" w14:textId="77777777" w:rsidTr="00B518F1">
        <w:tc>
          <w:tcPr>
            <w:tcW w:w="1434" w:type="dxa"/>
            <w:vAlign w:val="center"/>
          </w:tcPr>
          <w:p w14:paraId="3B383950" w14:textId="77777777" w:rsidR="007075D9" w:rsidRPr="004D46AC" w:rsidRDefault="007075D9" w:rsidP="00CE2F7A">
            <w:pPr>
              <w:spacing w:line="240" w:lineRule="auto"/>
              <w:ind w:firstLine="0"/>
              <w:rPr>
                <w:b/>
                <w:bCs/>
                <w:i/>
                <w:iCs/>
              </w:rPr>
            </w:pPr>
            <w:r w:rsidRPr="004D46AC">
              <w:rPr>
                <w:rFonts w:eastAsia="DengXian"/>
                <w:color w:val="000000"/>
              </w:rPr>
              <w:t>M2--M3</w:t>
            </w:r>
          </w:p>
        </w:tc>
        <w:tc>
          <w:tcPr>
            <w:tcW w:w="1687" w:type="dxa"/>
            <w:vAlign w:val="center"/>
          </w:tcPr>
          <w:p w14:paraId="76FB8BE6"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2B32EE97"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5BF7F065"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51CE2EDA"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F0A90F6" w14:textId="77777777" w:rsidTr="00B518F1">
        <w:tc>
          <w:tcPr>
            <w:tcW w:w="1434" w:type="dxa"/>
            <w:vAlign w:val="center"/>
          </w:tcPr>
          <w:p w14:paraId="0394BE45" w14:textId="77777777" w:rsidR="007075D9" w:rsidRPr="004D46AC" w:rsidRDefault="007075D9" w:rsidP="00CE2F7A">
            <w:pPr>
              <w:spacing w:line="240" w:lineRule="auto"/>
              <w:ind w:firstLine="0"/>
              <w:rPr>
                <w:b/>
                <w:bCs/>
                <w:i/>
                <w:iCs/>
              </w:rPr>
            </w:pPr>
            <w:r w:rsidRPr="004D46AC">
              <w:rPr>
                <w:rFonts w:eastAsia="DengXian"/>
                <w:color w:val="000000"/>
              </w:rPr>
              <w:t>IA--Y10</w:t>
            </w:r>
          </w:p>
        </w:tc>
        <w:tc>
          <w:tcPr>
            <w:tcW w:w="1687" w:type="dxa"/>
            <w:vAlign w:val="center"/>
          </w:tcPr>
          <w:p w14:paraId="7C54108A"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400B762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2C1292A"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1754E60F"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713D073" w14:textId="77777777" w:rsidTr="00B518F1">
        <w:tc>
          <w:tcPr>
            <w:tcW w:w="1434" w:type="dxa"/>
            <w:vAlign w:val="center"/>
          </w:tcPr>
          <w:p w14:paraId="4367FA18" w14:textId="77777777" w:rsidR="007075D9" w:rsidRPr="004D46AC" w:rsidRDefault="007075D9" w:rsidP="00CE2F7A">
            <w:pPr>
              <w:spacing w:line="240" w:lineRule="auto"/>
              <w:ind w:firstLine="0"/>
              <w:rPr>
                <w:b/>
                <w:bCs/>
                <w:i/>
                <w:iCs/>
              </w:rPr>
            </w:pPr>
            <w:r w:rsidRPr="004D46AC">
              <w:rPr>
                <w:rFonts w:eastAsia="DengXian"/>
                <w:color w:val="000000"/>
              </w:rPr>
              <w:t>M3--M5</w:t>
            </w:r>
          </w:p>
        </w:tc>
        <w:tc>
          <w:tcPr>
            <w:tcW w:w="1687" w:type="dxa"/>
            <w:vAlign w:val="center"/>
          </w:tcPr>
          <w:p w14:paraId="06F24490"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173CF3A0"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85AF427"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74554A6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3636965" w14:textId="77777777" w:rsidTr="00B518F1">
        <w:tc>
          <w:tcPr>
            <w:tcW w:w="1434" w:type="dxa"/>
            <w:vAlign w:val="center"/>
          </w:tcPr>
          <w:p w14:paraId="1E307178" w14:textId="77777777" w:rsidR="007075D9" w:rsidRPr="004D46AC" w:rsidRDefault="007075D9" w:rsidP="00CE2F7A">
            <w:pPr>
              <w:spacing w:line="240" w:lineRule="auto"/>
              <w:ind w:firstLine="0"/>
              <w:rPr>
                <w:b/>
                <w:bCs/>
                <w:i/>
                <w:iCs/>
              </w:rPr>
            </w:pPr>
            <w:r w:rsidRPr="004D46AC">
              <w:rPr>
                <w:rFonts w:eastAsia="DengXian"/>
                <w:color w:val="000000"/>
              </w:rPr>
              <w:t>ME--Y3</w:t>
            </w:r>
          </w:p>
        </w:tc>
        <w:tc>
          <w:tcPr>
            <w:tcW w:w="1687" w:type="dxa"/>
            <w:vAlign w:val="center"/>
          </w:tcPr>
          <w:p w14:paraId="437DCA15"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4BBE5807"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043DA8F"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26248DDF"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0FF2481D" w14:textId="77777777" w:rsidTr="00B518F1">
        <w:tc>
          <w:tcPr>
            <w:tcW w:w="1434" w:type="dxa"/>
            <w:vAlign w:val="center"/>
          </w:tcPr>
          <w:p w14:paraId="77CF292C" w14:textId="77777777" w:rsidR="007075D9" w:rsidRPr="004D46AC" w:rsidRDefault="007075D9" w:rsidP="00CE2F7A">
            <w:pPr>
              <w:spacing w:line="240" w:lineRule="auto"/>
              <w:ind w:firstLine="0"/>
              <w:rPr>
                <w:b/>
                <w:bCs/>
                <w:i/>
                <w:iCs/>
              </w:rPr>
            </w:pPr>
            <w:r w:rsidRPr="004D46AC">
              <w:rPr>
                <w:rFonts w:eastAsia="DengXian"/>
                <w:color w:val="000000"/>
              </w:rPr>
              <w:t>M2--M6</w:t>
            </w:r>
          </w:p>
        </w:tc>
        <w:tc>
          <w:tcPr>
            <w:tcW w:w="1687" w:type="dxa"/>
            <w:vAlign w:val="center"/>
          </w:tcPr>
          <w:p w14:paraId="616B62E3"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6FBD798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2EB17F0"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2002368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4CC43F4" w14:textId="77777777" w:rsidTr="00B518F1">
        <w:tc>
          <w:tcPr>
            <w:tcW w:w="1434" w:type="dxa"/>
            <w:vAlign w:val="center"/>
          </w:tcPr>
          <w:p w14:paraId="5CC53210" w14:textId="77777777" w:rsidR="007075D9" w:rsidRPr="004D46AC" w:rsidRDefault="007075D9" w:rsidP="00CE2F7A">
            <w:pPr>
              <w:spacing w:line="240" w:lineRule="auto"/>
              <w:ind w:firstLine="0"/>
              <w:rPr>
                <w:b/>
                <w:bCs/>
                <w:i/>
                <w:iCs/>
              </w:rPr>
            </w:pPr>
            <w:r w:rsidRPr="004D46AC">
              <w:rPr>
                <w:rFonts w:eastAsia="DengXian"/>
                <w:color w:val="000000"/>
              </w:rPr>
              <w:t>P4--P5</w:t>
            </w:r>
          </w:p>
        </w:tc>
        <w:tc>
          <w:tcPr>
            <w:tcW w:w="1687" w:type="dxa"/>
            <w:vAlign w:val="center"/>
          </w:tcPr>
          <w:p w14:paraId="141E6C21"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6E26D91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3627263"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52CB1AB4"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3B4BF862" w14:textId="77777777" w:rsidTr="00B518F1">
        <w:tc>
          <w:tcPr>
            <w:tcW w:w="1434" w:type="dxa"/>
            <w:vAlign w:val="center"/>
          </w:tcPr>
          <w:p w14:paraId="3B57DC4E" w14:textId="77777777" w:rsidR="007075D9" w:rsidRPr="004D46AC" w:rsidRDefault="007075D9" w:rsidP="00CE2F7A">
            <w:pPr>
              <w:spacing w:line="240" w:lineRule="auto"/>
              <w:ind w:firstLine="0"/>
              <w:rPr>
                <w:b/>
                <w:bCs/>
                <w:i/>
                <w:iCs/>
              </w:rPr>
            </w:pPr>
            <w:r w:rsidRPr="004D46AC">
              <w:rPr>
                <w:rFonts w:eastAsia="DengXian"/>
                <w:color w:val="000000"/>
              </w:rPr>
              <w:t>IA--Y6</w:t>
            </w:r>
          </w:p>
        </w:tc>
        <w:tc>
          <w:tcPr>
            <w:tcW w:w="1687" w:type="dxa"/>
            <w:vAlign w:val="center"/>
          </w:tcPr>
          <w:p w14:paraId="34AB6F0F"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2FD05A4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7254397"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1B9EEF38"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0866131F" w14:textId="77777777" w:rsidTr="00B518F1">
        <w:tc>
          <w:tcPr>
            <w:tcW w:w="1434" w:type="dxa"/>
            <w:vAlign w:val="center"/>
          </w:tcPr>
          <w:p w14:paraId="6C84948D" w14:textId="77777777" w:rsidR="007075D9" w:rsidRPr="004D46AC" w:rsidRDefault="007075D9" w:rsidP="00CE2F7A">
            <w:pPr>
              <w:spacing w:line="240" w:lineRule="auto"/>
              <w:ind w:firstLine="0"/>
              <w:rPr>
                <w:b/>
                <w:bCs/>
                <w:i/>
                <w:iCs/>
              </w:rPr>
            </w:pPr>
            <w:r w:rsidRPr="004D46AC">
              <w:rPr>
                <w:rFonts w:eastAsia="DengXian"/>
                <w:color w:val="000000"/>
              </w:rPr>
              <w:t>Y10--M7</w:t>
            </w:r>
          </w:p>
        </w:tc>
        <w:tc>
          <w:tcPr>
            <w:tcW w:w="1687" w:type="dxa"/>
            <w:vAlign w:val="center"/>
          </w:tcPr>
          <w:p w14:paraId="3543D3F8"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0627968E"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7C787AC"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7CACB343"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65F67210" w14:textId="77777777" w:rsidTr="00B518F1">
        <w:tc>
          <w:tcPr>
            <w:tcW w:w="1434" w:type="dxa"/>
            <w:vAlign w:val="center"/>
          </w:tcPr>
          <w:p w14:paraId="4EF83074" w14:textId="77777777" w:rsidR="007075D9" w:rsidRPr="004D46AC" w:rsidRDefault="007075D9" w:rsidP="00CE2F7A">
            <w:pPr>
              <w:spacing w:line="240" w:lineRule="auto"/>
              <w:ind w:firstLine="0"/>
              <w:rPr>
                <w:b/>
                <w:bCs/>
                <w:i/>
                <w:iCs/>
              </w:rPr>
            </w:pPr>
            <w:r w:rsidRPr="004D46AC">
              <w:rPr>
                <w:rFonts w:eastAsia="DengXian"/>
                <w:color w:val="000000"/>
              </w:rPr>
              <w:t>P6--IA</w:t>
            </w:r>
          </w:p>
        </w:tc>
        <w:tc>
          <w:tcPr>
            <w:tcW w:w="1687" w:type="dxa"/>
            <w:vAlign w:val="center"/>
          </w:tcPr>
          <w:p w14:paraId="2267A1B7"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7CB3BF9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6C938EE"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4099C3B9"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70F573F1" w14:textId="77777777" w:rsidTr="00B518F1">
        <w:tc>
          <w:tcPr>
            <w:tcW w:w="1434" w:type="dxa"/>
            <w:vAlign w:val="center"/>
          </w:tcPr>
          <w:p w14:paraId="3A82B232" w14:textId="77777777" w:rsidR="007075D9" w:rsidRPr="004D46AC" w:rsidRDefault="007075D9" w:rsidP="00CE2F7A">
            <w:pPr>
              <w:spacing w:line="240" w:lineRule="auto"/>
              <w:ind w:firstLine="0"/>
              <w:rPr>
                <w:b/>
                <w:bCs/>
                <w:i/>
                <w:iCs/>
              </w:rPr>
            </w:pPr>
            <w:r w:rsidRPr="004D46AC">
              <w:rPr>
                <w:rFonts w:eastAsia="DengXian"/>
                <w:color w:val="000000"/>
              </w:rPr>
              <w:t>P5--Y3</w:t>
            </w:r>
          </w:p>
        </w:tc>
        <w:tc>
          <w:tcPr>
            <w:tcW w:w="1687" w:type="dxa"/>
            <w:vAlign w:val="center"/>
          </w:tcPr>
          <w:p w14:paraId="42FAEE99"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2FA03388"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FE5BAFB"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1B42E91B"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3A50AEF5" w14:textId="77777777" w:rsidTr="00B518F1">
        <w:tc>
          <w:tcPr>
            <w:tcW w:w="1434" w:type="dxa"/>
            <w:vAlign w:val="center"/>
          </w:tcPr>
          <w:p w14:paraId="136DDB2A" w14:textId="77777777" w:rsidR="007075D9" w:rsidRPr="004D46AC" w:rsidRDefault="007075D9" w:rsidP="00CE2F7A">
            <w:pPr>
              <w:spacing w:line="240" w:lineRule="auto"/>
              <w:ind w:firstLine="0"/>
              <w:rPr>
                <w:b/>
                <w:bCs/>
                <w:i/>
                <w:iCs/>
              </w:rPr>
            </w:pPr>
            <w:r w:rsidRPr="004D46AC">
              <w:rPr>
                <w:rFonts w:eastAsia="DengXian"/>
                <w:color w:val="000000"/>
              </w:rPr>
              <w:t>M7--M9</w:t>
            </w:r>
          </w:p>
        </w:tc>
        <w:tc>
          <w:tcPr>
            <w:tcW w:w="1687" w:type="dxa"/>
            <w:vAlign w:val="center"/>
          </w:tcPr>
          <w:p w14:paraId="787DA269"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06CC934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13ACB74"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779C17F9"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3763DDE6" w14:textId="77777777" w:rsidTr="00B518F1">
        <w:tc>
          <w:tcPr>
            <w:tcW w:w="1434" w:type="dxa"/>
            <w:vAlign w:val="center"/>
          </w:tcPr>
          <w:p w14:paraId="4454BE73" w14:textId="77777777" w:rsidR="007075D9" w:rsidRPr="004D46AC" w:rsidRDefault="007075D9" w:rsidP="00CE2F7A">
            <w:pPr>
              <w:spacing w:line="240" w:lineRule="auto"/>
              <w:ind w:firstLine="0"/>
              <w:rPr>
                <w:b/>
                <w:bCs/>
                <w:i/>
                <w:iCs/>
              </w:rPr>
            </w:pPr>
            <w:r w:rsidRPr="004D46AC">
              <w:rPr>
                <w:rFonts w:eastAsia="DengXian"/>
                <w:color w:val="000000"/>
              </w:rPr>
              <w:t>M6--M9</w:t>
            </w:r>
          </w:p>
        </w:tc>
        <w:tc>
          <w:tcPr>
            <w:tcW w:w="1687" w:type="dxa"/>
            <w:vAlign w:val="center"/>
          </w:tcPr>
          <w:p w14:paraId="021B2CA1"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78BD0B6"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9D2C71C"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262D6AB8"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094664BE" w14:textId="77777777" w:rsidTr="00B518F1">
        <w:tc>
          <w:tcPr>
            <w:tcW w:w="1434" w:type="dxa"/>
            <w:vAlign w:val="center"/>
          </w:tcPr>
          <w:p w14:paraId="0D449E38" w14:textId="77777777" w:rsidR="007075D9" w:rsidRPr="004D46AC" w:rsidRDefault="007075D9" w:rsidP="00CE2F7A">
            <w:pPr>
              <w:spacing w:line="240" w:lineRule="auto"/>
              <w:ind w:firstLine="0"/>
              <w:rPr>
                <w:b/>
                <w:bCs/>
                <w:i/>
                <w:iCs/>
              </w:rPr>
            </w:pPr>
            <w:r w:rsidRPr="004D46AC">
              <w:rPr>
                <w:rFonts w:eastAsia="DengXian"/>
                <w:color w:val="000000"/>
              </w:rPr>
              <w:t>P5--P6</w:t>
            </w:r>
          </w:p>
        </w:tc>
        <w:tc>
          <w:tcPr>
            <w:tcW w:w="1687" w:type="dxa"/>
            <w:vAlign w:val="center"/>
          </w:tcPr>
          <w:p w14:paraId="1C767FC5"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09106F9A"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69621EA"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589FE5F9"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4227E02B" w14:textId="77777777" w:rsidTr="00B518F1">
        <w:tc>
          <w:tcPr>
            <w:tcW w:w="1434" w:type="dxa"/>
            <w:vAlign w:val="center"/>
          </w:tcPr>
          <w:p w14:paraId="6C9373FC" w14:textId="77777777" w:rsidR="007075D9" w:rsidRPr="004D46AC" w:rsidRDefault="007075D9" w:rsidP="00CE2F7A">
            <w:pPr>
              <w:spacing w:line="240" w:lineRule="auto"/>
              <w:ind w:firstLine="0"/>
              <w:rPr>
                <w:b/>
                <w:bCs/>
                <w:i/>
                <w:iCs/>
              </w:rPr>
            </w:pPr>
            <w:r w:rsidRPr="004D46AC">
              <w:rPr>
                <w:rFonts w:eastAsia="DengXian"/>
                <w:color w:val="000000"/>
              </w:rPr>
              <w:t>M5--M8</w:t>
            </w:r>
          </w:p>
        </w:tc>
        <w:tc>
          <w:tcPr>
            <w:tcW w:w="1687" w:type="dxa"/>
            <w:vAlign w:val="center"/>
          </w:tcPr>
          <w:p w14:paraId="6FD575C4"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B13DDB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42D4C2E"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08D0826A"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32213938" w14:textId="77777777" w:rsidTr="00B518F1">
        <w:tc>
          <w:tcPr>
            <w:tcW w:w="1434" w:type="dxa"/>
            <w:vAlign w:val="center"/>
          </w:tcPr>
          <w:p w14:paraId="0ECFAC4A" w14:textId="77777777" w:rsidR="007075D9" w:rsidRPr="004D46AC" w:rsidRDefault="007075D9" w:rsidP="00CE2F7A">
            <w:pPr>
              <w:spacing w:line="240" w:lineRule="auto"/>
              <w:ind w:firstLine="0"/>
              <w:rPr>
                <w:b/>
                <w:bCs/>
                <w:i/>
                <w:iCs/>
              </w:rPr>
            </w:pPr>
            <w:r w:rsidRPr="004D46AC">
              <w:rPr>
                <w:rFonts w:eastAsia="DengXian"/>
                <w:color w:val="000000"/>
              </w:rPr>
              <w:t>M6--SP</w:t>
            </w:r>
          </w:p>
        </w:tc>
        <w:tc>
          <w:tcPr>
            <w:tcW w:w="1687" w:type="dxa"/>
            <w:vAlign w:val="center"/>
          </w:tcPr>
          <w:p w14:paraId="50113E1E"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4088D752"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CB93722"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48850518"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4DCA082F" w14:textId="77777777" w:rsidTr="00B518F1">
        <w:tc>
          <w:tcPr>
            <w:tcW w:w="1434" w:type="dxa"/>
            <w:vAlign w:val="center"/>
          </w:tcPr>
          <w:p w14:paraId="3F9CE878" w14:textId="77777777" w:rsidR="007075D9" w:rsidRPr="004D46AC" w:rsidRDefault="007075D9" w:rsidP="00CE2F7A">
            <w:pPr>
              <w:spacing w:line="240" w:lineRule="auto"/>
              <w:ind w:firstLine="0"/>
              <w:rPr>
                <w:b/>
                <w:bCs/>
                <w:i/>
                <w:iCs/>
              </w:rPr>
            </w:pPr>
            <w:r w:rsidRPr="004D46AC">
              <w:rPr>
                <w:rFonts w:eastAsia="DengXian"/>
                <w:color w:val="000000"/>
              </w:rPr>
              <w:t>P4--Y6</w:t>
            </w:r>
          </w:p>
        </w:tc>
        <w:tc>
          <w:tcPr>
            <w:tcW w:w="1687" w:type="dxa"/>
            <w:vAlign w:val="center"/>
          </w:tcPr>
          <w:p w14:paraId="018F163E"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69550969"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E56E685"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66D67EC4"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5063531C" w14:textId="77777777" w:rsidTr="00B518F1">
        <w:tc>
          <w:tcPr>
            <w:tcW w:w="1434" w:type="dxa"/>
            <w:vAlign w:val="center"/>
          </w:tcPr>
          <w:p w14:paraId="5AA8CAE4" w14:textId="77777777" w:rsidR="007075D9" w:rsidRPr="004D46AC" w:rsidRDefault="007075D9" w:rsidP="00CE2F7A">
            <w:pPr>
              <w:spacing w:line="240" w:lineRule="auto"/>
              <w:ind w:firstLine="0"/>
              <w:rPr>
                <w:b/>
                <w:bCs/>
                <w:i/>
                <w:iCs/>
              </w:rPr>
            </w:pPr>
            <w:r w:rsidRPr="004D46AC">
              <w:rPr>
                <w:rFonts w:eastAsia="DengXian"/>
                <w:color w:val="000000"/>
              </w:rPr>
              <w:t>M3--SP</w:t>
            </w:r>
          </w:p>
        </w:tc>
        <w:tc>
          <w:tcPr>
            <w:tcW w:w="1687" w:type="dxa"/>
            <w:vAlign w:val="center"/>
          </w:tcPr>
          <w:p w14:paraId="187C622D"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76CF078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F6196B1"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5DDF08D9"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45C148AF" w14:textId="77777777" w:rsidTr="00B518F1">
        <w:tc>
          <w:tcPr>
            <w:tcW w:w="1434" w:type="dxa"/>
            <w:vAlign w:val="center"/>
          </w:tcPr>
          <w:p w14:paraId="0D7830B1" w14:textId="77777777" w:rsidR="007075D9" w:rsidRPr="004D46AC" w:rsidRDefault="007075D9" w:rsidP="00CE2F7A">
            <w:pPr>
              <w:spacing w:line="240" w:lineRule="auto"/>
              <w:ind w:firstLine="0"/>
              <w:rPr>
                <w:b/>
                <w:bCs/>
                <w:i/>
                <w:iCs/>
              </w:rPr>
            </w:pPr>
            <w:r w:rsidRPr="004D46AC">
              <w:rPr>
                <w:rFonts w:eastAsia="DengXian"/>
                <w:color w:val="000000"/>
              </w:rPr>
              <w:t>WD--M7</w:t>
            </w:r>
          </w:p>
        </w:tc>
        <w:tc>
          <w:tcPr>
            <w:tcW w:w="1687" w:type="dxa"/>
            <w:vAlign w:val="center"/>
          </w:tcPr>
          <w:p w14:paraId="56F0AFC5"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6A93FE9E"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A9BDC5F"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586214B5"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45B782D2" w14:textId="77777777" w:rsidTr="00B518F1">
        <w:tc>
          <w:tcPr>
            <w:tcW w:w="1434" w:type="dxa"/>
            <w:vAlign w:val="center"/>
          </w:tcPr>
          <w:p w14:paraId="230E2EC1" w14:textId="77777777" w:rsidR="007075D9" w:rsidRPr="004D46AC" w:rsidRDefault="007075D9" w:rsidP="00CE2F7A">
            <w:pPr>
              <w:spacing w:line="240" w:lineRule="auto"/>
              <w:ind w:firstLine="0"/>
              <w:rPr>
                <w:b/>
                <w:bCs/>
                <w:i/>
                <w:iCs/>
              </w:rPr>
            </w:pPr>
            <w:r w:rsidRPr="004D46AC">
              <w:rPr>
                <w:rFonts w:eastAsia="DengXian"/>
                <w:color w:val="000000"/>
              </w:rPr>
              <w:t>P2--Y6</w:t>
            </w:r>
          </w:p>
        </w:tc>
        <w:tc>
          <w:tcPr>
            <w:tcW w:w="1687" w:type="dxa"/>
            <w:vAlign w:val="center"/>
          </w:tcPr>
          <w:p w14:paraId="72245908"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77788D93"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6DC4267"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2AEC48F4"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43C025B8" w14:textId="77777777" w:rsidTr="00B518F1">
        <w:tc>
          <w:tcPr>
            <w:tcW w:w="1434" w:type="dxa"/>
            <w:vAlign w:val="center"/>
          </w:tcPr>
          <w:p w14:paraId="2C228563" w14:textId="77777777" w:rsidR="007075D9" w:rsidRPr="004D46AC" w:rsidRDefault="007075D9" w:rsidP="00CE2F7A">
            <w:pPr>
              <w:spacing w:line="240" w:lineRule="auto"/>
              <w:ind w:firstLine="0"/>
              <w:rPr>
                <w:b/>
                <w:bCs/>
                <w:i/>
                <w:iCs/>
              </w:rPr>
            </w:pPr>
            <w:r w:rsidRPr="004D46AC">
              <w:rPr>
                <w:rFonts w:eastAsia="DengXian"/>
                <w:color w:val="000000"/>
              </w:rPr>
              <w:lastRenderedPageBreak/>
              <w:t>P2--P5</w:t>
            </w:r>
          </w:p>
        </w:tc>
        <w:tc>
          <w:tcPr>
            <w:tcW w:w="1687" w:type="dxa"/>
            <w:vAlign w:val="center"/>
          </w:tcPr>
          <w:p w14:paraId="4363EB4D"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6B46B59F"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12B28E00"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66FE4594"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4D49BA69" w14:textId="77777777" w:rsidTr="00B518F1">
        <w:tc>
          <w:tcPr>
            <w:tcW w:w="1434" w:type="dxa"/>
            <w:vAlign w:val="center"/>
          </w:tcPr>
          <w:p w14:paraId="3D73CD59" w14:textId="77777777" w:rsidR="007075D9" w:rsidRPr="004D46AC" w:rsidRDefault="007075D9" w:rsidP="00CE2F7A">
            <w:pPr>
              <w:spacing w:line="240" w:lineRule="auto"/>
              <w:ind w:firstLine="0"/>
              <w:rPr>
                <w:b/>
                <w:bCs/>
                <w:i/>
                <w:iCs/>
              </w:rPr>
            </w:pPr>
            <w:r w:rsidRPr="004D46AC">
              <w:rPr>
                <w:rFonts w:eastAsia="DengXian"/>
                <w:color w:val="000000"/>
              </w:rPr>
              <w:t>P2--P4</w:t>
            </w:r>
          </w:p>
        </w:tc>
        <w:tc>
          <w:tcPr>
            <w:tcW w:w="1687" w:type="dxa"/>
            <w:vAlign w:val="center"/>
          </w:tcPr>
          <w:p w14:paraId="1E99B071"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0912A21E"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2AE1FBD1"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3A864D21"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05D32B7C" w14:textId="77777777" w:rsidTr="00B518F1">
        <w:tc>
          <w:tcPr>
            <w:tcW w:w="1434" w:type="dxa"/>
            <w:vAlign w:val="center"/>
          </w:tcPr>
          <w:p w14:paraId="20813CAA" w14:textId="77777777" w:rsidR="007075D9" w:rsidRPr="004D46AC" w:rsidRDefault="007075D9" w:rsidP="00CE2F7A">
            <w:pPr>
              <w:spacing w:line="240" w:lineRule="auto"/>
              <w:ind w:firstLine="0"/>
              <w:rPr>
                <w:b/>
                <w:bCs/>
                <w:i/>
                <w:iCs/>
              </w:rPr>
            </w:pPr>
            <w:r w:rsidRPr="004D46AC">
              <w:rPr>
                <w:rFonts w:eastAsia="DengXian"/>
                <w:color w:val="000000"/>
              </w:rPr>
              <w:t>P2--N1</w:t>
            </w:r>
          </w:p>
        </w:tc>
        <w:tc>
          <w:tcPr>
            <w:tcW w:w="1687" w:type="dxa"/>
            <w:vAlign w:val="center"/>
          </w:tcPr>
          <w:p w14:paraId="19011C87"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5AB0278E"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2EA5B7D"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63C48946"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09B63A58" w14:textId="77777777" w:rsidTr="00B518F1">
        <w:tc>
          <w:tcPr>
            <w:tcW w:w="1434" w:type="dxa"/>
            <w:vAlign w:val="center"/>
          </w:tcPr>
          <w:p w14:paraId="1137DA7D" w14:textId="77777777" w:rsidR="007075D9" w:rsidRPr="004D46AC" w:rsidRDefault="007075D9" w:rsidP="00CE2F7A">
            <w:pPr>
              <w:spacing w:line="240" w:lineRule="auto"/>
              <w:ind w:firstLine="0"/>
              <w:rPr>
                <w:b/>
                <w:bCs/>
                <w:i/>
                <w:iCs/>
              </w:rPr>
            </w:pPr>
            <w:r w:rsidRPr="004D46AC">
              <w:rPr>
                <w:rFonts w:eastAsia="DengXian"/>
                <w:color w:val="000000"/>
              </w:rPr>
              <w:t>M2--SP</w:t>
            </w:r>
          </w:p>
        </w:tc>
        <w:tc>
          <w:tcPr>
            <w:tcW w:w="1687" w:type="dxa"/>
            <w:vAlign w:val="center"/>
          </w:tcPr>
          <w:p w14:paraId="26C5A7DB"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07C54A1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6B8EDF0"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6F8CDAE3"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64D91683" w14:textId="77777777" w:rsidTr="00B518F1">
        <w:tc>
          <w:tcPr>
            <w:tcW w:w="1434" w:type="dxa"/>
            <w:vAlign w:val="center"/>
          </w:tcPr>
          <w:p w14:paraId="2EE8E975" w14:textId="77777777" w:rsidR="007075D9" w:rsidRPr="004D46AC" w:rsidRDefault="007075D9" w:rsidP="00CE2F7A">
            <w:pPr>
              <w:spacing w:line="240" w:lineRule="auto"/>
              <w:ind w:firstLine="0"/>
              <w:rPr>
                <w:b/>
                <w:bCs/>
                <w:i/>
                <w:iCs/>
              </w:rPr>
            </w:pPr>
            <w:r w:rsidRPr="004D46AC">
              <w:rPr>
                <w:rFonts w:eastAsia="DengXian"/>
                <w:color w:val="000000"/>
              </w:rPr>
              <w:t>M3--M7</w:t>
            </w:r>
          </w:p>
        </w:tc>
        <w:tc>
          <w:tcPr>
            <w:tcW w:w="1687" w:type="dxa"/>
            <w:vAlign w:val="center"/>
          </w:tcPr>
          <w:p w14:paraId="3850FCC7"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5FE3EE1"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5BEF662"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19FEF3BB"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0CCFD012" w14:textId="77777777" w:rsidTr="00B518F1">
        <w:tc>
          <w:tcPr>
            <w:tcW w:w="1434" w:type="dxa"/>
            <w:vAlign w:val="center"/>
          </w:tcPr>
          <w:p w14:paraId="774187AA" w14:textId="77777777" w:rsidR="007075D9" w:rsidRPr="004D46AC" w:rsidRDefault="007075D9" w:rsidP="00CE2F7A">
            <w:pPr>
              <w:spacing w:line="240" w:lineRule="auto"/>
              <w:ind w:firstLine="0"/>
              <w:rPr>
                <w:b/>
                <w:bCs/>
                <w:i/>
                <w:iCs/>
              </w:rPr>
            </w:pPr>
            <w:r w:rsidRPr="004D46AC">
              <w:rPr>
                <w:rFonts w:eastAsia="DengXian"/>
                <w:color w:val="000000"/>
              </w:rPr>
              <w:t>P3--Y7</w:t>
            </w:r>
          </w:p>
        </w:tc>
        <w:tc>
          <w:tcPr>
            <w:tcW w:w="1687" w:type="dxa"/>
            <w:vAlign w:val="center"/>
          </w:tcPr>
          <w:p w14:paraId="27FE6A10"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6637B177"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01A01147"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74C38B9C"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3CCFC41F" w14:textId="77777777" w:rsidTr="00B518F1">
        <w:tc>
          <w:tcPr>
            <w:tcW w:w="1434" w:type="dxa"/>
            <w:vAlign w:val="center"/>
          </w:tcPr>
          <w:p w14:paraId="1B6DECE0" w14:textId="77777777" w:rsidR="007075D9" w:rsidRPr="004D46AC" w:rsidRDefault="007075D9" w:rsidP="00CE2F7A">
            <w:pPr>
              <w:spacing w:line="240" w:lineRule="auto"/>
              <w:ind w:firstLine="0"/>
              <w:rPr>
                <w:b/>
                <w:bCs/>
                <w:i/>
                <w:iCs/>
              </w:rPr>
            </w:pPr>
            <w:r w:rsidRPr="004D46AC">
              <w:rPr>
                <w:rFonts w:eastAsia="DengXian"/>
                <w:color w:val="000000"/>
              </w:rPr>
              <w:t>M6--M8</w:t>
            </w:r>
          </w:p>
        </w:tc>
        <w:tc>
          <w:tcPr>
            <w:tcW w:w="1687" w:type="dxa"/>
            <w:vAlign w:val="center"/>
          </w:tcPr>
          <w:p w14:paraId="632518E7"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2139335B"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2A73F0F1"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3CEF20F2"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25722D39" w14:textId="77777777" w:rsidTr="00B518F1">
        <w:tc>
          <w:tcPr>
            <w:tcW w:w="1434" w:type="dxa"/>
            <w:vAlign w:val="center"/>
          </w:tcPr>
          <w:p w14:paraId="09A3BBCC" w14:textId="77777777" w:rsidR="007075D9" w:rsidRPr="004D46AC" w:rsidRDefault="007075D9" w:rsidP="00CE2F7A">
            <w:pPr>
              <w:spacing w:line="240" w:lineRule="auto"/>
              <w:ind w:firstLine="0"/>
              <w:rPr>
                <w:b/>
                <w:bCs/>
                <w:i/>
                <w:iCs/>
              </w:rPr>
            </w:pPr>
            <w:r w:rsidRPr="004D46AC">
              <w:rPr>
                <w:rFonts w:eastAsia="DengXian"/>
                <w:color w:val="000000"/>
              </w:rPr>
              <w:t>P3--SP</w:t>
            </w:r>
          </w:p>
        </w:tc>
        <w:tc>
          <w:tcPr>
            <w:tcW w:w="1687" w:type="dxa"/>
            <w:vAlign w:val="center"/>
          </w:tcPr>
          <w:p w14:paraId="69682F1D"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5CE4599A"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F4E62A1"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3D2A93BA" w14:textId="77777777" w:rsidR="007075D9" w:rsidRPr="004D46AC" w:rsidRDefault="007075D9" w:rsidP="00CE2F7A">
            <w:pPr>
              <w:spacing w:line="240" w:lineRule="auto"/>
              <w:ind w:firstLine="0"/>
              <w:rPr>
                <w:b/>
                <w:bCs/>
                <w:i/>
                <w:iCs/>
              </w:rPr>
            </w:pPr>
            <w:r w:rsidRPr="004D46AC">
              <w:rPr>
                <w:color w:val="000000"/>
              </w:rPr>
              <w:t xml:space="preserve">0.10 </w:t>
            </w:r>
          </w:p>
        </w:tc>
      </w:tr>
      <w:tr w:rsidR="007075D9" w:rsidRPr="004D46AC" w14:paraId="47B6DCE9" w14:textId="77777777" w:rsidTr="00B518F1">
        <w:tc>
          <w:tcPr>
            <w:tcW w:w="1434" w:type="dxa"/>
            <w:vAlign w:val="center"/>
          </w:tcPr>
          <w:p w14:paraId="283DB7B4" w14:textId="77777777" w:rsidR="007075D9" w:rsidRPr="004D46AC" w:rsidRDefault="007075D9" w:rsidP="00CE2F7A">
            <w:pPr>
              <w:spacing w:line="240" w:lineRule="auto"/>
              <w:ind w:firstLine="0"/>
              <w:rPr>
                <w:b/>
                <w:bCs/>
                <w:i/>
                <w:iCs/>
              </w:rPr>
            </w:pPr>
            <w:r w:rsidRPr="004D46AC">
              <w:rPr>
                <w:rFonts w:eastAsia="DengXian"/>
                <w:color w:val="000000"/>
              </w:rPr>
              <w:t>P4--N7</w:t>
            </w:r>
          </w:p>
        </w:tc>
        <w:tc>
          <w:tcPr>
            <w:tcW w:w="1687" w:type="dxa"/>
            <w:vAlign w:val="center"/>
          </w:tcPr>
          <w:p w14:paraId="62BD3F9E"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13E7854"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249ADF85"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647DC336"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517595D6" w14:textId="77777777" w:rsidTr="00B518F1">
        <w:tc>
          <w:tcPr>
            <w:tcW w:w="1434" w:type="dxa"/>
            <w:vAlign w:val="center"/>
          </w:tcPr>
          <w:p w14:paraId="4D45BEDF" w14:textId="77777777" w:rsidR="007075D9" w:rsidRPr="004D46AC" w:rsidRDefault="007075D9" w:rsidP="00CE2F7A">
            <w:pPr>
              <w:spacing w:line="240" w:lineRule="auto"/>
              <w:ind w:firstLine="0"/>
              <w:rPr>
                <w:b/>
                <w:bCs/>
                <w:i/>
                <w:iCs/>
              </w:rPr>
            </w:pPr>
            <w:r w:rsidRPr="004D46AC">
              <w:rPr>
                <w:rFonts w:eastAsia="DengXian"/>
                <w:color w:val="000000"/>
              </w:rPr>
              <w:t>P6--N7</w:t>
            </w:r>
          </w:p>
        </w:tc>
        <w:tc>
          <w:tcPr>
            <w:tcW w:w="1687" w:type="dxa"/>
            <w:vAlign w:val="center"/>
          </w:tcPr>
          <w:p w14:paraId="07B83DE4"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422B153E"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09DAB4F5"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265CCEC8"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400985EE" w14:textId="77777777" w:rsidTr="00B518F1">
        <w:tc>
          <w:tcPr>
            <w:tcW w:w="1434" w:type="dxa"/>
            <w:vAlign w:val="center"/>
          </w:tcPr>
          <w:p w14:paraId="27022203" w14:textId="77777777" w:rsidR="007075D9" w:rsidRPr="004D46AC" w:rsidRDefault="007075D9" w:rsidP="00CE2F7A">
            <w:pPr>
              <w:spacing w:line="240" w:lineRule="auto"/>
              <w:ind w:firstLine="0"/>
              <w:rPr>
                <w:b/>
                <w:bCs/>
                <w:i/>
                <w:iCs/>
              </w:rPr>
            </w:pPr>
            <w:r w:rsidRPr="004D46AC">
              <w:rPr>
                <w:rFonts w:eastAsia="DengXian"/>
                <w:color w:val="000000"/>
              </w:rPr>
              <w:t>P3--WD</w:t>
            </w:r>
          </w:p>
        </w:tc>
        <w:tc>
          <w:tcPr>
            <w:tcW w:w="1687" w:type="dxa"/>
            <w:vAlign w:val="center"/>
          </w:tcPr>
          <w:p w14:paraId="17DF9CD1"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88FBB97"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D1C7C81"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08E12307"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1C2E1679" w14:textId="77777777" w:rsidTr="00B518F1">
        <w:tc>
          <w:tcPr>
            <w:tcW w:w="1434" w:type="dxa"/>
            <w:vAlign w:val="center"/>
          </w:tcPr>
          <w:p w14:paraId="4863D2C1" w14:textId="77777777" w:rsidR="007075D9" w:rsidRPr="004D46AC" w:rsidRDefault="007075D9" w:rsidP="00CE2F7A">
            <w:pPr>
              <w:spacing w:line="240" w:lineRule="auto"/>
              <w:ind w:firstLine="0"/>
              <w:rPr>
                <w:b/>
                <w:bCs/>
                <w:i/>
                <w:iCs/>
              </w:rPr>
            </w:pPr>
            <w:r w:rsidRPr="004D46AC">
              <w:rPr>
                <w:rFonts w:eastAsia="DengXian"/>
                <w:color w:val="000000"/>
              </w:rPr>
              <w:t>WD--M10</w:t>
            </w:r>
          </w:p>
        </w:tc>
        <w:tc>
          <w:tcPr>
            <w:tcW w:w="1687" w:type="dxa"/>
            <w:vAlign w:val="center"/>
          </w:tcPr>
          <w:p w14:paraId="3899010B"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60C9CF0C"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918E736"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0B6AD305"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498541B1" w14:textId="77777777" w:rsidTr="00B518F1">
        <w:tc>
          <w:tcPr>
            <w:tcW w:w="1434" w:type="dxa"/>
            <w:vAlign w:val="center"/>
          </w:tcPr>
          <w:p w14:paraId="2F20E784" w14:textId="77777777" w:rsidR="007075D9" w:rsidRPr="004D46AC" w:rsidRDefault="007075D9" w:rsidP="00CE2F7A">
            <w:pPr>
              <w:spacing w:line="240" w:lineRule="auto"/>
              <w:ind w:firstLine="0"/>
              <w:rPr>
                <w:b/>
                <w:bCs/>
                <w:i/>
                <w:iCs/>
              </w:rPr>
            </w:pPr>
            <w:r w:rsidRPr="004D46AC">
              <w:rPr>
                <w:rFonts w:eastAsia="DengXian"/>
                <w:color w:val="000000"/>
              </w:rPr>
              <w:t>Y6--Y11</w:t>
            </w:r>
          </w:p>
        </w:tc>
        <w:tc>
          <w:tcPr>
            <w:tcW w:w="1687" w:type="dxa"/>
            <w:vAlign w:val="center"/>
          </w:tcPr>
          <w:p w14:paraId="1C5E7857"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6F3B5CB9"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3610B1C"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4CF40C36"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151C3A51" w14:textId="77777777" w:rsidTr="00B518F1">
        <w:tc>
          <w:tcPr>
            <w:tcW w:w="1434" w:type="dxa"/>
            <w:vAlign w:val="center"/>
          </w:tcPr>
          <w:p w14:paraId="1836077C" w14:textId="77777777" w:rsidR="007075D9" w:rsidRPr="004D46AC" w:rsidRDefault="007075D9" w:rsidP="00CE2F7A">
            <w:pPr>
              <w:spacing w:line="240" w:lineRule="auto"/>
              <w:ind w:firstLine="0"/>
              <w:rPr>
                <w:b/>
                <w:bCs/>
                <w:i/>
                <w:iCs/>
              </w:rPr>
            </w:pPr>
            <w:r w:rsidRPr="004D46AC">
              <w:rPr>
                <w:rFonts w:eastAsia="DengXian"/>
                <w:color w:val="000000"/>
              </w:rPr>
              <w:t>P3--P5</w:t>
            </w:r>
          </w:p>
        </w:tc>
        <w:tc>
          <w:tcPr>
            <w:tcW w:w="1687" w:type="dxa"/>
            <w:vAlign w:val="center"/>
          </w:tcPr>
          <w:p w14:paraId="6BC9CDE7"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37ECF70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8CE895D"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46786DE1" w14:textId="77777777" w:rsidR="007075D9" w:rsidRPr="004D46AC" w:rsidRDefault="007075D9" w:rsidP="00CE2F7A">
            <w:pPr>
              <w:spacing w:line="240" w:lineRule="auto"/>
              <w:ind w:firstLine="0"/>
              <w:rPr>
                <w:b/>
                <w:bCs/>
                <w:i/>
                <w:iCs/>
              </w:rPr>
            </w:pPr>
            <w:r w:rsidRPr="004D46AC">
              <w:rPr>
                <w:color w:val="000000"/>
              </w:rPr>
              <w:t xml:space="preserve">0.09 </w:t>
            </w:r>
          </w:p>
        </w:tc>
      </w:tr>
      <w:tr w:rsidR="007075D9" w:rsidRPr="004D46AC" w14:paraId="27672115" w14:textId="77777777" w:rsidTr="00B518F1">
        <w:tc>
          <w:tcPr>
            <w:tcW w:w="1434" w:type="dxa"/>
            <w:vAlign w:val="center"/>
          </w:tcPr>
          <w:p w14:paraId="76F5E647" w14:textId="77777777" w:rsidR="007075D9" w:rsidRPr="004D46AC" w:rsidRDefault="007075D9" w:rsidP="00CE2F7A">
            <w:pPr>
              <w:spacing w:line="240" w:lineRule="auto"/>
              <w:ind w:firstLine="0"/>
              <w:rPr>
                <w:b/>
                <w:bCs/>
                <w:i/>
                <w:iCs/>
              </w:rPr>
            </w:pPr>
            <w:r w:rsidRPr="004D46AC">
              <w:rPr>
                <w:rFonts w:eastAsia="DengXian"/>
                <w:color w:val="000000"/>
              </w:rPr>
              <w:t>N1--M2</w:t>
            </w:r>
          </w:p>
        </w:tc>
        <w:tc>
          <w:tcPr>
            <w:tcW w:w="1687" w:type="dxa"/>
            <w:vAlign w:val="center"/>
          </w:tcPr>
          <w:p w14:paraId="52901C1E"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D937B25"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1DE828E3"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6E755C69"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142169A9" w14:textId="77777777" w:rsidTr="00B518F1">
        <w:tc>
          <w:tcPr>
            <w:tcW w:w="1434" w:type="dxa"/>
            <w:vAlign w:val="center"/>
          </w:tcPr>
          <w:p w14:paraId="3A6CDCB3" w14:textId="77777777" w:rsidR="007075D9" w:rsidRPr="004D46AC" w:rsidRDefault="007075D9" w:rsidP="00CE2F7A">
            <w:pPr>
              <w:spacing w:line="240" w:lineRule="auto"/>
              <w:ind w:firstLine="0"/>
              <w:rPr>
                <w:b/>
                <w:bCs/>
                <w:i/>
                <w:iCs/>
              </w:rPr>
            </w:pPr>
            <w:r w:rsidRPr="004D46AC">
              <w:rPr>
                <w:rFonts w:eastAsia="DengXian"/>
                <w:color w:val="000000"/>
              </w:rPr>
              <w:t>P5--Y11</w:t>
            </w:r>
          </w:p>
        </w:tc>
        <w:tc>
          <w:tcPr>
            <w:tcW w:w="1687" w:type="dxa"/>
            <w:vAlign w:val="center"/>
          </w:tcPr>
          <w:p w14:paraId="7D5B9019"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3CB3FD7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00F140B"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3D80E015" w14:textId="77777777" w:rsidR="007075D9" w:rsidRPr="004D46AC" w:rsidRDefault="007075D9" w:rsidP="00CE2F7A">
            <w:pPr>
              <w:spacing w:line="240" w:lineRule="auto"/>
              <w:ind w:firstLine="0"/>
              <w:rPr>
                <w:b/>
                <w:bCs/>
                <w:i/>
                <w:iCs/>
              </w:rPr>
            </w:pPr>
            <w:r w:rsidRPr="004D46AC">
              <w:rPr>
                <w:color w:val="000000"/>
              </w:rPr>
              <w:t xml:space="preserve">0.17 </w:t>
            </w:r>
          </w:p>
        </w:tc>
      </w:tr>
      <w:tr w:rsidR="007075D9" w:rsidRPr="004D46AC" w14:paraId="5D04F01E" w14:textId="77777777" w:rsidTr="00B518F1">
        <w:tc>
          <w:tcPr>
            <w:tcW w:w="1434" w:type="dxa"/>
            <w:vAlign w:val="center"/>
          </w:tcPr>
          <w:p w14:paraId="60DF3EAD" w14:textId="77777777" w:rsidR="007075D9" w:rsidRPr="004D46AC" w:rsidRDefault="007075D9" w:rsidP="00CE2F7A">
            <w:pPr>
              <w:spacing w:line="240" w:lineRule="auto"/>
              <w:ind w:firstLine="0"/>
              <w:rPr>
                <w:b/>
                <w:bCs/>
                <w:i/>
                <w:iCs/>
              </w:rPr>
            </w:pPr>
            <w:r w:rsidRPr="004D46AC">
              <w:rPr>
                <w:rFonts w:eastAsia="DengXian"/>
                <w:color w:val="000000"/>
              </w:rPr>
              <w:t>ME--SP</w:t>
            </w:r>
          </w:p>
        </w:tc>
        <w:tc>
          <w:tcPr>
            <w:tcW w:w="1687" w:type="dxa"/>
            <w:vAlign w:val="center"/>
          </w:tcPr>
          <w:p w14:paraId="6F745B38"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5DDC7485"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D6EF1D9"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54410260" w14:textId="77777777" w:rsidR="007075D9" w:rsidRPr="004D46AC" w:rsidRDefault="007075D9" w:rsidP="00CE2F7A">
            <w:pPr>
              <w:spacing w:line="240" w:lineRule="auto"/>
              <w:ind w:firstLine="0"/>
              <w:rPr>
                <w:b/>
                <w:bCs/>
                <w:i/>
                <w:iCs/>
              </w:rPr>
            </w:pPr>
            <w:r w:rsidRPr="004D46AC">
              <w:rPr>
                <w:color w:val="000000"/>
              </w:rPr>
              <w:t xml:space="preserve">0.20 </w:t>
            </w:r>
          </w:p>
        </w:tc>
      </w:tr>
      <w:tr w:rsidR="007075D9" w:rsidRPr="004D46AC" w14:paraId="7BB4C285" w14:textId="77777777" w:rsidTr="00B518F1">
        <w:tc>
          <w:tcPr>
            <w:tcW w:w="1434" w:type="dxa"/>
            <w:vAlign w:val="center"/>
          </w:tcPr>
          <w:p w14:paraId="217CA789" w14:textId="77777777" w:rsidR="007075D9" w:rsidRPr="004D46AC" w:rsidRDefault="007075D9" w:rsidP="00CE2F7A">
            <w:pPr>
              <w:spacing w:line="240" w:lineRule="auto"/>
              <w:ind w:firstLine="0"/>
              <w:rPr>
                <w:b/>
                <w:bCs/>
                <w:i/>
                <w:iCs/>
              </w:rPr>
            </w:pPr>
            <w:r w:rsidRPr="004D46AC">
              <w:rPr>
                <w:rFonts w:eastAsia="DengXian"/>
                <w:color w:val="000000"/>
              </w:rPr>
              <w:t>P6--M3</w:t>
            </w:r>
          </w:p>
        </w:tc>
        <w:tc>
          <w:tcPr>
            <w:tcW w:w="1687" w:type="dxa"/>
            <w:vAlign w:val="center"/>
          </w:tcPr>
          <w:p w14:paraId="4633F72E"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529E7355"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3BB52A1"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645DC0A7"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45371B10" w14:textId="77777777" w:rsidTr="00B518F1">
        <w:tc>
          <w:tcPr>
            <w:tcW w:w="1434" w:type="dxa"/>
            <w:vAlign w:val="center"/>
          </w:tcPr>
          <w:p w14:paraId="6097722F" w14:textId="77777777" w:rsidR="007075D9" w:rsidRPr="004D46AC" w:rsidRDefault="007075D9" w:rsidP="00CE2F7A">
            <w:pPr>
              <w:spacing w:line="240" w:lineRule="auto"/>
              <w:ind w:firstLine="0"/>
              <w:rPr>
                <w:b/>
                <w:bCs/>
                <w:i/>
                <w:iCs/>
              </w:rPr>
            </w:pPr>
            <w:r w:rsidRPr="004D46AC">
              <w:rPr>
                <w:rFonts w:eastAsia="DengXian"/>
                <w:color w:val="000000"/>
              </w:rPr>
              <w:t>P5--Y7</w:t>
            </w:r>
          </w:p>
        </w:tc>
        <w:tc>
          <w:tcPr>
            <w:tcW w:w="1687" w:type="dxa"/>
            <w:vAlign w:val="center"/>
          </w:tcPr>
          <w:p w14:paraId="2D04574F"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1A962A33"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DDD985C"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092AACE2" w14:textId="77777777" w:rsidR="007075D9" w:rsidRPr="004D46AC" w:rsidRDefault="007075D9" w:rsidP="00CE2F7A">
            <w:pPr>
              <w:spacing w:line="240" w:lineRule="auto"/>
              <w:ind w:firstLine="0"/>
              <w:rPr>
                <w:b/>
                <w:bCs/>
                <w:i/>
                <w:iCs/>
              </w:rPr>
            </w:pPr>
            <w:r w:rsidRPr="004D46AC">
              <w:rPr>
                <w:color w:val="000000"/>
              </w:rPr>
              <w:t xml:space="preserve">0.10 </w:t>
            </w:r>
          </w:p>
        </w:tc>
      </w:tr>
      <w:tr w:rsidR="007075D9" w:rsidRPr="004D46AC" w14:paraId="350307B4" w14:textId="77777777" w:rsidTr="00B518F1">
        <w:tc>
          <w:tcPr>
            <w:tcW w:w="1434" w:type="dxa"/>
            <w:vAlign w:val="center"/>
          </w:tcPr>
          <w:p w14:paraId="6E162128" w14:textId="77777777" w:rsidR="007075D9" w:rsidRPr="004D46AC" w:rsidRDefault="007075D9" w:rsidP="00CE2F7A">
            <w:pPr>
              <w:spacing w:line="240" w:lineRule="auto"/>
              <w:ind w:firstLine="0"/>
              <w:rPr>
                <w:b/>
                <w:bCs/>
                <w:i/>
                <w:iCs/>
              </w:rPr>
            </w:pPr>
            <w:r w:rsidRPr="004D46AC">
              <w:rPr>
                <w:rFonts w:eastAsia="DengXian"/>
                <w:color w:val="000000"/>
              </w:rPr>
              <w:t>P3--N5</w:t>
            </w:r>
          </w:p>
        </w:tc>
        <w:tc>
          <w:tcPr>
            <w:tcW w:w="1687" w:type="dxa"/>
            <w:vAlign w:val="center"/>
          </w:tcPr>
          <w:p w14:paraId="6202EE65"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2580841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E573ED1"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411AC13"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10DE5239" w14:textId="77777777" w:rsidTr="00B518F1">
        <w:tc>
          <w:tcPr>
            <w:tcW w:w="1434" w:type="dxa"/>
            <w:vAlign w:val="center"/>
          </w:tcPr>
          <w:p w14:paraId="504B6413" w14:textId="77777777" w:rsidR="007075D9" w:rsidRPr="004D46AC" w:rsidRDefault="007075D9" w:rsidP="00CE2F7A">
            <w:pPr>
              <w:spacing w:line="240" w:lineRule="auto"/>
              <w:ind w:firstLine="0"/>
              <w:rPr>
                <w:b/>
                <w:bCs/>
                <w:i/>
                <w:iCs/>
              </w:rPr>
            </w:pPr>
            <w:r w:rsidRPr="004D46AC">
              <w:rPr>
                <w:rFonts w:eastAsia="DengXian"/>
                <w:color w:val="000000"/>
              </w:rPr>
              <w:t>M5--M7</w:t>
            </w:r>
          </w:p>
        </w:tc>
        <w:tc>
          <w:tcPr>
            <w:tcW w:w="1687" w:type="dxa"/>
            <w:vAlign w:val="center"/>
          </w:tcPr>
          <w:p w14:paraId="774B0504"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140C5BAC"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9259AA5"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72AA7884" w14:textId="77777777" w:rsidR="007075D9" w:rsidRPr="004D46AC" w:rsidRDefault="007075D9" w:rsidP="00CE2F7A">
            <w:pPr>
              <w:spacing w:line="240" w:lineRule="auto"/>
              <w:ind w:firstLine="0"/>
              <w:rPr>
                <w:b/>
                <w:bCs/>
                <w:i/>
                <w:iCs/>
              </w:rPr>
            </w:pPr>
            <w:r w:rsidRPr="004D46AC">
              <w:rPr>
                <w:color w:val="000000"/>
              </w:rPr>
              <w:t xml:space="preserve">0.12 </w:t>
            </w:r>
          </w:p>
        </w:tc>
      </w:tr>
      <w:tr w:rsidR="007075D9" w:rsidRPr="004D46AC" w14:paraId="2FC59255" w14:textId="77777777" w:rsidTr="00B518F1">
        <w:tc>
          <w:tcPr>
            <w:tcW w:w="1434" w:type="dxa"/>
            <w:vAlign w:val="center"/>
          </w:tcPr>
          <w:p w14:paraId="3C050855" w14:textId="77777777" w:rsidR="007075D9" w:rsidRPr="004D46AC" w:rsidRDefault="007075D9" w:rsidP="00CE2F7A">
            <w:pPr>
              <w:spacing w:line="240" w:lineRule="auto"/>
              <w:ind w:firstLine="0"/>
              <w:rPr>
                <w:b/>
                <w:bCs/>
                <w:i/>
                <w:iCs/>
              </w:rPr>
            </w:pPr>
            <w:r w:rsidRPr="004D46AC">
              <w:rPr>
                <w:rFonts w:eastAsia="DengXian"/>
                <w:color w:val="000000"/>
              </w:rPr>
              <w:t>P2--P6</w:t>
            </w:r>
          </w:p>
        </w:tc>
        <w:tc>
          <w:tcPr>
            <w:tcW w:w="1687" w:type="dxa"/>
            <w:vAlign w:val="center"/>
          </w:tcPr>
          <w:p w14:paraId="281D847D"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0F70809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A00BCEC"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395C94CF"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5FB6B1C7" w14:textId="77777777" w:rsidTr="00B518F1">
        <w:tc>
          <w:tcPr>
            <w:tcW w:w="1434" w:type="dxa"/>
            <w:vAlign w:val="center"/>
          </w:tcPr>
          <w:p w14:paraId="498B8525" w14:textId="77777777" w:rsidR="007075D9" w:rsidRPr="004D46AC" w:rsidRDefault="007075D9" w:rsidP="00CE2F7A">
            <w:pPr>
              <w:spacing w:line="240" w:lineRule="auto"/>
              <w:ind w:firstLine="0"/>
              <w:rPr>
                <w:b/>
                <w:bCs/>
                <w:i/>
                <w:iCs/>
              </w:rPr>
            </w:pPr>
            <w:r w:rsidRPr="004D46AC">
              <w:rPr>
                <w:rFonts w:eastAsia="DengXian"/>
                <w:color w:val="000000"/>
              </w:rPr>
              <w:t>Y7--M3</w:t>
            </w:r>
          </w:p>
        </w:tc>
        <w:tc>
          <w:tcPr>
            <w:tcW w:w="1687" w:type="dxa"/>
            <w:vAlign w:val="center"/>
          </w:tcPr>
          <w:p w14:paraId="087FB41C"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262D5D95"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56BD494"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4C6F521" w14:textId="77777777" w:rsidR="007075D9" w:rsidRPr="004D46AC" w:rsidRDefault="007075D9" w:rsidP="00CE2F7A">
            <w:pPr>
              <w:spacing w:line="240" w:lineRule="auto"/>
              <w:ind w:firstLine="0"/>
              <w:rPr>
                <w:b/>
                <w:bCs/>
                <w:i/>
                <w:iCs/>
              </w:rPr>
            </w:pPr>
            <w:r w:rsidRPr="004D46AC">
              <w:rPr>
                <w:color w:val="000000"/>
              </w:rPr>
              <w:t xml:space="preserve">0.08 </w:t>
            </w:r>
          </w:p>
        </w:tc>
      </w:tr>
      <w:tr w:rsidR="007075D9" w:rsidRPr="004D46AC" w14:paraId="54FA5130" w14:textId="77777777" w:rsidTr="00B518F1">
        <w:tc>
          <w:tcPr>
            <w:tcW w:w="1434" w:type="dxa"/>
            <w:vAlign w:val="center"/>
          </w:tcPr>
          <w:p w14:paraId="7ECF015F" w14:textId="77777777" w:rsidR="007075D9" w:rsidRPr="004D46AC" w:rsidRDefault="007075D9" w:rsidP="00CE2F7A">
            <w:pPr>
              <w:spacing w:line="240" w:lineRule="auto"/>
              <w:ind w:firstLine="0"/>
              <w:rPr>
                <w:b/>
                <w:bCs/>
                <w:i/>
                <w:iCs/>
              </w:rPr>
            </w:pPr>
            <w:r w:rsidRPr="004D46AC">
              <w:rPr>
                <w:rFonts w:eastAsia="DengXian"/>
                <w:color w:val="000000"/>
              </w:rPr>
              <w:t>P5--ME</w:t>
            </w:r>
          </w:p>
        </w:tc>
        <w:tc>
          <w:tcPr>
            <w:tcW w:w="1687" w:type="dxa"/>
            <w:vAlign w:val="center"/>
          </w:tcPr>
          <w:p w14:paraId="667490CC"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20E3C28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CAB1F91"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2BE6EC0C"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6D28C328" w14:textId="77777777" w:rsidTr="00B518F1">
        <w:tc>
          <w:tcPr>
            <w:tcW w:w="1434" w:type="dxa"/>
            <w:vAlign w:val="center"/>
          </w:tcPr>
          <w:p w14:paraId="22098D8F" w14:textId="77777777" w:rsidR="007075D9" w:rsidRPr="004D46AC" w:rsidRDefault="007075D9" w:rsidP="00CE2F7A">
            <w:pPr>
              <w:spacing w:line="240" w:lineRule="auto"/>
              <w:ind w:firstLine="0"/>
              <w:rPr>
                <w:b/>
                <w:bCs/>
                <w:i/>
                <w:iCs/>
              </w:rPr>
            </w:pPr>
            <w:r w:rsidRPr="004D46AC">
              <w:rPr>
                <w:rFonts w:eastAsia="DengXian"/>
                <w:color w:val="000000"/>
              </w:rPr>
              <w:t>N7--Y10</w:t>
            </w:r>
          </w:p>
        </w:tc>
        <w:tc>
          <w:tcPr>
            <w:tcW w:w="1687" w:type="dxa"/>
            <w:vAlign w:val="center"/>
          </w:tcPr>
          <w:p w14:paraId="638868BC"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0326E093"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5820694"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6842FE75" w14:textId="77777777" w:rsidR="007075D9" w:rsidRPr="004D46AC" w:rsidRDefault="007075D9" w:rsidP="00CE2F7A">
            <w:pPr>
              <w:spacing w:line="240" w:lineRule="auto"/>
              <w:ind w:firstLine="0"/>
              <w:rPr>
                <w:b/>
                <w:bCs/>
                <w:i/>
                <w:iCs/>
              </w:rPr>
            </w:pPr>
            <w:r w:rsidRPr="004D46AC">
              <w:rPr>
                <w:color w:val="000000"/>
              </w:rPr>
              <w:t xml:space="preserve">0.21 </w:t>
            </w:r>
          </w:p>
        </w:tc>
      </w:tr>
      <w:tr w:rsidR="007075D9" w:rsidRPr="004D46AC" w14:paraId="47C6BF07" w14:textId="77777777" w:rsidTr="00B518F1">
        <w:tc>
          <w:tcPr>
            <w:tcW w:w="1434" w:type="dxa"/>
            <w:vAlign w:val="center"/>
          </w:tcPr>
          <w:p w14:paraId="4FD3BF54" w14:textId="77777777" w:rsidR="007075D9" w:rsidRPr="004D46AC" w:rsidRDefault="007075D9" w:rsidP="00CE2F7A">
            <w:pPr>
              <w:spacing w:line="240" w:lineRule="auto"/>
              <w:ind w:firstLine="0"/>
              <w:rPr>
                <w:b/>
                <w:bCs/>
                <w:i/>
                <w:iCs/>
              </w:rPr>
            </w:pPr>
            <w:r w:rsidRPr="004D46AC">
              <w:rPr>
                <w:rFonts w:eastAsia="DengXian"/>
                <w:color w:val="000000"/>
              </w:rPr>
              <w:t>P3--M3</w:t>
            </w:r>
          </w:p>
        </w:tc>
        <w:tc>
          <w:tcPr>
            <w:tcW w:w="1687" w:type="dxa"/>
            <w:vAlign w:val="center"/>
          </w:tcPr>
          <w:p w14:paraId="095FE5A4"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EF97C2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41D9BA6"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7EE8E5D9" w14:textId="77777777" w:rsidR="007075D9" w:rsidRPr="004D46AC" w:rsidRDefault="007075D9" w:rsidP="00CE2F7A">
            <w:pPr>
              <w:spacing w:line="240" w:lineRule="auto"/>
              <w:ind w:firstLine="0"/>
              <w:rPr>
                <w:b/>
                <w:bCs/>
                <w:i/>
                <w:iCs/>
              </w:rPr>
            </w:pPr>
            <w:r w:rsidRPr="004D46AC">
              <w:rPr>
                <w:color w:val="000000"/>
              </w:rPr>
              <w:t xml:space="preserve">0.16 </w:t>
            </w:r>
          </w:p>
        </w:tc>
      </w:tr>
      <w:tr w:rsidR="007075D9" w:rsidRPr="004D46AC" w14:paraId="5AEF7490" w14:textId="77777777" w:rsidTr="00B518F1">
        <w:tc>
          <w:tcPr>
            <w:tcW w:w="1434" w:type="dxa"/>
            <w:vAlign w:val="center"/>
          </w:tcPr>
          <w:p w14:paraId="2E9B3980" w14:textId="77777777" w:rsidR="007075D9" w:rsidRPr="004D46AC" w:rsidRDefault="007075D9" w:rsidP="00CE2F7A">
            <w:pPr>
              <w:spacing w:line="240" w:lineRule="auto"/>
              <w:ind w:firstLine="0"/>
              <w:rPr>
                <w:b/>
                <w:bCs/>
                <w:i/>
                <w:iCs/>
              </w:rPr>
            </w:pPr>
            <w:r w:rsidRPr="004D46AC">
              <w:rPr>
                <w:rFonts w:eastAsia="DengXian"/>
                <w:color w:val="000000"/>
              </w:rPr>
              <w:t>N1--N5</w:t>
            </w:r>
          </w:p>
        </w:tc>
        <w:tc>
          <w:tcPr>
            <w:tcW w:w="1687" w:type="dxa"/>
            <w:vAlign w:val="center"/>
          </w:tcPr>
          <w:p w14:paraId="13F9A1B2"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6ABCD3F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91DCF87"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37AF4B7B"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3875FD12" w14:textId="77777777" w:rsidTr="00B518F1">
        <w:tc>
          <w:tcPr>
            <w:tcW w:w="1434" w:type="dxa"/>
            <w:vAlign w:val="center"/>
          </w:tcPr>
          <w:p w14:paraId="2F57B213" w14:textId="77777777" w:rsidR="007075D9" w:rsidRPr="004D46AC" w:rsidRDefault="007075D9" w:rsidP="00CE2F7A">
            <w:pPr>
              <w:spacing w:line="240" w:lineRule="auto"/>
              <w:ind w:firstLine="0"/>
              <w:rPr>
                <w:b/>
                <w:bCs/>
                <w:i/>
                <w:iCs/>
              </w:rPr>
            </w:pPr>
            <w:r w:rsidRPr="004D46AC">
              <w:rPr>
                <w:rFonts w:eastAsia="DengXian"/>
                <w:color w:val="000000"/>
              </w:rPr>
              <w:t>IA--SP</w:t>
            </w:r>
          </w:p>
        </w:tc>
        <w:tc>
          <w:tcPr>
            <w:tcW w:w="1687" w:type="dxa"/>
            <w:vAlign w:val="center"/>
          </w:tcPr>
          <w:p w14:paraId="52573CBF"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77C24DEA"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43404BD"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AA6B4E2"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20DF5326" w14:textId="77777777" w:rsidTr="00B518F1">
        <w:tc>
          <w:tcPr>
            <w:tcW w:w="1434" w:type="dxa"/>
            <w:vAlign w:val="center"/>
          </w:tcPr>
          <w:p w14:paraId="217A7382" w14:textId="77777777" w:rsidR="007075D9" w:rsidRPr="004D46AC" w:rsidRDefault="007075D9" w:rsidP="00CE2F7A">
            <w:pPr>
              <w:spacing w:line="240" w:lineRule="auto"/>
              <w:ind w:firstLine="0"/>
              <w:rPr>
                <w:b/>
                <w:bCs/>
                <w:i/>
                <w:iCs/>
              </w:rPr>
            </w:pPr>
            <w:r w:rsidRPr="004D46AC">
              <w:rPr>
                <w:rFonts w:eastAsia="DengXian"/>
                <w:color w:val="000000"/>
              </w:rPr>
              <w:t>N1--N7</w:t>
            </w:r>
          </w:p>
        </w:tc>
        <w:tc>
          <w:tcPr>
            <w:tcW w:w="1687" w:type="dxa"/>
            <w:vAlign w:val="center"/>
          </w:tcPr>
          <w:p w14:paraId="71ADFF24"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B21FBC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1C4796D"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97321AB"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775F9C4E" w14:textId="77777777" w:rsidTr="00B518F1">
        <w:tc>
          <w:tcPr>
            <w:tcW w:w="1434" w:type="dxa"/>
            <w:vAlign w:val="center"/>
          </w:tcPr>
          <w:p w14:paraId="32858ADC" w14:textId="77777777" w:rsidR="007075D9" w:rsidRPr="004D46AC" w:rsidRDefault="007075D9" w:rsidP="00CE2F7A">
            <w:pPr>
              <w:spacing w:line="240" w:lineRule="auto"/>
              <w:ind w:firstLine="0"/>
              <w:rPr>
                <w:b/>
                <w:bCs/>
                <w:i/>
                <w:iCs/>
              </w:rPr>
            </w:pPr>
            <w:r w:rsidRPr="004D46AC">
              <w:rPr>
                <w:rFonts w:eastAsia="DengXian"/>
                <w:color w:val="000000"/>
              </w:rPr>
              <w:t>M2--M9</w:t>
            </w:r>
          </w:p>
        </w:tc>
        <w:tc>
          <w:tcPr>
            <w:tcW w:w="1687" w:type="dxa"/>
            <w:vAlign w:val="center"/>
          </w:tcPr>
          <w:p w14:paraId="482CDA4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BBEFD7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90F4527"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9DCD18C" w14:textId="77777777" w:rsidR="007075D9" w:rsidRPr="004D46AC" w:rsidRDefault="007075D9" w:rsidP="00CE2F7A">
            <w:pPr>
              <w:spacing w:line="240" w:lineRule="auto"/>
              <w:ind w:firstLine="0"/>
              <w:rPr>
                <w:b/>
                <w:bCs/>
                <w:i/>
                <w:iCs/>
              </w:rPr>
            </w:pPr>
            <w:r w:rsidRPr="004D46AC">
              <w:rPr>
                <w:color w:val="000000"/>
              </w:rPr>
              <w:t xml:space="preserve">0.10 </w:t>
            </w:r>
          </w:p>
        </w:tc>
      </w:tr>
      <w:tr w:rsidR="007075D9" w:rsidRPr="004D46AC" w14:paraId="04BBAD06" w14:textId="77777777" w:rsidTr="00B518F1">
        <w:tc>
          <w:tcPr>
            <w:tcW w:w="1434" w:type="dxa"/>
            <w:vAlign w:val="center"/>
          </w:tcPr>
          <w:p w14:paraId="29FC623C" w14:textId="77777777" w:rsidR="007075D9" w:rsidRPr="004D46AC" w:rsidRDefault="007075D9" w:rsidP="00CE2F7A">
            <w:pPr>
              <w:spacing w:line="240" w:lineRule="auto"/>
              <w:ind w:firstLine="0"/>
              <w:rPr>
                <w:b/>
                <w:bCs/>
                <w:i/>
                <w:iCs/>
              </w:rPr>
            </w:pPr>
            <w:r w:rsidRPr="004D46AC">
              <w:rPr>
                <w:rFonts w:eastAsia="DengXian"/>
                <w:color w:val="000000"/>
              </w:rPr>
              <w:t>Y3--Y6</w:t>
            </w:r>
          </w:p>
        </w:tc>
        <w:tc>
          <w:tcPr>
            <w:tcW w:w="1687" w:type="dxa"/>
            <w:vAlign w:val="center"/>
          </w:tcPr>
          <w:p w14:paraId="5251620D"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72B66C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7131398"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31E3A19C" w14:textId="77777777" w:rsidR="007075D9" w:rsidRPr="004D46AC" w:rsidRDefault="007075D9" w:rsidP="00CE2F7A">
            <w:pPr>
              <w:spacing w:line="240" w:lineRule="auto"/>
              <w:ind w:firstLine="0"/>
              <w:rPr>
                <w:b/>
                <w:bCs/>
                <w:i/>
                <w:iCs/>
              </w:rPr>
            </w:pPr>
            <w:r w:rsidRPr="004D46AC">
              <w:rPr>
                <w:color w:val="000000"/>
              </w:rPr>
              <w:t xml:space="preserve">0.27 </w:t>
            </w:r>
          </w:p>
        </w:tc>
      </w:tr>
      <w:tr w:rsidR="007075D9" w:rsidRPr="004D46AC" w14:paraId="12F84E6B" w14:textId="77777777" w:rsidTr="00B518F1">
        <w:tc>
          <w:tcPr>
            <w:tcW w:w="1434" w:type="dxa"/>
            <w:vAlign w:val="center"/>
          </w:tcPr>
          <w:p w14:paraId="2EE9805E" w14:textId="77777777" w:rsidR="007075D9" w:rsidRPr="004D46AC" w:rsidRDefault="007075D9" w:rsidP="00CE2F7A">
            <w:pPr>
              <w:spacing w:line="240" w:lineRule="auto"/>
              <w:ind w:firstLine="0"/>
              <w:rPr>
                <w:b/>
                <w:bCs/>
                <w:i/>
                <w:iCs/>
              </w:rPr>
            </w:pPr>
            <w:r w:rsidRPr="004D46AC">
              <w:rPr>
                <w:rFonts w:eastAsia="DengXian"/>
                <w:color w:val="000000"/>
              </w:rPr>
              <w:t>Y10--M5</w:t>
            </w:r>
          </w:p>
        </w:tc>
        <w:tc>
          <w:tcPr>
            <w:tcW w:w="1687" w:type="dxa"/>
            <w:vAlign w:val="center"/>
          </w:tcPr>
          <w:p w14:paraId="4EEE710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C734CC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E550DFC"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0067662" w14:textId="77777777" w:rsidR="007075D9" w:rsidRPr="004D46AC" w:rsidRDefault="007075D9" w:rsidP="00CE2F7A">
            <w:pPr>
              <w:spacing w:line="240" w:lineRule="auto"/>
              <w:ind w:firstLine="0"/>
              <w:rPr>
                <w:b/>
                <w:bCs/>
                <w:i/>
                <w:iCs/>
              </w:rPr>
            </w:pPr>
            <w:r w:rsidRPr="004D46AC">
              <w:rPr>
                <w:color w:val="000000"/>
              </w:rPr>
              <w:t xml:space="preserve">0.26 </w:t>
            </w:r>
          </w:p>
        </w:tc>
      </w:tr>
      <w:tr w:rsidR="007075D9" w:rsidRPr="004D46AC" w14:paraId="65F17DA4" w14:textId="77777777" w:rsidTr="00B518F1">
        <w:tc>
          <w:tcPr>
            <w:tcW w:w="1434" w:type="dxa"/>
            <w:vAlign w:val="center"/>
          </w:tcPr>
          <w:p w14:paraId="5AE516EB" w14:textId="77777777" w:rsidR="007075D9" w:rsidRPr="004D46AC" w:rsidRDefault="007075D9" w:rsidP="00CE2F7A">
            <w:pPr>
              <w:spacing w:line="240" w:lineRule="auto"/>
              <w:ind w:firstLine="0"/>
              <w:rPr>
                <w:b/>
                <w:bCs/>
                <w:i/>
                <w:iCs/>
              </w:rPr>
            </w:pPr>
            <w:r w:rsidRPr="004D46AC">
              <w:rPr>
                <w:rFonts w:eastAsia="DengXian"/>
                <w:color w:val="000000"/>
              </w:rPr>
              <w:t>N5--M5</w:t>
            </w:r>
          </w:p>
        </w:tc>
        <w:tc>
          <w:tcPr>
            <w:tcW w:w="1687" w:type="dxa"/>
            <w:vAlign w:val="center"/>
          </w:tcPr>
          <w:p w14:paraId="21AD17C6"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875C58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9266651"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412FE859" w14:textId="77777777" w:rsidR="007075D9" w:rsidRPr="004D46AC" w:rsidRDefault="007075D9" w:rsidP="00CE2F7A">
            <w:pPr>
              <w:spacing w:line="240" w:lineRule="auto"/>
              <w:ind w:firstLine="0"/>
              <w:rPr>
                <w:b/>
                <w:bCs/>
                <w:i/>
                <w:iCs/>
              </w:rPr>
            </w:pPr>
            <w:r w:rsidRPr="004D46AC">
              <w:rPr>
                <w:color w:val="000000"/>
              </w:rPr>
              <w:t xml:space="preserve">0.26 </w:t>
            </w:r>
          </w:p>
        </w:tc>
      </w:tr>
      <w:tr w:rsidR="007075D9" w:rsidRPr="004D46AC" w14:paraId="706AF039" w14:textId="77777777" w:rsidTr="00B518F1">
        <w:tc>
          <w:tcPr>
            <w:tcW w:w="1434" w:type="dxa"/>
            <w:vAlign w:val="center"/>
          </w:tcPr>
          <w:p w14:paraId="7C6DD836" w14:textId="77777777" w:rsidR="007075D9" w:rsidRPr="004D46AC" w:rsidRDefault="007075D9" w:rsidP="00CE2F7A">
            <w:pPr>
              <w:spacing w:line="240" w:lineRule="auto"/>
              <w:ind w:firstLine="0"/>
              <w:rPr>
                <w:b/>
                <w:bCs/>
                <w:i/>
                <w:iCs/>
              </w:rPr>
            </w:pPr>
            <w:r w:rsidRPr="004D46AC">
              <w:rPr>
                <w:rFonts w:eastAsia="DengXian"/>
                <w:color w:val="000000"/>
              </w:rPr>
              <w:t>Y7--SP</w:t>
            </w:r>
          </w:p>
        </w:tc>
        <w:tc>
          <w:tcPr>
            <w:tcW w:w="1687" w:type="dxa"/>
            <w:vAlign w:val="center"/>
          </w:tcPr>
          <w:p w14:paraId="1D0C957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6CDD36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134484D"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6DC66DB0" w14:textId="77777777" w:rsidR="007075D9" w:rsidRPr="004D46AC" w:rsidRDefault="007075D9" w:rsidP="00CE2F7A">
            <w:pPr>
              <w:spacing w:line="240" w:lineRule="auto"/>
              <w:ind w:firstLine="0"/>
              <w:rPr>
                <w:b/>
                <w:bCs/>
                <w:i/>
                <w:iCs/>
              </w:rPr>
            </w:pPr>
            <w:r w:rsidRPr="004D46AC">
              <w:rPr>
                <w:color w:val="000000"/>
              </w:rPr>
              <w:t xml:space="preserve">0.16 </w:t>
            </w:r>
          </w:p>
        </w:tc>
      </w:tr>
      <w:tr w:rsidR="007075D9" w:rsidRPr="004D46AC" w14:paraId="006221C1" w14:textId="77777777" w:rsidTr="00B518F1">
        <w:tc>
          <w:tcPr>
            <w:tcW w:w="1434" w:type="dxa"/>
            <w:vAlign w:val="center"/>
          </w:tcPr>
          <w:p w14:paraId="518E9B24" w14:textId="77777777" w:rsidR="007075D9" w:rsidRPr="004D46AC" w:rsidRDefault="007075D9" w:rsidP="00CE2F7A">
            <w:pPr>
              <w:spacing w:line="240" w:lineRule="auto"/>
              <w:ind w:firstLine="0"/>
              <w:rPr>
                <w:b/>
                <w:bCs/>
                <w:i/>
                <w:iCs/>
              </w:rPr>
            </w:pPr>
            <w:r w:rsidRPr="004D46AC">
              <w:rPr>
                <w:rFonts w:eastAsia="DengXian"/>
                <w:color w:val="000000"/>
              </w:rPr>
              <w:t>WD--M9</w:t>
            </w:r>
          </w:p>
        </w:tc>
        <w:tc>
          <w:tcPr>
            <w:tcW w:w="1687" w:type="dxa"/>
            <w:vAlign w:val="center"/>
          </w:tcPr>
          <w:p w14:paraId="66E2853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B1DD10C"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1E97E11"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559641AB"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12C56372" w14:textId="77777777" w:rsidTr="00B518F1">
        <w:tc>
          <w:tcPr>
            <w:tcW w:w="1434" w:type="dxa"/>
            <w:vAlign w:val="center"/>
          </w:tcPr>
          <w:p w14:paraId="4FB59A6A" w14:textId="77777777" w:rsidR="007075D9" w:rsidRPr="004D46AC" w:rsidRDefault="007075D9" w:rsidP="00CE2F7A">
            <w:pPr>
              <w:spacing w:line="240" w:lineRule="auto"/>
              <w:ind w:firstLine="0"/>
              <w:rPr>
                <w:b/>
                <w:bCs/>
                <w:i/>
                <w:iCs/>
              </w:rPr>
            </w:pPr>
            <w:r w:rsidRPr="004D46AC">
              <w:rPr>
                <w:rFonts w:eastAsia="DengXian"/>
                <w:color w:val="000000"/>
              </w:rPr>
              <w:t>IA--Y11</w:t>
            </w:r>
          </w:p>
        </w:tc>
        <w:tc>
          <w:tcPr>
            <w:tcW w:w="1687" w:type="dxa"/>
            <w:vAlign w:val="center"/>
          </w:tcPr>
          <w:p w14:paraId="04F1C248"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9B709F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E0713D8"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4090EC48" w14:textId="77777777" w:rsidR="007075D9" w:rsidRPr="004D46AC" w:rsidRDefault="007075D9" w:rsidP="00CE2F7A">
            <w:pPr>
              <w:spacing w:line="240" w:lineRule="auto"/>
              <w:ind w:firstLine="0"/>
              <w:rPr>
                <w:b/>
                <w:bCs/>
                <w:i/>
                <w:iCs/>
              </w:rPr>
            </w:pPr>
            <w:r w:rsidRPr="004D46AC">
              <w:rPr>
                <w:color w:val="000000"/>
              </w:rPr>
              <w:t xml:space="preserve">0.25 </w:t>
            </w:r>
          </w:p>
        </w:tc>
      </w:tr>
      <w:tr w:rsidR="007075D9" w:rsidRPr="004D46AC" w14:paraId="104E1F42" w14:textId="77777777" w:rsidTr="00B518F1">
        <w:tc>
          <w:tcPr>
            <w:tcW w:w="1434" w:type="dxa"/>
            <w:vAlign w:val="center"/>
          </w:tcPr>
          <w:p w14:paraId="3984C55C" w14:textId="77777777" w:rsidR="007075D9" w:rsidRPr="004D46AC" w:rsidRDefault="007075D9" w:rsidP="00CE2F7A">
            <w:pPr>
              <w:spacing w:line="240" w:lineRule="auto"/>
              <w:ind w:firstLine="0"/>
              <w:rPr>
                <w:b/>
                <w:bCs/>
                <w:i/>
                <w:iCs/>
              </w:rPr>
            </w:pPr>
            <w:r w:rsidRPr="004D46AC">
              <w:rPr>
                <w:rFonts w:eastAsia="DengXian"/>
                <w:color w:val="000000"/>
              </w:rPr>
              <w:t>WD--N7</w:t>
            </w:r>
          </w:p>
        </w:tc>
        <w:tc>
          <w:tcPr>
            <w:tcW w:w="1687" w:type="dxa"/>
            <w:vAlign w:val="center"/>
          </w:tcPr>
          <w:p w14:paraId="3594360F"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1EABCE9"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55DF9DA"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31471DC7"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1DA0AB78" w14:textId="77777777" w:rsidTr="00B518F1">
        <w:tc>
          <w:tcPr>
            <w:tcW w:w="1434" w:type="dxa"/>
            <w:vAlign w:val="center"/>
          </w:tcPr>
          <w:p w14:paraId="2011D0CA" w14:textId="77777777" w:rsidR="007075D9" w:rsidRPr="004D46AC" w:rsidRDefault="007075D9" w:rsidP="00CE2F7A">
            <w:pPr>
              <w:spacing w:line="240" w:lineRule="auto"/>
              <w:ind w:firstLine="0"/>
              <w:rPr>
                <w:b/>
                <w:bCs/>
                <w:i/>
                <w:iCs/>
              </w:rPr>
            </w:pPr>
            <w:r w:rsidRPr="004D46AC">
              <w:rPr>
                <w:rFonts w:eastAsia="DengXian"/>
                <w:color w:val="000000"/>
              </w:rPr>
              <w:t>WD--IA</w:t>
            </w:r>
          </w:p>
        </w:tc>
        <w:tc>
          <w:tcPr>
            <w:tcW w:w="1687" w:type="dxa"/>
            <w:vAlign w:val="center"/>
          </w:tcPr>
          <w:p w14:paraId="6683967E"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1315A0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D58B5B6"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0F3FCCCE" w14:textId="77777777" w:rsidR="007075D9" w:rsidRPr="004D46AC" w:rsidRDefault="007075D9" w:rsidP="00CE2F7A">
            <w:pPr>
              <w:spacing w:line="240" w:lineRule="auto"/>
              <w:ind w:firstLine="0"/>
              <w:rPr>
                <w:b/>
                <w:bCs/>
                <w:i/>
                <w:iCs/>
              </w:rPr>
            </w:pPr>
            <w:r w:rsidRPr="004D46AC">
              <w:rPr>
                <w:color w:val="000000"/>
              </w:rPr>
              <w:t xml:space="preserve">0.25 </w:t>
            </w:r>
          </w:p>
        </w:tc>
      </w:tr>
      <w:tr w:rsidR="007075D9" w:rsidRPr="004D46AC" w14:paraId="052D5C20" w14:textId="77777777" w:rsidTr="00B518F1">
        <w:tc>
          <w:tcPr>
            <w:tcW w:w="1434" w:type="dxa"/>
            <w:vAlign w:val="center"/>
          </w:tcPr>
          <w:p w14:paraId="37DEC9A6" w14:textId="77777777" w:rsidR="007075D9" w:rsidRPr="004D46AC" w:rsidRDefault="007075D9" w:rsidP="00CE2F7A">
            <w:pPr>
              <w:spacing w:line="240" w:lineRule="auto"/>
              <w:ind w:firstLine="0"/>
              <w:rPr>
                <w:b/>
                <w:bCs/>
                <w:i/>
                <w:iCs/>
              </w:rPr>
            </w:pPr>
            <w:r w:rsidRPr="004D46AC">
              <w:rPr>
                <w:rFonts w:eastAsia="DengXian"/>
                <w:color w:val="000000"/>
              </w:rPr>
              <w:t>Y7--Y11</w:t>
            </w:r>
          </w:p>
        </w:tc>
        <w:tc>
          <w:tcPr>
            <w:tcW w:w="1687" w:type="dxa"/>
            <w:vAlign w:val="center"/>
          </w:tcPr>
          <w:p w14:paraId="78EAC1D7"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11B3B7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CC4D623"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5657E65D" w14:textId="77777777" w:rsidR="007075D9" w:rsidRPr="004D46AC" w:rsidRDefault="007075D9" w:rsidP="00CE2F7A">
            <w:pPr>
              <w:spacing w:line="240" w:lineRule="auto"/>
              <w:ind w:firstLine="0"/>
              <w:rPr>
                <w:b/>
                <w:bCs/>
                <w:i/>
                <w:iCs/>
              </w:rPr>
            </w:pPr>
            <w:r w:rsidRPr="004D46AC">
              <w:rPr>
                <w:color w:val="000000"/>
              </w:rPr>
              <w:t xml:space="preserve">0.28 </w:t>
            </w:r>
          </w:p>
        </w:tc>
      </w:tr>
      <w:tr w:rsidR="007075D9" w:rsidRPr="004D46AC" w14:paraId="636FA023" w14:textId="77777777" w:rsidTr="00B518F1">
        <w:tc>
          <w:tcPr>
            <w:tcW w:w="1434" w:type="dxa"/>
            <w:vAlign w:val="center"/>
          </w:tcPr>
          <w:p w14:paraId="3833DF0A" w14:textId="77777777" w:rsidR="007075D9" w:rsidRPr="004D46AC" w:rsidRDefault="007075D9" w:rsidP="00CE2F7A">
            <w:pPr>
              <w:spacing w:line="240" w:lineRule="auto"/>
              <w:ind w:firstLine="0"/>
              <w:rPr>
                <w:b/>
                <w:bCs/>
                <w:i/>
                <w:iCs/>
              </w:rPr>
            </w:pPr>
            <w:r w:rsidRPr="004D46AC">
              <w:rPr>
                <w:rFonts w:eastAsia="DengXian"/>
                <w:color w:val="000000"/>
              </w:rPr>
              <w:t>M8--M10</w:t>
            </w:r>
          </w:p>
        </w:tc>
        <w:tc>
          <w:tcPr>
            <w:tcW w:w="1687" w:type="dxa"/>
            <w:vAlign w:val="center"/>
          </w:tcPr>
          <w:p w14:paraId="39004AF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B47BDE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A4CB276"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1B674285" w14:textId="77777777" w:rsidR="007075D9" w:rsidRPr="004D46AC" w:rsidRDefault="007075D9" w:rsidP="00CE2F7A">
            <w:pPr>
              <w:spacing w:line="240" w:lineRule="auto"/>
              <w:ind w:firstLine="0"/>
              <w:rPr>
                <w:b/>
                <w:bCs/>
                <w:i/>
                <w:iCs/>
              </w:rPr>
            </w:pPr>
            <w:r w:rsidRPr="004D46AC">
              <w:rPr>
                <w:color w:val="000000"/>
              </w:rPr>
              <w:t xml:space="preserve">0.19 </w:t>
            </w:r>
          </w:p>
        </w:tc>
      </w:tr>
      <w:tr w:rsidR="007075D9" w:rsidRPr="004D46AC" w14:paraId="04058BD0" w14:textId="77777777" w:rsidTr="00B518F1">
        <w:tc>
          <w:tcPr>
            <w:tcW w:w="1434" w:type="dxa"/>
            <w:vAlign w:val="center"/>
          </w:tcPr>
          <w:p w14:paraId="4C5F44EB" w14:textId="77777777" w:rsidR="007075D9" w:rsidRPr="004D46AC" w:rsidRDefault="007075D9" w:rsidP="00CE2F7A">
            <w:pPr>
              <w:spacing w:line="240" w:lineRule="auto"/>
              <w:ind w:firstLine="0"/>
              <w:rPr>
                <w:b/>
                <w:bCs/>
                <w:i/>
                <w:iCs/>
              </w:rPr>
            </w:pPr>
            <w:r w:rsidRPr="004D46AC">
              <w:rPr>
                <w:rFonts w:eastAsia="DengXian"/>
                <w:color w:val="000000"/>
              </w:rPr>
              <w:t>P4--SP</w:t>
            </w:r>
          </w:p>
        </w:tc>
        <w:tc>
          <w:tcPr>
            <w:tcW w:w="1687" w:type="dxa"/>
            <w:vAlign w:val="center"/>
          </w:tcPr>
          <w:p w14:paraId="7DE3BBE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4AD0A5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D71F7FB"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38432C41"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75BBD278" w14:textId="77777777" w:rsidTr="00B518F1">
        <w:tc>
          <w:tcPr>
            <w:tcW w:w="1434" w:type="dxa"/>
            <w:vAlign w:val="center"/>
          </w:tcPr>
          <w:p w14:paraId="63D16800" w14:textId="77777777" w:rsidR="007075D9" w:rsidRPr="004D46AC" w:rsidRDefault="007075D9" w:rsidP="00CE2F7A">
            <w:pPr>
              <w:spacing w:line="240" w:lineRule="auto"/>
              <w:ind w:firstLine="0"/>
              <w:rPr>
                <w:b/>
                <w:bCs/>
                <w:i/>
                <w:iCs/>
              </w:rPr>
            </w:pPr>
            <w:r w:rsidRPr="004D46AC">
              <w:rPr>
                <w:rFonts w:eastAsia="DengXian"/>
                <w:color w:val="000000"/>
              </w:rPr>
              <w:t>P6--M8</w:t>
            </w:r>
          </w:p>
        </w:tc>
        <w:tc>
          <w:tcPr>
            <w:tcW w:w="1687" w:type="dxa"/>
            <w:vAlign w:val="center"/>
          </w:tcPr>
          <w:p w14:paraId="738FC61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DAFC82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B9F8CEB"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02EDBEC2" w14:textId="77777777" w:rsidR="007075D9" w:rsidRPr="004D46AC" w:rsidRDefault="007075D9" w:rsidP="00CE2F7A">
            <w:pPr>
              <w:spacing w:line="240" w:lineRule="auto"/>
              <w:ind w:firstLine="0"/>
              <w:rPr>
                <w:b/>
                <w:bCs/>
                <w:i/>
                <w:iCs/>
              </w:rPr>
            </w:pPr>
            <w:r w:rsidRPr="004D46AC">
              <w:rPr>
                <w:color w:val="000000"/>
              </w:rPr>
              <w:t xml:space="preserve">0.24 </w:t>
            </w:r>
          </w:p>
        </w:tc>
      </w:tr>
      <w:tr w:rsidR="007075D9" w:rsidRPr="004D46AC" w14:paraId="6D93C6CA" w14:textId="77777777" w:rsidTr="00B518F1">
        <w:tc>
          <w:tcPr>
            <w:tcW w:w="1434" w:type="dxa"/>
            <w:vAlign w:val="center"/>
          </w:tcPr>
          <w:p w14:paraId="41863610" w14:textId="77777777" w:rsidR="007075D9" w:rsidRPr="004D46AC" w:rsidRDefault="007075D9" w:rsidP="00CE2F7A">
            <w:pPr>
              <w:spacing w:line="240" w:lineRule="auto"/>
              <w:ind w:firstLine="0"/>
              <w:rPr>
                <w:b/>
                <w:bCs/>
                <w:i/>
                <w:iCs/>
              </w:rPr>
            </w:pPr>
            <w:r w:rsidRPr="004D46AC">
              <w:rPr>
                <w:rFonts w:eastAsia="DengXian"/>
                <w:color w:val="000000"/>
              </w:rPr>
              <w:t>Y10--SP</w:t>
            </w:r>
          </w:p>
        </w:tc>
        <w:tc>
          <w:tcPr>
            <w:tcW w:w="1687" w:type="dxa"/>
            <w:vAlign w:val="center"/>
          </w:tcPr>
          <w:p w14:paraId="54D4E6F1"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6AC914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54F2A70"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691BE101" w14:textId="77777777" w:rsidR="007075D9" w:rsidRPr="004D46AC" w:rsidRDefault="007075D9" w:rsidP="00CE2F7A">
            <w:pPr>
              <w:spacing w:line="240" w:lineRule="auto"/>
              <w:ind w:firstLine="0"/>
              <w:rPr>
                <w:b/>
                <w:bCs/>
                <w:i/>
                <w:iCs/>
              </w:rPr>
            </w:pPr>
            <w:r w:rsidRPr="004D46AC">
              <w:rPr>
                <w:color w:val="000000"/>
              </w:rPr>
              <w:t xml:space="preserve">0.33 </w:t>
            </w:r>
          </w:p>
        </w:tc>
      </w:tr>
      <w:tr w:rsidR="007075D9" w:rsidRPr="004D46AC" w14:paraId="3CA364B4" w14:textId="77777777" w:rsidTr="00B518F1">
        <w:tc>
          <w:tcPr>
            <w:tcW w:w="1434" w:type="dxa"/>
            <w:vAlign w:val="center"/>
          </w:tcPr>
          <w:p w14:paraId="593E3502" w14:textId="77777777" w:rsidR="007075D9" w:rsidRPr="004D46AC" w:rsidRDefault="007075D9" w:rsidP="00CE2F7A">
            <w:pPr>
              <w:spacing w:line="240" w:lineRule="auto"/>
              <w:ind w:firstLine="0"/>
              <w:rPr>
                <w:b/>
                <w:bCs/>
                <w:i/>
                <w:iCs/>
              </w:rPr>
            </w:pPr>
            <w:r w:rsidRPr="004D46AC">
              <w:rPr>
                <w:rFonts w:eastAsia="DengXian"/>
                <w:color w:val="000000"/>
              </w:rPr>
              <w:t>P4--P6</w:t>
            </w:r>
          </w:p>
        </w:tc>
        <w:tc>
          <w:tcPr>
            <w:tcW w:w="1687" w:type="dxa"/>
            <w:vAlign w:val="center"/>
          </w:tcPr>
          <w:p w14:paraId="428470DB"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DEA674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48A352A"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552662A6" w14:textId="77777777" w:rsidR="007075D9" w:rsidRPr="004D46AC" w:rsidRDefault="007075D9" w:rsidP="00CE2F7A">
            <w:pPr>
              <w:spacing w:line="240" w:lineRule="auto"/>
              <w:ind w:firstLine="0"/>
              <w:rPr>
                <w:b/>
                <w:bCs/>
                <w:i/>
                <w:iCs/>
              </w:rPr>
            </w:pPr>
            <w:r w:rsidRPr="004D46AC">
              <w:rPr>
                <w:color w:val="000000"/>
              </w:rPr>
              <w:t xml:space="preserve">0.27 </w:t>
            </w:r>
          </w:p>
        </w:tc>
      </w:tr>
      <w:tr w:rsidR="007075D9" w:rsidRPr="004D46AC" w14:paraId="404731FF" w14:textId="77777777" w:rsidTr="00B518F1">
        <w:tc>
          <w:tcPr>
            <w:tcW w:w="1434" w:type="dxa"/>
            <w:vAlign w:val="center"/>
          </w:tcPr>
          <w:p w14:paraId="635B2488" w14:textId="77777777" w:rsidR="007075D9" w:rsidRPr="004D46AC" w:rsidRDefault="007075D9" w:rsidP="00CE2F7A">
            <w:pPr>
              <w:spacing w:line="240" w:lineRule="auto"/>
              <w:ind w:firstLine="0"/>
              <w:rPr>
                <w:b/>
                <w:bCs/>
                <w:i/>
                <w:iCs/>
              </w:rPr>
            </w:pPr>
            <w:r w:rsidRPr="004D46AC">
              <w:rPr>
                <w:rFonts w:eastAsia="DengXian"/>
                <w:color w:val="000000"/>
              </w:rPr>
              <w:t>P2--Y7</w:t>
            </w:r>
          </w:p>
        </w:tc>
        <w:tc>
          <w:tcPr>
            <w:tcW w:w="1687" w:type="dxa"/>
            <w:vAlign w:val="center"/>
          </w:tcPr>
          <w:p w14:paraId="3A9558C3"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E7B0523"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080D075"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08C9C996" w14:textId="77777777" w:rsidR="007075D9" w:rsidRPr="004D46AC" w:rsidRDefault="007075D9" w:rsidP="00CE2F7A">
            <w:pPr>
              <w:spacing w:line="240" w:lineRule="auto"/>
              <w:ind w:firstLine="0"/>
              <w:rPr>
                <w:b/>
                <w:bCs/>
                <w:i/>
                <w:iCs/>
              </w:rPr>
            </w:pPr>
            <w:r w:rsidRPr="004D46AC">
              <w:rPr>
                <w:color w:val="000000"/>
              </w:rPr>
              <w:t xml:space="preserve">0.22 </w:t>
            </w:r>
          </w:p>
        </w:tc>
      </w:tr>
      <w:tr w:rsidR="007075D9" w:rsidRPr="004D46AC" w14:paraId="26FAC075" w14:textId="77777777" w:rsidTr="00B518F1">
        <w:tc>
          <w:tcPr>
            <w:tcW w:w="1434" w:type="dxa"/>
            <w:vAlign w:val="center"/>
          </w:tcPr>
          <w:p w14:paraId="0655C773" w14:textId="77777777" w:rsidR="007075D9" w:rsidRPr="004D46AC" w:rsidRDefault="007075D9" w:rsidP="00CE2F7A">
            <w:pPr>
              <w:spacing w:line="240" w:lineRule="auto"/>
              <w:ind w:firstLine="0"/>
              <w:rPr>
                <w:b/>
                <w:bCs/>
                <w:i/>
                <w:iCs/>
              </w:rPr>
            </w:pPr>
            <w:r w:rsidRPr="004D46AC">
              <w:rPr>
                <w:rFonts w:eastAsia="DengXian"/>
                <w:color w:val="000000"/>
              </w:rPr>
              <w:t>IA--M9</w:t>
            </w:r>
          </w:p>
        </w:tc>
        <w:tc>
          <w:tcPr>
            <w:tcW w:w="1687" w:type="dxa"/>
            <w:vAlign w:val="center"/>
          </w:tcPr>
          <w:p w14:paraId="23D1490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EEAE7C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4CBC360"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1812DED1" w14:textId="77777777" w:rsidR="007075D9" w:rsidRPr="004D46AC" w:rsidRDefault="007075D9" w:rsidP="00CE2F7A">
            <w:pPr>
              <w:spacing w:line="240" w:lineRule="auto"/>
              <w:ind w:firstLine="0"/>
              <w:rPr>
                <w:b/>
                <w:bCs/>
                <w:i/>
                <w:iCs/>
              </w:rPr>
            </w:pPr>
            <w:r w:rsidRPr="004D46AC">
              <w:rPr>
                <w:color w:val="000000"/>
              </w:rPr>
              <w:t xml:space="preserve">0.29 </w:t>
            </w:r>
          </w:p>
        </w:tc>
      </w:tr>
      <w:tr w:rsidR="007075D9" w:rsidRPr="004D46AC" w14:paraId="54BA6B00" w14:textId="77777777" w:rsidTr="00B518F1">
        <w:tc>
          <w:tcPr>
            <w:tcW w:w="1434" w:type="dxa"/>
            <w:vAlign w:val="center"/>
          </w:tcPr>
          <w:p w14:paraId="7CB61BBF" w14:textId="77777777" w:rsidR="007075D9" w:rsidRPr="004D46AC" w:rsidRDefault="007075D9" w:rsidP="00CE2F7A">
            <w:pPr>
              <w:spacing w:line="240" w:lineRule="auto"/>
              <w:ind w:firstLine="0"/>
              <w:rPr>
                <w:b/>
                <w:bCs/>
                <w:i/>
                <w:iCs/>
              </w:rPr>
            </w:pPr>
            <w:r w:rsidRPr="004D46AC">
              <w:rPr>
                <w:rFonts w:eastAsia="DengXian"/>
                <w:color w:val="000000"/>
              </w:rPr>
              <w:t>P3--P4</w:t>
            </w:r>
          </w:p>
        </w:tc>
        <w:tc>
          <w:tcPr>
            <w:tcW w:w="1687" w:type="dxa"/>
            <w:vAlign w:val="center"/>
          </w:tcPr>
          <w:p w14:paraId="7153670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7A415BE"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CE2D54A"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051D6BBA" w14:textId="77777777" w:rsidR="007075D9" w:rsidRPr="004D46AC" w:rsidRDefault="007075D9" w:rsidP="00CE2F7A">
            <w:pPr>
              <w:spacing w:line="240" w:lineRule="auto"/>
              <w:ind w:firstLine="0"/>
              <w:rPr>
                <w:b/>
                <w:bCs/>
                <w:i/>
                <w:iCs/>
              </w:rPr>
            </w:pPr>
            <w:r w:rsidRPr="004D46AC">
              <w:rPr>
                <w:color w:val="000000"/>
              </w:rPr>
              <w:t xml:space="preserve">0.31 </w:t>
            </w:r>
          </w:p>
        </w:tc>
      </w:tr>
      <w:tr w:rsidR="007075D9" w:rsidRPr="004D46AC" w14:paraId="0D4F685E" w14:textId="77777777" w:rsidTr="00B518F1">
        <w:tc>
          <w:tcPr>
            <w:tcW w:w="1434" w:type="dxa"/>
            <w:vAlign w:val="center"/>
          </w:tcPr>
          <w:p w14:paraId="0EA7D431" w14:textId="77777777" w:rsidR="007075D9" w:rsidRPr="004D46AC" w:rsidRDefault="007075D9" w:rsidP="00CE2F7A">
            <w:pPr>
              <w:spacing w:line="240" w:lineRule="auto"/>
              <w:ind w:firstLine="0"/>
              <w:rPr>
                <w:b/>
                <w:bCs/>
                <w:i/>
                <w:iCs/>
              </w:rPr>
            </w:pPr>
            <w:r w:rsidRPr="004D46AC">
              <w:rPr>
                <w:rFonts w:eastAsia="DengXian"/>
                <w:color w:val="000000"/>
              </w:rPr>
              <w:t>Y7--Y10</w:t>
            </w:r>
          </w:p>
        </w:tc>
        <w:tc>
          <w:tcPr>
            <w:tcW w:w="1687" w:type="dxa"/>
            <w:vAlign w:val="center"/>
          </w:tcPr>
          <w:p w14:paraId="5784129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0C962C7"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8DF29CF"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3453C8E9"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3BB017EF" w14:textId="77777777" w:rsidTr="00B518F1">
        <w:tc>
          <w:tcPr>
            <w:tcW w:w="1434" w:type="dxa"/>
            <w:vAlign w:val="center"/>
          </w:tcPr>
          <w:p w14:paraId="3A6389D5" w14:textId="77777777" w:rsidR="007075D9" w:rsidRPr="004D46AC" w:rsidRDefault="007075D9" w:rsidP="00CE2F7A">
            <w:pPr>
              <w:spacing w:line="240" w:lineRule="auto"/>
              <w:ind w:firstLine="0"/>
              <w:rPr>
                <w:b/>
                <w:bCs/>
                <w:i/>
                <w:iCs/>
              </w:rPr>
            </w:pPr>
            <w:r w:rsidRPr="004D46AC">
              <w:rPr>
                <w:rFonts w:eastAsia="DengXian"/>
                <w:color w:val="000000"/>
              </w:rPr>
              <w:t>P6--Y7</w:t>
            </w:r>
          </w:p>
        </w:tc>
        <w:tc>
          <w:tcPr>
            <w:tcW w:w="1687" w:type="dxa"/>
            <w:vAlign w:val="center"/>
          </w:tcPr>
          <w:p w14:paraId="17AB864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A49FED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3C37EA2"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2DDE13F3"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6031C6D6" w14:textId="77777777" w:rsidTr="00B518F1">
        <w:tc>
          <w:tcPr>
            <w:tcW w:w="1434" w:type="dxa"/>
            <w:vAlign w:val="center"/>
          </w:tcPr>
          <w:p w14:paraId="6D9310AD" w14:textId="77777777" w:rsidR="007075D9" w:rsidRPr="004D46AC" w:rsidRDefault="007075D9" w:rsidP="00CE2F7A">
            <w:pPr>
              <w:spacing w:line="240" w:lineRule="auto"/>
              <w:ind w:firstLine="0"/>
              <w:rPr>
                <w:b/>
                <w:bCs/>
                <w:i/>
                <w:iCs/>
              </w:rPr>
            </w:pPr>
            <w:r w:rsidRPr="004D46AC">
              <w:rPr>
                <w:rFonts w:eastAsia="DengXian"/>
                <w:color w:val="000000"/>
              </w:rPr>
              <w:t>WD--M6</w:t>
            </w:r>
          </w:p>
        </w:tc>
        <w:tc>
          <w:tcPr>
            <w:tcW w:w="1687" w:type="dxa"/>
            <w:vAlign w:val="center"/>
          </w:tcPr>
          <w:p w14:paraId="3DF3A96B"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7B74F5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E6C1599"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7385699E" w14:textId="77777777" w:rsidR="007075D9" w:rsidRPr="004D46AC" w:rsidRDefault="007075D9" w:rsidP="00CE2F7A">
            <w:pPr>
              <w:spacing w:line="240" w:lineRule="auto"/>
              <w:ind w:firstLine="0"/>
              <w:rPr>
                <w:b/>
                <w:bCs/>
                <w:i/>
                <w:iCs/>
              </w:rPr>
            </w:pPr>
            <w:r w:rsidRPr="004D46AC">
              <w:rPr>
                <w:color w:val="000000"/>
              </w:rPr>
              <w:t xml:space="preserve">0.29 </w:t>
            </w:r>
          </w:p>
        </w:tc>
      </w:tr>
      <w:tr w:rsidR="007075D9" w:rsidRPr="004D46AC" w14:paraId="497B0741" w14:textId="77777777" w:rsidTr="00B518F1">
        <w:tc>
          <w:tcPr>
            <w:tcW w:w="1434" w:type="dxa"/>
            <w:vAlign w:val="center"/>
          </w:tcPr>
          <w:p w14:paraId="70A5E412" w14:textId="77777777" w:rsidR="007075D9" w:rsidRPr="004D46AC" w:rsidRDefault="007075D9" w:rsidP="00CE2F7A">
            <w:pPr>
              <w:spacing w:line="240" w:lineRule="auto"/>
              <w:ind w:firstLine="0"/>
              <w:rPr>
                <w:b/>
                <w:bCs/>
                <w:i/>
                <w:iCs/>
              </w:rPr>
            </w:pPr>
            <w:r w:rsidRPr="004D46AC">
              <w:rPr>
                <w:rFonts w:eastAsia="DengXian"/>
                <w:color w:val="000000"/>
              </w:rPr>
              <w:t>M3--M8</w:t>
            </w:r>
          </w:p>
        </w:tc>
        <w:tc>
          <w:tcPr>
            <w:tcW w:w="1687" w:type="dxa"/>
            <w:vAlign w:val="center"/>
          </w:tcPr>
          <w:p w14:paraId="272B68B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75C4CB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AF77FA4"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43E87FC8"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717D1640" w14:textId="77777777" w:rsidTr="00B518F1">
        <w:tc>
          <w:tcPr>
            <w:tcW w:w="1434" w:type="dxa"/>
            <w:vAlign w:val="center"/>
          </w:tcPr>
          <w:p w14:paraId="0FD21C29" w14:textId="77777777" w:rsidR="007075D9" w:rsidRPr="004D46AC" w:rsidRDefault="007075D9" w:rsidP="00CE2F7A">
            <w:pPr>
              <w:spacing w:line="240" w:lineRule="auto"/>
              <w:ind w:firstLine="0"/>
              <w:rPr>
                <w:b/>
                <w:bCs/>
                <w:i/>
                <w:iCs/>
              </w:rPr>
            </w:pPr>
            <w:r w:rsidRPr="004D46AC">
              <w:rPr>
                <w:rFonts w:eastAsia="DengXian"/>
                <w:color w:val="000000"/>
              </w:rPr>
              <w:t>P6--RC</w:t>
            </w:r>
          </w:p>
        </w:tc>
        <w:tc>
          <w:tcPr>
            <w:tcW w:w="1687" w:type="dxa"/>
            <w:vAlign w:val="center"/>
          </w:tcPr>
          <w:p w14:paraId="0A8F18A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EB27F23"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0C436D6"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52787068" w14:textId="77777777" w:rsidR="007075D9" w:rsidRPr="004D46AC" w:rsidRDefault="007075D9" w:rsidP="00CE2F7A">
            <w:pPr>
              <w:spacing w:line="240" w:lineRule="auto"/>
              <w:ind w:firstLine="0"/>
              <w:rPr>
                <w:b/>
                <w:bCs/>
                <w:i/>
                <w:iCs/>
              </w:rPr>
            </w:pPr>
            <w:r w:rsidRPr="004D46AC">
              <w:rPr>
                <w:color w:val="000000"/>
              </w:rPr>
              <w:t xml:space="preserve">0.29 </w:t>
            </w:r>
          </w:p>
        </w:tc>
      </w:tr>
      <w:tr w:rsidR="007075D9" w:rsidRPr="004D46AC" w14:paraId="79D652FB" w14:textId="77777777" w:rsidTr="00B518F1">
        <w:tc>
          <w:tcPr>
            <w:tcW w:w="1434" w:type="dxa"/>
            <w:vAlign w:val="center"/>
          </w:tcPr>
          <w:p w14:paraId="66CB9899" w14:textId="77777777" w:rsidR="007075D9" w:rsidRPr="004D46AC" w:rsidRDefault="007075D9" w:rsidP="00CE2F7A">
            <w:pPr>
              <w:spacing w:line="240" w:lineRule="auto"/>
              <w:ind w:firstLine="0"/>
              <w:rPr>
                <w:b/>
                <w:bCs/>
                <w:i/>
                <w:iCs/>
              </w:rPr>
            </w:pPr>
            <w:r w:rsidRPr="004D46AC">
              <w:rPr>
                <w:rFonts w:eastAsia="DengXian"/>
                <w:color w:val="000000"/>
              </w:rPr>
              <w:t>RC--N5</w:t>
            </w:r>
          </w:p>
        </w:tc>
        <w:tc>
          <w:tcPr>
            <w:tcW w:w="1687" w:type="dxa"/>
            <w:vAlign w:val="center"/>
          </w:tcPr>
          <w:p w14:paraId="2BAA0F7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61FC83B"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C515945"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57DAA41A" w14:textId="77777777" w:rsidR="007075D9" w:rsidRPr="004D46AC" w:rsidRDefault="007075D9" w:rsidP="00CE2F7A">
            <w:pPr>
              <w:spacing w:line="240" w:lineRule="auto"/>
              <w:ind w:firstLine="0"/>
              <w:rPr>
                <w:b/>
                <w:bCs/>
                <w:i/>
                <w:iCs/>
              </w:rPr>
            </w:pPr>
            <w:r w:rsidRPr="004D46AC">
              <w:rPr>
                <w:color w:val="000000"/>
              </w:rPr>
              <w:t xml:space="preserve">0.34 </w:t>
            </w:r>
          </w:p>
        </w:tc>
      </w:tr>
      <w:tr w:rsidR="007075D9" w:rsidRPr="004D46AC" w14:paraId="4748287F" w14:textId="77777777" w:rsidTr="00B518F1">
        <w:tc>
          <w:tcPr>
            <w:tcW w:w="1434" w:type="dxa"/>
            <w:vAlign w:val="center"/>
          </w:tcPr>
          <w:p w14:paraId="2E3A69B6" w14:textId="77777777" w:rsidR="007075D9" w:rsidRPr="004D46AC" w:rsidRDefault="007075D9" w:rsidP="00CE2F7A">
            <w:pPr>
              <w:spacing w:line="240" w:lineRule="auto"/>
              <w:ind w:firstLine="0"/>
              <w:rPr>
                <w:b/>
                <w:bCs/>
                <w:i/>
                <w:iCs/>
              </w:rPr>
            </w:pPr>
            <w:r w:rsidRPr="004D46AC">
              <w:rPr>
                <w:rFonts w:eastAsia="DengXian"/>
                <w:color w:val="000000"/>
              </w:rPr>
              <w:lastRenderedPageBreak/>
              <w:t>IA--M8</w:t>
            </w:r>
          </w:p>
        </w:tc>
        <w:tc>
          <w:tcPr>
            <w:tcW w:w="1687" w:type="dxa"/>
            <w:vAlign w:val="center"/>
          </w:tcPr>
          <w:p w14:paraId="11F62EC8"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C6D62F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B7A2299"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178E405F" w14:textId="77777777" w:rsidR="007075D9" w:rsidRPr="004D46AC" w:rsidRDefault="007075D9" w:rsidP="00CE2F7A">
            <w:pPr>
              <w:spacing w:line="240" w:lineRule="auto"/>
              <w:ind w:firstLine="0"/>
              <w:rPr>
                <w:b/>
                <w:bCs/>
                <w:i/>
                <w:iCs/>
              </w:rPr>
            </w:pPr>
            <w:r w:rsidRPr="004D46AC">
              <w:rPr>
                <w:color w:val="000000"/>
              </w:rPr>
              <w:t xml:space="preserve">0.34 </w:t>
            </w:r>
          </w:p>
        </w:tc>
      </w:tr>
      <w:tr w:rsidR="007075D9" w:rsidRPr="004D46AC" w14:paraId="3F3338A8" w14:textId="77777777" w:rsidTr="00B518F1">
        <w:tc>
          <w:tcPr>
            <w:tcW w:w="1434" w:type="dxa"/>
            <w:vAlign w:val="center"/>
          </w:tcPr>
          <w:p w14:paraId="36465B84" w14:textId="77777777" w:rsidR="007075D9" w:rsidRPr="004D46AC" w:rsidRDefault="007075D9" w:rsidP="00CE2F7A">
            <w:pPr>
              <w:spacing w:line="240" w:lineRule="auto"/>
              <w:ind w:firstLine="0"/>
              <w:rPr>
                <w:b/>
                <w:bCs/>
                <w:i/>
                <w:iCs/>
              </w:rPr>
            </w:pPr>
            <w:r w:rsidRPr="004D46AC">
              <w:rPr>
                <w:rFonts w:eastAsia="DengXian"/>
                <w:color w:val="000000"/>
              </w:rPr>
              <w:t>P2--P3</w:t>
            </w:r>
          </w:p>
        </w:tc>
        <w:tc>
          <w:tcPr>
            <w:tcW w:w="1687" w:type="dxa"/>
            <w:vAlign w:val="center"/>
          </w:tcPr>
          <w:p w14:paraId="4431A674"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FCB7F4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CDE2658"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71720B95" w14:textId="77777777" w:rsidR="007075D9" w:rsidRPr="004D46AC" w:rsidRDefault="007075D9" w:rsidP="00CE2F7A">
            <w:pPr>
              <w:spacing w:line="240" w:lineRule="auto"/>
              <w:ind w:firstLine="0"/>
              <w:rPr>
                <w:b/>
                <w:bCs/>
                <w:i/>
                <w:iCs/>
              </w:rPr>
            </w:pPr>
            <w:r w:rsidRPr="004D46AC">
              <w:rPr>
                <w:color w:val="000000"/>
              </w:rPr>
              <w:t xml:space="preserve">0.37 </w:t>
            </w:r>
          </w:p>
        </w:tc>
      </w:tr>
      <w:tr w:rsidR="007075D9" w:rsidRPr="004D46AC" w14:paraId="323F4778" w14:textId="77777777" w:rsidTr="00B518F1">
        <w:tc>
          <w:tcPr>
            <w:tcW w:w="1434" w:type="dxa"/>
            <w:vAlign w:val="center"/>
          </w:tcPr>
          <w:p w14:paraId="2B1163AB" w14:textId="77777777" w:rsidR="007075D9" w:rsidRPr="004D46AC" w:rsidRDefault="007075D9" w:rsidP="00CE2F7A">
            <w:pPr>
              <w:spacing w:line="240" w:lineRule="auto"/>
              <w:ind w:firstLine="0"/>
              <w:rPr>
                <w:b/>
                <w:bCs/>
                <w:i/>
                <w:iCs/>
              </w:rPr>
            </w:pPr>
            <w:r w:rsidRPr="004D46AC">
              <w:rPr>
                <w:rFonts w:eastAsia="DengXian"/>
                <w:color w:val="000000"/>
              </w:rPr>
              <w:t>M2--M5</w:t>
            </w:r>
          </w:p>
        </w:tc>
        <w:tc>
          <w:tcPr>
            <w:tcW w:w="1687" w:type="dxa"/>
            <w:vAlign w:val="center"/>
          </w:tcPr>
          <w:p w14:paraId="55295A68"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E7E25F8"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8835AEF"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22445360" w14:textId="77777777" w:rsidR="007075D9" w:rsidRPr="004D46AC" w:rsidRDefault="007075D9" w:rsidP="00CE2F7A">
            <w:pPr>
              <w:spacing w:line="240" w:lineRule="auto"/>
              <w:ind w:firstLine="0"/>
              <w:rPr>
                <w:b/>
                <w:bCs/>
                <w:i/>
                <w:iCs/>
              </w:rPr>
            </w:pPr>
            <w:r w:rsidRPr="004D46AC">
              <w:rPr>
                <w:color w:val="000000"/>
              </w:rPr>
              <w:t xml:space="preserve">0.32 </w:t>
            </w:r>
          </w:p>
        </w:tc>
      </w:tr>
      <w:tr w:rsidR="007075D9" w:rsidRPr="004D46AC" w14:paraId="758C7AE2" w14:textId="77777777" w:rsidTr="00B518F1">
        <w:tc>
          <w:tcPr>
            <w:tcW w:w="1434" w:type="dxa"/>
            <w:vAlign w:val="center"/>
          </w:tcPr>
          <w:p w14:paraId="40A585E9" w14:textId="77777777" w:rsidR="007075D9" w:rsidRPr="004D46AC" w:rsidRDefault="007075D9" w:rsidP="00CE2F7A">
            <w:pPr>
              <w:spacing w:line="240" w:lineRule="auto"/>
              <w:ind w:firstLine="0"/>
              <w:rPr>
                <w:b/>
                <w:bCs/>
                <w:i/>
                <w:iCs/>
              </w:rPr>
            </w:pPr>
            <w:r w:rsidRPr="004D46AC">
              <w:rPr>
                <w:rFonts w:eastAsia="DengXian"/>
                <w:color w:val="000000"/>
              </w:rPr>
              <w:t>P4--M3</w:t>
            </w:r>
          </w:p>
        </w:tc>
        <w:tc>
          <w:tcPr>
            <w:tcW w:w="1687" w:type="dxa"/>
            <w:vAlign w:val="center"/>
          </w:tcPr>
          <w:p w14:paraId="290F01C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FC409BB"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EB62DFD"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0E0F21B3" w14:textId="77777777" w:rsidR="007075D9" w:rsidRPr="004D46AC" w:rsidRDefault="007075D9" w:rsidP="00CE2F7A">
            <w:pPr>
              <w:spacing w:line="240" w:lineRule="auto"/>
              <w:ind w:firstLine="0"/>
              <w:rPr>
                <w:b/>
                <w:bCs/>
                <w:i/>
                <w:iCs/>
              </w:rPr>
            </w:pPr>
            <w:r w:rsidRPr="004D46AC">
              <w:rPr>
                <w:color w:val="000000"/>
              </w:rPr>
              <w:t xml:space="preserve">0.38 </w:t>
            </w:r>
          </w:p>
        </w:tc>
      </w:tr>
      <w:tr w:rsidR="007075D9" w:rsidRPr="004D46AC" w14:paraId="0845093C" w14:textId="77777777" w:rsidTr="00B518F1">
        <w:tc>
          <w:tcPr>
            <w:tcW w:w="1434" w:type="dxa"/>
            <w:vAlign w:val="center"/>
          </w:tcPr>
          <w:p w14:paraId="29532C69" w14:textId="77777777" w:rsidR="007075D9" w:rsidRPr="004D46AC" w:rsidRDefault="007075D9" w:rsidP="00CE2F7A">
            <w:pPr>
              <w:spacing w:line="240" w:lineRule="auto"/>
              <w:ind w:firstLine="0"/>
              <w:rPr>
                <w:b/>
                <w:bCs/>
                <w:i/>
                <w:iCs/>
              </w:rPr>
            </w:pPr>
            <w:r w:rsidRPr="004D46AC">
              <w:rPr>
                <w:rFonts w:eastAsia="DengXian"/>
                <w:color w:val="000000"/>
              </w:rPr>
              <w:t>M5--M10</w:t>
            </w:r>
          </w:p>
        </w:tc>
        <w:tc>
          <w:tcPr>
            <w:tcW w:w="1687" w:type="dxa"/>
            <w:vAlign w:val="center"/>
          </w:tcPr>
          <w:p w14:paraId="76DB78C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CB66DAC"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D9A3C9E"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01147123" w14:textId="77777777" w:rsidR="007075D9" w:rsidRPr="004D46AC" w:rsidRDefault="007075D9" w:rsidP="00CE2F7A">
            <w:pPr>
              <w:spacing w:line="240" w:lineRule="auto"/>
              <w:ind w:firstLine="0"/>
              <w:rPr>
                <w:b/>
                <w:bCs/>
                <w:i/>
                <w:iCs/>
              </w:rPr>
            </w:pPr>
            <w:r w:rsidRPr="004D46AC">
              <w:rPr>
                <w:color w:val="000000"/>
              </w:rPr>
              <w:t xml:space="preserve">0.43 </w:t>
            </w:r>
          </w:p>
        </w:tc>
      </w:tr>
      <w:tr w:rsidR="007075D9" w:rsidRPr="004D46AC" w14:paraId="5250A3F8" w14:textId="77777777" w:rsidTr="00B518F1">
        <w:tc>
          <w:tcPr>
            <w:tcW w:w="1434" w:type="dxa"/>
            <w:vAlign w:val="center"/>
          </w:tcPr>
          <w:p w14:paraId="5B7FFB25" w14:textId="77777777" w:rsidR="007075D9" w:rsidRPr="004D46AC" w:rsidRDefault="007075D9" w:rsidP="00CE2F7A">
            <w:pPr>
              <w:spacing w:line="240" w:lineRule="auto"/>
              <w:ind w:firstLine="0"/>
              <w:rPr>
                <w:b/>
                <w:bCs/>
                <w:i/>
                <w:iCs/>
              </w:rPr>
            </w:pPr>
            <w:r w:rsidRPr="004D46AC">
              <w:rPr>
                <w:rFonts w:eastAsia="DengXian"/>
                <w:color w:val="000000"/>
              </w:rPr>
              <w:t>P5--IA</w:t>
            </w:r>
          </w:p>
        </w:tc>
        <w:tc>
          <w:tcPr>
            <w:tcW w:w="1687" w:type="dxa"/>
            <w:vAlign w:val="center"/>
          </w:tcPr>
          <w:p w14:paraId="57D29032"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3F2B6E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160064C"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6BDE82E6"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1000CB16" w14:textId="77777777" w:rsidTr="00B518F1">
        <w:tc>
          <w:tcPr>
            <w:tcW w:w="1434" w:type="dxa"/>
            <w:vAlign w:val="center"/>
          </w:tcPr>
          <w:p w14:paraId="7AAF4904" w14:textId="77777777" w:rsidR="007075D9" w:rsidRPr="004D46AC" w:rsidRDefault="007075D9" w:rsidP="00CE2F7A">
            <w:pPr>
              <w:spacing w:line="240" w:lineRule="auto"/>
              <w:ind w:firstLine="0"/>
              <w:rPr>
                <w:b/>
                <w:bCs/>
                <w:i/>
                <w:iCs/>
              </w:rPr>
            </w:pPr>
            <w:r w:rsidRPr="004D46AC">
              <w:rPr>
                <w:rFonts w:eastAsia="DengXian"/>
                <w:color w:val="000000"/>
              </w:rPr>
              <w:t>M3--M10</w:t>
            </w:r>
          </w:p>
        </w:tc>
        <w:tc>
          <w:tcPr>
            <w:tcW w:w="1687" w:type="dxa"/>
            <w:vAlign w:val="center"/>
          </w:tcPr>
          <w:p w14:paraId="31911C2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6F3091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4B1C021"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422491F9"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6561DF61" w14:textId="77777777" w:rsidTr="00B518F1">
        <w:tc>
          <w:tcPr>
            <w:tcW w:w="1434" w:type="dxa"/>
            <w:vAlign w:val="center"/>
          </w:tcPr>
          <w:p w14:paraId="097BC55D" w14:textId="77777777" w:rsidR="007075D9" w:rsidRPr="004D46AC" w:rsidRDefault="007075D9" w:rsidP="00CE2F7A">
            <w:pPr>
              <w:spacing w:line="240" w:lineRule="auto"/>
              <w:ind w:firstLine="0"/>
              <w:rPr>
                <w:b/>
                <w:bCs/>
                <w:i/>
                <w:iCs/>
              </w:rPr>
            </w:pPr>
            <w:r w:rsidRPr="004D46AC">
              <w:rPr>
                <w:rFonts w:eastAsia="DengXian"/>
                <w:color w:val="000000"/>
              </w:rPr>
              <w:t>P3--M6</w:t>
            </w:r>
          </w:p>
        </w:tc>
        <w:tc>
          <w:tcPr>
            <w:tcW w:w="1687" w:type="dxa"/>
            <w:vAlign w:val="center"/>
          </w:tcPr>
          <w:p w14:paraId="6C4F475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871BF09"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EBA86AB"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54CD5C7C" w14:textId="77777777" w:rsidR="007075D9" w:rsidRPr="004D46AC" w:rsidRDefault="007075D9" w:rsidP="00CE2F7A">
            <w:pPr>
              <w:spacing w:line="240" w:lineRule="auto"/>
              <w:ind w:firstLine="0"/>
              <w:rPr>
                <w:b/>
                <w:bCs/>
                <w:i/>
                <w:iCs/>
              </w:rPr>
            </w:pPr>
            <w:r w:rsidRPr="004D46AC">
              <w:rPr>
                <w:color w:val="000000"/>
              </w:rPr>
              <w:t xml:space="preserve">0.40 </w:t>
            </w:r>
          </w:p>
        </w:tc>
      </w:tr>
      <w:tr w:rsidR="007075D9" w:rsidRPr="004D46AC" w14:paraId="0C5231E3" w14:textId="77777777" w:rsidTr="00B518F1">
        <w:tc>
          <w:tcPr>
            <w:tcW w:w="1434" w:type="dxa"/>
            <w:vAlign w:val="center"/>
          </w:tcPr>
          <w:p w14:paraId="76C38060" w14:textId="77777777" w:rsidR="007075D9" w:rsidRPr="004D46AC" w:rsidRDefault="007075D9" w:rsidP="00CE2F7A">
            <w:pPr>
              <w:spacing w:line="240" w:lineRule="auto"/>
              <w:ind w:firstLine="0"/>
              <w:rPr>
                <w:b/>
                <w:bCs/>
                <w:i/>
                <w:iCs/>
              </w:rPr>
            </w:pPr>
            <w:r w:rsidRPr="004D46AC">
              <w:rPr>
                <w:rFonts w:eastAsia="DengXian"/>
                <w:color w:val="000000"/>
              </w:rPr>
              <w:t>IA--M6</w:t>
            </w:r>
          </w:p>
        </w:tc>
        <w:tc>
          <w:tcPr>
            <w:tcW w:w="1687" w:type="dxa"/>
            <w:vAlign w:val="center"/>
          </w:tcPr>
          <w:p w14:paraId="4520D18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713A647"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7DEB108"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653A656F" w14:textId="77777777" w:rsidR="007075D9" w:rsidRPr="004D46AC" w:rsidRDefault="007075D9" w:rsidP="00CE2F7A">
            <w:pPr>
              <w:spacing w:line="240" w:lineRule="auto"/>
              <w:ind w:firstLine="0"/>
              <w:rPr>
                <w:b/>
                <w:bCs/>
                <w:i/>
                <w:iCs/>
              </w:rPr>
            </w:pPr>
            <w:r w:rsidRPr="004D46AC">
              <w:rPr>
                <w:color w:val="000000"/>
              </w:rPr>
              <w:t xml:space="preserve">0.36 </w:t>
            </w:r>
          </w:p>
        </w:tc>
      </w:tr>
      <w:tr w:rsidR="007075D9" w:rsidRPr="004D46AC" w14:paraId="5D78DB14" w14:textId="77777777" w:rsidTr="00B518F1">
        <w:tc>
          <w:tcPr>
            <w:tcW w:w="1434" w:type="dxa"/>
            <w:vAlign w:val="center"/>
          </w:tcPr>
          <w:p w14:paraId="48508DC8" w14:textId="77777777" w:rsidR="007075D9" w:rsidRPr="004D46AC" w:rsidRDefault="007075D9" w:rsidP="00CE2F7A">
            <w:pPr>
              <w:spacing w:line="240" w:lineRule="auto"/>
              <w:ind w:firstLine="0"/>
              <w:rPr>
                <w:b/>
                <w:bCs/>
                <w:i/>
                <w:iCs/>
              </w:rPr>
            </w:pPr>
            <w:r w:rsidRPr="004D46AC">
              <w:rPr>
                <w:rFonts w:eastAsia="DengXian"/>
                <w:color w:val="000000"/>
              </w:rPr>
              <w:t>P6--SP</w:t>
            </w:r>
          </w:p>
        </w:tc>
        <w:tc>
          <w:tcPr>
            <w:tcW w:w="1687" w:type="dxa"/>
            <w:vAlign w:val="center"/>
          </w:tcPr>
          <w:p w14:paraId="555C13F6"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876AA3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B6C143D"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4C5113FE"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107801C4" w14:textId="77777777" w:rsidTr="00B518F1">
        <w:tc>
          <w:tcPr>
            <w:tcW w:w="1434" w:type="dxa"/>
            <w:vAlign w:val="center"/>
          </w:tcPr>
          <w:p w14:paraId="00796603" w14:textId="77777777" w:rsidR="007075D9" w:rsidRPr="004D46AC" w:rsidRDefault="007075D9" w:rsidP="00CE2F7A">
            <w:pPr>
              <w:spacing w:line="240" w:lineRule="auto"/>
              <w:ind w:firstLine="0"/>
              <w:rPr>
                <w:b/>
                <w:bCs/>
                <w:i/>
                <w:iCs/>
              </w:rPr>
            </w:pPr>
            <w:r w:rsidRPr="004D46AC">
              <w:rPr>
                <w:rFonts w:eastAsia="DengXian"/>
                <w:color w:val="000000"/>
              </w:rPr>
              <w:t>P5--Y10</w:t>
            </w:r>
          </w:p>
        </w:tc>
        <w:tc>
          <w:tcPr>
            <w:tcW w:w="1687" w:type="dxa"/>
            <w:vAlign w:val="center"/>
          </w:tcPr>
          <w:p w14:paraId="4C4B291A"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A74A42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7C9A1E9"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3D5567B3" w14:textId="77777777" w:rsidR="007075D9" w:rsidRPr="004D46AC" w:rsidRDefault="007075D9" w:rsidP="00CE2F7A">
            <w:pPr>
              <w:spacing w:line="240" w:lineRule="auto"/>
              <w:ind w:firstLine="0"/>
              <w:rPr>
                <w:b/>
                <w:bCs/>
                <w:i/>
                <w:iCs/>
              </w:rPr>
            </w:pPr>
            <w:r w:rsidRPr="004D46AC">
              <w:rPr>
                <w:color w:val="000000"/>
              </w:rPr>
              <w:t xml:space="preserve">0.50 </w:t>
            </w:r>
          </w:p>
        </w:tc>
      </w:tr>
      <w:tr w:rsidR="007075D9" w:rsidRPr="004D46AC" w14:paraId="42A4B940" w14:textId="77777777" w:rsidTr="00B518F1">
        <w:tc>
          <w:tcPr>
            <w:tcW w:w="1434" w:type="dxa"/>
            <w:vAlign w:val="center"/>
          </w:tcPr>
          <w:p w14:paraId="66E87778" w14:textId="77777777" w:rsidR="007075D9" w:rsidRPr="004D46AC" w:rsidRDefault="007075D9" w:rsidP="00CE2F7A">
            <w:pPr>
              <w:spacing w:line="240" w:lineRule="auto"/>
              <w:ind w:firstLine="0"/>
              <w:rPr>
                <w:b/>
                <w:bCs/>
                <w:i/>
                <w:iCs/>
              </w:rPr>
            </w:pPr>
            <w:r w:rsidRPr="004D46AC">
              <w:rPr>
                <w:rFonts w:eastAsia="DengXian"/>
                <w:color w:val="000000"/>
              </w:rPr>
              <w:t>M7--M10</w:t>
            </w:r>
          </w:p>
        </w:tc>
        <w:tc>
          <w:tcPr>
            <w:tcW w:w="1687" w:type="dxa"/>
            <w:vAlign w:val="center"/>
          </w:tcPr>
          <w:p w14:paraId="7F3C2A6E"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234B71F"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B61EF28"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7720DBFF" w14:textId="77777777" w:rsidR="007075D9" w:rsidRPr="004D46AC" w:rsidRDefault="007075D9" w:rsidP="00CE2F7A">
            <w:pPr>
              <w:spacing w:line="240" w:lineRule="auto"/>
              <w:ind w:firstLine="0"/>
              <w:rPr>
                <w:b/>
                <w:bCs/>
                <w:i/>
                <w:iCs/>
              </w:rPr>
            </w:pPr>
            <w:r w:rsidRPr="004D46AC">
              <w:rPr>
                <w:color w:val="000000"/>
              </w:rPr>
              <w:t xml:space="preserve">0.42 </w:t>
            </w:r>
          </w:p>
        </w:tc>
      </w:tr>
      <w:tr w:rsidR="007075D9" w:rsidRPr="004D46AC" w14:paraId="2E243333" w14:textId="77777777" w:rsidTr="00B518F1">
        <w:tc>
          <w:tcPr>
            <w:tcW w:w="1434" w:type="dxa"/>
            <w:vAlign w:val="center"/>
          </w:tcPr>
          <w:p w14:paraId="4463B094" w14:textId="77777777" w:rsidR="007075D9" w:rsidRPr="004D46AC" w:rsidRDefault="007075D9" w:rsidP="00CE2F7A">
            <w:pPr>
              <w:spacing w:line="240" w:lineRule="auto"/>
              <w:ind w:firstLine="0"/>
              <w:rPr>
                <w:b/>
                <w:bCs/>
                <w:i/>
                <w:iCs/>
              </w:rPr>
            </w:pPr>
            <w:r w:rsidRPr="004D46AC">
              <w:rPr>
                <w:rFonts w:eastAsia="DengXian"/>
                <w:color w:val="000000"/>
              </w:rPr>
              <w:t>P2--Y11</w:t>
            </w:r>
          </w:p>
        </w:tc>
        <w:tc>
          <w:tcPr>
            <w:tcW w:w="1687" w:type="dxa"/>
            <w:vAlign w:val="center"/>
          </w:tcPr>
          <w:p w14:paraId="3F79FFEC"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65BD8A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C924E70"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23D7F023" w14:textId="77777777" w:rsidR="007075D9" w:rsidRPr="004D46AC" w:rsidRDefault="007075D9" w:rsidP="00CE2F7A">
            <w:pPr>
              <w:spacing w:line="240" w:lineRule="auto"/>
              <w:ind w:firstLine="0"/>
              <w:rPr>
                <w:b/>
                <w:bCs/>
                <w:i/>
                <w:iCs/>
              </w:rPr>
            </w:pPr>
            <w:r w:rsidRPr="004D46AC">
              <w:rPr>
                <w:color w:val="000000"/>
              </w:rPr>
              <w:t xml:space="preserve">0.51 </w:t>
            </w:r>
          </w:p>
        </w:tc>
      </w:tr>
      <w:tr w:rsidR="007075D9" w:rsidRPr="004D46AC" w14:paraId="6A43FBFB" w14:textId="77777777" w:rsidTr="00B518F1">
        <w:tc>
          <w:tcPr>
            <w:tcW w:w="1434" w:type="dxa"/>
            <w:vAlign w:val="center"/>
          </w:tcPr>
          <w:p w14:paraId="3DCD061E" w14:textId="77777777" w:rsidR="007075D9" w:rsidRPr="004D46AC" w:rsidRDefault="007075D9" w:rsidP="00CE2F7A">
            <w:pPr>
              <w:spacing w:line="240" w:lineRule="auto"/>
              <w:ind w:firstLine="0"/>
              <w:rPr>
                <w:b/>
                <w:bCs/>
                <w:i/>
                <w:iCs/>
              </w:rPr>
            </w:pPr>
            <w:r w:rsidRPr="004D46AC">
              <w:rPr>
                <w:rFonts w:eastAsia="DengXian"/>
                <w:color w:val="000000"/>
              </w:rPr>
              <w:t>Y7--M10</w:t>
            </w:r>
          </w:p>
        </w:tc>
        <w:tc>
          <w:tcPr>
            <w:tcW w:w="1687" w:type="dxa"/>
            <w:vAlign w:val="center"/>
          </w:tcPr>
          <w:p w14:paraId="7D707786"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EA64C9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CD4E88A"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7EE9CBFF" w14:textId="77777777" w:rsidR="007075D9" w:rsidRPr="004D46AC" w:rsidRDefault="007075D9" w:rsidP="00CE2F7A">
            <w:pPr>
              <w:spacing w:line="240" w:lineRule="auto"/>
              <w:ind w:firstLine="0"/>
              <w:rPr>
                <w:b/>
                <w:bCs/>
                <w:i/>
                <w:iCs/>
              </w:rPr>
            </w:pPr>
            <w:r w:rsidRPr="004D46AC">
              <w:rPr>
                <w:color w:val="000000"/>
              </w:rPr>
              <w:t xml:space="preserve">0.54 </w:t>
            </w:r>
          </w:p>
        </w:tc>
      </w:tr>
      <w:tr w:rsidR="007075D9" w:rsidRPr="004D46AC" w14:paraId="05F389D1" w14:textId="77777777" w:rsidTr="00B518F1">
        <w:tc>
          <w:tcPr>
            <w:tcW w:w="1434" w:type="dxa"/>
            <w:vAlign w:val="center"/>
          </w:tcPr>
          <w:p w14:paraId="4D26C03F" w14:textId="77777777" w:rsidR="007075D9" w:rsidRPr="004D46AC" w:rsidRDefault="007075D9" w:rsidP="00CE2F7A">
            <w:pPr>
              <w:spacing w:line="240" w:lineRule="auto"/>
              <w:ind w:firstLine="0"/>
              <w:rPr>
                <w:b/>
                <w:bCs/>
                <w:i/>
                <w:iCs/>
              </w:rPr>
            </w:pPr>
            <w:r w:rsidRPr="004D46AC">
              <w:rPr>
                <w:rFonts w:eastAsia="DengXian"/>
                <w:color w:val="000000"/>
              </w:rPr>
              <w:t>M10--SP</w:t>
            </w:r>
          </w:p>
        </w:tc>
        <w:tc>
          <w:tcPr>
            <w:tcW w:w="1687" w:type="dxa"/>
            <w:vAlign w:val="center"/>
          </w:tcPr>
          <w:p w14:paraId="62AA1896"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27E1B5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AEAD0B0"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0D54B6C0" w14:textId="77777777" w:rsidR="007075D9" w:rsidRPr="004D46AC" w:rsidRDefault="007075D9" w:rsidP="00CE2F7A">
            <w:pPr>
              <w:spacing w:line="240" w:lineRule="auto"/>
              <w:ind w:firstLine="0"/>
              <w:rPr>
                <w:b/>
                <w:bCs/>
                <w:i/>
                <w:iCs/>
              </w:rPr>
            </w:pPr>
            <w:r w:rsidRPr="004D46AC">
              <w:rPr>
                <w:color w:val="000000"/>
              </w:rPr>
              <w:t xml:space="preserve">0.51 </w:t>
            </w:r>
          </w:p>
        </w:tc>
      </w:tr>
      <w:tr w:rsidR="007075D9" w:rsidRPr="004D46AC" w14:paraId="6BB431AA" w14:textId="77777777" w:rsidTr="00B518F1">
        <w:tc>
          <w:tcPr>
            <w:tcW w:w="1434" w:type="dxa"/>
            <w:vAlign w:val="center"/>
          </w:tcPr>
          <w:p w14:paraId="6AFAD4E4" w14:textId="77777777" w:rsidR="007075D9" w:rsidRPr="004D46AC" w:rsidRDefault="007075D9" w:rsidP="00CE2F7A">
            <w:pPr>
              <w:spacing w:line="240" w:lineRule="auto"/>
              <w:ind w:firstLine="0"/>
              <w:rPr>
                <w:b/>
                <w:bCs/>
                <w:i/>
                <w:iCs/>
              </w:rPr>
            </w:pPr>
            <w:r w:rsidRPr="004D46AC">
              <w:rPr>
                <w:rFonts w:eastAsia="DengXian"/>
                <w:color w:val="000000"/>
              </w:rPr>
              <w:t>N5--Y10</w:t>
            </w:r>
          </w:p>
        </w:tc>
        <w:tc>
          <w:tcPr>
            <w:tcW w:w="1687" w:type="dxa"/>
            <w:vAlign w:val="center"/>
          </w:tcPr>
          <w:p w14:paraId="33C610FC"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0866B9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FDA43BD"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0365993B" w14:textId="77777777" w:rsidR="007075D9" w:rsidRPr="004D46AC" w:rsidRDefault="007075D9" w:rsidP="00CE2F7A">
            <w:pPr>
              <w:spacing w:line="240" w:lineRule="auto"/>
              <w:ind w:firstLine="0"/>
              <w:rPr>
                <w:b/>
                <w:bCs/>
                <w:i/>
                <w:iCs/>
              </w:rPr>
            </w:pPr>
            <w:r w:rsidRPr="004D46AC">
              <w:rPr>
                <w:color w:val="000000"/>
              </w:rPr>
              <w:t xml:space="preserve">0.53 </w:t>
            </w:r>
          </w:p>
        </w:tc>
      </w:tr>
      <w:tr w:rsidR="007075D9" w:rsidRPr="004D46AC" w14:paraId="468D41EB" w14:textId="77777777" w:rsidTr="00B518F1">
        <w:tc>
          <w:tcPr>
            <w:tcW w:w="1434" w:type="dxa"/>
            <w:vAlign w:val="center"/>
          </w:tcPr>
          <w:p w14:paraId="7AE240AA" w14:textId="77777777" w:rsidR="007075D9" w:rsidRPr="004D46AC" w:rsidRDefault="007075D9" w:rsidP="00CE2F7A">
            <w:pPr>
              <w:spacing w:line="240" w:lineRule="auto"/>
              <w:ind w:firstLine="0"/>
              <w:rPr>
                <w:b/>
                <w:bCs/>
                <w:i/>
                <w:iCs/>
              </w:rPr>
            </w:pPr>
            <w:r w:rsidRPr="004D46AC">
              <w:rPr>
                <w:rFonts w:eastAsia="DengXian"/>
                <w:color w:val="000000"/>
              </w:rPr>
              <w:t>N5--IA</w:t>
            </w:r>
          </w:p>
        </w:tc>
        <w:tc>
          <w:tcPr>
            <w:tcW w:w="1687" w:type="dxa"/>
            <w:vAlign w:val="center"/>
          </w:tcPr>
          <w:p w14:paraId="54D7A7FA"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054032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209C722"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2C2946C8" w14:textId="77777777" w:rsidR="007075D9" w:rsidRPr="004D46AC" w:rsidRDefault="007075D9" w:rsidP="00CE2F7A">
            <w:pPr>
              <w:spacing w:line="240" w:lineRule="auto"/>
              <w:ind w:firstLine="0"/>
              <w:rPr>
                <w:b/>
                <w:bCs/>
                <w:i/>
                <w:iCs/>
              </w:rPr>
            </w:pPr>
            <w:r w:rsidRPr="004D46AC">
              <w:rPr>
                <w:color w:val="000000"/>
              </w:rPr>
              <w:t xml:space="preserve">0.56 </w:t>
            </w:r>
          </w:p>
        </w:tc>
      </w:tr>
      <w:tr w:rsidR="007075D9" w:rsidRPr="004D46AC" w14:paraId="2C908753" w14:textId="77777777" w:rsidTr="00B518F1">
        <w:tc>
          <w:tcPr>
            <w:tcW w:w="1434" w:type="dxa"/>
            <w:vAlign w:val="center"/>
          </w:tcPr>
          <w:p w14:paraId="3426B75A" w14:textId="77777777" w:rsidR="007075D9" w:rsidRPr="004D46AC" w:rsidRDefault="007075D9" w:rsidP="00CE2F7A">
            <w:pPr>
              <w:spacing w:line="240" w:lineRule="auto"/>
              <w:ind w:firstLine="0"/>
              <w:rPr>
                <w:b/>
                <w:bCs/>
                <w:i/>
                <w:iCs/>
              </w:rPr>
            </w:pPr>
            <w:r w:rsidRPr="004D46AC">
              <w:rPr>
                <w:rFonts w:eastAsia="DengXian"/>
                <w:color w:val="000000"/>
              </w:rPr>
              <w:t>IA--M2</w:t>
            </w:r>
          </w:p>
        </w:tc>
        <w:tc>
          <w:tcPr>
            <w:tcW w:w="1687" w:type="dxa"/>
            <w:vAlign w:val="center"/>
          </w:tcPr>
          <w:p w14:paraId="4C54CF83"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CA9A9EE"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3E90B64"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5E66E5F3" w14:textId="77777777" w:rsidR="007075D9" w:rsidRPr="004D46AC" w:rsidRDefault="007075D9" w:rsidP="00CE2F7A">
            <w:pPr>
              <w:spacing w:line="240" w:lineRule="auto"/>
              <w:ind w:firstLine="0"/>
              <w:rPr>
                <w:b/>
                <w:bCs/>
                <w:i/>
                <w:iCs/>
              </w:rPr>
            </w:pPr>
            <w:r w:rsidRPr="004D46AC">
              <w:rPr>
                <w:color w:val="000000"/>
              </w:rPr>
              <w:t xml:space="preserve">0.48 </w:t>
            </w:r>
          </w:p>
        </w:tc>
      </w:tr>
      <w:tr w:rsidR="007075D9" w:rsidRPr="004D46AC" w14:paraId="7A5F3DC8" w14:textId="77777777" w:rsidTr="00B518F1">
        <w:tc>
          <w:tcPr>
            <w:tcW w:w="1434" w:type="dxa"/>
            <w:vAlign w:val="center"/>
          </w:tcPr>
          <w:p w14:paraId="3FA45225" w14:textId="77777777" w:rsidR="007075D9" w:rsidRPr="004D46AC" w:rsidRDefault="007075D9" w:rsidP="00CE2F7A">
            <w:pPr>
              <w:spacing w:line="240" w:lineRule="auto"/>
              <w:ind w:firstLine="0"/>
              <w:rPr>
                <w:b/>
                <w:bCs/>
                <w:i/>
                <w:iCs/>
              </w:rPr>
            </w:pPr>
            <w:r w:rsidRPr="004D46AC">
              <w:rPr>
                <w:rFonts w:eastAsia="DengXian"/>
                <w:color w:val="000000"/>
              </w:rPr>
              <w:t>WD--Y10</w:t>
            </w:r>
          </w:p>
        </w:tc>
        <w:tc>
          <w:tcPr>
            <w:tcW w:w="1687" w:type="dxa"/>
            <w:vAlign w:val="center"/>
          </w:tcPr>
          <w:p w14:paraId="1DF02AD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1A9167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ECF6CDA"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268FEC0C" w14:textId="77777777" w:rsidR="007075D9" w:rsidRPr="004D46AC" w:rsidRDefault="007075D9" w:rsidP="00CE2F7A">
            <w:pPr>
              <w:spacing w:line="240" w:lineRule="auto"/>
              <w:ind w:firstLine="0"/>
              <w:rPr>
                <w:b/>
                <w:bCs/>
                <w:i/>
                <w:iCs/>
              </w:rPr>
            </w:pPr>
            <w:r w:rsidRPr="004D46AC">
              <w:rPr>
                <w:color w:val="000000"/>
              </w:rPr>
              <w:t xml:space="preserve">0.52 </w:t>
            </w:r>
          </w:p>
        </w:tc>
      </w:tr>
      <w:tr w:rsidR="007075D9" w:rsidRPr="004D46AC" w14:paraId="1E07442A" w14:textId="77777777" w:rsidTr="00B518F1">
        <w:tc>
          <w:tcPr>
            <w:tcW w:w="1434" w:type="dxa"/>
            <w:vAlign w:val="center"/>
          </w:tcPr>
          <w:p w14:paraId="32D20F0D" w14:textId="77777777" w:rsidR="007075D9" w:rsidRPr="004D46AC" w:rsidRDefault="007075D9" w:rsidP="00CE2F7A">
            <w:pPr>
              <w:spacing w:line="240" w:lineRule="auto"/>
              <w:ind w:firstLine="0"/>
              <w:rPr>
                <w:b/>
                <w:bCs/>
                <w:i/>
                <w:iCs/>
              </w:rPr>
            </w:pPr>
            <w:r w:rsidRPr="004D46AC">
              <w:rPr>
                <w:rFonts w:eastAsia="DengXian"/>
                <w:color w:val="000000"/>
              </w:rPr>
              <w:t>Y3--IA</w:t>
            </w:r>
          </w:p>
        </w:tc>
        <w:tc>
          <w:tcPr>
            <w:tcW w:w="1687" w:type="dxa"/>
            <w:vAlign w:val="center"/>
          </w:tcPr>
          <w:p w14:paraId="3F98470E"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FEABC0D"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B3D2200"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734E4DB0" w14:textId="77777777" w:rsidR="007075D9" w:rsidRPr="004D46AC" w:rsidRDefault="007075D9" w:rsidP="00CE2F7A">
            <w:pPr>
              <w:spacing w:line="240" w:lineRule="auto"/>
              <w:ind w:firstLine="0"/>
              <w:rPr>
                <w:b/>
                <w:bCs/>
                <w:i/>
                <w:iCs/>
              </w:rPr>
            </w:pPr>
            <w:r w:rsidRPr="004D46AC">
              <w:rPr>
                <w:color w:val="000000"/>
              </w:rPr>
              <w:t xml:space="preserve">0.60 </w:t>
            </w:r>
          </w:p>
        </w:tc>
      </w:tr>
      <w:tr w:rsidR="007075D9" w:rsidRPr="004D46AC" w14:paraId="2AA67E50" w14:textId="77777777" w:rsidTr="00B518F1">
        <w:tc>
          <w:tcPr>
            <w:tcW w:w="1434" w:type="dxa"/>
            <w:vAlign w:val="center"/>
          </w:tcPr>
          <w:p w14:paraId="17CEB00A" w14:textId="77777777" w:rsidR="007075D9" w:rsidRPr="004D46AC" w:rsidRDefault="007075D9" w:rsidP="00CE2F7A">
            <w:pPr>
              <w:spacing w:line="240" w:lineRule="auto"/>
              <w:ind w:firstLine="0"/>
              <w:rPr>
                <w:b/>
                <w:bCs/>
                <w:i/>
                <w:iCs/>
              </w:rPr>
            </w:pPr>
            <w:r w:rsidRPr="004D46AC">
              <w:rPr>
                <w:rFonts w:eastAsia="DengXian"/>
                <w:color w:val="000000"/>
              </w:rPr>
              <w:t>Y10--M3</w:t>
            </w:r>
          </w:p>
        </w:tc>
        <w:tc>
          <w:tcPr>
            <w:tcW w:w="1687" w:type="dxa"/>
            <w:vAlign w:val="center"/>
          </w:tcPr>
          <w:p w14:paraId="6F442C9F"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570CA6C"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312520B"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20E274C5" w14:textId="77777777" w:rsidR="007075D9" w:rsidRPr="004D46AC" w:rsidRDefault="007075D9" w:rsidP="00CE2F7A">
            <w:pPr>
              <w:spacing w:line="240" w:lineRule="auto"/>
              <w:ind w:firstLine="0"/>
              <w:rPr>
                <w:b/>
                <w:bCs/>
                <w:i/>
                <w:iCs/>
              </w:rPr>
            </w:pPr>
            <w:r w:rsidRPr="004D46AC">
              <w:rPr>
                <w:color w:val="000000"/>
              </w:rPr>
              <w:t xml:space="preserve">0.55 </w:t>
            </w:r>
          </w:p>
        </w:tc>
      </w:tr>
      <w:tr w:rsidR="007075D9" w:rsidRPr="004D46AC" w14:paraId="145F52E7" w14:textId="77777777" w:rsidTr="00B518F1">
        <w:tc>
          <w:tcPr>
            <w:tcW w:w="1434" w:type="dxa"/>
            <w:vAlign w:val="center"/>
          </w:tcPr>
          <w:p w14:paraId="5048873F" w14:textId="77777777" w:rsidR="007075D9" w:rsidRPr="004D46AC" w:rsidRDefault="007075D9" w:rsidP="00CE2F7A">
            <w:pPr>
              <w:spacing w:line="240" w:lineRule="auto"/>
              <w:ind w:firstLine="0"/>
              <w:rPr>
                <w:b/>
                <w:bCs/>
                <w:i/>
                <w:iCs/>
              </w:rPr>
            </w:pPr>
            <w:r w:rsidRPr="004D46AC">
              <w:rPr>
                <w:rFonts w:eastAsia="DengXian"/>
                <w:color w:val="000000"/>
              </w:rPr>
              <w:t>M5--M6</w:t>
            </w:r>
          </w:p>
        </w:tc>
        <w:tc>
          <w:tcPr>
            <w:tcW w:w="1687" w:type="dxa"/>
            <w:vAlign w:val="center"/>
          </w:tcPr>
          <w:p w14:paraId="097960F8"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1089BED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F6B3984"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1F8A36A6" w14:textId="77777777" w:rsidR="007075D9" w:rsidRPr="004D46AC" w:rsidRDefault="007075D9" w:rsidP="00CE2F7A">
            <w:pPr>
              <w:spacing w:line="240" w:lineRule="auto"/>
              <w:ind w:firstLine="0"/>
              <w:rPr>
                <w:b/>
                <w:bCs/>
                <w:i/>
                <w:iCs/>
              </w:rPr>
            </w:pPr>
            <w:r w:rsidRPr="004D46AC">
              <w:rPr>
                <w:color w:val="000000"/>
              </w:rPr>
              <w:t xml:space="preserve">0.50 </w:t>
            </w:r>
          </w:p>
        </w:tc>
      </w:tr>
      <w:tr w:rsidR="007075D9" w:rsidRPr="004D46AC" w14:paraId="404D290C" w14:textId="77777777" w:rsidTr="00B518F1">
        <w:tc>
          <w:tcPr>
            <w:tcW w:w="1434" w:type="dxa"/>
            <w:vAlign w:val="center"/>
          </w:tcPr>
          <w:p w14:paraId="27FC1E2B" w14:textId="77777777" w:rsidR="007075D9" w:rsidRPr="004D46AC" w:rsidRDefault="007075D9" w:rsidP="00CE2F7A">
            <w:pPr>
              <w:spacing w:line="240" w:lineRule="auto"/>
              <w:ind w:firstLine="0"/>
              <w:rPr>
                <w:b/>
                <w:bCs/>
                <w:i/>
                <w:iCs/>
              </w:rPr>
            </w:pPr>
            <w:r w:rsidRPr="004D46AC">
              <w:rPr>
                <w:rFonts w:eastAsia="DengXian"/>
                <w:color w:val="000000"/>
              </w:rPr>
              <w:t>N1--M6</w:t>
            </w:r>
          </w:p>
        </w:tc>
        <w:tc>
          <w:tcPr>
            <w:tcW w:w="1687" w:type="dxa"/>
            <w:vAlign w:val="center"/>
          </w:tcPr>
          <w:p w14:paraId="0E1E1E95"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487EE2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DC74413"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408B6FCF" w14:textId="77777777" w:rsidR="007075D9" w:rsidRPr="004D46AC" w:rsidRDefault="007075D9" w:rsidP="00CE2F7A">
            <w:pPr>
              <w:spacing w:line="240" w:lineRule="auto"/>
              <w:ind w:firstLine="0"/>
              <w:rPr>
                <w:b/>
                <w:bCs/>
                <w:i/>
                <w:iCs/>
              </w:rPr>
            </w:pPr>
            <w:r w:rsidRPr="004D46AC">
              <w:rPr>
                <w:color w:val="000000"/>
              </w:rPr>
              <w:t xml:space="preserve">0.56 </w:t>
            </w:r>
          </w:p>
        </w:tc>
      </w:tr>
      <w:tr w:rsidR="007075D9" w:rsidRPr="004D46AC" w14:paraId="74C948E3" w14:textId="77777777" w:rsidTr="00B518F1">
        <w:tc>
          <w:tcPr>
            <w:tcW w:w="1434" w:type="dxa"/>
            <w:vAlign w:val="center"/>
          </w:tcPr>
          <w:p w14:paraId="6B2C8AD2" w14:textId="77777777" w:rsidR="007075D9" w:rsidRPr="004D46AC" w:rsidRDefault="007075D9" w:rsidP="00CE2F7A">
            <w:pPr>
              <w:spacing w:line="240" w:lineRule="auto"/>
              <w:ind w:firstLine="0"/>
              <w:rPr>
                <w:b/>
                <w:bCs/>
                <w:i/>
                <w:iCs/>
              </w:rPr>
            </w:pPr>
            <w:r w:rsidRPr="004D46AC">
              <w:rPr>
                <w:rFonts w:eastAsia="DengXian"/>
                <w:color w:val="000000"/>
              </w:rPr>
              <w:t>P3--N7</w:t>
            </w:r>
          </w:p>
        </w:tc>
        <w:tc>
          <w:tcPr>
            <w:tcW w:w="1687" w:type="dxa"/>
            <w:vAlign w:val="center"/>
          </w:tcPr>
          <w:p w14:paraId="26D695D9"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113F6D8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95A1A74"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20B5AD62" w14:textId="77777777" w:rsidR="007075D9" w:rsidRPr="004D46AC" w:rsidRDefault="007075D9" w:rsidP="00CE2F7A">
            <w:pPr>
              <w:spacing w:line="240" w:lineRule="auto"/>
              <w:ind w:firstLine="0"/>
              <w:rPr>
                <w:b/>
                <w:bCs/>
                <w:i/>
                <w:iCs/>
              </w:rPr>
            </w:pPr>
            <w:r w:rsidRPr="004D46AC">
              <w:rPr>
                <w:color w:val="000000"/>
              </w:rPr>
              <w:t xml:space="preserve">0.54 </w:t>
            </w:r>
          </w:p>
        </w:tc>
      </w:tr>
      <w:tr w:rsidR="007075D9" w:rsidRPr="004D46AC" w14:paraId="782E37D9" w14:textId="77777777" w:rsidTr="00B518F1">
        <w:tc>
          <w:tcPr>
            <w:tcW w:w="1434" w:type="dxa"/>
            <w:vAlign w:val="center"/>
          </w:tcPr>
          <w:p w14:paraId="68FE26D2" w14:textId="77777777" w:rsidR="007075D9" w:rsidRPr="004D46AC" w:rsidRDefault="007075D9" w:rsidP="00CE2F7A">
            <w:pPr>
              <w:spacing w:line="240" w:lineRule="auto"/>
              <w:ind w:firstLine="0"/>
              <w:rPr>
                <w:b/>
                <w:bCs/>
                <w:i/>
                <w:iCs/>
              </w:rPr>
            </w:pPr>
            <w:r w:rsidRPr="004D46AC">
              <w:rPr>
                <w:rFonts w:eastAsia="DengXian"/>
                <w:color w:val="000000"/>
              </w:rPr>
              <w:t>P6--M5</w:t>
            </w:r>
          </w:p>
        </w:tc>
        <w:tc>
          <w:tcPr>
            <w:tcW w:w="1687" w:type="dxa"/>
            <w:vAlign w:val="center"/>
          </w:tcPr>
          <w:p w14:paraId="792437F4"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D837A88"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800AD04"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0CFA44CE" w14:textId="77777777" w:rsidR="007075D9" w:rsidRPr="004D46AC" w:rsidRDefault="007075D9" w:rsidP="00CE2F7A">
            <w:pPr>
              <w:spacing w:line="240" w:lineRule="auto"/>
              <w:ind w:firstLine="0"/>
              <w:rPr>
                <w:b/>
                <w:bCs/>
                <w:i/>
                <w:iCs/>
              </w:rPr>
            </w:pPr>
            <w:r w:rsidRPr="004D46AC">
              <w:rPr>
                <w:color w:val="000000"/>
              </w:rPr>
              <w:t xml:space="preserve">0.59 </w:t>
            </w:r>
          </w:p>
        </w:tc>
      </w:tr>
      <w:tr w:rsidR="007075D9" w:rsidRPr="004D46AC" w14:paraId="0504DF9F" w14:textId="77777777" w:rsidTr="00B518F1">
        <w:tc>
          <w:tcPr>
            <w:tcW w:w="1434" w:type="dxa"/>
            <w:vAlign w:val="center"/>
          </w:tcPr>
          <w:p w14:paraId="202175B2" w14:textId="77777777" w:rsidR="007075D9" w:rsidRPr="004D46AC" w:rsidRDefault="007075D9" w:rsidP="00CE2F7A">
            <w:pPr>
              <w:spacing w:line="240" w:lineRule="auto"/>
              <w:ind w:firstLine="0"/>
              <w:rPr>
                <w:b/>
                <w:bCs/>
                <w:i/>
                <w:iCs/>
              </w:rPr>
            </w:pPr>
            <w:r w:rsidRPr="004D46AC">
              <w:rPr>
                <w:rFonts w:eastAsia="DengXian"/>
                <w:color w:val="000000"/>
              </w:rPr>
              <w:t>Y3--M2</w:t>
            </w:r>
          </w:p>
        </w:tc>
        <w:tc>
          <w:tcPr>
            <w:tcW w:w="1687" w:type="dxa"/>
            <w:vAlign w:val="center"/>
          </w:tcPr>
          <w:p w14:paraId="3EACFCDD"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0D6D83E7"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D69F1AF"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2469AC54" w14:textId="77777777" w:rsidR="007075D9" w:rsidRPr="004D46AC" w:rsidRDefault="007075D9" w:rsidP="00CE2F7A">
            <w:pPr>
              <w:spacing w:line="240" w:lineRule="auto"/>
              <w:ind w:firstLine="0"/>
              <w:rPr>
                <w:b/>
                <w:bCs/>
                <w:i/>
                <w:iCs/>
              </w:rPr>
            </w:pPr>
            <w:r w:rsidRPr="004D46AC">
              <w:rPr>
                <w:color w:val="000000"/>
              </w:rPr>
              <w:t xml:space="preserve">0.62 </w:t>
            </w:r>
          </w:p>
        </w:tc>
      </w:tr>
      <w:tr w:rsidR="007075D9" w:rsidRPr="004D46AC" w14:paraId="3CD772E0" w14:textId="77777777" w:rsidTr="00B518F1">
        <w:tc>
          <w:tcPr>
            <w:tcW w:w="1434" w:type="dxa"/>
            <w:vAlign w:val="center"/>
          </w:tcPr>
          <w:p w14:paraId="270386B8" w14:textId="77777777" w:rsidR="007075D9" w:rsidRPr="004D46AC" w:rsidRDefault="007075D9" w:rsidP="00CE2F7A">
            <w:pPr>
              <w:spacing w:line="240" w:lineRule="auto"/>
              <w:ind w:firstLine="0"/>
              <w:rPr>
                <w:b/>
                <w:bCs/>
                <w:i/>
                <w:iCs/>
              </w:rPr>
            </w:pPr>
            <w:r w:rsidRPr="004D46AC">
              <w:rPr>
                <w:rFonts w:eastAsia="DengXian"/>
                <w:color w:val="000000"/>
              </w:rPr>
              <w:t>RC--ME</w:t>
            </w:r>
          </w:p>
        </w:tc>
        <w:tc>
          <w:tcPr>
            <w:tcW w:w="1687" w:type="dxa"/>
            <w:vAlign w:val="center"/>
          </w:tcPr>
          <w:p w14:paraId="4D53FDE9"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A40AEE9"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0E82DD44"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4D6F2B28" w14:textId="77777777" w:rsidR="007075D9" w:rsidRPr="004D46AC" w:rsidRDefault="007075D9" w:rsidP="00CE2F7A">
            <w:pPr>
              <w:spacing w:line="240" w:lineRule="auto"/>
              <w:ind w:firstLine="0"/>
              <w:rPr>
                <w:b/>
                <w:bCs/>
                <w:i/>
                <w:iCs/>
              </w:rPr>
            </w:pPr>
            <w:r w:rsidRPr="004D46AC">
              <w:rPr>
                <w:color w:val="000000"/>
              </w:rPr>
              <w:t xml:space="preserve">0.50 </w:t>
            </w:r>
          </w:p>
        </w:tc>
      </w:tr>
      <w:tr w:rsidR="007075D9" w:rsidRPr="004D46AC" w14:paraId="0D5BB734" w14:textId="77777777" w:rsidTr="00B518F1">
        <w:tc>
          <w:tcPr>
            <w:tcW w:w="1434" w:type="dxa"/>
            <w:vAlign w:val="center"/>
          </w:tcPr>
          <w:p w14:paraId="305ED0F2" w14:textId="77777777" w:rsidR="007075D9" w:rsidRPr="004D46AC" w:rsidRDefault="007075D9" w:rsidP="00CE2F7A">
            <w:pPr>
              <w:spacing w:line="240" w:lineRule="auto"/>
              <w:ind w:firstLine="0"/>
              <w:rPr>
                <w:b/>
                <w:bCs/>
                <w:i/>
                <w:iCs/>
              </w:rPr>
            </w:pPr>
            <w:r w:rsidRPr="004D46AC">
              <w:rPr>
                <w:rFonts w:eastAsia="DengXian"/>
                <w:color w:val="000000"/>
              </w:rPr>
              <w:t>N1--Y6</w:t>
            </w:r>
          </w:p>
        </w:tc>
        <w:tc>
          <w:tcPr>
            <w:tcW w:w="1687" w:type="dxa"/>
            <w:vAlign w:val="center"/>
          </w:tcPr>
          <w:p w14:paraId="40829806"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D0EFC4A"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72F1821D"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36198DA5" w14:textId="77777777" w:rsidR="007075D9" w:rsidRPr="004D46AC" w:rsidRDefault="007075D9" w:rsidP="00CE2F7A">
            <w:pPr>
              <w:spacing w:line="240" w:lineRule="auto"/>
              <w:ind w:firstLine="0"/>
              <w:rPr>
                <w:b/>
                <w:bCs/>
                <w:i/>
                <w:iCs/>
              </w:rPr>
            </w:pPr>
            <w:r w:rsidRPr="004D46AC">
              <w:rPr>
                <w:color w:val="000000"/>
              </w:rPr>
              <w:t xml:space="preserve">0.39 </w:t>
            </w:r>
          </w:p>
        </w:tc>
      </w:tr>
      <w:tr w:rsidR="007075D9" w:rsidRPr="004D46AC" w14:paraId="5CBC5B4B" w14:textId="77777777" w:rsidTr="00B518F1">
        <w:tc>
          <w:tcPr>
            <w:tcW w:w="1434" w:type="dxa"/>
            <w:vAlign w:val="center"/>
          </w:tcPr>
          <w:p w14:paraId="12900B94" w14:textId="77777777" w:rsidR="007075D9" w:rsidRPr="004D46AC" w:rsidRDefault="007075D9" w:rsidP="00CE2F7A">
            <w:pPr>
              <w:spacing w:line="240" w:lineRule="auto"/>
              <w:ind w:firstLine="0"/>
              <w:rPr>
                <w:b/>
                <w:bCs/>
                <w:i/>
                <w:iCs/>
              </w:rPr>
            </w:pPr>
            <w:r w:rsidRPr="004D46AC">
              <w:rPr>
                <w:rFonts w:eastAsia="DengXian"/>
                <w:color w:val="000000"/>
              </w:rPr>
              <w:t>ME--M8</w:t>
            </w:r>
          </w:p>
        </w:tc>
        <w:tc>
          <w:tcPr>
            <w:tcW w:w="1687" w:type="dxa"/>
            <w:vAlign w:val="center"/>
          </w:tcPr>
          <w:p w14:paraId="3B18DD6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3F2411C"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3FB8ABB5" w14:textId="77777777" w:rsidR="007075D9" w:rsidRPr="004D46AC" w:rsidRDefault="007075D9" w:rsidP="00CE2F7A">
            <w:pPr>
              <w:spacing w:line="240" w:lineRule="auto"/>
              <w:ind w:firstLine="0"/>
              <w:rPr>
                <w:b/>
                <w:bCs/>
                <w:i/>
                <w:iCs/>
              </w:rPr>
            </w:pPr>
            <w:r w:rsidRPr="004D46AC">
              <w:rPr>
                <w:color w:val="000000"/>
              </w:rPr>
              <w:t xml:space="preserve">0.02 </w:t>
            </w:r>
          </w:p>
        </w:tc>
        <w:tc>
          <w:tcPr>
            <w:tcW w:w="1443" w:type="dxa"/>
            <w:vAlign w:val="center"/>
          </w:tcPr>
          <w:p w14:paraId="2AA0251C" w14:textId="77777777" w:rsidR="007075D9" w:rsidRPr="004D46AC" w:rsidRDefault="007075D9" w:rsidP="00CE2F7A">
            <w:pPr>
              <w:spacing w:line="240" w:lineRule="auto"/>
              <w:ind w:firstLine="0"/>
              <w:rPr>
                <w:b/>
                <w:bCs/>
                <w:i/>
                <w:iCs/>
              </w:rPr>
            </w:pPr>
            <w:r w:rsidRPr="004D46AC">
              <w:rPr>
                <w:color w:val="000000"/>
              </w:rPr>
              <w:t xml:space="preserve">0.25 </w:t>
            </w:r>
          </w:p>
        </w:tc>
      </w:tr>
      <w:tr w:rsidR="007075D9" w:rsidRPr="004D46AC" w14:paraId="5BE2E808" w14:textId="77777777" w:rsidTr="00B518F1">
        <w:tc>
          <w:tcPr>
            <w:tcW w:w="1434" w:type="dxa"/>
            <w:vAlign w:val="center"/>
          </w:tcPr>
          <w:p w14:paraId="410727F5" w14:textId="77777777" w:rsidR="007075D9" w:rsidRPr="004D46AC" w:rsidRDefault="007075D9" w:rsidP="00CE2F7A">
            <w:pPr>
              <w:spacing w:line="240" w:lineRule="auto"/>
              <w:ind w:firstLine="0"/>
              <w:rPr>
                <w:b/>
                <w:bCs/>
                <w:i/>
                <w:iCs/>
              </w:rPr>
            </w:pPr>
            <w:r w:rsidRPr="004D46AC">
              <w:rPr>
                <w:rFonts w:eastAsia="DengXian"/>
                <w:color w:val="000000"/>
              </w:rPr>
              <w:t>N1--ME</w:t>
            </w:r>
          </w:p>
        </w:tc>
        <w:tc>
          <w:tcPr>
            <w:tcW w:w="1687" w:type="dxa"/>
            <w:vAlign w:val="center"/>
          </w:tcPr>
          <w:p w14:paraId="4A94C86E"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8DA096A"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6FA7FF19"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1AF248E3" w14:textId="77777777" w:rsidR="007075D9" w:rsidRPr="004D46AC" w:rsidRDefault="007075D9" w:rsidP="00CE2F7A">
            <w:pPr>
              <w:spacing w:line="240" w:lineRule="auto"/>
              <w:ind w:firstLine="0"/>
              <w:rPr>
                <w:b/>
                <w:bCs/>
                <w:i/>
                <w:iCs/>
              </w:rPr>
            </w:pPr>
            <w:r w:rsidRPr="004D46AC">
              <w:rPr>
                <w:color w:val="000000"/>
              </w:rPr>
              <w:t xml:space="preserve">0.16 </w:t>
            </w:r>
          </w:p>
        </w:tc>
      </w:tr>
      <w:tr w:rsidR="007075D9" w:rsidRPr="004D46AC" w14:paraId="4BE4C776" w14:textId="77777777" w:rsidTr="00B518F1">
        <w:tc>
          <w:tcPr>
            <w:tcW w:w="1434" w:type="dxa"/>
            <w:vAlign w:val="center"/>
          </w:tcPr>
          <w:p w14:paraId="2AEC6442" w14:textId="77777777" w:rsidR="007075D9" w:rsidRPr="004D46AC" w:rsidRDefault="007075D9" w:rsidP="00CE2F7A">
            <w:pPr>
              <w:spacing w:line="240" w:lineRule="auto"/>
              <w:ind w:firstLine="0"/>
              <w:rPr>
                <w:b/>
                <w:bCs/>
                <w:i/>
                <w:iCs/>
              </w:rPr>
            </w:pPr>
            <w:r w:rsidRPr="004D46AC">
              <w:rPr>
                <w:rFonts w:eastAsia="DengXian"/>
                <w:color w:val="000000"/>
              </w:rPr>
              <w:t>P4--N1</w:t>
            </w:r>
          </w:p>
        </w:tc>
        <w:tc>
          <w:tcPr>
            <w:tcW w:w="1687" w:type="dxa"/>
            <w:vAlign w:val="center"/>
          </w:tcPr>
          <w:p w14:paraId="49CEFA4A"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2464B935"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4721F54E"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7CCC7D03" w14:textId="77777777" w:rsidR="007075D9" w:rsidRPr="004D46AC" w:rsidRDefault="007075D9" w:rsidP="00CE2F7A">
            <w:pPr>
              <w:spacing w:line="240" w:lineRule="auto"/>
              <w:ind w:firstLine="0"/>
              <w:rPr>
                <w:b/>
                <w:bCs/>
                <w:i/>
                <w:iCs/>
              </w:rPr>
            </w:pPr>
            <w:r w:rsidRPr="004D46AC">
              <w:rPr>
                <w:color w:val="000000"/>
              </w:rPr>
              <w:t xml:space="preserve">0.27 </w:t>
            </w:r>
          </w:p>
        </w:tc>
      </w:tr>
      <w:tr w:rsidR="007075D9" w:rsidRPr="004D46AC" w14:paraId="4D447D6D" w14:textId="77777777" w:rsidTr="00B518F1">
        <w:tc>
          <w:tcPr>
            <w:tcW w:w="1434" w:type="dxa"/>
            <w:vAlign w:val="center"/>
          </w:tcPr>
          <w:p w14:paraId="22C4DEF3" w14:textId="77777777" w:rsidR="007075D9" w:rsidRPr="004D46AC" w:rsidRDefault="007075D9" w:rsidP="00CE2F7A">
            <w:pPr>
              <w:spacing w:line="240" w:lineRule="auto"/>
              <w:ind w:firstLine="0"/>
              <w:rPr>
                <w:b/>
                <w:bCs/>
                <w:i/>
                <w:iCs/>
              </w:rPr>
            </w:pPr>
            <w:r w:rsidRPr="004D46AC">
              <w:rPr>
                <w:rFonts w:eastAsia="DengXian"/>
                <w:color w:val="000000"/>
              </w:rPr>
              <w:t>ME--M7</w:t>
            </w:r>
          </w:p>
        </w:tc>
        <w:tc>
          <w:tcPr>
            <w:tcW w:w="1687" w:type="dxa"/>
            <w:vAlign w:val="center"/>
          </w:tcPr>
          <w:p w14:paraId="75A9C506"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0CF87297"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3250C4A0" w14:textId="77777777" w:rsidR="007075D9" w:rsidRPr="004D46AC" w:rsidRDefault="007075D9" w:rsidP="00CE2F7A">
            <w:pPr>
              <w:spacing w:line="240" w:lineRule="auto"/>
              <w:ind w:firstLine="0"/>
              <w:rPr>
                <w:b/>
                <w:bCs/>
                <w:i/>
                <w:iCs/>
              </w:rPr>
            </w:pPr>
            <w:r w:rsidRPr="004D46AC">
              <w:rPr>
                <w:color w:val="000000"/>
              </w:rPr>
              <w:t xml:space="preserve">0.01 </w:t>
            </w:r>
          </w:p>
        </w:tc>
        <w:tc>
          <w:tcPr>
            <w:tcW w:w="1443" w:type="dxa"/>
            <w:vAlign w:val="center"/>
          </w:tcPr>
          <w:p w14:paraId="5F9409B0"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287576C5" w14:textId="77777777" w:rsidTr="00B518F1">
        <w:tc>
          <w:tcPr>
            <w:tcW w:w="1434" w:type="dxa"/>
            <w:vAlign w:val="center"/>
          </w:tcPr>
          <w:p w14:paraId="578CAC4B" w14:textId="77777777" w:rsidR="007075D9" w:rsidRPr="004D46AC" w:rsidRDefault="007075D9" w:rsidP="00CE2F7A">
            <w:pPr>
              <w:spacing w:line="240" w:lineRule="auto"/>
              <w:ind w:firstLine="0"/>
              <w:rPr>
                <w:b/>
                <w:bCs/>
                <w:i/>
                <w:iCs/>
              </w:rPr>
            </w:pPr>
            <w:r w:rsidRPr="004D46AC">
              <w:rPr>
                <w:rFonts w:eastAsia="DengXian"/>
                <w:color w:val="000000"/>
              </w:rPr>
              <w:t>WD--Y6</w:t>
            </w:r>
          </w:p>
        </w:tc>
        <w:tc>
          <w:tcPr>
            <w:tcW w:w="1687" w:type="dxa"/>
            <w:vAlign w:val="center"/>
          </w:tcPr>
          <w:p w14:paraId="4ABA9016"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723689D6"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3152BB86" w14:textId="77777777" w:rsidR="007075D9" w:rsidRPr="004D46AC" w:rsidRDefault="007075D9" w:rsidP="00CE2F7A">
            <w:pPr>
              <w:spacing w:line="240" w:lineRule="auto"/>
              <w:ind w:firstLine="0"/>
              <w:rPr>
                <w:b/>
                <w:bCs/>
                <w:i/>
                <w:iCs/>
              </w:rPr>
            </w:pPr>
            <w:r w:rsidRPr="004D46AC">
              <w:rPr>
                <w:color w:val="000000"/>
              </w:rPr>
              <w:t xml:space="preserve">-0.00 </w:t>
            </w:r>
          </w:p>
        </w:tc>
        <w:tc>
          <w:tcPr>
            <w:tcW w:w="1443" w:type="dxa"/>
            <w:vAlign w:val="center"/>
          </w:tcPr>
          <w:p w14:paraId="4DF0C2FE" w14:textId="77777777" w:rsidR="007075D9" w:rsidRPr="004D46AC" w:rsidRDefault="007075D9" w:rsidP="00CE2F7A">
            <w:pPr>
              <w:spacing w:line="240" w:lineRule="auto"/>
              <w:ind w:firstLine="0"/>
              <w:rPr>
                <w:b/>
                <w:bCs/>
                <w:i/>
                <w:iCs/>
              </w:rPr>
            </w:pPr>
            <w:r w:rsidRPr="004D46AC">
              <w:rPr>
                <w:color w:val="000000"/>
              </w:rPr>
              <w:t xml:space="preserve">0.10 </w:t>
            </w:r>
          </w:p>
        </w:tc>
      </w:tr>
      <w:tr w:rsidR="007075D9" w:rsidRPr="004D46AC" w14:paraId="56E14589" w14:textId="77777777" w:rsidTr="00B518F1">
        <w:tc>
          <w:tcPr>
            <w:tcW w:w="1434" w:type="dxa"/>
            <w:vAlign w:val="center"/>
          </w:tcPr>
          <w:p w14:paraId="3D5A3E01" w14:textId="77777777" w:rsidR="007075D9" w:rsidRPr="004D46AC" w:rsidRDefault="007075D9" w:rsidP="00CE2F7A">
            <w:pPr>
              <w:spacing w:line="240" w:lineRule="auto"/>
              <w:ind w:firstLine="0"/>
              <w:rPr>
                <w:b/>
                <w:bCs/>
                <w:i/>
                <w:iCs/>
              </w:rPr>
            </w:pPr>
            <w:r w:rsidRPr="004D46AC">
              <w:rPr>
                <w:rFonts w:eastAsia="DengXian"/>
                <w:color w:val="000000"/>
              </w:rPr>
              <w:t>ME--M2</w:t>
            </w:r>
          </w:p>
        </w:tc>
        <w:tc>
          <w:tcPr>
            <w:tcW w:w="1687" w:type="dxa"/>
            <w:vAlign w:val="center"/>
          </w:tcPr>
          <w:p w14:paraId="4A098F6B"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BCFDAA7"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20043041" w14:textId="77777777" w:rsidR="007075D9" w:rsidRPr="004D46AC" w:rsidRDefault="007075D9" w:rsidP="00CE2F7A">
            <w:pPr>
              <w:spacing w:line="240" w:lineRule="auto"/>
              <w:ind w:firstLine="0"/>
              <w:rPr>
                <w:b/>
                <w:bCs/>
                <w:i/>
                <w:iCs/>
              </w:rPr>
            </w:pPr>
            <w:r w:rsidRPr="004D46AC">
              <w:rPr>
                <w:color w:val="000000"/>
              </w:rPr>
              <w:t xml:space="preserve">-0.03 </w:t>
            </w:r>
          </w:p>
        </w:tc>
        <w:tc>
          <w:tcPr>
            <w:tcW w:w="1443" w:type="dxa"/>
            <w:vAlign w:val="center"/>
          </w:tcPr>
          <w:p w14:paraId="5BBC038E" w14:textId="77777777" w:rsidR="007075D9" w:rsidRPr="004D46AC" w:rsidRDefault="007075D9" w:rsidP="00CE2F7A">
            <w:pPr>
              <w:spacing w:line="240" w:lineRule="auto"/>
              <w:ind w:firstLine="0"/>
              <w:rPr>
                <w:b/>
                <w:bCs/>
                <w:i/>
                <w:iCs/>
              </w:rPr>
            </w:pPr>
            <w:r w:rsidRPr="004D46AC">
              <w:rPr>
                <w:color w:val="000000"/>
              </w:rPr>
              <w:t xml:space="preserve">0.01 </w:t>
            </w:r>
          </w:p>
        </w:tc>
      </w:tr>
    </w:tbl>
    <w:p w14:paraId="1B3588A4" w14:textId="77777777" w:rsidR="007075D9" w:rsidRPr="004D46AC" w:rsidRDefault="007075D9" w:rsidP="00CE2F7A">
      <w:pPr>
        <w:spacing w:line="240" w:lineRule="auto"/>
        <w:ind w:firstLine="0"/>
      </w:pPr>
      <w:r w:rsidRPr="004D46AC">
        <w:rPr>
          <w:i/>
          <w:iCs/>
        </w:rPr>
        <w:t>Note</w:t>
      </w:r>
      <w:r w:rsidRPr="004D46AC">
        <w:t>. The value represents the edge weight of the network in all participants of the group, and the BCI (lower-upper) indicates the confidence intervals of the edge in the bootstrapped networks. The P0 represents the estimated rate at which the edge weight is zero in the bootstrapped sample. Edges with a non-zero weight in more than 70% of the bootstrapped networks were selected to be presented in this table.</w:t>
      </w:r>
    </w:p>
    <w:p w14:paraId="6FC7B652" w14:textId="77777777" w:rsidR="007075D9" w:rsidRPr="004D46AC" w:rsidRDefault="007075D9" w:rsidP="00CE2F7A">
      <w:pPr>
        <w:spacing w:line="240" w:lineRule="auto"/>
        <w:ind w:firstLine="0"/>
      </w:pPr>
    </w:p>
    <w:p w14:paraId="5BAA5136" w14:textId="77777777" w:rsidR="007075D9" w:rsidRPr="004D46AC" w:rsidRDefault="007075D9" w:rsidP="00CE2F7A">
      <w:pPr>
        <w:spacing w:line="240" w:lineRule="auto"/>
        <w:ind w:firstLine="0"/>
      </w:pPr>
    </w:p>
    <w:p w14:paraId="2FFA7456" w14:textId="77777777" w:rsidR="007075D9" w:rsidRPr="004D46AC" w:rsidRDefault="007075D9" w:rsidP="00CE2F7A">
      <w:pPr>
        <w:spacing w:line="240" w:lineRule="auto"/>
        <w:ind w:firstLine="0"/>
      </w:pPr>
    </w:p>
    <w:p w14:paraId="364DDA6A" w14:textId="77777777" w:rsidR="007075D9" w:rsidRPr="004D46AC" w:rsidRDefault="007075D9" w:rsidP="00CE2F7A">
      <w:pPr>
        <w:spacing w:line="240" w:lineRule="auto"/>
        <w:ind w:firstLine="0"/>
      </w:pPr>
    </w:p>
    <w:p w14:paraId="63C0DFCF" w14:textId="77777777" w:rsidR="007075D9" w:rsidRPr="004D46AC" w:rsidRDefault="007075D9" w:rsidP="00CE2F7A">
      <w:pPr>
        <w:spacing w:line="240" w:lineRule="auto"/>
        <w:ind w:firstLine="0"/>
      </w:pPr>
    </w:p>
    <w:p w14:paraId="7956F717" w14:textId="77777777" w:rsidR="007075D9" w:rsidRPr="004D46AC" w:rsidRDefault="007075D9" w:rsidP="00CE2F7A">
      <w:pPr>
        <w:spacing w:line="240" w:lineRule="auto"/>
        <w:ind w:firstLine="0"/>
      </w:pPr>
    </w:p>
    <w:p w14:paraId="185226F8" w14:textId="77777777" w:rsidR="007075D9" w:rsidRPr="004D46AC" w:rsidRDefault="007075D9" w:rsidP="00CE2F7A">
      <w:pPr>
        <w:spacing w:line="240" w:lineRule="auto"/>
        <w:ind w:firstLine="0"/>
      </w:pPr>
    </w:p>
    <w:p w14:paraId="22ADA414" w14:textId="77777777" w:rsidR="007075D9" w:rsidRPr="004D46AC" w:rsidRDefault="007075D9" w:rsidP="00CE2F7A">
      <w:pPr>
        <w:spacing w:line="240" w:lineRule="auto"/>
        <w:ind w:firstLine="0"/>
      </w:pPr>
    </w:p>
    <w:p w14:paraId="7A7C5EA4" w14:textId="77777777" w:rsidR="007075D9" w:rsidRPr="004D46AC" w:rsidRDefault="007075D9" w:rsidP="00CE2F7A">
      <w:pPr>
        <w:spacing w:line="240" w:lineRule="auto"/>
        <w:ind w:firstLine="0"/>
      </w:pPr>
    </w:p>
    <w:p w14:paraId="1047AF72" w14:textId="77777777" w:rsidR="007075D9" w:rsidRPr="004D46AC" w:rsidRDefault="007075D9" w:rsidP="00CE2F7A">
      <w:pPr>
        <w:spacing w:line="240" w:lineRule="auto"/>
        <w:ind w:firstLine="0"/>
      </w:pPr>
    </w:p>
    <w:p w14:paraId="29225140" w14:textId="77777777" w:rsidR="007075D9" w:rsidRPr="004D46AC" w:rsidRDefault="007075D9" w:rsidP="00CE2F7A">
      <w:pPr>
        <w:spacing w:line="240" w:lineRule="auto"/>
        <w:ind w:firstLine="0"/>
      </w:pPr>
    </w:p>
    <w:p w14:paraId="2493DDDE" w14:textId="77777777" w:rsidR="007075D9" w:rsidRPr="004D46AC" w:rsidRDefault="007075D9" w:rsidP="00CE2F7A">
      <w:pPr>
        <w:spacing w:line="240" w:lineRule="auto"/>
        <w:ind w:firstLine="0"/>
      </w:pPr>
    </w:p>
    <w:p w14:paraId="25D9087B" w14:textId="77777777" w:rsidR="007075D9" w:rsidRPr="004D46AC" w:rsidRDefault="007075D9" w:rsidP="00CE2F7A">
      <w:pPr>
        <w:spacing w:line="240" w:lineRule="auto"/>
        <w:ind w:firstLine="0"/>
        <w:rPr>
          <w:rFonts w:eastAsiaTheme="minorEastAsia"/>
        </w:rPr>
      </w:pPr>
    </w:p>
    <w:p w14:paraId="12272C41" w14:textId="77777777" w:rsidR="007075D9" w:rsidRPr="004D46AC" w:rsidRDefault="007075D9" w:rsidP="00CE2F7A">
      <w:pPr>
        <w:spacing w:line="240" w:lineRule="auto"/>
        <w:ind w:firstLine="0"/>
      </w:pPr>
    </w:p>
    <w:p w14:paraId="4BA9252A" w14:textId="02D1B3AE" w:rsidR="009050EB" w:rsidRPr="004D46AC" w:rsidRDefault="009050EB" w:rsidP="009050EB">
      <w:pPr>
        <w:pStyle w:val="afff0"/>
        <w:spacing w:after="0"/>
        <w:ind w:firstLine="0"/>
        <w:rPr>
          <w:rFonts w:eastAsiaTheme="minorEastAsia"/>
          <w:b/>
          <w:bCs/>
          <w:i w:val="0"/>
          <w:iCs w:val="0"/>
          <w:color w:val="auto"/>
          <w:sz w:val="22"/>
          <w:szCs w:val="22"/>
        </w:rPr>
      </w:pPr>
      <w:bookmarkStart w:id="385" w:name="_Toc219870639"/>
      <w:bookmarkStart w:id="386" w:name="_Toc219885510"/>
      <w:r w:rsidRPr="004D46AC">
        <w:rPr>
          <w:b/>
          <w:bCs/>
          <w:i w:val="0"/>
          <w:iCs w:val="0"/>
          <w:color w:val="auto"/>
          <w:sz w:val="22"/>
          <w:szCs w:val="22"/>
        </w:rPr>
        <w:lastRenderedPageBreak/>
        <w:t xml:space="preserve">Table C </w:t>
      </w:r>
      <w:r w:rsidRPr="004D46AC">
        <w:rPr>
          <w:b/>
          <w:bCs/>
          <w:i w:val="0"/>
          <w:iCs w:val="0"/>
          <w:color w:val="auto"/>
          <w:sz w:val="22"/>
          <w:szCs w:val="22"/>
        </w:rPr>
        <w:fldChar w:fldCharType="begin"/>
      </w:r>
      <w:r w:rsidRPr="004D46AC">
        <w:rPr>
          <w:b/>
          <w:bCs/>
          <w:i w:val="0"/>
          <w:iCs w:val="0"/>
          <w:color w:val="auto"/>
          <w:sz w:val="22"/>
          <w:szCs w:val="22"/>
        </w:rPr>
        <w:instrText xml:space="preserve"> SEQ Table_C \* ARABIC </w:instrText>
      </w:r>
      <w:r w:rsidRPr="004D46AC">
        <w:rPr>
          <w:b/>
          <w:bCs/>
          <w:i w:val="0"/>
          <w:iCs w:val="0"/>
          <w:color w:val="auto"/>
          <w:sz w:val="22"/>
          <w:szCs w:val="22"/>
        </w:rPr>
        <w:fldChar w:fldCharType="separate"/>
      </w:r>
      <w:r w:rsidRPr="004D46AC">
        <w:rPr>
          <w:b/>
          <w:bCs/>
          <w:i w:val="0"/>
          <w:iCs w:val="0"/>
          <w:noProof/>
          <w:color w:val="auto"/>
          <w:sz w:val="22"/>
          <w:szCs w:val="22"/>
        </w:rPr>
        <w:t>7</w:t>
      </w:r>
      <w:bookmarkEnd w:id="385"/>
      <w:bookmarkEnd w:id="386"/>
      <w:r w:rsidRPr="004D46AC">
        <w:rPr>
          <w:b/>
          <w:bCs/>
          <w:i w:val="0"/>
          <w:iCs w:val="0"/>
          <w:color w:val="auto"/>
          <w:sz w:val="22"/>
          <w:szCs w:val="22"/>
        </w:rPr>
        <w:fldChar w:fldCharType="end"/>
      </w:r>
    </w:p>
    <w:p w14:paraId="49B90051" w14:textId="67F56178" w:rsidR="007075D9" w:rsidRPr="004D46AC" w:rsidRDefault="007075D9" w:rsidP="00CE2F7A">
      <w:pPr>
        <w:spacing w:line="240" w:lineRule="auto"/>
        <w:ind w:firstLine="0"/>
        <w:rPr>
          <w:i/>
          <w:iCs/>
        </w:rPr>
      </w:pPr>
      <w:r w:rsidRPr="004D46AC">
        <w:rPr>
          <w:i/>
          <w:iCs/>
        </w:rPr>
        <w:t>The ordered edge statistics of the edges with non-zero weight in network of SCZ patients</w:t>
      </w:r>
    </w:p>
    <w:tbl>
      <w:tblPr>
        <w:tblStyle w:val="afc"/>
        <w:tblW w:w="7938" w:type="dxa"/>
        <w:tblLook w:val="04A0" w:firstRow="1" w:lastRow="0" w:firstColumn="1" w:lastColumn="0" w:noHBand="0" w:noVBand="1"/>
      </w:tblPr>
      <w:tblGrid>
        <w:gridCol w:w="1434"/>
        <w:gridCol w:w="1687"/>
        <w:gridCol w:w="1687"/>
        <w:gridCol w:w="1687"/>
        <w:gridCol w:w="1443"/>
      </w:tblGrid>
      <w:tr w:rsidR="007075D9" w:rsidRPr="004D46AC" w14:paraId="15882E39" w14:textId="77777777" w:rsidTr="00B518F1">
        <w:tc>
          <w:tcPr>
            <w:tcW w:w="1434" w:type="dxa"/>
            <w:vAlign w:val="center"/>
          </w:tcPr>
          <w:p w14:paraId="594E02A9" w14:textId="77777777" w:rsidR="007075D9" w:rsidRPr="004D46AC" w:rsidRDefault="007075D9" w:rsidP="00CE2F7A">
            <w:pPr>
              <w:spacing w:line="240" w:lineRule="auto"/>
              <w:ind w:firstLine="0"/>
              <w:rPr>
                <w:b/>
                <w:bCs/>
              </w:rPr>
            </w:pPr>
            <w:r w:rsidRPr="004D46AC">
              <w:rPr>
                <w:rFonts w:eastAsia="DengXian"/>
                <w:b/>
                <w:bCs/>
                <w:color w:val="000000"/>
              </w:rPr>
              <w:t>Edge</w:t>
            </w:r>
          </w:p>
        </w:tc>
        <w:tc>
          <w:tcPr>
            <w:tcW w:w="1687" w:type="dxa"/>
            <w:vAlign w:val="center"/>
          </w:tcPr>
          <w:p w14:paraId="20C8E211" w14:textId="77777777" w:rsidR="007075D9" w:rsidRPr="004D46AC" w:rsidRDefault="007075D9" w:rsidP="00CE2F7A">
            <w:pPr>
              <w:spacing w:line="240" w:lineRule="auto"/>
              <w:ind w:firstLine="0"/>
              <w:rPr>
                <w:b/>
                <w:bCs/>
                <w:i/>
                <w:iCs/>
              </w:rPr>
            </w:pPr>
            <w:r w:rsidRPr="004D46AC">
              <w:rPr>
                <w:b/>
                <w:bCs/>
                <w:i/>
                <w:iCs/>
              </w:rPr>
              <w:t>Weight</w:t>
            </w:r>
          </w:p>
        </w:tc>
        <w:tc>
          <w:tcPr>
            <w:tcW w:w="1687" w:type="dxa"/>
            <w:vAlign w:val="center"/>
          </w:tcPr>
          <w:p w14:paraId="55956364" w14:textId="77777777" w:rsidR="007075D9" w:rsidRPr="004D46AC" w:rsidRDefault="007075D9" w:rsidP="00CE2F7A">
            <w:pPr>
              <w:spacing w:line="240" w:lineRule="auto"/>
              <w:ind w:firstLine="0"/>
              <w:rPr>
                <w:b/>
                <w:bCs/>
              </w:rPr>
            </w:pPr>
            <w:r w:rsidRPr="004D46AC">
              <w:rPr>
                <w:rFonts w:eastAsia="DengXian"/>
                <w:b/>
                <w:bCs/>
                <w:i/>
                <w:iCs/>
                <w:color w:val="000000"/>
              </w:rPr>
              <w:t>BCI</w:t>
            </w:r>
            <w:r w:rsidRPr="004D46AC">
              <w:rPr>
                <w:rFonts w:eastAsia="DengXian"/>
                <w:b/>
                <w:bCs/>
                <w:color w:val="000000"/>
              </w:rPr>
              <w:t xml:space="preserve"> (lower)</w:t>
            </w:r>
          </w:p>
        </w:tc>
        <w:tc>
          <w:tcPr>
            <w:tcW w:w="1687" w:type="dxa"/>
            <w:vAlign w:val="center"/>
          </w:tcPr>
          <w:p w14:paraId="5F12DC87" w14:textId="77777777" w:rsidR="007075D9" w:rsidRPr="004D46AC" w:rsidRDefault="007075D9" w:rsidP="00CE2F7A">
            <w:pPr>
              <w:spacing w:line="240" w:lineRule="auto"/>
              <w:ind w:firstLine="0"/>
              <w:rPr>
                <w:b/>
                <w:bCs/>
              </w:rPr>
            </w:pPr>
            <w:r w:rsidRPr="004D46AC">
              <w:rPr>
                <w:rFonts w:eastAsia="DengXian"/>
                <w:b/>
                <w:bCs/>
                <w:i/>
                <w:iCs/>
                <w:color w:val="000000"/>
              </w:rPr>
              <w:t>BCI</w:t>
            </w:r>
            <w:r w:rsidRPr="004D46AC">
              <w:rPr>
                <w:rFonts w:eastAsia="DengXian"/>
                <w:b/>
                <w:bCs/>
                <w:color w:val="000000"/>
              </w:rPr>
              <w:t xml:space="preserve"> (upper)</w:t>
            </w:r>
          </w:p>
        </w:tc>
        <w:tc>
          <w:tcPr>
            <w:tcW w:w="1443" w:type="dxa"/>
            <w:vAlign w:val="center"/>
          </w:tcPr>
          <w:p w14:paraId="71A301C7" w14:textId="77777777" w:rsidR="007075D9" w:rsidRPr="004D46AC" w:rsidRDefault="007075D9" w:rsidP="00CE2F7A">
            <w:pPr>
              <w:spacing w:line="240" w:lineRule="auto"/>
              <w:ind w:firstLine="0"/>
              <w:rPr>
                <w:b/>
                <w:bCs/>
                <w:i/>
                <w:iCs/>
              </w:rPr>
            </w:pPr>
            <w:r w:rsidRPr="004D46AC">
              <w:rPr>
                <w:rFonts w:eastAsia="DengXian"/>
                <w:b/>
                <w:bCs/>
                <w:i/>
                <w:iCs/>
                <w:color w:val="000000"/>
              </w:rPr>
              <w:t>P0</w:t>
            </w:r>
          </w:p>
        </w:tc>
      </w:tr>
      <w:tr w:rsidR="007075D9" w:rsidRPr="004D46AC" w14:paraId="321D9ED6" w14:textId="77777777" w:rsidTr="00B518F1">
        <w:tc>
          <w:tcPr>
            <w:tcW w:w="1434" w:type="dxa"/>
            <w:vAlign w:val="center"/>
          </w:tcPr>
          <w:p w14:paraId="24620F29" w14:textId="77777777" w:rsidR="007075D9" w:rsidRPr="004D46AC" w:rsidRDefault="007075D9" w:rsidP="00CE2F7A">
            <w:pPr>
              <w:spacing w:line="240" w:lineRule="auto"/>
              <w:ind w:firstLine="0"/>
              <w:rPr>
                <w:b/>
                <w:bCs/>
                <w:i/>
                <w:iCs/>
              </w:rPr>
            </w:pPr>
            <w:r w:rsidRPr="004D46AC">
              <w:rPr>
                <w:rFonts w:eastAsia="DengXian"/>
                <w:color w:val="000000"/>
              </w:rPr>
              <w:t>N1--RC</w:t>
            </w:r>
          </w:p>
        </w:tc>
        <w:tc>
          <w:tcPr>
            <w:tcW w:w="1687" w:type="dxa"/>
            <w:vAlign w:val="center"/>
          </w:tcPr>
          <w:p w14:paraId="60EC5230" w14:textId="77777777" w:rsidR="007075D9" w:rsidRPr="004D46AC" w:rsidRDefault="007075D9" w:rsidP="00CE2F7A">
            <w:pPr>
              <w:spacing w:line="240" w:lineRule="auto"/>
              <w:ind w:firstLine="0"/>
              <w:rPr>
                <w:b/>
                <w:bCs/>
                <w:i/>
                <w:iCs/>
              </w:rPr>
            </w:pPr>
            <w:r w:rsidRPr="004D46AC">
              <w:rPr>
                <w:color w:val="000000"/>
              </w:rPr>
              <w:t xml:space="preserve">0.36 </w:t>
            </w:r>
          </w:p>
        </w:tc>
        <w:tc>
          <w:tcPr>
            <w:tcW w:w="1687" w:type="dxa"/>
            <w:vAlign w:val="center"/>
          </w:tcPr>
          <w:p w14:paraId="6519E16A" w14:textId="77777777" w:rsidR="007075D9" w:rsidRPr="004D46AC" w:rsidRDefault="007075D9" w:rsidP="00CE2F7A">
            <w:pPr>
              <w:spacing w:line="240" w:lineRule="auto"/>
              <w:ind w:firstLine="0"/>
              <w:rPr>
                <w:b/>
                <w:bCs/>
                <w:i/>
                <w:iCs/>
              </w:rPr>
            </w:pPr>
            <w:r w:rsidRPr="004D46AC">
              <w:rPr>
                <w:color w:val="000000"/>
              </w:rPr>
              <w:t xml:space="preserve">0.29 </w:t>
            </w:r>
          </w:p>
        </w:tc>
        <w:tc>
          <w:tcPr>
            <w:tcW w:w="1687" w:type="dxa"/>
            <w:vAlign w:val="center"/>
          </w:tcPr>
          <w:p w14:paraId="2CE98184" w14:textId="77777777" w:rsidR="007075D9" w:rsidRPr="004D46AC" w:rsidRDefault="007075D9" w:rsidP="00CE2F7A">
            <w:pPr>
              <w:spacing w:line="240" w:lineRule="auto"/>
              <w:ind w:firstLine="0"/>
              <w:rPr>
                <w:b/>
                <w:bCs/>
                <w:i/>
                <w:iCs/>
              </w:rPr>
            </w:pPr>
            <w:r w:rsidRPr="004D46AC">
              <w:rPr>
                <w:color w:val="000000"/>
              </w:rPr>
              <w:t xml:space="preserve">0.42 </w:t>
            </w:r>
          </w:p>
        </w:tc>
        <w:tc>
          <w:tcPr>
            <w:tcW w:w="1443" w:type="dxa"/>
            <w:vAlign w:val="center"/>
          </w:tcPr>
          <w:p w14:paraId="151A6EE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1C2055D" w14:textId="77777777" w:rsidTr="00B518F1">
        <w:tc>
          <w:tcPr>
            <w:tcW w:w="1434" w:type="dxa"/>
            <w:vAlign w:val="center"/>
          </w:tcPr>
          <w:p w14:paraId="35634871" w14:textId="77777777" w:rsidR="007075D9" w:rsidRPr="004D46AC" w:rsidRDefault="007075D9" w:rsidP="00CE2F7A">
            <w:pPr>
              <w:spacing w:line="240" w:lineRule="auto"/>
              <w:ind w:firstLine="0"/>
              <w:rPr>
                <w:b/>
                <w:bCs/>
                <w:i/>
                <w:iCs/>
              </w:rPr>
            </w:pPr>
            <w:r w:rsidRPr="004D46AC">
              <w:rPr>
                <w:rFonts w:eastAsia="DengXian"/>
                <w:color w:val="000000"/>
              </w:rPr>
              <w:t>P2--N7</w:t>
            </w:r>
          </w:p>
        </w:tc>
        <w:tc>
          <w:tcPr>
            <w:tcW w:w="1687" w:type="dxa"/>
            <w:vAlign w:val="center"/>
          </w:tcPr>
          <w:p w14:paraId="3CDEE294" w14:textId="77777777" w:rsidR="007075D9" w:rsidRPr="004D46AC" w:rsidRDefault="007075D9" w:rsidP="00CE2F7A">
            <w:pPr>
              <w:spacing w:line="240" w:lineRule="auto"/>
              <w:ind w:firstLine="0"/>
              <w:rPr>
                <w:b/>
                <w:bCs/>
                <w:i/>
                <w:iCs/>
              </w:rPr>
            </w:pPr>
            <w:r w:rsidRPr="004D46AC">
              <w:rPr>
                <w:color w:val="000000"/>
              </w:rPr>
              <w:t xml:space="preserve">0.28 </w:t>
            </w:r>
          </w:p>
        </w:tc>
        <w:tc>
          <w:tcPr>
            <w:tcW w:w="1687" w:type="dxa"/>
            <w:vAlign w:val="center"/>
          </w:tcPr>
          <w:p w14:paraId="4DA72533" w14:textId="77777777" w:rsidR="007075D9" w:rsidRPr="004D46AC" w:rsidRDefault="007075D9" w:rsidP="00CE2F7A">
            <w:pPr>
              <w:spacing w:line="240" w:lineRule="auto"/>
              <w:ind w:firstLine="0"/>
              <w:rPr>
                <w:b/>
                <w:bCs/>
                <w:i/>
                <w:iCs/>
              </w:rPr>
            </w:pPr>
            <w:r w:rsidRPr="004D46AC">
              <w:rPr>
                <w:color w:val="000000"/>
              </w:rPr>
              <w:t xml:space="preserve">0.22 </w:t>
            </w:r>
          </w:p>
        </w:tc>
        <w:tc>
          <w:tcPr>
            <w:tcW w:w="1687" w:type="dxa"/>
            <w:vAlign w:val="center"/>
          </w:tcPr>
          <w:p w14:paraId="204B02C6" w14:textId="77777777" w:rsidR="007075D9" w:rsidRPr="004D46AC" w:rsidRDefault="007075D9" w:rsidP="00CE2F7A">
            <w:pPr>
              <w:spacing w:line="240" w:lineRule="auto"/>
              <w:ind w:firstLine="0"/>
              <w:rPr>
                <w:b/>
                <w:bCs/>
                <w:i/>
                <w:iCs/>
              </w:rPr>
            </w:pPr>
            <w:r w:rsidRPr="004D46AC">
              <w:rPr>
                <w:color w:val="000000"/>
              </w:rPr>
              <w:t xml:space="preserve">0.35 </w:t>
            </w:r>
          </w:p>
        </w:tc>
        <w:tc>
          <w:tcPr>
            <w:tcW w:w="1443" w:type="dxa"/>
            <w:vAlign w:val="center"/>
          </w:tcPr>
          <w:p w14:paraId="78B6395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18D58B3" w14:textId="77777777" w:rsidTr="00B518F1">
        <w:tc>
          <w:tcPr>
            <w:tcW w:w="1434" w:type="dxa"/>
            <w:vAlign w:val="center"/>
          </w:tcPr>
          <w:p w14:paraId="0B547CF5" w14:textId="77777777" w:rsidR="007075D9" w:rsidRPr="004D46AC" w:rsidRDefault="007075D9" w:rsidP="00CE2F7A">
            <w:pPr>
              <w:spacing w:line="240" w:lineRule="auto"/>
              <w:ind w:firstLine="0"/>
              <w:rPr>
                <w:b/>
                <w:bCs/>
                <w:i/>
                <w:iCs/>
              </w:rPr>
            </w:pPr>
            <w:r w:rsidRPr="004D46AC">
              <w:rPr>
                <w:rFonts w:eastAsia="DengXian"/>
                <w:color w:val="000000"/>
              </w:rPr>
              <w:t>ME--Y6</w:t>
            </w:r>
          </w:p>
        </w:tc>
        <w:tc>
          <w:tcPr>
            <w:tcW w:w="1687" w:type="dxa"/>
            <w:vAlign w:val="center"/>
          </w:tcPr>
          <w:p w14:paraId="434A7103" w14:textId="77777777" w:rsidR="007075D9" w:rsidRPr="004D46AC" w:rsidRDefault="007075D9" w:rsidP="00CE2F7A">
            <w:pPr>
              <w:spacing w:line="240" w:lineRule="auto"/>
              <w:ind w:firstLine="0"/>
              <w:rPr>
                <w:b/>
                <w:bCs/>
                <w:i/>
                <w:iCs/>
              </w:rPr>
            </w:pPr>
            <w:r w:rsidRPr="004D46AC">
              <w:rPr>
                <w:color w:val="000000"/>
              </w:rPr>
              <w:t xml:space="preserve">0.22 </w:t>
            </w:r>
          </w:p>
        </w:tc>
        <w:tc>
          <w:tcPr>
            <w:tcW w:w="1687" w:type="dxa"/>
            <w:vAlign w:val="center"/>
          </w:tcPr>
          <w:p w14:paraId="19DE5ECB"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02E74CB8" w14:textId="77777777" w:rsidR="007075D9" w:rsidRPr="004D46AC" w:rsidRDefault="007075D9" w:rsidP="00CE2F7A">
            <w:pPr>
              <w:spacing w:line="240" w:lineRule="auto"/>
              <w:ind w:firstLine="0"/>
              <w:rPr>
                <w:b/>
                <w:bCs/>
                <w:i/>
                <w:iCs/>
              </w:rPr>
            </w:pPr>
            <w:r w:rsidRPr="004D46AC">
              <w:rPr>
                <w:color w:val="000000"/>
              </w:rPr>
              <w:t xml:space="preserve">0.30 </w:t>
            </w:r>
          </w:p>
        </w:tc>
        <w:tc>
          <w:tcPr>
            <w:tcW w:w="1443" w:type="dxa"/>
            <w:vAlign w:val="center"/>
          </w:tcPr>
          <w:p w14:paraId="7E76E07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2A26555" w14:textId="77777777" w:rsidTr="00B518F1">
        <w:tc>
          <w:tcPr>
            <w:tcW w:w="1434" w:type="dxa"/>
            <w:vAlign w:val="center"/>
          </w:tcPr>
          <w:p w14:paraId="169088FF" w14:textId="77777777" w:rsidR="007075D9" w:rsidRPr="004D46AC" w:rsidRDefault="007075D9" w:rsidP="00CE2F7A">
            <w:pPr>
              <w:spacing w:line="240" w:lineRule="auto"/>
              <w:ind w:firstLine="0"/>
              <w:rPr>
                <w:b/>
                <w:bCs/>
                <w:i/>
                <w:iCs/>
              </w:rPr>
            </w:pPr>
            <w:r w:rsidRPr="004D46AC">
              <w:rPr>
                <w:rFonts w:eastAsia="DengXian"/>
                <w:color w:val="000000"/>
              </w:rPr>
              <w:t>P3--P6</w:t>
            </w:r>
          </w:p>
        </w:tc>
        <w:tc>
          <w:tcPr>
            <w:tcW w:w="1687" w:type="dxa"/>
            <w:vAlign w:val="center"/>
          </w:tcPr>
          <w:p w14:paraId="41E45A6E" w14:textId="77777777" w:rsidR="007075D9" w:rsidRPr="004D46AC" w:rsidRDefault="007075D9" w:rsidP="00CE2F7A">
            <w:pPr>
              <w:spacing w:line="240" w:lineRule="auto"/>
              <w:ind w:firstLine="0"/>
              <w:rPr>
                <w:b/>
                <w:bCs/>
                <w:i/>
                <w:iCs/>
              </w:rPr>
            </w:pPr>
            <w:r w:rsidRPr="004D46AC">
              <w:rPr>
                <w:color w:val="000000"/>
              </w:rPr>
              <w:t xml:space="preserve">0.20 </w:t>
            </w:r>
          </w:p>
        </w:tc>
        <w:tc>
          <w:tcPr>
            <w:tcW w:w="1687" w:type="dxa"/>
            <w:vAlign w:val="center"/>
          </w:tcPr>
          <w:p w14:paraId="706E05D9"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47E35882" w14:textId="77777777" w:rsidR="007075D9" w:rsidRPr="004D46AC" w:rsidRDefault="007075D9" w:rsidP="00CE2F7A">
            <w:pPr>
              <w:spacing w:line="240" w:lineRule="auto"/>
              <w:ind w:firstLine="0"/>
              <w:rPr>
                <w:b/>
                <w:bCs/>
                <w:i/>
                <w:iCs/>
              </w:rPr>
            </w:pPr>
            <w:r w:rsidRPr="004D46AC">
              <w:rPr>
                <w:color w:val="000000"/>
              </w:rPr>
              <w:t xml:space="preserve">0.27 </w:t>
            </w:r>
          </w:p>
        </w:tc>
        <w:tc>
          <w:tcPr>
            <w:tcW w:w="1443" w:type="dxa"/>
            <w:vAlign w:val="center"/>
          </w:tcPr>
          <w:p w14:paraId="77C744A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9829D3A" w14:textId="77777777" w:rsidTr="00B518F1">
        <w:tc>
          <w:tcPr>
            <w:tcW w:w="1434" w:type="dxa"/>
            <w:vAlign w:val="center"/>
          </w:tcPr>
          <w:p w14:paraId="1B16489F" w14:textId="77777777" w:rsidR="007075D9" w:rsidRPr="004D46AC" w:rsidRDefault="007075D9" w:rsidP="00CE2F7A">
            <w:pPr>
              <w:spacing w:line="240" w:lineRule="auto"/>
              <w:ind w:firstLine="0"/>
              <w:rPr>
                <w:b/>
                <w:bCs/>
                <w:i/>
                <w:iCs/>
              </w:rPr>
            </w:pPr>
            <w:r w:rsidRPr="004D46AC">
              <w:rPr>
                <w:rFonts w:eastAsia="DengXian"/>
                <w:color w:val="000000"/>
              </w:rPr>
              <w:t>M7--M8</w:t>
            </w:r>
          </w:p>
        </w:tc>
        <w:tc>
          <w:tcPr>
            <w:tcW w:w="1687" w:type="dxa"/>
            <w:vAlign w:val="center"/>
          </w:tcPr>
          <w:p w14:paraId="40ECADF7" w14:textId="77777777" w:rsidR="007075D9" w:rsidRPr="004D46AC" w:rsidRDefault="007075D9" w:rsidP="00CE2F7A">
            <w:pPr>
              <w:spacing w:line="240" w:lineRule="auto"/>
              <w:ind w:firstLine="0"/>
              <w:rPr>
                <w:b/>
                <w:bCs/>
                <w:i/>
                <w:iCs/>
              </w:rPr>
            </w:pPr>
            <w:r w:rsidRPr="004D46AC">
              <w:rPr>
                <w:color w:val="000000"/>
              </w:rPr>
              <w:t xml:space="preserve">0.20 </w:t>
            </w:r>
          </w:p>
        </w:tc>
        <w:tc>
          <w:tcPr>
            <w:tcW w:w="1687" w:type="dxa"/>
            <w:vAlign w:val="center"/>
          </w:tcPr>
          <w:p w14:paraId="52DAAB08"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29E024A1" w14:textId="77777777" w:rsidR="007075D9" w:rsidRPr="004D46AC" w:rsidRDefault="007075D9" w:rsidP="00CE2F7A">
            <w:pPr>
              <w:spacing w:line="240" w:lineRule="auto"/>
              <w:ind w:firstLine="0"/>
              <w:rPr>
                <w:b/>
                <w:bCs/>
                <w:i/>
                <w:iCs/>
              </w:rPr>
            </w:pPr>
            <w:r w:rsidRPr="004D46AC">
              <w:rPr>
                <w:color w:val="000000"/>
              </w:rPr>
              <w:t xml:space="preserve">0.27 </w:t>
            </w:r>
          </w:p>
        </w:tc>
        <w:tc>
          <w:tcPr>
            <w:tcW w:w="1443" w:type="dxa"/>
            <w:vAlign w:val="center"/>
          </w:tcPr>
          <w:p w14:paraId="16E9FC5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4DD28C1" w14:textId="77777777" w:rsidTr="00B518F1">
        <w:tc>
          <w:tcPr>
            <w:tcW w:w="1434" w:type="dxa"/>
            <w:vAlign w:val="center"/>
          </w:tcPr>
          <w:p w14:paraId="12D68B12" w14:textId="77777777" w:rsidR="007075D9" w:rsidRPr="004D46AC" w:rsidRDefault="007075D9" w:rsidP="00CE2F7A">
            <w:pPr>
              <w:spacing w:line="240" w:lineRule="auto"/>
              <w:ind w:firstLine="0"/>
              <w:rPr>
                <w:b/>
                <w:bCs/>
                <w:i/>
                <w:iCs/>
              </w:rPr>
            </w:pPr>
            <w:r w:rsidRPr="004D46AC">
              <w:rPr>
                <w:rFonts w:eastAsia="DengXian"/>
                <w:color w:val="000000"/>
              </w:rPr>
              <w:t>M9--M10</w:t>
            </w:r>
          </w:p>
        </w:tc>
        <w:tc>
          <w:tcPr>
            <w:tcW w:w="1687" w:type="dxa"/>
            <w:vAlign w:val="center"/>
          </w:tcPr>
          <w:p w14:paraId="4BA1F294" w14:textId="77777777" w:rsidR="007075D9" w:rsidRPr="004D46AC" w:rsidRDefault="007075D9" w:rsidP="00CE2F7A">
            <w:pPr>
              <w:spacing w:line="240" w:lineRule="auto"/>
              <w:ind w:firstLine="0"/>
              <w:rPr>
                <w:b/>
                <w:bCs/>
                <w:i/>
                <w:iCs/>
              </w:rPr>
            </w:pPr>
            <w:r w:rsidRPr="004D46AC">
              <w:rPr>
                <w:color w:val="000000"/>
              </w:rPr>
              <w:t xml:space="preserve">0.20 </w:t>
            </w:r>
          </w:p>
        </w:tc>
        <w:tc>
          <w:tcPr>
            <w:tcW w:w="1687" w:type="dxa"/>
            <w:vAlign w:val="center"/>
          </w:tcPr>
          <w:p w14:paraId="1EE3E4B8"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27CA2F3A" w14:textId="77777777" w:rsidR="007075D9" w:rsidRPr="004D46AC" w:rsidRDefault="007075D9" w:rsidP="00CE2F7A">
            <w:pPr>
              <w:spacing w:line="240" w:lineRule="auto"/>
              <w:ind w:firstLine="0"/>
              <w:rPr>
                <w:b/>
                <w:bCs/>
                <w:i/>
                <w:iCs/>
              </w:rPr>
            </w:pPr>
            <w:r w:rsidRPr="004D46AC">
              <w:rPr>
                <w:color w:val="000000"/>
              </w:rPr>
              <w:t xml:space="preserve">0.27 </w:t>
            </w:r>
          </w:p>
        </w:tc>
        <w:tc>
          <w:tcPr>
            <w:tcW w:w="1443" w:type="dxa"/>
            <w:vAlign w:val="center"/>
          </w:tcPr>
          <w:p w14:paraId="1282896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C1AF3AB" w14:textId="77777777" w:rsidTr="00B518F1">
        <w:tc>
          <w:tcPr>
            <w:tcW w:w="1434" w:type="dxa"/>
            <w:vAlign w:val="center"/>
          </w:tcPr>
          <w:p w14:paraId="237137C7" w14:textId="77777777" w:rsidR="007075D9" w:rsidRPr="004D46AC" w:rsidRDefault="007075D9" w:rsidP="00CE2F7A">
            <w:pPr>
              <w:spacing w:line="240" w:lineRule="auto"/>
              <w:ind w:firstLine="0"/>
              <w:rPr>
                <w:b/>
                <w:bCs/>
                <w:i/>
                <w:iCs/>
              </w:rPr>
            </w:pPr>
            <w:r w:rsidRPr="004D46AC">
              <w:rPr>
                <w:rFonts w:eastAsia="DengXian"/>
                <w:color w:val="000000"/>
              </w:rPr>
              <w:t>N1--WD</w:t>
            </w:r>
          </w:p>
        </w:tc>
        <w:tc>
          <w:tcPr>
            <w:tcW w:w="1687" w:type="dxa"/>
            <w:vAlign w:val="center"/>
          </w:tcPr>
          <w:p w14:paraId="49758198" w14:textId="77777777" w:rsidR="007075D9" w:rsidRPr="004D46AC" w:rsidRDefault="007075D9" w:rsidP="00CE2F7A">
            <w:pPr>
              <w:spacing w:line="240" w:lineRule="auto"/>
              <w:ind w:firstLine="0"/>
              <w:rPr>
                <w:b/>
                <w:bCs/>
                <w:i/>
                <w:iCs/>
              </w:rPr>
            </w:pPr>
            <w:r w:rsidRPr="004D46AC">
              <w:rPr>
                <w:color w:val="000000"/>
              </w:rPr>
              <w:t xml:space="preserve">0.19 </w:t>
            </w:r>
          </w:p>
        </w:tc>
        <w:tc>
          <w:tcPr>
            <w:tcW w:w="1687" w:type="dxa"/>
            <w:vAlign w:val="center"/>
          </w:tcPr>
          <w:p w14:paraId="3BF975D1"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6C29A558" w14:textId="77777777" w:rsidR="007075D9" w:rsidRPr="004D46AC" w:rsidRDefault="007075D9" w:rsidP="00CE2F7A">
            <w:pPr>
              <w:spacing w:line="240" w:lineRule="auto"/>
              <w:ind w:firstLine="0"/>
              <w:rPr>
                <w:b/>
                <w:bCs/>
                <w:i/>
                <w:iCs/>
              </w:rPr>
            </w:pPr>
            <w:r w:rsidRPr="004D46AC">
              <w:rPr>
                <w:color w:val="000000"/>
              </w:rPr>
              <w:t xml:space="preserve">0.26 </w:t>
            </w:r>
          </w:p>
        </w:tc>
        <w:tc>
          <w:tcPr>
            <w:tcW w:w="1443" w:type="dxa"/>
            <w:vAlign w:val="center"/>
          </w:tcPr>
          <w:p w14:paraId="14B919A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951AE02" w14:textId="77777777" w:rsidTr="00B518F1">
        <w:tc>
          <w:tcPr>
            <w:tcW w:w="1434" w:type="dxa"/>
            <w:vAlign w:val="center"/>
          </w:tcPr>
          <w:p w14:paraId="51029739" w14:textId="77777777" w:rsidR="007075D9" w:rsidRPr="004D46AC" w:rsidRDefault="007075D9" w:rsidP="00CE2F7A">
            <w:pPr>
              <w:spacing w:line="240" w:lineRule="auto"/>
              <w:ind w:firstLine="0"/>
              <w:rPr>
                <w:b/>
                <w:bCs/>
                <w:i/>
                <w:iCs/>
              </w:rPr>
            </w:pPr>
            <w:r w:rsidRPr="004D46AC">
              <w:rPr>
                <w:rFonts w:eastAsia="DengXian"/>
                <w:color w:val="000000"/>
              </w:rPr>
              <w:t>RC--WD</w:t>
            </w:r>
          </w:p>
        </w:tc>
        <w:tc>
          <w:tcPr>
            <w:tcW w:w="1687" w:type="dxa"/>
            <w:vAlign w:val="center"/>
          </w:tcPr>
          <w:p w14:paraId="6B705712" w14:textId="77777777" w:rsidR="007075D9" w:rsidRPr="004D46AC" w:rsidRDefault="007075D9" w:rsidP="00CE2F7A">
            <w:pPr>
              <w:spacing w:line="240" w:lineRule="auto"/>
              <w:ind w:firstLine="0"/>
              <w:rPr>
                <w:b/>
                <w:bCs/>
                <w:i/>
                <w:iCs/>
              </w:rPr>
            </w:pPr>
            <w:r w:rsidRPr="004D46AC">
              <w:rPr>
                <w:color w:val="000000"/>
              </w:rPr>
              <w:t xml:space="preserve">0.18 </w:t>
            </w:r>
          </w:p>
        </w:tc>
        <w:tc>
          <w:tcPr>
            <w:tcW w:w="1687" w:type="dxa"/>
            <w:vAlign w:val="center"/>
          </w:tcPr>
          <w:p w14:paraId="4FC946EC"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77B2AF76" w14:textId="77777777" w:rsidR="007075D9" w:rsidRPr="004D46AC" w:rsidRDefault="007075D9" w:rsidP="00CE2F7A">
            <w:pPr>
              <w:spacing w:line="240" w:lineRule="auto"/>
              <w:ind w:firstLine="0"/>
              <w:rPr>
                <w:b/>
                <w:bCs/>
                <w:i/>
                <w:iCs/>
              </w:rPr>
            </w:pPr>
            <w:r w:rsidRPr="004D46AC">
              <w:rPr>
                <w:color w:val="000000"/>
              </w:rPr>
              <w:t xml:space="preserve">0.24 </w:t>
            </w:r>
          </w:p>
        </w:tc>
        <w:tc>
          <w:tcPr>
            <w:tcW w:w="1443" w:type="dxa"/>
            <w:vAlign w:val="center"/>
          </w:tcPr>
          <w:p w14:paraId="1D023901"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1859A3B" w14:textId="77777777" w:rsidTr="00B518F1">
        <w:tc>
          <w:tcPr>
            <w:tcW w:w="1434" w:type="dxa"/>
            <w:vAlign w:val="center"/>
          </w:tcPr>
          <w:p w14:paraId="4D8D69FA" w14:textId="77777777" w:rsidR="007075D9" w:rsidRPr="004D46AC" w:rsidRDefault="007075D9" w:rsidP="00CE2F7A">
            <w:pPr>
              <w:spacing w:line="240" w:lineRule="auto"/>
              <w:ind w:firstLine="0"/>
              <w:rPr>
                <w:b/>
                <w:bCs/>
                <w:i/>
                <w:iCs/>
              </w:rPr>
            </w:pPr>
            <w:r w:rsidRPr="004D46AC">
              <w:rPr>
                <w:rFonts w:eastAsia="DengXian"/>
                <w:color w:val="000000"/>
              </w:rPr>
              <w:t>WD--M8</w:t>
            </w:r>
          </w:p>
        </w:tc>
        <w:tc>
          <w:tcPr>
            <w:tcW w:w="1687" w:type="dxa"/>
            <w:vAlign w:val="center"/>
          </w:tcPr>
          <w:p w14:paraId="45278159"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179A11E5"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0CAD3A83"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6CAA6F8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58A7819" w14:textId="77777777" w:rsidTr="00B518F1">
        <w:tc>
          <w:tcPr>
            <w:tcW w:w="1434" w:type="dxa"/>
            <w:vAlign w:val="center"/>
          </w:tcPr>
          <w:p w14:paraId="5D7AC3F1" w14:textId="77777777" w:rsidR="007075D9" w:rsidRPr="004D46AC" w:rsidRDefault="007075D9" w:rsidP="00CE2F7A">
            <w:pPr>
              <w:spacing w:line="240" w:lineRule="auto"/>
              <w:ind w:firstLine="0"/>
              <w:rPr>
                <w:b/>
                <w:bCs/>
                <w:i/>
                <w:iCs/>
              </w:rPr>
            </w:pPr>
            <w:r w:rsidRPr="004D46AC">
              <w:rPr>
                <w:rFonts w:eastAsia="DengXian"/>
                <w:color w:val="000000"/>
              </w:rPr>
              <w:t>ME--Y7</w:t>
            </w:r>
          </w:p>
        </w:tc>
        <w:tc>
          <w:tcPr>
            <w:tcW w:w="1687" w:type="dxa"/>
            <w:vAlign w:val="center"/>
          </w:tcPr>
          <w:p w14:paraId="49BBCDB7" w14:textId="77777777" w:rsidR="007075D9" w:rsidRPr="004D46AC" w:rsidRDefault="007075D9" w:rsidP="00CE2F7A">
            <w:pPr>
              <w:spacing w:line="240" w:lineRule="auto"/>
              <w:ind w:firstLine="0"/>
              <w:rPr>
                <w:b/>
                <w:bCs/>
                <w:i/>
                <w:iCs/>
              </w:rPr>
            </w:pPr>
            <w:r w:rsidRPr="004D46AC">
              <w:rPr>
                <w:color w:val="000000"/>
              </w:rPr>
              <w:t xml:space="preserve">0.17 </w:t>
            </w:r>
          </w:p>
        </w:tc>
        <w:tc>
          <w:tcPr>
            <w:tcW w:w="1687" w:type="dxa"/>
            <w:vAlign w:val="center"/>
          </w:tcPr>
          <w:p w14:paraId="44CFC52A"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71CBB45F" w14:textId="77777777" w:rsidR="007075D9" w:rsidRPr="004D46AC" w:rsidRDefault="007075D9" w:rsidP="00CE2F7A">
            <w:pPr>
              <w:spacing w:line="240" w:lineRule="auto"/>
              <w:ind w:firstLine="0"/>
              <w:rPr>
                <w:b/>
                <w:bCs/>
                <w:i/>
                <w:iCs/>
              </w:rPr>
            </w:pPr>
            <w:r w:rsidRPr="004D46AC">
              <w:rPr>
                <w:color w:val="000000"/>
              </w:rPr>
              <w:t xml:space="preserve">0.24 </w:t>
            </w:r>
          </w:p>
        </w:tc>
        <w:tc>
          <w:tcPr>
            <w:tcW w:w="1443" w:type="dxa"/>
            <w:vAlign w:val="center"/>
          </w:tcPr>
          <w:p w14:paraId="2ED391B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13D5CD4" w14:textId="77777777" w:rsidTr="00B518F1">
        <w:tc>
          <w:tcPr>
            <w:tcW w:w="1434" w:type="dxa"/>
            <w:vAlign w:val="center"/>
          </w:tcPr>
          <w:p w14:paraId="2C2DFD4C" w14:textId="77777777" w:rsidR="007075D9" w:rsidRPr="004D46AC" w:rsidRDefault="007075D9" w:rsidP="00CE2F7A">
            <w:pPr>
              <w:spacing w:line="240" w:lineRule="auto"/>
              <w:ind w:firstLine="0"/>
              <w:rPr>
                <w:b/>
                <w:bCs/>
                <w:i/>
                <w:iCs/>
              </w:rPr>
            </w:pPr>
            <w:r w:rsidRPr="004D46AC">
              <w:rPr>
                <w:rFonts w:eastAsia="DengXian"/>
                <w:color w:val="000000"/>
              </w:rPr>
              <w:t>P6--WD</w:t>
            </w:r>
          </w:p>
        </w:tc>
        <w:tc>
          <w:tcPr>
            <w:tcW w:w="1687" w:type="dxa"/>
            <w:vAlign w:val="center"/>
          </w:tcPr>
          <w:p w14:paraId="7B5B1882"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70C83380"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4B6CB481"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24558E3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339F0BF" w14:textId="77777777" w:rsidTr="00B518F1">
        <w:tc>
          <w:tcPr>
            <w:tcW w:w="1434" w:type="dxa"/>
            <w:vAlign w:val="center"/>
          </w:tcPr>
          <w:p w14:paraId="2A1ECEC4" w14:textId="77777777" w:rsidR="007075D9" w:rsidRPr="004D46AC" w:rsidRDefault="007075D9" w:rsidP="00CE2F7A">
            <w:pPr>
              <w:spacing w:line="240" w:lineRule="auto"/>
              <w:ind w:firstLine="0"/>
              <w:rPr>
                <w:b/>
                <w:bCs/>
                <w:i/>
                <w:iCs/>
              </w:rPr>
            </w:pPr>
            <w:r w:rsidRPr="004D46AC">
              <w:rPr>
                <w:rFonts w:eastAsia="DengXian"/>
                <w:color w:val="000000"/>
              </w:rPr>
              <w:t>M3--M9</w:t>
            </w:r>
          </w:p>
        </w:tc>
        <w:tc>
          <w:tcPr>
            <w:tcW w:w="1687" w:type="dxa"/>
            <w:vAlign w:val="center"/>
          </w:tcPr>
          <w:p w14:paraId="7AEEECF3"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3B051103"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4C6A8385"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2D44609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813293A" w14:textId="77777777" w:rsidTr="00B518F1">
        <w:tc>
          <w:tcPr>
            <w:tcW w:w="1434" w:type="dxa"/>
            <w:vAlign w:val="center"/>
          </w:tcPr>
          <w:p w14:paraId="50D5A734" w14:textId="77777777" w:rsidR="007075D9" w:rsidRPr="004D46AC" w:rsidRDefault="007075D9" w:rsidP="00CE2F7A">
            <w:pPr>
              <w:spacing w:line="240" w:lineRule="auto"/>
              <w:ind w:firstLine="0"/>
              <w:rPr>
                <w:b/>
                <w:bCs/>
                <w:i/>
                <w:iCs/>
              </w:rPr>
            </w:pPr>
            <w:r w:rsidRPr="004D46AC">
              <w:rPr>
                <w:rFonts w:eastAsia="DengXian"/>
                <w:color w:val="000000"/>
              </w:rPr>
              <w:t>M6--M8</w:t>
            </w:r>
          </w:p>
        </w:tc>
        <w:tc>
          <w:tcPr>
            <w:tcW w:w="1687" w:type="dxa"/>
            <w:vAlign w:val="center"/>
          </w:tcPr>
          <w:p w14:paraId="2F7C4B3C"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4E5F125D"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30506442" w14:textId="77777777" w:rsidR="007075D9" w:rsidRPr="004D46AC" w:rsidRDefault="007075D9" w:rsidP="00CE2F7A">
            <w:pPr>
              <w:spacing w:line="240" w:lineRule="auto"/>
              <w:ind w:firstLine="0"/>
              <w:rPr>
                <w:b/>
                <w:bCs/>
                <w:i/>
                <w:iCs/>
              </w:rPr>
            </w:pPr>
            <w:r w:rsidRPr="004D46AC">
              <w:rPr>
                <w:color w:val="000000"/>
              </w:rPr>
              <w:t xml:space="preserve">0.23 </w:t>
            </w:r>
          </w:p>
        </w:tc>
        <w:tc>
          <w:tcPr>
            <w:tcW w:w="1443" w:type="dxa"/>
            <w:vAlign w:val="center"/>
          </w:tcPr>
          <w:p w14:paraId="17231617"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A4DA32B" w14:textId="77777777" w:rsidTr="00B518F1">
        <w:tc>
          <w:tcPr>
            <w:tcW w:w="1434" w:type="dxa"/>
            <w:vAlign w:val="center"/>
          </w:tcPr>
          <w:p w14:paraId="52216ABD" w14:textId="77777777" w:rsidR="007075D9" w:rsidRPr="004D46AC" w:rsidRDefault="007075D9" w:rsidP="00CE2F7A">
            <w:pPr>
              <w:spacing w:line="240" w:lineRule="auto"/>
              <w:ind w:firstLine="0"/>
              <w:rPr>
                <w:b/>
                <w:bCs/>
                <w:i/>
                <w:iCs/>
              </w:rPr>
            </w:pPr>
            <w:r w:rsidRPr="004D46AC">
              <w:rPr>
                <w:rFonts w:eastAsia="DengXian"/>
                <w:color w:val="000000"/>
              </w:rPr>
              <w:t>P2--Y7</w:t>
            </w:r>
          </w:p>
        </w:tc>
        <w:tc>
          <w:tcPr>
            <w:tcW w:w="1687" w:type="dxa"/>
            <w:vAlign w:val="center"/>
          </w:tcPr>
          <w:p w14:paraId="6708B83D"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5490E55C"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55BBD529"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21ED5E7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27C4A3A" w14:textId="77777777" w:rsidTr="00B518F1">
        <w:tc>
          <w:tcPr>
            <w:tcW w:w="1434" w:type="dxa"/>
            <w:vAlign w:val="center"/>
          </w:tcPr>
          <w:p w14:paraId="7F797B57" w14:textId="77777777" w:rsidR="007075D9" w:rsidRPr="004D46AC" w:rsidRDefault="007075D9" w:rsidP="00CE2F7A">
            <w:pPr>
              <w:spacing w:line="240" w:lineRule="auto"/>
              <w:ind w:firstLine="0"/>
              <w:rPr>
                <w:b/>
                <w:bCs/>
                <w:i/>
                <w:iCs/>
              </w:rPr>
            </w:pPr>
            <w:r w:rsidRPr="004D46AC">
              <w:rPr>
                <w:rFonts w:eastAsia="DengXian"/>
                <w:color w:val="000000"/>
              </w:rPr>
              <w:t>Y7--M6</w:t>
            </w:r>
          </w:p>
        </w:tc>
        <w:tc>
          <w:tcPr>
            <w:tcW w:w="1687" w:type="dxa"/>
            <w:vAlign w:val="center"/>
          </w:tcPr>
          <w:p w14:paraId="727DA6D2" w14:textId="77777777" w:rsidR="007075D9" w:rsidRPr="004D46AC" w:rsidRDefault="007075D9" w:rsidP="00CE2F7A">
            <w:pPr>
              <w:spacing w:line="240" w:lineRule="auto"/>
              <w:ind w:firstLine="0"/>
              <w:rPr>
                <w:b/>
                <w:bCs/>
                <w:i/>
                <w:iCs/>
              </w:rPr>
            </w:pPr>
            <w:r w:rsidRPr="004D46AC">
              <w:rPr>
                <w:color w:val="000000"/>
              </w:rPr>
              <w:t xml:space="preserve">0.16 </w:t>
            </w:r>
          </w:p>
        </w:tc>
        <w:tc>
          <w:tcPr>
            <w:tcW w:w="1687" w:type="dxa"/>
            <w:vAlign w:val="center"/>
          </w:tcPr>
          <w:p w14:paraId="5975CDFC"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176C1497"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285EA8B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8A0B568" w14:textId="77777777" w:rsidTr="00B518F1">
        <w:tc>
          <w:tcPr>
            <w:tcW w:w="1434" w:type="dxa"/>
            <w:vAlign w:val="center"/>
          </w:tcPr>
          <w:p w14:paraId="05387EAC" w14:textId="77777777" w:rsidR="007075D9" w:rsidRPr="004D46AC" w:rsidRDefault="007075D9" w:rsidP="00CE2F7A">
            <w:pPr>
              <w:spacing w:line="240" w:lineRule="auto"/>
              <w:ind w:firstLine="0"/>
              <w:rPr>
                <w:b/>
                <w:bCs/>
                <w:i/>
                <w:iCs/>
              </w:rPr>
            </w:pPr>
            <w:r w:rsidRPr="004D46AC">
              <w:rPr>
                <w:rFonts w:eastAsia="DengXian"/>
                <w:color w:val="000000"/>
              </w:rPr>
              <w:t>M3--SP</w:t>
            </w:r>
          </w:p>
        </w:tc>
        <w:tc>
          <w:tcPr>
            <w:tcW w:w="1687" w:type="dxa"/>
            <w:vAlign w:val="center"/>
          </w:tcPr>
          <w:p w14:paraId="636039AA"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7D911CE6"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430EA435"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23BE5A7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C63CAFB" w14:textId="77777777" w:rsidTr="00B518F1">
        <w:tc>
          <w:tcPr>
            <w:tcW w:w="1434" w:type="dxa"/>
            <w:vAlign w:val="center"/>
          </w:tcPr>
          <w:p w14:paraId="285C4980" w14:textId="77777777" w:rsidR="007075D9" w:rsidRPr="004D46AC" w:rsidRDefault="007075D9" w:rsidP="00CE2F7A">
            <w:pPr>
              <w:spacing w:line="240" w:lineRule="auto"/>
              <w:ind w:firstLine="0"/>
              <w:rPr>
                <w:b/>
                <w:bCs/>
                <w:i/>
                <w:iCs/>
              </w:rPr>
            </w:pPr>
            <w:r w:rsidRPr="004D46AC">
              <w:rPr>
                <w:rFonts w:eastAsia="DengXian"/>
                <w:color w:val="000000"/>
              </w:rPr>
              <w:t>P2--N5</w:t>
            </w:r>
          </w:p>
        </w:tc>
        <w:tc>
          <w:tcPr>
            <w:tcW w:w="1687" w:type="dxa"/>
            <w:vAlign w:val="center"/>
          </w:tcPr>
          <w:p w14:paraId="777C6A7F" w14:textId="77777777" w:rsidR="007075D9" w:rsidRPr="004D46AC" w:rsidRDefault="007075D9" w:rsidP="00CE2F7A">
            <w:pPr>
              <w:spacing w:line="240" w:lineRule="auto"/>
              <w:ind w:firstLine="0"/>
              <w:rPr>
                <w:b/>
                <w:bCs/>
                <w:i/>
                <w:iCs/>
              </w:rPr>
            </w:pPr>
            <w:r w:rsidRPr="004D46AC">
              <w:rPr>
                <w:color w:val="000000"/>
              </w:rPr>
              <w:t xml:space="preserve">0.15 </w:t>
            </w:r>
          </w:p>
        </w:tc>
        <w:tc>
          <w:tcPr>
            <w:tcW w:w="1687" w:type="dxa"/>
            <w:vAlign w:val="center"/>
          </w:tcPr>
          <w:p w14:paraId="7B0E7069"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73FB6A19"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0F2227F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5FC77F8A" w14:textId="77777777" w:rsidTr="00B518F1">
        <w:tc>
          <w:tcPr>
            <w:tcW w:w="1434" w:type="dxa"/>
            <w:vAlign w:val="center"/>
          </w:tcPr>
          <w:p w14:paraId="0B6EC505" w14:textId="77777777" w:rsidR="007075D9" w:rsidRPr="004D46AC" w:rsidRDefault="007075D9" w:rsidP="00CE2F7A">
            <w:pPr>
              <w:spacing w:line="240" w:lineRule="auto"/>
              <w:ind w:firstLine="0"/>
              <w:rPr>
                <w:b/>
                <w:bCs/>
                <w:i/>
                <w:iCs/>
              </w:rPr>
            </w:pPr>
            <w:r w:rsidRPr="004D46AC">
              <w:rPr>
                <w:rFonts w:eastAsia="DengXian"/>
                <w:color w:val="000000"/>
              </w:rPr>
              <w:t>IA--Y7</w:t>
            </w:r>
          </w:p>
        </w:tc>
        <w:tc>
          <w:tcPr>
            <w:tcW w:w="1687" w:type="dxa"/>
            <w:vAlign w:val="center"/>
          </w:tcPr>
          <w:p w14:paraId="33890F62"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2C1FEFC7"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603E8294"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5924471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220B381" w14:textId="77777777" w:rsidTr="00B518F1">
        <w:tc>
          <w:tcPr>
            <w:tcW w:w="1434" w:type="dxa"/>
            <w:vAlign w:val="center"/>
          </w:tcPr>
          <w:p w14:paraId="0374B098" w14:textId="77777777" w:rsidR="007075D9" w:rsidRPr="004D46AC" w:rsidRDefault="007075D9" w:rsidP="00CE2F7A">
            <w:pPr>
              <w:spacing w:line="240" w:lineRule="auto"/>
              <w:ind w:firstLine="0"/>
              <w:rPr>
                <w:b/>
                <w:bCs/>
                <w:i/>
                <w:iCs/>
              </w:rPr>
            </w:pPr>
            <w:r w:rsidRPr="004D46AC">
              <w:rPr>
                <w:rFonts w:eastAsia="DengXian"/>
                <w:color w:val="000000"/>
              </w:rPr>
              <w:t>M2--M9</w:t>
            </w:r>
          </w:p>
        </w:tc>
        <w:tc>
          <w:tcPr>
            <w:tcW w:w="1687" w:type="dxa"/>
            <w:vAlign w:val="center"/>
          </w:tcPr>
          <w:p w14:paraId="2EA77A6E"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6A10A52D"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B9D99AC"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081D2BA9"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5F0DAEB" w14:textId="77777777" w:rsidTr="00B518F1">
        <w:tc>
          <w:tcPr>
            <w:tcW w:w="1434" w:type="dxa"/>
            <w:vAlign w:val="center"/>
          </w:tcPr>
          <w:p w14:paraId="1B935626" w14:textId="77777777" w:rsidR="007075D9" w:rsidRPr="004D46AC" w:rsidRDefault="007075D9" w:rsidP="00CE2F7A">
            <w:pPr>
              <w:spacing w:line="240" w:lineRule="auto"/>
              <w:ind w:firstLine="0"/>
              <w:rPr>
                <w:b/>
                <w:bCs/>
                <w:i/>
                <w:iCs/>
              </w:rPr>
            </w:pPr>
            <w:r w:rsidRPr="004D46AC">
              <w:rPr>
                <w:rFonts w:eastAsia="DengXian"/>
                <w:color w:val="000000"/>
              </w:rPr>
              <w:t>M7--M9</w:t>
            </w:r>
          </w:p>
        </w:tc>
        <w:tc>
          <w:tcPr>
            <w:tcW w:w="1687" w:type="dxa"/>
            <w:vAlign w:val="center"/>
          </w:tcPr>
          <w:p w14:paraId="7E5CB410"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4574B5DC"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29719011" w14:textId="77777777" w:rsidR="007075D9" w:rsidRPr="004D46AC" w:rsidRDefault="007075D9" w:rsidP="00CE2F7A">
            <w:pPr>
              <w:spacing w:line="240" w:lineRule="auto"/>
              <w:ind w:firstLine="0"/>
              <w:rPr>
                <w:b/>
                <w:bCs/>
                <w:i/>
                <w:iCs/>
              </w:rPr>
            </w:pPr>
            <w:r w:rsidRPr="004D46AC">
              <w:rPr>
                <w:color w:val="000000"/>
              </w:rPr>
              <w:t xml:space="preserve">0.22 </w:t>
            </w:r>
          </w:p>
        </w:tc>
        <w:tc>
          <w:tcPr>
            <w:tcW w:w="1443" w:type="dxa"/>
            <w:vAlign w:val="center"/>
          </w:tcPr>
          <w:p w14:paraId="04B0992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8074858" w14:textId="77777777" w:rsidTr="00B518F1">
        <w:tc>
          <w:tcPr>
            <w:tcW w:w="1434" w:type="dxa"/>
            <w:vAlign w:val="center"/>
          </w:tcPr>
          <w:p w14:paraId="040B2A1D" w14:textId="77777777" w:rsidR="007075D9" w:rsidRPr="004D46AC" w:rsidRDefault="007075D9" w:rsidP="00CE2F7A">
            <w:pPr>
              <w:spacing w:line="240" w:lineRule="auto"/>
              <w:ind w:firstLine="0"/>
              <w:rPr>
                <w:b/>
                <w:bCs/>
                <w:i/>
                <w:iCs/>
              </w:rPr>
            </w:pPr>
            <w:r w:rsidRPr="004D46AC">
              <w:rPr>
                <w:rFonts w:eastAsia="DengXian"/>
                <w:color w:val="000000"/>
              </w:rPr>
              <w:t>M3--M7</w:t>
            </w:r>
          </w:p>
        </w:tc>
        <w:tc>
          <w:tcPr>
            <w:tcW w:w="1687" w:type="dxa"/>
            <w:vAlign w:val="center"/>
          </w:tcPr>
          <w:p w14:paraId="3B5B4B9D"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38709EE7"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538CC7BA"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5AD7132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0801081" w14:textId="77777777" w:rsidTr="00B518F1">
        <w:tc>
          <w:tcPr>
            <w:tcW w:w="1434" w:type="dxa"/>
            <w:vAlign w:val="center"/>
          </w:tcPr>
          <w:p w14:paraId="1A6F04C7" w14:textId="77777777" w:rsidR="007075D9" w:rsidRPr="004D46AC" w:rsidRDefault="007075D9" w:rsidP="00CE2F7A">
            <w:pPr>
              <w:spacing w:line="240" w:lineRule="auto"/>
              <w:ind w:firstLine="0"/>
              <w:rPr>
                <w:b/>
                <w:bCs/>
                <w:i/>
                <w:iCs/>
              </w:rPr>
            </w:pPr>
            <w:r w:rsidRPr="004D46AC">
              <w:rPr>
                <w:rFonts w:eastAsia="DengXian"/>
                <w:color w:val="000000"/>
              </w:rPr>
              <w:t>N5--N7</w:t>
            </w:r>
          </w:p>
        </w:tc>
        <w:tc>
          <w:tcPr>
            <w:tcW w:w="1687" w:type="dxa"/>
            <w:vAlign w:val="center"/>
          </w:tcPr>
          <w:p w14:paraId="30171199"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000AE31E"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3CB7A2C8"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6BECA4ED"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9FA522F" w14:textId="77777777" w:rsidTr="00B518F1">
        <w:tc>
          <w:tcPr>
            <w:tcW w:w="1434" w:type="dxa"/>
            <w:vAlign w:val="center"/>
          </w:tcPr>
          <w:p w14:paraId="7C06212A" w14:textId="77777777" w:rsidR="007075D9" w:rsidRPr="004D46AC" w:rsidRDefault="007075D9" w:rsidP="00CE2F7A">
            <w:pPr>
              <w:spacing w:line="240" w:lineRule="auto"/>
              <w:ind w:firstLine="0"/>
              <w:rPr>
                <w:b/>
                <w:bCs/>
                <w:i/>
                <w:iCs/>
              </w:rPr>
            </w:pPr>
            <w:r w:rsidRPr="004D46AC">
              <w:rPr>
                <w:rFonts w:eastAsia="DengXian"/>
                <w:color w:val="000000"/>
              </w:rPr>
              <w:t>M2--M7</w:t>
            </w:r>
          </w:p>
        </w:tc>
        <w:tc>
          <w:tcPr>
            <w:tcW w:w="1687" w:type="dxa"/>
            <w:vAlign w:val="center"/>
          </w:tcPr>
          <w:p w14:paraId="123355A7"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566991DA"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2B0D3C27"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35C9637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8AD02CA" w14:textId="77777777" w:rsidTr="00B518F1">
        <w:tc>
          <w:tcPr>
            <w:tcW w:w="1434" w:type="dxa"/>
            <w:vAlign w:val="center"/>
          </w:tcPr>
          <w:p w14:paraId="632F8926" w14:textId="77777777" w:rsidR="007075D9" w:rsidRPr="004D46AC" w:rsidRDefault="007075D9" w:rsidP="00CE2F7A">
            <w:pPr>
              <w:spacing w:line="240" w:lineRule="auto"/>
              <w:ind w:firstLine="0"/>
              <w:rPr>
                <w:b/>
                <w:bCs/>
                <w:i/>
                <w:iCs/>
              </w:rPr>
            </w:pPr>
            <w:r w:rsidRPr="004D46AC">
              <w:rPr>
                <w:rFonts w:eastAsia="DengXian"/>
                <w:color w:val="000000"/>
              </w:rPr>
              <w:t>M3--M6</w:t>
            </w:r>
          </w:p>
        </w:tc>
        <w:tc>
          <w:tcPr>
            <w:tcW w:w="1687" w:type="dxa"/>
            <w:vAlign w:val="center"/>
          </w:tcPr>
          <w:p w14:paraId="31AD59DC" w14:textId="77777777" w:rsidR="007075D9" w:rsidRPr="004D46AC" w:rsidRDefault="007075D9" w:rsidP="00CE2F7A">
            <w:pPr>
              <w:spacing w:line="240" w:lineRule="auto"/>
              <w:ind w:firstLine="0"/>
              <w:rPr>
                <w:b/>
                <w:bCs/>
                <w:i/>
                <w:iCs/>
              </w:rPr>
            </w:pPr>
            <w:r w:rsidRPr="004D46AC">
              <w:rPr>
                <w:color w:val="000000"/>
              </w:rPr>
              <w:t xml:space="preserve">0.14 </w:t>
            </w:r>
          </w:p>
        </w:tc>
        <w:tc>
          <w:tcPr>
            <w:tcW w:w="1687" w:type="dxa"/>
            <w:vAlign w:val="center"/>
          </w:tcPr>
          <w:p w14:paraId="625D2BB4"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2B628FFA"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7F3A3FC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2571E74" w14:textId="77777777" w:rsidTr="00B518F1">
        <w:tc>
          <w:tcPr>
            <w:tcW w:w="1434" w:type="dxa"/>
            <w:vAlign w:val="center"/>
          </w:tcPr>
          <w:p w14:paraId="2050EF67" w14:textId="77777777" w:rsidR="007075D9" w:rsidRPr="004D46AC" w:rsidRDefault="007075D9" w:rsidP="00CE2F7A">
            <w:pPr>
              <w:spacing w:line="240" w:lineRule="auto"/>
              <w:ind w:firstLine="0"/>
              <w:rPr>
                <w:b/>
                <w:bCs/>
                <w:i/>
                <w:iCs/>
              </w:rPr>
            </w:pPr>
            <w:r w:rsidRPr="004D46AC">
              <w:rPr>
                <w:rFonts w:eastAsia="DengXian"/>
                <w:color w:val="000000"/>
              </w:rPr>
              <w:t>Y6--Y7</w:t>
            </w:r>
          </w:p>
        </w:tc>
        <w:tc>
          <w:tcPr>
            <w:tcW w:w="1687" w:type="dxa"/>
            <w:vAlign w:val="center"/>
          </w:tcPr>
          <w:p w14:paraId="5BFD0B2C"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15A27F23"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15F427A0" w14:textId="77777777" w:rsidR="007075D9" w:rsidRPr="004D46AC" w:rsidRDefault="007075D9" w:rsidP="00CE2F7A">
            <w:pPr>
              <w:spacing w:line="240" w:lineRule="auto"/>
              <w:ind w:firstLine="0"/>
              <w:rPr>
                <w:b/>
                <w:bCs/>
                <w:i/>
                <w:iCs/>
              </w:rPr>
            </w:pPr>
            <w:r w:rsidRPr="004D46AC">
              <w:rPr>
                <w:color w:val="000000"/>
              </w:rPr>
              <w:t xml:space="preserve">0.21 </w:t>
            </w:r>
          </w:p>
        </w:tc>
        <w:tc>
          <w:tcPr>
            <w:tcW w:w="1443" w:type="dxa"/>
            <w:vAlign w:val="center"/>
          </w:tcPr>
          <w:p w14:paraId="52A0EAA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785DACC" w14:textId="77777777" w:rsidTr="00B518F1">
        <w:tc>
          <w:tcPr>
            <w:tcW w:w="1434" w:type="dxa"/>
            <w:vAlign w:val="center"/>
          </w:tcPr>
          <w:p w14:paraId="6337FF70" w14:textId="77777777" w:rsidR="007075D9" w:rsidRPr="004D46AC" w:rsidRDefault="007075D9" w:rsidP="00CE2F7A">
            <w:pPr>
              <w:spacing w:line="240" w:lineRule="auto"/>
              <w:ind w:firstLine="0"/>
              <w:rPr>
                <w:b/>
                <w:bCs/>
                <w:i/>
                <w:iCs/>
              </w:rPr>
            </w:pPr>
            <w:r w:rsidRPr="004D46AC">
              <w:rPr>
                <w:rFonts w:eastAsia="DengXian"/>
                <w:color w:val="000000"/>
              </w:rPr>
              <w:t>M6--M7</w:t>
            </w:r>
          </w:p>
        </w:tc>
        <w:tc>
          <w:tcPr>
            <w:tcW w:w="1687" w:type="dxa"/>
            <w:vAlign w:val="center"/>
          </w:tcPr>
          <w:p w14:paraId="764F4779" w14:textId="77777777" w:rsidR="007075D9" w:rsidRPr="004D46AC" w:rsidRDefault="007075D9" w:rsidP="00CE2F7A">
            <w:pPr>
              <w:spacing w:line="240" w:lineRule="auto"/>
              <w:ind w:firstLine="0"/>
              <w:rPr>
                <w:b/>
                <w:bCs/>
                <w:i/>
                <w:iCs/>
              </w:rPr>
            </w:pPr>
            <w:r w:rsidRPr="004D46AC">
              <w:rPr>
                <w:color w:val="000000"/>
              </w:rPr>
              <w:t xml:space="preserve">0.13 </w:t>
            </w:r>
          </w:p>
        </w:tc>
        <w:tc>
          <w:tcPr>
            <w:tcW w:w="1687" w:type="dxa"/>
            <w:vAlign w:val="center"/>
          </w:tcPr>
          <w:p w14:paraId="5A75F15B"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9B90865"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4A8410D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8EDEAA0" w14:textId="77777777" w:rsidTr="00B518F1">
        <w:tc>
          <w:tcPr>
            <w:tcW w:w="1434" w:type="dxa"/>
            <w:vAlign w:val="center"/>
          </w:tcPr>
          <w:p w14:paraId="752798C7" w14:textId="77777777" w:rsidR="007075D9" w:rsidRPr="004D46AC" w:rsidRDefault="007075D9" w:rsidP="00CE2F7A">
            <w:pPr>
              <w:spacing w:line="240" w:lineRule="auto"/>
              <w:ind w:firstLine="0"/>
              <w:rPr>
                <w:b/>
                <w:bCs/>
                <w:i/>
                <w:iCs/>
              </w:rPr>
            </w:pPr>
            <w:r w:rsidRPr="004D46AC">
              <w:rPr>
                <w:rFonts w:eastAsia="DengXian"/>
                <w:color w:val="000000"/>
              </w:rPr>
              <w:t>IA--M3</w:t>
            </w:r>
          </w:p>
        </w:tc>
        <w:tc>
          <w:tcPr>
            <w:tcW w:w="1687" w:type="dxa"/>
            <w:vAlign w:val="center"/>
          </w:tcPr>
          <w:p w14:paraId="0B1CEDE0"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6FDE6D49"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43136B3A"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5B056483"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CC8F96D" w14:textId="77777777" w:rsidTr="00B518F1">
        <w:tc>
          <w:tcPr>
            <w:tcW w:w="1434" w:type="dxa"/>
            <w:vAlign w:val="center"/>
          </w:tcPr>
          <w:p w14:paraId="5A4EF1B0" w14:textId="77777777" w:rsidR="007075D9" w:rsidRPr="004D46AC" w:rsidRDefault="007075D9" w:rsidP="00CE2F7A">
            <w:pPr>
              <w:spacing w:line="240" w:lineRule="auto"/>
              <w:ind w:firstLine="0"/>
              <w:rPr>
                <w:b/>
                <w:bCs/>
                <w:i/>
                <w:iCs/>
              </w:rPr>
            </w:pPr>
            <w:r w:rsidRPr="004D46AC">
              <w:rPr>
                <w:rFonts w:eastAsia="DengXian"/>
                <w:color w:val="000000"/>
              </w:rPr>
              <w:t>M5--SP</w:t>
            </w:r>
          </w:p>
        </w:tc>
        <w:tc>
          <w:tcPr>
            <w:tcW w:w="1687" w:type="dxa"/>
            <w:vAlign w:val="center"/>
          </w:tcPr>
          <w:p w14:paraId="219AC6A1" w14:textId="77777777" w:rsidR="007075D9" w:rsidRPr="004D46AC" w:rsidRDefault="007075D9" w:rsidP="00CE2F7A">
            <w:pPr>
              <w:spacing w:line="240" w:lineRule="auto"/>
              <w:ind w:firstLine="0"/>
              <w:rPr>
                <w:b/>
                <w:bCs/>
                <w:i/>
                <w:iCs/>
              </w:rPr>
            </w:pPr>
            <w:r w:rsidRPr="004D46AC">
              <w:rPr>
                <w:color w:val="000000"/>
              </w:rPr>
              <w:t xml:space="preserve">0.12 </w:t>
            </w:r>
          </w:p>
        </w:tc>
        <w:tc>
          <w:tcPr>
            <w:tcW w:w="1687" w:type="dxa"/>
            <w:vAlign w:val="center"/>
          </w:tcPr>
          <w:p w14:paraId="49C2D239"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207B656"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0CEAF51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88F0573" w14:textId="77777777" w:rsidTr="00B518F1">
        <w:tc>
          <w:tcPr>
            <w:tcW w:w="1434" w:type="dxa"/>
            <w:vAlign w:val="center"/>
          </w:tcPr>
          <w:p w14:paraId="3515996C" w14:textId="77777777" w:rsidR="007075D9" w:rsidRPr="004D46AC" w:rsidRDefault="007075D9" w:rsidP="00CE2F7A">
            <w:pPr>
              <w:spacing w:line="240" w:lineRule="auto"/>
              <w:ind w:firstLine="0"/>
              <w:rPr>
                <w:b/>
                <w:bCs/>
                <w:i/>
                <w:iCs/>
              </w:rPr>
            </w:pPr>
            <w:r w:rsidRPr="004D46AC">
              <w:rPr>
                <w:rFonts w:eastAsia="DengXian"/>
                <w:color w:val="000000"/>
              </w:rPr>
              <w:t>P4--P5</w:t>
            </w:r>
          </w:p>
        </w:tc>
        <w:tc>
          <w:tcPr>
            <w:tcW w:w="1687" w:type="dxa"/>
            <w:vAlign w:val="center"/>
          </w:tcPr>
          <w:p w14:paraId="18ABA15F"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0B5A8AE3"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B8EE3FC" w14:textId="77777777" w:rsidR="007075D9" w:rsidRPr="004D46AC" w:rsidRDefault="007075D9" w:rsidP="00CE2F7A">
            <w:pPr>
              <w:spacing w:line="240" w:lineRule="auto"/>
              <w:ind w:firstLine="0"/>
              <w:rPr>
                <w:b/>
                <w:bCs/>
                <w:i/>
                <w:iCs/>
              </w:rPr>
            </w:pPr>
            <w:r w:rsidRPr="004D46AC">
              <w:rPr>
                <w:color w:val="000000"/>
              </w:rPr>
              <w:t xml:space="preserve">0.19 </w:t>
            </w:r>
          </w:p>
        </w:tc>
        <w:tc>
          <w:tcPr>
            <w:tcW w:w="1443" w:type="dxa"/>
            <w:vAlign w:val="center"/>
          </w:tcPr>
          <w:p w14:paraId="23CCF2E5"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0C12FFF" w14:textId="77777777" w:rsidTr="00B518F1">
        <w:tc>
          <w:tcPr>
            <w:tcW w:w="1434" w:type="dxa"/>
            <w:vAlign w:val="center"/>
          </w:tcPr>
          <w:p w14:paraId="71D0C07A" w14:textId="77777777" w:rsidR="007075D9" w:rsidRPr="004D46AC" w:rsidRDefault="007075D9" w:rsidP="00CE2F7A">
            <w:pPr>
              <w:spacing w:line="240" w:lineRule="auto"/>
              <w:ind w:firstLine="0"/>
              <w:rPr>
                <w:b/>
                <w:bCs/>
                <w:i/>
                <w:iCs/>
              </w:rPr>
            </w:pPr>
            <w:r w:rsidRPr="004D46AC">
              <w:rPr>
                <w:rFonts w:eastAsia="DengXian"/>
                <w:color w:val="000000"/>
              </w:rPr>
              <w:t>Y3--Y10</w:t>
            </w:r>
          </w:p>
        </w:tc>
        <w:tc>
          <w:tcPr>
            <w:tcW w:w="1687" w:type="dxa"/>
            <w:vAlign w:val="center"/>
          </w:tcPr>
          <w:p w14:paraId="7074EEE5"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50FDBAA8"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0EE956D" w14:textId="77777777" w:rsidR="007075D9" w:rsidRPr="004D46AC" w:rsidRDefault="007075D9" w:rsidP="00CE2F7A">
            <w:pPr>
              <w:spacing w:line="240" w:lineRule="auto"/>
              <w:ind w:firstLine="0"/>
              <w:rPr>
                <w:b/>
                <w:bCs/>
                <w:i/>
                <w:iCs/>
              </w:rPr>
            </w:pPr>
            <w:r w:rsidRPr="004D46AC">
              <w:rPr>
                <w:color w:val="000000"/>
              </w:rPr>
              <w:t xml:space="preserve">0.20 </w:t>
            </w:r>
          </w:p>
        </w:tc>
        <w:tc>
          <w:tcPr>
            <w:tcW w:w="1443" w:type="dxa"/>
            <w:vAlign w:val="center"/>
          </w:tcPr>
          <w:p w14:paraId="4BE73AA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4E09A826" w14:textId="77777777" w:rsidTr="00B518F1">
        <w:tc>
          <w:tcPr>
            <w:tcW w:w="1434" w:type="dxa"/>
            <w:vAlign w:val="center"/>
          </w:tcPr>
          <w:p w14:paraId="0E5B06A2" w14:textId="77777777" w:rsidR="007075D9" w:rsidRPr="004D46AC" w:rsidRDefault="007075D9" w:rsidP="00CE2F7A">
            <w:pPr>
              <w:spacing w:line="240" w:lineRule="auto"/>
              <w:ind w:firstLine="0"/>
              <w:rPr>
                <w:b/>
                <w:bCs/>
                <w:i/>
                <w:iCs/>
              </w:rPr>
            </w:pPr>
            <w:r w:rsidRPr="004D46AC">
              <w:rPr>
                <w:rFonts w:eastAsia="DengXian"/>
                <w:color w:val="000000"/>
              </w:rPr>
              <w:t>M2--M8</w:t>
            </w:r>
          </w:p>
        </w:tc>
        <w:tc>
          <w:tcPr>
            <w:tcW w:w="1687" w:type="dxa"/>
            <w:vAlign w:val="center"/>
          </w:tcPr>
          <w:p w14:paraId="551A22C8"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66B54542"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32EDB07" w14:textId="77777777" w:rsidR="007075D9" w:rsidRPr="004D46AC" w:rsidRDefault="007075D9" w:rsidP="00CE2F7A">
            <w:pPr>
              <w:spacing w:line="240" w:lineRule="auto"/>
              <w:ind w:firstLine="0"/>
              <w:rPr>
                <w:b/>
                <w:bCs/>
                <w:i/>
                <w:iCs/>
              </w:rPr>
            </w:pPr>
            <w:r w:rsidRPr="004D46AC">
              <w:rPr>
                <w:color w:val="000000"/>
              </w:rPr>
              <w:t xml:space="preserve">0.18 </w:t>
            </w:r>
          </w:p>
        </w:tc>
        <w:tc>
          <w:tcPr>
            <w:tcW w:w="1443" w:type="dxa"/>
            <w:vAlign w:val="center"/>
          </w:tcPr>
          <w:p w14:paraId="47958484"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413C8AC" w14:textId="77777777" w:rsidTr="00B518F1">
        <w:tc>
          <w:tcPr>
            <w:tcW w:w="1434" w:type="dxa"/>
            <w:vAlign w:val="center"/>
          </w:tcPr>
          <w:p w14:paraId="63849EBB" w14:textId="77777777" w:rsidR="007075D9" w:rsidRPr="004D46AC" w:rsidRDefault="007075D9" w:rsidP="00CE2F7A">
            <w:pPr>
              <w:spacing w:line="240" w:lineRule="auto"/>
              <w:ind w:firstLine="0"/>
              <w:rPr>
                <w:b/>
                <w:bCs/>
                <w:i/>
                <w:iCs/>
              </w:rPr>
            </w:pPr>
            <w:r w:rsidRPr="004D46AC">
              <w:rPr>
                <w:rFonts w:eastAsia="DengXian"/>
                <w:color w:val="000000"/>
              </w:rPr>
              <w:t>P6--IA</w:t>
            </w:r>
          </w:p>
        </w:tc>
        <w:tc>
          <w:tcPr>
            <w:tcW w:w="1687" w:type="dxa"/>
            <w:vAlign w:val="center"/>
          </w:tcPr>
          <w:p w14:paraId="71CA5F78" w14:textId="77777777" w:rsidR="007075D9" w:rsidRPr="004D46AC" w:rsidRDefault="007075D9" w:rsidP="00CE2F7A">
            <w:pPr>
              <w:spacing w:line="240" w:lineRule="auto"/>
              <w:ind w:firstLine="0"/>
              <w:rPr>
                <w:b/>
                <w:bCs/>
                <w:i/>
                <w:iCs/>
              </w:rPr>
            </w:pPr>
            <w:r w:rsidRPr="004D46AC">
              <w:rPr>
                <w:color w:val="000000"/>
              </w:rPr>
              <w:t xml:space="preserve">0.11 </w:t>
            </w:r>
          </w:p>
        </w:tc>
        <w:tc>
          <w:tcPr>
            <w:tcW w:w="1687" w:type="dxa"/>
            <w:vAlign w:val="center"/>
          </w:tcPr>
          <w:p w14:paraId="7BBD823D"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03A63E9"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4B179DF6"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699DAEDF" w14:textId="77777777" w:rsidTr="00B518F1">
        <w:tc>
          <w:tcPr>
            <w:tcW w:w="1434" w:type="dxa"/>
            <w:vAlign w:val="center"/>
          </w:tcPr>
          <w:p w14:paraId="6606544F" w14:textId="77777777" w:rsidR="007075D9" w:rsidRPr="004D46AC" w:rsidRDefault="007075D9" w:rsidP="00CE2F7A">
            <w:pPr>
              <w:spacing w:line="240" w:lineRule="auto"/>
              <w:ind w:firstLine="0"/>
              <w:rPr>
                <w:b/>
                <w:bCs/>
                <w:i/>
                <w:iCs/>
              </w:rPr>
            </w:pPr>
            <w:r w:rsidRPr="004D46AC">
              <w:rPr>
                <w:rFonts w:eastAsia="DengXian"/>
                <w:color w:val="000000"/>
              </w:rPr>
              <w:t>RC--N7</w:t>
            </w:r>
          </w:p>
        </w:tc>
        <w:tc>
          <w:tcPr>
            <w:tcW w:w="1687" w:type="dxa"/>
            <w:vAlign w:val="center"/>
          </w:tcPr>
          <w:p w14:paraId="1BDD5522"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1517CB8D"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CE89DAA"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12F55A80"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76D132F" w14:textId="77777777" w:rsidTr="00B518F1">
        <w:tc>
          <w:tcPr>
            <w:tcW w:w="1434" w:type="dxa"/>
            <w:vAlign w:val="center"/>
          </w:tcPr>
          <w:p w14:paraId="614AA110" w14:textId="77777777" w:rsidR="007075D9" w:rsidRPr="004D46AC" w:rsidRDefault="007075D9" w:rsidP="00CE2F7A">
            <w:pPr>
              <w:spacing w:line="240" w:lineRule="auto"/>
              <w:ind w:firstLine="0"/>
              <w:rPr>
                <w:b/>
                <w:bCs/>
                <w:i/>
                <w:iCs/>
              </w:rPr>
            </w:pPr>
            <w:r w:rsidRPr="004D46AC">
              <w:rPr>
                <w:rFonts w:eastAsia="DengXian"/>
                <w:color w:val="000000"/>
              </w:rPr>
              <w:t>P5--P6</w:t>
            </w:r>
          </w:p>
        </w:tc>
        <w:tc>
          <w:tcPr>
            <w:tcW w:w="1687" w:type="dxa"/>
            <w:vAlign w:val="center"/>
          </w:tcPr>
          <w:p w14:paraId="0711CCEA"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50EEE84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851B944"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723D5EDC"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7B25A5B9" w14:textId="77777777" w:rsidTr="00B518F1">
        <w:tc>
          <w:tcPr>
            <w:tcW w:w="1434" w:type="dxa"/>
            <w:vAlign w:val="center"/>
          </w:tcPr>
          <w:p w14:paraId="6E85D640" w14:textId="77777777" w:rsidR="007075D9" w:rsidRPr="004D46AC" w:rsidRDefault="007075D9" w:rsidP="00CE2F7A">
            <w:pPr>
              <w:spacing w:line="240" w:lineRule="auto"/>
              <w:ind w:firstLine="0"/>
              <w:rPr>
                <w:b/>
                <w:bCs/>
                <w:i/>
                <w:iCs/>
              </w:rPr>
            </w:pPr>
            <w:r w:rsidRPr="004D46AC">
              <w:rPr>
                <w:rFonts w:eastAsia="DengXian"/>
                <w:color w:val="000000"/>
              </w:rPr>
              <w:t>P6--N7</w:t>
            </w:r>
          </w:p>
        </w:tc>
        <w:tc>
          <w:tcPr>
            <w:tcW w:w="1687" w:type="dxa"/>
            <w:vAlign w:val="center"/>
          </w:tcPr>
          <w:p w14:paraId="1F794FD6"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0BF87E8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571A4327"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258F07A9"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28468787" w14:textId="77777777" w:rsidTr="00B518F1">
        <w:tc>
          <w:tcPr>
            <w:tcW w:w="1434" w:type="dxa"/>
            <w:vAlign w:val="center"/>
          </w:tcPr>
          <w:p w14:paraId="6E53A769" w14:textId="77777777" w:rsidR="007075D9" w:rsidRPr="004D46AC" w:rsidRDefault="007075D9" w:rsidP="00CE2F7A">
            <w:pPr>
              <w:spacing w:line="240" w:lineRule="auto"/>
              <w:ind w:firstLine="0"/>
              <w:rPr>
                <w:b/>
                <w:bCs/>
                <w:i/>
                <w:iCs/>
              </w:rPr>
            </w:pPr>
            <w:r w:rsidRPr="004D46AC">
              <w:rPr>
                <w:rFonts w:eastAsia="DengXian"/>
                <w:color w:val="000000"/>
              </w:rPr>
              <w:t>M2--M6</w:t>
            </w:r>
          </w:p>
        </w:tc>
        <w:tc>
          <w:tcPr>
            <w:tcW w:w="1687" w:type="dxa"/>
            <w:vAlign w:val="center"/>
          </w:tcPr>
          <w:p w14:paraId="1A4A5511"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30AE32A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5D9594E"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1E43C0C2"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08042052" w14:textId="77777777" w:rsidTr="00B518F1">
        <w:tc>
          <w:tcPr>
            <w:tcW w:w="1434" w:type="dxa"/>
            <w:vAlign w:val="center"/>
          </w:tcPr>
          <w:p w14:paraId="34CA1099" w14:textId="77777777" w:rsidR="007075D9" w:rsidRPr="004D46AC" w:rsidRDefault="007075D9" w:rsidP="00CE2F7A">
            <w:pPr>
              <w:spacing w:line="240" w:lineRule="auto"/>
              <w:ind w:firstLine="0"/>
              <w:rPr>
                <w:b/>
                <w:bCs/>
                <w:i/>
                <w:iCs/>
              </w:rPr>
            </w:pPr>
            <w:r w:rsidRPr="004D46AC">
              <w:rPr>
                <w:rFonts w:eastAsia="DengXian"/>
                <w:color w:val="000000"/>
              </w:rPr>
              <w:t>P4--ME</w:t>
            </w:r>
          </w:p>
        </w:tc>
        <w:tc>
          <w:tcPr>
            <w:tcW w:w="1687" w:type="dxa"/>
            <w:vAlign w:val="center"/>
          </w:tcPr>
          <w:p w14:paraId="46EB8D28"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55930D9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57E81A7"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6140A4EE"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35A5485E" w14:textId="77777777" w:rsidTr="00B518F1">
        <w:tc>
          <w:tcPr>
            <w:tcW w:w="1434" w:type="dxa"/>
            <w:vAlign w:val="center"/>
          </w:tcPr>
          <w:p w14:paraId="2158A5CF" w14:textId="77777777" w:rsidR="007075D9" w:rsidRPr="004D46AC" w:rsidRDefault="007075D9" w:rsidP="00CE2F7A">
            <w:pPr>
              <w:spacing w:line="240" w:lineRule="auto"/>
              <w:ind w:firstLine="0"/>
              <w:rPr>
                <w:b/>
                <w:bCs/>
                <w:i/>
                <w:iCs/>
              </w:rPr>
            </w:pPr>
            <w:r w:rsidRPr="004D46AC">
              <w:rPr>
                <w:rFonts w:eastAsia="DengXian"/>
                <w:color w:val="000000"/>
              </w:rPr>
              <w:t>P2--P4</w:t>
            </w:r>
          </w:p>
        </w:tc>
        <w:tc>
          <w:tcPr>
            <w:tcW w:w="1687" w:type="dxa"/>
            <w:vAlign w:val="center"/>
          </w:tcPr>
          <w:p w14:paraId="60DDBCA1" w14:textId="77777777" w:rsidR="007075D9" w:rsidRPr="004D46AC" w:rsidRDefault="007075D9" w:rsidP="00CE2F7A">
            <w:pPr>
              <w:spacing w:line="240" w:lineRule="auto"/>
              <w:ind w:firstLine="0"/>
              <w:rPr>
                <w:b/>
                <w:bCs/>
                <w:i/>
                <w:iCs/>
              </w:rPr>
            </w:pPr>
            <w:r w:rsidRPr="004D46AC">
              <w:rPr>
                <w:color w:val="000000"/>
              </w:rPr>
              <w:t xml:space="preserve">0.10 </w:t>
            </w:r>
          </w:p>
        </w:tc>
        <w:tc>
          <w:tcPr>
            <w:tcW w:w="1687" w:type="dxa"/>
            <w:vAlign w:val="center"/>
          </w:tcPr>
          <w:p w14:paraId="359A62CD"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ECD250A"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1F12F748"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222BB073" w14:textId="77777777" w:rsidTr="00B518F1">
        <w:tc>
          <w:tcPr>
            <w:tcW w:w="1434" w:type="dxa"/>
            <w:vAlign w:val="center"/>
          </w:tcPr>
          <w:p w14:paraId="20D6155E" w14:textId="77777777" w:rsidR="007075D9" w:rsidRPr="004D46AC" w:rsidRDefault="007075D9" w:rsidP="00CE2F7A">
            <w:pPr>
              <w:spacing w:line="240" w:lineRule="auto"/>
              <w:ind w:firstLine="0"/>
              <w:rPr>
                <w:b/>
                <w:bCs/>
                <w:i/>
                <w:iCs/>
              </w:rPr>
            </w:pPr>
            <w:r w:rsidRPr="004D46AC">
              <w:rPr>
                <w:rFonts w:eastAsia="DengXian"/>
                <w:color w:val="000000"/>
              </w:rPr>
              <w:t>M5--M8</w:t>
            </w:r>
          </w:p>
        </w:tc>
        <w:tc>
          <w:tcPr>
            <w:tcW w:w="1687" w:type="dxa"/>
            <w:vAlign w:val="center"/>
          </w:tcPr>
          <w:p w14:paraId="4FFE7B1C"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70C5B158"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B316471" w14:textId="77777777" w:rsidR="007075D9" w:rsidRPr="004D46AC" w:rsidRDefault="007075D9" w:rsidP="00CE2F7A">
            <w:pPr>
              <w:spacing w:line="240" w:lineRule="auto"/>
              <w:ind w:firstLine="0"/>
              <w:rPr>
                <w:b/>
                <w:bCs/>
                <w:i/>
                <w:iCs/>
              </w:rPr>
            </w:pPr>
            <w:r w:rsidRPr="004D46AC">
              <w:rPr>
                <w:color w:val="000000"/>
              </w:rPr>
              <w:t xml:space="preserve">0.17 </w:t>
            </w:r>
          </w:p>
        </w:tc>
        <w:tc>
          <w:tcPr>
            <w:tcW w:w="1443" w:type="dxa"/>
            <w:vAlign w:val="center"/>
          </w:tcPr>
          <w:p w14:paraId="60E73D68"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388D1A2A" w14:textId="77777777" w:rsidTr="00B518F1">
        <w:tc>
          <w:tcPr>
            <w:tcW w:w="1434" w:type="dxa"/>
            <w:vAlign w:val="center"/>
          </w:tcPr>
          <w:p w14:paraId="011CF450" w14:textId="77777777" w:rsidR="007075D9" w:rsidRPr="004D46AC" w:rsidRDefault="007075D9" w:rsidP="00CE2F7A">
            <w:pPr>
              <w:spacing w:line="240" w:lineRule="auto"/>
              <w:ind w:firstLine="0"/>
              <w:rPr>
                <w:b/>
                <w:bCs/>
                <w:i/>
                <w:iCs/>
              </w:rPr>
            </w:pPr>
            <w:r w:rsidRPr="004D46AC">
              <w:rPr>
                <w:rFonts w:eastAsia="DengXian"/>
                <w:color w:val="000000"/>
              </w:rPr>
              <w:t>P4--N7</w:t>
            </w:r>
          </w:p>
        </w:tc>
        <w:tc>
          <w:tcPr>
            <w:tcW w:w="1687" w:type="dxa"/>
            <w:vAlign w:val="center"/>
          </w:tcPr>
          <w:p w14:paraId="4ED54DF2"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681C0F2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77F7450"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0F9DECAB" w14:textId="77777777" w:rsidR="007075D9" w:rsidRPr="004D46AC" w:rsidRDefault="007075D9" w:rsidP="00CE2F7A">
            <w:pPr>
              <w:spacing w:line="240" w:lineRule="auto"/>
              <w:ind w:firstLine="0"/>
              <w:rPr>
                <w:b/>
                <w:bCs/>
                <w:i/>
                <w:iCs/>
              </w:rPr>
            </w:pPr>
            <w:r w:rsidRPr="004D46AC">
              <w:rPr>
                <w:color w:val="000000"/>
              </w:rPr>
              <w:t xml:space="preserve">0.00 </w:t>
            </w:r>
          </w:p>
        </w:tc>
      </w:tr>
      <w:tr w:rsidR="007075D9" w:rsidRPr="004D46AC" w14:paraId="1F30B3F8" w14:textId="77777777" w:rsidTr="00B518F1">
        <w:tc>
          <w:tcPr>
            <w:tcW w:w="1434" w:type="dxa"/>
            <w:vAlign w:val="center"/>
          </w:tcPr>
          <w:p w14:paraId="18318006" w14:textId="77777777" w:rsidR="007075D9" w:rsidRPr="004D46AC" w:rsidRDefault="007075D9" w:rsidP="00CE2F7A">
            <w:pPr>
              <w:spacing w:line="240" w:lineRule="auto"/>
              <w:ind w:firstLine="0"/>
              <w:rPr>
                <w:b/>
                <w:bCs/>
                <w:i/>
                <w:iCs/>
              </w:rPr>
            </w:pPr>
            <w:r w:rsidRPr="004D46AC">
              <w:rPr>
                <w:rFonts w:eastAsia="DengXian"/>
                <w:color w:val="000000"/>
              </w:rPr>
              <w:t>M2--M10</w:t>
            </w:r>
          </w:p>
        </w:tc>
        <w:tc>
          <w:tcPr>
            <w:tcW w:w="1687" w:type="dxa"/>
            <w:vAlign w:val="center"/>
          </w:tcPr>
          <w:p w14:paraId="3E091396" w14:textId="77777777" w:rsidR="007075D9" w:rsidRPr="004D46AC" w:rsidRDefault="007075D9" w:rsidP="00CE2F7A">
            <w:pPr>
              <w:spacing w:line="240" w:lineRule="auto"/>
              <w:ind w:firstLine="0"/>
              <w:rPr>
                <w:b/>
                <w:bCs/>
                <w:i/>
                <w:iCs/>
              </w:rPr>
            </w:pPr>
            <w:r w:rsidRPr="004D46AC">
              <w:rPr>
                <w:color w:val="000000"/>
              </w:rPr>
              <w:t xml:space="preserve">0.09 </w:t>
            </w:r>
          </w:p>
        </w:tc>
        <w:tc>
          <w:tcPr>
            <w:tcW w:w="1687" w:type="dxa"/>
            <w:vAlign w:val="center"/>
          </w:tcPr>
          <w:p w14:paraId="7D413E2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AFB38A3"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22B89B76"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5E3A1F3E" w14:textId="77777777" w:rsidTr="00B518F1">
        <w:tc>
          <w:tcPr>
            <w:tcW w:w="1434" w:type="dxa"/>
            <w:vAlign w:val="center"/>
          </w:tcPr>
          <w:p w14:paraId="2A74EA1E" w14:textId="77777777" w:rsidR="007075D9" w:rsidRPr="004D46AC" w:rsidRDefault="007075D9" w:rsidP="00CE2F7A">
            <w:pPr>
              <w:spacing w:line="240" w:lineRule="auto"/>
              <w:ind w:firstLine="0"/>
              <w:rPr>
                <w:b/>
                <w:bCs/>
                <w:i/>
                <w:iCs/>
              </w:rPr>
            </w:pPr>
            <w:r w:rsidRPr="004D46AC">
              <w:rPr>
                <w:rFonts w:eastAsia="DengXian"/>
                <w:color w:val="000000"/>
              </w:rPr>
              <w:t>P2--P6</w:t>
            </w:r>
          </w:p>
        </w:tc>
        <w:tc>
          <w:tcPr>
            <w:tcW w:w="1687" w:type="dxa"/>
            <w:vAlign w:val="center"/>
          </w:tcPr>
          <w:p w14:paraId="62463D24"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3BA4696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D6CF175"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4777E933"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793BF426" w14:textId="77777777" w:rsidTr="00B518F1">
        <w:tc>
          <w:tcPr>
            <w:tcW w:w="1434" w:type="dxa"/>
            <w:vAlign w:val="center"/>
          </w:tcPr>
          <w:p w14:paraId="76CD85EE" w14:textId="77777777" w:rsidR="007075D9" w:rsidRPr="004D46AC" w:rsidRDefault="007075D9" w:rsidP="00CE2F7A">
            <w:pPr>
              <w:spacing w:line="240" w:lineRule="auto"/>
              <w:ind w:firstLine="0"/>
              <w:rPr>
                <w:b/>
                <w:bCs/>
                <w:i/>
                <w:iCs/>
              </w:rPr>
            </w:pPr>
            <w:r w:rsidRPr="004D46AC">
              <w:rPr>
                <w:rFonts w:eastAsia="DengXian"/>
                <w:color w:val="000000"/>
              </w:rPr>
              <w:t>P5--Y11</w:t>
            </w:r>
          </w:p>
        </w:tc>
        <w:tc>
          <w:tcPr>
            <w:tcW w:w="1687" w:type="dxa"/>
            <w:vAlign w:val="center"/>
          </w:tcPr>
          <w:p w14:paraId="4597F7B1"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7206216E"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03D7AE2" w14:textId="77777777" w:rsidR="007075D9" w:rsidRPr="004D46AC" w:rsidRDefault="007075D9" w:rsidP="00CE2F7A">
            <w:pPr>
              <w:spacing w:line="240" w:lineRule="auto"/>
              <w:ind w:firstLine="0"/>
              <w:rPr>
                <w:b/>
                <w:bCs/>
                <w:i/>
                <w:iCs/>
              </w:rPr>
            </w:pPr>
            <w:r w:rsidRPr="004D46AC">
              <w:rPr>
                <w:color w:val="000000"/>
              </w:rPr>
              <w:t xml:space="preserve">0.16 </w:t>
            </w:r>
          </w:p>
        </w:tc>
        <w:tc>
          <w:tcPr>
            <w:tcW w:w="1443" w:type="dxa"/>
            <w:vAlign w:val="center"/>
          </w:tcPr>
          <w:p w14:paraId="01A02F1C"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56D7CD17" w14:textId="77777777" w:rsidTr="00B518F1">
        <w:tc>
          <w:tcPr>
            <w:tcW w:w="1434" w:type="dxa"/>
            <w:vAlign w:val="center"/>
          </w:tcPr>
          <w:p w14:paraId="0C1251BE" w14:textId="77777777" w:rsidR="007075D9" w:rsidRPr="004D46AC" w:rsidRDefault="007075D9" w:rsidP="00CE2F7A">
            <w:pPr>
              <w:spacing w:line="240" w:lineRule="auto"/>
              <w:ind w:firstLine="0"/>
              <w:rPr>
                <w:b/>
                <w:bCs/>
                <w:i/>
                <w:iCs/>
              </w:rPr>
            </w:pPr>
            <w:r w:rsidRPr="004D46AC">
              <w:rPr>
                <w:rFonts w:eastAsia="DengXian"/>
                <w:color w:val="000000"/>
              </w:rPr>
              <w:t>WD--N7</w:t>
            </w:r>
          </w:p>
        </w:tc>
        <w:tc>
          <w:tcPr>
            <w:tcW w:w="1687" w:type="dxa"/>
            <w:vAlign w:val="center"/>
          </w:tcPr>
          <w:p w14:paraId="35D68F4F"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0344A6C4"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BBE513E"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4F3F9F87"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0B0CA714" w14:textId="77777777" w:rsidTr="00B518F1">
        <w:tc>
          <w:tcPr>
            <w:tcW w:w="1434" w:type="dxa"/>
            <w:vAlign w:val="center"/>
          </w:tcPr>
          <w:p w14:paraId="2FE3DD66" w14:textId="77777777" w:rsidR="007075D9" w:rsidRPr="004D46AC" w:rsidRDefault="007075D9" w:rsidP="00CE2F7A">
            <w:pPr>
              <w:spacing w:line="240" w:lineRule="auto"/>
              <w:ind w:firstLine="0"/>
              <w:rPr>
                <w:b/>
                <w:bCs/>
                <w:i/>
                <w:iCs/>
              </w:rPr>
            </w:pPr>
            <w:r w:rsidRPr="004D46AC">
              <w:rPr>
                <w:rFonts w:eastAsia="DengXian"/>
                <w:color w:val="000000"/>
              </w:rPr>
              <w:t>IA--SP</w:t>
            </w:r>
          </w:p>
        </w:tc>
        <w:tc>
          <w:tcPr>
            <w:tcW w:w="1687" w:type="dxa"/>
            <w:vAlign w:val="center"/>
          </w:tcPr>
          <w:p w14:paraId="53B15710" w14:textId="77777777" w:rsidR="007075D9" w:rsidRPr="004D46AC" w:rsidRDefault="007075D9" w:rsidP="00CE2F7A">
            <w:pPr>
              <w:spacing w:line="240" w:lineRule="auto"/>
              <w:ind w:firstLine="0"/>
              <w:rPr>
                <w:b/>
                <w:bCs/>
                <w:i/>
                <w:iCs/>
              </w:rPr>
            </w:pPr>
            <w:r w:rsidRPr="004D46AC">
              <w:rPr>
                <w:color w:val="000000"/>
              </w:rPr>
              <w:t xml:space="preserve">0.08 </w:t>
            </w:r>
          </w:p>
        </w:tc>
        <w:tc>
          <w:tcPr>
            <w:tcW w:w="1687" w:type="dxa"/>
            <w:vAlign w:val="center"/>
          </w:tcPr>
          <w:p w14:paraId="5565E5D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12E5712" w14:textId="77777777" w:rsidR="007075D9" w:rsidRPr="004D46AC" w:rsidRDefault="007075D9" w:rsidP="00CE2F7A">
            <w:pPr>
              <w:spacing w:line="240" w:lineRule="auto"/>
              <w:ind w:firstLine="0"/>
              <w:rPr>
                <w:b/>
                <w:bCs/>
                <w:i/>
                <w:iCs/>
              </w:rPr>
            </w:pPr>
            <w:r w:rsidRPr="004D46AC">
              <w:rPr>
                <w:color w:val="000000"/>
              </w:rPr>
              <w:t xml:space="preserve">0.15 </w:t>
            </w:r>
          </w:p>
        </w:tc>
        <w:tc>
          <w:tcPr>
            <w:tcW w:w="1443" w:type="dxa"/>
            <w:vAlign w:val="center"/>
          </w:tcPr>
          <w:p w14:paraId="29CF26B5"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4E549342" w14:textId="77777777" w:rsidTr="00B518F1">
        <w:tc>
          <w:tcPr>
            <w:tcW w:w="1434" w:type="dxa"/>
            <w:vAlign w:val="center"/>
          </w:tcPr>
          <w:p w14:paraId="7F725C04" w14:textId="77777777" w:rsidR="007075D9" w:rsidRPr="004D46AC" w:rsidRDefault="007075D9" w:rsidP="00CE2F7A">
            <w:pPr>
              <w:spacing w:line="240" w:lineRule="auto"/>
              <w:ind w:firstLine="0"/>
              <w:rPr>
                <w:b/>
                <w:bCs/>
                <w:i/>
                <w:iCs/>
              </w:rPr>
            </w:pPr>
            <w:r w:rsidRPr="004D46AC">
              <w:rPr>
                <w:rFonts w:eastAsia="DengXian"/>
                <w:color w:val="000000"/>
              </w:rPr>
              <w:t>IA--M9</w:t>
            </w:r>
          </w:p>
        </w:tc>
        <w:tc>
          <w:tcPr>
            <w:tcW w:w="1687" w:type="dxa"/>
            <w:vAlign w:val="center"/>
          </w:tcPr>
          <w:p w14:paraId="6140F6AB"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1443E9A5"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C672B86"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6CFD5937"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5E74A1C0" w14:textId="77777777" w:rsidTr="00B518F1">
        <w:tc>
          <w:tcPr>
            <w:tcW w:w="1434" w:type="dxa"/>
            <w:vAlign w:val="center"/>
          </w:tcPr>
          <w:p w14:paraId="1DA2239F" w14:textId="77777777" w:rsidR="007075D9" w:rsidRPr="004D46AC" w:rsidRDefault="007075D9" w:rsidP="00CE2F7A">
            <w:pPr>
              <w:spacing w:line="240" w:lineRule="auto"/>
              <w:ind w:firstLine="0"/>
              <w:rPr>
                <w:b/>
                <w:bCs/>
                <w:i/>
                <w:iCs/>
              </w:rPr>
            </w:pPr>
            <w:r w:rsidRPr="004D46AC">
              <w:rPr>
                <w:rFonts w:eastAsia="DengXian"/>
                <w:color w:val="000000"/>
              </w:rPr>
              <w:t>P3--M6</w:t>
            </w:r>
          </w:p>
        </w:tc>
        <w:tc>
          <w:tcPr>
            <w:tcW w:w="1687" w:type="dxa"/>
            <w:vAlign w:val="center"/>
          </w:tcPr>
          <w:p w14:paraId="703D39AA"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77DA23B8"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6993884"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3F19DE5E"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233E1634" w14:textId="77777777" w:rsidTr="00B518F1">
        <w:tc>
          <w:tcPr>
            <w:tcW w:w="1434" w:type="dxa"/>
            <w:vAlign w:val="center"/>
          </w:tcPr>
          <w:p w14:paraId="3B6E2847" w14:textId="77777777" w:rsidR="007075D9" w:rsidRPr="004D46AC" w:rsidRDefault="007075D9" w:rsidP="00CE2F7A">
            <w:pPr>
              <w:spacing w:line="240" w:lineRule="auto"/>
              <w:ind w:firstLine="0"/>
              <w:rPr>
                <w:b/>
                <w:bCs/>
                <w:i/>
                <w:iCs/>
              </w:rPr>
            </w:pPr>
            <w:r w:rsidRPr="004D46AC">
              <w:rPr>
                <w:rFonts w:eastAsia="DengXian"/>
                <w:color w:val="000000"/>
              </w:rPr>
              <w:t>P5--Y7</w:t>
            </w:r>
          </w:p>
        </w:tc>
        <w:tc>
          <w:tcPr>
            <w:tcW w:w="1687" w:type="dxa"/>
            <w:vAlign w:val="center"/>
          </w:tcPr>
          <w:p w14:paraId="0C0C0A5B"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44F60160"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2C9FA22F"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031DA48B"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522C61E1" w14:textId="77777777" w:rsidTr="00B518F1">
        <w:tc>
          <w:tcPr>
            <w:tcW w:w="1434" w:type="dxa"/>
            <w:vAlign w:val="center"/>
          </w:tcPr>
          <w:p w14:paraId="1FE69B17" w14:textId="77777777" w:rsidR="007075D9" w:rsidRPr="004D46AC" w:rsidRDefault="007075D9" w:rsidP="00CE2F7A">
            <w:pPr>
              <w:spacing w:line="240" w:lineRule="auto"/>
              <w:ind w:firstLine="0"/>
              <w:rPr>
                <w:b/>
                <w:bCs/>
                <w:i/>
                <w:iCs/>
              </w:rPr>
            </w:pPr>
            <w:r w:rsidRPr="004D46AC">
              <w:rPr>
                <w:rFonts w:eastAsia="DengXian"/>
                <w:color w:val="000000"/>
              </w:rPr>
              <w:t>M3--M10</w:t>
            </w:r>
          </w:p>
        </w:tc>
        <w:tc>
          <w:tcPr>
            <w:tcW w:w="1687" w:type="dxa"/>
            <w:vAlign w:val="center"/>
          </w:tcPr>
          <w:p w14:paraId="6CD895CC"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4BF7A826"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6FA8927"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046C84B9" w14:textId="77777777" w:rsidR="007075D9" w:rsidRPr="004D46AC" w:rsidRDefault="007075D9" w:rsidP="00CE2F7A">
            <w:pPr>
              <w:spacing w:line="240" w:lineRule="auto"/>
              <w:ind w:firstLine="0"/>
              <w:rPr>
                <w:b/>
                <w:bCs/>
                <w:i/>
                <w:iCs/>
              </w:rPr>
            </w:pPr>
            <w:r w:rsidRPr="004D46AC">
              <w:rPr>
                <w:color w:val="000000"/>
              </w:rPr>
              <w:t xml:space="preserve">0.01 </w:t>
            </w:r>
          </w:p>
        </w:tc>
      </w:tr>
      <w:tr w:rsidR="007075D9" w:rsidRPr="004D46AC" w14:paraId="20EDABCF" w14:textId="77777777" w:rsidTr="00B518F1">
        <w:tc>
          <w:tcPr>
            <w:tcW w:w="1434" w:type="dxa"/>
            <w:vAlign w:val="center"/>
          </w:tcPr>
          <w:p w14:paraId="0BB3E92E" w14:textId="77777777" w:rsidR="007075D9" w:rsidRPr="004D46AC" w:rsidRDefault="007075D9" w:rsidP="00CE2F7A">
            <w:pPr>
              <w:spacing w:line="240" w:lineRule="auto"/>
              <w:ind w:firstLine="0"/>
              <w:rPr>
                <w:b/>
                <w:bCs/>
                <w:i/>
                <w:iCs/>
              </w:rPr>
            </w:pPr>
            <w:r w:rsidRPr="004D46AC">
              <w:rPr>
                <w:rFonts w:eastAsia="DengXian"/>
                <w:color w:val="000000"/>
              </w:rPr>
              <w:t>M2--SP</w:t>
            </w:r>
          </w:p>
        </w:tc>
        <w:tc>
          <w:tcPr>
            <w:tcW w:w="1687" w:type="dxa"/>
            <w:vAlign w:val="center"/>
          </w:tcPr>
          <w:p w14:paraId="10054788"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3595DA43"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0E31C79"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33C82985"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2E0BEE5F" w14:textId="77777777" w:rsidTr="00B518F1">
        <w:tc>
          <w:tcPr>
            <w:tcW w:w="1434" w:type="dxa"/>
            <w:vAlign w:val="center"/>
          </w:tcPr>
          <w:p w14:paraId="58E4EB88" w14:textId="77777777" w:rsidR="007075D9" w:rsidRPr="004D46AC" w:rsidRDefault="007075D9" w:rsidP="00CE2F7A">
            <w:pPr>
              <w:spacing w:line="240" w:lineRule="auto"/>
              <w:ind w:firstLine="0"/>
              <w:rPr>
                <w:b/>
                <w:bCs/>
                <w:i/>
                <w:iCs/>
              </w:rPr>
            </w:pPr>
            <w:r w:rsidRPr="004D46AC">
              <w:rPr>
                <w:rFonts w:eastAsia="DengXian"/>
                <w:color w:val="000000"/>
              </w:rPr>
              <w:lastRenderedPageBreak/>
              <w:t>P3--M3</w:t>
            </w:r>
          </w:p>
        </w:tc>
        <w:tc>
          <w:tcPr>
            <w:tcW w:w="1687" w:type="dxa"/>
            <w:vAlign w:val="center"/>
          </w:tcPr>
          <w:p w14:paraId="612C973F" w14:textId="77777777" w:rsidR="007075D9" w:rsidRPr="004D46AC" w:rsidRDefault="007075D9" w:rsidP="00CE2F7A">
            <w:pPr>
              <w:spacing w:line="240" w:lineRule="auto"/>
              <w:ind w:firstLine="0"/>
              <w:rPr>
                <w:b/>
                <w:bCs/>
                <w:i/>
                <w:iCs/>
              </w:rPr>
            </w:pPr>
            <w:r w:rsidRPr="004D46AC">
              <w:rPr>
                <w:color w:val="000000"/>
              </w:rPr>
              <w:t xml:space="preserve">0.07 </w:t>
            </w:r>
          </w:p>
        </w:tc>
        <w:tc>
          <w:tcPr>
            <w:tcW w:w="1687" w:type="dxa"/>
            <w:vAlign w:val="center"/>
          </w:tcPr>
          <w:p w14:paraId="06B339BC"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24BA9FB7"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268DEEB9"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102CEBBB" w14:textId="77777777" w:rsidTr="00B518F1">
        <w:tc>
          <w:tcPr>
            <w:tcW w:w="1434" w:type="dxa"/>
            <w:vAlign w:val="center"/>
          </w:tcPr>
          <w:p w14:paraId="1AC49113" w14:textId="77777777" w:rsidR="007075D9" w:rsidRPr="004D46AC" w:rsidRDefault="007075D9" w:rsidP="00CE2F7A">
            <w:pPr>
              <w:spacing w:line="240" w:lineRule="auto"/>
              <w:ind w:firstLine="0"/>
              <w:rPr>
                <w:b/>
                <w:bCs/>
                <w:i/>
                <w:iCs/>
              </w:rPr>
            </w:pPr>
            <w:r w:rsidRPr="004D46AC">
              <w:rPr>
                <w:rFonts w:eastAsia="DengXian"/>
                <w:color w:val="000000"/>
              </w:rPr>
              <w:t>P4--Y6</w:t>
            </w:r>
          </w:p>
        </w:tc>
        <w:tc>
          <w:tcPr>
            <w:tcW w:w="1687" w:type="dxa"/>
            <w:vAlign w:val="center"/>
          </w:tcPr>
          <w:p w14:paraId="01FE4239"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123F40A7"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FA00623" w14:textId="77777777" w:rsidR="007075D9" w:rsidRPr="004D46AC" w:rsidRDefault="007075D9" w:rsidP="00CE2F7A">
            <w:pPr>
              <w:spacing w:line="240" w:lineRule="auto"/>
              <w:ind w:firstLine="0"/>
              <w:rPr>
                <w:b/>
                <w:bCs/>
                <w:i/>
                <w:iCs/>
              </w:rPr>
            </w:pPr>
            <w:r w:rsidRPr="004D46AC">
              <w:rPr>
                <w:color w:val="000000"/>
              </w:rPr>
              <w:t xml:space="preserve">0.14 </w:t>
            </w:r>
          </w:p>
        </w:tc>
        <w:tc>
          <w:tcPr>
            <w:tcW w:w="1443" w:type="dxa"/>
            <w:vAlign w:val="center"/>
          </w:tcPr>
          <w:p w14:paraId="5918316C"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7C6F4CD0" w14:textId="77777777" w:rsidTr="00B518F1">
        <w:tc>
          <w:tcPr>
            <w:tcW w:w="1434" w:type="dxa"/>
            <w:vAlign w:val="center"/>
          </w:tcPr>
          <w:p w14:paraId="265C2333" w14:textId="77777777" w:rsidR="007075D9" w:rsidRPr="004D46AC" w:rsidRDefault="007075D9" w:rsidP="00CE2F7A">
            <w:pPr>
              <w:spacing w:line="240" w:lineRule="auto"/>
              <w:ind w:firstLine="0"/>
              <w:rPr>
                <w:b/>
                <w:bCs/>
                <w:i/>
                <w:iCs/>
              </w:rPr>
            </w:pPr>
            <w:r w:rsidRPr="004D46AC">
              <w:rPr>
                <w:rFonts w:eastAsia="DengXian"/>
                <w:color w:val="000000"/>
              </w:rPr>
              <w:t>N1--N5</w:t>
            </w:r>
          </w:p>
        </w:tc>
        <w:tc>
          <w:tcPr>
            <w:tcW w:w="1687" w:type="dxa"/>
            <w:vAlign w:val="center"/>
          </w:tcPr>
          <w:p w14:paraId="37BF3332"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3D1BCC92"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6E83DAD9"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536FA08E" w14:textId="77777777" w:rsidR="007075D9" w:rsidRPr="004D46AC" w:rsidRDefault="007075D9" w:rsidP="00CE2F7A">
            <w:pPr>
              <w:spacing w:line="240" w:lineRule="auto"/>
              <w:ind w:firstLine="0"/>
              <w:rPr>
                <w:b/>
                <w:bCs/>
                <w:i/>
                <w:iCs/>
              </w:rPr>
            </w:pPr>
            <w:r w:rsidRPr="004D46AC">
              <w:rPr>
                <w:color w:val="000000"/>
              </w:rPr>
              <w:t xml:space="preserve">0.02 </w:t>
            </w:r>
          </w:p>
        </w:tc>
      </w:tr>
      <w:tr w:rsidR="007075D9" w:rsidRPr="004D46AC" w14:paraId="330DC21B" w14:textId="77777777" w:rsidTr="00B518F1">
        <w:tc>
          <w:tcPr>
            <w:tcW w:w="1434" w:type="dxa"/>
            <w:vAlign w:val="center"/>
          </w:tcPr>
          <w:p w14:paraId="54E2B09C" w14:textId="77777777" w:rsidR="007075D9" w:rsidRPr="004D46AC" w:rsidRDefault="007075D9" w:rsidP="00CE2F7A">
            <w:pPr>
              <w:spacing w:line="240" w:lineRule="auto"/>
              <w:ind w:firstLine="0"/>
              <w:rPr>
                <w:b/>
                <w:bCs/>
                <w:i/>
                <w:iCs/>
              </w:rPr>
            </w:pPr>
            <w:r w:rsidRPr="004D46AC">
              <w:rPr>
                <w:rFonts w:eastAsia="DengXian"/>
                <w:color w:val="000000"/>
              </w:rPr>
              <w:t>P6--M2</w:t>
            </w:r>
          </w:p>
        </w:tc>
        <w:tc>
          <w:tcPr>
            <w:tcW w:w="1687" w:type="dxa"/>
            <w:vAlign w:val="center"/>
          </w:tcPr>
          <w:p w14:paraId="179E43FD"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2DA3094B"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62A8478E"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6CCDED19" w14:textId="77777777" w:rsidR="007075D9" w:rsidRPr="004D46AC" w:rsidRDefault="007075D9" w:rsidP="00CE2F7A">
            <w:pPr>
              <w:spacing w:line="240" w:lineRule="auto"/>
              <w:ind w:firstLine="0"/>
              <w:rPr>
                <w:b/>
                <w:bCs/>
                <w:i/>
                <w:iCs/>
              </w:rPr>
            </w:pPr>
            <w:r w:rsidRPr="004D46AC">
              <w:rPr>
                <w:color w:val="000000"/>
              </w:rPr>
              <w:t xml:space="preserve">0.03 </w:t>
            </w:r>
          </w:p>
        </w:tc>
      </w:tr>
      <w:tr w:rsidR="007075D9" w:rsidRPr="004D46AC" w14:paraId="5886D652" w14:textId="77777777" w:rsidTr="00B518F1">
        <w:tc>
          <w:tcPr>
            <w:tcW w:w="1434" w:type="dxa"/>
            <w:vAlign w:val="center"/>
          </w:tcPr>
          <w:p w14:paraId="31DC608C" w14:textId="77777777" w:rsidR="007075D9" w:rsidRPr="004D46AC" w:rsidRDefault="007075D9" w:rsidP="00CE2F7A">
            <w:pPr>
              <w:spacing w:line="240" w:lineRule="auto"/>
              <w:ind w:firstLine="0"/>
              <w:rPr>
                <w:b/>
                <w:bCs/>
                <w:i/>
                <w:iCs/>
              </w:rPr>
            </w:pPr>
            <w:r w:rsidRPr="004D46AC">
              <w:rPr>
                <w:rFonts w:eastAsia="DengXian"/>
                <w:color w:val="000000"/>
              </w:rPr>
              <w:t>P4--Y7</w:t>
            </w:r>
          </w:p>
        </w:tc>
        <w:tc>
          <w:tcPr>
            <w:tcW w:w="1687" w:type="dxa"/>
            <w:vAlign w:val="center"/>
          </w:tcPr>
          <w:p w14:paraId="6E70B36C"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74A02AE5"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F9A8C5A"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27072799"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2CAEFADF" w14:textId="77777777" w:rsidTr="00B518F1">
        <w:tc>
          <w:tcPr>
            <w:tcW w:w="1434" w:type="dxa"/>
            <w:vAlign w:val="center"/>
          </w:tcPr>
          <w:p w14:paraId="47D8FB67" w14:textId="77777777" w:rsidR="007075D9" w:rsidRPr="004D46AC" w:rsidRDefault="007075D9" w:rsidP="00CE2F7A">
            <w:pPr>
              <w:spacing w:line="240" w:lineRule="auto"/>
              <w:ind w:firstLine="0"/>
              <w:rPr>
                <w:b/>
                <w:bCs/>
                <w:i/>
                <w:iCs/>
              </w:rPr>
            </w:pPr>
            <w:r w:rsidRPr="004D46AC">
              <w:rPr>
                <w:rFonts w:eastAsia="DengXian"/>
                <w:color w:val="000000"/>
              </w:rPr>
              <w:t>M2--M3</w:t>
            </w:r>
          </w:p>
        </w:tc>
        <w:tc>
          <w:tcPr>
            <w:tcW w:w="1687" w:type="dxa"/>
            <w:vAlign w:val="center"/>
          </w:tcPr>
          <w:p w14:paraId="6A3182AB"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086EDBA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FEE3180" w14:textId="77777777" w:rsidR="007075D9" w:rsidRPr="004D46AC" w:rsidRDefault="007075D9" w:rsidP="00CE2F7A">
            <w:pPr>
              <w:spacing w:line="240" w:lineRule="auto"/>
              <w:ind w:firstLine="0"/>
              <w:rPr>
                <w:b/>
                <w:bCs/>
                <w:i/>
                <w:iCs/>
              </w:rPr>
            </w:pPr>
            <w:r w:rsidRPr="004D46AC">
              <w:rPr>
                <w:color w:val="000000"/>
              </w:rPr>
              <w:t xml:space="preserve">0.13 </w:t>
            </w:r>
          </w:p>
        </w:tc>
        <w:tc>
          <w:tcPr>
            <w:tcW w:w="1443" w:type="dxa"/>
            <w:vAlign w:val="center"/>
          </w:tcPr>
          <w:p w14:paraId="0FEDB114" w14:textId="77777777" w:rsidR="007075D9" w:rsidRPr="004D46AC" w:rsidRDefault="007075D9" w:rsidP="00CE2F7A">
            <w:pPr>
              <w:spacing w:line="240" w:lineRule="auto"/>
              <w:ind w:firstLine="0"/>
              <w:rPr>
                <w:b/>
                <w:bCs/>
                <w:i/>
                <w:iCs/>
              </w:rPr>
            </w:pPr>
            <w:r w:rsidRPr="004D46AC">
              <w:rPr>
                <w:color w:val="000000"/>
              </w:rPr>
              <w:t xml:space="preserve">0.05 </w:t>
            </w:r>
          </w:p>
        </w:tc>
      </w:tr>
      <w:tr w:rsidR="007075D9" w:rsidRPr="004D46AC" w14:paraId="3E2597D6" w14:textId="77777777" w:rsidTr="00B518F1">
        <w:tc>
          <w:tcPr>
            <w:tcW w:w="1434" w:type="dxa"/>
            <w:vAlign w:val="center"/>
          </w:tcPr>
          <w:p w14:paraId="4FDB161A" w14:textId="77777777" w:rsidR="007075D9" w:rsidRPr="004D46AC" w:rsidRDefault="007075D9" w:rsidP="00CE2F7A">
            <w:pPr>
              <w:spacing w:line="240" w:lineRule="auto"/>
              <w:ind w:firstLine="0"/>
              <w:rPr>
                <w:b/>
                <w:bCs/>
                <w:i/>
                <w:iCs/>
              </w:rPr>
            </w:pPr>
            <w:r w:rsidRPr="004D46AC">
              <w:rPr>
                <w:rFonts w:eastAsia="DengXian"/>
                <w:color w:val="000000"/>
              </w:rPr>
              <w:t>WD--M2</w:t>
            </w:r>
          </w:p>
        </w:tc>
        <w:tc>
          <w:tcPr>
            <w:tcW w:w="1687" w:type="dxa"/>
            <w:vAlign w:val="center"/>
          </w:tcPr>
          <w:p w14:paraId="22EBBC2A"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489E4D22"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C01DBD4"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6E5B42FB"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7DD104BE" w14:textId="77777777" w:rsidTr="00B518F1">
        <w:tc>
          <w:tcPr>
            <w:tcW w:w="1434" w:type="dxa"/>
            <w:vAlign w:val="center"/>
          </w:tcPr>
          <w:p w14:paraId="433EC1F0" w14:textId="77777777" w:rsidR="007075D9" w:rsidRPr="004D46AC" w:rsidRDefault="007075D9" w:rsidP="00CE2F7A">
            <w:pPr>
              <w:spacing w:line="240" w:lineRule="auto"/>
              <w:ind w:firstLine="0"/>
              <w:rPr>
                <w:b/>
                <w:bCs/>
                <w:i/>
                <w:iCs/>
              </w:rPr>
            </w:pPr>
            <w:r w:rsidRPr="004D46AC">
              <w:rPr>
                <w:rFonts w:eastAsia="DengXian"/>
                <w:color w:val="000000"/>
              </w:rPr>
              <w:t>P5--ME</w:t>
            </w:r>
          </w:p>
        </w:tc>
        <w:tc>
          <w:tcPr>
            <w:tcW w:w="1687" w:type="dxa"/>
            <w:vAlign w:val="center"/>
          </w:tcPr>
          <w:p w14:paraId="59A2DBD1" w14:textId="77777777" w:rsidR="007075D9" w:rsidRPr="004D46AC" w:rsidRDefault="007075D9" w:rsidP="00CE2F7A">
            <w:pPr>
              <w:spacing w:line="240" w:lineRule="auto"/>
              <w:ind w:firstLine="0"/>
              <w:rPr>
                <w:b/>
                <w:bCs/>
                <w:i/>
                <w:iCs/>
              </w:rPr>
            </w:pPr>
            <w:r w:rsidRPr="004D46AC">
              <w:rPr>
                <w:color w:val="000000"/>
              </w:rPr>
              <w:t xml:space="preserve">0.06 </w:t>
            </w:r>
          </w:p>
        </w:tc>
        <w:tc>
          <w:tcPr>
            <w:tcW w:w="1687" w:type="dxa"/>
            <w:vAlign w:val="center"/>
          </w:tcPr>
          <w:p w14:paraId="57D7D3A4"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DDF17F1"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42A63877" w14:textId="77777777" w:rsidR="007075D9" w:rsidRPr="004D46AC" w:rsidRDefault="007075D9" w:rsidP="00CE2F7A">
            <w:pPr>
              <w:spacing w:line="240" w:lineRule="auto"/>
              <w:ind w:firstLine="0"/>
              <w:rPr>
                <w:b/>
                <w:bCs/>
                <w:i/>
                <w:iCs/>
              </w:rPr>
            </w:pPr>
            <w:r w:rsidRPr="004D46AC">
              <w:rPr>
                <w:color w:val="000000"/>
              </w:rPr>
              <w:t xml:space="preserve">0.04 </w:t>
            </w:r>
          </w:p>
        </w:tc>
      </w:tr>
      <w:tr w:rsidR="007075D9" w:rsidRPr="004D46AC" w14:paraId="6E72EB95" w14:textId="77777777" w:rsidTr="00B518F1">
        <w:tc>
          <w:tcPr>
            <w:tcW w:w="1434" w:type="dxa"/>
            <w:vAlign w:val="center"/>
          </w:tcPr>
          <w:p w14:paraId="56AFF338" w14:textId="77777777" w:rsidR="007075D9" w:rsidRPr="004D46AC" w:rsidRDefault="007075D9" w:rsidP="00CE2F7A">
            <w:pPr>
              <w:spacing w:line="240" w:lineRule="auto"/>
              <w:ind w:firstLine="0"/>
              <w:rPr>
                <w:b/>
                <w:bCs/>
                <w:i/>
                <w:iCs/>
              </w:rPr>
            </w:pPr>
            <w:r w:rsidRPr="004D46AC">
              <w:rPr>
                <w:rFonts w:eastAsia="DengXian"/>
                <w:color w:val="000000"/>
              </w:rPr>
              <w:t>IA--Y6</w:t>
            </w:r>
          </w:p>
        </w:tc>
        <w:tc>
          <w:tcPr>
            <w:tcW w:w="1687" w:type="dxa"/>
            <w:vAlign w:val="center"/>
          </w:tcPr>
          <w:p w14:paraId="37129179"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5E639889"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DDFA7D9"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7836EEC5"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207BA766" w14:textId="77777777" w:rsidTr="00B518F1">
        <w:tc>
          <w:tcPr>
            <w:tcW w:w="1434" w:type="dxa"/>
            <w:vAlign w:val="center"/>
          </w:tcPr>
          <w:p w14:paraId="49C4A23F" w14:textId="77777777" w:rsidR="007075D9" w:rsidRPr="004D46AC" w:rsidRDefault="007075D9" w:rsidP="00CE2F7A">
            <w:pPr>
              <w:spacing w:line="240" w:lineRule="auto"/>
              <w:ind w:firstLine="0"/>
              <w:rPr>
                <w:b/>
                <w:bCs/>
                <w:i/>
                <w:iCs/>
              </w:rPr>
            </w:pPr>
            <w:r w:rsidRPr="004D46AC">
              <w:rPr>
                <w:rFonts w:eastAsia="DengXian"/>
                <w:color w:val="000000"/>
              </w:rPr>
              <w:t>IA--M5</w:t>
            </w:r>
          </w:p>
        </w:tc>
        <w:tc>
          <w:tcPr>
            <w:tcW w:w="1687" w:type="dxa"/>
            <w:vAlign w:val="center"/>
          </w:tcPr>
          <w:p w14:paraId="1791331D"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862AC6A"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C7D1FEC"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273E6A2A"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7B6CC696" w14:textId="77777777" w:rsidTr="00B518F1">
        <w:tc>
          <w:tcPr>
            <w:tcW w:w="1434" w:type="dxa"/>
            <w:vAlign w:val="center"/>
          </w:tcPr>
          <w:p w14:paraId="42D1BB3D" w14:textId="77777777" w:rsidR="007075D9" w:rsidRPr="004D46AC" w:rsidRDefault="007075D9" w:rsidP="00CE2F7A">
            <w:pPr>
              <w:spacing w:line="240" w:lineRule="auto"/>
              <w:ind w:firstLine="0"/>
              <w:rPr>
                <w:b/>
                <w:bCs/>
                <w:i/>
                <w:iCs/>
              </w:rPr>
            </w:pPr>
            <w:r w:rsidRPr="004D46AC">
              <w:rPr>
                <w:rFonts w:eastAsia="DengXian"/>
                <w:color w:val="000000"/>
              </w:rPr>
              <w:t>Y7--Y11</w:t>
            </w:r>
          </w:p>
        </w:tc>
        <w:tc>
          <w:tcPr>
            <w:tcW w:w="1687" w:type="dxa"/>
            <w:vAlign w:val="center"/>
          </w:tcPr>
          <w:p w14:paraId="0308DC12"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05EF47E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7A62696"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4C2325C5" w14:textId="77777777" w:rsidR="007075D9" w:rsidRPr="004D46AC" w:rsidRDefault="007075D9" w:rsidP="00CE2F7A">
            <w:pPr>
              <w:spacing w:line="240" w:lineRule="auto"/>
              <w:ind w:firstLine="0"/>
              <w:rPr>
                <w:b/>
                <w:bCs/>
                <w:i/>
                <w:iCs/>
              </w:rPr>
            </w:pPr>
            <w:r w:rsidRPr="004D46AC">
              <w:rPr>
                <w:color w:val="000000"/>
              </w:rPr>
              <w:t xml:space="preserve">0.07 </w:t>
            </w:r>
          </w:p>
        </w:tc>
      </w:tr>
      <w:tr w:rsidR="007075D9" w:rsidRPr="004D46AC" w14:paraId="53D26589" w14:textId="77777777" w:rsidTr="00B518F1">
        <w:tc>
          <w:tcPr>
            <w:tcW w:w="1434" w:type="dxa"/>
            <w:vAlign w:val="center"/>
          </w:tcPr>
          <w:p w14:paraId="170B6866" w14:textId="77777777" w:rsidR="007075D9" w:rsidRPr="004D46AC" w:rsidRDefault="007075D9" w:rsidP="00CE2F7A">
            <w:pPr>
              <w:spacing w:line="240" w:lineRule="auto"/>
              <w:ind w:firstLine="0"/>
              <w:rPr>
                <w:b/>
                <w:bCs/>
                <w:i/>
                <w:iCs/>
              </w:rPr>
            </w:pPr>
            <w:r w:rsidRPr="004D46AC">
              <w:rPr>
                <w:rFonts w:eastAsia="DengXian"/>
                <w:color w:val="000000"/>
              </w:rPr>
              <w:t>M2--M5</w:t>
            </w:r>
          </w:p>
        </w:tc>
        <w:tc>
          <w:tcPr>
            <w:tcW w:w="1687" w:type="dxa"/>
            <w:vAlign w:val="center"/>
          </w:tcPr>
          <w:p w14:paraId="2BB0C6EE"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37CC62F1"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6FC8028"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0FCD58C0" w14:textId="77777777" w:rsidR="007075D9" w:rsidRPr="004D46AC" w:rsidRDefault="007075D9" w:rsidP="00CE2F7A">
            <w:pPr>
              <w:spacing w:line="240" w:lineRule="auto"/>
              <w:ind w:firstLine="0"/>
              <w:rPr>
                <w:b/>
                <w:bCs/>
                <w:i/>
                <w:iCs/>
              </w:rPr>
            </w:pPr>
            <w:r w:rsidRPr="004D46AC">
              <w:rPr>
                <w:color w:val="000000"/>
              </w:rPr>
              <w:t xml:space="preserve">0.10 </w:t>
            </w:r>
          </w:p>
        </w:tc>
      </w:tr>
      <w:tr w:rsidR="007075D9" w:rsidRPr="004D46AC" w14:paraId="61DC1ED0" w14:textId="77777777" w:rsidTr="00B518F1">
        <w:tc>
          <w:tcPr>
            <w:tcW w:w="1434" w:type="dxa"/>
            <w:vAlign w:val="center"/>
          </w:tcPr>
          <w:p w14:paraId="498E23EB" w14:textId="77777777" w:rsidR="007075D9" w:rsidRPr="004D46AC" w:rsidRDefault="007075D9" w:rsidP="00CE2F7A">
            <w:pPr>
              <w:spacing w:line="240" w:lineRule="auto"/>
              <w:ind w:firstLine="0"/>
              <w:rPr>
                <w:b/>
                <w:bCs/>
                <w:i/>
                <w:iCs/>
              </w:rPr>
            </w:pPr>
            <w:r w:rsidRPr="004D46AC">
              <w:rPr>
                <w:rFonts w:eastAsia="DengXian"/>
                <w:color w:val="000000"/>
              </w:rPr>
              <w:t>P4--P6</w:t>
            </w:r>
          </w:p>
        </w:tc>
        <w:tc>
          <w:tcPr>
            <w:tcW w:w="1687" w:type="dxa"/>
            <w:vAlign w:val="center"/>
          </w:tcPr>
          <w:p w14:paraId="6D04BE78"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6A0BE219"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4EDD77C"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13709A4C" w14:textId="77777777" w:rsidR="007075D9" w:rsidRPr="004D46AC" w:rsidRDefault="007075D9" w:rsidP="00CE2F7A">
            <w:pPr>
              <w:spacing w:line="240" w:lineRule="auto"/>
              <w:ind w:firstLine="0"/>
              <w:rPr>
                <w:b/>
                <w:bCs/>
                <w:i/>
                <w:iCs/>
              </w:rPr>
            </w:pPr>
            <w:r w:rsidRPr="004D46AC">
              <w:rPr>
                <w:color w:val="000000"/>
              </w:rPr>
              <w:t xml:space="preserve">0.06 </w:t>
            </w:r>
          </w:p>
        </w:tc>
      </w:tr>
      <w:tr w:rsidR="007075D9" w:rsidRPr="004D46AC" w14:paraId="2FA17830" w14:textId="77777777" w:rsidTr="00B518F1">
        <w:tc>
          <w:tcPr>
            <w:tcW w:w="1434" w:type="dxa"/>
            <w:vAlign w:val="center"/>
          </w:tcPr>
          <w:p w14:paraId="5496FD29" w14:textId="77777777" w:rsidR="007075D9" w:rsidRPr="004D46AC" w:rsidRDefault="007075D9" w:rsidP="00CE2F7A">
            <w:pPr>
              <w:spacing w:line="240" w:lineRule="auto"/>
              <w:ind w:firstLine="0"/>
              <w:rPr>
                <w:b/>
                <w:bCs/>
                <w:i/>
                <w:iCs/>
              </w:rPr>
            </w:pPr>
            <w:r w:rsidRPr="004D46AC">
              <w:rPr>
                <w:rFonts w:eastAsia="DengXian"/>
                <w:color w:val="000000"/>
              </w:rPr>
              <w:t>M8--M9</w:t>
            </w:r>
          </w:p>
        </w:tc>
        <w:tc>
          <w:tcPr>
            <w:tcW w:w="1687" w:type="dxa"/>
            <w:vAlign w:val="center"/>
          </w:tcPr>
          <w:p w14:paraId="3F7AE171"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682773D4"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C938CAB"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5388513D"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2ECA966E" w14:textId="77777777" w:rsidTr="00B518F1">
        <w:tc>
          <w:tcPr>
            <w:tcW w:w="1434" w:type="dxa"/>
            <w:vAlign w:val="center"/>
          </w:tcPr>
          <w:p w14:paraId="608C99E9" w14:textId="77777777" w:rsidR="007075D9" w:rsidRPr="004D46AC" w:rsidRDefault="007075D9" w:rsidP="00CE2F7A">
            <w:pPr>
              <w:spacing w:line="240" w:lineRule="auto"/>
              <w:ind w:firstLine="0"/>
              <w:rPr>
                <w:b/>
                <w:bCs/>
                <w:i/>
                <w:iCs/>
              </w:rPr>
            </w:pPr>
            <w:r w:rsidRPr="004D46AC">
              <w:rPr>
                <w:rFonts w:eastAsia="DengXian"/>
                <w:color w:val="000000"/>
              </w:rPr>
              <w:t>P4--M3</w:t>
            </w:r>
          </w:p>
        </w:tc>
        <w:tc>
          <w:tcPr>
            <w:tcW w:w="1687" w:type="dxa"/>
            <w:vAlign w:val="center"/>
          </w:tcPr>
          <w:p w14:paraId="0CF95CA2"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55637649"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3BDBAA4"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00AE038B" w14:textId="77777777" w:rsidR="007075D9" w:rsidRPr="004D46AC" w:rsidRDefault="007075D9" w:rsidP="00CE2F7A">
            <w:pPr>
              <w:spacing w:line="240" w:lineRule="auto"/>
              <w:ind w:firstLine="0"/>
              <w:rPr>
                <w:b/>
                <w:bCs/>
                <w:i/>
                <w:iCs/>
              </w:rPr>
            </w:pPr>
            <w:r w:rsidRPr="004D46AC">
              <w:rPr>
                <w:color w:val="000000"/>
              </w:rPr>
              <w:t xml:space="preserve">0.08 </w:t>
            </w:r>
          </w:p>
        </w:tc>
      </w:tr>
      <w:tr w:rsidR="007075D9" w:rsidRPr="004D46AC" w14:paraId="0C58E009" w14:textId="77777777" w:rsidTr="00B518F1">
        <w:tc>
          <w:tcPr>
            <w:tcW w:w="1434" w:type="dxa"/>
            <w:vAlign w:val="center"/>
          </w:tcPr>
          <w:p w14:paraId="2CF9D6E0" w14:textId="77777777" w:rsidR="007075D9" w:rsidRPr="004D46AC" w:rsidRDefault="007075D9" w:rsidP="00CE2F7A">
            <w:pPr>
              <w:spacing w:line="240" w:lineRule="auto"/>
              <w:ind w:firstLine="0"/>
              <w:rPr>
                <w:b/>
                <w:bCs/>
                <w:i/>
                <w:iCs/>
              </w:rPr>
            </w:pPr>
            <w:r w:rsidRPr="004D46AC">
              <w:rPr>
                <w:rFonts w:eastAsia="DengXian"/>
                <w:color w:val="000000"/>
              </w:rPr>
              <w:t>P5--N7</w:t>
            </w:r>
          </w:p>
        </w:tc>
        <w:tc>
          <w:tcPr>
            <w:tcW w:w="1687" w:type="dxa"/>
            <w:vAlign w:val="center"/>
          </w:tcPr>
          <w:p w14:paraId="07B51759"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494D637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8EEDD23"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3EA6495A" w14:textId="77777777" w:rsidR="007075D9" w:rsidRPr="004D46AC" w:rsidRDefault="007075D9" w:rsidP="00CE2F7A">
            <w:pPr>
              <w:spacing w:line="240" w:lineRule="auto"/>
              <w:ind w:firstLine="0"/>
              <w:rPr>
                <w:b/>
                <w:bCs/>
                <w:i/>
                <w:iCs/>
              </w:rPr>
            </w:pPr>
            <w:r w:rsidRPr="004D46AC">
              <w:rPr>
                <w:color w:val="000000"/>
              </w:rPr>
              <w:t xml:space="preserve">0.08 </w:t>
            </w:r>
          </w:p>
        </w:tc>
      </w:tr>
      <w:tr w:rsidR="007075D9" w:rsidRPr="004D46AC" w14:paraId="25E9D1E5" w14:textId="77777777" w:rsidTr="00B518F1">
        <w:tc>
          <w:tcPr>
            <w:tcW w:w="1434" w:type="dxa"/>
            <w:vAlign w:val="center"/>
          </w:tcPr>
          <w:p w14:paraId="489760AE" w14:textId="77777777" w:rsidR="007075D9" w:rsidRPr="004D46AC" w:rsidRDefault="007075D9" w:rsidP="00CE2F7A">
            <w:pPr>
              <w:spacing w:line="240" w:lineRule="auto"/>
              <w:ind w:firstLine="0"/>
              <w:rPr>
                <w:b/>
                <w:bCs/>
                <w:i/>
                <w:iCs/>
              </w:rPr>
            </w:pPr>
            <w:r w:rsidRPr="004D46AC">
              <w:rPr>
                <w:rFonts w:eastAsia="DengXian"/>
                <w:color w:val="000000"/>
              </w:rPr>
              <w:t>ME--Y3</w:t>
            </w:r>
          </w:p>
        </w:tc>
        <w:tc>
          <w:tcPr>
            <w:tcW w:w="1687" w:type="dxa"/>
            <w:vAlign w:val="center"/>
          </w:tcPr>
          <w:p w14:paraId="7264E1E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33A5972"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08622B0" w14:textId="77777777" w:rsidR="007075D9" w:rsidRPr="004D46AC" w:rsidRDefault="007075D9" w:rsidP="00CE2F7A">
            <w:pPr>
              <w:spacing w:line="240" w:lineRule="auto"/>
              <w:ind w:firstLine="0"/>
              <w:rPr>
                <w:b/>
                <w:bCs/>
                <w:i/>
                <w:iCs/>
              </w:rPr>
            </w:pPr>
            <w:r w:rsidRPr="004D46AC">
              <w:rPr>
                <w:color w:val="000000"/>
              </w:rPr>
              <w:t xml:space="preserve">0.12 </w:t>
            </w:r>
          </w:p>
        </w:tc>
        <w:tc>
          <w:tcPr>
            <w:tcW w:w="1443" w:type="dxa"/>
            <w:vAlign w:val="center"/>
          </w:tcPr>
          <w:p w14:paraId="04ED7D3A"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131C43C0" w14:textId="77777777" w:rsidTr="00B518F1">
        <w:tc>
          <w:tcPr>
            <w:tcW w:w="1434" w:type="dxa"/>
            <w:vAlign w:val="center"/>
          </w:tcPr>
          <w:p w14:paraId="1625FE08" w14:textId="77777777" w:rsidR="007075D9" w:rsidRPr="004D46AC" w:rsidRDefault="007075D9" w:rsidP="00CE2F7A">
            <w:pPr>
              <w:spacing w:line="240" w:lineRule="auto"/>
              <w:ind w:firstLine="0"/>
              <w:rPr>
                <w:b/>
                <w:bCs/>
                <w:i/>
                <w:iCs/>
              </w:rPr>
            </w:pPr>
            <w:r w:rsidRPr="004D46AC">
              <w:rPr>
                <w:rFonts w:eastAsia="DengXian"/>
                <w:color w:val="000000"/>
              </w:rPr>
              <w:t>M9--SP</w:t>
            </w:r>
          </w:p>
        </w:tc>
        <w:tc>
          <w:tcPr>
            <w:tcW w:w="1687" w:type="dxa"/>
            <w:vAlign w:val="center"/>
          </w:tcPr>
          <w:p w14:paraId="4A8F4974"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601CB18"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DD93D66"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52153843"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63D6823A" w14:textId="77777777" w:rsidTr="00B518F1">
        <w:tc>
          <w:tcPr>
            <w:tcW w:w="1434" w:type="dxa"/>
            <w:vAlign w:val="center"/>
          </w:tcPr>
          <w:p w14:paraId="3E5FD552" w14:textId="77777777" w:rsidR="007075D9" w:rsidRPr="004D46AC" w:rsidRDefault="007075D9" w:rsidP="00CE2F7A">
            <w:pPr>
              <w:spacing w:line="240" w:lineRule="auto"/>
              <w:ind w:firstLine="0"/>
              <w:rPr>
                <w:b/>
                <w:bCs/>
                <w:i/>
                <w:iCs/>
              </w:rPr>
            </w:pPr>
            <w:r w:rsidRPr="004D46AC">
              <w:rPr>
                <w:rFonts w:eastAsia="DengXian"/>
                <w:color w:val="000000"/>
              </w:rPr>
              <w:t>M8--M10</w:t>
            </w:r>
          </w:p>
        </w:tc>
        <w:tc>
          <w:tcPr>
            <w:tcW w:w="1687" w:type="dxa"/>
            <w:vAlign w:val="center"/>
          </w:tcPr>
          <w:p w14:paraId="7D8789F2"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3C3FCF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0CCEA99"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7050B902" w14:textId="77777777" w:rsidR="007075D9" w:rsidRPr="004D46AC" w:rsidRDefault="007075D9" w:rsidP="00CE2F7A">
            <w:pPr>
              <w:spacing w:line="240" w:lineRule="auto"/>
              <w:ind w:firstLine="0"/>
              <w:rPr>
                <w:b/>
                <w:bCs/>
                <w:i/>
                <w:iCs/>
              </w:rPr>
            </w:pPr>
            <w:r w:rsidRPr="004D46AC">
              <w:rPr>
                <w:color w:val="000000"/>
              </w:rPr>
              <w:t xml:space="preserve">0.11 </w:t>
            </w:r>
          </w:p>
        </w:tc>
      </w:tr>
      <w:tr w:rsidR="007075D9" w:rsidRPr="004D46AC" w14:paraId="12B65C04" w14:textId="77777777" w:rsidTr="00B518F1">
        <w:tc>
          <w:tcPr>
            <w:tcW w:w="1434" w:type="dxa"/>
            <w:vAlign w:val="center"/>
          </w:tcPr>
          <w:p w14:paraId="374ED8B1" w14:textId="77777777" w:rsidR="007075D9" w:rsidRPr="004D46AC" w:rsidRDefault="007075D9" w:rsidP="00CE2F7A">
            <w:pPr>
              <w:spacing w:line="240" w:lineRule="auto"/>
              <w:ind w:firstLine="0"/>
              <w:rPr>
                <w:b/>
                <w:bCs/>
                <w:i/>
                <w:iCs/>
              </w:rPr>
            </w:pPr>
            <w:r w:rsidRPr="004D46AC">
              <w:rPr>
                <w:rFonts w:eastAsia="DengXian"/>
                <w:color w:val="000000"/>
              </w:rPr>
              <w:t>M3--M5</w:t>
            </w:r>
          </w:p>
        </w:tc>
        <w:tc>
          <w:tcPr>
            <w:tcW w:w="1687" w:type="dxa"/>
            <w:vAlign w:val="center"/>
          </w:tcPr>
          <w:p w14:paraId="66DBCE2C"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9815FF4"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134AD1AF"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385AE956" w14:textId="77777777" w:rsidR="007075D9" w:rsidRPr="004D46AC" w:rsidRDefault="007075D9" w:rsidP="00CE2F7A">
            <w:pPr>
              <w:spacing w:line="240" w:lineRule="auto"/>
              <w:ind w:firstLine="0"/>
              <w:rPr>
                <w:b/>
                <w:bCs/>
                <w:i/>
                <w:iCs/>
              </w:rPr>
            </w:pPr>
            <w:r w:rsidRPr="004D46AC">
              <w:rPr>
                <w:color w:val="000000"/>
              </w:rPr>
              <w:t xml:space="preserve">0.19 </w:t>
            </w:r>
          </w:p>
        </w:tc>
      </w:tr>
      <w:tr w:rsidR="007075D9" w:rsidRPr="004D46AC" w14:paraId="6EB19F99" w14:textId="77777777" w:rsidTr="00B518F1">
        <w:tc>
          <w:tcPr>
            <w:tcW w:w="1434" w:type="dxa"/>
            <w:vAlign w:val="center"/>
          </w:tcPr>
          <w:p w14:paraId="78F4BBC6" w14:textId="77777777" w:rsidR="007075D9" w:rsidRPr="004D46AC" w:rsidRDefault="007075D9" w:rsidP="00CE2F7A">
            <w:pPr>
              <w:spacing w:line="240" w:lineRule="auto"/>
              <w:ind w:firstLine="0"/>
              <w:rPr>
                <w:b/>
                <w:bCs/>
                <w:i/>
                <w:iCs/>
              </w:rPr>
            </w:pPr>
            <w:r w:rsidRPr="004D46AC">
              <w:rPr>
                <w:rFonts w:eastAsia="DengXian"/>
                <w:color w:val="000000"/>
              </w:rPr>
              <w:t>P6--M3</w:t>
            </w:r>
          </w:p>
        </w:tc>
        <w:tc>
          <w:tcPr>
            <w:tcW w:w="1687" w:type="dxa"/>
            <w:vAlign w:val="center"/>
          </w:tcPr>
          <w:p w14:paraId="5FD48F37"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78872D9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4ECAFF3"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3727032D" w14:textId="77777777" w:rsidR="007075D9" w:rsidRPr="004D46AC" w:rsidRDefault="007075D9" w:rsidP="00CE2F7A">
            <w:pPr>
              <w:spacing w:line="240" w:lineRule="auto"/>
              <w:ind w:firstLine="0"/>
              <w:rPr>
                <w:b/>
                <w:bCs/>
                <w:i/>
                <w:iCs/>
              </w:rPr>
            </w:pPr>
            <w:r w:rsidRPr="004D46AC">
              <w:rPr>
                <w:color w:val="000000"/>
              </w:rPr>
              <w:t xml:space="preserve">0.14 </w:t>
            </w:r>
          </w:p>
        </w:tc>
      </w:tr>
      <w:tr w:rsidR="007075D9" w:rsidRPr="004D46AC" w14:paraId="0666867B" w14:textId="77777777" w:rsidTr="00B518F1">
        <w:tc>
          <w:tcPr>
            <w:tcW w:w="1434" w:type="dxa"/>
            <w:vAlign w:val="center"/>
          </w:tcPr>
          <w:p w14:paraId="2F44B103" w14:textId="77777777" w:rsidR="007075D9" w:rsidRPr="004D46AC" w:rsidRDefault="007075D9" w:rsidP="00CE2F7A">
            <w:pPr>
              <w:spacing w:line="240" w:lineRule="auto"/>
              <w:ind w:firstLine="0"/>
              <w:rPr>
                <w:b/>
                <w:bCs/>
                <w:i/>
                <w:iCs/>
              </w:rPr>
            </w:pPr>
            <w:r w:rsidRPr="004D46AC">
              <w:rPr>
                <w:rFonts w:eastAsia="DengXian"/>
                <w:color w:val="000000"/>
              </w:rPr>
              <w:t>Y10--M6</w:t>
            </w:r>
          </w:p>
        </w:tc>
        <w:tc>
          <w:tcPr>
            <w:tcW w:w="1687" w:type="dxa"/>
            <w:vAlign w:val="center"/>
          </w:tcPr>
          <w:p w14:paraId="79478073"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717BD1A"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4BE7C10"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4AAA680D" w14:textId="77777777" w:rsidR="007075D9" w:rsidRPr="004D46AC" w:rsidRDefault="007075D9" w:rsidP="00CE2F7A">
            <w:pPr>
              <w:spacing w:line="240" w:lineRule="auto"/>
              <w:ind w:firstLine="0"/>
              <w:rPr>
                <w:b/>
                <w:bCs/>
                <w:i/>
                <w:iCs/>
              </w:rPr>
            </w:pPr>
            <w:r w:rsidRPr="004D46AC">
              <w:rPr>
                <w:color w:val="000000"/>
              </w:rPr>
              <w:t xml:space="preserve">0.21 </w:t>
            </w:r>
          </w:p>
        </w:tc>
      </w:tr>
      <w:tr w:rsidR="007075D9" w:rsidRPr="004D46AC" w14:paraId="301F6D45" w14:textId="77777777" w:rsidTr="00B518F1">
        <w:tc>
          <w:tcPr>
            <w:tcW w:w="1434" w:type="dxa"/>
            <w:vAlign w:val="center"/>
          </w:tcPr>
          <w:p w14:paraId="2641C24D" w14:textId="77777777" w:rsidR="007075D9" w:rsidRPr="004D46AC" w:rsidRDefault="007075D9" w:rsidP="00CE2F7A">
            <w:pPr>
              <w:spacing w:line="240" w:lineRule="auto"/>
              <w:ind w:firstLine="0"/>
              <w:rPr>
                <w:b/>
                <w:bCs/>
                <w:i/>
                <w:iCs/>
              </w:rPr>
            </w:pPr>
            <w:r w:rsidRPr="004D46AC">
              <w:rPr>
                <w:rFonts w:eastAsia="DengXian"/>
                <w:color w:val="000000"/>
              </w:rPr>
              <w:t>P4--M6</w:t>
            </w:r>
          </w:p>
        </w:tc>
        <w:tc>
          <w:tcPr>
            <w:tcW w:w="1687" w:type="dxa"/>
            <w:vAlign w:val="center"/>
          </w:tcPr>
          <w:p w14:paraId="43C7BE7E"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0E3BC4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BBB5EE4" w14:textId="77777777" w:rsidR="007075D9" w:rsidRPr="004D46AC" w:rsidRDefault="007075D9" w:rsidP="00CE2F7A">
            <w:pPr>
              <w:spacing w:line="240" w:lineRule="auto"/>
              <w:ind w:firstLine="0"/>
              <w:rPr>
                <w:b/>
                <w:bCs/>
                <w:i/>
                <w:iCs/>
              </w:rPr>
            </w:pPr>
            <w:r w:rsidRPr="004D46AC">
              <w:rPr>
                <w:color w:val="000000"/>
              </w:rPr>
              <w:t xml:space="preserve">0.10 </w:t>
            </w:r>
          </w:p>
        </w:tc>
        <w:tc>
          <w:tcPr>
            <w:tcW w:w="1443" w:type="dxa"/>
            <w:vAlign w:val="center"/>
          </w:tcPr>
          <w:p w14:paraId="7E341BE7" w14:textId="77777777" w:rsidR="007075D9" w:rsidRPr="004D46AC" w:rsidRDefault="007075D9" w:rsidP="00CE2F7A">
            <w:pPr>
              <w:spacing w:line="240" w:lineRule="auto"/>
              <w:ind w:firstLine="0"/>
              <w:rPr>
                <w:b/>
                <w:bCs/>
                <w:i/>
                <w:iCs/>
              </w:rPr>
            </w:pPr>
            <w:r w:rsidRPr="004D46AC">
              <w:rPr>
                <w:color w:val="000000"/>
              </w:rPr>
              <w:t xml:space="preserve">0.14 </w:t>
            </w:r>
          </w:p>
        </w:tc>
      </w:tr>
      <w:tr w:rsidR="007075D9" w:rsidRPr="004D46AC" w14:paraId="0B38A37E" w14:textId="77777777" w:rsidTr="00B518F1">
        <w:tc>
          <w:tcPr>
            <w:tcW w:w="1434" w:type="dxa"/>
            <w:vAlign w:val="center"/>
          </w:tcPr>
          <w:p w14:paraId="40AFCFC0" w14:textId="77777777" w:rsidR="007075D9" w:rsidRPr="004D46AC" w:rsidRDefault="007075D9" w:rsidP="00CE2F7A">
            <w:pPr>
              <w:spacing w:line="240" w:lineRule="auto"/>
              <w:ind w:firstLine="0"/>
              <w:rPr>
                <w:b/>
                <w:bCs/>
                <w:i/>
                <w:iCs/>
              </w:rPr>
            </w:pPr>
            <w:r w:rsidRPr="004D46AC">
              <w:rPr>
                <w:rFonts w:eastAsia="DengXian"/>
                <w:color w:val="000000"/>
              </w:rPr>
              <w:t>Y3--Y6</w:t>
            </w:r>
          </w:p>
        </w:tc>
        <w:tc>
          <w:tcPr>
            <w:tcW w:w="1687" w:type="dxa"/>
            <w:vAlign w:val="center"/>
          </w:tcPr>
          <w:p w14:paraId="33C1D0DE"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D769F81"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AD1DCF3" w14:textId="77777777" w:rsidR="007075D9" w:rsidRPr="004D46AC" w:rsidRDefault="007075D9" w:rsidP="00CE2F7A">
            <w:pPr>
              <w:spacing w:line="240" w:lineRule="auto"/>
              <w:ind w:firstLine="0"/>
              <w:rPr>
                <w:b/>
                <w:bCs/>
                <w:i/>
                <w:iCs/>
              </w:rPr>
            </w:pPr>
            <w:r w:rsidRPr="004D46AC">
              <w:rPr>
                <w:color w:val="000000"/>
              </w:rPr>
              <w:t xml:space="preserve">0.11 </w:t>
            </w:r>
          </w:p>
        </w:tc>
        <w:tc>
          <w:tcPr>
            <w:tcW w:w="1443" w:type="dxa"/>
            <w:vAlign w:val="center"/>
          </w:tcPr>
          <w:p w14:paraId="20161BE3" w14:textId="77777777" w:rsidR="007075D9" w:rsidRPr="004D46AC" w:rsidRDefault="007075D9" w:rsidP="00CE2F7A">
            <w:pPr>
              <w:spacing w:line="240" w:lineRule="auto"/>
              <w:ind w:firstLine="0"/>
              <w:rPr>
                <w:b/>
                <w:bCs/>
                <w:i/>
                <w:iCs/>
              </w:rPr>
            </w:pPr>
            <w:r w:rsidRPr="004D46AC">
              <w:rPr>
                <w:color w:val="000000"/>
              </w:rPr>
              <w:t xml:space="preserve">0.16 </w:t>
            </w:r>
          </w:p>
        </w:tc>
      </w:tr>
      <w:tr w:rsidR="007075D9" w:rsidRPr="004D46AC" w14:paraId="071300A2" w14:textId="77777777" w:rsidTr="00B518F1">
        <w:tc>
          <w:tcPr>
            <w:tcW w:w="1434" w:type="dxa"/>
            <w:vAlign w:val="center"/>
          </w:tcPr>
          <w:p w14:paraId="16E4CBF4" w14:textId="77777777" w:rsidR="007075D9" w:rsidRPr="004D46AC" w:rsidRDefault="007075D9" w:rsidP="00CE2F7A">
            <w:pPr>
              <w:spacing w:line="240" w:lineRule="auto"/>
              <w:ind w:firstLine="0"/>
              <w:rPr>
                <w:b/>
                <w:bCs/>
                <w:i/>
                <w:iCs/>
              </w:rPr>
            </w:pPr>
            <w:r w:rsidRPr="004D46AC">
              <w:rPr>
                <w:rFonts w:eastAsia="DengXian"/>
                <w:color w:val="000000"/>
              </w:rPr>
              <w:t>RC--N5</w:t>
            </w:r>
          </w:p>
        </w:tc>
        <w:tc>
          <w:tcPr>
            <w:tcW w:w="1687" w:type="dxa"/>
            <w:vAlign w:val="center"/>
          </w:tcPr>
          <w:p w14:paraId="6271057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4EA839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3C5F80A"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6CC97178" w14:textId="77777777" w:rsidR="007075D9" w:rsidRPr="004D46AC" w:rsidRDefault="007075D9" w:rsidP="00CE2F7A">
            <w:pPr>
              <w:spacing w:line="240" w:lineRule="auto"/>
              <w:ind w:firstLine="0"/>
              <w:rPr>
                <w:b/>
                <w:bCs/>
                <w:i/>
                <w:iCs/>
              </w:rPr>
            </w:pPr>
            <w:r w:rsidRPr="004D46AC">
              <w:rPr>
                <w:color w:val="000000"/>
              </w:rPr>
              <w:t xml:space="preserve">0.15 </w:t>
            </w:r>
          </w:p>
        </w:tc>
      </w:tr>
      <w:tr w:rsidR="007075D9" w:rsidRPr="004D46AC" w14:paraId="255FF98D" w14:textId="77777777" w:rsidTr="00B518F1">
        <w:tc>
          <w:tcPr>
            <w:tcW w:w="1434" w:type="dxa"/>
            <w:vAlign w:val="center"/>
          </w:tcPr>
          <w:p w14:paraId="7F0BFA06" w14:textId="77777777" w:rsidR="007075D9" w:rsidRPr="004D46AC" w:rsidRDefault="007075D9" w:rsidP="00CE2F7A">
            <w:pPr>
              <w:spacing w:line="240" w:lineRule="auto"/>
              <w:ind w:firstLine="0"/>
              <w:rPr>
                <w:b/>
                <w:bCs/>
                <w:i/>
                <w:iCs/>
              </w:rPr>
            </w:pPr>
            <w:r w:rsidRPr="004D46AC">
              <w:rPr>
                <w:rFonts w:eastAsia="DengXian"/>
                <w:color w:val="000000"/>
              </w:rPr>
              <w:t>WD--M7</w:t>
            </w:r>
          </w:p>
        </w:tc>
        <w:tc>
          <w:tcPr>
            <w:tcW w:w="1687" w:type="dxa"/>
            <w:vAlign w:val="center"/>
          </w:tcPr>
          <w:p w14:paraId="0983BAB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D9E756B"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30B3E2B"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415CEF95" w14:textId="77777777" w:rsidR="007075D9" w:rsidRPr="004D46AC" w:rsidRDefault="007075D9" w:rsidP="00CE2F7A">
            <w:pPr>
              <w:spacing w:line="240" w:lineRule="auto"/>
              <w:ind w:firstLine="0"/>
              <w:rPr>
                <w:b/>
                <w:bCs/>
                <w:i/>
                <w:iCs/>
              </w:rPr>
            </w:pPr>
            <w:r w:rsidRPr="004D46AC">
              <w:rPr>
                <w:color w:val="000000"/>
              </w:rPr>
              <w:t xml:space="preserve">0.13 </w:t>
            </w:r>
          </w:p>
        </w:tc>
      </w:tr>
      <w:tr w:rsidR="007075D9" w:rsidRPr="004D46AC" w14:paraId="4FAD5B78" w14:textId="77777777" w:rsidTr="00B518F1">
        <w:tc>
          <w:tcPr>
            <w:tcW w:w="1434" w:type="dxa"/>
            <w:vAlign w:val="center"/>
          </w:tcPr>
          <w:p w14:paraId="6DF56891" w14:textId="77777777" w:rsidR="007075D9" w:rsidRPr="004D46AC" w:rsidRDefault="007075D9" w:rsidP="00CE2F7A">
            <w:pPr>
              <w:spacing w:line="240" w:lineRule="auto"/>
              <w:ind w:firstLine="0"/>
              <w:rPr>
                <w:b/>
                <w:bCs/>
                <w:i/>
                <w:iCs/>
              </w:rPr>
            </w:pPr>
            <w:r w:rsidRPr="004D46AC">
              <w:rPr>
                <w:rFonts w:eastAsia="DengXian"/>
                <w:color w:val="000000"/>
              </w:rPr>
              <w:t>P4--IA</w:t>
            </w:r>
          </w:p>
        </w:tc>
        <w:tc>
          <w:tcPr>
            <w:tcW w:w="1687" w:type="dxa"/>
            <w:vAlign w:val="center"/>
          </w:tcPr>
          <w:p w14:paraId="7AB9746A"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7B3FC8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EEB5775"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7586CE83" w14:textId="77777777" w:rsidR="007075D9" w:rsidRPr="004D46AC" w:rsidRDefault="007075D9" w:rsidP="00CE2F7A">
            <w:pPr>
              <w:spacing w:line="240" w:lineRule="auto"/>
              <w:ind w:firstLine="0"/>
              <w:rPr>
                <w:b/>
                <w:bCs/>
                <w:i/>
                <w:iCs/>
              </w:rPr>
            </w:pPr>
            <w:r w:rsidRPr="004D46AC">
              <w:rPr>
                <w:color w:val="000000"/>
              </w:rPr>
              <w:t xml:space="preserve">0.21 </w:t>
            </w:r>
          </w:p>
        </w:tc>
      </w:tr>
      <w:tr w:rsidR="007075D9" w:rsidRPr="004D46AC" w14:paraId="5F989D7B" w14:textId="77777777" w:rsidTr="00B518F1">
        <w:tc>
          <w:tcPr>
            <w:tcW w:w="1434" w:type="dxa"/>
            <w:vAlign w:val="center"/>
          </w:tcPr>
          <w:p w14:paraId="489AE961" w14:textId="77777777" w:rsidR="007075D9" w:rsidRPr="004D46AC" w:rsidRDefault="007075D9" w:rsidP="00CE2F7A">
            <w:pPr>
              <w:spacing w:line="240" w:lineRule="auto"/>
              <w:ind w:firstLine="0"/>
              <w:rPr>
                <w:b/>
                <w:bCs/>
                <w:i/>
                <w:iCs/>
              </w:rPr>
            </w:pPr>
            <w:r w:rsidRPr="004D46AC">
              <w:rPr>
                <w:rFonts w:eastAsia="DengXian"/>
                <w:color w:val="000000"/>
              </w:rPr>
              <w:t>M3--M8</w:t>
            </w:r>
          </w:p>
        </w:tc>
        <w:tc>
          <w:tcPr>
            <w:tcW w:w="1687" w:type="dxa"/>
            <w:vAlign w:val="center"/>
          </w:tcPr>
          <w:p w14:paraId="79F7FF75"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A1027D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8D4173A" w14:textId="77777777" w:rsidR="007075D9" w:rsidRPr="004D46AC" w:rsidRDefault="007075D9" w:rsidP="00CE2F7A">
            <w:pPr>
              <w:spacing w:line="240" w:lineRule="auto"/>
              <w:ind w:firstLine="0"/>
              <w:rPr>
                <w:b/>
                <w:bCs/>
                <w:i/>
                <w:iCs/>
              </w:rPr>
            </w:pPr>
            <w:r w:rsidRPr="004D46AC">
              <w:rPr>
                <w:color w:val="000000"/>
              </w:rPr>
              <w:t xml:space="preserve">0.09 </w:t>
            </w:r>
          </w:p>
        </w:tc>
        <w:tc>
          <w:tcPr>
            <w:tcW w:w="1443" w:type="dxa"/>
            <w:vAlign w:val="center"/>
          </w:tcPr>
          <w:p w14:paraId="1B8BDC8C"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58C83B39" w14:textId="77777777" w:rsidTr="00B518F1">
        <w:tc>
          <w:tcPr>
            <w:tcW w:w="1434" w:type="dxa"/>
            <w:vAlign w:val="center"/>
          </w:tcPr>
          <w:p w14:paraId="7CDE617B" w14:textId="77777777" w:rsidR="007075D9" w:rsidRPr="004D46AC" w:rsidRDefault="007075D9" w:rsidP="00CE2F7A">
            <w:pPr>
              <w:spacing w:line="240" w:lineRule="auto"/>
              <w:ind w:firstLine="0"/>
              <w:rPr>
                <w:b/>
                <w:bCs/>
                <w:i/>
                <w:iCs/>
              </w:rPr>
            </w:pPr>
            <w:r w:rsidRPr="004D46AC">
              <w:rPr>
                <w:rFonts w:eastAsia="DengXian"/>
                <w:color w:val="000000"/>
              </w:rPr>
              <w:t>M6--SP</w:t>
            </w:r>
          </w:p>
        </w:tc>
        <w:tc>
          <w:tcPr>
            <w:tcW w:w="1687" w:type="dxa"/>
            <w:vAlign w:val="center"/>
          </w:tcPr>
          <w:p w14:paraId="7A4E97CD"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42297D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E291E5B"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7A7E4273"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02B60B7B" w14:textId="77777777" w:rsidTr="00B518F1">
        <w:tc>
          <w:tcPr>
            <w:tcW w:w="1434" w:type="dxa"/>
            <w:vAlign w:val="center"/>
          </w:tcPr>
          <w:p w14:paraId="1494E6E1" w14:textId="77777777" w:rsidR="007075D9" w:rsidRPr="004D46AC" w:rsidRDefault="007075D9" w:rsidP="00CE2F7A">
            <w:pPr>
              <w:spacing w:line="240" w:lineRule="auto"/>
              <w:ind w:firstLine="0"/>
              <w:rPr>
                <w:b/>
                <w:bCs/>
                <w:i/>
                <w:iCs/>
              </w:rPr>
            </w:pPr>
            <w:r w:rsidRPr="004D46AC">
              <w:rPr>
                <w:rFonts w:eastAsia="DengXian"/>
                <w:color w:val="000000"/>
              </w:rPr>
              <w:t>IA--M7</w:t>
            </w:r>
          </w:p>
        </w:tc>
        <w:tc>
          <w:tcPr>
            <w:tcW w:w="1687" w:type="dxa"/>
            <w:vAlign w:val="center"/>
          </w:tcPr>
          <w:p w14:paraId="2F6A122B"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1347B997"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1A791A6"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548B6532" w14:textId="77777777" w:rsidR="007075D9" w:rsidRPr="004D46AC" w:rsidRDefault="007075D9" w:rsidP="00CE2F7A">
            <w:pPr>
              <w:spacing w:line="240" w:lineRule="auto"/>
              <w:ind w:firstLine="0"/>
              <w:rPr>
                <w:b/>
                <w:bCs/>
                <w:i/>
                <w:iCs/>
              </w:rPr>
            </w:pPr>
            <w:r w:rsidRPr="004D46AC">
              <w:rPr>
                <w:color w:val="000000"/>
              </w:rPr>
              <w:t xml:space="preserve">0.22 </w:t>
            </w:r>
          </w:p>
        </w:tc>
      </w:tr>
      <w:tr w:rsidR="007075D9" w:rsidRPr="004D46AC" w14:paraId="22A38C90" w14:textId="77777777" w:rsidTr="00B518F1">
        <w:tc>
          <w:tcPr>
            <w:tcW w:w="1434" w:type="dxa"/>
            <w:vAlign w:val="center"/>
          </w:tcPr>
          <w:p w14:paraId="1CE318C5" w14:textId="77777777" w:rsidR="007075D9" w:rsidRPr="004D46AC" w:rsidRDefault="007075D9" w:rsidP="00CE2F7A">
            <w:pPr>
              <w:spacing w:line="240" w:lineRule="auto"/>
              <w:ind w:firstLine="0"/>
              <w:rPr>
                <w:b/>
                <w:bCs/>
                <w:i/>
                <w:iCs/>
              </w:rPr>
            </w:pPr>
            <w:r w:rsidRPr="004D46AC">
              <w:rPr>
                <w:rFonts w:eastAsia="DengXian"/>
                <w:color w:val="000000"/>
              </w:rPr>
              <w:t>P2--M6</w:t>
            </w:r>
          </w:p>
        </w:tc>
        <w:tc>
          <w:tcPr>
            <w:tcW w:w="1687" w:type="dxa"/>
            <w:vAlign w:val="center"/>
          </w:tcPr>
          <w:p w14:paraId="4F3A020D"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F6D9E4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B5F4AFD"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01CCA35B"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495F6924" w14:textId="77777777" w:rsidTr="00B518F1">
        <w:tc>
          <w:tcPr>
            <w:tcW w:w="1434" w:type="dxa"/>
            <w:vAlign w:val="center"/>
          </w:tcPr>
          <w:p w14:paraId="7754341F" w14:textId="77777777" w:rsidR="007075D9" w:rsidRPr="004D46AC" w:rsidRDefault="007075D9" w:rsidP="00CE2F7A">
            <w:pPr>
              <w:spacing w:line="240" w:lineRule="auto"/>
              <w:ind w:firstLine="0"/>
              <w:rPr>
                <w:b/>
                <w:bCs/>
                <w:i/>
                <w:iCs/>
              </w:rPr>
            </w:pPr>
            <w:r w:rsidRPr="004D46AC">
              <w:rPr>
                <w:rFonts w:eastAsia="DengXian"/>
                <w:color w:val="000000"/>
              </w:rPr>
              <w:t>M8--SP</w:t>
            </w:r>
          </w:p>
        </w:tc>
        <w:tc>
          <w:tcPr>
            <w:tcW w:w="1687" w:type="dxa"/>
            <w:vAlign w:val="center"/>
          </w:tcPr>
          <w:p w14:paraId="746088DD"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366F6D03"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BB5E720"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3C70AB10" w14:textId="77777777" w:rsidR="007075D9" w:rsidRPr="004D46AC" w:rsidRDefault="007075D9" w:rsidP="00CE2F7A">
            <w:pPr>
              <w:spacing w:line="240" w:lineRule="auto"/>
              <w:ind w:firstLine="0"/>
              <w:rPr>
                <w:b/>
                <w:bCs/>
                <w:i/>
                <w:iCs/>
              </w:rPr>
            </w:pPr>
            <w:r w:rsidRPr="004D46AC">
              <w:rPr>
                <w:color w:val="000000"/>
              </w:rPr>
              <w:t xml:space="preserve">0.25 </w:t>
            </w:r>
          </w:p>
        </w:tc>
      </w:tr>
      <w:tr w:rsidR="007075D9" w:rsidRPr="004D46AC" w14:paraId="66735C61" w14:textId="77777777" w:rsidTr="00B518F1">
        <w:tc>
          <w:tcPr>
            <w:tcW w:w="1434" w:type="dxa"/>
            <w:vAlign w:val="center"/>
          </w:tcPr>
          <w:p w14:paraId="6C516C3B" w14:textId="77777777" w:rsidR="007075D9" w:rsidRPr="004D46AC" w:rsidRDefault="007075D9" w:rsidP="00CE2F7A">
            <w:pPr>
              <w:spacing w:line="240" w:lineRule="auto"/>
              <w:ind w:firstLine="0"/>
              <w:rPr>
                <w:b/>
                <w:bCs/>
                <w:i/>
                <w:iCs/>
              </w:rPr>
            </w:pPr>
            <w:r w:rsidRPr="004D46AC">
              <w:rPr>
                <w:rFonts w:eastAsia="DengXian"/>
                <w:color w:val="000000"/>
              </w:rPr>
              <w:t>P3--M8</w:t>
            </w:r>
          </w:p>
        </w:tc>
        <w:tc>
          <w:tcPr>
            <w:tcW w:w="1687" w:type="dxa"/>
            <w:vAlign w:val="center"/>
          </w:tcPr>
          <w:p w14:paraId="0AB211B1"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C5D6952"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569E6D91"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16DE3A68" w14:textId="77777777" w:rsidR="007075D9" w:rsidRPr="004D46AC" w:rsidRDefault="007075D9" w:rsidP="00CE2F7A">
            <w:pPr>
              <w:spacing w:line="240" w:lineRule="auto"/>
              <w:ind w:firstLine="0"/>
              <w:rPr>
                <w:b/>
                <w:bCs/>
                <w:i/>
                <w:iCs/>
              </w:rPr>
            </w:pPr>
            <w:r w:rsidRPr="004D46AC">
              <w:rPr>
                <w:color w:val="000000"/>
              </w:rPr>
              <w:t xml:space="preserve">0.28 </w:t>
            </w:r>
          </w:p>
        </w:tc>
      </w:tr>
      <w:tr w:rsidR="007075D9" w:rsidRPr="004D46AC" w14:paraId="1EC393C0" w14:textId="77777777" w:rsidTr="00B518F1">
        <w:tc>
          <w:tcPr>
            <w:tcW w:w="1434" w:type="dxa"/>
            <w:vAlign w:val="center"/>
          </w:tcPr>
          <w:p w14:paraId="72ABE2B5" w14:textId="77777777" w:rsidR="007075D9" w:rsidRPr="004D46AC" w:rsidRDefault="007075D9" w:rsidP="00CE2F7A">
            <w:pPr>
              <w:spacing w:line="240" w:lineRule="auto"/>
              <w:ind w:firstLine="0"/>
              <w:rPr>
                <w:b/>
                <w:bCs/>
                <w:i/>
                <w:iCs/>
              </w:rPr>
            </w:pPr>
            <w:r w:rsidRPr="004D46AC">
              <w:rPr>
                <w:rFonts w:eastAsia="DengXian"/>
                <w:color w:val="000000"/>
              </w:rPr>
              <w:t>P3--M10</w:t>
            </w:r>
          </w:p>
        </w:tc>
        <w:tc>
          <w:tcPr>
            <w:tcW w:w="1687" w:type="dxa"/>
            <w:vAlign w:val="center"/>
          </w:tcPr>
          <w:p w14:paraId="4725220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69846ED"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AE5FC1E"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7405D4DA" w14:textId="77777777" w:rsidR="007075D9" w:rsidRPr="004D46AC" w:rsidRDefault="007075D9" w:rsidP="00CE2F7A">
            <w:pPr>
              <w:spacing w:line="240" w:lineRule="auto"/>
              <w:ind w:firstLine="0"/>
              <w:rPr>
                <w:b/>
                <w:bCs/>
                <w:i/>
                <w:iCs/>
              </w:rPr>
            </w:pPr>
            <w:r w:rsidRPr="004D46AC">
              <w:rPr>
                <w:color w:val="000000"/>
              </w:rPr>
              <w:t xml:space="preserve">0.19 </w:t>
            </w:r>
          </w:p>
        </w:tc>
      </w:tr>
      <w:tr w:rsidR="007075D9" w:rsidRPr="004D46AC" w14:paraId="3B539606" w14:textId="77777777" w:rsidTr="00B518F1">
        <w:tc>
          <w:tcPr>
            <w:tcW w:w="1434" w:type="dxa"/>
            <w:vAlign w:val="center"/>
          </w:tcPr>
          <w:p w14:paraId="5007FD99" w14:textId="77777777" w:rsidR="007075D9" w:rsidRPr="004D46AC" w:rsidRDefault="007075D9" w:rsidP="00CE2F7A">
            <w:pPr>
              <w:spacing w:line="240" w:lineRule="auto"/>
              <w:ind w:firstLine="0"/>
              <w:rPr>
                <w:b/>
                <w:bCs/>
                <w:i/>
                <w:iCs/>
              </w:rPr>
            </w:pPr>
            <w:r w:rsidRPr="004D46AC">
              <w:rPr>
                <w:rFonts w:eastAsia="DengXian"/>
                <w:color w:val="000000"/>
              </w:rPr>
              <w:t>IA--M8</w:t>
            </w:r>
          </w:p>
        </w:tc>
        <w:tc>
          <w:tcPr>
            <w:tcW w:w="1687" w:type="dxa"/>
            <w:vAlign w:val="center"/>
          </w:tcPr>
          <w:p w14:paraId="5D98B00C"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5A6918E"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22ABC38"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5C837CB2" w14:textId="77777777" w:rsidR="007075D9" w:rsidRPr="004D46AC" w:rsidRDefault="007075D9" w:rsidP="00CE2F7A">
            <w:pPr>
              <w:spacing w:line="240" w:lineRule="auto"/>
              <w:ind w:firstLine="0"/>
              <w:rPr>
                <w:b/>
                <w:bCs/>
                <w:i/>
                <w:iCs/>
              </w:rPr>
            </w:pPr>
            <w:r w:rsidRPr="004D46AC">
              <w:rPr>
                <w:color w:val="000000"/>
              </w:rPr>
              <w:t xml:space="preserve">0.27 </w:t>
            </w:r>
          </w:p>
        </w:tc>
      </w:tr>
      <w:tr w:rsidR="007075D9" w:rsidRPr="004D46AC" w14:paraId="5FD96E1A" w14:textId="77777777" w:rsidTr="00B518F1">
        <w:tc>
          <w:tcPr>
            <w:tcW w:w="1434" w:type="dxa"/>
            <w:vAlign w:val="center"/>
          </w:tcPr>
          <w:p w14:paraId="10AF4A76" w14:textId="77777777" w:rsidR="007075D9" w:rsidRPr="004D46AC" w:rsidRDefault="007075D9" w:rsidP="00CE2F7A">
            <w:pPr>
              <w:spacing w:line="240" w:lineRule="auto"/>
              <w:ind w:firstLine="0"/>
              <w:rPr>
                <w:b/>
                <w:bCs/>
                <w:i/>
                <w:iCs/>
              </w:rPr>
            </w:pPr>
            <w:r w:rsidRPr="004D46AC">
              <w:rPr>
                <w:rFonts w:eastAsia="DengXian"/>
                <w:color w:val="000000"/>
              </w:rPr>
              <w:t>M5--M6</w:t>
            </w:r>
          </w:p>
        </w:tc>
        <w:tc>
          <w:tcPr>
            <w:tcW w:w="1687" w:type="dxa"/>
            <w:vAlign w:val="center"/>
          </w:tcPr>
          <w:p w14:paraId="2FC84205"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09999A7"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FA85B5C"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48C59B08" w14:textId="77777777" w:rsidR="007075D9" w:rsidRPr="004D46AC" w:rsidRDefault="007075D9" w:rsidP="00CE2F7A">
            <w:pPr>
              <w:spacing w:line="240" w:lineRule="auto"/>
              <w:ind w:firstLine="0"/>
              <w:rPr>
                <w:b/>
                <w:bCs/>
                <w:i/>
                <w:iCs/>
              </w:rPr>
            </w:pPr>
            <w:r w:rsidRPr="004D46AC">
              <w:rPr>
                <w:color w:val="000000"/>
              </w:rPr>
              <w:t xml:space="preserve">0.25 </w:t>
            </w:r>
          </w:p>
        </w:tc>
      </w:tr>
      <w:tr w:rsidR="007075D9" w:rsidRPr="004D46AC" w14:paraId="4BAF13D0" w14:textId="77777777" w:rsidTr="00B518F1">
        <w:tc>
          <w:tcPr>
            <w:tcW w:w="1434" w:type="dxa"/>
            <w:vAlign w:val="center"/>
          </w:tcPr>
          <w:p w14:paraId="3361C060" w14:textId="77777777" w:rsidR="007075D9" w:rsidRPr="004D46AC" w:rsidRDefault="007075D9" w:rsidP="00CE2F7A">
            <w:pPr>
              <w:spacing w:line="240" w:lineRule="auto"/>
              <w:ind w:firstLine="0"/>
              <w:rPr>
                <w:b/>
                <w:bCs/>
                <w:i/>
                <w:iCs/>
              </w:rPr>
            </w:pPr>
            <w:r w:rsidRPr="004D46AC">
              <w:rPr>
                <w:rFonts w:eastAsia="DengXian"/>
                <w:color w:val="000000"/>
              </w:rPr>
              <w:t>P4--Y11</w:t>
            </w:r>
          </w:p>
        </w:tc>
        <w:tc>
          <w:tcPr>
            <w:tcW w:w="1687" w:type="dxa"/>
            <w:vAlign w:val="center"/>
          </w:tcPr>
          <w:p w14:paraId="481DF00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3F8F0002"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C002C08"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5DA630E8" w14:textId="77777777" w:rsidR="007075D9" w:rsidRPr="004D46AC" w:rsidRDefault="007075D9" w:rsidP="00CE2F7A">
            <w:pPr>
              <w:spacing w:line="240" w:lineRule="auto"/>
              <w:ind w:firstLine="0"/>
              <w:rPr>
                <w:b/>
                <w:bCs/>
                <w:i/>
                <w:iCs/>
              </w:rPr>
            </w:pPr>
            <w:r w:rsidRPr="004D46AC">
              <w:rPr>
                <w:color w:val="000000"/>
              </w:rPr>
              <w:t xml:space="preserve">0.21 </w:t>
            </w:r>
          </w:p>
        </w:tc>
      </w:tr>
      <w:tr w:rsidR="007075D9" w:rsidRPr="004D46AC" w14:paraId="5FA8A503" w14:textId="77777777" w:rsidTr="00B518F1">
        <w:tc>
          <w:tcPr>
            <w:tcW w:w="1434" w:type="dxa"/>
            <w:vAlign w:val="center"/>
          </w:tcPr>
          <w:p w14:paraId="1698031C" w14:textId="77777777" w:rsidR="007075D9" w:rsidRPr="004D46AC" w:rsidRDefault="007075D9" w:rsidP="00CE2F7A">
            <w:pPr>
              <w:spacing w:line="240" w:lineRule="auto"/>
              <w:ind w:firstLine="0"/>
              <w:rPr>
                <w:b/>
                <w:bCs/>
                <w:i/>
                <w:iCs/>
              </w:rPr>
            </w:pPr>
            <w:r w:rsidRPr="004D46AC">
              <w:rPr>
                <w:rFonts w:eastAsia="DengXian"/>
                <w:color w:val="000000"/>
              </w:rPr>
              <w:t>P2--P3</w:t>
            </w:r>
          </w:p>
        </w:tc>
        <w:tc>
          <w:tcPr>
            <w:tcW w:w="1687" w:type="dxa"/>
            <w:vAlign w:val="center"/>
          </w:tcPr>
          <w:p w14:paraId="60BBF5E7"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25D5899E"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C0D3F0E"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7338A897" w14:textId="77777777" w:rsidR="007075D9" w:rsidRPr="004D46AC" w:rsidRDefault="007075D9" w:rsidP="00CE2F7A">
            <w:pPr>
              <w:spacing w:line="240" w:lineRule="auto"/>
              <w:ind w:firstLine="0"/>
              <w:rPr>
                <w:b/>
                <w:bCs/>
                <w:i/>
                <w:iCs/>
              </w:rPr>
            </w:pPr>
            <w:r w:rsidRPr="004D46AC">
              <w:rPr>
                <w:color w:val="000000"/>
              </w:rPr>
              <w:t xml:space="preserve">0.29 </w:t>
            </w:r>
          </w:p>
        </w:tc>
      </w:tr>
      <w:tr w:rsidR="007075D9" w:rsidRPr="004D46AC" w14:paraId="27787547" w14:textId="77777777" w:rsidTr="00B518F1">
        <w:tc>
          <w:tcPr>
            <w:tcW w:w="1434" w:type="dxa"/>
            <w:vAlign w:val="center"/>
          </w:tcPr>
          <w:p w14:paraId="63CF3D2D" w14:textId="77777777" w:rsidR="007075D9" w:rsidRPr="004D46AC" w:rsidRDefault="007075D9" w:rsidP="00CE2F7A">
            <w:pPr>
              <w:spacing w:line="240" w:lineRule="auto"/>
              <w:ind w:firstLine="0"/>
              <w:rPr>
                <w:b/>
                <w:bCs/>
                <w:i/>
                <w:iCs/>
              </w:rPr>
            </w:pPr>
            <w:r w:rsidRPr="004D46AC">
              <w:rPr>
                <w:rFonts w:eastAsia="DengXian"/>
                <w:color w:val="000000"/>
              </w:rPr>
              <w:t>Y10--M9</w:t>
            </w:r>
          </w:p>
        </w:tc>
        <w:tc>
          <w:tcPr>
            <w:tcW w:w="1687" w:type="dxa"/>
            <w:vAlign w:val="center"/>
          </w:tcPr>
          <w:p w14:paraId="206AE66E"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016BFD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43CA3F39"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40E83650" w14:textId="77777777" w:rsidR="007075D9" w:rsidRPr="004D46AC" w:rsidRDefault="007075D9" w:rsidP="00CE2F7A">
            <w:pPr>
              <w:spacing w:line="240" w:lineRule="auto"/>
              <w:ind w:firstLine="0"/>
              <w:rPr>
                <w:b/>
                <w:bCs/>
                <w:i/>
                <w:iCs/>
              </w:rPr>
            </w:pPr>
            <w:r w:rsidRPr="004D46AC">
              <w:rPr>
                <w:color w:val="000000"/>
              </w:rPr>
              <w:t xml:space="preserve">0.35 </w:t>
            </w:r>
          </w:p>
        </w:tc>
      </w:tr>
      <w:tr w:rsidR="007075D9" w:rsidRPr="004D46AC" w14:paraId="1CFCE394" w14:textId="77777777" w:rsidTr="00B518F1">
        <w:tc>
          <w:tcPr>
            <w:tcW w:w="1434" w:type="dxa"/>
            <w:vAlign w:val="center"/>
          </w:tcPr>
          <w:p w14:paraId="5337F2F1" w14:textId="77777777" w:rsidR="007075D9" w:rsidRPr="004D46AC" w:rsidRDefault="007075D9" w:rsidP="00CE2F7A">
            <w:pPr>
              <w:spacing w:line="240" w:lineRule="auto"/>
              <w:ind w:firstLine="0"/>
              <w:rPr>
                <w:b/>
                <w:bCs/>
                <w:i/>
                <w:iCs/>
              </w:rPr>
            </w:pPr>
            <w:r w:rsidRPr="004D46AC">
              <w:rPr>
                <w:rFonts w:eastAsia="DengXian"/>
                <w:color w:val="000000"/>
              </w:rPr>
              <w:t>N7--IA</w:t>
            </w:r>
          </w:p>
        </w:tc>
        <w:tc>
          <w:tcPr>
            <w:tcW w:w="1687" w:type="dxa"/>
            <w:vAlign w:val="center"/>
          </w:tcPr>
          <w:p w14:paraId="246FF2B3"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75BE8D1F"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2A38E522"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63BB2164" w14:textId="77777777" w:rsidR="007075D9" w:rsidRPr="004D46AC" w:rsidRDefault="007075D9" w:rsidP="00CE2F7A">
            <w:pPr>
              <w:spacing w:line="240" w:lineRule="auto"/>
              <w:ind w:firstLine="0"/>
              <w:rPr>
                <w:b/>
                <w:bCs/>
                <w:i/>
                <w:iCs/>
              </w:rPr>
            </w:pPr>
            <w:r w:rsidRPr="004D46AC">
              <w:rPr>
                <w:color w:val="000000"/>
              </w:rPr>
              <w:t xml:space="preserve">0.30 </w:t>
            </w:r>
          </w:p>
        </w:tc>
      </w:tr>
      <w:tr w:rsidR="007075D9" w:rsidRPr="004D46AC" w14:paraId="1E74632A" w14:textId="77777777" w:rsidTr="00B518F1">
        <w:tc>
          <w:tcPr>
            <w:tcW w:w="1434" w:type="dxa"/>
            <w:vAlign w:val="center"/>
          </w:tcPr>
          <w:p w14:paraId="2CB36DF9" w14:textId="77777777" w:rsidR="007075D9" w:rsidRPr="004D46AC" w:rsidRDefault="007075D9" w:rsidP="00CE2F7A">
            <w:pPr>
              <w:spacing w:line="240" w:lineRule="auto"/>
              <w:ind w:firstLine="0"/>
              <w:rPr>
                <w:b/>
                <w:bCs/>
                <w:i/>
                <w:iCs/>
              </w:rPr>
            </w:pPr>
            <w:r w:rsidRPr="004D46AC">
              <w:rPr>
                <w:rFonts w:eastAsia="DengXian"/>
                <w:color w:val="000000"/>
              </w:rPr>
              <w:t>P2--Y11</w:t>
            </w:r>
          </w:p>
        </w:tc>
        <w:tc>
          <w:tcPr>
            <w:tcW w:w="1687" w:type="dxa"/>
            <w:vAlign w:val="center"/>
          </w:tcPr>
          <w:p w14:paraId="7A8EAEB0"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ED08FD8"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22B3FB0" w14:textId="77777777" w:rsidR="007075D9" w:rsidRPr="004D46AC" w:rsidRDefault="007075D9" w:rsidP="00CE2F7A">
            <w:pPr>
              <w:spacing w:line="240" w:lineRule="auto"/>
              <w:ind w:firstLine="0"/>
              <w:rPr>
                <w:b/>
                <w:bCs/>
                <w:i/>
                <w:iCs/>
              </w:rPr>
            </w:pPr>
            <w:r w:rsidRPr="004D46AC">
              <w:rPr>
                <w:color w:val="000000"/>
              </w:rPr>
              <w:t xml:space="preserve">0.08 </w:t>
            </w:r>
          </w:p>
        </w:tc>
        <w:tc>
          <w:tcPr>
            <w:tcW w:w="1443" w:type="dxa"/>
            <w:vAlign w:val="center"/>
          </w:tcPr>
          <w:p w14:paraId="40372432" w14:textId="77777777" w:rsidR="007075D9" w:rsidRPr="004D46AC" w:rsidRDefault="007075D9" w:rsidP="00CE2F7A">
            <w:pPr>
              <w:spacing w:line="240" w:lineRule="auto"/>
              <w:ind w:firstLine="0"/>
              <w:rPr>
                <w:b/>
                <w:bCs/>
                <w:i/>
                <w:iCs/>
              </w:rPr>
            </w:pPr>
            <w:r w:rsidRPr="004D46AC">
              <w:rPr>
                <w:color w:val="000000"/>
              </w:rPr>
              <w:t xml:space="preserve">0.22 </w:t>
            </w:r>
          </w:p>
        </w:tc>
      </w:tr>
      <w:tr w:rsidR="007075D9" w:rsidRPr="004D46AC" w14:paraId="5B7C6C14" w14:textId="77777777" w:rsidTr="00B518F1">
        <w:tc>
          <w:tcPr>
            <w:tcW w:w="1434" w:type="dxa"/>
            <w:vAlign w:val="center"/>
          </w:tcPr>
          <w:p w14:paraId="720D034B" w14:textId="77777777" w:rsidR="007075D9" w:rsidRPr="004D46AC" w:rsidRDefault="007075D9" w:rsidP="00CE2F7A">
            <w:pPr>
              <w:spacing w:line="240" w:lineRule="auto"/>
              <w:ind w:firstLine="0"/>
              <w:rPr>
                <w:b/>
                <w:bCs/>
                <w:i/>
                <w:iCs/>
              </w:rPr>
            </w:pPr>
            <w:r w:rsidRPr="004D46AC">
              <w:rPr>
                <w:rFonts w:eastAsia="DengXian"/>
                <w:color w:val="000000"/>
              </w:rPr>
              <w:t>IA--M2</w:t>
            </w:r>
          </w:p>
        </w:tc>
        <w:tc>
          <w:tcPr>
            <w:tcW w:w="1687" w:type="dxa"/>
            <w:vAlign w:val="center"/>
          </w:tcPr>
          <w:p w14:paraId="7844478F"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6E7A27C4"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5F547CEB"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474920CE" w14:textId="77777777" w:rsidR="007075D9" w:rsidRPr="004D46AC" w:rsidRDefault="007075D9" w:rsidP="00CE2F7A">
            <w:pPr>
              <w:spacing w:line="240" w:lineRule="auto"/>
              <w:ind w:firstLine="0"/>
              <w:rPr>
                <w:b/>
                <w:bCs/>
                <w:i/>
                <w:iCs/>
              </w:rPr>
            </w:pPr>
            <w:r w:rsidRPr="004D46AC">
              <w:rPr>
                <w:color w:val="000000"/>
              </w:rPr>
              <w:t xml:space="preserve">0.24 </w:t>
            </w:r>
          </w:p>
        </w:tc>
      </w:tr>
      <w:tr w:rsidR="007075D9" w:rsidRPr="004D46AC" w14:paraId="16E3A926" w14:textId="77777777" w:rsidTr="00B518F1">
        <w:tc>
          <w:tcPr>
            <w:tcW w:w="1434" w:type="dxa"/>
            <w:vAlign w:val="center"/>
          </w:tcPr>
          <w:p w14:paraId="4F4B3506" w14:textId="77777777" w:rsidR="007075D9" w:rsidRPr="004D46AC" w:rsidRDefault="007075D9" w:rsidP="00CE2F7A">
            <w:pPr>
              <w:spacing w:line="240" w:lineRule="auto"/>
              <w:ind w:firstLine="0"/>
              <w:rPr>
                <w:b/>
                <w:bCs/>
                <w:i/>
                <w:iCs/>
              </w:rPr>
            </w:pPr>
            <w:r w:rsidRPr="004D46AC">
              <w:rPr>
                <w:rFonts w:eastAsia="DengXian"/>
                <w:color w:val="000000"/>
              </w:rPr>
              <w:t>P3--M5</w:t>
            </w:r>
          </w:p>
        </w:tc>
        <w:tc>
          <w:tcPr>
            <w:tcW w:w="1687" w:type="dxa"/>
            <w:vAlign w:val="center"/>
          </w:tcPr>
          <w:p w14:paraId="133E0764"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DAE437F"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1603382"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52A4C9EF" w14:textId="77777777" w:rsidR="007075D9" w:rsidRPr="004D46AC" w:rsidRDefault="007075D9" w:rsidP="00CE2F7A">
            <w:pPr>
              <w:spacing w:line="240" w:lineRule="auto"/>
              <w:ind w:firstLine="0"/>
              <w:rPr>
                <w:b/>
                <w:bCs/>
                <w:i/>
                <w:iCs/>
              </w:rPr>
            </w:pPr>
            <w:r w:rsidRPr="004D46AC">
              <w:rPr>
                <w:color w:val="000000"/>
              </w:rPr>
              <w:t xml:space="preserve">0.23 </w:t>
            </w:r>
          </w:p>
        </w:tc>
      </w:tr>
      <w:tr w:rsidR="007075D9" w:rsidRPr="004D46AC" w14:paraId="4E0E0269" w14:textId="77777777" w:rsidTr="00B518F1">
        <w:tc>
          <w:tcPr>
            <w:tcW w:w="1434" w:type="dxa"/>
            <w:vAlign w:val="center"/>
          </w:tcPr>
          <w:p w14:paraId="36DCC9AF" w14:textId="77777777" w:rsidR="007075D9" w:rsidRPr="004D46AC" w:rsidRDefault="007075D9" w:rsidP="00CE2F7A">
            <w:pPr>
              <w:spacing w:line="240" w:lineRule="auto"/>
              <w:ind w:firstLine="0"/>
              <w:rPr>
                <w:b/>
                <w:bCs/>
                <w:i/>
                <w:iCs/>
              </w:rPr>
            </w:pPr>
            <w:r w:rsidRPr="004D46AC">
              <w:rPr>
                <w:rFonts w:eastAsia="DengXian"/>
                <w:color w:val="000000"/>
              </w:rPr>
              <w:t>Y7--Y10</w:t>
            </w:r>
          </w:p>
        </w:tc>
        <w:tc>
          <w:tcPr>
            <w:tcW w:w="1687" w:type="dxa"/>
            <w:vAlign w:val="center"/>
          </w:tcPr>
          <w:p w14:paraId="4F31FED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4C0B3848"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57AED62"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37F1B087" w14:textId="77777777" w:rsidR="007075D9" w:rsidRPr="004D46AC" w:rsidRDefault="007075D9" w:rsidP="00CE2F7A">
            <w:pPr>
              <w:spacing w:line="240" w:lineRule="auto"/>
              <w:ind w:firstLine="0"/>
              <w:rPr>
                <w:b/>
                <w:bCs/>
                <w:i/>
                <w:iCs/>
              </w:rPr>
            </w:pPr>
            <w:r w:rsidRPr="004D46AC">
              <w:rPr>
                <w:color w:val="000000"/>
              </w:rPr>
              <w:t xml:space="preserve">0.41 </w:t>
            </w:r>
          </w:p>
        </w:tc>
      </w:tr>
      <w:tr w:rsidR="007075D9" w:rsidRPr="004D46AC" w14:paraId="72E67438" w14:textId="77777777" w:rsidTr="00B518F1">
        <w:tc>
          <w:tcPr>
            <w:tcW w:w="1434" w:type="dxa"/>
            <w:vAlign w:val="center"/>
          </w:tcPr>
          <w:p w14:paraId="0A7F480B" w14:textId="77777777" w:rsidR="007075D9" w:rsidRPr="004D46AC" w:rsidRDefault="007075D9" w:rsidP="00CE2F7A">
            <w:pPr>
              <w:spacing w:line="240" w:lineRule="auto"/>
              <w:ind w:firstLine="0"/>
              <w:rPr>
                <w:b/>
                <w:bCs/>
                <w:i/>
                <w:iCs/>
              </w:rPr>
            </w:pPr>
            <w:r w:rsidRPr="004D46AC">
              <w:rPr>
                <w:rFonts w:eastAsia="DengXian"/>
                <w:color w:val="000000"/>
              </w:rPr>
              <w:t>Y7--M3</w:t>
            </w:r>
          </w:p>
        </w:tc>
        <w:tc>
          <w:tcPr>
            <w:tcW w:w="1687" w:type="dxa"/>
            <w:vAlign w:val="center"/>
          </w:tcPr>
          <w:p w14:paraId="4FFB95ED" w14:textId="77777777" w:rsidR="007075D9" w:rsidRPr="004D46AC" w:rsidRDefault="007075D9" w:rsidP="00CE2F7A">
            <w:pPr>
              <w:spacing w:line="240" w:lineRule="auto"/>
              <w:ind w:firstLine="0"/>
              <w:rPr>
                <w:b/>
                <w:bCs/>
                <w:i/>
                <w:iCs/>
              </w:rPr>
            </w:pPr>
            <w:r w:rsidRPr="004D46AC">
              <w:rPr>
                <w:color w:val="000000"/>
              </w:rPr>
              <w:t xml:space="preserve">0.02 </w:t>
            </w:r>
          </w:p>
        </w:tc>
        <w:tc>
          <w:tcPr>
            <w:tcW w:w="1687" w:type="dxa"/>
            <w:vAlign w:val="center"/>
          </w:tcPr>
          <w:p w14:paraId="01B38D54"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60417607"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4A59D252" w14:textId="77777777" w:rsidR="007075D9" w:rsidRPr="004D46AC" w:rsidRDefault="007075D9" w:rsidP="00CE2F7A">
            <w:pPr>
              <w:spacing w:line="240" w:lineRule="auto"/>
              <w:ind w:firstLine="0"/>
              <w:rPr>
                <w:b/>
                <w:bCs/>
                <w:i/>
                <w:iCs/>
              </w:rPr>
            </w:pPr>
            <w:r w:rsidRPr="004D46AC">
              <w:rPr>
                <w:color w:val="000000"/>
              </w:rPr>
              <w:t xml:space="preserve">0.41 </w:t>
            </w:r>
          </w:p>
        </w:tc>
      </w:tr>
      <w:tr w:rsidR="007075D9" w:rsidRPr="004D46AC" w14:paraId="3A6F494D" w14:textId="77777777" w:rsidTr="00B518F1">
        <w:tc>
          <w:tcPr>
            <w:tcW w:w="1434" w:type="dxa"/>
            <w:vAlign w:val="center"/>
          </w:tcPr>
          <w:p w14:paraId="0E057FC8" w14:textId="77777777" w:rsidR="007075D9" w:rsidRPr="004D46AC" w:rsidRDefault="007075D9" w:rsidP="00CE2F7A">
            <w:pPr>
              <w:spacing w:line="240" w:lineRule="auto"/>
              <w:ind w:firstLine="0"/>
              <w:rPr>
                <w:b/>
                <w:bCs/>
                <w:i/>
                <w:iCs/>
              </w:rPr>
            </w:pPr>
            <w:r w:rsidRPr="004D46AC">
              <w:rPr>
                <w:rFonts w:eastAsia="DengXian"/>
                <w:color w:val="000000"/>
              </w:rPr>
              <w:t>P3--P4</w:t>
            </w:r>
          </w:p>
        </w:tc>
        <w:tc>
          <w:tcPr>
            <w:tcW w:w="1687" w:type="dxa"/>
            <w:vAlign w:val="center"/>
          </w:tcPr>
          <w:p w14:paraId="0403E3D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4477955"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5067264"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435F4F3A" w14:textId="77777777" w:rsidR="007075D9" w:rsidRPr="004D46AC" w:rsidRDefault="007075D9" w:rsidP="00CE2F7A">
            <w:pPr>
              <w:spacing w:line="240" w:lineRule="auto"/>
              <w:ind w:firstLine="0"/>
              <w:rPr>
                <w:b/>
                <w:bCs/>
                <w:i/>
                <w:iCs/>
              </w:rPr>
            </w:pPr>
            <w:r w:rsidRPr="004D46AC">
              <w:rPr>
                <w:color w:val="000000"/>
              </w:rPr>
              <w:t xml:space="preserve">0.33 </w:t>
            </w:r>
          </w:p>
        </w:tc>
      </w:tr>
      <w:tr w:rsidR="007075D9" w:rsidRPr="004D46AC" w14:paraId="2D5C7B7A" w14:textId="77777777" w:rsidTr="00B518F1">
        <w:tc>
          <w:tcPr>
            <w:tcW w:w="1434" w:type="dxa"/>
            <w:vAlign w:val="center"/>
          </w:tcPr>
          <w:p w14:paraId="5A5BD1A8" w14:textId="77777777" w:rsidR="007075D9" w:rsidRPr="004D46AC" w:rsidRDefault="007075D9" w:rsidP="00CE2F7A">
            <w:pPr>
              <w:spacing w:line="240" w:lineRule="auto"/>
              <w:ind w:firstLine="0"/>
              <w:rPr>
                <w:b/>
                <w:bCs/>
                <w:i/>
                <w:iCs/>
              </w:rPr>
            </w:pPr>
            <w:r w:rsidRPr="004D46AC">
              <w:rPr>
                <w:rFonts w:eastAsia="DengXian"/>
                <w:color w:val="000000"/>
              </w:rPr>
              <w:t>ME--IA</w:t>
            </w:r>
          </w:p>
        </w:tc>
        <w:tc>
          <w:tcPr>
            <w:tcW w:w="1687" w:type="dxa"/>
            <w:vAlign w:val="center"/>
          </w:tcPr>
          <w:p w14:paraId="0F870D33"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B1217F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02E7903"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61E51B7D" w14:textId="77777777" w:rsidR="007075D9" w:rsidRPr="004D46AC" w:rsidRDefault="007075D9" w:rsidP="00CE2F7A">
            <w:pPr>
              <w:spacing w:line="240" w:lineRule="auto"/>
              <w:ind w:firstLine="0"/>
              <w:rPr>
                <w:b/>
                <w:bCs/>
                <w:i/>
                <w:iCs/>
              </w:rPr>
            </w:pPr>
            <w:r w:rsidRPr="004D46AC">
              <w:rPr>
                <w:color w:val="000000"/>
              </w:rPr>
              <w:t xml:space="preserve">0.28 </w:t>
            </w:r>
          </w:p>
        </w:tc>
      </w:tr>
      <w:tr w:rsidR="007075D9" w:rsidRPr="004D46AC" w14:paraId="4BAD8260" w14:textId="77777777" w:rsidTr="00B518F1">
        <w:tc>
          <w:tcPr>
            <w:tcW w:w="1434" w:type="dxa"/>
            <w:vAlign w:val="center"/>
          </w:tcPr>
          <w:p w14:paraId="4FF9D4D5" w14:textId="77777777" w:rsidR="007075D9" w:rsidRPr="004D46AC" w:rsidRDefault="007075D9" w:rsidP="00CE2F7A">
            <w:pPr>
              <w:spacing w:line="240" w:lineRule="auto"/>
              <w:ind w:firstLine="0"/>
              <w:rPr>
                <w:b/>
                <w:bCs/>
                <w:i/>
                <w:iCs/>
              </w:rPr>
            </w:pPr>
            <w:r w:rsidRPr="004D46AC">
              <w:rPr>
                <w:rFonts w:eastAsia="DengXian"/>
                <w:color w:val="000000"/>
              </w:rPr>
              <w:t>P2--N1</w:t>
            </w:r>
          </w:p>
        </w:tc>
        <w:tc>
          <w:tcPr>
            <w:tcW w:w="1687" w:type="dxa"/>
            <w:vAlign w:val="center"/>
          </w:tcPr>
          <w:p w14:paraId="3E66BD3B"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6764FB6"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3DCB357"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44D8C940" w14:textId="77777777" w:rsidR="007075D9" w:rsidRPr="004D46AC" w:rsidRDefault="007075D9" w:rsidP="00CE2F7A">
            <w:pPr>
              <w:spacing w:line="240" w:lineRule="auto"/>
              <w:ind w:firstLine="0"/>
              <w:rPr>
                <w:b/>
                <w:bCs/>
                <w:i/>
                <w:iCs/>
              </w:rPr>
            </w:pPr>
            <w:r w:rsidRPr="004D46AC">
              <w:rPr>
                <w:color w:val="000000"/>
              </w:rPr>
              <w:t xml:space="preserve">0.26 </w:t>
            </w:r>
          </w:p>
        </w:tc>
      </w:tr>
      <w:tr w:rsidR="007075D9" w:rsidRPr="004D46AC" w14:paraId="06F459D4" w14:textId="77777777" w:rsidTr="00B518F1">
        <w:tc>
          <w:tcPr>
            <w:tcW w:w="1434" w:type="dxa"/>
            <w:vAlign w:val="center"/>
          </w:tcPr>
          <w:p w14:paraId="5A6F8CD1" w14:textId="77777777" w:rsidR="007075D9" w:rsidRPr="004D46AC" w:rsidRDefault="007075D9" w:rsidP="00CE2F7A">
            <w:pPr>
              <w:spacing w:line="240" w:lineRule="auto"/>
              <w:ind w:firstLine="0"/>
              <w:rPr>
                <w:b/>
                <w:bCs/>
                <w:i/>
                <w:iCs/>
              </w:rPr>
            </w:pPr>
            <w:r w:rsidRPr="004D46AC">
              <w:rPr>
                <w:rFonts w:eastAsia="DengXian"/>
                <w:color w:val="000000"/>
              </w:rPr>
              <w:t>P2--P5</w:t>
            </w:r>
          </w:p>
        </w:tc>
        <w:tc>
          <w:tcPr>
            <w:tcW w:w="1687" w:type="dxa"/>
            <w:vAlign w:val="center"/>
          </w:tcPr>
          <w:p w14:paraId="047A160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AAAE34D"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8DEF0FD"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4BD008F4" w14:textId="77777777" w:rsidR="007075D9" w:rsidRPr="004D46AC" w:rsidRDefault="007075D9" w:rsidP="00CE2F7A">
            <w:pPr>
              <w:spacing w:line="240" w:lineRule="auto"/>
              <w:ind w:firstLine="0"/>
              <w:rPr>
                <w:b/>
                <w:bCs/>
                <w:i/>
                <w:iCs/>
              </w:rPr>
            </w:pPr>
            <w:r w:rsidRPr="004D46AC">
              <w:rPr>
                <w:color w:val="000000"/>
              </w:rPr>
              <w:t xml:space="preserve">0.32 </w:t>
            </w:r>
          </w:p>
        </w:tc>
      </w:tr>
      <w:tr w:rsidR="007075D9" w:rsidRPr="004D46AC" w14:paraId="588B9565" w14:textId="77777777" w:rsidTr="00B518F1">
        <w:tc>
          <w:tcPr>
            <w:tcW w:w="1434" w:type="dxa"/>
            <w:vAlign w:val="center"/>
          </w:tcPr>
          <w:p w14:paraId="6726BDAE" w14:textId="77777777" w:rsidR="007075D9" w:rsidRPr="004D46AC" w:rsidRDefault="007075D9" w:rsidP="00CE2F7A">
            <w:pPr>
              <w:spacing w:line="240" w:lineRule="auto"/>
              <w:ind w:firstLine="0"/>
              <w:rPr>
                <w:b/>
                <w:bCs/>
                <w:i/>
                <w:iCs/>
              </w:rPr>
            </w:pPr>
            <w:r w:rsidRPr="004D46AC">
              <w:rPr>
                <w:rFonts w:eastAsia="DengXian"/>
                <w:color w:val="000000"/>
              </w:rPr>
              <w:t>N1--M2</w:t>
            </w:r>
          </w:p>
        </w:tc>
        <w:tc>
          <w:tcPr>
            <w:tcW w:w="1687" w:type="dxa"/>
            <w:vAlign w:val="center"/>
          </w:tcPr>
          <w:p w14:paraId="5447A7BB"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5BFAA3DF"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96D9447" w14:textId="77777777" w:rsidR="007075D9" w:rsidRPr="004D46AC" w:rsidRDefault="007075D9" w:rsidP="00CE2F7A">
            <w:pPr>
              <w:spacing w:line="240" w:lineRule="auto"/>
              <w:ind w:firstLine="0"/>
              <w:rPr>
                <w:b/>
                <w:bCs/>
                <w:i/>
                <w:iCs/>
              </w:rPr>
            </w:pPr>
            <w:r w:rsidRPr="004D46AC">
              <w:rPr>
                <w:color w:val="000000"/>
              </w:rPr>
              <w:t xml:space="preserve">0.07 </w:t>
            </w:r>
          </w:p>
        </w:tc>
        <w:tc>
          <w:tcPr>
            <w:tcW w:w="1443" w:type="dxa"/>
            <w:vAlign w:val="center"/>
          </w:tcPr>
          <w:p w14:paraId="3BDE41B5" w14:textId="77777777" w:rsidR="007075D9" w:rsidRPr="004D46AC" w:rsidRDefault="007075D9" w:rsidP="00CE2F7A">
            <w:pPr>
              <w:spacing w:line="240" w:lineRule="auto"/>
              <w:ind w:firstLine="0"/>
              <w:rPr>
                <w:b/>
                <w:bCs/>
                <w:i/>
                <w:iCs/>
              </w:rPr>
            </w:pPr>
            <w:r w:rsidRPr="004D46AC">
              <w:rPr>
                <w:color w:val="000000"/>
              </w:rPr>
              <w:t xml:space="preserve">0.18 </w:t>
            </w:r>
          </w:p>
        </w:tc>
      </w:tr>
      <w:tr w:rsidR="007075D9" w:rsidRPr="004D46AC" w14:paraId="6AC88AD2" w14:textId="77777777" w:rsidTr="00B518F1">
        <w:tc>
          <w:tcPr>
            <w:tcW w:w="1434" w:type="dxa"/>
            <w:vAlign w:val="center"/>
          </w:tcPr>
          <w:p w14:paraId="7DEF18F5" w14:textId="77777777" w:rsidR="007075D9" w:rsidRPr="004D46AC" w:rsidRDefault="007075D9" w:rsidP="00CE2F7A">
            <w:pPr>
              <w:spacing w:line="240" w:lineRule="auto"/>
              <w:ind w:firstLine="0"/>
              <w:rPr>
                <w:b/>
                <w:bCs/>
                <w:i/>
                <w:iCs/>
              </w:rPr>
            </w:pPr>
            <w:r w:rsidRPr="004D46AC">
              <w:rPr>
                <w:rFonts w:eastAsia="DengXian"/>
                <w:color w:val="000000"/>
              </w:rPr>
              <w:t>M7--M10</w:t>
            </w:r>
          </w:p>
        </w:tc>
        <w:tc>
          <w:tcPr>
            <w:tcW w:w="1687" w:type="dxa"/>
            <w:vAlign w:val="center"/>
          </w:tcPr>
          <w:p w14:paraId="589D63F7"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2910E967"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8D6D2C3"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34603B1D" w14:textId="77777777" w:rsidR="007075D9" w:rsidRPr="004D46AC" w:rsidRDefault="007075D9" w:rsidP="00CE2F7A">
            <w:pPr>
              <w:spacing w:line="240" w:lineRule="auto"/>
              <w:ind w:firstLine="0"/>
              <w:rPr>
                <w:b/>
                <w:bCs/>
                <w:i/>
                <w:iCs/>
              </w:rPr>
            </w:pPr>
            <w:r w:rsidRPr="004D46AC">
              <w:rPr>
                <w:color w:val="000000"/>
              </w:rPr>
              <w:t xml:space="preserve">0.33 </w:t>
            </w:r>
          </w:p>
        </w:tc>
      </w:tr>
      <w:tr w:rsidR="007075D9" w:rsidRPr="004D46AC" w14:paraId="42A3B380" w14:textId="77777777" w:rsidTr="00B518F1">
        <w:tc>
          <w:tcPr>
            <w:tcW w:w="1434" w:type="dxa"/>
            <w:vAlign w:val="center"/>
          </w:tcPr>
          <w:p w14:paraId="2A82787A" w14:textId="77777777" w:rsidR="007075D9" w:rsidRPr="004D46AC" w:rsidRDefault="007075D9" w:rsidP="00CE2F7A">
            <w:pPr>
              <w:spacing w:line="240" w:lineRule="auto"/>
              <w:ind w:firstLine="0"/>
              <w:rPr>
                <w:b/>
                <w:bCs/>
                <w:i/>
                <w:iCs/>
              </w:rPr>
            </w:pPr>
            <w:r w:rsidRPr="004D46AC">
              <w:rPr>
                <w:rFonts w:eastAsia="DengXian"/>
                <w:color w:val="000000"/>
              </w:rPr>
              <w:t>P6--M7</w:t>
            </w:r>
          </w:p>
        </w:tc>
        <w:tc>
          <w:tcPr>
            <w:tcW w:w="1687" w:type="dxa"/>
            <w:vAlign w:val="center"/>
          </w:tcPr>
          <w:p w14:paraId="6A54A03B"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B93F550"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636DDE6"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01EB803F" w14:textId="77777777" w:rsidR="007075D9" w:rsidRPr="004D46AC" w:rsidRDefault="007075D9" w:rsidP="00CE2F7A">
            <w:pPr>
              <w:spacing w:line="240" w:lineRule="auto"/>
              <w:ind w:firstLine="0"/>
              <w:rPr>
                <w:b/>
                <w:bCs/>
                <w:i/>
                <w:iCs/>
              </w:rPr>
            </w:pPr>
            <w:r w:rsidRPr="004D46AC">
              <w:rPr>
                <w:color w:val="000000"/>
              </w:rPr>
              <w:t xml:space="preserve">0.42 </w:t>
            </w:r>
          </w:p>
        </w:tc>
      </w:tr>
      <w:tr w:rsidR="007075D9" w:rsidRPr="004D46AC" w14:paraId="2335D493" w14:textId="77777777" w:rsidTr="00B518F1">
        <w:tc>
          <w:tcPr>
            <w:tcW w:w="1434" w:type="dxa"/>
            <w:vAlign w:val="center"/>
          </w:tcPr>
          <w:p w14:paraId="1D29FB57" w14:textId="77777777" w:rsidR="007075D9" w:rsidRPr="004D46AC" w:rsidRDefault="007075D9" w:rsidP="00CE2F7A">
            <w:pPr>
              <w:spacing w:line="240" w:lineRule="auto"/>
              <w:ind w:firstLine="0"/>
              <w:rPr>
                <w:b/>
                <w:bCs/>
                <w:i/>
                <w:iCs/>
              </w:rPr>
            </w:pPr>
            <w:r w:rsidRPr="004D46AC">
              <w:rPr>
                <w:rFonts w:eastAsia="DengXian"/>
                <w:color w:val="000000"/>
              </w:rPr>
              <w:t>Y3--IA</w:t>
            </w:r>
          </w:p>
        </w:tc>
        <w:tc>
          <w:tcPr>
            <w:tcW w:w="1687" w:type="dxa"/>
            <w:vAlign w:val="center"/>
          </w:tcPr>
          <w:p w14:paraId="6E9BE7CF"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6E18DAAB"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A89D6AB"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24FD4466" w14:textId="77777777" w:rsidR="007075D9" w:rsidRPr="004D46AC" w:rsidRDefault="007075D9" w:rsidP="00CE2F7A">
            <w:pPr>
              <w:spacing w:line="240" w:lineRule="auto"/>
              <w:ind w:firstLine="0"/>
              <w:rPr>
                <w:b/>
                <w:bCs/>
                <w:i/>
                <w:iCs/>
              </w:rPr>
            </w:pPr>
            <w:r w:rsidRPr="004D46AC">
              <w:rPr>
                <w:color w:val="000000"/>
              </w:rPr>
              <w:t xml:space="preserve">0.40 </w:t>
            </w:r>
          </w:p>
        </w:tc>
      </w:tr>
      <w:tr w:rsidR="007075D9" w:rsidRPr="004D46AC" w14:paraId="1424CFD3" w14:textId="77777777" w:rsidTr="00B518F1">
        <w:tc>
          <w:tcPr>
            <w:tcW w:w="1434" w:type="dxa"/>
            <w:vAlign w:val="center"/>
          </w:tcPr>
          <w:p w14:paraId="6328C4DF" w14:textId="77777777" w:rsidR="007075D9" w:rsidRPr="004D46AC" w:rsidRDefault="007075D9" w:rsidP="00CE2F7A">
            <w:pPr>
              <w:spacing w:line="240" w:lineRule="auto"/>
              <w:ind w:firstLine="0"/>
              <w:rPr>
                <w:b/>
                <w:bCs/>
                <w:i/>
                <w:iCs/>
              </w:rPr>
            </w:pPr>
            <w:r w:rsidRPr="004D46AC">
              <w:rPr>
                <w:rFonts w:eastAsia="DengXian"/>
                <w:color w:val="000000"/>
              </w:rPr>
              <w:lastRenderedPageBreak/>
              <w:t>P3--P5</w:t>
            </w:r>
          </w:p>
        </w:tc>
        <w:tc>
          <w:tcPr>
            <w:tcW w:w="1687" w:type="dxa"/>
            <w:vAlign w:val="center"/>
          </w:tcPr>
          <w:p w14:paraId="2E158511"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0A9E9FCA"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0264CE38"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7047F8E8" w14:textId="77777777" w:rsidR="007075D9" w:rsidRPr="004D46AC" w:rsidRDefault="007075D9" w:rsidP="00CE2F7A">
            <w:pPr>
              <w:spacing w:line="240" w:lineRule="auto"/>
              <w:ind w:firstLine="0"/>
              <w:rPr>
                <w:b/>
                <w:bCs/>
                <w:i/>
                <w:iCs/>
              </w:rPr>
            </w:pPr>
            <w:r w:rsidRPr="004D46AC">
              <w:rPr>
                <w:color w:val="000000"/>
              </w:rPr>
              <w:t xml:space="preserve">0.31 </w:t>
            </w:r>
          </w:p>
        </w:tc>
      </w:tr>
      <w:tr w:rsidR="007075D9" w:rsidRPr="004D46AC" w14:paraId="4F0C31B2" w14:textId="77777777" w:rsidTr="00B518F1">
        <w:tc>
          <w:tcPr>
            <w:tcW w:w="1434" w:type="dxa"/>
            <w:vAlign w:val="center"/>
          </w:tcPr>
          <w:p w14:paraId="63459FA7" w14:textId="77777777" w:rsidR="007075D9" w:rsidRPr="004D46AC" w:rsidRDefault="007075D9" w:rsidP="00CE2F7A">
            <w:pPr>
              <w:spacing w:line="240" w:lineRule="auto"/>
              <w:ind w:firstLine="0"/>
              <w:rPr>
                <w:b/>
                <w:bCs/>
                <w:i/>
                <w:iCs/>
              </w:rPr>
            </w:pPr>
            <w:r w:rsidRPr="004D46AC">
              <w:rPr>
                <w:rFonts w:eastAsia="DengXian"/>
                <w:color w:val="000000"/>
              </w:rPr>
              <w:t>M7--SP</w:t>
            </w:r>
          </w:p>
        </w:tc>
        <w:tc>
          <w:tcPr>
            <w:tcW w:w="1687" w:type="dxa"/>
            <w:vAlign w:val="center"/>
          </w:tcPr>
          <w:p w14:paraId="010AA6E2"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0B0DE15"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C448506"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1BB021C5" w14:textId="77777777" w:rsidR="007075D9" w:rsidRPr="004D46AC" w:rsidRDefault="007075D9" w:rsidP="00CE2F7A">
            <w:pPr>
              <w:spacing w:line="240" w:lineRule="auto"/>
              <w:ind w:firstLine="0"/>
              <w:rPr>
                <w:b/>
                <w:bCs/>
                <w:i/>
                <w:iCs/>
              </w:rPr>
            </w:pPr>
            <w:r w:rsidRPr="004D46AC">
              <w:rPr>
                <w:color w:val="000000"/>
              </w:rPr>
              <w:t xml:space="preserve">0.43 </w:t>
            </w:r>
          </w:p>
        </w:tc>
      </w:tr>
      <w:tr w:rsidR="007075D9" w:rsidRPr="004D46AC" w14:paraId="217D8A25" w14:textId="77777777" w:rsidTr="00B518F1">
        <w:tc>
          <w:tcPr>
            <w:tcW w:w="1434" w:type="dxa"/>
            <w:vAlign w:val="center"/>
          </w:tcPr>
          <w:p w14:paraId="21DB5D2C" w14:textId="77777777" w:rsidR="007075D9" w:rsidRPr="004D46AC" w:rsidRDefault="007075D9" w:rsidP="00CE2F7A">
            <w:pPr>
              <w:spacing w:line="240" w:lineRule="auto"/>
              <w:ind w:firstLine="0"/>
              <w:rPr>
                <w:b/>
                <w:bCs/>
                <w:i/>
                <w:iCs/>
              </w:rPr>
            </w:pPr>
            <w:r w:rsidRPr="004D46AC">
              <w:rPr>
                <w:rFonts w:eastAsia="DengXian"/>
                <w:color w:val="000000"/>
              </w:rPr>
              <w:t>ME--Y10</w:t>
            </w:r>
          </w:p>
        </w:tc>
        <w:tc>
          <w:tcPr>
            <w:tcW w:w="1687" w:type="dxa"/>
            <w:vAlign w:val="center"/>
          </w:tcPr>
          <w:p w14:paraId="77921CD9"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3B69B60E" w14:textId="77777777" w:rsidR="007075D9" w:rsidRPr="004D46AC" w:rsidRDefault="007075D9" w:rsidP="00CE2F7A">
            <w:pPr>
              <w:spacing w:line="240" w:lineRule="auto"/>
              <w:ind w:firstLine="0"/>
              <w:rPr>
                <w:b/>
                <w:bCs/>
                <w:i/>
                <w:iCs/>
              </w:rPr>
            </w:pPr>
            <w:r w:rsidRPr="004D46AC">
              <w:rPr>
                <w:color w:val="000000"/>
              </w:rPr>
              <w:t xml:space="preserve">-0.05 </w:t>
            </w:r>
          </w:p>
        </w:tc>
        <w:tc>
          <w:tcPr>
            <w:tcW w:w="1687" w:type="dxa"/>
            <w:vAlign w:val="center"/>
          </w:tcPr>
          <w:p w14:paraId="617A0F6D" w14:textId="77777777" w:rsidR="007075D9" w:rsidRPr="004D46AC" w:rsidRDefault="007075D9" w:rsidP="00CE2F7A">
            <w:pPr>
              <w:spacing w:line="240" w:lineRule="auto"/>
              <w:ind w:firstLine="0"/>
              <w:rPr>
                <w:b/>
                <w:bCs/>
                <w:i/>
                <w:iCs/>
              </w:rPr>
            </w:pPr>
            <w:r w:rsidRPr="004D46AC">
              <w:rPr>
                <w:color w:val="000000"/>
              </w:rPr>
              <w:t xml:space="preserve">0.06 </w:t>
            </w:r>
          </w:p>
        </w:tc>
        <w:tc>
          <w:tcPr>
            <w:tcW w:w="1443" w:type="dxa"/>
            <w:vAlign w:val="center"/>
          </w:tcPr>
          <w:p w14:paraId="22AEA85C" w14:textId="77777777" w:rsidR="007075D9" w:rsidRPr="004D46AC" w:rsidRDefault="007075D9" w:rsidP="00CE2F7A">
            <w:pPr>
              <w:spacing w:line="240" w:lineRule="auto"/>
              <w:ind w:firstLine="0"/>
              <w:rPr>
                <w:b/>
                <w:bCs/>
                <w:i/>
                <w:iCs/>
              </w:rPr>
            </w:pPr>
            <w:r w:rsidRPr="004D46AC">
              <w:rPr>
                <w:color w:val="000000"/>
              </w:rPr>
              <w:t xml:space="preserve">0.32 </w:t>
            </w:r>
          </w:p>
        </w:tc>
      </w:tr>
      <w:tr w:rsidR="007075D9" w:rsidRPr="004D46AC" w14:paraId="683A6D84" w14:textId="77777777" w:rsidTr="00B518F1">
        <w:tc>
          <w:tcPr>
            <w:tcW w:w="1434" w:type="dxa"/>
            <w:vAlign w:val="center"/>
          </w:tcPr>
          <w:p w14:paraId="6829742C" w14:textId="77777777" w:rsidR="007075D9" w:rsidRPr="004D46AC" w:rsidRDefault="007075D9" w:rsidP="00CE2F7A">
            <w:pPr>
              <w:spacing w:line="240" w:lineRule="auto"/>
              <w:ind w:firstLine="0"/>
              <w:rPr>
                <w:b/>
                <w:bCs/>
                <w:i/>
                <w:iCs/>
              </w:rPr>
            </w:pPr>
            <w:r w:rsidRPr="004D46AC">
              <w:rPr>
                <w:rFonts w:eastAsia="DengXian"/>
                <w:color w:val="000000"/>
              </w:rPr>
              <w:t>WD--N5</w:t>
            </w:r>
          </w:p>
        </w:tc>
        <w:tc>
          <w:tcPr>
            <w:tcW w:w="1687" w:type="dxa"/>
            <w:vAlign w:val="center"/>
          </w:tcPr>
          <w:p w14:paraId="195AA7CF"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45E4724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68013C4D"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12733163" w14:textId="77777777" w:rsidR="007075D9" w:rsidRPr="004D46AC" w:rsidRDefault="007075D9" w:rsidP="00CE2F7A">
            <w:pPr>
              <w:spacing w:line="240" w:lineRule="auto"/>
              <w:ind w:firstLine="0"/>
              <w:rPr>
                <w:b/>
                <w:bCs/>
                <w:i/>
                <w:iCs/>
              </w:rPr>
            </w:pPr>
            <w:r w:rsidRPr="004D46AC">
              <w:rPr>
                <w:color w:val="000000"/>
              </w:rPr>
              <w:t xml:space="preserve">0.42 </w:t>
            </w:r>
          </w:p>
        </w:tc>
      </w:tr>
      <w:tr w:rsidR="007075D9" w:rsidRPr="004D46AC" w14:paraId="497058B9" w14:textId="77777777" w:rsidTr="00B518F1">
        <w:tc>
          <w:tcPr>
            <w:tcW w:w="1434" w:type="dxa"/>
            <w:vAlign w:val="center"/>
          </w:tcPr>
          <w:p w14:paraId="248856E4" w14:textId="77777777" w:rsidR="007075D9" w:rsidRPr="004D46AC" w:rsidRDefault="007075D9" w:rsidP="00CE2F7A">
            <w:pPr>
              <w:spacing w:line="240" w:lineRule="auto"/>
              <w:ind w:firstLine="0"/>
              <w:rPr>
                <w:b/>
                <w:bCs/>
                <w:i/>
                <w:iCs/>
              </w:rPr>
            </w:pPr>
            <w:r w:rsidRPr="004D46AC">
              <w:rPr>
                <w:rFonts w:eastAsia="DengXian"/>
                <w:color w:val="000000"/>
              </w:rPr>
              <w:t>IA--Y10</w:t>
            </w:r>
          </w:p>
        </w:tc>
        <w:tc>
          <w:tcPr>
            <w:tcW w:w="1687" w:type="dxa"/>
            <w:vAlign w:val="center"/>
          </w:tcPr>
          <w:p w14:paraId="1D7A3EEC"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75CCB242"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8DF759A"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3FAF76E0" w14:textId="77777777" w:rsidR="007075D9" w:rsidRPr="004D46AC" w:rsidRDefault="007075D9" w:rsidP="00CE2F7A">
            <w:pPr>
              <w:spacing w:line="240" w:lineRule="auto"/>
              <w:ind w:firstLine="0"/>
              <w:rPr>
                <w:b/>
                <w:bCs/>
                <w:i/>
                <w:iCs/>
              </w:rPr>
            </w:pPr>
            <w:r w:rsidRPr="004D46AC">
              <w:rPr>
                <w:color w:val="000000"/>
              </w:rPr>
              <w:t xml:space="preserve">0.48 </w:t>
            </w:r>
          </w:p>
        </w:tc>
      </w:tr>
      <w:tr w:rsidR="007075D9" w:rsidRPr="004D46AC" w14:paraId="76A13E96" w14:textId="77777777" w:rsidTr="00B518F1">
        <w:tc>
          <w:tcPr>
            <w:tcW w:w="1434" w:type="dxa"/>
            <w:vAlign w:val="center"/>
          </w:tcPr>
          <w:p w14:paraId="760899E1" w14:textId="77777777" w:rsidR="007075D9" w:rsidRPr="004D46AC" w:rsidRDefault="007075D9" w:rsidP="00CE2F7A">
            <w:pPr>
              <w:spacing w:line="240" w:lineRule="auto"/>
              <w:ind w:firstLine="0"/>
              <w:rPr>
                <w:b/>
                <w:bCs/>
                <w:i/>
                <w:iCs/>
              </w:rPr>
            </w:pPr>
            <w:r w:rsidRPr="004D46AC">
              <w:rPr>
                <w:rFonts w:eastAsia="DengXian"/>
                <w:color w:val="000000"/>
              </w:rPr>
              <w:t>M6--M9</w:t>
            </w:r>
          </w:p>
        </w:tc>
        <w:tc>
          <w:tcPr>
            <w:tcW w:w="1687" w:type="dxa"/>
            <w:vAlign w:val="center"/>
          </w:tcPr>
          <w:p w14:paraId="4304436D" w14:textId="77777777" w:rsidR="007075D9" w:rsidRPr="004D46AC" w:rsidRDefault="007075D9" w:rsidP="00CE2F7A">
            <w:pPr>
              <w:spacing w:line="240" w:lineRule="auto"/>
              <w:ind w:firstLine="0"/>
              <w:rPr>
                <w:b/>
                <w:bCs/>
                <w:i/>
                <w:iCs/>
              </w:rPr>
            </w:pPr>
            <w:r w:rsidRPr="004D46AC">
              <w:rPr>
                <w:color w:val="000000"/>
              </w:rPr>
              <w:t xml:space="preserve">0.01 </w:t>
            </w:r>
          </w:p>
        </w:tc>
        <w:tc>
          <w:tcPr>
            <w:tcW w:w="1687" w:type="dxa"/>
            <w:vAlign w:val="center"/>
          </w:tcPr>
          <w:p w14:paraId="159B7BA6"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08E35AFC"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15263A8F" w14:textId="77777777" w:rsidR="007075D9" w:rsidRPr="004D46AC" w:rsidRDefault="007075D9" w:rsidP="00CE2F7A">
            <w:pPr>
              <w:spacing w:line="240" w:lineRule="auto"/>
              <w:ind w:firstLine="0"/>
              <w:rPr>
                <w:b/>
                <w:bCs/>
                <w:i/>
                <w:iCs/>
              </w:rPr>
            </w:pPr>
            <w:r w:rsidRPr="004D46AC">
              <w:rPr>
                <w:color w:val="000000"/>
              </w:rPr>
              <w:t xml:space="preserve">0.51 </w:t>
            </w:r>
          </w:p>
        </w:tc>
      </w:tr>
      <w:tr w:rsidR="007075D9" w:rsidRPr="004D46AC" w14:paraId="78AF6359" w14:textId="77777777" w:rsidTr="00B518F1">
        <w:tc>
          <w:tcPr>
            <w:tcW w:w="1434" w:type="dxa"/>
            <w:vAlign w:val="center"/>
          </w:tcPr>
          <w:p w14:paraId="22EAFB01" w14:textId="77777777" w:rsidR="007075D9" w:rsidRPr="004D46AC" w:rsidRDefault="007075D9" w:rsidP="00CE2F7A">
            <w:pPr>
              <w:spacing w:line="240" w:lineRule="auto"/>
              <w:ind w:firstLine="0"/>
              <w:rPr>
                <w:b/>
                <w:bCs/>
                <w:i/>
                <w:iCs/>
              </w:rPr>
            </w:pPr>
            <w:r w:rsidRPr="004D46AC">
              <w:rPr>
                <w:rFonts w:eastAsia="DengXian"/>
                <w:color w:val="000000"/>
              </w:rPr>
              <w:t>N7--M8</w:t>
            </w:r>
          </w:p>
        </w:tc>
        <w:tc>
          <w:tcPr>
            <w:tcW w:w="1687" w:type="dxa"/>
            <w:vAlign w:val="center"/>
          </w:tcPr>
          <w:p w14:paraId="2BAC083E"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01C4F2D1" w14:textId="77777777" w:rsidR="007075D9" w:rsidRPr="004D46AC" w:rsidRDefault="007075D9" w:rsidP="00CE2F7A">
            <w:pPr>
              <w:spacing w:line="240" w:lineRule="auto"/>
              <w:ind w:firstLine="0"/>
              <w:rPr>
                <w:b/>
                <w:bCs/>
                <w:i/>
                <w:iCs/>
              </w:rPr>
            </w:pPr>
            <w:r w:rsidRPr="004D46AC">
              <w:rPr>
                <w:color w:val="000000"/>
              </w:rPr>
              <w:t xml:space="preserve">-0.03 </w:t>
            </w:r>
          </w:p>
        </w:tc>
        <w:tc>
          <w:tcPr>
            <w:tcW w:w="1687" w:type="dxa"/>
            <w:vAlign w:val="center"/>
          </w:tcPr>
          <w:p w14:paraId="7BA3E98E"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5A43DE2E" w14:textId="77777777" w:rsidR="007075D9" w:rsidRPr="004D46AC" w:rsidRDefault="007075D9" w:rsidP="00CE2F7A">
            <w:pPr>
              <w:spacing w:line="240" w:lineRule="auto"/>
              <w:ind w:firstLine="0"/>
              <w:rPr>
                <w:b/>
                <w:bCs/>
                <w:i/>
                <w:iCs/>
              </w:rPr>
            </w:pPr>
            <w:r w:rsidRPr="004D46AC">
              <w:rPr>
                <w:color w:val="000000"/>
              </w:rPr>
              <w:t xml:space="preserve">0.47 </w:t>
            </w:r>
          </w:p>
        </w:tc>
      </w:tr>
      <w:tr w:rsidR="007075D9" w:rsidRPr="004D46AC" w14:paraId="5D72B03F" w14:textId="77777777" w:rsidTr="00B518F1">
        <w:tc>
          <w:tcPr>
            <w:tcW w:w="1434" w:type="dxa"/>
            <w:vAlign w:val="center"/>
          </w:tcPr>
          <w:p w14:paraId="7B8348F6" w14:textId="77777777" w:rsidR="007075D9" w:rsidRPr="004D46AC" w:rsidRDefault="007075D9" w:rsidP="00CE2F7A">
            <w:pPr>
              <w:spacing w:line="240" w:lineRule="auto"/>
              <w:ind w:firstLine="0"/>
              <w:rPr>
                <w:b/>
                <w:bCs/>
                <w:i/>
                <w:iCs/>
              </w:rPr>
            </w:pPr>
            <w:r w:rsidRPr="004D46AC">
              <w:rPr>
                <w:rFonts w:eastAsia="DengXian"/>
                <w:color w:val="000000"/>
              </w:rPr>
              <w:t>P3--WD</w:t>
            </w:r>
          </w:p>
        </w:tc>
        <w:tc>
          <w:tcPr>
            <w:tcW w:w="1687" w:type="dxa"/>
            <w:vAlign w:val="center"/>
          </w:tcPr>
          <w:p w14:paraId="7692FA7A"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7FA016EC"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3B9C5EA2"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78E75346" w14:textId="77777777" w:rsidR="007075D9" w:rsidRPr="004D46AC" w:rsidRDefault="007075D9" w:rsidP="00CE2F7A">
            <w:pPr>
              <w:spacing w:line="240" w:lineRule="auto"/>
              <w:ind w:firstLine="0"/>
              <w:rPr>
                <w:b/>
                <w:bCs/>
                <w:i/>
                <w:iCs/>
              </w:rPr>
            </w:pPr>
            <w:r w:rsidRPr="004D46AC">
              <w:rPr>
                <w:color w:val="000000"/>
              </w:rPr>
              <w:t xml:space="preserve">0.45 </w:t>
            </w:r>
          </w:p>
        </w:tc>
      </w:tr>
      <w:tr w:rsidR="007075D9" w:rsidRPr="004D46AC" w14:paraId="284F99D2" w14:textId="77777777" w:rsidTr="00B518F1">
        <w:tc>
          <w:tcPr>
            <w:tcW w:w="1434" w:type="dxa"/>
            <w:vAlign w:val="center"/>
          </w:tcPr>
          <w:p w14:paraId="13E038A1" w14:textId="77777777" w:rsidR="007075D9" w:rsidRPr="004D46AC" w:rsidRDefault="007075D9" w:rsidP="00CE2F7A">
            <w:pPr>
              <w:spacing w:line="240" w:lineRule="auto"/>
              <w:ind w:firstLine="0"/>
              <w:rPr>
                <w:b/>
                <w:bCs/>
                <w:i/>
                <w:iCs/>
              </w:rPr>
            </w:pPr>
            <w:r w:rsidRPr="004D46AC">
              <w:rPr>
                <w:rFonts w:eastAsia="DengXian"/>
                <w:color w:val="000000"/>
              </w:rPr>
              <w:t>P2--RC</w:t>
            </w:r>
          </w:p>
        </w:tc>
        <w:tc>
          <w:tcPr>
            <w:tcW w:w="1687" w:type="dxa"/>
            <w:vAlign w:val="center"/>
          </w:tcPr>
          <w:p w14:paraId="1BE946DE"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F5065F9"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2A64EB8F"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7CAD8837" w14:textId="77777777" w:rsidR="007075D9" w:rsidRPr="004D46AC" w:rsidRDefault="007075D9" w:rsidP="00CE2F7A">
            <w:pPr>
              <w:spacing w:line="240" w:lineRule="auto"/>
              <w:ind w:firstLine="0"/>
              <w:rPr>
                <w:b/>
                <w:bCs/>
                <w:i/>
                <w:iCs/>
              </w:rPr>
            </w:pPr>
            <w:r w:rsidRPr="004D46AC">
              <w:rPr>
                <w:color w:val="000000"/>
              </w:rPr>
              <w:t xml:space="preserve">0.47 </w:t>
            </w:r>
          </w:p>
        </w:tc>
      </w:tr>
      <w:tr w:rsidR="007075D9" w:rsidRPr="004D46AC" w14:paraId="59781F29" w14:textId="77777777" w:rsidTr="00B518F1">
        <w:tc>
          <w:tcPr>
            <w:tcW w:w="1434" w:type="dxa"/>
            <w:vAlign w:val="center"/>
          </w:tcPr>
          <w:p w14:paraId="10CCE03D" w14:textId="77777777" w:rsidR="007075D9" w:rsidRPr="004D46AC" w:rsidRDefault="007075D9" w:rsidP="00CE2F7A">
            <w:pPr>
              <w:spacing w:line="240" w:lineRule="auto"/>
              <w:ind w:firstLine="0"/>
              <w:rPr>
                <w:b/>
                <w:bCs/>
                <w:i/>
                <w:iCs/>
              </w:rPr>
            </w:pPr>
            <w:r w:rsidRPr="004D46AC">
              <w:rPr>
                <w:rFonts w:eastAsia="DengXian"/>
                <w:color w:val="000000"/>
              </w:rPr>
              <w:t>P2--Y10</w:t>
            </w:r>
          </w:p>
        </w:tc>
        <w:tc>
          <w:tcPr>
            <w:tcW w:w="1687" w:type="dxa"/>
            <w:vAlign w:val="center"/>
          </w:tcPr>
          <w:p w14:paraId="1EC33A8F"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42AA54D8"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B85B498"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736DE1B0" w14:textId="77777777" w:rsidR="007075D9" w:rsidRPr="004D46AC" w:rsidRDefault="007075D9" w:rsidP="00CE2F7A">
            <w:pPr>
              <w:spacing w:line="240" w:lineRule="auto"/>
              <w:ind w:firstLine="0"/>
              <w:rPr>
                <w:b/>
                <w:bCs/>
                <w:i/>
                <w:iCs/>
              </w:rPr>
            </w:pPr>
            <w:r w:rsidRPr="004D46AC">
              <w:rPr>
                <w:color w:val="000000"/>
              </w:rPr>
              <w:t xml:space="preserve">0.49 </w:t>
            </w:r>
          </w:p>
        </w:tc>
      </w:tr>
      <w:tr w:rsidR="007075D9" w:rsidRPr="004D46AC" w14:paraId="66848B26" w14:textId="77777777" w:rsidTr="00B518F1">
        <w:tc>
          <w:tcPr>
            <w:tcW w:w="1434" w:type="dxa"/>
            <w:vAlign w:val="center"/>
          </w:tcPr>
          <w:p w14:paraId="70505C68" w14:textId="77777777" w:rsidR="007075D9" w:rsidRPr="004D46AC" w:rsidRDefault="007075D9" w:rsidP="00CE2F7A">
            <w:pPr>
              <w:spacing w:line="240" w:lineRule="auto"/>
              <w:ind w:firstLine="0"/>
              <w:rPr>
                <w:b/>
                <w:bCs/>
                <w:i/>
                <w:iCs/>
              </w:rPr>
            </w:pPr>
            <w:r w:rsidRPr="004D46AC">
              <w:rPr>
                <w:rFonts w:eastAsia="DengXian"/>
                <w:color w:val="000000"/>
              </w:rPr>
              <w:t>WD--Y10</w:t>
            </w:r>
          </w:p>
        </w:tc>
        <w:tc>
          <w:tcPr>
            <w:tcW w:w="1687" w:type="dxa"/>
            <w:vAlign w:val="center"/>
          </w:tcPr>
          <w:p w14:paraId="55F5ECED"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568F36B5"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4F32AC33" w14:textId="77777777" w:rsidR="007075D9" w:rsidRPr="004D46AC" w:rsidRDefault="007075D9" w:rsidP="00CE2F7A">
            <w:pPr>
              <w:spacing w:line="240" w:lineRule="auto"/>
              <w:ind w:firstLine="0"/>
              <w:rPr>
                <w:b/>
                <w:bCs/>
                <w:i/>
                <w:iCs/>
              </w:rPr>
            </w:pPr>
            <w:r w:rsidRPr="004D46AC">
              <w:rPr>
                <w:color w:val="000000"/>
              </w:rPr>
              <w:t xml:space="preserve">0.04 </w:t>
            </w:r>
          </w:p>
        </w:tc>
        <w:tc>
          <w:tcPr>
            <w:tcW w:w="1443" w:type="dxa"/>
            <w:vAlign w:val="center"/>
          </w:tcPr>
          <w:p w14:paraId="6604F053" w14:textId="77777777" w:rsidR="007075D9" w:rsidRPr="004D46AC" w:rsidRDefault="007075D9" w:rsidP="00CE2F7A">
            <w:pPr>
              <w:spacing w:line="240" w:lineRule="auto"/>
              <w:ind w:firstLine="0"/>
              <w:rPr>
                <w:b/>
                <w:bCs/>
                <w:i/>
                <w:iCs/>
              </w:rPr>
            </w:pPr>
            <w:r w:rsidRPr="004D46AC">
              <w:rPr>
                <w:color w:val="000000"/>
              </w:rPr>
              <w:t xml:space="preserve">0.45 </w:t>
            </w:r>
          </w:p>
        </w:tc>
      </w:tr>
      <w:tr w:rsidR="007075D9" w:rsidRPr="004D46AC" w14:paraId="3467356C" w14:textId="77777777" w:rsidTr="00B518F1">
        <w:tc>
          <w:tcPr>
            <w:tcW w:w="1434" w:type="dxa"/>
            <w:vAlign w:val="center"/>
          </w:tcPr>
          <w:p w14:paraId="05DB1955" w14:textId="77777777" w:rsidR="007075D9" w:rsidRPr="004D46AC" w:rsidRDefault="007075D9" w:rsidP="00CE2F7A">
            <w:pPr>
              <w:spacing w:line="240" w:lineRule="auto"/>
              <w:ind w:firstLine="0"/>
              <w:rPr>
                <w:b/>
                <w:bCs/>
                <w:i/>
                <w:iCs/>
              </w:rPr>
            </w:pPr>
            <w:r w:rsidRPr="004D46AC">
              <w:rPr>
                <w:rFonts w:eastAsia="DengXian"/>
                <w:color w:val="000000"/>
              </w:rPr>
              <w:t>M5--M9</w:t>
            </w:r>
          </w:p>
        </w:tc>
        <w:tc>
          <w:tcPr>
            <w:tcW w:w="1687" w:type="dxa"/>
            <w:vAlign w:val="center"/>
          </w:tcPr>
          <w:p w14:paraId="41679444" w14:textId="77777777" w:rsidR="007075D9" w:rsidRPr="004D46AC" w:rsidRDefault="007075D9" w:rsidP="00CE2F7A">
            <w:pPr>
              <w:spacing w:line="240" w:lineRule="auto"/>
              <w:ind w:firstLine="0"/>
              <w:rPr>
                <w:b/>
                <w:bCs/>
                <w:i/>
                <w:iCs/>
              </w:rPr>
            </w:pPr>
            <w:r w:rsidRPr="004D46AC">
              <w:rPr>
                <w:color w:val="000000"/>
              </w:rPr>
              <w:t xml:space="preserve">0.00 </w:t>
            </w:r>
          </w:p>
        </w:tc>
        <w:tc>
          <w:tcPr>
            <w:tcW w:w="1687" w:type="dxa"/>
            <w:vAlign w:val="center"/>
          </w:tcPr>
          <w:p w14:paraId="3DAFCBFF" w14:textId="77777777" w:rsidR="007075D9" w:rsidRPr="004D46AC" w:rsidRDefault="007075D9" w:rsidP="00CE2F7A">
            <w:pPr>
              <w:spacing w:line="240" w:lineRule="auto"/>
              <w:ind w:firstLine="0"/>
              <w:rPr>
                <w:b/>
                <w:bCs/>
                <w:i/>
                <w:iCs/>
              </w:rPr>
            </w:pPr>
            <w:r w:rsidRPr="004D46AC">
              <w:rPr>
                <w:color w:val="000000"/>
              </w:rPr>
              <w:t xml:space="preserve">-0.04 </w:t>
            </w:r>
          </w:p>
        </w:tc>
        <w:tc>
          <w:tcPr>
            <w:tcW w:w="1687" w:type="dxa"/>
            <w:vAlign w:val="center"/>
          </w:tcPr>
          <w:p w14:paraId="1C31C091" w14:textId="77777777" w:rsidR="007075D9" w:rsidRPr="004D46AC" w:rsidRDefault="007075D9" w:rsidP="00CE2F7A">
            <w:pPr>
              <w:spacing w:line="240" w:lineRule="auto"/>
              <w:ind w:firstLine="0"/>
              <w:rPr>
                <w:b/>
                <w:bCs/>
                <w:i/>
                <w:iCs/>
              </w:rPr>
            </w:pPr>
            <w:r w:rsidRPr="004D46AC">
              <w:rPr>
                <w:color w:val="000000"/>
              </w:rPr>
              <w:t xml:space="preserve">0.05 </w:t>
            </w:r>
          </w:p>
        </w:tc>
        <w:tc>
          <w:tcPr>
            <w:tcW w:w="1443" w:type="dxa"/>
            <w:vAlign w:val="center"/>
          </w:tcPr>
          <w:p w14:paraId="3BB546BB" w14:textId="77777777" w:rsidR="007075D9" w:rsidRPr="004D46AC" w:rsidRDefault="007075D9" w:rsidP="00CE2F7A">
            <w:pPr>
              <w:spacing w:line="240" w:lineRule="auto"/>
              <w:ind w:firstLine="0"/>
              <w:rPr>
                <w:b/>
                <w:bCs/>
                <w:i/>
                <w:iCs/>
              </w:rPr>
            </w:pPr>
            <w:r w:rsidRPr="004D46AC">
              <w:rPr>
                <w:color w:val="000000"/>
              </w:rPr>
              <w:t xml:space="preserve">0.50 </w:t>
            </w:r>
          </w:p>
        </w:tc>
      </w:tr>
    </w:tbl>
    <w:p w14:paraId="767940A1" w14:textId="77777777" w:rsidR="007075D9" w:rsidRPr="004D46AC" w:rsidRDefault="007075D9" w:rsidP="00CE2F7A">
      <w:pPr>
        <w:spacing w:line="240" w:lineRule="auto"/>
        <w:ind w:firstLine="0"/>
      </w:pPr>
      <w:r w:rsidRPr="004D46AC">
        <w:rPr>
          <w:i/>
          <w:iCs/>
        </w:rPr>
        <w:t>Note</w:t>
      </w:r>
      <w:r w:rsidRPr="004D46AC">
        <w:t>. The value represents the edge weight of the network in all participants of the group, and the BCI (lower-upper) indicates the confidence intervals of the edge in the bootstrapped networks. The P0 represents the estimated rate at which the edge weight is zero in the bootstrapped sample. Edges with a non-zero weight in more than 70% of the bootstrapped networks were selected to be presented in this table.</w:t>
      </w:r>
    </w:p>
    <w:p w14:paraId="24B15CDF" w14:textId="77777777" w:rsidR="007075D9" w:rsidRPr="004D46AC" w:rsidRDefault="007075D9" w:rsidP="00CE2F7A">
      <w:pPr>
        <w:spacing w:line="240" w:lineRule="auto"/>
        <w:ind w:firstLine="0"/>
      </w:pPr>
    </w:p>
    <w:p w14:paraId="43449E92" w14:textId="77777777" w:rsidR="007075D9" w:rsidRPr="004D46AC" w:rsidRDefault="007075D9" w:rsidP="00CE2F7A">
      <w:pPr>
        <w:spacing w:line="240" w:lineRule="auto"/>
        <w:ind w:firstLine="0"/>
      </w:pPr>
    </w:p>
    <w:p w14:paraId="3A840C6C" w14:textId="77777777" w:rsidR="007075D9" w:rsidRPr="004D46AC" w:rsidRDefault="007075D9" w:rsidP="00CE2F7A">
      <w:pPr>
        <w:spacing w:line="240" w:lineRule="auto"/>
        <w:ind w:firstLine="0"/>
      </w:pPr>
    </w:p>
    <w:p w14:paraId="76DD6CB7" w14:textId="77777777" w:rsidR="007075D9" w:rsidRPr="004D46AC" w:rsidRDefault="007075D9" w:rsidP="00CE2F7A">
      <w:pPr>
        <w:spacing w:line="240" w:lineRule="auto"/>
        <w:ind w:firstLine="0"/>
      </w:pPr>
    </w:p>
    <w:p w14:paraId="27A08E62" w14:textId="77777777" w:rsidR="007075D9" w:rsidRPr="004D46AC" w:rsidRDefault="007075D9" w:rsidP="00CE2F7A">
      <w:pPr>
        <w:spacing w:line="240" w:lineRule="auto"/>
        <w:ind w:firstLine="0"/>
      </w:pPr>
    </w:p>
    <w:p w14:paraId="558320A3" w14:textId="77777777" w:rsidR="007075D9" w:rsidRPr="004D46AC" w:rsidRDefault="007075D9" w:rsidP="00CE2F7A">
      <w:pPr>
        <w:spacing w:line="240" w:lineRule="auto"/>
        <w:ind w:firstLine="0"/>
      </w:pPr>
    </w:p>
    <w:p w14:paraId="228801A8" w14:textId="77777777" w:rsidR="007075D9" w:rsidRPr="004D46AC" w:rsidRDefault="007075D9" w:rsidP="00CE2F7A">
      <w:pPr>
        <w:spacing w:line="240" w:lineRule="auto"/>
        <w:ind w:firstLine="0"/>
      </w:pPr>
    </w:p>
    <w:p w14:paraId="56B447D9" w14:textId="77777777" w:rsidR="007075D9" w:rsidRPr="004D46AC" w:rsidRDefault="007075D9" w:rsidP="00CE2F7A">
      <w:pPr>
        <w:spacing w:line="240" w:lineRule="auto"/>
        <w:ind w:firstLine="0"/>
      </w:pPr>
    </w:p>
    <w:p w14:paraId="5D35240D" w14:textId="77777777" w:rsidR="007075D9" w:rsidRPr="004D46AC" w:rsidRDefault="007075D9" w:rsidP="00CE2F7A">
      <w:pPr>
        <w:spacing w:line="240" w:lineRule="auto"/>
        <w:ind w:firstLine="0"/>
      </w:pPr>
    </w:p>
    <w:p w14:paraId="5AB4E6DB" w14:textId="77777777" w:rsidR="007075D9" w:rsidRPr="004D46AC" w:rsidRDefault="007075D9" w:rsidP="00CE2F7A">
      <w:pPr>
        <w:spacing w:line="240" w:lineRule="auto"/>
        <w:ind w:firstLine="0"/>
      </w:pPr>
    </w:p>
    <w:p w14:paraId="69093B1E" w14:textId="77777777" w:rsidR="007075D9" w:rsidRPr="004D46AC" w:rsidRDefault="007075D9" w:rsidP="00CE2F7A">
      <w:pPr>
        <w:spacing w:line="240" w:lineRule="auto"/>
        <w:ind w:firstLine="0"/>
      </w:pPr>
    </w:p>
    <w:p w14:paraId="222DECC1" w14:textId="77777777" w:rsidR="007075D9" w:rsidRPr="004D46AC" w:rsidRDefault="007075D9" w:rsidP="00CE2F7A">
      <w:pPr>
        <w:spacing w:line="240" w:lineRule="auto"/>
        <w:ind w:firstLine="0"/>
        <w:rPr>
          <w:rFonts w:eastAsiaTheme="minorEastAsia"/>
        </w:rPr>
      </w:pPr>
    </w:p>
    <w:p w14:paraId="1B9EF646" w14:textId="77777777" w:rsidR="00CC3324" w:rsidRPr="004D46AC" w:rsidRDefault="00CC3324" w:rsidP="00CE2F7A">
      <w:pPr>
        <w:spacing w:line="240" w:lineRule="auto"/>
        <w:ind w:firstLine="0"/>
        <w:rPr>
          <w:rFonts w:eastAsiaTheme="minorEastAsia"/>
        </w:rPr>
      </w:pPr>
    </w:p>
    <w:p w14:paraId="7BA46F5E" w14:textId="77777777" w:rsidR="00CC3324" w:rsidRPr="004D46AC" w:rsidRDefault="00CC3324" w:rsidP="00CE2F7A">
      <w:pPr>
        <w:spacing w:line="240" w:lineRule="auto"/>
        <w:ind w:firstLine="0"/>
        <w:rPr>
          <w:rFonts w:eastAsiaTheme="minorEastAsia"/>
        </w:rPr>
      </w:pPr>
    </w:p>
    <w:p w14:paraId="45B08318" w14:textId="77777777" w:rsidR="00CC3324" w:rsidRPr="004D46AC" w:rsidRDefault="00CC3324" w:rsidP="00CE2F7A">
      <w:pPr>
        <w:spacing w:line="240" w:lineRule="auto"/>
        <w:ind w:firstLine="0"/>
        <w:rPr>
          <w:rFonts w:eastAsiaTheme="minorEastAsia"/>
        </w:rPr>
      </w:pPr>
    </w:p>
    <w:p w14:paraId="24AC17C3" w14:textId="77777777" w:rsidR="00CC3324" w:rsidRPr="004D46AC" w:rsidRDefault="00CC3324" w:rsidP="00CE2F7A">
      <w:pPr>
        <w:spacing w:line="240" w:lineRule="auto"/>
        <w:ind w:firstLine="0"/>
        <w:rPr>
          <w:rFonts w:eastAsiaTheme="minorEastAsia"/>
        </w:rPr>
      </w:pPr>
    </w:p>
    <w:p w14:paraId="388DC562" w14:textId="77777777" w:rsidR="00CC3324" w:rsidRPr="004D46AC" w:rsidRDefault="00CC3324" w:rsidP="00CE2F7A">
      <w:pPr>
        <w:spacing w:line="240" w:lineRule="auto"/>
        <w:ind w:firstLine="0"/>
        <w:rPr>
          <w:rFonts w:eastAsiaTheme="minorEastAsia"/>
        </w:rPr>
      </w:pPr>
    </w:p>
    <w:p w14:paraId="1877243E" w14:textId="77777777" w:rsidR="00CC3324" w:rsidRPr="004D46AC" w:rsidRDefault="00CC3324" w:rsidP="00CE2F7A">
      <w:pPr>
        <w:spacing w:line="240" w:lineRule="auto"/>
        <w:ind w:firstLine="0"/>
        <w:rPr>
          <w:rFonts w:eastAsiaTheme="minorEastAsia"/>
        </w:rPr>
      </w:pPr>
    </w:p>
    <w:p w14:paraId="3C9E1E84" w14:textId="77777777" w:rsidR="00CC3324" w:rsidRPr="004D46AC" w:rsidRDefault="00CC3324" w:rsidP="00CE2F7A">
      <w:pPr>
        <w:spacing w:line="240" w:lineRule="auto"/>
        <w:ind w:firstLine="0"/>
        <w:rPr>
          <w:rFonts w:eastAsiaTheme="minorEastAsia"/>
        </w:rPr>
      </w:pPr>
    </w:p>
    <w:p w14:paraId="063CB125" w14:textId="77777777" w:rsidR="00CC3324" w:rsidRPr="004D46AC" w:rsidRDefault="00CC3324" w:rsidP="00CE2F7A">
      <w:pPr>
        <w:spacing w:line="240" w:lineRule="auto"/>
        <w:ind w:firstLine="0"/>
        <w:rPr>
          <w:rFonts w:eastAsiaTheme="minorEastAsia"/>
        </w:rPr>
      </w:pPr>
    </w:p>
    <w:p w14:paraId="6758DF10" w14:textId="77777777" w:rsidR="00CC3324" w:rsidRPr="004D46AC" w:rsidRDefault="00CC3324" w:rsidP="00CE2F7A">
      <w:pPr>
        <w:spacing w:line="240" w:lineRule="auto"/>
        <w:ind w:firstLine="0"/>
        <w:rPr>
          <w:rFonts w:eastAsiaTheme="minorEastAsia"/>
        </w:rPr>
      </w:pPr>
    </w:p>
    <w:p w14:paraId="5614CB19" w14:textId="77777777" w:rsidR="00CC3324" w:rsidRPr="004D46AC" w:rsidRDefault="00CC3324" w:rsidP="00CE2F7A">
      <w:pPr>
        <w:spacing w:line="240" w:lineRule="auto"/>
        <w:ind w:firstLine="0"/>
        <w:rPr>
          <w:rFonts w:eastAsiaTheme="minorEastAsia"/>
        </w:rPr>
      </w:pPr>
    </w:p>
    <w:p w14:paraId="4BD18C37" w14:textId="77777777" w:rsidR="00CC3324" w:rsidRPr="004D46AC" w:rsidRDefault="00CC3324" w:rsidP="00CE2F7A">
      <w:pPr>
        <w:spacing w:line="240" w:lineRule="auto"/>
        <w:ind w:firstLine="0"/>
        <w:rPr>
          <w:rFonts w:eastAsiaTheme="minorEastAsia"/>
        </w:rPr>
      </w:pPr>
    </w:p>
    <w:p w14:paraId="45F6F05F" w14:textId="77777777" w:rsidR="00CC3324" w:rsidRPr="004D46AC" w:rsidRDefault="00CC3324" w:rsidP="00CE2F7A">
      <w:pPr>
        <w:spacing w:line="240" w:lineRule="auto"/>
        <w:ind w:firstLine="0"/>
        <w:rPr>
          <w:rFonts w:eastAsiaTheme="minorEastAsia"/>
        </w:rPr>
      </w:pPr>
    </w:p>
    <w:p w14:paraId="46CF01CC" w14:textId="77777777" w:rsidR="00CC3324" w:rsidRPr="004D46AC" w:rsidRDefault="00CC3324" w:rsidP="00CE2F7A">
      <w:pPr>
        <w:spacing w:line="240" w:lineRule="auto"/>
        <w:ind w:firstLine="0"/>
        <w:rPr>
          <w:rFonts w:eastAsiaTheme="minorEastAsia"/>
        </w:rPr>
      </w:pPr>
    </w:p>
    <w:p w14:paraId="19FDC2D8" w14:textId="77777777" w:rsidR="00CC3324" w:rsidRPr="004D46AC" w:rsidRDefault="00CC3324" w:rsidP="00CE2F7A">
      <w:pPr>
        <w:spacing w:line="240" w:lineRule="auto"/>
        <w:ind w:firstLine="0"/>
        <w:rPr>
          <w:rFonts w:eastAsiaTheme="minorEastAsia"/>
        </w:rPr>
      </w:pPr>
    </w:p>
    <w:p w14:paraId="2C5C3442" w14:textId="77777777" w:rsidR="00CC3324" w:rsidRPr="004D46AC" w:rsidRDefault="00CC3324" w:rsidP="00CE2F7A">
      <w:pPr>
        <w:spacing w:line="240" w:lineRule="auto"/>
        <w:ind w:firstLine="0"/>
        <w:rPr>
          <w:rFonts w:eastAsiaTheme="minorEastAsia"/>
        </w:rPr>
      </w:pPr>
    </w:p>
    <w:p w14:paraId="00495A06" w14:textId="77777777" w:rsidR="00CC3324" w:rsidRPr="004D46AC" w:rsidRDefault="00CC3324" w:rsidP="00CE2F7A">
      <w:pPr>
        <w:spacing w:line="240" w:lineRule="auto"/>
        <w:ind w:firstLine="0"/>
        <w:rPr>
          <w:rFonts w:eastAsiaTheme="minorEastAsia"/>
        </w:rPr>
      </w:pPr>
    </w:p>
    <w:p w14:paraId="790492A7" w14:textId="77777777" w:rsidR="00CC3324" w:rsidRPr="004D46AC" w:rsidRDefault="00CC3324" w:rsidP="00CE2F7A">
      <w:pPr>
        <w:spacing w:line="240" w:lineRule="auto"/>
        <w:ind w:firstLine="0"/>
        <w:rPr>
          <w:rFonts w:eastAsiaTheme="minorEastAsia"/>
        </w:rPr>
      </w:pPr>
    </w:p>
    <w:p w14:paraId="6DE96440" w14:textId="77777777" w:rsidR="00CC3324" w:rsidRPr="004D46AC" w:rsidRDefault="00CC3324" w:rsidP="00CE2F7A">
      <w:pPr>
        <w:spacing w:line="240" w:lineRule="auto"/>
        <w:ind w:firstLine="0"/>
        <w:rPr>
          <w:rFonts w:eastAsiaTheme="minorEastAsia"/>
        </w:rPr>
      </w:pPr>
    </w:p>
    <w:p w14:paraId="0388B633" w14:textId="77777777" w:rsidR="00CC3324" w:rsidRPr="004D46AC" w:rsidRDefault="00CC3324" w:rsidP="00CE2F7A">
      <w:pPr>
        <w:spacing w:line="240" w:lineRule="auto"/>
        <w:ind w:firstLine="0"/>
        <w:rPr>
          <w:rFonts w:eastAsiaTheme="minorEastAsia"/>
        </w:rPr>
      </w:pPr>
    </w:p>
    <w:p w14:paraId="756C7393" w14:textId="77777777" w:rsidR="00CC3324" w:rsidRPr="004D46AC" w:rsidRDefault="00CC3324" w:rsidP="00CE2F7A">
      <w:pPr>
        <w:spacing w:line="240" w:lineRule="auto"/>
        <w:ind w:firstLine="0"/>
        <w:rPr>
          <w:rFonts w:eastAsiaTheme="minorEastAsia"/>
        </w:rPr>
      </w:pPr>
    </w:p>
    <w:p w14:paraId="39A74579" w14:textId="77777777" w:rsidR="00CC3324" w:rsidRPr="004D46AC" w:rsidRDefault="00CC3324" w:rsidP="00CE2F7A">
      <w:pPr>
        <w:spacing w:line="240" w:lineRule="auto"/>
        <w:ind w:firstLine="0"/>
        <w:rPr>
          <w:rFonts w:eastAsiaTheme="minorEastAsia"/>
        </w:rPr>
      </w:pPr>
    </w:p>
    <w:p w14:paraId="4B50E727" w14:textId="77777777" w:rsidR="00CC3324" w:rsidRPr="004D46AC" w:rsidRDefault="00CC3324" w:rsidP="00CE2F7A">
      <w:pPr>
        <w:spacing w:line="240" w:lineRule="auto"/>
        <w:ind w:firstLine="0"/>
        <w:rPr>
          <w:rFonts w:eastAsiaTheme="minorEastAsia"/>
        </w:rPr>
      </w:pPr>
    </w:p>
    <w:p w14:paraId="6DF80006" w14:textId="77777777" w:rsidR="00CC3324" w:rsidRPr="004D46AC" w:rsidRDefault="00CC3324" w:rsidP="00CE2F7A">
      <w:pPr>
        <w:spacing w:line="240" w:lineRule="auto"/>
        <w:ind w:firstLine="0"/>
        <w:rPr>
          <w:rFonts w:eastAsiaTheme="minorEastAsia"/>
        </w:rPr>
      </w:pPr>
    </w:p>
    <w:p w14:paraId="6E409824" w14:textId="77777777" w:rsidR="00CC3324" w:rsidRPr="004D46AC" w:rsidRDefault="00CC3324" w:rsidP="00CE2F7A">
      <w:pPr>
        <w:spacing w:line="240" w:lineRule="auto"/>
        <w:ind w:firstLine="0"/>
        <w:rPr>
          <w:rFonts w:eastAsiaTheme="minorEastAsia"/>
        </w:rPr>
      </w:pPr>
    </w:p>
    <w:p w14:paraId="56E06F72" w14:textId="77777777" w:rsidR="007075D9" w:rsidRPr="004D46AC" w:rsidRDefault="007075D9" w:rsidP="00CE2F7A">
      <w:pPr>
        <w:spacing w:line="240" w:lineRule="auto"/>
        <w:ind w:firstLine="0"/>
      </w:pPr>
    </w:p>
    <w:p w14:paraId="7B203F41" w14:textId="722E5C11" w:rsidR="007075D9" w:rsidRPr="004D46AC" w:rsidRDefault="009050EB" w:rsidP="009050EB">
      <w:pPr>
        <w:pStyle w:val="afff0"/>
        <w:ind w:firstLine="0"/>
        <w:rPr>
          <w:rFonts w:eastAsiaTheme="minorEastAsia"/>
          <w:b/>
          <w:bCs/>
          <w:i w:val="0"/>
          <w:iCs w:val="0"/>
          <w:color w:val="auto"/>
          <w:sz w:val="22"/>
          <w:szCs w:val="22"/>
        </w:rPr>
      </w:pPr>
      <w:bookmarkStart w:id="387" w:name="_Toc219870640"/>
      <w:bookmarkStart w:id="388" w:name="_Toc219885511"/>
      <w:r w:rsidRPr="004D46AC">
        <w:rPr>
          <w:b/>
          <w:bCs/>
          <w:i w:val="0"/>
          <w:iCs w:val="0"/>
          <w:color w:val="auto"/>
          <w:sz w:val="22"/>
          <w:szCs w:val="22"/>
        </w:rPr>
        <w:lastRenderedPageBreak/>
        <w:t xml:space="preserve">Table C </w:t>
      </w:r>
      <w:r w:rsidRPr="004D46AC">
        <w:rPr>
          <w:b/>
          <w:bCs/>
          <w:i w:val="0"/>
          <w:iCs w:val="0"/>
          <w:color w:val="auto"/>
          <w:sz w:val="22"/>
          <w:szCs w:val="22"/>
        </w:rPr>
        <w:fldChar w:fldCharType="begin"/>
      </w:r>
      <w:r w:rsidRPr="004D46AC">
        <w:rPr>
          <w:b/>
          <w:bCs/>
          <w:i w:val="0"/>
          <w:iCs w:val="0"/>
          <w:color w:val="auto"/>
          <w:sz w:val="22"/>
          <w:szCs w:val="22"/>
        </w:rPr>
        <w:instrText xml:space="preserve"> SEQ Table_C \* ARABIC </w:instrText>
      </w:r>
      <w:r w:rsidRPr="004D46AC">
        <w:rPr>
          <w:b/>
          <w:bCs/>
          <w:i w:val="0"/>
          <w:iCs w:val="0"/>
          <w:color w:val="auto"/>
          <w:sz w:val="22"/>
          <w:szCs w:val="22"/>
        </w:rPr>
        <w:fldChar w:fldCharType="separate"/>
      </w:r>
      <w:r w:rsidRPr="004D46AC">
        <w:rPr>
          <w:b/>
          <w:bCs/>
          <w:i w:val="0"/>
          <w:iCs w:val="0"/>
          <w:noProof/>
          <w:color w:val="auto"/>
          <w:sz w:val="22"/>
          <w:szCs w:val="22"/>
        </w:rPr>
        <w:t>8</w:t>
      </w:r>
      <w:bookmarkEnd w:id="387"/>
      <w:bookmarkEnd w:id="388"/>
      <w:r w:rsidRPr="004D46AC">
        <w:rPr>
          <w:b/>
          <w:bCs/>
          <w:i w:val="0"/>
          <w:iCs w:val="0"/>
          <w:color w:val="auto"/>
          <w:sz w:val="22"/>
          <w:szCs w:val="22"/>
        </w:rPr>
        <w:fldChar w:fldCharType="end"/>
      </w:r>
    </w:p>
    <w:p w14:paraId="1F278E76" w14:textId="77777777" w:rsidR="007075D9" w:rsidRPr="004D46AC" w:rsidRDefault="007075D9" w:rsidP="00CE2F7A">
      <w:pPr>
        <w:spacing w:line="240" w:lineRule="auto"/>
        <w:ind w:firstLine="0"/>
        <w:rPr>
          <w:i/>
          <w:iCs/>
        </w:rPr>
      </w:pPr>
      <w:r w:rsidRPr="004D46AC">
        <w:rPr>
          <w:i/>
          <w:iCs/>
        </w:rPr>
        <w:t>The structural consistencies and item replicabilities from EGA</w:t>
      </w:r>
    </w:p>
    <w:tbl>
      <w:tblPr>
        <w:tblStyle w:val="afc"/>
        <w:tblW w:w="0" w:type="auto"/>
        <w:tblLook w:val="04A0" w:firstRow="1" w:lastRow="0" w:firstColumn="1" w:lastColumn="0" w:noHBand="0" w:noVBand="1"/>
      </w:tblPr>
      <w:tblGrid>
        <w:gridCol w:w="646"/>
        <w:gridCol w:w="525"/>
        <w:gridCol w:w="525"/>
        <w:gridCol w:w="524"/>
        <w:gridCol w:w="524"/>
        <w:gridCol w:w="524"/>
        <w:gridCol w:w="524"/>
        <w:gridCol w:w="523"/>
        <w:gridCol w:w="523"/>
        <w:gridCol w:w="523"/>
        <w:gridCol w:w="523"/>
        <w:gridCol w:w="522"/>
        <w:gridCol w:w="522"/>
        <w:gridCol w:w="522"/>
        <w:gridCol w:w="522"/>
        <w:gridCol w:w="522"/>
        <w:gridCol w:w="522"/>
      </w:tblGrid>
      <w:tr w:rsidR="007075D9" w:rsidRPr="004D46AC" w14:paraId="47E12CA0" w14:textId="77777777" w:rsidTr="00B518F1">
        <w:tc>
          <w:tcPr>
            <w:tcW w:w="661" w:type="dxa"/>
          </w:tcPr>
          <w:p w14:paraId="4B91036F" w14:textId="77777777" w:rsidR="007075D9" w:rsidRPr="004D46AC" w:rsidRDefault="007075D9" w:rsidP="00CE2F7A">
            <w:pPr>
              <w:spacing w:line="240" w:lineRule="auto"/>
              <w:ind w:firstLine="0"/>
              <w:rPr>
                <w:b/>
                <w:bCs/>
              </w:rPr>
            </w:pPr>
          </w:p>
        </w:tc>
        <w:tc>
          <w:tcPr>
            <w:tcW w:w="1652" w:type="dxa"/>
            <w:gridSpan w:val="3"/>
          </w:tcPr>
          <w:p w14:paraId="153D8681" w14:textId="77777777" w:rsidR="007075D9" w:rsidRPr="004D46AC" w:rsidRDefault="007075D9" w:rsidP="00CE2F7A">
            <w:pPr>
              <w:spacing w:line="240" w:lineRule="auto"/>
              <w:ind w:firstLine="0"/>
              <w:rPr>
                <w:b/>
                <w:bCs/>
              </w:rPr>
            </w:pPr>
            <w:r w:rsidRPr="004D46AC">
              <w:rPr>
                <w:b/>
                <w:bCs/>
              </w:rPr>
              <w:t>General</w:t>
            </w:r>
          </w:p>
        </w:tc>
        <w:tc>
          <w:tcPr>
            <w:tcW w:w="1650" w:type="dxa"/>
            <w:gridSpan w:val="3"/>
          </w:tcPr>
          <w:p w14:paraId="745DB9C8" w14:textId="77777777" w:rsidR="007075D9" w:rsidRPr="004D46AC" w:rsidRDefault="007075D9" w:rsidP="00CE2F7A">
            <w:pPr>
              <w:spacing w:line="240" w:lineRule="auto"/>
              <w:ind w:firstLine="0"/>
              <w:rPr>
                <w:b/>
                <w:bCs/>
              </w:rPr>
            </w:pPr>
            <w:r w:rsidRPr="004D46AC">
              <w:rPr>
                <w:b/>
                <w:bCs/>
              </w:rPr>
              <w:t>PBD</w:t>
            </w:r>
          </w:p>
        </w:tc>
        <w:tc>
          <w:tcPr>
            <w:tcW w:w="2126" w:type="dxa"/>
            <w:gridSpan w:val="4"/>
          </w:tcPr>
          <w:p w14:paraId="4AAD3354" w14:textId="77777777" w:rsidR="007075D9" w:rsidRPr="004D46AC" w:rsidRDefault="007075D9" w:rsidP="00CE2F7A">
            <w:pPr>
              <w:spacing w:line="240" w:lineRule="auto"/>
              <w:ind w:firstLine="0"/>
              <w:rPr>
                <w:b/>
                <w:bCs/>
              </w:rPr>
            </w:pPr>
            <w:r w:rsidRPr="004D46AC">
              <w:rPr>
                <w:b/>
                <w:bCs/>
              </w:rPr>
              <w:t>SCA</w:t>
            </w:r>
          </w:p>
        </w:tc>
        <w:tc>
          <w:tcPr>
            <w:tcW w:w="3048" w:type="dxa"/>
            <w:gridSpan w:val="6"/>
          </w:tcPr>
          <w:p w14:paraId="7196F926" w14:textId="77777777" w:rsidR="007075D9" w:rsidRPr="004D46AC" w:rsidRDefault="007075D9" w:rsidP="00CE2F7A">
            <w:pPr>
              <w:spacing w:line="240" w:lineRule="auto"/>
              <w:ind w:firstLine="0"/>
              <w:rPr>
                <w:b/>
                <w:bCs/>
              </w:rPr>
            </w:pPr>
            <w:r w:rsidRPr="004D46AC">
              <w:rPr>
                <w:b/>
                <w:bCs/>
              </w:rPr>
              <w:t>SCZ</w:t>
            </w:r>
          </w:p>
        </w:tc>
      </w:tr>
      <w:tr w:rsidR="007075D9" w:rsidRPr="004D46AC" w14:paraId="4E89CC0B" w14:textId="77777777" w:rsidTr="00B518F1">
        <w:tc>
          <w:tcPr>
            <w:tcW w:w="661" w:type="dxa"/>
          </w:tcPr>
          <w:p w14:paraId="2479DFDA" w14:textId="77777777" w:rsidR="007075D9" w:rsidRPr="004D46AC" w:rsidRDefault="007075D9" w:rsidP="00CE2F7A">
            <w:pPr>
              <w:spacing w:line="240" w:lineRule="auto"/>
              <w:ind w:firstLine="0"/>
              <w:rPr>
                <w:b/>
                <w:bCs/>
              </w:rPr>
            </w:pPr>
            <w:r w:rsidRPr="004D46AC">
              <w:rPr>
                <w:b/>
                <w:bCs/>
              </w:rPr>
              <w:t>SC</w:t>
            </w:r>
          </w:p>
        </w:tc>
        <w:tc>
          <w:tcPr>
            <w:tcW w:w="551" w:type="dxa"/>
          </w:tcPr>
          <w:p w14:paraId="728D6CFC" w14:textId="77777777" w:rsidR="007075D9" w:rsidRPr="004D46AC" w:rsidRDefault="007075D9" w:rsidP="00CE2F7A">
            <w:pPr>
              <w:spacing w:line="240" w:lineRule="auto"/>
              <w:ind w:firstLine="0"/>
              <w:rPr>
                <w:b/>
                <w:bCs/>
              </w:rPr>
            </w:pPr>
            <w:r w:rsidRPr="004D46AC">
              <w:rPr>
                <w:b/>
                <w:bCs/>
              </w:rPr>
              <w:t>.57</w:t>
            </w:r>
          </w:p>
        </w:tc>
        <w:tc>
          <w:tcPr>
            <w:tcW w:w="551" w:type="dxa"/>
          </w:tcPr>
          <w:p w14:paraId="369AE1A1" w14:textId="77777777" w:rsidR="007075D9" w:rsidRPr="004D46AC" w:rsidRDefault="007075D9" w:rsidP="00CE2F7A">
            <w:pPr>
              <w:spacing w:line="240" w:lineRule="auto"/>
              <w:ind w:firstLine="0"/>
              <w:rPr>
                <w:b/>
                <w:bCs/>
              </w:rPr>
            </w:pPr>
            <w:r w:rsidRPr="004D46AC">
              <w:rPr>
                <w:b/>
                <w:bCs/>
              </w:rPr>
              <w:t>.08</w:t>
            </w:r>
          </w:p>
        </w:tc>
        <w:tc>
          <w:tcPr>
            <w:tcW w:w="550" w:type="dxa"/>
          </w:tcPr>
          <w:p w14:paraId="6ECEAE7C" w14:textId="77777777" w:rsidR="007075D9" w:rsidRPr="004D46AC" w:rsidRDefault="007075D9" w:rsidP="00CE2F7A">
            <w:pPr>
              <w:spacing w:line="240" w:lineRule="auto"/>
              <w:ind w:firstLine="0"/>
              <w:rPr>
                <w:b/>
                <w:bCs/>
              </w:rPr>
            </w:pPr>
            <w:r w:rsidRPr="004D46AC">
              <w:rPr>
                <w:b/>
                <w:bCs/>
              </w:rPr>
              <w:t>.98</w:t>
            </w:r>
          </w:p>
        </w:tc>
        <w:tc>
          <w:tcPr>
            <w:tcW w:w="550" w:type="dxa"/>
          </w:tcPr>
          <w:p w14:paraId="0A08B274" w14:textId="77777777" w:rsidR="007075D9" w:rsidRPr="004D46AC" w:rsidRDefault="007075D9" w:rsidP="00CE2F7A">
            <w:pPr>
              <w:spacing w:line="240" w:lineRule="auto"/>
              <w:ind w:firstLine="0"/>
              <w:rPr>
                <w:b/>
                <w:bCs/>
              </w:rPr>
            </w:pPr>
            <w:r w:rsidRPr="004D46AC">
              <w:rPr>
                <w:b/>
                <w:bCs/>
              </w:rPr>
              <w:t>.17</w:t>
            </w:r>
          </w:p>
        </w:tc>
        <w:tc>
          <w:tcPr>
            <w:tcW w:w="550" w:type="dxa"/>
          </w:tcPr>
          <w:p w14:paraId="0AB2B2BB" w14:textId="77777777" w:rsidR="007075D9" w:rsidRPr="004D46AC" w:rsidRDefault="007075D9" w:rsidP="00CE2F7A">
            <w:pPr>
              <w:spacing w:line="240" w:lineRule="auto"/>
              <w:ind w:firstLine="0"/>
              <w:rPr>
                <w:b/>
                <w:bCs/>
              </w:rPr>
            </w:pPr>
            <w:r w:rsidRPr="004D46AC">
              <w:rPr>
                <w:b/>
                <w:bCs/>
              </w:rPr>
              <w:t>.32</w:t>
            </w:r>
          </w:p>
        </w:tc>
        <w:tc>
          <w:tcPr>
            <w:tcW w:w="550" w:type="dxa"/>
          </w:tcPr>
          <w:p w14:paraId="047F7851" w14:textId="77777777" w:rsidR="007075D9" w:rsidRPr="004D46AC" w:rsidRDefault="007075D9" w:rsidP="00CE2F7A">
            <w:pPr>
              <w:spacing w:line="240" w:lineRule="auto"/>
              <w:ind w:firstLine="0"/>
              <w:rPr>
                <w:b/>
                <w:bCs/>
              </w:rPr>
            </w:pPr>
            <w:r w:rsidRPr="004D46AC">
              <w:rPr>
                <w:b/>
                <w:bCs/>
              </w:rPr>
              <w:t>.79</w:t>
            </w:r>
          </w:p>
        </w:tc>
        <w:tc>
          <w:tcPr>
            <w:tcW w:w="532" w:type="dxa"/>
          </w:tcPr>
          <w:p w14:paraId="293780BC" w14:textId="77777777" w:rsidR="007075D9" w:rsidRPr="004D46AC" w:rsidRDefault="007075D9" w:rsidP="00CE2F7A">
            <w:pPr>
              <w:spacing w:line="240" w:lineRule="auto"/>
              <w:ind w:firstLine="0"/>
              <w:rPr>
                <w:b/>
                <w:bCs/>
              </w:rPr>
            </w:pPr>
            <w:r w:rsidRPr="004D46AC">
              <w:rPr>
                <w:b/>
                <w:bCs/>
              </w:rPr>
              <w:t>.83</w:t>
            </w:r>
          </w:p>
        </w:tc>
        <w:tc>
          <w:tcPr>
            <w:tcW w:w="531" w:type="dxa"/>
          </w:tcPr>
          <w:p w14:paraId="515286CF" w14:textId="77777777" w:rsidR="007075D9" w:rsidRPr="004D46AC" w:rsidRDefault="007075D9" w:rsidP="00CE2F7A">
            <w:pPr>
              <w:spacing w:line="240" w:lineRule="auto"/>
              <w:ind w:firstLine="0"/>
              <w:rPr>
                <w:b/>
                <w:bCs/>
              </w:rPr>
            </w:pPr>
            <w:r w:rsidRPr="004D46AC">
              <w:rPr>
                <w:b/>
                <w:bCs/>
              </w:rPr>
              <w:t>.39</w:t>
            </w:r>
          </w:p>
        </w:tc>
        <w:tc>
          <w:tcPr>
            <w:tcW w:w="532" w:type="dxa"/>
          </w:tcPr>
          <w:p w14:paraId="660A9D39" w14:textId="77777777" w:rsidR="007075D9" w:rsidRPr="004D46AC" w:rsidRDefault="007075D9" w:rsidP="00CE2F7A">
            <w:pPr>
              <w:spacing w:line="240" w:lineRule="auto"/>
              <w:ind w:firstLine="0"/>
              <w:rPr>
                <w:b/>
                <w:bCs/>
              </w:rPr>
            </w:pPr>
            <w:r w:rsidRPr="004D46AC">
              <w:rPr>
                <w:b/>
                <w:bCs/>
              </w:rPr>
              <w:t>.52</w:t>
            </w:r>
          </w:p>
        </w:tc>
        <w:tc>
          <w:tcPr>
            <w:tcW w:w="531" w:type="dxa"/>
          </w:tcPr>
          <w:p w14:paraId="403E6E5F" w14:textId="77777777" w:rsidR="007075D9" w:rsidRPr="004D46AC" w:rsidRDefault="007075D9" w:rsidP="00CE2F7A">
            <w:pPr>
              <w:spacing w:line="240" w:lineRule="auto"/>
              <w:ind w:firstLine="0"/>
              <w:rPr>
                <w:b/>
                <w:bCs/>
              </w:rPr>
            </w:pPr>
            <w:r w:rsidRPr="004D46AC">
              <w:rPr>
                <w:b/>
                <w:bCs/>
              </w:rPr>
              <w:t>.35</w:t>
            </w:r>
          </w:p>
        </w:tc>
        <w:tc>
          <w:tcPr>
            <w:tcW w:w="508" w:type="dxa"/>
          </w:tcPr>
          <w:p w14:paraId="361D041C" w14:textId="77777777" w:rsidR="007075D9" w:rsidRPr="004D46AC" w:rsidRDefault="007075D9" w:rsidP="00CE2F7A">
            <w:pPr>
              <w:spacing w:line="240" w:lineRule="auto"/>
              <w:ind w:firstLine="0"/>
              <w:rPr>
                <w:b/>
                <w:bCs/>
              </w:rPr>
            </w:pPr>
            <w:r w:rsidRPr="004D46AC">
              <w:rPr>
                <w:b/>
                <w:bCs/>
              </w:rPr>
              <w:t>.81</w:t>
            </w:r>
          </w:p>
        </w:tc>
        <w:tc>
          <w:tcPr>
            <w:tcW w:w="508" w:type="dxa"/>
          </w:tcPr>
          <w:p w14:paraId="12337899" w14:textId="77777777" w:rsidR="007075D9" w:rsidRPr="004D46AC" w:rsidRDefault="007075D9" w:rsidP="00CE2F7A">
            <w:pPr>
              <w:spacing w:line="240" w:lineRule="auto"/>
              <w:ind w:firstLine="0"/>
              <w:rPr>
                <w:b/>
                <w:bCs/>
              </w:rPr>
            </w:pPr>
            <w:r w:rsidRPr="004D46AC">
              <w:rPr>
                <w:b/>
                <w:bCs/>
              </w:rPr>
              <w:t>.15</w:t>
            </w:r>
          </w:p>
        </w:tc>
        <w:tc>
          <w:tcPr>
            <w:tcW w:w="508" w:type="dxa"/>
          </w:tcPr>
          <w:p w14:paraId="5BA63190" w14:textId="77777777" w:rsidR="007075D9" w:rsidRPr="004D46AC" w:rsidRDefault="007075D9" w:rsidP="00CE2F7A">
            <w:pPr>
              <w:spacing w:line="240" w:lineRule="auto"/>
              <w:ind w:firstLine="0"/>
              <w:rPr>
                <w:b/>
                <w:bCs/>
              </w:rPr>
            </w:pPr>
            <w:r w:rsidRPr="004D46AC">
              <w:rPr>
                <w:b/>
                <w:bCs/>
              </w:rPr>
              <w:t>.87</w:t>
            </w:r>
          </w:p>
        </w:tc>
        <w:tc>
          <w:tcPr>
            <w:tcW w:w="508" w:type="dxa"/>
          </w:tcPr>
          <w:p w14:paraId="11C8530F" w14:textId="77777777" w:rsidR="007075D9" w:rsidRPr="004D46AC" w:rsidRDefault="007075D9" w:rsidP="00CE2F7A">
            <w:pPr>
              <w:spacing w:line="240" w:lineRule="auto"/>
              <w:ind w:firstLine="0"/>
              <w:rPr>
                <w:b/>
                <w:bCs/>
              </w:rPr>
            </w:pPr>
            <w:r w:rsidRPr="004D46AC">
              <w:rPr>
                <w:b/>
                <w:bCs/>
              </w:rPr>
              <w:t>.42</w:t>
            </w:r>
          </w:p>
        </w:tc>
        <w:tc>
          <w:tcPr>
            <w:tcW w:w="508" w:type="dxa"/>
          </w:tcPr>
          <w:p w14:paraId="4D270F96" w14:textId="77777777" w:rsidR="007075D9" w:rsidRPr="004D46AC" w:rsidRDefault="007075D9" w:rsidP="00CE2F7A">
            <w:pPr>
              <w:spacing w:line="240" w:lineRule="auto"/>
              <w:ind w:firstLine="0"/>
              <w:rPr>
                <w:b/>
                <w:bCs/>
              </w:rPr>
            </w:pPr>
            <w:r w:rsidRPr="004D46AC">
              <w:rPr>
                <w:b/>
                <w:bCs/>
              </w:rPr>
              <w:t>.21</w:t>
            </w:r>
          </w:p>
        </w:tc>
        <w:tc>
          <w:tcPr>
            <w:tcW w:w="508" w:type="dxa"/>
          </w:tcPr>
          <w:p w14:paraId="6E8DBC9D" w14:textId="77777777" w:rsidR="007075D9" w:rsidRPr="004D46AC" w:rsidRDefault="007075D9" w:rsidP="00CE2F7A">
            <w:pPr>
              <w:spacing w:line="240" w:lineRule="auto"/>
              <w:ind w:firstLine="0"/>
              <w:rPr>
                <w:b/>
                <w:bCs/>
              </w:rPr>
            </w:pPr>
            <w:r w:rsidRPr="004D46AC">
              <w:rPr>
                <w:b/>
                <w:bCs/>
              </w:rPr>
              <w:t>.97</w:t>
            </w:r>
          </w:p>
        </w:tc>
      </w:tr>
      <w:tr w:rsidR="007075D9" w:rsidRPr="004D46AC" w14:paraId="366487A8" w14:textId="77777777" w:rsidTr="00B518F1">
        <w:tc>
          <w:tcPr>
            <w:tcW w:w="661" w:type="dxa"/>
          </w:tcPr>
          <w:p w14:paraId="1765A953" w14:textId="77777777" w:rsidR="007075D9" w:rsidRPr="004D46AC" w:rsidRDefault="007075D9" w:rsidP="00CE2F7A">
            <w:pPr>
              <w:spacing w:line="240" w:lineRule="auto"/>
              <w:ind w:firstLine="0"/>
            </w:pPr>
            <w:r w:rsidRPr="004D46AC">
              <w:t>P2</w:t>
            </w:r>
          </w:p>
        </w:tc>
        <w:tc>
          <w:tcPr>
            <w:tcW w:w="551" w:type="dxa"/>
          </w:tcPr>
          <w:p w14:paraId="321D9B23" w14:textId="77777777" w:rsidR="007075D9" w:rsidRPr="004D46AC" w:rsidRDefault="007075D9" w:rsidP="00CE2F7A">
            <w:pPr>
              <w:spacing w:line="240" w:lineRule="auto"/>
              <w:ind w:firstLine="0"/>
              <w:rPr>
                <w:b/>
                <w:bCs/>
              </w:rPr>
            </w:pPr>
            <w:r w:rsidRPr="004D46AC">
              <w:rPr>
                <w:b/>
                <w:bCs/>
              </w:rPr>
              <w:t>1</w:t>
            </w:r>
          </w:p>
        </w:tc>
        <w:tc>
          <w:tcPr>
            <w:tcW w:w="551" w:type="dxa"/>
          </w:tcPr>
          <w:p w14:paraId="34D55A38" w14:textId="77777777" w:rsidR="007075D9" w:rsidRPr="004D46AC" w:rsidRDefault="007075D9" w:rsidP="00CE2F7A">
            <w:pPr>
              <w:spacing w:line="240" w:lineRule="auto"/>
              <w:ind w:firstLine="0"/>
            </w:pPr>
            <w:r w:rsidRPr="004D46AC">
              <w:t>0</w:t>
            </w:r>
          </w:p>
        </w:tc>
        <w:tc>
          <w:tcPr>
            <w:tcW w:w="550" w:type="dxa"/>
          </w:tcPr>
          <w:p w14:paraId="77F2DB46" w14:textId="77777777" w:rsidR="007075D9" w:rsidRPr="004D46AC" w:rsidRDefault="007075D9" w:rsidP="00CE2F7A">
            <w:pPr>
              <w:spacing w:line="240" w:lineRule="auto"/>
              <w:ind w:firstLine="0"/>
            </w:pPr>
            <w:r w:rsidRPr="004D46AC">
              <w:t>0</w:t>
            </w:r>
          </w:p>
        </w:tc>
        <w:tc>
          <w:tcPr>
            <w:tcW w:w="550" w:type="dxa"/>
          </w:tcPr>
          <w:p w14:paraId="3AD310D4" w14:textId="77777777" w:rsidR="007075D9" w:rsidRPr="004D46AC" w:rsidRDefault="007075D9" w:rsidP="00CE2F7A">
            <w:pPr>
              <w:spacing w:line="240" w:lineRule="auto"/>
              <w:ind w:firstLine="0"/>
              <w:rPr>
                <w:b/>
                <w:bCs/>
              </w:rPr>
            </w:pPr>
            <w:r w:rsidRPr="004D46AC">
              <w:rPr>
                <w:b/>
                <w:bCs/>
              </w:rPr>
              <w:t>.69</w:t>
            </w:r>
          </w:p>
        </w:tc>
        <w:tc>
          <w:tcPr>
            <w:tcW w:w="550" w:type="dxa"/>
          </w:tcPr>
          <w:p w14:paraId="4E396D5B" w14:textId="77777777" w:rsidR="007075D9" w:rsidRPr="004D46AC" w:rsidRDefault="007075D9" w:rsidP="00CE2F7A">
            <w:pPr>
              <w:spacing w:line="240" w:lineRule="auto"/>
              <w:ind w:firstLine="0"/>
            </w:pPr>
            <w:r w:rsidRPr="004D46AC">
              <w:t>.15</w:t>
            </w:r>
          </w:p>
        </w:tc>
        <w:tc>
          <w:tcPr>
            <w:tcW w:w="550" w:type="dxa"/>
          </w:tcPr>
          <w:p w14:paraId="0C251BD2" w14:textId="77777777" w:rsidR="007075D9" w:rsidRPr="004D46AC" w:rsidRDefault="007075D9" w:rsidP="00CE2F7A">
            <w:pPr>
              <w:spacing w:line="240" w:lineRule="auto"/>
              <w:ind w:firstLine="0"/>
            </w:pPr>
            <w:r w:rsidRPr="004D46AC">
              <w:t>0</w:t>
            </w:r>
          </w:p>
        </w:tc>
        <w:tc>
          <w:tcPr>
            <w:tcW w:w="532" w:type="dxa"/>
          </w:tcPr>
          <w:p w14:paraId="06A90003" w14:textId="77777777" w:rsidR="007075D9" w:rsidRPr="004D46AC" w:rsidRDefault="007075D9" w:rsidP="00CE2F7A">
            <w:pPr>
              <w:spacing w:line="240" w:lineRule="auto"/>
              <w:ind w:firstLine="0"/>
              <w:rPr>
                <w:b/>
                <w:bCs/>
              </w:rPr>
            </w:pPr>
            <w:r w:rsidRPr="004D46AC">
              <w:rPr>
                <w:b/>
                <w:bCs/>
              </w:rPr>
              <w:t>.97</w:t>
            </w:r>
          </w:p>
        </w:tc>
        <w:tc>
          <w:tcPr>
            <w:tcW w:w="531" w:type="dxa"/>
          </w:tcPr>
          <w:p w14:paraId="1C7239D3" w14:textId="77777777" w:rsidR="007075D9" w:rsidRPr="004D46AC" w:rsidRDefault="007075D9" w:rsidP="00CE2F7A">
            <w:pPr>
              <w:spacing w:line="240" w:lineRule="auto"/>
              <w:ind w:firstLine="0"/>
            </w:pPr>
            <w:r w:rsidRPr="004D46AC">
              <w:t>0</w:t>
            </w:r>
          </w:p>
        </w:tc>
        <w:tc>
          <w:tcPr>
            <w:tcW w:w="532" w:type="dxa"/>
          </w:tcPr>
          <w:p w14:paraId="6521191C" w14:textId="77777777" w:rsidR="007075D9" w:rsidRPr="004D46AC" w:rsidRDefault="007075D9" w:rsidP="00CE2F7A">
            <w:pPr>
              <w:spacing w:line="240" w:lineRule="auto"/>
              <w:ind w:firstLine="0"/>
            </w:pPr>
            <w:r w:rsidRPr="004D46AC">
              <w:t>.02</w:t>
            </w:r>
          </w:p>
        </w:tc>
        <w:tc>
          <w:tcPr>
            <w:tcW w:w="531" w:type="dxa"/>
          </w:tcPr>
          <w:p w14:paraId="41CD2F9F" w14:textId="77777777" w:rsidR="007075D9" w:rsidRPr="004D46AC" w:rsidRDefault="007075D9" w:rsidP="00CE2F7A">
            <w:pPr>
              <w:spacing w:line="240" w:lineRule="auto"/>
              <w:ind w:firstLine="0"/>
            </w:pPr>
            <w:r w:rsidRPr="004D46AC">
              <w:t>0</w:t>
            </w:r>
          </w:p>
        </w:tc>
        <w:tc>
          <w:tcPr>
            <w:tcW w:w="508" w:type="dxa"/>
          </w:tcPr>
          <w:p w14:paraId="77A8C88A" w14:textId="77777777" w:rsidR="007075D9" w:rsidRPr="004D46AC" w:rsidRDefault="007075D9" w:rsidP="00CE2F7A">
            <w:pPr>
              <w:spacing w:line="240" w:lineRule="auto"/>
              <w:ind w:firstLine="0"/>
              <w:rPr>
                <w:b/>
                <w:bCs/>
              </w:rPr>
            </w:pPr>
            <w:r w:rsidRPr="004D46AC">
              <w:rPr>
                <w:b/>
                <w:bCs/>
              </w:rPr>
              <w:t>.82</w:t>
            </w:r>
          </w:p>
        </w:tc>
        <w:tc>
          <w:tcPr>
            <w:tcW w:w="508" w:type="dxa"/>
          </w:tcPr>
          <w:p w14:paraId="212257E9" w14:textId="77777777" w:rsidR="007075D9" w:rsidRPr="004D46AC" w:rsidRDefault="007075D9" w:rsidP="00CE2F7A">
            <w:pPr>
              <w:spacing w:line="240" w:lineRule="auto"/>
              <w:ind w:firstLine="0"/>
            </w:pPr>
            <w:r w:rsidRPr="004D46AC">
              <w:t>.01</w:t>
            </w:r>
          </w:p>
        </w:tc>
        <w:tc>
          <w:tcPr>
            <w:tcW w:w="508" w:type="dxa"/>
          </w:tcPr>
          <w:p w14:paraId="3D935033" w14:textId="77777777" w:rsidR="007075D9" w:rsidRPr="004D46AC" w:rsidRDefault="007075D9" w:rsidP="00CE2F7A">
            <w:pPr>
              <w:spacing w:line="240" w:lineRule="auto"/>
              <w:ind w:firstLine="0"/>
            </w:pPr>
            <w:r w:rsidRPr="004D46AC">
              <w:t>.16</w:t>
            </w:r>
          </w:p>
        </w:tc>
        <w:tc>
          <w:tcPr>
            <w:tcW w:w="508" w:type="dxa"/>
          </w:tcPr>
          <w:p w14:paraId="5778841A" w14:textId="77777777" w:rsidR="007075D9" w:rsidRPr="004D46AC" w:rsidRDefault="007075D9" w:rsidP="00CE2F7A">
            <w:pPr>
              <w:spacing w:line="240" w:lineRule="auto"/>
              <w:ind w:firstLine="0"/>
            </w:pPr>
            <w:r w:rsidRPr="004D46AC">
              <w:t>0</w:t>
            </w:r>
          </w:p>
        </w:tc>
        <w:tc>
          <w:tcPr>
            <w:tcW w:w="508" w:type="dxa"/>
          </w:tcPr>
          <w:p w14:paraId="4570AF8A" w14:textId="77777777" w:rsidR="007075D9" w:rsidRPr="004D46AC" w:rsidRDefault="007075D9" w:rsidP="00CE2F7A">
            <w:pPr>
              <w:spacing w:line="240" w:lineRule="auto"/>
              <w:ind w:firstLine="0"/>
            </w:pPr>
            <w:r w:rsidRPr="004D46AC">
              <w:t>0</w:t>
            </w:r>
          </w:p>
        </w:tc>
        <w:tc>
          <w:tcPr>
            <w:tcW w:w="508" w:type="dxa"/>
          </w:tcPr>
          <w:p w14:paraId="0F0B0FA9" w14:textId="77777777" w:rsidR="007075D9" w:rsidRPr="004D46AC" w:rsidRDefault="007075D9" w:rsidP="00CE2F7A">
            <w:pPr>
              <w:spacing w:line="240" w:lineRule="auto"/>
              <w:ind w:firstLine="0"/>
            </w:pPr>
            <w:r w:rsidRPr="004D46AC">
              <w:t>0</w:t>
            </w:r>
          </w:p>
        </w:tc>
      </w:tr>
      <w:tr w:rsidR="007075D9" w:rsidRPr="004D46AC" w14:paraId="5D17D300" w14:textId="77777777" w:rsidTr="00B518F1">
        <w:tc>
          <w:tcPr>
            <w:tcW w:w="661" w:type="dxa"/>
          </w:tcPr>
          <w:p w14:paraId="49B519E3" w14:textId="77777777" w:rsidR="007075D9" w:rsidRPr="004D46AC" w:rsidRDefault="007075D9" w:rsidP="00CE2F7A">
            <w:pPr>
              <w:spacing w:line="240" w:lineRule="auto"/>
              <w:ind w:firstLine="0"/>
            </w:pPr>
            <w:r w:rsidRPr="004D46AC">
              <w:t>P3</w:t>
            </w:r>
          </w:p>
        </w:tc>
        <w:tc>
          <w:tcPr>
            <w:tcW w:w="551" w:type="dxa"/>
          </w:tcPr>
          <w:p w14:paraId="43AEFBD9" w14:textId="77777777" w:rsidR="007075D9" w:rsidRPr="004D46AC" w:rsidRDefault="007075D9" w:rsidP="00CE2F7A">
            <w:pPr>
              <w:spacing w:line="240" w:lineRule="auto"/>
              <w:ind w:firstLine="0"/>
              <w:rPr>
                <w:b/>
                <w:bCs/>
              </w:rPr>
            </w:pPr>
            <w:r w:rsidRPr="004D46AC">
              <w:rPr>
                <w:b/>
                <w:bCs/>
              </w:rPr>
              <w:t>.97</w:t>
            </w:r>
          </w:p>
        </w:tc>
        <w:tc>
          <w:tcPr>
            <w:tcW w:w="551" w:type="dxa"/>
          </w:tcPr>
          <w:p w14:paraId="2B007A44" w14:textId="77777777" w:rsidR="007075D9" w:rsidRPr="004D46AC" w:rsidRDefault="007075D9" w:rsidP="00CE2F7A">
            <w:pPr>
              <w:spacing w:line="240" w:lineRule="auto"/>
              <w:ind w:firstLine="0"/>
            </w:pPr>
            <w:r w:rsidRPr="004D46AC">
              <w:t>.01</w:t>
            </w:r>
          </w:p>
        </w:tc>
        <w:tc>
          <w:tcPr>
            <w:tcW w:w="550" w:type="dxa"/>
          </w:tcPr>
          <w:p w14:paraId="4C5F52A7" w14:textId="77777777" w:rsidR="007075D9" w:rsidRPr="004D46AC" w:rsidRDefault="007075D9" w:rsidP="00CE2F7A">
            <w:pPr>
              <w:spacing w:line="240" w:lineRule="auto"/>
              <w:ind w:firstLine="0"/>
            </w:pPr>
            <w:r w:rsidRPr="004D46AC">
              <w:t>0</w:t>
            </w:r>
          </w:p>
        </w:tc>
        <w:tc>
          <w:tcPr>
            <w:tcW w:w="550" w:type="dxa"/>
          </w:tcPr>
          <w:p w14:paraId="7FF2A33C" w14:textId="77777777" w:rsidR="007075D9" w:rsidRPr="004D46AC" w:rsidRDefault="007075D9" w:rsidP="00CE2F7A">
            <w:pPr>
              <w:spacing w:line="240" w:lineRule="auto"/>
              <w:ind w:firstLine="0"/>
              <w:rPr>
                <w:b/>
                <w:bCs/>
              </w:rPr>
            </w:pPr>
            <w:r w:rsidRPr="004D46AC">
              <w:rPr>
                <w:b/>
                <w:bCs/>
              </w:rPr>
              <w:t>.69</w:t>
            </w:r>
          </w:p>
        </w:tc>
        <w:tc>
          <w:tcPr>
            <w:tcW w:w="550" w:type="dxa"/>
          </w:tcPr>
          <w:p w14:paraId="1A6D3B72" w14:textId="77777777" w:rsidR="007075D9" w:rsidRPr="004D46AC" w:rsidRDefault="007075D9" w:rsidP="00CE2F7A">
            <w:pPr>
              <w:spacing w:line="240" w:lineRule="auto"/>
              <w:ind w:firstLine="0"/>
            </w:pPr>
            <w:r w:rsidRPr="004D46AC">
              <w:t>.15</w:t>
            </w:r>
          </w:p>
        </w:tc>
        <w:tc>
          <w:tcPr>
            <w:tcW w:w="550" w:type="dxa"/>
          </w:tcPr>
          <w:p w14:paraId="6B8E479F" w14:textId="77777777" w:rsidR="007075D9" w:rsidRPr="004D46AC" w:rsidRDefault="007075D9" w:rsidP="00CE2F7A">
            <w:pPr>
              <w:spacing w:line="240" w:lineRule="auto"/>
              <w:ind w:firstLine="0"/>
            </w:pPr>
            <w:r w:rsidRPr="004D46AC">
              <w:t>0</w:t>
            </w:r>
          </w:p>
        </w:tc>
        <w:tc>
          <w:tcPr>
            <w:tcW w:w="532" w:type="dxa"/>
          </w:tcPr>
          <w:p w14:paraId="4C5E9C57" w14:textId="77777777" w:rsidR="007075D9" w:rsidRPr="004D46AC" w:rsidRDefault="007075D9" w:rsidP="00CE2F7A">
            <w:pPr>
              <w:spacing w:line="240" w:lineRule="auto"/>
              <w:ind w:firstLine="0"/>
            </w:pPr>
            <w:r w:rsidRPr="004D46AC">
              <w:t>.14</w:t>
            </w:r>
          </w:p>
        </w:tc>
        <w:tc>
          <w:tcPr>
            <w:tcW w:w="531" w:type="dxa"/>
          </w:tcPr>
          <w:p w14:paraId="64A09FED" w14:textId="77777777" w:rsidR="007075D9" w:rsidRPr="004D46AC" w:rsidRDefault="007075D9" w:rsidP="00CE2F7A">
            <w:pPr>
              <w:spacing w:line="240" w:lineRule="auto"/>
              <w:ind w:firstLine="0"/>
              <w:rPr>
                <w:b/>
                <w:bCs/>
              </w:rPr>
            </w:pPr>
            <w:r w:rsidRPr="004D46AC">
              <w:rPr>
                <w:b/>
                <w:bCs/>
              </w:rPr>
              <w:t>.42</w:t>
            </w:r>
          </w:p>
        </w:tc>
        <w:tc>
          <w:tcPr>
            <w:tcW w:w="532" w:type="dxa"/>
          </w:tcPr>
          <w:p w14:paraId="01243DA3" w14:textId="77777777" w:rsidR="007075D9" w:rsidRPr="004D46AC" w:rsidRDefault="007075D9" w:rsidP="00CE2F7A">
            <w:pPr>
              <w:spacing w:line="240" w:lineRule="auto"/>
              <w:ind w:firstLine="0"/>
            </w:pPr>
            <w:r w:rsidRPr="004D46AC">
              <w:t>.32</w:t>
            </w:r>
          </w:p>
        </w:tc>
        <w:tc>
          <w:tcPr>
            <w:tcW w:w="531" w:type="dxa"/>
          </w:tcPr>
          <w:p w14:paraId="665D5753" w14:textId="77777777" w:rsidR="007075D9" w:rsidRPr="004D46AC" w:rsidRDefault="007075D9" w:rsidP="00CE2F7A">
            <w:pPr>
              <w:spacing w:line="240" w:lineRule="auto"/>
              <w:ind w:firstLine="0"/>
            </w:pPr>
            <w:r w:rsidRPr="004D46AC">
              <w:t>.08</w:t>
            </w:r>
          </w:p>
        </w:tc>
        <w:tc>
          <w:tcPr>
            <w:tcW w:w="508" w:type="dxa"/>
          </w:tcPr>
          <w:p w14:paraId="25EC0570" w14:textId="77777777" w:rsidR="007075D9" w:rsidRPr="004D46AC" w:rsidRDefault="007075D9" w:rsidP="00CE2F7A">
            <w:pPr>
              <w:spacing w:line="240" w:lineRule="auto"/>
              <w:ind w:firstLine="0"/>
            </w:pPr>
            <w:r w:rsidRPr="004D46AC">
              <w:t>.23</w:t>
            </w:r>
          </w:p>
        </w:tc>
        <w:tc>
          <w:tcPr>
            <w:tcW w:w="508" w:type="dxa"/>
          </w:tcPr>
          <w:p w14:paraId="6A996969" w14:textId="77777777" w:rsidR="007075D9" w:rsidRPr="004D46AC" w:rsidRDefault="007075D9" w:rsidP="00CE2F7A">
            <w:pPr>
              <w:spacing w:line="240" w:lineRule="auto"/>
              <w:ind w:firstLine="0"/>
              <w:rPr>
                <w:b/>
                <w:bCs/>
              </w:rPr>
            </w:pPr>
            <w:r w:rsidRPr="004D46AC">
              <w:rPr>
                <w:b/>
                <w:bCs/>
              </w:rPr>
              <w:t>.21</w:t>
            </w:r>
          </w:p>
        </w:tc>
        <w:tc>
          <w:tcPr>
            <w:tcW w:w="508" w:type="dxa"/>
          </w:tcPr>
          <w:p w14:paraId="1A6DC52D" w14:textId="77777777" w:rsidR="007075D9" w:rsidRPr="004D46AC" w:rsidRDefault="007075D9" w:rsidP="00CE2F7A">
            <w:pPr>
              <w:spacing w:line="240" w:lineRule="auto"/>
              <w:ind w:firstLine="0"/>
            </w:pPr>
            <w:r w:rsidRPr="004D46AC">
              <w:t>.21</w:t>
            </w:r>
          </w:p>
        </w:tc>
        <w:tc>
          <w:tcPr>
            <w:tcW w:w="508" w:type="dxa"/>
          </w:tcPr>
          <w:p w14:paraId="003215A2" w14:textId="77777777" w:rsidR="007075D9" w:rsidRPr="004D46AC" w:rsidRDefault="007075D9" w:rsidP="00CE2F7A">
            <w:pPr>
              <w:spacing w:line="240" w:lineRule="auto"/>
              <w:ind w:firstLine="0"/>
            </w:pPr>
            <w:r w:rsidRPr="004D46AC">
              <w:t>.01</w:t>
            </w:r>
          </w:p>
        </w:tc>
        <w:tc>
          <w:tcPr>
            <w:tcW w:w="508" w:type="dxa"/>
          </w:tcPr>
          <w:p w14:paraId="1C74A9DE" w14:textId="77777777" w:rsidR="007075D9" w:rsidRPr="004D46AC" w:rsidRDefault="007075D9" w:rsidP="00CE2F7A">
            <w:pPr>
              <w:spacing w:line="240" w:lineRule="auto"/>
              <w:ind w:firstLine="0"/>
            </w:pPr>
            <w:r w:rsidRPr="004D46AC">
              <w:t>0</w:t>
            </w:r>
          </w:p>
        </w:tc>
        <w:tc>
          <w:tcPr>
            <w:tcW w:w="508" w:type="dxa"/>
          </w:tcPr>
          <w:p w14:paraId="42A55E1A" w14:textId="77777777" w:rsidR="007075D9" w:rsidRPr="004D46AC" w:rsidRDefault="007075D9" w:rsidP="00CE2F7A">
            <w:pPr>
              <w:spacing w:line="240" w:lineRule="auto"/>
              <w:ind w:firstLine="0"/>
            </w:pPr>
            <w:r w:rsidRPr="004D46AC">
              <w:t>.32</w:t>
            </w:r>
          </w:p>
        </w:tc>
      </w:tr>
      <w:tr w:rsidR="007075D9" w:rsidRPr="004D46AC" w14:paraId="70810FA9" w14:textId="77777777" w:rsidTr="00B518F1">
        <w:tc>
          <w:tcPr>
            <w:tcW w:w="661" w:type="dxa"/>
          </w:tcPr>
          <w:p w14:paraId="760692BE" w14:textId="77777777" w:rsidR="007075D9" w:rsidRPr="004D46AC" w:rsidRDefault="007075D9" w:rsidP="00CE2F7A">
            <w:pPr>
              <w:spacing w:line="240" w:lineRule="auto"/>
              <w:ind w:firstLine="0"/>
            </w:pPr>
            <w:r w:rsidRPr="004D46AC">
              <w:t>P4</w:t>
            </w:r>
          </w:p>
        </w:tc>
        <w:tc>
          <w:tcPr>
            <w:tcW w:w="551" w:type="dxa"/>
          </w:tcPr>
          <w:p w14:paraId="75388ADE" w14:textId="77777777" w:rsidR="007075D9" w:rsidRPr="004D46AC" w:rsidRDefault="007075D9" w:rsidP="00CE2F7A">
            <w:pPr>
              <w:spacing w:line="240" w:lineRule="auto"/>
              <w:ind w:firstLine="0"/>
            </w:pPr>
            <w:r w:rsidRPr="004D46AC">
              <w:t>.11</w:t>
            </w:r>
          </w:p>
        </w:tc>
        <w:tc>
          <w:tcPr>
            <w:tcW w:w="551" w:type="dxa"/>
          </w:tcPr>
          <w:p w14:paraId="15344CA1" w14:textId="77777777" w:rsidR="007075D9" w:rsidRPr="004D46AC" w:rsidRDefault="007075D9" w:rsidP="00CE2F7A">
            <w:pPr>
              <w:spacing w:line="240" w:lineRule="auto"/>
              <w:ind w:firstLine="0"/>
              <w:rPr>
                <w:b/>
                <w:bCs/>
              </w:rPr>
            </w:pPr>
            <w:r w:rsidRPr="004D46AC">
              <w:rPr>
                <w:b/>
                <w:bCs/>
              </w:rPr>
              <w:t>.85</w:t>
            </w:r>
          </w:p>
        </w:tc>
        <w:tc>
          <w:tcPr>
            <w:tcW w:w="550" w:type="dxa"/>
          </w:tcPr>
          <w:p w14:paraId="126C7836" w14:textId="77777777" w:rsidR="007075D9" w:rsidRPr="004D46AC" w:rsidRDefault="007075D9" w:rsidP="00CE2F7A">
            <w:pPr>
              <w:spacing w:line="240" w:lineRule="auto"/>
              <w:ind w:firstLine="0"/>
            </w:pPr>
            <w:r w:rsidRPr="004D46AC">
              <w:t>0</w:t>
            </w:r>
          </w:p>
        </w:tc>
        <w:tc>
          <w:tcPr>
            <w:tcW w:w="550" w:type="dxa"/>
          </w:tcPr>
          <w:p w14:paraId="664C5A2D" w14:textId="77777777" w:rsidR="007075D9" w:rsidRPr="004D46AC" w:rsidRDefault="007075D9" w:rsidP="00CE2F7A">
            <w:pPr>
              <w:spacing w:line="240" w:lineRule="auto"/>
              <w:ind w:firstLine="0"/>
            </w:pPr>
            <w:r w:rsidRPr="004D46AC">
              <w:t>.12</w:t>
            </w:r>
          </w:p>
        </w:tc>
        <w:tc>
          <w:tcPr>
            <w:tcW w:w="550" w:type="dxa"/>
          </w:tcPr>
          <w:p w14:paraId="1A2C50C8" w14:textId="77777777" w:rsidR="007075D9" w:rsidRPr="004D46AC" w:rsidRDefault="007075D9" w:rsidP="00CE2F7A">
            <w:pPr>
              <w:spacing w:line="240" w:lineRule="auto"/>
              <w:ind w:firstLine="0"/>
              <w:rPr>
                <w:b/>
                <w:bCs/>
              </w:rPr>
            </w:pPr>
            <w:r w:rsidRPr="004D46AC">
              <w:rPr>
                <w:b/>
                <w:bCs/>
              </w:rPr>
              <w:t>.75</w:t>
            </w:r>
          </w:p>
        </w:tc>
        <w:tc>
          <w:tcPr>
            <w:tcW w:w="550" w:type="dxa"/>
          </w:tcPr>
          <w:p w14:paraId="3123D9BB" w14:textId="77777777" w:rsidR="007075D9" w:rsidRPr="004D46AC" w:rsidRDefault="007075D9" w:rsidP="00CE2F7A">
            <w:pPr>
              <w:spacing w:line="240" w:lineRule="auto"/>
              <w:ind w:firstLine="0"/>
            </w:pPr>
            <w:r w:rsidRPr="004D46AC">
              <w:t>0</w:t>
            </w:r>
          </w:p>
        </w:tc>
        <w:tc>
          <w:tcPr>
            <w:tcW w:w="532" w:type="dxa"/>
          </w:tcPr>
          <w:p w14:paraId="4764A2F1" w14:textId="77777777" w:rsidR="007075D9" w:rsidRPr="004D46AC" w:rsidRDefault="007075D9" w:rsidP="00CE2F7A">
            <w:pPr>
              <w:spacing w:line="240" w:lineRule="auto"/>
              <w:ind w:firstLine="0"/>
            </w:pPr>
            <w:r w:rsidRPr="004D46AC">
              <w:t>.02</w:t>
            </w:r>
          </w:p>
        </w:tc>
        <w:tc>
          <w:tcPr>
            <w:tcW w:w="531" w:type="dxa"/>
          </w:tcPr>
          <w:p w14:paraId="7ACBC061" w14:textId="77777777" w:rsidR="007075D9" w:rsidRPr="004D46AC" w:rsidRDefault="007075D9" w:rsidP="00CE2F7A">
            <w:pPr>
              <w:spacing w:line="240" w:lineRule="auto"/>
              <w:ind w:firstLine="0"/>
            </w:pPr>
            <w:r w:rsidRPr="004D46AC">
              <w:t>.01</w:t>
            </w:r>
          </w:p>
        </w:tc>
        <w:tc>
          <w:tcPr>
            <w:tcW w:w="532" w:type="dxa"/>
          </w:tcPr>
          <w:p w14:paraId="75A0385B" w14:textId="77777777" w:rsidR="007075D9" w:rsidRPr="004D46AC" w:rsidRDefault="007075D9" w:rsidP="00CE2F7A">
            <w:pPr>
              <w:spacing w:line="240" w:lineRule="auto"/>
              <w:ind w:firstLine="0"/>
              <w:rPr>
                <w:b/>
                <w:bCs/>
              </w:rPr>
            </w:pPr>
            <w:r w:rsidRPr="004D46AC">
              <w:rPr>
                <w:b/>
                <w:bCs/>
              </w:rPr>
              <w:t>.97</w:t>
            </w:r>
          </w:p>
        </w:tc>
        <w:tc>
          <w:tcPr>
            <w:tcW w:w="531" w:type="dxa"/>
          </w:tcPr>
          <w:p w14:paraId="1E9EE349" w14:textId="77777777" w:rsidR="007075D9" w:rsidRPr="004D46AC" w:rsidRDefault="007075D9" w:rsidP="00CE2F7A">
            <w:pPr>
              <w:spacing w:line="240" w:lineRule="auto"/>
              <w:ind w:firstLine="0"/>
            </w:pPr>
            <w:r w:rsidRPr="004D46AC">
              <w:t>0</w:t>
            </w:r>
          </w:p>
        </w:tc>
        <w:tc>
          <w:tcPr>
            <w:tcW w:w="508" w:type="dxa"/>
          </w:tcPr>
          <w:p w14:paraId="50823478" w14:textId="77777777" w:rsidR="007075D9" w:rsidRPr="004D46AC" w:rsidRDefault="007075D9" w:rsidP="00CE2F7A">
            <w:pPr>
              <w:spacing w:line="240" w:lineRule="auto"/>
              <w:ind w:firstLine="0"/>
            </w:pPr>
            <w:r w:rsidRPr="004D46AC">
              <w:t>.08</w:t>
            </w:r>
          </w:p>
        </w:tc>
        <w:tc>
          <w:tcPr>
            <w:tcW w:w="508" w:type="dxa"/>
          </w:tcPr>
          <w:p w14:paraId="2E23CE57" w14:textId="77777777" w:rsidR="007075D9" w:rsidRPr="004D46AC" w:rsidRDefault="007075D9" w:rsidP="00CE2F7A">
            <w:pPr>
              <w:spacing w:line="240" w:lineRule="auto"/>
              <w:ind w:firstLine="0"/>
            </w:pPr>
            <w:r w:rsidRPr="004D46AC">
              <w:t>.01</w:t>
            </w:r>
          </w:p>
        </w:tc>
        <w:tc>
          <w:tcPr>
            <w:tcW w:w="508" w:type="dxa"/>
          </w:tcPr>
          <w:p w14:paraId="2EAFA4EA" w14:textId="77777777" w:rsidR="007075D9" w:rsidRPr="004D46AC" w:rsidRDefault="007075D9" w:rsidP="00CE2F7A">
            <w:pPr>
              <w:spacing w:line="240" w:lineRule="auto"/>
              <w:ind w:firstLine="0"/>
              <w:rPr>
                <w:b/>
                <w:bCs/>
              </w:rPr>
            </w:pPr>
            <w:r w:rsidRPr="004D46AC">
              <w:rPr>
                <w:b/>
                <w:bCs/>
              </w:rPr>
              <w:t>.90</w:t>
            </w:r>
          </w:p>
        </w:tc>
        <w:tc>
          <w:tcPr>
            <w:tcW w:w="508" w:type="dxa"/>
          </w:tcPr>
          <w:p w14:paraId="23567F86" w14:textId="77777777" w:rsidR="007075D9" w:rsidRPr="004D46AC" w:rsidRDefault="007075D9" w:rsidP="00CE2F7A">
            <w:pPr>
              <w:spacing w:line="240" w:lineRule="auto"/>
              <w:ind w:firstLine="0"/>
            </w:pPr>
            <w:r w:rsidRPr="004D46AC">
              <w:t>0</w:t>
            </w:r>
          </w:p>
        </w:tc>
        <w:tc>
          <w:tcPr>
            <w:tcW w:w="508" w:type="dxa"/>
          </w:tcPr>
          <w:p w14:paraId="4866FB57" w14:textId="77777777" w:rsidR="007075D9" w:rsidRPr="004D46AC" w:rsidRDefault="007075D9" w:rsidP="00CE2F7A">
            <w:pPr>
              <w:spacing w:line="240" w:lineRule="auto"/>
              <w:ind w:firstLine="0"/>
            </w:pPr>
            <w:r w:rsidRPr="004D46AC">
              <w:t>0</w:t>
            </w:r>
          </w:p>
        </w:tc>
        <w:tc>
          <w:tcPr>
            <w:tcW w:w="508" w:type="dxa"/>
          </w:tcPr>
          <w:p w14:paraId="31C51345" w14:textId="77777777" w:rsidR="007075D9" w:rsidRPr="004D46AC" w:rsidRDefault="007075D9" w:rsidP="00CE2F7A">
            <w:pPr>
              <w:spacing w:line="240" w:lineRule="auto"/>
              <w:ind w:firstLine="0"/>
            </w:pPr>
            <w:r w:rsidRPr="004D46AC">
              <w:t>0</w:t>
            </w:r>
          </w:p>
        </w:tc>
      </w:tr>
      <w:tr w:rsidR="007075D9" w:rsidRPr="004D46AC" w14:paraId="646E6D63" w14:textId="77777777" w:rsidTr="00B518F1">
        <w:tc>
          <w:tcPr>
            <w:tcW w:w="661" w:type="dxa"/>
          </w:tcPr>
          <w:p w14:paraId="2242BF2E" w14:textId="77777777" w:rsidR="007075D9" w:rsidRPr="004D46AC" w:rsidRDefault="007075D9" w:rsidP="00CE2F7A">
            <w:pPr>
              <w:spacing w:line="240" w:lineRule="auto"/>
              <w:ind w:firstLine="0"/>
            </w:pPr>
            <w:r w:rsidRPr="004D46AC">
              <w:t>P5</w:t>
            </w:r>
          </w:p>
        </w:tc>
        <w:tc>
          <w:tcPr>
            <w:tcW w:w="551" w:type="dxa"/>
          </w:tcPr>
          <w:p w14:paraId="75AD1A0E" w14:textId="77777777" w:rsidR="007075D9" w:rsidRPr="004D46AC" w:rsidRDefault="007075D9" w:rsidP="00CE2F7A">
            <w:pPr>
              <w:spacing w:line="240" w:lineRule="auto"/>
              <w:ind w:firstLine="0"/>
              <w:rPr>
                <w:b/>
                <w:bCs/>
              </w:rPr>
            </w:pPr>
            <w:r w:rsidRPr="004D46AC">
              <w:rPr>
                <w:b/>
                <w:bCs/>
              </w:rPr>
              <w:t>.65</w:t>
            </w:r>
          </w:p>
        </w:tc>
        <w:tc>
          <w:tcPr>
            <w:tcW w:w="551" w:type="dxa"/>
          </w:tcPr>
          <w:p w14:paraId="0CCD7CD5" w14:textId="77777777" w:rsidR="007075D9" w:rsidRPr="004D46AC" w:rsidRDefault="007075D9" w:rsidP="00CE2F7A">
            <w:pPr>
              <w:spacing w:line="240" w:lineRule="auto"/>
              <w:ind w:firstLine="0"/>
            </w:pPr>
            <w:r w:rsidRPr="004D46AC">
              <w:t>.31</w:t>
            </w:r>
          </w:p>
        </w:tc>
        <w:tc>
          <w:tcPr>
            <w:tcW w:w="550" w:type="dxa"/>
          </w:tcPr>
          <w:p w14:paraId="423AA0AA" w14:textId="77777777" w:rsidR="007075D9" w:rsidRPr="004D46AC" w:rsidRDefault="007075D9" w:rsidP="00CE2F7A">
            <w:pPr>
              <w:spacing w:line="240" w:lineRule="auto"/>
              <w:ind w:firstLine="0"/>
            </w:pPr>
            <w:r w:rsidRPr="004D46AC">
              <w:t>0</w:t>
            </w:r>
          </w:p>
        </w:tc>
        <w:tc>
          <w:tcPr>
            <w:tcW w:w="550" w:type="dxa"/>
          </w:tcPr>
          <w:p w14:paraId="5E3276D1" w14:textId="77777777" w:rsidR="007075D9" w:rsidRPr="004D46AC" w:rsidRDefault="007075D9" w:rsidP="00CE2F7A">
            <w:pPr>
              <w:spacing w:line="240" w:lineRule="auto"/>
              <w:ind w:firstLine="0"/>
              <w:rPr>
                <w:b/>
                <w:bCs/>
              </w:rPr>
            </w:pPr>
            <w:r w:rsidRPr="004D46AC">
              <w:rPr>
                <w:b/>
                <w:bCs/>
              </w:rPr>
              <w:t>.56</w:t>
            </w:r>
          </w:p>
        </w:tc>
        <w:tc>
          <w:tcPr>
            <w:tcW w:w="550" w:type="dxa"/>
          </w:tcPr>
          <w:p w14:paraId="510520B1" w14:textId="77777777" w:rsidR="007075D9" w:rsidRPr="004D46AC" w:rsidRDefault="007075D9" w:rsidP="00CE2F7A">
            <w:pPr>
              <w:spacing w:line="240" w:lineRule="auto"/>
              <w:ind w:firstLine="0"/>
            </w:pPr>
            <w:r w:rsidRPr="004D46AC">
              <w:t>.29</w:t>
            </w:r>
          </w:p>
        </w:tc>
        <w:tc>
          <w:tcPr>
            <w:tcW w:w="550" w:type="dxa"/>
          </w:tcPr>
          <w:p w14:paraId="4CC40E4D" w14:textId="77777777" w:rsidR="007075D9" w:rsidRPr="004D46AC" w:rsidRDefault="007075D9" w:rsidP="00CE2F7A">
            <w:pPr>
              <w:spacing w:line="240" w:lineRule="auto"/>
              <w:ind w:firstLine="0"/>
            </w:pPr>
            <w:r w:rsidRPr="004D46AC">
              <w:t>0</w:t>
            </w:r>
          </w:p>
        </w:tc>
        <w:tc>
          <w:tcPr>
            <w:tcW w:w="532" w:type="dxa"/>
          </w:tcPr>
          <w:p w14:paraId="18657E4F" w14:textId="77777777" w:rsidR="007075D9" w:rsidRPr="004D46AC" w:rsidRDefault="007075D9" w:rsidP="00CE2F7A">
            <w:pPr>
              <w:spacing w:line="240" w:lineRule="auto"/>
              <w:ind w:firstLine="0"/>
            </w:pPr>
            <w:r w:rsidRPr="004D46AC">
              <w:t>.13</w:t>
            </w:r>
          </w:p>
        </w:tc>
        <w:tc>
          <w:tcPr>
            <w:tcW w:w="531" w:type="dxa"/>
          </w:tcPr>
          <w:p w14:paraId="08AB6A7A" w14:textId="77777777" w:rsidR="007075D9" w:rsidRPr="004D46AC" w:rsidRDefault="007075D9" w:rsidP="00CE2F7A">
            <w:pPr>
              <w:spacing w:line="240" w:lineRule="auto"/>
              <w:ind w:firstLine="0"/>
            </w:pPr>
            <w:r w:rsidRPr="004D46AC">
              <w:t>.03</w:t>
            </w:r>
          </w:p>
        </w:tc>
        <w:tc>
          <w:tcPr>
            <w:tcW w:w="532" w:type="dxa"/>
          </w:tcPr>
          <w:p w14:paraId="332092A1" w14:textId="77777777" w:rsidR="007075D9" w:rsidRPr="004D46AC" w:rsidRDefault="007075D9" w:rsidP="00CE2F7A">
            <w:pPr>
              <w:spacing w:line="240" w:lineRule="auto"/>
              <w:ind w:firstLine="0"/>
              <w:rPr>
                <w:b/>
                <w:bCs/>
              </w:rPr>
            </w:pPr>
            <w:r w:rsidRPr="004D46AC">
              <w:rPr>
                <w:b/>
                <w:bCs/>
              </w:rPr>
              <w:t>.82</w:t>
            </w:r>
          </w:p>
        </w:tc>
        <w:tc>
          <w:tcPr>
            <w:tcW w:w="531" w:type="dxa"/>
          </w:tcPr>
          <w:p w14:paraId="03A5E8D5" w14:textId="77777777" w:rsidR="007075D9" w:rsidRPr="004D46AC" w:rsidRDefault="007075D9" w:rsidP="00CE2F7A">
            <w:pPr>
              <w:spacing w:line="240" w:lineRule="auto"/>
              <w:ind w:firstLine="0"/>
            </w:pPr>
            <w:r w:rsidRPr="004D46AC">
              <w:t>0</w:t>
            </w:r>
          </w:p>
        </w:tc>
        <w:tc>
          <w:tcPr>
            <w:tcW w:w="508" w:type="dxa"/>
          </w:tcPr>
          <w:p w14:paraId="0EE1EBA7" w14:textId="77777777" w:rsidR="007075D9" w:rsidRPr="004D46AC" w:rsidRDefault="007075D9" w:rsidP="00CE2F7A">
            <w:pPr>
              <w:spacing w:line="240" w:lineRule="auto"/>
              <w:ind w:firstLine="0"/>
            </w:pPr>
            <w:r w:rsidRPr="004D46AC">
              <w:t>.07</w:t>
            </w:r>
          </w:p>
        </w:tc>
        <w:tc>
          <w:tcPr>
            <w:tcW w:w="508" w:type="dxa"/>
          </w:tcPr>
          <w:p w14:paraId="0C1A28F5" w14:textId="77777777" w:rsidR="007075D9" w:rsidRPr="004D46AC" w:rsidRDefault="007075D9" w:rsidP="00CE2F7A">
            <w:pPr>
              <w:spacing w:line="240" w:lineRule="auto"/>
              <w:ind w:firstLine="0"/>
            </w:pPr>
            <w:r w:rsidRPr="004D46AC">
              <w:t>.01</w:t>
            </w:r>
          </w:p>
        </w:tc>
        <w:tc>
          <w:tcPr>
            <w:tcW w:w="508" w:type="dxa"/>
          </w:tcPr>
          <w:p w14:paraId="62A1F6D3" w14:textId="77777777" w:rsidR="007075D9" w:rsidRPr="004D46AC" w:rsidRDefault="007075D9" w:rsidP="00CE2F7A">
            <w:pPr>
              <w:spacing w:line="240" w:lineRule="auto"/>
              <w:ind w:firstLine="0"/>
              <w:rPr>
                <w:b/>
                <w:bCs/>
              </w:rPr>
            </w:pPr>
            <w:r w:rsidRPr="004D46AC">
              <w:rPr>
                <w:b/>
                <w:bCs/>
              </w:rPr>
              <w:t>.90</w:t>
            </w:r>
          </w:p>
        </w:tc>
        <w:tc>
          <w:tcPr>
            <w:tcW w:w="508" w:type="dxa"/>
          </w:tcPr>
          <w:p w14:paraId="7A86E2DA" w14:textId="77777777" w:rsidR="007075D9" w:rsidRPr="004D46AC" w:rsidRDefault="007075D9" w:rsidP="00CE2F7A">
            <w:pPr>
              <w:spacing w:line="240" w:lineRule="auto"/>
              <w:ind w:firstLine="0"/>
            </w:pPr>
            <w:r w:rsidRPr="004D46AC">
              <w:t>0</w:t>
            </w:r>
          </w:p>
        </w:tc>
        <w:tc>
          <w:tcPr>
            <w:tcW w:w="508" w:type="dxa"/>
          </w:tcPr>
          <w:p w14:paraId="23B9BC1C" w14:textId="77777777" w:rsidR="007075D9" w:rsidRPr="004D46AC" w:rsidRDefault="007075D9" w:rsidP="00CE2F7A">
            <w:pPr>
              <w:spacing w:line="240" w:lineRule="auto"/>
              <w:ind w:firstLine="0"/>
            </w:pPr>
            <w:r w:rsidRPr="004D46AC">
              <w:t>0</w:t>
            </w:r>
          </w:p>
        </w:tc>
        <w:tc>
          <w:tcPr>
            <w:tcW w:w="508" w:type="dxa"/>
          </w:tcPr>
          <w:p w14:paraId="27723BD7" w14:textId="77777777" w:rsidR="007075D9" w:rsidRPr="004D46AC" w:rsidRDefault="007075D9" w:rsidP="00CE2F7A">
            <w:pPr>
              <w:spacing w:line="240" w:lineRule="auto"/>
              <w:ind w:firstLine="0"/>
            </w:pPr>
            <w:r w:rsidRPr="004D46AC">
              <w:t>0</w:t>
            </w:r>
          </w:p>
        </w:tc>
      </w:tr>
      <w:tr w:rsidR="007075D9" w:rsidRPr="004D46AC" w14:paraId="4B9455AA" w14:textId="77777777" w:rsidTr="00B518F1">
        <w:tc>
          <w:tcPr>
            <w:tcW w:w="661" w:type="dxa"/>
          </w:tcPr>
          <w:p w14:paraId="7B675756" w14:textId="77777777" w:rsidR="007075D9" w:rsidRPr="004D46AC" w:rsidRDefault="007075D9" w:rsidP="00CE2F7A">
            <w:pPr>
              <w:spacing w:line="240" w:lineRule="auto"/>
              <w:ind w:firstLine="0"/>
            </w:pPr>
            <w:r w:rsidRPr="004D46AC">
              <w:t>P6</w:t>
            </w:r>
          </w:p>
        </w:tc>
        <w:tc>
          <w:tcPr>
            <w:tcW w:w="551" w:type="dxa"/>
          </w:tcPr>
          <w:p w14:paraId="468E7F6B" w14:textId="77777777" w:rsidR="007075D9" w:rsidRPr="004D46AC" w:rsidRDefault="007075D9" w:rsidP="00CE2F7A">
            <w:pPr>
              <w:spacing w:line="240" w:lineRule="auto"/>
              <w:ind w:firstLine="0"/>
              <w:rPr>
                <w:b/>
                <w:bCs/>
              </w:rPr>
            </w:pPr>
            <w:r w:rsidRPr="004D46AC">
              <w:rPr>
                <w:b/>
                <w:bCs/>
              </w:rPr>
              <w:t>.97</w:t>
            </w:r>
          </w:p>
        </w:tc>
        <w:tc>
          <w:tcPr>
            <w:tcW w:w="551" w:type="dxa"/>
          </w:tcPr>
          <w:p w14:paraId="63BB0B67" w14:textId="77777777" w:rsidR="007075D9" w:rsidRPr="004D46AC" w:rsidRDefault="007075D9" w:rsidP="00CE2F7A">
            <w:pPr>
              <w:spacing w:line="240" w:lineRule="auto"/>
              <w:ind w:firstLine="0"/>
            </w:pPr>
            <w:r w:rsidRPr="004D46AC">
              <w:t>.01</w:t>
            </w:r>
          </w:p>
        </w:tc>
        <w:tc>
          <w:tcPr>
            <w:tcW w:w="550" w:type="dxa"/>
          </w:tcPr>
          <w:p w14:paraId="19B15EF7" w14:textId="77777777" w:rsidR="007075D9" w:rsidRPr="004D46AC" w:rsidRDefault="007075D9" w:rsidP="00CE2F7A">
            <w:pPr>
              <w:spacing w:line="240" w:lineRule="auto"/>
              <w:ind w:firstLine="0"/>
            </w:pPr>
            <w:r w:rsidRPr="004D46AC">
              <w:t>0</w:t>
            </w:r>
          </w:p>
        </w:tc>
        <w:tc>
          <w:tcPr>
            <w:tcW w:w="550" w:type="dxa"/>
          </w:tcPr>
          <w:p w14:paraId="4494D676" w14:textId="77777777" w:rsidR="007075D9" w:rsidRPr="004D46AC" w:rsidRDefault="007075D9" w:rsidP="00CE2F7A">
            <w:pPr>
              <w:spacing w:line="240" w:lineRule="auto"/>
              <w:ind w:firstLine="0"/>
              <w:rPr>
                <w:b/>
                <w:bCs/>
              </w:rPr>
            </w:pPr>
            <w:r w:rsidRPr="004D46AC">
              <w:rPr>
                <w:b/>
                <w:bCs/>
              </w:rPr>
              <w:t>.83</w:t>
            </w:r>
          </w:p>
        </w:tc>
        <w:tc>
          <w:tcPr>
            <w:tcW w:w="550" w:type="dxa"/>
          </w:tcPr>
          <w:p w14:paraId="1CF45791" w14:textId="77777777" w:rsidR="007075D9" w:rsidRPr="004D46AC" w:rsidRDefault="007075D9" w:rsidP="00CE2F7A">
            <w:pPr>
              <w:spacing w:line="240" w:lineRule="auto"/>
              <w:ind w:firstLine="0"/>
            </w:pPr>
            <w:r w:rsidRPr="004D46AC">
              <w:t>.03</w:t>
            </w:r>
          </w:p>
        </w:tc>
        <w:tc>
          <w:tcPr>
            <w:tcW w:w="550" w:type="dxa"/>
          </w:tcPr>
          <w:p w14:paraId="64D02253" w14:textId="77777777" w:rsidR="007075D9" w:rsidRPr="004D46AC" w:rsidRDefault="007075D9" w:rsidP="00CE2F7A">
            <w:pPr>
              <w:spacing w:line="240" w:lineRule="auto"/>
              <w:ind w:firstLine="0"/>
            </w:pPr>
            <w:r w:rsidRPr="004D46AC">
              <w:t>0</w:t>
            </w:r>
          </w:p>
        </w:tc>
        <w:tc>
          <w:tcPr>
            <w:tcW w:w="532" w:type="dxa"/>
          </w:tcPr>
          <w:p w14:paraId="1FC1C363" w14:textId="77777777" w:rsidR="007075D9" w:rsidRPr="004D46AC" w:rsidRDefault="007075D9" w:rsidP="00CE2F7A">
            <w:pPr>
              <w:spacing w:line="240" w:lineRule="auto"/>
              <w:ind w:firstLine="0"/>
            </w:pPr>
            <w:r w:rsidRPr="004D46AC">
              <w:t>.14</w:t>
            </w:r>
          </w:p>
        </w:tc>
        <w:tc>
          <w:tcPr>
            <w:tcW w:w="531" w:type="dxa"/>
          </w:tcPr>
          <w:p w14:paraId="677182C1" w14:textId="77777777" w:rsidR="007075D9" w:rsidRPr="004D46AC" w:rsidRDefault="007075D9" w:rsidP="00CE2F7A">
            <w:pPr>
              <w:spacing w:line="240" w:lineRule="auto"/>
              <w:ind w:firstLine="0"/>
            </w:pPr>
            <w:r w:rsidRPr="004D46AC">
              <w:t>.</w:t>
            </w:r>
            <w:r w:rsidRPr="004D46AC">
              <w:rPr>
                <w:b/>
                <w:bCs/>
              </w:rPr>
              <w:t>42</w:t>
            </w:r>
          </w:p>
        </w:tc>
        <w:tc>
          <w:tcPr>
            <w:tcW w:w="532" w:type="dxa"/>
          </w:tcPr>
          <w:p w14:paraId="08B2257F" w14:textId="77777777" w:rsidR="007075D9" w:rsidRPr="004D46AC" w:rsidRDefault="007075D9" w:rsidP="00CE2F7A">
            <w:pPr>
              <w:spacing w:line="240" w:lineRule="auto"/>
              <w:ind w:firstLine="0"/>
            </w:pPr>
            <w:r w:rsidRPr="004D46AC">
              <w:t>.32</w:t>
            </w:r>
          </w:p>
        </w:tc>
        <w:tc>
          <w:tcPr>
            <w:tcW w:w="531" w:type="dxa"/>
          </w:tcPr>
          <w:p w14:paraId="35552485" w14:textId="77777777" w:rsidR="007075D9" w:rsidRPr="004D46AC" w:rsidRDefault="007075D9" w:rsidP="00CE2F7A">
            <w:pPr>
              <w:spacing w:line="240" w:lineRule="auto"/>
              <w:ind w:firstLine="0"/>
            </w:pPr>
            <w:r w:rsidRPr="004D46AC">
              <w:t>.07</w:t>
            </w:r>
          </w:p>
        </w:tc>
        <w:tc>
          <w:tcPr>
            <w:tcW w:w="508" w:type="dxa"/>
          </w:tcPr>
          <w:p w14:paraId="1E66E2AD" w14:textId="77777777" w:rsidR="007075D9" w:rsidRPr="004D46AC" w:rsidRDefault="007075D9" w:rsidP="00CE2F7A">
            <w:pPr>
              <w:spacing w:line="240" w:lineRule="auto"/>
              <w:ind w:firstLine="0"/>
            </w:pPr>
            <w:r w:rsidRPr="004D46AC">
              <w:t>.34</w:t>
            </w:r>
          </w:p>
        </w:tc>
        <w:tc>
          <w:tcPr>
            <w:tcW w:w="508" w:type="dxa"/>
          </w:tcPr>
          <w:p w14:paraId="6C12D0F3" w14:textId="77777777" w:rsidR="007075D9" w:rsidRPr="004D46AC" w:rsidRDefault="007075D9" w:rsidP="00CE2F7A">
            <w:pPr>
              <w:spacing w:line="240" w:lineRule="auto"/>
              <w:ind w:firstLine="0"/>
              <w:rPr>
                <w:b/>
                <w:bCs/>
              </w:rPr>
            </w:pPr>
            <w:r w:rsidRPr="004D46AC">
              <w:rPr>
                <w:b/>
                <w:bCs/>
              </w:rPr>
              <w:t>.22</w:t>
            </w:r>
          </w:p>
        </w:tc>
        <w:tc>
          <w:tcPr>
            <w:tcW w:w="508" w:type="dxa"/>
          </w:tcPr>
          <w:p w14:paraId="28E6ECC5" w14:textId="77777777" w:rsidR="007075D9" w:rsidRPr="004D46AC" w:rsidRDefault="007075D9" w:rsidP="00CE2F7A">
            <w:pPr>
              <w:spacing w:line="240" w:lineRule="auto"/>
              <w:ind w:firstLine="0"/>
            </w:pPr>
            <w:r w:rsidRPr="004D46AC">
              <w:t>.27</w:t>
            </w:r>
          </w:p>
        </w:tc>
        <w:tc>
          <w:tcPr>
            <w:tcW w:w="508" w:type="dxa"/>
          </w:tcPr>
          <w:p w14:paraId="3E160A06" w14:textId="77777777" w:rsidR="007075D9" w:rsidRPr="004D46AC" w:rsidRDefault="007075D9" w:rsidP="00CE2F7A">
            <w:pPr>
              <w:spacing w:line="240" w:lineRule="auto"/>
              <w:ind w:firstLine="0"/>
            </w:pPr>
            <w:r w:rsidRPr="004D46AC">
              <w:t>.01</w:t>
            </w:r>
          </w:p>
        </w:tc>
        <w:tc>
          <w:tcPr>
            <w:tcW w:w="508" w:type="dxa"/>
          </w:tcPr>
          <w:p w14:paraId="6E8B5474" w14:textId="77777777" w:rsidR="007075D9" w:rsidRPr="004D46AC" w:rsidRDefault="007075D9" w:rsidP="00CE2F7A">
            <w:pPr>
              <w:spacing w:line="240" w:lineRule="auto"/>
              <w:ind w:firstLine="0"/>
            </w:pPr>
            <w:r w:rsidRPr="004D46AC">
              <w:t>0</w:t>
            </w:r>
          </w:p>
        </w:tc>
        <w:tc>
          <w:tcPr>
            <w:tcW w:w="508" w:type="dxa"/>
          </w:tcPr>
          <w:p w14:paraId="7233E2E5" w14:textId="77777777" w:rsidR="007075D9" w:rsidRPr="004D46AC" w:rsidRDefault="007075D9" w:rsidP="00CE2F7A">
            <w:pPr>
              <w:spacing w:line="240" w:lineRule="auto"/>
              <w:ind w:firstLine="0"/>
            </w:pPr>
            <w:r w:rsidRPr="004D46AC">
              <w:t>.15</w:t>
            </w:r>
          </w:p>
        </w:tc>
      </w:tr>
      <w:tr w:rsidR="007075D9" w:rsidRPr="004D46AC" w14:paraId="79C558EC" w14:textId="77777777" w:rsidTr="00B518F1">
        <w:tc>
          <w:tcPr>
            <w:tcW w:w="661" w:type="dxa"/>
          </w:tcPr>
          <w:p w14:paraId="14A738F2" w14:textId="77777777" w:rsidR="007075D9" w:rsidRPr="004D46AC" w:rsidRDefault="007075D9" w:rsidP="00CE2F7A">
            <w:pPr>
              <w:spacing w:line="240" w:lineRule="auto"/>
              <w:ind w:firstLine="0"/>
            </w:pPr>
            <w:r w:rsidRPr="004D46AC">
              <w:t>N1</w:t>
            </w:r>
          </w:p>
        </w:tc>
        <w:tc>
          <w:tcPr>
            <w:tcW w:w="551" w:type="dxa"/>
          </w:tcPr>
          <w:p w14:paraId="6E405BC0" w14:textId="77777777" w:rsidR="007075D9" w:rsidRPr="004D46AC" w:rsidRDefault="007075D9" w:rsidP="00CE2F7A">
            <w:pPr>
              <w:spacing w:line="240" w:lineRule="auto"/>
              <w:ind w:firstLine="0"/>
              <w:rPr>
                <w:b/>
                <w:bCs/>
              </w:rPr>
            </w:pPr>
            <w:r w:rsidRPr="004D46AC">
              <w:rPr>
                <w:b/>
                <w:bCs/>
              </w:rPr>
              <w:t>.92</w:t>
            </w:r>
          </w:p>
        </w:tc>
        <w:tc>
          <w:tcPr>
            <w:tcW w:w="551" w:type="dxa"/>
          </w:tcPr>
          <w:p w14:paraId="360CCBAA" w14:textId="77777777" w:rsidR="007075D9" w:rsidRPr="004D46AC" w:rsidRDefault="007075D9" w:rsidP="00CE2F7A">
            <w:pPr>
              <w:spacing w:line="240" w:lineRule="auto"/>
              <w:ind w:firstLine="0"/>
            </w:pPr>
            <w:r w:rsidRPr="004D46AC">
              <w:t>0</w:t>
            </w:r>
          </w:p>
        </w:tc>
        <w:tc>
          <w:tcPr>
            <w:tcW w:w="550" w:type="dxa"/>
          </w:tcPr>
          <w:p w14:paraId="23EDF66D" w14:textId="77777777" w:rsidR="007075D9" w:rsidRPr="004D46AC" w:rsidRDefault="007075D9" w:rsidP="00CE2F7A">
            <w:pPr>
              <w:spacing w:line="240" w:lineRule="auto"/>
              <w:ind w:firstLine="0"/>
            </w:pPr>
            <w:r w:rsidRPr="004D46AC">
              <w:t>0</w:t>
            </w:r>
          </w:p>
        </w:tc>
        <w:tc>
          <w:tcPr>
            <w:tcW w:w="550" w:type="dxa"/>
          </w:tcPr>
          <w:p w14:paraId="7B1379E1" w14:textId="77777777" w:rsidR="007075D9" w:rsidRPr="004D46AC" w:rsidRDefault="007075D9" w:rsidP="00CE2F7A">
            <w:pPr>
              <w:spacing w:line="240" w:lineRule="auto"/>
              <w:ind w:firstLine="0"/>
              <w:rPr>
                <w:b/>
                <w:bCs/>
              </w:rPr>
            </w:pPr>
            <w:r w:rsidRPr="004D46AC">
              <w:rPr>
                <w:b/>
                <w:bCs/>
              </w:rPr>
              <w:t>.87</w:t>
            </w:r>
          </w:p>
        </w:tc>
        <w:tc>
          <w:tcPr>
            <w:tcW w:w="550" w:type="dxa"/>
          </w:tcPr>
          <w:p w14:paraId="3537951D" w14:textId="77777777" w:rsidR="007075D9" w:rsidRPr="004D46AC" w:rsidRDefault="007075D9" w:rsidP="00CE2F7A">
            <w:pPr>
              <w:spacing w:line="240" w:lineRule="auto"/>
              <w:ind w:firstLine="0"/>
            </w:pPr>
            <w:r w:rsidRPr="004D46AC">
              <w:t>0</w:t>
            </w:r>
          </w:p>
        </w:tc>
        <w:tc>
          <w:tcPr>
            <w:tcW w:w="550" w:type="dxa"/>
          </w:tcPr>
          <w:p w14:paraId="3060546D" w14:textId="77777777" w:rsidR="007075D9" w:rsidRPr="004D46AC" w:rsidRDefault="007075D9" w:rsidP="00CE2F7A">
            <w:pPr>
              <w:spacing w:line="240" w:lineRule="auto"/>
              <w:ind w:firstLine="0"/>
            </w:pPr>
            <w:r w:rsidRPr="004D46AC">
              <w:t>0</w:t>
            </w:r>
          </w:p>
        </w:tc>
        <w:tc>
          <w:tcPr>
            <w:tcW w:w="532" w:type="dxa"/>
          </w:tcPr>
          <w:p w14:paraId="7A9399BC" w14:textId="77777777" w:rsidR="007075D9" w:rsidRPr="004D46AC" w:rsidRDefault="007075D9" w:rsidP="00CE2F7A">
            <w:pPr>
              <w:spacing w:line="240" w:lineRule="auto"/>
              <w:ind w:firstLine="0"/>
              <w:rPr>
                <w:b/>
                <w:bCs/>
              </w:rPr>
            </w:pPr>
            <w:r w:rsidRPr="004D46AC">
              <w:rPr>
                <w:b/>
                <w:bCs/>
              </w:rPr>
              <w:t>.85</w:t>
            </w:r>
          </w:p>
        </w:tc>
        <w:tc>
          <w:tcPr>
            <w:tcW w:w="531" w:type="dxa"/>
          </w:tcPr>
          <w:p w14:paraId="0B7DADB9" w14:textId="77777777" w:rsidR="007075D9" w:rsidRPr="004D46AC" w:rsidRDefault="007075D9" w:rsidP="00CE2F7A">
            <w:pPr>
              <w:spacing w:line="240" w:lineRule="auto"/>
              <w:ind w:firstLine="0"/>
            </w:pPr>
            <w:r w:rsidRPr="004D46AC">
              <w:t>.01</w:t>
            </w:r>
          </w:p>
        </w:tc>
        <w:tc>
          <w:tcPr>
            <w:tcW w:w="532" w:type="dxa"/>
          </w:tcPr>
          <w:p w14:paraId="6F7E3F63" w14:textId="77777777" w:rsidR="007075D9" w:rsidRPr="004D46AC" w:rsidRDefault="007075D9" w:rsidP="00CE2F7A">
            <w:pPr>
              <w:spacing w:line="240" w:lineRule="auto"/>
              <w:ind w:firstLine="0"/>
            </w:pPr>
            <w:r w:rsidRPr="004D46AC">
              <w:t>0</w:t>
            </w:r>
          </w:p>
        </w:tc>
        <w:tc>
          <w:tcPr>
            <w:tcW w:w="531" w:type="dxa"/>
          </w:tcPr>
          <w:p w14:paraId="5952A71C" w14:textId="77777777" w:rsidR="007075D9" w:rsidRPr="004D46AC" w:rsidRDefault="007075D9" w:rsidP="00CE2F7A">
            <w:pPr>
              <w:spacing w:line="240" w:lineRule="auto"/>
              <w:ind w:firstLine="0"/>
            </w:pPr>
            <w:r w:rsidRPr="004D46AC">
              <w:t>0</w:t>
            </w:r>
          </w:p>
        </w:tc>
        <w:tc>
          <w:tcPr>
            <w:tcW w:w="508" w:type="dxa"/>
          </w:tcPr>
          <w:p w14:paraId="52E1B79C" w14:textId="77777777" w:rsidR="007075D9" w:rsidRPr="004D46AC" w:rsidRDefault="007075D9" w:rsidP="00CE2F7A">
            <w:pPr>
              <w:spacing w:line="240" w:lineRule="auto"/>
              <w:ind w:firstLine="0"/>
            </w:pPr>
            <w:r w:rsidRPr="004D46AC">
              <w:t>.57</w:t>
            </w:r>
          </w:p>
        </w:tc>
        <w:tc>
          <w:tcPr>
            <w:tcW w:w="508" w:type="dxa"/>
          </w:tcPr>
          <w:p w14:paraId="384DBEBA" w14:textId="77777777" w:rsidR="007075D9" w:rsidRPr="004D46AC" w:rsidRDefault="007075D9" w:rsidP="00CE2F7A">
            <w:pPr>
              <w:spacing w:line="240" w:lineRule="auto"/>
              <w:ind w:firstLine="0"/>
            </w:pPr>
            <w:r w:rsidRPr="004D46AC">
              <w:t>0</w:t>
            </w:r>
          </w:p>
        </w:tc>
        <w:tc>
          <w:tcPr>
            <w:tcW w:w="508" w:type="dxa"/>
          </w:tcPr>
          <w:p w14:paraId="199AC45B" w14:textId="77777777" w:rsidR="007075D9" w:rsidRPr="004D46AC" w:rsidRDefault="007075D9" w:rsidP="00CE2F7A">
            <w:pPr>
              <w:spacing w:line="240" w:lineRule="auto"/>
              <w:ind w:firstLine="0"/>
            </w:pPr>
            <w:r w:rsidRPr="004D46AC">
              <w:t>0</w:t>
            </w:r>
          </w:p>
        </w:tc>
        <w:tc>
          <w:tcPr>
            <w:tcW w:w="508" w:type="dxa"/>
          </w:tcPr>
          <w:p w14:paraId="616BA847" w14:textId="77777777" w:rsidR="007075D9" w:rsidRPr="004D46AC" w:rsidRDefault="007075D9" w:rsidP="00CE2F7A">
            <w:pPr>
              <w:spacing w:line="240" w:lineRule="auto"/>
              <w:ind w:firstLine="0"/>
              <w:rPr>
                <w:b/>
                <w:bCs/>
              </w:rPr>
            </w:pPr>
            <w:r w:rsidRPr="004D46AC">
              <w:rPr>
                <w:b/>
                <w:bCs/>
              </w:rPr>
              <w:t>.43</w:t>
            </w:r>
          </w:p>
        </w:tc>
        <w:tc>
          <w:tcPr>
            <w:tcW w:w="508" w:type="dxa"/>
          </w:tcPr>
          <w:p w14:paraId="7A23A819" w14:textId="77777777" w:rsidR="007075D9" w:rsidRPr="004D46AC" w:rsidRDefault="007075D9" w:rsidP="00CE2F7A">
            <w:pPr>
              <w:spacing w:line="240" w:lineRule="auto"/>
              <w:ind w:firstLine="0"/>
            </w:pPr>
            <w:r w:rsidRPr="004D46AC">
              <w:t>0</w:t>
            </w:r>
          </w:p>
        </w:tc>
        <w:tc>
          <w:tcPr>
            <w:tcW w:w="508" w:type="dxa"/>
          </w:tcPr>
          <w:p w14:paraId="44F4AE09" w14:textId="77777777" w:rsidR="007075D9" w:rsidRPr="004D46AC" w:rsidRDefault="007075D9" w:rsidP="00CE2F7A">
            <w:pPr>
              <w:spacing w:line="240" w:lineRule="auto"/>
              <w:ind w:firstLine="0"/>
            </w:pPr>
            <w:r w:rsidRPr="004D46AC">
              <w:t>0</w:t>
            </w:r>
          </w:p>
        </w:tc>
      </w:tr>
      <w:tr w:rsidR="007075D9" w:rsidRPr="004D46AC" w14:paraId="42CD1ADB" w14:textId="77777777" w:rsidTr="00B518F1">
        <w:tc>
          <w:tcPr>
            <w:tcW w:w="661" w:type="dxa"/>
          </w:tcPr>
          <w:p w14:paraId="22F144C8" w14:textId="77777777" w:rsidR="007075D9" w:rsidRPr="004D46AC" w:rsidRDefault="007075D9" w:rsidP="00CE2F7A">
            <w:pPr>
              <w:spacing w:line="240" w:lineRule="auto"/>
              <w:ind w:firstLine="0"/>
            </w:pPr>
            <w:r w:rsidRPr="004D46AC">
              <w:t>RC</w:t>
            </w:r>
          </w:p>
        </w:tc>
        <w:tc>
          <w:tcPr>
            <w:tcW w:w="551" w:type="dxa"/>
          </w:tcPr>
          <w:p w14:paraId="1CE867A1" w14:textId="77777777" w:rsidR="007075D9" w:rsidRPr="004D46AC" w:rsidRDefault="007075D9" w:rsidP="00CE2F7A">
            <w:pPr>
              <w:spacing w:line="240" w:lineRule="auto"/>
              <w:ind w:firstLine="0"/>
              <w:rPr>
                <w:b/>
                <w:bCs/>
              </w:rPr>
            </w:pPr>
            <w:r w:rsidRPr="004D46AC">
              <w:rPr>
                <w:b/>
                <w:bCs/>
              </w:rPr>
              <w:t>.92</w:t>
            </w:r>
          </w:p>
        </w:tc>
        <w:tc>
          <w:tcPr>
            <w:tcW w:w="551" w:type="dxa"/>
          </w:tcPr>
          <w:p w14:paraId="1ADC3D18" w14:textId="77777777" w:rsidR="007075D9" w:rsidRPr="004D46AC" w:rsidRDefault="007075D9" w:rsidP="00CE2F7A">
            <w:pPr>
              <w:spacing w:line="240" w:lineRule="auto"/>
              <w:ind w:firstLine="0"/>
            </w:pPr>
            <w:r w:rsidRPr="004D46AC">
              <w:t>0</w:t>
            </w:r>
          </w:p>
        </w:tc>
        <w:tc>
          <w:tcPr>
            <w:tcW w:w="550" w:type="dxa"/>
          </w:tcPr>
          <w:p w14:paraId="0E207EA4" w14:textId="77777777" w:rsidR="007075D9" w:rsidRPr="004D46AC" w:rsidRDefault="007075D9" w:rsidP="00CE2F7A">
            <w:pPr>
              <w:spacing w:line="240" w:lineRule="auto"/>
              <w:ind w:firstLine="0"/>
            </w:pPr>
            <w:r w:rsidRPr="004D46AC">
              <w:t>0</w:t>
            </w:r>
          </w:p>
        </w:tc>
        <w:tc>
          <w:tcPr>
            <w:tcW w:w="550" w:type="dxa"/>
          </w:tcPr>
          <w:p w14:paraId="0FA7008B" w14:textId="77777777" w:rsidR="007075D9" w:rsidRPr="004D46AC" w:rsidRDefault="007075D9" w:rsidP="00CE2F7A">
            <w:pPr>
              <w:spacing w:line="240" w:lineRule="auto"/>
              <w:ind w:firstLine="0"/>
              <w:rPr>
                <w:b/>
                <w:bCs/>
              </w:rPr>
            </w:pPr>
            <w:r w:rsidRPr="004D46AC">
              <w:rPr>
                <w:b/>
                <w:bCs/>
              </w:rPr>
              <w:t>.87</w:t>
            </w:r>
          </w:p>
        </w:tc>
        <w:tc>
          <w:tcPr>
            <w:tcW w:w="550" w:type="dxa"/>
          </w:tcPr>
          <w:p w14:paraId="14CC995C" w14:textId="77777777" w:rsidR="007075D9" w:rsidRPr="004D46AC" w:rsidRDefault="007075D9" w:rsidP="00CE2F7A">
            <w:pPr>
              <w:spacing w:line="240" w:lineRule="auto"/>
              <w:ind w:firstLine="0"/>
            </w:pPr>
            <w:r w:rsidRPr="004D46AC">
              <w:t>0</w:t>
            </w:r>
          </w:p>
        </w:tc>
        <w:tc>
          <w:tcPr>
            <w:tcW w:w="550" w:type="dxa"/>
          </w:tcPr>
          <w:p w14:paraId="08240F21" w14:textId="77777777" w:rsidR="007075D9" w:rsidRPr="004D46AC" w:rsidRDefault="007075D9" w:rsidP="00CE2F7A">
            <w:pPr>
              <w:spacing w:line="240" w:lineRule="auto"/>
              <w:ind w:firstLine="0"/>
            </w:pPr>
            <w:r w:rsidRPr="004D46AC">
              <w:t>0</w:t>
            </w:r>
          </w:p>
        </w:tc>
        <w:tc>
          <w:tcPr>
            <w:tcW w:w="532" w:type="dxa"/>
          </w:tcPr>
          <w:p w14:paraId="6A651B02" w14:textId="77777777" w:rsidR="007075D9" w:rsidRPr="004D46AC" w:rsidRDefault="007075D9" w:rsidP="00CE2F7A">
            <w:pPr>
              <w:spacing w:line="240" w:lineRule="auto"/>
              <w:ind w:firstLine="0"/>
              <w:rPr>
                <w:b/>
                <w:bCs/>
              </w:rPr>
            </w:pPr>
            <w:r w:rsidRPr="004D46AC">
              <w:rPr>
                <w:b/>
                <w:bCs/>
              </w:rPr>
              <w:t>.85</w:t>
            </w:r>
          </w:p>
        </w:tc>
        <w:tc>
          <w:tcPr>
            <w:tcW w:w="531" w:type="dxa"/>
          </w:tcPr>
          <w:p w14:paraId="43CA1A81" w14:textId="77777777" w:rsidR="007075D9" w:rsidRPr="004D46AC" w:rsidRDefault="007075D9" w:rsidP="00CE2F7A">
            <w:pPr>
              <w:spacing w:line="240" w:lineRule="auto"/>
              <w:ind w:firstLine="0"/>
            </w:pPr>
            <w:r w:rsidRPr="004D46AC">
              <w:t>.01</w:t>
            </w:r>
          </w:p>
        </w:tc>
        <w:tc>
          <w:tcPr>
            <w:tcW w:w="532" w:type="dxa"/>
          </w:tcPr>
          <w:p w14:paraId="3B67AD97" w14:textId="77777777" w:rsidR="007075D9" w:rsidRPr="004D46AC" w:rsidRDefault="007075D9" w:rsidP="00CE2F7A">
            <w:pPr>
              <w:spacing w:line="240" w:lineRule="auto"/>
              <w:ind w:firstLine="0"/>
            </w:pPr>
            <w:r w:rsidRPr="004D46AC">
              <w:t>0</w:t>
            </w:r>
          </w:p>
        </w:tc>
        <w:tc>
          <w:tcPr>
            <w:tcW w:w="531" w:type="dxa"/>
          </w:tcPr>
          <w:p w14:paraId="137B54D2" w14:textId="77777777" w:rsidR="007075D9" w:rsidRPr="004D46AC" w:rsidRDefault="007075D9" w:rsidP="00CE2F7A">
            <w:pPr>
              <w:spacing w:line="240" w:lineRule="auto"/>
              <w:ind w:firstLine="0"/>
            </w:pPr>
            <w:r w:rsidRPr="004D46AC">
              <w:t>0</w:t>
            </w:r>
          </w:p>
        </w:tc>
        <w:tc>
          <w:tcPr>
            <w:tcW w:w="508" w:type="dxa"/>
          </w:tcPr>
          <w:p w14:paraId="7D71C365" w14:textId="77777777" w:rsidR="007075D9" w:rsidRPr="004D46AC" w:rsidRDefault="007075D9" w:rsidP="00CE2F7A">
            <w:pPr>
              <w:spacing w:line="240" w:lineRule="auto"/>
              <w:ind w:firstLine="0"/>
            </w:pPr>
            <w:r w:rsidRPr="004D46AC">
              <w:t>.57</w:t>
            </w:r>
          </w:p>
        </w:tc>
        <w:tc>
          <w:tcPr>
            <w:tcW w:w="508" w:type="dxa"/>
          </w:tcPr>
          <w:p w14:paraId="1061E1FF" w14:textId="77777777" w:rsidR="007075D9" w:rsidRPr="004D46AC" w:rsidRDefault="007075D9" w:rsidP="00CE2F7A">
            <w:pPr>
              <w:spacing w:line="240" w:lineRule="auto"/>
              <w:ind w:firstLine="0"/>
            </w:pPr>
            <w:r w:rsidRPr="004D46AC">
              <w:t>0</w:t>
            </w:r>
          </w:p>
        </w:tc>
        <w:tc>
          <w:tcPr>
            <w:tcW w:w="508" w:type="dxa"/>
          </w:tcPr>
          <w:p w14:paraId="1627A11F" w14:textId="77777777" w:rsidR="007075D9" w:rsidRPr="004D46AC" w:rsidRDefault="007075D9" w:rsidP="00CE2F7A">
            <w:pPr>
              <w:spacing w:line="240" w:lineRule="auto"/>
              <w:ind w:firstLine="0"/>
            </w:pPr>
            <w:r w:rsidRPr="004D46AC">
              <w:t>0</w:t>
            </w:r>
          </w:p>
        </w:tc>
        <w:tc>
          <w:tcPr>
            <w:tcW w:w="508" w:type="dxa"/>
          </w:tcPr>
          <w:p w14:paraId="095CDF8F" w14:textId="77777777" w:rsidR="007075D9" w:rsidRPr="004D46AC" w:rsidRDefault="007075D9" w:rsidP="00CE2F7A">
            <w:pPr>
              <w:spacing w:line="240" w:lineRule="auto"/>
              <w:ind w:firstLine="0"/>
              <w:rPr>
                <w:b/>
                <w:bCs/>
              </w:rPr>
            </w:pPr>
            <w:r w:rsidRPr="004D46AC">
              <w:rPr>
                <w:b/>
                <w:bCs/>
              </w:rPr>
              <w:t>.43</w:t>
            </w:r>
          </w:p>
        </w:tc>
        <w:tc>
          <w:tcPr>
            <w:tcW w:w="508" w:type="dxa"/>
          </w:tcPr>
          <w:p w14:paraId="4AF91464" w14:textId="77777777" w:rsidR="007075D9" w:rsidRPr="004D46AC" w:rsidRDefault="007075D9" w:rsidP="00CE2F7A">
            <w:pPr>
              <w:spacing w:line="240" w:lineRule="auto"/>
              <w:ind w:firstLine="0"/>
            </w:pPr>
            <w:r w:rsidRPr="004D46AC">
              <w:t>0</w:t>
            </w:r>
          </w:p>
        </w:tc>
        <w:tc>
          <w:tcPr>
            <w:tcW w:w="508" w:type="dxa"/>
          </w:tcPr>
          <w:p w14:paraId="509016F2" w14:textId="77777777" w:rsidR="007075D9" w:rsidRPr="004D46AC" w:rsidRDefault="007075D9" w:rsidP="00CE2F7A">
            <w:pPr>
              <w:spacing w:line="240" w:lineRule="auto"/>
              <w:ind w:firstLine="0"/>
            </w:pPr>
            <w:r w:rsidRPr="004D46AC">
              <w:t>0</w:t>
            </w:r>
          </w:p>
        </w:tc>
      </w:tr>
      <w:tr w:rsidR="007075D9" w:rsidRPr="004D46AC" w14:paraId="070F9E51" w14:textId="77777777" w:rsidTr="00B518F1">
        <w:tc>
          <w:tcPr>
            <w:tcW w:w="661" w:type="dxa"/>
          </w:tcPr>
          <w:p w14:paraId="518C0E56" w14:textId="77777777" w:rsidR="007075D9" w:rsidRPr="004D46AC" w:rsidRDefault="007075D9" w:rsidP="00CE2F7A">
            <w:pPr>
              <w:spacing w:line="240" w:lineRule="auto"/>
              <w:ind w:firstLine="0"/>
            </w:pPr>
            <w:r w:rsidRPr="004D46AC">
              <w:t>WD</w:t>
            </w:r>
          </w:p>
        </w:tc>
        <w:tc>
          <w:tcPr>
            <w:tcW w:w="551" w:type="dxa"/>
          </w:tcPr>
          <w:p w14:paraId="050EDDBA" w14:textId="77777777" w:rsidR="007075D9" w:rsidRPr="004D46AC" w:rsidRDefault="007075D9" w:rsidP="00CE2F7A">
            <w:pPr>
              <w:spacing w:line="240" w:lineRule="auto"/>
              <w:ind w:firstLine="0"/>
            </w:pPr>
            <w:r w:rsidRPr="004D46AC">
              <w:t>.76</w:t>
            </w:r>
          </w:p>
        </w:tc>
        <w:tc>
          <w:tcPr>
            <w:tcW w:w="551" w:type="dxa"/>
          </w:tcPr>
          <w:p w14:paraId="265CCBF0" w14:textId="77777777" w:rsidR="007075D9" w:rsidRPr="004D46AC" w:rsidRDefault="007075D9" w:rsidP="00CE2F7A">
            <w:pPr>
              <w:spacing w:line="240" w:lineRule="auto"/>
              <w:ind w:firstLine="0"/>
              <w:rPr>
                <w:b/>
                <w:bCs/>
              </w:rPr>
            </w:pPr>
            <w:r w:rsidRPr="004D46AC">
              <w:rPr>
                <w:b/>
                <w:bCs/>
              </w:rPr>
              <w:t>.11</w:t>
            </w:r>
          </w:p>
        </w:tc>
        <w:tc>
          <w:tcPr>
            <w:tcW w:w="550" w:type="dxa"/>
          </w:tcPr>
          <w:p w14:paraId="510885D6" w14:textId="77777777" w:rsidR="007075D9" w:rsidRPr="004D46AC" w:rsidRDefault="007075D9" w:rsidP="00CE2F7A">
            <w:pPr>
              <w:spacing w:line="240" w:lineRule="auto"/>
              <w:ind w:firstLine="0"/>
            </w:pPr>
            <w:r w:rsidRPr="004D46AC">
              <w:t>.01</w:t>
            </w:r>
          </w:p>
        </w:tc>
        <w:tc>
          <w:tcPr>
            <w:tcW w:w="550" w:type="dxa"/>
          </w:tcPr>
          <w:p w14:paraId="4F033FCD" w14:textId="77777777" w:rsidR="007075D9" w:rsidRPr="004D46AC" w:rsidRDefault="007075D9" w:rsidP="00CE2F7A">
            <w:pPr>
              <w:spacing w:line="240" w:lineRule="auto"/>
              <w:ind w:firstLine="0"/>
              <w:rPr>
                <w:b/>
                <w:bCs/>
              </w:rPr>
            </w:pPr>
            <w:r w:rsidRPr="004D46AC">
              <w:rPr>
                <w:b/>
                <w:bCs/>
              </w:rPr>
              <w:t>.54</w:t>
            </w:r>
          </w:p>
        </w:tc>
        <w:tc>
          <w:tcPr>
            <w:tcW w:w="550" w:type="dxa"/>
          </w:tcPr>
          <w:p w14:paraId="4AB38C3D" w14:textId="77777777" w:rsidR="007075D9" w:rsidRPr="004D46AC" w:rsidRDefault="007075D9" w:rsidP="00CE2F7A">
            <w:pPr>
              <w:spacing w:line="240" w:lineRule="auto"/>
              <w:ind w:firstLine="0"/>
            </w:pPr>
            <w:r w:rsidRPr="004D46AC">
              <w:t>0</w:t>
            </w:r>
          </w:p>
        </w:tc>
        <w:tc>
          <w:tcPr>
            <w:tcW w:w="550" w:type="dxa"/>
          </w:tcPr>
          <w:p w14:paraId="6517E829" w14:textId="77777777" w:rsidR="007075D9" w:rsidRPr="004D46AC" w:rsidRDefault="007075D9" w:rsidP="00CE2F7A">
            <w:pPr>
              <w:spacing w:line="240" w:lineRule="auto"/>
              <w:ind w:firstLine="0"/>
            </w:pPr>
            <w:r w:rsidRPr="004D46AC">
              <w:t>.36</w:t>
            </w:r>
          </w:p>
        </w:tc>
        <w:tc>
          <w:tcPr>
            <w:tcW w:w="532" w:type="dxa"/>
          </w:tcPr>
          <w:p w14:paraId="61324B3A" w14:textId="77777777" w:rsidR="007075D9" w:rsidRPr="004D46AC" w:rsidRDefault="007075D9" w:rsidP="00CE2F7A">
            <w:pPr>
              <w:spacing w:line="240" w:lineRule="auto"/>
              <w:ind w:firstLine="0"/>
            </w:pPr>
            <w:r w:rsidRPr="004D46AC">
              <w:t>.12</w:t>
            </w:r>
          </w:p>
        </w:tc>
        <w:tc>
          <w:tcPr>
            <w:tcW w:w="531" w:type="dxa"/>
          </w:tcPr>
          <w:p w14:paraId="617CE435" w14:textId="77777777" w:rsidR="007075D9" w:rsidRPr="004D46AC" w:rsidRDefault="007075D9" w:rsidP="00CE2F7A">
            <w:pPr>
              <w:spacing w:line="240" w:lineRule="auto"/>
              <w:ind w:firstLine="0"/>
              <w:rPr>
                <w:b/>
                <w:bCs/>
              </w:rPr>
            </w:pPr>
            <w:r w:rsidRPr="004D46AC">
              <w:rPr>
                <w:b/>
                <w:bCs/>
              </w:rPr>
              <w:t>.40</w:t>
            </w:r>
          </w:p>
        </w:tc>
        <w:tc>
          <w:tcPr>
            <w:tcW w:w="532" w:type="dxa"/>
          </w:tcPr>
          <w:p w14:paraId="0F4BB3ED" w14:textId="77777777" w:rsidR="007075D9" w:rsidRPr="004D46AC" w:rsidRDefault="007075D9" w:rsidP="00CE2F7A">
            <w:pPr>
              <w:spacing w:line="240" w:lineRule="auto"/>
              <w:ind w:firstLine="0"/>
            </w:pPr>
            <w:r w:rsidRPr="004D46AC">
              <w:t>.11</w:t>
            </w:r>
          </w:p>
        </w:tc>
        <w:tc>
          <w:tcPr>
            <w:tcW w:w="531" w:type="dxa"/>
          </w:tcPr>
          <w:p w14:paraId="66424970" w14:textId="77777777" w:rsidR="007075D9" w:rsidRPr="004D46AC" w:rsidRDefault="007075D9" w:rsidP="00CE2F7A">
            <w:pPr>
              <w:spacing w:line="240" w:lineRule="auto"/>
              <w:ind w:firstLine="0"/>
            </w:pPr>
            <w:r w:rsidRPr="004D46AC">
              <w:t>.33</w:t>
            </w:r>
          </w:p>
        </w:tc>
        <w:tc>
          <w:tcPr>
            <w:tcW w:w="508" w:type="dxa"/>
          </w:tcPr>
          <w:p w14:paraId="18082C53" w14:textId="77777777" w:rsidR="007075D9" w:rsidRPr="004D46AC" w:rsidRDefault="007075D9" w:rsidP="00CE2F7A">
            <w:pPr>
              <w:spacing w:line="240" w:lineRule="auto"/>
              <w:ind w:firstLine="0"/>
            </w:pPr>
            <w:r w:rsidRPr="004D46AC">
              <w:t>.57</w:t>
            </w:r>
          </w:p>
        </w:tc>
        <w:tc>
          <w:tcPr>
            <w:tcW w:w="508" w:type="dxa"/>
          </w:tcPr>
          <w:p w14:paraId="0C992F71" w14:textId="77777777" w:rsidR="007075D9" w:rsidRPr="004D46AC" w:rsidRDefault="007075D9" w:rsidP="00CE2F7A">
            <w:pPr>
              <w:spacing w:line="240" w:lineRule="auto"/>
              <w:ind w:firstLine="0"/>
            </w:pPr>
            <w:r w:rsidRPr="004D46AC">
              <w:t>.01</w:t>
            </w:r>
          </w:p>
        </w:tc>
        <w:tc>
          <w:tcPr>
            <w:tcW w:w="508" w:type="dxa"/>
          </w:tcPr>
          <w:p w14:paraId="6BBDB9DF" w14:textId="77777777" w:rsidR="007075D9" w:rsidRPr="004D46AC" w:rsidRDefault="007075D9" w:rsidP="00CE2F7A">
            <w:pPr>
              <w:spacing w:line="240" w:lineRule="auto"/>
              <w:ind w:firstLine="0"/>
            </w:pPr>
            <w:r w:rsidRPr="004D46AC">
              <w:t>0</w:t>
            </w:r>
          </w:p>
        </w:tc>
        <w:tc>
          <w:tcPr>
            <w:tcW w:w="508" w:type="dxa"/>
          </w:tcPr>
          <w:p w14:paraId="68908636" w14:textId="77777777" w:rsidR="007075D9" w:rsidRPr="004D46AC" w:rsidRDefault="007075D9" w:rsidP="00CE2F7A">
            <w:pPr>
              <w:spacing w:line="240" w:lineRule="auto"/>
              <w:ind w:firstLine="0"/>
              <w:rPr>
                <w:b/>
                <w:bCs/>
              </w:rPr>
            </w:pPr>
            <w:r w:rsidRPr="004D46AC">
              <w:rPr>
                <w:b/>
                <w:bCs/>
              </w:rPr>
              <w:t>.42</w:t>
            </w:r>
          </w:p>
        </w:tc>
        <w:tc>
          <w:tcPr>
            <w:tcW w:w="508" w:type="dxa"/>
          </w:tcPr>
          <w:p w14:paraId="0B79BC88" w14:textId="77777777" w:rsidR="007075D9" w:rsidRPr="004D46AC" w:rsidRDefault="007075D9" w:rsidP="00CE2F7A">
            <w:pPr>
              <w:spacing w:line="240" w:lineRule="auto"/>
              <w:ind w:firstLine="0"/>
            </w:pPr>
            <w:r w:rsidRPr="004D46AC">
              <w:t>0</w:t>
            </w:r>
          </w:p>
        </w:tc>
        <w:tc>
          <w:tcPr>
            <w:tcW w:w="508" w:type="dxa"/>
          </w:tcPr>
          <w:p w14:paraId="58426AFF" w14:textId="77777777" w:rsidR="007075D9" w:rsidRPr="004D46AC" w:rsidRDefault="007075D9" w:rsidP="00CE2F7A">
            <w:pPr>
              <w:spacing w:line="240" w:lineRule="auto"/>
              <w:ind w:firstLine="0"/>
            </w:pPr>
            <w:r w:rsidRPr="004D46AC">
              <w:t>0</w:t>
            </w:r>
          </w:p>
        </w:tc>
      </w:tr>
      <w:tr w:rsidR="007075D9" w:rsidRPr="004D46AC" w14:paraId="1AB2194B" w14:textId="77777777" w:rsidTr="00B518F1">
        <w:tc>
          <w:tcPr>
            <w:tcW w:w="661" w:type="dxa"/>
          </w:tcPr>
          <w:p w14:paraId="7D394F8E" w14:textId="77777777" w:rsidR="007075D9" w:rsidRPr="004D46AC" w:rsidRDefault="007075D9" w:rsidP="00CE2F7A">
            <w:pPr>
              <w:spacing w:line="240" w:lineRule="auto"/>
              <w:ind w:firstLine="0"/>
            </w:pPr>
            <w:r w:rsidRPr="004D46AC">
              <w:t>N5</w:t>
            </w:r>
          </w:p>
        </w:tc>
        <w:tc>
          <w:tcPr>
            <w:tcW w:w="551" w:type="dxa"/>
          </w:tcPr>
          <w:p w14:paraId="1AADFB64" w14:textId="77777777" w:rsidR="007075D9" w:rsidRPr="004D46AC" w:rsidRDefault="007075D9" w:rsidP="00CE2F7A">
            <w:pPr>
              <w:spacing w:line="240" w:lineRule="auto"/>
              <w:ind w:firstLine="0"/>
              <w:rPr>
                <w:b/>
                <w:bCs/>
              </w:rPr>
            </w:pPr>
            <w:r w:rsidRPr="004D46AC">
              <w:rPr>
                <w:b/>
                <w:bCs/>
              </w:rPr>
              <w:t>1</w:t>
            </w:r>
          </w:p>
        </w:tc>
        <w:tc>
          <w:tcPr>
            <w:tcW w:w="551" w:type="dxa"/>
          </w:tcPr>
          <w:p w14:paraId="1F91E819" w14:textId="77777777" w:rsidR="007075D9" w:rsidRPr="004D46AC" w:rsidRDefault="007075D9" w:rsidP="00CE2F7A">
            <w:pPr>
              <w:spacing w:line="240" w:lineRule="auto"/>
              <w:ind w:firstLine="0"/>
            </w:pPr>
            <w:r w:rsidRPr="004D46AC">
              <w:t>0</w:t>
            </w:r>
          </w:p>
        </w:tc>
        <w:tc>
          <w:tcPr>
            <w:tcW w:w="550" w:type="dxa"/>
          </w:tcPr>
          <w:p w14:paraId="3B81C679" w14:textId="77777777" w:rsidR="007075D9" w:rsidRPr="004D46AC" w:rsidRDefault="007075D9" w:rsidP="00CE2F7A">
            <w:pPr>
              <w:spacing w:line="240" w:lineRule="auto"/>
              <w:ind w:firstLine="0"/>
            </w:pPr>
            <w:r w:rsidRPr="004D46AC">
              <w:t>0</w:t>
            </w:r>
          </w:p>
        </w:tc>
        <w:tc>
          <w:tcPr>
            <w:tcW w:w="550" w:type="dxa"/>
          </w:tcPr>
          <w:p w14:paraId="7CA7DD0E" w14:textId="77777777" w:rsidR="007075D9" w:rsidRPr="004D46AC" w:rsidRDefault="007075D9" w:rsidP="00CE2F7A">
            <w:pPr>
              <w:spacing w:line="240" w:lineRule="auto"/>
              <w:ind w:firstLine="0"/>
              <w:rPr>
                <w:b/>
                <w:bCs/>
              </w:rPr>
            </w:pPr>
            <w:r w:rsidRPr="004D46AC">
              <w:rPr>
                <w:b/>
                <w:bCs/>
              </w:rPr>
              <w:t>.90</w:t>
            </w:r>
          </w:p>
        </w:tc>
        <w:tc>
          <w:tcPr>
            <w:tcW w:w="550" w:type="dxa"/>
          </w:tcPr>
          <w:p w14:paraId="4ED85EC4" w14:textId="77777777" w:rsidR="007075D9" w:rsidRPr="004D46AC" w:rsidRDefault="007075D9" w:rsidP="00CE2F7A">
            <w:pPr>
              <w:spacing w:line="240" w:lineRule="auto"/>
              <w:ind w:firstLine="0"/>
            </w:pPr>
            <w:r w:rsidRPr="004D46AC">
              <w:t>0</w:t>
            </w:r>
          </w:p>
        </w:tc>
        <w:tc>
          <w:tcPr>
            <w:tcW w:w="550" w:type="dxa"/>
          </w:tcPr>
          <w:p w14:paraId="5DB868A2" w14:textId="77777777" w:rsidR="007075D9" w:rsidRPr="004D46AC" w:rsidRDefault="007075D9" w:rsidP="00CE2F7A">
            <w:pPr>
              <w:spacing w:line="240" w:lineRule="auto"/>
              <w:ind w:firstLine="0"/>
            </w:pPr>
            <w:r w:rsidRPr="004D46AC">
              <w:t>0</w:t>
            </w:r>
          </w:p>
        </w:tc>
        <w:tc>
          <w:tcPr>
            <w:tcW w:w="532" w:type="dxa"/>
          </w:tcPr>
          <w:p w14:paraId="0692EA1E" w14:textId="77777777" w:rsidR="007075D9" w:rsidRPr="004D46AC" w:rsidRDefault="007075D9" w:rsidP="00CE2F7A">
            <w:pPr>
              <w:spacing w:line="240" w:lineRule="auto"/>
              <w:ind w:firstLine="0"/>
              <w:rPr>
                <w:b/>
                <w:bCs/>
              </w:rPr>
            </w:pPr>
            <w:r w:rsidRPr="004D46AC">
              <w:rPr>
                <w:b/>
                <w:bCs/>
              </w:rPr>
              <w:t>.97</w:t>
            </w:r>
          </w:p>
        </w:tc>
        <w:tc>
          <w:tcPr>
            <w:tcW w:w="531" w:type="dxa"/>
          </w:tcPr>
          <w:p w14:paraId="4D2C3D84" w14:textId="77777777" w:rsidR="007075D9" w:rsidRPr="004D46AC" w:rsidRDefault="007075D9" w:rsidP="00CE2F7A">
            <w:pPr>
              <w:spacing w:line="240" w:lineRule="auto"/>
              <w:ind w:firstLine="0"/>
            </w:pPr>
            <w:r w:rsidRPr="004D46AC">
              <w:t>0</w:t>
            </w:r>
          </w:p>
        </w:tc>
        <w:tc>
          <w:tcPr>
            <w:tcW w:w="532" w:type="dxa"/>
          </w:tcPr>
          <w:p w14:paraId="3540C8C5" w14:textId="77777777" w:rsidR="007075D9" w:rsidRPr="004D46AC" w:rsidRDefault="007075D9" w:rsidP="00CE2F7A">
            <w:pPr>
              <w:spacing w:line="240" w:lineRule="auto"/>
              <w:ind w:firstLine="0"/>
            </w:pPr>
            <w:r w:rsidRPr="004D46AC">
              <w:t>.02</w:t>
            </w:r>
          </w:p>
        </w:tc>
        <w:tc>
          <w:tcPr>
            <w:tcW w:w="531" w:type="dxa"/>
          </w:tcPr>
          <w:p w14:paraId="116302EA" w14:textId="77777777" w:rsidR="007075D9" w:rsidRPr="004D46AC" w:rsidRDefault="007075D9" w:rsidP="00CE2F7A">
            <w:pPr>
              <w:spacing w:line="240" w:lineRule="auto"/>
              <w:ind w:firstLine="0"/>
            </w:pPr>
            <w:r w:rsidRPr="004D46AC">
              <w:t>0</w:t>
            </w:r>
          </w:p>
        </w:tc>
        <w:tc>
          <w:tcPr>
            <w:tcW w:w="508" w:type="dxa"/>
          </w:tcPr>
          <w:p w14:paraId="1E737A37" w14:textId="77777777" w:rsidR="007075D9" w:rsidRPr="004D46AC" w:rsidRDefault="007075D9" w:rsidP="00CE2F7A">
            <w:pPr>
              <w:spacing w:line="240" w:lineRule="auto"/>
              <w:ind w:firstLine="0"/>
              <w:rPr>
                <w:b/>
                <w:bCs/>
              </w:rPr>
            </w:pPr>
            <w:r w:rsidRPr="004D46AC">
              <w:rPr>
                <w:b/>
                <w:bCs/>
              </w:rPr>
              <w:t>.81</w:t>
            </w:r>
          </w:p>
        </w:tc>
        <w:tc>
          <w:tcPr>
            <w:tcW w:w="508" w:type="dxa"/>
          </w:tcPr>
          <w:p w14:paraId="4F245417" w14:textId="77777777" w:rsidR="007075D9" w:rsidRPr="004D46AC" w:rsidRDefault="007075D9" w:rsidP="00CE2F7A">
            <w:pPr>
              <w:spacing w:line="240" w:lineRule="auto"/>
              <w:ind w:firstLine="0"/>
            </w:pPr>
            <w:r w:rsidRPr="004D46AC">
              <w:t>0</w:t>
            </w:r>
          </w:p>
        </w:tc>
        <w:tc>
          <w:tcPr>
            <w:tcW w:w="508" w:type="dxa"/>
          </w:tcPr>
          <w:p w14:paraId="3FBAD477" w14:textId="77777777" w:rsidR="007075D9" w:rsidRPr="004D46AC" w:rsidRDefault="007075D9" w:rsidP="00CE2F7A">
            <w:pPr>
              <w:spacing w:line="240" w:lineRule="auto"/>
              <w:ind w:firstLine="0"/>
            </w:pPr>
            <w:r w:rsidRPr="004D46AC">
              <w:t>.08</w:t>
            </w:r>
          </w:p>
        </w:tc>
        <w:tc>
          <w:tcPr>
            <w:tcW w:w="508" w:type="dxa"/>
          </w:tcPr>
          <w:p w14:paraId="7D75B876" w14:textId="77777777" w:rsidR="007075D9" w:rsidRPr="004D46AC" w:rsidRDefault="007075D9" w:rsidP="00CE2F7A">
            <w:pPr>
              <w:spacing w:line="240" w:lineRule="auto"/>
              <w:ind w:firstLine="0"/>
            </w:pPr>
            <w:r w:rsidRPr="004D46AC">
              <w:t>.10</w:t>
            </w:r>
          </w:p>
        </w:tc>
        <w:tc>
          <w:tcPr>
            <w:tcW w:w="508" w:type="dxa"/>
          </w:tcPr>
          <w:p w14:paraId="283281E7" w14:textId="77777777" w:rsidR="007075D9" w:rsidRPr="004D46AC" w:rsidRDefault="007075D9" w:rsidP="00CE2F7A">
            <w:pPr>
              <w:spacing w:line="240" w:lineRule="auto"/>
              <w:ind w:firstLine="0"/>
            </w:pPr>
            <w:r w:rsidRPr="004D46AC">
              <w:t>0</w:t>
            </w:r>
          </w:p>
        </w:tc>
        <w:tc>
          <w:tcPr>
            <w:tcW w:w="508" w:type="dxa"/>
          </w:tcPr>
          <w:p w14:paraId="34AE3849" w14:textId="77777777" w:rsidR="007075D9" w:rsidRPr="004D46AC" w:rsidRDefault="007075D9" w:rsidP="00CE2F7A">
            <w:pPr>
              <w:spacing w:line="240" w:lineRule="auto"/>
              <w:ind w:firstLine="0"/>
            </w:pPr>
            <w:r w:rsidRPr="004D46AC">
              <w:t>0</w:t>
            </w:r>
          </w:p>
        </w:tc>
      </w:tr>
      <w:tr w:rsidR="007075D9" w:rsidRPr="004D46AC" w14:paraId="1759DD58" w14:textId="77777777" w:rsidTr="00B518F1">
        <w:tc>
          <w:tcPr>
            <w:tcW w:w="661" w:type="dxa"/>
          </w:tcPr>
          <w:p w14:paraId="3D8124BE" w14:textId="77777777" w:rsidR="007075D9" w:rsidRPr="004D46AC" w:rsidRDefault="007075D9" w:rsidP="00CE2F7A">
            <w:pPr>
              <w:spacing w:line="240" w:lineRule="auto"/>
              <w:ind w:firstLine="0"/>
            </w:pPr>
            <w:r w:rsidRPr="004D46AC">
              <w:t>N7</w:t>
            </w:r>
          </w:p>
        </w:tc>
        <w:tc>
          <w:tcPr>
            <w:tcW w:w="551" w:type="dxa"/>
          </w:tcPr>
          <w:p w14:paraId="1E6B6657" w14:textId="77777777" w:rsidR="007075D9" w:rsidRPr="004D46AC" w:rsidRDefault="007075D9" w:rsidP="00CE2F7A">
            <w:pPr>
              <w:spacing w:line="240" w:lineRule="auto"/>
              <w:ind w:firstLine="0"/>
              <w:rPr>
                <w:b/>
                <w:bCs/>
              </w:rPr>
            </w:pPr>
            <w:r w:rsidRPr="004D46AC">
              <w:rPr>
                <w:b/>
                <w:bCs/>
              </w:rPr>
              <w:t>1</w:t>
            </w:r>
          </w:p>
        </w:tc>
        <w:tc>
          <w:tcPr>
            <w:tcW w:w="551" w:type="dxa"/>
          </w:tcPr>
          <w:p w14:paraId="1941DEDD" w14:textId="77777777" w:rsidR="007075D9" w:rsidRPr="004D46AC" w:rsidRDefault="007075D9" w:rsidP="00CE2F7A">
            <w:pPr>
              <w:spacing w:line="240" w:lineRule="auto"/>
              <w:ind w:firstLine="0"/>
            </w:pPr>
            <w:r w:rsidRPr="004D46AC">
              <w:t>0</w:t>
            </w:r>
          </w:p>
        </w:tc>
        <w:tc>
          <w:tcPr>
            <w:tcW w:w="550" w:type="dxa"/>
          </w:tcPr>
          <w:p w14:paraId="0F0F9429" w14:textId="77777777" w:rsidR="007075D9" w:rsidRPr="004D46AC" w:rsidRDefault="007075D9" w:rsidP="00CE2F7A">
            <w:pPr>
              <w:spacing w:line="240" w:lineRule="auto"/>
              <w:ind w:firstLine="0"/>
            </w:pPr>
            <w:r w:rsidRPr="004D46AC">
              <w:t>0</w:t>
            </w:r>
          </w:p>
        </w:tc>
        <w:tc>
          <w:tcPr>
            <w:tcW w:w="550" w:type="dxa"/>
          </w:tcPr>
          <w:p w14:paraId="63B3B47F" w14:textId="77777777" w:rsidR="007075D9" w:rsidRPr="004D46AC" w:rsidRDefault="007075D9" w:rsidP="00CE2F7A">
            <w:pPr>
              <w:spacing w:line="240" w:lineRule="auto"/>
              <w:ind w:firstLine="0"/>
              <w:rPr>
                <w:b/>
                <w:bCs/>
              </w:rPr>
            </w:pPr>
            <w:r w:rsidRPr="004D46AC">
              <w:rPr>
                <w:b/>
                <w:bCs/>
              </w:rPr>
              <w:t>.84</w:t>
            </w:r>
          </w:p>
        </w:tc>
        <w:tc>
          <w:tcPr>
            <w:tcW w:w="550" w:type="dxa"/>
          </w:tcPr>
          <w:p w14:paraId="0020508B" w14:textId="77777777" w:rsidR="007075D9" w:rsidRPr="004D46AC" w:rsidRDefault="007075D9" w:rsidP="00CE2F7A">
            <w:pPr>
              <w:spacing w:line="240" w:lineRule="auto"/>
              <w:ind w:firstLine="0"/>
            </w:pPr>
            <w:r w:rsidRPr="004D46AC">
              <w:t>.01</w:t>
            </w:r>
          </w:p>
        </w:tc>
        <w:tc>
          <w:tcPr>
            <w:tcW w:w="550" w:type="dxa"/>
          </w:tcPr>
          <w:p w14:paraId="72BEA741" w14:textId="77777777" w:rsidR="007075D9" w:rsidRPr="004D46AC" w:rsidRDefault="007075D9" w:rsidP="00CE2F7A">
            <w:pPr>
              <w:spacing w:line="240" w:lineRule="auto"/>
              <w:ind w:firstLine="0"/>
            </w:pPr>
            <w:r w:rsidRPr="004D46AC">
              <w:t>0</w:t>
            </w:r>
          </w:p>
        </w:tc>
        <w:tc>
          <w:tcPr>
            <w:tcW w:w="532" w:type="dxa"/>
          </w:tcPr>
          <w:p w14:paraId="172362C0" w14:textId="77777777" w:rsidR="007075D9" w:rsidRPr="004D46AC" w:rsidRDefault="007075D9" w:rsidP="00CE2F7A">
            <w:pPr>
              <w:spacing w:line="240" w:lineRule="auto"/>
              <w:ind w:firstLine="0"/>
              <w:rPr>
                <w:b/>
                <w:bCs/>
              </w:rPr>
            </w:pPr>
            <w:r w:rsidRPr="004D46AC">
              <w:rPr>
                <w:b/>
                <w:bCs/>
              </w:rPr>
              <w:t>.98</w:t>
            </w:r>
          </w:p>
        </w:tc>
        <w:tc>
          <w:tcPr>
            <w:tcW w:w="531" w:type="dxa"/>
          </w:tcPr>
          <w:p w14:paraId="43902476" w14:textId="77777777" w:rsidR="007075D9" w:rsidRPr="004D46AC" w:rsidRDefault="007075D9" w:rsidP="00CE2F7A">
            <w:pPr>
              <w:spacing w:line="240" w:lineRule="auto"/>
              <w:ind w:firstLine="0"/>
            </w:pPr>
            <w:r w:rsidRPr="004D46AC">
              <w:t>0</w:t>
            </w:r>
          </w:p>
        </w:tc>
        <w:tc>
          <w:tcPr>
            <w:tcW w:w="532" w:type="dxa"/>
          </w:tcPr>
          <w:p w14:paraId="0BD38C00" w14:textId="77777777" w:rsidR="007075D9" w:rsidRPr="004D46AC" w:rsidRDefault="007075D9" w:rsidP="00CE2F7A">
            <w:pPr>
              <w:spacing w:line="240" w:lineRule="auto"/>
              <w:ind w:firstLine="0"/>
            </w:pPr>
            <w:r w:rsidRPr="004D46AC">
              <w:t>.02</w:t>
            </w:r>
          </w:p>
        </w:tc>
        <w:tc>
          <w:tcPr>
            <w:tcW w:w="531" w:type="dxa"/>
          </w:tcPr>
          <w:p w14:paraId="4DAE9A44" w14:textId="77777777" w:rsidR="007075D9" w:rsidRPr="004D46AC" w:rsidRDefault="007075D9" w:rsidP="00CE2F7A">
            <w:pPr>
              <w:spacing w:line="240" w:lineRule="auto"/>
              <w:ind w:firstLine="0"/>
            </w:pPr>
            <w:r w:rsidRPr="004D46AC">
              <w:t>0</w:t>
            </w:r>
          </w:p>
        </w:tc>
        <w:tc>
          <w:tcPr>
            <w:tcW w:w="508" w:type="dxa"/>
          </w:tcPr>
          <w:p w14:paraId="3E60FA5F" w14:textId="77777777" w:rsidR="007075D9" w:rsidRPr="004D46AC" w:rsidRDefault="007075D9" w:rsidP="00CE2F7A">
            <w:pPr>
              <w:spacing w:line="240" w:lineRule="auto"/>
              <w:ind w:firstLine="0"/>
              <w:rPr>
                <w:b/>
                <w:bCs/>
              </w:rPr>
            </w:pPr>
            <w:r w:rsidRPr="004D46AC">
              <w:rPr>
                <w:b/>
                <w:bCs/>
              </w:rPr>
              <w:t>.82</w:t>
            </w:r>
          </w:p>
        </w:tc>
        <w:tc>
          <w:tcPr>
            <w:tcW w:w="508" w:type="dxa"/>
          </w:tcPr>
          <w:p w14:paraId="2971D5EC" w14:textId="77777777" w:rsidR="007075D9" w:rsidRPr="004D46AC" w:rsidRDefault="007075D9" w:rsidP="00CE2F7A">
            <w:pPr>
              <w:spacing w:line="240" w:lineRule="auto"/>
              <w:ind w:firstLine="0"/>
            </w:pPr>
            <w:r w:rsidRPr="004D46AC">
              <w:t>.01</w:t>
            </w:r>
          </w:p>
        </w:tc>
        <w:tc>
          <w:tcPr>
            <w:tcW w:w="508" w:type="dxa"/>
          </w:tcPr>
          <w:p w14:paraId="0F28762F" w14:textId="77777777" w:rsidR="007075D9" w:rsidRPr="004D46AC" w:rsidRDefault="007075D9" w:rsidP="00CE2F7A">
            <w:pPr>
              <w:spacing w:line="240" w:lineRule="auto"/>
              <w:ind w:firstLine="0"/>
            </w:pPr>
            <w:r w:rsidRPr="004D46AC">
              <w:t>.10</w:t>
            </w:r>
          </w:p>
        </w:tc>
        <w:tc>
          <w:tcPr>
            <w:tcW w:w="508" w:type="dxa"/>
          </w:tcPr>
          <w:p w14:paraId="1E4AAC70" w14:textId="77777777" w:rsidR="007075D9" w:rsidRPr="004D46AC" w:rsidRDefault="007075D9" w:rsidP="00CE2F7A">
            <w:pPr>
              <w:spacing w:line="240" w:lineRule="auto"/>
              <w:ind w:firstLine="0"/>
            </w:pPr>
            <w:r w:rsidRPr="004D46AC">
              <w:t>.07</w:t>
            </w:r>
          </w:p>
        </w:tc>
        <w:tc>
          <w:tcPr>
            <w:tcW w:w="508" w:type="dxa"/>
          </w:tcPr>
          <w:p w14:paraId="31C6037B" w14:textId="77777777" w:rsidR="007075D9" w:rsidRPr="004D46AC" w:rsidRDefault="007075D9" w:rsidP="00CE2F7A">
            <w:pPr>
              <w:spacing w:line="240" w:lineRule="auto"/>
              <w:ind w:firstLine="0"/>
            </w:pPr>
            <w:r w:rsidRPr="004D46AC">
              <w:t>0</w:t>
            </w:r>
          </w:p>
        </w:tc>
        <w:tc>
          <w:tcPr>
            <w:tcW w:w="508" w:type="dxa"/>
          </w:tcPr>
          <w:p w14:paraId="14804168" w14:textId="77777777" w:rsidR="007075D9" w:rsidRPr="004D46AC" w:rsidRDefault="007075D9" w:rsidP="00CE2F7A">
            <w:pPr>
              <w:spacing w:line="240" w:lineRule="auto"/>
              <w:ind w:firstLine="0"/>
            </w:pPr>
            <w:r w:rsidRPr="004D46AC">
              <w:t>0</w:t>
            </w:r>
          </w:p>
        </w:tc>
      </w:tr>
      <w:tr w:rsidR="007075D9" w:rsidRPr="004D46AC" w14:paraId="0EA58D6E" w14:textId="77777777" w:rsidTr="00B518F1">
        <w:tc>
          <w:tcPr>
            <w:tcW w:w="661" w:type="dxa"/>
          </w:tcPr>
          <w:p w14:paraId="6D8D3309" w14:textId="77777777" w:rsidR="007075D9" w:rsidRPr="004D46AC" w:rsidRDefault="007075D9" w:rsidP="00CE2F7A">
            <w:pPr>
              <w:spacing w:line="240" w:lineRule="auto"/>
              <w:ind w:firstLine="0"/>
            </w:pPr>
            <w:r w:rsidRPr="004D46AC">
              <w:t>ME</w:t>
            </w:r>
          </w:p>
        </w:tc>
        <w:tc>
          <w:tcPr>
            <w:tcW w:w="551" w:type="dxa"/>
          </w:tcPr>
          <w:p w14:paraId="5CEBD7B4" w14:textId="77777777" w:rsidR="007075D9" w:rsidRPr="004D46AC" w:rsidRDefault="007075D9" w:rsidP="00CE2F7A">
            <w:pPr>
              <w:spacing w:line="240" w:lineRule="auto"/>
              <w:ind w:firstLine="0"/>
            </w:pPr>
            <w:r w:rsidRPr="004D46AC">
              <w:t>0</w:t>
            </w:r>
          </w:p>
        </w:tc>
        <w:tc>
          <w:tcPr>
            <w:tcW w:w="551" w:type="dxa"/>
          </w:tcPr>
          <w:p w14:paraId="5EBF02E9" w14:textId="77777777" w:rsidR="007075D9" w:rsidRPr="004D46AC" w:rsidRDefault="007075D9" w:rsidP="00CE2F7A">
            <w:pPr>
              <w:spacing w:line="240" w:lineRule="auto"/>
              <w:ind w:firstLine="0"/>
              <w:rPr>
                <w:b/>
                <w:bCs/>
              </w:rPr>
            </w:pPr>
            <w:r w:rsidRPr="004D46AC">
              <w:rPr>
                <w:b/>
                <w:bCs/>
              </w:rPr>
              <w:t>.97</w:t>
            </w:r>
          </w:p>
        </w:tc>
        <w:tc>
          <w:tcPr>
            <w:tcW w:w="550" w:type="dxa"/>
          </w:tcPr>
          <w:p w14:paraId="60DF7B69" w14:textId="77777777" w:rsidR="007075D9" w:rsidRPr="004D46AC" w:rsidRDefault="007075D9" w:rsidP="00CE2F7A">
            <w:pPr>
              <w:spacing w:line="240" w:lineRule="auto"/>
              <w:ind w:firstLine="0"/>
            </w:pPr>
            <w:r w:rsidRPr="004D46AC">
              <w:t>0</w:t>
            </w:r>
          </w:p>
        </w:tc>
        <w:tc>
          <w:tcPr>
            <w:tcW w:w="550" w:type="dxa"/>
          </w:tcPr>
          <w:p w14:paraId="788E5205" w14:textId="77777777" w:rsidR="007075D9" w:rsidRPr="004D46AC" w:rsidRDefault="007075D9" w:rsidP="00CE2F7A">
            <w:pPr>
              <w:spacing w:line="240" w:lineRule="auto"/>
              <w:ind w:firstLine="0"/>
            </w:pPr>
            <w:r w:rsidRPr="004D46AC">
              <w:t>0</w:t>
            </w:r>
          </w:p>
        </w:tc>
        <w:tc>
          <w:tcPr>
            <w:tcW w:w="550" w:type="dxa"/>
          </w:tcPr>
          <w:p w14:paraId="06ED72B8" w14:textId="77777777" w:rsidR="007075D9" w:rsidRPr="004D46AC" w:rsidRDefault="007075D9" w:rsidP="00CE2F7A">
            <w:pPr>
              <w:spacing w:line="240" w:lineRule="auto"/>
              <w:ind w:firstLine="0"/>
              <w:rPr>
                <w:b/>
                <w:bCs/>
              </w:rPr>
            </w:pPr>
            <w:r w:rsidRPr="004D46AC">
              <w:rPr>
                <w:b/>
                <w:bCs/>
              </w:rPr>
              <w:t>.97</w:t>
            </w:r>
          </w:p>
        </w:tc>
        <w:tc>
          <w:tcPr>
            <w:tcW w:w="550" w:type="dxa"/>
          </w:tcPr>
          <w:p w14:paraId="5E56BBB5" w14:textId="77777777" w:rsidR="007075D9" w:rsidRPr="004D46AC" w:rsidRDefault="007075D9" w:rsidP="00CE2F7A">
            <w:pPr>
              <w:spacing w:line="240" w:lineRule="auto"/>
              <w:ind w:firstLine="0"/>
            </w:pPr>
            <w:r w:rsidRPr="004D46AC">
              <w:t>0</w:t>
            </w:r>
          </w:p>
        </w:tc>
        <w:tc>
          <w:tcPr>
            <w:tcW w:w="532" w:type="dxa"/>
          </w:tcPr>
          <w:p w14:paraId="406BF7CE" w14:textId="77777777" w:rsidR="007075D9" w:rsidRPr="004D46AC" w:rsidRDefault="007075D9" w:rsidP="00CE2F7A">
            <w:pPr>
              <w:spacing w:line="240" w:lineRule="auto"/>
              <w:ind w:firstLine="0"/>
            </w:pPr>
            <w:r w:rsidRPr="004D46AC">
              <w:t>0</w:t>
            </w:r>
          </w:p>
        </w:tc>
        <w:tc>
          <w:tcPr>
            <w:tcW w:w="531" w:type="dxa"/>
          </w:tcPr>
          <w:p w14:paraId="090E66A4" w14:textId="77777777" w:rsidR="007075D9" w:rsidRPr="004D46AC" w:rsidRDefault="007075D9" w:rsidP="00CE2F7A">
            <w:pPr>
              <w:spacing w:line="240" w:lineRule="auto"/>
              <w:ind w:firstLine="0"/>
            </w:pPr>
            <w:r w:rsidRPr="004D46AC">
              <w:t>0</w:t>
            </w:r>
          </w:p>
        </w:tc>
        <w:tc>
          <w:tcPr>
            <w:tcW w:w="532" w:type="dxa"/>
          </w:tcPr>
          <w:p w14:paraId="08845C07" w14:textId="77777777" w:rsidR="007075D9" w:rsidRPr="004D46AC" w:rsidRDefault="007075D9" w:rsidP="00CE2F7A">
            <w:pPr>
              <w:spacing w:line="240" w:lineRule="auto"/>
              <w:ind w:firstLine="0"/>
            </w:pPr>
            <w:r w:rsidRPr="004D46AC">
              <w:t>1</w:t>
            </w:r>
          </w:p>
        </w:tc>
        <w:tc>
          <w:tcPr>
            <w:tcW w:w="531" w:type="dxa"/>
          </w:tcPr>
          <w:p w14:paraId="58CB1FBB" w14:textId="77777777" w:rsidR="007075D9" w:rsidRPr="004D46AC" w:rsidRDefault="007075D9" w:rsidP="00CE2F7A">
            <w:pPr>
              <w:spacing w:line="240" w:lineRule="auto"/>
              <w:ind w:firstLine="0"/>
            </w:pPr>
            <w:r w:rsidRPr="004D46AC">
              <w:t>0</w:t>
            </w:r>
          </w:p>
        </w:tc>
        <w:tc>
          <w:tcPr>
            <w:tcW w:w="508" w:type="dxa"/>
          </w:tcPr>
          <w:p w14:paraId="038D22B4" w14:textId="77777777" w:rsidR="007075D9" w:rsidRPr="004D46AC" w:rsidRDefault="007075D9" w:rsidP="00CE2F7A">
            <w:pPr>
              <w:spacing w:line="240" w:lineRule="auto"/>
              <w:ind w:firstLine="0"/>
            </w:pPr>
            <w:r w:rsidRPr="004D46AC">
              <w:t>0</w:t>
            </w:r>
          </w:p>
        </w:tc>
        <w:tc>
          <w:tcPr>
            <w:tcW w:w="508" w:type="dxa"/>
          </w:tcPr>
          <w:p w14:paraId="5878F7BB" w14:textId="77777777" w:rsidR="007075D9" w:rsidRPr="004D46AC" w:rsidRDefault="007075D9" w:rsidP="00CE2F7A">
            <w:pPr>
              <w:spacing w:line="240" w:lineRule="auto"/>
              <w:ind w:firstLine="0"/>
            </w:pPr>
            <w:r w:rsidRPr="004D46AC">
              <w:t>0</w:t>
            </w:r>
          </w:p>
        </w:tc>
        <w:tc>
          <w:tcPr>
            <w:tcW w:w="508" w:type="dxa"/>
          </w:tcPr>
          <w:p w14:paraId="33C49E72" w14:textId="77777777" w:rsidR="007075D9" w:rsidRPr="004D46AC" w:rsidRDefault="007075D9" w:rsidP="00CE2F7A">
            <w:pPr>
              <w:spacing w:line="240" w:lineRule="auto"/>
              <w:ind w:firstLine="0"/>
              <w:rPr>
                <w:b/>
                <w:bCs/>
              </w:rPr>
            </w:pPr>
            <w:r w:rsidRPr="004D46AC">
              <w:rPr>
                <w:b/>
                <w:bCs/>
              </w:rPr>
              <w:t>.99</w:t>
            </w:r>
          </w:p>
        </w:tc>
        <w:tc>
          <w:tcPr>
            <w:tcW w:w="508" w:type="dxa"/>
          </w:tcPr>
          <w:p w14:paraId="18FF4944" w14:textId="77777777" w:rsidR="007075D9" w:rsidRPr="004D46AC" w:rsidRDefault="007075D9" w:rsidP="00CE2F7A">
            <w:pPr>
              <w:spacing w:line="240" w:lineRule="auto"/>
              <w:ind w:firstLine="0"/>
            </w:pPr>
            <w:r w:rsidRPr="004D46AC">
              <w:t>0</w:t>
            </w:r>
          </w:p>
        </w:tc>
        <w:tc>
          <w:tcPr>
            <w:tcW w:w="508" w:type="dxa"/>
          </w:tcPr>
          <w:p w14:paraId="14AA84FB" w14:textId="77777777" w:rsidR="007075D9" w:rsidRPr="004D46AC" w:rsidRDefault="007075D9" w:rsidP="00CE2F7A">
            <w:pPr>
              <w:spacing w:line="240" w:lineRule="auto"/>
              <w:ind w:firstLine="0"/>
            </w:pPr>
            <w:r w:rsidRPr="004D46AC">
              <w:t>0</w:t>
            </w:r>
          </w:p>
        </w:tc>
        <w:tc>
          <w:tcPr>
            <w:tcW w:w="508" w:type="dxa"/>
          </w:tcPr>
          <w:p w14:paraId="6CBC4B67" w14:textId="77777777" w:rsidR="007075D9" w:rsidRPr="004D46AC" w:rsidRDefault="007075D9" w:rsidP="00CE2F7A">
            <w:pPr>
              <w:spacing w:line="240" w:lineRule="auto"/>
              <w:ind w:firstLine="0"/>
            </w:pPr>
            <w:r w:rsidRPr="004D46AC">
              <w:t>0</w:t>
            </w:r>
          </w:p>
        </w:tc>
      </w:tr>
      <w:tr w:rsidR="007075D9" w:rsidRPr="004D46AC" w14:paraId="52A94E71" w14:textId="77777777" w:rsidTr="00B518F1">
        <w:tc>
          <w:tcPr>
            <w:tcW w:w="661" w:type="dxa"/>
          </w:tcPr>
          <w:p w14:paraId="002F74BB" w14:textId="77777777" w:rsidR="007075D9" w:rsidRPr="004D46AC" w:rsidRDefault="007075D9" w:rsidP="00CE2F7A">
            <w:pPr>
              <w:spacing w:line="240" w:lineRule="auto"/>
              <w:ind w:firstLine="0"/>
            </w:pPr>
            <w:r w:rsidRPr="004D46AC">
              <w:t>Y3</w:t>
            </w:r>
          </w:p>
        </w:tc>
        <w:tc>
          <w:tcPr>
            <w:tcW w:w="551" w:type="dxa"/>
          </w:tcPr>
          <w:p w14:paraId="379DCD27" w14:textId="77777777" w:rsidR="007075D9" w:rsidRPr="004D46AC" w:rsidRDefault="007075D9" w:rsidP="00CE2F7A">
            <w:pPr>
              <w:spacing w:line="240" w:lineRule="auto"/>
              <w:ind w:firstLine="0"/>
            </w:pPr>
            <w:r w:rsidRPr="004D46AC">
              <w:t>0</w:t>
            </w:r>
          </w:p>
        </w:tc>
        <w:tc>
          <w:tcPr>
            <w:tcW w:w="551" w:type="dxa"/>
          </w:tcPr>
          <w:p w14:paraId="3BD412E2" w14:textId="77777777" w:rsidR="007075D9" w:rsidRPr="004D46AC" w:rsidRDefault="007075D9" w:rsidP="00CE2F7A">
            <w:pPr>
              <w:spacing w:line="240" w:lineRule="auto"/>
              <w:ind w:firstLine="0"/>
              <w:rPr>
                <w:b/>
                <w:bCs/>
              </w:rPr>
            </w:pPr>
            <w:r w:rsidRPr="004D46AC">
              <w:rPr>
                <w:b/>
                <w:bCs/>
              </w:rPr>
              <w:t>.97</w:t>
            </w:r>
          </w:p>
        </w:tc>
        <w:tc>
          <w:tcPr>
            <w:tcW w:w="550" w:type="dxa"/>
          </w:tcPr>
          <w:p w14:paraId="51E5356D" w14:textId="77777777" w:rsidR="007075D9" w:rsidRPr="004D46AC" w:rsidRDefault="007075D9" w:rsidP="00CE2F7A">
            <w:pPr>
              <w:spacing w:line="240" w:lineRule="auto"/>
              <w:ind w:firstLine="0"/>
            </w:pPr>
            <w:r w:rsidRPr="004D46AC">
              <w:t>0</w:t>
            </w:r>
          </w:p>
        </w:tc>
        <w:tc>
          <w:tcPr>
            <w:tcW w:w="550" w:type="dxa"/>
          </w:tcPr>
          <w:p w14:paraId="613F81D1" w14:textId="77777777" w:rsidR="007075D9" w:rsidRPr="004D46AC" w:rsidRDefault="007075D9" w:rsidP="00CE2F7A">
            <w:pPr>
              <w:spacing w:line="240" w:lineRule="auto"/>
              <w:ind w:firstLine="0"/>
            </w:pPr>
            <w:r w:rsidRPr="004D46AC">
              <w:t>0</w:t>
            </w:r>
          </w:p>
        </w:tc>
        <w:tc>
          <w:tcPr>
            <w:tcW w:w="550" w:type="dxa"/>
          </w:tcPr>
          <w:p w14:paraId="5C642C5B" w14:textId="77777777" w:rsidR="007075D9" w:rsidRPr="004D46AC" w:rsidRDefault="007075D9" w:rsidP="00CE2F7A">
            <w:pPr>
              <w:spacing w:line="240" w:lineRule="auto"/>
              <w:ind w:firstLine="0"/>
              <w:rPr>
                <w:b/>
                <w:bCs/>
              </w:rPr>
            </w:pPr>
            <w:r w:rsidRPr="004D46AC">
              <w:rPr>
                <w:b/>
                <w:bCs/>
              </w:rPr>
              <w:t>.96</w:t>
            </w:r>
          </w:p>
        </w:tc>
        <w:tc>
          <w:tcPr>
            <w:tcW w:w="550" w:type="dxa"/>
          </w:tcPr>
          <w:p w14:paraId="0A067B73" w14:textId="77777777" w:rsidR="007075D9" w:rsidRPr="004D46AC" w:rsidRDefault="007075D9" w:rsidP="00CE2F7A">
            <w:pPr>
              <w:spacing w:line="240" w:lineRule="auto"/>
              <w:ind w:firstLine="0"/>
            </w:pPr>
            <w:r w:rsidRPr="004D46AC">
              <w:t>.01</w:t>
            </w:r>
          </w:p>
        </w:tc>
        <w:tc>
          <w:tcPr>
            <w:tcW w:w="532" w:type="dxa"/>
          </w:tcPr>
          <w:p w14:paraId="35BA9CD5" w14:textId="77777777" w:rsidR="007075D9" w:rsidRPr="004D46AC" w:rsidRDefault="007075D9" w:rsidP="00CE2F7A">
            <w:pPr>
              <w:spacing w:line="240" w:lineRule="auto"/>
              <w:ind w:firstLine="0"/>
            </w:pPr>
            <w:r w:rsidRPr="004D46AC">
              <w:t>.01</w:t>
            </w:r>
          </w:p>
        </w:tc>
        <w:tc>
          <w:tcPr>
            <w:tcW w:w="531" w:type="dxa"/>
          </w:tcPr>
          <w:p w14:paraId="531F57BE" w14:textId="77777777" w:rsidR="007075D9" w:rsidRPr="004D46AC" w:rsidRDefault="007075D9" w:rsidP="00CE2F7A">
            <w:pPr>
              <w:spacing w:line="240" w:lineRule="auto"/>
              <w:ind w:firstLine="0"/>
            </w:pPr>
            <w:r w:rsidRPr="004D46AC">
              <w:t>.01</w:t>
            </w:r>
          </w:p>
        </w:tc>
        <w:tc>
          <w:tcPr>
            <w:tcW w:w="532" w:type="dxa"/>
          </w:tcPr>
          <w:p w14:paraId="7475EEFC" w14:textId="77777777" w:rsidR="007075D9" w:rsidRPr="004D46AC" w:rsidRDefault="007075D9" w:rsidP="00CE2F7A">
            <w:pPr>
              <w:spacing w:line="240" w:lineRule="auto"/>
              <w:ind w:firstLine="0"/>
              <w:rPr>
                <w:b/>
                <w:bCs/>
              </w:rPr>
            </w:pPr>
            <w:r w:rsidRPr="004D46AC">
              <w:rPr>
                <w:b/>
                <w:bCs/>
              </w:rPr>
              <w:t>.97</w:t>
            </w:r>
          </w:p>
        </w:tc>
        <w:tc>
          <w:tcPr>
            <w:tcW w:w="531" w:type="dxa"/>
          </w:tcPr>
          <w:p w14:paraId="6B5E2704" w14:textId="77777777" w:rsidR="007075D9" w:rsidRPr="004D46AC" w:rsidRDefault="007075D9" w:rsidP="00CE2F7A">
            <w:pPr>
              <w:spacing w:line="240" w:lineRule="auto"/>
              <w:ind w:firstLine="0"/>
            </w:pPr>
            <w:r w:rsidRPr="004D46AC">
              <w:t>0</w:t>
            </w:r>
          </w:p>
        </w:tc>
        <w:tc>
          <w:tcPr>
            <w:tcW w:w="508" w:type="dxa"/>
          </w:tcPr>
          <w:p w14:paraId="160BACD5" w14:textId="77777777" w:rsidR="007075D9" w:rsidRPr="004D46AC" w:rsidRDefault="007075D9" w:rsidP="00CE2F7A">
            <w:pPr>
              <w:spacing w:line="240" w:lineRule="auto"/>
              <w:ind w:firstLine="0"/>
            </w:pPr>
            <w:r w:rsidRPr="004D46AC">
              <w:t>0</w:t>
            </w:r>
          </w:p>
        </w:tc>
        <w:tc>
          <w:tcPr>
            <w:tcW w:w="508" w:type="dxa"/>
          </w:tcPr>
          <w:p w14:paraId="58F21BE7" w14:textId="77777777" w:rsidR="007075D9" w:rsidRPr="004D46AC" w:rsidRDefault="007075D9" w:rsidP="00CE2F7A">
            <w:pPr>
              <w:spacing w:line="240" w:lineRule="auto"/>
              <w:ind w:firstLine="0"/>
            </w:pPr>
            <w:r w:rsidRPr="004D46AC">
              <w:t>.02</w:t>
            </w:r>
          </w:p>
        </w:tc>
        <w:tc>
          <w:tcPr>
            <w:tcW w:w="508" w:type="dxa"/>
          </w:tcPr>
          <w:p w14:paraId="5B25536B" w14:textId="77777777" w:rsidR="007075D9" w:rsidRPr="004D46AC" w:rsidRDefault="007075D9" w:rsidP="00CE2F7A">
            <w:pPr>
              <w:spacing w:line="240" w:lineRule="auto"/>
              <w:ind w:firstLine="0"/>
            </w:pPr>
            <w:r w:rsidRPr="004D46AC">
              <w:t>.71</w:t>
            </w:r>
          </w:p>
        </w:tc>
        <w:tc>
          <w:tcPr>
            <w:tcW w:w="508" w:type="dxa"/>
          </w:tcPr>
          <w:p w14:paraId="41FE1C4B" w14:textId="77777777" w:rsidR="007075D9" w:rsidRPr="004D46AC" w:rsidRDefault="007075D9" w:rsidP="00CE2F7A">
            <w:pPr>
              <w:spacing w:line="240" w:lineRule="auto"/>
              <w:ind w:firstLine="0"/>
            </w:pPr>
            <w:r w:rsidRPr="004D46AC">
              <w:t>0</w:t>
            </w:r>
          </w:p>
        </w:tc>
        <w:tc>
          <w:tcPr>
            <w:tcW w:w="508" w:type="dxa"/>
          </w:tcPr>
          <w:p w14:paraId="4C903CB7" w14:textId="77777777" w:rsidR="007075D9" w:rsidRPr="004D46AC" w:rsidRDefault="007075D9" w:rsidP="00CE2F7A">
            <w:pPr>
              <w:spacing w:line="240" w:lineRule="auto"/>
              <w:ind w:firstLine="0"/>
            </w:pPr>
            <w:r w:rsidRPr="004D46AC">
              <w:rPr>
                <w:b/>
                <w:bCs/>
              </w:rPr>
              <w:t>.21</w:t>
            </w:r>
          </w:p>
        </w:tc>
        <w:tc>
          <w:tcPr>
            <w:tcW w:w="508" w:type="dxa"/>
          </w:tcPr>
          <w:p w14:paraId="54761FA8" w14:textId="77777777" w:rsidR="007075D9" w:rsidRPr="004D46AC" w:rsidRDefault="007075D9" w:rsidP="00CE2F7A">
            <w:pPr>
              <w:spacing w:line="240" w:lineRule="auto"/>
              <w:ind w:firstLine="0"/>
            </w:pPr>
            <w:r w:rsidRPr="004D46AC">
              <w:t>.05</w:t>
            </w:r>
          </w:p>
        </w:tc>
      </w:tr>
      <w:tr w:rsidR="007075D9" w:rsidRPr="004D46AC" w14:paraId="22F9550E" w14:textId="77777777" w:rsidTr="00B518F1">
        <w:tc>
          <w:tcPr>
            <w:tcW w:w="661" w:type="dxa"/>
          </w:tcPr>
          <w:p w14:paraId="443319CB" w14:textId="77777777" w:rsidR="007075D9" w:rsidRPr="004D46AC" w:rsidRDefault="007075D9" w:rsidP="00CE2F7A">
            <w:pPr>
              <w:spacing w:line="240" w:lineRule="auto"/>
              <w:ind w:firstLine="0"/>
            </w:pPr>
            <w:r w:rsidRPr="004D46AC">
              <w:t>IA</w:t>
            </w:r>
          </w:p>
        </w:tc>
        <w:tc>
          <w:tcPr>
            <w:tcW w:w="551" w:type="dxa"/>
          </w:tcPr>
          <w:p w14:paraId="77716B4B" w14:textId="77777777" w:rsidR="007075D9" w:rsidRPr="004D46AC" w:rsidRDefault="007075D9" w:rsidP="00CE2F7A">
            <w:pPr>
              <w:spacing w:line="240" w:lineRule="auto"/>
              <w:ind w:firstLine="0"/>
            </w:pPr>
            <w:r w:rsidRPr="004D46AC">
              <w:t>.02</w:t>
            </w:r>
          </w:p>
        </w:tc>
        <w:tc>
          <w:tcPr>
            <w:tcW w:w="551" w:type="dxa"/>
          </w:tcPr>
          <w:p w14:paraId="552E0153" w14:textId="77777777" w:rsidR="007075D9" w:rsidRPr="004D46AC" w:rsidRDefault="007075D9" w:rsidP="00CE2F7A">
            <w:pPr>
              <w:spacing w:line="240" w:lineRule="auto"/>
              <w:ind w:firstLine="0"/>
              <w:rPr>
                <w:b/>
                <w:bCs/>
              </w:rPr>
            </w:pPr>
            <w:r w:rsidRPr="004D46AC">
              <w:rPr>
                <w:b/>
                <w:bCs/>
              </w:rPr>
              <w:t>.77</w:t>
            </w:r>
          </w:p>
        </w:tc>
        <w:tc>
          <w:tcPr>
            <w:tcW w:w="550" w:type="dxa"/>
          </w:tcPr>
          <w:p w14:paraId="60F5A857" w14:textId="77777777" w:rsidR="007075D9" w:rsidRPr="004D46AC" w:rsidRDefault="007075D9" w:rsidP="00CE2F7A">
            <w:pPr>
              <w:spacing w:line="240" w:lineRule="auto"/>
              <w:ind w:firstLine="0"/>
            </w:pPr>
            <w:r w:rsidRPr="004D46AC">
              <w:t>.17</w:t>
            </w:r>
          </w:p>
        </w:tc>
        <w:tc>
          <w:tcPr>
            <w:tcW w:w="550" w:type="dxa"/>
          </w:tcPr>
          <w:p w14:paraId="4B47ED9E" w14:textId="77777777" w:rsidR="007075D9" w:rsidRPr="004D46AC" w:rsidRDefault="007075D9" w:rsidP="00CE2F7A">
            <w:pPr>
              <w:spacing w:line="240" w:lineRule="auto"/>
              <w:ind w:firstLine="0"/>
            </w:pPr>
            <w:r w:rsidRPr="004D46AC">
              <w:t>.05</w:t>
            </w:r>
          </w:p>
        </w:tc>
        <w:tc>
          <w:tcPr>
            <w:tcW w:w="550" w:type="dxa"/>
          </w:tcPr>
          <w:p w14:paraId="2173A256" w14:textId="77777777" w:rsidR="007075D9" w:rsidRPr="004D46AC" w:rsidRDefault="007075D9" w:rsidP="00CE2F7A">
            <w:pPr>
              <w:spacing w:line="240" w:lineRule="auto"/>
              <w:ind w:firstLine="0"/>
              <w:rPr>
                <w:b/>
                <w:bCs/>
              </w:rPr>
            </w:pPr>
            <w:r w:rsidRPr="004D46AC">
              <w:rPr>
                <w:b/>
                <w:bCs/>
              </w:rPr>
              <w:t>.43</w:t>
            </w:r>
          </w:p>
        </w:tc>
        <w:tc>
          <w:tcPr>
            <w:tcW w:w="550" w:type="dxa"/>
          </w:tcPr>
          <w:p w14:paraId="6C279235" w14:textId="77777777" w:rsidR="007075D9" w:rsidRPr="004D46AC" w:rsidRDefault="007075D9" w:rsidP="00CE2F7A">
            <w:pPr>
              <w:spacing w:line="240" w:lineRule="auto"/>
              <w:ind w:firstLine="0"/>
            </w:pPr>
            <w:r w:rsidRPr="004D46AC">
              <w:t>.42</w:t>
            </w:r>
          </w:p>
        </w:tc>
        <w:tc>
          <w:tcPr>
            <w:tcW w:w="532" w:type="dxa"/>
          </w:tcPr>
          <w:p w14:paraId="4520FAB5" w14:textId="77777777" w:rsidR="007075D9" w:rsidRPr="004D46AC" w:rsidRDefault="007075D9" w:rsidP="00CE2F7A">
            <w:pPr>
              <w:spacing w:line="240" w:lineRule="auto"/>
              <w:ind w:firstLine="0"/>
            </w:pPr>
            <w:r w:rsidRPr="004D46AC">
              <w:t>.01</w:t>
            </w:r>
          </w:p>
        </w:tc>
        <w:tc>
          <w:tcPr>
            <w:tcW w:w="531" w:type="dxa"/>
          </w:tcPr>
          <w:p w14:paraId="1D3ECA8C" w14:textId="77777777" w:rsidR="007075D9" w:rsidRPr="004D46AC" w:rsidRDefault="007075D9" w:rsidP="00CE2F7A">
            <w:pPr>
              <w:spacing w:line="240" w:lineRule="auto"/>
              <w:ind w:firstLine="0"/>
            </w:pPr>
            <w:r w:rsidRPr="004D46AC">
              <w:t>.18</w:t>
            </w:r>
          </w:p>
        </w:tc>
        <w:tc>
          <w:tcPr>
            <w:tcW w:w="532" w:type="dxa"/>
          </w:tcPr>
          <w:p w14:paraId="0CED19B4" w14:textId="77777777" w:rsidR="007075D9" w:rsidRPr="004D46AC" w:rsidRDefault="007075D9" w:rsidP="00CE2F7A">
            <w:pPr>
              <w:spacing w:line="240" w:lineRule="auto"/>
              <w:ind w:firstLine="0"/>
              <w:rPr>
                <w:b/>
                <w:bCs/>
              </w:rPr>
            </w:pPr>
            <w:r w:rsidRPr="004D46AC">
              <w:rPr>
                <w:b/>
                <w:bCs/>
              </w:rPr>
              <w:t>.63</w:t>
            </w:r>
          </w:p>
        </w:tc>
        <w:tc>
          <w:tcPr>
            <w:tcW w:w="531" w:type="dxa"/>
          </w:tcPr>
          <w:p w14:paraId="7EFFD4BF" w14:textId="77777777" w:rsidR="007075D9" w:rsidRPr="004D46AC" w:rsidRDefault="007075D9" w:rsidP="00CE2F7A">
            <w:pPr>
              <w:spacing w:line="240" w:lineRule="auto"/>
              <w:ind w:firstLine="0"/>
            </w:pPr>
            <w:r w:rsidRPr="004D46AC">
              <w:t>.09</w:t>
            </w:r>
          </w:p>
        </w:tc>
        <w:tc>
          <w:tcPr>
            <w:tcW w:w="508" w:type="dxa"/>
          </w:tcPr>
          <w:p w14:paraId="379192BB" w14:textId="77777777" w:rsidR="007075D9" w:rsidRPr="004D46AC" w:rsidRDefault="007075D9" w:rsidP="00CE2F7A">
            <w:pPr>
              <w:spacing w:line="240" w:lineRule="auto"/>
              <w:ind w:firstLine="0"/>
            </w:pPr>
            <w:r w:rsidRPr="004D46AC">
              <w:t>.04</w:t>
            </w:r>
          </w:p>
        </w:tc>
        <w:tc>
          <w:tcPr>
            <w:tcW w:w="508" w:type="dxa"/>
          </w:tcPr>
          <w:p w14:paraId="66B6E6C6" w14:textId="77777777" w:rsidR="007075D9" w:rsidRPr="004D46AC" w:rsidRDefault="007075D9" w:rsidP="00CE2F7A">
            <w:pPr>
              <w:spacing w:line="240" w:lineRule="auto"/>
              <w:ind w:firstLine="0"/>
              <w:rPr>
                <w:b/>
                <w:bCs/>
              </w:rPr>
            </w:pPr>
            <w:r w:rsidRPr="004D46AC">
              <w:rPr>
                <w:b/>
                <w:bCs/>
              </w:rPr>
              <w:t>.16</w:t>
            </w:r>
          </w:p>
        </w:tc>
        <w:tc>
          <w:tcPr>
            <w:tcW w:w="508" w:type="dxa"/>
          </w:tcPr>
          <w:p w14:paraId="11C027C7" w14:textId="77777777" w:rsidR="007075D9" w:rsidRPr="004D46AC" w:rsidRDefault="007075D9" w:rsidP="00CE2F7A">
            <w:pPr>
              <w:spacing w:line="240" w:lineRule="auto"/>
              <w:ind w:firstLine="0"/>
            </w:pPr>
            <w:r w:rsidRPr="004D46AC">
              <w:t>.31</w:t>
            </w:r>
          </w:p>
        </w:tc>
        <w:tc>
          <w:tcPr>
            <w:tcW w:w="508" w:type="dxa"/>
          </w:tcPr>
          <w:p w14:paraId="13C2BBB6" w14:textId="77777777" w:rsidR="007075D9" w:rsidRPr="004D46AC" w:rsidRDefault="007075D9" w:rsidP="00CE2F7A">
            <w:pPr>
              <w:spacing w:line="240" w:lineRule="auto"/>
              <w:ind w:firstLine="0"/>
            </w:pPr>
            <w:r w:rsidRPr="004D46AC">
              <w:t>0</w:t>
            </w:r>
          </w:p>
        </w:tc>
        <w:tc>
          <w:tcPr>
            <w:tcW w:w="508" w:type="dxa"/>
          </w:tcPr>
          <w:p w14:paraId="30A7F45C" w14:textId="77777777" w:rsidR="007075D9" w:rsidRPr="004D46AC" w:rsidRDefault="007075D9" w:rsidP="00CE2F7A">
            <w:pPr>
              <w:spacing w:line="240" w:lineRule="auto"/>
              <w:ind w:firstLine="0"/>
            </w:pPr>
            <w:r w:rsidRPr="004D46AC">
              <w:t>.01</w:t>
            </w:r>
          </w:p>
        </w:tc>
        <w:tc>
          <w:tcPr>
            <w:tcW w:w="508" w:type="dxa"/>
          </w:tcPr>
          <w:p w14:paraId="36562C96" w14:textId="77777777" w:rsidR="007075D9" w:rsidRPr="004D46AC" w:rsidRDefault="007075D9" w:rsidP="00CE2F7A">
            <w:pPr>
              <w:spacing w:line="240" w:lineRule="auto"/>
              <w:ind w:firstLine="0"/>
            </w:pPr>
            <w:r w:rsidRPr="004D46AC">
              <w:t>.47</w:t>
            </w:r>
          </w:p>
        </w:tc>
      </w:tr>
      <w:tr w:rsidR="007075D9" w:rsidRPr="004D46AC" w14:paraId="4731755D" w14:textId="77777777" w:rsidTr="00B518F1">
        <w:tc>
          <w:tcPr>
            <w:tcW w:w="661" w:type="dxa"/>
          </w:tcPr>
          <w:p w14:paraId="5240B667" w14:textId="77777777" w:rsidR="007075D9" w:rsidRPr="004D46AC" w:rsidRDefault="007075D9" w:rsidP="00CE2F7A">
            <w:pPr>
              <w:spacing w:line="240" w:lineRule="auto"/>
              <w:ind w:firstLine="0"/>
            </w:pPr>
            <w:r w:rsidRPr="004D46AC">
              <w:t>Y6</w:t>
            </w:r>
          </w:p>
        </w:tc>
        <w:tc>
          <w:tcPr>
            <w:tcW w:w="551" w:type="dxa"/>
          </w:tcPr>
          <w:p w14:paraId="17A26FBA" w14:textId="77777777" w:rsidR="007075D9" w:rsidRPr="004D46AC" w:rsidRDefault="007075D9" w:rsidP="00CE2F7A">
            <w:pPr>
              <w:spacing w:line="240" w:lineRule="auto"/>
              <w:ind w:firstLine="0"/>
            </w:pPr>
            <w:r w:rsidRPr="004D46AC">
              <w:t>0</w:t>
            </w:r>
          </w:p>
        </w:tc>
        <w:tc>
          <w:tcPr>
            <w:tcW w:w="551" w:type="dxa"/>
          </w:tcPr>
          <w:p w14:paraId="4DA4F209" w14:textId="77777777" w:rsidR="007075D9" w:rsidRPr="004D46AC" w:rsidRDefault="007075D9" w:rsidP="00CE2F7A">
            <w:pPr>
              <w:spacing w:line="240" w:lineRule="auto"/>
              <w:ind w:firstLine="0"/>
              <w:rPr>
                <w:b/>
                <w:bCs/>
              </w:rPr>
            </w:pPr>
            <w:r w:rsidRPr="004D46AC">
              <w:rPr>
                <w:b/>
                <w:bCs/>
              </w:rPr>
              <w:t>.97</w:t>
            </w:r>
          </w:p>
        </w:tc>
        <w:tc>
          <w:tcPr>
            <w:tcW w:w="550" w:type="dxa"/>
          </w:tcPr>
          <w:p w14:paraId="4BE61757" w14:textId="77777777" w:rsidR="007075D9" w:rsidRPr="004D46AC" w:rsidRDefault="007075D9" w:rsidP="00CE2F7A">
            <w:pPr>
              <w:spacing w:line="240" w:lineRule="auto"/>
              <w:ind w:firstLine="0"/>
            </w:pPr>
            <w:r w:rsidRPr="004D46AC">
              <w:t>0</w:t>
            </w:r>
          </w:p>
        </w:tc>
        <w:tc>
          <w:tcPr>
            <w:tcW w:w="550" w:type="dxa"/>
          </w:tcPr>
          <w:p w14:paraId="551A36CD" w14:textId="77777777" w:rsidR="007075D9" w:rsidRPr="004D46AC" w:rsidRDefault="007075D9" w:rsidP="00CE2F7A">
            <w:pPr>
              <w:spacing w:line="240" w:lineRule="auto"/>
              <w:ind w:firstLine="0"/>
            </w:pPr>
            <w:r w:rsidRPr="004D46AC">
              <w:t>0</w:t>
            </w:r>
          </w:p>
        </w:tc>
        <w:tc>
          <w:tcPr>
            <w:tcW w:w="550" w:type="dxa"/>
          </w:tcPr>
          <w:p w14:paraId="69B53A46" w14:textId="77777777" w:rsidR="007075D9" w:rsidRPr="004D46AC" w:rsidRDefault="007075D9" w:rsidP="00CE2F7A">
            <w:pPr>
              <w:spacing w:line="240" w:lineRule="auto"/>
              <w:ind w:firstLine="0"/>
              <w:rPr>
                <w:b/>
                <w:bCs/>
              </w:rPr>
            </w:pPr>
            <w:r w:rsidRPr="004D46AC">
              <w:rPr>
                <w:b/>
                <w:bCs/>
              </w:rPr>
              <w:t>.97</w:t>
            </w:r>
          </w:p>
        </w:tc>
        <w:tc>
          <w:tcPr>
            <w:tcW w:w="550" w:type="dxa"/>
          </w:tcPr>
          <w:p w14:paraId="68898D88" w14:textId="77777777" w:rsidR="007075D9" w:rsidRPr="004D46AC" w:rsidRDefault="007075D9" w:rsidP="00CE2F7A">
            <w:pPr>
              <w:spacing w:line="240" w:lineRule="auto"/>
              <w:ind w:firstLine="0"/>
            </w:pPr>
            <w:r w:rsidRPr="004D46AC">
              <w:t>0</w:t>
            </w:r>
          </w:p>
        </w:tc>
        <w:tc>
          <w:tcPr>
            <w:tcW w:w="532" w:type="dxa"/>
          </w:tcPr>
          <w:p w14:paraId="00078F26" w14:textId="77777777" w:rsidR="007075D9" w:rsidRPr="004D46AC" w:rsidRDefault="007075D9" w:rsidP="00CE2F7A">
            <w:pPr>
              <w:spacing w:line="240" w:lineRule="auto"/>
              <w:ind w:firstLine="0"/>
            </w:pPr>
            <w:r w:rsidRPr="004D46AC">
              <w:t>0</w:t>
            </w:r>
          </w:p>
        </w:tc>
        <w:tc>
          <w:tcPr>
            <w:tcW w:w="531" w:type="dxa"/>
          </w:tcPr>
          <w:p w14:paraId="3D0B5822" w14:textId="77777777" w:rsidR="007075D9" w:rsidRPr="004D46AC" w:rsidRDefault="007075D9" w:rsidP="00CE2F7A">
            <w:pPr>
              <w:spacing w:line="240" w:lineRule="auto"/>
              <w:ind w:firstLine="0"/>
            </w:pPr>
            <w:r w:rsidRPr="004D46AC">
              <w:t>0</w:t>
            </w:r>
          </w:p>
        </w:tc>
        <w:tc>
          <w:tcPr>
            <w:tcW w:w="532" w:type="dxa"/>
          </w:tcPr>
          <w:p w14:paraId="7740D416" w14:textId="77777777" w:rsidR="007075D9" w:rsidRPr="004D46AC" w:rsidRDefault="007075D9" w:rsidP="00CE2F7A">
            <w:pPr>
              <w:spacing w:line="240" w:lineRule="auto"/>
              <w:ind w:firstLine="0"/>
            </w:pPr>
            <w:r w:rsidRPr="004D46AC">
              <w:t>1</w:t>
            </w:r>
          </w:p>
        </w:tc>
        <w:tc>
          <w:tcPr>
            <w:tcW w:w="531" w:type="dxa"/>
          </w:tcPr>
          <w:p w14:paraId="0D153F44" w14:textId="77777777" w:rsidR="007075D9" w:rsidRPr="004D46AC" w:rsidRDefault="007075D9" w:rsidP="00CE2F7A">
            <w:pPr>
              <w:spacing w:line="240" w:lineRule="auto"/>
              <w:ind w:firstLine="0"/>
            </w:pPr>
            <w:r w:rsidRPr="004D46AC">
              <w:t>0</w:t>
            </w:r>
          </w:p>
        </w:tc>
        <w:tc>
          <w:tcPr>
            <w:tcW w:w="508" w:type="dxa"/>
          </w:tcPr>
          <w:p w14:paraId="0328BD24" w14:textId="77777777" w:rsidR="007075D9" w:rsidRPr="004D46AC" w:rsidRDefault="007075D9" w:rsidP="00CE2F7A">
            <w:pPr>
              <w:spacing w:line="240" w:lineRule="auto"/>
              <w:ind w:firstLine="0"/>
            </w:pPr>
            <w:r w:rsidRPr="004D46AC">
              <w:t>0</w:t>
            </w:r>
          </w:p>
        </w:tc>
        <w:tc>
          <w:tcPr>
            <w:tcW w:w="508" w:type="dxa"/>
          </w:tcPr>
          <w:p w14:paraId="4CECD2B6" w14:textId="77777777" w:rsidR="007075D9" w:rsidRPr="004D46AC" w:rsidRDefault="007075D9" w:rsidP="00CE2F7A">
            <w:pPr>
              <w:spacing w:line="240" w:lineRule="auto"/>
              <w:ind w:firstLine="0"/>
            </w:pPr>
            <w:r w:rsidRPr="004D46AC">
              <w:t>0</w:t>
            </w:r>
          </w:p>
        </w:tc>
        <w:tc>
          <w:tcPr>
            <w:tcW w:w="508" w:type="dxa"/>
          </w:tcPr>
          <w:p w14:paraId="345C78A5" w14:textId="77777777" w:rsidR="007075D9" w:rsidRPr="004D46AC" w:rsidRDefault="007075D9" w:rsidP="00CE2F7A">
            <w:pPr>
              <w:spacing w:line="240" w:lineRule="auto"/>
              <w:ind w:firstLine="0"/>
              <w:rPr>
                <w:b/>
                <w:bCs/>
              </w:rPr>
            </w:pPr>
            <w:r w:rsidRPr="004D46AC">
              <w:rPr>
                <w:b/>
                <w:bCs/>
              </w:rPr>
              <w:t>.99</w:t>
            </w:r>
          </w:p>
        </w:tc>
        <w:tc>
          <w:tcPr>
            <w:tcW w:w="508" w:type="dxa"/>
          </w:tcPr>
          <w:p w14:paraId="5A8D2B54" w14:textId="77777777" w:rsidR="007075D9" w:rsidRPr="004D46AC" w:rsidRDefault="007075D9" w:rsidP="00CE2F7A">
            <w:pPr>
              <w:spacing w:line="240" w:lineRule="auto"/>
              <w:ind w:firstLine="0"/>
            </w:pPr>
            <w:r w:rsidRPr="004D46AC">
              <w:t>0</w:t>
            </w:r>
          </w:p>
        </w:tc>
        <w:tc>
          <w:tcPr>
            <w:tcW w:w="508" w:type="dxa"/>
          </w:tcPr>
          <w:p w14:paraId="74C42A1A" w14:textId="77777777" w:rsidR="007075D9" w:rsidRPr="004D46AC" w:rsidRDefault="007075D9" w:rsidP="00CE2F7A">
            <w:pPr>
              <w:spacing w:line="240" w:lineRule="auto"/>
              <w:ind w:firstLine="0"/>
            </w:pPr>
            <w:r w:rsidRPr="004D46AC">
              <w:t>0</w:t>
            </w:r>
          </w:p>
        </w:tc>
        <w:tc>
          <w:tcPr>
            <w:tcW w:w="508" w:type="dxa"/>
          </w:tcPr>
          <w:p w14:paraId="24901990" w14:textId="77777777" w:rsidR="007075D9" w:rsidRPr="004D46AC" w:rsidRDefault="007075D9" w:rsidP="00CE2F7A">
            <w:pPr>
              <w:spacing w:line="240" w:lineRule="auto"/>
              <w:ind w:firstLine="0"/>
            </w:pPr>
            <w:r w:rsidRPr="004D46AC">
              <w:t>0</w:t>
            </w:r>
          </w:p>
        </w:tc>
      </w:tr>
      <w:tr w:rsidR="007075D9" w:rsidRPr="004D46AC" w14:paraId="51F42505" w14:textId="77777777" w:rsidTr="00B518F1">
        <w:tc>
          <w:tcPr>
            <w:tcW w:w="661" w:type="dxa"/>
          </w:tcPr>
          <w:p w14:paraId="4F7058A3" w14:textId="77777777" w:rsidR="007075D9" w:rsidRPr="004D46AC" w:rsidRDefault="007075D9" w:rsidP="00CE2F7A">
            <w:pPr>
              <w:spacing w:line="240" w:lineRule="auto"/>
              <w:ind w:firstLine="0"/>
            </w:pPr>
            <w:r w:rsidRPr="004D46AC">
              <w:t>Y7</w:t>
            </w:r>
          </w:p>
        </w:tc>
        <w:tc>
          <w:tcPr>
            <w:tcW w:w="551" w:type="dxa"/>
          </w:tcPr>
          <w:p w14:paraId="2405359D" w14:textId="77777777" w:rsidR="007075D9" w:rsidRPr="004D46AC" w:rsidRDefault="007075D9" w:rsidP="00CE2F7A">
            <w:pPr>
              <w:spacing w:line="240" w:lineRule="auto"/>
              <w:ind w:firstLine="0"/>
            </w:pPr>
            <w:r w:rsidRPr="004D46AC">
              <w:t>0</w:t>
            </w:r>
          </w:p>
        </w:tc>
        <w:tc>
          <w:tcPr>
            <w:tcW w:w="551" w:type="dxa"/>
          </w:tcPr>
          <w:p w14:paraId="76E69E0D" w14:textId="77777777" w:rsidR="007075D9" w:rsidRPr="004D46AC" w:rsidRDefault="007075D9" w:rsidP="00CE2F7A">
            <w:pPr>
              <w:spacing w:line="240" w:lineRule="auto"/>
              <w:ind w:firstLine="0"/>
              <w:rPr>
                <w:b/>
                <w:bCs/>
              </w:rPr>
            </w:pPr>
            <w:r w:rsidRPr="004D46AC">
              <w:rPr>
                <w:b/>
                <w:bCs/>
              </w:rPr>
              <w:t>.97</w:t>
            </w:r>
          </w:p>
        </w:tc>
        <w:tc>
          <w:tcPr>
            <w:tcW w:w="550" w:type="dxa"/>
          </w:tcPr>
          <w:p w14:paraId="084A46A5" w14:textId="77777777" w:rsidR="007075D9" w:rsidRPr="004D46AC" w:rsidRDefault="007075D9" w:rsidP="00CE2F7A">
            <w:pPr>
              <w:spacing w:line="240" w:lineRule="auto"/>
              <w:ind w:firstLine="0"/>
            </w:pPr>
            <w:r w:rsidRPr="004D46AC">
              <w:t>0</w:t>
            </w:r>
          </w:p>
        </w:tc>
        <w:tc>
          <w:tcPr>
            <w:tcW w:w="550" w:type="dxa"/>
          </w:tcPr>
          <w:p w14:paraId="2484ED67" w14:textId="77777777" w:rsidR="007075D9" w:rsidRPr="004D46AC" w:rsidRDefault="007075D9" w:rsidP="00CE2F7A">
            <w:pPr>
              <w:spacing w:line="240" w:lineRule="auto"/>
              <w:ind w:firstLine="0"/>
            </w:pPr>
            <w:r w:rsidRPr="004D46AC">
              <w:t>0</w:t>
            </w:r>
          </w:p>
        </w:tc>
        <w:tc>
          <w:tcPr>
            <w:tcW w:w="550" w:type="dxa"/>
          </w:tcPr>
          <w:p w14:paraId="1A944A82" w14:textId="77777777" w:rsidR="007075D9" w:rsidRPr="004D46AC" w:rsidRDefault="007075D9" w:rsidP="00CE2F7A">
            <w:pPr>
              <w:spacing w:line="240" w:lineRule="auto"/>
              <w:ind w:firstLine="0"/>
              <w:rPr>
                <w:b/>
                <w:bCs/>
              </w:rPr>
            </w:pPr>
            <w:r w:rsidRPr="004D46AC">
              <w:rPr>
                <w:b/>
                <w:bCs/>
              </w:rPr>
              <w:t>.97</w:t>
            </w:r>
          </w:p>
        </w:tc>
        <w:tc>
          <w:tcPr>
            <w:tcW w:w="550" w:type="dxa"/>
          </w:tcPr>
          <w:p w14:paraId="45FB18A5" w14:textId="77777777" w:rsidR="007075D9" w:rsidRPr="004D46AC" w:rsidRDefault="007075D9" w:rsidP="00CE2F7A">
            <w:pPr>
              <w:spacing w:line="240" w:lineRule="auto"/>
              <w:ind w:firstLine="0"/>
            </w:pPr>
            <w:r w:rsidRPr="004D46AC">
              <w:t>0</w:t>
            </w:r>
          </w:p>
        </w:tc>
        <w:tc>
          <w:tcPr>
            <w:tcW w:w="532" w:type="dxa"/>
          </w:tcPr>
          <w:p w14:paraId="4CED4D5A" w14:textId="77777777" w:rsidR="007075D9" w:rsidRPr="004D46AC" w:rsidRDefault="007075D9" w:rsidP="00CE2F7A">
            <w:pPr>
              <w:spacing w:line="240" w:lineRule="auto"/>
              <w:ind w:firstLine="0"/>
            </w:pPr>
            <w:r w:rsidRPr="004D46AC">
              <w:t>0</w:t>
            </w:r>
          </w:p>
        </w:tc>
        <w:tc>
          <w:tcPr>
            <w:tcW w:w="531" w:type="dxa"/>
          </w:tcPr>
          <w:p w14:paraId="46BD669D" w14:textId="77777777" w:rsidR="007075D9" w:rsidRPr="004D46AC" w:rsidRDefault="007075D9" w:rsidP="00CE2F7A">
            <w:pPr>
              <w:spacing w:line="240" w:lineRule="auto"/>
              <w:ind w:firstLine="0"/>
            </w:pPr>
            <w:r w:rsidRPr="004D46AC">
              <w:t>.01</w:t>
            </w:r>
          </w:p>
        </w:tc>
        <w:tc>
          <w:tcPr>
            <w:tcW w:w="532" w:type="dxa"/>
          </w:tcPr>
          <w:p w14:paraId="6B16649B" w14:textId="77777777" w:rsidR="007075D9" w:rsidRPr="004D46AC" w:rsidRDefault="007075D9" w:rsidP="00CE2F7A">
            <w:pPr>
              <w:spacing w:line="240" w:lineRule="auto"/>
              <w:ind w:firstLine="0"/>
              <w:rPr>
                <w:b/>
                <w:bCs/>
              </w:rPr>
            </w:pPr>
            <w:r w:rsidRPr="004D46AC">
              <w:rPr>
                <w:b/>
                <w:bCs/>
              </w:rPr>
              <w:t>.98</w:t>
            </w:r>
          </w:p>
        </w:tc>
        <w:tc>
          <w:tcPr>
            <w:tcW w:w="531" w:type="dxa"/>
          </w:tcPr>
          <w:p w14:paraId="551E8AC3" w14:textId="77777777" w:rsidR="007075D9" w:rsidRPr="004D46AC" w:rsidRDefault="007075D9" w:rsidP="00CE2F7A">
            <w:pPr>
              <w:spacing w:line="240" w:lineRule="auto"/>
              <w:ind w:firstLine="0"/>
            </w:pPr>
            <w:r w:rsidRPr="004D46AC">
              <w:t>0</w:t>
            </w:r>
          </w:p>
        </w:tc>
        <w:tc>
          <w:tcPr>
            <w:tcW w:w="508" w:type="dxa"/>
          </w:tcPr>
          <w:p w14:paraId="0FBE4FCE" w14:textId="77777777" w:rsidR="007075D9" w:rsidRPr="004D46AC" w:rsidRDefault="007075D9" w:rsidP="00CE2F7A">
            <w:pPr>
              <w:spacing w:line="240" w:lineRule="auto"/>
              <w:ind w:firstLine="0"/>
            </w:pPr>
            <w:r w:rsidRPr="004D46AC">
              <w:t>0</w:t>
            </w:r>
          </w:p>
        </w:tc>
        <w:tc>
          <w:tcPr>
            <w:tcW w:w="508" w:type="dxa"/>
          </w:tcPr>
          <w:p w14:paraId="13085A12" w14:textId="77777777" w:rsidR="007075D9" w:rsidRPr="004D46AC" w:rsidRDefault="007075D9" w:rsidP="00CE2F7A">
            <w:pPr>
              <w:spacing w:line="240" w:lineRule="auto"/>
              <w:ind w:firstLine="0"/>
            </w:pPr>
            <w:r w:rsidRPr="004D46AC">
              <w:t>0</w:t>
            </w:r>
          </w:p>
        </w:tc>
        <w:tc>
          <w:tcPr>
            <w:tcW w:w="508" w:type="dxa"/>
          </w:tcPr>
          <w:p w14:paraId="42741BE9" w14:textId="77777777" w:rsidR="007075D9" w:rsidRPr="004D46AC" w:rsidRDefault="007075D9" w:rsidP="00CE2F7A">
            <w:pPr>
              <w:spacing w:line="240" w:lineRule="auto"/>
              <w:ind w:firstLine="0"/>
              <w:rPr>
                <w:b/>
                <w:bCs/>
              </w:rPr>
            </w:pPr>
            <w:r w:rsidRPr="004D46AC">
              <w:rPr>
                <w:b/>
                <w:bCs/>
              </w:rPr>
              <w:t>.98</w:t>
            </w:r>
          </w:p>
        </w:tc>
        <w:tc>
          <w:tcPr>
            <w:tcW w:w="508" w:type="dxa"/>
          </w:tcPr>
          <w:p w14:paraId="7B5F9C66" w14:textId="77777777" w:rsidR="007075D9" w:rsidRPr="004D46AC" w:rsidRDefault="007075D9" w:rsidP="00CE2F7A">
            <w:pPr>
              <w:spacing w:line="240" w:lineRule="auto"/>
              <w:ind w:firstLine="0"/>
            </w:pPr>
            <w:r w:rsidRPr="004D46AC">
              <w:t>0</w:t>
            </w:r>
          </w:p>
        </w:tc>
        <w:tc>
          <w:tcPr>
            <w:tcW w:w="508" w:type="dxa"/>
          </w:tcPr>
          <w:p w14:paraId="1DFFDE55" w14:textId="77777777" w:rsidR="007075D9" w:rsidRPr="004D46AC" w:rsidRDefault="007075D9" w:rsidP="00CE2F7A">
            <w:pPr>
              <w:spacing w:line="240" w:lineRule="auto"/>
              <w:ind w:firstLine="0"/>
            </w:pPr>
            <w:r w:rsidRPr="004D46AC">
              <w:t>0</w:t>
            </w:r>
          </w:p>
        </w:tc>
        <w:tc>
          <w:tcPr>
            <w:tcW w:w="508" w:type="dxa"/>
          </w:tcPr>
          <w:p w14:paraId="7C011E4B" w14:textId="77777777" w:rsidR="007075D9" w:rsidRPr="004D46AC" w:rsidRDefault="007075D9" w:rsidP="00CE2F7A">
            <w:pPr>
              <w:spacing w:line="240" w:lineRule="auto"/>
              <w:ind w:firstLine="0"/>
            </w:pPr>
            <w:r w:rsidRPr="004D46AC">
              <w:t>0</w:t>
            </w:r>
          </w:p>
        </w:tc>
      </w:tr>
      <w:tr w:rsidR="007075D9" w:rsidRPr="004D46AC" w14:paraId="298B6CE4" w14:textId="77777777" w:rsidTr="00B518F1">
        <w:tc>
          <w:tcPr>
            <w:tcW w:w="661" w:type="dxa"/>
          </w:tcPr>
          <w:p w14:paraId="1E3D21BC" w14:textId="77777777" w:rsidR="007075D9" w:rsidRPr="004D46AC" w:rsidRDefault="007075D9" w:rsidP="00CE2F7A">
            <w:pPr>
              <w:spacing w:line="240" w:lineRule="auto"/>
              <w:ind w:firstLine="0"/>
            </w:pPr>
            <w:r w:rsidRPr="004D46AC">
              <w:t>Y10</w:t>
            </w:r>
          </w:p>
        </w:tc>
        <w:tc>
          <w:tcPr>
            <w:tcW w:w="551" w:type="dxa"/>
          </w:tcPr>
          <w:p w14:paraId="2A43F8DF" w14:textId="77777777" w:rsidR="007075D9" w:rsidRPr="004D46AC" w:rsidRDefault="007075D9" w:rsidP="00CE2F7A">
            <w:pPr>
              <w:spacing w:line="240" w:lineRule="auto"/>
              <w:ind w:firstLine="0"/>
            </w:pPr>
            <w:r w:rsidRPr="004D46AC">
              <w:t>.22</w:t>
            </w:r>
          </w:p>
        </w:tc>
        <w:tc>
          <w:tcPr>
            <w:tcW w:w="551" w:type="dxa"/>
          </w:tcPr>
          <w:p w14:paraId="0CAF591C" w14:textId="77777777" w:rsidR="007075D9" w:rsidRPr="004D46AC" w:rsidRDefault="007075D9" w:rsidP="00CE2F7A">
            <w:pPr>
              <w:spacing w:line="240" w:lineRule="auto"/>
              <w:ind w:firstLine="0"/>
              <w:rPr>
                <w:b/>
                <w:bCs/>
              </w:rPr>
            </w:pPr>
            <w:r w:rsidRPr="004D46AC">
              <w:rPr>
                <w:b/>
                <w:bCs/>
              </w:rPr>
              <w:t>.63</w:t>
            </w:r>
          </w:p>
        </w:tc>
        <w:tc>
          <w:tcPr>
            <w:tcW w:w="550" w:type="dxa"/>
          </w:tcPr>
          <w:p w14:paraId="3DFA2F55" w14:textId="77777777" w:rsidR="007075D9" w:rsidRPr="004D46AC" w:rsidRDefault="007075D9" w:rsidP="00CE2F7A">
            <w:pPr>
              <w:spacing w:line="240" w:lineRule="auto"/>
              <w:ind w:firstLine="0"/>
            </w:pPr>
            <w:r w:rsidRPr="004D46AC">
              <w:t>.09</w:t>
            </w:r>
          </w:p>
        </w:tc>
        <w:tc>
          <w:tcPr>
            <w:tcW w:w="550" w:type="dxa"/>
          </w:tcPr>
          <w:p w14:paraId="41F6B781" w14:textId="77777777" w:rsidR="007075D9" w:rsidRPr="004D46AC" w:rsidRDefault="007075D9" w:rsidP="00CE2F7A">
            <w:pPr>
              <w:spacing w:line="240" w:lineRule="auto"/>
              <w:ind w:firstLine="0"/>
            </w:pPr>
            <w:r w:rsidRPr="004D46AC">
              <w:t>.43</w:t>
            </w:r>
          </w:p>
        </w:tc>
        <w:tc>
          <w:tcPr>
            <w:tcW w:w="550" w:type="dxa"/>
          </w:tcPr>
          <w:p w14:paraId="30EAB1B9" w14:textId="77777777" w:rsidR="007075D9" w:rsidRPr="004D46AC" w:rsidRDefault="007075D9" w:rsidP="00CE2F7A">
            <w:pPr>
              <w:spacing w:line="240" w:lineRule="auto"/>
              <w:ind w:firstLine="0"/>
            </w:pPr>
            <w:r w:rsidRPr="004D46AC">
              <w:t>.02</w:t>
            </w:r>
          </w:p>
        </w:tc>
        <w:tc>
          <w:tcPr>
            <w:tcW w:w="550" w:type="dxa"/>
          </w:tcPr>
          <w:p w14:paraId="36B0C23A" w14:textId="77777777" w:rsidR="007075D9" w:rsidRPr="004D46AC" w:rsidRDefault="007075D9" w:rsidP="00CE2F7A">
            <w:pPr>
              <w:spacing w:line="240" w:lineRule="auto"/>
              <w:ind w:firstLine="0"/>
              <w:rPr>
                <w:b/>
                <w:bCs/>
              </w:rPr>
            </w:pPr>
            <w:r w:rsidRPr="004D46AC">
              <w:rPr>
                <w:b/>
                <w:bCs/>
              </w:rPr>
              <w:t>.45</w:t>
            </w:r>
          </w:p>
        </w:tc>
        <w:tc>
          <w:tcPr>
            <w:tcW w:w="532" w:type="dxa"/>
          </w:tcPr>
          <w:p w14:paraId="3617F181" w14:textId="77777777" w:rsidR="007075D9" w:rsidRPr="004D46AC" w:rsidRDefault="007075D9" w:rsidP="00CE2F7A">
            <w:pPr>
              <w:spacing w:line="240" w:lineRule="auto"/>
              <w:ind w:firstLine="0"/>
            </w:pPr>
            <w:r w:rsidRPr="004D46AC">
              <w:t>.02</w:t>
            </w:r>
          </w:p>
        </w:tc>
        <w:tc>
          <w:tcPr>
            <w:tcW w:w="531" w:type="dxa"/>
          </w:tcPr>
          <w:p w14:paraId="4F98B1D0" w14:textId="77777777" w:rsidR="007075D9" w:rsidRPr="004D46AC" w:rsidRDefault="007075D9" w:rsidP="00CE2F7A">
            <w:pPr>
              <w:spacing w:line="240" w:lineRule="auto"/>
              <w:ind w:firstLine="0"/>
            </w:pPr>
            <w:r w:rsidRPr="004D46AC">
              <w:t>.20</w:t>
            </w:r>
          </w:p>
        </w:tc>
        <w:tc>
          <w:tcPr>
            <w:tcW w:w="532" w:type="dxa"/>
          </w:tcPr>
          <w:p w14:paraId="2FEA4B23" w14:textId="77777777" w:rsidR="007075D9" w:rsidRPr="004D46AC" w:rsidRDefault="007075D9" w:rsidP="00CE2F7A">
            <w:pPr>
              <w:spacing w:line="240" w:lineRule="auto"/>
              <w:ind w:firstLine="0"/>
            </w:pPr>
            <w:r w:rsidRPr="004D46AC">
              <w:t>.31</w:t>
            </w:r>
          </w:p>
        </w:tc>
        <w:tc>
          <w:tcPr>
            <w:tcW w:w="531" w:type="dxa"/>
          </w:tcPr>
          <w:p w14:paraId="4A5137A2" w14:textId="77777777" w:rsidR="007075D9" w:rsidRPr="004D46AC" w:rsidRDefault="007075D9" w:rsidP="00CE2F7A">
            <w:pPr>
              <w:spacing w:line="240" w:lineRule="auto"/>
              <w:ind w:firstLine="0"/>
              <w:rPr>
                <w:b/>
                <w:bCs/>
              </w:rPr>
            </w:pPr>
            <w:r w:rsidRPr="004D46AC">
              <w:rPr>
                <w:b/>
                <w:bCs/>
              </w:rPr>
              <w:t>.37</w:t>
            </w:r>
          </w:p>
        </w:tc>
        <w:tc>
          <w:tcPr>
            <w:tcW w:w="508" w:type="dxa"/>
          </w:tcPr>
          <w:p w14:paraId="28D02B5A" w14:textId="77777777" w:rsidR="007075D9" w:rsidRPr="004D46AC" w:rsidRDefault="007075D9" w:rsidP="00CE2F7A">
            <w:pPr>
              <w:spacing w:line="240" w:lineRule="auto"/>
              <w:ind w:firstLine="0"/>
            </w:pPr>
            <w:r w:rsidRPr="004D46AC">
              <w:t>.02</w:t>
            </w:r>
          </w:p>
        </w:tc>
        <w:tc>
          <w:tcPr>
            <w:tcW w:w="508" w:type="dxa"/>
          </w:tcPr>
          <w:p w14:paraId="551BEBF1" w14:textId="77777777" w:rsidR="007075D9" w:rsidRPr="004D46AC" w:rsidRDefault="007075D9" w:rsidP="00CE2F7A">
            <w:pPr>
              <w:spacing w:line="240" w:lineRule="auto"/>
              <w:ind w:firstLine="0"/>
            </w:pPr>
            <w:r w:rsidRPr="004D46AC">
              <w:t>.04</w:t>
            </w:r>
          </w:p>
        </w:tc>
        <w:tc>
          <w:tcPr>
            <w:tcW w:w="508" w:type="dxa"/>
          </w:tcPr>
          <w:p w14:paraId="2B376AFF" w14:textId="77777777" w:rsidR="007075D9" w:rsidRPr="004D46AC" w:rsidRDefault="007075D9" w:rsidP="00CE2F7A">
            <w:pPr>
              <w:spacing w:line="240" w:lineRule="auto"/>
              <w:ind w:firstLine="0"/>
            </w:pPr>
            <w:r w:rsidRPr="004D46AC">
              <w:t>.64</w:t>
            </w:r>
          </w:p>
        </w:tc>
        <w:tc>
          <w:tcPr>
            <w:tcW w:w="508" w:type="dxa"/>
          </w:tcPr>
          <w:p w14:paraId="08108870" w14:textId="77777777" w:rsidR="007075D9" w:rsidRPr="004D46AC" w:rsidRDefault="007075D9" w:rsidP="00CE2F7A">
            <w:pPr>
              <w:spacing w:line="240" w:lineRule="auto"/>
              <w:ind w:firstLine="0"/>
            </w:pPr>
            <w:r w:rsidRPr="004D46AC">
              <w:t>0</w:t>
            </w:r>
          </w:p>
        </w:tc>
        <w:tc>
          <w:tcPr>
            <w:tcW w:w="508" w:type="dxa"/>
          </w:tcPr>
          <w:p w14:paraId="7D4EF552" w14:textId="77777777" w:rsidR="007075D9" w:rsidRPr="004D46AC" w:rsidRDefault="007075D9" w:rsidP="00CE2F7A">
            <w:pPr>
              <w:spacing w:line="240" w:lineRule="auto"/>
              <w:ind w:firstLine="0"/>
              <w:rPr>
                <w:b/>
                <w:bCs/>
              </w:rPr>
            </w:pPr>
            <w:r w:rsidRPr="004D46AC">
              <w:rPr>
                <w:b/>
                <w:bCs/>
              </w:rPr>
              <w:t>.21</w:t>
            </w:r>
          </w:p>
        </w:tc>
        <w:tc>
          <w:tcPr>
            <w:tcW w:w="508" w:type="dxa"/>
          </w:tcPr>
          <w:p w14:paraId="59263350" w14:textId="77777777" w:rsidR="007075D9" w:rsidRPr="004D46AC" w:rsidRDefault="007075D9" w:rsidP="00CE2F7A">
            <w:pPr>
              <w:spacing w:line="240" w:lineRule="auto"/>
              <w:ind w:firstLine="0"/>
            </w:pPr>
            <w:r w:rsidRPr="004D46AC">
              <w:t>.09</w:t>
            </w:r>
          </w:p>
        </w:tc>
      </w:tr>
      <w:tr w:rsidR="007075D9" w:rsidRPr="004D46AC" w14:paraId="3B8D6368" w14:textId="77777777" w:rsidTr="00B518F1">
        <w:tc>
          <w:tcPr>
            <w:tcW w:w="661" w:type="dxa"/>
          </w:tcPr>
          <w:p w14:paraId="64DD1EB9" w14:textId="77777777" w:rsidR="007075D9" w:rsidRPr="004D46AC" w:rsidRDefault="007075D9" w:rsidP="00CE2F7A">
            <w:pPr>
              <w:spacing w:line="240" w:lineRule="auto"/>
              <w:ind w:firstLine="0"/>
            </w:pPr>
            <w:r w:rsidRPr="004D46AC">
              <w:t>Y11</w:t>
            </w:r>
          </w:p>
        </w:tc>
        <w:tc>
          <w:tcPr>
            <w:tcW w:w="551" w:type="dxa"/>
          </w:tcPr>
          <w:p w14:paraId="11F08C61" w14:textId="77777777" w:rsidR="007075D9" w:rsidRPr="004D46AC" w:rsidRDefault="007075D9" w:rsidP="00CE2F7A">
            <w:pPr>
              <w:spacing w:line="240" w:lineRule="auto"/>
              <w:ind w:firstLine="0"/>
              <w:rPr>
                <w:b/>
                <w:bCs/>
              </w:rPr>
            </w:pPr>
            <w:r w:rsidRPr="004D46AC">
              <w:rPr>
                <w:b/>
                <w:bCs/>
              </w:rPr>
              <w:t>.72</w:t>
            </w:r>
          </w:p>
        </w:tc>
        <w:tc>
          <w:tcPr>
            <w:tcW w:w="551" w:type="dxa"/>
          </w:tcPr>
          <w:p w14:paraId="544631AA" w14:textId="77777777" w:rsidR="007075D9" w:rsidRPr="004D46AC" w:rsidRDefault="007075D9" w:rsidP="00CE2F7A">
            <w:pPr>
              <w:spacing w:line="240" w:lineRule="auto"/>
              <w:ind w:firstLine="0"/>
            </w:pPr>
            <w:r w:rsidRPr="004D46AC">
              <w:t>.24</w:t>
            </w:r>
          </w:p>
        </w:tc>
        <w:tc>
          <w:tcPr>
            <w:tcW w:w="550" w:type="dxa"/>
          </w:tcPr>
          <w:p w14:paraId="23EC2B17" w14:textId="77777777" w:rsidR="007075D9" w:rsidRPr="004D46AC" w:rsidRDefault="007075D9" w:rsidP="00CE2F7A">
            <w:pPr>
              <w:spacing w:line="240" w:lineRule="auto"/>
              <w:ind w:firstLine="0"/>
            </w:pPr>
            <w:r w:rsidRPr="004D46AC">
              <w:t>0</w:t>
            </w:r>
          </w:p>
        </w:tc>
        <w:tc>
          <w:tcPr>
            <w:tcW w:w="550" w:type="dxa"/>
          </w:tcPr>
          <w:p w14:paraId="363DCD26" w14:textId="77777777" w:rsidR="007075D9" w:rsidRPr="004D46AC" w:rsidRDefault="007075D9" w:rsidP="00CE2F7A">
            <w:pPr>
              <w:spacing w:line="240" w:lineRule="auto"/>
              <w:ind w:firstLine="0"/>
              <w:rPr>
                <w:b/>
                <w:bCs/>
              </w:rPr>
            </w:pPr>
            <w:r w:rsidRPr="004D46AC">
              <w:rPr>
                <w:b/>
                <w:bCs/>
              </w:rPr>
              <w:t>.76</w:t>
            </w:r>
          </w:p>
        </w:tc>
        <w:tc>
          <w:tcPr>
            <w:tcW w:w="550" w:type="dxa"/>
          </w:tcPr>
          <w:p w14:paraId="7BF402B1" w14:textId="77777777" w:rsidR="007075D9" w:rsidRPr="004D46AC" w:rsidRDefault="007075D9" w:rsidP="00CE2F7A">
            <w:pPr>
              <w:spacing w:line="240" w:lineRule="auto"/>
              <w:ind w:firstLine="0"/>
            </w:pPr>
            <w:r w:rsidRPr="004D46AC">
              <w:t>.08</w:t>
            </w:r>
          </w:p>
        </w:tc>
        <w:tc>
          <w:tcPr>
            <w:tcW w:w="550" w:type="dxa"/>
          </w:tcPr>
          <w:p w14:paraId="5B1842F9" w14:textId="77777777" w:rsidR="007075D9" w:rsidRPr="004D46AC" w:rsidRDefault="007075D9" w:rsidP="00CE2F7A">
            <w:pPr>
              <w:spacing w:line="240" w:lineRule="auto"/>
              <w:ind w:firstLine="0"/>
            </w:pPr>
            <w:r w:rsidRPr="004D46AC">
              <w:t>.01</w:t>
            </w:r>
          </w:p>
        </w:tc>
        <w:tc>
          <w:tcPr>
            <w:tcW w:w="532" w:type="dxa"/>
          </w:tcPr>
          <w:p w14:paraId="4CCE4244" w14:textId="77777777" w:rsidR="007075D9" w:rsidRPr="004D46AC" w:rsidRDefault="007075D9" w:rsidP="00CE2F7A">
            <w:pPr>
              <w:spacing w:line="240" w:lineRule="auto"/>
              <w:ind w:firstLine="0"/>
            </w:pPr>
            <w:r w:rsidRPr="004D46AC">
              <w:t>.03</w:t>
            </w:r>
          </w:p>
        </w:tc>
        <w:tc>
          <w:tcPr>
            <w:tcW w:w="531" w:type="dxa"/>
          </w:tcPr>
          <w:p w14:paraId="1FD1158E" w14:textId="77777777" w:rsidR="007075D9" w:rsidRPr="004D46AC" w:rsidRDefault="007075D9" w:rsidP="00CE2F7A">
            <w:pPr>
              <w:spacing w:line="240" w:lineRule="auto"/>
              <w:ind w:firstLine="0"/>
            </w:pPr>
            <w:r w:rsidRPr="004D46AC">
              <w:t>.01</w:t>
            </w:r>
          </w:p>
        </w:tc>
        <w:tc>
          <w:tcPr>
            <w:tcW w:w="532" w:type="dxa"/>
          </w:tcPr>
          <w:p w14:paraId="33349CD0" w14:textId="77777777" w:rsidR="007075D9" w:rsidRPr="004D46AC" w:rsidRDefault="007075D9" w:rsidP="00CE2F7A">
            <w:pPr>
              <w:spacing w:line="240" w:lineRule="auto"/>
              <w:ind w:firstLine="0"/>
              <w:rPr>
                <w:b/>
                <w:bCs/>
              </w:rPr>
            </w:pPr>
            <w:r w:rsidRPr="004D46AC">
              <w:rPr>
                <w:b/>
                <w:bCs/>
              </w:rPr>
              <w:t>.94</w:t>
            </w:r>
          </w:p>
        </w:tc>
        <w:tc>
          <w:tcPr>
            <w:tcW w:w="531" w:type="dxa"/>
          </w:tcPr>
          <w:p w14:paraId="0470A232" w14:textId="77777777" w:rsidR="007075D9" w:rsidRPr="004D46AC" w:rsidRDefault="007075D9" w:rsidP="00CE2F7A">
            <w:pPr>
              <w:spacing w:line="240" w:lineRule="auto"/>
              <w:ind w:firstLine="0"/>
            </w:pPr>
            <w:r w:rsidRPr="004D46AC">
              <w:t>0</w:t>
            </w:r>
          </w:p>
        </w:tc>
        <w:tc>
          <w:tcPr>
            <w:tcW w:w="508" w:type="dxa"/>
          </w:tcPr>
          <w:p w14:paraId="700B0857" w14:textId="77777777" w:rsidR="007075D9" w:rsidRPr="004D46AC" w:rsidRDefault="007075D9" w:rsidP="00CE2F7A">
            <w:pPr>
              <w:spacing w:line="240" w:lineRule="auto"/>
              <w:ind w:firstLine="0"/>
            </w:pPr>
            <w:r w:rsidRPr="004D46AC">
              <w:t>.05</w:t>
            </w:r>
          </w:p>
        </w:tc>
        <w:tc>
          <w:tcPr>
            <w:tcW w:w="508" w:type="dxa"/>
          </w:tcPr>
          <w:p w14:paraId="724BE9F0" w14:textId="77777777" w:rsidR="007075D9" w:rsidRPr="004D46AC" w:rsidRDefault="007075D9" w:rsidP="00CE2F7A">
            <w:pPr>
              <w:spacing w:line="240" w:lineRule="auto"/>
              <w:ind w:firstLine="0"/>
            </w:pPr>
            <w:r w:rsidRPr="004D46AC">
              <w:t>.01</w:t>
            </w:r>
          </w:p>
        </w:tc>
        <w:tc>
          <w:tcPr>
            <w:tcW w:w="508" w:type="dxa"/>
          </w:tcPr>
          <w:p w14:paraId="655A9199" w14:textId="77777777" w:rsidR="007075D9" w:rsidRPr="004D46AC" w:rsidRDefault="007075D9" w:rsidP="00CE2F7A">
            <w:pPr>
              <w:spacing w:line="240" w:lineRule="auto"/>
              <w:ind w:firstLine="0"/>
              <w:rPr>
                <w:b/>
                <w:bCs/>
              </w:rPr>
            </w:pPr>
            <w:r w:rsidRPr="004D46AC">
              <w:rPr>
                <w:b/>
                <w:bCs/>
              </w:rPr>
              <w:t>.93</w:t>
            </w:r>
          </w:p>
        </w:tc>
        <w:tc>
          <w:tcPr>
            <w:tcW w:w="508" w:type="dxa"/>
          </w:tcPr>
          <w:p w14:paraId="5E908CB2" w14:textId="77777777" w:rsidR="007075D9" w:rsidRPr="004D46AC" w:rsidRDefault="007075D9" w:rsidP="00CE2F7A">
            <w:pPr>
              <w:spacing w:line="240" w:lineRule="auto"/>
              <w:ind w:firstLine="0"/>
            </w:pPr>
            <w:r w:rsidRPr="004D46AC">
              <w:t>0</w:t>
            </w:r>
          </w:p>
        </w:tc>
        <w:tc>
          <w:tcPr>
            <w:tcW w:w="508" w:type="dxa"/>
          </w:tcPr>
          <w:p w14:paraId="6A727B01" w14:textId="77777777" w:rsidR="007075D9" w:rsidRPr="004D46AC" w:rsidRDefault="007075D9" w:rsidP="00CE2F7A">
            <w:pPr>
              <w:spacing w:line="240" w:lineRule="auto"/>
              <w:ind w:firstLine="0"/>
            </w:pPr>
            <w:r w:rsidRPr="004D46AC">
              <w:t>0</w:t>
            </w:r>
          </w:p>
        </w:tc>
        <w:tc>
          <w:tcPr>
            <w:tcW w:w="508" w:type="dxa"/>
          </w:tcPr>
          <w:p w14:paraId="44E5B63F" w14:textId="77777777" w:rsidR="007075D9" w:rsidRPr="004D46AC" w:rsidRDefault="007075D9" w:rsidP="00CE2F7A">
            <w:pPr>
              <w:spacing w:line="240" w:lineRule="auto"/>
              <w:ind w:firstLine="0"/>
            </w:pPr>
            <w:r w:rsidRPr="004D46AC">
              <w:t>0</w:t>
            </w:r>
          </w:p>
        </w:tc>
      </w:tr>
      <w:tr w:rsidR="007075D9" w:rsidRPr="004D46AC" w14:paraId="7D4E3E46" w14:textId="77777777" w:rsidTr="00B518F1">
        <w:tc>
          <w:tcPr>
            <w:tcW w:w="661" w:type="dxa"/>
          </w:tcPr>
          <w:p w14:paraId="3A2B626D" w14:textId="77777777" w:rsidR="007075D9" w:rsidRPr="004D46AC" w:rsidRDefault="007075D9" w:rsidP="00CE2F7A">
            <w:pPr>
              <w:spacing w:line="240" w:lineRule="auto"/>
              <w:ind w:firstLine="0"/>
            </w:pPr>
            <w:r w:rsidRPr="004D46AC">
              <w:t>M2</w:t>
            </w:r>
          </w:p>
        </w:tc>
        <w:tc>
          <w:tcPr>
            <w:tcW w:w="551" w:type="dxa"/>
          </w:tcPr>
          <w:p w14:paraId="2D6BBAAD" w14:textId="77777777" w:rsidR="007075D9" w:rsidRPr="004D46AC" w:rsidRDefault="007075D9" w:rsidP="00CE2F7A">
            <w:pPr>
              <w:spacing w:line="240" w:lineRule="auto"/>
              <w:ind w:firstLine="0"/>
            </w:pPr>
            <w:r w:rsidRPr="004D46AC">
              <w:t>0</w:t>
            </w:r>
          </w:p>
        </w:tc>
        <w:tc>
          <w:tcPr>
            <w:tcW w:w="551" w:type="dxa"/>
          </w:tcPr>
          <w:p w14:paraId="18E558D7" w14:textId="77777777" w:rsidR="007075D9" w:rsidRPr="004D46AC" w:rsidRDefault="007075D9" w:rsidP="00CE2F7A">
            <w:pPr>
              <w:spacing w:line="240" w:lineRule="auto"/>
              <w:ind w:firstLine="0"/>
            </w:pPr>
            <w:r w:rsidRPr="004D46AC">
              <w:t>0</w:t>
            </w:r>
          </w:p>
        </w:tc>
        <w:tc>
          <w:tcPr>
            <w:tcW w:w="550" w:type="dxa"/>
          </w:tcPr>
          <w:p w14:paraId="318DE95A" w14:textId="77777777" w:rsidR="007075D9" w:rsidRPr="004D46AC" w:rsidRDefault="007075D9" w:rsidP="00CE2F7A">
            <w:pPr>
              <w:spacing w:line="240" w:lineRule="auto"/>
              <w:ind w:firstLine="0"/>
              <w:rPr>
                <w:b/>
                <w:bCs/>
              </w:rPr>
            </w:pPr>
            <w:r w:rsidRPr="004D46AC">
              <w:rPr>
                <w:b/>
                <w:bCs/>
              </w:rPr>
              <w:t>1</w:t>
            </w:r>
          </w:p>
        </w:tc>
        <w:tc>
          <w:tcPr>
            <w:tcW w:w="550" w:type="dxa"/>
          </w:tcPr>
          <w:p w14:paraId="2C3DF2D8" w14:textId="77777777" w:rsidR="007075D9" w:rsidRPr="004D46AC" w:rsidRDefault="007075D9" w:rsidP="00CE2F7A">
            <w:pPr>
              <w:spacing w:line="240" w:lineRule="auto"/>
              <w:ind w:firstLine="0"/>
            </w:pPr>
            <w:r w:rsidRPr="004D46AC">
              <w:t>0</w:t>
            </w:r>
          </w:p>
        </w:tc>
        <w:tc>
          <w:tcPr>
            <w:tcW w:w="550" w:type="dxa"/>
          </w:tcPr>
          <w:p w14:paraId="5F9A1771" w14:textId="77777777" w:rsidR="007075D9" w:rsidRPr="004D46AC" w:rsidRDefault="007075D9" w:rsidP="00CE2F7A">
            <w:pPr>
              <w:spacing w:line="240" w:lineRule="auto"/>
              <w:ind w:firstLine="0"/>
            </w:pPr>
            <w:r w:rsidRPr="004D46AC">
              <w:t>0</w:t>
            </w:r>
          </w:p>
        </w:tc>
        <w:tc>
          <w:tcPr>
            <w:tcW w:w="550" w:type="dxa"/>
          </w:tcPr>
          <w:p w14:paraId="35823520" w14:textId="77777777" w:rsidR="007075D9" w:rsidRPr="004D46AC" w:rsidRDefault="007075D9" w:rsidP="00CE2F7A">
            <w:pPr>
              <w:spacing w:line="240" w:lineRule="auto"/>
              <w:ind w:firstLine="0"/>
              <w:rPr>
                <w:b/>
                <w:bCs/>
              </w:rPr>
            </w:pPr>
            <w:r w:rsidRPr="004D46AC">
              <w:rPr>
                <w:b/>
                <w:bCs/>
              </w:rPr>
              <w:t>.97</w:t>
            </w:r>
          </w:p>
        </w:tc>
        <w:tc>
          <w:tcPr>
            <w:tcW w:w="532" w:type="dxa"/>
          </w:tcPr>
          <w:p w14:paraId="5F3CD5C1" w14:textId="77777777" w:rsidR="007075D9" w:rsidRPr="004D46AC" w:rsidRDefault="007075D9" w:rsidP="00CE2F7A">
            <w:pPr>
              <w:spacing w:line="240" w:lineRule="auto"/>
              <w:ind w:firstLine="0"/>
            </w:pPr>
            <w:r w:rsidRPr="004D46AC">
              <w:t>0</w:t>
            </w:r>
          </w:p>
        </w:tc>
        <w:tc>
          <w:tcPr>
            <w:tcW w:w="531" w:type="dxa"/>
          </w:tcPr>
          <w:p w14:paraId="3BE131BE" w14:textId="77777777" w:rsidR="007075D9" w:rsidRPr="004D46AC" w:rsidRDefault="007075D9" w:rsidP="00CE2F7A">
            <w:pPr>
              <w:spacing w:line="240" w:lineRule="auto"/>
              <w:ind w:firstLine="0"/>
            </w:pPr>
            <w:r w:rsidRPr="004D46AC">
              <w:t>0</w:t>
            </w:r>
          </w:p>
        </w:tc>
        <w:tc>
          <w:tcPr>
            <w:tcW w:w="532" w:type="dxa"/>
          </w:tcPr>
          <w:p w14:paraId="493E1DB0" w14:textId="77777777" w:rsidR="007075D9" w:rsidRPr="004D46AC" w:rsidRDefault="007075D9" w:rsidP="00CE2F7A">
            <w:pPr>
              <w:spacing w:line="240" w:lineRule="auto"/>
              <w:ind w:firstLine="0"/>
            </w:pPr>
            <w:r w:rsidRPr="004D46AC">
              <w:t>0</w:t>
            </w:r>
          </w:p>
        </w:tc>
        <w:tc>
          <w:tcPr>
            <w:tcW w:w="531" w:type="dxa"/>
          </w:tcPr>
          <w:p w14:paraId="6F05D6B4" w14:textId="77777777" w:rsidR="007075D9" w:rsidRPr="004D46AC" w:rsidRDefault="007075D9" w:rsidP="00CE2F7A">
            <w:pPr>
              <w:spacing w:line="240" w:lineRule="auto"/>
              <w:ind w:firstLine="0"/>
              <w:rPr>
                <w:b/>
                <w:bCs/>
              </w:rPr>
            </w:pPr>
            <w:r w:rsidRPr="004D46AC">
              <w:rPr>
                <w:b/>
                <w:bCs/>
              </w:rPr>
              <w:t>.99</w:t>
            </w:r>
          </w:p>
        </w:tc>
        <w:tc>
          <w:tcPr>
            <w:tcW w:w="508" w:type="dxa"/>
          </w:tcPr>
          <w:p w14:paraId="4E0ABB90" w14:textId="77777777" w:rsidR="007075D9" w:rsidRPr="004D46AC" w:rsidRDefault="007075D9" w:rsidP="00CE2F7A">
            <w:pPr>
              <w:spacing w:line="240" w:lineRule="auto"/>
              <w:ind w:firstLine="0"/>
            </w:pPr>
            <w:r w:rsidRPr="004D46AC">
              <w:t>0</w:t>
            </w:r>
          </w:p>
        </w:tc>
        <w:tc>
          <w:tcPr>
            <w:tcW w:w="508" w:type="dxa"/>
          </w:tcPr>
          <w:p w14:paraId="0CCA6D0A" w14:textId="77777777" w:rsidR="007075D9" w:rsidRPr="004D46AC" w:rsidRDefault="007075D9" w:rsidP="00CE2F7A">
            <w:pPr>
              <w:spacing w:line="240" w:lineRule="auto"/>
              <w:ind w:firstLine="0"/>
            </w:pPr>
            <w:r w:rsidRPr="004D46AC">
              <w:t>0</w:t>
            </w:r>
          </w:p>
        </w:tc>
        <w:tc>
          <w:tcPr>
            <w:tcW w:w="508" w:type="dxa"/>
          </w:tcPr>
          <w:p w14:paraId="4CC5D76C" w14:textId="77777777" w:rsidR="007075D9" w:rsidRPr="004D46AC" w:rsidRDefault="007075D9" w:rsidP="00CE2F7A">
            <w:pPr>
              <w:spacing w:line="240" w:lineRule="auto"/>
              <w:ind w:firstLine="0"/>
            </w:pPr>
            <w:r w:rsidRPr="004D46AC">
              <w:t>0</w:t>
            </w:r>
          </w:p>
        </w:tc>
        <w:tc>
          <w:tcPr>
            <w:tcW w:w="508" w:type="dxa"/>
          </w:tcPr>
          <w:p w14:paraId="5CE62C50" w14:textId="77777777" w:rsidR="007075D9" w:rsidRPr="004D46AC" w:rsidRDefault="007075D9" w:rsidP="00CE2F7A">
            <w:pPr>
              <w:spacing w:line="240" w:lineRule="auto"/>
              <w:ind w:firstLine="0"/>
            </w:pPr>
            <w:r w:rsidRPr="004D46AC">
              <w:t>0</w:t>
            </w:r>
          </w:p>
        </w:tc>
        <w:tc>
          <w:tcPr>
            <w:tcW w:w="508" w:type="dxa"/>
          </w:tcPr>
          <w:p w14:paraId="053EF05A" w14:textId="77777777" w:rsidR="007075D9" w:rsidRPr="004D46AC" w:rsidRDefault="007075D9" w:rsidP="00CE2F7A">
            <w:pPr>
              <w:spacing w:line="240" w:lineRule="auto"/>
              <w:ind w:firstLine="0"/>
            </w:pPr>
            <w:r w:rsidRPr="004D46AC">
              <w:t>0</w:t>
            </w:r>
          </w:p>
        </w:tc>
        <w:tc>
          <w:tcPr>
            <w:tcW w:w="508" w:type="dxa"/>
          </w:tcPr>
          <w:p w14:paraId="5A9766C3" w14:textId="77777777" w:rsidR="007075D9" w:rsidRPr="004D46AC" w:rsidRDefault="007075D9" w:rsidP="00CE2F7A">
            <w:pPr>
              <w:spacing w:line="240" w:lineRule="auto"/>
              <w:ind w:firstLine="0"/>
              <w:rPr>
                <w:b/>
                <w:bCs/>
              </w:rPr>
            </w:pPr>
            <w:r w:rsidRPr="004D46AC">
              <w:rPr>
                <w:b/>
                <w:bCs/>
              </w:rPr>
              <w:t>1</w:t>
            </w:r>
          </w:p>
        </w:tc>
      </w:tr>
      <w:tr w:rsidR="007075D9" w:rsidRPr="004D46AC" w14:paraId="54FA9751" w14:textId="77777777" w:rsidTr="00B518F1">
        <w:tc>
          <w:tcPr>
            <w:tcW w:w="661" w:type="dxa"/>
          </w:tcPr>
          <w:p w14:paraId="3DB7F1CD" w14:textId="77777777" w:rsidR="007075D9" w:rsidRPr="004D46AC" w:rsidRDefault="007075D9" w:rsidP="00CE2F7A">
            <w:pPr>
              <w:spacing w:line="240" w:lineRule="auto"/>
              <w:ind w:firstLine="0"/>
            </w:pPr>
            <w:r w:rsidRPr="004D46AC">
              <w:t>M3</w:t>
            </w:r>
          </w:p>
        </w:tc>
        <w:tc>
          <w:tcPr>
            <w:tcW w:w="551" w:type="dxa"/>
          </w:tcPr>
          <w:p w14:paraId="54C40E60" w14:textId="77777777" w:rsidR="007075D9" w:rsidRPr="004D46AC" w:rsidRDefault="007075D9" w:rsidP="00CE2F7A">
            <w:pPr>
              <w:spacing w:line="240" w:lineRule="auto"/>
              <w:ind w:firstLine="0"/>
            </w:pPr>
            <w:r w:rsidRPr="004D46AC">
              <w:t>0</w:t>
            </w:r>
          </w:p>
        </w:tc>
        <w:tc>
          <w:tcPr>
            <w:tcW w:w="551" w:type="dxa"/>
          </w:tcPr>
          <w:p w14:paraId="00686EF7" w14:textId="77777777" w:rsidR="007075D9" w:rsidRPr="004D46AC" w:rsidRDefault="007075D9" w:rsidP="00CE2F7A">
            <w:pPr>
              <w:spacing w:line="240" w:lineRule="auto"/>
              <w:ind w:firstLine="0"/>
            </w:pPr>
            <w:r w:rsidRPr="004D46AC">
              <w:t>0</w:t>
            </w:r>
          </w:p>
        </w:tc>
        <w:tc>
          <w:tcPr>
            <w:tcW w:w="550" w:type="dxa"/>
          </w:tcPr>
          <w:p w14:paraId="4175B766" w14:textId="77777777" w:rsidR="007075D9" w:rsidRPr="004D46AC" w:rsidRDefault="007075D9" w:rsidP="00CE2F7A">
            <w:pPr>
              <w:spacing w:line="240" w:lineRule="auto"/>
              <w:ind w:firstLine="0"/>
              <w:rPr>
                <w:b/>
                <w:bCs/>
              </w:rPr>
            </w:pPr>
            <w:r w:rsidRPr="004D46AC">
              <w:rPr>
                <w:b/>
                <w:bCs/>
              </w:rPr>
              <w:t>1</w:t>
            </w:r>
          </w:p>
        </w:tc>
        <w:tc>
          <w:tcPr>
            <w:tcW w:w="550" w:type="dxa"/>
          </w:tcPr>
          <w:p w14:paraId="5C098A56" w14:textId="77777777" w:rsidR="007075D9" w:rsidRPr="004D46AC" w:rsidRDefault="007075D9" w:rsidP="00CE2F7A">
            <w:pPr>
              <w:spacing w:line="240" w:lineRule="auto"/>
              <w:ind w:firstLine="0"/>
            </w:pPr>
            <w:r w:rsidRPr="004D46AC">
              <w:t>0</w:t>
            </w:r>
          </w:p>
        </w:tc>
        <w:tc>
          <w:tcPr>
            <w:tcW w:w="550" w:type="dxa"/>
          </w:tcPr>
          <w:p w14:paraId="750CFC00" w14:textId="77777777" w:rsidR="007075D9" w:rsidRPr="004D46AC" w:rsidRDefault="007075D9" w:rsidP="00CE2F7A">
            <w:pPr>
              <w:spacing w:line="240" w:lineRule="auto"/>
              <w:ind w:firstLine="0"/>
            </w:pPr>
            <w:r w:rsidRPr="004D46AC">
              <w:t>.01</w:t>
            </w:r>
          </w:p>
        </w:tc>
        <w:tc>
          <w:tcPr>
            <w:tcW w:w="550" w:type="dxa"/>
          </w:tcPr>
          <w:p w14:paraId="0E2C8862" w14:textId="77777777" w:rsidR="007075D9" w:rsidRPr="004D46AC" w:rsidRDefault="007075D9" w:rsidP="00CE2F7A">
            <w:pPr>
              <w:spacing w:line="240" w:lineRule="auto"/>
              <w:ind w:firstLine="0"/>
              <w:rPr>
                <w:b/>
                <w:bCs/>
              </w:rPr>
            </w:pPr>
            <w:r w:rsidRPr="004D46AC">
              <w:rPr>
                <w:b/>
                <w:bCs/>
              </w:rPr>
              <w:t>.98</w:t>
            </w:r>
          </w:p>
        </w:tc>
        <w:tc>
          <w:tcPr>
            <w:tcW w:w="532" w:type="dxa"/>
          </w:tcPr>
          <w:p w14:paraId="5D78DF28" w14:textId="77777777" w:rsidR="007075D9" w:rsidRPr="004D46AC" w:rsidRDefault="007075D9" w:rsidP="00CE2F7A">
            <w:pPr>
              <w:spacing w:line="240" w:lineRule="auto"/>
              <w:ind w:firstLine="0"/>
            </w:pPr>
            <w:r w:rsidRPr="004D46AC">
              <w:t>0</w:t>
            </w:r>
          </w:p>
        </w:tc>
        <w:tc>
          <w:tcPr>
            <w:tcW w:w="531" w:type="dxa"/>
          </w:tcPr>
          <w:p w14:paraId="0115ED48" w14:textId="77777777" w:rsidR="007075D9" w:rsidRPr="004D46AC" w:rsidRDefault="007075D9" w:rsidP="00CE2F7A">
            <w:pPr>
              <w:spacing w:line="240" w:lineRule="auto"/>
              <w:ind w:firstLine="0"/>
            </w:pPr>
            <w:r w:rsidRPr="004D46AC">
              <w:t>.01</w:t>
            </w:r>
          </w:p>
        </w:tc>
        <w:tc>
          <w:tcPr>
            <w:tcW w:w="532" w:type="dxa"/>
          </w:tcPr>
          <w:p w14:paraId="413C9E46" w14:textId="77777777" w:rsidR="007075D9" w:rsidRPr="004D46AC" w:rsidRDefault="007075D9" w:rsidP="00CE2F7A">
            <w:pPr>
              <w:spacing w:line="240" w:lineRule="auto"/>
              <w:ind w:firstLine="0"/>
            </w:pPr>
            <w:r w:rsidRPr="004D46AC">
              <w:t>.01</w:t>
            </w:r>
          </w:p>
        </w:tc>
        <w:tc>
          <w:tcPr>
            <w:tcW w:w="531" w:type="dxa"/>
          </w:tcPr>
          <w:p w14:paraId="4D90C955" w14:textId="77777777" w:rsidR="007075D9" w:rsidRPr="004D46AC" w:rsidRDefault="007075D9" w:rsidP="00CE2F7A">
            <w:pPr>
              <w:spacing w:line="240" w:lineRule="auto"/>
              <w:ind w:firstLine="0"/>
              <w:rPr>
                <w:b/>
                <w:bCs/>
              </w:rPr>
            </w:pPr>
            <w:r w:rsidRPr="004D46AC">
              <w:rPr>
                <w:b/>
                <w:bCs/>
              </w:rPr>
              <w:t>.94</w:t>
            </w:r>
          </w:p>
        </w:tc>
        <w:tc>
          <w:tcPr>
            <w:tcW w:w="508" w:type="dxa"/>
          </w:tcPr>
          <w:p w14:paraId="4688A861" w14:textId="77777777" w:rsidR="007075D9" w:rsidRPr="004D46AC" w:rsidRDefault="007075D9" w:rsidP="00CE2F7A">
            <w:pPr>
              <w:spacing w:line="240" w:lineRule="auto"/>
              <w:ind w:firstLine="0"/>
            </w:pPr>
            <w:r w:rsidRPr="004D46AC">
              <w:t>0</w:t>
            </w:r>
          </w:p>
        </w:tc>
        <w:tc>
          <w:tcPr>
            <w:tcW w:w="508" w:type="dxa"/>
          </w:tcPr>
          <w:p w14:paraId="03B07DAA" w14:textId="77777777" w:rsidR="007075D9" w:rsidRPr="004D46AC" w:rsidRDefault="007075D9" w:rsidP="00CE2F7A">
            <w:pPr>
              <w:spacing w:line="240" w:lineRule="auto"/>
              <w:ind w:firstLine="0"/>
            </w:pPr>
            <w:r w:rsidRPr="004D46AC">
              <w:t>0</w:t>
            </w:r>
          </w:p>
        </w:tc>
        <w:tc>
          <w:tcPr>
            <w:tcW w:w="508" w:type="dxa"/>
          </w:tcPr>
          <w:p w14:paraId="24D18FDE" w14:textId="77777777" w:rsidR="007075D9" w:rsidRPr="004D46AC" w:rsidRDefault="007075D9" w:rsidP="00CE2F7A">
            <w:pPr>
              <w:spacing w:line="240" w:lineRule="auto"/>
              <w:ind w:firstLine="0"/>
            </w:pPr>
            <w:r w:rsidRPr="004D46AC">
              <w:t>0</w:t>
            </w:r>
          </w:p>
        </w:tc>
        <w:tc>
          <w:tcPr>
            <w:tcW w:w="508" w:type="dxa"/>
          </w:tcPr>
          <w:p w14:paraId="1688F877" w14:textId="77777777" w:rsidR="007075D9" w:rsidRPr="004D46AC" w:rsidRDefault="007075D9" w:rsidP="00CE2F7A">
            <w:pPr>
              <w:spacing w:line="240" w:lineRule="auto"/>
              <w:ind w:firstLine="0"/>
            </w:pPr>
            <w:r w:rsidRPr="004D46AC">
              <w:t>0</w:t>
            </w:r>
          </w:p>
        </w:tc>
        <w:tc>
          <w:tcPr>
            <w:tcW w:w="508" w:type="dxa"/>
          </w:tcPr>
          <w:p w14:paraId="1FB0A547" w14:textId="77777777" w:rsidR="007075D9" w:rsidRPr="004D46AC" w:rsidRDefault="007075D9" w:rsidP="00CE2F7A">
            <w:pPr>
              <w:spacing w:line="240" w:lineRule="auto"/>
              <w:ind w:firstLine="0"/>
            </w:pPr>
            <w:r w:rsidRPr="004D46AC">
              <w:t>0</w:t>
            </w:r>
          </w:p>
        </w:tc>
        <w:tc>
          <w:tcPr>
            <w:tcW w:w="508" w:type="dxa"/>
          </w:tcPr>
          <w:p w14:paraId="56C16989" w14:textId="77777777" w:rsidR="007075D9" w:rsidRPr="004D46AC" w:rsidRDefault="007075D9" w:rsidP="00CE2F7A">
            <w:pPr>
              <w:spacing w:line="240" w:lineRule="auto"/>
              <w:ind w:firstLine="0"/>
              <w:rPr>
                <w:b/>
                <w:bCs/>
              </w:rPr>
            </w:pPr>
            <w:r w:rsidRPr="004D46AC">
              <w:rPr>
                <w:b/>
                <w:bCs/>
              </w:rPr>
              <w:t>1</w:t>
            </w:r>
          </w:p>
        </w:tc>
      </w:tr>
      <w:tr w:rsidR="007075D9" w:rsidRPr="004D46AC" w14:paraId="1D3511D5" w14:textId="77777777" w:rsidTr="00B518F1">
        <w:tc>
          <w:tcPr>
            <w:tcW w:w="661" w:type="dxa"/>
          </w:tcPr>
          <w:p w14:paraId="2C8BE381" w14:textId="77777777" w:rsidR="007075D9" w:rsidRPr="004D46AC" w:rsidRDefault="007075D9" w:rsidP="00CE2F7A">
            <w:pPr>
              <w:spacing w:line="240" w:lineRule="auto"/>
              <w:ind w:firstLine="0"/>
            </w:pPr>
            <w:r w:rsidRPr="004D46AC">
              <w:t>M5</w:t>
            </w:r>
          </w:p>
        </w:tc>
        <w:tc>
          <w:tcPr>
            <w:tcW w:w="551" w:type="dxa"/>
          </w:tcPr>
          <w:p w14:paraId="0DA3A6FB" w14:textId="77777777" w:rsidR="007075D9" w:rsidRPr="004D46AC" w:rsidRDefault="007075D9" w:rsidP="00CE2F7A">
            <w:pPr>
              <w:spacing w:line="240" w:lineRule="auto"/>
              <w:ind w:firstLine="0"/>
            </w:pPr>
            <w:r w:rsidRPr="004D46AC">
              <w:t>0</w:t>
            </w:r>
          </w:p>
        </w:tc>
        <w:tc>
          <w:tcPr>
            <w:tcW w:w="551" w:type="dxa"/>
          </w:tcPr>
          <w:p w14:paraId="5A4999DD" w14:textId="77777777" w:rsidR="007075D9" w:rsidRPr="004D46AC" w:rsidRDefault="007075D9" w:rsidP="00CE2F7A">
            <w:pPr>
              <w:spacing w:line="240" w:lineRule="auto"/>
              <w:ind w:firstLine="0"/>
            </w:pPr>
            <w:r w:rsidRPr="004D46AC">
              <w:t>0</w:t>
            </w:r>
          </w:p>
        </w:tc>
        <w:tc>
          <w:tcPr>
            <w:tcW w:w="550" w:type="dxa"/>
          </w:tcPr>
          <w:p w14:paraId="54A09358" w14:textId="77777777" w:rsidR="007075D9" w:rsidRPr="004D46AC" w:rsidRDefault="007075D9" w:rsidP="00CE2F7A">
            <w:pPr>
              <w:spacing w:line="240" w:lineRule="auto"/>
              <w:ind w:firstLine="0"/>
              <w:rPr>
                <w:b/>
                <w:bCs/>
              </w:rPr>
            </w:pPr>
            <w:r w:rsidRPr="004D46AC">
              <w:rPr>
                <w:b/>
                <w:bCs/>
              </w:rPr>
              <w:t>1</w:t>
            </w:r>
          </w:p>
        </w:tc>
        <w:tc>
          <w:tcPr>
            <w:tcW w:w="550" w:type="dxa"/>
          </w:tcPr>
          <w:p w14:paraId="2F416B90" w14:textId="77777777" w:rsidR="007075D9" w:rsidRPr="004D46AC" w:rsidRDefault="007075D9" w:rsidP="00CE2F7A">
            <w:pPr>
              <w:spacing w:line="240" w:lineRule="auto"/>
              <w:ind w:firstLine="0"/>
            </w:pPr>
            <w:r w:rsidRPr="004D46AC">
              <w:t>0</w:t>
            </w:r>
          </w:p>
        </w:tc>
        <w:tc>
          <w:tcPr>
            <w:tcW w:w="550" w:type="dxa"/>
          </w:tcPr>
          <w:p w14:paraId="7BC84FEC" w14:textId="77777777" w:rsidR="007075D9" w:rsidRPr="004D46AC" w:rsidRDefault="007075D9" w:rsidP="00CE2F7A">
            <w:pPr>
              <w:spacing w:line="240" w:lineRule="auto"/>
              <w:ind w:firstLine="0"/>
            </w:pPr>
            <w:r w:rsidRPr="004D46AC">
              <w:t>.05</w:t>
            </w:r>
          </w:p>
        </w:tc>
        <w:tc>
          <w:tcPr>
            <w:tcW w:w="550" w:type="dxa"/>
          </w:tcPr>
          <w:p w14:paraId="4EAEFE0E" w14:textId="77777777" w:rsidR="007075D9" w:rsidRPr="004D46AC" w:rsidRDefault="007075D9" w:rsidP="00CE2F7A">
            <w:pPr>
              <w:spacing w:line="240" w:lineRule="auto"/>
              <w:ind w:firstLine="0"/>
              <w:rPr>
                <w:b/>
                <w:bCs/>
              </w:rPr>
            </w:pPr>
            <w:r w:rsidRPr="004D46AC">
              <w:rPr>
                <w:b/>
                <w:bCs/>
              </w:rPr>
              <w:t>.89</w:t>
            </w:r>
          </w:p>
        </w:tc>
        <w:tc>
          <w:tcPr>
            <w:tcW w:w="532" w:type="dxa"/>
          </w:tcPr>
          <w:p w14:paraId="2A553987" w14:textId="77777777" w:rsidR="007075D9" w:rsidRPr="004D46AC" w:rsidRDefault="007075D9" w:rsidP="00CE2F7A">
            <w:pPr>
              <w:spacing w:line="240" w:lineRule="auto"/>
              <w:ind w:firstLine="0"/>
            </w:pPr>
            <w:r w:rsidRPr="004D46AC">
              <w:t>0</w:t>
            </w:r>
          </w:p>
        </w:tc>
        <w:tc>
          <w:tcPr>
            <w:tcW w:w="531" w:type="dxa"/>
          </w:tcPr>
          <w:p w14:paraId="228CACBD" w14:textId="77777777" w:rsidR="007075D9" w:rsidRPr="004D46AC" w:rsidRDefault="007075D9" w:rsidP="00CE2F7A">
            <w:pPr>
              <w:spacing w:line="240" w:lineRule="auto"/>
              <w:ind w:firstLine="0"/>
            </w:pPr>
            <w:r w:rsidRPr="004D46AC">
              <w:t>.02</w:t>
            </w:r>
          </w:p>
        </w:tc>
        <w:tc>
          <w:tcPr>
            <w:tcW w:w="532" w:type="dxa"/>
          </w:tcPr>
          <w:p w14:paraId="09CB8716" w14:textId="77777777" w:rsidR="007075D9" w:rsidRPr="004D46AC" w:rsidRDefault="007075D9" w:rsidP="00CE2F7A">
            <w:pPr>
              <w:spacing w:line="240" w:lineRule="auto"/>
              <w:ind w:firstLine="0"/>
            </w:pPr>
            <w:r w:rsidRPr="004D46AC">
              <w:t>0</w:t>
            </w:r>
          </w:p>
        </w:tc>
        <w:tc>
          <w:tcPr>
            <w:tcW w:w="531" w:type="dxa"/>
          </w:tcPr>
          <w:p w14:paraId="600A01D9" w14:textId="77777777" w:rsidR="007075D9" w:rsidRPr="004D46AC" w:rsidRDefault="007075D9" w:rsidP="00CE2F7A">
            <w:pPr>
              <w:spacing w:line="240" w:lineRule="auto"/>
              <w:ind w:firstLine="0"/>
              <w:rPr>
                <w:b/>
                <w:bCs/>
              </w:rPr>
            </w:pPr>
            <w:r w:rsidRPr="004D46AC">
              <w:rPr>
                <w:b/>
                <w:bCs/>
              </w:rPr>
              <w:t>.90</w:t>
            </w:r>
          </w:p>
        </w:tc>
        <w:tc>
          <w:tcPr>
            <w:tcW w:w="508" w:type="dxa"/>
          </w:tcPr>
          <w:p w14:paraId="7AF5DE23" w14:textId="77777777" w:rsidR="007075D9" w:rsidRPr="004D46AC" w:rsidRDefault="007075D9" w:rsidP="00CE2F7A">
            <w:pPr>
              <w:spacing w:line="240" w:lineRule="auto"/>
              <w:ind w:firstLine="0"/>
            </w:pPr>
            <w:r w:rsidRPr="004D46AC">
              <w:t>0</w:t>
            </w:r>
          </w:p>
        </w:tc>
        <w:tc>
          <w:tcPr>
            <w:tcW w:w="508" w:type="dxa"/>
          </w:tcPr>
          <w:p w14:paraId="4557CBAB" w14:textId="77777777" w:rsidR="007075D9" w:rsidRPr="004D46AC" w:rsidRDefault="007075D9" w:rsidP="00CE2F7A">
            <w:pPr>
              <w:spacing w:line="240" w:lineRule="auto"/>
              <w:ind w:firstLine="0"/>
            </w:pPr>
            <w:r w:rsidRPr="004D46AC">
              <w:t>0</w:t>
            </w:r>
          </w:p>
        </w:tc>
        <w:tc>
          <w:tcPr>
            <w:tcW w:w="508" w:type="dxa"/>
          </w:tcPr>
          <w:p w14:paraId="542D28C6" w14:textId="77777777" w:rsidR="007075D9" w:rsidRPr="004D46AC" w:rsidRDefault="007075D9" w:rsidP="00CE2F7A">
            <w:pPr>
              <w:spacing w:line="240" w:lineRule="auto"/>
              <w:ind w:firstLine="0"/>
            </w:pPr>
            <w:r w:rsidRPr="004D46AC">
              <w:t>0</w:t>
            </w:r>
          </w:p>
        </w:tc>
        <w:tc>
          <w:tcPr>
            <w:tcW w:w="508" w:type="dxa"/>
          </w:tcPr>
          <w:p w14:paraId="638222F9" w14:textId="77777777" w:rsidR="007075D9" w:rsidRPr="004D46AC" w:rsidRDefault="007075D9" w:rsidP="00CE2F7A">
            <w:pPr>
              <w:spacing w:line="240" w:lineRule="auto"/>
              <w:ind w:firstLine="0"/>
            </w:pPr>
            <w:r w:rsidRPr="004D46AC">
              <w:t>0</w:t>
            </w:r>
          </w:p>
        </w:tc>
        <w:tc>
          <w:tcPr>
            <w:tcW w:w="508" w:type="dxa"/>
          </w:tcPr>
          <w:p w14:paraId="12848BA4" w14:textId="77777777" w:rsidR="007075D9" w:rsidRPr="004D46AC" w:rsidRDefault="007075D9" w:rsidP="00CE2F7A">
            <w:pPr>
              <w:spacing w:line="240" w:lineRule="auto"/>
              <w:ind w:firstLine="0"/>
            </w:pPr>
            <w:r w:rsidRPr="004D46AC">
              <w:t>0</w:t>
            </w:r>
          </w:p>
        </w:tc>
        <w:tc>
          <w:tcPr>
            <w:tcW w:w="508" w:type="dxa"/>
          </w:tcPr>
          <w:p w14:paraId="01EDDC9D" w14:textId="77777777" w:rsidR="007075D9" w:rsidRPr="004D46AC" w:rsidRDefault="007075D9" w:rsidP="00CE2F7A">
            <w:pPr>
              <w:spacing w:line="240" w:lineRule="auto"/>
              <w:ind w:firstLine="0"/>
              <w:rPr>
                <w:b/>
                <w:bCs/>
              </w:rPr>
            </w:pPr>
            <w:r w:rsidRPr="004D46AC">
              <w:rPr>
                <w:b/>
                <w:bCs/>
              </w:rPr>
              <w:t>1</w:t>
            </w:r>
          </w:p>
        </w:tc>
      </w:tr>
      <w:tr w:rsidR="007075D9" w:rsidRPr="004D46AC" w14:paraId="3E9CC4F7" w14:textId="77777777" w:rsidTr="00B518F1">
        <w:tc>
          <w:tcPr>
            <w:tcW w:w="661" w:type="dxa"/>
          </w:tcPr>
          <w:p w14:paraId="17F9E4F6" w14:textId="77777777" w:rsidR="007075D9" w:rsidRPr="004D46AC" w:rsidRDefault="007075D9" w:rsidP="00CE2F7A">
            <w:pPr>
              <w:spacing w:line="240" w:lineRule="auto"/>
              <w:ind w:firstLine="0"/>
            </w:pPr>
            <w:r w:rsidRPr="004D46AC">
              <w:t>M6</w:t>
            </w:r>
          </w:p>
        </w:tc>
        <w:tc>
          <w:tcPr>
            <w:tcW w:w="551" w:type="dxa"/>
          </w:tcPr>
          <w:p w14:paraId="68D16DE8" w14:textId="77777777" w:rsidR="007075D9" w:rsidRPr="004D46AC" w:rsidRDefault="007075D9" w:rsidP="00CE2F7A">
            <w:pPr>
              <w:spacing w:line="240" w:lineRule="auto"/>
              <w:ind w:firstLine="0"/>
            </w:pPr>
            <w:r w:rsidRPr="004D46AC">
              <w:t>0</w:t>
            </w:r>
          </w:p>
        </w:tc>
        <w:tc>
          <w:tcPr>
            <w:tcW w:w="551" w:type="dxa"/>
          </w:tcPr>
          <w:p w14:paraId="4572547E" w14:textId="77777777" w:rsidR="007075D9" w:rsidRPr="004D46AC" w:rsidRDefault="007075D9" w:rsidP="00CE2F7A">
            <w:pPr>
              <w:spacing w:line="240" w:lineRule="auto"/>
              <w:ind w:firstLine="0"/>
            </w:pPr>
            <w:r w:rsidRPr="004D46AC">
              <w:t>0</w:t>
            </w:r>
          </w:p>
        </w:tc>
        <w:tc>
          <w:tcPr>
            <w:tcW w:w="550" w:type="dxa"/>
          </w:tcPr>
          <w:p w14:paraId="4E203F3D" w14:textId="77777777" w:rsidR="007075D9" w:rsidRPr="004D46AC" w:rsidRDefault="007075D9" w:rsidP="00CE2F7A">
            <w:pPr>
              <w:spacing w:line="240" w:lineRule="auto"/>
              <w:ind w:firstLine="0"/>
              <w:rPr>
                <w:b/>
                <w:bCs/>
              </w:rPr>
            </w:pPr>
            <w:r w:rsidRPr="004D46AC">
              <w:rPr>
                <w:b/>
                <w:bCs/>
              </w:rPr>
              <w:t>1</w:t>
            </w:r>
          </w:p>
        </w:tc>
        <w:tc>
          <w:tcPr>
            <w:tcW w:w="550" w:type="dxa"/>
          </w:tcPr>
          <w:p w14:paraId="4626DC5B" w14:textId="77777777" w:rsidR="007075D9" w:rsidRPr="004D46AC" w:rsidRDefault="007075D9" w:rsidP="00CE2F7A">
            <w:pPr>
              <w:spacing w:line="240" w:lineRule="auto"/>
              <w:ind w:firstLine="0"/>
            </w:pPr>
            <w:r w:rsidRPr="004D46AC">
              <w:t>0</w:t>
            </w:r>
          </w:p>
        </w:tc>
        <w:tc>
          <w:tcPr>
            <w:tcW w:w="550" w:type="dxa"/>
          </w:tcPr>
          <w:p w14:paraId="5BE056B0" w14:textId="77777777" w:rsidR="007075D9" w:rsidRPr="004D46AC" w:rsidRDefault="007075D9" w:rsidP="00CE2F7A">
            <w:pPr>
              <w:spacing w:line="240" w:lineRule="auto"/>
              <w:ind w:firstLine="0"/>
            </w:pPr>
            <w:r w:rsidRPr="004D46AC">
              <w:t>.01</w:t>
            </w:r>
          </w:p>
        </w:tc>
        <w:tc>
          <w:tcPr>
            <w:tcW w:w="550" w:type="dxa"/>
          </w:tcPr>
          <w:p w14:paraId="486A90A7" w14:textId="77777777" w:rsidR="007075D9" w:rsidRPr="004D46AC" w:rsidRDefault="007075D9" w:rsidP="00CE2F7A">
            <w:pPr>
              <w:spacing w:line="240" w:lineRule="auto"/>
              <w:ind w:firstLine="0"/>
              <w:rPr>
                <w:b/>
                <w:bCs/>
              </w:rPr>
            </w:pPr>
            <w:r w:rsidRPr="004D46AC">
              <w:rPr>
                <w:b/>
                <w:bCs/>
              </w:rPr>
              <w:t>.97</w:t>
            </w:r>
          </w:p>
        </w:tc>
        <w:tc>
          <w:tcPr>
            <w:tcW w:w="532" w:type="dxa"/>
          </w:tcPr>
          <w:p w14:paraId="3B3C3407" w14:textId="77777777" w:rsidR="007075D9" w:rsidRPr="004D46AC" w:rsidRDefault="007075D9" w:rsidP="00CE2F7A">
            <w:pPr>
              <w:spacing w:line="240" w:lineRule="auto"/>
              <w:ind w:firstLine="0"/>
            </w:pPr>
            <w:r w:rsidRPr="004D46AC">
              <w:t>0</w:t>
            </w:r>
          </w:p>
        </w:tc>
        <w:tc>
          <w:tcPr>
            <w:tcW w:w="531" w:type="dxa"/>
          </w:tcPr>
          <w:p w14:paraId="0FA4D6D3" w14:textId="77777777" w:rsidR="007075D9" w:rsidRPr="004D46AC" w:rsidRDefault="007075D9" w:rsidP="00CE2F7A">
            <w:pPr>
              <w:spacing w:line="240" w:lineRule="auto"/>
              <w:ind w:firstLine="0"/>
            </w:pPr>
            <w:r w:rsidRPr="004D46AC">
              <w:t>0</w:t>
            </w:r>
          </w:p>
        </w:tc>
        <w:tc>
          <w:tcPr>
            <w:tcW w:w="532" w:type="dxa"/>
          </w:tcPr>
          <w:p w14:paraId="41D20DCE" w14:textId="77777777" w:rsidR="007075D9" w:rsidRPr="004D46AC" w:rsidRDefault="007075D9" w:rsidP="00CE2F7A">
            <w:pPr>
              <w:spacing w:line="240" w:lineRule="auto"/>
              <w:ind w:firstLine="0"/>
            </w:pPr>
            <w:r w:rsidRPr="004D46AC">
              <w:t>0</w:t>
            </w:r>
          </w:p>
        </w:tc>
        <w:tc>
          <w:tcPr>
            <w:tcW w:w="531" w:type="dxa"/>
          </w:tcPr>
          <w:p w14:paraId="326877AC" w14:textId="77777777" w:rsidR="007075D9" w:rsidRPr="004D46AC" w:rsidRDefault="007075D9" w:rsidP="00CE2F7A">
            <w:pPr>
              <w:spacing w:line="240" w:lineRule="auto"/>
              <w:ind w:firstLine="0"/>
              <w:rPr>
                <w:b/>
                <w:bCs/>
              </w:rPr>
            </w:pPr>
            <w:r w:rsidRPr="004D46AC">
              <w:rPr>
                <w:b/>
                <w:bCs/>
              </w:rPr>
              <w:t>.97</w:t>
            </w:r>
          </w:p>
        </w:tc>
        <w:tc>
          <w:tcPr>
            <w:tcW w:w="508" w:type="dxa"/>
          </w:tcPr>
          <w:p w14:paraId="6CC3C12C" w14:textId="77777777" w:rsidR="007075D9" w:rsidRPr="004D46AC" w:rsidRDefault="007075D9" w:rsidP="00CE2F7A">
            <w:pPr>
              <w:spacing w:line="240" w:lineRule="auto"/>
              <w:ind w:firstLine="0"/>
            </w:pPr>
            <w:r w:rsidRPr="004D46AC">
              <w:t>0</w:t>
            </w:r>
          </w:p>
        </w:tc>
        <w:tc>
          <w:tcPr>
            <w:tcW w:w="508" w:type="dxa"/>
          </w:tcPr>
          <w:p w14:paraId="2CD69DF6" w14:textId="77777777" w:rsidR="007075D9" w:rsidRPr="004D46AC" w:rsidRDefault="007075D9" w:rsidP="00CE2F7A">
            <w:pPr>
              <w:spacing w:line="240" w:lineRule="auto"/>
              <w:ind w:firstLine="0"/>
            </w:pPr>
            <w:r w:rsidRPr="004D46AC">
              <w:t>.01</w:t>
            </w:r>
          </w:p>
        </w:tc>
        <w:tc>
          <w:tcPr>
            <w:tcW w:w="508" w:type="dxa"/>
          </w:tcPr>
          <w:p w14:paraId="4076AC47" w14:textId="77777777" w:rsidR="007075D9" w:rsidRPr="004D46AC" w:rsidRDefault="007075D9" w:rsidP="00CE2F7A">
            <w:pPr>
              <w:spacing w:line="240" w:lineRule="auto"/>
              <w:ind w:firstLine="0"/>
            </w:pPr>
            <w:r w:rsidRPr="004D46AC">
              <w:t>.01</w:t>
            </w:r>
          </w:p>
        </w:tc>
        <w:tc>
          <w:tcPr>
            <w:tcW w:w="508" w:type="dxa"/>
          </w:tcPr>
          <w:p w14:paraId="23BBE554" w14:textId="77777777" w:rsidR="007075D9" w:rsidRPr="004D46AC" w:rsidRDefault="007075D9" w:rsidP="00CE2F7A">
            <w:pPr>
              <w:spacing w:line="240" w:lineRule="auto"/>
              <w:ind w:firstLine="0"/>
            </w:pPr>
            <w:r w:rsidRPr="004D46AC">
              <w:t>0</w:t>
            </w:r>
          </w:p>
        </w:tc>
        <w:tc>
          <w:tcPr>
            <w:tcW w:w="508" w:type="dxa"/>
          </w:tcPr>
          <w:p w14:paraId="7A599091" w14:textId="77777777" w:rsidR="007075D9" w:rsidRPr="004D46AC" w:rsidRDefault="007075D9" w:rsidP="00CE2F7A">
            <w:pPr>
              <w:spacing w:line="240" w:lineRule="auto"/>
              <w:ind w:firstLine="0"/>
            </w:pPr>
            <w:r w:rsidRPr="004D46AC">
              <w:t>0</w:t>
            </w:r>
          </w:p>
        </w:tc>
        <w:tc>
          <w:tcPr>
            <w:tcW w:w="508" w:type="dxa"/>
          </w:tcPr>
          <w:p w14:paraId="590C0EB3" w14:textId="77777777" w:rsidR="007075D9" w:rsidRPr="004D46AC" w:rsidRDefault="007075D9" w:rsidP="00CE2F7A">
            <w:pPr>
              <w:spacing w:line="240" w:lineRule="auto"/>
              <w:ind w:firstLine="0"/>
              <w:rPr>
                <w:b/>
                <w:bCs/>
              </w:rPr>
            </w:pPr>
            <w:r w:rsidRPr="004D46AC">
              <w:rPr>
                <w:b/>
                <w:bCs/>
              </w:rPr>
              <w:t>.98</w:t>
            </w:r>
          </w:p>
        </w:tc>
      </w:tr>
      <w:tr w:rsidR="007075D9" w:rsidRPr="004D46AC" w14:paraId="14BFD3F8" w14:textId="77777777" w:rsidTr="00B518F1">
        <w:tc>
          <w:tcPr>
            <w:tcW w:w="661" w:type="dxa"/>
          </w:tcPr>
          <w:p w14:paraId="1F3D0CB4" w14:textId="77777777" w:rsidR="007075D9" w:rsidRPr="004D46AC" w:rsidRDefault="007075D9" w:rsidP="00CE2F7A">
            <w:pPr>
              <w:spacing w:line="240" w:lineRule="auto"/>
              <w:ind w:firstLine="0"/>
            </w:pPr>
            <w:r w:rsidRPr="004D46AC">
              <w:t>M7</w:t>
            </w:r>
          </w:p>
        </w:tc>
        <w:tc>
          <w:tcPr>
            <w:tcW w:w="551" w:type="dxa"/>
          </w:tcPr>
          <w:p w14:paraId="041D081F" w14:textId="77777777" w:rsidR="007075D9" w:rsidRPr="004D46AC" w:rsidRDefault="007075D9" w:rsidP="00CE2F7A">
            <w:pPr>
              <w:spacing w:line="240" w:lineRule="auto"/>
              <w:ind w:firstLine="0"/>
            </w:pPr>
            <w:r w:rsidRPr="004D46AC">
              <w:t>0</w:t>
            </w:r>
          </w:p>
        </w:tc>
        <w:tc>
          <w:tcPr>
            <w:tcW w:w="551" w:type="dxa"/>
          </w:tcPr>
          <w:p w14:paraId="68CD3F9D" w14:textId="77777777" w:rsidR="007075D9" w:rsidRPr="004D46AC" w:rsidRDefault="007075D9" w:rsidP="00CE2F7A">
            <w:pPr>
              <w:spacing w:line="240" w:lineRule="auto"/>
              <w:ind w:firstLine="0"/>
            </w:pPr>
            <w:r w:rsidRPr="004D46AC">
              <w:t>0</w:t>
            </w:r>
          </w:p>
        </w:tc>
        <w:tc>
          <w:tcPr>
            <w:tcW w:w="550" w:type="dxa"/>
          </w:tcPr>
          <w:p w14:paraId="250E4646" w14:textId="77777777" w:rsidR="007075D9" w:rsidRPr="004D46AC" w:rsidRDefault="007075D9" w:rsidP="00CE2F7A">
            <w:pPr>
              <w:spacing w:line="240" w:lineRule="auto"/>
              <w:ind w:firstLine="0"/>
              <w:rPr>
                <w:b/>
                <w:bCs/>
              </w:rPr>
            </w:pPr>
            <w:r w:rsidRPr="004D46AC">
              <w:rPr>
                <w:b/>
                <w:bCs/>
              </w:rPr>
              <w:t>1</w:t>
            </w:r>
          </w:p>
        </w:tc>
        <w:tc>
          <w:tcPr>
            <w:tcW w:w="550" w:type="dxa"/>
          </w:tcPr>
          <w:p w14:paraId="2FAAB5E9" w14:textId="77777777" w:rsidR="007075D9" w:rsidRPr="004D46AC" w:rsidRDefault="007075D9" w:rsidP="00CE2F7A">
            <w:pPr>
              <w:spacing w:line="240" w:lineRule="auto"/>
              <w:ind w:firstLine="0"/>
            </w:pPr>
            <w:r w:rsidRPr="004D46AC">
              <w:t>0</w:t>
            </w:r>
          </w:p>
        </w:tc>
        <w:tc>
          <w:tcPr>
            <w:tcW w:w="550" w:type="dxa"/>
          </w:tcPr>
          <w:p w14:paraId="43117440" w14:textId="77777777" w:rsidR="007075D9" w:rsidRPr="004D46AC" w:rsidRDefault="007075D9" w:rsidP="00CE2F7A">
            <w:pPr>
              <w:spacing w:line="240" w:lineRule="auto"/>
              <w:ind w:firstLine="0"/>
            </w:pPr>
            <w:r w:rsidRPr="004D46AC">
              <w:t>0</w:t>
            </w:r>
          </w:p>
        </w:tc>
        <w:tc>
          <w:tcPr>
            <w:tcW w:w="550" w:type="dxa"/>
          </w:tcPr>
          <w:p w14:paraId="0FA59578" w14:textId="77777777" w:rsidR="007075D9" w:rsidRPr="004D46AC" w:rsidRDefault="007075D9" w:rsidP="00CE2F7A">
            <w:pPr>
              <w:spacing w:line="240" w:lineRule="auto"/>
              <w:ind w:firstLine="0"/>
              <w:rPr>
                <w:b/>
                <w:bCs/>
              </w:rPr>
            </w:pPr>
            <w:r w:rsidRPr="004D46AC">
              <w:rPr>
                <w:b/>
                <w:bCs/>
              </w:rPr>
              <w:t>.97</w:t>
            </w:r>
          </w:p>
        </w:tc>
        <w:tc>
          <w:tcPr>
            <w:tcW w:w="532" w:type="dxa"/>
          </w:tcPr>
          <w:p w14:paraId="5E63C461" w14:textId="77777777" w:rsidR="007075D9" w:rsidRPr="004D46AC" w:rsidRDefault="007075D9" w:rsidP="00CE2F7A">
            <w:pPr>
              <w:spacing w:line="240" w:lineRule="auto"/>
              <w:ind w:firstLine="0"/>
            </w:pPr>
            <w:r w:rsidRPr="004D46AC">
              <w:t>0</w:t>
            </w:r>
          </w:p>
        </w:tc>
        <w:tc>
          <w:tcPr>
            <w:tcW w:w="531" w:type="dxa"/>
          </w:tcPr>
          <w:p w14:paraId="3471A863" w14:textId="77777777" w:rsidR="007075D9" w:rsidRPr="004D46AC" w:rsidRDefault="007075D9" w:rsidP="00CE2F7A">
            <w:pPr>
              <w:spacing w:line="240" w:lineRule="auto"/>
              <w:ind w:firstLine="0"/>
            </w:pPr>
            <w:r w:rsidRPr="004D46AC">
              <w:t>0</w:t>
            </w:r>
          </w:p>
        </w:tc>
        <w:tc>
          <w:tcPr>
            <w:tcW w:w="532" w:type="dxa"/>
          </w:tcPr>
          <w:p w14:paraId="0755AE11" w14:textId="77777777" w:rsidR="007075D9" w:rsidRPr="004D46AC" w:rsidRDefault="007075D9" w:rsidP="00CE2F7A">
            <w:pPr>
              <w:spacing w:line="240" w:lineRule="auto"/>
              <w:ind w:firstLine="0"/>
            </w:pPr>
            <w:r w:rsidRPr="004D46AC">
              <w:t>0</w:t>
            </w:r>
          </w:p>
        </w:tc>
        <w:tc>
          <w:tcPr>
            <w:tcW w:w="531" w:type="dxa"/>
          </w:tcPr>
          <w:p w14:paraId="7D037C51" w14:textId="77777777" w:rsidR="007075D9" w:rsidRPr="004D46AC" w:rsidRDefault="007075D9" w:rsidP="00CE2F7A">
            <w:pPr>
              <w:spacing w:line="240" w:lineRule="auto"/>
              <w:ind w:firstLine="0"/>
              <w:rPr>
                <w:b/>
                <w:bCs/>
              </w:rPr>
            </w:pPr>
            <w:r w:rsidRPr="004D46AC">
              <w:rPr>
                <w:b/>
                <w:bCs/>
              </w:rPr>
              <w:t>.99</w:t>
            </w:r>
          </w:p>
        </w:tc>
        <w:tc>
          <w:tcPr>
            <w:tcW w:w="508" w:type="dxa"/>
          </w:tcPr>
          <w:p w14:paraId="09C52DD5" w14:textId="77777777" w:rsidR="007075D9" w:rsidRPr="004D46AC" w:rsidRDefault="007075D9" w:rsidP="00CE2F7A">
            <w:pPr>
              <w:spacing w:line="240" w:lineRule="auto"/>
              <w:ind w:firstLine="0"/>
            </w:pPr>
            <w:r w:rsidRPr="004D46AC">
              <w:t>0</w:t>
            </w:r>
          </w:p>
        </w:tc>
        <w:tc>
          <w:tcPr>
            <w:tcW w:w="508" w:type="dxa"/>
          </w:tcPr>
          <w:p w14:paraId="6C7C0856" w14:textId="77777777" w:rsidR="007075D9" w:rsidRPr="004D46AC" w:rsidRDefault="007075D9" w:rsidP="00CE2F7A">
            <w:pPr>
              <w:spacing w:line="240" w:lineRule="auto"/>
              <w:ind w:firstLine="0"/>
            </w:pPr>
            <w:r w:rsidRPr="004D46AC">
              <w:t>0</w:t>
            </w:r>
          </w:p>
        </w:tc>
        <w:tc>
          <w:tcPr>
            <w:tcW w:w="508" w:type="dxa"/>
          </w:tcPr>
          <w:p w14:paraId="6D58C1C7" w14:textId="77777777" w:rsidR="007075D9" w:rsidRPr="004D46AC" w:rsidRDefault="007075D9" w:rsidP="00CE2F7A">
            <w:pPr>
              <w:spacing w:line="240" w:lineRule="auto"/>
              <w:ind w:firstLine="0"/>
            </w:pPr>
            <w:r w:rsidRPr="004D46AC">
              <w:t>0</w:t>
            </w:r>
          </w:p>
        </w:tc>
        <w:tc>
          <w:tcPr>
            <w:tcW w:w="508" w:type="dxa"/>
          </w:tcPr>
          <w:p w14:paraId="010ED6EC" w14:textId="77777777" w:rsidR="007075D9" w:rsidRPr="004D46AC" w:rsidRDefault="007075D9" w:rsidP="00CE2F7A">
            <w:pPr>
              <w:spacing w:line="240" w:lineRule="auto"/>
              <w:ind w:firstLine="0"/>
            </w:pPr>
            <w:r w:rsidRPr="004D46AC">
              <w:t>0</w:t>
            </w:r>
          </w:p>
        </w:tc>
        <w:tc>
          <w:tcPr>
            <w:tcW w:w="508" w:type="dxa"/>
          </w:tcPr>
          <w:p w14:paraId="3157D74E" w14:textId="77777777" w:rsidR="007075D9" w:rsidRPr="004D46AC" w:rsidRDefault="007075D9" w:rsidP="00CE2F7A">
            <w:pPr>
              <w:spacing w:line="240" w:lineRule="auto"/>
              <w:ind w:firstLine="0"/>
            </w:pPr>
            <w:r w:rsidRPr="004D46AC">
              <w:t>0</w:t>
            </w:r>
          </w:p>
        </w:tc>
        <w:tc>
          <w:tcPr>
            <w:tcW w:w="508" w:type="dxa"/>
          </w:tcPr>
          <w:p w14:paraId="11EB8E53" w14:textId="77777777" w:rsidR="007075D9" w:rsidRPr="004D46AC" w:rsidRDefault="007075D9" w:rsidP="00CE2F7A">
            <w:pPr>
              <w:spacing w:line="240" w:lineRule="auto"/>
              <w:ind w:firstLine="0"/>
              <w:rPr>
                <w:b/>
                <w:bCs/>
              </w:rPr>
            </w:pPr>
            <w:r w:rsidRPr="004D46AC">
              <w:rPr>
                <w:b/>
                <w:bCs/>
              </w:rPr>
              <w:t>1</w:t>
            </w:r>
          </w:p>
        </w:tc>
      </w:tr>
      <w:tr w:rsidR="007075D9" w:rsidRPr="004D46AC" w14:paraId="63EE9728" w14:textId="77777777" w:rsidTr="00B518F1">
        <w:tc>
          <w:tcPr>
            <w:tcW w:w="661" w:type="dxa"/>
          </w:tcPr>
          <w:p w14:paraId="1E3389B4" w14:textId="77777777" w:rsidR="007075D9" w:rsidRPr="004D46AC" w:rsidRDefault="007075D9" w:rsidP="00CE2F7A">
            <w:pPr>
              <w:spacing w:line="240" w:lineRule="auto"/>
              <w:ind w:firstLine="0"/>
            </w:pPr>
            <w:r w:rsidRPr="004D46AC">
              <w:t>M8</w:t>
            </w:r>
          </w:p>
        </w:tc>
        <w:tc>
          <w:tcPr>
            <w:tcW w:w="551" w:type="dxa"/>
          </w:tcPr>
          <w:p w14:paraId="3A368DDA" w14:textId="77777777" w:rsidR="007075D9" w:rsidRPr="004D46AC" w:rsidRDefault="007075D9" w:rsidP="00CE2F7A">
            <w:pPr>
              <w:spacing w:line="240" w:lineRule="auto"/>
              <w:ind w:firstLine="0"/>
            </w:pPr>
            <w:r w:rsidRPr="004D46AC">
              <w:t>0</w:t>
            </w:r>
          </w:p>
        </w:tc>
        <w:tc>
          <w:tcPr>
            <w:tcW w:w="551" w:type="dxa"/>
          </w:tcPr>
          <w:p w14:paraId="59ECC304" w14:textId="77777777" w:rsidR="007075D9" w:rsidRPr="004D46AC" w:rsidRDefault="007075D9" w:rsidP="00CE2F7A">
            <w:pPr>
              <w:spacing w:line="240" w:lineRule="auto"/>
              <w:ind w:firstLine="0"/>
            </w:pPr>
            <w:r w:rsidRPr="004D46AC">
              <w:t>0</w:t>
            </w:r>
          </w:p>
        </w:tc>
        <w:tc>
          <w:tcPr>
            <w:tcW w:w="550" w:type="dxa"/>
          </w:tcPr>
          <w:p w14:paraId="6B02584D" w14:textId="77777777" w:rsidR="007075D9" w:rsidRPr="004D46AC" w:rsidRDefault="007075D9" w:rsidP="00CE2F7A">
            <w:pPr>
              <w:spacing w:line="240" w:lineRule="auto"/>
              <w:ind w:firstLine="0"/>
              <w:rPr>
                <w:b/>
                <w:bCs/>
              </w:rPr>
            </w:pPr>
            <w:r w:rsidRPr="004D46AC">
              <w:rPr>
                <w:b/>
                <w:bCs/>
              </w:rPr>
              <w:t>1</w:t>
            </w:r>
          </w:p>
        </w:tc>
        <w:tc>
          <w:tcPr>
            <w:tcW w:w="550" w:type="dxa"/>
          </w:tcPr>
          <w:p w14:paraId="540278BC" w14:textId="77777777" w:rsidR="007075D9" w:rsidRPr="004D46AC" w:rsidRDefault="007075D9" w:rsidP="00CE2F7A">
            <w:pPr>
              <w:spacing w:line="240" w:lineRule="auto"/>
              <w:ind w:firstLine="0"/>
            </w:pPr>
            <w:r w:rsidRPr="004D46AC">
              <w:t>0</w:t>
            </w:r>
          </w:p>
        </w:tc>
        <w:tc>
          <w:tcPr>
            <w:tcW w:w="550" w:type="dxa"/>
          </w:tcPr>
          <w:p w14:paraId="7DDE9A63" w14:textId="77777777" w:rsidR="007075D9" w:rsidRPr="004D46AC" w:rsidRDefault="007075D9" w:rsidP="00CE2F7A">
            <w:pPr>
              <w:spacing w:line="240" w:lineRule="auto"/>
              <w:ind w:firstLine="0"/>
            </w:pPr>
            <w:r w:rsidRPr="004D46AC">
              <w:t>0</w:t>
            </w:r>
          </w:p>
        </w:tc>
        <w:tc>
          <w:tcPr>
            <w:tcW w:w="550" w:type="dxa"/>
          </w:tcPr>
          <w:p w14:paraId="5FD5BCDA" w14:textId="77777777" w:rsidR="007075D9" w:rsidRPr="004D46AC" w:rsidRDefault="007075D9" w:rsidP="00CE2F7A">
            <w:pPr>
              <w:spacing w:line="240" w:lineRule="auto"/>
              <w:ind w:firstLine="0"/>
              <w:rPr>
                <w:b/>
                <w:bCs/>
              </w:rPr>
            </w:pPr>
            <w:r w:rsidRPr="004D46AC">
              <w:rPr>
                <w:b/>
                <w:bCs/>
              </w:rPr>
              <w:t>.97</w:t>
            </w:r>
          </w:p>
        </w:tc>
        <w:tc>
          <w:tcPr>
            <w:tcW w:w="532" w:type="dxa"/>
          </w:tcPr>
          <w:p w14:paraId="25BADED3" w14:textId="77777777" w:rsidR="007075D9" w:rsidRPr="004D46AC" w:rsidRDefault="007075D9" w:rsidP="00CE2F7A">
            <w:pPr>
              <w:spacing w:line="240" w:lineRule="auto"/>
              <w:ind w:firstLine="0"/>
            </w:pPr>
            <w:r w:rsidRPr="004D46AC">
              <w:t>0</w:t>
            </w:r>
          </w:p>
        </w:tc>
        <w:tc>
          <w:tcPr>
            <w:tcW w:w="531" w:type="dxa"/>
          </w:tcPr>
          <w:p w14:paraId="0D030026" w14:textId="77777777" w:rsidR="007075D9" w:rsidRPr="004D46AC" w:rsidRDefault="007075D9" w:rsidP="00CE2F7A">
            <w:pPr>
              <w:spacing w:line="240" w:lineRule="auto"/>
              <w:ind w:firstLine="0"/>
            </w:pPr>
            <w:r w:rsidRPr="004D46AC">
              <w:t>0</w:t>
            </w:r>
          </w:p>
        </w:tc>
        <w:tc>
          <w:tcPr>
            <w:tcW w:w="532" w:type="dxa"/>
          </w:tcPr>
          <w:p w14:paraId="47296DD2" w14:textId="77777777" w:rsidR="007075D9" w:rsidRPr="004D46AC" w:rsidRDefault="007075D9" w:rsidP="00CE2F7A">
            <w:pPr>
              <w:spacing w:line="240" w:lineRule="auto"/>
              <w:ind w:firstLine="0"/>
            </w:pPr>
            <w:r w:rsidRPr="004D46AC">
              <w:t>0</w:t>
            </w:r>
          </w:p>
        </w:tc>
        <w:tc>
          <w:tcPr>
            <w:tcW w:w="531" w:type="dxa"/>
          </w:tcPr>
          <w:p w14:paraId="1B66FE16" w14:textId="77777777" w:rsidR="007075D9" w:rsidRPr="004D46AC" w:rsidRDefault="007075D9" w:rsidP="00CE2F7A">
            <w:pPr>
              <w:spacing w:line="240" w:lineRule="auto"/>
              <w:ind w:firstLine="0"/>
              <w:rPr>
                <w:b/>
                <w:bCs/>
              </w:rPr>
            </w:pPr>
            <w:r w:rsidRPr="004D46AC">
              <w:rPr>
                <w:b/>
                <w:bCs/>
              </w:rPr>
              <w:t>.99</w:t>
            </w:r>
          </w:p>
        </w:tc>
        <w:tc>
          <w:tcPr>
            <w:tcW w:w="508" w:type="dxa"/>
          </w:tcPr>
          <w:p w14:paraId="592E61F1" w14:textId="77777777" w:rsidR="007075D9" w:rsidRPr="004D46AC" w:rsidRDefault="007075D9" w:rsidP="00CE2F7A">
            <w:pPr>
              <w:spacing w:line="240" w:lineRule="auto"/>
              <w:ind w:firstLine="0"/>
            </w:pPr>
            <w:r w:rsidRPr="004D46AC">
              <w:t>0</w:t>
            </w:r>
          </w:p>
        </w:tc>
        <w:tc>
          <w:tcPr>
            <w:tcW w:w="508" w:type="dxa"/>
          </w:tcPr>
          <w:p w14:paraId="63702D1F" w14:textId="77777777" w:rsidR="007075D9" w:rsidRPr="004D46AC" w:rsidRDefault="007075D9" w:rsidP="00CE2F7A">
            <w:pPr>
              <w:spacing w:line="240" w:lineRule="auto"/>
              <w:ind w:firstLine="0"/>
            </w:pPr>
            <w:r w:rsidRPr="004D46AC">
              <w:t>0</w:t>
            </w:r>
          </w:p>
        </w:tc>
        <w:tc>
          <w:tcPr>
            <w:tcW w:w="508" w:type="dxa"/>
          </w:tcPr>
          <w:p w14:paraId="617FDE8B" w14:textId="77777777" w:rsidR="007075D9" w:rsidRPr="004D46AC" w:rsidRDefault="007075D9" w:rsidP="00CE2F7A">
            <w:pPr>
              <w:spacing w:line="240" w:lineRule="auto"/>
              <w:ind w:firstLine="0"/>
            </w:pPr>
            <w:r w:rsidRPr="004D46AC">
              <w:t>0</w:t>
            </w:r>
          </w:p>
        </w:tc>
        <w:tc>
          <w:tcPr>
            <w:tcW w:w="508" w:type="dxa"/>
          </w:tcPr>
          <w:p w14:paraId="01896400" w14:textId="77777777" w:rsidR="007075D9" w:rsidRPr="004D46AC" w:rsidRDefault="007075D9" w:rsidP="00CE2F7A">
            <w:pPr>
              <w:spacing w:line="240" w:lineRule="auto"/>
              <w:ind w:firstLine="0"/>
            </w:pPr>
            <w:r w:rsidRPr="004D46AC">
              <w:t>0</w:t>
            </w:r>
          </w:p>
        </w:tc>
        <w:tc>
          <w:tcPr>
            <w:tcW w:w="508" w:type="dxa"/>
          </w:tcPr>
          <w:p w14:paraId="0ECDFDE3" w14:textId="77777777" w:rsidR="007075D9" w:rsidRPr="004D46AC" w:rsidRDefault="007075D9" w:rsidP="00CE2F7A">
            <w:pPr>
              <w:spacing w:line="240" w:lineRule="auto"/>
              <w:ind w:firstLine="0"/>
            </w:pPr>
            <w:r w:rsidRPr="004D46AC">
              <w:t>0</w:t>
            </w:r>
          </w:p>
        </w:tc>
        <w:tc>
          <w:tcPr>
            <w:tcW w:w="508" w:type="dxa"/>
          </w:tcPr>
          <w:p w14:paraId="0F91B58D" w14:textId="77777777" w:rsidR="007075D9" w:rsidRPr="004D46AC" w:rsidRDefault="007075D9" w:rsidP="00CE2F7A">
            <w:pPr>
              <w:spacing w:line="240" w:lineRule="auto"/>
              <w:ind w:firstLine="0"/>
              <w:rPr>
                <w:b/>
                <w:bCs/>
              </w:rPr>
            </w:pPr>
            <w:r w:rsidRPr="004D46AC">
              <w:rPr>
                <w:b/>
                <w:bCs/>
              </w:rPr>
              <w:t>1</w:t>
            </w:r>
          </w:p>
        </w:tc>
      </w:tr>
      <w:tr w:rsidR="007075D9" w:rsidRPr="004D46AC" w14:paraId="045C6058" w14:textId="77777777" w:rsidTr="00B518F1">
        <w:tc>
          <w:tcPr>
            <w:tcW w:w="661" w:type="dxa"/>
          </w:tcPr>
          <w:p w14:paraId="5329D32D" w14:textId="77777777" w:rsidR="007075D9" w:rsidRPr="004D46AC" w:rsidRDefault="007075D9" w:rsidP="00CE2F7A">
            <w:pPr>
              <w:spacing w:line="240" w:lineRule="auto"/>
              <w:ind w:firstLine="0"/>
            </w:pPr>
            <w:r w:rsidRPr="004D46AC">
              <w:t>M9</w:t>
            </w:r>
          </w:p>
        </w:tc>
        <w:tc>
          <w:tcPr>
            <w:tcW w:w="551" w:type="dxa"/>
          </w:tcPr>
          <w:p w14:paraId="06974E40" w14:textId="77777777" w:rsidR="007075D9" w:rsidRPr="004D46AC" w:rsidRDefault="007075D9" w:rsidP="00CE2F7A">
            <w:pPr>
              <w:spacing w:line="240" w:lineRule="auto"/>
              <w:ind w:firstLine="0"/>
            </w:pPr>
            <w:r w:rsidRPr="004D46AC">
              <w:t>0</w:t>
            </w:r>
          </w:p>
        </w:tc>
        <w:tc>
          <w:tcPr>
            <w:tcW w:w="551" w:type="dxa"/>
          </w:tcPr>
          <w:p w14:paraId="75A1AC1D" w14:textId="77777777" w:rsidR="007075D9" w:rsidRPr="004D46AC" w:rsidRDefault="007075D9" w:rsidP="00CE2F7A">
            <w:pPr>
              <w:spacing w:line="240" w:lineRule="auto"/>
              <w:ind w:firstLine="0"/>
            </w:pPr>
            <w:r w:rsidRPr="004D46AC">
              <w:t>0</w:t>
            </w:r>
          </w:p>
        </w:tc>
        <w:tc>
          <w:tcPr>
            <w:tcW w:w="550" w:type="dxa"/>
          </w:tcPr>
          <w:p w14:paraId="5654BD95" w14:textId="77777777" w:rsidR="007075D9" w:rsidRPr="004D46AC" w:rsidRDefault="007075D9" w:rsidP="00CE2F7A">
            <w:pPr>
              <w:spacing w:line="240" w:lineRule="auto"/>
              <w:ind w:firstLine="0"/>
              <w:rPr>
                <w:b/>
                <w:bCs/>
              </w:rPr>
            </w:pPr>
            <w:r w:rsidRPr="004D46AC">
              <w:rPr>
                <w:b/>
                <w:bCs/>
              </w:rPr>
              <w:t>1</w:t>
            </w:r>
          </w:p>
        </w:tc>
        <w:tc>
          <w:tcPr>
            <w:tcW w:w="550" w:type="dxa"/>
          </w:tcPr>
          <w:p w14:paraId="0BF9F072" w14:textId="77777777" w:rsidR="007075D9" w:rsidRPr="004D46AC" w:rsidRDefault="007075D9" w:rsidP="00CE2F7A">
            <w:pPr>
              <w:spacing w:line="240" w:lineRule="auto"/>
              <w:ind w:firstLine="0"/>
            </w:pPr>
            <w:r w:rsidRPr="004D46AC">
              <w:t>0</w:t>
            </w:r>
          </w:p>
        </w:tc>
        <w:tc>
          <w:tcPr>
            <w:tcW w:w="550" w:type="dxa"/>
          </w:tcPr>
          <w:p w14:paraId="0E8A0DCC" w14:textId="77777777" w:rsidR="007075D9" w:rsidRPr="004D46AC" w:rsidRDefault="007075D9" w:rsidP="00CE2F7A">
            <w:pPr>
              <w:spacing w:line="240" w:lineRule="auto"/>
              <w:ind w:firstLine="0"/>
            </w:pPr>
            <w:r w:rsidRPr="004D46AC">
              <w:t>0</w:t>
            </w:r>
          </w:p>
        </w:tc>
        <w:tc>
          <w:tcPr>
            <w:tcW w:w="550" w:type="dxa"/>
          </w:tcPr>
          <w:p w14:paraId="6140106B" w14:textId="77777777" w:rsidR="007075D9" w:rsidRPr="004D46AC" w:rsidRDefault="007075D9" w:rsidP="00CE2F7A">
            <w:pPr>
              <w:spacing w:line="240" w:lineRule="auto"/>
              <w:ind w:firstLine="0"/>
              <w:rPr>
                <w:b/>
                <w:bCs/>
              </w:rPr>
            </w:pPr>
            <w:r w:rsidRPr="004D46AC">
              <w:rPr>
                <w:b/>
                <w:bCs/>
              </w:rPr>
              <w:t>.97</w:t>
            </w:r>
          </w:p>
        </w:tc>
        <w:tc>
          <w:tcPr>
            <w:tcW w:w="532" w:type="dxa"/>
          </w:tcPr>
          <w:p w14:paraId="71C2B362" w14:textId="77777777" w:rsidR="007075D9" w:rsidRPr="004D46AC" w:rsidRDefault="007075D9" w:rsidP="00CE2F7A">
            <w:pPr>
              <w:spacing w:line="240" w:lineRule="auto"/>
              <w:ind w:firstLine="0"/>
            </w:pPr>
            <w:r w:rsidRPr="004D46AC">
              <w:t>0</w:t>
            </w:r>
          </w:p>
        </w:tc>
        <w:tc>
          <w:tcPr>
            <w:tcW w:w="531" w:type="dxa"/>
          </w:tcPr>
          <w:p w14:paraId="5568A0A0" w14:textId="77777777" w:rsidR="007075D9" w:rsidRPr="004D46AC" w:rsidRDefault="007075D9" w:rsidP="00CE2F7A">
            <w:pPr>
              <w:spacing w:line="240" w:lineRule="auto"/>
              <w:ind w:firstLine="0"/>
            </w:pPr>
            <w:r w:rsidRPr="004D46AC">
              <w:t>0</w:t>
            </w:r>
          </w:p>
        </w:tc>
        <w:tc>
          <w:tcPr>
            <w:tcW w:w="532" w:type="dxa"/>
          </w:tcPr>
          <w:p w14:paraId="29E6F4DD" w14:textId="77777777" w:rsidR="007075D9" w:rsidRPr="004D46AC" w:rsidRDefault="007075D9" w:rsidP="00CE2F7A">
            <w:pPr>
              <w:spacing w:line="240" w:lineRule="auto"/>
              <w:ind w:firstLine="0"/>
            </w:pPr>
            <w:r w:rsidRPr="004D46AC">
              <w:t>0</w:t>
            </w:r>
          </w:p>
        </w:tc>
        <w:tc>
          <w:tcPr>
            <w:tcW w:w="531" w:type="dxa"/>
          </w:tcPr>
          <w:p w14:paraId="1C4C9ADA" w14:textId="77777777" w:rsidR="007075D9" w:rsidRPr="004D46AC" w:rsidRDefault="007075D9" w:rsidP="00CE2F7A">
            <w:pPr>
              <w:spacing w:line="240" w:lineRule="auto"/>
              <w:ind w:firstLine="0"/>
              <w:rPr>
                <w:b/>
                <w:bCs/>
              </w:rPr>
            </w:pPr>
            <w:r w:rsidRPr="004D46AC">
              <w:rPr>
                <w:b/>
                <w:bCs/>
              </w:rPr>
              <w:t>.99</w:t>
            </w:r>
          </w:p>
        </w:tc>
        <w:tc>
          <w:tcPr>
            <w:tcW w:w="508" w:type="dxa"/>
          </w:tcPr>
          <w:p w14:paraId="41DD6B7F" w14:textId="77777777" w:rsidR="007075D9" w:rsidRPr="004D46AC" w:rsidRDefault="007075D9" w:rsidP="00CE2F7A">
            <w:pPr>
              <w:spacing w:line="240" w:lineRule="auto"/>
              <w:ind w:firstLine="0"/>
            </w:pPr>
            <w:r w:rsidRPr="004D46AC">
              <w:t>0</w:t>
            </w:r>
          </w:p>
        </w:tc>
        <w:tc>
          <w:tcPr>
            <w:tcW w:w="508" w:type="dxa"/>
          </w:tcPr>
          <w:p w14:paraId="6671B9DB" w14:textId="77777777" w:rsidR="007075D9" w:rsidRPr="004D46AC" w:rsidRDefault="007075D9" w:rsidP="00CE2F7A">
            <w:pPr>
              <w:spacing w:line="240" w:lineRule="auto"/>
              <w:ind w:firstLine="0"/>
            </w:pPr>
            <w:r w:rsidRPr="004D46AC">
              <w:t>0</w:t>
            </w:r>
          </w:p>
        </w:tc>
        <w:tc>
          <w:tcPr>
            <w:tcW w:w="508" w:type="dxa"/>
          </w:tcPr>
          <w:p w14:paraId="33F3F4C7" w14:textId="77777777" w:rsidR="007075D9" w:rsidRPr="004D46AC" w:rsidRDefault="007075D9" w:rsidP="00CE2F7A">
            <w:pPr>
              <w:spacing w:line="240" w:lineRule="auto"/>
              <w:ind w:firstLine="0"/>
            </w:pPr>
            <w:r w:rsidRPr="004D46AC">
              <w:t>0</w:t>
            </w:r>
          </w:p>
        </w:tc>
        <w:tc>
          <w:tcPr>
            <w:tcW w:w="508" w:type="dxa"/>
          </w:tcPr>
          <w:p w14:paraId="3102578D" w14:textId="77777777" w:rsidR="007075D9" w:rsidRPr="004D46AC" w:rsidRDefault="007075D9" w:rsidP="00CE2F7A">
            <w:pPr>
              <w:spacing w:line="240" w:lineRule="auto"/>
              <w:ind w:firstLine="0"/>
            </w:pPr>
            <w:r w:rsidRPr="004D46AC">
              <w:t>0</w:t>
            </w:r>
          </w:p>
        </w:tc>
        <w:tc>
          <w:tcPr>
            <w:tcW w:w="508" w:type="dxa"/>
          </w:tcPr>
          <w:p w14:paraId="41E58D38" w14:textId="77777777" w:rsidR="007075D9" w:rsidRPr="004D46AC" w:rsidRDefault="007075D9" w:rsidP="00CE2F7A">
            <w:pPr>
              <w:spacing w:line="240" w:lineRule="auto"/>
              <w:ind w:firstLine="0"/>
            </w:pPr>
            <w:r w:rsidRPr="004D46AC">
              <w:t>0</w:t>
            </w:r>
          </w:p>
        </w:tc>
        <w:tc>
          <w:tcPr>
            <w:tcW w:w="508" w:type="dxa"/>
          </w:tcPr>
          <w:p w14:paraId="1E6784BF" w14:textId="77777777" w:rsidR="007075D9" w:rsidRPr="004D46AC" w:rsidRDefault="007075D9" w:rsidP="00CE2F7A">
            <w:pPr>
              <w:spacing w:line="240" w:lineRule="auto"/>
              <w:ind w:firstLine="0"/>
              <w:rPr>
                <w:b/>
                <w:bCs/>
              </w:rPr>
            </w:pPr>
            <w:r w:rsidRPr="004D46AC">
              <w:rPr>
                <w:b/>
                <w:bCs/>
              </w:rPr>
              <w:t>1</w:t>
            </w:r>
          </w:p>
        </w:tc>
      </w:tr>
      <w:tr w:rsidR="007075D9" w:rsidRPr="004D46AC" w14:paraId="23610110" w14:textId="77777777" w:rsidTr="00B518F1">
        <w:tc>
          <w:tcPr>
            <w:tcW w:w="661" w:type="dxa"/>
          </w:tcPr>
          <w:p w14:paraId="66E8B1FC" w14:textId="77777777" w:rsidR="007075D9" w:rsidRPr="004D46AC" w:rsidRDefault="007075D9" w:rsidP="00CE2F7A">
            <w:pPr>
              <w:spacing w:line="240" w:lineRule="auto"/>
              <w:ind w:firstLine="0"/>
            </w:pPr>
            <w:r w:rsidRPr="004D46AC">
              <w:t>M10</w:t>
            </w:r>
          </w:p>
        </w:tc>
        <w:tc>
          <w:tcPr>
            <w:tcW w:w="551" w:type="dxa"/>
          </w:tcPr>
          <w:p w14:paraId="0800FC39" w14:textId="77777777" w:rsidR="007075D9" w:rsidRPr="004D46AC" w:rsidRDefault="007075D9" w:rsidP="00CE2F7A">
            <w:pPr>
              <w:spacing w:line="240" w:lineRule="auto"/>
              <w:ind w:firstLine="0"/>
            </w:pPr>
            <w:r w:rsidRPr="004D46AC">
              <w:t>0</w:t>
            </w:r>
          </w:p>
        </w:tc>
        <w:tc>
          <w:tcPr>
            <w:tcW w:w="551" w:type="dxa"/>
          </w:tcPr>
          <w:p w14:paraId="28D8CADC" w14:textId="77777777" w:rsidR="007075D9" w:rsidRPr="004D46AC" w:rsidRDefault="007075D9" w:rsidP="00CE2F7A">
            <w:pPr>
              <w:spacing w:line="240" w:lineRule="auto"/>
              <w:ind w:firstLine="0"/>
            </w:pPr>
            <w:r w:rsidRPr="004D46AC">
              <w:t>0</w:t>
            </w:r>
          </w:p>
        </w:tc>
        <w:tc>
          <w:tcPr>
            <w:tcW w:w="550" w:type="dxa"/>
          </w:tcPr>
          <w:p w14:paraId="1FEB1D96" w14:textId="77777777" w:rsidR="007075D9" w:rsidRPr="004D46AC" w:rsidRDefault="007075D9" w:rsidP="00CE2F7A">
            <w:pPr>
              <w:spacing w:line="240" w:lineRule="auto"/>
              <w:ind w:firstLine="0"/>
              <w:rPr>
                <w:b/>
                <w:bCs/>
              </w:rPr>
            </w:pPr>
            <w:r w:rsidRPr="004D46AC">
              <w:rPr>
                <w:b/>
                <w:bCs/>
              </w:rPr>
              <w:t>1</w:t>
            </w:r>
          </w:p>
        </w:tc>
        <w:tc>
          <w:tcPr>
            <w:tcW w:w="550" w:type="dxa"/>
          </w:tcPr>
          <w:p w14:paraId="19DAB7CB" w14:textId="77777777" w:rsidR="007075D9" w:rsidRPr="004D46AC" w:rsidRDefault="007075D9" w:rsidP="00CE2F7A">
            <w:pPr>
              <w:spacing w:line="240" w:lineRule="auto"/>
              <w:ind w:firstLine="0"/>
            </w:pPr>
            <w:r w:rsidRPr="004D46AC">
              <w:t>0</w:t>
            </w:r>
          </w:p>
        </w:tc>
        <w:tc>
          <w:tcPr>
            <w:tcW w:w="550" w:type="dxa"/>
          </w:tcPr>
          <w:p w14:paraId="76C9B857" w14:textId="77777777" w:rsidR="007075D9" w:rsidRPr="004D46AC" w:rsidRDefault="007075D9" w:rsidP="00CE2F7A">
            <w:pPr>
              <w:spacing w:line="240" w:lineRule="auto"/>
              <w:ind w:firstLine="0"/>
            </w:pPr>
            <w:r w:rsidRPr="004D46AC">
              <w:t>0</w:t>
            </w:r>
          </w:p>
        </w:tc>
        <w:tc>
          <w:tcPr>
            <w:tcW w:w="550" w:type="dxa"/>
          </w:tcPr>
          <w:p w14:paraId="33B1DA64" w14:textId="77777777" w:rsidR="007075D9" w:rsidRPr="004D46AC" w:rsidRDefault="007075D9" w:rsidP="00CE2F7A">
            <w:pPr>
              <w:spacing w:line="240" w:lineRule="auto"/>
              <w:ind w:firstLine="0"/>
              <w:rPr>
                <w:b/>
                <w:bCs/>
              </w:rPr>
            </w:pPr>
            <w:r w:rsidRPr="004D46AC">
              <w:rPr>
                <w:b/>
                <w:bCs/>
              </w:rPr>
              <w:t>.97</w:t>
            </w:r>
          </w:p>
        </w:tc>
        <w:tc>
          <w:tcPr>
            <w:tcW w:w="532" w:type="dxa"/>
          </w:tcPr>
          <w:p w14:paraId="491400AD" w14:textId="77777777" w:rsidR="007075D9" w:rsidRPr="004D46AC" w:rsidRDefault="007075D9" w:rsidP="00CE2F7A">
            <w:pPr>
              <w:spacing w:line="240" w:lineRule="auto"/>
              <w:ind w:firstLine="0"/>
            </w:pPr>
            <w:r w:rsidRPr="004D46AC">
              <w:t>0</w:t>
            </w:r>
          </w:p>
        </w:tc>
        <w:tc>
          <w:tcPr>
            <w:tcW w:w="531" w:type="dxa"/>
          </w:tcPr>
          <w:p w14:paraId="1F6AB83A" w14:textId="77777777" w:rsidR="007075D9" w:rsidRPr="004D46AC" w:rsidRDefault="007075D9" w:rsidP="00CE2F7A">
            <w:pPr>
              <w:spacing w:line="240" w:lineRule="auto"/>
              <w:ind w:firstLine="0"/>
            </w:pPr>
            <w:r w:rsidRPr="004D46AC">
              <w:t>0</w:t>
            </w:r>
          </w:p>
        </w:tc>
        <w:tc>
          <w:tcPr>
            <w:tcW w:w="532" w:type="dxa"/>
          </w:tcPr>
          <w:p w14:paraId="5C2A5891" w14:textId="77777777" w:rsidR="007075D9" w:rsidRPr="004D46AC" w:rsidRDefault="007075D9" w:rsidP="00CE2F7A">
            <w:pPr>
              <w:spacing w:line="240" w:lineRule="auto"/>
              <w:ind w:firstLine="0"/>
            </w:pPr>
            <w:r w:rsidRPr="004D46AC">
              <w:t>0</w:t>
            </w:r>
          </w:p>
        </w:tc>
        <w:tc>
          <w:tcPr>
            <w:tcW w:w="531" w:type="dxa"/>
          </w:tcPr>
          <w:p w14:paraId="5F94A829" w14:textId="77777777" w:rsidR="007075D9" w:rsidRPr="004D46AC" w:rsidRDefault="007075D9" w:rsidP="00CE2F7A">
            <w:pPr>
              <w:spacing w:line="240" w:lineRule="auto"/>
              <w:ind w:firstLine="0"/>
              <w:rPr>
                <w:b/>
                <w:bCs/>
              </w:rPr>
            </w:pPr>
            <w:r w:rsidRPr="004D46AC">
              <w:rPr>
                <w:b/>
                <w:bCs/>
              </w:rPr>
              <w:t>.99</w:t>
            </w:r>
          </w:p>
        </w:tc>
        <w:tc>
          <w:tcPr>
            <w:tcW w:w="508" w:type="dxa"/>
          </w:tcPr>
          <w:p w14:paraId="650425E7" w14:textId="77777777" w:rsidR="007075D9" w:rsidRPr="004D46AC" w:rsidRDefault="007075D9" w:rsidP="00CE2F7A">
            <w:pPr>
              <w:spacing w:line="240" w:lineRule="auto"/>
              <w:ind w:firstLine="0"/>
            </w:pPr>
            <w:r w:rsidRPr="004D46AC">
              <w:t>0</w:t>
            </w:r>
          </w:p>
        </w:tc>
        <w:tc>
          <w:tcPr>
            <w:tcW w:w="508" w:type="dxa"/>
          </w:tcPr>
          <w:p w14:paraId="6B2EF62B" w14:textId="77777777" w:rsidR="007075D9" w:rsidRPr="004D46AC" w:rsidRDefault="007075D9" w:rsidP="00CE2F7A">
            <w:pPr>
              <w:spacing w:line="240" w:lineRule="auto"/>
              <w:ind w:firstLine="0"/>
            </w:pPr>
            <w:r w:rsidRPr="004D46AC">
              <w:t>0</w:t>
            </w:r>
          </w:p>
        </w:tc>
        <w:tc>
          <w:tcPr>
            <w:tcW w:w="508" w:type="dxa"/>
          </w:tcPr>
          <w:p w14:paraId="03A6B501" w14:textId="77777777" w:rsidR="007075D9" w:rsidRPr="004D46AC" w:rsidRDefault="007075D9" w:rsidP="00CE2F7A">
            <w:pPr>
              <w:spacing w:line="240" w:lineRule="auto"/>
              <w:ind w:firstLine="0"/>
            </w:pPr>
            <w:r w:rsidRPr="004D46AC">
              <w:t>0</w:t>
            </w:r>
          </w:p>
        </w:tc>
        <w:tc>
          <w:tcPr>
            <w:tcW w:w="508" w:type="dxa"/>
          </w:tcPr>
          <w:p w14:paraId="2D7A91B3" w14:textId="77777777" w:rsidR="007075D9" w:rsidRPr="004D46AC" w:rsidRDefault="007075D9" w:rsidP="00CE2F7A">
            <w:pPr>
              <w:spacing w:line="240" w:lineRule="auto"/>
              <w:ind w:firstLine="0"/>
            </w:pPr>
            <w:r w:rsidRPr="004D46AC">
              <w:t>0</w:t>
            </w:r>
          </w:p>
        </w:tc>
        <w:tc>
          <w:tcPr>
            <w:tcW w:w="508" w:type="dxa"/>
          </w:tcPr>
          <w:p w14:paraId="52344B8E" w14:textId="77777777" w:rsidR="007075D9" w:rsidRPr="004D46AC" w:rsidRDefault="007075D9" w:rsidP="00CE2F7A">
            <w:pPr>
              <w:spacing w:line="240" w:lineRule="auto"/>
              <w:ind w:firstLine="0"/>
            </w:pPr>
            <w:r w:rsidRPr="004D46AC">
              <w:t>0</w:t>
            </w:r>
          </w:p>
        </w:tc>
        <w:tc>
          <w:tcPr>
            <w:tcW w:w="508" w:type="dxa"/>
          </w:tcPr>
          <w:p w14:paraId="3B436406" w14:textId="77777777" w:rsidR="007075D9" w:rsidRPr="004D46AC" w:rsidRDefault="007075D9" w:rsidP="00CE2F7A">
            <w:pPr>
              <w:spacing w:line="240" w:lineRule="auto"/>
              <w:ind w:firstLine="0"/>
              <w:rPr>
                <w:b/>
                <w:bCs/>
              </w:rPr>
            </w:pPr>
            <w:r w:rsidRPr="004D46AC">
              <w:rPr>
                <w:b/>
                <w:bCs/>
              </w:rPr>
              <w:t>1</w:t>
            </w:r>
          </w:p>
        </w:tc>
      </w:tr>
      <w:tr w:rsidR="007075D9" w:rsidRPr="004D46AC" w14:paraId="491F7154" w14:textId="77777777" w:rsidTr="00B518F1">
        <w:tc>
          <w:tcPr>
            <w:tcW w:w="661" w:type="dxa"/>
          </w:tcPr>
          <w:p w14:paraId="5B729635" w14:textId="77777777" w:rsidR="007075D9" w:rsidRPr="004D46AC" w:rsidRDefault="007075D9" w:rsidP="00CE2F7A">
            <w:pPr>
              <w:spacing w:line="240" w:lineRule="auto"/>
              <w:ind w:firstLine="0"/>
            </w:pPr>
            <w:r w:rsidRPr="004D46AC">
              <w:t>SP</w:t>
            </w:r>
          </w:p>
        </w:tc>
        <w:tc>
          <w:tcPr>
            <w:tcW w:w="551" w:type="dxa"/>
          </w:tcPr>
          <w:p w14:paraId="55F94F76" w14:textId="77777777" w:rsidR="007075D9" w:rsidRPr="004D46AC" w:rsidRDefault="007075D9" w:rsidP="00CE2F7A">
            <w:pPr>
              <w:spacing w:line="240" w:lineRule="auto"/>
              <w:ind w:firstLine="0"/>
            </w:pPr>
            <w:r w:rsidRPr="004D46AC">
              <w:t>0</w:t>
            </w:r>
          </w:p>
        </w:tc>
        <w:tc>
          <w:tcPr>
            <w:tcW w:w="551" w:type="dxa"/>
          </w:tcPr>
          <w:p w14:paraId="586A4466" w14:textId="77777777" w:rsidR="007075D9" w:rsidRPr="004D46AC" w:rsidRDefault="007075D9" w:rsidP="00CE2F7A">
            <w:pPr>
              <w:spacing w:line="240" w:lineRule="auto"/>
              <w:ind w:firstLine="0"/>
            </w:pPr>
            <w:r w:rsidRPr="004D46AC">
              <w:t>.02</w:t>
            </w:r>
          </w:p>
        </w:tc>
        <w:tc>
          <w:tcPr>
            <w:tcW w:w="550" w:type="dxa"/>
          </w:tcPr>
          <w:p w14:paraId="7FCED16C" w14:textId="77777777" w:rsidR="007075D9" w:rsidRPr="004D46AC" w:rsidRDefault="007075D9" w:rsidP="00CE2F7A">
            <w:pPr>
              <w:spacing w:line="240" w:lineRule="auto"/>
              <w:ind w:firstLine="0"/>
              <w:rPr>
                <w:b/>
                <w:bCs/>
              </w:rPr>
            </w:pPr>
            <w:r w:rsidRPr="004D46AC">
              <w:rPr>
                <w:b/>
                <w:bCs/>
              </w:rPr>
              <w:t>.98</w:t>
            </w:r>
          </w:p>
        </w:tc>
        <w:tc>
          <w:tcPr>
            <w:tcW w:w="550" w:type="dxa"/>
          </w:tcPr>
          <w:p w14:paraId="3C450A4E" w14:textId="77777777" w:rsidR="007075D9" w:rsidRPr="004D46AC" w:rsidRDefault="007075D9" w:rsidP="00CE2F7A">
            <w:pPr>
              <w:spacing w:line="240" w:lineRule="auto"/>
              <w:ind w:firstLine="0"/>
            </w:pPr>
            <w:r w:rsidRPr="004D46AC">
              <w:t>0</w:t>
            </w:r>
          </w:p>
        </w:tc>
        <w:tc>
          <w:tcPr>
            <w:tcW w:w="550" w:type="dxa"/>
          </w:tcPr>
          <w:p w14:paraId="3FA925BB" w14:textId="77777777" w:rsidR="007075D9" w:rsidRPr="004D46AC" w:rsidRDefault="007075D9" w:rsidP="00CE2F7A">
            <w:pPr>
              <w:spacing w:line="240" w:lineRule="auto"/>
              <w:ind w:firstLine="0"/>
            </w:pPr>
            <w:r w:rsidRPr="004D46AC">
              <w:t>.11</w:t>
            </w:r>
          </w:p>
        </w:tc>
        <w:tc>
          <w:tcPr>
            <w:tcW w:w="550" w:type="dxa"/>
          </w:tcPr>
          <w:p w14:paraId="57195724" w14:textId="77777777" w:rsidR="007075D9" w:rsidRPr="004D46AC" w:rsidRDefault="007075D9" w:rsidP="00CE2F7A">
            <w:pPr>
              <w:spacing w:line="240" w:lineRule="auto"/>
              <w:ind w:firstLine="0"/>
              <w:rPr>
                <w:b/>
                <w:bCs/>
              </w:rPr>
            </w:pPr>
            <w:r w:rsidRPr="004D46AC">
              <w:rPr>
                <w:b/>
                <w:bCs/>
              </w:rPr>
              <w:t>.82</w:t>
            </w:r>
          </w:p>
        </w:tc>
        <w:tc>
          <w:tcPr>
            <w:tcW w:w="532" w:type="dxa"/>
          </w:tcPr>
          <w:p w14:paraId="0230E29D" w14:textId="77777777" w:rsidR="007075D9" w:rsidRPr="004D46AC" w:rsidRDefault="007075D9" w:rsidP="00CE2F7A">
            <w:pPr>
              <w:spacing w:line="240" w:lineRule="auto"/>
              <w:ind w:firstLine="0"/>
            </w:pPr>
            <w:r w:rsidRPr="004D46AC">
              <w:t>0</w:t>
            </w:r>
          </w:p>
        </w:tc>
        <w:tc>
          <w:tcPr>
            <w:tcW w:w="531" w:type="dxa"/>
          </w:tcPr>
          <w:p w14:paraId="28724F0B" w14:textId="77777777" w:rsidR="007075D9" w:rsidRPr="004D46AC" w:rsidRDefault="007075D9" w:rsidP="00CE2F7A">
            <w:pPr>
              <w:spacing w:line="240" w:lineRule="auto"/>
              <w:ind w:firstLine="0"/>
            </w:pPr>
            <w:r w:rsidRPr="004D46AC">
              <w:t>.05</w:t>
            </w:r>
          </w:p>
        </w:tc>
        <w:tc>
          <w:tcPr>
            <w:tcW w:w="532" w:type="dxa"/>
          </w:tcPr>
          <w:p w14:paraId="444F20B4" w14:textId="77777777" w:rsidR="007075D9" w:rsidRPr="004D46AC" w:rsidRDefault="007075D9" w:rsidP="00CE2F7A">
            <w:pPr>
              <w:spacing w:line="240" w:lineRule="auto"/>
              <w:ind w:firstLine="0"/>
            </w:pPr>
            <w:r w:rsidRPr="004D46AC">
              <w:t>.04</w:t>
            </w:r>
          </w:p>
        </w:tc>
        <w:tc>
          <w:tcPr>
            <w:tcW w:w="531" w:type="dxa"/>
          </w:tcPr>
          <w:p w14:paraId="2AA683B7" w14:textId="77777777" w:rsidR="007075D9" w:rsidRPr="004D46AC" w:rsidRDefault="007075D9" w:rsidP="00CE2F7A">
            <w:pPr>
              <w:spacing w:line="240" w:lineRule="auto"/>
              <w:ind w:firstLine="0"/>
              <w:rPr>
                <w:b/>
                <w:bCs/>
              </w:rPr>
            </w:pPr>
            <w:r w:rsidRPr="004D46AC">
              <w:rPr>
                <w:b/>
                <w:bCs/>
              </w:rPr>
              <w:t>.82</w:t>
            </w:r>
          </w:p>
        </w:tc>
        <w:tc>
          <w:tcPr>
            <w:tcW w:w="508" w:type="dxa"/>
          </w:tcPr>
          <w:p w14:paraId="5117D3A7" w14:textId="77777777" w:rsidR="007075D9" w:rsidRPr="004D46AC" w:rsidRDefault="007075D9" w:rsidP="00CE2F7A">
            <w:pPr>
              <w:spacing w:line="240" w:lineRule="auto"/>
              <w:ind w:firstLine="0"/>
            </w:pPr>
            <w:r w:rsidRPr="004D46AC">
              <w:t>0</w:t>
            </w:r>
          </w:p>
        </w:tc>
        <w:tc>
          <w:tcPr>
            <w:tcW w:w="508" w:type="dxa"/>
          </w:tcPr>
          <w:p w14:paraId="1A1F9526" w14:textId="77777777" w:rsidR="007075D9" w:rsidRPr="004D46AC" w:rsidRDefault="007075D9" w:rsidP="00CE2F7A">
            <w:pPr>
              <w:spacing w:line="240" w:lineRule="auto"/>
              <w:ind w:firstLine="0"/>
            </w:pPr>
            <w:r w:rsidRPr="004D46AC">
              <w:t>0</w:t>
            </w:r>
          </w:p>
        </w:tc>
        <w:tc>
          <w:tcPr>
            <w:tcW w:w="508" w:type="dxa"/>
          </w:tcPr>
          <w:p w14:paraId="48A9805C" w14:textId="77777777" w:rsidR="007075D9" w:rsidRPr="004D46AC" w:rsidRDefault="007075D9" w:rsidP="00CE2F7A">
            <w:pPr>
              <w:spacing w:line="240" w:lineRule="auto"/>
              <w:ind w:firstLine="0"/>
            </w:pPr>
            <w:r w:rsidRPr="004D46AC">
              <w:t>0</w:t>
            </w:r>
          </w:p>
        </w:tc>
        <w:tc>
          <w:tcPr>
            <w:tcW w:w="508" w:type="dxa"/>
          </w:tcPr>
          <w:p w14:paraId="29AE340C" w14:textId="77777777" w:rsidR="007075D9" w:rsidRPr="004D46AC" w:rsidRDefault="007075D9" w:rsidP="00CE2F7A">
            <w:pPr>
              <w:spacing w:line="240" w:lineRule="auto"/>
              <w:ind w:firstLine="0"/>
            </w:pPr>
            <w:r w:rsidRPr="004D46AC">
              <w:t>0</w:t>
            </w:r>
          </w:p>
        </w:tc>
        <w:tc>
          <w:tcPr>
            <w:tcW w:w="508" w:type="dxa"/>
          </w:tcPr>
          <w:p w14:paraId="1B0F760C" w14:textId="77777777" w:rsidR="007075D9" w:rsidRPr="004D46AC" w:rsidRDefault="007075D9" w:rsidP="00CE2F7A">
            <w:pPr>
              <w:spacing w:line="240" w:lineRule="auto"/>
              <w:ind w:firstLine="0"/>
            </w:pPr>
            <w:r w:rsidRPr="004D46AC">
              <w:t>0</w:t>
            </w:r>
          </w:p>
        </w:tc>
        <w:tc>
          <w:tcPr>
            <w:tcW w:w="508" w:type="dxa"/>
          </w:tcPr>
          <w:p w14:paraId="3B305AFD" w14:textId="77777777" w:rsidR="007075D9" w:rsidRPr="004D46AC" w:rsidRDefault="007075D9" w:rsidP="00CE2F7A">
            <w:pPr>
              <w:spacing w:line="240" w:lineRule="auto"/>
              <w:ind w:firstLine="0"/>
              <w:rPr>
                <w:b/>
                <w:bCs/>
              </w:rPr>
            </w:pPr>
            <w:r w:rsidRPr="004D46AC">
              <w:rPr>
                <w:b/>
                <w:bCs/>
              </w:rPr>
              <w:t>1</w:t>
            </w:r>
          </w:p>
        </w:tc>
      </w:tr>
    </w:tbl>
    <w:p w14:paraId="564B800D" w14:textId="77777777" w:rsidR="007075D9" w:rsidRPr="004D46AC" w:rsidRDefault="007075D9" w:rsidP="00CE2F7A">
      <w:pPr>
        <w:spacing w:line="240" w:lineRule="auto"/>
        <w:ind w:firstLine="0"/>
      </w:pPr>
      <w:r w:rsidRPr="004D46AC">
        <w:rPr>
          <w:i/>
          <w:iCs/>
        </w:rPr>
        <w:t>Note</w:t>
      </w:r>
      <w:r w:rsidRPr="004D46AC">
        <w:t>. SC: structural consistency, and the bold value in each column represents the stability of the community. Values of the variables (other than SC) in each column were bolded if the variable belongs to this community.</w:t>
      </w:r>
    </w:p>
    <w:p w14:paraId="297C5914" w14:textId="77777777" w:rsidR="007075D9" w:rsidRPr="004D46AC" w:rsidRDefault="007075D9" w:rsidP="00CE2F7A">
      <w:pPr>
        <w:spacing w:line="240" w:lineRule="auto"/>
        <w:ind w:firstLine="0"/>
        <w:rPr>
          <w:b/>
          <w:bCs/>
        </w:rPr>
      </w:pPr>
    </w:p>
    <w:p w14:paraId="22720C64" w14:textId="77777777" w:rsidR="007075D9" w:rsidRPr="004D46AC" w:rsidRDefault="007075D9" w:rsidP="00CE2F7A">
      <w:pPr>
        <w:spacing w:line="240" w:lineRule="auto"/>
        <w:ind w:firstLine="0"/>
      </w:pPr>
    </w:p>
    <w:p w14:paraId="0C520DAE" w14:textId="77777777" w:rsidR="007075D9" w:rsidRPr="004D46AC" w:rsidRDefault="007075D9" w:rsidP="00CE2F7A">
      <w:pPr>
        <w:spacing w:line="240" w:lineRule="auto"/>
        <w:ind w:firstLine="0"/>
      </w:pPr>
      <w:r w:rsidRPr="004D46AC">
        <w:rPr>
          <w:noProof/>
        </w:rPr>
        <w:lastRenderedPageBreak/>
        <w:drawing>
          <wp:anchor distT="0" distB="0" distL="114300" distR="114300" simplePos="0" relativeHeight="251661312" behindDoc="0" locked="0" layoutInCell="1" allowOverlap="1" wp14:anchorId="4E1E82BF" wp14:editId="038AC955">
            <wp:simplePos x="914400" y="914400"/>
            <wp:positionH relativeFrom="margin">
              <wp:align>left</wp:align>
            </wp:positionH>
            <wp:positionV relativeFrom="paragraph">
              <wp:align>top</wp:align>
            </wp:positionV>
            <wp:extent cx="1510030" cy="8809990"/>
            <wp:effectExtent l="0" t="0" r="0" b="0"/>
            <wp:wrapSquare wrapText="bothSides"/>
            <wp:docPr id="1805926906"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26906" name="图片 1" descr="表格&#10;&#10;AI 生成的内容可能不正确。"/>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520163" cy="88665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46AC">
        <w:br w:type="textWrapping" w:clear="all"/>
      </w:r>
      <w:r w:rsidRPr="004D46AC">
        <w:rPr>
          <w:noProof/>
        </w:rPr>
        <w:lastRenderedPageBreak/>
        <w:drawing>
          <wp:inline distT="0" distB="0" distL="0" distR="0" wp14:anchorId="7E5A8396" wp14:editId="71771D28">
            <wp:extent cx="1477010" cy="8863330"/>
            <wp:effectExtent l="0" t="0" r="8890" b="0"/>
            <wp:docPr id="135092156" name="图片 2" descr="蓝色的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92156" name="图片 2" descr="蓝色的门&#10;&#10;AI 生成的内容可能不正确。"/>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477010" cy="8863330"/>
                    </a:xfrm>
                    <a:prstGeom prst="rect">
                      <a:avLst/>
                    </a:prstGeom>
                    <a:noFill/>
                    <a:ln>
                      <a:noFill/>
                    </a:ln>
                  </pic:spPr>
                </pic:pic>
              </a:graphicData>
            </a:graphic>
          </wp:inline>
        </w:drawing>
      </w:r>
    </w:p>
    <w:p w14:paraId="42E38C46" w14:textId="77777777" w:rsidR="007075D9" w:rsidRPr="004D46AC" w:rsidRDefault="007075D9" w:rsidP="00CE2F7A">
      <w:pPr>
        <w:spacing w:line="240" w:lineRule="auto"/>
        <w:ind w:firstLine="0"/>
      </w:pPr>
      <w:r w:rsidRPr="004D46AC">
        <w:rPr>
          <w:noProof/>
        </w:rPr>
        <w:lastRenderedPageBreak/>
        <w:drawing>
          <wp:inline distT="0" distB="0" distL="0" distR="0" wp14:anchorId="01A6778E" wp14:editId="6A4524FA">
            <wp:extent cx="1477010" cy="8863330"/>
            <wp:effectExtent l="0" t="0" r="8890" b="0"/>
            <wp:docPr id="782593171" name="图片 3" descr="建筑的设计&#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93171" name="图片 3" descr="建筑的设计&#10;&#10;AI 生成的内容可能不正确。"/>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1477010" cy="8863330"/>
                    </a:xfrm>
                    <a:prstGeom prst="rect">
                      <a:avLst/>
                    </a:prstGeom>
                    <a:noFill/>
                    <a:ln>
                      <a:noFill/>
                    </a:ln>
                  </pic:spPr>
                </pic:pic>
              </a:graphicData>
            </a:graphic>
          </wp:inline>
        </w:drawing>
      </w:r>
    </w:p>
    <w:p w14:paraId="4958C637" w14:textId="77777777" w:rsidR="009050EB" w:rsidRPr="004D46AC" w:rsidRDefault="007075D9" w:rsidP="00CE2F7A">
      <w:pPr>
        <w:spacing w:line="240" w:lineRule="auto"/>
        <w:ind w:firstLine="0"/>
        <w:rPr>
          <w:rFonts w:eastAsiaTheme="minorEastAsia"/>
        </w:rPr>
      </w:pPr>
      <w:r w:rsidRPr="004D46AC">
        <w:rPr>
          <w:noProof/>
        </w:rPr>
        <w:lastRenderedPageBreak/>
        <w:drawing>
          <wp:inline distT="0" distB="0" distL="0" distR="0" wp14:anchorId="79A872F8" wp14:editId="4E4F8BD4">
            <wp:extent cx="1477010" cy="8863330"/>
            <wp:effectExtent l="0" t="0" r="8890" b="0"/>
            <wp:docPr id="817139820" name="图片 4"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139820" name="图片 4" descr="图片包含 图表&#10;&#10;AI 生成的内容可能不正确。"/>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477010" cy="8863330"/>
                    </a:xfrm>
                    <a:prstGeom prst="rect">
                      <a:avLst/>
                    </a:prstGeom>
                    <a:noFill/>
                    <a:ln>
                      <a:noFill/>
                    </a:ln>
                  </pic:spPr>
                </pic:pic>
              </a:graphicData>
            </a:graphic>
          </wp:inline>
        </w:drawing>
      </w:r>
    </w:p>
    <w:p w14:paraId="6C6C2E9E" w14:textId="357F9BF4" w:rsidR="009050EB" w:rsidRPr="004D46AC" w:rsidRDefault="009050EB" w:rsidP="009050EB">
      <w:pPr>
        <w:pStyle w:val="afff0"/>
        <w:spacing w:after="0"/>
        <w:ind w:firstLine="0"/>
        <w:rPr>
          <w:rFonts w:eastAsiaTheme="minorEastAsia"/>
          <w:b/>
          <w:bCs/>
          <w:i w:val="0"/>
          <w:iCs w:val="0"/>
          <w:color w:val="auto"/>
          <w:sz w:val="22"/>
          <w:szCs w:val="22"/>
        </w:rPr>
      </w:pPr>
      <w:bookmarkStart w:id="389" w:name="_Toc219880238"/>
      <w:r w:rsidRPr="004D46AC">
        <w:rPr>
          <w:b/>
          <w:bCs/>
          <w:i w:val="0"/>
          <w:iCs w:val="0"/>
          <w:color w:val="auto"/>
          <w:sz w:val="22"/>
          <w:szCs w:val="22"/>
        </w:rPr>
        <w:lastRenderedPageBreak/>
        <w:t xml:space="preserve">Figure C </w:t>
      </w:r>
      <w:r w:rsidRPr="004D46AC">
        <w:rPr>
          <w:b/>
          <w:bCs/>
          <w:i w:val="0"/>
          <w:iCs w:val="0"/>
          <w:color w:val="auto"/>
          <w:sz w:val="22"/>
          <w:szCs w:val="22"/>
        </w:rPr>
        <w:fldChar w:fldCharType="begin"/>
      </w:r>
      <w:r w:rsidRPr="004D46AC">
        <w:rPr>
          <w:b/>
          <w:bCs/>
          <w:i w:val="0"/>
          <w:iCs w:val="0"/>
          <w:color w:val="auto"/>
          <w:sz w:val="22"/>
          <w:szCs w:val="22"/>
        </w:rPr>
        <w:instrText xml:space="preserve"> SEQ Figure_C \* ARABIC </w:instrText>
      </w:r>
      <w:r w:rsidRPr="004D46AC">
        <w:rPr>
          <w:b/>
          <w:bCs/>
          <w:i w:val="0"/>
          <w:iCs w:val="0"/>
          <w:color w:val="auto"/>
          <w:sz w:val="22"/>
          <w:szCs w:val="22"/>
        </w:rPr>
        <w:fldChar w:fldCharType="separate"/>
      </w:r>
      <w:r w:rsidR="002C5F6E" w:rsidRPr="004D46AC">
        <w:rPr>
          <w:b/>
          <w:bCs/>
          <w:i w:val="0"/>
          <w:iCs w:val="0"/>
          <w:noProof/>
          <w:color w:val="auto"/>
          <w:sz w:val="22"/>
          <w:szCs w:val="22"/>
        </w:rPr>
        <w:t>1</w:t>
      </w:r>
      <w:bookmarkEnd w:id="389"/>
      <w:r w:rsidRPr="004D46AC">
        <w:rPr>
          <w:b/>
          <w:bCs/>
          <w:i w:val="0"/>
          <w:iCs w:val="0"/>
          <w:color w:val="auto"/>
          <w:sz w:val="22"/>
          <w:szCs w:val="22"/>
        </w:rPr>
        <w:fldChar w:fldCharType="end"/>
      </w:r>
    </w:p>
    <w:p w14:paraId="0884DC1B" w14:textId="2BC8322A" w:rsidR="007075D9" w:rsidRPr="004D46AC" w:rsidRDefault="007075D9" w:rsidP="00CE2F7A">
      <w:pPr>
        <w:spacing w:line="240" w:lineRule="auto"/>
        <w:ind w:firstLine="0"/>
      </w:pPr>
      <w:r w:rsidRPr="004D46AC">
        <w:rPr>
          <w:i/>
          <w:iCs/>
        </w:rPr>
        <w:t xml:space="preserve">The </w:t>
      </w:r>
      <w:r w:rsidR="0012185F" w:rsidRPr="004D46AC">
        <w:rPr>
          <w:rFonts w:eastAsiaTheme="minorEastAsia" w:hint="eastAsia"/>
          <w:i/>
          <w:iCs/>
        </w:rPr>
        <w:t>b</w:t>
      </w:r>
      <w:r w:rsidRPr="004D46AC">
        <w:rPr>
          <w:i/>
          <w:iCs/>
        </w:rPr>
        <w:t xml:space="preserve">ootstrapped </w:t>
      </w:r>
      <w:r w:rsidR="0012185F" w:rsidRPr="004D46AC">
        <w:rPr>
          <w:rFonts w:eastAsiaTheme="minorEastAsia" w:hint="eastAsia"/>
          <w:i/>
          <w:iCs/>
        </w:rPr>
        <w:t>e</w:t>
      </w:r>
      <w:r w:rsidRPr="004D46AC">
        <w:rPr>
          <w:i/>
          <w:iCs/>
        </w:rPr>
        <w:t xml:space="preserve">dge </w:t>
      </w:r>
      <w:r w:rsidR="0012185F" w:rsidRPr="004D46AC">
        <w:rPr>
          <w:rFonts w:eastAsiaTheme="minorEastAsia" w:hint="eastAsia"/>
          <w:i/>
          <w:iCs/>
        </w:rPr>
        <w:t>w</w:t>
      </w:r>
      <w:r w:rsidRPr="004D46AC">
        <w:rPr>
          <w:i/>
          <w:iCs/>
        </w:rPr>
        <w:t xml:space="preserve">eight CIs of the </w:t>
      </w:r>
      <w:r w:rsidR="0012185F" w:rsidRPr="004D46AC">
        <w:rPr>
          <w:rFonts w:eastAsiaTheme="minorEastAsia" w:hint="eastAsia"/>
          <w:i/>
          <w:iCs/>
        </w:rPr>
        <w:t>n</w:t>
      </w:r>
      <w:r w:rsidRPr="004D46AC">
        <w:rPr>
          <w:i/>
          <w:iCs/>
        </w:rPr>
        <w:t xml:space="preserve">etwork of </w:t>
      </w:r>
      <w:r w:rsidR="0012185F" w:rsidRPr="004D46AC">
        <w:rPr>
          <w:rFonts w:eastAsiaTheme="minorEastAsia" w:hint="eastAsia"/>
          <w:i/>
          <w:iCs/>
        </w:rPr>
        <w:t>a</w:t>
      </w:r>
      <w:r w:rsidRPr="004D46AC">
        <w:rPr>
          <w:i/>
          <w:iCs/>
        </w:rPr>
        <w:t xml:space="preserve">ffective and </w:t>
      </w:r>
      <w:r w:rsidR="0012185F" w:rsidRPr="004D46AC">
        <w:rPr>
          <w:rFonts w:eastAsiaTheme="minorEastAsia" w:hint="eastAsia"/>
          <w:i/>
          <w:iCs/>
        </w:rPr>
        <w:t>p</w:t>
      </w:r>
      <w:r w:rsidRPr="004D46AC">
        <w:rPr>
          <w:i/>
          <w:iCs/>
        </w:rPr>
        <w:t xml:space="preserve">sychotic </w:t>
      </w:r>
      <w:r w:rsidR="0012185F" w:rsidRPr="004D46AC">
        <w:rPr>
          <w:rFonts w:eastAsiaTheme="minorEastAsia" w:hint="eastAsia"/>
          <w:i/>
          <w:iCs/>
        </w:rPr>
        <w:t>s</w:t>
      </w:r>
      <w:r w:rsidRPr="004D46AC">
        <w:rPr>
          <w:i/>
          <w:iCs/>
        </w:rPr>
        <w:t>yndromes</w:t>
      </w:r>
    </w:p>
    <w:p w14:paraId="6BFCB360" w14:textId="77777777" w:rsidR="007075D9" w:rsidRPr="004D46AC" w:rsidRDefault="007075D9" w:rsidP="00CE2F7A">
      <w:pPr>
        <w:spacing w:line="240" w:lineRule="auto"/>
        <w:ind w:firstLine="0"/>
      </w:pPr>
      <w:r w:rsidRPr="004D46AC">
        <w:rPr>
          <w:i/>
          <w:iCs/>
        </w:rPr>
        <w:t>Note</w:t>
      </w:r>
      <w:r w:rsidRPr="004D46AC">
        <w:t>. The red dot represents the sample weight of the edges. The black dot and lines indicate the mean weight and 95% confidence intervals (CIs) of the edge in the bootstrapped samples (</w:t>
      </w:r>
      <w:r w:rsidRPr="004D46AC">
        <w:rPr>
          <w:i/>
          <w:iCs/>
        </w:rPr>
        <w:t>N</w:t>
      </w:r>
      <w:r w:rsidRPr="004D46AC">
        <w:t xml:space="preserve"> = 3,000). The values in the small boxes upon the zero on the </w:t>
      </w:r>
      <w:r w:rsidRPr="004D46AC">
        <w:rPr>
          <w:i/>
          <w:iCs/>
        </w:rPr>
        <w:t>x</w:t>
      </w:r>
      <w:r w:rsidRPr="004D46AC">
        <w:t>-axis reflect the proportion of times that the edge weight was estimated to be 0 in the bootstrapped samples.</w:t>
      </w:r>
    </w:p>
    <w:p w14:paraId="587A5339" w14:textId="77777777" w:rsidR="007075D9" w:rsidRPr="004D46AC" w:rsidRDefault="007075D9" w:rsidP="00CE2F7A">
      <w:pPr>
        <w:spacing w:line="240" w:lineRule="auto"/>
        <w:ind w:firstLine="0"/>
      </w:pPr>
    </w:p>
    <w:p w14:paraId="67D79A88" w14:textId="77777777" w:rsidR="007075D9" w:rsidRPr="004D46AC" w:rsidRDefault="007075D9" w:rsidP="00CE2F7A">
      <w:pPr>
        <w:spacing w:line="240" w:lineRule="auto"/>
        <w:ind w:firstLine="0"/>
      </w:pPr>
    </w:p>
    <w:p w14:paraId="555031AA" w14:textId="77777777" w:rsidR="007075D9" w:rsidRPr="004D46AC" w:rsidRDefault="007075D9" w:rsidP="00CE2F7A">
      <w:pPr>
        <w:spacing w:line="240" w:lineRule="auto"/>
        <w:ind w:firstLine="0"/>
      </w:pPr>
    </w:p>
    <w:p w14:paraId="008E33EF" w14:textId="77777777" w:rsidR="007075D9" w:rsidRPr="004D46AC" w:rsidRDefault="007075D9" w:rsidP="00CE2F7A">
      <w:pPr>
        <w:spacing w:line="240" w:lineRule="auto"/>
        <w:ind w:firstLine="0"/>
      </w:pPr>
    </w:p>
    <w:p w14:paraId="6A6AFDE3" w14:textId="77777777" w:rsidR="007075D9" w:rsidRPr="004D46AC" w:rsidRDefault="007075D9" w:rsidP="00CE2F7A">
      <w:pPr>
        <w:spacing w:line="240" w:lineRule="auto"/>
        <w:ind w:firstLine="0"/>
      </w:pPr>
    </w:p>
    <w:p w14:paraId="259AD1CC" w14:textId="77777777" w:rsidR="007075D9" w:rsidRPr="004D46AC" w:rsidRDefault="007075D9" w:rsidP="00CE2F7A">
      <w:pPr>
        <w:spacing w:line="240" w:lineRule="auto"/>
        <w:ind w:firstLine="0"/>
      </w:pPr>
    </w:p>
    <w:p w14:paraId="3F6F465E" w14:textId="77777777" w:rsidR="007075D9" w:rsidRPr="004D46AC" w:rsidRDefault="007075D9" w:rsidP="00CE2F7A">
      <w:pPr>
        <w:spacing w:line="240" w:lineRule="auto"/>
        <w:ind w:firstLine="0"/>
      </w:pPr>
    </w:p>
    <w:p w14:paraId="2AEB5406" w14:textId="77777777" w:rsidR="007075D9" w:rsidRPr="004D46AC" w:rsidRDefault="007075D9" w:rsidP="00CE2F7A">
      <w:pPr>
        <w:spacing w:line="240" w:lineRule="auto"/>
        <w:ind w:firstLine="0"/>
      </w:pPr>
    </w:p>
    <w:p w14:paraId="210335C9" w14:textId="77777777" w:rsidR="007075D9" w:rsidRPr="004D46AC" w:rsidRDefault="007075D9" w:rsidP="00CE2F7A">
      <w:pPr>
        <w:spacing w:line="240" w:lineRule="auto"/>
        <w:ind w:firstLine="0"/>
      </w:pPr>
    </w:p>
    <w:p w14:paraId="13331E10" w14:textId="77777777" w:rsidR="007075D9" w:rsidRPr="004D46AC" w:rsidRDefault="007075D9" w:rsidP="00CE2F7A">
      <w:pPr>
        <w:spacing w:line="240" w:lineRule="auto"/>
        <w:ind w:firstLine="0"/>
      </w:pPr>
    </w:p>
    <w:p w14:paraId="2B150E93" w14:textId="77777777" w:rsidR="007075D9" w:rsidRPr="004D46AC" w:rsidRDefault="007075D9" w:rsidP="00CE2F7A">
      <w:pPr>
        <w:spacing w:line="240" w:lineRule="auto"/>
        <w:ind w:firstLine="0"/>
      </w:pPr>
    </w:p>
    <w:p w14:paraId="61DCF12C" w14:textId="77777777" w:rsidR="007075D9" w:rsidRPr="004D46AC" w:rsidRDefault="007075D9" w:rsidP="00CE2F7A">
      <w:pPr>
        <w:spacing w:line="240" w:lineRule="auto"/>
        <w:ind w:firstLine="0"/>
      </w:pPr>
    </w:p>
    <w:p w14:paraId="741D01AB" w14:textId="77777777" w:rsidR="007075D9" w:rsidRPr="004D46AC" w:rsidRDefault="007075D9" w:rsidP="00CE2F7A">
      <w:pPr>
        <w:spacing w:line="240" w:lineRule="auto"/>
        <w:ind w:firstLine="0"/>
      </w:pPr>
    </w:p>
    <w:p w14:paraId="17D5F16A" w14:textId="77777777" w:rsidR="007075D9" w:rsidRPr="004D46AC" w:rsidRDefault="007075D9" w:rsidP="00CE2F7A">
      <w:pPr>
        <w:spacing w:line="240" w:lineRule="auto"/>
        <w:ind w:firstLine="0"/>
      </w:pPr>
    </w:p>
    <w:p w14:paraId="059B1F64" w14:textId="77777777" w:rsidR="007075D9" w:rsidRPr="004D46AC" w:rsidRDefault="007075D9" w:rsidP="00CE2F7A">
      <w:pPr>
        <w:spacing w:line="240" w:lineRule="auto"/>
        <w:ind w:firstLine="0"/>
      </w:pPr>
    </w:p>
    <w:p w14:paraId="2B0FF56E" w14:textId="77777777" w:rsidR="007075D9" w:rsidRPr="004D46AC" w:rsidRDefault="007075D9" w:rsidP="00CE2F7A">
      <w:pPr>
        <w:spacing w:line="240" w:lineRule="auto"/>
        <w:ind w:firstLine="0"/>
      </w:pPr>
    </w:p>
    <w:p w14:paraId="1E4735FC" w14:textId="77777777" w:rsidR="007075D9" w:rsidRPr="004D46AC" w:rsidRDefault="007075D9" w:rsidP="00CE2F7A">
      <w:pPr>
        <w:spacing w:line="240" w:lineRule="auto"/>
        <w:ind w:firstLine="0"/>
      </w:pPr>
    </w:p>
    <w:p w14:paraId="2CEEC0CA" w14:textId="77777777" w:rsidR="007075D9" w:rsidRPr="004D46AC" w:rsidRDefault="007075D9" w:rsidP="00CE2F7A">
      <w:pPr>
        <w:spacing w:line="240" w:lineRule="auto"/>
        <w:ind w:firstLine="0"/>
      </w:pPr>
    </w:p>
    <w:p w14:paraId="5E66E0B8" w14:textId="77777777" w:rsidR="007075D9" w:rsidRPr="004D46AC" w:rsidRDefault="007075D9" w:rsidP="00CE2F7A">
      <w:pPr>
        <w:spacing w:line="240" w:lineRule="auto"/>
        <w:ind w:firstLine="0"/>
      </w:pPr>
    </w:p>
    <w:p w14:paraId="2BC7DCCB" w14:textId="77777777" w:rsidR="007075D9" w:rsidRPr="004D46AC" w:rsidRDefault="007075D9" w:rsidP="00CE2F7A">
      <w:pPr>
        <w:spacing w:line="240" w:lineRule="auto"/>
        <w:ind w:firstLine="0"/>
      </w:pPr>
    </w:p>
    <w:p w14:paraId="2D6E2B71" w14:textId="77777777" w:rsidR="007075D9" w:rsidRPr="004D46AC" w:rsidRDefault="007075D9" w:rsidP="00CE2F7A">
      <w:pPr>
        <w:spacing w:line="240" w:lineRule="auto"/>
        <w:ind w:firstLine="0"/>
      </w:pPr>
    </w:p>
    <w:p w14:paraId="768563C4" w14:textId="77777777" w:rsidR="007075D9" w:rsidRPr="004D46AC" w:rsidRDefault="007075D9" w:rsidP="00CE2F7A">
      <w:pPr>
        <w:spacing w:line="240" w:lineRule="auto"/>
        <w:ind w:firstLine="0"/>
      </w:pPr>
    </w:p>
    <w:p w14:paraId="76514E9C" w14:textId="77777777" w:rsidR="007075D9" w:rsidRPr="004D46AC" w:rsidRDefault="007075D9" w:rsidP="00CE2F7A">
      <w:pPr>
        <w:spacing w:line="240" w:lineRule="auto"/>
        <w:ind w:firstLine="0"/>
      </w:pPr>
    </w:p>
    <w:p w14:paraId="2841B2FB" w14:textId="77777777" w:rsidR="007075D9" w:rsidRPr="004D46AC" w:rsidRDefault="007075D9" w:rsidP="00CE2F7A">
      <w:pPr>
        <w:spacing w:line="240" w:lineRule="auto"/>
        <w:ind w:firstLine="0"/>
      </w:pPr>
    </w:p>
    <w:p w14:paraId="7B7C07D8" w14:textId="77777777" w:rsidR="007075D9" w:rsidRPr="004D46AC" w:rsidRDefault="007075D9" w:rsidP="00CE2F7A">
      <w:pPr>
        <w:spacing w:line="240" w:lineRule="auto"/>
        <w:ind w:firstLine="0"/>
      </w:pPr>
    </w:p>
    <w:p w14:paraId="6045E04E" w14:textId="77777777" w:rsidR="007075D9" w:rsidRPr="004D46AC" w:rsidRDefault="007075D9" w:rsidP="00CE2F7A">
      <w:pPr>
        <w:spacing w:line="240" w:lineRule="auto"/>
        <w:ind w:firstLine="0"/>
      </w:pPr>
    </w:p>
    <w:p w14:paraId="73BAED78" w14:textId="77777777" w:rsidR="007075D9" w:rsidRPr="004D46AC" w:rsidRDefault="007075D9" w:rsidP="00CE2F7A">
      <w:pPr>
        <w:spacing w:line="240" w:lineRule="auto"/>
        <w:ind w:firstLine="0"/>
      </w:pPr>
    </w:p>
    <w:p w14:paraId="65350C54" w14:textId="77777777" w:rsidR="007075D9" w:rsidRPr="004D46AC" w:rsidRDefault="007075D9" w:rsidP="00CE2F7A">
      <w:pPr>
        <w:spacing w:line="240" w:lineRule="auto"/>
        <w:ind w:firstLine="0"/>
      </w:pPr>
    </w:p>
    <w:p w14:paraId="3F26D68C" w14:textId="77777777" w:rsidR="007075D9" w:rsidRPr="004D46AC" w:rsidRDefault="007075D9" w:rsidP="00CE2F7A">
      <w:pPr>
        <w:spacing w:line="240" w:lineRule="auto"/>
        <w:ind w:firstLine="0"/>
      </w:pPr>
    </w:p>
    <w:p w14:paraId="50017F24" w14:textId="77777777" w:rsidR="007075D9" w:rsidRPr="004D46AC" w:rsidRDefault="007075D9" w:rsidP="00CE2F7A">
      <w:pPr>
        <w:spacing w:line="240" w:lineRule="auto"/>
        <w:ind w:firstLine="0"/>
      </w:pPr>
    </w:p>
    <w:p w14:paraId="64777074" w14:textId="77777777" w:rsidR="007075D9" w:rsidRPr="004D46AC" w:rsidRDefault="007075D9" w:rsidP="00CE2F7A">
      <w:pPr>
        <w:spacing w:line="240" w:lineRule="auto"/>
        <w:ind w:firstLine="0"/>
      </w:pPr>
    </w:p>
    <w:p w14:paraId="5521ECF4" w14:textId="77777777" w:rsidR="007075D9" w:rsidRPr="004D46AC" w:rsidRDefault="007075D9" w:rsidP="00CE2F7A">
      <w:pPr>
        <w:spacing w:line="240" w:lineRule="auto"/>
        <w:ind w:firstLine="0"/>
      </w:pPr>
      <w:r w:rsidRPr="004D46AC">
        <w:rPr>
          <w:noProof/>
        </w:rPr>
        <w:lastRenderedPageBreak/>
        <w:drawing>
          <wp:inline distT="0" distB="0" distL="0" distR="0" wp14:anchorId="5CB4280B" wp14:editId="06711AA5">
            <wp:extent cx="5274310" cy="3811270"/>
            <wp:effectExtent l="0" t="0" r="0" b="0"/>
            <wp:docPr id="1090560771" name="Picture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60771" name="Picture 1" descr="图表&#10;&#10;AI 生成的内容可能不正确。"/>
                    <pic:cNvPicPr/>
                  </pic:nvPicPr>
                  <pic:blipFill>
                    <a:blip r:embed="rId448"/>
                    <a:stretch>
                      <a:fillRect/>
                    </a:stretch>
                  </pic:blipFill>
                  <pic:spPr>
                    <a:xfrm>
                      <a:off x="0" y="0"/>
                      <a:ext cx="5274310" cy="3811270"/>
                    </a:xfrm>
                    <a:prstGeom prst="rect">
                      <a:avLst/>
                    </a:prstGeom>
                  </pic:spPr>
                </pic:pic>
              </a:graphicData>
            </a:graphic>
          </wp:inline>
        </w:drawing>
      </w:r>
    </w:p>
    <w:p w14:paraId="118C2C2D" w14:textId="1231A5C5" w:rsidR="007075D9" w:rsidRPr="004D46AC" w:rsidRDefault="002C5F6E" w:rsidP="002C5F6E">
      <w:pPr>
        <w:pStyle w:val="afff0"/>
        <w:spacing w:after="0"/>
        <w:ind w:firstLine="0"/>
        <w:rPr>
          <w:rFonts w:eastAsia="SimSun"/>
          <w:b/>
          <w:bCs/>
          <w:i w:val="0"/>
          <w:iCs w:val="0"/>
          <w:color w:val="auto"/>
          <w:kern w:val="0"/>
          <w:sz w:val="22"/>
          <w:szCs w:val="22"/>
          <w:lang w:val="en-US"/>
          <w14:ligatures w14:val="none"/>
        </w:rPr>
      </w:pPr>
      <w:bookmarkStart w:id="390" w:name="_Toc219880239"/>
      <w:r w:rsidRPr="004D46AC">
        <w:rPr>
          <w:b/>
          <w:bCs/>
          <w:i w:val="0"/>
          <w:iCs w:val="0"/>
          <w:color w:val="auto"/>
          <w:sz w:val="22"/>
          <w:szCs w:val="22"/>
        </w:rPr>
        <w:t xml:space="preserve">Figure C </w:t>
      </w:r>
      <w:r w:rsidRPr="004D46AC">
        <w:rPr>
          <w:b/>
          <w:bCs/>
          <w:i w:val="0"/>
          <w:iCs w:val="0"/>
          <w:color w:val="auto"/>
          <w:sz w:val="22"/>
          <w:szCs w:val="22"/>
        </w:rPr>
        <w:fldChar w:fldCharType="begin"/>
      </w:r>
      <w:r w:rsidRPr="004D46AC">
        <w:rPr>
          <w:b/>
          <w:bCs/>
          <w:i w:val="0"/>
          <w:iCs w:val="0"/>
          <w:color w:val="auto"/>
          <w:sz w:val="22"/>
          <w:szCs w:val="22"/>
        </w:rPr>
        <w:instrText xml:space="preserve"> SEQ Figure_C \* ARABIC </w:instrText>
      </w:r>
      <w:r w:rsidRPr="004D46AC">
        <w:rPr>
          <w:b/>
          <w:bCs/>
          <w:i w:val="0"/>
          <w:iCs w:val="0"/>
          <w:color w:val="auto"/>
          <w:sz w:val="22"/>
          <w:szCs w:val="22"/>
        </w:rPr>
        <w:fldChar w:fldCharType="separate"/>
      </w:r>
      <w:r w:rsidRPr="004D46AC">
        <w:rPr>
          <w:b/>
          <w:bCs/>
          <w:i w:val="0"/>
          <w:iCs w:val="0"/>
          <w:noProof/>
          <w:color w:val="auto"/>
          <w:sz w:val="22"/>
          <w:szCs w:val="22"/>
        </w:rPr>
        <w:t>2</w:t>
      </w:r>
      <w:bookmarkEnd w:id="390"/>
      <w:r w:rsidRPr="004D46AC">
        <w:rPr>
          <w:b/>
          <w:bCs/>
          <w:i w:val="0"/>
          <w:iCs w:val="0"/>
          <w:color w:val="auto"/>
          <w:sz w:val="22"/>
          <w:szCs w:val="22"/>
        </w:rPr>
        <w:fldChar w:fldCharType="end"/>
      </w:r>
    </w:p>
    <w:p w14:paraId="49878487" w14:textId="77777777" w:rsidR="007075D9" w:rsidRPr="004D46AC" w:rsidRDefault="007075D9" w:rsidP="00CE2F7A">
      <w:pPr>
        <w:spacing w:line="240" w:lineRule="auto"/>
        <w:ind w:firstLine="0"/>
        <w:rPr>
          <w:rFonts w:eastAsia="SimSun"/>
          <w:kern w:val="0"/>
          <w:lang w:val="en-US"/>
          <w14:ligatures w14:val="none"/>
        </w:rPr>
      </w:pPr>
      <w:bookmarkStart w:id="391" w:name="OLE_LINK104"/>
      <w:r w:rsidRPr="004D46AC">
        <w:rPr>
          <w:rFonts w:eastAsia="SimSun"/>
          <w:i/>
          <w:iCs/>
          <w:color w:val="000000"/>
          <w:kern w:val="0"/>
          <w:lang w:val="en-US"/>
          <w14:ligatures w14:val="none"/>
        </w:rPr>
        <w:t>The bootstrapped node strengths in network of general psychotic population</w:t>
      </w:r>
    </w:p>
    <w:bookmarkEnd w:id="391"/>
    <w:p w14:paraId="6EF40223" w14:textId="77777777" w:rsidR="007075D9" w:rsidRPr="004D46AC" w:rsidRDefault="007075D9" w:rsidP="00CE2F7A">
      <w:pPr>
        <w:spacing w:line="240" w:lineRule="auto"/>
        <w:ind w:firstLine="0"/>
        <w:rPr>
          <w:rFonts w:eastAsia="SimSun"/>
          <w:kern w:val="0"/>
          <w:lang w:val="en-US"/>
          <w14:ligatures w14:val="none"/>
        </w:rPr>
      </w:pPr>
      <w:r w:rsidRPr="004D46AC">
        <w:rPr>
          <w:rFonts w:eastAsia="SimSun"/>
          <w:i/>
          <w:iCs/>
          <w:color w:val="000000"/>
          <w:kern w:val="0"/>
          <w:lang w:val="en-US"/>
          <w14:ligatures w14:val="none"/>
        </w:rPr>
        <w:t>Note</w:t>
      </w:r>
      <w:r w:rsidRPr="004D46AC">
        <w:rPr>
          <w:rFonts w:eastAsia="SimSun"/>
          <w:color w:val="000000"/>
          <w:kern w:val="0"/>
          <w:lang w:val="en-US"/>
          <w14:ligatures w14:val="none"/>
        </w:rPr>
        <w:t>. The figure shows the node strength as well as the comparison results of the bootstrapped samples (</w:t>
      </w:r>
      <w:r w:rsidRPr="004D46AC">
        <w:rPr>
          <w:rFonts w:eastAsia="SimSun"/>
          <w:i/>
          <w:iCs/>
          <w:color w:val="000000"/>
          <w:kern w:val="0"/>
          <w:lang w:val="en-US"/>
          <w14:ligatures w14:val="none"/>
        </w:rPr>
        <w:t>N</w:t>
      </w:r>
      <w:r w:rsidRPr="004D46AC">
        <w:rPr>
          <w:rFonts w:eastAsia="SimSun"/>
          <w:color w:val="000000"/>
          <w:kern w:val="0"/>
          <w:lang w:val="en-US"/>
          <w14:ligatures w14:val="none"/>
        </w:rPr>
        <w:t>=3000). The black blocks indicate the difference between the node strengths was statistically different while the grey blocks mean the difference was non-significant. However, the results should be interpreted with caution as they were based on bootstrapped samples.</w:t>
      </w:r>
    </w:p>
    <w:p w14:paraId="2202E36A" w14:textId="77777777" w:rsidR="007075D9" w:rsidRPr="004D46AC" w:rsidRDefault="007075D9" w:rsidP="00CE2F7A">
      <w:pPr>
        <w:spacing w:line="240" w:lineRule="auto"/>
        <w:ind w:firstLine="0"/>
        <w:rPr>
          <w:lang w:val="en-US"/>
        </w:rPr>
      </w:pPr>
    </w:p>
    <w:p w14:paraId="63DB2628" w14:textId="77777777" w:rsidR="007075D9" w:rsidRPr="004D46AC" w:rsidRDefault="007075D9" w:rsidP="00CE2F7A">
      <w:pPr>
        <w:spacing w:line="240" w:lineRule="auto"/>
        <w:ind w:firstLine="0"/>
      </w:pPr>
    </w:p>
    <w:p w14:paraId="6953C5C3" w14:textId="77777777" w:rsidR="007075D9" w:rsidRPr="004D46AC" w:rsidRDefault="007075D9" w:rsidP="00CE2F7A">
      <w:pPr>
        <w:spacing w:line="240" w:lineRule="auto"/>
        <w:ind w:firstLine="0"/>
      </w:pPr>
    </w:p>
    <w:p w14:paraId="4DD6C5FF" w14:textId="77777777" w:rsidR="007075D9" w:rsidRPr="004D46AC" w:rsidRDefault="007075D9" w:rsidP="00CE2F7A">
      <w:pPr>
        <w:spacing w:line="240" w:lineRule="auto"/>
        <w:ind w:firstLine="0"/>
      </w:pPr>
    </w:p>
    <w:p w14:paraId="4376A0A7" w14:textId="77777777" w:rsidR="007075D9" w:rsidRPr="004D46AC" w:rsidRDefault="007075D9" w:rsidP="00CE2F7A">
      <w:pPr>
        <w:spacing w:line="240" w:lineRule="auto"/>
        <w:ind w:firstLine="0"/>
      </w:pPr>
    </w:p>
    <w:p w14:paraId="38FDF86A" w14:textId="77777777" w:rsidR="007075D9" w:rsidRPr="004D46AC" w:rsidRDefault="007075D9" w:rsidP="00CE2F7A">
      <w:pPr>
        <w:spacing w:line="240" w:lineRule="auto"/>
        <w:ind w:firstLine="0"/>
      </w:pPr>
    </w:p>
    <w:p w14:paraId="022FDADF" w14:textId="77777777" w:rsidR="007075D9" w:rsidRPr="004D46AC" w:rsidRDefault="007075D9" w:rsidP="00CE2F7A">
      <w:pPr>
        <w:spacing w:line="240" w:lineRule="auto"/>
        <w:ind w:firstLine="0"/>
      </w:pPr>
    </w:p>
    <w:p w14:paraId="00EC40C2" w14:textId="77777777" w:rsidR="007075D9" w:rsidRPr="004D46AC" w:rsidRDefault="007075D9" w:rsidP="00CE2F7A">
      <w:pPr>
        <w:spacing w:line="240" w:lineRule="auto"/>
        <w:ind w:firstLine="0"/>
      </w:pPr>
    </w:p>
    <w:p w14:paraId="027CF83F" w14:textId="77777777" w:rsidR="007075D9" w:rsidRPr="004D46AC" w:rsidRDefault="007075D9" w:rsidP="00CE2F7A">
      <w:pPr>
        <w:spacing w:line="240" w:lineRule="auto"/>
        <w:ind w:firstLine="0"/>
      </w:pPr>
    </w:p>
    <w:p w14:paraId="0F4C41FB" w14:textId="77777777" w:rsidR="007075D9" w:rsidRPr="004D46AC" w:rsidRDefault="007075D9" w:rsidP="00CE2F7A">
      <w:pPr>
        <w:spacing w:line="240" w:lineRule="auto"/>
        <w:ind w:firstLine="0"/>
      </w:pPr>
    </w:p>
    <w:p w14:paraId="7B8BEA45" w14:textId="24EDF02B" w:rsidR="007075D9" w:rsidRPr="004D46AC" w:rsidRDefault="00E46A2C" w:rsidP="00CE2F7A">
      <w:pPr>
        <w:spacing w:line="240" w:lineRule="auto"/>
        <w:ind w:firstLine="0"/>
      </w:pPr>
      <w:r w:rsidRPr="004D46AC">
        <w:rPr>
          <w:noProof/>
        </w:rPr>
        <w:lastRenderedPageBreak/>
        <w:drawing>
          <wp:inline distT="0" distB="0" distL="0" distR="0" wp14:anchorId="73D4839F" wp14:editId="3ACA6CB0">
            <wp:extent cx="5274310" cy="3907790"/>
            <wp:effectExtent l="0" t="0" r="2540" b="0"/>
            <wp:docPr id="828167404" name="Picture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67404" name="Picture 1" descr="图表&#10;&#10;AI 生成的内容可能不正确。"/>
                    <pic:cNvPicPr/>
                  </pic:nvPicPr>
                  <pic:blipFill>
                    <a:blip r:embed="rId449"/>
                    <a:stretch>
                      <a:fillRect/>
                    </a:stretch>
                  </pic:blipFill>
                  <pic:spPr>
                    <a:xfrm>
                      <a:off x="0" y="0"/>
                      <a:ext cx="5274310" cy="3907790"/>
                    </a:xfrm>
                    <a:prstGeom prst="rect">
                      <a:avLst/>
                    </a:prstGeom>
                  </pic:spPr>
                </pic:pic>
              </a:graphicData>
            </a:graphic>
          </wp:inline>
        </w:drawing>
      </w:r>
      <w:r w:rsidRPr="004D46AC">
        <w:rPr>
          <w:noProof/>
        </w:rPr>
        <w:t xml:space="preserve"> </w:t>
      </w:r>
    </w:p>
    <w:p w14:paraId="41A742EC" w14:textId="4BDC44A3" w:rsidR="007075D9" w:rsidRPr="004D46AC" w:rsidRDefault="002C5F6E" w:rsidP="002C5F6E">
      <w:pPr>
        <w:pStyle w:val="afff0"/>
        <w:spacing w:after="0"/>
        <w:ind w:firstLine="0"/>
        <w:rPr>
          <w:rFonts w:eastAsiaTheme="minorEastAsia"/>
          <w:b/>
          <w:bCs/>
          <w:i w:val="0"/>
          <w:iCs w:val="0"/>
          <w:color w:val="auto"/>
          <w:sz w:val="22"/>
          <w:szCs w:val="22"/>
        </w:rPr>
      </w:pPr>
      <w:bookmarkStart w:id="392" w:name="_Toc219880240"/>
      <w:r w:rsidRPr="004D46AC">
        <w:rPr>
          <w:b/>
          <w:bCs/>
          <w:i w:val="0"/>
          <w:iCs w:val="0"/>
          <w:color w:val="auto"/>
          <w:sz w:val="22"/>
          <w:szCs w:val="22"/>
        </w:rPr>
        <w:t xml:space="preserve">Figure C </w:t>
      </w:r>
      <w:r w:rsidRPr="004D46AC">
        <w:rPr>
          <w:b/>
          <w:bCs/>
          <w:i w:val="0"/>
          <w:iCs w:val="0"/>
          <w:color w:val="auto"/>
          <w:sz w:val="22"/>
          <w:szCs w:val="22"/>
        </w:rPr>
        <w:fldChar w:fldCharType="begin"/>
      </w:r>
      <w:r w:rsidRPr="004D46AC">
        <w:rPr>
          <w:b/>
          <w:bCs/>
          <w:i w:val="0"/>
          <w:iCs w:val="0"/>
          <w:color w:val="auto"/>
          <w:sz w:val="22"/>
          <w:szCs w:val="22"/>
        </w:rPr>
        <w:instrText xml:space="preserve"> SEQ Figure_C \* ARABIC </w:instrText>
      </w:r>
      <w:r w:rsidRPr="004D46AC">
        <w:rPr>
          <w:b/>
          <w:bCs/>
          <w:i w:val="0"/>
          <w:iCs w:val="0"/>
          <w:color w:val="auto"/>
          <w:sz w:val="22"/>
          <w:szCs w:val="22"/>
        </w:rPr>
        <w:fldChar w:fldCharType="separate"/>
      </w:r>
      <w:r w:rsidRPr="004D46AC">
        <w:rPr>
          <w:b/>
          <w:bCs/>
          <w:i w:val="0"/>
          <w:iCs w:val="0"/>
          <w:noProof/>
          <w:color w:val="auto"/>
          <w:sz w:val="22"/>
          <w:szCs w:val="22"/>
        </w:rPr>
        <w:t>3</w:t>
      </w:r>
      <w:bookmarkEnd w:id="392"/>
      <w:r w:rsidRPr="004D46AC">
        <w:rPr>
          <w:b/>
          <w:bCs/>
          <w:i w:val="0"/>
          <w:iCs w:val="0"/>
          <w:color w:val="auto"/>
          <w:sz w:val="22"/>
          <w:szCs w:val="22"/>
        </w:rPr>
        <w:fldChar w:fldCharType="end"/>
      </w:r>
    </w:p>
    <w:p w14:paraId="101A4782" w14:textId="77777777" w:rsidR="00E46A2C" w:rsidRPr="004D46AC" w:rsidRDefault="00E46A2C" w:rsidP="00E46A2C">
      <w:pPr>
        <w:pStyle w:val="afff0"/>
        <w:spacing w:after="0"/>
        <w:ind w:firstLine="0"/>
        <w:rPr>
          <w:i w:val="0"/>
          <w:iCs w:val="0"/>
          <w:color w:val="auto"/>
          <w:sz w:val="22"/>
          <w:szCs w:val="22"/>
        </w:rPr>
      </w:pPr>
      <w:r w:rsidRPr="004D46AC">
        <w:rPr>
          <w:i w:val="0"/>
          <w:iCs w:val="0"/>
          <w:color w:val="auto"/>
          <w:sz w:val="22"/>
          <w:szCs w:val="22"/>
        </w:rPr>
        <w:t>The network density among patients with different psychoses</w:t>
      </w:r>
    </w:p>
    <w:p w14:paraId="5B3605B1" w14:textId="77777777" w:rsidR="00E46A2C" w:rsidRPr="004D46AC" w:rsidRDefault="00E46A2C" w:rsidP="00E46A2C">
      <w:pPr>
        <w:spacing w:line="240" w:lineRule="auto"/>
        <w:ind w:firstLine="0"/>
      </w:pPr>
      <w:r w:rsidRPr="004D46AC">
        <w:rPr>
          <w:i/>
          <w:iCs/>
        </w:rPr>
        <w:t>Note.</w:t>
      </w:r>
      <w:r w:rsidRPr="004D46AC">
        <w:t xml:space="preserve"> The densities and the confidential intervals were computed based on the bootstrapped networks, which offers additional support to the NCT findings.</w:t>
      </w:r>
    </w:p>
    <w:p w14:paraId="4FF80BF2" w14:textId="77777777" w:rsidR="007075D9" w:rsidRPr="004D46AC" w:rsidRDefault="007075D9" w:rsidP="00CE2F7A">
      <w:pPr>
        <w:spacing w:line="240" w:lineRule="auto"/>
        <w:ind w:firstLine="0"/>
        <w:rPr>
          <w:rFonts w:eastAsiaTheme="minorEastAsia"/>
        </w:rPr>
      </w:pPr>
    </w:p>
    <w:p w14:paraId="51AE67C4" w14:textId="77777777" w:rsidR="00CC3324" w:rsidRPr="004D46AC" w:rsidRDefault="00CC3324" w:rsidP="00CE2F7A">
      <w:pPr>
        <w:spacing w:line="240" w:lineRule="auto"/>
        <w:ind w:firstLine="0"/>
        <w:rPr>
          <w:rFonts w:eastAsiaTheme="minorEastAsia"/>
        </w:rPr>
      </w:pPr>
    </w:p>
    <w:p w14:paraId="7C421B3D" w14:textId="77777777" w:rsidR="00CC3324" w:rsidRPr="004D46AC" w:rsidRDefault="00CC3324" w:rsidP="00CE2F7A">
      <w:pPr>
        <w:spacing w:line="240" w:lineRule="auto"/>
        <w:ind w:firstLine="0"/>
        <w:rPr>
          <w:rFonts w:eastAsiaTheme="minorEastAsia"/>
        </w:rPr>
      </w:pPr>
    </w:p>
    <w:p w14:paraId="4050D191" w14:textId="77777777" w:rsidR="00CC3324" w:rsidRPr="004D46AC" w:rsidRDefault="00CC3324" w:rsidP="00CE2F7A">
      <w:pPr>
        <w:spacing w:line="240" w:lineRule="auto"/>
        <w:ind w:firstLine="0"/>
        <w:rPr>
          <w:rFonts w:eastAsiaTheme="minorEastAsia"/>
        </w:rPr>
      </w:pPr>
    </w:p>
    <w:p w14:paraId="3144184F" w14:textId="77777777" w:rsidR="00CC3324" w:rsidRPr="004D46AC" w:rsidRDefault="00CC3324" w:rsidP="00CE2F7A">
      <w:pPr>
        <w:spacing w:line="240" w:lineRule="auto"/>
        <w:ind w:firstLine="0"/>
        <w:rPr>
          <w:rFonts w:eastAsiaTheme="minorEastAsia"/>
        </w:rPr>
      </w:pPr>
    </w:p>
    <w:p w14:paraId="75E1B069" w14:textId="77777777" w:rsidR="00CC3324" w:rsidRPr="004D46AC" w:rsidRDefault="00CC3324" w:rsidP="00CE2F7A">
      <w:pPr>
        <w:spacing w:line="240" w:lineRule="auto"/>
        <w:ind w:firstLine="0"/>
        <w:rPr>
          <w:rFonts w:eastAsiaTheme="minorEastAsia"/>
        </w:rPr>
      </w:pPr>
    </w:p>
    <w:p w14:paraId="33F7B6B4" w14:textId="77777777" w:rsidR="00CC3324" w:rsidRPr="004D46AC" w:rsidRDefault="00CC3324" w:rsidP="00CE2F7A">
      <w:pPr>
        <w:spacing w:line="240" w:lineRule="auto"/>
        <w:ind w:firstLine="0"/>
        <w:rPr>
          <w:rFonts w:eastAsiaTheme="minorEastAsia"/>
        </w:rPr>
      </w:pPr>
    </w:p>
    <w:p w14:paraId="58AA4DE6" w14:textId="77777777" w:rsidR="00CC3324" w:rsidRPr="004D46AC" w:rsidRDefault="00CC3324" w:rsidP="00CE2F7A">
      <w:pPr>
        <w:spacing w:line="240" w:lineRule="auto"/>
        <w:ind w:firstLine="0"/>
        <w:rPr>
          <w:rFonts w:eastAsiaTheme="minorEastAsia"/>
        </w:rPr>
      </w:pPr>
    </w:p>
    <w:p w14:paraId="79EF1D46" w14:textId="57236488" w:rsidR="007075D9" w:rsidRPr="004D46AC" w:rsidRDefault="00E46A2C" w:rsidP="00CE2F7A">
      <w:pPr>
        <w:spacing w:line="240" w:lineRule="auto"/>
        <w:ind w:firstLine="0"/>
      </w:pPr>
      <w:r w:rsidRPr="004D46AC">
        <w:rPr>
          <w:noProof/>
        </w:rPr>
        <w:lastRenderedPageBreak/>
        <w:drawing>
          <wp:inline distT="0" distB="0" distL="114300" distR="114300" wp14:anchorId="03D4971E" wp14:editId="0DB607FC">
            <wp:extent cx="5256530" cy="2988310"/>
            <wp:effectExtent l="5080" t="4445" r="6350" b="40640"/>
            <wp:docPr id="1" name="图表 1" descr="7b0a202020202263686172745265734964223a20223230343734393437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450"/>
              </a:graphicData>
            </a:graphic>
          </wp:inline>
        </w:drawing>
      </w:r>
    </w:p>
    <w:p w14:paraId="6D399AA6" w14:textId="2740B19F" w:rsidR="002C5F6E" w:rsidRPr="004D46AC" w:rsidRDefault="002C5F6E" w:rsidP="002C5F6E">
      <w:pPr>
        <w:pStyle w:val="afff0"/>
        <w:spacing w:after="0"/>
        <w:ind w:firstLine="0"/>
        <w:rPr>
          <w:rFonts w:eastAsiaTheme="minorEastAsia"/>
          <w:b/>
          <w:bCs/>
          <w:i w:val="0"/>
          <w:iCs w:val="0"/>
          <w:color w:val="auto"/>
          <w:sz w:val="22"/>
          <w:szCs w:val="22"/>
        </w:rPr>
      </w:pPr>
      <w:bookmarkStart w:id="393" w:name="_Toc219880241"/>
      <w:r w:rsidRPr="004D46AC">
        <w:rPr>
          <w:b/>
          <w:bCs/>
          <w:i w:val="0"/>
          <w:iCs w:val="0"/>
          <w:color w:val="auto"/>
          <w:sz w:val="22"/>
          <w:szCs w:val="22"/>
        </w:rPr>
        <w:t xml:space="preserve">Figure C </w:t>
      </w:r>
      <w:r w:rsidRPr="004D46AC">
        <w:rPr>
          <w:b/>
          <w:bCs/>
          <w:i w:val="0"/>
          <w:iCs w:val="0"/>
          <w:color w:val="auto"/>
          <w:sz w:val="22"/>
          <w:szCs w:val="22"/>
        </w:rPr>
        <w:fldChar w:fldCharType="begin"/>
      </w:r>
      <w:r w:rsidRPr="004D46AC">
        <w:rPr>
          <w:b/>
          <w:bCs/>
          <w:i w:val="0"/>
          <w:iCs w:val="0"/>
          <w:color w:val="auto"/>
          <w:sz w:val="22"/>
          <w:szCs w:val="22"/>
        </w:rPr>
        <w:instrText xml:space="preserve"> SEQ Figure_C \* ARABIC </w:instrText>
      </w:r>
      <w:r w:rsidRPr="004D46AC">
        <w:rPr>
          <w:b/>
          <w:bCs/>
          <w:i w:val="0"/>
          <w:iCs w:val="0"/>
          <w:color w:val="auto"/>
          <w:sz w:val="22"/>
          <w:szCs w:val="22"/>
        </w:rPr>
        <w:fldChar w:fldCharType="separate"/>
      </w:r>
      <w:r w:rsidRPr="004D46AC">
        <w:rPr>
          <w:b/>
          <w:bCs/>
          <w:i w:val="0"/>
          <w:iCs w:val="0"/>
          <w:noProof/>
          <w:color w:val="auto"/>
          <w:sz w:val="22"/>
          <w:szCs w:val="22"/>
        </w:rPr>
        <w:t>4</w:t>
      </w:r>
      <w:bookmarkEnd w:id="393"/>
      <w:r w:rsidRPr="004D46AC">
        <w:rPr>
          <w:b/>
          <w:bCs/>
          <w:i w:val="0"/>
          <w:iCs w:val="0"/>
          <w:color w:val="auto"/>
          <w:sz w:val="22"/>
          <w:szCs w:val="22"/>
        </w:rPr>
        <w:fldChar w:fldCharType="end"/>
      </w:r>
    </w:p>
    <w:p w14:paraId="185DDC90" w14:textId="77777777" w:rsidR="00E46A2C" w:rsidRPr="004D46AC" w:rsidRDefault="00E46A2C" w:rsidP="00E46A2C">
      <w:pPr>
        <w:spacing w:line="240" w:lineRule="auto"/>
        <w:ind w:firstLine="0"/>
        <w:rPr>
          <w:i/>
          <w:iCs/>
        </w:rPr>
      </w:pPr>
      <w:r w:rsidRPr="004D46AC">
        <w:rPr>
          <w:i/>
          <w:iCs/>
        </w:rPr>
        <w:t>The differed edge among patients with different psychoses</w:t>
      </w:r>
    </w:p>
    <w:p w14:paraId="63E331B0" w14:textId="77777777" w:rsidR="00E46A2C" w:rsidRPr="004D46AC" w:rsidRDefault="00E46A2C" w:rsidP="00E46A2C">
      <w:pPr>
        <w:spacing w:line="240" w:lineRule="auto"/>
        <w:ind w:firstLine="0"/>
      </w:pPr>
      <w:r w:rsidRPr="004D46AC">
        <w:rPr>
          <w:i/>
          <w:iCs/>
        </w:rPr>
        <w:t>Note.</w:t>
      </w:r>
      <w:r w:rsidRPr="004D46AC">
        <w:t xml:space="preserve"> M2 (Reported sadness), M9 (Pessimistic thoughts), M10(Suicidal thoughts), P2 (Conceptual disorganisation), P4 (Excitement), Y7 (Language thought disorder), ME (Mood/energy elevation), Y3 (Sexual interest), Y10 (Appearance), M8 (Inability to feel), WD (Withdrawal), IA (Irritability/aggressive-disruptive behaviour), Y10 (Appearance), M7(Retardation). Edge weights with maximum edge difference (</w:t>
      </w:r>
      <w:r w:rsidRPr="004D46AC">
        <w:rPr>
          <w:i/>
          <w:iCs/>
        </w:rPr>
        <w:t>E</w:t>
      </w:r>
      <w:r w:rsidRPr="004D46AC">
        <w:t xml:space="preserve">) larger than .1 were included. The bootstrapped CIs were added to show the degree of difference among different groups in addition to the NCT findings. </w:t>
      </w:r>
    </w:p>
    <w:p w14:paraId="0E68BCBE" w14:textId="77777777" w:rsidR="007075D9" w:rsidRPr="004D46AC" w:rsidRDefault="007075D9" w:rsidP="00CE2F7A">
      <w:pPr>
        <w:spacing w:line="240" w:lineRule="auto"/>
        <w:ind w:firstLine="0"/>
      </w:pPr>
    </w:p>
    <w:p w14:paraId="631D743A" w14:textId="77777777" w:rsidR="007075D9" w:rsidRPr="004D46AC" w:rsidRDefault="007075D9" w:rsidP="00CE2F7A">
      <w:pPr>
        <w:spacing w:line="240" w:lineRule="auto"/>
        <w:ind w:firstLine="0"/>
      </w:pPr>
      <w:r w:rsidRPr="004D46AC">
        <w:rPr>
          <w:noProof/>
        </w:rPr>
        <w:lastRenderedPageBreak/>
        <w:drawing>
          <wp:inline distT="0" distB="0" distL="0" distR="0" wp14:anchorId="7B7BD795" wp14:editId="590A5CAC">
            <wp:extent cx="4963886" cy="4837114"/>
            <wp:effectExtent l="0" t="0" r="0" b="0"/>
            <wp:docPr id="1783094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020979" cy="4892749"/>
                    </a:xfrm>
                    <a:prstGeom prst="rect">
                      <a:avLst/>
                    </a:prstGeom>
                    <a:noFill/>
                    <a:ln>
                      <a:noFill/>
                    </a:ln>
                  </pic:spPr>
                </pic:pic>
              </a:graphicData>
            </a:graphic>
          </wp:inline>
        </w:drawing>
      </w:r>
    </w:p>
    <w:p w14:paraId="25BFDECC" w14:textId="76CE0FE7" w:rsidR="002C5F6E" w:rsidRPr="004D46AC" w:rsidRDefault="002C5F6E" w:rsidP="002C5F6E">
      <w:pPr>
        <w:pStyle w:val="afff0"/>
        <w:spacing w:after="0"/>
        <w:ind w:firstLine="0"/>
        <w:rPr>
          <w:rFonts w:eastAsiaTheme="minorEastAsia"/>
          <w:b/>
          <w:bCs/>
          <w:i w:val="0"/>
          <w:iCs w:val="0"/>
          <w:color w:val="auto"/>
          <w:sz w:val="22"/>
          <w:szCs w:val="22"/>
        </w:rPr>
      </w:pPr>
      <w:bookmarkStart w:id="394" w:name="_Toc219880242"/>
      <w:r w:rsidRPr="004D46AC">
        <w:rPr>
          <w:b/>
          <w:bCs/>
          <w:i w:val="0"/>
          <w:iCs w:val="0"/>
          <w:color w:val="auto"/>
          <w:sz w:val="22"/>
          <w:szCs w:val="22"/>
        </w:rPr>
        <w:t xml:space="preserve">Figure C </w:t>
      </w:r>
      <w:r w:rsidRPr="004D46AC">
        <w:rPr>
          <w:b/>
          <w:bCs/>
          <w:i w:val="0"/>
          <w:iCs w:val="0"/>
          <w:color w:val="auto"/>
          <w:sz w:val="22"/>
          <w:szCs w:val="22"/>
        </w:rPr>
        <w:fldChar w:fldCharType="begin"/>
      </w:r>
      <w:r w:rsidRPr="004D46AC">
        <w:rPr>
          <w:b/>
          <w:bCs/>
          <w:i w:val="0"/>
          <w:iCs w:val="0"/>
          <w:color w:val="auto"/>
          <w:sz w:val="22"/>
          <w:szCs w:val="22"/>
        </w:rPr>
        <w:instrText xml:space="preserve"> SEQ Figure_C \* ARABIC </w:instrText>
      </w:r>
      <w:r w:rsidRPr="004D46AC">
        <w:rPr>
          <w:b/>
          <w:bCs/>
          <w:i w:val="0"/>
          <w:iCs w:val="0"/>
          <w:color w:val="auto"/>
          <w:sz w:val="22"/>
          <w:szCs w:val="22"/>
        </w:rPr>
        <w:fldChar w:fldCharType="separate"/>
      </w:r>
      <w:r w:rsidRPr="004D46AC">
        <w:rPr>
          <w:b/>
          <w:bCs/>
          <w:i w:val="0"/>
          <w:iCs w:val="0"/>
          <w:noProof/>
          <w:color w:val="auto"/>
          <w:sz w:val="22"/>
          <w:szCs w:val="22"/>
        </w:rPr>
        <w:t>5</w:t>
      </w:r>
      <w:bookmarkEnd w:id="394"/>
      <w:r w:rsidRPr="004D46AC">
        <w:rPr>
          <w:b/>
          <w:bCs/>
          <w:i w:val="0"/>
          <w:iCs w:val="0"/>
          <w:color w:val="auto"/>
          <w:sz w:val="22"/>
          <w:szCs w:val="22"/>
        </w:rPr>
        <w:fldChar w:fldCharType="end"/>
      </w:r>
    </w:p>
    <w:p w14:paraId="43C1159B" w14:textId="0208C6D1" w:rsidR="007075D9" w:rsidRPr="004D46AC" w:rsidRDefault="007075D9" w:rsidP="00CE2F7A">
      <w:pPr>
        <w:spacing w:line="240" w:lineRule="auto"/>
        <w:ind w:firstLine="0"/>
        <w:rPr>
          <w:i/>
          <w:iCs/>
        </w:rPr>
      </w:pPr>
      <w:r w:rsidRPr="004D46AC">
        <w:rPr>
          <w:i/>
          <w:iCs/>
        </w:rPr>
        <w:t>The edge variability network among networks in different diagnostic groups</w:t>
      </w:r>
    </w:p>
    <w:p w14:paraId="6166BA8A" w14:textId="77777777" w:rsidR="007075D9" w:rsidRPr="004D46AC" w:rsidRDefault="007075D9" w:rsidP="00CE2F7A">
      <w:pPr>
        <w:spacing w:line="240" w:lineRule="auto"/>
        <w:ind w:firstLine="0"/>
        <w:sectPr w:rsidR="007075D9" w:rsidRPr="004D46AC" w:rsidSect="007075D9">
          <w:pgSz w:w="11906" w:h="16838"/>
          <w:pgMar w:top="1440" w:right="1440" w:bottom="1440" w:left="1440" w:header="708" w:footer="708" w:gutter="0"/>
          <w:cols w:space="708"/>
          <w:docGrid w:linePitch="360"/>
        </w:sectPr>
      </w:pPr>
      <w:r w:rsidRPr="004D46AC">
        <w:rPr>
          <w:i/>
          <w:iCs/>
        </w:rPr>
        <w:t>Note</w:t>
      </w:r>
      <w:r w:rsidRPr="004D46AC">
        <w:t xml:space="preserve">. The grey edge in the network represents the edge variability across networks of the subpopulation, indicated by standard deviation of edge weights.  </w:t>
      </w:r>
    </w:p>
    <w:p w14:paraId="3D0F3B2A" w14:textId="31005342" w:rsidR="007075D9" w:rsidRPr="004D46AC" w:rsidRDefault="007075D9" w:rsidP="00B518F1">
      <w:pPr>
        <w:pStyle w:val="2"/>
        <w:rPr>
          <w:rFonts w:eastAsiaTheme="minorEastAsia"/>
        </w:rPr>
      </w:pPr>
      <w:bookmarkStart w:id="395" w:name="_Toc219888797"/>
      <w:r w:rsidRPr="004D46AC">
        <w:rPr>
          <w:rFonts w:hint="eastAsia"/>
        </w:rPr>
        <w:lastRenderedPageBreak/>
        <w:t>Appendix D</w:t>
      </w:r>
      <w:r w:rsidRPr="004D46AC">
        <w:rPr>
          <w:rFonts w:ascii="Microsoft YaHei" w:eastAsia="Microsoft YaHei" w:hAnsi="Microsoft YaHei" w:cs="Microsoft YaHei" w:hint="eastAsia"/>
        </w:rPr>
        <w:t>:</w:t>
      </w:r>
      <w:r w:rsidRPr="004D46AC">
        <w:rPr>
          <w:rFonts w:hint="eastAsia"/>
        </w:rPr>
        <w:t xml:space="preserve"> Supplementary </w:t>
      </w:r>
      <w:r w:rsidR="007346BC" w:rsidRPr="004D46AC">
        <w:rPr>
          <w:rFonts w:eastAsiaTheme="minorEastAsia" w:hint="eastAsia"/>
        </w:rPr>
        <w:t>F</w:t>
      </w:r>
      <w:r w:rsidRPr="004D46AC">
        <w:rPr>
          <w:rFonts w:hint="eastAsia"/>
        </w:rPr>
        <w:t xml:space="preserve">iles </w:t>
      </w:r>
      <w:r w:rsidRPr="004D46AC">
        <w:rPr>
          <w:rFonts w:eastAsiaTheme="minorEastAsia" w:hint="eastAsia"/>
        </w:rPr>
        <w:t>for</w:t>
      </w:r>
      <w:r w:rsidRPr="004D46AC">
        <w:rPr>
          <w:rFonts w:hint="eastAsia"/>
        </w:rPr>
        <w:t xml:space="preserve"> Chapter 4</w:t>
      </w:r>
      <w:bookmarkEnd w:id="395"/>
    </w:p>
    <w:p w14:paraId="4BFC1EC6" w14:textId="704B4DD7" w:rsidR="0063503B" w:rsidRPr="004D46AC" w:rsidRDefault="0063503B" w:rsidP="0063503B">
      <w:pPr>
        <w:pStyle w:val="afff0"/>
        <w:spacing w:after="0"/>
        <w:ind w:firstLine="0"/>
        <w:rPr>
          <w:rFonts w:eastAsiaTheme="minorEastAsia"/>
          <w:b/>
          <w:bCs/>
          <w:i w:val="0"/>
          <w:iCs w:val="0"/>
          <w:color w:val="auto"/>
          <w:sz w:val="22"/>
          <w:szCs w:val="22"/>
        </w:rPr>
      </w:pPr>
      <w:bookmarkStart w:id="396" w:name="_Toc219870641"/>
      <w:r w:rsidRPr="004D46AC">
        <w:rPr>
          <w:b/>
          <w:bCs/>
          <w:i w:val="0"/>
          <w:iCs w:val="0"/>
          <w:color w:val="auto"/>
          <w:sz w:val="22"/>
          <w:szCs w:val="22"/>
        </w:rPr>
        <w:t xml:space="preserve">Table D </w:t>
      </w:r>
      <w:r w:rsidRPr="004D46AC">
        <w:rPr>
          <w:b/>
          <w:bCs/>
          <w:i w:val="0"/>
          <w:iCs w:val="0"/>
          <w:color w:val="auto"/>
          <w:sz w:val="22"/>
          <w:szCs w:val="22"/>
        </w:rPr>
        <w:fldChar w:fldCharType="begin"/>
      </w:r>
      <w:r w:rsidRPr="004D46AC">
        <w:rPr>
          <w:b/>
          <w:bCs/>
          <w:i w:val="0"/>
          <w:iCs w:val="0"/>
          <w:color w:val="auto"/>
          <w:sz w:val="22"/>
          <w:szCs w:val="22"/>
        </w:rPr>
        <w:instrText xml:space="preserve"> SEQ Table_D \* ARABIC </w:instrText>
      </w:r>
      <w:r w:rsidRPr="004D46AC">
        <w:rPr>
          <w:b/>
          <w:bCs/>
          <w:i w:val="0"/>
          <w:iCs w:val="0"/>
          <w:color w:val="auto"/>
          <w:sz w:val="22"/>
          <w:szCs w:val="22"/>
        </w:rPr>
        <w:fldChar w:fldCharType="separate"/>
      </w:r>
      <w:r w:rsidR="00011BA9" w:rsidRPr="004D46AC">
        <w:rPr>
          <w:b/>
          <w:bCs/>
          <w:i w:val="0"/>
          <w:iCs w:val="0"/>
          <w:noProof/>
          <w:color w:val="auto"/>
          <w:sz w:val="22"/>
          <w:szCs w:val="22"/>
        </w:rPr>
        <w:t>1</w:t>
      </w:r>
      <w:bookmarkEnd w:id="396"/>
      <w:r w:rsidRPr="004D46AC">
        <w:rPr>
          <w:b/>
          <w:bCs/>
          <w:i w:val="0"/>
          <w:iCs w:val="0"/>
          <w:color w:val="auto"/>
          <w:sz w:val="22"/>
          <w:szCs w:val="22"/>
        </w:rPr>
        <w:fldChar w:fldCharType="end"/>
      </w:r>
    </w:p>
    <w:p w14:paraId="7E7D03F0" w14:textId="0BB57953" w:rsidR="007075D9" w:rsidRPr="004D46AC" w:rsidRDefault="007075D9" w:rsidP="002C5F6E">
      <w:pPr>
        <w:spacing w:line="240" w:lineRule="auto"/>
        <w:ind w:firstLine="0"/>
        <w:rPr>
          <w:i/>
          <w:iCs/>
        </w:rPr>
      </w:pPr>
      <w:r w:rsidRPr="004D46AC">
        <w:rPr>
          <w:i/>
          <w:iCs/>
        </w:rPr>
        <w:t>The UVA analysis result</w:t>
      </w:r>
    </w:p>
    <w:tbl>
      <w:tblPr>
        <w:tblStyle w:val="afc"/>
        <w:tblW w:w="0" w:type="auto"/>
        <w:tblLook w:val="04A0" w:firstRow="1" w:lastRow="0" w:firstColumn="1" w:lastColumn="0" w:noHBand="0" w:noVBand="1"/>
      </w:tblPr>
      <w:tblGrid>
        <w:gridCol w:w="1409"/>
        <w:gridCol w:w="1586"/>
        <w:gridCol w:w="1386"/>
        <w:gridCol w:w="1405"/>
        <w:gridCol w:w="1412"/>
        <w:gridCol w:w="1386"/>
      </w:tblGrid>
      <w:tr w:rsidR="007075D9" w:rsidRPr="004D46AC" w14:paraId="24A083F3" w14:textId="77777777" w:rsidTr="00B518F1">
        <w:tc>
          <w:tcPr>
            <w:tcW w:w="4319" w:type="dxa"/>
            <w:gridSpan w:val="3"/>
            <w:tcBorders>
              <w:top w:val="single" w:sz="4" w:space="0" w:color="auto"/>
              <w:left w:val="single" w:sz="4" w:space="0" w:color="auto"/>
              <w:bottom w:val="single" w:sz="4" w:space="0" w:color="auto"/>
              <w:right w:val="single" w:sz="4" w:space="0" w:color="auto"/>
            </w:tcBorders>
            <w:hideMark/>
          </w:tcPr>
          <w:p w14:paraId="1D0D0F4B" w14:textId="77777777" w:rsidR="007075D9" w:rsidRPr="004D46AC" w:rsidRDefault="007075D9" w:rsidP="002C5F6E">
            <w:pPr>
              <w:spacing w:line="240" w:lineRule="auto"/>
              <w:ind w:firstLine="0"/>
              <w:rPr>
                <w:b/>
                <w:bCs/>
              </w:rPr>
            </w:pPr>
            <w:r w:rsidRPr="004D46AC">
              <w:rPr>
                <w:b/>
                <w:bCs/>
              </w:rPr>
              <w:t>Wave 5</w:t>
            </w:r>
          </w:p>
        </w:tc>
        <w:tc>
          <w:tcPr>
            <w:tcW w:w="4203" w:type="dxa"/>
            <w:gridSpan w:val="3"/>
            <w:tcBorders>
              <w:top w:val="single" w:sz="4" w:space="0" w:color="auto"/>
              <w:left w:val="single" w:sz="4" w:space="0" w:color="auto"/>
              <w:bottom w:val="single" w:sz="4" w:space="0" w:color="auto"/>
              <w:right w:val="single" w:sz="4" w:space="0" w:color="auto"/>
            </w:tcBorders>
            <w:hideMark/>
          </w:tcPr>
          <w:p w14:paraId="19106287" w14:textId="77777777" w:rsidR="007075D9" w:rsidRPr="004D46AC" w:rsidRDefault="007075D9" w:rsidP="002C5F6E">
            <w:pPr>
              <w:spacing w:line="240" w:lineRule="auto"/>
              <w:ind w:firstLine="0"/>
              <w:rPr>
                <w:b/>
                <w:bCs/>
              </w:rPr>
            </w:pPr>
            <w:r w:rsidRPr="004D46AC">
              <w:rPr>
                <w:b/>
                <w:bCs/>
              </w:rPr>
              <w:t>Wave 9</w:t>
            </w:r>
          </w:p>
        </w:tc>
      </w:tr>
      <w:tr w:rsidR="007075D9" w:rsidRPr="004D46AC" w14:paraId="6E8D0AEF" w14:textId="77777777" w:rsidTr="00B518F1">
        <w:tc>
          <w:tcPr>
            <w:tcW w:w="1409" w:type="dxa"/>
            <w:tcBorders>
              <w:top w:val="single" w:sz="4" w:space="0" w:color="auto"/>
              <w:left w:val="single" w:sz="4" w:space="0" w:color="auto"/>
              <w:bottom w:val="single" w:sz="4" w:space="0" w:color="auto"/>
              <w:right w:val="single" w:sz="4" w:space="0" w:color="auto"/>
            </w:tcBorders>
            <w:hideMark/>
          </w:tcPr>
          <w:p w14:paraId="3CF2CFE1" w14:textId="77777777" w:rsidR="007075D9" w:rsidRPr="004D46AC" w:rsidRDefault="007075D9" w:rsidP="002C5F6E">
            <w:pPr>
              <w:spacing w:line="240" w:lineRule="auto"/>
              <w:ind w:firstLine="0"/>
              <w:rPr>
                <w:b/>
                <w:bCs/>
              </w:rPr>
            </w:pPr>
            <w:r w:rsidRPr="004D46AC">
              <w:rPr>
                <w:b/>
                <w:bCs/>
              </w:rPr>
              <w:t>Item 1</w:t>
            </w:r>
          </w:p>
        </w:tc>
        <w:tc>
          <w:tcPr>
            <w:tcW w:w="1524" w:type="dxa"/>
            <w:tcBorders>
              <w:top w:val="single" w:sz="4" w:space="0" w:color="auto"/>
              <w:left w:val="single" w:sz="4" w:space="0" w:color="auto"/>
              <w:bottom w:val="single" w:sz="4" w:space="0" w:color="auto"/>
              <w:right w:val="single" w:sz="4" w:space="0" w:color="auto"/>
            </w:tcBorders>
            <w:hideMark/>
          </w:tcPr>
          <w:p w14:paraId="4A1DB2F8" w14:textId="77777777" w:rsidR="007075D9" w:rsidRPr="004D46AC" w:rsidRDefault="007075D9" w:rsidP="002C5F6E">
            <w:pPr>
              <w:spacing w:line="240" w:lineRule="auto"/>
              <w:ind w:firstLine="0"/>
              <w:rPr>
                <w:b/>
                <w:bCs/>
              </w:rPr>
            </w:pPr>
            <w:r w:rsidRPr="004D46AC">
              <w:rPr>
                <w:b/>
                <w:bCs/>
              </w:rPr>
              <w:t>Item 2</w:t>
            </w:r>
          </w:p>
        </w:tc>
        <w:tc>
          <w:tcPr>
            <w:tcW w:w="1386" w:type="dxa"/>
            <w:tcBorders>
              <w:top w:val="single" w:sz="4" w:space="0" w:color="auto"/>
              <w:left w:val="single" w:sz="4" w:space="0" w:color="auto"/>
              <w:bottom w:val="single" w:sz="4" w:space="0" w:color="auto"/>
              <w:right w:val="single" w:sz="4" w:space="0" w:color="auto"/>
            </w:tcBorders>
            <w:hideMark/>
          </w:tcPr>
          <w:p w14:paraId="7067B1D4" w14:textId="77777777" w:rsidR="007075D9" w:rsidRPr="004D46AC" w:rsidRDefault="007075D9" w:rsidP="002C5F6E">
            <w:pPr>
              <w:spacing w:line="240" w:lineRule="auto"/>
              <w:ind w:firstLine="0"/>
              <w:rPr>
                <w:b/>
                <w:bCs/>
              </w:rPr>
            </w:pPr>
            <w:proofErr w:type="spellStart"/>
            <w:r w:rsidRPr="004D46AC">
              <w:rPr>
                <w:b/>
                <w:bCs/>
              </w:rPr>
              <w:t>wTO</w:t>
            </w:r>
            <w:proofErr w:type="spellEnd"/>
          </w:p>
        </w:tc>
        <w:tc>
          <w:tcPr>
            <w:tcW w:w="1405" w:type="dxa"/>
            <w:tcBorders>
              <w:top w:val="single" w:sz="4" w:space="0" w:color="auto"/>
              <w:left w:val="single" w:sz="4" w:space="0" w:color="auto"/>
              <w:bottom w:val="single" w:sz="4" w:space="0" w:color="auto"/>
              <w:right w:val="single" w:sz="4" w:space="0" w:color="auto"/>
            </w:tcBorders>
            <w:hideMark/>
          </w:tcPr>
          <w:p w14:paraId="551DF4C5" w14:textId="77777777" w:rsidR="007075D9" w:rsidRPr="004D46AC" w:rsidRDefault="007075D9" w:rsidP="002C5F6E">
            <w:pPr>
              <w:spacing w:line="240" w:lineRule="auto"/>
              <w:ind w:firstLine="0"/>
              <w:rPr>
                <w:b/>
                <w:bCs/>
              </w:rPr>
            </w:pPr>
            <w:r w:rsidRPr="004D46AC">
              <w:rPr>
                <w:b/>
                <w:bCs/>
              </w:rPr>
              <w:t>Item 1</w:t>
            </w:r>
          </w:p>
        </w:tc>
        <w:tc>
          <w:tcPr>
            <w:tcW w:w="1412" w:type="dxa"/>
            <w:tcBorders>
              <w:top w:val="single" w:sz="4" w:space="0" w:color="auto"/>
              <w:left w:val="single" w:sz="4" w:space="0" w:color="auto"/>
              <w:bottom w:val="single" w:sz="4" w:space="0" w:color="auto"/>
              <w:right w:val="single" w:sz="4" w:space="0" w:color="auto"/>
            </w:tcBorders>
            <w:hideMark/>
          </w:tcPr>
          <w:p w14:paraId="794412FD" w14:textId="77777777" w:rsidR="007075D9" w:rsidRPr="004D46AC" w:rsidRDefault="007075D9" w:rsidP="002C5F6E">
            <w:pPr>
              <w:spacing w:line="240" w:lineRule="auto"/>
              <w:ind w:firstLine="0"/>
              <w:rPr>
                <w:b/>
                <w:bCs/>
              </w:rPr>
            </w:pPr>
            <w:r w:rsidRPr="004D46AC">
              <w:rPr>
                <w:b/>
                <w:bCs/>
              </w:rPr>
              <w:t>Item 2</w:t>
            </w:r>
          </w:p>
        </w:tc>
        <w:tc>
          <w:tcPr>
            <w:tcW w:w="1386" w:type="dxa"/>
            <w:tcBorders>
              <w:top w:val="single" w:sz="4" w:space="0" w:color="auto"/>
              <w:left w:val="single" w:sz="4" w:space="0" w:color="auto"/>
              <w:bottom w:val="single" w:sz="4" w:space="0" w:color="auto"/>
              <w:right w:val="single" w:sz="4" w:space="0" w:color="auto"/>
            </w:tcBorders>
            <w:hideMark/>
          </w:tcPr>
          <w:p w14:paraId="4399638E" w14:textId="77777777" w:rsidR="007075D9" w:rsidRPr="004D46AC" w:rsidRDefault="007075D9" w:rsidP="002C5F6E">
            <w:pPr>
              <w:spacing w:line="240" w:lineRule="auto"/>
              <w:ind w:firstLine="0"/>
              <w:rPr>
                <w:b/>
                <w:bCs/>
              </w:rPr>
            </w:pPr>
            <w:proofErr w:type="spellStart"/>
            <w:r w:rsidRPr="004D46AC">
              <w:rPr>
                <w:b/>
                <w:bCs/>
              </w:rPr>
              <w:t>wTO</w:t>
            </w:r>
            <w:proofErr w:type="spellEnd"/>
          </w:p>
        </w:tc>
      </w:tr>
      <w:tr w:rsidR="007075D9" w:rsidRPr="004D46AC" w14:paraId="6B53C100" w14:textId="77777777" w:rsidTr="00B518F1">
        <w:tc>
          <w:tcPr>
            <w:tcW w:w="1409" w:type="dxa"/>
            <w:tcBorders>
              <w:top w:val="single" w:sz="4" w:space="0" w:color="auto"/>
              <w:left w:val="single" w:sz="4" w:space="0" w:color="auto"/>
              <w:bottom w:val="single" w:sz="4" w:space="0" w:color="auto"/>
              <w:right w:val="single" w:sz="4" w:space="0" w:color="auto"/>
            </w:tcBorders>
            <w:hideMark/>
          </w:tcPr>
          <w:p w14:paraId="33E9768D" w14:textId="77777777" w:rsidR="007075D9" w:rsidRPr="004D46AC" w:rsidRDefault="007075D9" w:rsidP="002C5F6E">
            <w:pPr>
              <w:spacing w:line="240" w:lineRule="auto"/>
              <w:ind w:firstLine="0"/>
            </w:pPr>
            <w:r w:rsidRPr="004D46AC">
              <w:t>"Elevated energy"</w:t>
            </w:r>
          </w:p>
        </w:tc>
        <w:tc>
          <w:tcPr>
            <w:tcW w:w="1524" w:type="dxa"/>
            <w:tcBorders>
              <w:top w:val="single" w:sz="4" w:space="0" w:color="auto"/>
              <w:left w:val="single" w:sz="4" w:space="0" w:color="auto"/>
              <w:bottom w:val="single" w:sz="4" w:space="0" w:color="auto"/>
              <w:right w:val="single" w:sz="4" w:space="0" w:color="auto"/>
            </w:tcBorders>
            <w:hideMark/>
          </w:tcPr>
          <w:p w14:paraId="1E75BF4A" w14:textId="77777777" w:rsidR="007075D9" w:rsidRPr="004D46AC" w:rsidRDefault="007075D9" w:rsidP="002C5F6E">
            <w:pPr>
              <w:spacing w:line="240" w:lineRule="auto"/>
              <w:ind w:firstLine="0"/>
            </w:pPr>
            <w:r w:rsidRPr="004D46AC">
              <w:t>"Increased goal-directed activity",</w:t>
            </w:r>
          </w:p>
        </w:tc>
        <w:tc>
          <w:tcPr>
            <w:tcW w:w="1386" w:type="dxa"/>
            <w:tcBorders>
              <w:top w:val="single" w:sz="4" w:space="0" w:color="auto"/>
              <w:left w:val="single" w:sz="4" w:space="0" w:color="auto"/>
              <w:bottom w:val="single" w:sz="4" w:space="0" w:color="auto"/>
              <w:right w:val="single" w:sz="4" w:space="0" w:color="auto"/>
            </w:tcBorders>
            <w:hideMark/>
          </w:tcPr>
          <w:p w14:paraId="263838F9" w14:textId="77777777" w:rsidR="007075D9" w:rsidRPr="004D46AC" w:rsidRDefault="007075D9" w:rsidP="002C5F6E">
            <w:pPr>
              <w:spacing w:line="240" w:lineRule="auto"/>
              <w:ind w:firstLine="0"/>
            </w:pPr>
            <w:r w:rsidRPr="004D46AC">
              <w:t>0.37</w:t>
            </w:r>
          </w:p>
        </w:tc>
        <w:tc>
          <w:tcPr>
            <w:tcW w:w="1405" w:type="dxa"/>
            <w:tcBorders>
              <w:top w:val="single" w:sz="4" w:space="0" w:color="auto"/>
              <w:left w:val="single" w:sz="4" w:space="0" w:color="auto"/>
              <w:bottom w:val="single" w:sz="4" w:space="0" w:color="auto"/>
              <w:right w:val="single" w:sz="4" w:space="0" w:color="auto"/>
            </w:tcBorders>
            <w:hideMark/>
          </w:tcPr>
          <w:p w14:paraId="55EE800C" w14:textId="77777777" w:rsidR="007075D9" w:rsidRPr="004D46AC" w:rsidRDefault="007075D9" w:rsidP="002C5F6E">
            <w:pPr>
              <w:spacing w:line="240" w:lineRule="auto"/>
              <w:ind w:firstLine="0"/>
            </w:pPr>
            <w:r w:rsidRPr="004D46AC">
              <w:t>"Elevated energy"</w:t>
            </w:r>
          </w:p>
        </w:tc>
        <w:tc>
          <w:tcPr>
            <w:tcW w:w="1412" w:type="dxa"/>
            <w:tcBorders>
              <w:top w:val="single" w:sz="4" w:space="0" w:color="auto"/>
              <w:left w:val="single" w:sz="4" w:space="0" w:color="auto"/>
              <w:bottom w:val="single" w:sz="4" w:space="0" w:color="auto"/>
              <w:right w:val="single" w:sz="4" w:space="0" w:color="auto"/>
            </w:tcBorders>
            <w:hideMark/>
          </w:tcPr>
          <w:p w14:paraId="39B33329" w14:textId="77777777" w:rsidR="007075D9" w:rsidRPr="004D46AC" w:rsidRDefault="007075D9" w:rsidP="002C5F6E">
            <w:pPr>
              <w:spacing w:line="240" w:lineRule="auto"/>
              <w:ind w:firstLine="0"/>
            </w:pPr>
            <w:r w:rsidRPr="004D46AC">
              <w:t>"Increased goal-directed activity",</w:t>
            </w:r>
          </w:p>
        </w:tc>
        <w:tc>
          <w:tcPr>
            <w:tcW w:w="1386" w:type="dxa"/>
            <w:tcBorders>
              <w:top w:val="single" w:sz="4" w:space="0" w:color="auto"/>
              <w:left w:val="single" w:sz="4" w:space="0" w:color="auto"/>
              <w:bottom w:val="single" w:sz="4" w:space="0" w:color="auto"/>
              <w:right w:val="single" w:sz="4" w:space="0" w:color="auto"/>
            </w:tcBorders>
            <w:hideMark/>
          </w:tcPr>
          <w:p w14:paraId="2ABE8DD4" w14:textId="77777777" w:rsidR="007075D9" w:rsidRPr="004D46AC" w:rsidRDefault="007075D9" w:rsidP="002C5F6E">
            <w:pPr>
              <w:spacing w:line="240" w:lineRule="auto"/>
              <w:ind w:firstLine="0"/>
            </w:pPr>
            <w:r w:rsidRPr="004D46AC">
              <w:t>0.31</w:t>
            </w:r>
          </w:p>
        </w:tc>
      </w:tr>
      <w:tr w:rsidR="007075D9" w:rsidRPr="004D46AC" w14:paraId="62AC7478" w14:textId="77777777" w:rsidTr="00B518F1">
        <w:tc>
          <w:tcPr>
            <w:tcW w:w="1409" w:type="dxa"/>
            <w:tcBorders>
              <w:top w:val="single" w:sz="4" w:space="0" w:color="auto"/>
              <w:left w:val="single" w:sz="4" w:space="0" w:color="auto"/>
              <w:bottom w:val="single" w:sz="4" w:space="0" w:color="auto"/>
              <w:right w:val="single" w:sz="4" w:space="0" w:color="auto"/>
            </w:tcBorders>
            <w:hideMark/>
          </w:tcPr>
          <w:p w14:paraId="072005AE" w14:textId="77777777" w:rsidR="007075D9" w:rsidRPr="004D46AC" w:rsidRDefault="007075D9" w:rsidP="002C5F6E">
            <w:pPr>
              <w:spacing w:line="240" w:lineRule="auto"/>
              <w:ind w:firstLine="0"/>
            </w:pPr>
            <w:r w:rsidRPr="004D46AC">
              <w:t>Strange experience</w:t>
            </w:r>
          </w:p>
        </w:tc>
        <w:tc>
          <w:tcPr>
            <w:tcW w:w="1524" w:type="dxa"/>
            <w:tcBorders>
              <w:top w:val="single" w:sz="4" w:space="0" w:color="auto"/>
              <w:left w:val="single" w:sz="4" w:space="0" w:color="auto"/>
              <w:bottom w:val="single" w:sz="4" w:space="0" w:color="auto"/>
              <w:right w:val="single" w:sz="4" w:space="0" w:color="auto"/>
            </w:tcBorders>
            <w:hideMark/>
          </w:tcPr>
          <w:p w14:paraId="72868E3E" w14:textId="77777777" w:rsidR="007075D9" w:rsidRPr="004D46AC" w:rsidRDefault="007075D9" w:rsidP="002C5F6E">
            <w:pPr>
              <w:spacing w:line="240" w:lineRule="auto"/>
              <w:ind w:firstLine="0"/>
            </w:pPr>
            <w:r w:rsidRPr="004D46AC">
              <w:t>Hallucinations</w:t>
            </w:r>
          </w:p>
        </w:tc>
        <w:tc>
          <w:tcPr>
            <w:tcW w:w="1386" w:type="dxa"/>
            <w:tcBorders>
              <w:top w:val="single" w:sz="4" w:space="0" w:color="auto"/>
              <w:left w:val="single" w:sz="4" w:space="0" w:color="auto"/>
              <w:bottom w:val="single" w:sz="4" w:space="0" w:color="auto"/>
              <w:right w:val="single" w:sz="4" w:space="0" w:color="auto"/>
            </w:tcBorders>
            <w:hideMark/>
          </w:tcPr>
          <w:p w14:paraId="2F0BDCE8" w14:textId="77777777" w:rsidR="007075D9" w:rsidRPr="004D46AC" w:rsidRDefault="007075D9" w:rsidP="002C5F6E">
            <w:pPr>
              <w:spacing w:line="240" w:lineRule="auto"/>
              <w:ind w:firstLine="0"/>
            </w:pPr>
            <w:r w:rsidRPr="004D46AC">
              <w:t>0.36</w:t>
            </w:r>
          </w:p>
        </w:tc>
        <w:tc>
          <w:tcPr>
            <w:tcW w:w="1405" w:type="dxa"/>
            <w:tcBorders>
              <w:top w:val="single" w:sz="4" w:space="0" w:color="auto"/>
              <w:left w:val="single" w:sz="4" w:space="0" w:color="auto"/>
              <w:bottom w:val="single" w:sz="4" w:space="0" w:color="auto"/>
              <w:right w:val="single" w:sz="4" w:space="0" w:color="auto"/>
            </w:tcBorders>
            <w:hideMark/>
          </w:tcPr>
          <w:p w14:paraId="752677D6" w14:textId="77777777" w:rsidR="007075D9" w:rsidRPr="004D46AC" w:rsidRDefault="007075D9" w:rsidP="002C5F6E">
            <w:pPr>
              <w:spacing w:line="240" w:lineRule="auto"/>
              <w:ind w:firstLine="0"/>
            </w:pPr>
            <w:r w:rsidRPr="004D46AC">
              <w:t>Paranoia probe</w:t>
            </w:r>
          </w:p>
        </w:tc>
        <w:tc>
          <w:tcPr>
            <w:tcW w:w="1412" w:type="dxa"/>
            <w:tcBorders>
              <w:top w:val="single" w:sz="4" w:space="0" w:color="auto"/>
              <w:left w:val="single" w:sz="4" w:space="0" w:color="auto"/>
              <w:bottom w:val="single" w:sz="4" w:space="0" w:color="auto"/>
              <w:right w:val="single" w:sz="4" w:space="0" w:color="auto"/>
            </w:tcBorders>
            <w:hideMark/>
          </w:tcPr>
          <w:p w14:paraId="5FD0387D" w14:textId="77777777" w:rsidR="007075D9" w:rsidRPr="004D46AC" w:rsidRDefault="007075D9" w:rsidP="002C5F6E">
            <w:pPr>
              <w:spacing w:line="240" w:lineRule="auto"/>
              <w:ind w:firstLine="0"/>
            </w:pPr>
            <w:r w:rsidRPr="004D46AC">
              <w:t>Strange experience</w:t>
            </w:r>
          </w:p>
        </w:tc>
        <w:tc>
          <w:tcPr>
            <w:tcW w:w="1386" w:type="dxa"/>
            <w:tcBorders>
              <w:top w:val="single" w:sz="4" w:space="0" w:color="auto"/>
              <w:left w:val="single" w:sz="4" w:space="0" w:color="auto"/>
              <w:bottom w:val="single" w:sz="4" w:space="0" w:color="auto"/>
              <w:right w:val="single" w:sz="4" w:space="0" w:color="auto"/>
            </w:tcBorders>
            <w:hideMark/>
          </w:tcPr>
          <w:p w14:paraId="5213F50A" w14:textId="77777777" w:rsidR="007075D9" w:rsidRPr="004D46AC" w:rsidRDefault="007075D9" w:rsidP="002C5F6E">
            <w:pPr>
              <w:spacing w:line="240" w:lineRule="auto"/>
              <w:ind w:firstLine="0"/>
            </w:pPr>
            <w:r w:rsidRPr="004D46AC">
              <w:t>0.25</w:t>
            </w:r>
          </w:p>
        </w:tc>
      </w:tr>
      <w:tr w:rsidR="007075D9" w:rsidRPr="004D46AC" w14:paraId="7DBE54A5" w14:textId="77777777" w:rsidTr="00B518F1">
        <w:tc>
          <w:tcPr>
            <w:tcW w:w="1409" w:type="dxa"/>
            <w:tcBorders>
              <w:top w:val="single" w:sz="4" w:space="0" w:color="auto"/>
              <w:left w:val="single" w:sz="4" w:space="0" w:color="auto"/>
              <w:bottom w:val="single" w:sz="4" w:space="0" w:color="auto"/>
              <w:right w:val="single" w:sz="4" w:space="0" w:color="auto"/>
            </w:tcBorders>
            <w:hideMark/>
          </w:tcPr>
          <w:p w14:paraId="0CFD18C2" w14:textId="77777777" w:rsidR="007075D9" w:rsidRPr="004D46AC" w:rsidRDefault="007075D9" w:rsidP="002C5F6E">
            <w:pPr>
              <w:spacing w:line="240" w:lineRule="auto"/>
              <w:ind w:firstLine="0"/>
            </w:pPr>
            <w:r w:rsidRPr="004D46AC">
              <w:t>Paranoia probe</w:t>
            </w:r>
          </w:p>
        </w:tc>
        <w:tc>
          <w:tcPr>
            <w:tcW w:w="1524" w:type="dxa"/>
            <w:tcBorders>
              <w:top w:val="single" w:sz="4" w:space="0" w:color="auto"/>
              <w:left w:val="single" w:sz="4" w:space="0" w:color="auto"/>
              <w:bottom w:val="single" w:sz="4" w:space="0" w:color="auto"/>
              <w:right w:val="single" w:sz="4" w:space="0" w:color="auto"/>
            </w:tcBorders>
            <w:hideMark/>
          </w:tcPr>
          <w:p w14:paraId="64AB72F0" w14:textId="77777777" w:rsidR="007075D9" w:rsidRPr="004D46AC" w:rsidRDefault="007075D9" w:rsidP="002C5F6E">
            <w:pPr>
              <w:spacing w:line="240" w:lineRule="auto"/>
              <w:ind w:firstLine="0"/>
            </w:pPr>
            <w:r w:rsidRPr="004D46AC">
              <w:t>Strange experience</w:t>
            </w:r>
          </w:p>
        </w:tc>
        <w:tc>
          <w:tcPr>
            <w:tcW w:w="1386" w:type="dxa"/>
            <w:tcBorders>
              <w:top w:val="single" w:sz="4" w:space="0" w:color="auto"/>
              <w:left w:val="single" w:sz="4" w:space="0" w:color="auto"/>
              <w:bottom w:val="single" w:sz="4" w:space="0" w:color="auto"/>
              <w:right w:val="single" w:sz="4" w:space="0" w:color="auto"/>
            </w:tcBorders>
            <w:hideMark/>
          </w:tcPr>
          <w:p w14:paraId="20653E53" w14:textId="77777777" w:rsidR="007075D9" w:rsidRPr="004D46AC" w:rsidRDefault="007075D9" w:rsidP="002C5F6E">
            <w:pPr>
              <w:spacing w:line="240" w:lineRule="auto"/>
              <w:ind w:firstLine="0"/>
            </w:pPr>
            <w:r w:rsidRPr="004D46AC">
              <w:t>0.27</w:t>
            </w:r>
          </w:p>
        </w:tc>
        <w:tc>
          <w:tcPr>
            <w:tcW w:w="1405" w:type="dxa"/>
            <w:tcBorders>
              <w:top w:val="single" w:sz="4" w:space="0" w:color="auto"/>
              <w:left w:val="single" w:sz="4" w:space="0" w:color="auto"/>
              <w:bottom w:val="single" w:sz="4" w:space="0" w:color="auto"/>
              <w:right w:val="single" w:sz="4" w:space="0" w:color="auto"/>
            </w:tcBorders>
          </w:tcPr>
          <w:p w14:paraId="6714C786" w14:textId="77777777" w:rsidR="007075D9" w:rsidRPr="004D46AC" w:rsidRDefault="007075D9" w:rsidP="002C5F6E">
            <w:pPr>
              <w:spacing w:line="240" w:lineRule="auto"/>
              <w:ind w:firstLine="0"/>
            </w:pPr>
          </w:p>
        </w:tc>
        <w:tc>
          <w:tcPr>
            <w:tcW w:w="1412" w:type="dxa"/>
            <w:tcBorders>
              <w:top w:val="single" w:sz="4" w:space="0" w:color="auto"/>
              <w:left w:val="single" w:sz="4" w:space="0" w:color="auto"/>
              <w:bottom w:val="single" w:sz="4" w:space="0" w:color="auto"/>
              <w:right w:val="single" w:sz="4" w:space="0" w:color="auto"/>
            </w:tcBorders>
          </w:tcPr>
          <w:p w14:paraId="23374390" w14:textId="77777777" w:rsidR="007075D9" w:rsidRPr="004D46AC" w:rsidRDefault="007075D9" w:rsidP="002C5F6E">
            <w:pPr>
              <w:spacing w:line="240" w:lineRule="auto"/>
              <w:ind w:firstLine="0"/>
            </w:pPr>
          </w:p>
        </w:tc>
        <w:tc>
          <w:tcPr>
            <w:tcW w:w="1386" w:type="dxa"/>
            <w:tcBorders>
              <w:top w:val="single" w:sz="4" w:space="0" w:color="auto"/>
              <w:left w:val="single" w:sz="4" w:space="0" w:color="auto"/>
              <w:bottom w:val="single" w:sz="4" w:space="0" w:color="auto"/>
              <w:right w:val="single" w:sz="4" w:space="0" w:color="auto"/>
            </w:tcBorders>
          </w:tcPr>
          <w:p w14:paraId="1A27A3A9" w14:textId="77777777" w:rsidR="007075D9" w:rsidRPr="004D46AC" w:rsidRDefault="007075D9" w:rsidP="002C5F6E">
            <w:pPr>
              <w:spacing w:line="240" w:lineRule="auto"/>
              <w:ind w:firstLine="0"/>
            </w:pPr>
          </w:p>
        </w:tc>
      </w:tr>
      <w:tr w:rsidR="007075D9" w:rsidRPr="004D46AC" w14:paraId="4025908A" w14:textId="77777777" w:rsidTr="00B518F1">
        <w:tc>
          <w:tcPr>
            <w:tcW w:w="1409" w:type="dxa"/>
            <w:tcBorders>
              <w:top w:val="single" w:sz="4" w:space="0" w:color="auto"/>
              <w:left w:val="single" w:sz="4" w:space="0" w:color="auto"/>
              <w:bottom w:val="single" w:sz="4" w:space="0" w:color="auto"/>
              <w:right w:val="single" w:sz="4" w:space="0" w:color="auto"/>
            </w:tcBorders>
            <w:hideMark/>
          </w:tcPr>
          <w:p w14:paraId="09C23E5F" w14:textId="77777777" w:rsidR="007075D9" w:rsidRPr="004D46AC" w:rsidRDefault="007075D9" w:rsidP="002C5F6E">
            <w:pPr>
              <w:spacing w:line="240" w:lineRule="auto"/>
              <w:ind w:firstLine="0"/>
            </w:pPr>
            <w:r w:rsidRPr="004D46AC">
              <w:t>Depressive mood or hopeless</w:t>
            </w:r>
          </w:p>
        </w:tc>
        <w:tc>
          <w:tcPr>
            <w:tcW w:w="1524" w:type="dxa"/>
            <w:tcBorders>
              <w:top w:val="single" w:sz="4" w:space="0" w:color="auto"/>
              <w:left w:val="single" w:sz="4" w:space="0" w:color="auto"/>
              <w:bottom w:val="single" w:sz="4" w:space="0" w:color="auto"/>
              <w:right w:val="single" w:sz="4" w:space="0" w:color="auto"/>
            </w:tcBorders>
            <w:hideMark/>
          </w:tcPr>
          <w:p w14:paraId="7BDF82DF" w14:textId="77777777" w:rsidR="007075D9" w:rsidRPr="004D46AC" w:rsidRDefault="007075D9" w:rsidP="002C5F6E">
            <w:pPr>
              <w:spacing w:line="240" w:lineRule="auto"/>
              <w:ind w:firstLine="0"/>
            </w:pPr>
            <w:r w:rsidRPr="004D46AC">
              <w:t>Sleep problems</w:t>
            </w:r>
          </w:p>
        </w:tc>
        <w:tc>
          <w:tcPr>
            <w:tcW w:w="1386" w:type="dxa"/>
            <w:tcBorders>
              <w:top w:val="single" w:sz="4" w:space="0" w:color="auto"/>
              <w:left w:val="single" w:sz="4" w:space="0" w:color="auto"/>
              <w:bottom w:val="single" w:sz="4" w:space="0" w:color="auto"/>
              <w:right w:val="single" w:sz="4" w:space="0" w:color="auto"/>
            </w:tcBorders>
            <w:hideMark/>
          </w:tcPr>
          <w:p w14:paraId="48ACA656" w14:textId="77777777" w:rsidR="007075D9" w:rsidRPr="004D46AC" w:rsidRDefault="007075D9" w:rsidP="002C5F6E">
            <w:pPr>
              <w:spacing w:line="240" w:lineRule="auto"/>
              <w:ind w:firstLine="0"/>
            </w:pPr>
            <w:r w:rsidRPr="004D46AC">
              <w:t>0.29</w:t>
            </w:r>
          </w:p>
        </w:tc>
        <w:tc>
          <w:tcPr>
            <w:tcW w:w="1405" w:type="dxa"/>
            <w:tcBorders>
              <w:top w:val="single" w:sz="4" w:space="0" w:color="auto"/>
              <w:left w:val="single" w:sz="4" w:space="0" w:color="auto"/>
              <w:bottom w:val="single" w:sz="4" w:space="0" w:color="auto"/>
              <w:right w:val="single" w:sz="4" w:space="0" w:color="auto"/>
            </w:tcBorders>
          </w:tcPr>
          <w:p w14:paraId="22761EDD" w14:textId="77777777" w:rsidR="007075D9" w:rsidRPr="004D46AC" w:rsidRDefault="007075D9" w:rsidP="002C5F6E">
            <w:pPr>
              <w:spacing w:line="240" w:lineRule="auto"/>
              <w:ind w:firstLine="0"/>
            </w:pPr>
          </w:p>
        </w:tc>
        <w:tc>
          <w:tcPr>
            <w:tcW w:w="1412" w:type="dxa"/>
            <w:tcBorders>
              <w:top w:val="single" w:sz="4" w:space="0" w:color="auto"/>
              <w:left w:val="single" w:sz="4" w:space="0" w:color="auto"/>
              <w:bottom w:val="single" w:sz="4" w:space="0" w:color="auto"/>
              <w:right w:val="single" w:sz="4" w:space="0" w:color="auto"/>
            </w:tcBorders>
          </w:tcPr>
          <w:p w14:paraId="288AD429" w14:textId="77777777" w:rsidR="007075D9" w:rsidRPr="004D46AC" w:rsidRDefault="007075D9" w:rsidP="002C5F6E">
            <w:pPr>
              <w:spacing w:line="240" w:lineRule="auto"/>
              <w:ind w:firstLine="0"/>
            </w:pPr>
          </w:p>
        </w:tc>
        <w:tc>
          <w:tcPr>
            <w:tcW w:w="1386" w:type="dxa"/>
            <w:tcBorders>
              <w:top w:val="single" w:sz="4" w:space="0" w:color="auto"/>
              <w:left w:val="single" w:sz="4" w:space="0" w:color="auto"/>
              <w:bottom w:val="single" w:sz="4" w:space="0" w:color="auto"/>
              <w:right w:val="single" w:sz="4" w:space="0" w:color="auto"/>
            </w:tcBorders>
          </w:tcPr>
          <w:p w14:paraId="70F9F47F" w14:textId="77777777" w:rsidR="007075D9" w:rsidRPr="004D46AC" w:rsidRDefault="007075D9" w:rsidP="002C5F6E">
            <w:pPr>
              <w:spacing w:line="240" w:lineRule="auto"/>
              <w:ind w:firstLine="0"/>
            </w:pPr>
          </w:p>
        </w:tc>
      </w:tr>
      <w:tr w:rsidR="007075D9" w:rsidRPr="004D46AC" w14:paraId="208C8E04" w14:textId="77777777" w:rsidTr="00B518F1">
        <w:tc>
          <w:tcPr>
            <w:tcW w:w="1409" w:type="dxa"/>
            <w:tcBorders>
              <w:top w:val="single" w:sz="4" w:space="0" w:color="auto"/>
              <w:left w:val="single" w:sz="4" w:space="0" w:color="auto"/>
              <w:bottom w:val="single" w:sz="4" w:space="0" w:color="auto"/>
              <w:right w:val="single" w:sz="4" w:space="0" w:color="auto"/>
            </w:tcBorders>
            <w:hideMark/>
          </w:tcPr>
          <w:p w14:paraId="7C26E741" w14:textId="77777777" w:rsidR="007075D9" w:rsidRPr="004D46AC" w:rsidRDefault="007075D9" w:rsidP="002C5F6E">
            <w:pPr>
              <w:spacing w:line="240" w:lineRule="auto"/>
              <w:ind w:firstLine="0"/>
            </w:pPr>
            <w:r w:rsidRPr="004D46AC">
              <w:t>Fatigue</w:t>
            </w:r>
          </w:p>
        </w:tc>
        <w:tc>
          <w:tcPr>
            <w:tcW w:w="1524" w:type="dxa"/>
            <w:tcBorders>
              <w:top w:val="single" w:sz="4" w:space="0" w:color="auto"/>
              <w:left w:val="single" w:sz="4" w:space="0" w:color="auto"/>
              <w:bottom w:val="single" w:sz="4" w:space="0" w:color="auto"/>
              <w:right w:val="single" w:sz="4" w:space="0" w:color="auto"/>
            </w:tcBorders>
            <w:hideMark/>
          </w:tcPr>
          <w:p w14:paraId="7B82A2BE" w14:textId="77777777" w:rsidR="007075D9" w:rsidRPr="004D46AC" w:rsidRDefault="007075D9" w:rsidP="002C5F6E">
            <w:pPr>
              <w:spacing w:line="240" w:lineRule="auto"/>
              <w:ind w:firstLine="0"/>
            </w:pPr>
            <w:r w:rsidRPr="004D46AC">
              <w:t>Poor appetite or overeating</w:t>
            </w:r>
          </w:p>
        </w:tc>
        <w:tc>
          <w:tcPr>
            <w:tcW w:w="1386" w:type="dxa"/>
            <w:tcBorders>
              <w:top w:val="single" w:sz="4" w:space="0" w:color="auto"/>
              <w:left w:val="single" w:sz="4" w:space="0" w:color="auto"/>
              <w:bottom w:val="single" w:sz="4" w:space="0" w:color="auto"/>
              <w:right w:val="single" w:sz="4" w:space="0" w:color="auto"/>
            </w:tcBorders>
            <w:hideMark/>
          </w:tcPr>
          <w:p w14:paraId="5DAA5639" w14:textId="77777777" w:rsidR="007075D9" w:rsidRPr="004D46AC" w:rsidRDefault="007075D9" w:rsidP="002C5F6E">
            <w:pPr>
              <w:spacing w:line="240" w:lineRule="auto"/>
              <w:ind w:firstLine="0"/>
            </w:pPr>
            <w:r w:rsidRPr="004D46AC">
              <w:t>0.29</w:t>
            </w:r>
          </w:p>
        </w:tc>
        <w:tc>
          <w:tcPr>
            <w:tcW w:w="1405" w:type="dxa"/>
            <w:tcBorders>
              <w:top w:val="single" w:sz="4" w:space="0" w:color="auto"/>
              <w:left w:val="single" w:sz="4" w:space="0" w:color="auto"/>
              <w:bottom w:val="single" w:sz="4" w:space="0" w:color="auto"/>
              <w:right w:val="single" w:sz="4" w:space="0" w:color="auto"/>
            </w:tcBorders>
          </w:tcPr>
          <w:p w14:paraId="6ABAA4A4" w14:textId="77777777" w:rsidR="007075D9" w:rsidRPr="004D46AC" w:rsidRDefault="007075D9" w:rsidP="002C5F6E">
            <w:pPr>
              <w:spacing w:line="240" w:lineRule="auto"/>
              <w:ind w:firstLine="0"/>
            </w:pPr>
          </w:p>
        </w:tc>
        <w:tc>
          <w:tcPr>
            <w:tcW w:w="1412" w:type="dxa"/>
            <w:tcBorders>
              <w:top w:val="single" w:sz="4" w:space="0" w:color="auto"/>
              <w:left w:val="single" w:sz="4" w:space="0" w:color="auto"/>
              <w:bottom w:val="single" w:sz="4" w:space="0" w:color="auto"/>
              <w:right w:val="single" w:sz="4" w:space="0" w:color="auto"/>
            </w:tcBorders>
          </w:tcPr>
          <w:p w14:paraId="154B22EA" w14:textId="77777777" w:rsidR="007075D9" w:rsidRPr="004D46AC" w:rsidRDefault="007075D9" w:rsidP="002C5F6E">
            <w:pPr>
              <w:spacing w:line="240" w:lineRule="auto"/>
              <w:ind w:firstLine="0"/>
            </w:pPr>
          </w:p>
        </w:tc>
        <w:tc>
          <w:tcPr>
            <w:tcW w:w="1386" w:type="dxa"/>
            <w:tcBorders>
              <w:top w:val="single" w:sz="4" w:space="0" w:color="auto"/>
              <w:left w:val="single" w:sz="4" w:space="0" w:color="auto"/>
              <w:bottom w:val="single" w:sz="4" w:space="0" w:color="auto"/>
              <w:right w:val="single" w:sz="4" w:space="0" w:color="auto"/>
            </w:tcBorders>
          </w:tcPr>
          <w:p w14:paraId="7E871DBB" w14:textId="77777777" w:rsidR="007075D9" w:rsidRPr="004D46AC" w:rsidRDefault="007075D9" w:rsidP="002C5F6E">
            <w:pPr>
              <w:spacing w:line="240" w:lineRule="auto"/>
              <w:ind w:firstLine="0"/>
            </w:pPr>
          </w:p>
        </w:tc>
      </w:tr>
    </w:tbl>
    <w:p w14:paraId="4B30E554" w14:textId="77777777" w:rsidR="007075D9" w:rsidRPr="004D46AC" w:rsidRDefault="007075D9" w:rsidP="002C5F6E">
      <w:pPr>
        <w:spacing w:line="240" w:lineRule="auto"/>
        <w:ind w:firstLine="0"/>
      </w:pPr>
      <w:r w:rsidRPr="004D46AC">
        <w:rPr>
          <w:i/>
          <w:iCs/>
        </w:rPr>
        <w:t>Note</w:t>
      </w:r>
      <w:r w:rsidRPr="004D46AC">
        <w:rPr>
          <w:b/>
          <w:bCs/>
        </w:rPr>
        <w:t>.</w:t>
      </w:r>
      <w:r w:rsidRPr="004D46AC">
        <w:t xml:space="preserve"> </w:t>
      </w:r>
      <w:proofErr w:type="spellStart"/>
      <w:r w:rsidRPr="004D46AC">
        <w:t>wTO</w:t>
      </w:r>
      <w:proofErr w:type="spellEnd"/>
      <w:r w:rsidRPr="004D46AC">
        <w:t>: weighted topological overlap score.</w:t>
      </w:r>
    </w:p>
    <w:p w14:paraId="2DDA91FF" w14:textId="77777777" w:rsidR="007075D9" w:rsidRPr="004D46AC" w:rsidRDefault="007075D9" w:rsidP="002C5F6E">
      <w:pPr>
        <w:spacing w:line="240" w:lineRule="auto"/>
        <w:ind w:firstLine="0"/>
      </w:pPr>
    </w:p>
    <w:p w14:paraId="351FAC3E" w14:textId="77777777" w:rsidR="007075D9" w:rsidRPr="004D46AC" w:rsidRDefault="007075D9" w:rsidP="002C5F6E">
      <w:pPr>
        <w:spacing w:line="240" w:lineRule="auto"/>
        <w:ind w:firstLine="0"/>
      </w:pPr>
    </w:p>
    <w:p w14:paraId="1B1FA0BD" w14:textId="77777777" w:rsidR="007075D9" w:rsidRPr="004D46AC" w:rsidRDefault="007075D9" w:rsidP="002C5F6E">
      <w:pPr>
        <w:spacing w:line="240" w:lineRule="auto"/>
        <w:ind w:firstLine="0"/>
      </w:pPr>
    </w:p>
    <w:p w14:paraId="276640D0" w14:textId="77777777" w:rsidR="007075D9" w:rsidRPr="004D46AC" w:rsidRDefault="007075D9" w:rsidP="002C5F6E">
      <w:pPr>
        <w:spacing w:line="240" w:lineRule="auto"/>
        <w:ind w:firstLine="0"/>
      </w:pPr>
    </w:p>
    <w:p w14:paraId="18D13059" w14:textId="77777777" w:rsidR="007075D9" w:rsidRPr="004D46AC" w:rsidRDefault="007075D9" w:rsidP="002C5F6E">
      <w:pPr>
        <w:spacing w:line="240" w:lineRule="auto"/>
        <w:ind w:firstLine="0"/>
      </w:pPr>
    </w:p>
    <w:p w14:paraId="2C38966F" w14:textId="77777777" w:rsidR="007075D9" w:rsidRPr="004D46AC" w:rsidRDefault="007075D9" w:rsidP="002C5F6E">
      <w:pPr>
        <w:spacing w:line="240" w:lineRule="auto"/>
        <w:ind w:firstLine="0"/>
      </w:pPr>
    </w:p>
    <w:p w14:paraId="11EFDA79" w14:textId="77777777" w:rsidR="007075D9" w:rsidRPr="004D46AC" w:rsidRDefault="007075D9" w:rsidP="002C5F6E">
      <w:pPr>
        <w:spacing w:line="240" w:lineRule="auto"/>
        <w:ind w:firstLine="0"/>
      </w:pPr>
    </w:p>
    <w:p w14:paraId="399D05A3" w14:textId="77777777" w:rsidR="007075D9" w:rsidRPr="004D46AC" w:rsidRDefault="007075D9" w:rsidP="002C5F6E">
      <w:pPr>
        <w:spacing w:line="240" w:lineRule="auto"/>
        <w:ind w:firstLine="0"/>
      </w:pPr>
    </w:p>
    <w:p w14:paraId="57EE0219" w14:textId="77777777" w:rsidR="007075D9" w:rsidRPr="004D46AC" w:rsidRDefault="007075D9" w:rsidP="002C5F6E">
      <w:pPr>
        <w:spacing w:line="240" w:lineRule="auto"/>
        <w:ind w:firstLine="0"/>
      </w:pPr>
    </w:p>
    <w:p w14:paraId="60D368A6" w14:textId="77777777" w:rsidR="007075D9" w:rsidRPr="004D46AC" w:rsidRDefault="007075D9" w:rsidP="002C5F6E">
      <w:pPr>
        <w:spacing w:line="240" w:lineRule="auto"/>
        <w:ind w:firstLine="0"/>
      </w:pPr>
    </w:p>
    <w:p w14:paraId="296293E7" w14:textId="77777777" w:rsidR="007075D9" w:rsidRPr="004D46AC" w:rsidRDefault="007075D9" w:rsidP="002C5F6E">
      <w:pPr>
        <w:spacing w:line="240" w:lineRule="auto"/>
        <w:ind w:firstLine="0"/>
      </w:pPr>
    </w:p>
    <w:p w14:paraId="45D0D877" w14:textId="77777777" w:rsidR="007075D9" w:rsidRPr="004D46AC" w:rsidRDefault="007075D9" w:rsidP="002C5F6E">
      <w:pPr>
        <w:spacing w:line="240" w:lineRule="auto"/>
        <w:ind w:firstLine="0"/>
      </w:pPr>
    </w:p>
    <w:p w14:paraId="780D1502" w14:textId="77777777" w:rsidR="007075D9" w:rsidRPr="004D46AC" w:rsidRDefault="007075D9" w:rsidP="002C5F6E">
      <w:pPr>
        <w:spacing w:line="240" w:lineRule="auto"/>
        <w:ind w:firstLine="0"/>
      </w:pPr>
    </w:p>
    <w:p w14:paraId="28EBEE61" w14:textId="77777777" w:rsidR="007075D9" w:rsidRPr="004D46AC" w:rsidRDefault="007075D9" w:rsidP="002C5F6E">
      <w:pPr>
        <w:spacing w:line="240" w:lineRule="auto"/>
        <w:ind w:firstLine="0"/>
      </w:pPr>
    </w:p>
    <w:p w14:paraId="7E24D46E" w14:textId="77777777" w:rsidR="007075D9" w:rsidRPr="004D46AC" w:rsidRDefault="007075D9" w:rsidP="002C5F6E">
      <w:pPr>
        <w:spacing w:line="240" w:lineRule="auto"/>
        <w:ind w:firstLine="0"/>
      </w:pPr>
    </w:p>
    <w:p w14:paraId="65F66DF4" w14:textId="77777777" w:rsidR="007075D9" w:rsidRPr="004D46AC" w:rsidRDefault="007075D9" w:rsidP="002C5F6E">
      <w:pPr>
        <w:spacing w:line="240" w:lineRule="auto"/>
        <w:ind w:firstLine="0"/>
      </w:pPr>
    </w:p>
    <w:p w14:paraId="39E51C5B" w14:textId="77777777" w:rsidR="007075D9" w:rsidRPr="004D46AC" w:rsidRDefault="007075D9" w:rsidP="002C5F6E">
      <w:pPr>
        <w:spacing w:line="240" w:lineRule="auto"/>
        <w:ind w:firstLine="0"/>
        <w:rPr>
          <w:rFonts w:eastAsiaTheme="minorEastAsia"/>
        </w:rPr>
      </w:pPr>
    </w:p>
    <w:p w14:paraId="51376471" w14:textId="77777777" w:rsidR="00CC3324" w:rsidRPr="004D46AC" w:rsidRDefault="00CC3324" w:rsidP="002C5F6E">
      <w:pPr>
        <w:spacing w:line="240" w:lineRule="auto"/>
        <w:ind w:firstLine="0"/>
        <w:rPr>
          <w:rFonts w:eastAsiaTheme="minorEastAsia"/>
        </w:rPr>
      </w:pPr>
    </w:p>
    <w:p w14:paraId="290485D8" w14:textId="77777777" w:rsidR="00CC3324" w:rsidRPr="004D46AC" w:rsidRDefault="00CC3324" w:rsidP="002C5F6E">
      <w:pPr>
        <w:spacing w:line="240" w:lineRule="auto"/>
        <w:ind w:firstLine="0"/>
        <w:rPr>
          <w:rFonts w:eastAsiaTheme="minorEastAsia"/>
        </w:rPr>
      </w:pPr>
    </w:p>
    <w:p w14:paraId="71F8E264" w14:textId="77777777" w:rsidR="00CC3324" w:rsidRPr="004D46AC" w:rsidRDefault="00CC3324" w:rsidP="002C5F6E">
      <w:pPr>
        <w:spacing w:line="240" w:lineRule="auto"/>
        <w:ind w:firstLine="0"/>
        <w:rPr>
          <w:rFonts w:eastAsiaTheme="minorEastAsia"/>
        </w:rPr>
      </w:pPr>
    </w:p>
    <w:p w14:paraId="75252F15" w14:textId="77777777" w:rsidR="00CC3324" w:rsidRPr="004D46AC" w:rsidRDefault="00CC3324" w:rsidP="002C5F6E">
      <w:pPr>
        <w:spacing w:line="240" w:lineRule="auto"/>
        <w:ind w:firstLine="0"/>
        <w:rPr>
          <w:rFonts w:eastAsiaTheme="minorEastAsia"/>
        </w:rPr>
      </w:pPr>
    </w:p>
    <w:p w14:paraId="51483956" w14:textId="77777777" w:rsidR="00CC3324" w:rsidRPr="004D46AC" w:rsidRDefault="00CC3324" w:rsidP="002C5F6E">
      <w:pPr>
        <w:spacing w:line="240" w:lineRule="auto"/>
        <w:ind w:firstLine="0"/>
        <w:rPr>
          <w:rFonts w:eastAsiaTheme="minorEastAsia"/>
        </w:rPr>
      </w:pPr>
    </w:p>
    <w:p w14:paraId="71AE70E0" w14:textId="77777777" w:rsidR="00CC3324" w:rsidRPr="004D46AC" w:rsidRDefault="00CC3324" w:rsidP="002C5F6E">
      <w:pPr>
        <w:spacing w:line="240" w:lineRule="auto"/>
        <w:ind w:firstLine="0"/>
        <w:rPr>
          <w:rFonts w:eastAsiaTheme="minorEastAsia"/>
        </w:rPr>
      </w:pPr>
    </w:p>
    <w:p w14:paraId="7B76A7C2" w14:textId="77777777" w:rsidR="00CC3324" w:rsidRPr="004D46AC" w:rsidRDefault="00CC3324" w:rsidP="002C5F6E">
      <w:pPr>
        <w:spacing w:line="240" w:lineRule="auto"/>
        <w:ind w:firstLine="0"/>
        <w:rPr>
          <w:rFonts w:eastAsiaTheme="minorEastAsia"/>
        </w:rPr>
      </w:pPr>
    </w:p>
    <w:p w14:paraId="5A6A2FB6" w14:textId="77777777" w:rsidR="00CC3324" w:rsidRPr="004D46AC" w:rsidRDefault="00CC3324" w:rsidP="002C5F6E">
      <w:pPr>
        <w:spacing w:line="240" w:lineRule="auto"/>
        <w:ind w:firstLine="0"/>
        <w:rPr>
          <w:rFonts w:eastAsiaTheme="minorEastAsia"/>
        </w:rPr>
      </w:pPr>
    </w:p>
    <w:p w14:paraId="64BDA124" w14:textId="77777777" w:rsidR="00CC3324" w:rsidRPr="004D46AC" w:rsidRDefault="00CC3324" w:rsidP="002C5F6E">
      <w:pPr>
        <w:spacing w:line="240" w:lineRule="auto"/>
        <w:ind w:firstLine="0"/>
        <w:rPr>
          <w:rFonts w:eastAsiaTheme="minorEastAsia"/>
        </w:rPr>
      </w:pPr>
    </w:p>
    <w:p w14:paraId="62A1A00B" w14:textId="77777777" w:rsidR="00CC3324" w:rsidRPr="004D46AC" w:rsidRDefault="00CC3324" w:rsidP="002C5F6E">
      <w:pPr>
        <w:spacing w:line="240" w:lineRule="auto"/>
        <w:ind w:firstLine="0"/>
        <w:rPr>
          <w:rFonts w:eastAsiaTheme="minorEastAsia"/>
        </w:rPr>
      </w:pPr>
    </w:p>
    <w:p w14:paraId="3D0C26FD" w14:textId="77777777" w:rsidR="00CC3324" w:rsidRPr="004D46AC" w:rsidRDefault="00CC3324" w:rsidP="002C5F6E">
      <w:pPr>
        <w:spacing w:line="240" w:lineRule="auto"/>
        <w:ind w:firstLine="0"/>
        <w:rPr>
          <w:rFonts w:eastAsiaTheme="minorEastAsia"/>
        </w:rPr>
      </w:pPr>
    </w:p>
    <w:p w14:paraId="457D8BEC" w14:textId="77777777" w:rsidR="00CC3324" w:rsidRPr="004D46AC" w:rsidRDefault="00CC3324" w:rsidP="002C5F6E">
      <w:pPr>
        <w:spacing w:line="240" w:lineRule="auto"/>
        <w:ind w:firstLine="0"/>
        <w:rPr>
          <w:rFonts w:eastAsiaTheme="minorEastAsia"/>
        </w:rPr>
      </w:pPr>
    </w:p>
    <w:p w14:paraId="1943E898" w14:textId="77777777" w:rsidR="00CC3324" w:rsidRPr="004D46AC" w:rsidRDefault="00CC3324" w:rsidP="002C5F6E">
      <w:pPr>
        <w:spacing w:line="240" w:lineRule="auto"/>
        <w:ind w:firstLine="0"/>
        <w:rPr>
          <w:rFonts w:eastAsiaTheme="minorEastAsia"/>
        </w:rPr>
      </w:pPr>
    </w:p>
    <w:p w14:paraId="4B867AEC" w14:textId="77777777" w:rsidR="00CC3324" w:rsidRPr="004D46AC" w:rsidRDefault="00CC3324" w:rsidP="002C5F6E">
      <w:pPr>
        <w:spacing w:line="240" w:lineRule="auto"/>
        <w:ind w:firstLine="0"/>
        <w:rPr>
          <w:rFonts w:eastAsiaTheme="minorEastAsia"/>
        </w:rPr>
      </w:pPr>
    </w:p>
    <w:p w14:paraId="3F41D506" w14:textId="77777777" w:rsidR="00CC3324" w:rsidRPr="004D46AC" w:rsidRDefault="00CC3324" w:rsidP="002C5F6E">
      <w:pPr>
        <w:spacing w:line="240" w:lineRule="auto"/>
        <w:ind w:firstLine="0"/>
        <w:rPr>
          <w:rFonts w:eastAsiaTheme="minorEastAsia"/>
        </w:rPr>
      </w:pPr>
    </w:p>
    <w:p w14:paraId="257DAC6C" w14:textId="77777777" w:rsidR="007075D9" w:rsidRPr="004D46AC" w:rsidRDefault="007075D9" w:rsidP="002C5F6E">
      <w:pPr>
        <w:spacing w:line="240" w:lineRule="auto"/>
        <w:ind w:firstLine="0"/>
      </w:pPr>
    </w:p>
    <w:p w14:paraId="48311477" w14:textId="758ACF17" w:rsidR="00011BA9" w:rsidRPr="004D46AC" w:rsidRDefault="00011BA9" w:rsidP="00011BA9">
      <w:pPr>
        <w:pStyle w:val="afff0"/>
        <w:spacing w:after="0"/>
        <w:ind w:firstLine="0"/>
        <w:rPr>
          <w:b/>
          <w:bCs/>
          <w:i w:val="0"/>
          <w:iCs w:val="0"/>
          <w:color w:val="auto"/>
          <w:sz w:val="22"/>
          <w:szCs w:val="22"/>
        </w:rPr>
      </w:pPr>
      <w:bookmarkStart w:id="397" w:name="_Toc219870642"/>
      <w:r w:rsidRPr="004D46AC">
        <w:rPr>
          <w:b/>
          <w:bCs/>
          <w:i w:val="0"/>
          <w:iCs w:val="0"/>
          <w:color w:val="auto"/>
          <w:sz w:val="22"/>
          <w:szCs w:val="22"/>
        </w:rPr>
        <w:lastRenderedPageBreak/>
        <w:t xml:space="preserve">Table D </w:t>
      </w:r>
      <w:r w:rsidRPr="004D46AC">
        <w:rPr>
          <w:b/>
          <w:bCs/>
          <w:i w:val="0"/>
          <w:iCs w:val="0"/>
          <w:color w:val="auto"/>
          <w:sz w:val="22"/>
          <w:szCs w:val="22"/>
        </w:rPr>
        <w:fldChar w:fldCharType="begin"/>
      </w:r>
      <w:r w:rsidRPr="004D46AC">
        <w:rPr>
          <w:b/>
          <w:bCs/>
          <w:i w:val="0"/>
          <w:iCs w:val="0"/>
          <w:color w:val="auto"/>
          <w:sz w:val="22"/>
          <w:szCs w:val="22"/>
        </w:rPr>
        <w:instrText xml:space="preserve"> SEQ Table_D \* ARABIC </w:instrText>
      </w:r>
      <w:r w:rsidRPr="004D46AC">
        <w:rPr>
          <w:b/>
          <w:bCs/>
          <w:i w:val="0"/>
          <w:iCs w:val="0"/>
          <w:color w:val="auto"/>
          <w:sz w:val="22"/>
          <w:szCs w:val="22"/>
        </w:rPr>
        <w:fldChar w:fldCharType="separate"/>
      </w:r>
      <w:r w:rsidRPr="004D46AC">
        <w:rPr>
          <w:b/>
          <w:bCs/>
          <w:i w:val="0"/>
          <w:iCs w:val="0"/>
          <w:noProof/>
          <w:color w:val="auto"/>
          <w:sz w:val="22"/>
          <w:szCs w:val="22"/>
        </w:rPr>
        <w:t>2</w:t>
      </w:r>
      <w:bookmarkEnd w:id="397"/>
      <w:r w:rsidRPr="004D46AC">
        <w:rPr>
          <w:b/>
          <w:bCs/>
          <w:i w:val="0"/>
          <w:iCs w:val="0"/>
          <w:color w:val="auto"/>
          <w:sz w:val="22"/>
          <w:szCs w:val="22"/>
        </w:rPr>
        <w:fldChar w:fldCharType="end"/>
      </w:r>
    </w:p>
    <w:p w14:paraId="4BB76852" w14:textId="7EBB8A24" w:rsidR="007075D9" w:rsidRPr="004D46AC" w:rsidRDefault="007075D9" w:rsidP="002C5F6E">
      <w:pPr>
        <w:spacing w:line="240" w:lineRule="auto"/>
        <w:ind w:firstLine="0"/>
        <w:rPr>
          <w:i/>
          <w:iCs/>
        </w:rPr>
      </w:pPr>
      <w:r w:rsidRPr="004D46AC">
        <w:rPr>
          <w:i/>
          <w:iCs/>
        </w:rPr>
        <w:t xml:space="preserve">Bootstrapped </w:t>
      </w:r>
      <w:r w:rsidR="00D70BAE" w:rsidRPr="004D46AC">
        <w:rPr>
          <w:rFonts w:eastAsiaTheme="minorEastAsia" w:hint="eastAsia"/>
          <w:i/>
          <w:iCs/>
        </w:rPr>
        <w:t>s</w:t>
      </w:r>
      <w:r w:rsidRPr="004D46AC">
        <w:rPr>
          <w:i/>
          <w:iCs/>
        </w:rPr>
        <w:t xml:space="preserve">tatistics for </w:t>
      </w:r>
      <w:r w:rsidR="00D70BAE" w:rsidRPr="004D46AC">
        <w:rPr>
          <w:rFonts w:eastAsiaTheme="minorEastAsia" w:hint="eastAsia"/>
          <w:i/>
          <w:iCs/>
        </w:rPr>
        <w:t>e</w:t>
      </w:r>
      <w:r w:rsidRPr="004D46AC">
        <w:rPr>
          <w:i/>
          <w:iCs/>
        </w:rPr>
        <w:t xml:space="preserve">dges with </w:t>
      </w:r>
      <w:r w:rsidR="00D70BAE" w:rsidRPr="004D46AC">
        <w:rPr>
          <w:rFonts w:eastAsiaTheme="minorEastAsia" w:hint="eastAsia"/>
          <w:i/>
          <w:iCs/>
        </w:rPr>
        <w:t>n</w:t>
      </w:r>
      <w:r w:rsidRPr="004D46AC">
        <w:rPr>
          <w:i/>
          <w:iCs/>
        </w:rPr>
        <w:t>on-</w:t>
      </w:r>
      <w:r w:rsidR="00D70BAE" w:rsidRPr="004D46AC">
        <w:rPr>
          <w:rFonts w:eastAsiaTheme="minorEastAsia" w:hint="eastAsia"/>
          <w:i/>
          <w:iCs/>
        </w:rPr>
        <w:t>z</w:t>
      </w:r>
      <w:r w:rsidRPr="004D46AC">
        <w:rPr>
          <w:i/>
          <w:iCs/>
        </w:rPr>
        <w:t xml:space="preserve">ero </w:t>
      </w:r>
      <w:r w:rsidR="00D70BAE" w:rsidRPr="004D46AC">
        <w:rPr>
          <w:rFonts w:eastAsiaTheme="minorEastAsia" w:hint="eastAsia"/>
          <w:i/>
          <w:iCs/>
        </w:rPr>
        <w:t>w</w:t>
      </w:r>
      <w:r w:rsidRPr="004D46AC">
        <w:rPr>
          <w:i/>
          <w:iCs/>
        </w:rPr>
        <w:t xml:space="preserve">eights in the Mood and PLE </w:t>
      </w:r>
      <w:r w:rsidR="00D70BAE" w:rsidRPr="004D46AC">
        <w:rPr>
          <w:rFonts w:eastAsiaTheme="minorEastAsia" w:hint="eastAsia"/>
          <w:i/>
          <w:iCs/>
        </w:rPr>
        <w:t>n</w:t>
      </w:r>
      <w:r w:rsidRPr="004D46AC">
        <w:rPr>
          <w:i/>
          <w:iCs/>
        </w:rPr>
        <w:t xml:space="preserve">etwork at </w:t>
      </w:r>
      <w:r w:rsidR="00D70BAE" w:rsidRPr="004D46AC">
        <w:rPr>
          <w:rFonts w:eastAsiaTheme="minorEastAsia" w:hint="eastAsia"/>
          <w:i/>
          <w:iCs/>
        </w:rPr>
        <w:t>w</w:t>
      </w:r>
      <w:r w:rsidRPr="004D46AC">
        <w:rPr>
          <w:i/>
          <w:iCs/>
        </w:rPr>
        <w:t>ave 5</w:t>
      </w:r>
    </w:p>
    <w:tbl>
      <w:tblPr>
        <w:tblStyle w:val="afc"/>
        <w:tblW w:w="0" w:type="auto"/>
        <w:tblLook w:val="04A0" w:firstRow="1" w:lastRow="0" w:firstColumn="1" w:lastColumn="0" w:noHBand="0" w:noVBand="1"/>
      </w:tblPr>
      <w:tblGrid>
        <w:gridCol w:w="1704"/>
        <w:gridCol w:w="1098"/>
        <w:gridCol w:w="2409"/>
        <w:gridCol w:w="2410"/>
        <w:gridCol w:w="901"/>
      </w:tblGrid>
      <w:tr w:rsidR="007075D9" w:rsidRPr="004D46AC" w14:paraId="13983D93" w14:textId="77777777" w:rsidTr="00B518F1">
        <w:tc>
          <w:tcPr>
            <w:tcW w:w="1704" w:type="dxa"/>
          </w:tcPr>
          <w:p w14:paraId="5629F19F" w14:textId="77777777" w:rsidR="007075D9" w:rsidRPr="004D46AC" w:rsidRDefault="007075D9" w:rsidP="002C5F6E">
            <w:pPr>
              <w:spacing w:line="240" w:lineRule="auto"/>
              <w:ind w:firstLine="0"/>
            </w:pPr>
            <w:r w:rsidRPr="004D46AC">
              <w:t>Edge</w:t>
            </w:r>
          </w:p>
        </w:tc>
        <w:tc>
          <w:tcPr>
            <w:tcW w:w="1098" w:type="dxa"/>
          </w:tcPr>
          <w:p w14:paraId="222746D1" w14:textId="77777777" w:rsidR="007075D9" w:rsidRPr="004D46AC" w:rsidRDefault="007075D9" w:rsidP="002C5F6E">
            <w:pPr>
              <w:spacing w:line="240" w:lineRule="auto"/>
              <w:ind w:firstLine="0"/>
            </w:pPr>
            <w:r w:rsidRPr="004D46AC">
              <w:t>Weight</w:t>
            </w:r>
          </w:p>
        </w:tc>
        <w:tc>
          <w:tcPr>
            <w:tcW w:w="2409" w:type="dxa"/>
          </w:tcPr>
          <w:p w14:paraId="57D48289" w14:textId="77777777" w:rsidR="007075D9" w:rsidRPr="004D46AC" w:rsidRDefault="007075D9" w:rsidP="002C5F6E">
            <w:pPr>
              <w:spacing w:line="240" w:lineRule="auto"/>
              <w:ind w:firstLine="0"/>
            </w:pPr>
            <w:r w:rsidRPr="004D46AC">
              <w:t>95% BCI lower</w:t>
            </w:r>
          </w:p>
        </w:tc>
        <w:tc>
          <w:tcPr>
            <w:tcW w:w="2410" w:type="dxa"/>
          </w:tcPr>
          <w:p w14:paraId="0EA0ADF8" w14:textId="77777777" w:rsidR="007075D9" w:rsidRPr="004D46AC" w:rsidRDefault="007075D9" w:rsidP="002C5F6E">
            <w:pPr>
              <w:spacing w:line="240" w:lineRule="auto"/>
              <w:ind w:firstLine="0"/>
            </w:pPr>
            <w:r w:rsidRPr="004D46AC">
              <w:t>95% BCI upper</w:t>
            </w:r>
          </w:p>
        </w:tc>
        <w:tc>
          <w:tcPr>
            <w:tcW w:w="901" w:type="dxa"/>
          </w:tcPr>
          <w:p w14:paraId="453EC1A9" w14:textId="77777777" w:rsidR="007075D9" w:rsidRPr="004D46AC" w:rsidRDefault="007075D9" w:rsidP="002C5F6E">
            <w:pPr>
              <w:spacing w:line="240" w:lineRule="auto"/>
              <w:ind w:firstLine="0"/>
            </w:pPr>
            <w:r w:rsidRPr="004D46AC">
              <w:t>P0</w:t>
            </w:r>
          </w:p>
        </w:tc>
      </w:tr>
      <w:tr w:rsidR="007075D9" w:rsidRPr="004D46AC" w14:paraId="727C2E00" w14:textId="77777777" w:rsidTr="00B518F1">
        <w:tc>
          <w:tcPr>
            <w:tcW w:w="1704" w:type="dxa"/>
            <w:vAlign w:val="center"/>
          </w:tcPr>
          <w:p w14:paraId="527EE753" w14:textId="77777777" w:rsidR="007075D9" w:rsidRPr="004D46AC" w:rsidRDefault="007075D9" w:rsidP="002C5F6E">
            <w:pPr>
              <w:spacing w:line="240" w:lineRule="auto"/>
              <w:ind w:firstLine="0"/>
            </w:pPr>
            <w:r w:rsidRPr="004D46AC">
              <w:rPr>
                <w:rFonts w:eastAsia="SimSun"/>
                <w:color w:val="000000"/>
              </w:rPr>
              <w:t>M12--M13</w:t>
            </w:r>
          </w:p>
        </w:tc>
        <w:tc>
          <w:tcPr>
            <w:tcW w:w="1098" w:type="dxa"/>
            <w:vAlign w:val="center"/>
          </w:tcPr>
          <w:p w14:paraId="697D3A75" w14:textId="77777777" w:rsidR="007075D9" w:rsidRPr="004D46AC" w:rsidRDefault="007075D9" w:rsidP="002C5F6E">
            <w:pPr>
              <w:spacing w:line="240" w:lineRule="auto"/>
              <w:ind w:firstLine="0"/>
            </w:pPr>
            <w:r w:rsidRPr="004D46AC">
              <w:rPr>
                <w:rFonts w:eastAsia="SimSun"/>
                <w:color w:val="000000"/>
              </w:rPr>
              <w:t xml:space="preserve">0.90 </w:t>
            </w:r>
          </w:p>
        </w:tc>
        <w:tc>
          <w:tcPr>
            <w:tcW w:w="2409" w:type="dxa"/>
            <w:vAlign w:val="center"/>
          </w:tcPr>
          <w:p w14:paraId="04389C82" w14:textId="77777777" w:rsidR="007075D9" w:rsidRPr="004D46AC" w:rsidRDefault="007075D9" w:rsidP="002C5F6E">
            <w:pPr>
              <w:spacing w:line="240" w:lineRule="auto"/>
              <w:ind w:firstLine="0"/>
            </w:pPr>
            <w:r w:rsidRPr="004D46AC">
              <w:rPr>
                <w:rFonts w:eastAsia="SimSun"/>
                <w:color w:val="000000"/>
              </w:rPr>
              <w:t xml:space="preserve">0.50 </w:t>
            </w:r>
          </w:p>
        </w:tc>
        <w:tc>
          <w:tcPr>
            <w:tcW w:w="2410" w:type="dxa"/>
            <w:vAlign w:val="center"/>
          </w:tcPr>
          <w:p w14:paraId="0AD8E053" w14:textId="77777777" w:rsidR="007075D9" w:rsidRPr="004D46AC" w:rsidRDefault="007075D9" w:rsidP="002C5F6E">
            <w:pPr>
              <w:spacing w:line="240" w:lineRule="auto"/>
              <w:ind w:firstLine="0"/>
            </w:pPr>
            <w:r w:rsidRPr="004D46AC">
              <w:rPr>
                <w:rFonts w:eastAsia="SimSun"/>
                <w:color w:val="000000"/>
              </w:rPr>
              <w:t xml:space="preserve">1.30 </w:t>
            </w:r>
          </w:p>
        </w:tc>
        <w:tc>
          <w:tcPr>
            <w:tcW w:w="901" w:type="dxa"/>
            <w:vAlign w:val="center"/>
          </w:tcPr>
          <w:p w14:paraId="3D22935D"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376059D6" w14:textId="77777777" w:rsidTr="00B518F1">
        <w:tc>
          <w:tcPr>
            <w:tcW w:w="1704" w:type="dxa"/>
            <w:vAlign w:val="center"/>
          </w:tcPr>
          <w:p w14:paraId="20FDA053" w14:textId="77777777" w:rsidR="007075D9" w:rsidRPr="004D46AC" w:rsidRDefault="007075D9" w:rsidP="002C5F6E">
            <w:pPr>
              <w:spacing w:line="240" w:lineRule="auto"/>
              <w:ind w:firstLine="0"/>
            </w:pPr>
            <w:r w:rsidRPr="004D46AC">
              <w:rPr>
                <w:rFonts w:eastAsia="SimSun"/>
                <w:color w:val="000000"/>
              </w:rPr>
              <w:t>M1--M13</w:t>
            </w:r>
          </w:p>
        </w:tc>
        <w:tc>
          <w:tcPr>
            <w:tcW w:w="1098" w:type="dxa"/>
            <w:vAlign w:val="center"/>
          </w:tcPr>
          <w:p w14:paraId="3CFC6067" w14:textId="77777777" w:rsidR="007075D9" w:rsidRPr="004D46AC" w:rsidRDefault="007075D9" w:rsidP="002C5F6E">
            <w:pPr>
              <w:spacing w:line="240" w:lineRule="auto"/>
              <w:ind w:firstLine="0"/>
            </w:pPr>
            <w:r w:rsidRPr="004D46AC">
              <w:rPr>
                <w:rFonts w:eastAsia="SimSun"/>
                <w:color w:val="000000"/>
              </w:rPr>
              <w:t xml:space="preserve">0.76 </w:t>
            </w:r>
          </w:p>
        </w:tc>
        <w:tc>
          <w:tcPr>
            <w:tcW w:w="2409" w:type="dxa"/>
            <w:vAlign w:val="center"/>
          </w:tcPr>
          <w:p w14:paraId="390B1780" w14:textId="77777777" w:rsidR="007075D9" w:rsidRPr="004D46AC" w:rsidRDefault="007075D9" w:rsidP="002C5F6E">
            <w:pPr>
              <w:spacing w:line="240" w:lineRule="auto"/>
              <w:ind w:firstLine="0"/>
            </w:pPr>
            <w:r w:rsidRPr="004D46AC">
              <w:rPr>
                <w:rFonts w:eastAsia="SimSun"/>
                <w:color w:val="000000"/>
              </w:rPr>
              <w:t xml:space="preserve">0.35 </w:t>
            </w:r>
          </w:p>
        </w:tc>
        <w:tc>
          <w:tcPr>
            <w:tcW w:w="2410" w:type="dxa"/>
            <w:vAlign w:val="center"/>
          </w:tcPr>
          <w:p w14:paraId="7991594C" w14:textId="77777777" w:rsidR="007075D9" w:rsidRPr="004D46AC" w:rsidRDefault="007075D9" w:rsidP="002C5F6E">
            <w:pPr>
              <w:spacing w:line="240" w:lineRule="auto"/>
              <w:ind w:firstLine="0"/>
            </w:pPr>
            <w:r w:rsidRPr="004D46AC">
              <w:rPr>
                <w:rFonts w:eastAsia="SimSun"/>
                <w:color w:val="000000"/>
              </w:rPr>
              <w:t xml:space="preserve">1.16 </w:t>
            </w:r>
          </w:p>
        </w:tc>
        <w:tc>
          <w:tcPr>
            <w:tcW w:w="901" w:type="dxa"/>
            <w:vAlign w:val="center"/>
          </w:tcPr>
          <w:p w14:paraId="581BA39B"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5FEA5D3A" w14:textId="77777777" w:rsidTr="00B518F1">
        <w:tc>
          <w:tcPr>
            <w:tcW w:w="1704" w:type="dxa"/>
            <w:vAlign w:val="center"/>
          </w:tcPr>
          <w:p w14:paraId="06632922" w14:textId="77777777" w:rsidR="007075D9" w:rsidRPr="004D46AC" w:rsidRDefault="007075D9" w:rsidP="002C5F6E">
            <w:pPr>
              <w:spacing w:line="240" w:lineRule="auto"/>
              <w:ind w:firstLine="0"/>
            </w:pPr>
            <w:r w:rsidRPr="004D46AC">
              <w:rPr>
                <w:rFonts w:eastAsia="SimSun"/>
                <w:color w:val="000000"/>
              </w:rPr>
              <w:t>PS--P5</w:t>
            </w:r>
          </w:p>
        </w:tc>
        <w:tc>
          <w:tcPr>
            <w:tcW w:w="1098" w:type="dxa"/>
            <w:vAlign w:val="center"/>
          </w:tcPr>
          <w:p w14:paraId="252DAE48" w14:textId="77777777" w:rsidR="007075D9" w:rsidRPr="004D46AC" w:rsidRDefault="007075D9" w:rsidP="002C5F6E">
            <w:pPr>
              <w:spacing w:line="240" w:lineRule="auto"/>
              <w:ind w:firstLine="0"/>
            </w:pPr>
            <w:r w:rsidRPr="004D46AC">
              <w:rPr>
                <w:rFonts w:eastAsia="SimSun"/>
                <w:color w:val="000000"/>
              </w:rPr>
              <w:t xml:space="preserve">0.73 </w:t>
            </w:r>
          </w:p>
        </w:tc>
        <w:tc>
          <w:tcPr>
            <w:tcW w:w="2409" w:type="dxa"/>
            <w:vAlign w:val="center"/>
          </w:tcPr>
          <w:p w14:paraId="6483CB15" w14:textId="77777777" w:rsidR="007075D9" w:rsidRPr="004D46AC" w:rsidRDefault="007075D9" w:rsidP="002C5F6E">
            <w:pPr>
              <w:spacing w:line="240" w:lineRule="auto"/>
              <w:ind w:firstLine="0"/>
            </w:pPr>
            <w:r w:rsidRPr="004D46AC">
              <w:rPr>
                <w:rFonts w:eastAsia="SimSun"/>
                <w:color w:val="000000"/>
              </w:rPr>
              <w:t xml:space="preserve">0.54 </w:t>
            </w:r>
          </w:p>
        </w:tc>
        <w:tc>
          <w:tcPr>
            <w:tcW w:w="2410" w:type="dxa"/>
            <w:vAlign w:val="center"/>
          </w:tcPr>
          <w:p w14:paraId="2F12D70C" w14:textId="77777777" w:rsidR="007075D9" w:rsidRPr="004D46AC" w:rsidRDefault="007075D9" w:rsidP="002C5F6E">
            <w:pPr>
              <w:spacing w:line="240" w:lineRule="auto"/>
              <w:ind w:firstLine="0"/>
            </w:pPr>
            <w:r w:rsidRPr="004D46AC">
              <w:rPr>
                <w:rFonts w:eastAsia="SimSun"/>
                <w:color w:val="000000"/>
              </w:rPr>
              <w:t xml:space="preserve">0.93 </w:t>
            </w:r>
          </w:p>
        </w:tc>
        <w:tc>
          <w:tcPr>
            <w:tcW w:w="901" w:type="dxa"/>
            <w:vAlign w:val="center"/>
          </w:tcPr>
          <w:p w14:paraId="00D0A8DA"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668F30A" w14:textId="77777777" w:rsidTr="00B518F1">
        <w:tc>
          <w:tcPr>
            <w:tcW w:w="1704" w:type="dxa"/>
            <w:vAlign w:val="center"/>
          </w:tcPr>
          <w:p w14:paraId="3D077674" w14:textId="77777777" w:rsidR="007075D9" w:rsidRPr="004D46AC" w:rsidRDefault="007075D9" w:rsidP="002C5F6E">
            <w:pPr>
              <w:spacing w:line="240" w:lineRule="auto"/>
              <w:ind w:firstLine="0"/>
            </w:pPr>
            <w:r w:rsidRPr="004D46AC">
              <w:rPr>
                <w:rFonts w:eastAsia="SimSun"/>
                <w:color w:val="000000"/>
              </w:rPr>
              <w:t>M6--M7</w:t>
            </w:r>
          </w:p>
        </w:tc>
        <w:tc>
          <w:tcPr>
            <w:tcW w:w="1098" w:type="dxa"/>
            <w:vAlign w:val="center"/>
          </w:tcPr>
          <w:p w14:paraId="62581329" w14:textId="77777777" w:rsidR="007075D9" w:rsidRPr="004D46AC" w:rsidRDefault="007075D9" w:rsidP="002C5F6E">
            <w:pPr>
              <w:spacing w:line="240" w:lineRule="auto"/>
              <w:ind w:firstLine="0"/>
            </w:pPr>
            <w:r w:rsidRPr="004D46AC">
              <w:rPr>
                <w:rFonts w:eastAsia="SimSun"/>
                <w:color w:val="000000"/>
              </w:rPr>
              <w:t xml:space="preserve">0.72 </w:t>
            </w:r>
          </w:p>
        </w:tc>
        <w:tc>
          <w:tcPr>
            <w:tcW w:w="2409" w:type="dxa"/>
            <w:vAlign w:val="center"/>
          </w:tcPr>
          <w:p w14:paraId="67E3EF9F" w14:textId="77777777" w:rsidR="007075D9" w:rsidRPr="004D46AC" w:rsidRDefault="007075D9" w:rsidP="002C5F6E">
            <w:pPr>
              <w:spacing w:line="240" w:lineRule="auto"/>
              <w:ind w:firstLine="0"/>
            </w:pPr>
            <w:r w:rsidRPr="004D46AC">
              <w:rPr>
                <w:rFonts w:eastAsia="SimSun"/>
                <w:color w:val="000000"/>
              </w:rPr>
              <w:t xml:space="preserve">0.52 </w:t>
            </w:r>
          </w:p>
        </w:tc>
        <w:tc>
          <w:tcPr>
            <w:tcW w:w="2410" w:type="dxa"/>
            <w:vAlign w:val="center"/>
          </w:tcPr>
          <w:p w14:paraId="2E6C9DE6" w14:textId="77777777" w:rsidR="007075D9" w:rsidRPr="004D46AC" w:rsidRDefault="007075D9" w:rsidP="002C5F6E">
            <w:pPr>
              <w:spacing w:line="240" w:lineRule="auto"/>
              <w:ind w:firstLine="0"/>
            </w:pPr>
            <w:r w:rsidRPr="004D46AC">
              <w:rPr>
                <w:rFonts w:eastAsia="SimSun"/>
                <w:color w:val="000000"/>
              </w:rPr>
              <w:t xml:space="preserve">0.93 </w:t>
            </w:r>
          </w:p>
        </w:tc>
        <w:tc>
          <w:tcPr>
            <w:tcW w:w="901" w:type="dxa"/>
            <w:vAlign w:val="center"/>
          </w:tcPr>
          <w:p w14:paraId="17F2530E"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3E36903A" w14:textId="77777777" w:rsidTr="00B518F1">
        <w:tc>
          <w:tcPr>
            <w:tcW w:w="1704" w:type="dxa"/>
            <w:vAlign w:val="center"/>
          </w:tcPr>
          <w:p w14:paraId="43408DE4" w14:textId="77777777" w:rsidR="007075D9" w:rsidRPr="004D46AC" w:rsidRDefault="007075D9" w:rsidP="002C5F6E">
            <w:pPr>
              <w:spacing w:line="240" w:lineRule="auto"/>
              <w:ind w:firstLine="0"/>
            </w:pPr>
            <w:r w:rsidRPr="004D46AC">
              <w:rPr>
                <w:rFonts w:eastAsia="SimSun"/>
                <w:color w:val="000000"/>
              </w:rPr>
              <w:t>M11--M12</w:t>
            </w:r>
          </w:p>
        </w:tc>
        <w:tc>
          <w:tcPr>
            <w:tcW w:w="1098" w:type="dxa"/>
            <w:vAlign w:val="center"/>
          </w:tcPr>
          <w:p w14:paraId="1E9033B4" w14:textId="77777777" w:rsidR="007075D9" w:rsidRPr="004D46AC" w:rsidRDefault="007075D9" w:rsidP="002C5F6E">
            <w:pPr>
              <w:spacing w:line="240" w:lineRule="auto"/>
              <w:ind w:firstLine="0"/>
            </w:pPr>
            <w:r w:rsidRPr="004D46AC">
              <w:rPr>
                <w:rFonts w:eastAsia="SimSun"/>
                <w:color w:val="000000"/>
              </w:rPr>
              <w:t xml:space="preserve">0.63 </w:t>
            </w:r>
          </w:p>
        </w:tc>
        <w:tc>
          <w:tcPr>
            <w:tcW w:w="2409" w:type="dxa"/>
            <w:vAlign w:val="center"/>
          </w:tcPr>
          <w:p w14:paraId="1D1C4BFF" w14:textId="77777777" w:rsidR="007075D9" w:rsidRPr="004D46AC" w:rsidRDefault="007075D9" w:rsidP="002C5F6E">
            <w:pPr>
              <w:spacing w:line="240" w:lineRule="auto"/>
              <w:ind w:firstLine="0"/>
            </w:pPr>
            <w:r w:rsidRPr="004D46AC">
              <w:rPr>
                <w:rFonts w:eastAsia="SimSun"/>
                <w:color w:val="000000"/>
              </w:rPr>
              <w:t xml:space="preserve">0.35 </w:t>
            </w:r>
          </w:p>
        </w:tc>
        <w:tc>
          <w:tcPr>
            <w:tcW w:w="2410" w:type="dxa"/>
            <w:vAlign w:val="center"/>
          </w:tcPr>
          <w:p w14:paraId="619C33AD" w14:textId="77777777" w:rsidR="007075D9" w:rsidRPr="004D46AC" w:rsidRDefault="007075D9" w:rsidP="002C5F6E">
            <w:pPr>
              <w:spacing w:line="240" w:lineRule="auto"/>
              <w:ind w:firstLine="0"/>
            </w:pPr>
            <w:r w:rsidRPr="004D46AC">
              <w:rPr>
                <w:rFonts w:eastAsia="SimSun"/>
                <w:color w:val="000000"/>
              </w:rPr>
              <w:t xml:space="preserve">0.91 </w:t>
            </w:r>
          </w:p>
        </w:tc>
        <w:tc>
          <w:tcPr>
            <w:tcW w:w="901" w:type="dxa"/>
            <w:vAlign w:val="center"/>
          </w:tcPr>
          <w:p w14:paraId="40775CF9"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D30A928" w14:textId="77777777" w:rsidTr="00B518F1">
        <w:tc>
          <w:tcPr>
            <w:tcW w:w="1704" w:type="dxa"/>
            <w:vAlign w:val="center"/>
          </w:tcPr>
          <w:p w14:paraId="4E47DDC2" w14:textId="77777777" w:rsidR="007075D9" w:rsidRPr="004D46AC" w:rsidRDefault="007075D9" w:rsidP="002C5F6E">
            <w:pPr>
              <w:spacing w:line="240" w:lineRule="auto"/>
              <w:ind w:firstLine="0"/>
            </w:pPr>
            <w:r w:rsidRPr="004D46AC">
              <w:rPr>
                <w:rFonts w:eastAsia="SimSun"/>
                <w:color w:val="000000"/>
              </w:rPr>
              <w:t>M1--M10</w:t>
            </w:r>
          </w:p>
        </w:tc>
        <w:tc>
          <w:tcPr>
            <w:tcW w:w="1098" w:type="dxa"/>
            <w:vAlign w:val="center"/>
          </w:tcPr>
          <w:p w14:paraId="36132967" w14:textId="77777777" w:rsidR="007075D9" w:rsidRPr="004D46AC" w:rsidRDefault="007075D9" w:rsidP="002C5F6E">
            <w:pPr>
              <w:spacing w:line="240" w:lineRule="auto"/>
              <w:ind w:firstLine="0"/>
            </w:pPr>
            <w:r w:rsidRPr="004D46AC">
              <w:rPr>
                <w:rFonts w:eastAsia="SimSun"/>
                <w:color w:val="000000"/>
              </w:rPr>
              <w:t xml:space="preserve">0.53 </w:t>
            </w:r>
          </w:p>
        </w:tc>
        <w:tc>
          <w:tcPr>
            <w:tcW w:w="2409" w:type="dxa"/>
            <w:vAlign w:val="center"/>
          </w:tcPr>
          <w:p w14:paraId="18282AAA" w14:textId="77777777" w:rsidR="007075D9" w:rsidRPr="004D46AC" w:rsidRDefault="007075D9" w:rsidP="002C5F6E">
            <w:pPr>
              <w:spacing w:line="240" w:lineRule="auto"/>
              <w:ind w:firstLine="0"/>
            </w:pPr>
            <w:r w:rsidRPr="004D46AC">
              <w:rPr>
                <w:rFonts w:eastAsia="SimSun"/>
                <w:color w:val="000000"/>
              </w:rPr>
              <w:t xml:space="preserve">0.18 </w:t>
            </w:r>
          </w:p>
        </w:tc>
        <w:tc>
          <w:tcPr>
            <w:tcW w:w="2410" w:type="dxa"/>
            <w:vAlign w:val="center"/>
          </w:tcPr>
          <w:p w14:paraId="57F971DB" w14:textId="77777777" w:rsidR="007075D9" w:rsidRPr="004D46AC" w:rsidRDefault="007075D9" w:rsidP="002C5F6E">
            <w:pPr>
              <w:spacing w:line="240" w:lineRule="auto"/>
              <w:ind w:firstLine="0"/>
            </w:pPr>
            <w:r w:rsidRPr="004D46AC">
              <w:rPr>
                <w:rFonts w:eastAsia="SimSun"/>
                <w:color w:val="000000"/>
              </w:rPr>
              <w:t xml:space="preserve">0.87 </w:t>
            </w:r>
          </w:p>
        </w:tc>
        <w:tc>
          <w:tcPr>
            <w:tcW w:w="901" w:type="dxa"/>
            <w:vAlign w:val="center"/>
          </w:tcPr>
          <w:p w14:paraId="1791BDF2"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7C53C414" w14:textId="77777777" w:rsidTr="00B518F1">
        <w:tc>
          <w:tcPr>
            <w:tcW w:w="1704" w:type="dxa"/>
            <w:vAlign w:val="center"/>
          </w:tcPr>
          <w:p w14:paraId="5ED63EDE" w14:textId="77777777" w:rsidR="007075D9" w:rsidRPr="004D46AC" w:rsidRDefault="007075D9" w:rsidP="002C5F6E">
            <w:pPr>
              <w:spacing w:line="240" w:lineRule="auto"/>
              <w:ind w:firstLine="0"/>
            </w:pPr>
            <w:r w:rsidRPr="004D46AC">
              <w:rPr>
                <w:rFonts w:eastAsia="SimSun"/>
                <w:color w:val="000000"/>
              </w:rPr>
              <w:t>EI--M3</w:t>
            </w:r>
          </w:p>
        </w:tc>
        <w:tc>
          <w:tcPr>
            <w:tcW w:w="1098" w:type="dxa"/>
            <w:vAlign w:val="center"/>
          </w:tcPr>
          <w:p w14:paraId="5C36B498" w14:textId="77777777" w:rsidR="007075D9" w:rsidRPr="004D46AC" w:rsidRDefault="007075D9" w:rsidP="002C5F6E">
            <w:pPr>
              <w:spacing w:line="240" w:lineRule="auto"/>
              <w:ind w:firstLine="0"/>
            </w:pPr>
            <w:r w:rsidRPr="004D46AC">
              <w:rPr>
                <w:rFonts w:eastAsia="SimSun"/>
                <w:color w:val="000000"/>
              </w:rPr>
              <w:t xml:space="preserve">0.52 </w:t>
            </w:r>
          </w:p>
        </w:tc>
        <w:tc>
          <w:tcPr>
            <w:tcW w:w="2409" w:type="dxa"/>
            <w:vAlign w:val="center"/>
          </w:tcPr>
          <w:p w14:paraId="39BB2547" w14:textId="77777777" w:rsidR="007075D9" w:rsidRPr="004D46AC" w:rsidRDefault="007075D9" w:rsidP="002C5F6E">
            <w:pPr>
              <w:spacing w:line="240" w:lineRule="auto"/>
              <w:ind w:firstLine="0"/>
            </w:pPr>
            <w:r w:rsidRPr="004D46AC">
              <w:rPr>
                <w:rFonts w:eastAsia="SimSun"/>
                <w:color w:val="000000"/>
              </w:rPr>
              <w:t xml:space="preserve">0.38 </w:t>
            </w:r>
          </w:p>
        </w:tc>
        <w:tc>
          <w:tcPr>
            <w:tcW w:w="2410" w:type="dxa"/>
            <w:vAlign w:val="center"/>
          </w:tcPr>
          <w:p w14:paraId="5B91EA82" w14:textId="77777777" w:rsidR="007075D9" w:rsidRPr="004D46AC" w:rsidRDefault="007075D9" w:rsidP="002C5F6E">
            <w:pPr>
              <w:spacing w:line="240" w:lineRule="auto"/>
              <w:ind w:firstLine="0"/>
            </w:pPr>
            <w:r w:rsidRPr="004D46AC">
              <w:rPr>
                <w:rFonts w:eastAsia="SimSun"/>
                <w:color w:val="000000"/>
              </w:rPr>
              <w:t xml:space="preserve">0.66 </w:t>
            </w:r>
          </w:p>
        </w:tc>
        <w:tc>
          <w:tcPr>
            <w:tcW w:w="901" w:type="dxa"/>
            <w:vAlign w:val="center"/>
          </w:tcPr>
          <w:p w14:paraId="07DE75A4"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089A7919" w14:textId="77777777" w:rsidTr="00B518F1">
        <w:tc>
          <w:tcPr>
            <w:tcW w:w="1704" w:type="dxa"/>
            <w:vAlign w:val="center"/>
          </w:tcPr>
          <w:p w14:paraId="3496399D" w14:textId="77777777" w:rsidR="007075D9" w:rsidRPr="004D46AC" w:rsidRDefault="007075D9" w:rsidP="002C5F6E">
            <w:pPr>
              <w:spacing w:line="240" w:lineRule="auto"/>
              <w:ind w:firstLine="0"/>
            </w:pPr>
            <w:r w:rsidRPr="004D46AC">
              <w:rPr>
                <w:rFonts w:eastAsia="SimSun"/>
                <w:color w:val="000000"/>
              </w:rPr>
              <w:t>M10--M13</w:t>
            </w:r>
          </w:p>
        </w:tc>
        <w:tc>
          <w:tcPr>
            <w:tcW w:w="1098" w:type="dxa"/>
            <w:vAlign w:val="center"/>
          </w:tcPr>
          <w:p w14:paraId="022D09BD" w14:textId="77777777" w:rsidR="007075D9" w:rsidRPr="004D46AC" w:rsidRDefault="007075D9" w:rsidP="002C5F6E">
            <w:pPr>
              <w:spacing w:line="240" w:lineRule="auto"/>
              <w:ind w:firstLine="0"/>
            </w:pPr>
            <w:r w:rsidRPr="004D46AC">
              <w:rPr>
                <w:rFonts w:eastAsia="SimSun"/>
                <w:color w:val="000000"/>
              </w:rPr>
              <w:t xml:space="preserve">0.51 </w:t>
            </w:r>
          </w:p>
        </w:tc>
        <w:tc>
          <w:tcPr>
            <w:tcW w:w="2409" w:type="dxa"/>
            <w:vAlign w:val="center"/>
          </w:tcPr>
          <w:p w14:paraId="14DB5900"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3DF21777" w14:textId="77777777" w:rsidR="007075D9" w:rsidRPr="004D46AC" w:rsidRDefault="007075D9" w:rsidP="002C5F6E">
            <w:pPr>
              <w:spacing w:line="240" w:lineRule="auto"/>
              <w:ind w:firstLine="0"/>
            </w:pPr>
            <w:r w:rsidRPr="004D46AC">
              <w:rPr>
                <w:rFonts w:eastAsia="SimSun"/>
                <w:color w:val="000000"/>
              </w:rPr>
              <w:t xml:space="preserve">0.97 </w:t>
            </w:r>
          </w:p>
        </w:tc>
        <w:tc>
          <w:tcPr>
            <w:tcW w:w="901" w:type="dxa"/>
            <w:vAlign w:val="center"/>
          </w:tcPr>
          <w:p w14:paraId="0B7AFF22" w14:textId="77777777" w:rsidR="007075D9" w:rsidRPr="004D46AC" w:rsidRDefault="007075D9" w:rsidP="002C5F6E">
            <w:pPr>
              <w:spacing w:line="240" w:lineRule="auto"/>
              <w:ind w:firstLine="0"/>
            </w:pPr>
            <w:r w:rsidRPr="004D46AC">
              <w:rPr>
                <w:rFonts w:eastAsia="SimSun"/>
                <w:color w:val="000000"/>
              </w:rPr>
              <w:t xml:space="preserve">0.03 </w:t>
            </w:r>
          </w:p>
        </w:tc>
      </w:tr>
      <w:tr w:rsidR="007075D9" w:rsidRPr="004D46AC" w14:paraId="4D795A00" w14:textId="77777777" w:rsidTr="00B518F1">
        <w:tc>
          <w:tcPr>
            <w:tcW w:w="1704" w:type="dxa"/>
            <w:vAlign w:val="center"/>
          </w:tcPr>
          <w:p w14:paraId="29245AF9" w14:textId="77777777" w:rsidR="007075D9" w:rsidRPr="004D46AC" w:rsidRDefault="007075D9" w:rsidP="002C5F6E">
            <w:pPr>
              <w:spacing w:line="240" w:lineRule="auto"/>
              <w:ind w:firstLine="0"/>
            </w:pPr>
            <w:r w:rsidRPr="004D46AC">
              <w:rPr>
                <w:rFonts w:eastAsia="SimSun"/>
                <w:color w:val="000000"/>
              </w:rPr>
              <w:t>M4--P2</w:t>
            </w:r>
          </w:p>
        </w:tc>
        <w:tc>
          <w:tcPr>
            <w:tcW w:w="1098" w:type="dxa"/>
            <w:vAlign w:val="center"/>
          </w:tcPr>
          <w:p w14:paraId="72C2C058" w14:textId="77777777" w:rsidR="007075D9" w:rsidRPr="004D46AC" w:rsidRDefault="007075D9" w:rsidP="002C5F6E">
            <w:pPr>
              <w:spacing w:line="240" w:lineRule="auto"/>
              <w:ind w:firstLine="0"/>
            </w:pPr>
            <w:r w:rsidRPr="004D46AC">
              <w:rPr>
                <w:rFonts w:eastAsia="SimSun"/>
                <w:color w:val="000000"/>
              </w:rPr>
              <w:t xml:space="preserve">0.48 </w:t>
            </w:r>
          </w:p>
        </w:tc>
        <w:tc>
          <w:tcPr>
            <w:tcW w:w="2409" w:type="dxa"/>
            <w:vAlign w:val="center"/>
          </w:tcPr>
          <w:p w14:paraId="3459F185"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79935766" w14:textId="77777777" w:rsidR="007075D9" w:rsidRPr="004D46AC" w:rsidRDefault="007075D9" w:rsidP="002C5F6E">
            <w:pPr>
              <w:spacing w:line="240" w:lineRule="auto"/>
              <w:ind w:firstLine="0"/>
            </w:pPr>
            <w:r w:rsidRPr="004D46AC">
              <w:rPr>
                <w:rFonts w:eastAsia="SimSun"/>
                <w:color w:val="000000"/>
              </w:rPr>
              <w:t xml:space="preserve">0.85 </w:t>
            </w:r>
          </w:p>
        </w:tc>
        <w:tc>
          <w:tcPr>
            <w:tcW w:w="901" w:type="dxa"/>
            <w:vAlign w:val="center"/>
          </w:tcPr>
          <w:p w14:paraId="248CED53"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01580085" w14:textId="77777777" w:rsidTr="00B518F1">
        <w:tc>
          <w:tcPr>
            <w:tcW w:w="1704" w:type="dxa"/>
            <w:vAlign w:val="center"/>
          </w:tcPr>
          <w:p w14:paraId="437E8B77" w14:textId="77777777" w:rsidR="007075D9" w:rsidRPr="004D46AC" w:rsidRDefault="007075D9" w:rsidP="002C5F6E">
            <w:pPr>
              <w:spacing w:line="240" w:lineRule="auto"/>
              <w:ind w:firstLine="0"/>
            </w:pPr>
            <w:r w:rsidRPr="004D46AC">
              <w:rPr>
                <w:rFonts w:eastAsia="SimSun"/>
                <w:color w:val="000000"/>
              </w:rPr>
              <w:t>D1--D2</w:t>
            </w:r>
          </w:p>
        </w:tc>
        <w:tc>
          <w:tcPr>
            <w:tcW w:w="1098" w:type="dxa"/>
            <w:vAlign w:val="center"/>
          </w:tcPr>
          <w:p w14:paraId="68B9296C" w14:textId="77777777" w:rsidR="007075D9" w:rsidRPr="004D46AC" w:rsidRDefault="007075D9" w:rsidP="002C5F6E">
            <w:pPr>
              <w:spacing w:line="240" w:lineRule="auto"/>
              <w:ind w:firstLine="0"/>
            </w:pPr>
            <w:r w:rsidRPr="004D46AC">
              <w:rPr>
                <w:rFonts w:eastAsia="SimSun"/>
                <w:color w:val="000000"/>
              </w:rPr>
              <w:t xml:space="preserve">0.47 </w:t>
            </w:r>
          </w:p>
        </w:tc>
        <w:tc>
          <w:tcPr>
            <w:tcW w:w="2409" w:type="dxa"/>
            <w:vAlign w:val="center"/>
          </w:tcPr>
          <w:p w14:paraId="2277023B" w14:textId="77777777" w:rsidR="007075D9" w:rsidRPr="004D46AC" w:rsidRDefault="007075D9" w:rsidP="002C5F6E">
            <w:pPr>
              <w:spacing w:line="240" w:lineRule="auto"/>
              <w:ind w:firstLine="0"/>
            </w:pPr>
            <w:r w:rsidRPr="004D46AC">
              <w:rPr>
                <w:rFonts w:eastAsia="SimSun"/>
                <w:color w:val="000000"/>
              </w:rPr>
              <w:t xml:space="preserve">0.40 </w:t>
            </w:r>
          </w:p>
        </w:tc>
        <w:tc>
          <w:tcPr>
            <w:tcW w:w="2410" w:type="dxa"/>
            <w:vAlign w:val="center"/>
          </w:tcPr>
          <w:p w14:paraId="4A9D5DC9" w14:textId="77777777" w:rsidR="007075D9" w:rsidRPr="004D46AC" w:rsidRDefault="007075D9" w:rsidP="002C5F6E">
            <w:pPr>
              <w:spacing w:line="240" w:lineRule="auto"/>
              <w:ind w:firstLine="0"/>
            </w:pPr>
            <w:r w:rsidRPr="004D46AC">
              <w:rPr>
                <w:rFonts w:eastAsia="SimSun"/>
                <w:color w:val="000000"/>
              </w:rPr>
              <w:t xml:space="preserve">0.54 </w:t>
            </w:r>
          </w:p>
        </w:tc>
        <w:tc>
          <w:tcPr>
            <w:tcW w:w="901" w:type="dxa"/>
            <w:vAlign w:val="center"/>
          </w:tcPr>
          <w:p w14:paraId="1223C562"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54B19A04" w14:textId="77777777" w:rsidTr="00B518F1">
        <w:tc>
          <w:tcPr>
            <w:tcW w:w="1704" w:type="dxa"/>
            <w:vAlign w:val="center"/>
          </w:tcPr>
          <w:p w14:paraId="28189F79" w14:textId="77777777" w:rsidR="007075D9" w:rsidRPr="004D46AC" w:rsidRDefault="007075D9" w:rsidP="002C5F6E">
            <w:pPr>
              <w:spacing w:line="240" w:lineRule="auto"/>
              <w:ind w:firstLine="0"/>
            </w:pPr>
            <w:r w:rsidRPr="004D46AC">
              <w:rPr>
                <w:rFonts w:eastAsia="SimSun"/>
                <w:color w:val="000000"/>
              </w:rPr>
              <w:t>D7--M7</w:t>
            </w:r>
          </w:p>
        </w:tc>
        <w:tc>
          <w:tcPr>
            <w:tcW w:w="1098" w:type="dxa"/>
            <w:vAlign w:val="center"/>
          </w:tcPr>
          <w:p w14:paraId="53AA9E6D" w14:textId="77777777" w:rsidR="007075D9" w:rsidRPr="004D46AC" w:rsidRDefault="007075D9" w:rsidP="002C5F6E">
            <w:pPr>
              <w:spacing w:line="240" w:lineRule="auto"/>
              <w:ind w:firstLine="0"/>
            </w:pPr>
            <w:r w:rsidRPr="004D46AC">
              <w:rPr>
                <w:rFonts w:eastAsia="SimSun"/>
                <w:color w:val="000000"/>
              </w:rPr>
              <w:t xml:space="preserve">0.47 </w:t>
            </w:r>
          </w:p>
        </w:tc>
        <w:tc>
          <w:tcPr>
            <w:tcW w:w="2409" w:type="dxa"/>
            <w:vAlign w:val="center"/>
          </w:tcPr>
          <w:p w14:paraId="538CAD27" w14:textId="77777777" w:rsidR="007075D9" w:rsidRPr="004D46AC" w:rsidRDefault="007075D9" w:rsidP="002C5F6E">
            <w:pPr>
              <w:spacing w:line="240" w:lineRule="auto"/>
              <w:ind w:firstLine="0"/>
            </w:pPr>
            <w:r w:rsidRPr="004D46AC">
              <w:rPr>
                <w:rFonts w:eastAsia="SimSun"/>
                <w:color w:val="000000"/>
              </w:rPr>
              <w:t xml:space="preserve">0.33 </w:t>
            </w:r>
          </w:p>
        </w:tc>
        <w:tc>
          <w:tcPr>
            <w:tcW w:w="2410" w:type="dxa"/>
            <w:vAlign w:val="center"/>
          </w:tcPr>
          <w:p w14:paraId="56DB8264" w14:textId="77777777" w:rsidR="007075D9" w:rsidRPr="004D46AC" w:rsidRDefault="007075D9" w:rsidP="002C5F6E">
            <w:pPr>
              <w:spacing w:line="240" w:lineRule="auto"/>
              <w:ind w:firstLine="0"/>
            </w:pPr>
            <w:r w:rsidRPr="004D46AC">
              <w:rPr>
                <w:rFonts w:eastAsia="SimSun"/>
                <w:color w:val="000000"/>
              </w:rPr>
              <w:t xml:space="preserve">0.61 </w:t>
            </w:r>
          </w:p>
        </w:tc>
        <w:tc>
          <w:tcPr>
            <w:tcW w:w="901" w:type="dxa"/>
            <w:vAlign w:val="center"/>
          </w:tcPr>
          <w:p w14:paraId="3E260C45"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59A6EFB1" w14:textId="77777777" w:rsidTr="00B518F1">
        <w:tc>
          <w:tcPr>
            <w:tcW w:w="1704" w:type="dxa"/>
            <w:vAlign w:val="center"/>
          </w:tcPr>
          <w:p w14:paraId="3C6E7B52" w14:textId="77777777" w:rsidR="007075D9" w:rsidRPr="004D46AC" w:rsidRDefault="007075D9" w:rsidP="002C5F6E">
            <w:pPr>
              <w:spacing w:line="240" w:lineRule="auto"/>
              <w:ind w:firstLine="0"/>
            </w:pPr>
            <w:r w:rsidRPr="004D46AC">
              <w:rPr>
                <w:rFonts w:eastAsia="SimSun"/>
                <w:color w:val="000000"/>
              </w:rPr>
              <w:t>M7--M13</w:t>
            </w:r>
          </w:p>
        </w:tc>
        <w:tc>
          <w:tcPr>
            <w:tcW w:w="1098" w:type="dxa"/>
            <w:vAlign w:val="center"/>
          </w:tcPr>
          <w:p w14:paraId="757DD9E5" w14:textId="77777777" w:rsidR="007075D9" w:rsidRPr="004D46AC" w:rsidRDefault="007075D9" w:rsidP="002C5F6E">
            <w:pPr>
              <w:spacing w:line="240" w:lineRule="auto"/>
              <w:ind w:firstLine="0"/>
            </w:pPr>
            <w:r w:rsidRPr="004D46AC">
              <w:rPr>
                <w:rFonts w:eastAsia="SimSun"/>
                <w:color w:val="000000"/>
              </w:rPr>
              <w:t xml:space="preserve">0.46 </w:t>
            </w:r>
          </w:p>
        </w:tc>
        <w:tc>
          <w:tcPr>
            <w:tcW w:w="2409" w:type="dxa"/>
            <w:vAlign w:val="center"/>
          </w:tcPr>
          <w:p w14:paraId="781D0F9D" w14:textId="77777777" w:rsidR="007075D9" w:rsidRPr="004D46AC" w:rsidRDefault="007075D9" w:rsidP="002C5F6E">
            <w:pPr>
              <w:spacing w:line="240" w:lineRule="auto"/>
              <w:ind w:firstLine="0"/>
            </w:pPr>
            <w:r w:rsidRPr="004D46AC">
              <w:rPr>
                <w:rFonts w:eastAsia="SimSun"/>
                <w:color w:val="000000"/>
              </w:rPr>
              <w:t xml:space="preserve">-0.01 </w:t>
            </w:r>
          </w:p>
        </w:tc>
        <w:tc>
          <w:tcPr>
            <w:tcW w:w="2410" w:type="dxa"/>
            <w:vAlign w:val="center"/>
          </w:tcPr>
          <w:p w14:paraId="0DECE9C2" w14:textId="77777777" w:rsidR="007075D9" w:rsidRPr="004D46AC" w:rsidRDefault="007075D9" w:rsidP="002C5F6E">
            <w:pPr>
              <w:spacing w:line="240" w:lineRule="auto"/>
              <w:ind w:firstLine="0"/>
            </w:pPr>
            <w:r w:rsidRPr="004D46AC">
              <w:rPr>
                <w:rFonts w:eastAsia="SimSun"/>
                <w:color w:val="000000"/>
              </w:rPr>
              <w:t xml:space="preserve">0.93 </w:t>
            </w:r>
          </w:p>
        </w:tc>
        <w:tc>
          <w:tcPr>
            <w:tcW w:w="901" w:type="dxa"/>
            <w:vAlign w:val="center"/>
          </w:tcPr>
          <w:p w14:paraId="54D0645C" w14:textId="77777777" w:rsidR="007075D9" w:rsidRPr="004D46AC" w:rsidRDefault="007075D9" w:rsidP="002C5F6E">
            <w:pPr>
              <w:spacing w:line="240" w:lineRule="auto"/>
              <w:ind w:firstLine="0"/>
            </w:pPr>
            <w:r w:rsidRPr="004D46AC">
              <w:rPr>
                <w:rFonts w:eastAsia="SimSun"/>
                <w:color w:val="000000"/>
              </w:rPr>
              <w:t xml:space="preserve">0.04 </w:t>
            </w:r>
          </w:p>
        </w:tc>
      </w:tr>
      <w:tr w:rsidR="007075D9" w:rsidRPr="004D46AC" w14:paraId="60A6CE30" w14:textId="77777777" w:rsidTr="00B518F1">
        <w:tc>
          <w:tcPr>
            <w:tcW w:w="1704" w:type="dxa"/>
            <w:vAlign w:val="center"/>
          </w:tcPr>
          <w:p w14:paraId="74464412" w14:textId="77777777" w:rsidR="007075D9" w:rsidRPr="004D46AC" w:rsidRDefault="007075D9" w:rsidP="002C5F6E">
            <w:pPr>
              <w:spacing w:line="240" w:lineRule="auto"/>
              <w:ind w:firstLine="0"/>
            </w:pPr>
            <w:r w:rsidRPr="004D46AC">
              <w:rPr>
                <w:rFonts w:eastAsia="SimSun"/>
                <w:color w:val="000000"/>
              </w:rPr>
              <w:t>M2--M7</w:t>
            </w:r>
          </w:p>
        </w:tc>
        <w:tc>
          <w:tcPr>
            <w:tcW w:w="1098" w:type="dxa"/>
            <w:vAlign w:val="center"/>
          </w:tcPr>
          <w:p w14:paraId="46AE6086" w14:textId="77777777" w:rsidR="007075D9" w:rsidRPr="004D46AC" w:rsidRDefault="007075D9" w:rsidP="002C5F6E">
            <w:pPr>
              <w:spacing w:line="240" w:lineRule="auto"/>
              <w:ind w:firstLine="0"/>
            </w:pPr>
            <w:r w:rsidRPr="004D46AC">
              <w:rPr>
                <w:rFonts w:eastAsia="SimSun"/>
                <w:color w:val="000000"/>
              </w:rPr>
              <w:t xml:space="preserve">0.44 </w:t>
            </w:r>
          </w:p>
        </w:tc>
        <w:tc>
          <w:tcPr>
            <w:tcW w:w="2409" w:type="dxa"/>
            <w:vAlign w:val="center"/>
          </w:tcPr>
          <w:p w14:paraId="2AB9C36E" w14:textId="77777777" w:rsidR="007075D9" w:rsidRPr="004D46AC" w:rsidRDefault="007075D9" w:rsidP="002C5F6E">
            <w:pPr>
              <w:spacing w:line="240" w:lineRule="auto"/>
              <w:ind w:firstLine="0"/>
            </w:pPr>
            <w:r w:rsidRPr="004D46AC">
              <w:rPr>
                <w:rFonts w:eastAsia="SimSun"/>
                <w:color w:val="000000"/>
              </w:rPr>
              <w:t xml:space="preserve">0.25 </w:t>
            </w:r>
          </w:p>
        </w:tc>
        <w:tc>
          <w:tcPr>
            <w:tcW w:w="2410" w:type="dxa"/>
            <w:vAlign w:val="center"/>
          </w:tcPr>
          <w:p w14:paraId="338B2921" w14:textId="77777777" w:rsidR="007075D9" w:rsidRPr="004D46AC" w:rsidRDefault="007075D9" w:rsidP="002C5F6E">
            <w:pPr>
              <w:spacing w:line="240" w:lineRule="auto"/>
              <w:ind w:firstLine="0"/>
            </w:pPr>
            <w:r w:rsidRPr="004D46AC">
              <w:rPr>
                <w:rFonts w:eastAsia="SimSun"/>
                <w:color w:val="000000"/>
              </w:rPr>
              <w:t xml:space="preserve">0.64 </w:t>
            </w:r>
          </w:p>
        </w:tc>
        <w:tc>
          <w:tcPr>
            <w:tcW w:w="901" w:type="dxa"/>
            <w:vAlign w:val="center"/>
          </w:tcPr>
          <w:p w14:paraId="7CB5AC7A"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097A4D68" w14:textId="77777777" w:rsidTr="00B518F1">
        <w:tc>
          <w:tcPr>
            <w:tcW w:w="1704" w:type="dxa"/>
            <w:vAlign w:val="center"/>
          </w:tcPr>
          <w:p w14:paraId="7A40E9AA" w14:textId="77777777" w:rsidR="007075D9" w:rsidRPr="004D46AC" w:rsidRDefault="007075D9" w:rsidP="002C5F6E">
            <w:pPr>
              <w:spacing w:line="240" w:lineRule="auto"/>
              <w:ind w:firstLine="0"/>
            </w:pPr>
            <w:r w:rsidRPr="004D46AC">
              <w:rPr>
                <w:rFonts w:eastAsia="SimSun"/>
                <w:color w:val="000000"/>
              </w:rPr>
              <w:t>M10--M11</w:t>
            </w:r>
          </w:p>
        </w:tc>
        <w:tc>
          <w:tcPr>
            <w:tcW w:w="1098" w:type="dxa"/>
            <w:vAlign w:val="center"/>
          </w:tcPr>
          <w:p w14:paraId="275123FB" w14:textId="77777777" w:rsidR="007075D9" w:rsidRPr="004D46AC" w:rsidRDefault="007075D9" w:rsidP="002C5F6E">
            <w:pPr>
              <w:spacing w:line="240" w:lineRule="auto"/>
              <w:ind w:firstLine="0"/>
            </w:pPr>
            <w:r w:rsidRPr="004D46AC">
              <w:rPr>
                <w:rFonts w:eastAsia="SimSun"/>
                <w:color w:val="000000"/>
              </w:rPr>
              <w:t xml:space="preserve">0.44 </w:t>
            </w:r>
          </w:p>
        </w:tc>
        <w:tc>
          <w:tcPr>
            <w:tcW w:w="2409" w:type="dxa"/>
            <w:vAlign w:val="center"/>
          </w:tcPr>
          <w:p w14:paraId="6EDE2C86"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5C5EF070" w14:textId="77777777" w:rsidR="007075D9" w:rsidRPr="004D46AC" w:rsidRDefault="007075D9" w:rsidP="002C5F6E">
            <w:pPr>
              <w:spacing w:line="240" w:lineRule="auto"/>
              <w:ind w:firstLine="0"/>
            </w:pPr>
            <w:r w:rsidRPr="004D46AC">
              <w:rPr>
                <w:rFonts w:eastAsia="SimSun"/>
                <w:color w:val="000000"/>
              </w:rPr>
              <w:t xml:space="preserve">0.75 </w:t>
            </w:r>
          </w:p>
        </w:tc>
        <w:tc>
          <w:tcPr>
            <w:tcW w:w="901" w:type="dxa"/>
            <w:vAlign w:val="center"/>
          </w:tcPr>
          <w:p w14:paraId="413AD7EC"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59A3BDF1" w14:textId="77777777" w:rsidTr="00B518F1">
        <w:tc>
          <w:tcPr>
            <w:tcW w:w="1704" w:type="dxa"/>
            <w:vAlign w:val="center"/>
          </w:tcPr>
          <w:p w14:paraId="33F84C00" w14:textId="77777777" w:rsidR="007075D9" w:rsidRPr="004D46AC" w:rsidRDefault="007075D9" w:rsidP="002C5F6E">
            <w:pPr>
              <w:spacing w:line="240" w:lineRule="auto"/>
              <w:ind w:firstLine="0"/>
            </w:pPr>
            <w:r w:rsidRPr="004D46AC">
              <w:rPr>
                <w:rFonts w:eastAsia="SimSun"/>
                <w:color w:val="000000"/>
              </w:rPr>
              <w:t>M3--M10</w:t>
            </w:r>
          </w:p>
        </w:tc>
        <w:tc>
          <w:tcPr>
            <w:tcW w:w="1098" w:type="dxa"/>
            <w:vAlign w:val="center"/>
          </w:tcPr>
          <w:p w14:paraId="57885ED6" w14:textId="77777777" w:rsidR="007075D9" w:rsidRPr="004D46AC" w:rsidRDefault="007075D9" w:rsidP="002C5F6E">
            <w:pPr>
              <w:spacing w:line="240" w:lineRule="auto"/>
              <w:ind w:firstLine="0"/>
            </w:pPr>
            <w:r w:rsidRPr="004D46AC">
              <w:rPr>
                <w:rFonts w:eastAsia="SimSun"/>
                <w:color w:val="000000"/>
              </w:rPr>
              <w:t xml:space="preserve">0.44 </w:t>
            </w:r>
          </w:p>
        </w:tc>
        <w:tc>
          <w:tcPr>
            <w:tcW w:w="2409" w:type="dxa"/>
            <w:vAlign w:val="center"/>
          </w:tcPr>
          <w:p w14:paraId="25AB127B"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2EF0D140" w14:textId="77777777" w:rsidR="007075D9" w:rsidRPr="004D46AC" w:rsidRDefault="007075D9" w:rsidP="002C5F6E">
            <w:pPr>
              <w:spacing w:line="240" w:lineRule="auto"/>
              <w:ind w:firstLine="0"/>
            </w:pPr>
            <w:r w:rsidRPr="004D46AC">
              <w:rPr>
                <w:rFonts w:eastAsia="SimSun"/>
                <w:color w:val="000000"/>
              </w:rPr>
              <w:t xml:space="preserve">0.79 </w:t>
            </w:r>
          </w:p>
        </w:tc>
        <w:tc>
          <w:tcPr>
            <w:tcW w:w="901" w:type="dxa"/>
            <w:vAlign w:val="center"/>
          </w:tcPr>
          <w:p w14:paraId="6798528C"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78295847" w14:textId="77777777" w:rsidTr="00B518F1">
        <w:tc>
          <w:tcPr>
            <w:tcW w:w="1704" w:type="dxa"/>
            <w:vAlign w:val="center"/>
          </w:tcPr>
          <w:p w14:paraId="79BAB4C4" w14:textId="77777777" w:rsidR="007075D9" w:rsidRPr="004D46AC" w:rsidRDefault="007075D9" w:rsidP="002C5F6E">
            <w:pPr>
              <w:spacing w:line="240" w:lineRule="auto"/>
              <w:ind w:firstLine="0"/>
            </w:pPr>
            <w:r w:rsidRPr="004D46AC">
              <w:rPr>
                <w:rFonts w:eastAsia="SimSun"/>
                <w:color w:val="000000"/>
              </w:rPr>
              <w:t>M1--P2</w:t>
            </w:r>
          </w:p>
        </w:tc>
        <w:tc>
          <w:tcPr>
            <w:tcW w:w="1098" w:type="dxa"/>
            <w:vAlign w:val="center"/>
          </w:tcPr>
          <w:p w14:paraId="0AB5CAD4" w14:textId="77777777" w:rsidR="007075D9" w:rsidRPr="004D46AC" w:rsidRDefault="007075D9" w:rsidP="002C5F6E">
            <w:pPr>
              <w:spacing w:line="240" w:lineRule="auto"/>
              <w:ind w:firstLine="0"/>
            </w:pPr>
            <w:r w:rsidRPr="004D46AC">
              <w:rPr>
                <w:rFonts w:eastAsia="SimSun"/>
                <w:color w:val="000000"/>
              </w:rPr>
              <w:t xml:space="preserve">0.41 </w:t>
            </w:r>
          </w:p>
        </w:tc>
        <w:tc>
          <w:tcPr>
            <w:tcW w:w="2409" w:type="dxa"/>
            <w:vAlign w:val="center"/>
          </w:tcPr>
          <w:p w14:paraId="7B32D1CC"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67A77472" w14:textId="77777777" w:rsidR="007075D9" w:rsidRPr="004D46AC" w:rsidRDefault="007075D9" w:rsidP="002C5F6E">
            <w:pPr>
              <w:spacing w:line="240" w:lineRule="auto"/>
              <w:ind w:firstLine="0"/>
            </w:pPr>
            <w:r w:rsidRPr="004D46AC">
              <w:rPr>
                <w:rFonts w:eastAsia="SimSun"/>
                <w:color w:val="000000"/>
              </w:rPr>
              <w:t xml:space="preserve">0.84 </w:t>
            </w:r>
          </w:p>
        </w:tc>
        <w:tc>
          <w:tcPr>
            <w:tcW w:w="901" w:type="dxa"/>
            <w:vAlign w:val="center"/>
          </w:tcPr>
          <w:p w14:paraId="1E2B24A4"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34BF5E45" w14:textId="77777777" w:rsidTr="00B518F1">
        <w:tc>
          <w:tcPr>
            <w:tcW w:w="1704" w:type="dxa"/>
            <w:vAlign w:val="center"/>
          </w:tcPr>
          <w:p w14:paraId="652C9E8A" w14:textId="77777777" w:rsidR="007075D9" w:rsidRPr="004D46AC" w:rsidRDefault="007075D9" w:rsidP="002C5F6E">
            <w:pPr>
              <w:spacing w:line="240" w:lineRule="auto"/>
              <w:ind w:firstLine="0"/>
            </w:pPr>
            <w:r w:rsidRPr="004D46AC">
              <w:rPr>
                <w:rFonts w:eastAsia="SimSun"/>
                <w:color w:val="000000"/>
              </w:rPr>
              <w:t>EI--M5</w:t>
            </w:r>
          </w:p>
        </w:tc>
        <w:tc>
          <w:tcPr>
            <w:tcW w:w="1098" w:type="dxa"/>
            <w:vAlign w:val="center"/>
          </w:tcPr>
          <w:p w14:paraId="7BCB12FC" w14:textId="77777777" w:rsidR="007075D9" w:rsidRPr="004D46AC" w:rsidRDefault="007075D9" w:rsidP="002C5F6E">
            <w:pPr>
              <w:spacing w:line="240" w:lineRule="auto"/>
              <w:ind w:firstLine="0"/>
            </w:pPr>
            <w:r w:rsidRPr="004D46AC">
              <w:rPr>
                <w:rFonts w:eastAsia="SimSun"/>
                <w:color w:val="000000"/>
              </w:rPr>
              <w:t xml:space="preserve">0.41 </w:t>
            </w:r>
          </w:p>
        </w:tc>
        <w:tc>
          <w:tcPr>
            <w:tcW w:w="2409" w:type="dxa"/>
            <w:vAlign w:val="center"/>
          </w:tcPr>
          <w:p w14:paraId="38A43B3E" w14:textId="77777777" w:rsidR="007075D9" w:rsidRPr="004D46AC" w:rsidRDefault="007075D9" w:rsidP="002C5F6E">
            <w:pPr>
              <w:spacing w:line="240" w:lineRule="auto"/>
              <w:ind w:firstLine="0"/>
            </w:pPr>
            <w:r w:rsidRPr="004D46AC">
              <w:rPr>
                <w:rFonts w:eastAsia="SimSun"/>
                <w:color w:val="000000"/>
              </w:rPr>
              <w:t xml:space="preserve">0.25 </w:t>
            </w:r>
          </w:p>
        </w:tc>
        <w:tc>
          <w:tcPr>
            <w:tcW w:w="2410" w:type="dxa"/>
            <w:vAlign w:val="center"/>
          </w:tcPr>
          <w:p w14:paraId="0F81905E" w14:textId="77777777" w:rsidR="007075D9" w:rsidRPr="004D46AC" w:rsidRDefault="007075D9" w:rsidP="002C5F6E">
            <w:pPr>
              <w:spacing w:line="240" w:lineRule="auto"/>
              <w:ind w:firstLine="0"/>
            </w:pPr>
            <w:r w:rsidRPr="004D46AC">
              <w:rPr>
                <w:rFonts w:eastAsia="SimSun"/>
                <w:color w:val="000000"/>
              </w:rPr>
              <w:t xml:space="preserve">0.57 </w:t>
            </w:r>
          </w:p>
        </w:tc>
        <w:tc>
          <w:tcPr>
            <w:tcW w:w="901" w:type="dxa"/>
            <w:vAlign w:val="center"/>
          </w:tcPr>
          <w:p w14:paraId="788C2DA0"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7B1644E7" w14:textId="77777777" w:rsidTr="00B518F1">
        <w:tc>
          <w:tcPr>
            <w:tcW w:w="1704" w:type="dxa"/>
            <w:vAlign w:val="center"/>
          </w:tcPr>
          <w:p w14:paraId="2C903C62" w14:textId="77777777" w:rsidR="007075D9" w:rsidRPr="004D46AC" w:rsidRDefault="007075D9" w:rsidP="002C5F6E">
            <w:pPr>
              <w:spacing w:line="240" w:lineRule="auto"/>
              <w:ind w:firstLine="0"/>
            </w:pPr>
            <w:r w:rsidRPr="004D46AC">
              <w:rPr>
                <w:rFonts w:eastAsia="SimSun"/>
                <w:color w:val="000000"/>
              </w:rPr>
              <w:t>D3--D4</w:t>
            </w:r>
          </w:p>
        </w:tc>
        <w:tc>
          <w:tcPr>
            <w:tcW w:w="1098" w:type="dxa"/>
            <w:vAlign w:val="center"/>
          </w:tcPr>
          <w:p w14:paraId="346941BC" w14:textId="77777777" w:rsidR="007075D9" w:rsidRPr="004D46AC" w:rsidRDefault="007075D9" w:rsidP="002C5F6E">
            <w:pPr>
              <w:spacing w:line="240" w:lineRule="auto"/>
              <w:ind w:firstLine="0"/>
            </w:pPr>
            <w:r w:rsidRPr="004D46AC">
              <w:rPr>
                <w:rFonts w:eastAsia="SimSun"/>
                <w:color w:val="000000"/>
              </w:rPr>
              <w:t xml:space="preserve">0.41 </w:t>
            </w:r>
          </w:p>
        </w:tc>
        <w:tc>
          <w:tcPr>
            <w:tcW w:w="2409" w:type="dxa"/>
            <w:vAlign w:val="center"/>
          </w:tcPr>
          <w:p w14:paraId="450BA3BC" w14:textId="77777777" w:rsidR="007075D9" w:rsidRPr="004D46AC" w:rsidRDefault="007075D9" w:rsidP="002C5F6E">
            <w:pPr>
              <w:spacing w:line="240" w:lineRule="auto"/>
              <w:ind w:firstLine="0"/>
            </w:pPr>
            <w:r w:rsidRPr="004D46AC">
              <w:rPr>
                <w:rFonts w:eastAsia="SimSun"/>
                <w:color w:val="000000"/>
              </w:rPr>
              <w:t xml:space="preserve">0.34 </w:t>
            </w:r>
          </w:p>
        </w:tc>
        <w:tc>
          <w:tcPr>
            <w:tcW w:w="2410" w:type="dxa"/>
            <w:vAlign w:val="center"/>
          </w:tcPr>
          <w:p w14:paraId="6A95465A" w14:textId="77777777" w:rsidR="007075D9" w:rsidRPr="004D46AC" w:rsidRDefault="007075D9" w:rsidP="002C5F6E">
            <w:pPr>
              <w:spacing w:line="240" w:lineRule="auto"/>
              <w:ind w:firstLine="0"/>
            </w:pPr>
            <w:r w:rsidRPr="004D46AC">
              <w:rPr>
                <w:rFonts w:eastAsia="SimSun"/>
                <w:color w:val="000000"/>
              </w:rPr>
              <w:t xml:space="preserve">0.48 </w:t>
            </w:r>
          </w:p>
        </w:tc>
        <w:tc>
          <w:tcPr>
            <w:tcW w:w="901" w:type="dxa"/>
            <w:vAlign w:val="center"/>
          </w:tcPr>
          <w:p w14:paraId="7BB8C97A"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1AE9FFF1" w14:textId="77777777" w:rsidTr="00B518F1">
        <w:tc>
          <w:tcPr>
            <w:tcW w:w="1704" w:type="dxa"/>
            <w:vAlign w:val="center"/>
          </w:tcPr>
          <w:p w14:paraId="205E4E3A" w14:textId="77777777" w:rsidR="007075D9" w:rsidRPr="004D46AC" w:rsidRDefault="007075D9" w:rsidP="002C5F6E">
            <w:pPr>
              <w:spacing w:line="240" w:lineRule="auto"/>
              <w:ind w:firstLine="0"/>
            </w:pPr>
            <w:r w:rsidRPr="004D46AC">
              <w:rPr>
                <w:rFonts w:eastAsia="SimSun"/>
                <w:color w:val="000000"/>
              </w:rPr>
              <w:t>M1--M5</w:t>
            </w:r>
          </w:p>
        </w:tc>
        <w:tc>
          <w:tcPr>
            <w:tcW w:w="1098" w:type="dxa"/>
            <w:vAlign w:val="center"/>
          </w:tcPr>
          <w:p w14:paraId="5CEBC7BB" w14:textId="77777777" w:rsidR="007075D9" w:rsidRPr="004D46AC" w:rsidRDefault="007075D9" w:rsidP="002C5F6E">
            <w:pPr>
              <w:spacing w:line="240" w:lineRule="auto"/>
              <w:ind w:firstLine="0"/>
            </w:pPr>
            <w:r w:rsidRPr="004D46AC">
              <w:rPr>
                <w:rFonts w:eastAsia="SimSun"/>
                <w:color w:val="000000"/>
              </w:rPr>
              <w:t xml:space="preserve">0.41 </w:t>
            </w:r>
          </w:p>
        </w:tc>
        <w:tc>
          <w:tcPr>
            <w:tcW w:w="2409" w:type="dxa"/>
            <w:vAlign w:val="center"/>
          </w:tcPr>
          <w:p w14:paraId="5C5A47C5"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0E802D8E" w14:textId="77777777" w:rsidR="007075D9" w:rsidRPr="004D46AC" w:rsidRDefault="007075D9" w:rsidP="002C5F6E">
            <w:pPr>
              <w:spacing w:line="240" w:lineRule="auto"/>
              <w:ind w:firstLine="0"/>
            </w:pPr>
            <w:r w:rsidRPr="004D46AC">
              <w:rPr>
                <w:rFonts w:eastAsia="SimSun"/>
                <w:color w:val="000000"/>
              </w:rPr>
              <w:t xml:space="preserve">0.70 </w:t>
            </w:r>
          </w:p>
        </w:tc>
        <w:tc>
          <w:tcPr>
            <w:tcW w:w="901" w:type="dxa"/>
            <w:vAlign w:val="center"/>
          </w:tcPr>
          <w:p w14:paraId="66606405"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05D2E358" w14:textId="77777777" w:rsidTr="00B518F1">
        <w:tc>
          <w:tcPr>
            <w:tcW w:w="1704" w:type="dxa"/>
            <w:vAlign w:val="center"/>
          </w:tcPr>
          <w:p w14:paraId="1E0C7826" w14:textId="77777777" w:rsidR="007075D9" w:rsidRPr="004D46AC" w:rsidRDefault="007075D9" w:rsidP="002C5F6E">
            <w:pPr>
              <w:spacing w:line="240" w:lineRule="auto"/>
              <w:ind w:firstLine="0"/>
            </w:pPr>
            <w:r w:rsidRPr="004D46AC">
              <w:rPr>
                <w:rFonts w:eastAsia="SimSun"/>
                <w:color w:val="000000"/>
              </w:rPr>
              <w:t>M5--M6</w:t>
            </w:r>
          </w:p>
        </w:tc>
        <w:tc>
          <w:tcPr>
            <w:tcW w:w="1098" w:type="dxa"/>
            <w:vAlign w:val="center"/>
          </w:tcPr>
          <w:p w14:paraId="5F6A1B1A" w14:textId="77777777" w:rsidR="007075D9" w:rsidRPr="004D46AC" w:rsidRDefault="007075D9" w:rsidP="002C5F6E">
            <w:pPr>
              <w:spacing w:line="240" w:lineRule="auto"/>
              <w:ind w:firstLine="0"/>
            </w:pPr>
            <w:r w:rsidRPr="004D46AC">
              <w:rPr>
                <w:rFonts w:eastAsia="SimSun"/>
                <w:color w:val="000000"/>
              </w:rPr>
              <w:t xml:space="preserve">0.40 </w:t>
            </w:r>
          </w:p>
        </w:tc>
        <w:tc>
          <w:tcPr>
            <w:tcW w:w="2409" w:type="dxa"/>
            <w:vAlign w:val="center"/>
          </w:tcPr>
          <w:p w14:paraId="049E915C" w14:textId="77777777" w:rsidR="007075D9" w:rsidRPr="004D46AC" w:rsidRDefault="007075D9" w:rsidP="002C5F6E">
            <w:pPr>
              <w:spacing w:line="240" w:lineRule="auto"/>
              <w:ind w:firstLine="0"/>
            </w:pPr>
            <w:r w:rsidRPr="004D46AC">
              <w:rPr>
                <w:rFonts w:eastAsia="SimSun"/>
                <w:color w:val="000000"/>
              </w:rPr>
              <w:t xml:space="preserve">0.15 </w:t>
            </w:r>
          </w:p>
        </w:tc>
        <w:tc>
          <w:tcPr>
            <w:tcW w:w="2410" w:type="dxa"/>
            <w:vAlign w:val="center"/>
          </w:tcPr>
          <w:p w14:paraId="523B32E3" w14:textId="77777777" w:rsidR="007075D9" w:rsidRPr="004D46AC" w:rsidRDefault="007075D9" w:rsidP="002C5F6E">
            <w:pPr>
              <w:spacing w:line="240" w:lineRule="auto"/>
              <w:ind w:firstLine="0"/>
            </w:pPr>
            <w:r w:rsidRPr="004D46AC">
              <w:rPr>
                <w:rFonts w:eastAsia="SimSun"/>
                <w:color w:val="000000"/>
              </w:rPr>
              <w:t xml:space="preserve">0.66 </w:t>
            </w:r>
          </w:p>
        </w:tc>
        <w:tc>
          <w:tcPr>
            <w:tcW w:w="901" w:type="dxa"/>
            <w:vAlign w:val="center"/>
          </w:tcPr>
          <w:p w14:paraId="441C1EB5"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43A8B998" w14:textId="77777777" w:rsidTr="00B518F1">
        <w:tc>
          <w:tcPr>
            <w:tcW w:w="1704" w:type="dxa"/>
            <w:vAlign w:val="center"/>
          </w:tcPr>
          <w:p w14:paraId="0668556E" w14:textId="77777777" w:rsidR="007075D9" w:rsidRPr="004D46AC" w:rsidRDefault="007075D9" w:rsidP="002C5F6E">
            <w:pPr>
              <w:spacing w:line="240" w:lineRule="auto"/>
              <w:ind w:firstLine="0"/>
            </w:pPr>
            <w:r w:rsidRPr="004D46AC">
              <w:rPr>
                <w:rFonts w:eastAsia="SimSun"/>
                <w:color w:val="000000"/>
              </w:rPr>
              <w:t>M3--M5</w:t>
            </w:r>
          </w:p>
        </w:tc>
        <w:tc>
          <w:tcPr>
            <w:tcW w:w="1098" w:type="dxa"/>
            <w:vAlign w:val="center"/>
          </w:tcPr>
          <w:p w14:paraId="6BA201C0" w14:textId="77777777" w:rsidR="007075D9" w:rsidRPr="004D46AC" w:rsidRDefault="007075D9" w:rsidP="002C5F6E">
            <w:pPr>
              <w:spacing w:line="240" w:lineRule="auto"/>
              <w:ind w:firstLine="0"/>
            </w:pPr>
            <w:r w:rsidRPr="004D46AC">
              <w:rPr>
                <w:rFonts w:eastAsia="SimSun"/>
                <w:color w:val="000000"/>
              </w:rPr>
              <w:t xml:space="preserve">0.38 </w:t>
            </w:r>
          </w:p>
        </w:tc>
        <w:tc>
          <w:tcPr>
            <w:tcW w:w="2409" w:type="dxa"/>
            <w:vAlign w:val="center"/>
          </w:tcPr>
          <w:p w14:paraId="412A03B5" w14:textId="77777777" w:rsidR="007075D9" w:rsidRPr="004D46AC" w:rsidRDefault="007075D9" w:rsidP="002C5F6E">
            <w:pPr>
              <w:spacing w:line="240" w:lineRule="auto"/>
              <w:ind w:firstLine="0"/>
            </w:pPr>
            <w:r w:rsidRPr="004D46AC">
              <w:rPr>
                <w:rFonts w:eastAsia="SimSun"/>
                <w:color w:val="000000"/>
              </w:rPr>
              <w:t xml:space="preserve">0.12 </w:t>
            </w:r>
          </w:p>
        </w:tc>
        <w:tc>
          <w:tcPr>
            <w:tcW w:w="2410" w:type="dxa"/>
            <w:vAlign w:val="center"/>
          </w:tcPr>
          <w:p w14:paraId="03DD1265" w14:textId="77777777" w:rsidR="007075D9" w:rsidRPr="004D46AC" w:rsidRDefault="007075D9" w:rsidP="002C5F6E">
            <w:pPr>
              <w:spacing w:line="240" w:lineRule="auto"/>
              <w:ind w:firstLine="0"/>
            </w:pPr>
            <w:r w:rsidRPr="004D46AC">
              <w:rPr>
                <w:rFonts w:eastAsia="SimSun"/>
                <w:color w:val="000000"/>
              </w:rPr>
              <w:t xml:space="preserve">0.65 </w:t>
            </w:r>
          </w:p>
        </w:tc>
        <w:tc>
          <w:tcPr>
            <w:tcW w:w="901" w:type="dxa"/>
            <w:vAlign w:val="center"/>
          </w:tcPr>
          <w:p w14:paraId="531765C9"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342FB2E5" w14:textId="77777777" w:rsidTr="00B518F1">
        <w:tc>
          <w:tcPr>
            <w:tcW w:w="1704" w:type="dxa"/>
            <w:vAlign w:val="center"/>
          </w:tcPr>
          <w:p w14:paraId="3AE4D370" w14:textId="77777777" w:rsidR="007075D9" w:rsidRPr="004D46AC" w:rsidRDefault="007075D9" w:rsidP="002C5F6E">
            <w:pPr>
              <w:spacing w:line="240" w:lineRule="auto"/>
              <w:ind w:firstLine="0"/>
            </w:pPr>
            <w:r w:rsidRPr="004D46AC">
              <w:rPr>
                <w:rFonts w:eastAsia="SimSun"/>
                <w:color w:val="000000"/>
              </w:rPr>
              <w:t>M3--M4</w:t>
            </w:r>
          </w:p>
        </w:tc>
        <w:tc>
          <w:tcPr>
            <w:tcW w:w="1098" w:type="dxa"/>
            <w:vAlign w:val="center"/>
          </w:tcPr>
          <w:p w14:paraId="779033A5" w14:textId="77777777" w:rsidR="007075D9" w:rsidRPr="004D46AC" w:rsidRDefault="007075D9" w:rsidP="002C5F6E">
            <w:pPr>
              <w:spacing w:line="240" w:lineRule="auto"/>
              <w:ind w:firstLine="0"/>
            </w:pPr>
            <w:r w:rsidRPr="004D46AC">
              <w:rPr>
                <w:rFonts w:eastAsia="SimSun"/>
                <w:color w:val="000000"/>
              </w:rPr>
              <w:t xml:space="preserve">0.38 </w:t>
            </w:r>
          </w:p>
        </w:tc>
        <w:tc>
          <w:tcPr>
            <w:tcW w:w="2409" w:type="dxa"/>
            <w:vAlign w:val="center"/>
          </w:tcPr>
          <w:p w14:paraId="721A377A" w14:textId="77777777" w:rsidR="007075D9" w:rsidRPr="004D46AC" w:rsidRDefault="007075D9" w:rsidP="002C5F6E">
            <w:pPr>
              <w:spacing w:line="240" w:lineRule="auto"/>
              <w:ind w:firstLine="0"/>
            </w:pPr>
            <w:r w:rsidRPr="004D46AC">
              <w:rPr>
                <w:rFonts w:eastAsia="SimSun"/>
                <w:color w:val="000000"/>
              </w:rPr>
              <w:t xml:space="preserve">0.15 </w:t>
            </w:r>
          </w:p>
        </w:tc>
        <w:tc>
          <w:tcPr>
            <w:tcW w:w="2410" w:type="dxa"/>
            <w:vAlign w:val="center"/>
          </w:tcPr>
          <w:p w14:paraId="72CF2AF2" w14:textId="77777777" w:rsidR="007075D9" w:rsidRPr="004D46AC" w:rsidRDefault="007075D9" w:rsidP="002C5F6E">
            <w:pPr>
              <w:spacing w:line="240" w:lineRule="auto"/>
              <w:ind w:firstLine="0"/>
            </w:pPr>
            <w:r w:rsidRPr="004D46AC">
              <w:rPr>
                <w:rFonts w:eastAsia="SimSun"/>
                <w:color w:val="000000"/>
              </w:rPr>
              <w:t xml:space="preserve">0.61 </w:t>
            </w:r>
          </w:p>
        </w:tc>
        <w:tc>
          <w:tcPr>
            <w:tcW w:w="901" w:type="dxa"/>
            <w:vAlign w:val="center"/>
          </w:tcPr>
          <w:p w14:paraId="10AF67D9"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6114B16" w14:textId="77777777" w:rsidTr="00B518F1">
        <w:tc>
          <w:tcPr>
            <w:tcW w:w="1704" w:type="dxa"/>
            <w:vAlign w:val="center"/>
          </w:tcPr>
          <w:p w14:paraId="24EEC479" w14:textId="77777777" w:rsidR="007075D9" w:rsidRPr="004D46AC" w:rsidRDefault="007075D9" w:rsidP="002C5F6E">
            <w:pPr>
              <w:spacing w:line="240" w:lineRule="auto"/>
              <w:ind w:firstLine="0"/>
            </w:pPr>
            <w:r w:rsidRPr="004D46AC">
              <w:rPr>
                <w:rFonts w:eastAsia="SimSun"/>
                <w:color w:val="000000"/>
              </w:rPr>
              <w:t>M7--M12</w:t>
            </w:r>
          </w:p>
        </w:tc>
        <w:tc>
          <w:tcPr>
            <w:tcW w:w="1098" w:type="dxa"/>
            <w:vAlign w:val="center"/>
          </w:tcPr>
          <w:p w14:paraId="76F42228" w14:textId="77777777" w:rsidR="007075D9" w:rsidRPr="004D46AC" w:rsidRDefault="007075D9" w:rsidP="002C5F6E">
            <w:pPr>
              <w:spacing w:line="240" w:lineRule="auto"/>
              <w:ind w:firstLine="0"/>
            </w:pPr>
            <w:r w:rsidRPr="004D46AC">
              <w:rPr>
                <w:rFonts w:eastAsia="SimSun"/>
                <w:color w:val="000000"/>
              </w:rPr>
              <w:t xml:space="preserve">0.35 </w:t>
            </w:r>
          </w:p>
        </w:tc>
        <w:tc>
          <w:tcPr>
            <w:tcW w:w="2409" w:type="dxa"/>
            <w:vAlign w:val="center"/>
          </w:tcPr>
          <w:p w14:paraId="0ECF4E52"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41FC67F2" w14:textId="77777777" w:rsidR="007075D9" w:rsidRPr="004D46AC" w:rsidRDefault="007075D9" w:rsidP="002C5F6E">
            <w:pPr>
              <w:spacing w:line="240" w:lineRule="auto"/>
              <w:ind w:firstLine="0"/>
            </w:pPr>
            <w:r w:rsidRPr="004D46AC">
              <w:rPr>
                <w:rFonts w:eastAsia="SimSun"/>
                <w:color w:val="000000"/>
              </w:rPr>
              <w:t xml:space="preserve">0.72 </w:t>
            </w:r>
          </w:p>
        </w:tc>
        <w:tc>
          <w:tcPr>
            <w:tcW w:w="901" w:type="dxa"/>
            <w:vAlign w:val="center"/>
          </w:tcPr>
          <w:p w14:paraId="0B2C85AF" w14:textId="77777777" w:rsidR="007075D9" w:rsidRPr="004D46AC" w:rsidRDefault="007075D9" w:rsidP="002C5F6E">
            <w:pPr>
              <w:spacing w:line="240" w:lineRule="auto"/>
              <w:ind w:firstLine="0"/>
            </w:pPr>
            <w:r w:rsidRPr="004D46AC">
              <w:rPr>
                <w:rFonts w:eastAsia="SimSun"/>
                <w:color w:val="000000"/>
              </w:rPr>
              <w:t xml:space="preserve">0.11 </w:t>
            </w:r>
          </w:p>
        </w:tc>
      </w:tr>
      <w:tr w:rsidR="007075D9" w:rsidRPr="004D46AC" w14:paraId="46C84264" w14:textId="77777777" w:rsidTr="00B518F1">
        <w:tc>
          <w:tcPr>
            <w:tcW w:w="1704" w:type="dxa"/>
            <w:vAlign w:val="center"/>
          </w:tcPr>
          <w:p w14:paraId="207A73E5" w14:textId="77777777" w:rsidR="007075D9" w:rsidRPr="004D46AC" w:rsidRDefault="007075D9" w:rsidP="002C5F6E">
            <w:pPr>
              <w:spacing w:line="240" w:lineRule="auto"/>
              <w:ind w:firstLine="0"/>
            </w:pPr>
            <w:r w:rsidRPr="004D46AC">
              <w:rPr>
                <w:rFonts w:eastAsia="SimSun"/>
                <w:color w:val="000000"/>
              </w:rPr>
              <w:t>M3--M6</w:t>
            </w:r>
          </w:p>
        </w:tc>
        <w:tc>
          <w:tcPr>
            <w:tcW w:w="1098" w:type="dxa"/>
            <w:vAlign w:val="center"/>
          </w:tcPr>
          <w:p w14:paraId="14BCD70F" w14:textId="77777777" w:rsidR="007075D9" w:rsidRPr="004D46AC" w:rsidRDefault="007075D9" w:rsidP="002C5F6E">
            <w:pPr>
              <w:spacing w:line="240" w:lineRule="auto"/>
              <w:ind w:firstLine="0"/>
            </w:pPr>
            <w:r w:rsidRPr="004D46AC">
              <w:rPr>
                <w:rFonts w:eastAsia="SimSun"/>
                <w:color w:val="000000"/>
              </w:rPr>
              <w:t xml:space="preserve">0.34 </w:t>
            </w:r>
          </w:p>
        </w:tc>
        <w:tc>
          <w:tcPr>
            <w:tcW w:w="2409" w:type="dxa"/>
            <w:vAlign w:val="center"/>
          </w:tcPr>
          <w:p w14:paraId="2B931D23" w14:textId="77777777" w:rsidR="007075D9" w:rsidRPr="004D46AC" w:rsidRDefault="007075D9" w:rsidP="002C5F6E">
            <w:pPr>
              <w:spacing w:line="240" w:lineRule="auto"/>
              <w:ind w:firstLine="0"/>
            </w:pPr>
            <w:r w:rsidRPr="004D46AC">
              <w:rPr>
                <w:rFonts w:eastAsia="SimSun"/>
                <w:color w:val="000000"/>
              </w:rPr>
              <w:t xml:space="preserve">0.12 </w:t>
            </w:r>
          </w:p>
        </w:tc>
        <w:tc>
          <w:tcPr>
            <w:tcW w:w="2410" w:type="dxa"/>
            <w:vAlign w:val="center"/>
          </w:tcPr>
          <w:p w14:paraId="45D19484" w14:textId="77777777" w:rsidR="007075D9" w:rsidRPr="004D46AC" w:rsidRDefault="007075D9" w:rsidP="002C5F6E">
            <w:pPr>
              <w:spacing w:line="240" w:lineRule="auto"/>
              <w:ind w:firstLine="0"/>
            </w:pPr>
            <w:r w:rsidRPr="004D46AC">
              <w:rPr>
                <w:rFonts w:eastAsia="SimSun"/>
                <w:color w:val="000000"/>
              </w:rPr>
              <w:t xml:space="preserve">0.56 </w:t>
            </w:r>
          </w:p>
        </w:tc>
        <w:tc>
          <w:tcPr>
            <w:tcW w:w="901" w:type="dxa"/>
            <w:vAlign w:val="center"/>
          </w:tcPr>
          <w:p w14:paraId="143B6CC3"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046AFDE9" w14:textId="77777777" w:rsidTr="00B518F1">
        <w:tc>
          <w:tcPr>
            <w:tcW w:w="1704" w:type="dxa"/>
            <w:vAlign w:val="center"/>
          </w:tcPr>
          <w:p w14:paraId="0BA7D019" w14:textId="77777777" w:rsidR="007075D9" w:rsidRPr="004D46AC" w:rsidRDefault="007075D9" w:rsidP="002C5F6E">
            <w:pPr>
              <w:spacing w:line="240" w:lineRule="auto"/>
              <w:ind w:firstLine="0"/>
            </w:pPr>
            <w:r w:rsidRPr="004D46AC">
              <w:rPr>
                <w:rFonts w:eastAsia="SimSun"/>
                <w:color w:val="000000"/>
              </w:rPr>
              <w:t>M2--M5</w:t>
            </w:r>
          </w:p>
        </w:tc>
        <w:tc>
          <w:tcPr>
            <w:tcW w:w="1098" w:type="dxa"/>
            <w:vAlign w:val="center"/>
          </w:tcPr>
          <w:p w14:paraId="3FE6F36C" w14:textId="77777777" w:rsidR="007075D9" w:rsidRPr="004D46AC" w:rsidRDefault="007075D9" w:rsidP="002C5F6E">
            <w:pPr>
              <w:spacing w:line="240" w:lineRule="auto"/>
              <w:ind w:firstLine="0"/>
            </w:pPr>
            <w:r w:rsidRPr="004D46AC">
              <w:rPr>
                <w:rFonts w:eastAsia="SimSun"/>
                <w:color w:val="000000"/>
              </w:rPr>
              <w:t xml:space="preserve">0.32 </w:t>
            </w:r>
          </w:p>
        </w:tc>
        <w:tc>
          <w:tcPr>
            <w:tcW w:w="2409" w:type="dxa"/>
            <w:vAlign w:val="center"/>
          </w:tcPr>
          <w:p w14:paraId="1A1553BF" w14:textId="77777777" w:rsidR="007075D9" w:rsidRPr="004D46AC" w:rsidRDefault="007075D9" w:rsidP="002C5F6E">
            <w:pPr>
              <w:spacing w:line="240" w:lineRule="auto"/>
              <w:ind w:firstLine="0"/>
            </w:pPr>
            <w:r w:rsidRPr="004D46AC">
              <w:rPr>
                <w:rFonts w:eastAsia="SimSun"/>
                <w:color w:val="000000"/>
              </w:rPr>
              <w:t xml:space="preserve">0.08 </w:t>
            </w:r>
          </w:p>
        </w:tc>
        <w:tc>
          <w:tcPr>
            <w:tcW w:w="2410" w:type="dxa"/>
            <w:vAlign w:val="center"/>
          </w:tcPr>
          <w:p w14:paraId="3F3A943D" w14:textId="77777777" w:rsidR="007075D9" w:rsidRPr="004D46AC" w:rsidRDefault="007075D9" w:rsidP="002C5F6E">
            <w:pPr>
              <w:spacing w:line="240" w:lineRule="auto"/>
              <w:ind w:firstLine="0"/>
            </w:pPr>
            <w:r w:rsidRPr="004D46AC">
              <w:rPr>
                <w:rFonts w:eastAsia="SimSun"/>
                <w:color w:val="000000"/>
              </w:rPr>
              <w:t xml:space="preserve">0.56 </w:t>
            </w:r>
          </w:p>
        </w:tc>
        <w:tc>
          <w:tcPr>
            <w:tcW w:w="901" w:type="dxa"/>
            <w:vAlign w:val="center"/>
          </w:tcPr>
          <w:p w14:paraId="4555B76F"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2934D940" w14:textId="77777777" w:rsidTr="00B518F1">
        <w:tc>
          <w:tcPr>
            <w:tcW w:w="1704" w:type="dxa"/>
            <w:vAlign w:val="center"/>
          </w:tcPr>
          <w:p w14:paraId="179B8C4B" w14:textId="77777777" w:rsidR="007075D9" w:rsidRPr="004D46AC" w:rsidRDefault="007075D9" w:rsidP="002C5F6E">
            <w:pPr>
              <w:spacing w:line="240" w:lineRule="auto"/>
              <w:ind w:firstLine="0"/>
            </w:pPr>
            <w:r w:rsidRPr="004D46AC">
              <w:rPr>
                <w:rFonts w:eastAsia="SimSun"/>
                <w:color w:val="000000"/>
              </w:rPr>
              <w:t>D8--D9</w:t>
            </w:r>
          </w:p>
        </w:tc>
        <w:tc>
          <w:tcPr>
            <w:tcW w:w="1098" w:type="dxa"/>
            <w:vAlign w:val="center"/>
          </w:tcPr>
          <w:p w14:paraId="4561D903" w14:textId="77777777" w:rsidR="007075D9" w:rsidRPr="004D46AC" w:rsidRDefault="007075D9" w:rsidP="002C5F6E">
            <w:pPr>
              <w:spacing w:line="240" w:lineRule="auto"/>
              <w:ind w:firstLine="0"/>
            </w:pPr>
            <w:r w:rsidRPr="004D46AC">
              <w:rPr>
                <w:rFonts w:eastAsia="SimSun"/>
                <w:color w:val="000000"/>
              </w:rPr>
              <w:t xml:space="preserve">0.32 </w:t>
            </w:r>
          </w:p>
        </w:tc>
        <w:tc>
          <w:tcPr>
            <w:tcW w:w="2409" w:type="dxa"/>
            <w:vAlign w:val="center"/>
          </w:tcPr>
          <w:p w14:paraId="55CF11AB" w14:textId="77777777" w:rsidR="007075D9" w:rsidRPr="004D46AC" w:rsidRDefault="007075D9" w:rsidP="002C5F6E">
            <w:pPr>
              <w:spacing w:line="240" w:lineRule="auto"/>
              <w:ind w:firstLine="0"/>
            </w:pPr>
            <w:r w:rsidRPr="004D46AC">
              <w:rPr>
                <w:rFonts w:eastAsia="SimSun"/>
                <w:color w:val="000000"/>
              </w:rPr>
              <w:t xml:space="preserve">0.23 </w:t>
            </w:r>
          </w:p>
        </w:tc>
        <w:tc>
          <w:tcPr>
            <w:tcW w:w="2410" w:type="dxa"/>
            <w:vAlign w:val="center"/>
          </w:tcPr>
          <w:p w14:paraId="03E5B533" w14:textId="77777777" w:rsidR="007075D9" w:rsidRPr="004D46AC" w:rsidRDefault="007075D9" w:rsidP="002C5F6E">
            <w:pPr>
              <w:spacing w:line="240" w:lineRule="auto"/>
              <w:ind w:firstLine="0"/>
            </w:pPr>
            <w:r w:rsidRPr="004D46AC">
              <w:rPr>
                <w:rFonts w:eastAsia="SimSun"/>
                <w:color w:val="000000"/>
              </w:rPr>
              <w:t xml:space="preserve">0.41 </w:t>
            </w:r>
          </w:p>
        </w:tc>
        <w:tc>
          <w:tcPr>
            <w:tcW w:w="901" w:type="dxa"/>
            <w:vAlign w:val="center"/>
          </w:tcPr>
          <w:p w14:paraId="1E652478"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141D32EE" w14:textId="77777777" w:rsidTr="00B518F1">
        <w:tc>
          <w:tcPr>
            <w:tcW w:w="1704" w:type="dxa"/>
            <w:vAlign w:val="center"/>
          </w:tcPr>
          <w:p w14:paraId="6B7F34EE" w14:textId="77777777" w:rsidR="007075D9" w:rsidRPr="004D46AC" w:rsidRDefault="007075D9" w:rsidP="002C5F6E">
            <w:pPr>
              <w:spacing w:line="240" w:lineRule="auto"/>
              <w:ind w:firstLine="0"/>
            </w:pPr>
            <w:r w:rsidRPr="004D46AC">
              <w:rPr>
                <w:rFonts w:eastAsia="SimSun"/>
                <w:color w:val="000000"/>
              </w:rPr>
              <w:t>M7--P2</w:t>
            </w:r>
          </w:p>
        </w:tc>
        <w:tc>
          <w:tcPr>
            <w:tcW w:w="1098" w:type="dxa"/>
            <w:vAlign w:val="center"/>
          </w:tcPr>
          <w:p w14:paraId="0A1E6FA6" w14:textId="77777777" w:rsidR="007075D9" w:rsidRPr="004D46AC" w:rsidRDefault="007075D9" w:rsidP="002C5F6E">
            <w:pPr>
              <w:spacing w:line="240" w:lineRule="auto"/>
              <w:ind w:firstLine="0"/>
            </w:pPr>
            <w:r w:rsidRPr="004D46AC">
              <w:rPr>
                <w:rFonts w:eastAsia="SimSun"/>
                <w:color w:val="000000"/>
              </w:rPr>
              <w:t xml:space="preserve">0.32 </w:t>
            </w:r>
          </w:p>
        </w:tc>
        <w:tc>
          <w:tcPr>
            <w:tcW w:w="2409" w:type="dxa"/>
            <w:vAlign w:val="center"/>
          </w:tcPr>
          <w:p w14:paraId="4CADD70C"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441FB37D" w14:textId="77777777" w:rsidR="007075D9" w:rsidRPr="004D46AC" w:rsidRDefault="007075D9" w:rsidP="002C5F6E">
            <w:pPr>
              <w:spacing w:line="240" w:lineRule="auto"/>
              <w:ind w:firstLine="0"/>
            </w:pPr>
            <w:r w:rsidRPr="004D46AC">
              <w:rPr>
                <w:rFonts w:eastAsia="SimSun"/>
                <w:color w:val="000000"/>
              </w:rPr>
              <w:t xml:space="preserve">0.73 </w:t>
            </w:r>
          </w:p>
        </w:tc>
        <w:tc>
          <w:tcPr>
            <w:tcW w:w="901" w:type="dxa"/>
            <w:vAlign w:val="center"/>
          </w:tcPr>
          <w:p w14:paraId="0F358ADE" w14:textId="77777777" w:rsidR="007075D9" w:rsidRPr="004D46AC" w:rsidRDefault="007075D9" w:rsidP="002C5F6E">
            <w:pPr>
              <w:spacing w:line="240" w:lineRule="auto"/>
              <w:ind w:firstLine="0"/>
            </w:pPr>
            <w:r w:rsidRPr="004D46AC">
              <w:rPr>
                <w:rFonts w:eastAsia="SimSun"/>
                <w:color w:val="000000"/>
              </w:rPr>
              <w:t xml:space="preserve">0.11 </w:t>
            </w:r>
          </w:p>
        </w:tc>
      </w:tr>
      <w:tr w:rsidR="007075D9" w:rsidRPr="004D46AC" w14:paraId="7E59087E" w14:textId="77777777" w:rsidTr="00B518F1">
        <w:tc>
          <w:tcPr>
            <w:tcW w:w="1704" w:type="dxa"/>
            <w:vAlign w:val="center"/>
          </w:tcPr>
          <w:p w14:paraId="3F37847E" w14:textId="77777777" w:rsidR="007075D9" w:rsidRPr="004D46AC" w:rsidRDefault="007075D9" w:rsidP="002C5F6E">
            <w:pPr>
              <w:spacing w:line="240" w:lineRule="auto"/>
              <w:ind w:firstLine="0"/>
            </w:pPr>
            <w:r w:rsidRPr="004D46AC">
              <w:rPr>
                <w:rFonts w:eastAsia="SimSun"/>
                <w:color w:val="000000"/>
              </w:rPr>
              <w:t>EI--M11</w:t>
            </w:r>
          </w:p>
        </w:tc>
        <w:tc>
          <w:tcPr>
            <w:tcW w:w="1098" w:type="dxa"/>
            <w:vAlign w:val="center"/>
          </w:tcPr>
          <w:p w14:paraId="4FE299CF" w14:textId="77777777" w:rsidR="007075D9" w:rsidRPr="004D46AC" w:rsidRDefault="007075D9" w:rsidP="002C5F6E">
            <w:pPr>
              <w:spacing w:line="240" w:lineRule="auto"/>
              <w:ind w:firstLine="0"/>
            </w:pPr>
            <w:r w:rsidRPr="004D46AC">
              <w:rPr>
                <w:rFonts w:eastAsia="SimSun"/>
                <w:color w:val="000000"/>
              </w:rPr>
              <w:t xml:space="preserve">0.31 </w:t>
            </w:r>
          </w:p>
        </w:tc>
        <w:tc>
          <w:tcPr>
            <w:tcW w:w="2409" w:type="dxa"/>
            <w:vAlign w:val="center"/>
          </w:tcPr>
          <w:p w14:paraId="43337157" w14:textId="77777777" w:rsidR="007075D9" w:rsidRPr="004D46AC" w:rsidRDefault="007075D9" w:rsidP="002C5F6E">
            <w:pPr>
              <w:spacing w:line="240" w:lineRule="auto"/>
              <w:ind w:firstLine="0"/>
            </w:pPr>
            <w:r w:rsidRPr="004D46AC">
              <w:rPr>
                <w:rFonts w:eastAsia="SimSun"/>
                <w:color w:val="000000"/>
              </w:rPr>
              <w:t xml:space="preserve">0.18 </w:t>
            </w:r>
          </w:p>
        </w:tc>
        <w:tc>
          <w:tcPr>
            <w:tcW w:w="2410" w:type="dxa"/>
            <w:vAlign w:val="center"/>
          </w:tcPr>
          <w:p w14:paraId="278FF9F6" w14:textId="77777777" w:rsidR="007075D9" w:rsidRPr="004D46AC" w:rsidRDefault="007075D9" w:rsidP="002C5F6E">
            <w:pPr>
              <w:spacing w:line="240" w:lineRule="auto"/>
              <w:ind w:firstLine="0"/>
            </w:pPr>
            <w:r w:rsidRPr="004D46AC">
              <w:rPr>
                <w:rFonts w:eastAsia="SimSun"/>
                <w:color w:val="000000"/>
              </w:rPr>
              <w:t xml:space="preserve">0.45 </w:t>
            </w:r>
          </w:p>
        </w:tc>
        <w:tc>
          <w:tcPr>
            <w:tcW w:w="901" w:type="dxa"/>
            <w:vAlign w:val="center"/>
          </w:tcPr>
          <w:p w14:paraId="597526A9"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4CCE3AF" w14:textId="77777777" w:rsidTr="00B518F1">
        <w:tc>
          <w:tcPr>
            <w:tcW w:w="1704" w:type="dxa"/>
            <w:vAlign w:val="center"/>
          </w:tcPr>
          <w:p w14:paraId="38A7C794" w14:textId="77777777" w:rsidR="007075D9" w:rsidRPr="004D46AC" w:rsidRDefault="007075D9" w:rsidP="002C5F6E">
            <w:pPr>
              <w:spacing w:line="240" w:lineRule="auto"/>
              <w:ind w:firstLine="0"/>
            </w:pPr>
            <w:r w:rsidRPr="004D46AC">
              <w:rPr>
                <w:rFonts w:eastAsia="SimSun"/>
                <w:color w:val="000000"/>
              </w:rPr>
              <w:t>M1--M3</w:t>
            </w:r>
          </w:p>
        </w:tc>
        <w:tc>
          <w:tcPr>
            <w:tcW w:w="1098" w:type="dxa"/>
            <w:vAlign w:val="center"/>
          </w:tcPr>
          <w:p w14:paraId="17A051B5" w14:textId="77777777" w:rsidR="007075D9" w:rsidRPr="004D46AC" w:rsidRDefault="007075D9" w:rsidP="002C5F6E">
            <w:pPr>
              <w:spacing w:line="240" w:lineRule="auto"/>
              <w:ind w:firstLine="0"/>
            </w:pPr>
            <w:r w:rsidRPr="004D46AC">
              <w:rPr>
                <w:rFonts w:eastAsia="SimSun"/>
                <w:color w:val="000000"/>
              </w:rPr>
              <w:t xml:space="preserve">0.29 </w:t>
            </w:r>
          </w:p>
        </w:tc>
        <w:tc>
          <w:tcPr>
            <w:tcW w:w="2409" w:type="dxa"/>
            <w:vAlign w:val="center"/>
          </w:tcPr>
          <w:p w14:paraId="7C6B5787"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3D09E0E3" w14:textId="77777777" w:rsidR="007075D9" w:rsidRPr="004D46AC" w:rsidRDefault="007075D9" w:rsidP="002C5F6E">
            <w:pPr>
              <w:spacing w:line="240" w:lineRule="auto"/>
              <w:ind w:firstLine="0"/>
            </w:pPr>
            <w:r w:rsidRPr="004D46AC">
              <w:rPr>
                <w:rFonts w:eastAsia="SimSun"/>
                <w:color w:val="000000"/>
              </w:rPr>
              <w:t xml:space="preserve">0.64 </w:t>
            </w:r>
          </w:p>
        </w:tc>
        <w:tc>
          <w:tcPr>
            <w:tcW w:w="901" w:type="dxa"/>
            <w:vAlign w:val="center"/>
          </w:tcPr>
          <w:p w14:paraId="3F052E45" w14:textId="77777777" w:rsidR="007075D9" w:rsidRPr="004D46AC" w:rsidRDefault="007075D9" w:rsidP="002C5F6E">
            <w:pPr>
              <w:spacing w:line="240" w:lineRule="auto"/>
              <w:ind w:firstLine="0"/>
            </w:pPr>
            <w:r w:rsidRPr="004D46AC">
              <w:rPr>
                <w:rFonts w:eastAsia="SimSun"/>
                <w:color w:val="000000"/>
              </w:rPr>
              <w:t xml:space="preserve">0.12 </w:t>
            </w:r>
          </w:p>
        </w:tc>
      </w:tr>
      <w:tr w:rsidR="007075D9" w:rsidRPr="004D46AC" w14:paraId="47EECAB2" w14:textId="77777777" w:rsidTr="00B518F1">
        <w:tc>
          <w:tcPr>
            <w:tcW w:w="1704" w:type="dxa"/>
            <w:vAlign w:val="center"/>
          </w:tcPr>
          <w:p w14:paraId="03478985" w14:textId="77777777" w:rsidR="007075D9" w:rsidRPr="004D46AC" w:rsidRDefault="007075D9" w:rsidP="002C5F6E">
            <w:pPr>
              <w:spacing w:line="240" w:lineRule="auto"/>
              <w:ind w:firstLine="0"/>
            </w:pPr>
            <w:r w:rsidRPr="004D46AC">
              <w:rPr>
                <w:rFonts w:eastAsia="SimSun"/>
                <w:color w:val="000000"/>
              </w:rPr>
              <w:t>M10--P2</w:t>
            </w:r>
          </w:p>
        </w:tc>
        <w:tc>
          <w:tcPr>
            <w:tcW w:w="1098" w:type="dxa"/>
            <w:vAlign w:val="center"/>
          </w:tcPr>
          <w:p w14:paraId="6A7357BB" w14:textId="77777777" w:rsidR="007075D9" w:rsidRPr="004D46AC" w:rsidRDefault="007075D9" w:rsidP="002C5F6E">
            <w:pPr>
              <w:spacing w:line="240" w:lineRule="auto"/>
              <w:ind w:firstLine="0"/>
            </w:pPr>
            <w:r w:rsidRPr="004D46AC">
              <w:rPr>
                <w:rFonts w:eastAsia="SimSun"/>
                <w:color w:val="000000"/>
              </w:rPr>
              <w:t xml:space="preserve">0.28 </w:t>
            </w:r>
          </w:p>
        </w:tc>
        <w:tc>
          <w:tcPr>
            <w:tcW w:w="2409" w:type="dxa"/>
            <w:vAlign w:val="center"/>
          </w:tcPr>
          <w:p w14:paraId="65F9856A" w14:textId="77777777" w:rsidR="007075D9" w:rsidRPr="004D46AC" w:rsidRDefault="007075D9" w:rsidP="002C5F6E">
            <w:pPr>
              <w:spacing w:line="240" w:lineRule="auto"/>
              <w:ind w:firstLine="0"/>
            </w:pPr>
            <w:r w:rsidRPr="004D46AC">
              <w:rPr>
                <w:rFonts w:eastAsia="SimSun"/>
                <w:color w:val="000000"/>
              </w:rPr>
              <w:t xml:space="preserve">-0.17 </w:t>
            </w:r>
          </w:p>
        </w:tc>
        <w:tc>
          <w:tcPr>
            <w:tcW w:w="2410" w:type="dxa"/>
            <w:vAlign w:val="center"/>
          </w:tcPr>
          <w:p w14:paraId="3080143E" w14:textId="77777777" w:rsidR="007075D9" w:rsidRPr="004D46AC" w:rsidRDefault="007075D9" w:rsidP="002C5F6E">
            <w:pPr>
              <w:spacing w:line="240" w:lineRule="auto"/>
              <w:ind w:firstLine="0"/>
            </w:pPr>
            <w:r w:rsidRPr="004D46AC">
              <w:rPr>
                <w:rFonts w:eastAsia="SimSun"/>
                <w:color w:val="000000"/>
              </w:rPr>
              <w:t xml:space="preserve">0.73 </w:t>
            </w:r>
          </w:p>
        </w:tc>
        <w:tc>
          <w:tcPr>
            <w:tcW w:w="901" w:type="dxa"/>
            <w:vAlign w:val="center"/>
          </w:tcPr>
          <w:p w14:paraId="3C95551B" w14:textId="77777777" w:rsidR="007075D9" w:rsidRPr="004D46AC" w:rsidRDefault="007075D9" w:rsidP="002C5F6E">
            <w:pPr>
              <w:spacing w:line="240" w:lineRule="auto"/>
              <w:ind w:firstLine="0"/>
            </w:pPr>
            <w:r w:rsidRPr="004D46AC">
              <w:rPr>
                <w:rFonts w:eastAsia="SimSun"/>
                <w:color w:val="000000"/>
              </w:rPr>
              <w:t xml:space="preserve">0.20 </w:t>
            </w:r>
          </w:p>
        </w:tc>
      </w:tr>
      <w:tr w:rsidR="007075D9" w:rsidRPr="004D46AC" w14:paraId="262CB6AB" w14:textId="77777777" w:rsidTr="00B518F1">
        <w:tc>
          <w:tcPr>
            <w:tcW w:w="1704" w:type="dxa"/>
            <w:vAlign w:val="center"/>
          </w:tcPr>
          <w:p w14:paraId="2EE2D8FF" w14:textId="77777777" w:rsidR="007075D9" w:rsidRPr="004D46AC" w:rsidRDefault="007075D9" w:rsidP="002C5F6E">
            <w:pPr>
              <w:spacing w:line="240" w:lineRule="auto"/>
              <w:ind w:firstLine="0"/>
            </w:pPr>
            <w:r w:rsidRPr="004D46AC">
              <w:rPr>
                <w:rFonts w:eastAsia="SimSun"/>
                <w:color w:val="000000"/>
              </w:rPr>
              <w:t>EI--M10</w:t>
            </w:r>
          </w:p>
        </w:tc>
        <w:tc>
          <w:tcPr>
            <w:tcW w:w="1098" w:type="dxa"/>
            <w:vAlign w:val="center"/>
          </w:tcPr>
          <w:p w14:paraId="4FAB694E" w14:textId="77777777" w:rsidR="007075D9" w:rsidRPr="004D46AC" w:rsidRDefault="007075D9" w:rsidP="002C5F6E">
            <w:pPr>
              <w:spacing w:line="240" w:lineRule="auto"/>
              <w:ind w:firstLine="0"/>
            </w:pPr>
            <w:r w:rsidRPr="004D46AC">
              <w:rPr>
                <w:rFonts w:eastAsia="SimSun"/>
                <w:color w:val="000000"/>
              </w:rPr>
              <w:t xml:space="preserve">0.28 </w:t>
            </w:r>
          </w:p>
        </w:tc>
        <w:tc>
          <w:tcPr>
            <w:tcW w:w="2409" w:type="dxa"/>
            <w:vAlign w:val="center"/>
          </w:tcPr>
          <w:p w14:paraId="7DF3B7CA"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09DEB427" w14:textId="77777777" w:rsidR="007075D9" w:rsidRPr="004D46AC" w:rsidRDefault="007075D9" w:rsidP="002C5F6E">
            <w:pPr>
              <w:spacing w:line="240" w:lineRule="auto"/>
              <w:ind w:firstLine="0"/>
            </w:pPr>
            <w:r w:rsidRPr="004D46AC">
              <w:rPr>
                <w:rFonts w:eastAsia="SimSun"/>
                <w:color w:val="000000"/>
              </w:rPr>
              <w:t xml:space="preserve">0.49 </w:t>
            </w:r>
          </w:p>
        </w:tc>
        <w:tc>
          <w:tcPr>
            <w:tcW w:w="901" w:type="dxa"/>
            <w:vAlign w:val="center"/>
          </w:tcPr>
          <w:p w14:paraId="3FB1E1B5" w14:textId="77777777" w:rsidR="007075D9" w:rsidRPr="004D46AC" w:rsidRDefault="007075D9" w:rsidP="002C5F6E">
            <w:pPr>
              <w:spacing w:line="240" w:lineRule="auto"/>
              <w:ind w:firstLine="0"/>
            </w:pPr>
            <w:r w:rsidRPr="004D46AC">
              <w:rPr>
                <w:rFonts w:eastAsia="SimSun"/>
                <w:color w:val="000000"/>
              </w:rPr>
              <w:t xml:space="preserve">0.03 </w:t>
            </w:r>
          </w:p>
        </w:tc>
      </w:tr>
      <w:tr w:rsidR="007075D9" w:rsidRPr="004D46AC" w14:paraId="20DF8723" w14:textId="77777777" w:rsidTr="00B518F1">
        <w:tc>
          <w:tcPr>
            <w:tcW w:w="1704" w:type="dxa"/>
            <w:vAlign w:val="center"/>
          </w:tcPr>
          <w:p w14:paraId="1C6896C4" w14:textId="77777777" w:rsidR="007075D9" w:rsidRPr="004D46AC" w:rsidRDefault="007075D9" w:rsidP="002C5F6E">
            <w:pPr>
              <w:spacing w:line="240" w:lineRule="auto"/>
              <w:ind w:firstLine="0"/>
            </w:pPr>
            <w:r w:rsidRPr="004D46AC">
              <w:rPr>
                <w:rFonts w:eastAsia="SimSun"/>
                <w:color w:val="000000"/>
              </w:rPr>
              <w:t>D7--D8</w:t>
            </w:r>
          </w:p>
        </w:tc>
        <w:tc>
          <w:tcPr>
            <w:tcW w:w="1098" w:type="dxa"/>
            <w:vAlign w:val="center"/>
          </w:tcPr>
          <w:p w14:paraId="736C8C1B" w14:textId="77777777" w:rsidR="007075D9" w:rsidRPr="004D46AC" w:rsidRDefault="007075D9" w:rsidP="002C5F6E">
            <w:pPr>
              <w:spacing w:line="240" w:lineRule="auto"/>
              <w:ind w:firstLine="0"/>
            </w:pPr>
            <w:r w:rsidRPr="004D46AC">
              <w:rPr>
                <w:rFonts w:eastAsia="SimSun"/>
                <w:color w:val="000000"/>
              </w:rPr>
              <w:t xml:space="preserve">0.27 </w:t>
            </w:r>
          </w:p>
        </w:tc>
        <w:tc>
          <w:tcPr>
            <w:tcW w:w="2409" w:type="dxa"/>
            <w:vAlign w:val="center"/>
          </w:tcPr>
          <w:p w14:paraId="2647DCC6" w14:textId="77777777" w:rsidR="007075D9" w:rsidRPr="004D46AC" w:rsidRDefault="007075D9" w:rsidP="002C5F6E">
            <w:pPr>
              <w:spacing w:line="240" w:lineRule="auto"/>
              <w:ind w:firstLine="0"/>
            </w:pPr>
            <w:r w:rsidRPr="004D46AC">
              <w:rPr>
                <w:rFonts w:eastAsia="SimSun"/>
                <w:color w:val="000000"/>
              </w:rPr>
              <w:t xml:space="preserve">0.19 </w:t>
            </w:r>
          </w:p>
        </w:tc>
        <w:tc>
          <w:tcPr>
            <w:tcW w:w="2410" w:type="dxa"/>
            <w:vAlign w:val="center"/>
          </w:tcPr>
          <w:p w14:paraId="2DED603D" w14:textId="77777777" w:rsidR="007075D9" w:rsidRPr="004D46AC" w:rsidRDefault="007075D9" w:rsidP="002C5F6E">
            <w:pPr>
              <w:spacing w:line="240" w:lineRule="auto"/>
              <w:ind w:firstLine="0"/>
            </w:pPr>
            <w:r w:rsidRPr="004D46AC">
              <w:rPr>
                <w:rFonts w:eastAsia="SimSun"/>
                <w:color w:val="000000"/>
              </w:rPr>
              <w:t xml:space="preserve">0.35 </w:t>
            </w:r>
          </w:p>
        </w:tc>
        <w:tc>
          <w:tcPr>
            <w:tcW w:w="901" w:type="dxa"/>
            <w:vAlign w:val="center"/>
          </w:tcPr>
          <w:p w14:paraId="0691C281"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BF35C7F" w14:textId="77777777" w:rsidTr="00B518F1">
        <w:tc>
          <w:tcPr>
            <w:tcW w:w="1704" w:type="dxa"/>
            <w:vAlign w:val="center"/>
          </w:tcPr>
          <w:p w14:paraId="3A500D00" w14:textId="77777777" w:rsidR="007075D9" w:rsidRPr="004D46AC" w:rsidRDefault="007075D9" w:rsidP="002C5F6E">
            <w:pPr>
              <w:spacing w:line="240" w:lineRule="auto"/>
              <w:ind w:firstLine="0"/>
            </w:pPr>
            <w:r w:rsidRPr="004D46AC">
              <w:rPr>
                <w:rFonts w:eastAsia="SimSun"/>
                <w:color w:val="000000"/>
              </w:rPr>
              <w:t>PS--P2</w:t>
            </w:r>
          </w:p>
        </w:tc>
        <w:tc>
          <w:tcPr>
            <w:tcW w:w="1098" w:type="dxa"/>
            <w:vAlign w:val="center"/>
          </w:tcPr>
          <w:p w14:paraId="2C0F9730" w14:textId="77777777" w:rsidR="007075D9" w:rsidRPr="004D46AC" w:rsidRDefault="007075D9" w:rsidP="002C5F6E">
            <w:pPr>
              <w:spacing w:line="240" w:lineRule="auto"/>
              <w:ind w:firstLine="0"/>
            </w:pPr>
            <w:r w:rsidRPr="004D46AC">
              <w:rPr>
                <w:rFonts w:eastAsia="SimSun"/>
                <w:color w:val="000000"/>
              </w:rPr>
              <w:t xml:space="preserve">0.27 </w:t>
            </w:r>
          </w:p>
        </w:tc>
        <w:tc>
          <w:tcPr>
            <w:tcW w:w="2409" w:type="dxa"/>
            <w:vAlign w:val="center"/>
          </w:tcPr>
          <w:p w14:paraId="6D27CC46"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2AD49058" w14:textId="77777777" w:rsidR="007075D9" w:rsidRPr="004D46AC" w:rsidRDefault="007075D9" w:rsidP="002C5F6E">
            <w:pPr>
              <w:spacing w:line="240" w:lineRule="auto"/>
              <w:ind w:firstLine="0"/>
            </w:pPr>
            <w:r w:rsidRPr="004D46AC">
              <w:rPr>
                <w:rFonts w:eastAsia="SimSun"/>
                <w:color w:val="000000"/>
              </w:rPr>
              <w:t xml:space="preserve">0.52 </w:t>
            </w:r>
          </w:p>
        </w:tc>
        <w:tc>
          <w:tcPr>
            <w:tcW w:w="901" w:type="dxa"/>
            <w:vAlign w:val="center"/>
          </w:tcPr>
          <w:p w14:paraId="37B23DA3"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44C2714D" w14:textId="77777777" w:rsidTr="00B518F1">
        <w:tc>
          <w:tcPr>
            <w:tcW w:w="1704" w:type="dxa"/>
            <w:vAlign w:val="center"/>
          </w:tcPr>
          <w:p w14:paraId="52305C83" w14:textId="77777777" w:rsidR="007075D9" w:rsidRPr="004D46AC" w:rsidRDefault="007075D9" w:rsidP="002C5F6E">
            <w:pPr>
              <w:spacing w:line="240" w:lineRule="auto"/>
              <w:ind w:firstLine="0"/>
            </w:pPr>
            <w:r w:rsidRPr="004D46AC">
              <w:rPr>
                <w:rFonts w:eastAsia="SimSun"/>
                <w:color w:val="000000"/>
              </w:rPr>
              <w:t>D2--D6</w:t>
            </w:r>
          </w:p>
        </w:tc>
        <w:tc>
          <w:tcPr>
            <w:tcW w:w="1098" w:type="dxa"/>
            <w:vAlign w:val="center"/>
          </w:tcPr>
          <w:p w14:paraId="2459E868" w14:textId="77777777" w:rsidR="007075D9" w:rsidRPr="004D46AC" w:rsidRDefault="007075D9" w:rsidP="002C5F6E">
            <w:pPr>
              <w:spacing w:line="240" w:lineRule="auto"/>
              <w:ind w:firstLine="0"/>
            </w:pPr>
            <w:r w:rsidRPr="004D46AC">
              <w:rPr>
                <w:rFonts w:eastAsia="SimSun"/>
                <w:color w:val="000000"/>
              </w:rPr>
              <w:t xml:space="preserve">0.27 </w:t>
            </w:r>
          </w:p>
        </w:tc>
        <w:tc>
          <w:tcPr>
            <w:tcW w:w="2409" w:type="dxa"/>
            <w:vAlign w:val="center"/>
          </w:tcPr>
          <w:p w14:paraId="283596F4" w14:textId="77777777" w:rsidR="007075D9" w:rsidRPr="004D46AC" w:rsidRDefault="007075D9" w:rsidP="002C5F6E">
            <w:pPr>
              <w:spacing w:line="240" w:lineRule="auto"/>
              <w:ind w:firstLine="0"/>
            </w:pPr>
            <w:r w:rsidRPr="004D46AC">
              <w:rPr>
                <w:rFonts w:eastAsia="SimSun"/>
                <w:color w:val="000000"/>
              </w:rPr>
              <w:t xml:space="preserve">0.18 </w:t>
            </w:r>
          </w:p>
        </w:tc>
        <w:tc>
          <w:tcPr>
            <w:tcW w:w="2410" w:type="dxa"/>
            <w:vAlign w:val="center"/>
          </w:tcPr>
          <w:p w14:paraId="2AECD8D2" w14:textId="77777777" w:rsidR="007075D9" w:rsidRPr="004D46AC" w:rsidRDefault="007075D9" w:rsidP="002C5F6E">
            <w:pPr>
              <w:spacing w:line="240" w:lineRule="auto"/>
              <w:ind w:firstLine="0"/>
            </w:pPr>
            <w:r w:rsidRPr="004D46AC">
              <w:rPr>
                <w:rFonts w:eastAsia="SimSun"/>
                <w:color w:val="000000"/>
              </w:rPr>
              <w:t xml:space="preserve">0.35 </w:t>
            </w:r>
          </w:p>
        </w:tc>
        <w:tc>
          <w:tcPr>
            <w:tcW w:w="901" w:type="dxa"/>
            <w:vAlign w:val="center"/>
          </w:tcPr>
          <w:p w14:paraId="5B46C362"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2BB4C671" w14:textId="77777777" w:rsidTr="00B518F1">
        <w:tc>
          <w:tcPr>
            <w:tcW w:w="1704" w:type="dxa"/>
            <w:vAlign w:val="center"/>
          </w:tcPr>
          <w:p w14:paraId="7281639F" w14:textId="77777777" w:rsidR="007075D9" w:rsidRPr="004D46AC" w:rsidRDefault="007075D9" w:rsidP="002C5F6E">
            <w:pPr>
              <w:spacing w:line="240" w:lineRule="auto"/>
              <w:ind w:firstLine="0"/>
            </w:pPr>
            <w:r w:rsidRPr="004D46AC">
              <w:rPr>
                <w:rFonts w:eastAsia="SimSun"/>
                <w:color w:val="000000"/>
              </w:rPr>
              <w:t>M4--M10</w:t>
            </w:r>
          </w:p>
        </w:tc>
        <w:tc>
          <w:tcPr>
            <w:tcW w:w="1098" w:type="dxa"/>
            <w:vAlign w:val="center"/>
          </w:tcPr>
          <w:p w14:paraId="68D7C3FE" w14:textId="77777777" w:rsidR="007075D9" w:rsidRPr="004D46AC" w:rsidRDefault="007075D9" w:rsidP="002C5F6E">
            <w:pPr>
              <w:spacing w:line="240" w:lineRule="auto"/>
              <w:ind w:firstLine="0"/>
            </w:pPr>
            <w:r w:rsidRPr="004D46AC">
              <w:rPr>
                <w:rFonts w:eastAsia="SimSun"/>
                <w:color w:val="000000"/>
              </w:rPr>
              <w:t xml:space="preserve">0.25 </w:t>
            </w:r>
          </w:p>
        </w:tc>
        <w:tc>
          <w:tcPr>
            <w:tcW w:w="2409" w:type="dxa"/>
            <w:vAlign w:val="center"/>
          </w:tcPr>
          <w:p w14:paraId="3886E395"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29D58BB8" w14:textId="77777777" w:rsidR="007075D9" w:rsidRPr="004D46AC" w:rsidRDefault="007075D9" w:rsidP="002C5F6E">
            <w:pPr>
              <w:spacing w:line="240" w:lineRule="auto"/>
              <w:ind w:firstLine="0"/>
            </w:pPr>
            <w:r w:rsidRPr="004D46AC">
              <w:rPr>
                <w:rFonts w:eastAsia="SimSun"/>
                <w:color w:val="000000"/>
              </w:rPr>
              <w:t xml:space="preserve">0.56 </w:t>
            </w:r>
          </w:p>
        </w:tc>
        <w:tc>
          <w:tcPr>
            <w:tcW w:w="901" w:type="dxa"/>
            <w:vAlign w:val="center"/>
          </w:tcPr>
          <w:p w14:paraId="005DDB5A" w14:textId="77777777" w:rsidR="007075D9" w:rsidRPr="004D46AC" w:rsidRDefault="007075D9" w:rsidP="002C5F6E">
            <w:pPr>
              <w:spacing w:line="240" w:lineRule="auto"/>
              <w:ind w:firstLine="0"/>
            </w:pPr>
            <w:r w:rsidRPr="004D46AC">
              <w:rPr>
                <w:rFonts w:eastAsia="SimSun"/>
                <w:color w:val="000000"/>
              </w:rPr>
              <w:t xml:space="preserve">0.15 </w:t>
            </w:r>
          </w:p>
        </w:tc>
      </w:tr>
      <w:tr w:rsidR="007075D9" w:rsidRPr="004D46AC" w14:paraId="4927C95F" w14:textId="77777777" w:rsidTr="00B518F1">
        <w:tc>
          <w:tcPr>
            <w:tcW w:w="1704" w:type="dxa"/>
            <w:vAlign w:val="center"/>
          </w:tcPr>
          <w:p w14:paraId="512DA01D" w14:textId="77777777" w:rsidR="007075D9" w:rsidRPr="004D46AC" w:rsidRDefault="007075D9" w:rsidP="002C5F6E">
            <w:pPr>
              <w:spacing w:line="240" w:lineRule="auto"/>
              <w:ind w:firstLine="0"/>
            </w:pPr>
            <w:r w:rsidRPr="004D46AC">
              <w:rPr>
                <w:rFonts w:eastAsia="SimSun"/>
                <w:color w:val="000000"/>
              </w:rPr>
              <w:t>M4--M7</w:t>
            </w:r>
          </w:p>
        </w:tc>
        <w:tc>
          <w:tcPr>
            <w:tcW w:w="1098" w:type="dxa"/>
            <w:vAlign w:val="center"/>
          </w:tcPr>
          <w:p w14:paraId="5E645033" w14:textId="77777777" w:rsidR="007075D9" w:rsidRPr="004D46AC" w:rsidRDefault="007075D9" w:rsidP="002C5F6E">
            <w:pPr>
              <w:spacing w:line="240" w:lineRule="auto"/>
              <w:ind w:firstLine="0"/>
            </w:pPr>
            <w:r w:rsidRPr="004D46AC">
              <w:rPr>
                <w:rFonts w:eastAsia="SimSun"/>
                <w:color w:val="000000"/>
              </w:rPr>
              <w:t xml:space="preserve">0.25 </w:t>
            </w:r>
          </w:p>
        </w:tc>
        <w:tc>
          <w:tcPr>
            <w:tcW w:w="2409" w:type="dxa"/>
            <w:vAlign w:val="center"/>
          </w:tcPr>
          <w:p w14:paraId="4965A24C"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5B101B6B" w14:textId="77777777" w:rsidR="007075D9" w:rsidRPr="004D46AC" w:rsidRDefault="007075D9" w:rsidP="002C5F6E">
            <w:pPr>
              <w:spacing w:line="240" w:lineRule="auto"/>
              <w:ind w:firstLine="0"/>
            </w:pPr>
            <w:r w:rsidRPr="004D46AC">
              <w:rPr>
                <w:rFonts w:eastAsia="SimSun"/>
                <w:color w:val="000000"/>
              </w:rPr>
              <w:t xml:space="preserve">0.47 </w:t>
            </w:r>
          </w:p>
        </w:tc>
        <w:tc>
          <w:tcPr>
            <w:tcW w:w="901" w:type="dxa"/>
            <w:vAlign w:val="center"/>
          </w:tcPr>
          <w:p w14:paraId="13F8C199" w14:textId="77777777" w:rsidR="007075D9" w:rsidRPr="004D46AC" w:rsidRDefault="007075D9" w:rsidP="002C5F6E">
            <w:pPr>
              <w:spacing w:line="240" w:lineRule="auto"/>
              <w:ind w:firstLine="0"/>
            </w:pPr>
            <w:r w:rsidRPr="004D46AC">
              <w:rPr>
                <w:rFonts w:eastAsia="SimSun"/>
                <w:color w:val="000000"/>
              </w:rPr>
              <w:t xml:space="preserve">0.06 </w:t>
            </w:r>
          </w:p>
        </w:tc>
      </w:tr>
      <w:tr w:rsidR="007075D9" w:rsidRPr="004D46AC" w14:paraId="66291F1B" w14:textId="77777777" w:rsidTr="00B518F1">
        <w:tc>
          <w:tcPr>
            <w:tcW w:w="1704" w:type="dxa"/>
            <w:vAlign w:val="center"/>
          </w:tcPr>
          <w:p w14:paraId="16652399" w14:textId="77777777" w:rsidR="007075D9" w:rsidRPr="004D46AC" w:rsidRDefault="007075D9" w:rsidP="002C5F6E">
            <w:pPr>
              <w:spacing w:line="240" w:lineRule="auto"/>
              <w:ind w:firstLine="0"/>
            </w:pPr>
            <w:r w:rsidRPr="004D46AC">
              <w:rPr>
                <w:rFonts w:eastAsia="SimSun"/>
                <w:color w:val="000000"/>
              </w:rPr>
              <w:t>M12--P5</w:t>
            </w:r>
          </w:p>
        </w:tc>
        <w:tc>
          <w:tcPr>
            <w:tcW w:w="1098" w:type="dxa"/>
            <w:vAlign w:val="center"/>
          </w:tcPr>
          <w:p w14:paraId="41134F24" w14:textId="77777777" w:rsidR="007075D9" w:rsidRPr="004D46AC" w:rsidRDefault="007075D9" w:rsidP="002C5F6E">
            <w:pPr>
              <w:spacing w:line="240" w:lineRule="auto"/>
              <w:ind w:firstLine="0"/>
            </w:pPr>
            <w:r w:rsidRPr="004D46AC">
              <w:rPr>
                <w:rFonts w:eastAsia="SimSun"/>
                <w:color w:val="000000"/>
              </w:rPr>
              <w:t xml:space="preserve">0.25 </w:t>
            </w:r>
          </w:p>
        </w:tc>
        <w:tc>
          <w:tcPr>
            <w:tcW w:w="2409" w:type="dxa"/>
            <w:vAlign w:val="center"/>
          </w:tcPr>
          <w:p w14:paraId="1CCFF883" w14:textId="77777777" w:rsidR="007075D9" w:rsidRPr="004D46AC" w:rsidRDefault="007075D9" w:rsidP="002C5F6E">
            <w:pPr>
              <w:spacing w:line="240" w:lineRule="auto"/>
              <w:ind w:firstLine="0"/>
            </w:pPr>
            <w:r w:rsidRPr="004D46AC">
              <w:rPr>
                <w:rFonts w:eastAsia="SimSun"/>
                <w:color w:val="000000"/>
              </w:rPr>
              <w:t xml:space="preserve">-0.12 </w:t>
            </w:r>
          </w:p>
        </w:tc>
        <w:tc>
          <w:tcPr>
            <w:tcW w:w="2410" w:type="dxa"/>
            <w:vAlign w:val="center"/>
          </w:tcPr>
          <w:p w14:paraId="717D8AA9" w14:textId="77777777" w:rsidR="007075D9" w:rsidRPr="004D46AC" w:rsidRDefault="007075D9" w:rsidP="002C5F6E">
            <w:pPr>
              <w:spacing w:line="240" w:lineRule="auto"/>
              <w:ind w:firstLine="0"/>
            </w:pPr>
            <w:r w:rsidRPr="004D46AC">
              <w:rPr>
                <w:rFonts w:eastAsia="SimSun"/>
                <w:color w:val="000000"/>
              </w:rPr>
              <w:t xml:space="preserve">0.61 </w:t>
            </w:r>
          </w:p>
        </w:tc>
        <w:tc>
          <w:tcPr>
            <w:tcW w:w="901" w:type="dxa"/>
            <w:vAlign w:val="center"/>
          </w:tcPr>
          <w:p w14:paraId="783D63C3" w14:textId="77777777" w:rsidR="007075D9" w:rsidRPr="004D46AC" w:rsidRDefault="007075D9" w:rsidP="002C5F6E">
            <w:pPr>
              <w:spacing w:line="240" w:lineRule="auto"/>
              <w:ind w:firstLine="0"/>
            </w:pPr>
            <w:r w:rsidRPr="004D46AC">
              <w:rPr>
                <w:rFonts w:eastAsia="SimSun"/>
                <w:color w:val="000000"/>
              </w:rPr>
              <w:t xml:space="preserve">0.28 </w:t>
            </w:r>
          </w:p>
        </w:tc>
      </w:tr>
      <w:tr w:rsidR="007075D9" w:rsidRPr="004D46AC" w14:paraId="76AD4951" w14:textId="77777777" w:rsidTr="00B518F1">
        <w:tc>
          <w:tcPr>
            <w:tcW w:w="1704" w:type="dxa"/>
            <w:vAlign w:val="center"/>
          </w:tcPr>
          <w:p w14:paraId="529B44F8" w14:textId="77777777" w:rsidR="007075D9" w:rsidRPr="004D46AC" w:rsidRDefault="007075D9" w:rsidP="002C5F6E">
            <w:pPr>
              <w:spacing w:line="240" w:lineRule="auto"/>
              <w:ind w:firstLine="0"/>
            </w:pPr>
            <w:r w:rsidRPr="004D46AC">
              <w:rPr>
                <w:rFonts w:eastAsia="SimSun"/>
                <w:color w:val="000000"/>
              </w:rPr>
              <w:t>EI--M4</w:t>
            </w:r>
          </w:p>
        </w:tc>
        <w:tc>
          <w:tcPr>
            <w:tcW w:w="1098" w:type="dxa"/>
            <w:vAlign w:val="center"/>
          </w:tcPr>
          <w:p w14:paraId="29B1C918" w14:textId="77777777" w:rsidR="007075D9" w:rsidRPr="004D46AC" w:rsidRDefault="007075D9" w:rsidP="002C5F6E">
            <w:pPr>
              <w:spacing w:line="240" w:lineRule="auto"/>
              <w:ind w:firstLine="0"/>
            </w:pPr>
            <w:r w:rsidRPr="004D46AC">
              <w:rPr>
                <w:rFonts w:eastAsia="SimSun"/>
                <w:color w:val="000000"/>
              </w:rPr>
              <w:t xml:space="preserve">0.23 </w:t>
            </w:r>
          </w:p>
        </w:tc>
        <w:tc>
          <w:tcPr>
            <w:tcW w:w="2409" w:type="dxa"/>
            <w:vAlign w:val="center"/>
          </w:tcPr>
          <w:p w14:paraId="247C5FE2"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5277237D" w14:textId="77777777" w:rsidR="007075D9" w:rsidRPr="004D46AC" w:rsidRDefault="007075D9" w:rsidP="002C5F6E">
            <w:pPr>
              <w:spacing w:line="240" w:lineRule="auto"/>
              <w:ind w:firstLine="0"/>
            </w:pPr>
            <w:r w:rsidRPr="004D46AC">
              <w:rPr>
                <w:rFonts w:eastAsia="SimSun"/>
                <w:color w:val="000000"/>
              </w:rPr>
              <w:t xml:space="preserve">0.35 </w:t>
            </w:r>
          </w:p>
        </w:tc>
        <w:tc>
          <w:tcPr>
            <w:tcW w:w="901" w:type="dxa"/>
            <w:vAlign w:val="center"/>
          </w:tcPr>
          <w:p w14:paraId="3F9949B4"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51E36A4E" w14:textId="77777777" w:rsidTr="00B518F1">
        <w:tc>
          <w:tcPr>
            <w:tcW w:w="1704" w:type="dxa"/>
            <w:vAlign w:val="center"/>
          </w:tcPr>
          <w:p w14:paraId="70E29AD7" w14:textId="77777777" w:rsidR="007075D9" w:rsidRPr="004D46AC" w:rsidRDefault="007075D9" w:rsidP="002C5F6E">
            <w:pPr>
              <w:spacing w:line="240" w:lineRule="auto"/>
              <w:ind w:firstLine="0"/>
            </w:pPr>
            <w:r w:rsidRPr="004D46AC">
              <w:rPr>
                <w:rFonts w:eastAsia="SimSun"/>
                <w:color w:val="000000"/>
              </w:rPr>
              <w:t>M2--M6</w:t>
            </w:r>
          </w:p>
        </w:tc>
        <w:tc>
          <w:tcPr>
            <w:tcW w:w="1098" w:type="dxa"/>
            <w:vAlign w:val="center"/>
          </w:tcPr>
          <w:p w14:paraId="405B1208" w14:textId="77777777" w:rsidR="007075D9" w:rsidRPr="004D46AC" w:rsidRDefault="007075D9" w:rsidP="002C5F6E">
            <w:pPr>
              <w:spacing w:line="240" w:lineRule="auto"/>
              <w:ind w:firstLine="0"/>
            </w:pPr>
            <w:r w:rsidRPr="004D46AC">
              <w:rPr>
                <w:rFonts w:eastAsia="SimSun"/>
                <w:color w:val="000000"/>
              </w:rPr>
              <w:t xml:space="preserve">0.22 </w:t>
            </w:r>
          </w:p>
        </w:tc>
        <w:tc>
          <w:tcPr>
            <w:tcW w:w="2409" w:type="dxa"/>
            <w:vAlign w:val="center"/>
          </w:tcPr>
          <w:p w14:paraId="00CF945A"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367AF333" w14:textId="77777777" w:rsidR="007075D9" w:rsidRPr="004D46AC" w:rsidRDefault="007075D9" w:rsidP="002C5F6E">
            <w:pPr>
              <w:spacing w:line="240" w:lineRule="auto"/>
              <w:ind w:firstLine="0"/>
            </w:pPr>
            <w:r w:rsidRPr="004D46AC">
              <w:rPr>
                <w:rFonts w:eastAsia="SimSun"/>
                <w:color w:val="000000"/>
              </w:rPr>
              <w:t xml:space="preserve">0.42 </w:t>
            </w:r>
          </w:p>
        </w:tc>
        <w:tc>
          <w:tcPr>
            <w:tcW w:w="901" w:type="dxa"/>
            <w:vAlign w:val="center"/>
          </w:tcPr>
          <w:p w14:paraId="25D0AF57"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795EA05A" w14:textId="77777777" w:rsidTr="00B518F1">
        <w:tc>
          <w:tcPr>
            <w:tcW w:w="1704" w:type="dxa"/>
            <w:vAlign w:val="center"/>
          </w:tcPr>
          <w:p w14:paraId="1C721A0A" w14:textId="77777777" w:rsidR="007075D9" w:rsidRPr="004D46AC" w:rsidRDefault="007075D9" w:rsidP="002C5F6E">
            <w:pPr>
              <w:spacing w:line="240" w:lineRule="auto"/>
              <w:ind w:firstLine="0"/>
            </w:pPr>
            <w:r w:rsidRPr="004D46AC">
              <w:rPr>
                <w:rFonts w:eastAsia="SimSun"/>
                <w:color w:val="000000"/>
              </w:rPr>
              <w:t>M2--M13</w:t>
            </w:r>
          </w:p>
        </w:tc>
        <w:tc>
          <w:tcPr>
            <w:tcW w:w="1098" w:type="dxa"/>
            <w:vAlign w:val="center"/>
          </w:tcPr>
          <w:p w14:paraId="605DB418" w14:textId="77777777" w:rsidR="007075D9" w:rsidRPr="004D46AC" w:rsidRDefault="007075D9" w:rsidP="002C5F6E">
            <w:pPr>
              <w:spacing w:line="240" w:lineRule="auto"/>
              <w:ind w:firstLine="0"/>
            </w:pPr>
            <w:r w:rsidRPr="004D46AC">
              <w:rPr>
                <w:rFonts w:eastAsia="SimSun"/>
                <w:color w:val="000000"/>
              </w:rPr>
              <w:t xml:space="preserve">0.22 </w:t>
            </w:r>
          </w:p>
        </w:tc>
        <w:tc>
          <w:tcPr>
            <w:tcW w:w="2409" w:type="dxa"/>
            <w:vAlign w:val="center"/>
          </w:tcPr>
          <w:p w14:paraId="05D2DAFB" w14:textId="77777777" w:rsidR="007075D9" w:rsidRPr="004D46AC" w:rsidRDefault="007075D9" w:rsidP="002C5F6E">
            <w:pPr>
              <w:spacing w:line="240" w:lineRule="auto"/>
              <w:ind w:firstLine="0"/>
            </w:pPr>
            <w:r w:rsidRPr="004D46AC">
              <w:rPr>
                <w:rFonts w:eastAsia="SimSun"/>
                <w:color w:val="000000"/>
              </w:rPr>
              <w:t xml:space="preserve">-0.14 </w:t>
            </w:r>
          </w:p>
        </w:tc>
        <w:tc>
          <w:tcPr>
            <w:tcW w:w="2410" w:type="dxa"/>
            <w:vAlign w:val="center"/>
          </w:tcPr>
          <w:p w14:paraId="052795FF" w14:textId="77777777" w:rsidR="007075D9" w:rsidRPr="004D46AC" w:rsidRDefault="007075D9" w:rsidP="002C5F6E">
            <w:pPr>
              <w:spacing w:line="240" w:lineRule="auto"/>
              <w:ind w:firstLine="0"/>
            </w:pPr>
            <w:r w:rsidRPr="004D46AC">
              <w:rPr>
                <w:rFonts w:eastAsia="SimSun"/>
                <w:color w:val="000000"/>
              </w:rPr>
              <w:t xml:space="preserve">0.58 </w:t>
            </w:r>
          </w:p>
        </w:tc>
        <w:tc>
          <w:tcPr>
            <w:tcW w:w="901" w:type="dxa"/>
            <w:vAlign w:val="center"/>
          </w:tcPr>
          <w:p w14:paraId="5AB1FDB3" w14:textId="77777777" w:rsidR="007075D9" w:rsidRPr="004D46AC" w:rsidRDefault="007075D9" w:rsidP="002C5F6E">
            <w:pPr>
              <w:spacing w:line="240" w:lineRule="auto"/>
              <w:ind w:firstLine="0"/>
            </w:pPr>
            <w:r w:rsidRPr="004D46AC">
              <w:rPr>
                <w:rFonts w:eastAsia="SimSun"/>
                <w:color w:val="000000"/>
              </w:rPr>
              <w:t xml:space="preserve">0.19 </w:t>
            </w:r>
          </w:p>
        </w:tc>
      </w:tr>
      <w:tr w:rsidR="007075D9" w:rsidRPr="004D46AC" w14:paraId="5D51A311" w14:textId="77777777" w:rsidTr="00B518F1">
        <w:tc>
          <w:tcPr>
            <w:tcW w:w="1704" w:type="dxa"/>
            <w:vAlign w:val="center"/>
          </w:tcPr>
          <w:p w14:paraId="3E3AA537" w14:textId="77777777" w:rsidR="007075D9" w:rsidRPr="004D46AC" w:rsidRDefault="007075D9" w:rsidP="002C5F6E">
            <w:pPr>
              <w:spacing w:line="240" w:lineRule="auto"/>
              <w:ind w:firstLine="0"/>
            </w:pPr>
            <w:r w:rsidRPr="004D46AC">
              <w:rPr>
                <w:rFonts w:eastAsia="SimSun"/>
                <w:color w:val="000000"/>
              </w:rPr>
              <w:t>PS--M6</w:t>
            </w:r>
          </w:p>
        </w:tc>
        <w:tc>
          <w:tcPr>
            <w:tcW w:w="1098" w:type="dxa"/>
            <w:vAlign w:val="center"/>
          </w:tcPr>
          <w:p w14:paraId="6AE10705" w14:textId="77777777" w:rsidR="007075D9" w:rsidRPr="004D46AC" w:rsidRDefault="007075D9" w:rsidP="002C5F6E">
            <w:pPr>
              <w:spacing w:line="240" w:lineRule="auto"/>
              <w:ind w:firstLine="0"/>
            </w:pPr>
            <w:r w:rsidRPr="004D46AC">
              <w:rPr>
                <w:rFonts w:eastAsia="SimSun"/>
                <w:color w:val="000000"/>
              </w:rPr>
              <w:t xml:space="preserve">0.21 </w:t>
            </w:r>
          </w:p>
        </w:tc>
        <w:tc>
          <w:tcPr>
            <w:tcW w:w="2409" w:type="dxa"/>
            <w:vAlign w:val="center"/>
          </w:tcPr>
          <w:p w14:paraId="55D73510"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3C1B9688" w14:textId="77777777" w:rsidR="007075D9" w:rsidRPr="004D46AC" w:rsidRDefault="007075D9" w:rsidP="002C5F6E">
            <w:pPr>
              <w:spacing w:line="240" w:lineRule="auto"/>
              <w:ind w:firstLine="0"/>
            </w:pPr>
            <w:r w:rsidRPr="004D46AC">
              <w:rPr>
                <w:rFonts w:eastAsia="SimSun"/>
                <w:color w:val="000000"/>
              </w:rPr>
              <w:t xml:space="preserve">0.33 </w:t>
            </w:r>
          </w:p>
        </w:tc>
        <w:tc>
          <w:tcPr>
            <w:tcW w:w="901" w:type="dxa"/>
            <w:vAlign w:val="center"/>
          </w:tcPr>
          <w:p w14:paraId="096AB295"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2CE8B26B" w14:textId="77777777" w:rsidTr="00B518F1">
        <w:tc>
          <w:tcPr>
            <w:tcW w:w="1704" w:type="dxa"/>
            <w:vAlign w:val="center"/>
          </w:tcPr>
          <w:p w14:paraId="1FE9B212" w14:textId="77777777" w:rsidR="007075D9" w:rsidRPr="004D46AC" w:rsidRDefault="007075D9" w:rsidP="002C5F6E">
            <w:pPr>
              <w:spacing w:line="240" w:lineRule="auto"/>
              <w:ind w:firstLine="0"/>
            </w:pPr>
            <w:r w:rsidRPr="004D46AC">
              <w:rPr>
                <w:rFonts w:eastAsia="SimSun"/>
                <w:color w:val="000000"/>
              </w:rPr>
              <w:t>M3--M12</w:t>
            </w:r>
          </w:p>
        </w:tc>
        <w:tc>
          <w:tcPr>
            <w:tcW w:w="1098" w:type="dxa"/>
            <w:vAlign w:val="center"/>
          </w:tcPr>
          <w:p w14:paraId="63612FC8" w14:textId="77777777" w:rsidR="007075D9" w:rsidRPr="004D46AC" w:rsidRDefault="007075D9" w:rsidP="002C5F6E">
            <w:pPr>
              <w:spacing w:line="240" w:lineRule="auto"/>
              <w:ind w:firstLine="0"/>
            </w:pPr>
            <w:r w:rsidRPr="004D46AC">
              <w:rPr>
                <w:rFonts w:eastAsia="SimSun"/>
                <w:color w:val="000000"/>
              </w:rPr>
              <w:t xml:space="preserve">0.21 </w:t>
            </w:r>
          </w:p>
        </w:tc>
        <w:tc>
          <w:tcPr>
            <w:tcW w:w="2409" w:type="dxa"/>
            <w:vAlign w:val="center"/>
          </w:tcPr>
          <w:p w14:paraId="2273044B"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317875A8" w14:textId="77777777" w:rsidR="007075D9" w:rsidRPr="004D46AC" w:rsidRDefault="007075D9" w:rsidP="002C5F6E">
            <w:pPr>
              <w:spacing w:line="240" w:lineRule="auto"/>
              <w:ind w:firstLine="0"/>
            </w:pPr>
            <w:r w:rsidRPr="004D46AC">
              <w:rPr>
                <w:rFonts w:eastAsia="SimSun"/>
                <w:color w:val="000000"/>
              </w:rPr>
              <w:t xml:space="preserve">0.55 </w:t>
            </w:r>
          </w:p>
        </w:tc>
        <w:tc>
          <w:tcPr>
            <w:tcW w:w="901" w:type="dxa"/>
            <w:vAlign w:val="center"/>
          </w:tcPr>
          <w:p w14:paraId="754681A6" w14:textId="77777777" w:rsidR="007075D9" w:rsidRPr="004D46AC" w:rsidRDefault="007075D9" w:rsidP="002C5F6E">
            <w:pPr>
              <w:spacing w:line="240" w:lineRule="auto"/>
              <w:ind w:firstLine="0"/>
            </w:pPr>
            <w:r w:rsidRPr="004D46AC">
              <w:rPr>
                <w:rFonts w:eastAsia="SimSun"/>
                <w:color w:val="000000"/>
              </w:rPr>
              <w:t xml:space="preserve">0.27 </w:t>
            </w:r>
          </w:p>
        </w:tc>
      </w:tr>
      <w:tr w:rsidR="007075D9" w:rsidRPr="004D46AC" w14:paraId="5C10F664" w14:textId="77777777" w:rsidTr="00B518F1">
        <w:tc>
          <w:tcPr>
            <w:tcW w:w="1704" w:type="dxa"/>
            <w:vAlign w:val="center"/>
          </w:tcPr>
          <w:p w14:paraId="7611891C" w14:textId="77777777" w:rsidR="007075D9" w:rsidRPr="004D46AC" w:rsidRDefault="007075D9" w:rsidP="002C5F6E">
            <w:pPr>
              <w:spacing w:line="240" w:lineRule="auto"/>
              <w:ind w:firstLine="0"/>
            </w:pPr>
            <w:r w:rsidRPr="004D46AC">
              <w:rPr>
                <w:rFonts w:eastAsia="SimSun"/>
                <w:color w:val="000000"/>
              </w:rPr>
              <w:t>D8--P2</w:t>
            </w:r>
          </w:p>
        </w:tc>
        <w:tc>
          <w:tcPr>
            <w:tcW w:w="1098" w:type="dxa"/>
            <w:vAlign w:val="center"/>
          </w:tcPr>
          <w:p w14:paraId="19C5FA00" w14:textId="77777777" w:rsidR="007075D9" w:rsidRPr="004D46AC" w:rsidRDefault="007075D9" w:rsidP="002C5F6E">
            <w:pPr>
              <w:spacing w:line="240" w:lineRule="auto"/>
              <w:ind w:firstLine="0"/>
            </w:pPr>
            <w:r w:rsidRPr="004D46AC">
              <w:rPr>
                <w:rFonts w:eastAsia="SimSun"/>
                <w:color w:val="000000"/>
              </w:rPr>
              <w:t xml:space="preserve">0.20 </w:t>
            </w:r>
          </w:p>
        </w:tc>
        <w:tc>
          <w:tcPr>
            <w:tcW w:w="2409" w:type="dxa"/>
            <w:vAlign w:val="center"/>
          </w:tcPr>
          <w:p w14:paraId="5B148B2B"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3E2BE12A" w14:textId="77777777" w:rsidR="007075D9" w:rsidRPr="004D46AC" w:rsidRDefault="007075D9" w:rsidP="002C5F6E">
            <w:pPr>
              <w:spacing w:line="240" w:lineRule="auto"/>
              <w:ind w:firstLine="0"/>
            </w:pPr>
            <w:r w:rsidRPr="004D46AC">
              <w:rPr>
                <w:rFonts w:eastAsia="SimSun"/>
                <w:color w:val="000000"/>
              </w:rPr>
              <w:t xml:space="preserve">0.50 </w:t>
            </w:r>
          </w:p>
        </w:tc>
        <w:tc>
          <w:tcPr>
            <w:tcW w:w="901" w:type="dxa"/>
            <w:vAlign w:val="center"/>
          </w:tcPr>
          <w:p w14:paraId="3469DB5B" w14:textId="77777777" w:rsidR="007075D9" w:rsidRPr="004D46AC" w:rsidRDefault="007075D9" w:rsidP="002C5F6E">
            <w:pPr>
              <w:spacing w:line="240" w:lineRule="auto"/>
              <w:ind w:firstLine="0"/>
            </w:pPr>
            <w:r w:rsidRPr="004D46AC">
              <w:rPr>
                <w:rFonts w:eastAsia="SimSun"/>
                <w:color w:val="000000"/>
              </w:rPr>
              <w:t xml:space="preserve">0.28 </w:t>
            </w:r>
          </w:p>
        </w:tc>
      </w:tr>
      <w:tr w:rsidR="007075D9" w:rsidRPr="004D46AC" w14:paraId="6BA90F44" w14:textId="77777777" w:rsidTr="00B518F1">
        <w:tc>
          <w:tcPr>
            <w:tcW w:w="1704" w:type="dxa"/>
            <w:vAlign w:val="center"/>
          </w:tcPr>
          <w:p w14:paraId="11C94D59" w14:textId="77777777" w:rsidR="007075D9" w:rsidRPr="004D46AC" w:rsidRDefault="007075D9" w:rsidP="002C5F6E">
            <w:pPr>
              <w:spacing w:line="240" w:lineRule="auto"/>
              <w:ind w:firstLine="0"/>
            </w:pPr>
            <w:r w:rsidRPr="004D46AC">
              <w:rPr>
                <w:rFonts w:eastAsia="SimSun"/>
                <w:color w:val="000000"/>
              </w:rPr>
              <w:t>M3--P5</w:t>
            </w:r>
          </w:p>
        </w:tc>
        <w:tc>
          <w:tcPr>
            <w:tcW w:w="1098" w:type="dxa"/>
            <w:vAlign w:val="center"/>
          </w:tcPr>
          <w:p w14:paraId="72A8FBD6" w14:textId="77777777" w:rsidR="007075D9" w:rsidRPr="004D46AC" w:rsidRDefault="007075D9" w:rsidP="002C5F6E">
            <w:pPr>
              <w:spacing w:line="240" w:lineRule="auto"/>
              <w:ind w:firstLine="0"/>
            </w:pPr>
            <w:r w:rsidRPr="004D46AC">
              <w:rPr>
                <w:rFonts w:eastAsia="SimSun"/>
                <w:color w:val="000000"/>
              </w:rPr>
              <w:t xml:space="preserve">0.20 </w:t>
            </w:r>
          </w:p>
        </w:tc>
        <w:tc>
          <w:tcPr>
            <w:tcW w:w="2409" w:type="dxa"/>
            <w:vAlign w:val="center"/>
          </w:tcPr>
          <w:p w14:paraId="57D23CE6"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37771CA5" w14:textId="77777777" w:rsidR="007075D9" w:rsidRPr="004D46AC" w:rsidRDefault="007075D9" w:rsidP="002C5F6E">
            <w:pPr>
              <w:spacing w:line="240" w:lineRule="auto"/>
              <w:ind w:firstLine="0"/>
            </w:pPr>
            <w:r w:rsidRPr="004D46AC">
              <w:rPr>
                <w:rFonts w:eastAsia="SimSun"/>
                <w:color w:val="000000"/>
              </w:rPr>
              <w:t xml:space="preserve">0.53 </w:t>
            </w:r>
          </w:p>
        </w:tc>
        <w:tc>
          <w:tcPr>
            <w:tcW w:w="901" w:type="dxa"/>
            <w:vAlign w:val="center"/>
          </w:tcPr>
          <w:p w14:paraId="6F92BEA7" w14:textId="77777777" w:rsidR="007075D9" w:rsidRPr="004D46AC" w:rsidRDefault="007075D9" w:rsidP="002C5F6E">
            <w:pPr>
              <w:spacing w:line="240" w:lineRule="auto"/>
              <w:ind w:firstLine="0"/>
            </w:pPr>
            <w:r w:rsidRPr="004D46AC">
              <w:rPr>
                <w:rFonts w:eastAsia="SimSun"/>
                <w:color w:val="000000"/>
              </w:rPr>
              <w:t xml:space="preserve">0.35 </w:t>
            </w:r>
          </w:p>
        </w:tc>
      </w:tr>
      <w:tr w:rsidR="007075D9" w:rsidRPr="004D46AC" w14:paraId="1F44993E" w14:textId="77777777" w:rsidTr="00B518F1">
        <w:tc>
          <w:tcPr>
            <w:tcW w:w="1704" w:type="dxa"/>
            <w:vAlign w:val="center"/>
          </w:tcPr>
          <w:p w14:paraId="4FBB949F" w14:textId="77777777" w:rsidR="007075D9" w:rsidRPr="004D46AC" w:rsidRDefault="007075D9" w:rsidP="002C5F6E">
            <w:pPr>
              <w:spacing w:line="240" w:lineRule="auto"/>
              <w:ind w:firstLine="0"/>
            </w:pPr>
            <w:r w:rsidRPr="004D46AC">
              <w:rPr>
                <w:rFonts w:eastAsia="SimSun"/>
                <w:color w:val="000000"/>
              </w:rPr>
              <w:t>M5--M13</w:t>
            </w:r>
          </w:p>
        </w:tc>
        <w:tc>
          <w:tcPr>
            <w:tcW w:w="1098" w:type="dxa"/>
            <w:vAlign w:val="center"/>
          </w:tcPr>
          <w:p w14:paraId="6A416769" w14:textId="77777777" w:rsidR="007075D9" w:rsidRPr="004D46AC" w:rsidRDefault="007075D9" w:rsidP="002C5F6E">
            <w:pPr>
              <w:spacing w:line="240" w:lineRule="auto"/>
              <w:ind w:firstLine="0"/>
            </w:pPr>
            <w:r w:rsidRPr="004D46AC">
              <w:rPr>
                <w:rFonts w:eastAsia="SimSun"/>
                <w:color w:val="000000"/>
              </w:rPr>
              <w:t xml:space="preserve">0.20 </w:t>
            </w:r>
          </w:p>
        </w:tc>
        <w:tc>
          <w:tcPr>
            <w:tcW w:w="2409" w:type="dxa"/>
            <w:vAlign w:val="center"/>
          </w:tcPr>
          <w:p w14:paraId="6A290434" w14:textId="77777777" w:rsidR="007075D9" w:rsidRPr="004D46AC" w:rsidRDefault="007075D9" w:rsidP="002C5F6E">
            <w:pPr>
              <w:spacing w:line="240" w:lineRule="auto"/>
              <w:ind w:firstLine="0"/>
            </w:pPr>
            <w:r w:rsidRPr="004D46AC">
              <w:rPr>
                <w:rFonts w:eastAsia="SimSun"/>
                <w:color w:val="000000"/>
              </w:rPr>
              <w:t xml:space="preserve">-0.19 </w:t>
            </w:r>
          </w:p>
        </w:tc>
        <w:tc>
          <w:tcPr>
            <w:tcW w:w="2410" w:type="dxa"/>
            <w:vAlign w:val="center"/>
          </w:tcPr>
          <w:p w14:paraId="42932FA8" w14:textId="77777777" w:rsidR="007075D9" w:rsidRPr="004D46AC" w:rsidRDefault="007075D9" w:rsidP="002C5F6E">
            <w:pPr>
              <w:spacing w:line="240" w:lineRule="auto"/>
              <w:ind w:firstLine="0"/>
            </w:pPr>
            <w:r w:rsidRPr="004D46AC">
              <w:rPr>
                <w:rFonts w:eastAsia="SimSun"/>
                <w:color w:val="000000"/>
              </w:rPr>
              <w:t xml:space="preserve">0.59 </w:t>
            </w:r>
          </w:p>
        </w:tc>
        <w:tc>
          <w:tcPr>
            <w:tcW w:w="901" w:type="dxa"/>
            <w:vAlign w:val="center"/>
          </w:tcPr>
          <w:p w14:paraId="23982809" w14:textId="77777777" w:rsidR="007075D9" w:rsidRPr="004D46AC" w:rsidRDefault="007075D9" w:rsidP="002C5F6E">
            <w:pPr>
              <w:spacing w:line="240" w:lineRule="auto"/>
              <w:ind w:firstLine="0"/>
            </w:pPr>
            <w:r w:rsidRPr="004D46AC">
              <w:rPr>
                <w:rFonts w:eastAsia="SimSun"/>
                <w:color w:val="000000"/>
              </w:rPr>
              <w:t xml:space="preserve">0.37 </w:t>
            </w:r>
          </w:p>
        </w:tc>
      </w:tr>
      <w:tr w:rsidR="007075D9" w:rsidRPr="004D46AC" w14:paraId="4678C82A" w14:textId="77777777" w:rsidTr="00B518F1">
        <w:tc>
          <w:tcPr>
            <w:tcW w:w="1704" w:type="dxa"/>
            <w:vAlign w:val="center"/>
          </w:tcPr>
          <w:p w14:paraId="25B7AD4D" w14:textId="77777777" w:rsidR="007075D9" w:rsidRPr="004D46AC" w:rsidRDefault="007075D9" w:rsidP="002C5F6E">
            <w:pPr>
              <w:spacing w:line="240" w:lineRule="auto"/>
              <w:ind w:firstLine="0"/>
            </w:pPr>
            <w:r w:rsidRPr="004D46AC">
              <w:rPr>
                <w:rFonts w:eastAsia="SimSun"/>
                <w:color w:val="000000"/>
              </w:rPr>
              <w:t>M1--M11</w:t>
            </w:r>
          </w:p>
        </w:tc>
        <w:tc>
          <w:tcPr>
            <w:tcW w:w="1098" w:type="dxa"/>
            <w:vAlign w:val="center"/>
          </w:tcPr>
          <w:p w14:paraId="12802B48" w14:textId="77777777" w:rsidR="007075D9" w:rsidRPr="004D46AC" w:rsidRDefault="007075D9" w:rsidP="002C5F6E">
            <w:pPr>
              <w:spacing w:line="240" w:lineRule="auto"/>
              <w:ind w:firstLine="0"/>
            </w:pPr>
            <w:r w:rsidRPr="004D46AC">
              <w:rPr>
                <w:rFonts w:eastAsia="SimSun"/>
                <w:color w:val="000000"/>
              </w:rPr>
              <w:t xml:space="preserve">0.19 </w:t>
            </w:r>
          </w:p>
        </w:tc>
        <w:tc>
          <w:tcPr>
            <w:tcW w:w="2409" w:type="dxa"/>
            <w:vAlign w:val="center"/>
          </w:tcPr>
          <w:p w14:paraId="5A09277F"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2C3D11C6" w14:textId="77777777" w:rsidR="007075D9" w:rsidRPr="004D46AC" w:rsidRDefault="007075D9" w:rsidP="002C5F6E">
            <w:pPr>
              <w:spacing w:line="240" w:lineRule="auto"/>
              <w:ind w:firstLine="0"/>
            </w:pPr>
            <w:r w:rsidRPr="004D46AC">
              <w:rPr>
                <w:rFonts w:eastAsia="SimSun"/>
                <w:color w:val="000000"/>
              </w:rPr>
              <w:t xml:space="preserve">0.48 </w:t>
            </w:r>
          </w:p>
        </w:tc>
        <w:tc>
          <w:tcPr>
            <w:tcW w:w="901" w:type="dxa"/>
            <w:vAlign w:val="center"/>
          </w:tcPr>
          <w:p w14:paraId="3DDF9C37" w14:textId="77777777" w:rsidR="007075D9" w:rsidRPr="004D46AC" w:rsidRDefault="007075D9" w:rsidP="002C5F6E">
            <w:pPr>
              <w:spacing w:line="240" w:lineRule="auto"/>
              <w:ind w:firstLine="0"/>
            </w:pPr>
            <w:r w:rsidRPr="004D46AC">
              <w:rPr>
                <w:rFonts w:eastAsia="SimSun"/>
                <w:color w:val="000000"/>
              </w:rPr>
              <w:t xml:space="preserve">0.26 </w:t>
            </w:r>
          </w:p>
        </w:tc>
      </w:tr>
      <w:tr w:rsidR="007075D9" w:rsidRPr="004D46AC" w14:paraId="26F86D00" w14:textId="77777777" w:rsidTr="00B518F1">
        <w:tc>
          <w:tcPr>
            <w:tcW w:w="1704" w:type="dxa"/>
            <w:vAlign w:val="center"/>
          </w:tcPr>
          <w:p w14:paraId="22A3D976" w14:textId="77777777" w:rsidR="007075D9" w:rsidRPr="004D46AC" w:rsidRDefault="007075D9" w:rsidP="002C5F6E">
            <w:pPr>
              <w:spacing w:line="240" w:lineRule="auto"/>
              <w:ind w:firstLine="0"/>
            </w:pPr>
            <w:r w:rsidRPr="004D46AC">
              <w:rPr>
                <w:rFonts w:eastAsia="SimSun"/>
                <w:color w:val="000000"/>
              </w:rPr>
              <w:t>M2--M11</w:t>
            </w:r>
          </w:p>
        </w:tc>
        <w:tc>
          <w:tcPr>
            <w:tcW w:w="1098" w:type="dxa"/>
            <w:vAlign w:val="center"/>
          </w:tcPr>
          <w:p w14:paraId="02DA546B" w14:textId="77777777" w:rsidR="007075D9" w:rsidRPr="004D46AC" w:rsidRDefault="007075D9" w:rsidP="002C5F6E">
            <w:pPr>
              <w:spacing w:line="240" w:lineRule="auto"/>
              <w:ind w:firstLine="0"/>
            </w:pPr>
            <w:r w:rsidRPr="004D46AC">
              <w:rPr>
                <w:rFonts w:eastAsia="SimSun"/>
                <w:color w:val="000000"/>
              </w:rPr>
              <w:t xml:space="preserve">0.18 </w:t>
            </w:r>
          </w:p>
        </w:tc>
        <w:tc>
          <w:tcPr>
            <w:tcW w:w="2409" w:type="dxa"/>
            <w:vAlign w:val="center"/>
          </w:tcPr>
          <w:p w14:paraId="0CE54A77"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5366768C" w14:textId="77777777" w:rsidR="007075D9" w:rsidRPr="004D46AC" w:rsidRDefault="007075D9" w:rsidP="002C5F6E">
            <w:pPr>
              <w:spacing w:line="240" w:lineRule="auto"/>
              <w:ind w:firstLine="0"/>
            </w:pPr>
            <w:r w:rsidRPr="004D46AC">
              <w:rPr>
                <w:rFonts w:eastAsia="SimSun"/>
                <w:color w:val="000000"/>
              </w:rPr>
              <w:t xml:space="preserve">0.40 </w:t>
            </w:r>
          </w:p>
        </w:tc>
        <w:tc>
          <w:tcPr>
            <w:tcW w:w="901" w:type="dxa"/>
            <w:vAlign w:val="center"/>
          </w:tcPr>
          <w:p w14:paraId="1CDEB5FD" w14:textId="77777777" w:rsidR="007075D9" w:rsidRPr="004D46AC" w:rsidRDefault="007075D9" w:rsidP="002C5F6E">
            <w:pPr>
              <w:spacing w:line="240" w:lineRule="auto"/>
              <w:ind w:firstLine="0"/>
            </w:pPr>
            <w:r w:rsidRPr="004D46AC">
              <w:rPr>
                <w:rFonts w:eastAsia="SimSun"/>
                <w:color w:val="000000"/>
              </w:rPr>
              <w:t xml:space="preserve">0.15 </w:t>
            </w:r>
          </w:p>
        </w:tc>
      </w:tr>
      <w:tr w:rsidR="007075D9" w:rsidRPr="004D46AC" w14:paraId="75020E08" w14:textId="77777777" w:rsidTr="00B518F1">
        <w:tc>
          <w:tcPr>
            <w:tcW w:w="1704" w:type="dxa"/>
            <w:vAlign w:val="center"/>
          </w:tcPr>
          <w:p w14:paraId="237A546C" w14:textId="77777777" w:rsidR="007075D9" w:rsidRPr="004D46AC" w:rsidRDefault="007075D9" w:rsidP="002C5F6E">
            <w:pPr>
              <w:spacing w:line="240" w:lineRule="auto"/>
              <w:ind w:firstLine="0"/>
            </w:pPr>
            <w:r w:rsidRPr="004D46AC">
              <w:rPr>
                <w:rFonts w:eastAsia="SimSun"/>
                <w:color w:val="000000"/>
              </w:rPr>
              <w:t>D6--D9</w:t>
            </w:r>
          </w:p>
        </w:tc>
        <w:tc>
          <w:tcPr>
            <w:tcW w:w="1098" w:type="dxa"/>
            <w:vAlign w:val="center"/>
          </w:tcPr>
          <w:p w14:paraId="27056849" w14:textId="77777777" w:rsidR="007075D9" w:rsidRPr="004D46AC" w:rsidRDefault="007075D9" w:rsidP="002C5F6E">
            <w:pPr>
              <w:spacing w:line="240" w:lineRule="auto"/>
              <w:ind w:firstLine="0"/>
            </w:pPr>
            <w:r w:rsidRPr="004D46AC">
              <w:rPr>
                <w:rFonts w:eastAsia="SimSun"/>
                <w:color w:val="000000"/>
              </w:rPr>
              <w:t xml:space="preserve">0.18 </w:t>
            </w:r>
          </w:p>
        </w:tc>
        <w:tc>
          <w:tcPr>
            <w:tcW w:w="2409" w:type="dxa"/>
            <w:vAlign w:val="center"/>
          </w:tcPr>
          <w:p w14:paraId="157E8313"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31773F7A" w14:textId="77777777" w:rsidR="007075D9" w:rsidRPr="004D46AC" w:rsidRDefault="007075D9" w:rsidP="002C5F6E">
            <w:pPr>
              <w:spacing w:line="240" w:lineRule="auto"/>
              <w:ind w:firstLine="0"/>
            </w:pPr>
            <w:r w:rsidRPr="004D46AC">
              <w:rPr>
                <w:rFonts w:eastAsia="SimSun"/>
                <w:color w:val="000000"/>
              </w:rPr>
              <w:t xml:space="preserve">0.27 </w:t>
            </w:r>
          </w:p>
        </w:tc>
        <w:tc>
          <w:tcPr>
            <w:tcW w:w="901" w:type="dxa"/>
            <w:vAlign w:val="center"/>
          </w:tcPr>
          <w:p w14:paraId="46CB016A"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558CA22F" w14:textId="77777777" w:rsidTr="00B518F1">
        <w:tc>
          <w:tcPr>
            <w:tcW w:w="1704" w:type="dxa"/>
            <w:vAlign w:val="center"/>
          </w:tcPr>
          <w:p w14:paraId="6AE13088" w14:textId="77777777" w:rsidR="007075D9" w:rsidRPr="004D46AC" w:rsidRDefault="007075D9" w:rsidP="002C5F6E">
            <w:pPr>
              <w:spacing w:line="240" w:lineRule="auto"/>
              <w:ind w:firstLine="0"/>
            </w:pPr>
            <w:r w:rsidRPr="004D46AC">
              <w:rPr>
                <w:rFonts w:eastAsia="SimSun"/>
                <w:color w:val="000000"/>
              </w:rPr>
              <w:t>D1--D7</w:t>
            </w:r>
          </w:p>
        </w:tc>
        <w:tc>
          <w:tcPr>
            <w:tcW w:w="1098" w:type="dxa"/>
            <w:vAlign w:val="center"/>
          </w:tcPr>
          <w:p w14:paraId="5C0FB356" w14:textId="77777777" w:rsidR="007075D9" w:rsidRPr="004D46AC" w:rsidRDefault="007075D9" w:rsidP="002C5F6E">
            <w:pPr>
              <w:spacing w:line="240" w:lineRule="auto"/>
              <w:ind w:firstLine="0"/>
            </w:pPr>
            <w:r w:rsidRPr="004D46AC">
              <w:rPr>
                <w:rFonts w:eastAsia="SimSun"/>
                <w:color w:val="000000"/>
              </w:rPr>
              <w:t xml:space="preserve">0.18 </w:t>
            </w:r>
          </w:p>
        </w:tc>
        <w:tc>
          <w:tcPr>
            <w:tcW w:w="2409" w:type="dxa"/>
            <w:vAlign w:val="center"/>
          </w:tcPr>
          <w:p w14:paraId="615FD3AA"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34481067" w14:textId="77777777" w:rsidR="007075D9" w:rsidRPr="004D46AC" w:rsidRDefault="007075D9" w:rsidP="002C5F6E">
            <w:pPr>
              <w:spacing w:line="240" w:lineRule="auto"/>
              <w:ind w:firstLine="0"/>
            </w:pPr>
            <w:r w:rsidRPr="004D46AC">
              <w:rPr>
                <w:rFonts w:eastAsia="SimSun"/>
                <w:color w:val="000000"/>
              </w:rPr>
              <w:t xml:space="preserve">0.25 </w:t>
            </w:r>
          </w:p>
        </w:tc>
        <w:tc>
          <w:tcPr>
            <w:tcW w:w="901" w:type="dxa"/>
            <w:vAlign w:val="center"/>
          </w:tcPr>
          <w:p w14:paraId="4BAA0B9F"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628AADD0" w14:textId="77777777" w:rsidTr="00B518F1">
        <w:tc>
          <w:tcPr>
            <w:tcW w:w="1704" w:type="dxa"/>
            <w:vAlign w:val="center"/>
          </w:tcPr>
          <w:p w14:paraId="0F36D399" w14:textId="77777777" w:rsidR="007075D9" w:rsidRPr="004D46AC" w:rsidRDefault="007075D9" w:rsidP="002C5F6E">
            <w:pPr>
              <w:spacing w:line="240" w:lineRule="auto"/>
              <w:ind w:firstLine="0"/>
            </w:pPr>
            <w:r w:rsidRPr="004D46AC">
              <w:rPr>
                <w:rFonts w:eastAsia="SimSun"/>
                <w:color w:val="000000"/>
              </w:rPr>
              <w:lastRenderedPageBreak/>
              <w:t>EI--M12</w:t>
            </w:r>
          </w:p>
        </w:tc>
        <w:tc>
          <w:tcPr>
            <w:tcW w:w="1098" w:type="dxa"/>
            <w:vAlign w:val="center"/>
          </w:tcPr>
          <w:p w14:paraId="456044FC" w14:textId="77777777" w:rsidR="007075D9" w:rsidRPr="004D46AC" w:rsidRDefault="007075D9" w:rsidP="002C5F6E">
            <w:pPr>
              <w:spacing w:line="240" w:lineRule="auto"/>
              <w:ind w:firstLine="0"/>
            </w:pPr>
            <w:r w:rsidRPr="004D46AC">
              <w:rPr>
                <w:rFonts w:eastAsia="SimSun"/>
                <w:color w:val="000000"/>
              </w:rPr>
              <w:t xml:space="preserve">0.18 </w:t>
            </w:r>
          </w:p>
        </w:tc>
        <w:tc>
          <w:tcPr>
            <w:tcW w:w="2409" w:type="dxa"/>
            <w:vAlign w:val="center"/>
          </w:tcPr>
          <w:p w14:paraId="19435E6D"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488A3E22" w14:textId="77777777" w:rsidR="007075D9" w:rsidRPr="004D46AC" w:rsidRDefault="007075D9" w:rsidP="002C5F6E">
            <w:pPr>
              <w:spacing w:line="240" w:lineRule="auto"/>
              <w:ind w:firstLine="0"/>
            </w:pPr>
            <w:r w:rsidRPr="004D46AC">
              <w:rPr>
                <w:rFonts w:eastAsia="SimSun"/>
                <w:color w:val="000000"/>
              </w:rPr>
              <w:t xml:space="preserve">0.40 </w:t>
            </w:r>
          </w:p>
        </w:tc>
        <w:tc>
          <w:tcPr>
            <w:tcW w:w="901" w:type="dxa"/>
            <w:vAlign w:val="center"/>
          </w:tcPr>
          <w:p w14:paraId="7A7E8394" w14:textId="77777777" w:rsidR="007075D9" w:rsidRPr="004D46AC" w:rsidRDefault="007075D9" w:rsidP="002C5F6E">
            <w:pPr>
              <w:spacing w:line="240" w:lineRule="auto"/>
              <w:ind w:firstLine="0"/>
            </w:pPr>
            <w:r w:rsidRPr="004D46AC">
              <w:rPr>
                <w:rFonts w:eastAsia="SimSun"/>
                <w:color w:val="000000"/>
              </w:rPr>
              <w:t xml:space="preserve">0.20 </w:t>
            </w:r>
          </w:p>
        </w:tc>
      </w:tr>
      <w:tr w:rsidR="007075D9" w:rsidRPr="004D46AC" w14:paraId="079AFAF6" w14:textId="77777777" w:rsidTr="00B518F1">
        <w:tc>
          <w:tcPr>
            <w:tcW w:w="1704" w:type="dxa"/>
            <w:vAlign w:val="center"/>
          </w:tcPr>
          <w:p w14:paraId="7D3AF7E0" w14:textId="77777777" w:rsidR="007075D9" w:rsidRPr="004D46AC" w:rsidRDefault="007075D9" w:rsidP="002C5F6E">
            <w:pPr>
              <w:spacing w:line="240" w:lineRule="auto"/>
              <w:ind w:firstLine="0"/>
            </w:pPr>
            <w:r w:rsidRPr="004D46AC">
              <w:rPr>
                <w:rFonts w:eastAsia="SimSun"/>
                <w:color w:val="000000"/>
              </w:rPr>
              <w:t>M10--M12</w:t>
            </w:r>
          </w:p>
        </w:tc>
        <w:tc>
          <w:tcPr>
            <w:tcW w:w="1098" w:type="dxa"/>
            <w:vAlign w:val="center"/>
          </w:tcPr>
          <w:p w14:paraId="5A443B1E" w14:textId="77777777" w:rsidR="007075D9" w:rsidRPr="004D46AC" w:rsidRDefault="007075D9" w:rsidP="002C5F6E">
            <w:pPr>
              <w:spacing w:line="240" w:lineRule="auto"/>
              <w:ind w:firstLine="0"/>
            </w:pPr>
            <w:r w:rsidRPr="004D46AC">
              <w:rPr>
                <w:rFonts w:eastAsia="SimSun"/>
                <w:color w:val="000000"/>
              </w:rPr>
              <w:t xml:space="preserve">0.17 </w:t>
            </w:r>
          </w:p>
        </w:tc>
        <w:tc>
          <w:tcPr>
            <w:tcW w:w="2409" w:type="dxa"/>
            <w:vAlign w:val="center"/>
          </w:tcPr>
          <w:p w14:paraId="069CD9B9" w14:textId="77777777" w:rsidR="007075D9" w:rsidRPr="004D46AC" w:rsidRDefault="007075D9" w:rsidP="002C5F6E">
            <w:pPr>
              <w:spacing w:line="240" w:lineRule="auto"/>
              <w:ind w:firstLine="0"/>
            </w:pPr>
            <w:r w:rsidRPr="004D46AC">
              <w:rPr>
                <w:rFonts w:eastAsia="SimSun"/>
                <w:color w:val="000000"/>
              </w:rPr>
              <w:t xml:space="preserve">-0.21 </w:t>
            </w:r>
          </w:p>
        </w:tc>
        <w:tc>
          <w:tcPr>
            <w:tcW w:w="2410" w:type="dxa"/>
            <w:vAlign w:val="center"/>
          </w:tcPr>
          <w:p w14:paraId="4A59504B" w14:textId="77777777" w:rsidR="007075D9" w:rsidRPr="004D46AC" w:rsidRDefault="007075D9" w:rsidP="002C5F6E">
            <w:pPr>
              <w:spacing w:line="240" w:lineRule="auto"/>
              <w:ind w:firstLine="0"/>
            </w:pPr>
            <w:r w:rsidRPr="004D46AC">
              <w:rPr>
                <w:rFonts w:eastAsia="SimSun"/>
                <w:color w:val="000000"/>
              </w:rPr>
              <w:t xml:space="preserve">0.55 </w:t>
            </w:r>
          </w:p>
        </w:tc>
        <w:tc>
          <w:tcPr>
            <w:tcW w:w="901" w:type="dxa"/>
            <w:vAlign w:val="center"/>
          </w:tcPr>
          <w:p w14:paraId="5F6A2F07" w14:textId="77777777" w:rsidR="007075D9" w:rsidRPr="004D46AC" w:rsidRDefault="007075D9" w:rsidP="002C5F6E">
            <w:pPr>
              <w:spacing w:line="240" w:lineRule="auto"/>
              <w:ind w:firstLine="0"/>
            </w:pPr>
            <w:r w:rsidRPr="004D46AC">
              <w:rPr>
                <w:rFonts w:eastAsia="SimSun"/>
                <w:color w:val="000000"/>
              </w:rPr>
              <w:t xml:space="preserve">0.33 </w:t>
            </w:r>
          </w:p>
        </w:tc>
      </w:tr>
      <w:tr w:rsidR="007075D9" w:rsidRPr="004D46AC" w14:paraId="1532C610" w14:textId="77777777" w:rsidTr="00B518F1">
        <w:tc>
          <w:tcPr>
            <w:tcW w:w="1704" w:type="dxa"/>
            <w:vAlign w:val="center"/>
          </w:tcPr>
          <w:p w14:paraId="5F9A538E" w14:textId="77777777" w:rsidR="007075D9" w:rsidRPr="004D46AC" w:rsidRDefault="007075D9" w:rsidP="002C5F6E">
            <w:pPr>
              <w:spacing w:line="240" w:lineRule="auto"/>
              <w:ind w:firstLine="0"/>
            </w:pPr>
            <w:r w:rsidRPr="004D46AC">
              <w:rPr>
                <w:rFonts w:eastAsia="SimSun"/>
                <w:color w:val="000000"/>
              </w:rPr>
              <w:t>M4--M13</w:t>
            </w:r>
          </w:p>
        </w:tc>
        <w:tc>
          <w:tcPr>
            <w:tcW w:w="1098" w:type="dxa"/>
            <w:vAlign w:val="center"/>
          </w:tcPr>
          <w:p w14:paraId="3E846486" w14:textId="77777777" w:rsidR="007075D9" w:rsidRPr="004D46AC" w:rsidRDefault="007075D9" w:rsidP="002C5F6E">
            <w:pPr>
              <w:spacing w:line="240" w:lineRule="auto"/>
              <w:ind w:firstLine="0"/>
            </w:pPr>
            <w:r w:rsidRPr="004D46AC">
              <w:rPr>
                <w:rFonts w:eastAsia="SimSun"/>
                <w:color w:val="000000"/>
              </w:rPr>
              <w:t xml:space="preserve">0.16 </w:t>
            </w:r>
          </w:p>
        </w:tc>
        <w:tc>
          <w:tcPr>
            <w:tcW w:w="2409" w:type="dxa"/>
            <w:vAlign w:val="center"/>
          </w:tcPr>
          <w:p w14:paraId="78113EC5" w14:textId="77777777" w:rsidR="007075D9" w:rsidRPr="004D46AC" w:rsidRDefault="007075D9" w:rsidP="002C5F6E">
            <w:pPr>
              <w:spacing w:line="240" w:lineRule="auto"/>
              <w:ind w:firstLine="0"/>
            </w:pPr>
            <w:r w:rsidRPr="004D46AC">
              <w:rPr>
                <w:rFonts w:eastAsia="SimSun"/>
                <w:color w:val="000000"/>
              </w:rPr>
              <w:t xml:space="preserve">-0.19 </w:t>
            </w:r>
          </w:p>
        </w:tc>
        <w:tc>
          <w:tcPr>
            <w:tcW w:w="2410" w:type="dxa"/>
            <w:vAlign w:val="center"/>
          </w:tcPr>
          <w:p w14:paraId="48A20074" w14:textId="77777777" w:rsidR="007075D9" w:rsidRPr="004D46AC" w:rsidRDefault="007075D9" w:rsidP="002C5F6E">
            <w:pPr>
              <w:spacing w:line="240" w:lineRule="auto"/>
              <w:ind w:firstLine="0"/>
            </w:pPr>
            <w:r w:rsidRPr="004D46AC">
              <w:rPr>
                <w:rFonts w:eastAsia="SimSun"/>
                <w:color w:val="000000"/>
              </w:rPr>
              <w:t xml:space="preserve">0.51 </w:t>
            </w:r>
          </w:p>
        </w:tc>
        <w:tc>
          <w:tcPr>
            <w:tcW w:w="901" w:type="dxa"/>
            <w:vAlign w:val="center"/>
          </w:tcPr>
          <w:p w14:paraId="09F849C5" w14:textId="77777777" w:rsidR="007075D9" w:rsidRPr="004D46AC" w:rsidRDefault="007075D9" w:rsidP="002C5F6E">
            <w:pPr>
              <w:spacing w:line="240" w:lineRule="auto"/>
              <w:ind w:firstLine="0"/>
            </w:pPr>
            <w:r w:rsidRPr="004D46AC">
              <w:rPr>
                <w:rFonts w:eastAsia="SimSun"/>
                <w:color w:val="000000"/>
              </w:rPr>
              <w:t xml:space="preserve">0.30 </w:t>
            </w:r>
          </w:p>
        </w:tc>
      </w:tr>
      <w:tr w:rsidR="007075D9" w:rsidRPr="004D46AC" w14:paraId="699997A9" w14:textId="77777777" w:rsidTr="00B518F1">
        <w:tc>
          <w:tcPr>
            <w:tcW w:w="1704" w:type="dxa"/>
            <w:vAlign w:val="center"/>
          </w:tcPr>
          <w:p w14:paraId="57E50FD4" w14:textId="77777777" w:rsidR="007075D9" w:rsidRPr="004D46AC" w:rsidRDefault="007075D9" w:rsidP="002C5F6E">
            <w:pPr>
              <w:spacing w:line="240" w:lineRule="auto"/>
              <w:ind w:firstLine="0"/>
            </w:pPr>
            <w:r w:rsidRPr="004D46AC">
              <w:rPr>
                <w:rFonts w:eastAsia="SimSun"/>
                <w:color w:val="000000"/>
              </w:rPr>
              <w:t>P2--P5</w:t>
            </w:r>
          </w:p>
        </w:tc>
        <w:tc>
          <w:tcPr>
            <w:tcW w:w="1098" w:type="dxa"/>
            <w:vAlign w:val="center"/>
          </w:tcPr>
          <w:p w14:paraId="099D24D1" w14:textId="77777777" w:rsidR="007075D9" w:rsidRPr="004D46AC" w:rsidRDefault="007075D9" w:rsidP="002C5F6E">
            <w:pPr>
              <w:spacing w:line="240" w:lineRule="auto"/>
              <w:ind w:firstLine="0"/>
            </w:pPr>
            <w:r w:rsidRPr="004D46AC">
              <w:rPr>
                <w:rFonts w:eastAsia="SimSun"/>
                <w:color w:val="000000"/>
              </w:rPr>
              <w:t xml:space="preserve">0.16 </w:t>
            </w:r>
          </w:p>
        </w:tc>
        <w:tc>
          <w:tcPr>
            <w:tcW w:w="2409" w:type="dxa"/>
            <w:vAlign w:val="center"/>
          </w:tcPr>
          <w:p w14:paraId="6C9A0F82" w14:textId="77777777" w:rsidR="007075D9" w:rsidRPr="004D46AC" w:rsidRDefault="007075D9" w:rsidP="002C5F6E">
            <w:pPr>
              <w:spacing w:line="240" w:lineRule="auto"/>
              <w:ind w:firstLine="0"/>
            </w:pPr>
            <w:r w:rsidRPr="004D46AC">
              <w:rPr>
                <w:rFonts w:eastAsia="SimSun"/>
                <w:color w:val="000000"/>
              </w:rPr>
              <w:t xml:space="preserve">-0.23 </w:t>
            </w:r>
          </w:p>
        </w:tc>
        <w:tc>
          <w:tcPr>
            <w:tcW w:w="2410" w:type="dxa"/>
            <w:vAlign w:val="center"/>
          </w:tcPr>
          <w:p w14:paraId="6D51E729" w14:textId="77777777" w:rsidR="007075D9" w:rsidRPr="004D46AC" w:rsidRDefault="007075D9" w:rsidP="002C5F6E">
            <w:pPr>
              <w:spacing w:line="240" w:lineRule="auto"/>
              <w:ind w:firstLine="0"/>
            </w:pPr>
            <w:r w:rsidRPr="004D46AC">
              <w:rPr>
                <w:rFonts w:eastAsia="SimSun"/>
                <w:color w:val="000000"/>
              </w:rPr>
              <w:t xml:space="preserve">0.55 </w:t>
            </w:r>
          </w:p>
        </w:tc>
        <w:tc>
          <w:tcPr>
            <w:tcW w:w="901" w:type="dxa"/>
            <w:vAlign w:val="center"/>
          </w:tcPr>
          <w:p w14:paraId="7A1DF053" w14:textId="77777777" w:rsidR="007075D9" w:rsidRPr="004D46AC" w:rsidRDefault="007075D9" w:rsidP="002C5F6E">
            <w:pPr>
              <w:spacing w:line="240" w:lineRule="auto"/>
              <w:ind w:firstLine="0"/>
            </w:pPr>
            <w:r w:rsidRPr="004D46AC">
              <w:rPr>
                <w:rFonts w:eastAsia="SimSun"/>
                <w:color w:val="000000"/>
              </w:rPr>
              <w:t xml:space="preserve">0.41 </w:t>
            </w:r>
          </w:p>
        </w:tc>
      </w:tr>
      <w:tr w:rsidR="007075D9" w:rsidRPr="004D46AC" w14:paraId="2463D220" w14:textId="77777777" w:rsidTr="00B518F1">
        <w:tc>
          <w:tcPr>
            <w:tcW w:w="1704" w:type="dxa"/>
            <w:vAlign w:val="center"/>
          </w:tcPr>
          <w:p w14:paraId="445C23CF" w14:textId="77777777" w:rsidR="007075D9" w:rsidRPr="004D46AC" w:rsidRDefault="007075D9" w:rsidP="002C5F6E">
            <w:pPr>
              <w:spacing w:line="240" w:lineRule="auto"/>
              <w:ind w:firstLine="0"/>
            </w:pPr>
            <w:r w:rsidRPr="004D46AC">
              <w:rPr>
                <w:rFonts w:eastAsia="SimSun"/>
                <w:color w:val="000000"/>
              </w:rPr>
              <w:t>M4--M6</w:t>
            </w:r>
          </w:p>
        </w:tc>
        <w:tc>
          <w:tcPr>
            <w:tcW w:w="1098" w:type="dxa"/>
            <w:vAlign w:val="center"/>
          </w:tcPr>
          <w:p w14:paraId="1DD687E1" w14:textId="77777777" w:rsidR="007075D9" w:rsidRPr="004D46AC" w:rsidRDefault="007075D9" w:rsidP="002C5F6E">
            <w:pPr>
              <w:spacing w:line="240" w:lineRule="auto"/>
              <w:ind w:firstLine="0"/>
            </w:pPr>
            <w:r w:rsidRPr="004D46AC">
              <w:rPr>
                <w:rFonts w:eastAsia="SimSun"/>
                <w:color w:val="000000"/>
              </w:rPr>
              <w:t xml:space="preserve">0.16 </w:t>
            </w:r>
          </w:p>
        </w:tc>
        <w:tc>
          <w:tcPr>
            <w:tcW w:w="2409" w:type="dxa"/>
            <w:vAlign w:val="center"/>
          </w:tcPr>
          <w:p w14:paraId="4A2787BF"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698F8F63" w14:textId="77777777" w:rsidR="007075D9" w:rsidRPr="004D46AC" w:rsidRDefault="007075D9" w:rsidP="002C5F6E">
            <w:pPr>
              <w:spacing w:line="240" w:lineRule="auto"/>
              <w:ind w:firstLine="0"/>
            </w:pPr>
            <w:r w:rsidRPr="004D46AC">
              <w:rPr>
                <w:rFonts w:eastAsia="SimSun"/>
                <w:color w:val="000000"/>
              </w:rPr>
              <w:t xml:space="preserve">0.37 </w:t>
            </w:r>
          </w:p>
        </w:tc>
        <w:tc>
          <w:tcPr>
            <w:tcW w:w="901" w:type="dxa"/>
            <w:vAlign w:val="center"/>
          </w:tcPr>
          <w:p w14:paraId="437CC379" w14:textId="77777777" w:rsidR="007075D9" w:rsidRPr="004D46AC" w:rsidRDefault="007075D9" w:rsidP="002C5F6E">
            <w:pPr>
              <w:spacing w:line="240" w:lineRule="auto"/>
              <w:ind w:firstLine="0"/>
            </w:pPr>
            <w:r w:rsidRPr="004D46AC">
              <w:rPr>
                <w:rFonts w:eastAsia="SimSun"/>
                <w:color w:val="000000"/>
              </w:rPr>
              <w:t xml:space="preserve">0.18 </w:t>
            </w:r>
          </w:p>
        </w:tc>
      </w:tr>
      <w:tr w:rsidR="007075D9" w:rsidRPr="004D46AC" w14:paraId="036006AC" w14:textId="77777777" w:rsidTr="00B518F1">
        <w:tc>
          <w:tcPr>
            <w:tcW w:w="1704" w:type="dxa"/>
            <w:vAlign w:val="center"/>
          </w:tcPr>
          <w:p w14:paraId="2480CEF2" w14:textId="77777777" w:rsidR="007075D9" w:rsidRPr="004D46AC" w:rsidRDefault="007075D9" w:rsidP="002C5F6E">
            <w:pPr>
              <w:spacing w:line="240" w:lineRule="auto"/>
              <w:ind w:firstLine="0"/>
            </w:pPr>
            <w:r w:rsidRPr="004D46AC">
              <w:rPr>
                <w:rFonts w:eastAsia="SimSun"/>
                <w:color w:val="000000"/>
              </w:rPr>
              <w:t>D2--P2</w:t>
            </w:r>
          </w:p>
        </w:tc>
        <w:tc>
          <w:tcPr>
            <w:tcW w:w="1098" w:type="dxa"/>
            <w:vAlign w:val="center"/>
          </w:tcPr>
          <w:p w14:paraId="7C8FF207" w14:textId="77777777" w:rsidR="007075D9" w:rsidRPr="004D46AC" w:rsidRDefault="007075D9" w:rsidP="002C5F6E">
            <w:pPr>
              <w:spacing w:line="240" w:lineRule="auto"/>
              <w:ind w:firstLine="0"/>
            </w:pPr>
            <w:r w:rsidRPr="004D46AC">
              <w:rPr>
                <w:rFonts w:eastAsia="SimSun"/>
                <w:color w:val="000000"/>
              </w:rPr>
              <w:t xml:space="preserve">0.16 </w:t>
            </w:r>
          </w:p>
        </w:tc>
        <w:tc>
          <w:tcPr>
            <w:tcW w:w="2409" w:type="dxa"/>
            <w:vAlign w:val="center"/>
          </w:tcPr>
          <w:p w14:paraId="3944E7C3"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237BE900" w14:textId="77777777" w:rsidR="007075D9" w:rsidRPr="004D46AC" w:rsidRDefault="007075D9" w:rsidP="002C5F6E">
            <w:pPr>
              <w:spacing w:line="240" w:lineRule="auto"/>
              <w:ind w:firstLine="0"/>
            </w:pPr>
            <w:r w:rsidRPr="004D46AC">
              <w:rPr>
                <w:rFonts w:eastAsia="SimSun"/>
                <w:color w:val="000000"/>
              </w:rPr>
              <w:t xml:space="preserve">0.38 </w:t>
            </w:r>
          </w:p>
        </w:tc>
        <w:tc>
          <w:tcPr>
            <w:tcW w:w="901" w:type="dxa"/>
            <w:vAlign w:val="center"/>
          </w:tcPr>
          <w:p w14:paraId="63A67193" w14:textId="77777777" w:rsidR="007075D9" w:rsidRPr="004D46AC" w:rsidRDefault="007075D9" w:rsidP="002C5F6E">
            <w:pPr>
              <w:spacing w:line="240" w:lineRule="auto"/>
              <w:ind w:firstLine="0"/>
            </w:pPr>
            <w:r w:rsidRPr="004D46AC">
              <w:rPr>
                <w:rFonts w:eastAsia="SimSun"/>
                <w:color w:val="000000"/>
              </w:rPr>
              <w:t xml:space="preserve">0.16 </w:t>
            </w:r>
          </w:p>
        </w:tc>
      </w:tr>
      <w:tr w:rsidR="007075D9" w:rsidRPr="004D46AC" w14:paraId="5C665EA7" w14:textId="77777777" w:rsidTr="00B518F1">
        <w:tc>
          <w:tcPr>
            <w:tcW w:w="1704" w:type="dxa"/>
            <w:vAlign w:val="center"/>
          </w:tcPr>
          <w:p w14:paraId="15ECA80A" w14:textId="77777777" w:rsidR="007075D9" w:rsidRPr="004D46AC" w:rsidRDefault="007075D9" w:rsidP="002C5F6E">
            <w:pPr>
              <w:spacing w:line="240" w:lineRule="auto"/>
              <w:ind w:firstLine="0"/>
            </w:pPr>
            <w:r w:rsidRPr="004D46AC">
              <w:rPr>
                <w:rFonts w:eastAsia="SimSun"/>
                <w:color w:val="000000"/>
              </w:rPr>
              <w:t>D5--D6</w:t>
            </w:r>
          </w:p>
        </w:tc>
        <w:tc>
          <w:tcPr>
            <w:tcW w:w="1098" w:type="dxa"/>
            <w:vAlign w:val="center"/>
          </w:tcPr>
          <w:p w14:paraId="32F739E9"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517574EA"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2213039C" w14:textId="77777777" w:rsidR="007075D9" w:rsidRPr="004D46AC" w:rsidRDefault="007075D9" w:rsidP="002C5F6E">
            <w:pPr>
              <w:spacing w:line="240" w:lineRule="auto"/>
              <w:ind w:firstLine="0"/>
            </w:pPr>
            <w:r w:rsidRPr="004D46AC">
              <w:rPr>
                <w:rFonts w:eastAsia="SimSun"/>
                <w:color w:val="000000"/>
              </w:rPr>
              <w:t xml:space="preserve">0.24 </w:t>
            </w:r>
          </w:p>
        </w:tc>
        <w:tc>
          <w:tcPr>
            <w:tcW w:w="901" w:type="dxa"/>
            <w:vAlign w:val="center"/>
          </w:tcPr>
          <w:p w14:paraId="4E7E3FE7"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1A908D3A" w14:textId="77777777" w:rsidTr="00B518F1">
        <w:tc>
          <w:tcPr>
            <w:tcW w:w="1704" w:type="dxa"/>
            <w:vAlign w:val="center"/>
          </w:tcPr>
          <w:p w14:paraId="5E4A0F6C" w14:textId="77777777" w:rsidR="007075D9" w:rsidRPr="004D46AC" w:rsidRDefault="007075D9" w:rsidP="002C5F6E">
            <w:pPr>
              <w:spacing w:line="240" w:lineRule="auto"/>
              <w:ind w:firstLine="0"/>
            </w:pPr>
            <w:r w:rsidRPr="004D46AC">
              <w:rPr>
                <w:rFonts w:eastAsia="SimSun"/>
                <w:color w:val="000000"/>
              </w:rPr>
              <w:t>D2--D3</w:t>
            </w:r>
          </w:p>
        </w:tc>
        <w:tc>
          <w:tcPr>
            <w:tcW w:w="1098" w:type="dxa"/>
            <w:vAlign w:val="center"/>
          </w:tcPr>
          <w:p w14:paraId="5A3E8B82"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2C7ADBEF" w14:textId="77777777" w:rsidR="007075D9" w:rsidRPr="004D46AC" w:rsidRDefault="007075D9" w:rsidP="002C5F6E">
            <w:pPr>
              <w:spacing w:line="240" w:lineRule="auto"/>
              <w:ind w:firstLine="0"/>
            </w:pPr>
            <w:r w:rsidRPr="004D46AC">
              <w:rPr>
                <w:rFonts w:eastAsia="SimSun"/>
                <w:color w:val="000000"/>
              </w:rPr>
              <w:t xml:space="preserve">0.08 </w:t>
            </w:r>
          </w:p>
        </w:tc>
        <w:tc>
          <w:tcPr>
            <w:tcW w:w="2410" w:type="dxa"/>
            <w:vAlign w:val="center"/>
          </w:tcPr>
          <w:p w14:paraId="00543446"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396609BE"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85604EE" w14:textId="77777777" w:rsidTr="00B518F1">
        <w:tc>
          <w:tcPr>
            <w:tcW w:w="1704" w:type="dxa"/>
            <w:vAlign w:val="center"/>
          </w:tcPr>
          <w:p w14:paraId="3686ABB5" w14:textId="77777777" w:rsidR="007075D9" w:rsidRPr="004D46AC" w:rsidRDefault="007075D9" w:rsidP="002C5F6E">
            <w:pPr>
              <w:spacing w:line="240" w:lineRule="auto"/>
              <w:ind w:firstLine="0"/>
            </w:pPr>
            <w:r w:rsidRPr="004D46AC">
              <w:rPr>
                <w:rFonts w:eastAsia="SimSun"/>
                <w:color w:val="000000"/>
              </w:rPr>
              <w:t>D8--M10</w:t>
            </w:r>
          </w:p>
        </w:tc>
        <w:tc>
          <w:tcPr>
            <w:tcW w:w="1098" w:type="dxa"/>
            <w:vAlign w:val="center"/>
          </w:tcPr>
          <w:p w14:paraId="67761D16"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3946C922"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6B9EE5A8" w14:textId="77777777" w:rsidR="007075D9" w:rsidRPr="004D46AC" w:rsidRDefault="007075D9" w:rsidP="002C5F6E">
            <w:pPr>
              <w:spacing w:line="240" w:lineRule="auto"/>
              <w:ind w:firstLine="0"/>
            </w:pPr>
            <w:r w:rsidRPr="004D46AC">
              <w:rPr>
                <w:rFonts w:eastAsia="SimSun"/>
                <w:color w:val="000000"/>
              </w:rPr>
              <w:t xml:space="preserve">0.35 </w:t>
            </w:r>
          </w:p>
        </w:tc>
        <w:tc>
          <w:tcPr>
            <w:tcW w:w="901" w:type="dxa"/>
            <w:vAlign w:val="center"/>
          </w:tcPr>
          <w:p w14:paraId="49DD42BC" w14:textId="77777777" w:rsidR="007075D9" w:rsidRPr="004D46AC" w:rsidRDefault="007075D9" w:rsidP="002C5F6E">
            <w:pPr>
              <w:spacing w:line="240" w:lineRule="auto"/>
              <w:ind w:firstLine="0"/>
            </w:pPr>
            <w:r w:rsidRPr="004D46AC">
              <w:rPr>
                <w:rFonts w:eastAsia="SimSun"/>
                <w:color w:val="000000"/>
              </w:rPr>
              <w:t xml:space="preserve">0.17 </w:t>
            </w:r>
          </w:p>
        </w:tc>
      </w:tr>
      <w:tr w:rsidR="007075D9" w:rsidRPr="004D46AC" w14:paraId="57B4858C" w14:textId="77777777" w:rsidTr="00B518F1">
        <w:tc>
          <w:tcPr>
            <w:tcW w:w="1704" w:type="dxa"/>
            <w:vAlign w:val="center"/>
          </w:tcPr>
          <w:p w14:paraId="2708081D" w14:textId="77777777" w:rsidR="007075D9" w:rsidRPr="004D46AC" w:rsidRDefault="007075D9" w:rsidP="002C5F6E">
            <w:pPr>
              <w:spacing w:line="240" w:lineRule="auto"/>
              <w:ind w:firstLine="0"/>
            </w:pPr>
            <w:r w:rsidRPr="004D46AC">
              <w:rPr>
                <w:rFonts w:eastAsia="SimSun"/>
                <w:color w:val="000000"/>
              </w:rPr>
              <w:t>PS--M2</w:t>
            </w:r>
          </w:p>
        </w:tc>
        <w:tc>
          <w:tcPr>
            <w:tcW w:w="1098" w:type="dxa"/>
            <w:vAlign w:val="center"/>
          </w:tcPr>
          <w:p w14:paraId="7A2BF85A"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03E3A144"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4EAE57E3" w14:textId="77777777" w:rsidR="007075D9" w:rsidRPr="004D46AC" w:rsidRDefault="007075D9" w:rsidP="002C5F6E">
            <w:pPr>
              <w:spacing w:line="240" w:lineRule="auto"/>
              <w:ind w:firstLine="0"/>
            </w:pPr>
            <w:r w:rsidRPr="004D46AC">
              <w:rPr>
                <w:rFonts w:eastAsia="SimSun"/>
                <w:color w:val="000000"/>
              </w:rPr>
              <w:t xml:space="preserve">0.27 </w:t>
            </w:r>
          </w:p>
        </w:tc>
        <w:tc>
          <w:tcPr>
            <w:tcW w:w="901" w:type="dxa"/>
            <w:vAlign w:val="center"/>
          </w:tcPr>
          <w:p w14:paraId="116E836C"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19B6434C" w14:textId="77777777" w:rsidTr="00B518F1">
        <w:tc>
          <w:tcPr>
            <w:tcW w:w="1704" w:type="dxa"/>
            <w:vAlign w:val="center"/>
          </w:tcPr>
          <w:p w14:paraId="4374385B" w14:textId="77777777" w:rsidR="007075D9" w:rsidRPr="004D46AC" w:rsidRDefault="007075D9" w:rsidP="002C5F6E">
            <w:pPr>
              <w:spacing w:line="240" w:lineRule="auto"/>
              <w:ind w:firstLine="0"/>
            </w:pPr>
            <w:r w:rsidRPr="004D46AC">
              <w:rPr>
                <w:rFonts w:eastAsia="SimSun"/>
                <w:color w:val="000000"/>
              </w:rPr>
              <w:t>M1--M12</w:t>
            </w:r>
          </w:p>
        </w:tc>
        <w:tc>
          <w:tcPr>
            <w:tcW w:w="1098" w:type="dxa"/>
            <w:vAlign w:val="center"/>
          </w:tcPr>
          <w:p w14:paraId="5CA2D57F"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6DE54C30" w14:textId="77777777" w:rsidR="007075D9" w:rsidRPr="004D46AC" w:rsidRDefault="007075D9" w:rsidP="002C5F6E">
            <w:pPr>
              <w:spacing w:line="240" w:lineRule="auto"/>
              <w:ind w:firstLine="0"/>
            </w:pPr>
            <w:r w:rsidRPr="004D46AC">
              <w:rPr>
                <w:rFonts w:eastAsia="SimSun"/>
                <w:color w:val="000000"/>
              </w:rPr>
              <w:t xml:space="preserve">-0.17 </w:t>
            </w:r>
          </w:p>
        </w:tc>
        <w:tc>
          <w:tcPr>
            <w:tcW w:w="2410" w:type="dxa"/>
            <w:vAlign w:val="center"/>
          </w:tcPr>
          <w:p w14:paraId="10A8D297" w14:textId="77777777" w:rsidR="007075D9" w:rsidRPr="004D46AC" w:rsidRDefault="007075D9" w:rsidP="002C5F6E">
            <w:pPr>
              <w:spacing w:line="240" w:lineRule="auto"/>
              <w:ind w:firstLine="0"/>
            </w:pPr>
            <w:r w:rsidRPr="004D46AC">
              <w:rPr>
                <w:rFonts w:eastAsia="SimSun"/>
                <w:color w:val="000000"/>
              </w:rPr>
              <w:t xml:space="preserve">0.46 </w:t>
            </w:r>
          </w:p>
        </w:tc>
        <w:tc>
          <w:tcPr>
            <w:tcW w:w="901" w:type="dxa"/>
            <w:vAlign w:val="center"/>
          </w:tcPr>
          <w:p w14:paraId="37A395CA" w14:textId="77777777" w:rsidR="007075D9" w:rsidRPr="004D46AC" w:rsidRDefault="007075D9" w:rsidP="002C5F6E">
            <w:pPr>
              <w:spacing w:line="240" w:lineRule="auto"/>
              <w:ind w:firstLine="0"/>
            </w:pPr>
            <w:r w:rsidRPr="004D46AC">
              <w:rPr>
                <w:rFonts w:eastAsia="SimSun"/>
                <w:color w:val="000000"/>
              </w:rPr>
              <w:t xml:space="preserve">0.40 </w:t>
            </w:r>
          </w:p>
        </w:tc>
      </w:tr>
      <w:tr w:rsidR="007075D9" w:rsidRPr="004D46AC" w14:paraId="778CCF39" w14:textId="77777777" w:rsidTr="00B518F1">
        <w:tc>
          <w:tcPr>
            <w:tcW w:w="1704" w:type="dxa"/>
            <w:vAlign w:val="center"/>
          </w:tcPr>
          <w:p w14:paraId="00407715" w14:textId="77777777" w:rsidR="007075D9" w:rsidRPr="004D46AC" w:rsidRDefault="007075D9" w:rsidP="002C5F6E">
            <w:pPr>
              <w:spacing w:line="240" w:lineRule="auto"/>
              <w:ind w:firstLine="0"/>
            </w:pPr>
            <w:r w:rsidRPr="004D46AC">
              <w:rPr>
                <w:rFonts w:eastAsia="SimSun"/>
                <w:color w:val="000000"/>
              </w:rPr>
              <w:t>D1--D4</w:t>
            </w:r>
          </w:p>
        </w:tc>
        <w:tc>
          <w:tcPr>
            <w:tcW w:w="1098" w:type="dxa"/>
            <w:vAlign w:val="center"/>
          </w:tcPr>
          <w:p w14:paraId="44250425"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5B1CDD07"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7D5838BF"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3C85E41C"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728C34E1" w14:textId="77777777" w:rsidTr="00B518F1">
        <w:tc>
          <w:tcPr>
            <w:tcW w:w="1704" w:type="dxa"/>
            <w:vAlign w:val="center"/>
          </w:tcPr>
          <w:p w14:paraId="6FF6C1BA" w14:textId="77777777" w:rsidR="007075D9" w:rsidRPr="004D46AC" w:rsidRDefault="007075D9" w:rsidP="002C5F6E">
            <w:pPr>
              <w:spacing w:line="240" w:lineRule="auto"/>
              <w:ind w:firstLine="0"/>
            </w:pPr>
            <w:r w:rsidRPr="004D46AC">
              <w:rPr>
                <w:rFonts w:eastAsia="SimSun"/>
                <w:color w:val="000000"/>
              </w:rPr>
              <w:t>PS--M7</w:t>
            </w:r>
          </w:p>
        </w:tc>
        <w:tc>
          <w:tcPr>
            <w:tcW w:w="1098" w:type="dxa"/>
            <w:vAlign w:val="center"/>
          </w:tcPr>
          <w:p w14:paraId="6872FEDE" w14:textId="77777777" w:rsidR="007075D9" w:rsidRPr="004D46AC" w:rsidRDefault="007075D9" w:rsidP="002C5F6E">
            <w:pPr>
              <w:spacing w:line="240" w:lineRule="auto"/>
              <w:ind w:firstLine="0"/>
            </w:pPr>
            <w:r w:rsidRPr="004D46AC">
              <w:rPr>
                <w:rFonts w:eastAsia="SimSun"/>
                <w:color w:val="000000"/>
              </w:rPr>
              <w:t xml:space="preserve">0.14 </w:t>
            </w:r>
          </w:p>
        </w:tc>
        <w:tc>
          <w:tcPr>
            <w:tcW w:w="2409" w:type="dxa"/>
            <w:vAlign w:val="center"/>
          </w:tcPr>
          <w:p w14:paraId="1EA8860F"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422BA725" w14:textId="77777777" w:rsidR="007075D9" w:rsidRPr="004D46AC" w:rsidRDefault="007075D9" w:rsidP="002C5F6E">
            <w:pPr>
              <w:spacing w:line="240" w:lineRule="auto"/>
              <w:ind w:firstLine="0"/>
            </w:pPr>
            <w:r w:rsidRPr="004D46AC">
              <w:rPr>
                <w:rFonts w:eastAsia="SimSun"/>
                <w:color w:val="000000"/>
              </w:rPr>
              <w:t xml:space="preserve">0.31 </w:t>
            </w:r>
          </w:p>
        </w:tc>
        <w:tc>
          <w:tcPr>
            <w:tcW w:w="901" w:type="dxa"/>
            <w:vAlign w:val="center"/>
          </w:tcPr>
          <w:p w14:paraId="1FB80B0A" w14:textId="77777777" w:rsidR="007075D9" w:rsidRPr="004D46AC" w:rsidRDefault="007075D9" w:rsidP="002C5F6E">
            <w:pPr>
              <w:spacing w:line="240" w:lineRule="auto"/>
              <w:ind w:firstLine="0"/>
            </w:pPr>
            <w:r w:rsidRPr="004D46AC">
              <w:rPr>
                <w:rFonts w:eastAsia="SimSun"/>
                <w:color w:val="000000"/>
              </w:rPr>
              <w:t xml:space="preserve">0.21 </w:t>
            </w:r>
          </w:p>
        </w:tc>
      </w:tr>
      <w:tr w:rsidR="007075D9" w:rsidRPr="004D46AC" w14:paraId="6D674A10" w14:textId="77777777" w:rsidTr="00B518F1">
        <w:tc>
          <w:tcPr>
            <w:tcW w:w="1704" w:type="dxa"/>
            <w:vAlign w:val="center"/>
          </w:tcPr>
          <w:p w14:paraId="07D58910" w14:textId="77777777" w:rsidR="007075D9" w:rsidRPr="004D46AC" w:rsidRDefault="007075D9" w:rsidP="002C5F6E">
            <w:pPr>
              <w:spacing w:line="240" w:lineRule="auto"/>
              <w:ind w:firstLine="0"/>
            </w:pPr>
            <w:r w:rsidRPr="004D46AC">
              <w:rPr>
                <w:rFonts w:eastAsia="SimSun"/>
                <w:color w:val="000000"/>
              </w:rPr>
              <w:t>D3--D5</w:t>
            </w:r>
          </w:p>
        </w:tc>
        <w:tc>
          <w:tcPr>
            <w:tcW w:w="1098" w:type="dxa"/>
            <w:vAlign w:val="center"/>
          </w:tcPr>
          <w:p w14:paraId="25F7DEE4" w14:textId="77777777" w:rsidR="007075D9" w:rsidRPr="004D46AC" w:rsidRDefault="007075D9" w:rsidP="002C5F6E">
            <w:pPr>
              <w:spacing w:line="240" w:lineRule="auto"/>
              <w:ind w:firstLine="0"/>
            </w:pPr>
            <w:r w:rsidRPr="004D46AC">
              <w:rPr>
                <w:rFonts w:eastAsia="SimSun"/>
                <w:color w:val="000000"/>
              </w:rPr>
              <w:t xml:space="preserve">0.14 </w:t>
            </w:r>
          </w:p>
        </w:tc>
        <w:tc>
          <w:tcPr>
            <w:tcW w:w="2409" w:type="dxa"/>
            <w:vAlign w:val="center"/>
          </w:tcPr>
          <w:p w14:paraId="312E8D85"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61F80619" w14:textId="77777777" w:rsidR="007075D9" w:rsidRPr="004D46AC" w:rsidRDefault="007075D9" w:rsidP="002C5F6E">
            <w:pPr>
              <w:spacing w:line="240" w:lineRule="auto"/>
              <w:ind w:firstLine="0"/>
            </w:pPr>
            <w:r w:rsidRPr="004D46AC">
              <w:rPr>
                <w:rFonts w:eastAsia="SimSun"/>
                <w:color w:val="000000"/>
              </w:rPr>
              <w:t xml:space="preserve">0.21 </w:t>
            </w:r>
          </w:p>
        </w:tc>
        <w:tc>
          <w:tcPr>
            <w:tcW w:w="901" w:type="dxa"/>
            <w:vAlign w:val="center"/>
          </w:tcPr>
          <w:p w14:paraId="030EE4AC"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C5B9AE3" w14:textId="77777777" w:rsidTr="00B518F1">
        <w:tc>
          <w:tcPr>
            <w:tcW w:w="1704" w:type="dxa"/>
            <w:vAlign w:val="center"/>
          </w:tcPr>
          <w:p w14:paraId="2E912EC5" w14:textId="77777777" w:rsidR="007075D9" w:rsidRPr="004D46AC" w:rsidRDefault="007075D9" w:rsidP="002C5F6E">
            <w:pPr>
              <w:spacing w:line="240" w:lineRule="auto"/>
              <w:ind w:firstLine="0"/>
            </w:pPr>
            <w:r w:rsidRPr="004D46AC">
              <w:rPr>
                <w:rFonts w:eastAsia="SimSun"/>
                <w:color w:val="000000"/>
              </w:rPr>
              <w:t>M3--M7</w:t>
            </w:r>
          </w:p>
        </w:tc>
        <w:tc>
          <w:tcPr>
            <w:tcW w:w="1098" w:type="dxa"/>
            <w:vAlign w:val="center"/>
          </w:tcPr>
          <w:p w14:paraId="12BBF5CA" w14:textId="77777777" w:rsidR="007075D9" w:rsidRPr="004D46AC" w:rsidRDefault="007075D9" w:rsidP="002C5F6E">
            <w:pPr>
              <w:spacing w:line="240" w:lineRule="auto"/>
              <w:ind w:firstLine="0"/>
            </w:pPr>
            <w:r w:rsidRPr="004D46AC">
              <w:rPr>
                <w:rFonts w:eastAsia="SimSun"/>
                <w:color w:val="000000"/>
              </w:rPr>
              <w:t xml:space="preserve">0.13 </w:t>
            </w:r>
          </w:p>
        </w:tc>
        <w:tc>
          <w:tcPr>
            <w:tcW w:w="2409" w:type="dxa"/>
            <w:vAlign w:val="center"/>
          </w:tcPr>
          <w:p w14:paraId="4FD0FF07"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1FD495AC" w14:textId="77777777" w:rsidR="007075D9" w:rsidRPr="004D46AC" w:rsidRDefault="007075D9" w:rsidP="002C5F6E">
            <w:pPr>
              <w:spacing w:line="240" w:lineRule="auto"/>
              <w:ind w:firstLine="0"/>
            </w:pPr>
            <w:r w:rsidRPr="004D46AC">
              <w:rPr>
                <w:rFonts w:eastAsia="SimSun"/>
                <w:color w:val="000000"/>
              </w:rPr>
              <w:t xml:space="preserve">0.36 </w:t>
            </w:r>
          </w:p>
        </w:tc>
        <w:tc>
          <w:tcPr>
            <w:tcW w:w="901" w:type="dxa"/>
            <w:vAlign w:val="center"/>
          </w:tcPr>
          <w:p w14:paraId="397EB111" w14:textId="77777777" w:rsidR="007075D9" w:rsidRPr="004D46AC" w:rsidRDefault="007075D9" w:rsidP="002C5F6E">
            <w:pPr>
              <w:spacing w:line="240" w:lineRule="auto"/>
              <w:ind w:firstLine="0"/>
            </w:pPr>
            <w:r w:rsidRPr="004D46AC">
              <w:rPr>
                <w:rFonts w:eastAsia="SimSun"/>
                <w:color w:val="000000"/>
              </w:rPr>
              <w:t xml:space="preserve">0.37 </w:t>
            </w:r>
          </w:p>
        </w:tc>
      </w:tr>
      <w:tr w:rsidR="007075D9" w:rsidRPr="004D46AC" w14:paraId="74C7CBFE" w14:textId="77777777" w:rsidTr="00B518F1">
        <w:tc>
          <w:tcPr>
            <w:tcW w:w="1704" w:type="dxa"/>
            <w:vAlign w:val="center"/>
          </w:tcPr>
          <w:p w14:paraId="7151DBC4" w14:textId="77777777" w:rsidR="007075D9" w:rsidRPr="004D46AC" w:rsidRDefault="007075D9" w:rsidP="002C5F6E">
            <w:pPr>
              <w:spacing w:line="240" w:lineRule="auto"/>
              <w:ind w:firstLine="0"/>
            </w:pPr>
            <w:r w:rsidRPr="004D46AC">
              <w:rPr>
                <w:rFonts w:eastAsia="SimSun"/>
                <w:color w:val="000000"/>
              </w:rPr>
              <w:t>D5--D7</w:t>
            </w:r>
          </w:p>
        </w:tc>
        <w:tc>
          <w:tcPr>
            <w:tcW w:w="1098" w:type="dxa"/>
            <w:vAlign w:val="center"/>
          </w:tcPr>
          <w:p w14:paraId="6C68DE38" w14:textId="77777777" w:rsidR="007075D9" w:rsidRPr="004D46AC" w:rsidRDefault="007075D9" w:rsidP="002C5F6E">
            <w:pPr>
              <w:spacing w:line="240" w:lineRule="auto"/>
              <w:ind w:firstLine="0"/>
            </w:pPr>
            <w:r w:rsidRPr="004D46AC">
              <w:rPr>
                <w:rFonts w:eastAsia="SimSun"/>
                <w:color w:val="000000"/>
              </w:rPr>
              <w:t xml:space="preserve">0.13 </w:t>
            </w:r>
          </w:p>
        </w:tc>
        <w:tc>
          <w:tcPr>
            <w:tcW w:w="2409" w:type="dxa"/>
            <w:vAlign w:val="center"/>
          </w:tcPr>
          <w:p w14:paraId="0E21F977"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486C0C18" w14:textId="77777777" w:rsidR="007075D9" w:rsidRPr="004D46AC" w:rsidRDefault="007075D9" w:rsidP="002C5F6E">
            <w:pPr>
              <w:spacing w:line="240" w:lineRule="auto"/>
              <w:ind w:firstLine="0"/>
            </w:pPr>
            <w:r w:rsidRPr="004D46AC">
              <w:rPr>
                <w:rFonts w:eastAsia="SimSun"/>
                <w:color w:val="000000"/>
              </w:rPr>
              <w:t xml:space="preserve">0.21 </w:t>
            </w:r>
          </w:p>
        </w:tc>
        <w:tc>
          <w:tcPr>
            <w:tcW w:w="901" w:type="dxa"/>
            <w:vAlign w:val="center"/>
          </w:tcPr>
          <w:p w14:paraId="7418C198"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4BA67EB7" w14:textId="77777777" w:rsidTr="00B518F1">
        <w:tc>
          <w:tcPr>
            <w:tcW w:w="1704" w:type="dxa"/>
            <w:vAlign w:val="center"/>
          </w:tcPr>
          <w:p w14:paraId="2FE9BF25" w14:textId="77777777" w:rsidR="007075D9" w:rsidRPr="004D46AC" w:rsidRDefault="007075D9" w:rsidP="002C5F6E">
            <w:pPr>
              <w:spacing w:line="240" w:lineRule="auto"/>
              <w:ind w:firstLine="0"/>
            </w:pPr>
            <w:r w:rsidRPr="004D46AC">
              <w:rPr>
                <w:rFonts w:eastAsia="SimSun"/>
                <w:color w:val="000000"/>
              </w:rPr>
              <w:t>M2--M12</w:t>
            </w:r>
          </w:p>
        </w:tc>
        <w:tc>
          <w:tcPr>
            <w:tcW w:w="1098" w:type="dxa"/>
            <w:vAlign w:val="center"/>
          </w:tcPr>
          <w:p w14:paraId="3556A943" w14:textId="77777777" w:rsidR="007075D9" w:rsidRPr="004D46AC" w:rsidRDefault="007075D9" w:rsidP="002C5F6E">
            <w:pPr>
              <w:spacing w:line="240" w:lineRule="auto"/>
              <w:ind w:firstLine="0"/>
            </w:pPr>
            <w:r w:rsidRPr="004D46AC">
              <w:rPr>
                <w:rFonts w:eastAsia="SimSun"/>
                <w:color w:val="000000"/>
              </w:rPr>
              <w:t xml:space="preserve">0.13 </w:t>
            </w:r>
          </w:p>
        </w:tc>
        <w:tc>
          <w:tcPr>
            <w:tcW w:w="2409" w:type="dxa"/>
            <w:vAlign w:val="center"/>
          </w:tcPr>
          <w:p w14:paraId="58A8395E" w14:textId="77777777" w:rsidR="007075D9" w:rsidRPr="004D46AC" w:rsidRDefault="007075D9" w:rsidP="002C5F6E">
            <w:pPr>
              <w:spacing w:line="240" w:lineRule="auto"/>
              <w:ind w:firstLine="0"/>
            </w:pPr>
            <w:r w:rsidRPr="004D46AC">
              <w:rPr>
                <w:rFonts w:eastAsia="SimSun"/>
                <w:color w:val="000000"/>
              </w:rPr>
              <w:t xml:space="preserve">-0.14 </w:t>
            </w:r>
          </w:p>
        </w:tc>
        <w:tc>
          <w:tcPr>
            <w:tcW w:w="2410" w:type="dxa"/>
            <w:vAlign w:val="center"/>
          </w:tcPr>
          <w:p w14:paraId="48ADB6AC" w14:textId="77777777" w:rsidR="007075D9" w:rsidRPr="004D46AC" w:rsidRDefault="007075D9" w:rsidP="002C5F6E">
            <w:pPr>
              <w:spacing w:line="240" w:lineRule="auto"/>
              <w:ind w:firstLine="0"/>
            </w:pPr>
            <w:r w:rsidRPr="004D46AC">
              <w:rPr>
                <w:rFonts w:eastAsia="SimSun"/>
                <w:color w:val="000000"/>
              </w:rPr>
              <w:t xml:space="preserve">0.40 </w:t>
            </w:r>
          </w:p>
        </w:tc>
        <w:tc>
          <w:tcPr>
            <w:tcW w:w="901" w:type="dxa"/>
            <w:vAlign w:val="center"/>
          </w:tcPr>
          <w:p w14:paraId="4B45B110" w14:textId="77777777" w:rsidR="007075D9" w:rsidRPr="004D46AC" w:rsidRDefault="007075D9" w:rsidP="002C5F6E">
            <w:pPr>
              <w:spacing w:line="240" w:lineRule="auto"/>
              <w:ind w:firstLine="0"/>
            </w:pPr>
            <w:r w:rsidRPr="004D46AC">
              <w:rPr>
                <w:rFonts w:eastAsia="SimSun"/>
                <w:color w:val="000000"/>
              </w:rPr>
              <w:t xml:space="preserve">0.35 </w:t>
            </w:r>
          </w:p>
        </w:tc>
      </w:tr>
      <w:tr w:rsidR="007075D9" w:rsidRPr="004D46AC" w14:paraId="1B0DD7D4" w14:textId="77777777" w:rsidTr="00B518F1">
        <w:tc>
          <w:tcPr>
            <w:tcW w:w="1704" w:type="dxa"/>
            <w:vAlign w:val="center"/>
          </w:tcPr>
          <w:p w14:paraId="4D580C65" w14:textId="77777777" w:rsidR="007075D9" w:rsidRPr="004D46AC" w:rsidRDefault="007075D9" w:rsidP="002C5F6E">
            <w:pPr>
              <w:spacing w:line="240" w:lineRule="auto"/>
              <w:ind w:firstLine="0"/>
            </w:pPr>
            <w:r w:rsidRPr="004D46AC">
              <w:rPr>
                <w:rFonts w:eastAsia="SimSun"/>
                <w:color w:val="000000"/>
              </w:rPr>
              <w:t>D6--D7</w:t>
            </w:r>
          </w:p>
        </w:tc>
        <w:tc>
          <w:tcPr>
            <w:tcW w:w="1098" w:type="dxa"/>
            <w:vAlign w:val="center"/>
          </w:tcPr>
          <w:p w14:paraId="45E05755"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4A832D26"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2567D968" w14:textId="77777777" w:rsidR="007075D9" w:rsidRPr="004D46AC" w:rsidRDefault="007075D9" w:rsidP="002C5F6E">
            <w:pPr>
              <w:spacing w:line="240" w:lineRule="auto"/>
              <w:ind w:firstLine="0"/>
            </w:pPr>
            <w:r w:rsidRPr="004D46AC">
              <w:rPr>
                <w:rFonts w:eastAsia="SimSun"/>
                <w:color w:val="000000"/>
              </w:rPr>
              <w:t xml:space="preserve">0.20 </w:t>
            </w:r>
          </w:p>
        </w:tc>
        <w:tc>
          <w:tcPr>
            <w:tcW w:w="901" w:type="dxa"/>
            <w:vAlign w:val="center"/>
          </w:tcPr>
          <w:p w14:paraId="1C0C3304"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40CDDC9D" w14:textId="77777777" w:rsidTr="00B518F1">
        <w:tc>
          <w:tcPr>
            <w:tcW w:w="1704" w:type="dxa"/>
            <w:vAlign w:val="center"/>
          </w:tcPr>
          <w:p w14:paraId="7D1D9C68" w14:textId="77777777" w:rsidR="007075D9" w:rsidRPr="004D46AC" w:rsidRDefault="007075D9" w:rsidP="002C5F6E">
            <w:pPr>
              <w:spacing w:line="240" w:lineRule="auto"/>
              <w:ind w:firstLine="0"/>
            </w:pPr>
            <w:r w:rsidRPr="004D46AC">
              <w:rPr>
                <w:rFonts w:eastAsia="SimSun"/>
                <w:color w:val="000000"/>
              </w:rPr>
              <w:t>D6--M6</w:t>
            </w:r>
          </w:p>
        </w:tc>
        <w:tc>
          <w:tcPr>
            <w:tcW w:w="1098" w:type="dxa"/>
            <w:vAlign w:val="center"/>
          </w:tcPr>
          <w:p w14:paraId="74062B0D"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2BAE99DE" w14:textId="77777777" w:rsidR="007075D9" w:rsidRPr="004D46AC" w:rsidRDefault="007075D9" w:rsidP="002C5F6E">
            <w:pPr>
              <w:spacing w:line="240" w:lineRule="auto"/>
              <w:ind w:firstLine="0"/>
            </w:pPr>
            <w:r w:rsidRPr="004D46AC">
              <w:rPr>
                <w:rFonts w:eastAsia="SimSun"/>
                <w:color w:val="000000"/>
              </w:rPr>
              <w:t xml:space="preserve">-0.01 </w:t>
            </w:r>
          </w:p>
        </w:tc>
        <w:tc>
          <w:tcPr>
            <w:tcW w:w="2410" w:type="dxa"/>
            <w:vAlign w:val="center"/>
          </w:tcPr>
          <w:p w14:paraId="6451B522" w14:textId="77777777" w:rsidR="007075D9" w:rsidRPr="004D46AC" w:rsidRDefault="007075D9" w:rsidP="002C5F6E">
            <w:pPr>
              <w:spacing w:line="240" w:lineRule="auto"/>
              <w:ind w:firstLine="0"/>
            </w:pPr>
            <w:r w:rsidRPr="004D46AC">
              <w:rPr>
                <w:rFonts w:eastAsia="SimSun"/>
                <w:color w:val="000000"/>
              </w:rPr>
              <w:t xml:space="preserve">0.24 </w:t>
            </w:r>
          </w:p>
        </w:tc>
        <w:tc>
          <w:tcPr>
            <w:tcW w:w="901" w:type="dxa"/>
            <w:vAlign w:val="center"/>
          </w:tcPr>
          <w:p w14:paraId="2D9ED13D" w14:textId="77777777" w:rsidR="007075D9" w:rsidRPr="004D46AC" w:rsidRDefault="007075D9" w:rsidP="002C5F6E">
            <w:pPr>
              <w:spacing w:line="240" w:lineRule="auto"/>
              <w:ind w:firstLine="0"/>
            </w:pPr>
            <w:r w:rsidRPr="004D46AC">
              <w:rPr>
                <w:rFonts w:eastAsia="SimSun"/>
                <w:color w:val="000000"/>
              </w:rPr>
              <w:t xml:space="preserve">0.11 </w:t>
            </w:r>
          </w:p>
        </w:tc>
      </w:tr>
      <w:tr w:rsidR="007075D9" w:rsidRPr="004D46AC" w14:paraId="164EDD98" w14:textId="77777777" w:rsidTr="00B518F1">
        <w:tc>
          <w:tcPr>
            <w:tcW w:w="1704" w:type="dxa"/>
            <w:vAlign w:val="center"/>
          </w:tcPr>
          <w:p w14:paraId="34954981" w14:textId="77777777" w:rsidR="007075D9" w:rsidRPr="004D46AC" w:rsidRDefault="007075D9" w:rsidP="002C5F6E">
            <w:pPr>
              <w:spacing w:line="240" w:lineRule="auto"/>
              <w:ind w:firstLine="0"/>
            </w:pPr>
            <w:r w:rsidRPr="004D46AC">
              <w:rPr>
                <w:rFonts w:eastAsia="SimSun"/>
                <w:color w:val="000000"/>
              </w:rPr>
              <w:t>D2--D9</w:t>
            </w:r>
          </w:p>
        </w:tc>
        <w:tc>
          <w:tcPr>
            <w:tcW w:w="1098" w:type="dxa"/>
            <w:vAlign w:val="center"/>
          </w:tcPr>
          <w:p w14:paraId="5E31A4DD"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318EABAC"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495CA2DA" w14:textId="77777777" w:rsidR="007075D9" w:rsidRPr="004D46AC" w:rsidRDefault="007075D9" w:rsidP="002C5F6E">
            <w:pPr>
              <w:spacing w:line="240" w:lineRule="auto"/>
              <w:ind w:firstLine="0"/>
            </w:pPr>
            <w:r w:rsidRPr="004D46AC">
              <w:rPr>
                <w:rFonts w:eastAsia="SimSun"/>
                <w:color w:val="000000"/>
              </w:rPr>
              <w:t xml:space="preserve">0.21 </w:t>
            </w:r>
          </w:p>
        </w:tc>
        <w:tc>
          <w:tcPr>
            <w:tcW w:w="901" w:type="dxa"/>
            <w:vAlign w:val="center"/>
          </w:tcPr>
          <w:p w14:paraId="01E055F9"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2CA54ABB" w14:textId="77777777" w:rsidTr="00B518F1">
        <w:tc>
          <w:tcPr>
            <w:tcW w:w="1704" w:type="dxa"/>
            <w:vAlign w:val="center"/>
          </w:tcPr>
          <w:p w14:paraId="6A97C32C" w14:textId="77777777" w:rsidR="007075D9" w:rsidRPr="004D46AC" w:rsidRDefault="007075D9" w:rsidP="002C5F6E">
            <w:pPr>
              <w:spacing w:line="240" w:lineRule="auto"/>
              <w:ind w:firstLine="0"/>
            </w:pPr>
            <w:r w:rsidRPr="004D46AC">
              <w:rPr>
                <w:rFonts w:eastAsia="SimSun"/>
                <w:color w:val="000000"/>
              </w:rPr>
              <w:t>D4--D5</w:t>
            </w:r>
          </w:p>
        </w:tc>
        <w:tc>
          <w:tcPr>
            <w:tcW w:w="1098" w:type="dxa"/>
            <w:vAlign w:val="center"/>
          </w:tcPr>
          <w:p w14:paraId="5B274D3E"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0DCB30B3"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4717E917" w14:textId="77777777" w:rsidR="007075D9" w:rsidRPr="004D46AC" w:rsidRDefault="007075D9" w:rsidP="002C5F6E">
            <w:pPr>
              <w:spacing w:line="240" w:lineRule="auto"/>
              <w:ind w:firstLine="0"/>
            </w:pPr>
            <w:r w:rsidRPr="004D46AC">
              <w:rPr>
                <w:rFonts w:eastAsia="SimSun"/>
                <w:color w:val="000000"/>
              </w:rPr>
              <w:t xml:space="preserve">0.19 </w:t>
            </w:r>
          </w:p>
        </w:tc>
        <w:tc>
          <w:tcPr>
            <w:tcW w:w="901" w:type="dxa"/>
            <w:vAlign w:val="center"/>
          </w:tcPr>
          <w:p w14:paraId="7B55FBAE"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35CA7B8E" w14:textId="77777777" w:rsidTr="00B518F1">
        <w:tc>
          <w:tcPr>
            <w:tcW w:w="1704" w:type="dxa"/>
            <w:vAlign w:val="center"/>
          </w:tcPr>
          <w:p w14:paraId="5C30BFF9" w14:textId="77777777" w:rsidR="007075D9" w:rsidRPr="004D46AC" w:rsidRDefault="007075D9" w:rsidP="002C5F6E">
            <w:pPr>
              <w:spacing w:line="240" w:lineRule="auto"/>
              <w:ind w:firstLine="0"/>
            </w:pPr>
            <w:r w:rsidRPr="004D46AC">
              <w:rPr>
                <w:rFonts w:eastAsia="SimSun"/>
                <w:color w:val="000000"/>
              </w:rPr>
              <w:t>D9--M1</w:t>
            </w:r>
          </w:p>
        </w:tc>
        <w:tc>
          <w:tcPr>
            <w:tcW w:w="1098" w:type="dxa"/>
            <w:vAlign w:val="center"/>
          </w:tcPr>
          <w:p w14:paraId="55419DB4"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514BF1F5"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698E2F99" w14:textId="77777777" w:rsidR="007075D9" w:rsidRPr="004D46AC" w:rsidRDefault="007075D9" w:rsidP="002C5F6E">
            <w:pPr>
              <w:spacing w:line="240" w:lineRule="auto"/>
              <w:ind w:firstLine="0"/>
            </w:pPr>
            <w:r w:rsidRPr="004D46AC">
              <w:rPr>
                <w:rFonts w:eastAsia="SimSun"/>
                <w:color w:val="000000"/>
              </w:rPr>
              <w:t xml:space="preserve">0.31 </w:t>
            </w:r>
          </w:p>
        </w:tc>
        <w:tc>
          <w:tcPr>
            <w:tcW w:w="901" w:type="dxa"/>
            <w:vAlign w:val="center"/>
          </w:tcPr>
          <w:p w14:paraId="0EC4FA7E" w14:textId="77777777" w:rsidR="007075D9" w:rsidRPr="004D46AC" w:rsidRDefault="007075D9" w:rsidP="002C5F6E">
            <w:pPr>
              <w:spacing w:line="240" w:lineRule="auto"/>
              <w:ind w:firstLine="0"/>
            </w:pPr>
            <w:r w:rsidRPr="004D46AC">
              <w:rPr>
                <w:rFonts w:eastAsia="SimSun"/>
                <w:color w:val="000000"/>
              </w:rPr>
              <w:t xml:space="preserve">0.52 </w:t>
            </w:r>
          </w:p>
        </w:tc>
      </w:tr>
      <w:tr w:rsidR="007075D9" w:rsidRPr="004D46AC" w14:paraId="4FB2875A" w14:textId="77777777" w:rsidTr="00B518F1">
        <w:tc>
          <w:tcPr>
            <w:tcW w:w="1704" w:type="dxa"/>
            <w:vAlign w:val="center"/>
          </w:tcPr>
          <w:p w14:paraId="33F2D0E0" w14:textId="77777777" w:rsidR="007075D9" w:rsidRPr="004D46AC" w:rsidRDefault="007075D9" w:rsidP="002C5F6E">
            <w:pPr>
              <w:spacing w:line="240" w:lineRule="auto"/>
              <w:ind w:firstLine="0"/>
            </w:pPr>
            <w:r w:rsidRPr="004D46AC">
              <w:rPr>
                <w:rFonts w:eastAsia="SimSun"/>
                <w:color w:val="000000"/>
              </w:rPr>
              <w:t>M4--M5</w:t>
            </w:r>
          </w:p>
        </w:tc>
        <w:tc>
          <w:tcPr>
            <w:tcW w:w="1098" w:type="dxa"/>
            <w:vAlign w:val="center"/>
          </w:tcPr>
          <w:p w14:paraId="0543F67F"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1B5426CD"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066156F3" w14:textId="77777777" w:rsidR="007075D9" w:rsidRPr="004D46AC" w:rsidRDefault="007075D9" w:rsidP="002C5F6E">
            <w:pPr>
              <w:spacing w:line="240" w:lineRule="auto"/>
              <w:ind w:firstLine="0"/>
            </w:pPr>
            <w:r w:rsidRPr="004D46AC">
              <w:rPr>
                <w:rFonts w:eastAsia="SimSun"/>
                <w:color w:val="000000"/>
              </w:rPr>
              <w:t xml:space="preserve">0.34 </w:t>
            </w:r>
          </w:p>
        </w:tc>
        <w:tc>
          <w:tcPr>
            <w:tcW w:w="901" w:type="dxa"/>
            <w:vAlign w:val="center"/>
          </w:tcPr>
          <w:p w14:paraId="5F515EE6" w14:textId="77777777" w:rsidR="007075D9" w:rsidRPr="004D46AC" w:rsidRDefault="007075D9" w:rsidP="002C5F6E">
            <w:pPr>
              <w:spacing w:line="240" w:lineRule="auto"/>
              <w:ind w:firstLine="0"/>
            </w:pPr>
            <w:r w:rsidRPr="004D46AC">
              <w:rPr>
                <w:rFonts w:eastAsia="SimSun"/>
                <w:color w:val="000000"/>
              </w:rPr>
              <w:t xml:space="preserve">0.38 </w:t>
            </w:r>
          </w:p>
        </w:tc>
      </w:tr>
      <w:tr w:rsidR="007075D9" w:rsidRPr="004D46AC" w14:paraId="4F460BE6" w14:textId="77777777" w:rsidTr="00B518F1">
        <w:tc>
          <w:tcPr>
            <w:tcW w:w="1704" w:type="dxa"/>
            <w:vAlign w:val="center"/>
          </w:tcPr>
          <w:p w14:paraId="0EFF73D2" w14:textId="77777777" w:rsidR="007075D9" w:rsidRPr="004D46AC" w:rsidRDefault="007075D9" w:rsidP="002C5F6E">
            <w:pPr>
              <w:spacing w:line="240" w:lineRule="auto"/>
              <w:ind w:firstLine="0"/>
            </w:pPr>
            <w:r w:rsidRPr="004D46AC">
              <w:rPr>
                <w:rFonts w:eastAsia="SimSun"/>
                <w:color w:val="000000"/>
              </w:rPr>
              <w:t>D7--D9</w:t>
            </w:r>
          </w:p>
        </w:tc>
        <w:tc>
          <w:tcPr>
            <w:tcW w:w="1098" w:type="dxa"/>
            <w:vAlign w:val="center"/>
          </w:tcPr>
          <w:p w14:paraId="790AF6E2"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34AE33C3"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1A049CD4" w14:textId="77777777" w:rsidR="007075D9" w:rsidRPr="004D46AC" w:rsidRDefault="007075D9" w:rsidP="002C5F6E">
            <w:pPr>
              <w:spacing w:line="240" w:lineRule="auto"/>
              <w:ind w:firstLine="0"/>
            </w:pPr>
            <w:r w:rsidRPr="004D46AC">
              <w:rPr>
                <w:rFonts w:eastAsia="SimSun"/>
                <w:color w:val="000000"/>
              </w:rPr>
              <w:t xml:space="preserve">0.20 </w:t>
            </w:r>
          </w:p>
        </w:tc>
        <w:tc>
          <w:tcPr>
            <w:tcW w:w="901" w:type="dxa"/>
            <w:vAlign w:val="center"/>
          </w:tcPr>
          <w:p w14:paraId="3E013474" w14:textId="77777777" w:rsidR="007075D9" w:rsidRPr="004D46AC" w:rsidRDefault="007075D9" w:rsidP="002C5F6E">
            <w:pPr>
              <w:spacing w:line="240" w:lineRule="auto"/>
              <w:ind w:firstLine="0"/>
            </w:pPr>
            <w:r w:rsidRPr="004D46AC">
              <w:rPr>
                <w:rFonts w:eastAsia="SimSun"/>
                <w:color w:val="000000"/>
              </w:rPr>
              <w:t xml:space="preserve">0.04 </w:t>
            </w:r>
          </w:p>
        </w:tc>
      </w:tr>
      <w:tr w:rsidR="007075D9" w:rsidRPr="004D46AC" w14:paraId="2B55EE5D" w14:textId="77777777" w:rsidTr="00B518F1">
        <w:tc>
          <w:tcPr>
            <w:tcW w:w="1704" w:type="dxa"/>
            <w:vAlign w:val="center"/>
          </w:tcPr>
          <w:p w14:paraId="4D435484" w14:textId="77777777" w:rsidR="007075D9" w:rsidRPr="004D46AC" w:rsidRDefault="007075D9" w:rsidP="002C5F6E">
            <w:pPr>
              <w:spacing w:line="240" w:lineRule="auto"/>
              <w:ind w:firstLine="0"/>
            </w:pPr>
            <w:r w:rsidRPr="004D46AC">
              <w:rPr>
                <w:rFonts w:eastAsia="SimSun"/>
                <w:color w:val="000000"/>
              </w:rPr>
              <w:t>M6--M11</w:t>
            </w:r>
          </w:p>
        </w:tc>
        <w:tc>
          <w:tcPr>
            <w:tcW w:w="1098" w:type="dxa"/>
            <w:vAlign w:val="center"/>
          </w:tcPr>
          <w:p w14:paraId="2B0E1D40"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5784FD29"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23F0F0BA" w14:textId="77777777" w:rsidR="007075D9" w:rsidRPr="004D46AC" w:rsidRDefault="007075D9" w:rsidP="002C5F6E">
            <w:pPr>
              <w:spacing w:line="240" w:lineRule="auto"/>
              <w:ind w:firstLine="0"/>
            </w:pPr>
            <w:r w:rsidRPr="004D46AC">
              <w:rPr>
                <w:rFonts w:eastAsia="SimSun"/>
                <w:color w:val="000000"/>
              </w:rPr>
              <w:t xml:space="preserve">0.33 </w:t>
            </w:r>
          </w:p>
        </w:tc>
        <w:tc>
          <w:tcPr>
            <w:tcW w:w="901" w:type="dxa"/>
            <w:vAlign w:val="center"/>
          </w:tcPr>
          <w:p w14:paraId="6D4FD972" w14:textId="77777777" w:rsidR="007075D9" w:rsidRPr="004D46AC" w:rsidRDefault="007075D9" w:rsidP="002C5F6E">
            <w:pPr>
              <w:spacing w:line="240" w:lineRule="auto"/>
              <w:ind w:firstLine="0"/>
            </w:pPr>
            <w:r w:rsidRPr="004D46AC">
              <w:rPr>
                <w:rFonts w:eastAsia="SimSun"/>
                <w:color w:val="000000"/>
              </w:rPr>
              <w:t xml:space="preserve">0.40 </w:t>
            </w:r>
          </w:p>
        </w:tc>
      </w:tr>
      <w:tr w:rsidR="007075D9" w:rsidRPr="004D46AC" w14:paraId="42A78632" w14:textId="77777777" w:rsidTr="00B518F1">
        <w:tc>
          <w:tcPr>
            <w:tcW w:w="1704" w:type="dxa"/>
            <w:vAlign w:val="center"/>
          </w:tcPr>
          <w:p w14:paraId="1AA63AAE" w14:textId="77777777" w:rsidR="007075D9" w:rsidRPr="004D46AC" w:rsidRDefault="007075D9" w:rsidP="002C5F6E">
            <w:pPr>
              <w:spacing w:line="240" w:lineRule="auto"/>
              <w:ind w:firstLine="0"/>
            </w:pPr>
            <w:r w:rsidRPr="004D46AC">
              <w:rPr>
                <w:rFonts w:eastAsia="SimSun"/>
                <w:color w:val="000000"/>
              </w:rPr>
              <w:t>PS--M5</w:t>
            </w:r>
          </w:p>
        </w:tc>
        <w:tc>
          <w:tcPr>
            <w:tcW w:w="1098" w:type="dxa"/>
            <w:vAlign w:val="center"/>
          </w:tcPr>
          <w:p w14:paraId="7625F754"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298E54B7"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5454CC6B" w14:textId="77777777" w:rsidR="007075D9" w:rsidRPr="004D46AC" w:rsidRDefault="007075D9" w:rsidP="002C5F6E">
            <w:pPr>
              <w:spacing w:line="240" w:lineRule="auto"/>
              <w:ind w:firstLine="0"/>
            </w:pPr>
            <w:r w:rsidRPr="004D46AC">
              <w:rPr>
                <w:rFonts w:eastAsia="SimSun"/>
                <w:color w:val="000000"/>
              </w:rPr>
              <w:t xml:space="preserve">0.27 </w:t>
            </w:r>
          </w:p>
        </w:tc>
        <w:tc>
          <w:tcPr>
            <w:tcW w:w="901" w:type="dxa"/>
            <w:vAlign w:val="center"/>
          </w:tcPr>
          <w:p w14:paraId="5432F9D7" w14:textId="77777777" w:rsidR="007075D9" w:rsidRPr="004D46AC" w:rsidRDefault="007075D9" w:rsidP="002C5F6E">
            <w:pPr>
              <w:spacing w:line="240" w:lineRule="auto"/>
              <w:ind w:firstLine="0"/>
            </w:pPr>
            <w:r w:rsidRPr="004D46AC">
              <w:rPr>
                <w:rFonts w:eastAsia="SimSun"/>
                <w:color w:val="000000"/>
              </w:rPr>
              <w:t xml:space="preserve">0.30 </w:t>
            </w:r>
          </w:p>
        </w:tc>
      </w:tr>
      <w:tr w:rsidR="007075D9" w:rsidRPr="004D46AC" w14:paraId="4D4E07FC" w14:textId="77777777" w:rsidTr="00B518F1">
        <w:tc>
          <w:tcPr>
            <w:tcW w:w="1704" w:type="dxa"/>
            <w:vAlign w:val="center"/>
          </w:tcPr>
          <w:p w14:paraId="2FD404E1" w14:textId="77777777" w:rsidR="007075D9" w:rsidRPr="004D46AC" w:rsidRDefault="007075D9" w:rsidP="002C5F6E">
            <w:pPr>
              <w:spacing w:line="240" w:lineRule="auto"/>
              <w:ind w:firstLine="0"/>
            </w:pPr>
            <w:r w:rsidRPr="004D46AC">
              <w:rPr>
                <w:rFonts w:eastAsia="SimSun"/>
                <w:color w:val="000000"/>
              </w:rPr>
              <w:t>M3--M11</w:t>
            </w:r>
          </w:p>
        </w:tc>
        <w:tc>
          <w:tcPr>
            <w:tcW w:w="1098" w:type="dxa"/>
            <w:vAlign w:val="center"/>
          </w:tcPr>
          <w:p w14:paraId="73CC07F9"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755ACC4C" w14:textId="77777777" w:rsidR="007075D9" w:rsidRPr="004D46AC" w:rsidRDefault="007075D9" w:rsidP="002C5F6E">
            <w:pPr>
              <w:spacing w:line="240" w:lineRule="auto"/>
              <w:ind w:firstLine="0"/>
            </w:pPr>
            <w:r w:rsidRPr="004D46AC">
              <w:rPr>
                <w:rFonts w:eastAsia="SimSun"/>
                <w:color w:val="000000"/>
              </w:rPr>
              <w:t xml:space="preserve">-0.14 </w:t>
            </w:r>
          </w:p>
        </w:tc>
        <w:tc>
          <w:tcPr>
            <w:tcW w:w="2410" w:type="dxa"/>
            <w:vAlign w:val="center"/>
          </w:tcPr>
          <w:p w14:paraId="375C6EBB" w14:textId="77777777" w:rsidR="007075D9" w:rsidRPr="004D46AC" w:rsidRDefault="007075D9" w:rsidP="002C5F6E">
            <w:pPr>
              <w:spacing w:line="240" w:lineRule="auto"/>
              <w:ind w:firstLine="0"/>
            </w:pPr>
            <w:r w:rsidRPr="004D46AC">
              <w:rPr>
                <w:rFonts w:eastAsia="SimSun"/>
                <w:color w:val="000000"/>
              </w:rPr>
              <w:t xml:space="preserve">0.34 </w:t>
            </w:r>
          </w:p>
        </w:tc>
        <w:tc>
          <w:tcPr>
            <w:tcW w:w="901" w:type="dxa"/>
            <w:vAlign w:val="center"/>
          </w:tcPr>
          <w:p w14:paraId="7010BDCB" w14:textId="77777777" w:rsidR="007075D9" w:rsidRPr="004D46AC" w:rsidRDefault="007075D9" w:rsidP="002C5F6E">
            <w:pPr>
              <w:spacing w:line="240" w:lineRule="auto"/>
              <w:ind w:firstLine="0"/>
            </w:pPr>
            <w:r w:rsidRPr="004D46AC">
              <w:rPr>
                <w:rFonts w:eastAsia="SimSun"/>
                <w:color w:val="000000"/>
              </w:rPr>
              <w:t xml:space="preserve">0.41 </w:t>
            </w:r>
          </w:p>
        </w:tc>
      </w:tr>
      <w:tr w:rsidR="007075D9" w:rsidRPr="004D46AC" w14:paraId="137E2F12" w14:textId="77777777" w:rsidTr="00B518F1">
        <w:tc>
          <w:tcPr>
            <w:tcW w:w="1704" w:type="dxa"/>
            <w:vAlign w:val="center"/>
          </w:tcPr>
          <w:p w14:paraId="45953679" w14:textId="77777777" w:rsidR="007075D9" w:rsidRPr="004D46AC" w:rsidRDefault="007075D9" w:rsidP="002C5F6E">
            <w:pPr>
              <w:spacing w:line="240" w:lineRule="auto"/>
              <w:ind w:firstLine="0"/>
            </w:pPr>
            <w:r w:rsidRPr="004D46AC">
              <w:rPr>
                <w:rFonts w:eastAsia="SimSun"/>
                <w:color w:val="000000"/>
              </w:rPr>
              <w:t>EI--M1</w:t>
            </w:r>
          </w:p>
        </w:tc>
        <w:tc>
          <w:tcPr>
            <w:tcW w:w="1098" w:type="dxa"/>
            <w:vAlign w:val="center"/>
          </w:tcPr>
          <w:p w14:paraId="08579754"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23551D0D" w14:textId="77777777" w:rsidR="007075D9" w:rsidRPr="004D46AC" w:rsidRDefault="007075D9" w:rsidP="002C5F6E">
            <w:pPr>
              <w:spacing w:line="240" w:lineRule="auto"/>
              <w:ind w:firstLine="0"/>
            </w:pPr>
            <w:r w:rsidRPr="004D46AC">
              <w:rPr>
                <w:rFonts w:eastAsia="SimSun"/>
                <w:color w:val="000000"/>
              </w:rPr>
              <w:t xml:space="preserve">-0.08 </w:t>
            </w:r>
          </w:p>
        </w:tc>
        <w:tc>
          <w:tcPr>
            <w:tcW w:w="2410" w:type="dxa"/>
            <w:vAlign w:val="center"/>
          </w:tcPr>
          <w:p w14:paraId="134843A8" w14:textId="77777777" w:rsidR="007075D9" w:rsidRPr="004D46AC" w:rsidRDefault="007075D9" w:rsidP="002C5F6E">
            <w:pPr>
              <w:spacing w:line="240" w:lineRule="auto"/>
              <w:ind w:firstLine="0"/>
            </w:pPr>
            <w:r w:rsidRPr="004D46AC">
              <w:rPr>
                <w:rFonts w:eastAsia="SimSun"/>
                <w:color w:val="000000"/>
              </w:rPr>
              <w:t xml:space="preserve">0.28 </w:t>
            </w:r>
          </w:p>
        </w:tc>
        <w:tc>
          <w:tcPr>
            <w:tcW w:w="901" w:type="dxa"/>
            <w:vAlign w:val="center"/>
          </w:tcPr>
          <w:p w14:paraId="565845E4" w14:textId="77777777" w:rsidR="007075D9" w:rsidRPr="004D46AC" w:rsidRDefault="007075D9" w:rsidP="002C5F6E">
            <w:pPr>
              <w:spacing w:line="240" w:lineRule="auto"/>
              <w:ind w:firstLine="0"/>
            </w:pPr>
            <w:r w:rsidRPr="004D46AC">
              <w:rPr>
                <w:rFonts w:eastAsia="SimSun"/>
                <w:color w:val="000000"/>
              </w:rPr>
              <w:t xml:space="preserve">0.40 </w:t>
            </w:r>
          </w:p>
        </w:tc>
      </w:tr>
      <w:tr w:rsidR="007075D9" w:rsidRPr="004D46AC" w14:paraId="07154A0D" w14:textId="77777777" w:rsidTr="00B518F1">
        <w:tc>
          <w:tcPr>
            <w:tcW w:w="1704" w:type="dxa"/>
            <w:vAlign w:val="center"/>
          </w:tcPr>
          <w:p w14:paraId="6AE086F3" w14:textId="77777777" w:rsidR="007075D9" w:rsidRPr="004D46AC" w:rsidRDefault="007075D9" w:rsidP="002C5F6E">
            <w:pPr>
              <w:spacing w:line="240" w:lineRule="auto"/>
              <w:ind w:firstLine="0"/>
            </w:pPr>
            <w:r w:rsidRPr="004D46AC">
              <w:rPr>
                <w:rFonts w:eastAsia="SimSun"/>
                <w:color w:val="000000"/>
              </w:rPr>
              <w:t>D8--M12</w:t>
            </w:r>
          </w:p>
        </w:tc>
        <w:tc>
          <w:tcPr>
            <w:tcW w:w="1098" w:type="dxa"/>
            <w:vAlign w:val="center"/>
          </w:tcPr>
          <w:p w14:paraId="42A60812"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769074AD"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1ED8FE65" w14:textId="77777777" w:rsidR="007075D9" w:rsidRPr="004D46AC" w:rsidRDefault="007075D9" w:rsidP="002C5F6E">
            <w:pPr>
              <w:spacing w:line="240" w:lineRule="auto"/>
              <w:ind w:firstLine="0"/>
            </w:pPr>
            <w:r w:rsidRPr="004D46AC">
              <w:rPr>
                <w:rFonts w:eastAsia="SimSun"/>
                <w:color w:val="000000"/>
              </w:rPr>
              <w:t xml:space="preserve">0.29 </w:t>
            </w:r>
          </w:p>
        </w:tc>
        <w:tc>
          <w:tcPr>
            <w:tcW w:w="901" w:type="dxa"/>
            <w:vAlign w:val="center"/>
          </w:tcPr>
          <w:p w14:paraId="05A431C0" w14:textId="77777777" w:rsidR="007075D9" w:rsidRPr="004D46AC" w:rsidRDefault="007075D9" w:rsidP="002C5F6E">
            <w:pPr>
              <w:spacing w:line="240" w:lineRule="auto"/>
              <w:ind w:firstLine="0"/>
            </w:pPr>
            <w:r w:rsidRPr="004D46AC">
              <w:rPr>
                <w:rFonts w:eastAsia="SimSun"/>
                <w:color w:val="000000"/>
              </w:rPr>
              <w:t xml:space="preserve">0.44 </w:t>
            </w:r>
          </w:p>
        </w:tc>
      </w:tr>
      <w:tr w:rsidR="007075D9" w:rsidRPr="004D46AC" w14:paraId="5F3A4BC9" w14:textId="77777777" w:rsidTr="00B518F1">
        <w:tc>
          <w:tcPr>
            <w:tcW w:w="1704" w:type="dxa"/>
            <w:vAlign w:val="center"/>
          </w:tcPr>
          <w:p w14:paraId="56C68A25" w14:textId="77777777" w:rsidR="007075D9" w:rsidRPr="004D46AC" w:rsidRDefault="007075D9" w:rsidP="002C5F6E">
            <w:pPr>
              <w:spacing w:line="240" w:lineRule="auto"/>
              <w:ind w:firstLine="0"/>
            </w:pPr>
            <w:r w:rsidRPr="004D46AC">
              <w:rPr>
                <w:rFonts w:eastAsia="SimSun"/>
                <w:color w:val="000000"/>
              </w:rPr>
              <w:t>EI--M7</w:t>
            </w:r>
          </w:p>
        </w:tc>
        <w:tc>
          <w:tcPr>
            <w:tcW w:w="1098" w:type="dxa"/>
            <w:vAlign w:val="center"/>
          </w:tcPr>
          <w:p w14:paraId="19AE9AD7"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5A76E513"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1E3EE1DF" w14:textId="77777777" w:rsidR="007075D9" w:rsidRPr="004D46AC" w:rsidRDefault="007075D9" w:rsidP="002C5F6E">
            <w:pPr>
              <w:spacing w:line="240" w:lineRule="auto"/>
              <w:ind w:firstLine="0"/>
            </w:pPr>
            <w:r w:rsidRPr="004D46AC">
              <w:rPr>
                <w:rFonts w:eastAsia="SimSun"/>
                <w:color w:val="000000"/>
              </w:rPr>
              <w:t xml:space="preserve">0.24 </w:t>
            </w:r>
          </w:p>
        </w:tc>
        <w:tc>
          <w:tcPr>
            <w:tcW w:w="901" w:type="dxa"/>
            <w:vAlign w:val="center"/>
          </w:tcPr>
          <w:p w14:paraId="6D6BE4ED" w14:textId="77777777" w:rsidR="007075D9" w:rsidRPr="004D46AC" w:rsidRDefault="007075D9" w:rsidP="002C5F6E">
            <w:pPr>
              <w:spacing w:line="240" w:lineRule="auto"/>
              <w:ind w:firstLine="0"/>
            </w:pPr>
            <w:r w:rsidRPr="004D46AC">
              <w:rPr>
                <w:rFonts w:eastAsia="SimSun"/>
                <w:color w:val="000000"/>
              </w:rPr>
              <w:t xml:space="preserve">0.41 </w:t>
            </w:r>
          </w:p>
        </w:tc>
      </w:tr>
      <w:tr w:rsidR="007075D9" w:rsidRPr="004D46AC" w14:paraId="51BBDE0C" w14:textId="77777777" w:rsidTr="00B518F1">
        <w:tc>
          <w:tcPr>
            <w:tcW w:w="1704" w:type="dxa"/>
            <w:vAlign w:val="center"/>
          </w:tcPr>
          <w:p w14:paraId="5A7A493E" w14:textId="77777777" w:rsidR="007075D9" w:rsidRPr="004D46AC" w:rsidRDefault="007075D9" w:rsidP="002C5F6E">
            <w:pPr>
              <w:spacing w:line="240" w:lineRule="auto"/>
              <w:ind w:firstLine="0"/>
            </w:pPr>
            <w:r w:rsidRPr="004D46AC">
              <w:rPr>
                <w:rFonts w:eastAsia="SimSun"/>
                <w:color w:val="000000"/>
              </w:rPr>
              <w:t>D4--D7</w:t>
            </w:r>
          </w:p>
        </w:tc>
        <w:tc>
          <w:tcPr>
            <w:tcW w:w="1098" w:type="dxa"/>
            <w:vAlign w:val="center"/>
          </w:tcPr>
          <w:p w14:paraId="2058A698"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03FBCB3F"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6DB0E1F0"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35D89AEA" w14:textId="77777777" w:rsidR="007075D9" w:rsidRPr="004D46AC" w:rsidRDefault="007075D9" w:rsidP="002C5F6E">
            <w:pPr>
              <w:spacing w:line="240" w:lineRule="auto"/>
              <w:ind w:firstLine="0"/>
            </w:pPr>
            <w:r w:rsidRPr="004D46AC">
              <w:rPr>
                <w:rFonts w:eastAsia="SimSun"/>
                <w:color w:val="000000"/>
              </w:rPr>
              <w:t xml:space="preserve">0.06 </w:t>
            </w:r>
          </w:p>
        </w:tc>
      </w:tr>
      <w:tr w:rsidR="007075D9" w:rsidRPr="004D46AC" w14:paraId="24A4EBE9" w14:textId="77777777" w:rsidTr="00B518F1">
        <w:tc>
          <w:tcPr>
            <w:tcW w:w="1704" w:type="dxa"/>
            <w:vAlign w:val="center"/>
          </w:tcPr>
          <w:p w14:paraId="2F424070" w14:textId="77777777" w:rsidR="007075D9" w:rsidRPr="004D46AC" w:rsidRDefault="007075D9" w:rsidP="002C5F6E">
            <w:pPr>
              <w:spacing w:line="240" w:lineRule="auto"/>
              <w:ind w:firstLine="0"/>
            </w:pPr>
            <w:r w:rsidRPr="004D46AC">
              <w:rPr>
                <w:rFonts w:eastAsia="SimSun"/>
                <w:color w:val="000000"/>
              </w:rPr>
              <w:t>D4--M7</w:t>
            </w:r>
          </w:p>
        </w:tc>
        <w:tc>
          <w:tcPr>
            <w:tcW w:w="1098" w:type="dxa"/>
            <w:vAlign w:val="center"/>
          </w:tcPr>
          <w:p w14:paraId="1BAEC682"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1B021716"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3A3C60C3" w14:textId="77777777" w:rsidR="007075D9" w:rsidRPr="004D46AC" w:rsidRDefault="007075D9" w:rsidP="002C5F6E">
            <w:pPr>
              <w:spacing w:line="240" w:lineRule="auto"/>
              <w:ind w:firstLine="0"/>
            </w:pPr>
            <w:r w:rsidRPr="004D46AC">
              <w:rPr>
                <w:rFonts w:eastAsia="SimSun"/>
                <w:color w:val="000000"/>
              </w:rPr>
              <w:t xml:space="preserve">0.24 </w:t>
            </w:r>
          </w:p>
        </w:tc>
        <w:tc>
          <w:tcPr>
            <w:tcW w:w="901" w:type="dxa"/>
            <w:vAlign w:val="center"/>
          </w:tcPr>
          <w:p w14:paraId="3958F467" w14:textId="77777777" w:rsidR="007075D9" w:rsidRPr="004D46AC" w:rsidRDefault="007075D9" w:rsidP="002C5F6E">
            <w:pPr>
              <w:spacing w:line="240" w:lineRule="auto"/>
              <w:ind w:firstLine="0"/>
            </w:pPr>
            <w:r w:rsidRPr="004D46AC">
              <w:rPr>
                <w:rFonts w:eastAsia="SimSun"/>
                <w:color w:val="000000"/>
              </w:rPr>
              <w:t xml:space="preserve">0.42 </w:t>
            </w:r>
          </w:p>
        </w:tc>
      </w:tr>
      <w:tr w:rsidR="007075D9" w:rsidRPr="004D46AC" w14:paraId="511524B1" w14:textId="77777777" w:rsidTr="00B518F1">
        <w:tc>
          <w:tcPr>
            <w:tcW w:w="1704" w:type="dxa"/>
            <w:vAlign w:val="center"/>
          </w:tcPr>
          <w:p w14:paraId="65FB10F9" w14:textId="77777777" w:rsidR="007075D9" w:rsidRPr="004D46AC" w:rsidRDefault="007075D9" w:rsidP="002C5F6E">
            <w:pPr>
              <w:spacing w:line="240" w:lineRule="auto"/>
              <w:ind w:firstLine="0"/>
            </w:pPr>
            <w:r w:rsidRPr="004D46AC">
              <w:rPr>
                <w:rFonts w:eastAsia="SimSun"/>
                <w:color w:val="000000"/>
              </w:rPr>
              <w:t>M2--M4</w:t>
            </w:r>
          </w:p>
        </w:tc>
        <w:tc>
          <w:tcPr>
            <w:tcW w:w="1098" w:type="dxa"/>
            <w:vAlign w:val="center"/>
          </w:tcPr>
          <w:p w14:paraId="6BC71DA9"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50C9CA3D"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68606B16" w14:textId="77777777" w:rsidR="007075D9" w:rsidRPr="004D46AC" w:rsidRDefault="007075D9" w:rsidP="002C5F6E">
            <w:pPr>
              <w:spacing w:line="240" w:lineRule="auto"/>
              <w:ind w:firstLine="0"/>
            </w:pPr>
            <w:r w:rsidRPr="004D46AC">
              <w:rPr>
                <w:rFonts w:eastAsia="SimSun"/>
                <w:color w:val="000000"/>
              </w:rPr>
              <w:t xml:space="preserve">0.29 </w:t>
            </w:r>
          </w:p>
        </w:tc>
        <w:tc>
          <w:tcPr>
            <w:tcW w:w="901" w:type="dxa"/>
            <w:vAlign w:val="center"/>
          </w:tcPr>
          <w:p w14:paraId="55F91E88" w14:textId="77777777" w:rsidR="007075D9" w:rsidRPr="004D46AC" w:rsidRDefault="007075D9" w:rsidP="002C5F6E">
            <w:pPr>
              <w:spacing w:line="240" w:lineRule="auto"/>
              <w:ind w:firstLine="0"/>
            </w:pPr>
            <w:r w:rsidRPr="004D46AC">
              <w:rPr>
                <w:rFonts w:eastAsia="SimSun"/>
                <w:color w:val="000000"/>
              </w:rPr>
              <w:t xml:space="preserve">0.35 </w:t>
            </w:r>
          </w:p>
        </w:tc>
      </w:tr>
      <w:tr w:rsidR="007075D9" w:rsidRPr="004D46AC" w14:paraId="35E8D249" w14:textId="77777777" w:rsidTr="00B518F1">
        <w:tc>
          <w:tcPr>
            <w:tcW w:w="1704" w:type="dxa"/>
            <w:vAlign w:val="center"/>
          </w:tcPr>
          <w:p w14:paraId="332D799C" w14:textId="77777777" w:rsidR="007075D9" w:rsidRPr="004D46AC" w:rsidRDefault="007075D9" w:rsidP="002C5F6E">
            <w:pPr>
              <w:spacing w:line="240" w:lineRule="auto"/>
              <w:ind w:firstLine="0"/>
            </w:pPr>
            <w:r w:rsidRPr="004D46AC">
              <w:rPr>
                <w:rFonts w:eastAsia="SimSun"/>
                <w:color w:val="000000"/>
              </w:rPr>
              <w:t>D9--P5</w:t>
            </w:r>
          </w:p>
        </w:tc>
        <w:tc>
          <w:tcPr>
            <w:tcW w:w="1098" w:type="dxa"/>
            <w:vAlign w:val="center"/>
          </w:tcPr>
          <w:p w14:paraId="729F314E"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60338328"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333B7F42" w14:textId="77777777" w:rsidR="007075D9" w:rsidRPr="004D46AC" w:rsidRDefault="007075D9" w:rsidP="002C5F6E">
            <w:pPr>
              <w:spacing w:line="240" w:lineRule="auto"/>
              <w:ind w:firstLine="0"/>
            </w:pPr>
            <w:r w:rsidRPr="004D46AC">
              <w:rPr>
                <w:rFonts w:eastAsia="SimSun"/>
                <w:color w:val="000000"/>
              </w:rPr>
              <w:t xml:space="preserve">0.28 </w:t>
            </w:r>
          </w:p>
        </w:tc>
        <w:tc>
          <w:tcPr>
            <w:tcW w:w="901" w:type="dxa"/>
            <w:vAlign w:val="center"/>
          </w:tcPr>
          <w:p w14:paraId="0C8DC5C5" w14:textId="77777777" w:rsidR="007075D9" w:rsidRPr="004D46AC" w:rsidRDefault="007075D9" w:rsidP="002C5F6E">
            <w:pPr>
              <w:spacing w:line="240" w:lineRule="auto"/>
              <w:ind w:firstLine="0"/>
            </w:pPr>
            <w:r w:rsidRPr="004D46AC">
              <w:rPr>
                <w:rFonts w:eastAsia="SimSun"/>
                <w:color w:val="000000"/>
              </w:rPr>
              <w:t xml:space="preserve">0.48 </w:t>
            </w:r>
          </w:p>
        </w:tc>
      </w:tr>
      <w:tr w:rsidR="007075D9" w:rsidRPr="004D46AC" w14:paraId="32594450" w14:textId="77777777" w:rsidTr="00B518F1">
        <w:tc>
          <w:tcPr>
            <w:tcW w:w="1704" w:type="dxa"/>
            <w:vAlign w:val="center"/>
          </w:tcPr>
          <w:p w14:paraId="3FD80B71" w14:textId="77777777" w:rsidR="007075D9" w:rsidRPr="004D46AC" w:rsidRDefault="007075D9" w:rsidP="002C5F6E">
            <w:pPr>
              <w:spacing w:line="240" w:lineRule="auto"/>
              <w:ind w:firstLine="0"/>
            </w:pPr>
            <w:r w:rsidRPr="004D46AC">
              <w:rPr>
                <w:rFonts w:eastAsia="SimSun"/>
                <w:color w:val="000000"/>
              </w:rPr>
              <w:t>D2--M2</w:t>
            </w:r>
          </w:p>
        </w:tc>
        <w:tc>
          <w:tcPr>
            <w:tcW w:w="1098" w:type="dxa"/>
            <w:vAlign w:val="center"/>
          </w:tcPr>
          <w:p w14:paraId="5E3BCE7B"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376D3C1F"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74A83944" w14:textId="77777777" w:rsidR="007075D9" w:rsidRPr="004D46AC" w:rsidRDefault="007075D9" w:rsidP="002C5F6E">
            <w:pPr>
              <w:spacing w:line="240" w:lineRule="auto"/>
              <w:ind w:firstLine="0"/>
            </w:pPr>
            <w:r w:rsidRPr="004D46AC">
              <w:rPr>
                <w:rFonts w:eastAsia="SimSun"/>
                <w:color w:val="000000"/>
              </w:rPr>
              <w:t xml:space="preserve">0.21 </w:t>
            </w:r>
          </w:p>
        </w:tc>
        <w:tc>
          <w:tcPr>
            <w:tcW w:w="901" w:type="dxa"/>
            <w:vAlign w:val="center"/>
          </w:tcPr>
          <w:p w14:paraId="74A9D4E5" w14:textId="77777777" w:rsidR="007075D9" w:rsidRPr="004D46AC" w:rsidRDefault="007075D9" w:rsidP="002C5F6E">
            <w:pPr>
              <w:spacing w:line="240" w:lineRule="auto"/>
              <w:ind w:firstLine="0"/>
            </w:pPr>
            <w:r w:rsidRPr="004D46AC">
              <w:rPr>
                <w:rFonts w:eastAsia="SimSun"/>
                <w:color w:val="000000"/>
              </w:rPr>
              <w:t xml:space="preserve">0.28 </w:t>
            </w:r>
          </w:p>
        </w:tc>
      </w:tr>
      <w:tr w:rsidR="007075D9" w:rsidRPr="004D46AC" w14:paraId="2F528ECD" w14:textId="77777777" w:rsidTr="00B518F1">
        <w:tc>
          <w:tcPr>
            <w:tcW w:w="1704" w:type="dxa"/>
            <w:vAlign w:val="center"/>
          </w:tcPr>
          <w:p w14:paraId="259E72ED" w14:textId="77777777" w:rsidR="007075D9" w:rsidRPr="004D46AC" w:rsidRDefault="007075D9" w:rsidP="002C5F6E">
            <w:pPr>
              <w:spacing w:line="240" w:lineRule="auto"/>
              <w:ind w:firstLine="0"/>
            </w:pPr>
            <w:r w:rsidRPr="004D46AC">
              <w:rPr>
                <w:rFonts w:eastAsia="SimSun"/>
                <w:color w:val="000000"/>
              </w:rPr>
              <w:t>M1--M7</w:t>
            </w:r>
          </w:p>
        </w:tc>
        <w:tc>
          <w:tcPr>
            <w:tcW w:w="1098" w:type="dxa"/>
            <w:vAlign w:val="center"/>
          </w:tcPr>
          <w:p w14:paraId="4AABBAF9"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3930CA3C" w14:textId="77777777" w:rsidR="007075D9" w:rsidRPr="004D46AC" w:rsidRDefault="007075D9" w:rsidP="002C5F6E">
            <w:pPr>
              <w:spacing w:line="240" w:lineRule="auto"/>
              <w:ind w:firstLine="0"/>
            </w:pPr>
            <w:r w:rsidRPr="004D46AC">
              <w:rPr>
                <w:rFonts w:eastAsia="SimSun"/>
                <w:color w:val="000000"/>
              </w:rPr>
              <w:t xml:space="preserve">-0.19 </w:t>
            </w:r>
          </w:p>
        </w:tc>
        <w:tc>
          <w:tcPr>
            <w:tcW w:w="2410" w:type="dxa"/>
            <w:vAlign w:val="center"/>
          </w:tcPr>
          <w:p w14:paraId="1FCB293B" w14:textId="77777777" w:rsidR="007075D9" w:rsidRPr="004D46AC" w:rsidRDefault="007075D9" w:rsidP="002C5F6E">
            <w:pPr>
              <w:spacing w:line="240" w:lineRule="auto"/>
              <w:ind w:firstLine="0"/>
            </w:pPr>
            <w:r w:rsidRPr="004D46AC">
              <w:rPr>
                <w:rFonts w:eastAsia="SimSun"/>
                <w:color w:val="000000"/>
              </w:rPr>
              <w:t xml:space="preserve">0.36 </w:t>
            </w:r>
          </w:p>
        </w:tc>
        <w:tc>
          <w:tcPr>
            <w:tcW w:w="901" w:type="dxa"/>
            <w:vAlign w:val="center"/>
          </w:tcPr>
          <w:p w14:paraId="4FF97035" w14:textId="77777777" w:rsidR="007075D9" w:rsidRPr="004D46AC" w:rsidRDefault="007075D9" w:rsidP="002C5F6E">
            <w:pPr>
              <w:spacing w:line="240" w:lineRule="auto"/>
              <w:ind w:firstLine="0"/>
            </w:pPr>
            <w:r w:rsidRPr="004D46AC">
              <w:rPr>
                <w:rFonts w:eastAsia="SimSun"/>
                <w:color w:val="000000"/>
              </w:rPr>
              <w:t xml:space="preserve">0.53 </w:t>
            </w:r>
          </w:p>
        </w:tc>
      </w:tr>
      <w:tr w:rsidR="007075D9" w:rsidRPr="004D46AC" w14:paraId="42F46041" w14:textId="77777777" w:rsidTr="00B518F1">
        <w:tc>
          <w:tcPr>
            <w:tcW w:w="1704" w:type="dxa"/>
            <w:vAlign w:val="center"/>
          </w:tcPr>
          <w:p w14:paraId="0D3D1762" w14:textId="77777777" w:rsidR="007075D9" w:rsidRPr="004D46AC" w:rsidRDefault="007075D9" w:rsidP="002C5F6E">
            <w:pPr>
              <w:spacing w:line="240" w:lineRule="auto"/>
              <w:ind w:firstLine="0"/>
            </w:pPr>
            <w:r w:rsidRPr="004D46AC">
              <w:rPr>
                <w:rFonts w:eastAsia="SimSun"/>
                <w:color w:val="000000"/>
              </w:rPr>
              <w:t>D2--D4</w:t>
            </w:r>
          </w:p>
        </w:tc>
        <w:tc>
          <w:tcPr>
            <w:tcW w:w="1098" w:type="dxa"/>
            <w:vAlign w:val="center"/>
          </w:tcPr>
          <w:p w14:paraId="7BB6B3F5" w14:textId="77777777" w:rsidR="007075D9" w:rsidRPr="004D46AC" w:rsidRDefault="007075D9" w:rsidP="002C5F6E">
            <w:pPr>
              <w:spacing w:line="240" w:lineRule="auto"/>
              <w:ind w:firstLine="0"/>
            </w:pPr>
            <w:r w:rsidRPr="004D46AC">
              <w:rPr>
                <w:rFonts w:eastAsia="SimSun"/>
                <w:color w:val="000000"/>
              </w:rPr>
              <w:t xml:space="preserve">0.08 </w:t>
            </w:r>
          </w:p>
        </w:tc>
        <w:tc>
          <w:tcPr>
            <w:tcW w:w="2409" w:type="dxa"/>
            <w:vAlign w:val="center"/>
          </w:tcPr>
          <w:p w14:paraId="2B22C866" w14:textId="77777777" w:rsidR="007075D9" w:rsidRPr="004D46AC" w:rsidRDefault="007075D9" w:rsidP="002C5F6E">
            <w:pPr>
              <w:spacing w:line="240" w:lineRule="auto"/>
              <w:ind w:firstLine="0"/>
            </w:pPr>
            <w:r w:rsidRPr="004D46AC">
              <w:rPr>
                <w:rFonts w:eastAsia="SimSun"/>
                <w:color w:val="000000"/>
              </w:rPr>
              <w:t xml:space="preserve">0.00 </w:t>
            </w:r>
          </w:p>
        </w:tc>
        <w:tc>
          <w:tcPr>
            <w:tcW w:w="2410" w:type="dxa"/>
            <w:vAlign w:val="center"/>
          </w:tcPr>
          <w:p w14:paraId="706EB769" w14:textId="77777777" w:rsidR="007075D9" w:rsidRPr="004D46AC" w:rsidRDefault="007075D9" w:rsidP="002C5F6E">
            <w:pPr>
              <w:spacing w:line="240" w:lineRule="auto"/>
              <w:ind w:firstLine="0"/>
            </w:pPr>
            <w:r w:rsidRPr="004D46AC">
              <w:rPr>
                <w:rFonts w:eastAsia="SimSun"/>
                <w:color w:val="000000"/>
              </w:rPr>
              <w:t xml:space="preserve">0.16 </w:t>
            </w:r>
          </w:p>
        </w:tc>
        <w:tc>
          <w:tcPr>
            <w:tcW w:w="901" w:type="dxa"/>
            <w:vAlign w:val="center"/>
          </w:tcPr>
          <w:p w14:paraId="627F267C" w14:textId="77777777" w:rsidR="007075D9" w:rsidRPr="004D46AC" w:rsidRDefault="007075D9" w:rsidP="002C5F6E">
            <w:pPr>
              <w:spacing w:line="240" w:lineRule="auto"/>
              <w:ind w:firstLine="0"/>
            </w:pPr>
            <w:r w:rsidRPr="004D46AC">
              <w:rPr>
                <w:rFonts w:eastAsia="SimSun"/>
                <w:color w:val="000000"/>
              </w:rPr>
              <w:t xml:space="preserve">0.16 </w:t>
            </w:r>
          </w:p>
        </w:tc>
      </w:tr>
      <w:tr w:rsidR="007075D9" w:rsidRPr="004D46AC" w14:paraId="1B56B352" w14:textId="77777777" w:rsidTr="00B518F1">
        <w:tc>
          <w:tcPr>
            <w:tcW w:w="1704" w:type="dxa"/>
            <w:vAlign w:val="center"/>
          </w:tcPr>
          <w:p w14:paraId="341D6519" w14:textId="77777777" w:rsidR="007075D9" w:rsidRPr="004D46AC" w:rsidRDefault="007075D9" w:rsidP="002C5F6E">
            <w:pPr>
              <w:spacing w:line="240" w:lineRule="auto"/>
              <w:ind w:firstLine="0"/>
            </w:pPr>
            <w:r w:rsidRPr="004D46AC">
              <w:rPr>
                <w:rFonts w:eastAsia="SimSun"/>
                <w:color w:val="000000"/>
              </w:rPr>
              <w:t>D9--PS</w:t>
            </w:r>
          </w:p>
        </w:tc>
        <w:tc>
          <w:tcPr>
            <w:tcW w:w="1098" w:type="dxa"/>
            <w:vAlign w:val="center"/>
          </w:tcPr>
          <w:p w14:paraId="66BC2E7F" w14:textId="77777777" w:rsidR="007075D9" w:rsidRPr="004D46AC" w:rsidRDefault="007075D9" w:rsidP="002C5F6E">
            <w:pPr>
              <w:spacing w:line="240" w:lineRule="auto"/>
              <w:ind w:firstLine="0"/>
            </w:pPr>
            <w:r w:rsidRPr="004D46AC">
              <w:rPr>
                <w:rFonts w:eastAsia="SimSun"/>
                <w:color w:val="000000"/>
              </w:rPr>
              <w:t xml:space="preserve">0.08 </w:t>
            </w:r>
          </w:p>
        </w:tc>
        <w:tc>
          <w:tcPr>
            <w:tcW w:w="2409" w:type="dxa"/>
            <w:vAlign w:val="center"/>
          </w:tcPr>
          <w:p w14:paraId="5C50A3BD"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1CA66F31"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380462FF" w14:textId="77777777" w:rsidR="007075D9" w:rsidRPr="004D46AC" w:rsidRDefault="007075D9" w:rsidP="002C5F6E">
            <w:pPr>
              <w:spacing w:line="240" w:lineRule="auto"/>
              <w:ind w:firstLine="0"/>
            </w:pPr>
            <w:r w:rsidRPr="004D46AC">
              <w:rPr>
                <w:rFonts w:eastAsia="SimSun"/>
                <w:color w:val="000000"/>
              </w:rPr>
              <w:t xml:space="preserve">0.23 </w:t>
            </w:r>
          </w:p>
        </w:tc>
      </w:tr>
      <w:tr w:rsidR="007075D9" w:rsidRPr="004D46AC" w14:paraId="46BF6063" w14:textId="77777777" w:rsidTr="00B518F1">
        <w:tc>
          <w:tcPr>
            <w:tcW w:w="1704" w:type="dxa"/>
            <w:vAlign w:val="center"/>
          </w:tcPr>
          <w:p w14:paraId="682A0CBB" w14:textId="77777777" w:rsidR="007075D9" w:rsidRPr="004D46AC" w:rsidRDefault="007075D9" w:rsidP="002C5F6E">
            <w:pPr>
              <w:spacing w:line="240" w:lineRule="auto"/>
              <w:ind w:firstLine="0"/>
            </w:pPr>
            <w:r w:rsidRPr="004D46AC">
              <w:rPr>
                <w:rFonts w:eastAsia="SimSun"/>
                <w:color w:val="000000"/>
              </w:rPr>
              <w:t>D1--D6</w:t>
            </w:r>
          </w:p>
        </w:tc>
        <w:tc>
          <w:tcPr>
            <w:tcW w:w="1098" w:type="dxa"/>
            <w:vAlign w:val="center"/>
          </w:tcPr>
          <w:p w14:paraId="303747C3" w14:textId="77777777" w:rsidR="007075D9" w:rsidRPr="004D46AC" w:rsidRDefault="007075D9" w:rsidP="002C5F6E">
            <w:pPr>
              <w:spacing w:line="240" w:lineRule="auto"/>
              <w:ind w:firstLine="0"/>
            </w:pPr>
            <w:r w:rsidRPr="004D46AC">
              <w:rPr>
                <w:rFonts w:eastAsia="SimSun"/>
                <w:color w:val="000000"/>
              </w:rPr>
              <w:t xml:space="preserve">0.08 </w:t>
            </w:r>
          </w:p>
        </w:tc>
        <w:tc>
          <w:tcPr>
            <w:tcW w:w="2409" w:type="dxa"/>
            <w:vAlign w:val="center"/>
          </w:tcPr>
          <w:p w14:paraId="53C8D7E9"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5B0FD7D7"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09D836EA" w14:textId="77777777" w:rsidR="007075D9" w:rsidRPr="004D46AC" w:rsidRDefault="007075D9" w:rsidP="002C5F6E">
            <w:pPr>
              <w:spacing w:line="240" w:lineRule="auto"/>
              <w:ind w:firstLine="0"/>
            </w:pPr>
            <w:r w:rsidRPr="004D46AC">
              <w:rPr>
                <w:rFonts w:eastAsia="SimSun"/>
                <w:color w:val="000000"/>
              </w:rPr>
              <w:t xml:space="preserve">0.18 </w:t>
            </w:r>
          </w:p>
        </w:tc>
      </w:tr>
      <w:tr w:rsidR="007075D9" w:rsidRPr="004D46AC" w14:paraId="18AF6208" w14:textId="77777777" w:rsidTr="00B518F1">
        <w:tc>
          <w:tcPr>
            <w:tcW w:w="1704" w:type="dxa"/>
            <w:vAlign w:val="center"/>
          </w:tcPr>
          <w:p w14:paraId="36E18457" w14:textId="77777777" w:rsidR="007075D9" w:rsidRPr="004D46AC" w:rsidRDefault="007075D9" w:rsidP="002C5F6E">
            <w:pPr>
              <w:spacing w:line="240" w:lineRule="auto"/>
              <w:ind w:firstLine="0"/>
            </w:pPr>
            <w:r w:rsidRPr="004D46AC">
              <w:rPr>
                <w:rFonts w:eastAsia="SimSun"/>
                <w:color w:val="000000"/>
              </w:rPr>
              <w:t>EI--P5</w:t>
            </w:r>
          </w:p>
        </w:tc>
        <w:tc>
          <w:tcPr>
            <w:tcW w:w="1098" w:type="dxa"/>
            <w:vAlign w:val="center"/>
          </w:tcPr>
          <w:p w14:paraId="049ED74C"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5CB64258"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571C0B99" w14:textId="77777777" w:rsidR="007075D9" w:rsidRPr="004D46AC" w:rsidRDefault="007075D9" w:rsidP="002C5F6E">
            <w:pPr>
              <w:spacing w:line="240" w:lineRule="auto"/>
              <w:ind w:firstLine="0"/>
            </w:pPr>
            <w:r w:rsidRPr="004D46AC">
              <w:rPr>
                <w:rFonts w:eastAsia="SimSun"/>
                <w:color w:val="000000"/>
              </w:rPr>
              <w:t xml:space="preserve">0.24 </w:t>
            </w:r>
          </w:p>
        </w:tc>
        <w:tc>
          <w:tcPr>
            <w:tcW w:w="901" w:type="dxa"/>
            <w:vAlign w:val="center"/>
          </w:tcPr>
          <w:p w14:paraId="69F5E06B" w14:textId="77777777" w:rsidR="007075D9" w:rsidRPr="004D46AC" w:rsidRDefault="007075D9" w:rsidP="002C5F6E">
            <w:pPr>
              <w:spacing w:line="240" w:lineRule="auto"/>
              <w:ind w:firstLine="0"/>
            </w:pPr>
            <w:r w:rsidRPr="004D46AC">
              <w:rPr>
                <w:rFonts w:eastAsia="SimSun"/>
                <w:color w:val="000000"/>
              </w:rPr>
              <w:t xml:space="preserve">0.52 </w:t>
            </w:r>
          </w:p>
        </w:tc>
      </w:tr>
      <w:tr w:rsidR="007075D9" w:rsidRPr="004D46AC" w14:paraId="0021005E" w14:textId="77777777" w:rsidTr="00B518F1">
        <w:tc>
          <w:tcPr>
            <w:tcW w:w="1704" w:type="dxa"/>
            <w:vAlign w:val="center"/>
          </w:tcPr>
          <w:p w14:paraId="1B509BBC" w14:textId="77777777" w:rsidR="007075D9" w:rsidRPr="004D46AC" w:rsidRDefault="007075D9" w:rsidP="002C5F6E">
            <w:pPr>
              <w:spacing w:line="240" w:lineRule="auto"/>
              <w:ind w:firstLine="0"/>
            </w:pPr>
            <w:r w:rsidRPr="004D46AC">
              <w:rPr>
                <w:rFonts w:eastAsia="SimSun"/>
                <w:color w:val="000000"/>
              </w:rPr>
              <w:t>D3--M6</w:t>
            </w:r>
          </w:p>
        </w:tc>
        <w:tc>
          <w:tcPr>
            <w:tcW w:w="1098" w:type="dxa"/>
            <w:vAlign w:val="center"/>
          </w:tcPr>
          <w:p w14:paraId="7E733211"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2454ADEA"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5FA0A7AC" w14:textId="77777777" w:rsidR="007075D9" w:rsidRPr="004D46AC" w:rsidRDefault="007075D9" w:rsidP="002C5F6E">
            <w:pPr>
              <w:spacing w:line="240" w:lineRule="auto"/>
              <w:ind w:firstLine="0"/>
            </w:pPr>
            <w:r w:rsidRPr="004D46AC">
              <w:rPr>
                <w:rFonts w:eastAsia="SimSun"/>
                <w:color w:val="000000"/>
              </w:rPr>
              <w:t xml:space="preserve">0.19 </w:t>
            </w:r>
          </w:p>
        </w:tc>
        <w:tc>
          <w:tcPr>
            <w:tcW w:w="901" w:type="dxa"/>
            <w:vAlign w:val="center"/>
          </w:tcPr>
          <w:p w14:paraId="314D5E22" w14:textId="77777777" w:rsidR="007075D9" w:rsidRPr="004D46AC" w:rsidRDefault="007075D9" w:rsidP="002C5F6E">
            <w:pPr>
              <w:spacing w:line="240" w:lineRule="auto"/>
              <w:ind w:firstLine="0"/>
            </w:pPr>
            <w:r w:rsidRPr="004D46AC">
              <w:rPr>
                <w:rFonts w:eastAsia="SimSun"/>
                <w:color w:val="000000"/>
              </w:rPr>
              <w:t xml:space="preserve">0.24 </w:t>
            </w:r>
          </w:p>
        </w:tc>
      </w:tr>
      <w:tr w:rsidR="007075D9" w:rsidRPr="004D46AC" w14:paraId="4BDCB91C" w14:textId="77777777" w:rsidTr="00B518F1">
        <w:tc>
          <w:tcPr>
            <w:tcW w:w="1704" w:type="dxa"/>
            <w:vAlign w:val="center"/>
          </w:tcPr>
          <w:p w14:paraId="0D17CA9A" w14:textId="77777777" w:rsidR="007075D9" w:rsidRPr="004D46AC" w:rsidRDefault="007075D9" w:rsidP="002C5F6E">
            <w:pPr>
              <w:spacing w:line="240" w:lineRule="auto"/>
              <w:ind w:firstLine="0"/>
            </w:pPr>
            <w:r w:rsidRPr="004D46AC">
              <w:rPr>
                <w:rFonts w:eastAsia="SimSun"/>
                <w:color w:val="000000"/>
              </w:rPr>
              <w:t>D5--D9</w:t>
            </w:r>
          </w:p>
        </w:tc>
        <w:tc>
          <w:tcPr>
            <w:tcW w:w="1098" w:type="dxa"/>
            <w:vAlign w:val="center"/>
          </w:tcPr>
          <w:p w14:paraId="64C42F1D"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55506A74"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0910C986"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640FC3F0" w14:textId="77777777" w:rsidR="007075D9" w:rsidRPr="004D46AC" w:rsidRDefault="007075D9" w:rsidP="002C5F6E">
            <w:pPr>
              <w:spacing w:line="240" w:lineRule="auto"/>
              <w:ind w:firstLine="0"/>
            </w:pPr>
            <w:r w:rsidRPr="004D46AC">
              <w:rPr>
                <w:rFonts w:eastAsia="SimSun"/>
                <w:color w:val="000000"/>
              </w:rPr>
              <w:t xml:space="preserve">0.20 </w:t>
            </w:r>
          </w:p>
        </w:tc>
      </w:tr>
      <w:tr w:rsidR="007075D9" w:rsidRPr="004D46AC" w14:paraId="5E4F9459" w14:textId="77777777" w:rsidTr="00B518F1">
        <w:tc>
          <w:tcPr>
            <w:tcW w:w="1704" w:type="dxa"/>
            <w:vAlign w:val="center"/>
          </w:tcPr>
          <w:p w14:paraId="6DB648BA" w14:textId="77777777" w:rsidR="007075D9" w:rsidRPr="004D46AC" w:rsidRDefault="007075D9" w:rsidP="002C5F6E">
            <w:pPr>
              <w:spacing w:line="240" w:lineRule="auto"/>
              <w:ind w:firstLine="0"/>
            </w:pPr>
            <w:r w:rsidRPr="004D46AC">
              <w:rPr>
                <w:rFonts w:eastAsia="SimSun"/>
                <w:color w:val="000000"/>
              </w:rPr>
              <w:t>M1--M2</w:t>
            </w:r>
          </w:p>
        </w:tc>
        <w:tc>
          <w:tcPr>
            <w:tcW w:w="1098" w:type="dxa"/>
            <w:vAlign w:val="center"/>
          </w:tcPr>
          <w:p w14:paraId="0510F472"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767E6A0A" w14:textId="77777777" w:rsidR="007075D9" w:rsidRPr="004D46AC" w:rsidRDefault="007075D9" w:rsidP="002C5F6E">
            <w:pPr>
              <w:spacing w:line="240" w:lineRule="auto"/>
              <w:ind w:firstLine="0"/>
            </w:pPr>
            <w:r w:rsidRPr="004D46AC">
              <w:rPr>
                <w:rFonts w:eastAsia="SimSun"/>
                <w:color w:val="000000"/>
              </w:rPr>
              <w:t xml:space="preserve">-0.17 </w:t>
            </w:r>
          </w:p>
        </w:tc>
        <w:tc>
          <w:tcPr>
            <w:tcW w:w="2410" w:type="dxa"/>
            <w:vAlign w:val="center"/>
          </w:tcPr>
          <w:p w14:paraId="6AB6FD69" w14:textId="77777777" w:rsidR="007075D9" w:rsidRPr="004D46AC" w:rsidRDefault="007075D9" w:rsidP="002C5F6E">
            <w:pPr>
              <w:spacing w:line="240" w:lineRule="auto"/>
              <w:ind w:firstLine="0"/>
            </w:pPr>
            <w:r w:rsidRPr="004D46AC">
              <w:rPr>
                <w:rFonts w:eastAsia="SimSun"/>
                <w:color w:val="000000"/>
              </w:rPr>
              <w:t xml:space="preserve">0.31 </w:t>
            </w:r>
          </w:p>
        </w:tc>
        <w:tc>
          <w:tcPr>
            <w:tcW w:w="901" w:type="dxa"/>
            <w:vAlign w:val="center"/>
          </w:tcPr>
          <w:p w14:paraId="0924A80C" w14:textId="77777777" w:rsidR="007075D9" w:rsidRPr="004D46AC" w:rsidRDefault="007075D9" w:rsidP="002C5F6E">
            <w:pPr>
              <w:spacing w:line="240" w:lineRule="auto"/>
              <w:ind w:firstLine="0"/>
            </w:pPr>
            <w:r w:rsidRPr="004D46AC">
              <w:rPr>
                <w:rFonts w:eastAsia="SimSun"/>
                <w:color w:val="000000"/>
              </w:rPr>
              <w:t xml:space="preserve">0.52 </w:t>
            </w:r>
          </w:p>
        </w:tc>
      </w:tr>
      <w:tr w:rsidR="007075D9" w:rsidRPr="004D46AC" w14:paraId="64B245AE" w14:textId="77777777" w:rsidTr="00B518F1">
        <w:tc>
          <w:tcPr>
            <w:tcW w:w="1704" w:type="dxa"/>
            <w:vAlign w:val="center"/>
          </w:tcPr>
          <w:p w14:paraId="2DFAF8D1" w14:textId="77777777" w:rsidR="007075D9" w:rsidRPr="004D46AC" w:rsidRDefault="007075D9" w:rsidP="002C5F6E">
            <w:pPr>
              <w:spacing w:line="240" w:lineRule="auto"/>
              <w:ind w:firstLine="0"/>
            </w:pPr>
            <w:r w:rsidRPr="004D46AC">
              <w:rPr>
                <w:rFonts w:eastAsia="SimSun"/>
                <w:color w:val="000000"/>
              </w:rPr>
              <w:t>D6--PS</w:t>
            </w:r>
          </w:p>
        </w:tc>
        <w:tc>
          <w:tcPr>
            <w:tcW w:w="1098" w:type="dxa"/>
            <w:vAlign w:val="center"/>
          </w:tcPr>
          <w:p w14:paraId="102845A4"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740464A4"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6795CD07"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78E783A5" w14:textId="77777777" w:rsidR="007075D9" w:rsidRPr="004D46AC" w:rsidRDefault="007075D9" w:rsidP="002C5F6E">
            <w:pPr>
              <w:spacing w:line="240" w:lineRule="auto"/>
              <w:ind w:firstLine="0"/>
            </w:pPr>
            <w:r w:rsidRPr="004D46AC">
              <w:rPr>
                <w:rFonts w:eastAsia="SimSun"/>
                <w:color w:val="000000"/>
              </w:rPr>
              <w:t xml:space="preserve">0.24 </w:t>
            </w:r>
          </w:p>
        </w:tc>
      </w:tr>
      <w:tr w:rsidR="007075D9" w:rsidRPr="004D46AC" w14:paraId="08C9B30B" w14:textId="77777777" w:rsidTr="00B518F1">
        <w:tc>
          <w:tcPr>
            <w:tcW w:w="1704" w:type="dxa"/>
            <w:vAlign w:val="center"/>
          </w:tcPr>
          <w:p w14:paraId="2627FE0D" w14:textId="77777777" w:rsidR="007075D9" w:rsidRPr="004D46AC" w:rsidRDefault="007075D9" w:rsidP="002C5F6E">
            <w:pPr>
              <w:spacing w:line="240" w:lineRule="auto"/>
              <w:ind w:firstLine="0"/>
            </w:pPr>
            <w:r w:rsidRPr="004D46AC">
              <w:rPr>
                <w:rFonts w:eastAsia="SimSun"/>
                <w:color w:val="000000"/>
              </w:rPr>
              <w:t>D6--D8</w:t>
            </w:r>
          </w:p>
        </w:tc>
        <w:tc>
          <w:tcPr>
            <w:tcW w:w="1098" w:type="dxa"/>
            <w:vAlign w:val="center"/>
          </w:tcPr>
          <w:p w14:paraId="674A0A64"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1E7D9E15"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542659DA"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5E51F24F" w14:textId="77777777" w:rsidR="007075D9" w:rsidRPr="004D46AC" w:rsidRDefault="007075D9" w:rsidP="002C5F6E">
            <w:pPr>
              <w:spacing w:line="240" w:lineRule="auto"/>
              <w:ind w:firstLine="0"/>
            </w:pPr>
            <w:r w:rsidRPr="004D46AC">
              <w:rPr>
                <w:rFonts w:eastAsia="SimSun"/>
                <w:color w:val="000000"/>
              </w:rPr>
              <w:t xml:space="preserve">0.27 </w:t>
            </w:r>
          </w:p>
        </w:tc>
      </w:tr>
      <w:tr w:rsidR="007075D9" w:rsidRPr="004D46AC" w14:paraId="3C8D1C1F" w14:textId="77777777" w:rsidTr="00B518F1">
        <w:tc>
          <w:tcPr>
            <w:tcW w:w="1704" w:type="dxa"/>
            <w:vAlign w:val="center"/>
          </w:tcPr>
          <w:p w14:paraId="3CE66784" w14:textId="77777777" w:rsidR="007075D9" w:rsidRPr="004D46AC" w:rsidRDefault="007075D9" w:rsidP="002C5F6E">
            <w:pPr>
              <w:spacing w:line="240" w:lineRule="auto"/>
              <w:ind w:firstLine="0"/>
            </w:pPr>
            <w:r w:rsidRPr="004D46AC">
              <w:rPr>
                <w:rFonts w:eastAsia="SimSun"/>
                <w:color w:val="000000"/>
              </w:rPr>
              <w:t>D1--D5</w:t>
            </w:r>
          </w:p>
        </w:tc>
        <w:tc>
          <w:tcPr>
            <w:tcW w:w="1098" w:type="dxa"/>
            <w:vAlign w:val="center"/>
          </w:tcPr>
          <w:p w14:paraId="6E1E0778"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1111829A"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67CC1919"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1BEBB50B" w14:textId="77777777" w:rsidR="007075D9" w:rsidRPr="004D46AC" w:rsidRDefault="007075D9" w:rsidP="002C5F6E">
            <w:pPr>
              <w:spacing w:line="240" w:lineRule="auto"/>
              <w:ind w:firstLine="0"/>
            </w:pPr>
            <w:r w:rsidRPr="004D46AC">
              <w:rPr>
                <w:rFonts w:eastAsia="SimSun"/>
                <w:color w:val="000000"/>
              </w:rPr>
              <w:t xml:space="preserve">0.30 </w:t>
            </w:r>
          </w:p>
        </w:tc>
      </w:tr>
      <w:tr w:rsidR="007075D9" w:rsidRPr="004D46AC" w14:paraId="7BC27175" w14:textId="77777777" w:rsidTr="00B518F1">
        <w:tc>
          <w:tcPr>
            <w:tcW w:w="1704" w:type="dxa"/>
            <w:vAlign w:val="center"/>
          </w:tcPr>
          <w:p w14:paraId="0C7CA2CA" w14:textId="77777777" w:rsidR="007075D9" w:rsidRPr="004D46AC" w:rsidRDefault="007075D9" w:rsidP="002C5F6E">
            <w:pPr>
              <w:spacing w:line="240" w:lineRule="auto"/>
              <w:ind w:firstLine="0"/>
            </w:pPr>
            <w:r w:rsidRPr="004D46AC">
              <w:rPr>
                <w:rFonts w:eastAsia="SimSun"/>
                <w:color w:val="000000"/>
              </w:rPr>
              <w:t>D4--D6</w:t>
            </w:r>
          </w:p>
        </w:tc>
        <w:tc>
          <w:tcPr>
            <w:tcW w:w="1098" w:type="dxa"/>
            <w:vAlign w:val="center"/>
          </w:tcPr>
          <w:p w14:paraId="247DC479"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07E72C6E"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4AA01C9A" w14:textId="77777777" w:rsidR="007075D9" w:rsidRPr="004D46AC" w:rsidRDefault="007075D9" w:rsidP="002C5F6E">
            <w:pPr>
              <w:spacing w:line="240" w:lineRule="auto"/>
              <w:ind w:firstLine="0"/>
            </w:pPr>
            <w:r w:rsidRPr="004D46AC">
              <w:rPr>
                <w:rFonts w:eastAsia="SimSun"/>
                <w:color w:val="000000"/>
              </w:rPr>
              <w:t xml:space="preserve">0.13 </w:t>
            </w:r>
          </w:p>
        </w:tc>
        <w:tc>
          <w:tcPr>
            <w:tcW w:w="901" w:type="dxa"/>
            <w:vAlign w:val="center"/>
          </w:tcPr>
          <w:p w14:paraId="7B7612F6" w14:textId="77777777" w:rsidR="007075D9" w:rsidRPr="004D46AC" w:rsidRDefault="007075D9" w:rsidP="002C5F6E">
            <w:pPr>
              <w:spacing w:line="240" w:lineRule="auto"/>
              <w:ind w:firstLine="0"/>
            </w:pPr>
            <w:r w:rsidRPr="004D46AC">
              <w:rPr>
                <w:rFonts w:eastAsia="SimSun"/>
                <w:color w:val="000000"/>
              </w:rPr>
              <w:t xml:space="preserve">0.24 </w:t>
            </w:r>
          </w:p>
        </w:tc>
      </w:tr>
      <w:tr w:rsidR="007075D9" w:rsidRPr="004D46AC" w14:paraId="25DC041D" w14:textId="77777777" w:rsidTr="00B518F1">
        <w:tc>
          <w:tcPr>
            <w:tcW w:w="1704" w:type="dxa"/>
            <w:vAlign w:val="center"/>
          </w:tcPr>
          <w:p w14:paraId="6D878CB6" w14:textId="77777777" w:rsidR="007075D9" w:rsidRPr="004D46AC" w:rsidRDefault="007075D9" w:rsidP="002C5F6E">
            <w:pPr>
              <w:spacing w:line="240" w:lineRule="auto"/>
              <w:ind w:firstLine="0"/>
            </w:pPr>
            <w:r w:rsidRPr="004D46AC">
              <w:rPr>
                <w:rFonts w:eastAsia="SimSun"/>
                <w:color w:val="000000"/>
              </w:rPr>
              <w:t>D3--D7</w:t>
            </w:r>
          </w:p>
        </w:tc>
        <w:tc>
          <w:tcPr>
            <w:tcW w:w="1098" w:type="dxa"/>
            <w:vAlign w:val="center"/>
          </w:tcPr>
          <w:p w14:paraId="042E2206"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78DBF60D"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297B4191" w14:textId="77777777" w:rsidR="007075D9" w:rsidRPr="004D46AC" w:rsidRDefault="007075D9" w:rsidP="002C5F6E">
            <w:pPr>
              <w:spacing w:line="240" w:lineRule="auto"/>
              <w:ind w:firstLine="0"/>
            </w:pPr>
            <w:r w:rsidRPr="004D46AC">
              <w:rPr>
                <w:rFonts w:eastAsia="SimSun"/>
                <w:color w:val="000000"/>
              </w:rPr>
              <w:t xml:space="preserve">0.13 </w:t>
            </w:r>
          </w:p>
        </w:tc>
        <w:tc>
          <w:tcPr>
            <w:tcW w:w="901" w:type="dxa"/>
            <w:vAlign w:val="center"/>
          </w:tcPr>
          <w:p w14:paraId="788F206E" w14:textId="77777777" w:rsidR="007075D9" w:rsidRPr="004D46AC" w:rsidRDefault="007075D9" w:rsidP="002C5F6E">
            <w:pPr>
              <w:spacing w:line="240" w:lineRule="auto"/>
              <w:ind w:firstLine="0"/>
            </w:pPr>
            <w:r w:rsidRPr="004D46AC">
              <w:rPr>
                <w:rFonts w:eastAsia="SimSun"/>
                <w:color w:val="000000"/>
              </w:rPr>
              <w:t xml:space="preserve">0.25 </w:t>
            </w:r>
          </w:p>
        </w:tc>
      </w:tr>
      <w:tr w:rsidR="007075D9" w:rsidRPr="004D46AC" w14:paraId="0ACD7C95" w14:textId="77777777" w:rsidTr="00B518F1">
        <w:tc>
          <w:tcPr>
            <w:tcW w:w="1704" w:type="dxa"/>
            <w:vAlign w:val="center"/>
          </w:tcPr>
          <w:p w14:paraId="04969299" w14:textId="77777777" w:rsidR="007075D9" w:rsidRPr="004D46AC" w:rsidRDefault="007075D9" w:rsidP="002C5F6E">
            <w:pPr>
              <w:spacing w:line="240" w:lineRule="auto"/>
              <w:ind w:firstLine="0"/>
            </w:pPr>
            <w:r w:rsidRPr="004D46AC">
              <w:rPr>
                <w:rFonts w:eastAsia="SimSun"/>
                <w:color w:val="000000"/>
              </w:rPr>
              <w:t>D4--M6</w:t>
            </w:r>
          </w:p>
        </w:tc>
        <w:tc>
          <w:tcPr>
            <w:tcW w:w="1098" w:type="dxa"/>
            <w:vAlign w:val="center"/>
          </w:tcPr>
          <w:p w14:paraId="1F82A4B1"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71F4DB1C"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5986C5F2"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2264A9A9" w14:textId="77777777" w:rsidR="007075D9" w:rsidRPr="004D46AC" w:rsidRDefault="007075D9" w:rsidP="002C5F6E">
            <w:pPr>
              <w:spacing w:line="240" w:lineRule="auto"/>
              <w:ind w:firstLine="0"/>
            </w:pPr>
            <w:r w:rsidRPr="004D46AC">
              <w:rPr>
                <w:rFonts w:eastAsia="SimSun"/>
                <w:color w:val="000000"/>
              </w:rPr>
              <w:t xml:space="preserve">0.50 </w:t>
            </w:r>
          </w:p>
        </w:tc>
      </w:tr>
      <w:tr w:rsidR="007075D9" w:rsidRPr="004D46AC" w14:paraId="17762378" w14:textId="77777777" w:rsidTr="00B518F1">
        <w:tc>
          <w:tcPr>
            <w:tcW w:w="1704" w:type="dxa"/>
            <w:vAlign w:val="center"/>
          </w:tcPr>
          <w:p w14:paraId="08311ED9" w14:textId="77777777" w:rsidR="007075D9" w:rsidRPr="004D46AC" w:rsidRDefault="007075D9" w:rsidP="002C5F6E">
            <w:pPr>
              <w:spacing w:line="240" w:lineRule="auto"/>
              <w:ind w:firstLine="0"/>
            </w:pPr>
            <w:r w:rsidRPr="004D46AC">
              <w:rPr>
                <w:rFonts w:eastAsia="SimSun"/>
                <w:color w:val="000000"/>
              </w:rPr>
              <w:t>D8--M5</w:t>
            </w:r>
          </w:p>
        </w:tc>
        <w:tc>
          <w:tcPr>
            <w:tcW w:w="1098" w:type="dxa"/>
            <w:vAlign w:val="center"/>
          </w:tcPr>
          <w:p w14:paraId="5F791F94"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44BD6C2C"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31EBB40B" w14:textId="77777777" w:rsidR="007075D9" w:rsidRPr="004D46AC" w:rsidRDefault="007075D9" w:rsidP="002C5F6E">
            <w:pPr>
              <w:spacing w:line="240" w:lineRule="auto"/>
              <w:ind w:firstLine="0"/>
            </w:pPr>
            <w:r w:rsidRPr="004D46AC">
              <w:rPr>
                <w:rFonts w:eastAsia="SimSun"/>
                <w:color w:val="000000"/>
              </w:rPr>
              <w:t xml:space="preserve">0.20 </w:t>
            </w:r>
          </w:p>
        </w:tc>
        <w:tc>
          <w:tcPr>
            <w:tcW w:w="901" w:type="dxa"/>
            <w:vAlign w:val="center"/>
          </w:tcPr>
          <w:p w14:paraId="3A66DE97" w14:textId="77777777" w:rsidR="007075D9" w:rsidRPr="004D46AC" w:rsidRDefault="007075D9" w:rsidP="002C5F6E">
            <w:pPr>
              <w:spacing w:line="240" w:lineRule="auto"/>
              <w:ind w:firstLine="0"/>
            </w:pPr>
            <w:r w:rsidRPr="004D46AC">
              <w:rPr>
                <w:rFonts w:eastAsia="SimSun"/>
                <w:color w:val="000000"/>
              </w:rPr>
              <w:t xml:space="preserve">0.51 </w:t>
            </w:r>
          </w:p>
        </w:tc>
      </w:tr>
      <w:tr w:rsidR="007075D9" w:rsidRPr="004D46AC" w14:paraId="0F669F59" w14:textId="77777777" w:rsidTr="00B518F1">
        <w:tc>
          <w:tcPr>
            <w:tcW w:w="1704" w:type="dxa"/>
            <w:vAlign w:val="center"/>
          </w:tcPr>
          <w:p w14:paraId="2A3B798D" w14:textId="77777777" w:rsidR="007075D9" w:rsidRPr="004D46AC" w:rsidRDefault="007075D9" w:rsidP="002C5F6E">
            <w:pPr>
              <w:spacing w:line="240" w:lineRule="auto"/>
              <w:ind w:firstLine="0"/>
            </w:pPr>
            <w:r w:rsidRPr="004D46AC">
              <w:rPr>
                <w:rFonts w:eastAsia="SimSun"/>
                <w:color w:val="000000"/>
              </w:rPr>
              <w:t>D5--PS</w:t>
            </w:r>
          </w:p>
        </w:tc>
        <w:tc>
          <w:tcPr>
            <w:tcW w:w="1098" w:type="dxa"/>
            <w:vAlign w:val="center"/>
          </w:tcPr>
          <w:p w14:paraId="46B2F096"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59C48694"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636BBEAB" w14:textId="77777777" w:rsidR="007075D9" w:rsidRPr="004D46AC" w:rsidRDefault="007075D9" w:rsidP="002C5F6E">
            <w:pPr>
              <w:spacing w:line="240" w:lineRule="auto"/>
              <w:ind w:firstLine="0"/>
            </w:pPr>
            <w:r w:rsidRPr="004D46AC">
              <w:rPr>
                <w:rFonts w:eastAsia="SimSun"/>
                <w:color w:val="000000"/>
              </w:rPr>
              <w:t xml:space="preserve">0.13 </w:t>
            </w:r>
          </w:p>
        </w:tc>
        <w:tc>
          <w:tcPr>
            <w:tcW w:w="901" w:type="dxa"/>
            <w:vAlign w:val="center"/>
          </w:tcPr>
          <w:p w14:paraId="377E9D55" w14:textId="77777777" w:rsidR="007075D9" w:rsidRPr="004D46AC" w:rsidRDefault="007075D9" w:rsidP="002C5F6E">
            <w:pPr>
              <w:spacing w:line="240" w:lineRule="auto"/>
              <w:ind w:firstLine="0"/>
            </w:pPr>
            <w:r w:rsidRPr="004D46AC">
              <w:rPr>
                <w:rFonts w:eastAsia="SimSun"/>
                <w:color w:val="000000"/>
              </w:rPr>
              <w:t xml:space="preserve">0.49 </w:t>
            </w:r>
          </w:p>
        </w:tc>
      </w:tr>
      <w:tr w:rsidR="007075D9" w:rsidRPr="004D46AC" w14:paraId="41CE6084" w14:textId="77777777" w:rsidTr="00B518F1">
        <w:tc>
          <w:tcPr>
            <w:tcW w:w="1704" w:type="dxa"/>
            <w:vAlign w:val="center"/>
          </w:tcPr>
          <w:p w14:paraId="6EFBC829" w14:textId="77777777" w:rsidR="007075D9" w:rsidRPr="004D46AC" w:rsidRDefault="007075D9" w:rsidP="002C5F6E">
            <w:pPr>
              <w:spacing w:line="240" w:lineRule="auto"/>
              <w:ind w:firstLine="0"/>
            </w:pPr>
            <w:r w:rsidRPr="004D46AC">
              <w:rPr>
                <w:rFonts w:eastAsia="SimSun"/>
                <w:color w:val="000000"/>
              </w:rPr>
              <w:t>M2--M3</w:t>
            </w:r>
          </w:p>
        </w:tc>
        <w:tc>
          <w:tcPr>
            <w:tcW w:w="1098" w:type="dxa"/>
            <w:vAlign w:val="center"/>
          </w:tcPr>
          <w:p w14:paraId="4C3ABAE4"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0420892F"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6F3B8712"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59B9A3D1" w14:textId="77777777" w:rsidR="007075D9" w:rsidRPr="004D46AC" w:rsidRDefault="007075D9" w:rsidP="002C5F6E">
            <w:pPr>
              <w:spacing w:line="240" w:lineRule="auto"/>
              <w:ind w:firstLine="0"/>
            </w:pPr>
            <w:r w:rsidRPr="004D46AC">
              <w:rPr>
                <w:rFonts w:eastAsia="SimSun"/>
                <w:color w:val="000000"/>
              </w:rPr>
              <w:t xml:space="preserve">0.56 </w:t>
            </w:r>
          </w:p>
        </w:tc>
      </w:tr>
      <w:tr w:rsidR="007075D9" w:rsidRPr="004D46AC" w14:paraId="392C3C89" w14:textId="77777777" w:rsidTr="00B518F1">
        <w:tc>
          <w:tcPr>
            <w:tcW w:w="1704" w:type="dxa"/>
            <w:vAlign w:val="center"/>
          </w:tcPr>
          <w:p w14:paraId="25598EC2" w14:textId="77777777" w:rsidR="007075D9" w:rsidRPr="004D46AC" w:rsidRDefault="007075D9" w:rsidP="002C5F6E">
            <w:pPr>
              <w:spacing w:line="240" w:lineRule="auto"/>
              <w:ind w:firstLine="0"/>
            </w:pPr>
            <w:r w:rsidRPr="004D46AC">
              <w:rPr>
                <w:rFonts w:eastAsia="SimSun"/>
                <w:color w:val="000000"/>
              </w:rPr>
              <w:t>D2--P5</w:t>
            </w:r>
          </w:p>
        </w:tc>
        <w:tc>
          <w:tcPr>
            <w:tcW w:w="1098" w:type="dxa"/>
            <w:vAlign w:val="center"/>
          </w:tcPr>
          <w:p w14:paraId="77C6640B"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10F8E359"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37368FCB" w14:textId="77777777" w:rsidR="007075D9" w:rsidRPr="004D46AC" w:rsidRDefault="007075D9" w:rsidP="002C5F6E">
            <w:pPr>
              <w:spacing w:line="240" w:lineRule="auto"/>
              <w:ind w:firstLine="0"/>
            </w:pPr>
            <w:r w:rsidRPr="004D46AC">
              <w:rPr>
                <w:rFonts w:eastAsia="SimSun"/>
                <w:color w:val="000000"/>
              </w:rPr>
              <w:t xml:space="preserve">0.23 </w:t>
            </w:r>
          </w:p>
        </w:tc>
        <w:tc>
          <w:tcPr>
            <w:tcW w:w="901" w:type="dxa"/>
            <w:vAlign w:val="center"/>
          </w:tcPr>
          <w:p w14:paraId="43373D02" w14:textId="77777777" w:rsidR="007075D9" w:rsidRPr="004D46AC" w:rsidRDefault="007075D9" w:rsidP="002C5F6E">
            <w:pPr>
              <w:spacing w:line="240" w:lineRule="auto"/>
              <w:ind w:firstLine="0"/>
            </w:pPr>
            <w:r w:rsidRPr="004D46AC">
              <w:rPr>
                <w:rFonts w:eastAsia="SimSun"/>
                <w:color w:val="000000"/>
              </w:rPr>
              <w:t xml:space="preserve">0.60 </w:t>
            </w:r>
          </w:p>
        </w:tc>
      </w:tr>
      <w:tr w:rsidR="007075D9" w:rsidRPr="004D46AC" w14:paraId="08D74661" w14:textId="77777777" w:rsidTr="00B518F1">
        <w:tc>
          <w:tcPr>
            <w:tcW w:w="1704" w:type="dxa"/>
            <w:vAlign w:val="center"/>
          </w:tcPr>
          <w:p w14:paraId="711B2032" w14:textId="77777777" w:rsidR="007075D9" w:rsidRPr="004D46AC" w:rsidRDefault="007075D9" w:rsidP="002C5F6E">
            <w:pPr>
              <w:spacing w:line="240" w:lineRule="auto"/>
              <w:ind w:firstLine="0"/>
            </w:pPr>
            <w:r w:rsidRPr="004D46AC">
              <w:rPr>
                <w:rFonts w:eastAsia="SimSun"/>
                <w:color w:val="000000"/>
              </w:rPr>
              <w:lastRenderedPageBreak/>
              <w:t>D7--M11</w:t>
            </w:r>
          </w:p>
        </w:tc>
        <w:tc>
          <w:tcPr>
            <w:tcW w:w="1098" w:type="dxa"/>
            <w:vAlign w:val="center"/>
          </w:tcPr>
          <w:p w14:paraId="38AF027E" w14:textId="77777777" w:rsidR="007075D9" w:rsidRPr="004D46AC" w:rsidRDefault="007075D9" w:rsidP="002C5F6E">
            <w:pPr>
              <w:spacing w:line="240" w:lineRule="auto"/>
              <w:ind w:firstLine="0"/>
            </w:pPr>
            <w:r w:rsidRPr="004D46AC">
              <w:rPr>
                <w:rFonts w:eastAsia="SimSun"/>
                <w:color w:val="000000"/>
              </w:rPr>
              <w:t xml:space="preserve">0.04 </w:t>
            </w:r>
          </w:p>
        </w:tc>
        <w:tc>
          <w:tcPr>
            <w:tcW w:w="2409" w:type="dxa"/>
            <w:vAlign w:val="center"/>
          </w:tcPr>
          <w:p w14:paraId="2CFF7E02" w14:textId="77777777" w:rsidR="007075D9" w:rsidRPr="004D46AC" w:rsidRDefault="007075D9" w:rsidP="002C5F6E">
            <w:pPr>
              <w:spacing w:line="240" w:lineRule="auto"/>
              <w:ind w:firstLine="0"/>
            </w:pPr>
            <w:r w:rsidRPr="004D46AC">
              <w:rPr>
                <w:rFonts w:eastAsia="SimSun"/>
                <w:color w:val="000000"/>
              </w:rPr>
              <w:t xml:space="preserve">-0.08 </w:t>
            </w:r>
          </w:p>
        </w:tc>
        <w:tc>
          <w:tcPr>
            <w:tcW w:w="2410" w:type="dxa"/>
            <w:vAlign w:val="center"/>
          </w:tcPr>
          <w:p w14:paraId="6091CB39"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542E21E6" w14:textId="77777777" w:rsidR="007075D9" w:rsidRPr="004D46AC" w:rsidRDefault="007075D9" w:rsidP="002C5F6E">
            <w:pPr>
              <w:spacing w:line="240" w:lineRule="auto"/>
              <w:ind w:firstLine="0"/>
            </w:pPr>
            <w:r w:rsidRPr="004D46AC">
              <w:rPr>
                <w:rFonts w:eastAsia="SimSun"/>
                <w:color w:val="000000"/>
              </w:rPr>
              <w:t xml:space="preserve">0.56 </w:t>
            </w:r>
          </w:p>
        </w:tc>
      </w:tr>
      <w:tr w:rsidR="007075D9" w:rsidRPr="004D46AC" w14:paraId="3D586F95" w14:textId="77777777" w:rsidTr="00B518F1">
        <w:tc>
          <w:tcPr>
            <w:tcW w:w="1704" w:type="dxa"/>
            <w:vAlign w:val="center"/>
          </w:tcPr>
          <w:p w14:paraId="45B3B833" w14:textId="77777777" w:rsidR="007075D9" w:rsidRPr="004D46AC" w:rsidRDefault="007075D9" w:rsidP="002C5F6E">
            <w:pPr>
              <w:spacing w:line="240" w:lineRule="auto"/>
              <w:ind w:firstLine="0"/>
            </w:pPr>
            <w:r w:rsidRPr="004D46AC">
              <w:rPr>
                <w:rFonts w:eastAsia="SimSun"/>
                <w:color w:val="000000"/>
              </w:rPr>
              <w:t>D2--D7</w:t>
            </w:r>
          </w:p>
        </w:tc>
        <w:tc>
          <w:tcPr>
            <w:tcW w:w="1098" w:type="dxa"/>
            <w:vAlign w:val="center"/>
          </w:tcPr>
          <w:p w14:paraId="1AAE68E0" w14:textId="77777777" w:rsidR="007075D9" w:rsidRPr="004D46AC" w:rsidRDefault="007075D9" w:rsidP="002C5F6E">
            <w:pPr>
              <w:spacing w:line="240" w:lineRule="auto"/>
              <w:ind w:firstLine="0"/>
            </w:pPr>
            <w:r w:rsidRPr="004D46AC">
              <w:rPr>
                <w:rFonts w:eastAsia="SimSun"/>
                <w:color w:val="000000"/>
              </w:rPr>
              <w:t xml:space="preserve">0.04 </w:t>
            </w:r>
          </w:p>
        </w:tc>
        <w:tc>
          <w:tcPr>
            <w:tcW w:w="2409" w:type="dxa"/>
            <w:vAlign w:val="center"/>
          </w:tcPr>
          <w:p w14:paraId="2FFA25E1"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2A8BEDAD" w14:textId="77777777" w:rsidR="007075D9" w:rsidRPr="004D46AC" w:rsidRDefault="007075D9" w:rsidP="002C5F6E">
            <w:pPr>
              <w:spacing w:line="240" w:lineRule="auto"/>
              <w:ind w:firstLine="0"/>
            </w:pPr>
            <w:r w:rsidRPr="004D46AC">
              <w:rPr>
                <w:rFonts w:eastAsia="SimSun"/>
                <w:color w:val="000000"/>
              </w:rPr>
              <w:t xml:space="preserve">0.12 </w:t>
            </w:r>
          </w:p>
        </w:tc>
        <w:tc>
          <w:tcPr>
            <w:tcW w:w="901" w:type="dxa"/>
            <w:vAlign w:val="center"/>
          </w:tcPr>
          <w:p w14:paraId="5529BD85" w14:textId="77777777" w:rsidR="007075D9" w:rsidRPr="004D46AC" w:rsidRDefault="007075D9" w:rsidP="002C5F6E">
            <w:pPr>
              <w:spacing w:line="240" w:lineRule="auto"/>
              <w:ind w:firstLine="0"/>
            </w:pPr>
            <w:r w:rsidRPr="004D46AC">
              <w:rPr>
                <w:rFonts w:eastAsia="SimSun"/>
                <w:color w:val="000000"/>
              </w:rPr>
              <w:t xml:space="preserve">0.49 </w:t>
            </w:r>
          </w:p>
        </w:tc>
      </w:tr>
      <w:tr w:rsidR="007075D9" w:rsidRPr="004D46AC" w14:paraId="04C149AA" w14:textId="77777777" w:rsidTr="00B518F1">
        <w:tc>
          <w:tcPr>
            <w:tcW w:w="1704" w:type="dxa"/>
            <w:vAlign w:val="center"/>
          </w:tcPr>
          <w:p w14:paraId="04BD7FEC" w14:textId="77777777" w:rsidR="007075D9" w:rsidRPr="004D46AC" w:rsidRDefault="007075D9" w:rsidP="002C5F6E">
            <w:pPr>
              <w:spacing w:line="240" w:lineRule="auto"/>
              <w:ind w:firstLine="0"/>
            </w:pPr>
            <w:r w:rsidRPr="004D46AC">
              <w:rPr>
                <w:rFonts w:eastAsia="SimSun"/>
                <w:color w:val="000000"/>
              </w:rPr>
              <w:t>D4--D9</w:t>
            </w:r>
          </w:p>
        </w:tc>
        <w:tc>
          <w:tcPr>
            <w:tcW w:w="1098" w:type="dxa"/>
            <w:vAlign w:val="center"/>
          </w:tcPr>
          <w:p w14:paraId="74E13D93" w14:textId="77777777" w:rsidR="007075D9" w:rsidRPr="004D46AC" w:rsidRDefault="007075D9" w:rsidP="002C5F6E">
            <w:pPr>
              <w:spacing w:line="240" w:lineRule="auto"/>
              <w:ind w:firstLine="0"/>
            </w:pPr>
            <w:r w:rsidRPr="004D46AC">
              <w:rPr>
                <w:rFonts w:eastAsia="SimSun"/>
                <w:color w:val="000000"/>
              </w:rPr>
              <w:t xml:space="preserve">-0.03 </w:t>
            </w:r>
          </w:p>
        </w:tc>
        <w:tc>
          <w:tcPr>
            <w:tcW w:w="2409" w:type="dxa"/>
            <w:vAlign w:val="center"/>
          </w:tcPr>
          <w:p w14:paraId="00041D21"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38DE1DAE" w14:textId="77777777" w:rsidR="007075D9" w:rsidRPr="004D46AC" w:rsidRDefault="007075D9" w:rsidP="002C5F6E">
            <w:pPr>
              <w:spacing w:line="240" w:lineRule="auto"/>
              <w:ind w:firstLine="0"/>
            </w:pPr>
            <w:r w:rsidRPr="004D46AC">
              <w:rPr>
                <w:rFonts w:eastAsia="SimSun"/>
                <w:color w:val="000000"/>
              </w:rPr>
              <w:t xml:space="preserve">0.04 </w:t>
            </w:r>
          </w:p>
        </w:tc>
        <w:tc>
          <w:tcPr>
            <w:tcW w:w="901" w:type="dxa"/>
            <w:vAlign w:val="center"/>
          </w:tcPr>
          <w:p w14:paraId="3C2579E0" w14:textId="77777777" w:rsidR="007075D9" w:rsidRPr="004D46AC" w:rsidRDefault="007075D9" w:rsidP="002C5F6E">
            <w:pPr>
              <w:spacing w:line="240" w:lineRule="auto"/>
              <w:ind w:firstLine="0"/>
            </w:pPr>
            <w:r w:rsidRPr="004D46AC">
              <w:rPr>
                <w:rFonts w:eastAsia="SimSun"/>
                <w:color w:val="000000"/>
              </w:rPr>
              <w:t xml:space="preserve">0.52 </w:t>
            </w:r>
          </w:p>
        </w:tc>
      </w:tr>
      <w:tr w:rsidR="007075D9" w:rsidRPr="004D46AC" w14:paraId="5A0F4620" w14:textId="77777777" w:rsidTr="00B518F1">
        <w:tc>
          <w:tcPr>
            <w:tcW w:w="1704" w:type="dxa"/>
            <w:vAlign w:val="center"/>
          </w:tcPr>
          <w:p w14:paraId="0633B695" w14:textId="77777777" w:rsidR="007075D9" w:rsidRPr="004D46AC" w:rsidRDefault="007075D9" w:rsidP="002C5F6E">
            <w:pPr>
              <w:spacing w:line="240" w:lineRule="auto"/>
              <w:ind w:firstLine="0"/>
            </w:pPr>
            <w:r w:rsidRPr="004D46AC">
              <w:rPr>
                <w:rFonts w:eastAsia="SimSun"/>
                <w:color w:val="000000"/>
              </w:rPr>
              <w:t>D9--M6</w:t>
            </w:r>
          </w:p>
        </w:tc>
        <w:tc>
          <w:tcPr>
            <w:tcW w:w="1098" w:type="dxa"/>
            <w:vAlign w:val="center"/>
          </w:tcPr>
          <w:p w14:paraId="08F031F9"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01B9C7A5" w14:textId="77777777" w:rsidR="007075D9" w:rsidRPr="004D46AC" w:rsidRDefault="007075D9" w:rsidP="002C5F6E">
            <w:pPr>
              <w:spacing w:line="240" w:lineRule="auto"/>
              <w:ind w:firstLine="0"/>
            </w:pPr>
            <w:r w:rsidRPr="004D46AC">
              <w:rPr>
                <w:rFonts w:eastAsia="SimSun"/>
                <w:color w:val="000000"/>
              </w:rPr>
              <w:t xml:space="preserve">-0.16 </w:t>
            </w:r>
          </w:p>
        </w:tc>
        <w:tc>
          <w:tcPr>
            <w:tcW w:w="2410" w:type="dxa"/>
            <w:vAlign w:val="center"/>
          </w:tcPr>
          <w:p w14:paraId="4F2CC288" w14:textId="77777777" w:rsidR="007075D9" w:rsidRPr="004D46AC" w:rsidRDefault="007075D9" w:rsidP="002C5F6E">
            <w:pPr>
              <w:spacing w:line="240" w:lineRule="auto"/>
              <w:ind w:firstLine="0"/>
            </w:pPr>
            <w:r w:rsidRPr="004D46AC">
              <w:rPr>
                <w:rFonts w:eastAsia="SimSun"/>
                <w:color w:val="000000"/>
              </w:rPr>
              <w:t xml:space="preserve">0.06 </w:t>
            </w:r>
          </w:p>
        </w:tc>
        <w:tc>
          <w:tcPr>
            <w:tcW w:w="901" w:type="dxa"/>
            <w:vAlign w:val="center"/>
          </w:tcPr>
          <w:p w14:paraId="032FC117" w14:textId="77777777" w:rsidR="007075D9" w:rsidRPr="004D46AC" w:rsidRDefault="007075D9" w:rsidP="002C5F6E">
            <w:pPr>
              <w:spacing w:line="240" w:lineRule="auto"/>
              <w:ind w:firstLine="0"/>
            </w:pPr>
            <w:r w:rsidRPr="004D46AC">
              <w:rPr>
                <w:rFonts w:eastAsia="SimSun"/>
                <w:color w:val="000000"/>
              </w:rPr>
              <w:t xml:space="preserve">0.53 </w:t>
            </w:r>
          </w:p>
        </w:tc>
      </w:tr>
      <w:tr w:rsidR="007075D9" w:rsidRPr="004D46AC" w14:paraId="6CB9EC1F" w14:textId="77777777" w:rsidTr="00B518F1">
        <w:tc>
          <w:tcPr>
            <w:tcW w:w="1704" w:type="dxa"/>
            <w:vAlign w:val="center"/>
          </w:tcPr>
          <w:p w14:paraId="1702315E" w14:textId="77777777" w:rsidR="007075D9" w:rsidRPr="004D46AC" w:rsidRDefault="007075D9" w:rsidP="002C5F6E">
            <w:pPr>
              <w:spacing w:line="240" w:lineRule="auto"/>
              <w:ind w:firstLine="0"/>
            </w:pPr>
            <w:r w:rsidRPr="004D46AC">
              <w:rPr>
                <w:rFonts w:eastAsia="SimSun"/>
                <w:color w:val="000000"/>
              </w:rPr>
              <w:t>D9--M3</w:t>
            </w:r>
          </w:p>
        </w:tc>
        <w:tc>
          <w:tcPr>
            <w:tcW w:w="1098" w:type="dxa"/>
            <w:vAlign w:val="center"/>
          </w:tcPr>
          <w:p w14:paraId="4A2C914E"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2ACF32FB" w14:textId="77777777" w:rsidR="007075D9" w:rsidRPr="004D46AC" w:rsidRDefault="007075D9" w:rsidP="002C5F6E">
            <w:pPr>
              <w:spacing w:line="240" w:lineRule="auto"/>
              <w:ind w:firstLine="0"/>
            </w:pPr>
            <w:r w:rsidRPr="004D46AC">
              <w:rPr>
                <w:rFonts w:eastAsia="SimSun"/>
                <w:color w:val="000000"/>
              </w:rPr>
              <w:t xml:space="preserve">-0.17 </w:t>
            </w:r>
          </w:p>
        </w:tc>
        <w:tc>
          <w:tcPr>
            <w:tcW w:w="2410" w:type="dxa"/>
            <w:vAlign w:val="center"/>
          </w:tcPr>
          <w:p w14:paraId="69E39242" w14:textId="77777777" w:rsidR="007075D9" w:rsidRPr="004D46AC" w:rsidRDefault="007075D9" w:rsidP="002C5F6E">
            <w:pPr>
              <w:spacing w:line="240" w:lineRule="auto"/>
              <w:ind w:firstLine="0"/>
            </w:pPr>
            <w:r w:rsidRPr="004D46AC">
              <w:rPr>
                <w:rFonts w:eastAsia="SimSun"/>
                <w:color w:val="000000"/>
              </w:rPr>
              <w:t xml:space="preserve">0.06 </w:t>
            </w:r>
          </w:p>
        </w:tc>
        <w:tc>
          <w:tcPr>
            <w:tcW w:w="901" w:type="dxa"/>
            <w:vAlign w:val="center"/>
          </w:tcPr>
          <w:p w14:paraId="5A6EEE54" w14:textId="77777777" w:rsidR="007075D9" w:rsidRPr="004D46AC" w:rsidRDefault="007075D9" w:rsidP="002C5F6E">
            <w:pPr>
              <w:spacing w:line="240" w:lineRule="auto"/>
              <w:ind w:firstLine="0"/>
            </w:pPr>
            <w:r w:rsidRPr="004D46AC">
              <w:rPr>
                <w:rFonts w:eastAsia="SimSun"/>
                <w:color w:val="000000"/>
              </w:rPr>
              <w:t xml:space="preserve">0.57 </w:t>
            </w:r>
          </w:p>
        </w:tc>
      </w:tr>
      <w:tr w:rsidR="007075D9" w:rsidRPr="004D46AC" w14:paraId="124A1A66" w14:textId="77777777" w:rsidTr="00B518F1">
        <w:tc>
          <w:tcPr>
            <w:tcW w:w="1704" w:type="dxa"/>
            <w:vAlign w:val="center"/>
          </w:tcPr>
          <w:p w14:paraId="33A458C6" w14:textId="77777777" w:rsidR="007075D9" w:rsidRPr="004D46AC" w:rsidRDefault="007075D9" w:rsidP="002C5F6E">
            <w:pPr>
              <w:spacing w:line="240" w:lineRule="auto"/>
              <w:ind w:firstLine="0"/>
            </w:pPr>
            <w:r w:rsidRPr="004D46AC">
              <w:rPr>
                <w:rFonts w:eastAsia="SimSun"/>
                <w:color w:val="000000"/>
              </w:rPr>
              <w:t>D7--M6</w:t>
            </w:r>
          </w:p>
        </w:tc>
        <w:tc>
          <w:tcPr>
            <w:tcW w:w="1098" w:type="dxa"/>
            <w:vAlign w:val="center"/>
          </w:tcPr>
          <w:p w14:paraId="42EE72FB"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50BDD2DC" w14:textId="77777777" w:rsidR="007075D9" w:rsidRPr="004D46AC" w:rsidRDefault="007075D9" w:rsidP="002C5F6E">
            <w:pPr>
              <w:spacing w:line="240" w:lineRule="auto"/>
              <w:ind w:firstLine="0"/>
            </w:pPr>
            <w:r w:rsidRPr="004D46AC">
              <w:rPr>
                <w:rFonts w:eastAsia="SimSun"/>
                <w:color w:val="000000"/>
              </w:rPr>
              <w:t xml:space="preserve">-0.18 </w:t>
            </w:r>
          </w:p>
        </w:tc>
        <w:tc>
          <w:tcPr>
            <w:tcW w:w="2410" w:type="dxa"/>
            <w:vAlign w:val="center"/>
          </w:tcPr>
          <w:p w14:paraId="1D4F2D4C" w14:textId="77777777" w:rsidR="007075D9" w:rsidRPr="004D46AC" w:rsidRDefault="007075D9" w:rsidP="002C5F6E">
            <w:pPr>
              <w:spacing w:line="240" w:lineRule="auto"/>
              <w:ind w:firstLine="0"/>
            </w:pPr>
            <w:r w:rsidRPr="004D46AC">
              <w:rPr>
                <w:rFonts w:eastAsia="SimSun"/>
                <w:color w:val="000000"/>
              </w:rPr>
              <w:t xml:space="preserve">0.07 </w:t>
            </w:r>
          </w:p>
        </w:tc>
        <w:tc>
          <w:tcPr>
            <w:tcW w:w="901" w:type="dxa"/>
            <w:vAlign w:val="center"/>
          </w:tcPr>
          <w:p w14:paraId="01897B41" w14:textId="77777777" w:rsidR="007075D9" w:rsidRPr="004D46AC" w:rsidRDefault="007075D9" w:rsidP="002C5F6E">
            <w:pPr>
              <w:spacing w:line="240" w:lineRule="auto"/>
              <w:ind w:firstLine="0"/>
            </w:pPr>
            <w:r w:rsidRPr="004D46AC">
              <w:rPr>
                <w:rFonts w:eastAsia="SimSun"/>
                <w:color w:val="000000"/>
              </w:rPr>
              <w:t xml:space="preserve">0.44 </w:t>
            </w:r>
          </w:p>
        </w:tc>
      </w:tr>
      <w:tr w:rsidR="007075D9" w:rsidRPr="004D46AC" w14:paraId="600419FE" w14:textId="77777777" w:rsidTr="00B518F1">
        <w:tc>
          <w:tcPr>
            <w:tcW w:w="1704" w:type="dxa"/>
            <w:vAlign w:val="center"/>
          </w:tcPr>
          <w:p w14:paraId="3FE36DDC" w14:textId="77777777" w:rsidR="007075D9" w:rsidRPr="004D46AC" w:rsidRDefault="007075D9" w:rsidP="002C5F6E">
            <w:pPr>
              <w:spacing w:line="240" w:lineRule="auto"/>
              <w:ind w:firstLine="0"/>
            </w:pPr>
            <w:r w:rsidRPr="004D46AC">
              <w:rPr>
                <w:rFonts w:eastAsia="SimSun"/>
                <w:color w:val="000000"/>
              </w:rPr>
              <w:t>D7--M3</w:t>
            </w:r>
          </w:p>
        </w:tc>
        <w:tc>
          <w:tcPr>
            <w:tcW w:w="1098" w:type="dxa"/>
            <w:vAlign w:val="center"/>
          </w:tcPr>
          <w:p w14:paraId="12FA55BF"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28B840D4" w14:textId="77777777" w:rsidR="007075D9" w:rsidRPr="004D46AC" w:rsidRDefault="007075D9" w:rsidP="002C5F6E">
            <w:pPr>
              <w:spacing w:line="240" w:lineRule="auto"/>
              <w:ind w:firstLine="0"/>
            </w:pPr>
            <w:r w:rsidRPr="004D46AC">
              <w:rPr>
                <w:rFonts w:eastAsia="SimSun"/>
                <w:color w:val="000000"/>
              </w:rPr>
              <w:t xml:space="preserve">-0.18 </w:t>
            </w:r>
          </w:p>
        </w:tc>
        <w:tc>
          <w:tcPr>
            <w:tcW w:w="2410" w:type="dxa"/>
            <w:vAlign w:val="center"/>
          </w:tcPr>
          <w:p w14:paraId="3F9BC095" w14:textId="77777777" w:rsidR="007075D9" w:rsidRPr="004D46AC" w:rsidRDefault="007075D9" w:rsidP="002C5F6E">
            <w:pPr>
              <w:spacing w:line="240" w:lineRule="auto"/>
              <w:ind w:firstLine="0"/>
            </w:pPr>
            <w:r w:rsidRPr="004D46AC">
              <w:rPr>
                <w:rFonts w:eastAsia="SimSun"/>
                <w:color w:val="000000"/>
              </w:rPr>
              <w:t xml:space="preserve">0.06 </w:t>
            </w:r>
          </w:p>
        </w:tc>
        <w:tc>
          <w:tcPr>
            <w:tcW w:w="901" w:type="dxa"/>
            <w:vAlign w:val="center"/>
          </w:tcPr>
          <w:p w14:paraId="5537FD7A" w14:textId="77777777" w:rsidR="007075D9" w:rsidRPr="004D46AC" w:rsidRDefault="007075D9" w:rsidP="002C5F6E">
            <w:pPr>
              <w:spacing w:line="240" w:lineRule="auto"/>
              <w:ind w:firstLine="0"/>
            </w:pPr>
            <w:r w:rsidRPr="004D46AC">
              <w:rPr>
                <w:rFonts w:eastAsia="SimSun"/>
                <w:color w:val="000000"/>
              </w:rPr>
              <w:t xml:space="preserve">0.47 </w:t>
            </w:r>
          </w:p>
        </w:tc>
      </w:tr>
      <w:tr w:rsidR="007075D9" w:rsidRPr="004D46AC" w14:paraId="7FA30DD4" w14:textId="77777777" w:rsidTr="00B518F1">
        <w:tc>
          <w:tcPr>
            <w:tcW w:w="1704" w:type="dxa"/>
            <w:vAlign w:val="center"/>
          </w:tcPr>
          <w:p w14:paraId="18661BF6" w14:textId="77777777" w:rsidR="007075D9" w:rsidRPr="004D46AC" w:rsidRDefault="007075D9" w:rsidP="002C5F6E">
            <w:pPr>
              <w:spacing w:line="240" w:lineRule="auto"/>
              <w:ind w:firstLine="0"/>
            </w:pPr>
            <w:r w:rsidRPr="004D46AC">
              <w:rPr>
                <w:rFonts w:eastAsia="SimSun"/>
                <w:color w:val="000000"/>
              </w:rPr>
              <w:t>D6--M7</w:t>
            </w:r>
          </w:p>
        </w:tc>
        <w:tc>
          <w:tcPr>
            <w:tcW w:w="1098" w:type="dxa"/>
            <w:vAlign w:val="center"/>
          </w:tcPr>
          <w:p w14:paraId="204B7B6B"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0ACA838D" w14:textId="77777777" w:rsidR="007075D9" w:rsidRPr="004D46AC" w:rsidRDefault="007075D9" w:rsidP="002C5F6E">
            <w:pPr>
              <w:spacing w:line="240" w:lineRule="auto"/>
              <w:ind w:firstLine="0"/>
            </w:pPr>
            <w:r w:rsidRPr="004D46AC">
              <w:rPr>
                <w:rFonts w:eastAsia="SimSun"/>
                <w:color w:val="000000"/>
              </w:rPr>
              <w:t xml:space="preserve">-0.21 </w:t>
            </w:r>
          </w:p>
        </w:tc>
        <w:tc>
          <w:tcPr>
            <w:tcW w:w="2410" w:type="dxa"/>
            <w:vAlign w:val="center"/>
          </w:tcPr>
          <w:p w14:paraId="16257D3C" w14:textId="77777777" w:rsidR="007075D9" w:rsidRPr="004D46AC" w:rsidRDefault="007075D9" w:rsidP="002C5F6E">
            <w:pPr>
              <w:spacing w:line="240" w:lineRule="auto"/>
              <w:ind w:firstLine="0"/>
            </w:pPr>
            <w:r w:rsidRPr="004D46AC">
              <w:rPr>
                <w:rFonts w:eastAsia="SimSun"/>
                <w:color w:val="000000"/>
              </w:rPr>
              <w:t xml:space="preserve">0.08 </w:t>
            </w:r>
          </w:p>
        </w:tc>
        <w:tc>
          <w:tcPr>
            <w:tcW w:w="901" w:type="dxa"/>
            <w:vAlign w:val="center"/>
          </w:tcPr>
          <w:p w14:paraId="37422570" w14:textId="77777777" w:rsidR="007075D9" w:rsidRPr="004D46AC" w:rsidRDefault="007075D9" w:rsidP="002C5F6E">
            <w:pPr>
              <w:spacing w:line="240" w:lineRule="auto"/>
              <w:ind w:firstLine="0"/>
            </w:pPr>
            <w:r w:rsidRPr="004D46AC">
              <w:rPr>
                <w:rFonts w:eastAsia="SimSun"/>
                <w:color w:val="000000"/>
              </w:rPr>
              <w:t xml:space="preserve">0.44 </w:t>
            </w:r>
          </w:p>
        </w:tc>
      </w:tr>
      <w:tr w:rsidR="007075D9" w:rsidRPr="004D46AC" w14:paraId="5ED9436D" w14:textId="77777777" w:rsidTr="00B518F1">
        <w:tc>
          <w:tcPr>
            <w:tcW w:w="1704" w:type="dxa"/>
            <w:vAlign w:val="center"/>
          </w:tcPr>
          <w:p w14:paraId="2D567D8C" w14:textId="77777777" w:rsidR="007075D9" w:rsidRPr="004D46AC" w:rsidRDefault="007075D9" w:rsidP="002C5F6E">
            <w:pPr>
              <w:spacing w:line="240" w:lineRule="auto"/>
              <w:ind w:firstLine="0"/>
            </w:pPr>
            <w:r w:rsidRPr="004D46AC">
              <w:rPr>
                <w:rFonts w:eastAsia="SimSun"/>
                <w:color w:val="000000"/>
              </w:rPr>
              <w:t>M4--M11</w:t>
            </w:r>
          </w:p>
        </w:tc>
        <w:tc>
          <w:tcPr>
            <w:tcW w:w="1098" w:type="dxa"/>
            <w:vAlign w:val="center"/>
          </w:tcPr>
          <w:p w14:paraId="6A1B1D54"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2D410592" w14:textId="77777777" w:rsidR="007075D9" w:rsidRPr="004D46AC" w:rsidRDefault="007075D9" w:rsidP="002C5F6E">
            <w:pPr>
              <w:spacing w:line="240" w:lineRule="auto"/>
              <w:ind w:firstLine="0"/>
            </w:pPr>
            <w:r w:rsidRPr="004D46AC">
              <w:rPr>
                <w:rFonts w:eastAsia="SimSun"/>
                <w:color w:val="000000"/>
              </w:rPr>
              <w:t xml:space="preserve">-0.37 </w:t>
            </w:r>
          </w:p>
        </w:tc>
        <w:tc>
          <w:tcPr>
            <w:tcW w:w="2410" w:type="dxa"/>
            <w:vAlign w:val="center"/>
          </w:tcPr>
          <w:p w14:paraId="327F74A7"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5EAAF080" w14:textId="77777777" w:rsidR="007075D9" w:rsidRPr="004D46AC" w:rsidRDefault="007075D9" w:rsidP="002C5F6E">
            <w:pPr>
              <w:spacing w:line="240" w:lineRule="auto"/>
              <w:ind w:firstLine="0"/>
            </w:pPr>
            <w:r w:rsidRPr="004D46AC">
              <w:rPr>
                <w:rFonts w:eastAsia="SimSun"/>
                <w:color w:val="000000"/>
              </w:rPr>
              <w:t xml:space="preserve">0.45 </w:t>
            </w:r>
          </w:p>
        </w:tc>
      </w:tr>
      <w:tr w:rsidR="007075D9" w:rsidRPr="004D46AC" w14:paraId="2E024F9A" w14:textId="77777777" w:rsidTr="00B518F1">
        <w:tc>
          <w:tcPr>
            <w:tcW w:w="1704" w:type="dxa"/>
            <w:vAlign w:val="center"/>
          </w:tcPr>
          <w:p w14:paraId="4FFCA023" w14:textId="77777777" w:rsidR="007075D9" w:rsidRPr="004D46AC" w:rsidRDefault="007075D9" w:rsidP="002C5F6E">
            <w:pPr>
              <w:spacing w:line="240" w:lineRule="auto"/>
              <w:ind w:firstLine="0"/>
            </w:pPr>
            <w:r w:rsidRPr="004D46AC">
              <w:rPr>
                <w:rFonts w:eastAsia="SimSun"/>
                <w:color w:val="000000"/>
              </w:rPr>
              <w:t>D9--M7</w:t>
            </w:r>
          </w:p>
        </w:tc>
        <w:tc>
          <w:tcPr>
            <w:tcW w:w="1098" w:type="dxa"/>
            <w:vAlign w:val="center"/>
          </w:tcPr>
          <w:p w14:paraId="29983C01"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5042AB4F" w14:textId="77777777" w:rsidR="007075D9" w:rsidRPr="004D46AC" w:rsidRDefault="007075D9" w:rsidP="002C5F6E">
            <w:pPr>
              <w:spacing w:line="240" w:lineRule="auto"/>
              <w:ind w:firstLine="0"/>
            </w:pPr>
            <w:r w:rsidRPr="004D46AC">
              <w:rPr>
                <w:rFonts w:eastAsia="SimSun"/>
                <w:color w:val="000000"/>
              </w:rPr>
              <w:t xml:space="preserve">-0.26 </w:t>
            </w:r>
          </w:p>
        </w:tc>
        <w:tc>
          <w:tcPr>
            <w:tcW w:w="2410" w:type="dxa"/>
            <w:vAlign w:val="center"/>
          </w:tcPr>
          <w:p w14:paraId="28B2D157" w14:textId="77777777" w:rsidR="007075D9" w:rsidRPr="004D46AC" w:rsidRDefault="007075D9" w:rsidP="002C5F6E">
            <w:pPr>
              <w:spacing w:line="240" w:lineRule="auto"/>
              <w:ind w:firstLine="0"/>
            </w:pPr>
            <w:r w:rsidRPr="004D46AC">
              <w:rPr>
                <w:rFonts w:eastAsia="SimSun"/>
                <w:color w:val="000000"/>
              </w:rPr>
              <w:t xml:space="preserve">0.04 </w:t>
            </w:r>
          </w:p>
        </w:tc>
        <w:tc>
          <w:tcPr>
            <w:tcW w:w="901" w:type="dxa"/>
            <w:vAlign w:val="center"/>
          </w:tcPr>
          <w:p w14:paraId="6F15AFB3" w14:textId="77777777" w:rsidR="007075D9" w:rsidRPr="004D46AC" w:rsidRDefault="007075D9" w:rsidP="002C5F6E">
            <w:pPr>
              <w:spacing w:line="240" w:lineRule="auto"/>
              <w:ind w:firstLine="0"/>
            </w:pPr>
            <w:r w:rsidRPr="004D46AC">
              <w:rPr>
                <w:rFonts w:eastAsia="SimSun"/>
                <w:color w:val="000000"/>
              </w:rPr>
              <w:t xml:space="preserve">0.23 </w:t>
            </w:r>
          </w:p>
        </w:tc>
      </w:tr>
      <w:tr w:rsidR="007075D9" w:rsidRPr="004D46AC" w14:paraId="53B18844" w14:textId="77777777" w:rsidTr="00B518F1">
        <w:tc>
          <w:tcPr>
            <w:tcW w:w="1704" w:type="dxa"/>
            <w:vAlign w:val="center"/>
          </w:tcPr>
          <w:p w14:paraId="29B49E3D" w14:textId="77777777" w:rsidR="007075D9" w:rsidRPr="004D46AC" w:rsidRDefault="007075D9" w:rsidP="002C5F6E">
            <w:pPr>
              <w:spacing w:line="240" w:lineRule="auto"/>
              <w:ind w:firstLine="0"/>
            </w:pPr>
            <w:r w:rsidRPr="004D46AC">
              <w:rPr>
                <w:rFonts w:eastAsia="SimSun"/>
                <w:color w:val="000000"/>
              </w:rPr>
              <w:t>D6--M11</w:t>
            </w:r>
          </w:p>
        </w:tc>
        <w:tc>
          <w:tcPr>
            <w:tcW w:w="1098" w:type="dxa"/>
            <w:vAlign w:val="center"/>
          </w:tcPr>
          <w:p w14:paraId="11275517"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2CF81F69" w14:textId="77777777" w:rsidR="007075D9" w:rsidRPr="004D46AC" w:rsidRDefault="007075D9" w:rsidP="002C5F6E">
            <w:pPr>
              <w:spacing w:line="240" w:lineRule="auto"/>
              <w:ind w:firstLine="0"/>
            </w:pPr>
            <w:r w:rsidRPr="004D46AC">
              <w:rPr>
                <w:rFonts w:eastAsia="SimSun"/>
                <w:color w:val="000000"/>
              </w:rPr>
              <w:t xml:space="preserve">-0.31 </w:t>
            </w:r>
          </w:p>
        </w:tc>
        <w:tc>
          <w:tcPr>
            <w:tcW w:w="2410" w:type="dxa"/>
            <w:vAlign w:val="center"/>
          </w:tcPr>
          <w:p w14:paraId="45D9C0A2" w14:textId="77777777" w:rsidR="007075D9" w:rsidRPr="004D46AC" w:rsidRDefault="007075D9" w:rsidP="002C5F6E">
            <w:pPr>
              <w:spacing w:line="240" w:lineRule="auto"/>
              <w:ind w:firstLine="0"/>
            </w:pPr>
            <w:r w:rsidRPr="004D46AC">
              <w:rPr>
                <w:rFonts w:eastAsia="SimSun"/>
                <w:color w:val="000000"/>
              </w:rPr>
              <w:t xml:space="preserve">0.01 </w:t>
            </w:r>
          </w:p>
        </w:tc>
        <w:tc>
          <w:tcPr>
            <w:tcW w:w="901" w:type="dxa"/>
            <w:vAlign w:val="center"/>
          </w:tcPr>
          <w:p w14:paraId="4DBFD740" w14:textId="77777777" w:rsidR="007075D9" w:rsidRPr="004D46AC" w:rsidRDefault="007075D9" w:rsidP="002C5F6E">
            <w:pPr>
              <w:spacing w:line="240" w:lineRule="auto"/>
              <w:ind w:firstLine="0"/>
            </w:pPr>
            <w:r w:rsidRPr="004D46AC">
              <w:rPr>
                <w:rFonts w:eastAsia="SimSun"/>
                <w:color w:val="000000"/>
              </w:rPr>
              <w:t xml:space="preserve">0.12 </w:t>
            </w:r>
          </w:p>
        </w:tc>
      </w:tr>
    </w:tbl>
    <w:p w14:paraId="5CC5869F" w14:textId="77777777" w:rsidR="007075D9" w:rsidRPr="004D46AC" w:rsidRDefault="007075D9" w:rsidP="002C5F6E">
      <w:pPr>
        <w:spacing w:line="240" w:lineRule="auto"/>
        <w:ind w:firstLine="0"/>
        <w:rPr>
          <w:szCs w:val="21"/>
        </w:rPr>
      </w:pPr>
      <w:r w:rsidRPr="004D46AC">
        <w:rPr>
          <w:i/>
          <w:iCs/>
        </w:rPr>
        <w:t>Note</w:t>
      </w:r>
      <w:r w:rsidRPr="004D46AC">
        <w:t xml:space="preserve">. </w:t>
      </w:r>
      <w:r w:rsidRPr="004D46AC">
        <w:rPr>
          <w:rFonts w:hint="eastAsia"/>
        </w:rPr>
        <w:t>Edges are arranged from top to bottom according to their numeric weights, from highest positive to lowest negative values.</w:t>
      </w:r>
      <w:r w:rsidRPr="004D46AC">
        <w:t xml:space="preserve"> The BCI (lower–upper) indicates the confidence intervals of each edge in the bootstrapped networks, based on 2,000 bootstrap samples. P0 represents the proportion of bootstrap samples in which the edge weight was zero. Only edges with non-zero weights are presented in this table.</w:t>
      </w:r>
    </w:p>
    <w:p w14:paraId="20CA6D83" w14:textId="77777777" w:rsidR="007075D9" w:rsidRPr="004D46AC" w:rsidRDefault="007075D9" w:rsidP="002C5F6E">
      <w:pPr>
        <w:spacing w:line="240" w:lineRule="auto"/>
        <w:ind w:firstLine="0"/>
        <w:rPr>
          <w:szCs w:val="21"/>
        </w:rPr>
      </w:pPr>
    </w:p>
    <w:p w14:paraId="10D7F5B6" w14:textId="77777777" w:rsidR="007075D9" w:rsidRPr="004D46AC" w:rsidRDefault="007075D9" w:rsidP="002C5F6E">
      <w:pPr>
        <w:spacing w:line="240" w:lineRule="auto"/>
        <w:ind w:firstLine="0"/>
      </w:pPr>
    </w:p>
    <w:p w14:paraId="47FA06A8" w14:textId="77777777" w:rsidR="007075D9" w:rsidRPr="004D46AC" w:rsidRDefault="007075D9" w:rsidP="002C5F6E">
      <w:pPr>
        <w:spacing w:line="240" w:lineRule="auto"/>
        <w:ind w:firstLine="0"/>
      </w:pPr>
    </w:p>
    <w:p w14:paraId="5DDE3611" w14:textId="77777777" w:rsidR="007075D9" w:rsidRPr="004D46AC" w:rsidRDefault="007075D9" w:rsidP="002C5F6E">
      <w:pPr>
        <w:spacing w:line="240" w:lineRule="auto"/>
        <w:ind w:firstLine="0"/>
      </w:pPr>
    </w:p>
    <w:p w14:paraId="30CD1E9E" w14:textId="77777777" w:rsidR="007075D9" w:rsidRPr="004D46AC" w:rsidRDefault="007075D9" w:rsidP="002C5F6E">
      <w:pPr>
        <w:spacing w:line="240" w:lineRule="auto"/>
        <w:ind w:firstLine="0"/>
      </w:pPr>
    </w:p>
    <w:p w14:paraId="481C5137" w14:textId="77777777" w:rsidR="007075D9" w:rsidRPr="004D46AC" w:rsidRDefault="007075D9" w:rsidP="002C5F6E">
      <w:pPr>
        <w:spacing w:line="240" w:lineRule="auto"/>
        <w:ind w:firstLine="0"/>
      </w:pPr>
    </w:p>
    <w:p w14:paraId="01647F34" w14:textId="77777777" w:rsidR="007075D9" w:rsidRPr="004D46AC" w:rsidRDefault="007075D9" w:rsidP="002C5F6E">
      <w:pPr>
        <w:spacing w:line="240" w:lineRule="auto"/>
        <w:ind w:firstLine="0"/>
      </w:pPr>
    </w:p>
    <w:p w14:paraId="0770A7AA" w14:textId="77777777" w:rsidR="007075D9" w:rsidRPr="004D46AC" w:rsidRDefault="007075D9" w:rsidP="002C5F6E">
      <w:pPr>
        <w:spacing w:line="240" w:lineRule="auto"/>
        <w:ind w:firstLine="0"/>
      </w:pPr>
    </w:p>
    <w:p w14:paraId="07DCD9F6" w14:textId="77777777" w:rsidR="007075D9" w:rsidRPr="004D46AC" w:rsidRDefault="007075D9" w:rsidP="002C5F6E">
      <w:pPr>
        <w:spacing w:line="240" w:lineRule="auto"/>
        <w:ind w:firstLine="0"/>
      </w:pPr>
    </w:p>
    <w:p w14:paraId="3EA26FFF" w14:textId="77777777" w:rsidR="007075D9" w:rsidRPr="004D46AC" w:rsidRDefault="007075D9" w:rsidP="002C5F6E">
      <w:pPr>
        <w:spacing w:line="240" w:lineRule="auto"/>
        <w:ind w:firstLine="0"/>
      </w:pPr>
    </w:p>
    <w:p w14:paraId="78AF5F9D" w14:textId="77777777" w:rsidR="007075D9" w:rsidRPr="004D46AC" w:rsidRDefault="007075D9" w:rsidP="002C5F6E">
      <w:pPr>
        <w:spacing w:line="240" w:lineRule="auto"/>
        <w:ind w:firstLine="0"/>
      </w:pPr>
    </w:p>
    <w:p w14:paraId="7AF4079D" w14:textId="77777777" w:rsidR="007075D9" w:rsidRPr="004D46AC" w:rsidRDefault="007075D9" w:rsidP="002C5F6E">
      <w:pPr>
        <w:spacing w:line="240" w:lineRule="auto"/>
        <w:ind w:firstLine="0"/>
      </w:pPr>
    </w:p>
    <w:p w14:paraId="7ED4FC5B" w14:textId="77777777" w:rsidR="007075D9" w:rsidRPr="004D46AC" w:rsidRDefault="007075D9" w:rsidP="002C5F6E">
      <w:pPr>
        <w:spacing w:line="240" w:lineRule="auto"/>
        <w:ind w:firstLine="0"/>
      </w:pPr>
    </w:p>
    <w:p w14:paraId="4BE225AB" w14:textId="77777777" w:rsidR="007075D9" w:rsidRPr="004D46AC" w:rsidRDefault="007075D9" w:rsidP="002C5F6E">
      <w:pPr>
        <w:spacing w:line="240" w:lineRule="auto"/>
        <w:ind w:firstLine="0"/>
      </w:pPr>
    </w:p>
    <w:p w14:paraId="3DCBFFA4" w14:textId="77777777" w:rsidR="007075D9" w:rsidRPr="004D46AC" w:rsidRDefault="007075D9" w:rsidP="002C5F6E">
      <w:pPr>
        <w:spacing w:line="240" w:lineRule="auto"/>
        <w:ind w:firstLine="0"/>
      </w:pPr>
    </w:p>
    <w:p w14:paraId="561B0D58" w14:textId="77777777" w:rsidR="007075D9" w:rsidRPr="004D46AC" w:rsidRDefault="007075D9" w:rsidP="002C5F6E">
      <w:pPr>
        <w:spacing w:line="240" w:lineRule="auto"/>
        <w:ind w:firstLine="0"/>
      </w:pPr>
    </w:p>
    <w:p w14:paraId="66DBCFD8" w14:textId="77777777" w:rsidR="007075D9" w:rsidRPr="004D46AC" w:rsidRDefault="007075D9" w:rsidP="002C5F6E">
      <w:pPr>
        <w:spacing w:line="240" w:lineRule="auto"/>
        <w:ind w:firstLine="0"/>
      </w:pPr>
    </w:p>
    <w:p w14:paraId="19C17A5F" w14:textId="77777777" w:rsidR="007075D9" w:rsidRPr="004D46AC" w:rsidRDefault="007075D9" w:rsidP="002C5F6E">
      <w:pPr>
        <w:spacing w:line="240" w:lineRule="auto"/>
        <w:ind w:firstLine="0"/>
      </w:pPr>
    </w:p>
    <w:p w14:paraId="2E804D61" w14:textId="77777777" w:rsidR="007075D9" w:rsidRPr="004D46AC" w:rsidRDefault="007075D9" w:rsidP="002C5F6E">
      <w:pPr>
        <w:spacing w:line="240" w:lineRule="auto"/>
        <w:ind w:firstLine="0"/>
        <w:rPr>
          <w:rFonts w:eastAsiaTheme="minorEastAsia"/>
        </w:rPr>
      </w:pPr>
    </w:p>
    <w:p w14:paraId="266FBD21" w14:textId="77777777" w:rsidR="00CC3324" w:rsidRPr="004D46AC" w:rsidRDefault="00CC3324" w:rsidP="002C5F6E">
      <w:pPr>
        <w:spacing w:line="240" w:lineRule="auto"/>
        <w:ind w:firstLine="0"/>
        <w:rPr>
          <w:rFonts w:eastAsiaTheme="minorEastAsia"/>
        </w:rPr>
      </w:pPr>
    </w:p>
    <w:p w14:paraId="4406DAD1" w14:textId="77777777" w:rsidR="00CC3324" w:rsidRPr="004D46AC" w:rsidRDefault="00CC3324" w:rsidP="002C5F6E">
      <w:pPr>
        <w:spacing w:line="240" w:lineRule="auto"/>
        <w:ind w:firstLine="0"/>
        <w:rPr>
          <w:rFonts w:eastAsiaTheme="minorEastAsia"/>
        </w:rPr>
      </w:pPr>
    </w:p>
    <w:p w14:paraId="2777D38A" w14:textId="77777777" w:rsidR="00CC3324" w:rsidRPr="004D46AC" w:rsidRDefault="00CC3324" w:rsidP="002C5F6E">
      <w:pPr>
        <w:spacing w:line="240" w:lineRule="auto"/>
        <w:ind w:firstLine="0"/>
        <w:rPr>
          <w:rFonts w:eastAsiaTheme="minorEastAsia"/>
        </w:rPr>
      </w:pPr>
    </w:p>
    <w:p w14:paraId="4FB08A5D" w14:textId="77777777" w:rsidR="00CC3324" w:rsidRPr="004D46AC" w:rsidRDefault="00CC3324" w:rsidP="002C5F6E">
      <w:pPr>
        <w:spacing w:line="240" w:lineRule="auto"/>
        <w:ind w:firstLine="0"/>
        <w:rPr>
          <w:rFonts w:eastAsiaTheme="minorEastAsia"/>
        </w:rPr>
      </w:pPr>
    </w:p>
    <w:p w14:paraId="4BFA81DF" w14:textId="77777777" w:rsidR="00CC3324" w:rsidRPr="004D46AC" w:rsidRDefault="00CC3324" w:rsidP="002C5F6E">
      <w:pPr>
        <w:spacing w:line="240" w:lineRule="auto"/>
        <w:ind w:firstLine="0"/>
        <w:rPr>
          <w:rFonts w:eastAsiaTheme="minorEastAsia"/>
        </w:rPr>
      </w:pPr>
    </w:p>
    <w:p w14:paraId="345073B8" w14:textId="77777777" w:rsidR="00CC3324" w:rsidRPr="004D46AC" w:rsidRDefault="00CC3324" w:rsidP="002C5F6E">
      <w:pPr>
        <w:spacing w:line="240" w:lineRule="auto"/>
        <w:ind w:firstLine="0"/>
        <w:rPr>
          <w:rFonts w:eastAsiaTheme="minorEastAsia"/>
        </w:rPr>
      </w:pPr>
    </w:p>
    <w:p w14:paraId="39E7A0AD" w14:textId="77777777" w:rsidR="00CC3324" w:rsidRPr="004D46AC" w:rsidRDefault="00CC3324" w:rsidP="002C5F6E">
      <w:pPr>
        <w:spacing w:line="240" w:lineRule="auto"/>
        <w:ind w:firstLine="0"/>
        <w:rPr>
          <w:rFonts w:eastAsiaTheme="minorEastAsia"/>
        </w:rPr>
      </w:pPr>
    </w:p>
    <w:p w14:paraId="0F0B7D3A" w14:textId="77777777" w:rsidR="00CC3324" w:rsidRPr="004D46AC" w:rsidRDefault="00CC3324" w:rsidP="002C5F6E">
      <w:pPr>
        <w:spacing w:line="240" w:lineRule="auto"/>
        <w:ind w:firstLine="0"/>
        <w:rPr>
          <w:rFonts w:eastAsiaTheme="minorEastAsia"/>
        </w:rPr>
      </w:pPr>
    </w:p>
    <w:p w14:paraId="306E7E9B" w14:textId="77777777" w:rsidR="00CC3324" w:rsidRPr="004D46AC" w:rsidRDefault="00CC3324" w:rsidP="002C5F6E">
      <w:pPr>
        <w:spacing w:line="240" w:lineRule="auto"/>
        <w:ind w:firstLine="0"/>
        <w:rPr>
          <w:rFonts w:eastAsiaTheme="minorEastAsia"/>
        </w:rPr>
      </w:pPr>
    </w:p>
    <w:p w14:paraId="6BEFEC5D" w14:textId="77777777" w:rsidR="00CC3324" w:rsidRPr="004D46AC" w:rsidRDefault="00CC3324" w:rsidP="002C5F6E">
      <w:pPr>
        <w:spacing w:line="240" w:lineRule="auto"/>
        <w:ind w:firstLine="0"/>
        <w:rPr>
          <w:rFonts w:eastAsiaTheme="minorEastAsia"/>
        </w:rPr>
      </w:pPr>
    </w:p>
    <w:p w14:paraId="6814BA73" w14:textId="77777777" w:rsidR="00CC3324" w:rsidRPr="004D46AC" w:rsidRDefault="00CC3324" w:rsidP="002C5F6E">
      <w:pPr>
        <w:spacing w:line="240" w:lineRule="auto"/>
        <w:ind w:firstLine="0"/>
        <w:rPr>
          <w:rFonts w:eastAsiaTheme="minorEastAsia"/>
        </w:rPr>
      </w:pPr>
    </w:p>
    <w:p w14:paraId="3CDB6F9E" w14:textId="77777777" w:rsidR="00CC3324" w:rsidRPr="004D46AC" w:rsidRDefault="00CC3324" w:rsidP="002C5F6E">
      <w:pPr>
        <w:spacing w:line="240" w:lineRule="auto"/>
        <w:ind w:firstLine="0"/>
        <w:rPr>
          <w:rFonts w:eastAsiaTheme="minorEastAsia"/>
        </w:rPr>
      </w:pPr>
    </w:p>
    <w:p w14:paraId="7A664D13" w14:textId="77777777" w:rsidR="00CC3324" w:rsidRPr="004D46AC" w:rsidRDefault="00CC3324" w:rsidP="002C5F6E">
      <w:pPr>
        <w:spacing w:line="240" w:lineRule="auto"/>
        <w:ind w:firstLine="0"/>
        <w:rPr>
          <w:rFonts w:eastAsiaTheme="minorEastAsia"/>
        </w:rPr>
      </w:pPr>
    </w:p>
    <w:p w14:paraId="5DC6EC78" w14:textId="77777777" w:rsidR="00CC3324" w:rsidRPr="004D46AC" w:rsidRDefault="00CC3324" w:rsidP="002C5F6E">
      <w:pPr>
        <w:spacing w:line="240" w:lineRule="auto"/>
        <w:ind w:firstLine="0"/>
        <w:rPr>
          <w:rFonts w:eastAsiaTheme="minorEastAsia"/>
        </w:rPr>
      </w:pPr>
    </w:p>
    <w:p w14:paraId="1BCCF051" w14:textId="77777777" w:rsidR="00CC3324" w:rsidRPr="004D46AC" w:rsidRDefault="00CC3324" w:rsidP="002C5F6E">
      <w:pPr>
        <w:spacing w:line="240" w:lineRule="auto"/>
        <w:ind w:firstLine="0"/>
        <w:rPr>
          <w:rFonts w:eastAsiaTheme="minorEastAsia"/>
        </w:rPr>
      </w:pPr>
    </w:p>
    <w:p w14:paraId="54D234ED" w14:textId="77777777" w:rsidR="00CC3324" w:rsidRPr="004D46AC" w:rsidRDefault="00CC3324" w:rsidP="002C5F6E">
      <w:pPr>
        <w:spacing w:line="240" w:lineRule="auto"/>
        <w:ind w:firstLine="0"/>
        <w:rPr>
          <w:rFonts w:eastAsiaTheme="minorEastAsia"/>
        </w:rPr>
      </w:pPr>
    </w:p>
    <w:p w14:paraId="3DCBD3B3" w14:textId="77777777" w:rsidR="00CC3324" w:rsidRPr="004D46AC" w:rsidRDefault="00CC3324" w:rsidP="002C5F6E">
      <w:pPr>
        <w:spacing w:line="240" w:lineRule="auto"/>
        <w:ind w:firstLine="0"/>
        <w:rPr>
          <w:rFonts w:eastAsiaTheme="minorEastAsia"/>
        </w:rPr>
      </w:pPr>
    </w:p>
    <w:p w14:paraId="45F57F97" w14:textId="77777777" w:rsidR="00CC3324" w:rsidRPr="004D46AC" w:rsidRDefault="00CC3324" w:rsidP="002C5F6E">
      <w:pPr>
        <w:spacing w:line="240" w:lineRule="auto"/>
        <w:ind w:firstLine="0"/>
        <w:rPr>
          <w:rFonts w:eastAsiaTheme="minorEastAsia"/>
        </w:rPr>
      </w:pPr>
    </w:p>
    <w:p w14:paraId="0B2544EE" w14:textId="77777777" w:rsidR="007075D9" w:rsidRPr="004D46AC" w:rsidRDefault="007075D9" w:rsidP="002C5F6E">
      <w:pPr>
        <w:spacing w:line="240" w:lineRule="auto"/>
        <w:ind w:firstLine="0"/>
      </w:pPr>
    </w:p>
    <w:p w14:paraId="2FD204E7" w14:textId="0F1CB030" w:rsidR="007075D9" w:rsidRPr="004D46AC" w:rsidRDefault="00011BA9" w:rsidP="00011BA9">
      <w:pPr>
        <w:pStyle w:val="afff0"/>
        <w:spacing w:after="0"/>
        <w:ind w:firstLine="0"/>
        <w:rPr>
          <w:rFonts w:eastAsiaTheme="minorEastAsia"/>
          <w:b/>
          <w:bCs/>
          <w:i w:val="0"/>
          <w:iCs w:val="0"/>
          <w:sz w:val="22"/>
          <w:szCs w:val="22"/>
        </w:rPr>
      </w:pPr>
      <w:bookmarkStart w:id="398" w:name="_Toc219870643"/>
      <w:r w:rsidRPr="004D46AC">
        <w:rPr>
          <w:b/>
          <w:bCs/>
          <w:i w:val="0"/>
          <w:iCs w:val="0"/>
          <w:sz w:val="22"/>
          <w:szCs w:val="22"/>
        </w:rPr>
        <w:lastRenderedPageBreak/>
        <w:t xml:space="preserve">Table D </w:t>
      </w:r>
      <w:r w:rsidRPr="004D46AC">
        <w:rPr>
          <w:b/>
          <w:bCs/>
          <w:i w:val="0"/>
          <w:iCs w:val="0"/>
          <w:sz w:val="22"/>
          <w:szCs w:val="22"/>
        </w:rPr>
        <w:fldChar w:fldCharType="begin"/>
      </w:r>
      <w:r w:rsidRPr="004D46AC">
        <w:rPr>
          <w:b/>
          <w:bCs/>
          <w:i w:val="0"/>
          <w:iCs w:val="0"/>
          <w:sz w:val="22"/>
          <w:szCs w:val="22"/>
        </w:rPr>
        <w:instrText xml:space="preserve"> SEQ Table_D \* ARABIC </w:instrText>
      </w:r>
      <w:r w:rsidRPr="004D46AC">
        <w:rPr>
          <w:b/>
          <w:bCs/>
          <w:i w:val="0"/>
          <w:iCs w:val="0"/>
          <w:sz w:val="22"/>
          <w:szCs w:val="22"/>
        </w:rPr>
        <w:fldChar w:fldCharType="separate"/>
      </w:r>
      <w:r w:rsidRPr="004D46AC">
        <w:rPr>
          <w:b/>
          <w:bCs/>
          <w:i w:val="0"/>
          <w:iCs w:val="0"/>
          <w:noProof/>
          <w:sz w:val="22"/>
          <w:szCs w:val="22"/>
        </w:rPr>
        <w:t>3</w:t>
      </w:r>
      <w:bookmarkEnd w:id="398"/>
      <w:r w:rsidRPr="004D46AC">
        <w:rPr>
          <w:b/>
          <w:bCs/>
          <w:i w:val="0"/>
          <w:iCs w:val="0"/>
          <w:sz w:val="22"/>
          <w:szCs w:val="22"/>
        </w:rPr>
        <w:fldChar w:fldCharType="end"/>
      </w:r>
    </w:p>
    <w:p w14:paraId="4E4BDBE6" w14:textId="603CF81D" w:rsidR="00D70BAE" w:rsidRPr="004D46AC" w:rsidRDefault="00D70BAE" w:rsidP="00D70BAE">
      <w:pPr>
        <w:spacing w:line="240" w:lineRule="auto"/>
        <w:ind w:firstLine="0"/>
        <w:rPr>
          <w:rFonts w:eastAsiaTheme="minorEastAsia"/>
          <w:i/>
          <w:iCs/>
        </w:rPr>
      </w:pPr>
      <w:r w:rsidRPr="004D46AC">
        <w:rPr>
          <w:i/>
          <w:iCs/>
        </w:rPr>
        <w:t xml:space="preserve">Bootstrapped </w:t>
      </w:r>
      <w:r w:rsidRPr="004D46AC">
        <w:rPr>
          <w:rFonts w:eastAsiaTheme="minorEastAsia" w:hint="eastAsia"/>
          <w:i/>
          <w:iCs/>
        </w:rPr>
        <w:t>s</w:t>
      </w:r>
      <w:r w:rsidRPr="004D46AC">
        <w:rPr>
          <w:i/>
          <w:iCs/>
        </w:rPr>
        <w:t xml:space="preserve">tatistics for </w:t>
      </w:r>
      <w:r w:rsidRPr="004D46AC">
        <w:rPr>
          <w:rFonts w:eastAsiaTheme="minorEastAsia" w:hint="eastAsia"/>
          <w:i/>
          <w:iCs/>
        </w:rPr>
        <w:t>e</w:t>
      </w:r>
      <w:r w:rsidRPr="004D46AC">
        <w:rPr>
          <w:i/>
          <w:iCs/>
        </w:rPr>
        <w:t xml:space="preserve">dges with </w:t>
      </w:r>
      <w:r w:rsidRPr="004D46AC">
        <w:rPr>
          <w:rFonts w:eastAsiaTheme="minorEastAsia" w:hint="eastAsia"/>
          <w:i/>
          <w:iCs/>
        </w:rPr>
        <w:t>n</w:t>
      </w:r>
      <w:r w:rsidRPr="004D46AC">
        <w:rPr>
          <w:i/>
          <w:iCs/>
        </w:rPr>
        <w:t>on-</w:t>
      </w:r>
      <w:r w:rsidRPr="004D46AC">
        <w:rPr>
          <w:rFonts w:eastAsiaTheme="minorEastAsia" w:hint="eastAsia"/>
          <w:i/>
          <w:iCs/>
        </w:rPr>
        <w:t>z</w:t>
      </w:r>
      <w:r w:rsidRPr="004D46AC">
        <w:rPr>
          <w:i/>
          <w:iCs/>
        </w:rPr>
        <w:t xml:space="preserve">ero </w:t>
      </w:r>
      <w:r w:rsidRPr="004D46AC">
        <w:rPr>
          <w:rFonts w:eastAsiaTheme="minorEastAsia" w:hint="eastAsia"/>
          <w:i/>
          <w:iCs/>
        </w:rPr>
        <w:t>w</w:t>
      </w:r>
      <w:r w:rsidRPr="004D46AC">
        <w:rPr>
          <w:i/>
          <w:iCs/>
        </w:rPr>
        <w:t xml:space="preserve">eights in the Mood and PLE </w:t>
      </w:r>
      <w:r w:rsidRPr="004D46AC">
        <w:rPr>
          <w:rFonts w:eastAsiaTheme="minorEastAsia" w:hint="eastAsia"/>
          <w:i/>
          <w:iCs/>
        </w:rPr>
        <w:t>n</w:t>
      </w:r>
      <w:r w:rsidRPr="004D46AC">
        <w:rPr>
          <w:i/>
          <w:iCs/>
        </w:rPr>
        <w:t xml:space="preserve">etwork at </w:t>
      </w:r>
      <w:r w:rsidRPr="004D46AC">
        <w:rPr>
          <w:rFonts w:eastAsiaTheme="minorEastAsia" w:hint="eastAsia"/>
          <w:i/>
          <w:iCs/>
        </w:rPr>
        <w:t>w</w:t>
      </w:r>
      <w:r w:rsidRPr="004D46AC">
        <w:rPr>
          <w:i/>
          <w:iCs/>
        </w:rPr>
        <w:t xml:space="preserve">ave </w:t>
      </w:r>
      <w:r w:rsidRPr="004D46AC">
        <w:rPr>
          <w:rFonts w:eastAsiaTheme="minorEastAsia" w:hint="eastAsia"/>
          <w:i/>
          <w:iCs/>
        </w:rPr>
        <w:t>9</w:t>
      </w:r>
    </w:p>
    <w:tbl>
      <w:tblPr>
        <w:tblStyle w:val="afc"/>
        <w:tblW w:w="0" w:type="auto"/>
        <w:tblLook w:val="04A0" w:firstRow="1" w:lastRow="0" w:firstColumn="1" w:lastColumn="0" w:noHBand="0" w:noVBand="1"/>
      </w:tblPr>
      <w:tblGrid>
        <w:gridCol w:w="1704"/>
        <w:gridCol w:w="1098"/>
        <w:gridCol w:w="2409"/>
        <w:gridCol w:w="2410"/>
        <w:gridCol w:w="901"/>
      </w:tblGrid>
      <w:tr w:rsidR="007075D9" w:rsidRPr="004D46AC" w14:paraId="7D0D2D78" w14:textId="77777777" w:rsidTr="00B518F1">
        <w:tc>
          <w:tcPr>
            <w:tcW w:w="1704" w:type="dxa"/>
          </w:tcPr>
          <w:p w14:paraId="1736D957" w14:textId="77777777" w:rsidR="007075D9" w:rsidRPr="004D46AC" w:rsidRDefault="007075D9" w:rsidP="002C5F6E">
            <w:pPr>
              <w:spacing w:line="240" w:lineRule="auto"/>
              <w:ind w:firstLine="0"/>
            </w:pPr>
            <w:r w:rsidRPr="004D46AC">
              <w:t>Edge</w:t>
            </w:r>
          </w:p>
        </w:tc>
        <w:tc>
          <w:tcPr>
            <w:tcW w:w="1098" w:type="dxa"/>
          </w:tcPr>
          <w:p w14:paraId="2E3C9202" w14:textId="77777777" w:rsidR="007075D9" w:rsidRPr="004D46AC" w:rsidRDefault="007075D9" w:rsidP="002C5F6E">
            <w:pPr>
              <w:spacing w:line="240" w:lineRule="auto"/>
              <w:ind w:firstLine="0"/>
            </w:pPr>
            <w:r w:rsidRPr="004D46AC">
              <w:t>Weight</w:t>
            </w:r>
          </w:p>
        </w:tc>
        <w:tc>
          <w:tcPr>
            <w:tcW w:w="2409" w:type="dxa"/>
          </w:tcPr>
          <w:p w14:paraId="64BA216E" w14:textId="77777777" w:rsidR="007075D9" w:rsidRPr="004D46AC" w:rsidRDefault="007075D9" w:rsidP="002C5F6E">
            <w:pPr>
              <w:spacing w:line="240" w:lineRule="auto"/>
              <w:ind w:firstLine="0"/>
            </w:pPr>
            <w:r w:rsidRPr="004D46AC">
              <w:t>95% BCI lower</w:t>
            </w:r>
          </w:p>
        </w:tc>
        <w:tc>
          <w:tcPr>
            <w:tcW w:w="2410" w:type="dxa"/>
          </w:tcPr>
          <w:p w14:paraId="53A15678" w14:textId="77777777" w:rsidR="007075D9" w:rsidRPr="004D46AC" w:rsidRDefault="007075D9" w:rsidP="002C5F6E">
            <w:pPr>
              <w:spacing w:line="240" w:lineRule="auto"/>
              <w:ind w:firstLine="0"/>
            </w:pPr>
            <w:r w:rsidRPr="004D46AC">
              <w:t>95% BCI upper</w:t>
            </w:r>
          </w:p>
        </w:tc>
        <w:tc>
          <w:tcPr>
            <w:tcW w:w="901" w:type="dxa"/>
          </w:tcPr>
          <w:p w14:paraId="6F7F2DCE" w14:textId="77777777" w:rsidR="007075D9" w:rsidRPr="004D46AC" w:rsidRDefault="007075D9" w:rsidP="002C5F6E">
            <w:pPr>
              <w:spacing w:line="240" w:lineRule="auto"/>
              <w:ind w:firstLine="0"/>
            </w:pPr>
            <w:r w:rsidRPr="004D46AC">
              <w:t>P0</w:t>
            </w:r>
          </w:p>
        </w:tc>
      </w:tr>
      <w:tr w:rsidR="007075D9" w:rsidRPr="004D46AC" w14:paraId="052378D5" w14:textId="77777777" w:rsidTr="00B518F1">
        <w:tc>
          <w:tcPr>
            <w:tcW w:w="1704" w:type="dxa"/>
            <w:vAlign w:val="center"/>
          </w:tcPr>
          <w:p w14:paraId="7D965BB0" w14:textId="77777777" w:rsidR="007075D9" w:rsidRPr="004D46AC" w:rsidRDefault="007075D9" w:rsidP="002C5F6E">
            <w:pPr>
              <w:spacing w:line="240" w:lineRule="auto"/>
              <w:ind w:firstLine="0"/>
            </w:pPr>
            <w:r w:rsidRPr="004D46AC">
              <w:rPr>
                <w:rFonts w:eastAsia="SimSun"/>
                <w:color w:val="000000"/>
              </w:rPr>
              <w:t>M6--M7</w:t>
            </w:r>
          </w:p>
        </w:tc>
        <w:tc>
          <w:tcPr>
            <w:tcW w:w="1098" w:type="dxa"/>
            <w:vAlign w:val="center"/>
          </w:tcPr>
          <w:p w14:paraId="0C485BF6" w14:textId="77777777" w:rsidR="007075D9" w:rsidRPr="004D46AC" w:rsidRDefault="007075D9" w:rsidP="002C5F6E">
            <w:pPr>
              <w:spacing w:line="240" w:lineRule="auto"/>
              <w:ind w:firstLine="0"/>
            </w:pPr>
            <w:r w:rsidRPr="004D46AC">
              <w:rPr>
                <w:rFonts w:eastAsia="SimSun"/>
                <w:color w:val="000000"/>
              </w:rPr>
              <w:t xml:space="preserve">0.75 </w:t>
            </w:r>
          </w:p>
        </w:tc>
        <w:tc>
          <w:tcPr>
            <w:tcW w:w="2409" w:type="dxa"/>
            <w:vAlign w:val="center"/>
          </w:tcPr>
          <w:p w14:paraId="4EFCAAEF" w14:textId="77777777" w:rsidR="007075D9" w:rsidRPr="004D46AC" w:rsidRDefault="007075D9" w:rsidP="002C5F6E">
            <w:pPr>
              <w:spacing w:line="240" w:lineRule="auto"/>
              <w:ind w:firstLine="0"/>
            </w:pPr>
            <w:r w:rsidRPr="004D46AC">
              <w:rPr>
                <w:rFonts w:eastAsia="SimSun"/>
                <w:color w:val="000000"/>
              </w:rPr>
              <w:t xml:space="preserve">0.54 </w:t>
            </w:r>
          </w:p>
        </w:tc>
        <w:tc>
          <w:tcPr>
            <w:tcW w:w="2410" w:type="dxa"/>
            <w:vAlign w:val="center"/>
          </w:tcPr>
          <w:p w14:paraId="4E366000" w14:textId="77777777" w:rsidR="007075D9" w:rsidRPr="004D46AC" w:rsidRDefault="007075D9" w:rsidP="002C5F6E">
            <w:pPr>
              <w:spacing w:line="240" w:lineRule="auto"/>
              <w:ind w:firstLine="0"/>
            </w:pPr>
            <w:r w:rsidRPr="004D46AC">
              <w:rPr>
                <w:rFonts w:eastAsia="SimSun"/>
                <w:color w:val="000000"/>
              </w:rPr>
              <w:t xml:space="preserve">0.95 </w:t>
            </w:r>
          </w:p>
        </w:tc>
        <w:tc>
          <w:tcPr>
            <w:tcW w:w="901" w:type="dxa"/>
            <w:vAlign w:val="center"/>
          </w:tcPr>
          <w:p w14:paraId="170DBD4A"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51BAD781" w14:textId="77777777" w:rsidTr="00B518F1">
        <w:tc>
          <w:tcPr>
            <w:tcW w:w="1704" w:type="dxa"/>
            <w:vAlign w:val="center"/>
          </w:tcPr>
          <w:p w14:paraId="3CDF38A7" w14:textId="77777777" w:rsidR="007075D9" w:rsidRPr="004D46AC" w:rsidRDefault="007075D9" w:rsidP="002C5F6E">
            <w:pPr>
              <w:spacing w:line="240" w:lineRule="auto"/>
              <w:ind w:firstLine="0"/>
            </w:pPr>
            <w:r w:rsidRPr="004D46AC">
              <w:rPr>
                <w:rFonts w:eastAsia="SimSun"/>
                <w:color w:val="000000"/>
              </w:rPr>
              <w:t>M3--M10</w:t>
            </w:r>
          </w:p>
        </w:tc>
        <w:tc>
          <w:tcPr>
            <w:tcW w:w="1098" w:type="dxa"/>
            <w:vAlign w:val="center"/>
          </w:tcPr>
          <w:p w14:paraId="5A8D3E20" w14:textId="77777777" w:rsidR="007075D9" w:rsidRPr="004D46AC" w:rsidRDefault="007075D9" w:rsidP="002C5F6E">
            <w:pPr>
              <w:spacing w:line="240" w:lineRule="auto"/>
              <w:ind w:firstLine="0"/>
            </w:pPr>
            <w:r w:rsidRPr="004D46AC">
              <w:rPr>
                <w:rFonts w:eastAsia="SimSun"/>
                <w:color w:val="000000"/>
              </w:rPr>
              <w:t xml:space="preserve">0.73 </w:t>
            </w:r>
          </w:p>
        </w:tc>
        <w:tc>
          <w:tcPr>
            <w:tcW w:w="2409" w:type="dxa"/>
            <w:vAlign w:val="center"/>
          </w:tcPr>
          <w:p w14:paraId="77953B32" w14:textId="77777777" w:rsidR="007075D9" w:rsidRPr="004D46AC" w:rsidRDefault="007075D9" w:rsidP="002C5F6E">
            <w:pPr>
              <w:spacing w:line="240" w:lineRule="auto"/>
              <w:ind w:firstLine="0"/>
            </w:pPr>
            <w:r w:rsidRPr="004D46AC">
              <w:rPr>
                <w:rFonts w:eastAsia="SimSun"/>
                <w:color w:val="000000"/>
              </w:rPr>
              <w:t xml:space="preserve">0.21 </w:t>
            </w:r>
          </w:p>
        </w:tc>
        <w:tc>
          <w:tcPr>
            <w:tcW w:w="2410" w:type="dxa"/>
            <w:vAlign w:val="center"/>
          </w:tcPr>
          <w:p w14:paraId="330CEABF" w14:textId="77777777" w:rsidR="007075D9" w:rsidRPr="004D46AC" w:rsidRDefault="007075D9" w:rsidP="002C5F6E">
            <w:pPr>
              <w:spacing w:line="240" w:lineRule="auto"/>
              <w:ind w:firstLine="0"/>
            </w:pPr>
            <w:r w:rsidRPr="004D46AC">
              <w:rPr>
                <w:rFonts w:eastAsia="SimSun"/>
                <w:color w:val="000000"/>
              </w:rPr>
              <w:t xml:space="preserve">1.25 </w:t>
            </w:r>
          </w:p>
        </w:tc>
        <w:tc>
          <w:tcPr>
            <w:tcW w:w="901" w:type="dxa"/>
            <w:vAlign w:val="center"/>
          </w:tcPr>
          <w:p w14:paraId="1196655A"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0473B15D" w14:textId="77777777" w:rsidTr="00B518F1">
        <w:tc>
          <w:tcPr>
            <w:tcW w:w="1704" w:type="dxa"/>
            <w:vAlign w:val="center"/>
          </w:tcPr>
          <w:p w14:paraId="07EA5758" w14:textId="77777777" w:rsidR="007075D9" w:rsidRPr="004D46AC" w:rsidRDefault="007075D9" w:rsidP="002C5F6E">
            <w:pPr>
              <w:spacing w:line="240" w:lineRule="auto"/>
              <w:ind w:firstLine="0"/>
            </w:pPr>
            <w:r w:rsidRPr="004D46AC">
              <w:rPr>
                <w:rFonts w:eastAsia="SimSun"/>
                <w:color w:val="000000"/>
              </w:rPr>
              <w:t>M11--M12</w:t>
            </w:r>
          </w:p>
        </w:tc>
        <w:tc>
          <w:tcPr>
            <w:tcW w:w="1098" w:type="dxa"/>
            <w:vAlign w:val="center"/>
          </w:tcPr>
          <w:p w14:paraId="44257886" w14:textId="77777777" w:rsidR="007075D9" w:rsidRPr="004D46AC" w:rsidRDefault="007075D9" w:rsidP="002C5F6E">
            <w:pPr>
              <w:spacing w:line="240" w:lineRule="auto"/>
              <w:ind w:firstLine="0"/>
            </w:pPr>
            <w:r w:rsidRPr="004D46AC">
              <w:rPr>
                <w:rFonts w:eastAsia="SimSun"/>
                <w:color w:val="000000"/>
              </w:rPr>
              <w:t xml:space="preserve">0.66 </w:t>
            </w:r>
          </w:p>
        </w:tc>
        <w:tc>
          <w:tcPr>
            <w:tcW w:w="2409" w:type="dxa"/>
            <w:vAlign w:val="center"/>
          </w:tcPr>
          <w:p w14:paraId="6C8D974D" w14:textId="77777777" w:rsidR="007075D9" w:rsidRPr="004D46AC" w:rsidRDefault="007075D9" w:rsidP="002C5F6E">
            <w:pPr>
              <w:spacing w:line="240" w:lineRule="auto"/>
              <w:ind w:firstLine="0"/>
            </w:pPr>
            <w:r w:rsidRPr="004D46AC">
              <w:rPr>
                <w:rFonts w:eastAsia="SimSun"/>
                <w:color w:val="000000"/>
              </w:rPr>
              <w:t xml:space="preserve">0.31 </w:t>
            </w:r>
          </w:p>
        </w:tc>
        <w:tc>
          <w:tcPr>
            <w:tcW w:w="2410" w:type="dxa"/>
            <w:vAlign w:val="center"/>
          </w:tcPr>
          <w:p w14:paraId="0EF25106" w14:textId="77777777" w:rsidR="007075D9" w:rsidRPr="004D46AC" w:rsidRDefault="007075D9" w:rsidP="002C5F6E">
            <w:pPr>
              <w:spacing w:line="240" w:lineRule="auto"/>
              <w:ind w:firstLine="0"/>
            </w:pPr>
            <w:r w:rsidRPr="004D46AC">
              <w:rPr>
                <w:rFonts w:eastAsia="SimSun"/>
                <w:color w:val="000000"/>
              </w:rPr>
              <w:t xml:space="preserve">1.01 </w:t>
            </w:r>
          </w:p>
        </w:tc>
        <w:tc>
          <w:tcPr>
            <w:tcW w:w="901" w:type="dxa"/>
            <w:vAlign w:val="center"/>
          </w:tcPr>
          <w:p w14:paraId="011B03F6"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48102EB3" w14:textId="77777777" w:rsidTr="00B518F1">
        <w:tc>
          <w:tcPr>
            <w:tcW w:w="1704" w:type="dxa"/>
            <w:vAlign w:val="center"/>
          </w:tcPr>
          <w:p w14:paraId="6567EAB7" w14:textId="77777777" w:rsidR="007075D9" w:rsidRPr="004D46AC" w:rsidRDefault="007075D9" w:rsidP="002C5F6E">
            <w:pPr>
              <w:spacing w:line="240" w:lineRule="auto"/>
              <w:ind w:firstLine="0"/>
            </w:pPr>
            <w:r w:rsidRPr="004D46AC">
              <w:rPr>
                <w:rFonts w:eastAsia="SimSun"/>
                <w:color w:val="000000"/>
              </w:rPr>
              <w:t>M1--M5</w:t>
            </w:r>
          </w:p>
        </w:tc>
        <w:tc>
          <w:tcPr>
            <w:tcW w:w="1098" w:type="dxa"/>
            <w:vAlign w:val="center"/>
          </w:tcPr>
          <w:p w14:paraId="5EA46114" w14:textId="77777777" w:rsidR="007075D9" w:rsidRPr="004D46AC" w:rsidRDefault="007075D9" w:rsidP="002C5F6E">
            <w:pPr>
              <w:spacing w:line="240" w:lineRule="auto"/>
              <w:ind w:firstLine="0"/>
            </w:pPr>
            <w:r w:rsidRPr="004D46AC">
              <w:rPr>
                <w:rFonts w:eastAsia="SimSun"/>
                <w:color w:val="000000"/>
              </w:rPr>
              <w:t xml:space="preserve">0.65 </w:t>
            </w:r>
          </w:p>
        </w:tc>
        <w:tc>
          <w:tcPr>
            <w:tcW w:w="2409" w:type="dxa"/>
            <w:vAlign w:val="center"/>
          </w:tcPr>
          <w:p w14:paraId="632D1AC0" w14:textId="77777777" w:rsidR="007075D9" w:rsidRPr="004D46AC" w:rsidRDefault="007075D9" w:rsidP="002C5F6E">
            <w:pPr>
              <w:spacing w:line="240" w:lineRule="auto"/>
              <w:ind w:firstLine="0"/>
            </w:pPr>
            <w:r w:rsidRPr="004D46AC">
              <w:rPr>
                <w:rFonts w:eastAsia="SimSun"/>
                <w:color w:val="000000"/>
              </w:rPr>
              <w:t xml:space="preserve">0.31 </w:t>
            </w:r>
          </w:p>
        </w:tc>
        <w:tc>
          <w:tcPr>
            <w:tcW w:w="2410" w:type="dxa"/>
            <w:vAlign w:val="center"/>
          </w:tcPr>
          <w:p w14:paraId="54681376" w14:textId="77777777" w:rsidR="007075D9" w:rsidRPr="004D46AC" w:rsidRDefault="007075D9" w:rsidP="002C5F6E">
            <w:pPr>
              <w:spacing w:line="240" w:lineRule="auto"/>
              <w:ind w:firstLine="0"/>
            </w:pPr>
            <w:r w:rsidRPr="004D46AC">
              <w:rPr>
                <w:rFonts w:eastAsia="SimSun"/>
                <w:color w:val="000000"/>
              </w:rPr>
              <w:t xml:space="preserve">0.98 </w:t>
            </w:r>
          </w:p>
        </w:tc>
        <w:tc>
          <w:tcPr>
            <w:tcW w:w="901" w:type="dxa"/>
            <w:vAlign w:val="center"/>
          </w:tcPr>
          <w:p w14:paraId="37BF7C4C"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19E6AD6A" w14:textId="77777777" w:rsidTr="00B518F1">
        <w:tc>
          <w:tcPr>
            <w:tcW w:w="1704" w:type="dxa"/>
            <w:vAlign w:val="center"/>
          </w:tcPr>
          <w:p w14:paraId="2FDC609F" w14:textId="77777777" w:rsidR="007075D9" w:rsidRPr="004D46AC" w:rsidRDefault="007075D9" w:rsidP="002C5F6E">
            <w:pPr>
              <w:spacing w:line="240" w:lineRule="auto"/>
              <w:ind w:firstLine="0"/>
            </w:pPr>
            <w:r w:rsidRPr="004D46AC">
              <w:rPr>
                <w:rFonts w:eastAsia="SimSun"/>
                <w:color w:val="000000"/>
              </w:rPr>
              <w:t>EI--M10</w:t>
            </w:r>
          </w:p>
        </w:tc>
        <w:tc>
          <w:tcPr>
            <w:tcW w:w="1098" w:type="dxa"/>
            <w:vAlign w:val="center"/>
          </w:tcPr>
          <w:p w14:paraId="34737433" w14:textId="77777777" w:rsidR="007075D9" w:rsidRPr="004D46AC" w:rsidRDefault="007075D9" w:rsidP="002C5F6E">
            <w:pPr>
              <w:spacing w:line="240" w:lineRule="auto"/>
              <w:ind w:firstLine="0"/>
            </w:pPr>
            <w:r w:rsidRPr="004D46AC">
              <w:rPr>
                <w:rFonts w:eastAsia="SimSun"/>
                <w:color w:val="000000"/>
              </w:rPr>
              <w:t xml:space="preserve">0.59 </w:t>
            </w:r>
          </w:p>
        </w:tc>
        <w:tc>
          <w:tcPr>
            <w:tcW w:w="2409" w:type="dxa"/>
            <w:vAlign w:val="center"/>
          </w:tcPr>
          <w:p w14:paraId="4C3DAA75" w14:textId="77777777" w:rsidR="007075D9" w:rsidRPr="004D46AC" w:rsidRDefault="007075D9" w:rsidP="002C5F6E">
            <w:pPr>
              <w:spacing w:line="240" w:lineRule="auto"/>
              <w:ind w:firstLine="0"/>
            </w:pPr>
            <w:r w:rsidRPr="004D46AC">
              <w:rPr>
                <w:rFonts w:eastAsia="SimSun"/>
                <w:color w:val="000000"/>
              </w:rPr>
              <w:t xml:space="preserve">0.28 </w:t>
            </w:r>
          </w:p>
        </w:tc>
        <w:tc>
          <w:tcPr>
            <w:tcW w:w="2410" w:type="dxa"/>
            <w:vAlign w:val="center"/>
          </w:tcPr>
          <w:p w14:paraId="74C133DA" w14:textId="77777777" w:rsidR="007075D9" w:rsidRPr="004D46AC" w:rsidRDefault="007075D9" w:rsidP="002C5F6E">
            <w:pPr>
              <w:spacing w:line="240" w:lineRule="auto"/>
              <w:ind w:firstLine="0"/>
            </w:pPr>
            <w:r w:rsidRPr="004D46AC">
              <w:rPr>
                <w:rFonts w:eastAsia="SimSun"/>
                <w:color w:val="000000"/>
              </w:rPr>
              <w:t xml:space="preserve">0.90 </w:t>
            </w:r>
          </w:p>
        </w:tc>
        <w:tc>
          <w:tcPr>
            <w:tcW w:w="901" w:type="dxa"/>
            <w:vAlign w:val="center"/>
          </w:tcPr>
          <w:p w14:paraId="32EF1ADF"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4AF77013" w14:textId="77777777" w:rsidTr="00B518F1">
        <w:tc>
          <w:tcPr>
            <w:tcW w:w="1704" w:type="dxa"/>
            <w:vAlign w:val="center"/>
          </w:tcPr>
          <w:p w14:paraId="41976B2A" w14:textId="77777777" w:rsidR="007075D9" w:rsidRPr="004D46AC" w:rsidRDefault="007075D9" w:rsidP="002C5F6E">
            <w:pPr>
              <w:spacing w:line="240" w:lineRule="auto"/>
              <w:ind w:firstLine="0"/>
            </w:pPr>
            <w:r w:rsidRPr="004D46AC">
              <w:rPr>
                <w:rFonts w:eastAsia="SimSun"/>
                <w:color w:val="000000"/>
              </w:rPr>
              <w:t>M12--M13</w:t>
            </w:r>
          </w:p>
        </w:tc>
        <w:tc>
          <w:tcPr>
            <w:tcW w:w="1098" w:type="dxa"/>
            <w:vAlign w:val="center"/>
          </w:tcPr>
          <w:p w14:paraId="68F6F1D0" w14:textId="77777777" w:rsidR="007075D9" w:rsidRPr="004D46AC" w:rsidRDefault="007075D9" w:rsidP="002C5F6E">
            <w:pPr>
              <w:spacing w:line="240" w:lineRule="auto"/>
              <w:ind w:firstLine="0"/>
            </w:pPr>
            <w:r w:rsidRPr="004D46AC">
              <w:rPr>
                <w:rFonts w:eastAsia="SimSun"/>
                <w:color w:val="000000"/>
              </w:rPr>
              <w:t xml:space="preserve">0.57 </w:t>
            </w:r>
          </w:p>
        </w:tc>
        <w:tc>
          <w:tcPr>
            <w:tcW w:w="2409" w:type="dxa"/>
            <w:vAlign w:val="center"/>
          </w:tcPr>
          <w:p w14:paraId="64A7A44F"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0E574C2F" w14:textId="77777777" w:rsidR="007075D9" w:rsidRPr="004D46AC" w:rsidRDefault="007075D9" w:rsidP="002C5F6E">
            <w:pPr>
              <w:spacing w:line="240" w:lineRule="auto"/>
              <w:ind w:firstLine="0"/>
            </w:pPr>
            <w:r w:rsidRPr="004D46AC">
              <w:rPr>
                <w:rFonts w:eastAsia="SimSun"/>
                <w:color w:val="000000"/>
              </w:rPr>
              <w:t xml:space="preserve">1.10 </w:t>
            </w:r>
          </w:p>
        </w:tc>
        <w:tc>
          <w:tcPr>
            <w:tcW w:w="901" w:type="dxa"/>
            <w:vAlign w:val="center"/>
          </w:tcPr>
          <w:p w14:paraId="4612669D" w14:textId="77777777" w:rsidR="007075D9" w:rsidRPr="004D46AC" w:rsidRDefault="007075D9" w:rsidP="002C5F6E">
            <w:pPr>
              <w:spacing w:line="240" w:lineRule="auto"/>
              <w:ind w:firstLine="0"/>
            </w:pPr>
            <w:r w:rsidRPr="004D46AC">
              <w:rPr>
                <w:rFonts w:eastAsia="SimSun"/>
                <w:color w:val="000000"/>
              </w:rPr>
              <w:t xml:space="preserve">0.04 </w:t>
            </w:r>
          </w:p>
        </w:tc>
      </w:tr>
      <w:tr w:rsidR="007075D9" w:rsidRPr="004D46AC" w14:paraId="53BEDE97" w14:textId="77777777" w:rsidTr="00B518F1">
        <w:tc>
          <w:tcPr>
            <w:tcW w:w="1704" w:type="dxa"/>
            <w:vAlign w:val="center"/>
          </w:tcPr>
          <w:p w14:paraId="119356FB" w14:textId="77777777" w:rsidR="007075D9" w:rsidRPr="004D46AC" w:rsidRDefault="007075D9" w:rsidP="002C5F6E">
            <w:pPr>
              <w:spacing w:line="240" w:lineRule="auto"/>
              <w:ind w:firstLine="0"/>
            </w:pPr>
            <w:r w:rsidRPr="004D46AC">
              <w:rPr>
                <w:rFonts w:eastAsia="SimSun"/>
                <w:color w:val="000000"/>
              </w:rPr>
              <w:t>M1--M4</w:t>
            </w:r>
          </w:p>
        </w:tc>
        <w:tc>
          <w:tcPr>
            <w:tcW w:w="1098" w:type="dxa"/>
            <w:vAlign w:val="center"/>
          </w:tcPr>
          <w:p w14:paraId="5C7C98FF" w14:textId="77777777" w:rsidR="007075D9" w:rsidRPr="004D46AC" w:rsidRDefault="007075D9" w:rsidP="002C5F6E">
            <w:pPr>
              <w:spacing w:line="240" w:lineRule="auto"/>
              <w:ind w:firstLine="0"/>
            </w:pPr>
            <w:r w:rsidRPr="004D46AC">
              <w:rPr>
                <w:rFonts w:eastAsia="SimSun"/>
                <w:color w:val="000000"/>
              </w:rPr>
              <w:t xml:space="preserve">0.54 </w:t>
            </w:r>
          </w:p>
        </w:tc>
        <w:tc>
          <w:tcPr>
            <w:tcW w:w="2409" w:type="dxa"/>
            <w:vAlign w:val="center"/>
          </w:tcPr>
          <w:p w14:paraId="33066938" w14:textId="77777777" w:rsidR="007075D9" w:rsidRPr="004D46AC" w:rsidRDefault="007075D9" w:rsidP="002C5F6E">
            <w:pPr>
              <w:spacing w:line="240" w:lineRule="auto"/>
              <w:ind w:firstLine="0"/>
            </w:pPr>
            <w:r w:rsidRPr="004D46AC">
              <w:rPr>
                <w:rFonts w:eastAsia="SimSun"/>
                <w:color w:val="000000"/>
              </w:rPr>
              <w:t xml:space="preserve">0.26 </w:t>
            </w:r>
          </w:p>
        </w:tc>
        <w:tc>
          <w:tcPr>
            <w:tcW w:w="2410" w:type="dxa"/>
            <w:vAlign w:val="center"/>
          </w:tcPr>
          <w:p w14:paraId="17FF697B" w14:textId="77777777" w:rsidR="007075D9" w:rsidRPr="004D46AC" w:rsidRDefault="007075D9" w:rsidP="002C5F6E">
            <w:pPr>
              <w:spacing w:line="240" w:lineRule="auto"/>
              <w:ind w:firstLine="0"/>
            </w:pPr>
            <w:r w:rsidRPr="004D46AC">
              <w:rPr>
                <w:rFonts w:eastAsia="SimSun"/>
                <w:color w:val="000000"/>
              </w:rPr>
              <w:t xml:space="preserve">0.82 </w:t>
            </w:r>
          </w:p>
        </w:tc>
        <w:tc>
          <w:tcPr>
            <w:tcW w:w="901" w:type="dxa"/>
            <w:vAlign w:val="center"/>
          </w:tcPr>
          <w:p w14:paraId="3C7E48E2"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2C2A3401" w14:textId="77777777" w:rsidTr="00B518F1">
        <w:tc>
          <w:tcPr>
            <w:tcW w:w="1704" w:type="dxa"/>
            <w:vAlign w:val="center"/>
          </w:tcPr>
          <w:p w14:paraId="5C6E348D" w14:textId="77777777" w:rsidR="007075D9" w:rsidRPr="004D46AC" w:rsidRDefault="007075D9" w:rsidP="002C5F6E">
            <w:pPr>
              <w:spacing w:line="240" w:lineRule="auto"/>
              <w:ind w:firstLine="0"/>
            </w:pPr>
            <w:r w:rsidRPr="004D46AC">
              <w:rPr>
                <w:rFonts w:eastAsia="SimSun"/>
                <w:color w:val="000000"/>
              </w:rPr>
              <w:t>EI--M3</w:t>
            </w:r>
          </w:p>
        </w:tc>
        <w:tc>
          <w:tcPr>
            <w:tcW w:w="1098" w:type="dxa"/>
            <w:vAlign w:val="center"/>
          </w:tcPr>
          <w:p w14:paraId="0AE2DC11" w14:textId="77777777" w:rsidR="007075D9" w:rsidRPr="004D46AC" w:rsidRDefault="007075D9" w:rsidP="002C5F6E">
            <w:pPr>
              <w:spacing w:line="240" w:lineRule="auto"/>
              <w:ind w:firstLine="0"/>
            </w:pPr>
            <w:r w:rsidRPr="004D46AC">
              <w:rPr>
                <w:rFonts w:eastAsia="SimSun"/>
                <w:color w:val="000000"/>
              </w:rPr>
              <w:t xml:space="preserve">0.53 </w:t>
            </w:r>
          </w:p>
        </w:tc>
        <w:tc>
          <w:tcPr>
            <w:tcW w:w="2409" w:type="dxa"/>
            <w:vAlign w:val="center"/>
          </w:tcPr>
          <w:p w14:paraId="3C213FA8" w14:textId="77777777" w:rsidR="007075D9" w:rsidRPr="004D46AC" w:rsidRDefault="007075D9" w:rsidP="002C5F6E">
            <w:pPr>
              <w:spacing w:line="240" w:lineRule="auto"/>
              <w:ind w:firstLine="0"/>
            </w:pPr>
            <w:r w:rsidRPr="004D46AC">
              <w:rPr>
                <w:rFonts w:eastAsia="SimSun"/>
                <w:color w:val="000000"/>
              </w:rPr>
              <w:t xml:space="preserve">0.33 </w:t>
            </w:r>
          </w:p>
        </w:tc>
        <w:tc>
          <w:tcPr>
            <w:tcW w:w="2410" w:type="dxa"/>
            <w:vAlign w:val="center"/>
          </w:tcPr>
          <w:p w14:paraId="6293F4CF" w14:textId="77777777" w:rsidR="007075D9" w:rsidRPr="004D46AC" w:rsidRDefault="007075D9" w:rsidP="002C5F6E">
            <w:pPr>
              <w:spacing w:line="240" w:lineRule="auto"/>
              <w:ind w:firstLine="0"/>
            </w:pPr>
            <w:r w:rsidRPr="004D46AC">
              <w:rPr>
                <w:rFonts w:eastAsia="SimSun"/>
                <w:color w:val="000000"/>
              </w:rPr>
              <w:t xml:space="preserve">0.73 </w:t>
            </w:r>
          </w:p>
        </w:tc>
        <w:tc>
          <w:tcPr>
            <w:tcW w:w="901" w:type="dxa"/>
            <w:vAlign w:val="center"/>
          </w:tcPr>
          <w:p w14:paraId="61238ECD"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6EE71027" w14:textId="77777777" w:rsidTr="00B518F1">
        <w:tc>
          <w:tcPr>
            <w:tcW w:w="1704" w:type="dxa"/>
            <w:vAlign w:val="center"/>
          </w:tcPr>
          <w:p w14:paraId="6A19C28F" w14:textId="77777777" w:rsidR="007075D9" w:rsidRPr="004D46AC" w:rsidRDefault="007075D9" w:rsidP="002C5F6E">
            <w:pPr>
              <w:spacing w:line="240" w:lineRule="auto"/>
              <w:ind w:firstLine="0"/>
            </w:pPr>
            <w:r w:rsidRPr="004D46AC">
              <w:rPr>
                <w:rFonts w:eastAsia="SimSun"/>
                <w:color w:val="000000"/>
              </w:rPr>
              <w:t>M5--M6</w:t>
            </w:r>
          </w:p>
        </w:tc>
        <w:tc>
          <w:tcPr>
            <w:tcW w:w="1098" w:type="dxa"/>
            <w:vAlign w:val="center"/>
          </w:tcPr>
          <w:p w14:paraId="7949CAA0" w14:textId="77777777" w:rsidR="007075D9" w:rsidRPr="004D46AC" w:rsidRDefault="007075D9" w:rsidP="002C5F6E">
            <w:pPr>
              <w:spacing w:line="240" w:lineRule="auto"/>
              <w:ind w:firstLine="0"/>
            </w:pPr>
            <w:r w:rsidRPr="004D46AC">
              <w:rPr>
                <w:rFonts w:eastAsia="SimSun"/>
                <w:color w:val="000000"/>
              </w:rPr>
              <w:t xml:space="preserve">0.51 </w:t>
            </w:r>
          </w:p>
        </w:tc>
        <w:tc>
          <w:tcPr>
            <w:tcW w:w="2409" w:type="dxa"/>
            <w:vAlign w:val="center"/>
          </w:tcPr>
          <w:p w14:paraId="1EEF64CC" w14:textId="77777777" w:rsidR="007075D9" w:rsidRPr="004D46AC" w:rsidRDefault="007075D9" w:rsidP="002C5F6E">
            <w:pPr>
              <w:spacing w:line="240" w:lineRule="auto"/>
              <w:ind w:firstLine="0"/>
            </w:pPr>
            <w:r w:rsidRPr="004D46AC">
              <w:rPr>
                <w:rFonts w:eastAsia="SimSun"/>
                <w:color w:val="000000"/>
              </w:rPr>
              <w:t xml:space="preserve">0.15 </w:t>
            </w:r>
          </w:p>
        </w:tc>
        <w:tc>
          <w:tcPr>
            <w:tcW w:w="2410" w:type="dxa"/>
            <w:vAlign w:val="center"/>
          </w:tcPr>
          <w:p w14:paraId="60FAA592" w14:textId="77777777" w:rsidR="007075D9" w:rsidRPr="004D46AC" w:rsidRDefault="007075D9" w:rsidP="002C5F6E">
            <w:pPr>
              <w:spacing w:line="240" w:lineRule="auto"/>
              <w:ind w:firstLine="0"/>
            </w:pPr>
            <w:r w:rsidRPr="004D46AC">
              <w:rPr>
                <w:rFonts w:eastAsia="SimSun"/>
                <w:color w:val="000000"/>
              </w:rPr>
              <w:t xml:space="preserve">0.87 </w:t>
            </w:r>
          </w:p>
        </w:tc>
        <w:tc>
          <w:tcPr>
            <w:tcW w:w="901" w:type="dxa"/>
            <w:vAlign w:val="center"/>
          </w:tcPr>
          <w:p w14:paraId="0AAECC7A"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26718B6A" w14:textId="77777777" w:rsidTr="00B518F1">
        <w:tc>
          <w:tcPr>
            <w:tcW w:w="1704" w:type="dxa"/>
            <w:vAlign w:val="center"/>
          </w:tcPr>
          <w:p w14:paraId="31638BF9" w14:textId="77777777" w:rsidR="007075D9" w:rsidRPr="004D46AC" w:rsidRDefault="007075D9" w:rsidP="002C5F6E">
            <w:pPr>
              <w:spacing w:line="240" w:lineRule="auto"/>
              <w:ind w:firstLine="0"/>
            </w:pPr>
            <w:r w:rsidRPr="004D46AC">
              <w:rPr>
                <w:rFonts w:eastAsia="SimSun"/>
                <w:color w:val="000000"/>
              </w:rPr>
              <w:t>M1--M2</w:t>
            </w:r>
          </w:p>
        </w:tc>
        <w:tc>
          <w:tcPr>
            <w:tcW w:w="1098" w:type="dxa"/>
            <w:vAlign w:val="center"/>
          </w:tcPr>
          <w:p w14:paraId="52FDA732" w14:textId="77777777" w:rsidR="007075D9" w:rsidRPr="004D46AC" w:rsidRDefault="007075D9" w:rsidP="002C5F6E">
            <w:pPr>
              <w:spacing w:line="240" w:lineRule="auto"/>
              <w:ind w:firstLine="0"/>
            </w:pPr>
            <w:r w:rsidRPr="004D46AC">
              <w:rPr>
                <w:rFonts w:eastAsia="SimSun"/>
                <w:color w:val="000000"/>
              </w:rPr>
              <w:t xml:space="preserve">0.49 </w:t>
            </w:r>
          </w:p>
        </w:tc>
        <w:tc>
          <w:tcPr>
            <w:tcW w:w="2409" w:type="dxa"/>
            <w:vAlign w:val="center"/>
          </w:tcPr>
          <w:p w14:paraId="68041DE6" w14:textId="77777777" w:rsidR="007075D9" w:rsidRPr="004D46AC" w:rsidRDefault="007075D9" w:rsidP="002C5F6E">
            <w:pPr>
              <w:spacing w:line="240" w:lineRule="auto"/>
              <w:ind w:firstLine="0"/>
            </w:pPr>
            <w:r w:rsidRPr="004D46AC">
              <w:rPr>
                <w:rFonts w:eastAsia="SimSun"/>
                <w:color w:val="000000"/>
              </w:rPr>
              <w:t xml:space="preserve">0.20 </w:t>
            </w:r>
          </w:p>
        </w:tc>
        <w:tc>
          <w:tcPr>
            <w:tcW w:w="2410" w:type="dxa"/>
            <w:vAlign w:val="center"/>
          </w:tcPr>
          <w:p w14:paraId="00FC009C" w14:textId="77777777" w:rsidR="007075D9" w:rsidRPr="004D46AC" w:rsidRDefault="007075D9" w:rsidP="002C5F6E">
            <w:pPr>
              <w:spacing w:line="240" w:lineRule="auto"/>
              <w:ind w:firstLine="0"/>
            </w:pPr>
            <w:r w:rsidRPr="004D46AC">
              <w:rPr>
                <w:rFonts w:eastAsia="SimSun"/>
                <w:color w:val="000000"/>
              </w:rPr>
              <w:t xml:space="preserve">0.78 </w:t>
            </w:r>
          </w:p>
        </w:tc>
        <w:tc>
          <w:tcPr>
            <w:tcW w:w="901" w:type="dxa"/>
            <w:vAlign w:val="center"/>
          </w:tcPr>
          <w:p w14:paraId="5EB02468"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77E309B0" w14:textId="77777777" w:rsidTr="00B518F1">
        <w:tc>
          <w:tcPr>
            <w:tcW w:w="1704" w:type="dxa"/>
            <w:vAlign w:val="center"/>
          </w:tcPr>
          <w:p w14:paraId="6CFE3A72" w14:textId="77777777" w:rsidR="007075D9" w:rsidRPr="004D46AC" w:rsidRDefault="007075D9" w:rsidP="002C5F6E">
            <w:pPr>
              <w:spacing w:line="240" w:lineRule="auto"/>
              <w:ind w:firstLine="0"/>
            </w:pPr>
            <w:r w:rsidRPr="004D46AC">
              <w:rPr>
                <w:rFonts w:eastAsia="SimSun"/>
                <w:color w:val="000000"/>
              </w:rPr>
              <w:t>M7--M13</w:t>
            </w:r>
          </w:p>
        </w:tc>
        <w:tc>
          <w:tcPr>
            <w:tcW w:w="1098" w:type="dxa"/>
            <w:vAlign w:val="center"/>
          </w:tcPr>
          <w:p w14:paraId="7015188E" w14:textId="77777777" w:rsidR="007075D9" w:rsidRPr="004D46AC" w:rsidRDefault="007075D9" w:rsidP="002C5F6E">
            <w:pPr>
              <w:spacing w:line="240" w:lineRule="auto"/>
              <w:ind w:firstLine="0"/>
            </w:pPr>
            <w:r w:rsidRPr="004D46AC">
              <w:rPr>
                <w:rFonts w:eastAsia="SimSun"/>
                <w:color w:val="000000"/>
              </w:rPr>
              <w:t xml:space="preserve">0.47 </w:t>
            </w:r>
          </w:p>
        </w:tc>
        <w:tc>
          <w:tcPr>
            <w:tcW w:w="2409" w:type="dxa"/>
            <w:vAlign w:val="center"/>
          </w:tcPr>
          <w:p w14:paraId="745BE436"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044EE9BA" w14:textId="77777777" w:rsidR="007075D9" w:rsidRPr="004D46AC" w:rsidRDefault="007075D9" w:rsidP="002C5F6E">
            <w:pPr>
              <w:spacing w:line="240" w:lineRule="auto"/>
              <w:ind w:firstLine="0"/>
            </w:pPr>
            <w:r w:rsidRPr="004D46AC">
              <w:rPr>
                <w:rFonts w:eastAsia="SimSun"/>
                <w:color w:val="000000"/>
              </w:rPr>
              <w:t xml:space="preserve">0.98 </w:t>
            </w:r>
          </w:p>
        </w:tc>
        <w:tc>
          <w:tcPr>
            <w:tcW w:w="901" w:type="dxa"/>
            <w:vAlign w:val="center"/>
          </w:tcPr>
          <w:p w14:paraId="62692CA8" w14:textId="77777777" w:rsidR="007075D9" w:rsidRPr="004D46AC" w:rsidRDefault="007075D9" w:rsidP="002C5F6E">
            <w:pPr>
              <w:spacing w:line="240" w:lineRule="auto"/>
              <w:ind w:firstLine="0"/>
            </w:pPr>
            <w:r w:rsidRPr="004D46AC">
              <w:rPr>
                <w:rFonts w:eastAsia="SimSun"/>
                <w:color w:val="000000"/>
              </w:rPr>
              <w:t xml:space="preserve">0.09 </w:t>
            </w:r>
          </w:p>
        </w:tc>
      </w:tr>
      <w:tr w:rsidR="007075D9" w:rsidRPr="004D46AC" w14:paraId="4C2FA572" w14:textId="77777777" w:rsidTr="00B518F1">
        <w:tc>
          <w:tcPr>
            <w:tcW w:w="1704" w:type="dxa"/>
            <w:vAlign w:val="center"/>
          </w:tcPr>
          <w:p w14:paraId="5BF78AEA" w14:textId="77777777" w:rsidR="007075D9" w:rsidRPr="004D46AC" w:rsidRDefault="007075D9" w:rsidP="002C5F6E">
            <w:pPr>
              <w:spacing w:line="240" w:lineRule="auto"/>
              <w:ind w:firstLine="0"/>
            </w:pPr>
            <w:r w:rsidRPr="004D46AC">
              <w:rPr>
                <w:rFonts w:eastAsia="SimSun"/>
                <w:color w:val="000000"/>
              </w:rPr>
              <w:t>PS--P5</w:t>
            </w:r>
          </w:p>
        </w:tc>
        <w:tc>
          <w:tcPr>
            <w:tcW w:w="1098" w:type="dxa"/>
            <w:vAlign w:val="center"/>
          </w:tcPr>
          <w:p w14:paraId="42991517" w14:textId="77777777" w:rsidR="007075D9" w:rsidRPr="004D46AC" w:rsidRDefault="007075D9" w:rsidP="002C5F6E">
            <w:pPr>
              <w:spacing w:line="240" w:lineRule="auto"/>
              <w:ind w:firstLine="0"/>
            </w:pPr>
            <w:r w:rsidRPr="004D46AC">
              <w:rPr>
                <w:rFonts w:eastAsia="SimSun"/>
                <w:color w:val="000000"/>
              </w:rPr>
              <w:t xml:space="preserve">0.47 </w:t>
            </w:r>
          </w:p>
        </w:tc>
        <w:tc>
          <w:tcPr>
            <w:tcW w:w="2409" w:type="dxa"/>
            <w:vAlign w:val="center"/>
          </w:tcPr>
          <w:p w14:paraId="05CAE448" w14:textId="77777777" w:rsidR="007075D9" w:rsidRPr="004D46AC" w:rsidRDefault="007075D9" w:rsidP="002C5F6E">
            <w:pPr>
              <w:spacing w:line="240" w:lineRule="auto"/>
              <w:ind w:firstLine="0"/>
            </w:pPr>
            <w:r w:rsidRPr="004D46AC">
              <w:rPr>
                <w:rFonts w:eastAsia="SimSun"/>
                <w:color w:val="000000"/>
              </w:rPr>
              <w:t xml:space="preserve">0.16 </w:t>
            </w:r>
          </w:p>
        </w:tc>
        <w:tc>
          <w:tcPr>
            <w:tcW w:w="2410" w:type="dxa"/>
            <w:vAlign w:val="center"/>
          </w:tcPr>
          <w:p w14:paraId="53A4583A" w14:textId="77777777" w:rsidR="007075D9" w:rsidRPr="004D46AC" w:rsidRDefault="007075D9" w:rsidP="002C5F6E">
            <w:pPr>
              <w:spacing w:line="240" w:lineRule="auto"/>
              <w:ind w:firstLine="0"/>
            </w:pPr>
            <w:r w:rsidRPr="004D46AC">
              <w:rPr>
                <w:rFonts w:eastAsia="SimSun"/>
                <w:color w:val="000000"/>
              </w:rPr>
              <w:t xml:space="preserve">0.78 </w:t>
            </w:r>
          </w:p>
        </w:tc>
        <w:tc>
          <w:tcPr>
            <w:tcW w:w="901" w:type="dxa"/>
            <w:vAlign w:val="center"/>
          </w:tcPr>
          <w:p w14:paraId="62D97A24"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0FF641D1" w14:textId="77777777" w:rsidTr="00B518F1">
        <w:tc>
          <w:tcPr>
            <w:tcW w:w="1704" w:type="dxa"/>
            <w:vAlign w:val="center"/>
          </w:tcPr>
          <w:p w14:paraId="5AEAF59B" w14:textId="77777777" w:rsidR="007075D9" w:rsidRPr="004D46AC" w:rsidRDefault="007075D9" w:rsidP="002C5F6E">
            <w:pPr>
              <w:spacing w:line="240" w:lineRule="auto"/>
              <w:ind w:firstLine="0"/>
            </w:pPr>
            <w:r w:rsidRPr="004D46AC">
              <w:rPr>
                <w:rFonts w:eastAsia="SimSun"/>
                <w:color w:val="000000"/>
              </w:rPr>
              <w:t>P2--P5</w:t>
            </w:r>
          </w:p>
        </w:tc>
        <w:tc>
          <w:tcPr>
            <w:tcW w:w="1098" w:type="dxa"/>
            <w:vAlign w:val="center"/>
          </w:tcPr>
          <w:p w14:paraId="02DD2A6E" w14:textId="77777777" w:rsidR="007075D9" w:rsidRPr="004D46AC" w:rsidRDefault="007075D9" w:rsidP="002C5F6E">
            <w:pPr>
              <w:spacing w:line="240" w:lineRule="auto"/>
              <w:ind w:firstLine="0"/>
            </w:pPr>
            <w:r w:rsidRPr="004D46AC">
              <w:rPr>
                <w:rFonts w:eastAsia="SimSun"/>
                <w:color w:val="000000"/>
              </w:rPr>
              <w:t xml:space="preserve">0.47 </w:t>
            </w:r>
          </w:p>
        </w:tc>
        <w:tc>
          <w:tcPr>
            <w:tcW w:w="2409" w:type="dxa"/>
            <w:vAlign w:val="center"/>
          </w:tcPr>
          <w:p w14:paraId="79B17FBF" w14:textId="77777777" w:rsidR="007075D9" w:rsidRPr="004D46AC" w:rsidRDefault="007075D9" w:rsidP="002C5F6E">
            <w:pPr>
              <w:spacing w:line="240" w:lineRule="auto"/>
              <w:ind w:firstLine="0"/>
            </w:pPr>
            <w:r w:rsidRPr="004D46AC">
              <w:rPr>
                <w:rFonts w:eastAsia="SimSun"/>
                <w:color w:val="000000"/>
              </w:rPr>
              <w:t xml:space="preserve">-0.08 </w:t>
            </w:r>
          </w:p>
        </w:tc>
        <w:tc>
          <w:tcPr>
            <w:tcW w:w="2410" w:type="dxa"/>
            <w:vAlign w:val="center"/>
          </w:tcPr>
          <w:p w14:paraId="297EAEAA" w14:textId="77777777" w:rsidR="007075D9" w:rsidRPr="004D46AC" w:rsidRDefault="007075D9" w:rsidP="002C5F6E">
            <w:pPr>
              <w:spacing w:line="240" w:lineRule="auto"/>
              <w:ind w:firstLine="0"/>
            </w:pPr>
            <w:r w:rsidRPr="004D46AC">
              <w:rPr>
                <w:rFonts w:eastAsia="SimSun"/>
                <w:color w:val="000000"/>
              </w:rPr>
              <w:t xml:space="preserve">1.01 </w:t>
            </w:r>
          </w:p>
        </w:tc>
        <w:tc>
          <w:tcPr>
            <w:tcW w:w="901" w:type="dxa"/>
            <w:vAlign w:val="center"/>
          </w:tcPr>
          <w:p w14:paraId="7BFF65ED" w14:textId="77777777" w:rsidR="007075D9" w:rsidRPr="004D46AC" w:rsidRDefault="007075D9" w:rsidP="002C5F6E">
            <w:pPr>
              <w:spacing w:line="240" w:lineRule="auto"/>
              <w:ind w:firstLine="0"/>
            </w:pPr>
            <w:r w:rsidRPr="004D46AC">
              <w:rPr>
                <w:rFonts w:eastAsia="SimSun"/>
                <w:color w:val="000000"/>
              </w:rPr>
              <w:t xml:space="preserve">0.10 </w:t>
            </w:r>
          </w:p>
        </w:tc>
      </w:tr>
      <w:tr w:rsidR="007075D9" w:rsidRPr="004D46AC" w14:paraId="351C4CC7" w14:textId="77777777" w:rsidTr="00B518F1">
        <w:tc>
          <w:tcPr>
            <w:tcW w:w="1704" w:type="dxa"/>
            <w:vAlign w:val="center"/>
          </w:tcPr>
          <w:p w14:paraId="7547A732" w14:textId="77777777" w:rsidR="007075D9" w:rsidRPr="004D46AC" w:rsidRDefault="007075D9" w:rsidP="002C5F6E">
            <w:pPr>
              <w:spacing w:line="240" w:lineRule="auto"/>
              <w:ind w:firstLine="0"/>
            </w:pPr>
            <w:r w:rsidRPr="004D46AC">
              <w:rPr>
                <w:rFonts w:eastAsia="SimSun"/>
                <w:color w:val="000000"/>
              </w:rPr>
              <w:t>EI--M5</w:t>
            </w:r>
          </w:p>
        </w:tc>
        <w:tc>
          <w:tcPr>
            <w:tcW w:w="1098" w:type="dxa"/>
            <w:vAlign w:val="center"/>
          </w:tcPr>
          <w:p w14:paraId="58E612D0" w14:textId="77777777" w:rsidR="007075D9" w:rsidRPr="004D46AC" w:rsidRDefault="007075D9" w:rsidP="002C5F6E">
            <w:pPr>
              <w:spacing w:line="240" w:lineRule="auto"/>
              <w:ind w:firstLine="0"/>
            </w:pPr>
            <w:r w:rsidRPr="004D46AC">
              <w:rPr>
                <w:rFonts w:eastAsia="SimSun"/>
                <w:color w:val="000000"/>
              </w:rPr>
              <w:t xml:space="preserve">0.41 </w:t>
            </w:r>
          </w:p>
        </w:tc>
        <w:tc>
          <w:tcPr>
            <w:tcW w:w="2409" w:type="dxa"/>
            <w:vAlign w:val="center"/>
          </w:tcPr>
          <w:p w14:paraId="0D6C93E7" w14:textId="77777777" w:rsidR="007075D9" w:rsidRPr="004D46AC" w:rsidRDefault="007075D9" w:rsidP="002C5F6E">
            <w:pPr>
              <w:spacing w:line="240" w:lineRule="auto"/>
              <w:ind w:firstLine="0"/>
            </w:pPr>
            <w:r w:rsidRPr="004D46AC">
              <w:rPr>
                <w:rFonts w:eastAsia="SimSun"/>
                <w:color w:val="000000"/>
              </w:rPr>
              <w:t xml:space="preserve">0.16 </w:t>
            </w:r>
          </w:p>
        </w:tc>
        <w:tc>
          <w:tcPr>
            <w:tcW w:w="2410" w:type="dxa"/>
            <w:vAlign w:val="center"/>
          </w:tcPr>
          <w:p w14:paraId="1972AC55" w14:textId="77777777" w:rsidR="007075D9" w:rsidRPr="004D46AC" w:rsidRDefault="007075D9" w:rsidP="002C5F6E">
            <w:pPr>
              <w:spacing w:line="240" w:lineRule="auto"/>
              <w:ind w:firstLine="0"/>
            </w:pPr>
            <w:r w:rsidRPr="004D46AC">
              <w:rPr>
                <w:rFonts w:eastAsia="SimSun"/>
                <w:color w:val="000000"/>
              </w:rPr>
              <w:t xml:space="preserve">0.66 </w:t>
            </w:r>
          </w:p>
        </w:tc>
        <w:tc>
          <w:tcPr>
            <w:tcW w:w="901" w:type="dxa"/>
            <w:vAlign w:val="center"/>
          </w:tcPr>
          <w:p w14:paraId="5F4A012F" w14:textId="77777777" w:rsidR="007075D9" w:rsidRPr="004D46AC" w:rsidRDefault="007075D9" w:rsidP="002C5F6E">
            <w:pPr>
              <w:spacing w:line="240" w:lineRule="auto"/>
              <w:ind w:firstLine="0"/>
            </w:pPr>
            <w:r w:rsidRPr="004D46AC">
              <w:rPr>
                <w:rFonts w:eastAsia="SimSun"/>
                <w:color w:val="000000"/>
              </w:rPr>
              <w:t xml:space="preserve">0.03 </w:t>
            </w:r>
          </w:p>
        </w:tc>
      </w:tr>
      <w:tr w:rsidR="007075D9" w:rsidRPr="004D46AC" w14:paraId="3E766E7E" w14:textId="77777777" w:rsidTr="00B518F1">
        <w:tc>
          <w:tcPr>
            <w:tcW w:w="1704" w:type="dxa"/>
            <w:vAlign w:val="center"/>
          </w:tcPr>
          <w:p w14:paraId="19BA4CEE" w14:textId="77777777" w:rsidR="007075D9" w:rsidRPr="004D46AC" w:rsidRDefault="007075D9" w:rsidP="002C5F6E">
            <w:pPr>
              <w:spacing w:line="240" w:lineRule="auto"/>
              <w:ind w:firstLine="0"/>
            </w:pPr>
            <w:r w:rsidRPr="004D46AC">
              <w:rPr>
                <w:rFonts w:eastAsia="SimSun"/>
                <w:color w:val="000000"/>
              </w:rPr>
              <w:t>M7--M12</w:t>
            </w:r>
          </w:p>
        </w:tc>
        <w:tc>
          <w:tcPr>
            <w:tcW w:w="1098" w:type="dxa"/>
            <w:vAlign w:val="center"/>
          </w:tcPr>
          <w:p w14:paraId="1B2609C0" w14:textId="77777777" w:rsidR="007075D9" w:rsidRPr="004D46AC" w:rsidRDefault="007075D9" w:rsidP="002C5F6E">
            <w:pPr>
              <w:spacing w:line="240" w:lineRule="auto"/>
              <w:ind w:firstLine="0"/>
            </w:pPr>
            <w:r w:rsidRPr="004D46AC">
              <w:rPr>
                <w:rFonts w:eastAsia="SimSun"/>
                <w:color w:val="000000"/>
              </w:rPr>
              <w:t xml:space="preserve">0.40 </w:t>
            </w:r>
          </w:p>
        </w:tc>
        <w:tc>
          <w:tcPr>
            <w:tcW w:w="2409" w:type="dxa"/>
            <w:vAlign w:val="center"/>
          </w:tcPr>
          <w:p w14:paraId="1D50C293" w14:textId="77777777" w:rsidR="007075D9" w:rsidRPr="004D46AC" w:rsidRDefault="007075D9" w:rsidP="002C5F6E">
            <w:pPr>
              <w:spacing w:line="240" w:lineRule="auto"/>
              <w:ind w:firstLine="0"/>
            </w:pPr>
            <w:r w:rsidRPr="004D46AC">
              <w:rPr>
                <w:rFonts w:eastAsia="SimSun"/>
                <w:color w:val="000000"/>
              </w:rPr>
              <w:t xml:space="preserve">0.01 </w:t>
            </w:r>
          </w:p>
        </w:tc>
        <w:tc>
          <w:tcPr>
            <w:tcW w:w="2410" w:type="dxa"/>
            <w:vAlign w:val="center"/>
          </w:tcPr>
          <w:p w14:paraId="3E45413E" w14:textId="77777777" w:rsidR="007075D9" w:rsidRPr="004D46AC" w:rsidRDefault="007075D9" w:rsidP="002C5F6E">
            <w:pPr>
              <w:spacing w:line="240" w:lineRule="auto"/>
              <w:ind w:firstLine="0"/>
            </w:pPr>
            <w:r w:rsidRPr="004D46AC">
              <w:rPr>
                <w:rFonts w:eastAsia="SimSun"/>
                <w:color w:val="000000"/>
              </w:rPr>
              <w:t xml:space="preserve">0.79 </w:t>
            </w:r>
          </w:p>
        </w:tc>
        <w:tc>
          <w:tcPr>
            <w:tcW w:w="901" w:type="dxa"/>
            <w:vAlign w:val="center"/>
          </w:tcPr>
          <w:p w14:paraId="01E4B813"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442A40DA" w14:textId="77777777" w:rsidTr="00B518F1">
        <w:tc>
          <w:tcPr>
            <w:tcW w:w="1704" w:type="dxa"/>
            <w:vAlign w:val="center"/>
          </w:tcPr>
          <w:p w14:paraId="6079BD74" w14:textId="77777777" w:rsidR="007075D9" w:rsidRPr="004D46AC" w:rsidRDefault="007075D9" w:rsidP="002C5F6E">
            <w:pPr>
              <w:spacing w:line="240" w:lineRule="auto"/>
              <w:ind w:firstLine="0"/>
            </w:pPr>
            <w:r w:rsidRPr="004D46AC">
              <w:rPr>
                <w:rFonts w:eastAsia="SimSun"/>
                <w:color w:val="000000"/>
              </w:rPr>
              <w:t>M3--P5</w:t>
            </w:r>
          </w:p>
        </w:tc>
        <w:tc>
          <w:tcPr>
            <w:tcW w:w="1098" w:type="dxa"/>
            <w:vAlign w:val="center"/>
          </w:tcPr>
          <w:p w14:paraId="3965E847" w14:textId="77777777" w:rsidR="007075D9" w:rsidRPr="004D46AC" w:rsidRDefault="007075D9" w:rsidP="002C5F6E">
            <w:pPr>
              <w:spacing w:line="240" w:lineRule="auto"/>
              <w:ind w:firstLine="0"/>
            </w:pPr>
            <w:r w:rsidRPr="004D46AC">
              <w:rPr>
                <w:rFonts w:eastAsia="SimSun"/>
                <w:color w:val="000000"/>
              </w:rPr>
              <w:t xml:space="preserve">0.39 </w:t>
            </w:r>
          </w:p>
        </w:tc>
        <w:tc>
          <w:tcPr>
            <w:tcW w:w="2409" w:type="dxa"/>
            <w:vAlign w:val="center"/>
          </w:tcPr>
          <w:p w14:paraId="158CBD2B" w14:textId="77777777" w:rsidR="007075D9" w:rsidRPr="004D46AC" w:rsidRDefault="007075D9" w:rsidP="002C5F6E">
            <w:pPr>
              <w:spacing w:line="240" w:lineRule="auto"/>
              <w:ind w:firstLine="0"/>
            </w:pPr>
            <w:r w:rsidRPr="004D46AC">
              <w:rPr>
                <w:rFonts w:eastAsia="SimSun"/>
                <w:color w:val="000000"/>
              </w:rPr>
              <w:t xml:space="preserve">-0.17 </w:t>
            </w:r>
          </w:p>
        </w:tc>
        <w:tc>
          <w:tcPr>
            <w:tcW w:w="2410" w:type="dxa"/>
            <w:vAlign w:val="center"/>
          </w:tcPr>
          <w:p w14:paraId="5341D823" w14:textId="77777777" w:rsidR="007075D9" w:rsidRPr="004D46AC" w:rsidRDefault="007075D9" w:rsidP="002C5F6E">
            <w:pPr>
              <w:spacing w:line="240" w:lineRule="auto"/>
              <w:ind w:firstLine="0"/>
            </w:pPr>
            <w:r w:rsidRPr="004D46AC">
              <w:rPr>
                <w:rFonts w:eastAsia="SimSun"/>
                <w:color w:val="000000"/>
              </w:rPr>
              <w:t xml:space="preserve">0.95 </w:t>
            </w:r>
          </w:p>
        </w:tc>
        <w:tc>
          <w:tcPr>
            <w:tcW w:w="901" w:type="dxa"/>
            <w:vAlign w:val="center"/>
          </w:tcPr>
          <w:p w14:paraId="200D956D" w14:textId="77777777" w:rsidR="007075D9" w:rsidRPr="004D46AC" w:rsidRDefault="007075D9" w:rsidP="002C5F6E">
            <w:pPr>
              <w:spacing w:line="240" w:lineRule="auto"/>
              <w:ind w:firstLine="0"/>
            </w:pPr>
            <w:r w:rsidRPr="004D46AC">
              <w:rPr>
                <w:rFonts w:eastAsia="SimSun"/>
                <w:color w:val="000000"/>
              </w:rPr>
              <w:t xml:space="preserve">0.18 </w:t>
            </w:r>
          </w:p>
        </w:tc>
      </w:tr>
      <w:tr w:rsidR="007075D9" w:rsidRPr="004D46AC" w14:paraId="3EA3C30E" w14:textId="77777777" w:rsidTr="00B518F1">
        <w:tc>
          <w:tcPr>
            <w:tcW w:w="1704" w:type="dxa"/>
            <w:vAlign w:val="center"/>
          </w:tcPr>
          <w:p w14:paraId="2406C543" w14:textId="77777777" w:rsidR="007075D9" w:rsidRPr="004D46AC" w:rsidRDefault="007075D9" w:rsidP="002C5F6E">
            <w:pPr>
              <w:spacing w:line="240" w:lineRule="auto"/>
              <w:ind w:firstLine="0"/>
            </w:pPr>
            <w:r w:rsidRPr="004D46AC">
              <w:rPr>
                <w:rFonts w:eastAsia="SimSun"/>
                <w:color w:val="000000"/>
              </w:rPr>
              <w:t>D1--D2</w:t>
            </w:r>
          </w:p>
        </w:tc>
        <w:tc>
          <w:tcPr>
            <w:tcW w:w="1098" w:type="dxa"/>
            <w:vAlign w:val="center"/>
          </w:tcPr>
          <w:p w14:paraId="32CA5B8E" w14:textId="77777777" w:rsidR="007075D9" w:rsidRPr="004D46AC" w:rsidRDefault="007075D9" w:rsidP="002C5F6E">
            <w:pPr>
              <w:spacing w:line="240" w:lineRule="auto"/>
              <w:ind w:firstLine="0"/>
            </w:pPr>
            <w:r w:rsidRPr="004D46AC">
              <w:rPr>
                <w:rFonts w:eastAsia="SimSun"/>
                <w:color w:val="000000"/>
              </w:rPr>
              <w:t xml:space="preserve">0.38 </w:t>
            </w:r>
          </w:p>
        </w:tc>
        <w:tc>
          <w:tcPr>
            <w:tcW w:w="2409" w:type="dxa"/>
            <w:vAlign w:val="center"/>
          </w:tcPr>
          <w:p w14:paraId="1827239D" w14:textId="77777777" w:rsidR="007075D9" w:rsidRPr="004D46AC" w:rsidRDefault="007075D9" w:rsidP="002C5F6E">
            <w:pPr>
              <w:spacing w:line="240" w:lineRule="auto"/>
              <w:ind w:firstLine="0"/>
            </w:pPr>
            <w:r w:rsidRPr="004D46AC">
              <w:rPr>
                <w:rFonts w:eastAsia="SimSun"/>
                <w:color w:val="000000"/>
              </w:rPr>
              <w:t xml:space="preserve">0.30 </w:t>
            </w:r>
          </w:p>
        </w:tc>
        <w:tc>
          <w:tcPr>
            <w:tcW w:w="2410" w:type="dxa"/>
            <w:vAlign w:val="center"/>
          </w:tcPr>
          <w:p w14:paraId="308E0D63" w14:textId="77777777" w:rsidR="007075D9" w:rsidRPr="004D46AC" w:rsidRDefault="007075D9" w:rsidP="002C5F6E">
            <w:pPr>
              <w:spacing w:line="240" w:lineRule="auto"/>
              <w:ind w:firstLine="0"/>
            </w:pPr>
            <w:r w:rsidRPr="004D46AC">
              <w:rPr>
                <w:rFonts w:eastAsia="SimSun"/>
                <w:color w:val="000000"/>
              </w:rPr>
              <w:t xml:space="preserve">0.45 </w:t>
            </w:r>
          </w:p>
        </w:tc>
        <w:tc>
          <w:tcPr>
            <w:tcW w:w="901" w:type="dxa"/>
            <w:vAlign w:val="center"/>
          </w:tcPr>
          <w:p w14:paraId="54A45027"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759F1C9A" w14:textId="77777777" w:rsidTr="00B518F1">
        <w:tc>
          <w:tcPr>
            <w:tcW w:w="1704" w:type="dxa"/>
            <w:vAlign w:val="center"/>
          </w:tcPr>
          <w:p w14:paraId="2B7ED697" w14:textId="77777777" w:rsidR="007075D9" w:rsidRPr="004D46AC" w:rsidRDefault="007075D9" w:rsidP="002C5F6E">
            <w:pPr>
              <w:spacing w:line="240" w:lineRule="auto"/>
              <w:ind w:firstLine="0"/>
            </w:pPr>
            <w:r w:rsidRPr="004D46AC">
              <w:rPr>
                <w:rFonts w:eastAsia="SimSun"/>
                <w:color w:val="000000"/>
              </w:rPr>
              <w:t>M6--P2</w:t>
            </w:r>
          </w:p>
        </w:tc>
        <w:tc>
          <w:tcPr>
            <w:tcW w:w="1098" w:type="dxa"/>
            <w:vAlign w:val="center"/>
          </w:tcPr>
          <w:p w14:paraId="3BFB24EA" w14:textId="77777777" w:rsidR="007075D9" w:rsidRPr="004D46AC" w:rsidRDefault="007075D9" w:rsidP="002C5F6E">
            <w:pPr>
              <w:spacing w:line="240" w:lineRule="auto"/>
              <w:ind w:firstLine="0"/>
            </w:pPr>
            <w:r w:rsidRPr="004D46AC">
              <w:rPr>
                <w:rFonts w:eastAsia="SimSun"/>
                <w:color w:val="000000"/>
              </w:rPr>
              <w:t xml:space="preserve">0.37 </w:t>
            </w:r>
          </w:p>
        </w:tc>
        <w:tc>
          <w:tcPr>
            <w:tcW w:w="2409" w:type="dxa"/>
            <w:vAlign w:val="center"/>
          </w:tcPr>
          <w:p w14:paraId="2CC3F87B" w14:textId="77777777" w:rsidR="007075D9" w:rsidRPr="004D46AC" w:rsidRDefault="007075D9" w:rsidP="002C5F6E">
            <w:pPr>
              <w:spacing w:line="240" w:lineRule="auto"/>
              <w:ind w:firstLine="0"/>
            </w:pPr>
            <w:r w:rsidRPr="004D46AC">
              <w:rPr>
                <w:rFonts w:eastAsia="SimSun"/>
                <w:color w:val="000000"/>
              </w:rPr>
              <w:t xml:space="preserve">-0.14 </w:t>
            </w:r>
          </w:p>
        </w:tc>
        <w:tc>
          <w:tcPr>
            <w:tcW w:w="2410" w:type="dxa"/>
            <w:vAlign w:val="center"/>
          </w:tcPr>
          <w:p w14:paraId="7520477E" w14:textId="77777777" w:rsidR="007075D9" w:rsidRPr="004D46AC" w:rsidRDefault="007075D9" w:rsidP="002C5F6E">
            <w:pPr>
              <w:spacing w:line="240" w:lineRule="auto"/>
              <w:ind w:firstLine="0"/>
            </w:pPr>
            <w:r w:rsidRPr="004D46AC">
              <w:rPr>
                <w:rFonts w:eastAsia="SimSun"/>
                <w:color w:val="000000"/>
              </w:rPr>
              <w:t xml:space="preserve">0.88 </w:t>
            </w:r>
          </w:p>
        </w:tc>
        <w:tc>
          <w:tcPr>
            <w:tcW w:w="901" w:type="dxa"/>
            <w:vAlign w:val="center"/>
          </w:tcPr>
          <w:p w14:paraId="7263B18B" w14:textId="77777777" w:rsidR="007075D9" w:rsidRPr="004D46AC" w:rsidRDefault="007075D9" w:rsidP="002C5F6E">
            <w:pPr>
              <w:spacing w:line="240" w:lineRule="auto"/>
              <w:ind w:firstLine="0"/>
            </w:pPr>
            <w:r w:rsidRPr="004D46AC">
              <w:rPr>
                <w:rFonts w:eastAsia="SimSun"/>
                <w:color w:val="000000"/>
              </w:rPr>
              <w:t xml:space="preserve">0.14 </w:t>
            </w:r>
          </w:p>
        </w:tc>
      </w:tr>
      <w:tr w:rsidR="007075D9" w:rsidRPr="004D46AC" w14:paraId="3A8E22B4" w14:textId="77777777" w:rsidTr="00B518F1">
        <w:tc>
          <w:tcPr>
            <w:tcW w:w="1704" w:type="dxa"/>
            <w:vAlign w:val="center"/>
          </w:tcPr>
          <w:p w14:paraId="74192A91" w14:textId="77777777" w:rsidR="007075D9" w:rsidRPr="004D46AC" w:rsidRDefault="007075D9" w:rsidP="002C5F6E">
            <w:pPr>
              <w:spacing w:line="240" w:lineRule="auto"/>
              <w:ind w:firstLine="0"/>
            </w:pPr>
            <w:r w:rsidRPr="004D46AC">
              <w:rPr>
                <w:rFonts w:eastAsia="SimSun"/>
                <w:color w:val="000000"/>
              </w:rPr>
              <w:t>D8--D9</w:t>
            </w:r>
          </w:p>
        </w:tc>
        <w:tc>
          <w:tcPr>
            <w:tcW w:w="1098" w:type="dxa"/>
            <w:vAlign w:val="center"/>
          </w:tcPr>
          <w:p w14:paraId="0482E8CD" w14:textId="77777777" w:rsidR="007075D9" w:rsidRPr="004D46AC" w:rsidRDefault="007075D9" w:rsidP="002C5F6E">
            <w:pPr>
              <w:spacing w:line="240" w:lineRule="auto"/>
              <w:ind w:firstLine="0"/>
            </w:pPr>
            <w:r w:rsidRPr="004D46AC">
              <w:rPr>
                <w:rFonts w:eastAsia="SimSun"/>
                <w:color w:val="000000"/>
              </w:rPr>
              <w:t xml:space="preserve">0.37 </w:t>
            </w:r>
          </w:p>
        </w:tc>
        <w:tc>
          <w:tcPr>
            <w:tcW w:w="2409" w:type="dxa"/>
            <w:vAlign w:val="center"/>
          </w:tcPr>
          <w:p w14:paraId="2D29B825" w14:textId="77777777" w:rsidR="007075D9" w:rsidRPr="004D46AC" w:rsidRDefault="007075D9" w:rsidP="002C5F6E">
            <w:pPr>
              <w:spacing w:line="240" w:lineRule="auto"/>
              <w:ind w:firstLine="0"/>
            </w:pPr>
            <w:r w:rsidRPr="004D46AC">
              <w:rPr>
                <w:rFonts w:eastAsia="SimSun"/>
                <w:color w:val="000000"/>
              </w:rPr>
              <w:t xml:space="preserve">0.27 </w:t>
            </w:r>
          </w:p>
        </w:tc>
        <w:tc>
          <w:tcPr>
            <w:tcW w:w="2410" w:type="dxa"/>
            <w:vAlign w:val="center"/>
          </w:tcPr>
          <w:p w14:paraId="348A3BB5" w14:textId="77777777" w:rsidR="007075D9" w:rsidRPr="004D46AC" w:rsidRDefault="007075D9" w:rsidP="002C5F6E">
            <w:pPr>
              <w:spacing w:line="240" w:lineRule="auto"/>
              <w:ind w:firstLine="0"/>
            </w:pPr>
            <w:r w:rsidRPr="004D46AC">
              <w:rPr>
                <w:rFonts w:eastAsia="SimSun"/>
                <w:color w:val="000000"/>
              </w:rPr>
              <w:t xml:space="preserve">0.46 </w:t>
            </w:r>
          </w:p>
        </w:tc>
        <w:tc>
          <w:tcPr>
            <w:tcW w:w="901" w:type="dxa"/>
            <w:vAlign w:val="center"/>
          </w:tcPr>
          <w:p w14:paraId="3621678B"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29B1D55C" w14:textId="77777777" w:rsidTr="00B518F1">
        <w:tc>
          <w:tcPr>
            <w:tcW w:w="1704" w:type="dxa"/>
            <w:vAlign w:val="center"/>
          </w:tcPr>
          <w:p w14:paraId="79D619BF" w14:textId="77777777" w:rsidR="007075D9" w:rsidRPr="004D46AC" w:rsidRDefault="007075D9" w:rsidP="002C5F6E">
            <w:pPr>
              <w:spacing w:line="240" w:lineRule="auto"/>
              <w:ind w:firstLine="0"/>
            </w:pPr>
            <w:r w:rsidRPr="004D46AC">
              <w:rPr>
                <w:rFonts w:eastAsia="SimSun"/>
                <w:color w:val="000000"/>
              </w:rPr>
              <w:t>D2--D6</w:t>
            </w:r>
          </w:p>
        </w:tc>
        <w:tc>
          <w:tcPr>
            <w:tcW w:w="1098" w:type="dxa"/>
            <w:vAlign w:val="center"/>
          </w:tcPr>
          <w:p w14:paraId="25A6A3BB" w14:textId="77777777" w:rsidR="007075D9" w:rsidRPr="004D46AC" w:rsidRDefault="007075D9" w:rsidP="002C5F6E">
            <w:pPr>
              <w:spacing w:line="240" w:lineRule="auto"/>
              <w:ind w:firstLine="0"/>
            </w:pPr>
            <w:r w:rsidRPr="004D46AC">
              <w:rPr>
                <w:rFonts w:eastAsia="SimSun"/>
                <w:color w:val="000000"/>
              </w:rPr>
              <w:t xml:space="preserve">0.36 </w:t>
            </w:r>
          </w:p>
        </w:tc>
        <w:tc>
          <w:tcPr>
            <w:tcW w:w="2409" w:type="dxa"/>
            <w:vAlign w:val="center"/>
          </w:tcPr>
          <w:p w14:paraId="04E413C8" w14:textId="77777777" w:rsidR="007075D9" w:rsidRPr="004D46AC" w:rsidRDefault="007075D9" w:rsidP="002C5F6E">
            <w:pPr>
              <w:spacing w:line="240" w:lineRule="auto"/>
              <w:ind w:firstLine="0"/>
            </w:pPr>
            <w:r w:rsidRPr="004D46AC">
              <w:rPr>
                <w:rFonts w:eastAsia="SimSun"/>
                <w:color w:val="000000"/>
              </w:rPr>
              <w:t xml:space="preserve">0.28 </w:t>
            </w:r>
          </w:p>
        </w:tc>
        <w:tc>
          <w:tcPr>
            <w:tcW w:w="2410" w:type="dxa"/>
            <w:vAlign w:val="center"/>
          </w:tcPr>
          <w:p w14:paraId="3CD780C6" w14:textId="77777777" w:rsidR="007075D9" w:rsidRPr="004D46AC" w:rsidRDefault="007075D9" w:rsidP="002C5F6E">
            <w:pPr>
              <w:spacing w:line="240" w:lineRule="auto"/>
              <w:ind w:firstLine="0"/>
            </w:pPr>
            <w:r w:rsidRPr="004D46AC">
              <w:rPr>
                <w:rFonts w:eastAsia="SimSun"/>
                <w:color w:val="000000"/>
              </w:rPr>
              <w:t xml:space="preserve">0.44 </w:t>
            </w:r>
          </w:p>
        </w:tc>
        <w:tc>
          <w:tcPr>
            <w:tcW w:w="901" w:type="dxa"/>
            <w:vAlign w:val="center"/>
          </w:tcPr>
          <w:p w14:paraId="327410B6"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09AD1058" w14:textId="77777777" w:rsidTr="00B518F1">
        <w:tc>
          <w:tcPr>
            <w:tcW w:w="1704" w:type="dxa"/>
            <w:vAlign w:val="center"/>
          </w:tcPr>
          <w:p w14:paraId="2652E997" w14:textId="77777777" w:rsidR="007075D9" w:rsidRPr="004D46AC" w:rsidRDefault="007075D9" w:rsidP="002C5F6E">
            <w:pPr>
              <w:spacing w:line="240" w:lineRule="auto"/>
              <w:ind w:firstLine="0"/>
            </w:pPr>
            <w:r w:rsidRPr="004D46AC">
              <w:rPr>
                <w:rFonts w:eastAsia="SimSun"/>
                <w:color w:val="000000"/>
              </w:rPr>
              <w:t>M1--M13</w:t>
            </w:r>
          </w:p>
        </w:tc>
        <w:tc>
          <w:tcPr>
            <w:tcW w:w="1098" w:type="dxa"/>
            <w:vAlign w:val="center"/>
          </w:tcPr>
          <w:p w14:paraId="55D7FE0D" w14:textId="77777777" w:rsidR="007075D9" w:rsidRPr="004D46AC" w:rsidRDefault="007075D9" w:rsidP="002C5F6E">
            <w:pPr>
              <w:spacing w:line="240" w:lineRule="auto"/>
              <w:ind w:firstLine="0"/>
            </w:pPr>
            <w:r w:rsidRPr="004D46AC">
              <w:rPr>
                <w:rFonts w:eastAsia="SimSun"/>
                <w:color w:val="000000"/>
              </w:rPr>
              <w:t xml:space="preserve">0.34 </w:t>
            </w:r>
          </w:p>
        </w:tc>
        <w:tc>
          <w:tcPr>
            <w:tcW w:w="2409" w:type="dxa"/>
            <w:vAlign w:val="center"/>
          </w:tcPr>
          <w:p w14:paraId="5A3A1B67" w14:textId="77777777" w:rsidR="007075D9" w:rsidRPr="004D46AC" w:rsidRDefault="007075D9" w:rsidP="002C5F6E">
            <w:pPr>
              <w:spacing w:line="240" w:lineRule="auto"/>
              <w:ind w:firstLine="0"/>
            </w:pPr>
            <w:r w:rsidRPr="004D46AC">
              <w:rPr>
                <w:rFonts w:eastAsia="SimSun"/>
                <w:color w:val="000000"/>
              </w:rPr>
              <w:t xml:space="preserve">-0.08 </w:t>
            </w:r>
          </w:p>
        </w:tc>
        <w:tc>
          <w:tcPr>
            <w:tcW w:w="2410" w:type="dxa"/>
            <w:vAlign w:val="center"/>
          </w:tcPr>
          <w:p w14:paraId="023A20BA" w14:textId="77777777" w:rsidR="007075D9" w:rsidRPr="004D46AC" w:rsidRDefault="007075D9" w:rsidP="002C5F6E">
            <w:pPr>
              <w:spacing w:line="240" w:lineRule="auto"/>
              <w:ind w:firstLine="0"/>
            </w:pPr>
            <w:r w:rsidRPr="004D46AC">
              <w:rPr>
                <w:rFonts w:eastAsia="SimSun"/>
                <w:color w:val="000000"/>
              </w:rPr>
              <w:t xml:space="preserve">0.77 </w:t>
            </w:r>
          </w:p>
        </w:tc>
        <w:tc>
          <w:tcPr>
            <w:tcW w:w="901" w:type="dxa"/>
            <w:vAlign w:val="center"/>
          </w:tcPr>
          <w:p w14:paraId="0B063F0A" w14:textId="77777777" w:rsidR="007075D9" w:rsidRPr="004D46AC" w:rsidRDefault="007075D9" w:rsidP="002C5F6E">
            <w:pPr>
              <w:spacing w:line="240" w:lineRule="auto"/>
              <w:ind w:firstLine="0"/>
            </w:pPr>
            <w:r w:rsidRPr="004D46AC">
              <w:rPr>
                <w:rFonts w:eastAsia="SimSun"/>
                <w:color w:val="000000"/>
              </w:rPr>
              <w:t xml:space="preserve">0.16 </w:t>
            </w:r>
          </w:p>
        </w:tc>
      </w:tr>
      <w:tr w:rsidR="007075D9" w:rsidRPr="004D46AC" w14:paraId="00FE2308" w14:textId="77777777" w:rsidTr="00B518F1">
        <w:tc>
          <w:tcPr>
            <w:tcW w:w="1704" w:type="dxa"/>
            <w:vAlign w:val="center"/>
          </w:tcPr>
          <w:p w14:paraId="4F58C2CB" w14:textId="77777777" w:rsidR="007075D9" w:rsidRPr="004D46AC" w:rsidRDefault="007075D9" w:rsidP="002C5F6E">
            <w:pPr>
              <w:spacing w:line="240" w:lineRule="auto"/>
              <w:ind w:firstLine="0"/>
            </w:pPr>
            <w:r w:rsidRPr="004D46AC">
              <w:rPr>
                <w:rFonts w:eastAsia="SimSun"/>
                <w:color w:val="000000"/>
              </w:rPr>
              <w:t>M5--M7</w:t>
            </w:r>
          </w:p>
        </w:tc>
        <w:tc>
          <w:tcPr>
            <w:tcW w:w="1098" w:type="dxa"/>
            <w:vAlign w:val="center"/>
          </w:tcPr>
          <w:p w14:paraId="1B35D798" w14:textId="77777777" w:rsidR="007075D9" w:rsidRPr="004D46AC" w:rsidRDefault="007075D9" w:rsidP="002C5F6E">
            <w:pPr>
              <w:spacing w:line="240" w:lineRule="auto"/>
              <w:ind w:firstLine="0"/>
            </w:pPr>
            <w:r w:rsidRPr="004D46AC">
              <w:rPr>
                <w:rFonts w:eastAsia="SimSun"/>
                <w:color w:val="000000"/>
              </w:rPr>
              <w:t xml:space="preserve">0.34 </w:t>
            </w:r>
          </w:p>
        </w:tc>
        <w:tc>
          <w:tcPr>
            <w:tcW w:w="2409" w:type="dxa"/>
            <w:vAlign w:val="center"/>
          </w:tcPr>
          <w:p w14:paraId="7B9C99BD"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41C2D85A" w14:textId="77777777" w:rsidR="007075D9" w:rsidRPr="004D46AC" w:rsidRDefault="007075D9" w:rsidP="002C5F6E">
            <w:pPr>
              <w:spacing w:line="240" w:lineRule="auto"/>
              <w:ind w:firstLine="0"/>
            </w:pPr>
            <w:r w:rsidRPr="004D46AC">
              <w:rPr>
                <w:rFonts w:eastAsia="SimSun"/>
                <w:color w:val="000000"/>
              </w:rPr>
              <w:t xml:space="preserve">0.70 </w:t>
            </w:r>
          </w:p>
        </w:tc>
        <w:tc>
          <w:tcPr>
            <w:tcW w:w="901" w:type="dxa"/>
            <w:vAlign w:val="center"/>
          </w:tcPr>
          <w:p w14:paraId="6AF2D5BA" w14:textId="77777777" w:rsidR="007075D9" w:rsidRPr="004D46AC" w:rsidRDefault="007075D9" w:rsidP="002C5F6E">
            <w:pPr>
              <w:spacing w:line="240" w:lineRule="auto"/>
              <w:ind w:firstLine="0"/>
            </w:pPr>
            <w:r w:rsidRPr="004D46AC">
              <w:rPr>
                <w:rFonts w:eastAsia="SimSun"/>
                <w:color w:val="000000"/>
              </w:rPr>
              <w:t xml:space="preserve">0.07 </w:t>
            </w:r>
          </w:p>
        </w:tc>
      </w:tr>
      <w:tr w:rsidR="007075D9" w:rsidRPr="004D46AC" w14:paraId="3777E390" w14:textId="77777777" w:rsidTr="00B518F1">
        <w:tc>
          <w:tcPr>
            <w:tcW w:w="1704" w:type="dxa"/>
            <w:vAlign w:val="center"/>
          </w:tcPr>
          <w:p w14:paraId="30929118" w14:textId="77777777" w:rsidR="007075D9" w:rsidRPr="004D46AC" w:rsidRDefault="007075D9" w:rsidP="002C5F6E">
            <w:pPr>
              <w:spacing w:line="240" w:lineRule="auto"/>
              <w:ind w:firstLine="0"/>
            </w:pPr>
            <w:r w:rsidRPr="004D46AC">
              <w:rPr>
                <w:rFonts w:eastAsia="SimSun"/>
                <w:color w:val="000000"/>
              </w:rPr>
              <w:t>M2--M6</w:t>
            </w:r>
          </w:p>
        </w:tc>
        <w:tc>
          <w:tcPr>
            <w:tcW w:w="1098" w:type="dxa"/>
            <w:vAlign w:val="center"/>
          </w:tcPr>
          <w:p w14:paraId="01D51F7D" w14:textId="77777777" w:rsidR="007075D9" w:rsidRPr="004D46AC" w:rsidRDefault="007075D9" w:rsidP="002C5F6E">
            <w:pPr>
              <w:spacing w:line="240" w:lineRule="auto"/>
              <w:ind w:firstLine="0"/>
            </w:pPr>
            <w:r w:rsidRPr="004D46AC">
              <w:rPr>
                <w:rFonts w:eastAsia="SimSun"/>
                <w:color w:val="000000"/>
              </w:rPr>
              <w:t xml:space="preserve">0.33 </w:t>
            </w:r>
          </w:p>
        </w:tc>
        <w:tc>
          <w:tcPr>
            <w:tcW w:w="2409" w:type="dxa"/>
            <w:vAlign w:val="center"/>
          </w:tcPr>
          <w:p w14:paraId="6825AE40"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089AB96A" w14:textId="77777777" w:rsidR="007075D9" w:rsidRPr="004D46AC" w:rsidRDefault="007075D9" w:rsidP="002C5F6E">
            <w:pPr>
              <w:spacing w:line="240" w:lineRule="auto"/>
              <w:ind w:firstLine="0"/>
            </w:pPr>
            <w:r w:rsidRPr="004D46AC">
              <w:rPr>
                <w:rFonts w:eastAsia="SimSun"/>
                <w:color w:val="000000"/>
              </w:rPr>
              <w:t xml:space="preserve">0.54 </w:t>
            </w:r>
          </w:p>
        </w:tc>
        <w:tc>
          <w:tcPr>
            <w:tcW w:w="901" w:type="dxa"/>
            <w:vAlign w:val="center"/>
          </w:tcPr>
          <w:p w14:paraId="32C7D660"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058CAE49" w14:textId="77777777" w:rsidTr="00B518F1">
        <w:tc>
          <w:tcPr>
            <w:tcW w:w="1704" w:type="dxa"/>
            <w:vAlign w:val="center"/>
          </w:tcPr>
          <w:p w14:paraId="0D61D81E" w14:textId="77777777" w:rsidR="007075D9" w:rsidRPr="004D46AC" w:rsidRDefault="007075D9" w:rsidP="002C5F6E">
            <w:pPr>
              <w:spacing w:line="240" w:lineRule="auto"/>
              <w:ind w:firstLine="0"/>
            </w:pPr>
            <w:r w:rsidRPr="004D46AC">
              <w:rPr>
                <w:rFonts w:eastAsia="SimSun"/>
                <w:color w:val="000000"/>
              </w:rPr>
              <w:t>M6--M12</w:t>
            </w:r>
          </w:p>
        </w:tc>
        <w:tc>
          <w:tcPr>
            <w:tcW w:w="1098" w:type="dxa"/>
            <w:vAlign w:val="center"/>
          </w:tcPr>
          <w:p w14:paraId="7DACB157" w14:textId="77777777" w:rsidR="007075D9" w:rsidRPr="004D46AC" w:rsidRDefault="007075D9" w:rsidP="002C5F6E">
            <w:pPr>
              <w:spacing w:line="240" w:lineRule="auto"/>
              <w:ind w:firstLine="0"/>
            </w:pPr>
            <w:r w:rsidRPr="004D46AC">
              <w:rPr>
                <w:rFonts w:eastAsia="SimSun"/>
                <w:color w:val="000000"/>
              </w:rPr>
              <w:t xml:space="preserve">0.33 </w:t>
            </w:r>
          </w:p>
        </w:tc>
        <w:tc>
          <w:tcPr>
            <w:tcW w:w="2409" w:type="dxa"/>
            <w:vAlign w:val="center"/>
          </w:tcPr>
          <w:p w14:paraId="651C4A85"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0963AA29" w14:textId="77777777" w:rsidR="007075D9" w:rsidRPr="004D46AC" w:rsidRDefault="007075D9" w:rsidP="002C5F6E">
            <w:pPr>
              <w:spacing w:line="240" w:lineRule="auto"/>
              <w:ind w:firstLine="0"/>
            </w:pPr>
            <w:r w:rsidRPr="004D46AC">
              <w:rPr>
                <w:rFonts w:eastAsia="SimSun"/>
                <w:color w:val="000000"/>
              </w:rPr>
              <w:t xml:space="preserve">0.70 </w:t>
            </w:r>
          </w:p>
        </w:tc>
        <w:tc>
          <w:tcPr>
            <w:tcW w:w="901" w:type="dxa"/>
            <w:vAlign w:val="center"/>
          </w:tcPr>
          <w:p w14:paraId="4F839234" w14:textId="77777777" w:rsidR="007075D9" w:rsidRPr="004D46AC" w:rsidRDefault="007075D9" w:rsidP="002C5F6E">
            <w:pPr>
              <w:spacing w:line="240" w:lineRule="auto"/>
              <w:ind w:firstLine="0"/>
            </w:pPr>
            <w:r w:rsidRPr="004D46AC">
              <w:rPr>
                <w:rFonts w:eastAsia="SimSun"/>
                <w:color w:val="000000"/>
              </w:rPr>
              <w:t xml:space="preserve">0.11 </w:t>
            </w:r>
          </w:p>
        </w:tc>
      </w:tr>
      <w:tr w:rsidR="007075D9" w:rsidRPr="004D46AC" w14:paraId="438E3ABE" w14:textId="77777777" w:rsidTr="00B518F1">
        <w:tc>
          <w:tcPr>
            <w:tcW w:w="1704" w:type="dxa"/>
            <w:vAlign w:val="center"/>
          </w:tcPr>
          <w:p w14:paraId="0106CE63" w14:textId="77777777" w:rsidR="007075D9" w:rsidRPr="004D46AC" w:rsidRDefault="007075D9" w:rsidP="002C5F6E">
            <w:pPr>
              <w:spacing w:line="240" w:lineRule="auto"/>
              <w:ind w:firstLine="0"/>
            </w:pPr>
            <w:r w:rsidRPr="004D46AC">
              <w:rPr>
                <w:rFonts w:eastAsia="SimSun"/>
                <w:color w:val="000000"/>
              </w:rPr>
              <w:t>PS--P2</w:t>
            </w:r>
          </w:p>
        </w:tc>
        <w:tc>
          <w:tcPr>
            <w:tcW w:w="1098" w:type="dxa"/>
            <w:vAlign w:val="center"/>
          </w:tcPr>
          <w:p w14:paraId="7D28515A" w14:textId="77777777" w:rsidR="007075D9" w:rsidRPr="004D46AC" w:rsidRDefault="007075D9" w:rsidP="002C5F6E">
            <w:pPr>
              <w:spacing w:line="240" w:lineRule="auto"/>
              <w:ind w:firstLine="0"/>
            </w:pPr>
            <w:r w:rsidRPr="004D46AC">
              <w:rPr>
                <w:rFonts w:eastAsia="SimSun"/>
                <w:color w:val="000000"/>
              </w:rPr>
              <w:t xml:space="preserve">0.33 </w:t>
            </w:r>
          </w:p>
        </w:tc>
        <w:tc>
          <w:tcPr>
            <w:tcW w:w="2409" w:type="dxa"/>
            <w:vAlign w:val="center"/>
          </w:tcPr>
          <w:p w14:paraId="0EC5DC0A"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579731B1" w14:textId="77777777" w:rsidR="007075D9" w:rsidRPr="004D46AC" w:rsidRDefault="007075D9" w:rsidP="002C5F6E">
            <w:pPr>
              <w:spacing w:line="240" w:lineRule="auto"/>
              <w:ind w:firstLine="0"/>
            </w:pPr>
            <w:r w:rsidRPr="004D46AC">
              <w:rPr>
                <w:rFonts w:eastAsia="SimSun"/>
                <w:color w:val="000000"/>
              </w:rPr>
              <w:t xml:space="preserve">0.61 </w:t>
            </w:r>
          </w:p>
        </w:tc>
        <w:tc>
          <w:tcPr>
            <w:tcW w:w="901" w:type="dxa"/>
            <w:vAlign w:val="center"/>
          </w:tcPr>
          <w:p w14:paraId="5E5A26C5"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319C66AD" w14:textId="77777777" w:rsidTr="00B518F1">
        <w:tc>
          <w:tcPr>
            <w:tcW w:w="1704" w:type="dxa"/>
            <w:vAlign w:val="center"/>
          </w:tcPr>
          <w:p w14:paraId="4270696F" w14:textId="77777777" w:rsidR="007075D9" w:rsidRPr="004D46AC" w:rsidRDefault="007075D9" w:rsidP="002C5F6E">
            <w:pPr>
              <w:spacing w:line="240" w:lineRule="auto"/>
              <w:ind w:firstLine="0"/>
            </w:pPr>
            <w:r w:rsidRPr="004D46AC">
              <w:rPr>
                <w:rFonts w:eastAsia="SimSun"/>
                <w:color w:val="000000"/>
              </w:rPr>
              <w:t>M11--M13</w:t>
            </w:r>
          </w:p>
        </w:tc>
        <w:tc>
          <w:tcPr>
            <w:tcW w:w="1098" w:type="dxa"/>
            <w:vAlign w:val="center"/>
          </w:tcPr>
          <w:p w14:paraId="6D899C11" w14:textId="77777777" w:rsidR="007075D9" w:rsidRPr="004D46AC" w:rsidRDefault="007075D9" w:rsidP="002C5F6E">
            <w:pPr>
              <w:spacing w:line="240" w:lineRule="auto"/>
              <w:ind w:firstLine="0"/>
            </w:pPr>
            <w:r w:rsidRPr="004D46AC">
              <w:rPr>
                <w:rFonts w:eastAsia="SimSun"/>
                <w:color w:val="000000"/>
              </w:rPr>
              <w:t xml:space="preserve">0.33 </w:t>
            </w:r>
          </w:p>
        </w:tc>
        <w:tc>
          <w:tcPr>
            <w:tcW w:w="2409" w:type="dxa"/>
            <w:vAlign w:val="center"/>
          </w:tcPr>
          <w:p w14:paraId="533522B9" w14:textId="77777777" w:rsidR="007075D9" w:rsidRPr="004D46AC" w:rsidRDefault="007075D9" w:rsidP="002C5F6E">
            <w:pPr>
              <w:spacing w:line="240" w:lineRule="auto"/>
              <w:ind w:firstLine="0"/>
            </w:pPr>
            <w:r w:rsidRPr="004D46AC">
              <w:rPr>
                <w:rFonts w:eastAsia="SimSun"/>
                <w:color w:val="000000"/>
              </w:rPr>
              <w:t xml:space="preserve">-0.12 </w:t>
            </w:r>
          </w:p>
        </w:tc>
        <w:tc>
          <w:tcPr>
            <w:tcW w:w="2410" w:type="dxa"/>
            <w:vAlign w:val="center"/>
          </w:tcPr>
          <w:p w14:paraId="3881F870" w14:textId="77777777" w:rsidR="007075D9" w:rsidRPr="004D46AC" w:rsidRDefault="007075D9" w:rsidP="002C5F6E">
            <w:pPr>
              <w:spacing w:line="240" w:lineRule="auto"/>
              <w:ind w:firstLine="0"/>
            </w:pPr>
            <w:r w:rsidRPr="004D46AC">
              <w:rPr>
                <w:rFonts w:eastAsia="SimSun"/>
                <w:color w:val="000000"/>
              </w:rPr>
              <w:t xml:space="preserve">0.77 </w:t>
            </w:r>
          </w:p>
        </w:tc>
        <w:tc>
          <w:tcPr>
            <w:tcW w:w="901" w:type="dxa"/>
            <w:vAlign w:val="center"/>
          </w:tcPr>
          <w:p w14:paraId="6D24A35F" w14:textId="77777777" w:rsidR="007075D9" w:rsidRPr="004D46AC" w:rsidRDefault="007075D9" w:rsidP="002C5F6E">
            <w:pPr>
              <w:spacing w:line="240" w:lineRule="auto"/>
              <w:ind w:firstLine="0"/>
            </w:pPr>
            <w:r w:rsidRPr="004D46AC">
              <w:rPr>
                <w:rFonts w:eastAsia="SimSun"/>
                <w:color w:val="000000"/>
              </w:rPr>
              <w:t xml:space="preserve">0.12 </w:t>
            </w:r>
          </w:p>
        </w:tc>
      </w:tr>
      <w:tr w:rsidR="007075D9" w:rsidRPr="004D46AC" w14:paraId="347DAD26" w14:textId="77777777" w:rsidTr="00B518F1">
        <w:tc>
          <w:tcPr>
            <w:tcW w:w="1704" w:type="dxa"/>
            <w:vAlign w:val="center"/>
          </w:tcPr>
          <w:p w14:paraId="581BDBBB" w14:textId="77777777" w:rsidR="007075D9" w:rsidRPr="004D46AC" w:rsidRDefault="007075D9" w:rsidP="002C5F6E">
            <w:pPr>
              <w:spacing w:line="240" w:lineRule="auto"/>
              <w:ind w:firstLine="0"/>
            </w:pPr>
            <w:r w:rsidRPr="004D46AC">
              <w:rPr>
                <w:rFonts w:eastAsia="SimSun"/>
                <w:color w:val="000000"/>
              </w:rPr>
              <w:t>M5--M13</w:t>
            </w:r>
          </w:p>
        </w:tc>
        <w:tc>
          <w:tcPr>
            <w:tcW w:w="1098" w:type="dxa"/>
            <w:vAlign w:val="center"/>
          </w:tcPr>
          <w:p w14:paraId="3FC96974" w14:textId="77777777" w:rsidR="007075D9" w:rsidRPr="004D46AC" w:rsidRDefault="007075D9" w:rsidP="002C5F6E">
            <w:pPr>
              <w:spacing w:line="240" w:lineRule="auto"/>
              <w:ind w:firstLine="0"/>
            </w:pPr>
            <w:r w:rsidRPr="004D46AC">
              <w:rPr>
                <w:rFonts w:eastAsia="SimSun"/>
                <w:color w:val="000000"/>
              </w:rPr>
              <w:t xml:space="preserve">0.33 </w:t>
            </w:r>
          </w:p>
        </w:tc>
        <w:tc>
          <w:tcPr>
            <w:tcW w:w="2409" w:type="dxa"/>
            <w:vAlign w:val="center"/>
          </w:tcPr>
          <w:p w14:paraId="2CDF5CC9" w14:textId="77777777" w:rsidR="007075D9" w:rsidRPr="004D46AC" w:rsidRDefault="007075D9" w:rsidP="002C5F6E">
            <w:pPr>
              <w:spacing w:line="240" w:lineRule="auto"/>
              <w:ind w:firstLine="0"/>
            </w:pPr>
            <w:r w:rsidRPr="004D46AC">
              <w:rPr>
                <w:rFonts w:eastAsia="SimSun"/>
                <w:color w:val="000000"/>
              </w:rPr>
              <w:t xml:space="preserve">-0.15 </w:t>
            </w:r>
          </w:p>
        </w:tc>
        <w:tc>
          <w:tcPr>
            <w:tcW w:w="2410" w:type="dxa"/>
            <w:vAlign w:val="center"/>
          </w:tcPr>
          <w:p w14:paraId="0FF7561A" w14:textId="77777777" w:rsidR="007075D9" w:rsidRPr="004D46AC" w:rsidRDefault="007075D9" w:rsidP="002C5F6E">
            <w:pPr>
              <w:spacing w:line="240" w:lineRule="auto"/>
              <w:ind w:firstLine="0"/>
            </w:pPr>
            <w:r w:rsidRPr="004D46AC">
              <w:rPr>
                <w:rFonts w:eastAsia="SimSun"/>
                <w:color w:val="000000"/>
              </w:rPr>
              <w:t xml:space="preserve">0.80 </w:t>
            </w:r>
          </w:p>
        </w:tc>
        <w:tc>
          <w:tcPr>
            <w:tcW w:w="901" w:type="dxa"/>
            <w:vAlign w:val="center"/>
          </w:tcPr>
          <w:p w14:paraId="1EAED713" w14:textId="77777777" w:rsidR="007075D9" w:rsidRPr="004D46AC" w:rsidRDefault="007075D9" w:rsidP="002C5F6E">
            <w:pPr>
              <w:spacing w:line="240" w:lineRule="auto"/>
              <w:ind w:firstLine="0"/>
            </w:pPr>
            <w:r w:rsidRPr="004D46AC">
              <w:rPr>
                <w:rFonts w:eastAsia="SimSun"/>
                <w:color w:val="000000"/>
              </w:rPr>
              <w:t xml:space="preserve">0.20 </w:t>
            </w:r>
          </w:p>
        </w:tc>
      </w:tr>
      <w:tr w:rsidR="007075D9" w:rsidRPr="004D46AC" w14:paraId="2AB9FC9D" w14:textId="77777777" w:rsidTr="00B518F1">
        <w:tc>
          <w:tcPr>
            <w:tcW w:w="1704" w:type="dxa"/>
            <w:vAlign w:val="center"/>
          </w:tcPr>
          <w:p w14:paraId="54685BF3" w14:textId="77777777" w:rsidR="007075D9" w:rsidRPr="004D46AC" w:rsidRDefault="007075D9" w:rsidP="002C5F6E">
            <w:pPr>
              <w:spacing w:line="240" w:lineRule="auto"/>
              <w:ind w:firstLine="0"/>
            </w:pPr>
            <w:r w:rsidRPr="004D46AC">
              <w:rPr>
                <w:rFonts w:eastAsia="SimSun"/>
                <w:color w:val="000000"/>
              </w:rPr>
              <w:t>M2--M12</w:t>
            </w:r>
          </w:p>
        </w:tc>
        <w:tc>
          <w:tcPr>
            <w:tcW w:w="1098" w:type="dxa"/>
            <w:vAlign w:val="center"/>
          </w:tcPr>
          <w:p w14:paraId="429C6E9D" w14:textId="77777777" w:rsidR="007075D9" w:rsidRPr="004D46AC" w:rsidRDefault="007075D9" w:rsidP="002C5F6E">
            <w:pPr>
              <w:spacing w:line="240" w:lineRule="auto"/>
              <w:ind w:firstLine="0"/>
            </w:pPr>
            <w:r w:rsidRPr="004D46AC">
              <w:rPr>
                <w:rFonts w:eastAsia="SimSun"/>
                <w:color w:val="000000"/>
              </w:rPr>
              <w:t xml:space="preserve">0.32 </w:t>
            </w:r>
          </w:p>
        </w:tc>
        <w:tc>
          <w:tcPr>
            <w:tcW w:w="2409" w:type="dxa"/>
            <w:vAlign w:val="center"/>
          </w:tcPr>
          <w:p w14:paraId="064C681D"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3C42C34D" w14:textId="77777777" w:rsidR="007075D9" w:rsidRPr="004D46AC" w:rsidRDefault="007075D9" w:rsidP="002C5F6E">
            <w:pPr>
              <w:spacing w:line="240" w:lineRule="auto"/>
              <w:ind w:firstLine="0"/>
            </w:pPr>
            <w:r w:rsidRPr="004D46AC">
              <w:rPr>
                <w:rFonts w:eastAsia="SimSun"/>
                <w:color w:val="000000"/>
              </w:rPr>
              <w:t xml:space="preserve">0.67 </w:t>
            </w:r>
          </w:p>
        </w:tc>
        <w:tc>
          <w:tcPr>
            <w:tcW w:w="901" w:type="dxa"/>
            <w:vAlign w:val="center"/>
          </w:tcPr>
          <w:p w14:paraId="684B4599" w14:textId="77777777" w:rsidR="007075D9" w:rsidRPr="004D46AC" w:rsidRDefault="007075D9" w:rsidP="002C5F6E">
            <w:pPr>
              <w:spacing w:line="240" w:lineRule="auto"/>
              <w:ind w:firstLine="0"/>
            </w:pPr>
            <w:r w:rsidRPr="004D46AC">
              <w:rPr>
                <w:rFonts w:eastAsia="SimSun"/>
                <w:color w:val="000000"/>
              </w:rPr>
              <w:t xml:space="preserve">0.11 </w:t>
            </w:r>
          </w:p>
        </w:tc>
      </w:tr>
      <w:tr w:rsidR="007075D9" w:rsidRPr="004D46AC" w14:paraId="10137566" w14:textId="77777777" w:rsidTr="00B518F1">
        <w:tc>
          <w:tcPr>
            <w:tcW w:w="1704" w:type="dxa"/>
            <w:vAlign w:val="center"/>
          </w:tcPr>
          <w:p w14:paraId="3C1CDA71" w14:textId="77777777" w:rsidR="007075D9" w:rsidRPr="004D46AC" w:rsidRDefault="007075D9" w:rsidP="002C5F6E">
            <w:pPr>
              <w:spacing w:line="240" w:lineRule="auto"/>
              <w:ind w:firstLine="0"/>
            </w:pPr>
            <w:r w:rsidRPr="004D46AC">
              <w:rPr>
                <w:rFonts w:eastAsia="SimSun"/>
                <w:color w:val="000000"/>
              </w:rPr>
              <w:t>M4--M13</w:t>
            </w:r>
          </w:p>
        </w:tc>
        <w:tc>
          <w:tcPr>
            <w:tcW w:w="1098" w:type="dxa"/>
            <w:vAlign w:val="center"/>
          </w:tcPr>
          <w:p w14:paraId="39F4FEDD" w14:textId="77777777" w:rsidR="007075D9" w:rsidRPr="004D46AC" w:rsidRDefault="007075D9" w:rsidP="002C5F6E">
            <w:pPr>
              <w:spacing w:line="240" w:lineRule="auto"/>
              <w:ind w:firstLine="0"/>
            </w:pPr>
            <w:r w:rsidRPr="004D46AC">
              <w:rPr>
                <w:rFonts w:eastAsia="SimSun"/>
                <w:color w:val="000000"/>
              </w:rPr>
              <w:t xml:space="preserve">0.31 </w:t>
            </w:r>
          </w:p>
        </w:tc>
        <w:tc>
          <w:tcPr>
            <w:tcW w:w="2409" w:type="dxa"/>
            <w:vAlign w:val="center"/>
          </w:tcPr>
          <w:p w14:paraId="06E227A6"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2D17CA19" w14:textId="77777777" w:rsidR="007075D9" w:rsidRPr="004D46AC" w:rsidRDefault="007075D9" w:rsidP="002C5F6E">
            <w:pPr>
              <w:spacing w:line="240" w:lineRule="auto"/>
              <w:ind w:firstLine="0"/>
            </w:pPr>
            <w:r w:rsidRPr="004D46AC">
              <w:rPr>
                <w:rFonts w:eastAsia="SimSun"/>
                <w:color w:val="000000"/>
              </w:rPr>
              <w:t xml:space="preserve">0.71 </w:t>
            </w:r>
          </w:p>
        </w:tc>
        <w:tc>
          <w:tcPr>
            <w:tcW w:w="901" w:type="dxa"/>
            <w:vAlign w:val="center"/>
          </w:tcPr>
          <w:p w14:paraId="04B0DCCE" w14:textId="77777777" w:rsidR="007075D9" w:rsidRPr="004D46AC" w:rsidRDefault="007075D9" w:rsidP="002C5F6E">
            <w:pPr>
              <w:spacing w:line="240" w:lineRule="auto"/>
              <w:ind w:firstLine="0"/>
            </w:pPr>
            <w:r w:rsidRPr="004D46AC">
              <w:rPr>
                <w:rFonts w:eastAsia="SimSun"/>
                <w:color w:val="000000"/>
              </w:rPr>
              <w:t xml:space="preserve">0.16 </w:t>
            </w:r>
          </w:p>
        </w:tc>
      </w:tr>
      <w:tr w:rsidR="007075D9" w:rsidRPr="004D46AC" w14:paraId="3D460BC1" w14:textId="77777777" w:rsidTr="00B518F1">
        <w:tc>
          <w:tcPr>
            <w:tcW w:w="1704" w:type="dxa"/>
            <w:vAlign w:val="center"/>
          </w:tcPr>
          <w:p w14:paraId="558B8420" w14:textId="77777777" w:rsidR="007075D9" w:rsidRPr="004D46AC" w:rsidRDefault="007075D9" w:rsidP="002C5F6E">
            <w:pPr>
              <w:spacing w:line="240" w:lineRule="auto"/>
              <w:ind w:firstLine="0"/>
            </w:pPr>
            <w:r w:rsidRPr="004D46AC">
              <w:rPr>
                <w:rFonts w:eastAsia="SimSun"/>
                <w:color w:val="000000"/>
              </w:rPr>
              <w:t>D3--D4</w:t>
            </w:r>
          </w:p>
        </w:tc>
        <w:tc>
          <w:tcPr>
            <w:tcW w:w="1098" w:type="dxa"/>
            <w:vAlign w:val="center"/>
          </w:tcPr>
          <w:p w14:paraId="645890B2" w14:textId="77777777" w:rsidR="007075D9" w:rsidRPr="004D46AC" w:rsidRDefault="007075D9" w:rsidP="002C5F6E">
            <w:pPr>
              <w:spacing w:line="240" w:lineRule="auto"/>
              <w:ind w:firstLine="0"/>
            </w:pPr>
            <w:r w:rsidRPr="004D46AC">
              <w:rPr>
                <w:rFonts w:eastAsia="SimSun"/>
                <w:color w:val="000000"/>
              </w:rPr>
              <w:t xml:space="preserve">0.31 </w:t>
            </w:r>
          </w:p>
        </w:tc>
        <w:tc>
          <w:tcPr>
            <w:tcW w:w="2409" w:type="dxa"/>
            <w:vAlign w:val="center"/>
          </w:tcPr>
          <w:p w14:paraId="34B3EB09" w14:textId="77777777" w:rsidR="007075D9" w:rsidRPr="004D46AC" w:rsidRDefault="007075D9" w:rsidP="002C5F6E">
            <w:pPr>
              <w:spacing w:line="240" w:lineRule="auto"/>
              <w:ind w:firstLine="0"/>
            </w:pPr>
            <w:r w:rsidRPr="004D46AC">
              <w:rPr>
                <w:rFonts w:eastAsia="SimSun"/>
                <w:color w:val="000000"/>
              </w:rPr>
              <w:t xml:space="preserve">0.24 </w:t>
            </w:r>
          </w:p>
        </w:tc>
        <w:tc>
          <w:tcPr>
            <w:tcW w:w="2410" w:type="dxa"/>
            <w:vAlign w:val="center"/>
          </w:tcPr>
          <w:p w14:paraId="754C8119" w14:textId="77777777" w:rsidR="007075D9" w:rsidRPr="004D46AC" w:rsidRDefault="007075D9" w:rsidP="002C5F6E">
            <w:pPr>
              <w:spacing w:line="240" w:lineRule="auto"/>
              <w:ind w:firstLine="0"/>
            </w:pPr>
            <w:r w:rsidRPr="004D46AC">
              <w:rPr>
                <w:rFonts w:eastAsia="SimSun"/>
                <w:color w:val="000000"/>
              </w:rPr>
              <w:t xml:space="preserve">0.37 </w:t>
            </w:r>
          </w:p>
        </w:tc>
        <w:tc>
          <w:tcPr>
            <w:tcW w:w="901" w:type="dxa"/>
            <w:vAlign w:val="center"/>
          </w:tcPr>
          <w:p w14:paraId="13018B34"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5EEE2406" w14:textId="77777777" w:rsidTr="00B518F1">
        <w:tc>
          <w:tcPr>
            <w:tcW w:w="1704" w:type="dxa"/>
            <w:vAlign w:val="center"/>
          </w:tcPr>
          <w:p w14:paraId="433DB7FD" w14:textId="77777777" w:rsidR="007075D9" w:rsidRPr="004D46AC" w:rsidRDefault="007075D9" w:rsidP="002C5F6E">
            <w:pPr>
              <w:spacing w:line="240" w:lineRule="auto"/>
              <w:ind w:firstLine="0"/>
            </w:pPr>
            <w:r w:rsidRPr="004D46AC">
              <w:rPr>
                <w:rFonts w:eastAsia="SimSun"/>
                <w:color w:val="000000"/>
              </w:rPr>
              <w:t>M3--M4</w:t>
            </w:r>
          </w:p>
        </w:tc>
        <w:tc>
          <w:tcPr>
            <w:tcW w:w="1098" w:type="dxa"/>
            <w:vAlign w:val="center"/>
          </w:tcPr>
          <w:p w14:paraId="31C84CB0" w14:textId="77777777" w:rsidR="007075D9" w:rsidRPr="004D46AC" w:rsidRDefault="007075D9" w:rsidP="002C5F6E">
            <w:pPr>
              <w:spacing w:line="240" w:lineRule="auto"/>
              <w:ind w:firstLine="0"/>
            </w:pPr>
            <w:r w:rsidRPr="004D46AC">
              <w:rPr>
                <w:rFonts w:eastAsia="SimSun"/>
                <w:color w:val="000000"/>
              </w:rPr>
              <w:t xml:space="preserve">0.29 </w:t>
            </w:r>
          </w:p>
        </w:tc>
        <w:tc>
          <w:tcPr>
            <w:tcW w:w="2409" w:type="dxa"/>
            <w:vAlign w:val="center"/>
          </w:tcPr>
          <w:p w14:paraId="6C32C55D" w14:textId="77777777" w:rsidR="007075D9" w:rsidRPr="004D46AC" w:rsidRDefault="007075D9" w:rsidP="002C5F6E">
            <w:pPr>
              <w:spacing w:line="240" w:lineRule="auto"/>
              <w:ind w:firstLine="0"/>
            </w:pPr>
            <w:r w:rsidRPr="004D46AC">
              <w:rPr>
                <w:rFonts w:eastAsia="SimSun"/>
                <w:color w:val="000000"/>
              </w:rPr>
              <w:t xml:space="preserve">0.00 </w:t>
            </w:r>
          </w:p>
        </w:tc>
        <w:tc>
          <w:tcPr>
            <w:tcW w:w="2410" w:type="dxa"/>
            <w:vAlign w:val="center"/>
          </w:tcPr>
          <w:p w14:paraId="72CA8149" w14:textId="77777777" w:rsidR="007075D9" w:rsidRPr="004D46AC" w:rsidRDefault="007075D9" w:rsidP="002C5F6E">
            <w:pPr>
              <w:spacing w:line="240" w:lineRule="auto"/>
              <w:ind w:firstLine="0"/>
            </w:pPr>
            <w:r w:rsidRPr="004D46AC">
              <w:rPr>
                <w:rFonts w:eastAsia="SimSun"/>
                <w:color w:val="000000"/>
              </w:rPr>
              <w:t xml:space="preserve">0.58 </w:t>
            </w:r>
          </w:p>
        </w:tc>
        <w:tc>
          <w:tcPr>
            <w:tcW w:w="901" w:type="dxa"/>
            <w:vAlign w:val="center"/>
          </w:tcPr>
          <w:p w14:paraId="5DCEBB23" w14:textId="77777777" w:rsidR="007075D9" w:rsidRPr="004D46AC" w:rsidRDefault="007075D9" w:rsidP="002C5F6E">
            <w:pPr>
              <w:spacing w:line="240" w:lineRule="auto"/>
              <w:ind w:firstLine="0"/>
            </w:pPr>
            <w:r w:rsidRPr="004D46AC">
              <w:rPr>
                <w:rFonts w:eastAsia="SimSun"/>
                <w:color w:val="000000"/>
              </w:rPr>
              <w:t xml:space="preserve">0.09 </w:t>
            </w:r>
          </w:p>
        </w:tc>
      </w:tr>
      <w:tr w:rsidR="007075D9" w:rsidRPr="004D46AC" w14:paraId="2214B003" w14:textId="77777777" w:rsidTr="00B518F1">
        <w:tc>
          <w:tcPr>
            <w:tcW w:w="1704" w:type="dxa"/>
            <w:vAlign w:val="center"/>
          </w:tcPr>
          <w:p w14:paraId="70E8F31C" w14:textId="77777777" w:rsidR="007075D9" w:rsidRPr="004D46AC" w:rsidRDefault="007075D9" w:rsidP="002C5F6E">
            <w:pPr>
              <w:spacing w:line="240" w:lineRule="auto"/>
              <w:ind w:firstLine="0"/>
            </w:pPr>
            <w:r w:rsidRPr="004D46AC">
              <w:rPr>
                <w:rFonts w:eastAsia="SimSun"/>
                <w:color w:val="000000"/>
              </w:rPr>
              <w:t>M10--P5</w:t>
            </w:r>
          </w:p>
        </w:tc>
        <w:tc>
          <w:tcPr>
            <w:tcW w:w="1098" w:type="dxa"/>
            <w:vAlign w:val="center"/>
          </w:tcPr>
          <w:p w14:paraId="33C37FD2" w14:textId="77777777" w:rsidR="007075D9" w:rsidRPr="004D46AC" w:rsidRDefault="007075D9" w:rsidP="002C5F6E">
            <w:pPr>
              <w:spacing w:line="240" w:lineRule="auto"/>
              <w:ind w:firstLine="0"/>
            </w:pPr>
            <w:r w:rsidRPr="004D46AC">
              <w:rPr>
                <w:rFonts w:eastAsia="SimSun"/>
                <w:color w:val="000000"/>
              </w:rPr>
              <w:t xml:space="preserve">0.28 </w:t>
            </w:r>
          </w:p>
        </w:tc>
        <w:tc>
          <w:tcPr>
            <w:tcW w:w="2409" w:type="dxa"/>
            <w:vAlign w:val="center"/>
          </w:tcPr>
          <w:p w14:paraId="6E0B5E7F" w14:textId="77777777" w:rsidR="007075D9" w:rsidRPr="004D46AC" w:rsidRDefault="007075D9" w:rsidP="002C5F6E">
            <w:pPr>
              <w:spacing w:line="240" w:lineRule="auto"/>
              <w:ind w:firstLine="0"/>
            </w:pPr>
            <w:r w:rsidRPr="004D46AC">
              <w:rPr>
                <w:rFonts w:eastAsia="SimSun"/>
                <w:color w:val="000000"/>
              </w:rPr>
              <w:t xml:space="preserve">-0.32 </w:t>
            </w:r>
          </w:p>
        </w:tc>
        <w:tc>
          <w:tcPr>
            <w:tcW w:w="2410" w:type="dxa"/>
            <w:vAlign w:val="center"/>
          </w:tcPr>
          <w:p w14:paraId="45352BB7" w14:textId="77777777" w:rsidR="007075D9" w:rsidRPr="004D46AC" w:rsidRDefault="007075D9" w:rsidP="002C5F6E">
            <w:pPr>
              <w:spacing w:line="240" w:lineRule="auto"/>
              <w:ind w:firstLine="0"/>
            </w:pPr>
            <w:r w:rsidRPr="004D46AC">
              <w:rPr>
                <w:rFonts w:eastAsia="SimSun"/>
                <w:color w:val="000000"/>
              </w:rPr>
              <w:t xml:space="preserve">0.89 </w:t>
            </w:r>
          </w:p>
        </w:tc>
        <w:tc>
          <w:tcPr>
            <w:tcW w:w="901" w:type="dxa"/>
            <w:vAlign w:val="center"/>
          </w:tcPr>
          <w:p w14:paraId="23DAF5CE" w14:textId="77777777" w:rsidR="007075D9" w:rsidRPr="004D46AC" w:rsidRDefault="007075D9" w:rsidP="002C5F6E">
            <w:pPr>
              <w:spacing w:line="240" w:lineRule="auto"/>
              <w:ind w:firstLine="0"/>
            </w:pPr>
            <w:r w:rsidRPr="004D46AC">
              <w:rPr>
                <w:rFonts w:eastAsia="SimSun"/>
                <w:color w:val="000000"/>
              </w:rPr>
              <w:t xml:space="preserve">0.29 </w:t>
            </w:r>
          </w:p>
        </w:tc>
      </w:tr>
      <w:tr w:rsidR="007075D9" w:rsidRPr="004D46AC" w14:paraId="2421E638" w14:textId="77777777" w:rsidTr="00B518F1">
        <w:tc>
          <w:tcPr>
            <w:tcW w:w="1704" w:type="dxa"/>
            <w:vAlign w:val="center"/>
          </w:tcPr>
          <w:p w14:paraId="0EB12435" w14:textId="77777777" w:rsidR="007075D9" w:rsidRPr="004D46AC" w:rsidRDefault="007075D9" w:rsidP="002C5F6E">
            <w:pPr>
              <w:spacing w:line="240" w:lineRule="auto"/>
              <w:ind w:firstLine="0"/>
            </w:pPr>
            <w:r w:rsidRPr="004D46AC">
              <w:rPr>
                <w:rFonts w:eastAsia="SimSun"/>
                <w:color w:val="000000"/>
              </w:rPr>
              <w:t>D7--D8</w:t>
            </w:r>
          </w:p>
        </w:tc>
        <w:tc>
          <w:tcPr>
            <w:tcW w:w="1098" w:type="dxa"/>
            <w:vAlign w:val="center"/>
          </w:tcPr>
          <w:p w14:paraId="3CC6B2D0" w14:textId="77777777" w:rsidR="007075D9" w:rsidRPr="004D46AC" w:rsidRDefault="007075D9" w:rsidP="002C5F6E">
            <w:pPr>
              <w:spacing w:line="240" w:lineRule="auto"/>
              <w:ind w:firstLine="0"/>
            </w:pPr>
            <w:r w:rsidRPr="004D46AC">
              <w:rPr>
                <w:rFonts w:eastAsia="SimSun"/>
                <w:color w:val="000000"/>
              </w:rPr>
              <w:t xml:space="preserve">0.27 </w:t>
            </w:r>
          </w:p>
        </w:tc>
        <w:tc>
          <w:tcPr>
            <w:tcW w:w="2409" w:type="dxa"/>
            <w:vAlign w:val="center"/>
          </w:tcPr>
          <w:p w14:paraId="2DC699D3" w14:textId="77777777" w:rsidR="007075D9" w:rsidRPr="004D46AC" w:rsidRDefault="007075D9" w:rsidP="002C5F6E">
            <w:pPr>
              <w:spacing w:line="240" w:lineRule="auto"/>
              <w:ind w:firstLine="0"/>
            </w:pPr>
            <w:r w:rsidRPr="004D46AC">
              <w:rPr>
                <w:rFonts w:eastAsia="SimSun"/>
                <w:color w:val="000000"/>
              </w:rPr>
              <w:t xml:space="preserve">0.18 </w:t>
            </w:r>
          </w:p>
        </w:tc>
        <w:tc>
          <w:tcPr>
            <w:tcW w:w="2410" w:type="dxa"/>
            <w:vAlign w:val="center"/>
          </w:tcPr>
          <w:p w14:paraId="3707F956" w14:textId="77777777" w:rsidR="007075D9" w:rsidRPr="004D46AC" w:rsidRDefault="007075D9" w:rsidP="002C5F6E">
            <w:pPr>
              <w:spacing w:line="240" w:lineRule="auto"/>
              <w:ind w:firstLine="0"/>
            </w:pPr>
            <w:r w:rsidRPr="004D46AC">
              <w:rPr>
                <w:rFonts w:eastAsia="SimSun"/>
                <w:color w:val="000000"/>
              </w:rPr>
              <w:t xml:space="preserve">0.36 </w:t>
            </w:r>
          </w:p>
        </w:tc>
        <w:tc>
          <w:tcPr>
            <w:tcW w:w="901" w:type="dxa"/>
            <w:vAlign w:val="center"/>
          </w:tcPr>
          <w:p w14:paraId="47F52F3C"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2EAE190D" w14:textId="77777777" w:rsidTr="00B518F1">
        <w:tc>
          <w:tcPr>
            <w:tcW w:w="1704" w:type="dxa"/>
            <w:vAlign w:val="center"/>
          </w:tcPr>
          <w:p w14:paraId="4389A884" w14:textId="77777777" w:rsidR="007075D9" w:rsidRPr="004D46AC" w:rsidRDefault="007075D9" w:rsidP="002C5F6E">
            <w:pPr>
              <w:spacing w:line="240" w:lineRule="auto"/>
              <w:ind w:firstLine="0"/>
            </w:pPr>
            <w:r w:rsidRPr="004D46AC">
              <w:rPr>
                <w:rFonts w:eastAsia="SimSun"/>
                <w:color w:val="000000"/>
              </w:rPr>
              <w:t>M1--M3</w:t>
            </w:r>
          </w:p>
        </w:tc>
        <w:tc>
          <w:tcPr>
            <w:tcW w:w="1098" w:type="dxa"/>
            <w:vAlign w:val="center"/>
          </w:tcPr>
          <w:p w14:paraId="1312B64F" w14:textId="77777777" w:rsidR="007075D9" w:rsidRPr="004D46AC" w:rsidRDefault="007075D9" w:rsidP="002C5F6E">
            <w:pPr>
              <w:spacing w:line="240" w:lineRule="auto"/>
              <w:ind w:firstLine="0"/>
            </w:pPr>
            <w:r w:rsidRPr="004D46AC">
              <w:rPr>
                <w:rFonts w:eastAsia="SimSun"/>
                <w:color w:val="000000"/>
              </w:rPr>
              <w:t xml:space="preserve">0.27 </w:t>
            </w:r>
          </w:p>
        </w:tc>
        <w:tc>
          <w:tcPr>
            <w:tcW w:w="2409" w:type="dxa"/>
            <w:vAlign w:val="center"/>
          </w:tcPr>
          <w:p w14:paraId="4FE8ACD2"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2C3AD001" w14:textId="77777777" w:rsidR="007075D9" w:rsidRPr="004D46AC" w:rsidRDefault="007075D9" w:rsidP="002C5F6E">
            <w:pPr>
              <w:spacing w:line="240" w:lineRule="auto"/>
              <w:ind w:firstLine="0"/>
            </w:pPr>
            <w:r w:rsidRPr="004D46AC">
              <w:rPr>
                <w:rFonts w:eastAsia="SimSun"/>
                <w:color w:val="000000"/>
              </w:rPr>
              <w:t xml:space="preserve">0.58 </w:t>
            </w:r>
          </w:p>
        </w:tc>
        <w:tc>
          <w:tcPr>
            <w:tcW w:w="901" w:type="dxa"/>
            <w:vAlign w:val="center"/>
          </w:tcPr>
          <w:p w14:paraId="674A766D" w14:textId="77777777" w:rsidR="007075D9" w:rsidRPr="004D46AC" w:rsidRDefault="007075D9" w:rsidP="002C5F6E">
            <w:pPr>
              <w:spacing w:line="240" w:lineRule="auto"/>
              <w:ind w:firstLine="0"/>
            </w:pPr>
            <w:r w:rsidRPr="004D46AC">
              <w:rPr>
                <w:rFonts w:eastAsia="SimSun"/>
                <w:color w:val="000000"/>
              </w:rPr>
              <w:t xml:space="preserve">0.12 </w:t>
            </w:r>
          </w:p>
        </w:tc>
      </w:tr>
      <w:tr w:rsidR="007075D9" w:rsidRPr="004D46AC" w14:paraId="54C41A03" w14:textId="77777777" w:rsidTr="00B518F1">
        <w:tc>
          <w:tcPr>
            <w:tcW w:w="1704" w:type="dxa"/>
            <w:vAlign w:val="center"/>
          </w:tcPr>
          <w:p w14:paraId="6803DF50" w14:textId="77777777" w:rsidR="007075D9" w:rsidRPr="004D46AC" w:rsidRDefault="007075D9" w:rsidP="002C5F6E">
            <w:pPr>
              <w:spacing w:line="240" w:lineRule="auto"/>
              <w:ind w:firstLine="0"/>
            </w:pPr>
            <w:r w:rsidRPr="004D46AC">
              <w:rPr>
                <w:rFonts w:eastAsia="SimSun"/>
                <w:color w:val="000000"/>
              </w:rPr>
              <w:t>D7--M7</w:t>
            </w:r>
          </w:p>
        </w:tc>
        <w:tc>
          <w:tcPr>
            <w:tcW w:w="1098" w:type="dxa"/>
            <w:vAlign w:val="center"/>
          </w:tcPr>
          <w:p w14:paraId="779AE6DC" w14:textId="77777777" w:rsidR="007075D9" w:rsidRPr="004D46AC" w:rsidRDefault="007075D9" w:rsidP="002C5F6E">
            <w:pPr>
              <w:spacing w:line="240" w:lineRule="auto"/>
              <w:ind w:firstLine="0"/>
            </w:pPr>
            <w:r w:rsidRPr="004D46AC">
              <w:rPr>
                <w:rFonts w:eastAsia="SimSun"/>
                <w:color w:val="000000"/>
              </w:rPr>
              <w:t xml:space="preserve">0.27 </w:t>
            </w:r>
          </w:p>
        </w:tc>
        <w:tc>
          <w:tcPr>
            <w:tcW w:w="2409" w:type="dxa"/>
            <w:vAlign w:val="center"/>
          </w:tcPr>
          <w:p w14:paraId="0C978E38"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2D37BD68" w14:textId="77777777" w:rsidR="007075D9" w:rsidRPr="004D46AC" w:rsidRDefault="007075D9" w:rsidP="002C5F6E">
            <w:pPr>
              <w:spacing w:line="240" w:lineRule="auto"/>
              <w:ind w:firstLine="0"/>
            </w:pPr>
            <w:r w:rsidRPr="004D46AC">
              <w:rPr>
                <w:rFonts w:eastAsia="SimSun"/>
                <w:color w:val="000000"/>
              </w:rPr>
              <w:t xml:space="preserve">0.40 </w:t>
            </w:r>
          </w:p>
        </w:tc>
        <w:tc>
          <w:tcPr>
            <w:tcW w:w="901" w:type="dxa"/>
            <w:vAlign w:val="center"/>
          </w:tcPr>
          <w:p w14:paraId="4E6A0810"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3EA5F7F4" w14:textId="77777777" w:rsidTr="00B518F1">
        <w:tc>
          <w:tcPr>
            <w:tcW w:w="1704" w:type="dxa"/>
            <w:vAlign w:val="center"/>
          </w:tcPr>
          <w:p w14:paraId="0226DAE2" w14:textId="77777777" w:rsidR="007075D9" w:rsidRPr="004D46AC" w:rsidRDefault="007075D9" w:rsidP="002C5F6E">
            <w:pPr>
              <w:spacing w:line="240" w:lineRule="auto"/>
              <w:ind w:firstLine="0"/>
            </w:pPr>
            <w:r w:rsidRPr="004D46AC">
              <w:rPr>
                <w:rFonts w:eastAsia="SimSun"/>
                <w:color w:val="000000"/>
              </w:rPr>
              <w:t>M4--M6</w:t>
            </w:r>
          </w:p>
        </w:tc>
        <w:tc>
          <w:tcPr>
            <w:tcW w:w="1098" w:type="dxa"/>
            <w:vAlign w:val="center"/>
          </w:tcPr>
          <w:p w14:paraId="27A7B1E5" w14:textId="77777777" w:rsidR="007075D9" w:rsidRPr="004D46AC" w:rsidRDefault="007075D9" w:rsidP="002C5F6E">
            <w:pPr>
              <w:spacing w:line="240" w:lineRule="auto"/>
              <w:ind w:firstLine="0"/>
            </w:pPr>
            <w:r w:rsidRPr="004D46AC">
              <w:rPr>
                <w:rFonts w:eastAsia="SimSun"/>
                <w:color w:val="000000"/>
              </w:rPr>
              <w:t xml:space="preserve">0.26 </w:t>
            </w:r>
          </w:p>
        </w:tc>
        <w:tc>
          <w:tcPr>
            <w:tcW w:w="2409" w:type="dxa"/>
            <w:vAlign w:val="center"/>
          </w:tcPr>
          <w:p w14:paraId="676074F5" w14:textId="77777777" w:rsidR="007075D9" w:rsidRPr="004D46AC" w:rsidRDefault="007075D9" w:rsidP="002C5F6E">
            <w:pPr>
              <w:spacing w:line="240" w:lineRule="auto"/>
              <w:ind w:firstLine="0"/>
            </w:pPr>
            <w:r w:rsidRPr="004D46AC">
              <w:rPr>
                <w:rFonts w:eastAsia="SimSun"/>
                <w:color w:val="000000"/>
              </w:rPr>
              <w:t xml:space="preserve">0.01 </w:t>
            </w:r>
          </w:p>
        </w:tc>
        <w:tc>
          <w:tcPr>
            <w:tcW w:w="2410" w:type="dxa"/>
            <w:vAlign w:val="center"/>
          </w:tcPr>
          <w:p w14:paraId="7A73D8E1" w14:textId="77777777" w:rsidR="007075D9" w:rsidRPr="004D46AC" w:rsidRDefault="007075D9" w:rsidP="002C5F6E">
            <w:pPr>
              <w:spacing w:line="240" w:lineRule="auto"/>
              <w:ind w:firstLine="0"/>
            </w:pPr>
            <w:r w:rsidRPr="004D46AC">
              <w:rPr>
                <w:rFonts w:eastAsia="SimSun"/>
                <w:color w:val="000000"/>
              </w:rPr>
              <w:t xml:space="preserve">0.51 </w:t>
            </w:r>
          </w:p>
        </w:tc>
        <w:tc>
          <w:tcPr>
            <w:tcW w:w="901" w:type="dxa"/>
            <w:vAlign w:val="center"/>
          </w:tcPr>
          <w:p w14:paraId="495435EF" w14:textId="77777777" w:rsidR="007075D9" w:rsidRPr="004D46AC" w:rsidRDefault="007075D9" w:rsidP="002C5F6E">
            <w:pPr>
              <w:spacing w:line="240" w:lineRule="auto"/>
              <w:ind w:firstLine="0"/>
            </w:pPr>
            <w:r w:rsidRPr="004D46AC">
              <w:rPr>
                <w:rFonts w:eastAsia="SimSun"/>
                <w:color w:val="000000"/>
              </w:rPr>
              <w:t xml:space="preserve">0.08 </w:t>
            </w:r>
          </w:p>
        </w:tc>
      </w:tr>
      <w:tr w:rsidR="007075D9" w:rsidRPr="004D46AC" w14:paraId="0EEDBBB0" w14:textId="77777777" w:rsidTr="00B518F1">
        <w:tc>
          <w:tcPr>
            <w:tcW w:w="1704" w:type="dxa"/>
            <w:vAlign w:val="center"/>
          </w:tcPr>
          <w:p w14:paraId="00261539" w14:textId="77777777" w:rsidR="007075D9" w:rsidRPr="004D46AC" w:rsidRDefault="007075D9" w:rsidP="002C5F6E">
            <w:pPr>
              <w:spacing w:line="240" w:lineRule="auto"/>
              <w:ind w:firstLine="0"/>
            </w:pPr>
            <w:r w:rsidRPr="004D46AC">
              <w:rPr>
                <w:rFonts w:eastAsia="SimSun"/>
                <w:color w:val="000000"/>
              </w:rPr>
              <w:t>M2--M10</w:t>
            </w:r>
          </w:p>
        </w:tc>
        <w:tc>
          <w:tcPr>
            <w:tcW w:w="1098" w:type="dxa"/>
            <w:vAlign w:val="center"/>
          </w:tcPr>
          <w:p w14:paraId="5008ED6B" w14:textId="77777777" w:rsidR="007075D9" w:rsidRPr="004D46AC" w:rsidRDefault="007075D9" w:rsidP="002C5F6E">
            <w:pPr>
              <w:spacing w:line="240" w:lineRule="auto"/>
              <w:ind w:firstLine="0"/>
            </w:pPr>
            <w:r w:rsidRPr="004D46AC">
              <w:rPr>
                <w:rFonts w:eastAsia="SimSun"/>
                <w:color w:val="000000"/>
              </w:rPr>
              <w:t xml:space="preserve">0.25 </w:t>
            </w:r>
          </w:p>
        </w:tc>
        <w:tc>
          <w:tcPr>
            <w:tcW w:w="2409" w:type="dxa"/>
            <w:vAlign w:val="center"/>
          </w:tcPr>
          <w:p w14:paraId="0189072E" w14:textId="77777777" w:rsidR="007075D9" w:rsidRPr="004D46AC" w:rsidRDefault="007075D9" w:rsidP="002C5F6E">
            <w:pPr>
              <w:spacing w:line="240" w:lineRule="auto"/>
              <w:ind w:firstLine="0"/>
            </w:pPr>
            <w:r w:rsidRPr="004D46AC">
              <w:rPr>
                <w:rFonts w:eastAsia="SimSun"/>
                <w:color w:val="000000"/>
              </w:rPr>
              <w:t xml:space="preserve">-0.19 </w:t>
            </w:r>
          </w:p>
        </w:tc>
        <w:tc>
          <w:tcPr>
            <w:tcW w:w="2410" w:type="dxa"/>
            <w:vAlign w:val="center"/>
          </w:tcPr>
          <w:p w14:paraId="00E52164" w14:textId="77777777" w:rsidR="007075D9" w:rsidRPr="004D46AC" w:rsidRDefault="007075D9" w:rsidP="002C5F6E">
            <w:pPr>
              <w:spacing w:line="240" w:lineRule="auto"/>
              <w:ind w:firstLine="0"/>
            </w:pPr>
            <w:r w:rsidRPr="004D46AC">
              <w:rPr>
                <w:rFonts w:eastAsia="SimSun"/>
                <w:color w:val="000000"/>
              </w:rPr>
              <w:t xml:space="preserve">0.70 </w:t>
            </w:r>
          </w:p>
        </w:tc>
        <w:tc>
          <w:tcPr>
            <w:tcW w:w="901" w:type="dxa"/>
            <w:vAlign w:val="center"/>
          </w:tcPr>
          <w:p w14:paraId="713EBD36" w14:textId="77777777" w:rsidR="007075D9" w:rsidRPr="004D46AC" w:rsidRDefault="007075D9" w:rsidP="002C5F6E">
            <w:pPr>
              <w:spacing w:line="240" w:lineRule="auto"/>
              <w:ind w:firstLine="0"/>
            </w:pPr>
            <w:r w:rsidRPr="004D46AC">
              <w:rPr>
                <w:rFonts w:eastAsia="SimSun"/>
                <w:color w:val="000000"/>
              </w:rPr>
              <w:t xml:space="preserve">0.23 </w:t>
            </w:r>
          </w:p>
        </w:tc>
      </w:tr>
      <w:tr w:rsidR="007075D9" w:rsidRPr="004D46AC" w14:paraId="3558B717" w14:textId="77777777" w:rsidTr="00B518F1">
        <w:tc>
          <w:tcPr>
            <w:tcW w:w="1704" w:type="dxa"/>
            <w:vAlign w:val="center"/>
          </w:tcPr>
          <w:p w14:paraId="51460BDA" w14:textId="77777777" w:rsidR="007075D9" w:rsidRPr="004D46AC" w:rsidRDefault="007075D9" w:rsidP="002C5F6E">
            <w:pPr>
              <w:spacing w:line="240" w:lineRule="auto"/>
              <w:ind w:firstLine="0"/>
            </w:pPr>
            <w:r w:rsidRPr="004D46AC">
              <w:rPr>
                <w:rFonts w:eastAsia="SimSun"/>
                <w:color w:val="000000"/>
              </w:rPr>
              <w:t>M2--M7</w:t>
            </w:r>
          </w:p>
        </w:tc>
        <w:tc>
          <w:tcPr>
            <w:tcW w:w="1098" w:type="dxa"/>
            <w:vAlign w:val="center"/>
          </w:tcPr>
          <w:p w14:paraId="07419DE3" w14:textId="77777777" w:rsidR="007075D9" w:rsidRPr="004D46AC" w:rsidRDefault="007075D9" w:rsidP="002C5F6E">
            <w:pPr>
              <w:spacing w:line="240" w:lineRule="auto"/>
              <w:ind w:firstLine="0"/>
            </w:pPr>
            <w:r w:rsidRPr="004D46AC">
              <w:rPr>
                <w:rFonts w:eastAsia="SimSun"/>
                <w:color w:val="000000"/>
              </w:rPr>
              <w:t xml:space="preserve">0.24 </w:t>
            </w:r>
          </w:p>
        </w:tc>
        <w:tc>
          <w:tcPr>
            <w:tcW w:w="2409" w:type="dxa"/>
            <w:vAlign w:val="center"/>
          </w:tcPr>
          <w:p w14:paraId="7B52D252" w14:textId="77777777" w:rsidR="007075D9" w:rsidRPr="004D46AC" w:rsidRDefault="007075D9" w:rsidP="002C5F6E">
            <w:pPr>
              <w:spacing w:line="240" w:lineRule="auto"/>
              <w:ind w:firstLine="0"/>
            </w:pPr>
            <w:r w:rsidRPr="004D46AC">
              <w:rPr>
                <w:rFonts w:eastAsia="SimSun"/>
                <w:color w:val="000000"/>
              </w:rPr>
              <w:t xml:space="preserve">0.01 </w:t>
            </w:r>
          </w:p>
        </w:tc>
        <w:tc>
          <w:tcPr>
            <w:tcW w:w="2410" w:type="dxa"/>
            <w:vAlign w:val="center"/>
          </w:tcPr>
          <w:p w14:paraId="335B9138" w14:textId="77777777" w:rsidR="007075D9" w:rsidRPr="004D46AC" w:rsidRDefault="007075D9" w:rsidP="002C5F6E">
            <w:pPr>
              <w:spacing w:line="240" w:lineRule="auto"/>
              <w:ind w:firstLine="0"/>
            </w:pPr>
            <w:r w:rsidRPr="004D46AC">
              <w:rPr>
                <w:rFonts w:eastAsia="SimSun"/>
                <w:color w:val="000000"/>
              </w:rPr>
              <w:t xml:space="preserve">0.48 </w:t>
            </w:r>
          </w:p>
        </w:tc>
        <w:tc>
          <w:tcPr>
            <w:tcW w:w="901" w:type="dxa"/>
            <w:vAlign w:val="center"/>
          </w:tcPr>
          <w:p w14:paraId="5ADEEDE1" w14:textId="77777777" w:rsidR="007075D9" w:rsidRPr="004D46AC" w:rsidRDefault="007075D9" w:rsidP="002C5F6E">
            <w:pPr>
              <w:spacing w:line="240" w:lineRule="auto"/>
              <w:ind w:firstLine="0"/>
            </w:pPr>
            <w:r w:rsidRPr="004D46AC">
              <w:rPr>
                <w:rFonts w:eastAsia="SimSun"/>
                <w:color w:val="000000"/>
              </w:rPr>
              <w:t xml:space="preserve">0.10 </w:t>
            </w:r>
          </w:p>
        </w:tc>
      </w:tr>
      <w:tr w:rsidR="007075D9" w:rsidRPr="004D46AC" w14:paraId="45814A7E" w14:textId="77777777" w:rsidTr="00B518F1">
        <w:tc>
          <w:tcPr>
            <w:tcW w:w="1704" w:type="dxa"/>
            <w:vAlign w:val="center"/>
          </w:tcPr>
          <w:p w14:paraId="2774CBD8" w14:textId="77777777" w:rsidR="007075D9" w:rsidRPr="004D46AC" w:rsidRDefault="007075D9" w:rsidP="002C5F6E">
            <w:pPr>
              <w:spacing w:line="240" w:lineRule="auto"/>
              <w:ind w:firstLine="0"/>
            </w:pPr>
            <w:r w:rsidRPr="004D46AC">
              <w:rPr>
                <w:rFonts w:eastAsia="SimSun"/>
                <w:color w:val="000000"/>
              </w:rPr>
              <w:t>PS--M2</w:t>
            </w:r>
          </w:p>
        </w:tc>
        <w:tc>
          <w:tcPr>
            <w:tcW w:w="1098" w:type="dxa"/>
            <w:vAlign w:val="center"/>
          </w:tcPr>
          <w:p w14:paraId="46BCD2D1" w14:textId="77777777" w:rsidR="007075D9" w:rsidRPr="004D46AC" w:rsidRDefault="007075D9" w:rsidP="002C5F6E">
            <w:pPr>
              <w:spacing w:line="240" w:lineRule="auto"/>
              <w:ind w:firstLine="0"/>
            </w:pPr>
            <w:r w:rsidRPr="004D46AC">
              <w:rPr>
                <w:rFonts w:eastAsia="SimSun"/>
                <w:color w:val="000000"/>
              </w:rPr>
              <w:t xml:space="preserve">0.23 </w:t>
            </w:r>
          </w:p>
        </w:tc>
        <w:tc>
          <w:tcPr>
            <w:tcW w:w="2409" w:type="dxa"/>
            <w:vAlign w:val="center"/>
          </w:tcPr>
          <w:p w14:paraId="54F0825A" w14:textId="77777777" w:rsidR="007075D9" w:rsidRPr="004D46AC" w:rsidRDefault="007075D9" w:rsidP="002C5F6E">
            <w:pPr>
              <w:spacing w:line="240" w:lineRule="auto"/>
              <w:ind w:firstLine="0"/>
            </w:pPr>
            <w:r w:rsidRPr="004D46AC">
              <w:rPr>
                <w:rFonts w:eastAsia="SimSun"/>
                <w:color w:val="000000"/>
              </w:rPr>
              <w:t xml:space="preserve">0.10 </w:t>
            </w:r>
          </w:p>
        </w:tc>
        <w:tc>
          <w:tcPr>
            <w:tcW w:w="2410" w:type="dxa"/>
            <w:vAlign w:val="center"/>
          </w:tcPr>
          <w:p w14:paraId="29C59C26" w14:textId="77777777" w:rsidR="007075D9" w:rsidRPr="004D46AC" w:rsidRDefault="007075D9" w:rsidP="002C5F6E">
            <w:pPr>
              <w:spacing w:line="240" w:lineRule="auto"/>
              <w:ind w:firstLine="0"/>
            </w:pPr>
            <w:r w:rsidRPr="004D46AC">
              <w:rPr>
                <w:rFonts w:eastAsia="SimSun"/>
                <w:color w:val="000000"/>
              </w:rPr>
              <w:t xml:space="preserve">0.36 </w:t>
            </w:r>
          </w:p>
        </w:tc>
        <w:tc>
          <w:tcPr>
            <w:tcW w:w="901" w:type="dxa"/>
            <w:vAlign w:val="center"/>
          </w:tcPr>
          <w:p w14:paraId="1D043566"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7C1E653F" w14:textId="77777777" w:rsidTr="00B518F1">
        <w:tc>
          <w:tcPr>
            <w:tcW w:w="1704" w:type="dxa"/>
            <w:vAlign w:val="center"/>
          </w:tcPr>
          <w:p w14:paraId="0C13A5B5" w14:textId="77777777" w:rsidR="007075D9" w:rsidRPr="004D46AC" w:rsidRDefault="007075D9" w:rsidP="002C5F6E">
            <w:pPr>
              <w:spacing w:line="240" w:lineRule="auto"/>
              <w:ind w:firstLine="0"/>
            </w:pPr>
            <w:r w:rsidRPr="004D46AC">
              <w:rPr>
                <w:rFonts w:eastAsia="SimSun"/>
                <w:color w:val="000000"/>
              </w:rPr>
              <w:t>M2--M3</w:t>
            </w:r>
          </w:p>
        </w:tc>
        <w:tc>
          <w:tcPr>
            <w:tcW w:w="1098" w:type="dxa"/>
            <w:vAlign w:val="center"/>
          </w:tcPr>
          <w:p w14:paraId="68C8D3BD" w14:textId="77777777" w:rsidR="007075D9" w:rsidRPr="004D46AC" w:rsidRDefault="007075D9" w:rsidP="002C5F6E">
            <w:pPr>
              <w:spacing w:line="240" w:lineRule="auto"/>
              <w:ind w:firstLine="0"/>
            </w:pPr>
            <w:r w:rsidRPr="004D46AC">
              <w:rPr>
                <w:rFonts w:eastAsia="SimSun"/>
                <w:color w:val="000000"/>
              </w:rPr>
              <w:t xml:space="preserve">0.23 </w:t>
            </w:r>
          </w:p>
        </w:tc>
        <w:tc>
          <w:tcPr>
            <w:tcW w:w="2409" w:type="dxa"/>
            <w:vAlign w:val="center"/>
          </w:tcPr>
          <w:p w14:paraId="7B6FE255"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0E4ACD92" w14:textId="77777777" w:rsidR="007075D9" w:rsidRPr="004D46AC" w:rsidRDefault="007075D9" w:rsidP="002C5F6E">
            <w:pPr>
              <w:spacing w:line="240" w:lineRule="auto"/>
              <w:ind w:firstLine="0"/>
            </w:pPr>
            <w:r w:rsidRPr="004D46AC">
              <w:rPr>
                <w:rFonts w:eastAsia="SimSun"/>
                <w:color w:val="000000"/>
              </w:rPr>
              <w:t xml:space="preserve">0.52 </w:t>
            </w:r>
          </w:p>
        </w:tc>
        <w:tc>
          <w:tcPr>
            <w:tcW w:w="901" w:type="dxa"/>
            <w:vAlign w:val="center"/>
          </w:tcPr>
          <w:p w14:paraId="66BD02B9" w14:textId="77777777" w:rsidR="007075D9" w:rsidRPr="004D46AC" w:rsidRDefault="007075D9" w:rsidP="002C5F6E">
            <w:pPr>
              <w:spacing w:line="240" w:lineRule="auto"/>
              <w:ind w:firstLine="0"/>
            </w:pPr>
            <w:r w:rsidRPr="004D46AC">
              <w:rPr>
                <w:rFonts w:eastAsia="SimSun"/>
                <w:color w:val="000000"/>
              </w:rPr>
              <w:t xml:space="preserve">0.14 </w:t>
            </w:r>
          </w:p>
        </w:tc>
      </w:tr>
      <w:tr w:rsidR="007075D9" w:rsidRPr="004D46AC" w14:paraId="55E00FF9" w14:textId="77777777" w:rsidTr="00B518F1">
        <w:tc>
          <w:tcPr>
            <w:tcW w:w="1704" w:type="dxa"/>
            <w:vAlign w:val="center"/>
          </w:tcPr>
          <w:p w14:paraId="351F0D43" w14:textId="77777777" w:rsidR="007075D9" w:rsidRPr="004D46AC" w:rsidRDefault="007075D9" w:rsidP="002C5F6E">
            <w:pPr>
              <w:spacing w:line="240" w:lineRule="auto"/>
              <w:ind w:firstLine="0"/>
            </w:pPr>
            <w:r w:rsidRPr="004D46AC">
              <w:rPr>
                <w:rFonts w:eastAsia="SimSun"/>
                <w:color w:val="000000"/>
              </w:rPr>
              <w:t>D8--M10</w:t>
            </w:r>
          </w:p>
        </w:tc>
        <w:tc>
          <w:tcPr>
            <w:tcW w:w="1098" w:type="dxa"/>
            <w:vAlign w:val="center"/>
          </w:tcPr>
          <w:p w14:paraId="034C820F" w14:textId="77777777" w:rsidR="007075D9" w:rsidRPr="004D46AC" w:rsidRDefault="007075D9" w:rsidP="002C5F6E">
            <w:pPr>
              <w:spacing w:line="240" w:lineRule="auto"/>
              <w:ind w:firstLine="0"/>
            </w:pPr>
            <w:r w:rsidRPr="004D46AC">
              <w:rPr>
                <w:rFonts w:eastAsia="SimSun"/>
                <w:color w:val="000000"/>
              </w:rPr>
              <w:t xml:space="preserve">0.22 </w:t>
            </w:r>
          </w:p>
        </w:tc>
        <w:tc>
          <w:tcPr>
            <w:tcW w:w="2409" w:type="dxa"/>
            <w:vAlign w:val="center"/>
          </w:tcPr>
          <w:p w14:paraId="29262E33"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38C72F93" w14:textId="77777777" w:rsidR="007075D9" w:rsidRPr="004D46AC" w:rsidRDefault="007075D9" w:rsidP="002C5F6E">
            <w:pPr>
              <w:spacing w:line="240" w:lineRule="auto"/>
              <w:ind w:firstLine="0"/>
            </w:pPr>
            <w:r w:rsidRPr="004D46AC">
              <w:rPr>
                <w:rFonts w:eastAsia="SimSun"/>
                <w:color w:val="000000"/>
              </w:rPr>
              <w:t xml:space="preserve">0.57 </w:t>
            </w:r>
          </w:p>
        </w:tc>
        <w:tc>
          <w:tcPr>
            <w:tcW w:w="901" w:type="dxa"/>
            <w:vAlign w:val="center"/>
          </w:tcPr>
          <w:p w14:paraId="4C78EB1A" w14:textId="77777777" w:rsidR="007075D9" w:rsidRPr="004D46AC" w:rsidRDefault="007075D9" w:rsidP="002C5F6E">
            <w:pPr>
              <w:spacing w:line="240" w:lineRule="auto"/>
              <w:ind w:firstLine="0"/>
            </w:pPr>
            <w:r w:rsidRPr="004D46AC">
              <w:rPr>
                <w:rFonts w:eastAsia="SimSun"/>
                <w:color w:val="000000"/>
              </w:rPr>
              <w:t xml:space="preserve">0.30 </w:t>
            </w:r>
          </w:p>
        </w:tc>
      </w:tr>
      <w:tr w:rsidR="007075D9" w:rsidRPr="004D46AC" w14:paraId="290959C4" w14:textId="77777777" w:rsidTr="00B518F1">
        <w:tc>
          <w:tcPr>
            <w:tcW w:w="1704" w:type="dxa"/>
            <w:vAlign w:val="center"/>
          </w:tcPr>
          <w:p w14:paraId="0FD1A0E5" w14:textId="77777777" w:rsidR="007075D9" w:rsidRPr="004D46AC" w:rsidRDefault="007075D9" w:rsidP="002C5F6E">
            <w:pPr>
              <w:spacing w:line="240" w:lineRule="auto"/>
              <w:ind w:firstLine="0"/>
            </w:pPr>
            <w:r w:rsidRPr="004D46AC">
              <w:rPr>
                <w:rFonts w:eastAsia="SimSun"/>
                <w:color w:val="000000"/>
              </w:rPr>
              <w:t>M2--M11</w:t>
            </w:r>
          </w:p>
        </w:tc>
        <w:tc>
          <w:tcPr>
            <w:tcW w:w="1098" w:type="dxa"/>
            <w:vAlign w:val="center"/>
          </w:tcPr>
          <w:p w14:paraId="78163812" w14:textId="77777777" w:rsidR="007075D9" w:rsidRPr="004D46AC" w:rsidRDefault="007075D9" w:rsidP="002C5F6E">
            <w:pPr>
              <w:spacing w:line="240" w:lineRule="auto"/>
              <w:ind w:firstLine="0"/>
            </w:pPr>
            <w:r w:rsidRPr="004D46AC">
              <w:rPr>
                <w:rFonts w:eastAsia="SimSun"/>
                <w:color w:val="000000"/>
              </w:rPr>
              <w:t xml:space="preserve">0.22 </w:t>
            </w:r>
          </w:p>
        </w:tc>
        <w:tc>
          <w:tcPr>
            <w:tcW w:w="2409" w:type="dxa"/>
            <w:vAlign w:val="center"/>
          </w:tcPr>
          <w:p w14:paraId="0772044D"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3C1BB7E5" w14:textId="77777777" w:rsidR="007075D9" w:rsidRPr="004D46AC" w:rsidRDefault="007075D9" w:rsidP="002C5F6E">
            <w:pPr>
              <w:spacing w:line="240" w:lineRule="auto"/>
              <w:ind w:firstLine="0"/>
            </w:pPr>
            <w:r w:rsidRPr="004D46AC">
              <w:rPr>
                <w:rFonts w:eastAsia="SimSun"/>
                <w:color w:val="000000"/>
              </w:rPr>
              <w:t xml:space="preserve">0.49 </w:t>
            </w:r>
          </w:p>
        </w:tc>
        <w:tc>
          <w:tcPr>
            <w:tcW w:w="901" w:type="dxa"/>
            <w:vAlign w:val="center"/>
          </w:tcPr>
          <w:p w14:paraId="0E6A8F55" w14:textId="77777777" w:rsidR="007075D9" w:rsidRPr="004D46AC" w:rsidRDefault="007075D9" w:rsidP="002C5F6E">
            <w:pPr>
              <w:spacing w:line="240" w:lineRule="auto"/>
              <w:ind w:firstLine="0"/>
            </w:pPr>
            <w:r w:rsidRPr="004D46AC">
              <w:rPr>
                <w:rFonts w:eastAsia="SimSun"/>
                <w:color w:val="000000"/>
              </w:rPr>
              <w:t xml:space="preserve">0.09 </w:t>
            </w:r>
          </w:p>
        </w:tc>
      </w:tr>
      <w:tr w:rsidR="007075D9" w:rsidRPr="004D46AC" w14:paraId="6661783B" w14:textId="77777777" w:rsidTr="00B518F1">
        <w:tc>
          <w:tcPr>
            <w:tcW w:w="1704" w:type="dxa"/>
            <w:vAlign w:val="center"/>
          </w:tcPr>
          <w:p w14:paraId="66C57C48" w14:textId="77777777" w:rsidR="007075D9" w:rsidRPr="004D46AC" w:rsidRDefault="007075D9" w:rsidP="002C5F6E">
            <w:pPr>
              <w:spacing w:line="240" w:lineRule="auto"/>
              <w:ind w:firstLine="0"/>
            </w:pPr>
            <w:r w:rsidRPr="004D46AC">
              <w:rPr>
                <w:rFonts w:eastAsia="SimSun"/>
                <w:color w:val="000000"/>
              </w:rPr>
              <w:t>D6--D9</w:t>
            </w:r>
          </w:p>
        </w:tc>
        <w:tc>
          <w:tcPr>
            <w:tcW w:w="1098" w:type="dxa"/>
            <w:vAlign w:val="center"/>
          </w:tcPr>
          <w:p w14:paraId="413DCC52" w14:textId="77777777" w:rsidR="007075D9" w:rsidRPr="004D46AC" w:rsidRDefault="007075D9" w:rsidP="002C5F6E">
            <w:pPr>
              <w:spacing w:line="240" w:lineRule="auto"/>
              <w:ind w:firstLine="0"/>
            </w:pPr>
            <w:r w:rsidRPr="004D46AC">
              <w:rPr>
                <w:rFonts w:eastAsia="SimSun"/>
                <w:color w:val="000000"/>
              </w:rPr>
              <w:t xml:space="preserve">0.21 </w:t>
            </w:r>
          </w:p>
        </w:tc>
        <w:tc>
          <w:tcPr>
            <w:tcW w:w="2409" w:type="dxa"/>
            <w:vAlign w:val="center"/>
          </w:tcPr>
          <w:p w14:paraId="7AD42A6C" w14:textId="77777777" w:rsidR="007075D9" w:rsidRPr="004D46AC" w:rsidRDefault="007075D9" w:rsidP="002C5F6E">
            <w:pPr>
              <w:spacing w:line="240" w:lineRule="auto"/>
              <w:ind w:firstLine="0"/>
            </w:pPr>
            <w:r w:rsidRPr="004D46AC">
              <w:rPr>
                <w:rFonts w:eastAsia="SimSun"/>
                <w:color w:val="000000"/>
              </w:rPr>
              <w:t xml:space="preserve">0.13 </w:t>
            </w:r>
          </w:p>
        </w:tc>
        <w:tc>
          <w:tcPr>
            <w:tcW w:w="2410" w:type="dxa"/>
            <w:vAlign w:val="center"/>
          </w:tcPr>
          <w:p w14:paraId="386C59C3" w14:textId="77777777" w:rsidR="007075D9" w:rsidRPr="004D46AC" w:rsidRDefault="007075D9" w:rsidP="002C5F6E">
            <w:pPr>
              <w:spacing w:line="240" w:lineRule="auto"/>
              <w:ind w:firstLine="0"/>
            </w:pPr>
            <w:r w:rsidRPr="004D46AC">
              <w:rPr>
                <w:rFonts w:eastAsia="SimSun"/>
                <w:color w:val="000000"/>
              </w:rPr>
              <w:t xml:space="preserve">0.30 </w:t>
            </w:r>
          </w:p>
        </w:tc>
        <w:tc>
          <w:tcPr>
            <w:tcW w:w="901" w:type="dxa"/>
            <w:vAlign w:val="center"/>
          </w:tcPr>
          <w:p w14:paraId="2FBC504D"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224E606A" w14:textId="77777777" w:rsidTr="00B518F1">
        <w:tc>
          <w:tcPr>
            <w:tcW w:w="1704" w:type="dxa"/>
            <w:vAlign w:val="center"/>
          </w:tcPr>
          <w:p w14:paraId="444E5C9B" w14:textId="77777777" w:rsidR="007075D9" w:rsidRPr="004D46AC" w:rsidRDefault="007075D9" w:rsidP="002C5F6E">
            <w:pPr>
              <w:spacing w:line="240" w:lineRule="auto"/>
              <w:ind w:firstLine="0"/>
            </w:pPr>
            <w:r w:rsidRPr="004D46AC">
              <w:rPr>
                <w:rFonts w:eastAsia="SimSun"/>
                <w:color w:val="000000"/>
              </w:rPr>
              <w:t>EI--M12</w:t>
            </w:r>
          </w:p>
        </w:tc>
        <w:tc>
          <w:tcPr>
            <w:tcW w:w="1098" w:type="dxa"/>
            <w:vAlign w:val="center"/>
          </w:tcPr>
          <w:p w14:paraId="0D4372BD" w14:textId="77777777" w:rsidR="007075D9" w:rsidRPr="004D46AC" w:rsidRDefault="007075D9" w:rsidP="002C5F6E">
            <w:pPr>
              <w:spacing w:line="240" w:lineRule="auto"/>
              <w:ind w:firstLine="0"/>
            </w:pPr>
            <w:r w:rsidRPr="004D46AC">
              <w:rPr>
                <w:rFonts w:eastAsia="SimSun"/>
                <w:color w:val="000000"/>
              </w:rPr>
              <w:t xml:space="preserve">0.21 </w:t>
            </w:r>
          </w:p>
        </w:tc>
        <w:tc>
          <w:tcPr>
            <w:tcW w:w="2409" w:type="dxa"/>
            <w:vAlign w:val="center"/>
          </w:tcPr>
          <w:p w14:paraId="6F957AA0" w14:textId="77777777" w:rsidR="007075D9" w:rsidRPr="004D46AC" w:rsidRDefault="007075D9" w:rsidP="002C5F6E">
            <w:pPr>
              <w:spacing w:line="240" w:lineRule="auto"/>
              <w:ind w:firstLine="0"/>
            </w:pPr>
            <w:r w:rsidRPr="004D46AC">
              <w:rPr>
                <w:rFonts w:eastAsia="SimSun"/>
                <w:color w:val="000000"/>
              </w:rPr>
              <w:t xml:space="preserve">-0.08 </w:t>
            </w:r>
          </w:p>
        </w:tc>
        <w:tc>
          <w:tcPr>
            <w:tcW w:w="2410" w:type="dxa"/>
            <w:vAlign w:val="center"/>
          </w:tcPr>
          <w:p w14:paraId="548E2E48" w14:textId="77777777" w:rsidR="007075D9" w:rsidRPr="004D46AC" w:rsidRDefault="007075D9" w:rsidP="002C5F6E">
            <w:pPr>
              <w:spacing w:line="240" w:lineRule="auto"/>
              <w:ind w:firstLine="0"/>
            </w:pPr>
            <w:r w:rsidRPr="004D46AC">
              <w:rPr>
                <w:rFonts w:eastAsia="SimSun"/>
                <w:color w:val="000000"/>
              </w:rPr>
              <w:t xml:space="preserve">0.50 </w:t>
            </w:r>
          </w:p>
        </w:tc>
        <w:tc>
          <w:tcPr>
            <w:tcW w:w="901" w:type="dxa"/>
            <w:vAlign w:val="center"/>
          </w:tcPr>
          <w:p w14:paraId="6D925832" w14:textId="77777777" w:rsidR="007075D9" w:rsidRPr="004D46AC" w:rsidRDefault="007075D9" w:rsidP="002C5F6E">
            <w:pPr>
              <w:spacing w:line="240" w:lineRule="auto"/>
              <w:ind w:firstLine="0"/>
            </w:pPr>
            <w:r w:rsidRPr="004D46AC">
              <w:rPr>
                <w:rFonts w:eastAsia="SimSun"/>
                <w:color w:val="000000"/>
              </w:rPr>
              <w:t xml:space="preserve">0.36 </w:t>
            </w:r>
          </w:p>
        </w:tc>
      </w:tr>
      <w:tr w:rsidR="007075D9" w:rsidRPr="004D46AC" w14:paraId="5E8B900E" w14:textId="77777777" w:rsidTr="00B518F1">
        <w:tc>
          <w:tcPr>
            <w:tcW w:w="1704" w:type="dxa"/>
            <w:vAlign w:val="center"/>
          </w:tcPr>
          <w:p w14:paraId="33D58BDD" w14:textId="77777777" w:rsidR="007075D9" w:rsidRPr="004D46AC" w:rsidRDefault="007075D9" w:rsidP="002C5F6E">
            <w:pPr>
              <w:spacing w:line="240" w:lineRule="auto"/>
              <w:ind w:firstLine="0"/>
            </w:pPr>
            <w:r w:rsidRPr="004D46AC">
              <w:rPr>
                <w:rFonts w:eastAsia="SimSun"/>
                <w:color w:val="000000"/>
              </w:rPr>
              <w:t>D9--P5</w:t>
            </w:r>
          </w:p>
        </w:tc>
        <w:tc>
          <w:tcPr>
            <w:tcW w:w="1098" w:type="dxa"/>
            <w:vAlign w:val="center"/>
          </w:tcPr>
          <w:p w14:paraId="22637075" w14:textId="77777777" w:rsidR="007075D9" w:rsidRPr="004D46AC" w:rsidRDefault="007075D9" w:rsidP="002C5F6E">
            <w:pPr>
              <w:spacing w:line="240" w:lineRule="auto"/>
              <w:ind w:firstLine="0"/>
            </w:pPr>
            <w:r w:rsidRPr="004D46AC">
              <w:rPr>
                <w:rFonts w:eastAsia="SimSun"/>
                <w:color w:val="000000"/>
              </w:rPr>
              <w:t xml:space="preserve">0.21 </w:t>
            </w:r>
          </w:p>
        </w:tc>
        <w:tc>
          <w:tcPr>
            <w:tcW w:w="2409" w:type="dxa"/>
            <w:vAlign w:val="center"/>
          </w:tcPr>
          <w:p w14:paraId="5BDE03CE"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6F44E4BA" w14:textId="77777777" w:rsidR="007075D9" w:rsidRPr="004D46AC" w:rsidRDefault="007075D9" w:rsidP="002C5F6E">
            <w:pPr>
              <w:spacing w:line="240" w:lineRule="auto"/>
              <w:ind w:firstLine="0"/>
            </w:pPr>
            <w:r w:rsidRPr="004D46AC">
              <w:rPr>
                <w:rFonts w:eastAsia="SimSun"/>
                <w:color w:val="000000"/>
              </w:rPr>
              <w:t xml:space="preserve">0.53 </w:t>
            </w:r>
          </w:p>
        </w:tc>
        <w:tc>
          <w:tcPr>
            <w:tcW w:w="901" w:type="dxa"/>
            <w:vAlign w:val="center"/>
          </w:tcPr>
          <w:p w14:paraId="4107AD2E" w14:textId="77777777" w:rsidR="007075D9" w:rsidRPr="004D46AC" w:rsidRDefault="007075D9" w:rsidP="002C5F6E">
            <w:pPr>
              <w:spacing w:line="240" w:lineRule="auto"/>
              <w:ind w:firstLine="0"/>
            </w:pPr>
            <w:r w:rsidRPr="004D46AC">
              <w:rPr>
                <w:rFonts w:eastAsia="SimSun"/>
                <w:color w:val="000000"/>
              </w:rPr>
              <w:t xml:space="preserve">0.17 </w:t>
            </w:r>
          </w:p>
        </w:tc>
      </w:tr>
      <w:tr w:rsidR="007075D9" w:rsidRPr="004D46AC" w14:paraId="56C03570" w14:textId="77777777" w:rsidTr="00B518F1">
        <w:tc>
          <w:tcPr>
            <w:tcW w:w="1704" w:type="dxa"/>
            <w:vAlign w:val="center"/>
          </w:tcPr>
          <w:p w14:paraId="2B225AD4" w14:textId="77777777" w:rsidR="007075D9" w:rsidRPr="004D46AC" w:rsidRDefault="007075D9" w:rsidP="002C5F6E">
            <w:pPr>
              <w:spacing w:line="240" w:lineRule="auto"/>
              <w:ind w:firstLine="0"/>
            </w:pPr>
            <w:r w:rsidRPr="004D46AC">
              <w:rPr>
                <w:rFonts w:eastAsia="SimSun"/>
                <w:color w:val="000000"/>
              </w:rPr>
              <w:t>EI--M11</w:t>
            </w:r>
          </w:p>
        </w:tc>
        <w:tc>
          <w:tcPr>
            <w:tcW w:w="1098" w:type="dxa"/>
            <w:vAlign w:val="center"/>
          </w:tcPr>
          <w:p w14:paraId="60034683" w14:textId="77777777" w:rsidR="007075D9" w:rsidRPr="004D46AC" w:rsidRDefault="007075D9" w:rsidP="002C5F6E">
            <w:pPr>
              <w:spacing w:line="240" w:lineRule="auto"/>
              <w:ind w:firstLine="0"/>
            </w:pPr>
            <w:r w:rsidRPr="004D46AC">
              <w:rPr>
                <w:rFonts w:eastAsia="SimSun"/>
                <w:color w:val="000000"/>
              </w:rPr>
              <w:t xml:space="preserve">0.20 </w:t>
            </w:r>
          </w:p>
        </w:tc>
        <w:tc>
          <w:tcPr>
            <w:tcW w:w="2409" w:type="dxa"/>
            <w:vAlign w:val="center"/>
          </w:tcPr>
          <w:p w14:paraId="78B50513"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5390A2E9" w14:textId="77777777" w:rsidR="007075D9" w:rsidRPr="004D46AC" w:rsidRDefault="007075D9" w:rsidP="002C5F6E">
            <w:pPr>
              <w:spacing w:line="240" w:lineRule="auto"/>
              <w:ind w:firstLine="0"/>
            </w:pPr>
            <w:r w:rsidRPr="004D46AC">
              <w:rPr>
                <w:rFonts w:eastAsia="SimSun"/>
                <w:color w:val="000000"/>
              </w:rPr>
              <w:t xml:space="preserve">0.39 </w:t>
            </w:r>
          </w:p>
        </w:tc>
        <w:tc>
          <w:tcPr>
            <w:tcW w:w="901" w:type="dxa"/>
            <w:vAlign w:val="center"/>
          </w:tcPr>
          <w:p w14:paraId="6EC6ABF8" w14:textId="77777777" w:rsidR="007075D9" w:rsidRPr="004D46AC" w:rsidRDefault="007075D9" w:rsidP="002C5F6E">
            <w:pPr>
              <w:spacing w:line="240" w:lineRule="auto"/>
              <w:ind w:firstLine="0"/>
            </w:pPr>
            <w:r w:rsidRPr="004D46AC">
              <w:rPr>
                <w:rFonts w:eastAsia="SimSun"/>
                <w:color w:val="000000"/>
              </w:rPr>
              <w:t xml:space="preserve">0.05 </w:t>
            </w:r>
          </w:p>
        </w:tc>
      </w:tr>
      <w:tr w:rsidR="007075D9" w:rsidRPr="004D46AC" w14:paraId="1B3BF771" w14:textId="77777777" w:rsidTr="00B518F1">
        <w:tc>
          <w:tcPr>
            <w:tcW w:w="1704" w:type="dxa"/>
            <w:vAlign w:val="center"/>
          </w:tcPr>
          <w:p w14:paraId="26CEFCB4" w14:textId="77777777" w:rsidR="007075D9" w:rsidRPr="004D46AC" w:rsidRDefault="007075D9" w:rsidP="002C5F6E">
            <w:pPr>
              <w:spacing w:line="240" w:lineRule="auto"/>
              <w:ind w:firstLine="0"/>
            </w:pPr>
            <w:r w:rsidRPr="004D46AC">
              <w:rPr>
                <w:rFonts w:eastAsia="SimSun"/>
                <w:color w:val="000000"/>
              </w:rPr>
              <w:t>D4--D5</w:t>
            </w:r>
          </w:p>
        </w:tc>
        <w:tc>
          <w:tcPr>
            <w:tcW w:w="1098" w:type="dxa"/>
            <w:vAlign w:val="center"/>
          </w:tcPr>
          <w:p w14:paraId="6DC15842" w14:textId="77777777" w:rsidR="007075D9" w:rsidRPr="004D46AC" w:rsidRDefault="007075D9" w:rsidP="002C5F6E">
            <w:pPr>
              <w:spacing w:line="240" w:lineRule="auto"/>
              <w:ind w:firstLine="0"/>
            </w:pPr>
            <w:r w:rsidRPr="004D46AC">
              <w:rPr>
                <w:rFonts w:eastAsia="SimSun"/>
                <w:color w:val="000000"/>
              </w:rPr>
              <w:t xml:space="preserve">0.20 </w:t>
            </w:r>
          </w:p>
        </w:tc>
        <w:tc>
          <w:tcPr>
            <w:tcW w:w="2409" w:type="dxa"/>
            <w:vAlign w:val="center"/>
          </w:tcPr>
          <w:p w14:paraId="2D63D822" w14:textId="77777777" w:rsidR="007075D9" w:rsidRPr="004D46AC" w:rsidRDefault="007075D9" w:rsidP="002C5F6E">
            <w:pPr>
              <w:spacing w:line="240" w:lineRule="auto"/>
              <w:ind w:firstLine="0"/>
            </w:pPr>
            <w:r w:rsidRPr="004D46AC">
              <w:rPr>
                <w:rFonts w:eastAsia="SimSun"/>
                <w:color w:val="000000"/>
              </w:rPr>
              <w:t xml:space="preserve">0.12 </w:t>
            </w:r>
          </w:p>
        </w:tc>
        <w:tc>
          <w:tcPr>
            <w:tcW w:w="2410" w:type="dxa"/>
            <w:vAlign w:val="center"/>
          </w:tcPr>
          <w:p w14:paraId="6A676970" w14:textId="77777777" w:rsidR="007075D9" w:rsidRPr="004D46AC" w:rsidRDefault="007075D9" w:rsidP="002C5F6E">
            <w:pPr>
              <w:spacing w:line="240" w:lineRule="auto"/>
              <w:ind w:firstLine="0"/>
            </w:pPr>
            <w:r w:rsidRPr="004D46AC">
              <w:rPr>
                <w:rFonts w:eastAsia="SimSun"/>
                <w:color w:val="000000"/>
              </w:rPr>
              <w:t xml:space="preserve">0.27 </w:t>
            </w:r>
          </w:p>
        </w:tc>
        <w:tc>
          <w:tcPr>
            <w:tcW w:w="901" w:type="dxa"/>
            <w:vAlign w:val="center"/>
          </w:tcPr>
          <w:p w14:paraId="1C44ECC5"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0115EB6B" w14:textId="77777777" w:rsidTr="00B518F1">
        <w:tc>
          <w:tcPr>
            <w:tcW w:w="1704" w:type="dxa"/>
            <w:vAlign w:val="center"/>
          </w:tcPr>
          <w:p w14:paraId="66907487" w14:textId="77777777" w:rsidR="007075D9" w:rsidRPr="004D46AC" w:rsidRDefault="007075D9" w:rsidP="002C5F6E">
            <w:pPr>
              <w:spacing w:line="240" w:lineRule="auto"/>
              <w:ind w:firstLine="0"/>
            </w:pPr>
            <w:r w:rsidRPr="004D46AC">
              <w:rPr>
                <w:rFonts w:eastAsia="SimSun"/>
                <w:color w:val="000000"/>
              </w:rPr>
              <w:t>M1--P5</w:t>
            </w:r>
          </w:p>
        </w:tc>
        <w:tc>
          <w:tcPr>
            <w:tcW w:w="1098" w:type="dxa"/>
            <w:vAlign w:val="center"/>
          </w:tcPr>
          <w:p w14:paraId="4ED34E03" w14:textId="77777777" w:rsidR="007075D9" w:rsidRPr="004D46AC" w:rsidRDefault="007075D9" w:rsidP="002C5F6E">
            <w:pPr>
              <w:spacing w:line="240" w:lineRule="auto"/>
              <w:ind w:firstLine="0"/>
            </w:pPr>
            <w:r w:rsidRPr="004D46AC">
              <w:rPr>
                <w:rFonts w:eastAsia="SimSun"/>
                <w:color w:val="000000"/>
              </w:rPr>
              <w:t xml:space="preserve">0.20 </w:t>
            </w:r>
          </w:p>
        </w:tc>
        <w:tc>
          <w:tcPr>
            <w:tcW w:w="2409" w:type="dxa"/>
            <w:vAlign w:val="center"/>
          </w:tcPr>
          <w:p w14:paraId="1B64A34E" w14:textId="77777777" w:rsidR="007075D9" w:rsidRPr="004D46AC" w:rsidRDefault="007075D9" w:rsidP="002C5F6E">
            <w:pPr>
              <w:spacing w:line="240" w:lineRule="auto"/>
              <w:ind w:firstLine="0"/>
            </w:pPr>
            <w:r w:rsidRPr="004D46AC">
              <w:rPr>
                <w:rFonts w:eastAsia="SimSun"/>
                <w:color w:val="000000"/>
              </w:rPr>
              <w:t xml:space="preserve">-0.38 </w:t>
            </w:r>
          </w:p>
        </w:tc>
        <w:tc>
          <w:tcPr>
            <w:tcW w:w="2410" w:type="dxa"/>
            <w:vAlign w:val="center"/>
          </w:tcPr>
          <w:p w14:paraId="7ED9B57C" w14:textId="77777777" w:rsidR="007075D9" w:rsidRPr="004D46AC" w:rsidRDefault="007075D9" w:rsidP="002C5F6E">
            <w:pPr>
              <w:spacing w:line="240" w:lineRule="auto"/>
              <w:ind w:firstLine="0"/>
            </w:pPr>
            <w:r w:rsidRPr="004D46AC">
              <w:rPr>
                <w:rFonts w:eastAsia="SimSun"/>
                <w:color w:val="000000"/>
              </w:rPr>
              <w:t xml:space="preserve">0.77 </w:t>
            </w:r>
          </w:p>
        </w:tc>
        <w:tc>
          <w:tcPr>
            <w:tcW w:w="901" w:type="dxa"/>
            <w:vAlign w:val="center"/>
          </w:tcPr>
          <w:p w14:paraId="01144133" w14:textId="77777777" w:rsidR="007075D9" w:rsidRPr="004D46AC" w:rsidRDefault="007075D9" w:rsidP="002C5F6E">
            <w:pPr>
              <w:spacing w:line="240" w:lineRule="auto"/>
              <w:ind w:firstLine="0"/>
            </w:pPr>
            <w:r w:rsidRPr="004D46AC">
              <w:rPr>
                <w:rFonts w:eastAsia="SimSun"/>
                <w:color w:val="000000"/>
              </w:rPr>
              <w:t xml:space="preserve">0.33 </w:t>
            </w:r>
          </w:p>
        </w:tc>
      </w:tr>
      <w:tr w:rsidR="007075D9" w:rsidRPr="004D46AC" w14:paraId="6FC0CE90" w14:textId="77777777" w:rsidTr="00B518F1">
        <w:tc>
          <w:tcPr>
            <w:tcW w:w="1704" w:type="dxa"/>
            <w:vAlign w:val="center"/>
          </w:tcPr>
          <w:p w14:paraId="40F50997" w14:textId="77777777" w:rsidR="007075D9" w:rsidRPr="004D46AC" w:rsidRDefault="007075D9" w:rsidP="002C5F6E">
            <w:pPr>
              <w:spacing w:line="240" w:lineRule="auto"/>
              <w:ind w:firstLine="0"/>
            </w:pPr>
            <w:r w:rsidRPr="004D46AC">
              <w:rPr>
                <w:rFonts w:eastAsia="SimSun"/>
                <w:color w:val="000000"/>
              </w:rPr>
              <w:t>M5--P5</w:t>
            </w:r>
          </w:p>
        </w:tc>
        <w:tc>
          <w:tcPr>
            <w:tcW w:w="1098" w:type="dxa"/>
            <w:vAlign w:val="center"/>
          </w:tcPr>
          <w:p w14:paraId="137DC128" w14:textId="77777777" w:rsidR="007075D9" w:rsidRPr="004D46AC" w:rsidRDefault="007075D9" w:rsidP="002C5F6E">
            <w:pPr>
              <w:spacing w:line="240" w:lineRule="auto"/>
              <w:ind w:firstLine="0"/>
            </w:pPr>
            <w:r w:rsidRPr="004D46AC">
              <w:rPr>
                <w:rFonts w:eastAsia="SimSun"/>
                <w:color w:val="000000"/>
              </w:rPr>
              <w:t xml:space="preserve">0.19 </w:t>
            </w:r>
          </w:p>
        </w:tc>
        <w:tc>
          <w:tcPr>
            <w:tcW w:w="2409" w:type="dxa"/>
            <w:vAlign w:val="center"/>
          </w:tcPr>
          <w:p w14:paraId="5A67D7D9" w14:textId="77777777" w:rsidR="007075D9" w:rsidRPr="004D46AC" w:rsidRDefault="007075D9" w:rsidP="002C5F6E">
            <w:pPr>
              <w:spacing w:line="240" w:lineRule="auto"/>
              <w:ind w:firstLine="0"/>
            </w:pPr>
            <w:r w:rsidRPr="004D46AC">
              <w:rPr>
                <w:rFonts w:eastAsia="SimSun"/>
                <w:color w:val="000000"/>
              </w:rPr>
              <w:t xml:space="preserve">-0.32 </w:t>
            </w:r>
          </w:p>
        </w:tc>
        <w:tc>
          <w:tcPr>
            <w:tcW w:w="2410" w:type="dxa"/>
            <w:vAlign w:val="center"/>
          </w:tcPr>
          <w:p w14:paraId="5CD08223" w14:textId="77777777" w:rsidR="007075D9" w:rsidRPr="004D46AC" w:rsidRDefault="007075D9" w:rsidP="002C5F6E">
            <w:pPr>
              <w:spacing w:line="240" w:lineRule="auto"/>
              <w:ind w:firstLine="0"/>
            </w:pPr>
            <w:r w:rsidRPr="004D46AC">
              <w:rPr>
                <w:rFonts w:eastAsia="SimSun"/>
                <w:color w:val="000000"/>
              </w:rPr>
              <w:t xml:space="preserve">0.71 </w:t>
            </w:r>
          </w:p>
        </w:tc>
        <w:tc>
          <w:tcPr>
            <w:tcW w:w="901" w:type="dxa"/>
            <w:vAlign w:val="center"/>
          </w:tcPr>
          <w:p w14:paraId="461D5E8B" w14:textId="77777777" w:rsidR="007075D9" w:rsidRPr="004D46AC" w:rsidRDefault="007075D9" w:rsidP="002C5F6E">
            <w:pPr>
              <w:spacing w:line="240" w:lineRule="auto"/>
              <w:ind w:firstLine="0"/>
            </w:pPr>
            <w:r w:rsidRPr="004D46AC">
              <w:rPr>
                <w:rFonts w:eastAsia="SimSun"/>
                <w:color w:val="000000"/>
              </w:rPr>
              <w:t xml:space="preserve">0.39 </w:t>
            </w:r>
          </w:p>
        </w:tc>
      </w:tr>
      <w:tr w:rsidR="007075D9" w:rsidRPr="004D46AC" w14:paraId="1C3EB01F" w14:textId="77777777" w:rsidTr="00B518F1">
        <w:tc>
          <w:tcPr>
            <w:tcW w:w="1704" w:type="dxa"/>
            <w:vAlign w:val="center"/>
          </w:tcPr>
          <w:p w14:paraId="52C162DF" w14:textId="77777777" w:rsidR="007075D9" w:rsidRPr="004D46AC" w:rsidRDefault="007075D9" w:rsidP="002C5F6E">
            <w:pPr>
              <w:spacing w:line="240" w:lineRule="auto"/>
              <w:ind w:firstLine="0"/>
            </w:pPr>
            <w:r w:rsidRPr="004D46AC">
              <w:rPr>
                <w:rFonts w:eastAsia="SimSun"/>
                <w:color w:val="000000"/>
              </w:rPr>
              <w:lastRenderedPageBreak/>
              <w:t>M10--M13</w:t>
            </w:r>
          </w:p>
        </w:tc>
        <w:tc>
          <w:tcPr>
            <w:tcW w:w="1098" w:type="dxa"/>
            <w:vAlign w:val="center"/>
          </w:tcPr>
          <w:p w14:paraId="5FFAE8E4" w14:textId="77777777" w:rsidR="007075D9" w:rsidRPr="004D46AC" w:rsidRDefault="007075D9" w:rsidP="002C5F6E">
            <w:pPr>
              <w:spacing w:line="240" w:lineRule="auto"/>
              <w:ind w:firstLine="0"/>
            </w:pPr>
            <w:r w:rsidRPr="004D46AC">
              <w:rPr>
                <w:rFonts w:eastAsia="SimSun"/>
                <w:color w:val="000000"/>
              </w:rPr>
              <w:t xml:space="preserve">0.19 </w:t>
            </w:r>
          </w:p>
        </w:tc>
        <w:tc>
          <w:tcPr>
            <w:tcW w:w="2409" w:type="dxa"/>
            <w:vAlign w:val="center"/>
          </w:tcPr>
          <w:p w14:paraId="37C5518A" w14:textId="77777777" w:rsidR="007075D9" w:rsidRPr="004D46AC" w:rsidRDefault="007075D9" w:rsidP="002C5F6E">
            <w:pPr>
              <w:spacing w:line="240" w:lineRule="auto"/>
              <w:ind w:firstLine="0"/>
            </w:pPr>
            <w:r w:rsidRPr="004D46AC">
              <w:rPr>
                <w:rFonts w:eastAsia="SimSun"/>
                <w:color w:val="000000"/>
              </w:rPr>
              <w:t xml:space="preserve">-0.25 </w:t>
            </w:r>
          </w:p>
        </w:tc>
        <w:tc>
          <w:tcPr>
            <w:tcW w:w="2410" w:type="dxa"/>
            <w:vAlign w:val="center"/>
          </w:tcPr>
          <w:p w14:paraId="27D5E563" w14:textId="77777777" w:rsidR="007075D9" w:rsidRPr="004D46AC" w:rsidRDefault="007075D9" w:rsidP="002C5F6E">
            <w:pPr>
              <w:spacing w:line="240" w:lineRule="auto"/>
              <w:ind w:firstLine="0"/>
            </w:pPr>
            <w:r w:rsidRPr="004D46AC">
              <w:rPr>
                <w:rFonts w:eastAsia="SimSun"/>
                <w:color w:val="000000"/>
              </w:rPr>
              <w:t xml:space="preserve">0.63 </w:t>
            </w:r>
          </w:p>
        </w:tc>
        <w:tc>
          <w:tcPr>
            <w:tcW w:w="901" w:type="dxa"/>
            <w:vAlign w:val="center"/>
          </w:tcPr>
          <w:p w14:paraId="53CDE107" w14:textId="77777777" w:rsidR="007075D9" w:rsidRPr="004D46AC" w:rsidRDefault="007075D9" w:rsidP="002C5F6E">
            <w:pPr>
              <w:spacing w:line="240" w:lineRule="auto"/>
              <w:ind w:firstLine="0"/>
            </w:pPr>
            <w:r w:rsidRPr="004D46AC">
              <w:rPr>
                <w:rFonts w:eastAsia="SimSun"/>
                <w:color w:val="000000"/>
              </w:rPr>
              <w:t xml:space="preserve">0.45 </w:t>
            </w:r>
          </w:p>
        </w:tc>
      </w:tr>
      <w:tr w:rsidR="007075D9" w:rsidRPr="004D46AC" w14:paraId="08623714" w14:textId="77777777" w:rsidTr="00B518F1">
        <w:tc>
          <w:tcPr>
            <w:tcW w:w="1704" w:type="dxa"/>
            <w:vAlign w:val="center"/>
          </w:tcPr>
          <w:p w14:paraId="2BF7624A" w14:textId="77777777" w:rsidR="007075D9" w:rsidRPr="004D46AC" w:rsidRDefault="007075D9" w:rsidP="002C5F6E">
            <w:pPr>
              <w:spacing w:line="240" w:lineRule="auto"/>
              <w:ind w:firstLine="0"/>
            </w:pPr>
            <w:r w:rsidRPr="004D46AC">
              <w:rPr>
                <w:rFonts w:eastAsia="SimSun"/>
                <w:color w:val="000000"/>
              </w:rPr>
              <w:t>M4--M7</w:t>
            </w:r>
          </w:p>
        </w:tc>
        <w:tc>
          <w:tcPr>
            <w:tcW w:w="1098" w:type="dxa"/>
            <w:vAlign w:val="center"/>
          </w:tcPr>
          <w:p w14:paraId="4C82803B" w14:textId="77777777" w:rsidR="007075D9" w:rsidRPr="004D46AC" w:rsidRDefault="007075D9" w:rsidP="002C5F6E">
            <w:pPr>
              <w:spacing w:line="240" w:lineRule="auto"/>
              <w:ind w:firstLine="0"/>
            </w:pPr>
            <w:r w:rsidRPr="004D46AC">
              <w:rPr>
                <w:rFonts w:eastAsia="SimSun"/>
                <w:color w:val="000000"/>
              </w:rPr>
              <w:t xml:space="preserve">0.19 </w:t>
            </w:r>
          </w:p>
        </w:tc>
        <w:tc>
          <w:tcPr>
            <w:tcW w:w="2409" w:type="dxa"/>
            <w:vAlign w:val="center"/>
          </w:tcPr>
          <w:p w14:paraId="457E3EFC"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17432470" w14:textId="77777777" w:rsidR="007075D9" w:rsidRPr="004D46AC" w:rsidRDefault="007075D9" w:rsidP="002C5F6E">
            <w:pPr>
              <w:spacing w:line="240" w:lineRule="auto"/>
              <w:ind w:firstLine="0"/>
            </w:pPr>
            <w:r w:rsidRPr="004D46AC">
              <w:rPr>
                <w:rFonts w:eastAsia="SimSun"/>
                <w:color w:val="000000"/>
              </w:rPr>
              <w:t xml:space="preserve">0.45 </w:t>
            </w:r>
          </w:p>
        </w:tc>
        <w:tc>
          <w:tcPr>
            <w:tcW w:w="901" w:type="dxa"/>
            <w:vAlign w:val="center"/>
          </w:tcPr>
          <w:p w14:paraId="05D99CD4" w14:textId="77777777" w:rsidR="007075D9" w:rsidRPr="004D46AC" w:rsidRDefault="007075D9" w:rsidP="002C5F6E">
            <w:pPr>
              <w:spacing w:line="240" w:lineRule="auto"/>
              <w:ind w:firstLine="0"/>
            </w:pPr>
            <w:r w:rsidRPr="004D46AC">
              <w:rPr>
                <w:rFonts w:eastAsia="SimSun"/>
                <w:color w:val="000000"/>
              </w:rPr>
              <w:t xml:space="preserve">0.21 </w:t>
            </w:r>
          </w:p>
        </w:tc>
      </w:tr>
      <w:tr w:rsidR="007075D9" w:rsidRPr="004D46AC" w14:paraId="549F1F01" w14:textId="77777777" w:rsidTr="00B518F1">
        <w:tc>
          <w:tcPr>
            <w:tcW w:w="1704" w:type="dxa"/>
            <w:vAlign w:val="center"/>
          </w:tcPr>
          <w:p w14:paraId="3AE7A760" w14:textId="77777777" w:rsidR="007075D9" w:rsidRPr="004D46AC" w:rsidRDefault="007075D9" w:rsidP="002C5F6E">
            <w:pPr>
              <w:spacing w:line="240" w:lineRule="auto"/>
              <w:ind w:firstLine="0"/>
            </w:pPr>
            <w:r w:rsidRPr="004D46AC">
              <w:rPr>
                <w:rFonts w:eastAsia="SimSun"/>
                <w:color w:val="000000"/>
              </w:rPr>
              <w:t>D3--M4</w:t>
            </w:r>
          </w:p>
        </w:tc>
        <w:tc>
          <w:tcPr>
            <w:tcW w:w="1098" w:type="dxa"/>
            <w:vAlign w:val="center"/>
          </w:tcPr>
          <w:p w14:paraId="640CCEB0" w14:textId="77777777" w:rsidR="007075D9" w:rsidRPr="004D46AC" w:rsidRDefault="007075D9" w:rsidP="002C5F6E">
            <w:pPr>
              <w:spacing w:line="240" w:lineRule="auto"/>
              <w:ind w:firstLine="0"/>
            </w:pPr>
            <w:r w:rsidRPr="004D46AC">
              <w:rPr>
                <w:rFonts w:eastAsia="SimSun"/>
                <w:color w:val="000000"/>
              </w:rPr>
              <w:t xml:space="preserve">0.18 </w:t>
            </w:r>
          </w:p>
        </w:tc>
        <w:tc>
          <w:tcPr>
            <w:tcW w:w="2409" w:type="dxa"/>
            <w:vAlign w:val="center"/>
          </w:tcPr>
          <w:p w14:paraId="5A621459"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7FB36F13" w14:textId="77777777" w:rsidR="007075D9" w:rsidRPr="004D46AC" w:rsidRDefault="007075D9" w:rsidP="002C5F6E">
            <w:pPr>
              <w:spacing w:line="240" w:lineRule="auto"/>
              <w:ind w:firstLine="0"/>
            </w:pPr>
            <w:r w:rsidRPr="004D46AC">
              <w:rPr>
                <w:rFonts w:eastAsia="SimSun"/>
                <w:color w:val="000000"/>
              </w:rPr>
              <w:t xml:space="preserve">0.31 </w:t>
            </w:r>
          </w:p>
        </w:tc>
        <w:tc>
          <w:tcPr>
            <w:tcW w:w="901" w:type="dxa"/>
            <w:vAlign w:val="center"/>
          </w:tcPr>
          <w:p w14:paraId="21B91674"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4E47243F" w14:textId="77777777" w:rsidTr="00B518F1">
        <w:tc>
          <w:tcPr>
            <w:tcW w:w="1704" w:type="dxa"/>
            <w:vAlign w:val="center"/>
          </w:tcPr>
          <w:p w14:paraId="77755269" w14:textId="77777777" w:rsidR="007075D9" w:rsidRPr="004D46AC" w:rsidRDefault="007075D9" w:rsidP="002C5F6E">
            <w:pPr>
              <w:spacing w:line="240" w:lineRule="auto"/>
              <w:ind w:firstLine="0"/>
            </w:pPr>
            <w:r w:rsidRPr="004D46AC">
              <w:rPr>
                <w:rFonts w:eastAsia="SimSun"/>
                <w:color w:val="000000"/>
              </w:rPr>
              <w:t>D8--M5</w:t>
            </w:r>
          </w:p>
        </w:tc>
        <w:tc>
          <w:tcPr>
            <w:tcW w:w="1098" w:type="dxa"/>
            <w:vAlign w:val="center"/>
          </w:tcPr>
          <w:p w14:paraId="6AE7794F" w14:textId="77777777" w:rsidR="007075D9" w:rsidRPr="004D46AC" w:rsidRDefault="007075D9" w:rsidP="002C5F6E">
            <w:pPr>
              <w:spacing w:line="240" w:lineRule="auto"/>
              <w:ind w:firstLine="0"/>
            </w:pPr>
            <w:r w:rsidRPr="004D46AC">
              <w:rPr>
                <w:rFonts w:eastAsia="SimSun"/>
                <w:color w:val="000000"/>
              </w:rPr>
              <w:t xml:space="preserve">0.18 </w:t>
            </w:r>
          </w:p>
        </w:tc>
        <w:tc>
          <w:tcPr>
            <w:tcW w:w="2409" w:type="dxa"/>
            <w:vAlign w:val="center"/>
          </w:tcPr>
          <w:p w14:paraId="4D25AC95"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395AA4B9" w14:textId="77777777" w:rsidR="007075D9" w:rsidRPr="004D46AC" w:rsidRDefault="007075D9" w:rsidP="002C5F6E">
            <w:pPr>
              <w:spacing w:line="240" w:lineRule="auto"/>
              <w:ind w:firstLine="0"/>
            </w:pPr>
            <w:r w:rsidRPr="004D46AC">
              <w:rPr>
                <w:rFonts w:eastAsia="SimSun"/>
                <w:color w:val="000000"/>
              </w:rPr>
              <w:t xml:space="preserve">0.41 </w:t>
            </w:r>
          </w:p>
        </w:tc>
        <w:tc>
          <w:tcPr>
            <w:tcW w:w="901" w:type="dxa"/>
            <w:vAlign w:val="center"/>
          </w:tcPr>
          <w:p w14:paraId="656E29D1" w14:textId="77777777" w:rsidR="007075D9" w:rsidRPr="004D46AC" w:rsidRDefault="007075D9" w:rsidP="002C5F6E">
            <w:pPr>
              <w:spacing w:line="240" w:lineRule="auto"/>
              <w:ind w:firstLine="0"/>
            </w:pPr>
            <w:r w:rsidRPr="004D46AC">
              <w:rPr>
                <w:rFonts w:eastAsia="SimSun"/>
                <w:color w:val="000000"/>
              </w:rPr>
              <w:t xml:space="preserve">0.24 </w:t>
            </w:r>
          </w:p>
        </w:tc>
      </w:tr>
      <w:tr w:rsidR="007075D9" w:rsidRPr="004D46AC" w14:paraId="754A138B" w14:textId="77777777" w:rsidTr="00B518F1">
        <w:tc>
          <w:tcPr>
            <w:tcW w:w="1704" w:type="dxa"/>
            <w:vAlign w:val="center"/>
          </w:tcPr>
          <w:p w14:paraId="1A465F41" w14:textId="77777777" w:rsidR="007075D9" w:rsidRPr="004D46AC" w:rsidRDefault="007075D9" w:rsidP="002C5F6E">
            <w:pPr>
              <w:spacing w:line="240" w:lineRule="auto"/>
              <w:ind w:firstLine="0"/>
            </w:pPr>
            <w:r w:rsidRPr="004D46AC">
              <w:rPr>
                <w:rFonts w:eastAsia="SimSun"/>
                <w:color w:val="000000"/>
              </w:rPr>
              <w:t>D5--D7</w:t>
            </w:r>
          </w:p>
        </w:tc>
        <w:tc>
          <w:tcPr>
            <w:tcW w:w="1098" w:type="dxa"/>
            <w:vAlign w:val="center"/>
          </w:tcPr>
          <w:p w14:paraId="18C0F657" w14:textId="77777777" w:rsidR="007075D9" w:rsidRPr="004D46AC" w:rsidRDefault="007075D9" w:rsidP="002C5F6E">
            <w:pPr>
              <w:spacing w:line="240" w:lineRule="auto"/>
              <w:ind w:firstLine="0"/>
            </w:pPr>
            <w:r w:rsidRPr="004D46AC">
              <w:rPr>
                <w:rFonts w:eastAsia="SimSun"/>
                <w:color w:val="000000"/>
              </w:rPr>
              <w:t xml:space="preserve">0.18 </w:t>
            </w:r>
          </w:p>
        </w:tc>
        <w:tc>
          <w:tcPr>
            <w:tcW w:w="2409" w:type="dxa"/>
            <w:vAlign w:val="center"/>
          </w:tcPr>
          <w:p w14:paraId="3DB72426" w14:textId="77777777" w:rsidR="007075D9" w:rsidRPr="004D46AC" w:rsidRDefault="007075D9" w:rsidP="002C5F6E">
            <w:pPr>
              <w:spacing w:line="240" w:lineRule="auto"/>
              <w:ind w:firstLine="0"/>
            </w:pPr>
            <w:r w:rsidRPr="004D46AC">
              <w:rPr>
                <w:rFonts w:eastAsia="SimSun"/>
                <w:color w:val="000000"/>
              </w:rPr>
              <w:t xml:space="preserve">0.09 </w:t>
            </w:r>
          </w:p>
        </w:tc>
        <w:tc>
          <w:tcPr>
            <w:tcW w:w="2410" w:type="dxa"/>
            <w:vAlign w:val="center"/>
          </w:tcPr>
          <w:p w14:paraId="35F296A7" w14:textId="77777777" w:rsidR="007075D9" w:rsidRPr="004D46AC" w:rsidRDefault="007075D9" w:rsidP="002C5F6E">
            <w:pPr>
              <w:spacing w:line="240" w:lineRule="auto"/>
              <w:ind w:firstLine="0"/>
            </w:pPr>
            <w:r w:rsidRPr="004D46AC">
              <w:rPr>
                <w:rFonts w:eastAsia="SimSun"/>
                <w:color w:val="000000"/>
              </w:rPr>
              <w:t xml:space="preserve">0.26 </w:t>
            </w:r>
          </w:p>
        </w:tc>
        <w:tc>
          <w:tcPr>
            <w:tcW w:w="901" w:type="dxa"/>
            <w:vAlign w:val="center"/>
          </w:tcPr>
          <w:p w14:paraId="368A5E22"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7EB55F1A" w14:textId="77777777" w:rsidTr="00B518F1">
        <w:tc>
          <w:tcPr>
            <w:tcW w:w="1704" w:type="dxa"/>
            <w:vAlign w:val="center"/>
          </w:tcPr>
          <w:p w14:paraId="35DCA97E" w14:textId="77777777" w:rsidR="007075D9" w:rsidRPr="004D46AC" w:rsidRDefault="007075D9" w:rsidP="002C5F6E">
            <w:pPr>
              <w:spacing w:line="240" w:lineRule="auto"/>
              <w:ind w:firstLine="0"/>
            </w:pPr>
            <w:r w:rsidRPr="004D46AC">
              <w:rPr>
                <w:rFonts w:eastAsia="SimSun"/>
                <w:color w:val="000000"/>
              </w:rPr>
              <w:t>M1--M12</w:t>
            </w:r>
          </w:p>
        </w:tc>
        <w:tc>
          <w:tcPr>
            <w:tcW w:w="1098" w:type="dxa"/>
            <w:vAlign w:val="center"/>
          </w:tcPr>
          <w:p w14:paraId="6D5F131F" w14:textId="77777777" w:rsidR="007075D9" w:rsidRPr="004D46AC" w:rsidRDefault="007075D9" w:rsidP="002C5F6E">
            <w:pPr>
              <w:spacing w:line="240" w:lineRule="auto"/>
              <w:ind w:firstLine="0"/>
            </w:pPr>
            <w:r w:rsidRPr="004D46AC">
              <w:rPr>
                <w:rFonts w:eastAsia="SimSun"/>
                <w:color w:val="000000"/>
              </w:rPr>
              <w:t xml:space="preserve">0.17 </w:t>
            </w:r>
          </w:p>
        </w:tc>
        <w:tc>
          <w:tcPr>
            <w:tcW w:w="2409" w:type="dxa"/>
            <w:vAlign w:val="center"/>
          </w:tcPr>
          <w:p w14:paraId="736D8FFC" w14:textId="77777777" w:rsidR="007075D9" w:rsidRPr="004D46AC" w:rsidRDefault="007075D9" w:rsidP="002C5F6E">
            <w:pPr>
              <w:spacing w:line="240" w:lineRule="auto"/>
              <w:ind w:firstLine="0"/>
            </w:pPr>
            <w:r w:rsidRPr="004D46AC">
              <w:rPr>
                <w:rFonts w:eastAsia="SimSun"/>
                <w:color w:val="000000"/>
              </w:rPr>
              <w:t xml:space="preserve">-0.20 </w:t>
            </w:r>
          </w:p>
        </w:tc>
        <w:tc>
          <w:tcPr>
            <w:tcW w:w="2410" w:type="dxa"/>
            <w:vAlign w:val="center"/>
          </w:tcPr>
          <w:p w14:paraId="4D399CF9" w14:textId="77777777" w:rsidR="007075D9" w:rsidRPr="004D46AC" w:rsidRDefault="007075D9" w:rsidP="002C5F6E">
            <w:pPr>
              <w:spacing w:line="240" w:lineRule="auto"/>
              <w:ind w:firstLine="0"/>
            </w:pPr>
            <w:r w:rsidRPr="004D46AC">
              <w:rPr>
                <w:rFonts w:eastAsia="SimSun"/>
                <w:color w:val="000000"/>
              </w:rPr>
              <w:t xml:space="preserve">0.54 </w:t>
            </w:r>
          </w:p>
        </w:tc>
        <w:tc>
          <w:tcPr>
            <w:tcW w:w="901" w:type="dxa"/>
            <w:vAlign w:val="center"/>
          </w:tcPr>
          <w:p w14:paraId="3647E1FC" w14:textId="77777777" w:rsidR="007075D9" w:rsidRPr="004D46AC" w:rsidRDefault="007075D9" w:rsidP="002C5F6E">
            <w:pPr>
              <w:spacing w:line="240" w:lineRule="auto"/>
              <w:ind w:firstLine="0"/>
            </w:pPr>
            <w:r w:rsidRPr="004D46AC">
              <w:rPr>
                <w:rFonts w:eastAsia="SimSun"/>
                <w:color w:val="000000"/>
              </w:rPr>
              <w:t xml:space="preserve">0.33 </w:t>
            </w:r>
          </w:p>
        </w:tc>
      </w:tr>
      <w:tr w:rsidR="007075D9" w:rsidRPr="004D46AC" w14:paraId="0F274CE3" w14:textId="77777777" w:rsidTr="00B518F1">
        <w:tc>
          <w:tcPr>
            <w:tcW w:w="1704" w:type="dxa"/>
            <w:vAlign w:val="center"/>
          </w:tcPr>
          <w:p w14:paraId="0F0E717E" w14:textId="77777777" w:rsidR="007075D9" w:rsidRPr="004D46AC" w:rsidRDefault="007075D9" w:rsidP="002C5F6E">
            <w:pPr>
              <w:spacing w:line="240" w:lineRule="auto"/>
              <w:ind w:firstLine="0"/>
            </w:pPr>
            <w:r w:rsidRPr="004D46AC">
              <w:rPr>
                <w:rFonts w:eastAsia="SimSun"/>
                <w:color w:val="000000"/>
              </w:rPr>
              <w:t>M5--M11</w:t>
            </w:r>
          </w:p>
        </w:tc>
        <w:tc>
          <w:tcPr>
            <w:tcW w:w="1098" w:type="dxa"/>
            <w:vAlign w:val="center"/>
          </w:tcPr>
          <w:p w14:paraId="3824AACB" w14:textId="77777777" w:rsidR="007075D9" w:rsidRPr="004D46AC" w:rsidRDefault="007075D9" w:rsidP="002C5F6E">
            <w:pPr>
              <w:spacing w:line="240" w:lineRule="auto"/>
              <w:ind w:firstLine="0"/>
            </w:pPr>
            <w:r w:rsidRPr="004D46AC">
              <w:rPr>
                <w:rFonts w:eastAsia="SimSun"/>
                <w:color w:val="000000"/>
              </w:rPr>
              <w:t xml:space="preserve">0.17 </w:t>
            </w:r>
          </w:p>
        </w:tc>
        <w:tc>
          <w:tcPr>
            <w:tcW w:w="2409" w:type="dxa"/>
            <w:vAlign w:val="center"/>
          </w:tcPr>
          <w:p w14:paraId="71B8F42D" w14:textId="77777777" w:rsidR="007075D9" w:rsidRPr="004D46AC" w:rsidRDefault="007075D9" w:rsidP="002C5F6E">
            <w:pPr>
              <w:spacing w:line="240" w:lineRule="auto"/>
              <w:ind w:firstLine="0"/>
            </w:pPr>
            <w:r w:rsidRPr="004D46AC">
              <w:rPr>
                <w:rFonts w:eastAsia="SimSun"/>
                <w:color w:val="000000"/>
              </w:rPr>
              <w:t xml:space="preserve">-0.20 </w:t>
            </w:r>
          </w:p>
        </w:tc>
        <w:tc>
          <w:tcPr>
            <w:tcW w:w="2410" w:type="dxa"/>
            <w:vAlign w:val="center"/>
          </w:tcPr>
          <w:p w14:paraId="5F7C58A8" w14:textId="77777777" w:rsidR="007075D9" w:rsidRPr="004D46AC" w:rsidRDefault="007075D9" w:rsidP="002C5F6E">
            <w:pPr>
              <w:spacing w:line="240" w:lineRule="auto"/>
              <w:ind w:firstLine="0"/>
            </w:pPr>
            <w:r w:rsidRPr="004D46AC">
              <w:rPr>
                <w:rFonts w:eastAsia="SimSun"/>
                <w:color w:val="000000"/>
              </w:rPr>
              <w:t xml:space="preserve">0.54 </w:t>
            </w:r>
          </w:p>
        </w:tc>
        <w:tc>
          <w:tcPr>
            <w:tcW w:w="901" w:type="dxa"/>
            <w:vAlign w:val="center"/>
          </w:tcPr>
          <w:p w14:paraId="40621E0A" w14:textId="77777777" w:rsidR="007075D9" w:rsidRPr="004D46AC" w:rsidRDefault="007075D9" w:rsidP="002C5F6E">
            <w:pPr>
              <w:spacing w:line="240" w:lineRule="auto"/>
              <w:ind w:firstLine="0"/>
            </w:pPr>
            <w:r w:rsidRPr="004D46AC">
              <w:rPr>
                <w:rFonts w:eastAsia="SimSun"/>
                <w:color w:val="000000"/>
              </w:rPr>
              <w:t xml:space="preserve">0.32 </w:t>
            </w:r>
          </w:p>
        </w:tc>
      </w:tr>
      <w:tr w:rsidR="007075D9" w:rsidRPr="004D46AC" w14:paraId="7F99E6C8" w14:textId="77777777" w:rsidTr="00B518F1">
        <w:tc>
          <w:tcPr>
            <w:tcW w:w="1704" w:type="dxa"/>
            <w:vAlign w:val="center"/>
          </w:tcPr>
          <w:p w14:paraId="71BD5F7A" w14:textId="77777777" w:rsidR="007075D9" w:rsidRPr="004D46AC" w:rsidRDefault="007075D9" w:rsidP="002C5F6E">
            <w:pPr>
              <w:spacing w:line="240" w:lineRule="auto"/>
              <w:ind w:firstLine="0"/>
            </w:pPr>
            <w:r w:rsidRPr="004D46AC">
              <w:rPr>
                <w:rFonts w:eastAsia="SimSun"/>
                <w:color w:val="000000"/>
              </w:rPr>
              <w:t>M3--M6</w:t>
            </w:r>
          </w:p>
        </w:tc>
        <w:tc>
          <w:tcPr>
            <w:tcW w:w="1098" w:type="dxa"/>
            <w:vAlign w:val="center"/>
          </w:tcPr>
          <w:p w14:paraId="0904C24F" w14:textId="77777777" w:rsidR="007075D9" w:rsidRPr="004D46AC" w:rsidRDefault="007075D9" w:rsidP="002C5F6E">
            <w:pPr>
              <w:spacing w:line="240" w:lineRule="auto"/>
              <w:ind w:firstLine="0"/>
            </w:pPr>
            <w:r w:rsidRPr="004D46AC">
              <w:rPr>
                <w:rFonts w:eastAsia="SimSun"/>
                <w:color w:val="000000"/>
              </w:rPr>
              <w:t xml:space="preserve">0.17 </w:t>
            </w:r>
          </w:p>
        </w:tc>
        <w:tc>
          <w:tcPr>
            <w:tcW w:w="2409" w:type="dxa"/>
            <w:vAlign w:val="center"/>
          </w:tcPr>
          <w:p w14:paraId="169F1543"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6FFF6688" w14:textId="77777777" w:rsidR="007075D9" w:rsidRPr="004D46AC" w:rsidRDefault="007075D9" w:rsidP="002C5F6E">
            <w:pPr>
              <w:spacing w:line="240" w:lineRule="auto"/>
              <w:ind w:firstLine="0"/>
            </w:pPr>
            <w:r w:rsidRPr="004D46AC">
              <w:rPr>
                <w:rFonts w:eastAsia="SimSun"/>
                <w:color w:val="000000"/>
              </w:rPr>
              <w:t xml:space="preserve">0.45 </w:t>
            </w:r>
          </w:p>
        </w:tc>
        <w:tc>
          <w:tcPr>
            <w:tcW w:w="901" w:type="dxa"/>
            <w:vAlign w:val="center"/>
          </w:tcPr>
          <w:p w14:paraId="340D5C47" w14:textId="77777777" w:rsidR="007075D9" w:rsidRPr="004D46AC" w:rsidRDefault="007075D9" w:rsidP="002C5F6E">
            <w:pPr>
              <w:spacing w:line="240" w:lineRule="auto"/>
              <w:ind w:firstLine="0"/>
            </w:pPr>
            <w:r w:rsidRPr="004D46AC">
              <w:rPr>
                <w:rFonts w:eastAsia="SimSun"/>
                <w:color w:val="000000"/>
              </w:rPr>
              <w:t xml:space="preserve">0.32 </w:t>
            </w:r>
          </w:p>
        </w:tc>
      </w:tr>
      <w:tr w:rsidR="007075D9" w:rsidRPr="004D46AC" w14:paraId="63C3F332" w14:textId="77777777" w:rsidTr="00B518F1">
        <w:tc>
          <w:tcPr>
            <w:tcW w:w="1704" w:type="dxa"/>
            <w:vAlign w:val="center"/>
          </w:tcPr>
          <w:p w14:paraId="4E378270" w14:textId="77777777" w:rsidR="007075D9" w:rsidRPr="004D46AC" w:rsidRDefault="007075D9" w:rsidP="002C5F6E">
            <w:pPr>
              <w:spacing w:line="240" w:lineRule="auto"/>
              <w:ind w:firstLine="0"/>
            </w:pPr>
            <w:r w:rsidRPr="004D46AC">
              <w:rPr>
                <w:rFonts w:eastAsia="SimSun"/>
                <w:color w:val="000000"/>
              </w:rPr>
              <w:t>D5--D6</w:t>
            </w:r>
          </w:p>
        </w:tc>
        <w:tc>
          <w:tcPr>
            <w:tcW w:w="1098" w:type="dxa"/>
            <w:vAlign w:val="center"/>
          </w:tcPr>
          <w:p w14:paraId="4293DF39" w14:textId="77777777" w:rsidR="007075D9" w:rsidRPr="004D46AC" w:rsidRDefault="007075D9" w:rsidP="002C5F6E">
            <w:pPr>
              <w:spacing w:line="240" w:lineRule="auto"/>
              <w:ind w:firstLine="0"/>
            </w:pPr>
            <w:r w:rsidRPr="004D46AC">
              <w:rPr>
                <w:rFonts w:eastAsia="SimSun"/>
                <w:color w:val="000000"/>
              </w:rPr>
              <w:t xml:space="preserve">0.16 </w:t>
            </w:r>
          </w:p>
        </w:tc>
        <w:tc>
          <w:tcPr>
            <w:tcW w:w="2409" w:type="dxa"/>
            <w:vAlign w:val="center"/>
          </w:tcPr>
          <w:p w14:paraId="3DE7740F"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735C41EE" w14:textId="77777777" w:rsidR="007075D9" w:rsidRPr="004D46AC" w:rsidRDefault="007075D9" w:rsidP="002C5F6E">
            <w:pPr>
              <w:spacing w:line="240" w:lineRule="auto"/>
              <w:ind w:firstLine="0"/>
            </w:pPr>
            <w:r w:rsidRPr="004D46AC">
              <w:rPr>
                <w:rFonts w:eastAsia="SimSun"/>
                <w:color w:val="000000"/>
              </w:rPr>
              <w:t xml:space="preserve">0.25 </w:t>
            </w:r>
          </w:p>
        </w:tc>
        <w:tc>
          <w:tcPr>
            <w:tcW w:w="901" w:type="dxa"/>
            <w:vAlign w:val="center"/>
          </w:tcPr>
          <w:p w14:paraId="355A498A"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7D49B7A1" w14:textId="77777777" w:rsidTr="00B518F1">
        <w:tc>
          <w:tcPr>
            <w:tcW w:w="1704" w:type="dxa"/>
            <w:vAlign w:val="center"/>
          </w:tcPr>
          <w:p w14:paraId="6F55AA9D" w14:textId="77777777" w:rsidR="007075D9" w:rsidRPr="004D46AC" w:rsidRDefault="007075D9" w:rsidP="002C5F6E">
            <w:pPr>
              <w:spacing w:line="240" w:lineRule="auto"/>
              <w:ind w:firstLine="0"/>
            </w:pPr>
            <w:r w:rsidRPr="004D46AC">
              <w:rPr>
                <w:rFonts w:eastAsia="SimSun"/>
                <w:color w:val="000000"/>
              </w:rPr>
              <w:t>EI--M7</w:t>
            </w:r>
          </w:p>
        </w:tc>
        <w:tc>
          <w:tcPr>
            <w:tcW w:w="1098" w:type="dxa"/>
            <w:vAlign w:val="center"/>
          </w:tcPr>
          <w:p w14:paraId="447F46FD"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61D33EC9" w14:textId="77777777" w:rsidR="007075D9" w:rsidRPr="004D46AC" w:rsidRDefault="007075D9" w:rsidP="002C5F6E">
            <w:pPr>
              <w:spacing w:line="240" w:lineRule="auto"/>
              <w:ind w:firstLine="0"/>
            </w:pPr>
            <w:r w:rsidRPr="004D46AC">
              <w:rPr>
                <w:rFonts w:eastAsia="SimSun"/>
                <w:color w:val="000000"/>
              </w:rPr>
              <w:t xml:space="preserve">0.00 </w:t>
            </w:r>
          </w:p>
        </w:tc>
        <w:tc>
          <w:tcPr>
            <w:tcW w:w="2410" w:type="dxa"/>
            <w:vAlign w:val="center"/>
          </w:tcPr>
          <w:p w14:paraId="001C8DEC" w14:textId="77777777" w:rsidR="007075D9" w:rsidRPr="004D46AC" w:rsidRDefault="007075D9" w:rsidP="002C5F6E">
            <w:pPr>
              <w:spacing w:line="240" w:lineRule="auto"/>
              <w:ind w:firstLine="0"/>
            </w:pPr>
            <w:r w:rsidRPr="004D46AC">
              <w:rPr>
                <w:rFonts w:eastAsia="SimSun"/>
                <w:color w:val="000000"/>
              </w:rPr>
              <w:t xml:space="preserve">0.30 </w:t>
            </w:r>
          </w:p>
        </w:tc>
        <w:tc>
          <w:tcPr>
            <w:tcW w:w="901" w:type="dxa"/>
            <w:vAlign w:val="center"/>
          </w:tcPr>
          <w:p w14:paraId="627D5599" w14:textId="77777777" w:rsidR="007075D9" w:rsidRPr="004D46AC" w:rsidRDefault="007075D9" w:rsidP="002C5F6E">
            <w:pPr>
              <w:spacing w:line="240" w:lineRule="auto"/>
              <w:ind w:firstLine="0"/>
            </w:pPr>
            <w:r w:rsidRPr="004D46AC">
              <w:rPr>
                <w:rFonts w:eastAsia="SimSun"/>
                <w:color w:val="000000"/>
              </w:rPr>
              <w:t xml:space="preserve">0.13 </w:t>
            </w:r>
          </w:p>
        </w:tc>
      </w:tr>
      <w:tr w:rsidR="007075D9" w:rsidRPr="004D46AC" w14:paraId="3DBF9F8E" w14:textId="77777777" w:rsidTr="00B518F1">
        <w:tc>
          <w:tcPr>
            <w:tcW w:w="1704" w:type="dxa"/>
            <w:vAlign w:val="center"/>
          </w:tcPr>
          <w:p w14:paraId="10169D0B" w14:textId="77777777" w:rsidR="007075D9" w:rsidRPr="004D46AC" w:rsidRDefault="007075D9" w:rsidP="002C5F6E">
            <w:pPr>
              <w:spacing w:line="240" w:lineRule="auto"/>
              <w:ind w:firstLine="0"/>
            </w:pPr>
            <w:r w:rsidRPr="004D46AC">
              <w:rPr>
                <w:rFonts w:eastAsia="SimSun"/>
                <w:color w:val="000000"/>
              </w:rPr>
              <w:t>M10--P2</w:t>
            </w:r>
          </w:p>
        </w:tc>
        <w:tc>
          <w:tcPr>
            <w:tcW w:w="1098" w:type="dxa"/>
            <w:vAlign w:val="center"/>
          </w:tcPr>
          <w:p w14:paraId="4E9364B8"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078BC9C1" w14:textId="77777777" w:rsidR="007075D9" w:rsidRPr="004D46AC" w:rsidRDefault="007075D9" w:rsidP="002C5F6E">
            <w:pPr>
              <w:spacing w:line="240" w:lineRule="auto"/>
              <w:ind w:firstLine="0"/>
            </w:pPr>
            <w:r w:rsidRPr="004D46AC">
              <w:rPr>
                <w:rFonts w:eastAsia="SimSun"/>
                <w:color w:val="000000"/>
              </w:rPr>
              <w:t xml:space="preserve">-0.40 </w:t>
            </w:r>
          </w:p>
        </w:tc>
        <w:tc>
          <w:tcPr>
            <w:tcW w:w="2410" w:type="dxa"/>
            <w:vAlign w:val="center"/>
          </w:tcPr>
          <w:p w14:paraId="18C79B9A" w14:textId="77777777" w:rsidR="007075D9" w:rsidRPr="004D46AC" w:rsidRDefault="007075D9" w:rsidP="002C5F6E">
            <w:pPr>
              <w:spacing w:line="240" w:lineRule="auto"/>
              <w:ind w:firstLine="0"/>
            </w:pPr>
            <w:r w:rsidRPr="004D46AC">
              <w:rPr>
                <w:rFonts w:eastAsia="SimSun"/>
                <w:color w:val="000000"/>
              </w:rPr>
              <w:t xml:space="preserve">0.70 </w:t>
            </w:r>
          </w:p>
        </w:tc>
        <w:tc>
          <w:tcPr>
            <w:tcW w:w="901" w:type="dxa"/>
            <w:vAlign w:val="center"/>
          </w:tcPr>
          <w:p w14:paraId="3CA9160C" w14:textId="77777777" w:rsidR="007075D9" w:rsidRPr="004D46AC" w:rsidRDefault="007075D9" w:rsidP="002C5F6E">
            <w:pPr>
              <w:spacing w:line="240" w:lineRule="auto"/>
              <w:ind w:firstLine="0"/>
            </w:pPr>
            <w:r w:rsidRPr="004D46AC">
              <w:rPr>
                <w:rFonts w:eastAsia="SimSun"/>
                <w:color w:val="000000"/>
              </w:rPr>
              <w:t xml:space="preserve">0.51 </w:t>
            </w:r>
          </w:p>
        </w:tc>
      </w:tr>
      <w:tr w:rsidR="007075D9" w:rsidRPr="004D46AC" w14:paraId="0FB847EE" w14:textId="77777777" w:rsidTr="00B518F1">
        <w:tc>
          <w:tcPr>
            <w:tcW w:w="1704" w:type="dxa"/>
            <w:vAlign w:val="center"/>
          </w:tcPr>
          <w:p w14:paraId="7B58D237" w14:textId="77777777" w:rsidR="007075D9" w:rsidRPr="004D46AC" w:rsidRDefault="007075D9" w:rsidP="002C5F6E">
            <w:pPr>
              <w:spacing w:line="240" w:lineRule="auto"/>
              <w:ind w:firstLine="0"/>
            </w:pPr>
            <w:r w:rsidRPr="004D46AC">
              <w:rPr>
                <w:rFonts w:eastAsia="SimSun"/>
                <w:color w:val="000000"/>
              </w:rPr>
              <w:t>PS--M7</w:t>
            </w:r>
          </w:p>
        </w:tc>
        <w:tc>
          <w:tcPr>
            <w:tcW w:w="1098" w:type="dxa"/>
            <w:vAlign w:val="center"/>
          </w:tcPr>
          <w:p w14:paraId="19857AB3"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30C0DC1A"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71C89853" w14:textId="77777777" w:rsidR="007075D9" w:rsidRPr="004D46AC" w:rsidRDefault="007075D9" w:rsidP="002C5F6E">
            <w:pPr>
              <w:spacing w:line="240" w:lineRule="auto"/>
              <w:ind w:firstLine="0"/>
            </w:pPr>
            <w:r w:rsidRPr="004D46AC">
              <w:rPr>
                <w:rFonts w:eastAsia="SimSun"/>
                <w:color w:val="000000"/>
              </w:rPr>
              <w:t xml:space="preserve">0.32 </w:t>
            </w:r>
          </w:p>
        </w:tc>
        <w:tc>
          <w:tcPr>
            <w:tcW w:w="901" w:type="dxa"/>
            <w:vAlign w:val="center"/>
          </w:tcPr>
          <w:p w14:paraId="3788A1E9" w14:textId="77777777" w:rsidR="007075D9" w:rsidRPr="004D46AC" w:rsidRDefault="007075D9" w:rsidP="002C5F6E">
            <w:pPr>
              <w:spacing w:line="240" w:lineRule="auto"/>
              <w:ind w:firstLine="0"/>
            </w:pPr>
            <w:r w:rsidRPr="004D46AC">
              <w:rPr>
                <w:rFonts w:eastAsia="SimSun"/>
                <w:color w:val="000000"/>
              </w:rPr>
              <w:t xml:space="preserve">0.23 </w:t>
            </w:r>
          </w:p>
        </w:tc>
      </w:tr>
      <w:tr w:rsidR="007075D9" w:rsidRPr="004D46AC" w14:paraId="186D9A83" w14:textId="77777777" w:rsidTr="00B518F1">
        <w:tc>
          <w:tcPr>
            <w:tcW w:w="1704" w:type="dxa"/>
            <w:vAlign w:val="center"/>
          </w:tcPr>
          <w:p w14:paraId="2BAC3899" w14:textId="77777777" w:rsidR="007075D9" w:rsidRPr="004D46AC" w:rsidRDefault="007075D9" w:rsidP="002C5F6E">
            <w:pPr>
              <w:spacing w:line="240" w:lineRule="auto"/>
              <w:ind w:firstLine="0"/>
            </w:pPr>
            <w:r w:rsidRPr="004D46AC">
              <w:rPr>
                <w:rFonts w:eastAsia="SimSun"/>
                <w:color w:val="000000"/>
              </w:rPr>
              <w:t>PS--M4</w:t>
            </w:r>
          </w:p>
        </w:tc>
        <w:tc>
          <w:tcPr>
            <w:tcW w:w="1098" w:type="dxa"/>
            <w:vAlign w:val="center"/>
          </w:tcPr>
          <w:p w14:paraId="090415D5" w14:textId="77777777" w:rsidR="007075D9" w:rsidRPr="004D46AC" w:rsidRDefault="007075D9" w:rsidP="002C5F6E">
            <w:pPr>
              <w:spacing w:line="240" w:lineRule="auto"/>
              <w:ind w:firstLine="0"/>
            </w:pPr>
            <w:r w:rsidRPr="004D46AC">
              <w:rPr>
                <w:rFonts w:eastAsia="SimSun"/>
                <w:color w:val="000000"/>
              </w:rPr>
              <w:t xml:space="preserve">0.15 </w:t>
            </w:r>
          </w:p>
        </w:tc>
        <w:tc>
          <w:tcPr>
            <w:tcW w:w="2409" w:type="dxa"/>
            <w:vAlign w:val="center"/>
          </w:tcPr>
          <w:p w14:paraId="7CC65475"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5FA302AA" w14:textId="77777777" w:rsidR="007075D9" w:rsidRPr="004D46AC" w:rsidRDefault="007075D9" w:rsidP="002C5F6E">
            <w:pPr>
              <w:spacing w:line="240" w:lineRule="auto"/>
              <w:ind w:firstLine="0"/>
            </w:pPr>
            <w:r w:rsidRPr="004D46AC">
              <w:rPr>
                <w:rFonts w:eastAsia="SimSun"/>
                <w:color w:val="000000"/>
              </w:rPr>
              <w:t xml:space="preserve">0.32 </w:t>
            </w:r>
          </w:p>
        </w:tc>
        <w:tc>
          <w:tcPr>
            <w:tcW w:w="901" w:type="dxa"/>
            <w:vAlign w:val="center"/>
          </w:tcPr>
          <w:p w14:paraId="0BAA1ED5" w14:textId="77777777" w:rsidR="007075D9" w:rsidRPr="004D46AC" w:rsidRDefault="007075D9" w:rsidP="002C5F6E">
            <w:pPr>
              <w:spacing w:line="240" w:lineRule="auto"/>
              <w:ind w:firstLine="0"/>
            </w:pPr>
            <w:r w:rsidRPr="004D46AC">
              <w:rPr>
                <w:rFonts w:eastAsia="SimSun"/>
                <w:color w:val="000000"/>
              </w:rPr>
              <w:t xml:space="preserve">0.16 </w:t>
            </w:r>
          </w:p>
        </w:tc>
      </w:tr>
      <w:tr w:rsidR="007075D9" w:rsidRPr="004D46AC" w14:paraId="06AADE46" w14:textId="77777777" w:rsidTr="00B518F1">
        <w:tc>
          <w:tcPr>
            <w:tcW w:w="1704" w:type="dxa"/>
            <w:vAlign w:val="center"/>
          </w:tcPr>
          <w:p w14:paraId="3FCD51DB" w14:textId="77777777" w:rsidR="007075D9" w:rsidRPr="004D46AC" w:rsidRDefault="007075D9" w:rsidP="002C5F6E">
            <w:pPr>
              <w:spacing w:line="240" w:lineRule="auto"/>
              <w:ind w:firstLine="0"/>
            </w:pPr>
            <w:r w:rsidRPr="004D46AC">
              <w:rPr>
                <w:rFonts w:eastAsia="SimSun"/>
                <w:color w:val="000000"/>
              </w:rPr>
              <w:t>D8--P2</w:t>
            </w:r>
          </w:p>
        </w:tc>
        <w:tc>
          <w:tcPr>
            <w:tcW w:w="1098" w:type="dxa"/>
            <w:vAlign w:val="center"/>
          </w:tcPr>
          <w:p w14:paraId="42CA163A" w14:textId="77777777" w:rsidR="007075D9" w:rsidRPr="004D46AC" w:rsidRDefault="007075D9" w:rsidP="002C5F6E">
            <w:pPr>
              <w:spacing w:line="240" w:lineRule="auto"/>
              <w:ind w:firstLine="0"/>
            </w:pPr>
            <w:r w:rsidRPr="004D46AC">
              <w:rPr>
                <w:rFonts w:eastAsia="SimSun"/>
                <w:color w:val="000000"/>
              </w:rPr>
              <w:t xml:space="preserve">0.14 </w:t>
            </w:r>
          </w:p>
        </w:tc>
        <w:tc>
          <w:tcPr>
            <w:tcW w:w="2409" w:type="dxa"/>
            <w:vAlign w:val="center"/>
          </w:tcPr>
          <w:p w14:paraId="5DC3767A"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2EA50422" w14:textId="77777777" w:rsidR="007075D9" w:rsidRPr="004D46AC" w:rsidRDefault="007075D9" w:rsidP="002C5F6E">
            <w:pPr>
              <w:spacing w:line="240" w:lineRule="auto"/>
              <w:ind w:firstLine="0"/>
            </w:pPr>
            <w:r w:rsidRPr="004D46AC">
              <w:rPr>
                <w:rFonts w:eastAsia="SimSun"/>
                <w:color w:val="000000"/>
              </w:rPr>
              <w:t xml:space="preserve">0.39 </w:t>
            </w:r>
          </w:p>
        </w:tc>
        <w:tc>
          <w:tcPr>
            <w:tcW w:w="901" w:type="dxa"/>
            <w:vAlign w:val="center"/>
          </w:tcPr>
          <w:p w14:paraId="0B9C4FB7" w14:textId="77777777" w:rsidR="007075D9" w:rsidRPr="004D46AC" w:rsidRDefault="007075D9" w:rsidP="002C5F6E">
            <w:pPr>
              <w:spacing w:line="240" w:lineRule="auto"/>
              <w:ind w:firstLine="0"/>
            </w:pPr>
            <w:r w:rsidRPr="004D46AC">
              <w:rPr>
                <w:rFonts w:eastAsia="SimSun"/>
                <w:color w:val="000000"/>
              </w:rPr>
              <w:t xml:space="preserve">0.41 </w:t>
            </w:r>
          </w:p>
        </w:tc>
      </w:tr>
      <w:tr w:rsidR="007075D9" w:rsidRPr="004D46AC" w14:paraId="0C6F097F" w14:textId="77777777" w:rsidTr="00B518F1">
        <w:tc>
          <w:tcPr>
            <w:tcW w:w="1704" w:type="dxa"/>
            <w:vAlign w:val="center"/>
          </w:tcPr>
          <w:p w14:paraId="641DDF25" w14:textId="77777777" w:rsidR="007075D9" w:rsidRPr="004D46AC" w:rsidRDefault="007075D9" w:rsidP="002C5F6E">
            <w:pPr>
              <w:spacing w:line="240" w:lineRule="auto"/>
              <w:ind w:firstLine="0"/>
            </w:pPr>
            <w:r w:rsidRPr="004D46AC">
              <w:rPr>
                <w:rFonts w:eastAsia="SimSun"/>
                <w:color w:val="000000"/>
              </w:rPr>
              <w:t>D8--M1</w:t>
            </w:r>
          </w:p>
        </w:tc>
        <w:tc>
          <w:tcPr>
            <w:tcW w:w="1098" w:type="dxa"/>
            <w:vAlign w:val="center"/>
          </w:tcPr>
          <w:p w14:paraId="690685BA" w14:textId="77777777" w:rsidR="007075D9" w:rsidRPr="004D46AC" w:rsidRDefault="007075D9" w:rsidP="002C5F6E">
            <w:pPr>
              <w:spacing w:line="240" w:lineRule="auto"/>
              <w:ind w:firstLine="0"/>
            </w:pPr>
            <w:r w:rsidRPr="004D46AC">
              <w:rPr>
                <w:rFonts w:eastAsia="SimSun"/>
                <w:color w:val="000000"/>
              </w:rPr>
              <w:t xml:space="preserve">0.14 </w:t>
            </w:r>
          </w:p>
        </w:tc>
        <w:tc>
          <w:tcPr>
            <w:tcW w:w="2409" w:type="dxa"/>
            <w:vAlign w:val="center"/>
          </w:tcPr>
          <w:p w14:paraId="3A451101"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06AA2471" w14:textId="77777777" w:rsidR="007075D9" w:rsidRPr="004D46AC" w:rsidRDefault="007075D9" w:rsidP="002C5F6E">
            <w:pPr>
              <w:spacing w:line="240" w:lineRule="auto"/>
              <w:ind w:firstLine="0"/>
            </w:pPr>
            <w:r w:rsidRPr="004D46AC">
              <w:rPr>
                <w:rFonts w:eastAsia="SimSun"/>
                <w:color w:val="000000"/>
              </w:rPr>
              <w:t xml:space="preserve">0.33 </w:t>
            </w:r>
          </w:p>
        </w:tc>
        <w:tc>
          <w:tcPr>
            <w:tcW w:w="901" w:type="dxa"/>
            <w:vAlign w:val="center"/>
          </w:tcPr>
          <w:p w14:paraId="4844A4B2" w14:textId="77777777" w:rsidR="007075D9" w:rsidRPr="004D46AC" w:rsidRDefault="007075D9" w:rsidP="002C5F6E">
            <w:pPr>
              <w:spacing w:line="240" w:lineRule="auto"/>
              <w:ind w:firstLine="0"/>
            </w:pPr>
            <w:r w:rsidRPr="004D46AC">
              <w:rPr>
                <w:rFonts w:eastAsia="SimSun"/>
                <w:color w:val="000000"/>
              </w:rPr>
              <w:t xml:space="preserve">0.30 </w:t>
            </w:r>
          </w:p>
        </w:tc>
      </w:tr>
      <w:tr w:rsidR="007075D9" w:rsidRPr="004D46AC" w14:paraId="15D40BC9" w14:textId="77777777" w:rsidTr="00B518F1">
        <w:tc>
          <w:tcPr>
            <w:tcW w:w="1704" w:type="dxa"/>
            <w:vAlign w:val="center"/>
          </w:tcPr>
          <w:p w14:paraId="1ACC15E5" w14:textId="77777777" w:rsidR="007075D9" w:rsidRPr="004D46AC" w:rsidRDefault="007075D9" w:rsidP="002C5F6E">
            <w:pPr>
              <w:spacing w:line="240" w:lineRule="auto"/>
              <w:ind w:firstLine="0"/>
            </w:pPr>
            <w:r w:rsidRPr="004D46AC">
              <w:rPr>
                <w:rFonts w:eastAsia="SimSun"/>
                <w:color w:val="000000"/>
              </w:rPr>
              <w:t>D6--D7</w:t>
            </w:r>
          </w:p>
        </w:tc>
        <w:tc>
          <w:tcPr>
            <w:tcW w:w="1098" w:type="dxa"/>
            <w:vAlign w:val="center"/>
          </w:tcPr>
          <w:p w14:paraId="2270B3FB" w14:textId="77777777" w:rsidR="007075D9" w:rsidRPr="004D46AC" w:rsidRDefault="007075D9" w:rsidP="002C5F6E">
            <w:pPr>
              <w:spacing w:line="240" w:lineRule="auto"/>
              <w:ind w:firstLine="0"/>
            </w:pPr>
            <w:r w:rsidRPr="004D46AC">
              <w:rPr>
                <w:rFonts w:eastAsia="SimSun"/>
                <w:color w:val="000000"/>
              </w:rPr>
              <w:t xml:space="preserve">0.14 </w:t>
            </w:r>
          </w:p>
        </w:tc>
        <w:tc>
          <w:tcPr>
            <w:tcW w:w="2409" w:type="dxa"/>
            <w:vAlign w:val="center"/>
          </w:tcPr>
          <w:p w14:paraId="58B56A17"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42B3E041"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09AEE6AC"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0260F395" w14:textId="77777777" w:rsidTr="00B518F1">
        <w:tc>
          <w:tcPr>
            <w:tcW w:w="1704" w:type="dxa"/>
            <w:vAlign w:val="center"/>
          </w:tcPr>
          <w:p w14:paraId="02D4D373" w14:textId="77777777" w:rsidR="007075D9" w:rsidRPr="004D46AC" w:rsidRDefault="007075D9" w:rsidP="002C5F6E">
            <w:pPr>
              <w:spacing w:line="240" w:lineRule="auto"/>
              <w:ind w:firstLine="0"/>
            </w:pPr>
            <w:r w:rsidRPr="004D46AC">
              <w:rPr>
                <w:rFonts w:eastAsia="SimSun"/>
                <w:color w:val="000000"/>
              </w:rPr>
              <w:t>D1--D7</w:t>
            </w:r>
          </w:p>
        </w:tc>
        <w:tc>
          <w:tcPr>
            <w:tcW w:w="1098" w:type="dxa"/>
            <w:vAlign w:val="center"/>
          </w:tcPr>
          <w:p w14:paraId="39C08372" w14:textId="77777777" w:rsidR="007075D9" w:rsidRPr="004D46AC" w:rsidRDefault="007075D9" w:rsidP="002C5F6E">
            <w:pPr>
              <w:spacing w:line="240" w:lineRule="auto"/>
              <w:ind w:firstLine="0"/>
            </w:pPr>
            <w:r w:rsidRPr="004D46AC">
              <w:rPr>
                <w:rFonts w:eastAsia="SimSun"/>
                <w:color w:val="000000"/>
              </w:rPr>
              <w:t xml:space="preserve">0.14 </w:t>
            </w:r>
          </w:p>
        </w:tc>
        <w:tc>
          <w:tcPr>
            <w:tcW w:w="2409" w:type="dxa"/>
            <w:vAlign w:val="center"/>
          </w:tcPr>
          <w:p w14:paraId="297F8DC0"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1D6DC75C"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1785C846" w14:textId="77777777" w:rsidR="007075D9" w:rsidRPr="004D46AC" w:rsidRDefault="007075D9" w:rsidP="002C5F6E">
            <w:pPr>
              <w:spacing w:line="240" w:lineRule="auto"/>
              <w:ind w:firstLine="0"/>
            </w:pPr>
            <w:r w:rsidRPr="004D46AC">
              <w:rPr>
                <w:rFonts w:eastAsia="SimSun"/>
                <w:color w:val="000000"/>
              </w:rPr>
              <w:t xml:space="preserve">0.00 </w:t>
            </w:r>
          </w:p>
        </w:tc>
      </w:tr>
      <w:tr w:rsidR="007075D9" w:rsidRPr="004D46AC" w14:paraId="33B28608" w14:textId="77777777" w:rsidTr="00B518F1">
        <w:tc>
          <w:tcPr>
            <w:tcW w:w="1704" w:type="dxa"/>
            <w:vAlign w:val="center"/>
          </w:tcPr>
          <w:p w14:paraId="5C6D5FE9" w14:textId="77777777" w:rsidR="007075D9" w:rsidRPr="004D46AC" w:rsidRDefault="007075D9" w:rsidP="002C5F6E">
            <w:pPr>
              <w:spacing w:line="240" w:lineRule="auto"/>
              <w:ind w:firstLine="0"/>
            </w:pPr>
            <w:r w:rsidRPr="004D46AC">
              <w:rPr>
                <w:rFonts w:eastAsia="SimSun"/>
                <w:color w:val="000000"/>
              </w:rPr>
              <w:t>M4--M5</w:t>
            </w:r>
          </w:p>
        </w:tc>
        <w:tc>
          <w:tcPr>
            <w:tcW w:w="1098" w:type="dxa"/>
            <w:vAlign w:val="center"/>
          </w:tcPr>
          <w:p w14:paraId="6B05641B" w14:textId="77777777" w:rsidR="007075D9" w:rsidRPr="004D46AC" w:rsidRDefault="007075D9" w:rsidP="002C5F6E">
            <w:pPr>
              <w:spacing w:line="240" w:lineRule="auto"/>
              <w:ind w:firstLine="0"/>
            </w:pPr>
            <w:r w:rsidRPr="004D46AC">
              <w:rPr>
                <w:rFonts w:eastAsia="SimSun"/>
                <w:color w:val="000000"/>
              </w:rPr>
              <w:t xml:space="preserve">0.14 </w:t>
            </w:r>
          </w:p>
        </w:tc>
        <w:tc>
          <w:tcPr>
            <w:tcW w:w="2409" w:type="dxa"/>
            <w:vAlign w:val="center"/>
          </w:tcPr>
          <w:p w14:paraId="48DE5752" w14:textId="77777777" w:rsidR="007075D9" w:rsidRPr="004D46AC" w:rsidRDefault="007075D9" w:rsidP="002C5F6E">
            <w:pPr>
              <w:spacing w:line="240" w:lineRule="auto"/>
              <w:ind w:firstLine="0"/>
            </w:pPr>
            <w:r w:rsidRPr="004D46AC">
              <w:rPr>
                <w:rFonts w:eastAsia="SimSun"/>
                <w:color w:val="000000"/>
              </w:rPr>
              <w:t xml:space="preserve">-0.17 </w:t>
            </w:r>
          </w:p>
        </w:tc>
        <w:tc>
          <w:tcPr>
            <w:tcW w:w="2410" w:type="dxa"/>
            <w:vAlign w:val="center"/>
          </w:tcPr>
          <w:p w14:paraId="14C8B3D7" w14:textId="77777777" w:rsidR="007075D9" w:rsidRPr="004D46AC" w:rsidRDefault="007075D9" w:rsidP="002C5F6E">
            <w:pPr>
              <w:spacing w:line="240" w:lineRule="auto"/>
              <w:ind w:firstLine="0"/>
            </w:pPr>
            <w:r w:rsidRPr="004D46AC">
              <w:rPr>
                <w:rFonts w:eastAsia="SimSun"/>
                <w:color w:val="000000"/>
              </w:rPr>
              <w:t xml:space="preserve">0.45 </w:t>
            </w:r>
          </w:p>
        </w:tc>
        <w:tc>
          <w:tcPr>
            <w:tcW w:w="901" w:type="dxa"/>
            <w:vAlign w:val="center"/>
          </w:tcPr>
          <w:p w14:paraId="72A80AC8" w14:textId="77777777" w:rsidR="007075D9" w:rsidRPr="004D46AC" w:rsidRDefault="007075D9" w:rsidP="002C5F6E">
            <w:pPr>
              <w:spacing w:line="240" w:lineRule="auto"/>
              <w:ind w:firstLine="0"/>
            </w:pPr>
            <w:r w:rsidRPr="004D46AC">
              <w:rPr>
                <w:rFonts w:eastAsia="SimSun"/>
                <w:color w:val="000000"/>
              </w:rPr>
              <w:t xml:space="preserve">0.32 </w:t>
            </w:r>
          </w:p>
        </w:tc>
      </w:tr>
      <w:tr w:rsidR="007075D9" w:rsidRPr="004D46AC" w14:paraId="3A407FC6" w14:textId="77777777" w:rsidTr="00B518F1">
        <w:tc>
          <w:tcPr>
            <w:tcW w:w="1704" w:type="dxa"/>
            <w:vAlign w:val="center"/>
          </w:tcPr>
          <w:p w14:paraId="62CC9F9F" w14:textId="77777777" w:rsidR="007075D9" w:rsidRPr="004D46AC" w:rsidRDefault="007075D9" w:rsidP="002C5F6E">
            <w:pPr>
              <w:spacing w:line="240" w:lineRule="auto"/>
              <w:ind w:firstLine="0"/>
            </w:pPr>
            <w:r w:rsidRPr="004D46AC">
              <w:rPr>
                <w:rFonts w:eastAsia="SimSun"/>
                <w:color w:val="000000"/>
              </w:rPr>
              <w:t>D6--PS</w:t>
            </w:r>
          </w:p>
        </w:tc>
        <w:tc>
          <w:tcPr>
            <w:tcW w:w="1098" w:type="dxa"/>
            <w:vAlign w:val="center"/>
          </w:tcPr>
          <w:p w14:paraId="5F1471DF" w14:textId="77777777" w:rsidR="007075D9" w:rsidRPr="004D46AC" w:rsidRDefault="007075D9" w:rsidP="002C5F6E">
            <w:pPr>
              <w:spacing w:line="240" w:lineRule="auto"/>
              <w:ind w:firstLine="0"/>
            </w:pPr>
            <w:r w:rsidRPr="004D46AC">
              <w:rPr>
                <w:rFonts w:eastAsia="SimSun"/>
                <w:color w:val="000000"/>
              </w:rPr>
              <w:t xml:space="preserve">0.13 </w:t>
            </w:r>
          </w:p>
        </w:tc>
        <w:tc>
          <w:tcPr>
            <w:tcW w:w="2409" w:type="dxa"/>
            <w:vAlign w:val="center"/>
          </w:tcPr>
          <w:p w14:paraId="2E61736C"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6B95AFED"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688B120E"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49D83121" w14:textId="77777777" w:rsidTr="00B518F1">
        <w:tc>
          <w:tcPr>
            <w:tcW w:w="1704" w:type="dxa"/>
            <w:vAlign w:val="center"/>
          </w:tcPr>
          <w:p w14:paraId="57729CDB" w14:textId="77777777" w:rsidR="007075D9" w:rsidRPr="004D46AC" w:rsidRDefault="007075D9" w:rsidP="002C5F6E">
            <w:pPr>
              <w:spacing w:line="240" w:lineRule="auto"/>
              <w:ind w:firstLine="0"/>
            </w:pPr>
            <w:r w:rsidRPr="004D46AC">
              <w:rPr>
                <w:rFonts w:eastAsia="SimSun"/>
                <w:color w:val="000000"/>
              </w:rPr>
              <w:t>D2--D9</w:t>
            </w:r>
          </w:p>
        </w:tc>
        <w:tc>
          <w:tcPr>
            <w:tcW w:w="1098" w:type="dxa"/>
            <w:vAlign w:val="center"/>
          </w:tcPr>
          <w:p w14:paraId="62F853CD" w14:textId="77777777" w:rsidR="007075D9" w:rsidRPr="004D46AC" w:rsidRDefault="007075D9" w:rsidP="002C5F6E">
            <w:pPr>
              <w:spacing w:line="240" w:lineRule="auto"/>
              <w:ind w:firstLine="0"/>
            </w:pPr>
            <w:r w:rsidRPr="004D46AC">
              <w:rPr>
                <w:rFonts w:eastAsia="SimSun"/>
                <w:color w:val="000000"/>
              </w:rPr>
              <w:t xml:space="preserve">0.13 </w:t>
            </w:r>
          </w:p>
        </w:tc>
        <w:tc>
          <w:tcPr>
            <w:tcW w:w="2409" w:type="dxa"/>
            <w:vAlign w:val="center"/>
          </w:tcPr>
          <w:p w14:paraId="6BB3BBEF"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693D9F35" w14:textId="77777777" w:rsidR="007075D9" w:rsidRPr="004D46AC" w:rsidRDefault="007075D9" w:rsidP="002C5F6E">
            <w:pPr>
              <w:spacing w:line="240" w:lineRule="auto"/>
              <w:ind w:firstLine="0"/>
            </w:pPr>
            <w:r w:rsidRPr="004D46AC">
              <w:rPr>
                <w:rFonts w:eastAsia="SimSun"/>
                <w:color w:val="000000"/>
              </w:rPr>
              <w:t xml:space="preserve">0.21 </w:t>
            </w:r>
          </w:p>
        </w:tc>
        <w:tc>
          <w:tcPr>
            <w:tcW w:w="901" w:type="dxa"/>
            <w:vAlign w:val="center"/>
          </w:tcPr>
          <w:p w14:paraId="7C1196EE"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6F73F24C" w14:textId="77777777" w:rsidTr="00B518F1">
        <w:tc>
          <w:tcPr>
            <w:tcW w:w="1704" w:type="dxa"/>
            <w:vAlign w:val="center"/>
          </w:tcPr>
          <w:p w14:paraId="05E1A4D2" w14:textId="77777777" w:rsidR="007075D9" w:rsidRPr="004D46AC" w:rsidRDefault="007075D9" w:rsidP="002C5F6E">
            <w:pPr>
              <w:spacing w:line="240" w:lineRule="auto"/>
              <w:ind w:firstLine="0"/>
            </w:pPr>
            <w:r w:rsidRPr="004D46AC">
              <w:rPr>
                <w:rFonts w:eastAsia="SimSun"/>
                <w:color w:val="000000"/>
              </w:rPr>
              <w:t>EI--M1</w:t>
            </w:r>
          </w:p>
        </w:tc>
        <w:tc>
          <w:tcPr>
            <w:tcW w:w="1098" w:type="dxa"/>
            <w:vAlign w:val="center"/>
          </w:tcPr>
          <w:p w14:paraId="3C7CB9FF" w14:textId="77777777" w:rsidR="007075D9" w:rsidRPr="004D46AC" w:rsidRDefault="007075D9" w:rsidP="002C5F6E">
            <w:pPr>
              <w:spacing w:line="240" w:lineRule="auto"/>
              <w:ind w:firstLine="0"/>
            </w:pPr>
            <w:r w:rsidRPr="004D46AC">
              <w:rPr>
                <w:rFonts w:eastAsia="SimSun"/>
                <w:color w:val="000000"/>
              </w:rPr>
              <w:t xml:space="preserve">0.13 </w:t>
            </w:r>
          </w:p>
        </w:tc>
        <w:tc>
          <w:tcPr>
            <w:tcW w:w="2409" w:type="dxa"/>
            <w:vAlign w:val="center"/>
          </w:tcPr>
          <w:p w14:paraId="17F83DD6"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2968F82F" w14:textId="77777777" w:rsidR="007075D9" w:rsidRPr="004D46AC" w:rsidRDefault="007075D9" w:rsidP="002C5F6E">
            <w:pPr>
              <w:spacing w:line="240" w:lineRule="auto"/>
              <w:ind w:firstLine="0"/>
            </w:pPr>
            <w:r w:rsidRPr="004D46AC">
              <w:rPr>
                <w:rFonts w:eastAsia="SimSun"/>
                <w:color w:val="000000"/>
              </w:rPr>
              <w:t xml:space="preserve">0.34 </w:t>
            </w:r>
          </w:p>
        </w:tc>
        <w:tc>
          <w:tcPr>
            <w:tcW w:w="901" w:type="dxa"/>
            <w:vAlign w:val="center"/>
          </w:tcPr>
          <w:p w14:paraId="3B05FAD1" w14:textId="77777777" w:rsidR="007075D9" w:rsidRPr="004D46AC" w:rsidRDefault="007075D9" w:rsidP="002C5F6E">
            <w:pPr>
              <w:spacing w:line="240" w:lineRule="auto"/>
              <w:ind w:firstLine="0"/>
            </w:pPr>
            <w:r w:rsidRPr="004D46AC">
              <w:rPr>
                <w:rFonts w:eastAsia="SimSun"/>
                <w:color w:val="000000"/>
              </w:rPr>
              <w:t xml:space="preserve">0.39 </w:t>
            </w:r>
          </w:p>
        </w:tc>
      </w:tr>
      <w:tr w:rsidR="007075D9" w:rsidRPr="004D46AC" w14:paraId="4A641B96" w14:textId="77777777" w:rsidTr="00B518F1">
        <w:tc>
          <w:tcPr>
            <w:tcW w:w="1704" w:type="dxa"/>
            <w:vAlign w:val="center"/>
          </w:tcPr>
          <w:p w14:paraId="4E234DA9" w14:textId="77777777" w:rsidR="007075D9" w:rsidRPr="004D46AC" w:rsidRDefault="007075D9" w:rsidP="002C5F6E">
            <w:pPr>
              <w:spacing w:line="240" w:lineRule="auto"/>
              <w:ind w:firstLine="0"/>
            </w:pPr>
            <w:r w:rsidRPr="004D46AC">
              <w:rPr>
                <w:rFonts w:eastAsia="SimSun"/>
                <w:color w:val="000000"/>
              </w:rPr>
              <w:t>M3--M12</w:t>
            </w:r>
          </w:p>
        </w:tc>
        <w:tc>
          <w:tcPr>
            <w:tcW w:w="1098" w:type="dxa"/>
            <w:vAlign w:val="center"/>
          </w:tcPr>
          <w:p w14:paraId="3B673692"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01A54148" w14:textId="77777777" w:rsidR="007075D9" w:rsidRPr="004D46AC" w:rsidRDefault="007075D9" w:rsidP="002C5F6E">
            <w:pPr>
              <w:spacing w:line="240" w:lineRule="auto"/>
              <w:ind w:firstLine="0"/>
            </w:pPr>
            <w:r w:rsidRPr="004D46AC">
              <w:rPr>
                <w:rFonts w:eastAsia="SimSun"/>
                <w:color w:val="000000"/>
              </w:rPr>
              <w:t xml:space="preserve">-0.19 </w:t>
            </w:r>
          </w:p>
        </w:tc>
        <w:tc>
          <w:tcPr>
            <w:tcW w:w="2410" w:type="dxa"/>
            <w:vAlign w:val="center"/>
          </w:tcPr>
          <w:p w14:paraId="3BC60A26" w14:textId="77777777" w:rsidR="007075D9" w:rsidRPr="004D46AC" w:rsidRDefault="007075D9" w:rsidP="002C5F6E">
            <w:pPr>
              <w:spacing w:line="240" w:lineRule="auto"/>
              <w:ind w:firstLine="0"/>
            </w:pPr>
            <w:r w:rsidRPr="004D46AC">
              <w:rPr>
                <w:rFonts w:eastAsia="SimSun"/>
                <w:color w:val="000000"/>
              </w:rPr>
              <w:t xml:space="preserve">0.44 </w:t>
            </w:r>
          </w:p>
        </w:tc>
        <w:tc>
          <w:tcPr>
            <w:tcW w:w="901" w:type="dxa"/>
            <w:vAlign w:val="center"/>
          </w:tcPr>
          <w:p w14:paraId="378026FA" w14:textId="77777777" w:rsidR="007075D9" w:rsidRPr="004D46AC" w:rsidRDefault="007075D9" w:rsidP="002C5F6E">
            <w:pPr>
              <w:spacing w:line="240" w:lineRule="auto"/>
              <w:ind w:firstLine="0"/>
            </w:pPr>
            <w:r w:rsidRPr="004D46AC">
              <w:rPr>
                <w:rFonts w:eastAsia="SimSun"/>
                <w:color w:val="000000"/>
              </w:rPr>
              <w:t xml:space="preserve">0.46 </w:t>
            </w:r>
          </w:p>
        </w:tc>
      </w:tr>
      <w:tr w:rsidR="007075D9" w:rsidRPr="004D46AC" w14:paraId="2BFD906B" w14:textId="77777777" w:rsidTr="00B518F1">
        <w:tc>
          <w:tcPr>
            <w:tcW w:w="1704" w:type="dxa"/>
            <w:vAlign w:val="center"/>
          </w:tcPr>
          <w:p w14:paraId="7D83305E" w14:textId="77777777" w:rsidR="007075D9" w:rsidRPr="004D46AC" w:rsidRDefault="007075D9" w:rsidP="002C5F6E">
            <w:pPr>
              <w:spacing w:line="240" w:lineRule="auto"/>
              <w:ind w:firstLine="0"/>
            </w:pPr>
            <w:r w:rsidRPr="004D46AC">
              <w:rPr>
                <w:rFonts w:eastAsia="SimSun"/>
                <w:color w:val="000000"/>
              </w:rPr>
              <w:t>EI--M4</w:t>
            </w:r>
          </w:p>
        </w:tc>
        <w:tc>
          <w:tcPr>
            <w:tcW w:w="1098" w:type="dxa"/>
            <w:vAlign w:val="center"/>
          </w:tcPr>
          <w:p w14:paraId="2CE36F0D"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2C280497"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1644D78B" w14:textId="77777777" w:rsidR="007075D9" w:rsidRPr="004D46AC" w:rsidRDefault="007075D9" w:rsidP="002C5F6E">
            <w:pPr>
              <w:spacing w:line="240" w:lineRule="auto"/>
              <w:ind w:firstLine="0"/>
            </w:pPr>
            <w:r w:rsidRPr="004D46AC">
              <w:rPr>
                <w:rFonts w:eastAsia="SimSun"/>
                <w:color w:val="000000"/>
              </w:rPr>
              <w:t xml:space="preserve">0.29 </w:t>
            </w:r>
          </w:p>
        </w:tc>
        <w:tc>
          <w:tcPr>
            <w:tcW w:w="901" w:type="dxa"/>
            <w:vAlign w:val="center"/>
          </w:tcPr>
          <w:p w14:paraId="6A0DBC4C" w14:textId="77777777" w:rsidR="007075D9" w:rsidRPr="004D46AC" w:rsidRDefault="007075D9" w:rsidP="002C5F6E">
            <w:pPr>
              <w:spacing w:line="240" w:lineRule="auto"/>
              <w:ind w:firstLine="0"/>
            </w:pPr>
            <w:r w:rsidRPr="004D46AC">
              <w:rPr>
                <w:rFonts w:eastAsia="SimSun"/>
                <w:color w:val="000000"/>
              </w:rPr>
              <w:t xml:space="preserve">0.27 </w:t>
            </w:r>
          </w:p>
        </w:tc>
      </w:tr>
      <w:tr w:rsidR="007075D9" w:rsidRPr="004D46AC" w14:paraId="3A8BB2D7" w14:textId="77777777" w:rsidTr="00B518F1">
        <w:tc>
          <w:tcPr>
            <w:tcW w:w="1704" w:type="dxa"/>
            <w:vAlign w:val="center"/>
          </w:tcPr>
          <w:p w14:paraId="399A266C" w14:textId="77777777" w:rsidR="007075D9" w:rsidRPr="004D46AC" w:rsidRDefault="007075D9" w:rsidP="002C5F6E">
            <w:pPr>
              <w:spacing w:line="240" w:lineRule="auto"/>
              <w:ind w:firstLine="0"/>
            </w:pPr>
            <w:r w:rsidRPr="004D46AC">
              <w:rPr>
                <w:rFonts w:eastAsia="SimSun"/>
                <w:color w:val="000000"/>
              </w:rPr>
              <w:t>M7--M10</w:t>
            </w:r>
          </w:p>
        </w:tc>
        <w:tc>
          <w:tcPr>
            <w:tcW w:w="1098" w:type="dxa"/>
            <w:vAlign w:val="center"/>
          </w:tcPr>
          <w:p w14:paraId="69C0D6FF"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2604E5B5" w14:textId="77777777" w:rsidR="007075D9" w:rsidRPr="004D46AC" w:rsidRDefault="007075D9" w:rsidP="002C5F6E">
            <w:pPr>
              <w:spacing w:line="240" w:lineRule="auto"/>
              <w:ind w:firstLine="0"/>
            </w:pPr>
            <w:r w:rsidRPr="004D46AC">
              <w:rPr>
                <w:rFonts w:eastAsia="SimSun"/>
                <w:color w:val="000000"/>
              </w:rPr>
              <w:t xml:space="preserve">-0.29 </w:t>
            </w:r>
          </w:p>
        </w:tc>
        <w:tc>
          <w:tcPr>
            <w:tcW w:w="2410" w:type="dxa"/>
            <w:vAlign w:val="center"/>
          </w:tcPr>
          <w:p w14:paraId="24ED07E7" w14:textId="77777777" w:rsidR="007075D9" w:rsidRPr="004D46AC" w:rsidRDefault="007075D9" w:rsidP="002C5F6E">
            <w:pPr>
              <w:spacing w:line="240" w:lineRule="auto"/>
              <w:ind w:firstLine="0"/>
            </w:pPr>
            <w:r w:rsidRPr="004D46AC">
              <w:rPr>
                <w:rFonts w:eastAsia="SimSun"/>
                <w:color w:val="000000"/>
              </w:rPr>
              <w:t xml:space="preserve">0.53 </w:t>
            </w:r>
          </w:p>
        </w:tc>
        <w:tc>
          <w:tcPr>
            <w:tcW w:w="901" w:type="dxa"/>
            <w:vAlign w:val="center"/>
          </w:tcPr>
          <w:p w14:paraId="3454F6C5" w14:textId="77777777" w:rsidR="007075D9" w:rsidRPr="004D46AC" w:rsidRDefault="007075D9" w:rsidP="002C5F6E">
            <w:pPr>
              <w:spacing w:line="240" w:lineRule="auto"/>
              <w:ind w:firstLine="0"/>
            </w:pPr>
            <w:r w:rsidRPr="004D46AC">
              <w:rPr>
                <w:rFonts w:eastAsia="SimSun"/>
                <w:color w:val="000000"/>
              </w:rPr>
              <w:t xml:space="preserve">0.52 </w:t>
            </w:r>
          </w:p>
        </w:tc>
      </w:tr>
      <w:tr w:rsidR="007075D9" w:rsidRPr="004D46AC" w14:paraId="69F7319F" w14:textId="77777777" w:rsidTr="00B518F1">
        <w:tc>
          <w:tcPr>
            <w:tcW w:w="1704" w:type="dxa"/>
            <w:vAlign w:val="center"/>
          </w:tcPr>
          <w:p w14:paraId="1C58C2B1" w14:textId="77777777" w:rsidR="007075D9" w:rsidRPr="004D46AC" w:rsidRDefault="007075D9" w:rsidP="002C5F6E">
            <w:pPr>
              <w:spacing w:line="240" w:lineRule="auto"/>
              <w:ind w:firstLine="0"/>
            </w:pPr>
            <w:r w:rsidRPr="004D46AC">
              <w:rPr>
                <w:rFonts w:eastAsia="SimSun"/>
                <w:color w:val="000000"/>
              </w:rPr>
              <w:t>D4--D7</w:t>
            </w:r>
          </w:p>
        </w:tc>
        <w:tc>
          <w:tcPr>
            <w:tcW w:w="1098" w:type="dxa"/>
            <w:vAlign w:val="center"/>
          </w:tcPr>
          <w:p w14:paraId="1431B8F3"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5291020A"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20082994" w14:textId="77777777" w:rsidR="007075D9" w:rsidRPr="004D46AC" w:rsidRDefault="007075D9" w:rsidP="002C5F6E">
            <w:pPr>
              <w:spacing w:line="240" w:lineRule="auto"/>
              <w:ind w:firstLine="0"/>
            </w:pPr>
            <w:r w:rsidRPr="004D46AC">
              <w:rPr>
                <w:rFonts w:eastAsia="SimSun"/>
                <w:color w:val="000000"/>
              </w:rPr>
              <w:t xml:space="preserve">0.20 </w:t>
            </w:r>
          </w:p>
        </w:tc>
        <w:tc>
          <w:tcPr>
            <w:tcW w:w="901" w:type="dxa"/>
            <w:vAlign w:val="center"/>
          </w:tcPr>
          <w:p w14:paraId="742FD47A"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62AAE9E1" w14:textId="77777777" w:rsidTr="00B518F1">
        <w:tc>
          <w:tcPr>
            <w:tcW w:w="1704" w:type="dxa"/>
            <w:vAlign w:val="center"/>
          </w:tcPr>
          <w:p w14:paraId="4B3790C7" w14:textId="77777777" w:rsidR="007075D9" w:rsidRPr="004D46AC" w:rsidRDefault="007075D9" w:rsidP="002C5F6E">
            <w:pPr>
              <w:spacing w:line="240" w:lineRule="auto"/>
              <w:ind w:firstLine="0"/>
            </w:pPr>
            <w:r w:rsidRPr="004D46AC">
              <w:rPr>
                <w:rFonts w:eastAsia="SimSun"/>
                <w:color w:val="000000"/>
              </w:rPr>
              <w:t>M3--M5</w:t>
            </w:r>
          </w:p>
        </w:tc>
        <w:tc>
          <w:tcPr>
            <w:tcW w:w="1098" w:type="dxa"/>
            <w:vAlign w:val="center"/>
          </w:tcPr>
          <w:p w14:paraId="2DBA1157"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5637F16C" w14:textId="77777777" w:rsidR="007075D9" w:rsidRPr="004D46AC" w:rsidRDefault="007075D9" w:rsidP="002C5F6E">
            <w:pPr>
              <w:spacing w:line="240" w:lineRule="auto"/>
              <w:ind w:firstLine="0"/>
            </w:pPr>
            <w:r w:rsidRPr="004D46AC">
              <w:rPr>
                <w:rFonts w:eastAsia="SimSun"/>
                <w:color w:val="000000"/>
              </w:rPr>
              <w:t xml:space="preserve">-0.21 </w:t>
            </w:r>
          </w:p>
        </w:tc>
        <w:tc>
          <w:tcPr>
            <w:tcW w:w="2410" w:type="dxa"/>
            <w:vAlign w:val="center"/>
          </w:tcPr>
          <w:p w14:paraId="3B35ACA1" w14:textId="77777777" w:rsidR="007075D9" w:rsidRPr="004D46AC" w:rsidRDefault="007075D9" w:rsidP="002C5F6E">
            <w:pPr>
              <w:spacing w:line="240" w:lineRule="auto"/>
              <w:ind w:firstLine="0"/>
            </w:pPr>
            <w:r w:rsidRPr="004D46AC">
              <w:rPr>
                <w:rFonts w:eastAsia="SimSun"/>
                <w:color w:val="000000"/>
              </w:rPr>
              <w:t xml:space="preserve">0.45 </w:t>
            </w:r>
          </w:p>
        </w:tc>
        <w:tc>
          <w:tcPr>
            <w:tcW w:w="901" w:type="dxa"/>
            <w:vAlign w:val="center"/>
          </w:tcPr>
          <w:p w14:paraId="152C61A6" w14:textId="77777777" w:rsidR="007075D9" w:rsidRPr="004D46AC" w:rsidRDefault="007075D9" w:rsidP="002C5F6E">
            <w:pPr>
              <w:spacing w:line="240" w:lineRule="auto"/>
              <w:ind w:firstLine="0"/>
            </w:pPr>
            <w:r w:rsidRPr="004D46AC">
              <w:rPr>
                <w:rFonts w:eastAsia="SimSun"/>
                <w:color w:val="000000"/>
              </w:rPr>
              <w:t xml:space="preserve">0.42 </w:t>
            </w:r>
          </w:p>
        </w:tc>
      </w:tr>
      <w:tr w:rsidR="007075D9" w:rsidRPr="004D46AC" w14:paraId="00391F44" w14:textId="77777777" w:rsidTr="00B518F1">
        <w:tc>
          <w:tcPr>
            <w:tcW w:w="1704" w:type="dxa"/>
            <w:vAlign w:val="center"/>
          </w:tcPr>
          <w:p w14:paraId="51DB4F01" w14:textId="77777777" w:rsidR="007075D9" w:rsidRPr="004D46AC" w:rsidRDefault="007075D9" w:rsidP="002C5F6E">
            <w:pPr>
              <w:spacing w:line="240" w:lineRule="auto"/>
              <w:ind w:firstLine="0"/>
            </w:pPr>
            <w:r w:rsidRPr="004D46AC">
              <w:rPr>
                <w:rFonts w:eastAsia="SimSun"/>
                <w:color w:val="000000"/>
              </w:rPr>
              <w:t>D2--D4</w:t>
            </w:r>
          </w:p>
        </w:tc>
        <w:tc>
          <w:tcPr>
            <w:tcW w:w="1098" w:type="dxa"/>
            <w:vAlign w:val="center"/>
          </w:tcPr>
          <w:p w14:paraId="6572B346" w14:textId="77777777" w:rsidR="007075D9" w:rsidRPr="004D46AC" w:rsidRDefault="007075D9" w:rsidP="002C5F6E">
            <w:pPr>
              <w:spacing w:line="240" w:lineRule="auto"/>
              <w:ind w:firstLine="0"/>
            </w:pPr>
            <w:r w:rsidRPr="004D46AC">
              <w:rPr>
                <w:rFonts w:eastAsia="SimSun"/>
                <w:color w:val="000000"/>
              </w:rPr>
              <w:t xml:space="preserve">0.12 </w:t>
            </w:r>
          </w:p>
        </w:tc>
        <w:tc>
          <w:tcPr>
            <w:tcW w:w="2409" w:type="dxa"/>
            <w:vAlign w:val="center"/>
          </w:tcPr>
          <w:p w14:paraId="7C54836E"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51430E98" w14:textId="77777777" w:rsidR="007075D9" w:rsidRPr="004D46AC" w:rsidRDefault="007075D9" w:rsidP="002C5F6E">
            <w:pPr>
              <w:spacing w:line="240" w:lineRule="auto"/>
              <w:ind w:firstLine="0"/>
            </w:pPr>
            <w:r w:rsidRPr="004D46AC">
              <w:rPr>
                <w:rFonts w:eastAsia="SimSun"/>
                <w:color w:val="000000"/>
              </w:rPr>
              <w:t xml:space="preserve">0.19 </w:t>
            </w:r>
          </w:p>
        </w:tc>
        <w:tc>
          <w:tcPr>
            <w:tcW w:w="901" w:type="dxa"/>
            <w:vAlign w:val="center"/>
          </w:tcPr>
          <w:p w14:paraId="1493ABF9" w14:textId="77777777" w:rsidR="007075D9" w:rsidRPr="004D46AC" w:rsidRDefault="007075D9" w:rsidP="002C5F6E">
            <w:pPr>
              <w:spacing w:line="240" w:lineRule="auto"/>
              <w:ind w:firstLine="0"/>
            </w:pPr>
            <w:r w:rsidRPr="004D46AC">
              <w:rPr>
                <w:rFonts w:eastAsia="SimSun"/>
                <w:color w:val="000000"/>
              </w:rPr>
              <w:t xml:space="preserve">0.02 </w:t>
            </w:r>
          </w:p>
        </w:tc>
      </w:tr>
      <w:tr w:rsidR="007075D9" w:rsidRPr="004D46AC" w14:paraId="223800F3" w14:textId="77777777" w:rsidTr="00B518F1">
        <w:tc>
          <w:tcPr>
            <w:tcW w:w="1704" w:type="dxa"/>
            <w:vAlign w:val="center"/>
          </w:tcPr>
          <w:p w14:paraId="2A7122D6" w14:textId="77777777" w:rsidR="007075D9" w:rsidRPr="004D46AC" w:rsidRDefault="007075D9" w:rsidP="002C5F6E">
            <w:pPr>
              <w:spacing w:line="240" w:lineRule="auto"/>
              <w:ind w:firstLine="0"/>
            </w:pPr>
            <w:r w:rsidRPr="004D46AC">
              <w:rPr>
                <w:rFonts w:eastAsia="SimSun"/>
                <w:color w:val="000000"/>
              </w:rPr>
              <w:t>D1--D4</w:t>
            </w:r>
          </w:p>
        </w:tc>
        <w:tc>
          <w:tcPr>
            <w:tcW w:w="1098" w:type="dxa"/>
            <w:vAlign w:val="center"/>
          </w:tcPr>
          <w:p w14:paraId="515228E2"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57F756B8"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46C6AAE8" w14:textId="77777777" w:rsidR="007075D9" w:rsidRPr="004D46AC" w:rsidRDefault="007075D9" w:rsidP="002C5F6E">
            <w:pPr>
              <w:spacing w:line="240" w:lineRule="auto"/>
              <w:ind w:firstLine="0"/>
            </w:pPr>
            <w:r w:rsidRPr="004D46AC">
              <w:rPr>
                <w:rFonts w:eastAsia="SimSun"/>
                <w:color w:val="000000"/>
              </w:rPr>
              <w:t xml:space="preserve">0.18 </w:t>
            </w:r>
          </w:p>
        </w:tc>
        <w:tc>
          <w:tcPr>
            <w:tcW w:w="901" w:type="dxa"/>
            <w:vAlign w:val="center"/>
          </w:tcPr>
          <w:p w14:paraId="4E976CDC" w14:textId="77777777" w:rsidR="007075D9" w:rsidRPr="004D46AC" w:rsidRDefault="007075D9" w:rsidP="002C5F6E">
            <w:pPr>
              <w:spacing w:line="240" w:lineRule="auto"/>
              <w:ind w:firstLine="0"/>
            </w:pPr>
            <w:r w:rsidRPr="004D46AC">
              <w:rPr>
                <w:rFonts w:eastAsia="SimSun"/>
                <w:color w:val="000000"/>
              </w:rPr>
              <w:t xml:space="preserve">0.01 </w:t>
            </w:r>
          </w:p>
        </w:tc>
      </w:tr>
      <w:tr w:rsidR="007075D9" w:rsidRPr="004D46AC" w14:paraId="63A6B206" w14:textId="77777777" w:rsidTr="00B518F1">
        <w:tc>
          <w:tcPr>
            <w:tcW w:w="1704" w:type="dxa"/>
            <w:vAlign w:val="center"/>
          </w:tcPr>
          <w:p w14:paraId="598939A0" w14:textId="77777777" w:rsidR="007075D9" w:rsidRPr="004D46AC" w:rsidRDefault="007075D9" w:rsidP="002C5F6E">
            <w:pPr>
              <w:spacing w:line="240" w:lineRule="auto"/>
              <w:ind w:firstLine="0"/>
            </w:pPr>
            <w:r w:rsidRPr="004D46AC">
              <w:rPr>
                <w:rFonts w:eastAsia="SimSun"/>
                <w:color w:val="000000"/>
              </w:rPr>
              <w:t>D2--M6</w:t>
            </w:r>
          </w:p>
        </w:tc>
        <w:tc>
          <w:tcPr>
            <w:tcW w:w="1098" w:type="dxa"/>
            <w:vAlign w:val="center"/>
          </w:tcPr>
          <w:p w14:paraId="007496AE"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13C545BD"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121123CE" w14:textId="77777777" w:rsidR="007075D9" w:rsidRPr="004D46AC" w:rsidRDefault="007075D9" w:rsidP="002C5F6E">
            <w:pPr>
              <w:spacing w:line="240" w:lineRule="auto"/>
              <w:ind w:firstLine="0"/>
            </w:pPr>
            <w:r w:rsidRPr="004D46AC">
              <w:rPr>
                <w:rFonts w:eastAsia="SimSun"/>
                <w:color w:val="000000"/>
              </w:rPr>
              <w:t xml:space="preserve">0.24 </w:t>
            </w:r>
          </w:p>
        </w:tc>
        <w:tc>
          <w:tcPr>
            <w:tcW w:w="901" w:type="dxa"/>
            <w:vAlign w:val="center"/>
          </w:tcPr>
          <w:p w14:paraId="36974108" w14:textId="77777777" w:rsidR="007075D9" w:rsidRPr="004D46AC" w:rsidRDefault="007075D9" w:rsidP="002C5F6E">
            <w:pPr>
              <w:spacing w:line="240" w:lineRule="auto"/>
              <w:ind w:firstLine="0"/>
            </w:pPr>
            <w:r w:rsidRPr="004D46AC">
              <w:rPr>
                <w:rFonts w:eastAsia="SimSun"/>
                <w:color w:val="000000"/>
              </w:rPr>
              <w:t xml:space="preserve">0.18 </w:t>
            </w:r>
          </w:p>
        </w:tc>
      </w:tr>
      <w:tr w:rsidR="007075D9" w:rsidRPr="004D46AC" w14:paraId="31819B83" w14:textId="77777777" w:rsidTr="00B518F1">
        <w:tc>
          <w:tcPr>
            <w:tcW w:w="1704" w:type="dxa"/>
            <w:vAlign w:val="center"/>
          </w:tcPr>
          <w:p w14:paraId="0D0877BC" w14:textId="77777777" w:rsidR="007075D9" w:rsidRPr="004D46AC" w:rsidRDefault="007075D9" w:rsidP="002C5F6E">
            <w:pPr>
              <w:spacing w:line="240" w:lineRule="auto"/>
              <w:ind w:firstLine="0"/>
            </w:pPr>
            <w:r w:rsidRPr="004D46AC">
              <w:rPr>
                <w:rFonts w:eastAsia="SimSun"/>
                <w:color w:val="000000"/>
              </w:rPr>
              <w:t>D1--D3</w:t>
            </w:r>
          </w:p>
        </w:tc>
        <w:tc>
          <w:tcPr>
            <w:tcW w:w="1098" w:type="dxa"/>
            <w:vAlign w:val="center"/>
          </w:tcPr>
          <w:p w14:paraId="18E61BD3"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4EC62DCA"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23D78ACE" w14:textId="77777777" w:rsidR="007075D9" w:rsidRPr="004D46AC" w:rsidRDefault="007075D9" w:rsidP="002C5F6E">
            <w:pPr>
              <w:spacing w:line="240" w:lineRule="auto"/>
              <w:ind w:firstLine="0"/>
            </w:pPr>
            <w:r w:rsidRPr="004D46AC">
              <w:rPr>
                <w:rFonts w:eastAsia="SimSun"/>
                <w:color w:val="000000"/>
              </w:rPr>
              <w:t xml:space="preserve">0.18 </w:t>
            </w:r>
          </w:p>
        </w:tc>
        <w:tc>
          <w:tcPr>
            <w:tcW w:w="901" w:type="dxa"/>
            <w:vAlign w:val="center"/>
          </w:tcPr>
          <w:p w14:paraId="1EF4D44F" w14:textId="77777777" w:rsidR="007075D9" w:rsidRPr="004D46AC" w:rsidRDefault="007075D9" w:rsidP="002C5F6E">
            <w:pPr>
              <w:spacing w:line="240" w:lineRule="auto"/>
              <w:ind w:firstLine="0"/>
            </w:pPr>
            <w:r w:rsidRPr="004D46AC">
              <w:rPr>
                <w:rFonts w:eastAsia="SimSun"/>
                <w:color w:val="000000"/>
              </w:rPr>
              <w:t xml:space="preserve">0.04 </w:t>
            </w:r>
          </w:p>
        </w:tc>
      </w:tr>
      <w:tr w:rsidR="007075D9" w:rsidRPr="004D46AC" w14:paraId="6F59E9EA" w14:textId="77777777" w:rsidTr="00B518F1">
        <w:tc>
          <w:tcPr>
            <w:tcW w:w="1704" w:type="dxa"/>
            <w:vAlign w:val="center"/>
          </w:tcPr>
          <w:p w14:paraId="5437CF00" w14:textId="77777777" w:rsidR="007075D9" w:rsidRPr="004D46AC" w:rsidRDefault="007075D9" w:rsidP="002C5F6E">
            <w:pPr>
              <w:spacing w:line="240" w:lineRule="auto"/>
              <w:ind w:firstLine="0"/>
            </w:pPr>
            <w:r w:rsidRPr="004D46AC">
              <w:rPr>
                <w:rFonts w:eastAsia="SimSun"/>
                <w:color w:val="000000"/>
              </w:rPr>
              <w:t>D4--M2</w:t>
            </w:r>
          </w:p>
        </w:tc>
        <w:tc>
          <w:tcPr>
            <w:tcW w:w="1098" w:type="dxa"/>
            <w:vAlign w:val="center"/>
          </w:tcPr>
          <w:p w14:paraId="7C0D07BE"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1AEEEE93"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5B433C44"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3D6BE5C1" w14:textId="77777777" w:rsidR="007075D9" w:rsidRPr="004D46AC" w:rsidRDefault="007075D9" w:rsidP="002C5F6E">
            <w:pPr>
              <w:spacing w:line="240" w:lineRule="auto"/>
              <w:ind w:firstLine="0"/>
            </w:pPr>
            <w:r w:rsidRPr="004D46AC">
              <w:rPr>
                <w:rFonts w:eastAsia="SimSun"/>
                <w:color w:val="000000"/>
              </w:rPr>
              <w:t xml:space="preserve">0.27 </w:t>
            </w:r>
          </w:p>
        </w:tc>
      </w:tr>
      <w:tr w:rsidR="007075D9" w:rsidRPr="004D46AC" w14:paraId="38EBCB33" w14:textId="77777777" w:rsidTr="00B518F1">
        <w:tc>
          <w:tcPr>
            <w:tcW w:w="1704" w:type="dxa"/>
            <w:vAlign w:val="center"/>
          </w:tcPr>
          <w:p w14:paraId="676F96D0" w14:textId="77777777" w:rsidR="007075D9" w:rsidRPr="004D46AC" w:rsidRDefault="007075D9" w:rsidP="002C5F6E">
            <w:pPr>
              <w:spacing w:line="240" w:lineRule="auto"/>
              <w:ind w:firstLine="0"/>
            </w:pPr>
            <w:r w:rsidRPr="004D46AC">
              <w:rPr>
                <w:rFonts w:eastAsia="SimSun"/>
                <w:color w:val="000000"/>
              </w:rPr>
              <w:t>PS--M6</w:t>
            </w:r>
          </w:p>
        </w:tc>
        <w:tc>
          <w:tcPr>
            <w:tcW w:w="1098" w:type="dxa"/>
            <w:vAlign w:val="center"/>
          </w:tcPr>
          <w:p w14:paraId="3EF99D7A"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091B2B17"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7250B5B1" w14:textId="77777777" w:rsidR="007075D9" w:rsidRPr="004D46AC" w:rsidRDefault="007075D9" w:rsidP="002C5F6E">
            <w:pPr>
              <w:spacing w:line="240" w:lineRule="auto"/>
              <w:ind w:firstLine="0"/>
            </w:pPr>
            <w:r w:rsidRPr="004D46AC">
              <w:rPr>
                <w:rFonts w:eastAsia="SimSun"/>
                <w:color w:val="000000"/>
              </w:rPr>
              <w:t xml:space="preserve">0.25 </w:t>
            </w:r>
          </w:p>
        </w:tc>
        <w:tc>
          <w:tcPr>
            <w:tcW w:w="901" w:type="dxa"/>
            <w:vAlign w:val="center"/>
          </w:tcPr>
          <w:p w14:paraId="1D574B2D" w14:textId="77777777" w:rsidR="007075D9" w:rsidRPr="004D46AC" w:rsidRDefault="007075D9" w:rsidP="002C5F6E">
            <w:pPr>
              <w:spacing w:line="240" w:lineRule="auto"/>
              <w:ind w:firstLine="0"/>
            </w:pPr>
            <w:r w:rsidRPr="004D46AC">
              <w:rPr>
                <w:rFonts w:eastAsia="SimSun"/>
                <w:color w:val="000000"/>
              </w:rPr>
              <w:t xml:space="preserve">0.60 </w:t>
            </w:r>
          </w:p>
        </w:tc>
      </w:tr>
      <w:tr w:rsidR="007075D9" w:rsidRPr="004D46AC" w14:paraId="78A9F338" w14:textId="77777777" w:rsidTr="00B518F1">
        <w:tc>
          <w:tcPr>
            <w:tcW w:w="1704" w:type="dxa"/>
            <w:vAlign w:val="center"/>
          </w:tcPr>
          <w:p w14:paraId="48DF32CD" w14:textId="77777777" w:rsidR="007075D9" w:rsidRPr="004D46AC" w:rsidRDefault="007075D9" w:rsidP="002C5F6E">
            <w:pPr>
              <w:spacing w:line="240" w:lineRule="auto"/>
              <w:ind w:firstLine="0"/>
            </w:pPr>
            <w:r w:rsidRPr="004D46AC">
              <w:rPr>
                <w:rFonts w:eastAsia="SimSun"/>
                <w:color w:val="000000"/>
              </w:rPr>
              <w:t>D2--D3</w:t>
            </w:r>
          </w:p>
        </w:tc>
        <w:tc>
          <w:tcPr>
            <w:tcW w:w="1098" w:type="dxa"/>
            <w:vAlign w:val="center"/>
          </w:tcPr>
          <w:p w14:paraId="35ACC30E"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3FC3CF18" w14:textId="77777777" w:rsidR="007075D9" w:rsidRPr="004D46AC" w:rsidRDefault="007075D9" w:rsidP="002C5F6E">
            <w:pPr>
              <w:spacing w:line="240" w:lineRule="auto"/>
              <w:ind w:firstLine="0"/>
            </w:pPr>
            <w:r w:rsidRPr="004D46AC">
              <w:rPr>
                <w:rFonts w:eastAsia="SimSun"/>
                <w:color w:val="000000"/>
              </w:rPr>
              <w:t xml:space="preserve">0.02 </w:t>
            </w:r>
          </w:p>
        </w:tc>
        <w:tc>
          <w:tcPr>
            <w:tcW w:w="2410" w:type="dxa"/>
            <w:vAlign w:val="center"/>
          </w:tcPr>
          <w:p w14:paraId="55ECB1D8"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746F9B69" w14:textId="77777777" w:rsidR="007075D9" w:rsidRPr="004D46AC" w:rsidRDefault="007075D9" w:rsidP="002C5F6E">
            <w:pPr>
              <w:spacing w:line="240" w:lineRule="auto"/>
              <w:ind w:firstLine="0"/>
            </w:pPr>
            <w:r w:rsidRPr="004D46AC">
              <w:rPr>
                <w:rFonts w:eastAsia="SimSun"/>
                <w:color w:val="000000"/>
              </w:rPr>
              <w:t xml:space="preserve">0.09 </w:t>
            </w:r>
          </w:p>
        </w:tc>
      </w:tr>
      <w:tr w:rsidR="007075D9" w:rsidRPr="004D46AC" w14:paraId="6DD0DC7A" w14:textId="77777777" w:rsidTr="00B518F1">
        <w:tc>
          <w:tcPr>
            <w:tcW w:w="1704" w:type="dxa"/>
            <w:vAlign w:val="center"/>
          </w:tcPr>
          <w:p w14:paraId="2AE490B9" w14:textId="77777777" w:rsidR="007075D9" w:rsidRPr="004D46AC" w:rsidRDefault="007075D9" w:rsidP="002C5F6E">
            <w:pPr>
              <w:spacing w:line="240" w:lineRule="auto"/>
              <w:ind w:firstLine="0"/>
            </w:pPr>
            <w:r w:rsidRPr="004D46AC">
              <w:rPr>
                <w:rFonts w:eastAsia="SimSun"/>
                <w:color w:val="000000"/>
              </w:rPr>
              <w:t>M6--M10</w:t>
            </w:r>
          </w:p>
        </w:tc>
        <w:tc>
          <w:tcPr>
            <w:tcW w:w="1098" w:type="dxa"/>
            <w:vAlign w:val="center"/>
          </w:tcPr>
          <w:p w14:paraId="1D90D9E8" w14:textId="77777777" w:rsidR="007075D9" w:rsidRPr="004D46AC" w:rsidRDefault="007075D9" w:rsidP="002C5F6E">
            <w:pPr>
              <w:spacing w:line="240" w:lineRule="auto"/>
              <w:ind w:firstLine="0"/>
            </w:pPr>
            <w:r w:rsidRPr="004D46AC">
              <w:rPr>
                <w:rFonts w:eastAsia="SimSun"/>
                <w:color w:val="000000"/>
              </w:rPr>
              <w:t xml:space="preserve">0.09 </w:t>
            </w:r>
          </w:p>
        </w:tc>
        <w:tc>
          <w:tcPr>
            <w:tcW w:w="2409" w:type="dxa"/>
            <w:vAlign w:val="center"/>
          </w:tcPr>
          <w:p w14:paraId="590464CF" w14:textId="77777777" w:rsidR="007075D9" w:rsidRPr="004D46AC" w:rsidRDefault="007075D9" w:rsidP="002C5F6E">
            <w:pPr>
              <w:spacing w:line="240" w:lineRule="auto"/>
              <w:ind w:firstLine="0"/>
            </w:pPr>
            <w:r w:rsidRPr="004D46AC">
              <w:rPr>
                <w:rFonts w:eastAsia="SimSun"/>
                <w:color w:val="000000"/>
              </w:rPr>
              <w:t xml:space="preserve">-0.33 </w:t>
            </w:r>
          </w:p>
        </w:tc>
        <w:tc>
          <w:tcPr>
            <w:tcW w:w="2410" w:type="dxa"/>
            <w:vAlign w:val="center"/>
          </w:tcPr>
          <w:p w14:paraId="189C36A3" w14:textId="77777777" w:rsidR="007075D9" w:rsidRPr="004D46AC" w:rsidRDefault="007075D9" w:rsidP="002C5F6E">
            <w:pPr>
              <w:spacing w:line="240" w:lineRule="auto"/>
              <w:ind w:firstLine="0"/>
            </w:pPr>
            <w:r w:rsidRPr="004D46AC">
              <w:rPr>
                <w:rFonts w:eastAsia="SimSun"/>
                <w:color w:val="000000"/>
              </w:rPr>
              <w:t xml:space="preserve">0.51 </w:t>
            </w:r>
          </w:p>
        </w:tc>
        <w:tc>
          <w:tcPr>
            <w:tcW w:w="901" w:type="dxa"/>
            <w:vAlign w:val="center"/>
          </w:tcPr>
          <w:p w14:paraId="3BE8D219" w14:textId="77777777" w:rsidR="007075D9" w:rsidRPr="004D46AC" w:rsidRDefault="007075D9" w:rsidP="002C5F6E">
            <w:pPr>
              <w:spacing w:line="240" w:lineRule="auto"/>
              <w:ind w:firstLine="0"/>
            </w:pPr>
            <w:r w:rsidRPr="004D46AC">
              <w:rPr>
                <w:rFonts w:eastAsia="SimSun"/>
                <w:color w:val="000000"/>
              </w:rPr>
              <w:t xml:space="preserve">0.57 </w:t>
            </w:r>
          </w:p>
        </w:tc>
      </w:tr>
      <w:tr w:rsidR="007075D9" w:rsidRPr="004D46AC" w14:paraId="5874E23A" w14:textId="77777777" w:rsidTr="00B518F1">
        <w:tc>
          <w:tcPr>
            <w:tcW w:w="1704" w:type="dxa"/>
            <w:vAlign w:val="center"/>
          </w:tcPr>
          <w:p w14:paraId="00A71488" w14:textId="77777777" w:rsidR="007075D9" w:rsidRPr="004D46AC" w:rsidRDefault="007075D9" w:rsidP="002C5F6E">
            <w:pPr>
              <w:spacing w:line="240" w:lineRule="auto"/>
              <w:ind w:firstLine="0"/>
            </w:pPr>
            <w:r w:rsidRPr="004D46AC">
              <w:rPr>
                <w:rFonts w:eastAsia="SimSun"/>
                <w:color w:val="000000"/>
              </w:rPr>
              <w:t>D4--M3</w:t>
            </w:r>
          </w:p>
        </w:tc>
        <w:tc>
          <w:tcPr>
            <w:tcW w:w="1098" w:type="dxa"/>
            <w:vAlign w:val="center"/>
          </w:tcPr>
          <w:p w14:paraId="24CB6193" w14:textId="77777777" w:rsidR="007075D9" w:rsidRPr="004D46AC" w:rsidRDefault="007075D9" w:rsidP="002C5F6E">
            <w:pPr>
              <w:spacing w:line="240" w:lineRule="auto"/>
              <w:ind w:firstLine="0"/>
            </w:pPr>
            <w:r w:rsidRPr="004D46AC">
              <w:rPr>
                <w:rFonts w:eastAsia="SimSun"/>
                <w:color w:val="000000"/>
              </w:rPr>
              <w:t xml:space="preserve">0.08 </w:t>
            </w:r>
          </w:p>
        </w:tc>
        <w:tc>
          <w:tcPr>
            <w:tcW w:w="2409" w:type="dxa"/>
            <w:vAlign w:val="center"/>
          </w:tcPr>
          <w:p w14:paraId="296B18C6"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0CA23724" w14:textId="77777777" w:rsidR="007075D9" w:rsidRPr="004D46AC" w:rsidRDefault="007075D9" w:rsidP="002C5F6E">
            <w:pPr>
              <w:spacing w:line="240" w:lineRule="auto"/>
              <w:ind w:firstLine="0"/>
            </w:pPr>
            <w:r w:rsidRPr="004D46AC">
              <w:rPr>
                <w:rFonts w:eastAsia="SimSun"/>
                <w:color w:val="000000"/>
              </w:rPr>
              <w:t xml:space="preserve">0.24 </w:t>
            </w:r>
          </w:p>
        </w:tc>
        <w:tc>
          <w:tcPr>
            <w:tcW w:w="901" w:type="dxa"/>
            <w:vAlign w:val="center"/>
          </w:tcPr>
          <w:p w14:paraId="462A1BAF" w14:textId="77777777" w:rsidR="007075D9" w:rsidRPr="004D46AC" w:rsidRDefault="007075D9" w:rsidP="002C5F6E">
            <w:pPr>
              <w:spacing w:line="240" w:lineRule="auto"/>
              <w:ind w:firstLine="0"/>
            </w:pPr>
            <w:r w:rsidRPr="004D46AC">
              <w:rPr>
                <w:rFonts w:eastAsia="SimSun"/>
                <w:color w:val="000000"/>
              </w:rPr>
              <w:t xml:space="preserve">0.45 </w:t>
            </w:r>
          </w:p>
        </w:tc>
      </w:tr>
      <w:tr w:rsidR="007075D9" w:rsidRPr="004D46AC" w14:paraId="52EC6CD6" w14:textId="77777777" w:rsidTr="00B518F1">
        <w:tc>
          <w:tcPr>
            <w:tcW w:w="1704" w:type="dxa"/>
            <w:vAlign w:val="center"/>
          </w:tcPr>
          <w:p w14:paraId="17179E8B" w14:textId="77777777" w:rsidR="007075D9" w:rsidRPr="004D46AC" w:rsidRDefault="007075D9" w:rsidP="002C5F6E">
            <w:pPr>
              <w:spacing w:line="240" w:lineRule="auto"/>
              <w:ind w:firstLine="0"/>
            </w:pPr>
            <w:r w:rsidRPr="004D46AC">
              <w:rPr>
                <w:rFonts w:eastAsia="SimSun"/>
                <w:color w:val="000000"/>
              </w:rPr>
              <w:t>D4--M7</w:t>
            </w:r>
          </w:p>
        </w:tc>
        <w:tc>
          <w:tcPr>
            <w:tcW w:w="1098" w:type="dxa"/>
            <w:vAlign w:val="center"/>
          </w:tcPr>
          <w:p w14:paraId="0029FB50" w14:textId="77777777" w:rsidR="007075D9" w:rsidRPr="004D46AC" w:rsidRDefault="007075D9" w:rsidP="002C5F6E">
            <w:pPr>
              <w:spacing w:line="240" w:lineRule="auto"/>
              <w:ind w:firstLine="0"/>
            </w:pPr>
            <w:r w:rsidRPr="004D46AC">
              <w:rPr>
                <w:rFonts w:eastAsia="SimSun"/>
                <w:color w:val="000000"/>
              </w:rPr>
              <w:t xml:space="preserve">0.08 </w:t>
            </w:r>
          </w:p>
        </w:tc>
        <w:tc>
          <w:tcPr>
            <w:tcW w:w="2409" w:type="dxa"/>
            <w:vAlign w:val="center"/>
          </w:tcPr>
          <w:p w14:paraId="659AE41B"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022DDAEC" w14:textId="77777777" w:rsidR="007075D9" w:rsidRPr="004D46AC" w:rsidRDefault="007075D9" w:rsidP="002C5F6E">
            <w:pPr>
              <w:spacing w:line="240" w:lineRule="auto"/>
              <w:ind w:firstLine="0"/>
            </w:pPr>
            <w:r w:rsidRPr="004D46AC">
              <w:rPr>
                <w:rFonts w:eastAsia="SimSun"/>
                <w:color w:val="000000"/>
              </w:rPr>
              <w:t xml:space="preserve">0.21 </w:t>
            </w:r>
          </w:p>
        </w:tc>
        <w:tc>
          <w:tcPr>
            <w:tcW w:w="901" w:type="dxa"/>
            <w:vAlign w:val="center"/>
          </w:tcPr>
          <w:p w14:paraId="34343BF1" w14:textId="77777777" w:rsidR="007075D9" w:rsidRPr="004D46AC" w:rsidRDefault="007075D9" w:rsidP="002C5F6E">
            <w:pPr>
              <w:spacing w:line="240" w:lineRule="auto"/>
              <w:ind w:firstLine="0"/>
            </w:pPr>
            <w:r w:rsidRPr="004D46AC">
              <w:rPr>
                <w:rFonts w:eastAsia="SimSun"/>
                <w:color w:val="000000"/>
              </w:rPr>
              <w:t xml:space="preserve">0.39 </w:t>
            </w:r>
          </w:p>
        </w:tc>
      </w:tr>
      <w:tr w:rsidR="007075D9" w:rsidRPr="004D46AC" w14:paraId="65A911A5" w14:textId="77777777" w:rsidTr="00B518F1">
        <w:tc>
          <w:tcPr>
            <w:tcW w:w="1704" w:type="dxa"/>
            <w:vAlign w:val="center"/>
          </w:tcPr>
          <w:p w14:paraId="531827E1" w14:textId="77777777" w:rsidR="007075D9" w:rsidRPr="004D46AC" w:rsidRDefault="007075D9" w:rsidP="002C5F6E">
            <w:pPr>
              <w:spacing w:line="240" w:lineRule="auto"/>
              <w:ind w:firstLine="0"/>
            </w:pPr>
            <w:r w:rsidRPr="004D46AC">
              <w:rPr>
                <w:rFonts w:eastAsia="SimSun"/>
                <w:color w:val="000000"/>
              </w:rPr>
              <w:t>EI--M6</w:t>
            </w:r>
          </w:p>
        </w:tc>
        <w:tc>
          <w:tcPr>
            <w:tcW w:w="1098" w:type="dxa"/>
            <w:vAlign w:val="center"/>
          </w:tcPr>
          <w:p w14:paraId="60BED048" w14:textId="77777777" w:rsidR="007075D9" w:rsidRPr="004D46AC" w:rsidRDefault="007075D9" w:rsidP="002C5F6E">
            <w:pPr>
              <w:spacing w:line="240" w:lineRule="auto"/>
              <w:ind w:firstLine="0"/>
            </w:pPr>
            <w:r w:rsidRPr="004D46AC">
              <w:rPr>
                <w:rFonts w:eastAsia="SimSun"/>
                <w:color w:val="000000"/>
              </w:rPr>
              <w:t xml:space="preserve">0.08 </w:t>
            </w:r>
          </w:p>
        </w:tc>
        <w:tc>
          <w:tcPr>
            <w:tcW w:w="2409" w:type="dxa"/>
            <w:vAlign w:val="center"/>
          </w:tcPr>
          <w:p w14:paraId="1349496E"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7D92AA51" w14:textId="77777777" w:rsidR="007075D9" w:rsidRPr="004D46AC" w:rsidRDefault="007075D9" w:rsidP="002C5F6E">
            <w:pPr>
              <w:spacing w:line="240" w:lineRule="auto"/>
              <w:ind w:firstLine="0"/>
            </w:pPr>
            <w:r w:rsidRPr="004D46AC">
              <w:rPr>
                <w:rFonts w:eastAsia="SimSun"/>
                <w:color w:val="000000"/>
              </w:rPr>
              <w:t xml:space="preserve">0.23 </w:t>
            </w:r>
          </w:p>
        </w:tc>
        <w:tc>
          <w:tcPr>
            <w:tcW w:w="901" w:type="dxa"/>
            <w:vAlign w:val="center"/>
          </w:tcPr>
          <w:p w14:paraId="7E9CEFD1" w14:textId="77777777" w:rsidR="007075D9" w:rsidRPr="004D46AC" w:rsidRDefault="007075D9" w:rsidP="002C5F6E">
            <w:pPr>
              <w:spacing w:line="240" w:lineRule="auto"/>
              <w:ind w:firstLine="0"/>
            </w:pPr>
            <w:r w:rsidRPr="004D46AC">
              <w:rPr>
                <w:rFonts w:eastAsia="SimSun"/>
                <w:color w:val="000000"/>
              </w:rPr>
              <w:t xml:space="preserve">0.48 </w:t>
            </w:r>
          </w:p>
        </w:tc>
      </w:tr>
      <w:tr w:rsidR="007075D9" w:rsidRPr="004D46AC" w14:paraId="64FA9337" w14:textId="77777777" w:rsidTr="00B518F1">
        <w:tc>
          <w:tcPr>
            <w:tcW w:w="1704" w:type="dxa"/>
            <w:vAlign w:val="center"/>
          </w:tcPr>
          <w:p w14:paraId="2216D65D" w14:textId="77777777" w:rsidR="007075D9" w:rsidRPr="004D46AC" w:rsidRDefault="007075D9" w:rsidP="002C5F6E">
            <w:pPr>
              <w:spacing w:line="240" w:lineRule="auto"/>
              <w:ind w:firstLine="0"/>
            </w:pPr>
            <w:r w:rsidRPr="004D46AC">
              <w:rPr>
                <w:rFonts w:eastAsia="SimSun"/>
                <w:color w:val="000000"/>
              </w:rPr>
              <w:t>D1--D5</w:t>
            </w:r>
          </w:p>
        </w:tc>
        <w:tc>
          <w:tcPr>
            <w:tcW w:w="1098" w:type="dxa"/>
            <w:vAlign w:val="center"/>
          </w:tcPr>
          <w:p w14:paraId="612A6515" w14:textId="77777777" w:rsidR="007075D9" w:rsidRPr="004D46AC" w:rsidRDefault="007075D9" w:rsidP="002C5F6E">
            <w:pPr>
              <w:spacing w:line="240" w:lineRule="auto"/>
              <w:ind w:firstLine="0"/>
            </w:pPr>
            <w:r w:rsidRPr="004D46AC">
              <w:rPr>
                <w:rFonts w:eastAsia="SimSun"/>
                <w:color w:val="000000"/>
              </w:rPr>
              <w:t xml:space="preserve">0.08 </w:t>
            </w:r>
          </w:p>
        </w:tc>
        <w:tc>
          <w:tcPr>
            <w:tcW w:w="2409" w:type="dxa"/>
            <w:vAlign w:val="center"/>
          </w:tcPr>
          <w:p w14:paraId="3274B26B" w14:textId="77777777" w:rsidR="007075D9" w:rsidRPr="004D46AC" w:rsidRDefault="007075D9" w:rsidP="002C5F6E">
            <w:pPr>
              <w:spacing w:line="240" w:lineRule="auto"/>
              <w:ind w:firstLine="0"/>
            </w:pPr>
            <w:r w:rsidRPr="004D46AC">
              <w:rPr>
                <w:rFonts w:eastAsia="SimSun"/>
                <w:color w:val="000000"/>
              </w:rPr>
              <w:t xml:space="preserve">0.00 </w:t>
            </w:r>
          </w:p>
        </w:tc>
        <w:tc>
          <w:tcPr>
            <w:tcW w:w="2410" w:type="dxa"/>
            <w:vAlign w:val="center"/>
          </w:tcPr>
          <w:p w14:paraId="41ED79E7"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4E6A7440" w14:textId="77777777" w:rsidR="007075D9" w:rsidRPr="004D46AC" w:rsidRDefault="007075D9" w:rsidP="002C5F6E">
            <w:pPr>
              <w:spacing w:line="240" w:lineRule="auto"/>
              <w:ind w:firstLine="0"/>
            </w:pPr>
            <w:r w:rsidRPr="004D46AC">
              <w:rPr>
                <w:rFonts w:eastAsia="SimSun"/>
                <w:color w:val="000000"/>
              </w:rPr>
              <w:t xml:space="preserve">0.12 </w:t>
            </w:r>
          </w:p>
        </w:tc>
      </w:tr>
      <w:tr w:rsidR="007075D9" w:rsidRPr="004D46AC" w14:paraId="655A83A1" w14:textId="77777777" w:rsidTr="00B518F1">
        <w:tc>
          <w:tcPr>
            <w:tcW w:w="1704" w:type="dxa"/>
            <w:vAlign w:val="center"/>
          </w:tcPr>
          <w:p w14:paraId="7BEE8842" w14:textId="77777777" w:rsidR="007075D9" w:rsidRPr="004D46AC" w:rsidRDefault="007075D9" w:rsidP="002C5F6E">
            <w:pPr>
              <w:spacing w:line="240" w:lineRule="auto"/>
              <w:ind w:firstLine="0"/>
            </w:pPr>
            <w:r w:rsidRPr="004D46AC">
              <w:rPr>
                <w:rFonts w:eastAsia="SimSun"/>
                <w:color w:val="000000"/>
              </w:rPr>
              <w:t>D4--M6</w:t>
            </w:r>
          </w:p>
        </w:tc>
        <w:tc>
          <w:tcPr>
            <w:tcW w:w="1098" w:type="dxa"/>
            <w:vAlign w:val="center"/>
          </w:tcPr>
          <w:p w14:paraId="08EE3FAB"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370D47FB"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138F3F41" w14:textId="77777777" w:rsidR="007075D9" w:rsidRPr="004D46AC" w:rsidRDefault="007075D9" w:rsidP="002C5F6E">
            <w:pPr>
              <w:spacing w:line="240" w:lineRule="auto"/>
              <w:ind w:firstLine="0"/>
            </w:pPr>
            <w:r w:rsidRPr="004D46AC">
              <w:rPr>
                <w:rFonts w:eastAsia="SimSun"/>
                <w:color w:val="000000"/>
              </w:rPr>
              <w:t xml:space="preserve">0.20 </w:t>
            </w:r>
          </w:p>
        </w:tc>
        <w:tc>
          <w:tcPr>
            <w:tcW w:w="901" w:type="dxa"/>
            <w:vAlign w:val="center"/>
          </w:tcPr>
          <w:p w14:paraId="797A56A2" w14:textId="77777777" w:rsidR="007075D9" w:rsidRPr="004D46AC" w:rsidRDefault="007075D9" w:rsidP="002C5F6E">
            <w:pPr>
              <w:spacing w:line="240" w:lineRule="auto"/>
              <w:ind w:firstLine="0"/>
            </w:pPr>
            <w:r w:rsidRPr="004D46AC">
              <w:rPr>
                <w:rFonts w:eastAsia="SimSun"/>
                <w:color w:val="000000"/>
              </w:rPr>
              <w:t xml:space="preserve">0.39 </w:t>
            </w:r>
          </w:p>
        </w:tc>
      </w:tr>
      <w:tr w:rsidR="007075D9" w:rsidRPr="004D46AC" w14:paraId="438123AE" w14:textId="77777777" w:rsidTr="00B518F1">
        <w:tc>
          <w:tcPr>
            <w:tcW w:w="1704" w:type="dxa"/>
            <w:vAlign w:val="center"/>
          </w:tcPr>
          <w:p w14:paraId="5C789E37" w14:textId="77777777" w:rsidR="007075D9" w:rsidRPr="004D46AC" w:rsidRDefault="007075D9" w:rsidP="002C5F6E">
            <w:pPr>
              <w:spacing w:line="240" w:lineRule="auto"/>
              <w:ind w:firstLine="0"/>
            </w:pPr>
            <w:r w:rsidRPr="004D46AC">
              <w:rPr>
                <w:rFonts w:eastAsia="SimSun"/>
                <w:color w:val="000000"/>
              </w:rPr>
              <w:t>D3--D7</w:t>
            </w:r>
          </w:p>
        </w:tc>
        <w:tc>
          <w:tcPr>
            <w:tcW w:w="1098" w:type="dxa"/>
            <w:vAlign w:val="center"/>
          </w:tcPr>
          <w:p w14:paraId="1A5A7EF2"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1CC4D106" w14:textId="77777777" w:rsidR="007075D9" w:rsidRPr="004D46AC" w:rsidRDefault="007075D9" w:rsidP="002C5F6E">
            <w:pPr>
              <w:spacing w:line="240" w:lineRule="auto"/>
              <w:ind w:firstLine="0"/>
            </w:pPr>
            <w:r w:rsidRPr="004D46AC">
              <w:rPr>
                <w:rFonts w:eastAsia="SimSun"/>
                <w:color w:val="000000"/>
              </w:rPr>
              <w:t xml:space="preserve">-0.01 </w:t>
            </w:r>
          </w:p>
        </w:tc>
        <w:tc>
          <w:tcPr>
            <w:tcW w:w="2410" w:type="dxa"/>
            <w:vAlign w:val="center"/>
          </w:tcPr>
          <w:p w14:paraId="4593951E"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49CC73BE" w14:textId="77777777" w:rsidR="007075D9" w:rsidRPr="004D46AC" w:rsidRDefault="007075D9" w:rsidP="002C5F6E">
            <w:pPr>
              <w:spacing w:line="240" w:lineRule="auto"/>
              <w:ind w:firstLine="0"/>
            </w:pPr>
            <w:r w:rsidRPr="004D46AC">
              <w:rPr>
                <w:rFonts w:eastAsia="SimSun"/>
                <w:color w:val="000000"/>
              </w:rPr>
              <w:t xml:space="preserve">0.20 </w:t>
            </w:r>
          </w:p>
        </w:tc>
      </w:tr>
      <w:tr w:rsidR="007075D9" w:rsidRPr="004D46AC" w14:paraId="2FE17323" w14:textId="77777777" w:rsidTr="00B518F1">
        <w:tc>
          <w:tcPr>
            <w:tcW w:w="1704" w:type="dxa"/>
            <w:vAlign w:val="center"/>
          </w:tcPr>
          <w:p w14:paraId="4C429404" w14:textId="77777777" w:rsidR="007075D9" w:rsidRPr="004D46AC" w:rsidRDefault="007075D9" w:rsidP="002C5F6E">
            <w:pPr>
              <w:spacing w:line="240" w:lineRule="auto"/>
              <w:ind w:firstLine="0"/>
            </w:pPr>
            <w:r w:rsidRPr="004D46AC">
              <w:rPr>
                <w:rFonts w:eastAsia="SimSun"/>
                <w:color w:val="000000"/>
              </w:rPr>
              <w:t>D9--M12</w:t>
            </w:r>
          </w:p>
        </w:tc>
        <w:tc>
          <w:tcPr>
            <w:tcW w:w="1098" w:type="dxa"/>
            <w:vAlign w:val="center"/>
          </w:tcPr>
          <w:p w14:paraId="31353412" w14:textId="77777777" w:rsidR="007075D9" w:rsidRPr="004D46AC" w:rsidRDefault="007075D9" w:rsidP="002C5F6E">
            <w:pPr>
              <w:spacing w:line="240" w:lineRule="auto"/>
              <w:ind w:firstLine="0"/>
            </w:pPr>
            <w:r w:rsidRPr="004D46AC">
              <w:rPr>
                <w:rFonts w:eastAsia="SimSun"/>
                <w:color w:val="000000"/>
              </w:rPr>
              <w:t xml:space="preserve">0.07 </w:t>
            </w:r>
          </w:p>
        </w:tc>
        <w:tc>
          <w:tcPr>
            <w:tcW w:w="2409" w:type="dxa"/>
            <w:vAlign w:val="center"/>
          </w:tcPr>
          <w:p w14:paraId="611B6F7A" w14:textId="77777777" w:rsidR="007075D9" w:rsidRPr="004D46AC" w:rsidRDefault="007075D9" w:rsidP="002C5F6E">
            <w:pPr>
              <w:spacing w:line="240" w:lineRule="auto"/>
              <w:ind w:firstLine="0"/>
            </w:pPr>
            <w:r w:rsidRPr="004D46AC">
              <w:rPr>
                <w:rFonts w:eastAsia="SimSun"/>
                <w:color w:val="000000"/>
              </w:rPr>
              <w:t xml:space="preserve">-0.16 </w:t>
            </w:r>
          </w:p>
        </w:tc>
        <w:tc>
          <w:tcPr>
            <w:tcW w:w="2410" w:type="dxa"/>
            <w:vAlign w:val="center"/>
          </w:tcPr>
          <w:p w14:paraId="74908C76" w14:textId="77777777" w:rsidR="007075D9" w:rsidRPr="004D46AC" w:rsidRDefault="007075D9" w:rsidP="002C5F6E">
            <w:pPr>
              <w:spacing w:line="240" w:lineRule="auto"/>
              <w:ind w:firstLine="0"/>
            </w:pPr>
            <w:r w:rsidRPr="004D46AC">
              <w:rPr>
                <w:rFonts w:eastAsia="SimSun"/>
                <w:color w:val="000000"/>
              </w:rPr>
              <w:t xml:space="preserve">0.29 </w:t>
            </w:r>
          </w:p>
        </w:tc>
        <w:tc>
          <w:tcPr>
            <w:tcW w:w="901" w:type="dxa"/>
            <w:vAlign w:val="center"/>
          </w:tcPr>
          <w:p w14:paraId="68696F58" w14:textId="77777777" w:rsidR="007075D9" w:rsidRPr="004D46AC" w:rsidRDefault="007075D9" w:rsidP="002C5F6E">
            <w:pPr>
              <w:spacing w:line="240" w:lineRule="auto"/>
              <w:ind w:firstLine="0"/>
            </w:pPr>
            <w:r w:rsidRPr="004D46AC">
              <w:rPr>
                <w:rFonts w:eastAsia="SimSun"/>
                <w:color w:val="000000"/>
              </w:rPr>
              <w:t xml:space="preserve">0.49 </w:t>
            </w:r>
          </w:p>
        </w:tc>
      </w:tr>
      <w:tr w:rsidR="007075D9" w:rsidRPr="004D46AC" w14:paraId="5782B095" w14:textId="77777777" w:rsidTr="00B518F1">
        <w:tc>
          <w:tcPr>
            <w:tcW w:w="1704" w:type="dxa"/>
            <w:vAlign w:val="center"/>
          </w:tcPr>
          <w:p w14:paraId="770ADC54" w14:textId="77777777" w:rsidR="007075D9" w:rsidRPr="004D46AC" w:rsidRDefault="007075D9" w:rsidP="002C5F6E">
            <w:pPr>
              <w:spacing w:line="240" w:lineRule="auto"/>
              <w:ind w:firstLine="0"/>
            </w:pPr>
            <w:r w:rsidRPr="004D46AC">
              <w:rPr>
                <w:rFonts w:eastAsia="SimSun"/>
                <w:color w:val="000000"/>
              </w:rPr>
              <w:t>D9--PS</w:t>
            </w:r>
          </w:p>
        </w:tc>
        <w:tc>
          <w:tcPr>
            <w:tcW w:w="1098" w:type="dxa"/>
            <w:vAlign w:val="center"/>
          </w:tcPr>
          <w:p w14:paraId="76B381D1"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5F882024"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0445F09B"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0A2C1087" w14:textId="77777777" w:rsidR="007075D9" w:rsidRPr="004D46AC" w:rsidRDefault="007075D9" w:rsidP="002C5F6E">
            <w:pPr>
              <w:spacing w:line="240" w:lineRule="auto"/>
              <w:ind w:firstLine="0"/>
            </w:pPr>
            <w:r w:rsidRPr="004D46AC">
              <w:rPr>
                <w:rFonts w:eastAsia="SimSun"/>
                <w:color w:val="000000"/>
              </w:rPr>
              <w:t xml:space="preserve">0.32 </w:t>
            </w:r>
          </w:p>
        </w:tc>
      </w:tr>
      <w:tr w:rsidR="007075D9" w:rsidRPr="004D46AC" w14:paraId="7C691680" w14:textId="77777777" w:rsidTr="00B518F1">
        <w:tc>
          <w:tcPr>
            <w:tcW w:w="1704" w:type="dxa"/>
            <w:vAlign w:val="center"/>
          </w:tcPr>
          <w:p w14:paraId="4BBD1E0B" w14:textId="77777777" w:rsidR="007075D9" w:rsidRPr="004D46AC" w:rsidRDefault="007075D9" w:rsidP="002C5F6E">
            <w:pPr>
              <w:spacing w:line="240" w:lineRule="auto"/>
              <w:ind w:firstLine="0"/>
            </w:pPr>
            <w:r w:rsidRPr="004D46AC">
              <w:rPr>
                <w:rFonts w:eastAsia="SimSun"/>
                <w:color w:val="000000"/>
              </w:rPr>
              <w:t>D5--D8</w:t>
            </w:r>
          </w:p>
        </w:tc>
        <w:tc>
          <w:tcPr>
            <w:tcW w:w="1098" w:type="dxa"/>
            <w:vAlign w:val="center"/>
          </w:tcPr>
          <w:p w14:paraId="313664A3"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0EBF967D"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66FCE1A5" w14:textId="77777777" w:rsidR="007075D9" w:rsidRPr="004D46AC" w:rsidRDefault="007075D9" w:rsidP="002C5F6E">
            <w:pPr>
              <w:spacing w:line="240" w:lineRule="auto"/>
              <w:ind w:firstLine="0"/>
            </w:pPr>
            <w:r w:rsidRPr="004D46AC">
              <w:rPr>
                <w:rFonts w:eastAsia="SimSun"/>
                <w:color w:val="000000"/>
              </w:rPr>
              <w:t xml:space="preserve">0.15 </w:t>
            </w:r>
          </w:p>
        </w:tc>
        <w:tc>
          <w:tcPr>
            <w:tcW w:w="901" w:type="dxa"/>
            <w:vAlign w:val="center"/>
          </w:tcPr>
          <w:p w14:paraId="0E69658A" w14:textId="77777777" w:rsidR="007075D9" w:rsidRPr="004D46AC" w:rsidRDefault="007075D9" w:rsidP="002C5F6E">
            <w:pPr>
              <w:spacing w:line="240" w:lineRule="auto"/>
              <w:ind w:firstLine="0"/>
            </w:pPr>
            <w:r w:rsidRPr="004D46AC">
              <w:rPr>
                <w:rFonts w:eastAsia="SimSun"/>
                <w:color w:val="000000"/>
              </w:rPr>
              <w:t xml:space="preserve">0.35 </w:t>
            </w:r>
          </w:p>
        </w:tc>
      </w:tr>
      <w:tr w:rsidR="007075D9" w:rsidRPr="004D46AC" w14:paraId="1646242F" w14:textId="77777777" w:rsidTr="00B518F1">
        <w:tc>
          <w:tcPr>
            <w:tcW w:w="1704" w:type="dxa"/>
            <w:vAlign w:val="center"/>
          </w:tcPr>
          <w:p w14:paraId="6691359E" w14:textId="77777777" w:rsidR="007075D9" w:rsidRPr="004D46AC" w:rsidRDefault="007075D9" w:rsidP="002C5F6E">
            <w:pPr>
              <w:spacing w:line="240" w:lineRule="auto"/>
              <w:ind w:firstLine="0"/>
            </w:pPr>
            <w:r w:rsidRPr="004D46AC">
              <w:rPr>
                <w:rFonts w:eastAsia="SimSun"/>
                <w:color w:val="000000"/>
              </w:rPr>
              <w:t>D2--D7</w:t>
            </w:r>
          </w:p>
        </w:tc>
        <w:tc>
          <w:tcPr>
            <w:tcW w:w="1098" w:type="dxa"/>
            <w:vAlign w:val="center"/>
          </w:tcPr>
          <w:p w14:paraId="6BC2D7D2"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2CDE82EF"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6F51D72C" w14:textId="77777777" w:rsidR="007075D9" w:rsidRPr="004D46AC" w:rsidRDefault="007075D9" w:rsidP="002C5F6E">
            <w:pPr>
              <w:spacing w:line="240" w:lineRule="auto"/>
              <w:ind w:firstLine="0"/>
            </w:pPr>
            <w:r w:rsidRPr="004D46AC">
              <w:rPr>
                <w:rFonts w:eastAsia="SimSun"/>
                <w:color w:val="000000"/>
              </w:rPr>
              <w:t xml:space="preserve">0.14 </w:t>
            </w:r>
          </w:p>
        </w:tc>
        <w:tc>
          <w:tcPr>
            <w:tcW w:w="901" w:type="dxa"/>
            <w:vAlign w:val="center"/>
          </w:tcPr>
          <w:p w14:paraId="31B8B6B6" w14:textId="77777777" w:rsidR="007075D9" w:rsidRPr="004D46AC" w:rsidRDefault="007075D9" w:rsidP="002C5F6E">
            <w:pPr>
              <w:spacing w:line="240" w:lineRule="auto"/>
              <w:ind w:firstLine="0"/>
            </w:pPr>
            <w:r w:rsidRPr="004D46AC">
              <w:rPr>
                <w:rFonts w:eastAsia="SimSun"/>
                <w:color w:val="000000"/>
              </w:rPr>
              <w:t xml:space="preserve">0.27 </w:t>
            </w:r>
          </w:p>
        </w:tc>
      </w:tr>
      <w:tr w:rsidR="007075D9" w:rsidRPr="004D46AC" w14:paraId="76DF6855" w14:textId="77777777" w:rsidTr="00B518F1">
        <w:tc>
          <w:tcPr>
            <w:tcW w:w="1704" w:type="dxa"/>
            <w:vAlign w:val="center"/>
          </w:tcPr>
          <w:p w14:paraId="1BE6DE2B" w14:textId="77777777" w:rsidR="007075D9" w:rsidRPr="004D46AC" w:rsidRDefault="007075D9" w:rsidP="002C5F6E">
            <w:pPr>
              <w:spacing w:line="240" w:lineRule="auto"/>
              <w:ind w:firstLine="0"/>
            </w:pPr>
            <w:r w:rsidRPr="004D46AC">
              <w:rPr>
                <w:rFonts w:eastAsia="SimSun"/>
                <w:color w:val="000000"/>
              </w:rPr>
              <w:t>D1--PS</w:t>
            </w:r>
          </w:p>
        </w:tc>
        <w:tc>
          <w:tcPr>
            <w:tcW w:w="1098" w:type="dxa"/>
            <w:vAlign w:val="center"/>
          </w:tcPr>
          <w:p w14:paraId="02E5C8DA"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445713A2"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5B990FC9" w14:textId="77777777" w:rsidR="007075D9" w:rsidRPr="004D46AC" w:rsidRDefault="007075D9" w:rsidP="002C5F6E">
            <w:pPr>
              <w:spacing w:line="240" w:lineRule="auto"/>
              <w:ind w:firstLine="0"/>
            </w:pPr>
            <w:r w:rsidRPr="004D46AC">
              <w:rPr>
                <w:rFonts w:eastAsia="SimSun"/>
                <w:color w:val="000000"/>
              </w:rPr>
              <w:t xml:space="preserve">0.14 </w:t>
            </w:r>
          </w:p>
        </w:tc>
        <w:tc>
          <w:tcPr>
            <w:tcW w:w="901" w:type="dxa"/>
            <w:vAlign w:val="center"/>
          </w:tcPr>
          <w:p w14:paraId="19FF6C03" w14:textId="77777777" w:rsidR="007075D9" w:rsidRPr="004D46AC" w:rsidRDefault="007075D9" w:rsidP="002C5F6E">
            <w:pPr>
              <w:spacing w:line="240" w:lineRule="auto"/>
              <w:ind w:firstLine="0"/>
            </w:pPr>
            <w:r w:rsidRPr="004D46AC">
              <w:rPr>
                <w:rFonts w:eastAsia="SimSun"/>
                <w:color w:val="000000"/>
              </w:rPr>
              <w:t xml:space="preserve">0.40 </w:t>
            </w:r>
          </w:p>
        </w:tc>
      </w:tr>
      <w:tr w:rsidR="007075D9" w:rsidRPr="004D46AC" w14:paraId="18396BE0" w14:textId="77777777" w:rsidTr="00B518F1">
        <w:tc>
          <w:tcPr>
            <w:tcW w:w="1704" w:type="dxa"/>
            <w:vAlign w:val="center"/>
          </w:tcPr>
          <w:p w14:paraId="73B27C63" w14:textId="77777777" w:rsidR="007075D9" w:rsidRPr="004D46AC" w:rsidRDefault="007075D9" w:rsidP="002C5F6E">
            <w:pPr>
              <w:spacing w:line="240" w:lineRule="auto"/>
              <w:ind w:firstLine="0"/>
            </w:pPr>
            <w:r w:rsidRPr="004D46AC">
              <w:rPr>
                <w:rFonts w:eastAsia="SimSun"/>
                <w:color w:val="000000"/>
              </w:rPr>
              <w:t>D3--P2</w:t>
            </w:r>
          </w:p>
        </w:tc>
        <w:tc>
          <w:tcPr>
            <w:tcW w:w="1098" w:type="dxa"/>
            <w:vAlign w:val="center"/>
          </w:tcPr>
          <w:p w14:paraId="215AD761"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35056FFE" w14:textId="77777777" w:rsidR="007075D9" w:rsidRPr="004D46AC" w:rsidRDefault="007075D9" w:rsidP="002C5F6E">
            <w:pPr>
              <w:spacing w:line="240" w:lineRule="auto"/>
              <w:ind w:firstLine="0"/>
            </w:pPr>
            <w:r w:rsidRPr="004D46AC">
              <w:rPr>
                <w:rFonts w:eastAsia="SimSun"/>
                <w:color w:val="000000"/>
              </w:rPr>
              <w:t xml:space="preserve">-0.11 </w:t>
            </w:r>
          </w:p>
        </w:tc>
        <w:tc>
          <w:tcPr>
            <w:tcW w:w="2410" w:type="dxa"/>
            <w:vAlign w:val="center"/>
          </w:tcPr>
          <w:p w14:paraId="2CA62F41" w14:textId="77777777" w:rsidR="007075D9" w:rsidRPr="004D46AC" w:rsidRDefault="007075D9" w:rsidP="002C5F6E">
            <w:pPr>
              <w:spacing w:line="240" w:lineRule="auto"/>
              <w:ind w:firstLine="0"/>
            </w:pPr>
            <w:r w:rsidRPr="004D46AC">
              <w:rPr>
                <w:rFonts w:eastAsia="SimSun"/>
                <w:color w:val="000000"/>
              </w:rPr>
              <w:t xml:space="preserve">0.22 </w:t>
            </w:r>
          </w:p>
        </w:tc>
        <w:tc>
          <w:tcPr>
            <w:tcW w:w="901" w:type="dxa"/>
            <w:vAlign w:val="center"/>
          </w:tcPr>
          <w:p w14:paraId="7E6F8B21" w14:textId="77777777" w:rsidR="007075D9" w:rsidRPr="004D46AC" w:rsidRDefault="007075D9" w:rsidP="002C5F6E">
            <w:pPr>
              <w:spacing w:line="240" w:lineRule="auto"/>
              <w:ind w:firstLine="0"/>
            </w:pPr>
            <w:r w:rsidRPr="004D46AC">
              <w:rPr>
                <w:rFonts w:eastAsia="SimSun"/>
                <w:color w:val="000000"/>
              </w:rPr>
              <w:t xml:space="preserve">0.52 </w:t>
            </w:r>
          </w:p>
        </w:tc>
      </w:tr>
      <w:tr w:rsidR="007075D9" w:rsidRPr="004D46AC" w14:paraId="73B33B78" w14:textId="77777777" w:rsidTr="00B518F1">
        <w:tc>
          <w:tcPr>
            <w:tcW w:w="1704" w:type="dxa"/>
            <w:vAlign w:val="center"/>
          </w:tcPr>
          <w:p w14:paraId="6DEC1FA7" w14:textId="77777777" w:rsidR="007075D9" w:rsidRPr="004D46AC" w:rsidRDefault="007075D9" w:rsidP="002C5F6E">
            <w:pPr>
              <w:spacing w:line="240" w:lineRule="auto"/>
              <w:ind w:firstLine="0"/>
            </w:pPr>
            <w:r w:rsidRPr="004D46AC">
              <w:rPr>
                <w:rFonts w:eastAsia="SimSun"/>
                <w:color w:val="000000"/>
              </w:rPr>
              <w:t>D3--M7</w:t>
            </w:r>
          </w:p>
        </w:tc>
        <w:tc>
          <w:tcPr>
            <w:tcW w:w="1098" w:type="dxa"/>
            <w:vAlign w:val="center"/>
          </w:tcPr>
          <w:p w14:paraId="16873B1D" w14:textId="77777777" w:rsidR="007075D9" w:rsidRPr="004D46AC" w:rsidRDefault="007075D9" w:rsidP="002C5F6E">
            <w:pPr>
              <w:spacing w:line="240" w:lineRule="auto"/>
              <w:ind w:firstLine="0"/>
            </w:pPr>
            <w:r w:rsidRPr="004D46AC">
              <w:rPr>
                <w:rFonts w:eastAsia="SimSun"/>
                <w:color w:val="000000"/>
              </w:rPr>
              <w:t xml:space="preserve">0.06 </w:t>
            </w:r>
          </w:p>
        </w:tc>
        <w:tc>
          <w:tcPr>
            <w:tcW w:w="2409" w:type="dxa"/>
            <w:vAlign w:val="center"/>
          </w:tcPr>
          <w:p w14:paraId="5CF37B4F" w14:textId="77777777" w:rsidR="007075D9" w:rsidRPr="004D46AC" w:rsidRDefault="007075D9" w:rsidP="002C5F6E">
            <w:pPr>
              <w:spacing w:line="240" w:lineRule="auto"/>
              <w:ind w:firstLine="0"/>
            </w:pPr>
            <w:r w:rsidRPr="004D46AC">
              <w:rPr>
                <w:rFonts w:eastAsia="SimSun"/>
                <w:color w:val="000000"/>
              </w:rPr>
              <w:t xml:space="preserve">-0.06 </w:t>
            </w:r>
          </w:p>
        </w:tc>
        <w:tc>
          <w:tcPr>
            <w:tcW w:w="2410" w:type="dxa"/>
            <w:vAlign w:val="center"/>
          </w:tcPr>
          <w:p w14:paraId="03CE7340"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222800CB" w14:textId="77777777" w:rsidR="007075D9" w:rsidRPr="004D46AC" w:rsidRDefault="007075D9" w:rsidP="002C5F6E">
            <w:pPr>
              <w:spacing w:line="240" w:lineRule="auto"/>
              <w:ind w:firstLine="0"/>
            </w:pPr>
            <w:r w:rsidRPr="004D46AC">
              <w:rPr>
                <w:rFonts w:eastAsia="SimSun"/>
                <w:color w:val="000000"/>
              </w:rPr>
              <w:t xml:space="preserve">0.50 </w:t>
            </w:r>
          </w:p>
        </w:tc>
      </w:tr>
      <w:tr w:rsidR="007075D9" w:rsidRPr="004D46AC" w14:paraId="6E7C3669" w14:textId="77777777" w:rsidTr="00B518F1">
        <w:tc>
          <w:tcPr>
            <w:tcW w:w="1704" w:type="dxa"/>
            <w:vAlign w:val="center"/>
          </w:tcPr>
          <w:p w14:paraId="3DFD4EA0" w14:textId="77777777" w:rsidR="007075D9" w:rsidRPr="004D46AC" w:rsidRDefault="007075D9" w:rsidP="002C5F6E">
            <w:pPr>
              <w:spacing w:line="240" w:lineRule="auto"/>
              <w:ind w:firstLine="0"/>
            </w:pPr>
            <w:r w:rsidRPr="004D46AC">
              <w:rPr>
                <w:rFonts w:eastAsia="SimSun"/>
                <w:color w:val="000000"/>
              </w:rPr>
              <w:t>D3--M6</w:t>
            </w:r>
          </w:p>
        </w:tc>
        <w:tc>
          <w:tcPr>
            <w:tcW w:w="1098" w:type="dxa"/>
            <w:vAlign w:val="center"/>
          </w:tcPr>
          <w:p w14:paraId="39BE167C"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4C715C07" w14:textId="77777777" w:rsidR="007075D9" w:rsidRPr="004D46AC" w:rsidRDefault="007075D9" w:rsidP="002C5F6E">
            <w:pPr>
              <w:spacing w:line="240" w:lineRule="auto"/>
              <w:ind w:firstLine="0"/>
            </w:pPr>
            <w:r w:rsidRPr="004D46AC">
              <w:rPr>
                <w:rFonts w:eastAsia="SimSun"/>
                <w:color w:val="000000"/>
              </w:rPr>
              <w:t xml:space="preserve">-0.07 </w:t>
            </w:r>
          </w:p>
        </w:tc>
        <w:tc>
          <w:tcPr>
            <w:tcW w:w="2410" w:type="dxa"/>
            <w:vAlign w:val="center"/>
          </w:tcPr>
          <w:p w14:paraId="33E44F3C" w14:textId="77777777" w:rsidR="007075D9" w:rsidRPr="004D46AC" w:rsidRDefault="007075D9" w:rsidP="002C5F6E">
            <w:pPr>
              <w:spacing w:line="240" w:lineRule="auto"/>
              <w:ind w:firstLine="0"/>
            </w:pPr>
            <w:r w:rsidRPr="004D46AC">
              <w:rPr>
                <w:rFonts w:eastAsia="SimSun"/>
                <w:color w:val="000000"/>
              </w:rPr>
              <w:t xml:space="preserve">0.17 </w:t>
            </w:r>
          </w:p>
        </w:tc>
        <w:tc>
          <w:tcPr>
            <w:tcW w:w="901" w:type="dxa"/>
            <w:vAlign w:val="center"/>
          </w:tcPr>
          <w:p w14:paraId="58C090B4" w14:textId="77777777" w:rsidR="007075D9" w:rsidRPr="004D46AC" w:rsidRDefault="007075D9" w:rsidP="002C5F6E">
            <w:pPr>
              <w:spacing w:line="240" w:lineRule="auto"/>
              <w:ind w:firstLine="0"/>
            </w:pPr>
            <w:r w:rsidRPr="004D46AC">
              <w:rPr>
                <w:rFonts w:eastAsia="SimSun"/>
                <w:color w:val="000000"/>
              </w:rPr>
              <w:t xml:space="preserve">0.56 </w:t>
            </w:r>
          </w:p>
        </w:tc>
      </w:tr>
      <w:tr w:rsidR="007075D9" w:rsidRPr="004D46AC" w14:paraId="22C81312" w14:textId="77777777" w:rsidTr="00B518F1">
        <w:tc>
          <w:tcPr>
            <w:tcW w:w="1704" w:type="dxa"/>
            <w:vAlign w:val="center"/>
          </w:tcPr>
          <w:p w14:paraId="2E403F00" w14:textId="77777777" w:rsidR="007075D9" w:rsidRPr="004D46AC" w:rsidRDefault="007075D9" w:rsidP="002C5F6E">
            <w:pPr>
              <w:spacing w:line="240" w:lineRule="auto"/>
              <w:ind w:firstLine="0"/>
            </w:pPr>
            <w:r w:rsidRPr="004D46AC">
              <w:rPr>
                <w:rFonts w:eastAsia="SimSun"/>
                <w:color w:val="000000"/>
              </w:rPr>
              <w:t>D1--D6</w:t>
            </w:r>
          </w:p>
        </w:tc>
        <w:tc>
          <w:tcPr>
            <w:tcW w:w="1098" w:type="dxa"/>
            <w:vAlign w:val="center"/>
          </w:tcPr>
          <w:p w14:paraId="71BDA95B" w14:textId="77777777" w:rsidR="007075D9" w:rsidRPr="004D46AC" w:rsidRDefault="007075D9" w:rsidP="002C5F6E">
            <w:pPr>
              <w:spacing w:line="240" w:lineRule="auto"/>
              <w:ind w:firstLine="0"/>
            </w:pPr>
            <w:r w:rsidRPr="004D46AC">
              <w:rPr>
                <w:rFonts w:eastAsia="SimSun"/>
                <w:color w:val="000000"/>
              </w:rPr>
              <w:t xml:space="preserve">0.05 </w:t>
            </w:r>
          </w:p>
        </w:tc>
        <w:tc>
          <w:tcPr>
            <w:tcW w:w="2409" w:type="dxa"/>
            <w:vAlign w:val="center"/>
          </w:tcPr>
          <w:p w14:paraId="1416F768"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501E0142" w14:textId="77777777" w:rsidR="007075D9" w:rsidRPr="004D46AC" w:rsidRDefault="007075D9" w:rsidP="002C5F6E">
            <w:pPr>
              <w:spacing w:line="240" w:lineRule="auto"/>
              <w:ind w:firstLine="0"/>
            </w:pPr>
            <w:r w:rsidRPr="004D46AC">
              <w:rPr>
                <w:rFonts w:eastAsia="SimSun"/>
                <w:color w:val="000000"/>
              </w:rPr>
              <w:t xml:space="preserve">0.13 </w:t>
            </w:r>
          </w:p>
        </w:tc>
        <w:tc>
          <w:tcPr>
            <w:tcW w:w="901" w:type="dxa"/>
            <w:vAlign w:val="center"/>
          </w:tcPr>
          <w:p w14:paraId="2A232ED3" w14:textId="77777777" w:rsidR="007075D9" w:rsidRPr="004D46AC" w:rsidRDefault="007075D9" w:rsidP="002C5F6E">
            <w:pPr>
              <w:spacing w:line="240" w:lineRule="auto"/>
              <w:ind w:firstLine="0"/>
            </w:pPr>
            <w:r w:rsidRPr="004D46AC">
              <w:rPr>
                <w:rFonts w:eastAsia="SimSun"/>
                <w:color w:val="000000"/>
              </w:rPr>
              <w:t xml:space="preserve">0.33 </w:t>
            </w:r>
          </w:p>
        </w:tc>
      </w:tr>
      <w:tr w:rsidR="007075D9" w:rsidRPr="004D46AC" w14:paraId="4086D40F" w14:textId="77777777" w:rsidTr="00B518F1">
        <w:tc>
          <w:tcPr>
            <w:tcW w:w="1704" w:type="dxa"/>
            <w:vAlign w:val="center"/>
          </w:tcPr>
          <w:p w14:paraId="709058C7" w14:textId="77777777" w:rsidR="007075D9" w:rsidRPr="004D46AC" w:rsidRDefault="007075D9" w:rsidP="002C5F6E">
            <w:pPr>
              <w:spacing w:line="240" w:lineRule="auto"/>
              <w:ind w:firstLine="0"/>
            </w:pPr>
            <w:r w:rsidRPr="004D46AC">
              <w:rPr>
                <w:rFonts w:eastAsia="SimSun"/>
                <w:color w:val="000000"/>
              </w:rPr>
              <w:t>D4--D6</w:t>
            </w:r>
          </w:p>
        </w:tc>
        <w:tc>
          <w:tcPr>
            <w:tcW w:w="1098" w:type="dxa"/>
            <w:vAlign w:val="center"/>
          </w:tcPr>
          <w:p w14:paraId="6CAAAFD2" w14:textId="77777777" w:rsidR="007075D9" w:rsidRPr="004D46AC" w:rsidRDefault="007075D9" w:rsidP="002C5F6E">
            <w:pPr>
              <w:spacing w:line="240" w:lineRule="auto"/>
              <w:ind w:firstLine="0"/>
            </w:pPr>
            <w:r w:rsidRPr="004D46AC">
              <w:rPr>
                <w:rFonts w:eastAsia="SimSun"/>
                <w:color w:val="000000"/>
              </w:rPr>
              <w:t xml:space="preserve">0.04 </w:t>
            </w:r>
          </w:p>
        </w:tc>
        <w:tc>
          <w:tcPr>
            <w:tcW w:w="2409" w:type="dxa"/>
            <w:vAlign w:val="center"/>
          </w:tcPr>
          <w:p w14:paraId="6B27E9EC" w14:textId="77777777" w:rsidR="007075D9" w:rsidRPr="004D46AC" w:rsidRDefault="007075D9" w:rsidP="002C5F6E">
            <w:pPr>
              <w:spacing w:line="240" w:lineRule="auto"/>
              <w:ind w:firstLine="0"/>
            </w:pPr>
            <w:r w:rsidRPr="004D46AC">
              <w:rPr>
                <w:rFonts w:eastAsia="SimSun"/>
                <w:color w:val="000000"/>
              </w:rPr>
              <w:t xml:space="preserve">-0.03 </w:t>
            </w:r>
          </w:p>
        </w:tc>
        <w:tc>
          <w:tcPr>
            <w:tcW w:w="2410" w:type="dxa"/>
            <w:vAlign w:val="center"/>
          </w:tcPr>
          <w:p w14:paraId="7545EC75" w14:textId="77777777" w:rsidR="007075D9" w:rsidRPr="004D46AC" w:rsidRDefault="007075D9" w:rsidP="002C5F6E">
            <w:pPr>
              <w:spacing w:line="240" w:lineRule="auto"/>
              <w:ind w:firstLine="0"/>
            </w:pPr>
            <w:r w:rsidRPr="004D46AC">
              <w:rPr>
                <w:rFonts w:eastAsia="SimSun"/>
                <w:color w:val="000000"/>
              </w:rPr>
              <w:t xml:space="preserve">0.11 </w:t>
            </w:r>
          </w:p>
        </w:tc>
        <w:tc>
          <w:tcPr>
            <w:tcW w:w="901" w:type="dxa"/>
            <w:vAlign w:val="center"/>
          </w:tcPr>
          <w:p w14:paraId="168D29BC" w14:textId="77777777" w:rsidR="007075D9" w:rsidRPr="004D46AC" w:rsidRDefault="007075D9" w:rsidP="002C5F6E">
            <w:pPr>
              <w:spacing w:line="240" w:lineRule="auto"/>
              <w:ind w:firstLine="0"/>
            </w:pPr>
            <w:r w:rsidRPr="004D46AC">
              <w:rPr>
                <w:rFonts w:eastAsia="SimSun"/>
                <w:color w:val="000000"/>
              </w:rPr>
              <w:t xml:space="preserve">0.44 </w:t>
            </w:r>
          </w:p>
        </w:tc>
      </w:tr>
      <w:tr w:rsidR="007075D9" w:rsidRPr="004D46AC" w14:paraId="10471EF7" w14:textId="77777777" w:rsidTr="00B518F1">
        <w:tc>
          <w:tcPr>
            <w:tcW w:w="1704" w:type="dxa"/>
            <w:vAlign w:val="center"/>
          </w:tcPr>
          <w:p w14:paraId="0F821739" w14:textId="77777777" w:rsidR="007075D9" w:rsidRPr="004D46AC" w:rsidRDefault="007075D9" w:rsidP="002C5F6E">
            <w:pPr>
              <w:spacing w:line="240" w:lineRule="auto"/>
              <w:ind w:firstLine="0"/>
            </w:pPr>
            <w:r w:rsidRPr="004D46AC">
              <w:rPr>
                <w:rFonts w:eastAsia="SimSun"/>
                <w:color w:val="000000"/>
              </w:rPr>
              <w:t>D7--D9</w:t>
            </w:r>
          </w:p>
        </w:tc>
        <w:tc>
          <w:tcPr>
            <w:tcW w:w="1098" w:type="dxa"/>
            <w:vAlign w:val="center"/>
          </w:tcPr>
          <w:p w14:paraId="0CC19C09" w14:textId="77777777" w:rsidR="007075D9" w:rsidRPr="004D46AC" w:rsidRDefault="007075D9" w:rsidP="002C5F6E">
            <w:pPr>
              <w:spacing w:line="240" w:lineRule="auto"/>
              <w:ind w:firstLine="0"/>
            </w:pPr>
            <w:r w:rsidRPr="004D46AC">
              <w:rPr>
                <w:rFonts w:eastAsia="SimSun"/>
                <w:color w:val="000000"/>
              </w:rPr>
              <w:t xml:space="preserve">0.04 </w:t>
            </w:r>
          </w:p>
        </w:tc>
        <w:tc>
          <w:tcPr>
            <w:tcW w:w="2409" w:type="dxa"/>
            <w:vAlign w:val="center"/>
          </w:tcPr>
          <w:p w14:paraId="7A8BACD4" w14:textId="77777777" w:rsidR="007075D9" w:rsidRPr="004D46AC" w:rsidRDefault="007075D9" w:rsidP="002C5F6E">
            <w:pPr>
              <w:spacing w:line="240" w:lineRule="auto"/>
              <w:ind w:firstLine="0"/>
            </w:pPr>
            <w:r w:rsidRPr="004D46AC">
              <w:rPr>
                <w:rFonts w:eastAsia="SimSun"/>
                <w:color w:val="000000"/>
              </w:rPr>
              <w:t xml:space="preserve">-0.05 </w:t>
            </w:r>
          </w:p>
        </w:tc>
        <w:tc>
          <w:tcPr>
            <w:tcW w:w="2410" w:type="dxa"/>
            <w:vAlign w:val="center"/>
          </w:tcPr>
          <w:p w14:paraId="5B723D9F" w14:textId="77777777" w:rsidR="007075D9" w:rsidRPr="004D46AC" w:rsidRDefault="007075D9" w:rsidP="002C5F6E">
            <w:pPr>
              <w:spacing w:line="240" w:lineRule="auto"/>
              <w:ind w:firstLine="0"/>
            </w:pPr>
            <w:r w:rsidRPr="004D46AC">
              <w:rPr>
                <w:rFonts w:eastAsia="SimSun"/>
                <w:color w:val="000000"/>
              </w:rPr>
              <w:t xml:space="preserve">0.13 </w:t>
            </w:r>
          </w:p>
        </w:tc>
        <w:tc>
          <w:tcPr>
            <w:tcW w:w="901" w:type="dxa"/>
            <w:vAlign w:val="center"/>
          </w:tcPr>
          <w:p w14:paraId="48B2D94C" w14:textId="77777777" w:rsidR="007075D9" w:rsidRPr="004D46AC" w:rsidRDefault="007075D9" w:rsidP="002C5F6E">
            <w:pPr>
              <w:spacing w:line="240" w:lineRule="auto"/>
              <w:ind w:firstLine="0"/>
            </w:pPr>
            <w:r w:rsidRPr="004D46AC">
              <w:rPr>
                <w:rFonts w:eastAsia="SimSun"/>
                <w:color w:val="000000"/>
              </w:rPr>
              <w:t xml:space="preserve">0.36 </w:t>
            </w:r>
          </w:p>
        </w:tc>
      </w:tr>
      <w:tr w:rsidR="007075D9" w:rsidRPr="004D46AC" w14:paraId="060F5F04" w14:textId="77777777" w:rsidTr="00B518F1">
        <w:tc>
          <w:tcPr>
            <w:tcW w:w="1704" w:type="dxa"/>
            <w:vAlign w:val="center"/>
          </w:tcPr>
          <w:p w14:paraId="137BA1DB" w14:textId="77777777" w:rsidR="007075D9" w:rsidRPr="004D46AC" w:rsidRDefault="007075D9" w:rsidP="002C5F6E">
            <w:pPr>
              <w:spacing w:line="240" w:lineRule="auto"/>
              <w:ind w:firstLine="0"/>
            </w:pPr>
            <w:r w:rsidRPr="004D46AC">
              <w:rPr>
                <w:rFonts w:eastAsia="SimSun"/>
                <w:color w:val="000000"/>
              </w:rPr>
              <w:t>D3--D5</w:t>
            </w:r>
          </w:p>
        </w:tc>
        <w:tc>
          <w:tcPr>
            <w:tcW w:w="1098" w:type="dxa"/>
            <w:vAlign w:val="center"/>
          </w:tcPr>
          <w:p w14:paraId="08FD03E9" w14:textId="77777777" w:rsidR="007075D9" w:rsidRPr="004D46AC" w:rsidRDefault="007075D9" w:rsidP="002C5F6E">
            <w:pPr>
              <w:spacing w:line="240" w:lineRule="auto"/>
              <w:ind w:firstLine="0"/>
            </w:pPr>
            <w:r w:rsidRPr="004D46AC">
              <w:rPr>
                <w:rFonts w:eastAsia="SimSun"/>
                <w:color w:val="000000"/>
              </w:rPr>
              <w:t xml:space="preserve">0.04 </w:t>
            </w:r>
          </w:p>
        </w:tc>
        <w:tc>
          <w:tcPr>
            <w:tcW w:w="2409" w:type="dxa"/>
            <w:vAlign w:val="center"/>
          </w:tcPr>
          <w:p w14:paraId="6D8BC1B5"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25932235" w14:textId="77777777" w:rsidR="007075D9" w:rsidRPr="004D46AC" w:rsidRDefault="007075D9" w:rsidP="002C5F6E">
            <w:pPr>
              <w:spacing w:line="240" w:lineRule="auto"/>
              <w:ind w:firstLine="0"/>
            </w:pPr>
            <w:r w:rsidRPr="004D46AC">
              <w:rPr>
                <w:rFonts w:eastAsia="SimSun"/>
                <w:color w:val="000000"/>
              </w:rPr>
              <w:t xml:space="preserve">0.11 </w:t>
            </w:r>
          </w:p>
        </w:tc>
        <w:tc>
          <w:tcPr>
            <w:tcW w:w="901" w:type="dxa"/>
            <w:vAlign w:val="center"/>
          </w:tcPr>
          <w:p w14:paraId="189422FF" w14:textId="77777777" w:rsidR="007075D9" w:rsidRPr="004D46AC" w:rsidRDefault="007075D9" w:rsidP="002C5F6E">
            <w:pPr>
              <w:spacing w:line="240" w:lineRule="auto"/>
              <w:ind w:firstLine="0"/>
            </w:pPr>
            <w:r w:rsidRPr="004D46AC">
              <w:rPr>
                <w:rFonts w:eastAsia="SimSun"/>
                <w:color w:val="000000"/>
              </w:rPr>
              <w:t xml:space="preserve">0.41 </w:t>
            </w:r>
          </w:p>
        </w:tc>
      </w:tr>
      <w:tr w:rsidR="007075D9" w:rsidRPr="004D46AC" w14:paraId="43D2C1FE" w14:textId="77777777" w:rsidTr="00B518F1">
        <w:tc>
          <w:tcPr>
            <w:tcW w:w="1704" w:type="dxa"/>
            <w:vAlign w:val="center"/>
          </w:tcPr>
          <w:p w14:paraId="16BCCFC8" w14:textId="77777777" w:rsidR="007075D9" w:rsidRPr="004D46AC" w:rsidRDefault="007075D9" w:rsidP="002C5F6E">
            <w:pPr>
              <w:spacing w:line="240" w:lineRule="auto"/>
              <w:ind w:firstLine="0"/>
            </w:pPr>
            <w:r w:rsidRPr="004D46AC">
              <w:rPr>
                <w:rFonts w:eastAsia="SimSun"/>
                <w:color w:val="000000"/>
              </w:rPr>
              <w:t>D1--D8</w:t>
            </w:r>
          </w:p>
        </w:tc>
        <w:tc>
          <w:tcPr>
            <w:tcW w:w="1098" w:type="dxa"/>
            <w:vAlign w:val="center"/>
          </w:tcPr>
          <w:p w14:paraId="647BEF64" w14:textId="77777777" w:rsidR="007075D9" w:rsidRPr="004D46AC" w:rsidRDefault="007075D9" w:rsidP="002C5F6E">
            <w:pPr>
              <w:spacing w:line="240" w:lineRule="auto"/>
              <w:ind w:firstLine="0"/>
            </w:pPr>
            <w:r w:rsidRPr="004D46AC">
              <w:rPr>
                <w:rFonts w:eastAsia="SimSun"/>
                <w:color w:val="000000"/>
              </w:rPr>
              <w:t xml:space="preserve">0.04 </w:t>
            </w:r>
          </w:p>
        </w:tc>
        <w:tc>
          <w:tcPr>
            <w:tcW w:w="2409" w:type="dxa"/>
            <w:vAlign w:val="center"/>
          </w:tcPr>
          <w:p w14:paraId="019BB0F7" w14:textId="77777777" w:rsidR="007075D9" w:rsidRPr="004D46AC" w:rsidRDefault="007075D9" w:rsidP="002C5F6E">
            <w:pPr>
              <w:spacing w:line="240" w:lineRule="auto"/>
              <w:ind w:firstLine="0"/>
            </w:pPr>
            <w:r w:rsidRPr="004D46AC">
              <w:rPr>
                <w:rFonts w:eastAsia="SimSun"/>
                <w:color w:val="000000"/>
              </w:rPr>
              <w:t xml:space="preserve">-0.04 </w:t>
            </w:r>
          </w:p>
        </w:tc>
        <w:tc>
          <w:tcPr>
            <w:tcW w:w="2410" w:type="dxa"/>
            <w:vAlign w:val="center"/>
          </w:tcPr>
          <w:p w14:paraId="4CE09AD8" w14:textId="77777777" w:rsidR="007075D9" w:rsidRPr="004D46AC" w:rsidRDefault="007075D9" w:rsidP="002C5F6E">
            <w:pPr>
              <w:spacing w:line="240" w:lineRule="auto"/>
              <w:ind w:firstLine="0"/>
            </w:pPr>
            <w:r w:rsidRPr="004D46AC">
              <w:rPr>
                <w:rFonts w:eastAsia="SimSun"/>
                <w:color w:val="000000"/>
              </w:rPr>
              <w:t xml:space="preserve">0.11 </w:t>
            </w:r>
          </w:p>
        </w:tc>
        <w:tc>
          <w:tcPr>
            <w:tcW w:w="901" w:type="dxa"/>
            <w:vAlign w:val="center"/>
          </w:tcPr>
          <w:p w14:paraId="5FA12344" w14:textId="77777777" w:rsidR="007075D9" w:rsidRPr="004D46AC" w:rsidRDefault="007075D9" w:rsidP="002C5F6E">
            <w:pPr>
              <w:spacing w:line="240" w:lineRule="auto"/>
              <w:ind w:firstLine="0"/>
            </w:pPr>
            <w:r w:rsidRPr="004D46AC">
              <w:rPr>
                <w:rFonts w:eastAsia="SimSun"/>
                <w:color w:val="000000"/>
              </w:rPr>
              <w:t xml:space="preserve">0.48 </w:t>
            </w:r>
          </w:p>
        </w:tc>
      </w:tr>
      <w:tr w:rsidR="007075D9" w:rsidRPr="004D46AC" w14:paraId="3C5F3FB1" w14:textId="77777777" w:rsidTr="00B518F1">
        <w:tc>
          <w:tcPr>
            <w:tcW w:w="1704" w:type="dxa"/>
            <w:vAlign w:val="center"/>
          </w:tcPr>
          <w:p w14:paraId="07690265" w14:textId="77777777" w:rsidR="007075D9" w:rsidRPr="004D46AC" w:rsidRDefault="007075D9" w:rsidP="002C5F6E">
            <w:pPr>
              <w:spacing w:line="240" w:lineRule="auto"/>
              <w:ind w:firstLine="0"/>
            </w:pPr>
            <w:r w:rsidRPr="004D46AC">
              <w:rPr>
                <w:rFonts w:eastAsia="SimSun"/>
                <w:color w:val="000000"/>
              </w:rPr>
              <w:lastRenderedPageBreak/>
              <w:t>D8--M7</w:t>
            </w:r>
          </w:p>
        </w:tc>
        <w:tc>
          <w:tcPr>
            <w:tcW w:w="1098" w:type="dxa"/>
            <w:vAlign w:val="center"/>
          </w:tcPr>
          <w:p w14:paraId="628D9D5A" w14:textId="77777777" w:rsidR="007075D9" w:rsidRPr="004D46AC" w:rsidRDefault="007075D9" w:rsidP="002C5F6E">
            <w:pPr>
              <w:spacing w:line="240" w:lineRule="auto"/>
              <w:ind w:firstLine="0"/>
            </w:pPr>
            <w:r w:rsidRPr="004D46AC">
              <w:rPr>
                <w:rFonts w:eastAsia="SimSun"/>
                <w:color w:val="000000"/>
              </w:rPr>
              <w:t xml:space="preserve">-0.10 </w:t>
            </w:r>
          </w:p>
        </w:tc>
        <w:tc>
          <w:tcPr>
            <w:tcW w:w="2409" w:type="dxa"/>
            <w:vAlign w:val="center"/>
          </w:tcPr>
          <w:p w14:paraId="6DDA7C87" w14:textId="77777777" w:rsidR="007075D9" w:rsidRPr="004D46AC" w:rsidRDefault="007075D9" w:rsidP="002C5F6E">
            <w:pPr>
              <w:spacing w:line="240" w:lineRule="auto"/>
              <w:ind w:firstLine="0"/>
            </w:pPr>
            <w:r w:rsidRPr="004D46AC">
              <w:rPr>
                <w:rFonts w:eastAsia="SimSun"/>
                <w:color w:val="000000"/>
              </w:rPr>
              <w:t xml:space="preserve">-0.25 </w:t>
            </w:r>
          </w:p>
        </w:tc>
        <w:tc>
          <w:tcPr>
            <w:tcW w:w="2410" w:type="dxa"/>
            <w:vAlign w:val="center"/>
          </w:tcPr>
          <w:p w14:paraId="71E84A64" w14:textId="77777777" w:rsidR="007075D9" w:rsidRPr="004D46AC" w:rsidRDefault="007075D9" w:rsidP="002C5F6E">
            <w:pPr>
              <w:spacing w:line="240" w:lineRule="auto"/>
              <w:ind w:firstLine="0"/>
            </w:pPr>
            <w:r w:rsidRPr="004D46AC">
              <w:rPr>
                <w:rFonts w:eastAsia="SimSun"/>
                <w:color w:val="000000"/>
              </w:rPr>
              <w:t xml:space="preserve">0.05 </w:t>
            </w:r>
          </w:p>
        </w:tc>
        <w:tc>
          <w:tcPr>
            <w:tcW w:w="901" w:type="dxa"/>
            <w:vAlign w:val="center"/>
          </w:tcPr>
          <w:p w14:paraId="777AC833" w14:textId="77777777" w:rsidR="007075D9" w:rsidRPr="004D46AC" w:rsidRDefault="007075D9" w:rsidP="002C5F6E">
            <w:pPr>
              <w:spacing w:line="240" w:lineRule="auto"/>
              <w:ind w:firstLine="0"/>
            </w:pPr>
            <w:r w:rsidRPr="004D46AC">
              <w:rPr>
                <w:rFonts w:eastAsia="SimSun"/>
                <w:color w:val="000000"/>
              </w:rPr>
              <w:t xml:space="preserve">0.35 </w:t>
            </w:r>
          </w:p>
        </w:tc>
      </w:tr>
      <w:tr w:rsidR="007075D9" w:rsidRPr="004D46AC" w14:paraId="00EC1E8B" w14:textId="77777777" w:rsidTr="00B518F1">
        <w:tc>
          <w:tcPr>
            <w:tcW w:w="1704" w:type="dxa"/>
            <w:vAlign w:val="center"/>
          </w:tcPr>
          <w:p w14:paraId="2D1B4A2F" w14:textId="77777777" w:rsidR="007075D9" w:rsidRPr="004D46AC" w:rsidRDefault="007075D9" w:rsidP="002C5F6E">
            <w:pPr>
              <w:spacing w:line="240" w:lineRule="auto"/>
              <w:ind w:firstLine="0"/>
            </w:pPr>
            <w:r w:rsidRPr="004D46AC">
              <w:rPr>
                <w:rFonts w:eastAsia="SimSun"/>
                <w:color w:val="000000"/>
              </w:rPr>
              <w:t>D8--M6</w:t>
            </w:r>
          </w:p>
        </w:tc>
        <w:tc>
          <w:tcPr>
            <w:tcW w:w="1098" w:type="dxa"/>
            <w:vAlign w:val="center"/>
          </w:tcPr>
          <w:p w14:paraId="0AF9C199" w14:textId="77777777" w:rsidR="007075D9" w:rsidRPr="004D46AC" w:rsidRDefault="007075D9" w:rsidP="002C5F6E">
            <w:pPr>
              <w:spacing w:line="240" w:lineRule="auto"/>
              <w:ind w:firstLine="0"/>
            </w:pPr>
            <w:r w:rsidRPr="004D46AC">
              <w:rPr>
                <w:rFonts w:eastAsia="SimSun"/>
                <w:color w:val="000000"/>
              </w:rPr>
              <w:t xml:space="preserve">-0.11 </w:t>
            </w:r>
          </w:p>
        </w:tc>
        <w:tc>
          <w:tcPr>
            <w:tcW w:w="2409" w:type="dxa"/>
            <w:vAlign w:val="center"/>
          </w:tcPr>
          <w:p w14:paraId="2A84B9DD" w14:textId="77777777" w:rsidR="007075D9" w:rsidRPr="004D46AC" w:rsidRDefault="007075D9" w:rsidP="002C5F6E">
            <w:pPr>
              <w:spacing w:line="240" w:lineRule="auto"/>
              <w:ind w:firstLine="0"/>
            </w:pPr>
            <w:r w:rsidRPr="004D46AC">
              <w:rPr>
                <w:rFonts w:eastAsia="SimSun"/>
                <w:color w:val="000000"/>
              </w:rPr>
              <w:t xml:space="preserve">-0.26 </w:t>
            </w:r>
          </w:p>
        </w:tc>
        <w:tc>
          <w:tcPr>
            <w:tcW w:w="2410" w:type="dxa"/>
            <w:vAlign w:val="center"/>
          </w:tcPr>
          <w:p w14:paraId="40DB1E5D" w14:textId="77777777" w:rsidR="007075D9" w:rsidRPr="004D46AC" w:rsidRDefault="007075D9" w:rsidP="002C5F6E">
            <w:pPr>
              <w:spacing w:line="240" w:lineRule="auto"/>
              <w:ind w:firstLine="0"/>
            </w:pPr>
            <w:r w:rsidRPr="004D46AC">
              <w:rPr>
                <w:rFonts w:eastAsia="SimSun"/>
                <w:color w:val="000000"/>
              </w:rPr>
              <w:t xml:space="preserve">0.05 </w:t>
            </w:r>
          </w:p>
        </w:tc>
        <w:tc>
          <w:tcPr>
            <w:tcW w:w="901" w:type="dxa"/>
            <w:vAlign w:val="center"/>
          </w:tcPr>
          <w:p w14:paraId="3128AFC6" w14:textId="77777777" w:rsidR="007075D9" w:rsidRPr="004D46AC" w:rsidRDefault="007075D9" w:rsidP="002C5F6E">
            <w:pPr>
              <w:spacing w:line="240" w:lineRule="auto"/>
              <w:ind w:firstLine="0"/>
            </w:pPr>
            <w:r w:rsidRPr="004D46AC">
              <w:rPr>
                <w:rFonts w:eastAsia="SimSun"/>
                <w:color w:val="000000"/>
              </w:rPr>
              <w:t xml:space="preserve">0.35 </w:t>
            </w:r>
          </w:p>
        </w:tc>
      </w:tr>
      <w:tr w:rsidR="007075D9" w:rsidRPr="004D46AC" w14:paraId="72864E57" w14:textId="77777777" w:rsidTr="00B518F1">
        <w:tc>
          <w:tcPr>
            <w:tcW w:w="1704" w:type="dxa"/>
            <w:vAlign w:val="center"/>
          </w:tcPr>
          <w:p w14:paraId="7D5C6547" w14:textId="77777777" w:rsidR="007075D9" w:rsidRPr="004D46AC" w:rsidRDefault="007075D9" w:rsidP="002C5F6E">
            <w:pPr>
              <w:spacing w:line="240" w:lineRule="auto"/>
              <w:ind w:firstLine="0"/>
            </w:pPr>
            <w:r w:rsidRPr="004D46AC">
              <w:rPr>
                <w:rFonts w:eastAsia="SimSun"/>
                <w:color w:val="000000"/>
              </w:rPr>
              <w:t>D6--M3</w:t>
            </w:r>
          </w:p>
        </w:tc>
        <w:tc>
          <w:tcPr>
            <w:tcW w:w="1098" w:type="dxa"/>
            <w:vAlign w:val="center"/>
          </w:tcPr>
          <w:p w14:paraId="5CA64A21" w14:textId="77777777" w:rsidR="007075D9" w:rsidRPr="004D46AC" w:rsidRDefault="007075D9" w:rsidP="002C5F6E">
            <w:pPr>
              <w:spacing w:line="240" w:lineRule="auto"/>
              <w:ind w:firstLine="0"/>
            </w:pPr>
            <w:r w:rsidRPr="004D46AC">
              <w:rPr>
                <w:rFonts w:eastAsia="SimSun"/>
                <w:color w:val="000000"/>
              </w:rPr>
              <w:t xml:space="preserve">-0.13 </w:t>
            </w:r>
          </w:p>
        </w:tc>
        <w:tc>
          <w:tcPr>
            <w:tcW w:w="2409" w:type="dxa"/>
            <w:vAlign w:val="center"/>
          </w:tcPr>
          <w:p w14:paraId="7276CA99" w14:textId="77777777" w:rsidR="007075D9" w:rsidRPr="004D46AC" w:rsidRDefault="007075D9" w:rsidP="002C5F6E">
            <w:pPr>
              <w:spacing w:line="240" w:lineRule="auto"/>
              <w:ind w:firstLine="0"/>
            </w:pPr>
            <w:r w:rsidRPr="004D46AC">
              <w:rPr>
                <w:rFonts w:eastAsia="SimSun"/>
                <w:color w:val="000000"/>
              </w:rPr>
              <w:t xml:space="preserve">-0.31 </w:t>
            </w:r>
          </w:p>
        </w:tc>
        <w:tc>
          <w:tcPr>
            <w:tcW w:w="2410" w:type="dxa"/>
            <w:vAlign w:val="center"/>
          </w:tcPr>
          <w:p w14:paraId="52473E07" w14:textId="77777777" w:rsidR="007075D9" w:rsidRPr="004D46AC" w:rsidRDefault="007075D9" w:rsidP="002C5F6E">
            <w:pPr>
              <w:spacing w:line="240" w:lineRule="auto"/>
              <w:ind w:firstLine="0"/>
            </w:pPr>
            <w:r w:rsidRPr="004D46AC">
              <w:rPr>
                <w:rFonts w:eastAsia="SimSun"/>
                <w:color w:val="000000"/>
              </w:rPr>
              <w:t xml:space="preserve">0.05 </w:t>
            </w:r>
          </w:p>
        </w:tc>
        <w:tc>
          <w:tcPr>
            <w:tcW w:w="901" w:type="dxa"/>
            <w:vAlign w:val="center"/>
          </w:tcPr>
          <w:p w14:paraId="1223627F" w14:textId="77777777" w:rsidR="007075D9" w:rsidRPr="004D46AC" w:rsidRDefault="007075D9" w:rsidP="002C5F6E">
            <w:pPr>
              <w:spacing w:line="240" w:lineRule="auto"/>
              <w:ind w:firstLine="0"/>
            </w:pPr>
            <w:r w:rsidRPr="004D46AC">
              <w:rPr>
                <w:rFonts w:eastAsia="SimSun"/>
                <w:color w:val="000000"/>
              </w:rPr>
              <w:t xml:space="preserve">0.24 </w:t>
            </w:r>
          </w:p>
        </w:tc>
      </w:tr>
      <w:tr w:rsidR="007075D9" w:rsidRPr="004D46AC" w14:paraId="7AD5FCF6" w14:textId="77777777" w:rsidTr="00B518F1">
        <w:tc>
          <w:tcPr>
            <w:tcW w:w="1704" w:type="dxa"/>
            <w:vAlign w:val="center"/>
          </w:tcPr>
          <w:p w14:paraId="25786641" w14:textId="77777777" w:rsidR="007075D9" w:rsidRPr="004D46AC" w:rsidRDefault="007075D9" w:rsidP="002C5F6E">
            <w:pPr>
              <w:spacing w:line="240" w:lineRule="auto"/>
              <w:ind w:firstLine="0"/>
            </w:pPr>
            <w:r w:rsidRPr="004D46AC">
              <w:rPr>
                <w:rFonts w:eastAsia="SimSun"/>
                <w:color w:val="000000"/>
              </w:rPr>
              <w:t>M6--M13</w:t>
            </w:r>
          </w:p>
        </w:tc>
        <w:tc>
          <w:tcPr>
            <w:tcW w:w="1098" w:type="dxa"/>
            <w:vAlign w:val="center"/>
          </w:tcPr>
          <w:p w14:paraId="16F78ED4" w14:textId="77777777" w:rsidR="007075D9" w:rsidRPr="004D46AC" w:rsidRDefault="007075D9" w:rsidP="002C5F6E">
            <w:pPr>
              <w:spacing w:line="240" w:lineRule="auto"/>
              <w:ind w:firstLine="0"/>
            </w:pPr>
            <w:r w:rsidRPr="004D46AC">
              <w:rPr>
                <w:rFonts w:eastAsia="SimSun"/>
                <w:color w:val="000000"/>
              </w:rPr>
              <w:t xml:space="preserve">-0.37 </w:t>
            </w:r>
          </w:p>
        </w:tc>
        <w:tc>
          <w:tcPr>
            <w:tcW w:w="2409" w:type="dxa"/>
            <w:vAlign w:val="center"/>
          </w:tcPr>
          <w:p w14:paraId="322F0BDF" w14:textId="77777777" w:rsidR="007075D9" w:rsidRPr="004D46AC" w:rsidRDefault="007075D9" w:rsidP="002C5F6E">
            <w:pPr>
              <w:spacing w:line="240" w:lineRule="auto"/>
              <w:ind w:firstLine="0"/>
            </w:pPr>
            <w:r w:rsidRPr="004D46AC">
              <w:rPr>
                <w:rFonts w:eastAsia="SimSun"/>
                <w:color w:val="000000"/>
              </w:rPr>
              <w:t xml:space="preserve">-0.95 </w:t>
            </w:r>
          </w:p>
        </w:tc>
        <w:tc>
          <w:tcPr>
            <w:tcW w:w="2410" w:type="dxa"/>
            <w:vAlign w:val="center"/>
          </w:tcPr>
          <w:p w14:paraId="51E72DF9" w14:textId="77777777" w:rsidR="007075D9" w:rsidRPr="004D46AC" w:rsidRDefault="007075D9" w:rsidP="002C5F6E">
            <w:pPr>
              <w:spacing w:line="240" w:lineRule="auto"/>
              <w:ind w:firstLine="0"/>
            </w:pPr>
            <w:r w:rsidRPr="004D46AC">
              <w:rPr>
                <w:rFonts w:eastAsia="SimSun"/>
                <w:color w:val="000000"/>
              </w:rPr>
              <w:t xml:space="preserve">0.21 </w:t>
            </w:r>
          </w:p>
        </w:tc>
        <w:tc>
          <w:tcPr>
            <w:tcW w:w="901" w:type="dxa"/>
            <w:vAlign w:val="center"/>
          </w:tcPr>
          <w:p w14:paraId="2CDB79A2" w14:textId="77777777" w:rsidR="007075D9" w:rsidRPr="004D46AC" w:rsidRDefault="007075D9" w:rsidP="002C5F6E">
            <w:pPr>
              <w:spacing w:line="240" w:lineRule="auto"/>
              <w:ind w:firstLine="0"/>
            </w:pPr>
            <w:r w:rsidRPr="004D46AC">
              <w:rPr>
                <w:rFonts w:eastAsia="SimSun"/>
                <w:color w:val="000000"/>
              </w:rPr>
              <w:t xml:space="preserve">0.29 </w:t>
            </w:r>
          </w:p>
        </w:tc>
      </w:tr>
    </w:tbl>
    <w:p w14:paraId="7E5663A6" w14:textId="77777777" w:rsidR="007075D9" w:rsidRPr="004D46AC" w:rsidRDefault="007075D9" w:rsidP="002C5F6E">
      <w:pPr>
        <w:spacing w:line="240" w:lineRule="auto"/>
        <w:ind w:firstLine="0"/>
      </w:pPr>
      <w:r w:rsidRPr="004D46AC">
        <w:rPr>
          <w:i/>
          <w:iCs/>
        </w:rPr>
        <w:t>Note</w:t>
      </w:r>
      <w:r w:rsidRPr="004D46AC">
        <w:t xml:space="preserve">. </w:t>
      </w:r>
      <w:r w:rsidRPr="004D46AC">
        <w:rPr>
          <w:rFonts w:hint="eastAsia"/>
        </w:rPr>
        <w:t>Edges are arranged from top to bottom according to their numeric weights, from highest positive to lowest negative values.</w:t>
      </w:r>
      <w:r w:rsidRPr="004D46AC">
        <w:t xml:space="preserve"> The BCI (lower–upper) indicates the confidence intervals of each edge in the bootstrapped networks, based on 2,000 bootstrap samples. P0 represents the proportion of bootstrap samples in which the edge weight was zero. Only edges with non-zero weights are presented in this table.</w:t>
      </w:r>
    </w:p>
    <w:p w14:paraId="5339C1ED" w14:textId="77777777" w:rsidR="007075D9" w:rsidRPr="004D46AC" w:rsidRDefault="007075D9" w:rsidP="002C5F6E">
      <w:pPr>
        <w:spacing w:line="240" w:lineRule="auto"/>
        <w:ind w:firstLine="0"/>
      </w:pPr>
    </w:p>
    <w:p w14:paraId="69D18D38" w14:textId="77777777" w:rsidR="007075D9" w:rsidRPr="004D46AC" w:rsidRDefault="007075D9" w:rsidP="002C5F6E">
      <w:pPr>
        <w:spacing w:line="240" w:lineRule="auto"/>
        <w:ind w:firstLine="0"/>
      </w:pPr>
    </w:p>
    <w:p w14:paraId="27237B4E" w14:textId="77777777" w:rsidR="007075D9" w:rsidRPr="004D46AC" w:rsidRDefault="007075D9" w:rsidP="002C5F6E">
      <w:pPr>
        <w:spacing w:line="240" w:lineRule="auto"/>
        <w:ind w:firstLine="0"/>
      </w:pPr>
    </w:p>
    <w:p w14:paraId="173E30A3" w14:textId="77777777" w:rsidR="007075D9" w:rsidRPr="004D46AC" w:rsidRDefault="007075D9" w:rsidP="002C5F6E">
      <w:pPr>
        <w:spacing w:line="240" w:lineRule="auto"/>
        <w:ind w:firstLine="0"/>
      </w:pPr>
    </w:p>
    <w:p w14:paraId="47DC93C3" w14:textId="77777777" w:rsidR="007075D9" w:rsidRPr="004D46AC" w:rsidRDefault="007075D9" w:rsidP="002C5F6E">
      <w:pPr>
        <w:spacing w:line="240" w:lineRule="auto"/>
        <w:ind w:firstLine="0"/>
      </w:pPr>
    </w:p>
    <w:p w14:paraId="741D82AB" w14:textId="77777777" w:rsidR="007075D9" w:rsidRPr="004D46AC" w:rsidRDefault="007075D9" w:rsidP="002C5F6E">
      <w:pPr>
        <w:spacing w:line="240" w:lineRule="auto"/>
        <w:ind w:firstLine="0"/>
      </w:pPr>
    </w:p>
    <w:p w14:paraId="2B2ACA5E" w14:textId="77777777" w:rsidR="007075D9" w:rsidRPr="004D46AC" w:rsidRDefault="007075D9" w:rsidP="002C5F6E">
      <w:pPr>
        <w:spacing w:line="240" w:lineRule="auto"/>
        <w:ind w:firstLine="0"/>
      </w:pPr>
    </w:p>
    <w:p w14:paraId="23A22F86" w14:textId="77777777" w:rsidR="007075D9" w:rsidRPr="004D46AC" w:rsidRDefault="007075D9" w:rsidP="002C5F6E">
      <w:pPr>
        <w:spacing w:line="240" w:lineRule="auto"/>
        <w:ind w:firstLine="0"/>
      </w:pPr>
    </w:p>
    <w:p w14:paraId="2005E413" w14:textId="77777777" w:rsidR="007075D9" w:rsidRPr="004D46AC" w:rsidRDefault="007075D9" w:rsidP="002C5F6E">
      <w:pPr>
        <w:spacing w:line="240" w:lineRule="auto"/>
        <w:ind w:firstLine="0"/>
      </w:pPr>
    </w:p>
    <w:p w14:paraId="1D0B6FD1" w14:textId="77777777" w:rsidR="007075D9" w:rsidRPr="004D46AC" w:rsidRDefault="007075D9" w:rsidP="002C5F6E">
      <w:pPr>
        <w:spacing w:line="240" w:lineRule="auto"/>
        <w:ind w:firstLine="0"/>
      </w:pPr>
    </w:p>
    <w:p w14:paraId="5ACD6045" w14:textId="77777777" w:rsidR="007075D9" w:rsidRPr="004D46AC" w:rsidRDefault="007075D9" w:rsidP="002C5F6E">
      <w:pPr>
        <w:spacing w:line="240" w:lineRule="auto"/>
        <w:ind w:firstLine="0"/>
      </w:pPr>
    </w:p>
    <w:p w14:paraId="13F30B83" w14:textId="77777777" w:rsidR="007075D9" w:rsidRPr="004D46AC" w:rsidRDefault="007075D9" w:rsidP="002C5F6E">
      <w:pPr>
        <w:spacing w:line="240" w:lineRule="auto"/>
        <w:ind w:firstLine="0"/>
      </w:pPr>
    </w:p>
    <w:p w14:paraId="6E0D6F43" w14:textId="77777777" w:rsidR="007075D9" w:rsidRPr="004D46AC" w:rsidRDefault="007075D9" w:rsidP="002C5F6E">
      <w:pPr>
        <w:spacing w:line="240" w:lineRule="auto"/>
        <w:ind w:firstLine="0"/>
      </w:pPr>
    </w:p>
    <w:p w14:paraId="147252E8" w14:textId="77777777" w:rsidR="007075D9" w:rsidRPr="004D46AC" w:rsidRDefault="007075D9" w:rsidP="002C5F6E">
      <w:pPr>
        <w:spacing w:line="240" w:lineRule="auto"/>
        <w:ind w:firstLine="0"/>
      </w:pPr>
    </w:p>
    <w:p w14:paraId="00E3419C" w14:textId="77777777" w:rsidR="007075D9" w:rsidRPr="004D46AC" w:rsidRDefault="007075D9" w:rsidP="002C5F6E">
      <w:pPr>
        <w:spacing w:line="240" w:lineRule="auto"/>
        <w:ind w:firstLine="0"/>
      </w:pPr>
    </w:p>
    <w:p w14:paraId="2958C169" w14:textId="77777777" w:rsidR="007075D9" w:rsidRPr="004D46AC" w:rsidRDefault="007075D9" w:rsidP="002C5F6E">
      <w:pPr>
        <w:spacing w:line="240" w:lineRule="auto"/>
        <w:ind w:firstLine="0"/>
      </w:pPr>
    </w:p>
    <w:p w14:paraId="4D00946A" w14:textId="77777777" w:rsidR="007075D9" w:rsidRPr="004D46AC" w:rsidRDefault="007075D9" w:rsidP="002C5F6E">
      <w:pPr>
        <w:spacing w:line="240" w:lineRule="auto"/>
        <w:ind w:firstLine="0"/>
      </w:pPr>
    </w:p>
    <w:p w14:paraId="2A4A7F7D" w14:textId="77777777" w:rsidR="007075D9" w:rsidRPr="004D46AC" w:rsidRDefault="007075D9" w:rsidP="002C5F6E">
      <w:pPr>
        <w:spacing w:line="240" w:lineRule="auto"/>
        <w:ind w:firstLine="0"/>
      </w:pPr>
    </w:p>
    <w:p w14:paraId="07099975" w14:textId="77777777" w:rsidR="007075D9" w:rsidRPr="004D46AC" w:rsidRDefault="007075D9" w:rsidP="002C5F6E">
      <w:pPr>
        <w:spacing w:line="240" w:lineRule="auto"/>
        <w:ind w:firstLine="0"/>
        <w:rPr>
          <w:noProof/>
        </w:rPr>
      </w:pPr>
    </w:p>
    <w:p w14:paraId="1650D614" w14:textId="77777777" w:rsidR="007075D9" w:rsidRPr="004D46AC" w:rsidRDefault="007075D9" w:rsidP="002C5F6E">
      <w:pPr>
        <w:spacing w:line="240" w:lineRule="auto"/>
        <w:ind w:firstLine="0"/>
        <w:rPr>
          <w:noProof/>
        </w:rPr>
      </w:pPr>
    </w:p>
    <w:p w14:paraId="36317610" w14:textId="77777777" w:rsidR="007075D9" w:rsidRPr="004D46AC" w:rsidRDefault="007075D9" w:rsidP="002C5F6E">
      <w:pPr>
        <w:spacing w:line="240" w:lineRule="auto"/>
        <w:ind w:firstLine="0"/>
        <w:rPr>
          <w:noProof/>
        </w:rPr>
      </w:pPr>
    </w:p>
    <w:p w14:paraId="228B1184" w14:textId="77777777" w:rsidR="007075D9" w:rsidRPr="004D46AC" w:rsidRDefault="007075D9" w:rsidP="002C5F6E">
      <w:pPr>
        <w:spacing w:line="240" w:lineRule="auto"/>
        <w:ind w:firstLine="0"/>
        <w:rPr>
          <w:noProof/>
        </w:rPr>
      </w:pPr>
    </w:p>
    <w:p w14:paraId="4C2BB64A" w14:textId="77777777" w:rsidR="007075D9" w:rsidRPr="004D46AC" w:rsidRDefault="007075D9" w:rsidP="002C5F6E">
      <w:pPr>
        <w:spacing w:line="240" w:lineRule="auto"/>
        <w:ind w:firstLine="0"/>
        <w:rPr>
          <w:rFonts w:eastAsiaTheme="minorEastAsia"/>
          <w:noProof/>
        </w:rPr>
      </w:pPr>
    </w:p>
    <w:p w14:paraId="2B484934" w14:textId="77777777" w:rsidR="00CC3324" w:rsidRPr="004D46AC" w:rsidRDefault="00CC3324" w:rsidP="002C5F6E">
      <w:pPr>
        <w:spacing w:line="240" w:lineRule="auto"/>
        <w:ind w:firstLine="0"/>
        <w:rPr>
          <w:rFonts w:eastAsiaTheme="minorEastAsia"/>
          <w:noProof/>
        </w:rPr>
      </w:pPr>
    </w:p>
    <w:p w14:paraId="526D3F31" w14:textId="77777777" w:rsidR="00CC3324" w:rsidRPr="004D46AC" w:rsidRDefault="00CC3324" w:rsidP="002C5F6E">
      <w:pPr>
        <w:spacing w:line="240" w:lineRule="auto"/>
        <w:ind w:firstLine="0"/>
        <w:rPr>
          <w:rFonts w:eastAsiaTheme="minorEastAsia"/>
          <w:noProof/>
        </w:rPr>
      </w:pPr>
    </w:p>
    <w:p w14:paraId="51D3E032" w14:textId="77777777" w:rsidR="00CC3324" w:rsidRPr="004D46AC" w:rsidRDefault="00CC3324" w:rsidP="002C5F6E">
      <w:pPr>
        <w:spacing w:line="240" w:lineRule="auto"/>
        <w:ind w:firstLine="0"/>
        <w:rPr>
          <w:rFonts w:eastAsiaTheme="minorEastAsia"/>
          <w:noProof/>
        </w:rPr>
      </w:pPr>
    </w:p>
    <w:p w14:paraId="44EDB0FF" w14:textId="77777777" w:rsidR="00CC3324" w:rsidRPr="004D46AC" w:rsidRDefault="00CC3324" w:rsidP="002C5F6E">
      <w:pPr>
        <w:spacing w:line="240" w:lineRule="auto"/>
        <w:ind w:firstLine="0"/>
        <w:rPr>
          <w:rFonts w:eastAsiaTheme="minorEastAsia"/>
          <w:noProof/>
        </w:rPr>
      </w:pPr>
    </w:p>
    <w:p w14:paraId="7BCBCC48" w14:textId="77777777" w:rsidR="00CC3324" w:rsidRPr="004D46AC" w:rsidRDefault="00CC3324" w:rsidP="002C5F6E">
      <w:pPr>
        <w:spacing w:line="240" w:lineRule="auto"/>
        <w:ind w:firstLine="0"/>
        <w:rPr>
          <w:rFonts w:eastAsiaTheme="minorEastAsia"/>
          <w:noProof/>
        </w:rPr>
      </w:pPr>
    </w:p>
    <w:p w14:paraId="550FC38D" w14:textId="77777777" w:rsidR="00CC3324" w:rsidRPr="004D46AC" w:rsidRDefault="00CC3324" w:rsidP="002C5F6E">
      <w:pPr>
        <w:spacing w:line="240" w:lineRule="auto"/>
        <w:ind w:firstLine="0"/>
        <w:rPr>
          <w:rFonts w:eastAsiaTheme="minorEastAsia"/>
          <w:noProof/>
        </w:rPr>
      </w:pPr>
    </w:p>
    <w:p w14:paraId="6B7C1BEC" w14:textId="77777777" w:rsidR="00CC3324" w:rsidRPr="004D46AC" w:rsidRDefault="00CC3324" w:rsidP="002C5F6E">
      <w:pPr>
        <w:spacing w:line="240" w:lineRule="auto"/>
        <w:ind w:firstLine="0"/>
        <w:rPr>
          <w:rFonts w:eastAsiaTheme="minorEastAsia"/>
          <w:noProof/>
        </w:rPr>
      </w:pPr>
    </w:p>
    <w:p w14:paraId="4F504EA2" w14:textId="77777777" w:rsidR="00CC3324" w:rsidRPr="004D46AC" w:rsidRDefault="00CC3324" w:rsidP="002C5F6E">
      <w:pPr>
        <w:spacing w:line="240" w:lineRule="auto"/>
        <w:ind w:firstLine="0"/>
        <w:rPr>
          <w:rFonts w:eastAsiaTheme="minorEastAsia"/>
          <w:noProof/>
        </w:rPr>
      </w:pPr>
    </w:p>
    <w:p w14:paraId="3A386ACB" w14:textId="77777777" w:rsidR="00CC3324" w:rsidRPr="004D46AC" w:rsidRDefault="00CC3324" w:rsidP="002C5F6E">
      <w:pPr>
        <w:spacing w:line="240" w:lineRule="auto"/>
        <w:ind w:firstLine="0"/>
        <w:rPr>
          <w:rFonts w:eastAsiaTheme="minorEastAsia"/>
          <w:noProof/>
        </w:rPr>
      </w:pPr>
    </w:p>
    <w:p w14:paraId="5A476469" w14:textId="77777777" w:rsidR="00CC3324" w:rsidRPr="004D46AC" w:rsidRDefault="00CC3324" w:rsidP="002C5F6E">
      <w:pPr>
        <w:spacing w:line="240" w:lineRule="auto"/>
        <w:ind w:firstLine="0"/>
        <w:rPr>
          <w:rFonts w:eastAsiaTheme="minorEastAsia"/>
          <w:noProof/>
        </w:rPr>
      </w:pPr>
    </w:p>
    <w:p w14:paraId="67F2BEEE" w14:textId="77777777" w:rsidR="00CC3324" w:rsidRPr="004D46AC" w:rsidRDefault="00CC3324" w:rsidP="002C5F6E">
      <w:pPr>
        <w:spacing w:line="240" w:lineRule="auto"/>
        <w:ind w:firstLine="0"/>
        <w:rPr>
          <w:rFonts w:eastAsiaTheme="minorEastAsia"/>
          <w:noProof/>
        </w:rPr>
      </w:pPr>
    </w:p>
    <w:p w14:paraId="470AA82D" w14:textId="77777777" w:rsidR="00CC3324" w:rsidRPr="004D46AC" w:rsidRDefault="00CC3324" w:rsidP="002C5F6E">
      <w:pPr>
        <w:spacing w:line="240" w:lineRule="auto"/>
        <w:ind w:firstLine="0"/>
        <w:rPr>
          <w:rFonts w:eastAsiaTheme="minorEastAsia"/>
          <w:noProof/>
        </w:rPr>
      </w:pPr>
    </w:p>
    <w:p w14:paraId="580E18C3" w14:textId="77777777" w:rsidR="00CC3324" w:rsidRPr="004D46AC" w:rsidRDefault="00CC3324" w:rsidP="002C5F6E">
      <w:pPr>
        <w:spacing w:line="240" w:lineRule="auto"/>
        <w:ind w:firstLine="0"/>
        <w:rPr>
          <w:rFonts w:eastAsiaTheme="minorEastAsia"/>
          <w:noProof/>
        </w:rPr>
      </w:pPr>
    </w:p>
    <w:p w14:paraId="2D2EAC80" w14:textId="77777777" w:rsidR="00CC3324" w:rsidRPr="004D46AC" w:rsidRDefault="00CC3324" w:rsidP="002C5F6E">
      <w:pPr>
        <w:spacing w:line="240" w:lineRule="auto"/>
        <w:ind w:firstLine="0"/>
        <w:rPr>
          <w:rFonts w:eastAsiaTheme="minorEastAsia"/>
          <w:noProof/>
        </w:rPr>
      </w:pPr>
    </w:p>
    <w:p w14:paraId="79FB0A5C" w14:textId="77777777" w:rsidR="00CC3324" w:rsidRPr="004D46AC" w:rsidRDefault="00CC3324" w:rsidP="002C5F6E">
      <w:pPr>
        <w:spacing w:line="240" w:lineRule="auto"/>
        <w:ind w:firstLine="0"/>
        <w:rPr>
          <w:rFonts w:eastAsiaTheme="minorEastAsia"/>
          <w:noProof/>
        </w:rPr>
      </w:pPr>
    </w:p>
    <w:p w14:paraId="7FA8B113" w14:textId="77777777" w:rsidR="00CC3324" w:rsidRPr="004D46AC" w:rsidRDefault="00CC3324" w:rsidP="002C5F6E">
      <w:pPr>
        <w:spacing w:line="240" w:lineRule="auto"/>
        <w:ind w:firstLine="0"/>
        <w:rPr>
          <w:rFonts w:eastAsiaTheme="minorEastAsia"/>
          <w:noProof/>
        </w:rPr>
      </w:pPr>
    </w:p>
    <w:p w14:paraId="2108B609" w14:textId="77777777" w:rsidR="00CC3324" w:rsidRPr="004D46AC" w:rsidRDefault="00CC3324" w:rsidP="002C5F6E">
      <w:pPr>
        <w:spacing w:line="240" w:lineRule="auto"/>
        <w:ind w:firstLine="0"/>
        <w:rPr>
          <w:rFonts w:eastAsiaTheme="minorEastAsia"/>
          <w:noProof/>
        </w:rPr>
      </w:pPr>
    </w:p>
    <w:p w14:paraId="2F9F37C6" w14:textId="77777777" w:rsidR="00CC3324" w:rsidRPr="004D46AC" w:rsidRDefault="00CC3324" w:rsidP="002C5F6E">
      <w:pPr>
        <w:spacing w:line="240" w:lineRule="auto"/>
        <w:ind w:firstLine="0"/>
        <w:rPr>
          <w:rFonts w:eastAsiaTheme="minorEastAsia"/>
          <w:noProof/>
        </w:rPr>
      </w:pPr>
    </w:p>
    <w:p w14:paraId="3E12641D" w14:textId="77777777" w:rsidR="00CC3324" w:rsidRPr="004D46AC" w:rsidRDefault="00CC3324" w:rsidP="002C5F6E">
      <w:pPr>
        <w:spacing w:line="240" w:lineRule="auto"/>
        <w:ind w:firstLine="0"/>
        <w:rPr>
          <w:rFonts w:eastAsiaTheme="minorEastAsia"/>
          <w:noProof/>
        </w:rPr>
      </w:pPr>
    </w:p>
    <w:p w14:paraId="6B8EF116" w14:textId="77777777" w:rsidR="00CC3324" w:rsidRPr="004D46AC" w:rsidRDefault="00CC3324" w:rsidP="002C5F6E">
      <w:pPr>
        <w:spacing w:line="240" w:lineRule="auto"/>
        <w:ind w:firstLine="0"/>
        <w:rPr>
          <w:rFonts w:eastAsiaTheme="minorEastAsia"/>
          <w:noProof/>
        </w:rPr>
      </w:pPr>
    </w:p>
    <w:p w14:paraId="227C26DA" w14:textId="77777777" w:rsidR="00CC3324" w:rsidRPr="004D46AC" w:rsidRDefault="00CC3324" w:rsidP="002C5F6E">
      <w:pPr>
        <w:spacing w:line="240" w:lineRule="auto"/>
        <w:ind w:firstLine="0"/>
        <w:rPr>
          <w:rFonts w:eastAsiaTheme="minorEastAsia"/>
          <w:noProof/>
        </w:rPr>
      </w:pPr>
    </w:p>
    <w:p w14:paraId="4D7F2440" w14:textId="77777777" w:rsidR="00CC3324" w:rsidRPr="004D46AC" w:rsidRDefault="00CC3324" w:rsidP="002C5F6E">
      <w:pPr>
        <w:spacing w:line="240" w:lineRule="auto"/>
        <w:ind w:firstLine="0"/>
        <w:rPr>
          <w:rFonts w:eastAsiaTheme="minorEastAsia"/>
          <w:noProof/>
        </w:rPr>
      </w:pPr>
    </w:p>
    <w:p w14:paraId="04B860F1" w14:textId="588039E7" w:rsidR="00011BA9" w:rsidRPr="004D46AC" w:rsidRDefault="00011BA9" w:rsidP="00011BA9">
      <w:pPr>
        <w:pStyle w:val="afff0"/>
        <w:spacing w:after="0"/>
        <w:ind w:firstLine="0"/>
        <w:rPr>
          <w:b/>
          <w:bCs/>
          <w:i w:val="0"/>
          <w:iCs w:val="0"/>
          <w:color w:val="auto"/>
          <w:sz w:val="22"/>
          <w:szCs w:val="22"/>
        </w:rPr>
      </w:pPr>
      <w:bookmarkStart w:id="399" w:name="_Toc219870644"/>
      <w:r w:rsidRPr="004D46AC">
        <w:rPr>
          <w:b/>
          <w:bCs/>
          <w:i w:val="0"/>
          <w:iCs w:val="0"/>
          <w:color w:val="auto"/>
          <w:sz w:val="22"/>
          <w:szCs w:val="22"/>
        </w:rPr>
        <w:lastRenderedPageBreak/>
        <w:t xml:space="preserve">Table D </w:t>
      </w:r>
      <w:r w:rsidRPr="004D46AC">
        <w:rPr>
          <w:b/>
          <w:bCs/>
          <w:i w:val="0"/>
          <w:iCs w:val="0"/>
          <w:color w:val="auto"/>
          <w:sz w:val="22"/>
          <w:szCs w:val="22"/>
        </w:rPr>
        <w:fldChar w:fldCharType="begin"/>
      </w:r>
      <w:r w:rsidRPr="004D46AC">
        <w:rPr>
          <w:b/>
          <w:bCs/>
          <w:i w:val="0"/>
          <w:iCs w:val="0"/>
          <w:color w:val="auto"/>
          <w:sz w:val="22"/>
          <w:szCs w:val="22"/>
        </w:rPr>
        <w:instrText xml:space="preserve"> SEQ Table_D \* ARABIC </w:instrText>
      </w:r>
      <w:r w:rsidRPr="004D46AC">
        <w:rPr>
          <w:b/>
          <w:bCs/>
          <w:i w:val="0"/>
          <w:iCs w:val="0"/>
          <w:color w:val="auto"/>
          <w:sz w:val="22"/>
          <w:szCs w:val="22"/>
        </w:rPr>
        <w:fldChar w:fldCharType="separate"/>
      </w:r>
      <w:r w:rsidRPr="004D46AC">
        <w:rPr>
          <w:b/>
          <w:bCs/>
          <w:i w:val="0"/>
          <w:iCs w:val="0"/>
          <w:noProof/>
          <w:color w:val="auto"/>
          <w:sz w:val="22"/>
          <w:szCs w:val="22"/>
        </w:rPr>
        <w:t>4</w:t>
      </w:r>
      <w:bookmarkEnd w:id="399"/>
      <w:r w:rsidRPr="004D46AC">
        <w:rPr>
          <w:b/>
          <w:bCs/>
          <w:i w:val="0"/>
          <w:iCs w:val="0"/>
          <w:color w:val="auto"/>
          <w:sz w:val="22"/>
          <w:szCs w:val="22"/>
        </w:rPr>
        <w:fldChar w:fldCharType="end"/>
      </w:r>
    </w:p>
    <w:p w14:paraId="60698703" w14:textId="6EB74D55" w:rsidR="007075D9" w:rsidRPr="004D46AC" w:rsidRDefault="007075D9" w:rsidP="002C5F6E">
      <w:pPr>
        <w:spacing w:line="240" w:lineRule="auto"/>
        <w:ind w:firstLine="0"/>
        <w:rPr>
          <w:b/>
          <w:bCs/>
          <w:i/>
          <w:iCs/>
        </w:rPr>
      </w:pPr>
      <w:r w:rsidRPr="004D46AC">
        <w:rPr>
          <w:rFonts w:hint="eastAsia"/>
          <w:i/>
          <w:iCs/>
        </w:rPr>
        <w:t xml:space="preserve">Binary </w:t>
      </w:r>
      <w:r w:rsidR="00D70BAE" w:rsidRPr="004D46AC">
        <w:rPr>
          <w:rFonts w:eastAsiaTheme="minorEastAsia" w:hint="eastAsia"/>
          <w:i/>
          <w:iCs/>
        </w:rPr>
        <w:t>m</w:t>
      </w:r>
      <w:r w:rsidRPr="004D46AC">
        <w:rPr>
          <w:i/>
          <w:iCs/>
        </w:rPr>
        <w:t xml:space="preserve">odels </w:t>
      </w:r>
      <w:r w:rsidR="00D70BAE" w:rsidRPr="004D46AC">
        <w:rPr>
          <w:rFonts w:eastAsiaTheme="minorEastAsia" w:hint="eastAsia"/>
          <w:i/>
          <w:iCs/>
        </w:rPr>
        <w:t>r</w:t>
      </w:r>
      <w:r w:rsidRPr="004D46AC">
        <w:rPr>
          <w:i/>
          <w:iCs/>
        </w:rPr>
        <w:t xml:space="preserve">egressing on Mood and PLEs </w:t>
      </w:r>
      <w:r w:rsidR="00D70BAE" w:rsidRPr="004D46AC">
        <w:rPr>
          <w:rFonts w:eastAsiaTheme="minorEastAsia" w:hint="eastAsia"/>
          <w:i/>
          <w:iCs/>
        </w:rPr>
        <w:t>a</w:t>
      </w:r>
      <w:r w:rsidRPr="004D46AC">
        <w:rPr>
          <w:i/>
          <w:iCs/>
        </w:rPr>
        <w:t xml:space="preserve">cross </w:t>
      </w:r>
      <w:r w:rsidR="00D70BAE" w:rsidRPr="004D46AC">
        <w:rPr>
          <w:rFonts w:eastAsiaTheme="minorEastAsia" w:hint="eastAsia"/>
          <w:i/>
          <w:iCs/>
        </w:rPr>
        <w:t>w</w:t>
      </w:r>
      <w:r w:rsidRPr="004D46AC">
        <w:rPr>
          <w:i/>
          <w:iCs/>
        </w:rPr>
        <w:t>aves</w:t>
      </w:r>
    </w:p>
    <w:tbl>
      <w:tblPr>
        <w:tblStyle w:val="afc"/>
        <w:tblW w:w="0" w:type="auto"/>
        <w:tblLook w:val="04A0" w:firstRow="1" w:lastRow="0" w:firstColumn="1" w:lastColumn="0" w:noHBand="0" w:noVBand="1"/>
      </w:tblPr>
      <w:tblGrid>
        <w:gridCol w:w="3330"/>
        <w:gridCol w:w="1134"/>
        <w:gridCol w:w="747"/>
        <w:gridCol w:w="1276"/>
        <w:gridCol w:w="1838"/>
      </w:tblGrid>
      <w:tr w:rsidR="007075D9" w:rsidRPr="004D46AC" w14:paraId="26FC9234" w14:textId="77777777" w:rsidTr="00B518F1">
        <w:trPr>
          <w:trHeight w:val="300"/>
        </w:trPr>
        <w:tc>
          <w:tcPr>
            <w:tcW w:w="3330" w:type="dxa"/>
            <w:noWrap/>
            <w:hideMark/>
          </w:tcPr>
          <w:p w14:paraId="4B6D6B43" w14:textId="77777777" w:rsidR="007075D9" w:rsidRPr="004D46AC" w:rsidRDefault="007075D9" w:rsidP="002C5F6E">
            <w:pPr>
              <w:spacing w:line="240" w:lineRule="auto"/>
              <w:ind w:firstLine="0"/>
              <w:rPr>
                <w:b/>
                <w:bCs/>
              </w:rPr>
            </w:pPr>
            <w:r w:rsidRPr="004D46AC">
              <w:rPr>
                <w:b/>
                <w:bCs/>
              </w:rPr>
              <w:t>Variable</w:t>
            </w:r>
          </w:p>
        </w:tc>
        <w:tc>
          <w:tcPr>
            <w:tcW w:w="1134" w:type="dxa"/>
            <w:noWrap/>
            <w:hideMark/>
          </w:tcPr>
          <w:p w14:paraId="3FB8B5C4" w14:textId="77777777" w:rsidR="007075D9" w:rsidRPr="004D46AC" w:rsidRDefault="007075D9" w:rsidP="002C5F6E">
            <w:pPr>
              <w:spacing w:line="240" w:lineRule="auto"/>
              <w:ind w:firstLine="0"/>
              <w:rPr>
                <w:b/>
                <w:bCs/>
              </w:rPr>
            </w:pPr>
            <w:r w:rsidRPr="004D46AC">
              <w:rPr>
                <w:b/>
                <w:bCs/>
              </w:rPr>
              <w:t>Estimate</w:t>
            </w:r>
          </w:p>
        </w:tc>
        <w:tc>
          <w:tcPr>
            <w:tcW w:w="747" w:type="dxa"/>
            <w:noWrap/>
            <w:hideMark/>
          </w:tcPr>
          <w:p w14:paraId="2C220489" w14:textId="77777777" w:rsidR="007075D9" w:rsidRPr="004D46AC" w:rsidRDefault="007075D9" w:rsidP="002C5F6E">
            <w:pPr>
              <w:spacing w:line="240" w:lineRule="auto"/>
              <w:ind w:firstLine="0"/>
              <w:rPr>
                <w:b/>
                <w:bCs/>
                <w:i/>
                <w:iCs/>
              </w:rPr>
            </w:pPr>
            <w:r w:rsidRPr="004D46AC">
              <w:rPr>
                <w:b/>
                <w:bCs/>
                <w:i/>
                <w:iCs/>
              </w:rPr>
              <w:t>SE</w:t>
            </w:r>
          </w:p>
        </w:tc>
        <w:tc>
          <w:tcPr>
            <w:tcW w:w="1276" w:type="dxa"/>
            <w:noWrap/>
            <w:hideMark/>
          </w:tcPr>
          <w:p w14:paraId="3014B790" w14:textId="77777777" w:rsidR="007075D9" w:rsidRPr="004D46AC" w:rsidRDefault="007075D9" w:rsidP="002C5F6E">
            <w:pPr>
              <w:spacing w:line="240" w:lineRule="auto"/>
              <w:ind w:firstLine="0"/>
              <w:rPr>
                <w:b/>
                <w:bCs/>
              </w:rPr>
            </w:pPr>
            <w:r w:rsidRPr="004D46AC">
              <w:rPr>
                <w:b/>
                <w:bCs/>
              </w:rPr>
              <w:t>z/t value</w:t>
            </w:r>
          </w:p>
        </w:tc>
        <w:tc>
          <w:tcPr>
            <w:tcW w:w="1838" w:type="dxa"/>
          </w:tcPr>
          <w:p w14:paraId="25D2E735" w14:textId="77777777" w:rsidR="007075D9" w:rsidRPr="004D46AC" w:rsidRDefault="007075D9" w:rsidP="002C5F6E">
            <w:pPr>
              <w:spacing w:line="240" w:lineRule="auto"/>
              <w:ind w:firstLine="0"/>
              <w:rPr>
                <w:b/>
                <w:bCs/>
              </w:rPr>
            </w:pPr>
            <w:r w:rsidRPr="004D46AC">
              <w:rPr>
                <w:b/>
                <w:bCs/>
              </w:rPr>
              <w:t>95% BCI</w:t>
            </w:r>
          </w:p>
        </w:tc>
      </w:tr>
      <w:tr w:rsidR="007075D9" w:rsidRPr="004D46AC" w14:paraId="115D78F2" w14:textId="77777777" w:rsidTr="00B518F1">
        <w:trPr>
          <w:trHeight w:val="300"/>
        </w:trPr>
        <w:tc>
          <w:tcPr>
            <w:tcW w:w="8325" w:type="dxa"/>
            <w:gridSpan w:val="5"/>
            <w:noWrap/>
          </w:tcPr>
          <w:p w14:paraId="4281A656" w14:textId="77777777" w:rsidR="007075D9" w:rsidRPr="004D46AC" w:rsidRDefault="007075D9" w:rsidP="002C5F6E">
            <w:pPr>
              <w:spacing w:line="240" w:lineRule="auto"/>
              <w:ind w:firstLine="0"/>
            </w:pPr>
            <w:r w:rsidRPr="004D46AC">
              <w:rPr>
                <w:rFonts w:hint="eastAsia"/>
                <w:b/>
                <w:bCs/>
              </w:rPr>
              <w:t xml:space="preserve">Wave 5 </w:t>
            </w:r>
            <w:r w:rsidRPr="004D46AC">
              <w:rPr>
                <w:b/>
                <w:bCs/>
              </w:rPr>
              <w:t>PLEs</w:t>
            </w:r>
            <w:r w:rsidRPr="004D46AC">
              <w:rPr>
                <w:rFonts w:hint="eastAsia"/>
                <w:b/>
                <w:bCs/>
              </w:rPr>
              <w:t xml:space="preserve"> </w:t>
            </w:r>
            <w:r w:rsidRPr="004D46AC">
              <w:t>(presence of at least one PLE)</w:t>
            </w:r>
          </w:p>
          <w:p w14:paraId="02D71C18" w14:textId="77777777" w:rsidR="007075D9" w:rsidRPr="004D46AC" w:rsidRDefault="007075D9" w:rsidP="002C5F6E">
            <w:pPr>
              <w:spacing w:line="240" w:lineRule="auto"/>
              <w:ind w:firstLine="0"/>
              <w:rPr>
                <w:b/>
                <w:bCs/>
              </w:rPr>
            </w:pPr>
            <w:r w:rsidRPr="004D46AC">
              <w:rPr>
                <w:b/>
                <w:bCs/>
              </w:rPr>
              <w:t xml:space="preserve">McFadden’s </w:t>
            </w:r>
            <w:r w:rsidRPr="004D46AC">
              <w:rPr>
                <w:b/>
                <w:bCs/>
                <w:i/>
                <w:iCs/>
              </w:rPr>
              <w:t>R</w:t>
            </w:r>
            <w:r w:rsidRPr="004D46AC">
              <w:rPr>
                <w:b/>
                <w:bCs/>
                <w:vertAlign w:val="superscript"/>
              </w:rPr>
              <w:t>2</w:t>
            </w:r>
            <w:r w:rsidRPr="004D46AC">
              <w:t>=0.27</w:t>
            </w:r>
            <w:r w:rsidRPr="004D46AC">
              <w:rPr>
                <w:rFonts w:hint="eastAsia"/>
              </w:rPr>
              <w:t xml:space="preserve"> </w:t>
            </w:r>
          </w:p>
        </w:tc>
      </w:tr>
      <w:tr w:rsidR="007075D9" w:rsidRPr="004D46AC" w14:paraId="498E96D8" w14:textId="77777777" w:rsidTr="00B518F1">
        <w:trPr>
          <w:trHeight w:val="300"/>
        </w:trPr>
        <w:tc>
          <w:tcPr>
            <w:tcW w:w="3330" w:type="dxa"/>
            <w:noWrap/>
          </w:tcPr>
          <w:p w14:paraId="49F5A68B" w14:textId="77777777" w:rsidR="007075D9" w:rsidRPr="004D46AC" w:rsidRDefault="007075D9" w:rsidP="002C5F6E">
            <w:pPr>
              <w:spacing w:line="240" w:lineRule="auto"/>
              <w:ind w:firstLine="0"/>
            </w:pPr>
            <w:r w:rsidRPr="004D46AC">
              <w:t>(Intercept)</w:t>
            </w:r>
          </w:p>
        </w:tc>
        <w:tc>
          <w:tcPr>
            <w:tcW w:w="1134" w:type="dxa"/>
            <w:noWrap/>
          </w:tcPr>
          <w:p w14:paraId="7003100A" w14:textId="77777777" w:rsidR="007075D9" w:rsidRPr="004D46AC" w:rsidRDefault="007075D9" w:rsidP="002C5F6E">
            <w:pPr>
              <w:spacing w:line="240" w:lineRule="auto"/>
              <w:ind w:firstLine="0"/>
            </w:pPr>
            <w:r w:rsidRPr="004D46AC">
              <w:t>-2.84</w:t>
            </w:r>
          </w:p>
        </w:tc>
        <w:tc>
          <w:tcPr>
            <w:tcW w:w="747" w:type="dxa"/>
            <w:noWrap/>
          </w:tcPr>
          <w:p w14:paraId="408B3EE7" w14:textId="77777777" w:rsidR="007075D9" w:rsidRPr="004D46AC" w:rsidRDefault="007075D9" w:rsidP="002C5F6E">
            <w:pPr>
              <w:spacing w:line="240" w:lineRule="auto"/>
              <w:ind w:firstLine="0"/>
            </w:pPr>
            <w:r w:rsidRPr="004D46AC">
              <w:t>0.84</w:t>
            </w:r>
          </w:p>
        </w:tc>
        <w:tc>
          <w:tcPr>
            <w:tcW w:w="1276" w:type="dxa"/>
            <w:noWrap/>
          </w:tcPr>
          <w:p w14:paraId="38F8F3B8" w14:textId="77777777" w:rsidR="007075D9" w:rsidRPr="004D46AC" w:rsidRDefault="007075D9" w:rsidP="002C5F6E">
            <w:pPr>
              <w:spacing w:line="240" w:lineRule="auto"/>
              <w:ind w:firstLine="0"/>
            </w:pPr>
            <w:r w:rsidRPr="004D46AC">
              <w:t>-3.39</w:t>
            </w:r>
          </w:p>
        </w:tc>
        <w:tc>
          <w:tcPr>
            <w:tcW w:w="1838" w:type="dxa"/>
          </w:tcPr>
          <w:p w14:paraId="41AA9E7A" w14:textId="77777777" w:rsidR="007075D9" w:rsidRPr="004D46AC" w:rsidRDefault="007075D9" w:rsidP="002C5F6E">
            <w:pPr>
              <w:spacing w:line="240" w:lineRule="auto"/>
              <w:ind w:firstLine="0"/>
              <w:rPr>
                <w:color w:val="000000"/>
              </w:rPr>
            </w:pPr>
          </w:p>
        </w:tc>
      </w:tr>
      <w:tr w:rsidR="007075D9" w:rsidRPr="004D46AC" w14:paraId="51DC12BA" w14:textId="77777777" w:rsidTr="00B518F1">
        <w:trPr>
          <w:trHeight w:val="300"/>
        </w:trPr>
        <w:tc>
          <w:tcPr>
            <w:tcW w:w="3330" w:type="dxa"/>
            <w:noWrap/>
          </w:tcPr>
          <w:p w14:paraId="7E3DC537" w14:textId="77777777" w:rsidR="007075D9" w:rsidRPr="004D46AC" w:rsidRDefault="007075D9" w:rsidP="002C5F6E">
            <w:pPr>
              <w:spacing w:line="240" w:lineRule="auto"/>
              <w:ind w:firstLine="0"/>
            </w:pPr>
            <w:bookmarkStart w:id="400" w:name="_Hlk216660487"/>
            <w:r w:rsidRPr="004D46AC">
              <w:t>ACEs (W5)</w:t>
            </w:r>
          </w:p>
        </w:tc>
        <w:tc>
          <w:tcPr>
            <w:tcW w:w="1134" w:type="dxa"/>
            <w:noWrap/>
          </w:tcPr>
          <w:p w14:paraId="22C3CCA3" w14:textId="77777777" w:rsidR="007075D9" w:rsidRPr="004D46AC" w:rsidRDefault="007075D9" w:rsidP="002C5F6E">
            <w:pPr>
              <w:spacing w:line="240" w:lineRule="auto"/>
              <w:ind w:firstLine="0"/>
            </w:pPr>
            <w:r w:rsidRPr="004D46AC">
              <w:t>0.28***</w:t>
            </w:r>
          </w:p>
        </w:tc>
        <w:tc>
          <w:tcPr>
            <w:tcW w:w="747" w:type="dxa"/>
            <w:noWrap/>
          </w:tcPr>
          <w:p w14:paraId="4C8E5438" w14:textId="77777777" w:rsidR="007075D9" w:rsidRPr="004D46AC" w:rsidRDefault="007075D9" w:rsidP="002C5F6E">
            <w:pPr>
              <w:spacing w:line="240" w:lineRule="auto"/>
              <w:ind w:firstLine="0"/>
            </w:pPr>
            <w:r w:rsidRPr="004D46AC">
              <w:t>0.07</w:t>
            </w:r>
          </w:p>
        </w:tc>
        <w:tc>
          <w:tcPr>
            <w:tcW w:w="1276" w:type="dxa"/>
            <w:noWrap/>
          </w:tcPr>
          <w:p w14:paraId="0B41BB5E" w14:textId="77777777" w:rsidR="007075D9" w:rsidRPr="004D46AC" w:rsidRDefault="007075D9" w:rsidP="002C5F6E">
            <w:pPr>
              <w:spacing w:line="240" w:lineRule="auto"/>
              <w:ind w:firstLine="0"/>
            </w:pPr>
            <w:r w:rsidRPr="004D46AC">
              <w:t>3.96</w:t>
            </w:r>
          </w:p>
        </w:tc>
        <w:tc>
          <w:tcPr>
            <w:tcW w:w="1838" w:type="dxa"/>
          </w:tcPr>
          <w:p w14:paraId="73BDC283" w14:textId="77777777" w:rsidR="007075D9" w:rsidRPr="004D46AC" w:rsidRDefault="007075D9" w:rsidP="002C5F6E">
            <w:pPr>
              <w:spacing w:line="240" w:lineRule="auto"/>
              <w:ind w:firstLine="0"/>
              <w:rPr>
                <w:color w:val="000000"/>
              </w:rPr>
            </w:pPr>
            <w:r w:rsidRPr="004D46AC">
              <w:t>[0.14, 0.43]</w:t>
            </w:r>
          </w:p>
        </w:tc>
      </w:tr>
      <w:tr w:rsidR="007075D9" w:rsidRPr="004D46AC" w14:paraId="57CC5EA0" w14:textId="77777777" w:rsidTr="00B518F1">
        <w:trPr>
          <w:trHeight w:val="300"/>
        </w:trPr>
        <w:tc>
          <w:tcPr>
            <w:tcW w:w="3330" w:type="dxa"/>
            <w:noWrap/>
          </w:tcPr>
          <w:p w14:paraId="02C73C38" w14:textId="77777777" w:rsidR="007075D9" w:rsidRPr="004D46AC" w:rsidRDefault="007075D9" w:rsidP="002C5F6E">
            <w:pPr>
              <w:spacing w:line="240" w:lineRule="auto"/>
              <w:ind w:firstLine="0"/>
            </w:pPr>
            <w:r w:rsidRPr="004D46AC">
              <w:t>Anxiety (W5)</w:t>
            </w:r>
          </w:p>
        </w:tc>
        <w:tc>
          <w:tcPr>
            <w:tcW w:w="1134" w:type="dxa"/>
            <w:noWrap/>
          </w:tcPr>
          <w:p w14:paraId="305DF13C" w14:textId="77777777" w:rsidR="007075D9" w:rsidRPr="004D46AC" w:rsidRDefault="007075D9" w:rsidP="002C5F6E">
            <w:pPr>
              <w:spacing w:line="240" w:lineRule="auto"/>
              <w:ind w:firstLine="0"/>
            </w:pPr>
            <w:r w:rsidRPr="004D46AC">
              <w:t>0.10***</w:t>
            </w:r>
          </w:p>
        </w:tc>
        <w:tc>
          <w:tcPr>
            <w:tcW w:w="747" w:type="dxa"/>
            <w:noWrap/>
          </w:tcPr>
          <w:p w14:paraId="1EFC49D1" w14:textId="77777777" w:rsidR="007075D9" w:rsidRPr="004D46AC" w:rsidRDefault="007075D9" w:rsidP="002C5F6E">
            <w:pPr>
              <w:spacing w:line="240" w:lineRule="auto"/>
              <w:ind w:firstLine="0"/>
            </w:pPr>
            <w:r w:rsidRPr="004D46AC">
              <w:t>0.03</w:t>
            </w:r>
          </w:p>
        </w:tc>
        <w:tc>
          <w:tcPr>
            <w:tcW w:w="1276" w:type="dxa"/>
            <w:noWrap/>
          </w:tcPr>
          <w:p w14:paraId="4FA89830" w14:textId="77777777" w:rsidR="007075D9" w:rsidRPr="004D46AC" w:rsidRDefault="007075D9" w:rsidP="002C5F6E">
            <w:pPr>
              <w:spacing w:line="240" w:lineRule="auto"/>
              <w:ind w:firstLine="0"/>
            </w:pPr>
            <w:r w:rsidRPr="004D46AC">
              <w:t>3.55</w:t>
            </w:r>
          </w:p>
        </w:tc>
        <w:tc>
          <w:tcPr>
            <w:tcW w:w="1838" w:type="dxa"/>
          </w:tcPr>
          <w:p w14:paraId="11E34B4C" w14:textId="77777777" w:rsidR="007075D9" w:rsidRPr="004D46AC" w:rsidRDefault="007075D9" w:rsidP="002C5F6E">
            <w:pPr>
              <w:spacing w:line="240" w:lineRule="auto"/>
              <w:ind w:firstLine="0"/>
              <w:rPr>
                <w:color w:val="000000"/>
              </w:rPr>
            </w:pPr>
            <w:r w:rsidRPr="004D46AC">
              <w:t>[0.04, 0.16]</w:t>
            </w:r>
          </w:p>
        </w:tc>
      </w:tr>
      <w:tr w:rsidR="007075D9" w:rsidRPr="004D46AC" w14:paraId="5564E200" w14:textId="77777777" w:rsidTr="00B518F1">
        <w:trPr>
          <w:trHeight w:val="300"/>
        </w:trPr>
        <w:tc>
          <w:tcPr>
            <w:tcW w:w="3330" w:type="dxa"/>
            <w:noWrap/>
          </w:tcPr>
          <w:p w14:paraId="56570CEB" w14:textId="77777777" w:rsidR="007075D9" w:rsidRPr="004D46AC" w:rsidRDefault="007075D9" w:rsidP="002C5F6E">
            <w:pPr>
              <w:spacing w:line="240" w:lineRule="auto"/>
              <w:ind w:firstLine="0"/>
            </w:pPr>
            <w:r w:rsidRPr="004D46AC">
              <w:t>Mania (W5)</w:t>
            </w:r>
          </w:p>
        </w:tc>
        <w:tc>
          <w:tcPr>
            <w:tcW w:w="1134" w:type="dxa"/>
            <w:noWrap/>
          </w:tcPr>
          <w:p w14:paraId="649789AE" w14:textId="77777777" w:rsidR="007075D9" w:rsidRPr="004D46AC" w:rsidRDefault="007075D9" w:rsidP="002C5F6E">
            <w:pPr>
              <w:spacing w:line="240" w:lineRule="auto"/>
              <w:ind w:firstLine="0"/>
            </w:pPr>
            <w:r w:rsidRPr="004D46AC">
              <w:t>0.19***</w:t>
            </w:r>
          </w:p>
        </w:tc>
        <w:tc>
          <w:tcPr>
            <w:tcW w:w="747" w:type="dxa"/>
            <w:noWrap/>
          </w:tcPr>
          <w:p w14:paraId="2489D126" w14:textId="77777777" w:rsidR="007075D9" w:rsidRPr="004D46AC" w:rsidRDefault="007075D9" w:rsidP="002C5F6E">
            <w:pPr>
              <w:spacing w:line="240" w:lineRule="auto"/>
              <w:ind w:firstLine="0"/>
            </w:pPr>
            <w:r w:rsidRPr="004D46AC">
              <w:t>0.03</w:t>
            </w:r>
          </w:p>
        </w:tc>
        <w:tc>
          <w:tcPr>
            <w:tcW w:w="1276" w:type="dxa"/>
            <w:noWrap/>
          </w:tcPr>
          <w:p w14:paraId="562958B9" w14:textId="77777777" w:rsidR="007075D9" w:rsidRPr="004D46AC" w:rsidRDefault="007075D9" w:rsidP="002C5F6E">
            <w:pPr>
              <w:spacing w:line="240" w:lineRule="auto"/>
              <w:ind w:firstLine="0"/>
            </w:pPr>
            <w:r w:rsidRPr="004D46AC">
              <w:t>6.02</w:t>
            </w:r>
          </w:p>
        </w:tc>
        <w:tc>
          <w:tcPr>
            <w:tcW w:w="1838" w:type="dxa"/>
          </w:tcPr>
          <w:p w14:paraId="0B3D9AB6" w14:textId="77777777" w:rsidR="007075D9" w:rsidRPr="004D46AC" w:rsidRDefault="007075D9" w:rsidP="002C5F6E">
            <w:pPr>
              <w:spacing w:line="240" w:lineRule="auto"/>
              <w:ind w:firstLine="0"/>
              <w:rPr>
                <w:color w:val="000000"/>
              </w:rPr>
            </w:pPr>
            <w:r w:rsidRPr="004D46AC">
              <w:t>[0.13, 0.26]</w:t>
            </w:r>
          </w:p>
        </w:tc>
      </w:tr>
      <w:tr w:rsidR="007075D9" w:rsidRPr="004D46AC" w14:paraId="7DB181D1" w14:textId="77777777" w:rsidTr="00B518F1">
        <w:trPr>
          <w:trHeight w:val="300"/>
        </w:trPr>
        <w:tc>
          <w:tcPr>
            <w:tcW w:w="3330" w:type="dxa"/>
            <w:noWrap/>
          </w:tcPr>
          <w:p w14:paraId="1A3F0872" w14:textId="77777777" w:rsidR="007075D9" w:rsidRPr="004D46AC" w:rsidRDefault="007075D9" w:rsidP="002C5F6E">
            <w:pPr>
              <w:spacing w:line="240" w:lineRule="auto"/>
              <w:ind w:firstLine="0"/>
            </w:pPr>
            <w:r w:rsidRPr="004D46AC">
              <w:t>Depression (W5)</w:t>
            </w:r>
          </w:p>
        </w:tc>
        <w:tc>
          <w:tcPr>
            <w:tcW w:w="1134" w:type="dxa"/>
            <w:noWrap/>
          </w:tcPr>
          <w:p w14:paraId="7F33CD36" w14:textId="77777777" w:rsidR="007075D9" w:rsidRPr="004D46AC" w:rsidRDefault="007075D9" w:rsidP="002C5F6E">
            <w:pPr>
              <w:spacing w:line="240" w:lineRule="auto"/>
              <w:ind w:firstLine="0"/>
            </w:pPr>
            <w:r w:rsidRPr="004D46AC">
              <w:t>0.07**</w:t>
            </w:r>
          </w:p>
        </w:tc>
        <w:tc>
          <w:tcPr>
            <w:tcW w:w="747" w:type="dxa"/>
            <w:noWrap/>
          </w:tcPr>
          <w:p w14:paraId="01547B9E" w14:textId="77777777" w:rsidR="007075D9" w:rsidRPr="004D46AC" w:rsidRDefault="007075D9" w:rsidP="002C5F6E">
            <w:pPr>
              <w:spacing w:line="240" w:lineRule="auto"/>
              <w:ind w:firstLine="0"/>
            </w:pPr>
            <w:r w:rsidRPr="004D46AC">
              <w:t>0.02</w:t>
            </w:r>
          </w:p>
        </w:tc>
        <w:tc>
          <w:tcPr>
            <w:tcW w:w="1276" w:type="dxa"/>
            <w:noWrap/>
          </w:tcPr>
          <w:p w14:paraId="21171E90" w14:textId="77777777" w:rsidR="007075D9" w:rsidRPr="004D46AC" w:rsidRDefault="007075D9" w:rsidP="002C5F6E">
            <w:pPr>
              <w:spacing w:line="240" w:lineRule="auto"/>
              <w:ind w:firstLine="0"/>
            </w:pPr>
            <w:r w:rsidRPr="004D46AC">
              <w:t>2.70</w:t>
            </w:r>
          </w:p>
        </w:tc>
        <w:tc>
          <w:tcPr>
            <w:tcW w:w="1838" w:type="dxa"/>
          </w:tcPr>
          <w:p w14:paraId="0EFC3CB4" w14:textId="77777777" w:rsidR="007075D9" w:rsidRPr="004D46AC" w:rsidRDefault="007075D9" w:rsidP="002C5F6E">
            <w:pPr>
              <w:spacing w:line="240" w:lineRule="auto"/>
              <w:ind w:firstLine="0"/>
              <w:rPr>
                <w:color w:val="000000"/>
              </w:rPr>
            </w:pPr>
            <w:r w:rsidRPr="004D46AC">
              <w:t>[0.01, 0.12]</w:t>
            </w:r>
          </w:p>
        </w:tc>
      </w:tr>
      <w:tr w:rsidR="007075D9" w:rsidRPr="004D46AC" w14:paraId="4F325411" w14:textId="77777777" w:rsidTr="00B518F1">
        <w:trPr>
          <w:trHeight w:val="300"/>
        </w:trPr>
        <w:tc>
          <w:tcPr>
            <w:tcW w:w="3330" w:type="dxa"/>
            <w:noWrap/>
          </w:tcPr>
          <w:p w14:paraId="1DCE2EDE" w14:textId="77777777" w:rsidR="007075D9" w:rsidRPr="004D46AC" w:rsidRDefault="007075D9" w:rsidP="002C5F6E">
            <w:pPr>
              <w:spacing w:line="240" w:lineRule="auto"/>
              <w:ind w:firstLine="0"/>
            </w:pPr>
            <w:r w:rsidRPr="004D46AC">
              <w:t>IOU-P (W1)</w:t>
            </w:r>
          </w:p>
        </w:tc>
        <w:tc>
          <w:tcPr>
            <w:tcW w:w="1134" w:type="dxa"/>
            <w:noWrap/>
          </w:tcPr>
          <w:p w14:paraId="09E8C727" w14:textId="77777777" w:rsidR="007075D9" w:rsidRPr="004D46AC" w:rsidRDefault="007075D9" w:rsidP="002C5F6E">
            <w:pPr>
              <w:spacing w:line="240" w:lineRule="auto"/>
              <w:ind w:firstLine="0"/>
            </w:pPr>
            <w:r w:rsidRPr="004D46AC">
              <w:t>0.05*</w:t>
            </w:r>
          </w:p>
        </w:tc>
        <w:tc>
          <w:tcPr>
            <w:tcW w:w="747" w:type="dxa"/>
            <w:noWrap/>
          </w:tcPr>
          <w:p w14:paraId="422CE81A" w14:textId="77777777" w:rsidR="007075D9" w:rsidRPr="004D46AC" w:rsidRDefault="007075D9" w:rsidP="002C5F6E">
            <w:pPr>
              <w:spacing w:line="240" w:lineRule="auto"/>
              <w:ind w:firstLine="0"/>
            </w:pPr>
            <w:r w:rsidRPr="004D46AC">
              <w:t>0.02</w:t>
            </w:r>
          </w:p>
        </w:tc>
        <w:tc>
          <w:tcPr>
            <w:tcW w:w="1276" w:type="dxa"/>
            <w:noWrap/>
          </w:tcPr>
          <w:p w14:paraId="4FD10B7B" w14:textId="77777777" w:rsidR="007075D9" w:rsidRPr="004D46AC" w:rsidRDefault="007075D9" w:rsidP="002C5F6E">
            <w:pPr>
              <w:spacing w:line="240" w:lineRule="auto"/>
              <w:ind w:firstLine="0"/>
            </w:pPr>
            <w:r w:rsidRPr="004D46AC">
              <w:t>2.44</w:t>
            </w:r>
          </w:p>
        </w:tc>
        <w:tc>
          <w:tcPr>
            <w:tcW w:w="1838" w:type="dxa"/>
          </w:tcPr>
          <w:p w14:paraId="21B245F4" w14:textId="77777777" w:rsidR="007075D9" w:rsidRPr="004D46AC" w:rsidRDefault="007075D9" w:rsidP="002C5F6E">
            <w:pPr>
              <w:spacing w:line="240" w:lineRule="auto"/>
              <w:ind w:firstLine="0"/>
              <w:rPr>
                <w:color w:val="000000"/>
              </w:rPr>
            </w:pPr>
            <w:r w:rsidRPr="004D46AC">
              <w:t>[0.01, 0.10]</w:t>
            </w:r>
          </w:p>
        </w:tc>
      </w:tr>
      <w:tr w:rsidR="007075D9" w:rsidRPr="004D46AC" w14:paraId="2E9F1707" w14:textId="77777777" w:rsidTr="00B518F1">
        <w:trPr>
          <w:trHeight w:val="300"/>
        </w:trPr>
        <w:tc>
          <w:tcPr>
            <w:tcW w:w="6487" w:type="dxa"/>
            <w:gridSpan w:val="4"/>
            <w:noWrap/>
            <w:vAlign w:val="center"/>
          </w:tcPr>
          <w:p w14:paraId="58CFF361" w14:textId="77777777" w:rsidR="007075D9" w:rsidRPr="004D46AC" w:rsidRDefault="007075D9" w:rsidP="002C5F6E">
            <w:pPr>
              <w:spacing w:line="240" w:lineRule="auto"/>
              <w:ind w:firstLine="0"/>
            </w:pPr>
            <w:r w:rsidRPr="004D46AC">
              <w:rPr>
                <w:rFonts w:hint="eastAsia"/>
                <w:b/>
                <w:bCs/>
              </w:rPr>
              <w:t xml:space="preserve">Wave 9 </w:t>
            </w:r>
            <w:r w:rsidRPr="004D46AC">
              <w:rPr>
                <w:b/>
                <w:bCs/>
              </w:rPr>
              <w:t>PLEs</w:t>
            </w:r>
            <w:r w:rsidRPr="004D46AC">
              <w:rPr>
                <w:rFonts w:hint="eastAsia"/>
                <w:b/>
                <w:bCs/>
              </w:rPr>
              <w:t xml:space="preserve"> </w:t>
            </w:r>
            <w:r w:rsidRPr="004D46AC">
              <w:t>(presence of at least one PLE)</w:t>
            </w:r>
          </w:p>
          <w:p w14:paraId="3CB8BCF6" w14:textId="77777777" w:rsidR="007075D9" w:rsidRPr="004D46AC" w:rsidRDefault="007075D9" w:rsidP="002C5F6E">
            <w:pPr>
              <w:spacing w:line="240" w:lineRule="auto"/>
              <w:ind w:firstLine="0"/>
              <w:rPr>
                <w:color w:val="000000"/>
              </w:rPr>
            </w:pPr>
            <w:r w:rsidRPr="004D46AC">
              <w:rPr>
                <w:b/>
                <w:bCs/>
              </w:rPr>
              <w:t xml:space="preserve">McFadden’s </w:t>
            </w:r>
            <w:r w:rsidRPr="004D46AC">
              <w:rPr>
                <w:b/>
                <w:bCs/>
                <w:i/>
                <w:iCs/>
              </w:rPr>
              <w:t>R</w:t>
            </w:r>
            <w:r w:rsidRPr="004D46AC">
              <w:rPr>
                <w:b/>
                <w:bCs/>
                <w:vertAlign w:val="superscript"/>
              </w:rPr>
              <w:t>2</w:t>
            </w:r>
            <w:r w:rsidRPr="004D46AC">
              <w:t>=0.37</w:t>
            </w:r>
          </w:p>
        </w:tc>
        <w:tc>
          <w:tcPr>
            <w:tcW w:w="1838" w:type="dxa"/>
          </w:tcPr>
          <w:p w14:paraId="1635F25A" w14:textId="77777777" w:rsidR="007075D9" w:rsidRPr="004D46AC" w:rsidRDefault="007075D9" w:rsidP="002C5F6E">
            <w:pPr>
              <w:spacing w:line="240" w:lineRule="auto"/>
              <w:ind w:firstLine="0"/>
              <w:rPr>
                <w:b/>
                <w:bCs/>
              </w:rPr>
            </w:pPr>
          </w:p>
        </w:tc>
      </w:tr>
      <w:tr w:rsidR="007075D9" w:rsidRPr="004D46AC" w14:paraId="7614D00D" w14:textId="77777777" w:rsidTr="00B518F1">
        <w:trPr>
          <w:trHeight w:val="300"/>
        </w:trPr>
        <w:tc>
          <w:tcPr>
            <w:tcW w:w="3330" w:type="dxa"/>
            <w:noWrap/>
            <w:vAlign w:val="center"/>
          </w:tcPr>
          <w:p w14:paraId="28432117" w14:textId="77777777" w:rsidR="007075D9" w:rsidRPr="004D46AC" w:rsidRDefault="007075D9" w:rsidP="002C5F6E">
            <w:pPr>
              <w:spacing w:line="240" w:lineRule="auto"/>
              <w:ind w:firstLine="0"/>
            </w:pPr>
            <w:r w:rsidRPr="004D46AC">
              <w:rPr>
                <w:color w:val="000000"/>
              </w:rPr>
              <w:t>(Intercept)</w:t>
            </w:r>
          </w:p>
        </w:tc>
        <w:tc>
          <w:tcPr>
            <w:tcW w:w="1134" w:type="dxa"/>
            <w:noWrap/>
            <w:vAlign w:val="center"/>
          </w:tcPr>
          <w:p w14:paraId="32593604" w14:textId="77777777" w:rsidR="007075D9" w:rsidRPr="004D46AC" w:rsidRDefault="007075D9" w:rsidP="002C5F6E">
            <w:pPr>
              <w:spacing w:line="240" w:lineRule="auto"/>
              <w:ind w:firstLine="0"/>
            </w:pPr>
            <w:r w:rsidRPr="004D46AC">
              <w:rPr>
                <w:color w:val="000000"/>
              </w:rPr>
              <w:t>-1.63</w:t>
            </w:r>
          </w:p>
        </w:tc>
        <w:tc>
          <w:tcPr>
            <w:tcW w:w="747" w:type="dxa"/>
            <w:noWrap/>
            <w:vAlign w:val="center"/>
          </w:tcPr>
          <w:p w14:paraId="2379F5F2" w14:textId="77777777" w:rsidR="007075D9" w:rsidRPr="004D46AC" w:rsidRDefault="007075D9" w:rsidP="002C5F6E">
            <w:pPr>
              <w:spacing w:line="240" w:lineRule="auto"/>
              <w:ind w:firstLine="0"/>
            </w:pPr>
            <w:r w:rsidRPr="004D46AC">
              <w:rPr>
                <w:color w:val="000000"/>
              </w:rPr>
              <w:t>1.49</w:t>
            </w:r>
          </w:p>
        </w:tc>
        <w:tc>
          <w:tcPr>
            <w:tcW w:w="1276" w:type="dxa"/>
            <w:noWrap/>
            <w:vAlign w:val="center"/>
          </w:tcPr>
          <w:p w14:paraId="18DD0B20" w14:textId="77777777" w:rsidR="007075D9" w:rsidRPr="004D46AC" w:rsidRDefault="007075D9" w:rsidP="002C5F6E">
            <w:pPr>
              <w:spacing w:line="240" w:lineRule="auto"/>
              <w:ind w:firstLine="0"/>
            </w:pPr>
            <w:r w:rsidRPr="004D46AC">
              <w:rPr>
                <w:color w:val="000000"/>
              </w:rPr>
              <w:t>-1.09</w:t>
            </w:r>
          </w:p>
        </w:tc>
        <w:tc>
          <w:tcPr>
            <w:tcW w:w="1838" w:type="dxa"/>
          </w:tcPr>
          <w:p w14:paraId="730085AA" w14:textId="77777777" w:rsidR="007075D9" w:rsidRPr="004D46AC" w:rsidRDefault="007075D9" w:rsidP="002C5F6E">
            <w:pPr>
              <w:spacing w:line="240" w:lineRule="auto"/>
              <w:ind w:firstLine="0"/>
              <w:rPr>
                <w:color w:val="000000"/>
              </w:rPr>
            </w:pPr>
          </w:p>
        </w:tc>
      </w:tr>
      <w:tr w:rsidR="007075D9" w:rsidRPr="004D46AC" w14:paraId="6FA7C9D3" w14:textId="77777777" w:rsidTr="00B518F1">
        <w:trPr>
          <w:trHeight w:val="300"/>
        </w:trPr>
        <w:tc>
          <w:tcPr>
            <w:tcW w:w="3330" w:type="dxa"/>
            <w:noWrap/>
            <w:vAlign w:val="center"/>
          </w:tcPr>
          <w:p w14:paraId="177E8853" w14:textId="77777777" w:rsidR="007075D9" w:rsidRPr="004D46AC" w:rsidRDefault="007075D9" w:rsidP="002C5F6E">
            <w:pPr>
              <w:spacing w:line="240" w:lineRule="auto"/>
              <w:ind w:firstLine="0"/>
            </w:pPr>
            <w:r w:rsidRPr="004D46AC">
              <w:rPr>
                <w:color w:val="000000"/>
              </w:rPr>
              <w:t>Anxiety (W9)</w:t>
            </w:r>
          </w:p>
        </w:tc>
        <w:tc>
          <w:tcPr>
            <w:tcW w:w="1134" w:type="dxa"/>
            <w:noWrap/>
            <w:vAlign w:val="center"/>
          </w:tcPr>
          <w:p w14:paraId="6C408688" w14:textId="77777777" w:rsidR="007075D9" w:rsidRPr="004D46AC" w:rsidRDefault="007075D9" w:rsidP="002C5F6E">
            <w:pPr>
              <w:spacing w:line="240" w:lineRule="auto"/>
              <w:ind w:firstLine="0"/>
            </w:pPr>
            <w:r w:rsidRPr="004D46AC">
              <w:rPr>
                <w:color w:val="000000"/>
              </w:rPr>
              <w:t>0.11***</w:t>
            </w:r>
          </w:p>
        </w:tc>
        <w:tc>
          <w:tcPr>
            <w:tcW w:w="747" w:type="dxa"/>
            <w:noWrap/>
            <w:vAlign w:val="center"/>
          </w:tcPr>
          <w:p w14:paraId="0275F9F5" w14:textId="77777777" w:rsidR="007075D9" w:rsidRPr="004D46AC" w:rsidRDefault="007075D9" w:rsidP="002C5F6E">
            <w:pPr>
              <w:spacing w:line="240" w:lineRule="auto"/>
              <w:ind w:firstLine="0"/>
            </w:pPr>
            <w:r w:rsidRPr="004D46AC">
              <w:rPr>
                <w:color w:val="000000"/>
              </w:rPr>
              <w:t>0.03</w:t>
            </w:r>
          </w:p>
        </w:tc>
        <w:tc>
          <w:tcPr>
            <w:tcW w:w="1276" w:type="dxa"/>
            <w:noWrap/>
            <w:vAlign w:val="center"/>
          </w:tcPr>
          <w:p w14:paraId="0302EADF" w14:textId="77777777" w:rsidR="007075D9" w:rsidRPr="004D46AC" w:rsidRDefault="007075D9" w:rsidP="002C5F6E">
            <w:pPr>
              <w:spacing w:line="240" w:lineRule="auto"/>
              <w:ind w:firstLine="0"/>
            </w:pPr>
            <w:r w:rsidRPr="004D46AC">
              <w:rPr>
                <w:color w:val="000000"/>
              </w:rPr>
              <w:t>3.31</w:t>
            </w:r>
          </w:p>
        </w:tc>
        <w:tc>
          <w:tcPr>
            <w:tcW w:w="1838" w:type="dxa"/>
          </w:tcPr>
          <w:p w14:paraId="21F92FB4" w14:textId="77777777" w:rsidR="007075D9" w:rsidRPr="004D46AC" w:rsidRDefault="007075D9" w:rsidP="002C5F6E">
            <w:pPr>
              <w:spacing w:line="240" w:lineRule="auto"/>
              <w:ind w:firstLine="0"/>
              <w:rPr>
                <w:color w:val="000000"/>
              </w:rPr>
            </w:pPr>
            <w:r w:rsidRPr="004D46AC">
              <w:rPr>
                <w:color w:val="000000"/>
              </w:rPr>
              <w:t>[0.05, 0.20]</w:t>
            </w:r>
          </w:p>
        </w:tc>
      </w:tr>
      <w:tr w:rsidR="007075D9" w:rsidRPr="004D46AC" w14:paraId="4893586F" w14:textId="77777777" w:rsidTr="00B518F1">
        <w:trPr>
          <w:trHeight w:val="300"/>
        </w:trPr>
        <w:tc>
          <w:tcPr>
            <w:tcW w:w="3330" w:type="dxa"/>
            <w:noWrap/>
            <w:vAlign w:val="center"/>
          </w:tcPr>
          <w:p w14:paraId="12F69A1E" w14:textId="77777777" w:rsidR="007075D9" w:rsidRPr="004D46AC" w:rsidRDefault="007075D9" w:rsidP="002C5F6E">
            <w:pPr>
              <w:spacing w:line="240" w:lineRule="auto"/>
              <w:ind w:firstLine="0"/>
            </w:pPr>
            <w:r w:rsidRPr="004D46AC">
              <w:rPr>
                <w:color w:val="000000"/>
              </w:rPr>
              <w:t>PLEs (W5)</w:t>
            </w:r>
          </w:p>
        </w:tc>
        <w:tc>
          <w:tcPr>
            <w:tcW w:w="1134" w:type="dxa"/>
            <w:noWrap/>
            <w:vAlign w:val="center"/>
          </w:tcPr>
          <w:p w14:paraId="19832B1F" w14:textId="77777777" w:rsidR="007075D9" w:rsidRPr="004D46AC" w:rsidRDefault="007075D9" w:rsidP="002C5F6E">
            <w:pPr>
              <w:spacing w:line="240" w:lineRule="auto"/>
              <w:ind w:firstLine="0"/>
            </w:pPr>
            <w:r w:rsidRPr="004D46AC">
              <w:rPr>
                <w:color w:val="000000"/>
              </w:rPr>
              <w:t>0.51**</w:t>
            </w:r>
          </w:p>
        </w:tc>
        <w:tc>
          <w:tcPr>
            <w:tcW w:w="747" w:type="dxa"/>
            <w:noWrap/>
            <w:vAlign w:val="center"/>
          </w:tcPr>
          <w:p w14:paraId="5819FCE8" w14:textId="77777777" w:rsidR="007075D9" w:rsidRPr="004D46AC" w:rsidRDefault="007075D9" w:rsidP="002C5F6E">
            <w:pPr>
              <w:spacing w:line="240" w:lineRule="auto"/>
              <w:ind w:firstLine="0"/>
            </w:pPr>
            <w:r w:rsidRPr="004D46AC">
              <w:rPr>
                <w:color w:val="000000"/>
              </w:rPr>
              <w:t>0.17</w:t>
            </w:r>
          </w:p>
        </w:tc>
        <w:tc>
          <w:tcPr>
            <w:tcW w:w="1276" w:type="dxa"/>
            <w:noWrap/>
            <w:vAlign w:val="center"/>
          </w:tcPr>
          <w:p w14:paraId="78083668" w14:textId="77777777" w:rsidR="007075D9" w:rsidRPr="004D46AC" w:rsidRDefault="007075D9" w:rsidP="002C5F6E">
            <w:pPr>
              <w:spacing w:line="240" w:lineRule="auto"/>
              <w:ind w:firstLine="0"/>
            </w:pPr>
            <w:r w:rsidRPr="004D46AC">
              <w:rPr>
                <w:color w:val="000000"/>
              </w:rPr>
              <w:t>3.07</w:t>
            </w:r>
          </w:p>
        </w:tc>
        <w:tc>
          <w:tcPr>
            <w:tcW w:w="1838" w:type="dxa"/>
          </w:tcPr>
          <w:p w14:paraId="6E1C23B9" w14:textId="77777777" w:rsidR="007075D9" w:rsidRPr="004D46AC" w:rsidRDefault="007075D9" w:rsidP="002C5F6E">
            <w:pPr>
              <w:spacing w:line="240" w:lineRule="auto"/>
              <w:ind w:firstLine="0"/>
              <w:rPr>
                <w:color w:val="000000"/>
              </w:rPr>
            </w:pPr>
            <w:r w:rsidRPr="004D46AC">
              <w:rPr>
                <w:color w:val="000000"/>
              </w:rPr>
              <w:t>[0.13, 0.94]</w:t>
            </w:r>
          </w:p>
        </w:tc>
      </w:tr>
      <w:tr w:rsidR="007075D9" w:rsidRPr="004D46AC" w14:paraId="0E9163FC" w14:textId="77777777" w:rsidTr="00B518F1">
        <w:trPr>
          <w:trHeight w:val="300"/>
        </w:trPr>
        <w:tc>
          <w:tcPr>
            <w:tcW w:w="3330" w:type="dxa"/>
            <w:noWrap/>
            <w:vAlign w:val="center"/>
          </w:tcPr>
          <w:p w14:paraId="57B46746" w14:textId="77777777" w:rsidR="007075D9" w:rsidRPr="004D46AC" w:rsidRDefault="007075D9" w:rsidP="002C5F6E">
            <w:pPr>
              <w:spacing w:line="240" w:lineRule="auto"/>
              <w:ind w:firstLine="0"/>
            </w:pPr>
            <w:r w:rsidRPr="004D46AC">
              <w:rPr>
                <w:color w:val="000000"/>
              </w:rPr>
              <w:t>Mania (W5)</w:t>
            </w:r>
          </w:p>
        </w:tc>
        <w:tc>
          <w:tcPr>
            <w:tcW w:w="1134" w:type="dxa"/>
            <w:noWrap/>
            <w:vAlign w:val="center"/>
          </w:tcPr>
          <w:p w14:paraId="3EEAD72D" w14:textId="77777777" w:rsidR="007075D9" w:rsidRPr="004D46AC" w:rsidRDefault="007075D9" w:rsidP="002C5F6E">
            <w:pPr>
              <w:spacing w:line="240" w:lineRule="auto"/>
              <w:ind w:firstLine="0"/>
            </w:pPr>
            <w:r w:rsidRPr="004D46AC">
              <w:rPr>
                <w:color w:val="000000"/>
              </w:rPr>
              <w:t>0.14**</w:t>
            </w:r>
          </w:p>
        </w:tc>
        <w:tc>
          <w:tcPr>
            <w:tcW w:w="747" w:type="dxa"/>
            <w:noWrap/>
            <w:vAlign w:val="center"/>
          </w:tcPr>
          <w:p w14:paraId="524D9EA8" w14:textId="77777777" w:rsidR="007075D9" w:rsidRPr="004D46AC" w:rsidRDefault="007075D9" w:rsidP="002C5F6E">
            <w:pPr>
              <w:spacing w:line="240" w:lineRule="auto"/>
              <w:ind w:firstLine="0"/>
            </w:pPr>
            <w:r w:rsidRPr="004D46AC">
              <w:rPr>
                <w:color w:val="000000"/>
              </w:rPr>
              <w:t>0.05</w:t>
            </w:r>
          </w:p>
        </w:tc>
        <w:tc>
          <w:tcPr>
            <w:tcW w:w="1276" w:type="dxa"/>
            <w:noWrap/>
            <w:vAlign w:val="center"/>
          </w:tcPr>
          <w:p w14:paraId="06CC6D8C" w14:textId="77777777" w:rsidR="007075D9" w:rsidRPr="004D46AC" w:rsidRDefault="007075D9" w:rsidP="002C5F6E">
            <w:pPr>
              <w:spacing w:line="240" w:lineRule="auto"/>
              <w:ind w:firstLine="0"/>
            </w:pPr>
            <w:r w:rsidRPr="004D46AC">
              <w:rPr>
                <w:color w:val="000000"/>
              </w:rPr>
              <w:t>2.87</w:t>
            </w:r>
          </w:p>
        </w:tc>
        <w:tc>
          <w:tcPr>
            <w:tcW w:w="1838" w:type="dxa"/>
          </w:tcPr>
          <w:p w14:paraId="6B935784" w14:textId="77777777" w:rsidR="007075D9" w:rsidRPr="004D46AC" w:rsidRDefault="007075D9" w:rsidP="002C5F6E">
            <w:pPr>
              <w:spacing w:line="240" w:lineRule="auto"/>
              <w:ind w:firstLine="0"/>
              <w:rPr>
                <w:color w:val="000000"/>
              </w:rPr>
            </w:pPr>
            <w:r w:rsidRPr="004D46AC">
              <w:rPr>
                <w:color w:val="000000"/>
              </w:rPr>
              <w:t>[0.05, 0.25]</w:t>
            </w:r>
          </w:p>
        </w:tc>
      </w:tr>
      <w:tr w:rsidR="007075D9" w:rsidRPr="004D46AC" w14:paraId="0C72FB90" w14:textId="77777777" w:rsidTr="00B518F1">
        <w:trPr>
          <w:trHeight w:val="300"/>
        </w:trPr>
        <w:tc>
          <w:tcPr>
            <w:tcW w:w="6487" w:type="dxa"/>
            <w:gridSpan w:val="4"/>
            <w:noWrap/>
            <w:vAlign w:val="center"/>
          </w:tcPr>
          <w:p w14:paraId="7AB565ED" w14:textId="77777777" w:rsidR="007075D9" w:rsidRPr="004D46AC" w:rsidRDefault="007075D9" w:rsidP="002C5F6E">
            <w:pPr>
              <w:spacing w:line="240" w:lineRule="auto"/>
              <w:ind w:firstLine="0"/>
            </w:pPr>
            <w:r w:rsidRPr="004D46AC">
              <w:rPr>
                <w:rFonts w:hint="eastAsia"/>
                <w:b/>
                <w:bCs/>
              </w:rPr>
              <w:t>Wave 5</w:t>
            </w:r>
            <w:r w:rsidRPr="004D46AC">
              <w:rPr>
                <w:b/>
                <w:bCs/>
              </w:rPr>
              <w:t xml:space="preserve"> Depression </w:t>
            </w:r>
            <w:r w:rsidRPr="004D46AC">
              <w:t>(PHQ9&gt;10)</w:t>
            </w:r>
          </w:p>
          <w:p w14:paraId="1C143BD2" w14:textId="77777777" w:rsidR="007075D9" w:rsidRPr="004D46AC" w:rsidRDefault="007075D9" w:rsidP="002C5F6E">
            <w:pPr>
              <w:spacing w:line="240" w:lineRule="auto"/>
              <w:ind w:firstLine="0"/>
              <w:rPr>
                <w:color w:val="000000"/>
              </w:rPr>
            </w:pPr>
            <w:r w:rsidRPr="004D46AC">
              <w:rPr>
                <w:b/>
                <w:bCs/>
              </w:rPr>
              <w:t xml:space="preserve">McFadden’s </w:t>
            </w:r>
            <w:r w:rsidRPr="004D46AC">
              <w:rPr>
                <w:b/>
                <w:bCs/>
                <w:i/>
                <w:iCs/>
              </w:rPr>
              <w:t>R</w:t>
            </w:r>
            <w:r w:rsidRPr="004D46AC">
              <w:rPr>
                <w:b/>
                <w:bCs/>
                <w:vertAlign w:val="superscript"/>
              </w:rPr>
              <w:t>2</w:t>
            </w:r>
            <w:r w:rsidRPr="004D46AC">
              <w:t>=0.54</w:t>
            </w:r>
          </w:p>
        </w:tc>
        <w:tc>
          <w:tcPr>
            <w:tcW w:w="1838" w:type="dxa"/>
          </w:tcPr>
          <w:p w14:paraId="4F47B18B" w14:textId="77777777" w:rsidR="007075D9" w:rsidRPr="004D46AC" w:rsidRDefault="007075D9" w:rsidP="002C5F6E">
            <w:pPr>
              <w:spacing w:line="240" w:lineRule="auto"/>
              <w:ind w:firstLine="0"/>
              <w:rPr>
                <w:b/>
                <w:bCs/>
              </w:rPr>
            </w:pPr>
          </w:p>
        </w:tc>
      </w:tr>
      <w:tr w:rsidR="007075D9" w:rsidRPr="004D46AC" w14:paraId="4A761DFF" w14:textId="77777777" w:rsidTr="00B518F1">
        <w:trPr>
          <w:trHeight w:val="300"/>
        </w:trPr>
        <w:tc>
          <w:tcPr>
            <w:tcW w:w="3330" w:type="dxa"/>
            <w:noWrap/>
            <w:vAlign w:val="center"/>
          </w:tcPr>
          <w:p w14:paraId="32298387" w14:textId="77777777" w:rsidR="007075D9" w:rsidRPr="004D46AC" w:rsidRDefault="007075D9" w:rsidP="002C5F6E">
            <w:pPr>
              <w:spacing w:line="240" w:lineRule="auto"/>
              <w:ind w:firstLine="0"/>
              <w:rPr>
                <w:color w:val="000000"/>
              </w:rPr>
            </w:pPr>
            <w:r w:rsidRPr="004D46AC">
              <w:rPr>
                <w:color w:val="000000"/>
              </w:rPr>
              <w:t>(Intercept)</w:t>
            </w:r>
          </w:p>
        </w:tc>
        <w:tc>
          <w:tcPr>
            <w:tcW w:w="1134" w:type="dxa"/>
            <w:noWrap/>
            <w:vAlign w:val="center"/>
          </w:tcPr>
          <w:p w14:paraId="7DA79F11" w14:textId="77777777" w:rsidR="007075D9" w:rsidRPr="004D46AC" w:rsidRDefault="007075D9" w:rsidP="002C5F6E">
            <w:pPr>
              <w:spacing w:line="240" w:lineRule="auto"/>
              <w:ind w:firstLine="0"/>
              <w:rPr>
                <w:color w:val="000000"/>
              </w:rPr>
            </w:pPr>
            <w:r w:rsidRPr="004D46AC">
              <w:rPr>
                <w:color w:val="000000"/>
              </w:rPr>
              <w:t>-4.05</w:t>
            </w:r>
          </w:p>
        </w:tc>
        <w:tc>
          <w:tcPr>
            <w:tcW w:w="747" w:type="dxa"/>
            <w:noWrap/>
            <w:vAlign w:val="center"/>
          </w:tcPr>
          <w:p w14:paraId="228E44E4" w14:textId="77777777" w:rsidR="007075D9" w:rsidRPr="004D46AC" w:rsidRDefault="007075D9" w:rsidP="002C5F6E">
            <w:pPr>
              <w:spacing w:line="240" w:lineRule="auto"/>
              <w:ind w:firstLine="0"/>
              <w:rPr>
                <w:color w:val="000000"/>
              </w:rPr>
            </w:pPr>
            <w:r w:rsidRPr="004D46AC">
              <w:rPr>
                <w:color w:val="000000"/>
              </w:rPr>
              <w:t>1.29</w:t>
            </w:r>
          </w:p>
        </w:tc>
        <w:tc>
          <w:tcPr>
            <w:tcW w:w="1276" w:type="dxa"/>
            <w:noWrap/>
            <w:vAlign w:val="center"/>
          </w:tcPr>
          <w:p w14:paraId="46F5A017" w14:textId="77777777" w:rsidR="007075D9" w:rsidRPr="004D46AC" w:rsidRDefault="007075D9" w:rsidP="002C5F6E">
            <w:pPr>
              <w:spacing w:line="240" w:lineRule="auto"/>
              <w:ind w:firstLine="0"/>
              <w:rPr>
                <w:color w:val="000000"/>
              </w:rPr>
            </w:pPr>
            <w:r w:rsidRPr="004D46AC">
              <w:rPr>
                <w:color w:val="000000"/>
              </w:rPr>
              <w:t>-3.13</w:t>
            </w:r>
          </w:p>
        </w:tc>
        <w:tc>
          <w:tcPr>
            <w:tcW w:w="1838" w:type="dxa"/>
          </w:tcPr>
          <w:p w14:paraId="580B7436" w14:textId="77777777" w:rsidR="007075D9" w:rsidRPr="004D46AC" w:rsidRDefault="007075D9" w:rsidP="002C5F6E">
            <w:pPr>
              <w:spacing w:line="240" w:lineRule="auto"/>
              <w:ind w:firstLine="0"/>
              <w:rPr>
                <w:color w:val="000000"/>
              </w:rPr>
            </w:pPr>
          </w:p>
        </w:tc>
      </w:tr>
      <w:tr w:rsidR="007075D9" w:rsidRPr="004D46AC" w14:paraId="13D0C248" w14:textId="77777777" w:rsidTr="00B518F1">
        <w:trPr>
          <w:trHeight w:val="300"/>
        </w:trPr>
        <w:tc>
          <w:tcPr>
            <w:tcW w:w="3330" w:type="dxa"/>
            <w:noWrap/>
            <w:vAlign w:val="center"/>
          </w:tcPr>
          <w:p w14:paraId="3069AC6F" w14:textId="77777777" w:rsidR="007075D9" w:rsidRPr="004D46AC" w:rsidRDefault="007075D9" w:rsidP="002C5F6E">
            <w:pPr>
              <w:spacing w:line="240" w:lineRule="auto"/>
              <w:ind w:firstLine="0"/>
              <w:rPr>
                <w:color w:val="000000"/>
              </w:rPr>
            </w:pPr>
            <w:r w:rsidRPr="004D46AC">
              <w:rPr>
                <w:color w:val="000000"/>
              </w:rPr>
              <w:t>ACEs (W5)</w:t>
            </w:r>
          </w:p>
        </w:tc>
        <w:tc>
          <w:tcPr>
            <w:tcW w:w="1134" w:type="dxa"/>
            <w:noWrap/>
            <w:vAlign w:val="center"/>
          </w:tcPr>
          <w:p w14:paraId="6108EE45" w14:textId="77777777" w:rsidR="007075D9" w:rsidRPr="004D46AC" w:rsidRDefault="007075D9" w:rsidP="002C5F6E">
            <w:pPr>
              <w:spacing w:line="240" w:lineRule="auto"/>
              <w:ind w:firstLine="0"/>
              <w:rPr>
                <w:color w:val="000000"/>
              </w:rPr>
            </w:pPr>
            <w:r w:rsidRPr="004D46AC">
              <w:rPr>
                <w:color w:val="000000"/>
              </w:rPr>
              <w:t>0.22*</w:t>
            </w:r>
          </w:p>
        </w:tc>
        <w:tc>
          <w:tcPr>
            <w:tcW w:w="747" w:type="dxa"/>
            <w:noWrap/>
            <w:vAlign w:val="center"/>
          </w:tcPr>
          <w:p w14:paraId="2EA9C601" w14:textId="77777777" w:rsidR="007075D9" w:rsidRPr="004D46AC" w:rsidRDefault="007075D9" w:rsidP="002C5F6E">
            <w:pPr>
              <w:spacing w:line="240" w:lineRule="auto"/>
              <w:ind w:firstLine="0"/>
              <w:rPr>
                <w:color w:val="000000"/>
              </w:rPr>
            </w:pPr>
            <w:r w:rsidRPr="004D46AC">
              <w:rPr>
                <w:color w:val="000000"/>
              </w:rPr>
              <w:t>0.09</w:t>
            </w:r>
          </w:p>
        </w:tc>
        <w:tc>
          <w:tcPr>
            <w:tcW w:w="1276" w:type="dxa"/>
            <w:noWrap/>
            <w:vAlign w:val="center"/>
          </w:tcPr>
          <w:p w14:paraId="421DCE48" w14:textId="77777777" w:rsidR="007075D9" w:rsidRPr="004D46AC" w:rsidRDefault="007075D9" w:rsidP="002C5F6E">
            <w:pPr>
              <w:spacing w:line="240" w:lineRule="auto"/>
              <w:ind w:firstLine="0"/>
              <w:rPr>
                <w:color w:val="000000"/>
              </w:rPr>
            </w:pPr>
            <w:r w:rsidRPr="004D46AC">
              <w:rPr>
                <w:color w:val="000000"/>
              </w:rPr>
              <w:t>2.42</w:t>
            </w:r>
          </w:p>
        </w:tc>
        <w:tc>
          <w:tcPr>
            <w:tcW w:w="1838" w:type="dxa"/>
          </w:tcPr>
          <w:p w14:paraId="0C7F89A9" w14:textId="77777777" w:rsidR="007075D9" w:rsidRPr="004D46AC" w:rsidRDefault="007075D9" w:rsidP="002C5F6E">
            <w:pPr>
              <w:spacing w:line="240" w:lineRule="auto"/>
              <w:ind w:firstLine="0"/>
              <w:rPr>
                <w:color w:val="000000"/>
              </w:rPr>
            </w:pPr>
            <w:r w:rsidRPr="004D46AC">
              <w:rPr>
                <w:color w:val="000000"/>
              </w:rPr>
              <w:t>[0.02, 0.42]</w:t>
            </w:r>
          </w:p>
        </w:tc>
      </w:tr>
      <w:tr w:rsidR="007075D9" w:rsidRPr="004D46AC" w14:paraId="55570D40" w14:textId="77777777" w:rsidTr="00B518F1">
        <w:trPr>
          <w:trHeight w:val="300"/>
        </w:trPr>
        <w:tc>
          <w:tcPr>
            <w:tcW w:w="3330" w:type="dxa"/>
            <w:noWrap/>
            <w:vAlign w:val="center"/>
          </w:tcPr>
          <w:p w14:paraId="4ABA0C3D" w14:textId="77777777" w:rsidR="007075D9" w:rsidRPr="004D46AC" w:rsidRDefault="007075D9" w:rsidP="002C5F6E">
            <w:pPr>
              <w:spacing w:line="240" w:lineRule="auto"/>
              <w:ind w:firstLine="0"/>
              <w:rPr>
                <w:color w:val="000000"/>
              </w:rPr>
            </w:pPr>
            <w:r w:rsidRPr="004D46AC">
              <w:rPr>
                <w:color w:val="000000"/>
              </w:rPr>
              <w:t>Anxiety (W5)</w:t>
            </w:r>
          </w:p>
        </w:tc>
        <w:tc>
          <w:tcPr>
            <w:tcW w:w="1134" w:type="dxa"/>
            <w:noWrap/>
            <w:vAlign w:val="center"/>
          </w:tcPr>
          <w:p w14:paraId="5E744FF5" w14:textId="77777777" w:rsidR="007075D9" w:rsidRPr="004D46AC" w:rsidRDefault="007075D9" w:rsidP="002C5F6E">
            <w:pPr>
              <w:spacing w:line="240" w:lineRule="auto"/>
              <w:ind w:firstLine="0"/>
              <w:rPr>
                <w:color w:val="000000"/>
              </w:rPr>
            </w:pPr>
            <w:r w:rsidRPr="004D46AC">
              <w:rPr>
                <w:color w:val="000000"/>
              </w:rPr>
              <w:t>0.35***</w:t>
            </w:r>
          </w:p>
        </w:tc>
        <w:tc>
          <w:tcPr>
            <w:tcW w:w="747" w:type="dxa"/>
            <w:noWrap/>
            <w:vAlign w:val="center"/>
          </w:tcPr>
          <w:p w14:paraId="2F2C5501" w14:textId="77777777" w:rsidR="007075D9" w:rsidRPr="004D46AC" w:rsidRDefault="007075D9" w:rsidP="002C5F6E">
            <w:pPr>
              <w:spacing w:line="240" w:lineRule="auto"/>
              <w:ind w:firstLine="0"/>
              <w:rPr>
                <w:color w:val="000000"/>
              </w:rPr>
            </w:pPr>
            <w:r w:rsidRPr="004D46AC">
              <w:rPr>
                <w:color w:val="000000"/>
              </w:rPr>
              <w:t xml:space="preserve">0.03 </w:t>
            </w:r>
          </w:p>
        </w:tc>
        <w:tc>
          <w:tcPr>
            <w:tcW w:w="1276" w:type="dxa"/>
            <w:noWrap/>
            <w:vAlign w:val="center"/>
          </w:tcPr>
          <w:p w14:paraId="52C5C986" w14:textId="77777777" w:rsidR="007075D9" w:rsidRPr="004D46AC" w:rsidRDefault="007075D9" w:rsidP="002C5F6E">
            <w:pPr>
              <w:spacing w:line="240" w:lineRule="auto"/>
              <w:ind w:firstLine="0"/>
              <w:rPr>
                <w:color w:val="000000"/>
              </w:rPr>
            </w:pPr>
            <w:r w:rsidRPr="004D46AC">
              <w:rPr>
                <w:color w:val="000000"/>
              </w:rPr>
              <w:t>10.18</w:t>
            </w:r>
          </w:p>
        </w:tc>
        <w:tc>
          <w:tcPr>
            <w:tcW w:w="1838" w:type="dxa"/>
          </w:tcPr>
          <w:p w14:paraId="08D1026F" w14:textId="77777777" w:rsidR="007075D9" w:rsidRPr="004D46AC" w:rsidRDefault="007075D9" w:rsidP="002C5F6E">
            <w:pPr>
              <w:spacing w:line="240" w:lineRule="auto"/>
              <w:ind w:firstLine="0"/>
              <w:rPr>
                <w:color w:val="000000"/>
              </w:rPr>
            </w:pPr>
            <w:r w:rsidRPr="004D46AC">
              <w:rPr>
                <w:color w:val="000000"/>
              </w:rPr>
              <w:t>[0.29, 0.45]</w:t>
            </w:r>
          </w:p>
        </w:tc>
      </w:tr>
      <w:tr w:rsidR="007075D9" w:rsidRPr="004D46AC" w14:paraId="76E99E03" w14:textId="77777777" w:rsidTr="00B518F1">
        <w:trPr>
          <w:trHeight w:val="300"/>
        </w:trPr>
        <w:tc>
          <w:tcPr>
            <w:tcW w:w="3330" w:type="dxa"/>
            <w:noWrap/>
            <w:vAlign w:val="center"/>
          </w:tcPr>
          <w:p w14:paraId="07A4418C" w14:textId="77777777" w:rsidR="007075D9" w:rsidRPr="004D46AC" w:rsidRDefault="007075D9" w:rsidP="002C5F6E">
            <w:pPr>
              <w:spacing w:line="240" w:lineRule="auto"/>
              <w:ind w:firstLine="0"/>
              <w:rPr>
                <w:color w:val="000000"/>
              </w:rPr>
            </w:pPr>
            <w:r w:rsidRPr="004D46AC">
              <w:rPr>
                <w:color w:val="000000"/>
              </w:rPr>
              <w:t>Depression (W1)</w:t>
            </w:r>
          </w:p>
        </w:tc>
        <w:tc>
          <w:tcPr>
            <w:tcW w:w="1134" w:type="dxa"/>
            <w:noWrap/>
            <w:vAlign w:val="center"/>
          </w:tcPr>
          <w:p w14:paraId="43733D8C" w14:textId="77777777" w:rsidR="007075D9" w:rsidRPr="004D46AC" w:rsidRDefault="007075D9" w:rsidP="002C5F6E">
            <w:pPr>
              <w:spacing w:line="240" w:lineRule="auto"/>
              <w:ind w:firstLine="0"/>
              <w:rPr>
                <w:color w:val="000000"/>
              </w:rPr>
            </w:pPr>
            <w:r w:rsidRPr="004D46AC">
              <w:rPr>
                <w:color w:val="000000"/>
              </w:rPr>
              <w:t>0.18***</w:t>
            </w:r>
          </w:p>
        </w:tc>
        <w:tc>
          <w:tcPr>
            <w:tcW w:w="747" w:type="dxa"/>
            <w:noWrap/>
            <w:vAlign w:val="center"/>
          </w:tcPr>
          <w:p w14:paraId="370D0BB6" w14:textId="77777777" w:rsidR="007075D9" w:rsidRPr="004D46AC" w:rsidRDefault="007075D9" w:rsidP="002C5F6E">
            <w:pPr>
              <w:spacing w:line="240" w:lineRule="auto"/>
              <w:ind w:firstLine="0"/>
              <w:rPr>
                <w:color w:val="000000"/>
              </w:rPr>
            </w:pPr>
            <w:r w:rsidRPr="004D46AC">
              <w:rPr>
                <w:color w:val="000000"/>
              </w:rPr>
              <w:t>0.03</w:t>
            </w:r>
          </w:p>
        </w:tc>
        <w:tc>
          <w:tcPr>
            <w:tcW w:w="1276" w:type="dxa"/>
            <w:noWrap/>
            <w:vAlign w:val="center"/>
          </w:tcPr>
          <w:p w14:paraId="0A871585" w14:textId="77777777" w:rsidR="007075D9" w:rsidRPr="004D46AC" w:rsidRDefault="007075D9" w:rsidP="002C5F6E">
            <w:pPr>
              <w:spacing w:line="240" w:lineRule="auto"/>
              <w:ind w:firstLine="0"/>
              <w:rPr>
                <w:color w:val="000000"/>
              </w:rPr>
            </w:pPr>
            <w:r w:rsidRPr="004D46AC">
              <w:rPr>
                <w:color w:val="000000"/>
              </w:rPr>
              <w:t>5.48</w:t>
            </w:r>
          </w:p>
        </w:tc>
        <w:tc>
          <w:tcPr>
            <w:tcW w:w="1838" w:type="dxa"/>
          </w:tcPr>
          <w:p w14:paraId="7B513EF8" w14:textId="77777777" w:rsidR="007075D9" w:rsidRPr="004D46AC" w:rsidRDefault="007075D9" w:rsidP="002C5F6E">
            <w:pPr>
              <w:spacing w:line="240" w:lineRule="auto"/>
              <w:ind w:firstLine="0"/>
              <w:rPr>
                <w:color w:val="000000"/>
              </w:rPr>
            </w:pPr>
            <w:r w:rsidRPr="004D46AC">
              <w:rPr>
                <w:color w:val="000000"/>
              </w:rPr>
              <w:t>[0.09, 0.22]</w:t>
            </w:r>
          </w:p>
        </w:tc>
      </w:tr>
      <w:tr w:rsidR="007075D9" w:rsidRPr="004D46AC" w14:paraId="51EB4475" w14:textId="77777777" w:rsidTr="00B518F1">
        <w:trPr>
          <w:trHeight w:val="300"/>
        </w:trPr>
        <w:tc>
          <w:tcPr>
            <w:tcW w:w="3330" w:type="dxa"/>
            <w:noWrap/>
            <w:vAlign w:val="center"/>
          </w:tcPr>
          <w:p w14:paraId="7B5FC4E9" w14:textId="77777777" w:rsidR="007075D9" w:rsidRPr="004D46AC" w:rsidRDefault="007075D9" w:rsidP="002C5F6E">
            <w:pPr>
              <w:spacing w:line="240" w:lineRule="auto"/>
              <w:ind w:firstLine="0"/>
              <w:rPr>
                <w:color w:val="000000"/>
              </w:rPr>
            </w:pPr>
            <w:r w:rsidRPr="004D46AC">
              <w:rPr>
                <w:color w:val="000000"/>
              </w:rPr>
              <w:t>Age (W5)</w:t>
            </w:r>
          </w:p>
        </w:tc>
        <w:tc>
          <w:tcPr>
            <w:tcW w:w="1134" w:type="dxa"/>
            <w:noWrap/>
            <w:vAlign w:val="center"/>
          </w:tcPr>
          <w:p w14:paraId="2412072C" w14:textId="77777777" w:rsidR="007075D9" w:rsidRPr="004D46AC" w:rsidRDefault="007075D9" w:rsidP="002C5F6E">
            <w:pPr>
              <w:spacing w:line="240" w:lineRule="auto"/>
              <w:ind w:firstLine="0"/>
              <w:rPr>
                <w:color w:val="000000"/>
              </w:rPr>
            </w:pPr>
            <w:r w:rsidRPr="004D46AC">
              <w:rPr>
                <w:color w:val="000000"/>
              </w:rPr>
              <w:t>0.02*</w:t>
            </w:r>
          </w:p>
        </w:tc>
        <w:tc>
          <w:tcPr>
            <w:tcW w:w="747" w:type="dxa"/>
            <w:noWrap/>
            <w:vAlign w:val="center"/>
          </w:tcPr>
          <w:p w14:paraId="62A9E572" w14:textId="77777777" w:rsidR="007075D9" w:rsidRPr="004D46AC" w:rsidRDefault="007075D9" w:rsidP="002C5F6E">
            <w:pPr>
              <w:spacing w:line="240" w:lineRule="auto"/>
              <w:ind w:firstLine="0"/>
              <w:rPr>
                <w:color w:val="000000"/>
              </w:rPr>
            </w:pPr>
            <w:r w:rsidRPr="004D46AC">
              <w:rPr>
                <w:color w:val="000000"/>
              </w:rPr>
              <w:t>0.01</w:t>
            </w:r>
          </w:p>
        </w:tc>
        <w:tc>
          <w:tcPr>
            <w:tcW w:w="1276" w:type="dxa"/>
            <w:noWrap/>
            <w:vAlign w:val="center"/>
          </w:tcPr>
          <w:p w14:paraId="2AD424AD" w14:textId="77777777" w:rsidR="007075D9" w:rsidRPr="004D46AC" w:rsidRDefault="007075D9" w:rsidP="002C5F6E">
            <w:pPr>
              <w:spacing w:line="240" w:lineRule="auto"/>
              <w:ind w:firstLine="0"/>
              <w:rPr>
                <w:color w:val="000000"/>
              </w:rPr>
            </w:pPr>
            <w:r w:rsidRPr="004D46AC">
              <w:rPr>
                <w:color w:val="000000"/>
              </w:rPr>
              <w:t>2.05</w:t>
            </w:r>
          </w:p>
        </w:tc>
        <w:tc>
          <w:tcPr>
            <w:tcW w:w="1838" w:type="dxa"/>
          </w:tcPr>
          <w:p w14:paraId="278FC7A8" w14:textId="77777777" w:rsidR="007075D9" w:rsidRPr="004D46AC" w:rsidRDefault="007075D9" w:rsidP="002C5F6E">
            <w:pPr>
              <w:spacing w:line="240" w:lineRule="auto"/>
              <w:ind w:firstLine="0"/>
              <w:rPr>
                <w:color w:val="000000"/>
              </w:rPr>
            </w:pPr>
            <w:r w:rsidRPr="004D46AC">
              <w:rPr>
                <w:color w:val="000000"/>
              </w:rPr>
              <w:t>[–0.0002, 0.05]</w:t>
            </w:r>
          </w:p>
        </w:tc>
      </w:tr>
      <w:tr w:rsidR="007075D9" w:rsidRPr="004D46AC" w14:paraId="682CF8A9" w14:textId="77777777" w:rsidTr="00B518F1">
        <w:trPr>
          <w:trHeight w:val="300"/>
        </w:trPr>
        <w:tc>
          <w:tcPr>
            <w:tcW w:w="8325" w:type="dxa"/>
            <w:gridSpan w:val="5"/>
            <w:noWrap/>
            <w:vAlign w:val="center"/>
          </w:tcPr>
          <w:p w14:paraId="49AE20D5" w14:textId="77777777" w:rsidR="007075D9" w:rsidRPr="004D46AC" w:rsidRDefault="007075D9" w:rsidP="002C5F6E">
            <w:pPr>
              <w:spacing w:line="240" w:lineRule="auto"/>
              <w:ind w:firstLine="0"/>
            </w:pPr>
            <w:r w:rsidRPr="004D46AC">
              <w:rPr>
                <w:rFonts w:hint="eastAsia"/>
                <w:b/>
                <w:bCs/>
              </w:rPr>
              <w:t xml:space="preserve">Wave 9 </w:t>
            </w:r>
            <w:r w:rsidRPr="004D46AC">
              <w:rPr>
                <w:b/>
                <w:bCs/>
              </w:rPr>
              <w:t xml:space="preserve">Depression </w:t>
            </w:r>
            <w:r w:rsidRPr="004D46AC">
              <w:t>(PHQ9&gt;10)</w:t>
            </w:r>
          </w:p>
          <w:p w14:paraId="382E6D89" w14:textId="77777777" w:rsidR="007075D9" w:rsidRPr="004D46AC" w:rsidRDefault="007075D9" w:rsidP="002C5F6E">
            <w:pPr>
              <w:spacing w:line="240" w:lineRule="auto"/>
              <w:ind w:firstLine="0"/>
              <w:rPr>
                <w:color w:val="000000"/>
              </w:rPr>
            </w:pPr>
            <w:r w:rsidRPr="004D46AC">
              <w:rPr>
                <w:b/>
                <w:bCs/>
              </w:rPr>
              <w:t xml:space="preserve">McFadden’s </w:t>
            </w:r>
            <w:r w:rsidRPr="004D46AC">
              <w:rPr>
                <w:b/>
                <w:bCs/>
                <w:i/>
                <w:iCs/>
              </w:rPr>
              <w:t>R</w:t>
            </w:r>
            <w:r w:rsidRPr="004D46AC">
              <w:rPr>
                <w:b/>
                <w:bCs/>
                <w:vertAlign w:val="superscript"/>
              </w:rPr>
              <w:t>2</w:t>
            </w:r>
            <w:r w:rsidRPr="004D46AC">
              <w:t>=0.65</w:t>
            </w:r>
          </w:p>
        </w:tc>
      </w:tr>
      <w:tr w:rsidR="007075D9" w:rsidRPr="004D46AC" w14:paraId="66C6BD76" w14:textId="77777777" w:rsidTr="00B518F1">
        <w:trPr>
          <w:trHeight w:val="300"/>
        </w:trPr>
        <w:tc>
          <w:tcPr>
            <w:tcW w:w="3330" w:type="dxa"/>
            <w:noWrap/>
            <w:vAlign w:val="center"/>
          </w:tcPr>
          <w:p w14:paraId="204C47B5" w14:textId="77777777" w:rsidR="007075D9" w:rsidRPr="004D46AC" w:rsidRDefault="007075D9" w:rsidP="002C5F6E">
            <w:pPr>
              <w:spacing w:line="240" w:lineRule="auto"/>
              <w:ind w:firstLine="0"/>
            </w:pPr>
            <w:r w:rsidRPr="004D46AC">
              <w:rPr>
                <w:color w:val="000000"/>
              </w:rPr>
              <w:t>(Intercept)</w:t>
            </w:r>
          </w:p>
        </w:tc>
        <w:tc>
          <w:tcPr>
            <w:tcW w:w="1134" w:type="dxa"/>
            <w:noWrap/>
            <w:vAlign w:val="center"/>
          </w:tcPr>
          <w:p w14:paraId="2967BC34" w14:textId="77777777" w:rsidR="007075D9" w:rsidRPr="004D46AC" w:rsidRDefault="007075D9" w:rsidP="002C5F6E">
            <w:pPr>
              <w:spacing w:line="240" w:lineRule="auto"/>
              <w:ind w:firstLine="0"/>
            </w:pPr>
            <w:r w:rsidRPr="004D46AC">
              <w:rPr>
                <w:color w:val="000000"/>
              </w:rPr>
              <w:t>-6.21</w:t>
            </w:r>
          </w:p>
        </w:tc>
        <w:tc>
          <w:tcPr>
            <w:tcW w:w="747" w:type="dxa"/>
            <w:noWrap/>
            <w:vAlign w:val="center"/>
          </w:tcPr>
          <w:p w14:paraId="0BABDB61" w14:textId="77777777" w:rsidR="007075D9" w:rsidRPr="004D46AC" w:rsidRDefault="007075D9" w:rsidP="002C5F6E">
            <w:pPr>
              <w:spacing w:line="240" w:lineRule="auto"/>
              <w:ind w:firstLine="0"/>
            </w:pPr>
            <w:r w:rsidRPr="004D46AC">
              <w:rPr>
                <w:color w:val="000000"/>
              </w:rPr>
              <w:t>2.18</w:t>
            </w:r>
          </w:p>
        </w:tc>
        <w:tc>
          <w:tcPr>
            <w:tcW w:w="1276" w:type="dxa"/>
            <w:noWrap/>
            <w:vAlign w:val="center"/>
          </w:tcPr>
          <w:p w14:paraId="5B0BCC76" w14:textId="77777777" w:rsidR="007075D9" w:rsidRPr="004D46AC" w:rsidRDefault="007075D9" w:rsidP="002C5F6E">
            <w:pPr>
              <w:spacing w:line="240" w:lineRule="auto"/>
              <w:ind w:firstLine="0"/>
            </w:pPr>
            <w:r w:rsidRPr="004D46AC">
              <w:rPr>
                <w:color w:val="000000"/>
              </w:rPr>
              <w:t>-2.85</w:t>
            </w:r>
          </w:p>
        </w:tc>
        <w:tc>
          <w:tcPr>
            <w:tcW w:w="1838" w:type="dxa"/>
          </w:tcPr>
          <w:p w14:paraId="6EAFBBDB" w14:textId="77777777" w:rsidR="007075D9" w:rsidRPr="004D46AC" w:rsidRDefault="007075D9" w:rsidP="002C5F6E">
            <w:pPr>
              <w:spacing w:line="240" w:lineRule="auto"/>
              <w:ind w:firstLine="0"/>
              <w:rPr>
                <w:color w:val="000000"/>
              </w:rPr>
            </w:pPr>
          </w:p>
        </w:tc>
      </w:tr>
      <w:tr w:rsidR="007075D9" w:rsidRPr="004D46AC" w14:paraId="50DD9D32" w14:textId="77777777" w:rsidTr="00B518F1">
        <w:trPr>
          <w:trHeight w:val="300"/>
        </w:trPr>
        <w:tc>
          <w:tcPr>
            <w:tcW w:w="3330" w:type="dxa"/>
            <w:noWrap/>
            <w:vAlign w:val="center"/>
          </w:tcPr>
          <w:p w14:paraId="715F5046" w14:textId="77777777" w:rsidR="007075D9" w:rsidRPr="004D46AC" w:rsidRDefault="007075D9" w:rsidP="002C5F6E">
            <w:pPr>
              <w:spacing w:line="240" w:lineRule="auto"/>
              <w:ind w:firstLine="0"/>
            </w:pPr>
            <w:r w:rsidRPr="004D46AC">
              <w:rPr>
                <w:color w:val="000000"/>
              </w:rPr>
              <w:t>Depression (W5)</w:t>
            </w:r>
          </w:p>
        </w:tc>
        <w:tc>
          <w:tcPr>
            <w:tcW w:w="1134" w:type="dxa"/>
            <w:noWrap/>
            <w:vAlign w:val="center"/>
          </w:tcPr>
          <w:p w14:paraId="709789A8" w14:textId="77777777" w:rsidR="007075D9" w:rsidRPr="004D46AC" w:rsidRDefault="007075D9" w:rsidP="002C5F6E">
            <w:pPr>
              <w:spacing w:line="240" w:lineRule="auto"/>
              <w:ind w:firstLine="0"/>
            </w:pPr>
            <w:r w:rsidRPr="004D46AC">
              <w:rPr>
                <w:color w:val="000000"/>
              </w:rPr>
              <w:t>0.15***</w:t>
            </w:r>
          </w:p>
        </w:tc>
        <w:tc>
          <w:tcPr>
            <w:tcW w:w="747" w:type="dxa"/>
            <w:noWrap/>
            <w:vAlign w:val="center"/>
          </w:tcPr>
          <w:p w14:paraId="0088F888" w14:textId="77777777" w:rsidR="007075D9" w:rsidRPr="004D46AC" w:rsidRDefault="007075D9" w:rsidP="002C5F6E">
            <w:pPr>
              <w:spacing w:line="240" w:lineRule="auto"/>
              <w:ind w:firstLine="0"/>
            </w:pPr>
            <w:r w:rsidRPr="004D46AC">
              <w:rPr>
                <w:color w:val="000000"/>
              </w:rPr>
              <w:t>0.04</w:t>
            </w:r>
          </w:p>
        </w:tc>
        <w:tc>
          <w:tcPr>
            <w:tcW w:w="1276" w:type="dxa"/>
            <w:noWrap/>
            <w:vAlign w:val="center"/>
          </w:tcPr>
          <w:p w14:paraId="21B32EAF" w14:textId="77777777" w:rsidR="007075D9" w:rsidRPr="004D46AC" w:rsidRDefault="007075D9" w:rsidP="002C5F6E">
            <w:pPr>
              <w:spacing w:line="240" w:lineRule="auto"/>
              <w:ind w:firstLine="0"/>
            </w:pPr>
            <w:r w:rsidRPr="004D46AC">
              <w:rPr>
                <w:color w:val="000000"/>
              </w:rPr>
              <w:t>3.49</w:t>
            </w:r>
          </w:p>
        </w:tc>
        <w:tc>
          <w:tcPr>
            <w:tcW w:w="1838" w:type="dxa"/>
          </w:tcPr>
          <w:p w14:paraId="7212A8AB" w14:textId="77777777" w:rsidR="007075D9" w:rsidRPr="004D46AC" w:rsidRDefault="007075D9" w:rsidP="002C5F6E">
            <w:pPr>
              <w:spacing w:line="240" w:lineRule="auto"/>
              <w:ind w:firstLine="0"/>
              <w:rPr>
                <w:color w:val="000000"/>
              </w:rPr>
            </w:pPr>
            <w:r w:rsidRPr="004D46AC">
              <w:rPr>
                <w:color w:val="000000"/>
              </w:rPr>
              <w:t>[0.07, 0.31]</w:t>
            </w:r>
          </w:p>
        </w:tc>
      </w:tr>
      <w:tr w:rsidR="007075D9" w:rsidRPr="004D46AC" w14:paraId="486AD5C6" w14:textId="77777777" w:rsidTr="00B518F1">
        <w:trPr>
          <w:trHeight w:val="300"/>
        </w:trPr>
        <w:tc>
          <w:tcPr>
            <w:tcW w:w="3330" w:type="dxa"/>
            <w:noWrap/>
            <w:vAlign w:val="center"/>
          </w:tcPr>
          <w:p w14:paraId="60E46D24" w14:textId="77777777" w:rsidR="007075D9" w:rsidRPr="004D46AC" w:rsidRDefault="007075D9" w:rsidP="002C5F6E">
            <w:pPr>
              <w:spacing w:line="240" w:lineRule="auto"/>
              <w:ind w:firstLine="0"/>
            </w:pPr>
            <w:r w:rsidRPr="004D46AC">
              <w:rPr>
                <w:color w:val="000000"/>
              </w:rPr>
              <w:t>Anxiety (W9)</w:t>
            </w:r>
          </w:p>
        </w:tc>
        <w:tc>
          <w:tcPr>
            <w:tcW w:w="1134" w:type="dxa"/>
            <w:noWrap/>
            <w:vAlign w:val="center"/>
          </w:tcPr>
          <w:p w14:paraId="363BE016" w14:textId="77777777" w:rsidR="007075D9" w:rsidRPr="004D46AC" w:rsidRDefault="007075D9" w:rsidP="002C5F6E">
            <w:pPr>
              <w:spacing w:line="240" w:lineRule="auto"/>
              <w:ind w:firstLine="0"/>
            </w:pPr>
            <w:r w:rsidRPr="004D46AC">
              <w:rPr>
                <w:color w:val="000000"/>
              </w:rPr>
              <w:t>0.39***</w:t>
            </w:r>
          </w:p>
        </w:tc>
        <w:tc>
          <w:tcPr>
            <w:tcW w:w="747" w:type="dxa"/>
            <w:noWrap/>
            <w:vAlign w:val="center"/>
          </w:tcPr>
          <w:p w14:paraId="321075F3" w14:textId="77777777" w:rsidR="007075D9" w:rsidRPr="004D46AC" w:rsidRDefault="007075D9" w:rsidP="002C5F6E">
            <w:pPr>
              <w:spacing w:line="240" w:lineRule="auto"/>
              <w:ind w:firstLine="0"/>
            </w:pPr>
            <w:r w:rsidRPr="004D46AC">
              <w:rPr>
                <w:color w:val="000000"/>
              </w:rPr>
              <w:t>0.06</w:t>
            </w:r>
          </w:p>
        </w:tc>
        <w:tc>
          <w:tcPr>
            <w:tcW w:w="1276" w:type="dxa"/>
            <w:noWrap/>
            <w:vAlign w:val="center"/>
          </w:tcPr>
          <w:p w14:paraId="3C89A978" w14:textId="77777777" w:rsidR="007075D9" w:rsidRPr="004D46AC" w:rsidRDefault="007075D9" w:rsidP="002C5F6E">
            <w:pPr>
              <w:spacing w:line="240" w:lineRule="auto"/>
              <w:ind w:firstLine="0"/>
            </w:pPr>
            <w:r w:rsidRPr="004D46AC">
              <w:rPr>
                <w:color w:val="000000"/>
              </w:rPr>
              <w:t>6.85</w:t>
            </w:r>
          </w:p>
        </w:tc>
        <w:tc>
          <w:tcPr>
            <w:tcW w:w="1838" w:type="dxa"/>
          </w:tcPr>
          <w:p w14:paraId="0837314C" w14:textId="77777777" w:rsidR="007075D9" w:rsidRPr="004D46AC" w:rsidRDefault="007075D9" w:rsidP="002C5F6E">
            <w:pPr>
              <w:spacing w:line="240" w:lineRule="auto"/>
              <w:ind w:firstLine="0"/>
              <w:rPr>
                <w:color w:val="000000"/>
              </w:rPr>
            </w:pPr>
            <w:r w:rsidRPr="004D46AC">
              <w:rPr>
                <w:color w:val="000000"/>
              </w:rPr>
              <w:t>[0.31, 0.67]</w:t>
            </w:r>
          </w:p>
        </w:tc>
      </w:tr>
      <w:tr w:rsidR="007075D9" w:rsidRPr="004D46AC" w14:paraId="38CE3AC9" w14:textId="77777777" w:rsidTr="00B518F1">
        <w:trPr>
          <w:trHeight w:val="300"/>
        </w:trPr>
        <w:tc>
          <w:tcPr>
            <w:tcW w:w="3330" w:type="dxa"/>
            <w:noWrap/>
            <w:vAlign w:val="center"/>
          </w:tcPr>
          <w:p w14:paraId="4597EA5E" w14:textId="77777777" w:rsidR="007075D9" w:rsidRPr="004D46AC" w:rsidRDefault="007075D9" w:rsidP="002C5F6E">
            <w:pPr>
              <w:spacing w:line="240" w:lineRule="auto"/>
              <w:ind w:firstLine="0"/>
            </w:pPr>
            <w:r w:rsidRPr="004D46AC">
              <w:rPr>
                <w:color w:val="000000"/>
              </w:rPr>
              <w:t>IOU-P (W1)</w:t>
            </w:r>
          </w:p>
        </w:tc>
        <w:tc>
          <w:tcPr>
            <w:tcW w:w="1134" w:type="dxa"/>
            <w:noWrap/>
            <w:vAlign w:val="center"/>
          </w:tcPr>
          <w:p w14:paraId="7006DF07" w14:textId="77777777" w:rsidR="007075D9" w:rsidRPr="004D46AC" w:rsidRDefault="007075D9" w:rsidP="002C5F6E">
            <w:pPr>
              <w:spacing w:line="240" w:lineRule="auto"/>
              <w:ind w:firstLine="0"/>
            </w:pPr>
            <w:r w:rsidRPr="004D46AC">
              <w:rPr>
                <w:color w:val="000000"/>
              </w:rPr>
              <w:t>0.13*</w:t>
            </w:r>
          </w:p>
        </w:tc>
        <w:tc>
          <w:tcPr>
            <w:tcW w:w="747" w:type="dxa"/>
            <w:noWrap/>
            <w:vAlign w:val="center"/>
          </w:tcPr>
          <w:p w14:paraId="52A7094D" w14:textId="77777777" w:rsidR="007075D9" w:rsidRPr="004D46AC" w:rsidRDefault="007075D9" w:rsidP="002C5F6E">
            <w:pPr>
              <w:spacing w:line="240" w:lineRule="auto"/>
              <w:ind w:firstLine="0"/>
            </w:pPr>
            <w:r w:rsidRPr="004D46AC">
              <w:rPr>
                <w:color w:val="000000"/>
              </w:rPr>
              <w:t>0.06</w:t>
            </w:r>
          </w:p>
        </w:tc>
        <w:tc>
          <w:tcPr>
            <w:tcW w:w="1276" w:type="dxa"/>
            <w:noWrap/>
            <w:vAlign w:val="center"/>
          </w:tcPr>
          <w:p w14:paraId="6D1CAF41" w14:textId="77777777" w:rsidR="007075D9" w:rsidRPr="004D46AC" w:rsidRDefault="007075D9" w:rsidP="002C5F6E">
            <w:pPr>
              <w:spacing w:line="240" w:lineRule="auto"/>
              <w:ind w:firstLine="0"/>
            </w:pPr>
            <w:r w:rsidRPr="004D46AC">
              <w:rPr>
                <w:color w:val="000000"/>
              </w:rPr>
              <w:t>2.29</w:t>
            </w:r>
          </w:p>
        </w:tc>
        <w:tc>
          <w:tcPr>
            <w:tcW w:w="1838" w:type="dxa"/>
          </w:tcPr>
          <w:p w14:paraId="007C3A1E" w14:textId="77777777" w:rsidR="007075D9" w:rsidRPr="004D46AC" w:rsidRDefault="007075D9" w:rsidP="002C5F6E">
            <w:pPr>
              <w:spacing w:line="240" w:lineRule="auto"/>
              <w:ind w:firstLine="0"/>
              <w:rPr>
                <w:color w:val="000000"/>
              </w:rPr>
            </w:pPr>
            <w:r w:rsidRPr="004D46AC">
              <w:rPr>
                <w:color w:val="000000"/>
              </w:rPr>
              <w:t>[0.03, 0.29]</w:t>
            </w:r>
          </w:p>
        </w:tc>
      </w:tr>
      <w:tr w:rsidR="007075D9" w:rsidRPr="004D46AC" w14:paraId="51E65B30" w14:textId="77777777" w:rsidTr="00B518F1">
        <w:trPr>
          <w:trHeight w:val="300"/>
        </w:trPr>
        <w:tc>
          <w:tcPr>
            <w:tcW w:w="6487" w:type="dxa"/>
            <w:gridSpan w:val="4"/>
            <w:noWrap/>
            <w:vAlign w:val="center"/>
          </w:tcPr>
          <w:p w14:paraId="5AB1F91A" w14:textId="77777777" w:rsidR="007075D9" w:rsidRPr="004D46AC" w:rsidRDefault="007075D9" w:rsidP="002C5F6E">
            <w:pPr>
              <w:spacing w:line="240" w:lineRule="auto"/>
              <w:ind w:firstLine="0"/>
              <w:rPr>
                <w:color w:val="000000"/>
              </w:rPr>
            </w:pPr>
            <w:r w:rsidRPr="004D46AC">
              <w:rPr>
                <w:rFonts w:hint="eastAsia"/>
                <w:b/>
                <w:bCs/>
                <w:color w:val="000000"/>
              </w:rPr>
              <w:t xml:space="preserve">Wave 5 </w:t>
            </w:r>
            <w:r w:rsidRPr="004D46AC">
              <w:rPr>
                <w:b/>
                <w:bCs/>
                <w:color w:val="000000"/>
              </w:rPr>
              <w:t xml:space="preserve">Mania </w:t>
            </w:r>
            <w:r w:rsidRPr="004D46AC">
              <w:rPr>
                <w:color w:val="000000"/>
              </w:rPr>
              <w:t>(MDQ&gt;8)</w:t>
            </w:r>
          </w:p>
          <w:p w14:paraId="78AE35B4" w14:textId="77777777" w:rsidR="007075D9" w:rsidRPr="004D46AC" w:rsidRDefault="007075D9" w:rsidP="002C5F6E">
            <w:pPr>
              <w:spacing w:line="240" w:lineRule="auto"/>
              <w:ind w:firstLine="0"/>
              <w:rPr>
                <w:color w:val="000000"/>
              </w:rPr>
            </w:pPr>
            <w:r w:rsidRPr="004D46AC">
              <w:rPr>
                <w:b/>
                <w:bCs/>
                <w:color w:val="000000"/>
              </w:rPr>
              <w:t xml:space="preserve">McFadden’s </w:t>
            </w:r>
            <w:r w:rsidRPr="004D46AC">
              <w:rPr>
                <w:b/>
                <w:bCs/>
                <w:i/>
                <w:iCs/>
                <w:color w:val="000000"/>
              </w:rPr>
              <w:t>R</w:t>
            </w:r>
            <w:r w:rsidRPr="004D46AC">
              <w:rPr>
                <w:b/>
                <w:bCs/>
                <w:color w:val="000000"/>
                <w:vertAlign w:val="superscript"/>
              </w:rPr>
              <w:t>2</w:t>
            </w:r>
            <w:r w:rsidRPr="004D46AC">
              <w:rPr>
                <w:color w:val="000000"/>
              </w:rPr>
              <w:t>=0.20</w:t>
            </w:r>
          </w:p>
        </w:tc>
        <w:tc>
          <w:tcPr>
            <w:tcW w:w="1838" w:type="dxa"/>
          </w:tcPr>
          <w:p w14:paraId="4E4F43BC" w14:textId="77777777" w:rsidR="007075D9" w:rsidRPr="004D46AC" w:rsidRDefault="007075D9" w:rsidP="002C5F6E">
            <w:pPr>
              <w:spacing w:line="240" w:lineRule="auto"/>
              <w:ind w:firstLine="0"/>
              <w:rPr>
                <w:b/>
                <w:bCs/>
              </w:rPr>
            </w:pPr>
          </w:p>
        </w:tc>
      </w:tr>
      <w:tr w:rsidR="007075D9" w:rsidRPr="004D46AC" w14:paraId="1E14EC98" w14:textId="77777777" w:rsidTr="00B518F1">
        <w:trPr>
          <w:trHeight w:val="300"/>
        </w:trPr>
        <w:tc>
          <w:tcPr>
            <w:tcW w:w="3330" w:type="dxa"/>
            <w:noWrap/>
            <w:vAlign w:val="center"/>
          </w:tcPr>
          <w:p w14:paraId="0D451CC1" w14:textId="77777777" w:rsidR="007075D9" w:rsidRPr="004D46AC" w:rsidRDefault="007075D9" w:rsidP="002C5F6E">
            <w:pPr>
              <w:spacing w:line="240" w:lineRule="auto"/>
              <w:ind w:firstLine="0"/>
              <w:rPr>
                <w:color w:val="000000"/>
              </w:rPr>
            </w:pPr>
            <w:r w:rsidRPr="004D46AC">
              <w:rPr>
                <w:color w:val="000000"/>
              </w:rPr>
              <w:t>(Intercept)</w:t>
            </w:r>
          </w:p>
        </w:tc>
        <w:tc>
          <w:tcPr>
            <w:tcW w:w="1134" w:type="dxa"/>
            <w:noWrap/>
            <w:vAlign w:val="center"/>
          </w:tcPr>
          <w:p w14:paraId="2F6CC333" w14:textId="77777777" w:rsidR="007075D9" w:rsidRPr="004D46AC" w:rsidRDefault="007075D9" w:rsidP="002C5F6E">
            <w:pPr>
              <w:spacing w:line="240" w:lineRule="auto"/>
              <w:ind w:firstLine="0"/>
              <w:rPr>
                <w:color w:val="000000"/>
              </w:rPr>
            </w:pPr>
            <w:r w:rsidRPr="004D46AC">
              <w:rPr>
                <w:color w:val="000000"/>
              </w:rPr>
              <w:t>-5.10</w:t>
            </w:r>
          </w:p>
        </w:tc>
        <w:tc>
          <w:tcPr>
            <w:tcW w:w="747" w:type="dxa"/>
            <w:noWrap/>
            <w:vAlign w:val="center"/>
          </w:tcPr>
          <w:p w14:paraId="7A894002" w14:textId="77777777" w:rsidR="007075D9" w:rsidRPr="004D46AC" w:rsidRDefault="007075D9" w:rsidP="002C5F6E">
            <w:pPr>
              <w:spacing w:line="240" w:lineRule="auto"/>
              <w:ind w:firstLine="0"/>
              <w:rPr>
                <w:color w:val="000000"/>
              </w:rPr>
            </w:pPr>
            <w:r w:rsidRPr="004D46AC">
              <w:rPr>
                <w:color w:val="000000"/>
              </w:rPr>
              <w:t>-1.54</w:t>
            </w:r>
          </w:p>
        </w:tc>
        <w:tc>
          <w:tcPr>
            <w:tcW w:w="1276" w:type="dxa"/>
            <w:noWrap/>
            <w:vAlign w:val="center"/>
          </w:tcPr>
          <w:p w14:paraId="7E698DAD" w14:textId="77777777" w:rsidR="007075D9" w:rsidRPr="004D46AC" w:rsidRDefault="007075D9" w:rsidP="002C5F6E">
            <w:pPr>
              <w:spacing w:line="240" w:lineRule="auto"/>
              <w:ind w:firstLine="0"/>
              <w:rPr>
                <w:color w:val="000000"/>
              </w:rPr>
            </w:pPr>
            <w:r w:rsidRPr="004D46AC">
              <w:rPr>
                <w:color w:val="000000"/>
              </w:rPr>
              <w:t>-3.31</w:t>
            </w:r>
          </w:p>
        </w:tc>
        <w:tc>
          <w:tcPr>
            <w:tcW w:w="1838" w:type="dxa"/>
          </w:tcPr>
          <w:p w14:paraId="326D16EA" w14:textId="77777777" w:rsidR="007075D9" w:rsidRPr="004D46AC" w:rsidRDefault="007075D9" w:rsidP="002C5F6E">
            <w:pPr>
              <w:spacing w:line="240" w:lineRule="auto"/>
              <w:ind w:firstLine="0"/>
              <w:rPr>
                <w:color w:val="000000"/>
              </w:rPr>
            </w:pPr>
          </w:p>
        </w:tc>
      </w:tr>
      <w:tr w:rsidR="007075D9" w:rsidRPr="004D46AC" w14:paraId="07DB7D09" w14:textId="77777777" w:rsidTr="00B518F1">
        <w:trPr>
          <w:trHeight w:val="300"/>
        </w:trPr>
        <w:tc>
          <w:tcPr>
            <w:tcW w:w="3330" w:type="dxa"/>
            <w:noWrap/>
            <w:vAlign w:val="center"/>
          </w:tcPr>
          <w:p w14:paraId="23C5580A" w14:textId="77777777" w:rsidR="007075D9" w:rsidRPr="004D46AC" w:rsidRDefault="007075D9" w:rsidP="002C5F6E">
            <w:pPr>
              <w:spacing w:line="240" w:lineRule="auto"/>
              <w:ind w:firstLine="0"/>
              <w:rPr>
                <w:color w:val="000000"/>
              </w:rPr>
            </w:pPr>
            <w:r w:rsidRPr="004D46AC">
              <w:rPr>
                <w:color w:val="000000"/>
              </w:rPr>
              <w:t>Age (W5)</w:t>
            </w:r>
          </w:p>
        </w:tc>
        <w:tc>
          <w:tcPr>
            <w:tcW w:w="1134" w:type="dxa"/>
            <w:noWrap/>
            <w:vAlign w:val="center"/>
          </w:tcPr>
          <w:p w14:paraId="64CF42C9" w14:textId="77777777" w:rsidR="007075D9" w:rsidRPr="004D46AC" w:rsidRDefault="007075D9" w:rsidP="002C5F6E">
            <w:pPr>
              <w:spacing w:line="240" w:lineRule="auto"/>
              <w:ind w:firstLine="0"/>
              <w:rPr>
                <w:color w:val="000000"/>
              </w:rPr>
            </w:pPr>
            <w:r w:rsidRPr="004D46AC">
              <w:rPr>
                <w:color w:val="000000"/>
              </w:rPr>
              <w:t xml:space="preserve">-0.03* </w:t>
            </w:r>
          </w:p>
        </w:tc>
        <w:tc>
          <w:tcPr>
            <w:tcW w:w="747" w:type="dxa"/>
            <w:noWrap/>
            <w:vAlign w:val="center"/>
          </w:tcPr>
          <w:p w14:paraId="7E41F9F9" w14:textId="77777777" w:rsidR="007075D9" w:rsidRPr="004D46AC" w:rsidRDefault="007075D9" w:rsidP="002C5F6E">
            <w:pPr>
              <w:spacing w:line="240" w:lineRule="auto"/>
              <w:ind w:firstLine="0"/>
              <w:rPr>
                <w:color w:val="000000"/>
              </w:rPr>
            </w:pPr>
            <w:r w:rsidRPr="004D46AC">
              <w:rPr>
                <w:color w:val="000000"/>
              </w:rPr>
              <w:t>0.01</w:t>
            </w:r>
          </w:p>
        </w:tc>
        <w:tc>
          <w:tcPr>
            <w:tcW w:w="1276" w:type="dxa"/>
            <w:noWrap/>
            <w:vAlign w:val="center"/>
          </w:tcPr>
          <w:p w14:paraId="441FC74F" w14:textId="77777777" w:rsidR="007075D9" w:rsidRPr="004D46AC" w:rsidRDefault="007075D9" w:rsidP="002C5F6E">
            <w:pPr>
              <w:spacing w:line="240" w:lineRule="auto"/>
              <w:ind w:firstLine="0"/>
              <w:rPr>
                <w:color w:val="000000"/>
              </w:rPr>
            </w:pPr>
            <w:r w:rsidRPr="004D46AC">
              <w:rPr>
                <w:color w:val="000000"/>
              </w:rPr>
              <w:t>-2.01</w:t>
            </w:r>
          </w:p>
        </w:tc>
        <w:tc>
          <w:tcPr>
            <w:tcW w:w="1838" w:type="dxa"/>
          </w:tcPr>
          <w:p w14:paraId="122DF34D" w14:textId="77777777" w:rsidR="007075D9" w:rsidRPr="004D46AC" w:rsidRDefault="007075D9" w:rsidP="002C5F6E">
            <w:pPr>
              <w:spacing w:line="240" w:lineRule="auto"/>
              <w:ind w:firstLine="0"/>
              <w:rPr>
                <w:color w:val="000000"/>
              </w:rPr>
            </w:pPr>
            <w:r w:rsidRPr="004D46AC">
              <w:rPr>
                <w:color w:val="000000"/>
              </w:rPr>
              <w:t>[–0.05, –0.001]</w:t>
            </w:r>
          </w:p>
        </w:tc>
      </w:tr>
      <w:tr w:rsidR="007075D9" w:rsidRPr="004D46AC" w14:paraId="14DF8214" w14:textId="77777777" w:rsidTr="00B518F1">
        <w:trPr>
          <w:trHeight w:val="300"/>
        </w:trPr>
        <w:tc>
          <w:tcPr>
            <w:tcW w:w="3330" w:type="dxa"/>
            <w:noWrap/>
            <w:vAlign w:val="center"/>
          </w:tcPr>
          <w:p w14:paraId="0A586E42" w14:textId="77777777" w:rsidR="007075D9" w:rsidRPr="004D46AC" w:rsidRDefault="007075D9" w:rsidP="002C5F6E">
            <w:pPr>
              <w:spacing w:line="240" w:lineRule="auto"/>
              <w:ind w:firstLine="0"/>
              <w:rPr>
                <w:color w:val="000000"/>
              </w:rPr>
            </w:pPr>
            <w:r w:rsidRPr="004D46AC">
              <w:rPr>
                <w:color w:val="000000"/>
              </w:rPr>
              <w:t>PLEs (W5)</w:t>
            </w:r>
          </w:p>
        </w:tc>
        <w:tc>
          <w:tcPr>
            <w:tcW w:w="1134" w:type="dxa"/>
            <w:noWrap/>
            <w:vAlign w:val="center"/>
          </w:tcPr>
          <w:p w14:paraId="7D8A7EFD" w14:textId="77777777" w:rsidR="007075D9" w:rsidRPr="004D46AC" w:rsidRDefault="007075D9" w:rsidP="002C5F6E">
            <w:pPr>
              <w:spacing w:line="240" w:lineRule="auto"/>
              <w:ind w:firstLine="0"/>
              <w:rPr>
                <w:color w:val="000000"/>
              </w:rPr>
            </w:pPr>
            <w:r w:rsidRPr="004D46AC">
              <w:rPr>
                <w:color w:val="000000"/>
              </w:rPr>
              <w:t>0.77***</w:t>
            </w:r>
          </w:p>
        </w:tc>
        <w:tc>
          <w:tcPr>
            <w:tcW w:w="747" w:type="dxa"/>
            <w:noWrap/>
            <w:vAlign w:val="center"/>
          </w:tcPr>
          <w:p w14:paraId="4536A5C6" w14:textId="77777777" w:rsidR="007075D9" w:rsidRPr="004D46AC" w:rsidRDefault="007075D9" w:rsidP="002C5F6E">
            <w:pPr>
              <w:spacing w:line="240" w:lineRule="auto"/>
              <w:ind w:firstLine="0"/>
              <w:rPr>
                <w:color w:val="000000"/>
              </w:rPr>
            </w:pPr>
            <w:r w:rsidRPr="004D46AC">
              <w:rPr>
                <w:color w:val="000000"/>
              </w:rPr>
              <w:t xml:space="preserve">0.16 </w:t>
            </w:r>
          </w:p>
        </w:tc>
        <w:tc>
          <w:tcPr>
            <w:tcW w:w="1276" w:type="dxa"/>
            <w:noWrap/>
            <w:vAlign w:val="center"/>
          </w:tcPr>
          <w:p w14:paraId="5C826C21" w14:textId="77777777" w:rsidR="007075D9" w:rsidRPr="004D46AC" w:rsidRDefault="007075D9" w:rsidP="002C5F6E">
            <w:pPr>
              <w:spacing w:line="240" w:lineRule="auto"/>
              <w:ind w:firstLine="0"/>
              <w:rPr>
                <w:color w:val="000000"/>
              </w:rPr>
            </w:pPr>
            <w:r w:rsidRPr="004D46AC">
              <w:rPr>
                <w:color w:val="000000"/>
              </w:rPr>
              <w:t>4.99</w:t>
            </w:r>
          </w:p>
        </w:tc>
        <w:tc>
          <w:tcPr>
            <w:tcW w:w="1838" w:type="dxa"/>
          </w:tcPr>
          <w:p w14:paraId="127B079B" w14:textId="77777777" w:rsidR="007075D9" w:rsidRPr="004D46AC" w:rsidRDefault="007075D9" w:rsidP="002C5F6E">
            <w:pPr>
              <w:spacing w:line="240" w:lineRule="auto"/>
              <w:ind w:firstLine="0"/>
              <w:rPr>
                <w:color w:val="000000"/>
              </w:rPr>
            </w:pPr>
            <w:r w:rsidRPr="004D46AC">
              <w:rPr>
                <w:color w:val="000000"/>
              </w:rPr>
              <w:t>[0.46, 1.18]</w:t>
            </w:r>
          </w:p>
        </w:tc>
      </w:tr>
      <w:tr w:rsidR="007075D9" w:rsidRPr="004D46AC" w14:paraId="1FE71B8E" w14:textId="77777777" w:rsidTr="00B518F1">
        <w:trPr>
          <w:trHeight w:val="300"/>
        </w:trPr>
        <w:tc>
          <w:tcPr>
            <w:tcW w:w="6487" w:type="dxa"/>
            <w:gridSpan w:val="4"/>
            <w:noWrap/>
            <w:vAlign w:val="center"/>
          </w:tcPr>
          <w:p w14:paraId="5D8DF8A7" w14:textId="77777777" w:rsidR="007075D9" w:rsidRPr="004D46AC" w:rsidRDefault="007075D9" w:rsidP="002C5F6E">
            <w:pPr>
              <w:spacing w:line="240" w:lineRule="auto"/>
              <w:ind w:firstLine="0"/>
              <w:rPr>
                <w:color w:val="000000"/>
              </w:rPr>
            </w:pPr>
            <w:r w:rsidRPr="004D46AC">
              <w:rPr>
                <w:rFonts w:hint="eastAsia"/>
                <w:b/>
                <w:bCs/>
                <w:color w:val="000000"/>
              </w:rPr>
              <w:t xml:space="preserve">Wave 9 </w:t>
            </w:r>
            <w:r w:rsidRPr="004D46AC">
              <w:rPr>
                <w:b/>
                <w:bCs/>
                <w:color w:val="000000"/>
              </w:rPr>
              <w:t xml:space="preserve">Mania </w:t>
            </w:r>
            <w:r w:rsidRPr="004D46AC">
              <w:rPr>
                <w:color w:val="000000"/>
              </w:rPr>
              <w:t>(MDQ&gt;8)</w:t>
            </w:r>
          </w:p>
          <w:p w14:paraId="2A891222" w14:textId="77777777" w:rsidR="007075D9" w:rsidRPr="004D46AC" w:rsidRDefault="007075D9" w:rsidP="002C5F6E">
            <w:pPr>
              <w:spacing w:line="240" w:lineRule="auto"/>
              <w:ind w:firstLine="0"/>
            </w:pPr>
            <w:r w:rsidRPr="004D46AC">
              <w:rPr>
                <w:b/>
                <w:bCs/>
                <w:color w:val="000000"/>
              </w:rPr>
              <w:t xml:space="preserve">McFadden’s </w:t>
            </w:r>
            <w:r w:rsidRPr="004D46AC">
              <w:rPr>
                <w:b/>
                <w:bCs/>
                <w:i/>
                <w:iCs/>
                <w:color w:val="000000"/>
              </w:rPr>
              <w:t>R</w:t>
            </w:r>
            <w:r w:rsidRPr="004D46AC">
              <w:rPr>
                <w:b/>
                <w:bCs/>
                <w:color w:val="000000"/>
                <w:vertAlign w:val="superscript"/>
              </w:rPr>
              <w:t>2</w:t>
            </w:r>
            <w:r w:rsidRPr="004D46AC">
              <w:rPr>
                <w:color w:val="000000"/>
              </w:rPr>
              <w:t>=</w:t>
            </w:r>
            <w:r w:rsidRPr="004D46AC">
              <w:t>0.45</w:t>
            </w:r>
          </w:p>
        </w:tc>
        <w:tc>
          <w:tcPr>
            <w:tcW w:w="1838" w:type="dxa"/>
          </w:tcPr>
          <w:p w14:paraId="678978AB" w14:textId="77777777" w:rsidR="007075D9" w:rsidRPr="004D46AC" w:rsidRDefault="007075D9" w:rsidP="002C5F6E">
            <w:pPr>
              <w:spacing w:line="240" w:lineRule="auto"/>
              <w:ind w:firstLine="0"/>
              <w:rPr>
                <w:b/>
                <w:bCs/>
                <w:color w:val="000000"/>
              </w:rPr>
            </w:pPr>
          </w:p>
        </w:tc>
      </w:tr>
      <w:tr w:rsidR="007075D9" w:rsidRPr="004D46AC" w14:paraId="553BE503" w14:textId="77777777" w:rsidTr="00B518F1">
        <w:trPr>
          <w:trHeight w:val="300"/>
        </w:trPr>
        <w:tc>
          <w:tcPr>
            <w:tcW w:w="3330" w:type="dxa"/>
            <w:noWrap/>
          </w:tcPr>
          <w:p w14:paraId="0018CB7D" w14:textId="77777777" w:rsidR="007075D9" w:rsidRPr="004D46AC" w:rsidRDefault="007075D9" w:rsidP="002C5F6E">
            <w:pPr>
              <w:spacing w:line="240" w:lineRule="auto"/>
              <w:ind w:firstLine="0"/>
            </w:pPr>
            <w:r w:rsidRPr="004D46AC">
              <w:rPr>
                <w:color w:val="000000"/>
              </w:rPr>
              <w:t>(Intercept)</w:t>
            </w:r>
          </w:p>
        </w:tc>
        <w:tc>
          <w:tcPr>
            <w:tcW w:w="1134" w:type="dxa"/>
            <w:noWrap/>
          </w:tcPr>
          <w:p w14:paraId="52433707" w14:textId="77777777" w:rsidR="007075D9" w:rsidRPr="004D46AC" w:rsidRDefault="007075D9" w:rsidP="002C5F6E">
            <w:pPr>
              <w:spacing w:line="240" w:lineRule="auto"/>
              <w:ind w:firstLine="0"/>
            </w:pPr>
            <w:r w:rsidRPr="004D46AC">
              <w:rPr>
                <w:color w:val="000000"/>
              </w:rPr>
              <w:t xml:space="preserve">-4.69 </w:t>
            </w:r>
          </w:p>
        </w:tc>
        <w:tc>
          <w:tcPr>
            <w:tcW w:w="747" w:type="dxa"/>
            <w:noWrap/>
          </w:tcPr>
          <w:p w14:paraId="77A2DF5B" w14:textId="77777777" w:rsidR="007075D9" w:rsidRPr="004D46AC" w:rsidRDefault="007075D9" w:rsidP="002C5F6E">
            <w:pPr>
              <w:spacing w:line="240" w:lineRule="auto"/>
              <w:ind w:firstLine="0"/>
            </w:pPr>
            <w:r w:rsidRPr="004D46AC">
              <w:rPr>
                <w:color w:val="000000"/>
              </w:rPr>
              <w:t>3.42</w:t>
            </w:r>
          </w:p>
        </w:tc>
        <w:tc>
          <w:tcPr>
            <w:tcW w:w="1276" w:type="dxa"/>
            <w:noWrap/>
          </w:tcPr>
          <w:p w14:paraId="3E5FAF67" w14:textId="77777777" w:rsidR="007075D9" w:rsidRPr="004D46AC" w:rsidRDefault="007075D9" w:rsidP="002C5F6E">
            <w:pPr>
              <w:spacing w:line="240" w:lineRule="auto"/>
              <w:ind w:firstLine="0"/>
            </w:pPr>
            <w:r w:rsidRPr="004D46AC">
              <w:rPr>
                <w:color w:val="000000"/>
              </w:rPr>
              <w:t>-1.37</w:t>
            </w:r>
          </w:p>
        </w:tc>
        <w:tc>
          <w:tcPr>
            <w:tcW w:w="1838" w:type="dxa"/>
          </w:tcPr>
          <w:p w14:paraId="77D8DA4E" w14:textId="77777777" w:rsidR="007075D9" w:rsidRPr="004D46AC" w:rsidRDefault="007075D9" w:rsidP="002C5F6E">
            <w:pPr>
              <w:spacing w:line="240" w:lineRule="auto"/>
              <w:ind w:firstLine="0"/>
              <w:rPr>
                <w:color w:val="000000"/>
              </w:rPr>
            </w:pPr>
          </w:p>
        </w:tc>
      </w:tr>
      <w:tr w:rsidR="007075D9" w:rsidRPr="004D46AC" w14:paraId="34B3AD3A" w14:textId="77777777" w:rsidTr="00B518F1">
        <w:trPr>
          <w:trHeight w:val="300"/>
        </w:trPr>
        <w:tc>
          <w:tcPr>
            <w:tcW w:w="3330" w:type="dxa"/>
            <w:noWrap/>
          </w:tcPr>
          <w:p w14:paraId="75CD7589" w14:textId="77777777" w:rsidR="007075D9" w:rsidRPr="004D46AC" w:rsidRDefault="007075D9" w:rsidP="002C5F6E">
            <w:pPr>
              <w:spacing w:line="240" w:lineRule="auto"/>
              <w:ind w:firstLine="0"/>
            </w:pPr>
            <w:r w:rsidRPr="004D46AC">
              <w:rPr>
                <w:color w:val="000000"/>
              </w:rPr>
              <w:t>Mania (W5)</w:t>
            </w:r>
          </w:p>
        </w:tc>
        <w:tc>
          <w:tcPr>
            <w:tcW w:w="1134" w:type="dxa"/>
            <w:noWrap/>
          </w:tcPr>
          <w:p w14:paraId="6622F39E" w14:textId="77777777" w:rsidR="007075D9" w:rsidRPr="004D46AC" w:rsidRDefault="007075D9" w:rsidP="002C5F6E">
            <w:pPr>
              <w:spacing w:line="240" w:lineRule="auto"/>
              <w:ind w:firstLine="0"/>
            </w:pPr>
            <w:r w:rsidRPr="004D46AC">
              <w:rPr>
                <w:color w:val="000000"/>
              </w:rPr>
              <w:t>0.34***</w:t>
            </w:r>
          </w:p>
        </w:tc>
        <w:tc>
          <w:tcPr>
            <w:tcW w:w="747" w:type="dxa"/>
            <w:noWrap/>
          </w:tcPr>
          <w:p w14:paraId="65E8CF22" w14:textId="77777777" w:rsidR="007075D9" w:rsidRPr="004D46AC" w:rsidRDefault="007075D9" w:rsidP="002C5F6E">
            <w:pPr>
              <w:spacing w:line="240" w:lineRule="auto"/>
              <w:ind w:firstLine="0"/>
            </w:pPr>
            <w:r w:rsidRPr="004D46AC">
              <w:rPr>
                <w:color w:val="000000"/>
              </w:rPr>
              <w:t>0.10</w:t>
            </w:r>
          </w:p>
        </w:tc>
        <w:tc>
          <w:tcPr>
            <w:tcW w:w="1276" w:type="dxa"/>
            <w:noWrap/>
          </w:tcPr>
          <w:p w14:paraId="2F5F4A48" w14:textId="77777777" w:rsidR="007075D9" w:rsidRPr="004D46AC" w:rsidRDefault="007075D9" w:rsidP="002C5F6E">
            <w:pPr>
              <w:spacing w:line="240" w:lineRule="auto"/>
              <w:ind w:firstLine="0"/>
            </w:pPr>
            <w:r w:rsidRPr="004D46AC">
              <w:rPr>
                <w:color w:val="000000"/>
              </w:rPr>
              <w:t xml:space="preserve">3.54 </w:t>
            </w:r>
          </w:p>
        </w:tc>
        <w:tc>
          <w:tcPr>
            <w:tcW w:w="1838" w:type="dxa"/>
          </w:tcPr>
          <w:p w14:paraId="75B17A74" w14:textId="77777777" w:rsidR="007075D9" w:rsidRPr="004D46AC" w:rsidRDefault="007075D9" w:rsidP="002C5F6E">
            <w:pPr>
              <w:spacing w:line="240" w:lineRule="auto"/>
              <w:ind w:firstLine="0"/>
              <w:rPr>
                <w:color w:val="000000"/>
              </w:rPr>
            </w:pPr>
            <w:r w:rsidRPr="004D46AC">
              <w:rPr>
                <w:color w:val="000000"/>
              </w:rPr>
              <w:t>[0.23, 27.99]</w:t>
            </w:r>
          </w:p>
        </w:tc>
      </w:tr>
      <w:tr w:rsidR="007075D9" w:rsidRPr="004D46AC" w14:paraId="7F8476A5" w14:textId="77777777" w:rsidTr="00B518F1">
        <w:trPr>
          <w:trHeight w:val="300"/>
        </w:trPr>
        <w:tc>
          <w:tcPr>
            <w:tcW w:w="3330" w:type="dxa"/>
            <w:noWrap/>
          </w:tcPr>
          <w:p w14:paraId="6C0951ED" w14:textId="77777777" w:rsidR="007075D9" w:rsidRPr="004D46AC" w:rsidRDefault="007075D9" w:rsidP="002C5F6E">
            <w:pPr>
              <w:spacing w:line="240" w:lineRule="auto"/>
              <w:ind w:firstLine="0"/>
            </w:pPr>
            <w:r w:rsidRPr="004D46AC">
              <w:rPr>
                <w:color w:val="000000"/>
              </w:rPr>
              <w:t>IOU-I (W1)</w:t>
            </w:r>
          </w:p>
        </w:tc>
        <w:tc>
          <w:tcPr>
            <w:tcW w:w="1134" w:type="dxa"/>
            <w:noWrap/>
          </w:tcPr>
          <w:p w14:paraId="3C98D25B" w14:textId="77777777" w:rsidR="007075D9" w:rsidRPr="004D46AC" w:rsidRDefault="007075D9" w:rsidP="002C5F6E">
            <w:pPr>
              <w:spacing w:line="240" w:lineRule="auto"/>
              <w:ind w:firstLine="0"/>
            </w:pPr>
            <w:r w:rsidRPr="004D46AC">
              <w:rPr>
                <w:color w:val="000000"/>
              </w:rPr>
              <w:t>-0.19*</w:t>
            </w:r>
          </w:p>
        </w:tc>
        <w:tc>
          <w:tcPr>
            <w:tcW w:w="747" w:type="dxa"/>
            <w:noWrap/>
          </w:tcPr>
          <w:p w14:paraId="4DCABE35" w14:textId="77777777" w:rsidR="007075D9" w:rsidRPr="004D46AC" w:rsidRDefault="007075D9" w:rsidP="002C5F6E">
            <w:pPr>
              <w:spacing w:line="240" w:lineRule="auto"/>
              <w:ind w:firstLine="0"/>
            </w:pPr>
            <w:r w:rsidRPr="004D46AC">
              <w:rPr>
                <w:color w:val="000000"/>
              </w:rPr>
              <w:t>0.10</w:t>
            </w:r>
          </w:p>
        </w:tc>
        <w:tc>
          <w:tcPr>
            <w:tcW w:w="1276" w:type="dxa"/>
            <w:noWrap/>
          </w:tcPr>
          <w:p w14:paraId="75EFC63A" w14:textId="77777777" w:rsidR="007075D9" w:rsidRPr="004D46AC" w:rsidRDefault="007075D9" w:rsidP="002C5F6E">
            <w:pPr>
              <w:spacing w:line="240" w:lineRule="auto"/>
              <w:ind w:firstLine="0"/>
            </w:pPr>
            <w:r w:rsidRPr="004D46AC">
              <w:rPr>
                <w:color w:val="000000"/>
              </w:rPr>
              <w:t>1.78</w:t>
            </w:r>
          </w:p>
        </w:tc>
        <w:tc>
          <w:tcPr>
            <w:tcW w:w="1838" w:type="dxa"/>
          </w:tcPr>
          <w:p w14:paraId="0A948A25" w14:textId="77777777" w:rsidR="007075D9" w:rsidRPr="004D46AC" w:rsidRDefault="007075D9" w:rsidP="002C5F6E">
            <w:pPr>
              <w:spacing w:line="240" w:lineRule="auto"/>
              <w:ind w:firstLine="0"/>
              <w:rPr>
                <w:color w:val="000000"/>
              </w:rPr>
            </w:pPr>
            <w:r w:rsidRPr="004D46AC">
              <w:rPr>
                <w:color w:val="000000"/>
              </w:rPr>
              <w:t>[–7.18, 0.15]</w:t>
            </w:r>
          </w:p>
        </w:tc>
      </w:tr>
    </w:tbl>
    <w:bookmarkEnd w:id="400"/>
    <w:p w14:paraId="17C8838B" w14:textId="77777777" w:rsidR="007075D9" w:rsidRPr="004D46AC" w:rsidRDefault="007075D9" w:rsidP="002C5F6E">
      <w:pPr>
        <w:spacing w:line="240" w:lineRule="auto"/>
        <w:ind w:firstLine="0"/>
      </w:pPr>
      <w:r w:rsidRPr="004D46AC">
        <w:rPr>
          <w:b/>
          <w:bCs/>
          <w:i/>
          <w:iCs/>
        </w:rPr>
        <w:t>Note</w:t>
      </w:r>
      <w:r w:rsidRPr="004D46AC">
        <w:t xml:space="preserve">. </w:t>
      </w:r>
      <w:r w:rsidRPr="004D46AC">
        <w:rPr>
          <w:rFonts w:hint="eastAsia"/>
        </w:rPr>
        <w:t>BCI = bootstrapped confidence interval; W = assessment wave (e.g., W1 = Wave 1). ACEs = adverse childhood experiences; IOU = intolerance of uncertainty</w:t>
      </w:r>
      <w:r w:rsidRPr="004D46AC">
        <w:t xml:space="preserve"> (</w:t>
      </w:r>
      <w:r w:rsidRPr="004D46AC">
        <w:rPr>
          <w:rFonts w:hint="eastAsia"/>
        </w:rPr>
        <w:t>I = inhibitory</w:t>
      </w:r>
      <w:r w:rsidRPr="004D46AC">
        <w:t>,</w:t>
      </w:r>
      <w:r w:rsidRPr="004D46AC">
        <w:rPr>
          <w:rFonts w:hint="eastAsia"/>
        </w:rPr>
        <w:t xml:space="preserve"> P = prospective</w:t>
      </w:r>
      <w:r w:rsidRPr="004D46AC">
        <w:t>)</w:t>
      </w:r>
      <w:r w:rsidRPr="004D46AC">
        <w:rPr>
          <w:rFonts w:hint="eastAsia"/>
        </w:rPr>
        <w:t xml:space="preserve">; PLEs = psychotic-like experiences; SSR = subjective social rank. </w:t>
      </w:r>
      <w:r w:rsidRPr="004D46AC">
        <w:t xml:space="preserve">The predictors shaded in grey indicate that their bootstrapped coefficient confidence intervals include zero; these results should therefore be interpreted with caution. </w:t>
      </w:r>
    </w:p>
    <w:p w14:paraId="026B18AF" w14:textId="77777777" w:rsidR="007075D9" w:rsidRPr="004D46AC" w:rsidRDefault="007075D9" w:rsidP="002C5F6E">
      <w:pPr>
        <w:spacing w:line="240" w:lineRule="auto"/>
        <w:ind w:firstLine="0"/>
      </w:pPr>
      <w:r w:rsidRPr="004D46AC">
        <w:t>*</w:t>
      </w:r>
      <w:r w:rsidRPr="004D46AC">
        <w:rPr>
          <w:i/>
          <w:iCs/>
        </w:rPr>
        <w:t>p</w:t>
      </w:r>
      <w:r w:rsidRPr="004D46AC">
        <w:t xml:space="preserve"> &lt; .05, **</w:t>
      </w:r>
      <w:r w:rsidRPr="004D46AC">
        <w:rPr>
          <w:i/>
          <w:iCs/>
        </w:rPr>
        <w:t>p</w:t>
      </w:r>
      <w:r w:rsidRPr="004D46AC">
        <w:t xml:space="preserve"> &lt;.01, ***</w:t>
      </w:r>
      <w:r w:rsidRPr="004D46AC">
        <w:rPr>
          <w:i/>
          <w:iCs/>
        </w:rPr>
        <w:t>p</w:t>
      </w:r>
      <w:r w:rsidRPr="004D46AC">
        <w:t xml:space="preserve"> &lt; .001</w:t>
      </w:r>
      <w:r w:rsidRPr="004D46AC">
        <w:rPr>
          <w:rFonts w:hint="eastAsia"/>
        </w:rPr>
        <w:t>.</w:t>
      </w:r>
    </w:p>
    <w:p w14:paraId="619E92FE" w14:textId="77777777" w:rsidR="007075D9" w:rsidRPr="004D46AC" w:rsidRDefault="007075D9" w:rsidP="002C5F6E">
      <w:pPr>
        <w:spacing w:line="240" w:lineRule="auto"/>
        <w:ind w:firstLine="0"/>
        <w:rPr>
          <w:noProof/>
        </w:rPr>
      </w:pPr>
    </w:p>
    <w:p w14:paraId="1B79F491" w14:textId="40C4B4B4" w:rsidR="007075D9" w:rsidRPr="004D46AC" w:rsidRDefault="0063503B" w:rsidP="002C5F6E">
      <w:pPr>
        <w:spacing w:line="240" w:lineRule="auto"/>
        <w:ind w:firstLine="0"/>
        <w:rPr>
          <w:noProof/>
        </w:rPr>
      </w:pPr>
      <w:r w:rsidRPr="004D46AC">
        <w:rPr>
          <w:rFonts w:eastAsiaTheme="minorEastAsia" w:hint="eastAsia"/>
          <w:noProof/>
        </w:rPr>
        <w:lastRenderedPageBreak/>
        <w:t xml:space="preserve">  </w:t>
      </w:r>
      <w:r w:rsidR="007075D9" w:rsidRPr="004D46AC">
        <w:rPr>
          <w:noProof/>
        </w:rPr>
        <w:drawing>
          <wp:inline distT="0" distB="0" distL="0" distR="0" wp14:anchorId="7D9221E6" wp14:editId="76E988FA">
            <wp:extent cx="3187186" cy="2478069"/>
            <wp:effectExtent l="0" t="0" r="0" b="0"/>
            <wp:docPr id="373102602"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02602" name="图片 1" descr="图表&#10;&#10;AI 生成的内容可能不正确。"/>
                    <pic:cNvPicPr/>
                  </pic:nvPicPr>
                  <pic:blipFill>
                    <a:blip r:embed="rId452"/>
                    <a:stretch>
                      <a:fillRect/>
                    </a:stretch>
                  </pic:blipFill>
                  <pic:spPr>
                    <a:xfrm>
                      <a:off x="0" y="0"/>
                      <a:ext cx="3213832" cy="2498786"/>
                    </a:xfrm>
                    <a:prstGeom prst="rect">
                      <a:avLst/>
                    </a:prstGeom>
                  </pic:spPr>
                </pic:pic>
              </a:graphicData>
            </a:graphic>
          </wp:inline>
        </w:drawing>
      </w:r>
      <w:r w:rsidR="002C5F6E" w:rsidRPr="004D46AC">
        <w:rPr>
          <w:noProof/>
        </w:rPr>
        <w:t xml:space="preserve"> </w:t>
      </w:r>
      <w:r w:rsidR="002C5F6E" w:rsidRPr="004D46AC">
        <w:rPr>
          <w:noProof/>
        </w:rPr>
        <w:drawing>
          <wp:inline distT="0" distB="0" distL="0" distR="0" wp14:anchorId="7558B8D1" wp14:editId="3C2599EB">
            <wp:extent cx="3617133" cy="2658631"/>
            <wp:effectExtent l="0" t="0" r="2540" b="8890"/>
            <wp:docPr id="2004959930" name="图片 1"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59930" name="图片 1" descr="图表, 条形图&#10;&#10;AI 生成的内容可能不正确。"/>
                    <pic:cNvPicPr/>
                  </pic:nvPicPr>
                  <pic:blipFill>
                    <a:blip r:embed="rId453"/>
                    <a:stretch>
                      <a:fillRect/>
                    </a:stretch>
                  </pic:blipFill>
                  <pic:spPr>
                    <a:xfrm>
                      <a:off x="0" y="0"/>
                      <a:ext cx="3691140" cy="2713027"/>
                    </a:xfrm>
                    <a:prstGeom prst="rect">
                      <a:avLst/>
                    </a:prstGeom>
                  </pic:spPr>
                </pic:pic>
              </a:graphicData>
            </a:graphic>
          </wp:inline>
        </w:drawing>
      </w:r>
      <w:r w:rsidR="002C5F6E" w:rsidRPr="004D46AC">
        <w:rPr>
          <w:noProof/>
        </w:rPr>
        <w:t xml:space="preserve"> </w:t>
      </w:r>
      <w:r w:rsidR="002C5F6E" w:rsidRPr="004D46AC">
        <w:rPr>
          <w:noProof/>
        </w:rPr>
        <w:drawing>
          <wp:inline distT="0" distB="0" distL="0" distR="0" wp14:anchorId="514E75B4" wp14:editId="1FB14CE0">
            <wp:extent cx="2071935" cy="2804071"/>
            <wp:effectExtent l="0" t="0" r="5080" b="0"/>
            <wp:docPr id="108330958" name="图片 1"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0958" name="图片 1" descr="图表, 条形图&#10;&#10;AI 生成的内容可能不正确。"/>
                    <pic:cNvPicPr/>
                  </pic:nvPicPr>
                  <pic:blipFill>
                    <a:blip r:embed="rId454"/>
                    <a:stretch>
                      <a:fillRect/>
                    </a:stretch>
                  </pic:blipFill>
                  <pic:spPr>
                    <a:xfrm>
                      <a:off x="0" y="0"/>
                      <a:ext cx="2080227" cy="2815294"/>
                    </a:xfrm>
                    <a:prstGeom prst="rect">
                      <a:avLst/>
                    </a:prstGeom>
                  </pic:spPr>
                </pic:pic>
              </a:graphicData>
            </a:graphic>
          </wp:inline>
        </w:drawing>
      </w:r>
    </w:p>
    <w:p w14:paraId="30A8246F" w14:textId="30195F0C" w:rsidR="007075D9" w:rsidRPr="004D46AC" w:rsidRDefault="00011BA9" w:rsidP="00011BA9">
      <w:pPr>
        <w:pStyle w:val="afff0"/>
        <w:spacing w:after="0"/>
        <w:ind w:firstLine="0"/>
        <w:rPr>
          <w:rFonts w:eastAsiaTheme="minorEastAsia"/>
          <w:b/>
          <w:bCs/>
          <w:i w:val="0"/>
          <w:iCs w:val="0"/>
          <w:noProof/>
          <w:color w:val="auto"/>
          <w:sz w:val="22"/>
          <w:szCs w:val="22"/>
        </w:rPr>
      </w:pPr>
      <w:bookmarkStart w:id="401" w:name="_Toc219880283"/>
      <w:r w:rsidRPr="004D46AC">
        <w:rPr>
          <w:b/>
          <w:bCs/>
          <w:i w:val="0"/>
          <w:iCs w:val="0"/>
          <w:color w:val="auto"/>
          <w:sz w:val="22"/>
          <w:szCs w:val="22"/>
        </w:rPr>
        <w:t xml:space="preserve">Figure D </w:t>
      </w:r>
      <w:r w:rsidRPr="004D46AC">
        <w:rPr>
          <w:b/>
          <w:bCs/>
          <w:i w:val="0"/>
          <w:iCs w:val="0"/>
          <w:color w:val="auto"/>
          <w:sz w:val="22"/>
          <w:szCs w:val="22"/>
        </w:rPr>
        <w:fldChar w:fldCharType="begin"/>
      </w:r>
      <w:r w:rsidRPr="004D46AC">
        <w:rPr>
          <w:b/>
          <w:bCs/>
          <w:i w:val="0"/>
          <w:iCs w:val="0"/>
          <w:color w:val="auto"/>
          <w:sz w:val="22"/>
          <w:szCs w:val="22"/>
        </w:rPr>
        <w:instrText xml:space="preserve"> SEQ Figure_D \* ARABIC </w:instrText>
      </w:r>
      <w:r w:rsidRPr="004D46AC">
        <w:rPr>
          <w:b/>
          <w:bCs/>
          <w:i w:val="0"/>
          <w:iCs w:val="0"/>
          <w:color w:val="auto"/>
          <w:sz w:val="22"/>
          <w:szCs w:val="22"/>
        </w:rPr>
        <w:fldChar w:fldCharType="separate"/>
      </w:r>
      <w:r w:rsidRPr="004D46AC">
        <w:rPr>
          <w:b/>
          <w:bCs/>
          <w:i w:val="0"/>
          <w:iCs w:val="0"/>
          <w:noProof/>
          <w:color w:val="auto"/>
          <w:sz w:val="22"/>
          <w:szCs w:val="22"/>
        </w:rPr>
        <w:t>1</w:t>
      </w:r>
      <w:bookmarkEnd w:id="401"/>
      <w:r w:rsidRPr="004D46AC">
        <w:rPr>
          <w:b/>
          <w:bCs/>
          <w:i w:val="0"/>
          <w:iCs w:val="0"/>
          <w:color w:val="auto"/>
          <w:sz w:val="22"/>
          <w:szCs w:val="22"/>
        </w:rPr>
        <w:fldChar w:fldCharType="end"/>
      </w:r>
    </w:p>
    <w:p w14:paraId="3D8A9449" w14:textId="7DD2026F" w:rsidR="007075D9" w:rsidRPr="004D46AC" w:rsidRDefault="007075D9" w:rsidP="002C5F6E">
      <w:pPr>
        <w:spacing w:line="240" w:lineRule="auto"/>
        <w:ind w:firstLine="0"/>
        <w:rPr>
          <w:i/>
          <w:iCs/>
          <w:noProof/>
        </w:rPr>
      </w:pPr>
      <w:r w:rsidRPr="004D46AC">
        <w:rPr>
          <w:i/>
          <w:iCs/>
          <w:noProof/>
        </w:rPr>
        <w:t xml:space="preserve">The </w:t>
      </w:r>
      <w:r w:rsidR="00037113" w:rsidRPr="004D46AC">
        <w:rPr>
          <w:rFonts w:eastAsiaTheme="minorEastAsia" w:hint="eastAsia"/>
          <w:i/>
          <w:iCs/>
          <w:noProof/>
        </w:rPr>
        <w:t>d</w:t>
      </w:r>
      <w:r w:rsidRPr="004D46AC">
        <w:rPr>
          <w:i/>
          <w:iCs/>
          <w:noProof/>
        </w:rPr>
        <w:t>istribution</w:t>
      </w:r>
      <w:r w:rsidR="002C5F6E" w:rsidRPr="004D46AC">
        <w:rPr>
          <w:rFonts w:eastAsiaTheme="minorEastAsia" w:hint="eastAsia"/>
          <w:i/>
          <w:iCs/>
          <w:noProof/>
        </w:rPr>
        <w:t xml:space="preserve">s of </w:t>
      </w:r>
      <w:r w:rsidR="00037113" w:rsidRPr="004D46AC">
        <w:rPr>
          <w:rFonts w:eastAsiaTheme="minorEastAsia" w:hint="eastAsia"/>
          <w:i/>
          <w:iCs/>
          <w:noProof/>
        </w:rPr>
        <w:t>e</w:t>
      </w:r>
      <w:r w:rsidR="002C5F6E" w:rsidRPr="004D46AC">
        <w:rPr>
          <w:rFonts w:eastAsiaTheme="minorEastAsia" w:hint="eastAsia"/>
          <w:i/>
          <w:iCs/>
          <w:noProof/>
        </w:rPr>
        <w:t xml:space="preserve">thnicity, </w:t>
      </w:r>
      <w:r w:rsidR="00037113" w:rsidRPr="004D46AC">
        <w:rPr>
          <w:rFonts w:eastAsiaTheme="minorEastAsia" w:hint="eastAsia"/>
          <w:i/>
          <w:iCs/>
          <w:noProof/>
        </w:rPr>
        <w:t>i</w:t>
      </w:r>
      <w:r w:rsidR="002C5F6E" w:rsidRPr="004D46AC">
        <w:rPr>
          <w:rFonts w:eastAsiaTheme="minorEastAsia" w:hint="eastAsia"/>
          <w:i/>
          <w:iCs/>
          <w:noProof/>
        </w:rPr>
        <w:t xml:space="preserve">ncome, and </w:t>
      </w:r>
      <w:r w:rsidR="00037113" w:rsidRPr="004D46AC">
        <w:rPr>
          <w:rFonts w:eastAsiaTheme="minorEastAsia" w:hint="eastAsia"/>
          <w:i/>
          <w:iCs/>
          <w:noProof/>
        </w:rPr>
        <w:t>c</w:t>
      </w:r>
      <w:r w:rsidR="002C5F6E" w:rsidRPr="004D46AC">
        <w:rPr>
          <w:rFonts w:eastAsiaTheme="minorEastAsia" w:hint="eastAsia"/>
          <w:i/>
          <w:iCs/>
          <w:noProof/>
        </w:rPr>
        <w:t xml:space="preserve">ontury of </w:t>
      </w:r>
      <w:r w:rsidR="00037113" w:rsidRPr="004D46AC">
        <w:rPr>
          <w:rFonts w:eastAsiaTheme="minorEastAsia" w:hint="eastAsia"/>
          <w:i/>
          <w:iCs/>
          <w:noProof/>
        </w:rPr>
        <w:t>r</w:t>
      </w:r>
      <w:r w:rsidR="002C5F6E" w:rsidRPr="004D46AC">
        <w:rPr>
          <w:rFonts w:eastAsiaTheme="minorEastAsia" w:hint="eastAsia"/>
          <w:i/>
          <w:iCs/>
          <w:noProof/>
        </w:rPr>
        <w:t xml:space="preserve">esidence </w:t>
      </w:r>
      <w:r w:rsidR="00037113" w:rsidRPr="004D46AC">
        <w:rPr>
          <w:rFonts w:eastAsiaTheme="minorEastAsia" w:hint="eastAsia"/>
          <w:i/>
          <w:iCs/>
          <w:noProof/>
        </w:rPr>
        <w:t>a</w:t>
      </w:r>
      <w:r w:rsidR="002C5F6E" w:rsidRPr="004D46AC">
        <w:rPr>
          <w:rFonts w:eastAsiaTheme="minorEastAsia" w:hint="eastAsia"/>
          <w:i/>
          <w:iCs/>
          <w:noProof/>
        </w:rPr>
        <w:t>mong</w:t>
      </w:r>
      <w:r w:rsidRPr="004D46AC">
        <w:rPr>
          <w:i/>
          <w:iCs/>
          <w:noProof/>
        </w:rPr>
        <w:t xml:space="preserve"> the </w:t>
      </w:r>
      <w:r w:rsidR="00037113" w:rsidRPr="004D46AC">
        <w:rPr>
          <w:rFonts w:eastAsiaTheme="minorEastAsia" w:hint="eastAsia"/>
          <w:i/>
          <w:iCs/>
          <w:noProof/>
        </w:rPr>
        <w:t>s</w:t>
      </w:r>
      <w:r w:rsidRPr="004D46AC">
        <w:rPr>
          <w:i/>
          <w:iCs/>
          <w:noProof/>
        </w:rPr>
        <w:t>ample</w:t>
      </w:r>
    </w:p>
    <w:p w14:paraId="086785D2" w14:textId="77777777" w:rsidR="007075D9" w:rsidRPr="004D46AC" w:rsidRDefault="007075D9" w:rsidP="002C5F6E">
      <w:pPr>
        <w:spacing w:line="240" w:lineRule="auto"/>
        <w:ind w:firstLine="0"/>
        <w:rPr>
          <w:noProof/>
        </w:rPr>
      </w:pPr>
      <w:r w:rsidRPr="004D46AC">
        <w:rPr>
          <w:i/>
          <w:iCs/>
          <w:noProof/>
        </w:rPr>
        <w:t>Note</w:t>
      </w:r>
      <w:r w:rsidRPr="004D46AC">
        <w:rPr>
          <w:b/>
          <w:bCs/>
          <w:i/>
          <w:iCs/>
          <w:noProof/>
        </w:rPr>
        <w:t xml:space="preserve">. </w:t>
      </w:r>
      <w:r w:rsidRPr="004D46AC">
        <w:rPr>
          <w:noProof/>
        </w:rPr>
        <w:t>The figure shows the distribution of participants included in both Wave 5 and Wave 9.</w:t>
      </w:r>
    </w:p>
    <w:p w14:paraId="06857FD7" w14:textId="77777777" w:rsidR="007075D9" w:rsidRPr="004D46AC" w:rsidRDefault="007075D9" w:rsidP="002C5F6E">
      <w:pPr>
        <w:spacing w:line="240" w:lineRule="auto"/>
        <w:ind w:firstLine="0"/>
        <w:rPr>
          <w:noProof/>
        </w:rPr>
      </w:pPr>
    </w:p>
    <w:p w14:paraId="4A861793" w14:textId="77777777" w:rsidR="007075D9" w:rsidRPr="004D46AC" w:rsidRDefault="007075D9" w:rsidP="002C5F6E">
      <w:pPr>
        <w:spacing w:line="240" w:lineRule="auto"/>
        <w:ind w:firstLine="0"/>
        <w:rPr>
          <w:noProof/>
        </w:rPr>
      </w:pPr>
    </w:p>
    <w:p w14:paraId="15432C49" w14:textId="77777777" w:rsidR="007075D9" w:rsidRPr="004D46AC" w:rsidRDefault="007075D9" w:rsidP="002C5F6E">
      <w:pPr>
        <w:spacing w:line="240" w:lineRule="auto"/>
        <w:ind w:firstLine="0"/>
        <w:rPr>
          <w:noProof/>
        </w:rPr>
      </w:pPr>
    </w:p>
    <w:p w14:paraId="4D06A3BE" w14:textId="77777777" w:rsidR="007075D9" w:rsidRPr="004D46AC" w:rsidRDefault="007075D9" w:rsidP="002C5F6E">
      <w:pPr>
        <w:spacing w:line="240" w:lineRule="auto"/>
        <w:ind w:firstLine="0"/>
        <w:rPr>
          <w:noProof/>
        </w:rPr>
      </w:pPr>
    </w:p>
    <w:p w14:paraId="3B28CC09" w14:textId="77777777" w:rsidR="007075D9" w:rsidRPr="004D46AC" w:rsidRDefault="007075D9" w:rsidP="002C5F6E">
      <w:pPr>
        <w:spacing w:line="240" w:lineRule="auto"/>
        <w:ind w:firstLine="0"/>
        <w:rPr>
          <w:b/>
          <w:bCs/>
        </w:rPr>
      </w:pPr>
      <w:r w:rsidRPr="004D46AC">
        <w:rPr>
          <w:noProof/>
        </w:rPr>
        <w:drawing>
          <wp:inline distT="0" distB="0" distL="0" distR="0" wp14:anchorId="28D28793" wp14:editId="2FA7DCE2">
            <wp:extent cx="5274310" cy="5300345"/>
            <wp:effectExtent l="0" t="0" r="2540" b="0"/>
            <wp:docPr id="1487991489"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91489" name="图片 1" descr="图表&#10;&#10;AI 生成的内容可能不正确。"/>
                    <pic:cNvPicPr/>
                  </pic:nvPicPr>
                  <pic:blipFill>
                    <a:blip r:embed="rId455"/>
                    <a:stretch>
                      <a:fillRect/>
                    </a:stretch>
                  </pic:blipFill>
                  <pic:spPr>
                    <a:xfrm>
                      <a:off x="0" y="0"/>
                      <a:ext cx="5274310" cy="5300345"/>
                    </a:xfrm>
                    <a:prstGeom prst="rect">
                      <a:avLst/>
                    </a:prstGeom>
                  </pic:spPr>
                </pic:pic>
              </a:graphicData>
            </a:graphic>
          </wp:inline>
        </w:drawing>
      </w:r>
    </w:p>
    <w:p w14:paraId="0B60A292" w14:textId="02D979EF" w:rsidR="00011BA9" w:rsidRPr="004D46AC" w:rsidRDefault="00011BA9" w:rsidP="00011BA9">
      <w:pPr>
        <w:pStyle w:val="afff0"/>
        <w:spacing w:after="0"/>
        <w:ind w:firstLine="0"/>
        <w:rPr>
          <w:rFonts w:eastAsiaTheme="minorEastAsia"/>
          <w:b/>
          <w:bCs/>
          <w:i w:val="0"/>
          <w:iCs w:val="0"/>
          <w:color w:val="auto"/>
          <w:sz w:val="22"/>
          <w:szCs w:val="22"/>
        </w:rPr>
      </w:pPr>
      <w:bookmarkStart w:id="402" w:name="_Toc219880284"/>
      <w:r w:rsidRPr="004D46AC">
        <w:rPr>
          <w:b/>
          <w:bCs/>
          <w:i w:val="0"/>
          <w:iCs w:val="0"/>
          <w:color w:val="auto"/>
          <w:sz w:val="22"/>
          <w:szCs w:val="22"/>
        </w:rPr>
        <w:t xml:space="preserve">Figure D </w:t>
      </w:r>
      <w:r w:rsidRPr="004D46AC">
        <w:rPr>
          <w:b/>
          <w:bCs/>
          <w:i w:val="0"/>
          <w:iCs w:val="0"/>
          <w:color w:val="auto"/>
          <w:sz w:val="22"/>
          <w:szCs w:val="22"/>
        </w:rPr>
        <w:fldChar w:fldCharType="begin"/>
      </w:r>
      <w:r w:rsidRPr="004D46AC">
        <w:rPr>
          <w:b/>
          <w:bCs/>
          <w:i w:val="0"/>
          <w:iCs w:val="0"/>
          <w:color w:val="auto"/>
          <w:sz w:val="22"/>
          <w:szCs w:val="22"/>
        </w:rPr>
        <w:instrText xml:space="preserve"> SEQ Figure_D \* ARABIC </w:instrText>
      </w:r>
      <w:r w:rsidRPr="004D46AC">
        <w:rPr>
          <w:b/>
          <w:bCs/>
          <w:i w:val="0"/>
          <w:iCs w:val="0"/>
          <w:color w:val="auto"/>
          <w:sz w:val="22"/>
          <w:szCs w:val="22"/>
        </w:rPr>
        <w:fldChar w:fldCharType="separate"/>
      </w:r>
      <w:r w:rsidRPr="004D46AC">
        <w:rPr>
          <w:b/>
          <w:bCs/>
          <w:i w:val="0"/>
          <w:iCs w:val="0"/>
          <w:noProof/>
          <w:color w:val="auto"/>
          <w:sz w:val="22"/>
          <w:szCs w:val="22"/>
        </w:rPr>
        <w:t>2</w:t>
      </w:r>
      <w:bookmarkEnd w:id="402"/>
      <w:r w:rsidRPr="004D46AC">
        <w:rPr>
          <w:b/>
          <w:bCs/>
          <w:i w:val="0"/>
          <w:iCs w:val="0"/>
          <w:color w:val="auto"/>
          <w:sz w:val="22"/>
          <w:szCs w:val="22"/>
        </w:rPr>
        <w:fldChar w:fldCharType="end"/>
      </w:r>
    </w:p>
    <w:p w14:paraId="4E22715B" w14:textId="688BAFBB" w:rsidR="007075D9" w:rsidRPr="004D46AC" w:rsidRDefault="007075D9" w:rsidP="00011BA9">
      <w:pPr>
        <w:pStyle w:val="afff0"/>
        <w:spacing w:after="0"/>
        <w:ind w:firstLine="0"/>
        <w:rPr>
          <w:color w:val="auto"/>
          <w:sz w:val="22"/>
          <w:szCs w:val="22"/>
        </w:rPr>
      </w:pPr>
      <w:r w:rsidRPr="004D46AC">
        <w:rPr>
          <w:color w:val="auto"/>
          <w:sz w:val="22"/>
          <w:szCs w:val="22"/>
        </w:rPr>
        <w:t xml:space="preserve">Empirical </w:t>
      </w:r>
      <w:r w:rsidR="00334471" w:rsidRPr="004D46AC">
        <w:rPr>
          <w:rFonts w:eastAsiaTheme="minorEastAsia" w:hint="eastAsia"/>
          <w:color w:val="auto"/>
          <w:sz w:val="22"/>
          <w:szCs w:val="22"/>
        </w:rPr>
        <w:t>n</w:t>
      </w:r>
      <w:r w:rsidRPr="004D46AC">
        <w:rPr>
          <w:color w:val="auto"/>
          <w:sz w:val="22"/>
          <w:szCs w:val="22"/>
        </w:rPr>
        <w:t xml:space="preserve">etwork </w:t>
      </w:r>
      <w:r w:rsidR="00334471" w:rsidRPr="004D46AC">
        <w:rPr>
          <w:rFonts w:eastAsiaTheme="minorEastAsia" w:hint="eastAsia"/>
          <w:color w:val="auto"/>
          <w:sz w:val="22"/>
          <w:szCs w:val="22"/>
        </w:rPr>
        <w:t>c</w:t>
      </w:r>
      <w:r w:rsidRPr="004D46AC">
        <w:rPr>
          <w:color w:val="auto"/>
          <w:sz w:val="22"/>
          <w:szCs w:val="22"/>
        </w:rPr>
        <w:t xml:space="preserve">ommunities of Mood and PLEs </w:t>
      </w:r>
      <w:r w:rsidR="00334471" w:rsidRPr="004D46AC">
        <w:rPr>
          <w:rFonts w:eastAsiaTheme="minorEastAsia" w:hint="eastAsia"/>
          <w:color w:val="auto"/>
          <w:sz w:val="22"/>
          <w:szCs w:val="22"/>
        </w:rPr>
        <w:t>a</w:t>
      </w:r>
      <w:r w:rsidRPr="004D46AC">
        <w:rPr>
          <w:color w:val="auto"/>
          <w:sz w:val="22"/>
          <w:szCs w:val="22"/>
        </w:rPr>
        <w:t xml:space="preserve">cross </w:t>
      </w:r>
      <w:r w:rsidR="00334471" w:rsidRPr="004D46AC">
        <w:rPr>
          <w:rFonts w:eastAsiaTheme="minorEastAsia" w:hint="eastAsia"/>
          <w:color w:val="auto"/>
          <w:sz w:val="22"/>
          <w:szCs w:val="22"/>
        </w:rPr>
        <w:t>w</w:t>
      </w:r>
      <w:r w:rsidRPr="004D46AC">
        <w:rPr>
          <w:color w:val="auto"/>
          <w:sz w:val="22"/>
          <w:szCs w:val="22"/>
        </w:rPr>
        <w:t>aves</w:t>
      </w:r>
    </w:p>
    <w:p w14:paraId="1A638A46" w14:textId="77777777" w:rsidR="007075D9" w:rsidRPr="004D46AC" w:rsidRDefault="007075D9" w:rsidP="002C5F6E">
      <w:pPr>
        <w:spacing w:line="240" w:lineRule="auto"/>
        <w:ind w:firstLine="0"/>
      </w:pPr>
      <w:r w:rsidRPr="004D46AC">
        <w:rPr>
          <w:rFonts w:hint="eastAsia"/>
          <w:i/>
          <w:iCs/>
        </w:rPr>
        <w:t>Note</w:t>
      </w:r>
      <w:r w:rsidRPr="004D46AC">
        <w:rPr>
          <w:rFonts w:hint="eastAsia"/>
        </w:rPr>
        <w:t>. The colouring of the nodes in the network denotes their empirical community placement. The ring outside the node with light green colour indicates their item stability. A perfect item stability (= 1) is reflected by the full ring. The bottom left and right reflect the communities' structural consistency, defined by how many times this composition has been captured in the bootstrapped sample (N = 2000). W = assessment wave (e.g., W</w:t>
      </w:r>
      <w:r w:rsidRPr="004D46AC">
        <w:t>5</w:t>
      </w:r>
      <w:r w:rsidRPr="004D46AC">
        <w:rPr>
          <w:rFonts w:hint="eastAsia"/>
        </w:rPr>
        <w:t xml:space="preserve"> = Wave </w:t>
      </w:r>
      <w:r w:rsidRPr="004D46AC">
        <w:t>5</w:t>
      </w:r>
      <w:r w:rsidRPr="004D46AC">
        <w:rPr>
          <w:rFonts w:hint="eastAsia"/>
        </w:rPr>
        <w:t>).  D1 = Decreased interest; D2 = Depressed mood or feelings of hopelessness; D3 = Sleep problems; D4 = Fatigue; D5 = Poor appetite or overeating; D6 = Feelings of worthlessness; D7 = Concentration problems; D8 = Psychomotor retardation or agitation; D9 = Self-harm or suicidal thoughts; EI = Elevated energy or increased goal-directed activity; M1 = Elevated mood; M2 = Irritability; M3 = Elevated self-confidence; M4 = Reduced need for sleep; M5 = Pressured speech or talkativeness; M6 = Racing thoughts; M7 = Easily distracted; M10 = Increased social activity; M11 = Increased sexual interest; M12 = Involvement in risky behaviour; M13 = Spending money carelessly; P2 = Thought insertion; PS = Paranoia or strange experiences; P5 = Hallucinations. TEFI = the total entropy fit index.</w:t>
      </w:r>
    </w:p>
    <w:p w14:paraId="12C4B1EB" w14:textId="049C253E" w:rsidR="007075D9" w:rsidRPr="004D46AC" w:rsidRDefault="007075D9" w:rsidP="002C5F6E">
      <w:pPr>
        <w:spacing w:line="240" w:lineRule="auto"/>
        <w:ind w:firstLine="0"/>
        <w:rPr>
          <w:rFonts w:eastAsiaTheme="minorEastAsia"/>
        </w:rPr>
      </w:pPr>
      <w:r w:rsidRPr="004D46AC">
        <w:rPr>
          <w:noProof/>
        </w:rPr>
        <w:lastRenderedPageBreak/>
        <w:drawing>
          <wp:inline distT="0" distB="0" distL="0" distR="0" wp14:anchorId="55D192B5" wp14:editId="63F603F7">
            <wp:extent cx="5274310" cy="3916680"/>
            <wp:effectExtent l="0" t="0" r="0" b="0"/>
            <wp:docPr id="199517612" name="图片 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7612" name="图片 1" descr="图表, 散点图&#10;&#10;AI 生成的内容可能不正确。"/>
                    <pic:cNvPicPr/>
                  </pic:nvPicPr>
                  <pic:blipFill>
                    <a:blip r:embed="rId456"/>
                    <a:stretch>
                      <a:fillRect/>
                    </a:stretch>
                  </pic:blipFill>
                  <pic:spPr>
                    <a:xfrm>
                      <a:off x="0" y="0"/>
                      <a:ext cx="5274310" cy="3916680"/>
                    </a:xfrm>
                    <a:prstGeom prst="rect">
                      <a:avLst/>
                    </a:prstGeom>
                  </pic:spPr>
                </pic:pic>
              </a:graphicData>
            </a:graphic>
          </wp:inline>
        </w:drawing>
      </w:r>
    </w:p>
    <w:p w14:paraId="1EEA2E42" w14:textId="1D1D3654" w:rsidR="007075D9" w:rsidRPr="004D46AC" w:rsidRDefault="00011BA9" w:rsidP="00011BA9">
      <w:pPr>
        <w:pStyle w:val="afff0"/>
        <w:spacing w:after="0"/>
        <w:ind w:firstLine="0"/>
        <w:rPr>
          <w:rFonts w:eastAsiaTheme="minorEastAsia"/>
          <w:b/>
          <w:bCs/>
          <w:i w:val="0"/>
          <w:iCs w:val="0"/>
          <w:color w:val="auto"/>
          <w:sz w:val="22"/>
          <w:szCs w:val="22"/>
        </w:rPr>
      </w:pPr>
      <w:bookmarkStart w:id="403" w:name="_Toc219880285"/>
      <w:r w:rsidRPr="004D46AC">
        <w:rPr>
          <w:b/>
          <w:bCs/>
          <w:i w:val="0"/>
          <w:iCs w:val="0"/>
          <w:color w:val="auto"/>
          <w:sz w:val="22"/>
          <w:szCs w:val="22"/>
        </w:rPr>
        <w:t xml:space="preserve">Figure D </w:t>
      </w:r>
      <w:r w:rsidRPr="004D46AC">
        <w:rPr>
          <w:b/>
          <w:bCs/>
          <w:i w:val="0"/>
          <w:iCs w:val="0"/>
          <w:color w:val="auto"/>
          <w:sz w:val="22"/>
          <w:szCs w:val="22"/>
        </w:rPr>
        <w:fldChar w:fldCharType="begin"/>
      </w:r>
      <w:r w:rsidRPr="004D46AC">
        <w:rPr>
          <w:b/>
          <w:bCs/>
          <w:i w:val="0"/>
          <w:iCs w:val="0"/>
          <w:color w:val="auto"/>
          <w:sz w:val="22"/>
          <w:szCs w:val="22"/>
        </w:rPr>
        <w:instrText xml:space="preserve"> SEQ Figure_D \* ARABIC </w:instrText>
      </w:r>
      <w:r w:rsidRPr="004D46AC">
        <w:rPr>
          <w:b/>
          <w:bCs/>
          <w:i w:val="0"/>
          <w:iCs w:val="0"/>
          <w:color w:val="auto"/>
          <w:sz w:val="22"/>
          <w:szCs w:val="22"/>
        </w:rPr>
        <w:fldChar w:fldCharType="separate"/>
      </w:r>
      <w:r w:rsidRPr="004D46AC">
        <w:rPr>
          <w:b/>
          <w:bCs/>
          <w:i w:val="0"/>
          <w:iCs w:val="0"/>
          <w:noProof/>
          <w:color w:val="auto"/>
          <w:sz w:val="22"/>
          <w:szCs w:val="22"/>
        </w:rPr>
        <w:t>3</w:t>
      </w:r>
      <w:bookmarkEnd w:id="403"/>
      <w:r w:rsidRPr="004D46AC">
        <w:rPr>
          <w:b/>
          <w:bCs/>
          <w:i w:val="0"/>
          <w:iCs w:val="0"/>
          <w:color w:val="auto"/>
          <w:sz w:val="22"/>
          <w:szCs w:val="22"/>
        </w:rPr>
        <w:fldChar w:fldCharType="end"/>
      </w:r>
    </w:p>
    <w:p w14:paraId="18FD620F" w14:textId="77777777" w:rsidR="007075D9" w:rsidRPr="004D46AC" w:rsidRDefault="007075D9" w:rsidP="002C5F6E">
      <w:pPr>
        <w:spacing w:line="240" w:lineRule="auto"/>
        <w:ind w:firstLine="0"/>
        <w:rPr>
          <w:i/>
          <w:iCs/>
        </w:rPr>
      </w:pPr>
      <w:r w:rsidRPr="004D46AC">
        <w:rPr>
          <w:rFonts w:hint="eastAsia"/>
          <w:i/>
          <w:iCs/>
        </w:rPr>
        <w:t xml:space="preserve">Node </w:t>
      </w:r>
      <w:r w:rsidRPr="004D46AC">
        <w:rPr>
          <w:i/>
          <w:iCs/>
        </w:rPr>
        <w:t>statistics</w:t>
      </w:r>
      <w:r w:rsidRPr="004D46AC">
        <w:rPr>
          <w:rFonts w:hint="eastAsia"/>
          <w:i/>
          <w:iCs/>
        </w:rPr>
        <w:t xml:space="preserve"> across networks of mood and </w:t>
      </w:r>
      <w:r w:rsidRPr="004D46AC">
        <w:rPr>
          <w:i/>
          <w:iCs/>
        </w:rPr>
        <w:t>PLEs</w:t>
      </w:r>
      <w:r w:rsidRPr="004D46AC">
        <w:rPr>
          <w:rFonts w:hint="eastAsia"/>
          <w:i/>
          <w:iCs/>
        </w:rPr>
        <w:t xml:space="preserve"> at waves 5 and 9</w:t>
      </w:r>
    </w:p>
    <w:p w14:paraId="4BA7A93F" w14:textId="77777777" w:rsidR="007075D9" w:rsidRPr="004D46AC" w:rsidRDefault="007075D9" w:rsidP="002C5F6E">
      <w:pPr>
        <w:spacing w:line="240" w:lineRule="auto"/>
        <w:ind w:firstLine="0"/>
        <w:sectPr w:rsidR="007075D9" w:rsidRPr="004D46AC" w:rsidSect="007075D9">
          <w:pgSz w:w="11906" w:h="16838"/>
          <w:pgMar w:top="1440" w:right="1440" w:bottom="1440" w:left="1440" w:header="708" w:footer="708" w:gutter="0"/>
          <w:cols w:space="708"/>
          <w:docGrid w:linePitch="360"/>
        </w:sectPr>
      </w:pPr>
      <w:r w:rsidRPr="004D46AC">
        <w:rPr>
          <w:i/>
          <w:iCs/>
        </w:rPr>
        <w:t>Note</w:t>
      </w:r>
      <w:r w:rsidRPr="004D46AC">
        <w:t>.</w:t>
      </w:r>
      <w:r w:rsidRPr="004D46AC">
        <w:rPr>
          <w:b/>
          <w:bCs/>
        </w:rPr>
        <w:t xml:space="preserve"> </w:t>
      </w:r>
      <w:r w:rsidRPr="004D46AC">
        <w:rPr>
          <w:rFonts w:hint="eastAsia"/>
        </w:rPr>
        <w:t xml:space="preserve">Node strength was plotted using the raw coefficient scale, with nodes ordered in descending </w:t>
      </w:r>
      <w:r w:rsidRPr="004D46AC">
        <w:t>strength.</w:t>
      </w:r>
      <w:r w:rsidRPr="004D46AC">
        <w:rPr>
          <w:rFonts w:hint="eastAsia"/>
          <w:i/>
          <w:iCs/>
        </w:rPr>
        <w:t xml:space="preserve"> </w:t>
      </w:r>
      <w:r w:rsidRPr="004D46AC">
        <w:t>D1: Decreased interest, D2: Depressed mood or feelings of hopelessness, D3: Sleep problems, D4: Fatigue, D5: Poor appetite or overeating, D6: Feelings of worthlessness, D7: Concentration problems, D8: Psychomotor retardation or agitation, D9: Self-harm or suicidal thoughts, EI: Elevated energy or increased goal-directed activity, M1: Elevated mood, M2: Irritability, M3: Elevated self-confidence, M4: Reduced need for sleep, M5: Pressured speech or talkativeness, M6: Racing thoughts, M7: Easily distracted, M10: Increased social activity, M11: Increased sexual interest, M12: Involvement in risky behaviour, M13: Spending money carelessly, P2: Thought insertion, PS: Paranoia or strange experiences, P5: Hallucinations.</w:t>
      </w:r>
    </w:p>
    <w:p w14:paraId="7A14C0E2" w14:textId="77777777" w:rsidR="007075D9" w:rsidRPr="004D46AC" w:rsidRDefault="007075D9" w:rsidP="002C5F6E">
      <w:pPr>
        <w:pStyle w:val="2"/>
      </w:pPr>
      <w:bookmarkStart w:id="404" w:name="_Toc219888798"/>
      <w:r w:rsidRPr="004D46AC">
        <w:lastRenderedPageBreak/>
        <w:t>Appendix E: Supplementary Files for Chapter 5</w:t>
      </w:r>
      <w:bookmarkEnd w:id="404"/>
    </w:p>
    <w:p w14:paraId="5FAC8237" w14:textId="34A64297" w:rsidR="00011BA9" w:rsidRPr="004D46AC" w:rsidRDefault="00011BA9" w:rsidP="00011BA9">
      <w:pPr>
        <w:pStyle w:val="afff0"/>
        <w:spacing w:after="0"/>
        <w:ind w:firstLine="0"/>
        <w:rPr>
          <w:b/>
          <w:bCs/>
          <w:i w:val="0"/>
          <w:iCs w:val="0"/>
          <w:color w:val="auto"/>
          <w:sz w:val="22"/>
          <w:szCs w:val="22"/>
        </w:rPr>
      </w:pPr>
      <w:bookmarkStart w:id="405" w:name="_Toc219870645"/>
      <w:r w:rsidRPr="004D46AC">
        <w:rPr>
          <w:b/>
          <w:bCs/>
          <w:i w:val="0"/>
          <w:iCs w:val="0"/>
          <w:color w:val="auto"/>
          <w:sz w:val="22"/>
          <w:szCs w:val="22"/>
        </w:rPr>
        <w:t xml:space="preserve">Table E </w:t>
      </w:r>
      <w:r w:rsidRPr="004D46AC">
        <w:rPr>
          <w:b/>
          <w:bCs/>
          <w:i w:val="0"/>
          <w:iCs w:val="0"/>
          <w:color w:val="auto"/>
          <w:sz w:val="22"/>
          <w:szCs w:val="22"/>
        </w:rPr>
        <w:fldChar w:fldCharType="begin"/>
      </w:r>
      <w:r w:rsidRPr="004D46AC">
        <w:rPr>
          <w:b/>
          <w:bCs/>
          <w:i w:val="0"/>
          <w:iCs w:val="0"/>
          <w:color w:val="auto"/>
          <w:sz w:val="22"/>
          <w:szCs w:val="22"/>
        </w:rPr>
        <w:instrText xml:space="preserve"> SEQ Table_E \* ARABIC </w:instrText>
      </w:r>
      <w:r w:rsidRPr="004D46AC">
        <w:rPr>
          <w:b/>
          <w:bCs/>
          <w:i w:val="0"/>
          <w:iCs w:val="0"/>
          <w:color w:val="auto"/>
          <w:sz w:val="22"/>
          <w:szCs w:val="22"/>
        </w:rPr>
        <w:fldChar w:fldCharType="separate"/>
      </w:r>
      <w:r w:rsidRPr="004D46AC">
        <w:rPr>
          <w:b/>
          <w:bCs/>
          <w:i w:val="0"/>
          <w:iCs w:val="0"/>
          <w:noProof/>
          <w:color w:val="auto"/>
          <w:sz w:val="22"/>
          <w:szCs w:val="22"/>
        </w:rPr>
        <w:t>1</w:t>
      </w:r>
      <w:bookmarkEnd w:id="405"/>
      <w:r w:rsidRPr="004D46AC">
        <w:rPr>
          <w:b/>
          <w:bCs/>
          <w:i w:val="0"/>
          <w:iCs w:val="0"/>
          <w:color w:val="auto"/>
          <w:sz w:val="22"/>
          <w:szCs w:val="22"/>
        </w:rPr>
        <w:fldChar w:fldCharType="end"/>
      </w:r>
    </w:p>
    <w:p w14:paraId="589190F3" w14:textId="77777777" w:rsidR="007075D9" w:rsidRPr="004D46AC" w:rsidRDefault="007075D9" w:rsidP="002C5F6E">
      <w:pPr>
        <w:spacing w:line="240" w:lineRule="auto"/>
        <w:ind w:firstLine="0"/>
        <w:rPr>
          <w:i/>
          <w:iCs/>
        </w:rPr>
      </w:pPr>
      <w:r w:rsidRPr="004D46AC">
        <w:rPr>
          <w:i/>
          <w:iCs/>
        </w:rPr>
        <w:t>Questionnaires and criteria of at-risk features or clinical states examined in this study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2"/>
        <w:gridCol w:w="1312"/>
        <w:gridCol w:w="1312"/>
        <w:gridCol w:w="2268"/>
        <w:gridCol w:w="567"/>
        <w:gridCol w:w="1559"/>
      </w:tblGrid>
      <w:tr w:rsidR="007075D9" w:rsidRPr="004D46AC" w14:paraId="33BA284A" w14:textId="77777777" w:rsidTr="00B518F1">
        <w:trPr>
          <w:trHeight w:val="600"/>
        </w:trPr>
        <w:tc>
          <w:tcPr>
            <w:tcW w:w="1312" w:type="dxa"/>
            <w:shd w:val="clear" w:color="000000" w:fill="FFFFFF"/>
            <w:noWrap/>
            <w:hideMark/>
          </w:tcPr>
          <w:p w14:paraId="6372988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Model</w:t>
            </w:r>
          </w:p>
        </w:tc>
        <w:tc>
          <w:tcPr>
            <w:tcW w:w="1312" w:type="dxa"/>
            <w:shd w:val="clear" w:color="000000" w:fill="FFFFFF"/>
            <w:noWrap/>
            <w:hideMark/>
          </w:tcPr>
          <w:p w14:paraId="3E52ACF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Sub-dimension</w:t>
            </w:r>
          </w:p>
        </w:tc>
        <w:tc>
          <w:tcPr>
            <w:tcW w:w="1312" w:type="dxa"/>
            <w:shd w:val="clear" w:color="000000" w:fill="FFFFFF"/>
            <w:noWrap/>
            <w:hideMark/>
          </w:tcPr>
          <w:p w14:paraId="04C165F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Symptom/trait</w:t>
            </w:r>
          </w:p>
        </w:tc>
        <w:tc>
          <w:tcPr>
            <w:tcW w:w="2268" w:type="dxa"/>
            <w:shd w:val="clear" w:color="000000" w:fill="FFFFFF"/>
            <w:noWrap/>
            <w:hideMark/>
          </w:tcPr>
          <w:p w14:paraId="0A720C2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Questions</w:t>
            </w:r>
          </w:p>
        </w:tc>
        <w:tc>
          <w:tcPr>
            <w:tcW w:w="567" w:type="dxa"/>
            <w:shd w:val="clear" w:color="000000" w:fill="FFFFFF"/>
            <w:noWrap/>
            <w:hideMark/>
          </w:tcPr>
          <w:p w14:paraId="5448EFF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No.</w:t>
            </w:r>
          </w:p>
        </w:tc>
        <w:tc>
          <w:tcPr>
            <w:tcW w:w="1559" w:type="dxa"/>
            <w:shd w:val="clear" w:color="000000" w:fill="FFFFFF"/>
            <w:noWrap/>
            <w:hideMark/>
          </w:tcPr>
          <w:p w14:paraId="0D2A884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Questionnaire</w:t>
            </w:r>
          </w:p>
        </w:tc>
      </w:tr>
      <w:tr w:rsidR="007075D9" w:rsidRPr="004D46AC" w14:paraId="18661104" w14:textId="77777777" w:rsidTr="00B518F1">
        <w:trPr>
          <w:trHeight w:val="600"/>
        </w:trPr>
        <w:tc>
          <w:tcPr>
            <w:tcW w:w="1312" w:type="dxa"/>
            <w:shd w:val="clear" w:color="000000" w:fill="FFFFFF"/>
            <w:hideMark/>
          </w:tcPr>
          <w:p w14:paraId="07A8705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63EA315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2A74976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Poor rapport</w:t>
            </w:r>
          </w:p>
        </w:tc>
        <w:tc>
          <w:tcPr>
            <w:tcW w:w="2268" w:type="dxa"/>
            <w:shd w:val="clear" w:color="000000" w:fill="FFFFFF"/>
            <w:noWrap/>
            <w:hideMark/>
          </w:tcPr>
          <w:p w14:paraId="55E0088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am poor at returning social courtesies and gestures</w:t>
            </w:r>
          </w:p>
        </w:tc>
        <w:tc>
          <w:tcPr>
            <w:tcW w:w="567" w:type="dxa"/>
            <w:shd w:val="clear" w:color="000000" w:fill="FFFFFF"/>
            <w:noWrap/>
            <w:hideMark/>
          </w:tcPr>
          <w:p w14:paraId="0EB3136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w:t>
            </w:r>
          </w:p>
        </w:tc>
        <w:tc>
          <w:tcPr>
            <w:tcW w:w="1559" w:type="dxa"/>
            <w:shd w:val="clear" w:color="000000" w:fill="FFFFFF"/>
            <w:hideMark/>
          </w:tcPr>
          <w:p w14:paraId="06FC4EC2"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1C0025A7" w14:textId="77777777" w:rsidTr="00B518F1">
        <w:trPr>
          <w:trHeight w:val="600"/>
        </w:trPr>
        <w:tc>
          <w:tcPr>
            <w:tcW w:w="1312" w:type="dxa"/>
            <w:shd w:val="clear" w:color="000000" w:fill="FFFFFF"/>
            <w:hideMark/>
          </w:tcPr>
          <w:p w14:paraId="1EA7843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1B873F6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2E98A9C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Poor rapport</w:t>
            </w:r>
          </w:p>
        </w:tc>
        <w:tc>
          <w:tcPr>
            <w:tcW w:w="2268" w:type="dxa"/>
            <w:shd w:val="clear" w:color="000000" w:fill="FFFFFF"/>
            <w:noWrap/>
            <w:hideMark/>
          </w:tcPr>
          <w:p w14:paraId="31B5790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problems with relationships (partner, family, work)</w:t>
            </w:r>
          </w:p>
        </w:tc>
        <w:tc>
          <w:tcPr>
            <w:tcW w:w="567" w:type="dxa"/>
            <w:shd w:val="clear" w:color="000000" w:fill="FFFFFF"/>
            <w:noWrap/>
            <w:hideMark/>
          </w:tcPr>
          <w:p w14:paraId="19F0DD8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w:t>
            </w:r>
          </w:p>
        </w:tc>
        <w:tc>
          <w:tcPr>
            <w:tcW w:w="1559" w:type="dxa"/>
            <w:shd w:val="clear" w:color="000000" w:fill="FFFFFF"/>
            <w:hideMark/>
          </w:tcPr>
          <w:p w14:paraId="48706C86"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1024A119" w14:textId="77777777" w:rsidTr="00B518F1">
        <w:trPr>
          <w:trHeight w:val="600"/>
        </w:trPr>
        <w:tc>
          <w:tcPr>
            <w:tcW w:w="1312" w:type="dxa"/>
            <w:shd w:val="clear" w:color="000000" w:fill="FFFFFF"/>
            <w:hideMark/>
          </w:tcPr>
          <w:p w14:paraId="4CB12A6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43B43D6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74A49B0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Poor rapport</w:t>
            </w:r>
          </w:p>
        </w:tc>
        <w:tc>
          <w:tcPr>
            <w:tcW w:w="2268" w:type="dxa"/>
            <w:shd w:val="clear" w:color="000000" w:fill="FFFFFF"/>
            <w:noWrap/>
            <w:hideMark/>
          </w:tcPr>
          <w:p w14:paraId="69DBD94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tend to keep my feelings to myself</w:t>
            </w:r>
          </w:p>
        </w:tc>
        <w:tc>
          <w:tcPr>
            <w:tcW w:w="567" w:type="dxa"/>
            <w:shd w:val="clear" w:color="000000" w:fill="FFFFFF"/>
            <w:noWrap/>
            <w:hideMark/>
          </w:tcPr>
          <w:p w14:paraId="322C015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w:t>
            </w:r>
          </w:p>
        </w:tc>
        <w:tc>
          <w:tcPr>
            <w:tcW w:w="1559" w:type="dxa"/>
            <w:shd w:val="clear" w:color="000000" w:fill="FFFFFF"/>
            <w:hideMark/>
          </w:tcPr>
          <w:p w14:paraId="5D3D34EF" w14:textId="77777777" w:rsidR="007075D9" w:rsidRPr="004D46AC" w:rsidRDefault="007075D9" w:rsidP="002C5F6E">
            <w:pPr>
              <w:spacing w:line="240" w:lineRule="auto"/>
              <w:ind w:firstLine="0"/>
              <w:rPr>
                <w:rFonts w:eastAsia="Times New Roman"/>
                <w:color w:val="000000"/>
              </w:rPr>
            </w:pPr>
            <w:r w:rsidRPr="004D46AC">
              <w:rPr>
                <w:color w:val="000000"/>
              </w:rPr>
              <w:t>BSQSP, PS-R, and CPRQ</w:t>
            </w:r>
          </w:p>
        </w:tc>
      </w:tr>
      <w:tr w:rsidR="007075D9" w:rsidRPr="004D46AC" w14:paraId="134FCC33" w14:textId="77777777" w:rsidTr="00B518F1">
        <w:trPr>
          <w:trHeight w:val="600"/>
        </w:trPr>
        <w:tc>
          <w:tcPr>
            <w:tcW w:w="1312" w:type="dxa"/>
            <w:shd w:val="clear" w:color="000000" w:fill="FFFFFF"/>
            <w:hideMark/>
          </w:tcPr>
          <w:p w14:paraId="6845019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3A5BD37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6FCBE6C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Poor rapport</w:t>
            </w:r>
          </w:p>
        </w:tc>
        <w:tc>
          <w:tcPr>
            <w:tcW w:w="2268" w:type="dxa"/>
            <w:shd w:val="clear" w:color="000000" w:fill="FFFFFF"/>
            <w:noWrap/>
            <w:hideMark/>
          </w:tcPr>
          <w:p w14:paraId="7C62224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Is it hard to establish a connection or do you feel at a distance when you are talking with others?</w:t>
            </w:r>
          </w:p>
        </w:tc>
        <w:tc>
          <w:tcPr>
            <w:tcW w:w="567" w:type="dxa"/>
            <w:shd w:val="clear" w:color="000000" w:fill="FFFFFF"/>
            <w:noWrap/>
            <w:hideMark/>
          </w:tcPr>
          <w:p w14:paraId="5BC92B7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w:t>
            </w:r>
          </w:p>
        </w:tc>
        <w:tc>
          <w:tcPr>
            <w:tcW w:w="1559" w:type="dxa"/>
            <w:shd w:val="clear" w:color="000000" w:fill="FFFFFF"/>
            <w:hideMark/>
          </w:tcPr>
          <w:p w14:paraId="4F949CCA"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29BFE6D2" w14:textId="77777777" w:rsidTr="00B518F1">
        <w:trPr>
          <w:trHeight w:val="600"/>
        </w:trPr>
        <w:tc>
          <w:tcPr>
            <w:tcW w:w="1312" w:type="dxa"/>
            <w:shd w:val="clear" w:color="000000" w:fill="FFFFFF"/>
            <w:hideMark/>
          </w:tcPr>
          <w:p w14:paraId="775979B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3E9E923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645BCE7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Emotions less recognisable and appropriate</w:t>
            </w:r>
          </w:p>
        </w:tc>
        <w:tc>
          <w:tcPr>
            <w:tcW w:w="2268" w:type="dxa"/>
            <w:shd w:val="clear" w:color="000000" w:fill="FFFFFF"/>
            <w:noWrap/>
            <w:hideMark/>
          </w:tcPr>
          <w:p w14:paraId="310DD6C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do not have an expressive and lively way of speaking</w:t>
            </w:r>
          </w:p>
        </w:tc>
        <w:tc>
          <w:tcPr>
            <w:tcW w:w="567" w:type="dxa"/>
            <w:shd w:val="clear" w:color="000000" w:fill="FFFFFF"/>
            <w:noWrap/>
            <w:hideMark/>
          </w:tcPr>
          <w:p w14:paraId="7AF52E5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5</w:t>
            </w:r>
          </w:p>
        </w:tc>
        <w:tc>
          <w:tcPr>
            <w:tcW w:w="1559" w:type="dxa"/>
            <w:shd w:val="clear" w:color="000000" w:fill="FFFFFF"/>
            <w:hideMark/>
          </w:tcPr>
          <w:p w14:paraId="2AFF933A"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66386C32" w14:textId="77777777" w:rsidTr="00B518F1">
        <w:trPr>
          <w:trHeight w:val="600"/>
        </w:trPr>
        <w:tc>
          <w:tcPr>
            <w:tcW w:w="1312" w:type="dxa"/>
            <w:shd w:val="clear" w:color="000000" w:fill="FFFFFF"/>
            <w:hideMark/>
          </w:tcPr>
          <w:p w14:paraId="4206DC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1C444A0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02D79F2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Inappropriate affect</w:t>
            </w:r>
          </w:p>
        </w:tc>
        <w:tc>
          <w:tcPr>
            <w:tcW w:w="2268" w:type="dxa"/>
            <w:shd w:val="clear" w:color="000000" w:fill="FFFFFF"/>
            <w:noWrap/>
            <w:hideMark/>
          </w:tcPr>
          <w:p w14:paraId="25010A5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People have said that I seemed "spacey" or "out of it"</w:t>
            </w:r>
          </w:p>
        </w:tc>
        <w:tc>
          <w:tcPr>
            <w:tcW w:w="567" w:type="dxa"/>
            <w:shd w:val="clear" w:color="000000" w:fill="FFFFFF"/>
            <w:noWrap/>
            <w:hideMark/>
          </w:tcPr>
          <w:p w14:paraId="33F5579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6</w:t>
            </w:r>
          </w:p>
        </w:tc>
        <w:tc>
          <w:tcPr>
            <w:tcW w:w="1559" w:type="dxa"/>
            <w:shd w:val="clear" w:color="000000" w:fill="FFFFFF"/>
            <w:hideMark/>
          </w:tcPr>
          <w:p w14:paraId="662CF82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7D4B69A8" w14:textId="77777777" w:rsidTr="00B518F1">
        <w:trPr>
          <w:trHeight w:val="600"/>
        </w:trPr>
        <w:tc>
          <w:tcPr>
            <w:tcW w:w="1312" w:type="dxa"/>
            <w:shd w:val="clear" w:color="000000" w:fill="FFFFFF"/>
            <w:hideMark/>
          </w:tcPr>
          <w:p w14:paraId="1D9BA25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76AEC35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29887FC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Inappropriate affect</w:t>
            </w:r>
          </w:p>
        </w:tc>
        <w:tc>
          <w:tcPr>
            <w:tcW w:w="2268" w:type="dxa"/>
            <w:shd w:val="clear" w:color="000000" w:fill="FFFFFF"/>
            <w:noWrap/>
            <w:hideMark/>
          </w:tcPr>
          <w:p w14:paraId="749ABE5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People have found me to be aloof and distant</w:t>
            </w:r>
          </w:p>
        </w:tc>
        <w:tc>
          <w:tcPr>
            <w:tcW w:w="567" w:type="dxa"/>
            <w:shd w:val="clear" w:color="000000" w:fill="FFFFFF"/>
            <w:noWrap/>
            <w:hideMark/>
          </w:tcPr>
          <w:p w14:paraId="6F8539F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7</w:t>
            </w:r>
          </w:p>
        </w:tc>
        <w:tc>
          <w:tcPr>
            <w:tcW w:w="1559" w:type="dxa"/>
            <w:shd w:val="clear" w:color="000000" w:fill="FFFFFF"/>
            <w:hideMark/>
          </w:tcPr>
          <w:p w14:paraId="650EA135"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2C97A2D0" w14:textId="77777777" w:rsidTr="00B518F1">
        <w:trPr>
          <w:trHeight w:val="600"/>
        </w:trPr>
        <w:tc>
          <w:tcPr>
            <w:tcW w:w="1312" w:type="dxa"/>
            <w:shd w:val="clear" w:color="000000" w:fill="FFFFFF"/>
            <w:hideMark/>
          </w:tcPr>
          <w:p w14:paraId="5121587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074B2EE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6A527EA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Diminished emotional responsiveness</w:t>
            </w:r>
          </w:p>
        </w:tc>
        <w:tc>
          <w:tcPr>
            <w:tcW w:w="2268" w:type="dxa"/>
            <w:shd w:val="clear" w:color="000000" w:fill="FFFFFF"/>
            <w:noWrap/>
            <w:hideMark/>
          </w:tcPr>
          <w:p w14:paraId="79D18B6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not a very animated person?</w:t>
            </w:r>
          </w:p>
        </w:tc>
        <w:tc>
          <w:tcPr>
            <w:tcW w:w="567" w:type="dxa"/>
            <w:shd w:val="clear" w:color="000000" w:fill="FFFFFF"/>
            <w:noWrap/>
            <w:hideMark/>
          </w:tcPr>
          <w:p w14:paraId="76DD09B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8</w:t>
            </w:r>
          </w:p>
        </w:tc>
        <w:tc>
          <w:tcPr>
            <w:tcW w:w="1559" w:type="dxa"/>
            <w:shd w:val="clear" w:color="000000" w:fill="FFFFFF"/>
            <w:hideMark/>
          </w:tcPr>
          <w:p w14:paraId="18CA8687"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6A9B169E" w14:textId="77777777" w:rsidTr="00B518F1">
        <w:trPr>
          <w:trHeight w:val="600"/>
        </w:trPr>
        <w:tc>
          <w:tcPr>
            <w:tcW w:w="1312" w:type="dxa"/>
            <w:shd w:val="clear" w:color="000000" w:fill="FFFFFF"/>
            <w:hideMark/>
          </w:tcPr>
          <w:p w14:paraId="504DE12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56C2611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7A14833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Diminished emotional responsiveness</w:t>
            </w:r>
          </w:p>
        </w:tc>
        <w:tc>
          <w:tcPr>
            <w:tcW w:w="2268" w:type="dxa"/>
            <w:shd w:val="clear" w:color="000000" w:fill="FFFFFF"/>
            <w:noWrap/>
            <w:hideMark/>
          </w:tcPr>
          <w:p w14:paraId="7FFB454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had difficulty expressing my feelings as well as I used to</w:t>
            </w:r>
          </w:p>
        </w:tc>
        <w:tc>
          <w:tcPr>
            <w:tcW w:w="567" w:type="dxa"/>
            <w:shd w:val="clear" w:color="000000" w:fill="FFFFFF"/>
            <w:noWrap/>
            <w:hideMark/>
          </w:tcPr>
          <w:p w14:paraId="659D7C5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9</w:t>
            </w:r>
          </w:p>
        </w:tc>
        <w:tc>
          <w:tcPr>
            <w:tcW w:w="1559" w:type="dxa"/>
            <w:shd w:val="clear" w:color="000000" w:fill="FFFFFF"/>
            <w:hideMark/>
          </w:tcPr>
          <w:p w14:paraId="65B84E27"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82674D9" w14:textId="77777777" w:rsidTr="00B518F1">
        <w:trPr>
          <w:trHeight w:val="600"/>
        </w:trPr>
        <w:tc>
          <w:tcPr>
            <w:tcW w:w="1312" w:type="dxa"/>
            <w:shd w:val="clear" w:color="000000" w:fill="FFFFFF"/>
            <w:hideMark/>
          </w:tcPr>
          <w:p w14:paraId="5ABF8D2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0197F92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3E3D0B2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Lack of spontaneity and flow of conversation</w:t>
            </w:r>
          </w:p>
        </w:tc>
        <w:tc>
          <w:tcPr>
            <w:tcW w:w="2268" w:type="dxa"/>
            <w:shd w:val="clear" w:color="000000" w:fill="FFFFFF"/>
            <w:noWrap/>
            <w:hideMark/>
          </w:tcPr>
          <w:p w14:paraId="46E2B34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lacking in spontaneity?</w:t>
            </w:r>
          </w:p>
        </w:tc>
        <w:tc>
          <w:tcPr>
            <w:tcW w:w="567" w:type="dxa"/>
            <w:shd w:val="clear" w:color="000000" w:fill="FFFFFF"/>
            <w:noWrap/>
            <w:hideMark/>
          </w:tcPr>
          <w:p w14:paraId="0204D91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10</w:t>
            </w:r>
          </w:p>
        </w:tc>
        <w:tc>
          <w:tcPr>
            <w:tcW w:w="1559" w:type="dxa"/>
            <w:shd w:val="clear" w:color="000000" w:fill="FFFFFF"/>
            <w:hideMark/>
          </w:tcPr>
          <w:p w14:paraId="0F089AC7"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0E0CE2FD" w14:textId="77777777" w:rsidTr="00B518F1">
        <w:trPr>
          <w:trHeight w:val="600"/>
        </w:trPr>
        <w:tc>
          <w:tcPr>
            <w:tcW w:w="1312" w:type="dxa"/>
            <w:shd w:val="clear" w:color="000000" w:fill="FFFFFF"/>
            <w:hideMark/>
          </w:tcPr>
          <w:p w14:paraId="565D8E4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5E285E1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4DAF3EF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Lack of spontaneity and flow of </w:t>
            </w:r>
            <w:r w:rsidRPr="004D46AC">
              <w:rPr>
                <w:rFonts w:eastAsia="Times New Roman"/>
                <w:color w:val="000000"/>
              </w:rPr>
              <w:lastRenderedPageBreak/>
              <w:t>conversation</w:t>
            </w:r>
          </w:p>
        </w:tc>
        <w:tc>
          <w:tcPr>
            <w:tcW w:w="2268" w:type="dxa"/>
            <w:shd w:val="clear" w:color="000000" w:fill="FFFFFF"/>
            <w:noWrap/>
            <w:hideMark/>
          </w:tcPr>
          <w:p w14:paraId="570FB8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I have had nothing to say or very little to say</w:t>
            </w:r>
          </w:p>
        </w:tc>
        <w:tc>
          <w:tcPr>
            <w:tcW w:w="567" w:type="dxa"/>
            <w:shd w:val="clear" w:color="000000" w:fill="FFFFFF"/>
            <w:noWrap/>
            <w:hideMark/>
          </w:tcPr>
          <w:p w14:paraId="1121975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11</w:t>
            </w:r>
          </w:p>
        </w:tc>
        <w:tc>
          <w:tcPr>
            <w:tcW w:w="1559" w:type="dxa"/>
            <w:shd w:val="clear" w:color="000000" w:fill="FFFFFF"/>
            <w:hideMark/>
          </w:tcPr>
          <w:p w14:paraId="50B6C0BD"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1344AAD" w14:textId="77777777" w:rsidTr="00B518F1">
        <w:trPr>
          <w:trHeight w:val="600"/>
        </w:trPr>
        <w:tc>
          <w:tcPr>
            <w:tcW w:w="1312" w:type="dxa"/>
            <w:shd w:val="clear" w:color="000000" w:fill="FFFFFF"/>
            <w:hideMark/>
          </w:tcPr>
          <w:p w14:paraId="1F6CAC9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2726354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Emotional </w:t>
            </w:r>
            <w:r w:rsidRPr="004D46AC">
              <w:rPr>
                <w:rFonts w:eastAsia="Times New Roman"/>
                <w:color w:val="000000"/>
              </w:rPr>
              <w:br/>
              <w:t>expression</w:t>
            </w:r>
          </w:p>
        </w:tc>
        <w:tc>
          <w:tcPr>
            <w:tcW w:w="1312" w:type="dxa"/>
            <w:shd w:val="clear" w:color="000000" w:fill="FFFFFF"/>
            <w:noWrap/>
            <w:hideMark/>
          </w:tcPr>
          <w:p w14:paraId="7FD6105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Lack of spontaneity and flow of conversation</w:t>
            </w:r>
          </w:p>
        </w:tc>
        <w:tc>
          <w:tcPr>
            <w:tcW w:w="2268" w:type="dxa"/>
            <w:shd w:val="clear" w:color="000000" w:fill="FFFFFF"/>
            <w:noWrap/>
            <w:hideMark/>
          </w:tcPr>
          <w:p w14:paraId="523E0B5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not much of a talker when you are conversing with other people?</w:t>
            </w:r>
          </w:p>
        </w:tc>
        <w:tc>
          <w:tcPr>
            <w:tcW w:w="567" w:type="dxa"/>
            <w:shd w:val="clear" w:color="000000" w:fill="FFFFFF"/>
            <w:noWrap/>
            <w:hideMark/>
          </w:tcPr>
          <w:p w14:paraId="3145B6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12</w:t>
            </w:r>
          </w:p>
        </w:tc>
        <w:tc>
          <w:tcPr>
            <w:tcW w:w="1559" w:type="dxa"/>
            <w:shd w:val="clear" w:color="000000" w:fill="FFFFFF"/>
            <w:hideMark/>
          </w:tcPr>
          <w:p w14:paraId="5A72CD21"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4AAAF688" w14:textId="77777777" w:rsidTr="00B518F1">
        <w:trPr>
          <w:trHeight w:val="600"/>
        </w:trPr>
        <w:tc>
          <w:tcPr>
            <w:tcW w:w="1312" w:type="dxa"/>
            <w:shd w:val="clear" w:color="000000" w:fill="FFFFFF"/>
            <w:hideMark/>
          </w:tcPr>
          <w:p w14:paraId="4E21809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764F5EC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Social </w:t>
            </w:r>
            <w:r w:rsidRPr="004D46AC">
              <w:rPr>
                <w:rFonts w:eastAsia="Times New Roman"/>
                <w:color w:val="000000"/>
              </w:rPr>
              <w:br/>
              <w:t>anhedonia</w:t>
            </w:r>
          </w:p>
        </w:tc>
        <w:tc>
          <w:tcPr>
            <w:tcW w:w="1312" w:type="dxa"/>
            <w:shd w:val="clear" w:color="000000" w:fill="FFFFFF"/>
            <w:noWrap/>
            <w:hideMark/>
          </w:tcPr>
          <w:p w14:paraId="5DF4AF0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Does not initiate contact</w:t>
            </w:r>
          </w:p>
        </w:tc>
        <w:tc>
          <w:tcPr>
            <w:tcW w:w="2268" w:type="dxa"/>
            <w:shd w:val="clear" w:color="000000" w:fill="FFFFFF"/>
            <w:noWrap/>
            <w:hideMark/>
          </w:tcPr>
          <w:p w14:paraId="0EEB36D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tend to avoid social activities with others?</w:t>
            </w:r>
          </w:p>
        </w:tc>
        <w:tc>
          <w:tcPr>
            <w:tcW w:w="567" w:type="dxa"/>
            <w:shd w:val="clear" w:color="000000" w:fill="FFFFFF"/>
            <w:noWrap/>
            <w:hideMark/>
          </w:tcPr>
          <w:p w14:paraId="70A3E91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13</w:t>
            </w:r>
          </w:p>
        </w:tc>
        <w:tc>
          <w:tcPr>
            <w:tcW w:w="1559" w:type="dxa"/>
            <w:shd w:val="clear" w:color="000000" w:fill="FFFFFF"/>
            <w:hideMark/>
          </w:tcPr>
          <w:p w14:paraId="5B32E5E9"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70930980" w14:textId="77777777" w:rsidTr="00B518F1">
        <w:trPr>
          <w:trHeight w:val="600"/>
        </w:trPr>
        <w:tc>
          <w:tcPr>
            <w:tcW w:w="1312" w:type="dxa"/>
            <w:shd w:val="clear" w:color="000000" w:fill="FFFFFF"/>
            <w:hideMark/>
          </w:tcPr>
          <w:p w14:paraId="1BC0A5E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48A9A1B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Social </w:t>
            </w:r>
            <w:r w:rsidRPr="004D46AC">
              <w:rPr>
                <w:rFonts w:eastAsia="Times New Roman"/>
                <w:color w:val="000000"/>
              </w:rPr>
              <w:br/>
              <w:t>anhedonia</w:t>
            </w:r>
          </w:p>
        </w:tc>
        <w:tc>
          <w:tcPr>
            <w:tcW w:w="1312" w:type="dxa"/>
            <w:shd w:val="clear" w:color="000000" w:fill="FFFFFF"/>
            <w:noWrap/>
            <w:hideMark/>
          </w:tcPr>
          <w:p w14:paraId="2EAD49D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Does not initiate contact</w:t>
            </w:r>
          </w:p>
        </w:tc>
        <w:tc>
          <w:tcPr>
            <w:tcW w:w="2268" w:type="dxa"/>
            <w:shd w:val="clear" w:color="000000" w:fill="FFFFFF"/>
            <w:noWrap/>
            <w:hideMark/>
          </w:tcPr>
          <w:p w14:paraId="48F7641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had little interest in getting to know other people</w:t>
            </w:r>
          </w:p>
        </w:tc>
        <w:tc>
          <w:tcPr>
            <w:tcW w:w="567" w:type="dxa"/>
            <w:shd w:val="clear" w:color="000000" w:fill="FFFFFF"/>
            <w:noWrap/>
            <w:hideMark/>
          </w:tcPr>
          <w:p w14:paraId="55C7F17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14</w:t>
            </w:r>
          </w:p>
        </w:tc>
        <w:tc>
          <w:tcPr>
            <w:tcW w:w="1559" w:type="dxa"/>
            <w:shd w:val="clear" w:color="000000" w:fill="FFFFFF"/>
            <w:hideMark/>
          </w:tcPr>
          <w:p w14:paraId="72884384" w14:textId="77777777" w:rsidR="007075D9" w:rsidRPr="004D46AC" w:rsidRDefault="007075D9" w:rsidP="002C5F6E">
            <w:pPr>
              <w:spacing w:line="240" w:lineRule="auto"/>
              <w:ind w:firstLine="0"/>
              <w:rPr>
                <w:rFonts w:eastAsia="Times New Roman"/>
                <w:color w:val="000000"/>
              </w:rPr>
            </w:pPr>
            <w:r w:rsidRPr="004D46AC">
              <w:rPr>
                <w:color w:val="000000"/>
              </w:rPr>
              <w:t>PQ (Prodromal Questionnaire)</w:t>
            </w:r>
          </w:p>
        </w:tc>
      </w:tr>
      <w:tr w:rsidR="007075D9" w:rsidRPr="004D46AC" w14:paraId="7A7CA01F" w14:textId="77777777" w:rsidTr="00B518F1">
        <w:trPr>
          <w:trHeight w:val="600"/>
        </w:trPr>
        <w:tc>
          <w:tcPr>
            <w:tcW w:w="1312" w:type="dxa"/>
            <w:shd w:val="clear" w:color="000000" w:fill="FFFFFF"/>
            <w:hideMark/>
          </w:tcPr>
          <w:p w14:paraId="53E058B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60B8C0B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Social </w:t>
            </w:r>
            <w:r w:rsidRPr="004D46AC">
              <w:rPr>
                <w:rFonts w:eastAsia="Times New Roman"/>
                <w:color w:val="000000"/>
              </w:rPr>
              <w:br/>
              <w:t>anhedonia</w:t>
            </w:r>
          </w:p>
        </w:tc>
        <w:tc>
          <w:tcPr>
            <w:tcW w:w="1312" w:type="dxa"/>
            <w:shd w:val="clear" w:color="000000" w:fill="FFFFFF"/>
            <w:noWrap/>
            <w:hideMark/>
          </w:tcPr>
          <w:p w14:paraId="2AC5406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Does not initiate contact</w:t>
            </w:r>
          </w:p>
        </w:tc>
        <w:tc>
          <w:tcPr>
            <w:tcW w:w="2268" w:type="dxa"/>
            <w:shd w:val="clear" w:color="000000" w:fill="FFFFFF"/>
            <w:noWrap/>
            <w:hideMark/>
          </w:tcPr>
          <w:p w14:paraId="6C45BF0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avoided social activities with other people</w:t>
            </w:r>
          </w:p>
        </w:tc>
        <w:tc>
          <w:tcPr>
            <w:tcW w:w="567" w:type="dxa"/>
            <w:shd w:val="clear" w:color="000000" w:fill="FFFFFF"/>
            <w:noWrap/>
            <w:hideMark/>
          </w:tcPr>
          <w:p w14:paraId="4ABDA40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15</w:t>
            </w:r>
          </w:p>
        </w:tc>
        <w:tc>
          <w:tcPr>
            <w:tcW w:w="1559" w:type="dxa"/>
            <w:shd w:val="clear" w:color="000000" w:fill="FFFFFF"/>
            <w:hideMark/>
          </w:tcPr>
          <w:p w14:paraId="684A03B2" w14:textId="77777777" w:rsidR="007075D9" w:rsidRPr="004D46AC" w:rsidRDefault="007075D9" w:rsidP="002C5F6E">
            <w:pPr>
              <w:spacing w:line="240" w:lineRule="auto"/>
              <w:ind w:firstLine="0"/>
              <w:rPr>
                <w:rFonts w:eastAsia="Times New Roman"/>
                <w:color w:val="000000"/>
              </w:rPr>
            </w:pPr>
            <w:r w:rsidRPr="004D46AC">
              <w:rPr>
                <w:color w:val="000000"/>
              </w:rPr>
              <w:t>PQ (Prodromal Questionnaire)</w:t>
            </w:r>
          </w:p>
        </w:tc>
      </w:tr>
      <w:tr w:rsidR="007075D9" w:rsidRPr="004D46AC" w14:paraId="4FCECF47" w14:textId="77777777" w:rsidTr="00B518F1">
        <w:trPr>
          <w:trHeight w:val="600"/>
        </w:trPr>
        <w:tc>
          <w:tcPr>
            <w:tcW w:w="1312" w:type="dxa"/>
            <w:shd w:val="clear" w:color="000000" w:fill="FFFFFF"/>
            <w:hideMark/>
          </w:tcPr>
          <w:p w14:paraId="1A17CB0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1DD3EE6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Social </w:t>
            </w:r>
            <w:r w:rsidRPr="004D46AC">
              <w:rPr>
                <w:rFonts w:eastAsia="Times New Roman"/>
                <w:color w:val="000000"/>
              </w:rPr>
              <w:br/>
              <w:t>anhedonia</w:t>
            </w:r>
          </w:p>
        </w:tc>
        <w:tc>
          <w:tcPr>
            <w:tcW w:w="1312" w:type="dxa"/>
            <w:shd w:val="clear" w:color="000000" w:fill="FFFFFF"/>
            <w:noWrap/>
            <w:hideMark/>
          </w:tcPr>
          <w:p w14:paraId="666DEE1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Tends to recede into the background</w:t>
            </w:r>
          </w:p>
        </w:tc>
        <w:tc>
          <w:tcPr>
            <w:tcW w:w="2268" w:type="dxa"/>
            <w:shd w:val="clear" w:color="000000" w:fill="FFFFFF"/>
            <w:noWrap/>
            <w:hideMark/>
          </w:tcPr>
          <w:p w14:paraId="2253A7D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am mostly quiet when with others</w:t>
            </w:r>
          </w:p>
        </w:tc>
        <w:tc>
          <w:tcPr>
            <w:tcW w:w="567" w:type="dxa"/>
            <w:shd w:val="clear" w:color="000000" w:fill="FFFFFF"/>
            <w:noWrap/>
            <w:hideMark/>
          </w:tcPr>
          <w:p w14:paraId="7E59F75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16</w:t>
            </w:r>
          </w:p>
        </w:tc>
        <w:tc>
          <w:tcPr>
            <w:tcW w:w="1559" w:type="dxa"/>
            <w:shd w:val="clear" w:color="000000" w:fill="FFFFFF"/>
            <w:hideMark/>
          </w:tcPr>
          <w:p w14:paraId="5C73569E"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6278B21B" w14:textId="77777777" w:rsidTr="00B518F1">
        <w:trPr>
          <w:trHeight w:val="600"/>
        </w:trPr>
        <w:tc>
          <w:tcPr>
            <w:tcW w:w="1312" w:type="dxa"/>
            <w:shd w:val="clear" w:color="000000" w:fill="FFFFFF"/>
            <w:hideMark/>
          </w:tcPr>
          <w:p w14:paraId="4BF2B58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3929E01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Social </w:t>
            </w:r>
            <w:r w:rsidRPr="004D46AC">
              <w:rPr>
                <w:rFonts w:eastAsia="Times New Roman"/>
                <w:color w:val="000000"/>
              </w:rPr>
              <w:br/>
              <w:t>anhedonia</w:t>
            </w:r>
          </w:p>
        </w:tc>
        <w:tc>
          <w:tcPr>
            <w:tcW w:w="1312" w:type="dxa"/>
            <w:shd w:val="clear" w:color="000000" w:fill="FFFFFF"/>
            <w:noWrap/>
            <w:hideMark/>
          </w:tcPr>
          <w:p w14:paraId="1687B8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Lack of close friends</w:t>
            </w:r>
          </w:p>
        </w:tc>
        <w:tc>
          <w:tcPr>
            <w:tcW w:w="2268" w:type="dxa"/>
            <w:shd w:val="clear" w:color="000000" w:fill="FFFFFF"/>
            <w:noWrap/>
            <w:hideMark/>
          </w:tcPr>
          <w:p w14:paraId="6FCF9BF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feel I cannot get close to people</w:t>
            </w:r>
          </w:p>
        </w:tc>
        <w:tc>
          <w:tcPr>
            <w:tcW w:w="567" w:type="dxa"/>
            <w:shd w:val="clear" w:color="000000" w:fill="FFFFFF"/>
            <w:noWrap/>
            <w:hideMark/>
          </w:tcPr>
          <w:p w14:paraId="0A9E5FF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17</w:t>
            </w:r>
          </w:p>
        </w:tc>
        <w:tc>
          <w:tcPr>
            <w:tcW w:w="1559" w:type="dxa"/>
            <w:shd w:val="clear" w:color="000000" w:fill="FFFFFF"/>
            <w:hideMark/>
          </w:tcPr>
          <w:p w14:paraId="78D36FE6"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266EF1EE" w14:textId="77777777" w:rsidTr="00B518F1">
        <w:trPr>
          <w:trHeight w:val="600"/>
        </w:trPr>
        <w:tc>
          <w:tcPr>
            <w:tcW w:w="1312" w:type="dxa"/>
            <w:shd w:val="clear" w:color="000000" w:fill="FFFFFF"/>
            <w:hideMark/>
          </w:tcPr>
          <w:p w14:paraId="4B5590D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2CA2A2E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765082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Impairment in goal directed activities</w:t>
            </w:r>
          </w:p>
        </w:tc>
        <w:tc>
          <w:tcPr>
            <w:tcW w:w="2268" w:type="dxa"/>
            <w:shd w:val="clear" w:color="000000" w:fill="FFFFFF"/>
            <w:noWrap/>
            <w:hideMark/>
          </w:tcPr>
          <w:p w14:paraId="09A9BD1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can never get things done?</w:t>
            </w:r>
          </w:p>
        </w:tc>
        <w:tc>
          <w:tcPr>
            <w:tcW w:w="567" w:type="dxa"/>
            <w:shd w:val="clear" w:color="000000" w:fill="FFFFFF"/>
            <w:noWrap/>
            <w:hideMark/>
          </w:tcPr>
          <w:p w14:paraId="4FC7D52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18</w:t>
            </w:r>
          </w:p>
        </w:tc>
        <w:tc>
          <w:tcPr>
            <w:tcW w:w="1559" w:type="dxa"/>
            <w:shd w:val="clear" w:color="000000" w:fill="FFFFFF"/>
            <w:hideMark/>
          </w:tcPr>
          <w:p w14:paraId="40480830"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7982E29C" w14:textId="77777777" w:rsidTr="00B518F1">
        <w:trPr>
          <w:trHeight w:val="600"/>
        </w:trPr>
        <w:tc>
          <w:tcPr>
            <w:tcW w:w="1312" w:type="dxa"/>
            <w:shd w:val="clear" w:color="000000" w:fill="FFFFFF"/>
            <w:hideMark/>
          </w:tcPr>
          <w:p w14:paraId="0943FEC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1092889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608ED05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Impairment in goal directed activities</w:t>
            </w:r>
          </w:p>
        </w:tc>
        <w:tc>
          <w:tcPr>
            <w:tcW w:w="2268" w:type="dxa"/>
            <w:shd w:val="clear" w:color="000000" w:fill="FFFFFF"/>
            <w:noWrap/>
            <w:hideMark/>
          </w:tcPr>
          <w:p w14:paraId="61DB580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been less able to do usual activities or tasks</w:t>
            </w:r>
          </w:p>
        </w:tc>
        <w:tc>
          <w:tcPr>
            <w:tcW w:w="567" w:type="dxa"/>
            <w:shd w:val="clear" w:color="000000" w:fill="FFFFFF"/>
            <w:noWrap/>
            <w:hideMark/>
          </w:tcPr>
          <w:p w14:paraId="36CC9D6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19</w:t>
            </w:r>
          </w:p>
        </w:tc>
        <w:tc>
          <w:tcPr>
            <w:tcW w:w="1559" w:type="dxa"/>
            <w:shd w:val="clear" w:color="000000" w:fill="FFFFFF"/>
            <w:hideMark/>
          </w:tcPr>
          <w:p w14:paraId="62BFF766"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14E7DD42" w14:textId="77777777" w:rsidTr="00B518F1">
        <w:trPr>
          <w:trHeight w:val="600"/>
        </w:trPr>
        <w:tc>
          <w:tcPr>
            <w:tcW w:w="1312" w:type="dxa"/>
            <w:shd w:val="clear" w:color="000000" w:fill="FFFFFF"/>
            <w:hideMark/>
          </w:tcPr>
          <w:p w14:paraId="2D3C83B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0595E5D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62A015B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Impairment in goal directed activities</w:t>
            </w:r>
          </w:p>
        </w:tc>
        <w:tc>
          <w:tcPr>
            <w:tcW w:w="2268" w:type="dxa"/>
            <w:shd w:val="clear" w:color="000000" w:fill="FFFFFF"/>
            <w:noWrap/>
            <w:hideMark/>
          </w:tcPr>
          <w:p w14:paraId="326E03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Difficulties in carrying out ordinary routine activities for the last 1 week</w:t>
            </w:r>
          </w:p>
        </w:tc>
        <w:tc>
          <w:tcPr>
            <w:tcW w:w="567" w:type="dxa"/>
            <w:shd w:val="clear" w:color="000000" w:fill="FFFFFF"/>
            <w:noWrap/>
            <w:hideMark/>
          </w:tcPr>
          <w:p w14:paraId="4194555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20</w:t>
            </w:r>
          </w:p>
        </w:tc>
        <w:tc>
          <w:tcPr>
            <w:tcW w:w="1559" w:type="dxa"/>
            <w:shd w:val="clear" w:color="000000" w:fill="FFFFFF"/>
            <w:hideMark/>
          </w:tcPr>
          <w:p w14:paraId="7299E4B5" w14:textId="77777777" w:rsidR="007075D9" w:rsidRPr="004D46AC" w:rsidRDefault="007075D9" w:rsidP="002C5F6E">
            <w:pPr>
              <w:spacing w:line="240" w:lineRule="auto"/>
              <w:ind w:firstLine="0"/>
              <w:rPr>
                <w:rFonts w:eastAsia="Times New Roman"/>
                <w:color w:val="000000"/>
              </w:rPr>
            </w:pPr>
            <w:r w:rsidRPr="004D46AC">
              <w:rPr>
                <w:color w:val="000000"/>
              </w:rPr>
              <w:t>PROD-screen</w:t>
            </w:r>
          </w:p>
        </w:tc>
      </w:tr>
      <w:tr w:rsidR="007075D9" w:rsidRPr="004D46AC" w14:paraId="05321FCF" w14:textId="77777777" w:rsidTr="00B518F1">
        <w:trPr>
          <w:trHeight w:val="600"/>
        </w:trPr>
        <w:tc>
          <w:tcPr>
            <w:tcW w:w="1312" w:type="dxa"/>
            <w:shd w:val="clear" w:color="000000" w:fill="FFFFFF"/>
            <w:hideMark/>
          </w:tcPr>
          <w:p w14:paraId="1E1FD6D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4682A45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1CE879F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 drive, energy, or productivity</w:t>
            </w:r>
          </w:p>
        </w:tc>
        <w:tc>
          <w:tcPr>
            <w:tcW w:w="2268" w:type="dxa"/>
            <w:shd w:val="clear" w:color="000000" w:fill="FFFFFF"/>
            <w:noWrap/>
            <w:hideMark/>
          </w:tcPr>
          <w:p w14:paraId="1D9B23E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felt like </w:t>
            </w:r>
            <w:proofErr w:type="spellStart"/>
            <w:r w:rsidRPr="004D46AC">
              <w:rPr>
                <w:rFonts w:eastAsia="Times New Roman"/>
                <w:color w:val="000000"/>
              </w:rPr>
              <w:t>your</w:t>
            </w:r>
            <w:proofErr w:type="spellEnd"/>
            <w:r w:rsidRPr="004D46AC">
              <w:rPr>
                <w:rFonts w:eastAsia="Times New Roman"/>
                <w:color w:val="000000"/>
              </w:rPr>
              <w:t xml:space="preserve"> thinking, speaking or movements have been slowing down noticeably? Has your empathy with others changed?</w:t>
            </w:r>
          </w:p>
        </w:tc>
        <w:tc>
          <w:tcPr>
            <w:tcW w:w="567" w:type="dxa"/>
            <w:shd w:val="clear" w:color="000000" w:fill="FFFFFF"/>
            <w:noWrap/>
            <w:hideMark/>
          </w:tcPr>
          <w:p w14:paraId="63BD8A2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21</w:t>
            </w:r>
          </w:p>
        </w:tc>
        <w:tc>
          <w:tcPr>
            <w:tcW w:w="1559" w:type="dxa"/>
            <w:shd w:val="clear" w:color="000000" w:fill="FFFFFF"/>
            <w:hideMark/>
          </w:tcPr>
          <w:p w14:paraId="796A7C5E"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59A68D8E" w14:textId="77777777" w:rsidTr="00B518F1">
        <w:trPr>
          <w:trHeight w:val="600"/>
        </w:trPr>
        <w:tc>
          <w:tcPr>
            <w:tcW w:w="1312" w:type="dxa"/>
            <w:shd w:val="clear" w:color="000000" w:fill="FFFFFF"/>
            <w:hideMark/>
          </w:tcPr>
          <w:p w14:paraId="6EFAECD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2B5CC72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214FFA5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 drive, energy, or productivity</w:t>
            </w:r>
          </w:p>
        </w:tc>
        <w:tc>
          <w:tcPr>
            <w:tcW w:w="2268" w:type="dxa"/>
            <w:shd w:val="clear" w:color="000000" w:fill="FFFFFF"/>
            <w:noWrap/>
            <w:hideMark/>
          </w:tcPr>
          <w:p w14:paraId="144445D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unable to carry out everyday tasks because of fatigue or lack of motivation</w:t>
            </w:r>
          </w:p>
        </w:tc>
        <w:tc>
          <w:tcPr>
            <w:tcW w:w="567" w:type="dxa"/>
            <w:shd w:val="clear" w:color="000000" w:fill="FFFFFF"/>
            <w:noWrap/>
            <w:hideMark/>
          </w:tcPr>
          <w:p w14:paraId="1A37CEE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22</w:t>
            </w:r>
          </w:p>
        </w:tc>
        <w:tc>
          <w:tcPr>
            <w:tcW w:w="1559" w:type="dxa"/>
            <w:shd w:val="clear" w:color="000000" w:fill="FFFFFF"/>
            <w:hideMark/>
          </w:tcPr>
          <w:p w14:paraId="6A0840B0"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3ED6E76E" w14:textId="77777777" w:rsidTr="00B518F1">
        <w:trPr>
          <w:trHeight w:val="600"/>
        </w:trPr>
        <w:tc>
          <w:tcPr>
            <w:tcW w:w="1312" w:type="dxa"/>
            <w:shd w:val="clear" w:color="000000" w:fill="FFFFFF"/>
            <w:hideMark/>
          </w:tcPr>
          <w:p w14:paraId="659176D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 xml:space="preserve">Negative </w:t>
            </w:r>
          </w:p>
        </w:tc>
        <w:tc>
          <w:tcPr>
            <w:tcW w:w="1312" w:type="dxa"/>
            <w:shd w:val="clear" w:color="000000" w:fill="FFFFFF"/>
            <w:noWrap/>
            <w:hideMark/>
          </w:tcPr>
          <w:p w14:paraId="1888484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3F48CA0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 drive, energy, or productivity</w:t>
            </w:r>
          </w:p>
        </w:tc>
        <w:tc>
          <w:tcPr>
            <w:tcW w:w="2268" w:type="dxa"/>
            <w:shd w:val="clear" w:color="000000" w:fill="FFFFFF"/>
            <w:noWrap/>
            <w:hideMark/>
          </w:tcPr>
          <w:p w14:paraId="667AE49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been less interested in school or work</w:t>
            </w:r>
          </w:p>
        </w:tc>
        <w:tc>
          <w:tcPr>
            <w:tcW w:w="567" w:type="dxa"/>
            <w:shd w:val="clear" w:color="000000" w:fill="FFFFFF"/>
            <w:noWrap/>
            <w:hideMark/>
          </w:tcPr>
          <w:p w14:paraId="139FD58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23</w:t>
            </w:r>
          </w:p>
        </w:tc>
        <w:tc>
          <w:tcPr>
            <w:tcW w:w="1559" w:type="dxa"/>
            <w:shd w:val="clear" w:color="000000" w:fill="FFFFFF"/>
            <w:hideMark/>
          </w:tcPr>
          <w:p w14:paraId="75CFC57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7BEDE4D9" w14:textId="77777777" w:rsidTr="00B518F1">
        <w:trPr>
          <w:trHeight w:val="600"/>
        </w:trPr>
        <w:tc>
          <w:tcPr>
            <w:tcW w:w="1312" w:type="dxa"/>
            <w:shd w:val="clear" w:color="000000" w:fill="FFFFFF"/>
            <w:hideMark/>
          </w:tcPr>
          <w:p w14:paraId="55793D3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272DD05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239EEC1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 drive, energy, or productivity</w:t>
            </w:r>
          </w:p>
        </w:tc>
        <w:tc>
          <w:tcPr>
            <w:tcW w:w="2268" w:type="dxa"/>
            <w:shd w:val="clear" w:color="000000" w:fill="FFFFFF"/>
            <w:noWrap/>
            <w:hideMark/>
          </w:tcPr>
          <w:p w14:paraId="22D39DE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lacking in motivation to do things?</w:t>
            </w:r>
          </w:p>
        </w:tc>
        <w:tc>
          <w:tcPr>
            <w:tcW w:w="567" w:type="dxa"/>
            <w:shd w:val="clear" w:color="000000" w:fill="FFFFFF"/>
            <w:noWrap/>
            <w:hideMark/>
          </w:tcPr>
          <w:p w14:paraId="2B5C4F5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24</w:t>
            </w:r>
          </w:p>
        </w:tc>
        <w:tc>
          <w:tcPr>
            <w:tcW w:w="1559" w:type="dxa"/>
            <w:shd w:val="clear" w:color="000000" w:fill="FFFFFF"/>
            <w:hideMark/>
          </w:tcPr>
          <w:p w14:paraId="0F5CF349"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42149900" w14:textId="77777777" w:rsidTr="00B518F1">
        <w:trPr>
          <w:trHeight w:val="600"/>
        </w:trPr>
        <w:tc>
          <w:tcPr>
            <w:tcW w:w="1312" w:type="dxa"/>
            <w:shd w:val="clear" w:color="000000" w:fill="FFFFFF"/>
            <w:hideMark/>
          </w:tcPr>
          <w:p w14:paraId="707154E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46D3670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37255A0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 drive, energy, or productivity</w:t>
            </w:r>
          </w:p>
        </w:tc>
        <w:tc>
          <w:tcPr>
            <w:tcW w:w="2268" w:type="dxa"/>
            <w:shd w:val="clear" w:color="000000" w:fill="FFFFFF"/>
            <w:noWrap/>
            <w:hideMark/>
          </w:tcPr>
          <w:p w14:paraId="2EFBA57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lacking in energy?</w:t>
            </w:r>
          </w:p>
        </w:tc>
        <w:tc>
          <w:tcPr>
            <w:tcW w:w="567" w:type="dxa"/>
            <w:shd w:val="clear" w:color="000000" w:fill="FFFFFF"/>
            <w:noWrap/>
            <w:hideMark/>
          </w:tcPr>
          <w:p w14:paraId="0708C2A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25</w:t>
            </w:r>
          </w:p>
        </w:tc>
        <w:tc>
          <w:tcPr>
            <w:tcW w:w="1559" w:type="dxa"/>
            <w:shd w:val="clear" w:color="000000" w:fill="FFFFFF"/>
            <w:hideMark/>
          </w:tcPr>
          <w:p w14:paraId="761FEEAF"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464AE18F" w14:textId="77777777" w:rsidTr="00B518F1">
        <w:trPr>
          <w:trHeight w:val="600"/>
        </w:trPr>
        <w:tc>
          <w:tcPr>
            <w:tcW w:w="1312" w:type="dxa"/>
            <w:shd w:val="clear" w:color="000000" w:fill="FFFFFF"/>
            <w:hideMark/>
          </w:tcPr>
          <w:p w14:paraId="2B3E5E5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12B69C3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02944EB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 drive, energy, or productivity</w:t>
            </w:r>
          </w:p>
        </w:tc>
        <w:tc>
          <w:tcPr>
            <w:tcW w:w="2268" w:type="dxa"/>
            <w:shd w:val="clear" w:color="000000" w:fill="FFFFFF"/>
            <w:noWrap/>
            <w:hideMark/>
          </w:tcPr>
          <w:p w14:paraId="0E9D713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spending all your days doing nothing?</w:t>
            </w:r>
          </w:p>
        </w:tc>
        <w:tc>
          <w:tcPr>
            <w:tcW w:w="567" w:type="dxa"/>
            <w:shd w:val="clear" w:color="000000" w:fill="FFFFFF"/>
            <w:noWrap/>
            <w:hideMark/>
          </w:tcPr>
          <w:p w14:paraId="490C380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26</w:t>
            </w:r>
          </w:p>
        </w:tc>
        <w:tc>
          <w:tcPr>
            <w:tcW w:w="1559" w:type="dxa"/>
            <w:shd w:val="clear" w:color="000000" w:fill="FFFFFF"/>
            <w:hideMark/>
          </w:tcPr>
          <w:p w14:paraId="74CF0DA1"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323274BA" w14:textId="77777777" w:rsidTr="00B518F1">
        <w:trPr>
          <w:trHeight w:val="600"/>
        </w:trPr>
        <w:tc>
          <w:tcPr>
            <w:tcW w:w="1312" w:type="dxa"/>
            <w:shd w:val="clear" w:color="000000" w:fill="FFFFFF"/>
            <w:hideMark/>
          </w:tcPr>
          <w:p w14:paraId="41BBFF6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noWrap/>
            <w:hideMark/>
          </w:tcPr>
          <w:p w14:paraId="6441945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Avolition</w:t>
            </w:r>
          </w:p>
        </w:tc>
        <w:tc>
          <w:tcPr>
            <w:tcW w:w="1312" w:type="dxa"/>
            <w:shd w:val="clear" w:color="000000" w:fill="FFFFFF"/>
            <w:noWrap/>
            <w:hideMark/>
          </w:tcPr>
          <w:p w14:paraId="42E5A95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 drive, energy, or productivity</w:t>
            </w:r>
          </w:p>
        </w:tc>
        <w:tc>
          <w:tcPr>
            <w:tcW w:w="2268" w:type="dxa"/>
            <w:shd w:val="clear" w:color="000000" w:fill="FFFFFF"/>
            <w:noWrap/>
            <w:hideMark/>
          </w:tcPr>
          <w:p w14:paraId="7F9E94F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Lack of energy, drive, initiative or interest</w:t>
            </w:r>
          </w:p>
        </w:tc>
        <w:tc>
          <w:tcPr>
            <w:tcW w:w="567" w:type="dxa"/>
            <w:shd w:val="clear" w:color="000000" w:fill="FFFFFF"/>
            <w:noWrap/>
            <w:hideMark/>
          </w:tcPr>
          <w:p w14:paraId="01C4EB0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27</w:t>
            </w:r>
          </w:p>
        </w:tc>
        <w:tc>
          <w:tcPr>
            <w:tcW w:w="1559" w:type="dxa"/>
            <w:shd w:val="clear" w:color="000000" w:fill="FFFFFF"/>
            <w:hideMark/>
          </w:tcPr>
          <w:p w14:paraId="7A79EAD2" w14:textId="77777777" w:rsidR="007075D9" w:rsidRPr="004D46AC" w:rsidRDefault="007075D9" w:rsidP="002C5F6E">
            <w:pPr>
              <w:spacing w:line="240" w:lineRule="auto"/>
              <w:ind w:firstLine="0"/>
              <w:rPr>
                <w:rFonts w:eastAsia="Times New Roman"/>
                <w:color w:val="000000"/>
              </w:rPr>
            </w:pPr>
            <w:r w:rsidRPr="004D46AC">
              <w:rPr>
                <w:color w:val="000000"/>
              </w:rPr>
              <w:t>Self-screen Prodrome and EDPCC</w:t>
            </w:r>
          </w:p>
        </w:tc>
      </w:tr>
      <w:tr w:rsidR="007075D9" w:rsidRPr="004D46AC" w14:paraId="7A21483B" w14:textId="77777777" w:rsidTr="00B518F1">
        <w:trPr>
          <w:trHeight w:val="600"/>
        </w:trPr>
        <w:tc>
          <w:tcPr>
            <w:tcW w:w="1312" w:type="dxa"/>
            <w:shd w:val="clear" w:color="000000" w:fill="FFFFFF"/>
            <w:hideMark/>
          </w:tcPr>
          <w:p w14:paraId="54B4C67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362F3E6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4D7956C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Emotions disappearing </w:t>
            </w:r>
          </w:p>
        </w:tc>
        <w:tc>
          <w:tcPr>
            <w:tcW w:w="2268" w:type="dxa"/>
            <w:shd w:val="clear" w:color="000000" w:fill="FFFFFF"/>
            <w:noWrap/>
            <w:hideMark/>
          </w:tcPr>
          <w:p w14:paraId="4302B89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your emotions are blunted?</w:t>
            </w:r>
          </w:p>
        </w:tc>
        <w:tc>
          <w:tcPr>
            <w:tcW w:w="567" w:type="dxa"/>
            <w:shd w:val="clear" w:color="000000" w:fill="FFFFFF"/>
            <w:noWrap/>
            <w:hideMark/>
          </w:tcPr>
          <w:p w14:paraId="5A70E18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28</w:t>
            </w:r>
          </w:p>
        </w:tc>
        <w:tc>
          <w:tcPr>
            <w:tcW w:w="1559" w:type="dxa"/>
            <w:shd w:val="clear" w:color="000000" w:fill="FFFFFF"/>
            <w:hideMark/>
          </w:tcPr>
          <w:p w14:paraId="378811D7"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487B4D89" w14:textId="77777777" w:rsidTr="00B518F1">
        <w:trPr>
          <w:trHeight w:val="600"/>
        </w:trPr>
        <w:tc>
          <w:tcPr>
            <w:tcW w:w="1312" w:type="dxa"/>
            <w:shd w:val="clear" w:color="000000" w:fill="FFFFFF"/>
            <w:hideMark/>
          </w:tcPr>
          <w:p w14:paraId="69DD0B8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6010ED7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04731F3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Emotions disappearing </w:t>
            </w:r>
          </w:p>
        </w:tc>
        <w:tc>
          <w:tcPr>
            <w:tcW w:w="2268" w:type="dxa"/>
            <w:shd w:val="clear" w:color="000000" w:fill="FFFFFF"/>
            <w:noWrap/>
            <w:hideMark/>
          </w:tcPr>
          <w:p w14:paraId="4F8135C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your feelings are lacking in intensity?</w:t>
            </w:r>
          </w:p>
        </w:tc>
        <w:tc>
          <w:tcPr>
            <w:tcW w:w="567" w:type="dxa"/>
            <w:shd w:val="clear" w:color="000000" w:fill="FFFFFF"/>
            <w:noWrap/>
            <w:hideMark/>
          </w:tcPr>
          <w:p w14:paraId="2AF9FBD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29</w:t>
            </w:r>
          </w:p>
        </w:tc>
        <w:tc>
          <w:tcPr>
            <w:tcW w:w="1559" w:type="dxa"/>
            <w:shd w:val="clear" w:color="000000" w:fill="FFFFFF"/>
            <w:hideMark/>
          </w:tcPr>
          <w:p w14:paraId="533F8FC5"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2783FFCF" w14:textId="77777777" w:rsidTr="00B518F1">
        <w:trPr>
          <w:trHeight w:val="600"/>
        </w:trPr>
        <w:tc>
          <w:tcPr>
            <w:tcW w:w="1312" w:type="dxa"/>
            <w:shd w:val="clear" w:color="000000" w:fill="FFFFFF"/>
            <w:hideMark/>
          </w:tcPr>
          <w:p w14:paraId="3D5A59D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4E3625A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0E4EBA7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depersonalised at a distance from self</w:t>
            </w:r>
          </w:p>
        </w:tc>
        <w:tc>
          <w:tcPr>
            <w:tcW w:w="2268" w:type="dxa"/>
            <w:shd w:val="clear" w:color="000000" w:fill="FFFFFF"/>
            <w:noWrap/>
            <w:hideMark/>
          </w:tcPr>
          <w:p w14:paraId="7D53BE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like I was looking at myself as in a movie, or that I was a spectator in my own life</w:t>
            </w:r>
          </w:p>
        </w:tc>
        <w:tc>
          <w:tcPr>
            <w:tcW w:w="567" w:type="dxa"/>
            <w:shd w:val="clear" w:color="000000" w:fill="FFFFFF"/>
            <w:noWrap/>
            <w:hideMark/>
          </w:tcPr>
          <w:p w14:paraId="10C4A25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30</w:t>
            </w:r>
          </w:p>
        </w:tc>
        <w:tc>
          <w:tcPr>
            <w:tcW w:w="1559" w:type="dxa"/>
            <w:shd w:val="clear" w:color="000000" w:fill="FFFFFF"/>
            <w:hideMark/>
          </w:tcPr>
          <w:p w14:paraId="6295CA6F"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3ECEA77A" w14:textId="77777777" w:rsidTr="00B518F1">
        <w:trPr>
          <w:trHeight w:val="600"/>
        </w:trPr>
        <w:tc>
          <w:tcPr>
            <w:tcW w:w="1312" w:type="dxa"/>
            <w:shd w:val="clear" w:color="000000" w:fill="FFFFFF"/>
            <w:hideMark/>
          </w:tcPr>
          <w:p w14:paraId="0DF968D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3438B6C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7EC80D7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depersonalised at a distance from self</w:t>
            </w:r>
          </w:p>
        </w:tc>
        <w:tc>
          <w:tcPr>
            <w:tcW w:w="2268" w:type="dxa"/>
            <w:shd w:val="clear" w:color="000000" w:fill="FFFFFF"/>
            <w:noWrap/>
            <w:hideMark/>
          </w:tcPr>
          <w:p w14:paraId="5BB951A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felt at a distance from yourself, as if you were outside your own body?</w:t>
            </w:r>
          </w:p>
        </w:tc>
        <w:tc>
          <w:tcPr>
            <w:tcW w:w="567" w:type="dxa"/>
            <w:shd w:val="clear" w:color="000000" w:fill="FFFFFF"/>
            <w:noWrap/>
            <w:hideMark/>
          </w:tcPr>
          <w:p w14:paraId="6F7ED2E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31</w:t>
            </w:r>
          </w:p>
        </w:tc>
        <w:tc>
          <w:tcPr>
            <w:tcW w:w="1559" w:type="dxa"/>
            <w:shd w:val="clear" w:color="000000" w:fill="FFFFFF"/>
            <w:hideMark/>
          </w:tcPr>
          <w:p w14:paraId="6F6CDFB2"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6A633562" w14:textId="77777777" w:rsidTr="00B518F1">
        <w:trPr>
          <w:trHeight w:val="600"/>
        </w:trPr>
        <w:tc>
          <w:tcPr>
            <w:tcW w:w="1312" w:type="dxa"/>
            <w:shd w:val="clear" w:color="000000" w:fill="FFFFFF"/>
            <w:hideMark/>
          </w:tcPr>
          <w:p w14:paraId="18FBB7E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0BCA144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62796E1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profoundly changed unreal or strange</w:t>
            </w:r>
          </w:p>
        </w:tc>
        <w:tc>
          <w:tcPr>
            <w:tcW w:w="2268" w:type="dxa"/>
            <w:shd w:val="clear" w:color="000000" w:fill="FFFFFF"/>
            <w:noWrap/>
            <w:hideMark/>
          </w:tcPr>
          <w:p w14:paraId="67824BD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When I looked at a person, or myself in a mirror, I have seen the face change right before my eyes.</w:t>
            </w:r>
          </w:p>
        </w:tc>
        <w:tc>
          <w:tcPr>
            <w:tcW w:w="567" w:type="dxa"/>
            <w:shd w:val="clear" w:color="000000" w:fill="FFFFFF"/>
            <w:noWrap/>
            <w:hideMark/>
          </w:tcPr>
          <w:p w14:paraId="0CA35F6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32</w:t>
            </w:r>
          </w:p>
        </w:tc>
        <w:tc>
          <w:tcPr>
            <w:tcW w:w="1559" w:type="dxa"/>
            <w:shd w:val="clear" w:color="000000" w:fill="FFFFFF"/>
            <w:hideMark/>
          </w:tcPr>
          <w:p w14:paraId="728EC688"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F4D2E45" w14:textId="77777777" w:rsidTr="00B518F1">
        <w:trPr>
          <w:trHeight w:val="600"/>
        </w:trPr>
        <w:tc>
          <w:tcPr>
            <w:tcW w:w="1312" w:type="dxa"/>
            <w:shd w:val="clear" w:color="000000" w:fill="FFFFFF"/>
            <w:hideMark/>
          </w:tcPr>
          <w:p w14:paraId="7B03D2A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5CB6547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59D46C9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profoundly changed unreal or strange</w:t>
            </w:r>
          </w:p>
        </w:tc>
        <w:tc>
          <w:tcPr>
            <w:tcW w:w="2268" w:type="dxa"/>
            <w:shd w:val="clear" w:color="000000" w:fill="FFFFFF"/>
            <w:noWrap/>
            <w:hideMark/>
          </w:tcPr>
          <w:p w14:paraId="4555EE1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your familiar surroundings occasionally appeared to be changed, unreal or strange? Or have you ever had the feeling that you were </w:t>
            </w:r>
            <w:r w:rsidRPr="004D46AC">
              <w:rPr>
                <w:rFonts w:eastAsia="Times New Roman"/>
                <w:color w:val="000000"/>
              </w:rPr>
              <w:lastRenderedPageBreak/>
              <w:t>not yourself or that you were unreal or strange to yourself, e.g. When looking in the mirror?</w:t>
            </w:r>
          </w:p>
        </w:tc>
        <w:tc>
          <w:tcPr>
            <w:tcW w:w="567" w:type="dxa"/>
            <w:shd w:val="clear" w:color="000000" w:fill="FFFFFF"/>
            <w:noWrap/>
            <w:hideMark/>
          </w:tcPr>
          <w:p w14:paraId="0C9C968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33</w:t>
            </w:r>
          </w:p>
        </w:tc>
        <w:tc>
          <w:tcPr>
            <w:tcW w:w="1559" w:type="dxa"/>
            <w:shd w:val="clear" w:color="000000" w:fill="FFFFFF"/>
            <w:hideMark/>
          </w:tcPr>
          <w:p w14:paraId="6E481B53"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6372328E" w14:textId="77777777" w:rsidTr="00B518F1">
        <w:trPr>
          <w:trHeight w:val="600"/>
        </w:trPr>
        <w:tc>
          <w:tcPr>
            <w:tcW w:w="1312" w:type="dxa"/>
            <w:shd w:val="clear" w:color="000000" w:fill="FFFFFF"/>
            <w:hideMark/>
          </w:tcPr>
          <w:p w14:paraId="2EF4F54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06730B2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067E8C0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Loss of sense of self</w:t>
            </w:r>
          </w:p>
        </w:tc>
        <w:tc>
          <w:tcPr>
            <w:tcW w:w="2268" w:type="dxa"/>
            <w:shd w:val="clear" w:color="000000" w:fill="FFFFFF"/>
            <w:noWrap/>
            <w:hideMark/>
          </w:tcPr>
          <w:p w14:paraId="3FCF251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your mind is empty?</w:t>
            </w:r>
          </w:p>
        </w:tc>
        <w:tc>
          <w:tcPr>
            <w:tcW w:w="567" w:type="dxa"/>
            <w:shd w:val="clear" w:color="000000" w:fill="FFFFFF"/>
            <w:noWrap/>
            <w:hideMark/>
          </w:tcPr>
          <w:p w14:paraId="08CDB0F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34</w:t>
            </w:r>
          </w:p>
        </w:tc>
        <w:tc>
          <w:tcPr>
            <w:tcW w:w="1559" w:type="dxa"/>
            <w:shd w:val="clear" w:color="000000" w:fill="FFFFFF"/>
            <w:hideMark/>
          </w:tcPr>
          <w:p w14:paraId="560A47D2"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6E4CF01E" w14:textId="77777777" w:rsidTr="00B518F1">
        <w:trPr>
          <w:trHeight w:val="600"/>
        </w:trPr>
        <w:tc>
          <w:tcPr>
            <w:tcW w:w="1312" w:type="dxa"/>
            <w:shd w:val="clear" w:color="000000" w:fill="FFFFFF"/>
            <w:hideMark/>
          </w:tcPr>
          <w:p w14:paraId="2F0A67A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3D38158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w:t>
            </w:r>
            <w:r w:rsidRPr="004D46AC">
              <w:rPr>
                <w:rFonts w:eastAsia="Times New Roman"/>
                <w:color w:val="000000"/>
              </w:rPr>
              <w:br/>
              <w:t>emotions and</w:t>
            </w:r>
            <w:r w:rsidRPr="004D46AC">
              <w:rPr>
                <w:rFonts w:eastAsia="Times New Roman"/>
                <w:color w:val="000000"/>
              </w:rPr>
              <w:br/>
              <w:t>self</w:t>
            </w:r>
          </w:p>
        </w:tc>
        <w:tc>
          <w:tcPr>
            <w:tcW w:w="1312" w:type="dxa"/>
            <w:shd w:val="clear" w:color="000000" w:fill="FFFFFF"/>
            <w:noWrap/>
            <w:hideMark/>
          </w:tcPr>
          <w:p w14:paraId="2B9E2F3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Sense of having no feelings</w:t>
            </w:r>
          </w:p>
        </w:tc>
        <w:tc>
          <w:tcPr>
            <w:tcW w:w="2268" w:type="dxa"/>
            <w:shd w:val="clear" w:color="000000" w:fill="FFFFFF"/>
            <w:noWrap/>
            <w:hideMark/>
          </w:tcPr>
          <w:p w14:paraId="6E86F92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experience few or no emotions at important events?</w:t>
            </w:r>
          </w:p>
        </w:tc>
        <w:tc>
          <w:tcPr>
            <w:tcW w:w="567" w:type="dxa"/>
            <w:shd w:val="clear" w:color="000000" w:fill="FFFFFF"/>
            <w:noWrap/>
            <w:hideMark/>
          </w:tcPr>
          <w:p w14:paraId="4B11E7C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35</w:t>
            </w:r>
          </w:p>
        </w:tc>
        <w:tc>
          <w:tcPr>
            <w:tcW w:w="1559" w:type="dxa"/>
            <w:shd w:val="clear" w:color="000000" w:fill="FFFFFF"/>
            <w:hideMark/>
          </w:tcPr>
          <w:p w14:paraId="08F65CA6"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15C9F6CB" w14:textId="77777777" w:rsidTr="00B518F1">
        <w:trPr>
          <w:trHeight w:val="600"/>
        </w:trPr>
        <w:tc>
          <w:tcPr>
            <w:tcW w:w="1312" w:type="dxa"/>
            <w:shd w:val="clear" w:color="000000" w:fill="FFFFFF"/>
            <w:hideMark/>
          </w:tcPr>
          <w:p w14:paraId="18A4A85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7FDB95D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260FE00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Unable to make sense of familiar phrases</w:t>
            </w:r>
          </w:p>
        </w:tc>
        <w:tc>
          <w:tcPr>
            <w:tcW w:w="2268" w:type="dxa"/>
            <w:shd w:val="clear" w:color="000000" w:fill="FFFFFF"/>
            <w:noWrap/>
            <w:hideMark/>
          </w:tcPr>
          <w:p w14:paraId="4A112EC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sometimes feel that you cannot immediately understand spoken or written words, even though these are familiar to you?</w:t>
            </w:r>
          </w:p>
        </w:tc>
        <w:tc>
          <w:tcPr>
            <w:tcW w:w="567" w:type="dxa"/>
            <w:shd w:val="clear" w:color="000000" w:fill="FFFFFF"/>
            <w:noWrap/>
            <w:hideMark/>
          </w:tcPr>
          <w:p w14:paraId="103B51E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36</w:t>
            </w:r>
          </w:p>
        </w:tc>
        <w:tc>
          <w:tcPr>
            <w:tcW w:w="1559" w:type="dxa"/>
            <w:shd w:val="clear" w:color="000000" w:fill="FFFFFF"/>
            <w:hideMark/>
          </w:tcPr>
          <w:p w14:paraId="4EC279DD" w14:textId="77777777" w:rsidR="007075D9" w:rsidRPr="004D46AC" w:rsidRDefault="007075D9" w:rsidP="002C5F6E">
            <w:pPr>
              <w:spacing w:line="240" w:lineRule="auto"/>
              <w:ind w:firstLine="0"/>
              <w:rPr>
                <w:rFonts w:eastAsia="Times New Roman"/>
                <w:color w:val="000000"/>
              </w:rPr>
            </w:pPr>
            <w:r w:rsidRPr="004D46AC">
              <w:rPr>
                <w:color w:val="000000"/>
              </w:rPr>
              <w:t>PCA</w:t>
            </w:r>
          </w:p>
        </w:tc>
      </w:tr>
      <w:tr w:rsidR="007075D9" w:rsidRPr="004D46AC" w14:paraId="4ED4A904" w14:textId="77777777" w:rsidTr="00B518F1">
        <w:trPr>
          <w:trHeight w:val="600"/>
        </w:trPr>
        <w:tc>
          <w:tcPr>
            <w:tcW w:w="1312" w:type="dxa"/>
            <w:shd w:val="clear" w:color="000000" w:fill="FFFFFF"/>
            <w:hideMark/>
          </w:tcPr>
          <w:p w14:paraId="000D85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21CBB6E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1F3447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Unable to make sense of familiar phrases</w:t>
            </w:r>
          </w:p>
        </w:tc>
        <w:tc>
          <w:tcPr>
            <w:tcW w:w="2268" w:type="dxa"/>
            <w:shd w:val="clear" w:color="000000" w:fill="FFFFFF"/>
            <w:noWrap/>
            <w:hideMark/>
          </w:tcPr>
          <w:p w14:paraId="33A35A1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sometimes catch bits and pieces of conversation that you are then unable to link intelligibly?</w:t>
            </w:r>
          </w:p>
        </w:tc>
        <w:tc>
          <w:tcPr>
            <w:tcW w:w="567" w:type="dxa"/>
            <w:shd w:val="clear" w:color="000000" w:fill="FFFFFF"/>
            <w:noWrap/>
            <w:hideMark/>
          </w:tcPr>
          <w:p w14:paraId="1CC2DB0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37</w:t>
            </w:r>
          </w:p>
        </w:tc>
        <w:tc>
          <w:tcPr>
            <w:tcW w:w="1559" w:type="dxa"/>
            <w:shd w:val="clear" w:color="000000" w:fill="FFFFFF"/>
            <w:hideMark/>
          </w:tcPr>
          <w:p w14:paraId="7A594C65" w14:textId="77777777" w:rsidR="007075D9" w:rsidRPr="004D46AC" w:rsidRDefault="007075D9" w:rsidP="002C5F6E">
            <w:pPr>
              <w:spacing w:line="240" w:lineRule="auto"/>
              <w:ind w:firstLine="0"/>
              <w:rPr>
                <w:rFonts w:eastAsia="Times New Roman"/>
                <w:color w:val="000000"/>
              </w:rPr>
            </w:pPr>
            <w:r w:rsidRPr="004D46AC">
              <w:rPr>
                <w:color w:val="000000"/>
              </w:rPr>
              <w:t>PCA</w:t>
            </w:r>
          </w:p>
        </w:tc>
      </w:tr>
      <w:tr w:rsidR="007075D9" w:rsidRPr="004D46AC" w14:paraId="750003F2" w14:textId="77777777" w:rsidTr="00B518F1">
        <w:trPr>
          <w:trHeight w:val="600"/>
        </w:trPr>
        <w:tc>
          <w:tcPr>
            <w:tcW w:w="1312" w:type="dxa"/>
            <w:shd w:val="clear" w:color="000000" w:fill="FFFFFF"/>
            <w:hideMark/>
          </w:tcPr>
          <w:p w14:paraId="4F64CEB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695A977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5371CCC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Unable to make sense of familiar phrases</w:t>
            </w:r>
          </w:p>
        </w:tc>
        <w:tc>
          <w:tcPr>
            <w:tcW w:w="2268" w:type="dxa"/>
            <w:shd w:val="clear" w:color="000000" w:fill="FFFFFF"/>
            <w:noWrap/>
            <w:hideMark/>
          </w:tcPr>
          <w:p w14:paraId="4FC8F31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 often </w:t>
            </w:r>
            <w:proofErr w:type="gramStart"/>
            <w:r w:rsidRPr="004D46AC">
              <w:rPr>
                <w:rFonts w:eastAsia="Times New Roman"/>
                <w:color w:val="000000"/>
              </w:rPr>
              <w:t>have to</w:t>
            </w:r>
            <w:proofErr w:type="gramEnd"/>
            <w:r w:rsidRPr="004D46AC">
              <w:rPr>
                <w:rFonts w:eastAsia="Times New Roman"/>
                <w:color w:val="000000"/>
              </w:rPr>
              <w:t xml:space="preserve"> reflect over the meaning of very common words.</w:t>
            </w:r>
          </w:p>
        </w:tc>
        <w:tc>
          <w:tcPr>
            <w:tcW w:w="567" w:type="dxa"/>
            <w:shd w:val="clear" w:color="000000" w:fill="FFFFFF"/>
            <w:noWrap/>
            <w:hideMark/>
          </w:tcPr>
          <w:p w14:paraId="6B2361B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38</w:t>
            </w:r>
          </w:p>
        </w:tc>
        <w:tc>
          <w:tcPr>
            <w:tcW w:w="1559" w:type="dxa"/>
            <w:shd w:val="clear" w:color="000000" w:fill="FFFFFF"/>
            <w:hideMark/>
          </w:tcPr>
          <w:p w14:paraId="4767D26A" w14:textId="77777777" w:rsidR="007075D9" w:rsidRPr="004D46AC" w:rsidRDefault="007075D9" w:rsidP="002C5F6E">
            <w:pPr>
              <w:spacing w:line="240" w:lineRule="auto"/>
              <w:ind w:firstLine="0"/>
              <w:rPr>
                <w:rFonts w:eastAsia="Times New Roman"/>
                <w:color w:val="000000"/>
              </w:rPr>
            </w:pPr>
            <w:r w:rsidRPr="004D46AC">
              <w:rPr>
                <w:color w:val="000000"/>
              </w:rPr>
              <w:t>YSR and ESI</w:t>
            </w:r>
          </w:p>
        </w:tc>
      </w:tr>
      <w:tr w:rsidR="007075D9" w:rsidRPr="004D46AC" w14:paraId="113D11FC" w14:textId="77777777" w:rsidTr="00B518F1">
        <w:trPr>
          <w:trHeight w:val="600"/>
        </w:trPr>
        <w:tc>
          <w:tcPr>
            <w:tcW w:w="1312" w:type="dxa"/>
            <w:shd w:val="clear" w:color="000000" w:fill="FFFFFF"/>
            <w:hideMark/>
          </w:tcPr>
          <w:p w14:paraId="1CA45A2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6823016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21F99C9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Unable to make sense of familiar phrases</w:t>
            </w:r>
          </w:p>
        </w:tc>
        <w:tc>
          <w:tcPr>
            <w:tcW w:w="2268" w:type="dxa"/>
            <w:shd w:val="clear" w:color="000000" w:fill="FFFFFF"/>
            <w:noWrap/>
            <w:hideMark/>
          </w:tcPr>
          <w:p w14:paraId="7FF9345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If someone speaks with long sentences, I have difficulties to grasp the meaning correctly.</w:t>
            </w:r>
          </w:p>
        </w:tc>
        <w:tc>
          <w:tcPr>
            <w:tcW w:w="567" w:type="dxa"/>
            <w:shd w:val="clear" w:color="000000" w:fill="FFFFFF"/>
            <w:noWrap/>
            <w:hideMark/>
          </w:tcPr>
          <w:p w14:paraId="165974C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39</w:t>
            </w:r>
          </w:p>
        </w:tc>
        <w:tc>
          <w:tcPr>
            <w:tcW w:w="1559" w:type="dxa"/>
            <w:shd w:val="clear" w:color="000000" w:fill="FFFFFF"/>
            <w:hideMark/>
          </w:tcPr>
          <w:p w14:paraId="00E2A0BD" w14:textId="77777777" w:rsidR="007075D9" w:rsidRPr="004D46AC" w:rsidRDefault="007075D9" w:rsidP="002C5F6E">
            <w:pPr>
              <w:spacing w:line="240" w:lineRule="auto"/>
              <w:ind w:firstLine="0"/>
              <w:rPr>
                <w:rFonts w:eastAsia="Times New Roman"/>
                <w:color w:val="000000"/>
              </w:rPr>
            </w:pPr>
            <w:r w:rsidRPr="004D46AC">
              <w:rPr>
                <w:color w:val="000000"/>
              </w:rPr>
              <w:t>ESI and EDPCC</w:t>
            </w:r>
          </w:p>
        </w:tc>
      </w:tr>
      <w:tr w:rsidR="007075D9" w:rsidRPr="004D46AC" w14:paraId="5C61F0C9" w14:textId="77777777" w:rsidTr="00B518F1">
        <w:trPr>
          <w:trHeight w:val="600"/>
        </w:trPr>
        <w:tc>
          <w:tcPr>
            <w:tcW w:w="1312" w:type="dxa"/>
            <w:shd w:val="clear" w:color="000000" w:fill="FFFFFF"/>
            <w:hideMark/>
          </w:tcPr>
          <w:p w14:paraId="6EE7A12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471F1C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0F8C47E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Unable to make sense of familiar phrases</w:t>
            </w:r>
          </w:p>
        </w:tc>
        <w:tc>
          <w:tcPr>
            <w:tcW w:w="2268" w:type="dxa"/>
            <w:shd w:val="clear" w:color="000000" w:fill="FFFFFF"/>
            <w:noWrap/>
            <w:hideMark/>
          </w:tcPr>
          <w:p w14:paraId="13B0262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If someone speaks to me, I often have trouble grasping the meaning of the words correctly.</w:t>
            </w:r>
          </w:p>
        </w:tc>
        <w:tc>
          <w:tcPr>
            <w:tcW w:w="567" w:type="dxa"/>
            <w:shd w:val="clear" w:color="000000" w:fill="FFFFFF"/>
            <w:noWrap/>
            <w:hideMark/>
          </w:tcPr>
          <w:p w14:paraId="67B4F5A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40</w:t>
            </w:r>
          </w:p>
        </w:tc>
        <w:tc>
          <w:tcPr>
            <w:tcW w:w="1559" w:type="dxa"/>
            <w:shd w:val="clear" w:color="000000" w:fill="FFFFFF"/>
            <w:hideMark/>
          </w:tcPr>
          <w:p w14:paraId="2440935C" w14:textId="77777777" w:rsidR="007075D9" w:rsidRPr="004D46AC" w:rsidRDefault="007075D9" w:rsidP="002C5F6E">
            <w:pPr>
              <w:spacing w:line="240" w:lineRule="auto"/>
              <w:ind w:firstLine="0"/>
              <w:rPr>
                <w:rFonts w:eastAsia="Times New Roman"/>
                <w:color w:val="000000"/>
              </w:rPr>
            </w:pPr>
            <w:r w:rsidRPr="004D46AC">
              <w:rPr>
                <w:color w:val="000000"/>
              </w:rPr>
              <w:t>ESI</w:t>
            </w:r>
          </w:p>
        </w:tc>
      </w:tr>
      <w:tr w:rsidR="007075D9" w:rsidRPr="004D46AC" w14:paraId="491A71F0" w14:textId="77777777" w:rsidTr="00B518F1">
        <w:trPr>
          <w:trHeight w:val="600"/>
        </w:trPr>
        <w:tc>
          <w:tcPr>
            <w:tcW w:w="1312" w:type="dxa"/>
            <w:shd w:val="clear" w:color="000000" w:fill="FFFFFF"/>
            <w:hideMark/>
          </w:tcPr>
          <w:p w14:paraId="345F29F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41DA6FA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73FA41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Unable to make sense of familiar phrases</w:t>
            </w:r>
          </w:p>
        </w:tc>
        <w:tc>
          <w:tcPr>
            <w:tcW w:w="2268" w:type="dxa"/>
            <w:shd w:val="clear" w:color="000000" w:fill="FFFFFF"/>
            <w:noWrap/>
            <w:hideMark/>
          </w:tcPr>
          <w:p w14:paraId="62C19AF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Common words sometimes seem to have a </w:t>
            </w:r>
            <w:proofErr w:type="gramStart"/>
            <w:r w:rsidRPr="004D46AC">
              <w:rPr>
                <w:rFonts w:eastAsia="Times New Roman"/>
                <w:color w:val="000000"/>
              </w:rPr>
              <w:t>peculiar strange</w:t>
            </w:r>
            <w:proofErr w:type="gramEnd"/>
            <w:r w:rsidRPr="004D46AC">
              <w:rPr>
                <w:rFonts w:eastAsia="Times New Roman"/>
                <w:color w:val="000000"/>
              </w:rPr>
              <w:t xml:space="preserve"> meaning.</w:t>
            </w:r>
          </w:p>
        </w:tc>
        <w:tc>
          <w:tcPr>
            <w:tcW w:w="567" w:type="dxa"/>
            <w:shd w:val="clear" w:color="000000" w:fill="FFFFFF"/>
            <w:noWrap/>
            <w:hideMark/>
          </w:tcPr>
          <w:p w14:paraId="3861CCE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41</w:t>
            </w:r>
          </w:p>
        </w:tc>
        <w:tc>
          <w:tcPr>
            <w:tcW w:w="1559" w:type="dxa"/>
            <w:shd w:val="clear" w:color="000000" w:fill="FFFFFF"/>
            <w:hideMark/>
          </w:tcPr>
          <w:p w14:paraId="1AFF2425" w14:textId="77777777" w:rsidR="007075D9" w:rsidRPr="004D46AC" w:rsidRDefault="007075D9" w:rsidP="002C5F6E">
            <w:pPr>
              <w:spacing w:line="240" w:lineRule="auto"/>
              <w:ind w:firstLine="0"/>
              <w:rPr>
                <w:rFonts w:eastAsia="Times New Roman"/>
                <w:color w:val="000000"/>
              </w:rPr>
            </w:pPr>
            <w:r w:rsidRPr="004D46AC">
              <w:rPr>
                <w:color w:val="000000"/>
              </w:rPr>
              <w:t>ESI</w:t>
            </w:r>
          </w:p>
        </w:tc>
      </w:tr>
      <w:tr w:rsidR="007075D9" w:rsidRPr="004D46AC" w14:paraId="7B278611" w14:textId="77777777" w:rsidTr="00B518F1">
        <w:trPr>
          <w:trHeight w:val="600"/>
        </w:trPr>
        <w:tc>
          <w:tcPr>
            <w:tcW w:w="1312" w:type="dxa"/>
            <w:shd w:val="clear" w:color="000000" w:fill="FFFFFF"/>
            <w:hideMark/>
          </w:tcPr>
          <w:p w14:paraId="1691DD8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74EB651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0593262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Difficulty performing role functions</w:t>
            </w:r>
          </w:p>
        </w:tc>
        <w:tc>
          <w:tcPr>
            <w:tcW w:w="2268" w:type="dxa"/>
            <w:shd w:val="clear" w:color="000000" w:fill="FFFFFF"/>
            <w:noWrap/>
            <w:hideMark/>
          </w:tcPr>
          <w:p w14:paraId="792AD87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been in danger of failing out of school, or of being fired from my job</w:t>
            </w:r>
          </w:p>
        </w:tc>
        <w:tc>
          <w:tcPr>
            <w:tcW w:w="567" w:type="dxa"/>
            <w:shd w:val="clear" w:color="000000" w:fill="FFFFFF"/>
            <w:noWrap/>
            <w:hideMark/>
          </w:tcPr>
          <w:p w14:paraId="7BBF3F9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42</w:t>
            </w:r>
          </w:p>
        </w:tc>
        <w:tc>
          <w:tcPr>
            <w:tcW w:w="1559" w:type="dxa"/>
            <w:shd w:val="clear" w:color="000000" w:fill="FFFFFF"/>
            <w:hideMark/>
          </w:tcPr>
          <w:p w14:paraId="72F6A512"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23F3C381" w14:textId="77777777" w:rsidTr="00B518F1">
        <w:trPr>
          <w:trHeight w:val="600"/>
        </w:trPr>
        <w:tc>
          <w:tcPr>
            <w:tcW w:w="1312" w:type="dxa"/>
            <w:shd w:val="clear" w:color="000000" w:fill="FFFFFF"/>
            <w:hideMark/>
          </w:tcPr>
          <w:p w14:paraId="364F34F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17B0764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67B717C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Difficulty performing </w:t>
            </w:r>
            <w:r w:rsidRPr="004D46AC">
              <w:rPr>
                <w:rFonts w:eastAsia="Times New Roman"/>
                <w:color w:val="000000"/>
              </w:rPr>
              <w:lastRenderedPageBreak/>
              <w:t>role functions</w:t>
            </w:r>
          </w:p>
        </w:tc>
        <w:tc>
          <w:tcPr>
            <w:tcW w:w="2268" w:type="dxa"/>
            <w:shd w:val="clear" w:color="000000" w:fill="FFFFFF"/>
            <w:noWrap/>
            <w:hideMark/>
          </w:tcPr>
          <w:p w14:paraId="761802C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 xml:space="preserve">Marked decline in performance, </w:t>
            </w:r>
            <w:r w:rsidRPr="004D46AC">
              <w:rPr>
                <w:rFonts w:eastAsia="Times New Roman"/>
                <w:color w:val="000000"/>
              </w:rPr>
              <w:lastRenderedPageBreak/>
              <w:t>possibly with difficulties at work or school</w:t>
            </w:r>
          </w:p>
        </w:tc>
        <w:tc>
          <w:tcPr>
            <w:tcW w:w="567" w:type="dxa"/>
            <w:shd w:val="clear" w:color="000000" w:fill="FFFFFF"/>
            <w:noWrap/>
            <w:hideMark/>
          </w:tcPr>
          <w:p w14:paraId="122FBC8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43</w:t>
            </w:r>
          </w:p>
        </w:tc>
        <w:tc>
          <w:tcPr>
            <w:tcW w:w="1559" w:type="dxa"/>
            <w:shd w:val="clear" w:color="000000" w:fill="FFFFFF"/>
            <w:hideMark/>
          </w:tcPr>
          <w:p w14:paraId="4C6042E9"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4723635F" w14:textId="77777777" w:rsidTr="00B518F1">
        <w:trPr>
          <w:trHeight w:val="600"/>
        </w:trPr>
        <w:tc>
          <w:tcPr>
            <w:tcW w:w="1312" w:type="dxa"/>
            <w:shd w:val="clear" w:color="000000" w:fill="FFFFFF"/>
            <w:hideMark/>
          </w:tcPr>
          <w:p w14:paraId="59A0040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6AC85EE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23EDD19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Difficulty performing role functions</w:t>
            </w:r>
          </w:p>
        </w:tc>
        <w:tc>
          <w:tcPr>
            <w:tcW w:w="2268" w:type="dxa"/>
            <w:shd w:val="clear" w:color="000000" w:fill="FFFFFF"/>
            <w:noWrap/>
            <w:hideMark/>
          </w:tcPr>
          <w:p w14:paraId="758F13B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become significantly less persistent, motivated or productive at work, school, in your studies, occupational training, search for work? Has your performance deteriorated?</w:t>
            </w:r>
          </w:p>
        </w:tc>
        <w:tc>
          <w:tcPr>
            <w:tcW w:w="567" w:type="dxa"/>
            <w:shd w:val="clear" w:color="000000" w:fill="FFFFFF"/>
            <w:noWrap/>
            <w:hideMark/>
          </w:tcPr>
          <w:p w14:paraId="0CF4C06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44</w:t>
            </w:r>
          </w:p>
        </w:tc>
        <w:tc>
          <w:tcPr>
            <w:tcW w:w="1559" w:type="dxa"/>
            <w:shd w:val="clear" w:color="000000" w:fill="FFFFFF"/>
            <w:hideMark/>
          </w:tcPr>
          <w:p w14:paraId="248616BF"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58DC52D6" w14:textId="77777777" w:rsidTr="00B518F1">
        <w:trPr>
          <w:trHeight w:val="600"/>
        </w:trPr>
        <w:tc>
          <w:tcPr>
            <w:tcW w:w="1312" w:type="dxa"/>
            <w:shd w:val="clear" w:color="000000" w:fill="FFFFFF"/>
            <w:hideMark/>
          </w:tcPr>
          <w:p w14:paraId="33A8000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Negative </w:t>
            </w:r>
          </w:p>
        </w:tc>
        <w:tc>
          <w:tcPr>
            <w:tcW w:w="1312" w:type="dxa"/>
            <w:shd w:val="clear" w:color="000000" w:fill="FFFFFF"/>
            <w:hideMark/>
          </w:tcPr>
          <w:p w14:paraId="4F155E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Ideational </w:t>
            </w:r>
            <w:r w:rsidRPr="004D46AC">
              <w:rPr>
                <w:rFonts w:eastAsia="Times New Roman"/>
                <w:color w:val="000000"/>
              </w:rPr>
              <w:br/>
              <w:t>richness</w:t>
            </w:r>
          </w:p>
        </w:tc>
        <w:tc>
          <w:tcPr>
            <w:tcW w:w="1312" w:type="dxa"/>
            <w:shd w:val="clear" w:color="000000" w:fill="FFFFFF"/>
            <w:noWrap/>
            <w:hideMark/>
          </w:tcPr>
          <w:p w14:paraId="01D2DA0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Difficulty in productive relationships at work or school</w:t>
            </w:r>
          </w:p>
        </w:tc>
        <w:tc>
          <w:tcPr>
            <w:tcW w:w="2268" w:type="dxa"/>
            <w:shd w:val="clear" w:color="000000" w:fill="FFFFFF"/>
            <w:noWrap/>
            <w:hideMark/>
          </w:tcPr>
          <w:p w14:paraId="11020A4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not gotten along well with people at school or at work</w:t>
            </w:r>
          </w:p>
        </w:tc>
        <w:tc>
          <w:tcPr>
            <w:tcW w:w="567" w:type="dxa"/>
            <w:shd w:val="clear" w:color="000000" w:fill="FFFFFF"/>
            <w:noWrap/>
            <w:hideMark/>
          </w:tcPr>
          <w:p w14:paraId="1650AB8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45</w:t>
            </w:r>
          </w:p>
        </w:tc>
        <w:tc>
          <w:tcPr>
            <w:tcW w:w="1559" w:type="dxa"/>
            <w:shd w:val="clear" w:color="000000" w:fill="FFFFFF"/>
            <w:hideMark/>
          </w:tcPr>
          <w:p w14:paraId="2FCFFAFC"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09081D4" w14:textId="77777777" w:rsidTr="00B518F1">
        <w:trPr>
          <w:trHeight w:val="600"/>
        </w:trPr>
        <w:tc>
          <w:tcPr>
            <w:tcW w:w="1312" w:type="dxa"/>
            <w:shd w:val="clear" w:color="000000" w:fill="FFFFFF"/>
            <w:hideMark/>
          </w:tcPr>
          <w:p w14:paraId="1762CBE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4435804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Impairment </w:t>
            </w:r>
            <w:r w:rsidRPr="004D46AC">
              <w:rPr>
                <w:rFonts w:eastAsia="Times New Roman"/>
                <w:color w:val="000000"/>
              </w:rPr>
              <w:br/>
              <w:t>in personal hygiene</w:t>
            </w:r>
          </w:p>
        </w:tc>
        <w:tc>
          <w:tcPr>
            <w:tcW w:w="1312" w:type="dxa"/>
            <w:shd w:val="clear" w:color="000000" w:fill="FFFFFF"/>
            <w:noWrap/>
            <w:hideMark/>
          </w:tcPr>
          <w:p w14:paraId="53866347" w14:textId="77777777" w:rsidR="007075D9" w:rsidRPr="004D46AC" w:rsidRDefault="007075D9" w:rsidP="002C5F6E">
            <w:pPr>
              <w:spacing w:line="240" w:lineRule="auto"/>
              <w:ind w:firstLine="0"/>
              <w:rPr>
                <w:rFonts w:eastAsia="Times New Roman"/>
                <w:color w:val="000000"/>
              </w:rPr>
            </w:pPr>
            <w:proofErr w:type="spellStart"/>
            <w:r w:rsidRPr="004D46AC">
              <w:rPr>
                <w:rFonts w:eastAsia="Times New Roman"/>
                <w:color w:val="000000"/>
              </w:rPr>
              <w:t>Self neglect</w:t>
            </w:r>
            <w:proofErr w:type="spellEnd"/>
          </w:p>
        </w:tc>
        <w:tc>
          <w:tcPr>
            <w:tcW w:w="2268" w:type="dxa"/>
            <w:shd w:val="clear" w:color="000000" w:fill="FFFFFF"/>
            <w:noWrap/>
            <w:hideMark/>
          </w:tcPr>
          <w:p w14:paraId="659B8BE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noticed that I am less interested than I used to be in keeping clean or dressing well</w:t>
            </w:r>
          </w:p>
        </w:tc>
        <w:tc>
          <w:tcPr>
            <w:tcW w:w="567" w:type="dxa"/>
            <w:shd w:val="clear" w:color="000000" w:fill="FFFFFF"/>
            <w:noWrap/>
            <w:hideMark/>
          </w:tcPr>
          <w:p w14:paraId="1B54344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46</w:t>
            </w:r>
          </w:p>
        </w:tc>
        <w:tc>
          <w:tcPr>
            <w:tcW w:w="1559" w:type="dxa"/>
            <w:shd w:val="clear" w:color="000000" w:fill="FFFFFF"/>
            <w:hideMark/>
          </w:tcPr>
          <w:p w14:paraId="08675E12"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401A0FDA" w14:textId="77777777" w:rsidTr="00B518F1">
        <w:trPr>
          <w:trHeight w:val="600"/>
        </w:trPr>
        <w:tc>
          <w:tcPr>
            <w:tcW w:w="1312" w:type="dxa"/>
            <w:shd w:val="clear" w:color="000000" w:fill="FFFFFF"/>
            <w:hideMark/>
          </w:tcPr>
          <w:p w14:paraId="42D158B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74452EE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Impairment </w:t>
            </w:r>
            <w:r w:rsidRPr="004D46AC">
              <w:rPr>
                <w:rFonts w:eastAsia="Times New Roman"/>
                <w:color w:val="000000"/>
              </w:rPr>
              <w:br/>
              <w:t>in personal hygiene</w:t>
            </w:r>
          </w:p>
        </w:tc>
        <w:tc>
          <w:tcPr>
            <w:tcW w:w="1312" w:type="dxa"/>
            <w:shd w:val="clear" w:color="000000" w:fill="FFFFFF"/>
            <w:noWrap/>
            <w:hideMark/>
          </w:tcPr>
          <w:p w14:paraId="1D248792" w14:textId="77777777" w:rsidR="007075D9" w:rsidRPr="004D46AC" w:rsidRDefault="007075D9" w:rsidP="002C5F6E">
            <w:pPr>
              <w:spacing w:line="240" w:lineRule="auto"/>
              <w:ind w:firstLine="0"/>
              <w:rPr>
                <w:rFonts w:eastAsia="Times New Roman"/>
                <w:color w:val="000000"/>
              </w:rPr>
            </w:pPr>
            <w:proofErr w:type="spellStart"/>
            <w:r w:rsidRPr="004D46AC">
              <w:rPr>
                <w:rFonts w:eastAsia="Times New Roman"/>
                <w:color w:val="000000"/>
              </w:rPr>
              <w:t>Self neglect</w:t>
            </w:r>
            <w:proofErr w:type="spellEnd"/>
          </w:p>
        </w:tc>
        <w:tc>
          <w:tcPr>
            <w:tcW w:w="2268" w:type="dxa"/>
            <w:shd w:val="clear" w:color="000000" w:fill="FFFFFF"/>
            <w:noWrap/>
            <w:hideMark/>
          </w:tcPr>
          <w:p w14:paraId="1D719C1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neglecting your appearance or personal hygiene?</w:t>
            </w:r>
          </w:p>
        </w:tc>
        <w:tc>
          <w:tcPr>
            <w:tcW w:w="567" w:type="dxa"/>
            <w:shd w:val="clear" w:color="000000" w:fill="FFFFFF"/>
            <w:noWrap/>
            <w:hideMark/>
          </w:tcPr>
          <w:p w14:paraId="2A7D229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47</w:t>
            </w:r>
          </w:p>
        </w:tc>
        <w:tc>
          <w:tcPr>
            <w:tcW w:w="1559" w:type="dxa"/>
            <w:shd w:val="clear" w:color="000000" w:fill="FFFFFF"/>
            <w:hideMark/>
          </w:tcPr>
          <w:p w14:paraId="1DA4388C"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551A55E5" w14:textId="77777777" w:rsidTr="00B518F1">
        <w:trPr>
          <w:trHeight w:val="600"/>
        </w:trPr>
        <w:tc>
          <w:tcPr>
            <w:tcW w:w="1312" w:type="dxa"/>
            <w:shd w:val="clear" w:color="000000" w:fill="FFFFFF"/>
            <w:hideMark/>
          </w:tcPr>
          <w:p w14:paraId="42DEF27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noWrap/>
            <w:hideMark/>
          </w:tcPr>
          <w:p w14:paraId="7E098C8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Bizarre thinking</w:t>
            </w:r>
          </w:p>
        </w:tc>
        <w:tc>
          <w:tcPr>
            <w:tcW w:w="1312" w:type="dxa"/>
            <w:shd w:val="clear" w:color="000000" w:fill="FFFFFF"/>
            <w:noWrap/>
            <w:hideMark/>
          </w:tcPr>
          <w:p w14:paraId="4F60550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Strange, fantastic or bizarre ideas</w:t>
            </w:r>
          </w:p>
        </w:tc>
        <w:tc>
          <w:tcPr>
            <w:tcW w:w="2268" w:type="dxa"/>
            <w:shd w:val="clear" w:color="000000" w:fill="FFFFFF"/>
            <w:noWrap/>
            <w:hideMark/>
          </w:tcPr>
          <w:p w14:paraId="3DAAECD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Feelings, thoughts or behaviours that could be considered weird or peculiar</w:t>
            </w:r>
          </w:p>
        </w:tc>
        <w:tc>
          <w:tcPr>
            <w:tcW w:w="567" w:type="dxa"/>
            <w:shd w:val="clear" w:color="000000" w:fill="FFFFFF"/>
            <w:noWrap/>
            <w:hideMark/>
          </w:tcPr>
          <w:p w14:paraId="614D0B9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48</w:t>
            </w:r>
          </w:p>
        </w:tc>
        <w:tc>
          <w:tcPr>
            <w:tcW w:w="1559" w:type="dxa"/>
            <w:shd w:val="clear" w:color="000000" w:fill="FFFFFF"/>
            <w:hideMark/>
          </w:tcPr>
          <w:p w14:paraId="63C34426" w14:textId="77777777" w:rsidR="007075D9" w:rsidRPr="004D46AC" w:rsidRDefault="007075D9" w:rsidP="002C5F6E">
            <w:pPr>
              <w:spacing w:line="240" w:lineRule="auto"/>
              <w:ind w:firstLine="0"/>
              <w:rPr>
                <w:rFonts w:eastAsia="Times New Roman"/>
                <w:color w:val="000000"/>
              </w:rPr>
            </w:pPr>
            <w:r w:rsidRPr="004D46AC">
              <w:rPr>
                <w:color w:val="000000"/>
              </w:rPr>
              <w:t>PROD-screen</w:t>
            </w:r>
          </w:p>
        </w:tc>
      </w:tr>
      <w:tr w:rsidR="007075D9" w:rsidRPr="004D46AC" w14:paraId="50AC9DD7" w14:textId="77777777" w:rsidTr="00B518F1">
        <w:trPr>
          <w:trHeight w:val="600"/>
        </w:trPr>
        <w:tc>
          <w:tcPr>
            <w:tcW w:w="1312" w:type="dxa"/>
            <w:shd w:val="clear" w:color="000000" w:fill="FFFFFF"/>
            <w:hideMark/>
          </w:tcPr>
          <w:p w14:paraId="6E5E28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noWrap/>
            <w:hideMark/>
          </w:tcPr>
          <w:p w14:paraId="2D392FF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Bizarre thinking</w:t>
            </w:r>
          </w:p>
        </w:tc>
        <w:tc>
          <w:tcPr>
            <w:tcW w:w="1312" w:type="dxa"/>
            <w:shd w:val="clear" w:color="000000" w:fill="FFFFFF"/>
            <w:noWrap/>
            <w:hideMark/>
          </w:tcPr>
          <w:p w14:paraId="05F16E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Strange, fantastic or bizarre ideas</w:t>
            </w:r>
          </w:p>
        </w:tc>
        <w:tc>
          <w:tcPr>
            <w:tcW w:w="2268" w:type="dxa"/>
            <w:shd w:val="clear" w:color="000000" w:fill="FFFFFF"/>
            <w:noWrap/>
            <w:hideMark/>
          </w:tcPr>
          <w:p w14:paraId="1A1D43B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People have said that my ideas were strange or illogical</w:t>
            </w:r>
          </w:p>
        </w:tc>
        <w:tc>
          <w:tcPr>
            <w:tcW w:w="567" w:type="dxa"/>
            <w:shd w:val="clear" w:color="000000" w:fill="FFFFFF"/>
            <w:noWrap/>
            <w:hideMark/>
          </w:tcPr>
          <w:p w14:paraId="6FBC7FC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49</w:t>
            </w:r>
          </w:p>
        </w:tc>
        <w:tc>
          <w:tcPr>
            <w:tcW w:w="1559" w:type="dxa"/>
            <w:shd w:val="clear" w:color="000000" w:fill="FFFFFF"/>
            <w:hideMark/>
          </w:tcPr>
          <w:p w14:paraId="2D7DDDA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F17044B" w14:textId="77777777" w:rsidTr="00B518F1">
        <w:trPr>
          <w:trHeight w:val="600"/>
        </w:trPr>
        <w:tc>
          <w:tcPr>
            <w:tcW w:w="1312" w:type="dxa"/>
            <w:shd w:val="clear" w:color="000000" w:fill="FFFFFF"/>
            <w:hideMark/>
          </w:tcPr>
          <w:p w14:paraId="093022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noWrap/>
            <w:hideMark/>
          </w:tcPr>
          <w:p w14:paraId="16BA19C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Bizarre thinking</w:t>
            </w:r>
          </w:p>
        </w:tc>
        <w:tc>
          <w:tcPr>
            <w:tcW w:w="1312" w:type="dxa"/>
            <w:shd w:val="clear" w:color="000000" w:fill="FFFFFF"/>
            <w:noWrap/>
            <w:hideMark/>
          </w:tcPr>
          <w:p w14:paraId="7C7AA12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Strange, fantastic or bizarre ideas</w:t>
            </w:r>
          </w:p>
        </w:tc>
        <w:tc>
          <w:tcPr>
            <w:tcW w:w="2268" w:type="dxa"/>
            <w:shd w:val="clear" w:color="000000" w:fill="FFFFFF"/>
            <w:noWrap/>
            <w:hideMark/>
          </w:tcPr>
          <w:p w14:paraId="0786580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My thinking has felt confused, muddled, or disturbed in some way*</w:t>
            </w:r>
          </w:p>
        </w:tc>
        <w:tc>
          <w:tcPr>
            <w:tcW w:w="567" w:type="dxa"/>
            <w:shd w:val="clear" w:color="000000" w:fill="FFFFFF"/>
            <w:noWrap/>
            <w:hideMark/>
          </w:tcPr>
          <w:p w14:paraId="47EBB0D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50</w:t>
            </w:r>
          </w:p>
        </w:tc>
        <w:tc>
          <w:tcPr>
            <w:tcW w:w="1559" w:type="dxa"/>
            <w:shd w:val="clear" w:color="000000" w:fill="FFFFFF"/>
            <w:hideMark/>
          </w:tcPr>
          <w:p w14:paraId="37EB75E8"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804797A" w14:textId="77777777" w:rsidTr="00B518F1">
        <w:trPr>
          <w:trHeight w:val="600"/>
        </w:trPr>
        <w:tc>
          <w:tcPr>
            <w:tcW w:w="1312" w:type="dxa"/>
            <w:shd w:val="clear" w:color="000000" w:fill="FFFFFF"/>
            <w:hideMark/>
          </w:tcPr>
          <w:p w14:paraId="110CA83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noWrap/>
            <w:hideMark/>
          </w:tcPr>
          <w:p w14:paraId="2D9ECA5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Bizarre thinking</w:t>
            </w:r>
          </w:p>
        </w:tc>
        <w:tc>
          <w:tcPr>
            <w:tcW w:w="1312" w:type="dxa"/>
            <w:shd w:val="clear" w:color="000000" w:fill="FFFFFF"/>
            <w:noWrap/>
            <w:hideMark/>
          </w:tcPr>
          <w:p w14:paraId="3FC5E6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Strange, fantastic or bizarre ideas</w:t>
            </w:r>
          </w:p>
        </w:tc>
        <w:tc>
          <w:tcPr>
            <w:tcW w:w="2268" w:type="dxa"/>
            <w:shd w:val="clear" w:color="000000" w:fill="FFFFFF"/>
            <w:noWrap/>
            <w:hideMark/>
          </w:tcPr>
          <w:p w14:paraId="262D01E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sometimes have too many thoughts going through your head without any connection between them?</w:t>
            </w:r>
          </w:p>
        </w:tc>
        <w:tc>
          <w:tcPr>
            <w:tcW w:w="567" w:type="dxa"/>
            <w:shd w:val="clear" w:color="000000" w:fill="FFFFFF"/>
            <w:noWrap/>
            <w:hideMark/>
          </w:tcPr>
          <w:p w14:paraId="27AEF8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51</w:t>
            </w:r>
          </w:p>
        </w:tc>
        <w:tc>
          <w:tcPr>
            <w:tcW w:w="1559" w:type="dxa"/>
            <w:shd w:val="clear" w:color="000000" w:fill="FFFFFF"/>
            <w:hideMark/>
          </w:tcPr>
          <w:p w14:paraId="7E748AF9" w14:textId="77777777" w:rsidR="007075D9" w:rsidRPr="004D46AC" w:rsidRDefault="007075D9" w:rsidP="002C5F6E">
            <w:pPr>
              <w:spacing w:line="240" w:lineRule="auto"/>
              <w:ind w:firstLine="0"/>
              <w:rPr>
                <w:rFonts w:eastAsia="Times New Roman"/>
                <w:color w:val="000000"/>
              </w:rPr>
            </w:pPr>
            <w:r w:rsidRPr="004D46AC">
              <w:rPr>
                <w:color w:val="000000"/>
              </w:rPr>
              <w:t>PCA</w:t>
            </w:r>
          </w:p>
        </w:tc>
      </w:tr>
      <w:tr w:rsidR="007075D9" w:rsidRPr="004D46AC" w14:paraId="7BEBB494" w14:textId="77777777" w:rsidTr="00B518F1">
        <w:trPr>
          <w:trHeight w:val="600"/>
        </w:trPr>
        <w:tc>
          <w:tcPr>
            <w:tcW w:w="1312" w:type="dxa"/>
            <w:shd w:val="clear" w:color="000000" w:fill="FFFFFF"/>
            <w:hideMark/>
          </w:tcPr>
          <w:p w14:paraId="3EB5237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noWrap/>
            <w:hideMark/>
          </w:tcPr>
          <w:p w14:paraId="461DBC5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Bizarre thinking</w:t>
            </w:r>
          </w:p>
        </w:tc>
        <w:tc>
          <w:tcPr>
            <w:tcW w:w="1312" w:type="dxa"/>
            <w:shd w:val="clear" w:color="000000" w:fill="FFFFFF"/>
            <w:noWrap/>
            <w:hideMark/>
          </w:tcPr>
          <w:p w14:paraId="7DCFD72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Strange, fantastic or bizarre ideas</w:t>
            </w:r>
          </w:p>
        </w:tc>
        <w:tc>
          <w:tcPr>
            <w:tcW w:w="2268" w:type="dxa"/>
            <w:shd w:val="clear" w:color="000000" w:fill="FFFFFF"/>
            <w:noWrap/>
            <w:hideMark/>
          </w:tcPr>
          <w:p w14:paraId="297D18A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thoughts that other people would think are strange</w:t>
            </w:r>
          </w:p>
        </w:tc>
        <w:tc>
          <w:tcPr>
            <w:tcW w:w="567" w:type="dxa"/>
            <w:shd w:val="clear" w:color="000000" w:fill="FFFFFF"/>
            <w:noWrap/>
            <w:hideMark/>
          </w:tcPr>
          <w:p w14:paraId="3F27AEB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52</w:t>
            </w:r>
          </w:p>
        </w:tc>
        <w:tc>
          <w:tcPr>
            <w:tcW w:w="1559" w:type="dxa"/>
            <w:shd w:val="clear" w:color="000000" w:fill="FFFFFF"/>
            <w:hideMark/>
          </w:tcPr>
          <w:p w14:paraId="70655E9E"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21B66BF0" w14:textId="77777777" w:rsidTr="00B518F1">
        <w:trPr>
          <w:trHeight w:val="600"/>
        </w:trPr>
        <w:tc>
          <w:tcPr>
            <w:tcW w:w="1312" w:type="dxa"/>
            <w:shd w:val="clear" w:color="000000" w:fill="FFFFFF"/>
            <w:hideMark/>
          </w:tcPr>
          <w:p w14:paraId="1C7B823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4940040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r>
            <w:r w:rsidRPr="004D46AC">
              <w:rPr>
                <w:rFonts w:eastAsia="Times New Roman"/>
                <w:color w:val="000000"/>
              </w:rPr>
              <w:lastRenderedPageBreak/>
              <w:t xml:space="preserve">and </w:t>
            </w:r>
            <w:r w:rsidRPr="004D46AC">
              <w:rPr>
                <w:rFonts w:eastAsia="Times New Roman"/>
                <w:color w:val="000000"/>
              </w:rPr>
              <w:br/>
              <w:t>attention</w:t>
            </w:r>
          </w:p>
        </w:tc>
        <w:tc>
          <w:tcPr>
            <w:tcW w:w="1312" w:type="dxa"/>
            <w:shd w:val="clear" w:color="000000" w:fill="FFFFFF"/>
            <w:noWrap/>
            <w:hideMark/>
          </w:tcPr>
          <w:p w14:paraId="37E6436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 xml:space="preserve">Trouble with short </w:t>
            </w:r>
            <w:r w:rsidRPr="004D46AC">
              <w:rPr>
                <w:rFonts w:eastAsia="Times New Roman"/>
                <w:color w:val="000000"/>
              </w:rPr>
              <w:lastRenderedPageBreak/>
              <w:t>term memory</w:t>
            </w:r>
          </w:p>
        </w:tc>
        <w:tc>
          <w:tcPr>
            <w:tcW w:w="2268" w:type="dxa"/>
            <w:shd w:val="clear" w:color="000000" w:fill="FFFFFF"/>
            <w:noWrap/>
            <w:hideMark/>
          </w:tcPr>
          <w:p w14:paraId="17B574C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I have had trouble remembering things</w:t>
            </w:r>
          </w:p>
        </w:tc>
        <w:tc>
          <w:tcPr>
            <w:tcW w:w="567" w:type="dxa"/>
            <w:shd w:val="clear" w:color="000000" w:fill="FFFFFF"/>
            <w:noWrap/>
            <w:hideMark/>
          </w:tcPr>
          <w:p w14:paraId="274CE6E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53</w:t>
            </w:r>
          </w:p>
        </w:tc>
        <w:tc>
          <w:tcPr>
            <w:tcW w:w="1559" w:type="dxa"/>
            <w:shd w:val="clear" w:color="000000" w:fill="FFFFFF"/>
            <w:hideMark/>
          </w:tcPr>
          <w:p w14:paraId="4C422C9D"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311F6010" w14:textId="77777777" w:rsidTr="00B518F1">
        <w:trPr>
          <w:trHeight w:val="600"/>
        </w:trPr>
        <w:tc>
          <w:tcPr>
            <w:tcW w:w="1312" w:type="dxa"/>
            <w:shd w:val="clear" w:color="000000" w:fill="FFFFFF"/>
            <w:hideMark/>
          </w:tcPr>
          <w:p w14:paraId="6E57950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30FDFCC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1AD704E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Difficulty in focusing to new stimuli</w:t>
            </w:r>
          </w:p>
        </w:tc>
        <w:tc>
          <w:tcPr>
            <w:tcW w:w="2268" w:type="dxa"/>
            <w:shd w:val="clear" w:color="000000" w:fill="FFFFFF"/>
            <w:noWrap/>
            <w:hideMark/>
          </w:tcPr>
          <w:p w14:paraId="45E31A7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When I watch television, it is difficult for me to follow the pictures and words and to catch the story simultaneously</w:t>
            </w:r>
          </w:p>
        </w:tc>
        <w:tc>
          <w:tcPr>
            <w:tcW w:w="567" w:type="dxa"/>
            <w:shd w:val="clear" w:color="000000" w:fill="FFFFFF"/>
            <w:noWrap/>
            <w:hideMark/>
          </w:tcPr>
          <w:p w14:paraId="347BCC5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54</w:t>
            </w:r>
          </w:p>
        </w:tc>
        <w:tc>
          <w:tcPr>
            <w:tcW w:w="1559" w:type="dxa"/>
            <w:shd w:val="clear" w:color="000000" w:fill="FFFFFF"/>
            <w:hideMark/>
          </w:tcPr>
          <w:p w14:paraId="0C5B9993" w14:textId="77777777" w:rsidR="007075D9" w:rsidRPr="004D46AC" w:rsidRDefault="007075D9" w:rsidP="002C5F6E">
            <w:pPr>
              <w:spacing w:line="240" w:lineRule="auto"/>
              <w:ind w:firstLine="0"/>
              <w:rPr>
                <w:rFonts w:eastAsia="Times New Roman"/>
                <w:color w:val="000000"/>
              </w:rPr>
            </w:pPr>
            <w:r w:rsidRPr="004D46AC">
              <w:rPr>
                <w:color w:val="000000"/>
              </w:rPr>
              <w:t>ESI</w:t>
            </w:r>
          </w:p>
        </w:tc>
      </w:tr>
      <w:tr w:rsidR="007075D9" w:rsidRPr="004D46AC" w14:paraId="482B5B04" w14:textId="77777777" w:rsidTr="00B518F1">
        <w:trPr>
          <w:trHeight w:val="600"/>
        </w:trPr>
        <w:tc>
          <w:tcPr>
            <w:tcW w:w="1312" w:type="dxa"/>
            <w:shd w:val="clear" w:color="000000" w:fill="FFFFFF"/>
            <w:hideMark/>
          </w:tcPr>
          <w:p w14:paraId="1BB5207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0EABB9E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6D083EC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Difficulty concentrating</w:t>
            </w:r>
          </w:p>
        </w:tc>
        <w:tc>
          <w:tcPr>
            <w:tcW w:w="2268" w:type="dxa"/>
            <w:shd w:val="clear" w:color="000000" w:fill="FFFFFF"/>
            <w:noWrap/>
            <w:hideMark/>
          </w:tcPr>
          <w:p w14:paraId="705DC41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cannot focus on a task and need to take frequent breaks while working (studying).</w:t>
            </w:r>
          </w:p>
        </w:tc>
        <w:tc>
          <w:tcPr>
            <w:tcW w:w="567" w:type="dxa"/>
            <w:shd w:val="clear" w:color="000000" w:fill="FFFFFF"/>
            <w:noWrap/>
            <w:hideMark/>
          </w:tcPr>
          <w:p w14:paraId="5838982C" w14:textId="77777777" w:rsidR="007075D9" w:rsidRPr="004D46AC" w:rsidRDefault="007075D9" w:rsidP="002C5F6E">
            <w:pPr>
              <w:spacing w:line="240" w:lineRule="auto"/>
              <w:ind w:firstLine="0"/>
              <w:rPr>
                <w:rFonts w:eastAsia="Times New Roman"/>
                <w:color w:val="000000"/>
              </w:rPr>
            </w:pPr>
            <w:r w:rsidRPr="004D46AC">
              <w:rPr>
                <w:color w:val="000000"/>
              </w:rPr>
              <w:t>55</w:t>
            </w:r>
          </w:p>
        </w:tc>
        <w:tc>
          <w:tcPr>
            <w:tcW w:w="1559" w:type="dxa"/>
            <w:shd w:val="clear" w:color="000000" w:fill="FFFFFF"/>
            <w:hideMark/>
          </w:tcPr>
          <w:p w14:paraId="0E32A688"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05E16B4D" w14:textId="77777777" w:rsidTr="00B518F1">
        <w:trPr>
          <w:trHeight w:val="600"/>
        </w:trPr>
        <w:tc>
          <w:tcPr>
            <w:tcW w:w="1312" w:type="dxa"/>
            <w:shd w:val="clear" w:color="000000" w:fill="FFFFFF"/>
            <w:hideMark/>
          </w:tcPr>
          <w:p w14:paraId="424F775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7DA29BC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623FD4B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Difficulty concentrating</w:t>
            </w:r>
          </w:p>
        </w:tc>
        <w:tc>
          <w:tcPr>
            <w:tcW w:w="2268" w:type="dxa"/>
            <w:shd w:val="clear" w:color="000000" w:fill="FFFFFF"/>
            <w:noWrap/>
            <w:hideMark/>
          </w:tcPr>
          <w:p w14:paraId="45D0A18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feel mentally insufficient and easily fatigued while thinking or reading</w:t>
            </w:r>
          </w:p>
        </w:tc>
        <w:tc>
          <w:tcPr>
            <w:tcW w:w="567" w:type="dxa"/>
            <w:shd w:val="clear" w:color="000000" w:fill="FFFFFF"/>
            <w:noWrap/>
            <w:hideMark/>
          </w:tcPr>
          <w:p w14:paraId="6FD1E6EC" w14:textId="77777777" w:rsidR="007075D9" w:rsidRPr="004D46AC" w:rsidRDefault="007075D9" w:rsidP="002C5F6E">
            <w:pPr>
              <w:spacing w:line="240" w:lineRule="auto"/>
              <w:ind w:firstLine="0"/>
              <w:rPr>
                <w:rFonts w:eastAsia="Times New Roman"/>
                <w:color w:val="000000"/>
              </w:rPr>
            </w:pPr>
            <w:r w:rsidRPr="004D46AC">
              <w:rPr>
                <w:color w:val="000000"/>
              </w:rPr>
              <w:t>56</w:t>
            </w:r>
          </w:p>
        </w:tc>
        <w:tc>
          <w:tcPr>
            <w:tcW w:w="1559" w:type="dxa"/>
            <w:shd w:val="clear" w:color="000000" w:fill="FFFFFF"/>
            <w:hideMark/>
          </w:tcPr>
          <w:p w14:paraId="6294E9FD"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7CD5FC8A" w14:textId="77777777" w:rsidTr="00B518F1">
        <w:trPr>
          <w:trHeight w:val="600"/>
        </w:trPr>
        <w:tc>
          <w:tcPr>
            <w:tcW w:w="1312" w:type="dxa"/>
            <w:shd w:val="clear" w:color="000000" w:fill="FFFFFF"/>
            <w:hideMark/>
          </w:tcPr>
          <w:p w14:paraId="33DE1B0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6ABF9BE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53CCEE3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Difficulty concentrating</w:t>
            </w:r>
          </w:p>
        </w:tc>
        <w:tc>
          <w:tcPr>
            <w:tcW w:w="2268" w:type="dxa"/>
            <w:shd w:val="clear" w:color="000000" w:fill="FFFFFF"/>
            <w:noWrap/>
            <w:hideMark/>
          </w:tcPr>
          <w:p w14:paraId="77DCADF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had difficulty concentrating, listening or reading</w:t>
            </w:r>
          </w:p>
        </w:tc>
        <w:tc>
          <w:tcPr>
            <w:tcW w:w="567" w:type="dxa"/>
            <w:shd w:val="clear" w:color="000000" w:fill="FFFFFF"/>
            <w:noWrap/>
            <w:hideMark/>
          </w:tcPr>
          <w:p w14:paraId="680BD192" w14:textId="77777777" w:rsidR="007075D9" w:rsidRPr="004D46AC" w:rsidRDefault="007075D9" w:rsidP="002C5F6E">
            <w:pPr>
              <w:spacing w:line="240" w:lineRule="auto"/>
              <w:ind w:firstLine="0"/>
              <w:rPr>
                <w:rFonts w:eastAsia="Times New Roman"/>
                <w:color w:val="000000"/>
              </w:rPr>
            </w:pPr>
            <w:r w:rsidRPr="004D46AC">
              <w:rPr>
                <w:color w:val="000000"/>
              </w:rPr>
              <w:t>57</w:t>
            </w:r>
          </w:p>
        </w:tc>
        <w:tc>
          <w:tcPr>
            <w:tcW w:w="1559" w:type="dxa"/>
            <w:shd w:val="clear" w:color="000000" w:fill="FFFFFF"/>
            <w:hideMark/>
          </w:tcPr>
          <w:p w14:paraId="2873C840"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75D03C7E" w14:textId="77777777" w:rsidTr="00B518F1">
        <w:trPr>
          <w:trHeight w:val="600"/>
        </w:trPr>
        <w:tc>
          <w:tcPr>
            <w:tcW w:w="1312" w:type="dxa"/>
            <w:shd w:val="clear" w:color="000000" w:fill="FFFFFF"/>
            <w:hideMark/>
          </w:tcPr>
          <w:p w14:paraId="38462A4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76D1A2A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635A33A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Failure in focused alertness</w:t>
            </w:r>
          </w:p>
        </w:tc>
        <w:tc>
          <w:tcPr>
            <w:tcW w:w="2268" w:type="dxa"/>
            <w:shd w:val="clear" w:color="000000" w:fill="FFFFFF"/>
            <w:noWrap/>
            <w:hideMark/>
          </w:tcPr>
          <w:p w14:paraId="167CEDC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had trouble focusing on one thought at a time</w:t>
            </w:r>
          </w:p>
        </w:tc>
        <w:tc>
          <w:tcPr>
            <w:tcW w:w="567" w:type="dxa"/>
            <w:shd w:val="clear" w:color="000000" w:fill="FFFFFF"/>
            <w:noWrap/>
            <w:hideMark/>
          </w:tcPr>
          <w:p w14:paraId="51BAD025" w14:textId="77777777" w:rsidR="007075D9" w:rsidRPr="004D46AC" w:rsidRDefault="007075D9" w:rsidP="002C5F6E">
            <w:pPr>
              <w:spacing w:line="240" w:lineRule="auto"/>
              <w:ind w:firstLine="0"/>
              <w:rPr>
                <w:rFonts w:eastAsia="Times New Roman"/>
                <w:color w:val="000000"/>
              </w:rPr>
            </w:pPr>
            <w:r w:rsidRPr="004D46AC">
              <w:rPr>
                <w:color w:val="000000"/>
              </w:rPr>
              <w:t>58</w:t>
            </w:r>
          </w:p>
        </w:tc>
        <w:tc>
          <w:tcPr>
            <w:tcW w:w="1559" w:type="dxa"/>
            <w:shd w:val="clear" w:color="000000" w:fill="FFFFFF"/>
            <w:hideMark/>
          </w:tcPr>
          <w:p w14:paraId="06D0080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3EEF7312" w14:textId="77777777" w:rsidTr="00B518F1">
        <w:trPr>
          <w:trHeight w:val="600"/>
        </w:trPr>
        <w:tc>
          <w:tcPr>
            <w:tcW w:w="1312" w:type="dxa"/>
            <w:shd w:val="clear" w:color="000000" w:fill="FFFFFF"/>
            <w:hideMark/>
          </w:tcPr>
          <w:p w14:paraId="50ADB31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32BB98C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61E0B89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Failure in focused alertness</w:t>
            </w:r>
          </w:p>
        </w:tc>
        <w:tc>
          <w:tcPr>
            <w:tcW w:w="2268" w:type="dxa"/>
            <w:shd w:val="clear" w:color="000000" w:fill="FFFFFF"/>
            <w:noWrap/>
            <w:hideMark/>
          </w:tcPr>
          <w:p w14:paraId="0516A92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suddenly distracted by distant sounds that I am not normally aware of</w:t>
            </w:r>
          </w:p>
        </w:tc>
        <w:tc>
          <w:tcPr>
            <w:tcW w:w="567" w:type="dxa"/>
            <w:shd w:val="clear" w:color="000000" w:fill="FFFFFF"/>
            <w:noWrap/>
            <w:hideMark/>
          </w:tcPr>
          <w:p w14:paraId="51647318" w14:textId="77777777" w:rsidR="007075D9" w:rsidRPr="004D46AC" w:rsidRDefault="007075D9" w:rsidP="002C5F6E">
            <w:pPr>
              <w:spacing w:line="240" w:lineRule="auto"/>
              <w:ind w:firstLine="0"/>
              <w:rPr>
                <w:rFonts w:eastAsia="Times New Roman"/>
                <w:color w:val="000000"/>
              </w:rPr>
            </w:pPr>
            <w:r w:rsidRPr="004D46AC">
              <w:rPr>
                <w:color w:val="000000"/>
              </w:rPr>
              <w:t>59</w:t>
            </w:r>
          </w:p>
        </w:tc>
        <w:tc>
          <w:tcPr>
            <w:tcW w:w="1559" w:type="dxa"/>
            <w:shd w:val="clear" w:color="000000" w:fill="FFFFFF"/>
            <w:hideMark/>
          </w:tcPr>
          <w:p w14:paraId="15A03A76"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133BFD13" w14:textId="77777777" w:rsidTr="00B518F1">
        <w:trPr>
          <w:trHeight w:val="600"/>
        </w:trPr>
        <w:tc>
          <w:tcPr>
            <w:tcW w:w="1312" w:type="dxa"/>
            <w:shd w:val="clear" w:color="000000" w:fill="FFFFFF"/>
            <w:hideMark/>
          </w:tcPr>
          <w:p w14:paraId="031E47D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3BB6D5D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7035EDD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Failure in focused alertness</w:t>
            </w:r>
          </w:p>
        </w:tc>
        <w:tc>
          <w:tcPr>
            <w:tcW w:w="2268" w:type="dxa"/>
            <w:shd w:val="clear" w:color="000000" w:fill="FFFFFF"/>
            <w:noWrap/>
            <w:hideMark/>
          </w:tcPr>
          <w:p w14:paraId="5FF37C4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been distracted by noises or other people talking</w:t>
            </w:r>
          </w:p>
        </w:tc>
        <w:tc>
          <w:tcPr>
            <w:tcW w:w="567" w:type="dxa"/>
            <w:shd w:val="clear" w:color="000000" w:fill="FFFFFF"/>
            <w:noWrap/>
            <w:hideMark/>
          </w:tcPr>
          <w:p w14:paraId="1AF35170" w14:textId="77777777" w:rsidR="007075D9" w:rsidRPr="004D46AC" w:rsidRDefault="007075D9" w:rsidP="002C5F6E">
            <w:pPr>
              <w:spacing w:line="240" w:lineRule="auto"/>
              <w:ind w:firstLine="0"/>
              <w:rPr>
                <w:rFonts w:eastAsia="Times New Roman"/>
                <w:color w:val="000000"/>
              </w:rPr>
            </w:pPr>
            <w:r w:rsidRPr="004D46AC">
              <w:rPr>
                <w:color w:val="000000"/>
              </w:rPr>
              <w:t>60</w:t>
            </w:r>
          </w:p>
        </w:tc>
        <w:tc>
          <w:tcPr>
            <w:tcW w:w="1559" w:type="dxa"/>
            <w:shd w:val="clear" w:color="000000" w:fill="FFFFFF"/>
            <w:hideMark/>
          </w:tcPr>
          <w:p w14:paraId="0387FE86"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1EE68398" w14:textId="77777777" w:rsidTr="00B518F1">
        <w:trPr>
          <w:trHeight w:val="600"/>
        </w:trPr>
        <w:tc>
          <w:tcPr>
            <w:tcW w:w="1312" w:type="dxa"/>
            <w:shd w:val="clear" w:color="000000" w:fill="FFFFFF"/>
            <w:hideMark/>
          </w:tcPr>
          <w:p w14:paraId="7F6883B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6790E33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Trouble with </w:t>
            </w:r>
            <w:r w:rsidRPr="004D46AC">
              <w:rPr>
                <w:rFonts w:eastAsia="Times New Roman"/>
                <w:color w:val="000000"/>
              </w:rPr>
              <w:br/>
              <w:t xml:space="preserve">focus </w:t>
            </w:r>
            <w:r w:rsidRPr="004D46AC">
              <w:rPr>
                <w:rFonts w:eastAsia="Times New Roman"/>
                <w:color w:val="000000"/>
              </w:rPr>
              <w:br/>
              <w:t xml:space="preserve">and </w:t>
            </w:r>
            <w:r w:rsidRPr="004D46AC">
              <w:rPr>
                <w:rFonts w:eastAsia="Times New Roman"/>
                <w:color w:val="000000"/>
              </w:rPr>
              <w:br/>
              <w:t>attention</w:t>
            </w:r>
          </w:p>
        </w:tc>
        <w:tc>
          <w:tcPr>
            <w:tcW w:w="1312" w:type="dxa"/>
            <w:shd w:val="clear" w:color="000000" w:fill="FFFFFF"/>
            <w:noWrap/>
            <w:hideMark/>
          </w:tcPr>
          <w:p w14:paraId="3C69543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Failure in focused alertness</w:t>
            </w:r>
          </w:p>
        </w:tc>
        <w:tc>
          <w:tcPr>
            <w:tcW w:w="2268" w:type="dxa"/>
            <w:shd w:val="clear" w:color="000000" w:fill="FFFFFF"/>
            <w:noWrap/>
            <w:hideMark/>
          </w:tcPr>
          <w:p w14:paraId="2FD1051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find yourself constantly thinking about experiences or conversations that are, in fact, irrelevant, when you would rather be focusing on other matters?</w:t>
            </w:r>
          </w:p>
        </w:tc>
        <w:tc>
          <w:tcPr>
            <w:tcW w:w="567" w:type="dxa"/>
            <w:shd w:val="clear" w:color="000000" w:fill="FFFFFF"/>
            <w:noWrap/>
            <w:hideMark/>
          </w:tcPr>
          <w:p w14:paraId="00BD4343" w14:textId="77777777" w:rsidR="007075D9" w:rsidRPr="004D46AC" w:rsidRDefault="007075D9" w:rsidP="002C5F6E">
            <w:pPr>
              <w:spacing w:line="240" w:lineRule="auto"/>
              <w:ind w:firstLine="0"/>
              <w:rPr>
                <w:rFonts w:eastAsia="Times New Roman"/>
                <w:color w:val="000000"/>
              </w:rPr>
            </w:pPr>
            <w:r w:rsidRPr="004D46AC">
              <w:rPr>
                <w:color w:val="000000"/>
              </w:rPr>
              <w:t>61</w:t>
            </w:r>
          </w:p>
        </w:tc>
        <w:tc>
          <w:tcPr>
            <w:tcW w:w="1559" w:type="dxa"/>
            <w:shd w:val="clear" w:color="000000" w:fill="FFFFFF"/>
            <w:hideMark/>
          </w:tcPr>
          <w:p w14:paraId="77CA1723" w14:textId="77777777" w:rsidR="007075D9" w:rsidRPr="004D46AC" w:rsidRDefault="007075D9" w:rsidP="002C5F6E">
            <w:pPr>
              <w:spacing w:line="240" w:lineRule="auto"/>
              <w:ind w:firstLine="0"/>
              <w:rPr>
                <w:rFonts w:eastAsia="Times New Roman"/>
                <w:color w:val="000000"/>
              </w:rPr>
            </w:pPr>
            <w:r w:rsidRPr="004D46AC">
              <w:rPr>
                <w:color w:val="000000"/>
              </w:rPr>
              <w:t>PCA</w:t>
            </w:r>
          </w:p>
        </w:tc>
      </w:tr>
      <w:tr w:rsidR="007075D9" w:rsidRPr="004D46AC" w14:paraId="4A2B5F8A" w14:textId="77777777" w:rsidTr="00B518F1">
        <w:trPr>
          <w:trHeight w:val="600"/>
        </w:trPr>
        <w:tc>
          <w:tcPr>
            <w:tcW w:w="1312" w:type="dxa"/>
            <w:shd w:val="clear" w:color="000000" w:fill="FFFFFF"/>
            <w:hideMark/>
          </w:tcPr>
          <w:p w14:paraId="0C5310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69A12DE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676B95D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Odd behaviour</w:t>
            </w:r>
          </w:p>
        </w:tc>
        <w:tc>
          <w:tcPr>
            <w:tcW w:w="2268" w:type="dxa"/>
            <w:shd w:val="clear" w:color="000000" w:fill="FFFFFF"/>
            <w:noWrap/>
            <w:hideMark/>
          </w:tcPr>
          <w:p w14:paraId="255F600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Plays with own sex parts in public</w:t>
            </w:r>
          </w:p>
        </w:tc>
        <w:tc>
          <w:tcPr>
            <w:tcW w:w="567" w:type="dxa"/>
            <w:shd w:val="clear" w:color="000000" w:fill="FFFFFF"/>
            <w:noWrap/>
            <w:hideMark/>
          </w:tcPr>
          <w:p w14:paraId="56F38BA3" w14:textId="77777777" w:rsidR="007075D9" w:rsidRPr="004D46AC" w:rsidRDefault="007075D9" w:rsidP="002C5F6E">
            <w:pPr>
              <w:spacing w:line="240" w:lineRule="auto"/>
              <w:ind w:firstLine="0"/>
              <w:rPr>
                <w:rFonts w:eastAsia="Times New Roman"/>
                <w:color w:val="000000"/>
              </w:rPr>
            </w:pPr>
            <w:r w:rsidRPr="004D46AC">
              <w:rPr>
                <w:color w:val="000000"/>
              </w:rPr>
              <w:t>62</w:t>
            </w:r>
          </w:p>
        </w:tc>
        <w:tc>
          <w:tcPr>
            <w:tcW w:w="1559" w:type="dxa"/>
            <w:shd w:val="clear" w:color="000000" w:fill="FFFFFF"/>
            <w:hideMark/>
          </w:tcPr>
          <w:p w14:paraId="5840D4AA" w14:textId="77777777" w:rsidR="007075D9" w:rsidRPr="004D46AC" w:rsidRDefault="007075D9" w:rsidP="002C5F6E">
            <w:pPr>
              <w:spacing w:line="240" w:lineRule="auto"/>
              <w:ind w:firstLine="0"/>
              <w:rPr>
                <w:rFonts w:eastAsia="Times New Roman"/>
                <w:color w:val="000000"/>
              </w:rPr>
            </w:pPr>
            <w:r w:rsidRPr="004D46AC">
              <w:rPr>
                <w:color w:val="000000"/>
              </w:rPr>
              <w:t>CBCL</w:t>
            </w:r>
          </w:p>
        </w:tc>
      </w:tr>
      <w:tr w:rsidR="007075D9" w:rsidRPr="004D46AC" w14:paraId="3827E50C" w14:textId="77777777" w:rsidTr="00B518F1">
        <w:trPr>
          <w:trHeight w:val="600"/>
        </w:trPr>
        <w:tc>
          <w:tcPr>
            <w:tcW w:w="1312" w:type="dxa"/>
            <w:shd w:val="clear" w:color="000000" w:fill="FFFFFF"/>
            <w:hideMark/>
          </w:tcPr>
          <w:p w14:paraId="7CFD0C8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Disorganisation</w:t>
            </w:r>
          </w:p>
        </w:tc>
        <w:tc>
          <w:tcPr>
            <w:tcW w:w="1312" w:type="dxa"/>
            <w:shd w:val="clear" w:color="000000" w:fill="FFFFFF"/>
            <w:hideMark/>
          </w:tcPr>
          <w:p w14:paraId="12D7216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6229AF2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Odd behaviour</w:t>
            </w:r>
          </w:p>
        </w:tc>
        <w:tc>
          <w:tcPr>
            <w:tcW w:w="2268" w:type="dxa"/>
            <w:shd w:val="clear" w:color="000000" w:fill="FFFFFF"/>
            <w:noWrap/>
            <w:hideMark/>
          </w:tcPr>
          <w:p w14:paraId="74316E9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do things other people think are strange</w:t>
            </w:r>
          </w:p>
        </w:tc>
        <w:tc>
          <w:tcPr>
            <w:tcW w:w="567" w:type="dxa"/>
            <w:shd w:val="clear" w:color="000000" w:fill="FFFFFF"/>
            <w:noWrap/>
            <w:hideMark/>
          </w:tcPr>
          <w:p w14:paraId="276C87A0" w14:textId="77777777" w:rsidR="007075D9" w:rsidRPr="004D46AC" w:rsidRDefault="007075D9" w:rsidP="002C5F6E">
            <w:pPr>
              <w:spacing w:line="240" w:lineRule="auto"/>
              <w:ind w:firstLine="0"/>
              <w:rPr>
                <w:rFonts w:eastAsia="Times New Roman"/>
                <w:color w:val="000000"/>
              </w:rPr>
            </w:pPr>
            <w:r w:rsidRPr="004D46AC">
              <w:rPr>
                <w:color w:val="000000"/>
              </w:rPr>
              <w:t>63</w:t>
            </w:r>
          </w:p>
        </w:tc>
        <w:tc>
          <w:tcPr>
            <w:tcW w:w="1559" w:type="dxa"/>
            <w:shd w:val="clear" w:color="000000" w:fill="FFFFFF"/>
            <w:hideMark/>
          </w:tcPr>
          <w:p w14:paraId="099BC6D7"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03624F32" w14:textId="77777777" w:rsidTr="00B518F1">
        <w:trPr>
          <w:trHeight w:val="600"/>
        </w:trPr>
        <w:tc>
          <w:tcPr>
            <w:tcW w:w="1312" w:type="dxa"/>
            <w:shd w:val="clear" w:color="000000" w:fill="FFFFFF"/>
            <w:hideMark/>
          </w:tcPr>
          <w:p w14:paraId="6D8AC70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0001AD2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5B5BD2A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Odd behaviour</w:t>
            </w:r>
          </w:p>
        </w:tc>
        <w:tc>
          <w:tcPr>
            <w:tcW w:w="2268" w:type="dxa"/>
            <w:shd w:val="clear" w:color="000000" w:fill="FFFFFF"/>
            <w:noWrap/>
            <w:hideMark/>
          </w:tcPr>
          <w:p w14:paraId="6CAE5B8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pursued interests or behaviours that other people regarded as odd? </w:t>
            </w:r>
          </w:p>
        </w:tc>
        <w:tc>
          <w:tcPr>
            <w:tcW w:w="567" w:type="dxa"/>
            <w:shd w:val="clear" w:color="000000" w:fill="FFFFFF"/>
            <w:noWrap/>
            <w:hideMark/>
          </w:tcPr>
          <w:p w14:paraId="77FAAE45" w14:textId="77777777" w:rsidR="007075D9" w:rsidRPr="004D46AC" w:rsidRDefault="007075D9" w:rsidP="002C5F6E">
            <w:pPr>
              <w:spacing w:line="240" w:lineRule="auto"/>
              <w:ind w:firstLine="0"/>
              <w:rPr>
                <w:rFonts w:eastAsia="Times New Roman"/>
                <w:color w:val="000000"/>
              </w:rPr>
            </w:pPr>
            <w:r w:rsidRPr="004D46AC">
              <w:rPr>
                <w:color w:val="000000"/>
              </w:rPr>
              <w:t>64</w:t>
            </w:r>
          </w:p>
        </w:tc>
        <w:tc>
          <w:tcPr>
            <w:tcW w:w="1559" w:type="dxa"/>
            <w:shd w:val="clear" w:color="000000" w:fill="FFFFFF"/>
            <w:hideMark/>
          </w:tcPr>
          <w:p w14:paraId="66FC980E"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48037BDE" w14:textId="77777777" w:rsidTr="00B518F1">
        <w:trPr>
          <w:trHeight w:val="600"/>
        </w:trPr>
        <w:tc>
          <w:tcPr>
            <w:tcW w:w="1312" w:type="dxa"/>
            <w:shd w:val="clear" w:color="000000" w:fill="FFFFFF"/>
            <w:hideMark/>
          </w:tcPr>
          <w:p w14:paraId="6D84D92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1C8C6D0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523FDC7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Odd behaviour</w:t>
            </w:r>
          </w:p>
        </w:tc>
        <w:tc>
          <w:tcPr>
            <w:tcW w:w="2268" w:type="dxa"/>
            <w:shd w:val="clear" w:color="000000" w:fill="FFFFFF"/>
            <w:noWrap/>
            <w:hideMark/>
          </w:tcPr>
          <w:p w14:paraId="76F8C3A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Repeats certain acts </w:t>
            </w:r>
            <w:proofErr w:type="gramStart"/>
            <w:r w:rsidRPr="004D46AC">
              <w:rPr>
                <w:rFonts w:eastAsia="Times New Roman"/>
                <w:color w:val="000000"/>
              </w:rPr>
              <w:t>over and over</w:t>
            </w:r>
            <w:proofErr w:type="gramEnd"/>
            <w:r w:rsidRPr="004D46AC">
              <w:rPr>
                <w:rFonts w:eastAsia="Times New Roman"/>
                <w:color w:val="000000"/>
              </w:rPr>
              <w:t>; compulsions</w:t>
            </w:r>
          </w:p>
        </w:tc>
        <w:tc>
          <w:tcPr>
            <w:tcW w:w="567" w:type="dxa"/>
            <w:shd w:val="clear" w:color="000000" w:fill="FFFFFF"/>
            <w:noWrap/>
            <w:hideMark/>
          </w:tcPr>
          <w:p w14:paraId="4076A706" w14:textId="77777777" w:rsidR="007075D9" w:rsidRPr="004D46AC" w:rsidRDefault="007075D9" w:rsidP="002C5F6E">
            <w:pPr>
              <w:spacing w:line="240" w:lineRule="auto"/>
              <w:ind w:firstLine="0"/>
              <w:rPr>
                <w:rFonts w:eastAsia="Times New Roman"/>
                <w:color w:val="000000"/>
              </w:rPr>
            </w:pPr>
            <w:r w:rsidRPr="004D46AC">
              <w:rPr>
                <w:color w:val="000000"/>
              </w:rPr>
              <w:t>65</w:t>
            </w:r>
          </w:p>
        </w:tc>
        <w:tc>
          <w:tcPr>
            <w:tcW w:w="1559" w:type="dxa"/>
            <w:shd w:val="clear" w:color="000000" w:fill="FFFFFF"/>
            <w:hideMark/>
          </w:tcPr>
          <w:p w14:paraId="22F2646D" w14:textId="77777777" w:rsidR="007075D9" w:rsidRPr="004D46AC" w:rsidRDefault="007075D9" w:rsidP="002C5F6E">
            <w:pPr>
              <w:spacing w:line="240" w:lineRule="auto"/>
              <w:ind w:firstLine="0"/>
              <w:rPr>
                <w:rFonts w:eastAsia="Times New Roman"/>
                <w:color w:val="000000"/>
              </w:rPr>
            </w:pPr>
            <w:r w:rsidRPr="004D46AC">
              <w:rPr>
                <w:color w:val="000000"/>
              </w:rPr>
              <w:t>EDPCC</w:t>
            </w:r>
          </w:p>
        </w:tc>
      </w:tr>
      <w:tr w:rsidR="007075D9" w:rsidRPr="004D46AC" w14:paraId="629A4C5C" w14:textId="77777777" w:rsidTr="00B518F1">
        <w:trPr>
          <w:trHeight w:val="600"/>
        </w:trPr>
        <w:tc>
          <w:tcPr>
            <w:tcW w:w="1312" w:type="dxa"/>
            <w:shd w:val="clear" w:color="000000" w:fill="FFFFFF"/>
            <w:hideMark/>
          </w:tcPr>
          <w:p w14:paraId="48B3DE6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3768A8D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4522A84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Odd behaviour</w:t>
            </w:r>
          </w:p>
        </w:tc>
        <w:tc>
          <w:tcPr>
            <w:tcW w:w="2268" w:type="dxa"/>
            <w:shd w:val="clear" w:color="000000" w:fill="FFFFFF"/>
            <w:noWrap/>
            <w:hideMark/>
          </w:tcPr>
          <w:p w14:paraId="5D9FB4D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engaged in some eccentric (odd) habits</w:t>
            </w:r>
          </w:p>
        </w:tc>
        <w:tc>
          <w:tcPr>
            <w:tcW w:w="567" w:type="dxa"/>
            <w:shd w:val="clear" w:color="000000" w:fill="FFFFFF"/>
            <w:noWrap/>
            <w:hideMark/>
          </w:tcPr>
          <w:p w14:paraId="52EA7E24" w14:textId="77777777" w:rsidR="007075D9" w:rsidRPr="004D46AC" w:rsidRDefault="007075D9" w:rsidP="002C5F6E">
            <w:pPr>
              <w:spacing w:line="240" w:lineRule="auto"/>
              <w:ind w:firstLine="0"/>
              <w:rPr>
                <w:rFonts w:eastAsia="Times New Roman"/>
                <w:color w:val="000000"/>
              </w:rPr>
            </w:pPr>
            <w:r w:rsidRPr="004D46AC">
              <w:rPr>
                <w:color w:val="000000"/>
              </w:rPr>
              <w:t>66</w:t>
            </w:r>
          </w:p>
        </w:tc>
        <w:tc>
          <w:tcPr>
            <w:tcW w:w="1559" w:type="dxa"/>
            <w:shd w:val="clear" w:color="000000" w:fill="FFFFFF"/>
            <w:hideMark/>
          </w:tcPr>
          <w:p w14:paraId="08F60E96"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166CF024" w14:textId="77777777" w:rsidTr="00B518F1">
        <w:trPr>
          <w:trHeight w:val="600"/>
        </w:trPr>
        <w:tc>
          <w:tcPr>
            <w:tcW w:w="1312" w:type="dxa"/>
            <w:shd w:val="clear" w:color="000000" w:fill="FFFFFF"/>
            <w:hideMark/>
          </w:tcPr>
          <w:p w14:paraId="5470444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71F8565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5F15662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Odd behaviour</w:t>
            </w:r>
          </w:p>
        </w:tc>
        <w:tc>
          <w:tcPr>
            <w:tcW w:w="2268" w:type="dxa"/>
            <w:shd w:val="clear" w:color="000000" w:fill="FFFFFF"/>
            <w:noWrap/>
            <w:hideMark/>
          </w:tcPr>
          <w:p w14:paraId="52FCCD7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People have commented on my unusual mannerisms and habits</w:t>
            </w:r>
          </w:p>
        </w:tc>
        <w:tc>
          <w:tcPr>
            <w:tcW w:w="567" w:type="dxa"/>
            <w:shd w:val="clear" w:color="000000" w:fill="FFFFFF"/>
            <w:noWrap/>
            <w:hideMark/>
          </w:tcPr>
          <w:p w14:paraId="4764471F" w14:textId="77777777" w:rsidR="007075D9" w:rsidRPr="004D46AC" w:rsidRDefault="007075D9" w:rsidP="002C5F6E">
            <w:pPr>
              <w:spacing w:line="240" w:lineRule="auto"/>
              <w:ind w:firstLine="0"/>
              <w:rPr>
                <w:rFonts w:eastAsia="Times New Roman"/>
                <w:color w:val="000000"/>
              </w:rPr>
            </w:pPr>
            <w:r w:rsidRPr="004D46AC">
              <w:rPr>
                <w:color w:val="000000"/>
              </w:rPr>
              <w:t>67</w:t>
            </w:r>
          </w:p>
        </w:tc>
        <w:tc>
          <w:tcPr>
            <w:tcW w:w="1559" w:type="dxa"/>
            <w:shd w:val="clear" w:color="000000" w:fill="FFFFFF"/>
            <w:hideMark/>
          </w:tcPr>
          <w:p w14:paraId="6D093CC3"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D1C3580" w14:textId="77777777" w:rsidTr="00B518F1">
        <w:trPr>
          <w:trHeight w:val="600"/>
        </w:trPr>
        <w:tc>
          <w:tcPr>
            <w:tcW w:w="1312" w:type="dxa"/>
            <w:shd w:val="clear" w:color="000000" w:fill="FFFFFF"/>
            <w:hideMark/>
          </w:tcPr>
          <w:p w14:paraId="6C454CB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399E3A0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0624846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Odd behaviour</w:t>
            </w:r>
          </w:p>
        </w:tc>
        <w:tc>
          <w:tcPr>
            <w:tcW w:w="2268" w:type="dxa"/>
            <w:shd w:val="clear" w:color="000000" w:fill="FFFFFF"/>
            <w:noWrap/>
            <w:hideMark/>
          </w:tcPr>
          <w:p w14:paraId="41F7E17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thought that I am an odd, unusual person</w:t>
            </w:r>
          </w:p>
        </w:tc>
        <w:tc>
          <w:tcPr>
            <w:tcW w:w="567" w:type="dxa"/>
            <w:shd w:val="clear" w:color="000000" w:fill="FFFFFF"/>
            <w:noWrap/>
            <w:hideMark/>
          </w:tcPr>
          <w:p w14:paraId="5D919D12" w14:textId="77777777" w:rsidR="007075D9" w:rsidRPr="004D46AC" w:rsidRDefault="007075D9" w:rsidP="002C5F6E">
            <w:pPr>
              <w:spacing w:line="240" w:lineRule="auto"/>
              <w:ind w:firstLine="0"/>
              <w:rPr>
                <w:rFonts w:eastAsia="Times New Roman"/>
                <w:color w:val="000000"/>
              </w:rPr>
            </w:pPr>
            <w:r w:rsidRPr="004D46AC">
              <w:rPr>
                <w:color w:val="000000"/>
              </w:rPr>
              <w:t>68</w:t>
            </w:r>
          </w:p>
        </w:tc>
        <w:tc>
          <w:tcPr>
            <w:tcW w:w="1559" w:type="dxa"/>
            <w:shd w:val="clear" w:color="000000" w:fill="FFFFFF"/>
            <w:hideMark/>
          </w:tcPr>
          <w:p w14:paraId="3643ABA2"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6152863" w14:textId="77777777" w:rsidTr="00B518F1">
        <w:trPr>
          <w:trHeight w:val="600"/>
        </w:trPr>
        <w:tc>
          <w:tcPr>
            <w:tcW w:w="1312" w:type="dxa"/>
            <w:shd w:val="clear" w:color="000000" w:fill="FFFFFF"/>
            <w:hideMark/>
          </w:tcPr>
          <w:p w14:paraId="1E3D4C9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30AEFAB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43D5267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Preoccupied with and/or interactive with own thoughts</w:t>
            </w:r>
          </w:p>
        </w:tc>
        <w:tc>
          <w:tcPr>
            <w:tcW w:w="2268" w:type="dxa"/>
            <w:shd w:val="clear" w:color="000000" w:fill="FFFFFF"/>
            <w:noWrap/>
            <w:hideMark/>
          </w:tcPr>
          <w:p w14:paraId="63321B0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been talking to myself</w:t>
            </w:r>
          </w:p>
        </w:tc>
        <w:tc>
          <w:tcPr>
            <w:tcW w:w="567" w:type="dxa"/>
            <w:shd w:val="clear" w:color="000000" w:fill="FFFFFF"/>
            <w:noWrap/>
            <w:hideMark/>
          </w:tcPr>
          <w:p w14:paraId="14435C98" w14:textId="77777777" w:rsidR="007075D9" w:rsidRPr="004D46AC" w:rsidRDefault="007075D9" w:rsidP="002C5F6E">
            <w:pPr>
              <w:spacing w:line="240" w:lineRule="auto"/>
              <w:ind w:firstLine="0"/>
              <w:rPr>
                <w:rFonts w:eastAsia="Times New Roman"/>
                <w:color w:val="000000"/>
              </w:rPr>
            </w:pPr>
            <w:r w:rsidRPr="004D46AC">
              <w:rPr>
                <w:color w:val="000000"/>
              </w:rPr>
              <w:t>69</w:t>
            </w:r>
          </w:p>
        </w:tc>
        <w:tc>
          <w:tcPr>
            <w:tcW w:w="1559" w:type="dxa"/>
            <w:shd w:val="clear" w:color="000000" w:fill="FFFFFF"/>
            <w:hideMark/>
          </w:tcPr>
          <w:p w14:paraId="7743FB86"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7E6A44E7" w14:textId="77777777" w:rsidTr="00B518F1">
        <w:trPr>
          <w:trHeight w:val="600"/>
        </w:trPr>
        <w:tc>
          <w:tcPr>
            <w:tcW w:w="1312" w:type="dxa"/>
            <w:shd w:val="clear" w:color="000000" w:fill="FFFFFF"/>
            <w:hideMark/>
          </w:tcPr>
          <w:p w14:paraId="74BB163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4850E57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627F24B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Preoccupied with and/or interactive with own thoughts</w:t>
            </w:r>
          </w:p>
        </w:tc>
        <w:tc>
          <w:tcPr>
            <w:tcW w:w="2268" w:type="dxa"/>
            <w:shd w:val="clear" w:color="000000" w:fill="FFFFFF"/>
            <w:noWrap/>
            <w:hideMark/>
          </w:tcPr>
          <w:p w14:paraId="42B1A78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Changes in behaviour (e.g. Loud soliloquy in public)</w:t>
            </w:r>
          </w:p>
        </w:tc>
        <w:tc>
          <w:tcPr>
            <w:tcW w:w="567" w:type="dxa"/>
            <w:shd w:val="clear" w:color="000000" w:fill="FFFFFF"/>
            <w:noWrap/>
            <w:hideMark/>
          </w:tcPr>
          <w:p w14:paraId="3474AE5A" w14:textId="77777777" w:rsidR="007075D9" w:rsidRPr="004D46AC" w:rsidRDefault="007075D9" w:rsidP="002C5F6E">
            <w:pPr>
              <w:spacing w:line="240" w:lineRule="auto"/>
              <w:ind w:firstLine="0"/>
              <w:rPr>
                <w:rFonts w:eastAsia="Times New Roman"/>
                <w:color w:val="000000"/>
              </w:rPr>
            </w:pPr>
            <w:r w:rsidRPr="004D46AC">
              <w:rPr>
                <w:color w:val="000000"/>
              </w:rPr>
              <w:t>70</w:t>
            </w:r>
          </w:p>
        </w:tc>
        <w:tc>
          <w:tcPr>
            <w:tcW w:w="1559" w:type="dxa"/>
            <w:shd w:val="clear" w:color="000000" w:fill="FFFFFF"/>
            <w:hideMark/>
          </w:tcPr>
          <w:p w14:paraId="7B517108"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1A6EF240" w14:textId="77777777" w:rsidTr="00B518F1">
        <w:trPr>
          <w:trHeight w:val="600"/>
        </w:trPr>
        <w:tc>
          <w:tcPr>
            <w:tcW w:w="1312" w:type="dxa"/>
            <w:shd w:val="clear" w:color="000000" w:fill="FFFFFF"/>
            <w:hideMark/>
          </w:tcPr>
          <w:p w14:paraId="4DE23BA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Disorganisation</w:t>
            </w:r>
          </w:p>
        </w:tc>
        <w:tc>
          <w:tcPr>
            <w:tcW w:w="1312" w:type="dxa"/>
            <w:shd w:val="clear" w:color="000000" w:fill="FFFFFF"/>
            <w:hideMark/>
          </w:tcPr>
          <w:p w14:paraId="7B16E7C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Odd behaviour </w:t>
            </w:r>
            <w:r w:rsidRPr="004D46AC">
              <w:rPr>
                <w:rFonts w:eastAsia="Times New Roman"/>
                <w:color w:val="000000"/>
              </w:rPr>
              <w:br/>
              <w:t xml:space="preserve">and </w:t>
            </w:r>
            <w:r w:rsidRPr="004D46AC">
              <w:rPr>
                <w:rFonts w:eastAsia="Times New Roman"/>
                <w:color w:val="000000"/>
              </w:rPr>
              <w:br/>
              <w:t>appearance</w:t>
            </w:r>
          </w:p>
        </w:tc>
        <w:tc>
          <w:tcPr>
            <w:tcW w:w="1312" w:type="dxa"/>
            <w:shd w:val="clear" w:color="000000" w:fill="FFFFFF"/>
            <w:noWrap/>
            <w:hideMark/>
          </w:tcPr>
          <w:p w14:paraId="38C7B2E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Preoccupied with and/or interactive with own thoughts</w:t>
            </w:r>
          </w:p>
        </w:tc>
        <w:tc>
          <w:tcPr>
            <w:tcW w:w="2268" w:type="dxa"/>
            <w:shd w:val="clear" w:color="000000" w:fill="FFFFFF"/>
            <w:noWrap/>
            <w:hideMark/>
          </w:tcPr>
          <w:p w14:paraId="60267B6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Experience of thoughts running wild or difficulty in controlling the speed of thoughts</w:t>
            </w:r>
          </w:p>
        </w:tc>
        <w:tc>
          <w:tcPr>
            <w:tcW w:w="567" w:type="dxa"/>
            <w:shd w:val="clear" w:color="000000" w:fill="FFFFFF"/>
            <w:noWrap/>
            <w:hideMark/>
          </w:tcPr>
          <w:p w14:paraId="3F598041" w14:textId="77777777" w:rsidR="007075D9" w:rsidRPr="004D46AC" w:rsidRDefault="007075D9" w:rsidP="002C5F6E">
            <w:pPr>
              <w:spacing w:line="240" w:lineRule="auto"/>
              <w:ind w:firstLine="0"/>
              <w:rPr>
                <w:rFonts w:eastAsia="Times New Roman"/>
                <w:color w:val="000000"/>
              </w:rPr>
            </w:pPr>
            <w:r w:rsidRPr="004D46AC">
              <w:rPr>
                <w:color w:val="000000"/>
              </w:rPr>
              <w:t>71</w:t>
            </w:r>
          </w:p>
        </w:tc>
        <w:tc>
          <w:tcPr>
            <w:tcW w:w="1559" w:type="dxa"/>
            <w:shd w:val="clear" w:color="000000" w:fill="FFFFFF"/>
            <w:hideMark/>
          </w:tcPr>
          <w:p w14:paraId="679A02EB" w14:textId="77777777" w:rsidR="007075D9" w:rsidRPr="004D46AC" w:rsidRDefault="007075D9" w:rsidP="002C5F6E">
            <w:pPr>
              <w:spacing w:line="240" w:lineRule="auto"/>
              <w:ind w:firstLine="0"/>
              <w:rPr>
                <w:rFonts w:eastAsia="Times New Roman"/>
                <w:color w:val="000000"/>
              </w:rPr>
            </w:pPr>
            <w:r w:rsidRPr="004D46AC">
              <w:rPr>
                <w:color w:val="000000"/>
              </w:rPr>
              <w:t>PROD-screen</w:t>
            </w:r>
          </w:p>
        </w:tc>
      </w:tr>
      <w:tr w:rsidR="007075D9" w:rsidRPr="004D46AC" w14:paraId="3CEFBFFA" w14:textId="77777777" w:rsidTr="00B518F1">
        <w:trPr>
          <w:trHeight w:val="600"/>
        </w:trPr>
        <w:tc>
          <w:tcPr>
            <w:tcW w:w="1312" w:type="dxa"/>
            <w:shd w:val="clear" w:color="000000" w:fill="FFFFFF"/>
            <w:hideMark/>
          </w:tcPr>
          <w:p w14:paraId="2D5044E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7B70794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24EA9D4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Anxiety, panic, multiple fears and phobias</w:t>
            </w:r>
          </w:p>
        </w:tc>
        <w:tc>
          <w:tcPr>
            <w:tcW w:w="2268" w:type="dxa"/>
            <w:shd w:val="clear" w:color="000000" w:fill="FFFFFF"/>
            <w:noWrap/>
            <w:hideMark/>
          </w:tcPr>
          <w:p w14:paraId="57A13F1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feel nervous when giving a speech in front of a large group of people</w:t>
            </w:r>
          </w:p>
        </w:tc>
        <w:tc>
          <w:tcPr>
            <w:tcW w:w="567" w:type="dxa"/>
            <w:shd w:val="clear" w:color="000000" w:fill="FFFFFF"/>
            <w:noWrap/>
            <w:hideMark/>
          </w:tcPr>
          <w:p w14:paraId="5FFEC81F" w14:textId="77777777" w:rsidR="007075D9" w:rsidRPr="004D46AC" w:rsidRDefault="007075D9" w:rsidP="002C5F6E">
            <w:pPr>
              <w:spacing w:line="240" w:lineRule="auto"/>
              <w:ind w:firstLine="0"/>
              <w:rPr>
                <w:rFonts w:eastAsia="Times New Roman"/>
                <w:color w:val="000000"/>
              </w:rPr>
            </w:pPr>
            <w:r w:rsidRPr="004D46AC">
              <w:rPr>
                <w:color w:val="000000"/>
              </w:rPr>
              <w:t>72</w:t>
            </w:r>
          </w:p>
        </w:tc>
        <w:tc>
          <w:tcPr>
            <w:tcW w:w="1559" w:type="dxa"/>
            <w:shd w:val="clear" w:color="000000" w:fill="FFFFFF"/>
            <w:hideMark/>
          </w:tcPr>
          <w:p w14:paraId="4C503AE2"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6B484666" w14:textId="77777777" w:rsidTr="00B518F1">
        <w:trPr>
          <w:trHeight w:val="600"/>
        </w:trPr>
        <w:tc>
          <w:tcPr>
            <w:tcW w:w="1312" w:type="dxa"/>
            <w:shd w:val="clear" w:color="000000" w:fill="FFFFFF"/>
            <w:hideMark/>
          </w:tcPr>
          <w:p w14:paraId="54A4A56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General</w:t>
            </w:r>
          </w:p>
        </w:tc>
        <w:tc>
          <w:tcPr>
            <w:tcW w:w="1312" w:type="dxa"/>
            <w:shd w:val="clear" w:color="000000" w:fill="FFFFFF"/>
            <w:noWrap/>
            <w:hideMark/>
          </w:tcPr>
          <w:p w14:paraId="4B6B04A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639DCA5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Anxiety, panic, multiple fears and phobias</w:t>
            </w:r>
          </w:p>
        </w:tc>
        <w:tc>
          <w:tcPr>
            <w:tcW w:w="2268" w:type="dxa"/>
            <w:shd w:val="clear" w:color="000000" w:fill="FFFFFF"/>
            <w:noWrap/>
            <w:hideMark/>
          </w:tcPr>
          <w:p w14:paraId="37683F6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cannot deal with the pressures associated with crowds</w:t>
            </w:r>
          </w:p>
        </w:tc>
        <w:tc>
          <w:tcPr>
            <w:tcW w:w="567" w:type="dxa"/>
            <w:shd w:val="clear" w:color="000000" w:fill="FFFFFF"/>
            <w:noWrap/>
            <w:hideMark/>
          </w:tcPr>
          <w:p w14:paraId="35542290" w14:textId="77777777" w:rsidR="007075D9" w:rsidRPr="004D46AC" w:rsidRDefault="007075D9" w:rsidP="002C5F6E">
            <w:pPr>
              <w:spacing w:line="240" w:lineRule="auto"/>
              <w:ind w:firstLine="0"/>
              <w:rPr>
                <w:rFonts w:eastAsia="Times New Roman"/>
                <w:color w:val="000000"/>
              </w:rPr>
            </w:pPr>
            <w:r w:rsidRPr="004D46AC">
              <w:rPr>
                <w:color w:val="000000"/>
              </w:rPr>
              <w:t>73</w:t>
            </w:r>
          </w:p>
        </w:tc>
        <w:tc>
          <w:tcPr>
            <w:tcW w:w="1559" w:type="dxa"/>
            <w:shd w:val="clear" w:color="000000" w:fill="FFFFFF"/>
            <w:hideMark/>
          </w:tcPr>
          <w:p w14:paraId="77BEBC3C"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2CD77691" w14:textId="77777777" w:rsidTr="00B518F1">
        <w:trPr>
          <w:trHeight w:val="600"/>
        </w:trPr>
        <w:tc>
          <w:tcPr>
            <w:tcW w:w="1312" w:type="dxa"/>
            <w:shd w:val="clear" w:color="000000" w:fill="FFFFFF"/>
            <w:hideMark/>
          </w:tcPr>
          <w:p w14:paraId="4EC1B9F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7907AC1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3660EDA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Anxiety, panic, multiple fears and phobias</w:t>
            </w:r>
          </w:p>
        </w:tc>
        <w:tc>
          <w:tcPr>
            <w:tcW w:w="2268" w:type="dxa"/>
            <w:shd w:val="clear" w:color="000000" w:fill="FFFFFF"/>
            <w:noWrap/>
            <w:hideMark/>
          </w:tcPr>
          <w:p w14:paraId="3F89113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can’t get my mind [away from] certain thoughts</w:t>
            </w:r>
          </w:p>
        </w:tc>
        <w:tc>
          <w:tcPr>
            <w:tcW w:w="567" w:type="dxa"/>
            <w:shd w:val="clear" w:color="000000" w:fill="FFFFFF"/>
            <w:noWrap/>
            <w:hideMark/>
          </w:tcPr>
          <w:p w14:paraId="0866D2D0" w14:textId="77777777" w:rsidR="007075D9" w:rsidRPr="004D46AC" w:rsidRDefault="007075D9" w:rsidP="002C5F6E">
            <w:pPr>
              <w:spacing w:line="240" w:lineRule="auto"/>
              <w:ind w:firstLine="0"/>
              <w:rPr>
                <w:rFonts w:eastAsia="Times New Roman"/>
                <w:color w:val="000000"/>
              </w:rPr>
            </w:pPr>
            <w:r w:rsidRPr="004D46AC">
              <w:rPr>
                <w:color w:val="000000"/>
              </w:rPr>
              <w:t>74</w:t>
            </w:r>
          </w:p>
        </w:tc>
        <w:tc>
          <w:tcPr>
            <w:tcW w:w="1559" w:type="dxa"/>
            <w:shd w:val="clear" w:color="000000" w:fill="FFFFFF"/>
            <w:hideMark/>
          </w:tcPr>
          <w:p w14:paraId="6BB228E3"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4577381E" w14:textId="77777777" w:rsidTr="00B518F1">
        <w:trPr>
          <w:trHeight w:val="600"/>
        </w:trPr>
        <w:tc>
          <w:tcPr>
            <w:tcW w:w="1312" w:type="dxa"/>
            <w:shd w:val="clear" w:color="000000" w:fill="FFFFFF"/>
            <w:hideMark/>
          </w:tcPr>
          <w:p w14:paraId="60EC53F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655D38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4449272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Diminished interest in pleasurable activities</w:t>
            </w:r>
          </w:p>
        </w:tc>
        <w:tc>
          <w:tcPr>
            <w:tcW w:w="2268" w:type="dxa"/>
            <w:shd w:val="clear" w:color="000000" w:fill="FFFFFF"/>
            <w:noWrap/>
            <w:hideMark/>
          </w:tcPr>
          <w:p w14:paraId="456EC57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have only few hobbies or interests?</w:t>
            </w:r>
          </w:p>
        </w:tc>
        <w:tc>
          <w:tcPr>
            <w:tcW w:w="567" w:type="dxa"/>
            <w:shd w:val="clear" w:color="000000" w:fill="FFFFFF"/>
            <w:noWrap/>
            <w:hideMark/>
          </w:tcPr>
          <w:p w14:paraId="4599A9EA" w14:textId="77777777" w:rsidR="007075D9" w:rsidRPr="004D46AC" w:rsidRDefault="007075D9" w:rsidP="002C5F6E">
            <w:pPr>
              <w:spacing w:line="240" w:lineRule="auto"/>
              <w:ind w:firstLine="0"/>
              <w:rPr>
                <w:rFonts w:eastAsia="Times New Roman"/>
                <w:color w:val="000000"/>
              </w:rPr>
            </w:pPr>
            <w:r w:rsidRPr="004D46AC">
              <w:rPr>
                <w:color w:val="000000"/>
              </w:rPr>
              <w:t>75</w:t>
            </w:r>
          </w:p>
        </w:tc>
        <w:tc>
          <w:tcPr>
            <w:tcW w:w="1559" w:type="dxa"/>
            <w:shd w:val="clear" w:color="000000" w:fill="FFFFFF"/>
            <w:hideMark/>
          </w:tcPr>
          <w:p w14:paraId="33184762"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4A6CEE94" w14:textId="77777777" w:rsidTr="00B518F1">
        <w:trPr>
          <w:trHeight w:val="600"/>
        </w:trPr>
        <w:tc>
          <w:tcPr>
            <w:tcW w:w="1312" w:type="dxa"/>
            <w:shd w:val="clear" w:color="000000" w:fill="FFFFFF"/>
            <w:hideMark/>
          </w:tcPr>
          <w:p w14:paraId="09B0B59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5B33EBE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71EEBD2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Diminished interest in pleasurable activities</w:t>
            </w:r>
          </w:p>
        </w:tc>
        <w:tc>
          <w:tcPr>
            <w:tcW w:w="2268" w:type="dxa"/>
            <w:shd w:val="clear" w:color="000000" w:fill="FFFFFF"/>
            <w:noWrap/>
            <w:hideMark/>
          </w:tcPr>
          <w:p w14:paraId="6EDBB47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unable to enjoy things that I used to enjoy</w:t>
            </w:r>
          </w:p>
        </w:tc>
        <w:tc>
          <w:tcPr>
            <w:tcW w:w="567" w:type="dxa"/>
            <w:shd w:val="clear" w:color="000000" w:fill="FFFFFF"/>
            <w:noWrap/>
            <w:hideMark/>
          </w:tcPr>
          <w:p w14:paraId="7DA7530E" w14:textId="77777777" w:rsidR="007075D9" w:rsidRPr="004D46AC" w:rsidRDefault="007075D9" w:rsidP="002C5F6E">
            <w:pPr>
              <w:spacing w:line="240" w:lineRule="auto"/>
              <w:ind w:firstLine="0"/>
              <w:rPr>
                <w:rFonts w:eastAsia="Times New Roman"/>
                <w:color w:val="000000"/>
              </w:rPr>
            </w:pPr>
            <w:r w:rsidRPr="004D46AC">
              <w:rPr>
                <w:color w:val="000000"/>
              </w:rPr>
              <w:t>76</w:t>
            </w:r>
          </w:p>
        </w:tc>
        <w:tc>
          <w:tcPr>
            <w:tcW w:w="1559" w:type="dxa"/>
            <w:shd w:val="clear" w:color="000000" w:fill="FFFFFF"/>
            <w:hideMark/>
          </w:tcPr>
          <w:p w14:paraId="172A3CD8"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4E3A6F14" w14:textId="77777777" w:rsidTr="00B518F1">
        <w:trPr>
          <w:trHeight w:val="600"/>
        </w:trPr>
        <w:tc>
          <w:tcPr>
            <w:tcW w:w="1312" w:type="dxa"/>
            <w:shd w:val="clear" w:color="000000" w:fill="FFFFFF"/>
            <w:hideMark/>
          </w:tcPr>
          <w:p w14:paraId="500981E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17C84D9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7A562E5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Diminished interest in pleasurable activities</w:t>
            </w:r>
          </w:p>
        </w:tc>
        <w:tc>
          <w:tcPr>
            <w:tcW w:w="2268" w:type="dxa"/>
            <w:shd w:val="clear" w:color="000000" w:fill="FFFFFF"/>
            <w:noWrap/>
            <w:hideMark/>
          </w:tcPr>
          <w:p w14:paraId="573CA32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uninterested in the things I used to enjoy</w:t>
            </w:r>
          </w:p>
        </w:tc>
        <w:tc>
          <w:tcPr>
            <w:tcW w:w="567" w:type="dxa"/>
            <w:shd w:val="clear" w:color="000000" w:fill="FFFFFF"/>
            <w:noWrap/>
            <w:hideMark/>
          </w:tcPr>
          <w:p w14:paraId="4C4D2B59" w14:textId="77777777" w:rsidR="007075D9" w:rsidRPr="004D46AC" w:rsidRDefault="007075D9" w:rsidP="002C5F6E">
            <w:pPr>
              <w:spacing w:line="240" w:lineRule="auto"/>
              <w:ind w:firstLine="0"/>
              <w:rPr>
                <w:rFonts w:eastAsia="Times New Roman"/>
                <w:color w:val="000000"/>
              </w:rPr>
            </w:pPr>
            <w:r w:rsidRPr="004D46AC">
              <w:rPr>
                <w:color w:val="000000"/>
              </w:rPr>
              <w:t>77</w:t>
            </w:r>
          </w:p>
        </w:tc>
        <w:tc>
          <w:tcPr>
            <w:tcW w:w="1559" w:type="dxa"/>
            <w:shd w:val="clear" w:color="000000" w:fill="FFFFFF"/>
            <w:hideMark/>
          </w:tcPr>
          <w:p w14:paraId="4784D70A"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4FC46FDE" w14:textId="77777777" w:rsidTr="00B518F1">
        <w:trPr>
          <w:trHeight w:val="600"/>
        </w:trPr>
        <w:tc>
          <w:tcPr>
            <w:tcW w:w="1312" w:type="dxa"/>
            <w:shd w:val="clear" w:color="000000" w:fill="FFFFFF"/>
            <w:hideMark/>
          </w:tcPr>
          <w:p w14:paraId="32C420F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29308CC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46947B5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Feelings of loss of energy</w:t>
            </w:r>
          </w:p>
        </w:tc>
        <w:tc>
          <w:tcPr>
            <w:tcW w:w="2268" w:type="dxa"/>
            <w:shd w:val="clear" w:color="000000" w:fill="FFFFFF"/>
            <w:noWrap/>
            <w:hideMark/>
          </w:tcPr>
          <w:p w14:paraId="494D81E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feel lethargic whatever I do</w:t>
            </w:r>
          </w:p>
        </w:tc>
        <w:tc>
          <w:tcPr>
            <w:tcW w:w="567" w:type="dxa"/>
            <w:shd w:val="clear" w:color="000000" w:fill="FFFFFF"/>
            <w:noWrap/>
            <w:hideMark/>
          </w:tcPr>
          <w:p w14:paraId="3D7DD3C3" w14:textId="77777777" w:rsidR="007075D9" w:rsidRPr="004D46AC" w:rsidRDefault="007075D9" w:rsidP="002C5F6E">
            <w:pPr>
              <w:spacing w:line="240" w:lineRule="auto"/>
              <w:ind w:firstLine="0"/>
              <w:rPr>
                <w:rFonts w:eastAsia="Times New Roman"/>
                <w:color w:val="000000"/>
              </w:rPr>
            </w:pPr>
            <w:r w:rsidRPr="004D46AC">
              <w:rPr>
                <w:color w:val="000000"/>
              </w:rPr>
              <w:t>78</w:t>
            </w:r>
          </w:p>
        </w:tc>
        <w:tc>
          <w:tcPr>
            <w:tcW w:w="1559" w:type="dxa"/>
            <w:shd w:val="clear" w:color="000000" w:fill="FFFFFF"/>
            <w:hideMark/>
          </w:tcPr>
          <w:p w14:paraId="1F31ACF2"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72C8C139" w14:textId="77777777" w:rsidTr="00B518F1">
        <w:trPr>
          <w:trHeight w:val="600"/>
        </w:trPr>
        <w:tc>
          <w:tcPr>
            <w:tcW w:w="1312" w:type="dxa"/>
            <w:shd w:val="clear" w:color="000000" w:fill="FFFFFF"/>
            <w:hideMark/>
          </w:tcPr>
          <w:p w14:paraId="3E047B1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4CF2898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0F92E30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Feelings of worthlessness and/or guilt</w:t>
            </w:r>
          </w:p>
        </w:tc>
        <w:tc>
          <w:tcPr>
            <w:tcW w:w="2268" w:type="dxa"/>
            <w:shd w:val="clear" w:color="000000" w:fill="FFFFFF"/>
            <w:noWrap/>
            <w:hideMark/>
          </w:tcPr>
          <w:p w14:paraId="111C350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always mess up whatever I do</w:t>
            </w:r>
          </w:p>
        </w:tc>
        <w:tc>
          <w:tcPr>
            <w:tcW w:w="567" w:type="dxa"/>
            <w:shd w:val="clear" w:color="000000" w:fill="FFFFFF"/>
            <w:noWrap/>
            <w:hideMark/>
          </w:tcPr>
          <w:p w14:paraId="0229EFFC" w14:textId="77777777" w:rsidR="007075D9" w:rsidRPr="004D46AC" w:rsidRDefault="007075D9" w:rsidP="002C5F6E">
            <w:pPr>
              <w:spacing w:line="240" w:lineRule="auto"/>
              <w:ind w:firstLine="0"/>
              <w:rPr>
                <w:rFonts w:eastAsia="Times New Roman"/>
                <w:color w:val="000000"/>
              </w:rPr>
            </w:pPr>
            <w:r w:rsidRPr="004D46AC">
              <w:rPr>
                <w:color w:val="000000"/>
              </w:rPr>
              <w:t>79</w:t>
            </w:r>
          </w:p>
        </w:tc>
        <w:tc>
          <w:tcPr>
            <w:tcW w:w="1559" w:type="dxa"/>
            <w:shd w:val="clear" w:color="000000" w:fill="FFFFFF"/>
            <w:hideMark/>
          </w:tcPr>
          <w:p w14:paraId="1DE845C1" w14:textId="77777777" w:rsidR="007075D9" w:rsidRPr="004D46AC" w:rsidRDefault="007075D9" w:rsidP="002C5F6E">
            <w:pPr>
              <w:spacing w:line="240" w:lineRule="auto"/>
              <w:ind w:firstLine="0"/>
              <w:rPr>
                <w:rFonts w:eastAsia="Times New Roman"/>
                <w:color w:val="000000"/>
              </w:rPr>
            </w:pPr>
            <w:r w:rsidRPr="004D46AC">
              <w:rPr>
                <w:color w:val="000000"/>
              </w:rPr>
              <w:t>BSQSP and CPRQ</w:t>
            </w:r>
          </w:p>
        </w:tc>
      </w:tr>
      <w:tr w:rsidR="007075D9" w:rsidRPr="004D46AC" w14:paraId="2DDE8A74" w14:textId="77777777" w:rsidTr="00B518F1">
        <w:trPr>
          <w:trHeight w:val="600"/>
        </w:trPr>
        <w:tc>
          <w:tcPr>
            <w:tcW w:w="1312" w:type="dxa"/>
            <w:shd w:val="clear" w:color="000000" w:fill="FFFFFF"/>
            <w:hideMark/>
          </w:tcPr>
          <w:p w14:paraId="1AA99CD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77F1FA8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19250FD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Feelings of worthlessness and/or guilt</w:t>
            </w:r>
          </w:p>
        </w:tc>
        <w:tc>
          <w:tcPr>
            <w:tcW w:w="2268" w:type="dxa"/>
            <w:shd w:val="clear" w:color="000000" w:fill="FFFFFF"/>
            <w:noWrap/>
            <w:hideMark/>
          </w:tcPr>
          <w:p w14:paraId="3DDE972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very guilty</w:t>
            </w:r>
          </w:p>
        </w:tc>
        <w:tc>
          <w:tcPr>
            <w:tcW w:w="567" w:type="dxa"/>
            <w:shd w:val="clear" w:color="000000" w:fill="FFFFFF"/>
            <w:noWrap/>
            <w:hideMark/>
          </w:tcPr>
          <w:p w14:paraId="1F5AB041" w14:textId="77777777" w:rsidR="007075D9" w:rsidRPr="004D46AC" w:rsidRDefault="007075D9" w:rsidP="002C5F6E">
            <w:pPr>
              <w:spacing w:line="240" w:lineRule="auto"/>
              <w:ind w:firstLine="0"/>
              <w:rPr>
                <w:rFonts w:eastAsia="Times New Roman"/>
                <w:color w:val="000000"/>
              </w:rPr>
            </w:pPr>
            <w:r w:rsidRPr="004D46AC">
              <w:rPr>
                <w:color w:val="000000"/>
              </w:rPr>
              <w:t>80</w:t>
            </w:r>
          </w:p>
        </w:tc>
        <w:tc>
          <w:tcPr>
            <w:tcW w:w="1559" w:type="dxa"/>
            <w:shd w:val="clear" w:color="000000" w:fill="FFFFFF"/>
            <w:hideMark/>
          </w:tcPr>
          <w:p w14:paraId="752880B5"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617D0A92" w14:textId="77777777" w:rsidTr="00B518F1">
        <w:trPr>
          <w:trHeight w:val="600"/>
        </w:trPr>
        <w:tc>
          <w:tcPr>
            <w:tcW w:w="1312" w:type="dxa"/>
            <w:shd w:val="clear" w:color="000000" w:fill="FFFFFF"/>
            <w:hideMark/>
          </w:tcPr>
          <w:p w14:paraId="4D7250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35924E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48DED93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Feelings of worthlessness and/or guilt</w:t>
            </w:r>
          </w:p>
        </w:tc>
        <w:tc>
          <w:tcPr>
            <w:tcW w:w="2268" w:type="dxa"/>
            <w:shd w:val="clear" w:color="000000" w:fill="FFFFFF"/>
            <w:noWrap/>
            <w:hideMark/>
          </w:tcPr>
          <w:p w14:paraId="283F05D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worthless</w:t>
            </w:r>
          </w:p>
        </w:tc>
        <w:tc>
          <w:tcPr>
            <w:tcW w:w="567" w:type="dxa"/>
            <w:shd w:val="clear" w:color="000000" w:fill="FFFFFF"/>
            <w:noWrap/>
            <w:hideMark/>
          </w:tcPr>
          <w:p w14:paraId="14CEF4AD" w14:textId="77777777" w:rsidR="007075D9" w:rsidRPr="004D46AC" w:rsidRDefault="007075D9" w:rsidP="002C5F6E">
            <w:pPr>
              <w:spacing w:line="240" w:lineRule="auto"/>
              <w:ind w:firstLine="0"/>
              <w:rPr>
                <w:rFonts w:eastAsia="Times New Roman"/>
                <w:color w:val="000000"/>
              </w:rPr>
            </w:pPr>
            <w:r w:rsidRPr="004D46AC">
              <w:rPr>
                <w:color w:val="000000"/>
              </w:rPr>
              <w:t>81</w:t>
            </w:r>
          </w:p>
        </w:tc>
        <w:tc>
          <w:tcPr>
            <w:tcW w:w="1559" w:type="dxa"/>
            <w:shd w:val="clear" w:color="000000" w:fill="FFFFFF"/>
            <w:hideMark/>
          </w:tcPr>
          <w:p w14:paraId="628D4AD7"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36943D2F" w14:textId="77777777" w:rsidTr="00B518F1">
        <w:trPr>
          <w:trHeight w:val="600"/>
        </w:trPr>
        <w:tc>
          <w:tcPr>
            <w:tcW w:w="1312" w:type="dxa"/>
            <w:shd w:val="clear" w:color="000000" w:fill="FFFFFF"/>
            <w:hideMark/>
          </w:tcPr>
          <w:p w14:paraId="150B758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73A8AAD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28AFAC9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Feelings of worthlessness and/or guilt</w:t>
            </w:r>
          </w:p>
        </w:tc>
        <w:tc>
          <w:tcPr>
            <w:tcW w:w="2268" w:type="dxa"/>
            <w:shd w:val="clear" w:color="000000" w:fill="FFFFFF"/>
            <w:noWrap/>
            <w:hideMark/>
          </w:tcPr>
          <w:p w14:paraId="767BE6D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like a failure?</w:t>
            </w:r>
          </w:p>
        </w:tc>
        <w:tc>
          <w:tcPr>
            <w:tcW w:w="567" w:type="dxa"/>
            <w:shd w:val="clear" w:color="000000" w:fill="FFFFFF"/>
            <w:noWrap/>
            <w:hideMark/>
          </w:tcPr>
          <w:p w14:paraId="0A543189" w14:textId="77777777" w:rsidR="007075D9" w:rsidRPr="004D46AC" w:rsidRDefault="007075D9" w:rsidP="002C5F6E">
            <w:pPr>
              <w:spacing w:line="240" w:lineRule="auto"/>
              <w:ind w:firstLine="0"/>
              <w:rPr>
                <w:rFonts w:eastAsia="Times New Roman"/>
                <w:color w:val="000000"/>
              </w:rPr>
            </w:pPr>
            <w:r w:rsidRPr="004D46AC">
              <w:rPr>
                <w:color w:val="000000"/>
              </w:rPr>
              <w:t>82</w:t>
            </w:r>
          </w:p>
        </w:tc>
        <w:tc>
          <w:tcPr>
            <w:tcW w:w="1559" w:type="dxa"/>
            <w:shd w:val="clear" w:color="000000" w:fill="FFFFFF"/>
            <w:hideMark/>
          </w:tcPr>
          <w:p w14:paraId="5AFCFD74"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70C7D928" w14:textId="77777777" w:rsidTr="00B518F1">
        <w:trPr>
          <w:trHeight w:val="600"/>
        </w:trPr>
        <w:tc>
          <w:tcPr>
            <w:tcW w:w="1312" w:type="dxa"/>
            <w:shd w:val="clear" w:color="000000" w:fill="FFFFFF"/>
            <w:hideMark/>
          </w:tcPr>
          <w:p w14:paraId="6FFBF91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308F7FA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0C203E0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Irritability, hostility, rage</w:t>
            </w:r>
          </w:p>
        </w:tc>
        <w:tc>
          <w:tcPr>
            <w:tcW w:w="2268" w:type="dxa"/>
            <w:shd w:val="clear" w:color="000000" w:fill="FFFFFF"/>
            <w:noWrap/>
            <w:hideMark/>
          </w:tcPr>
          <w:p w14:paraId="4BF738C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angry, easily irritated or offended</w:t>
            </w:r>
          </w:p>
        </w:tc>
        <w:tc>
          <w:tcPr>
            <w:tcW w:w="567" w:type="dxa"/>
            <w:shd w:val="clear" w:color="000000" w:fill="FFFFFF"/>
            <w:noWrap/>
            <w:hideMark/>
          </w:tcPr>
          <w:p w14:paraId="664AF027" w14:textId="77777777" w:rsidR="007075D9" w:rsidRPr="004D46AC" w:rsidRDefault="007075D9" w:rsidP="002C5F6E">
            <w:pPr>
              <w:spacing w:line="240" w:lineRule="auto"/>
              <w:ind w:firstLine="0"/>
              <w:rPr>
                <w:rFonts w:eastAsia="Times New Roman"/>
                <w:color w:val="000000"/>
              </w:rPr>
            </w:pPr>
            <w:r w:rsidRPr="004D46AC">
              <w:rPr>
                <w:color w:val="000000"/>
              </w:rPr>
              <w:t>83</w:t>
            </w:r>
          </w:p>
        </w:tc>
        <w:tc>
          <w:tcPr>
            <w:tcW w:w="1559" w:type="dxa"/>
            <w:shd w:val="clear" w:color="000000" w:fill="FFFFFF"/>
            <w:hideMark/>
          </w:tcPr>
          <w:p w14:paraId="63EC06A5"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370710A2" w14:textId="77777777" w:rsidTr="00B518F1">
        <w:trPr>
          <w:trHeight w:val="600"/>
        </w:trPr>
        <w:tc>
          <w:tcPr>
            <w:tcW w:w="1312" w:type="dxa"/>
            <w:shd w:val="clear" w:color="000000" w:fill="FFFFFF"/>
            <w:hideMark/>
          </w:tcPr>
          <w:p w14:paraId="3DE2BEF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3EC568F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3657C38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Irritability, hostility, rage</w:t>
            </w:r>
          </w:p>
        </w:tc>
        <w:tc>
          <w:tcPr>
            <w:tcW w:w="2268" w:type="dxa"/>
            <w:shd w:val="clear" w:color="000000" w:fill="FFFFFF"/>
            <w:noWrap/>
            <w:hideMark/>
          </w:tcPr>
          <w:p w14:paraId="5FF449E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Over-sensitivity, more easily hurt or upset</w:t>
            </w:r>
          </w:p>
        </w:tc>
        <w:tc>
          <w:tcPr>
            <w:tcW w:w="567" w:type="dxa"/>
            <w:shd w:val="clear" w:color="000000" w:fill="FFFFFF"/>
            <w:noWrap/>
            <w:hideMark/>
          </w:tcPr>
          <w:p w14:paraId="39C36660" w14:textId="77777777" w:rsidR="007075D9" w:rsidRPr="004D46AC" w:rsidRDefault="007075D9" w:rsidP="002C5F6E">
            <w:pPr>
              <w:spacing w:line="240" w:lineRule="auto"/>
              <w:ind w:firstLine="0"/>
              <w:rPr>
                <w:rFonts w:eastAsia="Times New Roman"/>
                <w:color w:val="000000"/>
              </w:rPr>
            </w:pPr>
            <w:r w:rsidRPr="004D46AC">
              <w:rPr>
                <w:color w:val="000000"/>
              </w:rPr>
              <w:t>84</w:t>
            </w:r>
          </w:p>
        </w:tc>
        <w:tc>
          <w:tcPr>
            <w:tcW w:w="1559" w:type="dxa"/>
            <w:shd w:val="clear" w:color="000000" w:fill="FFFFFF"/>
            <w:hideMark/>
          </w:tcPr>
          <w:p w14:paraId="183B53B5" w14:textId="77777777" w:rsidR="007075D9" w:rsidRPr="004D46AC" w:rsidRDefault="007075D9" w:rsidP="002C5F6E">
            <w:pPr>
              <w:spacing w:line="240" w:lineRule="auto"/>
              <w:ind w:firstLine="0"/>
              <w:rPr>
                <w:rFonts w:eastAsia="Times New Roman"/>
                <w:color w:val="000000"/>
              </w:rPr>
            </w:pPr>
            <w:r w:rsidRPr="004D46AC">
              <w:rPr>
                <w:color w:val="000000"/>
              </w:rPr>
              <w:t>Self-screen Prodrome and YSR</w:t>
            </w:r>
          </w:p>
        </w:tc>
      </w:tr>
      <w:tr w:rsidR="007075D9" w:rsidRPr="004D46AC" w14:paraId="4089E141" w14:textId="77777777" w:rsidTr="00B518F1">
        <w:trPr>
          <w:trHeight w:val="600"/>
        </w:trPr>
        <w:tc>
          <w:tcPr>
            <w:tcW w:w="1312" w:type="dxa"/>
            <w:shd w:val="clear" w:color="000000" w:fill="FFFFFF"/>
            <w:hideMark/>
          </w:tcPr>
          <w:p w14:paraId="2515F47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564F418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3990E36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Poor or increased appetite</w:t>
            </w:r>
          </w:p>
        </w:tc>
        <w:tc>
          <w:tcPr>
            <w:tcW w:w="2268" w:type="dxa"/>
            <w:shd w:val="clear" w:color="000000" w:fill="FFFFFF"/>
            <w:noWrap/>
            <w:hideMark/>
          </w:tcPr>
          <w:p w14:paraId="066FE1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Poor appetite</w:t>
            </w:r>
          </w:p>
        </w:tc>
        <w:tc>
          <w:tcPr>
            <w:tcW w:w="567" w:type="dxa"/>
            <w:shd w:val="clear" w:color="000000" w:fill="FFFFFF"/>
            <w:noWrap/>
            <w:hideMark/>
          </w:tcPr>
          <w:p w14:paraId="0D1F16A8" w14:textId="77777777" w:rsidR="007075D9" w:rsidRPr="004D46AC" w:rsidRDefault="007075D9" w:rsidP="002C5F6E">
            <w:pPr>
              <w:spacing w:line="240" w:lineRule="auto"/>
              <w:ind w:firstLine="0"/>
              <w:rPr>
                <w:rFonts w:eastAsia="Times New Roman"/>
                <w:color w:val="000000"/>
              </w:rPr>
            </w:pPr>
            <w:r w:rsidRPr="004D46AC">
              <w:rPr>
                <w:color w:val="000000"/>
              </w:rPr>
              <w:t>85</w:t>
            </w:r>
          </w:p>
        </w:tc>
        <w:tc>
          <w:tcPr>
            <w:tcW w:w="1559" w:type="dxa"/>
            <w:shd w:val="clear" w:color="000000" w:fill="FFFFFF"/>
            <w:hideMark/>
          </w:tcPr>
          <w:p w14:paraId="7CB4D630" w14:textId="77777777" w:rsidR="007075D9" w:rsidRPr="004D46AC" w:rsidRDefault="007075D9" w:rsidP="002C5F6E">
            <w:pPr>
              <w:spacing w:line="240" w:lineRule="auto"/>
              <w:ind w:firstLine="0"/>
              <w:rPr>
                <w:rFonts w:eastAsia="Times New Roman"/>
                <w:color w:val="000000"/>
              </w:rPr>
            </w:pPr>
            <w:r w:rsidRPr="004D46AC">
              <w:rPr>
                <w:color w:val="000000"/>
              </w:rPr>
              <w:t>EDPCC</w:t>
            </w:r>
          </w:p>
        </w:tc>
      </w:tr>
      <w:tr w:rsidR="007075D9" w:rsidRPr="004D46AC" w14:paraId="7B878C47" w14:textId="77777777" w:rsidTr="00B518F1">
        <w:trPr>
          <w:trHeight w:val="600"/>
        </w:trPr>
        <w:tc>
          <w:tcPr>
            <w:tcW w:w="1312" w:type="dxa"/>
            <w:shd w:val="clear" w:color="000000" w:fill="FFFFFF"/>
            <w:hideMark/>
          </w:tcPr>
          <w:p w14:paraId="0493512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229D3D8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054D4CC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Restless, agitation, tension </w:t>
            </w:r>
          </w:p>
        </w:tc>
        <w:tc>
          <w:tcPr>
            <w:tcW w:w="2268" w:type="dxa"/>
            <w:shd w:val="clear" w:color="000000" w:fill="FFFFFF"/>
            <w:noWrap/>
            <w:hideMark/>
          </w:tcPr>
          <w:p w14:paraId="0186B8F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more nervous or anxious, and have found it hard to relax</w:t>
            </w:r>
          </w:p>
        </w:tc>
        <w:tc>
          <w:tcPr>
            <w:tcW w:w="567" w:type="dxa"/>
            <w:shd w:val="clear" w:color="000000" w:fill="FFFFFF"/>
            <w:noWrap/>
            <w:hideMark/>
          </w:tcPr>
          <w:p w14:paraId="2871E92B" w14:textId="77777777" w:rsidR="007075D9" w:rsidRPr="004D46AC" w:rsidRDefault="007075D9" w:rsidP="002C5F6E">
            <w:pPr>
              <w:spacing w:line="240" w:lineRule="auto"/>
              <w:ind w:firstLine="0"/>
              <w:rPr>
                <w:rFonts w:eastAsia="Times New Roman"/>
                <w:color w:val="000000"/>
              </w:rPr>
            </w:pPr>
            <w:r w:rsidRPr="004D46AC">
              <w:rPr>
                <w:color w:val="000000"/>
              </w:rPr>
              <w:t>86</w:t>
            </w:r>
          </w:p>
        </w:tc>
        <w:tc>
          <w:tcPr>
            <w:tcW w:w="1559" w:type="dxa"/>
            <w:shd w:val="clear" w:color="000000" w:fill="FFFFFF"/>
            <w:hideMark/>
          </w:tcPr>
          <w:p w14:paraId="350AD48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4E940D32" w14:textId="77777777" w:rsidTr="00B518F1">
        <w:trPr>
          <w:trHeight w:val="600"/>
        </w:trPr>
        <w:tc>
          <w:tcPr>
            <w:tcW w:w="1312" w:type="dxa"/>
            <w:shd w:val="clear" w:color="000000" w:fill="FFFFFF"/>
            <w:hideMark/>
          </w:tcPr>
          <w:p w14:paraId="1A1D6A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General</w:t>
            </w:r>
          </w:p>
        </w:tc>
        <w:tc>
          <w:tcPr>
            <w:tcW w:w="1312" w:type="dxa"/>
            <w:shd w:val="clear" w:color="000000" w:fill="FFFFFF"/>
            <w:noWrap/>
            <w:hideMark/>
          </w:tcPr>
          <w:p w14:paraId="7589C08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40ABD3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Restless, agitation, tension </w:t>
            </w:r>
          </w:p>
        </w:tc>
        <w:tc>
          <w:tcPr>
            <w:tcW w:w="2268" w:type="dxa"/>
            <w:shd w:val="clear" w:color="000000" w:fill="FFFFFF"/>
            <w:noWrap/>
            <w:hideMark/>
          </w:tcPr>
          <w:p w14:paraId="1ADC163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Nervousness, feeling tense</w:t>
            </w:r>
          </w:p>
        </w:tc>
        <w:tc>
          <w:tcPr>
            <w:tcW w:w="567" w:type="dxa"/>
            <w:shd w:val="clear" w:color="000000" w:fill="FFFFFF"/>
            <w:noWrap/>
            <w:hideMark/>
          </w:tcPr>
          <w:p w14:paraId="084DB066" w14:textId="77777777" w:rsidR="007075D9" w:rsidRPr="004D46AC" w:rsidRDefault="007075D9" w:rsidP="002C5F6E">
            <w:pPr>
              <w:spacing w:line="240" w:lineRule="auto"/>
              <w:ind w:firstLine="0"/>
              <w:rPr>
                <w:rFonts w:eastAsia="Times New Roman"/>
                <w:color w:val="000000"/>
              </w:rPr>
            </w:pPr>
            <w:r w:rsidRPr="004D46AC">
              <w:rPr>
                <w:color w:val="000000"/>
              </w:rPr>
              <w:t>87</w:t>
            </w:r>
          </w:p>
        </w:tc>
        <w:tc>
          <w:tcPr>
            <w:tcW w:w="1559" w:type="dxa"/>
            <w:shd w:val="clear" w:color="000000" w:fill="FFFFFF"/>
            <w:hideMark/>
          </w:tcPr>
          <w:p w14:paraId="2775002A"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088174FE" w14:textId="77777777" w:rsidTr="00B518F1">
        <w:trPr>
          <w:trHeight w:val="600"/>
        </w:trPr>
        <w:tc>
          <w:tcPr>
            <w:tcW w:w="1312" w:type="dxa"/>
            <w:shd w:val="clear" w:color="000000" w:fill="FFFFFF"/>
            <w:hideMark/>
          </w:tcPr>
          <w:p w14:paraId="20CB0B0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28722F6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3F908C6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Restless, agitation, tension </w:t>
            </w:r>
          </w:p>
        </w:tc>
        <w:tc>
          <w:tcPr>
            <w:tcW w:w="2268" w:type="dxa"/>
            <w:shd w:val="clear" w:color="000000" w:fill="FFFFFF"/>
            <w:noWrap/>
            <w:hideMark/>
          </w:tcPr>
          <w:p w14:paraId="2767486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often felt nervous, tense or restless? Has this led to arguments with others even about minor issues? Have you been more active than usual? Maybe so active that others might have thought that there was something wrong with you? </w:t>
            </w:r>
          </w:p>
        </w:tc>
        <w:tc>
          <w:tcPr>
            <w:tcW w:w="567" w:type="dxa"/>
            <w:shd w:val="clear" w:color="000000" w:fill="FFFFFF"/>
            <w:noWrap/>
            <w:hideMark/>
          </w:tcPr>
          <w:p w14:paraId="405149FF" w14:textId="77777777" w:rsidR="007075D9" w:rsidRPr="004D46AC" w:rsidRDefault="007075D9" w:rsidP="002C5F6E">
            <w:pPr>
              <w:spacing w:line="240" w:lineRule="auto"/>
              <w:ind w:firstLine="0"/>
              <w:rPr>
                <w:rFonts w:eastAsia="Times New Roman"/>
                <w:color w:val="000000"/>
              </w:rPr>
            </w:pPr>
            <w:r w:rsidRPr="004D46AC">
              <w:rPr>
                <w:color w:val="000000"/>
              </w:rPr>
              <w:t>88</w:t>
            </w:r>
          </w:p>
        </w:tc>
        <w:tc>
          <w:tcPr>
            <w:tcW w:w="1559" w:type="dxa"/>
            <w:shd w:val="clear" w:color="000000" w:fill="FFFFFF"/>
            <w:hideMark/>
          </w:tcPr>
          <w:p w14:paraId="0990866B"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0C9148CA" w14:textId="77777777" w:rsidTr="00B518F1">
        <w:trPr>
          <w:trHeight w:val="600"/>
        </w:trPr>
        <w:tc>
          <w:tcPr>
            <w:tcW w:w="1312" w:type="dxa"/>
            <w:shd w:val="clear" w:color="000000" w:fill="FFFFFF"/>
            <w:hideMark/>
          </w:tcPr>
          <w:p w14:paraId="6971D7A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4F6A7E3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4379542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Suicidal thoughts</w:t>
            </w:r>
          </w:p>
        </w:tc>
        <w:tc>
          <w:tcPr>
            <w:tcW w:w="2268" w:type="dxa"/>
            <w:shd w:val="clear" w:color="000000" w:fill="FFFFFF"/>
            <w:noWrap/>
            <w:hideMark/>
          </w:tcPr>
          <w:p w14:paraId="209D66C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as if you do not want to live anymore?</w:t>
            </w:r>
          </w:p>
        </w:tc>
        <w:tc>
          <w:tcPr>
            <w:tcW w:w="567" w:type="dxa"/>
            <w:shd w:val="clear" w:color="000000" w:fill="FFFFFF"/>
            <w:noWrap/>
            <w:hideMark/>
          </w:tcPr>
          <w:p w14:paraId="517BE21D" w14:textId="77777777" w:rsidR="007075D9" w:rsidRPr="004D46AC" w:rsidRDefault="007075D9" w:rsidP="002C5F6E">
            <w:pPr>
              <w:spacing w:line="240" w:lineRule="auto"/>
              <w:ind w:firstLine="0"/>
              <w:rPr>
                <w:rFonts w:eastAsia="Times New Roman"/>
                <w:color w:val="000000"/>
              </w:rPr>
            </w:pPr>
            <w:r w:rsidRPr="004D46AC">
              <w:rPr>
                <w:color w:val="000000"/>
              </w:rPr>
              <w:t>89</w:t>
            </w:r>
          </w:p>
        </w:tc>
        <w:tc>
          <w:tcPr>
            <w:tcW w:w="1559" w:type="dxa"/>
            <w:shd w:val="clear" w:color="000000" w:fill="FFFFFF"/>
            <w:hideMark/>
          </w:tcPr>
          <w:p w14:paraId="189E50DF"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5D2FA8AB" w14:textId="77777777" w:rsidTr="00B518F1">
        <w:trPr>
          <w:trHeight w:val="600"/>
        </w:trPr>
        <w:tc>
          <w:tcPr>
            <w:tcW w:w="1312" w:type="dxa"/>
            <w:shd w:val="clear" w:color="000000" w:fill="FFFFFF"/>
            <w:hideMark/>
          </w:tcPr>
          <w:p w14:paraId="3CA235B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35F285A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33FDC33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Suicidal thoughts</w:t>
            </w:r>
          </w:p>
        </w:tc>
        <w:tc>
          <w:tcPr>
            <w:tcW w:w="2268" w:type="dxa"/>
            <w:shd w:val="clear" w:color="000000" w:fill="FFFFFF"/>
            <w:noWrap/>
            <w:hideMark/>
          </w:tcPr>
          <w:p w14:paraId="2936D84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Deliberately harms self or attempts suicide</w:t>
            </w:r>
          </w:p>
        </w:tc>
        <w:tc>
          <w:tcPr>
            <w:tcW w:w="567" w:type="dxa"/>
            <w:shd w:val="clear" w:color="000000" w:fill="FFFFFF"/>
            <w:noWrap/>
            <w:hideMark/>
          </w:tcPr>
          <w:p w14:paraId="381386E4" w14:textId="77777777" w:rsidR="007075D9" w:rsidRPr="004D46AC" w:rsidRDefault="007075D9" w:rsidP="002C5F6E">
            <w:pPr>
              <w:spacing w:line="240" w:lineRule="auto"/>
              <w:ind w:firstLine="0"/>
              <w:rPr>
                <w:rFonts w:eastAsia="Times New Roman"/>
                <w:color w:val="000000"/>
              </w:rPr>
            </w:pPr>
            <w:r w:rsidRPr="004D46AC">
              <w:rPr>
                <w:color w:val="000000"/>
              </w:rPr>
              <w:t>90</w:t>
            </w:r>
          </w:p>
        </w:tc>
        <w:tc>
          <w:tcPr>
            <w:tcW w:w="1559" w:type="dxa"/>
            <w:shd w:val="clear" w:color="000000" w:fill="FFFFFF"/>
            <w:hideMark/>
          </w:tcPr>
          <w:p w14:paraId="602A98AA" w14:textId="77777777" w:rsidR="007075D9" w:rsidRPr="004D46AC" w:rsidRDefault="007075D9" w:rsidP="002C5F6E">
            <w:pPr>
              <w:spacing w:line="240" w:lineRule="auto"/>
              <w:ind w:firstLine="0"/>
              <w:rPr>
                <w:rFonts w:eastAsia="Times New Roman"/>
                <w:color w:val="000000"/>
              </w:rPr>
            </w:pPr>
            <w:r w:rsidRPr="004D46AC">
              <w:rPr>
                <w:color w:val="000000"/>
              </w:rPr>
              <w:t>CBCL</w:t>
            </w:r>
          </w:p>
        </w:tc>
      </w:tr>
      <w:tr w:rsidR="007075D9" w:rsidRPr="004D46AC" w14:paraId="3C32ADDD" w14:textId="77777777" w:rsidTr="00B518F1">
        <w:trPr>
          <w:trHeight w:val="600"/>
        </w:trPr>
        <w:tc>
          <w:tcPr>
            <w:tcW w:w="1312" w:type="dxa"/>
            <w:shd w:val="clear" w:color="000000" w:fill="FFFFFF"/>
            <w:hideMark/>
          </w:tcPr>
          <w:p w14:paraId="08668C1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61189A9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07EF0C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Suicidal thoughts</w:t>
            </w:r>
          </w:p>
        </w:tc>
        <w:tc>
          <w:tcPr>
            <w:tcW w:w="2268" w:type="dxa"/>
            <w:shd w:val="clear" w:color="000000" w:fill="FFFFFF"/>
            <w:noWrap/>
            <w:hideMark/>
          </w:tcPr>
          <w:p w14:paraId="78B640C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deliberately try to hurt or kill myself</w:t>
            </w:r>
          </w:p>
        </w:tc>
        <w:tc>
          <w:tcPr>
            <w:tcW w:w="567" w:type="dxa"/>
            <w:shd w:val="clear" w:color="000000" w:fill="FFFFFF"/>
            <w:noWrap/>
            <w:hideMark/>
          </w:tcPr>
          <w:p w14:paraId="02DFF55A" w14:textId="77777777" w:rsidR="007075D9" w:rsidRPr="004D46AC" w:rsidRDefault="007075D9" w:rsidP="002C5F6E">
            <w:pPr>
              <w:spacing w:line="240" w:lineRule="auto"/>
              <w:ind w:firstLine="0"/>
              <w:rPr>
                <w:rFonts w:eastAsia="Times New Roman"/>
                <w:color w:val="000000"/>
              </w:rPr>
            </w:pPr>
            <w:r w:rsidRPr="004D46AC">
              <w:rPr>
                <w:color w:val="000000"/>
              </w:rPr>
              <w:t>91</w:t>
            </w:r>
          </w:p>
        </w:tc>
        <w:tc>
          <w:tcPr>
            <w:tcW w:w="1559" w:type="dxa"/>
            <w:shd w:val="clear" w:color="000000" w:fill="FFFFFF"/>
            <w:hideMark/>
          </w:tcPr>
          <w:p w14:paraId="64D43644"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66772222" w14:textId="77777777" w:rsidTr="00B518F1">
        <w:trPr>
          <w:trHeight w:val="600"/>
        </w:trPr>
        <w:tc>
          <w:tcPr>
            <w:tcW w:w="1312" w:type="dxa"/>
            <w:shd w:val="clear" w:color="000000" w:fill="FFFFFF"/>
            <w:hideMark/>
          </w:tcPr>
          <w:p w14:paraId="7F44DBF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0FB8578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2E03593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mood</w:t>
            </w:r>
          </w:p>
        </w:tc>
        <w:tc>
          <w:tcPr>
            <w:tcW w:w="2268" w:type="dxa"/>
            <w:shd w:val="clear" w:color="000000" w:fill="FFFFFF"/>
            <w:noWrap/>
            <w:hideMark/>
          </w:tcPr>
          <w:p w14:paraId="51829E7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My moods have been highly changeable and unstable</w:t>
            </w:r>
          </w:p>
        </w:tc>
        <w:tc>
          <w:tcPr>
            <w:tcW w:w="567" w:type="dxa"/>
            <w:shd w:val="clear" w:color="000000" w:fill="FFFFFF"/>
            <w:noWrap/>
            <w:hideMark/>
          </w:tcPr>
          <w:p w14:paraId="1B075038" w14:textId="77777777" w:rsidR="007075D9" w:rsidRPr="004D46AC" w:rsidRDefault="007075D9" w:rsidP="002C5F6E">
            <w:pPr>
              <w:spacing w:line="240" w:lineRule="auto"/>
              <w:ind w:firstLine="0"/>
              <w:rPr>
                <w:rFonts w:eastAsia="Times New Roman"/>
                <w:color w:val="000000"/>
              </w:rPr>
            </w:pPr>
            <w:r w:rsidRPr="004D46AC">
              <w:rPr>
                <w:color w:val="000000"/>
              </w:rPr>
              <w:t>92</w:t>
            </w:r>
          </w:p>
        </w:tc>
        <w:tc>
          <w:tcPr>
            <w:tcW w:w="1559" w:type="dxa"/>
            <w:shd w:val="clear" w:color="000000" w:fill="FFFFFF"/>
            <w:hideMark/>
          </w:tcPr>
          <w:p w14:paraId="029D4545"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2BBDE231" w14:textId="77777777" w:rsidTr="00B518F1">
        <w:trPr>
          <w:trHeight w:val="600"/>
        </w:trPr>
        <w:tc>
          <w:tcPr>
            <w:tcW w:w="1312" w:type="dxa"/>
            <w:shd w:val="clear" w:color="000000" w:fill="FFFFFF"/>
            <w:hideMark/>
          </w:tcPr>
          <w:p w14:paraId="036569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6498496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414467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mood</w:t>
            </w:r>
          </w:p>
        </w:tc>
        <w:tc>
          <w:tcPr>
            <w:tcW w:w="2268" w:type="dxa"/>
            <w:shd w:val="clear" w:color="000000" w:fill="FFFFFF"/>
            <w:noWrap/>
            <w:hideMark/>
          </w:tcPr>
          <w:p w14:paraId="7841BD1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unhappy or depressed</w:t>
            </w:r>
          </w:p>
        </w:tc>
        <w:tc>
          <w:tcPr>
            <w:tcW w:w="567" w:type="dxa"/>
            <w:shd w:val="clear" w:color="000000" w:fill="FFFFFF"/>
            <w:noWrap/>
            <w:hideMark/>
          </w:tcPr>
          <w:p w14:paraId="0CFFB6B5" w14:textId="77777777" w:rsidR="007075D9" w:rsidRPr="004D46AC" w:rsidRDefault="007075D9" w:rsidP="002C5F6E">
            <w:pPr>
              <w:spacing w:line="240" w:lineRule="auto"/>
              <w:ind w:firstLine="0"/>
              <w:rPr>
                <w:rFonts w:eastAsia="Times New Roman"/>
                <w:color w:val="000000"/>
              </w:rPr>
            </w:pPr>
            <w:r w:rsidRPr="004D46AC">
              <w:rPr>
                <w:color w:val="000000"/>
              </w:rPr>
              <w:t>93</w:t>
            </w:r>
          </w:p>
        </w:tc>
        <w:tc>
          <w:tcPr>
            <w:tcW w:w="1559" w:type="dxa"/>
            <w:shd w:val="clear" w:color="000000" w:fill="FFFFFF"/>
            <w:hideMark/>
          </w:tcPr>
          <w:p w14:paraId="4910FCC5"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7A45F57" w14:textId="77777777" w:rsidTr="00B518F1">
        <w:trPr>
          <w:trHeight w:val="600"/>
        </w:trPr>
        <w:tc>
          <w:tcPr>
            <w:tcW w:w="1312" w:type="dxa"/>
            <w:shd w:val="clear" w:color="000000" w:fill="FFFFFF"/>
            <w:hideMark/>
          </w:tcPr>
          <w:p w14:paraId="2E9B365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138148F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61D98BB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mood</w:t>
            </w:r>
          </w:p>
        </w:tc>
        <w:tc>
          <w:tcPr>
            <w:tcW w:w="2268" w:type="dxa"/>
            <w:shd w:val="clear" w:color="000000" w:fill="FFFFFF"/>
            <w:noWrap/>
            <w:hideMark/>
          </w:tcPr>
          <w:p w14:paraId="71D0DC3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pessimistic about everything?</w:t>
            </w:r>
          </w:p>
        </w:tc>
        <w:tc>
          <w:tcPr>
            <w:tcW w:w="567" w:type="dxa"/>
            <w:shd w:val="clear" w:color="000000" w:fill="FFFFFF"/>
            <w:noWrap/>
            <w:hideMark/>
          </w:tcPr>
          <w:p w14:paraId="749D1ECA" w14:textId="77777777" w:rsidR="007075D9" w:rsidRPr="004D46AC" w:rsidRDefault="007075D9" w:rsidP="002C5F6E">
            <w:pPr>
              <w:spacing w:line="240" w:lineRule="auto"/>
              <w:ind w:firstLine="0"/>
              <w:rPr>
                <w:rFonts w:eastAsia="Times New Roman"/>
                <w:color w:val="000000"/>
              </w:rPr>
            </w:pPr>
            <w:r w:rsidRPr="004D46AC">
              <w:rPr>
                <w:color w:val="000000"/>
              </w:rPr>
              <w:t>94</w:t>
            </w:r>
          </w:p>
        </w:tc>
        <w:tc>
          <w:tcPr>
            <w:tcW w:w="1559" w:type="dxa"/>
            <w:shd w:val="clear" w:color="000000" w:fill="FFFFFF"/>
            <w:hideMark/>
          </w:tcPr>
          <w:p w14:paraId="4AB3327A"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73180015" w14:textId="77777777" w:rsidTr="00B518F1">
        <w:trPr>
          <w:trHeight w:val="600"/>
        </w:trPr>
        <w:tc>
          <w:tcPr>
            <w:tcW w:w="1312" w:type="dxa"/>
            <w:shd w:val="clear" w:color="000000" w:fill="FFFFFF"/>
            <w:hideMark/>
          </w:tcPr>
          <w:p w14:paraId="57EA71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580F821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65FDF44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mood</w:t>
            </w:r>
          </w:p>
        </w:tc>
        <w:tc>
          <w:tcPr>
            <w:tcW w:w="2268" w:type="dxa"/>
            <w:shd w:val="clear" w:color="000000" w:fill="FFFFFF"/>
            <w:noWrap/>
            <w:hideMark/>
          </w:tcPr>
          <w:p w14:paraId="5A9259A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as if there is no future for you?</w:t>
            </w:r>
          </w:p>
        </w:tc>
        <w:tc>
          <w:tcPr>
            <w:tcW w:w="567" w:type="dxa"/>
            <w:shd w:val="clear" w:color="000000" w:fill="FFFFFF"/>
            <w:noWrap/>
            <w:hideMark/>
          </w:tcPr>
          <w:p w14:paraId="3B857B03" w14:textId="77777777" w:rsidR="007075D9" w:rsidRPr="004D46AC" w:rsidRDefault="007075D9" w:rsidP="002C5F6E">
            <w:pPr>
              <w:spacing w:line="240" w:lineRule="auto"/>
              <w:ind w:firstLine="0"/>
              <w:rPr>
                <w:rFonts w:eastAsia="Times New Roman"/>
                <w:color w:val="000000"/>
              </w:rPr>
            </w:pPr>
            <w:r w:rsidRPr="004D46AC">
              <w:rPr>
                <w:color w:val="000000"/>
              </w:rPr>
              <w:t>95</w:t>
            </w:r>
          </w:p>
        </w:tc>
        <w:tc>
          <w:tcPr>
            <w:tcW w:w="1559" w:type="dxa"/>
            <w:shd w:val="clear" w:color="000000" w:fill="FFFFFF"/>
            <w:hideMark/>
          </w:tcPr>
          <w:p w14:paraId="0ACCEFCB"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560E87E9" w14:textId="77777777" w:rsidTr="00B518F1">
        <w:trPr>
          <w:trHeight w:val="600"/>
        </w:trPr>
        <w:tc>
          <w:tcPr>
            <w:tcW w:w="1312" w:type="dxa"/>
            <w:shd w:val="clear" w:color="000000" w:fill="FFFFFF"/>
            <w:hideMark/>
          </w:tcPr>
          <w:p w14:paraId="7AC80E7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67DF567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7E05542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mood</w:t>
            </w:r>
          </w:p>
        </w:tc>
        <w:tc>
          <w:tcPr>
            <w:tcW w:w="2268" w:type="dxa"/>
            <w:shd w:val="clear" w:color="000000" w:fill="FFFFFF"/>
            <w:noWrap/>
            <w:hideMark/>
          </w:tcPr>
          <w:p w14:paraId="2D7AEB4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cry about nothing?</w:t>
            </w:r>
          </w:p>
        </w:tc>
        <w:tc>
          <w:tcPr>
            <w:tcW w:w="567" w:type="dxa"/>
            <w:shd w:val="clear" w:color="000000" w:fill="FFFFFF"/>
            <w:noWrap/>
            <w:hideMark/>
          </w:tcPr>
          <w:p w14:paraId="5FA023B5" w14:textId="77777777" w:rsidR="007075D9" w:rsidRPr="004D46AC" w:rsidRDefault="007075D9" w:rsidP="002C5F6E">
            <w:pPr>
              <w:spacing w:line="240" w:lineRule="auto"/>
              <w:ind w:firstLine="0"/>
              <w:rPr>
                <w:rFonts w:eastAsia="Times New Roman"/>
                <w:color w:val="000000"/>
              </w:rPr>
            </w:pPr>
            <w:r w:rsidRPr="004D46AC">
              <w:rPr>
                <w:color w:val="000000"/>
              </w:rPr>
              <w:t>96</w:t>
            </w:r>
          </w:p>
        </w:tc>
        <w:tc>
          <w:tcPr>
            <w:tcW w:w="1559" w:type="dxa"/>
            <w:shd w:val="clear" w:color="000000" w:fill="FFFFFF"/>
            <w:hideMark/>
          </w:tcPr>
          <w:p w14:paraId="1D86C3B4"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3620FA8A" w14:textId="77777777" w:rsidTr="00B518F1">
        <w:trPr>
          <w:trHeight w:val="600"/>
        </w:trPr>
        <w:tc>
          <w:tcPr>
            <w:tcW w:w="1312" w:type="dxa"/>
            <w:shd w:val="clear" w:color="000000" w:fill="FFFFFF"/>
            <w:hideMark/>
          </w:tcPr>
          <w:p w14:paraId="0680E65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1A11524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Dysphoric mood </w:t>
            </w:r>
          </w:p>
        </w:tc>
        <w:tc>
          <w:tcPr>
            <w:tcW w:w="1312" w:type="dxa"/>
            <w:shd w:val="clear" w:color="000000" w:fill="FFFFFF"/>
            <w:noWrap/>
            <w:hideMark/>
          </w:tcPr>
          <w:p w14:paraId="258E29E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mood</w:t>
            </w:r>
          </w:p>
        </w:tc>
        <w:tc>
          <w:tcPr>
            <w:tcW w:w="2268" w:type="dxa"/>
            <w:shd w:val="clear" w:color="000000" w:fill="FFFFFF"/>
            <w:noWrap/>
            <w:hideMark/>
          </w:tcPr>
          <w:p w14:paraId="59E9B6D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Has your mood been depressed, sad, melancholic, subdued or desperate over weeks? </w:t>
            </w:r>
          </w:p>
        </w:tc>
        <w:tc>
          <w:tcPr>
            <w:tcW w:w="567" w:type="dxa"/>
            <w:shd w:val="clear" w:color="000000" w:fill="FFFFFF"/>
            <w:noWrap/>
            <w:hideMark/>
          </w:tcPr>
          <w:p w14:paraId="76192E79" w14:textId="77777777" w:rsidR="007075D9" w:rsidRPr="004D46AC" w:rsidRDefault="007075D9" w:rsidP="002C5F6E">
            <w:pPr>
              <w:spacing w:line="240" w:lineRule="auto"/>
              <w:ind w:firstLine="0"/>
              <w:rPr>
                <w:rFonts w:eastAsia="Times New Roman"/>
                <w:color w:val="000000"/>
              </w:rPr>
            </w:pPr>
            <w:r w:rsidRPr="004D46AC">
              <w:rPr>
                <w:color w:val="000000"/>
              </w:rPr>
              <w:t>97</w:t>
            </w:r>
          </w:p>
        </w:tc>
        <w:tc>
          <w:tcPr>
            <w:tcW w:w="1559" w:type="dxa"/>
            <w:shd w:val="clear" w:color="000000" w:fill="FFFFFF"/>
            <w:hideMark/>
          </w:tcPr>
          <w:p w14:paraId="3F18D144"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39FB65BC" w14:textId="77777777" w:rsidTr="00B518F1">
        <w:trPr>
          <w:trHeight w:val="600"/>
        </w:trPr>
        <w:tc>
          <w:tcPr>
            <w:tcW w:w="1312" w:type="dxa"/>
            <w:shd w:val="clear" w:color="000000" w:fill="FFFFFF"/>
            <w:hideMark/>
          </w:tcPr>
          <w:p w14:paraId="2A385BF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4F2E13A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Motor disturbance</w:t>
            </w:r>
          </w:p>
        </w:tc>
        <w:tc>
          <w:tcPr>
            <w:tcW w:w="1312" w:type="dxa"/>
            <w:shd w:val="clear" w:color="000000" w:fill="FFFFFF"/>
            <w:noWrap/>
            <w:hideMark/>
          </w:tcPr>
          <w:p w14:paraId="35B4316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New movement: stereotypes, echopraxia</w:t>
            </w:r>
          </w:p>
        </w:tc>
        <w:tc>
          <w:tcPr>
            <w:tcW w:w="2268" w:type="dxa"/>
            <w:shd w:val="clear" w:color="000000" w:fill="FFFFFF"/>
            <w:noWrap/>
            <w:hideMark/>
          </w:tcPr>
          <w:p w14:paraId="5CD8FAF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Nervous movements or twitching</w:t>
            </w:r>
          </w:p>
        </w:tc>
        <w:tc>
          <w:tcPr>
            <w:tcW w:w="567" w:type="dxa"/>
            <w:shd w:val="clear" w:color="000000" w:fill="FFFFFF"/>
            <w:noWrap/>
            <w:hideMark/>
          </w:tcPr>
          <w:p w14:paraId="0B1FA8F3" w14:textId="77777777" w:rsidR="007075D9" w:rsidRPr="004D46AC" w:rsidRDefault="007075D9" w:rsidP="002C5F6E">
            <w:pPr>
              <w:spacing w:line="240" w:lineRule="auto"/>
              <w:ind w:firstLine="0"/>
              <w:rPr>
                <w:rFonts w:eastAsia="Times New Roman"/>
                <w:color w:val="000000"/>
              </w:rPr>
            </w:pPr>
            <w:r w:rsidRPr="004D46AC">
              <w:rPr>
                <w:color w:val="000000"/>
              </w:rPr>
              <w:t>98</w:t>
            </w:r>
          </w:p>
        </w:tc>
        <w:tc>
          <w:tcPr>
            <w:tcW w:w="1559" w:type="dxa"/>
            <w:shd w:val="clear" w:color="000000" w:fill="FFFFFF"/>
            <w:hideMark/>
          </w:tcPr>
          <w:p w14:paraId="58A12AFF" w14:textId="77777777" w:rsidR="007075D9" w:rsidRPr="004D46AC" w:rsidRDefault="007075D9" w:rsidP="002C5F6E">
            <w:pPr>
              <w:spacing w:line="240" w:lineRule="auto"/>
              <w:ind w:firstLine="0"/>
              <w:rPr>
                <w:rFonts w:eastAsia="Times New Roman"/>
                <w:color w:val="000000"/>
              </w:rPr>
            </w:pPr>
            <w:r w:rsidRPr="004D46AC">
              <w:rPr>
                <w:color w:val="000000"/>
              </w:rPr>
              <w:t>CBCL</w:t>
            </w:r>
          </w:p>
        </w:tc>
      </w:tr>
      <w:tr w:rsidR="007075D9" w:rsidRPr="004D46AC" w14:paraId="58FFDF63" w14:textId="77777777" w:rsidTr="00B518F1">
        <w:trPr>
          <w:trHeight w:val="600"/>
        </w:trPr>
        <w:tc>
          <w:tcPr>
            <w:tcW w:w="1312" w:type="dxa"/>
            <w:shd w:val="clear" w:color="000000" w:fill="FFFFFF"/>
            <w:hideMark/>
          </w:tcPr>
          <w:p w14:paraId="7C7AA2C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07C2AE9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Motor disturbance</w:t>
            </w:r>
          </w:p>
        </w:tc>
        <w:tc>
          <w:tcPr>
            <w:tcW w:w="1312" w:type="dxa"/>
            <w:shd w:val="clear" w:color="000000" w:fill="FFFFFF"/>
            <w:noWrap/>
            <w:hideMark/>
          </w:tcPr>
          <w:p w14:paraId="52AFAC3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Loss of automatic skills</w:t>
            </w:r>
          </w:p>
        </w:tc>
        <w:tc>
          <w:tcPr>
            <w:tcW w:w="2268" w:type="dxa"/>
            <w:shd w:val="clear" w:color="000000" w:fill="FFFFFF"/>
            <w:noWrap/>
            <w:hideMark/>
          </w:tcPr>
          <w:p w14:paraId="386FAFE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simply forgot many of my habits.</w:t>
            </w:r>
          </w:p>
        </w:tc>
        <w:tc>
          <w:tcPr>
            <w:tcW w:w="567" w:type="dxa"/>
            <w:shd w:val="clear" w:color="000000" w:fill="FFFFFF"/>
            <w:noWrap/>
            <w:hideMark/>
          </w:tcPr>
          <w:p w14:paraId="2FBAE6B0" w14:textId="77777777" w:rsidR="007075D9" w:rsidRPr="004D46AC" w:rsidRDefault="007075D9" w:rsidP="002C5F6E">
            <w:pPr>
              <w:spacing w:line="240" w:lineRule="auto"/>
              <w:ind w:firstLine="0"/>
              <w:rPr>
                <w:rFonts w:eastAsia="Times New Roman"/>
                <w:color w:val="000000"/>
              </w:rPr>
            </w:pPr>
            <w:r w:rsidRPr="004D46AC">
              <w:rPr>
                <w:color w:val="000000"/>
              </w:rPr>
              <w:t>99</w:t>
            </w:r>
          </w:p>
        </w:tc>
        <w:tc>
          <w:tcPr>
            <w:tcW w:w="1559" w:type="dxa"/>
            <w:shd w:val="clear" w:color="000000" w:fill="FFFFFF"/>
            <w:hideMark/>
          </w:tcPr>
          <w:p w14:paraId="3030BE43"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6302279F" w14:textId="77777777" w:rsidTr="00B518F1">
        <w:trPr>
          <w:trHeight w:val="600"/>
        </w:trPr>
        <w:tc>
          <w:tcPr>
            <w:tcW w:w="1312" w:type="dxa"/>
            <w:shd w:val="clear" w:color="000000" w:fill="FFFFFF"/>
            <w:hideMark/>
          </w:tcPr>
          <w:p w14:paraId="6B29CB0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General</w:t>
            </w:r>
          </w:p>
        </w:tc>
        <w:tc>
          <w:tcPr>
            <w:tcW w:w="1312" w:type="dxa"/>
            <w:shd w:val="clear" w:color="000000" w:fill="FFFFFF"/>
            <w:noWrap/>
            <w:hideMark/>
          </w:tcPr>
          <w:p w14:paraId="3D5DD0B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Motor disturbance</w:t>
            </w:r>
          </w:p>
        </w:tc>
        <w:tc>
          <w:tcPr>
            <w:tcW w:w="1312" w:type="dxa"/>
            <w:shd w:val="clear" w:color="000000" w:fill="FFFFFF"/>
            <w:noWrap/>
            <w:hideMark/>
          </w:tcPr>
          <w:p w14:paraId="531DA16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Compulsive motor rituals </w:t>
            </w:r>
          </w:p>
        </w:tc>
        <w:tc>
          <w:tcPr>
            <w:tcW w:w="2268" w:type="dxa"/>
            <w:shd w:val="clear" w:color="000000" w:fill="FFFFFF"/>
            <w:noWrap/>
            <w:hideMark/>
          </w:tcPr>
          <w:p w14:paraId="32C4BAF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 repeat certain acts </w:t>
            </w:r>
            <w:proofErr w:type="gramStart"/>
            <w:r w:rsidRPr="004D46AC">
              <w:rPr>
                <w:rFonts w:eastAsia="Times New Roman"/>
                <w:color w:val="000000"/>
              </w:rPr>
              <w:t>over and over</w:t>
            </w:r>
            <w:proofErr w:type="gramEnd"/>
          </w:p>
        </w:tc>
        <w:tc>
          <w:tcPr>
            <w:tcW w:w="567" w:type="dxa"/>
            <w:shd w:val="clear" w:color="000000" w:fill="FFFFFF"/>
            <w:noWrap/>
            <w:hideMark/>
          </w:tcPr>
          <w:p w14:paraId="404650F4" w14:textId="77777777" w:rsidR="007075D9" w:rsidRPr="004D46AC" w:rsidRDefault="007075D9" w:rsidP="002C5F6E">
            <w:pPr>
              <w:spacing w:line="240" w:lineRule="auto"/>
              <w:ind w:firstLine="0"/>
              <w:rPr>
                <w:rFonts w:eastAsia="Times New Roman"/>
                <w:color w:val="000000"/>
              </w:rPr>
            </w:pPr>
            <w:r w:rsidRPr="004D46AC">
              <w:rPr>
                <w:color w:val="000000"/>
              </w:rPr>
              <w:t>100</w:t>
            </w:r>
          </w:p>
        </w:tc>
        <w:tc>
          <w:tcPr>
            <w:tcW w:w="1559" w:type="dxa"/>
            <w:shd w:val="clear" w:color="000000" w:fill="FFFFFF"/>
            <w:hideMark/>
          </w:tcPr>
          <w:p w14:paraId="649C80B2"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09F37EE5" w14:textId="77777777" w:rsidTr="00B518F1">
        <w:trPr>
          <w:trHeight w:val="600"/>
        </w:trPr>
        <w:tc>
          <w:tcPr>
            <w:tcW w:w="1312" w:type="dxa"/>
            <w:shd w:val="clear" w:color="000000" w:fill="FFFFFF"/>
            <w:hideMark/>
          </w:tcPr>
          <w:p w14:paraId="64B6DB5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560AB8D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Motor disturbance</w:t>
            </w:r>
          </w:p>
        </w:tc>
        <w:tc>
          <w:tcPr>
            <w:tcW w:w="1312" w:type="dxa"/>
            <w:shd w:val="clear" w:color="000000" w:fill="FFFFFF"/>
            <w:noWrap/>
            <w:hideMark/>
          </w:tcPr>
          <w:p w14:paraId="74619DB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Compulsive motor rituals </w:t>
            </w:r>
          </w:p>
        </w:tc>
        <w:tc>
          <w:tcPr>
            <w:tcW w:w="2268" w:type="dxa"/>
            <w:shd w:val="clear" w:color="000000" w:fill="FFFFFF"/>
            <w:noWrap/>
            <w:hideMark/>
          </w:tcPr>
          <w:p w14:paraId="5FED5E1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pick my skin or other parts of my body</w:t>
            </w:r>
          </w:p>
        </w:tc>
        <w:tc>
          <w:tcPr>
            <w:tcW w:w="567" w:type="dxa"/>
            <w:shd w:val="clear" w:color="000000" w:fill="FFFFFF"/>
            <w:noWrap/>
            <w:hideMark/>
          </w:tcPr>
          <w:p w14:paraId="30403B27" w14:textId="77777777" w:rsidR="007075D9" w:rsidRPr="004D46AC" w:rsidRDefault="007075D9" w:rsidP="002C5F6E">
            <w:pPr>
              <w:spacing w:line="240" w:lineRule="auto"/>
              <w:ind w:firstLine="0"/>
              <w:rPr>
                <w:rFonts w:eastAsia="Times New Roman"/>
                <w:color w:val="000000"/>
              </w:rPr>
            </w:pPr>
            <w:r w:rsidRPr="004D46AC">
              <w:rPr>
                <w:color w:val="000000"/>
              </w:rPr>
              <w:t>101</w:t>
            </w:r>
          </w:p>
        </w:tc>
        <w:tc>
          <w:tcPr>
            <w:tcW w:w="1559" w:type="dxa"/>
            <w:shd w:val="clear" w:color="000000" w:fill="FFFFFF"/>
            <w:hideMark/>
          </w:tcPr>
          <w:p w14:paraId="2B2A1EFC"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338F6408" w14:textId="77777777" w:rsidTr="00B518F1">
        <w:trPr>
          <w:trHeight w:val="600"/>
        </w:trPr>
        <w:tc>
          <w:tcPr>
            <w:tcW w:w="1312" w:type="dxa"/>
            <w:shd w:val="clear" w:color="000000" w:fill="FFFFFF"/>
            <w:hideMark/>
          </w:tcPr>
          <w:p w14:paraId="5D57C66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0B62FB2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Motor disturbance</w:t>
            </w:r>
          </w:p>
        </w:tc>
        <w:tc>
          <w:tcPr>
            <w:tcW w:w="1312" w:type="dxa"/>
            <w:shd w:val="clear" w:color="000000" w:fill="FFFFFF"/>
            <w:noWrap/>
            <w:hideMark/>
          </w:tcPr>
          <w:p w14:paraId="6F4A585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Dyskinetic movements of head, face, extremities</w:t>
            </w:r>
          </w:p>
        </w:tc>
        <w:tc>
          <w:tcPr>
            <w:tcW w:w="2268" w:type="dxa"/>
            <w:shd w:val="clear" w:color="000000" w:fill="FFFFFF"/>
            <w:noWrap/>
            <w:hideMark/>
          </w:tcPr>
          <w:p w14:paraId="122CED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Parts of my body twitch or make nervous movements</w:t>
            </w:r>
          </w:p>
        </w:tc>
        <w:tc>
          <w:tcPr>
            <w:tcW w:w="567" w:type="dxa"/>
            <w:shd w:val="clear" w:color="000000" w:fill="FFFFFF"/>
            <w:noWrap/>
            <w:hideMark/>
          </w:tcPr>
          <w:p w14:paraId="609B9D58" w14:textId="77777777" w:rsidR="007075D9" w:rsidRPr="004D46AC" w:rsidRDefault="007075D9" w:rsidP="002C5F6E">
            <w:pPr>
              <w:spacing w:line="240" w:lineRule="auto"/>
              <w:ind w:firstLine="0"/>
              <w:rPr>
                <w:rFonts w:eastAsia="Times New Roman"/>
                <w:color w:val="000000"/>
              </w:rPr>
            </w:pPr>
            <w:r w:rsidRPr="004D46AC">
              <w:rPr>
                <w:color w:val="000000"/>
              </w:rPr>
              <w:t>102</w:t>
            </w:r>
          </w:p>
        </w:tc>
        <w:tc>
          <w:tcPr>
            <w:tcW w:w="1559" w:type="dxa"/>
            <w:shd w:val="clear" w:color="000000" w:fill="FFFFFF"/>
            <w:hideMark/>
          </w:tcPr>
          <w:p w14:paraId="4CF0238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29A777D2" w14:textId="77777777" w:rsidTr="00B518F1">
        <w:trPr>
          <w:trHeight w:val="600"/>
        </w:trPr>
        <w:tc>
          <w:tcPr>
            <w:tcW w:w="1312" w:type="dxa"/>
            <w:shd w:val="clear" w:color="000000" w:fill="FFFFFF"/>
            <w:hideMark/>
          </w:tcPr>
          <w:p w14:paraId="1EFD620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79A62ED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1312" w:type="dxa"/>
            <w:shd w:val="clear" w:color="000000" w:fill="FFFFFF"/>
            <w:noWrap/>
            <w:hideMark/>
          </w:tcPr>
          <w:p w14:paraId="77608DF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2268" w:type="dxa"/>
            <w:shd w:val="clear" w:color="000000" w:fill="FFFFFF"/>
            <w:noWrap/>
            <w:hideMark/>
          </w:tcPr>
          <w:p w14:paraId="4E33AAE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trouble sleeping</w:t>
            </w:r>
          </w:p>
        </w:tc>
        <w:tc>
          <w:tcPr>
            <w:tcW w:w="567" w:type="dxa"/>
            <w:shd w:val="clear" w:color="000000" w:fill="FFFFFF"/>
            <w:noWrap/>
            <w:hideMark/>
          </w:tcPr>
          <w:p w14:paraId="2F3130B9" w14:textId="77777777" w:rsidR="007075D9" w:rsidRPr="004D46AC" w:rsidRDefault="007075D9" w:rsidP="002C5F6E">
            <w:pPr>
              <w:spacing w:line="240" w:lineRule="auto"/>
              <w:ind w:firstLine="0"/>
              <w:rPr>
                <w:rFonts w:eastAsia="Times New Roman"/>
                <w:color w:val="000000"/>
              </w:rPr>
            </w:pPr>
            <w:r w:rsidRPr="004D46AC">
              <w:rPr>
                <w:color w:val="000000"/>
              </w:rPr>
              <w:t>103</w:t>
            </w:r>
          </w:p>
        </w:tc>
        <w:tc>
          <w:tcPr>
            <w:tcW w:w="1559" w:type="dxa"/>
            <w:shd w:val="clear" w:color="000000" w:fill="FFFFFF"/>
            <w:hideMark/>
          </w:tcPr>
          <w:p w14:paraId="0D26EEE5"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7B4576F" w14:textId="77777777" w:rsidTr="00B518F1">
        <w:trPr>
          <w:trHeight w:val="600"/>
        </w:trPr>
        <w:tc>
          <w:tcPr>
            <w:tcW w:w="1312" w:type="dxa"/>
            <w:shd w:val="clear" w:color="000000" w:fill="FFFFFF"/>
            <w:hideMark/>
          </w:tcPr>
          <w:p w14:paraId="18AC88B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2E05644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1312" w:type="dxa"/>
            <w:shd w:val="clear" w:color="000000" w:fill="FFFFFF"/>
            <w:noWrap/>
            <w:hideMark/>
          </w:tcPr>
          <w:p w14:paraId="1FE5513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2268" w:type="dxa"/>
            <w:shd w:val="clear" w:color="000000" w:fill="FFFFFF"/>
            <w:noWrap/>
            <w:hideMark/>
          </w:tcPr>
          <w:p w14:paraId="3B6A494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not been sleeping well</w:t>
            </w:r>
          </w:p>
        </w:tc>
        <w:tc>
          <w:tcPr>
            <w:tcW w:w="567" w:type="dxa"/>
            <w:shd w:val="clear" w:color="000000" w:fill="FFFFFF"/>
            <w:noWrap/>
            <w:hideMark/>
          </w:tcPr>
          <w:p w14:paraId="778A2ADE" w14:textId="77777777" w:rsidR="007075D9" w:rsidRPr="004D46AC" w:rsidRDefault="007075D9" w:rsidP="002C5F6E">
            <w:pPr>
              <w:spacing w:line="240" w:lineRule="auto"/>
              <w:ind w:firstLine="0"/>
              <w:rPr>
                <w:rFonts w:eastAsia="Times New Roman"/>
                <w:color w:val="000000"/>
              </w:rPr>
            </w:pPr>
            <w:r w:rsidRPr="004D46AC">
              <w:rPr>
                <w:color w:val="000000"/>
              </w:rPr>
              <w:t>104</w:t>
            </w:r>
          </w:p>
        </w:tc>
        <w:tc>
          <w:tcPr>
            <w:tcW w:w="1559" w:type="dxa"/>
            <w:shd w:val="clear" w:color="000000" w:fill="FFFFFF"/>
            <w:hideMark/>
          </w:tcPr>
          <w:p w14:paraId="0A9B6D1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29A765FF" w14:textId="77777777" w:rsidTr="00B518F1">
        <w:trPr>
          <w:trHeight w:val="600"/>
        </w:trPr>
        <w:tc>
          <w:tcPr>
            <w:tcW w:w="1312" w:type="dxa"/>
            <w:shd w:val="clear" w:color="000000" w:fill="FFFFFF"/>
            <w:hideMark/>
          </w:tcPr>
          <w:p w14:paraId="2C8AF58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69F9D1F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1312" w:type="dxa"/>
            <w:shd w:val="clear" w:color="000000" w:fill="FFFFFF"/>
            <w:noWrap/>
            <w:hideMark/>
          </w:tcPr>
          <w:p w14:paraId="2FFA05F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2268" w:type="dxa"/>
            <w:shd w:val="clear" w:color="000000" w:fill="FFFFFF"/>
            <w:noWrap/>
            <w:hideMark/>
          </w:tcPr>
          <w:p w14:paraId="25C2D46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less than most kids</w:t>
            </w:r>
          </w:p>
        </w:tc>
        <w:tc>
          <w:tcPr>
            <w:tcW w:w="567" w:type="dxa"/>
            <w:shd w:val="clear" w:color="000000" w:fill="FFFFFF"/>
            <w:noWrap/>
            <w:hideMark/>
          </w:tcPr>
          <w:p w14:paraId="3E5A614F" w14:textId="77777777" w:rsidR="007075D9" w:rsidRPr="004D46AC" w:rsidRDefault="007075D9" w:rsidP="002C5F6E">
            <w:pPr>
              <w:spacing w:line="240" w:lineRule="auto"/>
              <w:ind w:firstLine="0"/>
              <w:rPr>
                <w:rFonts w:eastAsia="Times New Roman"/>
                <w:color w:val="000000"/>
              </w:rPr>
            </w:pPr>
            <w:r w:rsidRPr="004D46AC">
              <w:rPr>
                <w:color w:val="000000"/>
              </w:rPr>
              <w:t>105</w:t>
            </w:r>
          </w:p>
        </w:tc>
        <w:tc>
          <w:tcPr>
            <w:tcW w:w="1559" w:type="dxa"/>
            <w:shd w:val="clear" w:color="000000" w:fill="FFFFFF"/>
            <w:hideMark/>
          </w:tcPr>
          <w:p w14:paraId="2C53E5E6" w14:textId="77777777" w:rsidR="007075D9" w:rsidRPr="004D46AC" w:rsidRDefault="007075D9" w:rsidP="002C5F6E">
            <w:pPr>
              <w:spacing w:line="240" w:lineRule="auto"/>
              <w:ind w:firstLine="0"/>
              <w:rPr>
                <w:rFonts w:eastAsia="Times New Roman"/>
                <w:color w:val="000000"/>
              </w:rPr>
            </w:pPr>
            <w:r w:rsidRPr="004D46AC">
              <w:rPr>
                <w:color w:val="000000"/>
              </w:rPr>
              <w:t>CBCL</w:t>
            </w:r>
          </w:p>
        </w:tc>
      </w:tr>
      <w:tr w:rsidR="007075D9" w:rsidRPr="004D46AC" w14:paraId="353608D6" w14:textId="77777777" w:rsidTr="00B518F1">
        <w:trPr>
          <w:trHeight w:val="600"/>
        </w:trPr>
        <w:tc>
          <w:tcPr>
            <w:tcW w:w="1312" w:type="dxa"/>
            <w:shd w:val="clear" w:color="000000" w:fill="FFFFFF"/>
            <w:hideMark/>
          </w:tcPr>
          <w:p w14:paraId="1600BF6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noWrap/>
            <w:hideMark/>
          </w:tcPr>
          <w:p w14:paraId="35BABA9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1312" w:type="dxa"/>
            <w:shd w:val="clear" w:color="000000" w:fill="FFFFFF"/>
            <w:noWrap/>
            <w:hideMark/>
          </w:tcPr>
          <w:p w14:paraId="5795F2B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Sleep disturbance</w:t>
            </w:r>
          </w:p>
        </w:tc>
        <w:tc>
          <w:tcPr>
            <w:tcW w:w="2268" w:type="dxa"/>
            <w:shd w:val="clear" w:color="000000" w:fill="FFFFFF"/>
            <w:noWrap/>
            <w:hideMark/>
          </w:tcPr>
          <w:p w14:paraId="2E8D8D4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had any sleep problems (difficulties falling asleep, sleeping through the night, early wakening)? Has your appetite or sexual interest deteriorated?</w:t>
            </w:r>
          </w:p>
        </w:tc>
        <w:tc>
          <w:tcPr>
            <w:tcW w:w="567" w:type="dxa"/>
            <w:shd w:val="clear" w:color="000000" w:fill="FFFFFF"/>
            <w:noWrap/>
            <w:hideMark/>
          </w:tcPr>
          <w:p w14:paraId="0772CAF9" w14:textId="77777777" w:rsidR="007075D9" w:rsidRPr="004D46AC" w:rsidRDefault="007075D9" w:rsidP="002C5F6E">
            <w:pPr>
              <w:spacing w:line="240" w:lineRule="auto"/>
              <w:ind w:firstLine="0"/>
              <w:rPr>
                <w:rFonts w:eastAsia="Times New Roman"/>
                <w:color w:val="000000"/>
              </w:rPr>
            </w:pPr>
            <w:r w:rsidRPr="004D46AC">
              <w:rPr>
                <w:color w:val="000000"/>
              </w:rPr>
              <w:t>106</w:t>
            </w:r>
          </w:p>
        </w:tc>
        <w:tc>
          <w:tcPr>
            <w:tcW w:w="1559" w:type="dxa"/>
            <w:shd w:val="clear" w:color="000000" w:fill="FFFFFF"/>
            <w:hideMark/>
          </w:tcPr>
          <w:p w14:paraId="59E15991"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56A54276" w14:textId="77777777" w:rsidTr="00B518F1">
        <w:trPr>
          <w:trHeight w:val="600"/>
        </w:trPr>
        <w:tc>
          <w:tcPr>
            <w:tcW w:w="1312" w:type="dxa"/>
            <w:shd w:val="clear" w:color="000000" w:fill="FFFFFF"/>
            <w:hideMark/>
          </w:tcPr>
          <w:p w14:paraId="74FDC89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hideMark/>
          </w:tcPr>
          <w:p w14:paraId="47043FD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Impaired tolerance </w:t>
            </w:r>
            <w:r w:rsidRPr="004D46AC">
              <w:rPr>
                <w:rFonts w:eastAsia="Times New Roman"/>
                <w:color w:val="000000"/>
              </w:rPr>
              <w:br/>
              <w:t xml:space="preserve">to </w:t>
            </w:r>
            <w:r w:rsidRPr="004D46AC">
              <w:rPr>
                <w:rFonts w:eastAsia="Times New Roman"/>
                <w:color w:val="000000"/>
              </w:rPr>
              <w:br/>
              <w:t>normal stress</w:t>
            </w:r>
          </w:p>
        </w:tc>
        <w:tc>
          <w:tcPr>
            <w:tcW w:w="1312" w:type="dxa"/>
            <w:shd w:val="clear" w:color="000000" w:fill="FFFFFF"/>
            <w:noWrap/>
            <w:hideMark/>
          </w:tcPr>
          <w:p w14:paraId="0910E00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Exhausted by stressful situations</w:t>
            </w:r>
          </w:p>
        </w:tc>
        <w:tc>
          <w:tcPr>
            <w:tcW w:w="2268" w:type="dxa"/>
            <w:shd w:val="clear" w:color="000000" w:fill="FFFFFF"/>
            <w:noWrap/>
            <w:hideMark/>
          </w:tcPr>
          <w:p w14:paraId="676E979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Everyday things have been more stressful than before, like school or work, social situations, deadlines or changes in a schedule</w:t>
            </w:r>
          </w:p>
        </w:tc>
        <w:tc>
          <w:tcPr>
            <w:tcW w:w="567" w:type="dxa"/>
            <w:shd w:val="clear" w:color="000000" w:fill="FFFFFF"/>
            <w:noWrap/>
            <w:hideMark/>
          </w:tcPr>
          <w:p w14:paraId="18B9BCFE" w14:textId="77777777" w:rsidR="007075D9" w:rsidRPr="004D46AC" w:rsidRDefault="007075D9" w:rsidP="002C5F6E">
            <w:pPr>
              <w:spacing w:line="240" w:lineRule="auto"/>
              <w:ind w:firstLine="0"/>
              <w:rPr>
                <w:rFonts w:eastAsia="Times New Roman"/>
                <w:color w:val="000000"/>
              </w:rPr>
            </w:pPr>
            <w:r w:rsidRPr="004D46AC">
              <w:rPr>
                <w:color w:val="000000"/>
              </w:rPr>
              <w:t>107</w:t>
            </w:r>
          </w:p>
        </w:tc>
        <w:tc>
          <w:tcPr>
            <w:tcW w:w="1559" w:type="dxa"/>
            <w:shd w:val="clear" w:color="000000" w:fill="FFFFFF"/>
            <w:hideMark/>
          </w:tcPr>
          <w:p w14:paraId="289426E7"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25422B6" w14:textId="77777777" w:rsidTr="00B518F1">
        <w:trPr>
          <w:trHeight w:val="600"/>
        </w:trPr>
        <w:tc>
          <w:tcPr>
            <w:tcW w:w="1312" w:type="dxa"/>
            <w:shd w:val="clear" w:color="000000" w:fill="FFFFFF"/>
            <w:hideMark/>
          </w:tcPr>
          <w:p w14:paraId="1CF37AD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hideMark/>
          </w:tcPr>
          <w:p w14:paraId="43BC590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Impaired tolerance </w:t>
            </w:r>
            <w:r w:rsidRPr="004D46AC">
              <w:rPr>
                <w:rFonts w:eastAsia="Times New Roman"/>
                <w:color w:val="000000"/>
              </w:rPr>
              <w:br/>
              <w:t xml:space="preserve">to </w:t>
            </w:r>
            <w:r w:rsidRPr="004D46AC">
              <w:rPr>
                <w:rFonts w:eastAsia="Times New Roman"/>
                <w:color w:val="000000"/>
              </w:rPr>
              <w:br/>
              <w:t>normal stress</w:t>
            </w:r>
          </w:p>
        </w:tc>
        <w:tc>
          <w:tcPr>
            <w:tcW w:w="1312" w:type="dxa"/>
            <w:shd w:val="clear" w:color="000000" w:fill="FFFFFF"/>
            <w:noWrap/>
            <w:hideMark/>
          </w:tcPr>
          <w:p w14:paraId="2BAF5F7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Exhausted by stressful situations</w:t>
            </w:r>
          </w:p>
        </w:tc>
        <w:tc>
          <w:tcPr>
            <w:tcW w:w="2268" w:type="dxa"/>
            <w:shd w:val="clear" w:color="000000" w:fill="FFFFFF"/>
            <w:noWrap/>
            <w:hideMark/>
          </w:tcPr>
          <w:p w14:paraId="01EE4BD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Lower level of resilience</w:t>
            </w:r>
          </w:p>
        </w:tc>
        <w:tc>
          <w:tcPr>
            <w:tcW w:w="567" w:type="dxa"/>
            <w:shd w:val="clear" w:color="000000" w:fill="FFFFFF"/>
            <w:noWrap/>
            <w:hideMark/>
          </w:tcPr>
          <w:p w14:paraId="2DE081B9" w14:textId="77777777" w:rsidR="007075D9" w:rsidRPr="004D46AC" w:rsidRDefault="007075D9" w:rsidP="002C5F6E">
            <w:pPr>
              <w:spacing w:line="240" w:lineRule="auto"/>
              <w:ind w:firstLine="0"/>
              <w:rPr>
                <w:rFonts w:eastAsia="Times New Roman"/>
                <w:color w:val="000000"/>
              </w:rPr>
            </w:pPr>
            <w:r w:rsidRPr="004D46AC">
              <w:rPr>
                <w:color w:val="000000"/>
              </w:rPr>
              <w:t>108</w:t>
            </w:r>
          </w:p>
        </w:tc>
        <w:tc>
          <w:tcPr>
            <w:tcW w:w="1559" w:type="dxa"/>
            <w:shd w:val="clear" w:color="000000" w:fill="FFFFFF"/>
            <w:hideMark/>
          </w:tcPr>
          <w:p w14:paraId="18DD7166"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7D3B2A01" w14:textId="77777777" w:rsidTr="00B518F1">
        <w:trPr>
          <w:trHeight w:val="600"/>
        </w:trPr>
        <w:tc>
          <w:tcPr>
            <w:tcW w:w="1312" w:type="dxa"/>
            <w:shd w:val="clear" w:color="000000" w:fill="FFFFFF"/>
            <w:hideMark/>
          </w:tcPr>
          <w:p w14:paraId="70C44C9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hideMark/>
          </w:tcPr>
          <w:p w14:paraId="35BC6BE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Impaired tolerance </w:t>
            </w:r>
            <w:r w:rsidRPr="004D46AC">
              <w:rPr>
                <w:rFonts w:eastAsia="Times New Roman"/>
                <w:color w:val="000000"/>
              </w:rPr>
              <w:br/>
              <w:t xml:space="preserve">to </w:t>
            </w:r>
            <w:r w:rsidRPr="004D46AC">
              <w:rPr>
                <w:rFonts w:eastAsia="Times New Roman"/>
                <w:color w:val="000000"/>
              </w:rPr>
              <w:br/>
              <w:t>normal stress</w:t>
            </w:r>
          </w:p>
        </w:tc>
        <w:tc>
          <w:tcPr>
            <w:tcW w:w="1312" w:type="dxa"/>
            <w:shd w:val="clear" w:color="000000" w:fill="FFFFFF"/>
            <w:noWrap/>
            <w:hideMark/>
          </w:tcPr>
          <w:p w14:paraId="1885066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Exhausted by stressful situations</w:t>
            </w:r>
          </w:p>
        </w:tc>
        <w:tc>
          <w:tcPr>
            <w:tcW w:w="2268" w:type="dxa"/>
            <w:shd w:val="clear" w:color="000000" w:fill="FFFFFF"/>
            <w:noWrap/>
            <w:hideMark/>
          </w:tcPr>
          <w:p w14:paraId="4252F30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sensitivity, more easily moved</w:t>
            </w:r>
          </w:p>
        </w:tc>
        <w:tc>
          <w:tcPr>
            <w:tcW w:w="567" w:type="dxa"/>
            <w:shd w:val="clear" w:color="000000" w:fill="FFFFFF"/>
            <w:noWrap/>
            <w:hideMark/>
          </w:tcPr>
          <w:p w14:paraId="034174EA" w14:textId="77777777" w:rsidR="007075D9" w:rsidRPr="004D46AC" w:rsidRDefault="007075D9" w:rsidP="002C5F6E">
            <w:pPr>
              <w:spacing w:line="240" w:lineRule="auto"/>
              <w:ind w:firstLine="0"/>
              <w:rPr>
                <w:rFonts w:eastAsia="Times New Roman"/>
                <w:color w:val="000000"/>
              </w:rPr>
            </w:pPr>
            <w:r w:rsidRPr="004D46AC">
              <w:rPr>
                <w:color w:val="000000"/>
              </w:rPr>
              <w:t>109</w:t>
            </w:r>
          </w:p>
        </w:tc>
        <w:tc>
          <w:tcPr>
            <w:tcW w:w="1559" w:type="dxa"/>
            <w:shd w:val="clear" w:color="000000" w:fill="FFFFFF"/>
            <w:hideMark/>
          </w:tcPr>
          <w:p w14:paraId="012ED8AE"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32BE2D3F" w14:textId="77777777" w:rsidTr="00B518F1">
        <w:trPr>
          <w:trHeight w:val="600"/>
        </w:trPr>
        <w:tc>
          <w:tcPr>
            <w:tcW w:w="1312" w:type="dxa"/>
            <w:shd w:val="clear" w:color="000000" w:fill="FFFFFF"/>
            <w:hideMark/>
          </w:tcPr>
          <w:p w14:paraId="61C7724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General</w:t>
            </w:r>
          </w:p>
        </w:tc>
        <w:tc>
          <w:tcPr>
            <w:tcW w:w="1312" w:type="dxa"/>
            <w:shd w:val="clear" w:color="000000" w:fill="FFFFFF"/>
            <w:hideMark/>
          </w:tcPr>
          <w:p w14:paraId="3B78CA1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Impaired tolerance </w:t>
            </w:r>
            <w:r w:rsidRPr="004D46AC">
              <w:rPr>
                <w:rFonts w:eastAsia="Times New Roman"/>
                <w:color w:val="000000"/>
              </w:rPr>
              <w:br/>
              <w:t xml:space="preserve">to </w:t>
            </w:r>
            <w:r w:rsidRPr="004D46AC">
              <w:rPr>
                <w:rFonts w:eastAsia="Times New Roman"/>
                <w:color w:val="000000"/>
              </w:rPr>
              <w:br/>
              <w:t>normal stress</w:t>
            </w:r>
          </w:p>
        </w:tc>
        <w:tc>
          <w:tcPr>
            <w:tcW w:w="1312" w:type="dxa"/>
            <w:shd w:val="clear" w:color="000000" w:fill="FFFFFF"/>
            <w:noWrap/>
            <w:hideMark/>
          </w:tcPr>
          <w:p w14:paraId="23ECBCB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Exhausted by stressful situations</w:t>
            </w:r>
          </w:p>
        </w:tc>
        <w:tc>
          <w:tcPr>
            <w:tcW w:w="2268" w:type="dxa"/>
            <w:shd w:val="clear" w:color="000000" w:fill="FFFFFF"/>
            <w:noWrap/>
            <w:hideMark/>
          </w:tcPr>
          <w:p w14:paraId="4C1006A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Everyday things have affected me more than they used to</w:t>
            </w:r>
          </w:p>
        </w:tc>
        <w:tc>
          <w:tcPr>
            <w:tcW w:w="567" w:type="dxa"/>
            <w:shd w:val="clear" w:color="000000" w:fill="FFFFFF"/>
            <w:noWrap/>
            <w:hideMark/>
          </w:tcPr>
          <w:p w14:paraId="1DDC1687" w14:textId="77777777" w:rsidR="007075D9" w:rsidRPr="004D46AC" w:rsidRDefault="007075D9" w:rsidP="002C5F6E">
            <w:pPr>
              <w:spacing w:line="240" w:lineRule="auto"/>
              <w:ind w:firstLine="0"/>
              <w:rPr>
                <w:rFonts w:eastAsia="Times New Roman"/>
                <w:color w:val="000000"/>
              </w:rPr>
            </w:pPr>
            <w:r w:rsidRPr="004D46AC">
              <w:rPr>
                <w:color w:val="000000"/>
              </w:rPr>
              <w:t>110</w:t>
            </w:r>
          </w:p>
        </w:tc>
        <w:tc>
          <w:tcPr>
            <w:tcW w:w="1559" w:type="dxa"/>
            <w:shd w:val="clear" w:color="000000" w:fill="FFFFFF"/>
            <w:hideMark/>
          </w:tcPr>
          <w:p w14:paraId="1F58F510"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B25F0E4" w14:textId="77777777" w:rsidTr="00B518F1">
        <w:trPr>
          <w:trHeight w:val="600"/>
        </w:trPr>
        <w:tc>
          <w:tcPr>
            <w:tcW w:w="1312" w:type="dxa"/>
            <w:shd w:val="clear" w:color="000000" w:fill="FFFFFF"/>
            <w:noWrap/>
            <w:hideMark/>
          </w:tcPr>
          <w:p w14:paraId="44DA99D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Positive symptoms</w:t>
            </w:r>
          </w:p>
        </w:tc>
        <w:tc>
          <w:tcPr>
            <w:tcW w:w="1312" w:type="dxa"/>
            <w:shd w:val="clear" w:color="000000" w:fill="FFFFFF"/>
            <w:noWrap/>
            <w:hideMark/>
          </w:tcPr>
          <w:p w14:paraId="114C795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3DD6D25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Pseudo hallucinations </w:t>
            </w:r>
          </w:p>
        </w:tc>
        <w:tc>
          <w:tcPr>
            <w:tcW w:w="2268" w:type="dxa"/>
            <w:shd w:val="clear" w:color="000000" w:fill="FFFFFF"/>
            <w:noWrap/>
            <w:hideMark/>
          </w:tcPr>
          <w:p w14:paraId="7550637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My thoughts have been so strong that I could almost hear them</w:t>
            </w:r>
          </w:p>
        </w:tc>
        <w:tc>
          <w:tcPr>
            <w:tcW w:w="567" w:type="dxa"/>
            <w:shd w:val="clear" w:color="000000" w:fill="FFFFFF"/>
            <w:noWrap/>
            <w:hideMark/>
          </w:tcPr>
          <w:p w14:paraId="2804C2D8" w14:textId="77777777" w:rsidR="007075D9" w:rsidRPr="004D46AC" w:rsidRDefault="007075D9" w:rsidP="002C5F6E">
            <w:pPr>
              <w:spacing w:line="240" w:lineRule="auto"/>
              <w:ind w:firstLine="0"/>
              <w:rPr>
                <w:rFonts w:eastAsia="Times New Roman"/>
                <w:color w:val="000000"/>
              </w:rPr>
            </w:pPr>
            <w:r w:rsidRPr="004D46AC">
              <w:rPr>
                <w:color w:val="000000"/>
              </w:rPr>
              <w:t>111</w:t>
            </w:r>
          </w:p>
        </w:tc>
        <w:tc>
          <w:tcPr>
            <w:tcW w:w="1559" w:type="dxa"/>
            <w:shd w:val="clear" w:color="000000" w:fill="FFFFFF"/>
            <w:noWrap/>
            <w:hideMark/>
          </w:tcPr>
          <w:p w14:paraId="59B3A0A0"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F53B7D3" w14:textId="77777777" w:rsidTr="00B518F1">
        <w:trPr>
          <w:trHeight w:val="600"/>
        </w:trPr>
        <w:tc>
          <w:tcPr>
            <w:tcW w:w="1312" w:type="dxa"/>
            <w:shd w:val="clear" w:color="000000" w:fill="FFFFFF"/>
            <w:noWrap/>
            <w:hideMark/>
          </w:tcPr>
          <w:p w14:paraId="599741B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1AC07F4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65E01F1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Pseudo hallucinations </w:t>
            </w:r>
          </w:p>
        </w:tc>
        <w:tc>
          <w:tcPr>
            <w:tcW w:w="2268" w:type="dxa"/>
            <w:shd w:val="clear" w:color="000000" w:fill="FFFFFF"/>
            <w:noWrap/>
            <w:hideMark/>
          </w:tcPr>
          <w:p w14:paraId="62165E3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noticed strange feelings on or just beneath my skin, like bugs crawling</w:t>
            </w:r>
          </w:p>
        </w:tc>
        <w:tc>
          <w:tcPr>
            <w:tcW w:w="567" w:type="dxa"/>
            <w:shd w:val="clear" w:color="000000" w:fill="FFFFFF"/>
            <w:noWrap/>
            <w:hideMark/>
          </w:tcPr>
          <w:p w14:paraId="0F297D83" w14:textId="77777777" w:rsidR="007075D9" w:rsidRPr="004D46AC" w:rsidRDefault="007075D9" w:rsidP="002C5F6E">
            <w:pPr>
              <w:spacing w:line="240" w:lineRule="auto"/>
              <w:ind w:firstLine="0"/>
              <w:rPr>
                <w:rFonts w:eastAsia="Times New Roman"/>
                <w:color w:val="000000"/>
              </w:rPr>
            </w:pPr>
            <w:r w:rsidRPr="004D46AC">
              <w:rPr>
                <w:color w:val="000000"/>
              </w:rPr>
              <w:t>112</w:t>
            </w:r>
          </w:p>
        </w:tc>
        <w:tc>
          <w:tcPr>
            <w:tcW w:w="1559" w:type="dxa"/>
            <w:shd w:val="clear" w:color="000000" w:fill="FFFFFF"/>
            <w:noWrap/>
            <w:hideMark/>
          </w:tcPr>
          <w:p w14:paraId="45C0C509"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69492050" w14:textId="77777777" w:rsidTr="00B518F1">
        <w:trPr>
          <w:trHeight w:val="600"/>
        </w:trPr>
        <w:tc>
          <w:tcPr>
            <w:tcW w:w="1312" w:type="dxa"/>
            <w:shd w:val="clear" w:color="000000" w:fill="FFFFFF"/>
            <w:noWrap/>
            <w:hideMark/>
          </w:tcPr>
          <w:p w14:paraId="19BFCD0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6E2A5CC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6A368EE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Pseudo hallucinations </w:t>
            </w:r>
          </w:p>
        </w:tc>
        <w:tc>
          <w:tcPr>
            <w:tcW w:w="2268" w:type="dxa"/>
            <w:shd w:val="clear" w:color="000000" w:fill="FFFFFF"/>
            <w:noWrap/>
            <w:hideMark/>
          </w:tcPr>
          <w:p w14:paraId="4A14B50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mistaken shadows for people or noises for voices</w:t>
            </w:r>
          </w:p>
        </w:tc>
        <w:tc>
          <w:tcPr>
            <w:tcW w:w="567" w:type="dxa"/>
            <w:shd w:val="clear" w:color="000000" w:fill="FFFFFF"/>
            <w:noWrap/>
            <w:hideMark/>
          </w:tcPr>
          <w:p w14:paraId="17723646" w14:textId="77777777" w:rsidR="007075D9" w:rsidRPr="004D46AC" w:rsidRDefault="007075D9" w:rsidP="002C5F6E">
            <w:pPr>
              <w:spacing w:line="240" w:lineRule="auto"/>
              <w:ind w:firstLine="0"/>
              <w:rPr>
                <w:rFonts w:eastAsia="Times New Roman"/>
                <w:color w:val="000000"/>
              </w:rPr>
            </w:pPr>
            <w:r w:rsidRPr="004D46AC">
              <w:rPr>
                <w:color w:val="000000"/>
              </w:rPr>
              <w:t>113</w:t>
            </w:r>
          </w:p>
        </w:tc>
        <w:tc>
          <w:tcPr>
            <w:tcW w:w="1559" w:type="dxa"/>
            <w:shd w:val="clear" w:color="000000" w:fill="FFFFFF"/>
            <w:noWrap/>
            <w:hideMark/>
          </w:tcPr>
          <w:p w14:paraId="1398D5A7"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48C13A59" w14:textId="77777777" w:rsidTr="00B518F1">
        <w:trPr>
          <w:trHeight w:val="600"/>
        </w:trPr>
        <w:tc>
          <w:tcPr>
            <w:tcW w:w="1312" w:type="dxa"/>
            <w:shd w:val="clear" w:color="000000" w:fill="FFFFFF"/>
            <w:noWrap/>
            <w:hideMark/>
          </w:tcPr>
          <w:p w14:paraId="3569833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2BDAB86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00E0495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perceptual experience</w:t>
            </w:r>
          </w:p>
        </w:tc>
        <w:tc>
          <w:tcPr>
            <w:tcW w:w="2268" w:type="dxa"/>
            <w:shd w:val="clear" w:color="000000" w:fill="FFFFFF"/>
            <w:noWrap/>
            <w:hideMark/>
          </w:tcPr>
          <w:p w14:paraId="3769675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seen unusual things like flashes, flames, blinding light, or geometric figures</w:t>
            </w:r>
          </w:p>
        </w:tc>
        <w:tc>
          <w:tcPr>
            <w:tcW w:w="567" w:type="dxa"/>
            <w:shd w:val="clear" w:color="000000" w:fill="FFFFFF"/>
            <w:noWrap/>
            <w:hideMark/>
          </w:tcPr>
          <w:p w14:paraId="61AF4ACD" w14:textId="77777777" w:rsidR="007075D9" w:rsidRPr="004D46AC" w:rsidRDefault="007075D9" w:rsidP="002C5F6E">
            <w:pPr>
              <w:spacing w:line="240" w:lineRule="auto"/>
              <w:ind w:firstLine="0"/>
              <w:rPr>
                <w:rFonts w:eastAsia="Times New Roman"/>
                <w:color w:val="000000"/>
              </w:rPr>
            </w:pPr>
            <w:r w:rsidRPr="004D46AC">
              <w:rPr>
                <w:color w:val="000000"/>
              </w:rPr>
              <w:t>114</w:t>
            </w:r>
          </w:p>
        </w:tc>
        <w:tc>
          <w:tcPr>
            <w:tcW w:w="1559" w:type="dxa"/>
            <w:shd w:val="clear" w:color="000000" w:fill="FFFFFF"/>
            <w:noWrap/>
            <w:hideMark/>
          </w:tcPr>
          <w:p w14:paraId="1CD594FC"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4876AA76" w14:textId="77777777" w:rsidTr="00B518F1">
        <w:trPr>
          <w:trHeight w:val="600"/>
        </w:trPr>
        <w:tc>
          <w:tcPr>
            <w:tcW w:w="1312" w:type="dxa"/>
            <w:shd w:val="clear" w:color="000000" w:fill="FFFFFF"/>
            <w:noWrap/>
            <w:hideMark/>
          </w:tcPr>
          <w:p w14:paraId="37E8480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651F999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085340E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perceptual experience</w:t>
            </w:r>
          </w:p>
        </w:tc>
        <w:tc>
          <w:tcPr>
            <w:tcW w:w="2268" w:type="dxa"/>
            <w:shd w:val="clear" w:color="000000" w:fill="FFFFFF"/>
            <w:noWrap/>
            <w:hideMark/>
          </w:tcPr>
          <w:p w14:paraId="7CED564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Changes in perception (e.g., hearing, seeing, smelling or tasting unusual things)</w:t>
            </w:r>
          </w:p>
        </w:tc>
        <w:tc>
          <w:tcPr>
            <w:tcW w:w="567" w:type="dxa"/>
            <w:shd w:val="clear" w:color="000000" w:fill="FFFFFF"/>
            <w:noWrap/>
            <w:hideMark/>
          </w:tcPr>
          <w:p w14:paraId="3813A767" w14:textId="77777777" w:rsidR="007075D9" w:rsidRPr="004D46AC" w:rsidRDefault="007075D9" w:rsidP="002C5F6E">
            <w:pPr>
              <w:spacing w:line="240" w:lineRule="auto"/>
              <w:ind w:firstLine="0"/>
              <w:rPr>
                <w:rFonts w:eastAsia="Times New Roman"/>
                <w:color w:val="000000"/>
              </w:rPr>
            </w:pPr>
            <w:r w:rsidRPr="004D46AC">
              <w:rPr>
                <w:color w:val="000000"/>
              </w:rPr>
              <w:t>115</w:t>
            </w:r>
          </w:p>
        </w:tc>
        <w:tc>
          <w:tcPr>
            <w:tcW w:w="1559" w:type="dxa"/>
            <w:shd w:val="clear" w:color="000000" w:fill="FFFFFF"/>
            <w:noWrap/>
            <w:hideMark/>
          </w:tcPr>
          <w:p w14:paraId="6509EA84"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692A6036" w14:textId="77777777" w:rsidTr="00B518F1">
        <w:trPr>
          <w:trHeight w:val="600"/>
        </w:trPr>
        <w:tc>
          <w:tcPr>
            <w:tcW w:w="1312" w:type="dxa"/>
            <w:shd w:val="clear" w:color="000000" w:fill="FFFFFF"/>
            <w:noWrap/>
            <w:hideMark/>
          </w:tcPr>
          <w:p w14:paraId="0B7648E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53D7D68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1A4DE89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perceptual experience</w:t>
            </w:r>
          </w:p>
        </w:tc>
        <w:tc>
          <w:tcPr>
            <w:tcW w:w="2268" w:type="dxa"/>
            <w:shd w:val="clear" w:color="000000" w:fill="FFFFFF"/>
            <w:noWrap/>
            <w:hideMark/>
          </w:tcPr>
          <w:p w14:paraId="39E1944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things sometimes seem fragmented to you, like a photograph that has been torn into pieces and then glued back together?</w:t>
            </w:r>
          </w:p>
        </w:tc>
        <w:tc>
          <w:tcPr>
            <w:tcW w:w="567" w:type="dxa"/>
            <w:shd w:val="clear" w:color="000000" w:fill="FFFFFF"/>
            <w:noWrap/>
            <w:hideMark/>
          </w:tcPr>
          <w:p w14:paraId="1E01EE9D" w14:textId="77777777" w:rsidR="007075D9" w:rsidRPr="004D46AC" w:rsidRDefault="007075D9" w:rsidP="002C5F6E">
            <w:pPr>
              <w:spacing w:line="240" w:lineRule="auto"/>
              <w:ind w:firstLine="0"/>
              <w:rPr>
                <w:rFonts w:eastAsia="Times New Roman"/>
                <w:color w:val="000000"/>
              </w:rPr>
            </w:pPr>
            <w:r w:rsidRPr="004D46AC">
              <w:rPr>
                <w:color w:val="000000"/>
              </w:rPr>
              <w:t>116</w:t>
            </w:r>
          </w:p>
        </w:tc>
        <w:tc>
          <w:tcPr>
            <w:tcW w:w="1559" w:type="dxa"/>
            <w:shd w:val="clear" w:color="000000" w:fill="FFFFFF"/>
            <w:noWrap/>
            <w:hideMark/>
          </w:tcPr>
          <w:p w14:paraId="4B2BC4D1" w14:textId="77777777" w:rsidR="007075D9" w:rsidRPr="004D46AC" w:rsidRDefault="007075D9" w:rsidP="002C5F6E">
            <w:pPr>
              <w:spacing w:line="240" w:lineRule="auto"/>
              <w:ind w:firstLine="0"/>
              <w:rPr>
                <w:rFonts w:eastAsia="Times New Roman"/>
                <w:color w:val="000000"/>
              </w:rPr>
            </w:pPr>
            <w:r w:rsidRPr="004D46AC">
              <w:rPr>
                <w:color w:val="000000"/>
              </w:rPr>
              <w:t>PCA</w:t>
            </w:r>
          </w:p>
        </w:tc>
      </w:tr>
      <w:tr w:rsidR="007075D9" w:rsidRPr="004D46AC" w14:paraId="16559207" w14:textId="77777777" w:rsidTr="00B518F1">
        <w:trPr>
          <w:trHeight w:val="600"/>
        </w:trPr>
        <w:tc>
          <w:tcPr>
            <w:tcW w:w="1312" w:type="dxa"/>
            <w:shd w:val="clear" w:color="000000" w:fill="FFFFFF"/>
            <w:noWrap/>
            <w:hideMark/>
          </w:tcPr>
          <w:p w14:paraId="19B9F31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DAFED1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31281BA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Frank hallucinations</w:t>
            </w:r>
          </w:p>
        </w:tc>
        <w:tc>
          <w:tcPr>
            <w:tcW w:w="2268" w:type="dxa"/>
            <w:shd w:val="clear" w:color="000000" w:fill="FFFFFF"/>
            <w:noWrap/>
            <w:hideMark/>
          </w:tcPr>
          <w:p w14:paraId="6AB965E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see things that others can't or don't see?</w:t>
            </w:r>
          </w:p>
        </w:tc>
        <w:tc>
          <w:tcPr>
            <w:tcW w:w="567" w:type="dxa"/>
            <w:shd w:val="clear" w:color="000000" w:fill="FFFFFF"/>
            <w:noWrap/>
            <w:hideMark/>
          </w:tcPr>
          <w:p w14:paraId="65881EE5" w14:textId="77777777" w:rsidR="007075D9" w:rsidRPr="004D46AC" w:rsidRDefault="007075D9" w:rsidP="002C5F6E">
            <w:pPr>
              <w:spacing w:line="240" w:lineRule="auto"/>
              <w:ind w:firstLine="0"/>
              <w:rPr>
                <w:rFonts w:eastAsia="Times New Roman"/>
                <w:color w:val="000000"/>
              </w:rPr>
            </w:pPr>
            <w:r w:rsidRPr="004D46AC">
              <w:rPr>
                <w:color w:val="000000"/>
              </w:rPr>
              <w:t>117</w:t>
            </w:r>
          </w:p>
        </w:tc>
        <w:tc>
          <w:tcPr>
            <w:tcW w:w="1559" w:type="dxa"/>
            <w:shd w:val="clear" w:color="000000" w:fill="FFFFFF"/>
            <w:noWrap/>
            <w:hideMark/>
          </w:tcPr>
          <w:p w14:paraId="32162350"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289D4121" w14:textId="77777777" w:rsidTr="00B518F1">
        <w:trPr>
          <w:trHeight w:val="600"/>
        </w:trPr>
        <w:tc>
          <w:tcPr>
            <w:tcW w:w="1312" w:type="dxa"/>
            <w:shd w:val="clear" w:color="000000" w:fill="FFFFFF"/>
            <w:noWrap/>
            <w:hideMark/>
          </w:tcPr>
          <w:p w14:paraId="6BCFC17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1C3E423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1B7FB4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Frank hallucinations</w:t>
            </w:r>
          </w:p>
        </w:tc>
        <w:tc>
          <w:tcPr>
            <w:tcW w:w="2268" w:type="dxa"/>
            <w:shd w:val="clear" w:color="000000" w:fill="FFFFFF"/>
            <w:noWrap/>
            <w:hideMark/>
          </w:tcPr>
          <w:p w14:paraId="0D335E9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hear sounds that are not there?</w:t>
            </w:r>
          </w:p>
        </w:tc>
        <w:tc>
          <w:tcPr>
            <w:tcW w:w="567" w:type="dxa"/>
            <w:shd w:val="clear" w:color="000000" w:fill="FFFFFF"/>
            <w:noWrap/>
            <w:hideMark/>
          </w:tcPr>
          <w:p w14:paraId="06C057B8" w14:textId="77777777" w:rsidR="007075D9" w:rsidRPr="004D46AC" w:rsidRDefault="007075D9" w:rsidP="002C5F6E">
            <w:pPr>
              <w:spacing w:line="240" w:lineRule="auto"/>
              <w:ind w:firstLine="0"/>
              <w:rPr>
                <w:rFonts w:eastAsia="Times New Roman"/>
                <w:color w:val="000000"/>
              </w:rPr>
            </w:pPr>
            <w:r w:rsidRPr="004D46AC">
              <w:rPr>
                <w:color w:val="000000"/>
              </w:rPr>
              <w:t>118</w:t>
            </w:r>
          </w:p>
        </w:tc>
        <w:tc>
          <w:tcPr>
            <w:tcW w:w="1559" w:type="dxa"/>
            <w:shd w:val="clear" w:color="000000" w:fill="FFFFFF"/>
            <w:noWrap/>
            <w:hideMark/>
          </w:tcPr>
          <w:p w14:paraId="1BF1DC4D"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7A788489" w14:textId="77777777" w:rsidTr="00B518F1">
        <w:trPr>
          <w:trHeight w:val="600"/>
        </w:trPr>
        <w:tc>
          <w:tcPr>
            <w:tcW w:w="1312" w:type="dxa"/>
            <w:shd w:val="clear" w:color="000000" w:fill="FFFFFF"/>
            <w:noWrap/>
            <w:hideMark/>
          </w:tcPr>
          <w:p w14:paraId="33D8499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B8BB49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Perceptual abnormalities/ hallucinations</w:t>
            </w:r>
          </w:p>
        </w:tc>
        <w:tc>
          <w:tcPr>
            <w:tcW w:w="1312" w:type="dxa"/>
            <w:shd w:val="clear" w:color="000000" w:fill="FFFFFF"/>
            <w:noWrap/>
            <w:hideMark/>
          </w:tcPr>
          <w:p w14:paraId="099CE2E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Frank hallucinations</w:t>
            </w:r>
          </w:p>
        </w:tc>
        <w:tc>
          <w:tcPr>
            <w:tcW w:w="2268" w:type="dxa"/>
            <w:shd w:val="clear" w:color="000000" w:fill="FFFFFF"/>
            <w:noWrap/>
            <w:hideMark/>
          </w:tcPr>
          <w:p w14:paraId="62BA432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see objects, people or animals that other people cannot see?</w:t>
            </w:r>
          </w:p>
        </w:tc>
        <w:tc>
          <w:tcPr>
            <w:tcW w:w="567" w:type="dxa"/>
            <w:shd w:val="clear" w:color="000000" w:fill="FFFFFF"/>
            <w:noWrap/>
            <w:hideMark/>
          </w:tcPr>
          <w:p w14:paraId="1EB05EE8" w14:textId="77777777" w:rsidR="007075D9" w:rsidRPr="004D46AC" w:rsidRDefault="007075D9" w:rsidP="002C5F6E">
            <w:pPr>
              <w:spacing w:line="240" w:lineRule="auto"/>
              <w:ind w:firstLine="0"/>
              <w:rPr>
                <w:rFonts w:eastAsia="Times New Roman"/>
                <w:color w:val="000000"/>
              </w:rPr>
            </w:pPr>
            <w:r w:rsidRPr="004D46AC">
              <w:rPr>
                <w:color w:val="000000"/>
              </w:rPr>
              <w:t>119</w:t>
            </w:r>
          </w:p>
        </w:tc>
        <w:tc>
          <w:tcPr>
            <w:tcW w:w="1559" w:type="dxa"/>
            <w:shd w:val="clear" w:color="000000" w:fill="FFFFFF"/>
            <w:noWrap/>
            <w:hideMark/>
          </w:tcPr>
          <w:p w14:paraId="6F35B548"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2349A23A" w14:textId="77777777" w:rsidTr="00B518F1">
        <w:trPr>
          <w:trHeight w:val="600"/>
        </w:trPr>
        <w:tc>
          <w:tcPr>
            <w:tcW w:w="1312" w:type="dxa"/>
            <w:shd w:val="clear" w:color="000000" w:fill="FFFFFF"/>
            <w:noWrap/>
            <w:hideMark/>
          </w:tcPr>
          <w:p w14:paraId="7C8185D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FF9402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persecutory ideas</w:t>
            </w:r>
          </w:p>
        </w:tc>
        <w:tc>
          <w:tcPr>
            <w:tcW w:w="1312" w:type="dxa"/>
            <w:shd w:val="clear" w:color="000000" w:fill="FFFFFF"/>
            <w:noWrap/>
            <w:hideMark/>
          </w:tcPr>
          <w:p w14:paraId="681E31E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or paranoid thinking</w:t>
            </w:r>
          </w:p>
        </w:tc>
        <w:tc>
          <w:tcPr>
            <w:tcW w:w="2268" w:type="dxa"/>
            <w:shd w:val="clear" w:color="000000" w:fill="FFFFFF"/>
            <w:noWrap/>
            <w:hideMark/>
          </w:tcPr>
          <w:p w14:paraId="696CD3F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 have been concerned that my closest friends and co-workers were not </w:t>
            </w:r>
            <w:proofErr w:type="gramStart"/>
            <w:r w:rsidRPr="004D46AC">
              <w:rPr>
                <w:rFonts w:eastAsia="Times New Roman"/>
                <w:color w:val="000000"/>
              </w:rPr>
              <w:t>really loyal</w:t>
            </w:r>
            <w:proofErr w:type="gramEnd"/>
            <w:r w:rsidRPr="004D46AC">
              <w:rPr>
                <w:rFonts w:eastAsia="Times New Roman"/>
                <w:color w:val="000000"/>
              </w:rPr>
              <w:t xml:space="preserve"> or trustworthy</w:t>
            </w:r>
          </w:p>
        </w:tc>
        <w:tc>
          <w:tcPr>
            <w:tcW w:w="567" w:type="dxa"/>
            <w:shd w:val="clear" w:color="000000" w:fill="FFFFFF"/>
            <w:noWrap/>
            <w:hideMark/>
          </w:tcPr>
          <w:p w14:paraId="0F0D7ACA" w14:textId="77777777" w:rsidR="007075D9" w:rsidRPr="004D46AC" w:rsidRDefault="007075D9" w:rsidP="002C5F6E">
            <w:pPr>
              <w:spacing w:line="240" w:lineRule="auto"/>
              <w:ind w:firstLine="0"/>
              <w:rPr>
                <w:rFonts w:eastAsia="Times New Roman"/>
                <w:color w:val="000000"/>
              </w:rPr>
            </w:pPr>
            <w:r w:rsidRPr="004D46AC">
              <w:rPr>
                <w:color w:val="000000"/>
              </w:rPr>
              <w:t>120</w:t>
            </w:r>
          </w:p>
        </w:tc>
        <w:tc>
          <w:tcPr>
            <w:tcW w:w="1559" w:type="dxa"/>
            <w:shd w:val="clear" w:color="000000" w:fill="FFFFFF"/>
            <w:noWrap/>
            <w:hideMark/>
          </w:tcPr>
          <w:p w14:paraId="132C3DC0"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4D50CC0E" w14:textId="77777777" w:rsidTr="00B518F1">
        <w:trPr>
          <w:trHeight w:val="600"/>
        </w:trPr>
        <w:tc>
          <w:tcPr>
            <w:tcW w:w="1312" w:type="dxa"/>
            <w:shd w:val="clear" w:color="000000" w:fill="FFFFFF"/>
            <w:noWrap/>
            <w:hideMark/>
          </w:tcPr>
          <w:p w14:paraId="5AE15CB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Positive symptoms</w:t>
            </w:r>
          </w:p>
        </w:tc>
        <w:tc>
          <w:tcPr>
            <w:tcW w:w="1312" w:type="dxa"/>
            <w:shd w:val="clear" w:color="000000" w:fill="FFFFFF"/>
            <w:noWrap/>
            <w:hideMark/>
          </w:tcPr>
          <w:p w14:paraId="12AFBE6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persecutory ideas</w:t>
            </w:r>
          </w:p>
        </w:tc>
        <w:tc>
          <w:tcPr>
            <w:tcW w:w="1312" w:type="dxa"/>
            <w:shd w:val="clear" w:color="000000" w:fill="FFFFFF"/>
            <w:noWrap/>
            <w:hideMark/>
          </w:tcPr>
          <w:p w14:paraId="7B28B6B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or paranoid thinking</w:t>
            </w:r>
          </w:p>
        </w:tc>
        <w:tc>
          <w:tcPr>
            <w:tcW w:w="2268" w:type="dxa"/>
            <w:shd w:val="clear" w:color="000000" w:fill="FFFFFF"/>
            <w:noWrap/>
            <w:hideMark/>
          </w:tcPr>
          <w:p w14:paraId="63F7160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people are watching you or giving you a hard time for no reason</w:t>
            </w:r>
          </w:p>
        </w:tc>
        <w:tc>
          <w:tcPr>
            <w:tcW w:w="567" w:type="dxa"/>
            <w:shd w:val="clear" w:color="000000" w:fill="FFFFFF"/>
            <w:noWrap/>
            <w:hideMark/>
          </w:tcPr>
          <w:p w14:paraId="1915BCC7" w14:textId="77777777" w:rsidR="007075D9" w:rsidRPr="004D46AC" w:rsidRDefault="007075D9" w:rsidP="002C5F6E">
            <w:pPr>
              <w:spacing w:line="240" w:lineRule="auto"/>
              <w:ind w:firstLine="0"/>
              <w:rPr>
                <w:rFonts w:eastAsia="Times New Roman"/>
                <w:color w:val="000000"/>
              </w:rPr>
            </w:pPr>
            <w:r w:rsidRPr="004D46AC">
              <w:rPr>
                <w:color w:val="000000"/>
              </w:rPr>
              <w:t>121</w:t>
            </w:r>
          </w:p>
        </w:tc>
        <w:tc>
          <w:tcPr>
            <w:tcW w:w="1559" w:type="dxa"/>
            <w:shd w:val="clear" w:color="000000" w:fill="FFFFFF"/>
            <w:noWrap/>
            <w:hideMark/>
          </w:tcPr>
          <w:p w14:paraId="71F7DFC7" w14:textId="77777777" w:rsidR="007075D9" w:rsidRPr="004D46AC" w:rsidRDefault="007075D9" w:rsidP="002C5F6E">
            <w:pPr>
              <w:spacing w:line="240" w:lineRule="auto"/>
              <w:ind w:firstLine="0"/>
              <w:rPr>
                <w:rFonts w:eastAsia="Times New Roman"/>
                <w:color w:val="000000"/>
              </w:rPr>
            </w:pPr>
            <w:r w:rsidRPr="004D46AC">
              <w:rPr>
                <w:color w:val="000000"/>
              </w:rPr>
              <w:t>EDPCC</w:t>
            </w:r>
          </w:p>
        </w:tc>
      </w:tr>
      <w:tr w:rsidR="007075D9" w:rsidRPr="004D46AC" w14:paraId="435185AB" w14:textId="77777777" w:rsidTr="00B518F1">
        <w:trPr>
          <w:trHeight w:val="600"/>
        </w:trPr>
        <w:tc>
          <w:tcPr>
            <w:tcW w:w="1312" w:type="dxa"/>
            <w:shd w:val="clear" w:color="000000" w:fill="FFFFFF"/>
            <w:noWrap/>
            <w:hideMark/>
          </w:tcPr>
          <w:p w14:paraId="2FB10B2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3606B23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persecutory ideas</w:t>
            </w:r>
          </w:p>
        </w:tc>
        <w:tc>
          <w:tcPr>
            <w:tcW w:w="1312" w:type="dxa"/>
            <w:shd w:val="clear" w:color="000000" w:fill="FFFFFF"/>
            <w:noWrap/>
            <w:hideMark/>
          </w:tcPr>
          <w:p w14:paraId="39F08F6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or paranoid thinking</w:t>
            </w:r>
          </w:p>
        </w:tc>
        <w:tc>
          <w:tcPr>
            <w:tcW w:w="2268" w:type="dxa"/>
            <w:shd w:val="clear" w:color="000000" w:fill="FFFFFF"/>
            <w:noWrap/>
            <w:hideMark/>
          </w:tcPr>
          <w:p w14:paraId="5CBB041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people are plotting against you or planning to harm you?</w:t>
            </w:r>
          </w:p>
        </w:tc>
        <w:tc>
          <w:tcPr>
            <w:tcW w:w="567" w:type="dxa"/>
            <w:shd w:val="clear" w:color="000000" w:fill="FFFFFF"/>
            <w:noWrap/>
            <w:hideMark/>
          </w:tcPr>
          <w:p w14:paraId="0D98C8BD" w14:textId="77777777" w:rsidR="007075D9" w:rsidRPr="004D46AC" w:rsidRDefault="007075D9" w:rsidP="002C5F6E">
            <w:pPr>
              <w:spacing w:line="240" w:lineRule="auto"/>
              <w:ind w:firstLine="0"/>
              <w:rPr>
                <w:rFonts w:eastAsia="Times New Roman"/>
                <w:color w:val="000000"/>
              </w:rPr>
            </w:pPr>
            <w:r w:rsidRPr="004D46AC">
              <w:rPr>
                <w:color w:val="000000"/>
              </w:rPr>
              <w:t>122</w:t>
            </w:r>
          </w:p>
        </w:tc>
        <w:tc>
          <w:tcPr>
            <w:tcW w:w="1559" w:type="dxa"/>
            <w:shd w:val="clear" w:color="000000" w:fill="FFFFFF"/>
            <w:noWrap/>
            <w:hideMark/>
          </w:tcPr>
          <w:p w14:paraId="3959C118"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0558EB4A" w14:textId="77777777" w:rsidTr="00B518F1">
        <w:trPr>
          <w:trHeight w:val="600"/>
        </w:trPr>
        <w:tc>
          <w:tcPr>
            <w:tcW w:w="1312" w:type="dxa"/>
            <w:shd w:val="clear" w:color="000000" w:fill="FFFFFF"/>
            <w:noWrap/>
            <w:hideMark/>
          </w:tcPr>
          <w:p w14:paraId="2981C3B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723D3D9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persecutory ideas</w:t>
            </w:r>
          </w:p>
        </w:tc>
        <w:tc>
          <w:tcPr>
            <w:tcW w:w="1312" w:type="dxa"/>
            <w:shd w:val="clear" w:color="000000" w:fill="FFFFFF"/>
            <w:noWrap/>
            <w:hideMark/>
          </w:tcPr>
          <w:p w14:paraId="327066A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Persecutory ideas of reference</w:t>
            </w:r>
          </w:p>
        </w:tc>
        <w:tc>
          <w:tcPr>
            <w:tcW w:w="2268" w:type="dxa"/>
            <w:shd w:val="clear" w:color="000000" w:fill="FFFFFF"/>
            <w:noWrap/>
            <w:hideMark/>
          </w:tcPr>
          <w:p w14:paraId="1D1DFEB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that other people were watching me or talking about me</w:t>
            </w:r>
          </w:p>
        </w:tc>
        <w:tc>
          <w:tcPr>
            <w:tcW w:w="567" w:type="dxa"/>
            <w:shd w:val="clear" w:color="000000" w:fill="FFFFFF"/>
            <w:noWrap/>
            <w:hideMark/>
          </w:tcPr>
          <w:p w14:paraId="22C260BE" w14:textId="77777777" w:rsidR="007075D9" w:rsidRPr="004D46AC" w:rsidRDefault="007075D9" w:rsidP="002C5F6E">
            <w:pPr>
              <w:spacing w:line="240" w:lineRule="auto"/>
              <w:ind w:firstLine="0"/>
              <w:rPr>
                <w:rFonts w:eastAsia="Times New Roman"/>
                <w:color w:val="000000"/>
              </w:rPr>
            </w:pPr>
            <w:r w:rsidRPr="004D46AC">
              <w:rPr>
                <w:color w:val="000000"/>
              </w:rPr>
              <w:t>123</w:t>
            </w:r>
          </w:p>
        </w:tc>
        <w:tc>
          <w:tcPr>
            <w:tcW w:w="1559" w:type="dxa"/>
            <w:shd w:val="clear" w:color="000000" w:fill="FFFFFF"/>
            <w:noWrap/>
            <w:hideMark/>
          </w:tcPr>
          <w:p w14:paraId="160628D3"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340FF0A8" w14:textId="77777777" w:rsidTr="00B518F1">
        <w:trPr>
          <w:trHeight w:val="600"/>
        </w:trPr>
        <w:tc>
          <w:tcPr>
            <w:tcW w:w="1312" w:type="dxa"/>
            <w:shd w:val="clear" w:color="000000" w:fill="FFFFFF"/>
            <w:noWrap/>
            <w:hideMark/>
          </w:tcPr>
          <w:p w14:paraId="3F47380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2A3DE6B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persecutory ideas</w:t>
            </w:r>
          </w:p>
        </w:tc>
        <w:tc>
          <w:tcPr>
            <w:tcW w:w="1312" w:type="dxa"/>
            <w:shd w:val="clear" w:color="000000" w:fill="FFFFFF"/>
            <w:noWrap/>
            <w:hideMark/>
          </w:tcPr>
          <w:p w14:paraId="23CA04A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Persecutory ideas of reference</w:t>
            </w:r>
          </w:p>
        </w:tc>
        <w:tc>
          <w:tcPr>
            <w:tcW w:w="2268" w:type="dxa"/>
            <w:shd w:val="clear" w:color="000000" w:fill="FFFFFF"/>
            <w:noWrap/>
            <w:hideMark/>
          </w:tcPr>
          <w:p w14:paraId="1822522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as if there is a conspiracy against you?</w:t>
            </w:r>
          </w:p>
        </w:tc>
        <w:tc>
          <w:tcPr>
            <w:tcW w:w="567" w:type="dxa"/>
            <w:shd w:val="clear" w:color="000000" w:fill="FFFFFF"/>
            <w:noWrap/>
            <w:hideMark/>
          </w:tcPr>
          <w:p w14:paraId="77B5FB21" w14:textId="77777777" w:rsidR="007075D9" w:rsidRPr="004D46AC" w:rsidRDefault="007075D9" w:rsidP="002C5F6E">
            <w:pPr>
              <w:spacing w:line="240" w:lineRule="auto"/>
              <w:ind w:firstLine="0"/>
              <w:rPr>
                <w:rFonts w:eastAsia="Times New Roman"/>
                <w:color w:val="000000"/>
              </w:rPr>
            </w:pPr>
            <w:r w:rsidRPr="004D46AC">
              <w:rPr>
                <w:color w:val="000000"/>
              </w:rPr>
              <w:t>124</w:t>
            </w:r>
          </w:p>
        </w:tc>
        <w:tc>
          <w:tcPr>
            <w:tcW w:w="1559" w:type="dxa"/>
            <w:shd w:val="clear" w:color="000000" w:fill="FFFFFF"/>
            <w:noWrap/>
            <w:hideMark/>
          </w:tcPr>
          <w:p w14:paraId="1B7008D7"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6CC999CA" w14:textId="77777777" w:rsidTr="00B518F1">
        <w:trPr>
          <w:trHeight w:val="600"/>
        </w:trPr>
        <w:tc>
          <w:tcPr>
            <w:tcW w:w="1312" w:type="dxa"/>
            <w:shd w:val="clear" w:color="000000" w:fill="FFFFFF"/>
            <w:noWrap/>
            <w:hideMark/>
          </w:tcPr>
          <w:p w14:paraId="62901A9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4D5A2B7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persecutory ideas</w:t>
            </w:r>
          </w:p>
        </w:tc>
        <w:tc>
          <w:tcPr>
            <w:tcW w:w="1312" w:type="dxa"/>
            <w:shd w:val="clear" w:color="000000" w:fill="FFFFFF"/>
            <w:noWrap/>
            <w:hideMark/>
          </w:tcPr>
          <w:p w14:paraId="1741543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Persecutory ideas of reference</w:t>
            </w:r>
          </w:p>
        </w:tc>
        <w:tc>
          <w:tcPr>
            <w:tcW w:w="2268" w:type="dxa"/>
            <w:shd w:val="clear" w:color="000000" w:fill="FFFFFF"/>
            <w:noWrap/>
            <w:hideMark/>
          </w:tcPr>
          <w:p w14:paraId="4047698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thought that other people had it in for me</w:t>
            </w:r>
          </w:p>
        </w:tc>
        <w:tc>
          <w:tcPr>
            <w:tcW w:w="567" w:type="dxa"/>
            <w:shd w:val="clear" w:color="000000" w:fill="FFFFFF"/>
            <w:noWrap/>
            <w:hideMark/>
          </w:tcPr>
          <w:p w14:paraId="0EA7A9A6" w14:textId="77777777" w:rsidR="007075D9" w:rsidRPr="004D46AC" w:rsidRDefault="007075D9" w:rsidP="002C5F6E">
            <w:pPr>
              <w:spacing w:line="240" w:lineRule="auto"/>
              <w:ind w:firstLine="0"/>
              <w:rPr>
                <w:rFonts w:eastAsia="Times New Roman"/>
                <w:color w:val="000000"/>
              </w:rPr>
            </w:pPr>
            <w:r w:rsidRPr="004D46AC">
              <w:rPr>
                <w:color w:val="000000"/>
              </w:rPr>
              <w:t>125</w:t>
            </w:r>
          </w:p>
        </w:tc>
        <w:tc>
          <w:tcPr>
            <w:tcW w:w="1559" w:type="dxa"/>
            <w:shd w:val="clear" w:color="000000" w:fill="FFFFFF"/>
            <w:noWrap/>
            <w:hideMark/>
          </w:tcPr>
          <w:p w14:paraId="5123FDBA"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15747BC6" w14:textId="77777777" w:rsidTr="00B518F1">
        <w:trPr>
          <w:trHeight w:val="600"/>
        </w:trPr>
        <w:tc>
          <w:tcPr>
            <w:tcW w:w="1312" w:type="dxa"/>
            <w:shd w:val="clear" w:color="000000" w:fill="FFFFFF"/>
            <w:noWrap/>
            <w:hideMark/>
          </w:tcPr>
          <w:p w14:paraId="0D1DD6B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4CC204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Suspiciousness/ persecutory ideas</w:t>
            </w:r>
          </w:p>
        </w:tc>
        <w:tc>
          <w:tcPr>
            <w:tcW w:w="1312" w:type="dxa"/>
            <w:shd w:val="clear" w:color="000000" w:fill="FFFFFF"/>
            <w:noWrap/>
            <w:hideMark/>
          </w:tcPr>
          <w:p w14:paraId="4A45483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Delusional conviction</w:t>
            </w:r>
          </w:p>
        </w:tc>
        <w:tc>
          <w:tcPr>
            <w:tcW w:w="2268" w:type="dxa"/>
            <w:shd w:val="clear" w:color="000000" w:fill="FFFFFF"/>
            <w:noWrap/>
            <w:hideMark/>
          </w:tcPr>
          <w:p w14:paraId="5EEFCFE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sometimes become concerned about the loyalty and trustworthiness of friends or coworkers (duplicated)</w:t>
            </w:r>
          </w:p>
        </w:tc>
        <w:tc>
          <w:tcPr>
            <w:tcW w:w="567" w:type="dxa"/>
            <w:shd w:val="clear" w:color="000000" w:fill="FFFFFF"/>
            <w:noWrap/>
            <w:hideMark/>
          </w:tcPr>
          <w:p w14:paraId="3106AE2D" w14:textId="77777777" w:rsidR="007075D9" w:rsidRPr="004D46AC" w:rsidRDefault="007075D9" w:rsidP="002C5F6E">
            <w:pPr>
              <w:spacing w:line="240" w:lineRule="auto"/>
              <w:ind w:firstLine="0"/>
              <w:rPr>
                <w:rFonts w:eastAsia="Times New Roman"/>
                <w:color w:val="000000"/>
              </w:rPr>
            </w:pPr>
            <w:r w:rsidRPr="004D46AC">
              <w:rPr>
                <w:color w:val="000000"/>
              </w:rPr>
              <w:t>126</w:t>
            </w:r>
          </w:p>
        </w:tc>
        <w:tc>
          <w:tcPr>
            <w:tcW w:w="1559" w:type="dxa"/>
            <w:shd w:val="clear" w:color="000000" w:fill="FFFFFF"/>
            <w:noWrap/>
            <w:hideMark/>
          </w:tcPr>
          <w:p w14:paraId="6854BA1B" w14:textId="77777777" w:rsidR="007075D9" w:rsidRPr="004D46AC" w:rsidRDefault="007075D9" w:rsidP="002C5F6E">
            <w:pPr>
              <w:spacing w:line="240" w:lineRule="auto"/>
              <w:ind w:firstLine="0"/>
              <w:rPr>
                <w:rFonts w:eastAsia="Times New Roman"/>
                <w:color w:val="000000"/>
              </w:rPr>
            </w:pPr>
            <w:r w:rsidRPr="004D46AC">
              <w:rPr>
                <w:color w:val="000000"/>
              </w:rPr>
              <w:t>BSQSP</w:t>
            </w:r>
          </w:p>
        </w:tc>
      </w:tr>
      <w:tr w:rsidR="007075D9" w:rsidRPr="004D46AC" w14:paraId="16C85ECC" w14:textId="77777777" w:rsidTr="00B518F1">
        <w:trPr>
          <w:trHeight w:val="600"/>
        </w:trPr>
        <w:tc>
          <w:tcPr>
            <w:tcW w:w="1312" w:type="dxa"/>
            <w:shd w:val="clear" w:color="000000" w:fill="FFFFFF"/>
            <w:noWrap/>
            <w:hideMark/>
          </w:tcPr>
          <w:p w14:paraId="30BD05D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5E96CC3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Disorganised communication</w:t>
            </w:r>
          </w:p>
        </w:tc>
        <w:tc>
          <w:tcPr>
            <w:tcW w:w="1312" w:type="dxa"/>
            <w:shd w:val="clear" w:color="000000" w:fill="FFFFFF"/>
            <w:noWrap/>
            <w:hideMark/>
          </w:tcPr>
          <w:p w14:paraId="5A247CF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Confused, muddled, racing, or slowed down speech</w:t>
            </w:r>
          </w:p>
        </w:tc>
        <w:tc>
          <w:tcPr>
            <w:tcW w:w="2268" w:type="dxa"/>
            <w:shd w:val="clear" w:color="000000" w:fill="FFFFFF"/>
            <w:noWrap/>
            <w:hideMark/>
          </w:tcPr>
          <w:p w14:paraId="44DC0C8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had difficulty organizing my thoughts or finding the right words</w:t>
            </w:r>
          </w:p>
        </w:tc>
        <w:tc>
          <w:tcPr>
            <w:tcW w:w="567" w:type="dxa"/>
            <w:shd w:val="clear" w:color="000000" w:fill="FFFFFF"/>
            <w:noWrap/>
            <w:hideMark/>
          </w:tcPr>
          <w:p w14:paraId="48D9018A" w14:textId="77777777" w:rsidR="007075D9" w:rsidRPr="004D46AC" w:rsidRDefault="007075D9" w:rsidP="002C5F6E">
            <w:pPr>
              <w:spacing w:line="240" w:lineRule="auto"/>
              <w:ind w:firstLine="0"/>
              <w:rPr>
                <w:rFonts w:eastAsia="Times New Roman"/>
                <w:color w:val="000000"/>
              </w:rPr>
            </w:pPr>
            <w:r w:rsidRPr="004D46AC">
              <w:rPr>
                <w:color w:val="000000"/>
              </w:rPr>
              <w:t>127</w:t>
            </w:r>
          </w:p>
        </w:tc>
        <w:tc>
          <w:tcPr>
            <w:tcW w:w="1559" w:type="dxa"/>
            <w:shd w:val="clear" w:color="000000" w:fill="FFFFFF"/>
            <w:noWrap/>
            <w:hideMark/>
          </w:tcPr>
          <w:p w14:paraId="481CDFF4"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AA9B892" w14:textId="77777777" w:rsidTr="00B518F1">
        <w:trPr>
          <w:trHeight w:val="600"/>
        </w:trPr>
        <w:tc>
          <w:tcPr>
            <w:tcW w:w="1312" w:type="dxa"/>
            <w:shd w:val="clear" w:color="000000" w:fill="FFFFFF"/>
            <w:noWrap/>
            <w:hideMark/>
          </w:tcPr>
          <w:p w14:paraId="1FE972B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59E23EE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Disorganised communication</w:t>
            </w:r>
          </w:p>
        </w:tc>
        <w:tc>
          <w:tcPr>
            <w:tcW w:w="1312" w:type="dxa"/>
            <w:shd w:val="clear" w:color="000000" w:fill="FFFFFF"/>
            <w:noWrap/>
            <w:hideMark/>
          </w:tcPr>
          <w:p w14:paraId="57930F4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Confused, muddled, racing, or slowed down speech</w:t>
            </w:r>
          </w:p>
        </w:tc>
        <w:tc>
          <w:tcPr>
            <w:tcW w:w="2268" w:type="dxa"/>
            <w:shd w:val="clear" w:color="000000" w:fill="FFFFFF"/>
            <w:noWrap/>
            <w:hideMark/>
          </w:tcPr>
          <w:p w14:paraId="3FBD48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People have found it hard to understand what I say</w:t>
            </w:r>
          </w:p>
        </w:tc>
        <w:tc>
          <w:tcPr>
            <w:tcW w:w="567" w:type="dxa"/>
            <w:shd w:val="clear" w:color="000000" w:fill="FFFFFF"/>
            <w:noWrap/>
            <w:hideMark/>
          </w:tcPr>
          <w:p w14:paraId="5B9E6A36" w14:textId="77777777" w:rsidR="007075D9" w:rsidRPr="004D46AC" w:rsidRDefault="007075D9" w:rsidP="002C5F6E">
            <w:pPr>
              <w:spacing w:line="240" w:lineRule="auto"/>
              <w:ind w:firstLine="0"/>
              <w:rPr>
                <w:rFonts w:eastAsia="Times New Roman"/>
                <w:color w:val="000000"/>
              </w:rPr>
            </w:pPr>
            <w:r w:rsidRPr="004D46AC">
              <w:rPr>
                <w:color w:val="000000"/>
              </w:rPr>
              <w:t>128</w:t>
            </w:r>
          </w:p>
        </w:tc>
        <w:tc>
          <w:tcPr>
            <w:tcW w:w="1559" w:type="dxa"/>
            <w:shd w:val="clear" w:color="000000" w:fill="FFFFFF"/>
            <w:noWrap/>
            <w:hideMark/>
          </w:tcPr>
          <w:p w14:paraId="675D8AFB"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79D9F585" w14:textId="77777777" w:rsidTr="00B518F1">
        <w:trPr>
          <w:trHeight w:val="600"/>
        </w:trPr>
        <w:tc>
          <w:tcPr>
            <w:tcW w:w="1312" w:type="dxa"/>
            <w:shd w:val="clear" w:color="000000" w:fill="FFFFFF"/>
            <w:noWrap/>
            <w:hideMark/>
          </w:tcPr>
          <w:p w14:paraId="2C1A766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E3D448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Disorganised communication</w:t>
            </w:r>
          </w:p>
        </w:tc>
        <w:tc>
          <w:tcPr>
            <w:tcW w:w="1312" w:type="dxa"/>
            <w:shd w:val="clear" w:color="000000" w:fill="FFFFFF"/>
            <w:noWrap/>
            <w:hideMark/>
          </w:tcPr>
          <w:p w14:paraId="5F7BCE1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Confused, muddled, racing, or slowed down speech</w:t>
            </w:r>
          </w:p>
        </w:tc>
        <w:tc>
          <w:tcPr>
            <w:tcW w:w="2268" w:type="dxa"/>
            <w:shd w:val="clear" w:color="000000" w:fill="FFFFFF"/>
            <w:noWrap/>
            <w:hideMark/>
          </w:tcPr>
          <w:p w14:paraId="2B9DD4F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My thinking has felt confused, muddled, or disturbed in some way*</w:t>
            </w:r>
          </w:p>
        </w:tc>
        <w:tc>
          <w:tcPr>
            <w:tcW w:w="567" w:type="dxa"/>
            <w:shd w:val="clear" w:color="000000" w:fill="FFFFFF"/>
            <w:noWrap/>
            <w:hideMark/>
          </w:tcPr>
          <w:p w14:paraId="60FF0F2B" w14:textId="77777777" w:rsidR="007075D9" w:rsidRPr="004D46AC" w:rsidRDefault="007075D9" w:rsidP="002C5F6E">
            <w:pPr>
              <w:spacing w:line="240" w:lineRule="auto"/>
              <w:ind w:firstLine="0"/>
              <w:rPr>
                <w:rFonts w:eastAsia="Times New Roman"/>
                <w:color w:val="000000"/>
              </w:rPr>
            </w:pPr>
            <w:r w:rsidRPr="004D46AC">
              <w:rPr>
                <w:color w:val="000000"/>
              </w:rPr>
              <w:t>129</w:t>
            </w:r>
          </w:p>
        </w:tc>
        <w:tc>
          <w:tcPr>
            <w:tcW w:w="1559" w:type="dxa"/>
            <w:shd w:val="clear" w:color="000000" w:fill="FFFFFF"/>
            <w:noWrap/>
            <w:hideMark/>
          </w:tcPr>
          <w:p w14:paraId="33F5DADC"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6D95204" w14:textId="77777777" w:rsidTr="00B518F1">
        <w:trPr>
          <w:trHeight w:val="600"/>
        </w:trPr>
        <w:tc>
          <w:tcPr>
            <w:tcW w:w="1312" w:type="dxa"/>
            <w:shd w:val="clear" w:color="000000" w:fill="FFFFFF"/>
            <w:noWrap/>
            <w:hideMark/>
          </w:tcPr>
          <w:p w14:paraId="39ACFA1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3C02E0C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Disorganised communication</w:t>
            </w:r>
          </w:p>
        </w:tc>
        <w:tc>
          <w:tcPr>
            <w:tcW w:w="1312" w:type="dxa"/>
            <w:shd w:val="clear" w:color="000000" w:fill="FFFFFF"/>
            <w:noWrap/>
            <w:hideMark/>
          </w:tcPr>
          <w:p w14:paraId="55751FE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Loosening or paralysis of associations</w:t>
            </w:r>
          </w:p>
        </w:tc>
        <w:tc>
          <w:tcPr>
            <w:tcW w:w="2268" w:type="dxa"/>
            <w:shd w:val="clear" w:color="000000" w:fill="FFFFFF"/>
            <w:noWrap/>
            <w:hideMark/>
          </w:tcPr>
          <w:p w14:paraId="0954FD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Other people have mentioned changes in the way I speak (e.g., my speech has become difficult to understand)</w:t>
            </w:r>
          </w:p>
        </w:tc>
        <w:tc>
          <w:tcPr>
            <w:tcW w:w="567" w:type="dxa"/>
            <w:shd w:val="clear" w:color="000000" w:fill="FFFFFF"/>
            <w:noWrap/>
            <w:hideMark/>
          </w:tcPr>
          <w:p w14:paraId="1C98FC50" w14:textId="77777777" w:rsidR="007075D9" w:rsidRPr="004D46AC" w:rsidRDefault="007075D9" w:rsidP="002C5F6E">
            <w:pPr>
              <w:spacing w:line="240" w:lineRule="auto"/>
              <w:ind w:firstLine="0"/>
              <w:rPr>
                <w:rFonts w:eastAsia="Times New Roman"/>
                <w:color w:val="000000"/>
              </w:rPr>
            </w:pPr>
            <w:r w:rsidRPr="004D46AC">
              <w:rPr>
                <w:color w:val="000000"/>
              </w:rPr>
              <w:t>130</w:t>
            </w:r>
          </w:p>
        </w:tc>
        <w:tc>
          <w:tcPr>
            <w:tcW w:w="1559" w:type="dxa"/>
            <w:shd w:val="clear" w:color="000000" w:fill="FFFFFF"/>
            <w:noWrap/>
            <w:hideMark/>
          </w:tcPr>
          <w:p w14:paraId="341438F1" w14:textId="77777777" w:rsidR="007075D9" w:rsidRPr="004D46AC" w:rsidRDefault="007075D9" w:rsidP="002C5F6E">
            <w:pPr>
              <w:spacing w:line="240" w:lineRule="auto"/>
              <w:ind w:firstLine="0"/>
              <w:rPr>
                <w:rFonts w:eastAsia="Times New Roman"/>
                <w:color w:val="000000"/>
              </w:rPr>
            </w:pPr>
            <w:r w:rsidRPr="004D46AC">
              <w:rPr>
                <w:color w:val="000000"/>
              </w:rPr>
              <w:t>Self-screen Prodrome &amp; PQ</w:t>
            </w:r>
          </w:p>
        </w:tc>
      </w:tr>
      <w:tr w:rsidR="007075D9" w:rsidRPr="004D46AC" w14:paraId="726830EA" w14:textId="77777777" w:rsidTr="00B518F1">
        <w:trPr>
          <w:trHeight w:val="600"/>
        </w:trPr>
        <w:tc>
          <w:tcPr>
            <w:tcW w:w="1312" w:type="dxa"/>
            <w:shd w:val="clear" w:color="000000" w:fill="FFFFFF"/>
            <w:noWrap/>
            <w:hideMark/>
          </w:tcPr>
          <w:p w14:paraId="5A2C1C7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694D308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Disorganised </w:t>
            </w:r>
            <w:r w:rsidRPr="004D46AC">
              <w:rPr>
                <w:rFonts w:eastAsia="Times New Roman"/>
                <w:color w:val="000000"/>
              </w:rPr>
              <w:lastRenderedPageBreak/>
              <w:t>communication</w:t>
            </w:r>
          </w:p>
        </w:tc>
        <w:tc>
          <w:tcPr>
            <w:tcW w:w="1312" w:type="dxa"/>
            <w:shd w:val="clear" w:color="000000" w:fill="FFFFFF"/>
            <w:noWrap/>
            <w:hideMark/>
          </w:tcPr>
          <w:p w14:paraId="514CDFA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Odd speech</w:t>
            </w:r>
          </w:p>
        </w:tc>
        <w:tc>
          <w:tcPr>
            <w:tcW w:w="2268" w:type="dxa"/>
            <w:shd w:val="clear" w:color="000000" w:fill="FFFFFF"/>
            <w:noWrap/>
            <w:hideMark/>
          </w:tcPr>
          <w:p w14:paraId="0D2CCD4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used words in unusual ways</w:t>
            </w:r>
          </w:p>
        </w:tc>
        <w:tc>
          <w:tcPr>
            <w:tcW w:w="567" w:type="dxa"/>
            <w:shd w:val="clear" w:color="000000" w:fill="FFFFFF"/>
            <w:noWrap/>
            <w:hideMark/>
          </w:tcPr>
          <w:p w14:paraId="0ACB0A50" w14:textId="77777777" w:rsidR="007075D9" w:rsidRPr="004D46AC" w:rsidRDefault="007075D9" w:rsidP="002C5F6E">
            <w:pPr>
              <w:spacing w:line="240" w:lineRule="auto"/>
              <w:ind w:firstLine="0"/>
              <w:rPr>
                <w:rFonts w:eastAsia="Times New Roman"/>
                <w:color w:val="000000"/>
              </w:rPr>
            </w:pPr>
            <w:r w:rsidRPr="004D46AC">
              <w:rPr>
                <w:color w:val="000000"/>
              </w:rPr>
              <w:t>131</w:t>
            </w:r>
          </w:p>
        </w:tc>
        <w:tc>
          <w:tcPr>
            <w:tcW w:w="1559" w:type="dxa"/>
            <w:shd w:val="clear" w:color="000000" w:fill="FFFFFF"/>
            <w:noWrap/>
            <w:hideMark/>
          </w:tcPr>
          <w:p w14:paraId="2A574E6B"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67B1AE09" w14:textId="77777777" w:rsidTr="00B518F1">
        <w:trPr>
          <w:trHeight w:val="600"/>
        </w:trPr>
        <w:tc>
          <w:tcPr>
            <w:tcW w:w="1312" w:type="dxa"/>
            <w:shd w:val="clear" w:color="000000" w:fill="FFFFFF"/>
            <w:noWrap/>
            <w:hideMark/>
          </w:tcPr>
          <w:p w14:paraId="22297D3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2CB66D4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Disorganised communication</w:t>
            </w:r>
          </w:p>
        </w:tc>
        <w:tc>
          <w:tcPr>
            <w:tcW w:w="1312" w:type="dxa"/>
            <w:shd w:val="clear" w:color="000000" w:fill="FFFFFF"/>
            <w:noWrap/>
            <w:hideMark/>
          </w:tcPr>
          <w:p w14:paraId="6D8BB1C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Circumstantial tangential or paralogical speech</w:t>
            </w:r>
          </w:p>
        </w:tc>
        <w:tc>
          <w:tcPr>
            <w:tcW w:w="2268" w:type="dxa"/>
            <w:shd w:val="clear" w:color="000000" w:fill="FFFFFF"/>
            <w:noWrap/>
            <w:hideMark/>
          </w:tcPr>
          <w:p w14:paraId="23312AB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wondered off the topic or rambled on too much when I was speaking</w:t>
            </w:r>
          </w:p>
        </w:tc>
        <w:tc>
          <w:tcPr>
            <w:tcW w:w="567" w:type="dxa"/>
            <w:shd w:val="clear" w:color="000000" w:fill="FFFFFF"/>
            <w:noWrap/>
            <w:hideMark/>
          </w:tcPr>
          <w:p w14:paraId="303F8FB5" w14:textId="77777777" w:rsidR="007075D9" w:rsidRPr="004D46AC" w:rsidRDefault="007075D9" w:rsidP="002C5F6E">
            <w:pPr>
              <w:spacing w:line="240" w:lineRule="auto"/>
              <w:ind w:firstLine="0"/>
              <w:rPr>
                <w:rFonts w:eastAsia="Times New Roman"/>
                <w:color w:val="000000"/>
              </w:rPr>
            </w:pPr>
            <w:r w:rsidRPr="004D46AC">
              <w:rPr>
                <w:color w:val="000000"/>
              </w:rPr>
              <w:t>132</w:t>
            </w:r>
          </w:p>
        </w:tc>
        <w:tc>
          <w:tcPr>
            <w:tcW w:w="1559" w:type="dxa"/>
            <w:shd w:val="clear" w:color="000000" w:fill="FFFFFF"/>
            <w:noWrap/>
            <w:hideMark/>
          </w:tcPr>
          <w:p w14:paraId="1178F091" w14:textId="77777777" w:rsidR="007075D9" w:rsidRPr="004D46AC" w:rsidRDefault="007075D9" w:rsidP="002C5F6E">
            <w:pPr>
              <w:spacing w:line="240" w:lineRule="auto"/>
              <w:ind w:firstLine="0"/>
              <w:rPr>
                <w:rFonts w:eastAsia="Times New Roman"/>
                <w:color w:val="000000"/>
              </w:rPr>
            </w:pPr>
            <w:r w:rsidRPr="004D46AC">
              <w:rPr>
                <w:color w:val="000000"/>
              </w:rPr>
              <w:t>YSR</w:t>
            </w:r>
          </w:p>
        </w:tc>
      </w:tr>
      <w:tr w:rsidR="007075D9" w:rsidRPr="004D46AC" w14:paraId="26CB634E" w14:textId="77777777" w:rsidTr="00B518F1">
        <w:trPr>
          <w:trHeight w:val="600"/>
        </w:trPr>
        <w:tc>
          <w:tcPr>
            <w:tcW w:w="1312" w:type="dxa"/>
            <w:shd w:val="clear" w:color="000000" w:fill="FFFFFF"/>
            <w:noWrap/>
            <w:hideMark/>
          </w:tcPr>
          <w:p w14:paraId="266E746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7675355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098B355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Exaggerated self-opinion</w:t>
            </w:r>
          </w:p>
        </w:tc>
        <w:tc>
          <w:tcPr>
            <w:tcW w:w="2268" w:type="dxa"/>
            <w:shd w:val="clear" w:color="000000" w:fill="FFFFFF"/>
            <w:noWrap/>
            <w:hideMark/>
          </w:tcPr>
          <w:p w14:paraId="3C8A77C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that you are a very special or unusual person?</w:t>
            </w:r>
          </w:p>
        </w:tc>
        <w:tc>
          <w:tcPr>
            <w:tcW w:w="567" w:type="dxa"/>
            <w:shd w:val="clear" w:color="000000" w:fill="FFFFFF"/>
            <w:noWrap/>
            <w:hideMark/>
          </w:tcPr>
          <w:p w14:paraId="27216B47" w14:textId="77777777" w:rsidR="007075D9" w:rsidRPr="004D46AC" w:rsidRDefault="007075D9" w:rsidP="002C5F6E">
            <w:pPr>
              <w:spacing w:line="240" w:lineRule="auto"/>
              <w:ind w:firstLine="0"/>
              <w:rPr>
                <w:rFonts w:eastAsia="Times New Roman"/>
                <w:color w:val="000000"/>
              </w:rPr>
            </w:pPr>
            <w:r w:rsidRPr="004D46AC">
              <w:rPr>
                <w:color w:val="000000"/>
              </w:rPr>
              <w:t>133</w:t>
            </w:r>
          </w:p>
        </w:tc>
        <w:tc>
          <w:tcPr>
            <w:tcW w:w="1559" w:type="dxa"/>
            <w:shd w:val="clear" w:color="000000" w:fill="FFFFFF"/>
            <w:noWrap/>
            <w:hideMark/>
          </w:tcPr>
          <w:p w14:paraId="481D4ACD"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3AA1F24C" w14:textId="77777777" w:rsidTr="00B518F1">
        <w:trPr>
          <w:trHeight w:val="600"/>
        </w:trPr>
        <w:tc>
          <w:tcPr>
            <w:tcW w:w="1312" w:type="dxa"/>
            <w:shd w:val="clear" w:color="000000" w:fill="FFFFFF"/>
            <w:noWrap/>
            <w:hideMark/>
          </w:tcPr>
          <w:p w14:paraId="63AD701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FB20A8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3C49E32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Exaggerated self-opinion</w:t>
            </w:r>
          </w:p>
        </w:tc>
        <w:tc>
          <w:tcPr>
            <w:tcW w:w="2268" w:type="dxa"/>
            <w:shd w:val="clear" w:color="000000" w:fill="FFFFFF"/>
            <w:noWrap/>
            <w:hideMark/>
          </w:tcPr>
          <w:p w14:paraId="799B7B3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thought that I am very important or have abilities that are out of the ordinary</w:t>
            </w:r>
          </w:p>
        </w:tc>
        <w:tc>
          <w:tcPr>
            <w:tcW w:w="567" w:type="dxa"/>
            <w:shd w:val="clear" w:color="000000" w:fill="FFFFFF"/>
            <w:noWrap/>
            <w:hideMark/>
          </w:tcPr>
          <w:p w14:paraId="5CD40F4E" w14:textId="77777777" w:rsidR="007075D9" w:rsidRPr="004D46AC" w:rsidRDefault="007075D9" w:rsidP="002C5F6E">
            <w:pPr>
              <w:spacing w:line="240" w:lineRule="auto"/>
              <w:ind w:firstLine="0"/>
              <w:rPr>
                <w:rFonts w:eastAsia="Times New Roman"/>
                <w:color w:val="000000"/>
              </w:rPr>
            </w:pPr>
            <w:r w:rsidRPr="004D46AC">
              <w:rPr>
                <w:color w:val="000000"/>
              </w:rPr>
              <w:t>134</w:t>
            </w:r>
          </w:p>
        </w:tc>
        <w:tc>
          <w:tcPr>
            <w:tcW w:w="1559" w:type="dxa"/>
            <w:shd w:val="clear" w:color="000000" w:fill="FFFFFF"/>
            <w:noWrap/>
            <w:hideMark/>
          </w:tcPr>
          <w:p w14:paraId="4E5C0112" w14:textId="77777777" w:rsidR="007075D9" w:rsidRPr="004D46AC" w:rsidRDefault="007075D9" w:rsidP="002C5F6E">
            <w:pPr>
              <w:spacing w:line="240" w:lineRule="auto"/>
              <w:ind w:firstLine="0"/>
              <w:rPr>
                <w:rFonts w:eastAsia="Times New Roman"/>
                <w:color w:val="000000"/>
              </w:rPr>
            </w:pPr>
            <w:r w:rsidRPr="004D46AC">
              <w:rPr>
                <w:color w:val="000000"/>
              </w:rPr>
              <w:t>PS-R</w:t>
            </w:r>
          </w:p>
        </w:tc>
      </w:tr>
      <w:tr w:rsidR="007075D9" w:rsidRPr="004D46AC" w14:paraId="3E06A336" w14:textId="77777777" w:rsidTr="00B518F1">
        <w:trPr>
          <w:trHeight w:val="600"/>
        </w:trPr>
        <w:tc>
          <w:tcPr>
            <w:tcW w:w="1312" w:type="dxa"/>
            <w:shd w:val="clear" w:color="000000" w:fill="FFFFFF"/>
            <w:noWrap/>
            <w:hideMark/>
          </w:tcPr>
          <w:p w14:paraId="71D9108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2F5BA00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6916DA9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Exaggerated self-opinion</w:t>
            </w:r>
          </w:p>
        </w:tc>
        <w:tc>
          <w:tcPr>
            <w:tcW w:w="2268" w:type="dxa"/>
            <w:shd w:val="clear" w:color="000000" w:fill="FFFFFF"/>
            <w:noWrap/>
            <w:hideMark/>
          </w:tcPr>
          <w:p w14:paraId="2CCDFAC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euphoric or especially competent and important.</w:t>
            </w:r>
          </w:p>
        </w:tc>
        <w:tc>
          <w:tcPr>
            <w:tcW w:w="567" w:type="dxa"/>
            <w:shd w:val="clear" w:color="000000" w:fill="FFFFFF"/>
            <w:noWrap/>
            <w:hideMark/>
          </w:tcPr>
          <w:p w14:paraId="751B59AB" w14:textId="77777777" w:rsidR="007075D9" w:rsidRPr="004D46AC" w:rsidRDefault="007075D9" w:rsidP="002C5F6E">
            <w:pPr>
              <w:spacing w:line="240" w:lineRule="auto"/>
              <w:ind w:firstLine="0"/>
              <w:rPr>
                <w:rFonts w:eastAsia="Times New Roman"/>
                <w:color w:val="000000"/>
              </w:rPr>
            </w:pPr>
            <w:r w:rsidRPr="004D46AC">
              <w:rPr>
                <w:color w:val="000000"/>
              </w:rPr>
              <w:t>135</w:t>
            </w:r>
          </w:p>
        </w:tc>
        <w:tc>
          <w:tcPr>
            <w:tcW w:w="1559" w:type="dxa"/>
            <w:shd w:val="clear" w:color="000000" w:fill="FFFFFF"/>
            <w:noWrap/>
            <w:hideMark/>
          </w:tcPr>
          <w:p w14:paraId="354BF519" w14:textId="77777777" w:rsidR="007075D9" w:rsidRPr="004D46AC" w:rsidRDefault="007075D9" w:rsidP="002C5F6E">
            <w:pPr>
              <w:spacing w:line="240" w:lineRule="auto"/>
              <w:ind w:firstLine="0"/>
              <w:rPr>
                <w:rFonts w:eastAsia="Times New Roman"/>
                <w:color w:val="000000"/>
              </w:rPr>
            </w:pPr>
            <w:r w:rsidRPr="004D46AC">
              <w:rPr>
                <w:color w:val="000000"/>
              </w:rPr>
              <w:t>PROD-screen</w:t>
            </w:r>
          </w:p>
        </w:tc>
      </w:tr>
      <w:tr w:rsidR="007075D9" w:rsidRPr="004D46AC" w14:paraId="179823F9" w14:textId="77777777" w:rsidTr="00B518F1">
        <w:trPr>
          <w:trHeight w:val="600"/>
        </w:trPr>
        <w:tc>
          <w:tcPr>
            <w:tcW w:w="1312" w:type="dxa"/>
            <w:shd w:val="clear" w:color="000000" w:fill="FFFFFF"/>
            <w:noWrap/>
            <w:hideMark/>
          </w:tcPr>
          <w:p w14:paraId="1FB0345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45D5ED9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3B09765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Clear-cut grandiose delusions</w:t>
            </w:r>
          </w:p>
        </w:tc>
        <w:tc>
          <w:tcPr>
            <w:tcW w:w="2268" w:type="dxa"/>
            <w:shd w:val="clear" w:color="000000" w:fill="FFFFFF"/>
            <w:noWrap/>
            <w:hideMark/>
          </w:tcPr>
          <w:p w14:paraId="750E3E1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believe that I have special natural or supernatural gifts beyond my talents and natural strengths</w:t>
            </w:r>
          </w:p>
        </w:tc>
        <w:tc>
          <w:tcPr>
            <w:tcW w:w="567" w:type="dxa"/>
            <w:shd w:val="clear" w:color="000000" w:fill="FFFFFF"/>
            <w:noWrap/>
            <w:hideMark/>
          </w:tcPr>
          <w:p w14:paraId="3E722CE3" w14:textId="77777777" w:rsidR="007075D9" w:rsidRPr="004D46AC" w:rsidRDefault="007075D9" w:rsidP="002C5F6E">
            <w:pPr>
              <w:spacing w:line="240" w:lineRule="auto"/>
              <w:ind w:firstLine="0"/>
              <w:rPr>
                <w:rFonts w:eastAsia="Times New Roman"/>
                <w:color w:val="000000"/>
              </w:rPr>
            </w:pPr>
            <w:r w:rsidRPr="004D46AC">
              <w:rPr>
                <w:color w:val="000000"/>
              </w:rPr>
              <w:t>136</w:t>
            </w:r>
          </w:p>
        </w:tc>
        <w:tc>
          <w:tcPr>
            <w:tcW w:w="1559" w:type="dxa"/>
            <w:shd w:val="clear" w:color="000000" w:fill="FFFFFF"/>
            <w:noWrap/>
            <w:hideMark/>
          </w:tcPr>
          <w:p w14:paraId="3D30E398" w14:textId="77777777" w:rsidR="007075D9" w:rsidRPr="004D46AC" w:rsidRDefault="007075D9" w:rsidP="002C5F6E">
            <w:pPr>
              <w:spacing w:line="240" w:lineRule="auto"/>
              <w:ind w:firstLine="0"/>
              <w:rPr>
                <w:rFonts w:eastAsia="Times New Roman"/>
                <w:color w:val="000000"/>
              </w:rPr>
            </w:pPr>
            <w:r w:rsidRPr="004D46AC">
              <w:rPr>
                <w:color w:val="000000"/>
              </w:rPr>
              <w:t>PS-R</w:t>
            </w:r>
          </w:p>
        </w:tc>
      </w:tr>
      <w:tr w:rsidR="007075D9" w:rsidRPr="004D46AC" w14:paraId="46132E69" w14:textId="77777777" w:rsidTr="00B518F1">
        <w:trPr>
          <w:trHeight w:val="600"/>
        </w:trPr>
        <w:tc>
          <w:tcPr>
            <w:tcW w:w="1312" w:type="dxa"/>
            <w:shd w:val="clear" w:color="000000" w:fill="FFFFFF"/>
            <w:noWrap/>
            <w:hideMark/>
          </w:tcPr>
          <w:p w14:paraId="42A8D48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61EF48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33B43C2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Clear-cut grandiose delusions</w:t>
            </w:r>
          </w:p>
        </w:tc>
        <w:tc>
          <w:tcPr>
            <w:tcW w:w="2268" w:type="dxa"/>
            <w:shd w:val="clear" w:color="000000" w:fill="FFFFFF"/>
            <w:noWrap/>
            <w:hideMark/>
          </w:tcPr>
          <w:p w14:paraId="2473BF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feel you have unusual healing abilities or powers?</w:t>
            </w:r>
          </w:p>
        </w:tc>
        <w:tc>
          <w:tcPr>
            <w:tcW w:w="567" w:type="dxa"/>
            <w:shd w:val="clear" w:color="000000" w:fill="FFFFFF"/>
            <w:noWrap/>
            <w:hideMark/>
          </w:tcPr>
          <w:p w14:paraId="078ACD05" w14:textId="77777777" w:rsidR="007075D9" w:rsidRPr="004D46AC" w:rsidRDefault="007075D9" w:rsidP="002C5F6E">
            <w:pPr>
              <w:spacing w:line="240" w:lineRule="auto"/>
              <w:ind w:firstLine="0"/>
              <w:rPr>
                <w:rFonts w:eastAsia="Times New Roman"/>
                <w:color w:val="000000"/>
              </w:rPr>
            </w:pPr>
            <w:r w:rsidRPr="004D46AC">
              <w:rPr>
                <w:color w:val="000000"/>
              </w:rPr>
              <w:t>137</w:t>
            </w:r>
          </w:p>
        </w:tc>
        <w:tc>
          <w:tcPr>
            <w:tcW w:w="1559" w:type="dxa"/>
            <w:shd w:val="clear" w:color="000000" w:fill="FFFFFF"/>
            <w:noWrap/>
            <w:hideMark/>
          </w:tcPr>
          <w:p w14:paraId="72E7EA44"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05A12B36" w14:textId="77777777" w:rsidTr="00B518F1">
        <w:trPr>
          <w:trHeight w:val="600"/>
        </w:trPr>
        <w:tc>
          <w:tcPr>
            <w:tcW w:w="1312" w:type="dxa"/>
            <w:shd w:val="clear" w:color="000000" w:fill="FFFFFF"/>
            <w:noWrap/>
            <w:hideMark/>
          </w:tcPr>
          <w:p w14:paraId="68E847C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3216DB7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31EE17D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ideas</w:t>
            </w:r>
          </w:p>
        </w:tc>
        <w:tc>
          <w:tcPr>
            <w:tcW w:w="2268" w:type="dxa"/>
            <w:shd w:val="clear" w:color="000000" w:fill="FFFFFF"/>
            <w:noWrap/>
            <w:hideMark/>
          </w:tcPr>
          <w:p w14:paraId="16160C2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that I didn't exist, the world didn't exist, or that I was dead</w:t>
            </w:r>
          </w:p>
        </w:tc>
        <w:tc>
          <w:tcPr>
            <w:tcW w:w="567" w:type="dxa"/>
            <w:shd w:val="clear" w:color="000000" w:fill="FFFFFF"/>
            <w:noWrap/>
            <w:hideMark/>
          </w:tcPr>
          <w:p w14:paraId="66DD9EC4" w14:textId="77777777" w:rsidR="007075D9" w:rsidRPr="004D46AC" w:rsidRDefault="007075D9" w:rsidP="002C5F6E">
            <w:pPr>
              <w:spacing w:line="240" w:lineRule="auto"/>
              <w:ind w:firstLine="0"/>
              <w:rPr>
                <w:rFonts w:eastAsia="Times New Roman"/>
                <w:color w:val="000000"/>
              </w:rPr>
            </w:pPr>
            <w:r w:rsidRPr="004D46AC">
              <w:rPr>
                <w:color w:val="000000"/>
              </w:rPr>
              <w:t>138</w:t>
            </w:r>
          </w:p>
        </w:tc>
        <w:tc>
          <w:tcPr>
            <w:tcW w:w="1559" w:type="dxa"/>
            <w:shd w:val="clear" w:color="000000" w:fill="FFFFFF"/>
            <w:noWrap/>
            <w:hideMark/>
          </w:tcPr>
          <w:p w14:paraId="5F20BA8A"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13317E95" w14:textId="77777777" w:rsidTr="00B518F1">
        <w:trPr>
          <w:trHeight w:val="600"/>
        </w:trPr>
        <w:tc>
          <w:tcPr>
            <w:tcW w:w="1312" w:type="dxa"/>
            <w:shd w:val="clear" w:color="000000" w:fill="FFFFFF"/>
            <w:noWrap/>
            <w:hideMark/>
          </w:tcPr>
          <w:p w14:paraId="130359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288E93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5968541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ideas</w:t>
            </w:r>
          </w:p>
        </w:tc>
        <w:tc>
          <w:tcPr>
            <w:tcW w:w="2268" w:type="dxa"/>
            <w:shd w:val="clear" w:color="000000" w:fill="FFFFFF"/>
            <w:noWrap/>
            <w:hideMark/>
          </w:tcPr>
          <w:p w14:paraId="126F30D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For moments I got the feeling that my body is deformed.</w:t>
            </w:r>
          </w:p>
        </w:tc>
        <w:tc>
          <w:tcPr>
            <w:tcW w:w="567" w:type="dxa"/>
            <w:shd w:val="clear" w:color="000000" w:fill="FFFFFF"/>
            <w:noWrap/>
            <w:hideMark/>
          </w:tcPr>
          <w:p w14:paraId="4EB21002" w14:textId="77777777" w:rsidR="007075D9" w:rsidRPr="004D46AC" w:rsidRDefault="007075D9" w:rsidP="002C5F6E">
            <w:pPr>
              <w:spacing w:line="240" w:lineRule="auto"/>
              <w:ind w:firstLine="0"/>
              <w:rPr>
                <w:rFonts w:eastAsia="Times New Roman"/>
                <w:color w:val="000000"/>
              </w:rPr>
            </w:pPr>
            <w:r w:rsidRPr="004D46AC">
              <w:rPr>
                <w:color w:val="000000"/>
              </w:rPr>
              <w:t>139</w:t>
            </w:r>
          </w:p>
        </w:tc>
        <w:tc>
          <w:tcPr>
            <w:tcW w:w="1559" w:type="dxa"/>
            <w:shd w:val="clear" w:color="000000" w:fill="FFFFFF"/>
            <w:noWrap/>
            <w:hideMark/>
          </w:tcPr>
          <w:p w14:paraId="201CFD63" w14:textId="77777777" w:rsidR="007075D9" w:rsidRPr="004D46AC" w:rsidRDefault="007075D9" w:rsidP="002C5F6E">
            <w:pPr>
              <w:spacing w:line="240" w:lineRule="auto"/>
              <w:ind w:firstLine="0"/>
              <w:rPr>
                <w:rFonts w:eastAsia="Times New Roman"/>
                <w:color w:val="000000"/>
              </w:rPr>
            </w:pPr>
            <w:r w:rsidRPr="004D46AC">
              <w:rPr>
                <w:color w:val="000000"/>
              </w:rPr>
              <w:t>ESI</w:t>
            </w:r>
          </w:p>
        </w:tc>
      </w:tr>
      <w:tr w:rsidR="007075D9" w:rsidRPr="004D46AC" w14:paraId="075BC018" w14:textId="77777777" w:rsidTr="00B518F1">
        <w:trPr>
          <w:trHeight w:val="600"/>
        </w:trPr>
        <w:tc>
          <w:tcPr>
            <w:tcW w:w="1312" w:type="dxa"/>
            <w:shd w:val="clear" w:color="000000" w:fill="FFFFFF"/>
            <w:noWrap/>
            <w:hideMark/>
          </w:tcPr>
          <w:p w14:paraId="6CD1D5C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4902D6E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0CFA80B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ideas</w:t>
            </w:r>
          </w:p>
        </w:tc>
        <w:tc>
          <w:tcPr>
            <w:tcW w:w="2268" w:type="dxa"/>
            <w:shd w:val="clear" w:color="000000" w:fill="FFFFFF"/>
            <w:noWrap/>
            <w:hideMark/>
          </w:tcPr>
          <w:p w14:paraId="01295D9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been repeatedly pondering on certain things (violent or sexual in content or concerning changes in your body)? </w:t>
            </w:r>
          </w:p>
        </w:tc>
        <w:tc>
          <w:tcPr>
            <w:tcW w:w="567" w:type="dxa"/>
            <w:shd w:val="clear" w:color="000000" w:fill="FFFFFF"/>
            <w:noWrap/>
            <w:hideMark/>
          </w:tcPr>
          <w:p w14:paraId="2AF8A45B" w14:textId="77777777" w:rsidR="007075D9" w:rsidRPr="004D46AC" w:rsidRDefault="007075D9" w:rsidP="002C5F6E">
            <w:pPr>
              <w:spacing w:line="240" w:lineRule="auto"/>
              <w:ind w:firstLine="0"/>
              <w:rPr>
                <w:rFonts w:eastAsia="Times New Roman"/>
                <w:color w:val="000000"/>
              </w:rPr>
            </w:pPr>
            <w:r w:rsidRPr="004D46AC">
              <w:rPr>
                <w:color w:val="000000"/>
              </w:rPr>
              <w:t>140</w:t>
            </w:r>
          </w:p>
        </w:tc>
        <w:tc>
          <w:tcPr>
            <w:tcW w:w="1559" w:type="dxa"/>
            <w:shd w:val="clear" w:color="000000" w:fill="FFFFFF"/>
            <w:noWrap/>
            <w:hideMark/>
          </w:tcPr>
          <w:p w14:paraId="1FC5EE82"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587A0B40" w14:textId="77777777" w:rsidTr="00B518F1">
        <w:trPr>
          <w:trHeight w:val="600"/>
        </w:trPr>
        <w:tc>
          <w:tcPr>
            <w:tcW w:w="1312" w:type="dxa"/>
            <w:shd w:val="clear" w:color="000000" w:fill="FFFFFF"/>
            <w:noWrap/>
            <w:hideMark/>
          </w:tcPr>
          <w:p w14:paraId="65E4FF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1D35F13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397495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Overvalued beliefs </w:t>
            </w:r>
          </w:p>
        </w:tc>
        <w:tc>
          <w:tcPr>
            <w:tcW w:w="2268" w:type="dxa"/>
            <w:shd w:val="clear" w:color="000000" w:fill="FFFFFF"/>
            <w:noWrap/>
            <w:hideMark/>
          </w:tcPr>
          <w:p w14:paraId="488F1EF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been preoccupied with unusual, secretive or supernatural things or ideas (e.g. Religious or esoteric in type)?</w:t>
            </w:r>
          </w:p>
        </w:tc>
        <w:tc>
          <w:tcPr>
            <w:tcW w:w="567" w:type="dxa"/>
            <w:shd w:val="clear" w:color="000000" w:fill="FFFFFF"/>
            <w:noWrap/>
            <w:hideMark/>
          </w:tcPr>
          <w:p w14:paraId="35A35AE5" w14:textId="77777777" w:rsidR="007075D9" w:rsidRPr="004D46AC" w:rsidRDefault="007075D9" w:rsidP="002C5F6E">
            <w:pPr>
              <w:spacing w:line="240" w:lineRule="auto"/>
              <w:ind w:firstLine="0"/>
              <w:rPr>
                <w:rFonts w:eastAsia="Times New Roman"/>
                <w:color w:val="000000"/>
              </w:rPr>
            </w:pPr>
            <w:r w:rsidRPr="004D46AC">
              <w:rPr>
                <w:color w:val="000000"/>
              </w:rPr>
              <w:t>141</w:t>
            </w:r>
          </w:p>
        </w:tc>
        <w:tc>
          <w:tcPr>
            <w:tcW w:w="1559" w:type="dxa"/>
            <w:shd w:val="clear" w:color="000000" w:fill="FFFFFF"/>
            <w:noWrap/>
            <w:hideMark/>
          </w:tcPr>
          <w:p w14:paraId="56E2DE61" w14:textId="77777777" w:rsidR="007075D9" w:rsidRPr="004D46AC" w:rsidRDefault="007075D9" w:rsidP="002C5F6E">
            <w:pPr>
              <w:spacing w:line="240" w:lineRule="auto"/>
              <w:ind w:firstLine="0"/>
              <w:rPr>
                <w:rFonts w:eastAsia="Times New Roman"/>
                <w:color w:val="000000"/>
              </w:rPr>
            </w:pPr>
            <w:proofErr w:type="spellStart"/>
            <w:r w:rsidRPr="004D46AC">
              <w:rPr>
                <w:color w:val="000000"/>
              </w:rPr>
              <w:t>ERIraros</w:t>
            </w:r>
            <w:proofErr w:type="spellEnd"/>
          </w:p>
        </w:tc>
      </w:tr>
      <w:tr w:rsidR="007075D9" w:rsidRPr="004D46AC" w14:paraId="0386AED2" w14:textId="77777777" w:rsidTr="00B518F1">
        <w:trPr>
          <w:trHeight w:val="600"/>
        </w:trPr>
        <w:tc>
          <w:tcPr>
            <w:tcW w:w="1312" w:type="dxa"/>
            <w:shd w:val="clear" w:color="000000" w:fill="FFFFFF"/>
            <w:noWrap/>
            <w:hideMark/>
          </w:tcPr>
          <w:p w14:paraId="5D0E723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Positive symptoms</w:t>
            </w:r>
          </w:p>
        </w:tc>
        <w:tc>
          <w:tcPr>
            <w:tcW w:w="1312" w:type="dxa"/>
            <w:shd w:val="clear" w:color="000000" w:fill="FFFFFF"/>
            <w:noWrap/>
            <w:hideMark/>
          </w:tcPr>
          <w:p w14:paraId="0E3F706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32C81ED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Overvalued beliefs </w:t>
            </w:r>
          </w:p>
        </w:tc>
        <w:tc>
          <w:tcPr>
            <w:tcW w:w="2268" w:type="dxa"/>
            <w:shd w:val="clear" w:color="000000" w:fill="FFFFFF"/>
            <w:noWrap/>
            <w:hideMark/>
          </w:tcPr>
          <w:p w14:paraId="425529B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hold beliefs that others would find unusual or different or bizarre?</w:t>
            </w:r>
          </w:p>
        </w:tc>
        <w:tc>
          <w:tcPr>
            <w:tcW w:w="567" w:type="dxa"/>
            <w:shd w:val="clear" w:color="000000" w:fill="FFFFFF"/>
            <w:noWrap/>
            <w:hideMark/>
          </w:tcPr>
          <w:p w14:paraId="582EA0CE" w14:textId="77777777" w:rsidR="007075D9" w:rsidRPr="004D46AC" w:rsidRDefault="007075D9" w:rsidP="002C5F6E">
            <w:pPr>
              <w:spacing w:line="240" w:lineRule="auto"/>
              <w:ind w:firstLine="0"/>
              <w:rPr>
                <w:rFonts w:eastAsia="Times New Roman"/>
                <w:color w:val="000000"/>
              </w:rPr>
            </w:pPr>
            <w:r w:rsidRPr="004D46AC">
              <w:rPr>
                <w:color w:val="000000"/>
              </w:rPr>
              <w:t>142</w:t>
            </w:r>
          </w:p>
        </w:tc>
        <w:tc>
          <w:tcPr>
            <w:tcW w:w="1559" w:type="dxa"/>
            <w:shd w:val="clear" w:color="000000" w:fill="FFFFFF"/>
            <w:noWrap/>
            <w:hideMark/>
          </w:tcPr>
          <w:p w14:paraId="0FDBEFAE"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64AC9528" w14:textId="77777777" w:rsidTr="00B518F1">
        <w:trPr>
          <w:trHeight w:val="600"/>
        </w:trPr>
        <w:tc>
          <w:tcPr>
            <w:tcW w:w="1312" w:type="dxa"/>
            <w:shd w:val="clear" w:color="000000" w:fill="FFFFFF"/>
            <w:noWrap/>
            <w:hideMark/>
          </w:tcPr>
          <w:p w14:paraId="60ED622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DDACD3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1E00153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Overvalued beliefs </w:t>
            </w:r>
          </w:p>
        </w:tc>
        <w:tc>
          <w:tcPr>
            <w:tcW w:w="2268" w:type="dxa"/>
            <w:shd w:val="clear" w:color="000000" w:fill="FFFFFF"/>
            <w:noWrap/>
            <w:hideMark/>
          </w:tcPr>
          <w:p w14:paraId="043AD57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believe in the power of witchcraft, voodoo or the occult?</w:t>
            </w:r>
          </w:p>
        </w:tc>
        <w:tc>
          <w:tcPr>
            <w:tcW w:w="567" w:type="dxa"/>
            <w:shd w:val="clear" w:color="000000" w:fill="FFFFFF"/>
            <w:noWrap/>
            <w:hideMark/>
          </w:tcPr>
          <w:p w14:paraId="601B308F" w14:textId="77777777" w:rsidR="007075D9" w:rsidRPr="004D46AC" w:rsidRDefault="007075D9" w:rsidP="002C5F6E">
            <w:pPr>
              <w:spacing w:line="240" w:lineRule="auto"/>
              <w:ind w:firstLine="0"/>
              <w:rPr>
                <w:rFonts w:eastAsia="Times New Roman"/>
                <w:color w:val="000000"/>
              </w:rPr>
            </w:pPr>
            <w:r w:rsidRPr="004D46AC">
              <w:rPr>
                <w:color w:val="000000"/>
              </w:rPr>
              <w:t>143</w:t>
            </w:r>
          </w:p>
        </w:tc>
        <w:tc>
          <w:tcPr>
            <w:tcW w:w="1559" w:type="dxa"/>
            <w:shd w:val="clear" w:color="000000" w:fill="FFFFFF"/>
            <w:noWrap/>
            <w:hideMark/>
          </w:tcPr>
          <w:p w14:paraId="0E22B5FE"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2F773F51" w14:textId="77777777" w:rsidTr="00B518F1">
        <w:trPr>
          <w:trHeight w:val="600"/>
        </w:trPr>
        <w:tc>
          <w:tcPr>
            <w:tcW w:w="1312" w:type="dxa"/>
            <w:shd w:val="clear" w:color="000000" w:fill="FFFFFF"/>
            <w:noWrap/>
            <w:hideMark/>
          </w:tcPr>
          <w:p w14:paraId="4BE30F1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60C71DA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51CA6FC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Non-persecutory ideas of reference </w:t>
            </w:r>
          </w:p>
        </w:tc>
        <w:tc>
          <w:tcPr>
            <w:tcW w:w="2268" w:type="dxa"/>
            <w:shd w:val="clear" w:color="000000" w:fill="FFFFFF"/>
            <w:noWrap/>
            <w:hideMark/>
          </w:tcPr>
          <w:p w14:paraId="5E2E2D4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People have dropped hints about me or said things with a double meaning</w:t>
            </w:r>
          </w:p>
        </w:tc>
        <w:tc>
          <w:tcPr>
            <w:tcW w:w="567" w:type="dxa"/>
            <w:shd w:val="clear" w:color="000000" w:fill="FFFFFF"/>
            <w:noWrap/>
            <w:hideMark/>
          </w:tcPr>
          <w:p w14:paraId="2C8B1744" w14:textId="77777777" w:rsidR="007075D9" w:rsidRPr="004D46AC" w:rsidRDefault="007075D9" w:rsidP="002C5F6E">
            <w:pPr>
              <w:spacing w:line="240" w:lineRule="auto"/>
              <w:ind w:firstLine="0"/>
              <w:rPr>
                <w:rFonts w:eastAsia="Times New Roman"/>
                <w:color w:val="000000"/>
              </w:rPr>
            </w:pPr>
            <w:r w:rsidRPr="004D46AC">
              <w:rPr>
                <w:color w:val="000000"/>
              </w:rPr>
              <w:t>144</w:t>
            </w:r>
          </w:p>
        </w:tc>
        <w:tc>
          <w:tcPr>
            <w:tcW w:w="1559" w:type="dxa"/>
            <w:shd w:val="clear" w:color="000000" w:fill="FFFFFF"/>
            <w:noWrap/>
            <w:hideMark/>
          </w:tcPr>
          <w:p w14:paraId="6F0860D2"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681DD5D3" w14:textId="77777777" w:rsidTr="00B518F1">
        <w:trPr>
          <w:trHeight w:val="600"/>
        </w:trPr>
        <w:tc>
          <w:tcPr>
            <w:tcW w:w="1312" w:type="dxa"/>
            <w:shd w:val="clear" w:color="000000" w:fill="FFFFFF"/>
            <w:noWrap/>
            <w:hideMark/>
          </w:tcPr>
          <w:p w14:paraId="0CC4D6F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7677F26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729B8BD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Non-persecutory ideas of reference </w:t>
            </w:r>
          </w:p>
        </w:tc>
        <w:tc>
          <w:tcPr>
            <w:tcW w:w="2268" w:type="dxa"/>
            <w:shd w:val="clear" w:color="000000" w:fill="FFFFFF"/>
            <w:noWrap/>
            <w:hideMark/>
          </w:tcPr>
          <w:p w14:paraId="544FE3D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that every day things have a special meaning just for you</w:t>
            </w:r>
          </w:p>
        </w:tc>
        <w:tc>
          <w:tcPr>
            <w:tcW w:w="567" w:type="dxa"/>
            <w:shd w:val="clear" w:color="000000" w:fill="FFFFFF"/>
            <w:noWrap/>
            <w:hideMark/>
          </w:tcPr>
          <w:p w14:paraId="17E55068" w14:textId="77777777" w:rsidR="007075D9" w:rsidRPr="004D46AC" w:rsidRDefault="007075D9" w:rsidP="002C5F6E">
            <w:pPr>
              <w:spacing w:line="240" w:lineRule="auto"/>
              <w:ind w:firstLine="0"/>
              <w:rPr>
                <w:rFonts w:eastAsia="Times New Roman"/>
                <w:color w:val="000000"/>
              </w:rPr>
            </w:pPr>
            <w:r w:rsidRPr="004D46AC">
              <w:rPr>
                <w:color w:val="000000"/>
              </w:rPr>
              <w:t>145</w:t>
            </w:r>
          </w:p>
        </w:tc>
        <w:tc>
          <w:tcPr>
            <w:tcW w:w="1559" w:type="dxa"/>
            <w:shd w:val="clear" w:color="000000" w:fill="FFFFFF"/>
            <w:noWrap/>
            <w:hideMark/>
          </w:tcPr>
          <w:p w14:paraId="534A6552" w14:textId="77777777" w:rsidR="007075D9" w:rsidRPr="004D46AC" w:rsidRDefault="007075D9" w:rsidP="002C5F6E">
            <w:pPr>
              <w:spacing w:line="240" w:lineRule="auto"/>
              <w:ind w:firstLine="0"/>
              <w:rPr>
                <w:rFonts w:eastAsia="Times New Roman"/>
                <w:color w:val="000000"/>
              </w:rPr>
            </w:pPr>
            <w:r w:rsidRPr="004D46AC">
              <w:rPr>
                <w:color w:val="000000"/>
              </w:rPr>
              <w:t>EDPCC</w:t>
            </w:r>
          </w:p>
        </w:tc>
      </w:tr>
      <w:tr w:rsidR="007075D9" w:rsidRPr="004D46AC" w14:paraId="637B1C61" w14:textId="77777777" w:rsidTr="00B518F1">
        <w:trPr>
          <w:trHeight w:val="600"/>
        </w:trPr>
        <w:tc>
          <w:tcPr>
            <w:tcW w:w="1312" w:type="dxa"/>
            <w:shd w:val="clear" w:color="000000" w:fill="FFFFFF"/>
            <w:noWrap/>
            <w:hideMark/>
          </w:tcPr>
          <w:p w14:paraId="5BA0F41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48C0FA8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2E582DF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Non-persecutory ideas of reference </w:t>
            </w:r>
          </w:p>
        </w:tc>
        <w:tc>
          <w:tcPr>
            <w:tcW w:w="2268" w:type="dxa"/>
            <w:shd w:val="clear" w:color="000000" w:fill="FFFFFF"/>
            <w:noWrap/>
            <w:hideMark/>
          </w:tcPr>
          <w:p w14:paraId="07E9230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Feeling that events in the environment or other people’s behaviour specifically concerns oneself</w:t>
            </w:r>
          </w:p>
        </w:tc>
        <w:tc>
          <w:tcPr>
            <w:tcW w:w="567" w:type="dxa"/>
            <w:shd w:val="clear" w:color="000000" w:fill="FFFFFF"/>
            <w:noWrap/>
            <w:hideMark/>
          </w:tcPr>
          <w:p w14:paraId="15F23890" w14:textId="77777777" w:rsidR="007075D9" w:rsidRPr="004D46AC" w:rsidRDefault="007075D9" w:rsidP="002C5F6E">
            <w:pPr>
              <w:spacing w:line="240" w:lineRule="auto"/>
              <w:ind w:firstLine="0"/>
              <w:rPr>
                <w:rFonts w:eastAsia="Times New Roman"/>
                <w:color w:val="000000"/>
              </w:rPr>
            </w:pPr>
            <w:r w:rsidRPr="004D46AC">
              <w:rPr>
                <w:color w:val="000000"/>
              </w:rPr>
              <w:t>146</w:t>
            </w:r>
          </w:p>
        </w:tc>
        <w:tc>
          <w:tcPr>
            <w:tcW w:w="1559" w:type="dxa"/>
            <w:shd w:val="clear" w:color="000000" w:fill="FFFFFF"/>
            <w:noWrap/>
            <w:hideMark/>
          </w:tcPr>
          <w:p w14:paraId="08709E71" w14:textId="77777777" w:rsidR="007075D9" w:rsidRPr="004D46AC" w:rsidRDefault="007075D9" w:rsidP="002C5F6E">
            <w:pPr>
              <w:spacing w:line="240" w:lineRule="auto"/>
              <w:ind w:firstLine="0"/>
              <w:rPr>
                <w:rFonts w:eastAsia="Times New Roman"/>
                <w:color w:val="000000"/>
              </w:rPr>
            </w:pPr>
            <w:r w:rsidRPr="004D46AC">
              <w:rPr>
                <w:color w:val="000000"/>
              </w:rPr>
              <w:t>Self-screen Prodrome</w:t>
            </w:r>
          </w:p>
        </w:tc>
      </w:tr>
      <w:tr w:rsidR="007075D9" w:rsidRPr="004D46AC" w14:paraId="13AFDA4F" w14:textId="77777777" w:rsidTr="00B518F1">
        <w:trPr>
          <w:trHeight w:val="600"/>
        </w:trPr>
        <w:tc>
          <w:tcPr>
            <w:tcW w:w="1312" w:type="dxa"/>
            <w:shd w:val="clear" w:color="000000" w:fill="FFFFFF"/>
            <w:noWrap/>
            <w:hideMark/>
          </w:tcPr>
          <w:p w14:paraId="04FCB27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6D5686E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2B81E3F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Perplexity and delusional mood </w:t>
            </w:r>
          </w:p>
        </w:tc>
        <w:tc>
          <w:tcPr>
            <w:tcW w:w="2268" w:type="dxa"/>
            <w:shd w:val="clear" w:color="000000" w:fill="FFFFFF"/>
            <w:noWrap/>
            <w:hideMark/>
          </w:tcPr>
          <w:p w14:paraId="311386C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confused whether something I experienced was real or imaginary</w:t>
            </w:r>
          </w:p>
        </w:tc>
        <w:tc>
          <w:tcPr>
            <w:tcW w:w="567" w:type="dxa"/>
            <w:shd w:val="clear" w:color="000000" w:fill="FFFFFF"/>
            <w:noWrap/>
            <w:hideMark/>
          </w:tcPr>
          <w:p w14:paraId="55262010" w14:textId="77777777" w:rsidR="007075D9" w:rsidRPr="004D46AC" w:rsidRDefault="007075D9" w:rsidP="002C5F6E">
            <w:pPr>
              <w:spacing w:line="240" w:lineRule="auto"/>
              <w:ind w:firstLine="0"/>
              <w:rPr>
                <w:rFonts w:eastAsia="Times New Roman"/>
                <w:color w:val="000000"/>
              </w:rPr>
            </w:pPr>
            <w:r w:rsidRPr="004D46AC">
              <w:rPr>
                <w:color w:val="000000"/>
              </w:rPr>
              <w:t>147</w:t>
            </w:r>
          </w:p>
        </w:tc>
        <w:tc>
          <w:tcPr>
            <w:tcW w:w="1559" w:type="dxa"/>
            <w:shd w:val="clear" w:color="000000" w:fill="FFFFFF"/>
            <w:noWrap/>
            <w:hideMark/>
          </w:tcPr>
          <w:p w14:paraId="32A8E041"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03ED62C9" w14:textId="77777777" w:rsidTr="00B518F1">
        <w:trPr>
          <w:trHeight w:val="600"/>
        </w:trPr>
        <w:tc>
          <w:tcPr>
            <w:tcW w:w="1312" w:type="dxa"/>
            <w:shd w:val="clear" w:color="000000" w:fill="FFFFFF"/>
            <w:noWrap/>
            <w:hideMark/>
          </w:tcPr>
          <w:p w14:paraId="5C56C11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073B937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1395D1F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Perplexity and delusional mood </w:t>
            </w:r>
          </w:p>
        </w:tc>
        <w:tc>
          <w:tcPr>
            <w:tcW w:w="2268" w:type="dxa"/>
            <w:shd w:val="clear" w:color="000000" w:fill="FFFFFF"/>
            <w:noWrap/>
            <w:hideMark/>
          </w:tcPr>
          <w:p w14:paraId="75A5BDD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familial surroundings sometimes seem unreal to you?</w:t>
            </w:r>
          </w:p>
        </w:tc>
        <w:tc>
          <w:tcPr>
            <w:tcW w:w="567" w:type="dxa"/>
            <w:shd w:val="clear" w:color="000000" w:fill="FFFFFF"/>
            <w:noWrap/>
            <w:hideMark/>
          </w:tcPr>
          <w:p w14:paraId="727190C9" w14:textId="77777777" w:rsidR="007075D9" w:rsidRPr="004D46AC" w:rsidRDefault="007075D9" w:rsidP="002C5F6E">
            <w:pPr>
              <w:spacing w:line="240" w:lineRule="auto"/>
              <w:ind w:firstLine="0"/>
              <w:rPr>
                <w:rFonts w:eastAsia="Times New Roman"/>
                <w:color w:val="000000"/>
              </w:rPr>
            </w:pPr>
            <w:r w:rsidRPr="004D46AC">
              <w:rPr>
                <w:color w:val="000000"/>
              </w:rPr>
              <w:t>148</w:t>
            </w:r>
          </w:p>
        </w:tc>
        <w:tc>
          <w:tcPr>
            <w:tcW w:w="1559" w:type="dxa"/>
            <w:shd w:val="clear" w:color="000000" w:fill="FFFFFF"/>
            <w:noWrap/>
            <w:hideMark/>
          </w:tcPr>
          <w:p w14:paraId="09CC7692" w14:textId="77777777" w:rsidR="007075D9" w:rsidRPr="004D46AC" w:rsidRDefault="007075D9" w:rsidP="002C5F6E">
            <w:pPr>
              <w:spacing w:line="240" w:lineRule="auto"/>
              <w:ind w:firstLine="0"/>
              <w:rPr>
                <w:rFonts w:eastAsia="Times New Roman"/>
                <w:color w:val="000000"/>
              </w:rPr>
            </w:pPr>
            <w:r w:rsidRPr="004D46AC">
              <w:rPr>
                <w:color w:val="000000"/>
              </w:rPr>
              <w:t>YPARQ-B</w:t>
            </w:r>
          </w:p>
        </w:tc>
      </w:tr>
      <w:tr w:rsidR="007075D9" w:rsidRPr="004D46AC" w14:paraId="45E57462" w14:textId="77777777" w:rsidTr="00B518F1">
        <w:trPr>
          <w:trHeight w:val="600"/>
        </w:trPr>
        <w:tc>
          <w:tcPr>
            <w:tcW w:w="1312" w:type="dxa"/>
            <w:shd w:val="clear" w:color="000000" w:fill="FFFFFF"/>
            <w:noWrap/>
            <w:hideMark/>
          </w:tcPr>
          <w:p w14:paraId="44F35EC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47880D7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4979CD9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Perplexity and delusional mood </w:t>
            </w:r>
          </w:p>
        </w:tc>
        <w:tc>
          <w:tcPr>
            <w:tcW w:w="2268" w:type="dxa"/>
            <w:shd w:val="clear" w:color="000000" w:fill="FFFFFF"/>
            <w:noWrap/>
            <w:hideMark/>
          </w:tcPr>
          <w:p w14:paraId="60D13CF9" w14:textId="77777777" w:rsidR="007075D9" w:rsidRPr="004D46AC" w:rsidRDefault="007075D9" w:rsidP="002C5F6E">
            <w:pPr>
              <w:spacing w:line="240" w:lineRule="auto"/>
              <w:ind w:firstLine="0"/>
              <w:rPr>
                <w:rFonts w:eastAsia="Times New Roman"/>
                <w:color w:val="000000"/>
              </w:rPr>
            </w:pPr>
            <w:proofErr w:type="gramStart"/>
            <w:r w:rsidRPr="004D46AC">
              <w:rPr>
                <w:rFonts w:eastAsia="Times New Roman"/>
                <w:color w:val="000000"/>
              </w:rPr>
              <w:t>Often</w:t>
            </w:r>
            <w:proofErr w:type="gramEnd"/>
            <w:r w:rsidRPr="004D46AC">
              <w:rPr>
                <w:rFonts w:eastAsia="Times New Roman"/>
                <w:color w:val="000000"/>
              </w:rPr>
              <w:t xml:space="preserve"> I have a feeling that something strange and unusual is happening around me.</w:t>
            </w:r>
          </w:p>
        </w:tc>
        <w:tc>
          <w:tcPr>
            <w:tcW w:w="567" w:type="dxa"/>
            <w:shd w:val="clear" w:color="000000" w:fill="FFFFFF"/>
            <w:noWrap/>
            <w:hideMark/>
          </w:tcPr>
          <w:p w14:paraId="561D06DB" w14:textId="77777777" w:rsidR="007075D9" w:rsidRPr="004D46AC" w:rsidRDefault="007075D9" w:rsidP="002C5F6E">
            <w:pPr>
              <w:spacing w:line="240" w:lineRule="auto"/>
              <w:ind w:firstLine="0"/>
              <w:rPr>
                <w:rFonts w:eastAsia="Times New Roman"/>
                <w:color w:val="000000"/>
              </w:rPr>
            </w:pPr>
            <w:r w:rsidRPr="004D46AC">
              <w:rPr>
                <w:color w:val="000000"/>
              </w:rPr>
              <w:t>149</w:t>
            </w:r>
          </w:p>
        </w:tc>
        <w:tc>
          <w:tcPr>
            <w:tcW w:w="1559" w:type="dxa"/>
            <w:shd w:val="clear" w:color="000000" w:fill="FFFFFF"/>
            <w:noWrap/>
            <w:hideMark/>
          </w:tcPr>
          <w:p w14:paraId="329CD6B4" w14:textId="77777777" w:rsidR="007075D9" w:rsidRPr="004D46AC" w:rsidRDefault="007075D9" w:rsidP="002C5F6E">
            <w:pPr>
              <w:spacing w:line="240" w:lineRule="auto"/>
              <w:ind w:firstLine="0"/>
              <w:rPr>
                <w:rFonts w:eastAsia="Times New Roman"/>
                <w:color w:val="000000"/>
              </w:rPr>
            </w:pPr>
            <w:r w:rsidRPr="004D46AC">
              <w:rPr>
                <w:color w:val="000000"/>
              </w:rPr>
              <w:t>ESI</w:t>
            </w:r>
          </w:p>
        </w:tc>
      </w:tr>
      <w:tr w:rsidR="007075D9" w:rsidRPr="004D46AC" w14:paraId="1B833CDA" w14:textId="77777777" w:rsidTr="00B518F1">
        <w:trPr>
          <w:trHeight w:val="600"/>
        </w:trPr>
        <w:tc>
          <w:tcPr>
            <w:tcW w:w="1312" w:type="dxa"/>
            <w:shd w:val="clear" w:color="000000" w:fill="FFFFFF"/>
            <w:noWrap/>
            <w:hideMark/>
          </w:tcPr>
          <w:p w14:paraId="0EAEA7E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5D6BE34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0EFB8BB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First rank phenomenology</w:t>
            </w:r>
          </w:p>
        </w:tc>
        <w:tc>
          <w:tcPr>
            <w:tcW w:w="2268" w:type="dxa"/>
            <w:shd w:val="clear" w:color="000000" w:fill="FFFFFF"/>
            <w:noWrap/>
            <w:hideMark/>
          </w:tcPr>
          <w:p w14:paraId="632AB7C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Do you ever feel as if the thoughts in your head are not your own?</w:t>
            </w:r>
          </w:p>
        </w:tc>
        <w:tc>
          <w:tcPr>
            <w:tcW w:w="567" w:type="dxa"/>
            <w:shd w:val="clear" w:color="000000" w:fill="FFFFFF"/>
            <w:noWrap/>
            <w:hideMark/>
          </w:tcPr>
          <w:p w14:paraId="78DA1DA5" w14:textId="77777777" w:rsidR="007075D9" w:rsidRPr="004D46AC" w:rsidRDefault="007075D9" w:rsidP="002C5F6E">
            <w:pPr>
              <w:spacing w:line="240" w:lineRule="auto"/>
              <w:ind w:firstLine="0"/>
              <w:rPr>
                <w:rFonts w:eastAsia="Times New Roman"/>
                <w:color w:val="000000"/>
              </w:rPr>
            </w:pPr>
            <w:r w:rsidRPr="004D46AC">
              <w:rPr>
                <w:color w:val="000000"/>
              </w:rPr>
              <w:t>150</w:t>
            </w:r>
          </w:p>
        </w:tc>
        <w:tc>
          <w:tcPr>
            <w:tcW w:w="1559" w:type="dxa"/>
            <w:shd w:val="clear" w:color="000000" w:fill="FFFFFF"/>
            <w:noWrap/>
            <w:hideMark/>
          </w:tcPr>
          <w:p w14:paraId="62B02B8A"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101A7475" w14:textId="77777777" w:rsidTr="00B518F1">
        <w:trPr>
          <w:trHeight w:val="600"/>
        </w:trPr>
        <w:tc>
          <w:tcPr>
            <w:tcW w:w="1312" w:type="dxa"/>
            <w:shd w:val="clear" w:color="000000" w:fill="FFFFFF"/>
            <w:noWrap/>
            <w:hideMark/>
          </w:tcPr>
          <w:p w14:paraId="14C24A5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7CABC37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647601A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First rank phenomenology</w:t>
            </w:r>
          </w:p>
        </w:tc>
        <w:tc>
          <w:tcPr>
            <w:tcW w:w="2268" w:type="dxa"/>
            <w:shd w:val="clear" w:color="000000" w:fill="FFFFFF"/>
            <w:noWrap/>
            <w:hideMark/>
          </w:tcPr>
          <w:p w14:paraId="1E2AF6B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your thoughts ever been so vivid that you were worried other people would hear them?</w:t>
            </w:r>
          </w:p>
        </w:tc>
        <w:tc>
          <w:tcPr>
            <w:tcW w:w="567" w:type="dxa"/>
            <w:shd w:val="clear" w:color="000000" w:fill="FFFFFF"/>
            <w:noWrap/>
            <w:hideMark/>
          </w:tcPr>
          <w:p w14:paraId="71483634" w14:textId="77777777" w:rsidR="007075D9" w:rsidRPr="004D46AC" w:rsidRDefault="007075D9" w:rsidP="002C5F6E">
            <w:pPr>
              <w:spacing w:line="240" w:lineRule="auto"/>
              <w:ind w:firstLine="0"/>
              <w:rPr>
                <w:rFonts w:eastAsia="Times New Roman"/>
                <w:color w:val="000000"/>
              </w:rPr>
            </w:pPr>
            <w:r w:rsidRPr="004D46AC">
              <w:rPr>
                <w:color w:val="000000"/>
              </w:rPr>
              <w:t>151</w:t>
            </w:r>
          </w:p>
        </w:tc>
        <w:tc>
          <w:tcPr>
            <w:tcW w:w="1559" w:type="dxa"/>
            <w:shd w:val="clear" w:color="000000" w:fill="FFFFFF"/>
            <w:noWrap/>
            <w:hideMark/>
          </w:tcPr>
          <w:p w14:paraId="7A5453A9" w14:textId="77777777" w:rsidR="007075D9" w:rsidRPr="004D46AC" w:rsidRDefault="007075D9" w:rsidP="002C5F6E">
            <w:pPr>
              <w:spacing w:line="240" w:lineRule="auto"/>
              <w:ind w:firstLine="0"/>
              <w:rPr>
                <w:rFonts w:eastAsia="Times New Roman"/>
                <w:color w:val="000000"/>
              </w:rPr>
            </w:pPr>
            <w:r w:rsidRPr="004D46AC">
              <w:rPr>
                <w:color w:val="000000"/>
              </w:rPr>
              <w:t>CAPE</w:t>
            </w:r>
          </w:p>
        </w:tc>
      </w:tr>
      <w:tr w:rsidR="007075D9" w:rsidRPr="004D46AC" w14:paraId="720DA332" w14:textId="77777777" w:rsidTr="00B518F1">
        <w:trPr>
          <w:trHeight w:val="600"/>
        </w:trPr>
        <w:tc>
          <w:tcPr>
            <w:tcW w:w="1312" w:type="dxa"/>
            <w:shd w:val="clear" w:color="000000" w:fill="FFFFFF"/>
            <w:noWrap/>
            <w:hideMark/>
          </w:tcPr>
          <w:p w14:paraId="61F25BE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Positive symptoms</w:t>
            </w:r>
          </w:p>
        </w:tc>
        <w:tc>
          <w:tcPr>
            <w:tcW w:w="1312" w:type="dxa"/>
            <w:shd w:val="clear" w:color="000000" w:fill="FFFFFF"/>
            <w:noWrap/>
            <w:hideMark/>
          </w:tcPr>
          <w:p w14:paraId="29BDB8D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Grandiose ideas</w:t>
            </w:r>
          </w:p>
        </w:tc>
        <w:tc>
          <w:tcPr>
            <w:tcW w:w="1312" w:type="dxa"/>
            <w:shd w:val="clear" w:color="000000" w:fill="FFFFFF"/>
            <w:noWrap/>
            <w:hideMark/>
          </w:tcPr>
          <w:p w14:paraId="6E68E1D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First rank phenomenology</w:t>
            </w:r>
          </w:p>
        </w:tc>
        <w:tc>
          <w:tcPr>
            <w:tcW w:w="2268" w:type="dxa"/>
            <w:shd w:val="clear" w:color="000000" w:fill="FFFFFF"/>
            <w:noWrap/>
            <w:hideMark/>
          </w:tcPr>
          <w:p w14:paraId="48AD488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felt that I was not in control of my own ideas or thoughts</w:t>
            </w:r>
          </w:p>
        </w:tc>
        <w:tc>
          <w:tcPr>
            <w:tcW w:w="567" w:type="dxa"/>
            <w:shd w:val="clear" w:color="000000" w:fill="FFFFFF"/>
            <w:noWrap/>
            <w:hideMark/>
          </w:tcPr>
          <w:p w14:paraId="3AC539D7" w14:textId="77777777" w:rsidR="007075D9" w:rsidRPr="004D46AC" w:rsidRDefault="007075D9" w:rsidP="002C5F6E">
            <w:pPr>
              <w:spacing w:line="240" w:lineRule="auto"/>
              <w:ind w:firstLine="0"/>
              <w:rPr>
                <w:rFonts w:eastAsia="Times New Roman"/>
                <w:color w:val="000000"/>
              </w:rPr>
            </w:pPr>
            <w:r w:rsidRPr="004D46AC">
              <w:rPr>
                <w:color w:val="000000"/>
              </w:rPr>
              <w:t>152</w:t>
            </w:r>
          </w:p>
        </w:tc>
        <w:tc>
          <w:tcPr>
            <w:tcW w:w="1559" w:type="dxa"/>
            <w:shd w:val="clear" w:color="000000" w:fill="FFFFFF"/>
            <w:noWrap/>
            <w:hideMark/>
          </w:tcPr>
          <w:p w14:paraId="3B48C72B" w14:textId="77777777" w:rsidR="007075D9" w:rsidRPr="004D46AC" w:rsidRDefault="007075D9" w:rsidP="002C5F6E">
            <w:pPr>
              <w:spacing w:line="240" w:lineRule="auto"/>
              <w:ind w:firstLine="0"/>
              <w:rPr>
                <w:rFonts w:eastAsia="Times New Roman"/>
                <w:color w:val="000000"/>
              </w:rPr>
            </w:pPr>
            <w:r w:rsidRPr="004D46AC">
              <w:rPr>
                <w:color w:val="000000"/>
              </w:rPr>
              <w:t>PQ</w:t>
            </w:r>
          </w:p>
        </w:tc>
      </w:tr>
      <w:tr w:rsidR="007075D9" w:rsidRPr="004D46AC" w14:paraId="5FE4C403" w14:textId="77777777" w:rsidTr="00B518F1">
        <w:trPr>
          <w:trHeight w:val="600"/>
        </w:trPr>
        <w:tc>
          <w:tcPr>
            <w:tcW w:w="1312" w:type="dxa"/>
            <w:shd w:val="clear" w:color="000000" w:fill="FFFFFF"/>
            <w:noWrap/>
            <w:hideMark/>
          </w:tcPr>
          <w:p w14:paraId="103AA88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35611EF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69EC9E5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High or low mood</w:t>
            </w:r>
          </w:p>
        </w:tc>
        <w:tc>
          <w:tcPr>
            <w:tcW w:w="2268" w:type="dxa"/>
            <w:shd w:val="clear" w:color="000000" w:fill="FFFFFF"/>
            <w:noWrap/>
            <w:hideMark/>
          </w:tcPr>
          <w:p w14:paraId="3584A3C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 I seem to be a person whose mood goes up and down easily. </w:t>
            </w:r>
          </w:p>
        </w:tc>
        <w:tc>
          <w:tcPr>
            <w:tcW w:w="567" w:type="dxa"/>
            <w:shd w:val="clear" w:color="000000" w:fill="FFFFFF"/>
            <w:noWrap/>
            <w:hideMark/>
          </w:tcPr>
          <w:p w14:paraId="3C8B5658" w14:textId="77777777" w:rsidR="007075D9" w:rsidRPr="004D46AC" w:rsidRDefault="007075D9" w:rsidP="002C5F6E">
            <w:pPr>
              <w:spacing w:line="240" w:lineRule="auto"/>
              <w:ind w:firstLine="0"/>
              <w:rPr>
                <w:rFonts w:eastAsia="Times New Roman"/>
                <w:color w:val="000000"/>
              </w:rPr>
            </w:pPr>
            <w:r w:rsidRPr="004D46AC">
              <w:rPr>
                <w:color w:val="000000"/>
              </w:rPr>
              <w:t>153</w:t>
            </w:r>
          </w:p>
        </w:tc>
        <w:tc>
          <w:tcPr>
            <w:tcW w:w="1559" w:type="dxa"/>
            <w:shd w:val="clear" w:color="000000" w:fill="FFFFFF"/>
            <w:noWrap/>
            <w:hideMark/>
          </w:tcPr>
          <w:p w14:paraId="487C3407"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48F77ADA" w14:textId="77777777" w:rsidTr="00B518F1">
        <w:trPr>
          <w:trHeight w:val="600"/>
        </w:trPr>
        <w:tc>
          <w:tcPr>
            <w:tcW w:w="1312" w:type="dxa"/>
            <w:shd w:val="clear" w:color="000000" w:fill="FFFFFF"/>
            <w:noWrap/>
            <w:hideMark/>
          </w:tcPr>
          <w:p w14:paraId="66408E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Cyclothymia</w:t>
            </w:r>
          </w:p>
        </w:tc>
        <w:tc>
          <w:tcPr>
            <w:tcW w:w="1312" w:type="dxa"/>
            <w:shd w:val="clear" w:color="000000" w:fill="FFFFFF"/>
            <w:noWrap/>
            <w:hideMark/>
          </w:tcPr>
          <w:p w14:paraId="559EA51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42311E4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High or low mood</w:t>
            </w:r>
          </w:p>
        </w:tc>
        <w:tc>
          <w:tcPr>
            <w:tcW w:w="2268" w:type="dxa"/>
            <w:shd w:val="clear" w:color="000000" w:fill="FFFFFF"/>
            <w:noWrap/>
            <w:hideMark/>
          </w:tcPr>
          <w:p w14:paraId="7163745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had periods lasting several days or more when you felt depressed or irritable, and then other periods of several days or more when you felt extremely high, elated, and overflowing with energy?</w:t>
            </w:r>
          </w:p>
        </w:tc>
        <w:tc>
          <w:tcPr>
            <w:tcW w:w="567" w:type="dxa"/>
            <w:shd w:val="clear" w:color="000000" w:fill="FFFFFF"/>
            <w:noWrap/>
            <w:hideMark/>
          </w:tcPr>
          <w:p w14:paraId="0F7312B0" w14:textId="77777777" w:rsidR="007075D9" w:rsidRPr="004D46AC" w:rsidRDefault="007075D9" w:rsidP="002C5F6E">
            <w:pPr>
              <w:spacing w:line="240" w:lineRule="auto"/>
              <w:ind w:firstLine="0"/>
              <w:rPr>
                <w:rFonts w:eastAsia="Times New Roman"/>
                <w:color w:val="000000"/>
              </w:rPr>
            </w:pPr>
            <w:r w:rsidRPr="004D46AC">
              <w:rPr>
                <w:color w:val="000000"/>
              </w:rPr>
              <w:t>154</w:t>
            </w:r>
          </w:p>
        </w:tc>
        <w:tc>
          <w:tcPr>
            <w:tcW w:w="1559" w:type="dxa"/>
            <w:shd w:val="clear" w:color="000000" w:fill="FFFFFF"/>
            <w:noWrap/>
            <w:hideMark/>
          </w:tcPr>
          <w:p w14:paraId="4CA09EC3"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6A415C72" w14:textId="77777777" w:rsidTr="00B518F1">
        <w:trPr>
          <w:trHeight w:val="600"/>
        </w:trPr>
        <w:tc>
          <w:tcPr>
            <w:tcW w:w="1312" w:type="dxa"/>
            <w:shd w:val="clear" w:color="000000" w:fill="FFFFFF"/>
            <w:noWrap/>
            <w:hideMark/>
          </w:tcPr>
          <w:p w14:paraId="5930D92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4206C25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18599CE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High or low mood</w:t>
            </w:r>
          </w:p>
        </w:tc>
        <w:tc>
          <w:tcPr>
            <w:tcW w:w="2268" w:type="dxa"/>
            <w:shd w:val="clear" w:color="000000" w:fill="FFFFFF"/>
            <w:noWrap/>
            <w:hideMark/>
          </w:tcPr>
          <w:p w14:paraId="40E43C7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The mood often changes for no reason</w:t>
            </w:r>
          </w:p>
        </w:tc>
        <w:tc>
          <w:tcPr>
            <w:tcW w:w="567" w:type="dxa"/>
            <w:shd w:val="clear" w:color="000000" w:fill="FFFFFF"/>
            <w:noWrap/>
            <w:hideMark/>
          </w:tcPr>
          <w:p w14:paraId="0EF00A61" w14:textId="77777777" w:rsidR="007075D9" w:rsidRPr="004D46AC" w:rsidRDefault="007075D9" w:rsidP="002C5F6E">
            <w:pPr>
              <w:spacing w:line="240" w:lineRule="auto"/>
              <w:ind w:firstLine="0"/>
              <w:rPr>
                <w:rFonts w:eastAsia="Times New Roman"/>
                <w:color w:val="000000"/>
              </w:rPr>
            </w:pPr>
            <w:r w:rsidRPr="004D46AC">
              <w:rPr>
                <w:color w:val="000000"/>
              </w:rPr>
              <w:t>155</w:t>
            </w:r>
          </w:p>
        </w:tc>
        <w:tc>
          <w:tcPr>
            <w:tcW w:w="1559" w:type="dxa"/>
            <w:shd w:val="clear" w:color="000000" w:fill="FFFFFF"/>
            <w:noWrap/>
            <w:hideMark/>
          </w:tcPr>
          <w:p w14:paraId="29CAF5B8" w14:textId="77777777" w:rsidR="007075D9" w:rsidRPr="004D46AC" w:rsidRDefault="007075D9" w:rsidP="002C5F6E">
            <w:pPr>
              <w:spacing w:line="240" w:lineRule="auto"/>
              <w:ind w:firstLine="0"/>
              <w:rPr>
                <w:rFonts w:eastAsia="Times New Roman"/>
                <w:color w:val="000000"/>
              </w:rPr>
            </w:pPr>
            <w:r w:rsidRPr="004D46AC">
              <w:rPr>
                <w:color w:val="000000"/>
              </w:rPr>
              <w:t>TEMPS-A</w:t>
            </w:r>
          </w:p>
        </w:tc>
      </w:tr>
      <w:tr w:rsidR="007075D9" w:rsidRPr="004D46AC" w14:paraId="3091D173" w14:textId="77777777" w:rsidTr="00B518F1">
        <w:trPr>
          <w:trHeight w:val="600"/>
        </w:trPr>
        <w:tc>
          <w:tcPr>
            <w:tcW w:w="1312" w:type="dxa"/>
            <w:shd w:val="clear" w:color="000000" w:fill="FFFFFF"/>
            <w:noWrap/>
            <w:hideMark/>
          </w:tcPr>
          <w:p w14:paraId="688481F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3E7BBB6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2BD2096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Decreased need for sleep</w:t>
            </w:r>
          </w:p>
        </w:tc>
        <w:tc>
          <w:tcPr>
            <w:tcW w:w="2268" w:type="dxa"/>
            <w:shd w:val="clear" w:color="000000" w:fill="FFFFFF"/>
            <w:noWrap/>
            <w:hideMark/>
          </w:tcPr>
          <w:p w14:paraId="33BEC4B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There have often been times when I had such an excess of energy that I felt little need to sleep at night.</w:t>
            </w:r>
          </w:p>
        </w:tc>
        <w:tc>
          <w:tcPr>
            <w:tcW w:w="567" w:type="dxa"/>
            <w:shd w:val="clear" w:color="000000" w:fill="FFFFFF"/>
            <w:noWrap/>
            <w:hideMark/>
          </w:tcPr>
          <w:p w14:paraId="388CE789" w14:textId="77777777" w:rsidR="007075D9" w:rsidRPr="004D46AC" w:rsidRDefault="007075D9" w:rsidP="002C5F6E">
            <w:pPr>
              <w:spacing w:line="240" w:lineRule="auto"/>
              <w:ind w:firstLine="0"/>
              <w:rPr>
                <w:rFonts w:eastAsia="Times New Roman"/>
                <w:color w:val="000000"/>
              </w:rPr>
            </w:pPr>
            <w:r w:rsidRPr="004D46AC">
              <w:rPr>
                <w:color w:val="000000"/>
              </w:rPr>
              <w:t>156</w:t>
            </w:r>
          </w:p>
        </w:tc>
        <w:tc>
          <w:tcPr>
            <w:tcW w:w="1559" w:type="dxa"/>
            <w:shd w:val="clear" w:color="000000" w:fill="FFFFFF"/>
            <w:noWrap/>
            <w:hideMark/>
          </w:tcPr>
          <w:p w14:paraId="109B4AD0"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25E00763" w14:textId="77777777" w:rsidTr="00B518F1">
        <w:trPr>
          <w:trHeight w:val="600"/>
        </w:trPr>
        <w:tc>
          <w:tcPr>
            <w:tcW w:w="1312" w:type="dxa"/>
            <w:shd w:val="clear" w:color="000000" w:fill="FFFFFF"/>
            <w:noWrap/>
            <w:hideMark/>
          </w:tcPr>
          <w:p w14:paraId="651CF1F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227C15C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0D5C6D3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Decreased need for sleep</w:t>
            </w:r>
          </w:p>
        </w:tc>
        <w:tc>
          <w:tcPr>
            <w:tcW w:w="2268" w:type="dxa"/>
            <w:shd w:val="clear" w:color="000000" w:fill="FFFFFF"/>
            <w:noWrap/>
            <w:hideMark/>
          </w:tcPr>
          <w:p w14:paraId="2DD62BA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often been so excited about an involving project that I didn’t care about eating or sleeping.</w:t>
            </w:r>
          </w:p>
        </w:tc>
        <w:tc>
          <w:tcPr>
            <w:tcW w:w="567" w:type="dxa"/>
            <w:shd w:val="clear" w:color="000000" w:fill="FFFFFF"/>
            <w:noWrap/>
            <w:hideMark/>
          </w:tcPr>
          <w:p w14:paraId="0C563FC7" w14:textId="77777777" w:rsidR="007075D9" w:rsidRPr="004D46AC" w:rsidRDefault="007075D9" w:rsidP="002C5F6E">
            <w:pPr>
              <w:spacing w:line="240" w:lineRule="auto"/>
              <w:ind w:firstLine="0"/>
              <w:rPr>
                <w:rFonts w:eastAsia="Times New Roman"/>
                <w:color w:val="000000"/>
              </w:rPr>
            </w:pPr>
            <w:r w:rsidRPr="004D46AC">
              <w:rPr>
                <w:color w:val="000000"/>
              </w:rPr>
              <w:t>157</w:t>
            </w:r>
          </w:p>
        </w:tc>
        <w:tc>
          <w:tcPr>
            <w:tcW w:w="1559" w:type="dxa"/>
            <w:shd w:val="clear" w:color="000000" w:fill="FFFFFF"/>
            <w:noWrap/>
            <w:hideMark/>
          </w:tcPr>
          <w:p w14:paraId="63D9640C"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6112BCF2" w14:textId="77777777" w:rsidTr="00B518F1">
        <w:trPr>
          <w:trHeight w:val="600"/>
        </w:trPr>
        <w:tc>
          <w:tcPr>
            <w:tcW w:w="1312" w:type="dxa"/>
            <w:shd w:val="clear" w:color="000000" w:fill="FFFFFF"/>
            <w:noWrap/>
            <w:hideMark/>
          </w:tcPr>
          <w:p w14:paraId="1E88317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69DD72A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6F851A4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Decreased need for sleep</w:t>
            </w:r>
          </w:p>
        </w:tc>
        <w:tc>
          <w:tcPr>
            <w:tcW w:w="2268" w:type="dxa"/>
            <w:shd w:val="clear" w:color="000000" w:fill="FFFFFF"/>
            <w:noWrap/>
            <w:hideMark/>
          </w:tcPr>
          <w:p w14:paraId="604E284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there been times of several days or more when you did not feel the need for sleep and were able to stay awake and alert for much longer than usual because you were full of energy</w:t>
            </w:r>
          </w:p>
        </w:tc>
        <w:tc>
          <w:tcPr>
            <w:tcW w:w="567" w:type="dxa"/>
            <w:shd w:val="clear" w:color="000000" w:fill="FFFFFF"/>
            <w:noWrap/>
            <w:hideMark/>
          </w:tcPr>
          <w:p w14:paraId="316C09D4" w14:textId="77777777" w:rsidR="007075D9" w:rsidRPr="004D46AC" w:rsidRDefault="007075D9" w:rsidP="002C5F6E">
            <w:pPr>
              <w:spacing w:line="240" w:lineRule="auto"/>
              <w:ind w:firstLine="0"/>
              <w:rPr>
                <w:rFonts w:eastAsia="Times New Roman"/>
                <w:color w:val="000000"/>
              </w:rPr>
            </w:pPr>
            <w:r w:rsidRPr="004D46AC">
              <w:rPr>
                <w:color w:val="000000"/>
              </w:rPr>
              <w:t>158</w:t>
            </w:r>
          </w:p>
        </w:tc>
        <w:tc>
          <w:tcPr>
            <w:tcW w:w="1559" w:type="dxa"/>
            <w:shd w:val="clear" w:color="000000" w:fill="FFFFFF"/>
            <w:noWrap/>
            <w:hideMark/>
          </w:tcPr>
          <w:p w14:paraId="18C1E249"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54BFFF79" w14:textId="77777777" w:rsidTr="00B518F1">
        <w:trPr>
          <w:trHeight w:val="600"/>
        </w:trPr>
        <w:tc>
          <w:tcPr>
            <w:tcW w:w="1312" w:type="dxa"/>
            <w:shd w:val="clear" w:color="000000" w:fill="FFFFFF"/>
            <w:noWrap/>
            <w:hideMark/>
          </w:tcPr>
          <w:p w14:paraId="26E7731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1838329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3EFAC6B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energy</w:t>
            </w:r>
          </w:p>
        </w:tc>
        <w:tc>
          <w:tcPr>
            <w:tcW w:w="2268" w:type="dxa"/>
            <w:shd w:val="clear" w:color="000000" w:fill="FFFFFF"/>
            <w:noWrap/>
            <w:hideMark/>
          </w:tcPr>
          <w:p w14:paraId="35A73DB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 I </w:t>
            </w:r>
            <w:proofErr w:type="gramStart"/>
            <w:r w:rsidRPr="004D46AC">
              <w:rPr>
                <w:rFonts w:eastAsia="Times New Roman"/>
                <w:color w:val="000000"/>
              </w:rPr>
              <w:t>am considered to be</w:t>
            </w:r>
            <w:proofErr w:type="gramEnd"/>
            <w:r w:rsidRPr="004D46AC">
              <w:rPr>
                <w:rFonts w:eastAsia="Times New Roman"/>
                <w:color w:val="000000"/>
              </w:rPr>
              <w:t xml:space="preserve"> a kind of ‘Hyper’ person.</w:t>
            </w:r>
          </w:p>
        </w:tc>
        <w:tc>
          <w:tcPr>
            <w:tcW w:w="567" w:type="dxa"/>
            <w:shd w:val="clear" w:color="000000" w:fill="FFFFFF"/>
            <w:noWrap/>
            <w:hideMark/>
          </w:tcPr>
          <w:p w14:paraId="6BF77563" w14:textId="77777777" w:rsidR="007075D9" w:rsidRPr="004D46AC" w:rsidRDefault="007075D9" w:rsidP="002C5F6E">
            <w:pPr>
              <w:spacing w:line="240" w:lineRule="auto"/>
              <w:ind w:firstLine="0"/>
              <w:rPr>
                <w:rFonts w:eastAsia="Times New Roman"/>
                <w:color w:val="000000"/>
              </w:rPr>
            </w:pPr>
            <w:r w:rsidRPr="004D46AC">
              <w:rPr>
                <w:color w:val="000000"/>
              </w:rPr>
              <w:t>159</w:t>
            </w:r>
          </w:p>
        </w:tc>
        <w:tc>
          <w:tcPr>
            <w:tcW w:w="1559" w:type="dxa"/>
            <w:shd w:val="clear" w:color="000000" w:fill="FFFFFF"/>
            <w:noWrap/>
            <w:hideMark/>
          </w:tcPr>
          <w:p w14:paraId="0F5F43FD"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69F02909" w14:textId="77777777" w:rsidTr="00B518F1">
        <w:trPr>
          <w:trHeight w:val="600"/>
        </w:trPr>
        <w:tc>
          <w:tcPr>
            <w:tcW w:w="1312" w:type="dxa"/>
            <w:shd w:val="clear" w:color="000000" w:fill="FFFFFF"/>
            <w:noWrap/>
            <w:hideMark/>
          </w:tcPr>
          <w:p w14:paraId="64B8B87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1D8ABD6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6E91B78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energy</w:t>
            </w:r>
          </w:p>
        </w:tc>
        <w:tc>
          <w:tcPr>
            <w:tcW w:w="2268" w:type="dxa"/>
            <w:shd w:val="clear" w:color="000000" w:fill="FFFFFF"/>
            <w:noWrap/>
            <w:hideMark/>
          </w:tcPr>
          <w:p w14:paraId="673B2B2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You had more energy than usual</w:t>
            </w:r>
          </w:p>
        </w:tc>
        <w:tc>
          <w:tcPr>
            <w:tcW w:w="567" w:type="dxa"/>
            <w:shd w:val="clear" w:color="000000" w:fill="FFFFFF"/>
            <w:noWrap/>
            <w:hideMark/>
          </w:tcPr>
          <w:p w14:paraId="63F296E2" w14:textId="77777777" w:rsidR="007075D9" w:rsidRPr="004D46AC" w:rsidRDefault="007075D9" w:rsidP="002C5F6E">
            <w:pPr>
              <w:spacing w:line="240" w:lineRule="auto"/>
              <w:ind w:firstLine="0"/>
              <w:rPr>
                <w:rFonts w:eastAsia="Times New Roman"/>
                <w:color w:val="000000"/>
              </w:rPr>
            </w:pPr>
            <w:r w:rsidRPr="004D46AC">
              <w:rPr>
                <w:color w:val="000000"/>
              </w:rPr>
              <w:t>160</w:t>
            </w:r>
          </w:p>
        </w:tc>
        <w:tc>
          <w:tcPr>
            <w:tcW w:w="1559" w:type="dxa"/>
            <w:shd w:val="clear" w:color="000000" w:fill="FFFFFF"/>
            <w:noWrap/>
            <w:hideMark/>
          </w:tcPr>
          <w:p w14:paraId="6C934CA4" w14:textId="77777777" w:rsidR="007075D9" w:rsidRPr="004D46AC" w:rsidRDefault="007075D9" w:rsidP="002C5F6E">
            <w:pPr>
              <w:spacing w:line="240" w:lineRule="auto"/>
              <w:ind w:firstLine="0"/>
              <w:rPr>
                <w:rFonts w:eastAsia="Times New Roman"/>
                <w:color w:val="000000"/>
              </w:rPr>
            </w:pPr>
            <w:r w:rsidRPr="004D46AC">
              <w:rPr>
                <w:color w:val="000000"/>
              </w:rPr>
              <w:t>MDQ</w:t>
            </w:r>
          </w:p>
        </w:tc>
      </w:tr>
      <w:tr w:rsidR="007075D9" w:rsidRPr="004D46AC" w14:paraId="2CF4C5E4" w14:textId="77777777" w:rsidTr="00B518F1">
        <w:trPr>
          <w:trHeight w:val="600"/>
        </w:trPr>
        <w:tc>
          <w:tcPr>
            <w:tcW w:w="1312" w:type="dxa"/>
            <w:shd w:val="clear" w:color="000000" w:fill="FFFFFF"/>
            <w:noWrap/>
            <w:hideMark/>
          </w:tcPr>
          <w:p w14:paraId="3D63290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202A5E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147CA22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energy</w:t>
            </w:r>
          </w:p>
        </w:tc>
        <w:tc>
          <w:tcPr>
            <w:tcW w:w="2268" w:type="dxa"/>
            <w:shd w:val="clear" w:color="000000" w:fill="FFFFFF"/>
            <w:noWrap/>
            <w:hideMark/>
          </w:tcPr>
          <w:p w14:paraId="0C6561F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often have moods where I feel so energetic and optimistic that I feel I could outperform almost anyone at anything*</w:t>
            </w:r>
          </w:p>
        </w:tc>
        <w:tc>
          <w:tcPr>
            <w:tcW w:w="567" w:type="dxa"/>
            <w:shd w:val="clear" w:color="000000" w:fill="FFFFFF"/>
            <w:noWrap/>
            <w:hideMark/>
          </w:tcPr>
          <w:p w14:paraId="286C62F4" w14:textId="77777777" w:rsidR="007075D9" w:rsidRPr="004D46AC" w:rsidRDefault="007075D9" w:rsidP="002C5F6E">
            <w:pPr>
              <w:spacing w:line="240" w:lineRule="auto"/>
              <w:ind w:firstLine="0"/>
              <w:rPr>
                <w:rFonts w:eastAsia="Times New Roman"/>
                <w:color w:val="000000"/>
              </w:rPr>
            </w:pPr>
            <w:r w:rsidRPr="004D46AC">
              <w:rPr>
                <w:color w:val="000000"/>
              </w:rPr>
              <w:t>161</w:t>
            </w:r>
          </w:p>
        </w:tc>
        <w:tc>
          <w:tcPr>
            <w:tcW w:w="1559" w:type="dxa"/>
            <w:shd w:val="clear" w:color="000000" w:fill="FFFFFF"/>
            <w:noWrap/>
            <w:hideMark/>
          </w:tcPr>
          <w:p w14:paraId="611CE7C8"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7FE571C5" w14:textId="77777777" w:rsidTr="00B518F1">
        <w:trPr>
          <w:trHeight w:val="600"/>
        </w:trPr>
        <w:tc>
          <w:tcPr>
            <w:tcW w:w="1312" w:type="dxa"/>
            <w:shd w:val="clear" w:color="000000" w:fill="FFFFFF"/>
            <w:noWrap/>
            <w:hideMark/>
          </w:tcPr>
          <w:p w14:paraId="4558745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6D736C5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00103D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Inflated self-esteem or grandiosity</w:t>
            </w:r>
          </w:p>
        </w:tc>
        <w:tc>
          <w:tcPr>
            <w:tcW w:w="2268" w:type="dxa"/>
            <w:shd w:val="clear" w:color="000000" w:fill="FFFFFF"/>
            <w:noWrap/>
            <w:hideMark/>
          </w:tcPr>
          <w:p w14:paraId="0A1F55B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seem to have an uncommon ability to persuade and inspire others.</w:t>
            </w:r>
          </w:p>
        </w:tc>
        <w:tc>
          <w:tcPr>
            <w:tcW w:w="567" w:type="dxa"/>
            <w:shd w:val="clear" w:color="000000" w:fill="FFFFFF"/>
            <w:noWrap/>
            <w:hideMark/>
          </w:tcPr>
          <w:p w14:paraId="6F27ED19" w14:textId="77777777" w:rsidR="007075D9" w:rsidRPr="004D46AC" w:rsidRDefault="007075D9" w:rsidP="002C5F6E">
            <w:pPr>
              <w:spacing w:line="240" w:lineRule="auto"/>
              <w:ind w:firstLine="0"/>
              <w:rPr>
                <w:rFonts w:eastAsia="Times New Roman"/>
                <w:color w:val="000000"/>
              </w:rPr>
            </w:pPr>
            <w:r w:rsidRPr="004D46AC">
              <w:rPr>
                <w:color w:val="000000"/>
              </w:rPr>
              <w:t>162</w:t>
            </w:r>
          </w:p>
        </w:tc>
        <w:tc>
          <w:tcPr>
            <w:tcW w:w="1559" w:type="dxa"/>
            <w:shd w:val="clear" w:color="000000" w:fill="FFFFFF"/>
            <w:noWrap/>
            <w:hideMark/>
          </w:tcPr>
          <w:p w14:paraId="69BFD89A"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2089914C" w14:textId="77777777" w:rsidTr="00B518F1">
        <w:trPr>
          <w:trHeight w:val="600"/>
        </w:trPr>
        <w:tc>
          <w:tcPr>
            <w:tcW w:w="1312" w:type="dxa"/>
            <w:shd w:val="clear" w:color="000000" w:fill="FFFFFF"/>
            <w:noWrap/>
            <w:hideMark/>
          </w:tcPr>
          <w:p w14:paraId="204A8D0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Cyclothymia</w:t>
            </w:r>
          </w:p>
        </w:tc>
        <w:tc>
          <w:tcPr>
            <w:tcW w:w="1312" w:type="dxa"/>
            <w:shd w:val="clear" w:color="000000" w:fill="FFFFFF"/>
            <w:noWrap/>
            <w:hideMark/>
          </w:tcPr>
          <w:p w14:paraId="67100B5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6D9020B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Inflated self-esteem or grandiosity</w:t>
            </w:r>
          </w:p>
        </w:tc>
        <w:tc>
          <w:tcPr>
            <w:tcW w:w="2268" w:type="dxa"/>
            <w:shd w:val="clear" w:color="000000" w:fill="FFFFFF"/>
            <w:noWrap/>
            <w:hideMark/>
          </w:tcPr>
          <w:p w14:paraId="4D43B5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 A hundred years after I'm dead, my achievements will probably have been forgotten.</w:t>
            </w:r>
          </w:p>
        </w:tc>
        <w:tc>
          <w:tcPr>
            <w:tcW w:w="567" w:type="dxa"/>
            <w:shd w:val="clear" w:color="000000" w:fill="FFFFFF"/>
            <w:noWrap/>
            <w:hideMark/>
          </w:tcPr>
          <w:p w14:paraId="399B3D99" w14:textId="77777777" w:rsidR="007075D9" w:rsidRPr="004D46AC" w:rsidRDefault="007075D9" w:rsidP="002C5F6E">
            <w:pPr>
              <w:spacing w:line="240" w:lineRule="auto"/>
              <w:ind w:firstLine="0"/>
              <w:rPr>
                <w:rFonts w:eastAsia="Times New Roman"/>
                <w:color w:val="000000"/>
              </w:rPr>
            </w:pPr>
            <w:r w:rsidRPr="004D46AC">
              <w:rPr>
                <w:color w:val="000000"/>
              </w:rPr>
              <w:t>163</w:t>
            </w:r>
          </w:p>
        </w:tc>
        <w:tc>
          <w:tcPr>
            <w:tcW w:w="1559" w:type="dxa"/>
            <w:shd w:val="clear" w:color="000000" w:fill="FFFFFF"/>
            <w:noWrap/>
            <w:hideMark/>
          </w:tcPr>
          <w:p w14:paraId="1396F033"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7B4866F3" w14:textId="77777777" w:rsidTr="00B518F1">
        <w:trPr>
          <w:trHeight w:val="600"/>
        </w:trPr>
        <w:tc>
          <w:tcPr>
            <w:tcW w:w="1312" w:type="dxa"/>
            <w:shd w:val="clear" w:color="000000" w:fill="FFFFFF"/>
            <w:noWrap/>
            <w:hideMark/>
          </w:tcPr>
          <w:p w14:paraId="5897CFF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53135D1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28E784C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Inflated self-esteem or grandiosity</w:t>
            </w:r>
          </w:p>
        </w:tc>
        <w:tc>
          <w:tcPr>
            <w:tcW w:w="2268" w:type="dxa"/>
            <w:shd w:val="clear" w:color="000000" w:fill="FFFFFF"/>
            <w:noWrap/>
            <w:hideMark/>
          </w:tcPr>
          <w:p w14:paraId="54DD104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 often get into moods where I feel like many of the rules of life don’t apply to me.  </w:t>
            </w:r>
          </w:p>
        </w:tc>
        <w:tc>
          <w:tcPr>
            <w:tcW w:w="567" w:type="dxa"/>
            <w:shd w:val="clear" w:color="000000" w:fill="FFFFFF"/>
            <w:noWrap/>
            <w:hideMark/>
          </w:tcPr>
          <w:p w14:paraId="3FC60254" w14:textId="77777777" w:rsidR="007075D9" w:rsidRPr="004D46AC" w:rsidRDefault="007075D9" w:rsidP="002C5F6E">
            <w:pPr>
              <w:spacing w:line="240" w:lineRule="auto"/>
              <w:ind w:firstLine="0"/>
              <w:rPr>
                <w:rFonts w:eastAsia="Times New Roman"/>
                <w:color w:val="000000"/>
              </w:rPr>
            </w:pPr>
            <w:r w:rsidRPr="004D46AC">
              <w:rPr>
                <w:color w:val="000000"/>
              </w:rPr>
              <w:t>164</w:t>
            </w:r>
          </w:p>
        </w:tc>
        <w:tc>
          <w:tcPr>
            <w:tcW w:w="1559" w:type="dxa"/>
            <w:shd w:val="clear" w:color="000000" w:fill="FFFFFF"/>
            <w:noWrap/>
            <w:hideMark/>
          </w:tcPr>
          <w:p w14:paraId="2A54337F"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3404F5E6" w14:textId="77777777" w:rsidTr="00B518F1">
        <w:trPr>
          <w:trHeight w:val="600"/>
        </w:trPr>
        <w:tc>
          <w:tcPr>
            <w:tcW w:w="1312" w:type="dxa"/>
            <w:shd w:val="clear" w:color="000000" w:fill="FFFFFF"/>
            <w:noWrap/>
            <w:hideMark/>
          </w:tcPr>
          <w:p w14:paraId="23A273F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2A48603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359F02E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goal directed activity</w:t>
            </w:r>
          </w:p>
        </w:tc>
        <w:tc>
          <w:tcPr>
            <w:tcW w:w="2268" w:type="dxa"/>
            <w:shd w:val="clear" w:color="000000" w:fill="FFFFFF"/>
            <w:noWrap/>
            <w:hideMark/>
          </w:tcPr>
          <w:p w14:paraId="303E4BB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do most of my work during brief periods of intense inspiration.</w:t>
            </w:r>
          </w:p>
        </w:tc>
        <w:tc>
          <w:tcPr>
            <w:tcW w:w="567" w:type="dxa"/>
            <w:shd w:val="clear" w:color="000000" w:fill="FFFFFF"/>
            <w:noWrap/>
            <w:hideMark/>
          </w:tcPr>
          <w:p w14:paraId="60EBFE2D" w14:textId="77777777" w:rsidR="007075D9" w:rsidRPr="004D46AC" w:rsidRDefault="007075D9" w:rsidP="002C5F6E">
            <w:pPr>
              <w:spacing w:line="240" w:lineRule="auto"/>
              <w:ind w:firstLine="0"/>
              <w:rPr>
                <w:rFonts w:eastAsia="Times New Roman"/>
                <w:color w:val="000000"/>
              </w:rPr>
            </w:pPr>
            <w:r w:rsidRPr="004D46AC">
              <w:rPr>
                <w:color w:val="000000"/>
              </w:rPr>
              <w:t>165</w:t>
            </w:r>
          </w:p>
        </w:tc>
        <w:tc>
          <w:tcPr>
            <w:tcW w:w="1559" w:type="dxa"/>
            <w:shd w:val="clear" w:color="000000" w:fill="FFFFFF"/>
            <w:noWrap/>
            <w:hideMark/>
          </w:tcPr>
          <w:p w14:paraId="5882FBDB"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4234788D" w14:textId="77777777" w:rsidTr="00B518F1">
        <w:trPr>
          <w:trHeight w:val="600"/>
        </w:trPr>
        <w:tc>
          <w:tcPr>
            <w:tcW w:w="1312" w:type="dxa"/>
            <w:shd w:val="clear" w:color="000000" w:fill="FFFFFF"/>
            <w:noWrap/>
            <w:hideMark/>
          </w:tcPr>
          <w:p w14:paraId="3D5A3D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49ED22D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295E2A0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goal directed activity</w:t>
            </w:r>
          </w:p>
        </w:tc>
        <w:tc>
          <w:tcPr>
            <w:tcW w:w="2268" w:type="dxa"/>
            <w:shd w:val="clear" w:color="000000" w:fill="FFFFFF"/>
            <w:noWrap/>
            <w:hideMark/>
          </w:tcPr>
          <w:p w14:paraId="1C7E666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plan more activities or projects</w:t>
            </w:r>
          </w:p>
        </w:tc>
        <w:tc>
          <w:tcPr>
            <w:tcW w:w="567" w:type="dxa"/>
            <w:shd w:val="clear" w:color="000000" w:fill="FFFFFF"/>
            <w:noWrap/>
            <w:hideMark/>
          </w:tcPr>
          <w:p w14:paraId="382AF819" w14:textId="77777777" w:rsidR="007075D9" w:rsidRPr="004D46AC" w:rsidRDefault="007075D9" w:rsidP="002C5F6E">
            <w:pPr>
              <w:spacing w:line="240" w:lineRule="auto"/>
              <w:ind w:firstLine="0"/>
              <w:rPr>
                <w:rFonts w:eastAsia="Times New Roman"/>
                <w:color w:val="000000"/>
              </w:rPr>
            </w:pPr>
            <w:r w:rsidRPr="004D46AC">
              <w:rPr>
                <w:color w:val="000000"/>
              </w:rPr>
              <w:t>166</w:t>
            </w:r>
          </w:p>
        </w:tc>
        <w:tc>
          <w:tcPr>
            <w:tcW w:w="1559" w:type="dxa"/>
            <w:shd w:val="clear" w:color="000000" w:fill="FFFFFF"/>
            <w:noWrap/>
            <w:hideMark/>
          </w:tcPr>
          <w:p w14:paraId="637CB4E4" w14:textId="77777777" w:rsidR="007075D9" w:rsidRPr="004D46AC" w:rsidRDefault="007075D9" w:rsidP="002C5F6E">
            <w:pPr>
              <w:spacing w:line="240" w:lineRule="auto"/>
              <w:ind w:firstLine="0"/>
              <w:rPr>
                <w:rFonts w:eastAsia="Times New Roman"/>
                <w:color w:val="000000"/>
              </w:rPr>
            </w:pPr>
            <w:r w:rsidRPr="004D46AC">
              <w:rPr>
                <w:color w:val="000000"/>
              </w:rPr>
              <w:t>HCL-32</w:t>
            </w:r>
          </w:p>
        </w:tc>
      </w:tr>
      <w:tr w:rsidR="007075D9" w:rsidRPr="004D46AC" w14:paraId="5CA59380" w14:textId="77777777" w:rsidTr="00B518F1">
        <w:trPr>
          <w:trHeight w:val="600"/>
        </w:trPr>
        <w:tc>
          <w:tcPr>
            <w:tcW w:w="1312" w:type="dxa"/>
            <w:shd w:val="clear" w:color="000000" w:fill="FFFFFF"/>
            <w:noWrap/>
            <w:hideMark/>
          </w:tcPr>
          <w:p w14:paraId="72019E6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4325AAF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171C4A0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Increased goal directed activity</w:t>
            </w:r>
          </w:p>
        </w:tc>
        <w:tc>
          <w:tcPr>
            <w:tcW w:w="2268" w:type="dxa"/>
            <w:shd w:val="clear" w:color="000000" w:fill="FFFFFF"/>
            <w:noWrap/>
            <w:hideMark/>
          </w:tcPr>
          <w:p w14:paraId="334FC96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You were more active or did many more things than usual</w:t>
            </w:r>
          </w:p>
        </w:tc>
        <w:tc>
          <w:tcPr>
            <w:tcW w:w="567" w:type="dxa"/>
            <w:shd w:val="clear" w:color="000000" w:fill="FFFFFF"/>
            <w:noWrap/>
            <w:hideMark/>
          </w:tcPr>
          <w:p w14:paraId="16EE415F" w14:textId="77777777" w:rsidR="007075D9" w:rsidRPr="004D46AC" w:rsidRDefault="007075D9" w:rsidP="002C5F6E">
            <w:pPr>
              <w:spacing w:line="240" w:lineRule="auto"/>
              <w:ind w:firstLine="0"/>
              <w:rPr>
                <w:rFonts w:eastAsia="Times New Roman"/>
                <w:color w:val="000000"/>
              </w:rPr>
            </w:pPr>
            <w:r w:rsidRPr="004D46AC">
              <w:rPr>
                <w:color w:val="000000"/>
              </w:rPr>
              <w:t>167</w:t>
            </w:r>
          </w:p>
        </w:tc>
        <w:tc>
          <w:tcPr>
            <w:tcW w:w="1559" w:type="dxa"/>
            <w:shd w:val="clear" w:color="000000" w:fill="FFFFFF"/>
            <w:noWrap/>
            <w:hideMark/>
          </w:tcPr>
          <w:p w14:paraId="4D4EA1E4" w14:textId="77777777" w:rsidR="007075D9" w:rsidRPr="004D46AC" w:rsidRDefault="007075D9" w:rsidP="002C5F6E">
            <w:pPr>
              <w:spacing w:line="240" w:lineRule="auto"/>
              <w:ind w:firstLine="0"/>
              <w:rPr>
                <w:rFonts w:eastAsia="Times New Roman"/>
                <w:color w:val="000000"/>
              </w:rPr>
            </w:pPr>
            <w:r w:rsidRPr="004D46AC">
              <w:rPr>
                <w:color w:val="000000"/>
              </w:rPr>
              <w:t>MDQ</w:t>
            </w:r>
          </w:p>
        </w:tc>
      </w:tr>
      <w:tr w:rsidR="007075D9" w:rsidRPr="004D46AC" w14:paraId="079A5923" w14:textId="77777777" w:rsidTr="00B518F1">
        <w:trPr>
          <w:trHeight w:val="600"/>
        </w:trPr>
        <w:tc>
          <w:tcPr>
            <w:tcW w:w="1312" w:type="dxa"/>
            <w:shd w:val="clear" w:color="000000" w:fill="FFFFFF"/>
            <w:noWrap/>
            <w:hideMark/>
          </w:tcPr>
          <w:p w14:paraId="5718700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5F8E0D1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6799EC3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Restlessness</w:t>
            </w:r>
          </w:p>
        </w:tc>
        <w:tc>
          <w:tcPr>
            <w:tcW w:w="2268" w:type="dxa"/>
            <w:shd w:val="clear" w:color="000000" w:fill="FFFFFF"/>
            <w:noWrap/>
            <w:hideMark/>
          </w:tcPr>
          <w:p w14:paraId="1707322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There are times when l am so restless that it is impossible for me to sit still.</w:t>
            </w:r>
          </w:p>
        </w:tc>
        <w:tc>
          <w:tcPr>
            <w:tcW w:w="567" w:type="dxa"/>
            <w:shd w:val="clear" w:color="000000" w:fill="FFFFFF"/>
            <w:noWrap/>
            <w:hideMark/>
          </w:tcPr>
          <w:p w14:paraId="0A1AC80D" w14:textId="77777777" w:rsidR="007075D9" w:rsidRPr="004D46AC" w:rsidRDefault="007075D9" w:rsidP="002C5F6E">
            <w:pPr>
              <w:spacing w:line="240" w:lineRule="auto"/>
              <w:ind w:firstLine="0"/>
              <w:rPr>
                <w:rFonts w:eastAsia="Times New Roman"/>
                <w:color w:val="000000"/>
              </w:rPr>
            </w:pPr>
            <w:r w:rsidRPr="004D46AC">
              <w:rPr>
                <w:color w:val="000000"/>
              </w:rPr>
              <w:t>168</w:t>
            </w:r>
          </w:p>
        </w:tc>
        <w:tc>
          <w:tcPr>
            <w:tcW w:w="1559" w:type="dxa"/>
            <w:shd w:val="clear" w:color="000000" w:fill="FFFFFF"/>
            <w:noWrap/>
            <w:hideMark/>
          </w:tcPr>
          <w:p w14:paraId="407946B5"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301346A9" w14:textId="77777777" w:rsidTr="00B518F1">
        <w:trPr>
          <w:trHeight w:val="600"/>
        </w:trPr>
        <w:tc>
          <w:tcPr>
            <w:tcW w:w="1312" w:type="dxa"/>
            <w:shd w:val="clear" w:color="000000" w:fill="FFFFFF"/>
            <w:noWrap/>
            <w:hideMark/>
          </w:tcPr>
          <w:p w14:paraId="475A3CD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6BDD465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22DF8A7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Restlessness</w:t>
            </w:r>
          </w:p>
        </w:tc>
        <w:tc>
          <w:tcPr>
            <w:tcW w:w="2268" w:type="dxa"/>
            <w:shd w:val="clear" w:color="000000" w:fill="FFFFFF"/>
            <w:noWrap/>
            <w:hideMark/>
          </w:tcPr>
          <w:p w14:paraId="74CEABA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experienced periods of several days or more when you were feeling down and depressed, and you also were physically restless, unable to sit still, and had to keep moving or jumping from one activity to another? </w:t>
            </w:r>
          </w:p>
        </w:tc>
        <w:tc>
          <w:tcPr>
            <w:tcW w:w="567" w:type="dxa"/>
            <w:shd w:val="clear" w:color="000000" w:fill="FFFFFF"/>
            <w:noWrap/>
            <w:hideMark/>
          </w:tcPr>
          <w:p w14:paraId="379BEBA7" w14:textId="77777777" w:rsidR="007075D9" w:rsidRPr="004D46AC" w:rsidRDefault="007075D9" w:rsidP="002C5F6E">
            <w:pPr>
              <w:spacing w:line="240" w:lineRule="auto"/>
              <w:ind w:firstLine="0"/>
              <w:rPr>
                <w:rFonts w:eastAsia="Times New Roman"/>
                <w:color w:val="000000"/>
              </w:rPr>
            </w:pPr>
            <w:r w:rsidRPr="004D46AC">
              <w:rPr>
                <w:color w:val="000000"/>
              </w:rPr>
              <w:t>169</w:t>
            </w:r>
          </w:p>
        </w:tc>
        <w:tc>
          <w:tcPr>
            <w:tcW w:w="1559" w:type="dxa"/>
            <w:shd w:val="clear" w:color="000000" w:fill="FFFFFF"/>
            <w:noWrap/>
            <w:hideMark/>
          </w:tcPr>
          <w:p w14:paraId="73AC3251"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18B397D0" w14:textId="77777777" w:rsidTr="00B518F1">
        <w:trPr>
          <w:trHeight w:val="600"/>
        </w:trPr>
        <w:tc>
          <w:tcPr>
            <w:tcW w:w="1312" w:type="dxa"/>
            <w:shd w:val="clear" w:color="000000" w:fill="FFFFFF"/>
            <w:noWrap/>
            <w:hideMark/>
          </w:tcPr>
          <w:p w14:paraId="6E8A975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55DCA53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0CBA38D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Restlessness</w:t>
            </w:r>
          </w:p>
        </w:tc>
        <w:tc>
          <w:tcPr>
            <w:tcW w:w="2268" w:type="dxa"/>
            <w:shd w:val="clear" w:color="000000" w:fill="FFFFFF"/>
            <w:noWrap/>
            <w:hideMark/>
          </w:tcPr>
          <w:p w14:paraId="5F2298F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experienced periods of several days or more when, although you were feeling unusually happy and intensely energetic (clearly more than your usual self), you were also physically restless, unable to sit still, and </w:t>
            </w:r>
            <w:proofErr w:type="gramStart"/>
            <w:r w:rsidRPr="004D46AC">
              <w:rPr>
                <w:rFonts w:eastAsia="Times New Roman"/>
                <w:color w:val="000000"/>
              </w:rPr>
              <w:t>have to</w:t>
            </w:r>
            <w:proofErr w:type="gramEnd"/>
            <w:r w:rsidRPr="004D46AC">
              <w:rPr>
                <w:rFonts w:eastAsia="Times New Roman"/>
                <w:color w:val="000000"/>
              </w:rPr>
              <w:t xml:space="preserve"> keep moving or </w:t>
            </w:r>
            <w:r w:rsidRPr="004D46AC">
              <w:rPr>
                <w:rFonts w:eastAsia="Times New Roman"/>
                <w:color w:val="000000"/>
              </w:rPr>
              <w:lastRenderedPageBreak/>
              <w:t xml:space="preserve">jumping from one activity to another? </w:t>
            </w:r>
          </w:p>
        </w:tc>
        <w:tc>
          <w:tcPr>
            <w:tcW w:w="567" w:type="dxa"/>
            <w:shd w:val="clear" w:color="000000" w:fill="FFFFFF"/>
            <w:noWrap/>
            <w:hideMark/>
          </w:tcPr>
          <w:p w14:paraId="4D534346" w14:textId="77777777" w:rsidR="007075D9" w:rsidRPr="004D46AC" w:rsidRDefault="007075D9" w:rsidP="002C5F6E">
            <w:pPr>
              <w:spacing w:line="240" w:lineRule="auto"/>
              <w:ind w:firstLine="0"/>
              <w:rPr>
                <w:rFonts w:eastAsia="Times New Roman"/>
                <w:color w:val="000000"/>
              </w:rPr>
            </w:pPr>
            <w:r w:rsidRPr="004D46AC">
              <w:rPr>
                <w:color w:val="000000"/>
              </w:rPr>
              <w:lastRenderedPageBreak/>
              <w:t>170</w:t>
            </w:r>
          </w:p>
        </w:tc>
        <w:tc>
          <w:tcPr>
            <w:tcW w:w="1559" w:type="dxa"/>
            <w:shd w:val="clear" w:color="000000" w:fill="FFFFFF"/>
            <w:noWrap/>
            <w:hideMark/>
          </w:tcPr>
          <w:p w14:paraId="0E48C4D3"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5301C6F7" w14:textId="77777777" w:rsidTr="00B518F1">
        <w:trPr>
          <w:trHeight w:val="600"/>
        </w:trPr>
        <w:tc>
          <w:tcPr>
            <w:tcW w:w="1312" w:type="dxa"/>
            <w:shd w:val="clear" w:color="000000" w:fill="FFFFFF"/>
            <w:noWrap/>
            <w:hideMark/>
          </w:tcPr>
          <w:p w14:paraId="3CD3D32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2557D7F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3605921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More talkative than usual or pressure to keep talking</w:t>
            </w:r>
          </w:p>
        </w:tc>
        <w:tc>
          <w:tcPr>
            <w:tcW w:w="2268" w:type="dxa"/>
            <w:shd w:val="clear" w:color="000000" w:fill="FFFFFF"/>
            <w:noWrap/>
            <w:hideMark/>
          </w:tcPr>
          <w:p w14:paraId="0EC2A1B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In unfamiliar surroundings I am often so assertive and sociable that I surprise myself.</w:t>
            </w:r>
          </w:p>
        </w:tc>
        <w:tc>
          <w:tcPr>
            <w:tcW w:w="567" w:type="dxa"/>
            <w:shd w:val="clear" w:color="000000" w:fill="FFFFFF"/>
            <w:noWrap/>
            <w:hideMark/>
          </w:tcPr>
          <w:p w14:paraId="5BC30B79" w14:textId="77777777" w:rsidR="007075D9" w:rsidRPr="004D46AC" w:rsidRDefault="007075D9" w:rsidP="002C5F6E">
            <w:pPr>
              <w:spacing w:line="240" w:lineRule="auto"/>
              <w:ind w:firstLine="0"/>
              <w:rPr>
                <w:rFonts w:eastAsia="Times New Roman"/>
                <w:color w:val="000000"/>
              </w:rPr>
            </w:pPr>
            <w:r w:rsidRPr="004D46AC">
              <w:rPr>
                <w:color w:val="000000"/>
              </w:rPr>
              <w:t>171</w:t>
            </w:r>
          </w:p>
        </w:tc>
        <w:tc>
          <w:tcPr>
            <w:tcW w:w="1559" w:type="dxa"/>
            <w:shd w:val="clear" w:color="000000" w:fill="FFFFFF"/>
            <w:noWrap/>
            <w:hideMark/>
          </w:tcPr>
          <w:p w14:paraId="649C15EB"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28089189" w14:textId="77777777" w:rsidTr="00B518F1">
        <w:trPr>
          <w:trHeight w:val="600"/>
        </w:trPr>
        <w:tc>
          <w:tcPr>
            <w:tcW w:w="1312" w:type="dxa"/>
            <w:shd w:val="clear" w:color="000000" w:fill="FFFFFF"/>
            <w:noWrap/>
            <w:hideMark/>
          </w:tcPr>
          <w:p w14:paraId="063ACF7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1935EAF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4484AED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More talkative than usual or pressure to keep talking</w:t>
            </w:r>
          </w:p>
        </w:tc>
        <w:tc>
          <w:tcPr>
            <w:tcW w:w="2268" w:type="dxa"/>
            <w:shd w:val="clear" w:color="000000" w:fill="FFFFFF"/>
            <w:noWrap/>
            <w:hideMark/>
          </w:tcPr>
          <w:p w14:paraId="31338FF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often get into excited moods where it’s almost impossible for me to stop talking.</w:t>
            </w:r>
          </w:p>
        </w:tc>
        <w:tc>
          <w:tcPr>
            <w:tcW w:w="567" w:type="dxa"/>
            <w:shd w:val="clear" w:color="000000" w:fill="FFFFFF"/>
            <w:noWrap/>
            <w:hideMark/>
          </w:tcPr>
          <w:p w14:paraId="2227FE15" w14:textId="77777777" w:rsidR="007075D9" w:rsidRPr="004D46AC" w:rsidRDefault="007075D9" w:rsidP="002C5F6E">
            <w:pPr>
              <w:spacing w:line="240" w:lineRule="auto"/>
              <w:ind w:firstLine="0"/>
              <w:rPr>
                <w:rFonts w:eastAsia="Times New Roman"/>
                <w:color w:val="000000"/>
              </w:rPr>
            </w:pPr>
            <w:r w:rsidRPr="004D46AC">
              <w:rPr>
                <w:color w:val="000000"/>
              </w:rPr>
              <w:t>172</w:t>
            </w:r>
          </w:p>
        </w:tc>
        <w:tc>
          <w:tcPr>
            <w:tcW w:w="1559" w:type="dxa"/>
            <w:shd w:val="clear" w:color="000000" w:fill="FFFFFF"/>
            <w:noWrap/>
            <w:hideMark/>
          </w:tcPr>
          <w:p w14:paraId="734B3A4D"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6EBC950A" w14:textId="77777777" w:rsidTr="00B518F1">
        <w:trPr>
          <w:trHeight w:val="600"/>
        </w:trPr>
        <w:tc>
          <w:tcPr>
            <w:tcW w:w="1312" w:type="dxa"/>
            <w:shd w:val="clear" w:color="000000" w:fill="FFFFFF"/>
            <w:noWrap/>
            <w:hideMark/>
          </w:tcPr>
          <w:p w14:paraId="6BC40E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5B6B889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47645D9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More talkative than usual or pressure to keep talking</w:t>
            </w:r>
          </w:p>
        </w:tc>
        <w:tc>
          <w:tcPr>
            <w:tcW w:w="2268" w:type="dxa"/>
            <w:shd w:val="clear" w:color="000000" w:fill="FFFFFF"/>
            <w:noWrap/>
            <w:hideMark/>
          </w:tcPr>
          <w:p w14:paraId="7066C43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 talk more </w:t>
            </w:r>
          </w:p>
        </w:tc>
        <w:tc>
          <w:tcPr>
            <w:tcW w:w="567" w:type="dxa"/>
            <w:shd w:val="clear" w:color="000000" w:fill="FFFFFF"/>
            <w:noWrap/>
            <w:hideMark/>
          </w:tcPr>
          <w:p w14:paraId="31835152" w14:textId="77777777" w:rsidR="007075D9" w:rsidRPr="004D46AC" w:rsidRDefault="007075D9" w:rsidP="002C5F6E">
            <w:pPr>
              <w:spacing w:line="240" w:lineRule="auto"/>
              <w:ind w:firstLine="0"/>
              <w:rPr>
                <w:rFonts w:eastAsia="Times New Roman"/>
                <w:color w:val="000000"/>
              </w:rPr>
            </w:pPr>
            <w:r w:rsidRPr="004D46AC">
              <w:rPr>
                <w:color w:val="000000"/>
              </w:rPr>
              <w:t>173</w:t>
            </w:r>
          </w:p>
        </w:tc>
        <w:tc>
          <w:tcPr>
            <w:tcW w:w="1559" w:type="dxa"/>
            <w:shd w:val="clear" w:color="000000" w:fill="FFFFFF"/>
            <w:noWrap/>
            <w:hideMark/>
          </w:tcPr>
          <w:p w14:paraId="15D385B1" w14:textId="77777777" w:rsidR="007075D9" w:rsidRPr="004D46AC" w:rsidRDefault="007075D9" w:rsidP="002C5F6E">
            <w:pPr>
              <w:spacing w:line="240" w:lineRule="auto"/>
              <w:ind w:firstLine="0"/>
              <w:rPr>
                <w:rFonts w:eastAsia="Times New Roman"/>
                <w:color w:val="000000"/>
              </w:rPr>
            </w:pPr>
            <w:r w:rsidRPr="004D46AC">
              <w:rPr>
                <w:color w:val="000000"/>
              </w:rPr>
              <w:t>HCL-32</w:t>
            </w:r>
          </w:p>
        </w:tc>
      </w:tr>
      <w:tr w:rsidR="007075D9" w:rsidRPr="004D46AC" w14:paraId="5B1D6695" w14:textId="77777777" w:rsidTr="00B518F1">
        <w:trPr>
          <w:trHeight w:val="600"/>
        </w:trPr>
        <w:tc>
          <w:tcPr>
            <w:tcW w:w="1312" w:type="dxa"/>
            <w:shd w:val="clear" w:color="000000" w:fill="FFFFFF"/>
            <w:noWrap/>
            <w:hideMark/>
          </w:tcPr>
          <w:p w14:paraId="53AE943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6B7A193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4626352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ideas, clear thinking</w:t>
            </w:r>
          </w:p>
        </w:tc>
        <w:tc>
          <w:tcPr>
            <w:tcW w:w="2268" w:type="dxa"/>
            <w:shd w:val="clear" w:color="000000" w:fill="FFFFFF"/>
            <w:noWrap/>
            <w:hideMark/>
          </w:tcPr>
          <w:p w14:paraId="42D157C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frequently write down the thoughts and insights that come to me when I am thinking especially creatively.</w:t>
            </w:r>
          </w:p>
        </w:tc>
        <w:tc>
          <w:tcPr>
            <w:tcW w:w="567" w:type="dxa"/>
            <w:shd w:val="clear" w:color="000000" w:fill="FFFFFF"/>
            <w:noWrap/>
            <w:hideMark/>
          </w:tcPr>
          <w:p w14:paraId="7420715C" w14:textId="77777777" w:rsidR="007075D9" w:rsidRPr="004D46AC" w:rsidRDefault="007075D9" w:rsidP="002C5F6E">
            <w:pPr>
              <w:spacing w:line="240" w:lineRule="auto"/>
              <w:ind w:firstLine="0"/>
              <w:rPr>
                <w:rFonts w:eastAsia="Times New Roman"/>
                <w:color w:val="000000"/>
              </w:rPr>
            </w:pPr>
            <w:r w:rsidRPr="004D46AC">
              <w:rPr>
                <w:color w:val="000000"/>
              </w:rPr>
              <w:t>174</w:t>
            </w:r>
          </w:p>
        </w:tc>
        <w:tc>
          <w:tcPr>
            <w:tcW w:w="1559" w:type="dxa"/>
            <w:shd w:val="clear" w:color="000000" w:fill="FFFFFF"/>
            <w:noWrap/>
            <w:hideMark/>
          </w:tcPr>
          <w:p w14:paraId="1BA9C5FE"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375B6EB1" w14:textId="77777777" w:rsidTr="00B518F1">
        <w:trPr>
          <w:trHeight w:val="600"/>
        </w:trPr>
        <w:tc>
          <w:tcPr>
            <w:tcW w:w="1312" w:type="dxa"/>
            <w:shd w:val="clear" w:color="000000" w:fill="FFFFFF"/>
            <w:noWrap/>
            <w:hideMark/>
          </w:tcPr>
          <w:p w14:paraId="11F53CA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0824499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7328739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ideas, clear thinking</w:t>
            </w:r>
          </w:p>
        </w:tc>
        <w:tc>
          <w:tcPr>
            <w:tcW w:w="2268" w:type="dxa"/>
            <w:shd w:val="clear" w:color="000000" w:fill="FFFFFF"/>
            <w:noWrap/>
            <w:hideMark/>
          </w:tcPr>
          <w:p w14:paraId="71E7F9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had periods of extreme happiness and high energy lasting several days or more when what you saw, heard, smelled, tasted, or touched seemed vivid or intense? </w:t>
            </w:r>
          </w:p>
        </w:tc>
        <w:tc>
          <w:tcPr>
            <w:tcW w:w="567" w:type="dxa"/>
            <w:shd w:val="clear" w:color="000000" w:fill="FFFFFF"/>
            <w:noWrap/>
            <w:hideMark/>
          </w:tcPr>
          <w:p w14:paraId="6B529E8F" w14:textId="77777777" w:rsidR="007075D9" w:rsidRPr="004D46AC" w:rsidRDefault="007075D9" w:rsidP="002C5F6E">
            <w:pPr>
              <w:spacing w:line="240" w:lineRule="auto"/>
              <w:ind w:firstLine="0"/>
              <w:rPr>
                <w:rFonts w:eastAsia="Times New Roman"/>
                <w:color w:val="000000"/>
              </w:rPr>
            </w:pPr>
            <w:r w:rsidRPr="004D46AC">
              <w:rPr>
                <w:color w:val="000000"/>
              </w:rPr>
              <w:t>175</w:t>
            </w:r>
          </w:p>
        </w:tc>
        <w:tc>
          <w:tcPr>
            <w:tcW w:w="1559" w:type="dxa"/>
            <w:shd w:val="clear" w:color="000000" w:fill="FFFFFF"/>
            <w:noWrap/>
            <w:hideMark/>
          </w:tcPr>
          <w:p w14:paraId="5B99D3B3"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083B6317" w14:textId="77777777" w:rsidTr="00B518F1">
        <w:trPr>
          <w:trHeight w:val="600"/>
        </w:trPr>
        <w:tc>
          <w:tcPr>
            <w:tcW w:w="1312" w:type="dxa"/>
            <w:shd w:val="clear" w:color="000000" w:fill="FFFFFF"/>
            <w:noWrap/>
            <w:hideMark/>
          </w:tcPr>
          <w:p w14:paraId="49B24F0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588E610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692D778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Unusual ideas, clear thinking</w:t>
            </w:r>
          </w:p>
        </w:tc>
        <w:tc>
          <w:tcPr>
            <w:tcW w:w="2268" w:type="dxa"/>
            <w:shd w:val="clear" w:color="000000" w:fill="FFFFFF"/>
            <w:noWrap/>
            <w:hideMark/>
          </w:tcPr>
          <w:p w14:paraId="104F470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found yourself at times feeling fearful or suspicious of your environment or people around you?</w:t>
            </w:r>
          </w:p>
        </w:tc>
        <w:tc>
          <w:tcPr>
            <w:tcW w:w="567" w:type="dxa"/>
            <w:shd w:val="clear" w:color="000000" w:fill="FFFFFF"/>
            <w:noWrap/>
            <w:hideMark/>
          </w:tcPr>
          <w:p w14:paraId="4C653209" w14:textId="77777777" w:rsidR="007075D9" w:rsidRPr="004D46AC" w:rsidRDefault="007075D9" w:rsidP="002C5F6E">
            <w:pPr>
              <w:spacing w:line="240" w:lineRule="auto"/>
              <w:ind w:firstLine="0"/>
              <w:rPr>
                <w:rFonts w:eastAsia="Times New Roman"/>
                <w:color w:val="000000"/>
              </w:rPr>
            </w:pPr>
            <w:r w:rsidRPr="004D46AC">
              <w:rPr>
                <w:color w:val="000000"/>
              </w:rPr>
              <w:t>176</w:t>
            </w:r>
          </w:p>
        </w:tc>
        <w:tc>
          <w:tcPr>
            <w:tcW w:w="1559" w:type="dxa"/>
            <w:shd w:val="clear" w:color="000000" w:fill="FFFFFF"/>
            <w:noWrap/>
            <w:hideMark/>
          </w:tcPr>
          <w:p w14:paraId="613D5038"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40838DCF" w14:textId="77777777" w:rsidTr="00B518F1">
        <w:trPr>
          <w:trHeight w:val="600"/>
        </w:trPr>
        <w:tc>
          <w:tcPr>
            <w:tcW w:w="1312" w:type="dxa"/>
            <w:shd w:val="clear" w:color="000000" w:fill="FFFFFF"/>
            <w:noWrap/>
            <w:hideMark/>
          </w:tcPr>
          <w:p w14:paraId="69552EA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03EC0A4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1152E31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Troublesome behaviour</w:t>
            </w:r>
          </w:p>
        </w:tc>
        <w:tc>
          <w:tcPr>
            <w:tcW w:w="2268" w:type="dxa"/>
            <w:shd w:val="clear" w:color="000000" w:fill="FFFFFF"/>
            <w:noWrap/>
            <w:hideMark/>
          </w:tcPr>
          <w:p w14:paraId="33DEC40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Spending money or get you or your family in trouble</w:t>
            </w:r>
          </w:p>
        </w:tc>
        <w:tc>
          <w:tcPr>
            <w:tcW w:w="567" w:type="dxa"/>
            <w:shd w:val="clear" w:color="000000" w:fill="FFFFFF"/>
            <w:noWrap/>
            <w:hideMark/>
          </w:tcPr>
          <w:p w14:paraId="0412C56B" w14:textId="77777777" w:rsidR="007075D9" w:rsidRPr="004D46AC" w:rsidRDefault="007075D9" w:rsidP="002C5F6E">
            <w:pPr>
              <w:spacing w:line="240" w:lineRule="auto"/>
              <w:ind w:firstLine="0"/>
              <w:rPr>
                <w:rFonts w:eastAsia="Times New Roman"/>
                <w:color w:val="000000"/>
              </w:rPr>
            </w:pPr>
            <w:r w:rsidRPr="004D46AC">
              <w:rPr>
                <w:color w:val="000000"/>
              </w:rPr>
              <w:t>177</w:t>
            </w:r>
          </w:p>
        </w:tc>
        <w:tc>
          <w:tcPr>
            <w:tcW w:w="1559" w:type="dxa"/>
            <w:shd w:val="clear" w:color="000000" w:fill="FFFFFF"/>
            <w:noWrap/>
            <w:hideMark/>
          </w:tcPr>
          <w:p w14:paraId="5F2C45ED" w14:textId="77777777" w:rsidR="007075D9" w:rsidRPr="004D46AC" w:rsidRDefault="007075D9" w:rsidP="002C5F6E">
            <w:pPr>
              <w:spacing w:line="240" w:lineRule="auto"/>
              <w:ind w:firstLine="0"/>
              <w:rPr>
                <w:rFonts w:eastAsia="Times New Roman"/>
                <w:color w:val="000000"/>
              </w:rPr>
            </w:pPr>
            <w:r w:rsidRPr="004D46AC">
              <w:rPr>
                <w:color w:val="000000"/>
              </w:rPr>
              <w:t>MDQ</w:t>
            </w:r>
          </w:p>
        </w:tc>
      </w:tr>
      <w:tr w:rsidR="007075D9" w:rsidRPr="004D46AC" w14:paraId="692EA37C" w14:textId="77777777" w:rsidTr="00B518F1">
        <w:trPr>
          <w:trHeight w:val="600"/>
        </w:trPr>
        <w:tc>
          <w:tcPr>
            <w:tcW w:w="1312" w:type="dxa"/>
            <w:shd w:val="clear" w:color="000000" w:fill="FFFFFF"/>
            <w:noWrap/>
            <w:hideMark/>
          </w:tcPr>
          <w:p w14:paraId="11E4099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7450424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460AF9D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Troublesome behaviour</w:t>
            </w:r>
          </w:p>
        </w:tc>
        <w:tc>
          <w:tcPr>
            <w:tcW w:w="2268" w:type="dxa"/>
            <w:shd w:val="clear" w:color="000000" w:fill="FFFFFF"/>
            <w:noWrap/>
            <w:hideMark/>
          </w:tcPr>
          <w:p w14:paraId="2E1F0CA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take more risks in my daily life, work, or other activities*</w:t>
            </w:r>
          </w:p>
        </w:tc>
        <w:tc>
          <w:tcPr>
            <w:tcW w:w="567" w:type="dxa"/>
            <w:shd w:val="clear" w:color="000000" w:fill="FFFFFF"/>
            <w:noWrap/>
            <w:hideMark/>
          </w:tcPr>
          <w:p w14:paraId="783596A5" w14:textId="77777777" w:rsidR="007075D9" w:rsidRPr="004D46AC" w:rsidRDefault="007075D9" w:rsidP="002C5F6E">
            <w:pPr>
              <w:spacing w:line="240" w:lineRule="auto"/>
              <w:ind w:firstLine="0"/>
              <w:rPr>
                <w:rFonts w:eastAsia="Times New Roman"/>
                <w:color w:val="000000"/>
              </w:rPr>
            </w:pPr>
            <w:r w:rsidRPr="004D46AC">
              <w:rPr>
                <w:color w:val="000000"/>
              </w:rPr>
              <w:t>178</w:t>
            </w:r>
          </w:p>
        </w:tc>
        <w:tc>
          <w:tcPr>
            <w:tcW w:w="1559" w:type="dxa"/>
            <w:shd w:val="clear" w:color="000000" w:fill="FFFFFF"/>
            <w:noWrap/>
            <w:hideMark/>
          </w:tcPr>
          <w:p w14:paraId="3AE11D52" w14:textId="77777777" w:rsidR="007075D9" w:rsidRPr="004D46AC" w:rsidRDefault="007075D9" w:rsidP="002C5F6E">
            <w:pPr>
              <w:spacing w:line="240" w:lineRule="auto"/>
              <w:ind w:firstLine="0"/>
              <w:rPr>
                <w:rFonts w:eastAsia="Times New Roman"/>
                <w:color w:val="000000"/>
              </w:rPr>
            </w:pPr>
            <w:r w:rsidRPr="004D46AC">
              <w:rPr>
                <w:color w:val="000000"/>
              </w:rPr>
              <w:t>HCL-32</w:t>
            </w:r>
          </w:p>
        </w:tc>
      </w:tr>
      <w:tr w:rsidR="007075D9" w:rsidRPr="004D46AC" w14:paraId="36119CFF" w14:textId="77777777" w:rsidTr="00B518F1">
        <w:trPr>
          <w:trHeight w:val="600"/>
        </w:trPr>
        <w:tc>
          <w:tcPr>
            <w:tcW w:w="1312" w:type="dxa"/>
            <w:shd w:val="clear" w:color="000000" w:fill="FFFFFF"/>
            <w:noWrap/>
            <w:hideMark/>
          </w:tcPr>
          <w:p w14:paraId="3D42BDF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Cyclothymia</w:t>
            </w:r>
          </w:p>
        </w:tc>
        <w:tc>
          <w:tcPr>
            <w:tcW w:w="1312" w:type="dxa"/>
            <w:shd w:val="clear" w:color="000000" w:fill="FFFFFF"/>
            <w:noWrap/>
            <w:hideMark/>
          </w:tcPr>
          <w:p w14:paraId="447D7DA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CHARMS</w:t>
            </w:r>
          </w:p>
        </w:tc>
        <w:tc>
          <w:tcPr>
            <w:tcW w:w="1312" w:type="dxa"/>
            <w:shd w:val="clear" w:color="000000" w:fill="FFFFFF"/>
            <w:noWrap/>
            <w:hideMark/>
          </w:tcPr>
          <w:p w14:paraId="1D492A0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Troublesome behaviour</w:t>
            </w:r>
          </w:p>
        </w:tc>
        <w:tc>
          <w:tcPr>
            <w:tcW w:w="2268" w:type="dxa"/>
            <w:shd w:val="clear" w:color="000000" w:fill="FFFFFF"/>
            <w:noWrap/>
            <w:hideMark/>
          </w:tcPr>
          <w:p w14:paraId="1ADD622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there been times when you have done things – </w:t>
            </w:r>
            <w:r w:rsidRPr="004D46AC">
              <w:rPr>
                <w:rFonts w:eastAsia="Times New Roman"/>
                <w:color w:val="000000"/>
              </w:rPr>
              <w:lastRenderedPageBreak/>
              <w:t xml:space="preserve">like perhaps driving recklessly, taking a trip on the spur of the moment, creating a public disturbance, being more sexually active than usual, getting into fights, destroying property, or getting into trouble with the law – which you later thought showed poor judgment? </w:t>
            </w:r>
          </w:p>
        </w:tc>
        <w:tc>
          <w:tcPr>
            <w:tcW w:w="567" w:type="dxa"/>
            <w:shd w:val="clear" w:color="000000" w:fill="FFFFFF"/>
            <w:noWrap/>
            <w:hideMark/>
          </w:tcPr>
          <w:p w14:paraId="3A0A1F78" w14:textId="77777777" w:rsidR="007075D9" w:rsidRPr="004D46AC" w:rsidRDefault="007075D9" w:rsidP="002C5F6E">
            <w:pPr>
              <w:spacing w:line="240" w:lineRule="auto"/>
              <w:ind w:firstLine="0"/>
              <w:rPr>
                <w:rFonts w:eastAsia="Times New Roman"/>
                <w:color w:val="000000"/>
              </w:rPr>
            </w:pPr>
            <w:r w:rsidRPr="004D46AC">
              <w:rPr>
                <w:color w:val="000000"/>
              </w:rPr>
              <w:lastRenderedPageBreak/>
              <w:t>179</w:t>
            </w:r>
          </w:p>
        </w:tc>
        <w:tc>
          <w:tcPr>
            <w:tcW w:w="1559" w:type="dxa"/>
            <w:shd w:val="clear" w:color="000000" w:fill="FFFFFF"/>
            <w:noWrap/>
            <w:hideMark/>
          </w:tcPr>
          <w:p w14:paraId="31662120"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1D8CEAC9" w14:textId="77777777" w:rsidTr="00B518F1">
        <w:trPr>
          <w:trHeight w:val="600"/>
        </w:trPr>
        <w:tc>
          <w:tcPr>
            <w:tcW w:w="1312" w:type="dxa"/>
            <w:shd w:val="clear" w:color="000000" w:fill="FFFFFF"/>
            <w:noWrap/>
            <w:hideMark/>
          </w:tcPr>
          <w:p w14:paraId="5CC0AA5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6653C54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36C4812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Elevated, expansive or irritable mood</w:t>
            </w:r>
          </w:p>
        </w:tc>
        <w:tc>
          <w:tcPr>
            <w:tcW w:w="2268" w:type="dxa"/>
            <w:shd w:val="clear" w:color="000000" w:fill="FFFFFF"/>
            <w:noWrap/>
            <w:hideMark/>
          </w:tcPr>
          <w:p w14:paraId="2B9A68E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often feel excited and happy for no apparent reason.</w:t>
            </w:r>
          </w:p>
        </w:tc>
        <w:tc>
          <w:tcPr>
            <w:tcW w:w="567" w:type="dxa"/>
            <w:shd w:val="clear" w:color="000000" w:fill="FFFFFF"/>
            <w:noWrap/>
            <w:hideMark/>
          </w:tcPr>
          <w:p w14:paraId="5DB7AD00" w14:textId="77777777" w:rsidR="007075D9" w:rsidRPr="004D46AC" w:rsidRDefault="007075D9" w:rsidP="002C5F6E">
            <w:pPr>
              <w:spacing w:line="240" w:lineRule="auto"/>
              <w:ind w:firstLine="0"/>
              <w:rPr>
                <w:rFonts w:eastAsia="Times New Roman"/>
                <w:color w:val="000000"/>
              </w:rPr>
            </w:pPr>
            <w:r w:rsidRPr="004D46AC">
              <w:rPr>
                <w:color w:val="000000"/>
              </w:rPr>
              <w:t>180</w:t>
            </w:r>
          </w:p>
        </w:tc>
        <w:tc>
          <w:tcPr>
            <w:tcW w:w="1559" w:type="dxa"/>
            <w:shd w:val="clear" w:color="000000" w:fill="FFFFFF"/>
            <w:noWrap/>
            <w:hideMark/>
          </w:tcPr>
          <w:p w14:paraId="6A74CA97"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391C338D" w14:textId="77777777" w:rsidTr="00B518F1">
        <w:trPr>
          <w:trHeight w:val="600"/>
        </w:trPr>
        <w:tc>
          <w:tcPr>
            <w:tcW w:w="1312" w:type="dxa"/>
            <w:shd w:val="clear" w:color="000000" w:fill="FFFFFF"/>
            <w:noWrap/>
            <w:hideMark/>
          </w:tcPr>
          <w:p w14:paraId="4217D20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26E1021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211981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Elevated, expansive or irritable mood</w:t>
            </w:r>
          </w:p>
        </w:tc>
        <w:tc>
          <w:tcPr>
            <w:tcW w:w="2268" w:type="dxa"/>
            <w:shd w:val="clear" w:color="000000" w:fill="FFFFFF"/>
            <w:noWrap/>
            <w:hideMark/>
          </w:tcPr>
          <w:p w14:paraId="6A7E43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often have moods where I feel so energetic and optimistic that I feel I could outperform almost anyone at anything*</w:t>
            </w:r>
          </w:p>
        </w:tc>
        <w:tc>
          <w:tcPr>
            <w:tcW w:w="567" w:type="dxa"/>
            <w:shd w:val="clear" w:color="000000" w:fill="FFFFFF"/>
            <w:noWrap/>
            <w:hideMark/>
          </w:tcPr>
          <w:p w14:paraId="08EC2035" w14:textId="77777777" w:rsidR="007075D9" w:rsidRPr="004D46AC" w:rsidRDefault="007075D9" w:rsidP="002C5F6E">
            <w:pPr>
              <w:spacing w:line="240" w:lineRule="auto"/>
              <w:ind w:firstLine="0"/>
              <w:rPr>
                <w:rFonts w:eastAsia="Times New Roman"/>
                <w:color w:val="000000"/>
              </w:rPr>
            </w:pPr>
            <w:r w:rsidRPr="004D46AC">
              <w:rPr>
                <w:color w:val="000000"/>
              </w:rPr>
              <w:t>181</w:t>
            </w:r>
          </w:p>
        </w:tc>
        <w:tc>
          <w:tcPr>
            <w:tcW w:w="1559" w:type="dxa"/>
            <w:shd w:val="clear" w:color="000000" w:fill="FFFFFF"/>
            <w:noWrap/>
            <w:hideMark/>
          </w:tcPr>
          <w:p w14:paraId="659C52AA"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6CD49C4B" w14:textId="77777777" w:rsidTr="00B518F1">
        <w:trPr>
          <w:trHeight w:val="600"/>
        </w:trPr>
        <w:tc>
          <w:tcPr>
            <w:tcW w:w="1312" w:type="dxa"/>
            <w:shd w:val="clear" w:color="000000" w:fill="FFFFFF"/>
            <w:noWrap/>
            <w:hideMark/>
          </w:tcPr>
          <w:p w14:paraId="09F2825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377FF0F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424C230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Elevated, expansive or irritable mood</w:t>
            </w:r>
          </w:p>
        </w:tc>
        <w:tc>
          <w:tcPr>
            <w:tcW w:w="2268" w:type="dxa"/>
            <w:shd w:val="clear" w:color="000000" w:fill="FFFFFF"/>
            <w:noWrap/>
            <w:hideMark/>
          </w:tcPr>
          <w:p w14:paraId="7DE786B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there been periods when, although you were feeling unusually happy and intensely energetic, almost everything got on your nerves and made you irritable or angry (other than related to the menstrual cycle?) </w:t>
            </w:r>
          </w:p>
        </w:tc>
        <w:tc>
          <w:tcPr>
            <w:tcW w:w="567" w:type="dxa"/>
            <w:shd w:val="clear" w:color="000000" w:fill="FFFFFF"/>
            <w:noWrap/>
            <w:hideMark/>
          </w:tcPr>
          <w:p w14:paraId="36284B3D" w14:textId="77777777" w:rsidR="007075D9" w:rsidRPr="004D46AC" w:rsidRDefault="007075D9" w:rsidP="002C5F6E">
            <w:pPr>
              <w:spacing w:line="240" w:lineRule="auto"/>
              <w:ind w:firstLine="0"/>
              <w:rPr>
                <w:rFonts w:eastAsia="Times New Roman"/>
                <w:color w:val="000000"/>
              </w:rPr>
            </w:pPr>
            <w:r w:rsidRPr="004D46AC">
              <w:rPr>
                <w:color w:val="000000"/>
              </w:rPr>
              <w:t>182</w:t>
            </w:r>
          </w:p>
        </w:tc>
        <w:tc>
          <w:tcPr>
            <w:tcW w:w="1559" w:type="dxa"/>
            <w:shd w:val="clear" w:color="000000" w:fill="FFFFFF"/>
            <w:noWrap/>
            <w:hideMark/>
          </w:tcPr>
          <w:p w14:paraId="42DB2985"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347100E5" w14:textId="77777777" w:rsidTr="00B518F1">
        <w:trPr>
          <w:trHeight w:val="600"/>
        </w:trPr>
        <w:tc>
          <w:tcPr>
            <w:tcW w:w="1312" w:type="dxa"/>
            <w:shd w:val="clear" w:color="000000" w:fill="FFFFFF"/>
            <w:noWrap/>
            <w:hideMark/>
          </w:tcPr>
          <w:p w14:paraId="337CE64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599BF7F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hideMark/>
          </w:tcPr>
          <w:p w14:paraId="4F843FA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Flight of ideas</w:t>
            </w:r>
          </w:p>
        </w:tc>
        <w:tc>
          <w:tcPr>
            <w:tcW w:w="2268" w:type="dxa"/>
            <w:shd w:val="clear" w:color="000000" w:fill="FFFFFF"/>
            <w:noWrap/>
            <w:hideMark/>
          </w:tcPr>
          <w:p w14:paraId="1F89E43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frequently find that my thoughts are racing.</w:t>
            </w:r>
          </w:p>
        </w:tc>
        <w:tc>
          <w:tcPr>
            <w:tcW w:w="567" w:type="dxa"/>
            <w:shd w:val="clear" w:color="000000" w:fill="FFFFFF"/>
            <w:noWrap/>
            <w:hideMark/>
          </w:tcPr>
          <w:p w14:paraId="0805254B" w14:textId="77777777" w:rsidR="007075D9" w:rsidRPr="004D46AC" w:rsidRDefault="007075D9" w:rsidP="002C5F6E">
            <w:pPr>
              <w:spacing w:line="240" w:lineRule="auto"/>
              <w:ind w:firstLine="0"/>
              <w:rPr>
                <w:rFonts w:eastAsia="Times New Roman"/>
                <w:color w:val="000000"/>
              </w:rPr>
            </w:pPr>
            <w:r w:rsidRPr="004D46AC">
              <w:rPr>
                <w:color w:val="000000"/>
              </w:rPr>
              <w:t>183</w:t>
            </w:r>
          </w:p>
        </w:tc>
        <w:tc>
          <w:tcPr>
            <w:tcW w:w="1559" w:type="dxa"/>
            <w:shd w:val="clear" w:color="000000" w:fill="FFFFFF"/>
            <w:noWrap/>
            <w:hideMark/>
          </w:tcPr>
          <w:p w14:paraId="487465C5"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1F684D60" w14:textId="77777777" w:rsidTr="00B518F1">
        <w:trPr>
          <w:trHeight w:val="600"/>
        </w:trPr>
        <w:tc>
          <w:tcPr>
            <w:tcW w:w="1312" w:type="dxa"/>
            <w:shd w:val="clear" w:color="000000" w:fill="FFFFFF"/>
            <w:noWrap/>
            <w:hideMark/>
          </w:tcPr>
          <w:p w14:paraId="6E3C323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165F972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hideMark/>
          </w:tcPr>
          <w:p w14:paraId="6C36F3C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Flight of ideas</w:t>
            </w:r>
          </w:p>
        </w:tc>
        <w:tc>
          <w:tcPr>
            <w:tcW w:w="2268" w:type="dxa"/>
            <w:shd w:val="clear" w:color="000000" w:fill="FFFFFF"/>
            <w:noWrap/>
            <w:hideMark/>
          </w:tcPr>
          <w:p w14:paraId="133425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Thoughts raced through your </w:t>
            </w:r>
            <w:proofErr w:type="gramStart"/>
            <w:r w:rsidRPr="004D46AC">
              <w:rPr>
                <w:rFonts w:eastAsia="Times New Roman"/>
                <w:color w:val="000000"/>
              </w:rPr>
              <w:t>head</w:t>
            </w:r>
            <w:proofErr w:type="gramEnd"/>
            <w:r w:rsidRPr="004D46AC">
              <w:rPr>
                <w:rFonts w:eastAsia="Times New Roman"/>
                <w:color w:val="000000"/>
              </w:rPr>
              <w:t xml:space="preserve"> or you could not slow your mind down?</w:t>
            </w:r>
          </w:p>
        </w:tc>
        <w:tc>
          <w:tcPr>
            <w:tcW w:w="567" w:type="dxa"/>
            <w:shd w:val="clear" w:color="000000" w:fill="FFFFFF"/>
            <w:noWrap/>
            <w:hideMark/>
          </w:tcPr>
          <w:p w14:paraId="52A13F95" w14:textId="77777777" w:rsidR="007075D9" w:rsidRPr="004D46AC" w:rsidRDefault="007075D9" w:rsidP="002C5F6E">
            <w:pPr>
              <w:spacing w:line="240" w:lineRule="auto"/>
              <w:ind w:firstLine="0"/>
              <w:rPr>
                <w:rFonts w:eastAsia="Times New Roman"/>
                <w:color w:val="000000"/>
              </w:rPr>
            </w:pPr>
            <w:r w:rsidRPr="004D46AC">
              <w:rPr>
                <w:color w:val="000000"/>
              </w:rPr>
              <w:t>184</w:t>
            </w:r>
          </w:p>
        </w:tc>
        <w:tc>
          <w:tcPr>
            <w:tcW w:w="1559" w:type="dxa"/>
            <w:shd w:val="clear" w:color="000000" w:fill="FFFFFF"/>
            <w:noWrap/>
            <w:hideMark/>
          </w:tcPr>
          <w:p w14:paraId="0F112294" w14:textId="77777777" w:rsidR="007075D9" w:rsidRPr="004D46AC" w:rsidRDefault="007075D9" w:rsidP="002C5F6E">
            <w:pPr>
              <w:spacing w:line="240" w:lineRule="auto"/>
              <w:ind w:firstLine="0"/>
              <w:rPr>
                <w:rFonts w:eastAsia="Times New Roman"/>
                <w:color w:val="000000"/>
              </w:rPr>
            </w:pPr>
            <w:r w:rsidRPr="004D46AC">
              <w:rPr>
                <w:color w:val="000000"/>
              </w:rPr>
              <w:t>MDQ</w:t>
            </w:r>
          </w:p>
        </w:tc>
      </w:tr>
      <w:tr w:rsidR="007075D9" w:rsidRPr="004D46AC" w14:paraId="20377A41" w14:textId="77777777" w:rsidTr="00B518F1">
        <w:trPr>
          <w:trHeight w:val="600"/>
        </w:trPr>
        <w:tc>
          <w:tcPr>
            <w:tcW w:w="1312" w:type="dxa"/>
            <w:shd w:val="clear" w:color="000000" w:fill="FFFFFF"/>
            <w:noWrap/>
            <w:hideMark/>
          </w:tcPr>
          <w:p w14:paraId="7F6D2BE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1A39F01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hideMark/>
          </w:tcPr>
          <w:p w14:paraId="3BBCA4F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Flight of ideas</w:t>
            </w:r>
          </w:p>
        </w:tc>
        <w:tc>
          <w:tcPr>
            <w:tcW w:w="2268" w:type="dxa"/>
            <w:shd w:val="clear" w:color="000000" w:fill="FFFFFF"/>
            <w:noWrap/>
            <w:hideMark/>
          </w:tcPr>
          <w:p w14:paraId="4F11157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Some ideas and insights come to me so fast I cannot express them all.</w:t>
            </w:r>
          </w:p>
        </w:tc>
        <w:tc>
          <w:tcPr>
            <w:tcW w:w="567" w:type="dxa"/>
            <w:shd w:val="clear" w:color="000000" w:fill="FFFFFF"/>
            <w:noWrap/>
            <w:hideMark/>
          </w:tcPr>
          <w:p w14:paraId="5D71FEA7" w14:textId="77777777" w:rsidR="007075D9" w:rsidRPr="004D46AC" w:rsidRDefault="007075D9" w:rsidP="002C5F6E">
            <w:pPr>
              <w:spacing w:line="240" w:lineRule="auto"/>
              <w:ind w:firstLine="0"/>
              <w:rPr>
                <w:rFonts w:eastAsia="Times New Roman"/>
                <w:color w:val="000000"/>
              </w:rPr>
            </w:pPr>
            <w:r w:rsidRPr="004D46AC">
              <w:rPr>
                <w:color w:val="000000"/>
              </w:rPr>
              <w:t>185</w:t>
            </w:r>
          </w:p>
        </w:tc>
        <w:tc>
          <w:tcPr>
            <w:tcW w:w="1559" w:type="dxa"/>
            <w:shd w:val="clear" w:color="000000" w:fill="FFFFFF"/>
            <w:noWrap/>
            <w:hideMark/>
          </w:tcPr>
          <w:p w14:paraId="794326E1"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6FDAE953" w14:textId="77777777" w:rsidTr="00B518F1">
        <w:trPr>
          <w:trHeight w:val="600"/>
        </w:trPr>
        <w:tc>
          <w:tcPr>
            <w:tcW w:w="1312" w:type="dxa"/>
            <w:shd w:val="clear" w:color="000000" w:fill="FFFFFF"/>
            <w:noWrap/>
            <w:hideMark/>
          </w:tcPr>
          <w:p w14:paraId="0B59D47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1038FD0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hideMark/>
          </w:tcPr>
          <w:p w14:paraId="754FAB9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Distractibility</w:t>
            </w:r>
          </w:p>
        </w:tc>
        <w:tc>
          <w:tcPr>
            <w:tcW w:w="2268" w:type="dxa"/>
            <w:shd w:val="clear" w:color="000000" w:fill="FFFFFF"/>
            <w:noWrap/>
            <w:hideMark/>
          </w:tcPr>
          <w:p w14:paraId="0C75B21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 I am frequently in such high spirts that I can't concentrate </w:t>
            </w:r>
            <w:r w:rsidRPr="004D46AC">
              <w:rPr>
                <w:rFonts w:eastAsia="Times New Roman"/>
                <w:color w:val="000000"/>
              </w:rPr>
              <w:lastRenderedPageBreak/>
              <w:t>on any one thing for too long.</w:t>
            </w:r>
          </w:p>
        </w:tc>
        <w:tc>
          <w:tcPr>
            <w:tcW w:w="567" w:type="dxa"/>
            <w:shd w:val="clear" w:color="000000" w:fill="FFFFFF"/>
            <w:noWrap/>
            <w:hideMark/>
          </w:tcPr>
          <w:p w14:paraId="1A3E0316" w14:textId="77777777" w:rsidR="007075D9" w:rsidRPr="004D46AC" w:rsidRDefault="007075D9" w:rsidP="002C5F6E">
            <w:pPr>
              <w:spacing w:line="240" w:lineRule="auto"/>
              <w:ind w:firstLine="0"/>
              <w:rPr>
                <w:rFonts w:eastAsia="Times New Roman"/>
                <w:color w:val="000000"/>
              </w:rPr>
            </w:pPr>
            <w:r w:rsidRPr="004D46AC">
              <w:rPr>
                <w:color w:val="000000"/>
              </w:rPr>
              <w:lastRenderedPageBreak/>
              <w:t>186</w:t>
            </w:r>
          </w:p>
        </w:tc>
        <w:tc>
          <w:tcPr>
            <w:tcW w:w="1559" w:type="dxa"/>
            <w:shd w:val="clear" w:color="000000" w:fill="FFFFFF"/>
            <w:noWrap/>
            <w:hideMark/>
          </w:tcPr>
          <w:p w14:paraId="58091797" w14:textId="77777777" w:rsidR="007075D9" w:rsidRPr="004D46AC" w:rsidRDefault="007075D9" w:rsidP="002C5F6E">
            <w:pPr>
              <w:spacing w:line="240" w:lineRule="auto"/>
              <w:ind w:firstLine="0"/>
              <w:rPr>
                <w:rFonts w:eastAsia="Times New Roman"/>
                <w:color w:val="000000"/>
              </w:rPr>
            </w:pPr>
            <w:r w:rsidRPr="004D46AC">
              <w:rPr>
                <w:color w:val="000000"/>
              </w:rPr>
              <w:t>HPS</w:t>
            </w:r>
          </w:p>
        </w:tc>
      </w:tr>
      <w:tr w:rsidR="007075D9" w:rsidRPr="004D46AC" w14:paraId="42793D44" w14:textId="77777777" w:rsidTr="00B518F1">
        <w:trPr>
          <w:trHeight w:val="600"/>
        </w:trPr>
        <w:tc>
          <w:tcPr>
            <w:tcW w:w="1312" w:type="dxa"/>
            <w:shd w:val="clear" w:color="000000" w:fill="FFFFFF"/>
            <w:noWrap/>
            <w:hideMark/>
          </w:tcPr>
          <w:p w14:paraId="3C35FD7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7E491EF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hideMark/>
          </w:tcPr>
          <w:p w14:paraId="56368D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Distractibility</w:t>
            </w:r>
          </w:p>
        </w:tc>
        <w:tc>
          <w:tcPr>
            <w:tcW w:w="2268" w:type="dxa"/>
            <w:shd w:val="clear" w:color="000000" w:fill="FFFFFF"/>
            <w:noWrap/>
            <w:hideMark/>
          </w:tcPr>
          <w:p w14:paraId="05D3CDD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You were so easily distracted by things around you that you had trouble concentrating or staying on track</w:t>
            </w:r>
          </w:p>
        </w:tc>
        <w:tc>
          <w:tcPr>
            <w:tcW w:w="567" w:type="dxa"/>
            <w:shd w:val="clear" w:color="000000" w:fill="FFFFFF"/>
            <w:noWrap/>
            <w:hideMark/>
          </w:tcPr>
          <w:p w14:paraId="298CBC06" w14:textId="77777777" w:rsidR="007075D9" w:rsidRPr="004D46AC" w:rsidRDefault="007075D9" w:rsidP="002C5F6E">
            <w:pPr>
              <w:spacing w:line="240" w:lineRule="auto"/>
              <w:ind w:firstLine="0"/>
              <w:rPr>
                <w:rFonts w:eastAsia="Times New Roman"/>
                <w:color w:val="000000"/>
              </w:rPr>
            </w:pPr>
            <w:r w:rsidRPr="004D46AC">
              <w:rPr>
                <w:color w:val="000000"/>
              </w:rPr>
              <w:t>187</w:t>
            </w:r>
          </w:p>
        </w:tc>
        <w:tc>
          <w:tcPr>
            <w:tcW w:w="1559" w:type="dxa"/>
            <w:shd w:val="clear" w:color="000000" w:fill="FFFFFF"/>
            <w:noWrap/>
            <w:hideMark/>
          </w:tcPr>
          <w:p w14:paraId="171602E1" w14:textId="77777777" w:rsidR="007075D9" w:rsidRPr="004D46AC" w:rsidRDefault="007075D9" w:rsidP="002C5F6E">
            <w:pPr>
              <w:spacing w:line="240" w:lineRule="auto"/>
              <w:ind w:firstLine="0"/>
              <w:rPr>
                <w:rFonts w:eastAsia="Times New Roman"/>
                <w:color w:val="000000"/>
              </w:rPr>
            </w:pPr>
            <w:r w:rsidRPr="004D46AC">
              <w:rPr>
                <w:color w:val="000000"/>
              </w:rPr>
              <w:t>MDQ</w:t>
            </w:r>
          </w:p>
        </w:tc>
      </w:tr>
      <w:tr w:rsidR="007075D9" w:rsidRPr="004D46AC" w14:paraId="3984083C" w14:textId="77777777" w:rsidTr="00B518F1">
        <w:trPr>
          <w:trHeight w:val="600"/>
        </w:trPr>
        <w:tc>
          <w:tcPr>
            <w:tcW w:w="1312" w:type="dxa"/>
            <w:shd w:val="clear" w:color="000000" w:fill="FFFFFF"/>
            <w:noWrap/>
            <w:hideMark/>
          </w:tcPr>
          <w:p w14:paraId="4030372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Hypomania</w:t>
            </w:r>
          </w:p>
        </w:tc>
        <w:tc>
          <w:tcPr>
            <w:tcW w:w="1312" w:type="dxa"/>
            <w:shd w:val="clear" w:color="000000" w:fill="FFFFFF"/>
            <w:noWrap/>
            <w:hideMark/>
          </w:tcPr>
          <w:p w14:paraId="14C026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hideMark/>
          </w:tcPr>
          <w:p w14:paraId="2AA37EC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Distractibility</w:t>
            </w:r>
          </w:p>
        </w:tc>
        <w:tc>
          <w:tcPr>
            <w:tcW w:w="2268" w:type="dxa"/>
            <w:shd w:val="clear" w:color="000000" w:fill="FFFFFF"/>
            <w:noWrap/>
            <w:hideMark/>
          </w:tcPr>
          <w:p w14:paraId="5D42DF0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Has there been a period of several days or more when you could not keep your attention on any one thing for more than a few seconds, and you mind jumped rapidly from one thought to another or to things around you.</w:t>
            </w:r>
          </w:p>
        </w:tc>
        <w:tc>
          <w:tcPr>
            <w:tcW w:w="567" w:type="dxa"/>
            <w:shd w:val="clear" w:color="000000" w:fill="FFFFFF"/>
            <w:noWrap/>
            <w:hideMark/>
          </w:tcPr>
          <w:p w14:paraId="6973B1E3" w14:textId="77777777" w:rsidR="007075D9" w:rsidRPr="004D46AC" w:rsidRDefault="007075D9" w:rsidP="002C5F6E">
            <w:pPr>
              <w:spacing w:line="240" w:lineRule="auto"/>
              <w:ind w:firstLine="0"/>
              <w:rPr>
                <w:rFonts w:eastAsia="Times New Roman"/>
                <w:color w:val="000000"/>
              </w:rPr>
            </w:pPr>
            <w:r w:rsidRPr="004D46AC">
              <w:rPr>
                <w:color w:val="000000"/>
              </w:rPr>
              <w:t>188</w:t>
            </w:r>
          </w:p>
        </w:tc>
        <w:tc>
          <w:tcPr>
            <w:tcW w:w="1559" w:type="dxa"/>
            <w:shd w:val="clear" w:color="000000" w:fill="FFFFFF"/>
            <w:noWrap/>
            <w:hideMark/>
          </w:tcPr>
          <w:p w14:paraId="167C4C33" w14:textId="77777777" w:rsidR="007075D9" w:rsidRPr="004D46AC" w:rsidRDefault="007075D9" w:rsidP="002C5F6E">
            <w:pPr>
              <w:spacing w:line="240" w:lineRule="auto"/>
              <w:ind w:firstLine="0"/>
              <w:rPr>
                <w:rFonts w:eastAsia="Times New Roman"/>
                <w:color w:val="000000"/>
              </w:rPr>
            </w:pPr>
            <w:r w:rsidRPr="004D46AC">
              <w:rPr>
                <w:color w:val="000000"/>
              </w:rPr>
              <w:t>GBI</w:t>
            </w:r>
          </w:p>
        </w:tc>
      </w:tr>
      <w:tr w:rsidR="007075D9" w:rsidRPr="004D46AC" w14:paraId="1E17E1CE" w14:textId="77777777" w:rsidTr="00B518F1">
        <w:trPr>
          <w:trHeight w:val="600"/>
        </w:trPr>
        <w:tc>
          <w:tcPr>
            <w:tcW w:w="1312" w:type="dxa"/>
            <w:shd w:val="clear" w:color="000000" w:fill="FFFFFF"/>
            <w:noWrap/>
            <w:hideMark/>
          </w:tcPr>
          <w:p w14:paraId="193CB91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49968D2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2FB15E5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Real effort to avoid abandonment (real or imagination)</w:t>
            </w:r>
          </w:p>
        </w:tc>
        <w:tc>
          <w:tcPr>
            <w:tcW w:w="2268" w:type="dxa"/>
            <w:shd w:val="clear" w:color="000000" w:fill="FFFFFF"/>
            <w:noWrap/>
            <w:hideMark/>
          </w:tcPr>
          <w:p w14:paraId="427E102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am helpless when I'm left on my own.</w:t>
            </w:r>
          </w:p>
        </w:tc>
        <w:tc>
          <w:tcPr>
            <w:tcW w:w="567" w:type="dxa"/>
            <w:shd w:val="clear" w:color="000000" w:fill="FFFFFF"/>
            <w:noWrap/>
            <w:hideMark/>
          </w:tcPr>
          <w:p w14:paraId="793E26AB" w14:textId="77777777" w:rsidR="007075D9" w:rsidRPr="004D46AC" w:rsidRDefault="007075D9" w:rsidP="002C5F6E">
            <w:pPr>
              <w:spacing w:line="240" w:lineRule="auto"/>
              <w:ind w:firstLine="0"/>
              <w:rPr>
                <w:rFonts w:eastAsia="Times New Roman"/>
                <w:color w:val="000000"/>
              </w:rPr>
            </w:pPr>
            <w:r w:rsidRPr="004D46AC">
              <w:rPr>
                <w:color w:val="000000"/>
              </w:rPr>
              <w:t>189</w:t>
            </w:r>
          </w:p>
        </w:tc>
        <w:tc>
          <w:tcPr>
            <w:tcW w:w="1559" w:type="dxa"/>
            <w:shd w:val="clear" w:color="000000" w:fill="FFFFFF"/>
            <w:noWrap/>
            <w:hideMark/>
          </w:tcPr>
          <w:p w14:paraId="605E560C" w14:textId="77777777" w:rsidR="007075D9" w:rsidRPr="004D46AC" w:rsidRDefault="007075D9" w:rsidP="002C5F6E">
            <w:pPr>
              <w:spacing w:line="240" w:lineRule="auto"/>
              <w:ind w:firstLine="0"/>
              <w:rPr>
                <w:rFonts w:eastAsia="Times New Roman"/>
                <w:color w:val="000000"/>
              </w:rPr>
            </w:pPr>
            <w:r w:rsidRPr="004D46AC">
              <w:rPr>
                <w:color w:val="000000"/>
              </w:rPr>
              <w:t>PBQ</w:t>
            </w:r>
          </w:p>
        </w:tc>
      </w:tr>
      <w:tr w:rsidR="007075D9" w:rsidRPr="004D46AC" w14:paraId="13DC050E" w14:textId="77777777" w:rsidTr="00B518F1">
        <w:trPr>
          <w:trHeight w:val="600"/>
        </w:trPr>
        <w:tc>
          <w:tcPr>
            <w:tcW w:w="1312" w:type="dxa"/>
            <w:shd w:val="clear" w:color="000000" w:fill="FFFFFF"/>
            <w:noWrap/>
            <w:hideMark/>
          </w:tcPr>
          <w:p w14:paraId="153E4E5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1250236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276B821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Real effort to avoid abandonment (real or imagination)</w:t>
            </w:r>
          </w:p>
        </w:tc>
        <w:tc>
          <w:tcPr>
            <w:tcW w:w="2268" w:type="dxa"/>
            <w:shd w:val="clear" w:color="000000" w:fill="FFFFFF"/>
            <w:noWrap/>
            <w:hideMark/>
          </w:tcPr>
          <w:p w14:paraId="626B358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Did you in the last three months ever become desperate when you thought that someone you care about was going to abandon </w:t>
            </w:r>
            <w:proofErr w:type="gramStart"/>
            <w:r w:rsidRPr="004D46AC">
              <w:rPr>
                <w:rFonts w:eastAsia="Times New Roman"/>
                <w:color w:val="000000"/>
              </w:rPr>
              <w:t>you ?</w:t>
            </w:r>
            <w:proofErr w:type="gramEnd"/>
          </w:p>
        </w:tc>
        <w:tc>
          <w:tcPr>
            <w:tcW w:w="567" w:type="dxa"/>
            <w:shd w:val="clear" w:color="000000" w:fill="FFFFFF"/>
            <w:noWrap/>
            <w:hideMark/>
          </w:tcPr>
          <w:p w14:paraId="45F14F37" w14:textId="77777777" w:rsidR="007075D9" w:rsidRPr="004D46AC" w:rsidRDefault="007075D9" w:rsidP="002C5F6E">
            <w:pPr>
              <w:spacing w:line="240" w:lineRule="auto"/>
              <w:ind w:firstLine="0"/>
              <w:rPr>
                <w:rFonts w:eastAsia="Times New Roman"/>
                <w:color w:val="000000"/>
              </w:rPr>
            </w:pPr>
            <w:r w:rsidRPr="004D46AC">
              <w:rPr>
                <w:color w:val="000000"/>
              </w:rPr>
              <w:t>190</w:t>
            </w:r>
          </w:p>
        </w:tc>
        <w:tc>
          <w:tcPr>
            <w:tcW w:w="1559" w:type="dxa"/>
            <w:shd w:val="clear" w:color="000000" w:fill="FFFFFF"/>
            <w:noWrap/>
            <w:hideMark/>
          </w:tcPr>
          <w:p w14:paraId="5578BC48" w14:textId="77777777" w:rsidR="007075D9" w:rsidRPr="004D46AC" w:rsidRDefault="007075D9" w:rsidP="002C5F6E">
            <w:pPr>
              <w:spacing w:line="240" w:lineRule="auto"/>
              <w:ind w:firstLine="0"/>
              <w:rPr>
                <w:rFonts w:eastAsia="Times New Roman"/>
                <w:color w:val="000000"/>
              </w:rPr>
            </w:pPr>
            <w:r w:rsidRPr="004D46AC">
              <w:rPr>
                <w:color w:val="000000"/>
              </w:rPr>
              <w:t>BPDSI</w:t>
            </w:r>
          </w:p>
        </w:tc>
      </w:tr>
      <w:tr w:rsidR="007075D9" w:rsidRPr="004D46AC" w14:paraId="7E8DF74F" w14:textId="77777777" w:rsidTr="00B518F1">
        <w:trPr>
          <w:trHeight w:val="600"/>
        </w:trPr>
        <w:tc>
          <w:tcPr>
            <w:tcW w:w="1312" w:type="dxa"/>
            <w:shd w:val="clear" w:color="000000" w:fill="FFFFFF"/>
            <w:noWrap/>
            <w:hideMark/>
          </w:tcPr>
          <w:p w14:paraId="7ABA96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633E7A5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6EE92CB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Real effort to avoid abandonment (real or imagination)</w:t>
            </w:r>
          </w:p>
        </w:tc>
        <w:tc>
          <w:tcPr>
            <w:tcW w:w="2268" w:type="dxa"/>
            <w:shd w:val="clear" w:color="000000" w:fill="FFFFFF"/>
            <w:noWrap/>
            <w:hideMark/>
          </w:tcPr>
          <w:p w14:paraId="0264FD5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made desperate efforts to avoid feeling abandoned or being abandoned (e.g., repeatedly called someone to reassure yourself that he or she still cared, begged them not to leave you, clung to them physically)?</w:t>
            </w:r>
          </w:p>
        </w:tc>
        <w:tc>
          <w:tcPr>
            <w:tcW w:w="567" w:type="dxa"/>
            <w:shd w:val="clear" w:color="000000" w:fill="FFFFFF"/>
            <w:noWrap/>
            <w:hideMark/>
          </w:tcPr>
          <w:p w14:paraId="7756ACB8" w14:textId="77777777" w:rsidR="007075D9" w:rsidRPr="004D46AC" w:rsidRDefault="007075D9" w:rsidP="002C5F6E">
            <w:pPr>
              <w:spacing w:line="240" w:lineRule="auto"/>
              <w:ind w:firstLine="0"/>
              <w:rPr>
                <w:rFonts w:eastAsia="Times New Roman"/>
                <w:color w:val="000000"/>
              </w:rPr>
            </w:pPr>
            <w:r w:rsidRPr="004D46AC">
              <w:rPr>
                <w:color w:val="000000"/>
              </w:rPr>
              <w:t>191</w:t>
            </w:r>
          </w:p>
        </w:tc>
        <w:tc>
          <w:tcPr>
            <w:tcW w:w="1559" w:type="dxa"/>
            <w:shd w:val="clear" w:color="000000" w:fill="FFFFFF"/>
            <w:noWrap/>
            <w:hideMark/>
          </w:tcPr>
          <w:p w14:paraId="532CF3B3" w14:textId="77777777" w:rsidR="007075D9" w:rsidRPr="004D46AC" w:rsidRDefault="007075D9" w:rsidP="002C5F6E">
            <w:pPr>
              <w:spacing w:line="240" w:lineRule="auto"/>
              <w:ind w:firstLine="0"/>
              <w:rPr>
                <w:rFonts w:eastAsia="Times New Roman"/>
                <w:color w:val="000000"/>
              </w:rPr>
            </w:pPr>
            <w:r w:rsidRPr="004D46AC">
              <w:rPr>
                <w:color w:val="000000"/>
              </w:rPr>
              <w:t>MSI-BPD</w:t>
            </w:r>
          </w:p>
        </w:tc>
      </w:tr>
      <w:tr w:rsidR="007075D9" w:rsidRPr="004D46AC" w14:paraId="03A7C315" w14:textId="77777777" w:rsidTr="00B518F1">
        <w:trPr>
          <w:trHeight w:val="600"/>
        </w:trPr>
        <w:tc>
          <w:tcPr>
            <w:tcW w:w="1312" w:type="dxa"/>
            <w:shd w:val="clear" w:color="000000" w:fill="FFFFFF"/>
            <w:noWrap/>
            <w:hideMark/>
          </w:tcPr>
          <w:p w14:paraId="2755976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199CF32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3528D84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intense interpersonal relationship (idealisatio</w:t>
            </w:r>
            <w:r w:rsidRPr="004D46AC">
              <w:rPr>
                <w:rFonts w:eastAsia="Times New Roman"/>
                <w:color w:val="000000"/>
              </w:rPr>
              <w:lastRenderedPageBreak/>
              <w:t>n or devaluation)</w:t>
            </w:r>
          </w:p>
        </w:tc>
        <w:tc>
          <w:tcPr>
            <w:tcW w:w="2268" w:type="dxa"/>
            <w:shd w:val="clear" w:color="000000" w:fill="FFFFFF"/>
            <w:noWrap/>
            <w:hideMark/>
          </w:tcPr>
          <w:p w14:paraId="7AFD6BE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I can really like someone a lot, and then completely lose interest in them.</w:t>
            </w:r>
          </w:p>
        </w:tc>
        <w:tc>
          <w:tcPr>
            <w:tcW w:w="567" w:type="dxa"/>
            <w:shd w:val="clear" w:color="000000" w:fill="FFFFFF"/>
            <w:noWrap/>
            <w:hideMark/>
          </w:tcPr>
          <w:p w14:paraId="6721C739" w14:textId="77777777" w:rsidR="007075D9" w:rsidRPr="004D46AC" w:rsidRDefault="007075D9" w:rsidP="002C5F6E">
            <w:pPr>
              <w:spacing w:line="240" w:lineRule="auto"/>
              <w:ind w:firstLine="0"/>
              <w:rPr>
                <w:rFonts w:eastAsia="Times New Roman"/>
                <w:color w:val="000000"/>
              </w:rPr>
            </w:pPr>
            <w:r w:rsidRPr="004D46AC">
              <w:rPr>
                <w:color w:val="000000"/>
              </w:rPr>
              <w:t>192</w:t>
            </w:r>
          </w:p>
        </w:tc>
        <w:tc>
          <w:tcPr>
            <w:tcW w:w="1559" w:type="dxa"/>
            <w:shd w:val="clear" w:color="000000" w:fill="FFFFFF"/>
            <w:noWrap/>
            <w:hideMark/>
          </w:tcPr>
          <w:p w14:paraId="15E4C008" w14:textId="77777777" w:rsidR="007075D9" w:rsidRPr="004D46AC" w:rsidRDefault="007075D9" w:rsidP="002C5F6E">
            <w:pPr>
              <w:spacing w:line="240" w:lineRule="auto"/>
              <w:ind w:firstLine="0"/>
              <w:rPr>
                <w:rFonts w:eastAsia="Times New Roman"/>
                <w:color w:val="000000"/>
              </w:rPr>
            </w:pPr>
            <w:r w:rsidRPr="004D46AC">
              <w:rPr>
                <w:color w:val="000000"/>
              </w:rPr>
              <w:t>TEMPS-A</w:t>
            </w:r>
          </w:p>
        </w:tc>
      </w:tr>
      <w:tr w:rsidR="007075D9" w:rsidRPr="004D46AC" w14:paraId="4325522D" w14:textId="77777777" w:rsidTr="00B518F1">
        <w:trPr>
          <w:trHeight w:val="600"/>
        </w:trPr>
        <w:tc>
          <w:tcPr>
            <w:tcW w:w="1312" w:type="dxa"/>
            <w:shd w:val="clear" w:color="000000" w:fill="FFFFFF"/>
            <w:noWrap/>
            <w:hideMark/>
          </w:tcPr>
          <w:p w14:paraId="55F3BDB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02C2F5F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0C62092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Unstable/ intense interpersonal relationship (idealisation or devaluation)</w:t>
            </w:r>
          </w:p>
        </w:tc>
        <w:tc>
          <w:tcPr>
            <w:tcW w:w="2268" w:type="dxa"/>
            <w:shd w:val="clear" w:color="000000" w:fill="FFFFFF"/>
            <w:noWrap/>
            <w:hideMark/>
          </w:tcPr>
          <w:p w14:paraId="2806C90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Were there moments in the last three months at which you thought that your partner was everything you wanted and other moments at which you thought he/she was awful?</w:t>
            </w:r>
          </w:p>
        </w:tc>
        <w:tc>
          <w:tcPr>
            <w:tcW w:w="567" w:type="dxa"/>
            <w:shd w:val="clear" w:color="000000" w:fill="FFFFFF"/>
            <w:noWrap/>
            <w:hideMark/>
          </w:tcPr>
          <w:p w14:paraId="275B25E5" w14:textId="77777777" w:rsidR="007075D9" w:rsidRPr="004D46AC" w:rsidRDefault="007075D9" w:rsidP="002C5F6E">
            <w:pPr>
              <w:spacing w:line="240" w:lineRule="auto"/>
              <w:ind w:firstLine="0"/>
              <w:rPr>
                <w:rFonts w:eastAsia="Times New Roman"/>
                <w:color w:val="000000"/>
              </w:rPr>
            </w:pPr>
            <w:r w:rsidRPr="004D46AC">
              <w:rPr>
                <w:color w:val="000000"/>
              </w:rPr>
              <w:t>193</w:t>
            </w:r>
          </w:p>
        </w:tc>
        <w:tc>
          <w:tcPr>
            <w:tcW w:w="1559" w:type="dxa"/>
            <w:shd w:val="clear" w:color="000000" w:fill="FFFFFF"/>
            <w:noWrap/>
            <w:hideMark/>
          </w:tcPr>
          <w:p w14:paraId="6EC97F4B" w14:textId="77777777" w:rsidR="007075D9" w:rsidRPr="004D46AC" w:rsidRDefault="007075D9" w:rsidP="002C5F6E">
            <w:pPr>
              <w:spacing w:line="240" w:lineRule="auto"/>
              <w:ind w:firstLine="0"/>
              <w:rPr>
                <w:rFonts w:eastAsia="Times New Roman"/>
                <w:color w:val="000000"/>
              </w:rPr>
            </w:pPr>
            <w:r w:rsidRPr="004D46AC">
              <w:rPr>
                <w:color w:val="000000"/>
              </w:rPr>
              <w:t>BPDSI</w:t>
            </w:r>
          </w:p>
        </w:tc>
      </w:tr>
      <w:tr w:rsidR="007075D9" w:rsidRPr="004D46AC" w14:paraId="26B98639" w14:textId="77777777" w:rsidTr="00B518F1">
        <w:trPr>
          <w:trHeight w:val="600"/>
        </w:trPr>
        <w:tc>
          <w:tcPr>
            <w:tcW w:w="1312" w:type="dxa"/>
            <w:shd w:val="clear" w:color="000000" w:fill="FFFFFF"/>
            <w:noWrap/>
            <w:hideMark/>
          </w:tcPr>
          <w:p w14:paraId="09CE563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4BCDB1C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2D2AE60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Identity disturbance (unstable self-image or sense of self)</w:t>
            </w:r>
          </w:p>
        </w:tc>
        <w:tc>
          <w:tcPr>
            <w:tcW w:w="2268" w:type="dxa"/>
            <w:shd w:val="clear" w:color="000000" w:fill="FFFFFF"/>
            <w:noWrap/>
            <w:hideMark/>
          </w:tcPr>
          <w:p w14:paraId="61C8861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Were you in the last three months in diverse situations or with various people so different that you didn’t always behave as the same person and that you didn’t know anymore who you truly were? </w:t>
            </w:r>
          </w:p>
        </w:tc>
        <w:tc>
          <w:tcPr>
            <w:tcW w:w="567" w:type="dxa"/>
            <w:shd w:val="clear" w:color="000000" w:fill="FFFFFF"/>
            <w:noWrap/>
            <w:hideMark/>
          </w:tcPr>
          <w:p w14:paraId="64CD2CD8" w14:textId="77777777" w:rsidR="007075D9" w:rsidRPr="004D46AC" w:rsidRDefault="007075D9" w:rsidP="002C5F6E">
            <w:pPr>
              <w:spacing w:line="240" w:lineRule="auto"/>
              <w:ind w:firstLine="0"/>
              <w:rPr>
                <w:rFonts w:eastAsia="Times New Roman"/>
                <w:color w:val="000000"/>
              </w:rPr>
            </w:pPr>
            <w:r w:rsidRPr="004D46AC">
              <w:rPr>
                <w:color w:val="000000"/>
              </w:rPr>
              <w:t>194</w:t>
            </w:r>
          </w:p>
        </w:tc>
        <w:tc>
          <w:tcPr>
            <w:tcW w:w="1559" w:type="dxa"/>
            <w:shd w:val="clear" w:color="000000" w:fill="FFFFFF"/>
            <w:noWrap/>
            <w:hideMark/>
          </w:tcPr>
          <w:p w14:paraId="2E3E4A6A" w14:textId="77777777" w:rsidR="007075D9" w:rsidRPr="004D46AC" w:rsidRDefault="007075D9" w:rsidP="002C5F6E">
            <w:pPr>
              <w:spacing w:line="240" w:lineRule="auto"/>
              <w:ind w:firstLine="0"/>
              <w:rPr>
                <w:rFonts w:eastAsia="Times New Roman"/>
                <w:color w:val="000000"/>
              </w:rPr>
            </w:pPr>
            <w:r w:rsidRPr="004D46AC">
              <w:rPr>
                <w:color w:val="000000"/>
              </w:rPr>
              <w:t>BPDSI</w:t>
            </w:r>
          </w:p>
        </w:tc>
      </w:tr>
      <w:tr w:rsidR="007075D9" w:rsidRPr="004D46AC" w14:paraId="5968C0DF" w14:textId="77777777" w:rsidTr="00B518F1">
        <w:trPr>
          <w:trHeight w:val="600"/>
        </w:trPr>
        <w:tc>
          <w:tcPr>
            <w:tcW w:w="1312" w:type="dxa"/>
            <w:shd w:val="clear" w:color="000000" w:fill="FFFFFF"/>
            <w:noWrap/>
            <w:hideMark/>
          </w:tcPr>
          <w:p w14:paraId="365EF7A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744F64F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24E0FA0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Identity disturbance (unstable self-image or sense of self)</w:t>
            </w:r>
          </w:p>
        </w:tc>
        <w:tc>
          <w:tcPr>
            <w:tcW w:w="2268" w:type="dxa"/>
            <w:shd w:val="clear" w:color="000000" w:fill="FFFFFF"/>
            <w:noWrap/>
            <w:hideMark/>
          </w:tcPr>
          <w:p w14:paraId="65E57FB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On one day I might have one opinion of myself and on another </w:t>
            </w:r>
            <w:proofErr w:type="gramStart"/>
            <w:r w:rsidRPr="004D46AC">
              <w:rPr>
                <w:rFonts w:eastAsia="Times New Roman"/>
                <w:color w:val="000000"/>
              </w:rPr>
              <w:t>day</w:t>
            </w:r>
            <w:proofErr w:type="gramEnd"/>
            <w:r w:rsidRPr="004D46AC">
              <w:rPr>
                <w:rFonts w:eastAsia="Times New Roman"/>
                <w:color w:val="000000"/>
              </w:rPr>
              <w:t xml:space="preserve"> I might have a different opinion.</w:t>
            </w:r>
          </w:p>
        </w:tc>
        <w:tc>
          <w:tcPr>
            <w:tcW w:w="567" w:type="dxa"/>
            <w:shd w:val="clear" w:color="000000" w:fill="FFFFFF"/>
            <w:noWrap/>
            <w:hideMark/>
          </w:tcPr>
          <w:p w14:paraId="30608145" w14:textId="77777777" w:rsidR="007075D9" w:rsidRPr="004D46AC" w:rsidRDefault="007075D9" w:rsidP="002C5F6E">
            <w:pPr>
              <w:spacing w:line="240" w:lineRule="auto"/>
              <w:ind w:firstLine="0"/>
              <w:rPr>
                <w:rFonts w:eastAsia="Times New Roman"/>
                <w:color w:val="000000"/>
              </w:rPr>
            </w:pPr>
            <w:r w:rsidRPr="004D46AC">
              <w:rPr>
                <w:color w:val="000000"/>
              </w:rPr>
              <w:t>195</w:t>
            </w:r>
          </w:p>
        </w:tc>
        <w:tc>
          <w:tcPr>
            <w:tcW w:w="1559" w:type="dxa"/>
            <w:shd w:val="clear" w:color="000000" w:fill="FFFFFF"/>
            <w:noWrap/>
            <w:hideMark/>
          </w:tcPr>
          <w:p w14:paraId="014BF0FD" w14:textId="77777777" w:rsidR="007075D9" w:rsidRPr="004D46AC" w:rsidRDefault="007075D9" w:rsidP="002C5F6E">
            <w:pPr>
              <w:spacing w:line="240" w:lineRule="auto"/>
              <w:ind w:firstLine="0"/>
              <w:rPr>
                <w:rFonts w:eastAsia="Times New Roman"/>
                <w:color w:val="000000"/>
              </w:rPr>
            </w:pPr>
            <w:r w:rsidRPr="004D46AC">
              <w:rPr>
                <w:color w:val="000000"/>
              </w:rPr>
              <w:t>SCS</w:t>
            </w:r>
          </w:p>
        </w:tc>
      </w:tr>
      <w:tr w:rsidR="007075D9" w:rsidRPr="004D46AC" w14:paraId="614EC20D" w14:textId="77777777" w:rsidTr="00B518F1">
        <w:trPr>
          <w:trHeight w:val="600"/>
        </w:trPr>
        <w:tc>
          <w:tcPr>
            <w:tcW w:w="1312" w:type="dxa"/>
            <w:shd w:val="clear" w:color="000000" w:fill="FFFFFF"/>
            <w:noWrap/>
            <w:hideMark/>
          </w:tcPr>
          <w:p w14:paraId="22BC163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24ADDE5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3D3710E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Identity disturbance (unstable self-image or sense of self)</w:t>
            </w:r>
          </w:p>
        </w:tc>
        <w:tc>
          <w:tcPr>
            <w:tcW w:w="2268" w:type="dxa"/>
            <w:shd w:val="clear" w:color="000000" w:fill="FFFFFF"/>
            <w:noWrap/>
            <w:hideMark/>
          </w:tcPr>
          <w:p w14:paraId="048F9C2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often felt that you had no idea of who you are or that you have no identity? </w:t>
            </w:r>
          </w:p>
        </w:tc>
        <w:tc>
          <w:tcPr>
            <w:tcW w:w="567" w:type="dxa"/>
            <w:shd w:val="clear" w:color="000000" w:fill="FFFFFF"/>
            <w:noWrap/>
            <w:hideMark/>
          </w:tcPr>
          <w:p w14:paraId="1467174F" w14:textId="77777777" w:rsidR="007075D9" w:rsidRPr="004D46AC" w:rsidRDefault="007075D9" w:rsidP="002C5F6E">
            <w:pPr>
              <w:spacing w:line="240" w:lineRule="auto"/>
              <w:ind w:firstLine="0"/>
              <w:rPr>
                <w:rFonts w:eastAsia="Times New Roman"/>
                <w:color w:val="000000"/>
              </w:rPr>
            </w:pPr>
            <w:r w:rsidRPr="004D46AC">
              <w:rPr>
                <w:color w:val="000000"/>
              </w:rPr>
              <w:t>196</w:t>
            </w:r>
          </w:p>
        </w:tc>
        <w:tc>
          <w:tcPr>
            <w:tcW w:w="1559" w:type="dxa"/>
            <w:shd w:val="clear" w:color="000000" w:fill="FFFFFF"/>
            <w:noWrap/>
            <w:hideMark/>
          </w:tcPr>
          <w:p w14:paraId="51F5E493" w14:textId="77777777" w:rsidR="007075D9" w:rsidRPr="004D46AC" w:rsidRDefault="007075D9" w:rsidP="002C5F6E">
            <w:pPr>
              <w:spacing w:line="240" w:lineRule="auto"/>
              <w:ind w:firstLine="0"/>
              <w:rPr>
                <w:rFonts w:eastAsia="Times New Roman"/>
                <w:color w:val="000000"/>
              </w:rPr>
            </w:pPr>
            <w:r w:rsidRPr="004D46AC">
              <w:rPr>
                <w:color w:val="000000"/>
              </w:rPr>
              <w:t>MSI-BPD</w:t>
            </w:r>
          </w:p>
        </w:tc>
      </w:tr>
      <w:tr w:rsidR="007075D9" w:rsidRPr="004D46AC" w14:paraId="5317FF8B" w14:textId="77777777" w:rsidTr="00B518F1">
        <w:trPr>
          <w:trHeight w:val="600"/>
        </w:trPr>
        <w:tc>
          <w:tcPr>
            <w:tcW w:w="1312" w:type="dxa"/>
            <w:shd w:val="clear" w:color="000000" w:fill="FFFFFF"/>
            <w:noWrap/>
            <w:hideMark/>
          </w:tcPr>
          <w:p w14:paraId="2577671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70BA5BD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3862C87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Impulsivity in at least 2 areas that are potentially self-damaging (not include </w:t>
            </w:r>
            <w:proofErr w:type="spellStart"/>
            <w:r w:rsidRPr="004D46AC">
              <w:rPr>
                <w:rFonts w:eastAsia="Times New Roman"/>
                <w:color w:val="000000"/>
              </w:rPr>
              <w:t>self harm</w:t>
            </w:r>
            <w:proofErr w:type="spellEnd"/>
            <w:r w:rsidRPr="004D46AC">
              <w:rPr>
                <w:rFonts w:eastAsia="Times New Roman"/>
                <w:color w:val="000000"/>
              </w:rPr>
              <w:t xml:space="preserve"> or suicidal behaviour) </w:t>
            </w:r>
          </w:p>
        </w:tc>
        <w:tc>
          <w:tcPr>
            <w:tcW w:w="2268" w:type="dxa"/>
            <w:shd w:val="clear" w:color="000000" w:fill="FFFFFF"/>
            <w:noWrap/>
            <w:hideMark/>
          </w:tcPr>
          <w:p w14:paraId="40B2147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take more risks in my daily life, work, or other activities*</w:t>
            </w:r>
          </w:p>
        </w:tc>
        <w:tc>
          <w:tcPr>
            <w:tcW w:w="567" w:type="dxa"/>
            <w:shd w:val="clear" w:color="000000" w:fill="FFFFFF"/>
            <w:noWrap/>
            <w:hideMark/>
          </w:tcPr>
          <w:p w14:paraId="0AC8D847" w14:textId="77777777" w:rsidR="007075D9" w:rsidRPr="004D46AC" w:rsidRDefault="007075D9" w:rsidP="002C5F6E">
            <w:pPr>
              <w:spacing w:line="240" w:lineRule="auto"/>
              <w:ind w:firstLine="0"/>
              <w:rPr>
                <w:rFonts w:eastAsia="Times New Roman"/>
                <w:color w:val="000000"/>
              </w:rPr>
            </w:pPr>
            <w:r w:rsidRPr="004D46AC">
              <w:rPr>
                <w:color w:val="000000"/>
              </w:rPr>
              <w:t>197</w:t>
            </w:r>
          </w:p>
        </w:tc>
        <w:tc>
          <w:tcPr>
            <w:tcW w:w="1559" w:type="dxa"/>
            <w:shd w:val="clear" w:color="000000" w:fill="FFFFFF"/>
            <w:noWrap/>
            <w:hideMark/>
          </w:tcPr>
          <w:p w14:paraId="561DDF9A" w14:textId="77777777" w:rsidR="007075D9" w:rsidRPr="004D46AC" w:rsidRDefault="007075D9" w:rsidP="002C5F6E">
            <w:pPr>
              <w:spacing w:line="240" w:lineRule="auto"/>
              <w:ind w:firstLine="0"/>
              <w:rPr>
                <w:rFonts w:eastAsia="Times New Roman"/>
                <w:color w:val="000000"/>
              </w:rPr>
            </w:pPr>
            <w:r w:rsidRPr="004D46AC">
              <w:rPr>
                <w:color w:val="000000"/>
              </w:rPr>
              <w:t>HCL-32</w:t>
            </w:r>
          </w:p>
        </w:tc>
      </w:tr>
      <w:tr w:rsidR="007075D9" w:rsidRPr="004D46AC" w14:paraId="66C506BE" w14:textId="77777777" w:rsidTr="00B518F1">
        <w:trPr>
          <w:trHeight w:val="600"/>
        </w:trPr>
        <w:tc>
          <w:tcPr>
            <w:tcW w:w="1312" w:type="dxa"/>
            <w:shd w:val="clear" w:color="000000" w:fill="FFFFFF"/>
            <w:noWrap/>
            <w:hideMark/>
          </w:tcPr>
          <w:p w14:paraId="5AB3673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2F8B7C2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1526AF7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Impulsivity in at least 2 areas that are potentially self-damaging </w:t>
            </w:r>
            <w:r w:rsidRPr="004D46AC">
              <w:rPr>
                <w:rFonts w:eastAsia="Times New Roman"/>
                <w:color w:val="000000"/>
              </w:rPr>
              <w:lastRenderedPageBreak/>
              <w:t xml:space="preserve">(not include </w:t>
            </w:r>
            <w:proofErr w:type="spellStart"/>
            <w:r w:rsidRPr="004D46AC">
              <w:rPr>
                <w:rFonts w:eastAsia="Times New Roman"/>
                <w:color w:val="000000"/>
              </w:rPr>
              <w:t>self harm</w:t>
            </w:r>
            <w:proofErr w:type="spellEnd"/>
            <w:r w:rsidRPr="004D46AC">
              <w:rPr>
                <w:rFonts w:eastAsia="Times New Roman"/>
                <w:color w:val="000000"/>
              </w:rPr>
              <w:t xml:space="preserve"> or suicidal behaviour) </w:t>
            </w:r>
          </w:p>
        </w:tc>
        <w:tc>
          <w:tcPr>
            <w:tcW w:w="2268" w:type="dxa"/>
            <w:shd w:val="clear" w:color="000000" w:fill="FFFFFF"/>
            <w:noWrap/>
            <w:hideMark/>
          </w:tcPr>
          <w:p w14:paraId="08267D7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 xml:space="preserve"> Have you had at least two other problems with impulsivity (e.g. Eating binges and spending sprees, drinking too much </w:t>
            </w:r>
            <w:r w:rsidRPr="004D46AC">
              <w:rPr>
                <w:rFonts w:eastAsia="Times New Roman"/>
                <w:color w:val="000000"/>
              </w:rPr>
              <w:lastRenderedPageBreak/>
              <w:t>and verbal outbursts)?</w:t>
            </w:r>
          </w:p>
        </w:tc>
        <w:tc>
          <w:tcPr>
            <w:tcW w:w="567" w:type="dxa"/>
            <w:shd w:val="clear" w:color="000000" w:fill="FFFFFF"/>
            <w:noWrap/>
            <w:hideMark/>
          </w:tcPr>
          <w:p w14:paraId="47A8F7A8" w14:textId="77777777" w:rsidR="007075D9" w:rsidRPr="004D46AC" w:rsidRDefault="007075D9" w:rsidP="002C5F6E">
            <w:pPr>
              <w:spacing w:line="240" w:lineRule="auto"/>
              <w:ind w:firstLine="0"/>
              <w:rPr>
                <w:rFonts w:eastAsia="Times New Roman"/>
                <w:color w:val="000000"/>
              </w:rPr>
            </w:pPr>
            <w:r w:rsidRPr="004D46AC">
              <w:rPr>
                <w:color w:val="000000"/>
              </w:rPr>
              <w:lastRenderedPageBreak/>
              <w:t>198</w:t>
            </w:r>
          </w:p>
        </w:tc>
        <w:tc>
          <w:tcPr>
            <w:tcW w:w="1559" w:type="dxa"/>
            <w:shd w:val="clear" w:color="000000" w:fill="FFFFFF"/>
            <w:noWrap/>
            <w:hideMark/>
          </w:tcPr>
          <w:p w14:paraId="3831BA4E" w14:textId="77777777" w:rsidR="007075D9" w:rsidRPr="004D46AC" w:rsidRDefault="007075D9" w:rsidP="002C5F6E">
            <w:pPr>
              <w:spacing w:line="240" w:lineRule="auto"/>
              <w:ind w:firstLine="0"/>
              <w:rPr>
                <w:rFonts w:eastAsia="Times New Roman"/>
                <w:color w:val="000000"/>
              </w:rPr>
            </w:pPr>
            <w:r w:rsidRPr="004D46AC">
              <w:rPr>
                <w:color w:val="000000"/>
              </w:rPr>
              <w:t>MSI-BPD</w:t>
            </w:r>
          </w:p>
        </w:tc>
      </w:tr>
      <w:tr w:rsidR="007075D9" w:rsidRPr="004D46AC" w14:paraId="7A1099FA" w14:textId="77777777" w:rsidTr="00B518F1">
        <w:trPr>
          <w:trHeight w:val="600"/>
        </w:trPr>
        <w:tc>
          <w:tcPr>
            <w:tcW w:w="1312" w:type="dxa"/>
            <w:shd w:val="clear" w:color="000000" w:fill="FFFFFF"/>
            <w:noWrap/>
            <w:hideMark/>
          </w:tcPr>
          <w:p w14:paraId="2FA0A10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404D987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7BDF567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Impulsivity in at least 2 areas that are potentially self-damaging (not include </w:t>
            </w:r>
            <w:proofErr w:type="spellStart"/>
            <w:r w:rsidRPr="004D46AC">
              <w:rPr>
                <w:rFonts w:eastAsia="Times New Roman"/>
                <w:color w:val="000000"/>
              </w:rPr>
              <w:t>self harm</w:t>
            </w:r>
            <w:proofErr w:type="spellEnd"/>
            <w:r w:rsidRPr="004D46AC">
              <w:rPr>
                <w:rFonts w:eastAsia="Times New Roman"/>
                <w:color w:val="000000"/>
              </w:rPr>
              <w:t xml:space="preserve"> or suicidal behaviour) </w:t>
            </w:r>
          </w:p>
        </w:tc>
        <w:tc>
          <w:tcPr>
            <w:tcW w:w="2268" w:type="dxa"/>
            <w:shd w:val="clear" w:color="000000" w:fill="FFFFFF"/>
            <w:noWrap/>
            <w:hideMark/>
          </w:tcPr>
          <w:p w14:paraId="4205CEE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How often in the last three months did you irresponsibly spend money and/or spend more money than you </w:t>
            </w:r>
            <w:proofErr w:type="gramStart"/>
            <w:r w:rsidRPr="004D46AC">
              <w:rPr>
                <w:rFonts w:eastAsia="Times New Roman"/>
                <w:color w:val="000000"/>
              </w:rPr>
              <w:t>actually can</w:t>
            </w:r>
            <w:proofErr w:type="gramEnd"/>
            <w:r w:rsidRPr="004D46AC">
              <w:rPr>
                <w:rFonts w:eastAsia="Times New Roman"/>
                <w:color w:val="000000"/>
              </w:rPr>
              <w:t xml:space="preserve"> spend? (e.g. Gambling, impulsive buying, making many and long phone calls)</w:t>
            </w:r>
          </w:p>
        </w:tc>
        <w:tc>
          <w:tcPr>
            <w:tcW w:w="567" w:type="dxa"/>
            <w:shd w:val="clear" w:color="000000" w:fill="FFFFFF"/>
            <w:noWrap/>
            <w:hideMark/>
          </w:tcPr>
          <w:p w14:paraId="73DF577F" w14:textId="77777777" w:rsidR="007075D9" w:rsidRPr="004D46AC" w:rsidRDefault="007075D9" w:rsidP="002C5F6E">
            <w:pPr>
              <w:spacing w:line="240" w:lineRule="auto"/>
              <w:ind w:firstLine="0"/>
              <w:rPr>
                <w:rFonts w:eastAsia="Times New Roman"/>
                <w:color w:val="000000"/>
              </w:rPr>
            </w:pPr>
            <w:r w:rsidRPr="004D46AC">
              <w:rPr>
                <w:color w:val="000000"/>
              </w:rPr>
              <w:t>199</w:t>
            </w:r>
          </w:p>
        </w:tc>
        <w:tc>
          <w:tcPr>
            <w:tcW w:w="1559" w:type="dxa"/>
            <w:shd w:val="clear" w:color="000000" w:fill="FFFFFF"/>
            <w:noWrap/>
            <w:hideMark/>
          </w:tcPr>
          <w:p w14:paraId="5A2C8C56" w14:textId="77777777" w:rsidR="007075D9" w:rsidRPr="004D46AC" w:rsidRDefault="007075D9" w:rsidP="002C5F6E">
            <w:pPr>
              <w:spacing w:line="240" w:lineRule="auto"/>
              <w:ind w:firstLine="0"/>
              <w:rPr>
                <w:rFonts w:eastAsia="Times New Roman"/>
                <w:color w:val="000000"/>
              </w:rPr>
            </w:pPr>
            <w:r w:rsidRPr="004D46AC">
              <w:rPr>
                <w:color w:val="000000"/>
              </w:rPr>
              <w:t>BPDSI</w:t>
            </w:r>
          </w:p>
        </w:tc>
      </w:tr>
      <w:tr w:rsidR="007075D9" w:rsidRPr="004D46AC" w14:paraId="7BA6A017" w14:textId="77777777" w:rsidTr="00B518F1">
        <w:trPr>
          <w:trHeight w:val="600"/>
        </w:trPr>
        <w:tc>
          <w:tcPr>
            <w:tcW w:w="1312" w:type="dxa"/>
            <w:shd w:val="clear" w:color="000000" w:fill="FFFFFF"/>
            <w:noWrap/>
            <w:hideMark/>
          </w:tcPr>
          <w:p w14:paraId="69F00AB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38D936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0001233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Recurrent suicidal behaviour, gestures, or threats, or self-mutilating behaviour</w:t>
            </w:r>
          </w:p>
        </w:tc>
        <w:tc>
          <w:tcPr>
            <w:tcW w:w="2268" w:type="dxa"/>
            <w:shd w:val="clear" w:color="000000" w:fill="FFFFFF"/>
            <w:noWrap/>
            <w:hideMark/>
          </w:tcPr>
          <w:p w14:paraId="46AFA80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ever thought about or attempted to kill yourself?</w:t>
            </w:r>
          </w:p>
        </w:tc>
        <w:tc>
          <w:tcPr>
            <w:tcW w:w="567" w:type="dxa"/>
            <w:shd w:val="clear" w:color="000000" w:fill="FFFFFF"/>
            <w:noWrap/>
            <w:hideMark/>
          </w:tcPr>
          <w:p w14:paraId="5BCEDCBB" w14:textId="77777777" w:rsidR="007075D9" w:rsidRPr="004D46AC" w:rsidRDefault="007075D9" w:rsidP="002C5F6E">
            <w:pPr>
              <w:spacing w:line="240" w:lineRule="auto"/>
              <w:ind w:firstLine="0"/>
              <w:rPr>
                <w:rFonts w:eastAsia="Times New Roman"/>
                <w:color w:val="000000"/>
              </w:rPr>
            </w:pPr>
            <w:r w:rsidRPr="004D46AC">
              <w:rPr>
                <w:color w:val="000000"/>
              </w:rPr>
              <w:t>200</w:t>
            </w:r>
          </w:p>
        </w:tc>
        <w:tc>
          <w:tcPr>
            <w:tcW w:w="1559" w:type="dxa"/>
            <w:shd w:val="clear" w:color="000000" w:fill="FFFFFF"/>
            <w:noWrap/>
            <w:hideMark/>
          </w:tcPr>
          <w:p w14:paraId="29F6C9C0" w14:textId="77777777" w:rsidR="007075D9" w:rsidRPr="004D46AC" w:rsidRDefault="007075D9" w:rsidP="002C5F6E">
            <w:pPr>
              <w:spacing w:line="240" w:lineRule="auto"/>
              <w:ind w:firstLine="0"/>
              <w:rPr>
                <w:rFonts w:eastAsia="Times New Roman"/>
                <w:color w:val="000000"/>
              </w:rPr>
            </w:pPr>
            <w:r w:rsidRPr="004D46AC">
              <w:rPr>
                <w:color w:val="000000"/>
              </w:rPr>
              <w:t>SBQ-R</w:t>
            </w:r>
          </w:p>
        </w:tc>
      </w:tr>
      <w:tr w:rsidR="007075D9" w:rsidRPr="004D46AC" w14:paraId="5F06454B" w14:textId="77777777" w:rsidTr="00B518F1">
        <w:trPr>
          <w:trHeight w:val="600"/>
        </w:trPr>
        <w:tc>
          <w:tcPr>
            <w:tcW w:w="1312" w:type="dxa"/>
            <w:shd w:val="clear" w:color="000000" w:fill="FFFFFF"/>
            <w:noWrap/>
            <w:hideMark/>
          </w:tcPr>
          <w:p w14:paraId="42588E4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5A57712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679C5E1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Recurrent suicidal behaviour, gestures, or threats, or self-mutilating behaviour</w:t>
            </w:r>
          </w:p>
        </w:tc>
        <w:tc>
          <w:tcPr>
            <w:tcW w:w="2268" w:type="dxa"/>
            <w:shd w:val="clear" w:color="000000" w:fill="FFFFFF"/>
            <w:hideMark/>
          </w:tcPr>
          <w:p w14:paraId="74D3C89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thought of hurting myself/ I want to punish myself</w:t>
            </w:r>
          </w:p>
        </w:tc>
        <w:tc>
          <w:tcPr>
            <w:tcW w:w="567" w:type="dxa"/>
            <w:shd w:val="clear" w:color="000000" w:fill="FFFFFF"/>
            <w:noWrap/>
            <w:hideMark/>
          </w:tcPr>
          <w:p w14:paraId="7BC42AD0" w14:textId="77777777" w:rsidR="007075D9" w:rsidRPr="004D46AC" w:rsidRDefault="007075D9" w:rsidP="002C5F6E">
            <w:pPr>
              <w:spacing w:line="240" w:lineRule="auto"/>
              <w:ind w:firstLine="0"/>
              <w:rPr>
                <w:rFonts w:eastAsia="Times New Roman"/>
                <w:color w:val="000000"/>
              </w:rPr>
            </w:pPr>
            <w:r w:rsidRPr="004D46AC">
              <w:rPr>
                <w:color w:val="000000"/>
              </w:rPr>
              <w:t>201</w:t>
            </w:r>
          </w:p>
        </w:tc>
        <w:tc>
          <w:tcPr>
            <w:tcW w:w="1559" w:type="dxa"/>
            <w:shd w:val="clear" w:color="000000" w:fill="FFFFFF"/>
            <w:noWrap/>
            <w:hideMark/>
          </w:tcPr>
          <w:p w14:paraId="2FAB7077" w14:textId="77777777" w:rsidR="007075D9" w:rsidRPr="004D46AC" w:rsidRDefault="007075D9" w:rsidP="002C5F6E">
            <w:pPr>
              <w:spacing w:line="240" w:lineRule="auto"/>
              <w:ind w:firstLine="0"/>
              <w:rPr>
                <w:rFonts w:eastAsia="Times New Roman"/>
                <w:color w:val="000000"/>
              </w:rPr>
            </w:pPr>
            <w:r w:rsidRPr="004D46AC">
              <w:rPr>
                <w:color w:val="000000"/>
              </w:rPr>
              <w:t>BSL-23</w:t>
            </w:r>
          </w:p>
        </w:tc>
      </w:tr>
      <w:tr w:rsidR="007075D9" w:rsidRPr="004D46AC" w14:paraId="1905742C" w14:textId="77777777" w:rsidTr="00B518F1">
        <w:trPr>
          <w:trHeight w:val="600"/>
        </w:trPr>
        <w:tc>
          <w:tcPr>
            <w:tcW w:w="1312" w:type="dxa"/>
            <w:shd w:val="clear" w:color="000000" w:fill="FFFFFF"/>
            <w:noWrap/>
            <w:hideMark/>
          </w:tcPr>
          <w:p w14:paraId="0E9D33B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3FD5319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70DD613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Recurrent suicidal behaviour, gestures, or threats, or self-mutilating behaviour</w:t>
            </w:r>
          </w:p>
        </w:tc>
        <w:tc>
          <w:tcPr>
            <w:tcW w:w="2268" w:type="dxa"/>
            <w:shd w:val="clear" w:color="000000" w:fill="FFFFFF"/>
            <w:noWrap/>
            <w:hideMark/>
          </w:tcPr>
          <w:p w14:paraId="77E6C375"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deliberately hurt yourself physically (e.g. Punched yourself, cut yourself, burned yourself)? How about made a suicide attempt?</w:t>
            </w:r>
          </w:p>
        </w:tc>
        <w:tc>
          <w:tcPr>
            <w:tcW w:w="567" w:type="dxa"/>
            <w:shd w:val="clear" w:color="000000" w:fill="FFFFFF"/>
            <w:noWrap/>
            <w:hideMark/>
          </w:tcPr>
          <w:p w14:paraId="6AE548ED" w14:textId="77777777" w:rsidR="007075D9" w:rsidRPr="004D46AC" w:rsidRDefault="007075D9" w:rsidP="002C5F6E">
            <w:pPr>
              <w:spacing w:line="240" w:lineRule="auto"/>
              <w:ind w:firstLine="0"/>
              <w:rPr>
                <w:rFonts w:eastAsia="Times New Roman"/>
                <w:color w:val="000000"/>
              </w:rPr>
            </w:pPr>
            <w:r w:rsidRPr="004D46AC">
              <w:rPr>
                <w:color w:val="000000"/>
              </w:rPr>
              <w:t>202</w:t>
            </w:r>
          </w:p>
        </w:tc>
        <w:tc>
          <w:tcPr>
            <w:tcW w:w="1559" w:type="dxa"/>
            <w:shd w:val="clear" w:color="000000" w:fill="FFFFFF"/>
            <w:noWrap/>
            <w:hideMark/>
          </w:tcPr>
          <w:p w14:paraId="792B9BD0" w14:textId="77777777" w:rsidR="007075D9" w:rsidRPr="004D46AC" w:rsidRDefault="007075D9" w:rsidP="002C5F6E">
            <w:pPr>
              <w:spacing w:line="240" w:lineRule="auto"/>
              <w:ind w:firstLine="0"/>
              <w:rPr>
                <w:rFonts w:eastAsia="Times New Roman"/>
                <w:color w:val="000000"/>
              </w:rPr>
            </w:pPr>
            <w:r w:rsidRPr="004D46AC">
              <w:rPr>
                <w:color w:val="000000"/>
              </w:rPr>
              <w:t>MSI-BPD</w:t>
            </w:r>
          </w:p>
        </w:tc>
      </w:tr>
      <w:tr w:rsidR="007075D9" w:rsidRPr="004D46AC" w14:paraId="0F15EC97" w14:textId="77777777" w:rsidTr="00B518F1">
        <w:trPr>
          <w:trHeight w:val="600"/>
        </w:trPr>
        <w:tc>
          <w:tcPr>
            <w:tcW w:w="1312" w:type="dxa"/>
            <w:shd w:val="clear" w:color="000000" w:fill="FFFFFF"/>
            <w:noWrap/>
            <w:hideMark/>
          </w:tcPr>
          <w:p w14:paraId="01468E5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0ACF1E4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46C8997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Affective instability due to a marked reactivity of mood-intense feelings that can last from a few hours </w:t>
            </w:r>
            <w:r w:rsidRPr="004D46AC">
              <w:rPr>
                <w:rFonts w:eastAsia="Times New Roman"/>
                <w:color w:val="000000"/>
              </w:rPr>
              <w:lastRenderedPageBreak/>
              <w:t>to a few days</w:t>
            </w:r>
          </w:p>
        </w:tc>
        <w:tc>
          <w:tcPr>
            <w:tcW w:w="2268" w:type="dxa"/>
            <w:shd w:val="clear" w:color="000000" w:fill="FFFFFF"/>
            <w:noWrap/>
            <w:hideMark/>
          </w:tcPr>
          <w:p w14:paraId="18B4B7F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My mood rapidly cycled in terms of anxiety, anger, and depression</w:t>
            </w:r>
          </w:p>
        </w:tc>
        <w:tc>
          <w:tcPr>
            <w:tcW w:w="567" w:type="dxa"/>
            <w:shd w:val="clear" w:color="000000" w:fill="FFFFFF"/>
            <w:noWrap/>
            <w:hideMark/>
          </w:tcPr>
          <w:p w14:paraId="6801A02B" w14:textId="77777777" w:rsidR="007075D9" w:rsidRPr="004D46AC" w:rsidRDefault="007075D9" w:rsidP="002C5F6E">
            <w:pPr>
              <w:spacing w:line="240" w:lineRule="auto"/>
              <w:ind w:firstLine="0"/>
              <w:rPr>
                <w:rFonts w:eastAsia="Times New Roman"/>
                <w:color w:val="000000"/>
              </w:rPr>
            </w:pPr>
            <w:r w:rsidRPr="004D46AC">
              <w:rPr>
                <w:color w:val="000000"/>
              </w:rPr>
              <w:t>203</w:t>
            </w:r>
          </w:p>
        </w:tc>
        <w:tc>
          <w:tcPr>
            <w:tcW w:w="1559" w:type="dxa"/>
            <w:shd w:val="clear" w:color="000000" w:fill="FFFFFF"/>
            <w:noWrap/>
            <w:hideMark/>
          </w:tcPr>
          <w:p w14:paraId="216A88FC" w14:textId="77777777" w:rsidR="007075D9" w:rsidRPr="004D46AC" w:rsidRDefault="007075D9" w:rsidP="002C5F6E">
            <w:pPr>
              <w:spacing w:line="240" w:lineRule="auto"/>
              <w:ind w:firstLine="0"/>
              <w:rPr>
                <w:rFonts w:eastAsia="Times New Roman"/>
                <w:color w:val="000000"/>
              </w:rPr>
            </w:pPr>
            <w:r w:rsidRPr="004D46AC">
              <w:rPr>
                <w:color w:val="000000"/>
              </w:rPr>
              <w:t>BSL-23</w:t>
            </w:r>
          </w:p>
        </w:tc>
      </w:tr>
      <w:tr w:rsidR="007075D9" w:rsidRPr="004D46AC" w14:paraId="61A395FA" w14:textId="77777777" w:rsidTr="00B518F1">
        <w:trPr>
          <w:trHeight w:val="600"/>
        </w:trPr>
        <w:tc>
          <w:tcPr>
            <w:tcW w:w="1312" w:type="dxa"/>
            <w:shd w:val="clear" w:color="000000" w:fill="FFFFFF"/>
            <w:noWrap/>
            <w:hideMark/>
          </w:tcPr>
          <w:p w14:paraId="57220371"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4EEAF4C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26BDFB6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Affective instability due to a marked reactivity of mood-intense feelings that can last from a few hours to a few days</w:t>
            </w:r>
          </w:p>
        </w:tc>
        <w:tc>
          <w:tcPr>
            <w:tcW w:w="2268" w:type="dxa"/>
            <w:shd w:val="clear" w:color="000000" w:fill="FFFFFF"/>
            <w:noWrap/>
            <w:hideMark/>
          </w:tcPr>
          <w:p w14:paraId="6163126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When something bad happens, my mood changes very quickly. People tell me I have a very short fuse.</w:t>
            </w:r>
          </w:p>
        </w:tc>
        <w:tc>
          <w:tcPr>
            <w:tcW w:w="567" w:type="dxa"/>
            <w:shd w:val="clear" w:color="000000" w:fill="FFFFFF"/>
            <w:noWrap/>
            <w:hideMark/>
          </w:tcPr>
          <w:p w14:paraId="30C523A0" w14:textId="77777777" w:rsidR="007075D9" w:rsidRPr="004D46AC" w:rsidRDefault="007075D9" w:rsidP="002C5F6E">
            <w:pPr>
              <w:spacing w:line="240" w:lineRule="auto"/>
              <w:ind w:firstLine="0"/>
              <w:rPr>
                <w:rFonts w:eastAsia="Times New Roman"/>
                <w:color w:val="000000"/>
              </w:rPr>
            </w:pPr>
            <w:r w:rsidRPr="004D46AC">
              <w:rPr>
                <w:color w:val="000000"/>
              </w:rPr>
              <w:t>204</w:t>
            </w:r>
          </w:p>
        </w:tc>
        <w:tc>
          <w:tcPr>
            <w:tcW w:w="1559" w:type="dxa"/>
            <w:shd w:val="clear" w:color="000000" w:fill="FFFFFF"/>
            <w:noWrap/>
            <w:hideMark/>
          </w:tcPr>
          <w:p w14:paraId="15F48BCB" w14:textId="77777777" w:rsidR="007075D9" w:rsidRPr="004D46AC" w:rsidRDefault="007075D9" w:rsidP="002C5F6E">
            <w:pPr>
              <w:spacing w:line="240" w:lineRule="auto"/>
              <w:ind w:firstLine="0"/>
              <w:rPr>
                <w:rFonts w:eastAsia="Times New Roman"/>
                <w:color w:val="000000"/>
              </w:rPr>
            </w:pPr>
            <w:r w:rsidRPr="004D46AC">
              <w:rPr>
                <w:color w:val="000000"/>
              </w:rPr>
              <w:t>ERS</w:t>
            </w:r>
          </w:p>
        </w:tc>
      </w:tr>
      <w:tr w:rsidR="007075D9" w:rsidRPr="004D46AC" w14:paraId="56F3718A" w14:textId="77777777" w:rsidTr="00B518F1">
        <w:trPr>
          <w:trHeight w:val="600"/>
        </w:trPr>
        <w:tc>
          <w:tcPr>
            <w:tcW w:w="1312" w:type="dxa"/>
            <w:shd w:val="clear" w:color="000000" w:fill="FFFFFF"/>
            <w:noWrap/>
            <w:hideMark/>
          </w:tcPr>
          <w:p w14:paraId="5BBD909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12615CA8"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3C2C646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Affective instability due to a marked reactivity of mood-intense feelings that can last from a few hours to a few days</w:t>
            </w:r>
          </w:p>
        </w:tc>
        <w:tc>
          <w:tcPr>
            <w:tcW w:w="2268" w:type="dxa"/>
            <w:shd w:val="clear" w:color="000000" w:fill="FFFFFF"/>
            <w:noWrap/>
            <w:hideMark/>
          </w:tcPr>
          <w:p w14:paraId="0E14DFA6"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Unpleasant feelings will escalate and get out of control. </w:t>
            </w:r>
          </w:p>
        </w:tc>
        <w:tc>
          <w:tcPr>
            <w:tcW w:w="567" w:type="dxa"/>
            <w:shd w:val="clear" w:color="000000" w:fill="FFFFFF"/>
            <w:noWrap/>
            <w:hideMark/>
          </w:tcPr>
          <w:p w14:paraId="51D48C11" w14:textId="77777777" w:rsidR="007075D9" w:rsidRPr="004D46AC" w:rsidRDefault="007075D9" w:rsidP="002C5F6E">
            <w:pPr>
              <w:spacing w:line="240" w:lineRule="auto"/>
              <w:ind w:firstLine="0"/>
              <w:rPr>
                <w:rFonts w:eastAsia="Times New Roman"/>
                <w:color w:val="000000"/>
              </w:rPr>
            </w:pPr>
            <w:r w:rsidRPr="004D46AC">
              <w:rPr>
                <w:color w:val="000000"/>
              </w:rPr>
              <w:t>205</w:t>
            </w:r>
          </w:p>
        </w:tc>
        <w:tc>
          <w:tcPr>
            <w:tcW w:w="1559" w:type="dxa"/>
            <w:shd w:val="clear" w:color="000000" w:fill="FFFFFF"/>
            <w:noWrap/>
            <w:hideMark/>
          </w:tcPr>
          <w:p w14:paraId="620E3AD2" w14:textId="77777777" w:rsidR="007075D9" w:rsidRPr="004D46AC" w:rsidRDefault="007075D9" w:rsidP="002C5F6E">
            <w:pPr>
              <w:spacing w:line="240" w:lineRule="auto"/>
              <w:ind w:firstLine="0"/>
              <w:rPr>
                <w:rFonts w:eastAsia="Times New Roman"/>
                <w:color w:val="000000"/>
              </w:rPr>
            </w:pPr>
            <w:r w:rsidRPr="004D46AC">
              <w:rPr>
                <w:color w:val="000000"/>
              </w:rPr>
              <w:t>PBQ</w:t>
            </w:r>
          </w:p>
        </w:tc>
      </w:tr>
      <w:tr w:rsidR="007075D9" w:rsidRPr="004D46AC" w14:paraId="6D437C59" w14:textId="77777777" w:rsidTr="00B518F1">
        <w:trPr>
          <w:trHeight w:val="600"/>
        </w:trPr>
        <w:tc>
          <w:tcPr>
            <w:tcW w:w="1312" w:type="dxa"/>
            <w:shd w:val="clear" w:color="000000" w:fill="FFFFFF"/>
            <w:noWrap/>
            <w:hideMark/>
          </w:tcPr>
          <w:p w14:paraId="5457A08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40B5923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10B70C8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Chronic feelings of emptiness </w:t>
            </w:r>
          </w:p>
        </w:tc>
        <w:tc>
          <w:tcPr>
            <w:tcW w:w="2268" w:type="dxa"/>
            <w:shd w:val="clear" w:color="000000" w:fill="FFFFFF"/>
            <w:noWrap/>
            <w:hideMark/>
          </w:tcPr>
          <w:p w14:paraId="5968EBB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How often in the last three months did you feel bored or empty inside</w:t>
            </w:r>
          </w:p>
        </w:tc>
        <w:tc>
          <w:tcPr>
            <w:tcW w:w="567" w:type="dxa"/>
            <w:shd w:val="clear" w:color="000000" w:fill="FFFFFF"/>
            <w:noWrap/>
            <w:hideMark/>
          </w:tcPr>
          <w:p w14:paraId="2926ABCF" w14:textId="77777777" w:rsidR="007075D9" w:rsidRPr="004D46AC" w:rsidRDefault="007075D9" w:rsidP="002C5F6E">
            <w:pPr>
              <w:spacing w:line="240" w:lineRule="auto"/>
              <w:ind w:firstLine="0"/>
              <w:rPr>
                <w:rFonts w:eastAsia="Times New Roman"/>
                <w:color w:val="000000"/>
              </w:rPr>
            </w:pPr>
            <w:r w:rsidRPr="004D46AC">
              <w:rPr>
                <w:color w:val="000000"/>
              </w:rPr>
              <w:t>206</w:t>
            </w:r>
          </w:p>
        </w:tc>
        <w:tc>
          <w:tcPr>
            <w:tcW w:w="1559" w:type="dxa"/>
            <w:shd w:val="clear" w:color="000000" w:fill="FFFFFF"/>
            <w:noWrap/>
            <w:hideMark/>
          </w:tcPr>
          <w:p w14:paraId="4B99FB1E" w14:textId="77777777" w:rsidR="007075D9" w:rsidRPr="004D46AC" w:rsidRDefault="007075D9" w:rsidP="002C5F6E">
            <w:pPr>
              <w:spacing w:line="240" w:lineRule="auto"/>
              <w:ind w:firstLine="0"/>
              <w:rPr>
                <w:rFonts w:eastAsia="Times New Roman"/>
                <w:color w:val="000000"/>
              </w:rPr>
            </w:pPr>
            <w:r w:rsidRPr="004D46AC">
              <w:rPr>
                <w:color w:val="000000"/>
              </w:rPr>
              <w:t>BPDSI</w:t>
            </w:r>
          </w:p>
        </w:tc>
      </w:tr>
      <w:tr w:rsidR="007075D9" w:rsidRPr="004D46AC" w14:paraId="546974FC" w14:textId="77777777" w:rsidTr="00B518F1">
        <w:trPr>
          <w:trHeight w:val="600"/>
        </w:trPr>
        <w:tc>
          <w:tcPr>
            <w:tcW w:w="1312" w:type="dxa"/>
            <w:shd w:val="clear" w:color="000000" w:fill="FFFFFF"/>
            <w:noWrap/>
            <w:hideMark/>
          </w:tcPr>
          <w:p w14:paraId="510642F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7844CA0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0207AB3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Chronic feelings of emptiness </w:t>
            </w:r>
          </w:p>
        </w:tc>
        <w:tc>
          <w:tcPr>
            <w:tcW w:w="2268" w:type="dxa"/>
            <w:shd w:val="clear" w:color="000000" w:fill="FFFFFF"/>
            <w:noWrap/>
            <w:hideMark/>
          </w:tcPr>
          <w:p w14:paraId="7B401ED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Everything seemed senseless to me</w:t>
            </w:r>
          </w:p>
        </w:tc>
        <w:tc>
          <w:tcPr>
            <w:tcW w:w="567" w:type="dxa"/>
            <w:shd w:val="clear" w:color="000000" w:fill="FFFFFF"/>
            <w:noWrap/>
            <w:hideMark/>
          </w:tcPr>
          <w:p w14:paraId="65EC1158" w14:textId="77777777" w:rsidR="007075D9" w:rsidRPr="004D46AC" w:rsidRDefault="007075D9" w:rsidP="002C5F6E">
            <w:pPr>
              <w:spacing w:line="240" w:lineRule="auto"/>
              <w:ind w:firstLine="0"/>
              <w:rPr>
                <w:rFonts w:eastAsia="Times New Roman"/>
                <w:color w:val="000000"/>
              </w:rPr>
            </w:pPr>
            <w:r w:rsidRPr="004D46AC">
              <w:rPr>
                <w:color w:val="000000"/>
              </w:rPr>
              <w:t>207</w:t>
            </w:r>
          </w:p>
        </w:tc>
        <w:tc>
          <w:tcPr>
            <w:tcW w:w="1559" w:type="dxa"/>
            <w:shd w:val="clear" w:color="000000" w:fill="FFFFFF"/>
            <w:noWrap/>
            <w:hideMark/>
          </w:tcPr>
          <w:p w14:paraId="2C625BD3" w14:textId="77777777" w:rsidR="007075D9" w:rsidRPr="004D46AC" w:rsidRDefault="007075D9" w:rsidP="002C5F6E">
            <w:pPr>
              <w:spacing w:line="240" w:lineRule="auto"/>
              <w:ind w:firstLine="0"/>
              <w:rPr>
                <w:rFonts w:eastAsia="Times New Roman"/>
                <w:color w:val="000000"/>
              </w:rPr>
            </w:pPr>
            <w:r w:rsidRPr="004D46AC">
              <w:rPr>
                <w:color w:val="000000"/>
              </w:rPr>
              <w:t>BSL-23</w:t>
            </w:r>
          </w:p>
        </w:tc>
      </w:tr>
      <w:tr w:rsidR="007075D9" w:rsidRPr="004D46AC" w14:paraId="658A0379" w14:textId="77777777" w:rsidTr="00B518F1">
        <w:trPr>
          <w:trHeight w:val="600"/>
        </w:trPr>
        <w:tc>
          <w:tcPr>
            <w:tcW w:w="1312" w:type="dxa"/>
            <w:shd w:val="clear" w:color="000000" w:fill="FFFFFF"/>
            <w:noWrap/>
            <w:hideMark/>
          </w:tcPr>
          <w:p w14:paraId="6CB9BE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2CC9C9D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544FEF2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Chronic feelings of emptiness </w:t>
            </w:r>
          </w:p>
        </w:tc>
        <w:tc>
          <w:tcPr>
            <w:tcW w:w="2268" w:type="dxa"/>
            <w:shd w:val="clear" w:color="000000" w:fill="FFFFFF"/>
            <w:noWrap/>
            <w:hideMark/>
          </w:tcPr>
          <w:p w14:paraId="1995922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chronically felt empty?</w:t>
            </w:r>
          </w:p>
        </w:tc>
        <w:tc>
          <w:tcPr>
            <w:tcW w:w="567" w:type="dxa"/>
            <w:shd w:val="clear" w:color="000000" w:fill="FFFFFF"/>
            <w:noWrap/>
            <w:hideMark/>
          </w:tcPr>
          <w:p w14:paraId="1A15328C" w14:textId="77777777" w:rsidR="007075D9" w:rsidRPr="004D46AC" w:rsidRDefault="007075D9" w:rsidP="002C5F6E">
            <w:pPr>
              <w:spacing w:line="240" w:lineRule="auto"/>
              <w:ind w:firstLine="0"/>
              <w:rPr>
                <w:rFonts w:eastAsia="Times New Roman"/>
                <w:color w:val="000000"/>
              </w:rPr>
            </w:pPr>
            <w:r w:rsidRPr="004D46AC">
              <w:rPr>
                <w:color w:val="000000"/>
              </w:rPr>
              <w:t>208</w:t>
            </w:r>
          </w:p>
        </w:tc>
        <w:tc>
          <w:tcPr>
            <w:tcW w:w="1559" w:type="dxa"/>
            <w:shd w:val="clear" w:color="000000" w:fill="FFFFFF"/>
            <w:noWrap/>
            <w:hideMark/>
          </w:tcPr>
          <w:p w14:paraId="3A40DDCE" w14:textId="77777777" w:rsidR="007075D9" w:rsidRPr="004D46AC" w:rsidRDefault="007075D9" w:rsidP="002C5F6E">
            <w:pPr>
              <w:spacing w:line="240" w:lineRule="auto"/>
              <w:ind w:firstLine="0"/>
              <w:rPr>
                <w:rFonts w:eastAsia="Times New Roman"/>
                <w:color w:val="000000"/>
              </w:rPr>
            </w:pPr>
            <w:r w:rsidRPr="004D46AC">
              <w:rPr>
                <w:color w:val="000000"/>
              </w:rPr>
              <w:t>MSI-BPD</w:t>
            </w:r>
          </w:p>
        </w:tc>
      </w:tr>
      <w:tr w:rsidR="007075D9" w:rsidRPr="004D46AC" w14:paraId="6062A111" w14:textId="77777777" w:rsidTr="00B518F1">
        <w:trPr>
          <w:trHeight w:val="600"/>
        </w:trPr>
        <w:tc>
          <w:tcPr>
            <w:tcW w:w="1312" w:type="dxa"/>
            <w:shd w:val="clear" w:color="000000" w:fill="FFFFFF"/>
            <w:noWrap/>
            <w:hideMark/>
          </w:tcPr>
          <w:p w14:paraId="7AB4186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6A19841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6FECF0E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Inappropriate intense anger or difficult controlling anger </w:t>
            </w:r>
          </w:p>
        </w:tc>
        <w:tc>
          <w:tcPr>
            <w:tcW w:w="2268" w:type="dxa"/>
            <w:shd w:val="clear" w:color="000000" w:fill="FFFFFF"/>
            <w:noWrap/>
            <w:hideMark/>
          </w:tcPr>
          <w:p w14:paraId="6FE358A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get so angry, I feel like I might lose control</w:t>
            </w:r>
          </w:p>
        </w:tc>
        <w:tc>
          <w:tcPr>
            <w:tcW w:w="567" w:type="dxa"/>
            <w:shd w:val="clear" w:color="000000" w:fill="FFFFFF"/>
            <w:noWrap/>
            <w:hideMark/>
          </w:tcPr>
          <w:p w14:paraId="7FCD3DCE" w14:textId="77777777" w:rsidR="007075D9" w:rsidRPr="004D46AC" w:rsidRDefault="007075D9" w:rsidP="002C5F6E">
            <w:pPr>
              <w:spacing w:line="240" w:lineRule="auto"/>
              <w:ind w:firstLine="0"/>
              <w:rPr>
                <w:rFonts w:eastAsia="Times New Roman"/>
                <w:color w:val="000000"/>
              </w:rPr>
            </w:pPr>
            <w:r w:rsidRPr="004D46AC">
              <w:rPr>
                <w:color w:val="000000"/>
              </w:rPr>
              <w:t>209</w:t>
            </w:r>
          </w:p>
        </w:tc>
        <w:tc>
          <w:tcPr>
            <w:tcW w:w="1559" w:type="dxa"/>
            <w:shd w:val="clear" w:color="000000" w:fill="FFFFFF"/>
            <w:noWrap/>
            <w:hideMark/>
          </w:tcPr>
          <w:p w14:paraId="7FC9161F" w14:textId="77777777" w:rsidR="007075D9" w:rsidRPr="004D46AC" w:rsidRDefault="007075D9" w:rsidP="002C5F6E">
            <w:pPr>
              <w:spacing w:line="240" w:lineRule="auto"/>
              <w:ind w:firstLine="0"/>
              <w:rPr>
                <w:rFonts w:eastAsia="Times New Roman"/>
                <w:color w:val="000000"/>
              </w:rPr>
            </w:pPr>
            <w:r w:rsidRPr="004D46AC">
              <w:rPr>
                <w:color w:val="000000"/>
              </w:rPr>
              <w:t>MAI</w:t>
            </w:r>
          </w:p>
        </w:tc>
      </w:tr>
      <w:tr w:rsidR="007075D9" w:rsidRPr="004D46AC" w14:paraId="161888CA" w14:textId="77777777" w:rsidTr="00B518F1">
        <w:trPr>
          <w:trHeight w:val="600"/>
        </w:trPr>
        <w:tc>
          <w:tcPr>
            <w:tcW w:w="1312" w:type="dxa"/>
            <w:shd w:val="clear" w:color="000000" w:fill="FFFFFF"/>
            <w:noWrap/>
            <w:hideMark/>
          </w:tcPr>
          <w:p w14:paraId="42C9E21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55F463A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1BA0C85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Inappropriate intense anger or difficult controlling anger </w:t>
            </w:r>
          </w:p>
        </w:tc>
        <w:tc>
          <w:tcPr>
            <w:tcW w:w="2268" w:type="dxa"/>
            <w:shd w:val="clear" w:color="000000" w:fill="FFFFFF"/>
            <w:noWrap/>
            <w:hideMark/>
          </w:tcPr>
          <w:p w14:paraId="0232084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I have trouble controlling my temper.</w:t>
            </w:r>
          </w:p>
        </w:tc>
        <w:tc>
          <w:tcPr>
            <w:tcW w:w="567" w:type="dxa"/>
            <w:shd w:val="clear" w:color="000000" w:fill="FFFFFF"/>
            <w:noWrap/>
            <w:hideMark/>
          </w:tcPr>
          <w:p w14:paraId="54732889" w14:textId="77777777" w:rsidR="007075D9" w:rsidRPr="004D46AC" w:rsidRDefault="007075D9" w:rsidP="002C5F6E">
            <w:pPr>
              <w:spacing w:line="240" w:lineRule="auto"/>
              <w:ind w:firstLine="0"/>
              <w:rPr>
                <w:rFonts w:eastAsia="Times New Roman"/>
                <w:color w:val="000000"/>
              </w:rPr>
            </w:pPr>
            <w:r w:rsidRPr="004D46AC">
              <w:rPr>
                <w:color w:val="000000"/>
              </w:rPr>
              <w:t>210</w:t>
            </w:r>
          </w:p>
        </w:tc>
        <w:tc>
          <w:tcPr>
            <w:tcW w:w="1559" w:type="dxa"/>
            <w:shd w:val="clear" w:color="000000" w:fill="FFFFFF"/>
            <w:noWrap/>
            <w:hideMark/>
          </w:tcPr>
          <w:p w14:paraId="60E6ECD5" w14:textId="77777777" w:rsidR="007075D9" w:rsidRPr="004D46AC" w:rsidRDefault="007075D9" w:rsidP="002C5F6E">
            <w:pPr>
              <w:spacing w:line="240" w:lineRule="auto"/>
              <w:ind w:firstLine="0"/>
              <w:rPr>
                <w:rFonts w:eastAsia="Times New Roman"/>
                <w:color w:val="000000"/>
              </w:rPr>
            </w:pPr>
            <w:r w:rsidRPr="004D46AC">
              <w:rPr>
                <w:color w:val="000000"/>
              </w:rPr>
              <w:t>BPAQ</w:t>
            </w:r>
          </w:p>
        </w:tc>
      </w:tr>
      <w:tr w:rsidR="007075D9" w:rsidRPr="004D46AC" w14:paraId="6B024861" w14:textId="77777777" w:rsidTr="00B518F1">
        <w:trPr>
          <w:trHeight w:val="600"/>
        </w:trPr>
        <w:tc>
          <w:tcPr>
            <w:tcW w:w="1312" w:type="dxa"/>
            <w:shd w:val="clear" w:color="000000" w:fill="FFFFFF"/>
            <w:noWrap/>
            <w:hideMark/>
          </w:tcPr>
          <w:p w14:paraId="464465F4"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490820C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w:t>
            </w:r>
            <w:r w:rsidRPr="004D46AC">
              <w:rPr>
                <w:rFonts w:eastAsia="Times New Roman"/>
                <w:color w:val="000000"/>
              </w:rPr>
              <w:lastRenderedPageBreak/>
              <w:t>d symptoms)</w:t>
            </w:r>
          </w:p>
        </w:tc>
        <w:tc>
          <w:tcPr>
            <w:tcW w:w="1312" w:type="dxa"/>
            <w:shd w:val="clear" w:color="000000" w:fill="FFFFFF"/>
            <w:noWrap/>
            <w:hideMark/>
          </w:tcPr>
          <w:p w14:paraId="57DF262C"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 xml:space="preserve">Inappropriate intense </w:t>
            </w:r>
            <w:r w:rsidRPr="004D46AC">
              <w:rPr>
                <w:rFonts w:eastAsia="Times New Roman"/>
                <w:color w:val="000000"/>
              </w:rPr>
              <w:lastRenderedPageBreak/>
              <w:t xml:space="preserve">anger or difficult controlling anger </w:t>
            </w:r>
          </w:p>
        </w:tc>
        <w:tc>
          <w:tcPr>
            <w:tcW w:w="2268" w:type="dxa"/>
            <w:shd w:val="clear" w:color="000000" w:fill="FFFFFF"/>
            <w:noWrap/>
            <w:hideMark/>
          </w:tcPr>
          <w:p w14:paraId="26C84DB0"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lastRenderedPageBreak/>
              <w:t xml:space="preserve">How often in the last three months did </w:t>
            </w:r>
            <w:r w:rsidRPr="004D46AC">
              <w:rPr>
                <w:rFonts w:eastAsia="Times New Roman"/>
                <w:color w:val="000000"/>
              </w:rPr>
              <w:lastRenderedPageBreak/>
              <w:t xml:space="preserve">you swear, scream and/or slam doors </w:t>
            </w:r>
          </w:p>
        </w:tc>
        <w:tc>
          <w:tcPr>
            <w:tcW w:w="567" w:type="dxa"/>
            <w:shd w:val="clear" w:color="000000" w:fill="FFFFFF"/>
            <w:noWrap/>
            <w:hideMark/>
          </w:tcPr>
          <w:p w14:paraId="6D591B65" w14:textId="77777777" w:rsidR="007075D9" w:rsidRPr="004D46AC" w:rsidRDefault="007075D9" w:rsidP="002C5F6E">
            <w:pPr>
              <w:spacing w:line="240" w:lineRule="auto"/>
              <w:ind w:firstLine="0"/>
              <w:rPr>
                <w:rFonts w:eastAsia="Times New Roman"/>
                <w:color w:val="000000"/>
              </w:rPr>
            </w:pPr>
            <w:r w:rsidRPr="004D46AC">
              <w:rPr>
                <w:color w:val="000000"/>
              </w:rPr>
              <w:lastRenderedPageBreak/>
              <w:t>211</w:t>
            </w:r>
          </w:p>
        </w:tc>
        <w:tc>
          <w:tcPr>
            <w:tcW w:w="1559" w:type="dxa"/>
            <w:shd w:val="clear" w:color="000000" w:fill="FFFFFF"/>
            <w:noWrap/>
            <w:hideMark/>
          </w:tcPr>
          <w:p w14:paraId="0E7CF651" w14:textId="77777777" w:rsidR="007075D9" w:rsidRPr="004D46AC" w:rsidRDefault="007075D9" w:rsidP="002C5F6E">
            <w:pPr>
              <w:spacing w:line="240" w:lineRule="auto"/>
              <w:ind w:firstLine="0"/>
              <w:rPr>
                <w:rFonts w:eastAsia="Times New Roman"/>
                <w:color w:val="000000"/>
              </w:rPr>
            </w:pPr>
            <w:r w:rsidRPr="004D46AC">
              <w:rPr>
                <w:color w:val="000000"/>
              </w:rPr>
              <w:t>BPDSI</w:t>
            </w:r>
          </w:p>
        </w:tc>
      </w:tr>
      <w:tr w:rsidR="007075D9" w:rsidRPr="004D46AC" w14:paraId="0388FD7A" w14:textId="77777777" w:rsidTr="00B518F1">
        <w:trPr>
          <w:trHeight w:val="600"/>
        </w:trPr>
        <w:tc>
          <w:tcPr>
            <w:tcW w:w="1312" w:type="dxa"/>
            <w:shd w:val="clear" w:color="000000" w:fill="FFFFFF"/>
            <w:noWrap/>
            <w:hideMark/>
          </w:tcPr>
          <w:p w14:paraId="519FB1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767B2CF7"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6E78F092"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Transient, stress-related paranoia ideas or severe dissociative symptoms</w:t>
            </w:r>
          </w:p>
        </w:tc>
        <w:tc>
          <w:tcPr>
            <w:tcW w:w="2268" w:type="dxa"/>
            <w:shd w:val="clear" w:color="000000" w:fill="FFFFFF"/>
            <w:noWrap/>
            <w:hideMark/>
          </w:tcPr>
          <w:p w14:paraId="30B20029"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I </w:t>
            </w:r>
            <w:proofErr w:type="gramStart"/>
            <w:r w:rsidRPr="004D46AC">
              <w:rPr>
                <w:rFonts w:eastAsia="Times New Roman"/>
                <w:color w:val="000000"/>
              </w:rPr>
              <w:t>have to</w:t>
            </w:r>
            <w:proofErr w:type="gramEnd"/>
            <w:r w:rsidRPr="004D46AC">
              <w:rPr>
                <w:rFonts w:eastAsia="Times New Roman"/>
                <w:color w:val="000000"/>
              </w:rPr>
              <w:t xml:space="preserve"> </w:t>
            </w:r>
            <w:proofErr w:type="gramStart"/>
            <w:r w:rsidRPr="004D46AC">
              <w:rPr>
                <w:rFonts w:eastAsia="Times New Roman"/>
                <w:color w:val="000000"/>
              </w:rPr>
              <w:t>be on guard at all times</w:t>
            </w:r>
            <w:proofErr w:type="gramEnd"/>
            <w:r w:rsidRPr="004D46AC">
              <w:rPr>
                <w:rFonts w:eastAsia="Times New Roman"/>
                <w:color w:val="000000"/>
              </w:rPr>
              <w:t>.</w:t>
            </w:r>
          </w:p>
        </w:tc>
        <w:tc>
          <w:tcPr>
            <w:tcW w:w="567" w:type="dxa"/>
            <w:shd w:val="clear" w:color="000000" w:fill="FFFFFF"/>
            <w:noWrap/>
            <w:hideMark/>
          </w:tcPr>
          <w:p w14:paraId="37BCE6C2" w14:textId="77777777" w:rsidR="007075D9" w:rsidRPr="004D46AC" w:rsidRDefault="007075D9" w:rsidP="002C5F6E">
            <w:pPr>
              <w:spacing w:line="240" w:lineRule="auto"/>
              <w:ind w:firstLine="0"/>
              <w:rPr>
                <w:rFonts w:eastAsia="Times New Roman"/>
                <w:color w:val="000000"/>
              </w:rPr>
            </w:pPr>
            <w:r w:rsidRPr="004D46AC">
              <w:rPr>
                <w:color w:val="000000"/>
              </w:rPr>
              <w:t>212</w:t>
            </w:r>
          </w:p>
        </w:tc>
        <w:tc>
          <w:tcPr>
            <w:tcW w:w="1559" w:type="dxa"/>
            <w:shd w:val="clear" w:color="000000" w:fill="FFFFFF"/>
            <w:noWrap/>
            <w:hideMark/>
          </w:tcPr>
          <w:p w14:paraId="64ED6D5A" w14:textId="77777777" w:rsidR="007075D9" w:rsidRPr="004D46AC" w:rsidRDefault="007075D9" w:rsidP="002C5F6E">
            <w:pPr>
              <w:spacing w:line="240" w:lineRule="auto"/>
              <w:ind w:firstLine="0"/>
              <w:rPr>
                <w:rFonts w:eastAsia="Times New Roman"/>
                <w:color w:val="000000"/>
              </w:rPr>
            </w:pPr>
            <w:r w:rsidRPr="004D46AC">
              <w:rPr>
                <w:color w:val="000000"/>
              </w:rPr>
              <w:t>PBQ</w:t>
            </w:r>
          </w:p>
        </w:tc>
      </w:tr>
      <w:tr w:rsidR="007075D9" w:rsidRPr="004D46AC" w14:paraId="24FABE58" w14:textId="77777777" w:rsidTr="00B518F1">
        <w:trPr>
          <w:trHeight w:val="600"/>
        </w:trPr>
        <w:tc>
          <w:tcPr>
            <w:tcW w:w="1312" w:type="dxa"/>
            <w:shd w:val="clear" w:color="000000" w:fill="FFFFFF"/>
            <w:noWrap/>
            <w:hideMark/>
          </w:tcPr>
          <w:p w14:paraId="3970D463"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3890B41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225A36FE"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Transient, stress-related paranoia ideas or severe dissociative symptoms</w:t>
            </w:r>
          </w:p>
        </w:tc>
        <w:tc>
          <w:tcPr>
            <w:tcW w:w="2268" w:type="dxa"/>
            <w:shd w:val="clear" w:color="000000" w:fill="FFFFFF"/>
            <w:noWrap/>
            <w:hideMark/>
          </w:tcPr>
          <w:p w14:paraId="79FC772D"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Have you often been distrustful of other people?</w:t>
            </w:r>
          </w:p>
        </w:tc>
        <w:tc>
          <w:tcPr>
            <w:tcW w:w="567" w:type="dxa"/>
            <w:shd w:val="clear" w:color="000000" w:fill="FFFFFF"/>
            <w:noWrap/>
            <w:hideMark/>
          </w:tcPr>
          <w:p w14:paraId="6574EF6F" w14:textId="77777777" w:rsidR="007075D9" w:rsidRPr="004D46AC" w:rsidRDefault="007075D9" w:rsidP="002C5F6E">
            <w:pPr>
              <w:spacing w:line="240" w:lineRule="auto"/>
              <w:ind w:firstLine="0"/>
              <w:rPr>
                <w:rFonts w:eastAsia="Times New Roman"/>
                <w:color w:val="000000"/>
              </w:rPr>
            </w:pPr>
            <w:r w:rsidRPr="004D46AC">
              <w:rPr>
                <w:color w:val="000000"/>
              </w:rPr>
              <w:t>213</w:t>
            </w:r>
          </w:p>
        </w:tc>
        <w:tc>
          <w:tcPr>
            <w:tcW w:w="1559" w:type="dxa"/>
            <w:shd w:val="clear" w:color="000000" w:fill="FFFFFF"/>
            <w:noWrap/>
            <w:hideMark/>
          </w:tcPr>
          <w:p w14:paraId="5212595A" w14:textId="77777777" w:rsidR="007075D9" w:rsidRPr="004D46AC" w:rsidRDefault="007075D9" w:rsidP="002C5F6E">
            <w:pPr>
              <w:spacing w:line="240" w:lineRule="auto"/>
              <w:ind w:firstLine="0"/>
              <w:rPr>
                <w:rFonts w:eastAsia="Times New Roman"/>
                <w:color w:val="000000"/>
              </w:rPr>
            </w:pPr>
            <w:r w:rsidRPr="004D46AC">
              <w:rPr>
                <w:color w:val="000000"/>
              </w:rPr>
              <w:t>MSI-BPD</w:t>
            </w:r>
          </w:p>
        </w:tc>
      </w:tr>
      <w:tr w:rsidR="007075D9" w:rsidRPr="004D46AC" w14:paraId="67DAE61F" w14:textId="77777777" w:rsidTr="00B518F1">
        <w:trPr>
          <w:trHeight w:val="600"/>
        </w:trPr>
        <w:tc>
          <w:tcPr>
            <w:tcW w:w="1312" w:type="dxa"/>
            <w:shd w:val="clear" w:color="000000" w:fill="FFFFFF"/>
            <w:noWrap/>
            <w:hideMark/>
          </w:tcPr>
          <w:p w14:paraId="4264F7F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Borderline personality</w:t>
            </w:r>
          </w:p>
        </w:tc>
        <w:tc>
          <w:tcPr>
            <w:tcW w:w="1312" w:type="dxa"/>
            <w:shd w:val="clear" w:color="000000" w:fill="FFFFFF"/>
            <w:noWrap/>
            <w:hideMark/>
          </w:tcPr>
          <w:p w14:paraId="368A32FF"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SCID-5 (Attenuated symptoms)</w:t>
            </w:r>
          </w:p>
        </w:tc>
        <w:tc>
          <w:tcPr>
            <w:tcW w:w="1312" w:type="dxa"/>
            <w:shd w:val="clear" w:color="000000" w:fill="FFFFFF"/>
            <w:noWrap/>
            <w:hideMark/>
          </w:tcPr>
          <w:p w14:paraId="6ED3402B"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Transient, stress-related paranoia ideas or severe dissociative symptoms</w:t>
            </w:r>
          </w:p>
        </w:tc>
        <w:tc>
          <w:tcPr>
            <w:tcW w:w="2268" w:type="dxa"/>
            <w:shd w:val="clear" w:color="000000" w:fill="FFFFFF"/>
            <w:noWrap/>
            <w:hideMark/>
          </w:tcPr>
          <w:p w14:paraId="3951A22A" w14:textId="77777777" w:rsidR="007075D9" w:rsidRPr="004D46AC" w:rsidRDefault="007075D9" w:rsidP="002C5F6E">
            <w:pPr>
              <w:spacing w:line="240" w:lineRule="auto"/>
              <w:ind w:firstLine="0"/>
              <w:rPr>
                <w:rFonts w:eastAsia="Times New Roman"/>
                <w:color w:val="000000"/>
              </w:rPr>
            </w:pPr>
            <w:r w:rsidRPr="004D46AC">
              <w:rPr>
                <w:rFonts w:eastAsia="Times New Roman"/>
                <w:color w:val="000000"/>
              </w:rPr>
              <w:t xml:space="preserve">Have you frequently felt unreal or as if things around you were unreal? </w:t>
            </w:r>
          </w:p>
        </w:tc>
        <w:tc>
          <w:tcPr>
            <w:tcW w:w="567" w:type="dxa"/>
            <w:shd w:val="clear" w:color="000000" w:fill="FFFFFF"/>
            <w:noWrap/>
            <w:hideMark/>
          </w:tcPr>
          <w:p w14:paraId="0BC6F882" w14:textId="77777777" w:rsidR="007075D9" w:rsidRPr="004D46AC" w:rsidRDefault="007075D9" w:rsidP="002C5F6E">
            <w:pPr>
              <w:spacing w:line="240" w:lineRule="auto"/>
              <w:ind w:firstLine="0"/>
              <w:rPr>
                <w:rFonts w:eastAsia="Times New Roman"/>
                <w:color w:val="000000"/>
              </w:rPr>
            </w:pPr>
            <w:r w:rsidRPr="004D46AC">
              <w:rPr>
                <w:color w:val="000000"/>
              </w:rPr>
              <w:t>214</w:t>
            </w:r>
          </w:p>
        </w:tc>
        <w:tc>
          <w:tcPr>
            <w:tcW w:w="1559" w:type="dxa"/>
            <w:shd w:val="clear" w:color="000000" w:fill="FFFFFF"/>
            <w:noWrap/>
            <w:hideMark/>
          </w:tcPr>
          <w:p w14:paraId="6B383F22" w14:textId="77777777" w:rsidR="007075D9" w:rsidRPr="004D46AC" w:rsidRDefault="007075D9" w:rsidP="002C5F6E">
            <w:pPr>
              <w:spacing w:line="240" w:lineRule="auto"/>
              <w:ind w:firstLine="0"/>
              <w:rPr>
                <w:rFonts w:eastAsia="Times New Roman"/>
                <w:color w:val="000000"/>
              </w:rPr>
            </w:pPr>
            <w:r w:rsidRPr="004D46AC">
              <w:rPr>
                <w:color w:val="000000"/>
              </w:rPr>
              <w:t>MSI-BPD</w:t>
            </w:r>
          </w:p>
        </w:tc>
      </w:tr>
    </w:tbl>
    <w:p w14:paraId="53BB2D52" w14:textId="77777777" w:rsidR="007075D9" w:rsidRPr="004D46AC" w:rsidRDefault="007075D9" w:rsidP="002C5F6E">
      <w:pPr>
        <w:spacing w:line="240" w:lineRule="auto"/>
        <w:ind w:firstLine="0"/>
      </w:pPr>
      <w:r w:rsidRPr="004D46AC">
        <w:rPr>
          <w:rFonts w:hint="eastAsia"/>
          <w:i/>
          <w:iCs/>
        </w:rPr>
        <w:t>Note</w:t>
      </w:r>
      <w:r w:rsidRPr="004D46AC">
        <w:rPr>
          <w:rFonts w:hint="eastAsia"/>
        </w:rPr>
        <w:t xml:space="preserve">. This table was adapted from Jayne et al., 2025. </w:t>
      </w:r>
      <w:r w:rsidRPr="004D46AC">
        <w:t xml:space="preserve">BPAQ = Buss Perry Aggression Questionnaire (Buss &amp; Perry, 1992); BPDSI = Borderline Personality Disorder Severity Index (Arntz et al., 2003); BSL-23 = Borderline Symptom List (Bohus et al., 2007); BSQSP = Brief Self-Report Questionnaire for Screening Putative Pre-Psychotic States (Liu et al., 2013); CAPE = Community Assessment of Psychic Experiences (Stefanis et al., 2002); CBCL = Child </w:t>
      </w:r>
      <w:proofErr w:type="spellStart"/>
      <w:r w:rsidRPr="004D46AC">
        <w:t>Behavior</w:t>
      </w:r>
      <w:proofErr w:type="spellEnd"/>
      <w:r w:rsidRPr="004D46AC">
        <w:t xml:space="preserve"> Checklist (Achenbach &amp; Rescorla, 2001); CPRQ = Composite Psychosis Risk Questionnaire (Loewy et al., 2005); EDPCC = Early Detection Primary Care Checklist (</w:t>
      </w:r>
      <w:proofErr w:type="spellStart"/>
      <w:r w:rsidRPr="004D46AC">
        <w:t>Fusar</w:t>
      </w:r>
      <w:proofErr w:type="spellEnd"/>
      <w:r w:rsidRPr="004D46AC">
        <w:t xml:space="preserve">-Poli et al., 2015); </w:t>
      </w:r>
      <w:proofErr w:type="spellStart"/>
      <w:r w:rsidRPr="004D46AC">
        <w:t>ERIraos</w:t>
      </w:r>
      <w:proofErr w:type="spellEnd"/>
      <w:r w:rsidRPr="004D46AC">
        <w:t xml:space="preserve"> = Early Recognition Inventory (Rausch et al., 2013); ERS = Emotion Reactivity Scale (Nock et al., 2008); ESI = Eppendorf Schizophrenia Inventory (Niessen et al., 2010); GBI = General </w:t>
      </w:r>
      <w:proofErr w:type="spellStart"/>
      <w:r w:rsidRPr="004D46AC">
        <w:t>Behavior</w:t>
      </w:r>
      <w:proofErr w:type="spellEnd"/>
      <w:r w:rsidRPr="004D46AC">
        <w:t xml:space="preserve"> Inventory (Depue et al., 1981); HCL-32 = Hypomania Checklist-32 (Angst et al., 2005); HPS = Hypomanic Personality Scale (Eckblad &amp; Chapman, 1986); MAI = Multidimensional Anger Inventory (Siegel, 1986); MDQ = Mood Disorder Questionnaire (Hirschfeld et al., 2000); MSI-BPD = McLean Screening Instrument for Borderline Personality Disorder (</w:t>
      </w:r>
      <w:proofErr w:type="spellStart"/>
      <w:r w:rsidRPr="004D46AC">
        <w:t>Zanarini</w:t>
      </w:r>
      <w:proofErr w:type="spellEnd"/>
      <w:r w:rsidRPr="004D46AC">
        <w:t xml:space="preserve"> et al., 2003); PCA = Perceptual and Cognitive Aberrations Scale (Chapman &amp; Chapman., 1978); PS-R = PRIME Screen – Revised (Miller et al., 2003); PQ = Prodromal Questionnaire (Loewy et al., 2005); SBQ = Suicidal </w:t>
      </w:r>
      <w:proofErr w:type="spellStart"/>
      <w:r w:rsidRPr="004D46AC">
        <w:t>Behavior</w:t>
      </w:r>
      <w:proofErr w:type="spellEnd"/>
      <w:r w:rsidRPr="004D46AC">
        <w:t xml:space="preserve"> Questionnaire Revised (Osman et al., 2001); SCS = Self-Concept Clarity Scale (Campbell et al., 1996); TEMPS-A = Temperament Evaluation of Memphis, Pisa, Paris and San Diego – </w:t>
      </w:r>
      <w:proofErr w:type="spellStart"/>
      <w:r w:rsidRPr="004D46AC">
        <w:t>Autoquestionnaire</w:t>
      </w:r>
      <w:proofErr w:type="spellEnd"/>
      <w:r w:rsidRPr="004D46AC">
        <w:t xml:space="preserve"> (</w:t>
      </w:r>
      <w:proofErr w:type="spellStart"/>
      <w:r w:rsidRPr="004D46AC">
        <w:t>Akiskal</w:t>
      </w:r>
      <w:proofErr w:type="spellEnd"/>
      <w:r w:rsidRPr="004D46AC">
        <w:t xml:space="preserve"> et al., 2005); YPARQ-B = Abbreviated Youth Psychosis At-Risk Questionnaire (Ord et al., 2004); YSR = Youth Self-Report (Achenbach &amp; Rescorla, 2001).</w:t>
      </w:r>
    </w:p>
    <w:p w14:paraId="4EC67882" w14:textId="77777777" w:rsidR="007075D9" w:rsidRPr="004D46AC" w:rsidRDefault="007075D9" w:rsidP="002C5F6E">
      <w:pPr>
        <w:spacing w:line="240" w:lineRule="auto"/>
        <w:ind w:firstLine="0"/>
      </w:pPr>
    </w:p>
    <w:p w14:paraId="2F09E546" w14:textId="77777777" w:rsidR="007075D9" w:rsidRPr="004D46AC" w:rsidRDefault="007075D9" w:rsidP="002C5F6E">
      <w:pPr>
        <w:spacing w:line="240" w:lineRule="auto"/>
        <w:ind w:firstLine="0"/>
      </w:pPr>
      <w:r w:rsidRPr="004D46AC">
        <w:t>R</w:t>
      </w:r>
      <w:r w:rsidRPr="004D46AC">
        <w:rPr>
          <w:rFonts w:hint="eastAsia"/>
        </w:rPr>
        <w:t>eference:</w:t>
      </w:r>
    </w:p>
    <w:p w14:paraId="29AD844D" w14:textId="77777777" w:rsidR="007075D9" w:rsidRPr="004D46AC" w:rsidRDefault="007075D9" w:rsidP="002C5F6E">
      <w:pPr>
        <w:spacing w:line="240" w:lineRule="auto"/>
        <w:ind w:left="720" w:firstLine="0"/>
      </w:pPr>
      <w:r w:rsidRPr="004D46AC">
        <w:lastRenderedPageBreak/>
        <w:t xml:space="preserve">Achenbach, T. M., &amp; Rescorla, L. A. (2001). </w:t>
      </w:r>
      <w:r w:rsidRPr="004D46AC">
        <w:rPr>
          <w:i/>
          <w:iCs/>
        </w:rPr>
        <w:t>Manual for the ASEBA school-age forms &amp; profiles</w:t>
      </w:r>
      <w:r w:rsidRPr="004D46AC">
        <w:t xml:space="preserve">. University of Vermont, Research </w:t>
      </w:r>
      <w:proofErr w:type="spellStart"/>
      <w:r w:rsidRPr="004D46AC">
        <w:t>Center</w:t>
      </w:r>
      <w:proofErr w:type="spellEnd"/>
      <w:r w:rsidRPr="004D46AC">
        <w:t xml:space="preserve"> for Children, Youth, &amp; Families.</w:t>
      </w:r>
    </w:p>
    <w:p w14:paraId="00B93799" w14:textId="77777777" w:rsidR="007075D9" w:rsidRPr="004D46AC" w:rsidRDefault="007075D9" w:rsidP="002C5F6E">
      <w:pPr>
        <w:spacing w:line="240" w:lineRule="auto"/>
        <w:ind w:left="720" w:firstLine="0"/>
      </w:pPr>
      <w:proofErr w:type="spellStart"/>
      <w:r w:rsidRPr="004D46AC">
        <w:t>Akiskal</w:t>
      </w:r>
      <w:proofErr w:type="spellEnd"/>
      <w:r w:rsidRPr="004D46AC">
        <w:t xml:space="preserve">, H. S., </w:t>
      </w:r>
      <w:proofErr w:type="spellStart"/>
      <w:r w:rsidRPr="004D46AC">
        <w:t>Akiskal</w:t>
      </w:r>
      <w:proofErr w:type="spellEnd"/>
      <w:r w:rsidRPr="004D46AC">
        <w:t xml:space="preserve">, K. K., Haykal, R. F., Manning, J. S., &amp; Connor, P. D. (2005). TEMPS-A: Progress towards validation of a self-rated clinical version of the Temperament Evaluation of the Memphis, Pisa, Paris, and San Diego </w:t>
      </w:r>
      <w:proofErr w:type="spellStart"/>
      <w:r w:rsidRPr="004D46AC">
        <w:t>Autoquestionnaire</w:t>
      </w:r>
      <w:proofErr w:type="spellEnd"/>
      <w:r w:rsidRPr="004D46AC">
        <w:t xml:space="preserve">. </w:t>
      </w:r>
      <w:r w:rsidRPr="004D46AC">
        <w:rPr>
          <w:i/>
          <w:iCs/>
        </w:rPr>
        <w:t>Journal of Affective Disorders, 85</w:t>
      </w:r>
      <w:r w:rsidRPr="004D46AC">
        <w:t>(1–2), 3–16.</w:t>
      </w:r>
    </w:p>
    <w:p w14:paraId="5C968FD8" w14:textId="77777777" w:rsidR="007075D9" w:rsidRPr="004D46AC" w:rsidRDefault="007075D9" w:rsidP="002C5F6E">
      <w:pPr>
        <w:spacing w:line="240" w:lineRule="auto"/>
        <w:ind w:left="720" w:firstLine="0"/>
      </w:pPr>
      <w:r w:rsidRPr="004D46AC">
        <w:t xml:space="preserve">Angst, J., Adolfsson, R., Benazzi, F., Gamma, A., Hantouche, E., Meyer, T. D., … Young, A. H. (2005). The HCL-32: Towards a self-assessment tool for hypomanic symptoms in outpatients. </w:t>
      </w:r>
      <w:r w:rsidRPr="004D46AC">
        <w:rPr>
          <w:i/>
          <w:iCs/>
        </w:rPr>
        <w:t>Journal of Affective Disorders, 88</w:t>
      </w:r>
      <w:r w:rsidRPr="004D46AC">
        <w:t>(2), 217–233.</w:t>
      </w:r>
    </w:p>
    <w:p w14:paraId="17193235" w14:textId="77777777" w:rsidR="007075D9" w:rsidRPr="004D46AC" w:rsidRDefault="007075D9" w:rsidP="002C5F6E">
      <w:pPr>
        <w:spacing w:line="240" w:lineRule="auto"/>
        <w:ind w:left="720" w:firstLine="0"/>
      </w:pPr>
      <w:r w:rsidRPr="004D46AC">
        <w:t xml:space="preserve">Arntz, A., van den Hoorn, M., Cornelis, J., Verheul, R., van den Bosch, W. M., &amp; de Bie, A. J. (2003). Reliability and validity of the Borderline Personality Disorder Severity Index. </w:t>
      </w:r>
      <w:r w:rsidRPr="004D46AC">
        <w:rPr>
          <w:i/>
          <w:iCs/>
        </w:rPr>
        <w:t>Journal of Personality Disorders, 17</w:t>
      </w:r>
      <w:r w:rsidRPr="004D46AC">
        <w:t>(1), 45–59.</w:t>
      </w:r>
    </w:p>
    <w:p w14:paraId="3CA7C6F0" w14:textId="77777777" w:rsidR="007075D9" w:rsidRPr="004D46AC" w:rsidRDefault="007075D9" w:rsidP="002C5F6E">
      <w:pPr>
        <w:spacing w:line="240" w:lineRule="auto"/>
        <w:ind w:left="720" w:firstLine="0"/>
      </w:pPr>
      <w:r w:rsidRPr="004D46AC">
        <w:t xml:space="preserve">Bohus, M., Kleindienst, N., Limberger, M. F., Stieglitz, R. D., </w:t>
      </w:r>
      <w:proofErr w:type="spellStart"/>
      <w:r w:rsidRPr="004D46AC">
        <w:t>Domsalla</w:t>
      </w:r>
      <w:proofErr w:type="spellEnd"/>
      <w:r w:rsidRPr="004D46AC">
        <w:t xml:space="preserve">, M., Chapman, A. L., … Wolf, M. (2007). The short version of the Borderline Symptom List (BSL-23): Development and initial data on psychometric properties. </w:t>
      </w:r>
      <w:r w:rsidRPr="004D46AC">
        <w:rPr>
          <w:i/>
          <w:iCs/>
        </w:rPr>
        <w:t>Psychopathology, 42</w:t>
      </w:r>
      <w:r w:rsidRPr="004D46AC">
        <w:t>(1), 32–39.</w:t>
      </w:r>
    </w:p>
    <w:p w14:paraId="0B87BB0F" w14:textId="77777777" w:rsidR="007075D9" w:rsidRPr="004D46AC" w:rsidRDefault="007075D9" w:rsidP="002C5F6E">
      <w:pPr>
        <w:spacing w:line="240" w:lineRule="auto"/>
        <w:ind w:left="720" w:firstLine="0"/>
      </w:pPr>
      <w:r w:rsidRPr="004D46AC">
        <w:t xml:space="preserve">Buss, A. H., &amp; Perry, M. (1992). The Aggression Questionnaire. </w:t>
      </w:r>
      <w:r w:rsidRPr="004D46AC">
        <w:rPr>
          <w:i/>
          <w:iCs/>
        </w:rPr>
        <w:t>Journal of Personality and Social Psychology, 63</w:t>
      </w:r>
      <w:r w:rsidRPr="004D46AC">
        <w:t>(3), 452–459.</w:t>
      </w:r>
    </w:p>
    <w:p w14:paraId="711FE811" w14:textId="77777777" w:rsidR="007075D9" w:rsidRPr="004D46AC" w:rsidRDefault="007075D9" w:rsidP="002C5F6E">
      <w:pPr>
        <w:spacing w:line="240" w:lineRule="auto"/>
        <w:ind w:left="720" w:firstLine="0"/>
      </w:pPr>
      <w:r w:rsidRPr="004D46AC">
        <w:t xml:space="preserve">Campbell, J. D., Trapnell, P. D., Heine, S. J., Katz, I. M., Lavallee, L. F., &amp; Lehman, D. R. (1996). Self-concept clarity: Measurement, personality correlates, and cultural boundaries. </w:t>
      </w:r>
      <w:r w:rsidRPr="004D46AC">
        <w:rPr>
          <w:i/>
          <w:iCs/>
        </w:rPr>
        <w:t>Journal of Personality and Social Psychology, 70</w:t>
      </w:r>
      <w:r w:rsidRPr="004D46AC">
        <w:t>(1), 141–156.</w:t>
      </w:r>
    </w:p>
    <w:p w14:paraId="7016C82A" w14:textId="77777777" w:rsidR="007075D9" w:rsidRPr="004D46AC" w:rsidRDefault="007075D9" w:rsidP="002C5F6E">
      <w:pPr>
        <w:spacing w:line="240" w:lineRule="auto"/>
        <w:ind w:left="720" w:firstLine="0"/>
      </w:pPr>
      <w:r w:rsidRPr="004D46AC">
        <w:t xml:space="preserve">Chapman, L. J., Chapman, J. P., &amp; Raulin, M. L. (1978). Body-image aberration in schizophrenia. </w:t>
      </w:r>
      <w:r w:rsidRPr="004D46AC">
        <w:rPr>
          <w:i/>
          <w:iCs/>
        </w:rPr>
        <w:t>Journal of Abnormal Psychology, 87</w:t>
      </w:r>
      <w:r w:rsidRPr="004D46AC">
        <w:t>(4), 399–407.</w:t>
      </w:r>
    </w:p>
    <w:p w14:paraId="3509D3FE" w14:textId="77777777" w:rsidR="007075D9" w:rsidRPr="004D46AC" w:rsidRDefault="007075D9" w:rsidP="002C5F6E">
      <w:pPr>
        <w:spacing w:line="240" w:lineRule="auto"/>
        <w:ind w:left="720" w:firstLine="0"/>
      </w:pPr>
      <w:r w:rsidRPr="004D46AC">
        <w:t xml:space="preserve">Christensen, A. P., &amp; Golino, H. (2021). Estimating the stability of psychological dimensions via bootstrap exploratory graph analysis. </w:t>
      </w:r>
      <w:r w:rsidRPr="004D46AC">
        <w:rPr>
          <w:i/>
          <w:iCs/>
        </w:rPr>
        <w:t>Psych, 3</w:t>
      </w:r>
      <w:r w:rsidRPr="004D46AC">
        <w:t>(3), 479–500.</w:t>
      </w:r>
    </w:p>
    <w:p w14:paraId="55167DEE" w14:textId="77777777" w:rsidR="007075D9" w:rsidRPr="004D46AC" w:rsidRDefault="007075D9" w:rsidP="002C5F6E">
      <w:pPr>
        <w:spacing w:line="240" w:lineRule="auto"/>
        <w:ind w:left="720" w:firstLine="0"/>
      </w:pPr>
      <w:r w:rsidRPr="004D46AC">
        <w:t xml:space="preserve">Depue, R. A., Krauss, S., </w:t>
      </w:r>
      <w:proofErr w:type="spellStart"/>
      <w:r w:rsidRPr="004D46AC">
        <w:t>Spoont</w:t>
      </w:r>
      <w:proofErr w:type="spellEnd"/>
      <w:r w:rsidRPr="004D46AC">
        <w:t xml:space="preserve">, M. R., &amp; Arbisi, P. (1981). General </w:t>
      </w:r>
      <w:proofErr w:type="spellStart"/>
      <w:r w:rsidRPr="004D46AC">
        <w:t>behavior</w:t>
      </w:r>
      <w:proofErr w:type="spellEnd"/>
      <w:r w:rsidRPr="004D46AC">
        <w:t xml:space="preserve"> inventory identification of unipolar and bipolar affective conditions in a nonclinical university population. </w:t>
      </w:r>
      <w:r w:rsidRPr="004D46AC">
        <w:rPr>
          <w:i/>
          <w:iCs/>
        </w:rPr>
        <w:t>Journal of Abnormal Psychology, 98</w:t>
      </w:r>
      <w:r w:rsidRPr="004D46AC">
        <w:t>(2), 117–126.</w:t>
      </w:r>
    </w:p>
    <w:p w14:paraId="5AE9F850" w14:textId="77777777" w:rsidR="007075D9" w:rsidRPr="004D46AC" w:rsidRDefault="007075D9" w:rsidP="002C5F6E">
      <w:pPr>
        <w:spacing w:line="240" w:lineRule="auto"/>
        <w:ind w:left="720" w:firstLine="0"/>
      </w:pPr>
      <w:r w:rsidRPr="004D46AC">
        <w:t xml:space="preserve">Eckblad, M., &amp; Chapman, L. J. (1986). Development and validation of a scale for hypomanic personality. </w:t>
      </w:r>
      <w:r w:rsidRPr="004D46AC">
        <w:rPr>
          <w:i/>
          <w:iCs/>
        </w:rPr>
        <w:t>Journal of Abnormal Psychology, 95</w:t>
      </w:r>
      <w:r w:rsidRPr="004D46AC">
        <w:t>(3), 214–222.</w:t>
      </w:r>
    </w:p>
    <w:p w14:paraId="5CE801A2" w14:textId="77777777" w:rsidR="007075D9" w:rsidRPr="004D46AC" w:rsidRDefault="007075D9" w:rsidP="002C5F6E">
      <w:pPr>
        <w:spacing w:line="240" w:lineRule="auto"/>
        <w:ind w:left="720" w:firstLine="0"/>
      </w:pPr>
      <w:proofErr w:type="spellStart"/>
      <w:r w:rsidRPr="004D46AC">
        <w:t>Fusar</w:t>
      </w:r>
      <w:proofErr w:type="spellEnd"/>
      <w:r w:rsidRPr="004D46AC">
        <w:t xml:space="preserve">-Poli, P., Raballo, A., &amp; Parnas, J. (2015). What is an attenuated psychotic symptom? On the importance of the context. </w:t>
      </w:r>
      <w:r w:rsidRPr="004D46AC">
        <w:rPr>
          <w:i/>
          <w:iCs/>
        </w:rPr>
        <w:t>Schizophrenia Bulletin, 43</w:t>
      </w:r>
      <w:r w:rsidRPr="004D46AC">
        <w:t>(4), 687–692.</w:t>
      </w:r>
    </w:p>
    <w:p w14:paraId="4B938542" w14:textId="77777777" w:rsidR="007075D9" w:rsidRPr="004D46AC" w:rsidRDefault="007075D9" w:rsidP="002C5F6E">
      <w:pPr>
        <w:spacing w:line="240" w:lineRule="auto"/>
        <w:ind w:left="720" w:firstLine="0"/>
      </w:pPr>
      <w:r w:rsidRPr="004D46AC">
        <w:t xml:space="preserve">Hirschfeld, R. M. A., Williams, J. B. W., Spitzer, R. L., Calabrese, J. R., Flynn, L., Keck, P. E., … </w:t>
      </w:r>
      <w:proofErr w:type="spellStart"/>
      <w:r w:rsidRPr="004D46AC">
        <w:t>Zajecka</w:t>
      </w:r>
      <w:proofErr w:type="spellEnd"/>
      <w:r w:rsidRPr="004D46AC">
        <w:t xml:space="preserve">, J. (2000). Development and validation of the Mood Disorder Questionnaire. </w:t>
      </w:r>
      <w:r w:rsidRPr="004D46AC">
        <w:rPr>
          <w:i/>
          <w:iCs/>
        </w:rPr>
        <w:t>American Journal of Psychiatry, 157</w:t>
      </w:r>
      <w:r w:rsidRPr="004D46AC">
        <w:t>(11), 1873–1875.</w:t>
      </w:r>
    </w:p>
    <w:p w14:paraId="756C13E8" w14:textId="77777777" w:rsidR="007075D9" w:rsidRPr="004D46AC" w:rsidRDefault="007075D9" w:rsidP="002C5F6E">
      <w:pPr>
        <w:spacing w:line="240" w:lineRule="auto"/>
        <w:ind w:left="720" w:firstLine="0"/>
      </w:pPr>
      <w:r w:rsidRPr="004D46AC">
        <w:t xml:space="preserve">Liu, C. C., Tien, Y. J., Chen, C. H., Chiu, Y. N., Chien, Y. L., Hsieh, M. H., … Hwu, H. G. (2013). Development of a brief self-report questionnaire for screening putative pre-psychotic states. </w:t>
      </w:r>
      <w:r w:rsidRPr="004D46AC">
        <w:rPr>
          <w:i/>
          <w:iCs/>
        </w:rPr>
        <w:t>Schizophrenia Research, 143</w:t>
      </w:r>
      <w:r w:rsidRPr="004D46AC">
        <w:t>(1), 32–37.</w:t>
      </w:r>
    </w:p>
    <w:p w14:paraId="4E44B0CE" w14:textId="77777777" w:rsidR="007075D9" w:rsidRPr="004D46AC" w:rsidRDefault="007075D9" w:rsidP="002C5F6E">
      <w:pPr>
        <w:spacing w:line="240" w:lineRule="auto"/>
        <w:ind w:left="720" w:firstLine="0"/>
      </w:pPr>
      <w:r w:rsidRPr="004D46AC">
        <w:t xml:space="preserve">Loewy, R. L., Bearden, C. E., Johnson, J. K., Raine, A., &amp; Cannon, T. D. (2005). The Prodromal Questionnaire (PQ): Preliminary validation of a self-report screening measure for prodromal and psychotic syndromes. </w:t>
      </w:r>
      <w:r w:rsidRPr="004D46AC">
        <w:rPr>
          <w:i/>
          <w:iCs/>
        </w:rPr>
        <w:t>Schizophrenia Research, 79</w:t>
      </w:r>
      <w:r w:rsidRPr="004D46AC">
        <w:t>(1), 117–125.</w:t>
      </w:r>
    </w:p>
    <w:p w14:paraId="3C3F9CB0" w14:textId="77777777" w:rsidR="007075D9" w:rsidRPr="004D46AC" w:rsidRDefault="007075D9" w:rsidP="002C5F6E">
      <w:pPr>
        <w:spacing w:line="240" w:lineRule="auto"/>
        <w:ind w:left="720" w:firstLine="0"/>
      </w:pPr>
      <w:r w:rsidRPr="004D46AC">
        <w:t xml:space="preserve">Miller, T. J., McGlashan, T. H., Rosen, J. L., Cadenhead, K., Ventura, J., McFarlane, W., … Woods, S. W. (2003). Prodromal assessment with the structured interview for prodromal syndromes and the scale of prodromal symptoms. </w:t>
      </w:r>
      <w:r w:rsidRPr="004D46AC">
        <w:rPr>
          <w:i/>
          <w:iCs/>
        </w:rPr>
        <w:t>Schizophrenia Bulletin, 29</w:t>
      </w:r>
      <w:r w:rsidRPr="004D46AC">
        <w:t>(4), 703–715.</w:t>
      </w:r>
    </w:p>
    <w:p w14:paraId="6F6ADB36" w14:textId="77777777" w:rsidR="007075D9" w:rsidRPr="004D46AC" w:rsidRDefault="007075D9" w:rsidP="002C5F6E">
      <w:pPr>
        <w:spacing w:line="240" w:lineRule="auto"/>
        <w:ind w:left="720" w:firstLine="0"/>
      </w:pPr>
      <w:r w:rsidRPr="004D46AC">
        <w:t xml:space="preserve">Niessen, M. A., Dingemans, P. M., van de Fliert, R., Becker, H. E., Nieman, D. H., &amp; </w:t>
      </w:r>
      <w:proofErr w:type="spellStart"/>
      <w:r w:rsidRPr="004D46AC">
        <w:t>Linszen</w:t>
      </w:r>
      <w:proofErr w:type="spellEnd"/>
      <w:r w:rsidRPr="004D46AC">
        <w:t xml:space="preserve">, D. (2010). Diagnostic validity of the Eppendorf Schizophrenia Inventory (ESI). </w:t>
      </w:r>
      <w:r w:rsidRPr="004D46AC">
        <w:rPr>
          <w:i/>
          <w:iCs/>
        </w:rPr>
        <w:t>Psychological Assessment, 22</w:t>
      </w:r>
      <w:r w:rsidRPr="004D46AC">
        <w:t>(4), 935–944.</w:t>
      </w:r>
    </w:p>
    <w:p w14:paraId="71688732" w14:textId="77777777" w:rsidR="007075D9" w:rsidRPr="004D46AC" w:rsidRDefault="007075D9" w:rsidP="002C5F6E">
      <w:pPr>
        <w:spacing w:line="240" w:lineRule="auto"/>
        <w:ind w:left="720" w:firstLine="0"/>
      </w:pPr>
      <w:r w:rsidRPr="004D46AC">
        <w:t xml:space="preserve">Nock, M. K., Wedig, M. M., Holmberg, E. B., &amp; Hooley, J. M. (2008). The Emotion Reactivity Scale: Development, evaluation, and relation to self-injurious thoughts and </w:t>
      </w:r>
      <w:proofErr w:type="spellStart"/>
      <w:r w:rsidRPr="004D46AC">
        <w:t>behaviors</w:t>
      </w:r>
      <w:proofErr w:type="spellEnd"/>
      <w:r w:rsidRPr="004D46AC">
        <w:t xml:space="preserve">. </w:t>
      </w:r>
      <w:proofErr w:type="spellStart"/>
      <w:r w:rsidRPr="004D46AC">
        <w:rPr>
          <w:i/>
          <w:iCs/>
        </w:rPr>
        <w:t>Behavior</w:t>
      </w:r>
      <w:proofErr w:type="spellEnd"/>
      <w:r w:rsidRPr="004D46AC">
        <w:rPr>
          <w:i/>
          <w:iCs/>
        </w:rPr>
        <w:t xml:space="preserve"> Therapy, 39</w:t>
      </w:r>
      <w:r w:rsidRPr="004D46AC">
        <w:t>(2), 107–116.</w:t>
      </w:r>
    </w:p>
    <w:p w14:paraId="52178E9C" w14:textId="77777777" w:rsidR="007075D9" w:rsidRPr="004D46AC" w:rsidRDefault="007075D9" w:rsidP="002C5F6E">
      <w:pPr>
        <w:spacing w:line="240" w:lineRule="auto"/>
        <w:ind w:left="720" w:firstLine="0"/>
      </w:pPr>
      <w:r w:rsidRPr="004D46AC">
        <w:t xml:space="preserve">Ord, L. M., Myles-Worsley, M., </w:t>
      </w:r>
      <w:proofErr w:type="spellStart"/>
      <w:r w:rsidRPr="004D46AC">
        <w:t>Blailes</w:t>
      </w:r>
      <w:proofErr w:type="spellEnd"/>
      <w:r w:rsidRPr="004D46AC">
        <w:t xml:space="preserve">, F., &amp; </w:t>
      </w:r>
      <w:proofErr w:type="spellStart"/>
      <w:r w:rsidRPr="004D46AC">
        <w:t>Ngiralmau</w:t>
      </w:r>
      <w:proofErr w:type="spellEnd"/>
      <w:r w:rsidRPr="004D46AC">
        <w:t xml:space="preserve">, H. (2004). Screening for prodromal adolescents in an isolated high-risk population. </w:t>
      </w:r>
      <w:r w:rsidRPr="004D46AC">
        <w:rPr>
          <w:i/>
          <w:iCs/>
        </w:rPr>
        <w:t>Schizophrenia Research, 71</w:t>
      </w:r>
      <w:r w:rsidRPr="004D46AC">
        <w:t>(2–3), 507–508.</w:t>
      </w:r>
    </w:p>
    <w:p w14:paraId="6CC6E3D7" w14:textId="77777777" w:rsidR="007075D9" w:rsidRPr="004D46AC" w:rsidRDefault="007075D9" w:rsidP="002C5F6E">
      <w:pPr>
        <w:spacing w:line="240" w:lineRule="auto"/>
        <w:ind w:left="720" w:firstLine="0"/>
      </w:pPr>
      <w:r w:rsidRPr="004D46AC">
        <w:lastRenderedPageBreak/>
        <w:t xml:space="preserve">Osman, A., Bagge, C. L., Gutierrez, P. M., Konick, L. C., Kopper, B. A., &amp; Barrios, F. X. (2001). The Suicidal </w:t>
      </w:r>
      <w:proofErr w:type="spellStart"/>
      <w:r w:rsidRPr="004D46AC">
        <w:t>Behaviors</w:t>
      </w:r>
      <w:proofErr w:type="spellEnd"/>
      <w:r w:rsidRPr="004D46AC">
        <w:t xml:space="preserve"> Questionnaire-Revised (SBQ-R): Validation with clinical and nonclinical samples. </w:t>
      </w:r>
      <w:r w:rsidRPr="004D46AC">
        <w:rPr>
          <w:i/>
          <w:iCs/>
        </w:rPr>
        <w:t>Assessment, 8</w:t>
      </w:r>
      <w:r w:rsidRPr="004D46AC">
        <w:t>(4), 443–454.</w:t>
      </w:r>
    </w:p>
    <w:p w14:paraId="251FA1E6" w14:textId="77777777" w:rsidR="007075D9" w:rsidRPr="004D46AC" w:rsidRDefault="007075D9" w:rsidP="002C5F6E">
      <w:pPr>
        <w:spacing w:line="240" w:lineRule="auto"/>
        <w:ind w:left="720" w:firstLine="0"/>
      </w:pPr>
      <w:r w:rsidRPr="004D46AC">
        <w:t xml:space="preserve">Pickering, J., Shao, W., Weich, S., Dalton, C. F., Jones, M., Taylor, C. D. J., Reuber, M., Kingston, J., Gibbs, C., &amp; Bentall, R. P. (2025). Developing Trace: A transdiagnostic screening tool for early detection of a pluripotent at-risk mental state. </w:t>
      </w:r>
      <w:r w:rsidRPr="004D46AC">
        <w:rPr>
          <w:i/>
          <w:iCs/>
        </w:rPr>
        <w:t>International Journal of Methods in Psychiatric Research, 34</w:t>
      </w:r>
      <w:r w:rsidRPr="004D46AC">
        <w:t xml:space="preserve">(4), Article e70046. </w:t>
      </w:r>
      <w:hyperlink r:id="rId457" w:tgtFrame="_blank" w:history="1">
        <w:r w:rsidRPr="004D46AC">
          <w:rPr>
            <w:rStyle w:val="af5"/>
          </w:rPr>
          <w:t>https://doi.org/10.1002/mpr.70046</w:t>
        </w:r>
      </w:hyperlink>
    </w:p>
    <w:p w14:paraId="4992B285" w14:textId="77777777" w:rsidR="007075D9" w:rsidRPr="004D46AC" w:rsidRDefault="007075D9" w:rsidP="002C5F6E">
      <w:pPr>
        <w:spacing w:line="240" w:lineRule="auto"/>
        <w:ind w:left="720" w:firstLine="0"/>
      </w:pPr>
      <w:r w:rsidRPr="004D46AC">
        <w:t xml:space="preserve">Rausch, F., Eifler, S., Esser, G., &amp; Schultze-Lutter, F. (2013). The Early Recognition Inventory </w:t>
      </w:r>
      <w:proofErr w:type="spellStart"/>
      <w:r w:rsidRPr="004D46AC">
        <w:t>ERIraos</w:t>
      </w:r>
      <w:proofErr w:type="spellEnd"/>
      <w:r w:rsidRPr="004D46AC">
        <w:t xml:space="preserve">: Preliminary evaluation of an instrument for early recognition of psychosis. </w:t>
      </w:r>
      <w:r w:rsidRPr="004D46AC">
        <w:rPr>
          <w:i/>
          <w:iCs/>
        </w:rPr>
        <w:t>European Psychiatry, 28</w:t>
      </w:r>
      <w:r w:rsidRPr="004D46AC">
        <w:t>(1), 22–29.</w:t>
      </w:r>
    </w:p>
    <w:p w14:paraId="1BD77A7A" w14:textId="77777777" w:rsidR="007075D9" w:rsidRPr="004D46AC" w:rsidRDefault="007075D9" w:rsidP="002C5F6E">
      <w:pPr>
        <w:spacing w:line="240" w:lineRule="auto"/>
        <w:ind w:left="720" w:firstLine="0"/>
      </w:pPr>
      <w:r w:rsidRPr="004D46AC">
        <w:t xml:space="preserve">Rodriguez, A., Reise, S. P., &amp; Haviland, M. G. (2016). Evaluating bifactor models: Calculating and interpreting statistical indices. </w:t>
      </w:r>
      <w:r w:rsidRPr="004D46AC">
        <w:rPr>
          <w:i/>
          <w:iCs/>
        </w:rPr>
        <w:t>Psychological Methods, 21</w:t>
      </w:r>
      <w:r w:rsidRPr="004D46AC">
        <w:t xml:space="preserve">(2), 137–150. </w:t>
      </w:r>
    </w:p>
    <w:p w14:paraId="34824BD9" w14:textId="77777777" w:rsidR="007075D9" w:rsidRPr="004D46AC" w:rsidRDefault="007075D9" w:rsidP="002C5F6E">
      <w:pPr>
        <w:spacing w:line="240" w:lineRule="auto"/>
        <w:ind w:left="720" w:firstLine="0"/>
      </w:pPr>
      <w:r w:rsidRPr="004D46AC">
        <w:t xml:space="preserve">Siegel, J. M. (1986). The Multidimensional Anger Inventory. </w:t>
      </w:r>
      <w:r w:rsidRPr="004D46AC">
        <w:rPr>
          <w:i/>
          <w:iCs/>
        </w:rPr>
        <w:t>Journal of Personality and Social Psychology, 51</w:t>
      </w:r>
      <w:r w:rsidRPr="004D46AC">
        <w:t>(1), 191–200.</w:t>
      </w:r>
    </w:p>
    <w:p w14:paraId="05A4A026" w14:textId="77777777" w:rsidR="007075D9" w:rsidRPr="004D46AC" w:rsidRDefault="007075D9" w:rsidP="002C5F6E">
      <w:pPr>
        <w:spacing w:line="240" w:lineRule="auto"/>
        <w:ind w:left="720" w:firstLine="0"/>
      </w:pPr>
      <w:r w:rsidRPr="004D46AC">
        <w:t xml:space="preserve">Stefanis, C. N., Hanssen, M., Smirnis, N. K., Avramopoulos, D. A., </w:t>
      </w:r>
      <w:proofErr w:type="spellStart"/>
      <w:r w:rsidRPr="004D46AC">
        <w:t>Evdokimidis</w:t>
      </w:r>
      <w:proofErr w:type="spellEnd"/>
      <w:r w:rsidRPr="004D46AC">
        <w:t xml:space="preserve">, I. K., Stefanis, C. B., … van </w:t>
      </w:r>
      <w:proofErr w:type="spellStart"/>
      <w:r w:rsidRPr="004D46AC">
        <w:t>Os</w:t>
      </w:r>
      <w:proofErr w:type="spellEnd"/>
      <w:r w:rsidRPr="004D46AC">
        <w:t xml:space="preserve">, J. (2002). Evidence that three dimensions of psychosis have a distribution in the general population. </w:t>
      </w:r>
      <w:r w:rsidRPr="004D46AC">
        <w:rPr>
          <w:i/>
          <w:iCs/>
        </w:rPr>
        <w:t>Psychological Medicine, 32</w:t>
      </w:r>
      <w:r w:rsidRPr="004D46AC">
        <w:t>(2), 347–358.</w:t>
      </w:r>
    </w:p>
    <w:p w14:paraId="17A07CE4" w14:textId="77777777" w:rsidR="007075D9" w:rsidRPr="004D46AC" w:rsidRDefault="007075D9" w:rsidP="002C5F6E">
      <w:pPr>
        <w:spacing w:line="240" w:lineRule="auto"/>
        <w:ind w:left="720" w:firstLine="0"/>
      </w:pPr>
      <w:r w:rsidRPr="004D46AC">
        <w:t xml:space="preserve">Zanarini, M. C., </w:t>
      </w:r>
      <w:proofErr w:type="spellStart"/>
      <w:r w:rsidRPr="004D46AC">
        <w:t>Vujanovic</w:t>
      </w:r>
      <w:proofErr w:type="spellEnd"/>
      <w:r w:rsidRPr="004D46AC">
        <w:t xml:space="preserve">, A. A., Parachini, E. A., Boulanger, J. L., Frankenburg, F. R., &amp; Hennen, J. (2003). A screening measure for BPD: The McLean Screening Instrument for Borderline Personality Disorder (MSI-BPD). </w:t>
      </w:r>
      <w:r w:rsidRPr="004D46AC">
        <w:rPr>
          <w:i/>
          <w:iCs/>
        </w:rPr>
        <w:t>Journal of Personality Disorders, 17</w:t>
      </w:r>
      <w:r w:rsidRPr="004D46AC">
        <w:t>(6), 568–573.</w:t>
      </w:r>
    </w:p>
    <w:p w14:paraId="02E3FB51" w14:textId="77777777" w:rsidR="007075D9" w:rsidRPr="004D46AC" w:rsidRDefault="007075D9" w:rsidP="002C5F6E">
      <w:pPr>
        <w:spacing w:line="240" w:lineRule="auto"/>
        <w:ind w:firstLine="0"/>
      </w:pPr>
    </w:p>
    <w:p w14:paraId="7F2D06A6" w14:textId="77777777" w:rsidR="007075D9" w:rsidRPr="004D46AC" w:rsidRDefault="007075D9" w:rsidP="002C5F6E">
      <w:pPr>
        <w:spacing w:line="240" w:lineRule="auto"/>
        <w:ind w:firstLine="0"/>
      </w:pPr>
    </w:p>
    <w:p w14:paraId="7D64FF4C" w14:textId="77777777" w:rsidR="007075D9" w:rsidRPr="004D46AC" w:rsidRDefault="007075D9" w:rsidP="002C5F6E">
      <w:pPr>
        <w:spacing w:line="240" w:lineRule="auto"/>
        <w:ind w:firstLine="0"/>
      </w:pPr>
    </w:p>
    <w:p w14:paraId="26A2F43B" w14:textId="77777777" w:rsidR="007075D9" w:rsidRPr="004D46AC" w:rsidRDefault="007075D9" w:rsidP="002C5F6E">
      <w:pPr>
        <w:spacing w:line="240" w:lineRule="auto"/>
        <w:ind w:firstLine="0"/>
        <w:rPr>
          <w:rFonts w:eastAsiaTheme="minorEastAsia"/>
        </w:rPr>
      </w:pPr>
      <w:r w:rsidRPr="004D46AC">
        <w:rPr>
          <w:rFonts w:hint="eastAsia"/>
        </w:rPr>
        <w:t xml:space="preserve"> </w:t>
      </w:r>
    </w:p>
    <w:p w14:paraId="581A03E6" w14:textId="77777777" w:rsidR="00CC3324" w:rsidRPr="004D46AC" w:rsidRDefault="00CC3324" w:rsidP="002C5F6E">
      <w:pPr>
        <w:spacing w:line="240" w:lineRule="auto"/>
        <w:ind w:firstLine="0"/>
        <w:rPr>
          <w:rFonts w:eastAsiaTheme="minorEastAsia"/>
        </w:rPr>
      </w:pPr>
    </w:p>
    <w:p w14:paraId="20ECC5BC" w14:textId="77777777" w:rsidR="00CC3324" w:rsidRPr="004D46AC" w:rsidRDefault="00CC3324" w:rsidP="002C5F6E">
      <w:pPr>
        <w:spacing w:line="240" w:lineRule="auto"/>
        <w:ind w:firstLine="0"/>
        <w:rPr>
          <w:rFonts w:eastAsiaTheme="minorEastAsia"/>
        </w:rPr>
      </w:pPr>
    </w:p>
    <w:p w14:paraId="2D8EE0EE" w14:textId="77777777" w:rsidR="00CC3324" w:rsidRPr="004D46AC" w:rsidRDefault="00CC3324" w:rsidP="002C5F6E">
      <w:pPr>
        <w:spacing w:line="240" w:lineRule="auto"/>
        <w:ind w:firstLine="0"/>
        <w:rPr>
          <w:rFonts w:eastAsiaTheme="minorEastAsia"/>
        </w:rPr>
      </w:pPr>
    </w:p>
    <w:p w14:paraId="0CC4D358" w14:textId="77777777" w:rsidR="00CC3324" w:rsidRPr="004D46AC" w:rsidRDefault="00CC3324" w:rsidP="002C5F6E">
      <w:pPr>
        <w:spacing w:line="240" w:lineRule="auto"/>
        <w:ind w:firstLine="0"/>
        <w:rPr>
          <w:rFonts w:eastAsiaTheme="minorEastAsia"/>
        </w:rPr>
      </w:pPr>
    </w:p>
    <w:p w14:paraId="0C716125" w14:textId="77777777" w:rsidR="00CC3324" w:rsidRPr="004D46AC" w:rsidRDefault="00CC3324" w:rsidP="002C5F6E">
      <w:pPr>
        <w:spacing w:line="240" w:lineRule="auto"/>
        <w:ind w:firstLine="0"/>
        <w:rPr>
          <w:rFonts w:eastAsiaTheme="minorEastAsia"/>
        </w:rPr>
      </w:pPr>
    </w:p>
    <w:p w14:paraId="7E78BA1C" w14:textId="77777777" w:rsidR="00CC3324" w:rsidRPr="004D46AC" w:rsidRDefault="00CC3324" w:rsidP="002C5F6E">
      <w:pPr>
        <w:spacing w:line="240" w:lineRule="auto"/>
        <w:ind w:firstLine="0"/>
        <w:rPr>
          <w:rFonts w:eastAsiaTheme="minorEastAsia"/>
        </w:rPr>
      </w:pPr>
    </w:p>
    <w:p w14:paraId="3038FBC3" w14:textId="77777777" w:rsidR="00CC3324" w:rsidRPr="004D46AC" w:rsidRDefault="00CC3324" w:rsidP="002C5F6E">
      <w:pPr>
        <w:spacing w:line="240" w:lineRule="auto"/>
        <w:ind w:firstLine="0"/>
        <w:rPr>
          <w:rFonts w:eastAsiaTheme="minorEastAsia"/>
        </w:rPr>
      </w:pPr>
    </w:p>
    <w:p w14:paraId="6B8EFD3A" w14:textId="77777777" w:rsidR="00CC3324" w:rsidRPr="004D46AC" w:rsidRDefault="00CC3324" w:rsidP="002C5F6E">
      <w:pPr>
        <w:spacing w:line="240" w:lineRule="auto"/>
        <w:ind w:firstLine="0"/>
        <w:rPr>
          <w:rFonts w:eastAsiaTheme="minorEastAsia"/>
        </w:rPr>
      </w:pPr>
    </w:p>
    <w:p w14:paraId="6C3EBB5F" w14:textId="77777777" w:rsidR="00CC3324" w:rsidRPr="004D46AC" w:rsidRDefault="00CC3324" w:rsidP="002C5F6E">
      <w:pPr>
        <w:spacing w:line="240" w:lineRule="auto"/>
        <w:ind w:firstLine="0"/>
        <w:rPr>
          <w:rFonts w:eastAsiaTheme="minorEastAsia"/>
        </w:rPr>
      </w:pPr>
    </w:p>
    <w:p w14:paraId="4E735D9D" w14:textId="77777777" w:rsidR="00CC3324" w:rsidRPr="004D46AC" w:rsidRDefault="00CC3324" w:rsidP="002C5F6E">
      <w:pPr>
        <w:spacing w:line="240" w:lineRule="auto"/>
        <w:ind w:firstLine="0"/>
        <w:rPr>
          <w:rFonts w:eastAsiaTheme="minorEastAsia"/>
        </w:rPr>
      </w:pPr>
    </w:p>
    <w:p w14:paraId="049A6B49" w14:textId="77777777" w:rsidR="00CC3324" w:rsidRPr="004D46AC" w:rsidRDefault="00CC3324" w:rsidP="002C5F6E">
      <w:pPr>
        <w:spacing w:line="240" w:lineRule="auto"/>
        <w:ind w:firstLine="0"/>
        <w:rPr>
          <w:rFonts w:eastAsiaTheme="minorEastAsia"/>
        </w:rPr>
      </w:pPr>
    </w:p>
    <w:p w14:paraId="665837E7" w14:textId="77777777" w:rsidR="00CC3324" w:rsidRPr="004D46AC" w:rsidRDefault="00CC3324" w:rsidP="002C5F6E">
      <w:pPr>
        <w:spacing w:line="240" w:lineRule="auto"/>
        <w:ind w:firstLine="0"/>
        <w:rPr>
          <w:rFonts w:eastAsiaTheme="minorEastAsia"/>
        </w:rPr>
      </w:pPr>
    </w:p>
    <w:p w14:paraId="1145B0B9" w14:textId="77777777" w:rsidR="00CC3324" w:rsidRPr="004D46AC" w:rsidRDefault="00CC3324" w:rsidP="002C5F6E">
      <w:pPr>
        <w:spacing w:line="240" w:lineRule="auto"/>
        <w:ind w:firstLine="0"/>
        <w:rPr>
          <w:rFonts w:eastAsiaTheme="minorEastAsia"/>
        </w:rPr>
      </w:pPr>
    </w:p>
    <w:p w14:paraId="4B4ED9B4" w14:textId="77777777" w:rsidR="00CC3324" w:rsidRPr="004D46AC" w:rsidRDefault="00CC3324" w:rsidP="002C5F6E">
      <w:pPr>
        <w:spacing w:line="240" w:lineRule="auto"/>
        <w:ind w:firstLine="0"/>
        <w:rPr>
          <w:rFonts w:eastAsiaTheme="minorEastAsia"/>
        </w:rPr>
      </w:pPr>
    </w:p>
    <w:p w14:paraId="2027CF2B" w14:textId="77777777" w:rsidR="00CC3324" w:rsidRPr="004D46AC" w:rsidRDefault="00CC3324" w:rsidP="002C5F6E">
      <w:pPr>
        <w:spacing w:line="240" w:lineRule="auto"/>
        <w:ind w:firstLine="0"/>
        <w:rPr>
          <w:rFonts w:eastAsiaTheme="minorEastAsia"/>
        </w:rPr>
      </w:pPr>
    </w:p>
    <w:p w14:paraId="5EC24FCB" w14:textId="77777777" w:rsidR="00CC3324" w:rsidRPr="004D46AC" w:rsidRDefault="00CC3324" w:rsidP="002C5F6E">
      <w:pPr>
        <w:spacing w:line="240" w:lineRule="auto"/>
        <w:ind w:firstLine="0"/>
        <w:rPr>
          <w:rFonts w:eastAsiaTheme="minorEastAsia"/>
        </w:rPr>
      </w:pPr>
    </w:p>
    <w:p w14:paraId="3374F339" w14:textId="77777777" w:rsidR="00CC3324" w:rsidRPr="004D46AC" w:rsidRDefault="00CC3324" w:rsidP="002C5F6E">
      <w:pPr>
        <w:spacing w:line="240" w:lineRule="auto"/>
        <w:ind w:firstLine="0"/>
        <w:rPr>
          <w:rFonts w:eastAsiaTheme="minorEastAsia"/>
        </w:rPr>
      </w:pPr>
    </w:p>
    <w:p w14:paraId="297D5118" w14:textId="77777777" w:rsidR="00CC3324" w:rsidRPr="004D46AC" w:rsidRDefault="00CC3324" w:rsidP="002C5F6E">
      <w:pPr>
        <w:spacing w:line="240" w:lineRule="auto"/>
        <w:ind w:firstLine="0"/>
        <w:rPr>
          <w:rFonts w:eastAsiaTheme="minorEastAsia"/>
        </w:rPr>
      </w:pPr>
    </w:p>
    <w:p w14:paraId="65F77C9D" w14:textId="77777777" w:rsidR="00CC3324" w:rsidRPr="004D46AC" w:rsidRDefault="00CC3324" w:rsidP="002C5F6E">
      <w:pPr>
        <w:spacing w:line="240" w:lineRule="auto"/>
        <w:ind w:firstLine="0"/>
        <w:rPr>
          <w:rFonts w:eastAsiaTheme="minorEastAsia"/>
        </w:rPr>
      </w:pPr>
    </w:p>
    <w:p w14:paraId="2AD758A4" w14:textId="77777777" w:rsidR="00CC3324" w:rsidRPr="004D46AC" w:rsidRDefault="00CC3324" w:rsidP="002C5F6E">
      <w:pPr>
        <w:spacing w:line="240" w:lineRule="auto"/>
        <w:ind w:firstLine="0"/>
        <w:rPr>
          <w:rFonts w:eastAsiaTheme="minorEastAsia"/>
        </w:rPr>
      </w:pPr>
    </w:p>
    <w:p w14:paraId="47AB6832" w14:textId="77777777" w:rsidR="00CC3324" w:rsidRPr="004D46AC" w:rsidRDefault="00CC3324" w:rsidP="002C5F6E">
      <w:pPr>
        <w:spacing w:line="240" w:lineRule="auto"/>
        <w:ind w:firstLine="0"/>
        <w:rPr>
          <w:rFonts w:eastAsiaTheme="minorEastAsia"/>
        </w:rPr>
      </w:pPr>
    </w:p>
    <w:p w14:paraId="61FCDF97" w14:textId="77777777" w:rsidR="00CC3324" w:rsidRPr="004D46AC" w:rsidRDefault="00CC3324" w:rsidP="002C5F6E">
      <w:pPr>
        <w:spacing w:line="240" w:lineRule="auto"/>
        <w:ind w:firstLine="0"/>
        <w:rPr>
          <w:rFonts w:eastAsiaTheme="minorEastAsia"/>
        </w:rPr>
      </w:pPr>
    </w:p>
    <w:p w14:paraId="4045D9F1" w14:textId="77777777" w:rsidR="00CC3324" w:rsidRPr="004D46AC" w:rsidRDefault="00CC3324" w:rsidP="002C5F6E">
      <w:pPr>
        <w:spacing w:line="240" w:lineRule="auto"/>
        <w:ind w:firstLine="0"/>
        <w:rPr>
          <w:rFonts w:eastAsiaTheme="minorEastAsia"/>
        </w:rPr>
      </w:pPr>
    </w:p>
    <w:p w14:paraId="313CB740" w14:textId="77777777" w:rsidR="00CC3324" w:rsidRPr="004D46AC" w:rsidRDefault="00CC3324" w:rsidP="002C5F6E">
      <w:pPr>
        <w:spacing w:line="240" w:lineRule="auto"/>
        <w:ind w:firstLine="0"/>
        <w:rPr>
          <w:rFonts w:eastAsiaTheme="minorEastAsia"/>
        </w:rPr>
      </w:pPr>
    </w:p>
    <w:p w14:paraId="4862C6F4" w14:textId="77777777" w:rsidR="00CC3324" w:rsidRPr="004D46AC" w:rsidRDefault="00CC3324" w:rsidP="002C5F6E">
      <w:pPr>
        <w:spacing w:line="240" w:lineRule="auto"/>
        <w:ind w:firstLine="0"/>
        <w:rPr>
          <w:rFonts w:eastAsiaTheme="minorEastAsia"/>
        </w:rPr>
      </w:pPr>
    </w:p>
    <w:p w14:paraId="4F648E7B" w14:textId="77777777" w:rsidR="00CC3324" w:rsidRPr="004D46AC" w:rsidRDefault="00CC3324" w:rsidP="002C5F6E">
      <w:pPr>
        <w:spacing w:line="240" w:lineRule="auto"/>
        <w:ind w:firstLine="0"/>
        <w:rPr>
          <w:rFonts w:eastAsiaTheme="minorEastAsia"/>
        </w:rPr>
      </w:pPr>
    </w:p>
    <w:p w14:paraId="54804B62" w14:textId="77777777" w:rsidR="007075D9" w:rsidRPr="004D46AC" w:rsidRDefault="007075D9" w:rsidP="002C5F6E">
      <w:pPr>
        <w:spacing w:line="240" w:lineRule="auto"/>
        <w:ind w:firstLine="0"/>
        <w:rPr>
          <w:b/>
          <w:bCs/>
        </w:rPr>
      </w:pPr>
    </w:p>
    <w:p w14:paraId="618742C5" w14:textId="2AF843A2" w:rsidR="00011BA9" w:rsidRPr="004D46AC" w:rsidRDefault="00011BA9" w:rsidP="00011BA9">
      <w:pPr>
        <w:pStyle w:val="afff0"/>
        <w:spacing w:after="0"/>
        <w:ind w:firstLine="0"/>
        <w:rPr>
          <w:rFonts w:eastAsiaTheme="minorEastAsia"/>
          <w:b/>
          <w:bCs/>
          <w:i w:val="0"/>
          <w:iCs w:val="0"/>
          <w:color w:val="auto"/>
          <w:sz w:val="22"/>
          <w:szCs w:val="22"/>
        </w:rPr>
      </w:pPr>
      <w:bookmarkStart w:id="406" w:name="_Toc219870646"/>
      <w:r w:rsidRPr="004D46AC">
        <w:rPr>
          <w:b/>
          <w:bCs/>
          <w:i w:val="0"/>
          <w:iCs w:val="0"/>
          <w:color w:val="auto"/>
          <w:sz w:val="22"/>
          <w:szCs w:val="22"/>
        </w:rPr>
        <w:lastRenderedPageBreak/>
        <w:t xml:space="preserve">Table E </w:t>
      </w:r>
      <w:r w:rsidRPr="004D46AC">
        <w:rPr>
          <w:b/>
          <w:bCs/>
          <w:i w:val="0"/>
          <w:iCs w:val="0"/>
          <w:color w:val="auto"/>
          <w:sz w:val="22"/>
          <w:szCs w:val="22"/>
        </w:rPr>
        <w:fldChar w:fldCharType="begin"/>
      </w:r>
      <w:r w:rsidRPr="004D46AC">
        <w:rPr>
          <w:b/>
          <w:bCs/>
          <w:i w:val="0"/>
          <w:iCs w:val="0"/>
          <w:color w:val="auto"/>
          <w:sz w:val="22"/>
          <w:szCs w:val="22"/>
        </w:rPr>
        <w:instrText xml:space="preserve"> SEQ Table_E \* ARABIC </w:instrText>
      </w:r>
      <w:r w:rsidRPr="004D46AC">
        <w:rPr>
          <w:b/>
          <w:bCs/>
          <w:i w:val="0"/>
          <w:iCs w:val="0"/>
          <w:color w:val="auto"/>
          <w:sz w:val="22"/>
          <w:szCs w:val="22"/>
        </w:rPr>
        <w:fldChar w:fldCharType="separate"/>
      </w:r>
      <w:r w:rsidRPr="004D46AC">
        <w:rPr>
          <w:b/>
          <w:bCs/>
          <w:i w:val="0"/>
          <w:iCs w:val="0"/>
          <w:noProof/>
          <w:color w:val="auto"/>
          <w:sz w:val="22"/>
          <w:szCs w:val="22"/>
        </w:rPr>
        <w:t>2</w:t>
      </w:r>
      <w:bookmarkEnd w:id="406"/>
      <w:r w:rsidRPr="004D46AC">
        <w:rPr>
          <w:b/>
          <w:bCs/>
          <w:i w:val="0"/>
          <w:iCs w:val="0"/>
          <w:color w:val="auto"/>
          <w:sz w:val="22"/>
          <w:szCs w:val="22"/>
        </w:rPr>
        <w:fldChar w:fldCharType="end"/>
      </w:r>
    </w:p>
    <w:p w14:paraId="0E779545" w14:textId="16129267" w:rsidR="007075D9" w:rsidRPr="004D46AC" w:rsidRDefault="007075D9" w:rsidP="002C5F6E">
      <w:pPr>
        <w:spacing w:line="240" w:lineRule="auto"/>
        <w:ind w:firstLine="0"/>
        <w:rPr>
          <w:i/>
          <w:iCs/>
        </w:rPr>
      </w:pPr>
      <w:r w:rsidRPr="004D46AC">
        <w:rPr>
          <w:rFonts w:hint="eastAsia"/>
          <w:i/>
          <w:iCs/>
        </w:rPr>
        <w:t xml:space="preserve">Edge with non-zero weight in </w:t>
      </w:r>
      <w:r w:rsidRPr="004D46AC">
        <w:rPr>
          <w:i/>
          <w:iCs/>
        </w:rPr>
        <w:t>the</w:t>
      </w:r>
      <w:r w:rsidRPr="004D46AC">
        <w:rPr>
          <w:rFonts w:hint="eastAsia"/>
          <w:i/>
          <w:iCs/>
          <w:lang w:val="en-US"/>
        </w:rPr>
        <w:t xml:space="preserve"> </w:t>
      </w:r>
      <w:r w:rsidRPr="004D46AC">
        <w:rPr>
          <w:i/>
          <w:iCs/>
        </w:rPr>
        <w:t>network</w:t>
      </w:r>
      <w:r w:rsidRPr="004D46AC">
        <w:rPr>
          <w:rFonts w:hint="eastAsia"/>
          <w:i/>
          <w:iCs/>
          <w:lang w:val="en-US"/>
        </w:rPr>
        <w:t xml:space="preserve"> of </w:t>
      </w:r>
      <w:proofErr w:type="gramStart"/>
      <w:r w:rsidRPr="004D46AC">
        <w:rPr>
          <w:rFonts w:hint="eastAsia"/>
          <w:i/>
          <w:iCs/>
          <w:lang w:val="en-US"/>
        </w:rPr>
        <w:t>at risk</w:t>
      </w:r>
      <w:proofErr w:type="gramEnd"/>
      <w:r w:rsidRPr="004D46AC">
        <w:rPr>
          <w:rFonts w:hint="eastAsia"/>
          <w:i/>
          <w:iCs/>
          <w:lang w:val="en-US"/>
        </w:rPr>
        <w:t xml:space="preserve"> states </w:t>
      </w:r>
      <w:r w:rsidRPr="004D46AC">
        <w:rPr>
          <w:rFonts w:hint="eastAsia"/>
          <w:i/>
          <w:iCs/>
        </w:rPr>
        <w:t>among all sample</w:t>
      </w:r>
    </w:p>
    <w:tbl>
      <w:tblPr>
        <w:tblStyle w:val="afc"/>
        <w:tblW w:w="0" w:type="auto"/>
        <w:tblLook w:val="04A0" w:firstRow="1" w:lastRow="0" w:firstColumn="1" w:lastColumn="0" w:noHBand="0" w:noVBand="1"/>
      </w:tblPr>
      <w:tblGrid>
        <w:gridCol w:w="1704"/>
        <w:gridCol w:w="1704"/>
        <w:gridCol w:w="1704"/>
        <w:gridCol w:w="1705"/>
        <w:gridCol w:w="1705"/>
      </w:tblGrid>
      <w:tr w:rsidR="007075D9" w:rsidRPr="004D46AC" w14:paraId="6A22F822" w14:textId="77777777">
        <w:tc>
          <w:tcPr>
            <w:tcW w:w="1704" w:type="dxa"/>
            <w:vAlign w:val="center"/>
          </w:tcPr>
          <w:p w14:paraId="1CA63B34" w14:textId="77777777" w:rsidR="007075D9" w:rsidRPr="004D46AC" w:rsidRDefault="007075D9" w:rsidP="002C5F6E">
            <w:pPr>
              <w:spacing w:line="240" w:lineRule="auto"/>
              <w:ind w:firstLine="0"/>
            </w:pPr>
            <w:r w:rsidRPr="004D46AC">
              <w:rPr>
                <w:color w:val="000000"/>
              </w:rPr>
              <w:t>E</w:t>
            </w:r>
            <w:r w:rsidRPr="004D46AC">
              <w:rPr>
                <w:rFonts w:hint="eastAsia"/>
                <w:color w:val="000000"/>
              </w:rPr>
              <w:t>dge</w:t>
            </w:r>
          </w:p>
        </w:tc>
        <w:tc>
          <w:tcPr>
            <w:tcW w:w="1704" w:type="dxa"/>
            <w:vAlign w:val="center"/>
          </w:tcPr>
          <w:p w14:paraId="303A0A24" w14:textId="77777777" w:rsidR="007075D9" w:rsidRPr="004D46AC" w:rsidRDefault="007075D9" w:rsidP="002C5F6E">
            <w:pPr>
              <w:spacing w:line="240" w:lineRule="auto"/>
              <w:ind w:firstLine="0"/>
            </w:pPr>
            <w:r w:rsidRPr="004D46AC">
              <w:rPr>
                <w:rFonts w:hint="eastAsia"/>
                <w:color w:val="000000"/>
              </w:rPr>
              <w:t>Weight</w:t>
            </w:r>
          </w:p>
        </w:tc>
        <w:tc>
          <w:tcPr>
            <w:tcW w:w="1704" w:type="dxa"/>
            <w:vAlign w:val="center"/>
          </w:tcPr>
          <w:p w14:paraId="3DA3CF29" w14:textId="77777777" w:rsidR="007075D9" w:rsidRPr="004D46AC" w:rsidRDefault="007075D9" w:rsidP="002C5F6E">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lower</w:t>
            </w:r>
          </w:p>
        </w:tc>
        <w:tc>
          <w:tcPr>
            <w:tcW w:w="1705" w:type="dxa"/>
            <w:vAlign w:val="center"/>
          </w:tcPr>
          <w:p w14:paraId="504F27B1" w14:textId="77777777" w:rsidR="007075D9" w:rsidRPr="004D46AC" w:rsidRDefault="007075D9" w:rsidP="002C5F6E">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upper</w:t>
            </w:r>
          </w:p>
        </w:tc>
        <w:tc>
          <w:tcPr>
            <w:tcW w:w="1705" w:type="dxa"/>
            <w:vAlign w:val="center"/>
          </w:tcPr>
          <w:p w14:paraId="07B29C4D" w14:textId="77777777" w:rsidR="007075D9" w:rsidRPr="004D46AC" w:rsidRDefault="007075D9" w:rsidP="002C5F6E">
            <w:pPr>
              <w:spacing w:line="240" w:lineRule="auto"/>
              <w:ind w:firstLine="0"/>
            </w:pPr>
            <w:r w:rsidRPr="004D46AC">
              <w:rPr>
                <w:rFonts w:hint="eastAsia"/>
              </w:rPr>
              <w:t>P0</w:t>
            </w:r>
          </w:p>
        </w:tc>
      </w:tr>
      <w:tr w:rsidR="007075D9" w:rsidRPr="004D46AC" w14:paraId="0F8B62C1" w14:textId="77777777">
        <w:tc>
          <w:tcPr>
            <w:tcW w:w="1704" w:type="dxa"/>
            <w:vAlign w:val="center"/>
          </w:tcPr>
          <w:p w14:paraId="5A96191A" w14:textId="77777777" w:rsidR="007075D9" w:rsidRPr="004D46AC" w:rsidRDefault="007075D9" w:rsidP="002C5F6E">
            <w:pPr>
              <w:spacing w:line="240" w:lineRule="auto"/>
              <w:ind w:firstLine="0"/>
            </w:pPr>
            <w:r w:rsidRPr="004D46AC">
              <w:rPr>
                <w:color w:val="000000"/>
              </w:rPr>
              <w:t>TR22--TR25</w:t>
            </w:r>
          </w:p>
        </w:tc>
        <w:tc>
          <w:tcPr>
            <w:tcW w:w="1704" w:type="dxa"/>
            <w:vAlign w:val="center"/>
          </w:tcPr>
          <w:p w14:paraId="4B4DD1BD" w14:textId="77777777" w:rsidR="007075D9" w:rsidRPr="004D46AC" w:rsidRDefault="007075D9" w:rsidP="002C5F6E">
            <w:pPr>
              <w:spacing w:line="240" w:lineRule="auto"/>
              <w:ind w:firstLine="0"/>
            </w:pPr>
            <w:r w:rsidRPr="004D46AC">
              <w:rPr>
                <w:color w:val="000000"/>
                <w:szCs w:val="21"/>
              </w:rPr>
              <w:t xml:space="preserve">1.14 </w:t>
            </w:r>
          </w:p>
        </w:tc>
        <w:tc>
          <w:tcPr>
            <w:tcW w:w="1704" w:type="dxa"/>
            <w:vAlign w:val="center"/>
          </w:tcPr>
          <w:p w14:paraId="03740A98" w14:textId="77777777" w:rsidR="007075D9" w:rsidRPr="004D46AC" w:rsidRDefault="007075D9" w:rsidP="002C5F6E">
            <w:pPr>
              <w:spacing w:line="240" w:lineRule="auto"/>
              <w:ind w:firstLine="0"/>
            </w:pPr>
            <w:r w:rsidRPr="004D46AC">
              <w:rPr>
                <w:color w:val="000000"/>
                <w:szCs w:val="21"/>
              </w:rPr>
              <w:t xml:space="preserve">0.91 </w:t>
            </w:r>
          </w:p>
        </w:tc>
        <w:tc>
          <w:tcPr>
            <w:tcW w:w="1705" w:type="dxa"/>
            <w:vAlign w:val="center"/>
          </w:tcPr>
          <w:p w14:paraId="15C70EE9" w14:textId="77777777" w:rsidR="007075D9" w:rsidRPr="004D46AC" w:rsidRDefault="007075D9" w:rsidP="002C5F6E">
            <w:pPr>
              <w:spacing w:line="240" w:lineRule="auto"/>
              <w:ind w:firstLine="0"/>
            </w:pPr>
            <w:r w:rsidRPr="004D46AC">
              <w:rPr>
                <w:color w:val="000000"/>
                <w:szCs w:val="21"/>
              </w:rPr>
              <w:t xml:space="preserve">1.37 </w:t>
            </w:r>
          </w:p>
        </w:tc>
        <w:tc>
          <w:tcPr>
            <w:tcW w:w="1705" w:type="dxa"/>
            <w:vAlign w:val="center"/>
          </w:tcPr>
          <w:p w14:paraId="1093C22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8E325C6" w14:textId="77777777">
        <w:tc>
          <w:tcPr>
            <w:tcW w:w="1704" w:type="dxa"/>
            <w:vAlign w:val="center"/>
          </w:tcPr>
          <w:p w14:paraId="715835C4" w14:textId="77777777" w:rsidR="007075D9" w:rsidRPr="004D46AC" w:rsidRDefault="007075D9" w:rsidP="002C5F6E">
            <w:pPr>
              <w:spacing w:line="240" w:lineRule="auto"/>
              <w:ind w:firstLine="0"/>
            </w:pPr>
            <w:r w:rsidRPr="004D46AC">
              <w:rPr>
                <w:color w:val="000000"/>
              </w:rPr>
              <w:t>TR7--TR15</w:t>
            </w:r>
          </w:p>
        </w:tc>
        <w:tc>
          <w:tcPr>
            <w:tcW w:w="1704" w:type="dxa"/>
            <w:vAlign w:val="center"/>
          </w:tcPr>
          <w:p w14:paraId="60138E1F" w14:textId="77777777" w:rsidR="007075D9" w:rsidRPr="004D46AC" w:rsidRDefault="007075D9" w:rsidP="002C5F6E">
            <w:pPr>
              <w:spacing w:line="240" w:lineRule="auto"/>
              <w:ind w:firstLine="0"/>
            </w:pPr>
            <w:r w:rsidRPr="004D46AC">
              <w:rPr>
                <w:color w:val="000000"/>
                <w:szCs w:val="21"/>
              </w:rPr>
              <w:t xml:space="preserve">0.88 </w:t>
            </w:r>
          </w:p>
        </w:tc>
        <w:tc>
          <w:tcPr>
            <w:tcW w:w="1704" w:type="dxa"/>
            <w:vAlign w:val="center"/>
          </w:tcPr>
          <w:p w14:paraId="69402715" w14:textId="77777777" w:rsidR="007075D9" w:rsidRPr="004D46AC" w:rsidRDefault="007075D9" w:rsidP="002C5F6E">
            <w:pPr>
              <w:spacing w:line="240" w:lineRule="auto"/>
              <w:ind w:firstLine="0"/>
            </w:pPr>
            <w:r w:rsidRPr="004D46AC">
              <w:rPr>
                <w:color w:val="000000"/>
                <w:szCs w:val="21"/>
              </w:rPr>
              <w:t xml:space="preserve">0.64 </w:t>
            </w:r>
          </w:p>
        </w:tc>
        <w:tc>
          <w:tcPr>
            <w:tcW w:w="1705" w:type="dxa"/>
            <w:vAlign w:val="center"/>
          </w:tcPr>
          <w:p w14:paraId="5D283914" w14:textId="77777777" w:rsidR="007075D9" w:rsidRPr="004D46AC" w:rsidRDefault="007075D9" w:rsidP="002C5F6E">
            <w:pPr>
              <w:spacing w:line="240" w:lineRule="auto"/>
              <w:ind w:firstLine="0"/>
            </w:pPr>
            <w:r w:rsidRPr="004D46AC">
              <w:rPr>
                <w:color w:val="000000"/>
                <w:szCs w:val="21"/>
              </w:rPr>
              <w:t xml:space="preserve">1.12 </w:t>
            </w:r>
          </w:p>
        </w:tc>
        <w:tc>
          <w:tcPr>
            <w:tcW w:w="1705" w:type="dxa"/>
            <w:vAlign w:val="center"/>
          </w:tcPr>
          <w:p w14:paraId="6B22960B"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29DC478" w14:textId="77777777">
        <w:tc>
          <w:tcPr>
            <w:tcW w:w="1704" w:type="dxa"/>
            <w:vAlign w:val="center"/>
          </w:tcPr>
          <w:p w14:paraId="2D2CE77C" w14:textId="77777777" w:rsidR="007075D9" w:rsidRPr="004D46AC" w:rsidRDefault="007075D9" w:rsidP="002C5F6E">
            <w:pPr>
              <w:spacing w:line="240" w:lineRule="auto"/>
              <w:ind w:firstLine="0"/>
            </w:pPr>
            <w:r w:rsidRPr="004D46AC">
              <w:rPr>
                <w:color w:val="000000"/>
              </w:rPr>
              <w:t>TR14--TR16</w:t>
            </w:r>
          </w:p>
        </w:tc>
        <w:tc>
          <w:tcPr>
            <w:tcW w:w="1704" w:type="dxa"/>
            <w:vAlign w:val="center"/>
          </w:tcPr>
          <w:p w14:paraId="2EB94F9F" w14:textId="77777777" w:rsidR="007075D9" w:rsidRPr="004D46AC" w:rsidRDefault="007075D9" w:rsidP="002C5F6E">
            <w:pPr>
              <w:spacing w:line="240" w:lineRule="auto"/>
              <w:ind w:firstLine="0"/>
            </w:pPr>
            <w:r w:rsidRPr="004D46AC">
              <w:rPr>
                <w:color w:val="000000"/>
                <w:szCs w:val="21"/>
              </w:rPr>
              <w:t xml:space="preserve">0.87 </w:t>
            </w:r>
          </w:p>
        </w:tc>
        <w:tc>
          <w:tcPr>
            <w:tcW w:w="1704" w:type="dxa"/>
            <w:vAlign w:val="center"/>
          </w:tcPr>
          <w:p w14:paraId="16305CDB" w14:textId="77777777" w:rsidR="007075D9" w:rsidRPr="004D46AC" w:rsidRDefault="007075D9" w:rsidP="002C5F6E">
            <w:pPr>
              <w:spacing w:line="240" w:lineRule="auto"/>
              <w:ind w:firstLine="0"/>
            </w:pPr>
            <w:r w:rsidRPr="004D46AC">
              <w:rPr>
                <w:color w:val="000000"/>
                <w:szCs w:val="21"/>
              </w:rPr>
              <w:t xml:space="preserve">0.65 </w:t>
            </w:r>
          </w:p>
        </w:tc>
        <w:tc>
          <w:tcPr>
            <w:tcW w:w="1705" w:type="dxa"/>
            <w:vAlign w:val="center"/>
          </w:tcPr>
          <w:p w14:paraId="58670C15" w14:textId="77777777" w:rsidR="007075D9" w:rsidRPr="004D46AC" w:rsidRDefault="007075D9" w:rsidP="002C5F6E">
            <w:pPr>
              <w:spacing w:line="240" w:lineRule="auto"/>
              <w:ind w:firstLine="0"/>
            </w:pPr>
            <w:r w:rsidRPr="004D46AC">
              <w:rPr>
                <w:color w:val="000000"/>
                <w:szCs w:val="21"/>
              </w:rPr>
              <w:t xml:space="preserve">1.08 </w:t>
            </w:r>
          </w:p>
        </w:tc>
        <w:tc>
          <w:tcPr>
            <w:tcW w:w="1705" w:type="dxa"/>
            <w:vAlign w:val="center"/>
          </w:tcPr>
          <w:p w14:paraId="04476942"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049171B" w14:textId="77777777">
        <w:tc>
          <w:tcPr>
            <w:tcW w:w="1704" w:type="dxa"/>
            <w:vAlign w:val="center"/>
          </w:tcPr>
          <w:p w14:paraId="398711FA" w14:textId="77777777" w:rsidR="007075D9" w:rsidRPr="004D46AC" w:rsidRDefault="007075D9" w:rsidP="002C5F6E">
            <w:pPr>
              <w:spacing w:line="240" w:lineRule="auto"/>
              <w:ind w:firstLine="0"/>
            </w:pPr>
            <w:r w:rsidRPr="004D46AC">
              <w:rPr>
                <w:color w:val="000000"/>
              </w:rPr>
              <w:t>TR6--TR29</w:t>
            </w:r>
          </w:p>
        </w:tc>
        <w:tc>
          <w:tcPr>
            <w:tcW w:w="1704" w:type="dxa"/>
            <w:vAlign w:val="center"/>
          </w:tcPr>
          <w:p w14:paraId="0DC96A42" w14:textId="77777777" w:rsidR="007075D9" w:rsidRPr="004D46AC" w:rsidRDefault="007075D9" w:rsidP="002C5F6E">
            <w:pPr>
              <w:spacing w:line="240" w:lineRule="auto"/>
              <w:ind w:firstLine="0"/>
            </w:pPr>
            <w:r w:rsidRPr="004D46AC">
              <w:rPr>
                <w:color w:val="000000"/>
                <w:szCs w:val="21"/>
              </w:rPr>
              <w:t xml:space="preserve">0.86 </w:t>
            </w:r>
          </w:p>
        </w:tc>
        <w:tc>
          <w:tcPr>
            <w:tcW w:w="1704" w:type="dxa"/>
            <w:vAlign w:val="center"/>
          </w:tcPr>
          <w:p w14:paraId="02FE0F91"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67A7D9E2" w14:textId="77777777" w:rsidR="007075D9" w:rsidRPr="004D46AC" w:rsidRDefault="007075D9" w:rsidP="002C5F6E">
            <w:pPr>
              <w:spacing w:line="240" w:lineRule="auto"/>
              <w:ind w:firstLine="0"/>
            </w:pPr>
            <w:r w:rsidRPr="004D46AC">
              <w:rPr>
                <w:color w:val="000000"/>
                <w:szCs w:val="21"/>
              </w:rPr>
              <w:t xml:space="preserve">1.13 </w:t>
            </w:r>
          </w:p>
        </w:tc>
        <w:tc>
          <w:tcPr>
            <w:tcW w:w="1705" w:type="dxa"/>
            <w:vAlign w:val="center"/>
          </w:tcPr>
          <w:p w14:paraId="2D5E936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2D6A2FC" w14:textId="77777777">
        <w:tc>
          <w:tcPr>
            <w:tcW w:w="1704" w:type="dxa"/>
            <w:vAlign w:val="center"/>
          </w:tcPr>
          <w:p w14:paraId="2F082DFE" w14:textId="77777777" w:rsidR="007075D9" w:rsidRPr="004D46AC" w:rsidRDefault="007075D9" w:rsidP="002C5F6E">
            <w:pPr>
              <w:spacing w:line="240" w:lineRule="auto"/>
              <w:ind w:firstLine="0"/>
            </w:pPr>
            <w:r w:rsidRPr="004D46AC">
              <w:rPr>
                <w:color w:val="000000"/>
              </w:rPr>
              <w:t>TR15--TR34</w:t>
            </w:r>
          </w:p>
        </w:tc>
        <w:tc>
          <w:tcPr>
            <w:tcW w:w="1704" w:type="dxa"/>
            <w:vAlign w:val="center"/>
          </w:tcPr>
          <w:p w14:paraId="67D9322D" w14:textId="77777777" w:rsidR="007075D9" w:rsidRPr="004D46AC" w:rsidRDefault="007075D9" w:rsidP="002C5F6E">
            <w:pPr>
              <w:spacing w:line="240" w:lineRule="auto"/>
              <w:ind w:firstLine="0"/>
            </w:pPr>
            <w:r w:rsidRPr="004D46AC">
              <w:rPr>
                <w:color w:val="000000"/>
                <w:szCs w:val="21"/>
              </w:rPr>
              <w:t xml:space="preserve">0.84 </w:t>
            </w:r>
          </w:p>
        </w:tc>
        <w:tc>
          <w:tcPr>
            <w:tcW w:w="1704" w:type="dxa"/>
            <w:vAlign w:val="center"/>
          </w:tcPr>
          <w:p w14:paraId="1266DE70" w14:textId="77777777" w:rsidR="007075D9" w:rsidRPr="004D46AC" w:rsidRDefault="007075D9" w:rsidP="002C5F6E">
            <w:pPr>
              <w:spacing w:line="240" w:lineRule="auto"/>
              <w:ind w:firstLine="0"/>
            </w:pPr>
            <w:r w:rsidRPr="004D46AC">
              <w:rPr>
                <w:color w:val="000000"/>
                <w:szCs w:val="21"/>
              </w:rPr>
              <w:t xml:space="preserve">0.61 </w:t>
            </w:r>
          </w:p>
        </w:tc>
        <w:tc>
          <w:tcPr>
            <w:tcW w:w="1705" w:type="dxa"/>
            <w:vAlign w:val="center"/>
          </w:tcPr>
          <w:p w14:paraId="0F702C5B" w14:textId="77777777" w:rsidR="007075D9" w:rsidRPr="004D46AC" w:rsidRDefault="007075D9" w:rsidP="002C5F6E">
            <w:pPr>
              <w:spacing w:line="240" w:lineRule="auto"/>
              <w:ind w:firstLine="0"/>
            </w:pPr>
            <w:r w:rsidRPr="004D46AC">
              <w:rPr>
                <w:color w:val="000000"/>
                <w:szCs w:val="21"/>
              </w:rPr>
              <w:t xml:space="preserve">1.08 </w:t>
            </w:r>
          </w:p>
        </w:tc>
        <w:tc>
          <w:tcPr>
            <w:tcW w:w="1705" w:type="dxa"/>
            <w:vAlign w:val="center"/>
          </w:tcPr>
          <w:p w14:paraId="5D626557"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857C558" w14:textId="77777777">
        <w:tc>
          <w:tcPr>
            <w:tcW w:w="1704" w:type="dxa"/>
            <w:vAlign w:val="center"/>
          </w:tcPr>
          <w:p w14:paraId="1F375200" w14:textId="77777777" w:rsidR="007075D9" w:rsidRPr="004D46AC" w:rsidRDefault="007075D9" w:rsidP="002C5F6E">
            <w:pPr>
              <w:spacing w:line="240" w:lineRule="auto"/>
              <w:ind w:firstLine="0"/>
            </w:pPr>
            <w:r w:rsidRPr="004D46AC">
              <w:rPr>
                <w:color w:val="000000"/>
              </w:rPr>
              <w:t>TR19--TR16</w:t>
            </w:r>
          </w:p>
        </w:tc>
        <w:tc>
          <w:tcPr>
            <w:tcW w:w="1704" w:type="dxa"/>
            <w:vAlign w:val="center"/>
          </w:tcPr>
          <w:p w14:paraId="2851832C" w14:textId="77777777" w:rsidR="007075D9" w:rsidRPr="004D46AC" w:rsidRDefault="007075D9" w:rsidP="002C5F6E">
            <w:pPr>
              <w:spacing w:line="240" w:lineRule="auto"/>
              <w:ind w:firstLine="0"/>
            </w:pPr>
            <w:r w:rsidRPr="004D46AC">
              <w:rPr>
                <w:color w:val="000000"/>
                <w:szCs w:val="21"/>
              </w:rPr>
              <w:t xml:space="preserve">0.83 </w:t>
            </w:r>
          </w:p>
        </w:tc>
        <w:tc>
          <w:tcPr>
            <w:tcW w:w="1704" w:type="dxa"/>
            <w:vAlign w:val="center"/>
          </w:tcPr>
          <w:p w14:paraId="5A21F92A" w14:textId="77777777" w:rsidR="007075D9" w:rsidRPr="004D46AC" w:rsidRDefault="007075D9" w:rsidP="002C5F6E">
            <w:pPr>
              <w:spacing w:line="240" w:lineRule="auto"/>
              <w:ind w:firstLine="0"/>
            </w:pPr>
            <w:r w:rsidRPr="004D46AC">
              <w:rPr>
                <w:color w:val="000000"/>
                <w:szCs w:val="21"/>
              </w:rPr>
              <w:t xml:space="preserve">0.59 </w:t>
            </w:r>
          </w:p>
        </w:tc>
        <w:tc>
          <w:tcPr>
            <w:tcW w:w="1705" w:type="dxa"/>
            <w:vAlign w:val="center"/>
          </w:tcPr>
          <w:p w14:paraId="6460935A" w14:textId="77777777" w:rsidR="007075D9" w:rsidRPr="004D46AC" w:rsidRDefault="007075D9" w:rsidP="002C5F6E">
            <w:pPr>
              <w:spacing w:line="240" w:lineRule="auto"/>
              <w:ind w:firstLine="0"/>
            </w:pPr>
            <w:r w:rsidRPr="004D46AC">
              <w:rPr>
                <w:color w:val="000000"/>
                <w:szCs w:val="21"/>
              </w:rPr>
              <w:t xml:space="preserve">1.06 </w:t>
            </w:r>
          </w:p>
        </w:tc>
        <w:tc>
          <w:tcPr>
            <w:tcW w:w="1705" w:type="dxa"/>
            <w:vAlign w:val="center"/>
          </w:tcPr>
          <w:p w14:paraId="6801CE6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9D8FC58" w14:textId="77777777">
        <w:tc>
          <w:tcPr>
            <w:tcW w:w="1704" w:type="dxa"/>
            <w:vAlign w:val="center"/>
          </w:tcPr>
          <w:p w14:paraId="4A3A93D7" w14:textId="77777777" w:rsidR="007075D9" w:rsidRPr="004D46AC" w:rsidRDefault="007075D9" w:rsidP="002C5F6E">
            <w:pPr>
              <w:spacing w:line="240" w:lineRule="auto"/>
              <w:ind w:firstLine="0"/>
            </w:pPr>
            <w:r w:rsidRPr="004D46AC">
              <w:rPr>
                <w:color w:val="000000"/>
              </w:rPr>
              <w:t>TR6--TR9</w:t>
            </w:r>
          </w:p>
        </w:tc>
        <w:tc>
          <w:tcPr>
            <w:tcW w:w="1704" w:type="dxa"/>
            <w:vAlign w:val="center"/>
          </w:tcPr>
          <w:p w14:paraId="444674E6" w14:textId="77777777" w:rsidR="007075D9" w:rsidRPr="004D46AC" w:rsidRDefault="007075D9" w:rsidP="002C5F6E">
            <w:pPr>
              <w:spacing w:line="240" w:lineRule="auto"/>
              <w:ind w:firstLine="0"/>
            </w:pPr>
            <w:r w:rsidRPr="004D46AC">
              <w:rPr>
                <w:color w:val="000000"/>
                <w:szCs w:val="21"/>
              </w:rPr>
              <w:t xml:space="preserve">0.82 </w:t>
            </w:r>
          </w:p>
        </w:tc>
        <w:tc>
          <w:tcPr>
            <w:tcW w:w="1704" w:type="dxa"/>
            <w:vAlign w:val="center"/>
          </w:tcPr>
          <w:p w14:paraId="5DFF7491"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2C27D6CA" w14:textId="77777777" w:rsidR="007075D9" w:rsidRPr="004D46AC" w:rsidRDefault="007075D9" w:rsidP="002C5F6E">
            <w:pPr>
              <w:spacing w:line="240" w:lineRule="auto"/>
              <w:ind w:firstLine="0"/>
            </w:pPr>
            <w:r w:rsidRPr="004D46AC">
              <w:rPr>
                <w:color w:val="000000"/>
                <w:szCs w:val="21"/>
              </w:rPr>
              <w:t xml:space="preserve">1.07 </w:t>
            </w:r>
          </w:p>
        </w:tc>
        <w:tc>
          <w:tcPr>
            <w:tcW w:w="1705" w:type="dxa"/>
            <w:vAlign w:val="center"/>
          </w:tcPr>
          <w:p w14:paraId="0F67BD61"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B33D5C3" w14:textId="77777777">
        <w:tc>
          <w:tcPr>
            <w:tcW w:w="1704" w:type="dxa"/>
            <w:vAlign w:val="center"/>
          </w:tcPr>
          <w:p w14:paraId="34558819" w14:textId="77777777" w:rsidR="007075D9" w:rsidRPr="004D46AC" w:rsidRDefault="007075D9" w:rsidP="002C5F6E">
            <w:pPr>
              <w:spacing w:line="240" w:lineRule="auto"/>
              <w:ind w:firstLine="0"/>
            </w:pPr>
            <w:r w:rsidRPr="004D46AC">
              <w:rPr>
                <w:color w:val="000000"/>
              </w:rPr>
              <w:t>TR14--TR22</w:t>
            </w:r>
          </w:p>
        </w:tc>
        <w:tc>
          <w:tcPr>
            <w:tcW w:w="1704" w:type="dxa"/>
            <w:vAlign w:val="center"/>
          </w:tcPr>
          <w:p w14:paraId="5052EF89" w14:textId="77777777" w:rsidR="007075D9" w:rsidRPr="004D46AC" w:rsidRDefault="007075D9" w:rsidP="002C5F6E">
            <w:pPr>
              <w:spacing w:line="240" w:lineRule="auto"/>
              <w:ind w:firstLine="0"/>
            </w:pPr>
            <w:r w:rsidRPr="004D46AC">
              <w:rPr>
                <w:color w:val="000000"/>
                <w:szCs w:val="21"/>
              </w:rPr>
              <w:t xml:space="preserve">0.79 </w:t>
            </w:r>
          </w:p>
        </w:tc>
        <w:tc>
          <w:tcPr>
            <w:tcW w:w="1704" w:type="dxa"/>
            <w:vAlign w:val="center"/>
          </w:tcPr>
          <w:p w14:paraId="18BC4D6A"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0AF28B8A" w14:textId="77777777" w:rsidR="007075D9" w:rsidRPr="004D46AC" w:rsidRDefault="007075D9" w:rsidP="002C5F6E">
            <w:pPr>
              <w:spacing w:line="240" w:lineRule="auto"/>
              <w:ind w:firstLine="0"/>
            </w:pPr>
            <w:r w:rsidRPr="004D46AC">
              <w:rPr>
                <w:color w:val="000000"/>
                <w:szCs w:val="21"/>
              </w:rPr>
              <w:t xml:space="preserve">1.02 </w:t>
            </w:r>
          </w:p>
        </w:tc>
        <w:tc>
          <w:tcPr>
            <w:tcW w:w="1705" w:type="dxa"/>
            <w:vAlign w:val="center"/>
          </w:tcPr>
          <w:p w14:paraId="15DFF12C"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52260635" w14:textId="77777777">
        <w:tc>
          <w:tcPr>
            <w:tcW w:w="1704" w:type="dxa"/>
            <w:vAlign w:val="center"/>
          </w:tcPr>
          <w:p w14:paraId="1E9C7D32" w14:textId="77777777" w:rsidR="007075D9" w:rsidRPr="004D46AC" w:rsidRDefault="007075D9" w:rsidP="002C5F6E">
            <w:pPr>
              <w:spacing w:line="240" w:lineRule="auto"/>
              <w:ind w:firstLine="0"/>
            </w:pPr>
            <w:r w:rsidRPr="004D46AC">
              <w:rPr>
                <w:color w:val="000000"/>
              </w:rPr>
              <w:t>TR30--TR33</w:t>
            </w:r>
          </w:p>
        </w:tc>
        <w:tc>
          <w:tcPr>
            <w:tcW w:w="1704" w:type="dxa"/>
            <w:vAlign w:val="center"/>
          </w:tcPr>
          <w:p w14:paraId="747BBB75" w14:textId="77777777" w:rsidR="007075D9" w:rsidRPr="004D46AC" w:rsidRDefault="007075D9" w:rsidP="002C5F6E">
            <w:pPr>
              <w:spacing w:line="240" w:lineRule="auto"/>
              <w:ind w:firstLine="0"/>
            </w:pPr>
            <w:r w:rsidRPr="004D46AC">
              <w:rPr>
                <w:color w:val="000000"/>
                <w:szCs w:val="21"/>
              </w:rPr>
              <w:t xml:space="preserve">0.75 </w:t>
            </w:r>
          </w:p>
        </w:tc>
        <w:tc>
          <w:tcPr>
            <w:tcW w:w="1704" w:type="dxa"/>
            <w:vAlign w:val="center"/>
          </w:tcPr>
          <w:p w14:paraId="49D35E9B"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4CE137C0" w14:textId="77777777" w:rsidR="007075D9" w:rsidRPr="004D46AC" w:rsidRDefault="007075D9" w:rsidP="002C5F6E">
            <w:pPr>
              <w:spacing w:line="240" w:lineRule="auto"/>
              <w:ind w:firstLine="0"/>
            </w:pPr>
            <w:r w:rsidRPr="004D46AC">
              <w:rPr>
                <w:color w:val="000000"/>
                <w:szCs w:val="21"/>
              </w:rPr>
              <w:t xml:space="preserve">1.00 </w:t>
            </w:r>
          </w:p>
        </w:tc>
        <w:tc>
          <w:tcPr>
            <w:tcW w:w="1705" w:type="dxa"/>
            <w:vAlign w:val="center"/>
          </w:tcPr>
          <w:p w14:paraId="7724999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5EC5AF70" w14:textId="77777777">
        <w:tc>
          <w:tcPr>
            <w:tcW w:w="1704" w:type="dxa"/>
            <w:vAlign w:val="center"/>
          </w:tcPr>
          <w:p w14:paraId="17C907EE" w14:textId="77777777" w:rsidR="007075D9" w:rsidRPr="004D46AC" w:rsidRDefault="007075D9" w:rsidP="002C5F6E">
            <w:pPr>
              <w:spacing w:line="240" w:lineRule="auto"/>
              <w:ind w:firstLine="0"/>
            </w:pPr>
            <w:r w:rsidRPr="004D46AC">
              <w:rPr>
                <w:color w:val="000000"/>
              </w:rPr>
              <w:t>TR23--TR24</w:t>
            </w:r>
          </w:p>
        </w:tc>
        <w:tc>
          <w:tcPr>
            <w:tcW w:w="1704" w:type="dxa"/>
            <w:vAlign w:val="center"/>
          </w:tcPr>
          <w:p w14:paraId="164205C9" w14:textId="77777777" w:rsidR="007075D9" w:rsidRPr="004D46AC" w:rsidRDefault="007075D9" w:rsidP="002C5F6E">
            <w:pPr>
              <w:spacing w:line="240" w:lineRule="auto"/>
              <w:ind w:firstLine="0"/>
            </w:pPr>
            <w:r w:rsidRPr="004D46AC">
              <w:rPr>
                <w:color w:val="000000"/>
                <w:szCs w:val="21"/>
              </w:rPr>
              <w:t xml:space="preserve">0.73 </w:t>
            </w:r>
          </w:p>
        </w:tc>
        <w:tc>
          <w:tcPr>
            <w:tcW w:w="1704" w:type="dxa"/>
            <w:vAlign w:val="center"/>
          </w:tcPr>
          <w:p w14:paraId="7DE4BF11"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4B82E137" w14:textId="77777777" w:rsidR="007075D9" w:rsidRPr="004D46AC" w:rsidRDefault="007075D9" w:rsidP="002C5F6E">
            <w:pPr>
              <w:spacing w:line="240" w:lineRule="auto"/>
              <w:ind w:firstLine="0"/>
            </w:pPr>
            <w:r w:rsidRPr="004D46AC">
              <w:rPr>
                <w:color w:val="000000"/>
                <w:szCs w:val="21"/>
              </w:rPr>
              <w:t xml:space="preserve">0.95 </w:t>
            </w:r>
          </w:p>
        </w:tc>
        <w:tc>
          <w:tcPr>
            <w:tcW w:w="1705" w:type="dxa"/>
            <w:vAlign w:val="center"/>
          </w:tcPr>
          <w:p w14:paraId="7706E680"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76C604D" w14:textId="77777777">
        <w:tc>
          <w:tcPr>
            <w:tcW w:w="1704" w:type="dxa"/>
            <w:vAlign w:val="center"/>
          </w:tcPr>
          <w:p w14:paraId="60E84E1A" w14:textId="77777777" w:rsidR="007075D9" w:rsidRPr="004D46AC" w:rsidRDefault="007075D9" w:rsidP="002C5F6E">
            <w:pPr>
              <w:spacing w:line="240" w:lineRule="auto"/>
              <w:ind w:firstLine="0"/>
            </w:pPr>
            <w:r w:rsidRPr="004D46AC">
              <w:rPr>
                <w:color w:val="000000"/>
              </w:rPr>
              <w:t>TR5--TR24</w:t>
            </w:r>
          </w:p>
        </w:tc>
        <w:tc>
          <w:tcPr>
            <w:tcW w:w="1704" w:type="dxa"/>
            <w:vAlign w:val="center"/>
          </w:tcPr>
          <w:p w14:paraId="4B09234C" w14:textId="77777777" w:rsidR="007075D9" w:rsidRPr="004D46AC" w:rsidRDefault="007075D9" w:rsidP="002C5F6E">
            <w:pPr>
              <w:spacing w:line="240" w:lineRule="auto"/>
              <w:ind w:firstLine="0"/>
            </w:pPr>
            <w:r w:rsidRPr="004D46AC">
              <w:rPr>
                <w:color w:val="000000"/>
                <w:szCs w:val="21"/>
              </w:rPr>
              <w:t xml:space="preserve">0.71 </w:t>
            </w:r>
          </w:p>
        </w:tc>
        <w:tc>
          <w:tcPr>
            <w:tcW w:w="1704" w:type="dxa"/>
            <w:vAlign w:val="center"/>
          </w:tcPr>
          <w:p w14:paraId="389BEB02"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509381BE" w14:textId="77777777" w:rsidR="007075D9" w:rsidRPr="004D46AC" w:rsidRDefault="007075D9" w:rsidP="002C5F6E">
            <w:pPr>
              <w:spacing w:line="240" w:lineRule="auto"/>
              <w:ind w:firstLine="0"/>
            </w:pPr>
            <w:r w:rsidRPr="004D46AC">
              <w:rPr>
                <w:color w:val="000000"/>
                <w:szCs w:val="21"/>
              </w:rPr>
              <w:t xml:space="preserve">0.97 </w:t>
            </w:r>
          </w:p>
        </w:tc>
        <w:tc>
          <w:tcPr>
            <w:tcW w:w="1705" w:type="dxa"/>
            <w:vAlign w:val="center"/>
          </w:tcPr>
          <w:p w14:paraId="45E543F1"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77114AB" w14:textId="77777777">
        <w:tc>
          <w:tcPr>
            <w:tcW w:w="1704" w:type="dxa"/>
            <w:vAlign w:val="center"/>
          </w:tcPr>
          <w:p w14:paraId="63B72517" w14:textId="77777777" w:rsidR="007075D9" w:rsidRPr="004D46AC" w:rsidRDefault="007075D9" w:rsidP="002C5F6E">
            <w:pPr>
              <w:spacing w:line="240" w:lineRule="auto"/>
              <w:ind w:firstLine="0"/>
            </w:pPr>
            <w:r w:rsidRPr="004D46AC">
              <w:rPr>
                <w:color w:val="000000"/>
              </w:rPr>
              <w:t>TR17--TR30</w:t>
            </w:r>
          </w:p>
        </w:tc>
        <w:tc>
          <w:tcPr>
            <w:tcW w:w="1704" w:type="dxa"/>
            <w:vAlign w:val="center"/>
          </w:tcPr>
          <w:p w14:paraId="0416C943" w14:textId="77777777" w:rsidR="007075D9" w:rsidRPr="004D46AC" w:rsidRDefault="007075D9" w:rsidP="002C5F6E">
            <w:pPr>
              <w:spacing w:line="240" w:lineRule="auto"/>
              <w:ind w:firstLine="0"/>
            </w:pPr>
            <w:r w:rsidRPr="004D46AC">
              <w:rPr>
                <w:color w:val="000000"/>
                <w:szCs w:val="21"/>
              </w:rPr>
              <w:t xml:space="preserve">0.69 </w:t>
            </w:r>
          </w:p>
        </w:tc>
        <w:tc>
          <w:tcPr>
            <w:tcW w:w="1704" w:type="dxa"/>
            <w:vAlign w:val="center"/>
          </w:tcPr>
          <w:p w14:paraId="7933C403"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51F39B87" w14:textId="77777777" w:rsidR="007075D9" w:rsidRPr="004D46AC" w:rsidRDefault="007075D9" w:rsidP="002C5F6E">
            <w:pPr>
              <w:spacing w:line="240" w:lineRule="auto"/>
              <w:ind w:firstLine="0"/>
            </w:pPr>
            <w:r w:rsidRPr="004D46AC">
              <w:rPr>
                <w:color w:val="000000"/>
                <w:szCs w:val="21"/>
              </w:rPr>
              <w:t xml:space="preserve">0.95 </w:t>
            </w:r>
          </w:p>
        </w:tc>
        <w:tc>
          <w:tcPr>
            <w:tcW w:w="1705" w:type="dxa"/>
            <w:vAlign w:val="center"/>
          </w:tcPr>
          <w:p w14:paraId="09A26E60"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0A7AE2D" w14:textId="77777777">
        <w:tc>
          <w:tcPr>
            <w:tcW w:w="1704" w:type="dxa"/>
            <w:vAlign w:val="center"/>
          </w:tcPr>
          <w:p w14:paraId="0832BC04" w14:textId="77777777" w:rsidR="007075D9" w:rsidRPr="004D46AC" w:rsidRDefault="007075D9" w:rsidP="002C5F6E">
            <w:pPr>
              <w:spacing w:line="240" w:lineRule="auto"/>
              <w:ind w:firstLine="0"/>
            </w:pPr>
            <w:r w:rsidRPr="004D46AC">
              <w:rPr>
                <w:color w:val="000000"/>
              </w:rPr>
              <w:t>TR29--TR30</w:t>
            </w:r>
          </w:p>
        </w:tc>
        <w:tc>
          <w:tcPr>
            <w:tcW w:w="1704" w:type="dxa"/>
            <w:vAlign w:val="center"/>
          </w:tcPr>
          <w:p w14:paraId="1D639B67" w14:textId="77777777" w:rsidR="007075D9" w:rsidRPr="004D46AC" w:rsidRDefault="007075D9" w:rsidP="002C5F6E">
            <w:pPr>
              <w:spacing w:line="240" w:lineRule="auto"/>
              <w:ind w:firstLine="0"/>
            </w:pPr>
            <w:r w:rsidRPr="004D46AC">
              <w:rPr>
                <w:color w:val="000000"/>
                <w:szCs w:val="21"/>
              </w:rPr>
              <w:t xml:space="preserve">0.68 </w:t>
            </w:r>
          </w:p>
        </w:tc>
        <w:tc>
          <w:tcPr>
            <w:tcW w:w="1704" w:type="dxa"/>
            <w:vAlign w:val="center"/>
          </w:tcPr>
          <w:p w14:paraId="114D8FDE"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6794FC21" w14:textId="77777777" w:rsidR="007075D9" w:rsidRPr="004D46AC" w:rsidRDefault="007075D9" w:rsidP="002C5F6E">
            <w:pPr>
              <w:spacing w:line="240" w:lineRule="auto"/>
              <w:ind w:firstLine="0"/>
            </w:pPr>
            <w:r w:rsidRPr="004D46AC">
              <w:rPr>
                <w:color w:val="000000"/>
                <w:szCs w:val="21"/>
              </w:rPr>
              <w:t xml:space="preserve">0.95 </w:t>
            </w:r>
          </w:p>
        </w:tc>
        <w:tc>
          <w:tcPr>
            <w:tcW w:w="1705" w:type="dxa"/>
            <w:vAlign w:val="center"/>
          </w:tcPr>
          <w:p w14:paraId="59997EF0"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69C8F91E" w14:textId="77777777">
        <w:tc>
          <w:tcPr>
            <w:tcW w:w="1704" w:type="dxa"/>
            <w:vAlign w:val="center"/>
          </w:tcPr>
          <w:p w14:paraId="6BD1F140" w14:textId="77777777" w:rsidR="007075D9" w:rsidRPr="004D46AC" w:rsidRDefault="007075D9" w:rsidP="002C5F6E">
            <w:pPr>
              <w:spacing w:line="240" w:lineRule="auto"/>
              <w:ind w:firstLine="0"/>
            </w:pPr>
            <w:r w:rsidRPr="004D46AC">
              <w:rPr>
                <w:color w:val="000000"/>
              </w:rPr>
              <w:t>TR5--TR15</w:t>
            </w:r>
          </w:p>
        </w:tc>
        <w:tc>
          <w:tcPr>
            <w:tcW w:w="1704" w:type="dxa"/>
            <w:vAlign w:val="center"/>
          </w:tcPr>
          <w:p w14:paraId="70211CA8" w14:textId="77777777" w:rsidR="007075D9" w:rsidRPr="004D46AC" w:rsidRDefault="007075D9" w:rsidP="002C5F6E">
            <w:pPr>
              <w:spacing w:line="240" w:lineRule="auto"/>
              <w:ind w:firstLine="0"/>
            </w:pPr>
            <w:r w:rsidRPr="004D46AC">
              <w:rPr>
                <w:color w:val="000000"/>
                <w:szCs w:val="21"/>
              </w:rPr>
              <w:t xml:space="preserve">0.68 </w:t>
            </w:r>
          </w:p>
        </w:tc>
        <w:tc>
          <w:tcPr>
            <w:tcW w:w="1704" w:type="dxa"/>
            <w:vAlign w:val="center"/>
          </w:tcPr>
          <w:p w14:paraId="41555556"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01B7AB46" w14:textId="77777777" w:rsidR="007075D9" w:rsidRPr="004D46AC" w:rsidRDefault="007075D9" w:rsidP="002C5F6E">
            <w:pPr>
              <w:spacing w:line="240" w:lineRule="auto"/>
              <w:ind w:firstLine="0"/>
            </w:pPr>
            <w:r w:rsidRPr="004D46AC">
              <w:rPr>
                <w:color w:val="000000"/>
                <w:szCs w:val="21"/>
              </w:rPr>
              <w:t xml:space="preserve">0.95 </w:t>
            </w:r>
          </w:p>
        </w:tc>
        <w:tc>
          <w:tcPr>
            <w:tcW w:w="1705" w:type="dxa"/>
            <w:vAlign w:val="center"/>
          </w:tcPr>
          <w:p w14:paraId="7E324689"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2B42068" w14:textId="77777777">
        <w:tc>
          <w:tcPr>
            <w:tcW w:w="1704" w:type="dxa"/>
            <w:vAlign w:val="center"/>
          </w:tcPr>
          <w:p w14:paraId="5E09F4B3" w14:textId="77777777" w:rsidR="007075D9" w:rsidRPr="004D46AC" w:rsidRDefault="007075D9" w:rsidP="002C5F6E">
            <w:pPr>
              <w:spacing w:line="240" w:lineRule="auto"/>
              <w:ind w:firstLine="0"/>
            </w:pPr>
            <w:r w:rsidRPr="004D46AC">
              <w:rPr>
                <w:color w:val="000000"/>
              </w:rPr>
              <w:t>TR19--TR21</w:t>
            </w:r>
          </w:p>
        </w:tc>
        <w:tc>
          <w:tcPr>
            <w:tcW w:w="1704" w:type="dxa"/>
            <w:vAlign w:val="center"/>
          </w:tcPr>
          <w:p w14:paraId="3EFD5A15" w14:textId="77777777" w:rsidR="007075D9" w:rsidRPr="004D46AC" w:rsidRDefault="007075D9" w:rsidP="002C5F6E">
            <w:pPr>
              <w:spacing w:line="240" w:lineRule="auto"/>
              <w:ind w:firstLine="0"/>
            </w:pPr>
            <w:r w:rsidRPr="004D46AC">
              <w:rPr>
                <w:color w:val="000000"/>
                <w:szCs w:val="21"/>
              </w:rPr>
              <w:t xml:space="preserve">0.66 </w:t>
            </w:r>
          </w:p>
        </w:tc>
        <w:tc>
          <w:tcPr>
            <w:tcW w:w="1704" w:type="dxa"/>
            <w:vAlign w:val="center"/>
          </w:tcPr>
          <w:p w14:paraId="1875B66A"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76E3D1BA" w14:textId="77777777" w:rsidR="007075D9" w:rsidRPr="004D46AC" w:rsidRDefault="007075D9" w:rsidP="002C5F6E">
            <w:pPr>
              <w:spacing w:line="240" w:lineRule="auto"/>
              <w:ind w:firstLine="0"/>
            </w:pPr>
            <w:r w:rsidRPr="004D46AC">
              <w:rPr>
                <w:color w:val="000000"/>
                <w:szCs w:val="21"/>
              </w:rPr>
              <w:t xml:space="preserve">0.91 </w:t>
            </w:r>
          </w:p>
        </w:tc>
        <w:tc>
          <w:tcPr>
            <w:tcW w:w="1705" w:type="dxa"/>
            <w:vAlign w:val="center"/>
          </w:tcPr>
          <w:p w14:paraId="1CF1C8E1"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160E20D" w14:textId="77777777">
        <w:tc>
          <w:tcPr>
            <w:tcW w:w="1704" w:type="dxa"/>
            <w:vAlign w:val="center"/>
          </w:tcPr>
          <w:p w14:paraId="534BDFE4" w14:textId="77777777" w:rsidR="007075D9" w:rsidRPr="004D46AC" w:rsidRDefault="007075D9" w:rsidP="002C5F6E">
            <w:pPr>
              <w:spacing w:line="240" w:lineRule="auto"/>
              <w:ind w:firstLine="0"/>
            </w:pPr>
            <w:r w:rsidRPr="004D46AC">
              <w:rPr>
                <w:color w:val="000000"/>
              </w:rPr>
              <w:t>TR15--TR26</w:t>
            </w:r>
          </w:p>
        </w:tc>
        <w:tc>
          <w:tcPr>
            <w:tcW w:w="1704" w:type="dxa"/>
            <w:vAlign w:val="center"/>
          </w:tcPr>
          <w:p w14:paraId="20D90AD2" w14:textId="77777777" w:rsidR="007075D9" w:rsidRPr="004D46AC" w:rsidRDefault="007075D9" w:rsidP="002C5F6E">
            <w:pPr>
              <w:spacing w:line="240" w:lineRule="auto"/>
              <w:ind w:firstLine="0"/>
            </w:pPr>
            <w:r w:rsidRPr="004D46AC">
              <w:rPr>
                <w:color w:val="000000"/>
                <w:szCs w:val="21"/>
              </w:rPr>
              <w:t xml:space="preserve">0.62 </w:t>
            </w:r>
          </w:p>
        </w:tc>
        <w:tc>
          <w:tcPr>
            <w:tcW w:w="1704" w:type="dxa"/>
            <w:vAlign w:val="center"/>
          </w:tcPr>
          <w:p w14:paraId="4180CE5D"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0579A8D8" w14:textId="77777777" w:rsidR="007075D9" w:rsidRPr="004D46AC" w:rsidRDefault="007075D9" w:rsidP="002C5F6E">
            <w:pPr>
              <w:spacing w:line="240" w:lineRule="auto"/>
              <w:ind w:firstLine="0"/>
            </w:pPr>
            <w:r w:rsidRPr="004D46AC">
              <w:rPr>
                <w:color w:val="000000"/>
                <w:szCs w:val="21"/>
              </w:rPr>
              <w:t xml:space="preserve">0.87 </w:t>
            </w:r>
          </w:p>
        </w:tc>
        <w:tc>
          <w:tcPr>
            <w:tcW w:w="1705" w:type="dxa"/>
            <w:vAlign w:val="center"/>
          </w:tcPr>
          <w:p w14:paraId="274F1EE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FBFFB12" w14:textId="77777777">
        <w:tc>
          <w:tcPr>
            <w:tcW w:w="1704" w:type="dxa"/>
            <w:vAlign w:val="center"/>
          </w:tcPr>
          <w:p w14:paraId="1CCCE2AB" w14:textId="77777777" w:rsidR="007075D9" w:rsidRPr="004D46AC" w:rsidRDefault="007075D9" w:rsidP="002C5F6E">
            <w:pPr>
              <w:spacing w:line="240" w:lineRule="auto"/>
              <w:ind w:firstLine="0"/>
            </w:pPr>
            <w:r w:rsidRPr="004D46AC">
              <w:rPr>
                <w:color w:val="000000"/>
              </w:rPr>
              <w:t>TR13--TR14</w:t>
            </w:r>
          </w:p>
        </w:tc>
        <w:tc>
          <w:tcPr>
            <w:tcW w:w="1704" w:type="dxa"/>
            <w:vAlign w:val="center"/>
          </w:tcPr>
          <w:p w14:paraId="7B207AB5" w14:textId="77777777" w:rsidR="007075D9" w:rsidRPr="004D46AC" w:rsidRDefault="007075D9" w:rsidP="002C5F6E">
            <w:pPr>
              <w:spacing w:line="240" w:lineRule="auto"/>
              <w:ind w:firstLine="0"/>
            </w:pPr>
            <w:r w:rsidRPr="004D46AC">
              <w:rPr>
                <w:color w:val="000000"/>
                <w:szCs w:val="21"/>
              </w:rPr>
              <w:t xml:space="preserve">0.62 </w:t>
            </w:r>
          </w:p>
        </w:tc>
        <w:tc>
          <w:tcPr>
            <w:tcW w:w="1704" w:type="dxa"/>
            <w:vAlign w:val="center"/>
          </w:tcPr>
          <w:p w14:paraId="281061A0" w14:textId="77777777" w:rsidR="007075D9" w:rsidRPr="004D46AC" w:rsidRDefault="007075D9" w:rsidP="002C5F6E">
            <w:pPr>
              <w:spacing w:line="240" w:lineRule="auto"/>
              <w:ind w:firstLine="0"/>
            </w:pPr>
            <w:r w:rsidRPr="004D46AC">
              <w:rPr>
                <w:color w:val="000000"/>
                <w:szCs w:val="21"/>
              </w:rPr>
              <w:t xml:space="preserve">0.40 </w:t>
            </w:r>
          </w:p>
        </w:tc>
        <w:tc>
          <w:tcPr>
            <w:tcW w:w="1705" w:type="dxa"/>
            <w:vAlign w:val="center"/>
          </w:tcPr>
          <w:p w14:paraId="177DF1F2" w14:textId="77777777" w:rsidR="007075D9" w:rsidRPr="004D46AC" w:rsidRDefault="007075D9" w:rsidP="002C5F6E">
            <w:pPr>
              <w:spacing w:line="240" w:lineRule="auto"/>
              <w:ind w:firstLine="0"/>
            </w:pPr>
            <w:r w:rsidRPr="004D46AC">
              <w:rPr>
                <w:color w:val="000000"/>
                <w:szCs w:val="21"/>
              </w:rPr>
              <w:t xml:space="preserve">0.84 </w:t>
            </w:r>
          </w:p>
        </w:tc>
        <w:tc>
          <w:tcPr>
            <w:tcW w:w="1705" w:type="dxa"/>
            <w:vAlign w:val="center"/>
          </w:tcPr>
          <w:p w14:paraId="55B79AF1"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6F9E2A2" w14:textId="77777777">
        <w:tc>
          <w:tcPr>
            <w:tcW w:w="1704" w:type="dxa"/>
            <w:vAlign w:val="center"/>
          </w:tcPr>
          <w:p w14:paraId="030FD47C" w14:textId="77777777" w:rsidR="007075D9" w:rsidRPr="004D46AC" w:rsidRDefault="007075D9" w:rsidP="002C5F6E">
            <w:pPr>
              <w:spacing w:line="240" w:lineRule="auto"/>
              <w:ind w:firstLine="0"/>
            </w:pPr>
            <w:r w:rsidRPr="004D46AC">
              <w:rPr>
                <w:color w:val="000000"/>
              </w:rPr>
              <w:t>TR9--TR18</w:t>
            </w:r>
          </w:p>
        </w:tc>
        <w:tc>
          <w:tcPr>
            <w:tcW w:w="1704" w:type="dxa"/>
            <w:vAlign w:val="center"/>
          </w:tcPr>
          <w:p w14:paraId="11573EBD" w14:textId="77777777" w:rsidR="007075D9" w:rsidRPr="004D46AC" w:rsidRDefault="007075D9" w:rsidP="002C5F6E">
            <w:pPr>
              <w:spacing w:line="240" w:lineRule="auto"/>
              <w:ind w:firstLine="0"/>
            </w:pPr>
            <w:r w:rsidRPr="004D46AC">
              <w:rPr>
                <w:color w:val="000000"/>
                <w:szCs w:val="21"/>
              </w:rPr>
              <w:t xml:space="preserve">0.61 </w:t>
            </w:r>
          </w:p>
        </w:tc>
        <w:tc>
          <w:tcPr>
            <w:tcW w:w="1704" w:type="dxa"/>
            <w:vAlign w:val="center"/>
          </w:tcPr>
          <w:p w14:paraId="5B0E9A26"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5A3C8B34" w14:textId="77777777" w:rsidR="007075D9" w:rsidRPr="004D46AC" w:rsidRDefault="007075D9" w:rsidP="002C5F6E">
            <w:pPr>
              <w:spacing w:line="240" w:lineRule="auto"/>
              <w:ind w:firstLine="0"/>
            </w:pPr>
            <w:r w:rsidRPr="004D46AC">
              <w:rPr>
                <w:color w:val="000000"/>
                <w:szCs w:val="21"/>
              </w:rPr>
              <w:t xml:space="preserve">0.86 </w:t>
            </w:r>
          </w:p>
        </w:tc>
        <w:tc>
          <w:tcPr>
            <w:tcW w:w="1705" w:type="dxa"/>
            <w:vAlign w:val="center"/>
          </w:tcPr>
          <w:p w14:paraId="5FB53D3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B247A9A" w14:textId="77777777">
        <w:tc>
          <w:tcPr>
            <w:tcW w:w="1704" w:type="dxa"/>
            <w:vAlign w:val="center"/>
          </w:tcPr>
          <w:p w14:paraId="7B784C85" w14:textId="77777777" w:rsidR="007075D9" w:rsidRPr="004D46AC" w:rsidRDefault="007075D9" w:rsidP="002C5F6E">
            <w:pPr>
              <w:spacing w:line="240" w:lineRule="auto"/>
              <w:ind w:firstLine="0"/>
            </w:pPr>
            <w:r w:rsidRPr="004D46AC">
              <w:rPr>
                <w:color w:val="000000"/>
              </w:rPr>
              <w:t>TR7--TR19</w:t>
            </w:r>
          </w:p>
        </w:tc>
        <w:tc>
          <w:tcPr>
            <w:tcW w:w="1704" w:type="dxa"/>
            <w:vAlign w:val="center"/>
          </w:tcPr>
          <w:p w14:paraId="511C8B31" w14:textId="77777777" w:rsidR="007075D9" w:rsidRPr="004D46AC" w:rsidRDefault="007075D9" w:rsidP="002C5F6E">
            <w:pPr>
              <w:spacing w:line="240" w:lineRule="auto"/>
              <w:ind w:firstLine="0"/>
            </w:pPr>
            <w:r w:rsidRPr="004D46AC">
              <w:rPr>
                <w:color w:val="000000"/>
                <w:szCs w:val="21"/>
              </w:rPr>
              <w:t xml:space="preserve">0.60 </w:t>
            </w:r>
          </w:p>
        </w:tc>
        <w:tc>
          <w:tcPr>
            <w:tcW w:w="1704" w:type="dxa"/>
            <w:vAlign w:val="center"/>
          </w:tcPr>
          <w:p w14:paraId="4F14C0D3"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6A363950" w14:textId="77777777" w:rsidR="007075D9" w:rsidRPr="004D46AC" w:rsidRDefault="007075D9" w:rsidP="002C5F6E">
            <w:pPr>
              <w:spacing w:line="240" w:lineRule="auto"/>
              <w:ind w:firstLine="0"/>
            </w:pPr>
            <w:r w:rsidRPr="004D46AC">
              <w:rPr>
                <w:color w:val="000000"/>
                <w:szCs w:val="21"/>
              </w:rPr>
              <w:t xml:space="preserve">0.85 </w:t>
            </w:r>
          </w:p>
        </w:tc>
        <w:tc>
          <w:tcPr>
            <w:tcW w:w="1705" w:type="dxa"/>
            <w:vAlign w:val="center"/>
          </w:tcPr>
          <w:p w14:paraId="3D41AA06"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6B9A9271" w14:textId="77777777">
        <w:tc>
          <w:tcPr>
            <w:tcW w:w="1704" w:type="dxa"/>
            <w:vAlign w:val="center"/>
          </w:tcPr>
          <w:p w14:paraId="6180384A" w14:textId="77777777" w:rsidR="007075D9" w:rsidRPr="004D46AC" w:rsidRDefault="007075D9" w:rsidP="002C5F6E">
            <w:pPr>
              <w:spacing w:line="240" w:lineRule="auto"/>
              <w:ind w:firstLine="0"/>
            </w:pPr>
            <w:r w:rsidRPr="004D46AC">
              <w:rPr>
                <w:color w:val="000000"/>
              </w:rPr>
              <w:t>TR26--TR34</w:t>
            </w:r>
          </w:p>
        </w:tc>
        <w:tc>
          <w:tcPr>
            <w:tcW w:w="1704" w:type="dxa"/>
            <w:vAlign w:val="center"/>
          </w:tcPr>
          <w:p w14:paraId="0EFC60A1" w14:textId="77777777" w:rsidR="007075D9" w:rsidRPr="004D46AC" w:rsidRDefault="007075D9" w:rsidP="002C5F6E">
            <w:pPr>
              <w:spacing w:line="240" w:lineRule="auto"/>
              <w:ind w:firstLine="0"/>
            </w:pPr>
            <w:r w:rsidRPr="004D46AC">
              <w:rPr>
                <w:color w:val="000000"/>
                <w:szCs w:val="21"/>
              </w:rPr>
              <w:t xml:space="preserve">0.59 </w:t>
            </w:r>
          </w:p>
        </w:tc>
        <w:tc>
          <w:tcPr>
            <w:tcW w:w="1704" w:type="dxa"/>
            <w:vAlign w:val="center"/>
          </w:tcPr>
          <w:p w14:paraId="0313A9A1"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245F2E40" w14:textId="77777777" w:rsidR="007075D9" w:rsidRPr="004D46AC" w:rsidRDefault="007075D9" w:rsidP="002C5F6E">
            <w:pPr>
              <w:spacing w:line="240" w:lineRule="auto"/>
              <w:ind w:firstLine="0"/>
            </w:pPr>
            <w:r w:rsidRPr="004D46AC">
              <w:rPr>
                <w:color w:val="000000"/>
                <w:szCs w:val="21"/>
              </w:rPr>
              <w:t xml:space="preserve">0.82 </w:t>
            </w:r>
          </w:p>
        </w:tc>
        <w:tc>
          <w:tcPr>
            <w:tcW w:w="1705" w:type="dxa"/>
            <w:vAlign w:val="center"/>
          </w:tcPr>
          <w:p w14:paraId="727E1FE5"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9E22C5F" w14:textId="77777777">
        <w:tc>
          <w:tcPr>
            <w:tcW w:w="1704" w:type="dxa"/>
            <w:vAlign w:val="center"/>
          </w:tcPr>
          <w:p w14:paraId="23F0FBCD" w14:textId="77777777" w:rsidR="007075D9" w:rsidRPr="004D46AC" w:rsidRDefault="007075D9" w:rsidP="002C5F6E">
            <w:pPr>
              <w:spacing w:line="240" w:lineRule="auto"/>
              <w:ind w:firstLine="0"/>
            </w:pPr>
            <w:r w:rsidRPr="004D46AC">
              <w:rPr>
                <w:color w:val="000000"/>
              </w:rPr>
              <w:t>TR27--TR34</w:t>
            </w:r>
          </w:p>
        </w:tc>
        <w:tc>
          <w:tcPr>
            <w:tcW w:w="1704" w:type="dxa"/>
            <w:vAlign w:val="center"/>
          </w:tcPr>
          <w:p w14:paraId="6EF8BFF6" w14:textId="77777777" w:rsidR="007075D9" w:rsidRPr="004D46AC" w:rsidRDefault="007075D9" w:rsidP="002C5F6E">
            <w:pPr>
              <w:spacing w:line="240" w:lineRule="auto"/>
              <w:ind w:firstLine="0"/>
            </w:pPr>
            <w:r w:rsidRPr="004D46AC">
              <w:rPr>
                <w:color w:val="000000"/>
                <w:szCs w:val="21"/>
              </w:rPr>
              <w:t xml:space="preserve">0.59 </w:t>
            </w:r>
          </w:p>
        </w:tc>
        <w:tc>
          <w:tcPr>
            <w:tcW w:w="1704" w:type="dxa"/>
            <w:vAlign w:val="center"/>
          </w:tcPr>
          <w:p w14:paraId="57E92E10"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2798F2A8" w14:textId="77777777" w:rsidR="007075D9" w:rsidRPr="004D46AC" w:rsidRDefault="007075D9" w:rsidP="002C5F6E">
            <w:pPr>
              <w:spacing w:line="240" w:lineRule="auto"/>
              <w:ind w:firstLine="0"/>
            </w:pPr>
            <w:r w:rsidRPr="004D46AC">
              <w:rPr>
                <w:color w:val="000000"/>
                <w:szCs w:val="21"/>
              </w:rPr>
              <w:t xml:space="preserve">0.81 </w:t>
            </w:r>
          </w:p>
        </w:tc>
        <w:tc>
          <w:tcPr>
            <w:tcW w:w="1705" w:type="dxa"/>
            <w:vAlign w:val="center"/>
          </w:tcPr>
          <w:p w14:paraId="31A1DE8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60D428A" w14:textId="77777777">
        <w:tc>
          <w:tcPr>
            <w:tcW w:w="1704" w:type="dxa"/>
            <w:vAlign w:val="center"/>
          </w:tcPr>
          <w:p w14:paraId="64CCF7C0" w14:textId="77777777" w:rsidR="007075D9" w:rsidRPr="004D46AC" w:rsidRDefault="007075D9" w:rsidP="002C5F6E">
            <w:pPr>
              <w:spacing w:line="240" w:lineRule="auto"/>
              <w:ind w:firstLine="0"/>
            </w:pPr>
            <w:r w:rsidRPr="004D46AC">
              <w:rPr>
                <w:color w:val="000000"/>
              </w:rPr>
              <w:t>TR18--TR29</w:t>
            </w:r>
          </w:p>
        </w:tc>
        <w:tc>
          <w:tcPr>
            <w:tcW w:w="1704" w:type="dxa"/>
            <w:vAlign w:val="center"/>
          </w:tcPr>
          <w:p w14:paraId="26496648" w14:textId="77777777" w:rsidR="007075D9" w:rsidRPr="004D46AC" w:rsidRDefault="007075D9" w:rsidP="002C5F6E">
            <w:pPr>
              <w:spacing w:line="240" w:lineRule="auto"/>
              <w:ind w:firstLine="0"/>
            </w:pPr>
            <w:r w:rsidRPr="004D46AC">
              <w:rPr>
                <w:color w:val="000000"/>
                <w:szCs w:val="21"/>
              </w:rPr>
              <w:t xml:space="preserve">0.58 </w:t>
            </w:r>
          </w:p>
        </w:tc>
        <w:tc>
          <w:tcPr>
            <w:tcW w:w="1704" w:type="dxa"/>
            <w:vAlign w:val="center"/>
          </w:tcPr>
          <w:p w14:paraId="68E5905A"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49DFAF60" w14:textId="77777777" w:rsidR="007075D9" w:rsidRPr="004D46AC" w:rsidRDefault="007075D9" w:rsidP="002C5F6E">
            <w:pPr>
              <w:spacing w:line="240" w:lineRule="auto"/>
              <w:ind w:firstLine="0"/>
            </w:pPr>
            <w:r w:rsidRPr="004D46AC">
              <w:rPr>
                <w:color w:val="000000"/>
                <w:szCs w:val="21"/>
              </w:rPr>
              <w:t xml:space="preserve">0.86 </w:t>
            </w:r>
          </w:p>
        </w:tc>
        <w:tc>
          <w:tcPr>
            <w:tcW w:w="1705" w:type="dxa"/>
            <w:vAlign w:val="center"/>
          </w:tcPr>
          <w:p w14:paraId="2557D82F"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FA904BA" w14:textId="77777777">
        <w:tc>
          <w:tcPr>
            <w:tcW w:w="1704" w:type="dxa"/>
            <w:vAlign w:val="center"/>
          </w:tcPr>
          <w:p w14:paraId="35BE7C34" w14:textId="77777777" w:rsidR="007075D9" w:rsidRPr="004D46AC" w:rsidRDefault="007075D9" w:rsidP="002C5F6E">
            <w:pPr>
              <w:spacing w:line="240" w:lineRule="auto"/>
              <w:ind w:firstLine="0"/>
            </w:pPr>
            <w:r w:rsidRPr="004D46AC">
              <w:rPr>
                <w:color w:val="000000"/>
              </w:rPr>
              <w:t>TR7--TR34</w:t>
            </w:r>
          </w:p>
        </w:tc>
        <w:tc>
          <w:tcPr>
            <w:tcW w:w="1704" w:type="dxa"/>
            <w:vAlign w:val="center"/>
          </w:tcPr>
          <w:p w14:paraId="67AFA916" w14:textId="77777777" w:rsidR="007075D9" w:rsidRPr="004D46AC" w:rsidRDefault="007075D9" w:rsidP="002C5F6E">
            <w:pPr>
              <w:spacing w:line="240" w:lineRule="auto"/>
              <w:ind w:firstLine="0"/>
            </w:pPr>
            <w:r w:rsidRPr="004D46AC">
              <w:rPr>
                <w:color w:val="000000"/>
                <w:szCs w:val="21"/>
              </w:rPr>
              <w:t xml:space="preserve">0.56 </w:t>
            </w:r>
          </w:p>
        </w:tc>
        <w:tc>
          <w:tcPr>
            <w:tcW w:w="1704" w:type="dxa"/>
            <w:vAlign w:val="center"/>
          </w:tcPr>
          <w:p w14:paraId="58F694CC"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06B72DDB" w14:textId="77777777" w:rsidR="007075D9" w:rsidRPr="004D46AC" w:rsidRDefault="007075D9" w:rsidP="002C5F6E">
            <w:pPr>
              <w:spacing w:line="240" w:lineRule="auto"/>
              <w:ind w:firstLine="0"/>
            </w:pPr>
            <w:r w:rsidRPr="004D46AC">
              <w:rPr>
                <w:color w:val="000000"/>
                <w:szCs w:val="21"/>
              </w:rPr>
              <w:t xml:space="preserve">0.81 </w:t>
            </w:r>
          </w:p>
        </w:tc>
        <w:tc>
          <w:tcPr>
            <w:tcW w:w="1705" w:type="dxa"/>
            <w:vAlign w:val="center"/>
          </w:tcPr>
          <w:p w14:paraId="3C66D292"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609B1C8" w14:textId="77777777">
        <w:tc>
          <w:tcPr>
            <w:tcW w:w="1704" w:type="dxa"/>
            <w:vAlign w:val="center"/>
          </w:tcPr>
          <w:p w14:paraId="22273DAC" w14:textId="77777777" w:rsidR="007075D9" w:rsidRPr="004D46AC" w:rsidRDefault="007075D9" w:rsidP="002C5F6E">
            <w:pPr>
              <w:spacing w:line="240" w:lineRule="auto"/>
              <w:ind w:firstLine="0"/>
            </w:pPr>
            <w:r w:rsidRPr="004D46AC">
              <w:rPr>
                <w:color w:val="000000"/>
              </w:rPr>
              <w:t>TR16--TR25</w:t>
            </w:r>
          </w:p>
        </w:tc>
        <w:tc>
          <w:tcPr>
            <w:tcW w:w="1704" w:type="dxa"/>
            <w:vAlign w:val="center"/>
          </w:tcPr>
          <w:p w14:paraId="5675AAC0" w14:textId="77777777" w:rsidR="007075D9" w:rsidRPr="004D46AC" w:rsidRDefault="007075D9" w:rsidP="002C5F6E">
            <w:pPr>
              <w:spacing w:line="240" w:lineRule="auto"/>
              <w:ind w:firstLine="0"/>
            </w:pPr>
            <w:r w:rsidRPr="004D46AC">
              <w:rPr>
                <w:color w:val="000000"/>
                <w:szCs w:val="21"/>
              </w:rPr>
              <w:t xml:space="preserve">0.56 </w:t>
            </w:r>
          </w:p>
        </w:tc>
        <w:tc>
          <w:tcPr>
            <w:tcW w:w="1704" w:type="dxa"/>
            <w:vAlign w:val="center"/>
          </w:tcPr>
          <w:p w14:paraId="7B247B96"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41A622A7"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1D8C2F92"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508E794C" w14:textId="77777777">
        <w:tc>
          <w:tcPr>
            <w:tcW w:w="1704" w:type="dxa"/>
            <w:vAlign w:val="center"/>
          </w:tcPr>
          <w:p w14:paraId="5CF612E8" w14:textId="77777777" w:rsidR="007075D9" w:rsidRPr="004D46AC" w:rsidRDefault="007075D9" w:rsidP="002C5F6E">
            <w:pPr>
              <w:spacing w:line="240" w:lineRule="auto"/>
              <w:ind w:firstLine="0"/>
            </w:pPr>
            <w:r w:rsidRPr="004D46AC">
              <w:rPr>
                <w:color w:val="000000"/>
              </w:rPr>
              <w:t>TR34--TR37</w:t>
            </w:r>
          </w:p>
        </w:tc>
        <w:tc>
          <w:tcPr>
            <w:tcW w:w="1704" w:type="dxa"/>
            <w:vAlign w:val="center"/>
          </w:tcPr>
          <w:p w14:paraId="67403289" w14:textId="77777777" w:rsidR="007075D9" w:rsidRPr="004D46AC" w:rsidRDefault="007075D9" w:rsidP="002C5F6E">
            <w:pPr>
              <w:spacing w:line="240" w:lineRule="auto"/>
              <w:ind w:firstLine="0"/>
            </w:pPr>
            <w:r w:rsidRPr="004D46AC">
              <w:rPr>
                <w:color w:val="000000"/>
                <w:szCs w:val="21"/>
              </w:rPr>
              <w:t xml:space="preserve">0.56 </w:t>
            </w:r>
          </w:p>
        </w:tc>
        <w:tc>
          <w:tcPr>
            <w:tcW w:w="1704" w:type="dxa"/>
            <w:vAlign w:val="center"/>
          </w:tcPr>
          <w:p w14:paraId="24DF8CF6"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2F2F6F04"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49C2C86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6052807A" w14:textId="77777777">
        <w:tc>
          <w:tcPr>
            <w:tcW w:w="1704" w:type="dxa"/>
            <w:vAlign w:val="center"/>
          </w:tcPr>
          <w:p w14:paraId="04D031B4" w14:textId="77777777" w:rsidR="007075D9" w:rsidRPr="004D46AC" w:rsidRDefault="007075D9" w:rsidP="002C5F6E">
            <w:pPr>
              <w:spacing w:line="240" w:lineRule="auto"/>
              <w:ind w:firstLine="0"/>
            </w:pPr>
            <w:r w:rsidRPr="004D46AC">
              <w:rPr>
                <w:color w:val="000000"/>
              </w:rPr>
              <w:t>TR19--TR24</w:t>
            </w:r>
          </w:p>
        </w:tc>
        <w:tc>
          <w:tcPr>
            <w:tcW w:w="1704" w:type="dxa"/>
            <w:vAlign w:val="center"/>
          </w:tcPr>
          <w:p w14:paraId="420F78BE" w14:textId="77777777" w:rsidR="007075D9" w:rsidRPr="004D46AC" w:rsidRDefault="007075D9" w:rsidP="002C5F6E">
            <w:pPr>
              <w:spacing w:line="240" w:lineRule="auto"/>
              <w:ind w:firstLine="0"/>
            </w:pPr>
            <w:r w:rsidRPr="004D46AC">
              <w:rPr>
                <w:color w:val="000000"/>
                <w:szCs w:val="21"/>
              </w:rPr>
              <w:t xml:space="preserve">0.56 </w:t>
            </w:r>
          </w:p>
        </w:tc>
        <w:tc>
          <w:tcPr>
            <w:tcW w:w="1704" w:type="dxa"/>
            <w:vAlign w:val="center"/>
          </w:tcPr>
          <w:p w14:paraId="6697ED42"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6D75EDD1"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603159E5"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628C89F4" w14:textId="77777777">
        <w:tc>
          <w:tcPr>
            <w:tcW w:w="1704" w:type="dxa"/>
            <w:vAlign w:val="center"/>
          </w:tcPr>
          <w:p w14:paraId="5817C3CD" w14:textId="77777777" w:rsidR="007075D9" w:rsidRPr="004D46AC" w:rsidRDefault="007075D9" w:rsidP="002C5F6E">
            <w:pPr>
              <w:spacing w:line="240" w:lineRule="auto"/>
              <w:ind w:firstLine="0"/>
            </w:pPr>
            <w:r w:rsidRPr="004D46AC">
              <w:rPr>
                <w:color w:val="000000"/>
              </w:rPr>
              <w:t>TR13--TR16</w:t>
            </w:r>
          </w:p>
        </w:tc>
        <w:tc>
          <w:tcPr>
            <w:tcW w:w="1704" w:type="dxa"/>
            <w:vAlign w:val="center"/>
          </w:tcPr>
          <w:p w14:paraId="22BF7680" w14:textId="77777777" w:rsidR="007075D9" w:rsidRPr="004D46AC" w:rsidRDefault="007075D9" w:rsidP="002C5F6E">
            <w:pPr>
              <w:spacing w:line="240" w:lineRule="auto"/>
              <w:ind w:firstLine="0"/>
            </w:pPr>
            <w:r w:rsidRPr="004D46AC">
              <w:rPr>
                <w:color w:val="000000"/>
                <w:szCs w:val="21"/>
              </w:rPr>
              <w:t xml:space="preserve">0.53 </w:t>
            </w:r>
          </w:p>
        </w:tc>
        <w:tc>
          <w:tcPr>
            <w:tcW w:w="1704" w:type="dxa"/>
            <w:vAlign w:val="center"/>
          </w:tcPr>
          <w:p w14:paraId="2631DCFA"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61F71971" w14:textId="77777777" w:rsidR="007075D9" w:rsidRPr="004D46AC" w:rsidRDefault="007075D9" w:rsidP="002C5F6E">
            <w:pPr>
              <w:spacing w:line="240" w:lineRule="auto"/>
              <w:ind w:firstLine="0"/>
            </w:pPr>
            <w:r w:rsidRPr="004D46AC">
              <w:rPr>
                <w:color w:val="000000"/>
                <w:szCs w:val="21"/>
              </w:rPr>
              <w:t xml:space="preserve">0.75 </w:t>
            </w:r>
          </w:p>
        </w:tc>
        <w:tc>
          <w:tcPr>
            <w:tcW w:w="1705" w:type="dxa"/>
            <w:vAlign w:val="center"/>
          </w:tcPr>
          <w:p w14:paraId="5F97EDD9"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8E99DBA" w14:textId="77777777">
        <w:tc>
          <w:tcPr>
            <w:tcW w:w="1704" w:type="dxa"/>
            <w:vAlign w:val="center"/>
          </w:tcPr>
          <w:p w14:paraId="4495339A" w14:textId="77777777" w:rsidR="007075D9" w:rsidRPr="004D46AC" w:rsidRDefault="007075D9" w:rsidP="002C5F6E">
            <w:pPr>
              <w:spacing w:line="240" w:lineRule="auto"/>
              <w:ind w:firstLine="0"/>
            </w:pPr>
            <w:r w:rsidRPr="004D46AC">
              <w:rPr>
                <w:color w:val="000000"/>
              </w:rPr>
              <w:t>TR24--TR30</w:t>
            </w:r>
          </w:p>
        </w:tc>
        <w:tc>
          <w:tcPr>
            <w:tcW w:w="1704" w:type="dxa"/>
            <w:vAlign w:val="center"/>
          </w:tcPr>
          <w:p w14:paraId="2AE96C3E" w14:textId="77777777" w:rsidR="007075D9" w:rsidRPr="004D46AC" w:rsidRDefault="007075D9" w:rsidP="002C5F6E">
            <w:pPr>
              <w:spacing w:line="240" w:lineRule="auto"/>
              <w:ind w:firstLine="0"/>
            </w:pPr>
            <w:r w:rsidRPr="004D46AC">
              <w:rPr>
                <w:color w:val="000000"/>
                <w:szCs w:val="21"/>
              </w:rPr>
              <w:t xml:space="preserve">0.53 </w:t>
            </w:r>
          </w:p>
        </w:tc>
        <w:tc>
          <w:tcPr>
            <w:tcW w:w="1704" w:type="dxa"/>
            <w:vAlign w:val="center"/>
          </w:tcPr>
          <w:p w14:paraId="57EA636F"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55F57C27"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45A8D469"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1B95994" w14:textId="77777777">
        <w:tc>
          <w:tcPr>
            <w:tcW w:w="1704" w:type="dxa"/>
            <w:vAlign w:val="center"/>
          </w:tcPr>
          <w:p w14:paraId="3554E3C1" w14:textId="77777777" w:rsidR="007075D9" w:rsidRPr="004D46AC" w:rsidRDefault="007075D9" w:rsidP="002C5F6E">
            <w:pPr>
              <w:spacing w:line="240" w:lineRule="auto"/>
              <w:ind w:firstLine="0"/>
            </w:pPr>
            <w:r w:rsidRPr="004D46AC">
              <w:rPr>
                <w:color w:val="000000"/>
              </w:rPr>
              <w:t>TR20--TR25</w:t>
            </w:r>
          </w:p>
        </w:tc>
        <w:tc>
          <w:tcPr>
            <w:tcW w:w="1704" w:type="dxa"/>
            <w:vAlign w:val="center"/>
          </w:tcPr>
          <w:p w14:paraId="14B22E45" w14:textId="77777777" w:rsidR="007075D9" w:rsidRPr="004D46AC" w:rsidRDefault="007075D9" w:rsidP="002C5F6E">
            <w:pPr>
              <w:spacing w:line="240" w:lineRule="auto"/>
              <w:ind w:firstLine="0"/>
            </w:pPr>
            <w:r w:rsidRPr="004D46AC">
              <w:rPr>
                <w:color w:val="000000"/>
                <w:szCs w:val="21"/>
              </w:rPr>
              <w:t xml:space="preserve">0.52 </w:t>
            </w:r>
          </w:p>
        </w:tc>
        <w:tc>
          <w:tcPr>
            <w:tcW w:w="1704" w:type="dxa"/>
            <w:vAlign w:val="center"/>
          </w:tcPr>
          <w:p w14:paraId="12A5C7AA"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7CE979E1" w14:textId="77777777" w:rsidR="007075D9" w:rsidRPr="004D46AC" w:rsidRDefault="007075D9" w:rsidP="002C5F6E">
            <w:pPr>
              <w:spacing w:line="240" w:lineRule="auto"/>
              <w:ind w:firstLine="0"/>
            </w:pPr>
            <w:r w:rsidRPr="004D46AC">
              <w:rPr>
                <w:color w:val="000000"/>
                <w:szCs w:val="21"/>
              </w:rPr>
              <w:t xml:space="preserve">0.75 </w:t>
            </w:r>
          </w:p>
        </w:tc>
        <w:tc>
          <w:tcPr>
            <w:tcW w:w="1705" w:type="dxa"/>
            <w:vAlign w:val="center"/>
          </w:tcPr>
          <w:p w14:paraId="23F5A4A0"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329C1DD" w14:textId="77777777">
        <w:tc>
          <w:tcPr>
            <w:tcW w:w="1704" w:type="dxa"/>
            <w:vAlign w:val="center"/>
          </w:tcPr>
          <w:p w14:paraId="5EAE593B" w14:textId="77777777" w:rsidR="007075D9" w:rsidRPr="004D46AC" w:rsidRDefault="007075D9" w:rsidP="002C5F6E">
            <w:pPr>
              <w:spacing w:line="240" w:lineRule="auto"/>
              <w:ind w:firstLine="0"/>
            </w:pPr>
            <w:r w:rsidRPr="004D46AC">
              <w:rPr>
                <w:color w:val="000000"/>
              </w:rPr>
              <w:t>TR3--TR5</w:t>
            </w:r>
          </w:p>
        </w:tc>
        <w:tc>
          <w:tcPr>
            <w:tcW w:w="1704" w:type="dxa"/>
            <w:vAlign w:val="center"/>
          </w:tcPr>
          <w:p w14:paraId="61A21DCC" w14:textId="77777777" w:rsidR="007075D9" w:rsidRPr="004D46AC" w:rsidRDefault="007075D9" w:rsidP="002C5F6E">
            <w:pPr>
              <w:spacing w:line="240" w:lineRule="auto"/>
              <w:ind w:firstLine="0"/>
            </w:pPr>
            <w:r w:rsidRPr="004D46AC">
              <w:rPr>
                <w:color w:val="000000"/>
                <w:szCs w:val="21"/>
              </w:rPr>
              <w:t xml:space="preserve">0.51 </w:t>
            </w:r>
          </w:p>
        </w:tc>
        <w:tc>
          <w:tcPr>
            <w:tcW w:w="1704" w:type="dxa"/>
            <w:vAlign w:val="center"/>
          </w:tcPr>
          <w:p w14:paraId="235E147F"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6B450980" w14:textId="77777777" w:rsidR="007075D9" w:rsidRPr="004D46AC" w:rsidRDefault="007075D9" w:rsidP="002C5F6E">
            <w:pPr>
              <w:spacing w:line="240" w:lineRule="auto"/>
              <w:ind w:firstLine="0"/>
            </w:pPr>
            <w:r w:rsidRPr="004D46AC">
              <w:rPr>
                <w:color w:val="000000"/>
                <w:szCs w:val="21"/>
              </w:rPr>
              <w:t xml:space="preserve">0.76 </w:t>
            </w:r>
          </w:p>
        </w:tc>
        <w:tc>
          <w:tcPr>
            <w:tcW w:w="1705" w:type="dxa"/>
            <w:vAlign w:val="center"/>
          </w:tcPr>
          <w:p w14:paraId="528A6AA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2C0FBCA" w14:textId="77777777">
        <w:tc>
          <w:tcPr>
            <w:tcW w:w="1704" w:type="dxa"/>
            <w:vAlign w:val="center"/>
          </w:tcPr>
          <w:p w14:paraId="13FEFC2D" w14:textId="77777777" w:rsidR="007075D9" w:rsidRPr="004D46AC" w:rsidRDefault="007075D9" w:rsidP="002C5F6E">
            <w:pPr>
              <w:spacing w:line="240" w:lineRule="auto"/>
              <w:ind w:firstLine="0"/>
            </w:pPr>
            <w:r w:rsidRPr="004D46AC">
              <w:rPr>
                <w:color w:val="000000"/>
              </w:rPr>
              <w:t>TR26--TR27</w:t>
            </w:r>
          </w:p>
        </w:tc>
        <w:tc>
          <w:tcPr>
            <w:tcW w:w="1704" w:type="dxa"/>
            <w:vAlign w:val="center"/>
          </w:tcPr>
          <w:p w14:paraId="381D095D" w14:textId="77777777" w:rsidR="007075D9" w:rsidRPr="004D46AC" w:rsidRDefault="007075D9" w:rsidP="002C5F6E">
            <w:pPr>
              <w:spacing w:line="240" w:lineRule="auto"/>
              <w:ind w:firstLine="0"/>
            </w:pPr>
            <w:r w:rsidRPr="004D46AC">
              <w:rPr>
                <w:color w:val="000000"/>
                <w:szCs w:val="21"/>
              </w:rPr>
              <w:t xml:space="preserve">0.49 </w:t>
            </w:r>
          </w:p>
        </w:tc>
        <w:tc>
          <w:tcPr>
            <w:tcW w:w="1704" w:type="dxa"/>
            <w:vAlign w:val="center"/>
          </w:tcPr>
          <w:p w14:paraId="4CFD0568"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21C551B5" w14:textId="77777777" w:rsidR="007075D9" w:rsidRPr="004D46AC" w:rsidRDefault="007075D9" w:rsidP="002C5F6E">
            <w:pPr>
              <w:spacing w:line="240" w:lineRule="auto"/>
              <w:ind w:firstLine="0"/>
            </w:pPr>
            <w:r w:rsidRPr="004D46AC">
              <w:rPr>
                <w:color w:val="000000"/>
                <w:szCs w:val="21"/>
              </w:rPr>
              <w:t xml:space="preserve">0.73 </w:t>
            </w:r>
          </w:p>
        </w:tc>
        <w:tc>
          <w:tcPr>
            <w:tcW w:w="1705" w:type="dxa"/>
            <w:vAlign w:val="center"/>
          </w:tcPr>
          <w:p w14:paraId="29DC47F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9266892" w14:textId="77777777">
        <w:tc>
          <w:tcPr>
            <w:tcW w:w="1704" w:type="dxa"/>
            <w:vAlign w:val="center"/>
          </w:tcPr>
          <w:p w14:paraId="408824F0" w14:textId="77777777" w:rsidR="007075D9" w:rsidRPr="004D46AC" w:rsidRDefault="007075D9" w:rsidP="002C5F6E">
            <w:pPr>
              <w:spacing w:line="240" w:lineRule="auto"/>
              <w:ind w:firstLine="0"/>
            </w:pPr>
            <w:r w:rsidRPr="004D46AC">
              <w:rPr>
                <w:color w:val="000000"/>
              </w:rPr>
              <w:t>TR17--TR18</w:t>
            </w:r>
          </w:p>
        </w:tc>
        <w:tc>
          <w:tcPr>
            <w:tcW w:w="1704" w:type="dxa"/>
            <w:vAlign w:val="center"/>
          </w:tcPr>
          <w:p w14:paraId="41FDD9A4" w14:textId="77777777" w:rsidR="007075D9" w:rsidRPr="004D46AC" w:rsidRDefault="007075D9" w:rsidP="002C5F6E">
            <w:pPr>
              <w:spacing w:line="240" w:lineRule="auto"/>
              <w:ind w:firstLine="0"/>
            </w:pPr>
            <w:r w:rsidRPr="004D46AC">
              <w:rPr>
                <w:color w:val="000000"/>
                <w:szCs w:val="21"/>
              </w:rPr>
              <w:t xml:space="preserve">0.49 </w:t>
            </w:r>
          </w:p>
        </w:tc>
        <w:tc>
          <w:tcPr>
            <w:tcW w:w="1704" w:type="dxa"/>
            <w:vAlign w:val="center"/>
          </w:tcPr>
          <w:p w14:paraId="429339E0"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2520234A" w14:textId="77777777" w:rsidR="007075D9" w:rsidRPr="004D46AC" w:rsidRDefault="007075D9" w:rsidP="002C5F6E">
            <w:pPr>
              <w:spacing w:line="240" w:lineRule="auto"/>
              <w:ind w:firstLine="0"/>
            </w:pPr>
            <w:r w:rsidRPr="004D46AC">
              <w:rPr>
                <w:color w:val="000000"/>
                <w:szCs w:val="21"/>
              </w:rPr>
              <w:t xml:space="preserve">0.77 </w:t>
            </w:r>
          </w:p>
        </w:tc>
        <w:tc>
          <w:tcPr>
            <w:tcW w:w="1705" w:type="dxa"/>
            <w:vAlign w:val="center"/>
          </w:tcPr>
          <w:p w14:paraId="5CF68A59"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C0E1418" w14:textId="77777777">
        <w:tc>
          <w:tcPr>
            <w:tcW w:w="1704" w:type="dxa"/>
            <w:vAlign w:val="center"/>
          </w:tcPr>
          <w:p w14:paraId="5186ACFD" w14:textId="77777777" w:rsidR="007075D9" w:rsidRPr="004D46AC" w:rsidRDefault="007075D9" w:rsidP="002C5F6E">
            <w:pPr>
              <w:spacing w:line="240" w:lineRule="auto"/>
              <w:ind w:firstLine="0"/>
            </w:pPr>
            <w:r w:rsidRPr="004D46AC">
              <w:rPr>
                <w:color w:val="000000"/>
              </w:rPr>
              <w:t>TR6--TR30</w:t>
            </w:r>
          </w:p>
        </w:tc>
        <w:tc>
          <w:tcPr>
            <w:tcW w:w="1704" w:type="dxa"/>
            <w:vAlign w:val="center"/>
          </w:tcPr>
          <w:p w14:paraId="36A73ACE" w14:textId="77777777" w:rsidR="007075D9" w:rsidRPr="004D46AC" w:rsidRDefault="007075D9" w:rsidP="002C5F6E">
            <w:pPr>
              <w:spacing w:line="240" w:lineRule="auto"/>
              <w:ind w:firstLine="0"/>
            </w:pPr>
            <w:r w:rsidRPr="004D46AC">
              <w:rPr>
                <w:color w:val="000000"/>
                <w:szCs w:val="21"/>
              </w:rPr>
              <w:t xml:space="preserve">0.48 </w:t>
            </w:r>
          </w:p>
        </w:tc>
        <w:tc>
          <w:tcPr>
            <w:tcW w:w="1704" w:type="dxa"/>
            <w:vAlign w:val="center"/>
          </w:tcPr>
          <w:p w14:paraId="4887C2F5" w14:textId="77777777" w:rsidR="007075D9" w:rsidRPr="004D46AC" w:rsidRDefault="007075D9" w:rsidP="002C5F6E">
            <w:pPr>
              <w:spacing w:line="240" w:lineRule="auto"/>
              <w:ind w:firstLine="0"/>
            </w:pPr>
            <w:r w:rsidRPr="004D46AC">
              <w:rPr>
                <w:color w:val="000000"/>
                <w:szCs w:val="21"/>
              </w:rPr>
              <w:t xml:space="preserve">0.22 </w:t>
            </w:r>
          </w:p>
        </w:tc>
        <w:tc>
          <w:tcPr>
            <w:tcW w:w="1705" w:type="dxa"/>
            <w:vAlign w:val="center"/>
          </w:tcPr>
          <w:p w14:paraId="1B4F0DD8" w14:textId="77777777" w:rsidR="007075D9" w:rsidRPr="004D46AC" w:rsidRDefault="007075D9" w:rsidP="002C5F6E">
            <w:pPr>
              <w:spacing w:line="240" w:lineRule="auto"/>
              <w:ind w:firstLine="0"/>
            </w:pPr>
            <w:r w:rsidRPr="004D46AC">
              <w:rPr>
                <w:color w:val="000000"/>
                <w:szCs w:val="21"/>
              </w:rPr>
              <w:t xml:space="preserve">0.75 </w:t>
            </w:r>
          </w:p>
        </w:tc>
        <w:tc>
          <w:tcPr>
            <w:tcW w:w="1705" w:type="dxa"/>
            <w:vAlign w:val="center"/>
          </w:tcPr>
          <w:p w14:paraId="42D2CCF8"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782BE2F" w14:textId="77777777">
        <w:tc>
          <w:tcPr>
            <w:tcW w:w="1704" w:type="dxa"/>
            <w:vAlign w:val="center"/>
          </w:tcPr>
          <w:p w14:paraId="3325B9EE" w14:textId="77777777" w:rsidR="007075D9" w:rsidRPr="004D46AC" w:rsidRDefault="007075D9" w:rsidP="002C5F6E">
            <w:pPr>
              <w:spacing w:line="240" w:lineRule="auto"/>
              <w:ind w:firstLine="0"/>
            </w:pPr>
            <w:r w:rsidRPr="004D46AC">
              <w:rPr>
                <w:color w:val="000000"/>
              </w:rPr>
              <w:t>TR24--TR37</w:t>
            </w:r>
          </w:p>
        </w:tc>
        <w:tc>
          <w:tcPr>
            <w:tcW w:w="1704" w:type="dxa"/>
            <w:vAlign w:val="center"/>
          </w:tcPr>
          <w:p w14:paraId="495AB7CD" w14:textId="77777777" w:rsidR="007075D9" w:rsidRPr="004D46AC" w:rsidRDefault="007075D9" w:rsidP="002C5F6E">
            <w:pPr>
              <w:spacing w:line="240" w:lineRule="auto"/>
              <w:ind w:firstLine="0"/>
            </w:pPr>
            <w:r w:rsidRPr="004D46AC">
              <w:rPr>
                <w:color w:val="000000"/>
                <w:szCs w:val="21"/>
              </w:rPr>
              <w:t xml:space="preserve">0.48 </w:t>
            </w:r>
          </w:p>
        </w:tc>
        <w:tc>
          <w:tcPr>
            <w:tcW w:w="1704" w:type="dxa"/>
            <w:vAlign w:val="center"/>
          </w:tcPr>
          <w:p w14:paraId="384A133B" w14:textId="77777777" w:rsidR="007075D9" w:rsidRPr="004D46AC" w:rsidRDefault="007075D9" w:rsidP="002C5F6E">
            <w:pPr>
              <w:spacing w:line="240" w:lineRule="auto"/>
              <w:ind w:firstLine="0"/>
            </w:pPr>
            <w:r w:rsidRPr="004D46AC">
              <w:rPr>
                <w:color w:val="000000"/>
                <w:szCs w:val="21"/>
              </w:rPr>
              <w:t xml:space="preserve">0.22 </w:t>
            </w:r>
          </w:p>
        </w:tc>
        <w:tc>
          <w:tcPr>
            <w:tcW w:w="1705" w:type="dxa"/>
            <w:vAlign w:val="center"/>
          </w:tcPr>
          <w:p w14:paraId="0CD09D85" w14:textId="77777777" w:rsidR="007075D9" w:rsidRPr="004D46AC" w:rsidRDefault="007075D9" w:rsidP="002C5F6E">
            <w:pPr>
              <w:spacing w:line="240" w:lineRule="auto"/>
              <w:ind w:firstLine="0"/>
            </w:pPr>
            <w:r w:rsidRPr="004D46AC">
              <w:rPr>
                <w:color w:val="000000"/>
                <w:szCs w:val="21"/>
              </w:rPr>
              <w:t xml:space="preserve">0.74 </w:t>
            </w:r>
          </w:p>
        </w:tc>
        <w:tc>
          <w:tcPr>
            <w:tcW w:w="1705" w:type="dxa"/>
            <w:vAlign w:val="center"/>
          </w:tcPr>
          <w:p w14:paraId="3A37BE0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1754E3F" w14:textId="77777777">
        <w:tc>
          <w:tcPr>
            <w:tcW w:w="1704" w:type="dxa"/>
            <w:vAlign w:val="center"/>
          </w:tcPr>
          <w:p w14:paraId="3DC6D329" w14:textId="77777777" w:rsidR="007075D9" w:rsidRPr="004D46AC" w:rsidRDefault="007075D9" w:rsidP="002C5F6E">
            <w:pPr>
              <w:spacing w:line="240" w:lineRule="auto"/>
              <w:ind w:firstLine="0"/>
            </w:pPr>
            <w:r w:rsidRPr="004D46AC">
              <w:rPr>
                <w:color w:val="000000"/>
              </w:rPr>
              <w:t>TR17--TR29</w:t>
            </w:r>
          </w:p>
        </w:tc>
        <w:tc>
          <w:tcPr>
            <w:tcW w:w="1704" w:type="dxa"/>
            <w:vAlign w:val="center"/>
          </w:tcPr>
          <w:p w14:paraId="0F9FADAE" w14:textId="77777777" w:rsidR="007075D9" w:rsidRPr="004D46AC" w:rsidRDefault="007075D9" w:rsidP="002C5F6E">
            <w:pPr>
              <w:spacing w:line="240" w:lineRule="auto"/>
              <w:ind w:firstLine="0"/>
            </w:pPr>
            <w:r w:rsidRPr="004D46AC">
              <w:rPr>
                <w:color w:val="000000"/>
                <w:szCs w:val="21"/>
              </w:rPr>
              <w:t xml:space="preserve">0.46 </w:t>
            </w:r>
          </w:p>
        </w:tc>
        <w:tc>
          <w:tcPr>
            <w:tcW w:w="1704" w:type="dxa"/>
            <w:vAlign w:val="center"/>
          </w:tcPr>
          <w:p w14:paraId="7BD6A142"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73F551E4" w14:textId="77777777" w:rsidR="007075D9" w:rsidRPr="004D46AC" w:rsidRDefault="007075D9" w:rsidP="002C5F6E">
            <w:pPr>
              <w:spacing w:line="240" w:lineRule="auto"/>
              <w:ind w:firstLine="0"/>
            </w:pPr>
            <w:r w:rsidRPr="004D46AC">
              <w:rPr>
                <w:color w:val="000000"/>
                <w:szCs w:val="21"/>
              </w:rPr>
              <w:t xml:space="preserve">0.74 </w:t>
            </w:r>
          </w:p>
        </w:tc>
        <w:tc>
          <w:tcPr>
            <w:tcW w:w="1705" w:type="dxa"/>
            <w:vAlign w:val="center"/>
          </w:tcPr>
          <w:p w14:paraId="25538DD8"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C79E08C" w14:textId="77777777">
        <w:tc>
          <w:tcPr>
            <w:tcW w:w="1704" w:type="dxa"/>
            <w:vAlign w:val="center"/>
          </w:tcPr>
          <w:p w14:paraId="5C4771E5" w14:textId="77777777" w:rsidR="007075D9" w:rsidRPr="004D46AC" w:rsidRDefault="007075D9" w:rsidP="002C5F6E">
            <w:pPr>
              <w:spacing w:line="240" w:lineRule="auto"/>
              <w:ind w:firstLine="0"/>
            </w:pPr>
            <w:r w:rsidRPr="004D46AC">
              <w:rPr>
                <w:color w:val="000000"/>
              </w:rPr>
              <w:t>TR34--TR33</w:t>
            </w:r>
          </w:p>
        </w:tc>
        <w:tc>
          <w:tcPr>
            <w:tcW w:w="1704" w:type="dxa"/>
            <w:vAlign w:val="center"/>
          </w:tcPr>
          <w:p w14:paraId="3BE94212" w14:textId="77777777" w:rsidR="007075D9" w:rsidRPr="004D46AC" w:rsidRDefault="007075D9" w:rsidP="002C5F6E">
            <w:pPr>
              <w:spacing w:line="240" w:lineRule="auto"/>
              <w:ind w:firstLine="0"/>
            </w:pPr>
            <w:r w:rsidRPr="004D46AC">
              <w:rPr>
                <w:color w:val="000000"/>
                <w:szCs w:val="21"/>
              </w:rPr>
              <w:t xml:space="preserve">0.46 </w:t>
            </w:r>
          </w:p>
        </w:tc>
        <w:tc>
          <w:tcPr>
            <w:tcW w:w="1704" w:type="dxa"/>
            <w:vAlign w:val="center"/>
          </w:tcPr>
          <w:p w14:paraId="7E988B3F" w14:textId="77777777" w:rsidR="007075D9" w:rsidRPr="004D46AC" w:rsidRDefault="007075D9" w:rsidP="002C5F6E">
            <w:pPr>
              <w:spacing w:line="240" w:lineRule="auto"/>
              <w:ind w:firstLine="0"/>
            </w:pPr>
            <w:r w:rsidRPr="004D46AC">
              <w:rPr>
                <w:color w:val="000000"/>
                <w:szCs w:val="21"/>
              </w:rPr>
              <w:t xml:space="preserve">0.19 </w:t>
            </w:r>
          </w:p>
        </w:tc>
        <w:tc>
          <w:tcPr>
            <w:tcW w:w="1705" w:type="dxa"/>
            <w:vAlign w:val="center"/>
          </w:tcPr>
          <w:p w14:paraId="3D22E081" w14:textId="77777777" w:rsidR="007075D9" w:rsidRPr="004D46AC" w:rsidRDefault="007075D9" w:rsidP="002C5F6E">
            <w:pPr>
              <w:spacing w:line="240" w:lineRule="auto"/>
              <w:ind w:firstLine="0"/>
            </w:pPr>
            <w:r w:rsidRPr="004D46AC">
              <w:rPr>
                <w:color w:val="000000"/>
                <w:szCs w:val="21"/>
              </w:rPr>
              <w:t xml:space="preserve">0.72 </w:t>
            </w:r>
          </w:p>
        </w:tc>
        <w:tc>
          <w:tcPr>
            <w:tcW w:w="1705" w:type="dxa"/>
            <w:vAlign w:val="center"/>
          </w:tcPr>
          <w:p w14:paraId="7E0B8F00"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B3E1192" w14:textId="77777777">
        <w:tc>
          <w:tcPr>
            <w:tcW w:w="1704" w:type="dxa"/>
            <w:vAlign w:val="center"/>
          </w:tcPr>
          <w:p w14:paraId="0AA823EB" w14:textId="77777777" w:rsidR="007075D9" w:rsidRPr="004D46AC" w:rsidRDefault="007075D9" w:rsidP="002C5F6E">
            <w:pPr>
              <w:spacing w:line="240" w:lineRule="auto"/>
              <w:ind w:firstLine="0"/>
            </w:pPr>
            <w:r w:rsidRPr="004D46AC">
              <w:rPr>
                <w:color w:val="000000"/>
              </w:rPr>
              <w:t>TR18--TR33</w:t>
            </w:r>
          </w:p>
        </w:tc>
        <w:tc>
          <w:tcPr>
            <w:tcW w:w="1704" w:type="dxa"/>
            <w:vAlign w:val="center"/>
          </w:tcPr>
          <w:p w14:paraId="6F76A5AA" w14:textId="77777777" w:rsidR="007075D9" w:rsidRPr="004D46AC" w:rsidRDefault="007075D9" w:rsidP="002C5F6E">
            <w:pPr>
              <w:spacing w:line="240" w:lineRule="auto"/>
              <w:ind w:firstLine="0"/>
            </w:pPr>
            <w:r w:rsidRPr="004D46AC">
              <w:rPr>
                <w:color w:val="000000"/>
                <w:szCs w:val="21"/>
              </w:rPr>
              <w:t xml:space="preserve">0.45 </w:t>
            </w:r>
          </w:p>
        </w:tc>
        <w:tc>
          <w:tcPr>
            <w:tcW w:w="1704" w:type="dxa"/>
            <w:vAlign w:val="center"/>
          </w:tcPr>
          <w:p w14:paraId="35BE6CE9"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6564EDC0" w14:textId="77777777" w:rsidR="007075D9" w:rsidRPr="004D46AC" w:rsidRDefault="007075D9" w:rsidP="002C5F6E">
            <w:pPr>
              <w:spacing w:line="240" w:lineRule="auto"/>
              <w:ind w:firstLine="0"/>
            </w:pPr>
            <w:r w:rsidRPr="004D46AC">
              <w:rPr>
                <w:color w:val="000000"/>
                <w:szCs w:val="21"/>
              </w:rPr>
              <w:t xml:space="preserve">0.73 </w:t>
            </w:r>
          </w:p>
        </w:tc>
        <w:tc>
          <w:tcPr>
            <w:tcW w:w="1705" w:type="dxa"/>
            <w:vAlign w:val="center"/>
          </w:tcPr>
          <w:p w14:paraId="6C01C70C"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60BD5A0" w14:textId="77777777">
        <w:tc>
          <w:tcPr>
            <w:tcW w:w="1704" w:type="dxa"/>
            <w:vAlign w:val="center"/>
          </w:tcPr>
          <w:p w14:paraId="3734CB68" w14:textId="77777777" w:rsidR="007075D9" w:rsidRPr="004D46AC" w:rsidRDefault="007075D9" w:rsidP="002C5F6E">
            <w:pPr>
              <w:spacing w:line="240" w:lineRule="auto"/>
              <w:ind w:firstLine="0"/>
            </w:pPr>
            <w:r w:rsidRPr="004D46AC">
              <w:rPr>
                <w:color w:val="000000"/>
              </w:rPr>
              <w:t>TR6--TR17</w:t>
            </w:r>
          </w:p>
        </w:tc>
        <w:tc>
          <w:tcPr>
            <w:tcW w:w="1704" w:type="dxa"/>
            <w:vAlign w:val="center"/>
          </w:tcPr>
          <w:p w14:paraId="7F6C258D"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72E98B14"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04897E06" w14:textId="77777777" w:rsidR="007075D9" w:rsidRPr="004D46AC" w:rsidRDefault="007075D9" w:rsidP="002C5F6E">
            <w:pPr>
              <w:spacing w:line="240" w:lineRule="auto"/>
              <w:ind w:firstLine="0"/>
            </w:pPr>
            <w:r w:rsidRPr="004D46AC">
              <w:rPr>
                <w:color w:val="000000"/>
                <w:szCs w:val="21"/>
              </w:rPr>
              <w:t xml:space="preserve">0.70 </w:t>
            </w:r>
          </w:p>
        </w:tc>
        <w:tc>
          <w:tcPr>
            <w:tcW w:w="1705" w:type="dxa"/>
            <w:vAlign w:val="center"/>
          </w:tcPr>
          <w:p w14:paraId="29B4541E"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3D2D808" w14:textId="77777777">
        <w:tc>
          <w:tcPr>
            <w:tcW w:w="1704" w:type="dxa"/>
            <w:vAlign w:val="center"/>
          </w:tcPr>
          <w:p w14:paraId="0F0EFC9F" w14:textId="77777777" w:rsidR="007075D9" w:rsidRPr="004D46AC" w:rsidRDefault="007075D9" w:rsidP="002C5F6E">
            <w:pPr>
              <w:spacing w:line="240" w:lineRule="auto"/>
              <w:ind w:firstLine="0"/>
            </w:pPr>
            <w:r w:rsidRPr="004D46AC">
              <w:rPr>
                <w:color w:val="000000"/>
              </w:rPr>
              <w:t>TR12--TR15</w:t>
            </w:r>
          </w:p>
        </w:tc>
        <w:tc>
          <w:tcPr>
            <w:tcW w:w="1704" w:type="dxa"/>
            <w:vAlign w:val="center"/>
          </w:tcPr>
          <w:p w14:paraId="4CFE1AA8"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4B517007"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0E43A3F3"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53F547D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D354134" w14:textId="77777777">
        <w:tc>
          <w:tcPr>
            <w:tcW w:w="1704" w:type="dxa"/>
            <w:vAlign w:val="center"/>
          </w:tcPr>
          <w:p w14:paraId="4AB67037" w14:textId="77777777" w:rsidR="007075D9" w:rsidRPr="004D46AC" w:rsidRDefault="007075D9" w:rsidP="002C5F6E">
            <w:pPr>
              <w:spacing w:line="240" w:lineRule="auto"/>
              <w:ind w:firstLine="0"/>
            </w:pPr>
            <w:r w:rsidRPr="004D46AC">
              <w:rPr>
                <w:color w:val="000000"/>
              </w:rPr>
              <w:t>TR26--TR18</w:t>
            </w:r>
          </w:p>
        </w:tc>
        <w:tc>
          <w:tcPr>
            <w:tcW w:w="1704" w:type="dxa"/>
            <w:vAlign w:val="center"/>
          </w:tcPr>
          <w:p w14:paraId="53FBC87E"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7D4773CB"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393233C6"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55F904A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5787AC3" w14:textId="77777777">
        <w:tc>
          <w:tcPr>
            <w:tcW w:w="1704" w:type="dxa"/>
            <w:vAlign w:val="center"/>
          </w:tcPr>
          <w:p w14:paraId="0F13585C" w14:textId="77777777" w:rsidR="007075D9" w:rsidRPr="004D46AC" w:rsidRDefault="007075D9" w:rsidP="002C5F6E">
            <w:pPr>
              <w:spacing w:line="240" w:lineRule="auto"/>
              <w:ind w:firstLine="0"/>
            </w:pPr>
            <w:r w:rsidRPr="004D46AC">
              <w:rPr>
                <w:color w:val="000000"/>
              </w:rPr>
              <w:t>TR6--TR18</w:t>
            </w:r>
          </w:p>
        </w:tc>
        <w:tc>
          <w:tcPr>
            <w:tcW w:w="1704" w:type="dxa"/>
            <w:vAlign w:val="center"/>
          </w:tcPr>
          <w:p w14:paraId="74318D8C"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2C1022AE"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020F3991" w14:textId="77777777" w:rsidR="007075D9" w:rsidRPr="004D46AC" w:rsidRDefault="007075D9" w:rsidP="002C5F6E">
            <w:pPr>
              <w:spacing w:line="240" w:lineRule="auto"/>
              <w:ind w:firstLine="0"/>
            </w:pPr>
            <w:r w:rsidRPr="004D46AC">
              <w:rPr>
                <w:color w:val="000000"/>
                <w:szCs w:val="21"/>
              </w:rPr>
              <w:t xml:space="preserve">0.69 </w:t>
            </w:r>
          </w:p>
        </w:tc>
        <w:tc>
          <w:tcPr>
            <w:tcW w:w="1705" w:type="dxa"/>
            <w:vAlign w:val="center"/>
          </w:tcPr>
          <w:p w14:paraId="1D2026A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89F9F49" w14:textId="77777777">
        <w:tc>
          <w:tcPr>
            <w:tcW w:w="1704" w:type="dxa"/>
            <w:vAlign w:val="center"/>
          </w:tcPr>
          <w:p w14:paraId="2A0A795C" w14:textId="77777777" w:rsidR="007075D9" w:rsidRPr="004D46AC" w:rsidRDefault="007075D9" w:rsidP="002C5F6E">
            <w:pPr>
              <w:spacing w:line="240" w:lineRule="auto"/>
              <w:ind w:firstLine="0"/>
            </w:pPr>
            <w:r w:rsidRPr="004D46AC">
              <w:rPr>
                <w:color w:val="000000"/>
              </w:rPr>
              <w:t>TR13--TR20</w:t>
            </w:r>
          </w:p>
        </w:tc>
        <w:tc>
          <w:tcPr>
            <w:tcW w:w="1704" w:type="dxa"/>
            <w:vAlign w:val="center"/>
          </w:tcPr>
          <w:p w14:paraId="6EDE9543"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6C11192F"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67000500"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06CCC49E"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FA3BEF5" w14:textId="77777777">
        <w:tc>
          <w:tcPr>
            <w:tcW w:w="1704" w:type="dxa"/>
            <w:vAlign w:val="center"/>
          </w:tcPr>
          <w:p w14:paraId="1EAEB513" w14:textId="77777777" w:rsidR="007075D9" w:rsidRPr="004D46AC" w:rsidRDefault="007075D9" w:rsidP="002C5F6E">
            <w:pPr>
              <w:spacing w:line="240" w:lineRule="auto"/>
              <w:ind w:firstLine="0"/>
            </w:pPr>
            <w:r w:rsidRPr="004D46AC">
              <w:rPr>
                <w:color w:val="000000"/>
              </w:rPr>
              <w:t>TR29--TR33</w:t>
            </w:r>
          </w:p>
        </w:tc>
        <w:tc>
          <w:tcPr>
            <w:tcW w:w="1704" w:type="dxa"/>
            <w:vAlign w:val="center"/>
          </w:tcPr>
          <w:p w14:paraId="2F654FA1" w14:textId="77777777" w:rsidR="007075D9" w:rsidRPr="004D46AC" w:rsidRDefault="007075D9" w:rsidP="002C5F6E">
            <w:pPr>
              <w:spacing w:line="240" w:lineRule="auto"/>
              <w:ind w:firstLine="0"/>
            </w:pPr>
            <w:r w:rsidRPr="004D46AC">
              <w:rPr>
                <w:color w:val="000000"/>
                <w:szCs w:val="21"/>
              </w:rPr>
              <w:t xml:space="preserve">0.41 </w:t>
            </w:r>
          </w:p>
        </w:tc>
        <w:tc>
          <w:tcPr>
            <w:tcW w:w="1704" w:type="dxa"/>
            <w:vAlign w:val="center"/>
          </w:tcPr>
          <w:p w14:paraId="5CAC9007"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631E53C1" w14:textId="77777777" w:rsidR="007075D9" w:rsidRPr="004D46AC" w:rsidRDefault="007075D9" w:rsidP="002C5F6E">
            <w:pPr>
              <w:spacing w:line="240" w:lineRule="auto"/>
              <w:ind w:firstLine="0"/>
            </w:pPr>
            <w:r w:rsidRPr="004D46AC">
              <w:rPr>
                <w:color w:val="000000"/>
                <w:szCs w:val="21"/>
              </w:rPr>
              <w:t xml:space="preserve">0.67 </w:t>
            </w:r>
          </w:p>
        </w:tc>
        <w:tc>
          <w:tcPr>
            <w:tcW w:w="1705" w:type="dxa"/>
            <w:vAlign w:val="center"/>
          </w:tcPr>
          <w:p w14:paraId="1D7FEC95"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563F88CE" w14:textId="77777777">
        <w:tc>
          <w:tcPr>
            <w:tcW w:w="1704" w:type="dxa"/>
            <w:vAlign w:val="center"/>
          </w:tcPr>
          <w:p w14:paraId="57E1AAFF" w14:textId="77777777" w:rsidR="007075D9" w:rsidRPr="004D46AC" w:rsidRDefault="007075D9" w:rsidP="002C5F6E">
            <w:pPr>
              <w:spacing w:line="240" w:lineRule="auto"/>
              <w:ind w:firstLine="0"/>
            </w:pPr>
            <w:r w:rsidRPr="004D46AC">
              <w:rPr>
                <w:color w:val="000000"/>
              </w:rPr>
              <w:t>TR19--TR23</w:t>
            </w:r>
          </w:p>
        </w:tc>
        <w:tc>
          <w:tcPr>
            <w:tcW w:w="1704" w:type="dxa"/>
            <w:vAlign w:val="center"/>
          </w:tcPr>
          <w:p w14:paraId="0769EB5B" w14:textId="77777777" w:rsidR="007075D9" w:rsidRPr="004D46AC" w:rsidRDefault="007075D9" w:rsidP="002C5F6E">
            <w:pPr>
              <w:spacing w:line="240" w:lineRule="auto"/>
              <w:ind w:firstLine="0"/>
            </w:pPr>
            <w:r w:rsidRPr="004D46AC">
              <w:rPr>
                <w:color w:val="000000"/>
                <w:szCs w:val="21"/>
              </w:rPr>
              <w:t xml:space="preserve">0.41 </w:t>
            </w:r>
          </w:p>
        </w:tc>
        <w:tc>
          <w:tcPr>
            <w:tcW w:w="1704" w:type="dxa"/>
            <w:vAlign w:val="center"/>
          </w:tcPr>
          <w:p w14:paraId="0576B90F"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36A6345D" w14:textId="77777777" w:rsidR="007075D9" w:rsidRPr="004D46AC" w:rsidRDefault="007075D9" w:rsidP="002C5F6E">
            <w:pPr>
              <w:spacing w:line="240" w:lineRule="auto"/>
              <w:ind w:firstLine="0"/>
            </w:pPr>
            <w:r w:rsidRPr="004D46AC">
              <w:rPr>
                <w:color w:val="000000"/>
                <w:szCs w:val="21"/>
              </w:rPr>
              <w:t xml:space="preserve">0.64 </w:t>
            </w:r>
          </w:p>
        </w:tc>
        <w:tc>
          <w:tcPr>
            <w:tcW w:w="1705" w:type="dxa"/>
            <w:vAlign w:val="center"/>
          </w:tcPr>
          <w:p w14:paraId="2133AB4E"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5EDBDB10" w14:textId="77777777">
        <w:tc>
          <w:tcPr>
            <w:tcW w:w="1704" w:type="dxa"/>
            <w:vAlign w:val="center"/>
          </w:tcPr>
          <w:p w14:paraId="5E702CE3" w14:textId="77777777" w:rsidR="007075D9" w:rsidRPr="004D46AC" w:rsidRDefault="007075D9" w:rsidP="002C5F6E">
            <w:pPr>
              <w:spacing w:line="240" w:lineRule="auto"/>
              <w:ind w:firstLine="0"/>
            </w:pPr>
            <w:r w:rsidRPr="004D46AC">
              <w:rPr>
                <w:color w:val="000000"/>
              </w:rPr>
              <w:t>TR16--TR22</w:t>
            </w:r>
          </w:p>
        </w:tc>
        <w:tc>
          <w:tcPr>
            <w:tcW w:w="1704" w:type="dxa"/>
            <w:vAlign w:val="center"/>
          </w:tcPr>
          <w:p w14:paraId="1076E971" w14:textId="77777777" w:rsidR="007075D9" w:rsidRPr="004D46AC" w:rsidRDefault="007075D9" w:rsidP="002C5F6E">
            <w:pPr>
              <w:spacing w:line="240" w:lineRule="auto"/>
              <w:ind w:firstLine="0"/>
            </w:pPr>
            <w:r w:rsidRPr="004D46AC">
              <w:rPr>
                <w:color w:val="000000"/>
                <w:szCs w:val="21"/>
              </w:rPr>
              <w:t xml:space="preserve">0.41 </w:t>
            </w:r>
          </w:p>
        </w:tc>
        <w:tc>
          <w:tcPr>
            <w:tcW w:w="1704" w:type="dxa"/>
            <w:vAlign w:val="center"/>
          </w:tcPr>
          <w:p w14:paraId="3CE659E2"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6C131807" w14:textId="77777777" w:rsidR="007075D9" w:rsidRPr="004D46AC" w:rsidRDefault="007075D9" w:rsidP="002C5F6E">
            <w:pPr>
              <w:spacing w:line="240" w:lineRule="auto"/>
              <w:ind w:firstLine="0"/>
            </w:pPr>
            <w:r w:rsidRPr="004D46AC">
              <w:rPr>
                <w:color w:val="000000"/>
                <w:szCs w:val="21"/>
              </w:rPr>
              <w:t xml:space="preserve">0.64 </w:t>
            </w:r>
          </w:p>
        </w:tc>
        <w:tc>
          <w:tcPr>
            <w:tcW w:w="1705" w:type="dxa"/>
            <w:vAlign w:val="center"/>
          </w:tcPr>
          <w:p w14:paraId="338DB815"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3989A61" w14:textId="77777777">
        <w:tc>
          <w:tcPr>
            <w:tcW w:w="1704" w:type="dxa"/>
            <w:vAlign w:val="center"/>
          </w:tcPr>
          <w:p w14:paraId="336FE20F" w14:textId="77777777" w:rsidR="007075D9" w:rsidRPr="004D46AC" w:rsidRDefault="007075D9" w:rsidP="002C5F6E">
            <w:pPr>
              <w:spacing w:line="240" w:lineRule="auto"/>
              <w:ind w:firstLine="0"/>
            </w:pPr>
            <w:r w:rsidRPr="004D46AC">
              <w:rPr>
                <w:color w:val="000000"/>
              </w:rPr>
              <w:t>TR37--TR30</w:t>
            </w:r>
          </w:p>
        </w:tc>
        <w:tc>
          <w:tcPr>
            <w:tcW w:w="1704" w:type="dxa"/>
            <w:vAlign w:val="center"/>
          </w:tcPr>
          <w:p w14:paraId="66402CD8"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47053AAD"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2EA8E161" w14:textId="77777777" w:rsidR="007075D9" w:rsidRPr="004D46AC" w:rsidRDefault="007075D9" w:rsidP="002C5F6E">
            <w:pPr>
              <w:spacing w:line="240" w:lineRule="auto"/>
              <w:ind w:firstLine="0"/>
            </w:pPr>
            <w:r w:rsidRPr="004D46AC">
              <w:rPr>
                <w:color w:val="000000"/>
                <w:szCs w:val="21"/>
              </w:rPr>
              <w:t xml:space="preserve">0.65 </w:t>
            </w:r>
          </w:p>
        </w:tc>
        <w:tc>
          <w:tcPr>
            <w:tcW w:w="1705" w:type="dxa"/>
            <w:vAlign w:val="center"/>
          </w:tcPr>
          <w:p w14:paraId="1FDB1A9C"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596342B" w14:textId="77777777">
        <w:tc>
          <w:tcPr>
            <w:tcW w:w="1704" w:type="dxa"/>
            <w:vAlign w:val="center"/>
          </w:tcPr>
          <w:p w14:paraId="00674E90" w14:textId="77777777" w:rsidR="007075D9" w:rsidRPr="004D46AC" w:rsidRDefault="007075D9" w:rsidP="002C5F6E">
            <w:pPr>
              <w:spacing w:line="240" w:lineRule="auto"/>
              <w:ind w:firstLine="0"/>
            </w:pPr>
            <w:r w:rsidRPr="004D46AC">
              <w:rPr>
                <w:color w:val="000000"/>
              </w:rPr>
              <w:t>TR30--TR25</w:t>
            </w:r>
          </w:p>
        </w:tc>
        <w:tc>
          <w:tcPr>
            <w:tcW w:w="1704" w:type="dxa"/>
            <w:vAlign w:val="center"/>
          </w:tcPr>
          <w:p w14:paraId="163D9D31"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54C42117"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033651B9" w14:textId="77777777" w:rsidR="007075D9" w:rsidRPr="004D46AC" w:rsidRDefault="007075D9" w:rsidP="002C5F6E">
            <w:pPr>
              <w:spacing w:line="240" w:lineRule="auto"/>
              <w:ind w:firstLine="0"/>
            </w:pPr>
            <w:r w:rsidRPr="004D46AC">
              <w:rPr>
                <w:color w:val="000000"/>
                <w:szCs w:val="21"/>
              </w:rPr>
              <w:t xml:space="preserve">0.65 </w:t>
            </w:r>
          </w:p>
        </w:tc>
        <w:tc>
          <w:tcPr>
            <w:tcW w:w="1705" w:type="dxa"/>
            <w:vAlign w:val="center"/>
          </w:tcPr>
          <w:p w14:paraId="55E9CE25"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1D4C9029" w14:textId="77777777">
        <w:tc>
          <w:tcPr>
            <w:tcW w:w="1704" w:type="dxa"/>
            <w:vAlign w:val="center"/>
          </w:tcPr>
          <w:p w14:paraId="6E5C0E1D" w14:textId="77777777" w:rsidR="007075D9" w:rsidRPr="004D46AC" w:rsidRDefault="007075D9" w:rsidP="002C5F6E">
            <w:pPr>
              <w:spacing w:line="240" w:lineRule="auto"/>
              <w:ind w:firstLine="0"/>
            </w:pPr>
            <w:r w:rsidRPr="004D46AC">
              <w:rPr>
                <w:color w:val="000000"/>
              </w:rPr>
              <w:t>TR5--TR12</w:t>
            </w:r>
          </w:p>
        </w:tc>
        <w:tc>
          <w:tcPr>
            <w:tcW w:w="1704" w:type="dxa"/>
            <w:vAlign w:val="center"/>
          </w:tcPr>
          <w:p w14:paraId="5C966D16"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11E3DD41"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6DABCE8B"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731F92B8"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059946C3" w14:textId="77777777">
        <w:tc>
          <w:tcPr>
            <w:tcW w:w="1704" w:type="dxa"/>
            <w:vAlign w:val="center"/>
          </w:tcPr>
          <w:p w14:paraId="1D433D5A" w14:textId="77777777" w:rsidR="007075D9" w:rsidRPr="004D46AC" w:rsidRDefault="007075D9" w:rsidP="002C5F6E">
            <w:pPr>
              <w:spacing w:line="240" w:lineRule="auto"/>
              <w:ind w:firstLine="0"/>
            </w:pPr>
            <w:r w:rsidRPr="004D46AC">
              <w:rPr>
                <w:color w:val="000000"/>
              </w:rPr>
              <w:t>TR7--TR23</w:t>
            </w:r>
          </w:p>
        </w:tc>
        <w:tc>
          <w:tcPr>
            <w:tcW w:w="1704" w:type="dxa"/>
            <w:vAlign w:val="center"/>
          </w:tcPr>
          <w:p w14:paraId="379571F9"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7B4233D9"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35CBF63B"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6CB20C9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120A6A0" w14:textId="77777777">
        <w:tc>
          <w:tcPr>
            <w:tcW w:w="1704" w:type="dxa"/>
            <w:vAlign w:val="center"/>
          </w:tcPr>
          <w:p w14:paraId="643C54EB" w14:textId="77777777" w:rsidR="007075D9" w:rsidRPr="004D46AC" w:rsidRDefault="007075D9" w:rsidP="002C5F6E">
            <w:pPr>
              <w:spacing w:line="240" w:lineRule="auto"/>
              <w:ind w:firstLine="0"/>
            </w:pPr>
            <w:r w:rsidRPr="004D46AC">
              <w:rPr>
                <w:color w:val="000000"/>
              </w:rPr>
              <w:lastRenderedPageBreak/>
              <w:t>TR3--TR19</w:t>
            </w:r>
          </w:p>
        </w:tc>
        <w:tc>
          <w:tcPr>
            <w:tcW w:w="1704" w:type="dxa"/>
            <w:vAlign w:val="center"/>
          </w:tcPr>
          <w:p w14:paraId="7992B068" w14:textId="77777777" w:rsidR="007075D9" w:rsidRPr="004D46AC" w:rsidRDefault="007075D9" w:rsidP="002C5F6E">
            <w:pPr>
              <w:spacing w:line="240" w:lineRule="auto"/>
              <w:ind w:firstLine="0"/>
            </w:pPr>
            <w:r w:rsidRPr="004D46AC">
              <w:rPr>
                <w:color w:val="000000"/>
                <w:szCs w:val="21"/>
              </w:rPr>
              <w:t xml:space="preserve">0.38 </w:t>
            </w:r>
          </w:p>
        </w:tc>
        <w:tc>
          <w:tcPr>
            <w:tcW w:w="1704" w:type="dxa"/>
            <w:vAlign w:val="center"/>
          </w:tcPr>
          <w:p w14:paraId="0B867B59"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4136B8A8"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6B56EF21"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7EA5ECCF" w14:textId="77777777">
        <w:tc>
          <w:tcPr>
            <w:tcW w:w="1704" w:type="dxa"/>
            <w:vAlign w:val="center"/>
          </w:tcPr>
          <w:p w14:paraId="5CA4EF50" w14:textId="77777777" w:rsidR="007075D9" w:rsidRPr="004D46AC" w:rsidRDefault="007075D9" w:rsidP="002C5F6E">
            <w:pPr>
              <w:spacing w:line="240" w:lineRule="auto"/>
              <w:ind w:firstLine="0"/>
            </w:pPr>
            <w:r w:rsidRPr="004D46AC">
              <w:rPr>
                <w:color w:val="000000"/>
              </w:rPr>
              <w:t>TR3--TR9</w:t>
            </w:r>
          </w:p>
        </w:tc>
        <w:tc>
          <w:tcPr>
            <w:tcW w:w="1704" w:type="dxa"/>
            <w:vAlign w:val="center"/>
          </w:tcPr>
          <w:p w14:paraId="3E7DA9D4" w14:textId="77777777" w:rsidR="007075D9" w:rsidRPr="004D46AC" w:rsidRDefault="007075D9" w:rsidP="002C5F6E">
            <w:pPr>
              <w:spacing w:line="240" w:lineRule="auto"/>
              <w:ind w:firstLine="0"/>
            </w:pPr>
            <w:r w:rsidRPr="004D46AC">
              <w:rPr>
                <w:color w:val="000000"/>
                <w:szCs w:val="21"/>
              </w:rPr>
              <w:t xml:space="preserve">0.38 </w:t>
            </w:r>
          </w:p>
        </w:tc>
        <w:tc>
          <w:tcPr>
            <w:tcW w:w="1704" w:type="dxa"/>
            <w:vAlign w:val="center"/>
          </w:tcPr>
          <w:p w14:paraId="75E9002E"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06B8E092" w14:textId="77777777" w:rsidR="007075D9" w:rsidRPr="004D46AC" w:rsidRDefault="007075D9" w:rsidP="002C5F6E">
            <w:pPr>
              <w:spacing w:line="240" w:lineRule="auto"/>
              <w:ind w:firstLine="0"/>
            </w:pPr>
            <w:r w:rsidRPr="004D46AC">
              <w:rPr>
                <w:color w:val="000000"/>
                <w:szCs w:val="21"/>
              </w:rPr>
              <w:t xml:space="preserve">0.65 </w:t>
            </w:r>
          </w:p>
        </w:tc>
        <w:tc>
          <w:tcPr>
            <w:tcW w:w="1705" w:type="dxa"/>
            <w:vAlign w:val="center"/>
          </w:tcPr>
          <w:p w14:paraId="7D8BFE41"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61797F7A" w14:textId="77777777">
        <w:tc>
          <w:tcPr>
            <w:tcW w:w="1704" w:type="dxa"/>
            <w:vAlign w:val="center"/>
          </w:tcPr>
          <w:p w14:paraId="3E7AC24D" w14:textId="77777777" w:rsidR="007075D9" w:rsidRPr="004D46AC" w:rsidRDefault="007075D9" w:rsidP="002C5F6E">
            <w:pPr>
              <w:spacing w:line="240" w:lineRule="auto"/>
              <w:ind w:firstLine="0"/>
            </w:pPr>
            <w:r w:rsidRPr="004D46AC">
              <w:rPr>
                <w:color w:val="000000"/>
              </w:rPr>
              <w:t>TR17--TR22</w:t>
            </w:r>
          </w:p>
        </w:tc>
        <w:tc>
          <w:tcPr>
            <w:tcW w:w="1704" w:type="dxa"/>
            <w:vAlign w:val="center"/>
          </w:tcPr>
          <w:p w14:paraId="067CDC9E" w14:textId="77777777" w:rsidR="007075D9" w:rsidRPr="004D46AC" w:rsidRDefault="007075D9" w:rsidP="002C5F6E">
            <w:pPr>
              <w:spacing w:line="240" w:lineRule="auto"/>
              <w:ind w:firstLine="0"/>
            </w:pPr>
            <w:r w:rsidRPr="004D46AC">
              <w:rPr>
                <w:color w:val="000000"/>
                <w:szCs w:val="21"/>
              </w:rPr>
              <w:t xml:space="preserve">0.37 </w:t>
            </w:r>
          </w:p>
        </w:tc>
        <w:tc>
          <w:tcPr>
            <w:tcW w:w="1704" w:type="dxa"/>
            <w:vAlign w:val="center"/>
          </w:tcPr>
          <w:p w14:paraId="7F28484D"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476AA6F0"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61930D7E"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47C0D20C" w14:textId="77777777">
        <w:tc>
          <w:tcPr>
            <w:tcW w:w="1704" w:type="dxa"/>
            <w:vAlign w:val="center"/>
          </w:tcPr>
          <w:p w14:paraId="0D1C49F5" w14:textId="77777777" w:rsidR="007075D9" w:rsidRPr="004D46AC" w:rsidRDefault="007075D9" w:rsidP="002C5F6E">
            <w:pPr>
              <w:spacing w:line="240" w:lineRule="auto"/>
              <w:ind w:firstLine="0"/>
            </w:pPr>
            <w:r w:rsidRPr="004D46AC">
              <w:rPr>
                <w:color w:val="000000"/>
              </w:rPr>
              <w:t>TR37--TR17</w:t>
            </w:r>
          </w:p>
        </w:tc>
        <w:tc>
          <w:tcPr>
            <w:tcW w:w="1704" w:type="dxa"/>
            <w:vAlign w:val="center"/>
          </w:tcPr>
          <w:p w14:paraId="114DFF4B" w14:textId="77777777" w:rsidR="007075D9" w:rsidRPr="004D46AC" w:rsidRDefault="007075D9" w:rsidP="002C5F6E">
            <w:pPr>
              <w:spacing w:line="240" w:lineRule="auto"/>
              <w:ind w:firstLine="0"/>
            </w:pPr>
            <w:r w:rsidRPr="004D46AC">
              <w:rPr>
                <w:color w:val="000000"/>
                <w:szCs w:val="21"/>
              </w:rPr>
              <w:t xml:space="preserve">0.37 </w:t>
            </w:r>
          </w:p>
        </w:tc>
        <w:tc>
          <w:tcPr>
            <w:tcW w:w="1704" w:type="dxa"/>
            <w:vAlign w:val="center"/>
          </w:tcPr>
          <w:p w14:paraId="78479811"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6DA1AA60" w14:textId="77777777" w:rsidR="007075D9" w:rsidRPr="004D46AC" w:rsidRDefault="007075D9" w:rsidP="002C5F6E">
            <w:pPr>
              <w:spacing w:line="240" w:lineRule="auto"/>
              <w:ind w:firstLine="0"/>
            </w:pPr>
            <w:r w:rsidRPr="004D46AC">
              <w:rPr>
                <w:color w:val="000000"/>
                <w:szCs w:val="21"/>
              </w:rPr>
              <w:t xml:space="preserve">0.61 </w:t>
            </w:r>
          </w:p>
        </w:tc>
        <w:tc>
          <w:tcPr>
            <w:tcW w:w="1705" w:type="dxa"/>
            <w:vAlign w:val="center"/>
          </w:tcPr>
          <w:p w14:paraId="6E121BC9"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0F080E89" w14:textId="77777777">
        <w:tc>
          <w:tcPr>
            <w:tcW w:w="1704" w:type="dxa"/>
            <w:vAlign w:val="center"/>
          </w:tcPr>
          <w:p w14:paraId="4B470314" w14:textId="77777777" w:rsidR="007075D9" w:rsidRPr="004D46AC" w:rsidRDefault="007075D9" w:rsidP="002C5F6E">
            <w:pPr>
              <w:spacing w:line="240" w:lineRule="auto"/>
              <w:ind w:firstLine="0"/>
            </w:pPr>
            <w:r w:rsidRPr="004D46AC">
              <w:rPr>
                <w:color w:val="000000"/>
              </w:rPr>
              <w:t>TR24--TR13</w:t>
            </w:r>
          </w:p>
        </w:tc>
        <w:tc>
          <w:tcPr>
            <w:tcW w:w="1704" w:type="dxa"/>
            <w:vAlign w:val="center"/>
          </w:tcPr>
          <w:p w14:paraId="7E4E059B" w14:textId="77777777" w:rsidR="007075D9" w:rsidRPr="004D46AC" w:rsidRDefault="007075D9" w:rsidP="002C5F6E">
            <w:pPr>
              <w:spacing w:line="240" w:lineRule="auto"/>
              <w:ind w:firstLine="0"/>
            </w:pPr>
            <w:r w:rsidRPr="004D46AC">
              <w:rPr>
                <w:color w:val="000000"/>
                <w:szCs w:val="21"/>
              </w:rPr>
              <w:t xml:space="preserve">0.36 </w:t>
            </w:r>
          </w:p>
        </w:tc>
        <w:tc>
          <w:tcPr>
            <w:tcW w:w="1704" w:type="dxa"/>
            <w:vAlign w:val="center"/>
          </w:tcPr>
          <w:p w14:paraId="123A085E"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575FB7C4"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0E19CE32"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D7A157A" w14:textId="77777777">
        <w:tc>
          <w:tcPr>
            <w:tcW w:w="1704" w:type="dxa"/>
            <w:vAlign w:val="center"/>
          </w:tcPr>
          <w:p w14:paraId="4322645A" w14:textId="77777777" w:rsidR="007075D9" w:rsidRPr="004D46AC" w:rsidRDefault="007075D9" w:rsidP="002C5F6E">
            <w:pPr>
              <w:spacing w:line="240" w:lineRule="auto"/>
              <w:ind w:firstLine="0"/>
            </w:pPr>
            <w:r w:rsidRPr="004D46AC">
              <w:rPr>
                <w:color w:val="000000"/>
              </w:rPr>
              <w:t>TR9--TR17</w:t>
            </w:r>
          </w:p>
        </w:tc>
        <w:tc>
          <w:tcPr>
            <w:tcW w:w="1704" w:type="dxa"/>
            <w:vAlign w:val="center"/>
          </w:tcPr>
          <w:p w14:paraId="1970AE95" w14:textId="77777777" w:rsidR="007075D9" w:rsidRPr="004D46AC" w:rsidRDefault="007075D9" w:rsidP="002C5F6E">
            <w:pPr>
              <w:spacing w:line="240" w:lineRule="auto"/>
              <w:ind w:firstLine="0"/>
            </w:pPr>
            <w:r w:rsidRPr="004D46AC">
              <w:rPr>
                <w:color w:val="000000"/>
                <w:szCs w:val="21"/>
              </w:rPr>
              <w:t xml:space="preserve">0.36 </w:t>
            </w:r>
          </w:p>
        </w:tc>
        <w:tc>
          <w:tcPr>
            <w:tcW w:w="1704" w:type="dxa"/>
            <w:vAlign w:val="center"/>
          </w:tcPr>
          <w:p w14:paraId="12E65476"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2942ED8A"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079F833B"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F72E226" w14:textId="77777777">
        <w:tc>
          <w:tcPr>
            <w:tcW w:w="1704" w:type="dxa"/>
            <w:vAlign w:val="center"/>
          </w:tcPr>
          <w:p w14:paraId="1F968EC9" w14:textId="77777777" w:rsidR="007075D9" w:rsidRPr="004D46AC" w:rsidRDefault="007075D9" w:rsidP="002C5F6E">
            <w:pPr>
              <w:spacing w:line="240" w:lineRule="auto"/>
              <w:ind w:firstLine="0"/>
            </w:pPr>
            <w:r w:rsidRPr="004D46AC">
              <w:rPr>
                <w:color w:val="000000"/>
              </w:rPr>
              <w:t>TR15--TR19</w:t>
            </w:r>
          </w:p>
        </w:tc>
        <w:tc>
          <w:tcPr>
            <w:tcW w:w="1704" w:type="dxa"/>
            <w:vAlign w:val="center"/>
          </w:tcPr>
          <w:p w14:paraId="6DF087F6" w14:textId="77777777" w:rsidR="007075D9" w:rsidRPr="004D46AC" w:rsidRDefault="007075D9" w:rsidP="002C5F6E">
            <w:pPr>
              <w:spacing w:line="240" w:lineRule="auto"/>
              <w:ind w:firstLine="0"/>
            </w:pPr>
            <w:r w:rsidRPr="004D46AC">
              <w:rPr>
                <w:color w:val="000000"/>
                <w:szCs w:val="21"/>
              </w:rPr>
              <w:t xml:space="preserve">0.35 </w:t>
            </w:r>
          </w:p>
        </w:tc>
        <w:tc>
          <w:tcPr>
            <w:tcW w:w="1704" w:type="dxa"/>
            <w:vAlign w:val="center"/>
          </w:tcPr>
          <w:p w14:paraId="3F9CEB7E"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020315D2"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4B68D2FC"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4F70C261" w14:textId="77777777">
        <w:tc>
          <w:tcPr>
            <w:tcW w:w="1704" w:type="dxa"/>
            <w:vAlign w:val="center"/>
          </w:tcPr>
          <w:p w14:paraId="455A72B1" w14:textId="77777777" w:rsidR="007075D9" w:rsidRPr="004D46AC" w:rsidRDefault="007075D9" w:rsidP="002C5F6E">
            <w:pPr>
              <w:spacing w:line="240" w:lineRule="auto"/>
              <w:ind w:firstLine="0"/>
            </w:pPr>
            <w:r w:rsidRPr="004D46AC">
              <w:rPr>
                <w:color w:val="000000"/>
              </w:rPr>
              <w:t>TR21--TR17</w:t>
            </w:r>
          </w:p>
        </w:tc>
        <w:tc>
          <w:tcPr>
            <w:tcW w:w="1704" w:type="dxa"/>
            <w:vAlign w:val="center"/>
          </w:tcPr>
          <w:p w14:paraId="39EED48E" w14:textId="77777777" w:rsidR="007075D9" w:rsidRPr="004D46AC" w:rsidRDefault="007075D9" w:rsidP="002C5F6E">
            <w:pPr>
              <w:spacing w:line="240" w:lineRule="auto"/>
              <w:ind w:firstLine="0"/>
            </w:pPr>
            <w:r w:rsidRPr="004D46AC">
              <w:rPr>
                <w:color w:val="000000"/>
                <w:szCs w:val="21"/>
              </w:rPr>
              <w:t xml:space="preserve">0.35 </w:t>
            </w:r>
          </w:p>
        </w:tc>
        <w:tc>
          <w:tcPr>
            <w:tcW w:w="1704" w:type="dxa"/>
            <w:vAlign w:val="center"/>
          </w:tcPr>
          <w:p w14:paraId="1A5D26C7"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02A555F2"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1BDEDA7E"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2657EFBC" w14:textId="77777777">
        <w:tc>
          <w:tcPr>
            <w:tcW w:w="1704" w:type="dxa"/>
            <w:vAlign w:val="center"/>
          </w:tcPr>
          <w:p w14:paraId="33DDF355" w14:textId="77777777" w:rsidR="007075D9" w:rsidRPr="004D46AC" w:rsidRDefault="007075D9" w:rsidP="002C5F6E">
            <w:pPr>
              <w:spacing w:line="240" w:lineRule="auto"/>
              <w:ind w:firstLine="0"/>
            </w:pPr>
            <w:r w:rsidRPr="004D46AC">
              <w:rPr>
                <w:color w:val="000000"/>
              </w:rPr>
              <w:t>TR9--TR29</w:t>
            </w:r>
          </w:p>
        </w:tc>
        <w:tc>
          <w:tcPr>
            <w:tcW w:w="1704" w:type="dxa"/>
            <w:vAlign w:val="center"/>
          </w:tcPr>
          <w:p w14:paraId="64CCD387" w14:textId="77777777" w:rsidR="007075D9" w:rsidRPr="004D46AC" w:rsidRDefault="007075D9" w:rsidP="002C5F6E">
            <w:pPr>
              <w:spacing w:line="240" w:lineRule="auto"/>
              <w:ind w:firstLine="0"/>
            </w:pPr>
            <w:r w:rsidRPr="004D46AC">
              <w:rPr>
                <w:color w:val="000000"/>
                <w:szCs w:val="21"/>
              </w:rPr>
              <w:t xml:space="preserve">0.35 </w:t>
            </w:r>
          </w:p>
        </w:tc>
        <w:tc>
          <w:tcPr>
            <w:tcW w:w="1704" w:type="dxa"/>
            <w:vAlign w:val="center"/>
          </w:tcPr>
          <w:p w14:paraId="20DBBF1B"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293F3937"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7982B49D"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4D7EDD60" w14:textId="77777777">
        <w:tc>
          <w:tcPr>
            <w:tcW w:w="1704" w:type="dxa"/>
            <w:vAlign w:val="center"/>
          </w:tcPr>
          <w:p w14:paraId="1694CD26" w14:textId="77777777" w:rsidR="007075D9" w:rsidRPr="004D46AC" w:rsidRDefault="007075D9" w:rsidP="002C5F6E">
            <w:pPr>
              <w:spacing w:line="240" w:lineRule="auto"/>
              <w:ind w:firstLine="0"/>
            </w:pPr>
            <w:r w:rsidRPr="004D46AC">
              <w:rPr>
                <w:color w:val="000000"/>
              </w:rPr>
              <w:t>TR9--TR30</w:t>
            </w:r>
          </w:p>
        </w:tc>
        <w:tc>
          <w:tcPr>
            <w:tcW w:w="1704" w:type="dxa"/>
            <w:vAlign w:val="center"/>
          </w:tcPr>
          <w:p w14:paraId="658EFA14"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391CB1D9"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1CDFB0D8"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4C900E3B"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6364CBA5" w14:textId="77777777">
        <w:tc>
          <w:tcPr>
            <w:tcW w:w="1704" w:type="dxa"/>
            <w:vAlign w:val="center"/>
          </w:tcPr>
          <w:p w14:paraId="16FF93F4" w14:textId="77777777" w:rsidR="007075D9" w:rsidRPr="004D46AC" w:rsidRDefault="007075D9" w:rsidP="002C5F6E">
            <w:pPr>
              <w:spacing w:line="240" w:lineRule="auto"/>
              <w:ind w:firstLine="0"/>
            </w:pPr>
            <w:r w:rsidRPr="004D46AC">
              <w:rPr>
                <w:color w:val="000000"/>
              </w:rPr>
              <w:t>TR37--TR20</w:t>
            </w:r>
          </w:p>
        </w:tc>
        <w:tc>
          <w:tcPr>
            <w:tcW w:w="1704" w:type="dxa"/>
            <w:vAlign w:val="center"/>
          </w:tcPr>
          <w:p w14:paraId="65DBB694" w14:textId="77777777" w:rsidR="007075D9" w:rsidRPr="004D46AC" w:rsidRDefault="007075D9" w:rsidP="002C5F6E">
            <w:pPr>
              <w:spacing w:line="240" w:lineRule="auto"/>
              <w:ind w:firstLine="0"/>
            </w:pPr>
            <w:r w:rsidRPr="004D46AC">
              <w:rPr>
                <w:color w:val="000000"/>
                <w:szCs w:val="21"/>
              </w:rPr>
              <w:t xml:space="preserve">0.33 </w:t>
            </w:r>
          </w:p>
        </w:tc>
        <w:tc>
          <w:tcPr>
            <w:tcW w:w="1704" w:type="dxa"/>
            <w:vAlign w:val="center"/>
          </w:tcPr>
          <w:p w14:paraId="38F83BC9"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261A56B4" w14:textId="77777777" w:rsidR="007075D9" w:rsidRPr="004D46AC" w:rsidRDefault="007075D9" w:rsidP="002C5F6E">
            <w:pPr>
              <w:spacing w:line="240" w:lineRule="auto"/>
              <w:ind w:firstLine="0"/>
            </w:pPr>
            <w:r w:rsidRPr="004D46AC">
              <w:rPr>
                <w:color w:val="000000"/>
                <w:szCs w:val="21"/>
              </w:rPr>
              <w:t xml:space="preserve">0.57 </w:t>
            </w:r>
          </w:p>
        </w:tc>
        <w:tc>
          <w:tcPr>
            <w:tcW w:w="1705" w:type="dxa"/>
            <w:vAlign w:val="center"/>
          </w:tcPr>
          <w:p w14:paraId="5B7CF235"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0EF08FFA" w14:textId="77777777">
        <w:tc>
          <w:tcPr>
            <w:tcW w:w="1704" w:type="dxa"/>
            <w:vAlign w:val="center"/>
          </w:tcPr>
          <w:p w14:paraId="2CE56477" w14:textId="77777777" w:rsidR="007075D9" w:rsidRPr="004D46AC" w:rsidRDefault="007075D9" w:rsidP="002C5F6E">
            <w:pPr>
              <w:spacing w:line="240" w:lineRule="auto"/>
              <w:ind w:firstLine="0"/>
            </w:pPr>
            <w:r w:rsidRPr="004D46AC">
              <w:rPr>
                <w:color w:val="000000"/>
              </w:rPr>
              <w:t>TR21--TR13</w:t>
            </w:r>
          </w:p>
        </w:tc>
        <w:tc>
          <w:tcPr>
            <w:tcW w:w="1704" w:type="dxa"/>
            <w:vAlign w:val="center"/>
          </w:tcPr>
          <w:p w14:paraId="774BF5CE" w14:textId="77777777" w:rsidR="007075D9" w:rsidRPr="004D46AC" w:rsidRDefault="007075D9" w:rsidP="002C5F6E">
            <w:pPr>
              <w:spacing w:line="240" w:lineRule="auto"/>
              <w:ind w:firstLine="0"/>
            </w:pPr>
            <w:r w:rsidRPr="004D46AC">
              <w:rPr>
                <w:color w:val="000000"/>
                <w:szCs w:val="21"/>
              </w:rPr>
              <w:t xml:space="preserve">0.32 </w:t>
            </w:r>
          </w:p>
        </w:tc>
        <w:tc>
          <w:tcPr>
            <w:tcW w:w="1704" w:type="dxa"/>
            <w:vAlign w:val="center"/>
          </w:tcPr>
          <w:p w14:paraId="3821D21A"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04860970"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2524C6EF"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046FF15" w14:textId="77777777">
        <w:tc>
          <w:tcPr>
            <w:tcW w:w="1704" w:type="dxa"/>
            <w:vAlign w:val="center"/>
          </w:tcPr>
          <w:p w14:paraId="3DD0126F" w14:textId="77777777" w:rsidR="007075D9" w:rsidRPr="004D46AC" w:rsidRDefault="007075D9" w:rsidP="002C5F6E">
            <w:pPr>
              <w:spacing w:line="240" w:lineRule="auto"/>
              <w:ind w:firstLine="0"/>
            </w:pPr>
            <w:r w:rsidRPr="004D46AC">
              <w:rPr>
                <w:color w:val="000000"/>
              </w:rPr>
              <w:t>TR37--TR9</w:t>
            </w:r>
          </w:p>
        </w:tc>
        <w:tc>
          <w:tcPr>
            <w:tcW w:w="1704" w:type="dxa"/>
            <w:vAlign w:val="center"/>
          </w:tcPr>
          <w:p w14:paraId="725FF108" w14:textId="77777777" w:rsidR="007075D9" w:rsidRPr="004D46AC" w:rsidRDefault="007075D9" w:rsidP="002C5F6E">
            <w:pPr>
              <w:spacing w:line="240" w:lineRule="auto"/>
              <w:ind w:firstLine="0"/>
            </w:pPr>
            <w:r w:rsidRPr="004D46AC">
              <w:rPr>
                <w:color w:val="000000"/>
                <w:szCs w:val="21"/>
              </w:rPr>
              <w:t xml:space="preserve">0.31 </w:t>
            </w:r>
          </w:p>
        </w:tc>
        <w:tc>
          <w:tcPr>
            <w:tcW w:w="1704" w:type="dxa"/>
            <w:vAlign w:val="center"/>
          </w:tcPr>
          <w:p w14:paraId="65AEAF66"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798BC0AE"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016BD13F"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1D807009" w14:textId="77777777">
        <w:tc>
          <w:tcPr>
            <w:tcW w:w="1704" w:type="dxa"/>
            <w:vAlign w:val="center"/>
          </w:tcPr>
          <w:p w14:paraId="5EB48E03" w14:textId="77777777" w:rsidR="007075D9" w:rsidRPr="004D46AC" w:rsidRDefault="007075D9" w:rsidP="002C5F6E">
            <w:pPr>
              <w:spacing w:line="240" w:lineRule="auto"/>
              <w:ind w:firstLine="0"/>
            </w:pPr>
            <w:r w:rsidRPr="004D46AC">
              <w:rPr>
                <w:color w:val="000000"/>
              </w:rPr>
              <w:t>TR3--TR13</w:t>
            </w:r>
          </w:p>
        </w:tc>
        <w:tc>
          <w:tcPr>
            <w:tcW w:w="1704" w:type="dxa"/>
            <w:vAlign w:val="center"/>
          </w:tcPr>
          <w:p w14:paraId="4FB8F613" w14:textId="77777777" w:rsidR="007075D9" w:rsidRPr="004D46AC" w:rsidRDefault="007075D9" w:rsidP="002C5F6E">
            <w:pPr>
              <w:spacing w:line="240" w:lineRule="auto"/>
              <w:ind w:firstLine="0"/>
            </w:pPr>
            <w:r w:rsidRPr="004D46AC">
              <w:rPr>
                <w:color w:val="000000"/>
                <w:szCs w:val="21"/>
              </w:rPr>
              <w:t xml:space="preserve">0.31 </w:t>
            </w:r>
          </w:p>
        </w:tc>
        <w:tc>
          <w:tcPr>
            <w:tcW w:w="1704" w:type="dxa"/>
            <w:vAlign w:val="center"/>
          </w:tcPr>
          <w:p w14:paraId="05C50522"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72628EBD"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4A0ADB00"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5609E3F0" w14:textId="77777777">
        <w:tc>
          <w:tcPr>
            <w:tcW w:w="1704" w:type="dxa"/>
            <w:vAlign w:val="center"/>
          </w:tcPr>
          <w:p w14:paraId="6356C55C" w14:textId="77777777" w:rsidR="007075D9" w:rsidRPr="004D46AC" w:rsidRDefault="007075D9" w:rsidP="002C5F6E">
            <w:pPr>
              <w:spacing w:line="240" w:lineRule="auto"/>
              <w:ind w:firstLine="0"/>
            </w:pPr>
            <w:r w:rsidRPr="004D46AC">
              <w:rPr>
                <w:color w:val="000000"/>
              </w:rPr>
              <w:t>TR26--TR30</w:t>
            </w:r>
          </w:p>
        </w:tc>
        <w:tc>
          <w:tcPr>
            <w:tcW w:w="1704" w:type="dxa"/>
            <w:vAlign w:val="center"/>
          </w:tcPr>
          <w:p w14:paraId="12DE4E30"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756A5343"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0B092AA7" w14:textId="77777777" w:rsidR="007075D9" w:rsidRPr="004D46AC" w:rsidRDefault="007075D9" w:rsidP="002C5F6E">
            <w:pPr>
              <w:spacing w:line="240" w:lineRule="auto"/>
              <w:ind w:firstLine="0"/>
            </w:pPr>
            <w:r w:rsidRPr="004D46AC">
              <w:rPr>
                <w:color w:val="000000"/>
                <w:szCs w:val="21"/>
              </w:rPr>
              <w:t xml:space="preserve">0.57 </w:t>
            </w:r>
          </w:p>
        </w:tc>
        <w:tc>
          <w:tcPr>
            <w:tcW w:w="1705" w:type="dxa"/>
            <w:vAlign w:val="center"/>
          </w:tcPr>
          <w:p w14:paraId="79B5FF23"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37B33C12" w14:textId="77777777">
        <w:tc>
          <w:tcPr>
            <w:tcW w:w="1704" w:type="dxa"/>
            <w:vAlign w:val="center"/>
          </w:tcPr>
          <w:p w14:paraId="547A62B3" w14:textId="77777777" w:rsidR="007075D9" w:rsidRPr="004D46AC" w:rsidRDefault="007075D9" w:rsidP="002C5F6E">
            <w:pPr>
              <w:spacing w:line="240" w:lineRule="auto"/>
              <w:ind w:firstLine="0"/>
            </w:pPr>
            <w:r w:rsidRPr="004D46AC">
              <w:rPr>
                <w:color w:val="000000"/>
              </w:rPr>
              <w:t>TR23--TR13</w:t>
            </w:r>
          </w:p>
        </w:tc>
        <w:tc>
          <w:tcPr>
            <w:tcW w:w="1704" w:type="dxa"/>
            <w:vAlign w:val="center"/>
          </w:tcPr>
          <w:p w14:paraId="7629582C"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2B288673"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4CBAA3FF"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2F324CA6"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42A49C50" w14:textId="77777777">
        <w:tc>
          <w:tcPr>
            <w:tcW w:w="1704" w:type="dxa"/>
            <w:vAlign w:val="center"/>
          </w:tcPr>
          <w:p w14:paraId="7214481E" w14:textId="77777777" w:rsidR="007075D9" w:rsidRPr="004D46AC" w:rsidRDefault="007075D9" w:rsidP="002C5F6E">
            <w:pPr>
              <w:spacing w:line="240" w:lineRule="auto"/>
              <w:ind w:firstLine="0"/>
            </w:pPr>
            <w:r w:rsidRPr="004D46AC">
              <w:rPr>
                <w:color w:val="000000"/>
              </w:rPr>
              <w:t>TR18--TR22</w:t>
            </w:r>
          </w:p>
        </w:tc>
        <w:tc>
          <w:tcPr>
            <w:tcW w:w="1704" w:type="dxa"/>
            <w:vAlign w:val="center"/>
          </w:tcPr>
          <w:p w14:paraId="0F1F8EFA"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48BCCBD6"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0DE4A15E"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170F57B6"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3EF25B00" w14:textId="77777777">
        <w:tc>
          <w:tcPr>
            <w:tcW w:w="1704" w:type="dxa"/>
            <w:vAlign w:val="center"/>
          </w:tcPr>
          <w:p w14:paraId="400D6F92" w14:textId="77777777" w:rsidR="007075D9" w:rsidRPr="004D46AC" w:rsidRDefault="007075D9" w:rsidP="002C5F6E">
            <w:pPr>
              <w:spacing w:line="240" w:lineRule="auto"/>
              <w:ind w:firstLine="0"/>
            </w:pPr>
            <w:r w:rsidRPr="004D46AC">
              <w:rPr>
                <w:color w:val="000000"/>
              </w:rPr>
              <w:t>TR3--TR20</w:t>
            </w:r>
          </w:p>
        </w:tc>
        <w:tc>
          <w:tcPr>
            <w:tcW w:w="1704" w:type="dxa"/>
            <w:vAlign w:val="center"/>
          </w:tcPr>
          <w:p w14:paraId="5E7E0AF4"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24772775"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0A316DCD"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254E1117"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67E1A049" w14:textId="77777777">
        <w:tc>
          <w:tcPr>
            <w:tcW w:w="1704" w:type="dxa"/>
            <w:vAlign w:val="center"/>
          </w:tcPr>
          <w:p w14:paraId="7299D8F4" w14:textId="77777777" w:rsidR="007075D9" w:rsidRPr="004D46AC" w:rsidRDefault="007075D9" w:rsidP="002C5F6E">
            <w:pPr>
              <w:spacing w:line="240" w:lineRule="auto"/>
              <w:ind w:firstLine="0"/>
            </w:pPr>
            <w:r w:rsidRPr="004D46AC">
              <w:rPr>
                <w:color w:val="000000"/>
              </w:rPr>
              <w:t>TR12--TR37</w:t>
            </w:r>
          </w:p>
        </w:tc>
        <w:tc>
          <w:tcPr>
            <w:tcW w:w="1704" w:type="dxa"/>
            <w:vAlign w:val="center"/>
          </w:tcPr>
          <w:p w14:paraId="1324ED33"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0AAC6804"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131F148F"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2A6460C8"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509FB990" w14:textId="77777777">
        <w:tc>
          <w:tcPr>
            <w:tcW w:w="1704" w:type="dxa"/>
            <w:vAlign w:val="center"/>
          </w:tcPr>
          <w:p w14:paraId="55CF033C" w14:textId="77777777" w:rsidR="007075D9" w:rsidRPr="004D46AC" w:rsidRDefault="007075D9" w:rsidP="002C5F6E">
            <w:pPr>
              <w:spacing w:line="240" w:lineRule="auto"/>
              <w:ind w:firstLine="0"/>
            </w:pPr>
            <w:r w:rsidRPr="004D46AC">
              <w:rPr>
                <w:color w:val="000000"/>
              </w:rPr>
              <w:t>TR15--TR21</w:t>
            </w:r>
          </w:p>
        </w:tc>
        <w:tc>
          <w:tcPr>
            <w:tcW w:w="1704" w:type="dxa"/>
            <w:vAlign w:val="center"/>
          </w:tcPr>
          <w:p w14:paraId="01BBF229"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2245CECF"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6B1BB2B7"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20A40D52"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58681BAE" w14:textId="77777777">
        <w:tc>
          <w:tcPr>
            <w:tcW w:w="1704" w:type="dxa"/>
            <w:vAlign w:val="center"/>
          </w:tcPr>
          <w:p w14:paraId="1A9E9AB0" w14:textId="77777777" w:rsidR="007075D9" w:rsidRPr="004D46AC" w:rsidRDefault="007075D9" w:rsidP="002C5F6E">
            <w:pPr>
              <w:spacing w:line="240" w:lineRule="auto"/>
              <w:ind w:firstLine="0"/>
            </w:pPr>
            <w:r w:rsidRPr="004D46AC">
              <w:rPr>
                <w:color w:val="000000"/>
              </w:rPr>
              <w:t>TR20--TR22</w:t>
            </w:r>
          </w:p>
        </w:tc>
        <w:tc>
          <w:tcPr>
            <w:tcW w:w="1704" w:type="dxa"/>
            <w:vAlign w:val="center"/>
          </w:tcPr>
          <w:p w14:paraId="51A10F74"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2ADAB3DA"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23327C74"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62DD21D7"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31A2B823" w14:textId="77777777">
        <w:tc>
          <w:tcPr>
            <w:tcW w:w="1704" w:type="dxa"/>
            <w:vAlign w:val="center"/>
          </w:tcPr>
          <w:p w14:paraId="2CFAD59A" w14:textId="77777777" w:rsidR="007075D9" w:rsidRPr="004D46AC" w:rsidRDefault="007075D9" w:rsidP="002C5F6E">
            <w:pPr>
              <w:spacing w:line="240" w:lineRule="auto"/>
              <w:ind w:firstLine="0"/>
            </w:pPr>
            <w:r w:rsidRPr="004D46AC">
              <w:rPr>
                <w:color w:val="000000"/>
              </w:rPr>
              <w:t>TR18--TR30</w:t>
            </w:r>
          </w:p>
        </w:tc>
        <w:tc>
          <w:tcPr>
            <w:tcW w:w="1704" w:type="dxa"/>
            <w:vAlign w:val="center"/>
          </w:tcPr>
          <w:p w14:paraId="2DE1444C"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3605D8CC"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195AE500"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4F0FF123"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158B31B8" w14:textId="77777777">
        <w:tc>
          <w:tcPr>
            <w:tcW w:w="1704" w:type="dxa"/>
            <w:vAlign w:val="center"/>
          </w:tcPr>
          <w:p w14:paraId="4A7EEA2F" w14:textId="77777777" w:rsidR="007075D9" w:rsidRPr="004D46AC" w:rsidRDefault="007075D9" w:rsidP="002C5F6E">
            <w:pPr>
              <w:spacing w:line="240" w:lineRule="auto"/>
              <w:ind w:firstLine="0"/>
            </w:pPr>
            <w:r w:rsidRPr="004D46AC">
              <w:rPr>
                <w:color w:val="000000"/>
              </w:rPr>
              <w:t>TR19--TR37</w:t>
            </w:r>
          </w:p>
        </w:tc>
        <w:tc>
          <w:tcPr>
            <w:tcW w:w="1704" w:type="dxa"/>
            <w:vAlign w:val="center"/>
          </w:tcPr>
          <w:p w14:paraId="01EAF441"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2DA919A9"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4B4A3D24"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7A186943"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459C614D" w14:textId="77777777">
        <w:tc>
          <w:tcPr>
            <w:tcW w:w="1704" w:type="dxa"/>
            <w:vAlign w:val="center"/>
          </w:tcPr>
          <w:p w14:paraId="17FF156C" w14:textId="77777777" w:rsidR="007075D9" w:rsidRPr="004D46AC" w:rsidRDefault="007075D9" w:rsidP="002C5F6E">
            <w:pPr>
              <w:spacing w:line="240" w:lineRule="auto"/>
              <w:ind w:firstLine="0"/>
            </w:pPr>
            <w:r w:rsidRPr="004D46AC">
              <w:rPr>
                <w:color w:val="000000"/>
              </w:rPr>
              <w:t>TR14--TR25</w:t>
            </w:r>
          </w:p>
        </w:tc>
        <w:tc>
          <w:tcPr>
            <w:tcW w:w="1704" w:type="dxa"/>
            <w:vAlign w:val="center"/>
          </w:tcPr>
          <w:p w14:paraId="2FE57ED7"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123FD733"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362F71E1"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5530A0F9"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37D27916" w14:textId="77777777">
        <w:tc>
          <w:tcPr>
            <w:tcW w:w="1704" w:type="dxa"/>
            <w:vAlign w:val="center"/>
          </w:tcPr>
          <w:p w14:paraId="1B4D8F95" w14:textId="77777777" w:rsidR="007075D9" w:rsidRPr="004D46AC" w:rsidRDefault="007075D9" w:rsidP="002C5F6E">
            <w:pPr>
              <w:spacing w:line="240" w:lineRule="auto"/>
              <w:ind w:firstLine="0"/>
            </w:pPr>
            <w:r w:rsidRPr="004D46AC">
              <w:rPr>
                <w:color w:val="000000"/>
              </w:rPr>
              <w:t>TR21--TR37</w:t>
            </w:r>
          </w:p>
        </w:tc>
        <w:tc>
          <w:tcPr>
            <w:tcW w:w="1704" w:type="dxa"/>
            <w:vAlign w:val="center"/>
          </w:tcPr>
          <w:p w14:paraId="0989FAFC"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0D6E3D56"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5933D106"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33E6C9A4"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1C24F272" w14:textId="77777777">
        <w:tc>
          <w:tcPr>
            <w:tcW w:w="1704" w:type="dxa"/>
            <w:vAlign w:val="center"/>
          </w:tcPr>
          <w:p w14:paraId="207C1909" w14:textId="77777777" w:rsidR="007075D9" w:rsidRPr="004D46AC" w:rsidRDefault="007075D9" w:rsidP="002C5F6E">
            <w:pPr>
              <w:spacing w:line="240" w:lineRule="auto"/>
              <w:ind w:firstLine="0"/>
            </w:pPr>
            <w:r w:rsidRPr="004D46AC">
              <w:rPr>
                <w:color w:val="000000"/>
              </w:rPr>
              <w:t>TR26--TR33</w:t>
            </w:r>
          </w:p>
        </w:tc>
        <w:tc>
          <w:tcPr>
            <w:tcW w:w="1704" w:type="dxa"/>
            <w:vAlign w:val="center"/>
          </w:tcPr>
          <w:p w14:paraId="53D93227"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4E65F1BC"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37F7A4E5"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327DB8BD"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770F9385" w14:textId="77777777">
        <w:tc>
          <w:tcPr>
            <w:tcW w:w="1704" w:type="dxa"/>
            <w:vAlign w:val="center"/>
          </w:tcPr>
          <w:p w14:paraId="5075B357" w14:textId="77777777" w:rsidR="007075D9" w:rsidRPr="004D46AC" w:rsidRDefault="007075D9" w:rsidP="002C5F6E">
            <w:pPr>
              <w:spacing w:line="240" w:lineRule="auto"/>
              <w:ind w:firstLine="0"/>
            </w:pPr>
            <w:r w:rsidRPr="004D46AC">
              <w:rPr>
                <w:color w:val="000000"/>
              </w:rPr>
              <w:t>TR27--TR37</w:t>
            </w:r>
          </w:p>
        </w:tc>
        <w:tc>
          <w:tcPr>
            <w:tcW w:w="1704" w:type="dxa"/>
            <w:vAlign w:val="center"/>
          </w:tcPr>
          <w:p w14:paraId="4E6DE5B9"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6912D13B"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11F1BB46"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01AA230E"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6CB22866" w14:textId="77777777">
        <w:tc>
          <w:tcPr>
            <w:tcW w:w="1704" w:type="dxa"/>
            <w:vAlign w:val="center"/>
          </w:tcPr>
          <w:p w14:paraId="2B9B4171" w14:textId="77777777" w:rsidR="007075D9" w:rsidRPr="004D46AC" w:rsidRDefault="007075D9" w:rsidP="002C5F6E">
            <w:pPr>
              <w:spacing w:line="240" w:lineRule="auto"/>
              <w:ind w:firstLine="0"/>
            </w:pPr>
            <w:r w:rsidRPr="004D46AC">
              <w:rPr>
                <w:color w:val="000000"/>
              </w:rPr>
              <w:t>TR15--TR24</w:t>
            </w:r>
          </w:p>
        </w:tc>
        <w:tc>
          <w:tcPr>
            <w:tcW w:w="1704" w:type="dxa"/>
            <w:vAlign w:val="center"/>
          </w:tcPr>
          <w:p w14:paraId="7E2A4F42"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382F948F"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1462F5EA"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3380BBD2"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178B8180" w14:textId="77777777">
        <w:tc>
          <w:tcPr>
            <w:tcW w:w="1704" w:type="dxa"/>
            <w:vAlign w:val="center"/>
          </w:tcPr>
          <w:p w14:paraId="09C4CB57" w14:textId="77777777" w:rsidR="007075D9" w:rsidRPr="004D46AC" w:rsidRDefault="007075D9" w:rsidP="002C5F6E">
            <w:pPr>
              <w:spacing w:line="240" w:lineRule="auto"/>
              <w:ind w:firstLine="0"/>
            </w:pPr>
            <w:r w:rsidRPr="004D46AC">
              <w:rPr>
                <w:color w:val="000000"/>
              </w:rPr>
              <w:t>TR5--TR13</w:t>
            </w:r>
          </w:p>
        </w:tc>
        <w:tc>
          <w:tcPr>
            <w:tcW w:w="1704" w:type="dxa"/>
            <w:vAlign w:val="center"/>
          </w:tcPr>
          <w:p w14:paraId="5DB98CDD"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325DE655"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575A21DF"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37D23D6E"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5AE4FFD3" w14:textId="77777777">
        <w:tc>
          <w:tcPr>
            <w:tcW w:w="1704" w:type="dxa"/>
            <w:vAlign w:val="center"/>
          </w:tcPr>
          <w:p w14:paraId="5DF3CB7D" w14:textId="77777777" w:rsidR="007075D9" w:rsidRPr="004D46AC" w:rsidRDefault="007075D9" w:rsidP="002C5F6E">
            <w:pPr>
              <w:spacing w:line="240" w:lineRule="auto"/>
              <w:ind w:firstLine="0"/>
            </w:pPr>
            <w:r w:rsidRPr="004D46AC">
              <w:rPr>
                <w:color w:val="000000"/>
              </w:rPr>
              <w:t>TR12--TR24</w:t>
            </w:r>
          </w:p>
        </w:tc>
        <w:tc>
          <w:tcPr>
            <w:tcW w:w="1704" w:type="dxa"/>
            <w:vAlign w:val="center"/>
          </w:tcPr>
          <w:p w14:paraId="6CD258E4"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5CA924E7"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5FF99858"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05564D6D" w14:textId="77777777" w:rsidR="007075D9" w:rsidRPr="004D46AC" w:rsidRDefault="007075D9" w:rsidP="002C5F6E">
            <w:pPr>
              <w:spacing w:line="240" w:lineRule="auto"/>
              <w:ind w:firstLine="0"/>
            </w:pPr>
            <w:r w:rsidRPr="004D46AC">
              <w:rPr>
                <w:color w:val="000000"/>
                <w:szCs w:val="21"/>
              </w:rPr>
              <w:t xml:space="preserve">0.16 </w:t>
            </w:r>
          </w:p>
        </w:tc>
      </w:tr>
      <w:tr w:rsidR="007075D9" w:rsidRPr="004D46AC" w14:paraId="69502777" w14:textId="77777777">
        <w:tc>
          <w:tcPr>
            <w:tcW w:w="1704" w:type="dxa"/>
            <w:vAlign w:val="center"/>
          </w:tcPr>
          <w:p w14:paraId="1E372875" w14:textId="77777777" w:rsidR="007075D9" w:rsidRPr="004D46AC" w:rsidRDefault="007075D9" w:rsidP="002C5F6E">
            <w:pPr>
              <w:spacing w:line="240" w:lineRule="auto"/>
              <w:ind w:firstLine="0"/>
            </w:pPr>
            <w:r w:rsidRPr="004D46AC">
              <w:rPr>
                <w:color w:val="000000"/>
              </w:rPr>
              <w:t>TR34--TR29</w:t>
            </w:r>
          </w:p>
        </w:tc>
        <w:tc>
          <w:tcPr>
            <w:tcW w:w="1704" w:type="dxa"/>
            <w:vAlign w:val="center"/>
          </w:tcPr>
          <w:p w14:paraId="4517CC12"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3CFCB7E4"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46276824"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70D2FD66"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4CC8273F" w14:textId="77777777">
        <w:tc>
          <w:tcPr>
            <w:tcW w:w="1704" w:type="dxa"/>
            <w:vAlign w:val="center"/>
          </w:tcPr>
          <w:p w14:paraId="4306F259" w14:textId="77777777" w:rsidR="007075D9" w:rsidRPr="004D46AC" w:rsidRDefault="007075D9" w:rsidP="002C5F6E">
            <w:pPr>
              <w:spacing w:line="240" w:lineRule="auto"/>
              <w:ind w:firstLine="0"/>
            </w:pPr>
            <w:r w:rsidRPr="004D46AC">
              <w:rPr>
                <w:color w:val="000000"/>
              </w:rPr>
              <w:t>TR37--TR29</w:t>
            </w:r>
          </w:p>
        </w:tc>
        <w:tc>
          <w:tcPr>
            <w:tcW w:w="1704" w:type="dxa"/>
            <w:vAlign w:val="center"/>
          </w:tcPr>
          <w:p w14:paraId="7C8C0C4E"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23C11395"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41190FB9"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797D08D1"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79B9A173" w14:textId="77777777">
        <w:tc>
          <w:tcPr>
            <w:tcW w:w="1704" w:type="dxa"/>
            <w:vAlign w:val="center"/>
          </w:tcPr>
          <w:p w14:paraId="35967653" w14:textId="77777777" w:rsidR="007075D9" w:rsidRPr="004D46AC" w:rsidRDefault="007075D9" w:rsidP="002C5F6E">
            <w:pPr>
              <w:spacing w:line="240" w:lineRule="auto"/>
              <w:ind w:firstLine="0"/>
            </w:pPr>
            <w:r w:rsidRPr="004D46AC">
              <w:rPr>
                <w:color w:val="000000"/>
              </w:rPr>
              <w:t>TR3--TR33</w:t>
            </w:r>
          </w:p>
        </w:tc>
        <w:tc>
          <w:tcPr>
            <w:tcW w:w="1704" w:type="dxa"/>
            <w:vAlign w:val="center"/>
          </w:tcPr>
          <w:p w14:paraId="68463135" w14:textId="77777777" w:rsidR="007075D9" w:rsidRPr="004D46AC" w:rsidRDefault="007075D9" w:rsidP="002C5F6E">
            <w:pPr>
              <w:spacing w:line="240" w:lineRule="auto"/>
              <w:ind w:firstLine="0"/>
            </w:pPr>
            <w:r w:rsidRPr="004D46AC">
              <w:rPr>
                <w:color w:val="000000"/>
                <w:szCs w:val="21"/>
              </w:rPr>
              <w:t xml:space="preserve">0.26 </w:t>
            </w:r>
          </w:p>
        </w:tc>
        <w:tc>
          <w:tcPr>
            <w:tcW w:w="1704" w:type="dxa"/>
            <w:vAlign w:val="center"/>
          </w:tcPr>
          <w:p w14:paraId="67DA9D09"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48C759DB"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22CEFC81"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667C6724" w14:textId="77777777">
        <w:tc>
          <w:tcPr>
            <w:tcW w:w="1704" w:type="dxa"/>
            <w:vAlign w:val="center"/>
          </w:tcPr>
          <w:p w14:paraId="6173A8A5" w14:textId="77777777" w:rsidR="007075D9" w:rsidRPr="004D46AC" w:rsidRDefault="007075D9" w:rsidP="002C5F6E">
            <w:pPr>
              <w:spacing w:line="240" w:lineRule="auto"/>
              <w:ind w:firstLine="0"/>
            </w:pPr>
            <w:r w:rsidRPr="004D46AC">
              <w:rPr>
                <w:color w:val="000000"/>
              </w:rPr>
              <w:t>TR23--TR33</w:t>
            </w:r>
          </w:p>
        </w:tc>
        <w:tc>
          <w:tcPr>
            <w:tcW w:w="1704" w:type="dxa"/>
            <w:vAlign w:val="center"/>
          </w:tcPr>
          <w:p w14:paraId="2D19A320" w14:textId="77777777" w:rsidR="007075D9" w:rsidRPr="004D46AC" w:rsidRDefault="007075D9" w:rsidP="002C5F6E">
            <w:pPr>
              <w:spacing w:line="240" w:lineRule="auto"/>
              <w:ind w:firstLine="0"/>
            </w:pPr>
            <w:r w:rsidRPr="004D46AC">
              <w:rPr>
                <w:color w:val="000000"/>
                <w:szCs w:val="21"/>
              </w:rPr>
              <w:t xml:space="preserve">0.26 </w:t>
            </w:r>
          </w:p>
        </w:tc>
        <w:tc>
          <w:tcPr>
            <w:tcW w:w="1704" w:type="dxa"/>
            <w:vAlign w:val="center"/>
          </w:tcPr>
          <w:p w14:paraId="4B93CCA7"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001F0E32"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42703A61"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701D4881" w14:textId="77777777">
        <w:tc>
          <w:tcPr>
            <w:tcW w:w="1704" w:type="dxa"/>
            <w:vAlign w:val="center"/>
          </w:tcPr>
          <w:p w14:paraId="4D8DB861" w14:textId="77777777" w:rsidR="007075D9" w:rsidRPr="004D46AC" w:rsidRDefault="007075D9" w:rsidP="002C5F6E">
            <w:pPr>
              <w:spacing w:line="240" w:lineRule="auto"/>
              <w:ind w:firstLine="0"/>
            </w:pPr>
            <w:r w:rsidRPr="004D46AC">
              <w:rPr>
                <w:color w:val="000000"/>
              </w:rPr>
              <w:t>TR30--TR22</w:t>
            </w:r>
          </w:p>
        </w:tc>
        <w:tc>
          <w:tcPr>
            <w:tcW w:w="1704" w:type="dxa"/>
            <w:vAlign w:val="center"/>
          </w:tcPr>
          <w:p w14:paraId="50E73515"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50EC4A48"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13EA9C54"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2A7BF2C5"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35A4604A" w14:textId="77777777">
        <w:tc>
          <w:tcPr>
            <w:tcW w:w="1704" w:type="dxa"/>
            <w:vAlign w:val="center"/>
          </w:tcPr>
          <w:p w14:paraId="2E736E02" w14:textId="77777777" w:rsidR="007075D9" w:rsidRPr="004D46AC" w:rsidRDefault="007075D9" w:rsidP="002C5F6E">
            <w:pPr>
              <w:spacing w:line="240" w:lineRule="auto"/>
              <w:ind w:firstLine="0"/>
            </w:pPr>
            <w:r w:rsidRPr="004D46AC">
              <w:rPr>
                <w:color w:val="000000"/>
              </w:rPr>
              <w:t>TR23--TR37</w:t>
            </w:r>
          </w:p>
        </w:tc>
        <w:tc>
          <w:tcPr>
            <w:tcW w:w="1704" w:type="dxa"/>
            <w:vAlign w:val="center"/>
          </w:tcPr>
          <w:p w14:paraId="1D5000FF"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2142E7F1"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1EC8CFF6"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18DEC7D1"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34310354" w14:textId="77777777">
        <w:tc>
          <w:tcPr>
            <w:tcW w:w="1704" w:type="dxa"/>
            <w:vAlign w:val="center"/>
          </w:tcPr>
          <w:p w14:paraId="7E0EB5AB" w14:textId="77777777" w:rsidR="007075D9" w:rsidRPr="004D46AC" w:rsidRDefault="007075D9" w:rsidP="002C5F6E">
            <w:pPr>
              <w:spacing w:line="240" w:lineRule="auto"/>
              <w:ind w:firstLine="0"/>
            </w:pPr>
            <w:r w:rsidRPr="004D46AC">
              <w:rPr>
                <w:color w:val="000000"/>
              </w:rPr>
              <w:t>TR12--TR26</w:t>
            </w:r>
          </w:p>
        </w:tc>
        <w:tc>
          <w:tcPr>
            <w:tcW w:w="1704" w:type="dxa"/>
            <w:vAlign w:val="center"/>
          </w:tcPr>
          <w:p w14:paraId="155C6992"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154AB0AD"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6D689DE2"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617DDA6A" w14:textId="77777777" w:rsidR="007075D9" w:rsidRPr="004D46AC" w:rsidRDefault="007075D9" w:rsidP="002C5F6E">
            <w:pPr>
              <w:spacing w:line="240" w:lineRule="auto"/>
              <w:ind w:firstLine="0"/>
            </w:pPr>
            <w:r w:rsidRPr="004D46AC">
              <w:rPr>
                <w:color w:val="000000"/>
                <w:szCs w:val="21"/>
              </w:rPr>
              <w:t xml:space="preserve">0.09 </w:t>
            </w:r>
          </w:p>
        </w:tc>
      </w:tr>
      <w:tr w:rsidR="007075D9" w:rsidRPr="004D46AC" w14:paraId="6531CA55" w14:textId="77777777">
        <w:tc>
          <w:tcPr>
            <w:tcW w:w="1704" w:type="dxa"/>
            <w:vAlign w:val="center"/>
          </w:tcPr>
          <w:p w14:paraId="575979CB" w14:textId="77777777" w:rsidR="007075D9" w:rsidRPr="004D46AC" w:rsidRDefault="007075D9" w:rsidP="002C5F6E">
            <w:pPr>
              <w:spacing w:line="240" w:lineRule="auto"/>
              <w:ind w:firstLine="0"/>
            </w:pPr>
            <w:r w:rsidRPr="004D46AC">
              <w:rPr>
                <w:color w:val="000000"/>
              </w:rPr>
              <w:t>TR3--TR17</w:t>
            </w:r>
          </w:p>
        </w:tc>
        <w:tc>
          <w:tcPr>
            <w:tcW w:w="1704" w:type="dxa"/>
            <w:vAlign w:val="center"/>
          </w:tcPr>
          <w:p w14:paraId="1EA23724"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502A241D"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7BB843AC"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67092733"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58C93663" w14:textId="77777777">
        <w:tc>
          <w:tcPr>
            <w:tcW w:w="1704" w:type="dxa"/>
            <w:vAlign w:val="center"/>
          </w:tcPr>
          <w:p w14:paraId="422C13EB" w14:textId="77777777" w:rsidR="007075D9" w:rsidRPr="004D46AC" w:rsidRDefault="007075D9" w:rsidP="002C5F6E">
            <w:pPr>
              <w:spacing w:line="240" w:lineRule="auto"/>
              <w:ind w:firstLine="0"/>
            </w:pPr>
            <w:r w:rsidRPr="004D46AC">
              <w:rPr>
                <w:color w:val="000000"/>
              </w:rPr>
              <w:t>TR21--TR26</w:t>
            </w:r>
          </w:p>
        </w:tc>
        <w:tc>
          <w:tcPr>
            <w:tcW w:w="1704" w:type="dxa"/>
            <w:vAlign w:val="center"/>
          </w:tcPr>
          <w:p w14:paraId="3004ED92"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481AD3A7"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483690CC" w14:textId="77777777" w:rsidR="007075D9" w:rsidRPr="004D46AC" w:rsidRDefault="007075D9" w:rsidP="002C5F6E">
            <w:pPr>
              <w:spacing w:line="240" w:lineRule="auto"/>
              <w:ind w:firstLine="0"/>
            </w:pPr>
            <w:r w:rsidRPr="004D46AC">
              <w:rPr>
                <w:color w:val="000000"/>
                <w:szCs w:val="21"/>
              </w:rPr>
              <w:t xml:space="preserve">0.47 </w:t>
            </w:r>
          </w:p>
        </w:tc>
        <w:tc>
          <w:tcPr>
            <w:tcW w:w="1705" w:type="dxa"/>
            <w:vAlign w:val="center"/>
          </w:tcPr>
          <w:p w14:paraId="705DC7DC"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4A433F05" w14:textId="77777777">
        <w:tc>
          <w:tcPr>
            <w:tcW w:w="1704" w:type="dxa"/>
            <w:vAlign w:val="center"/>
          </w:tcPr>
          <w:p w14:paraId="3A384A5C" w14:textId="77777777" w:rsidR="007075D9" w:rsidRPr="004D46AC" w:rsidRDefault="007075D9" w:rsidP="002C5F6E">
            <w:pPr>
              <w:spacing w:line="240" w:lineRule="auto"/>
              <w:ind w:firstLine="0"/>
            </w:pPr>
            <w:r w:rsidRPr="004D46AC">
              <w:rPr>
                <w:color w:val="000000"/>
              </w:rPr>
              <w:t>TR21--TR24</w:t>
            </w:r>
          </w:p>
        </w:tc>
        <w:tc>
          <w:tcPr>
            <w:tcW w:w="1704" w:type="dxa"/>
            <w:vAlign w:val="center"/>
          </w:tcPr>
          <w:p w14:paraId="1C896F76"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5F85B2A5"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2723474C"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0F7302E8"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0FF35F88" w14:textId="77777777">
        <w:tc>
          <w:tcPr>
            <w:tcW w:w="1704" w:type="dxa"/>
            <w:vAlign w:val="center"/>
          </w:tcPr>
          <w:p w14:paraId="10D57A43" w14:textId="77777777" w:rsidR="007075D9" w:rsidRPr="004D46AC" w:rsidRDefault="007075D9" w:rsidP="002C5F6E">
            <w:pPr>
              <w:spacing w:line="240" w:lineRule="auto"/>
              <w:ind w:firstLine="0"/>
            </w:pPr>
            <w:r w:rsidRPr="004D46AC">
              <w:rPr>
                <w:color w:val="000000"/>
              </w:rPr>
              <w:t>TR21--TR9</w:t>
            </w:r>
          </w:p>
        </w:tc>
        <w:tc>
          <w:tcPr>
            <w:tcW w:w="1704" w:type="dxa"/>
            <w:vAlign w:val="center"/>
          </w:tcPr>
          <w:p w14:paraId="68C00ED7"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2B063848"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28A9E465"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18ABC00D"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5E300F85" w14:textId="77777777">
        <w:tc>
          <w:tcPr>
            <w:tcW w:w="1704" w:type="dxa"/>
            <w:vAlign w:val="center"/>
          </w:tcPr>
          <w:p w14:paraId="06A4AFB7" w14:textId="77777777" w:rsidR="007075D9" w:rsidRPr="004D46AC" w:rsidRDefault="007075D9" w:rsidP="002C5F6E">
            <w:pPr>
              <w:spacing w:line="240" w:lineRule="auto"/>
              <w:ind w:firstLine="0"/>
            </w:pPr>
            <w:r w:rsidRPr="004D46AC">
              <w:rPr>
                <w:color w:val="000000"/>
              </w:rPr>
              <w:t>TR33--TR22</w:t>
            </w:r>
          </w:p>
        </w:tc>
        <w:tc>
          <w:tcPr>
            <w:tcW w:w="1704" w:type="dxa"/>
            <w:vAlign w:val="center"/>
          </w:tcPr>
          <w:p w14:paraId="76F5A1A5"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4847308D"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6E1E6391"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1EDEA36B" w14:textId="77777777" w:rsidR="007075D9" w:rsidRPr="004D46AC" w:rsidRDefault="007075D9" w:rsidP="002C5F6E">
            <w:pPr>
              <w:spacing w:line="240" w:lineRule="auto"/>
              <w:ind w:firstLine="0"/>
            </w:pPr>
            <w:r w:rsidRPr="004D46AC">
              <w:rPr>
                <w:color w:val="000000"/>
                <w:szCs w:val="21"/>
              </w:rPr>
              <w:t xml:space="preserve">0.11 </w:t>
            </w:r>
          </w:p>
        </w:tc>
      </w:tr>
      <w:tr w:rsidR="007075D9" w:rsidRPr="004D46AC" w14:paraId="6584101B" w14:textId="77777777">
        <w:tc>
          <w:tcPr>
            <w:tcW w:w="1704" w:type="dxa"/>
            <w:vAlign w:val="center"/>
          </w:tcPr>
          <w:p w14:paraId="74D03E60" w14:textId="77777777" w:rsidR="007075D9" w:rsidRPr="004D46AC" w:rsidRDefault="007075D9" w:rsidP="002C5F6E">
            <w:pPr>
              <w:spacing w:line="240" w:lineRule="auto"/>
              <w:ind w:firstLine="0"/>
            </w:pPr>
            <w:r w:rsidRPr="004D46AC">
              <w:rPr>
                <w:color w:val="000000"/>
              </w:rPr>
              <w:t>TR23--TR26</w:t>
            </w:r>
          </w:p>
        </w:tc>
        <w:tc>
          <w:tcPr>
            <w:tcW w:w="1704" w:type="dxa"/>
            <w:vAlign w:val="center"/>
          </w:tcPr>
          <w:p w14:paraId="73F5D9A4"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39AB50A7"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7C41FC0B" w14:textId="77777777" w:rsidR="007075D9" w:rsidRPr="004D46AC" w:rsidRDefault="007075D9" w:rsidP="002C5F6E">
            <w:pPr>
              <w:spacing w:line="240" w:lineRule="auto"/>
              <w:ind w:firstLine="0"/>
            </w:pPr>
            <w:r w:rsidRPr="004D46AC">
              <w:rPr>
                <w:color w:val="000000"/>
                <w:szCs w:val="21"/>
              </w:rPr>
              <w:t xml:space="preserve">0.47 </w:t>
            </w:r>
          </w:p>
        </w:tc>
        <w:tc>
          <w:tcPr>
            <w:tcW w:w="1705" w:type="dxa"/>
            <w:vAlign w:val="center"/>
          </w:tcPr>
          <w:p w14:paraId="0A6F28FC"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3984F333" w14:textId="77777777">
        <w:tc>
          <w:tcPr>
            <w:tcW w:w="1704" w:type="dxa"/>
            <w:vAlign w:val="center"/>
          </w:tcPr>
          <w:p w14:paraId="166ABD5E" w14:textId="77777777" w:rsidR="007075D9" w:rsidRPr="004D46AC" w:rsidRDefault="007075D9" w:rsidP="002C5F6E">
            <w:pPr>
              <w:spacing w:line="240" w:lineRule="auto"/>
              <w:ind w:firstLine="0"/>
            </w:pPr>
            <w:r w:rsidRPr="004D46AC">
              <w:rPr>
                <w:color w:val="000000"/>
              </w:rPr>
              <w:t>TR15--TR23</w:t>
            </w:r>
          </w:p>
        </w:tc>
        <w:tc>
          <w:tcPr>
            <w:tcW w:w="1704" w:type="dxa"/>
            <w:vAlign w:val="center"/>
          </w:tcPr>
          <w:p w14:paraId="17EF85A9"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5AE754F2"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77B2BCB9" w14:textId="77777777" w:rsidR="007075D9" w:rsidRPr="004D46AC" w:rsidRDefault="007075D9" w:rsidP="002C5F6E">
            <w:pPr>
              <w:spacing w:line="240" w:lineRule="auto"/>
              <w:ind w:firstLine="0"/>
            </w:pPr>
            <w:r w:rsidRPr="004D46AC">
              <w:rPr>
                <w:color w:val="000000"/>
                <w:szCs w:val="21"/>
              </w:rPr>
              <w:t xml:space="preserve">0.47 </w:t>
            </w:r>
          </w:p>
        </w:tc>
        <w:tc>
          <w:tcPr>
            <w:tcW w:w="1705" w:type="dxa"/>
            <w:vAlign w:val="center"/>
          </w:tcPr>
          <w:p w14:paraId="1EFF0C3B"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41C2FE7B" w14:textId="77777777">
        <w:tc>
          <w:tcPr>
            <w:tcW w:w="1704" w:type="dxa"/>
            <w:vAlign w:val="center"/>
          </w:tcPr>
          <w:p w14:paraId="3C72B51C" w14:textId="77777777" w:rsidR="007075D9" w:rsidRPr="004D46AC" w:rsidRDefault="007075D9" w:rsidP="002C5F6E">
            <w:pPr>
              <w:spacing w:line="240" w:lineRule="auto"/>
              <w:ind w:firstLine="0"/>
            </w:pPr>
            <w:r w:rsidRPr="004D46AC">
              <w:rPr>
                <w:color w:val="000000"/>
              </w:rPr>
              <w:t>TR34--TR17</w:t>
            </w:r>
          </w:p>
        </w:tc>
        <w:tc>
          <w:tcPr>
            <w:tcW w:w="1704" w:type="dxa"/>
            <w:vAlign w:val="center"/>
          </w:tcPr>
          <w:p w14:paraId="179AB4E3"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251A2768"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77668A6F" w14:textId="77777777" w:rsidR="007075D9" w:rsidRPr="004D46AC" w:rsidRDefault="007075D9" w:rsidP="002C5F6E">
            <w:pPr>
              <w:spacing w:line="240" w:lineRule="auto"/>
              <w:ind w:firstLine="0"/>
            </w:pPr>
            <w:r w:rsidRPr="004D46AC">
              <w:rPr>
                <w:color w:val="000000"/>
                <w:szCs w:val="21"/>
              </w:rPr>
              <w:t xml:space="preserve">0.47 </w:t>
            </w:r>
          </w:p>
        </w:tc>
        <w:tc>
          <w:tcPr>
            <w:tcW w:w="1705" w:type="dxa"/>
            <w:vAlign w:val="center"/>
          </w:tcPr>
          <w:p w14:paraId="33D9B35E" w14:textId="77777777" w:rsidR="007075D9" w:rsidRPr="004D46AC" w:rsidRDefault="007075D9" w:rsidP="002C5F6E">
            <w:pPr>
              <w:spacing w:line="240" w:lineRule="auto"/>
              <w:ind w:firstLine="0"/>
            </w:pPr>
            <w:r w:rsidRPr="004D46AC">
              <w:rPr>
                <w:color w:val="000000"/>
                <w:szCs w:val="21"/>
              </w:rPr>
              <w:t xml:space="preserve">0.11 </w:t>
            </w:r>
          </w:p>
        </w:tc>
      </w:tr>
      <w:tr w:rsidR="007075D9" w:rsidRPr="004D46AC" w14:paraId="056316AE" w14:textId="77777777">
        <w:tc>
          <w:tcPr>
            <w:tcW w:w="1704" w:type="dxa"/>
            <w:vAlign w:val="center"/>
          </w:tcPr>
          <w:p w14:paraId="70A98CA6" w14:textId="77777777" w:rsidR="007075D9" w:rsidRPr="004D46AC" w:rsidRDefault="007075D9" w:rsidP="002C5F6E">
            <w:pPr>
              <w:spacing w:line="240" w:lineRule="auto"/>
              <w:ind w:firstLine="0"/>
            </w:pPr>
            <w:r w:rsidRPr="004D46AC">
              <w:rPr>
                <w:color w:val="000000"/>
              </w:rPr>
              <w:t>TR5--TR9</w:t>
            </w:r>
          </w:p>
        </w:tc>
        <w:tc>
          <w:tcPr>
            <w:tcW w:w="1704" w:type="dxa"/>
            <w:vAlign w:val="center"/>
          </w:tcPr>
          <w:p w14:paraId="33859F96"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28480AE5"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6ED6BF04"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3F6AF5C3"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4F215A6A" w14:textId="77777777">
        <w:tc>
          <w:tcPr>
            <w:tcW w:w="1704" w:type="dxa"/>
            <w:vAlign w:val="center"/>
          </w:tcPr>
          <w:p w14:paraId="4569C6B6" w14:textId="77777777" w:rsidR="007075D9" w:rsidRPr="004D46AC" w:rsidRDefault="007075D9" w:rsidP="002C5F6E">
            <w:pPr>
              <w:spacing w:line="240" w:lineRule="auto"/>
              <w:ind w:firstLine="0"/>
            </w:pPr>
            <w:r w:rsidRPr="004D46AC">
              <w:rPr>
                <w:color w:val="000000"/>
              </w:rPr>
              <w:t>TR15--TR33</w:t>
            </w:r>
          </w:p>
        </w:tc>
        <w:tc>
          <w:tcPr>
            <w:tcW w:w="1704" w:type="dxa"/>
            <w:vAlign w:val="center"/>
          </w:tcPr>
          <w:p w14:paraId="05F9021F"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3CD3161C"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09040884"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7AC76958"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3B36E743" w14:textId="77777777">
        <w:tc>
          <w:tcPr>
            <w:tcW w:w="1704" w:type="dxa"/>
            <w:vAlign w:val="center"/>
          </w:tcPr>
          <w:p w14:paraId="4D9681AE" w14:textId="77777777" w:rsidR="007075D9" w:rsidRPr="004D46AC" w:rsidRDefault="007075D9" w:rsidP="002C5F6E">
            <w:pPr>
              <w:spacing w:line="240" w:lineRule="auto"/>
              <w:ind w:firstLine="0"/>
            </w:pPr>
            <w:r w:rsidRPr="004D46AC">
              <w:rPr>
                <w:color w:val="000000"/>
              </w:rPr>
              <w:t>TR18--TR20</w:t>
            </w:r>
          </w:p>
        </w:tc>
        <w:tc>
          <w:tcPr>
            <w:tcW w:w="1704" w:type="dxa"/>
            <w:vAlign w:val="center"/>
          </w:tcPr>
          <w:p w14:paraId="21F9BCA4" w14:textId="77777777" w:rsidR="007075D9" w:rsidRPr="004D46AC" w:rsidRDefault="007075D9" w:rsidP="002C5F6E">
            <w:pPr>
              <w:spacing w:line="240" w:lineRule="auto"/>
              <w:ind w:firstLine="0"/>
            </w:pPr>
            <w:r w:rsidRPr="004D46AC">
              <w:rPr>
                <w:color w:val="000000"/>
                <w:szCs w:val="21"/>
              </w:rPr>
              <w:t xml:space="preserve">0.22 </w:t>
            </w:r>
          </w:p>
        </w:tc>
        <w:tc>
          <w:tcPr>
            <w:tcW w:w="1704" w:type="dxa"/>
            <w:vAlign w:val="center"/>
          </w:tcPr>
          <w:p w14:paraId="04C69D8C"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5296BFA7"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7C43418E"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40B24512" w14:textId="77777777">
        <w:tc>
          <w:tcPr>
            <w:tcW w:w="1704" w:type="dxa"/>
            <w:vAlign w:val="center"/>
          </w:tcPr>
          <w:p w14:paraId="4452C6C9" w14:textId="77777777" w:rsidR="007075D9" w:rsidRPr="004D46AC" w:rsidRDefault="007075D9" w:rsidP="002C5F6E">
            <w:pPr>
              <w:spacing w:line="240" w:lineRule="auto"/>
              <w:ind w:firstLine="0"/>
            </w:pPr>
            <w:r w:rsidRPr="004D46AC">
              <w:rPr>
                <w:color w:val="000000"/>
              </w:rPr>
              <w:t>TR37--TR33</w:t>
            </w:r>
          </w:p>
        </w:tc>
        <w:tc>
          <w:tcPr>
            <w:tcW w:w="1704" w:type="dxa"/>
            <w:vAlign w:val="center"/>
          </w:tcPr>
          <w:p w14:paraId="36A0F7DE" w14:textId="77777777" w:rsidR="007075D9" w:rsidRPr="004D46AC" w:rsidRDefault="007075D9" w:rsidP="002C5F6E">
            <w:pPr>
              <w:spacing w:line="240" w:lineRule="auto"/>
              <w:ind w:firstLine="0"/>
            </w:pPr>
            <w:r w:rsidRPr="004D46AC">
              <w:rPr>
                <w:color w:val="000000"/>
                <w:szCs w:val="21"/>
              </w:rPr>
              <w:t xml:space="preserve">0.22 </w:t>
            </w:r>
          </w:p>
        </w:tc>
        <w:tc>
          <w:tcPr>
            <w:tcW w:w="1704" w:type="dxa"/>
            <w:vAlign w:val="center"/>
          </w:tcPr>
          <w:p w14:paraId="5851DA3C"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572E20CA" w14:textId="77777777" w:rsidR="007075D9" w:rsidRPr="004D46AC" w:rsidRDefault="007075D9" w:rsidP="002C5F6E">
            <w:pPr>
              <w:spacing w:line="240" w:lineRule="auto"/>
              <w:ind w:firstLine="0"/>
            </w:pPr>
            <w:r w:rsidRPr="004D46AC">
              <w:rPr>
                <w:color w:val="000000"/>
                <w:szCs w:val="21"/>
              </w:rPr>
              <w:t xml:space="preserve">0.47 </w:t>
            </w:r>
          </w:p>
        </w:tc>
        <w:tc>
          <w:tcPr>
            <w:tcW w:w="1705" w:type="dxa"/>
            <w:vAlign w:val="center"/>
          </w:tcPr>
          <w:p w14:paraId="1FACBBED"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18ECBB78" w14:textId="77777777">
        <w:tc>
          <w:tcPr>
            <w:tcW w:w="1704" w:type="dxa"/>
            <w:vAlign w:val="center"/>
          </w:tcPr>
          <w:p w14:paraId="12109271" w14:textId="77777777" w:rsidR="007075D9" w:rsidRPr="004D46AC" w:rsidRDefault="007075D9" w:rsidP="002C5F6E">
            <w:pPr>
              <w:spacing w:line="240" w:lineRule="auto"/>
              <w:ind w:firstLine="0"/>
            </w:pPr>
            <w:r w:rsidRPr="004D46AC">
              <w:rPr>
                <w:color w:val="000000"/>
              </w:rPr>
              <w:t>TR5--TR26</w:t>
            </w:r>
          </w:p>
        </w:tc>
        <w:tc>
          <w:tcPr>
            <w:tcW w:w="1704" w:type="dxa"/>
            <w:vAlign w:val="center"/>
          </w:tcPr>
          <w:p w14:paraId="20CEB6CB"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35475700"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0CE158E5"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3C1BFE04" w14:textId="77777777" w:rsidR="007075D9" w:rsidRPr="004D46AC" w:rsidRDefault="007075D9" w:rsidP="002C5F6E">
            <w:pPr>
              <w:spacing w:line="240" w:lineRule="auto"/>
              <w:ind w:firstLine="0"/>
            </w:pPr>
            <w:r w:rsidRPr="004D46AC">
              <w:rPr>
                <w:color w:val="000000"/>
                <w:szCs w:val="21"/>
              </w:rPr>
              <w:t xml:space="preserve">0.18 </w:t>
            </w:r>
          </w:p>
        </w:tc>
      </w:tr>
      <w:tr w:rsidR="007075D9" w:rsidRPr="004D46AC" w14:paraId="6ACED50C" w14:textId="77777777">
        <w:tc>
          <w:tcPr>
            <w:tcW w:w="1704" w:type="dxa"/>
            <w:vAlign w:val="center"/>
          </w:tcPr>
          <w:p w14:paraId="4CE0A02B" w14:textId="77777777" w:rsidR="007075D9" w:rsidRPr="004D46AC" w:rsidRDefault="007075D9" w:rsidP="002C5F6E">
            <w:pPr>
              <w:spacing w:line="240" w:lineRule="auto"/>
              <w:ind w:firstLine="0"/>
            </w:pPr>
            <w:r w:rsidRPr="004D46AC">
              <w:rPr>
                <w:color w:val="000000"/>
              </w:rPr>
              <w:t>TR12--TR23</w:t>
            </w:r>
          </w:p>
        </w:tc>
        <w:tc>
          <w:tcPr>
            <w:tcW w:w="1704" w:type="dxa"/>
            <w:vAlign w:val="center"/>
          </w:tcPr>
          <w:p w14:paraId="606D6697"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600587F2"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4F3D27A1" w14:textId="77777777" w:rsidR="007075D9" w:rsidRPr="004D46AC" w:rsidRDefault="007075D9" w:rsidP="002C5F6E">
            <w:pPr>
              <w:spacing w:line="240" w:lineRule="auto"/>
              <w:ind w:firstLine="0"/>
            </w:pPr>
            <w:r w:rsidRPr="004D46AC">
              <w:rPr>
                <w:color w:val="000000"/>
                <w:szCs w:val="21"/>
              </w:rPr>
              <w:t xml:space="preserve">0.46 </w:t>
            </w:r>
          </w:p>
        </w:tc>
        <w:tc>
          <w:tcPr>
            <w:tcW w:w="1705" w:type="dxa"/>
            <w:vAlign w:val="center"/>
          </w:tcPr>
          <w:p w14:paraId="782627B9"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11FC03E4" w14:textId="77777777">
        <w:tc>
          <w:tcPr>
            <w:tcW w:w="1704" w:type="dxa"/>
            <w:vAlign w:val="center"/>
          </w:tcPr>
          <w:p w14:paraId="1BD01C7B" w14:textId="77777777" w:rsidR="007075D9" w:rsidRPr="004D46AC" w:rsidRDefault="007075D9" w:rsidP="002C5F6E">
            <w:pPr>
              <w:spacing w:line="240" w:lineRule="auto"/>
              <w:ind w:firstLine="0"/>
            </w:pPr>
            <w:r w:rsidRPr="004D46AC">
              <w:rPr>
                <w:color w:val="000000"/>
              </w:rPr>
              <w:t>TR17--TR20</w:t>
            </w:r>
          </w:p>
        </w:tc>
        <w:tc>
          <w:tcPr>
            <w:tcW w:w="1704" w:type="dxa"/>
            <w:vAlign w:val="center"/>
          </w:tcPr>
          <w:p w14:paraId="19E15C8C"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75A833BC"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50D59B12"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2DAAF169"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4027B2C2" w14:textId="77777777">
        <w:tc>
          <w:tcPr>
            <w:tcW w:w="1704" w:type="dxa"/>
            <w:vAlign w:val="center"/>
          </w:tcPr>
          <w:p w14:paraId="0C2E04E4" w14:textId="77777777" w:rsidR="007075D9" w:rsidRPr="004D46AC" w:rsidRDefault="007075D9" w:rsidP="002C5F6E">
            <w:pPr>
              <w:spacing w:line="240" w:lineRule="auto"/>
              <w:ind w:firstLine="0"/>
            </w:pPr>
            <w:r w:rsidRPr="004D46AC">
              <w:rPr>
                <w:color w:val="000000"/>
              </w:rPr>
              <w:t>TR17--TR16</w:t>
            </w:r>
          </w:p>
        </w:tc>
        <w:tc>
          <w:tcPr>
            <w:tcW w:w="1704" w:type="dxa"/>
            <w:vAlign w:val="center"/>
          </w:tcPr>
          <w:p w14:paraId="5C7E681B"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786CC65F"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0003204E"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12FAF222"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0EA4102C" w14:textId="77777777">
        <w:tc>
          <w:tcPr>
            <w:tcW w:w="1704" w:type="dxa"/>
            <w:vAlign w:val="center"/>
          </w:tcPr>
          <w:p w14:paraId="4E018AD0" w14:textId="77777777" w:rsidR="007075D9" w:rsidRPr="004D46AC" w:rsidRDefault="007075D9" w:rsidP="002C5F6E">
            <w:pPr>
              <w:spacing w:line="240" w:lineRule="auto"/>
              <w:ind w:firstLine="0"/>
            </w:pPr>
            <w:r w:rsidRPr="004D46AC">
              <w:rPr>
                <w:color w:val="000000"/>
              </w:rPr>
              <w:lastRenderedPageBreak/>
              <w:t>TR9--TR14</w:t>
            </w:r>
          </w:p>
        </w:tc>
        <w:tc>
          <w:tcPr>
            <w:tcW w:w="1704" w:type="dxa"/>
            <w:vAlign w:val="center"/>
          </w:tcPr>
          <w:p w14:paraId="2C3736EA"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5D427151"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5902271C"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42A35296" w14:textId="77777777" w:rsidR="007075D9" w:rsidRPr="004D46AC" w:rsidRDefault="007075D9" w:rsidP="002C5F6E">
            <w:pPr>
              <w:spacing w:line="240" w:lineRule="auto"/>
              <w:ind w:firstLine="0"/>
            </w:pPr>
            <w:r w:rsidRPr="004D46AC">
              <w:rPr>
                <w:color w:val="000000"/>
                <w:szCs w:val="21"/>
              </w:rPr>
              <w:t xml:space="preserve">0.09 </w:t>
            </w:r>
          </w:p>
        </w:tc>
      </w:tr>
      <w:tr w:rsidR="007075D9" w:rsidRPr="004D46AC" w14:paraId="1256315B" w14:textId="77777777">
        <w:tc>
          <w:tcPr>
            <w:tcW w:w="1704" w:type="dxa"/>
            <w:vAlign w:val="center"/>
          </w:tcPr>
          <w:p w14:paraId="470D2CFE" w14:textId="77777777" w:rsidR="007075D9" w:rsidRPr="004D46AC" w:rsidRDefault="007075D9" w:rsidP="002C5F6E">
            <w:pPr>
              <w:spacing w:line="240" w:lineRule="auto"/>
              <w:ind w:firstLine="0"/>
            </w:pPr>
            <w:r w:rsidRPr="004D46AC">
              <w:rPr>
                <w:color w:val="000000"/>
              </w:rPr>
              <w:t>TR17--TR33</w:t>
            </w:r>
          </w:p>
        </w:tc>
        <w:tc>
          <w:tcPr>
            <w:tcW w:w="1704" w:type="dxa"/>
            <w:vAlign w:val="center"/>
          </w:tcPr>
          <w:p w14:paraId="5F83F146"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63CC04F0"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24E6445B"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30D91061"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588B6B89" w14:textId="77777777">
        <w:tc>
          <w:tcPr>
            <w:tcW w:w="1704" w:type="dxa"/>
            <w:vAlign w:val="center"/>
          </w:tcPr>
          <w:p w14:paraId="0FB03AEA" w14:textId="77777777" w:rsidR="007075D9" w:rsidRPr="004D46AC" w:rsidRDefault="007075D9" w:rsidP="002C5F6E">
            <w:pPr>
              <w:spacing w:line="240" w:lineRule="auto"/>
              <w:ind w:firstLine="0"/>
            </w:pPr>
            <w:r w:rsidRPr="004D46AC">
              <w:rPr>
                <w:color w:val="000000"/>
              </w:rPr>
              <w:t>TR21--TR23</w:t>
            </w:r>
          </w:p>
        </w:tc>
        <w:tc>
          <w:tcPr>
            <w:tcW w:w="1704" w:type="dxa"/>
            <w:vAlign w:val="center"/>
          </w:tcPr>
          <w:p w14:paraId="76D0E817"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4764A654"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7B4DB49C"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6F16CB8A"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35017540" w14:textId="77777777">
        <w:tc>
          <w:tcPr>
            <w:tcW w:w="1704" w:type="dxa"/>
            <w:vAlign w:val="center"/>
          </w:tcPr>
          <w:p w14:paraId="77A95117" w14:textId="77777777" w:rsidR="007075D9" w:rsidRPr="004D46AC" w:rsidRDefault="007075D9" w:rsidP="002C5F6E">
            <w:pPr>
              <w:spacing w:line="240" w:lineRule="auto"/>
              <w:ind w:firstLine="0"/>
            </w:pPr>
            <w:r w:rsidRPr="004D46AC">
              <w:rPr>
                <w:color w:val="000000"/>
              </w:rPr>
              <w:t>TR27--TR30</w:t>
            </w:r>
          </w:p>
        </w:tc>
        <w:tc>
          <w:tcPr>
            <w:tcW w:w="1704" w:type="dxa"/>
            <w:vAlign w:val="center"/>
          </w:tcPr>
          <w:p w14:paraId="3598D5E5"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43527374"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4D240AFF"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7AC6BB04" w14:textId="77777777" w:rsidR="007075D9" w:rsidRPr="004D46AC" w:rsidRDefault="007075D9" w:rsidP="002C5F6E">
            <w:pPr>
              <w:spacing w:line="240" w:lineRule="auto"/>
              <w:ind w:firstLine="0"/>
            </w:pPr>
            <w:r w:rsidRPr="004D46AC">
              <w:rPr>
                <w:color w:val="000000"/>
                <w:szCs w:val="21"/>
              </w:rPr>
              <w:t xml:space="preserve">0.13 </w:t>
            </w:r>
          </w:p>
        </w:tc>
      </w:tr>
      <w:tr w:rsidR="007075D9" w:rsidRPr="004D46AC" w14:paraId="714B78B8" w14:textId="77777777">
        <w:tc>
          <w:tcPr>
            <w:tcW w:w="1704" w:type="dxa"/>
            <w:vAlign w:val="center"/>
          </w:tcPr>
          <w:p w14:paraId="13FBE834" w14:textId="77777777" w:rsidR="007075D9" w:rsidRPr="004D46AC" w:rsidRDefault="007075D9" w:rsidP="002C5F6E">
            <w:pPr>
              <w:spacing w:line="240" w:lineRule="auto"/>
              <w:ind w:firstLine="0"/>
            </w:pPr>
            <w:r w:rsidRPr="004D46AC">
              <w:rPr>
                <w:color w:val="000000"/>
              </w:rPr>
              <w:t>TR3--TR12</w:t>
            </w:r>
          </w:p>
        </w:tc>
        <w:tc>
          <w:tcPr>
            <w:tcW w:w="1704" w:type="dxa"/>
            <w:vAlign w:val="center"/>
          </w:tcPr>
          <w:p w14:paraId="4207BF19"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3E3B025E"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78D69348" w14:textId="77777777" w:rsidR="007075D9" w:rsidRPr="004D46AC" w:rsidRDefault="007075D9" w:rsidP="002C5F6E">
            <w:pPr>
              <w:spacing w:line="240" w:lineRule="auto"/>
              <w:ind w:firstLine="0"/>
            </w:pPr>
            <w:r w:rsidRPr="004D46AC">
              <w:rPr>
                <w:color w:val="000000"/>
                <w:szCs w:val="21"/>
              </w:rPr>
              <w:t xml:space="preserve">0.44 </w:t>
            </w:r>
          </w:p>
        </w:tc>
        <w:tc>
          <w:tcPr>
            <w:tcW w:w="1705" w:type="dxa"/>
            <w:vAlign w:val="center"/>
          </w:tcPr>
          <w:p w14:paraId="5ADD27C4" w14:textId="77777777" w:rsidR="007075D9" w:rsidRPr="004D46AC" w:rsidRDefault="007075D9" w:rsidP="002C5F6E">
            <w:pPr>
              <w:spacing w:line="240" w:lineRule="auto"/>
              <w:ind w:firstLine="0"/>
            </w:pPr>
            <w:r w:rsidRPr="004D46AC">
              <w:rPr>
                <w:color w:val="000000"/>
                <w:szCs w:val="21"/>
              </w:rPr>
              <w:t xml:space="preserve">0.32 </w:t>
            </w:r>
          </w:p>
        </w:tc>
      </w:tr>
      <w:tr w:rsidR="007075D9" w:rsidRPr="004D46AC" w14:paraId="7E22A6A1" w14:textId="77777777">
        <w:tc>
          <w:tcPr>
            <w:tcW w:w="1704" w:type="dxa"/>
            <w:vAlign w:val="center"/>
          </w:tcPr>
          <w:p w14:paraId="776327F9" w14:textId="77777777" w:rsidR="007075D9" w:rsidRPr="004D46AC" w:rsidRDefault="007075D9" w:rsidP="002C5F6E">
            <w:pPr>
              <w:spacing w:line="240" w:lineRule="auto"/>
              <w:ind w:firstLine="0"/>
            </w:pPr>
            <w:r w:rsidRPr="004D46AC">
              <w:rPr>
                <w:color w:val="000000"/>
              </w:rPr>
              <w:t>TR24--TR17</w:t>
            </w:r>
          </w:p>
        </w:tc>
        <w:tc>
          <w:tcPr>
            <w:tcW w:w="1704" w:type="dxa"/>
            <w:vAlign w:val="center"/>
          </w:tcPr>
          <w:p w14:paraId="3201627C"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7A2BFF97"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04F94E2D"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6B38D3CF" w14:textId="77777777" w:rsidR="007075D9" w:rsidRPr="004D46AC" w:rsidRDefault="007075D9" w:rsidP="002C5F6E">
            <w:pPr>
              <w:spacing w:line="240" w:lineRule="auto"/>
              <w:ind w:firstLine="0"/>
            </w:pPr>
            <w:r w:rsidRPr="004D46AC">
              <w:rPr>
                <w:color w:val="000000"/>
                <w:szCs w:val="21"/>
              </w:rPr>
              <w:t xml:space="preserve">0.13 </w:t>
            </w:r>
          </w:p>
        </w:tc>
      </w:tr>
      <w:tr w:rsidR="007075D9" w:rsidRPr="004D46AC" w14:paraId="3D88F386" w14:textId="77777777">
        <w:tc>
          <w:tcPr>
            <w:tcW w:w="1704" w:type="dxa"/>
            <w:vAlign w:val="center"/>
          </w:tcPr>
          <w:p w14:paraId="125F6733" w14:textId="77777777" w:rsidR="007075D9" w:rsidRPr="004D46AC" w:rsidRDefault="007075D9" w:rsidP="002C5F6E">
            <w:pPr>
              <w:spacing w:line="240" w:lineRule="auto"/>
              <w:ind w:firstLine="0"/>
            </w:pPr>
            <w:r w:rsidRPr="004D46AC">
              <w:rPr>
                <w:color w:val="000000"/>
              </w:rPr>
              <w:t>TR33--TR13</w:t>
            </w:r>
          </w:p>
        </w:tc>
        <w:tc>
          <w:tcPr>
            <w:tcW w:w="1704" w:type="dxa"/>
            <w:vAlign w:val="center"/>
          </w:tcPr>
          <w:p w14:paraId="7106DAFA"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2F0BA5A7"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6CDEC2D2"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38E4D33F" w14:textId="77777777" w:rsidR="007075D9" w:rsidRPr="004D46AC" w:rsidRDefault="007075D9" w:rsidP="002C5F6E">
            <w:pPr>
              <w:spacing w:line="240" w:lineRule="auto"/>
              <w:ind w:firstLine="0"/>
            </w:pPr>
            <w:r w:rsidRPr="004D46AC">
              <w:rPr>
                <w:color w:val="000000"/>
                <w:szCs w:val="21"/>
              </w:rPr>
              <w:t xml:space="preserve">0.18 </w:t>
            </w:r>
          </w:p>
        </w:tc>
      </w:tr>
      <w:tr w:rsidR="007075D9" w:rsidRPr="004D46AC" w14:paraId="4A2DC71E" w14:textId="77777777">
        <w:tc>
          <w:tcPr>
            <w:tcW w:w="1704" w:type="dxa"/>
            <w:vAlign w:val="center"/>
          </w:tcPr>
          <w:p w14:paraId="49F33B23" w14:textId="77777777" w:rsidR="007075D9" w:rsidRPr="004D46AC" w:rsidRDefault="007075D9" w:rsidP="002C5F6E">
            <w:pPr>
              <w:spacing w:line="240" w:lineRule="auto"/>
              <w:ind w:firstLine="0"/>
            </w:pPr>
            <w:r w:rsidRPr="004D46AC">
              <w:rPr>
                <w:color w:val="000000"/>
              </w:rPr>
              <w:t>TR24--TR27</w:t>
            </w:r>
          </w:p>
        </w:tc>
        <w:tc>
          <w:tcPr>
            <w:tcW w:w="1704" w:type="dxa"/>
            <w:vAlign w:val="center"/>
          </w:tcPr>
          <w:p w14:paraId="1330974B"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4A28C919"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19B7AE68"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36AA9BF5"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72A8913D" w14:textId="77777777">
        <w:tc>
          <w:tcPr>
            <w:tcW w:w="1704" w:type="dxa"/>
            <w:vAlign w:val="center"/>
          </w:tcPr>
          <w:p w14:paraId="593C9DD1" w14:textId="77777777" w:rsidR="007075D9" w:rsidRPr="004D46AC" w:rsidRDefault="007075D9" w:rsidP="002C5F6E">
            <w:pPr>
              <w:spacing w:line="240" w:lineRule="auto"/>
              <w:ind w:firstLine="0"/>
            </w:pPr>
            <w:r w:rsidRPr="004D46AC">
              <w:rPr>
                <w:color w:val="000000"/>
              </w:rPr>
              <w:t>TR3--TR30</w:t>
            </w:r>
          </w:p>
        </w:tc>
        <w:tc>
          <w:tcPr>
            <w:tcW w:w="1704" w:type="dxa"/>
            <w:vAlign w:val="center"/>
          </w:tcPr>
          <w:p w14:paraId="057F458D"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7E9BF7E7"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40825646" w14:textId="77777777" w:rsidR="007075D9" w:rsidRPr="004D46AC" w:rsidRDefault="007075D9" w:rsidP="002C5F6E">
            <w:pPr>
              <w:spacing w:line="240" w:lineRule="auto"/>
              <w:ind w:firstLine="0"/>
            </w:pPr>
            <w:r w:rsidRPr="004D46AC">
              <w:rPr>
                <w:color w:val="000000"/>
                <w:szCs w:val="21"/>
              </w:rPr>
              <w:t xml:space="preserve">0.46 </w:t>
            </w:r>
          </w:p>
        </w:tc>
        <w:tc>
          <w:tcPr>
            <w:tcW w:w="1705" w:type="dxa"/>
            <w:vAlign w:val="center"/>
          </w:tcPr>
          <w:p w14:paraId="633490EC"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6BE460E5" w14:textId="77777777">
        <w:tc>
          <w:tcPr>
            <w:tcW w:w="1704" w:type="dxa"/>
            <w:vAlign w:val="center"/>
          </w:tcPr>
          <w:p w14:paraId="47D8B364" w14:textId="77777777" w:rsidR="007075D9" w:rsidRPr="004D46AC" w:rsidRDefault="007075D9" w:rsidP="002C5F6E">
            <w:pPr>
              <w:spacing w:line="240" w:lineRule="auto"/>
              <w:ind w:firstLine="0"/>
            </w:pPr>
            <w:r w:rsidRPr="004D46AC">
              <w:rPr>
                <w:color w:val="000000"/>
              </w:rPr>
              <w:t>TR9--TR16</w:t>
            </w:r>
          </w:p>
        </w:tc>
        <w:tc>
          <w:tcPr>
            <w:tcW w:w="1704" w:type="dxa"/>
            <w:vAlign w:val="center"/>
          </w:tcPr>
          <w:p w14:paraId="5F66E243"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09030381"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53AA1333"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3EAF733A"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03BDF96A" w14:textId="77777777">
        <w:tc>
          <w:tcPr>
            <w:tcW w:w="1704" w:type="dxa"/>
            <w:vAlign w:val="center"/>
          </w:tcPr>
          <w:p w14:paraId="33660F74" w14:textId="77777777" w:rsidR="007075D9" w:rsidRPr="004D46AC" w:rsidRDefault="007075D9" w:rsidP="002C5F6E">
            <w:pPr>
              <w:spacing w:line="240" w:lineRule="auto"/>
              <w:ind w:firstLine="0"/>
            </w:pPr>
            <w:r w:rsidRPr="004D46AC">
              <w:rPr>
                <w:color w:val="000000"/>
              </w:rPr>
              <w:t>TR27--TR20</w:t>
            </w:r>
          </w:p>
        </w:tc>
        <w:tc>
          <w:tcPr>
            <w:tcW w:w="1704" w:type="dxa"/>
            <w:vAlign w:val="center"/>
          </w:tcPr>
          <w:p w14:paraId="6D6B9C18"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54504572"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268502A7" w14:textId="77777777" w:rsidR="007075D9" w:rsidRPr="004D46AC" w:rsidRDefault="007075D9" w:rsidP="002C5F6E">
            <w:pPr>
              <w:spacing w:line="240" w:lineRule="auto"/>
              <w:ind w:firstLine="0"/>
            </w:pPr>
            <w:r w:rsidRPr="004D46AC">
              <w:rPr>
                <w:color w:val="000000"/>
                <w:szCs w:val="21"/>
              </w:rPr>
              <w:t xml:space="preserve">0.40 </w:t>
            </w:r>
          </w:p>
        </w:tc>
        <w:tc>
          <w:tcPr>
            <w:tcW w:w="1705" w:type="dxa"/>
            <w:vAlign w:val="center"/>
          </w:tcPr>
          <w:p w14:paraId="57C38B25" w14:textId="77777777" w:rsidR="007075D9" w:rsidRPr="004D46AC" w:rsidRDefault="007075D9" w:rsidP="002C5F6E">
            <w:pPr>
              <w:spacing w:line="240" w:lineRule="auto"/>
              <w:ind w:firstLine="0"/>
            </w:pPr>
            <w:r w:rsidRPr="004D46AC">
              <w:rPr>
                <w:color w:val="000000"/>
                <w:szCs w:val="21"/>
              </w:rPr>
              <w:t xml:space="preserve">0.19 </w:t>
            </w:r>
          </w:p>
        </w:tc>
      </w:tr>
      <w:tr w:rsidR="007075D9" w:rsidRPr="004D46AC" w14:paraId="611F5EB4" w14:textId="77777777">
        <w:tc>
          <w:tcPr>
            <w:tcW w:w="1704" w:type="dxa"/>
            <w:vAlign w:val="center"/>
          </w:tcPr>
          <w:p w14:paraId="2A160B5C" w14:textId="77777777" w:rsidR="007075D9" w:rsidRPr="004D46AC" w:rsidRDefault="007075D9" w:rsidP="002C5F6E">
            <w:pPr>
              <w:spacing w:line="240" w:lineRule="auto"/>
              <w:ind w:firstLine="0"/>
            </w:pPr>
            <w:r w:rsidRPr="004D46AC">
              <w:rPr>
                <w:color w:val="000000"/>
              </w:rPr>
              <w:t>TR33--TR20</w:t>
            </w:r>
          </w:p>
        </w:tc>
        <w:tc>
          <w:tcPr>
            <w:tcW w:w="1704" w:type="dxa"/>
            <w:vAlign w:val="center"/>
          </w:tcPr>
          <w:p w14:paraId="2ABE9693"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6CA34A2F"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4F61E389"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7962DF59" w14:textId="77777777" w:rsidR="007075D9" w:rsidRPr="004D46AC" w:rsidRDefault="007075D9" w:rsidP="002C5F6E">
            <w:pPr>
              <w:spacing w:line="240" w:lineRule="auto"/>
              <w:ind w:firstLine="0"/>
            </w:pPr>
            <w:r w:rsidRPr="004D46AC">
              <w:rPr>
                <w:color w:val="000000"/>
                <w:szCs w:val="21"/>
              </w:rPr>
              <w:t xml:space="preserve">0.17 </w:t>
            </w:r>
          </w:p>
        </w:tc>
      </w:tr>
      <w:tr w:rsidR="007075D9" w:rsidRPr="004D46AC" w14:paraId="6BAD4B2C" w14:textId="77777777">
        <w:tc>
          <w:tcPr>
            <w:tcW w:w="1704" w:type="dxa"/>
            <w:vAlign w:val="center"/>
          </w:tcPr>
          <w:p w14:paraId="0B810585" w14:textId="77777777" w:rsidR="007075D9" w:rsidRPr="004D46AC" w:rsidRDefault="007075D9" w:rsidP="002C5F6E">
            <w:pPr>
              <w:spacing w:line="240" w:lineRule="auto"/>
              <w:ind w:firstLine="0"/>
            </w:pPr>
            <w:r w:rsidRPr="004D46AC">
              <w:rPr>
                <w:color w:val="000000"/>
              </w:rPr>
              <w:t>TR26--TR37</w:t>
            </w:r>
          </w:p>
        </w:tc>
        <w:tc>
          <w:tcPr>
            <w:tcW w:w="1704" w:type="dxa"/>
            <w:vAlign w:val="center"/>
          </w:tcPr>
          <w:p w14:paraId="6FBD88E5"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5539A144"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1EEC9315"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74D35D40" w14:textId="77777777" w:rsidR="007075D9" w:rsidRPr="004D46AC" w:rsidRDefault="007075D9" w:rsidP="002C5F6E">
            <w:pPr>
              <w:spacing w:line="240" w:lineRule="auto"/>
              <w:ind w:firstLine="0"/>
            </w:pPr>
            <w:r w:rsidRPr="004D46AC">
              <w:rPr>
                <w:color w:val="000000"/>
                <w:szCs w:val="21"/>
              </w:rPr>
              <w:t xml:space="preserve">0.11 </w:t>
            </w:r>
          </w:p>
        </w:tc>
      </w:tr>
      <w:tr w:rsidR="007075D9" w:rsidRPr="004D46AC" w14:paraId="61B1F22F" w14:textId="77777777">
        <w:tc>
          <w:tcPr>
            <w:tcW w:w="1704" w:type="dxa"/>
            <w:vAlign w:val="center"/>
          </w:tcPr>
          <w:p w14:paraId="7229B89D" w14:textId="77777777" w:rsidR="007075D9" w:rsidRPr="004D46AC" w:rsidRDefault="007075D9" w:rsidP="002C5F6E">
            <w:pPr>
              <w:spacing w:line="240" w:lineRule="auto"/>
              <w:ind w:firstLine="0"/>
            </w:pPr>
            <w:r w:rsidRPr="004D46AC">
              <w:rPr>
                <w:color w:val="000000"/>
              </w:rPr>
              <w:t>TR15--TR37</w:t>
            </w:r>
          </w:p>
        </w:tc>
        <w:tc>
          <w:tcPr>
            <w:tcW w:w="1704" w:type="dxa"/>
            <w:vAlign w:val="center"/>
          </w:tcPr>
          <w:p w14:paraId="459C52F3"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19270E1E"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0A556693"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094CC86F"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3704948B" w14:textId="77777777">
        <w:tc>
          <w:tcPr>
            <w:tcW w:w="1704" w:type="dxa"/>
            <w:vAlign w:val="center"/>
          </w:tcPr>
          <w:p w14:paraId="02A4E732" w14:textId="77777777" w:rsidR="007075D9" w:rsidRPr="004D46AC" w:rsidRDefault="007075D9" w:rsidP="002C5F6E">
            <w:pPr>
              <w:spacing w:line="240" w:lineRule="auto"/>
              <w:ind w:firstLine="0"/>
            </w:pPr>
            <w:r w:rsidRPr="004D46AC">
              <w:rPr>
                <w:color w:val="000000"/>
              </w:rPr>
              <w:t>TR19--TR18</w:t>
            </w:r>
          </w:p>
        </w:tc>
        <w:tc>
          <w:tcPr>
            <w:tcW w:w="1704" w:type="dxa"/>
            <w:vAlign w:val="center"/>
          </w:tcPr>
          <w:p w14:paraId="0B460EC8"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19B1C92E"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547FAEDC"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4164119D" w14:textId="77777777" w:rsidR="007075D9" w:rsidRPr="004D46AC" w:rsidRDefault="007075D9" w:rsidP="002C5F6E">
            <w:pPr>
              <w:spacing w:line="240" w:lineRule="auto"/>
              <w:ind w:firstLine="0"/>
            </w:pPr>
            <w:r w:rsidRPr="004D46AC">
              <w:rPr>
                <w:color w:val="000000"/>
                <w:szCs w:val="21"/>
              </w:rPr>
              <w:t xml:space="preserve">0.19 </w:t>
            </w:r>
          </w:p>
        </w:tc>
      </w:tr>
      <w:tr w:rsidR="007075D9" w:rsidRPr="004D46AC" w14:paraId="2C681AC2" w14:textId="77777777">
        <w:tc>
          <w:tcPr>
            <w:tcW w:w="1704" w:type="dxa"/>
            <w:vAlign w:val="center"/>
          </w:tcPr>
          <w:p w14:paraId="45C37089" w14:textId="77777777" w:rsidR="007075D9" w:rsidRPr="004D46AC" w:rsidRDefault="007075D9" w:rsidP="002C5F6E">
            <w:pPr>
              <w:spacing w:line="240" w:lineRule="auto"/>
              <w:ind w:firstLine="0"/>
            </w:pPr>
            <w:r w:rsidRPr="004D46AC">
              <w:rPr>
                <w:color w:val="000000"/>
              </w:rPr>
              <w:t>TR19--TR29</w:t>
            </w:r>
          </w:p>
        </w:tc>
        <w:tc>
          <w:tcPr>
            <w:tcW w:w="1704" w:type="dxa"/>
            <w:vAlign w:val="center"/>
          </w:tcPr>
          <w:p w14:paraId="75C12204"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0D42E306"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5A0C227D"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1E93EFED" w14:textId="77777777" w:rsidR="007075D9" w:rsidRPr="004D46AC" w:rsidRDefault="007075D9" w:rsidP="002C5F6E">
            <w:pPr>
              <w:spacing w:line="240" w:lineRule="auto"/>
              <w:ind w:firstLine="0"/>
            </w:pPr>
            <w:r w:rsidRPr="004D46AC">
              <w:rPr>
                <w:color w:val="000000"/>
                <w:szCs w:val="21"/>
              </w:rPr>
              <w:t xml:space="preserve">0.27 </w:t>
            </w:r>
          </w:p>
        </w:tc>
      </w:tr>
      <w:tr w:rsidR="007075D9" w:rsidRPr="004D46AC" w14:paraId="0674A1F8" w14:textId="77777777">
        <w:tc>
          <w:tcPr>
            <w:tcW w:w="1704" w:type="dxa"/>
            <w:vAlign w:val="center"/>
          </w:tcPr>
          <w:p w14:paraId="30D75F24" w14:textId="77777777" w:rsidR="007075D9" w:rsidRPr="004D46AC" w:rsidRDefault="007075D9" w:rsidP="002C5F6E">
            <w:pPr>
              <w:spacing w:line="240" w:lineRule="auto"/>
              <w:ind w:firstLine="0"/>
            </w:pPr>
            <w:r w:rsidRPr="004D46AC">
              <w:rPr>
                <w:color w:val="000000"/>
              </w:rPr>
              <w:t>TR3--TR15</w:t>
            </w:r>
          </w:p>
        </w:tc>
        <w:tc>
          <w:tcPr>
            <w:tcW w:w="1704" w:type="dxa"/>
            <w:vAlign w:val="center"/>
          </w:tcPr>
          <w:p w14:paraId="5169B9AD"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6004F444"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391BCD6A"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7AA426E2" w14:textId="77777777" w:rsidR="007075D9" w:rsidRPr="004D46AC" w:rsidRDefault="007075D9" w:rsidP="002C5F6E">
            <w:pPr>
              <w:spacing w:line="240" w:lineRule="auto"/>
              <w:ind w:firstLine="0"/>
            </w:pPr>
            <w:r w:rsidRPr="004D46AC">
              <w:rPr>
                <w:color w:val="000000"/>
                <w:szCs w:val="21"/>
              </w:rPr>
              <w:t xml:space="preserve">0.17 </w:t>
            </w:r>
          </w:p>
        </w:tc>
      </w:tr>
      <w:tr w:rsidR="007075D9" w:rsidRPr="004D46AC" w14:paraId="34F9A932" w14:textId="77777777">
        <w:tc>
          <w:tcPr>
            <w:tcW w:w="1704" w:type="dxa"/>
            <w:vAlign w:val="center"/>
          </w:tcPr>
          <w:p w14:paraId="43764FEE" w14:textId="77777777" w:rsidR="007075D9" w:rsidRPr="004D46AC" w:rsidRDefault="007075D9" w:rsidP="002C5F6E">
            <w:pPr>
              <w:spacing w:line="240" w:lineRule="auto"/>
              <w:ind w:firstLine="0"/>
            </w:pPr>
            <w:r w:rsidRPr="004D46AC">
              <w:rPr>
                <w:color w:val="000000"/>
              </w:rPr>
              <w:t>TR24--TR26</w:t>
            </w:r>
          </w:p>
        </w:tc>
        <w:tc>
          <w:tcPr>
            <w:tcW w:w="1704" w:type="dxa"/>
            <w:vAlign w:val="center"/>
          </w:tcPr>
          <w:p w14:paraId="2CE53714"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707EB708"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484093A9"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706D87A5" w14:textId="77777777" w:rsidR="007075D9" w:rsidRPr="004D46AC" w:rsidRDefault="007075D9" w:rsidP="002C5F6E">
            <w:pPr>
              <w:spacing w:line="240" w:lineRule="auto"/>
              <w:ind w:firstLine="0"/>
            </w:pPr>
            <w:r w:rsidRPr="004D46AC">
              <w:rPr>
                <w:color w:val="000000"/>
                <w:szCs w:val="21"/>
              </w:rPr>
              <w:t xml:space="preserve">0.18 </w:t>
            </w:r>
          </w:p>
        </w:tc>
      </w:tr>
      <w:tr w:rsidR="007075D9" w:rsidRPr="004D46AC" w14:paraId="5A754EF3" w14:textId="77777777">
        <w:tc>
          <w:tcPr>
            <w:tcW w:w="1704" w:type="dxa"/>
            <w:vAlign w:val="center"/>
          </w:tcPr>
          <w:p w14:paraId="68DCBE80" w14:textId="77777777" w:rsidR="007075D9" w:rsidRPr="004D46AC" w:rsidRDefault="007075D9" w:rsidP="002C5F6E">
            <w:pPr>
              <w:spacing w:line="240" w:lineRule="auto"/>
              <w:ind w:firstLine="0"/>
            </w:pPr>
            <w:r w:rsidRPr="004D46AC">
              <w:rPr>
                <w:color w:val="000000"/>
              </w:rPr>
              <w:t>TR21--TR18</w:t>
            </w:r>
          </w:p>
        </w:tc>
        <w:tc>
          <w:tcPr>
            <w:tcW w:w="1704" w:type="dxa"/>
            <w:vAlign w:val="center"/>
          </w:tcPr>
          <w:p w14:paraId="77851E72"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48EDF579"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6BEEF8BF"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49C9B6C4"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67F767A3" w14:textId="77777777">
        <w:tc>
          <w:tcPr>
            <w:tcW w:w="1704" w:type="dxa"/>
            <w:vAlign w:val="center"/>
          </w:tcPr>
          <w:p w14:paraId="6162A0A2" w14:textId="77777777" w:rsidR="007075D9" w:rsidRPr="004D46AC" w:rsidRDefault="007075D9" w:rsidP="002C5F6E">
            <w:pPr>
              <w:spacing w:line="240" w:lineRule="auto"/>
              <w:ind w:firstLine="0"/>
            </w:pPr>
            <w:r w:rsidRPr="004D46AC">
              <w:rPr>
                <w:color w:val="000000"/>
              </w:rPr>
              <w:t>TR7--TR12</w:t>
            </w:r>
          </w:p>
        </w:tc>
        <w:tc>
          <w:tcPr>
            <w:tcW w:w="1704" w:type="dxa"/>
            <w:vAlign w:val="center"/>
          </w:tcPr>
          <w:p w14:paraId="1FB95752"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2457B0EB"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532AEFD3"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313F644B"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66B1D649" w14:textId="77777777">
        <w:tc>
          <w:tcPr>
            <w:tcW w:w="1704" w:type="dxa"/>
            <w:vAlign w:val="center"/>
          </w:tcPr>
          <w:p w14:paraId="194FC29E" w14:textId="77777777" w:rsidR="007075D9" w:rsidRPr="004D46AC" w:rsidRDefault="007075D9" w:rsidP="002C5F6E">
            <w:pPr>
              <w:spacing w:line="240" w:lineRule="auto"/>
              <w:ind w:firstLine="0"/>
            </w:pPr>
            <w:r w:rsidRPr="004D46AC">
              <w:rPr>
                <w:color w:val="000000"/>
              </w:rPr>
              <w:t>TR21--TR20</w:t>
            </w:r>
          </w:p>
        </w:tc>
        <w:tc>
          <w:tcPr>
            <w:tcW w:w="1704" w:type="dxa"/>
            <w:vAlign w:val="center"/>
          </w:tcPr>
          <w:p w14:paraId="23E9D82E"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5D1719B3"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5A41E2AF"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2CA23AAD"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24182C7E" w14:textId="77777777">
        <w:tc>
          <w:tcPr>
            <w:tcW w:w="1704" w:type="dxa"/>
            <w:vAlign w:val="center"/>
          </w:tcPr>
          <w:p w14:paraId="4F76ADBF" w14:textId="77777777" w:rsidR="007075D9" w:rsidRPr="004D46AC" w:rsidRDefault="007075D9" w:rsidP="002C5F6E">
            <w:pPr>
              <w:spacing w:line="240" w:lineRule="auto"/>
              <w:ind w:firstLine="0"/>
            </w:pPr>
            <w:r w:rsidRPr="004D46AC">
              <w:rPr>
                <w:color w:val="000000"/>
              </w:rPr>
              <w:t>TR21--TR33</w:t>
            </w:r>
          </w:p>
        </w:tc>
        <w:tc>
          <w:tcPr>
            <w:tcW w:w="1704" w:type="dxa"/>
            <w:vAlign w:val="center"/>
          </w:tcPr>
          <w:p w14:paraId="16F46290"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3875F08D"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1F9A1A94" w14:textId="77777777" w:rsidR="007075D9" w:rsidRPr="004D46AC" w:rsidRDefault="007075D9" w:rsidP="002C5F6E">
            <w:pPr>
              <w:spacing w:line="240" w:lineRule="auto"/>
              <w:ind w:firstLine="0"/>
            </w:pPr>
            <w:r w:rsidRPr="004D46AC">
              <w:rPr>
                <w:color w:val="000000"/>
                <w:szCs w:val="21"/>
              </w:rPr>
              <w:t xml:space="preserve">0.39 </w:t>
            </w:r>
          </w:p>
        </w:tc>
        <w:tc>
          <w:tcPr>
            <w:tcW w:w="1705" w:type="dxa"/>
            <w:vAlign w:val="center"/>
          </w:tcPr>
          <w:p w14:paraId="75FA72EF" w14:textId="77777777" w:rsidR="007075D9" w:rsidRPr="004D46AC" w:rsidRDefault="007075D9" w:rsidP="002C5F6E">
            <w:pPr>
              <w:spacing w:line="240" w:lineRule="auto"/>
              <w:ind w:firstLine="0"/>
            </w:pPr>
            <w:r w:rsidRPr="004D46AC">
              <w:rPr>
                <w:color w:val="000000"/>
                <w:szCs w:val="21"/>
              </w:rPr>
              <w:t xml:space="preserve">0.12 </w:t>
            </w:r>
          </w:p>
        </w:tc>
      </w:tr>
      <w:tr w:rsidR="007075D9" w:rsidRPr="004D46AC" w14:paraId="237620DF" w14:textId="77777777">
        <w:tc>
          <w:tcPr>
            <w:tcW w:w="1704" w:type="dxa"/>
            <w:vAlign w:val="center"/>
          </w:tcPr>
          <w:p w14:paraId="4E6FA661" w14:textId="77777777" w:rsidR="007075D9" w:rsidRPr="004D46AC" w:rsidRDefault="007075D9" w:rsidP="002C5F6E">
            <w:pPr>
              <w:spacing w:line="240" w:lineRule="auto"/>
              <w:ind w:firstLine="0"/>
            </w:pPr>
            <w:r w:rsidRPr="004D46AC">
              <w:rPr>
                <w:color w:val="000000"/>
              </w:rPr>
              <w:t>TR24--TR34</w:t>
            </w:r>
          </w:p>
        </w:tc>
        <w:tc>
          <w:tcPr>
            <w:tcW w:w="1704" w:type="dxa"/>
            <w:vAlign w:val="center"/>
          </w:tcPr>
          <w:p w14:paraId="2C4EB174"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61FA7D4A"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61A56B07"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2207E202"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6EE0A511" w14:textId="77777777">
        <w:tc>
          <w:tcPr>
            <w:tcW w:w="1704" w:type="dxa"/>
            <w:vAlign w:val="center"/>
          </w:tcPr>
          <w:p w14:paraId="05D7E30E" w14:textId="77777777" w:rsidR="007075D9" w:rsidRPr="004D46AC" w:rsidRDefault="007075D9" w:rsidP="002C5F6E">
            <w:pPr>
              <w:spacing w:line="240" w:lineRule="auto"/>
              <w:ind w:firstLine="0"/>
            </w:pPr>
            <w:r w:rsidRPr="004D46AC">
              <w:rPr>
                <w:color w:val="000000"/>
              </w:rPr>
              <w:t>TR5--TR37</w:t>
            </w:r>
          </w:p>
        </w:tc>
        <w:tc>
          <w:tcPr>
            <w:tcW w:w="1704" w:type="dxa"/>
            <w:vAlign w:val="center"/>
          </w:tcPr>
          <w:p w14:paraId="462E53F9"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7A5840A9"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26B57EFE"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1BD5A9D2" w14:textId="77777777" w:rsidR="007075D9" w:rsidRPr="004D46AC" w:rsidRDefault="007075D9" w:rsidP="002C5F6E">
            <w:pPr>
              <w:spacing w:line="240" w:lineRule="auto"/>
              <w:ind w:firstLine="0"/>
            </w:pPr>
            <w:r w:rsidRPr="004D46AC">
              <w:rPr>
                <w:color w:val="000000"/>
                <w:szCs w:val="21"/>
              </w:rPr>
              <w:t xml:space="preserve">0.29 </w:t>
            </w:r>
          </w:p>
        </w:tc>
      </w:tr>
      <w:tr w:rsidR="007075D9" w:rsidRPr="004D46AC" w14:paraId="2CCF8C7C" w14:textId="77777777">
        <w:tc>
          <w:tcPr>
            <w:tcW w:w="1704" w:type="dxa"/>
            <w:vAlign w:val="center"/>
          </w:tcPr>
          <w:p w14:paraId="3B297DD4" w14:textId="77777777" w:rsidR="007075D9" w:rsidRPr="004D46AC" w:rsidRDefault="007075D9" w:rsidP="002C5F6E">
            <w:pPr>
              <w:spacing w:line="240" w:lineRule="auto"/>
              <w:ind w:firstLine="0"/>
            </w:pPr>
            <w:r w:rsidRPr="004D46AC">
              <w:rPr>
                <w:color w:val="000000"/>
              </w:rPr>
              <w:t>TR18--TR25</w:t>
            </w:r>
          </w:p>
        </w:tc>
        <w:tc>
          <w:tcPr>
            <w:tcW w:w="1704" w:type="dxa"/>
            <w:vAlign w:val="center"/>
          </w:tcPr>
          <w:p w14:paraId="41CD0336"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7100F63F"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4CF3C19A" w14:textId="77777777" w:rsidR="007075D9" w:rsidRPr="004D46AC" w:rsidRDefault="007075D9" w:rsidP="002C5F6E">
            <w:pPr>
              <w:spacing w:line="240" w:lineRule="auto"/>
              <w:ind w:firstLine="0"/>
            </w:pPr>
            <w:r w:rsidRPr="004D46AC">
              <w:rPr>
                <w:color w:val="000000"/>
                <w:szCs w:val="21"/>
              </w:rPr>
              <w:t xml:space="preserve">0.39 </w:t>
            </w:r>
          </w:p>
        </w:tc>
        <w:tc>
          <w:tcPr>
            <w:tcW w:w="1705" w:type="dxa"/>
            <w:vAlign w:val="center"/>
          </w:tcPr>
          <w:p w14:paraId="3E570E62" w14:textId="77777777" w:rsidR="007075D9" w:rsidRPr="004D46AC" w:rsidRDefault="007075D9" w:rsidP="002C5F6E">
            <w:pPr>
              <w:spacing w:line="240" w:lineRule="auto"/>
              <w:ind w:firstLine="0"/>
            </w:pPr>
            <w:r w:rsidRPr="004D46AC">
              <w:rPr>
                <w:color w:val="000000"/>
                <w:szCs w:val="21"/>
              </w:rPr>
              <w:t xml:space="preserve">0.27 </w:t>
            </w:r>
          </w:p>
        </w:tc>
      </w:tr>
      <w:tr w:rsidR="007075D9" w:rsidRPr="004D46AC" w14:paraId="6A1EED3E" w14:textId="77777777">
        <w:tc>
          <w:tcPr>
            <w:tcW w:w="1704" w:type="dxa"/>
            <w:vAlign w:val="center"/>
          </w:tcPr>
          <w:p w14:paraId="314D4471" w14:textId="77777777" w:rsidR="007075D9" w:rsidRPr="004D46AC" w:rsidRDefault="007075D9" w:rsidP="002C5F6E">
            <w:pPr>
              <w:spacing w:line="240" w:lineRule="auto"/>
              <w:ind w:firstLine="0"/>
            </w:pPr>
            <w:r w:rsidRPr="004D46AC">
              <w:rPr>
                <w:color w:val="000000"/>
              </w:rPr>
              <w:t>TR23--TR9</w:t>
            </w:r>
          </w:p>
        </w:tc>
        <w:tc>
          <w:tcPr>
            <w:tcW w:w="1704" w:type="dxa"/>
            <w:vAlign w:val="center"/>
          </w:tcPr>
          <w:p w14:paraId="7C478341"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5E835D81"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70A718AB"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556A4D28" w14:textId="77777777" w:rsidR="007075D9" w:rsidRPr="004D46AC" w:rsidRDefault="007075D9" w:rsidP="002C5F6E">
            <w:pPr>
              <w:spacing w:line="240" w:lineRule="auto"/>
              <w:ind w:firstLine="0"/>
            </w:pPr>
            <w:r w:rsidRPr="004D46AC">
              <w:rPr>
                <w:color w:val="000000"/>
                <w:szCs w:val="21"/>
              </w:rPr>
              <w:t xml:space="preserve">0.31 </w:t>
            </w:r>
          </w:p>
        </w:tc>
      </w:tr>
      <w:tr w:rsidR="007075D9" w:rsidRPr="004D46AC" w14:paraId="6774E3FB" w14:textId="77777777">
        <w:tc>
          <w:tcPr>
            <w:tcW w:w="1704" w:type="dxa"/>
            <w:vAlign w:val="center"/>
          </w:tcPr>
          <w:p w14:paraId="3F804B13" w14:textId="77777777" w:rsidR="007075D9" w:rsidRPr="004D46AC" w:rsidRDefault="007075D9" w:rsidP="002C5F6E">
            <w:pPr>
              <w:spacing w:line="240" w:lineRule="auto"/>
              <w:ind w:firstLine="0"/>
            </w:pPr>
            <w:r w:rsidRPr="004D46AC">
              <w:rPr>
                <w:color w:val="000000"/>
              </w:rPr>
              <w:t>TR30--TR14</w:t>
            </w:r>
          </w:p>
        </w:tc>
        <w:tc>
          <w:tcPr>
            <w:tcW w:w="1704" w:type="dxa"/>
            <w:vAlign w:val="center"/>
          </w:tcPr>
          <w:p w14:paraId="37CCF2CB"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4C8B15E2"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0ED36B87"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5FD0C726" w14:textId="77777777" w:rsidR="007075D9" w:rsidRPr="004D46AC" w:rsidRDefault="007075D9" w:rsidP="002C5F6E">
            <w:pPr>
              <w:spacing w:line="240" w:lineRule="auto"/>
              <w:ind w:firstLine="0"/>
            </w:pPr>
            <w:r w:rsidRPr="004D46AC">
              <w:rPr>
                <w:color w:val="000000"/>
                <w:szCs w:val="21"/>
              </w:rPr>
              <w:t xml:space="preserve">0.21 </w:t>
            </w:r>
          </w:p>
        </w:tc>
      </w:tr>
      <w:tr w:rsidR="007075D9" w:rsidRPr="004D46AC" w14:paraId="48C8A9DA" w14:textId="77777777">
        <w:tc>
          <w:tcPr>
            <w:tcW w:w="1704" w:type="dxa"/>
            <w:vAlign w:val="center"/>
          </w:tcPr>
          <w:p w14:paraId="0A5AF299" w14:textId="77777777" w:rsidR="007075D9" w:rsidRPr="004D46AC" w:rsidRDefault="007075D9" w:rsidP="002C5F6E">
            <w:pPr>
              <w:spacing w:line="240" w:lineRule="auto"/>
              <w:ind w:firstLine="0"/>
            </w:pPr>
            <w:r w:rsidRPr="004D46AC">
              <w:rPr>
                <w:color w:val="000000"/>
              </w:rPr>
              <w:t>TR23--TR34</w:t>
            </w:r>
          </w:p>
        </w:tc>
        <w:tc>
          <w:tcPr>
            <w:tcW w:w="1704" w:type="dxa"/>
            <w:vAlign w:val="center"/>
          </w:tcPr>
          <w:p w14:paraId="5E1985F6"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143518EB"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5409AE16"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12685D1C"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1463CC72" w14:textId="77777777">
        <w:tc>
          <w:tcPr>
            <w:tcW w:w="1704" w:type="dxa"/>
            <w:vAlign w:val="center"/>
          </w:tcPr>
          <w:p w14:paraId="5528F041" w14:textId="77777777" w:rsidR="007075D9" w:rsidRPr="004D46AC" w:rsidRDefault="007075D9" w:rsidP="002C5F6E">
            <w:pPr>
              <w:spacing w:line="240" w:lineRule="auto"/>
              <w:ind w:firstLine="0"/>
            </w:pPr>
            <w:r w:rsidRPr="004D46AC">
              <w:rPr>
                <w:color w:val="000000"/>
              </w:rPr>
              <w:t>TR24--TR20</w:t>
            </w:r>
          </w:p>
        </w:tc>
        <w:tc>
          <w:tcPr>
            <w:tcW w:w="1704" w:type="dxa"/>
            <w:vAlign w:val="center"/>
          </w:tcPr>
          <w:p w14:paraId="1E95C236"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724847DD"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59F9D69B"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60AAD2BF" w14:textId="77777777" w:rsidR="007075D9" w:rsidRPr="004D46AC" w:rsidRDefault="007075D9" w:rsidP="002C5F6E">
            <w:pPr>
              <w:spacing w:line="240" w:lineRule="auto"/>
              <w:ind w:firstLine="0"/>
            </w:pPr>
            <w:r w:rsidRPr="004D46AC">
              <w:rPr>
                <w:color w:val="000000"/>
                <w:szCs w:val="21"/>
              </w:rPr>
              <w:t xml:space="preserve">0.24 </w:t>
            </w:r>
          </w:p>
        </w:tc>
      </w:tr>
      <w:tr w:rsidR="007075D9" w:rsidRPr="004D46AC" w14:paraId="004A8BE9" w14:textId="77777777">
        <w:tc>
          <w:tcPr>
            <w:tcW w:w="1704" w:type="dxa"/>
            <w:vAlign w:val="center"/>
          </w:tcPr>
          <w:p w14:paraId="53A6E9D6" w14:textId="77777777" w:rsidR="007075D9" w:rsidRPr="004D46AC" w:rsidRDefault="007075D9" w:rsidP="002C5F6E">
            <w:pPr>
              <w:spacing w:line="240" w:lineRule="auto"/>
              <w:ind w:firstLine="0"/>
            </w:pPr>
            <w:r w:rsidRPr="004D46AC">
              <w:rPr>
                <w:color w:val="000000"/>
              </w:rPr>
              <w:t>TR17--TR14</w:t>
            </w:r>
          </w:p>
        </w:tc>
        <w:tc>
          <w:tcPr>
            <w:tcW w:w="1704" w:type="dxa"/>
            <w:vAlign w:val="center"/>
          </w:tcPr>
          <w:p w14:paraId="456587F7"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631DE4AC"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0CDA8170"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35A46F31" w14:textId="77777777" w:rsidR="007075D9" w:rsidRPr="004D46AC" w:rsidRDefault="007075D9" w:rsidP="002C5F6E">
            <w:pPr>
              <w:spacing w:line="240" w:lineRule="auto"/>
              <w:ind w:firstLine="0"/>
            </w:pPr>
            <w:r w:rsidRPr="004D46AC">
              <w:rPr>
                <w:color w:val="000000"/>
                <w:szCs w:val="21"/>
              </w:rPr>
              <w:t xml:space="preserve">0.18 </w:t>
            </w:r>
          </w:p>
        </w:tc>
      </w:tr>
      <w:tr w:rsidR="007075D9" w:rsidRPr="004D46AC" w14:paraId="742C322C" w14:textId="77777777">
        <w:tc>
          <w:tcPr>
            <w:tcW w:w="1704" w:type="dxa"/>
            <w:vAlign w:val="center"/>
          </w:tcPr>
          <w:p w14:paraId="46E62CB5" w14:textId="77777777" w:rsidR="007075D9" w:rsidRPr="004D46AC" w:rsidRDefault="007075D9" w:rsidP="002C5F6E">
            <w:pPr>
              <w:spacing w:line="240" w:lineRule="auto"/>
              <w:ind w:firstLine="0"/>
            </w:pPr>
            <w:r w:rsidRPr="004D46AC">
              <w:rPr>
                <w:color w:val="000000"/>
              </w:rPr>
              <w:t>TR14--TR20</w:t>
            </w:r>
          </w:p>
        </w:tc>
        <w:tc>
          <w:tcPr>
            <w:tcW w:w="1704" w:type="dxa"/>
            <w:vAlign w:val="center"/>
          </w:tcPr>
          <w:p w14:paraId="074DE50A"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525864DB"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2422168D"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4AC7F5C4" w14:textId="77777777" w:rsidR="007075D9" w:rsidRPr="004D46AC" w:rsidRDefault="007075D9" w:rsidP="002C5F6E">
            <w:pPr>
              <w:spacing w:line="240" w:lineRule="auto"/>
              <w:ind w:firstLine="0"/>
            </w:pPr>
            <w:r w:rsidRPr="004D46AC">
              <w:rPr>
                <w:color w:val="000000"/>
                <w:szCs w:val="21"/>
              </w:rPr>
              <w:t xml:space="preserve">0.16 </w:t>
            </w:r>
          </w:p>
        </w:tc>
      </w:tr>
      <w:tr w:rsidR="007075D9" w:rsidRPr="004D46AC" w14:paraId="6A22AA78" w14:textId="77777777">
        <w:tc>
          <w:tcPr>
            <w:tcW w:w="1704" w:type="dxa"/>
            <w:vAlign w:val="center"/>
          </w:tcPr>
          <w:p w14:paraId="5E8DB73F" w14:textId="77777777" w:rsidR="007075D9" w:rsidRPr="004D46AC" w:rsidRDefault="007075D9" w:rsidP="002C5F6E">
            <w:pPr>
              <w:spacing w:line="240" w:lineRule="auto"/>
              <w:ind w:firstLine="0"/>
            </w:pPr>
            <w:r w:rsidRPr="004D46AC">
              <w:rPr>
                <w:color w:val="000000"/>
              </w:rPr>
              <w:t>TR23--TR18</w:t>
            </w:r>
          </w:p>
        </w:tc>
        <w:tc>
          <w:tcPr>
            <w:tcW w:w="1704" w:type="dxa"/>
            <w:vAlign w:val="center"/>
          </w:tcPr>
          <w:p w14:paraId="7DBBD010"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2929F066"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48F832D3"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74C2A436" w14:textId="77777777" w:rsidR="007075D9" w:rsidRPr="004D46AC" w:rsidRDefault="007075D9" w:rsidP="002C5F6E">
            <w:pPr>
              <w:spacing w:line="240" w:lineRule="auto"/>
              <w:ind w:firstLine="0"/>
            </w:pPr>
            <w:r w:rsidRPr="004D46AC">
              <w:rPr>
                <w:color w:val="000000"/>
                <w:szCs w:val="21"/>
              </w:rPr>
              <w:t xml:space="preserve">0.31 </w:t>
            </w:r>
          </w:p>
        </w:tc>
      </w:tr>
      <w:tr w:rsidR="007075D9" w:rsidRPr="004D46AC" w14:paraId="71DB2FE0" w14:textId="77777777">
        <w:tc>
          <w:tcPr>
            <w:tcW w:w="1704" w:type="dxa"/>
            <w:vAlign w:val="center"/>
          </w:tcPr>
          <w:p w14:paraId="4EF2AB5D" w14:textId="77777777" w:rsidR="007075D9" w:rsidRPr="004D46AC" w:rsidRDefault="007075D9" w:rsidP="002C5F6E">
            <w:pPr>
              <w:spacing w:line="240" w:lineRule="auto"/>
              <w:ind w:firstLine="0"/>
            </w:pPr>
            <w:r w:rsidRPr="004D46AC">
              <w:rPr>
                <w:color w:val="000000"/>
              </w:rPr>
              <w:t>TR19--TR34</w:t>
            </w:r>
          </w:p>
        </w:tc>
        <w:tc>
          <w:tcPr>
            <w:tcW w:w="1704" w:type="dxa"/>
            <w:vAlign w:val="center"/>
          </w:tcPr>
          <w:p w14:paraId="4EA4EC98"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28156CF2"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59013EB4"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1FCF6179"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69915755" w14:textId="77777777">
        <w:tc>
          <w:tcPr>
            <w:tcW w:w="1704" w:type="dxa"/>
            <w:vAlign w:val="center"/>
          </w:tcPr>
          <w:p w14:paraId="00C8AB2D" w14:textId="77777777" w:rsidR="007075D9" w:rsidRPr="004D46AC" w:rsidRDefault="007075D9" w:rsidP="002C5F6E">
            <w:pPr>
              <w:spacing w:line="240" w:lineRule="auto"/>
              <w:ind w:firstLine="0"/>
            </w:pPr>
            <w:r w:rsidRPr="004D46AC">
              <w:rPr>
                <w:color w:val="000000"/>
              </w:rPr>
              <w:t>TR7--TR24</w:t>
            </w:r>
          </w:p>
        </w:tc>
        <w:tc>
          <w:tcPr>
            <w:tcW w:w="1704" w:type="dxa"/>
            <w:vAlign w:val="center"/>
          </w:tcPr>
          <w:p w14:paraId="2D5B8822"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2B824F54"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412A19BA"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0729CC5A"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4ED70F8E" w14:textId="77777777">
        <w:tc>
          <w:tcPr>
            <w:tcW w:w="1704" w:type="dxa"/>
            <w:vAlign w:val="center"/>
          </w:tcPr>
          <w:p w14:paraId="07D05264" w14:textId="77777777" w:rsidR="007075D9" w:rsidRPr="004D46AC" w:rsidRDefault="007075D9" w:rsidP="002C5F6E">
            <w:pPr>
              <w:spacing w:line="240" w:lineRule="auto"/>
              <w:ind w:firstLine="0"/>
            </w:pPr>
            <w:r w:rsidRPr="004D46AC">
              <w:rPr>
                <w:color w:val="000000"/>
              </w:rPr>
              <w:t>TR5--TR7</w:t>
            </w:r>
          </w:p>
        </w:tc>
        <w:tc>
          <w:tcPr>
            <w:tcW w:w="1704" w:type="dxa"/>
            <w:vAlign w:val="center"/>
          </w:tcPr>
          <w:p w14:paraId="5DF57921"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2D34C6AC"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5CB68C99"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623CBACC" w14:textId="77777777" w:rsidR="007075D9" w:rsidRPr="004D46AC" w:rsidRDefault="007075D9" w:rsidP="002C5F6E">
            <w:pPr>
              <w:spacing w:line="240" w:lineRule="auto"/>
              <w:ind w:firstLine="0"/>
            </w:pPr>
            <w:r w:rsidRPr="004D46AC">
              <w:rPr>
                <w:color w:val="000000"/>
                <w:szCs w:val="21"/>
              </w:rPr>
              <w:t xml:space="preserve">0.21 </w:t>
            </w:r>
          </w:p>
        </w:tc>
      </w:tr>
      <w:tr w:rsidR="007075D9" w:rsidRPr="004D46AC" w14:paraId="1C72A947" w14:textId="77777777">
        <w:tc>
          <w:tcPr>
            <w:tcW w:w="1704" w:type="dxa"/>
            <w:vAlign w:val="center"/>
          </w:tcPr>
          <w:p w14:paraId="2B7CA68F" w14:textId="77777777" w:rsidR="007075D9" w:rsidRPr="004D46AC" w:rsidRDefault="007075D9" w:rsidP="002C5F6E">
            <w:pPr>
              <w:spacing w:line="240" w:lineRule="auto"/>
              <w:ind w:firstLine="0"/>
            </w:pPr>
            <w:r w:rsidRPr="004D46AC">
              <w:rPr>
                <w:color w:val="000000"/>
              </w:rPr>
              <w:t>TR19--TR6</w:t>
            </w:r>
          </w:p>
        </w:tc>
        <w:tc>
          <w:tcPr>
            <w:tcW w:w="1704" w:type="dxa"/>
            <w:vAlign w:val="center"/>
          </w:tcPr>
          <w:p w14:paraId="680E8BF8"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111CA900"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138C1ACD"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00ECEDFD" w14:textId="77777777" w:rsidR="007075D9" w:rsidRPr="004D46AC" w:rsidRDefault="007075D9" w:rsidP="002C5F6E">
            <w:pPr>
              <w:spacing w:line="240" w:lineRule="auto"/>
              <w:ind w:firstLine="0"/>
            </w:pPr>
            <w:r w:rsidRPr="004D46AC">
              <w:rPr>
                <w:color w:val="000000"/>
                <w:szCs w:val="21"/>
              </w:rPr>
              <w:t xml:space="preserve">0.24 </w:t>
            </w:r>
          </w:p>
        </w:tc>
      </w:tr>
      <w:tr w:rsidR="007075D9" w:rsidRPr="004D46AC" w14:paraId="52D4A204" w14:textId="77777777">
        <w:tc>
          <w:tcPr>
            <w:tcW w:w="1704" w:type="dxa"/>
            <w:vAlign w:val="center"/>
          </w:tcPr>
          <w:p w14:paraId="75D4BC44" w14:textId="77777777" w:rsidR="007075D9" w:rsidRPr="004D46AC" w:rsidRDefault="007075D9" w:rsidP="002C5F6E">
            <w:pPr>
              <w:spacing w:line="240" w:lineRule="auto"/>
              <w:ind w:firstLine="0"/>
            </w:pPr>
            <w:r w:rsidRPr="004D46AC">
              <w:rPr>
                <w:color w:val="000000"/>
              </w:rPr>
              <w:t>TR37--TR18</w:t>
            </w:r>
          </w:p>
        </w:tc>
        <w:tc>
          <w:tcPr>
            <w:tcW w:w="1704" w:type="dxa"/>
            <w:vAlign w:val="center"/>
          </w:tcPr>
          <w:p w14:paraId="7D47803C"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3B0F8C3C"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5E83BF2C"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7F49F1F8" w14:textId="77777777" w:rsidR="007075D9" w:rsidRPr="004D46AC" w:rsidRDefault="007075D9" w:rsidP="002C5F6E">
            <w:pPr>
              <w:spacing w:line="240" w:lineRule="auto"/>
              <w:ind w:firstLine="0"/>
            </w:pPr>
            <w:r w:rsidRPr="004D46AC">
              <w:rPr>
                <w:color w:val="000000"/>
                <w:szCs w:val="21"/>
              </w:rPr>
              <w:t xml:space="preserve">0.32 </w:t>
            </w:r>
          </w:p>
        </w:tc>
      </w:tr>
      <w:tr w:rsidR="007075D9" w:rsidRPr="004D46AC" w14:paraId="1F63C5B6" w14:textId="77777777">
        <w:tc>
          <w:tcPr>
            <w:tcW w:w="1704" w:type="dxa"/>
            <w:vAlign w:val="center"/>
          </w:tcPr>
          <w:p w14:paraId="42585516" w14:textId="77777777" w:rsidR="007075D9" w:rsidRPr="004D46AC" w:rsidRDefault="007075D9" w:rsidP="002C5F6E">
            <w:pPr>
              <w:spacing w:line="240" w:lineRule="auto"/>
              <w:ind w:firstLine="0"/>
            </w:pPr>
            <w:r w:rsidRPr="004D46AC">
              <w:rPr>
                <w:color w:val="000000"/>
              </w:rPr>
              <w:t>TR3--TR27</w:t>
            </w:r>
          </w:p>
        </w:tc>
        <w:tc>
          <w:tcPr>
            <w:tcW w:w="1704" w:type="dxa"/>
            <w:vAlign w:val="center"/>
          </w:tcPr>
          <w:p w14:paraId="51C4FA78"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0CC9A065"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2E1AEB27"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59BC144D" w14:textId="77777777" w:rsidR="007075D9" w:rsidRPr="004D46AC" w:rsidRDefault="007075D9" w:rsidP="002C5F6E">
            <w:pPr>
              <w:spacing w:line="240" w:lineRule="auto"/>
              <w:ind w:firstLine="0"/>
            </w:pPr>
            <w:r w:rsidRPr="004D46AC">
              <w:rPr>
                <w:color w:val="000000"/>
                <w:szCs w:val="21"/>
              </w:rPr>
              <w:t xml:space="preserve">0.44 </w:t>
            </w:r>
          </w:p>
        </w:tc>
      </w:tr>
      <w:tr w:rsidR="007075D9" w:rsidRPr="004D46AC" w14:paraId="794F0030" w14:textId="77777777">
        <w:tc>
          <w:tcPr>
            <w:tcW w:w="1704" w:type="dxa"/>
            <w:vAlign w:val="center"/>
          </w:tcPr>
          <w:p w14:paraId="51A494A2" w14:textId="77777777" w:rsidR="007075D9" w:rsidRPr="004D46AC" w:rsidRDefault="007075D9" w:rsidP="002C5F6E">
            <w:pPr>
              <w:spacing w:line="240" w:lineRule="auto"/>
              <w:ind w:firstLine="0"/>
            </w:pPr>
            <w:r w:rsidRPr="004D46AC">
              <w:rPr>
                <w:color w:val="000000"/>
              </w:rPr>
              <w:t>TR17--TR25</w:t>
            </w:r>
          </w:p>
        </w:tc>
        <w:tc>
          <w:tcPr>
            <w:tcW w:w="1704" w:type="dxa"/>
            <w:vAlign w:val="center"/>
          </w:tcPr>
          <w:p w14:paraId="31E6E990"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029B0392"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0FE4ABBE"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529D583D" w14:textId="77777777" w:rsidR="007075D9" w:rsidRPr="004D46AC" w:rsidRDefault="007075D9" w:rsidP="002C5F6E">
            <w:pPr>
              <w:spacing w:line="240" w:lineRule="auto"/>
              <w:ind w:firstLine="0"/>
            </w:pPr>
            <w:r w:rsidRPr="004D46AC">
              <w:rPr>
                <w:color w:val="000000"/>
                <w:szCs w:val="21"/>
              </w:rPr>
              <w:t xml:space="preserve">0.27 </w:t>
            </w:r>
          </w:p>
        </w:tc>
      </w:tr>
      <w:tr w:rsidR="007075D9" w:rsidRPr="004D46AC" w14:paraId="473DA5C5" w14:textId="77777777">
        <w:tc>
          <w:tcPr>
            <w:tcW w:w="1704" w:type="dxa"/>
            <w:vAlign w:val="center"/>
          </w:tcPr>
          <w:p w14:paraId="66C71E15" w14:textId="77777777" w:rsidR="007075D9" w:rsidRPr="004D46AC" w:rsidRDefault="007075D9" w:rsidP="002C5F6E">
            <w:pPr>
              <w:spacing w:line="240" w:lineRule="auto"/>
              <w:ind w:firstLine="0"/>
            </w:pPr>
            <w:r w:rsidRPr="004D46AC">
              <w:rPr>
                <w:color w:val="000000"/>
              </w:rPr>
              <w:t>TR26--TR9</w:t>
            </w:r>
          </w:p>
        </w:tc>
        <w:tc>
          <w:tcPr>
            <w:tcW w:w="1704" w:type="dxa"/>
            <w:vAlign w:val="center"/>
          </w:tcPr>
          <w:p w14:paraId="7FD9F426"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677864EA"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10C462D1" w14:textId="77777777" w:rsidR="007075D9" w:rsidRPr="004D46AC" w:rsidRDefault="007075D9" w:rsidP="002C5F6E">
            <w:pPr>
              <w:spacing w:line="240" w:lineRule="auto"/>
              <w:ind w:firstLine="0"/>
            </w:pPr>
            <w:r w:rsidRPr="004D46AC">
              <w:rPr>
                <w:color w:val="000000"/>
                <w:szCs w:val="21"/>
              </w:rPr>
              <w:t xml:space="preserve">0.33 </w:t>
            </w:r>
          </w:p>
        </w:tc>
        <w:tc>
          <w:tcPr>
            <w:tcW w:w="1705" w:type="dxa"/>
            <w:vAlign w:val="center"/>
          </w:tcPr>
          <w:p w14:paraId="590F9E6D" w14:textId="77777777" w:rsidR="007075D9" w:rsidRPr="004D46AC" w:rsidRDefault="007075D9" w:rsidP="002C5F6E">
            <w:pPr>
              <w:spacing w:line="240" w:lineRule="auto"/>
              <w:ind w:firstLine="0"/>
            </w:pPr>
            <w:r w:rsidRPr="004D46AC">
              <w:rPr>
                <w:color w:val="000000"/>
                <w:szCs w:val="21"/>
              </w:rPr>
              <w:t xml:space="preserve">0.32 </w:t>
            </w:r>
          </w:p>
        </w:tc>
      </w:tr>
      <w:tr w:rsidR="007075D9" w:rsidRPr="004D46AC" w14:paraId="5D1D41DA" w14:textId="77777777">
        <w:tc>
          <w:tcPr>
            <w:tcW w:w="1704" w:type="dxa"/>
            <w:vAlign w:val="center"/>
          </w:tcPr>
          <w:p w14:paraId="230D5F2B" w14:textId="77777777" w:rsidR="007075D9" w:rsidRPr="004D46AC" w:rsidRDefault="007075D9" w:rsidP="002C5F6E">
            <w:pPr>
              <w:spacing w:line="240" w:lineRule="auto"/>
              <w:ind w:firstLine="0"/>
            </w:pPr>
            <w:r w:rsidRPr="004D46AC">
              <w:rPr>
                <w:color w:val="000000"/>
              </w:rPr>
              <w:t>TR7--TR37</w:t>
            </w:r>
          </w:p>
        </w:tc>
        <w:tc>
          <w:tcPr>
            <w:tcW w:w="1704" w:type="dxa"/>
            <w:vAlign w:val="center"/>
          </w:tcPr>
          <w:p w14:paraId="5308BDFA"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116CF2FE"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1BB2C594"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3452874C" w14:textId="77777777" w:rsidR="007075D9" w:rsidRPr="004D46AC" w:rsidRDefault="007075D9" w:rsidP="002C5F6E">
            <w:pPr>
              <w:spacing w:line="240" w:lineRule="auto"/>
              <w:ind w:firstLine="0"/>
            </w:pPr>
            <w:r w:rsidRPr="004D46AC">
              <w:rPr>
                <w:color w:val="000000"/>
                <w:szCs w:val="21"/>
              </w:rPr>
              <w:t xml:space="preserve">0.27 </w:t>
            </w:r>
          </w:p>
        </w:tc>
      </w:tr>
      <w:tr w:rsidR="007075D9" w:rsidRPr="004D46AC" w14:paraId="0729895A" w14:textId="77777777">
        <w:tc>
          <w:tcPr>
            <w:tcW w:w="1704" w:type="dxa"/>
            <w:vAlign w:val="center"/>
          </w:tcPr>
          <w:p w14:paraId="467440D4" w14:textId="77777777" w:rsidR="007075D9" w:rsidRPr="004D46AC" w:rsidRDefault="007075D9" w:rsidP="002C5F6E">
            <w:pPr>
              <w:spacing w:line="240" w:lineRule="auto"/>
              <w:ind w:firstLine="0"/>
            </w:pPr>
            <w:r w:rsidRPr="004D46AC">
              <w:rPr>
                <w:color w:val="000000"/>
              </w:rPr>
              <w:t>TR3--TR34</w:t>
            </w:r>
          </w:p>
        </w:tc>
        <w:tc>
          <w:tcPr>
            <w:tcW w:w="1704" w:type="dxa"/>
            <w:vAlign w:val="center"/>
          </w:tcPr>
          <w:p w14:paraId="74E7EFC9"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00E6EC02"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35F8B11D" w14:textId="77777777" w:rsidR="007075D9" w:rsidRPr="004D46AC" w:rsidRDefault="007075D9" w:rsidP="002C5F6E">
            <w:pPr>
              <w:spacing w:line="240" w:lineRule="auto"/>
              <w:ind w:firstLine="0"/>
            </w:pPr>
            <w:r w:rsidRPr="004D46AC">
              <w:rPr>
                <w:color w:val="000000"/>
                <w:szCs w:val="21"/>
              </w:rPr>
              <w:t xml:space="preserve">0.33 </w:t>
            </w:r>
          </w:p>
        </w:tc>
        <w:tc>
          <w:tcPr>
            <w:tcW w:w="1705" w:type="dxa"/>
            <w:vAlign w:val="center"/>
          </w:tcPr>
          <w:p w14:paraId="20AF7BB5" w14:textId="77777777" w:rsidR="007075D9" w:rsidRPr="004D46AC" w:rsidRDefault="007075D9" w:rsidP="002C5F6E">
            <w:pPr>
              <w:spacing w:line="240" w:lineRule="auto"/>
              <w:ind w:firstLine="0"/>
            </w:pPr>
            <w:r w:rsidRPr="004D46AC">
              <w:rPr>
                <w:color w:val="000000"/>
                <w:szCs w:val="21"/>
              </w:rPr>
              <w:t xml:space="preserve">0.33 </w:t>
            </w:r>
          </w:p>
        </w:tc>
      </w:tr>
      <w:tr w:rsidR="007075D9" w:rsidRPr="004D46AC" w14:paraId="720AFEAE" w14:textId="77777777">
        <w:tc>
          <w:tcPr>
            <w:tcW w:w="1704" w:type="dxa"/>
            <w:vAlign w:val="center"/>
          </w:tcPr>
          <w:p w14:paraId="5F86F6D1" w14:textId="77777777" w:rsidR="007075D9" w:rsidRPr="004D46AC" w:rsidRDefault="007075D9" w:rsidP="002C5F6E">
            <w:pPr>
              <w:spacing w:line="240" w:lineRule="auto"/>
              <w:ind w:firstLine="0"/>
            </w:pPr>
            <w:r w:rsidRPr="004D46AC">
              <w:rPr>
                <w:color w:val="000000"/>
              </w:rPr>
              <w:t>TR24--TR9</w:t>
            </w:r>
          </w:p>
        </w:tc>
        <w:tc>
          <w:tcPr>
            <w:tcW w:w="1704" w:type="dxa"/>
            <w:vAlign w:val="center"/>
          </w:tcPr>
          <w:p w14:paraId="57B7A7CF"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3BADA204"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0F2D49EC"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5779ADBD"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41ABEED7" w14:textId="77777777">
        <w:tc>
          <w:tcPr>
            <w:tcW w:w="1704" w:type="dxa"/>
            <w:vAlign w:val="center"/>
          </w:tcPr>
          <w:p w14:paraId="2AD93CF1" w14:textId="77777777" w:rsidR="007075D9" w:rsidRPr="004D46AC" w:rsidRDefault="007075D9" w:rsidP="002C5F6E">
            <w:pPr>
              <w:spacing w:line="240" w:lineRule="auto"/>
              <w:ind w:firstLine="0"/>
            </w:pPr>
            <w:r w:rsidRPr="004D46AC">
              <w:rPr>
                <w:color w:val="000000"/>
              </w:rPr>
              <w:t>TR15--TR27</w:t>
            </w:r>
          </w:p>
        </w:tc>
        <w:tc>
          <w:tcPr>
            <w:tcW w:w="1704" w:type="dxa"/>
            <w:vAlign w:val="center"/>
          </w:tcPr>
          <w:p w14:paraId="6B03BA65"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0912B486"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2DA427A9"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0D9253F7" w14:textId="77777777" w:rsidR="007075D9" w:rsidRPr="004D46AC" w:rsidRDefault="007075D9" w:rsidP="002C5F6E">
            <w:pPr>
              <w:spacing w:line="240" w:lineRule="auto"/>
              <w:ind w:firstLine="0"/>
            </w:pPr>
            <w:r w:rsidRPr="004D46AC">
              <w:rPr>
                <w:color w:val="000000"/>
                <w:szCs w:val="21"/>
              </w:rPr>
              <w:t xml:space="preserve">0.26 </w:t>
            </w:r>
          </w:p>
        </w:tc>
      </w:tr>
      <w:tr w:rsidR="007075D9" w:rsidRPr="004D46AC" w14:paraId="26FABDFE" w14:textId="77777777">
        <w:tc>
          <w:tcPr>
            <w:tcW w:w="1704" w:type="dxa"/>
            <w:vAlign w:val="center"/>
          </w:tcPr>
          <w:p w14:paraId="7BF68C36" w14:textId="77777777" w:rsidR="007075D9" w:rsidRPr="004D46AC" w:rsidRDefault="007075D9" w:rsidP="002C5F6E">
            <w:pPr>
              <w:spacing w:line="240" w:lineRule="auto"/>
              <w:ind w:firstLine="0"/>
            </w:pPr>
            <w:r w:rsidRPr="004D46AC">
              <w:rPr>
                <w:color w:val="000000"/>
              </w:rPr>
              <w:t>TR9--TR13</w:t>
            </w:r>
          </w:p>
        </w:tc>
        <w:tc>
          <w:tcPr>
            <w:tcW w:w="1704" w:type="dxa"/>
            <w:vAlign w:val="center"/>
          </w:tcPr>
          <w:p w14:paraId="3C6DF937"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61FE87B9"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7CA9AEC0"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14A20732" w14:textId="77777777" w:rsidR="007075D9" w:rsidRPr="004D46AC" w:rsidRDefault="007075D9" w:rsidP="002C5F6E">
            <w:pPr>
              <w:spacing w:line="240" w:lineRule="auto"/>
              <w:ind w:firstLine="0"/>
            </w:pPr>
            <w:r w:rsidRPr="004D46AC">
              <w:rPr>
                <w:color w:val="000000"/>
                <w:szCs w:val="21"/>
              </w:rPr>
              <w:t xml:space="preserve">0.30 </w:t>
            </w:r>
          </w:p>
        </w:tc>
      </w:tr>
      <w:tr w:rsidR="007075D9" w:rsidRPr="004D46AC" w14:paraId="0F8A873F" w14:textId="77777777">
        <w:tc>
          <w:tcPr>
            <w:tcW w:w="1704" w:type="dxa"/>
            <w:vAlign w:val="center"/>
          </w:tcPr>
          <w:p w14:paraId="7C576EEB" w14:textId="77777777" w:rsidR="007075D9" w:rsidRPr="004D46AC" w:rsidRDefault="007075D9" w:rsidP="002C5F6E">
            <w:pPr>
              <w:spacing w:line="240" w:lineRule="auto"/>
              <w:ind w:firstLine="0"/>
            </w:pPr>
            <w:r w:rsidRPr="004D46AC">
              <w:rPr>
                <w:color w:val="000000"/>
              </w:rPr>
              <w:t>TR9--TR22</w:t>
            </w:r>
          </w:p>
        </w:tc>
        <w:tc>
          <w:tcPr>
            <w:tcW w:w="1704" w:type="dxa"/>
            <w:vAlign w:val="center"/>
          </w:tcPr>
          <w:p w14:paraId="41472FAC"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62FCAE87"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12C0511B"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76F42709" w14:textId="77777777" w:rsidR="007075D9" w:rsidRPr="004D46AC" w:rsidRDefault="007075D9" w:rsidP="002C5F6E">
            <w:pPr>
              <w:spacing w:line="240" w:lineRule="auto"/>
              <w:ind w:firstLine="0"/>
            </w:pPr>
            <w:r w:rsidRPr="004D46AC">
              <w:rPr>
                <w:color w:val="000000"/>
                <w:szCs w:val="21"/>
              </w:rPr>
              <w:t xml:space="preserve">0.32 </w:t>
            </w:r>
          </w:p>
        </w:tc>
      </w:tr>
      <w:tr w:rsidR="007075D9" w:rsidRPr="004D46AC" w14:paraId="331F77AB" w14:textId="77777777">
        <w:tc>
          <w:tcPr>
            <w:tcW w:w="1704" w:type="dxa"/>
            <w:vAlign w:val="center"/>
          </w:tcPr>
          <w:p w14:paraId="507342D8" w14:textId="77777777" w:rsidR="007075D9" w:rsidRPr="004D46AC" w:rsidRDefault="007075D9" w:rsidP="002C5F6E">
            <w:pPr>
              <w:spacing w:line="240" w:lineRule="auto"/>
              <w:ind w:firstLine="0"/>
            </w:pPr>
            <w:r w:rsidRPr="004D46AC">
              <w:rPr>
                <w:color w:val="000000"/>
              </w:rPr>
              <w:t>TR9--TR25</w:t>
            </w:r>
          </w:p>
        </w:tc>
        <w:tc>
          <w:tcPr>
            <w:tcW w:w="1704" w:type="dxa"/>
            <w:vAlign w:val="center"/>
          </w:tcPr>
          <w:p w14:paraId="70D832D4"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3122F178"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24964536"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33EA006F" w14:textId="77777777" w:rsidR="007075D9" w:rsidRPr="004D46AC" w:rsidRDefault="007075D9" w:rsidP="002C5F6E">
            <w:pPr>
              <w:spacing w:line="240" w:lineRule="auto"/>
              <w:ind w:firstLine="0"/>
            </w:pPr>
            <w:r w:rsidRPr="004D46AC">
              <w:rPr>
                <w:color w:val="000000"/>
                <w:szCs w:val="21"/>
              </w:rPr>
              <w:t xml:space="preserve">0.42 </w:t>
            </w:r>
          </w:p>
        </w:tc>
      </w:tr>
      <w:tr w:rsidR="007075D9" w:rsidRPr="004D46AC" w14:paraId="5FC01EF3" w14:textId="77777777">
        <w:tc>
          <w:tcPr>
            <w:tcW w:w="1704" w:type="dxa"/>
            <w:vAlign w:val="center"/>
          </w:tcPr>
          <w:p w14:paraId="593EB0B0" w14:textId="77777777" w:rsidR="007075D9" w:rsidRPr="004D46AC" w:rsidRDefault="007075D9" w:rsidP="002C5F6E">
            <w:pPr>
              <w:spacing w:line="240" w:lineRule="auto"/>
              <w:ind w:firstLine="0"/>
            </w:pPr>
            <w:r w:rsidRPr="004D46AC">
              <w:rPr>
                <w:color w:val="000000"/>
              </w:rPr>
              <w:t>TR3--TR37</w:t>
            </w:r>
          </w:p>
        </w:tc>
        <w:tc>
          <w:tcPr>
            <w:tcW w:w="1704" w:type="dxa"/>
            <w:vAlign w:val="center"/>
          </w:tcPr>
          <w:p w14:paraId="550D3A69"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7786AC40"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048B18DA"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67451193" w14:textId="77777777" w:rsidR="007075D9" w:rsidRPr="004D46AC" w:rsidRDefault="007075D9" w:rsidP="002C5F6E">
            <w:pPr>
              <w:spacing w:line="240" w:lineRule="auto"/>
              <w:ind w:firstLine="0"/>
            </w:pPr>
            <w:r w:rsidRPr="004D46AC">
              <w:rPr>
                <w:color w:val="000000"/>
                <w:szCs w:val="21"/>
              </w:rPr>
              <w:t xml:space="preserve">0.33 </w:t>
            </w:r>
          </w:p>
        </w:tc>
      </w:tr>
      <w:tr w:rsidR="007075D9" w:rsidRPr="004D46AC" w14:paraId="16702EBF" w14:textId="77777777">
        <w:tc>
          <w:tcPr>
            <w:tcW w:w="1704" w:type="dxa"/>
            <w:vAlign w:val="center"/>
          </w:tcPr>
          <w:p w14:paraId="6870355A" w14:textId="77777777" w:rsidR="007075D9" w:rsidRPr="004D46AC" w:rsidRDefault="007075D9" w:rsidP="002C5F6E">
            <w:pPr>
              <w:spacing w:line="240" w:lineRule="auto"/>
              <w:ind w:firstLine="0"/>
            </w:pPr>
            <w:r w:rsidRPr="004D46AC">
              <w:rPr>
                <w:color w:val="000000"/>
              </w:rPr>
              <w:t>TR3--TR24</w:t>
            </w:r>
          </w:p>
        </w:tc>
        <w:tc>
          <w:tcPr>
            <w:tcW w:w="1704" w:type="dxa"/>
            <w:vAlign w:val="center"/>
          </w:tcPr>
          <w:p w14:paraId="33BBBF2C"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44A1D007"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0EB67C9B"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09D6F48B" w14:textId="77777777" w:rsidR="007075D9" w:rsidRPr="004D46AC" w:rsidRDefault="007075D9" w:rsidP="002C5F6E">
            <w:pPr>
              <w:spacing w:line="240" w:lineRule="auto"/>
              <w:ind w:firstLine="0"/>
            </w:pPr>
            <w:r w:rsidRPr="004D46AC">
              <w:rPr>
                <w:color w:val="000000"/>
                <w:szCs w:val="21"/>
              </w:rPr>
              <w:t xml:space="preserve">0.28 </w:t>
            </w:r>
          </w:p>
        </w:tc>
      </w:tr>
      <w:tr w:rsidR="007075D9" w:rsidRPr="004D46AC" w14:paraId="0EDE6948" w14:textId="77777777">
        <w:tc>
          <w:tcPr>
            <w:tcW w:w="1704" w:type="dxa"/>
            <w:vAlign w:val="center"/>
          </w:tcPr>
          <w:p w14:paraId="68BE1C57" w14:textId="77777777" w:rsidR="007075D9" w:rsidRPr="004D46AC" w:rsidRDefault="007075D9" w:rsidP="002C5F6E">
            <w:pPr>
              <w:spacing w:line="240" w:lineRule="auto"/>
              <w:ind w:firstLine="0"/>
            </w:pPr>
            <w:r w:rsidRPr="004D46AC">
              <w:rPr>
                <w:color w:val="000000"/>
              </w:rPr>
              <w:t>TR3--TR26</w:t>
            </w:r>
          </w:p>
        </w:tc>
        <w:tc>
          <w:tcPr>
            <w:tcW w:w="1704" w:type="dxa"/>
            <w:vAlign w:val="center"/>
          </w:tcPr>
          <w:p w14:paraId="60523655"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4CFB36F7"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5C7884A2"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16853211" w14:textId="77777777" w:rsidR="007075D9" w:rsidRPr="004D46AC" w:rsidRDefault="007075D9" w:rsidP="002C5F6E">
            <w:pPr>
              <w:spacing w:line="240" w:lineRule="auto"/>
              <w:ind w:firstLine="0"/>
            </w:pPr>
            <w:r w:rsidRPr="004D46AC">
              <w:rPr>
                <w:color w:val="000000"/>
                <w:szCs w:val="21"/>
              </w:rPr>
              <w:t xml:space="preserve">0.39 </w:t>
            </w:r>
          </w:p>
        </w:tc>
      </w:tr>
      <w:tr w:rsidR="007075D9" w:rsidRPr="004D46AC" w14:paraId="65BE48C8" w14:textId="77777777">
        <w:tc>
          <w:tcPr>
            <w:tcW w:w="1704" w:type="dxa"/>
            <w:vAlign w:val="center"/>
          </w:tcPr>
          <w:p w14:paraId="05799DFE" w14:textId="77777777" w:rsidR="007075D9" w:rsidRPr="004D46AC" w:rsidRDefault="007075D9" w:rsidP="002C5F6E">
            <w:pPr>
              <w:spacing w:line="240" w:lineRule="auto"/>
              <w:ind w:firstLine="0"/>
            </w:pPr>
            <w:r w:rsidRPr="004D46AC">
              <w:rPr>
                <w:color w:val="000000"/>
              </w:rPr>
              <w:t>TR26--TR6</w:t>
            </w:r>
          </w:p>
        </w:tc>
        <w:tc>
          <w:tcPr>
            <w:tcW w:w="1704" w:type="dxa"/>
            <w:vAlign w:val="center"/>
          </w:tcPr>
          <w:p w14:paraId="25AEBA8B"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3B3732D9"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4FA68C31"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435D1A14"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483872FC" w14:textId="77777777">
        <w:tc>
          <w:tcPr>
            <w:tcW w:w="1704" w:type="dxa"/>
            <w:vAlign w:val="center"/>
          </w:tcPr>
          <w:p w14:paraId="4FFB007D" w14:textId="77777777" w:rsidR="007075D9" w:rsidRPr="004D46AC" w:rsidRDefault="007075D9" w:rsidP="002C5F6E">
            <w:pPr>
              <w:spacing w:line="240" w:lineRule="auto"/>
              <w:ind w:firstLine="0"/>
            </w:pPr>
            <w:r w:rsidRPr="004D46AC">
              <w:rPr>
                <w:color w:val="000000"/>
              </w:rPr>
              <w:t>TR6--TR33</w:t>
            </w:r>
          </w:p>
        </w:tc>
        <w:tc>
          <w:tcPr>
            <w:tcW w:w="1704" w:type="dxa"/>
            <w:vAlign w:val="center"/>
          </w:tcPr>
          <w:p w14:paraId="6B4EA176"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429514D8"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6C4D6860"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70AA16C5" w14:textId="77777777" w:rsidR="007075D9" w:rsidRPr="004D46AC" w:rsidRDefault="007075D9" w:rsidP="002C5F6E">
            <w:pPr>
              <w:spacing w:line="240" w:lineRule="auto"/>
              <w:ind w:firstLine="0"/>
            </w:pPr>
            <w:r w:rsidRPr="004D46AC">
              <w:rPr>
                <w:color w:val="000000"/>
                <w:szCs w:val="21"/>
              </w:rPr>
              <w:t xml:space="preserve">0.36 </w:t>
            </w:r>
          </w:p>
        </w:tc>
      </w:tr>
      <w:tr w:rsidR="007075D9" w:rsidRPr="004D46AC" w14:paraId="1A4580AF" w14:textId="77777777">
        <w:tc>
          <w:tcPr>
            <w:tcW w:w="1704" w:type="dxa"/>
            <w:vAlign w:val="center"/>
          </w:tcPr>
          <w:p w14:paraId="38A00B48" w14:textId="77777777" w:rsidR="007075D9" w:rsidRPr="004D46AC" w:rsidRDefault="007075D9" w:rsidP="002C5F6E">
            <w:pPr>
              <w:spacing w:line="240" w:lineRule="auto"/>
              <w:ind w:firstLine="0"/>
            </w:pPr>
            <w:r w:rsidRPr="004D46AC">
              <w:rPr>
                <w:color w:val="000000"/>
              </w:rPr>
              <w:t>TR5--TR23</w:t>
            </w:r>
          </w:p>
        </w:tc>
        <w:tc>
          <w:tcPr>
            <w:tcW w:w="1704" w:type="dxa"/>
            <w:vAlign w:val="center"/>
          </w:tcPr>
          <w:p w14:paraId="6EDDABE9"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4918F2EB"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5D2C0327"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7C81CA94" w14:textId="77777777" w:rsidR="007075D9" w:rsidRPr="004D46AC" w:rsidRDefault="007075D9" w:rsidP="002C5F6E">
            <w:pPr>
              <w:spacing w:line="240" w:lineRule="auto"/>
              <w:ind w:firstLine="0"/>
            </w:pPr>
            <w:r w:rsidRPr="004D46AC">
              <w:rPr>
                <w:color w:val="000000"/>
                <w:szCs w:val="21"/>
              </w:rPr>
              <w:t xml:space="preserve">0.36 </w:t>
            </w:r>
          </w:p>
        </w:tc>
      </w:tr>
      <w:tr w:rsidR="007075D9" w:rsidRPr="004D46AC" w14:paraId="67E55B44" w14:textId="77777777">
        <w:tc>
          <w:tcPr>
            <w:tcW w:w="1704" w:type="dxa"/>
            <w:vAlign w:val="center"/>
          </w:tcPr>
          <w:p w14:paraId="77668938" w14:textId="77777777" w:rsidR="007075D9" w:rsidRPr="004D46AC" w:rsidRDefault="007075D9" w:rsidP="002C5F6E">
            <w:pPr>
              <w:spacing w:line="240" w:lineRule="auto"/>
              <w:ind w:firstLine="0"/>
            </w:pPr>
            <w:r w:rsidRPr="004D46AC">
              <w:rPr>
                <w:color w:val="000000"/>
              </w:rPr>
              <w:lastRenderedPageBreak/>
              <w:t>TR23--TR27</w:t>
            </w:r>
          </w:p>
        </w:tc>
        <w:tc>
          <w:tcPr>
            <w:tcW w:w="1704" w:type="dxa"/>
            <w:vAlign w:val="center"/>
          </w:tcPr>
          <w:p w14:paraId="33AB2CC5"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48E14C1F"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063210D7" w14:textId="77777777" w:rsidR="007075D9" w:rsidRPr="004D46AC" w:rsidRDefault="007075D9" w:rsidP="002C5F6E">
            <w:pPr>
              <w:spacing w:line="240" w:lineRule="auto"/>
              <w:ind w:firstLine="0"/>
            </w:pPr>
            <w:r w:rsidRPr="004D46AC">
              <w:rPr>
                <w:color w:val="000000"/>
                <w:szCs w:val="21"/>
              </w:rPr>
              <w:t xml:space="preserve">0.27 </w:t>
            </w:r>
          </w:p>
        </w:tc>
        <w:tc>
          <w:tcPr>
            <w:tcW w:w="1705" w:type="dxa"/>
            <w:vAlign w:val="center"/>
          </w:tcPr>
          <w:p w14:paraId="49BCB7D6" w14:textId="77777777" w:rsidR="007075D9" w:rsidRPr="004D46AC" w:rsidRDefault="007075D9" w:rsidP="002C5F6E">
            <w:pPr>
              <w:spacing w:line="240" w:lineRule="auto"/>
              <w:ind w:firstLine="0"/>
            </w:pPr>
            <w:r w:rsidRPr="004D46AC">
              <w:rPr>
                <w:color w:val="000000"/>
                <w:szCs w:val="21"/>
              </w:rPr>
              <w:t xml:space="preserve">0.45 </w:t>
            </w:r>
          </w:p>
        </w:tc>
      </w:tr>
      <w:tr w:rsidR="007075D9" w:rsidRPr="004D46AC" w14:paraId="22BEC58D" w14:textId="77777777">
        <w:tc>
          <w:tcPr>
            <w:tcW w:w="1704" w:type="dxa"/>
            <w:vAlign w:val="center"/>
          </w:tcPr>
          <w:p w14:paraId="64EB2754" w14:textId="77777777" w:rsidR="007075D9" w:rsidRPr="004D46AC" w:rsidRDefault="007075D9" w:rsidP="002C5F6E">
            <w:pPr>
              <w:spacing w:line="240" w:lineRule="auto"/>
              <w:ind w:firstLine="0"/>
            </w:pPr>
            <w:r w:rsidRPr="004D46AC">
              <w:rPr>
                <w:color w:val="000000"/>
              </w:rPr>
              <w:t>TR7--TR21</w:t>
            </w:r>
          </w:p>
        </w:tc>
        <w:tc>
          <w:tcPr>
            <w:tcW w:w="1704" w:type="dxa"/>
            <w:vAlign w:val="center"/>
          </w:tcPr>
          <w:p w14:paraId="2C50A360"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2C9855E5"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6B23F89F"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5E05E212"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35C037D8" w14:textId="77777777">
        <w:tc>
          <w:tcPr>
            <w:tcW w:w="1704" w:type="dxa"/>
            <w:vAlign w:val="center"/>
          </w:tcPr>
          <w:p w14:paraId="0BAD731D" w14:textId="77777777" w:rsidR="007075D9" w:rsidRPr="004D46AC" w:rsidRDefault="007075D9" w:rsidP="002C5F6E">
            <w:pPr>
              <w:spacing w:line="240" w:lineRule="auto"/>
              <w:ind w:firstLine="0"/>
            </w:pPr>
            <w:r w:rsidRPr="004D46AC">
              <w:rPr>
                <w:color w:val="000000"/>
              </w:rPr>
              <w:t>TR19--TR30</w:t>
            </w:r>
          </w:p>
        </w:tc>
        <w:tc>
          <w:tcPr>
            <w:tcW w:w="1704" w:type="dxa"/>
            <w:vAlign w:val="center"/>
          </w:tcPr>
          <w:p w14:paraId="1825DE8D"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7FD797D8"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0CE92465" w14:textId="77777777" w:rsidR="007075D9" w:rsidRPr="004D46AC" w:rsidRDefault="007075D9" w:rsidP="002C5F6E">
            <w:pPr>
              <w:spacing w:line="240" w:lineRule="auto"/>
              <w:ind w:firstLine="0"/>
            </w:pPr>
            <w:r w:rsidRPr="004D46AC">
              <w:rPr>
                <w:color w:val="000000"/>
                <w:szCs w:val="21"/>
              </w:rPr>
              <w:t xml:space="preserve">0.28 </w:t>
            </w:r>
          </w:p>
        </w:tc>
        <w:tc>
          <w:tcPr>
            <w:tcW w:w="1705" w:type="dxa"/>
            <w:vAlign w:val="center"/>
          </w:tcPr>
          <w:p w14:paraId="6725F1F5" w14:textId="77777777" w:rsidR="007075D9" w:rsidRPr="004D46AC" w:rsidRDefault="007075D9" w:rsidP="002C5F6E">
            <w:pPr>
              <w:spacing w:line="240" w:lineRule="auto"/>
              <w:ind w:firstLine="0"/>
            </w:pPr>
            <w:r w:rsidRPr="004D46AC">
              <w:rPr>
                <w:color w:val="000000"/>
                <w:szCs w:val="21"/>
              </w:rPr>
              <w:t xml:space="preserve">0.41 </w:t>
            </w:r>
          </w:p>
        </w:tc>
      </w:tr>
      <w:tr w:rsidR="007075D9" w:rsidRPr="004D46AC" w14:paraId="7A2DE7EF" w14:textId="77777777">
        <w:tc>
          <w:tcPr>
            <w:tcW w:w="1704" w:type="dxa"/>
            <w:vAlign w:val="center"/>
          </w:tcPr>
          <w:p w14:paraId="2A2B2C44" w14:textId="77777777" w:rsidR="007075D9" w:rsidRPr="004D46AC" w:rsidRDefault="007075D9" w:rsidP="002C5F6E">
            <w:pPr>
              <w:spacing w:line="240" w:lineRule="auto"/>
              <w:ind w:firstLine="0"/>
            </w:pPr>
            <w:r w:rsidRPr="004D46AC">
              <w:rPr>
                <w:color w:val="000000"/>
              </w:rPr>
              <w:t>TR13--TR25</w:t>
            </w:r>
          </w:p>
        </w:tc>
        <w:tc>
          <w:tcPr>
            <w:tcW w:w="1704" w:type="dxa"/>
            <w:vAlign w:val="center"/>
          </w:tcPr>
          <w:p w14:paraId="554DFB87"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2BB7472E"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31328116" w14:textId="77777777" w:rsidR="007075D9" w:rsidRPr="004D46AC" w:rsidRDefault="007075D9" w:rsidP="002C5F6E">
            <w:pPr>
              <w:spacing w:line="240" w:lineRule="auto"/>
              <w:ind w:firstLine="0"/>
            </w:pPr>
            <w:r w:rsidRPr="004D46AC">
              <w:rPr>
                <w:color w:val="000000"/>
                <w:szCs w:val="21"/>
              </w:rPr>
              <w:t xml:space="preserve">0.25 </w:t>
            </w:r>
          </w:p>
        </w:tc>
        <w:tc>
          <w:tcPr>
            <w:tcW w:w="1705" w:type="dxa"/>
            <w:vAlign w:val="center"/>
          </w:tcPr>
          <w:p w14:paraId="798EE681" w14:textId="77777777" w:rsidR="007075D9" w:rsidRPr="004D46AC" w:rsidRDefault="007075D9" w:rsidP="002C5F6E">
            <w:pPr>
              <w:spacing w:line="240" w:lineRule="auto"/>
              <w:ind w:firstLine="0"/>
            </w:pPr>
            <w:r w:rsidRPr="004D46AC">
              <w:rPr>
                <w:color w:val="000000"/>
                <w:szCs w:val="21"/>
              </w:rPr>
              <w:t xml:space="preserve">0.50 </w:t>
            </w:r>
          </w:p>
        </w:tc>
      </w:tr>
      <w:tr w:rsidR="007075D9" w:rsidRPr="004D46AC" w14:paraId="2D86A651" w14:textId="77777777">
        <w:tc>
          <w:tcPr>
            <w:tcW w:w="1704" w:type="dxa"/>
            <w:vAlign w:val="center"/>
          </w:tcPr>
          <w:p w14:paraId="4E27AC71" w14:textId="77777777" w:rsidR="007075D9" w:rsidRPr="004D46AC" w:rsidRDefault="007075D9" w:rsidP="002C5F6E">
            <w:pPr>
              <w:spacing w:line="240" w:lineRule="auto"/>
              <w:ind w:firstLine="0"/>
            </w:pPr>
            <w:r w:rsidRPr="004D46AC">
              <w:rPr>
                <w:color w:val="000000"/>
              </w:rPr>
              <w:t>TR19--TR13</w:t>
            </w:r>
          </w:p>
        </w:tc>
        <w:tc>
          <w:tcPr>
            <w:tcW w:w="1704" w:type="dxa"/>
            <w:vAlign w:val="center"/>
          </w:tcPr>
          <w:p w14:paraId="630F4530"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5BDE2FFB"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75E39F73"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3868F4DD" w14:textId="77777777" w:rsidR="007075D9" w:rsidRPr="004D46AC" w:rsidRDefault="007075D9" w:rsidP="002C5F6E">
            <w:pPr>
              <w:spacing w:line="240" w:lineRule="auto"/>
              <w:ind w:firstLine="0"/>
            </w:pPr>
            <w:r w:rsidRPr="004D46AC">
              <w:rPr>
                <w:color w:val="000000"/>
                <w:szCs w:val="21"/>
              </w:rPr>
              <w:t xml:space="preserve">0.39 </w:t>
            </w:r>
          </w:p>
        </w:tc>
      </w:tr>
      <w:tr w:rsidR="007075D9" w:rsidRPr="004D46AC" w14:paraId="7C785C60" w14:textId="77777777">
        <w:tc>
          <w:tcPr>
            <w:tcW w:w="1704" w:type="dxa"/>
            <w:vAlign w:val="center"/>
          </w:tcPr>
          <w:p w14:paraId="21A737B6" w14:textId="77777777" w:rsidR="007075D9" w:rsidRPr="004D46AC" w:rsidRDefault="007075D9" w:rsidP="002C5F6E">
            <w:pPr>
              <w:spacing w:line="240" w:lineRule="auto"/>
              <w:ind w:firstLine="0"/>
            </w:pPr>
            <w:r w:rsidRPr="004D46AC">
              <w:rPr>
                <w:color w:val="000000"/>
              </w:rPr>
              <w:t>TR29--TR22</w:t>
            </w:r>
          </w:p>
        </w:tc>
        <w:tc>
          <w:tcPr>
            <w:tcW w:w="1704" w:type="dxa"/>
            <w:vAlign w:val="center"/>
          </w:tcPr>
          <w:p w14:paraId="27110322"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52B1E3CD"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0D7D0F02" w14:textId="77777777" w:rsidR="007075D9" w:rsidRPr="004D46AC" w:rsidRDefault="007075D9" w:rsidP="002C5F6E">
            <w:pPr>
              <w:spacing w:line="240" w:lineRule="auto"/>
              <w:ind w:firstLine="0"/>
            </w:pPr>
            <w:r w:rsidRPr="004D46AC">
              <w:rPr>
                <w:color w:val="000000"/>
                <w:szCs w:val="21"/>
              </w:rPr>
              <w:t xml:space="preserve">0.27 </w:t>
            </w:r>
          </w:p>
        </w:tc>
        <w:tc>
          <w:tcPr>
            <w:tcW w:w="1705" w:type="dxa"/>
            <w:vAlign w:val="center"/>
          </w:tcPr>
          <w:p w14:paraId="11B589E9" w14:textId="77777777" w:rsidR="007075D9" w:rsidRPr="004D46AC" w:rsidRDefault="007075D9" w:rsidP="002C5F6E">
            <w:pPr>
              <w:spacing w:line="240" w:lineRule="auto"/>
              <w:ind w:firstLine="0"/>
            </w:pPr>
            <w:r w:rsidRPr="004D46AC">
              <w:rPr>
                <w:color w:val="000000"/>
                <w:szCs w:val="21"/>
              </w:rPr>
              <w:t xml:space="preserve">0.47 </w:t>
            </w:r>
          </w:p>
        </w:tc>
      </w:tr>
      <w:tr w:rsidR="007075D9" w:rsidRPr="004D46AC" w14:paraId="11ED5860" w14:textId="77777777">
        <w:tc>
          <w:tcPr>
            <w:tcW w:w="1704" w:type="dxa"/>
            <w:vAlign w:val="center"/>
          </w:tcPr>
          <w:p w14:paraId="307CB993" w14:textId="77777777" w:rsidR="007075D9" w:rsidRPr="004D46AC" w:rsidRDefault="007075D9" w:rsidP="002C5F6E">
            <w:pPr>
              <w:spacing w:line="240" w:lineRule="auto"/>
              <w:ind w:firstLine="0"/>
            </w:pPr>
            <w:r w:rsidRPr="004D46AC">
              <w:rPr>
                <w:color w:val="000000"/>
              </w:rPr>
              <w:t>TR17--TR13</w:t>
            </w:r>
          </w:p>
        </w:tc>
        <w:tc>
          <w:tcPr>
            <w:tcW w:w="1704" w:type="dxa"/>
            <w:vAlign w:val="center"/>
          </w:tcPr>
          <w:p w14:paraId="3BE8090E"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4FB030F5"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3552FCCC" w14:textId="77777777" w:rsidR="007075D9" w:rsidRPr="004D46AC" w:rsidRDefault="007075D9" w:rsidP="002C5F6E">
            <w:pPr>
              <w:spacing w:line="240" w:lineRule="auto"/>
              <w:ind w:firstLine="0"/>
            </w:pPr>
            <w:r w:rsidRPr="004D46AC">
              <w:rPr>
                <w:color w:val="000000"/>
                <w:szCs w:val="21"/>
              </w:rPr>
              <w:t xml:space="preserve">0.25 </w:t>
            </w:r>
          </w:p>
        </w:tc>
        <w:tc>
          <w:tcPr>
            <w:tcW w:w="1705" w:type="dxa"/>
            <w:vAlign w:val="center"/>
          </w:tcPr>
          <w:p w14:paraId="4BB8F720" w14:textId="77777777" w:rsidR="007075D9" w:rsidRPr="004D46AC" w:rsidRDefault="007075D9" w:rsidP="002C5F6E">
            <w:pPr>
              <w:spacing w:line="240" w:lineRule="auto"/>
              <w:ind w:firstLine="0"/>
            </w:pPr>
            <w:r w:rsidRPr="004D46AC">
              <w:rPr>
                <w:color w:val="000000"/>
                <w:szCs w:val="21"/>
              </w:rPr>
              <w:t xml:space="preserve">0.39 </w:t>
            </w:r>
          </w:p>
        </w:tc>
      </w:tr>
      <w:tr w:rsidR="007075D9" w:rsidRPr="004D46AC" w14:paraId="4F741356" w14:textId="77777777">
        <w:tc>
          <w:tcPr>
            <w:tcW w:w="1704" w:type="dxa"/>
            <w:vAlign w:val="center"/>
          </w:tcPr>
          <w:p w14:paraId="596414DE" w14:textId="77777777" w:rsidR="007075D9" w:rsidRPr="004D46AC" w:rsidRDefault="007075D9" w:rsidP="002C5F6E">
            <w:pPr>
              <w:spacing w:line="240" w:lineRule="auto"/>
              <w:ind w:firstLine="0"/>
            </w:pPr>
            <w:r w:rsidRPr="004D46AC">
              <w:rPr>
                <w:color w:val="000000"/>
              </w:rPr>
              <w:t>TR19--TR33</w:t>
            </w:r>
          </w:p>
        </w:tc>
        <w:tc>
          <w:tcPr>
            <w:tcW w:w="1704" w:type="dxa"/>
            <w:vAlign w:val="center"/>
          </w:tcPr>
          <w:p w14:paraId="6F81791D"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55104006"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6B7514FF" w14:textId="77777777" w:rsidR="007075D9" w:rsidRPr="004D46AC" w:rsidRDefault="007075D9" w:rsidP="002C5F6E">
            <w:pPr>
              <w:spacing w:line="240" w:lineRule="auto"/>
              <w:ind w:firstLine="0"/>
            </w:pPr>
            <w:r w:rsidRPr="004D46AC">
              <w:rPr>
                <w:color w:val="000000"/>
                <w:szCs w:val="21"/>
              </w:rPr>
              <w:t xml:space="preserve">0.25 </w:t>
            </w:r>
          </w:p>
        </w:tc>
        <w:tc>
          <w:tcPr>
            <w:tcW w:w="1705" w:type="dxa"/>
            <w:vAlign w:val="center"/>
          </w:tcPr>
          <w:p w14:paraId="05B36D48" w14:textId="77777777" w:rsidR="007075D9" w:rsidRPr="004D46AC" w:rsidRDefault="007075D9" w:rsidP="002C5F6E">
            <w:pPr>
              <w:spacing w:line="240" w:lineRule="auto"/>
              <w:ind w:firstLine="0"/>
            </w:pPr>
            <w:r w:rsidRPr="004D46AC">
              <w:rPr>
                <w:color w:val="000000"/>
                <w:szCs w:val="21"/>
              </w:rPr>
              <w:t xml:space="preserve">0.44 </w:t>
            </w:r>
          </w:p>
        </w:tc>
      </w:tr>
      <w:tr w:rsidR="007075D9" w:rsidRPr="004D46AC" w14:paraId="7325D744" w14:textId="77777777">
        <w:tc>
          <w:tcPr>
            <w:tcW w:w="1704" w:type="dxa"/>
            <w:vAlign w:val="center"/>
          </w:tcPr>
          <w:p w14:paraId="33169C37" w14:textId="77777777" w:rsidR="007075D9" w:rsidRPr="004D46AC" w:rsidRDefault="007075D9" w:rsidP="002C5F6E">
            <w:pPr>
              <w:spacing w:line="240" w:lineRule="auto"/>
              <w:ind w:firstLine="0"/>
            </w:pPr>
            <w:r w:rsidRPr="004D46AC">
              <w:rPr>
                <w:color w:val="000000"/>
              </w:rPr>
              <w:t>TR26--TR17</w:t>
            </w:r>
          </w:p>
        </w:tc>
        <w:tc>
          <w:tcPr>
            <w:tcW w:w="1704" w:type="dxa"/>
            <w:vAlign w:val="center"/>
          </w:tcPr>
          <w:p w14:paraId="0573B8E2"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438873D8"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64D0F2B8"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3EFC6119" w14:textId="77777777" w:rsidR="007075D9" w:rsidRPr="004D46AC" w:rsidRDefault="007075D9" w:rsidP="002C5F6E">
            <w:pPr>
              <w:spacing w:line="240" w:lineRule="auto"/>
              <w:ind w:firstLine="0"/>
            </w:pPr>
            <w:r w:rsidRPr="004D46AC">
              <w:rPr>
                <w:color w:val="000000"/>
                <w:szCs w:val="21"/>
              </w:rPr>
              <w:t xml:space="preserve">0.41 </w:t>
            </w:r>
          </w:p>
        </w:tc>
      </w:tr>
      <w:tr w:rsidR="007075D9" w:rsidRPr="004D46AC" w14:paraId="03662F14" w14:textId="77777777">
        <w:tc>
          <w:tcPr>
            <w:tcW w:w="1704" w:type="dxa"/>
            <w:vAlign w:val="center"/>
          </w:tcPr>
          <w:p w14:paraId="0DC04E15" w14:textId="77777777" w:rsidR="007075D9" w:rsidRPr="004D46AC" w:rsidRDefault="007075D9" w:rsidP="002C5F6E">
            <w:pPr>
              <w:spacing w:line="240" w:lineRule="auto"/>
              <w:ind w:firstLine="0"/>
            </w:pPr>
            <w:r w:rsidRPr="004D46AC">
              <w:rPr>
                <w:color w:val="000000"/>
              </w:rPr>
              <w:t>TR27--TR17</w:t>
            </w:r>
          </w:p>
        </w:tc>
        <w:tc>
          <w:tcPr>
            <w:tcW w:w="1704" w:type="dxa"/>
            <w:vAlign w:val="center"/>
          </w:tcPr>
          <w:p w14:paraId="25803134"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41EC6CDC"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26190D03" w14:textId="77777777" w:rsidR="007075D9" w:rsidRPr="004D46AC" w:rsidRDefault="007075D9" w:rsidP="002C5F6E">
            <w:pPr>
              <w:spacing w:line="240" w:lineRule="auto"/>
              <w:ind w:firstLine="0"/>
            </w:pPr>
            <w:r w:rsidRPr="004D46AC">
              <w:rPr>
                <w:color w:val="000000"/>
                <w:szCs w:val="21"/>
              </w:rPr>
              <w:t xml:space="preserve">0.25 </w:t>
            </w:r>
          </w:p>
        </w:tc>
        <w:tc>
          <w:tcPr>
            <w:tcW w:w="1705" w:type="dxa"/>
            <w:vAlign w:val="center"/>
          </w:tcPr>
          <w:p w14:paraId="2A1504CE" w14:textId="77777777" w:rsidR="007075D9" w:rsidRPr="004D46AC" w:rsidRDefault="007075D9" w:rsidP="002C5F6E">
            <w:pPr>
              <w:spacing w:line="240" w:lineRule="auto"/>
              <w:ind w:firstLine="0"/>
            </w:pPr>
            <w:r w:rsidRPr="004D46AC">
              <w:rPr>
                <w:color w:val="000000"/>
                <w:szCs w:val="21"/>
              </w:rPr>
              <w:t xml:space="preserve">0.42 </w:t>
            </w:r>
          </w:p>
        </w:tc>
      </w:tr>
      <w:tr w:rsidR="007075D9" w:rsidRPr="004D46AC" w14:paraId="264A608F" w14:textId="77777777">
        <w:tc>
          <w:tcPr>
            <w:tcW w:w="1704" w:type="dxa"/>
            <w:vAlign w:val="center"/>
          </w:tcPr>
          <w:p w14:paraId="0228B663" w14:textId="77777777" w:rsidR="007075D9" w:rsidRPr="004D46AC" w:rsidRDefault="007075D9" w:rsidP="002C5F6E">
            <w:pPr>
              <w:spacing w:line="240" w:lineRule="auto"/>
              <w:ind w:firstLine="0"/>
            </w:pPr>
            <w:r w:rsidRPr="004D46AC">
              <w:rPr>
                <w:color w:val="000000"/>
              </w:rPr>
              <w:t>TR18--TR16</w:t>
            </w:r>
          </w:p>
        </w:tc>
        <w:tc>
          <w:tcPr>
            <w:tcW w:w="1704" w:type="dxa"/>
            <w:vAlign w:val="center"/>
          </w:tcPr>
          <w:p w14:paraId="6EE99634" w14:textId="77777777" w:rsidR="007075D9" w:rsidRPr="004D46AC" w:rsidRDefault="007075D9" w:rsidP="002C5F6E">
            <w:pPr>
              <w:spacing w:line="240" w:lineRule="auto"/>
              <w:ind w:firstLine="0"/>
            </w:pPr>
            <w:r w:rsidRPr="004D46AC">
              <w:rPr>
                <w:color w:val="000000"/>
                <w:szCs w:val="21"/>
              </w:rPr>
              <w:t xml:space="preserve">0.06 </w:t>
            </w:r>
          </w:p>
        </w:tc>
        <w:tc>
          <w:tcPr>
            <w:tcW w:w="1704" w:type="dxa"/>
            <w:vAlign w:val="center"/>
          </w:tcPr>
          <w:p w14:paraId="12344979"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7AF365D2" w14:textId="77777777" w:rsidR="007075D9" w:rsidRPr="004D46AC" w:rsidRDefault="007075D9" w:rsidP="002C5F6E">
            <w:pPr>
              <w:spacing w:line="240" w:lineRule="auto"/>
              <w:ind w:firstLine="0"/>
            </w:pPr>
            <w:r w:rsidRPr="004D46AC">
              <w:rPr>
                <w:color w:val="000000"/>
                <w:szCs w:val="21"/>
              </w:rPr>
              <w:t xml:space="preserve">0.27 </w:t>
            </w:r>
          </w:p>
        </w:tc>
        <w:tc>
          <w:tcPr>
            <w:tcW w:w="1705" w:type="dxa"/>
            <w:vAlign w:val="center"/>
          </w:tcPr>
          <w:p w14:paraId="66961256" w14:textId="77777777" w:rsidR="007075D9" w:rsidRPr="004D46AC" w:rsidRDefault="007075D9" w:rsidP="002C5F6E">
            <w:pPr>
              <w:spacing w:line="240" w:lineRule="auto"/>
              <w:ind w:firstLine="0"/>
            </w:pPr>
            <w:r w:rsidRPr="004D46AC">
              <w:rPr>
                <w:color w:val="000000"/>
                <w:szCs w:val="21"/>
              </w:rPr>
              <w:t xml:space="preserve">0.55 </w:t>
            </w:r>
          </w:p>
        </w:tc>
      </w:tr>
      <w:tr w:rsidR="007075D9" w:rsidRPr="004D46AC" w14:paraId="644D3DF6" w14:textId="77777777">
        <w:tc>
          <w:tcPr>
            <w:tcW w:w="1704" w:type="dxa"/>
            <w:vAlign w:val="center"/>
          </w:tcPr>
          <w:p w14:paraId="0E671655" w14:textId="77777777" w:rsidR="007075D9" w:rsidRPr="004D46AC" w:rsidRDefault="007075D9" w:rsidP="002C5F6E">
            <w:pPr>
              <w:spacing w:line="240" w:lineRule="auto"/>
              <w:ind w:firstLine="0"/>
            </w:pPr>
            <w:r w:rsidRPr="004D46AC">
              <w:rPr>
                <w:color w:val="000000"/>
              </w:rPr>
              <w:t>TR5--TR33</w:t>
            </w:r>
          </w:p>
        </w:tc>
        <w:tc>
          <w:tcPr>
            <w:tcW w:w="1704" w:type="dxa"/>
            <w:vAlign w:val="center"/>
          </w:tcPr>
          <w:p w14:paraId="23D08031" w14:textId="77777777" w:rsidR="007075D9" w:rsidRPr="004D46AC" w:rsidRDefault="007075D9" w:rsidP="002C5F6E">
            <w:pPr>
              <w:spacing w:line="240" w:lineRule="auto"/>
              <w:ind w:firstLine="0"/>
            </w:pPr>
            <w:r w:rsidRPr="004D46AC">
              <w:rPr>
                <w:color w:val="000000"/>
                <w:szCs w:val="21"/>
              </w:rPr>
              <w:t xml:space="preserve">0.06 </w:t>
            </w:r>
          </w:p>
        </w:tc>
        <w:tc>
          <w:tcPr>
            <w:tcW w:w="1704" w:type="dxa"/>
            <w:vAlign w:val="center"/>
          </w:tcPr>
          <w:p w14:paraId="10D28BF4"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784FD34C" w14:textId="77777777" w:rsidR="007075D9" w:rsidRPr="004D46AC" w:rsidRDefault="007075D9" w:rsidP="002C5F6E">
            <w:pPr>
              <w:spacing w:line="240" w:lineRule="auto"/>
              <w:ind w:firstLine="0"/>
            </w:pPr>
            <w:r w:rsidRPr="004D46AC">
              <w:rPr>
                <w:color w:val="000000"/>
                <w:szCs w:val="21"/>
              </w:rPr>
              <w:t xml:space="preserve">0.28 </w:t>
            </w:r>
          </w:p>
        </w:tc>
        <w:tc>
          <w:tcPr>
            <w:tcW w:w="1705" w:type="dxa"/>
            <w:vAlign w:val="center"/>
          </w:tcPr>
          <w:p w14:paraId="296A0BA3" w14:textId="77777777" w:rsidR="007075D9" w:rsidRPr="004D46AC" w:rsidRDefault="007075D9" w:rsidP="002C5F6E">
            <w:pPr>
              <w:spacing w:line="240" w:lineRule="auto"/>
              <w:ind w:firstLine="0"/>
            </w:pPr>
            <w:r w:rsidRPr="004D46AC">
              <w:rPr>
                <w:color w:val="000000"/>
                <w:szCs w:val="21"/>
              </w:rPr>
              <w:t xml:space="preserve">0.60 </w:t>
            </w:r>
          </w:p>
        </w:tc>
      </w:tr>
      <w:tr w:rsidR="007075D9" w:rsidRPr="004D46AC" w14:paraId="1F402B5E" w14:textId="77777777">
        <w:tc>
          <w:tcPr>
            <w:tcW w:w="1704" w:type="dxa"/>
            <w:vAlign w:val="center"/>
          </w:tcPr>
          <w:p w14:paraId="024EE6BB" w14:textId="77777777" w:rsidR="007075D9" w:rsidRPr="004D46AC" w:rsidRDefault="007075D9" w:rsidP="002C5F6E">
            <w:pPr>
              <w:spacing w:line="240" w:lineRule="auto"/>
              <w:ind w:firstLine="0"/>
            </w:pPr>
            <w:r w:rsidRPr="004D46AC">
              <w:rPr>
                <w:color w:val="000000"/>
              </w:rPr>
              <w:t>TR7--TR26</w:t>
            </w:r>
          </w:p>
        </w:tc>
        <w:tc>
          <w:tcPr>
            <w:tcW w:w="1704" w:type="dxa"/>
            <w:vAlign w:val="center"/>
          </w:tcPr>
          <w:p w14:paraId="27F637AD" w14:textId="77777777" w:rsidR="007075D9" w:rsidRPr="004D46AC" w:rsidRDefault="007075D9" w:rsidP="002C5F6E">
            <w:pPr>
              <w:spacing w:line="240" w:lineRule="auto"/>
              <w:ind w:firstLine="0"/>
            </w:pPr>
            <w:r w:rsidRPr="004D46AC">
              <w:rPr>
                <w:color w:val="000000"/>
                <w:szCs w:val="21"/>
              </w:rPr>
              <w:t xml:space="preserve">0.05 </w:t>
            </w:r>
          </w:p>
        </w:tc>
        <w:tc>
          <w:tcPr>
            <w:tcW w:w="1704" w:type="dxa"/>
            <w:vAlign w:val="center"/>
          </w:tcPr>
          <w:p w14:paraId="2BC2B3FB"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677F5D47" w14:textId="77777777" w:rsidR="007075D9" w:rsidRPr="004D46AC" w:rsidRDefault="007075D9" w:rsidP="002C5F6E">
            <w:pPr>
              <w:spacing w:line="240" w:lineRule="auto"/>
              <w:ind w:firstLine="0"/>
            </w:pPr>
            <w:r w:rsidRPr="004D46AC">
              <w:rPr>
                <w:color w:val="000000"/>
                <w:szCs w:val="21"/>
              </w:rPr>
              <w:t xml:space="preserve">0.25 </w:t>
            </w:r>
          </w:p>
        </w:tc>
        <w:tc>
          <w:tcPr>
            <w:tcW w:w="1705" w:type="dxa"/>
            <w:vAlign w:val="center"/>
          </w:tcPr>
          <w:p w14:paraId="1C2A565F" w14:textId="77777777" w:rsidR="007075D9" w:rsidRPr="004D46AC" w:rsidRDefault="007075D9" w:rsidP="002C5F6E">
            <w:pPr>
              <w:spacing w:line="240" w:lineRule="auto"/>
              <w:ind w:firstLine="0"/>
            </w:pPr>
            <w:r w:rsidRPr="004D46AC">
              <w:rPr>
                <w:color w:val="000000"/>
                <w:szCs w:val="21"/>
              </w:rPr>
              <w:t xml:space="preserve">0.47 </w:t>
            </w:r>
          </w:p>
        </w:tc>
      </w:tr>
      <w:tr w:rsidR="007075D9" w:rsidRPr="004D46AC" w14:paraId="7FEEDAD7" w14:textId="77777777">
        <w:tc>
          <w:tcPr>
            <w:tcW w:w="1704" w:type="dxa"/>
            <w:vAlign w:val="center"/>
          </w:tcPr>
          <w:p w14:paraId="7BCC791B" w14:textId="77777777" w:rsidR="007075D9" w:rsidRPr="004D46AC" w:rsidRDefault="007075D9" w:rsidP="002C5F6E">
            <w:pPr>
              <w:spacing w:line="240" w:lineRule="auto"/>
              <w:ind w:firstLine="0"/>
            </w:pPr>
            <w:r w:rsidRPr="004D46AC">
              <w:rPr>
                <w:color w:val="000000"/>
              </w:rPr>
              <w:t>TR21--TR30</w:t>
            </w:r>
          </w:p>
        </w:tc>
        <w:tc>
          <w:tcPr>
            <w:tcW w:w="1704" w:type="dxa"/>
            <w:vAlign w:val="center"/>
          </w:tcPr>
          <w:p w14:paraId="6E4EF758" w14:textId="77777777" w:rsidR="007075D9" w:rsidRPr="004D46AC" w:rsidRDefault="007075D9" w:rsidP="002C5F6E">
            <w:pPr>
              <w:spacing w:line="240" w:lineRule="auto"/>
              <w:ind w:firstLine="0"/>
            </w:pPr>
            <w:r w:rsidRPr="004D46AC">
              <w:rPr>
                <w:color w:val="000000"/>
                <w:szCs w:val="21"/>
              </w:rPr>
              <w:t xml:space="preserve">0.05 </w:t>
            </w:r>
          </w:p>
        </w:tc>
        <w:tc>
          <w:tcPr>
            <w:tcW w:w="1704" w:type="dxa"/>
            <w:vAlign w:val="center"/>
          </w:tcPr>
          <w:p w14:paraId="6673D298"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0462F327" w14:textId="77777777" w:rsidR="007075D9" w:rsidRPr="004D46AC" w:rsidRDefault="007075D9" w:rsidP="002C5F6E">
            <w:pPr>
              <w:spacing w:line="240" w:lineRule="auto"/>
              <w:ind w:firstLine="0"/>
            </w:pPr>
            <w:r w:rsidRPr="004D46AC">
              <w:rPr>
                <w:color w:val="000000"/>
                <w:szCs w:val="21"/>
              </w:rPr>
              <w:t xml:space="preserve">0.23 </w:t>
            </w:r>
          </w:p>
        </w:tc>
        <w:tc>
          <w:tcPr>
            <w:tcW w:w="1705" w:type="dxa"/>
            <w:vAlign w:val="center"/>
          </w:tcPr>
          <w:p w14:paraId="6316E227" w14:textId="77777777" w:rsidR="007075D9" w:rsidRPr="004D46AC" w:rsidRDefault="007075D9" w:rsidP="002C5F6E">
            <w:pPr>
              <w:spacing w:line="240" w:lineRule="auto"/>
              <w:ind w:firstLine="0"/>
            </w:pPr>
            <w:r w:rsidRPr="004D46AC">
              <w:rPr>
                <w:color w:val="000000"/>
                <w:szCs w:val="21"/>
              </w:rPr>
              <w:t xml:space="preserve">0.48 </w:t>
            </w:r>
          </w:p>
        </w:tc>
      </w:tr>
      <w:tr w:rsidR="007075D9" w:rsidRPr="004D46AC" w14:paraId="76FD3305" w14:textId="77777777">
        <w:tc>
          <w:tcPr>
            <w:tcW w:w="1704" w:type="dxa"/>
            <w:vAlign w:val="center"/>
          </w:tcPr>
          <w:p w14:paraId="094E60CC" w14:textId="77777777" w:rsidR="007075D9" w:rsidRPr="004D46AC" w:rsidRDefault="007075D9" w:rsidP="002C5F6E">
            <w:pPr>
              <w:spacing w:line="240" w:lineRule="auto"/>
              <w:ind w:firstLine="0"/>
            </w:pPr>
            <w:r w:rsidRPr="004D46AC">
              <w:rPr>
                <w:color w:val="000000"/>
              </w:rPr>
              <w:t>TR30--TR13</w:t>
            </w:r>
          </w:p>
        </w:tc>
        <w:tc>
          <w:tcPr>
            <w:tcW w:w="1704" w:type="dxa"/>
            <w:vAlign w:val="center"/>
          </w:tcPr>
          <w:p w14:paraId="1EE41ACC" w14:textId="77777777" w:rsidR="007075D9" w:rsidRPr="004D46AC" w:rsidRDefault="007075D9" w:rsidP="002C5F6E">
            <w:pPr>
              <w:spacing w:line="240" w:lineRule="auto"/>
              <w:ind w:firstLine="0"/>
            </w:pPr>
            <w:r w:rsidRPr="004D46AC">
              <w:rPr>
                <w:color w:val="000000"/>
                <w:szCs w:val="21"/>
              </w:rPr>
              <w:t xml:space="preserve">0.05 </w:t>
            </w:r>
          </w:p>
        </w:tc>
        <w:tc>
          <w:tcPr>
            <w:tcW w:w="1704" w:type="dxa"/>
            <w:vAlign w:val="center"/>
          </w:tcPr>
          <w:p w14:paraId="2FE4CFCA"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78043D64" w14:textId="77777777" w:rsidR="007075D9" w:rsidRPr="004D46AC" w:rsidRDefault="007075D9" w:rsidP="002C5F6E">
            <w:pPr>
              <w:spacing w:line="240" w:lineRule="auto"/>
              <w:ind w:firstLine="0"/>
            </w:pPr>
            <w:r w:rsidRPr="004D46AC">
              <w:rPr>
                <w:color w:val="000000"/>
                <w:szCs w:val="21"/>
              </w:rPr>
              <w:t xml:space="preserve">0.22 </w:t>
            </w:r>
          </w:p>
        </w:tc>
        <w:tc>
          <w:tcPr>
            <w:tcW w:w="1705" w:type="dxa"/>
            <w:vAlign w:val="center"/>
          </w:tcPr>
          <w:p w14:paraId="55B40A55" w14:textId="77777777" w:rsidR="007075D9" w:rsidRPr="004D46AC" w:rsidRDefault="007075D9" w:rsidP="002C5F6E">
            <w:pPr>
              <w:spacing w:line="240" w:lineRule="auto"/>
              <w:ind w:firstLine="0"/>
            </w:pPr>
            <w:r w:rsidRPr="004D46AC">
              <w:rPr>
                <w:color w:val="000000"/>
                <w:szCs w:val="21"/>
              </w:rPr>
              <w:t xml:space="preserve">0.55 </w:t>
            </w:r>
          </w:p>
        </w:tc>
      </w:tr>
      <w:tr w:rsidR="007075D9" w:rsidRPr="004D46AC" w14:paraId="2353B537" w14:textId="77777777">
        <w:tc>
          <w:tcPr>
            <w:tcW w:w="1704" w:type="dxa"/>
            <w:vAlign w:val="center"/>
          </w:tcPr>
          <w:p w14:paraId="6A9B4658" w14:textId="77777777" w:rsidR="007075D9" w:rsidRPr="004D46AC" w:rsidRDefault="007075D9" w:rsidP="002C5F6E">
            <w:pPr>
              <w:spacing w:line="240" w:lineRule="auto"/>
              <w:ind w:firstLine="0"/>
            </w:pPr>
            <w:r w:rsidRPr="004D46AC">
              <w:rPr>
                <w:color w:val="000000"/>
              </w:rPr>
              <w:t>TR9--TR33</w:t>
            </w:r>
          </w:p>
        </w:tc>
        <w:tc>
          <w:tcPr>
            <w:tcW w:w="1704" w:type="dxa"/>
            <w:vAlign w:val="center"/>
          </w:tcPr>
          <w:p w14:paraId="61E67DCD" w14:textId="77777777" w:rsidR="007075D9" w:rsidRPr="004D46AC" w:rsidRDefault="007075D9" w:rsidP="002C5F6E">
            <w:pPr>
              <w:spacing w:line="240" w:lineRule="auto"/>
              <w:ind w:firstLine="0"/>
            </w:pPr>
            <w:r w:rsidRPr="004D46AC">
              <w:rPr>
                <w:color w:val="000000"/>
                <w:szCs w:val="21"/>
              </w:rPr>
              <w:t xml:space="preserve">0.04 </w:t>
            </w:r>
          </w:p>
        </w:tc>
        <w:tc>
          <w:tcPr>
            <w:tcW w:w="1704" w:type="dxa"/>
            <w:vAlign w:val="center"/>
          </w:tcPr>
          <w:p w14:paraId="62750786"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3EAE88A8" w14:textId="77777777" w:rsidR="007075D9" w:rsidRPr="004D46AC" w:rsidRDefault="007075D9" w:rsidP="002C5F6E">
            <w:pPr>
              <w:spacing w:line="240" w:lineRule="auto"/>
              <w:ind w:firstLine="0"/>
            </w:pPr>
            <w:r w:rsidRPr="004D46AC">
              <w:rPr>
                <w:color w:val="000000"/>
                <w:szCs w:val="21"/>
              </w:rPr>
              <w:t xml:space="preserve">0.22 </w:t>
            </w:r>
          </w:p>
        </w:tc>
        <w:tc>
          <w:tcPr>
            <w:tcW w:w="1705" w:type="dxa"/>
            <w:vAlign w:val="center"/>
          </w:tcPr>
          <w:p w14:paraId="48BD5ADD" w14:textId="77777777" w:rsidR="007075D9" w:rsidRPr="004D46AC" w:rsidRDefault="007075D9" w:rsidP="002C5F6E">
            <w:pPr>
              <w:spacing w:line="240" w:lineRule="auto"/>
              <w:ind w:firstLine="0"/>
            </w:pPr>
            <w:r w:rsidRPr="004D46AC">
              <w:rPr>
                <w:color w:val="000000"/>
                <w:szCs w:val="21"/>
              </w:rPr>
              <w:t xml:space="preserve">0.47 </w:t>
            </w:r>
          </w:p>
        </w:tc>
      </w:tr>
      <w:tr w:rsidR="007075D9" w:rsidRPr="004D46AC" w14:paraId="23D7BC3B" w14:textId="77777777">
        <w:tc>
          <w:tcPr>
            <w:tcW w:w="1704" w:type="dxa"/>
            <w:vAlign w:val="center"/>
          </w:tcPr>
          <w:p w14:paraId="5D5BCC28" w14:textId="77777777" w:rsidR="007075D9" w:rsidRPr="004D46AC" w:rsidRDefault="007075D9" w:rsidP="002C5F6E">
            <w:pPr>
              <w:spacing w:line="240" w:lineRule="auto"/>
              <w:ind w:firstLine="0"/>
            </w:pPr>
            <w:r w:rsidRPr="004D46AC">
              <w:rPr>
                <w:color w:val="000000"/>
              </w:rPr>
              <w:t>TR19--TR17</w:t>
            </w:r>
          </w:p>
        </w:tc>
        <w:tc>
          <w:tcPr>
            <w:tcW w:w="1704" w:type="dxa"/>
            <w:vAlign w:val="center"/>
          </w:tcPr>
          <w:p w14:paraId="25B3F7D2" w14:textId="77777777" w:rsidR="007075D9" w:rsidRPr="004D46AC" w:rsidRDefault="007075D9" w:rsidP="002C5F6E">
            <w:pPr>
              <w:spacing w:line="240" w:lineRule="auto"/>
              <w:ind w:firstLine="0"/>
            </w:pPr>
            <w:r w:rsidRPr="004D46AC">
              <w:rPr>
                <w:color w:val="000000"/>
                <w:szCs w:val="21"/>
              </w:rPr>
              <w:t xml:space="preserve">0.04 </w:t>
            </w:r>
          </w:p>
        </w:tc>
        <w:tc>
          <w:tcPr>
            <w:tcW w:w="1704" w:type="dxa"/>
            <w:vAlign w:val="center"/>
          </w:tcPr>
          <w:p w14:paraId="0436EC3D"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4A11956F"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1F9EA2C9" w14:textId="77777777" w:rsidR="007075D9" w:rsidRPr="004D46AC" w:rsidRDefault="007075D9" w:rsidP="002C5F6E">
            <w:pPr>
              <w:spacing w:line="240" w:lineRule="auto"/>
              <w:ind w:firstLine="0"/>
            </w:pPr>
            <w:r w:rsidRPr="004D46AC">
              <w:rPr>
                <w:color w:val="000000"/>
                <w:szCs w:val="21"/>
              </w:rPr>
              <w:t xml:space="preserve">0.49 </w:t>
            </w:r>
          </w:p>
        </w:tc>
      </w:tr>
      <w:tr w:rsidR="007075D9" w:rsidRPr="004D46AC" w14:paraId="310AB116" w14:textId="77777777">
        <w:tc>
          <w:tcPr>
            <w:tcW w:w="1704" w:type="dxa"/>
            <w:vAlign w:val="center"/>
          </w:tcPr>
          <w:p w14:paraId="265CFAA7" w14:textId="77777777" w:rsidR="007075D9" w:rsidRPr="004D46AC" w:rsidRDefault="007075D9" w:rsidP="002C5F6E">
            <w:pPr>
              <w:spacing w:line="240" w:lineRule="auto"/>
              <w:ind w:firstLine="0"/>
            </w:pPr>
            <w:r w:rsidRPr="004D46AC">
              <w:rPr>
                <w:color w:val="000000"/>
              </w:rPr>
              <w:t>TR24--TR33</w:t>
            </w:r>
          </w:p>
        </w:tc>
        <w:tc>
          <w:tcPr>
            <w:tcW w:w="1704" w:type="dxa"/>
            <w:vAlign w:val="center"/>
          </w:tcPr>
          <w:p w14:paraId="58089CA0" w14:textId="77777777" w:rsidR="007075D9" w:rsidRPr="004D46AC" w:rsidRDefault="007075D9" w:rsidP="002C5F6E">
            <w:pPr>
              <w:spacing w:line="240" w:lineRule="auto"/>
              <w:ind w:firstLine="0"/>
            </w:pPr>
            <w:r w:rsidRPr="004D46AC">
              <w:rPr>
                <w:color w:val="000000"/>
                <w:szCs w:val="21"/>
              </w:rPr>
              <w:t xml:space="preserve">0.03 </w:t>
            </w:r>
          </w:p>
        </w:tc>
        <w:tc>
          <w:tcPr>
            <w:tcW w:w="1704" w:type="dxa"/>
            <w:vAlign w:val="center"/>
          </w:tcPr>
          <w:p w14:paraId="5D6D9CA9"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511FE6DF" w14:textId="77777777" w:rsidR="007075D9" w:rsidRPr="004D46AC" w:rsidRDefault="007075D9" w:rsidP="002C5F6E">
            <w:pPr>
              <w:spacing w:line="240" w:lineRule="auto"/>
              <w:ind w:firstLine="0"/>
            </w:pPr>
            <w:r w:rsidRPr="004D46AC">
              <w:rPr>
                <w:color w:val="000000"/>
                <w:szCs w:val="21"/>
              </w:rPr>
              <w:t xml:space="preserve">0.21 </w:t>
            </w:r>
          </w:p>
        </w:tc>
        <w:tc>
          <w:tcPr>
            <w:tcW w:w="1705" w:type="dxa"/>
            <w:vAlign w:val="center"/>
          </w:tcPr>
          <w:p w14:paraId="4FE8CCEE" w14:textId="77777777" w:rsidR="007075D9" w:rsidRPr="004D46AC" w:rsidRDefault="007075D9" w:rsidP="002C5F6E">
            <w:pPr>
              <w:spacing w:line="240" w:lineRule="auto"/>
              <w:ind w:firstLine="0"/>
            </w:pPr>
            <w:r w:rsidRPr="004D46AC">
              <w:rPr>
                <w:color w:val="000000"/>
                <w:szCs w:val="21"/>
              </w:rPr>
              <w:t xml:space="preserve">0.59 </w:t>
            </w:r>
          </w:p>
        </w:tc>
      </w:tr>
      <w:tr w:rsidR="007075D9" w:rsidRPr="004D46AC" w14:paraId="2CB55ECC" w14:textId="77777777">
        <w:tc>
          <w:tcPr>
            <w:tcW w:w="1704" w:type="dxa"/>
            <w:vAlign w:val="center"/>
          </w:tcPr>
          <w:p w14:paraId="02385EAE" w14:textId="77777777" w:rsidR="007075D9" w:rsidRPr="004D46AC" w:rsidRDefault="007075D9" w:rsidP="002C5F6E">
            <w:pPr>
              <w:spacing w:line="240" w:lineRule="auto"/>
              <w:ind w:firstLine="0"/>
            </w:pPr>
            <w:r w:rsidRPr="004D46AC">
              <w:rPr>
                <w:color w:val="000000"/>
              </w:rPr>
              <w:t>TR12--TR34</w:t>
            </w:r>
          </w:p>
        </w:tc>
        <w:tc>
          <w:tcPr>
            <w:tcW w:w="1704" w:type="dxa"/>
            <w:vAlign w:val="center"/>
          </w:tcPr>
          <w:p w14:paraId="4794E9D7" w14:textId="77777777" w:rsidR="007075D9" w:rsidRPr="004D46AC" w:rsidRDefault="007075D9" w:rsidP="002C5F6E">
            <w:pPr>
              <w:spacing w:line="240" w:lineRule="auto"/>
              <w:ind w:firstLine="0"/>
            </w:pPr>
            <w:r w:rsidRPr="004D46AC">
              <w:rPr>
                <w:color w:val="000000"/>
                <w:szCs w:val="21"/>
              </w:rPr>
              <w:t xml:space="preserve">0.03 </w:t>
            </w:r>
          </w:p>
        </w:tc>
        <w:tc>
          <w:tcPr>
            <w:tcW w:w="1704" w:type="dxa"/>
            <w:vAlign w:val="center"/>
          </w:tcPr>
          <w:p w14:paraId="36DBB287"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255CB239"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702DEBA0" w14:textId="77777777" w:rsidR="007075D9" w:rsidRPr="004D46AC" w:rsidRDefault="007075D9" w:rsidP="002C5F6E">
            <w:pPr>
              <w:spacing w:line="240" w:lineRule="auto"/>
              <w:ind w:firstLine="0"/>
            </w:pPr>
            <w:r w:rsidRPr="004D46AC">
              <w:rPr>
                <w:color w:val="000000"/>
                <w:szCs w:val="21"/>
              </w:rPr>
              <w:t xml:space="preserve">0.59 </w:t>
            </w:r>
          </w:p>
        </w:tc>
      </w:tr>
      <w:tr w:rsidR="007075D9" w:rsidRPr="004D46AC" w14:paraId="53ABCCB9" w14:textId="77777777">
        <w:tc>
          <w:tcPr>
            <w:tcW w:w="1704" w:type="dxa"/>
            <w:vAlign w:val="center"/>
          </w:tcPr>
          <w:p w14:paraId="450293BF" w14:textId="77777777" w:rsidR="007075D9" w:rsidRPr="004D46AC" w:rsidRDefault="007075D9" w:rsidP="002C5F6E">
            <w:pPr>
              <w:spacing w:line="240" w:lineRule="auto"/>
              <w:ind w:firstLine="0"/>
            </w:pPr>
            <w:r w:rsidRPr="004D46AC">
              <w:rPr>
                <w:color w:val="000000"/>
              </w:rPr>
              <w:t>TR12--TR22</w:t>
            </w:r>
          </w:p>
        </w:tc>
        <w:tc>
          <w:tcPr>
            <w:tcW w:w="1704" w:type="dxa"/>
            <w:vAlign w:val="center"/>
          </w:tcPr>
          <w:p w14:paraId="0EEAE5D9"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6480790A"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2FB07237"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1F1A6BF1" w14:textId="77777777" w:rsidR="007075D9" w:rsidRPr="004D46AC" w:rsidRDefault="007075D9" w:rsidP="002C5F6E">
            <w:pPr>
              <w:spacing w:line="240" w:lineRule="auto"/>
              <w:ind w:firstLine="0"/>
            </w:pPr>
            <w:r w:rsidRPr="004D46AC">
              <w:rPr>
                <w:color w:val="000000"/>
                <w:szCs w:val="21"/>
              </w:rPr>
              <w:t xml:space="preserve">0.30 </w:t>
            </w:r>
          </w:p>
        </w:tc>
      </w:tr>
      <w:tr w:rsidR="007075D9" w:rsidRPr="004D46AC" w14:paraId="6A638D3A" w14:textId="77777777">
        <w:tc>
          <w:tcPr>
            <w:tcW w:w="1704" w:type="dxa"/>
            <w:vAlign w:val="center"/>
          </w:tcPr>
          <w:p w14:paraId="00D9BCB0" w14:textId="77777777" w:rsidR="007075D9" w:rsidRPr="004D46AC" w:rsidRDefault="007075D9" w:rsidP="002C5F6E">
            <w:pPr>
              <w:spacing w:line="240" w:lineRule="auto"/>
              <w:ind w:firstLine="0"/>
            </w:pPr>
            <w:r w:rsidRPr="004D46AC">
              <w:rPr>
                <w:color w:val="000000"/>
              </w:rPr>
              <w:t>TR15--TR16</w:t>
            </w:r>
          </w:p>
        </w:tc>
        <w:tc>
          <w:tcPr>
            <w:tcW w:w="1704" w:type="dxa"/>
            <w:vAlign w:val="center"/>
          </w:tcPr>
          <w:p w14:paraId="3C28597F"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72FE2165"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1A541734"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270AF4F1" w14:textId="77777777" w:rsidR="007075D9" w:rsidRPr="004D46AC" w:rsidRDefault="007075D9" w:rsidP="002C5F6E">
            <w:pPr>
              <w:spacing w:line="240" w:lineRule="auto"/>
              <w:ind w:firstLine="0"/>
            </w:pPr>
            <w:r w:rsidRPr="004D46AC">
              <w:rPr>
                <w:color w:val="000000"/>
                <w:szCs w:val="21"/>
              </w:rPr>
              <w:t xml:space="preserve">0.33 </w:t>
            </w:r>
          </w:p>
        </w:tc>
      </w:tr>
      <w:tr w:rsidR="007075D9" w:rsidRPr="004D46AC" w14:paraId="0A7097D3" w14:textId="77777777">
        <w:tc>
          <w:tcPr>
            <w:tcW w:w="1704" w:type="dxa"/>
            <w:vAlign w:val="center"/>
          </w:tcPr>
          <w:p w14:paraId="082DD572" w14:textId="77777777" w:rsidR="007075D9" w:rsidRPr="004D46AC" w:rsidRDefault="007075D9" w:rsidP="002C5F6E">
            <w:pPr>
              <w:spacing w:line="240" w:lineRule="auto"/>
              <w:ind w:firstLine="0"/>
            </w:pPr>
            <w:r w:rsidRPr="004D46AC">
              <w:rPr>
                <w:color w:val="000000"/>
              </w:rPr>
              <w:t>TR12--TR25</w:t>
            </w:r>
          </w:p>
        </w:tc>
        <w:tc>
          <w:tcPr>
            <w:tcW w:w="1704" w:type="dxa"/>
            <w:vAlign w:val="center"/>
          </w:tcPr>
          <w:p w14:paraId="6162350D"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0F9A2E3C"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28EC669A" w14:textId="77777777" w:rsidR="007075D9" w:rsidRPr="004D46AC" w:rsidRDefault="007075D9" w:rsidP="002C5F6E">
            <w:pPr>
              <w:spacing w:line="240" w:lineRule="auto"/>
              <w:ind w:firstLine="0"/>
            </w:pPr>
            <w:r w:rsidRPr="004D46AC">
              <w:rPr>
                <w:color w:val="000000"/>
                <w:szCs w:val="21"/>
              </w:rPr>
              <w:t xml:space="preserve">-0.21 </w:t>
            </w:r>
          </w:p>
        </w:tc>
        <w:tc>
          <w:tcPr>
            <w:tcW w:w="1705" w:type="dxa"/>
            <w:vAlign w:val="center"/>
          </w:tcPr>
          <w:p w14:paraId="1028DB45"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27ECB345" w14:textId="77777777">
        <w:tc>
          <w:tcPr>
            <w:tcW w:w="1704" w:type="dxa"/>
            <w:vAlign w:val="center"/>
          </w:tcPr>
          <w:p w14:paraId="1C7D1E25" w14:textId="77777777" w:rsidR="007075D9" w:rsidRPr="004D46AC" w:rsidRDefault="007075D9" w:rsidP="002C5F6E">
            <w:pPr>
              <w:spacing w:line="240" w:lineRule="auto"/>
              <w:ind w:firstLine="0"/>
            </w:pPr>
            <w:r w:rsidRPr="004D46AC">
              <w:rPr>
                <w:color w:val="000000"/>
              </w:rPr>
              <w:t>TR12--TR14</w:t>
            </w:r>
          </w:p>
        </w:tc>
        <w:tc>
          <w:tcPr>
            <w:tcW w:w="1704" w:type="dxa"/>
            <w:vAlign w:val="center"/>
          </w:tcPr>
          <w:p w14:paraId="06FA3687"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480A9EA7" w14:textId="77777777" w:rsidR="007075D9" w:rsidRPr="004D46AC" w:rsidRDefault="007075D9" w:rsidP="002C5F6E">
            <w:pPr>
              <w:spacing w:line="240" w:lineRule="auto"/>
              <w:ind w:firstLine="0"/>
            </w:pPr>
            <w:r w:rsidRPr="004D46AC">
              <w:rPr>
                <w:color w:val="000000"/>
                <w:szCs w:val="21"/>
              </w:rPr>
              <w:t xml:space="preserve">-0.67 </w:t>
            </w:r>
          </w:p>
        </w:tc>
        <w:tc>
          <w:tcPr>
            <w:tcW w:w="1705" w:type="dxa"/>
            <w:vAlign w:val="center"/>
          </w:tcPr>
          <w:p w14:paraId="5A753CB1"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5EA62BD7"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EF234AB" w14:textId="77777777">
        <w:tc>
          <w:tcPr>
            <w:tcW w:w="1704" w:type="dxa"/>
            <w:vAlign w:val="center"/>
          </w:tcPr>
          <w:p w14:paraId="3EA62194" w14:textId="77777777" w:rsidR="007075D9" w:rsidRPr="004D46AC" w:rsidRDefault="007075D9" w:rsidP="002C5F6E">
            <w:pPr>
              <w:spacing w:line="240" w:lineRule="auto"/>
              <w:ind w:firstLine="0"/>
            </w:pPr>
            <w:r w:rsidRPr="004D46AC">
              <w:rPr>
                <w:color w:val="000000"/>
              </w:rPr>
              <w:t>TR12--TR16</w:t>
            </w:r>
          </w:p>
        </w:tc>
        <w:tc>
          <w:tcPr>
            <w:tcW w:w="1704" w:type="dxa"/>
            <w:vAlign w:val="center"/>
          </w:tcPr>
          <w:p w14:paraId="0662F77F" w14:textId="77777777" w:rsidR="007075D9" w:rsidRPr="004D46AC" w:rsidRDefault="007075D9" w:rsidP="002C5F6E">
            <w:pPr>
              <w:spacing w:line="240" w:lineRule="auto"/>
              <w:ind w:firstLine="0"/>
            </w:pPr>
            <w:r w:rsidRPr="004D46AC">
              <w:rPr>
                <w:color w:val="000000"/>
                <w:szCs w:val="21"/>
              </w:rPr>
              <w:t xml:space="preserve">-0.45 </w:t>
            </w:r>
          </w:p>
        </w:tc>
        <w:tc>
          <w:tcPr>
            <w:tcW w:w="1704" w:type="dxa"/>
            <w:vAlign w:val="center"/>
          </w:tcPr>
          <w:p w14:paraId="1DBD769D"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087C36B6" w14:textId="77777777" w:rsidR="007075D9" w:rsidRPr="004D46AC" w:rsidRDefault="007075D9" w:rsidP="002C5F6E">
            <w:pPr>
              <w:spacing w:line="240" w:lineRule="auto"/>
              <w:ind w:firstLine="0"/>
            </w:pPr>
            <w:r w:rsidRPr="004D46AC">
              <w:rPr>
                <w:color w:val="000000"/>
                <w:szCs w:val="21"/>
              </w:rPr>
              <w:t xml:space="preserve">-0.23 </w:t>
            </w:r>
          </w:p>
        </w:tc>
        <w:tc>
          <w:tcPr>
            <w:tcW w:w="1705" w:type="dxa"/>
            <w:vAlign w:val="center"/>
          </w:tcPr>
          <w:p w14:paraId="204B9725" w14:textId="77777777" w:rsidR="007075D9" w:rsidRPr="004D46AC" w:rsidRDefault="007075D9" w:rsidP="002C5F6E">
            <w:pPr>
              <w:spacing w:line="240" w:lineRule="auto"/>
              <w:ind w:firstLine="0"/>
            </w:pPr>
            <w:r w:rsidRPr="004D46AC">
              <w:rPr>
                <w:color w:val="000000"/>
                <w:szCs w:val="21"/>
              </w:rPr>
              <w:t xml:space="preserve">0.00 </w:t>
            </w:r>
          </w:p>
        </w:tc>
      </w:tr>
    </w:tbl>
    <w:p w14:paraId="7CDB4FDF" w14:textId="77777777" w:rsidR="007075D9" w:rsidRPr="004D46AC" w:rsidRDefault="007075D9" w:rsidP="002C5F6E">
      <w:pPr>
        <w:spacing w:line="240" w:lineRule="auto"/>
        <w:ind w:firstLine="0"/>
      </w:pPr>
      <w:r w:rsidRPr="004D46AC">
        <w:rPr>
          <w:i/>
          <w:iCs/>
        </w:rPr>
        <w:t>Note</w:t>
      </w:r>
      <w:r w:rsidRPr="004D46AC">
        <w:t>. Bootstrapped edge statistics were based on 2,000 resampled datasets. P</w:t>
      </w:r>
      <w:r w:rsidRPr="004D46AC">
        <w:rPr>
          <w:rFonts w:ascii="Cambria Math" w:hAnsi="Cambria Math" w:cs="Cambria Math" w:hint="eastAsia"/>
        </w:rPr>
        <w:t xml:space="preserve">0 </w:t>
      </w:r>
      <w:r w:rsidRPr="004D46AC">
        <w:t>indicates the proportion of times an edge was present across the bootstrap samples.</w:t>
      </w:r>
    </w:p>
    <w:p w14:paraId="0494105B" w14:textId="77777777" w:rsidR="007075D9" w:rsidRPr="004D46AC" w:rsidRDefault="007075D9" w:rsidP="002C5F6E">
      <w:pPr>
        <w:spacing w:line="240" w:lineRule="auto"/>
        <w:ind w:firstLine="0"/>
      </w:pPr>
    </w:p>
    <w:p w14:paraId="3F442DBA" w14:textId="77777777" w:rsidR="007075D9" w:rsidRPr="004D46AC" w:rsidRDefault="007075D9" w:rsidP="002C5F6E">
      <w:pPr>
        <w:spacing w:line="240" w:lineRule="auto"/>
        <w:ind w:firstLine="0"/>
      </w:pPr>
    </w:p>
    <w:p w14:paraId="359B1B07" w14:textId="77777777" w:rsidR="007075D9" w:rsidRPr="004D46AC" w:rsidRDefault="007075D9" w:rsidP="002C5F6E">
      <w:pPr>
        <w:spacing w:line="240" w:lineRule="auto"/>
        <w:ind w:firstLine="0"/>
      </w:pPr>
    </w:p>
    <w:p w14:paraId="1A68A8F2" w14:textId="77777777" w:rsidR="007075D9" w:rsidRPr="004D46AC" w:rsidRDefault="007075D9" w:rsidP="002C5F6E">
      <w:pPr>
        <w:spacing w:line="240" w:lineRule="auto"/>
        <w:ind w:firstLine="0"/>
      </w:pPr>
    </w:p>
    <w:p w14:paraId="3C2617BE" w14:textId="77777777" w:rsidR="007075D9" w:rsidRPr="004D46AC" w:rsidRDefault="007075D9" w:rsidP="002C5F6E">
      <w:pPr>
        <w:spacing w:line="240" w:lineRule="auto"/>
        <w:ind w:firstLine="0"/>
      </w:pPr>
    </w:p>
    <w:p w14:paraId="1C69A6F9" w14:textId="77777777" w:rsidR="007075D9" w:rsidRPr="004D46AC" w:rsidRDefault="007075D9" w:rsidP="002C5F6E">
      <w:pPr>
        <w:spacing w:line="240" w:lineRule="auto"/>
        <w:ind w:firstLine="0"/>
      </w:pPr>
    </w:p>
    <w:p w14:paraId="1C3754DC" w14:textId="77777777" w:rsidR="007075D9" w:rsidRPr="004D46AC" w:rsidRDefault="007075D9" w:rsidP="002C5F6E">
      <w:pPr>
        <w:spacing w:line="240" w:lineRule="auto"/>
        <w:ind w:firstLine="0"/>
      </w:pPr>
    </w:p>
    <w:p w14:paraId="11BF2A75" w14:textId="77777777" w:rsidR="007075D9" w:rsidRPr="004D46AC" w:rsidRDefault="007075D9" w:rsidP="002C5F6E">
      <w:pPr>
        <w:spacing w:line="240" w:lineRule="auto"/>
        <w:ind w:firstLine="0"/>
      </w:pPr>
    </w:p>
    <w:p w14:paraId="6DCC7642" w14:textId="77777777" w:rsidR="007075D9" w:rsidRPr="004D46AC" w:rsidRDefault="007075D9" w:rsidP="002C5F6E">
      <w:pPr>
        <w:spacing w:line="240" w:lineRule="auto"/>
        <w:ind w:firstLine="0"/>
      </w:pPr>
    </w:p>
    <w:p w14:paraId="57E1C52D" w14:textId="77777777" w:rsidR="007075D9" w:rsidRPr="004D46AC" w:rsidRDefault="007075D9" w:rsidP="002C5F6E">
      <w:pPr>
        <w:spacing w:line="240" w:lineRule="auto"/>
        <w:ind w:firstLine="0"/>
      </w:pPr>
    </w:p>
    <w:p w14:paraId="0B562B4A" w14:textId="77777777" w:rsidR="007075D9" w:rsidRPr="004D46AC" w:rsidRDefault="007075D9" w:rsidP="002C5F6E">
      <w:pPr>
        <w:spacing w:line="240" w:lineRule="auto"/>
        <w:ind w:firstLine="0"/>
      </w:pPr>
    </w:p>
    <w:p w14:paraId="03C7647E" w14:textId="77777777" w:rsidR="007075D9" w:rsidRPr="004D46AC" w:rsidRDefault="007075D9" w:rsidP="002C5F6E">
      <w:pPr>
        <w:spacing w:line="240" w:lineRule="auto"/>
        <w:ind w:firstLine="0"/>
      </w:pPr>
    </w:p>
    <w:p w14:paraId="1366E881" w14:textId="77777777" w:rsidR="007075D9" w:rsidRPr="004D46AC" w:rsidRDefault="007075D9" w:rsidP="002C5F6E">
      <w:pPr>
        <w:spacing w:line="240" w:lineRule="auto"/>
        <w:ind w:firstLine="0"/>
      </w:pPr>
    </w:p>
    <w:p w14:paraId="6DF24F36" w14:textId="77777777" w:rsidR="007075D9" w:rsidRPr="004D46AC" w:rsidRDefault="007075D9" w:rsidP="002C5F6E">
      <w:pPr>
        <w:spacing w:line="240" w:lineRule="auto"/>
        <w:ind w:firstLine="0"/>
      </w:pPr>
    </w:p>
    <w:p w14:paraId="03D5CD39" w14:textId="77777777" w:rsidR="007075D9" w:rsidRPr="004D46AC" w:rsidRDefault="007075D9" w:rsidP="002C5F6E">
      <w:pPr>
        <w:spacing w:line="240" w:lineRule="auto"/>
        <w:ind w:firstLine="0"/>
      </w:pPr>
    </w:p>
    <w:p w14:paraId="3C2EA7E6" w14:textId="77777777" w:rsidR="007075D9" w:rsidRPr="004D46AC" w:rsidRDefault="007075D9" w:rsidP="002C5F6E">
      <w:pPr>
        <w:spacing w:line="240" w:lineRule="auto"/>
        <w:ind w:firstLine="0"/>
        <w:rPr>
          <w:rFonts w:eastAsiaTheme="minorEastAsia"/>
        </w:rPr>
      </w:pPr>
    </w:p>
    <w:p w14:paraId="1F4808BC" w14:textId="77777777" w:rsidR="00CC3324" w:rsidRPr="004D46AC" w:rsidRDefault="00CC3324" w:rsidP="002C5F6E">
      <w:pPr>
        <w:spacing w:line="240" w:lineRule="auto"/>
        <w:ind w:firstLine="0"/>
        <w:rPr>
          <w:rFonts w:eastAsiaTheme="minorEastAsia"/>
        </w:rPr>
      </w:pPr>
    </w:p>
    <w:p w14:paraId="3F7709E5" w14:textId="77777777" w:rsidR="00CC3324" w:rsidRPr="004D46AC" w:rsidRDefault="00CC3324" w:rsidP="002C5F6E">
      <w:pPr>
        <w:spacing w:line="240" w:lineRule="auto"/>
        <w:ind w:firstLine="0"/>
        <w:rPr>
          <w:rFonts w:eastAsiaTheme="minorEastAsia"/>
        </w:rPr>
      </w:pPr>
    </w:p>
    <w:p w14:paraId="6909B070" w14:textId="77777777" w:rsidR="00CC3324" w:rsidRPr="004D46AC" w:rsidRDefault="00CC3324" w:rsidP="002C5F6E">
      <w:pPr>
        <w:spacing w:line="240" w:lineRule="auto"/>
        <w:ind w:firstLine="0"/>
        <w:rPr>
          <w:rFonts w:eastAsiaTheme="minorEastAsia"/>
        </w:rPr>
      </w:pPr>
    </w:p>
    <w:p w14:paraId="4DA6B23F" w14:textId="77777777" w:rsidR="00CC3324" w:rsidRPr="004D46AC" w:rsidRDefault="00CC3324" w:rsidP="002C5F6E">
      <w:pPr>
        <w:spacing w:line="240" w:lineRule="auto"/>
        <w:ind w:firstLine="0"/>
        <w:rPr>
          <w:rFonts w:eastAsiaTheme="minorEastAsia"/>
        </w:rPr>
      </w:pPr>
    </w:p>
    <w:p w14:paraId="16C8E96B" w14:textId="77777777" w:rsidR="00CC3324" w:rsidRPr="004D46AC" w:rsidRDefault="00CC3324" w:rsidP="002C5F6E">
      <w:pPr>
        <w:spacing w:line="240" w:lineRule="auto"/>
        <w:ind w:firstLine="0"/>
        <w:rPr>
          <w:rFonts w:eastAsiaTheme="minorEastAsia"/>
        </w:rPr>
      </w:pPr>
    </w:p>
    <w:p w14:paraId="4B80739A" w14:textId="77777777" w:rsidR="00CC3324" w:rsidRPr="004D46AC" w:rsidRDefault="00CC3324" w:rsidP="002C5F6E">
      <w:pPr>
        <w:spacing w:line="240" w:lineRule="auto"/>
        <w:ind w:firstLine="0"/>
        <w:rPr>
          <w:rFonts w:eastAsiaTheme="minorEastAsia"/>
        </w:rPr>
      </w:pPr>
    </w:p>
    <w:p w14:paraId="35E257CC" w14:textId="77777777" w:rsidR="00CC3324" w:rsidRPr="004D46AC" w:rsidRDefault="00CC3324" w:rsidP="002C5F6E">
      <w:pPr>
        <w:spacing w:line="240" w:lineRule="auto"/>
        <w:ind w:firstLine="0"/>
        <w:rPr>
          <w:rFonts w:eastAsiaTheme="minorEastAsia"/>
        </w:rPr>
      </w:pPr>
    </w:p>
    <w:p w14:paraId="3B4C46A9" w14:textId="77777777" w:rsidR="00CC3324" w:rsidRPr="004D46AC" w:rsidRDefault="00CC3324" w:rsidP="002C5F6E">
      <w:pPr>
        <w:spacing w:line="240" w:lineRule="auto"/>
        <w:ind w:firstLine="0"/>
        <w:rPr>
          <w:rFonts w:eastAsiaTheme="minorEastAsia"/>
        </w:rPr>
      </w:pPr>
    </w:p>
    <w:p w14:paraId="3A41A955" w14:textId="77777777" w:rsidR="00CC3324" w:rsidRPr="004D46AC" w:rsidRDefault="00CC3324" w:rsidP="002C5F6E">
      <w:pPr>
        <w:spacing w:line="240" w:lineRule="auto"/>
        <w:ind w:firstLine="0"/>
        <w:rPr>
          <w:rFonts w:eastAsiaTheme="minorEastAsia"/>
        </w:rPr>
      </w:pPr>
    </w:p>
    <w:p w14:paraId="0E21927C" w14:textId="77777777" w:rsidR="00CC3324" w:rsidRPr="004D46AC" w:rsidRDefault="00CC3324" w:rsidP="002C5F6E">
      <w:pPr>
        <w:spacing w:line="240" w:lineRule="auto"/>
        <w:ind w:firstLine="0"/>
        <w:rPr>
          <w:rFonts w:eastAsiaTheme="minorEastAsia"/>
        </w:rPr>
      </w:pPr>
    </w:p>
    <w:p w14:paraId="64EBF220" w14:textId="77777777" w:rsidR="007075D9" w:rsidRPr="004D46AC" w:rsidRDefault="007075D9" w:rsidP="002C5F6E">
      <w:pPr>
        <w:spacing w:line="240" w:lineRule="auto"/>
        <w:ind w:firstLine="0"/>
      </w:pPr>
    </w:p>
    <w:p w14:paraId="4AB4B215" w14:textId="77777777" w:rsidR="007075D9" w:rsidRPr="004D46AC" w:rsidRDefault="007075D9" w:rsidP="002C5F6E">
      <w:pPr>
        <w:spacing w:line="240" w:lineRule="auto"/>
        <w:ind w:firstLine="0"/>
      </w:pPr>
    </w:p>
    <w:p w14:paraId="73A0B4FC" w14:textId="1BA19E14" w:rsidR="00011BA9" w:rsidRPr="004D46AC" w:rsidRDefault="00011BA9" w:rsidP="00011BA9">
      <w:pPr>
        <w:pStyle w:val="afff0"/>
        <w:spacing w:after="0"/>
        <w:ind w:firstLine="0"/>
        <w:rPr>
          <w:rFonts w:eastAsiaTheme="minorEastAsia"/>
          <w:b/>
          <w:bCs/>
          <w:i w:val="0"/>
          <w:iCs w:val="0"/>
          <w:color w:val="auto"/>
          <w:sz w:val="22"/>
          <w:szCs w:val="22"/>
        </w:rPr>
      </w:pPr>
      <w:bookmarkStart w:id="407" w:name="_Toc219870647"/>
      <w:r w:rsidRPr="004D46AC">
        <w:rPr>
          <w:b/>
          <w:bCs/>
          <w:i w:val="0"/>
          <w:iCs w:val="0"/>
          <w:color w:val="auto"/>
          <w:sz w:val="22"/>
          <w:szCs w:val="22"/>
        </w:rPr>
        <w:lastRenderedPageBreak/>
        <w:t xml:space="preserve">Table E </w:t>
      </w:r>
      <w:r w:rsidRPr="004D46AC">
        <w:rPr>
          <w:b/>
          <w:bCs/>
          <w:i w:val="0"/>
          <w:iCs w:val="0"/>
          <w:color w:val="auto"/>
          <w:sz w:val="22"/>
          <w:szCs w:val="22"/>
        </w:rPr>
        <w:fldChar w:fldCharType="begin"/>
      </w:r>
      <w:r w:rsidRPr="004D46AC">
        <w:rPr>
          <w:b/>
          <w:bCs/>
          <w:i w:val="0"/>
          <w:iCs w:val="0"/>
          <w:color w:val="auto"/>
          <w:sz w:val="22"/>
          <w:szCs w:val="22"/>
        </w:rPr>
        <w:instrText xml:space="preserve"> SEQ Table_E \* ARABIC </w:instrText>
      </w:r>
      <w:r w:rsidRPr="004D46AC">
        <w:rPr>
          <w:b/>
          <w:bCs/>
          <w:i w:val="0"/>
          <w:iCs w:val="0"/>
          <w:color w:val="auto"/>
          <w:sz w:val="22"/>
          <w:szCs w:val="22"/>
        </w:rPr>
        <w:fldChar w:fldCharType="separate"/>
      </w:r>
      <w:r w:rsidRPr="004D46AC">
        <w:rPr>
          <w:b/>
          <w:bCs/>
          <w:i w:val="0"/>
          <w:iCs w:val="0"/>
          <w:noProof/>
          <w:color w:val="auto"/>
          <w:sz w:val="22"/>
          <w:szCs w:val="22"/>
        </w:rPr>
        <w:t>3</w:t>
      </w:r>
      <w:bookmarkEnd w:id="407"/>
      <w:r w:rsidRPr="004D46AC">
        <w:rPr>
          <w:b/>
          <w:bCs/>
          <w:i w:val="0"/>
          <w:iCs w:val="0"/>
          <w:color w:val="auto"/>
          <w:sz w:val="22"/>
          <w:szCs w:val="22"/>
        </w:rPr>
        <w:fldChar w:fldCharType="end"/>
      </w:r>
    </w:p>
    <w:p w14:paraId="25BFF69B" w14:textId="77777777" w:rsidR="003E095D" w:rsidRPr="004D46AC" w:rsidRDefault="003E095D" w:rsidP="003E095D">
      <w:pPr>
        <w:spacing w:line="240" w:lineRule="auto"/>
        <w:ind w:firstLine="0"/>
        <w:rPr>
          <w:i/>
          <w:iCs/>
        </w:rPr>
      </w:pPr>
      <w:r w:rsidRPr="004D46AC">
        <w:rPr>
          <w:i/>
          <w:iCs/>
        </w:rPr>
        <w:t>Confidence in edge presence and direction in the Bayesian network model</w:t>
      </w:r>
    </w:p>
    <w:tbl>
      <w:tblPr>
        <w:tblStyle w:val="afc"/>
        <w:tblW w:w="0" w:type="auto"/>
        <w:tblLook w:val="04A0" w:firstRow="1" w:lastRow="0" w:firstColumn="1" w:lastColumn="0" w:noHBand="0" w:noVBand="1"/>
      </w:tblPr>
      <w:tblGrid>
        <w:gridCol w:w="2130"/>
        <w:gridCol w:w="2130"/>
        <w:gridCol w:w="2131"/>
        <w:gridCol w:w="2131"/>
      </w:tblGrid>
      <w:tr w:rsidR="003E095D" w:rsidRPr="004D46AC" w14:paraId="2D0FCFF9" w14:textId="77777777" w:rsidTr="00B518F1">
        <w:tc>
          <w:tcPr>
            <w:tcW w:w="2130" w:type="dxa"/>
          </w:tcPr>
          <w:p w14:paraId="50644E42" w14:textId="77777777" w:rsidR="003E095D" w:rsidRPr="004D46AC" w:rsidRDefault="003E095D" w:rsidP="00B518F1">
            <w:pPr>
              <w:spacing w:line="240" w:lineRule="auto"/>
              <w:ind w:firstLine="0"/>
            </w:pPr>
            <w:r w:rsidRPr="004D46AC">
              <w:t>From</w:t>
            </w:r>
          </w:p>
        </w:tc>
        <w:tc>
          <w:tcPr>
            <w:tcW w:w="2130" w:type="dxa"/>
          </w:tcPr>
          <w:p w14:paraId="331B0B6D" w14:textId="77777777" w:rsidR="003E095D" w:rsidRPr="004D46AC" w:rsidRDefault="003E095D" w:rsidP="00B518F1">
            <w:pPr>
              <w:spacing w:line="240" w:lineRule="auto"/>
              <w:ind w:firstLine="0"/>
            </w:pPr>
            <w:r w:rsidRPr="004D46AC">
              <w:t>To</w:t>
            </w:r>
          </w:p>
        </w:tc>
        <w:tc>
          <w:tcPr>
            <w:tcW w:w="2131" w:type="dxa"/>
          </w:tcPr>
          <w:p w14:paraId="2F921915" w14:textId="77777777" w:rsidR="003E095D" w:rsidRPr="004D46AC" w:rsidRDefault="003E095D" w:rsidP="00B518F1">
            <w:pPr>
              <w:spacing w:line="240" w:lineRule="auto"/>
              <w:ind w:firstLine="0"/>
            </w:pPr>
            <w:r w:rsidRPr="004D46AC">
              <w:rPr>
                <w:rFonts w:hint="eastAsia"/>
              </w:rPr>
              <w:t>Presence</w:t>
            </w:r>
          </w:p>
        </w:tc>
        <w:tc>
          <w:tcPr>
            <w:tcW w:w="2131" w:type="dxa"/>
          </w:tcPr>
          <w:p w14:paraId="12D91538" w14:textId="77777777" w:rsidR="003E095D" w:rsidRPr="004D46AC" w:rsidRDefault="003E095D" w:rsidP="00B518F1">
            <w:pPr>
              <w:spacing w:line="240" w:lineRule="auto"/>
              <w:ind w:firstLine="0"/>
            </w:pPr>
            <w:r w:rsidRPr="004D46AC">
              <w:t>D</w:t>
            </w:r>
            <w:r w:rsidRPr="004D46AC">
              <w:rPr>
                <w:rFonts w:hint="eastAsia"/>
              </w:rPr>
              <w:t>irection</w:t>
            </w:r>
          </w:p>
        </w:tc>
      </w:tr>
      <w:tr w:rsidR="003E095D" w:rsidRPr="004D46AC" w14:paraId="74D1E960" w14:textId="77777777" w:rsidTr="00B518F1">
        <w:tc>
          <w:tcPr>
            <w:tcW w:w="2130" w:type="dxa"/>
            <w:vAlign w:val="center"/>
          </w:tcPr>
          <w:p w14:paraId="52AA5A00" w14:textId="77777777" w:rsidR="003E095D" w:rsidRPr="004D46AC" w:rsidRDefault="003E095D" w:rsidP="00B518F1">
            <w:pPr>
              <w:spacing w:line="240" w:lineRule="auto"/>
              <w:ind w:firstLine="0"/>
            </w:pPr>
            <w:r w:rsidRPr="004D46AC">
              <w:rPr>
                <w:rFonts w:eastAsia="SimSun"/>
                <w:color w:val="000000"/>
              </w:rPr>
              <w:t>TR7</w:t>
            </w:r>
          </w:p>
        </w:tc>
        <w:tc>
          <w:tcPr>
            <w:tcW w:w="2130" w:type="dxa"/>
            <w:vAlign w:val="center"/>
          </w:tcPr>
          <w:p w14:paraId="6C4B83F8" w14:textId="77777777" w:rsidR="003E095D" w:rsidRPr="004D46AC" w:rsidRDefault="003E095D" w:rsidP="00B518F1">
            <w:pPr>
              <w:spacing w:line="240" w:lineRule="auto"/>
              <w:ind w:firstLine="0"/>
            </w:pPr>
            <w:r w:rsidRPr="004D46AC">
              <w:rPr>
                <w:rFonts w:eastAsia="SimSun"/>
                <w:color w:val="000000"/>
              </w:rPr>
              <w:t>TR5</w:t>
            </w:r>
          </w:p>
        </w:tc>
        <w:tc>
          <w:tcPr>
            <w:tcW w:w="2131" w:type="dxa"/>
            <w:vAlign w:val="center"/>
          </w:tcPr>
          <w:p w14:paraId="2812B65C"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0EAA53C" w14:textId="77777777" w:rsidR="003E095D" w:rsidRPr="004D46AC" w:rsidRDefault="003E095D" w:rsidP="00B518F1">
            <w:pPr>
              <w:spacing w:line="240" w:lineRule="auto"/>
              <w:ind w:firstLine="0"/>
            </w:pPr>
            <w:r w:rsidRPr="004D46AC">
              <w:rPr>
                <w:rFonts w:eastAsia="SimSun"/>
                <w:color w:val="000000"/>
              </w:rPr>
              <w:t xml:space="preserve">0.41 </w:t>
            </w:r>
          </w:p>
        </w:tc>
      </w:tr>
      <w:tr w:rsidR="003E095D" w:rsidRPr="004D46AC" w14:paraId="6E90EE39" w14:textId="77777777" w:rsidTr="00B518F1">
        <w:tc>
          <w:tcPr>
            <w:tcW w:w="2130" w:type="dxa"/>
            <w:vAlign w:val="center"/>
          </w:tcPr>
          <w:p w14:paraId="33F30E5F" w14:textId="77777777" w:rsidR="003E095D" w:rsidRPr="004D46AC" w:rsidRDefault="003E095D" w:rsidP="00B518F1">
            <w:pPr>
              <w:spacing w:line="240" w:lineRule="auto"/>
              <w:ind w:firstLine="0"/>
            </w:pPr>
            <w:r w:rsidRPr="004D46AC">
              <w:rPr>
                <w:rFonts w:eastAsia="SimSun"/>
                <w:color w:val="000000"/>
              </w:rPr>
              <w:t>TR34</w:t>
            </w:r>
          </w:p>
        </w:tc>
        <w:tc>
          <w:tcPr>
            <w:tcW w:w="2130" w:type="dxa"/>
            <w:vAlign w:val="center"/>
          </w:tcPr>
          <w:p w14:paraId="0E7B2E27" w14:textId="77777777" w:rsidR="003E095D" w:rsidRPr="004D46AC" w:rsidRDefault="003E095D" w:rsidP="00B518F1">
            <w:pPr>
              <w:spacing w:line="240" w:lineRule="auto"/>
              <w:ind w:firstLine="0"/>
            </w:pPr>
            <w:r w:rsidRPr="004D46AC">
              <w:rPr>
                <w:rFonts w:eastAsia="SimSun"/>
                <w:color w:val="000000"/>
              </w:rPr>
              <w:t>TR37</w:t>
            </w:r>
          </w:p>
        </w:tc>
        <w:tc>
          <w:tcPr>
            <w:tcW w:w="2131" w:type="dxa"/>
            <w:vAlign w:val="center"/>
          </w:tcPr>
          <w:p w14:paraId="26A64744"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5408BEEA" w14:textId="77777777" w:rsidR="003E095D" w:rsidRPr="004D46AC" w:rsidRDefault="003E095D" w:rsidP="00B518F1">
            <w:pPr>
              <w:spacing w:line="240" w:lineRule="auto"/>
              <w:ind w:firstLine="0"/>
            </w:pPr>
            <w:r w:rsidRPr="004D46AC">
              <w:rPr>
                <w:rFonts w:eastAsia="SimSun"/>
                <w:color w:val="000000"/>
              </w:rPr>
              <w:t xml:space="preserve">0.43 </w:t>
            </w:r>
          </w:p>
        </w:tc>
      </w:tr>
      <w:tr w:rsidR="003E095D" w:rsidRPr="004D46AC" w14:paraId="14398B62" w14:textId="77777777" w:rsidTr="00B518F1">
        <w:tc>
          <w:tcPr>
            <w:tcW w:w="2130" w:type="dxa"/>
            <w:vAlign w:val="center"/>
          </w:tcPr>
          <w:p w14:paraId="490FEB08" w14:textId="77777777" w:rsidR="003E095D" w:rsidRPr="004D46AC" w:rsidRDefault="003E095D" w:rsidP="00B518F1">
            <w:pPr>
              <w:spacing w:line="240" w:lineRule="auto"/>
              <w:ind w:firstLine="0"/>
            </w:pPr>
            <w:r w:rsidRPr="004D46AC">
              <w:rPr>
                <w:rFonts w:eastAsia="SimSun"/>
                <w:color w:val="000000"/>
              </w:rPr>
              <w:t>TR15</w:t>
            </w:r>
          </w:p>
        </w:tc>
        <w:tc>
          <w:tcPr>
            <w:tcW w:w="2130" w:type="dxa"/>
            <w:vAlign w:val="center"/>
          </w:tcPr>
          <w:p w14:paraId="02B86229" w14:textId="77777777" w:rsidR="003E095D" w:rsidRPr="004D46AC" w:rsidRDefault="003E095D" w:rsidP="00B518F1">
            <w:pPr>
              <w:spacing w:line="240" w:lineRule="auto"/>
              <w:ind w:firstLine="0"/>
            </w:pPr>
            <w:r w:rsidRPr="004D46AC">
              <w:rPr>
                <w:rFonts w:eastAsia="SimSun"/>
                <w:color w:val="000000"/>
              </w:rPr>
              <w:t>TR34</w:t>
            </w:r>
          </w:p>
        </w:tc>
        <w:tc>
          <w:tcPr>
            <w:tcW w:w="2131" w:type="dxa"/>
            <w:vAlign w:val="center"/>
          </w:tcPr>
          <w:p w14:paraId="769A609C"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1B7936D7" w14:textId="77777777" w:rsidR="003E095D" w:rsidRPr="004D46AC" w:rsidRDefault="003E095D" w:rsidP="00B518F1">
            <w:pPr>
              <w:spacing w:line="240" w:lineRule="auto"/>
              <w:ind w:firstLine="0"/>
            </w:pPr>
            <w:r w:rsidRPr="004D46AC">
              <w:rPr>
                <w:rFonts w:eastAsia="SimSun"/>
                <w:color w:val="000000"/>
              </w:rPr>
              <w:t xml:space="preserve">0.45 </w:t>
            </w:r>
          </w:p>
        </w:tc>
      </w:tr>
      <w:tr w:rsidR="003E095D" w:rsidRPr="004D46AC" w14:paraId="67CC6F97" w14:textId="77777777" w:rsidTr="00B518F1">
        <w:tc>
          <w:tcPr>
            <w:tcW w:w="2130" w:type="dxa"/>
            <w:vAlign w:val="center"/>
          </w:tcPr>
          <w:p w14:paraId="7EA4E7B2" w14:textId="77777777" w:rsidR="003E095D" w:rsidRPr="004D46AC" w:rsidRDefault="003E095D" w:rsidP="00B518F1">
            <w:pPr>
              <w:spacing w:line="240" w:lineRule="auto"/>
              <w:ind w:firstLine="0"/>
            </w:pPr>
            <w:r w:rsidRPr="004D46AC">
              <w:rPr>
                <w:rFonts w:eastAsia="SimSun"/>
                <w:color w:val="000000"/>
              </w:rPr>
              <w:t>TR19</w:t>
            </w:r>
          </w:p>
        </w:tc>
        <w:tc>
          <w:tcPr>
            <w:tcW w:w="2130" w:type="dxa"/>
            <w:vAlign w:val="center"/>
          </w:tcPr>
          <w:p w14:paraId="1759813E" w14:textId="77777777" w:rsidR="003E095D" w:rsidRPr="004D46AC" w:rsidRDefault="003E095D" w:rsidP="00B518F1">
            <w:pPr>
              <w:spacing w:line="240" w:lineRule="auto"/>
              <w:ind w:firstLine="0"/>
            </w:pPr>
            <w:r w:rsidRPr="004D46AC">
              <w:rPr>
                <w:rFonts w:eastAsia="SimSun"/>
                <w:color w:val="000000"/>
              </w:rPr>
              <w:t>TR7</w:t>
            </w:r>
          </w:p>
        </w:tc>
        <w:tc>
          <w:tcPr>
            <w:tcW w:w="2131" w:type="dxa"/>
            <w:vAlign w:val="center"/>
          </w:tcPr>
          <w:p w14:paraId="5FBFD873"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5DDFA511" w14:textId="77777777" w:rsidR="003E095D" w:rsidRPr="004D46AC" w:rsidRDefault="003E095D" w:rsidP="00B518F1">
            <w:pPr>
              <w:spacing w:line="240" w:lineRule="auto"/>
              <w:ind w:firstLine="0"/>
            </w:pPr>
            <w:r w:rsidRPr="004D46AC">
              <w:rPr>
                <w:rFonts w:eastAsia="SimSun"/>
                <w:color w:val="000000"/>
              </w:rPr>
              <w:t xml:space="preserve">0.48 </w:t>
            </w:r>
          </w:p>
        </w:tc>
      </w:tr>
      <w:tr w:rsidR="003E095D" w:rsidRPr="004D46AC" w14:paraId="712D2D05" w14:textId="77777777" w:rsidTr="00B518F1">
        <w:tc>
          <w:tcPr>
            <w:tcW w:w="2130" w:type="dxa"/>
            <w:vAlign w:val="center"/>
          </w:tcPr>
          <w:p w14:paraId="28E1DBB5" w14:textId="77777777" w:rsidR="003E095D" w:rsidRPr="004D46AC" w:rsidRDefault="003E095D" w:rsidP="00B518F1">
            <w:pPr>
              <w:spacing w:line="240" w:lineRule="auto"/>
              <w:ind w:firstLine="0"/>
            </w:pPr>
            <w:r w:rsidRPr="004D46AC">
              <w:rPr>
                <w:rFonts w:eastAsia="SimSun"/>
                <w:color w:val="000000"/>
              </w:rPr>
              <w:t>TR7</w:t>
            </w:r>
          </w:p>
        </w:tc>
        <w:tc>
          <w:tcPr>
            <w:tcW w:w="2130" w:type="dxa"/>
            <w:vAlign w:val="center"/>
          </w:tcPr>
          <w:p w14:paraId="7BB67F26" w14:textId="77777777" w:rsidR="003E095D" w:rsidRPr="004D46AC" w:rsidRDefault="003E095D" w:rsidP="00B518F1">
            <w:pPr>
              <w:spacing w:line="240" w:lineRule="auto"/>
              <w:ind w:firstLine="0"/>
            </w:pPr>
            <w:r w:rsidRPr="004D46AC">
              <w:rPr>
                <w:rFonts w:eastAsia="SimSun"/>
                <w:color w:val="000000"/>
              </w:rPr>
              <w:t>TR19</w:t>
            </w:r>
          </w:p>
        </w:tc>
        <w:tc>
          <w:tcPr>
            <w:tcW w:w="2131" w:type="dxa"/>
            <w:vAlign w:val="center"/>
          </w:tcPr>
          <w:p w14:paraId="2338D130"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55BDE5FE" w14:textId="77777777" w:rsidR="003E095D" w:rsidRPr="004D46AC" w:rsidRDefault="003E095D" w:rsidP="00B518F1">
            <w:pPr>
              <w:spacing w:line="240" w:lineRule="auto"/>
              <w:ind w:firstLine="0"/>
            </w:pPr>
            <w:r w:rsidRPr="004D46AC">
              <w:rPr>
                <w:rFonts w:eastAsia="SimSun"/>
                <w:color w:val="000000"/>
              </w:rPr>
              <w:t xml:space="preserve">0.52 </w:t>
            </w:r>
          </w:p>
        </w:tc>
      </w:tr>
      <w:tr w:rsidR="003E095D" w:rsidRPr="004D46AC" w14:paraId="17C88B96" w14:textId="77777777" w:rsidTr="00B518F1">
        <w:tc>
          <w:tcPr>
            <w:tcW w:w="2130" w:type="dxa"/>
            <w:vAlign w:val="center"/>
          </w:tcPr>
          <w:p w14:paraId="6D24FA4C" w14:textId="77777777" w:rsidR="003E095D" w:rsidRPr="004D46AC" w:rsidRDefault="003E095D" w:rsidP="00B518F1">
            <w:pPr>
              <w:spacing w:line="240" w:lineRule="auto"/>
              <w:ind w:firstLine="0"/>
            </w:pPr>
            <w:r w:rsidRPr="004D46AC">
              <w:rPr>
                <w:rFonts w:eastAsia="SimSun"/>
                <w:color w:val="000000"/>
              </w:rPr>
              <w:t>TR34</w:t>
            </w:r>
          </w:p>
        </w:tc>
        <w:tc>
          <w:tcPr>
            <w:tcW w:w="2130" w:type="dxa"/>
            <w:vAlign w:val="center"/>
          </w:tcPr>
          <w:p w14:paraId="3EA31B96" w14:textId="77777777" w:rsidR="003E095D" w:rsidRPr="004D46AC" w:rsidRDefault="003E095D" w:rsidP="00B518F1">
            <w:pPr>
              <w:spacing w:line="240" w:lineRule="auto"/>
              <w:ind w:firstLine="0"/>
            </w:pPr>
            <w:r w:rsidRPr="004D46AC">
              <w:rPr>
                <w:rFonts w:eastAsia="SimSun"/>
                <w:color w:val="000000"/>
              </w:rPr>
              <w:t>TR15</w:t>
            </w:r>
          </w:p>
        </w:tc>
        <w:tc>
          <w:tcPr>
            <w:tcW w:w="2131" w:type="dxa"/>
            <w:vAlign w:val="center"/>
          </w:tcPr>
          <w:p w14:paraId="12662B94"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4A27752" w14:textId="77777777" w:rsidR="003E095D" w:rsidRPr="004D46AC" w:rsidRDefault="003E095D" w:rsidP="00B518F1">
            <w:pPr>
              <w:spacing w:line="240" w:lineRule="auto"/>
              <w:ind w:firstLine="0"/>
            </w:pPr>
            <w:r w:rsidRPr="004D46AC">
              <w:rPr>
                <w:rFonts w:eastAsia="SimSun"/>
                <w:color w:val="000000"/>
              </w:rPr>
              <w:t xml:space="preserve">0.55 </w:t>
            </w:r>
          </w:p>
        </w:tc>
      </w:tr>
      <w:tr w:rsidR="003E095D" w:rsidRPr="004D46AC" w14:paraId="70157349" w14:textId="77777777" w:rsidTr="00B518F1">
        <w:tc>
          <w:tcPr>
            <w:tcW w:w="2130" w:type="dxa"/>
            <w:vAlign w:val="center"/>
          </w:tcPr>
          <w:p w14:paraId="039FCAA5" w14:textId="77777777" w:rsidR="003E095D" w:rsidRPr="004D46AC" w:rsidRDefault="003E095D" w:rsidP="00B518F1">
            <w:pPr>
              <w:spacing w:line="240" w:lineRule="auto"/>
              <w:ind w:firstLine="0"/>
            </w:pPr>
            <w:r w:rsidRPr="004D46AC">
              <w:rPr>
                <w:rFonts w:eastAsia="SimSun"/>
                <w:color w:val="000000"/>
              </w:rPr>
              <w:t>TR37</w:t>
            </w:r>
          </w:p>
        </w:tc>
        <w:tc>
          <w:tcPr>
            <w:tcW w:w="2130" w:type="dxa"/>
            <w:vAlign w:val="center"/>
          </w:tcPr>
          <w:p w14:paraId="242DC48E" w14:textId="77777777" w:rsidR="003E095D" w:rsidRPr="004D46AC" w:rsidRDefault="003E095D" w:rsidP="00B518F1">
            <w:pPr>
              <w:spacing w:line="240" w:lineRule="auto"/>
              <w:ind w:firstLine="0"/>
            </w:pPr>
            <w:r w:rsidRPr="004D46AC">
              <w:rPr>
                <w:rFonts w:eastAsia="SimSun"/>
                <w:color w:val="000000"/>
              </w:rPr>
              <w:t>TR34</w:t>
            </w:r>
          </w:p>
        </w:tc>
        <w:tc>
          <w:tcPr>
            <w:tcW w:w="2131" w:type="dxa"/>
            <w:vAlign w:val="center"/>
          </w:tcPr>
          <w:p w14:paraId="0ADA404C"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1E16CBD" w14:textId="77777777" w:rsidR="003E095D" w:rsidRPr="004D46AC" w:rsidRDefault="003E095D" w:rsidP="00B518F1">
            <w:pPr>
              <w:spacing w:line="240" w:lineRule="auto"/>
              <w:ind w:firstLine="0"/>
            </w:pPr>
            <w:r w:rsidRPr="004D46AC">
              <w:rPr>
                <w:rFonts w:eastAsia="SimSun"/>
                <w:color w:val="000000"/>
              </w:rPr>
              <w:t xml:space="preserve">0.57 </w:t>
            </w:r>
          </w:p>
        </w:tc>
      </w:tr>
      <w:tr w:rsidR="003E095D" w:rsidRPr="004D46AC" w14:paraId="27D0F5E7" w14:textId="77777777" w:rsidTr="00B518F1">
        <w:tc>
          <w:tcPr>
            <w:tcW w:w="2130" w:type="dxa"/>
            <w:vAlign w:val="center"/>
          </w:tcPr>
          <w:p w14:paraId="01F4B5A1" w14:textId="77777777" w:rsidR="003E095D" w:rsidRPr="004D46AC" w:rsidRDefault="003E095D" w:rsidP="00B518F1">
            <w:pPr>
              <w:spacing w:line="240" w:lineRule="auto"/>
              <w:ind w:firstLine="0"/>
            </w:pPr>
            <w:r w:rsidRPr="004D46AC">
              <w:rPr>
                <w:rFonts w:eastAsia="SimSun"/>
                <w:color w:val="000000"/>
              </w:rPr>
              <w:t>TR5</w:t>
            </w:r>
          </w:p>
        </w:tc>
        <w:tc>
          <w:tcPr>
            <w:tcW w:w="2130" w:type="dxa"/>
            <w:vAlign w:val="center"/>
          </w:tcPr>
          <w:p w14:paraId="23E88994" w14:textId="77777777" w:rsidR="003E095D" w:rsidRPr="004D46AC" w:rsidRDefault="003E095D" w:rsidP="00B518F1">
            <w:pPr>
              <w:spacing w:line="240" w:lineRule="auto"/>
              <w:ind w:firstLine="0"/>
            </w:pPr>
            <w:r w:rsidRPr="004D46AC">
              <w:rPr>
                <w:rFonts w:eastAsia="SimSun"/>
                <w:color w:val="000000"/>
              </w:rPr>
              <w:t>TR7</w:t>
            </w:r>
          </w:p>
        </w:tc>
        <w:tc>
          <w:tcPr>
            <w:tcW w:w="2131" w:type="dxa"/>
            <w:vAlign w:val="center"/>
          </w:tcPr>
          <w:p w14:paraId="2AF2AD10"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3AE6156E" w14:textId="77777777" w:rsidR="003E095D" w:rsidRPr="004D46AC" w:rsidRDefault="003E095D" w:rsidP="00B518F1">
            <w:pPr>
              <w:spacing w:line="240" w:lineRule="auto"/>
              <w:ind w:firstLine="0"/>
            </w:pPr>
            <w:r w:rsidRPr="004D46AC">
              <w:rPr>
                <w:rFonts w:eastAsia="SimSun"/>
                <w:color w:val="000000"/>
              </w:rPr>
              <w:t xml:space="preserve">0.59 </w:t>
            </w:r>
          </w:p>
        </w:tc>
      </w:tr>
      <w:tr w:rsidR="003E095D" w:rsidRPr="004D46AC" w14:paraId="1699D9EA" w14:textId="77777777" w:rsidTr="00B518F1">
        <w:tc>
          <w:tcPr>
            <w:tcW w:w="2130" w:type="dxa"/>
            <w:vAlign w:val="center"/>
          </w:tcPr>
          <w:p w14:paraId="167669B3" w14:textId="77777777" w:rsidR="003E095D" w:rsidRPr="004D46AC" w:rsidRDefault="003E095D" w:rsidP="00B518F1">
            <w:pPr>
              <w:spacing w:line="240" w:lineRule="auto"/>
              <w:ind w:firstLine="0"/>
            </w:pPr>
            <w:r w:rsidRPr="004D46AC">
              <w:rPr>
                <w:rFonts w:eastAsia="SimSun"/>
                <w:color w:val="000000"/>
              </w:rPr>
              <w:t>TR19</w:t>
            </w:r>
          </w:p>
        </w:tc>
        <w:tc>
          <w:tcPr>
            <w:tcW w:w="2130" w:type="dxa"/>
            <w:vAlign w:val="center"/>
          </w:tcPr>
          <w:p w14:paraId="57C1B624" w14:textId="77777777" w:rsidR="003E095D" w:rsidRPr="004D46AC" w:rsidRDefault="003E095D" w:rsidP="00B518F1">
            <w:pPr>
              <w:spacing w:line="240" w:lineRule="auto"/>
              <w:ind w:firstLine="0"/>
            </w:pPr>
            <w:r w:rsidRPr="004D46AC">
              <w:rPr>
                <w:rFonts w:eastAsia="SimSun"/>
                <w:color w:val="000000"/>
              </w:rPr>
              <w:t>TR21</w:t>
            </w:r>
          </w:p>
        </w:tc>
        <w:tc>
          <w:tcPr>
            <w:tcW w:w="2131" w:type="dxa"/>
            <w:vAlign w:val="center"/>
          </w:tcPr>
          <w:p w14:paraId="3D75732C"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5DD02EA2" w14:textId="77777777" w:rsidR="003E095D" w:rsidRPr="004D46AC" w:rsidRDefault="003E095D" w:rsidP="00B518F1">
            <w:pPr>
              <w:spacing w:line="240" w:lineRule="auto"/>
              <w:ind w:firstLine="0"/>
            </w:pPr>
            <w:r w:rsidRPr="004D46AC">
              <w:rPr>
                <w:rFonts w:eastAsia="SimSun"/>
                <w:color w:val="000000"/>
              </w:rPr>
              <w:t xml:space="preserve">0.63 </w:t>
            </w:r>
          </w:p>
        </w:tc>
      </w:tr>
      <w:tr w:rsidR="003E095D" w:rsidRPr="004D46AC" w14:paraId="49ECEFD8" w14:textId="77777777" w:rsidTr="00B518F1">
        <w:tc>
          <w:tcPr>
            <w:tcW w:w="2130" w:type="dxa"/>
            <w:vAlign w:val="center"/>
          </w:tcPr>
          <w:p w14:paraId="2749B06A" w14:textId="77777777" w:rsidR="003E095D" w:rsidRPr="004D46AC" w:rsidRDefault="003E095D" w:rsidP="00B518F1">
            <w:pPr>
              <w:spacing w:line="240" w:lineRule="auto"/>
              <w:ind w:firstLine="0"/>
            </w:pPr>
            <w:r w:rsidRPr="004D46AC">
              <w:rPr>
                <w:rFonts w:eastAsia="SimSun"/>
                <w:color w:val="000000"/>
              </w:rPr>
              <w:t>TR29</w:t>
            </w:r>
          </w:p>
        </w:tc>
        <w:tc>
          <w:tcPr>
            <w:tcW w:w="2130" w:type="dxa"/>
            <w:vAlign w:val="center"/>
          </w:tcPr>
          <w:p w14:paraId="51019425" w14:textId="77777777" w:rsidR="003E095D" w:rsidRPr="004D46AC" w:rsidRDefault="003E095D" w:rsidP="00B518F1">
            <w:pPr>
              <w:spacing w:line="240" w:lineRule="auto"/>
              <w:ind w:firstLine="0"/>
            </w:pPr>
            <w:r w:rsidRPr="004D46AC">
              <w:rPr>
                <w:rFonts w:eastAsia="SimSun"/>
                <w:color w:val="000000"/>
              </w:rPr>
              <w:t>TR6</w:t>
            </w:r>
          </w:p>
        </w:tc>
        <w:tc>
          <w:tcPr>
            <w:tcW w:w="2131" w:type="dxa"/>
            <w:vAlign w:val="center"/>
          </w:tcPr>
          <w:p w14:paraId="449D2DC7"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5CF1F911" w14:textId="77777777" w:rsidR="003E095D" w:rsidRPr="004D46AC" w:rsidRDefault="003E095D" w:rsidP="00B518F1">
            <w:pPr>
              <w:spacing w:line="240" w:lineRule="auto"/>
              <w:ind w:firstLine="0"/>
            </w:pPr>
            <w:r w:rsidRPr="004D46AC">
              <w:rPr>
                <w:rFonts w:eastAsia="SimSun"/>
                <w:color w:val="000000"/>
              </w:rPr>
              <w:t xml:space="preserve">0.63 </w:t>
            </w:r>
          </w:p>
        </w:tc>
      </w:tr>
      <w:tr w:rsidR="003E095D" w:rsidRPr="004D46AC" w14:paraId="3E440F71" w14:textId="77777777" w:rsidTr="00B518F1">
        <w:tc>
          <w:tcPr>
            <w:tcW w:w="2130" w:type="dxa"/>
            <w:vAlign w:val="center"/>
          </w:tcPr>
          <w:p w14:paraId="21BA162D" w14:textId="77777777" w:rsidR="003E095D" w:rsidRPr="004D46AC" w:rsidRDefault="003E095D" w:rsidP="00B518F1">
            <w:pPr>
              <w:spacing w:line="240" w:lineRule="auto"/>
              <w:ind w:firstLine="0"/>
            </w:pPr>
            <w:r w:rsidRPr="004D46AC">
              <w:rPr>
                <w:rFonts w:eastAsia="SimSun"/>
                <w:color w:val="000000"/>
              </w:rPr>
              <w:t>TR15</w:t>
            </w:r>
          </w:p>
        </w:tc>
        <w:tc>
          <w:tcPr>
            <w:tcW w:w="2130" w:type="dxa"/>
            <w:vAlign w:val="center"/>
          </w:tcPr>
          <w:p w14:paraId="7AF1749E" w14:textId="77777777" w:rsidR="003E095D" w:rsidRPr="004D46AC" w:rsidRDefault="003E095D" w:rsidP="00B518F1">
            <w:pPr>
              <w:spacing w:line="240" w:lineRule="auto"/>
              <w:ind w:firstLine="0"/>
            </w:pPr>
            <w:r w:rsidRPr="004D46AC">
              <w:rPr>
                <w:rFonts w:eastAsia="SimSun"/>
                <w:color w:val="000000"/>
              </w:rPr>
              <w:t>TR7</w:t>
            </w:r>
          </w:p>
        </w:tc>
        <w:tc>
          <w:tcPr>
            <w:tcW w:w="2131" w:type="dxa"/>
            <w:vAlign w:val="center"/>
          </w:tcPr>
          <w:p w14:paraId="1C13BB0D"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3BFB99B2" w14:textId="77777777" w:rsidR="003E095D" w:rsidRPr="004D46AC" w:rsidRDefault="003E095D" w:rsidP="00B518F1">
            <w:pPr>
              <w:spacing w:line="240" w:lineRule="auto"/>
              <w:ind w:firstLine="0"/>
            </w:pPr>
            <w:r w:rsidRPr="004D46AC">
              <w:rPr>
                <w:rFonts w:eastAsia="SimSun"/>
                <w:color w:val="000000"/>
              </w:rPr>
              <w:t xml:space="preserve">0.63 </w:t>
            </w:r>
          </w:p>
        </w:tc>
      </w:tr>
      <w:tr w:rsidR="003E095D" w:rsidRPr="004D46AC" w14:paraId="70FA137E" w14:textId="77777777" w:rsidTr="00B518F1">
        <w:tc>
          <w:tcPr>
            <w:tcW w:w="2130" w:type="dxa"/>
            <w:vAlign w:val="center"/>
          </w:tcPr>
          <w:p w14:paraId="54112A5B" w14:textId="77777777" w:rsidR="003E095D" w:rsidRPr="004D46AC" w:rsidRDefault="003E095D" w:rsidP="00B518F1">
            <w:pPr>
              <w:spacing w:line="240" w:lineRule="auto"/>
              <w:ind w:firstLine="0"/>
            </w:pPr>
            <w:r w:rsidRPr="004D46AC">
              <w:rPr>
                <w:rFonts w:eastAsia="SimSun"/>
                <w:color w:val="000000"/>
              </w:rPr>
              <w:t>TR24</w:t>
            </w:r>
          </w:p>
        </w:tc>
        <w:tc>
          <w:tcPr>
            <w:tcW w:w="2130" w:type="dxa"/>
            <w:vAlign w:val="center"/>
          </w:tcPr>
          <w:p w14:paraId="3192C9C3" w14:textId="77777777" w:rsidR="003E095D" w:rsidRPr="004D46AC" w:rsidRDefault="003E095D" w:rsidP="00B518F1">
            <w:pPr>
              <w:spacing w:line="240" w:lineRule="auto"/>
              <w:ind w:firstLine="0"/>
            </w:pPr>
            <w:r w:rsidRPr="004D46AC">
              <w:rPr>
                <w:rFonts w:eastAsia="SimSun"/>
                <w:color w:val="000000"/>
              </w:rPr>
              <w:t>TR23</w:t>
            </w:r>
          </w:p>
        </w:tc>
        <w:tc>
          <w:tcPr>
            <w:tcW w:w="2131" w:type="dxa"/>
            <w:vAlign w:val="center"/>
          </w:tcPr>
          <w:p w14:paraId="67531C79"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A78379A" w14:textId="77777777" w:rsidR="003E095D" w:rsidRPr="004D46AC" w:rsidRDefault="003E095D" w:rsidP="00B518F1">
            <w:pPr>
              <w:spacing w:line="240" w:lineRule="auto"/>
              <w:ind w:firstLine="0"/>
            </w:pPr>
            <w:r w:rsidRPr="004D46AC">
              <w:rPr>
                <w:rFonts w:eastAsia="SimSun"/>
                <w:color w:val="000000"/>
              </w:rPr>
              <w:t xml:space="preserve">0.68 </w:t>
            </w:r>
          </w:p>
        </w:tc>
      </w:tr>
      <w:tr w:rsidR="003E095D" w:rsidRPr="004D46AC" w14:paraId="7AE83354" w14:textId="77777777" w:rsidTr="00B518F1">
        <w:tc>
          <w:tcPr>
            <w:tcW w:w="2130" w:type="dxa"/>
            <w:vAlign w:val="center"/>
          </w:tcPr>
          <w:p w14:paraId="44CAAF0D" w14:textId="77777777" w:rsidR="003E095D" w:rsidRPr="004D46AC" w:rsidRDefault="003E095D" w:rsidP="00B518F1">
            <w:pPr>
              <w:spacing w:line="240" w:lineRule="auto"/>
              <w:ind w:firstLine="0"/>
            </w:pPr>
            <w:r w:rsidRPr="004D46AC">
              <w:rPr>
                <w:rFonts w:eastAsia="SimSun"/>
                <w:color w:val="000000"/>
              </w:rPr>
              <w:t>TR24</w:t>
            </w:r>
          </w:p>
        </w:tc>
        <w:tc>
          <w:tcPr>
            <w:tcW w:w="2130" w:type="dxa"/>
            <w:vAlign w:val="center"/>
          </w:tcPr>
          <w:p w14:paraId="2EAA5D51" w14:textId="77777777" w:rsidR="003E095D" w:rsidRPr="004D46AC" w:rsidRDefault="003E095D" w:rsidP="00B518F1">
            <w:pPr>
              <w:spacing w:line="240" w:lineRule="auto"/>
              <w:ind w:firstLine="0"/>
            </w:pPr>
            <w:r w:rsidRPr="004D46AC">
              <w:rPr>
                <w:rFonts w:eastAsia="SimSun"/>
                <w:color w:val="000000"/>
              </w:rPr>
              <w:t>TR5</w:t>
            </w:r>
          </w:p>
        </w:tc>
        <w:tc>
          <w:tcPr>
            <w:tcW w:w="2131" w:type="dxa"/>
            <w:vAlign w:val="center"/>
          </w:tcPr>
          <w:p w14:paraId="58CAACDD"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2567C37" w14:textId="77777777" w:rsidR="003E095D" w:rsidRPr="004D46AC" w:rsidRDefault="003E095D" w:rsidP="00B518F1">
            <w:pPr>
              <w:spacing w:line="240" w:lineRule="auto"/>
              <w:ind w:firstLine="0"/>
            </w:pPr>
            <w:r w:rsidRPr="004D46AC">
              <w:rPr>
                <w:rFonts w:eastAsia="SimSun"/>
                <w:color w:val="000000"/>
              </w:rPr>
              <w:t xml:space="preserve">0.68 </w:t>
            </w:r>
          </w:p>
        </w:tc>
      </w:tr>
      <w:tr w:rsidR="003E095D" w:rsidRPr="004D46AC" w14:paraId="668D6F11" w14:textId="77777777" w:rsidTr="00B518F1">
        <w:tc>
          <w:tcPr>
            <w:tcW w:w="2130" w:type="dxa"/>
            <w:vAlign w:val="center"/>
          </w:tcPr>
          <w:p w14:paraId="39060657" w14:textId="77777777" w:rsidR="003E095D" w:rsidRPr="004D46AC" w:rsidRDefault="003E095D" w:rsidP="00B518F1">
            <w:pPr>
              <w:spacing w:line="240" w:lineRule="auto"/>
              <w:ind w:firstLine="0"/>
            </w:pPr>
            <w:r w:rsidRPr="004D46AC">
              <w:rPr>
                <w:rFonts w:eastAsia="SimSun"/>
                <w:color w:val="000000"/>
              </w:rPr>
              <w:t>TR30</w:t>
            </w:r>
          </w:p>
        </w:tc>
        <w:tc>
          <w:tcPr>
            <w:tcW w:w="2130" w:type="dxa"/>
            <w:vAlign w:val="center"/>
          </w:tcPr>
          <w:p w14:paraId="372E15F1" w14:textId="77777777" w:rsidR="003E095D" w:rsidRPr="004D46AC" w:rsidRDefault="003E095D" w:rsidP="00B518F1">
            <w:pPr>
              <w:spacing w:line="240" w:lineRule="auto"/>
              <w:ind w:firstLine="0"/>
            </w:pPr>
            <w:r w:rsidRPr="004D46AC">
              <w:rPr>
                <w:rFonts w:eastAsia="SimSun"/>
                <w:color w:val="000000"/>
              </w:rPr>
              <w:t>TR29</w:t>
            </w:r>
          </w:p>
        </w:tc>
        <w:tc>
          <w:tcPr>
            <w:tcW w:w="2131" w:type="dxa"/>
            <w:vAlign w:val="center"/>
          </w:tcPr>
          <w:p w14:paraId="7E0C8C53"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42703AD2" w14:textId="77777777" w:rsidR="003E095D" w:rsidRPr="004D46AC" w:rsidRDefault="003E095D" w:rsidP="00B518F1">
            <w:pPr>
              <w:spacing w:line="240" w:lineRule="auto"/>
              <w:ind w:firstLine="0"/>
            </w:pPr>
            <w:r w:rsidRPr="004D46AC">
              <w:rPr>
                <w:rFonts w:eastAsia="SimSun"/>
                <w:color w:val="000000"/>
              </w:rPr>
              <w:t xml:space="preserve">0.69 </w:t>
            </w:r>
          </w:p>
        </w:tc>
      </w:tr>
      <w:tr w:rsidR="003E095D" w:rsidRPr="004D46AC" w14:paraId="5D8FCBA3" w14:textId="77777777" w:rsidTr="00B518F1">
        <w:tc>
          <w:tcPr>
            <w:tcW w:w="2130" w:type="dxa"/>
            <w:vAlign w:val="center"/>
          </w:tcPr>
          <w:p w14:paraId="5AEAC4C7" w14:textId="77777777" w:rsidR="003E095D" w:rsidRPr="004D46AC" w:rsidRDefault="003E095D" w:rsidP="00B518F1">
            <w:pPr>
              <w:spacing w:line="240" w:lineRule="auto"/>
              <w:ind w:firstLine="0"/>
            </w:pPr>
            <w:r w:rsidRPr="004D46AC">
              <w:rPr>
                <w:rFonts w:eastAsia="SimSun"/>
                <w:color w:val="000000"/>
              </w:rPr>
              <w:t>TR14</w:t>
            </w:r>
          </w:p>
        </w:tc>
        <w:tc>
          <w:tcPr>
            <w:tcW w:w="2130" w:type="dxa"/>
            <w:vAlign w:val="center"/>
          </w:tcPr>
          <w:p w14:paraId="7B8BEBD1" w14:textId="77777777" w:rsidR="003E095D" w:rsidRPr="004D46AC" w:rsidRDefault="003E095D" w:rsidP="00B518F1">
            <w:pPr>
              <w:spacing w:line="240" w:lineRule="auto"/>
              <w:ind w:firstLine="0"/>
            </w:pPr>
            <w:r w:rsidRPr="004D46AC">
              <w:rPr>
                <w:rFonts w:eastAsia="SimSun"/>
                <w:color w:val="000000"/>
              </w:rPr>
              <w:t>TR13</w:t>
            </w:r>
          </w:p>
        </w:tc>
        <w:tc>
          <w:tcPr>
            <w:tcW w:w="2131" w:type="dxa"/>
            <w:vAlign w:val="center"/>
          </w:tcPr>
          <w:p w14:paraId="41E2B5D9"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316728AA" w14:textId="77777777" w:rsidR="003E095D" w:rsidRPr="004D46AC" w:rsidRDefault="003E095D" w:rsidP="00B518F1">
            <w:pPr>
              <w:spacing w:line="240" w:lineRule="auto"/>
              <w:ind w:firstLine="0"/>
            </w:pPr>
            <w:r w:rsidRPr="004D46AC">
              <w:rPr>
                <w:rFonts w:eastAsia="SimSun"/>
                <w:color w:val="000000"/>
              </w:rPr>
              <w:t xml:space="preserve">0.69 </w:t>
            </w:r>
          </w:p>
        </w:tc>
      </w:tr>
      <w:tr w:rsidR="003E095D" w:rsidRPr="004D46AC" w14:paraId="7EB6F2B9" w14:textId="77777777" w:rsidTr="00B518F1">
        <w:tc>
          <w:tcPr>
            <w:tcW w:w="2130" w:type="dxa"/>
            <w:vAlign w:val="center"/>
          </w:tcPr>
          <w:p w14:paraId="708409CC" w14:textId="77777777" w:rsidR="003E095D" w:rsidRPr="004D46AC" w:rsidRDefault="003E095D" w:rsidP="00B518F1">
            <w:pPr>
              <w:spacing w:line="240" w:lineRule="auto"/>
              <w:ind w:firstLine="0"/>
            </w:pPr>
            <w:r w:rsidRPr="004D46AC">
              <w:rPr>
                <w:rFonts w:eastAsia="SimSun"/>
                <w:color w:val="000000"/>
              </w:rPr>
              <w:t>TR22</w:t>
            </w:r>
          </w:p>
        </w:tc>
        <w:tc>
          <w:tcPr>
            <w:tcW w:w="2130" w:type="dxa"/>
            <w:vAlign w:val="center"/>
          </w:tcPr>
          <w:p w14:paraId="1478D24B" w14:textId="77777777" w:rsidR="003E095D" w:rsidRPr="004D46AC" w:rsidRDefault="003E095D" w:rsidP="00B518F1">
            <w:pPr>
              <w:spacing w:line="240" w:lineRule="auto"/>
              <w:ind w:firstLine="0"/>
            </w:pPr>
            <w:r w:rsidRPr="004D46AC">
              <w:rPr>
                <w:rFonts w:eastAsia="SimSun"/>
                <w:color w:val="000000"/>
              </w:rPr>
              <w:t>TR14</w:t>
            </w:r>
          </w:p>
        </w:tc>
        <w:tc>
          <w:tcPr>
            <w:tcW w:w="2131" w:type="dxa"/>
            <w:vAlign w:val="center"/>
          </w:tcPr>
          <w:p w14:paraId="7A285265"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7EDF402" w14:textId="77777777" w:rsidR="003E095D" w:rsidRPr="004D46AC" w:rsidRDefault="003E095D" w:rsidP="00B518F1">
            <w:pPr>
              <w:spacing w:line="240" w:lineRule="auto"/>
              <w:ind w:firstLine="0"/>
            </w:pPr>
            <w:r w:rsidRPr="004D46AC">
              <w:rPr>
                <w:rFonts w:eastAsia="SimSun"/>
                <w:color w:val="000000"/>
              </w:rPr>
              <w:t xml:space="preserve">0.69 </w:t>
            </w:r>
          </w:p>
        </w:tc>
      </w:tr>
      <w:tr w:rsidR="003E095D" w:rsidRPr="004D46AC" w14:paraId="08EF36AC" w14:textId="77777777" w:rsidTr="00B518F1">
        <w:tc>
          <w:tcPr>
            <w:tcW w:w="2130" w:type="dxa"/>
            <w:vAlign w:val="center"/>
          </w:tcPr>
          <w:p w14:paraId="4B8AA91A" w14:textId="77777777" w:rsidR="003E095D" w:rsidRPr="004D46AC" w:rsidRDefault="003E095D" w:rsidP="00B518F1">
            <w:pPr>
              <w:spacing w:line="240" w:lineRule="auto"/>
              <w:ind w:firstLine="0"/>
            </w:pPr>
            <w:r w:rsidRPr="004D46AC">
              <w:rPr>
                <w:rFonts w:eastAsia="SimSun"/>
                <w:color w:val="000000"/>
              </w:rPr>
              <w:t>TR22</w:t>
            </w:r>
          </w:p>
        </w:tc>
        <w:tc>
          <w:tcPr>
            <w:tcW w:w="2130" w:type="dxa"/>
            <w:vAlign w:val="center"/>
          </w:tcPr>
          <w:p w14:paraId="21863B11" w14:textId="77777777" w:rsidR="003E095D" w:rsidRPr="004D46AC" w:rsidRDefault="003E095D" w:rsidP="00B518F1">
            <w:pPr>
              <w:spacing w:line="240" w:lineRule="auto"/>
              <w:ind w:firstLine="0"/>
            </w:pPr>
            <w:r w:rsidRPr="004D46AC">
              <w:rPr>
                <w:rFonts w:eastAsia="SimSun"/>
                <w:color w:val="000000"/>
              </w:rPr>
              <w:t>TR25</w:t>
            </w:r>
          </w:p>
        </w:tc>
        <w:tc>
          <w:tcPr>
            <w:tcW w:w="2131" w:type="dxa"/>
            <w:vAlign w:val="center"/>
          </w:tcPr>
          <w:p w14:paraId="3594AEE1"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2405ADF4" w14:textId="77777777" w:rsidR="003E095D" w:rsidRPr="004D46AC" w:rsidRDefault="003E095D" w:rsidP="00B518F1">
            <w:pPr>
              <w:spacing w:line="240" w:lineRule="auto"/>
              <w:ind w:firstLine="0"/>
            </w:pPr>
            <w:r w:rsidRPr="004D46AC">
              <w:rPr>
                <w:rFonts w:eastAsia="SimSun"/>
                <w:color w:val="000000"/>
              </w:rPr>
              <w:t xml:space="preserve">0.72 </w:t>
            </w:r>
          </w:p>
        </w:tc>
      </w:tr>
      <w:tr w:rsidR="003E095D" w:rsidRPr="004D46AC" w14:paraId="14B710E1" w14:textId="77777777" w:rsidTr="00B518F1">
        <w:tc>
          <w:tcPr>
            <w:tcW w:w="2130" w:type="dxa"/>
            <w:vAlign w:val="center"/>
          </w:tcPr>
          <w:p w14:paraId="5C110D78" w14:textId="77777777" w:rsidR="003E095D" w:rsidRPr="004D46AC" w:rsidRDefault="003E095D" w:rsidP="00B518F1">
            <w:pPr>
              <w:spacing w:line="240" w:lineRule="auto"/>
              <w:ind w:firstLine="0"/>
            </w:pPr>
            <w:r w:rsidRPr="004D46AC">
              <w:rPr>
                <w:rFonts w:eastAsia="SimSun"/>
                <w:color w:val="000000"/>
              </w:rPr>
              <w:t>TR16</w:t>
            </w:r>
          </w:p>
        </w:tc>
        <w:tc>
          <w:tcPr>
            <w:tcW w:w="2130" w:type="dxa"/>
            <w:vAlign w:val="center"/>
          </w:tcPr>
          <w:p w14:paraId="153E9C26" w14:textId="77777777" w:rsidR="003E095D" w:rsidRPr="004D46AC" w:rsidRDefault="003E095D" w:rsidP="00B518F1">
            <w:pPr>
              <w:spacing w:line="240" w:lineRule="auto"/>
              <w:ind w:firstLine="0"/>
            </w:pPr>
            <w:r w:rsidRPr="004D46AC">
              <w:rPr>
                <w:rFonts w:eastAsia="SimSun"/>
                <w:color w:val="000000"/>
              </w:rPr>
              <w:t>TR14</w:t>
            </w:r>
          </w:p>
        </w:tc>
        <w:tc>
          <w:tcPr>
            <w:tcW w:w="2131" w:type="dxa"/>
            <w:vAlign w:val="center"/>
          </w:tcPr>
          <w:p w14:paraId="1DF91255"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7410704" w14:textId="77777777" w:rsidR="003E095D" w:rsidRPr="004D46AC" w:rsidRDefault="003E095D" w:rsidP="00B518F1">
            <w:pPr>
              <w:spacing w:line="240" w:lineRule="auto"/>
              <w:ind w:firstLine="0"/>
            </w:pPr>
            <w:r w:rsidRPr="004D46AC">
              <w:rPr>
                <w:rFonts w:eastAsia="SimSun"/>
                <w:color w:val="000000"/>
              </w:rPr>
              <w:t xml:space="preserve">0.72 </w:t>
            </w:r>
          </w:p>
        </w:tc>
      </w:tr>
      <w:tr w:rsidR="003E095D" w:rsidRPr="004D46AC" w14:paraId="79301C9A" w14:textId="77777777" w:rsidTr="00B518F1">
        <w:tc>
          <w:tcPr>
            <w:tcW w:w="2130" w:type="dxa"/>
            <w:vAlign w:val="center"/>
          </w:tcPr>
          <w:p w14:paraId="4E0F34EB" w14:textId="77777777" w:rsidR="003E095D" w:rsidRPr="004D46AC" w:rsidRDefault="003E095D" w:rsidP="00B518F1">
            <w:pPr>
              <w:spacing w:line="240" w:lineRule="auto"/>
              <w:ind w:firstLine="0"/>
            </w:pPr>
            <w:r w:rsidRPr="004D46AC">
              <w:rPr>
                <w:rFonts w:eastAsia="SimSun"/>
                <w:color w:val="000000"/>
              </w:rPr>
              <w:t>TR6</w:t>
            </w:r>
          </w:p>
        </w:tc>
        <w:tc>
          <w:tcPr>
            <w:tcW w:w="2130" w:type="dxa"/>
            <w:vAlign w:val="center"/>
          </w:tcPr>
          <w:p w14:paraId="386E0984" w14:textId="77777777" w:rsidR="003E095D" w:rsidRPr="004D46AC" w:rsidRDefault="003E095D" w:rsidP="00B518F1">
            <w:pPr>
              <w:spacing w:line="240" w:lineRule="auto"/>
              <w:ind w:firstLine="0"/>
            </w:pPr>
            <w:r w:rsidRPr="004D46AC">
              <w:rPr>
                <w:rFonts w:eastAsia="SimSun"/>
                <w:color w:val="000000"/>
              </w:rPr>
              <w:t>TR9</w:t>
            </w:r>
          </w:p>
        </w:tc>
        <w:tc>
          <w:tcPr>
            <w:tcW w:w="2131" w:type="dxa"/>
            <w:vAlign w:val="center"/>
          </w:tcPr>
          <w:p w14:paraId="706FE73D"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10070AA5" w14:textId="77777777" w:rsidR="003E095D" w:rsidRPr="004D46AC" w:rsidRDefault="003E095D" w:rsidP="00B518F1">
            <w:pPr>
              <w:spacing w:line="240" w:lineRule="auto"/>
              <w:ind w:firstLine="0"/>
            </w:pPr>
            <w:r w:rsidRPr="004D46AC">
              <w:rPr>
                <w:rFonts w:eastAsia="SimSun"/>
                <w:color w:val="000000"/>
              </w:rPr>
              <w:t xml:space="preserve">0.75 </w:t>
            </w:r>
          </w:p>
        </w:tc>
      </w:tr>
      <w:tr w:rsidR="003E095D" w:rsidRPr="004D46AC" w14:paraId="4CCD6F00" w14:textId="77777777" w:rsidTr="00B518F1">
        <w:tc>
          <w:tcPr>
            <w:tcW w:w="2130" w:type="dxa"/>
            <w:vAlign w:val="center"/>
          </w:tcPr>
          <w:p w14:paraId="45C636C8" w14:textId="77777777" w:rsidR="003E095D" w:rsidRPr="004D46AC" w:rsidRDefault="003E095D" w:rsidP="00B518F1">
            <w:pPr>
              <w:spacing w:line="240" w:lineRule="auto"/>
              <w:ind w:firstLine="0"/>
            </w:pPr>
            <w:r w:rsidRPr="004D46AC">
              <w:rPr>
                <w:rFonts w:eastAsia="SimSun"/>
                <w:color w:val="000000"/>
              </w:rPr>
              <w:t>TR30</w:t>
            </w:r>
          </w:p>
        </w:tc>
        <w:tc>
          <w:tcPr>
            <w:tcW w:w="2130" w:type="dxa"/>
            <w:vAlign w:val="center"/>
          </w:tcPr>
          <w:p w14:paraId="603073CA" w14:textId="77777777" w:rsidR="003E095D" w:rsidRPr="004D46AC" w:rsidRDefault="003E095D" w:rsidP="00B518F1">
            <w:pPr>
              <w:spacing w:line="240" w:lineRule="auto"/>
              <w:ind w:firstLine="0"/>
            </w:pPr>
            <w:r w:rsidRPr="004D46AC">
              <w:rPr>
                <w:rFonts w:eastAsia="SimSun"/>
                <w:color w:val="000000"/>
              </w:rPr>
              <w:t>TR33</w:t>
            </w:r>
          </w:p>
        </w:tc>
        <w:tc>
          <w:tcPr>
            <w:tcW w:w="2131" w:type="dxa"/>
            <w:vAlign w:val="center"/>
          </w:tcPr>
          <w:p w14:paraId="3DD7041E"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CC5D6C6" w14:textId="77777777" w:rsidR="003E095D" w:rsidRPr="004D46AC" w:rsidRDefault="003E095D" w:rsidP="00B518F1">
            <w:pPr>
              <w:spacing w:line="240" w:lineRule="auto"/>
              <w:ind w:firstLine="0"/>
            </w:pPr>
            <w:r w:rsidRPr="004D46AC">
              <w:rPr>
                <w:rFonts w:eastAsia="SimSun"/>
                <w:color w:val="000000"/>
              </w:rPr>
              <w:t xml:space="preserve">0.80 </w:t>
            </w:r>
          </w:p>
        </w:tc>
      </w:tr>
      <w:tr w:rsidR="003E095D" w:rsidRPr="004D46AC" w14:paraId="7AB31291" w14:textId="77777777" w:rsidTr="00B518F1">
        <w:tc>
          <w:tcPr>
            <w:tcW w:w="2130" w:type="dxa"/>
            <w:vAlign w:val="center"/>
          </w:tcPr>
          <w:p w14:paraId="0028439F" w14:textId="77777777" w:rsidR="003E095D" w:rsidRPr="004D46AC" w:rsidRDefault="003E095D" w:rsidP="00B518F1">
            <w:pPr>
              <w:spacing w:line="240" w:lineRule="auto"/>
              <w:ind w:firstLine="0"/>
            </w:pPr>
            <w:r w:rsidRPr="004D46AC">
              <w:rPr>
                <w:rFonts w:eastAsia="SimSun"/>
                <w:color w:val="000000"/>
              </w:rPr>
              <w:t>TR16</w:t>
            </w:r>
          </w:p>
        </w:tc>
        <w:tc>
          <w:tcPr>
            <w:tcW w:w="2130" w:type="dxa"/>
            <w:vAlign w:val="center"/>
          </w:tcPr>
          <w:p w14:paraId="23B6DE77" w14:textId="77777777" w:rsidR="003E095D" w:rsidRPr="004D46AC" w:rsidRDefault="003E095D" w:rsidP="00B518F1">
            <w:pPr>
              <w:spacing w:line="240" w:lineRule="auto"/>
              <w:ind w:firstLine="0"/>
            </w:pPr>
            <w:r w:rsidRPr="004D46AC">
              <w:rPr>
                <w:rFonts w:eastAsia="SimSun"/>
                <w:color w:val="000000"/>
              </w:rPr>
              <w:t>TR13</w:t>
            </w:r>
          </w:p>
        </w:tc>
        <w:tc>
          <w:tcPr>
            <w:tcW w:w="2131" w:type="dxa"/>
            <w:vAlign w:val="center"/>
          </w:tcPr>
          <w:p w14:paraId="39813B72"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2DD25FD4" w14:textId="77777777" w:rsidR="003E095D" w:rsidRPr="004D46AC" w:rsidRDefault="003E095D" w:rsidP="00B518F1">
            <w:pPr>
              <w:spacing w:line="240" w:lineRule="auto"/>
              <w:ind w:firstLine="0"/>
            </w:pPr>
            <w:r w:rsidRPr="004D46AC">
              <w:rPr>
                <w:rFonts w:eastAsia="SimSun"/>
                <w:color w:val="000000"/>
              </w:rPr>
              <w:t xml:space="preserve">0.81 </w:t>
            </w:r>
          </w:p>
        </w:tc>
      </w:tr>
      <w:tr w:rsidR="003E095D" w:rsidRPr="004D46AC" w14:paraId="7504703D" w14:textId="77777777" w:rsidTr="00B518F1">
        <w:tc>
          <w:tcPr>
            <w:tcW w:w="2130" w:type="dxa"/>
            <w:vAlign w:val="center"/>
          </w:tcPr>
          <w:p w14:paraId="42DC3A9D" w14:textId="77777777" w:rsidR="003E095D" w:rsidRPr="004D46AC" w:rsidRDefault="003E095D" w:rsidP="00B518F1">
            <w:pPr>
              <w:spacing w:line="240" w:lineRule="auto"/>
              <w:ind w:firstLine="0"/>
            </w:pPr>
            <w:r w:rsidRPr="004D46AC">
              <w:rPr>
                <w:rFonts w:eastAsia="SimSun"/>
                <w:color w:val="000000"/>
              </w:rPr>
              <w:t>TR5</w:t>
            </w:r>
          </w:p>
        </w:tc>
        <w:tc>
          <w:tcPr>
            <w:tcW w:w="2130" w:type="dxa"/>
            <w:vAlign w:val="center"/>
          </w:tcPr>
          <w:p w14:paraId="15C16F48" w14:textId="77777777" w:rsidR="003E095D" w:rsidRPr="004D46AC" w:rsidRDefault="003E095D" w:rsidP="00B518F1">
            <w:pPr>
              <w:spacing w:line="240" w:lineRule="auto"/>
              <w:ind w:firstLine="0"/>
            </w:pPr>
            <w:r w:rsidRPr="004D46AC">
              <w:rPr>
                <w:rFonts w:eastAsia="SimSun"/>
                <w:color w:val="000000"/>
              </w:rPr>
              <w:t>TR12</w:t>
            </w:r>
          </w:p>
        </w:tc>
        <w:tc>
          <w:tcPr>
            <w:tcW w:w="2131" w:type="dxa"/>
            <w:vAlign w:val="center"/>
          </w:tcPr>
          <w:p w14:paraId="38D6D341"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24734400" w14:textId="77777777" w:rsidR="003E095D" w:rsidRPr="004D46AC" w:rsidRDefault="003E095D" w:rsidP="00B518F1">
            <w:pPr>
              <w:spacing w:line="240" w:lineRule="auto"/>
              <w:ind w:firstLine="0"/>
            </w:pPr>
            <w:r w:rsidRPr="004D46AC">
              <w:rPr>
                <w:rFonts w:eastAsia="SimSun"/>
                <w:color w:val="000000"/>
              </w:rPr>
              <w:t xml:space="preserve">0.92 </w:t>
            </w:r>
          </w:p>
        </w:tc>
      </w:tr>
      <w:tr w:rsidR="003E095D" w:rsidRPr="004D46AC" w14:paraId="5767FCF2" w14:textId="77777777" w:rsidTr="00B518F1">
        <w:tc>
          <w:tcPr>
            <w:tcW w:w="2130" w:type="dxa"/>
            <w:vAlign w:val="center"/>
          </w:tcPr>
          <w:p w14:paraId="4652D5DC" w14:textId="77777777" w:rsidR="003E095D" w:rsidRPr="004D46AC" w:rsidRDefault="003E095D" w:rsidP="00B518F1">
            <w:pPr>
              <w:spacing w:line="240" w:lineRule="auto"/>
              <w:ind w:firstLine="0"/>
            </w:pPr>
            <w:r w:rsidRPr="004D46AC">
              <w:rPr>
                <w:rFonts w:eastAsia="SimSun"/>
                <w:color w:val="000000"/>
              </w:rPr>
              <w:t>TR22</w:t>
            </w:r>
          </w:p>
        </w:tc>
        <w:tc>
          <w:tcPr>
            <w:tcW w:w="2130" w:type="dxa"/>
            <w:vAlign w:val="center"/>
          </w:tcPr>
          <w:p w14:paraId="72E342F1" w14:textId="77777777" w:rsidR="003E095D" w:rsidRPr="004D46AC" w:rsidRDefault="003E095D" w:rsidP="00B518F1">
            <w:pPr>
              <w:spacing w:line="240" w:lineRule="auto"/>
              <w:ind w:firstLine="0"/>
            </w:pPr>
            <w:r w:rsidRPr="004D46AC">
              <w:rPr>
                <w:rFonts w:eastAsia="SimSun"/>
                <w:color w:val="000000"/>
              </w:rPr>
              <w:t>TR20</w:t>
            </w:r>
          </w:p>
        </w:tc>
        <w:tc>
          <w:tcPr>
            <w:tcW w:w="2131" w:type="dxa"/>
            <w:vAlign w:val="center"/>
          </w:tcPr>
          <w:p w14:paraId="138C1895"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0097B784" w14:textId="77777777" w:rsidR="003E095D" w:rsidRPr="004D46AC" w:rsidRDefault="003E095D" w:rsidP="00B518F1">
            <w:pPr>
              <w:spacing w:line="240" w:lineRule="auto"/>
              <w:ind w:firstLine="0"/>
            </w:pPr>
            <w:r w:rsidRPr="004D46AC">
              <w:rPr>
                <w:rFonts w:eastAsia="SimSun"/>
                <w:color w:val="000000"/>
              </w:rPr>
              <w:t xml:space="preserve">0.93 </w:t>
            </w:r>
          </w:p>
        </w:tc>
      </w:tr>
      <w:tr w:rsidR="003E095D" w:rsidRPr="004D46AC" w14:paraId="21B48CBA" w14:textId="77777777" w:rsidTr="00B518F1">
        <w:tc>
          <w:tcPr>
            <w:tcW w:w="2130" w:type="dxa"/>
            <w:vAlign w:val="center"/>
          </w:tcPr>
          <w:p w14:paraId="4B5FC062" w14:textId="77777777" w:rsidR="003E095D" w:rsidRPr="004D46AC" w:rsidRDefault="003E095D" w:rsidP="00B518F1">
            <w:pPr>
              <w:spacing w:line="240" w:lineRule="auto"/>
              <w:ind w:firstLine="0"/>
            </w:pPr>
            <w:r w:rsidRPr="004D46AC">
              <w:rPr>
                <w:rFonts w:eastAsia="SimSun"/>
                <w:color w:val="000000"/>
              </w:rPr>
              <w:t>TR25</w:t>
            </w:r>
          </w:p>
        </w:tc>
        <w:tc>
          <w:tcPr>
            <w:tcW w:w="2130" w:type="dxa"/>
            <w:vAlign w:val="center"/>
          </w:tcPr>
          <w:p w14:paraId="33644732" w14:textId="77777777" w:rsidR="003E095D" w:rsidRPr="004D46AC" w:rsidRDefault="003E095D" w:rsidP="00B518F1">
            <w:pPr>
              <w:spacing w:line="240" w:lineRule="auto"/>
              <w:ind w:firstLine="0"/>
            </w:pPr>
            <w:r w:rsidRPr="004D46AC">
              <w:rPr>
                <w:rFonts w:eastAsia="SimSun"/>
                <w:color w:val="000000"/>
              </w:rPr>
              <w:t>TR20</w:t>
            </w:r>
          </w:p>
        </w:tc>
        <w:tc>
          <w:tcPr>
            <w:tcW w:w="2131" w:type="dxa"/>
            <w:vAlign w:val="center"/>
          </w:tcPr>
          <w:p w14:paraId="290C099B"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4DD93AE0" w14:textId="77777777" w:rsidR="003E095D" w:rsidRPr="004D46AC" w:rsidRDefault="003E095D" w:rsidP="00B518F1">
            <w:pPr>
              <w:spacing w:line="240" w:lineRule="auto"/>
              <w:ind w:firstLine="0"/>
            </w:pPr>
            <w:r w:rsidRPr="004D46AC">
              <w:rPr>
                <w:rFonts w:eastAsia="SimSun"/>
                <w:color w:val="000000"/>
              </w:rPr>
              <w:t xml:space="preserve">0.73 </w:t>
            </w:r>
          </w:p>
        </w:tc>
      </w:tr>
      <w:tr w:rsidR="003E095D" w:rsidRPr="004D46AC" w14:paraId="3A7A5EB5" w14:textId="77777777" w:rsidTr="00B518F1">
        <w:tc>
          <w:tcPr>
            <w:tcW w:w="2130" w:type="dxa"/>
            <w:vAlign w:val="center"/>
          </w:tcPr>
          <w:p w14:paraId="26877DE2" w14:textId="77777777" w:rsidR="003E095D" w:rsidRPr="004D46AC" w:rsidRDefault="003E095D" w:rsidP="00B518F1">
            <w:pPr>
              <w:spacing w:line="240" w:lineRule="auto"/>
              <w:ind w:firstLine="0"/>
            </w:pPr>
            <w:r w:rsidRPr="004D46AC">
              <w:rPr>
                <w:rFonts w:eastAsia="SimSun"/>
                <w:color w:val="000000"/>
              </w:rPr>
              <w:t>TR26</w:t>
            </w:r>
          </w:p>
        </w:tc>
        <w:tc>
          <w:tcPr>
            <w:tcW w:w="2130" w:type="dxa"/>
            <w:vAlign w:val="center"/>
          </w:tcPr>
          <w:p w14:paraId="36F5176D" w14:textId="77777777" w:rsidR="003E095D" w:rsidRPr="004D46AC" w:rsidRDefault="003E095D" w:rsidP="00B518F1">
            <w:pPr>
              <w:spacing w:line="240" w:lineRule="auto"/>
              <w:ind w:firstLine="0"/>
            </w:pPr>
            <w:r w:rsidRPr="004D46AC">
              <w:rPr>
                <w:rFonts w:eastAsia="SimSun"/>
                <w:color w:val="000000"/>
              </w:rPr>
              <w:t>TR27</w:t>
            </w:r>
          </w:p>
        </w:tc>
        <w:tc>
          <w:tcPr>
            <w:tcW w:w="2131" w:type="dxa"/>
            <w:vAlign w:val="center"/>
          </w:tcPr>
          <w:p w14:paraId="73907FA5"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097DCEFC" w14:textId="77777777" w:rsidR="003E095D" w:rsidRPr="004D46AC" w:rsidRDefault="003E095D" w:rsidP="00B518F1">
            <w:pPr>
              <w:spacing w:line="240" w:lineRule="auto"/>
              <w:ind w:firstLine="0"/>
            </w:pPr>
            <w:r w:rsidRPr="004D46AC">
              <w:rPr>
                <w:rFonts w:eastAsia="SimSun"/>
                <w:color w:val="000000"/>
              </w:rPr>
              <w:t xml:space="preserve">0.84 </w:t>
            </w:r>
          </w:p>
        </w:tc>
      </w:tr>
      <w:tr w:rsidR="003E095D" w:rsidRPr="004D46AC" w14:paraId="6F7F597A" w14:textId="77777777" w:rsidTr="00B518F1">
        <w:tc>
          <w:tcPr>
            <w:tcW w:w="2130" w:type="dxa"/>
            <w:vAlign w:val="center"/>
          </w:tcPr>
          <w:p w14:paraId="03901256" w14:textId="77777777" w:rsidR="003E095D" w:rsidRPr="004D46AC" w:rsidRDefault="003E095D" w:rsidP="00B518F1">
            <w:pPr>
              <w:spacing w:line="240" w:lineRule="auto"/>
              <w:ind w:firstLine="0"/>
            </w:pPr>
            <w:r w:rsidRPr="004D46AC">
              <w:rPr>
                <w:rFonts w:eastAsia="SimSun"/>
                <w:color w:val="000000"/>
              </w:rPr>
              <w:t>TR34</w:t>
            </w:r>
          </w:p>
        </w:tc>
        <w:tc>
          <w:tcPr>
            <w:tcW w:w="2130" w:type="dxa"/>
            <w:vAlign w:val="center"/>
          </w:tcPr>
          <w:p w14:paraId="491C12C8" w14:textId="77777777" w:rsidR="003E095D" w:rsidRPr="004D46AC" w:rsidRDefault="003E095D" w:rsidP="00B518F1">
            <w:pPr>
              <w:spacing w:line="240" w:lineRule="auto"/>
              <w:ind w:firstLine="0"/>
            </w:pPr>
            <w:r w:rsidRPr="004D46AC">
              <w:rPr>
                <w:rFonts w:eastAsia="SimSun"/>
                <w:color w:val="000000"/>
              </w:rPr>
              <w:t>TR7</w:t>
            </w:r>
          </w:p>
        </w:tc>
        <w:tc>
          <w:tcPr>
            <w:tcW w:w="2131" w:type="dxa"/>
            <w:vAlign w:val="center"/>
          </w:tcPr>
          <w:p w14:paraId="55095C92"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633125AD" w14:textId="77777777" w:rsidR="003E095D" w:rsidRPr="004D46AC" w:rsidRDefault="003E095D" w:rsidP="00B518F1">
            <w:pPr>
              <w:spacing w:line="240" w:lineRule="auto"/>
              <w:ind w:firstLine="0"/>
            </w:pPr>
            <w:r w:rsidRPr="004D46AC">
              <w:rPr>
                <w:rFonts w:eastAsia="SimSun"/>
                <w:color w:val="000000"/>
              </w:rPr>
              <w:t xml:space="preserve">0.62 </w:t>
            </w:r>
          </w:p>
        </w:tc>
      </w:tr>
      <w:tr w:rsidR="003E095D" w:rsidRPr="004D46AC" w14:paraId="1C1BF1F4" w14:textId="77777777" w:rsidTr="00B518F1">
        <w:tc>
          <w:tcPr>
            <w:tcW w:w="2130" w:type="dxa"/>
            <w:vAlign w:val="center"/>
          </w:tcPr>
          <w:p w14:paraId="0398924A" w14:textId="77777777" w:rsidR="003E095D" w:rsidRPr="004D46AC" w:rsidRDefault="003E095D" w:rsidP="00B518F1">
            <w:pPr>
              <w:spacing w:line="240" w:lineRule="auto"/>
              <w:ind w:firstLine="0"/>
            </w:pPr>
            <w:r w:rsidRPr="004D46AC">
              <w:rPr>
                <w:rFonts w:eastAsia="SimSun"/>
                <w:color w:val="000000"/>
              </w:rPr>
              <w:t>TR16</w:t>
            </w:r>
          </w:p>
        </w:tc>
        <w:tc>
          <w:tcPr>
            <w:tcW w:w="2130" w:type="dxa"/>
            <w:vAlign w:val="center"/>
          </w:tcPr>
          <w:p w14:paraId="0F30C2D4" w14:textId="77777777" w:rsidR="003E095D" w:rsidRPr="004D46AC" w:rsidRDefault="003E095D" w:rsidP="00B518F1">
            <w:pPr>
              <w:spacing w:line="240" w:lineRule="auto"/>
              <w:ind w:firstLine="0"/>
            </w:pPr>
            <w:r w:rsidRPr="004D46AC">
              <w:rPr>
                <w:rFonts w:eastAsia="SimSun"/>
                <w:color w:val="000000"/>
              </w:rPr>
              <w:t>TR25</w:t>
            </w:r>
          </w:p>
        </w:tc>
        <w:tc>
          <w:tcPr>
            <w:tcW w:w="2131" w:type="dxa"/>
            <w:vAlign w:val="center"/>
          </w:tcPr>
          <w:p w14:paraId="5CAEFD5B"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403A6AB1" w14:textId="77777777" w:rsidR="003E095D" w:rsidRPr="004D46AC" w:rsidRDefault="003E095D" w:rsidP="00B518F1">
            <w:pPr>
              <w:spacing w:line="240" w:lineRule="auto"/>
              <w:ind w:firstLine="0"/>
            </w:pPr>
            <w:r w:rsidRPr="004D46AC">
              <w:rPr>
                <w:rFonts w:eastAsia="SimSun"/>
                <w:color w:val="000000"/>
              </w:rPr>
              <w:t xml:space="preserve">0.66 </w:t>
            </w:r>
          </w:p>
        </w:tc>
      </w:tr>
      <w:tr w:rsidR="003E095D" w:rsidRPr="004D46AC" w14:paraId="61FFE5BD" w14:textId="77777777" w:rsidTr="00B518F1">
        <w:tc>
          <w:tcPr>
            <w:tcW w:w="2130" w:type="dxa"/>
            <w:vAlign w:val="center"/>
          </w:tcPr>
          <w:p w14:paraId="771DD576" w14:textId="77777777" w:rsidR="003E095D" w:rsidRPr="004D46AC" w:rsidRDefault="003E095D" w:rsidP="00B518F1">
            <w:pPr>
              <w:spacing w:line="240" w:lineRule="auto"/>
              <w:ind w:firstLine="0"/>
            </w:pPr>
            <w:r w:rsidRPr="004D46AC">
              <w:rPr>
                <w:rFonts w:eastAsia="SimSun"/>
                <w:color w:val="000000"/>
              </w:rPr>
              <w:t>TR17</w:t>
            </w:r>
          </w:p>
        </w:tc>
        <w:tc>
          <w:tcPr>
            <w:tcW w:w="2130" w:type="dxa"/>
            <w:vAlign w:val="center"/>
          </w:tcPr>
          <w:p w14:paraId="4E92F612" w14:textId="77777777" w:rsidR="003E095D" w:rsidRPr="004D46AC" w:rsidRDefault="003E095D" w:rsidP="00B518F1">
            <w:pPr>
              <w:spacing w:line="240" w:lineRule="auto"/>
              <w:ind w:firstLine="0"/>
            </w:pPr>
            <w:r w:rsidRPr="004D46AC">
              <w:rPr>
                <w:rFonts w:eastAsia="SimSun"/>
                <w:color w:val="000000"/>
              </w:rPr>
              <w:t>TR18</w:t>
            </w:r>
          </w:p>
        </w:tc>
        <w:tc>
          <w:tcPr>
            <w:tcW w:w="2131" w:type="dxa"/>
            <w:vAlign w:val="center"/>
          </w:tcPr>
          <w:p w14:paraId="76F6E115"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7825ECF2" w14:textId="77777777" w:rsidR="003E095D" w:rsidRPr="004D46AC" w:rsidRDefault="003E095D" w:rsidP="00B518F1">
            <w:pPr>
              <w:spacing w:line="240" w:lineRule="auto"/>
              <w:ind w:firstLine="0"/>
            </w:pPr>
            <w:r w:rsidRPr="004D46AC">
              <w:rPr>
                <w:rFonts w:eastAsia="SimSun"/>
                <w:color w:val="000000"/>
              </w:rPr>
              <w:t xml:space="preserve">0.83 </w:t>
            </w:r>
          </w:p>
        </w:tc>
      </w:tr>
      <w:tr w:rsidR="003E095D" w:rsidRPr="004D46AC" w14:paraId="43DAF114" w14:textId="77777777" w:rsidTr="00B518F1">
        <w:tc>
          <w:tcPr>
            <w:tcW w:w="2130" w:type="dxa"/>
            <w:vAlign w:val="center"/>
          </w:tcPr>
          <w:p w14:paraId="311D7E2B" w14:textId="77777777" w:rsidR="003E095D" w:rsidRPr="004D46AC" w:rsidRDefault="003E095D" w:rsidP="00B518F1">
            <w:pPr>
              <w:spacing w:line="240" w:lineRule="auto"/>
              <w:ind w:firstLine="0"/>
            </w:pPr>
            <w:r w:rsidRPr="004D46AC">
              <w:rPr>
                <w:rFonts w:eastAsia="SimSun"/>
                <w:color w:val="000000"/>
              </w:rPr>
              <w:t>TR37</w:t>
            </w:r>
          </w:p>
        </w:tc>
        <w:tc>
          <w:tcPr>
            <w:tcW w:w="2130" w:type="dxa"/>
            <w:vAlign w:val="center"/>
          </w:tcPr>
          <w:p w14:paraId="537E10C9" w14:textId="77777777" w:rsidR="003E095D" w:rsidRPr="004D46AC" w:rsidRDefault="003E095D" w:rsidP="00B518F1">
            <w:pPr>
              <w:spacing w:line="240" w:lineRule="auto"/>
              <w:ind w:firstLine="0"/>
            </w:pPr>
            <w:r w:rsidRPr="004D46AC">
              <w:rPr>
                <w:rFonts w:eastAsia="SimSun"/>
                <w:color w:val="000000"/>
              </w:rPr>
              <w:t>TR24</w:t>
            </w:r>
          </w:p>
        </w:tc>
        <w:tc>
          <w:tcPr>
            <w:tcW w:w="2131" w:type="dxa"/>
            <w:vAlign w:val="center"/>
          </w:tcPr>
          <w:p w14:paraId="2656CEB4"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6B44A781" w14:textId="77777777" w:rsidR="003E095D" w:rsidRPr="004D46AC" w:rsidRDefault="003E095D" w:rsidP="00B518F1">
            <w:pPr>
              <w:spacing w:line="240" w:lineRule="auto"/>
              <w:ind w:firstLine="0"/>
            </w:pPr>
            <w:r w:rsidRPr="004D46AC">
              <w:rPr>
                <w:rFonts w:eastAsia="SimSun"/>
                <w:color w:val="000000"/>
              </w:rPr>
              <w:t xml:space="preserve">0.44 </w:t>
            </w:r>
          </w:p>
        </w:tc>
      </w:tr>
      <w:tr w:rsidR="003E095D" w:rsidRPr="004D46AC" w14:paraId="567212D3" w14:textId="77777777" w:rsidTr="00B518F1">
        <w:tc>
          <w:tcPr>
            <w:tcW w:w="2130" w:type="dxa"/>
            <w:vAlign w:val="center"/>
          </w:tcPr>
          <w:p w14:paraId="415F77CA" w14:textId="77777777" w:rsidR="003E095D" w:rsidRPr="004D46AC" w:rsidRDefault="003E095D" w:rsidP="00B518F1">
            <w:pPr>
              <w:spacing w:line="240" w:lineRule="auto"/>
              <w:ind w:firstLine="0"/>
            </w:pPr>
            <w:r w:rsidRPr="004D46AC">
              <w:rPr>
                <w:rFonts w:eastAsia="SimSun"/>
                <w:color w:val="000000"/>
              </w:rPr>
              <w:t>TR24</w:t>
            </w:r>
          </w:p>
        </w:tc>
        <w:tc>
          <w:tcPr>
            <w:tcW w:w="2130" w:type="dxa"/>
            <w:vAlign w:val="center"/>
          </w:tcPr>
          <w:p w14:paraId="06834CF7" w14:textId="77777777" w:rsidR="003E095D" w:rsidRPr="004D46AC" w:rsidRDefault="003E095D" w:rsidP="00B518F1">
            <w:pPr>
              <w:spacing w:line="240" w:lineRule="auto"/>
              <w:ind w:firstLine="0"/>
            </w:pPr>
            <w:r w:rsidRPr="004D46AC">
              <w:rPr>
                <w:rFonts w:eastAsia="SimSun"/>
                <w:color w:val="000000"/>
              </w:rPr>
              <w:t>TR37</w:t>
            </w:r>
          </w:p>
        </w:tc>
        <w:tc>
          <w:tcPr>
            <w:tcW w:w="2131" w:type="dxa"/>
            <w:vAlign w:val="center"/>
          </w:tcPr>
          <w:p w14:paraId="762C4544"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1B6A41FC" w14:textId="77777777" w:rsidR="003E095D" w:rsidRPr="004D46AC" w:rsidRDefault="003E095D" w:rsidP="00B518F1">
            <w:pPr>
              <w:spacing w:line="240" w:lineRule="auto"/>
              <w:ind w:firstLine="0"/>
            </w:pPr>
            <w:r w:rsidRPr="004D46AC">
              <w:rPr>
                <w:rFonts w:eastAsia="SimSun"/>
                <w:color w:val="000000"/>
              </w:rPr>
              <w:t xml:space="preserve">0.56 </w:t>
            </w:r>
          </w:p>
        </w:tc>
      </w:tr>
      <w:tr w:rsidR="003E095D" w:rsidRPr="004D46AC" w14:paraId="35A321F3" w14:textId="77777777" w:rsidTr="00B518F1">
        <w:tc>
          <w:tcPr>
            <w:tcW w:w="2130" w:type="dxa"/>
            <w:vAlign w:val="center"/>
          </w:tcPr>
          <w:p w14:paraId="7148FDEB" w14:textId="77777777" w:rsidR="003E095D" w:rsidRPr="004D46AC" w:rsidRDefault="003E095D" w:rsidP="00B518F1">
            <w:pPr>
              <w:spacing w:line="240" w:lineRule="auto"/>
              <w:ind w:firstLine="0"/>
            </w:pPr>
            <w:r w:rsidRPr="004D46AC">
              <w:rPr>
                <w:rFonts w:eastAsia="SimSun"/>
                <w:color w:val="000000"/>
              </w:rPr>
              <w:t>TR30</w:t>
            </w:r>
          </w:p>
        </w:tc>
        <w:tc>
          <w:tcPr>
            <w:tcW w:w="2130" w:type="dxa"/>
            <w:vAlign w:val="center"/>
          </w:tcPr>
          <w:p w14:paraId="18421556" w14:textId="77777777" w:rsidR="003E095D" w:rsidRPr="004D46AC" w:rsidRDefault="003E095D" w:rsidP="00B518F1">
            <w:pPr>
              <w:spacing w:line="240" w:lineRule="auto"/>
              <w:ind w:firstLine="0"/>
            </w:pPr>
            <w:r w:rsidRPr="004D46AC">
              <w:rPr>
                <w:rFonts w:eastAsia="SimSun"/>
                <w:color w:val="000000"/>
              </w:rPr>
              <w:t>TR17</w:t>
            </w:r>
          </w:p>
        </w:tc>
        <w:tc>
          <w:tcPr>
            <w:tcW w:w="2131" w:type="dxa"/>
            <w:vAlign w:val="center"/>
          </w:tcPr>
          <w:p w14:paraId="3A394C8C"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433A7B90" w14:textId="77777777" w:rsidR="003E095D" w:rsidRPr="004D46AC" w:rsidRDefault="003E095D" w:rsidP="00B518F1">
            <w:pPr>
              <w:spacing w:line="240" w:lineRule="auto"/>
              <w:ind w:firstLine="0"/>
            </w:pPr>
            <w:r w:rsidRPr="004D46AC">
              <w:rPr>
                <w:rFonts w:eastAsia="SimSun"/>
                <w:color w:val="000000"/>
              </w:rPr>
              <w:t xml:space="preserve">0.63 </w:t>
            </w:r>
          </w:p>
        </w:tc>
      </w:tr>
      <w:tr w:rsidR="003E095D" w:rsidRPr="004D46AC" w14:paraId="1FD95033" w14:textId="77777777" w:rsidTr="00B518F1">
        <w:tc>
          <w:tcPr>
            <w:tcW w:w="2130" w:type="dxa"/>
            <w:vAlign w:val="center"/>
          </w:tcPr>
          <w:p w14:paraId="4E5A2A90" w14:textId="77777777" w:rsidR="003E095D" w:rsidRPr="004D46AC" w:rsidRDefault="003E095D" w:rsidP="00B518F1">
            <w:pPr>
              <w:spacing w:line="240" w:lineRule="auto"/>
              <w:ind w:firstLine="0"/>
            </w:pPr>
            <w:r w:rsidRPr="004D46AC">
              <w:rPr>
                <w:rFonts w:eastAsia="SimSun"/>
                <w:color w:val="000000"/>
              </w:rPr>
              <w:t>TR15</w:t>
            </w:r>
          </w:p>
        </w:tc>
        <w:tc>
          <w:tcPr>
            <w:tcW w:w="2130" w:type="dxa"/>
            <w:vAlign w:val="center"/>
          </w:tcPr>
          <w:p w14:paraId="741FB47F" w14:textId="77777777" w:rsidR="003E095D" w:rsidRPr="004D46AC" w:rsidRDefault="003E095D" w:rsidP="00B518F1">
            <w:pPr>
              <w:spacing w:line="240" w:lineRule="auto"/>
              <w:ind w:firstLine="0"/>
            </w:pPr>
            <w:r w:rsidRPr="004D46AC">
              <w:rPr>
                <w:rFonts w:eastAsia="SimSun"/>
                <w:color w:val="000000"/>
              </w:rPr>
              <w:t>TR26</w:t>
            </w:r>
          </w:p>
        </w:tc>
        <w:tc>
          <w:tcPr>
            <w:tcW w:w="2131" w:type="dxa"/>
            <w:vAlign w:val="center"/>
          </w:tcPr>
          <w:p w14:paraId="7F5C5256" w14:textId="77777777" w:rsidR="003E095D" w:rsidRPr="004D46AC" w:rsidRDefault="003E095D" w:rsidP="00B518F1">
            <w:pPr>
              <w:spacing w:line="240" w:lineRule="auto"/>
              <w:ind w:firstLine="0"/>
            </w:pPr>
            <w:r w:rsidRPr="004D46AC">
              <w:rPr>
                <w:rFonts w:eastAsia="SimSun"/>
                <w:color w:val="000000"/>
              </w:rPr>
              <w:t xml:space="preserve">1.00 </w:t>
            </w:r>
          </w:p>
        </w:tc>
        <w:tc>
          <w:tcPr>
            <w:tcW w:w="2131" w:type="dxa"/>
            <w:vAlign w:val="center"/>
          </w:tcPr>
          <w:p w14:paraId="13CFA428" w14:textId="77777777" w:rsidR="003E095D" w:rsidRPr="004D46AC" w:rsidRDefault="003E095D" w:rsidP="00B518F1">
            <w:pPr>
              <w:spacing w:line="240" w:lineRule="auto"/>
              <w:ind w:firstLine="0"/>
            </w:pPr>
            <w:r w:rsidRPr="004D46AC">
              <w:rPr>
                <w:rFonts w:eastAsia="SimSun"/>
                <w:color w:val="000000"/>
              </w:rPr>
              <w:t xml:space="preserve">0.82 </w:t>
            </w:r>
          </w:p>
        </w:tc>
      </w:tr>
      <w:tr w:rsidR="003E095D" w:rsidRPr="004D46AC" w14:paraId="64E13205" w14:textId="77777777" w:rsidTr="00B518F1">
        <w:tc>
          <w:tcPr>
            <w:tcW w:w="2130" w:type="dxa"/>
            <w:vAlign w:val="center"/>
          </w:tcPr>
          <w:p w14:paraId="6EE67ACF" w14:textId="77777777" w:rsidR="003E095D" w:rsidRPr="004D46AC" w:rsidRDefault="003E095D" w:rsidP="00B518F1">
            <w:pPr>
              <w:spacing w:line="240" w:lineRule="auto"/>
              <w:ind w:firstLine="0"/>
            </w:pPr>
            <w:r w:rsidRPr="004D46AC">
              <w:rPr>
                <w:rFonts w:eastAsia="SimSun"/>
                <w:color w:val="000000"/>
              </w:rPr>
              <w:t>TR15</w:t>
            </w:r>
          </w:p>
        </w:tc>
        <w:tc>
          <w:tcPr>
            <w:tcW w:w="2130" w:type="dxa"/>
            <w:vAlign w:val="center"/>
          </w:tcPr>
          <w:p w14:paraId="1B023F94" w14:textId="77777777" w:rsidR="003E095D" w:rsidRPr="004D46AC" w:rsidRDefault="003E095D" w:rsidP="00B518F1">
            <w:pPr>
              <w:spacing w:line="240" w:lineRule="auto"/>
              <w:ind w:firstLine="0"/>
            </w:pPr>
            <w:r w:rsidRPr="004D46AC">
              <w:rPr>
                <w:rFonts w:eastAsia="SimSun"/>
                <w:color w:val="000000"/>
              </w:rPr>
              <w:t>TR12</w:t>
            </w:r>
          </w:p>
        </w:tc>
        <w:tc>
          <w:tcPr>
            <w:tcW w:w="2131" w:type="dxa"/>
            <w:vAlign w:val="center"/>
          </w:tcPr>
          <w:p w14:paraId="404DC54A"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02968E64" w14:textId="77777777" w:rsidR="003E095D" w:rsidRPr="004D46AC" w:rsidRDefault="003E095D" w:rsidP="00B518F1">
            <w:pPr>
              <w:spacing w:line="240" w:lineRule="auto"/>
              <w:ind w:firstLine="0"/>
            </w:pPr>
            <w:r w:rsidRPr="004D46AC">
              <w:rPr>
                <w:rFonts w:eastAsia="SimSun"/>
                <w:color w:val="000000"/>
              </w:rPr>
              <w:t xml:space="preserve">0.87 </w:t>
            </w:r>
          </w:p>
        </w:tc>
      </w:tr>
      <w:tr w:rsidR="003E095D" w:rsidRPr="004D46AC" w14:paraId="3C400BAA" w14:textId="77777777" w:rsidTr="00B518F1">
        <w:tc>
          <w:tcPr>
            <w:tcW w:w="2130" w:type="dxa"/>
            <w:vAlign w:val="center"/>
          </w:tcPr>
          <w:p w14:paraId="2E48E3A7" w14:textId="77777777" w:rsidR="003E095D" w:rsidRPr="004D46AC" w:rsidRDefault="003E095D" w:rsidP="00B518F1">
            <w:pPr>
              <w:spacing w:line="240" w:lineRule="auto"/>
              <w:ind w:firstLine="0"/>
            </w:pPr>
            <w:r w:rsidRPr="004D46AC">
              <w:rPr>
                <w:rFonts w:eastAsia="SimSun"/>
                <w:color w:val="000000"/>
              </w:rPr>
              <w:t>TR5</w:t>
            </w:r>
          </w:p>
        </w:tc>
        <w:tc>
          <w:tcPr>
            <w:tcW w:w="2130" w:type="dxa"/>
            <w:vAlign w:val="center"/>
          </w:tcPr>
          <w:p w14:paraId="3D52557C" w14:textId="77777777" w:rsidR="003E095D" w:rsidRPr="004D46AC" w:rsidRDefault="003E095D" w:rsidP="00B518F1">
            <w:pPr>
              <w:spacing w:line="240" w:lineRule="auto"/>
              <w:ind w:firstLine="0"/>
            </w:pPr>
            <w:r w:rsidRPr="004D46AC">
              <w:rPr>
                <w:rFonts w:eastAsia="SimSun"/>
                <w:color w:val="000000"/>
              </w:rPr>
              <w:t>TR3</w:t>
            </w:r>
          </w:p>
        </w:tc>
        <w:tc>
          <w:tcPr>
            <w:tcW w:w="2131" w:type="dxa"/>
            <w:vAlign w:val="center"/>
          </w:tcPr>
          <w:p w14:paraId="1AA64B65"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78A710E5" w14:textId="77777777" w:rsidR="003E095D" w:rsidRPr="004D46AC" w:rsidRDefault="003E095D" w:rsidP="00B518F1">
            <w:pPr>
              <w:spacing w:line="240" w:lineRule="auto"/>
              <w:ind w:firstLine="0"/>
            </w:pPr>
            <w:r w:rsidRPr="004D46AC">
              <w:rPr>
                <w:rFonts w:eastAsia="SimSun"/>
                <w:color w:val="000000"/>
              </w:rPr>
              <w:t xml:space="preserve">0.79 </w:t>
            </w:r>
          </w:p>
        </w:tc>
      </w:tr>
      <w:tr w:rsidR="003E095D" w:rsidRPr="004D46AC" w14:paraId="19BE2059" w14:textId="77777777" w:rsidTr="00B518F1">
        <w:tc>
          <w:tcPr>
            <w:tcW w:w="2130" w:type="dxa"/>
            <w:vAlign w:val="center"/>
          </w:tcPr>
          <w:p w14:paraId="000C56F2" w14:textId="77777777" w:rsidR="003E095D" w:rsidRPr="004D46AC" w:rsidRDefault="003E095D" w:rsidP="00B518F1">
            <w:pPr>
              <w:spacing w:line="240" w:lineRule="auto"/>
              <w:ind w:firstLine="0"/>
            </w:pPr>
            <w:r w:rsidRPr="004D46AC">
              <w:rPr>
                <w:rFonts w:eastAsia="SimSun"/>
                <w:color w:val="000000"/>
              </w:rPr>
              <w:t>TR29</w:t>
            </w:r>
          </w:p>
        </w:tc>
        <w:tc>
          <w:tcPr>
            <w:tcW w:w="2130" w:type="dxa"/>
            <w:vAlign w:val="center"/>
          </w:tcPr>
          <w:p w14:paraId="747041C0" w14:textId="77777777" w:rsidR="003E095D" w:rsidRPr="004D46AC" w:rsidRDefault="003E095D" w:rsidP="00B518F1">
            <w:pPr>
              <w:spacing w:line="240" w:lineRule="auto"/>
              <w:ind w:firstLine="0"/>
            </w:pPr>
            <w:r w:rsidRPr="004D46AC">
              <w:rPr>
                <w:rFonts w:eastAsia="SimSun"/>
                <w:color w:val="000000"/>
              </w:rPr>
              <w:t>TR18</w:t>
            </w:r>
          </w:p>
        </w:tc>
        <w:tc>
          <w:tcPr>
            <w:tcW w:w="2131" w:type="dxa"/>
            <w:vAlign w:val="center"/>
          </w:tcPr>
          <w:p w14:paraId="119759AA"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76579A0F" w14:textId="77777777" w:rsidR="003E095D" w:rsidRPr="004D46AC" w:rsidRDefault="003E095D" w:rsidP="00B518F1">
            <w:pPr>
              <w:spacing w:line="240" w:lineRule="auto"/>
              <w:ind w:firstLine="0"/>
            </w:pPr>
            <w:r w:rsidRPr="004D46AC">
              <w:rPr>
                <w:rFonts w:eastAsia="SimSun"/>
                <w:color w:val="000000"/>
              </w:rPr>
              <w:t xml:space="preserve">0.73 </w:t>
            </w:r>
          </w:p>
        </w:tc>
      </w:tr>
      <w:tr w:rsidR="003E095D" w:rsidRPr="004D46AC" w14:paraId="31223139" w14:textId="77777777" w:rsidTr="00B518F1">
        <w:tc>
          <w:tcPr>
            <w:tcW w:w="2130" w:type="dxa"/>
            <w:vAlign w:val="center"/>
          </w:tcPr>
          <w:p w14:paraId="2DEBA337" w14:textId="77777777" w:rsidR="003E095D" w:rsidRPr="004D46AC" w:rsidRDefault="003E095D" w:rsidP="00B518F1">
            <w:pPr>
              <w:spacing w:line="240" w:lineRule="auto"/>
              <w:ind w:firstLine="0"/>
            </w:pPr>
            <w:r w:rsidRPr="004D46AC">
              <w:rPr>
                <w:rFonts w:eastAsia="SimSun"/>
                <w:color w:val="000000"/>
              </w:rPr>
              <w:t>TR17</w:t>
            </w:r>
          </w:p>
        </w:tc>
        <w:tc>
          <w:tcPr>
            <w:tcW w:w="2130" w:type="dxa"/>
            <w:vAlign w:val="center"/>
          </w:tcPr>
          <w:p w14:paraId="43E14740" w14:textId="77777777" w:rsidR="003E095D" w:rsidRPr="004D46AC" w:rsidRDefault="003E095D" w:rsidP="00B518F1">
            <w:pPr>
              <w:spacing w:line="240" w:lineRule="auto"/>
              <w:ind w:firstLine="0"/>
            </w:pPr>
            <w:r w:rsidRPr="004D46AC">
              <w:rPr>
                <w:rFonts w:eastAsia="SimSun"/>
                <w:color w:val="000000"/>
              </w:rPr>
              <w:t>TR16</w:t>
            </w:r>
          </w:p>
        </w:tc>
        <w:tc>
          <w:tcPr>
            <w:tcW w:w="2131" w:type="dxa"/>
            <w:vAlign w:val="center"/>
          </w:tcPr>
          <w:p w14:paraId="34774D06"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5FD2B2CC" w14:textId="77777777" w:rsidR="003E095D" w:rsidRPr="004D46AC" w:rsidRDefault="003E095D" w:rsidP="00B518F1">
            <w:pPr>
              <w:spacing w:line="240" w:lineRule="auto"/>
              <w:ind w:firstLine="0"/>
            </w:pPr>
            <w:r w:rsidRPr="004D46AC">
              <w:rPr>
                <w:rFonts w:eastAsia="SimSun"/>
                <w:color w:val="000000"/>
              </w:rPr>
              <w:t xml:space="preserve">0.66 </w:t>
            </w:r>
          </w:p>
        </w:tc>
      </w:tr>
      <w:tr w:rsidR="003E095D" w:rsidRPr="004D46AC" w14:paraId="7199DCE9" w14:textId="77777777" w:rsidTr="00B518F1">
        <w:tc>
          <w:tcPr>
            <w:tcW w:w="2130" w:type="dxa"/>
            <w:vAlign w:val="center"/>
          </w:tcPr>
          <w:p w14:paraId="07C72DE1" w14:textId="77777777" w:rsidR="003E095D" w:rsidRPr="004D46AC" w:rsidRDefault="003E095D" w:rsidP="00B518F1">
            <w:pPr>
              <w:spacing w:line="240" w:lineRule="auto"/>
              <w:ind w:firstLine="0"/>
            </w:pPr>
            <w:r w:rsidRPr="004D46AC">
              <w:rPr>
                <w:rFonts w:eastAsia="SimSun"/>
                <w:color w:val="000000"/>
              </w:rPr>
              <w:t>TR19</w:t>
            </w:r>
          </w:p>
        </w:tc>
        <w:tc>
          <w:tcPr>
            <w:tcW w:w="2130" w:type="dxa"/>
            <w:vAlign w:val="center"/>
          </w:tcPr>
          <w:p w14:paraId="7F37BFDD" w14:textId="77777777" w:rsidR="003E095D" w:rsidRPr="004D46AC" w:rsidRDefault="003E095D" w:rsidP="00B518F1">
            <w:pPr>
              <w:spacing w:line="240" w:lineRule="auto"/>
              <w:ind w:firstLine="0"/>
            </w:pPr>
            <w:r w:rsidRPr="004D46AC">
              <w:rPr>
                <w:rFonts w:eastAsia="SimSun"/>
                <w:color w:val="000000"/>
              </w:rPr>
              <w:t>TR23</w:t>
            </w:r>
          </w:p>
        </w:tc>
        <w:tc>
          <w:tcPr>
            <w:tcW w:w="2131" w:type="dxa"/>
            <w:vAlign w:val="center"/>
          </w:tcPr>
          <w:p w14:paraId="18C88B28"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608F3966" w14:textId="77777777" w:rsidR="003E095D" w:rsidRPr="004D46AC" w:rsidRDefault="003E095D" w:rsidP="00B518F1">
            <w:pPr>
              <w:spacing w:line="240" w:lineRule="auto"/>
              <w:ind w:firstLine="0"/>
            </w:pPr>
            <w:r w:rsidRPr="004D46AC">
              <w:rPr>
                <w:rFonts w:eastAsia="SimSun"/>
                <w:color w:val="000000"/>
              </w:rPr>
              <w:t xml:space="preserve">0.45 </w:t>
            </w:r>
          </w:p>
        </w:tc>
      </w:tr>
      <w:tr w:rsidR="003E095D" w:rsidRPr="004D46AC" w14:paraId="5C0AD2F1" w14:textId="77777777" w:rsidTr="00B518F1">
        <w:tc>
          <w:tcPr>
            <w:tcW w:w="2130" w:type="dxa"/>
            <w:vAlign w:val="center"/>
          </w:tcPr>
          <w:p w14:paraId="36BCD533" w14:textId="77777777" w:rsidR="003E095D" w:rsidRPr="004D46AC" w:rsidRDefault="003E095D" w:rsidP="00B518F1">
            <w:pPr>
              <w:spacing w:line="240" w:lineRule="auto"/>
              <w:ind w:firstLine="0"/>
            </w:pPr>
            <w:r w:rsidRPr="004D46AC">
              <w:rPr>
                <w:rFonts w:eastAsia="SimSun"/>
                <w:color w:val="000000"/>
              </w:rPr>
              <w:t>TR23</w:t>
            </w:r>
          </w:p>
        </w:tc>
        <w:tc>
          <w:tcPr>
            <w:tcW w:w="2130" w:type="dxa"/>
            <w:vAlign w:val="center"/>
          </w:tcPr>
          <w:p w14:paraId="054BD76E" w14:textId="77777777" w:rsidR="003E095D" w:rsidRPr="004D46AC" w:rsidRDefault="003E095D" w:rsidP="00B518F1">
            <w:pPr>
              <w:spacing w:line="240" w:lineRule="auto"/>
              <w:ind w:firstLine="0"/>
            </w:pPr>
            <w:r w:rsidRPr="004D46AC">
              <w:rPr>
                <w:rFonts w:eastAsia="SimSun"/>
                <w:color w:val="000000"/>
              </w:rPr>
              <w:t>TR19</w:t>
            </w:r>
          </w:p>
        </w:tc>
        <w:tc>
          <w:tcPr>
            <w:tcW w:w="2131" w:type="dxa"/>
            <w:vAlign w:val="center"/>
          </w:tcPr>
          <w:p w14:paraId="49943887"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56497B44" w14:textId="77777777" w:rsidR="003E095D" w:rsidRPr="004D46AC" w:rsidRDefault="003E095D" w:rsidP="00B518F1">
            <w:pPr>
              <w:spacing w:line="240" w:lineRule="auto"/>
              <w:ind w:firstLine="0"/>
            </w:pPr>
            <w:r w:rsidRPr="004D46AC">
              <w:rPr>
                <w:rFonts w:eastAsia="SimSun"/>
                <w:color w:val="000000"/>
              </w:rPr>
              <w:t xml:space="preserve">0.55 </w:t>
            </w:r>
          </w:p>
        </w:tc>
      </w:tr>
      <w:tr w:rsidR="003E095D" w:rsidRPr="004D46AC" w14:paraId="3A7067F9" w14:textId="77777777" w:rsidTr="00B518F1">
        <w:tc>
          <w:tcPr>
            <w:tcW w:w="2130" w:type="dxa"/>
            <w:vAlign w:val="center"/>
          </w:tcPr>
          <w:p w14:paraId="264B4F54" w14:textId="77777777" w:rsidR="003E095D" w:rsidRPr="004D46AC" w:rsidRDefault="003E095D" w:rsidP="00B518F1">
            <w:pPr>
              <w:spacing w:line="240" w:lineRule="auto"/>
              <w:ind w:firstLine="0"/>
            </w:pPr>
            <w:r w:rsidRPr="004D46AC">
              <w:rPr>
                <w:rFonts w:eastAsia="SimSun"/>
                <w:color w:val="000000"/>
              </w:rPr>
              <w:t>TR29</w:t>
            </w:r>
          </w:p>
        </w:tc>
        <w:tc>
          <w:tcPr>
            <w:tcW w:w="2130" w:type="dxa"/>
            <w:vAlign w:val="center"/>
          </w:tcPr>
          <w:p w14:paraId="322F12F2" w14:textId="77777777" w:rsidR="003E095D" w:rsidRPr="004D46AC" w:rsidRDefault="003E095D" w:rsidP="00B518F1">
            <w:pPr>
              <w:spacing w:line="240" w:lineRule="auto"/>
              <w:ind w:firstLine="0"/>
            </w:pPr>
            <w:r w:rsidRPr="004D46AC">
              <w:rPr>
                <w:rFonts w:eastAsia="SimSun"/>
                <w:color w:val="000000"/>
              </w:rPr>
              <w:t>TR33</w:t>
            </w:r>
          </w:p>
        </w:tc>
        <w:tc>
          <w:tcPr>
            <w:tcW w:w="2131" w:type="dxa"/>
            <w:vAlign w:val="center"/>
          </w:tcPr>
          <w:p w14:paraId="52F6A80D"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5B99E844" w14:textId="77777777" w:rsidR="003E095D" w:rsidRPr="004D46AC" w:rsidRDefault="003E095D" w:rsidP="00B518F1">
            <w:pPr>
              <w:spacing w:line="240" w:lineRule="auto"/>
              <w:ind w:firstLine="0"/>
            </w:pPr>
            <w:r w:rsidRPr="004D46AC">
              <w:rPr>
                <w:rFonts w:eastAsia="SimSun"/>
                <w:color w:val="000000"/>
              </w:rPr>
              <w:t xml:space="preserve">0.65 </w:t>
            </w:r>
          </w:p>
        </w:tc>
      </w:tr>
      <w:tr w:rsidR="003E095D" w:rsidRPr="004D46AC" w14:paraId="3BAF3301" w14:textId="77777777" w:rsidTr="00B518F1">
        <w:tc>
          <w:tcPr>
            <w:tcW w:w="2130" w:type="dxa"/>
            <w:vAlign w:val="center"/>
          </w:tcPr>
          <w:p w14:paraId="05518B2F" w14:textId="77777777" w:rsidR="003E095D" w:rsidRPr="004D46AC" w:rsidRDefault="003E095D" w:rsidP="00B518F1">
            <w:pPr>
              <w:spacing w:line="240" w:lineRule="auto"/>
              <w:ind w:firstLine="0"/>
            </w:pPr>
            <w:r w:rsidRPr="004D46AC">
              <w:rPr>
                <w:rFonts w:eastAsia="SimSun"/>
                <w:color w:val="000000"/>
              </w:rPr>
              <w:t>TR24</w:t>
            </w:r>
          </w:p>
        </w:tc>
        <w:tc>
          <w:tcPr>
            <w:tcW w:w="2130" w:type="dxa"/>
            <w:vAlign w:val="center"/>
          </w:tcPr>
          <w:p w14:paraId="245547BE" w14:textId="77777777" w:rsidR="003E095D" w:rsidRPr="004D46AC" w:rsidRDefault="003E095D" w:rsidP="00B518F1">
            <w:pPr>
              <w:spacing w:line="240" w:lineRule="auto"/>
              <w:ind w:firstLine="0"/>
            </w:pPr>
            <w:r w:rsidRPr="004D46AC">
              <w:rPr>
                <w:rFonts w:eastAsia="SimSun"/>
                <w:color w:val="000000"/>
              </w:rPr>
              <w:t>TR19</w:t>
            </w:r>
          </w:p>
        </w:tc>
        <w:tc>
          <w:tcPr>
            <w:tcW w:w="2131" w:type="dxa"/>
            <w:vAlign w:val="center"/>
          </w:tcPr>
          <w:p w14:paraId="76AE0A4E" w14:textId="77777777" w:rsidR="003E095D" w:rsidRPr="004D46AC" w:rsidRDefault="003E095D" w:rsidP="00B518F1">
            <w:pPr>
              <w:spacing w:line="240" w:lineRule="auto"/>
              <w:ind w:firstLine="0"/>
            </w:pPr>
            <w:r w:rsidRPr="004D46AC">
              <w:rPr>
                <w:rFonts w:eastAsia="SimSun"/>
                <w:color w:val="000000"/>
              </w:rPr>
              <w:t xml:space="preserve">0.99 </w:t>
            </w:r>
          </w:p>
        </w:tc>
        <w:tc>
          <w:tcPr>
            <w:tcW w:w="2131" w:type="dxa"/>
            <w:vAlign w:val="center"/>
          </w:tcPr>
          <w:p w14:paraId="0DCE3AB7" w14:textId="77777777" w:rsidR="003E095D" w:rsidRPr="004D46AC" w:rsidRDefault="003E095D" w:rsidP="00B518F1">
            <w:pPr>
              <w:spacing w:line="240" w:lineRule="auto"/>
              <w:ind w:firstLine="0"/>
            </w:pPr>
            <w:r w:rsidRPr="004D46AC">
              <w:rPr>
                <w:rFonts w:eastAsia="SimSun"/>
                <w:color w:val="000000"/>
              </w:rPr>
              <w:t xml:space="preserve">0.71 </w:t>
            </w:r>
          </w:p>
        </w:tc>
      </w:tr>
      <w:tr w:rsidR="003E095D" w:rsidRPr="004D46AC" w14:paraId="665AC982" w14:textId="77777777" w:rsidTr="00B518F1">
        <w:tc>
          <w:tcPr>
            <w:tcW w:w="2130" w:type="dxa"/>
            <w:vAlign w:val="center"/>
          </w:tcPr>
          <w:p w14:paraId="4B4493DD" w14:textId="77777777" w:rsidR="003E095D" w:rsidRPr="004D46AC" w:rsidRDefault="003E095D" w:rsidP="00B518F1">
            <w:pPr>
              <w:spacing w:line="240" w:lineRule="auto"/>
              <w:ind w:firstLine="0"/>
            </w:pPr>
            <w:r w:rsidRPr="004D46AC">
              <w:rPr>
                <w:rFonts w:eastAsia="SimSun"/>
                <w:color w:val="000000"/>
              </w:rPr>
              <w:t>TR19</w:t>
            </w:r>
          </w:p>
        </w:tc>
        <w:tc>
          <w:tcPr>
            <w:tcW w:w="2130" w:type="dxa"/>
            <w:vAlign w:val="center"/>
          </w:tcPr>
          <w:p w14:paraId="20E971B5" w14:textId="77777777" w:rsidR="003E095D" w:rsidRPr="004D46AC" w:rsidRDefault="003E095D" w:rsidP="00B518F1">
            <w:pPr>
              <w:spacing w:line="240" w:lineRule="auto"/>
              <w:ind w:firstLine="0"/>
            </w:pPr>
            <w:r w:rsidRPr="004D46AC">
              <w:rPr>
                <w:rFonts w:eastAsia="SimSun"/>
                <w:color w:val="000000"/>
              </w:rPr>
              <w:t>TR16</w:t>
            </w:r>
          </w:p>
        </w:tc>
        <w:tc>
          <w:tcPr>
            <w:tcW w:w="2131" w:type="dxa"/>
            <w:vAlign w:val="center"/>
          </w:tcPr>
          <w:p w14:paraId="36BC003A"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656171E2" w14:textId="77777777" w:rsidR="003E095D" w:rsidRPr="004D46AC" w:rsidRDefault="003E095D" w:rsidP="00B518F1">
            <w:pPr>
              <w:spacing w:line="240" w:lineRule="auto"/>
              <w:ind w:firstLine="0"/>
            </w:pPr>
            <w:r w:rsidRPr="004D46AC">
              <w:rPr>
                <w:rFonts w:eastAsia="SimSun"/>
                <w:color w:val="000000"/>
              </w:rPr>
              <w:t xml:space="preserve">0.40 </w:t>
            </w:r>
          </w:p>
        </w:tc>
      </w:tr>
      <w:tr w:rsidR="003E095D" w:rsidRPr="004D46AC" w14:paraId="1531356A" w14:textId="77777777" w:rsidTr="00B518F1">
        <w:tc>
          <w:tcPr>
            <w:tcW w:w="2130" w:type="dxa"/>
            <w:vAlign w:val="center"/>
          </w:tcPr>
          <w:p w14:paraId="43F17B55" w14:textId="77777777" w:rsidR="003E095D" w:rsidRPr="004D46AC" w:rsidRDefault="003E095D" w:rsidP="00B518F1">
            <w:pPr>
              <w:spacing w:line="240" w:lineRule="auto"/>
              <w:ind w:firstLine="0"/>
            </w:pPr>
            <w:r w:rsidRPr="004D46AC">
              <w:rPr>
                <w:rFonts w:eastAsia="SimSun"/>
                <w:color w:val="000000"/>
              </w:rPr>
              <w:t>TR16</w:t>
            </w:r>
          </w:p>
        </w:tc>
        <w:tc>
          <w:tcPr>
            <w:tcW w:w="2130" w:type="dxa"/>
            <w:vAlign w:val="center"/>
          </w:tcPr>
          <w:p w14:paraId="2215566E" w14:textId="77777777" w:rsidR="003E095D" w:rsidRPr="004D46AC" w:rsidRDefault="003E095D" w:rsidP="00B518F1">
            <w:pPr>
              <w:spacing w:line="240" w:lineRule="auto"/>
              <w:ind w:firstLine="0"/>
            </w:pPr>
            <w:r w:rsidRPr="004D46AC">
              <w:rPr>
                <w:rFonts w:eastAsia="SimSun"/>
                <w:color w:val="000000"/>
              </w:rPr>
              <w:t>TR19</w:t>
            </w:r>
          </w:p>
        </w:tc>
        <w:tc>
          <w:tcPr>
            <w:tcW w:w="2131" w:type="dxa"/>
            <w:vAlign w:val="center"/>
          </w:tcPr>
          <w:p w14:paraId="27A178AD"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789F5FF5" w14:textId="77777777" w:rsidR="003E095D" w:rsidRPr="004D46AC" w:rsidRDefault="003E095D" w:rsidP="00B518F1">
            <w:pPr>
              <w:spacing w:line="240" w:lineRule="auto"/>
              <w:ind w:firstLine="0"/>
            </w:pPr>
            <w:r w:rsidRPr="004D46AC">
              <w:rPr>
                <w:rFonts w:eastAsia="SimSun"/>
                <w:color w:val="000000"/>
              </w:rPr>
              <w:t xml:space="preserve">0.60 </w:t>
            </w:r>
          </w:p>
        </w:tc>
      </w:tr>
      <w:tr w:rsidR="003E095D" w:rsidRPr="004D46AC" w14:paraId="14C3E16E" w14:textId="77777777" w:rsidTr="00B518F1">
        <w:tc>
          <w:tcPr>
            <w:tcW w:w="2130" w:type="dxa"/>
            <w:vAlign w:val="center"/>
          </w:tcPr>
          <w:p w14:paraId="1BDADD48" w14:textId="77777777" w:rsidR="003E095D" w:rsidRPr="004D46AC" w:rsidRDefault="003E095D" w:rsidP="00B518F1">
            <w:pPr>
              <w:spacing w:line="240" w:lineRule="auto"/>
              <w:ind w:firstLine="0"/>
            </w:pPr>
            <w:r w:rsidRPr="004D46AC">
              <w:rPr>
                <w:rFonts w:eastAsia="SimSun"/>
                <w:color w:val="000000"/>
              </w:rPr>
              <w:t>TR5</w:t>
            </w:r>
          </w:p>
        </w:tc>
        <w:tc>
          <w:tcPr>
            <w:tcW w:w="2130" w:type="dxa"/>
            <w:vAlign w:val="center"/>
          </w:tcPr>
          <w:p w14:paraId="3667C85B" w14:textId="77777777" w:rsidR="003E095D" w:rsidRPr="004D46AC" w:rsidRDefault="003E095D" w:rsidP="00B518F1">
            <w:pPr>
              <w:spacing w:line="240" w:lineRule="auto"/>
              <w:ind w:firstLine="0"/>
            </w:pPr>
            <w:r w:rsidRPr="004D46AC">
              <w:rPr>
                <w:rFonts w:eastAsia="SimSun"/>
                <w:color w:val="000000"/>
              </w:rPr>
              <w:t>TR15</w:t>
            </w:r>
          </w:p>
        </w:tc>
        <w:tc>
          <w:tcPr>
            <w:tcW w:w="2131" w:type="dxa"/>
            <w:vAlign w:val="center"/>
          </w:tcPr>
          <w:p w14:paraId="467E238D"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70269F8D" w14:textId="77777777" w:rsidR="003E095D" w:rsidRPr="004D46AC" w:rsidRDefault="003E095D" w:rsidP="00B518F1">
            <w:pPr>
              <w:spacing w:line="240" w:lineRule="auto"/>
              <w:ind w:firstLine="0"/>
            </w:pPr>
            <w:r w:rsidRPr="004D46AC">
              <w:rPr>
                <w:rFonts w:eastAsia="SimSun"/>
                <w:color w:val="000000"/>
              </w:rPr>
              <w:t xml:space="preserve">0.44 </w:t>
            </w:r>
          </w:p>
        </w:tc>
      </w:tr>
      <w:tr w:rsidR="003E095D" w:rsidRPr="004D46AC" w14:paraId="1832DD07" w14:textId="77777777" w:rsidTr="00B518F1">
        <w:tc>
          <w:tcPr>
            <w:tcW w:w="2130" w:type="dxa"/>
            <w:vAlign w:val="center"/>
          </w:tcPr>
          <w:p w14:paraId="39AC0085" w14:textId="77777777" w:rsidR="003E095D" w:rsidRPr="004D46AC" w:rsidRDefault="003E095D" w:rsidP="00B518F1">
            <w:pPr>
              <w:spacing w:line="240" w:lineRule="auto"/>
              <w:ind w:firstLine="0"/>
            </w:pPr>
            <w:r w:rsidRPr="004D46AC">
              <w:rPr>
                <w:rFonts w:eastAsia="SimSun"/>
                <w:color w:val="000000"/>
              </w:rPr>
              <w:t>TR15</w:t>
            </w:r>
          </w:p>
        </w:tc>
        <w:tc>
          <w:tcPr>
            <w:tcW w:w="2130" w:type="dxa"/>
            <w:vAlign w:val="center"/>
          </w:tcPr>
          <w:p w14:paraId="169CB3B4" w14:textId="77777777" w:rsidR="003E095D" w:rsidRPr="004D46AC" w:rsidRDefault="003E095D" w:rsidP="00B518F1">
            <w:pPr>
              <w:spacing w:line="240" w:lineRule="auto"/>
              <w:ind w:firstLine="0"/>
            </w:pPr>
            <w:r w:rsidRPr="004D46AC">
              <w:rPr>
                <w:rFonts w:eastAsia="SimSun"/>
                <w:color w:val="000000"/>
              </w:rPr>
              <w:t>TR5</w:t>
            </w:r>
          </w:p>
        </w:tc>
        <w:tc>
          <w:tcPr>
            <w:tcW w:w="2131" w:type="dxa"/>
            <w:vAlign w:val="center"/>
          </w:tcPr>
          <w:p w14:paraId="14A6BB83"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5B745021" w14:textId="77777777" w:rsidR="003E095D" w:rsidRPr="004D46AC" w:rsidRDefault="003E095D" w:rsidP="00B518F1">
            <w:pPr>
              <w:spacing w:line="240" w:lineRule="auto"/>
              <w:ind w:firstLine="0"/>
            </w:pPr>
            <w:r w:rsidRPr="004D46AC">
              <w:rPr>
                <w:rFonts w:eastAsia="SimSun"/>
                <w:color w:val="000000"/>
              </w:rPr>
              <w:t xml:space="preserve">0.56 </w:t>
            </w:r>
          </w:p>
        </w:tc>
      </w:tr>
      <w:tr w:rsidR="003E095D" w:rsidRPr="004D46AC" w14:paraId="50A6A089" w14:textId="77777777" w:rsidTr="00B518F1">
        <w:tc>
          <w:tcPr>
            <w:tcW w:w="2130" w:type="dxa"/>
            <w:vAlign w:val="center"/>
          </w:tcPr>
          <w:p w14:paraId="7256239E" w14:textId="77777777" w:rsidR="003E095D" w:rsidRPr="004D46AC" w:rsidRDefault="003E095D" w:rsidP="00B518F1">
            <w:pPr>
              <w:spacing w:line="240" w:lineRule="auto"/>
              <w:ind w:firstLine="0"/>
            </w:pPr>
            <w:r w:rsidRPr="004D46AC">
              <w:rPr>
                <w:rFonts w:eastAsia="SimSun"/>
                <w:color w:val="000000"/>
              </w:rPr>
              <w:t>TR16</w:t>
            </w:r>
          </w:p>
        </w:tc>
        <w:tc>
          <w:tcPr>
            <w:tcW w:w="2130" w:type="dxa"/>
            <w:vAlign w:val="center"/>
          </w:tcPr>
          <w:p w14:paraId="6DA14893" w14:textId="77777777" w:rsidR="003E095D" w:rsidRPr="004D46AC" w:rsidRDefault="003E095D" w:rsidP="00B518F1">
            <w:pPr>
              <w:spacing w:line="240" w:lineRule="auto"/>
              <w:ind w:firstLine="0"/>
            </w:pPr>
            <w:r w:rsidRPr="004D46AC">
              <w:rPr>
                <w:rFonts w:eastAsia="SimSun"/>
                <w:color w:val="000000"/>
              </w:rPr>
              <w:t>TR22</w:t>
            </w:r>
          </w:p>
        </w:tc>
        <w:tc>
          <w:tcPr>
            <w:tcW w:w="2131" w:type="dxa"/>
            <w:vAlign w:val="center"/>
          </w:tcPr>
          <w:p w14:paraId="5F6A2A0F"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06DC68A1" w14:textId="77777777" w:rsidR="003E095D" w:rsidRPr="004D46AC" w:rsidRDefault="003E095D" w:rsidP="00B518F1">
            <w:pPr>
              <w:spacing w:line="240" w:lineRule="auto"/>
              <w:ind w:firstLine="0"/>
            </w:pPr>
            <w:r w:rsidRPr="004D46AC">
              <w:rPr>
                <w:rFonts w:eastAsia="SimSun"/>
                <w:color w:val="000000"/>
              </w:rPr>
              <w:t xml:space="preserve">0.45 </w:t>
            </w:r>
          </w:p>
        </w:tc>
      </w:tr>
      <w:tr w:rsidR="003E095D" w:rsidRPr="004D46AC" w14:paraId="5B63ADF7" w14:textId="77777777" w:rsidTr="00B518F1">
        <w:tc>
          <w:tcPr>
            <w:tcW w:w="2130" w:type="dxa"/>
            <w:vAlign w:val="center"/>
          </w:tcPr>
          <w:p w14:paraId="23697C84" w14:textId="77777777" w:rsidR="003E095D" w:rsidRPr="004D46AC" w:rsidRDefault="003E095D" w:rsidP="00B518F1">
            <w:pPr>
              <w:spacing w:line="240" w:lineRule="auto"/>
              <w:ind w:firstLine="0"/>
            </w:pPr>
            <w:r w:rsidRPr="004D46AC">
              <w:rPr>
                <w:rFonts w:eastAsia="SimSun"/>
                <w:color w:val="000000"/>
              </w:rPr>
              <w:t>TR22</w:t>
            </w:r>
          </w:p>
        </w:tc>
        <w:tc>
          <w:tcPr>
            <w:tcW w:w="2130" w:type="dxa"/>
            <w:vAlign w:val="center"/>
          </w:tcPr>
          <w:p w14:paraId="20DA9824" w14:textId="77777777" w:rsidR="003E095D" w:rsidRPr="004D46AC" w:rsidRDefault="003E095D" w:rsidP="00B518F1">
            <w:pPr>
              <w:spacing w:line="240" w:lineRule="auto"/>
              <w:ind w:firstLine="0"/>
            </w:pPr>
            <w:r w:rsidRPr="004D46AC">
              <w:rPr>
                <w:rFonts w:eastAsia="SimSun"/>
                <w:color w:val="000000"/>
              </w:rPr>
              <w:t>TR16</w:t>
            </w:r>
          </w:p>
        </w:tc>
        <w:tc>
          <w:tcPr>
            <w:tcW w:w="2131" w:type="dxa"/>
            <w:vAlign w:val="center"/>
          </w:tcPr>
          <w:p w14:paraId="7D0B5BCA"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37CD55DC" w14:textId="77777777" w:rsidR="003E095D" w:rsidRPr="004D46AC" w:rsidRDefault="003E095D" w:rsidP="00B518F1">
            <w:pPr>
              <w:spacing w:line="240" w:lineRule="auto"/>
              <w:ind w:firstLine="0"/>
            </w:pPr>
            <w:r w:rsidRPr="004D46AC">
              <w:rPr>
                <w:rFonts w:eastAsia="SimSun"/>
                <w:color w:val="000000"/>
              </w:rPr>
              <w:t xml:space="preserve">0.55 </w:t>
            </w:r>
          </w:p>
        </w:tc>
      </w:tr>
      <w:tr w:rsidR="003E095D" w:rsidRPr="004D46AC" w14:paraId="19E8ED86" w14:textId="77777777" w:rsidTr="00B518F1">
        <w:tc>
          <w:tcPr>
            <w:tcW w:w="2130" w:type="dxa"/>
            <w:vAlign w:val="center"/>
          </w:tcPr>
          <w:p w14:paraId="1A15BCCB" w14:textId="77777777" w:rsidR="003E095D" w:rsidRPr="004D46AC" w:rsidRDefault="003E095D" w:rsidP="00B518F1">
            <w:pPr>
              <w:spacing w:line="240" w:lineRule="auto"/>
              <w:ind w:firstLine="0"/>
            </w:pPr>
            <w:r w:rsidRPr="004D46AC">
              <w:rPr>
                <w:rFonts w:eastAsia="SimSun"/>
                <w:color w:val="000000"/>
              </w:rPr>
              <w:t>TR30</w:t>
            </w:r>
          </w:p>
        </w:tc>
        <w:tc>
          <w:tcPr>
            <w:tcW w:w="2130" w:type="dxa"/>
            <w:vAlign w:val="center"/>
          </w:tcPr>
          <w:p w14:paraId="4EF865FA" w14:textId="77777777" w:rsidR="003E095D" w:rsidRPr="004D46AC" w:rsidRDefault="003E095D" w:rsidP="00B518F1">
            <w:pPr>
              <w:spacing w:line="240" w:lineRule="auto"/>
              <w:ind w:firstLine="0"/>
            </w:pPr>
            <w:r w:rsidRPr="004D46AC">
              <w:rPr>
                <w:rFonts w:eastAsia="SimSun"/>
                <w:color w:val="000000"/>
              </w:rPr>
              <w:t>TR37</w:t>
            </w:r>
          </w:p>
        </w:tc>
        <w:tc>
          <w:tcPr>
            <w:tcW w:w="2131" w:type="dxa"/>
            <w:vAlign w:val="center"/>
          </w:tcPr>
          <w:p w14:paraId="2A6D046F"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334FDD48" w14:textId="77777777" w:rsidR="003E095D" w:rsidRPr="004D46AC" w:rsidRDefault="003E095D" w:rsidP="00B518F1">
            <w:pPr>
              <w:spacing w:line="240" w:lineRule="auto"/>
              <w:ind w:firstLine="0"/>
            </w:pPr>
            <w:r w:rsidRPr="004D46AC">
              <w:rPr>
                <w:rFonts w:eastAsia="SimSun"/>
                <w:color w:val="000000"/>
              </w:rPr>
              <w:t xml:space="preserve">0.49 </w:t>
            </w:r>
          </w:p>
        </w:tc>
      </w:tr>
      <w:tr w:rsidR="003E095D" w:rsidRPr="004D46AC" w14:paraId="372B554C" w14:textId="77777777" w:rsidTr="00B518F1">
        <w:tc>
          <w:tcPr>
            <w:tcW w:w="2130" w:type="dxa"/>
            <w:vAlign w:val="center"/>
          </w:tcPr>
          <w:p w14:paraId="17ECE368" w14:textId="77777777" w:rsidR="003E095D" w:rsidRPr="004D46AC" w:rsidRDefault="003E095D" w:rsidP="00B518F1">
            <w:pPr>
              <w:spacing w:line="240" w:lineRule="auto"/>
              <w:ind w:firstLine="0"/>
            </w:pPr>
            <w:r w:rsidRPr="004D46AC">
              <w:rPr>
                <w:rFonts w:eastAsia="SimSun"/>
                <w:color w:val="000000"/>
              </w:rPr>
              <w:t>TR37</w:t>
            </w:r>
          </w:p>
        </w:tc>
        <w:tc>
          <w:tcPr>
            <w:tcW w:w="2130" w:type="dxa"/>
            <w:vAlign w:val="center"/>
          </w:tcPr>
          <w:p w14:paraId="75DCC952" w14:textId="77777777" w:rsidR="003E095D" w:rsidRPr="004D46AC" w:rsidRDefault="003E095D" w:rsidP="00B518F1">
            <w:pPr>
              <w:spacing w:line="240" w:lineRule="auto"/>
              <w:ind w:firstLine="0"/>
            </w:pPr>
            <w:r w:rsidRPr="004D46AC">
              <w:rPr>
                <w:rFonts w:eastAsia="SimSun"/>
                <w:color w:val="000000"/>
              </w:rPr>
              <w:t>TR30</w:t>
            </w:r>
          </w:p>
        </w:tc>
        <w:tc>
          <w:tcPr>
            <w:tcW w:w="2131" w:type="dxa"/>
            <w:vAlign w:val="center"/>
          </w:tcPr>
          <w:p w14:paraId="32244600"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349E478A" w14:textId="77777777" w:rsidR="003E095D" w:rsidRPr="004D46AC" w:rsidRDefault="003E095D" w:rsidP="00B518F1">
            <w:pPr>
              <w:spacing w:line="240" w:lineRule="auto"/>
              <w:ind w:firstLine="0"/>
            </w:pPr>
            <w:r w:rsidRPr="004D46AC">
              <w:rPr>
                <w:rFonts w:eastAsia="SimSun"/>
                <w:color w:val="000000"/>
              </w:rPr>
              <w:t xml:space="preserve">0.51 </w:t>
            </w:r>
          </w:p>
        </w:tc>
      </w:tr>
      <w:tr w:rsidR="003E095D" w:rsidRPr="004D46AC" w14:paraId="2406BBA0" w14:textId="77777777" w:rsidTr="00B518F1">
        <w:tc>
          <w:tcPr>
            <w:tcW w:w="2130" w:type="dxa"/>
            <w:vAlign w:val="center"/>
          </w:tcPr>
          <w:p w14:paraId="1474081F" w14:textId="77777777" w:rsidR="003E095D" w:rsidRPr="004D46AC" w:rsidRDefault="003E095D" w:rsidP="00B518F1">
            <w:pPr>
              <w:spacing w:line="240" w:lineRule="auto"/>
              <w:ind w:firstLine="0"/>
            </w:pPr>
            <w:r w:rsidRPr="004D46AC">
              <w:rPr>
                <w:rFonts w:eastAsia="SimSun"/>
                <w:color w:val="000000"/>
              </w:rPr>
              <w:t>TR17</w:t>
            </w:r>
          </w:p>
        </w:tc>
        <w:tc>
          <w:tcPr>
            <w:tcW w:w="2130" w:type="dxa"/>
            <w:vAlign w:val="center"/>
          </w:tcPr>
          <w:p w14:paraId="426859FD" w14:textId="77777777" w:rsidR="003E095D" w:rsidRPr="004D46AC" w:rsidRDefault="003E095D" w:rsidP="00B518F1">
            <w:pPr>
              <w:spacing w:line="240" w:lineRule="auto"/>
              <w:ind w:firstLine="0"/>
            </w:pPr>
            <w:r w:rsidRPr="004D46AC">
              <w:rPr>
                <w:rFonts w:eastAsia="SimSun"/>
                <w:color w:val="000000"/>
              </w:rPr>
              <w:t>TR6</w:t>
            </w:r>
          </w:p>
        </w:tc>
        <w:tc>
          <w:tcPr>
            <w:tcW w:w="2131" w:type="dxa"/>
            <w:vAlign w:val="center"/>
          </w:tcPr>
          <w:p w14:paraId="385118C0" w14:textId="77777777" w:rsidR="003E095D" w:rsidRPr="004D46AC" w:rsidRDefault="003E095D" w:rsidP="00B518F1">
            <w:pPr>
              <w:spacing w:line="240" w:lineRule="auto"/>
              <w:ind w:firstLine="0"/>
            </w:pPr>
            <w:r w:rsidRPr="004D46AC">
              <w:rPr>
                <w:rFonts w:eastAsia="SimSun"/>
                <w:color w:val="000000"/>
              </w:rPr>
              <w:t xml:space="preserve">0.98 </w:t>
            </w:r>
          </w:p>
        </w:tc>
        <w:tc>
          <w:tcPr>
            <w:tcW w:w="2131" w:type="dxa"/>
            <w:vAlign w:val="center"/>
          </w:tcPr>
          <w:p w14:paraId="1A2F4F6D" w14:textId="77777777" w:rsidR="003E095D" w:rsidRPr="004D46AC" w:rsidRDefault="003E095D" w:rsidP="00B518F1">
            <w:pPr>
              <w:spacing w:line="240" w:lineRule="auto"/>
              <w:ind w:firstLine="0"/>
            </w:pPr>
            <w:r w:rsidRPr="004D46AC">
              <w:rPr>
                <w:rFonts w:eastAsia="SimSun"/>
                <w:color w:val="000000"/>
              </w:rPr>
              <w:t xml:space="preserve">0.66 </w:t>
            </w:r>
          </w:p>
        </w:tc>
      </w:tr>
      <w:tr w:rsidR="003E095D" w:rsidRPr="004D46AC" w14:paraId="1F3A7528" w14:textId="77777777" w:rsidTr="00B518F1">
        <w:tc>
          <w:tcPr>
            <w:tcW w:w="2130" w:type="dxa"/>
            <w:vAlign w:val="center"/>
          </w:tcPr>
          <w:p w14:paraId="3158B75A" w14:textId="77777777" w:rsidR="003E095D" w:rsidRPr="004D46AC" w:rsidRDefault="003E095D" w:rsidP="00B518F1">
            <w:pPr>
              <w:spacing w:line="240" w:lineRule="auto"/>
              <w:ind w:firstLine="0"/>
            </w:pPr>
            <w:r w:rsidRPr="004D46AC">
              <w:rPr>
                <w:rFonts w:eastAsia="SimSun"/>
                <w:color w:val="000000"/>
              </w:rPr>
              <w:t>TR9</w:t>
            </w:r>
          </w:p>
        </w:tc>
        <w:tc>
          <w:tcPr>
            <w:tcW w:w="2130" w:type="dxa"/>
            <w:vAlign w:val="center"/>
          </w:tcPr>
          <w:p w14:paraId="337EC373" w14:textId="77777777" w:rsidR="003E095D" w:rsidRPr="004D46AC" w:rsidRDefault="003E095D" w:rsidP="00B518F1">
            <w:pPr>
              <w:spacing w:line="240" w:lineRule="auto"/>
              <w:ind w:firstLine="0"/>
            </w:pPr>
            <w:r w:rsidRPr="004D46AC">
              <w:rPr>
                <w:rFonts w:eastAsia="SimSun"/>
                <w:color w:val="000000"/>
              </w:rPr>
              <w:t>TR18</w:t>
            </w:r>
          </w:p>
        </w:tc>
        <w:tc>
          <w:tcPr>
            <w:tcW w:w="2131" w:type="dxa"/>
            <w:vAlign w:val="center"/>
          </w:tcPr>
          <w:p w14:paraId="211CDEC2" w14:textId="77777777" w:rsidR="003E095D" w:rsidRPr="004D46AC" w:rsidRDefault="003E095D" w:rsidP="00B518F1">
            <w:pPr>
              <w:spacing w:line="240" w:lineRule="auto"/>
              <w:ind w:firstLine="0"/>
            </w:pPr>
            <w:r w:rsidRPr="004D46AC">
              <w:rPr>
                <w:rFonts w:eastAsia="SimSun"/>
                <w:color w:val="000000"/>
              </w:rPr>
              <w:t xml:space="preserve">0.97 </w:t>
            </w:r>
          </w:p>
        </w:tc>
        <w:tc>
          <w:tcPr>
            <w:tcW w:w="2131" w:type="dxa"/>
            <w:vAlign w:val="center"/>
          </w:tcPr>
          <w:p w14:paraId="6B9A72FE" w14:textId="77777777" w:rsidR="003E095D" w:rsidRPr="004D46AC" w:rsidRDefault="003E095D" w:rsidP="00B518F1">
            <w:pPr>
              <w:spacing w:line="240" w:lineRule="auto"/>
              <w:ind w:firstLine="0"/>
            </w:pPr>
            <w:r w:rsidRPr="004D46AC">
              <w:rPr>
                <w:rFonts w:eastAsia="SimSun"/>
                <w:color w:val="000000"/>
              </w:rPr>
              <w:t xml:space="preserve">0.44 </w:t>
            </w:r>
          </w:p>
        </w:tc>
      </w:tr>
      <w:tr w:rsidR="003E095D" w:rsidRPr="004D46AC" w14:paraId="5D006197" w14:textId="77777777" w:rsidTr="00B518F1">
        <w:tc>
          <w:tcPr>
            <w:tcW w:w="2130" w:type="dxa"/>
            <w:vAlign w:val="center"/>
          </w:tcPr>
          <w:p w14:paraId="20AD552D" w14:textId="77777777" w:rsidR="003E095D" w:rsidRPr="004D46AC" w:rsidRDefault="003E095D" w:rsidP="00B518F1">
            <w:pPr>
              <w:spacing w:line="240" w:lineRule="auto"/>
              <w:ind w:firstLine="0"/>
            </w:pPr>
            <w:r w:rsidRPr="004D46AC">
              <w:rPr>
                <w:rFonts w:eastAsia="SimSun"/>
                <w:color w:val="000000"/>
              </w:rPr>
              <w:lastRenderedPageBreak/>
              <w:t>TR18</w:t>
            </w:r>
          </w:p>
        </w:tc>
        <w:tc>
          <w:tcPr>
            <w:tcW w:w="2130" w:type="dxa"/>
            <w:vAlign w:val="center"/>
          </w:tcPr>
          <w:p w14:paraId="34A96A6D" w14:textId="77777777" w:rsidR="003E095D" w:rsidRPr="004D46AC" w:rsidRDefault="003E095D" w:rsidP="00B518F1">
            <w:pPr>
              <w:spacing w:line="240" w:lineRule="auto"/>
              <w:ind w:firstLine="0"/>
            </w:pPr>
            <w:r w:rsidRPr="004D46AC">
              <w:rPr>
                <w:rFonts w:eastAsia="SimSun"/>
                <w:color w:val="000000"/>
              </w:rPr>
              <w:t>TR9</w:t>
            </w:r>
          </w:p>
        </w:tc>
        <w:tc>
          <w:tcPr>
            <w:tcW w:w="2131" w:type="dxa"/>
            <w:vAlign w:val="center"/>
          </w:tcPr>
          <w:p w14:paraId="6264B196" w14:textId="77777777" w:rsidR="003E095D" w:rsidRPr="004D46AC" w:rsidRDefault="003E095D" w:rsidP="00B518F1">
            <w:pPr>
              <w:spacing w:line="240" w:lineRule="auto"/>
              <w:ind w:firstLine="0"/>
            </w:pPr>
            <w:r w:rsidRPr="004D46AC">
              <w:rPr>
                <w:rFonts w:eastAsia="SimSun"/>
                <w:color w:val="000000"/>
              </w:rPr>
              <w:t xml:space="preserve">0.97 </w:t>
            </w:r>
          </w:p>
        </w:tc>
        <w:tc>
          <w:tcPr>
            <w:tcW w:w="2131" w:type="dxa"/>
            <w:vAlign w:val="center"/>
          </w:tcPr>
          <w:p w14:paraId="4BFDA71A" w14:textId="77777777" w:rsidR="003E095D" w:rsidRPr="004D46AC" w:rsidRDefault="003E095D" w:rsidP="00B518F1">
            <w:pPr>
              <w:spacing w:line="240" w:lineRule="auto"/>
              <w:ind w:firstLine="0"/>
            </w:pPr>
            <w:r w:rsidRPr="004D46AC">
              <w:rPr>
                <w:rFonts w:eastAsia="SimSun"/>
                <w:color w:val="000000"/>
              </w:rPr>
              <w:t xml:space="preserve">0.56 </w:t>
            </w:r>
          </w:p>
        </w:tc>
      </w:tr>
      <w:tr w:rsidR="003E095D" w:rsidRPr="004D46AC" w14:paraId="2B5CEF34" w14:textId="77777777" w:rsidTr="00B518F1">
        <w:tc>
          <w:tcPr>
            <w:tcW w:w="2130" w:type="dxa"/>
            <w:vAlign w:val="center"/>
          </w:tcPr>
          <w:p w14:paraId="72ACD331" w14:textId="77777777" w:rsidR="003E095D" w:rsidRPr="004D46AC" w:rsidRDefault="003E095D" w:rsidP="00B518F1">
            <w:pPr>
              <w:spacing w:line="240" w:lineRule="auto"/>
              <w:ind w:firstLine="0"/>
            </w:pPr>
            <w:r w:rsidRPr="004D46AC">
              <w:rPr>
                <w:rFonts w:eastAsia="SimSun"/>
                <w:color w:val="000000"/>
              </w:rPr>
              <w:t>TR13</w:t>
            </w:r>
          </w:p>
        </w:tc>
        <w:tc>
          <w:tcPr>
            <w:tcW w:w="2130" w:type="dxa"/>
            <w:vAlign w:val="center"/>
          </w:tcPr>
          <w:p w14:paraId="6B2EE9DF" w14:textId="77777777" w:rsidR="003E095D" w:rsidRPr="004D46AC" w:rsidRDefault="003E095D" w:rsidP="00B518F1">
            <w:pPr>
              <w:spacing w:line="240" w:lineRule="auto"/>
              <w:ind w:firstLine="0"/>
            </w:pPr>
            <w:r w:rsidRPr="004D46AC">
              <w:rPr>
                <w:rFonts w:eastAsia="SimSun"/>
                <w:color w:val="000000"/>
              </w:rPr>
              <w:t>TR20</w:t>
            </w:r>
          </w:p>
        </w:tc>
        <w:tc>
          <w:tcPr>
            <w:tcW w:w="2131" w:type="dxa"/>
            <w:vAlign w:val="center"/>
          </w:tcPr>
          <w:p w14:paraId="01CEFF96" w14:textId="77777777" w:rsidR="003E095D" w:rsidRPr="004D46AC" w:rsidRDefault="003E095D" w:rsidP="00B518F1">
            <w:pPr>
              <w:spacing w:line="240" w:lineRule="auto"/>
              <w:ind w:firstLine="0"/>
            </w:pPr>
            <w:r w:rsidRPr="004D46AC">
              <w:rPr>
                <w:rFonts w:eastAsia="SimSun"/>
                <w:color w:val="000000"/>
              </w:rPr>
              <w:t xml:space="preserve">0.97 </w:t>
            </w:r>
          </w:p>
        </w:tc>
        <w:tc>
          <w:tcPr>
            <w:tcW w:w="2131" w:type="dxa"/>
            <w:vAlign w:val="center"/>
          </w:tcPr>
          <w:p w14:paraId="7D2FBC6F" w14:textId="77777777" w:rsidR="003E095D" w:rsidRPr="004D46AC" w:rsidRDefault="003E095D" w:rsidP="00B518F1">
            <w:pPr>
              <w:spacing w:line="240" w:lineRule="auto"/>
              <w:ind w:firstLine="0"/>
            </w:pPr>
            <w:r w:rsidRPr="004D46AC">
              <w:rPr>
                <w:rFonts w:eastAsia="SimSun"/>
                <w:color w:val="000000"/>
              </w:rPr>
              <w:t xml:space="preserve">0.76 </w:t>
            </w:r>
          </w:p>
        </w:tc>
      </w:tr>
      <w:tr w:rsidR="003E095D" w:rsidRPr="004D46AC" w14:paraId="2D7043AB" w14:textId="77777777" w:rsidTr="00B518F1">
        <w:tc>
          <w:tcPr>
            <w:tcW w:w="2130" w:type="dxa"/>
            <w:vAlign w:val="center"/>
          </w:tcPr>
          <w:p w14:paraId="275178A1" w14:textId="77777777" w:rsidR="003E095D" w:rsidRPr="004D46AC" w:rsidRDefault="003E095D" w:rsidP="00B518F1">
            <w:pPr>
              <w:spacing w:line="240" w:lineRule="auto"/>
              <w:ind w:firstLine="0"/>
            </w:pPr>
            <w:r w:rsidRPr="004D46AC">
              <w:rPr>
                <w:rFonts w:eastAsia="SimSun"/>
                <w:color w:val="000000"/>
              </w:rPr>
              <w:t>TR34</w:t>
            </w:r>
          </w:p>
        </w:tc>
        <w:tc>
          <w:tcPr>
            <w:tcW w:w="2130" w:type="dxa"/>
            <w:vAlign w:val="center"/>
          </w:tcPr>
          <w:p w14:paraId="7B8D910D" w14:textId="77777777" w:rsidR="003E095D" w:rsidRPr="004D46AC" w:rsidRDefault="003E095D" w:rsidP="00B518F1">
            <w:pPr>
              <w:spacing w:line="240" w:lineRule="auto"/>
              <w:ind w:firstLine="0"/>
            </w:pPr>
            <w:r w:rsidRPr="004D46AC">
              <w:rPr>
                <w:rFonts w:eastAsia="SimSun"/>
                <w:color w:val="000000"/>
              </w:rPr>
              <w:t>TR26</w:t>
            </w:r>
          </w:p>
        </w:tc>
        <w:tc>
          <w:tcPr>
            <w:tcW w:w="2131" w:type="dxa"/>
            <w:vAlign w:val="center"/>
          </w:tcPr>
          <w:p w14:paraId="01029464" w14:textId="77777777" w:rsidR="003E095D" w:rsidRPr="004D46AC" w:rsidRDefault="003E095D" w:rsidP="00B518F1">
            <w:pPr>
              <w:spacing w:line="240" w:lineRule="auto"/>
              <w:ind w:firstLine="0"/>
            </w:pPr>
            <w:r w:rsidRPr="004D46AC">
              <w:rPr>
                <w:rFonts w:eastAsia="SimSun"/>
                <w:color w:val="000000"/>
              </w:rPr>
              <w:t xml:space="preserve">0.97 </w:t>
            </w:r>
          </w:p>
        </w:tc>
        <w:tc>
          <w:tcPr>
            <w:tcW w:w="2131" w:type="dxa"/>
            <w:vAlign w:val="center"/>
          </w:tcPr>
          <w:p w14:paraId="5B036CC2" w14:textId="77777777" w:rsidR="003E095D" w:rsidRPr="004D46AC" w:rsidRDefault="003E095D" w:rsidP="00B518F1">
            <w:pPr>
              <w:spacing w:line="240" w:lineRule="auto"/>
              <w:ind w:firstLine="0"/>
            </w:pPr>
            <w:r w:rsidRPr="004D46AC">
              <w:rPr>
                <w:rFonts w:eastAsia="SimSun"/>
                <w:color w:val="000000"/>
              </w:rPr>
              <w:t xml:space="preserve">0.79 </w:t>
            </w:r>
          </w:p>
        </w:tc>
      </w:tr>
      <w:tr w:rsidR="003E095D" w:rsidRPr="004D46AC" w14:paraId="73C8E05F" w14:textId="77777777" w:rsidTr="00B518F1">
        <w:tc>
          <w:tcPr>
            <w:tcW w:w="2130" w:type="dxa"/>
            <w:vAlign w:val="center"/>
          </w:tcPr>
          <w:p w14:paraId="46E0B95C" w14:textId="77777777" w:rsidR="003E095D" w:rsidRPr="004D46AC" w:rsidRDefault="003E095D" w:rsidP="00B518F1">
            <w:pPr>
              <w:spacing w:line="240" w:lineRule="auto"/>
              <w:ind w:firstLine="0"/>
            </w:pPr>
            <w:r w:rsidRPr="004D46AC">
              <w:rPr>
                <w:rFonts w:eastAsia="SimSun"/>
                <w:color w:val="000000"/>
              </w:rPr>
              <w:t>TR7</w:t>
            </w:r>
          </w:p>
        </w:tc>
        <w:tc>
          <w:tcPr>
            <w:tcW w:w="2130" w:type="dxa"/>
            <w:vAlign w:val="center"/>
          </w:tcPr>
          <w:p w14:paraId="3633C7C7" w14:textId="77777777" w:rsidR="003E095D" w:rsidRPr="004D46AC" w:rsidRDefault="003E095D" w:rsidP="00B518F1">
            <w:pPr>
              <w:spacing w:line="240" w:lineRule="auto"/>
              <w:ind w:firstLine="0"/>
            </w:pPr>
            <w:r w:rsidRPr="004D46AC">
              <w:rPr>
                <w:rFonts w:eastAsia="SimSun"/>
                <w:color w:val="000000"/>
              </w:rPr>
              <w:t>TR3</w:t>
            </w:r>
          </w:p>
        </w:tc>
        <w:tc>
          <w:tcPr>
            <w:tcW w:w="2131" w:type="dxa"/>
            <w:vAlign w:val="center"/>
          </w:tcPr>
          <w:p w14:paraId="7B83F076" w14:textId="77777777" w:rsidR="003E095D" w:rsidRPr="004D46AC" w:rsidRDefault="003E095D" w:rsidP="00B518F1">
            <w:pPr>
              <w:spacing w:line="240" w:lineRule="auto"/>
              <w:ind w:firstLine="0"/>
            </w:pPr>
            <w:r w:rsidRPr="004D46AC">
              <w:rPr>
                <w:rFonts w:eastAsia="SimSun"/>
                <w:color w:val="000000"/>
              </w:rPr>
              <w:t xml:space="preserve">0.96 </w:t>
            </w:r>
          </w:p>
        </w:tc>
        <w:tc>
          <w:tcPr>
            <w:tcW w:w="2131" w:type="dxa"/>
            <w:vAlign w:val="center"/>
          </w:tcPr>
          <w:p w14:paraId="0FACD089" w14:textId="77777777" w:rsidR="003E095D" w:rsidRPr="004D46AC" w:rsidRDefault="003E095D" w:rsidP="00B518F1">
            <w:pPr>
              <w:spacing w:line="240" w:lineRule="auto"/>
              <w:ind w:firstLine="0"/>
            </w:pPr>
            <w:r w:rsidRPr="004D46AC">
              <w:rPr>
                <w:rFonts w:eastAsia="SimSun"/>
                <w:color w:val="000000"/>
              </w:rPr>
              <w:t xml:space="preserve">0.80 </w:t>
            </w:r>
          </w:p>
        </w:tc>
      </w:tr>
      <w:tr w:rsidR="003E095D" w:rsidRPr="004D46AC" w14:paraId="56407FD6" w14:textId="77777777" w:rsidTr="00B518F1">
        <w:tc>
          <w:tcPr>
            <w:tcW w:w="2130" w:type="dxa"/>
            <w:vAlign w:val="center"/>
          </w:tcPr>
          <w:p w14:paraId="7C549D16" w14:textId="77777777" w:rsidR="003E095D" w:rsidRPr="004D46AC" w:rsidRDefault="003E095D" w:rsidP="00B518F1">
            <w:pPr>
              <w:spacing w:line="240" w:lineRule="auto"/>
              <w:ind w:firstLine="0"/>
            </w:pPr>
            <w:r w:rsidRPr="004D46AC">
              <w:rPr>
                <w:rFonts w:eastAsia="SimSun"/>
                <w:color w:val="000000"/>
              </w:rPr>
              <w:t>TR30</w:t>
            </w:r>
          </w:p>
        </w:tc>
        <w:tc>
          <w:tcPr>
            <w:tcW w:w="2130" w:type="dxa"/>
            <w:vAlign w:val="center"/>
          </w:tcPr>
          <w:p w14:paraId="551B4981" w14:textId="77777777" w:rsidR="003E095D" w:rsidRPr="004D46AC" w:rsidRDefault="003E095D" w:rsidP="00B518F1">
            <w:pPr>
              <w:spacing w:line="240" w:lineRule="auto"/>
              <w:ind w:firstLine="0"/>
            </w:pPr>
            <w:r w:rsidRPr="004D46AC">
              <w:rPr>
                <w:rFonts w:eastAsia="SimSun"/>
                <w:color w:val="000000"/>
              </w:rPr>
              <w:t>TR6</w:t>
            </w:r>
          </w:p>
        </w:tc>
        <w:tc>
          <w:tcPr>
            <w:tcW w:w="2131" w:type="dxa"/>
            <w:vAlign w:val="center"/>
          </w:tcPr>
          <w:p w14:paraId="12DFC517" w14:textId="77777777" w:rsidR="003E095D" w:rsidRPr="004D46AC" w:rsidRDefault="003E095D" w:rsidP="00B518F1">
            <w:pPr>
              <w:spacing w:line="240" w:lineRule="auto"/>
              <w:ind w:firstLine="0"/>
            </w:pPr>
            <w:r w:rsidRPr="004D46AC">
              <w:rPr>
                <w:rFonts w:eastAsia="SimSun"/>
                <w:color w:val="000000"/>
              </w:rPr>
              <w:t xml:space="preserve">0.95 </w:t>
            </w:r>
          </w:p>
        </w:tc>
        <w:tc>
          <w:tcPr>
            <w:tcW w:w="2131" w:type="dxa"/>
            <w:vAlign w:val="center"/>
          </w:tcPr>
          <w:p w14:paraId="2D98B40F" w14:textId="77777777" w:rsidR="003E095D" w:rsidRPr="004D46AC" w:rsidRDefault="003E095D" w:rsidP="00B518F1">
            <w:pPr>
              <w:spacing w:line="240" w:lineRule="auto"/>
              <w:ind w:firstLine="0"/>
            </w:pPr>
            <w:r w:rsidRPr="004D46AC">
              <w:rPr>
                <w:rFonts w:eastAsia="SimSun"/>
                <w:color w:val="000000"/>
              </w:rPr>
              <w:t xml:space="preserve">0.75 </w:t>
            </w:r>
          </w:p>
        </w:tc>
      </w:tr>
      <w:tr w:rsidR="003E095D" w:rsidRPr="004D46AC" w14:paraId="22F32D55" w14:textId="77777777" w:rsidTr="00B518F1">
        <w:tc>
          <w:tcPr>
            <w:tcW w:w="2130" w:type="dxa"/>
            <w:vAlign w:val="center"/>
          </w:tcPr>
          <w:p w14:paraId="03750D29" w14:textId="77777777" w:rsidR="003E095D" w:rsidRPr="004D46AC" w:rsidRDefault="003E095D" w:rsidP="00B518F1">
            <w:pPr>
              <w:spacing w:line="240" w:lineRule="auto"/>
              <w:ind w:firstLine="0"/>
            </w:pPr>
            <w:r w:rsidRPr="004D46AC">
              <w:rPr>
                <w:rFonts w:eastAsia="SimSun"/>
                <w:color w:val="000000"/>
              </w:rPr>
              <w:t>TR19</w:t>
            </w:r>
          </w:p>
        </w:tc>
        <w:tc>
          <w:tcPr>
            <w:tcW w:w="2130" w:type="dxa"/>
            <w:vAlign w:val="center"/>
          </w:tcPr>
          <w:p w14:paraId="3C869E42" w14:textId="77777777" w:rsidR="003E095D" w:rsidRPr="004D46AC" w:rsidRDefault="003E095D" w:rsidP="00B518F1">
            <w:pPr>
              <w:spacing w:line="240" w:lineRule="auto"/>
              <w:ind w:firstLine="0"/>
            </w:pPr>
            <w:r w:rsidRPr="004D46AC">
              <w:rPr>
                <w:rFonts w:eastAsia="SimSun"/>
                <w:color w:val="000000"/>
              </w:rPr>
              <w:t>TR34</w:t>
            </w:r>
          </w:p>
        </w:tc>
        <w:tc>
          <w:tcPr>
            <w:tcW w:w="2131" w:type="dxa"/>
            <w:vAlign w:val="center"/>
          </w:tcPr>
          <w:p w14:paraId="137224F1" w14:textId="77777777" w:rsidR="003E095D" w:rsidRPr="004D46AC" w:rsidRDefault="003E095D" w:rsidP="00B518F1">
            <w:pPr>
              <w:spacing w:line="240" w:lineRule="auto"/>
              <w:ind w:firstLine="0"/>
            </w:pPr>
            <w:r w:rsidRPr="004D46AC">
              <w:rPr>
                <w:rFonts w:eastAsia="SimSun"/>
                <w:color w:val="000000"/>
              </w:rPr>
              <w:t xml:space="preserve">0.94 </w:t>
            </w:r>
          </w:p>
        </w:tc>
        <w:tc>
          <w:tcPr>
            <w:tcW w:w="2131" w:type="dxa"/>
            <w:vAlign w:val="center"/>
          </w:tcPr>
          <w:p w14:paraId="1CFFF8A9" w14:textId="77777777" w:rsidR="003E095D" w:rsidRPr="004D46AC" w:rsidRDefault="003E095D" w:rsidP="00B518F1">
            <w:pPr>
              <w:spacing w:line="240" w:lineRule="auto"/>
              <w:ind w:firstLine="0"/>
            </w:pPr>
            <w:r w:rsidRPr="004D46AC">
              <w:rPr>
                <w:rFonts w:eastAsia="SimSun"/>
                <w:color w:val="000000"/>
              </w:rPr>
              <w:t xml:space="preserve">0.41 </w:t>
            </w:r>
          </w:p>
        </w:tc>
      </w:tr>
      <w:tr w:rsidR="003E095D" w:rsidRPr="004D46AC" w14:paraId="72C5BE65" w14:textId="77777777" w:rsidTr="00B518F1">
        <w:tc>
          <w:tcPr>
            <w:tcW w:w="2130" w:type="dxa"/>
            <w:vAlign w:val="center"/>
          </w:tcPr>
          <w:p w14:paraId="661EE9B9" w14:textId="77777777" w:rsidR="003E095D" w:rsidRPr="004D46AC" w:rsidRDefault="003E095D" w:rsidP="00B518F1">
            <w:pPr>
              <w:spacing w:line="240" w:lineRule="auto"/>
              <w:ind w:firstLine="0"/>
            </w:pPr>
            <w:r w:rsidRPr="004D46AC">
              <w:rPr>
                <w:rFonts w:eastAsia="SimSun"/>
                <w:color w:val="000000"/>
              </w:rPr>
              <w:t>TR34</w:t>
            </w:r>
          </w:p>
        </w:tc>
        <w:tc>
          <w:tcPr>
            <w:tcW w:w="2130" w:type="dxa"/>
            <w:vAlign w:val="center"/>
          </w:tcPr>
          <w:p w14:paraId="4AF941DC" w14:textId="77777777" w:rsidR="003E095D" w:rsidRPr="004D46AC" w:rsidRDefault="003E095D" w:rsidP="00B518F1">
            <w:pPr>
              <w:spacing w:line="240" w:lineRule="auto"/>
              <w:ind w:firstLine="0"/>
            </w:pPr>
            <w:r w:rsidRPr="004D46AC">
              <w:rPr>
                <w:rFonts w:eastAsia="SimSun"/>
                <w:color w:val="000000"/>
              </w:rPr>
              <w:t>TR19</w:t>
            </w:r>
          </w:p>
        </w:tc>
        <w:tc>
          <w:tcPr>
            <w:tcW w:w="2131" w:type="dxa"/>
            <w:vAlign w:val="center"/>
          </w:tcPr>
          <w:p w14:paraId="57608517" w14:textId="77777777" w:rsidR="003E095D" w:rsidRPr="004D46AC" w:rsidRDefault="003E095D" w:rsidP="00B518F1">
            <w:pPr>
              <w:spacing w:line="240" w:lineRule="auto"/>
              <w:ind w:firstLine="0"/>
            </w:pPr>
            <w:r w:rsidRPr="004D46AC">
              <w:rPr>
                <w:rFonts w:eastAsia="SimSun"/>
                <w:color w:val="000000"/>
              </w:rPr>
              <w:t xml:space="preserve">0.94 </w:t>
            </w:r>
          </w:p>
        </w:tc>
        <w:tc>
          <w:tcPr>
            <w:tcW w:w="2131" w:type="dxa"/>
            <w:vAlign w:val="center"/>
          </w:tcPr>
          <w:p w14:paraId="2CDE99F9" w14:textId="77777777" w:rsidR="003E095D" w:rsidRPr="004D46AC" w:rsidRDefault="003E095D" w:rsidP="00B518F1">
            <w:pPr>
              <w:spacing w:line="240" w:lineRule="auto"/>
              <w:ind w:firstLine="0"/>
            </w:pPr>
            <w:r w:rsidRPr="004D46AC">
              <w:rPr>
                <w:rFonts w:eastAsia="SimSun"/>
                <w:color w:val="000000"/>
              </w:rPr>
              <w:t xml:space="preserve">0.59 </w:t>
            </w:r>
          </w:p>
        </w:tc>
      </w:tr>
      <w:tr w:rsidR="003E095D" w:rsidRPr="004D46AC" w14:paraId="4A651BA2" w14:textId="77777777" w:rsidTr="00B518F1">
        <w:tc>
          <w:tcPr>
            <w:tcW w:w="2130" w:type="dxa"/>
            <w:vAlign w:val="center"/>
          </w:tcPr>
          <w:p w14:paraId="272619D6" w14:textId="77777777" w:rsidR="003E095D" w:rsidRPr="004D46AC" w:rsidRDefault="003E095D" w:rsidP="00B518F1">
            <w:pPr>
              <w:spacing w:line="240" w:lineRule="auto"/>
              <w:ind w:firstLine="0"/>
            </w:pPr>
            <w:r w:rsidRPr="004D46AC">
              <w:rPr>
                <w:rFonts w:eastAsia="SimSun"/>
                <w:color w:val="000000"/>
              </w:rPr>
              <w:t>TR15</w:t>
            </w:r>
          </w:p>
        </w:tc>
        <w:tc>
          <w:tcPr>
            <w:tcW w:w="2130" w:type="dxa"/>
            <w:vAlign w:val="center"/>
          </w:tcPr>
          <w:p w14:paraId="7BB9E501" w14:textId="77777777" w:rsidR="003E095D" w:rsidRPr="004D46AC" w:rsidRDefault="003E095D" w:rsidP="00B518F1">
            <w:pPr>
              <w:spacing w:line="240" w:lineRule="auto"/>
              <w:ind w:firstLine="0"/>
            </w:pPr>
            <w:r w:rsidRPr="004D46AC">
              <w:rPr>
                <w:rFonts w:eastAsia="SimSun"/>
                <w:color w:val="000000"/>
              </w:rPr>
              <w:t>TR27</w:t>
            </w:r>
          </w:p>
        </w:tc>
        <w:tc>
          <w:tcPr>
            <w:tcW w:w="2131" w:type="dxa"/>
            <w:vAlign w:val="center"/>
          </w:tcPr>
          <w:p w14:paraId="25935565" w14:textId="77777777" w:rsidR="003E095D" w:rsidRPr="004D46AC" w:rsidRDefault="003E095D" w:rsidP="00B518F1">
            <w:pPr>
              <w:spacing w:line="240" w:lineRule="auto"/>
              <w:ind w:firstLine="0"/>
            </w:pPr>
            <w:r w:rsidRPr="004D46AC">
              <w:rPr>
                <w:rFonts w:eastAsia="SimSun"/>
                <w:color w:val="000000"/>
              </w:rPr>
              <w:t xml:space="preserve">0.94 </w:t>
            </w:r>
          </w:p>
        </w:tc>
        <w:tc>
          <w:tcPr>
            <w:tcW w:w="2131" w:type="dxa"/>
            <w:vAlign w:val="center"/>
          </w:tcPr>
          <w:p w14:paraId="203FCB40" w14:textId="77777777" w:rsidR="003E095D" w:rsidRPr="004D46AC" w:rsidRDefault="003E095D" w:rsidP="00B518F1">
            <w:pPr>
              <w:spacing w:line="240" w:lineRule="auto"/>
              <w:ind w:firstLine="0"/>
            </w:pPr>
            <w:r w:rsidRPr="004D46AC">
              <w:rPr>
                <w:rFonts w:eastAsia="SimSun"/>
                <w:color w:val="000000"/>
              </w:rPr>
              <w:t xml:space="preserve">0.92 </w:t>
            </w:r>
          </w:p>
        </w:tc>
      </w:tr>
      <w:tr w:rsidR="003E095D" w:rsidRPr="004D46AC" w14:paraId="5DEF04D6" w14:textId="77777777" w:rsidTr="00B518F1">
        <w:tc>
          <w:tcPr>
            <w:tcW w:w="2130" w:type="dxa"/>
            <w:vAlign w:val="center"/>
          </w:tcPr>
          <w:p w14:paraId="23E1F756" w14:textId="77777777" w:rsidR="003E095D" w:rsidRPr="004D46AC" w:rsidRDefault="003E095D" w:rsidP="00B518F1">
            <w:pPr>
              <w:spacing w:line="240" w:lineRule="auto"/>
              <w:ind w:firstLine="0"/>
            </w:pPr>
            <w:r w:rsidRPr="004D46AC">
              <w:rPr>
                <w:rFonts w:eastAsia="SimSun"/>
                <w:color w:val="000000"/>
              </w:rPr>
              <w:t>TR14</w:t>
            </w:r>
          </w:p>
        </w:tc>
        <w:tc>
          <w:tcPr>
            <w:tcW w:w="2130" w:type="dxa"/>
            <w:vAlign w:val="center"/>
          </w:tcPr>
          <w:p w14:paraId="2EDA5DC8" w14:textId="77777777" w:rsidR="003E095D" w:rsidRPr="004D46AC" w:rsidRDefault="003E095D" w:rsidP="00B518F1">
            <w:pPr>
              <w:spacing w:line="240" w:lineRule="auto"/>
              <w:ind w:firstLine="0"/>
            </w:pPr>
            <w:r w:rsidRPr="004D46AC">
              <w:rPr>
                <w:rFonts w:eastAsia="SimSun"/>
                <w:color w:val="000000"/>
              </w:rPr>
              <w:t>TR20</w:t>
            </w:r>
          </w:p>
        </w:tc>
        <w:tc>
          <w:tcPr>
            <w:tcW w:w="2131" w:type="dxa"/>
            <w:vAlign w:val="center"/>
          </w:tcPr>
          <w:p w14:paraId="0A4C9CB3" w14:textId="77777777" w:rsidR="003E095D" w:rsidRPr="004D46AC" w:rsidRDefault="003E095D" w:rsidP="00B518F1">
            <w:pPr>
              <w:spacing w:line="240" w:lineRule="auto"/>
              <w:ind w:firstLine="0"/>
            </w:pPr>
            <w:r w:rsidRPr="004D46AC">
              <w:rPr>
                <w:rFonts w:eastAsia="SimSun"/>
                <w:color w:val="000000"/>
              </w:rPr>
              <w:t xml:space="preserve">0.93 </w:t>
            </w:r>
          </w:p>
        </w:tc>
        <w:tc>
          <w:tcPr>
            <w:tcW w:w="2131" w:type="dxa"/>
            <w:vAlign w:val="center"/>
          </w:tcPr>
          <w:p w14:paraId="382426BD" w14:textId="77777777" w:rsidR="003E095D" w:rsidRPr="004D46AC" w:rsidRDefault="003E095D" w:rsidP="00B518F1">
            <w:pPr>
              <w:spacing w:line="240" w:lineRule="auto"/>
              <w:ind w:firstLine="0"/>
            </w:pPr>
            <w:r w:rsidRPr="004D46AC">
              <w:rPr>
                <w:rFonts w:eastAsia="SimSun"/>
                <w:color w:val="000000"/>
              </w:rPr>
              <w:t xml:space="preserve">0.84 </w:t>
            </w:r>
          </w:p>
        </w:tc>
      </w:tr>
      <w:tr w:rsidR="003E095D" w:rsidRPr="004D46AC" w14:paraId="1DAFEE99" w14:textId="77777777" w:rsidTr="00B518F1">
        <w:tc>
          <w:tcPr>
            <w:tcW w:w="2130" w:type="dxa"/>
            <w:vAlign w:val="center"/>
          </w:tcPr>
          <w:p w14:paraId="35998053" w14:textId="77777777" w:rsidR="003E095D" w:rsidRPr="004D46AC" w:rsidRDefault="003E095D" w:rsidP="00B518F1">
            <w:pPr>
              <w:spacing w:line="240" w:lineRule="auto"/>
              <w:ind w:firstLine="0"/>
            </w:pPr>
            <w:r w:rsidRPr="004D46AC">
              <w:rPr>
                <w:rFonts w:eastAsia="SimSun"/>
                <w:color w:val="000000"/>
              </w:rPr>
              <w:t>TR17</w:t>
            </w:r>
          </w:p>
        </w:tc>
        <w:tc>
          <w:tcPr>
            <w:tcW w:w="2130" w:type="dxa"/>
            <w:vAlign w:val="center"/>
          </w:tcPr>
          <w:p w14:paraId="5CDCD049" w14:textId="77777777" w:rsidR="003E095D" w:rsidRPr="004D46AC" w:rsidRDefault="003E095D" w:rsidP="00B518F1">
            <w:pPr>
              <w:spacing w:line="240" w:lineRule="auto"/>
              <w:ind w:firstLine="0"/>
            </w:pPr>
            <w:r w:rsidRPr="004D46AC">
              <w:rPr>
                <w:rFonts w:eastAsia="SimSun"/>
                <w:color w:val="000000"/>
              </w:rPr>
              <w:t>TR21</w:t>
            </w:r>
          </w:p>
        </w:tc>
        <w:tc>
          <w:tcPr>
            <w:tcW w:w="2131" w:type="dxa"/>
            <w:vAlign w:val="center"/>
          </w:tcPr>
          <w:p w14:paraId="1E2F5C16" w14:textId="77777777" w:rsidR="003E095D" w:rsidRPr="004D46AC" w:rsidRDefault="003E095D" w:rsidP="00B518F1">
            <w:pPr>
              <w:spacing w:line="240" w:lineRule="auto"/>
              <w:ind w:firstLine="0"/>
            </w:pPr>
            <w:r w:rsidRPr="004D46AC">
              <w:rPr>
                <w:rFonts w:eastAsia="SimSun"/>
                <w:color w:val="000000"/>
              </w:rPr>
              <w:t xml:space="preserve">0.92 </w:t>
            </w:r>
          </w:p>
        </w:tc>
        <w:tc>
          <w:tcPr>
            <w:tcW w:w="2131" w:type="dxa"/>
            <w:vAlign w:val="center"/>
          </w:tcPr>
          <w:p w14:paraId="19EC6A1F" w14:textId="77777777" w:rsidR="003E095D" w:rsidRPr="004D46AC" w:rsidRDefault="003E095D" w:rsidP="00B518F1">
            <w:pPr>
              <w:spacing w:line="240" w:lineRule="auto"/>
              <w:ind w:firstLine="0"/>
            </w:pPr>
            <w:r w:rsidRPr="004D46AC">
              <w:rPr>
                <w:rFonts w:eastAsia="SimSun"/>
                <w:color w:val="000000"/>
              </w:rPr>
              <w:t xml:space="preserve">0.64 </w:t>
            </w:r>
          </w:p>
        </w:tc>
      </w:tr>
      <w:tr w:rsidR="003E095D" w:rsidRPr="004D46AC" w14:paraId="1AD6925E" w14:textId="77777777" w:rsidTr="00B518F1">
        <w:tc>
          <w:tcPr>
            <w:tcW w:w="2130" w:type="dxa"/>
            <w:vAlign w:val="center"/>
          </w:tcPr>
          <w:p w14:paraId="01611411" w14:textId="77777777" w:rsidR="003E095D" w:rsidRPr="004D46AC" w:rsidRDefault="003E095D" w:rsidP="00B518F1">
            <w:pPr>
              <w:spacing w:line="240" w:lineRule="auto"/>
              <w:ind w:firstLine="0"/>
            </w:pPr>
            <w:r w:rsidRPr="004D46AC">
              <w:rPr>
                <w:rFonts w:eastAsia="SimSun"/>
                <w:color w:val="000000"/>
              </w:rPr>
              <w:t>TR25</w:t>
            </w:r>
          </w:p>
        </w:tc>
        <w:tc>
          <w:tcPr>
            <w:tcW w:w="2130" w:type="dxa"/>
            <w:vAlign w:val="center"/>
          </w:tcPr>
          <w:p w14:paraId="044B714C" w14:textId="77777777" w:rsidR="003E095D" w:rsidRPr="004D46AC" w:rsidRDefault="003E095D" w:rsidP="00B518F1">
            <w:pPr>
              <w:spacing w:line="240" w:lineRule="auto"/>
              <w:ind w:firstLine="0"/>
            </w:pPr>
            <w:r w:rsidRPr="004D46AC">
              <w:rPr>
                <w:rFonts w:eastAsia="SimSun"/>
                <w:color w:val="000000"/>
              </w:rPr>
              <w:t>TR14</w:t>
            </w:r>
          </w:p>
        </w:tc>
        <w:tc>
          <w:tcPr>
            <w:tcW w:w="2131" w:type="dxa"/>
            <w:vAlign w:val="center"/>
          </w:tcPr>
          <w:p w14:paraId="5D462F06" w14:textId="77777777" w:rsidR="003E095D" w:rsidRPr="004D46AC" w:rsidRDefault="003E095D" w:rsidP="00B518F1">
            <w:pPr>
              <w:spacing w:line="240" w:lineRule="auto"/>
              <w:ind w:firstLine="0"/>
            </w:pPr>
            <w:r w:rsidRPr="004D46AC">
              <w:rPr>
                <w:rFonts w:eastAsia="SimSun"/>
                <w:color w:val="000000"/>
              </w:rPr>
              <w:t xml:space="preserve">0.92 </w:t>
            </w:r>
          </w:p>
        </w:tc>
        <w:tc>
          <w:tcPr>
            <w:tcW w:w="2131" w:type="dxa"/>
            <w:vAlign w:val="center"/>
          </w:tcPr>
          <w:p w14:paraId="6886EA47" w14:textId="77777777" w:rsidR="003E095D" w:rsidRPr="004D46AC" w:rsidRDefault="003E095D" w:rsidP="00B518F1">
            <w:pPr>
              <w:spacing w:line="240" w:lineRule="auto"/>
              <w:ind w:firstLine="0"/>
            </w:pPr>
            <w:r w:rsidRPr="004D46AC">
              <w:rPr>
                <w:rFonts w:eastAsia="SimSun"/>
                <w:color w:val="000000"/>
              </w:rPr>
              <w:t xml:space="preserve">0.48 </w:t>
            </w:r>
          </w:p>
        </w:tc>
      </w:tr>
      <w:tr w:rsidR="003E095D" w:rsidRPr="004D46AC" w14:paraId="51A46CAA" w14:textId="77777777" w:rsidTr="00B518F1">
        <w:tc>
          <w:tcPr>
            <w:tcW w:w="2130" w:type="dxa"/>
            <w:vAlign w:val="center"/>
          </w:tcPr>
          <w:p w14:paraId="34B9DB31" w14:textId="77777777" w:rsidR="003E095D" w:rsidRPr="004D46AC" w:rsidRDefault="003E095D" w:rsidP="00B518F1">
            <w:pPr>
              <w:spacing w:line="240" w:lineRule="auto"/>
              <w:ind w:firstLine="0"/>
            </w:pPr>
            <w:r w:rsidRPr="004D46AC">
              <w:rPr>
                <w:rFonts w:eastAsia="SimSun"/>
                <w:color w:val="000000"/>
              </w:rPr>
              <w:t>TR14</w:t>
            </w:r>
          </w:p>
        </w:tc>
        <w:tc>
          <w:tcPr>
            <w:tcW w:w="2130" w:type="dxa"/>
            <w:vAlign w:val="center"/>
          </w:tcPr>
          <w:p w14:paraId="591AC5BC" w14:textId="77777777" w:rsidR="003E095D" w:rsidRPr="004D46AC" w:rsidRDefault="003E095D" w:rsidP="00B518F1">
            <w:pPr>
              <w:spacing w:line="240" w:lineRule="auto"/>
              <w:ind w:firstLine="0"/>
            </w:pPr>
            <w:r w:rsidRPr="004D46AC">
              <w:rPr>
                <w:rFonts w:eastAsia="SimSun"/>
                <w:color w:val="000000"/>
              </w:rPr>
              <w:t>TR25</w:t>
            </w:r>
          </w:p>
        </w:tc>
        <w:tc>
          <w:tcPr>
            <w:tcW w:w="2131" w:type="dxa"/>
            <w:vAlign w:val="center"/>
          </w:tcPr>
          <w:p w14:paraId="73209C74" w14:textId="77777777" w:rsidR="003E095D" w:rsidRPr="004D46AC" w:rsidRDefault="003E095D" w:rsidP="00B518F1">
            <w:pPr>
              <w:spacing w:line="240" w:lineRule="auto"/>
              <w:ind w:firstLine="0"/>
            </w:pPr>
            <w:r w:rsidRPr="004D46AC">
              <w:rPr>
                <w:rFonts w:eastAsia="SimSun"/>
                <w:color w:val="000000"/>
              </w:rPr>
              <w:t xml:space="preserve">0.92 </w:t>
            </w:r>
          </w:p>
        </w:tc>
        <w:tc>
          <w:tcPr>
            <w:tcW w:w="2131" w:type="dxa"/>
            <w:vAlign w:val="center"/>
          </w:tcPr>
          <w:p w14:paraId="451F0234" w14:textId="77777777" w:rsidR="003E095D" w:rsidRPr="004D46AC" w:rsidRDefault="003E095D" w:rsidP="00B518F1">
            <w:pPr>
              <w:spacing w:line="240" w:lineRule="auto"/>
              <w:ind w:firstLine="0"/>
            </w:pPr>
            <w:r w:rsidRPr="004D46AC">
              <w:rPr>
                <w:rFonts w:eastAsia="SimSun"/>
                <w:color w:val="000000"/>
              </w:rPr>
              <w:t xml:space="preserve">0.52 </w:t>
            </w:r>
          </w:p>
        </w:tc>
      </w:tr>
      <w:tr w:rsidR="003E095D" w:rsidRPr="004D46AC" w14:paraId="207F98BA" w14:textId="77777777" w:rsidTr="00B518F1">
        <w:tc>
          <w:tcPr>
            <w:tcW w:w="2130" w:type="dxa"/>
            <w:vAlign w:val="center"/>
          </w:tcPr>
          <w:p w14:paraId="2BE9A58D" w14:textId="77777777" w:rsidR="003E095D" w:rsidRPr="004D46AC" w:rsidRDefault="003E095D" w:rsidP="00B518F1">
            <w:pPr>
              <w:spacing w:line="240" w:lineRule="auto"/>
              <w:ind w:firstLine="0"/>
            </w:pPr>
            <w:r w:rsidRPr="004D46AC">
              <w:rPr>
                <w:rFonts w:eastAsia="SimSun"/>
                <w:color w:val="000000"/>
              </w:rPr>
              <w:t>TR23</w:t>
            </w:r>
          </w:p>
        </w:tc>
        <w:tc>
          <w:tcPr>
            <w:tcW w:w="2130" w:type="dxa"/>
            <w:vAlign w:val="center"/>
          </w:tcPr>
          <w:p w14:paraId="3D80EC5D" w14:textId="77777777" w:rsidR="003E095D" w:rsidRPr="004D46AC" w:rsidRDefault="003E095D" w:rsidP="00B518F1">
            <w:pPr>
              <w:spacing w:line="240" w:lineRule="auto"/>
              <w:ind w:firstLine="0"/>
            </w:pPr>
            <w:r w:rsidRPr="004D46AC">
              <w:rPr>
                <w:rFonts w:eastAsia="SimSun"/>
                <w:color w:val="000000"/>
              </w:rPr>
              <w:t>TR21</w:t>
            </w:r>
          </w:p>
        </w:tc>
        <w:tc>
          <w:tcPr>
            <w:tcW w:w="2131" w:type="dxa"/>
            <w:vAlign w:val="center"/>
          </w:tcPr>
          <w:p w14:paraId="15F872F8" w14:textId="77777777" w:rsidR="003E095D" w:rsidRPr="004D46AC" w:rsidRDefault="003E095D" w:rsidP="00B518F1">
            <w:pPr>
              <w:spacing w:line="240" w:lineRule="auto"/>
              <w:ind w:firstLine="0"/>
            </w:pPr>
            <w:r w:rsidRPr="004D46AC">
              <w:rPr>
                <w:rFonts w:eastAsia="SimSun"/>
                <w:color w:val="000000"/>
              </w:rPr>
              <w:t xml:space="preserve">0.92 </w:t>
            </w:r>
          </w:p>
        </w:tc>
        <w:tc>
          <w:tcPr>
            <w:tcW w:w="2131" w:type="dxa"/>
            <w:vAlign w:val="center"/>
          </w:tcPr>
          <w:p w14:paraId="775F5CFF" w14:textId="77777777" w:rsidR="003E095D" w:rsidRPr="004D46AC" w:rsidRDefault="003E095D" w:rsidP="00B518F1">
            <w:pPr>
              <w:spacing w:line="240" w:lineRule="auto"/>
              <w:ind w:firstLine="0"/>
            </w:pPr>
            <w:r w:rsidRPr="004D46AC">
              <w:rPr>
                <w:rFonts w:eastAsia="SimSun"/>
                <w:color w:val="000000"/>
              </w:rPr>
              <w:t xml:space="preserve">0.64 </w:t>
            </w:r>
          </w:p>
        </w:tc>
      </w:tr>
      <w:tr w:rsidR="003E095D" w:rsidRPr="004D46AC" w14:paraId="465051AE" w14:textId="77777777" w:rsidTr="00B518F1">
        <w:tc>
          <w:tcPr>
            <w:tcW w:w="2130" w:type="dxa"/>
            <w:vAlign w:val="center"/>
          </w:tcPr>
          <w:p w14:paraId="5A12D53C" w14:textId="77777777" w:rsidR="003E095D" w:rsidRPr="004D46AC" w:rsidRDefault="003E095D" w:rsidP="00B518F1">
            <w:pPr>
              <w:spacing w:line="240" w:lineRule="auto"/>
              <w:ind w:firstLine="0"/>
            </w:pPr>
            <w:r w:rsidRPr="004D46AC">
              <w:rPr>
                <w:rFonts w:eastAsia="SimSun"/>
                <w:color w:val="000000"/>
              </w:rPr>
              <w:t>TR37</w:t>
            </w:r>
          </w:p>
        </w:tc>
        <w:tc>
          <w:tcPr>
            <w:tcW w:w="2130" w:type="dxa"/>
            <w:vAlign w:val="center"/>
          </w:tcPr>
          <w:p w14:paraId="1F8B4B72" w14:textId="77777777" w:rsidR="003E095D" w:rsidRPr="004D46AC" w:rsidRDefault="003E095D" w:rsidP="00B518F1">
            <w:pPr>
              <w:spacing w:line="240" w:lineRule="auto"/>
              <w:ind w:firstLine="0"/>
            </w:pPr>
            <w:r w:rsidRPr="004D46AC">
              <w:rPr>
                <w:rFonts w:eastAsia="SimSun"/>
                <w:color w:val="000000"/>
              </w:rPr>
              <w:t>TR26</w:t>
            </w:r>
          </w:p>
        </w:tc>
        <w:tc>
          <w:tcPr>
            <w:tcW w:w="2131" w:type="dxa"/>
            <w:vAlign w:val="center"/>
          </w:tcPr>
          <w:p w14:paraId="3DDA166D" w14:textId="77777777" w:rsidR="003E095D" w:rsidRPr="004D46AC" w:rsidRDefault="003E095D" w:rsidP="00B518F1">
            <w:pPr>
              <w:spacing w:line="240" w:lineRule="auto"/>
              <w:ind w:firstLine="0"/>
            </w:pPr>
            <w:r w:rsidRPr="004D46AC">
              <w:rPr>
                <w:rFonts w:eastAsia="SimSun"/>
                <w:color w:val="000000"/>
              </w:rPr>
              <w:t xml:space="preserve">0.91 </w:t>
            </w:r>
          </w:p>
        </w:tc>
        <w:tc>
          <w:tcPr>
            <w:tcW w:w="2131" w:type="dxa"/>
            <w:vAlign w:val="center"/>
          </w:tcPr>
          <w:p w14:paraId="729B2E68" w14:textId="77777777" w:rsidR="003E095D" w:rsidRPr="004D46AC" w:rsidRDefault="003E095D" w:rsidP="00B518F1">
            <w:pPr>
              <w:spacing w:line="240" w:lineRule="auto"/>
              <w:ind w:firstLine="0"/>
            </w:pPr>
            <w:r w:rsidRPr="004D46AC">
              <w:rPr>
                <w:rFonts w:eastAsia="SimSun"/>
                <w:color w:val="000000"/>
              </w:rPr>
              <w:t xml:space="preserve">0.86 </w:t>
            </w:r>
          </w:p>
        </w:tc>
      </w:tr>
      <w:tr w:rsidR="003E095D" w:rsidRPr="004D46AC" w14:paraId="13C41190" w14:textId="77777777" w:rsidTr="00B518F1">
        <w:tc>
          <w:tcPr>
            <w:tcW w:w="2130" w:type="dxa"/>
            <w:vAlign w:val="center"/>
          </w:tcPr>
          <w:p w14:paraId="125A4A78" w14:textId="77777777" w:rsidR="003E095D" w:rsidRPr="004D46AC" w:rsidRDefault="003E095D" w:rsidP="00B518F1">
            <w:pPr>
              <w:spacing w:line="240" w:lineRule="auto"/>
              <w:ind w:firstLine="0"/>
            </w:pPr>
            <w:r w:rsidRPr="004D46AC">
              <w:rPr>
                <w:rFonts w:eastAsia="SimSun"/>
                <w:color w:val="000000"/>
              </w:rPr>
              <w:t>TR23</w:t>
            </w:r>
          </w:p>
        </w:tc>
        <w:tc>
          <w:tcPr>
            <w:tcW w:w="2130" w:type="dxa"/>
            <w:vAlign w:val="center"/>
          </w:tcPr>
          <w:p w14:paraId="2CE7914C" w14:textId="77777777" w:rsidR="003E095D" w:rsidRPr="004D46AC" w:rsidRDefault="003E095D" w:rsidP="00B518F1">
            <w:pPr>
              <w:spacing w:line="240" w:lineRule="auto"/>
              <w:ind w:firstLine="0"/>
            </w:pPr>
            <w:r w:rsidRPr="004D46AC">
              <w:rPr>
                <w:rFonts w:eastAsia="SimSun"/>
                <w:color w:val="000000"/>
              </w:rPr>
              <w:t>TR3</w:t>
            </w:r>
          </w:p>
        </w:tc>
        <w:tc>
          <w:tcPr>
            <w:tcW w:w="2131" w:type="dxa"/>
            <w:vAlign w:val="center"/>
          </w:tcPr>
          <w:p w14:paraId="4ABDD0D3" w14:textId="77777777" w:rsidR="003E095D" w:rsidRPr="004D46AC" w:rsidRDefault="003E095D" w:rsidP="00B518F1">
            <w:pPr>
              <w:spacing w:line="240" w:lineRule="auto"/>
              <w:ind w:firstLine="0"/>
            </w:pPr>
            <w:r w:rsidRPr="004D46AC">
              <w:rPr>
                <w:rFonts w:eastAsia="SimSun"/>
                <w:color w:val="000000"/>
              </w:rPr>
              <w:t xml:space="preserve">0.91 </w:t>
            </w:r>
          </w:p>
        </w:tc>
        <w:tc>
          <w:tcPr>
            <w:tcW w:w="2131" w:type="dxa"/>
            <w:vAlign w:val="center"/>
          </w:tcPr>
          <w:p w14:paraId="6F00FBAD" w14:textId="77777777" w:rsidR="003E095D" w:rsidRPr="004D46AC" w:rsidRDefault="003E095D" w:rsidP="00B518F1">
            <w:pPr>
              <w:spacing w:line="240" w:lineRule="auto"/>
              <w:ind w:firstLine="0"/>
            </w:pPr>
            <w:r w:rsidRPr="004D46AC">
              <w:rPr>
                <w:rFonts w:eastAsia="SimSun"/>
                <w:color w:val="000000"/>
              </w:rPr>
              <w:t xml:space="preserve">0.74 </w:t>
            </w:r>
          </w:p>
        </w:tc>
      </w:tr>
      <w:tr w:rsidR="003E095D" w:rsidRPr="004D46AC" w14:paraId="7B0DB981" w14:textId="77777777" w:rsidTr="00B518F1">
        <w:tc>
          <w:tcPr>
            <w:tcW w:w="2130" w:type="dxa"/>
            <w:vAlign w:val="center"/>
          </w:tcPr>
          <w:p w14:paraId="63E28293" w14:textId="77777777" w:rsidR="003E095D" w:rsidRPr="004D46AC" w:rsidRDefault="003E095D" w:rsidP="00B518F1">
            <w:pPr>
              <w:spacing w:line="240" w:lineRule="auto"/>
              <w:ind w:firstLine="0"/>
            </w:pPr>
            <w:r w:rsidRPr="004D46AC">
              <w:rPr>
                <w:rFonts w:eastAsia="SimSun"/>
                <w:color w:val="000000"/>
              </w:rPr>
              <w:t>TR23</w:t>
            </w:r>
          </w:p>
        </w:tc>
        <w:tc>
          <w:tcPr>
            <w:tcW w:w="2130" w:type="dxa"/>
            <w:vAlign w:val="center"/>
          </w:tcPr>
          <w:p w14:paraId="03B82343" w14:textId="77777777" w:rsidR="003E095D" w:rsidRPr="004D46AC" w:rsidRDefault="003E095D" w:rsidP="00B518F1">
            <w:pPr>
              <w:spacing w:line="240" w:lineRule="auto"/>
              <w:ind w:firstLine="0"/>
            </w:pPr>
            <w:r w:rsidRPr="004D46AC">
              <w:rPr>
                <w:rFonts w:eastAsia="SimSun"/>
                <w:color w:val="000000"/>
              </w:rPr>
              <w:t>TR12</w:t>
            </w:r>
          </w:p>
        </w:tc>
        <w:tc>
          <w:tcPr>
            <w:tcW w:w="2131" w:type="dxa"/>
            <w:vAlign w:val="center"/>
          </w:tcPr>
          <w:p w14:paraId="4A2D7D5B" w14:textId="77777777" w:rsidR="003E095D" w:rsidRPr="004D46AC" w:rsidRDefault="003E095D" w:rsidP="00B518F1">
            <w:pPr>
              <w:spacing w:line="240" w:lineRule="auto"/>
              <w:ind w:firstLine="0"/>
            </w:pPr>
            <w:r w:rsidRPr="004D46AC">
              <w:rPr>
                <w:rFonts w:eastAsia="SimSun"/>
                <w:color w:val="000000"/>
              </w:rPr>
              <w:t xml:space="preserve">0.89 </w:t>
            </w:r>
          </w:p>
        </w:tc>
        <w:tc>
          <w:tcPr>
            <w:tcW w:w="2131" w:type="dxa"/>
            <w:vAlign w:val="center"/>
          </w:tcPr>
          <w:p w14:paraId="4E2EF8DB" w14:textId="77777777" w:rsidR="003E095D" w:rsidRPr="004D46AC" w:rsidRDefault="003E095D" w:rsidP="00B518F1">
            <w:pPr>
              <w:spacing w:line="240" w:lineRule="auto"/>
              <w:ind w:firstLine="0"/>
            </w:pPr>
            <w:r w:rsidRPr="004D46AC">
              <w:rPr>
                <w:rFonts w:eastAsia="SimSun"/>
                <w:color w:val="000000"/>
              </w:rPr>
              <w:t xml:space="preserve">0.82 </w:t>
            </w:r>
          </w:p>
        </w:tc>
      </w:tr>
      <w:tr w:rsidR="003E095D" w:rsidRPr="004D46AC" w14:paraId="4BCAE330" w14:textId="77777777" w:rsidTr="00B518F1">
        <w:tc>
          <w:tcPr>
            <w:tcW w:w="2130" w:type="dxa"/>
            <w:vAlign w:val="center"/>
          </w:tcPr>
          <w:p w14:paraId="589282CC" w14:textId="77777777" w:rsidR="003E095D" w:rsidRPr="004D46AC" w:rsidRDefault="003E095D" w:rsidP="00B518F1">
            <w:pPr>
              <w:spacing w:line="240" w:lineRule="auto"/>
              <w:ind w:firstLine="0"/>
            </w:pPr>
            <w:r w:rsidRPr="004D46AC">
              <w:rPr>
                <w:rFonts w:eastAsia="SimSun"/>
                <w:color w:val="000000"/>
              </w:rPr>
              <w:t>TR24</w:t>
            </w:r>
          </w:p>
        </w:tc>
        <w:tc>
          <w:tcPr>
            <w:tcW w:w="2130" w:type="dxa"/>
            <w:vAlign w:val="center"/>
          </w:tcPr>
          <w:p w14:paraId="07B0AC8C" w14:textId="77777777" w:rsidR="003E095D" w:rsidRPr="004D46AC" w:rsidRDefault="003E095D" w:rsidP="00B518F1">
            <w:pPr>
              <w:spacing w:line="240" w:lineRule="auto"/>
              <w:ind w:firstLine="0"/>
            </w:pPr>
            <w:r w:rsidRPr="004D46AC">
              <w:rPr>
                <w:rFonts w:eastAsia="SimSun"/>
                <w:color w:val="000000"/>
              </w:rPr>
              <w:t>TR21</w:t>
            </w:r>
          </w:p>
        </w:tc>
        <w:tc>
          <w:tcPr>
            <w:tcW w:w="2131" w:type="dxa"/>
            <w:vAlign w:val="center"/>
          </w:tcPr>
          <w:p w14:paraId="1FD82192" w14:textId="77777777" w:rsidR="003E095D" w:rsidRPr="004D46AC" w:rsidRDefault="003E095D" w:rsidP="00B518F1">
            <w:pPr>
              <w:spacing w:line="240" w:lineRule="auto"/>
              <w:ind w:firstLine="0"/>
            </w:pPr>
            <w:r w:rsidRPr="004D46AC">
              <w:rPr>
                <w:rFonts w:eastAsia="SimSun"/>
                <w:color w:val="000000"/>
              </w:rPr>
              <w:t xml:space="preserve">0.88 </w:t>
            </w:r>
          </w:p>
        </w:tc>
        <w:tc>
          <w:tcPr>
            <w:tcW w:w="2131" w:type="dxa"/>
            <w:vAlign w:val="center"/>
          </w:tcPr>
          <w:p w14:paraId="418CA60C" w14:textId="77777777" w:rsidR="003E095D" w:rsidRPr="004D46AC" w:rsidRDefault="003E095D" w:rsidP="00B518F1">
            <w:pPr>
              <w:spacing w:line="240" w:lineRule="auto"/>
              <w:ind w:firstLine="0"/>
            </w:pPr>
            <w:r w:rsidRPr="004D46AC">
              <w:rPr>
                <w:rFonts w:eastAsia="SimSun"/>
                <w:color w:val="000000"/>
              </w:rPr>
              <w:t xml:space="preserve">0.78 </w:t>
            </w:r>
          </w:p>
        </w:tc>
      </w:tr>
      <w:tr w:rsidR="003E095D" w:rsidRPr="004D46AC" w14:paraId="4E922875" w14:textId="77777777" w:rsidTr="00B518F1">
        <w:tc>
          <w:tcPr>
            <w:tcW w:w="2130" w:type="dxa"/>
            <w:vAlign w:val="center"/>
          </w:tcPr>
          <w:p w14:paraId="417A978E" w14:textId="77777777" w:rsidR="003E095D" w:rsidRPr="004D46AC" w:rsidRDefault="003E095D" w:rsidP="00B518F1">
            <w:pPr>
              <w:spacing w:line="240" w:lineRule="auto"/>
              <w:ind w:firstLine="0"/>
            </w:pPr>
            <w:r w:rsidRPr="004D46AC">
              <w:rPr>
                <w:rFonts w:eastAsia="SimSun"/>
                <w:color w:val="000000"/>
              </w:rPr>
              <w:t>TR6</w:t>
            </w:r>
          </w:p>
        </w:tc>
        <w:tc>
          <w:tcPr>
            <w:tcW w:w="2130" w:type="dxa"/>
            <w:vAlign w:val="center"/>
          </w:tcPr>
          <w:p w14:paraId="17150ABD" w14:textId="77777777" w:rsidR="003E095D" w:rsidRPr="004D46AC" w:rsidRDefault="003E095D" w:rsidP="00B518F1">
            <w:pPr>
              <w:spacing w:line="240" w:lineRule="auto"/>
              <w:ind w:firstLine="0"/>
            </w:pPr>
            <w:r w:rsidRPr="004D46AC">
              <w:rPr>
                <w:rFonts w:eastAsia="SimSun"/>
                <w:color w:val="000000"/>
              </w:rPr>
              <w:t>TR18</w:t>
            </w:r>
          </w:p>
        </w:tc>
        <w:tc>
          <w:tcPr>
            <w:tcW w:w="2131" w:type="dxa"/>
            <w:vAlign w:val="center"/>
          </w:tcPr>
          <w:p w14:paraId="1D49BA92" w14:textId="77777777" w:rsidR="003E095D" w:rsidRPr="004D46AC" w:rsidRDefault="003E095D" w:rsidP="00B518F1">
            <w:pPr>
              <w:spacing w:line="240" w:lineRule="auto"/>
              <w:ind w:firstLine="0"/>
            </w:pPr>
            <w:r w:rsidRPr="004D46AC">
              <w:rPr>
                <w:rFonts w:eastAsia="SimSun"/>
                <w:color w:val="000000"/>
              </w:rPr>
              <w:t xml:space="preserve">0.88 </w:t>
            </w:r>
          </w:p>
        </w:tc>
        <w:tc>
          <w:tcPr>
            <w:tcW w:w="2131" w:type="dxa"/>
            <w:vAlign w:val="center"/>
          </w:tcPr>
          <w:p w14:paraId="30873893" w14:textId="77777777" w:rsidR="003E095D" w:rsidRPr="004D46AC" w:rsidRDefault="003E095D" w:rsidP="00B518F1">
            <w:pPr>
              <w:spacing w:line="240" w:lineRule="auto"/>
              <w:ind w:firstLine="0"/>
            </w:pPr>
            <w:r w:rsidRPr="004D46AC">
              <w:rPr>
                <w:rFonts w:eastAsia="SimSun"/>
                <w:color w:val="000000"/>
              </w:rPr>
              <w:t xml:space="preserve">0.63 </w:t>
            </w:r>
          </w:p>
        </w:tc>
      </w:tr>
      <w:tr w:rsidR="003E095D" w:rsidRPr="004D46AC" w14:paraId="496DF05C" w14:textId="77777777" w:rsidTr="00B518F1">
        <w:tc>
          <w:tcPr>
            <w:tcW w:w="2130" w:type="dxa"/>
            <w:vAlign w:val="center"/>
          </w:tcPr>
          <w:p w14:paraId="5826EE2A" w14:textId="77777777" w:rsidR="003E095D" w:rsidRPr="004D46AC" w:rsidRDefault="003E095D" w:rsidP="00B518F1">
            <w:pPr>
              <w:spacing w:line="240" w:lineRule="auto"/>
              <w:ind w:firstLine="0"/>
            </w:pPr>
            <w:r w:rsidRPr="004D46AC">
              <w:rPr>
                <w:rFonts w:eastAsia="SimSun"/>
                <w:color w:val="000000"/>
              </w:rPr>
              <w:t>TR17</w:t>
            </w:r>
          </w:p>
        </w:tc>
        <w:tc>
          <w:tcPr>
            <w:tcW w:w="2130" w:type="dxa"/>
            <w:vAlign w:val="center"/>
          </w:tcPr>
          <w:p w14:paraId="688B9D0B" w14:textId="77777777" w:rsidR="003E095D" w:rsidRPr="004D46AC" w:rsidRDefault="003E095D" w:rsidP="00B518F1">
            <w:pPr>
              <w:spacing w:line="240" w:lineRule="auto"/>
              <w:ind w:firstLine="0"/>
            </w:pPr>
            <w:r w:rsidRPr="004D46AC">
              <w:rPr>
                <w:rFonts w:eastAsia="SimSun"/>
                <w:color w:val="000000"/>
              </w:rPr>
              <w:t>TR22</w:t>
            </w:r>
          </w:p>
        </w:tc>
        <w:tc>
          <w:tcPr>
            <w:tcW w:w="2131" w:type="dxa"/>
            <w:vAlign w:val="center"/>
          </w:tcPr>
          <w:p w14:paraId="4F149C64" w14:textId="77777777" w:rsidR="003E095D" w:rsidRPr="004D46AC" w:rsidRDefault="003E095D" w:rsidP="00B518F1">
            <w:pPr>
              <w:spacing w:line="240" w:lineRule="auto"/>
              <w:ind w:firstLine="0"/>
            </w:pPr>
            <w:r w:rsidRPr="004D46AC">
              <w:rPr>
                <w:rFonts w:eastAsia="SimSun"/>
                <w:color w:val="000000"/>
              </w:rPr>
              <w:t xml:space="preserve">0.87 </w:t>
            </w:r>
          </w:p>
        </w:tc>
        <w:tc>
          <w:tcPr>
            <w:tcW w:w="2131" w:type="dxa"/>
            <w:vAlign w:val="center"/>
          </w:tcPr>
          <w:p w14:paraId="64C089A8" w14:textId="77777777" w:rsidR="003E095D" w:rsidRPr="004D46AC" w:rsidRDefault="003E095D" w:rsidP="00B518F1">
            <w:pPr>
              <w:spacing w:line="240" w:lineRule="auto"/>
              <w:ind w:firstLine="0"/>
            </w:pPr>
            <w:r w:rsidRPr="004D46AC">
              <w:rPr>
                <w:rFonts w:eastAsia="SimSun"/>
                <w:color w:val="000000"/>
              </w:rPr>
              <w:t xml:space="preserve">0.68 </w:t>
            </w:r>
          </w:p>
        </w:tc>
      </w:tr>
      <w:tr w:rsidR="003E095D" w:rsidRPr="004D46AC" w14:paraId="64D4BDE3" w14:textId="77777777" w:rsidTr="00B518F1">
        <w:tc>
          <w:tcPr>
            <w:tcW w:w="2130" w:type="dxa"/>
            <w:vAlign w:val="center"/>
          </w:tcPr>
          <w:p w14:paraId="19AADCB4" w14:textId="77777777" w:rsidR="003E095D" w:rsidRPr="004D46AC" w:rsidRDefault="003E095D" w:rsidP="00B518F1">
            <w:pPr>
              <w:spacing w:line="240" w:lineRule="auto"/>
              <w:ind w:firstLine="0"/>
            </w:pPr>
            <w:r w:rsidRPr="004D46AC">
              <w:rPr>
                <w:rFonts w:eastAsia="SimSun"/>
                <w:color w:val="000000"/>
              </w:rPr>
              <w:t>TR5</w:t>
            </w:r>
          </w:p>
        </w:tc>
        <w:tc>
          <w:tcPr>
            <w:tcW w:w="2130" w:type="dxa"/>
            <w:vAlign w:val="center"/>
          </w:tcPr>
          <w:p w14:paraId="4AE1B2B7" w14:textId="77777777" w:rsidR="003E095D" w:rsidRPr="004D46AC" w:rsidRDefault="003E095D" w:rsidP="00B518F1">
            <w:pPr>
              <w:spacing w:line="240" w:lineRule="auto"/>
              <w:ind w:firstLine="0"/>
            </w:pPr>
            <w:r w:rsidRPr="004D46AC">
              <w:rPr>
                <w:rFonts w:eastAsia="SimSun"/>
                <w:color w:val="000000"/>
              </w:rPr>
              <w:t>TR37</w:t>
            </w:r>
          </w:p>
        </w:tc>
        <w:tc>
          <w:tcPr>
            <w:tcW w:w="2131" w:type="dxa"/>
            <w:vAlign w:val="center"/>
          </w:tcPr>
          <w:p w14:paraId="4F9201B4" w14:textId="77777777" w:rsidR="003E095D" w:rsidRPr="004D46AC" w:rsidRDefault="003E095D" w:rsidP="00B518F1">
            <w:pPr>
              <w:spacing w:line="240" w:lineRule="auto"/>
              <w:ind w:firstLine="0"/>
            </w:pPr>
            <w:r w:rsidRPr="004D46AC">
              <w:rPr>
                <w:rFonts w:eastAsia="SimSun"/>
                <w:color w:val="000000"/>
              </w:rPr>
              <w:t xml:space="preserve">0.86 </w:t>
            </w:r>
          </w:p>
        </w:tc>
        <w:tc>
          <w:tcPr>
            <w:tcW w:w="2131" w:type="dxa"/>
            <w:vAlign w:val="center"/>
          </w:tcPr>
          <w:p w14:paraId="2F582D75" w14:textId="77777777" w:rsidR="003E095D" w:rsidRPr="004D46AC" w:rsidRDefault="003E095D" w:rsidP="00B518F1">
            <w:pPr>
              <w:spacing w:line="240" w:lineRule="auto"/>
              <w:ind w:firstLine="0"/>
            </w:pPr>
            <w:r w:rsidRPr="004D46AC">
              <w:rPr>
                <w:rFonts w:eastAsia="SimSun"/>
                <w:color w:val="000000"/>
              </w:rPr>
              <w:t xml:space="preserve">0.42 </w:t>
            </w:r>
          </w:p>
        </w:tc>
      </w:tr>
      <w:tr w:rsidR="003E095D" w:rsidRPr="004D46AC" w14:paraId="3B46E85E" w14:textId="77777777" w:rsidTr="00B518F1">
        <w:tc>
          <w:tcPr>
            <w:tcW w:w="2130" w:type="dxa"/>
            <w:vAlign w:val="center"/>
          </w:tcPr>
          <w:p w14:paraId="5085AC3E" w14:textId="77777777" w:rsidR="003E095D" w:rsidRPr="004D46AC" w:rsidRDefault="003E095D" w:rsidP="00B518F1">
            <w:pPr>
              <w:spacing w:line="240" w:lineRule="auto"/>
              <w:ind w:firstLine="0"/>
            </w:pPr>
            <w:r w:rsidRPr="004D46AC">
              <w:rPr>
                <w:rFonts w:eastAsia="SimSun"/>
                <w:color w:val="000000"/>
              </w:rPr>
              <w:t>TR37</w:t>
            </w:r>
          </w:p>
        </w:tc>
        <w:tc>
          <w:tcPr>
            <w:tcW w:w="2130" w:type="dxa"/>
            <w:vAlign w:val="center"/>
          </w:tcPr>
          <w:p w14:paraId="332DAD40" w14:textId="77777777" w:rsidR="003E095D" w:rsidRPr="004D46AC" w:rsidRDefault="003E095D" w:rsidP="00B518F1">
            <w:pPr>
              <w:spacing w:line="240" w:lineRule="auto"/>
              <w:ind w:firstLine="0"/>
            </w:pPr>
            <w:r w:rsidRPr="004D46AC">
              <w:rPr>
                <w:rFonts w:eastAsia="SimSun"/>
                <w:color w:val="000000"/>
              </w:rPr>
              <w:t>TR5</w:t>
            </w:r>
          </w:p>
        </w:tc>
        <w:tc>
          <w:tcPr>
            <w:tcW w:w="2131" w:type="dxa"/>
            <w:vAlign w:val="center"/>
          </w:tcPr>
          <w:p w14:paraId="7A5C4B36" w14:textId="77777777" w:rsidR="003E095D" w:rsidRPr="004D46AC" w:rsidRDefault="003E095D" w:rsidP="00B518F1">
            <w:pPr>
              <w:spacing w:line="240" w:lineRule="auto"/>
              <w:ind w:firstLine="0"/>
            </w:pPr>
            <w:r w:rsidRPr="004D46AC">
              <w:rPr>
                <w:rFonts w:eastAsia="SimSun"/>
                <w:color w:val="000000"/>
              </w:rPr>
              <w:t xml:space="preserve">0.86 </w:t>
            </w:r>
          </w:p>
        </w:tc>
        <w:tc>
          <w:tcPr>
            <w:tcW w:w="2131" w:type="dxa"/>
            <w:vAlign w:val="center"/>
          </w:tcPr>
          <w:p w14:paraId="41BE4416" w14:textId="77777777" w:rsidR="003E095D" w:rsidRPr="004D46AC" w:rsidRDefault="003E095D" w:rsidP="00B518F1">
            <w:pPr>
              <w:spacing w:line="240" w:lineRule="auto"/>
              <w:ind w:firstLine="0"/>
            </w:pPr>
            <w:r w:rsidRPr="004D46AC">
              <w:rPr>
                <w:rFonts w:eastAsia="SimSun"/>
                <w:color w:val="000000"/>
              </w:rPr>
              <w:t xml:space="preserve">0.58 </w:t>
            </w:r>
          </w:p>
        </w:tc>
      </w:tr>
      <w:tr w:rsidR="003E095D" w:rsidRPr="004D46AC" w14:paraId="47367EC9" w14:textId="77777777" w:rsidTr="00B518F1">
        <w:tc>
          <w:tcPr>
            <w:tcW w:w="2130" w:type="dxa"/>
            <w:vAlign w:val="center"/>
          </w:tcPr>
          <w:p w14:paraId="2A4D38F7" w14:textId="77777777" w:rsidR="003E095D" w:rsidRPr="004D46AC" w:rsidRDefault="003E095D" w:rsidP="00B518F1">
            <w:pPr>
              <w:spacing w:line="240" w:lineRule="auto"/>
              <w:ind w:firstLine="0"/>
            </w:pPr>
            <w:r w:rsidRPr="004D46AC">
              <w:rPr>
                <w:rFonts w:eastAsia="SimSun"/>
                <w:color w:val="000000"/>
              </w:rPr>
              <w:t>TR19</w:t>
            </w:r>
          </w:p>
        </w:tc>
        <w:tc>
          <w:tcPr>
            <w:tcW w:w="2130" w:type="dxa"/>
            <w:vAlign w:val="center"/>
          </w:tcPr>
          <w:p w14:paraId="6F8F14E6" w14:textId="77777777" w:rsidR="003E095D" w:rsidRPr="004D46AC" w:rsidRDefault="003E095D" w:rsidP="00B518F1">
            <w:pPr>
              <w:spacing w:line="240" w:lineRule="auto"/>
              <w:ind w:firstLine="0"/>
            </w:pPr>
            <w:r w:rsidRPr="004D46AC">
              <w:rPr>
                <w:rFonts w:eastAsia="SimSun"/>
                <w:color w:val="000000"/>
              </w:rPr>
              <w:t>TR3</w:t>
            </w:r>
          </w:p>
        </w:tc>
        <w:tc>
          <w:tcPr>
            <w:tcW w:w="2131" w:type="dxa"/>
            <w:vAlign w:val="center"/>
          </w:tcPr>
          <w:p w14:paraId="5F21AC18" w14:textId="77777777" w:rsidR="003E095D" w:rsidRPr="004D46AC" w:rsidRDefault="003E095D" w:rsidP="00B518F1">
            <w:pPr>
              <w:spacing w:line="240" w:lineRule="auto"/>
              <w:ind w:firstLine="0"/>
            </w:pPr>
            <w:r w:rsidRPr="004D46AC">
              <w:rPr>
                <w:rFonts w:eastAsia="SimSun"/>
                <w:color w:val="000000"/>
              </w:rPr>
              <w:t xml:space="preserve">0.85 </w:t>
            </w:r>
          </w:p>
        </w:tc>
        <w:tc>
          <w:tcPr>
            <w:tcW w:w="2131" w:type="dxa"/>
            <w:vAlign w:val="center"/>
          </w:tcPr>
          <w:p w14:paraId="29D40E54" w14:textId="77777777" w:rsidR="003E095D" w:rsidRPr="004D46AC" w:rsidRDefault="003E095D" w:rsidP="00B518F1">
            <w:pPr>
              <w:spacing w:line="240" w:lineRule="auto"/>
              <w:ind w:firstLine="0"/>
            </w:pPr>
            <w:r w:rsidRPr="004D46AC">
              <w:rPr>
                <w:rFonts w:eastAsia="SimSun"/>
                <w:color w:val="000000"/>
              </w:rPr>
              <w:t xml:space="preserve">0.74 </w:t>
            </w:r>
          </w:p>
        </w:tc>
      </w:tr>
      <w:tr w:rsidR="003E095D" w:rsidRPr="004D46AC" w14:paraId="3202C5B4" w14:textId="77777777" w:rsidTr="00B518F1">
        <w:tc>
          <w:tcPr>
            <w:tcW w:w="2130" w:type="dxa"/>
            <w:vAlign w:val="center"/>
          </w:tcPr>
          <w:p w14:paraId="10AACFCC" w14:textId="77777777" w:rsidR="003E095D" w:rsidRPr="004D46AC" w:rsidRDefault="003E095D" w:rsidP="00B518F1">
            <w:pPr>
              <w:spacing w:line="240" w:lineRule="auto"/>
              <w:ind w:firstLine="0"/>
            </w:pPr>
            <w:r w:rsidRPr="004D46AC">
              <w:rPr>
                <w:rFonts w:eastAsia="SimSun"/>
                <w:color w:val="000000"/>
              </w:rPr>
              <w:t>TR34</w:t>
            </w:r>
          </w:p>
        </w:tc>
        <w:tc>
          <w:tcPr>
            <w:tcW w:w="2130" w:type="dxa"/>
            <w:vAlign w:val="center"/>
          </w:tcPr>
          <w:p w14:paraId="03F2725F" w14:textId="77777777" w:rsidR="003E095D" w:rsidRPr="004D46AC" w:rsidRDefault="003E095D" w:rsidP="00B518F1">
            <w:pPr>
              <w:spacing w:line="240" w:lineRule="auto"/>
              <w:ind w:firstLine="0"/>
            </w:pPr>
            <w:r w:rsidRPr="004D46AC">
              <w:rPr>
                <w:rFonts w:eastAsia="SimSun"/>
                <w:color w:val="000000"/>
              </w:rPr>
              <w:t>TR23</w:t>
            </w:r>
          </w:p>
        </w:tc>
        <w:tc>
          <w:tcPr>
            <w:tcW w:w="2131" w:type="dxa"/>
            <w:vAlign w:val="center"/>
          </w:tcPr>
          <w:p w14:paraId="071A4EE7" w14:textId="77777777" w:rsidR="003E095D" w:rsidRPr="004D46AC" w:rsidRDefault="003E095D" w:rsidP="00B518F1">
            <w:pPr>
              <w:spacing w:line="240" w:lineRule="auto"/>
              <w:ind w:firstLine="0"/>
            </w:pPr>
            <w:r w:rsidRPr="004D46AC">
              <w:rPr>
                <w:rFonts w:eastAsia="SimSun"/>
                <w:color w:val="000000"/>
              </w:rPr>
              <w:t xml:space="preserve">0.85 </w:t>
            </w:r>
          </w:p>
        </w:tc>
        <w:tc>
          <w:tcPr>
            <w:tcW w:w="2131" w:type="dxa"/>
            <w:vAlign w:val="center"/>
          </w:tcPr>
          <w:p w14:paraId="1751A3BA" w14:textId="77777777" w:rsidR="003E095D" w:rsidRPr="004D46AC" w:rsidRDefault="003E095D" w:rsidP="00B518F1">
            <w:pPr>
              <w:spacing w:line="240" w:lineRule="auto"/>
              <w:ind w:firstLine="0"/>
            </w:pPr>
            <w:r w:rsidRPr="004D46AC">
              <w:rPr>
                <w:rFonts w:eastAsia="SimSun"/>
                <w:color w:val="000000"/>
              </w:rPr>
              <w:t xml:space="preserve">0.49 </w:t>
            </w:r>
          </w:p>
        </w:tc>
      </w:tr>
      <w:tr w:rsidR="003E095D" w:rsidRPr="004D46AC" w14:paraId="2F4EA98B" w14:textId="77777777" w:rsidTr="00B518F1">
        <w:tc>
          <w:tcPr>
            <w:tcW w:w="2130" w:type="dxa"/>
            <w:vAlign w:val="center"/>
          </w:tcPr>
          <w:p w14:paraId="2F674789" w14:textId="77777777" w:rsidR="003E095D" w:rsidRPr="004D46AC" w:rsidRDefault="003E095D" w:rsidP="00B518F1">
            <w:pPr>
              <w:spacing w:line="240" w:lineRule="auto"/>
              <w:ind w:firstLine="0"/>
            </w:pPr>
            <w:r w:rsidRPr="004D46AC">
              <w:rPr>
                <w:rFonts w:eastAsia="SimSun"/>
                <w:color w:val="000000"/>
              </w:rPr>
              <w:t>TR23</w:t>
            </w:r>
          </w:p>
        </w:tc>
        <w:tc>
          <w:tcPr>
            <w:tcW w:w="2130" w:type="dxa"/>
            <w:vAlign w:val="center"/>
          </w:tcPr>
          <w:p w14:paraId="28300EA4" w14:textId="77777777" w:rsidR="003E095D" w:rsidRPr="004D46AC" w:rsidRDefault="003E095D" w:rsidP="00B518F1">
            <w:pPr>
              <w:spacing w:line="240" w:lineRule="auto"/>
              <w:ind w:firstLine="0"/>
            </w:pPr>
            <w:r w:rsidRPr="004D46AC">
              <w:rPr>
                <w:rFonts w:eastAsia="SimSun"/>
                <w:color w:val="000000"/>
              </w:rPr>
              <w:t>TR34</w:t>
            </w:r>
          </w:p>
        </w:tc>
        <w:tc>
          <w:tcPr>
            <w:tcW w:w="2131" w:type="dxa"/>
            <w:vAlign w:val="center"/>
          </w:tcPr>
          <w:p w14:paraId="56AE6213" w14:textId="77777777" w:rsidR="003E095D" w:rsidRPr="004D46AC" w:rsidRDefault="003E095D" w:rsidP="00B518F1">
            <w:pPr>
              <w:spacing w:line="240" w:lineRule="auto"/>
              <w:ind w:firstLine="0"/>
            </w:pPr>
            <w:r w:rsidRPr="004D46AC">
              <w:rPr>
                <w:rFonts w:eastAsia="SimSun"/>
                <w:color w:val="000000"/>
              </w:rPr>
              <w:t xml:space="preserve">0.85 </w:t>
            </w:r>
          </w:p>
        </w:tc>
        <w:tc>
          <w:tcPr>
            <w:tcW w:w="2131" w:type="dxa"/>
            <w:vAlign w:val="center"/>
          </w:tcPr>
          <w:p w14:paraId="7AF54B17" w14:textId="77777777" w:rsidR="003E095D" w:rsidRPr="004D46AC" w:rsidRDefault="003E095D" w:rsidP="00B518F1">
            <w:pPr>
              <w:spacing w:line="240" w:lineRule="auto"/>
              <w:ind w:firstLine="0"/>
            </w:pPr>
            <w:r w:rsidRPr="004D46AC">
              <w:rPr>
                <w:rFonts w:eastAsia="SimSun"/>
                <w:color w:val="000000"/>
              </w:rPr>
              <w:t xml:space="preserve">0.51 </w:t>
            </w:r>
          </w:p>
        </w:tc>
      </w:tr>
      <w:tr w:rsidR="003E095D" w:rsidRPr="004D46AC" w14:paraId="0B9C3730" w14:textId="77777777" w:rsidTr="00B518F1">
        <w:tc>
          <w:tcPr>
            <w:tcW w:w="2130" w:type="dxa"/>
            <w:vAlign w:val="center"/>
          </w:tcPr>
          <w:p w14:paraId="77CAFA75" w14:textId="77777777" w:rsidR="003E095D" w:rsidRPr="004D46AC" w:rsidRDefault="003E095D" w:rsidP="00B518F1">
            <w:pPr>
              <w:spacing w:line="240" w:lineRule="auto"/>
              <w:ind w:firstLine="0"/>
            </w:pPr>
            <w:r w:rsidRPr="004D46AC">
              <w:rPr>
                <w:rFonts w:eastAsia="SimSun"/>
                <w:color w:val="000000"/>
              </w:rPr>
              <w:t>TR7</w:t>
            </w:r>
          </w:p>
        </w:tc>
        <w:tc>
          <w:tcPr>
            <w:tcW w:w="2130" w:type="dxa"/>
            <w:vAlign w:val="center"/>
          </w:tcPr>
          <w:p w14:paraId="40F746DA" w14:textId="77777777" w:rsidR="003E095D" w:rsidRPr="004D46AC" w:rsidRDefault="003E095D" w:rsidP="00B518F1">
            <w:pPr>
              <w:spacing w:line="240" w:lineRule="auto"/>
              <w:ind w:firstLine="0"/>
            </w:pPr>
            <w:r w:rsidRPr="004D46AC">
              <w:rPr>
                <w:rFonts w:eastAsia="SimSun"/>
                <w:color w:val="000000"/>
              </w:rPr>
              <w:t>TR12</w:t>
            </w:r>
          </w:p>
        </w:tc>
        <w:tc>
          <w:tcPr>
            <w:tcW w:w="2131" w:type="dxa"/>
            <w:vAlign w:val="center"/>
          </w:tcPr>
          <w:p w14:paraId="6965E5D8" w14:textId="77777777" w:rsidR="003E095D" w:rsidRPr="004D46AC" w:rsidRDefault="003E095D" w:rsidP="00B518F1">
            <w:pPr>
              <w:spacing w:line="240" w:lineRule="auto"/>
              <w:ind w:firstLine="0"/>
            </w:pPr>
            <w:r w:rsidRPr="004D46AC">
              <w:rPr>
                <w:rFonts w:eastAsia="SimSun"/>
                <w:color w:val="000000"/>
              </w:rPr>
              <w:t xml:space="preserve">0.85 </w:t>
            </w:r>
          </w:p>
        </w:tc>
        <w:tc>
          <w:tcPr>
            <w:tcW w:w="2131" w:type="dxa"/>
            <w:vAlign w:val="center"/>
          </w:tcPr>
          <w:p w14:paraId="052F88B5" w14:textId="77777777" w:rsidR="003E095D" w:rsidRPr="004D46AC" w:rsidRDefault="003E095D" w:rsidP="00B518F1">
            <w:pPr>
              <w:spacing w:line="240" w:lineRule="auto"/>
              <w:ind w:firstLine="0"/>
            </w:pPr>
            <w:r w:rsidRPr="004D46AC">
              <w:rPr>
                <w:rFonts w:eastAsia="SimSun"/>
                <w:color w:val="000000"/>
              </w:rPr>
              <w:t xml:space="preserve">0.68 </w:t>
            </w:r>
          </w:p>
        </w:tc>
      </w:tr>
    </w:tbl>
    <w:p w14:paraId="02FDDF18" w14:textId="77777777" w:rsidR="003E095D" w:rsidRPr="004D46AC" w:rsidRDefault="003E095D" w:rsidP="003E095D">
      <w:pPr>
        <w:spacing w:line="240" w:lineRule="auto"/>
        <w:ind w:firstLine="0"/>
      </w:pPr>
      <w:r w:rsidRPr="004D46AC">
        <w:rPr>
          <w:rFonts w:hint="eastAsia"/>
          <w:i/>
          <w:iCs/>
        </w:rPr>
        <w:t>Note</w:t>
      </w:r>
      <w:r w:rsidRPr="004D46AC">
        <w:rPr>
          <w:rFonts w:hint="eastAsia"/>
        </w:rPr>
        <w:t xml:space="preserve">. </w:t>
      </w:r>
      <w:r w:rsidRPr="004D46AC">
        <w:t>Confidence indices (range: 0.01–1.00) represent the stability of edge presence and directionality across 2,000 bootstrapped samples. An edge with high presence but split directionality (e.g., TR7/TR5) indicates robust connection strength but statistically undetermined direction</w:t>
      </w:r>
      <w:r w:rsidRPr="004D46AC">
        <w:rPr>
          <w:rFonts w:hint="eastAsia"/>
        </w:rPr>
        <w:t>.</w:t>
      </w:r>
    </w:p>
    <w:p w14:paraId="5EE5822E" w14:textId="77777777" w:rsidR="003E095D" w:rsidRPr="004D46AC" w:rsidRDefault="003E095D" w:rsidP="003E095D">
      <w:pPr>
        <w:rPr>
          <w:rFonts w:eastAsiaTheme="minorEastAsia"/>
        </w:rPr>
      </w:pPr>
    </w:p>
    <w:p w14:paraId="102E9851" w14:textId="77777777" w:rsidR="007075D9" w:rsidRPr="004D46AC" w:rsidRDefault="007075D9" w:rsidP="002C5F6E">
      <w:pPr>
        <w:spacing w:line="240" w:lineRule="auto"/>
        <w:ind w:firstLine="0"/>
      </w:pPr>
    </w:p>
    <w:p w14:paraId="6696168B" w14:textId="77777777" w:rsidR="007075D9" w:rsidRPr="004D46AC" w:rsidRDefault="007075D9" w:rsidP="002C5F6E">
      <w:pPr>
        <w:spacing w:line="240" w:lineRule="auto"/>
        <w:ind w:firstLine="0"/>
      </w:pPr>
    </w:p>
    <w:p w14:paraId="26EBB867" w14:textId="77777777" w:rsidR="007075D9" w:rsidRPr="004D46AC" w:rsidRDefault="007075D9" w:rsidP="002C5F6E">
      <w:pPr>
        <w:spacing w:line="240" w:lineRule="auto"/>
        <w:ind w:firstLine="0"/>
      </w:pPr>
    </w:p>
    <w:p w14:paraId="3C0DFC18" w14:textId="77777777" w:rsidR="007075D9" w:rsidRPr="004D46AC" w:rsidRDefault="007075D9" w:rsidP="002C5F6E">
      <w:pPr>
        <w:spacing w:line="240" w:lineRule="auto"/>
        <w:ind w:firstLine="0"/>
      </w:pPr>
    </w:p>
    <w:p w14:paraId="7F8CF2CA" w14:textId="77777777" w:rsidR="007075D9" w:rsidRPr="004D46AC" w:rsidRDefault="007075D9" w:rsidP="002C5F6E">
      <w:pPr>
        <w:spacing w:line="240" w:lineRule="auto"/>
        <w:ind w:firstLine="0"/>
      </w:pPr>
    </w:p>
    <w:p w14:paraId="5D4B39EC" w14:textId="77777777" w:rsidR="007075D9" w:rsidRPr="004D46AC" w:rsidRDefault="007075D9" w:rsidP="002C5F6E">
      <w:pPr>
        <w:spacing w:line="240" w:lineRule="auto"/>
        <w:ind w:firstLine="0"/>
      </w:pPr>
    </w:p>
    <w:p w14:paraId="29FA0D65" w14:textId="77777777" w:rsidR="007075D9" w:rsidRPr="004D46AC" w:rsidRDefault="007075D9" w:rsidP="002C5F6E">
      <w:pPr>
        <w:spacing w:line="240" w:lineRule="auto"/>
        <w:ind w:firstLine="0"/>
      </w:pPr>
    </w:p>
    <w:p w14:paraId="78E09C6D" w14:textId="77777777" w:rsidR="007075D9" w:rsidRPr="004D46AC" w:rsidRDefault="007075D9" w:rsidP="002C5F6E">
      <w:pPr>
        <w:spacing w:line="240" w:lineRule="auto"/>
        <w:ind w:firstLine="0"/>
      </w:pPr>
    </w:p>
    <w:p w14:paraId="5BDDFF67" w14:textId="77777777" w:rsidR="007075D9" w:rsidRPr="004D46AC" w:rsidRDefault="007075D9" w:rsidP="002C5F6E">
      <w:pPr>
        <w:spacing w:line="240" w:lineRule="auto"/>
        <w:ind w:firstLine="0"/>
      </w:pPr>
    </w:p>
    <w:p w14:paraId="6E9BEB5B" w14:textId="77777777" w:rsidR="007075D9" w:rsidRPr="004D46AC" w:rsidRDefault="007075D9" w:rsidP="002C5F6E">
      <w:pPr>
        <w:spacing w:line="240" w:lineRule="auto"/>
        <w:ind w:firstLine="0"/>
      </w:pPr>
    </w:p>
    <w:p w14:paraId="6EA0F333" w14:textId="77777777" w:rsidR="007075D9" w:rsidRPr="004D46AC" w:rsidRDefault="007075D9" w:rsidP="002C5F6E">
      <w:pPr>
        <w:spacing w:line="240" w:lineRule="auto"/>
        <w:ind w:firstLine="0"/>
      </w:pPr>
    </w:p>
    <w:p w14:paraId="2F9ED028" w14:textId="77777777" w:rsidR="007075D9" w:rsidRPr="004D46AC" w:rsidRDefault="007075D9" w:rsidP="002C5F6E">
      <w:pPr>
        <w:spacing w:line="240" w:lineRule="auto"/>
        <w:ind w:firstLine="0"/>
      </w:pPr>
    </w:p>
    <w:p w14:paraId="7AA46645" w14:textId="77777777" w:rsidR="007075D9" w:rsidRPr="004D46AC" w:rsidRDefault="007075D9" w:rsidP="002C5F6E">
      <w:pPr>
        <w:spacing w:line="240" w:lineRule="auto"/>
        <w:ind w:firstLine="0"/>
      </w:pPr>
    </w:p>
    <w:p w14:paraId="0FF459CF" w14:textId="77777777" w:rsidR="007075D9" w:rsidRPr="004D46AC" w:rsidRDefault="007075D9" w:rsidP="002C5F6E">
      <w:pPr>
        <w:spacing w:line="240" w:lineRule="auto"/>
        <w:ind w:firstLine="0"/>
      </w:pPr>
    </w:p>
    <w:p w14:paraId="2C260DAD" w14:textId="77777777" w:rsidR="007075D9" w:rsidRPr="004D46AC" w:rsidRDefault="007075D9" w:rsidP="002C5F6E">
      <w:pPr>
        <w:spacing w:line="240" w:lineRule="auto"/>
        <w:ind w:firstLine="0"/>
      </w:pPr>
    </w:p>
    <w:p w14:paraId="4AE77785" w14:textId="77777777" w:rsidR="007075D9" w:rsidRPr="004D46AC" w:rsidRDefault="007075D9" w:rsidP="002C5F6E">
      <w:pPr>
        <w:spacing w:line="240" w:lineRule="auto"/>
        <w:ind w:firstLine="0"/>
      </w:pPr>
    </w:p>
    <w:p w14:paraId="2CE102B5" w14:textId="77777777" w:rsidR="007075D9" w:rsidRPr="004D46AC" w:rsidRDefault="007075D9" w:rsidP="002C5F6E">
      <w:pPr>
        <w:spacing w:line="240" w:lineRule="auto"/>
        <w:ind w:firstLine="0"/>
      </w:pPr>
    </w:p>
    <w:p w14:paraId="4F31A7FA" w14:textId="77777777" w:rsidR="007075D9" w:rsidRPr="004D46AC" w:rsidRDefault="007075D9" w:rsidP="002C5F6E">
      <w:pPr>
        <w:spacing w:line="240" w:lineRule="auto"/>
        <w:ind w:firstLine="0"/>
      </w:pPr>
    </w:p>
    <w:p w14:paraId="3F0613F0" w14:textId="77777777" w:rsidR="007075D9" w:rsidRPr="004D46AC" w:rsidRDefault="007075D9" w:rsidP="002C5F6E">
      <w:pPr>
        <w:spacing w:line="240" w:lineRule="auto"/>
        <w:ind w:firstLine="0"/>
      </w:pPr>
    </w:p>
    <w:p w14:paraId="6737AA2A" w14:textId="77777777" w:rsidR="007075D9" w:rsidRPr="004D46AC" w:rsidRDefault="007075D9" w:rsidP="002C5F6E">
      <w:pPr>
        <w:spacing w:line="240" w:lineRule="auto"/>
        <w:ind w:firstLine="0"/>
      </w:pPr>
    </w:p>
    <w:p w14:paraId="5D87EE23" w14:textId="77777777" w:rsidR="007075D9" w:rsidRPr="004D46AC" w:rsidRDefault="007075D9" w:rsidP="002C5F6E">
      <w:pPr>
        <w:spacing w:line="240" w:lineRule="auto"/>
        <w:ind w:firstLine="0"/>
      </w:pPr>
    </w:p>
    <w:p w14:paraId="42C7AF99" w14:textId="77777777" w:rsidR="007075D9" w:rsidRPr="004D46AC" w:rsidRDefault="007075D9" w:rsidP="002C5F6E">
      <w:pPr>
        <w:spacing w:line="240" w:lineRule="auto"/>
        <w:ind w:firstLine="0"/>
      </w:pPr>
    </w:p>
    <w:p w14:paraId="01A8563B" w14:textId="77777777" w:rsidR="007075D9" w:rsidRPr="004D46AC" w:rsidRDefault="007075D9" w:rsidP="002C5F6E">
      <w:pPr>
        <w:spacing w:line="240" w:lineRule="auto"/>
        <w:ind w:firstLine="0"/>
      </w:pPr>
    </w:p>
    <w:p w14:paraId="3200BA26" w14:textId="77777777" w:rsidR="007075D9" w:rsidRPr="004D46AC" w:rsidRDefault="007075D9" w:rsidP="002C5F6E">
      <w:pPr>
        <w:spacing w:line="240" w:lineRule="auto"/>
        <w:ind w:firstLine="0"/>
      </w:pPr>
    </w:p>
    <w:p w14:paraId="0D96FC2B" w14:textId="6D10CA34" w:rsidR="00011BA9" w:rsidRPr="004D46AC" w:rsidRDefault="00011BA9" w:rsidP="00011BA9">
      <w:pPr>
        <w:pStyle w:val="afff0"/>
        <w:spacing w:after="0"/>
        <w:ind w:firstLine="0"/>
        <w:rPr>
          <w:rFonts w:eastAsiaTheme="minorEastAsia"/>
          <w:b/>
          <w:bCs/>
          <w:i w:val="0"/>
          <w:iCs w:val="0"/>
          <w:color w:val="auto"/>
          <w:sz w:val="22"/>
          <w:szCs w:val="22"/>
        </w:rPr>
      </w:pPr>
      <w:bookmarkStart w:id="408" w:name="_Toc219870648"/>
      <w:r w:rsidRPr="004D46AC">
        <w:rPr>
          <w:b/>
          <w:bCs/>
          <w:i w:val="0"/>
          <w:iCs w:val="0"/>
          <w:color w:val="auto"/>
          <w:sz w:val="22"/>
          <w:szCs w:val="22"/>
        </w:rPr>
        <w:t xml:space="preserve">Table E </w:t>
      </w:r>
      <w:r w:rsidRPr="004D46AC">
        <w:rPr>
          <w:b/>
          <w:bCs/>
          <w:i w:val="0"/>
          <w:iCs w:val="0"/>
          <w:color w:val="auto"/>
          <w:sz w:val="22"/>
          <w:szCs w:val="22"/>
        </w:rPr>
        <w:fldChar w:fldCharType="begin"/>
      </w:r>
      <w:r w:rsidRPr="004D46AC">
        <w:rPr>
          <w:b/>
          <w:bCs/>
          <w:i w:val="0"/>
          <w:iCs w:val="0"/>
          <w:color w:val="auto"/>
          <w:sz w:val="22"/>
          <w:szCs w:val="22"/>
        </w:rPr>
        <w:instrText xml:space="preserve"> SEQ Table_E \* ARABIC </w:instrText>
      </w:r>
      <w:r w:rsidRPr="004D46AC">
        <w:rPr>
          <w:b/>
          <w:bCs/>
          <w:i w:val="0"/>
          <w:iCs w:val="0"/>
          <w:color w:val="auto"/>
          <w:sz w:val="22"/>
          <w:szCs w:val="22"/>
        </w:rPr>
        <w:fldChar w:fldCharType="separate"/>
      </w:r>
      <w:r w:rsidRPr="004D46AC">
        <w:rPr>
          <w:b/>
          <w:bCs/>
          <w:i w:val="0"/>
          <w:iCs w:val="0"/>
          <w:noProof/>
          <w:color w:val="auto"/>
          <w:sz w:val="22"/>
          <w:szCs w:val="22"/>
        </w:rPr>
        <w:t>4</w:t>
      </w:r>
      <w:bookmarkEnd w:id="408"/>
      <w:r w:rsidRPr="004D46AC">
        <w:rPr>
          <w:b/>
          <w:bCs/>
          <w:i w:val="0"/>
          <w:iCs w:val="0"/>
          <w:color w:val="auto"/>
          <w:sz w:val="22"/>
          <w:szCs w:val="22"/>
        </w:rPr>
        <w:fldChar w:fldCharType="end"/>
      </w:r>
    </w:p>
    <w:p w14:paraId="03BA39A1" w14:textId="77777777" w:rsidR="003E095D" w:rsidRPr="004D46AC" w:rsidRDefault="003E095D" w:rsidP="003E095D">
      <w:pPr>
        <w:spacing w:line="240" w:lineRule="auto"/>
        <w:ind w:firstLine="0"/>
        <w:rPr>
          <w:i/>
          <w:iCs/>
        </w:rPr>
      </w:pPr>
      <w:r w:rsidRPr="004D46AC">
        <w:rPr>
          <w:rFonts w:hint="eastAsia"/>
          <w:i/>
          <w:iCs/>
        </w:rPr>
        <w:t>Edges with non-zero weights in</w:t>
      </w:r>
      <w:r w:rsidRPr="004D46AC">
        <w:rPr>
          <w:rFonts w:hint="eastAsia"/>
          <w:i/>
          <w:iCs/>
          <w:lang w:val="en-US"/>
        </w:rPr>
        <w:t xml:space="preserve"> </w:t>
      </w:r>
      <w:r w:rsidRPr="004D46AC">
        <w:rPr>
          <w:i/>
          <w:iCs/>
        </w:rPr>
        <w:t>the</w:t>
      </w:r>
      <w:r w:rsidRPr="004D46AC">
        <w:rPr>
          <w:rFonts w:hint="eastAsia"/>
          <w:i/>
          <w:iCs/>
        </w:rPr>
        <w:t xml:space="preserve"> </w:t>
      </w:r>
      <w:r w:rsidRPr="004D46AC">
        <w:rPr>
          <w:i/>
          <w:iCs/>
        </w:rPr>
        <w:t>network</w:t>
      </w:r>
      <w:r w:rsidRPr="004D46AC">
        <w:rPr>
          <w:rFonts w:hint="eastAsia"/>
          <w:i/>
          <w:iCs/>
          <w:lang w:val="en-US"/>
        </w:rPr>
        <w:t xml:space="preserve"> of </w:t>
      </w:r>
      <w:proofErr w:type="gramStart"/>
      <w:r w:rsidRPr="004D46AC">
        <w:rPr>
          <w:rFonts w:hint="eastAsia"/>
          <w:i/>
          <w:iCs/>
          <w:lang w:val="en-US"/>
        </w:rPr>
        <w:t>at risk</w:t>
      </w:r>
      <w:proofErr w:type="gramEnd"/>
      <w:r w:rsidRPr="004D46AC">
        <w:rPr>
          <w:rFonts w:hint="eastAsia"/>
          <w:i/>
          <w:iCs/>
          <w:lang w:val="en-US"/>
        </w:rPr>
        <w:t xml:space="preserve"> states</w:t>
      </w:r>
      <w:r w:rsidRPr="004D46AC">
        <w:rPr>
          <w:rFonts w:hint="eastAsia"/>
          <w:i/>
          <w:iCs/>
        </w:rPr>
        <w:t xml:space="preserve"> among adolescents </w:t>
      </w:r>
    </w:p>
    <w:tbl>
      <w:tblPr>
        <w:tblStyle w:val="afc"/>
        <w:tblW w:w="0" w:type="auto"/>
        <w:tblLook w:val="04A0" w:firstRow="1" w:lastRow="0" w:firstColumn="1" w:lastColumn="0" w:noHBand="0" w:noVBand="1"/>
      </w:tblPr>
      <w:tblGrid>
        <w:gridCol w:w="1704"/>
        <w:gridCol w:w="1704"/>
        <w:gridCol w:w="1704"/>
        <w:gridCol w:w="1705"/>
        <w:gridCol w:w="1705"/>
      </w:tblGrid>
      <w:tr w:rsidR="003E095D" w:rsidRPr="004D46AC" w14:paraId="29EBA5DE" w14:textId="77777777" w:rsidTr="00B518F1">
        <w:tc>
          <w:tcPr>
            <w:tcW w:w="1704" w:type="dxa"/>
            <w:vAlign w:val="center"/>
          </w:tcPr>
          <w:p w14:paraId="1A4185AB" w14:textId="77777777" w:rsidR="003E095D" w:rsidRPr="004D46AC" w:rsidRDefault="003E095D" w:rsidP="00B518F1">
            <w:pPr>
              <w:spacing w:line="240" w:lineRule="auto"/>
              <w:ind w:firstLine="0"/>
            </w:pPr>
            <w:r w:rsidRPr="004D46AC">
              <w:rPr>
                <w:color w:val="000000"/>
              </w:rPr>
              <w:t>E</w:t>
            </w:r>
            <w:r w:rsidRPr="004D46AC">
              <w:rPr>
                <w:rFonts w:hint="eastAsia"/>
                <w:color w:val="000000"/>
              </w:rPr>
              <w:t>dge</w:t>
            </w:r>
          </w:p>
        </w:tc>
        <w:tc>
          <w:tcPr>
            <w:tcW w:w="1704" w:type="dxa"/>
            <w:vAlign w:val="center"/>
          </w:tcPr>
          <w:p w14:paraId="5EB1C317" w14:textId="77777777" w:rsidR="003E095D" w:rsidRPr="004D46AC" w:rsidRDefault="003E095D" w:rsidP="00B518F1">
            <w:pPr>
              <w:spacing w:line="240" w:lineRule="auto"/>
              <w:ind w:firstLine="0"/>
            </w:pPr>
            <w:r w:rsidRPr="004D46AC">
              <w:rPr>
                <w:rFonts w:hint="eastAsia"/>
                <w:color w:val="000000"/>
              </w:rPr>
              <w:t>Weight</w:t>
            </w:r>
          </w:p>
        </w:tc>
        <w:tc>
          <w:tcPr>
            <w:tcW w:w="1704" w:type="dxa"/>
            <w:vAlign w:val="center"/>
          </w:tcPr>
          <w:p w14:paraId="64963E9E" w14:textId="77777777" w:rsidR="003E095D" w:rsidRPr="004D46AC" w:rsidRDefault="003E095D" w:rsidP="00B518F1">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lower</w:t>
            </w:r>
          </w:p>
        </w:tc>
        <w:tc>
          <w:tcPr>
            <w:tcW w:w="1705" w:type="dxa"/>
            <w:vAlign w:val="center"/>
          </w:tcPr>
          <w:p w14:paraId="72ED1780" w14:textId="77777777" w:rsidR="003E095D" w:rsidRPr="004D46AC" w:rsidRDefault="003E095D" w:rsidP="00B518F1">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upper</w:t>
            </w:r>
          </w:p>
        </w:tc>
        <w:tc>
          <w:tcPr>
            <w:tcW w:w="1705" w:type="dxa"/>
            <w:vAlign w:val="center"/>
          </w:tcPr>
          <w:p w14:paraId="0CAB7D1E" w14:textId="77777777" w:rsidR="003E095D" w:rsidRPr="004D46AC" w:rsidRDefault="003E095D" w:rsidP="00B518F1">
            <w:pPr>
              <w:spacing w:line="240" w:lineRule="auto"/>
              <w:ind w:firstLine="0"/>
            </w:pPr>
            <w:r w:rsidRPr="004D46AC">
              <w:rPr>
                <w:rFonts w:hint="eastAsia"/>
              </w:rPr>
              <w:t>P0</w:t>
            </w:r>
          </w:p>
        </w:tc>
      </w:tr>
      <w:tr w:rsidR="003E095D" w:rsidRPr="004D46AC" w14:paraId="3A4C4A3F" w14:textId="77777777" w:rsidTr="00B518F1">
        <w:tc>
          <w:tcPr>
            <w:tcW w:w="1704" w:type="dxa"/>
            <w:vAlign w:val="center"/>
          </w:tcPr>
          <w:p w14:paraId="5046F171" w14:textId="77777777" w:rsidR="003E095D" w:rsidRPr="004D46AC" w:rsidRDefault="003E095D" w:rsidP="00B518F1">
            <w:pPr>
              <w:spacing w:line="240" w:lineRule="auto"/>
              <w:ind w:firstLine="0"/>
            </w:pPr>
            <w:r w:rsidRPr="004D46AC">
              <w:rPr>
                <w:color w:val="000000"/>
              </w:rPr>
              <w:t>TR6--TR29</w:t>
            </w:r>
          </w:p>
        </w:tc>
        <w:tc>
          <w:tcPr>
            <w:tcW w:w="1704" w:type="dxa"/>
            <w:vAlign w:val="center"/>
          </w:tcPr>
          <w:p w14:paraId="4CA953F1" w14:textId="77777777" w:rsidR="003E095D" w:rsidRPr="004D46AC" w:rsidRDefault="003E095D" w:rsidP="00B518F1">
            <w:pPr>
              <w:spacing w:line="240" w:lineRule="auto"/>
              <w:ind w:firstLine="0"/>
            </w:pPr>
            <w:r w:rsidRPr="004D46AC">
              <w:rPr>
                <w:color w:val="000000"/>
                <w:szCs w:val="21"/>
              </w:rPr>
              <w:t xml:space="preserve">1.32 </w:t>
            </w:r>
          </w:p>
        </w:tc>
        <w:tc>
          <w:tcPr>
            <w:tcW w:w="1704" w:type="dxa"/>
            <w:vAlign w:val="center"/>
          </w:tcPr>
          <w:p w14:paraId="170620DE" w14:textId="77777777" w:rsidR="003E095D" w:rsidRPr="004D46AC" w:rsidRDefault="003E095D" w:rsidP="00B518F1">
            <w:pPr>
              <w:spacing w:line="240" w:lineRule="auto"/>
              <w:ind w:firstLine="0"/>
            </w:pPr>
            <w:r w:rsidRPr="004D46AC">
              <w:rPr>
                <w:color w:val="000000"/>
                <w:szCs w:val="21"/>
              </w:rPr>
              <w:t xml:space="preserve">0.75 </w:t>
            </w:r>
          </w:p>
        </w:tc>
        <w:tc>
          <w:tcPr>
            <w:tcW w:w="1705" w:type="dxa"/>
            <w:vAlign w:val="center"/>
          </w:tcPr>
          <w:p w14:paraId="61278FBB" w14:textId="77777777" w:rsidR="003E095D" w:rsidRPr="004D46AC" w:rsidRDefault="003E095D" w:rsidP="00B518F1">
            <w:pPr>
              <w:spacing w:line="240" w:lineRule="auto"/>
              <w:ind w:firstLine="0"/>
            </w:pPr>
            <w:r w:rsidRPr="004D46AC">
              <w:rPr>
                <w:color w:val="000000"/>
                <w:szCs w:val="21"/>
              </w:rPr>
              <w:t xml:space="preserve">1.88 </w:t>
            </w:r>
          </w:p>
        </w:tc>
        <w:tc>
          <w:tcPr>
            <w:tcW w:w="1705" w:type="dxa"/>
            <w:vAlign w:val="center"/>
          </w:tcPr>
          <w:p w14:paraId="45C1E3C8"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0AC7E732" w14:textId="77777777" w:rsidTr="00B518F1">
        <w:tc>
          <w:tcPr>
            <w:tcW w:w="1704" w:type="dxa"/>
            <w:vAlign w:val="center"/>
          </w:tcPr>
          <w:p w14:paraId="1BC91D85" w14:textId="77777777" w:rsidR="003E095D" w:rsidRPr="004D46AC" w:rsidRDefault="003E095D" w:rsidP="00B518F1">
            <w:pPr>
              <w:spacing w:line="240" w:lineRule="auto"/>
              <w:ind w:firstLine="0"/>
            </w:pPr>
            <w:r w:rsidRPr="004D46AC">
              <w:rPr>
                <w:color w:val="000000"/>
              </w:rPr>
              <w:t>TR15--TR34</w:t>
            </w:r>
          </w:p>
        </w:tc>
        <w:tc>
          <w:tcPr>
            <w:tcW w:w="1704" w:type="dxa"/>
            <w:vAlign w:val="center"/>
          </w:tcPr>
          <w:p w14:paraId="0D7E2780" w14:textId="77777777" w:rsidR="003E095D" w:rsidRPr="004D46AC" w:rsidRDefault="003E095D" w:rsidP="00B518F1">
            <w:pPr>
              <w:spacing w:line="240" w:lineRule="auto"/>
              <w:ind w:firstLine="0"/>
            </w:pPr>
            <w:r w:rsidRPr="004D46AC">
              <w:rPr>
                <w:color w:val="000000"/>
                <w:szCs w:val="21"/>
              </w:rPr>
              <w:t xml:space="preserve">1.08 </w:t>
            </w:r>
          </w:p>
        </w:tc>
        <w:tc>
          <w:tcPr>
            <w:tcW w:w="1704" w:type="dxa"/>
            <w:vAlign w:val="center"/>
          </w:tcPr>
          <w:p w14:paraId="3BBE051C" w14:textId="77777777" w:rsidR="003E095D" w:rsidRPr="004D46AC" w:rsidRDefault="003E095D" w:rsidP="00B518F1">
            <w:pPr>
              <w:spacing w:line="240" w:lineRule="auto"/>
              <w:ind w:firstLine="0"/>
            </w:pPr>
            <w:r w:rsidRPr="004D46AC">
              <w:rPr>
                <w:color w:val="000000"/>
                <w:szCs w:val="21"/>
              </w:rPr>
              <w:t xml:space="preserve">0.50 </w:t>
            </w:r>
          </w:p>
        </w:tc>
        <w:tc>
          <w:tcPr>
            <w:tcW w:w="1705" w:type="dxa"/>
            <w:vAlign w:val="center"/>
          </w:tcPr>
          <w:p w14:paraId="03D6D213" w14:textId="77777777" w:rsidR="003E095D" w:rsidRPr="004D46AC" w:rsidRDefault="003E095D" w:rsidP="00B518F1">
            <w:pPr>
              <w:spacing w:line="240" w:lineRule="auto"/>
              <w:ind w:firstLine="0"/>
            </w:pPr>
            <w:r w:rsidRPr="004D46AC">
              <w:rPr>
                <w:color w:val="000000"/>
                <w:szCs w:val="21"/>
              </w:rPr>
              <w:t xml:space="preserve">1.66 </w:t>
            </w:r>
          </w:p>
        </w:tc>
        <w:tc>
          <w:tcPr>
            <w:tcW w:w="1705" w:type="dxa"/>
            <w:vAlign w:val="center"/>
          </w:tcPr>
          <w:p w14:paraId="6345E0A4"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70B63CD3" w14:textId="77777777" w:rsidTr="00B518F1">
        <w:tc>
          <w:tcPr>
            <w:tcW w:w="1704" w:type="dxa"/>
            <w:vAlign w:val="center"/>
          </w:tcPr>
          <w:p w14:paraId="31FD270E" w14:textId="77777777" w:rsidR="003E095D" w:rsidRPr="004D46AC" w:rsidRDefault="003E095D" w:rsidP="00B518F1">
            <w:pPr>
              <w:spacing w:line="240" w:lineRule="auto"/>
              <w:ind w:firstLine="0"/>
            </w:pPr>
            <w:r w:rsidRPr="004D46AC">
              <w:rPr>
                <w:color w:val="000000"/>
              </w:rPr>
              <w:t>TR7--TR19</w:t>
            </w:r>
          </w:p>
        </w:tc>
        <w:tc>
          <w:tcPr>
            <w:tcW w:w="1704" w:type="dxa"/>
            <w:vAlign w:val="center"/>
          </w:tcPr>
          <w:p w14:paraId="57D01F46" w14:textId="77777777" w:rsidR="003E095D" w:rsidRPr="004D46AC" w:rsidRDefault="003E095D" w:rsidP="00B518F1">
            <w:pPr>
              <w:spacing w:line="240" w:lineRule="auto"/>
              <w:ind w:firstLine="0"/>
            </w:pPr>
            <w:r w:rsidRPr="004D46AC">
              <w:rPr>
                <w:color w:val="000000"/>
                <w:szCs w:val="21"/>
              </w:rPr>
              <w:t xml:space="preserve">0.89 </w:t>
            </w:r>
          </w:p>
        </w:tc>
        <w:tc>
          <w:tcPr>
            <w:tcW w:w="1704" w:type="dxa"/>
            <w:vAlign w:val="center"/>
          </w:tcPr>
          <w:p w14:paraId="664C9C71" w14:textId="77777777" w:rsidR="003E095D" w:rsidRPr="004D46AC" w:rsidRDefault="003E095D" w:rsidP="00B518F1">
            <w:pPr>
              <w:spacing w:line="240" w:lineRule="auto"/>
              <w:ind w:firstLine="0"/>
            </w:pPr>
            <w:r w:rsidRPr="004D46AC">
              <w:rPr>
                <w:color w:val="000000"/>
                <w:szCs w:val="21"/>
              </w:rPr>
              <w:t xml:space="preserve">0.31 </w:t>
            </w:r>
          </w:p>
        </w:tc>
        <w:tc>
          <w:tcPr>
            <w:tcW w:w="1705" w:type="dxa"/>
            <w:vAlign w:val="center"/>
          </w:tcPr>
          <w:p w14:paraId="241A76FD" w14:textId="77777777" w:rsidR="003E095D" w:rsidRPr="004D46AC" w:rsidRDefault="003E095D" w:rsidP="00B518F1">
            <w:pPr>
              <w:spacing w:line="240" w:lineRule="auto"/>
              <w:ind w:firstLine="0"/>
            </w:pPr>
            <w:r w:rsidRPr="004D46AC">
              <w:rPr>
                <w:color w:val="000000"/>
                <w:szCs w:val="21"/>
              </w:rPr>
              <w:t xml:space="preserve">1.46 </w:t>
            </w:r>
          </w:p>
        </w:tc>
        <w:tc>
          <w:tcPr>
            <w:tcW w:w="1705" w:type="dxa"/>
            <w:vAlign w:val="center"/>
          </w:tcPr>
          <w:p w14:paraId="26539CE1"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5EBEAA06" w14:textId="77777777" w:rsidTr="00B518F1">
        <w:tc>
          <w:tcPr>
            <w:tcW w:w="1704" w:type="dxa"/>
            <w:vAlign w:val="center"/>
          </w:tcPr>
          <w:p w14:paraId="1A4869BC" w14:textId="77777777" w:rsidR="003E095D" w:rsidRPr="004D46AC" w:rsidRDefault="003E095D" w:rsidP="00B518F1">
            <w:pPr>
              <w:spacing w:line="240" w:lineRule="auto"/>
              <w:ind w:firstLine="0"/>
            </w:pPr>
            <w:r w:rsidRPr="004D46AC">
              <w:rPr>
                <w:color w:val="000000"/>
              </w:rPr>
              <w:t>TR22--TR25</w:t>
            </w:r>
          </w:p>
        </w:tc>
        <w:tc>
          <w:tcPr>
            <w:tcW w:w="1704" w:type="dxa"/>
            <w:vAlign w:val="center"/>
          </w:tcPr>
          <w:p w14:paraId="670D072B" w14:textId="77777777" w:rsidR="003E095D" w:rsidRPr="004D46AC" w:rsidRDefault="003E095D" w:rsidP="00B518F1">
            <w:pPr>
              <w:spacing w:line="240" w:lineRule="auto"/>
              <w:ind w:firstLine="0"/>
            </w:pPr>
            <w:r w:rsidRPr="004D46AC">
              <w:rPr>
                <w:color w:val="000000"/>
                <w:szCs w:val="21"/>
              </w:rPr>
              <w:t xml:space="preserve">0.85 </w:t>
            </w:r>
          </w:p>
        </w:tc>
        <w:tc>
          <w:tcPr>
            <w:tcW w:w="1704" w:type="dxa"/>
            <w:vAlign w:val="center"/>
          </w:tcPr>
          <w:p w14:paraId="79D8ED76" w14:textId="77777777" w:rsidR="003E095D" w:rsidRPr="004D46AC" w:rsidRDefault="003E095D" w:rsidP="00B518F1">
            <w:pPr>
              <w:spacing w:line="240" w:lineRule="auto"/>
              <w:ind w:firstLine="0"/>
            </w:pPr>
            <w:r w:rsidRPr="004D46AC">
              <w:rPr>
                <w:color w:val="000000"/>
                <w:szCs w:val="21"/>
              </w:rPr>
              <w:t xml:space="preserve">0.29 </w:t>
            </w:r>
          </w:p>
        </w:tc>
        <w:tc>
          <w:tcPr>
            <w:tcW w:w="1705" w:type="dxa"/>
            <w:vAlign w:val="center"/>
          </w:tcPr>
          <w:p w14:paraId="121AB6D7" w14:textId="77777777" w:rsidR="003E095D" w:rsidRPr="004D46AC" w:rsidRDefault="003E095D" w:rsidP="00B518F1">
            <w:pPr>
              <w:spacing w:line="240" w:lineRule="auto"/>
              <w:ind w:firstLine="0"/>
            </w:pPr>
            <w:r w:rsidRPr="004D46AC">
              <w:rPr>
                <w:color w:val="000000"/>
                <w:szCs w:val="21"/>
              </w:rPr>
              <w:t xml:space="preserve">1.40 </w:t>
            </w:r>
          </w:p>
        </w:tc>
        <w:tc>
          <w:tcPr>
            <w:tcW w:w="1705" w:type="dxa"/>
            <w:vAlign w:val="center"/>
          </w:tcPr>
          <w:p w14:paraId="25E50A08" w14:textId="77777777" w:rsidR="003E095D" w:rsidRPr="004D46AC" w:rsidRDefault="003E095D" w:rsidP="00B518F1">
            <w:pPr>
              <w:spacing w:line="240" w:lineRule="auto"/>
              <w:ind w:firstLine="0"/>
            </w:pPr>
            <w:r w:rsidRPr="004D46AC">
              <w:rPr>
                <w:color w:val="000000"/>
                <w:szCs w:val="21"/>
              </w:rPr>
              <w:t xml:space="preserve">0.02 </w:t>
            </w:r>
          </w:p>
        </w:tc>
      </w:tr>
      <w:tr w:rsidR="003E095D" w:rsidRPr="004D46AC" w14:paraId="7BD3690E" w14:textId="77777777" w:rsidTr="00B518F1">
        <w:tc>
          <w:tcPr>
            <w:tcW w:w="1704" w:type="dxa"/>
            <w:vAlign w:val="center"/>
          </w:tcPr>
          <w:p w14:paraId="538D8F35" w14:textId="77777777" w:rsidR="003E095D" w:rsidRPr="004D46AC" w:rsidRDefault="003E095D" w:rsidP="00B518F1">
            <w:pPr>
              <w:spacing w:line="240" w:lineRule="auto"/>
              <w:ind w:firstLine="0"/>
            </w:pPr>
            <w:r w:rsidRPr="004D46AC">
              <w:rPr>
                <w:color w:val="000000"/>
              </w:rPr>
              <w:t>TR7--TR15</w:t>
            </w:r>
          </w:p>
        </w:tc>
        <w:tc>
          <w:tcPr>
            <w:tcW w:w="1704" w:type="dxa"/>
            <w:vAlign w:val="center"/>
          </w:tcPr>
          <w:p w14:paraId="78BBB4B9" w14:textId="77777777" w:rsidR="003E095D" w:rsidRPr="004D46AC" w:rsidRDefault="003E095D" w:rsidP="00B518F1">
            <w:pPr>
              <w:spacing w:line="240" w:lineRule="auto"/>
              <w:ind w:firstLine="0"/>
            </w:pPr>
            <w:r w:rsidRPr="004D46AC">
              <w:rPr>
                <w:color w:val="000000"/>
                <w:szCs w:val="21"/>
              </w:rPr>
              <w:t xml:space="preserve">0.73 </w:t>
            </w:r>
          </w:p>
        </w:tc>
        <w:tc>
          <w:tcPr>
            <w:tcW w:w="1704" w:type="dxa"/>
            <w:vAlign w:val="center"/>
          </w:tcPr>
          <w:p w14:paraId="5411208E"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301AD176" w14:textId="77777777" w:rsidR="003E095D" w:rsidRPr="004D46AC" w:rsidRDefault="003E095D" w:rsidP="00B518F1">
            <w:pPr>
              <w:spacing w:line="240" w:lineRule="auto"/>
              <w:ind w:firstLine="0"/>
            </w:pPr>
            <w:r w:rsidRPr="004D46AC">
              <w:rPr>
                <w:color w:val="000000"/>
                <w:szCs w:val="21"/>
              </w:rPr>
              <w:t xml:space="preserve">1.27 </w:t>
            </w:r>
          </w:p>
        </w:tc>
        <w:tc>
          <w:tcPr>
            <w:tcW w:w="1705" w:type="dxa"/>
            <w:vAlign w:val="center"/>
          </w:tcPr>
          <w:p w14:paraId="0FE26899"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222D79A7" w14:textId="77777777" w:rsidTr="00B518F1">
        <w:tc>
          <w:tcPr>
            <w:tcW w:w="1704" w:type="dxa"/>
            <w:vAlign w:val="center"/>
          </w:tcPr>
          <w:p w14:paraId="7872361E" w14:textId="77777777" w:rsidR="003E095D" w:rsidRPr="004D46AC" w:rsidRDefault="003E095D" w:rsidP="00B518F1">
            <w:pPr>
              <w:spacing w:line="240" w:lineRule="auto"/>
              <w:ind w:firstLine="0"/>
            </w:pPr>
            <w:r w:rsidRPr="004D46AC">
              <w:rPr>
                <w:color w:val="000000"/>
              </w:rPr>
              <w:t>TR18--TR30</w:t>
            </w:r>
          </w:p>
        </w:tc>
        <w:tc>
          <w:tcPr>
            <w:tcW w:w="1704" w:type="dxa"/>
            <w:vAlign w:val="center"/>
          </w:tcPr>
          <w:p w14:paraId="50931CCD" w14:textId="77777777" w:rsidR="003E095D" w:rsidRPr="004D46AC" w:rsidRDefault="003E095D" w:rsidP="00B518F1">
            <w:pPr>
              <w:spacing w:line="240" w:lineRule="auto"/>
              <w:ind w:firstLine="0"/>
            </w:pPr>
            <w:r w:rsidRPr="004D46AC">
              <w:rPr>
                <w:color w:val="000000"/>
                <w:szCs w:val="21"/>
              </w:rPr>
              <w:t xml:space="preserve">0.69 </w:t>
            </w:r>
          </w:p>
        </w:tc>
        <w:tc>
          <w:tcPr>
            <w:tcW w:w="1704" w:type="dxa"/>
            <w:vAlign w:val="center"/>
          </w:tcPr>
          <w:p w14:paraId="36C4C0B6" w14:textId="77777777" w:rsidR="003E095D" w:rsidRPr="004D46AC" w:rsidRDefault="003E095D" w:rsidP="00B518F1">
            <w:pPr>
              <w:spacing w:line="240" w:lineRule="auto"/>
              <w:ind w:firstLine="0"/>
            </w:pPr>
            <w:r w:rsidRPr="004D46AC">
              <w:rPr>
                <w:color w:val="000000"/>
                <w:szCs w:val="21"/>
              </w:rPr>
              <w:t xml:space="preserve">0.07 </w:t>
            </w:r>
          </w:p>
        </w:tc>
        <w:tc>
          <w:tcPr>
            <w:tcW w:w="1705" w:type="dxa"/>
            <w:vAlign w:val="center"/>
          </w:tcPr>
          <w:p w14:paraId="3521D099" w14:textId="77777777" w:rsidR="003E095D" w:rsidRPr="004D46AC" w:rsidRDefault="003E095D" w:rsidP="00B518F1">
            <w:pPr>
              <w:spacing w:line="240" w:lineRule="auto"/>
              <w:ind w:firstLine="0"/>
            </w:pPr>
            <w:r w:rsidRPr="004D46AC">
              <w:rPr>
                <w:color w:val="000000"/>
                <w:szCs w:val="21"/>
              </w:rPr>
              <w:t xml:space="preserve">1.31 </w:t>
            </w:r>
          </w:p>
        </w:tc>
        <w:tc>
          <w:tcPr>
            <w:tcW w:w="1705" w:type="dxa"/>
            <w:vAlign w:val="center"/>
          </w:tcPr>
          <w:p w14:paraId="6D4C462F" w14:textId="77777777" w:rsidR="003E095D" w:rsidRPr="004D46AC" w:rsidRDefault="003E095D" w:rsidP="00B518F1">
            <w:pPr>
              <w:spacing w:line="240" w:lineRule="auto"/>
              <w:ind w:firstLine="0"/>
            </w:pPr>
            <w:r w:rsidRPr="004D46AC">
              <w:rPr>
                <w:color w:val="000000"/>
                <w:szCs w:val="21"/>
              </w:rPr>
              <w:t xml:space="preserve">0.04 </w:t>
            </w:r>
          </w:p>
        </w:tc>
      </w:tr>
      <w:tr w:rsidR="003E095D" w:rsidRPr="004D46AC" w14:paraId="721850F3" w14:textId="77777777" w:rsidTr="00B518F1">
        <w:tc>
          <w:tcPr>
            <w:tcW w:w="1704" w:type="dxa"/>
            <w:vAlign w:val="center"/>
          </w:tcPr>
          <w:p w14:paraId="45A0C9D1" w14:textId="77777777" w:rsidR="003E095D" w:rsidRPr="004D46AC" w:rsidRDefault="003E095D" w:rsidP="00B518F1">
            <w:pPr>
              <w:spacing w:line="240" w:lineRule="auto"/>
              <w:ind w:firstLine="0"/>
            </w:pPr>
            <w:r w:rsidRPr="004D46AC">
              <w:rPr>
                <w:color w:val="000000"/>
              </w:rPr>
              <w:t>TR18--TR33</w:t>
            </w:r>
          </w:p>
        </w:tc>
        <w:tc>
          <w:tcPr>
            <w:tcW w:w="1704" w:type="dxa"/>
            <w:vAlign w:val="center"/>
          </w:tcPr>
          <w:p w14:paraId="446B4213" w14:textId="77777777" w:rsidR="003E095D" w:rsidRPr="004D46AC" w:rsidRDefault="003E095D" w:rsidP="00B518F1">
            <w:pPr>
              <w:spacing w:line="240" w:lineRule="auto"/>
              <w:ind w:firstLine="0"/>
            </w:pPr>
            <w:r w:rsidRPr="004D46AC">
              <w:rPr>
                <w:color w:val="000000"/>
                <w:szCs w:val="21"/>
              </w:rPr>
              <w:t xml:space="preserve">0.65 </w:t>
            </w:r>
          </w:p>
        </w:tc>
        <w:tc>
          <w:tcPr>
            <w:tcW w:w="1704" w:type="dxa"/>
            <w:vAlign w:val="center"/>
          </w:tcPr>
          <w:p w14:paraId="61D2A300" w14:textId="77777777" w:rsidR="003E095D" w:rsidRPr="004D46AC" w:rsidRDefault="003E095D" w:rsidP="00B518F1">
            <w:pPr>
              <w:spacing w:line="240" w:lineRule="auto"/>
              <w:ind w:firstLine="0"/>
            </w:pPr>
            <w:r w:rsidRPr="004D46AC">
              <w:rPr>
                <w:color w:val="000000"/>
                <w:szCs w:val="21"/>
              </w:rPr>
              <w:t xml:space="preserve">0.05 </w:t>
            </w:r>
          </w:p>
        </w:tc>
        <w:tc>
          <w:tcPr>
            <w:tcW w:w="1705" w:type="dxa"/>
            <w:vAlign w:val="center"/>
          </w:tcPr>
          <w:p w14:paraId="68C41781" w14:textId="77777777" w:rsidR="003E095D" w:rsidRPr="004D46AC" w:rsidRDefault="003E095D" w:rsidP="00B518F1">
            <w:pPr>
              <w:spacing w:line="240" w:lineRule="auto"/>
              <w:ind w:firstLine="0"/>
            </w:pPr>
            <w:r w:rsidRPr="004D46AC">
              <w:rPr>
                <w:color w:val="000000"/>
                <w:szCs w:val="21"/>
              </w:rPr>
              <w:t xml:space="preserve">1.24 </w:t>
            </w:r>
          </w:p>
        </w:tc>
        <w:tc>
          <w:tcPr>
            <w:tcW w:w="1705" w:type="dxa"/>
            <w:vAlign w:val="center"/>
          </w:tcPr>
          <w:p w14:paraId="45C6AE44" w14:textId="77777777" w:rsidR="003E095D" w:rsidRPr="004D46AC" w:rsidRDefault="003E095D" w:rsidP="00B518F1">
            <w:pPr>
              <w:spacing w:line="240" w:lineRule="auto"/>
              <w:ind w:firstLine="0"/>
            </w:pPr>
            <w:r w:rsidRPr="004D46AC">
              <w:rPr>
                <w:color w:val="000000"/>
                <w:szCs w:val="21"/>
              </w:rPr>
              <w:t xml:space="preserve">0.06 </w:t>
            </w:r>
          </w:p>
        </w:tc>
      </w:tr>
      <w:tr w:rsidR="003E095D" w:rsidRPr="004D46AC" w14:paraId="223A7F05" w14:textId="77777777" w:rsidTr="00B518F1">
        <w:tc>
          <w:tcPr>
            <w:tcW w:w="1704" w:type="dxa"/>
            <w:vAlign w:val="center"/>
          </w:tcPr>
          <w:p w14:paraId="29E669D9" w14:textId="77777777" w:rsidR="003E095D" w:rsidRPr="004D46AC" w:rsidRDefault="003E095D" w:rsidP="00B518F1">
            <w:pPr>
              <w:spacing w:line="240" w:lineRule="auto"/>
              <w:ind w:firstLine="0"/>
            </w:pPr>
            <w:r w:rsidRPr="004D46AC">
              <w:rPr>
                <w:color w:val="000000"/>
              </w:rPr>
              <w:t>TR24--TR37</w:t>
            </w:r>
          </w:p>
        </w:tc>
        <w:tc>
          <w:tcPr>
            <w:tcW w:w="1704" w:type="dxa"/>
            <w:vAlign w:val="center"/>
          </w:tcPr>
          <w:p w14:paraId="07776F25" w14:textId="77777777" w:rsidR="003E095D" w:rsidRPr="004D46AC" w:rsidRDefault="003E095D" w:rsidP="00B518F1">
            <w:pPr>
              <w:spacing w:line="240" w:lineRule="auto"/>
              <w:ind w:firstLine="0"/>
            </w:pPr>
            <w:r w:rsidRPr="004D46AC">
              <w:rPr>
                <w:color w:val="000000"/>
                <w:szCs w:val="21"/>
              </w:rPr>
              <w:t xml:space="preserve">0.60 </w:t>
            </w:r>
          </w:p>
        </w:tc>
        <w:tc>
          <w:tcPr>
            <w:tcW w:w="1704" w:type="dxa"/>
            <w:vAlign w:val="center"/>
          </w:tcPr>
          <w:p w14:paraId="0BEF9298" w14:textId="77777777" w:rsidR="003E095D" w:rsidRPr="004D46AC" w:rsidRDefault="003E095D" w:rsidP="00B518F1">
            <w:pPr>
              <w:spacing w:line="240" w:lineRule="auto"/>
              <w:ind w:firstLine="0"/>
            </w:pPr>
            <w:r w:rsidRPr="004D46AC">
              <w:rPr>
                <w:color w:val="000000"/>
                <w:szCs w:val="21"/>
              </w:rPr>
              <w:t xml:space="preserve">0.06 </w:t>
            </w:r>
          </w:p>
        </w:tc>
        <w:tc>
          <w:tcPr>
            <w:tcW w:w="1705" w:type="dxa"/>
            <w:vAlign w:val="center"/>
          </w:tcPr>
          <w:p w14:paraId="00D794E2" w14:textId="77777777" w:rsidR="003E095D" w:rsidRPr="004D46AC" w:rsidRDefault="003E095D" w:rsidP="00B518F1">
            <w:pPr>
              <w:spacing w:line="240" w:lineRule="auto"/>
              <w:ind w:firstLine="0"/>
            </w:pPr>
            <w:r w:rsidRPr="004D46AC">
              <w:rPr>
                <w:color w:val="000000"/>
                <w:szCs w:val="21"/>
              </w:rPr>
              <w:t xml:space="preserve">1.14 </w:t>
            </w:r>
          </w:p>
        </w:tc>
        <w:tc>
          <w:tcPr>
            <w:tcW w:w="1705" w:type="dxa"/>
            <w:vAlign w:val="center"/>
          </w:tcPr>
          <w:p w14:paraId="69775666"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50ED4976" w14:textId="77777777" w:rsidTr="00B518F1">
        <w:tc>
          <w:tcPr>
            <w:tcW w:w="1704" w:type="dxa"/>
            <w:vAlign w:val="center"/>
          </w:tcPr>
          <w:p w14:paraId="39279A57" w14:textId="77777777" w:rsidR="003E095D" w:rsidRPr="004D46AC" w:rsidRDefault="003E095D" w:rsidP="00B518F1">
            <w:pPr>
              <w:spacing w:line="240" w:lineRule="auto"/>
              <w:ind w:firstLine="0"/>
            </w:pPr>
            <w:r w:rsidRPr="004D46AC">
              <w:rPr>
                <w:color w:val="000000"/>
              </w:rPr>
              <w:t>TR30--TR33</w:t>
            </w:r>
          </w:p>
        </w:tc>
        <w:tc>
          <w:tcPr>
            <w:tcW w:w="1704" w:type="dxa"/>
            <w:vAlign w:val="center"/>
          </w:tcPr>
          <w:p w14:paraId="3F58C5EF" w14:textId="77777777" w:rsidR="003E095D" w:rsidRPr="004D46AC" w:rsidRDefault="003E095D" w:rsidP="00B518F1">
            <w:pPr>
              <w:spacing w:line="240" w:lineRule="auto"/>
              <w:ind w:firstLine="0"/>
            </w:pPr>
            <w:r w:rsidRPr="004D46AC">
              <w:rPr>
                <w:color w:val="000000"/>
                <w:szCs w:val="21"/>
              </w:rPr>
              <w:t xml:space="preserve">0.59 </w:t>
            </w:r>
          </w:p>
        </w:tc>
        <w:tc>
          <w:tcPr>
            <w:tcW w:w="1704" w:type="dxa"/>
            <w:vAlign w:val="center"/>
          </w:tcPr>
          <w:p w14:paraId="4BAE42DB" w14:textId="77777777" w:rsidR="003E095D" w:rsidRPr="004D46AC" w:rsidRDefault="003E095D" w:rsidP="00B518F1">
            <w:pPr>
              <w:spacing w:line="240" w:lineRule="auto"/>
              <w:ind w:firstLine="0"/>
            </w:pPr>
            <w:r w:rsidRPr="004D46AC">
              <w:rPr>
                <w:color w:val="000000"/>
                <w:szCs w:val="21"/>
              </w:rPr>
              <w:t xml:space="preserve">0.03 </w:t>
            </w:r>
          </w:p>
        </w:tc>
        <w:tc>
          <w:tcPr>
            <w:tcW w:w="1705" w:type="dxa"/>
            <w:vAlign w:val="center"/>
          </w:tcPr>
          <w:p w14:paraId="7747AE03" w14:textId="77777777" w:rsidR="003E095D" w:rsidRPr="004D46AC" w:rsidRDefault="003E095D" w:rsidP="00B518F1">
            <w:pPr>
              <w:spacing w:line="240" w:lineRule="auto"/>
              <w:ind w:firstLine="0"/>
            </w:pPr>
            <w:r w:rsidRPr="004D46AC">
              <w:rPr>
                <w:color w:val="000000"/>
                <w:szCs w:val="21"/>
              </w:rPr>
              <w:t xml:space="preserve">1.16 </w:t>
            </w:r>
          </w:p>
        </w:tc>
        <w:tc>
          <w:tcPr>
            <w:tcW w:w="1705" w:type="dxa"/>
            <w:vAlign w:val="center"/>
          </w:tcPr>
          <w:p w14:paraId="13EB9CDB" w14:textId="77777777" w:rsidR="003E095D" w:rsidRPr="004D46AC" w:rsidRDefault="003E095D" w:rsidP="00B518F1">
            <w:pPr>
              <w:spacing w:line="240" w:lineRule="auto"/>
              <w:ind w:firstLine="0"/>
            </w:pPr>
            <w:r w:rsidRPr="004D46AC">
              <w:rPr>
                <w:color w:val="000000"/>
                <w:szCs w:val="21"/>
              </w:rPr>
              <w:t xml:space="preserve">0.07 </w:t>
            </w:r>
          </w:p>
        </w:tc>
      </w:tr>
      <w:tr w:rsidR="003E095D" w:rsidRPr="004D46AC" w14:paraId="2CEDD47B" w14:textId="77777777" w:rsidTr="00B518F1">
        <w:tc>
          <w:tcPr>
            <w:tcW w:w="1704" w:type="dxa"/>
            <w:vAlign w:val="center"/>
          </w:tcPr>
          <w:p w14:paraId="3A280DC8" w14:textId="77777777" w:rsidR="003E095D" w:rsidRPr="004D46AC" w:rsidRDefault="003E095D" w:rsidP="00B518F1">
            <w:pPr>
              <w:spacing w:line="240" w:lineRule="auto"/>
              <w:ind w:firstLine="0"/>
            </w:pPr>
            <w:r w:rsidRPr="004D46AC">
              <w:rPr>
                <w:color w:val="000000"/>
              </w:rPr>
              <w:t>TR5--TR24</w:t>
            </w:r>
          </w:p>
        </w:tc>
        <w:tc>
          <w:tcPr>
            <w:tcW w:w="1704" w:type="dxa"/>
            <w:vAlign w:val="center"/>
          </w:tcPr>
          <w:p w14:paraId="2DA58A4C" w14:textId="77777777" w:rsidR="003E095D" w:rsidRPr="004D46AC" w:rsidRDefault="003E095D" w:rsidP="00B518F1">
            <w:pPr>
              <w:spacing w:line="240" w:lineRule="auto"/>
              <w:ind w:firstLine="0"/>
            </w:pPr>
            <w:r w:rsidRPr="004D46AC">
              <w:rPr>
                <w:color w:val="000000"/>
                <w:szCs w:val="21"/>
              </w:rPr>
              <w:t xml:space="preserve">0.59 </w:t>
            </w:r>
          </w:p>
        </w:tc>
        <w:tc>
          <w:tcPr>
            <w:tcW w:w="1704" w:type="dxa"/>
            <w:vAlign w:val="center"/>
          </w:tcPr>
          <w:p w14:paraId="42B75AE1" w14:textId="77777777" w:rsidR="003E095D" w:rsidRPr="004D46AC" w:rsidRDefault="003E095D" w:rsidP="00B518F1">
            <w:pPr>
              <w:spacing w:line="240" w:lineRule="auto"/>
              <w:ind w:firstLine="0"/>
            </w:pPr>
            <w:r w:rsidRPr="004D46AC">
              <w:rPr>
                <w:color w:val="000000"/>
                <w:szCs w:val="21"/>
              </w:rPr>
              <w:t xml:space="preserve">-0.04 </w:t>
            </w:r>
          </w:p>
        </w:tc>
        <w:tc>
          <w:tcPr>
            <w:tcW w:w="1705" w:type="dxa"/>
            <w:vAlign w:val="center"/>
          </w:tcPr>
          <w:p w14:paraId="0F263857" w14:textId="77777777" w:rsidR="003E095D" w:rsidRPr="004D46AC" w:rsidRDefault="003E095D" w:rsidP="00B518F1">
            <w:pPr>
              <w:spacing w:line="240" w:lineRule="auto"/>
              <w:ind w:firstLine="0"/>
            </w:pPr>
            <w:r w:rsidRPr="004D46AC">
              <w:rPr>
                <w:color w:val="000000"/>
                <w:szCs w:val="21"/>
              </w:rPr>
              <w:t xml:space="preserve">1.21 </w:t>
            </w:r>
          </w:p>
        </w:tc>
        <w:tc>
          <w:tcPr>
            <w:tcW w:w="1705" w:type="dxa"/>
            <w:vAlign w:val="center"/>
          </w:tcPr>
          <w:p w14:paraId="484C29D6" w14:textId="77777777" w:rsidR="003E095D" w:rsidRPr="004D46AC" w:rsidRDefault="003E095D" w:rsidP="00B518F1">
            <w:pPr>
              <w:spacing w:line="240" w:lineRule="auto"/>
              <w:ind w:firstLine="0"/>
            </w:pPr>
            <w:r w:rsidRPr="004D46AC">
              <w:rPr>
                <w:color w:val="000000"/>
                <w:szCs w:val="21"/>
              </w:rPr>
              <w:t xml:space="preserve">0.07 </w:t>
            </w:r>
          </w:p>
        </w:tc>
      </w:tr>
      <w:tr w:rsidR="003E095D" w:rsidRPr="004D46AC" w14:paraId="62257ED4" w14:textId="77777777" w:rsidTr="00B518F1">
        <w:tc>
          <w:tcPr>
            <w:tcW w:w="1704" w:type="dxa"/>
            <w:vAlign w:val="center"/>
          </w:tcPr>
          <w:p w14:paraId="3AFD2F14" w14:textId="77777777" w:rsidR="003E095D" w:rsidRPr="004D46AC" w:rsidRDefault="003E095D" w:rsidP="00B518F1">
            <w:pPr>
              <w:spacing w:line="240" w:lineRule="auto"/>
              <w:ind w:firstLine="0"/>
            </w:pPr>
            <w:r w:rsidRPr="004D46AC">
              <w:rPr>
                <w:color w:val="000000"/>
              </w:rPr>
              <w:t>TR26--TR34</w:t>
            </w:r>
          </w:p>
        </w:tc>
        <w:tc>
          <w:tcPr>
            <w:tcW w:w="1704" w:type="dxa"/>
            <w:vAlign w:val="center"/>
          </w:tcPr>
          <w:p w14:paraId="1E03D52E" w14:textId="77777777" w:rsidR="003E095D" w:rsidRPr="004D46AC" w:rsidRDefault="003E095D" w:rsidP="00B518F1">
            <w:pPr>
              <w:spacing w:line="240" w:lineRule="auto"/>
              <w:ind w:firstLine="0"/>
            </w:pPr>
            <w:r w:rsidRPr="004D46AC">
              <w:rPr>
                <w:color w:val="000000"/>
                <w:szCs w:val="21"/>
              </w:rPr>
              <w:t xml:space="preserve">0.58 </w:t>
            </w:r>
          </w:p>
        </w:tc>
        <w:tc>
          <w:tcPr>
            <w:tcW w:w="1704" w:type="dxa"/>
            <w:vAlign w:val="center"/>
          </w:tcPr>
          <w:p w14:paraId="1416010F" w14:textId="77777777" w:rsidR="003E095D" w:rsidRPr="004D46AC" w:rsidRDefault="003E095D" w:rsidP="00B518F1">
            <w:pPr>
              <w:spacing w:line="240" w:lineRule="auto"/>
              <w:ind w:firstLine="0"/>
            </w:pPr>
            <w:r w:rsidRPr="004D46AC">
              <w:rPr>
                <w:color w:val="000000"/>
                <w:szCs w:val="21"/>
              </w:rPr>
              <w:t xml:space="preserve">0.04 </w:t>
            </w:r>
          </w:p>
        </w:tc>
        <w:tc>
          <w:tcPr>
            <w:tcW w:w="1705" w:type="dxa"/>
            <w:vAlign w:val="center"/>
          </w:tcPr>
          <w:p w14:paraId="2B334A88" w14:textId="77777777" w:rsidR="003E095D" w:rsidRPr="004D46AC" w:rsidRDefault="003E095D" w:rsidP="00B518F1">
            <w:pPr>
              <w:spacing w:line="240" w:lineRule="auto"/>
              <w:ind w:firstLine="0"/>
            </w:pPr>
            <w:r w:rsidRPr="004D46AC">
              <w:rPr>
                <w:color w:val="000000"/>
                <w:szCs w:val="21"/>
              </w:rPr>
              <w:t xml:space="preserve">1.11 </w:t>
            </w:r>
          </w:p>
        </w:tc>
        <w:tc>
          <w:tcPr>
            <w:tcW w:w="1705" w:type="dxa"/>
            <w:vAlign w:val="center"/>
          </w:tcPr>
          <w:p w14:paraId="69BF1214" w14:textId="77777777" w:rsidR="003E095D" w:rsidRPr="004D46AC" w:rsidRDefault="003E095D" w:rsidP="00B518F1">
            <w:pPr>
              <w:spacing w:line="240" w:lineRule="auto"/>
              <w:ind w:firstLine="0"/>
            </w:pPr>
            <w:r w:rsidRPr="004D46AC">
              <w:rPr>
                <w:color w:val="000000"/>
                <w:szCs w:val="21"/>
              </w:rPr>
              <w:t xml:space="preserve">0.07 </w:t>
            </w:r>
          </w:p>
        </w:tc>
      </w:tr>
      <w:tr w:rsidR="003E095D" w:rsidRPr="004D46AC" w14:paraId="07045F09" w14:textId="77777777" w:rsidTr="00B518F1">
        <w:tc>
          <w:tcPr>
            <w:tcW w:w="1704" w:type="dxa"/>
            <w:vAlign w:val="center"/>
          </w:tcPr>
          <w:p w14:paraId="537F64A1" w14:textId="77777777" w:rsidR="003E095D" w:rsidRPr="004D46AC" w:rsidRDefault="003E095D" w:rsidP="00B518F1">
            <w:pPr>
              <w:spacing w:line="240" w:lineRule="auto"/>
              <w:ind w:firstLine="0"/>
            </w:pPr>
            <w:r w:rsidRPr="004D46AC">
              <w:rPr>
                <w:color w:val="000000"/>
              </w:rPr>
              <w:t>TR15--TR33</w:t>
            </w:r>
          </w:p>
        </w:tc>
        <w:tc>
          <w:tcPr>
            <w:tcW w:w="1704" w:type="dxa"/>
            <w:vAlign w:val="center"/>
          </w:tcPr>
          <w:p w14:paraId="5944579E" w14:textId="77777777" w:rsidR="003E095D" w:rsidRPr="004D46AC" w:rsidRDefault="003E095D" w:rsidP="00B518F1">
            <w:pPr>
              <w:spacing w:line="240" w:lineRule="auto"/>
              <w:ind w:firstLine="0"/>
            </w:pPr>
            <w:r w:rsidRPr="004D46AC">
              <w:rPr>
                <w:color w:val="000000"/>
                <w:szCs w:val="21"/>
              </w:rPr>
              <w:t xml:space="preserve">0.57 </w:t>
            </w:r>
          </w:p>
        </w:tc>
        <w:tc>
          <w:tcPr>
            <w:tcW w:w="1704" w:type="dxa"/>
            <w:vAlign w:val="center"/>
          </w:tcPr>
          <w:p w14:paraId="2DE22E27" w14:textId="77777777" w:rsidR="003E095D" w:rsidRPr="004D46AC" w:rsidRDefault="003E095D" w:rsidP="00B518F1">
            <w:pPr>
              <w:spacing w:line="240" w:lineRule="auto"/>
              <w:ind w:firstLine="0"/>
            </w:pPr>
            <w:r w:rsidRPr="004D46AC">
              <w:rPr>
                <w:color w:val="000000"/>
                <w:szCs w:val="21"/>
              </w:rPr>
              <w:t xml:space="preserve">-0.07 </w:t>
            </w:r>
          </w:p>
        </w:tc>
        <w:tc>
          <w:tcPr>
            <w:tcW w:w="1705" w:type="dxa"/>
            <w:vAlign w:val="center"/>
          </w:tcPr>
          <w:p w14:paraId="59115B45" w14:textId="77777777" w:rsidR="003E095D" w:rsidRPr="004D46AC" w:rsidRDefault="003E095D" w:rsidP="00B518F1">
            <w:pPr>
              <w:spacing w:line="240" w:lineRule="auto"/>
              <w:ind w:firstLine="0"/>
            </w:pPr>
            <w:r w:rsidRPr="004D46AC">
              <w:rPr>
                <w:color w:val="000000"/>
                <w:szCs w:val="21"/>
              </w:rPr>
              <w:t xml:space="preserve">1.21 </w:t>
            </w:r>
          </w:p>
        </w:tc>
        <w:tc>
          <w:tcPr>
            <w:tcW w:w="1705" w:type="dxa"/>
            <w:vAlign w:val="center"/>
          </w:tcPr>
          <w:p w14:paraId="09E73C63" w14:textId="77777777" w:rsidR="003E095D" w:rsidRPr="004D46AC" w:rsidRDefault="003E095D" w:rsidP="00B518F1">
            <w:pPr>
              <w:spacing w:line="240" w:lineRule="auto"/>
              <w:ind w:firstLine="0"/>
            </w:pPr>
            <w:r w:rsidRPr="004D46AC">
              <w:rPr>
                <w:color w:val="000000"/>
                <w:szCs w:val="21"/>
              </w:rPr>
              <w:t xml:space="preserve">0.10 </w:t>
            </w:r>
          </w:p>
        </w:tc>
      </w:tr>
      <w:tr w:rsidR="003E095D" w:rsidRPr="004D46AC" w14:paraId="5AC0440D" w14:textId="77777777" w:rsidTr="00B518F1">
        <w:tc>
          <w:tcPr>
            <w:tcW w:w="1704" w:type="dxa"/>
            <w:vAlign w:val="center"/>
          </w:tcPr>
          <w:p w14:paraId="4DBE912B" w14:textId="77777777" w:rsidR="003E095D" w:rsidRPr="004D46AC" w:rsidRDefault="003E095D" w:rsidP="00B518F1">
            <w:pPr>
              <w:spacing w:line="240" w:lineRule="auto"/>
              <w:ind w:firstLine="0"/>
            </w:pPr>
            <w:r w:rsidRPr="004D46AC">
              <w:rPr>
                <w:color w:val="000000"/>
              </w:rPr>
              <w:t>TR7--TR23</w:t>
            </w:r>
          </w:p>
        </w:tc>
        <w:tc>
          <w:tcPr>
            <w:tcW w:w="1704" w:type="dxa"/>
            <w:vAlign w:val="center"/>
          </w:tcPr>
          <w:p w14:paraId="22D4019A" w14:textId="77777777" w:rsidR="003E095D" w:rsidRPr="004D46AC" w:rsidRDefault="003E095D" w:rsidP="00B518F1">
            <w:pPr>
              <w:spacing w:line="240" w:lineRule="auto"/>
              <w:ind w:firstLine="0"/>
            </w:pPr>
            <w:r w:rsidRPr="004D46AC">
              <w:rPr>
                <w:color w:val="000000"/>
                <w:szCs w:val="21"/>
              </w:rPr>
              <w:t xml:space="preserve">0.55 </w:t>
            </w:r>
          </w:p>
        </w:tc>
        <w:tc>
          <w:tcPr>
            <w:tcW w:w="1704" w:type="dxa"/>
            <w:vAlign w:val="center"/>
          </w:tcPr>
          <w:p w14:paraId="3A4E48C3" w14:textId="77777777" w:rsidR="003E095D" w:rsidRPr="004D46AC" w:rsidRDefault="003E095D" w:rsidP="00B518F1">
            <w:pPr>
              <w:spacing w:line="240" w:lineRule="auto"/>
              <w:ind w:firstLine="0"/>
            </w:pPr>
            <w:r w:rsidRPr="004D46AC">
              <w:rPr>
                <w:color w:val="000000"/>
                <w:szCs w:val="21"/>
              </w:rPr>
              <w:t xml:space="preserve">-0.01 </w:t>
            </w:r>
          </w:p>
        </w:tc>
        <w:tc>
          <w:tcPr>
            <w:tcW w:w="1705" w:type="dxa"/>
            <w:vAlign w:val="center"/>
          </w:tcPr>
          <w:p w14:paraId="684A362E" w14:textId="77777777" w:rsidR="003E095D" w:rsidRPr="004D46AC" w:rsidRDefault="003E095D" w:rsidP="00B518F1">
            <w:pPr>
              <w:spacing w:line="240" w:lineRule="auto"/>
              <w:ind w:firstLine="0"/>
            </w:pPr>
            <w:r w:rsidRPr="004D46AC">
              <w:rPr>
                <w:color w:val="000000"/>
                <w:szCs w:val="21"/>
              </w:rPr>
              <w:t xml:space="preserve">1.11 </w:t>
            </w:r>
          </w:p>
        </w:tc>
        <w:tc>
          <w:tcPr>
            <w:tcW w:w="1705" w:type="dxa"/>
            <w:vAlign w:val="center"/>
          </w:tcPr>
          <w:p w14:paraId="020D7EA5" w14:textId="77777777" w:rsidR="003E095D" w:rsidRPr="004D46AC" w:rsidRDefault="003E095D" w:rsidP="00B518F1">
            <w:pPr>
              <w:spacing w:line="240" w:lineRule="auto"/>
              <w:ind w:firstLine="0"/>
            </w:pPr>
            <w:r w:rsidRPr="004D46AC">
              <w:rPr>
                <w:color w:val="000000"/>
                <w:szCs w:val="21"/>
              </w:rPr>
              <w:t xml:space="preserve">0.10 </w:t>
            </w:r>
          </w:p>
        </w:tc>
      </w:tr>
      <w:tr w:rsidR="003E095D" w:rsidRPr="004D46AC" w14:paraId="5BD6E644" w14:textId="77777777" w:rsidTr="00B518F1">
        <w:tc>
          <w:tcPr>
            <w:tcW w:w="1704" w:type="dxa"/>
            <w:vAlign w:val="center"/>
          </w:tcPr>
          <w:p w14:paraId="1CFF84D6" w14:textId="77777777" w:rsidR="003E095D" w:rsidRPr="004D46AC" w:rsidRDefault="003E095D" w:rsidP="00B518F1">
            <w:pPr>
              <w:spacing w:line="240" w:lineRule="auto"/>
              <w:ind w:firstLine="0"/>
            </w:pPr>
            <w:r w:rsidRPr="004D46AC">
              <w:rPr>
                <w:color w:val="000000"/>
              </w:rPr>
              <w:t>TR13--TR14</w:t>
            </w:r>
          </w:p>
        </w:tc>
        <w:tc>
          <w:tcPr>
            <w:tcW w:w="1704" w:type="dxa"/>
            <w:vAlign w:val="center"/>
          </w:tcPr>
          <w:p w14:paraId="1197D59E" w14:textId="77777777" w:rsidR="003E095D" w:rsidRPr="004D46AC" w:rsidRDefault="003E095D" w:rsidP="00B518F1">
            <w:pPr>
              <w:spacing w:line="240" w:lineRule="auto"/>
              <w:ind w:firstLine="0"/>
            </w:pPr>
            <w:r w:rsidRPr="004D46AC">
              <w:rPr>
                <w:color w:val="000000"/>
                <w:szCs w:val="21"/>
              </w:rPr>
              <w:t xml:space="preserve">0.49 </w:t>
            </w:r>
          </w:p>
        </w:tc>
        <w:tc>
          <w:tcPr>
            <w:tcW w:w="1704" w:type="dxa"/>
            <w:vAlign w:val="center"/>
          </w:tcPr>
          <w:p w14:paraId="08EADA01" w14:textId="77777777" w:rsidR="003E095D" w:rsidRPr="004D46AC" w:rsidRDefault="003E095D" w:rsidP="00B518F1">
            <w:pPr>
              <w:spacing w:line="240" w:lineRule="auto"/>
              <w:ind w:firstLine="0"/>
            </w:pPr>
            <w:r w:rsidRPr="004D46AC">
              <w:rPr>
                <w:color w:val="000000"/>
                <w:szCs w:val="21"/>
              </w:rPr>
              <w:t xml:space="preserve">-0.10 </w:t>
            </w:r>
          </w:p>
        </w:tc>
        <w:tc>
          <w:tcPr>
            <w:tcW w:w="1705" w:type="dxa"/>
            <w:vAlign w:val="center"/>
          </w:tcPr>
          <w:p w14:paraId="34BA1668" w14:textId="77777777" w:rsidR="003E095D" w:rsidRPr="004D46AC" w:rsidRDefault="003E095D" w:rsidP="00B518F1">
            <w:pPr>
              <w:spacing w:line="240" w:lineRule="auto"/>
              <w:ind w:firstLine="0"/>
            </w:pPr>
            <w:r w:rsidRPr="004D46AC">
              <w:rPr>
                <w:color w:val="000000"/>
                <w:szCs w:val="21"/>
              </w:rPr>
              <w:t xml:space="preserve">1.09 </w:t>
            </w:r>
          </w:p>
        </w:tc>
        <w:tc>
          <w:tcPr>
            <w:tcW w:w="1705" w:type="dxa"/>
            <w:vAlign w:val="center"/>
          </w:tcPr>
          <w:p w14:paraId="61FA568A" w14:textId="77777777" w:rsidR="003E095D" w:rsidRPr="004D46AC" w:rsidRDefault="003E095D" w:rsidP="00B518F1">
            <w:pPr>
              <w:spacing w:line="240" w:lineRule="auto"/>
              <w:ind w:firstLine="0"/>
            </w:pPr>
            <w:r w:rsidRPr="004D46AC">
              <w:rPr>
                <w:color w:val="000000"/>
                <w:szCs w:val="21"/>
              </w:rPr>
              <w:t xml:space="preserve">0.09 </w:t>
            </w:r>
          </w:p>
        </w:tc>
      </w:tr>
      <w:tr w:rsidR="003E095D" w:rsidRPr="004D46AC" w14:paraId="22F33023" w14:textId="77777777" w:rsidTr="00B518F1">
        <w:tc>
          <w:tcPr>
            <w:tcW w:w="1704" w:type="dxa"/>
            <w:vAlign w:val="center"/>
          </w:tcPr>
          <w:p w14:paraId="5E4C9B63" w14:textId="77777777" w:rsidR="003E095D" w:rsidRPr="004D46AC" w:rsidRDefault="003E095D" w:rsidP="00B518F1">
            <w:pPr>
              <w:spacing w:line="240" w:lineRule="auto"/>
              <w:ind w:firstLine="0"/>
            </w:pPr>
            <w:r w:rsidRPr="004D46AC">
              <w:rPr>
                <w:color w:val="000000"/>
              </w:rPr>
              <w:t>TR17--TR30</w:t>
            </w:r>
          </w:p>
        </w:tc>
        <w:tc>
          <w:tcPr>
            <w:tcW w:w="1704" w:type="dxa"/>
            <w:vAlign w:val="center"/>
          </w:tcPr>
          <w:p w14:paraId="3BF21941" w14:textId="77777777" w:rsidR="003E095D" w:rsidRPr="004D46AC" w:rsidRDefault="003E095D" w:rsidP="00B518F1">
            <w:pPr>
              <w:spacing w:line="240" w:lineRule="auto"/>
              <w:ind w:firstLine="0"/>
            </w:pPr>
            <w:r w:rsidRPr="004D46AC">
              <w:rPr>
                <w:color w:val="000000"/>
                <w:szCs w:val="21"/>
              </w:rPr>
              <w:t xml:space="preserve">0.49 </w:t>
            </w:r>
          </w:p>
        </w:tc>
        <w:tc>
          <w:tcPr>
            <w:tcW w:w="1704" w:type="dxa"/>
            <w:vAlign w:val="center"/>
          </w:tcPr>
          <w:p w14:paraId="51BFA8DB" w14:textId="77777777" w:rsidR="003E095D" w:rsidRPr="004D46AC" w:rsidRDefault="003E095D" w:rsidP="00B518F1">
            <w:pPr>
              <w:spacing w:line="240" w:lineRule="auto"/>
              <w:ind w:firstLine="0"/>
            </w:pPr>
            <w:r w:rsidRPr="004D46AC">
              <w:rPr>
                <w:color w:val="000000"/>
                <w:szCs w:val="21"/>
              </w:rPr>
              <w:t xml:space="preserve">-0.02 </w:t>
            </w:r>
          </w:p>
        </w:tc>
        <w:tc>
          <w:tcPr>
            <w:tcW w:w="1705" w:type="dxa"/>
            <w:vAlign w:val="center"/>
          </w:tcPr>
          <w:p w14:paraId="40BDB605" w14:textId="77777777" w:rsidR="003E095D" w:rsidRPr="004D46AC" w:rsidRDefault="003E095D" w:rsidP="00B518F1">
            <w:pPr>
              <w:spacing w:line="240" w:lineRule="auto"/>
              <w:ind w:firstLine="0"/>
            </w:pPr>
            <w:r w:rsidRPr="004D46AC">
              <w:rPr>
                <w:color w:val="000000"/>
                <w:szCs w:val="21"/>
              </w:rPr>
              <w:t xml:space="preserve">1.00 </w:t>
            </w:r>
          </w:p>
        </w:tc>
        <w:tc>
          <w:tcPr>
            <w:tcW w:w="1705" w:type="dxa"/>
            <w:vAlign w:val="center"/>
          </w:tcPr>
          <w:p w14:paraId="48FCBD33" w14:textId="77777777" w:rsidR="003E095D" w:rsidRPr="004D46AC" w:rsidRDefault="003E095D" w:rsidP="00B518F1">
            <w:pPr>
              <w:spacing w:line="240" w:lineRule="auto"/>
              <w:ind w:firstLine="0"/>
            </w:pPr>
            <w:r w:rsidRPr="004D46AC">
              <w:rPr>
                <w:color w:val="000000"/>
                <w:szCs w:val="21"/>
              </w:rPr>
              <w:t xml:space="preserve">0.07 </w:t>
            </w:r>
          </w:p>
        </w:tc>
      </w:tr>
      <w:tr w:rsidR="003E095D" w:rsidRPr="004D46AC" w14:paraId="41E01292" w14:textId="77777777" w:rsidTr="00B518F1">
        <w:tc>
          <w:tcPr>
            <w:tcW w:w="1704" w:type="dxa"/>
            <w:vAlign w:val="center"/>
          </w:tcPr>
          <w:p w14:paraId="668A63B0" w14:textId="77777777" w:rsidR="003E095D" w:rsidRPr="004D46AC" w:rsidRDefault="003E095D" w:rsidP="00B518F1">
            <w:pPr>
              <w:spacing w:line="240" w:lineRule="auto"/>
              <w:ind w:firstLine="0"/>
            </w:pPr>
            <w:r w:rsidRPr="004D46AC">
              <w:rPr>
                <w:color w:val="000000"/>
              </w:rPr>
              <w:t>TR17--TR18</w:t>
            </w:r>
          </w:p>
        </w:tc>
        <w:tc>
          <w:tcPr>
            <w:tcW w:w="1704" w:type="dxa"/>
            <w:vAlign w:val="center"/>
          </w:tcPr>
          <w:p w14:paraId="661F40E2" w14:textId="77777777" w:rsidR="003E095D" w:rsidRPr="004D46AC" w:rsidRDefault="003E095D" w:rsidP="00B518F1">
            <w:pPr>
              <w:spacing w:line="240" w:lineRule="auto"/>
              <w:ind w:firstLine="0"/>
            </w:pPr>
            <w:r w:rsidRPr="004D46AC">
              <w:rPr>
                <w:color w:val="000000"/>
                <w:szCs w:val="21"/>
              </w:rPr>
              <w:t xml:space="preserve">0.47 </w:t>
            </w:r>
          </w:p>
        </w:tc>
        <w:tc>
          <w:tcPr>
            <w:tcW w:w="1704" w:type="dxa"/>
            <w:vAlign w:val="center"/>
          </w:tcPr>
          <w:p w14:paraId="58091829"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6FF0B29C" w14:textId="77777777" w:rsidR="003E095D" w:rsidRPr="004D46AC" w:rsidRDefault="003E095D" w:rsidP="00B518F1">
            <w:pPr>
              <w:spacing w:line="240" w:lineRule="auto"/>
              <w:ind w:firstLine="0"/>
            </w:pPr>
            <w:r w:rsidRPr="004D46AC">
              <w:rPr>
                <w:color w:val="000000"/>
                <w:szCs w:val="21"/>
              </w:rPr>
              <w:t xml:space="preserve">1.08 </w:t>
            </w:r>
          </w:p>
        </w:tc>
        <w:tc>
          <w:tcPr>
            <w:tcW w:w="1705" w:type="dxa"/>
            <w:vAlign w:val="center"/>
          </w:tcPr>
          <w:p w14:paraId="00010316" w14:textId="77777777" w:rsidR="003E095D" w:rsidRPr="004D46AC" w:rsidRDefault="003E095D" w:rsidP="00B518F1">
            <w:pPr>
              <w:spacing w:line="240" w:lineRule="auto"/>
              <w:ind w:firstLine="0"/>
            </w:pPr>
            <w:r w:rsidRPr="004D46AC">
              <w:rPr>
                <w:color w:val="000000"/>
                <w:szCs w:val="21"/>
              </w:rPr>
              <w:t xml:space="preserve">0.09 </w:t>
            </w:r>
          </w:p>
        </w:tc>
      </w:tr>
      <w:tr w:rsidR="003E095D" w:rsidRPr="004D46AC" w14:paraId="43535532" w14:textId="77777777" w:rsidTr="00B518F1">
        <w:tc>
          <w:tcPr>
            <w:tcW w:w="1704" w:type="dxa"/>
            <w:vAlign w:val="center"/>
          </w:tcPr>
          <w:p w14:paraId="4C3551FE" w14:textId="77777777" w:rsidR="003E095D" w:rsidRPr="004D46AC" w:rsidRDefault="003E095D" w:rsidP="00B518F1">
            <w:pPr>
              <w:spacing w:line="240" w:lineRule="auto"/>
              <w:ind w:firstLine="0"/>
            </w:pPr>
            <w:r w:rsidRPr="004D46AC">
              <w:rPr>
                <w:color w:val="000000"/>
              </w:rPr>
              <w:t>TR9--TR18</w:t>
            </w:r>
          </w:p>
        </w:tc>
        <w:tc>
          <w:tcPr>
            <w:tcW w:w="1704" w:type="dxa"/>
            <w:vAlign w:val="center"/>
          </w:tcPr>
          <w:p w14:paraId="349754A4" w14:textId="77777777" w:rsidR="003E095D" w:rsidRPr="004D46AC" w:rsidRDefault="003E095D" w:rsidP="00B518F1">
            <w:pPr>
              <w:spacing w:line="240" w:lineRule="auto"/>
              <w:ind w:firstLine="0"/>
            </w:pPr>
            <w:r w:rsidRPr="004D46AC">
              <w:rPr>
                <w:color w:val="000000"/>
                <w:szCs w:val="21"/>
              </w:rPr>
              <w:t xml:space="preserve">0.47 </w:t>
            </w:r>
          </w:p>
        </w:tc>
        <w:tc>
          <w:tcPr>
            <w:tcW w:w="1704" w:type="dxa"/>
            <w:vAlign w:val="center"/>
          </w:tcPr>
          <w:p w14:paraId="2C96E97A"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3487B541" w14:textId="77777777" w:rsidR="003E095D" w:rsidRPr="004D46AC" w:rsidRDefault="003E095D" w:rsidP="00B518F1">
            <w:pPr>
              <w:spacing w:line="240" w:lineRule="auto"/>
              <w:ind w:firstLine="0"/>
            </w:pPr>
            <w:r w:rsidRPr="004D46AC">
              <w:rPr>
                <w:color w:val="000000"/>
                <w:szCs w:val="21"/>
              </w:rPr>
              <w:t xml:space="preserve">1.08 </w:t>
            </w:r>
          </w:p>
        </w:tc>
        <w:tc>
          <w:tcPr>
            <w:tcW w:w="1705" w:type="dxa"/>
            <w:vAlign w:val="center"/>
          </w:tcPr>
          <w:p w14:paraId="55414079" w14:textId="77777777" w:rsidR="003E095D" w:rsidRPr="004D46AC" w:rsidRDefault="003E095D" w:rsidP="00B518F1">
            <w:pPr>
              <w:spacing w:line="240" w:lineRule="auto"/>
              <w:ind w:firstLine="0"/>
            </w:pPr>
            <w:r w:rsidRPr="004D46AC">
              <w:rPr>
                <w:color w:val="000000"/>
                <w:szCs w:val="21"/>
              </w:rPr>
              <w:t xml:space="preserve">0.13 </w:t>
            </w:r>
          </w:p>
        </w:tc>
      </w:tr>
      <w:tr w:rsidR="003E095D" w:rsidRPr="004D46AC" w14:paraId="7D001386" w14:textId="77777777" w:rsidTr="00B518F1">
        <w:tc>
          <w:tcPr>
            <w:tcW w:w="1704" w:type="dxa"/>
            <w:vAlign w:val="center"/>
          </w:tcPr>
          <w:p w14:paraId="6EF846F0" w14:textId="77777777" w:rsidR="003E095D" w:rsidRPr="004D46AC" w:rsidRDefault="003E095D" w:rsidP="00B518F1">
            <w:pPr>
              <w:spacing w:line="240" w:lineRule="auto"/>
              <w:ind w:firstLine="0"/>
            </w:pPr>
            <w:r w:rsidRPr="004D46AC">
              <w:rPr>
                <w:color w:val="000000"/>
              </w:rPr>
              <w:t>TR19--TR16</w:t>
            </w:r>
          </w:p>
        </w:tc>
        <w:tc>
          <w:tcPr>
            <w:tcW w:w="1704" w:type="dxa"/>
            <w:vAlign w:val="center"/>
          </w:tcPr>
          <w:p w14:paraId="45C654FB" w14:textId="77777777" w:rsidR="003E095D" w:rsidRPr="004D46AC" w:rsidRDefault="003E095D" w:rsidP="00B518F1">
            <w:pPr>
              <w:spacing w:line="240" w:lineRule="auto"/>
              <w:ind w:firstLine="0"/>
            </w:pPr>
            <w:r w:rsidRPr="004D46AC">
              <w:rPr>
                <w:color w:val="000000"/>
                <w:szCs w:val="21"/>
              </w:rPr>
              <w:t xml:space="preserve">0.46 </w:t>
            </w:r>
          </w:p>
        </w:tc>
        <w:tc>
          <w:tcPr>
            <w:tcW w:w="1704" w:type="dxa"/>
            <w:vAlign w:val="center"/>
          </w:tcPr>
          <w:p w14:paraId="64B6FB52" w14:textId="77777777" w:rsidR="003E095D" w:rsidRPr="004D46AC" w:rsidRDefault="003E095D" w:rsidP="00B518F1">
            <w:pPr>
              <w:spacing w:line="240" w:lineRule="auto"/>
              <w:ind w:firstLine="0"/>
            </w:pPr>
            <w:r w:rsidRPr="004D46AC">
              <w:rPr>
                <w:color w:val="000000"/>
                <w:szCs w:val="21"/>
              </w:rPr>
              <w:t xml:space="preserve">-0.25 </w:t>
            </w:r>
          </w:p>
        </w:tc>
        <w:tc>
          <w:tcPr>
            <w:tcW w:w="1705" w:type="dxa"/>
            <w:vAlign w:val="center"/>
          </w:tcPr>
          <w:p w14:paraId="5AD46655" w14:textId="77777777" w:rsidR="003E095D" w:rsidRPr="004D46AC" w:rsidRDefault="003E095D" w:rsidP="00B518F1">
            <w:pPr>
              <w:spacing w:line="240" w:lineRule="auto"/>
              <w:ind w:firstLine="0"/>
            </w:pPr>
            <w:r w:rsidRPr="004D46AC">
              <w:rPr>
                <w:color w:val="000000"/>
                <w:szCs w:val="21"/>
              </w:rPr>
              <w:t xml:space="preserve">1.16 </w:t>
            </w:r>
          </w:p>
        </w:tc>
        <w:tc>
          <w:tcPr>
            <w:tcW w:w="1705" w:type="dxa"/>
            <w:vAlign w:val="center"/>
          </w:tcPr>
          <w:p w14:paraId="2166BA26" w14:textId="77777777" w:rsidR="003E095D" w:rsidRPr="004D46AC" w:rsidRDefault="003E095D" w:rsidP="00B518F1">
            <w:pPr>
              <w:spacing w:line="240" w:lineRule="auto"/>
              <w:ind w:firstLine="0"/>
            </w:pPr>
            <w:r w:rsidRPr="004D46AC">
              <w:rPr>
                <w:color w:val="000000"/>
                <w:szCs w:val="21"/>
              </w:rPr>
              <w:t xml:space="preserve">0.32 </w:t>
            </w:r>
          </w:p>
        </w:tc>
      </w:tr>
      <w:tr w:rsidR="003E095D" w:rsidRPr="004D46AC" w14:paraId="7A547FDF" w14:textId="77777777" w:rsidTr="00B518F1">
        <w:tc>
          <w:tcPr>
            <w:tcW w:w="1704" w:type="dxa"/>
            <w:vAlign w:val="center"/>
          </w:tcPr>
          <w:p w14:paraId="06FA0613" w14:textId="77777777" w:rsidR="003E095D" w:rsidRPr="004D46AC" w:rsidRDefault="003E095D" w:rsidP="00B518F1">
            <w:pPr>
              <w:spacing w:line="240" w:lineRule="auto"/>
              <w:ind w:firstLine="0"/>
            </w:pPr>
            <w:r w:rsidRPr="004D46AC">
              <w:rPr>
                <w:color w:val="000000"/>
              </w:rPr>
              <w:t>TR18--TR29</w:t>
            </w:r>
          </w:p>
        </w:tc>
        <w:tc>
          <w:tcPr>
            <w:tcW w:w="1704" w:type="dxa"/>
            <w:vAlign w:val="center"/>
          </w:tcPr>
          <w:p w14:paraId="40C7CD43" w14:textId="77777777" w:rsidR="003E095D" w:rsidRPr="004D46AC" w:rsidRDefault="003E095D" w:rsidP="00B518F1">
            <w:pPr>
              <w:spacing w:line="240" w:lineRule="auto"/>
              <w:ind w:firstLine="0"/>
            </w:pPr>
            <w:r w:rsidRPr="004D46AC">
              <w:rPr>
                <w:color w:val="000000"/>
                <w:szCs w:val="21"/>
              </w:rPr>
              <w:t xml:space="preserve">0.45 </w:t>
            </w:r>
          </w:p>
        </w:tc>
        <w:tc>
          <w:tcPr>
            <w:tcW w:w="1704" w:type="dxa"/>
            <w:vAlign w:val="center"/>
          </w:tcPr>
          <w:p w14:paraId="4C1A4C52"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27EEBC7C" w14:textId="77777777" w:rsidR="003E095D" w:rsidRPr="004D46AC" w:rsidRDefault="003E095D" w:rsidP="00B518F1">
            <w:pPr>
              <w:spacing w:line="240" w:lineRule="auto"/>
              <w:ind w:firstLine="0"/>
            </w:pPr>
            <w:r w:rsidRPr="004D46AC">
              <w:rPr>
                <w:color w:val="000000"/>
                <w:szCs w:val="21"/>
              </w:rPr>
              <w:t xml:space="preserve">1.03 </w:t>
            </w:r>
          </w:p>
        </w:tc>
        <w:tc>
          <w:tcPr>
            <w:tcW w:w="1705" w:type="dxa"/>
            <w:vAlign w:val="center"/>
          </w:tcPr>
          <w:p w14:paraId="0CC19A98" w14:textId="77777777" w:rsidR="003E095D" w:rsidRPr="004D46AC" w:rsidRDefault="003E095D" w:rsidP="00B518F1">
            <w:pPr>
              <w:spacing w:line="240" w:lineRule="auto"/>
              <w:ind w:firstLine="0"/>
            </w:pPr>
            <w:r w:rsidRPr="004D46AC">
              <w:rPr>
                <w:color w:val="000000"/>
                <w:szCs w:val="21"/>
              </w:rPr>
              <w:t xml:space="preserve">0.19 </w:t>
            </w:r>
          </w:p>
        </w:tc>
      </w:tr>
      <w:tr w:rsidR="003E095D" w:rsidRPr="004D46AC" w14:paraId="28DE1BE9" w14:textId="77777777" w:rsidTr="00B518F1">
        <w:tc>
          <w:tcPr>
            <w:tcW w:w="1704" w:type="dxa"/>
            <w:vAlign w:val="center"/>
          </w:tcPr>
          <w:p w14:paraId="16BA993B" w14:textId="77777777" w:rsidR="003E095D" w:rsidRPr="004D46AC" w:rsidRDefault="003E095D" w:rsidP="00B518F1">
            <w:pPr>
              <w:spacing w:line="240" w:lineRule="auto"/>
              <w:ind w:firstLine="0"/>
            </w:pPr>
            <w:r w:rsidRPr="004D46AC">
              <w:rPr>
                <w:color w:val="000000"/>
              </w:rPr>
              <w:t>TR19--TR23</w:t>
            </w:r>
          </w:p>
        </w:tc>
        <w:tc>
          <w:tcPr>
            <w:tcW w:w="1704" w:type="dxa"/>
            <w:vAlign w:val="center"/>
          </w:tcPr>
          <w:p w14:paraId="0F9532CB" w14:textId="77777777" w:rsidR="003E095D" w:rsidRPr="004D46AC" w:rsidRDefault="003E095D" w:rsidP="00B518F1">
            <w:pPr>
              <w:spacing w:line="240" w:lineRule="auto"/>
              <w:ind w:firstLine="0"/>
            </w:pPr>
            <w:r w:rsidRPr="004D46AC">
              <w:rPr>
                <w:color w:val="000000"/>
                <w:szCs w:val="21"/>
              </w:rPr>
              <w:t xml:space="preserve">0.45 </w:t>
            </w:r>
          </w:p>
        </w:tc>
        <w:tc>
          <w:tcPr>
            <w:tcW w:w="1704" w:type="dxa"/>
            <w:vAlign w:val="center"/>
          </w:tcPr>
          <w:p w14:paraId="69CA5EB9" w14:textId="77777777" w:rsidR="003E095D" w:rsidRPr="004D46AC" w:rsidRDefault="003E095D" w:rsidP="00B518F1">
            <w:pPr>
              <w:spacing w:line="240" w:lineRule="auto"/>
              <w:ind w:firstLine="0"/>
            </w:pPr>
            <w:r w:rsidRPr="004D46AC">
              <w:rPr>
                <w:color w:val="000000"/>
                <w:szCs w:val="21"/>
              </w:rPr>
              <w:t xml:space="preserve">-0.08 </w:t>
            </w:r>
          </w:p>
        </w:tc>
        <w:tc>
          <w:tcPr>
            <w:tcW w:w="1705" w:type="dxa"/>
            <w:vAlign w:val="center"/>
          </w:tcPr>
          <w:p w14:paraId="13A0DC44" w14:textId="77777777" w:rsidR="003E095D" w:rsidRPr="004D46AC" w:rsidRDefault="003E095D" w:rsidP="00B518F1">
            <w:pPr>
              <w:spacing w:line="240" w:lineRule="auto"/>
              <w:ind w:firstLine="0"/>
            </w:pPr>
            <w:r w:rsidRPr="004D46AC">
              <w:rPr>
                <w:color w:val="000000"/>
                <w:szCs w:val="21"/>
              </w:rPr>
              <w:t xml:space="preserve">0.98 </w:t>
            </w:r>
          </w:p>
        </w:tc>
        <w:tc>
          <w:tcPr>
            <w:tcW w:w="1705" w:type="dxa"/>
            <w:vAlign w:val="center"/>
          </w:tcPr>
          <w:p w14:paraId="1D2ED640" w14:textId="77777777" w:rsidR="003E095D" w:rsidRPr="004D46AC" w:rsidRDefault="003E095D" w:rsidP="00B518F1">
            <w:pPr>
              <w:spacing w:line="240" w:lineRule="auto"/>
              <w:ind w:firstLine="0"/>
            </w:pPr>
            <w:r w:rsidRPr="004D46AC">
              <w:rPr>
                <w:color w:val="000000"/>
                <w:szCs w:val="21"/>
              </w:rPr>
              <w:t xml:space="preserve">0.13 </w:t>
            </w:r>
          </w:p>
        </w:tc>
      </w:tr>
      <w:tr w:rsidR="003E095D" w:rsidRPr="004D46AC" w14:paraId="69477A27" w14:textId="77777777" w:rsidTr="00B518F1">
        <w:tc>
          <w:tcPr>
            <w:tcW w:w="1704" w:type="dxa"/>
            <w:vAlign w:val="center"/>
          </w:tcPr>
          <w:p w14:paraId="6BE17822" w14:textId="77777777" w:rsidR="003E095D" w:rsidRPr="004D46AC" w:rsidRDefault="003E095D" w:rsidP="00B518F1">
            <w:pPr>
              <w:spacing w:line="240" w:lineRule="auto"/>
              <w:ind w:firstLine="0"/>
            </w:pPr>
            <w:r w:rsidRPr="004D46AC">
              <w:rPr>
                <w:color w:val="000000"/>
              </w:rPr>
              <w:t>TR12--TR15</w:t>
            </w:r>
          </w:p>
        </w:tc>
        <w:tc>
          <w:tcPr>
            <w:tcW w:w="1704" w:type="dxa"/>
            <w:vAlign w:val="center"/>
          </w:tcPr>
          <w:p w14:paraId="43CA9CEC" w14:textId="77777777" w:rsidR="003E095D" w:rsidRPr="004D46AC" w:rsidRDefault="003E095D" w:rsidP="00B518F1">
            <w:pPr>
              <w:spacing w:line="240" w:lineRule="auto"/>
              <w:ind w:firstLine="0"/>
            </w:pPr>
            <w:r w:rsidRPr="004D46AC">
              <w:rPr>
                <w:color w:val="000000"/>
                <w:szCs w:val="21"/>
              </w:rPr>
              <w:t xml:space="preserve">0.44 </w:t>
            </w:r>
          </w:p>
        </w:tc>
        <w:tc>
          <w:tcPr>
            <w:tcW w:w="1704" w:type="dxa"/>
            <w:vAlign w:val="center"/>
          </w:tcPr>
          <w:p w14:paraId="4EF2EB37"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583682E2" w14:textId="77777777" w:rsidR="003E095D" w:rsidRPr="004D46AC" w:rsidRDefault="003E095D" w:rsidP="00B518F1">
            <w:pPr>
              <w:spacing w:line="240" w:lineRule="auto"/>
              <w:ind w:firstLine="0"/>
            </w:pPr>
            <w:r w:rsidRPr="004D46AC">
              <w:rPr>
                <w:color w:val="000000"/>
                <w:szCs w:val="21"/>
              </w:rPr>
              <w:t xml:space="preserve">1.00 </w:t>
            </w:r>
          </w:p>
        </w:tc>
        <w:tc>
          <w:tcPr>
            <w:tcW w:w="1705" w:type="dxa"/>
            <w:vAlign w:val="center"/>
          </w:tcPr>
          <w:p w14:paraId="3E47F324" w14:textId="77777777" w:rsidR="003E095D" w:rsidRPr="004D46AC" w:rsidRDefault="003E095D" w:rsidP="00B518F1">
            <w:pPr>
              <w:spacing w:line="240" w:lineRule="auto"/>
              <w:ind w:firstLine="0"/>
            </w:pPr>
            <w:r w:rsidRPr="004D46AC">
              <w:rPr>
                <w:color w:val="000000"/>
                <w:szCs w:val="21"/>
              </w:rPr>
              <w:t xml:space="preserve">0.16 </w:t>
            </w:r>
          </w:p>
        </w:tc>
      </w:tr>
      <w:tr w:rsidR="003E095D" w:rsidRPr="004D46AC" w14:paraId="6BFB33F1" w14:textId="77777777" w:rsidTr="00B518F1">
        <w:tc>
          <w:tcPr>
            <w:tcW w:w="1704" w:type="dxa"/>
            <w:vAlign w:val="center"/>
          </w:tcPr>
          <w:p w14:paraId="76260E58" w14:textId="77777777" w:rsidR="003E095D" w:rsidRPr="004D46AC" w:rsidRDefault="003E095D" w:rsidP="00B518F1">
            <w:pPr>
              <w:spacing w:line="240" w:lineRule="auto"/>
              <w:ind w:firstLine="0"/>
            </w:pPr>
            <w:r w:rsidRPr="004D46AC">
              <w:rPr>
                <w:color w:val="000000"/>
              </w:rPr>
              <w:t>TR17--TR29</w:t>
            </w:r>
          </w:p>
        </w:tc>
        <w:tc>
          <w:tcPr>
            <w:tcW w:w="1704" w:type="dxa"/>
            <w:vAlign w:val="center"/>
          </w:tcPr>
          <w:p w14:paraId="2D01408E" w14:textId="77777777" w:rsidR="003E095D" w:rsidRPr="004D46AC" w:rsidRDefault="003E095D" w:rsidP="00B518F1">
            <w:pPr>
              <w:spacing w:line="240" w:lineRule="auto"/>
              <w:ind w:firstLine="0"/>
            </w:pPr>
            <w:r w:rsidRPr="004D46AC">
              <w:rPr>
                <w:color w:val="000000"/>
                <w:szCs w:val="21"/>
              </w:rPr>
              <w:t xml:space="preserve">0.44 </w:t>
            </w:r>
          </w:p>
        </w:tc>
        <w:tc>
          <w:tcPr>
            <w:tcW w:w="1704" w:type="dxa"/>
            <w:vAlign w:val="center"/>
          </w:tcPr>
          <w:p w14:paraId="2416415C"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04D61BA0" w14:textId="77777777" w:rsidR="003E095D" w:rsidRPr="004D46AC" w:rsidRDefault="003E095D" w:rsidP="00B518F1">
            <w:pPr>
              <w:spacing w:line="240" w:lineRule="auto"/>
              <w:ind w:firstLine="0"/>
            </w:pPr>
            <w:r w:rsidRPr="004D46AC">
              <w:rPr>
                <w:color w:val="000000"/>
                <w:szCs w:val="21"/>
              </w:rPr>
              <w:t xml:space="preserve">1.00 </w:t>
            </w:r>
          </w:p>
        </w:tc>
        <w:tc>
          <w:tcPr>
            <w:tcW w:w="1705" w:type="dxa"/>
            <w:vAlign w:val="center"/>
          </w:tcPr>
          <w:p w14:paraId="24EE7B41" w14:textId="77777777" w:rsidR="003E095D" w:rsidRPr="004D46AC" w:rsidRDefault="003E095D" w:rsidP="00B518F1">
            <w:pPr>
              <w:spacing w:line="240" w:lineRule="auto"/>
              <w:ind w:firstLine="0"/>
            </w:pPr>
            <w:r w:rsidRPr="004D46AC">
              <w:rPr>
                <w:color w:val="000000"/>
                <w:szCs w:val="21"/>
              </w:rPr>
              <w:t xml:space="preserve">0.17 </w:t>
            </w:r>
          </w:p>
        </w:tc>
      </w:tr>
      <w:tr w:rsidR="003E095D" w:rsidRPr="004D46AC" w14:paraId="307A9ACB" w14:textId="77777777" w:rsidTr="00B518F1">
        <w:tc>
          <w:tcPr>
            <w:tcW w:w="1704" w:type="dxa"/>
            <w:vAlign w:val="center"/>
          </w:tcPr>
          <w:p w14:paraId="1F04A1C2" w14:textId="77777777" w:rsidR="003E095D" w:rsidRPr="004D46AC" w:rsidRDefault="003E095D" w:rsidP="00B518F1">
            <w:pPr>
              <w:spacing w:line="240" w:lineRule="auto"/>
              <w:ind w:firstLine="0"/>
            </w:pPr>
            <w:r w:rsidRPr="004D46AC">
              <w:rPr>
                <w:color w:val="000000"/>
              </w:rPr>
              <w:t>TR23--TR24</w:t>
            </w:r>
          </w:p>
        </w:tc>
        <w:tc>
          <w:tcPr>
            <w:tcW w:w="1704" w:type="dxa"/>
            <w:vAlign w:val="center"/>
          </w:tcPr>
          <w:p w14:paraId="0FBE5709" w14:textId="77777777" w:rsidR="003E095D" w:rsidRPr="004D46AC" w:rsidRDefault="003E095D" w:rsidP="00B518F1">
            <w:pPr>
              <w:spacing w:line="240" w:lineRule="auto"/>
              <w:ind w:firstLine="0"/>
            </w:pPr>
            <w:r w:rsidRPr="004D46AC">
              <w:rPr>
                <w:color w:val="000000"/>
                <w:szCs w:val="21"/>
              </w:rPr>
              <w:t xml:space="preserve">0.42 </w:t>
            </w:r>
          </w:p>
        </w:tc>
        <w:tc>
          <w:tcPr>
            <w:tcW w:w="1704" w:type="dxa"/>
            <w:vAlign w:val="center"/>
          </w:tcPr>
          <w:p w14:paraId="141DB9A8" w14:textId="77777777" w:rsidR="003E095D" w:rsidRPr="004D46AC" w:rsidRDefault="003E095D" w:rsidP="00B518F1">
            <w:pPr>
              <w:spacing w:line="240" w:lineRule="auto"/>
              <w:ind w:firstLine="0"/>
            </w:pPr>
            <w:r w:rsidRPr="004D46AC">
              <w:rPr>
                <w:color w:val="000000"/>
                <w:szCs w:val="21"/>
              </w:rPr>
              <w:t xml:space="preserve">-0.09 </w:t>
            </w:r>
          </w:p>
        </w:tc>
        <w:tc>
          <w:tcPr>
            <w:tcW w:w="1705" w:type="dxa"/>
            <w:vAlign w:val="center"/>
          </w:tcPr>
          <w:p w14:paraId="53681D26" w14:textId="77777777" w:rsidR="003E095D" w:rsidRPr="004D46AC" w:rsidRDefault="003E095D" w:rsidP="00B518F1">
            <w:pPr>
              <w:spacing w:line="240" w:lineRule="auto"/>
              <w:ind w:firstLine="0"/>
            </w:pPr>
            <w:r w:rsidRPr="004D46AC">
              <w:rPr>
                <w:color w:val="000000"/>
                <w:szCs w:val="21"/>
              </w:rPr>
              <w:t xml:space="preserve">0.94 </w:t>
            </w:r>
          </w:p>
        </w:tc>
        <w:tc>
          <w:tcPr>
            <w:tcW w:w="1705" w:type="dxa"/>
            <w:vAlign w:val="center"/>
          </w:tcPr>
          <w:p w14:paraId="5C3320B5" w14:textId="77777777" w:rsidR="003E095D" w:rsidRPr="004D46AC" w:rsidRDefault="003E095D" w:rsidP="00B518F1">
            <w:pPr>
              <w:spacing w:line="240" w:lineRule="auto"/>
              <w:ind w:firstLine="0"/>
            </w:pPr>
            <w:r w:rsidRPr="004D46AC">
              <w:rPr>
                <w:color w:val="000000"/>
                <w:szCs w:val="21"/>
              </w:rPr>
              <w:t xml:space="preserve">0.16 </w:t>
            </w:r>
          </w:p>
        </w:tc>
      </w:tr>
      <w:tr w:rsidR="003E095D" w:rsidRPr="004D46AC" w14:paraId="21DE6A6F" w14:textId="77777777" w:rsidTr="00B518F1">
        <w:tc>
          <w:tcPr>
            <w:tcW w:w="1704" w:type="dxa"/>
            <w:vAlign w:val="center"/>
          </w:tcPr>
          <w:p w14:paraId="6A912BD2" w14:textId="77777777" w:rsidR="003E095D" w:rsidRPr="004D46AC" w:rsidRDefault="003E095D" w:rsidP="00B518F1">
            <w:pPr>
              <w:spacing w:line="240" w:lineRule="auto"/>
              <w:ind w:firstLine="0"/>
            </w:pPr>
            <w:r w:rsidRPr="004D46AC">
              <w:rPr>
                <w:color w:val="000000"/>
              </w:rPr>
              <w:t>TR7--TR21</w:t>
            </w:r>
          </w:p>
        </w:tc>
        <w:tc>
          <w:tcPr>
            <w:tcW w:w="1704" w:type="dxa"/>
            <w:vAlign w:val="center"/>
          </w:tcPr>
          <w:p w14:paraId="5E4AFB77" w14:textId="77777777" w:rsidR="003E095D" w:rsidRPr="004D46AC" w:rsidRDefault="003E095D" w:rsidP="00B518F1">
            <w:pPr>
              <w:spacing w:line="240" w:lineRule="auto"/>
              <w:ind w:firstLine="0"/>
            </w:pPr>
            <w:r w:rsidRPr="004D46AC">
              <w:rPr>
                <w:color w:val="000000"/>
                <w:szCs w:val="21"/>
              </w:rPr>
              <w:t xml:space="preserve">0.42 </w:t>
            </w:r>
          </w:p>
        </w:tc>
        <w:tc>
          <w:tcPr>
            <w:tcW w:w="1704" w:type="dxa"/>
            <w:vAlign w:val="center"/>
          </w:tcPr>
          <w:p w14:paraId="7D9DFECF"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314551B2" w14:textId="77777777" w:rsidR="003E095D" w:rsidRPr="004D46AC" w:rsidRDefault="003E095D" w:rsidP="00B518F1">
            <w:pPr>
              <w:spacing w:line="240" w:lineRule="auto"/>
              <w:ind w:firstLine="0"/>
            </w:pPr>
            <w:r w:rsidRPr="004D46AC">
              <w:rPr>
                <w:color w:val="000000"/>
                <w:szCs w:val="21"/>
              </w:rPr>
              <w:t xml:space="preserve">1.01 </w:t>
            </w:r>
          </w:p>
        </w:tc>
        <w:tc>
          <w:tcPr>
            <w:tcW w:w="1705" w:type="dxa"/>
            <w:vAlign w:val="center"/>
          </w:tcPr>
          <w:p w14:paraId="4B5BF54D" w14:textId="77777777" w:rsidR="003E095D" w:rsidRPr="004D46AC" w:rsidRDefault="003E095D" w:rsidP="00B518F1">
            <w:pPr>
              <w:spacing w:line="240" w:lineRule="auto"/>
              <w:ind w:firstLine="0"/>
            </w:pPr>
            <w:r w:rsidRPr="004D46AC">
              <w:rPr>
                <w:color w:val="000000"/>
                <w:szCs w:val="21"/>
              </w:rPr>
              <w:t xml:space="preserve">0.14 </w:t>
            </w:r>
          </w:p>
        </w:tc>
      </w:tr>
      <w:tr w:rsidR="003E095D" w:rsidRPr="004D46AC" w14:paraId="5B982C24" w14:textId="77777777" w:rsidTr="00B518F1">
        <w:tc>
          <w:tcPr>
            <w:tcW w:w="1704" w:type="dxa"/>
            <w:vAlign w:val="center"/>
          </w:tcPr>
          <w:p w14:paraId="6CA5E788" w14:textId="77777777" w:rsidR="003E095D" w:rsidRPr="004D46AC" w:rsidRDefault="003E095D" w:rsidP="00B518F1">
            <w:pPr>
              <w:spacing w:line="240" w:lineRule="auto"/>
              <w:ind w:firstLine="0"/>
            </w:pPr>
            <w:r w:rsidRPr="004D46AC">
              <w:rPr>
                <w:color w:val="000000"/>
              </w:rPr>
              <w:t>TR21--TR17</w:t>
            </w:r>
          </w:p>
        </w:tc>
        <w:tc>
          <w:tcPr>
            <w:tcW w:w="1704" w:type="dxa"/>
            <w:vAlign w:val="center"/>
          </w:tcPr>
          <w:p w14:paraId="33B049FD" w14:textId="77777777" w:rsidR="003E095D" w:rsidRPr="004D46AC" w:rsidRDefault="003E095D" w:rsidP="00B518F1">
            <w:pPr>
              <w:spacing w:line="240" w:lineRule="auto"/>
              <w:ind w:firstLine="0"/>
            </w:pPr>
            <w:r w:rsidRPr="004D46AC">
              <w:rPr>
                <w:color w:val="000000"/>
                <w:szCs w:val="21"/>
              </w:rPr>
              <w:t xml:space="preserve">0.41 </w:t>
            </w:r>
          </w:p>
        </w:tc>
        <w:tc>
          <w:tcPr>
            <w:tcW w:w="1704" w:type="dxa"/>
            <w:vAlign w:val="center"/>
          </w:tcPr>
          <w:p w14:paraId="0D1332E0"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34936530" w14:textId="77777777" w:rsidR="003E095D" w:rsidRPr="004D46AC" w:rsidRDefault="003E095D" w:rsidP="00B518F1">
            <w:pPr>
              <w:spacing w:line="240" w:lineRule="auto"/>
              <w:ind w:firstLine="0"/>
            </w:pPr>
            <w:r w:rsidRPr="004D46AC">
              <w:rPr>
                <w:color w:val="000000"/>
                <w:szCs w:val="21"/>
              </w:rPr>
              <w:t xml:space="preserve">0.96 </w:t>
            </w:r>
          </w:p>
        </w:tc>
        <w:tc>
          <w:tcPr>
            <w:tcW w:w="1705" w:type="dxa"/>
            <w:vAlign w:val="center"/>
          </w:tcPr>
          <w:p w14:paraId="159DA38E" w14:textId="77777777" w:rsidR="003E095D" w:rsidRPr="004D46AC" w:rsidRDefault="003E095D" w:rsidP="00B518F1">
            <w:pPr>
              <w:spacing w:line="240" w:lineRule="auto"/>
              <w:ind w:firstLine="0"/>
            </w:pPr>
            <w:r w:rsidRPr="004D46AC">
              <w:rPr>
                <w:color w:val="000000"/>
                <w:szCs w:val="21"/>
              </w:rPr>
              <w:t xml:space="preserve">0.11 </w:t>
            </w:r>
          </w:p>
        </w:tc>
      </w:tr>
      <w:tr w:rsidR="003E095D" w:rsidRPr="004D46AC" w14:paraId="13DE4004" w14:textId="77777777" w:rsidTr="00B518F1">
        <w:tc>
          <w:tcPr>
            <w:tcW w:w="1704" w:type="dxa"/>
            <w:vAlign w:val="center"/>
          </w:tcPr>
          <w:p w14:paraId="77E24BB3" w14:textId="77777777" w:rsidR="003E095D" w:rsidRPr="004D46AC" w:rsidRDefault="003E095D" w:rsidP="00B518F1">
            <w:pPr>
              <w:spacing w:line="240" w:lineRule="auto"/>
              <w:ind w:firstLine="0"/>
            </w:pPr>
            <w:r w:rsidRPr="004D46AC">
              <w:rPr>
                <w:color w:val="000000"/>
              </w:rPr>
              <w:t>TR24--TR34</w:t>
            </w:r>
          </w:p>
        </w:tc>
        <w:tc>
          <w:tcPr>
            <w:tcW w:w="1704" w:type="dxa"/>
            <w:vAlign w:val="center"/>
          </w:tcPr>
          <w:p w14:paraId="3F7EFE13" w14:textId="77777777" w:rsidR="003E095D" w:rsidRPr="004D46AC" w:rsidRDefault="003E095D" w:rsidP="00B518F1">
            <w:pPr>
              <w:spacing w:line="240" w:lineRule="auto"/>
              <w:ind w:firstLine="0"/>
            </w:pPr>
            <w:r w:rsidRPr="004D46AC">
              <w:rPr>
                <w:color w:val="000000"/>
                <w:szCs w:val="21"/>
              </w:rPr>
              <w:t xml:space="preserve">0.38 </w:t>
            </w:r>
          </w:p>
        </w:tc>
        <w:tc>
          <w:tcPr>
            <w:tcW w:w="1704" w:type="dxa"/>
            <w:vAlign w:val="center"/>
          </w:tcPr>
          <w:p w14:paraId="05E5F60C"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621CE759" w14:textId="77777777" w:rsidR="003E095D" w:rsidRPr="004D46AC" w:rsidRDefault="003E095D" w:rsidP="00B518F1">
            <w:pPr>
              <w:spacing w:line="240" w:lineRule="auto"/>
              <w:ind w:firstLine="0"/>
            </w:pPr>
            <w:r w:rsidRPr="004D46AC">
              <w:rPr>
                <w:color w:val="000000"/>
                <w:szCs w:val="21"/>
              </w:rPr>
              <w:t xml:space="preserve">0.90 </w:t>
            </w:r>
          </w:p>
        </w:tc>
        <w:tc>
          <w:tcPr>
            <w:tcW w:w="1705" w:type="dxa"/>
            <w:vAlign w:val="center"/>
          </w:tcPr>
          <w:p w14:paraId="09E43BFE" w14:textId="77777777" w:rsidR="003E095D" w:rsidRPr="004D46AC" w:rsidRDefault="003E095D" w:rsidP="00B518F1">
            <w:pPr>
              <w:spacing w:line="240" w:lineRule="auto"/>
              <w:ind w:firstLine="0"/>
            </w:pPr>
            <w:r w:rsidRPr="004D46AC">
              <w:rPr>
                <w:color w:val="000000"/>
                <w:szCs w:val="21"/>
              </w:rPr>
              <w:t xml:space="preserve">0.22 </w:t>
            </w:r>
          </w:p>
        </w:tc>
      </w:tr>
      <w:tr w:rsidR="003E095D" w:rsidRPr="004D46AC" w14:paraId="1CDAD856" w14:textId="77777777" w:rsidTr="00B518F1">
        <w:tc>
          <w:tcPr>
            <w:tcW w:w="1704" w:type="dxa"/>
            <w:vAlign w:val="center"/>
          </w:tcPr>
          <w:p w14:paraId="504A8A88" w14:textId="77777777" w:rsidR="003E095D" w:rsidRPr="004D46AC" w:rsidRDefault="003E095D" w:rsidP="00B518F1">
            <w:pPr>
              <w:spacing w:line="240" w:lineRule="auto"/>
              <w:ind w:firstLine="0"/>
            </w:pPr>
            <w:r w:rsidRPr="004D46AC">
              <w:rPr>
                <w:color w:val="000000"/>
              </w:rPr>
              <w:t>TR21--TR24</w:t>
            </w:r>
          </w:p>
        </w:tc>
        <w:tc>
          <w:tcPr>
            <w:tcW w:w="1704" w:type="dxa"/>
            <w:vAlign w:val="center"/>
          </w:tcPr>
          <w:p w14:paraId="56B15C45" w14:textId="77777777" w:rsidR="003E095D" w:rsidRPr="004D46AC" w:rsidRDefault="003E095D" w:rsidP="00B518F1">
            <w:pPr>
              <w:spacing w:line="240" w:lineRule="auto"/>
              <w:ind w:firstLine="0"/>
            </w:pPr>
            <w:r w:rsidRPr="004D46AC">
              <w:rPr>
                <w:color w:val="000000"/>
                <w:szCs w:val="21"/>
              </w:rPr>
              <w:t xml:space="preserve">0.36 </w:t>
            </w:r>
          </w:p>
        </w:tc>
        <w:tc>
          <w:tcPr>
            <w:tcW w:w="1704" w:type="dxa"/>
            <w:vAlign w:val="center"/>
          </w:tcPr>
          <w:p w14:paraId="6D2DAD3D"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0C5BE5C3" w14:textId="77777777" w:rsidR="003E095D" w:rsidRPr="004D46AC" w:rsidRDefault="003E095D" w:rsidP="00B518F1">
            <w:pPr>
              <w:spacing w:line="240" w:lineRule="auto"/>
              <w:ind w:firstLine="0"/>
            </w:pPr>
            <w:r w:rsidRPr="004D46AC">
              <w:rPr>
                <w:color w:val="000000"/>
                <w:szCs w:val="21"/>
              </w:rPr>
              <w:t xml:space="preserve">0.85 </w:t>
            </w:r>
          </w:p>
        </w:tc>
        <w:tc>
          <w:tcPr>
            <w:tcW w:w="1705" w:type="dxa"/>
            <w:vAlign w:val="center"/>
          </w:tcPr>
          <w:p w14:paraId="3C8A3332" w14:textId="77777777" w:rsidR="003E095D" w:rsidRPr="004D46AC" w:rsidRDefault="003E095D" w:rsidP="00B518F1">
            <w:pPr>
              <w:spacing w:line="240" w:lineRule="auto"/>
              <w:ind w:firstLine="0"/>
            </w:pPr>
            <w:r w:rsidRPr="004D46AC">
              <w:rPr>
                <w:color w:val="000000"/>
                <w:szCs w:val="21"/>
              </w:rPr>
              <w:t xml:space="preserve">0.24 </w:t>
            </w:r>
          </w:p>
        </w:tc>
      </w:tr>
      <w:tr w:rsidR="003E095D" w:rsidRPr="004D46AC" w14:paraId="2FB1D199" w14:textId="77777777" w:rsidTr="00B518F1">
        <w:tc>
          <w:tcPr>
            <w:tcW w:w="1704" w:type="dxa"/>
            <w:vAlign w:val="center"/>
          </w:tcPr>
          <w:p w14:paraId="12AA268C" w14:textId="77777777" w:rsidR="003E095D" w:rsidRPr="004D46AC" w:rsidRDefault="003E095D" w:rsidP="00B518F1">
            <w:pPr>
              <w:spacing w:line="240" w:lineRule="auto"/>
              <w:ind w:firstLine="0"/>
            </w:pPr>
            <w:r w:rsidRPr="004D46AC">
              <w:rPr>
                <w:color w:val="000000"/>
              </w:rPr>
              <w:t>TR6--TR30</w:t>
            </w:r>
          </w:p>
        </w:tc>
        <w:tc>
          <w:tcPr>
            <w:tcW w:w="1704" w:type="dxa"/>
            <w:vAlign w:val="center"/>
          </w:tcPr>
          <w:p w14:paraId="24959164" w14:textId="77777777" w:rsidR="003E095D" w:rsidRPr="004D46AC" w:rsidRDefault="003E095D" w:rsidP="00B518F1">
            <w:pPr>
              <w:spacing w:line="240" w:lineRule="auto"/>
              <w:ind w:firstLine="0"/>
            </w:pPr>
            <w:r w:rsidRPr="004D46AC">
              <w:rPr>
                <w:color w:val="000000"/>
                <w:szCs w:val="21"/>
              </w:rPr>
              <w:t xml:space="preserve">0.35 </w:t>
            </w:r>
          </w:p>
        </w:tc>
        <w:tc>
          <w:tcPr>
            <w:tcW w:w="1704" w:type="dxa"/>
            <w:vAlign w:val="center"/>
          </w:tcPr>
          <w:p w14:paraId="18F77C93"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6972E5AC" w14:textId="77777777" w:rsidR="003E095D" w:rsidRPr="004D46AC" w:rsidRDefault="003E095D" w:rsidP="00B518F1">
            <w:pPr>
              <w:spacing w:line="240" w:lineRule="auto"/>
              <w:ind w:firstLine="0"/>
            </w:pPr>
            <w:r w:rsidRPr="004D46AC">
              <w:rPr>
                <w:color w:val="000000"/>
                <w:szCs w:val="21"/>
              </w:rPr>
              <w:t xml:space="preserve">0.86 </w:t>
            </w:r>
          </w:p>
        </w:tc>
        <w:tc>
          <w:tcPr>
            <w:tcW w:w="1705" w:type="dxa"/>
            <w:vAlign w:val="center"/>
          </w:tcPr>
          <w:p w14:paraId="77E1E241" w14:textId="77777777" w:rsidR="003E095D" w:rsidRPr="004D46AC" w:rsidRDefault="003E095D" w:rsidP="00B518F1">
            <w:pPr>
              <w:spacing w:line="240" w:lineRule="auto"/>
              <w:ind w:firstLine="0"/>
            </w:pPr>
            <w:r w:rsidRPr="004D46AC">
              <w:rPr>
                <w:color w:val="000000"/>
                <w:szCs w:val="21"/>
              </w:rPr>
              <w:t xml:space="preserve">0.26 </w:t>
            </w:r>
          </w:p>
        </w:tc>
      </w:tr>
      <w:tr w:rsidR="003E095D" w:rsidRPr="004D46AC" w14:paraId="05AC08BB" w14:textId="77777777" w:rsidTr="00B518F1">
        <w:tc>
          <w:tcPr>
            <w:tcW w:w="1704" w:type="dxa"/>
            <w:vAlign w:val="center"/>
          </w:tcPr>
          <w:p w14:paraId="53C2A955" w14:textId="77777777" w:rsidR="003E095D" w:rsidRPr="004D46AC" w:rsidRDefault="003E095D" w:rsidP="00B518F1">
            <w:pPr>
              <w:spacing w:line="240" w:lineRule="auto"/>
              <w:ind w:firstLine="0"/>
            </w:pPr>
            <w:r w:rsidRPr="004D46AC">
              <w:rPr>
                <w:color w:val="000000"/>
              </w:rPr>
              <w:t>TR26--TR30</w:t>
            </w:r>
          </w:p>
        </w:tc>
        <w:tc>
          <w:tcPr>
            <w:tcW w:w="1704" w:type="dxa"/>
            <w:vAlign w:val="center"/>
          </w:tcPr>
          <w:p w14:paraId="6DE6F80B" w14:textId="77777777" w:rsidR="003E095D" w:rsidRPr="004D46AC" w:rsidRDefault="003E095D" w:rsidP="00B518F1">
            <w:pPr>
              <w:spacing w:line="240" w:lineRule="auto"/>
              <w:ind w:firstLine="0"/>
            </w:pPr>
            <w:r w:rsidRPr="004D46AC">
              <w:rPr>
                <w:color w:val="000000"/>
                <w:szCs w:val="21"/>
              </w:rPr>
              <w:t xml:space="preserve">0.33 </w:t>
            </w:r>
          </w:p>
        </w:tc>
        <w:tc>
          <w:tcPr>
            <w:tcW w:w="1704" w:type="dxa"/>
            <w:vAlign w:val="center"/>
          </w:tcPr>
          <w:p w14:paraId="50C6B9DA" w14:textId="77777777" w:rsidR="003E095D" w:rsidRPr="004D46AC" w:rsidRDefault="003E095D" w:rsidP="00B518F1">
            <w:pPr>
              <w:spacing w:line="240" w:lineRule="auto"/>
              <w:ind w:firstLine="0"/>
            </w:pPr>
            <w:r w:rsidRPr="004D46AC">
              <w:rPr>
                <w:color w:val="000000"/>
                <w:szCs w:val="21"/>
              </w:rPr>
              <w:t xml:space="preserve">-0.17 </w:t>
            </w:r>
          </w:p>
        </w:tc>
        <w:tc>
          <w:tcPr>
            <w:tcW w:w="1705" w:type="dxa"/>
            <w:vAlign w:val="center"/>
          </w:tcPr>
          <w:p w14:paraId="72D4C3C6" w14:textId="77777777" w:rsidR="003E095D" w:rsidRPr="004D46AC" w:rsidRDefault="003E095D" w:rsidP="00B518F1">
            <w:pPr>
              <w:spacing w:line="240" w:lineRule="auto"/>
              <w:ind w:firstLine="0"/>
            </w:pPr>
            <w:r w:rsidRPr="004D46AC">
              <w:rPr>
                <w:color w:val="000000"/>
                <w:szCs w:val="21"/>
              </w:rPr>
              <w:t xml:space="preserve">0.84 </w:t>
            </w:r>
          </w:p>
        </w:tc>
        <w:tc>
          <w:tcPr>
            <w:tcW w:w="1705" w:type="dxa"/>
            <w:vAlign w:val="center"/>
          </w:tcPr>
          <w:p w14:paraId="67676C20" w14:textId="77777777" w:rsidR="003E095D" w:rsidRPr="004D46AC" w:rsidRDefault="003E095D" w:rsidP="00B518F1">
            <w:pPr>
              <w:spacing w:line="240" w:lineRule="auto"/>
              <w:ind w:firstLine="0"/>
            </w:pPr>
            <w:r w:rsidRPr="004D46AC">
              <w:rPr>
                <w:color w:val="000000"/>
                <w:szCs w:val="21"/>
              </w:rPr>
              <w:t xml:space="preserve">0.27 </w:t>
            </w:r>
          </w:p>
        </w:tc>
      </w:tr>
      <w:tr w:rsidR="003E095D" w:rsidRPr="004D46AC" w14:paraId="46190DCD" w14:textId="77777777" w:rsidTr="00B518F1">
        <w:tc>
          <w:tcPr>
            <w:tcW w:w="1704" w:type="dxa"/>
            <w:vAlign w:val="center"/>
          </w:tcPr>
          <w:p w14:paraId="33D7A023" w14:textId="77777777" w:rsidR="003E095D" w:rsidRPr="004D46AC" w:rsidRDefault="003E095D" w:rsidP="00B518F1">
            <w:pPr>
              <w:spacing w:line="240" w:lineRule="auto"/>
              <w:ind w:firstLine="0"/>
            </w:pPr>
            <w:r w:rsidRPr="004D46AC">
              <w:rPr>
                <w:color w:val="000000"/>
              </w:rPr>
              <w:t>TR12--TR23</w:t>
            </w:r>
          </w:p>
        </w:tc>
        <w:tc>
          <w:tcPr>
            <w:tcW w:w="1704" w:type="dxa"/>
            <w:vAlign w:val="center"/>
          </w:tcPr>
          <w:p w14:paraId="72272D03" w14:textId="77777777" w:rsidR="003E095D" w:rsidRPr="004D46AC" w:rsidRDefault="003E095D" w:rsidP="00B518F1">
            <w:pPr>
              <w:spacing w:line="240" w:lineRule="auto"/>
              <w:ind w:firstLine="0"/>
            </w:pPr>
            <w:r w:rsidRPr="004D46AC">
              <w:rPr>
                <w:color w:val="000000"/>
                <w:szCs w:val="21"/>
              </w:rPr>
              <w:t xml:space="preserve">0.33 </w:t>
            </w:r>
          </w:p>
        </w:tc>
        <w:tc>
          <w:tcPr>
            <w:tcW w:w="1704" w:type="dxa"/>
            <w:vAlign w:val="center"/>
          </w:tcPr>
          <w:p w14:paraId="63F6C52C"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0CF71735" w14:textId="77777777" w:rsidR="003E095D" w:rsidRPr="004D46AC" w:rsidRDefault="003E095D" w:rsidP="00B518F1">
            <w:pPr>
              <w:spacing w:line="240" w:lineRule="auto"/>
              <w:ind w:firstLine="0"/>
            </w:pPr>
            <w:r w:rsidRPr="004D46AC">
              <w:rPr>
                <w:color w:val="000000"/>
                <w:szCs w:val="21"/>
              </w:rPr>
              <w:t xml:space="preserve">0.84 </w:t>
            </w:r>
          </w:p>
        </w:tc>
        <w:tc>
          <w:tcPr>
            <w:tcW w:w="1705" w:type="dxa"/>
            <w:vAlign w:val="center"/>
          </w:tcPr>
          <w:p w14:paraId="7E420725" w14:textId="77777777" w:rsidR="003E095D" w:rsidRPr="004D46AC" w:rsidRDefault="003E095D" w:rsidP="00B518F1">
            <w:pPr>
              <w:spacing w:line="240" w:lineRule="auto"/>
              <w:ind w:firstLine="0"/>
            </w:pPr>
            <w:r w:rsidRPr="004D46AC">
              <w:rPr>
                <w:color w:val="000000"/>
                <w:szCs w:val="21"/>
              </w:rPr>
              <w:t xml:space="preserve">0.37 </w:t>
            </w:r>
          </w:p>
        </w:tc>
      </w:tr>
      <w:tr w:rsidR="003E095D" w:rsidRPr="004D46AC" w14:paraId="333AFF0A" w14:textId="77777777" w:rsidTr="00B518F1">
        <w:tc>
          <w:tcPr>
            <w:tcW w:w="1704" w:type="dxa"/>
            <w:vAlign w:val="center"/>
          </w:tcPr>
          <w:p w14:paraId="4A3358F3" w14:textId="77777777" w:rsidR="003E095D" w:rsidRPr="004D46AC" w:rsidRDefault="003E095D" w:rsidP="00B518F1">
            <w:pPr>
              <w:spacing w:line="240" w:lineRule="auto"/>
              <w:ind w:firstLine="0"/>
            </w:pPr>
            <w:r w:rsidRPr="004D46AC">
              <w:rPr>
                <w:color w:val="000000"/>
              </w:rPr>
              <w:t>TR34--TR33</w:t>
            </w:r>
          </w:p>
        </w:tc>
        <w:tc>
          <w:tcPr>
            <w:tcW w:w="1704" w:type="dxa"/>
            <w:vAlign w:val="center"/>
          </w:tcPr>
          <w:p w14:paraId="2EE83633" w14:textId="77777777" w:rsidR="003E095D" w:rsidRPr="004D46AC" w:rsidRDefault="003E095D" w:rsidP="00B518F1">
            <w:pPr>
              <w:spacing w:line="240" w:lineRule="auto"/>
              <w:ind w:firstLine="0"/>
            </w:pPr>
            <w:r w:rsidRPr="004D46AC">
              <w:rPr>
                <w:color w:val="000000"/>
                <w:szCs w:val="21"/>
              </w:rPr>
              <w:t xml:space="preserve">0.30 </w:t>
            </w:r>
          </w:p>
        </w:tc>
        <w:tc>
          <w:tcPr>
            <w:tcW w:w="1704" w:type="dxa"/>
            <w:vAlign w:val="center"/>
          </w:tcPr>
          <w:p w14:paraId="1D7406CA"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07353912" w14:textId="77777777" w:rsidR="003E095D" w:rsidRPr="004D46AC" w:rsidRDefault="003E095D" w:rsidP="00B518F1">
            <w:pPr>
              <w:spacing w:line="240" w:lineRule="auto"/>
              <w:ind w:firstLine="0"/>
            </w:pPr>
            <w:r w:rsidRPr="004D46AC">
              <w:rPr>
                <w:color w:val="000000"/>
                <w:szCs w:val="21"/>
              </w:rPr>
              <w:t xml:space="preserve">0.82 </w:t>
            </w:r>
          </w:p>
        </w:tc>
        <w:tc>
          <w:tcPr>
            <w:tcW w:w="1705" w:type="dxa"/>
            <w:vAlign w:val="center"/>
          </w:tcPr>
          <w:p w14:paraId="1FDB182B" w14:textId="77777777" w:rsidR="003E095D" w:rsidRPr="004D46AC" w:rsidRDefault="003E095D" w:rsidP="00B518F1">
            <w:pPr>
              <w:spacing w:line="240" w:lineRule="auto"/>
              <w:ind w:firstLine="0"/>
            </w:pPr>
            <w:r w:rsidRPr="004D46AC">
              <w:rPr>
                <w:color w:val="000000"/>
                <w:szCs w:val="21"/>
              </w:rPr>
              <w:t xml:space="preserve">0.34 </w:t>
            </w:r>
          </w:p>
        </w:tc>
      </w:tr>
      <w:tr w:rsidR="003E095D" w:rsidRPr="004D46AC" w14:paraId="1C849610" w14:textId="77777777" w:rsidTr="00B518F1">
        <w:tc>
          <w:tcPr>
            <w:tcW w:w="1704" w:type="dxa"/>
            <w:vAlign w:val="center"/>
          </w:tcPr>
          <w:p w14:paraId="7956FF2B" w14:textId="77777777" w:rsidR="003E095D" w:rsidRPr="004D46AC" w:rsidRDefault="003E095D" w:rsidP="00B518F1">
            <w:pPr>
              <w:spacing w:line="240" w:lineRule="auto"/>
              <w:ind w:firstLine="0"/>
            </w:pPr>
            <w:r w:rsidRPr="004D46AC">
              <w:rPr>
                <w:color w:val="000000"/>
              </w:rPr>
              <w:t>TR19--TR18</w:t>
            </w:r>
          </w:p>
        </w:tc>
        <w:tc>
          <w:tcPr>
            <w:tcW w:w="1704" w:type="dxa"/>
            <w:vAlign w:val="center"/>
          </w:tcPr>
          <w:p w14:paraId="1987FAFA" w14:textId="77777777" w:rsidR="003E095D" w:rsidRPr="004D46AC" w:rsidRDefault="003E095D" w:rsidP="00B518F1">
            <w:pPr>
              <w:spacing w:line="240" w:lineRule="auto"/>
              <w:ind w:firstLine="0"/>
            </w:pPr>
            <w:r w:rsidRPr="004D46AC">
              <w:rPr>
                <w:color w:val="000000"/>
                <w:szCs w:val="21"/>
              </w:rPr>
              <w:t xml:space="preserve">0.30 </w:t>
            </w:r>
          </w:p>
        </w:tc>
        <w:tc>
          <w:tcPr>
            <w:tcW w:w="1704" w:type="dxa"/>
            <w:vAlign w:val="center"/>
          </w:tcPr>
          <w:p w14:paraId="10B40118" w14:textId="77777777" w:rsidR="003E095D" w:rsidRPr="004D46AC" w:rsidRDefault="003E095D" w:rsidP="00B518F1">
            <w:pPr>
              <w:spacing w:line="240" w:lineRule="auto"/>
              <w:ind w:firstLine="0"/>
            </w:pPr>
            <w:r w:rsidRPr="004D46AC">
              <w:rPr>
                <w:color w:val="000000"/>
                <w:szCs w:val="21"/>
              </w:rPr>
              <w:t xml:space="preserve">-0.25 </w:t>
            </w:r>
          </w:p>
        </w:tc>
        <w:tc>
          <w:tcPr>
            <w:tcW w:w="1705" w:type="dxa"/>
            <w:vAlign w:val="center"/>
          </w:tcPr>
          <w:p w14:paraId="649AB901" w14:textId="77777777" w:rsidR="003E095D" w:rsidRPr="004D46AC" w:rsidRDefault="003E095D" w:rsidP="00B518F1">
            <w:pPr>
              <w:spacing w:line="240" w:lineRule="auto"/>
              <w:ind w:firstLine="0"/>
            </w:pPr>
            <w:r w:rsidRPr="004D46AC">
              <w:rPr>
                <w:color w:val="000000"/>
                <w:szCs w:val="21"/>
              </w:rPr>
              <w:t xml:space="preserve">0.85 </w:t>
            </w:r>
          </w:p>
        </w:tc>
        <w:tc>
          <w:tcPr>
            <w:tcW w:w="1705" w:type="dxa"/>
            <w:vAlign w:val="center"/>
          </w:tcPr>
          <w:p w14:paraId="1EB8398D" w14:textId="77777777" w:rsidR="003E095D" w:rsidRPr="004D46AC" w:rsidRDefault="003E095D" w:rsidP="00B518F1">
            <w:pPr>
              <w:spacing w:line="240" w:lineRule="auto"/>
              <w:ind w:firstLine="0"/>
            </w:pPr>
            <w:r w:rsidRPr="004D46AC">
              <w:rPr>
                <w:color w:val="000000"/>
                <w:szCs w:val="21"/>
              </w:rPr>
              <w:t xml:space="preserve">0.34 </w:t>
            </w:r>
          </w:p>
        </w:tc>
      </w:tr>
      <w:tr w:rsidR="003E095D" w:rsidRPr="004D46AC" w14:paraId="2704C437" w14:textId="77777777" w:rsidTr="00B518F1">
        <w:tc>
          <w:tcPr>
            <w:tcW w:w="1704" w:type="dxa"/>
            <w:vAlign w:val="center"/>
          </w:tcPr>
          <w:p w14:paraId="257DB45D" w14:textId="77777777" w:rsidR="003E095D" w:rsidRPr="004D46AC" w:rsidRDefault="003E095D" w:rsidP="00B518F1">
            <w:pPr>
              <w:spacing w:line="240" w:lineRule="auto"/>
              <w:ind w:firstLine="0"/>
            </w:pPr>
            <w:r w:rsidRPr="004D46AC">
              <w:rPr>
                <w:color w:val="000000"/>
              </w:rPr>
              <w:t>TR14--TR22</w:t>
            </w:r>
          </w:p>
        </w:tc>
        <w:tc>
          <w:tcPr>
            <w:tcW w:w="1704" w:type="dxa"/>
            <w:vAlign w:val="center"/>
          </w:tcPr>
          <w:p w14:paraId="627D1160" w14:textId="77777777" w:rsidR="003E095D" w:rsidRPr="004D46AC" w:rsidRDefault="003E095D" w:rsidP="00B518F1">
            <w:pPr>
              <w:spacing w:line="240" w:lineRule="auto"/>
              <w:ind w:firstLine="0"/>
            </w:pPr>
            <w:r w:rsidRPr="004D46AC">
              <w:rPr>
                <w:color w:val="000000"/>
                <w:szCs w:val="21"/>
              </w:rPr>
              <w:t xml:space="preserve">0.29 </w:t>
            </w:r>
          </w:p>
        </w:tc>
        <w:tc>
          <w:tcPr>
            <w:tcW w:w="1704" w:type="dxa"/>
            <w:vAlign w:val="center"/>
          </w:tcPr>
          <w:p w14:paraId="7310758D" w14:textId="77777777" w:rsidR="003E095D" w:rsidRPr="004D46AC" w:rsidRDefault="003E095D" w:rsidP="00B518F1">
            <w:pPr>
              <w:spacing w:line="240" w:lineRule="auto"/>
              <w:ind w:firstLine="0"/>
            </w:pPr>
            <w:r w:rsidRPr="004D46AC">
              <w:rPr>
                <w:color w:val="000000"/>
                <w:szCs w:val="21"/>
              </w:rPr>
              <w:t xml:space="preserve">-0.26 </w:t>
            </w:r>
          </w:p>
        </w:tc>
        <w:tc>
          <w:tcPr>
            <w:tcW w:w="1705" w:type="dxa"/>
            <w:vAlign w:val="center"/>
          </w:tcPr>
          <w:p w14:paraId="597A8EB8" w14:textId="77777777" w:rsidR="003E095D" w:rsidRPr="004D46AC" w:rsidRDefault="003E095D" w:rsidP="00B518F1">
            <w:pPr>
              <w:spacing w:line="240" w:lineRule="auto"/>
              <w:ind w:firstLine="0"/>
            </w:pPr>
            <w:r w:rsidRPr="004D46AC">
              <w:rPr>
                <w:color w:val="000000"/>
                <w:szCs w:val="21"/>
              </w:rPr>
              <w:t xml:space="preserve">0.84 </w:t>
            </w:r>
          </w:p>
        </w:tc>
        <w:tc>
          <w:tcPr>
            <w:tcW w:w="1705" w:type="dxa"/>
            <w:vAlign w:val="center"/>
          </w:tcPr>
          <w:p w14:paraId="4DC20348" w14:textId="77777777" w:rsidR="003E095D" w:rsidRPr="004D46AC" w:rsidRDefault="003E095D" w:rsidP="00B518F1">
            <w:pPr>
              <w:spacing w:line="240" w:lineRule="auto"/>
              <w:ind w:firstLine="0"/>
            </w:pPr>
            <w:r w:rsidRPr="004D46AC">
              <w:rPr>
                <w:color w:val="000000"/>
                <w:szCs w:val="21"/>
              </w:rPr>
              <w:t xml:space="preserve">0.31 </w:t>
            </w:r>
          </w:p>
        </w:tc>
      </w:tr>
      <w:tr w:rsidR="003E095D" w:rsidRPr="004D46AC" w14:paraId="3EF517E8" w14:textId="77777777" w:rsidTr="00B518F1">
        <w:tc>
          <w:tcPr>
            <w:tcW w:w="1704" w:type="dxa"/>
            <w:vAlign w:val="center"/>
          </w:tcPr>
          <w:p w14:paraId="7CE82A66" w14:textId="77777777" w:rsidR="003E095D" w:rsidRPr="004D46AC" w:rsidRDefault="003E095D" w:rsidP="00B518F1">
            <w:pPr>
              <w:spacing w:line="240" w:lineRule="auto"/>
              <w:ind w:firstLine="0"/>
            </w:pPr>
            <w:r w:rsidRPr="004D46AC">
              <w:rPr>
                <w:color w:val="000000"/>
              </w:rPr>
              <w:t>TR15--TR21</w:t>
            </w:r>
          </w:p>
        </w:tc>
        <w:tc>
          <w:tcPr>
            <w:tcW w:w="1704" w:type="dxa"/>
            <w:vAlign w:val="center"/>
          </w:tcPr>
          <w:p w14:paraId="71AF82A3" w14:textId="77777777" w:rsidR="003E095D" w:rsidRPr="004D46AC" w:rsidRDefault="003E095D" w:rsidP="00B518F1">
            <w:pPr>
              <w:spacing w:line="240" w:lineRule="auto"/>
              <w:ind w:firstLine="0"/>
            </w:pPr>
            <w:r w:rsidRPr="004D46AC">
              <w:rPr>
                <w:color w:val="000000"/>
                <w:szCs w:val="21"/>
              </w:rPr>
              <w:t xml:space="preserve">0.28 </w:t>
            </w:r>
          </w:p>
        </w:tc>
        <w:tc>
          <w:tcPr>
            <w:tcW w:w="1704" w:type="dxa"/>
            <w:vAlign w:val="center"/>
          </w:tcPr>
          <w:p w14:paraId="7533A385"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59150C57" w14:textId="77777777" w:rsidR="003E095D" w:rsidRPr="004D46AC" w:rsidRDefault="003E095D" w:rsidP="00B518F1">
            <w:pPr>
              <w:spacing w:line="240" w:lineRule="auto"/>
              <w:ind w:firstLine="0"/>
            </w:pPr>
            <w:r w:rsidRPr="004D46AC">
              <w:rPr>
                <w:color w:val="000000"/>
                <w:szCs w:val="21"/>
              </w:rPr>
              <w:t xml:space="preserve">0.79 </w:t>
            </w:r>
          </w:p>
        </w:tc>
        <w:tc>
          <w:tcPr>
            <w:tcW w:w="1705" w:type="dxa"/>
            <w:vAlign w:val="center"/>
          </w:tcPr>
          <w:p w14:paraId="17875C85" w14:textId="77777777" w:rsidR="003E095D" w:rsidRPr="004D46AC" w:rsidRDefault="003E095D" w:rsidP="00B518F1">
            <w:pPr>
              <w:spacing w:line="240" w:lineRule="auto"/>
              <w:ind w:firstLine="0"/>
            </w:pPr>
            <w:r w:rsidRPr="004D46AC">
              <w:rPr>
                <w:color w:val="000000"/>
                <w:szCs w:val="21"/>
              </w:rPr>
              <w:t xml:space="preserve">0.21 </w:t>
            </w:r>
          </w:p>
        </w:tc>
      </w:tr>
      <w:tr w:rsidR="003E095D" w:rsidRPr="004D46AC" w14:paraId="435EA5EC" w14:textId="77777777" w:rsidTr="00B518F1">
        <w:tc>
          <w:tcPr>
            <w:tcW w:w="1704" w:type="dxa"/>
            <w:vAlign w:val="center"/>
          </w:tcPr>
          <w:p w14:paraId="5BA304F5" w14:textId="77777777" w:rsidR="003E095D" w:rsidRPr="004D46AC" w:rsidRDefault="003E095D" w:rsidP="00B518F1">
            <w:pPr>
              <w:spacing w:line="240" w:lineRule="auto"/>
              <w:ind w:firstLine="0"/>
            </w:pPr>
            <w:r w:rsidRPr="004D46AC">
              <w:rPr>
                <w:color w:val="000000"/>
              </w:rPr>
              <w:t>TR26--TR27</w:t>
            </w:r>
          </w:p>
        </w:tc>
        <w:tc>
          <w:tcPr>
            <w:tcW w:w="1704" w:type="dxa"/>
            <w:vAlign w:val="center"/>
          </w:tcPr>
          <w:p w14:paraId="18021781" w14:textId="77777777" w:rsidR="003E095D" w:rsidRPr="004D46AC" w:rsidRDefault="003E095D" w:rsidP="00B518F1">
            <w:pPr>
              <w:spacing w:line="240" w:lineRule="auto"/>
              <w:ind w:firstLine="0"/>
            </w:pPr>
            <w:r w:rsidRPr="004D46AC">
              <w:rPr>
                <w:color w:val="000000"/>
                <w:szCs w:val="21"/>
              </w:rPr>
              <w:t xml:space="preserve">0.28 </w:t>
            </w:r>
          </w:p>
        </w:tc>
        <w:tc>
          <w:tcPr>
            <w:tcW w:w="1704" w:type="dxa"/>
            <w:vAlign w:val="center"/>
          </w:tcPr>
          <w:p w14:paraId="234C63F1" w14:textId="77777777" w:rsidR="003E095D" w:rsidRPr="004D46AC" w:rsidRDefault="003E095D" w:rsidP="00B518F1">
            <w:pPr>
              <w:spacing w:line="240" w:lineRule="auto"/>
              <w:ind w:firstLine="0"/>
            </w:pPr>
            <w:r w:rsidRPr="004D46AC">
              <w:rPr>
                <w:color w:val="000000"/>
                <w:szCs w:val="21"/>
              </w:rPr>
              <w:t xml:space="preserve">-0.30 </w:t>
            </w:r>
          </w:p>
        </w:tc>
        <w:tc>
          <w:tcPr>
            <w:tcW w:w="1705" w:type="dxa"/>
            <w:vAlign w:val="center"/>
          </w:tcPr>
          <w:p w14:paraId="44A2D13E" w14:textId="77777777" w:rsidR="003E095D" w:rsidRPr="004D46AC" w:rsidRDefault="003E095D" w:rsidP="00B518F1">
            <w:pPr>
              <w:spacing w:line="240" w:lineRule="auto"/>
              <w:ind w:firstLine="0"/>
            </w:pPr>
            <w:r w:rsidRPr="004D46AC">
              <w:rPr>
                <w:color w:val="000000"/>
                <w:szCs w:val="21"/>
              </w:rPr>
              <w:t xml:space="preserve">0.86 </w:t>
            </w:r>
          </w:p>
        </w:tc>
        <w:tc>
          <w:tcPr>
            <w:tcW w:w="1705" w:type="dxa"/>
            <w:vAlign w:val="center"/>
          </w:tcPr>
          <w:p w14:paraId="3542164F" w14:textId="77777777" w:rsidR="003E095D" w:rsidRPr="004D46AC" w:rsidRDefault="003E095D" w:rsidP="00B518F1">
            <w:pPr>
              <w:spacing w:line="240" w:lineRule="auto"/>
              <w:ind w:firstLine="0"/>
            </w:pPr>
            <w:r w:rsidRPr="004D46AC">
              <w:rPr>
                <w:color w:val="000000"/>
                <w:szCs w:val="21"/>
              </w:rPr>
              <w:t xml:space="preserve">0.45 </w:t>
            </w:r>
          </w:p>
        </w:tc>
      </w:tr>
      <w:tr w:rsidR="003E095D" w:rsidRPr="004D46AC" w14:paraId="0941E1F7" w14:textId="77777777" w:rsidTr="00B518F1">
        <w:tc>
          <w:tcPr>
            <w:tcW w:w="1704" w:type="dxa"/>
            <w:vAlign w:val="center"/>
          </w:tcPr>
          <w:p w14:paraId="211024AE" w14:textId="77777777" w:rsidR="003E095D" w:rsidRPr="004D46AC" w:rsidRDefault="003E095D" w:rsidP="00B518F1">
            <w:pPr>
              <w:spacing w:line="240" w:lineRule="auto"/>
              <w:ind w:firstLine="0"/>
            </w:pPr>
            <w:r w:rsidRPr="004D46AC">
              <w:rPr>
                <w:color w:val="000000"/>
              </w:rPr>
              <w:t>TR16--TR22</w:t>
            </w:r>
          </w:p>
        </w:tc>
        <w:tc>
          <w:tcPr>
            <w:tcW w:w="1704" w:type="dxa"/>
            <w:vAlign w:val="center"/>
          </w:tcPr>
          <w:p w14:paraId="035BE7CE" w14:textId="77777777" w:rsidR="003E095D" w:rsidRPr="004D46AC" w:rsidRDefault="003E095D" w:rsidP="00B518F1">
            <w:pPr>
              <w:spacing w:line="240" w:lineRule="auto"/>
              <w:ind w:firstLine="0"/>
            </w:pPr>
            <w:r w:rsidRPr="004D46AC">
              <w:rPr>
                <w:color w:val="000000"/>
                <w:szCs w:val="21"/>
              </w:rPr>
              <w:t xml:space="preserve">0.28 </w:t>
            </w:r>
          </w:p>
        </w:tc>
        <w:tc>
          <w:tcPr>
            <w:tcW w:w="1704" w:type="dxa"/>
            <w:vAlign w:val="center"/>
          </w:tcPr>
          <w:p w14:paraId="77D86CF9"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44D993ED" w14:textId="77777777" w:rsidR="003E095D" w:rsidRPr="004D46AC" w:rsidRDefault="003E095D" w:rsidP="00B518F1">
            <w:pPr>
              <w:spacing w:line="240" w:lineRule="auto"/>
              <w:ind w:firstLine="0"/>
            </w:pPr>
            <w:r w:rsidRPr="004D46AC">
              <w:rPr>
                <w:color w:val="000000"/>
                <w:szCs w:val="21"/>
              </w:rPr>
              <w:t xml:space="preserve">0.79 </w:t>
            </w:r>
          </w:p>
        </w:tc>
        <w:tc>
          <w:tcPr>
            <w:tcW w:w="1705" w:type="dxa"/>
            <w:vAlign w:val="center"/>
          </w:tcPr>
          <w:p w14:paraId="6A0CD485" w14:textId="77777777" w:rsidR="003E095D" w:rsidRPr="004D46AC" w:rsidRDefault="003E095D" w:rsidP="00B518F1">
            <w:pPr>
              <w:spacing w:line="240" w:lineRule="auto"/>
              <w:ind w:firstLine="0"/>
            </w:pPr>
            <w:r w:rsidRPr="004D46AC">
              <w:rPr>
                <w:color w:val="000000"/>
                <w:szCs w:val="21"/>
              </w:rPr>
              <w:t xml:space="preserve">0.43 </w:t>
            </w:r>
          </w:p>
        </w:tc>
      </w:tr>
      <w:tr w:rsidR="003E095D" w:rsidRPr="004D46AC" w14:paraId="627EE519" w14:textId="77777777" w:rsidTr="00B518F1">
        <w:tc>
          <w:tcPr>
            <w:tcW w:w="1704" w:type="dxa"/>
            <w:vAlign w:val="center"/>
          </w:tcPr>
          <w:p w14:paraId="3F866692" w14:textId="77777777" w:rsidR="003E095D" w:rsidRPr="004D46AC" w:rsidRDefault="003E095D" w:rsidP="00B518F1">
            <w:pPr>
              <w:spacing w:line="240" w:lineRule="auto"/>
              <w:ind w:firstLine="0"/>
            </w:pPr>
            <w:r w:rsidRPr="004D46AC">
              <w:rPr>
                <w:color w:val="000000"/>
              </w:rPr>
              <w:t>TR29--TR30</w:t>
            </w:r>
          </w:p>
        </w:tc>
        <w:tc>
          <w:tcPr>
            <w:tcW w:w="1704" w:type="dxa"/>
            <w:vAlign w:val="center"/>
          </w:tcPr>
          <w:p w14:paraId="2219BE77" w14:textId="77777777" w:rsidR="003E095D" w:rsidRPr="004D46AC" w:rsidRDefault="003E095D" w:rsidP="00B518F1">
            <w:pPr>
              <w:spacing w:line="240" w:lineRule="auto"/>
              <w:ind w:firstLine="0"/>
            </w:pPr>
            <w:r w:rsidRPr="004D46AC">
              <w:rPr>
                <w:color w:val="000000"/>
                <w:szCs w:val="21"/>
              </w:rPr>
              <w:t xml:space="preserve">0.27 </w:t>
            </w:r>
          </w:p>
        </w:tc>
        <w:tc>
          <w:tcPr>
            <w:tcW w:w="1704" w:type="dxa"/>
            <w:vAlign w:val="center"/>
          </w:tcPr>
          <w:p w14:paraId="50ACA363"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0A04E3BC" w14:textId="77777777" w:rsidR="003E095D" w:rsidRPr="004D46AC" w:rsidRDefault="003E095D" w:rsidP="00B518F1">
            <w:pPr>
              <w:spacing w:line="240" w:lineRule="auto"/>
              <w:ind w:firstLine="0"/>
            </w:pPr>
            <w:r w:rsidRPr="004D46AC">
              <w:rPr>
                <w:color w:val="000000"/>
                <w:szCs w:val="21"/>
              </w:rPr>
              <w:t xml:space="preserve">0.77 </w:t>
            </w:r>
          </w:p>
        </w:tc>
        <w:tc>
          <w:tcPr>
            <w:tcW w:w="1705" w:type="dxa"/>
            <w:vAlign w:val="center"/>
          </w:tcPr>
          <w:p w14:paraId="78A163CF" w14:textId="77777777" w:rsidR="003E095D" w:rsidRPr="004D46AC" w:rsidRDefault="003E095D" w:rsidP="00B518F1">
            <w:pPr>
              <w:spacing w:line="240" w:lineRule="auto"/>
              <w:ind w:firstLine="0"/>
            </w:pPr>
            <w:r w:rsidRPr="004D46AC">
              <w:rPr>
                <w:color w:val="000000"/>
                <w:szCs w:val="21"/>
              </w:rPr>
              <w:t xml:space="preserve">0.38 </w:t>
            </w:r>
          </w:p>
        </w:tc>
      </w:tr>
      <w:tr w:rsidR="003E095D" w:rsidRPr="004D46AC" w14:paraId="269AEE58" w14:textId="77777777" w:rsidTr="00B518F1">
        <w:tc>
          <w:tcPr>
            <w:tcW w:w="1704" w:type="dxa"/>
            <w:vAlign w:val="center"/>
          </w:tcPr>
          <w:p w14:paraId="3927D550" w14:textId="77777777" w:rsidR="003E095D" w:rsidRPr="004D46AC" w:rsidRDefault="003E095D" w:rsidP="00B518F1">
            <w:pPr>
              <w:spacing w:line="240" w:lineRule="auto"/>
              <w:ind w:firstLine="0"/>
            </w:pPr>
            <w:r w:rsidRPr="004D46AC">
              <w:rPr>
                <w:color w:val="000000"/>
              </w:rPr>
              <w:t>TR23--TR29</w:t>
            </w:r>
          </w:p>
        </w:tc>
        <w:tc>
          <w:tcPr>
            <w:tcW w:w="1704" w:type="dxa"/>
            <w:vAlign w:val="center"/>
          </w:tcPr>
          <w:p w14:paraId="482F20C0" w14:textId="77777777" w:rsidR="003E095D" w:rsidRPr="004D46AC" w:rsidRDefault="003E095D" w:rsidP="00B518F1">
            <w:pPr>
              <w:spacing w:line="240" w:lineRule="auto"/>
              <w:ind w:firstLine="0"/>
            </w:pPr>
            <w:r w:rsidRPr="004D46AC">
              <w:rPr>
                <w:color w:val="000000"/>
                <w:szCs w:val="21"/>
              </w:rPr>
              <w:t xml:space="preserve">0.27 </w:t>
            </w:r>
          </w:p>
        </w:tc>
        <w:tc>
          <w:tcPr>
            <w:tcW w:w="1704" w:type="dxa"/>
            <w:vAlign w:val="center"/>
          </w:tcPr>
          <w:p w14:paraId="5308328D"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7C882C07" w14:textId="77777777" w:rsidR="003E095D" w:rsidRPr="004D46AC" w:rsidRDefault="003E095D" w:rsidP="00B518F1">
            <w:pPr>
              <w:spacing w:line="240" w:lineRule="auto"/>
              <w:ind w:firstLine="0"/>
            </w:pPr>
            <w:r w:rsidRPr="004D46AC">
              <w:rPr>
                <w:color w:val="000000"/>
                <w:szCs w:val="21"/>
              </w:rPr>
              <w:t xml:space="preserve">0.72 </w:t>
            </w:r>
          </w:p>
        </w:tc>
        <w:tc>
          <w:tcPr>
            <w:tcW w:w="1705" w:type="dxa"/>
            <w:vAlign w:val="center"/>
          </w:tcPr>
          <w:p w14:paraId="0F0DFC76" w14:textId="77777777" w:rsidR="003E095D" w:rsidRPr="004D46AC" w:rsidRDefault="003E095D" w:rsidP="00B518F1">
            <w:pPr>
              <w:spacing w:line="240" w:lineRule="auto"/>
              <w:ind w:firstLine="0"/>
            </w:pPr>
            <w:r w:rsidRPr="004D46AC">
              <w:rPr>
                <w:color w:val="000000"/>
                <w:szCs w:val="21"/>
              </w:rPr>
              <w:t xml:space="preserve">0.64 </w:t>
            </w:r>
          </w:p>
        </w:tc>
      </w:tr>
      <w:tr w:rsidR="003E095D" w:rsidRPr="004D46AC" w14:paraId="4653CED7" w14:textId="77777777" w:rsidTr="00B518F1">
        <w:tc>
          <w:tcPr>
            <w:tcW w:w="1704" w:type="dxa"/>
            <w:vAlign w:val="center"/>
          </w:tcPr>
          <w:p w14:paraId="20B677A5" w14:textId="77777777" w:rsidR="003E095D" w:rsidRPr="004D46AC" w:rsidRDefault="003E095D" w:rsidP="00B518F1">
            <w:pPr>
              <w:spacing w:line="240" w:lineRule="auto"/>
              <w:ind w:firstLine="0"/>
            </w:pPr>
            <w:r w:rsidRPr="004D46AC">
              <w:rPr>
                <w:color w:val="000000"/>
              </w:rPr>
              <w:t>TR24--TR29</w:t>
            </w:r>
          </w:p>
        </w:tc>
        <w:tc>
          <w:tcPr>
            <w:tcW w:w="1704" w:type="dxa"/>
            <w:vAlign w:val="center"/>
          </w:tcPr>
          <w:p w14:paraId="1318A7F8" w14:textId="77777777" w:rsidR="003E095D" w:rsidRPr="004D46AC" w:rsidRDefault="003E095D" w:rsidP="00B518F1">
            <w:pPr>
              <w:spacing w:line="240" w:lineRule="auto"/>
              <w:ind w:firstLine="0"/>
            </w:pPr>
            <w:r w:rsidRPr="004D46AC">
              <w:rPr>
                <w:color w:val="000000"/>
                <w:szCs w:val="21"/>
              </w:rPr>
              <w:t xml:space="preserve">0.26 </w:t>
            </w:r>
          </w:p>
        </w:tc>
        <w:tc>
          <w:tcPr>
            <w:tcW w:w="1704" w:type="dxa"/>
            <w:vAlign w:val="center"/>
          </w:tcPr>
          <w:p w14:paraId="33F0A352"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31B64C8B" w14:textId="77777777" w:rsidR="003E095D" w:rsidRPr="004D46AC" w:rsidRDefault="003E095D" w:rsidP="00B518F1">
            <w:pPr>
              <w:spacing w:line="240" w:lineRule="auto"/>
              <w:ind w:firstLine="0"/>
            </w:pPr>
            <w:r w:rsidRPr="004D46AC">
              <w:rPr>
                <w:color w:val="000000"/>
                <w:szCs w:val="21"/>
              </w:rPr>
              <w:t xml:space="preserve">0.75 </w:t>
            </w:r>
          </w:p>
        </w:tc>
        <w:tc>
          <w:tcPr>
            <w:tcW w:w="1705" w:type="dxa"/>
            <w:vAlign w:val="center"/>
          </w:tcPr>
          <w:p w14:paraId="39A33C79" w14:textId="77777777" w:rsidR="003E095D" w:rsidRPr="004D46AC" w:rsidRDefault="003E095D" w:rsidP="00B518F1">
            <w:pPr>
              <w:spacing w:line="240" w:lineRule="auto"/>
              <w:ind w:firstLine="0"/>
            </w:pPr>
            <w:r w:rsidRPr="004D46AC">
              <w:rPr>
                <w:color w:val="000000"/>
                <w:szCs w:val="21"/>
              </w:rPr>
              <w:t xml:space="preserve">0.58 </w:t>
            </w:r>
          </w:p>
        </w:tc>
      </w:tr>
      <w:tr w:rsidR="003E095D" w:rsidRPr="004D46AC" w14:paraId="077EAD79" w14:textId="77777777" w:rsidTr="00B518F1">
        <w:tc>
          <w:tcPr>
            <w:tcW w:w="1704" w:type="dxa"/>
            <w:vAlign w:val="center"/>
          </w:tcPr>
          <w:p w14:paraId="1832E2A1" w14:textId="77777777" w:rsidR="003E095D" w:rsidRPr="004D46AC" w:rsidRDefault="003E095D" w:rsidP="00B518F1">
            <w:pPr>
              <w:spacing w:line="240" w:lineRule="auto"/>
              <w:ind w:firstLine="0"/>
            </w:pPr>
            <w:r w:rsidRPr="004D46AC">
              <w:rPr>
                <w:color w:val="000000"/>
              </w:rPr>
              <w:t>TR21--TR33</w:t>
            </w:r>
          </w:p>
        </w:tc>
        <w:tc>
          <w:tcPr>
            <w:tcW w:w="1704" w:type="dxa"/>
            <w:vAlign w:val="center"/>
          </w:tcPr>
          <w:p w14:paraId="732CE9C4" w14:textId="77777777" w:rsidR="003E095D" w:rsidRPr="004D46AC" w:rsidRDefault="003E095D" w:rsidP="00B518F1">
            <w:pPr>
              <w:spacing w:line="240" w:lineRule="auto"/>
              <w:ind w:firstLine="0"/>
            </w:pPr>
            <w:r w:rsidRPr="004D46AC">
              <w:rPr>
                <w:color w:val="000000"/>
                <w:szCs w:val="21"/>
              </w:rPr>
              <w:t xml:space="preserve">0.26 </w:t>
            </w:r>
          </w:p>
        </w:tc>
        <w:tc>
          <w:tcPr>
            <w:tcW w:w="1704" w:type="dxa"/>
            <w:vAlign w:val="center"/>
          </w:tcPr>
          <w:p w14:paraId="1D10F5A6"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2EAC9515" w14:textId="77777777" w:rsidR="003E095D" w:rsidRPr="004D46AC" w:rsidRDefault="003E095D" w:rsidP="00B518F1">
            <w:pPr>
              <w:spacing w:line="240" w:lineRule="auto"/>
              <w:ind w:firstLine="0"/>
            </w:pPr>
            <w:r w:rsidRPr="004D46AC">
              <w:rPr>
                <w:color w:val="000000"/>
                <w:szCs w:val="21"/>
              </w:rPr>
              <w:t xml:space="preserve">0.74 </w:t>
            </w:r>
          </w:p>
        </w:tc>
        <w:tc>
          <w:tcPr>
            <w:tcW w:w="1705" w:type="dxa"/>
            <w:vAlign w:val="center"/>
          </w:tcPr>
          <w:p w14:paraId="2DE00DD0" w14:textId="77777777" w:rsidR="003E095D" w:rsidRPr="004D46AC" w:rsidRDefault="003E095D" w:rsidP="00B518F1">
            <w:pPr>
              <w:spacing w:line="240" w:lineRule="auto"/>
              <w:ind w:firstLine="0"/>
            </w:pPr>
            <w:r w:rsidRPr="004D46AC">
              <w:rPr>
                <w:color w:val="000000"/>
                <w:szCs w:val="21"/>
              </w:rPr>
              <w:t xml:space="preserve">0.33 </w:t>
            </w:r>
          </w:p>
        </w:tc>
      </w:tr>
      <w:tr w:rsidR="003E095D" w:rsidRPr="004D46AC" w14:paraId="3C8B25B2" w14:textId="77777777" w:rsidTr="00B518F1">
        <w:tc>
          <w:tcPr>
            <w:tcW w:w="1704" w:type="dxa"/>
            <w:vAlign w:val="center"/>
          </w:tcPr>
          <w:p w14:paraId="21D1A452" w14:textId="77777777" w:rsidR="003E095D" w:rsidRPr="004D46AC" w:rsidRDefault="003E095D" w:rsidP="00B518F1">
            <w:pPr>
              <w:spacing w:line="240" w:lineRule="auto"/>
              <w:ind w:firstLine="0"/>
            </w:pPr>
            <w:r w:rsidRPr="004D46AC">
              <w:rPr>
                <w:color w:val="000000"/>
              </w:rPr>
              <w:t>TR9--TR29</w:t>
            </w:r>
          </w:p>
        </w:tc>
        <w:tc>
          <w:tcPr>
            <w:tcW w:w="1704" w:type="dxa"/>
            <w:vAlign w:val="center"/>
          </w:tcPr>
          <w:p w14:paraId="02999B76" w14:textId="77777777" w:rsidR="003E095D" w:rsidRPr="004D46AC" w:rsidRDefault="003E095D" w:rsidP="00B518F1">
            <w:pPr>
              <w:spacing w:line="240" w:lineRule="auto"/>
              <w:ind w:firstLine="0"/>
            </w:pPr>
            <w:r w:rsidRPr="004D46AC">
              <w:rPr>
                <w:color w:val="000000"/>
                <w:szCs w:val="21"/>
              </w:rPr>
              <w:t xml:space="preserve">0.25 </w:t>
            </w:r>
          </w:p>
        </w:tc>
        <w:tc>
          <w:tcPr>
            <w:tcW w:w="1704" w:type="dxa"/>
            <w:vAlign w:val="center"/>
          </w:tcPr>
          <w:p w14:paraId="59ED9DC9" w14:textId="77777777" w:rsidR="003E095D" w:rsidRPr="004D46AC" w:rsidRDefault="003E095D" w:rsidP="00B518F1">
            <w:pPr>
              <w:spacing w:line="240" w:lineRule="auto"/>
              <w:ind w:firstLine="0"/>
            </w:pPr>
            <w:r w:rsidRPr="004D46AC">
              <w:rPr>
                <w:color w:val="000000"/>
                <w:szCs w:val="21"/>
              </w:rPr>
              <w:t xml:space="preserve">-0.27 </w:t>
            </w:r>
          </w:p>
        </w:tc>
        <w:tc>
          <w:tcPr>
            <w:tcW w:w="1705" w:type="dxa"/>
            <w:vAlign w:val="center"/>
          </w:tcPr>
          <w:p w14:paraId="0BCB1067" w14:textId="77777777" w:rsidR="003E095D" w:rsidRPr="004D46AC" w:rsidRDefault="003E095D" w:rsidP="00B518F1">
            <w:pPr>
              <w:spacing w:line="240" w:lineRule="auto"/>
              <w:ind w:firstLine="0"/>
            </w:pPr>
            <w:r w:rsidRPr="004D46AC">
              <w:rPr>
                <w:color w:val="000000"/>
                <w:szCs w:val="21"/>
              </w:rPr>
              <w:t xml:space="preserve">0.78 </w:t>
            </w:r>
          </w:p>
        </w:tc>
        <w:tc>
          <w:tcPr>
            <w:tcW w:w="1705" w:type="dxa"/>
            <w:vAlign w:val="center"/>
          </w:tcPr>
          <w:p w14:paraId="0840E483" w14:textId="77777777" w:rsidR="003E095D" w:rsidRPr="004D46AC" w:rsidRDefault="003E095D" w:rsidP="00B518F1">
            <w:pPr>
              <w:spacing w:line="240" w:lineRule="auto"/>
              <w:ind w:firstLine="0"/>
            </w:pPr>
            <w:r w:rsidRPr="004D46AC">
              <w:rPr>
                <w:color w:val="000000"/>
                <w:szCs w:val="21"/>
              </w:rPr>
              <w:t xml:space="preserve">0.41 </w:t>
            </w:r>
          </w:p>
        </w:tc>
      </w:tr>
      <w:tr w:rsidR="003E095D" w:rsidRPr="004D46AC" w14:paraId="65F713F4" w14:textId="77777777" w:rsidTr="00B518F1">
        <w:tc>
          <w:tcPr>
            <w:tcW w:w="1704" w:type="dxa"/>
            <w:vAlign w:val="center"/>
          </w:tcPr>
          <w:p w14:paraId="4131E8AB" w14:textId="77777777" w:rsidR="003E095D" w:rsidRPr="004D46AC" w:rsidRDefault="003E095D" w:rsidP="00B518F1">
            <w:pPr>
              <w:spacing w:line="240" w:lineRule="auto"/>
              <w:ind w:firstLine="0"/>
            </w:pPr>
            <w:r w:rsidRPr="004D46AC">
              <w:rPr>
                <w:color w:val="000000"/>
              </w:rPr>
              <w:t>TR6--TR9</w:t>
            </w:r>
          </w:p>
        </w:tc>
        <w:tc>
          <w:tcPr>
            <w:tcW w:w="1704" w:type="dxa"/>
            <w:vAlign w:val="center"/>
          </w:tcPr>
          <w:p w14:paraId="32B7BB25" w14:textId="77777777" w:rsidR="003E095D" w:rsidRPr="004D46AC" w:rsidRDefault="003E095D" w:rsidP="00B518F1">
            <w:pPr>
              <w:spacing w:line="240" w:lineRule="auto"/>
              <w:ind w:firstLine="0"/>
            </w:pPr>
            <w:r w:rsidRPr="004D46AC">
              <w:rPr>
                <w:color w:val="000000"/>
                <w:szCs w:val="21"/>
              </w:rPr>
              <w:t xml:space="preserve">0.24 </w:t>
            </w:r>
          </w:p>
        </w:tc>
        <w:tc>
          <w:tcPr>
            <w:tcW w:w="1704" w:type="dxa"/>
            <w:vAlign w:val="center"/>
          </w:tcPr>
          <w:p w14:paraId="4D9337CF" w14:textId="77777777" w:rsidR="003E095D" w:rsidRPr="004D46AC" w:rsidRDefault="003E095D" w:rsidP="00B518F1">
            <w:pPr>
              <w:spacing w:line="240" w:lineRule="auto"/>
              <w:ind w:firstLine="0"/>
            </w:pPr>
            <w:r w:rsidRPr="004D46AC">
              <w:rPr>
                <w:color w:val="000000"/>
                <w:szCs w:val="21"/>
              </w:rPr>
              <w:t xml:space="preserve">-0.33 </w:t>
            </w:r>
          </w:p>
        </w:tc>
        <w:tc>
          <w:tcPr>
            <w:tcW w:w="1705" w:type="dxa"/>
            <w:vAlign w:val="center"/>
          </w:tcPr>
          <w:p w14:paraId="23D0D0F9" w14:textId="77777777" w:rsidR="003E095D" w:rsidRPr="004D46AC" w:rsidRDefault="003E095D" w:rsidP="00B518F1">
            <w:pPr>
              <w:spacing w:line="240" w:lineRule="auto"/>
              <w:ind w:firstLine="0"/>
            </w:pPr>
            <w:r w:rsidRPr="004D46AC">
              <w:rPr>
                <w:color w:val="000000"/>
                <w:szCs w:val="21"/>
              </w:rPr>
              <w:t xml:space="preserve">0.81 </w:t>
            </w:r>
          </w:p>
        </w:tc>
        <w:tc>
          <w:tcPr>
            <w:tcW w:w="1705" w:type="dxa"/>
            <w:vAlign w:val="center"/>
          </w:tcPr>
          <w:p w14:paraId="1CEDB2F5" w14:textId="77777777" w:rsidR="003E095D" w:rsidRPr="004D46AC" w:rsidRDefault="003E095D" w:rsidP="00B518F1">
            <w:pPr>
              <w:spacing w:line="240" w:lineRule="auto"/>
              <w:ind w:firstLine="0"/>
            </w:pPr>
            <w:r w:rsidRPr="004D46AC">
              <w:rPr>
                <w:color w:val="000000"/>
                <w:szCs w:val="21"/>
              </w:rPr>
              <w:t xml:space="preserve">0.32 </w:t>
            </w:r>
          </w:p>
        </w:tc>
      </w:tr>
      <w:tr w:rsidR="003E095D" w:rsidRPr="004D46AC" w14:paraId="1A342112" w14:textId="77777777" w:rsidTr="00B518F1">
        <w:tc>
          <w:tcPr>
            <w:tcW w:w="1704" w:type="dxa"/>
            <w:vAlign w:val="center"/>
          </w:tcPr>
          <w:p w14:paraId="52C56543" w14:textId="77777777" w:rsidR="003E095D" w:rsidRPr="004D46AC" w:rsidRDefault="003E095D" w:rsidP="00B518F1">
            <w:pPr>
              <w:spacing w:line="240" w:lineRule="auto"/>
              <w:ind w:firstLine="0"/>
            </w:pPr>
            <w:r w:rsidRPr="004D46AC">
              <w:rPr>
                <w:color w:val="000000"/>
              </w:rPr>
              <w:t>TR15--TR26</w:t>
            </w:r>
          </w:p>
        </w:tc>
        <w:tc>
          <w:tcPr>
            <w:tcW w:w="1704" w:type="dxa"/>
            <w:vAlign w:val="center"/>
          </w:tcPr>
          <w:p w14:paraId="79CA8B36" w14:textId="77777777" w:rsidR="003E095D" w:rsidRPr="004D46AC" w:rsidRDefault="003E095D" w:rsidP="00B518F1">
            <w:pPr>
              <w:spacing w:line="240" w:lineRule="auto"/>
              <w:ind w:firstLine="0"/>
            </w:pPr>
            <w:r w:rsidRPr="004D46AC">
              <w:rPr>
                <w:color w:val="000000"/>
                <w:szCs w:val="21"/>
              </w:rPr>
              <w:t xml:space="preserve">0.23 </w:t>
            </w:r>
          </w:p>
        </w:tc>
        <w:tc>
          <w:tcPr>
            <w:tcW w:w="1704" w:type="dxa"/>
            <w:vAlign w:val="center"/>
          </w:tcPr>
          <w:p w14:paraId="6A4B8895" w14:textId="77777777" w:rsidR="003E095D" w:rsidRPr="004D46AC" w:rsidRDefault="003E095D" w:rsidP="00B518F1">
            <w:pPr>
              <w:spacing w:line="240" w:lineRule="auto"/>
              <w:ind w:firstLine="0"/>
            </w:pPr>
            <w:r w:rsidRPr="004D46AC">
              <w:rPr>
                <w:color w:val="000000"/>
                <w:szCs w:val="21"/>
              </w:rPr>
              <w:t xml:space="preserve">-0.29 </w:t>
            </w:r>
          </w:p>
        </w:tc>
        <w:tc>
          <w:tcPr>
            <w:tcW w:w="1705" w:type="dxa"/>
            <w:vAlign w:val="center"/>
          </w:tcPr>
          <w:p w14:paraId="6EC3A09B" w14:textId="77777777" w:rsidR="003E095D" w:rsidRPr="004D46AC" w:rsidRDefault="003E095D" w:rsidP="00B518F1">
            <w:pPr>
              <w:spacing w:line="240" w:lineRule="auto"/>
              <w:ind w:firstLine="0"/>
            </w:pPr>
            <w:r w:rsidRPr="004D46AC">
              <w:rPr>
                <w:color w:val="000000"/>
                <w:szCs w:val="21"/>
              </w:rPr>
              <w:t xml:space="preserve">0.75 </w:t>
            </w:r>
          </w:p>
        </w:tc>
        <w:tc>
          <w:tcPr>
            <w:tcW w:w="1705" w:type="dxa"/>
            <w:vAlign w:val="center"/>
          </w:tcPr>
          <w:p w14:paraId="61F54A66" w14:textId="77777777" w:rsidR="003E095D" w:rsidRPr="004D46AC" w:rsidRDefault="003E095D" w:rsidP="00B518F1">
            <w:pPr>
              <w:spacing w:line="240" w:lineRule="auto"/>
              <w:ind w:firstLine="0"/>
            </w:pPr>
            <w:r w:rsidRPr="004D46AC">
              <w:rPr>
                <w:color w:val="000000"/>
                <w:szCs w:val="21"/>
              </w:rPr>
              <w:t xml:space="preserve">0.38 </w:t>
            </w:r>
          </w:p>
        </w:tc>
      </w:tr>
      <w:tr w:rsidR="003E095D" w:rsidRPr="004D46AC" w14:paraId="4C54CCAF" w14:textId="77777777" w:rsidTr="00B518F1">
        <w:tc>
          <w:tcPr>
            <w:tcW w:w="1704" w:type="dxa"/>
            <w:vAlign w:val="center"/>
          </w:tcPr>
          <w:p w14:paraId="5CE5663C" w14:textId="77777777" w:rsidR="003E095D" w:rsidRPr="004D46AC" w:rsidRDefault="003E095D" w:rsidP="00B518F1">
            <w:pPr>
              <w:spacing w:line="240" w:lineRule="auto"/>
              <w:ind w:firstLine="0"/>
            </w:pPr>
            <w:r w:rsidRPr="004D46AC">
              <w:rPr>
                <w:color w:val="000000"/>
              </w:rPr>
              <w:t>TR14--TR16</w:t>
            </w:r>
          </w:p>
        </w:tc>
        <w:tc>
          <w:tcPr>
            <w:tcW w:w="1704" w:type="dxa"/>
            <w:vAlign w:val="center"/>
          </w:tcPr>
          <w:p w14:paraId="678FFC90" w14:textId="77777777" w:rsidR="003E095D" w:rsidRPr="004D46AC" w:rsidRDefault="003E095D" w:rsidP="00B518F1">
            <w:pPr>
              <w:spacing w:line="240" w:lineRule="auto"/>
              <w:ind w:firstLine="0"/>
            </w:pPr>
            <w:r w:rsidRPr="004D46AC">
              <w:rPr>
                <w:color w:val="000000"/>
                <w:szCs w:val="21"/>
              </w:rPr>
              <w:t xml:space="preserve">0.23 </w:t>
            </w:r>
          </w:p>
        </w:tc>
        <w:tc>
          <w:tcPr>
            <w:tcW w:w="1704" w:type="dxa"/>
            <w:vAlign w:val="center"/>
          </w:tcPr>
          <w:p w14:paraId="19D90851"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3620C366" w14:textId="77777777" w:rsidR="003E095D" w:rsidRPr="004D46AC" w:rsidRDefault="003E095D" w:rsidP="00B518F1">
            <w:pPr>
              <w:spacing w:line="240" w:lineRule="auto"/>
              <w:ind w:firstLine="0"/>
            </w:pPr>
            <w:r w:rsidRPr="004D46AC">
              <w:rPr>
                <w:color w:val="000000"/>
                <w:szCs w:val="21"/>
              </w:rPr>
              <w:t xml:space="preserve">0.69 </w:t>
            </w:r>
          </w:p>
        </w:tc>
        <w:tc>
          <w:tcPr>
            <w:tcW w:w="1705" w:type="dxa"/>
            <w:vAlign w:val="center"/>
          </w:tcPr>
          <w:p w14:paraId="21F4EDD5" w14:textId="77777777" w:rsidR="003E095D" w:rsidRPr="004D46AC" w:rsidRDefault="003E095D" w:rsidP="00B518F1">
            <w:pPr>
              <w:spacing w:line="240" w:lineRule="auto"/>
              <w:ind w:firstLine="0"/>
            </w:pPr>
            <w:r w:rsidRPr="004D46AC">
              <w:rPr>
                <w:color w:val="000000"/>
                <w:szCs w:val="21"/>
              </w:rPr>
              <w:t xml:space="preserve">0.54 </w:t>
            </w:r>
          </w:p>
        </w:tc>
      </w:tr>
      <w:tr w:rsidR="003E095D" w:rsidRPr="004D46AC" w14:paraId="2A16E7C7" w14:textId="77777777" w:rsidTr="00B518F1">
        <w:tc>
          <w:tcPr>
            <w:tcW w:w="1704" w:type="dxa"/>
            <w:vAlign w:val="center"/>
          </w:tcPr>
          <w:p w14:paraId="6C3D3A47" w14:textId="77777777" w:rsidR="003E095D" w:rsidRPr="004D46AC" w:rsidRDefault="003E095D" w:rsidP="00B518F1">
            <w:pPr>
              <w:spacing w:line="240" w:lineRule="auto"/>
              <w:ind w:firstLine="0"/>
            </w:pPr>
            <w:r w:rsidRPr="004D46AC">
              <w:rPr>
                <w:color w:val="000000"/>
              </w:rPr>
              <w:t>TR19--TR6</w:t>
            </w:r>
          </w:p>
        </w:tc>
        <w:tc>
          <w:tcPr>
            <w:tcW w:w="1704" w:type="dxa"/>
            <w:vAlign w:val="center"/>
          </w:tcPr>
          <w:p w14:paraId="03F1946E" w14:textId="77777777" w:rsidR="003E095D" w:rsidRPr="004D46AC" w:rsidRDefault="003E095D" w:rsidP="00B518F1">
            <w:pPr>
              <w:spacing w:line="240" w:lineRule="auto"/>
              <w:ind w:firstLine="0"/>
            </w:pPr>
            <w:r w:rsidRPr="004D46AC">
              <w:rPr>
                <w:color w:val="000000"/>
                <w:szCs w:val="21"/>
              </w:rPr>
              <w:t xml:space="preserve">0.22 </w:t>
            </w:r>
          </w:p>
        </w:tc>
        <w:tc>
          <w:tcPr>
            <w:tcW w:w="1704" w:type="dxa"/>
            <w:vAlign w:val="center"/>
          </w:tcPr>
          <w:p w14:paraId="65D80352" w14:textId="77777777" w:rsidR="003E095D" w:rsidRPr="004D46AC" w:rsidRDefault="003E095D" w:rsidP="00B518F1">
            <w:pPr>
              <w:spacing w:line="240" w:lineRule="auto"/>
              <w:ind w:firstLine="0"/>
            </w:pPr>
            <w:r w:rsidRPr="004D46AC">
              <w:rPr>
                <w:color w:val="000000"/>
                <w:szCs w:val="21"/>
              </w:rPr>
              <w:t xml:space="preserve">-0.30 </w:t>
            </w:r>
          </w:p>
        </w:tc>
        <w:tc>
          <w:tcPr>
            <w:tcW w:w="1705" w:type="dxa"/>
            <w:vAlign w:val="center"/>
          </w:tcPr>
          <w:p w14:paraId="2B0445F2" w14:textId="77777777" w:rsidR="003E095D" w:rsidRPr="004D46AC" w:rsidRDefault="003E095D" w:rsidP="00B518F1">
            <w:pPr>
              <w:spacing w:line="240" w:lineRule="auto"/>
              <w:ind w:firstLine="0"/>
            </w:pPr>
            <w:r w:rsidRPr="004D46AC">
              <w:rPr>
                <w:color w:val="000000"/>
                <w:szCs w:val="21"/>
              </w:rPr>
              <w:t xml:space="preserve">0.74 </w:t>
            </w:r>
          </w:p>
        </w:tc>
        <w:tc>
          <w:tcPr>
            <w:tcW w:w="1705" w:type="dxa"/>
            <w:vAlign w:val="center"/>
          </w:tcPr>
          <w:p w14:paraId="5DFC10A1" w14:textId="77777777" w:rsidR="003E095D" w:rsidRPr="004D46AC" w:rsidRDefault="003E095D" w:rsidP="00B518F1">
            <w:pPr>
              <w:spacing w:line="240" w:lineRule="auto"/>
              <w:ind w:firstLine="0"/>
            </w:pPr>
            <w:r w:rsidRPr="004D46AC">
              <w:rPr>
                <w:color w:val="000000"/>
                <w:szCs w:val="21"/>
              </w:rPr>
              <w:t xml:space="preserve">0.37 </w:t>
            </w:r>
          </w:p>
        </w:tc>
      </w:tr>
      <w:tr w:rsidR="003E095D" w:rsidRPr="004D46AC" w14:paraId="4CF00726" w14:textId="77777777" w:rsidTr="00B518F1">
        <w:tc>
          <w:tcPr>
            <w:tcW w:w="1704" w:type="dxa"/>
            <w:vAlign w:val="center"/>
          </w:tcPr>
          <w:p w14:paraId="4BC6775D" w14:textId="77777777" w:rsidR="003E095D" w:rsidRPr="004D46AC" w:rsidRDefault="003E095D" w:rsidP="00B518F1">
            <w:pPr>
              <w:spacing w:line="240" w:lineRule="auto"/>
              <w:ind w:firstLine="0"/>
            </w:pPr>
            <w:r w:rsidRPr="004D46AC">
              <w:rPr>
                <w:color w:val="000000"/>
              </w:rPr>
              <w:t>TR19--TR24</w:t>
            </w:r>
          </w:p>
        </w:tc>
        <w:tc>
          <w:tcPr>
            <w:tcW w:w="1704" w:type="dxa"/>
            <w:vAlign w:val="center"/>
          </w:tcPr>
          <w:p w14:paraId="17DDFBDC" w14:textId="77777777" w:rsidR="003E095D" w:rsidRPr="004D46AC" w:rsidRDefault="003E095D" w:rsidP="00B518F1">
            <w:pPr>
              <w:spacing w:line="240" w:lineRule="auto"/>
              <w:ind w:firstLine="0"/>
            </w:pPr>
            <w:r w:rsidRPr="004D46AC">
              <w:rPr>
                <w:color w:val="000000"/>
                <w:szCs w:val="21"/>
              </w:rPr>
              <w:t xml:space="preserve">0.22 </w:t>
            </w:r>
          </w:p>
        </w:tc>
        <w:tc>
          <w:tcPr>
            <w:tcW w:w="1704" w:type="dxa"/>
            <w:vAlign w:val="center"/>
          </w:tcPr>
          <w:p w14:paraId="3A13EEEE"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29C1E94B"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0F1FAB01" w14:textId="77777777" w:rsidR="003E095D" w:rsidRPr="004D46AC" w:rsidRDefault="003E095D" w:rsidP="00B518F1">
            <w:pPr>
              <w:spacing w:line="240" w:lineRule="auto"/>
              <w:ind w:firstLine="0"/>
            </w:pPr>
            <w:r w:rsidRPr="004D46AC">
              <w:rPr>
                <w:color w:val="000000"/>
                <w:szCs w:val="21"/>
              </w:rPr>
              <w:t xml:space="preserve">0.38 </w:t>
            </w:r>
          </w:p>
        </w:tc>
      </w:tr>
      <w:tr w:rsidR="003E095D" w:rsidRPr="004D46AC" w14:paraId="19A5227D" w14:textId="77777777" w:rsidTr="00B518F1">
        <w:tc>
          <w:tcPr>
            <w:tcW w:w="1704" w:type="dxa"/>
            <w:vAlign w:val="center"/>
          </w:tcPr>
          <w:p w14:paraId="2F4F2914" w14:textId="77777777" w:rsidR="003E095D" w:rsidRPr="004D46AC" w:rsidRDefault="003E095D" w:rsidP="00B518F1">
            <w:pPr>
              <w:spacing w:line="240" w:lineRule="auto"/>
              <w:ind w:firstLine="0"/>
            </w:pPr>
            <w:r w:rsidRPr="004D46AC">
              <w:rPr>
                <w:color w:val="000000"/>
              </w:rPr>
              <w:t>TR19--TR21</w:t>
            </w:r>
          </w:p>
        </w:tc>
        <w:tc>
          <w:tcPr>
            <w:tcW w:w="1704" w:type="dxa"/>
            <w:vAlign w:val="center"/>
          </w:tcPr>
          <w:p w14:paraId="0AE7A9CD" w14:textId="77777777" w:rsidR="003E095D" w:rsidRPr="004D46AC" w:rsidRDefault="003E095D" w:rsidP="00B518F1">
            <w:pPr>
              <w:spacing w:line="240" w:lineRule="auto"/>
              <w:ind w:firstLine="0"/>
            </w:pPr>
            <w:r w:rsidRPr="004D46AC">
              <w:rPr>
                <w:color w:val="000000"/>
                <w:szCs w:val="21"/>
              </w:rPr>
              <w:t xml:space="preserve">0.21 </w:t>
            </w:r>
          </w:p>
        </w:tc>
        <w:tc>
          <w:tcPr>
            <w:tcW w:w="1704" w:type="dxa"/>
            <w:vAlign w:val="center"/>
          </w:tcPr>
          <w:p w14:paraId="7469E686"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1DBDA6B5"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0FB12355" w14:textId="77777777" w:rsidR="003E095D" w:rsidRPr="004D46AC" w:rsidRDefault="003E095D" w:rsidP="00B518F1">
            <w:pPr>
              <w:spacing w:line="240" w:lineRule="auto"/>
              <w:ind w:firstLine="0"/>
            </w:pPr>
            <w:r w:rsidRPr="004D46AC">
              <w:rPr>
                <w:color w:val="000000"/>
                <w:szCs w:val="21"/>
              </w:rPr>
              <w:t xml:space="preserve">0.36 </w:t>
            </w:r>
          </w:p>
        </w:tc>
      </w:tr>
      <w:tr w:rsidR="003E095D" w:rsidRPr="004D46AC" w14:paraId="12F0062C" w14:textId="77777777" w:rsidTr="00B518F1">
        <w:tc>
          <w:tcPr>
            <w:tcW w:w="1704" w:type="dxa"/>
            <w:vAlign w:val="center"/>
          </w:tcPr>
          <w:p w14:paraId="6F28C822" w14:textId="77777777" w:rsidR="003E095D" w:rsidRPr="004D46AC" w:rsidRDefault="003E095D" w:rsidP="00B518F1">
            <w:pPr>
              <w:spacing w:line="240" w:lineRule="auto"/>
              <w:ind w:firstLine="0"/>
            </w:pPr>
            <w:r w:rsidRPr="004D46AC">
              <w:rPr>
                <w:color w:val="000000"/>
              </w:rPr>
              <w:t>TR21--TR23</w:t>
            </w:r>
          </w:p>
        </w:tc>
        <w:tc>
          <w:tcPr>
            <w:tcW w:w="1704" w:type="dxa"/>
            <w:vAlign w:val="center"/>
          </w:tcPr>
          <w:p w14:paraId="0A92BF6F" w14:textId="77777777" w:rsidR="003E095D" w:rsidRPr="004D46AC" w:rsidRDefault="003E095D" w:rsidP="00B518F1">
            <w:pPr>
              <w:spacing w:line="240" w:lineRule="auto"/>
              <w:ind w:firstLine="0"/>
            </w:pPr>
            <w:r w:rsidRPr="004D46AC">
              <w:rPr>
                <w:color w:val="000000"/>
                <w:szCs w:val="21"/>
              </w:rPr>
              <w:t xml:space="preserve">0.21 </w:t>
            </w:r>
          </w:p>
        </w:tc>
        <w:tc>
          <w:tcPr>
            <w:tcW w:w="1704" w:type="dxa"/>
            <w:vAlign w:val="center"/>
          </w:tcPr>
          <w:p w14:paraId="3AC6BB33" w14:textId="77777777" w:rsidR="003E095D" w:rsidRPr="004D46AC" w:rsidRDefault="003E095D" w:rsidP="00B518F1">
            <w:pPr>
              <w:spacing w:line="240" w:lineRule="auto"/>
              <w:ind w:firstLine="0"/>
            </w:pPr>
            <w:r w:rsidRPr="004D46AC">
              <w:rPr>
                <w:color w:val="000000"/>
                <w:szCs w:val="21"/>
              </w:rPr>
              <w:t xml:space="preserve">-0.24 </w:t>
            </w:r>
          </w:p>
        </w:tc>
        <w:tc>
          <w:tcPr>
            <w:tcW w:w="1705" w:type="dxa"/>
            <w:vAlign w:val="center"/>
          </w:tcPr>
          <w:p w14:paraId="75085E01"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5D0B3B55" w14:textId="77777777" w:rsidR="003E095D" w:rsidRPr="004D46AC" w:rsidRDefault="003E095D" w:rsidP="00B518F1">
            <w:pPr>
              <w:spacing w:line="240" w:lineRule="auto"/>
              <w:ind w:firstLine="0"/>
            </w:pPr>
            <w:r w:rsidRPr="004D46AC">
              <w:rPr>
                <w:color w:val="000000"/>
                <w:szCs w:val="21"/>
              </w:rPr>
              <w:t xml:space="preserve">0.39 </w:t>
            </w:r>
          </w:p>
        </w:tc>
      </w:tr>
      <w:tr w:rsidR="003E095D" w:rsidRPr="004D46AC" w14:paraId="04FD9825" w14:textId="77777777" w:rsidTr="00B518F1">
        <w:tc>
          <w:tcPr>
            <w:tcW w:w="1704" w:type="dxa"/>
            <w:vAlign w:val="center"/>
          </w:tcPr>
          <w:p w14:paraId="1D2974BE" w14:textId="77777777" w:rsidR="003E095D" w:rsidRPr="004D46AC" w:rsidRDefault="003E095D" w:rsidP="00B518F1">
            <w:pPr>
              <w:spacing w:line="240" w:lineRule="auto"/>
              <w:ind w:firstLine="0"/>
            </w:pPr>
            <w:r w:rsidRPr="004D46AC">
              <w:rPr>
                <w:color w:val="000000"/>
              </w:rPr>
              <w:lastRenderedPageBreak/>
              <w:t>TR26--TR18</w:t>
            </w:r>
          </w:p>
        </w:tc>
        <w:tc>
          <w:tcPr>
            <w:tcW w:w="1704" w:type="dxa"/>
            <w:vAlign w:val="center"/>
          </w:tcPr>
          <w:p w14:paraId="5A705DAF" w14:textId="77777777" w:rsidR="003E095D" w:rsidRPr="004D46AC" w:rsidRDefault="003E095D" w:rsidP="00B518F1">
            <w:pPr>
              <w:spacing w:line="240" w:lineRule="auto"/>
              <w:ind w:firstLine="0"/>
            </w:pPr>
            <w:r w:rsidRPr="004D46AC">
              <w:rPr>
                <w:color w:val="000000"/>
                <w:szCs w:val="21"/>
              </w:rPr>
              <w:t xml:space="preserve">0.20 </w:t>
            </w:r>
          </w:p>
        </w:tc>
        <w:tc>
          <w:tcPr>
            <w:tcW w:w="1704" w:type="dxa"/>
            <w:vAlign w:val="center"/>
          </w:tcPr>
          <w:p w14:paraId="23C6F96A" w14:textId="77777777" w:rsidR="003E095D" w:rsidRPr="004D46AC" w:rsidRDefault="003E095D" w:rsidP="00B518F1">
            <w:pPr>
              <w:spacing w:line="240" w:lineRule="auto"/>
              <w:ind w:firstLine="0"/>
            </w:pPr>
            <w:r w:rsidRPr="004D46AC">
              <w:rPr>
                <w:color w:val="000000"/>
                <w:szCs w:val="21"/>
              </w:rPr>
              <w:t xml:space="preserve">-0.31 </w:t>
            </w:r>
          </w:p>
        </w:tc>
        <w:tc>
          <w:tcPr>
            <w:tcW w:w="1705" w:type="dxa"/>
            <w:vAlign w:val="center"/>
          </w:tcPr>
          <w:p w14:paraId="235B0E22" w14:textId="77777777" w:rsidR="003E095D" w:rsidRPr="004D46AC" w:rsidRDefault="003E095D" w:rsidP="00B518F1">
            <w:pPr>
              <w:spacing w:line="240" w:lineRule="auto"/>
              <w:ind w:firstLine="0"/>
            </w:pPr>
            <w:r w:rsidRPr="004D46AC">
              <w:rPr>
                <w:color w:val="000000"/>
                <w:szCs w:val="21"/>
              </w:rPr>
              <w:t xml:space="preserve">0.71 </w:t>
            </w:r>
          </w:p>
        </w:tc>
        <w:tc>
          <w:tcPr>
            <w:tcW w:w="1705" w:type="dxa"/>
            <w:vAlign w:val="center"/>
          </w:tcPr>
          <w:p w14:paraId="7739F1C9" w14:textId="77777777" w:rsidR="003E095D" w:rsidRPr="004D46AC" w:rsidRDefault="003E095D" w:rsidP="00B518F1">
            <w:pPr>
              <w:spacing w:line="240" w:lineRule="auto"/>
              <w:ind w:firstLine="0"/>
            </w:pPr>
            <w:r w:rsidRPr="004D46AC">
              <w:rPr>
                <w:color w:val="000000"/>
                <w:szCs w:val="21"/>
              </w:rPr>
              <w:t xml:space="preserve">0.44 </w:t>
            </w:r>
          </w:p>
        </w:tc>
      </w:tr>
      <w:tr w:rsidR="003E095D" w:rsidRPr="004D46AC" w14:paraId="18D14354" w14:textId="77777777" w:rsidTr="00B518F1">
        <w:tc>
          <w:tcPr>
            <w:tcW w:w="1704" w:type="dxa"/>
            <w:vAlign w:val="center"/>
          </w:tcPr>
          <w:p w14:paraId="0FC27B1E" w14:textId="77777777" w:rsidR="003E095D" w:rsidRPr="004D46AC" w:rsidRDefault="003E095D" w:rsidP="00B518F1">
            <w:pPr>
              <w:spacing w:line="240" w:lineRule="auto"/>
              <w:ind w:firstLine="0"/>
            </w:pPr>
            <w:r w:rsidRPr="004D46AC">
              <w:rPr>
                <w:color w:val="000000"/>
              </w:rPr>
              <w:t>TR26--TR33</w:t>
            </w:r>
          </w:p>
        </w:tc>
        <w:tc>
          <w:tcPr>
            <w:tcW w:w="1704" w:type="dxa"/>
            <w:vAlign w:val="center"/>
          </w:tcPr>
          <w:p w14:paraId="32F9DFCD" w14:textId="77777777" w:rsidR="003E095D" w:rsidRPr="004D46AC" w:rsidRDefault="003E095D" w:rsidP="00B518F1">
            <w:pPr>
              <w:spacing w:line="240" w:lineRule="auto"/>
              <w:ind w:firstLine="0"/>
            </w:pPr>
            <w:r w:rsidRPr="004D46AC">
              <w:rPr>
                <w:color w:val="000000"/>
                <w:szCs w:val="21"/>
              </w:rPr>
              <w:t xml:space="preserve">0.20 </w:t>
            </w:r>
          </w:p>
        </w:tc>
        <w:tc>
          <w:tcPr>
            <w:tcW w:w="1704" w:type="dxa"/>
            <w:vAlign w:val="center"/>
          </w:tcPr>
          <w:p w14:paraId="370B9443" w14:textId="77777777" w:rsidR="003E095D" w:rsidRPr="004D46AC" w:rsidRDefault="003E095D" w:rsidP="00B518F1">
            <w:pPr>
              <w:spacing w:line="240" w:lineRule="auto"/>
              <w:ind w:firstLine="0"/>
            </w:pPr>
            <w:r w:rsidRPr="004D46AC">
              <w:rPr>
                <w:color w:val="000000"/>
                <w:szCs w:val="21"/>
              </w:rPr>
              <w:t xml:space="preserve">-0.25 </w:t>
            </w:r>
          </w:p>
        </w:tc>
        <w:tc>
          <w:tcPr>
            <w:tcW w:w="1705" w:type="dxa"/>
            <w:vAlign w:val="center"/>
          </w:tcPr>
          <w:p w14:paraId="5243B18B"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09FF0E38" w14:textId="77777777" w:rsidR="003E095D" w:rsidRPr="004D46AC" w:rsidRDefault="003E095D" w:rsidP="00B518F1">
            <w:pPr>
              <w:spacing w:line="240" w:lineRule="auto"/>
              <w:ind w:firstLine="0"/>
            </w:pPr>
            <w:r w:rsidRPr="004D46AC">
              <w:rPr>
                <w:color w:val="000000"/>
                <w:szCs w:val="21"/>
              </w:rPr>
              <w:t xml:space="preserve">0.37 </w:t>
            </w:r>
          </w:p>
        </w:tc>
      </w:tr>
      <w:tr w:rsidR="003E095D" w:rsidRPr="004D46AC" w14:paraId="2FD88E15" w14:textId="77777777" w:rsidTr="00B518F1">
        <w:tc>
          <w:tcPr>
            <w:tcW w:w="1704" w:type="dxa"/>
            <w:vAlign w:val="center"/>
          </w:tcPr>
          <w:p w14:paraId="2F109DD9" w14:textId="77777777" w:rsidR="003E095D" w:rsidRPr="004D46AC" w:rsidRDefault="003E095D" w:rsidP="00B518F1">
            <w:pPr>
              <w:spacing w:line="240" w:lineRule="auto"/>
              <w:ind w:firstLine="0"/>
            </w:pPr>
            <w:r w:rsidRPr="004D46AC">
              <w:rPr>
                <w:color w:val="000000"/>
              </w:rPr>
              <w:t>TR23--TR34</w:t>
            </w:r>
          </w:p>
        </w:tc>
        <w:tc>
          <w:tcPr>
            <w:tcW w:w="1704" w:type="dxa"/>
            <w:vAlign w:val="center"/>
          </w:tcPr>
          <w:p w14:paraId="2B844761" w14:textId="77777777" w:rsidR="003E095D" w:rsidRPr="004D46AC" w:rsidRDefault="003E095D" w:rsidP="00B518F1">
            <w:pPr>
              <w:spacing w:line="240" w:lineRule="auto"/>
              <w:ind w:firstLine="0"/>
            </w:pPr>
            <w:r w:rsidRPr="004D46AC">
              <w:rPr>
                <w:color w:val="000000"/>
                <w:szCs w:val="21"/>
              </w:rPr>
              <w:t xml:space="preserve">0.19 </w:t>
            </w:r>
          </w:p>
        </w:tc>
        <w:tc>
          <w:tcPr>
            <w:tcW w:w="1704" w:type="dxa"/>
            <w:vAlign w:val="center"/>
          </w:tcPr>
          <w:p w14:paraId="0CB31AE6" w14:textId="77777777" w:rsidR="003E095D" w:rsidRPr="004D46AC" w:rsidRDefault="003E095D" w:rsidP="00B518F1">
            <w:pPr>
              <w:spacing w:line="240" w:lineRule="auto"/>
              <w:ind w:firstLine="0"/>
            </w:pPr>
            <w:r w:rsidRPr="004D46AC">
              <w:rPr>
                <w:color w:val="000000"/>
                <w:szCs w:val="21"/>
              </w:rPr>
              <w:t xml:space="preserve">-0.26 </w:t>
            </w:r>
          </w:p>
        </w:tc>
        <w:tc>
          <w:tcPr>
            <w:tcW w:w="1705" w:type="dxa"/>
            <w:vAlign w:val="center"/>
          </w:tcPr>
          <w:p w14:paraId="4E1BA80B"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160A9A92" w14:textId="77777777" w:rsidR="003E095D" w:rsidRPr="004D46AC" w:rsidRDefault="003E095D" w:rsidP="00B518F1">
            <w:pPr>
              <w:spacing w:line="240" w:lineRule="auto"/>
              <w:ind w:firstLine="0"/>
            </w:pPr>
            <w:r w:rsidRPr="004D46AC">
              <w:rPr>
                <w:color w:val="000000"/>
                <w:szCs w:val="21"/>
              </w:rPr>
              <w:t xml:space="preserve">0.51 </w:t>
            </w:r>
          </w:p>
        </w:tc>
      </w:tr>
      <w:tr w:rsidR="003E095D" w:rsidRPr="004D46AC" w14:paraId="67073ABC" w14:textId="77777777" w:rsidTr="00B518F1">
        <w:tc>
          <w:tcPr>
            <w:tcW w:w="1704" w:type="dxa"/>
            <w:vAlign w:val="center"/>
          </w:tcPr>
          <w:p w14:paraId="21CF9A91" w14:textId="77777777" w:rsidR="003E095D" w:rsidRPr="004D46AC" w:rsidRDefault="003E095D" w:rsidP="00B518F1">
            <w:pPr>
              <w:spacing w:line="240" w:lineRule="auto"/>
              <w:ind w:firstLine="0"/>
            </w:pPr>
            <w:r w:rsidRPr="004D46AC">
              <w:rPr>
                <w:color w:val="000000"/>
              </w:rPr>
              <w:t>TR19--TR33</w:t>
            </w:r>
          </w:p>
        </w:tc>
        <w:tc>
          <w:tcPr>
            <w:tcW w:w="1704" w:type="dxa"/>
            <w:vAlign w:val="center"/>
          </w:tcPr>
          <w:p w14:paraId="34696579" w14:textId="77777777" w:rsidR="003E095D" w:rsidRPr="004D46AC" w:rsidRDefault="003E095D" w:rsidP="00B518F1">
            <w:pPr>
              <w:spacing w:line="240" w:lineRule="auto"/>
              <w:ind w:firstLine="0"/>
            </w:pPr>
            <w:r w:rsidRPr="004D46AC">
              <w:rPr>
                <w:color w:val="000000"/>
                <w:szCs w:val="21"/>
              </w:rPr>
              <w:t xml:space="preserve">0.18 </w:t>
            </w:r>
          </w:p>
        </w:tc>
        <w:tc>
          <w:tcPr>
            <w:tcW w:w="1704" w:type="dxa"/>
            <w:vAlign w:val="center"/>
          </w:tcPr>
          <w:p w14:paraId="4A66A0A8"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5E2E34BB" w14:textId="77777777" w:rsidR="003E095D" w:rsidRPr="004D46AC" w:rsidRDefault="003E095D" w:rsidP="00B518F1">
            <w:pPr>
              <w:spacing w:line="240" w:lineRule="auto"/>
              <w:ind w:firstLine="0"/>
            </w:pPr>
            <w:r w:rsidRPr="004D46AC">
              <w:rPr>
                <w:color w:val="000000"/>
                <w:szCs w:val="21"/>
              </w:rPr>
              <w:t xml:space="preserve">0.60 </w:t>
            </w:r>
          </w:p>
        </w:tc>
        <w:tc>
          <w:tcPr>
            <w:tcW w:w="1705" w:type="dxa"/>
            <w:vAlign w:val="center"/>
          </w:tcPr>
          <w:p w14:paraId="2DA9D2C2" w14:textId="77777777" w:rsidR="003E095D" w:rsidRPr="004D46AC" w:rsidRDefault="003E095D" w:rsidP="00B518F1">
            <w:pPr>
              <w:spacing w:line="240" w:lineRule="auto"/>
              <w:ind w:firstLine="0"/>
            </w:pPr>
            <w:r w:rsidRPr="004D46AC">
              <w:rPr>
                <w:color w:val="000000"/>
                <w:szCs w:val="21"/>
              </w:rPr>
              <w:t xml:space="preserve">0.48 </w:t>
            </w:r>
          </w:p>
        </w:tc>
      </w:tr>
      <w:tr w:rsidR="003E095D" w:rsidRPr="004D46AC" w14:paraId="39866F45" w14:textId="77777777" w:rsidTr="00B518F1">
        <w:tc>
          <w:tcPr>
            <w:tcW w:w="1704" w:type="dxa"/>
            <w:vAlign w:val="center"/>
          </w:tcPr>
          <w:p w14:paraId="1B652B78" w14:textId="77777777" w:rsidR="003E095D" w:rsidRPr="004D46AC" w:rsidRDefault="003E095D" w:rsidP="00B518F1">
            <w:pPr>
              <w:spacing w:line="240" w:lineRule="auto"/>
              <w:ind w:firstLine="0"/>
            </w:pPr>
            <w:r w:rsidRPr="004D46AC">
              <w:rPr>
                <w:color w:val="000000"/>
              </w:rPr>
              <w:t>TR21--TR34</w:t>
            </w:r>
          </w:p>
        </w:tc>
        <w:tc>
          <w:tcPr>
            <w:tcW w:w="1704" w:type="dxa"/>
            <w:vAlign w:val="center"/>
          </w:tcPr>
          <w:p w14:paraId="13416706" w14:textId="77777777" w:rsidR="003E095D" w:rsidRPr="004D46AC" w:rsidRDefault="003E095D" w:rsidP="00B518F1">
            <w:pPr>
              <w:spacing w:line="240" w:lineRule="auto"/>
              <w:ind w:firstLine="0"/>
            </w:pPr>
            <w:r w:rsidRPr="004D46AC">
              <w:rPr>
                <w:color w:val="000000"/>
                <w:szCs w:val="21"/>
              </w:rPr>
              <w:t xml:space="preserve">0.17 </w:t>
            </w:r>
          </w:p>
        </w:tc>
        <w:tc>
          <w:tcPr>
            <w:tcW w:w="1704" w:type="dxa"/>
            <w:vAlign w:val="center"/>
          </w:tcPr>
          <w:p w14:paraId="4F1A0F25" w14:textId="77777777" w:rsidR="003E095D" w:rsidRPr="004D46AC" w:rsidRDefault="003E095D" w:rsidP="00B518F1">
            <w:pPr>
              <w:spacing w:line="240" w:lineRule="auto"/>
              <w:ind w:firstLine="0"/>
            </w:pPr>
            <w:r w:rsidRPr="004D46AC">
              <w:rPr>
                <w:color w:val="000000"/>
                <w:szCs w:val="21"/>
              </w:rPr>
              <w:t xml:space="preserve">-0.27 </w:t>
            </w:r>
          </w:p>
        </w:tc>
        <w:tc>
          <w:tcPr>
            <w:tcW w:w="1705" w:type="dxa"/>
            <w:vAlign w:val="center"/>
          </w:tcPr>
          <w:p w14:paraId="35C3E099" w14:textId="77777777" w:rsidR="003E095D" w:rsidRPr="004D46AC" w:rsidRDefault="003E095D" w:rsidP="00B518F1">
            <w:pPr>
              <w:spacing w:line="240" w:lineRule="auto"/>
              <w:ind w:firstLine="0"/>
            </w:pPr>
            <w:r w:rsidRPr="004D46AC">
              <w:rPr>
                <w:color w:val="000000"/>
                <w:szCs w:val="21"/>
              </w:rPr>
              <w:t xml:space="preserve">0.62 </w:t>
            </w:r>
          </w:p>
        </w:tc>
        <w:tc>
          <w:tcPr>
            <w:tcW w:w="1705" w:type="dxa"/>
            <w:vAlign w:val="center"/>
          </w:tcPr>
          <w:p w14:paraId="368C2579" w14:textId="77777777" w:rsidR="003E095D" w:rsidRPr="004D46AC" w:rsidRDefault="003E095D" w:rsidP="00B518F1">
            <w:pPr>
              <w:spacing w:line="240" w:lineRule="auto"/>
              <w:ind w:firstLine="0"/>
            </w:pPr>
            <w:r w:rsidRPr="004D46AC">
              <w:rPr>
                <w:color w:val="000000"/>
                <w:szCs w:val="21"/>
              </w:rPr>
              <w:t xml:space="preserve">0.40 </w:t>
            </w:r>
          </w:p>
        </w:tc>
      </w:tr>
      <w:tr w:rsidR="003E095D" w:rsidRPr="004D46AC" w14:paraId="7C9ACDAB" w14:textId="77777777" w:rsidTr="00B518F1">
        <w:tc>
          <w:tcPr>
            <w:tcW w:w="1704" w:type="dxa"/>
            <w:vAlign w:val="center"/>
          </w:tcPr>
          <w:p w14:paraId="75677B83" w14:textId="77777777" w:rsidR="003E095D" w:rsidRPr="004D46AC" w:rsidRDefault="003E095D" w:rsidP="00B518F1">
            <w:pPr>
              <w:spacing w:line="240" w:lineRule="auto"/>
              <w:ind w:firstLine="0"/>
            </w:pPr>
            <w:r w:rsidRPr="004D46AC">
              <w:rPr>
                <w:color w:val="000000"/>
              </w:rPr>
              <w:t>TR24--TR30</w:t>
            </w:r>
          </w:p>
        </w:tc>
        <w:tc>
          <w:tcPr>
            <w:tcW w:w="1704" w:type="dxa"/>
            <w:vAlign w:val="center"/>
          </w:tcPr>
          <w:p w14:paraId="1DFA3B71" w14:textId="77777777" w:rsidR="003E095D" w:rsidRPr="004D46AC" w:rsidRDefault="003E095D" w:rsidP="00B518F1">
            <w:pPr>
              <w:spacing w:line="240" w:lineRule="auto"/>
              <w:ind w:firstLine="0"/>
            </w:pPr>
            <w:r w:rsidRPr="004D46AC">
              <w:rPr>
                <w:color w:val="000000"/>
                <w:szCs w:val="21"/>
              </w:rPr>
              <w:t xml:space="preserve">0.17 </w:t>
            </w:r>
          </w:p>
        </w:tc>
        <w:tc>
          <w:tcPr>
            <w:tcW w:w="1704" w:type="dxa"/>
            <w:vAlign w:val="center"/>
          </w:tcPr>
          <w:p w14:paraId="23C7126D"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271AB82A" w14:textId="77777777" w:rsidR="003E095D" w:rsidRPr="004D46AC" w:rsidRDefault="003E095D" w:rsidP="00B518F1">
            <w:pPr>
              <w:spacing w:line="240" w:lineRule="auto"/>
              <w:ind w:firstLine="0"/>
            </w:pPr>
            <w:r w:rsidRPr="004D46AC">
              <w:rPr>
                <w:color w:val="000000"/>
                <w:szCs w:val="21"/>
              </w:rPr>
              <w:t xml:space="preserve">0.58 </w:t>
            </w:r>
          </w:p>
        </w:tc>
        <w:tc>
          <w:tcPr>
            <w:tcW w:w="1705" w:type="dxa"/>
            <w:vAlign w:val="center"/>
          </w:tcPr>
          <w:p w14:paraId="4717F18F" w14:textId="77777777" w:rsidR="003E095D" w:rsidRPr="004D46AC" w:rsidRDefault="003E095D" w:rsidP="00B518F1">
            <w:pPr>
              <w:spacing w:line="240" w:lineRule="auto"/>
              <w:ind w:firstLine="0"/>
            </w:pPr>
            <w:r w:rsidRPr="004D46AC">
              <w:rPr>
                <w:color w:val="000000"/>
                <w:szCs w:val="21"/>
              </w:rPr>
              <w:t xml:space="preserve">0.56 </w:t>
            </w:r>
          </w:p>
        </w:tc>
      </w:tr>
      <w:tr w:rsidR="003E095D" w:rsidRPr="004D46AC" w14:paraId="02B578AC" w14:textId="77777777" w:rsidTr="00B518F1">
        <w:tc>
          <w:tcPr>
            <w:tcW w:w="1704" w:type="dxa"/>
            <w:vAlign w:val="center"/>
          </w:tcPr>
          <w:p w14:paraId="59D10757" w14:textId="77777777" w:rsidR="003E095D" w:rsidRPr="004D46AC" w:rsidRDefault="003E095D" w:rsidP="00B518F1">
            <w:pPr>
              <w:spacing w:line="240" w:lineRule="auto"/>
              <w:ind w:firstLine="0"/>
            </w:pPr>
            <w:r w:rsidRPr="004D46AC">
              <w:rPr>
                <w:color w:val="000000"/>
              </w:rPr>
              <w:t>TR21--TR30</w:t>
            </w:r>
          </w:p>
        </w:tc>
        <w:tc>
          <w:tcPr>
            <w:tcW w:w="1704" w:type="dxa"/>
            <w:vAlign w:val="center"/>
          </w:tcPr>
          <w:p w14:paraId="431375F0" w14:textId="77777777" w:rsidR="003E095D" w:rsidRPr="004D46AC" w:rsidRDefault="003E095D" w:rsidP="00B518F1">
            <w:pPr>
              <w:spacing w:line="240" w:lineRule="auto"/>
              <w:ind w:firstLine="0"/>
            </w:pPr>
            <w:r w:rsidRPr="004D46AC">
              <w:rPr>
                <w:color w:val="000000"/>
                <w:szCs w:val="21"/>
              </w:rPr>
              <w:t xml:space="preserve">0.16 </w:t>
            </w:r>
          </w:p>
        </w:tc>
        <w:tc>
          <w:tcPr>
            <w:tcW w:w="1704" w:type="dxa"/>
            <w:vAlign w:val="center"/>
          </w:tcPr>
          <w:p w14:paraId="5CA05027" w14:textId="77777777" w:rsidR="003E095D" w:rsidRPr="004D46AC" w:rsidRDefault="003E095D" w:rsidP="00B518F1">
            <w:pPr>
              <w:spacing w:line="240" w:lineRule="auto"/>
              <w:ind w:firstLine="0"/>
            </w:pPr>
            <w:r w:rsidRPr="004D46AC">
              <w:rPr>
                <w:color w:val="000000"/>
                <w:szCs w:val="21"/>
              </w:rPr>
              <w:t xml:space="preserve">-0.29 </w:t>
            </w:r>
          </w:p>
        </w:tc>
        <w:tc>
          <w:tcPr>
            <w:tcW w:w="1705" w:type="dxa"/>
            <w:vAlign w:val="center"/>
          </w:tcPr>
          <w:p w14:paraId="0D2FCB74" w14:textId="77777777" w:rsidR="003E095D" w:rsidRPr="004D46AC" w:rsidRDefault="003E095D" w:rsidP="00B518F1">
            <w:pPr>
              <w:spacing w:line="240" w:lineRule="auto"/>
              <w:ind w:firstLine="0"/>
            </w:pPr>
            <w:r w:rsidRPr="004D46AC">
              <w:rPr>
                <w:color w:val="000000"/>
                <w:szCs w:val="21"/>
              </w:rPr>
              <w:t xml:space="preserve">0.62 </w:t>
            </w:r>
          </w:p>
        </w:tc>
        <w:tc>
          <w:tcPr>
            <w:tcW w:w="1705" w:type="dxa"/>
            <w:vAlign w:val="center"/>
          </w:tcPr>
          <w:p w14:paraId="7D9CC81A" w14:textId="77777777" w:rsidR="003E095D" w:rsidRPr="004D46AC" w:rsidRDefault="003E095D" w:rsidP="00B518F1">
            <w:pPr>
              <w:spacing w:line="240" w:lineRule="auto"/>
              <w:ind w:firstLine="0"/>
            </w:pPr>
            <w:r w:rsidRPr="004D46AC">
              <w:rPr>
                <w:color w:val="000000"/>
                <w:szCs w:val="21"/>
              </w:rPr>
              <w:t xml:space="preserve">0.46 </w:t>
            </w:r>
          </w:p>
        </w:tc>
      </w:tr>
      <w:tr w:rsidR="003E095D" w:rsidRPr="004D46AC" w14:paraId="765711A0" w14:textId="77777777" w:rsidTr="00B518F1">
        <w:tc>
          <w:tcPr>
            <w:tcW w:w="1704" w:type="dxa"/>
            <w:vAlign w:val="center"/>
          </w:tcPr>
          <w:p w14:paraId="06E30F44" w14:textId="77777777" w:rsidR="003E095D" w:rsidRPr="004D46AC" w:rsidRDefault="003E095D" w:rsidP="00B518F1">
            <w:pPr>
              <w:spacing w:line="240" w:lineRule="auto"/>
              <w:ind w:firstLine="0"/>
            </w:pPr>
            <w:r w:rsidRPr="004D46AC">
              <w:rPr>
                <w:color w:val="000000"/>
              </w:rPr>
              <w:t>TR15--TR24</w:t>
            </w:r>
          </w:p>
        </w:tc>
        <w:tc>
          <w:tcPr>
            <w:tcW w:w="1704" w:type="dxa"/>
            <w:vAlign w:val="center"/>
          </w:tcPr>
          <w:p w14:paraId="4FCD60B2" w14:textId="77777777" w:rsidR="003E095D" w:rsidRPr="004D46AC" w:rsidRDefault="003E095D" w:rsidP="00B518F1">
            <w:pPr>
              <w:spacing w:line="240" w:lineRule="auto"/>
              <w:ind w:firstLine="0"/>
            </w:pPr>
            <w:r w:rsidRPr="004D46AC">
              <w:rPr>
                <w:color w:val="000000"/>
                <w:szCs w:val="21"/>
              </w:rPr>
              <w:t xml:space="preserve">0.15 </w:t>
            </w:r>
          </w:p>
        </w:tc>
        <w:tc>
          <w:tcPr>
            <w:tcW w:w="1704" w:type="dxa"/>
            <w:vAlign w:val="center"/>
          </w:tcPr>
          <w:p w14:paraId="150377F4" w14:textId="77777777" w:rsidR="003E095D" w:rsidRPr="004D46AC" w:rsidRDefault="003E095D" w:rsidP="00B518F1">
            <w:pPr>
              <w:spacing w:line="240" w:lineRule="auto"/>
              <w:ind w:firstLine="0"/>
            </w:pPr>
            <w:r w:rsidRPr="004D46AC">
              <w:rPr>
                <w:color w:val="000000"/>
                <w:szCs w:val="21"/>
              </w:rPr>
              <w:t xml:space="preserve">-0.27 </w:t>
            </w:r>
          </w:p>
        </w:tc>
        <w:tc>
          <w:tcPr>
            <w:tcW w:w="1705" w:type="dxa"/>
            <w:vAlign w:val="center"/>
          </w:tcPr>
          <w:p w14:paraId="411D9A64" w14:textId="77777777" w:rsidR="003E095D" w:rsidRPr="004D46AC" w:rsidRDefault="003E095D" w:rsidP="00B518F1">
            <w:pPr>
              <w:spacing w:line="240" w:lineRule="auto"/>
              <w:ind w:firstLine="0"/>
            </w:pPr>
            <w:r w:rsidRPr="004D46AC">
              <w:rPr>
                <w:color w:val="000000"/>
                <w:szCs w:val="21"/>
              </w:rPr>
              <w:t xml:space="preserve">0.58 </w:t>
            </w:r>
          </w:p>
        </w:tc>
        <w:tc>
          <w:tcPr>
            <w:tcW w:w="1705" w:type="dxa"/>
            <w:vAlign w:val="center"/>
          </w:tcPr>
          <w:p w14:paraId="27B8C47F" w14:textId="77777777" w:rsidR="003E095D" w:rsidRPr="004D46AC" w:rsidRDefault="003E095D" w:rsidP="00B518F1">
            <w:pPr>
              <w:spacing w:line="240" w:lineRule="auto"/>
              <w:ind w:firstLine="0"/>
            </w:pPr>
            <w:r w:rsidRPr="004D46AC">
              <w:rPr>
                <w:color w:val="000000"/>
                <w:szCs w:val="21"/>
              </w:rPr>
              <w:t xml:space="preserve">0.45 </w:t>
            </w:r>
          </w:p>
        </w:tc>
      </w:tr>
      <w:tr w:rsidR="003E095D" w:rsidRPr="004D46AC" w14:paraId="3C5DC4B4" w14:textId="77777777" w:rsidTr="00B518F1">
        <w:tc>
          <w:tcPr>
            <w:tcW w:w="1704" w:type="dxa"/>
            <w:vAlign w:val="center"/>
          </w:tcPr>
          <w:p w14:paraId="054C30FF" w14:textId="77777777" w:rsidR="003E095D" w:rsidRPr="004D46AC" w:rsidRDefault="003E095D" w:rsidP="00B518F1">
            <w:pPr>
              <w:spacing w:line="240" w:lineRule="auto"/>
              <w:ind w:firstLine="0"/>
            </w:pPr>
            <w:r w:rsidRPr="004D46AC">
              <w:rPr>
                <w:color w:val="000000"/>
              </w:rPr>
              <w:t>TR26--TR17</w:t>
            </w:r>
          </w:p>
        </w:tc>
        <w:tc>
          <w:tcPr>
            <w:tcW w:w="1704" w:type="dxa"/>
            <w:vAlign w:val="center"/>
          </w:tcPr>
          <w:p w14:paraId="57006281" w14:textId="77777777" w:rsidR="003E095D" w:rsidRPr="004D46AC" w:rsidRDefault="003E095D" w:rsidP="00B518F1">
            <w:pPr>
              <w:spacing w:line="240" w:lineRule="auto"/>
              <w:ind w:firstLine="0"/>
            </w:pPr>
            <w:r w:rsidRPr="004D46AC">
              <w:rPr>
                <w:color w:val="000000"/>
                <w:szCs w:val="21"/>
              </w:rPr>
              <w:t xml:space="preserve">0.14 </w:t>
            </w:r>
          </w:p>
        </w:tc>
        <w:tc>
          <w:tcPr>
            <w:tcW w:w="1704" w:type="dxa"/>
            <w:vAlign w:val="center"/>
          </w:tcPr>
          <w:p w14:paraId="44CFCDB9" w14:textId="77777777" w:rsidR="003E095D" w:rsidRPr="004D46AC" w:rsidRDefault="003E095D" w:rsidP="00B518F1">
            <w:pPr>
              <w:spacing w:line="240" w:lineRule="auto"/>
              <w:ind w:firstLine="0"/>
            </w:pPr>
            <w:r w:rsidRPr="004D46AC">
              <w:rPr>
                <w:color w:val="000000"/>
                <w:szCs w:val="21"/>
              </w:rPr>
              <w:t xml:space="preserve">-0.29 </w:t>
            </w:r>
          </w:p>
        </w:tc>
        <w:tc>
          <w:tcPr>
            <w:tcW w:w="1705" w:type="dxa"/>
            <w:vAlign w:val="center"/>
          </w:tcPr>
          <w:p w14:paraId="73140A65" w14:textId="77777777" w:rsidR="003E095D" w:rsidRPr="004D46AC" w:rsidRDefault="003E095D" w:rsidP="00B518F1">
            <w:pPr>
              <w:spacing w:line="240" w:lineRule="auto"/>
              <w:ind w:firstLine="0"/>
            </w:pPr>
            <w:r w:rsidRPr="004D46AC">
              <w:rPr>
                <w:color w:val="000000"/>
                <w:szCs w:val="21"/>
              </w:rPr>
              <w:t xml:space="preserve">0.57 </w:t>
            </w:r>
          </w:p>
        </w:tc>
        <w:tc>
          <w:tcPr>
            <w:tcW w:w="1705" w:type="dxa"/>
            <w:vAlign w:val="center"/>
          </w:tcPr>
          <w:p w14:paraId="62DFBCE0" w14:textId="77777777" w:rsidR="003E095D" w:rsidRPr="004D46AC" w:rsidRDefault="003E095D" w:rsidP="00B518F1">
            <w:pPr>
              <w:spacing w:line="240" w:lineRule="auto"/>
              <w:ind w:firstLine="0"/>
            </w:pPr>
            <w:r w:rsidRPr="004D46AC">
              <w:rPr>
                <w:color w:val="000000"/>
                <w:szCs w:val="21"/>
              </w:rPr>
              <w:t xml:space="preserve">0.39 </w:t>
            </w:r>
          </w:p>
        </w:tc>
      </w:tr>
      <w:tr w:rsidR="003E095D" w:rsidRPr="004D46AC" w14:paraId="474D08B2" w14:textId="77777777" w:rsidTr="00B518F1">
        <w:tc>
          <w:tcPr>
            <w:tcW w:w="1704" w:type="dxa"/>
            <w:vAlign w:val="center"/>
          </w:tcPr>
          <w:p w14:paraId="744FF35F" w14:textId="77777777" w:rsidR="003E095D" w:rsidRPr="004D46AC" w:rsidRDefault="003E095D" w:rsidP="00B518F1">
            <w:pPr>
              <w:spacing w:line="240" w:lineRule="auto"/>
              <w:ind w:firstLine="0"/>
            </w:pPr>
            <w:r w:rsidRPr="004D46AC">
              <w:rPr>
                <w:color w:val="000000"/>
              </w:rPr>
              <w:t>TR24--TR33</w:t>
            </w:r>
          </w:p>
        </w:tc>
        <w:tc>
          <w:tcPr>
            <w:tcW w:w="1704" w:type="dxa"/>
            <w:vAlign w:val="center"/>
          </w:tcPr>
          <w:p w14:paraId="3A387661" w14:textId="77777777" w:rsidR="003E095D" w:rsidRPr="004D46AC" w:rsidRDefault="003E095D" w:rsidP="00B518F1">
            <w:pPr>
              <w:spacing w:line="240" w:lineRule="auto"/>
              <w:ind w:firstLine="0"/>
            </w:pPr>
            <w:r w:rsidRPr="004D46AC">
              <w:rPr>
                <w:color w:val="000000"/>
                <w:szCs w:val="21"/>
              </w:rPr>
              <w:t xml:space="preserve">0.13 </w:t>
            </w:r>
          </w:p>
        </w:tc>
        <w:tc>
          <w:tcPr>
            <w:tcW w:w="1704" w:type="dxa"/>
            <w:vAlign w:val="center"/>
          </w:tcPr>
          <w:p w14:paraId="23222C40" w14:textId="77777777" w:rsidR="003E095D" w:rsidRPr="004D46AC" w:rsidRDefault="003E095D" w:rsidP="00B518F1">
            <w:pPr>
              <w:spacing w:line="240" w:lineRule="auto"/>
              <w:ind w:firstLine="0"/>
            </w:pPr>
            <w:r w:rsidRPr="004D46AC">
              <w:rPr>
                <w:color w:val="000000"/>
                <w:szCs w:val="21"/>
              </w:rPr>
              <w:t xml:space="preserve">-0.32 </w:t>
            </w:r>
          </w:p>
        </w:tc>
        <w:tc>
          <w:tcPr>
            <w:tcW w:w="1705" w:type="dxa"/>
            <w:vAlign w:val="center"/>
          </w:tcPr>
          <w:p w14:paraId="710851E3" w14:textId="77777777" w:rsidR="003E095D" w:rsidRPr="004D46AC" w:rsidRDefault="003E095D" w:rsidP="00B518F1">
            <w:pPr>
              <w:spacing w:line="240" w:lineRule="auto"/>
              <w:ind w:firstLine="0"/>
            </w:pPr>
            <w:r w:rsidRPr="004D46AC">
              <w:rPr>
                <w:color w:val="000000"/>
                <w:szCs w:val="21"/>
              </w:rPr>
              <w:t xml:space="preserve">0.58 </w:t>
            </w:r>
          </w:p>
        </w:tc>
        <w:tc>
          <w:tcPr>
            <w:tcW w:w="1705" w:type="dxa"/>
            <w:vAlign w:val="center"/>
          </w:tcPr>
          <w:p w14:paraId="673A6BF8" w14:textId="77777777" w:rsidR="003E095D" w:rsidRPr="004D46AC" w:rsidRDefault="003E095D" w:rsidP="00B518F1">
            <w:pPr>
              <w:spacing w:line="240" w:lineRule="auto"/>
              <w:ind w:firstLine="0"/>
            </w:pPr>
            <w:r w:rsidRPr="004D46AC">
              <w:rPr>
                <w:color w:val="000000"/>
                <w:szCs w:val="21"/>
              </w:rPr>
              <w:t xml:space="preserve">0.54 </w:t>
            </w:r>
          </w:p>
        </w:tc>
      </w:tr>
      <w:tr w:rsidR="003E095D" w:rsidRPr="004D46AC" w14:paraId="4908FFA2" w14:textId="77777777" w:rsidTr="00B518F1">
        <w:tc>
          <w:tcPr>
            <w:tcW w:w="1704" w:type="dxa"/>
            <w:vAlign w:val="center"/>
          </w:tcPr>
          <w:p w14:paraId="71537B50" w14:textId="77777777" w:rsidR="003E095D" w:rsidRPr="004D46AC" w:rsidRDefault="003E095D" w:rsidP="00B518F1">
            <w:pPr>
              <w:spacing w:line="240" w:lineRule="auto"/>
              <w:ind w:firstLine="0"/>
            </w:pPr>
            <w:r w:rsidRPr="004D46AC">
              <w:rPr>
                <w:color w:val="000000"/>
              </w:rPr>
              <w:t>TR7--TR18</w:t>
            </w:r>
          </w:p>
        </w:tc>
        <w:tc>
          <w:tcPr>
            <w:tcW w:w="1704" w:type="dxa"/>
            <w:vAlign w:val="center"/>
          </w:tcPr>
          <w:p w14:paraId="2AAEA66C" w14:textId="77777777" w:rsidR="003E095D" w:rsidRPr="004D46AC" w:rsidRDefault="003E095D" w:rsidP="00B518F1">
            <w:pPr>
              <w:spacing w:line="240" w:lineRule="auto"/>
              <w:ind w:firstLine="0"/>
            </w:pPr>
            <w:r w:rsidRPr="004D46AC">
              <w:rPr>
                <w:color w:val="000000"/>
                <w:szCs w:val="21"/>
              </w:rPr>
              <w:t xml:space="preserve">0.10 </w:t>
            </w:r>
          </w:p>
        </w:tc>
        <w:tc>
          <w:tcPr>
            <w:tcW w:w="1704" w:type="dxa"/>
            <w:vAlign w:val="center"/>
          </w:tcPr>
          <w:p w14:paraId="0933488A" w14:textId="77777777" w:rsidR="003E095D" w:rsidRPr="004D46AC" w:rsidRDefault="003E095D" w:rsidP="00B518F1">
            <w:pPr>
              <w:spacing w:line="240" w:lineRule="auto"/>
              <w:ind w:firstLine="0"/>
            </w:pPr>
            <w:r w:rsidRPr="004D46AC">
              <w:rPr>
                <w:color w:val="000000"/>
                <w:szCs w:val="21"/>
              </w:rPr>
              <w:t xml:space="preserve">-0.47 </w:t>
            </w:r>
          </w:p>
        </w:tc>
        <w:tc>
          <w:tcPr>
            <w:tcW w:w="1705" w:type="dxa"/>
            <w:vAlign w:val="center"/>
          </w:tcPr>
          <w:p w14:paraId="0F729EAB" w14:textId="77777777" w:rsidR="003E095D" w:rsidRPr="004D46AC" w:rsidRDefault="003E095D" w:rsidP="00B518F1">
            <w:pPr>
              <w:spacing w:line="240" w:lineRule="auto"/>
              <w:ind w:firstLine="0"/>
            </w:pPr>
            <w:r w:rsidRPr="004D46AC">
              <w:rPr>
                <w:color w:val="000000"/>
                <w:szCs w:val="21"/>
              </w:rPr>
              <w:t xml:space="preserve">0.67 </w:t>
            </w:r>
          </w:p>
        </w:tc>
        <w:tc>
          <w:tcPr>
            <w:tcW w:w="1705" w:type="dxa"/>
            <w:vAlign w:val="center"/>
          </w:tcPr>
          <w:p w14:paraId="3B3DB301" w14:textId="77777777" w:rsidR="003E095D" w:rsidRPr="004D46AC" w:rsidRDefault="003E095D" w:rsidP="00B518F1">
            <w:pPr>
              <w:spacing w:line="240" w:lineRule="auto"/>
              <w:ind w:firstLine="0"/>
            </w:pPr>
            <w:r w:rsidRPr="004D46AC">
              <w:rPr>
                <w:color w:val="000000"/>
                <w:szCs w:val="21"/>
              </w:rPr>
              <w:t xml:space="preserve">0.60 </w:t>
            </w:r>
          </w:p>
        </w:tc>
      </w:tr>
      <w:tr w:rsidR="003E095D" w:rsidRPr="004D46AC" w14:paraId="42632CB9" w14:textId="77777777" w:rsidTr="00B518F1">
        <w:tc>
          <w:tcPr>
            <w:tcW w:w="1704" w:type="dxa"/>
            <w:vAlign w:val="center"/>
          </w:tcPr>
          <w:p w14:paraId="7943D49F" w14:textId="77777777" w:rsidR="003E095D" w:rsidRPr="004D46AC" w:rsidRDefault="003E095D" w:rsidP="00B518F1">
            <w:pPr>
              <w:spacing w:line="240" w:lineRule="auto"/>
              <w:ind w:firstLine="0"/>
            </w:pPr>
            <w:r w:rsidRPr="004D46AC">
              <w:rPr>
                <w:color w:val="000000"/>
              </w:rPr>
              <w:t>TR12--TR26</w:t>
            </w:r>
          </w:p>
        </w:tc>
        <w:tc>
          <w:tcPr>
            <w:tcW w:w="1704" w:type="dxa"/>
            <w:vAlign w:val="center"/>
          </w:tcPr>
          <w:p w14:paraId="3A40D1BF" w14:textId="77777777" w:rsidR="003E095D" w:rsidRPr="004D46AC" w:rsidRDefault="003E095D" w:rsidP="00B518F1">
            <w:pPr>
              <w:spacing w:line="240" w:lineRule="auto"/>
              <w:ind w:firstLine="0"/>
            </w:pPr>
            <w:r w:rsidRPr="004D46AC">
              <w:rPr>
                <w:color w:val="000000"/>
                <w:szCs w:val="21"/>
              </w:rPr>
              <w:t xml:space="preserve">0.06 </w:t>
            </w:r>
          </w:p>
        </w:tc>
        <w:tc>
          <w:tcPr>
            <w:tcW w:w="1704" w:type="dxa"/>
            <w:vAlign w:val="center"/>
          </w:tcPr>
          <w:p w14:paraId="63BB5B22" w14:textId="77777777" w:rsidR="003E095D" w:rsidRPr="004D46AC" w:rsidRDefault="003E095D" w:rsidP="00B518F1">
            <w:pPr>
              <w:spacing w:line="240" w:lineRule="auto"/>
              <w:ind w:firstLine="0"/>
            </w:pPr>
            <w:r w:rsidRPr="004D46AC">
              <w:rPr>
                <w:color w:val="000000"/>
                <w:szCs w:val="21"/>
              </w:rPr>
              <w:t xml:space="preserve">-0.35 </w:t>
            </w:r>
          </w:p>
        </w:tc>
        <w:tc>
          <w:tcPr>
            <w:tcW w:w="1705" w:type="dxa"/>
            <w:vAlign w:val="center"/>
          </w:tcPr>
          <w:p w14:paraId="25A423E2" w14:textId="77777777" w:rsidR="003E095D" w:rsidRPr="004D46AC" w:rsidRDefault="003E095D" w:rsidP="00B518F1">
            <w:pPr>
              <w:spacing w:line="240" w:lineRule="auto"/>
              <w:ind w:firstLine="0"/>
            </w:pPr>
            <w:r w:rsidRPr="004D46AC">
              <w:rPr>
                <w:color w:val="000000"/>
                <w:szCs w:val="21"/>
              </w:rPr>
              <w:t xml:space="preserve">0.46 </w:t>
            </w:r>
          </w:p>
        </w:tc>
        <w:tc>
          <w:tcPr>
            <w:tcW w:w="1705" w:type="dxa"/>
            <w:vAlign w:val="center"/>
          </w:tcPr>
          <w:p w14:paraId="25016A99" w14:textId="77777777" w:rsidR="003E095D" w:rsidRPr="004D46AC" w:rsidRDefault="003E095D" w:rsidP="00B518F1">
            <w:pPr>
              <w:spacing w:line="240" w:lineRule="auto"/>
              <w:ind w:firstLine="0"/>
            </w:pPr>
            <w:r w:rsidRPr="004D46AC">
              <w:rPr>
                <w:color w:val="000000"/>
                <w:szCs w:val="21"/>
              </w:rPr>
              <w:t xml:space="preserve">0.64 </w:t>
            </w:r>
          </w:p>
        </w:tc>
      </w:tr>
    </w:tbl>
    <w:p w14:paraId="71B7976F" w14:textId="77777777" w:rsidR="003E095D" w:rsidRPr="004D46AC" w:rsidRDefault="003E095D" w:rsidP="003E095D">
      <w:pPr>
        <w:spacing w:line="240" w:lineRule="auto"/>
        <w:ind w:firstLine="0"/>
      </w:pPr>
      <w:r w:rsidRPr="004D46AC">
        <w:rPr>
          <w:i/>
          <w:iCs/>
        </w:rPr>
        <w:t>Note</w:t>
      </w:r>
      <w:r w:rsidRPr="004D46AC">
        <w:t>. Bootstrapped edge statistics were based on 2,000 resampled datasets. P</w:t>
      </w:r>
      <w:r w:rsidRPr="004D46AC">
        <w:rPr>
          <w:rFonts w:ascii="Cambria Math" w:hAnsi="Cambria Math" w:cs="Cambria Math" w:hint="eastAsia"/>
        </w:rPr>
        <w:t xml:space="preserve">0 </w:t>
      </w:r>
      <w:r w:rsidRPr="004D46AC">
        <w:t>indicates the proportion of times an edge was present across the bootstrap samples.</w:t>
      </w:r>
    </w:p>
    <w:p w14:paraId="2B39828C" w14:textId="77777777" w:rsidR="003E095D" w:rsidRPr="004D46AC" w:rsidRDefault="003E095D" w:rsidP="003E095D">
      <w:pPr>
        <w:spacing w:line="240" w:lineRule="auto"/>
        <w:ind w:firstLine="0"/>
      </w:pPr>
    </w:p>
    <w:p w14:paraId="27D5F21C" w14:textId="77777777" w:rsidR="007075D9" w:rsidRPr="004D46AC" w:rsidRDefault="007075D9" w:rsidP="002C5F6E">
      <w:pPr>
        <w:spacing w:line="240" w:lineRule="auto"/>
        <w:ind w:firstLine="0"/>
      </w:pPr>
    </w:p>
    <w:p w14:paraId="55B5E2AE" w14:textId="77777777" w:rsidR="007075D9" w:rsidRPr="004D46AC" w:rsidRDefault="007075D9" w:rsidP="002C5F6E">
      <w:pPr>
        <w:spacing w:line="240" w:lineRule="auto"/>
        <w:ind w:firstLine="0"/>
      </w:pPr>
    </w:p>
    <w:p w14:paraId="3DC60421" w14:textId="77777777" w:rsidR="007075D9" w:rsidRPr="004D46AC" w:rsidRDefault="007075D9" w:rsidP="002C5F6E">
      <w:pPr>
        <w:spacing w:line="240" w:lineRule="auto"/>
        <w:ind w:firstLine="0"/>
      </w:pPr>
    </w:p>
    <w:p w14:paraId="70993470" w14:textId="77777777" w:rsidR="007075D9" w:rsidRPr="004D46AC" w:rsidRDefault="007075D9" w:rsidP="002C5F6E">
      <w:pPr>
        <w:spacing w:line="240" w:lineRule="auto"/>
        <w:ind w:firstLine="0"/>
      </w:pPr>
    </w:p>
    <w:p w14:paraId="407D8D58" w14:textId="77777777" w:rsidR="007075D9" w:rsidRPr="004D46AC" w:rsidRDefault="007075D9" w:rsidP="002C5F6E">
      <w:pPr>
        <w:spacing w:line="240" w:lineRule="auto"/>
        <w:ind w:firstLine="0"/>
      </w:pPr>
    </w:p>
    <w:p w14:paraId="2BA44F19" w14:textId="77777777" w:rsidR="007075D9" w:rsidRPr="004D46AC" w:rsidRDefault="007075D9" w:rsidP="002C5F6E">
      <w:pPr>
        <w:spacing w:line="240" w:lineRule="auto"/>
        <w:ind w:firstLine="0"/>
      </w:pPr>
    </w:p>
    <w:p w14:paraId="597B3BA9" w14:textId="77777777" w:rsidR="007075D9" w:rsidRPr="004D46AC" w:rsidRDefault="007075D9" w:rsidP="002C5F6E">
      <w:pPr>
        <w:spacing w:line="240" w:lineRule="auto"/>
        <w:ind w:firstLine="0"/>
      </w:pPr>
    </w:p>
    <w:p w14:paraId="67ACAA78" w14:textId="77777777" w:rsidR="007075D9" w:rsidRPr="004D46AC" w:rsidRDefault="007075D9" w:rsidP="002C5F6E">
      <w:pPr>
        <w:spacing w:line="240" w:lineRule="auto"/>
        <w:ind w:firstLine="0"/>
      </w:pPr>
    </w:p>
    <w:p w14:paraId="6614A2E5" w14:textId="77777777" w:rsidR="007075D9" w:rsidRPr="004D46AC" w:rsidRDefault="007075D9" w:rsidP="002C5F6E">
      <w:pPr>
        <w:spacing w:line="240" w:lineRule="auto"/>
        <w:ind w:firstLine="0"/>
      </w:pPr>
    </w:p>
    <w:p w14:paraId="40BA1B36" w14:textId="77777777" w:rsidR="007075D9" w:rsidRPr="004D46AC" w:rsidRDefault="007075D9" w:rsidP="002C5F6E">
      <w:pPr>
        <w:spacing w:line="240" w:lineRule="auto"/>
        <w:ind w:firstLine="0"/>
      </w:pPr>
    </w:p>
    <w:p w14:paraId="3EB2AF4C" w14:textId="77777777" w:rsidR="007075D9" w:rsidRPr="004D46AC" w:rsidRDefault="007075D9" w:rsidP="002C5F6E">
      <w:pPr>
        <w:spacing w:line="240" w:lineRule="auto"/>
        <w:ind w:firstLine="0"/>
      </w:pPr>
    </w:p>
    <w:p w14:paraId="67FBD7CA" w14:textId="77777777" w:rsidR="007075D9" w:rsidRPr="004D46AC" w:rsidRDefault="007075D9" w:rsidP="002C5F6E">
      <w:pPr>
        <w:spacing w:line="240" w:lineRule="auto"/>
        <w:ind w:firstLine="0"/>
      </w:pPr>
    </w:p>
    <w:p w14:paraId="439250C6" w14:textId="77777777" w:rsidR="007075D9" w:rsidRPr="004D46AC" w:rsidRDefault="007075D9" w:rsidP="002C5F6E">
      <w:pPr>
        <w:spacing w:line="240" w:lineRule="auto"/>
        <w:ind w:firstLine="0"/>
      </w:pPr>
    </w:p>
    <w:p w14:paraId="5F31A773" w14:textId="77777777" w:rsidR="007075D9" w:rsidRPr="004D46AC" w:rsidRDefault="007075D9" w:rsidP="002C5F6E">
      <w:pPr>
        <w:spacing w:line="240" w:lineRule="auto"/>
        <w:ind w:firstLine="0"/>
      </w:pPr>
    </w:p>
    <w:p w14:paraId="0EF1D9B8" w14:textId="77777777" w:rsidR="007075D9" w:rsidRPr="004D46AC" w:rsidRDefault="007075D9" w:rsidP="002C5F6E">
      <w:pPr>
        <w:spacing w:line="240" w:lineRule="auto"/>
        <w:ind w:firstLine="0"/>
      </w:pPr>
    </w:p>
    <w:p w14:paraId="6F3A33BE" w14:textId="77777777" w:rsidR="007075D9" w:rsidRPr="004D46AC" w:rsidRDefault="007075D9" w:rsidP="002C5F6E">
      <w:pPr>
        <w:spacing w:line="240" w:lineRule="auto"/>
        <w:ind w:firstLine="0"/>
      </w:pPr>
    </w:p>
    <w:p w14:paraId="26E0004D" w14:textId="77777777" w:rsidR="007075D9" w:rsidRPr="004D46AC" w:rsidRDefault="007075D9" w:rsidP="002C5F6E">
      <w:pPr>
        <w:spacing w:line="240" w:lineRule="auto"/>
        <w:ind w:firstLine="0"/>
      </w:pPr>
    </w:p>
    <w:p w14:paraId="7A78629C" w14:textId="77777777" w:rsidR="007075D9" w:rsidRPr="004D46AC" w:rsidRDefault="007075D9" w:rsidP="002C5F6E">
      <w:pPr>
        <w:spacing w:line="240" w:lineRule="auto"/>
        <w:ind w:firstLine="0"/>
      </w:pPr>
    </w:p>
    <w:p w14:paraId="776BF64D" w14:textId="77777777" w:rsidR="007075D9" w:rsidRPr="004D46AC" w:rsidRDefault="007075D9" w:rsidP="002C5F6E">
      <w:pPr>
        <w:spacing w:line="240" w:lineRule="auto"/>
        <w:ind w:firstLine="0"/>
      </w:pPr>
    </w:p>
    <w:p w14:paraId="03D4DD17" w14:textId="77777777" w:rsidR="007075D9" w:rsidRPr="004D46AC" w:rsidRDefault="007075D9" w:rsidP="002C5F6E">
      <w:pPr>
        <w:spacing w:line="240" w:lineRule="auto"/>
        <w:ind w:firstLine="0"/>
      </w:pPr>
    </w:p>
    <w:p w14:paraId="18326B3D" w14:textId="77777777" w:rsidR="007075D9" w:rsidRPr="004D46AC" w:rsidRDefault="007075D9" w:rsidP="002C5F6E">
      <w:pPr>
        <w:spacing w:line="240" w:lineRule="auto"/>
        <w:ind w:firstLine="0"/>
      </w:pPr>
    </w:p>
    <w:p w14:paraId="6148B942" w14:textId="77777777" w:rsidR="007075D9" w:rsidRPr="004D46AC" w:rsidRDefault="007075D9" w:rsidP="002C5F6E">
      <w:pPr>
        <w:spacing w:line="240" w:lineRule="auto"/>
        <w:ind w:firstLine="0"/>
      </w:pPr>
    </w:p>
    <w:p w14:paraId="3DF7F85C" w14:textId="77777777" w:rsidR="007075D9" w:rsidRPr="004D46AC" w:rsidRDefault="007075D9" w:rsidP="002C5F6E">
      <w:pPr>
        <w:spacing w:line="240" w:lineRule="auto"/>
        <w:ind w:firstLine="0"/>
      </w:pPr>
    </w:p>
    <w:p w14:paraId="6CFFC406" w14:textId="77777777" w:rsidR="007075D9" w:rsidRPr="004D46AC" w:rsidRDefault="007075D9" w:rsidP="002C5F6E">
      <w:pPr>
        <w:spacing w:line="240" w:lineRule="auto"/>
        <w:ind w:firstLine="0"/>
      </w:pPr>
    </w:p>
    <w:p w14:paraId="2B101BE2" w14:textId="77777777" w:rsidR="007075D9" w:rsidRPr="004D46AC" w:rsidRDefault="007075D9" w:rsidP="002C5F6E">
      <w:pPr>
        <w:spacing w:line="240" w:lineRule="auto"/>
        <w:ind w:firstLine="0"/>
      </w:pPr>
    </w:p>
    <w:p w14:paraId="240A70C4" w14:textId="77777777" w:rsidR="007075D9" w:rsidRPr="004D46AC" w:rsidRDefault="007075D9" w:rsidP="002C5F6E">
      <w:pPr>
        <w:spacing w:line="240" w:lineRule="auto"/>
        <w:ind w:firstLine="0"/>
      </w:pPr>
    </w:p>
    <w:p w14:paraId="3F94C381" w14:textId="77777777" w:rsidR="007075D9" w:rsidRPr="004D46AC" w:rsidRDefault="007075D9" w:rsidP="002C5F6E">
      <w:pPr>
        <w:spacing w:line="240" w:lineRule="auto"/>
        <w:ind w:firstLine="0"/>
        <w:rPr>
          <w:rFonts w:eastAsiaTheme="minorEastAsia"/>
        </w:rPr>
      </w:pPr>
    </w:p>
    <w:p w14:paraId="6A1167D0" w14:textId="77777777" w:rsidR="00CC3324" w:rsidRPr="004D46AC" w:rsidRDefault="00CC3324" w:rsidP="002C5F6E">
      <w:pPr>
        <w:spacing w:line="240" w:lineRule="auto"/>
        <w:ind w:firstLine="0"/>
        <w:rPr>
          <w:rFonts w:eastAsiaTheme="minorEastAsia"/>
        </w:rPr>
      </w:pPr>
    </w:p>
    <w:p w14:paraId="01B7359B" w14:textId="77777777" w:rsidR="00CC3324" w:rsidRPr="004D46AC" w:rsidRDefault="00CC3324" w:rsidP="002C5F6E">
      <w:pPr>
        <w:spacing w:line="240" w:lineRule="auto"/>
        <w:ind w:firstLine="0"/>
        <w:rPr>
          <w:rFonts w:eastAsiaTheme="minorEastAsia"/>
        </w:rPr>
      </w:pPr>
    </w:p>
    <w:p w14:paraId="6FED02E2" w14:textId="77777777" w:rsidR="00CC3324" w:rsidRPr="004D46AC" w:rsidRDefault="00CC3324" w:rsidP="002C5F6E">
      <w:pPr>
        <w:spacing w:line="240" w:lineRule="auto"/>
        <w:ind w:firstLine="0"/>
        <w:rPr>
          <w:rFonts w:eastAsiaTheme="minorEastAsia"/>
        </w:rPr>
      </w:pPr>
    </w:p>
    <w:p w14:paraId="49AF3991" w14:textId="77777777" w:rsidR="00CC3324" w:rsidRPr="004D46AC" w:rsidRDefault="00CC3324" w:rsidP="002C5F6E">
      <w:pPr>
        <w:spacing w:line="240" w:lineRule="auto"/>
        <w:ind w:firstLine="0"/>
        <w:rPr>
          <w:rFonts w:eastAsiaTheme="minorEastAsia"/>
        </w:rPr>
      </w:pPr>
    </w:p>
    <w:p w14:paraId="55D5AFB2" w14:textId="77777777" w:rsidR="00CC3324" w:rsidRPr="004D46AC" w:rsidRDefault="00CC3324" w:rsidP="002C5F6E">
      <w:pPr>
        <w:spacing w:line="240" w:lineRule="auto"/>
        <w:ind w:firstLine="0"/>
        <w:rPr>
          <w:rFonts w:eastAsiaTheme="minorEastAsia"/>
        </w:rPr>
      </w:pPr>
    </w:p>
    <w:p w14:paraId="0F50706B" w14:textId="77777777" w:rsidR="00CC3324" w:rsidRPr="004D46AC" w:rsidRDefault="00CC3324" w:rsidP="002C5F6E">
      <w:pPr>
        <w:spacing w:line="240" w:lineRule="auto"/>
        <w:ind w:firstLine="0"/>
        <w:rPr>
          <w:rFonts w:eastAsiaTheme="minorEastAsia"/>
        </w:rPr>
      </w:pPr>
    </w:p>
    <w:p w14:paraId="2FDA8B90" w14:textId="77777777" w:rsidR="00CC3324" w:rsidRPr="004D46AC" w:rsidRDefault="00CC3324" w:rsidP="002C5F6E">
      <w:pPr>
        <w:spacing w:line="240" w:lineRule="auto"/>
        <w:ind w:firstLine="0"/>
        <w:rPr>
          <w:rFonts w:eastAsiaTheme="minorEastAsia"/>
        </w:rPr>
      </w:pPr>
    </w:p>
    <w:p w14:paraId="3041C3D2" w14:textId="77777777" w:rsidR="00CC3324" w:rsidRPr="004D46AC" w:rsidRDefault="00CC3324" w:rsidP="002C5F6E">
      <w:pPr>
        <w:spacing w:line="240" w:lineRule="auto"/>
        <w:ind w:firstLine="0"/>
        <w:rPr>
          <w:rFonts w:eastAsiaTheme="minorEastAsia"/>
        </w:rPr>
      </w:pPr>
    </w:p>
    <w:p w14:paraId="78645186" w14:textId="77777777" w:rsidR="00CC3324" w:rsidRPr="004D46AC" w:rsidRDefault="00CC3324" w:rsidP="002C5F6E">
      <w:pPr>
        <w:spacing w:line="240" w:lineRule="auto"/>
        <w:ind w:firstLine="0"/>
        <w:rPr>
          <w:rFonts w:eastAsiaTheme="minorEastAsia"/>
        </w:rPr>
      </w:pPr>
    </w:p>
    <w:p w14:paraId="6459D13E" w14:textId="77777777" w:rsidR="00CC3324" w:rsidRPr="004D46AC" w:rsidRDefault="00CC3324" w:rsidP="002C5F6E">
      <w:pPr>
        <w:spacing w:line="240" w:lineRule="auto"/>
        <w:ind w:firstLine="0"/>
        <w:rPr>
          <w:rFonts w:eastAsiaTheme="minorEastAsia"/>
        </w:rPr>
      </w:pPr>
    </w:p>
    <w:p w14:paraId="490A1803" w14:textId="77777777" w:rsidR="00CC3324" w:rsidRPr="004D46AC" w:rsidRDefault="00CC3324" w:rsidP="002C5F6E">
      <w:pPr>
        <w:spacing w:line="240" w:lineRule="auto"/>
        <w:ind w:firstLine="0"/>
        <w:rPr>
          <w:rFonts w:eastAsiaTheme="minorEastAsia"/>
        </w:rPr>
      </w:pPr>
    </w:p>
    <w:p w14:paraId="491CFD76" w14:textId="77777777" w:rsidR="007075D9" w:rsidRPr="004D46AC" w:rsidRDefault="007075D9" w:rsidP="002C5F6E">
      <w:pPr>
        <w:spacing w:line="240" w:lineRule="auto"/>
        <w:ind w:firstLine="0"/>
      </w:pPr>
    </w:p>
    <w:p w14:paraId="10886269" w14:textId="58423679" w:rsidR="00011BA9" w:rsidRPr="004D46AC" w:rsidRDefault="00011BA9" w:rsidP="00011BA9">
      <w:pPr>
        <w:pStyle w:val="afff0"/>
        <w:spacing w:after="0"/>
        <w:ind w:firstLine="0"/>
        <w:rPr>
          <w:rFonts w:eastAsiaTheme="minorEastAsia"/>
          <w:b/>
          <w:bCs/>
          <w:i w:val="0"/>
          <w:iCs w:val="0"/>
          <w:color w:val="auto"/>
          <w:sz w:val="22"/>
          <w:szCs w:val="22"/>
        </w:rPr>
      </w:pPr>
      <w:bookmarkStart w:id="409" w:name="_Toc219870649"/>
      <w:r w:rsidRPr="004D46AC">
        <w:rPr>
          <w:b/>
          <w:bCs/>
          <w:i w:val="0"/>
          <w:iCs w:val="0"/>
          <w:color w:val="auto"/>
          <w:sz w:val="22"/>
          <w:szCs w:val="22"/>
        </w:rPr>
        <w:lastRenderedPageBreak/>
        <w:t xml:space="preserve">Table E </w:t>
      </w:r>
      <w:r w:rsidRPr="004D46AC">
        <w:rPr>
          <w:b/>
          <w:bCs/>
          <w:i w:val="0"/>
          <w:iCs w:val="0"/>
          <w:color w:val="auto"/>
          <w:sz w:val="22"/>
          <w:szCs w:val="22"/>
        </w:rPr>
        <w:fldChar w:fldCharType="begin"/>
      </w:r>
      <w:r w:rsidRPr="004D46AC">
        <w:rPr>
          <w:b/>
          <w:bCs/>
          <w:i w:val="0"/>
          <w:iCs w:val="0"/>
          <w:color w:val="auto"/>
          <w:sz w:val="22"/>
          <w:szCs w:val="22"/>
        </w:rPr>
        <w:instrText xml:space="preserve"> SEQ Table_E \* ARABIC </w:instrText>
      </w:r>
      <w:r w:rsidRPr="004D46AC">
        <w:rPr>
          <w:b/>
          <w:bCs/>
          <w:i w:val="0"/>
          <w:iCs w:val="0"/>
          <w:color w:val="auto"/>
          <w:sz w:val="22"/>
          <w:szCs w:val="22"/>
        </w:rPr>
        <w:fldChar w:fldCharType="separate"/>
      </w:r>
      <w:r w:rsidRPr="004D46AC">
        <w:rPr>
          <w:b/>
          <w:bCs/>
          <w:i w:val="0"/>
          <w:iCs w:val="0"/>
          <w:noProof/>
          <w:color w:val="auto"/>
          <w:sz w:val="22"/>
          <w:szCs w:val="22"/>
        </w:rPr>
        <w:t>5</w:t>
      </w:r>
      <w:bookmarkEnd w:id="409"/>
      <w:r w:rsidRPr="004D46AC">
        <w:rPr>
          <w:b/>
          <w:bCs/>
          <w:i w:val="0"/>
          <w:iCs w:val="0"/>
          <w:color w:val="auto"/>
          <w:sz w:val="22"/>
          <w:szCs w:val="22"/>
        </w:rPr>
        <w:fldChar w:fldCharType="end"/>
      </w:r>
    </w:p>
    <w:p w14:paraId="334DEF33" w14:textId="77777777" w:rsidR="003E095D" w:rsidRPr="004D46AC" w:rsidRDefault="003E095D" w:rsidP="003E095D">
      <w:pPr>
        <w:spacing w:line="240" w:lineRule="auto"/>
        <w:ind w:firstLine="0"/>
        <w:rPr>
          <w:i/>
          <w:iCs/>
        </w:rPr>
      </w:pPr>
      <w:r w:rsidRPr="004D46AC">
        <w:rPr>
          <w:i/>
          <w:iCs/>
        </w:rPr>
        <w:t>Edges with non-zero weights in the network</w:t>
      </w:r>
      <w:r w:rsidRPr="004D46AC">
        <w:rPr>
          <w:rFonts w:hint="eastAsia"/>
          <w:i/>
          <w:iCs/>
          <w:lang w:val="en-US"/>
        </w:rPr>
        <w:t xml:space="preserve"> of </w:t>
      </w:r>
      <w:proofErr w:type="gramStart"/>
      <w:r w:rsidRPr="004D46AC">
        <w:rPr>
          <w:rFonts w:hint="eastAsia"/>
          <w:i/>
          <w:iCs/>
          <w:lang w:val="en-US"/>
        </w:rPr>
        <w:t>at risk</w:t>
      </w:r>
      <w:proofErr w:type="gramEnd"/>
      <w:r w:rsidRPr="004D46AC">
        <w:rPr>
          <w:rFonts w:hint="eastAsia"/>
          <w:i/>
          <w:iCs/>
          <w:lang w:val="en-US"/>
        </w:rPr>
        <w:t xml:space="preserve"> states among</w:t>
      </w:r>
      <w:r w:rsidRPr="004D46AC">
        <w:rPr>
          <w:i/>
          <w:iCs/>
        </w:rPr>
        <w:t xml:space="preserve"> adults aged</w:t>
      </w:r>
      <w:r w:rsidRPr="004D46AC">
        <w:rPr>
          <w:rFonts w:hint="eastAsia"/>
          <w:i/>
          <w:iCs/>
        </w:rPr>
        <w:t xml:space="preserve"> 18-24</w:t>
      </w:r>
    </w:p>
    <w:tbl>
      <w:tblPr>
        <w:tblStyle w:val="afc"/>
        <w:tblW w:w="0" w:type="auto"/>
        <w:tblLook w:val="04A0" w:firstRow="1" w:lastRow="0" w:firstColumn="1" w:lastColumn="0" w:noHBand="0" w:noVBand="1"/>
      </w:tblPr>
      <w:tblGrid>
        <w:gridCol w:w="1704"/>
        <w:gridCol w:w="1704"/>
        <w:gridCol w:w="1704"/>
        <w:gridCol w:w="1705"/>
        <w:gridCol w:w="1705"/>
      </w:tblGrid>
      <w:tr w:rsidR="003E095D" w:rsidRPr="004D46AC" w14:paraId="3499FC91" w14:textId="77777777" w:rsidTr="00B518F1">
        <w:tc>
          <w:tcPr>
            <w:tcW w:w="1704" w:type="dxa"/>
            <w:vAlign w:val="center"/>
          </w:tcPr>
          <w:p w14:paraId="4FDE5423" w14:textId="77777777" w:rsidR="003E095D" w:rsidRPr="004D46AC" w:rsidRDefault="003E095D" w:rsidP="00B518F1">
            <w:pPr>
              <w:spacing w:line="240" w:lineRule="auto"/>
              <w:ind w:firstLine="0"/>
              <w:rPr>
                <w:color w:val="000000"/>
              </w:rPr>
            </w:pPr>
            <w:r w:rsidRPr="004D46AC">
              <w:rPr>
                <w:color w:val="000000"/>
              </w:rPr>
              <w:t>E</w:t>
            </w:r>
            <w:r w:rsidRPr="004D46AC">
              <w:rPr>
                <w:rFonts w:hint="eastAsia"/>
                <w:color w:val="000000"/>
              </w:rPr>
              <w:t>dge</w:t>
            </w:r>
          </w:p>
        </w:tc>
        <w:tc>
          <w:tcPr>
            <w:tcW w:w="1704" w:type="dxa"/>
            <w:vAlign w:val="center"/>
          </w:tcPr>
          <w:p w14:paraId="1F4EB00A" w14:textId="77777777" w:rsidR="003E095D" w:rsidRPr="004D46AC" w:rsidRDefault="003E095D" w:rsidP="00B518F1">
            <w:pPr>
              <w:spacing w:line="240" w:lineRule="auto"/>
              <w:ind w:firstLine="0"/>
              <w:rPr>
                <w:color w:val="000000"/>
              </w:rPr>
            </w:pPr>
            <w:r w:rsidRPr="004D46AC">
              <w:rPr>
                <w:rFonts w:hint="eastAsia"/>
                <w:color w:val="000000"/>
              </w:rPr>
              <w:t>Weight</w:t>
            </w:r>
          </w:p>
        </w:tc>
        <w:tc>
          <w:tcPr>
            <w:tcW w:w="1704" w:type="dxa"/>
            <w:vAlign w:val="center"/>
          </w:tcPr>
          <w:p w14:paraId="28C423A3" w14:textId="77777777" w:rsidR="003E095D" w:rsidRPr="004D46AC" w:rsidRDefault="003E095D" w:rsidP="00B518F1">
            <w:pPr>
              <w:spacing w:line="240" w:lineRule="auto"/>
              <w:ind w:firstLine="0"/>
              <w:rPr>
                <w:color w:val="000000"/>
              </w:rPr>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lower</w:t>
            </w:r>
          </w:p>
        </w:tc>
        <w:tc>
          <w:tcPr>
            <w:tcW w:w="1705" w:type="dxa"/>
            <w:vAlign w:val="center"/>
          </w:tcPr>
          <w:p w14:paraId="0797D9F1" w14:textId="77777777" w:rsidR="003E095D" w:rsidRPr="004D46AC" w:rsidRDefault="003E095D" w:rsidP="00B518F1">
            <w:pPr>
              <w:spacing w:line="240" w:lineRule="auto"/>
              <w:ind w:firstLine="0"/>
              <w:rPr>
                <w:color w:val="000000"/>
              </w:rPr>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upper</w:t>
            </w:r>
          </w:p>
        </w:tc>
        <w:tc>
          <w:tcPr>
            <w:tcW w:w="1705" w:type="dxa"/>
            <w:vAlign w:val="center"/>
          </w:tcPr>
          <w:p w14:paraId="6790AF17" w14:textId="77777777" w:rsidR="003E095D" w:rsidRPr="004D46AC" w:rsidRDefault="003E095D" w:rsidP="00B518F1">
            <w:pPr>
              <w:spacing w:line="240" w:lineRule="auto"/>
              <w:ind w:firstLine="0"/>
              <w:rPr>
                <w:color w:val="000000"/>
              </w:rPr>
            </w:pPr>
            <w:r w:rsidRPr="004D46AC">
              <w:rPr>
                <w:rFonts w:hint="eastAsia"/>
              </w:rPr>
              <w:t>P0</w:t>
            </w:r>
          </w:p>
        </w:tc>
      </w:tr>
      <w:tr w:rsidR="003E095D" w:rsidRPr="004D46AC" w14:paraId="18F5908D" w14:textId="77777777" w:rsidTr="00B518F1">
        <w:tc>
          <w:tcPr>
            <w:tcW w:w="1704" w:type="dxa"/>
            <w:vAlign w:val="center"/>
          </w:tcPr>
          <w:p w14:paraId="127B2025" w14:textId="77777777" w:rsidR="003E095D" w:rsidRPr="004D46AC" w:rsidRDefault="003E095D" w:rsidP="00B518F1">
            <w:pPr>
              <w:spacing w:line="240" w:lineRule="auto"/>
              <w:ind w:firstLine="0"/>
            </w:pPr>
            <w:bookmarkStart w:id="410" w:name="_Hlk218819789"/>
            <w:r w:rsidRPr="004D46AC">
              <w:rPr>
                <w:color w:val="000000"/>
              </w:rPr>
              <w:t>TR22--TR25</w:t>
            </w:r>
          </w:p>
        </w:tc>
        <w:tc>
          <w:tcPr>
            <w:tcW w:w="1704" w:type="dxa"/>
            <w:vAlign w:val="center"/>
          </w:tcPr>
          <w:p w14:paraId="188CDA46" w14:textId="77777777" w:rsidR="003E095D" w:rsidRPr="004D46AC" w:rsidRDefault="003E095D" w:rsidP="00B518F1">
            <w:pPr>
              <w:spacing w:line="240" w:lineRule="auto"/>
              <w:ind w:firstLine="0"/>
            </w:pPr>
            <w:r w:rsidRPr="004D46AC">
              <w:rPr>
                <w:color w:val="000000"/>
                <w:szCs w:val="21"/>
              </w:rPr>
              <w:t xml:space="preserve">1.12 </w:t>
            </w:r>
          </w:p>
        </w:tc>
        <w:tc>
          <w:tcPr>
            <w:tcW w:w="1704" w:type="dxa"/>
            <w:vAlign w:val="center"/>
          </w:tcPr>
          <w:p w14:paraId="6E9E770F" w14:textId="77777777" w:rsidR="003E095D" w:rsidRPr="004D46AC" w:rsidRDefault="003E095D" w:rsidP="00B518F1">
            <w:pPr>
              <w:spacing w:line="240" w:lineRule="auto"/>
              <w:ind w:firstLine="0"/>
            </w:pPr>
            <w:r w:rsidRPr="004D46AC">
              <w:rPr>
                <w:color w:val="000000"/>
                <w:szCs w:val="21"/>
              </w:rPr>
              <w:t xml:space="preserve">0.70 </w:t>
            </w:r>
          </w:p>
        </w:tc>
        <w:tc>
          <w:tcPr>
            <w:tcW w:w="1705" w:type="dxa"/>
            <w:vAlign w:val="center"/>
          </w:tcPr>
          <w:p w14:paraId="504A6D2A" w14:textId="77777777" w:rsidR="003E095D" w:rsidRPr="004D46AC" w:rsidRDefault="003E095D" w:rsidP="00B518F1">
            <w:pPr>
              <w:spacing w:line="240" w:lineRule="auto"/>
              <w:ind w:firstLine="0"/>
            </w:pPr>
            <w:r w:rsidRPr="004D46AC">
              <w:rPr>
                <w:color w:val="000000"/>
                <w:szCs w:val="21"/>
              </w:rPr>
              <w:t xml:space="preserve">1.53 </w:t>
            </w:r>
          </w:p>
        </w:tc>
        <w:tc>
          <w:tcPr>
            <w:tcW w:w="1705" w:type="dxa"/>
            <w:vAlign w:val="center"/>
          </w:tcPr>
          <w:p w14:paraId="524AC1B1"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4B2BE8C4" w14:textId="77777777" w:rsidTr="00B518F1">
        <w:tc>
          <w:tcPr>
            <w:tcW w:w="1704" w:type="dxa"/>
            <w:vAlign w:val="center"/>
          </w:tcPr>
          <w:p w14:paraId="1FB71E42" w14:textId="77777777" w:rsidR="003E095D" w:rsidRPr="004D46AC" w:rsidRDefault="003E095D" w:rsidP="00B518F1">
            <w:pPr>
              <w:spacing w:line="240" w:lineRule="auto"/>
              <w:ind w:firstLine="0"/>
            </w:pPr>
            <w:r w:rsidRPr="004D46AC">
              <w:rPr>
                <w:color w:val="000000"/>
              </w:rPr>
              <w:t>TR15--TR34</w:t>
            </w:r>
          </w:p>
        </w:tc>
        <w:tc>
          <w:tcPr>
            <w:tcW w:w="1704" w:type="dxa"/>
            <w:vAlign w:val="center"/>
          </w:tcPr>
          <w:p w14:paraId="4F1083D2" w14:textId="77777777" w:rsidR="003E095D" w:rsidRPr="004D46AC" w:rsidRDefault="003E095D" w:rsidP="00B518F1">
            <w:pPr>
              <w:spacing w:line="240" w:lineRule="auto"/>
              <w:ind w:firstLine="0"/>
            </w:pPr>
            <w:r w:rsidRPr="004D46AC">
              <w:rPr>
                <w:color w:val="000000"/>
                <w:szCs w:val="21"/>
              </w:rPr>
              <w:t xml:space="preserve">1.06 </w:t>
            </w:r>
          </w:p>
        </w:tc>
        <w:tc>
          <w:tcPr>
            <w:tcW w:w="1704" w:type="dxa"/>
            <w:vAlign w:val="center"/>
          </w:tcPr>
          <w:p w14:paraId="479DF1D2" w14:textId="77777777" w:rsidR="003E095D" w:rsidRPr="004D46AC" w:rsidRDefault="003E095D" w:rsidP="00B518F1">
            <w:pPr>
              <w:spacing w:line="240" w:lineRule="auto"/>
              <w:ind w:firstLine="0"/>
            </w:pPr>
            <w:r w:rsidRPr="004D46AC">
              <w:rPr>
                <w:color w:val="000000"/>
                <w:szCs w:val="21"/>
              </w:rPr>
              <w:t xml:space="preserve">0.59 </w:t>
            </w:r>
          </w:p>
        </w:tc>
        <w:tc>
          <w:tcPr>
            <w:tcW w:w="1705" w:type="dxa"/>
            <w:vAlign w:val="center"/>
          </w:tcPr>
          <w:p w14:paraId="1152D9A9" w14:textId="77777777" w:rsidR="003E095D" w:rsidRPr="004D46AC" w:rsidRDefault="003E095D" w:rsidP="00B518F1">
            <w:pPr>
              <w:spacing w:line="240" w:lineRule="auto"/>
              <w:ind w:firstLine="0"/>
            </w:pPr>
            <w:r w:rsidRPr="004D46AC">
              <w:rPr>
                <w:color w:val="000000"/>
                <w:szCs w:val="21"/>
              </w:rPr>
              <w:t xml:space="preserve">1.52 </w:t>
            </w:r>
          </w:p>
        </w:tc>
        <w:tc>
          <w:tcPr>
            <w:tcW w:w="1705" w:type="dxa"/>
            <w:vAlign w:val="center"/>
          </w:tcPr>
          <w:p w14:paraId="3274F01A"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65010957" w14:textId="77777777" w:rsidTr="00B518F1">
        <w:tc>
          <w:tcPr>
            <w:tcW w:w="1704" w:type="dxa"/>
            <w:vAlign w:val="center"/>
          </w:tcPr>
          <w:p w14:paraId="6E8D8071" w14:textId="77777777" w:rsidR="003E095D" w:rsidRPr="004D46AC" w:rsidRDefault="003E095D" w:rsidP="00B518F1">
            <w:pPr>
              <w:spacing w:line="240" w:lineRule="auto"/>
              <w:ind w:firstLine="0"/>
            </w:pPr>
            <w:r w:rsidRPr="004D46AC">
              <w:rPr>
                <w:color w:val="000000"/>
              </w:rPr>
              <w:t>TR7--TR15</w:t>
            </w:r>
          </w:p>
        </w:tc>
        <w:tc>
          <w:tcPr>
            <w:tcW w:w="1704" w:type="dxa"/>
            <w:vAlign w:val="center"/>
          </w:tcPr>
          <w:p w14:paraId="458555B4" w14:textId="77777777" w:rsidR="003E095D" w:rsidRPr="004D46AC" w:rsidRDefault="003E095D" w:rsidP="00B518F1">
            <w:pPr>
              <w:spacing w:line="240" w:lineRule="auto"/>
              <w:ind w:firstLine="0"/>
            </w:pPr>
            <w:r w:rsidRPr="004D46AC">
              <w:rPr>
                <w:color w:val="000000"/>
                <w:szCs w:val="21"/>
              </w:rPr>
              <w:t xml:space="preserve">0.90 </w:t>
            </w:r>
          </w:p>
        </w:tc>
        <w:tc>
          <w:tcPr>
            <w:tcW w:w="1704" w:type="dxa"/>
            <w:vAlign w:val="center"/>
          </w:tcPr>
          <w:p w14:paraId="2735AE89" w14:textId="77777777" w:rsidR="003E095D" w:rsidRPr="004D46AC" w:rsidRDefault="003E095D" w:rsidP="00B518F1">
            <w:pPr>
              <w:spacing w:line="240" w:lineRule="auto"/>
              <w:ind w:firstLine="0"/>
            </w:pPr>
            <w:r w:rsidRPr="004D46AC">
              <w:rPr>
                <w:color w:val="000000"/>
                <w:szCs w:val="21"/>
              </w:rPr>
              <w:t xml:space="preserve">0.46 </w:t>
            </w:r>
          </w:p>
        </w:tc>
        <w:tc>
          <w:tcPr>
            <w:tcW w:w="1705" w:type="dxa"/>
            <w:vAlign w:val="center"/>
          </w:tcPr>
          <w:p w14:paraId="517596EF" w14:textId="77777777" w:rsidR="003E095D" w:rsidRPr="004D46AC" w:rsidRDefault="003E095D" w:rsidP="00B518F1">
            <w:pPr>
              <w:spacing w:line="240" w:lineRule="auto"/>
              <w:ind w:firstLine="0"/>
            </w:pPr>
            <w:r w:rsidRPr="004D46AC">
              <w:rPr>
                <w:color w:val="000000"/>
                <w:szCs w:val="21"/>
              </w:rPr>
              <w:t xml:space="preserve">1.35 </w:t>
            </w:r>
          </w:p>
        </w:tc>
        <w:tc>
          <w:tcPr>
            <w:tcW w:w="1705" w:type="dxa"/>
            <w:vAlign w:val="center"/>
          </w:tcPr>
          <w:p w14:paraId="272C2E82"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257B49D6" w14:textId="77777777" w:rsidTr="00B518F1">
        <w:tc>
          <w:tcPr>
            <w:tcW w:w="1704" w:type="dxa"/>
            <w:vAlign w:val="center"/>
          </w:tcPr>
          <w:p w14:paraId="73D03FD2" w14:textId="77777777" w:rsidR="003E095D" w:rsidRPr="004D46AC" w:rsidRDefault="003E095D" w:rsidP="00B518F1">
            <w:pPr>
              <w:spacing w:line="240" w:lineRule="auto"/>
              <w:ind w:firstLine="0"/>
            </w:pPr>
            <w:r w:rsidRPr="004D46AC">
              <w:rPr>
                <w:color w:val="000000"/>
              </w:rPr>
              <w:t>TR17--TR18</w:t>
            </w:r>
          </w:p>
        </w:tc>
        <w:tc>
          <w:tcPr>
            <w:tcW w:w="1704" w:type="dxa"/>
            <w:vAlign w:val="center"/>
          </w:tcPr>
          <w:p w14:paraId="172D46BD" w14:textId="77777777" w:rsidR="003E095D" w:rsidRPr="004D46AC" w:rsidRDefault="003E095D" w:rsidP="00B518F1">
            <w:pPr>
              <w:spacing w:line="240" w:lineRule="auto"/>
              <w:ind w:firstLine="0"/>
            </w:pPr>
            <w:r w:rsidRPr="004D46AC">
              <w:rPr>
                <w:color w:val="000000"/>
                <w:szCs w:val="21"/>
              </w:rPr>
              <w:t xml:space="preserve">0.88 </w:t>
            </w:r>
          </w:p>
        </w:tc>
        <w:tc>
          <w:tcPr>
            <w:tcW w:w="1704" w:type="dxa"/>
            <w:vAlign w:val="center"/>
          </w:tcPr>
          <w:p w14:paraId="3EFF866B" w14:textId="77777777" w:rsidR="003E095D" w:rsidRPr="004D46AC" w:rsidRDefault="003E095D" w:rsidP="00B518F1">
            <w:pPr>
              <w:spacing w:line="240" w:lineRule="auto"/>
              <w:ind w:firstLine="0"/>
            </w:pPr>
            <w:r w:rsidRPr="004D46AC">
              <w:rPr>
                <w:color w:val="000000"/>
                <w:szCs w:val="21"/>
              </w:rPr>
              <w:t xml:space="preserve">0.40 </w:t>
            </w:r>
          </w:p>
        </w:tc>
        <w:tc>
          <w:tcPr>
            <w:tcW w:w="1705" w:type="dxa"/>
            <w:vAlign w:val="center"/>
          </w:tcPr>
          <w:p w14:paraId="6BD494D4" w14:textId="77777777" w:rsidR="003E095D" w:rsidRPr="004D46AC" w:rsidRDefault="003E095D" w:rsidP="00B518F1">
            <w:pPr>
              <w:spacing w:line="240" w:lineRule="auto"/>
              <w:ind w:firstLine="0"/>
            </w:pPr>
            <w:r w:rsidRPr="004D46AC">
              <w:rPr>
                <w:color w:val="000000"/>
                <w:szCs w:val="21"/>
              </w:rPr>
              <w:t xml:space="preserve">1.37 </w:t>
            </w:r>
          </w:p>
        </w:tc>
        <w:tc>
          <w:tcPr>
            <w:tcW w:w="1705" w:type="dxa"/>
            <w:vAlign w:val="center"/>
          </w:tcPr>
          <w:p w14:paraId="555E80AD"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292655CB" w14:textId="77777777" w:rsidTr="00B518F1">
        <w:tc>
          <w:tcPr>
            <w:tcW w:w="1704" w:type="dxa"/>
            <w:vAlign w:val="center"/>
          </w:tcPr>
          <w:p w14:paraId="05CC5A2E" w14:textId="77777777" w:rsidR="003E095D" w:rsidRPr="004D46AC" w:rsidRDefault="003E095D" w:rsidP="00B518F1">
            <w:pPr>
              <w:spacing w:line="240" w:lineRule="auto"/>
              <w:ind w:firstLine="0"/>
            </w:pPr>
            <w:r w:rsidRPr="004D46AC">
              <w:rPr>
                <w:color w:val="000000"/>
              </w:rPr>
              <w:t>TR5--TR15</w:t>
            </w:r>
          </w:p>
        </w:tc>
        <w:tc>
          <w:tcPr>
            <w:tcW w:w="1704" w:type="dxa"/>
            <w:vAlign w:val="center"/>
          </w:tcPr>
          <w:p w14:paraId="0BAC5C79" w14:textId="77777777" w:rsidR="003E095D" w:rsidRPr="004D46AC" w:rsidRDefault="003E095D" w:rsidP="00B518F1">
            <w:pPr>
              <w:spacing w:line="240" w:lineRule="auto"/>
              <w:ind w:firstLine="0"/>
            </w:pPr>
            <w:r w:rsidRPr="004D46AC">
              <w:rPr>
                <w:color w:val="000000"/>
                <w:szCs w:val="21"/>
              </w:rPr>
              <w:t xml:space="preserve">0.82 </w:t>
            </w:r>
          </w:p>
        </w:tc>
        <w:tc>
          <w:tcPr>
            <w:tcW w:w="1704" w:type="dxa"/>
            <w:vAlign w:val="center"/>
          </w:tcPr>
          <w:p w14:paraId="6E64458D" w14:textId="77777777" w:rsidR="003E095D" w:rsidRPr="004D46AC" w:rsidRDefault="003E095D" w:rsidP="00B518F1">
            <w:pPr>
              <w:spacing w:line="240" w:lineRule="auto"/>
              <w:ind w:firstLine="0"/>
            </w:pPr>
            <w:r w:rsidRPr="004D46AC">
              <w:rPr>
                <w:color w:val="000000"/>
                <w:szCs w:val="21"/>
              </w:rPr>
              <w:t xml:space="preserve">0.33 </w:t>
            </w:r>
          </w:p>
        </w:tc>
        <w:tc>
          <w:tcPr>
            <w:tcW w:w="1705" w:type="dxa"/>
            <w:vAlign w:val="center"/>
          </w:tcPr>
          <w:p w14:paraId="17CD29E3" w14:textId="77777777" w:rsidR="003E095D" w:rsidRPr="004D46AC" w:rsidRDefault="003E095D" w:rsidP="00B518F1">
            <w:pPr>
              <w:spacing w:line="240" w:lineRule="auto"/>
              <w:ind w:firstLine="0"/>
            </w:pPr>
            <w:r w:rsidRPr="004D46AC">
              <w:rPr>
                <w:color w:val="000000"/>
                <w:szCs w:val="21"/>
              </w:rPr>
              <w:t xml:space="preserve">1.31 </w:t>
            </w:r>
          </w:p>
        </w:tc>
        <w:tc>
          <w:tcPr>
            <w:tcW w:w="1705" w:type="dxa"/>
            <w:vAlign w:val="center"/>
          </w:tcPr>
          <w:p w14:paraId="34CCA017"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3539CAF2" w14:textId="77777777" w:rsidTr="00B518F1">
        <w:tc>
          <w:tcPr>
            <w:tcW w:w="1704" w:type="dxa"/>
            <w:vAlign w:val="center"/>
          </w:tcPr>
          <w:p w14:paraId="3EB61281" w14:textId="77777777" w:rsidR="003E095D" w:rsidRPr="004D46AC" w:rsidRDefault="003E095D" w:rsidP="00B518F1">
            <w:pPr>
              <w:spacing w:line="240" w:lineRule="auto"/>
              <w:ind w:firstLine="0"/>
            </w:pPr>
            <w:r w:rsidRPr="004D46AC">
              <w:rPr>
                <w:color w:val="000000"/>
              </w:rPr>
              <w:t>TR26--TR34</w:t>
            </w:r>
          </w:p>
        </w:tc>
        <w:tc>
          <w:tcPr>
            <w:tcW w:w="1704" w:type="dxa"/>
            <w:vAlign w:val="center"/>
          </w:tcPr>
          <w:p w14:paraId="69F0BCD2" w14:textId="77777777" w:rsidR="003E095D" w:rsidRPr="004D46AC" w:rsidRDefault="003E095D" w:rsidP="00B518F1">
            <w:pPr>
              <w:spacing w:line="240" w:lineRule="auto"/>
              <w:ind w:firstLine="0"/>
            </w:pPr>
            <w:r w:rsidRPr="004D46AC">
              <w:rPr>
                <w:color w:val="000000"/>
                <w:szCs w:val="21"/>
              </w:rPr>
              <w:t xml:space="preserve">0.77 </w:t>
            </w:r>
          </w:p>
        </w:tc>
        <w:tc>
          <w:tcPr>
            <w:tcW w:w="1704" w:type="dxa"/>
            <w:vAlign w:val="center"/>
          </w:tcPr>
          <w:p w14:paraId="5388BBF3" w14:textId="77777777" w:rsidR="003E095D" w:rsidRPr="004D46AC" w:rsidRDefault="003E095D" w:rsidP="00B518F1">
            <w:pPr>
              <w:spacing w:line="240" w:lineRule="auto"/>
              <w:ind w:firstLine="0"/>
            </w:pPr>
            <w:r w:rsidRPr="004D46AC">
              <w:rPr>
                <w:color w:val="000000"/>
                <w:szCs w:val="21"/>
              </w:rPr>
              <w:t xml:space="preserve">0.35 </w:t>
            </w:r>
          </w:p>
        </w:tc>
        <w:tc>
          <w:tcPr>
            <w:tcW w:w="1705" w:type="dxa"/>
            <w:vAlign w:val="center"/>
          </w:tcPr>
          <w:p w14:paraId="3F9F3630" w14:textId="77777777" w:rsidR="003E095D" w:rsidRPr="004D46AC" w:rsidRDefault="003E095D" w:rsidP="00B518F1">
            <w:pPr>
              <w:spacing w:line="240" w:lineRule="auto"/>
              <w:ind w:firstLine="0"/>
            </w:pPr>
            <w:r w:rsidRPr="004D46AC">
              <w:rPr>
                <w:color w:val="000000"/>
                <w:szCs w:val="21"/>
              </w:rPr>
              <w:t xml:space="preserve">1.19 </w:t>
            </w:r>
          </w:p>
        </w:tc>
        <w:tc>
          <w:tcPr>
            <w:tcW w:w="1705" w:type="dxa"/>
            <w:vAlign w:val="center"/>
          </w:tcPr>
          <w:p w14:paraId="59EEB244"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00E071E6" w14:textId="77777777" w:rsidTr="00B518F1">
        <w:tc>
          <w:tcPr>
            <w:tcW w:w="1704" w:type="dxa"/>
            <w:vAlign w:val="center"/>
          </w:tcPr>
          <w:p w14:paraId="052B8381" w14:textId="77777777" w:rsidR="003E095D" w:rsidRPr="004D46AC" w:rsidRDefault="003E095D" w:rsidP="00B518F1">
            <w:pPr>
              <w:spacing w:line="240" w:lineRule="auto"/>
              <w:ind w:firstLine="0"/>
            </w:pPr>
            <w:r w:rsidRPr="004D46AC">
              <w:rPr>
                <w:color w:val="000000"/>
              </w:rPr>
              <w:t>TR6--TR29</w:t>
            </w:r>
          </w:p>
        </w:tc>
        <w:tc>
          <w:tcPr>
            <w:tcW w:w="1704" w:type="dxa"/>
            <w:vAlign w:val="center"/>
          </w:tcPr>
          <w:p w14:paraId="71609A51" w14:textId="77777777" w:rsidR="003E095D" w:rsidRPr="004D46AC" w:rsidRDefault="003E095D" w:rsidP="00B518F1">
            <w:pPr>
              <w:spacing w:line="240" w:lineRule="auto"/>
              <w:ind w:firstLine="0"/>
            </w:pPr>
            <w:r w:rsidRPr="004D46AC">
              <w:rPr>
                <w:color w:val="000000"/>
                <w:szCs w:val="21"/>
              </w:rPr>
              <w:t xml:space="preserve">0.76 </w:t>
            </w:r>
          </w:p>
        </w:tc>
        <w:tc>
          <w:tcPr>
            <w:tcW w:w="1704" w:type="dxa"/>
            <w:vAlign w:val="center"/>
          </w:tcPr>
          <w:p w14:paraId="220D06F2" w14:textId="77777777" w:rsidR="003E095D" w:rsidRPr="004D46AC" w:rsidRDefault="003E095D" w:rsidP="00B518F1">
            <w:pPr>
              <w:spacing w:line="240" w:lineRule="auto"/>
              <w:ind w:firstLine="0"/>
            </w:pPr>
            <w:r w:rsidRPr="004D46AC">
              <w:rPr>
                <w:color w:val="000000"/>
                <w:szCs w:val="21"/>
              </w:rPr>
              <w:t xml:space="preserve">0.30 </w:t>
            </w:r>
          </w:p>
        </w:tc>
        <w:tc>
          <w:tcPr>
            <w:tcW w:w="1705" w:type="dxa"/>
            <w:vAlign w:val="center"/>
          </w:tcPr>
          <w:p w14:paraId="68D02C95" w14:textId="77777777" w:rsidR="003E095D" w:rsidRPr="004D46AC" w:rsidRDefault="003E095D" w:rsidP="00B518F1">
            <w:pPr>
              <w:spacing w:line="240" w:lineRule="auto"/>
              <w:ind w:firstLine="0"/>
            </w:pPr>
            <w:r w:rsidRPr="004D46AC">
              <w:rPr>
                <w:color w:val="000000"/>
                <w:szCs w:val="21"/>
              </w:rPr>
              <w:t xml:space="preserve">1.22 </w:t>
            </w:r>
          </w:p>
        </w:tc>
        <w:tc>
          <w:tcPr>
            <w:tcW w:w="1705" w:type="dxa"/>
            <w:vAlign w:val="center"/>
          </w:tcPr>
          <w:p w14:paraId="154B3296"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2FB4C3EE" w14:textId="77777777" w:rsidTr="00B518F1">
        <w:tc>
          <w:tcPr>
            <w:tcW w:w="1704" w:type="dxa"/>
            <w:vAlign w:val="center"/>
          </w:tcPr>
          <w:p w14:paraId="3D7E2A05" w14:textId="77777777" w:rsidR="003E095D" w:rsidRPr="004D46AC" w:rsidRDefault="003E095D" w:rsidP="00B518F1">
            <w:pPr>
              <w:spacing w:line="240" w:lineRule="auto"/>
              <w:ind w:firstLine="0"/>
            </w:pPr>
            <w:r w:rsidRPr="004D46AC">
              <w:rPr>
                <w:color w:val="000000"/>
              </w:rPr>
              <w:t>TR9--TR18</w:t>
            </w:r>
          </w:p>
        </w:tc>
        <w:tc>
          <w:tcPr>
            <w:tcW w:w="1704" w:type="dxa"/>
            <w:vAlign w:val="center"/>
          </w:tcPr>
          <w:p w14:paraId="2C1ED4C4" w14:textId="77777777" w:rsidR="003E095D" w:rsidRPr="004D46AC" w:rsidRDefault="003E095D" w:rsidP="00B518F1">
            <w:pPr>
              <w:spacing w:line="240" w:lineRule="auto"/>
              <w:ind w:firstLine="0"/>
            </w:pPr>
            <w:r w:rsidRPr="004D46AC">
              <w:rPr>
                <w:color w:val="000000"/>
                <w:szCs w:val="21"/>
              </w:rPr>
              <w:t xml:space="preserve">0.70 </w:t>
            </w:r>
          </w:p>
        </w:tc>
        <w:tc>
          <w:tcPr>
            <w:tcW w:w="1704" w:type="dxa"/>
            <w:vAlign w:val="center"/>
          </w:tcPr>
          <w:p w14:paraId="35D52511"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4CFBCA0D" w14:textId="77777777" w:rsidR="003E095D" w:rsidRPr="004D46AC" w:rsidRDefault="003E095D" w:rsidP="00B518F1">
            <w:pPr>
              <w:spacing w:line="240" w:lineRule="auto"/>
              <w:ind w:firstLine="0"/>
            </w:pPr>
            <w:r w:rsidRPr="004D46AC">
              <w:rPr>
                <w:color w:val="000000"/>
                <w:szCs w:val="21"/>
              </w:rPr>
              <w:t xml:space="preserve">1.18 </w:t>
            </w:r>
          </w:p>
        </w:tc>
        <w:tc>
          <w:tcPr>
            <w:tcW w:w="1705" w:type="dxa"/>
            <w:vAlign w:val="center"/>
          </w:tcPr>
          <w:p w14:paraId="72833C7F"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1B7512EB" w14:textId="77777777" w:rsidTr="00B518F1">
        <w:tc>
          <w:tcPr>
            <w:tcW w:w="1704" w:type="dxa"/>
            <w:vAlign w:val="center"/>
          </w:tcPr>
          <w:p w14:paraId="44CD5B9A" w14:textId="77777777" w:rsidR="003E095D" w:rsidRPr="004D46AC" w:rsidRDefault="003E095D" w:rsidP="00B518F1">
            <w:pPr>
              <w:spacing w:line="240" w:lineRule="auto"/>
              <w:ind w:firstLine="0"/>
            </w:pPr>
            <w:r w:rsidRPr="004D46AC">
              <w:rPr>
                <w:color w:val="000000"/>
              </w:rPr>
              <w:t>TR6--TR30</w:t>
            </w:r>
          </w:p>
        </w:tc>
        <w:tc>
          <w:tcPr>
            <w:tcW w:w="1704" w:type="dxa"/>
            <w:vAlign w:val="center"/>
          </w:tcPr>
          <w:p w14:paraId="153FEA21" w14:textId="77777777" w:rsidR="003E095D" w:rsidRPr="004D46AC" w:rsidRDefault="003E095D" w:rsidP="00B518F1">
            <w:pPr>
              <w:spacing w:line="240" w:lineRule="auto"/>
              <w:ind w:firstLine="0"/>
            </w:pPr>
            <w:r w:rsidRPr="004D46AC">
              <w:rPr>
                <w:color w:val="000000"/>
                <w:szCs w:val="21"/>
              </w:rPr>
              <w:t xml:space="preserve">0.69 </w:t>
            </w:r>
          </w:p>
        </w:tc>
        <w:tc>
          <w:tcPr>
            <w:tcW w:w="1704" w:type="dxa"/>
            <w:vAlign w:val="center"/>
          </w:tcPr>
          <w:p w14:paraId="5005BCE5" w14:textId="77777777" w:rsidR="003E095D" w:rsidRPr="004D46AC" w:rsidRDefault="003E095D" w:rsidP="00B518F1">
            <w:pPr>
              <w:spacing w:line="240" w:lineRule="auto"/>
              <w:ind w:firstLine="0"/>
            </w:pPr>
            <w:r w:rsidRPr="004D46AC">
              <w:rPr>
                <w:color w:val="000000"/>
                <w:szCs w:val="21"/>
              </w:rPr>
              <w:t xml:space="preserve">0.23 </w:t>
            </w:r>
          </w:p>
        </w:tc>
        <w:tc>
          <w:tcPr>
            <w:tcW w:w="1705" w:type="dxa"/>
            <w:vAlign w:val="center"/>
          </w:tcPr>
          <w:p w14:paraId="072C6CEB" w14:textId="77777777" w:rsidR="003E095D" w:rsidRPr="004D46AC" w:rsidRDefault="003E095D" w:rsidP="00B518F1">
            <w:pPr>
              <w:spacing w:line="240" w:lineRule="auto"/>
              <w:ind w:firstLine="0"/>
            </w:pPr>
            <w:r w:rsidRPr="004D46AC">
              <w:rPr>
                <w:color w:val="000000"/>
                <w:szCs w:val="21"/>
              </w:rPr>
              <w:t xml:space="preserve">1.16 </w:t>
            </w:r>
          </w:p>
        </w:tc>
        <w:tc>
          <w:tcPr>
            <w:tcW w:w="1705" w:type="dxa"/>
            <w:vAlign w:val="center"/>
          </w:tcPr>
          <w:p w14:paraId="4E5B3109"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763B31BF" w14:textId="77777777" w:rsidTr="00B518F1">
        <w:tc>
          <w:tcPr>
            <w:tcW w:w="1704" w:type="dxa"/>
            <w:vAlign w:val="center"/>
          </w:tcPr>
          <w:p w14:paraId="75638361" w14:textId="77777777" w:rsidR="003E095D" w:rsidRPr="004D46AC" w:rsidRDefault="003E095D" w:rsidP="00B518F1">
            <w:pPr>
              <w:spacing w:line="240" w:lineRule="auto"/>
              <w:ind w:firstLine="0"/>
            </w:pPr>
            <w:r w:rsidRPr="004D46AC">
              <w:rPr>
                <w:color w:val="000000"/>
              </w:rPr>
              <w:t>TR19--TR23</w:t>
            </w:r>
          </w:p>
        </w:tc>
        <w:tc>
          <w:tcPr>
            <w:tcW w:w="1704" w:type="dxa"/>
            <w:vAlign w:val="center"/>
          </w:tcPr>
          <w:p w14:paraId="05B4216B" w14:textId="77777777" w:rsidR="003E095D" w:rsidRPr="004D46AC" w:rsidRDefault="003E095D" w:rsidP="00B518F1">
            <w:pPr>
              <w:spacing w:line="240" w:lineRule="auto"/>
              <w:ind w:firstLine="0"/>
            </w:pPr>
            <w:r w:rsidRPr="004D46AC">
              <w:rPr>
                <w:color w:val="000000"/>
                <w:szCs w:val="21"/>
              </w:rPr>
              <w:t xml:space="preserve">0.68 </w:t>
            </w:r>
          </w:p>
        </w:tc>
        <w:tc>
          <w:tcPr>
            <w:tcW w:w="1704" w:type="dxa"/>
            <w:vAlign w:val="center"/>
          </w:tcPr>
          <w:p w14:paraId="6A72BF0A" w14:textId="77777777" w:rsidR="003E095D" w:rsidRPr="004D46AC" w:rsidRDefault="003E095D" w:rsidP="00B518F1">
            <w:pPr>
              <w:spacing w:line="240" w:lineRule="auto"/>
              <w:ind w:firstLine="0"/>
            </w:pPr>
            <w:r w:rsidRPr="004D46AC">
              <w:rPr>
                <w:color w:val="000000"/>
                <w:szCs w:val="21"/>
              </w:rPr>
              <w:t xml:space="preserve">0.26 </w:t>
            </w:r>
          </w:p>
        </w:tc>
        <w:tc>
          <w:tcPr>
            <w:tcW w:w="1705" w:type="dxa"/>
            <w:vAlign w:val="center"/>
          </w:tcPr>
          <w:p w14:paraId="4F17D32D" w14:textId="77777777" w:rsidR="003E095D" w:rsidRPr="004D46AC" w:rsidRDefault="003E095D" w:rsidP="00B518F1">
            <w:pPr>
              <w:spacing w:line="240" w:lineRule="auto"/>
              <w:ind w:firstLine="0"/>
            </w:pPr>
            <w:r w:rsidRPr="004D46AC">
              <w:rPr>
                <w:color w:val="000000"/>
                <w:szCs w:val="21"/>
              </w:rPr>
              <w:t xml:space="preserve">1.10 </w:t>
            </w:r>
          </w:p>
        </w:tc>
        <w:tc>
          <w:tcPr>
            <w:tcW w:w="1705" w:type="dxa"/>
            <w:vAlign w:val="center"/>
          </w:tcPr>
          <w:p w14:paraId="600D3871"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3CA438A2" w14:textId="77777777" w:rsidTr="00B518F1">
        <w:tc>
          <w:tcPr>
            <w:tcW w:w="1704" w:type="dxa"/>
            <w:vAlign w:val="center"/>
          </w:tcPr>
          <w:p w14:paraId="57F05F67" w14:textId="77777777" w:rsidR="003E095D" w:rsidRPr="004D46AC" w:rsidRDefault="003E095D" w:rsidP="00B518F1">
            <w:pPr>
              <w:spacing w:line="240" w:lineRule="auto"/>
              <w:ind w:firstLine="0"/>
            </w:pPr>
            <w:r w:rsidRPr="004D46AC">
              <w:rPr>
                <w:color w:val="000000"/>
              </w:rPr>
              <w:t>TR19--TR30</w:t>
            </w:r>
          </w:p>
        </w:tc>
        <w:tc>
          <w:tcPr>
            <w:tcW w:w="1704" w:type="dxa"/>
            <w:vAlign w:val="center"/>
          </w:tcPr>
          <w:p w14:paraId="3B88C55D" w14:textId="77777777" w:rsidR="003E095D" w:rsidRPr="004D46AC" w:rsidRDefault="003E095D" w:rsidP="00B518F1">
            <w:pPr>
              <w:spacing w:line="240" w:lineRule="auto"/>
              <w:ind w:firstLine="0"/>
            </w:pPr>
            <w:r w:rsidRPr="004D46AC">
              <w:rPr>
                <w:color w:val="000000"/>
                <w:szCs w:val="21"/>
              </w:rPr>
              <w:t xml:space="preserve">0.66 </w:t>
            </w:r>
          </w:p>
        </w:tc>
        <w:tc>
          <w:tcPr>
            <w:tcW w:w="1704" w:type="dxa"/>
            <w:vAlign w:val="center"/>
          </w:tcPr>
          <w:p w14:paraId="09085D8D" w14:textId="77777777" w:rsidR="003E095D" w:rsidRPr="004D46AC" w:rsidRDefault="003E095D" w:rsidP="00B518F1">
            <w:pPr>
              <w:spacing w:line="240" w:lineRule="auto"/>
              <w:ind w:firstLine="0"/>
            </w:pPr>
            <w:r w:rsidRPr="004D46AC">
              <w:rPr>
                <w:color w:val="000000"/>
                <w:szCs w:val="21"/>
              </w:rPr>
              <w:t xml:space="preserve">0.20 </w:t>
            </w:r>
          </w:p>
        </w:tc>
        <w:tc>
          <w:tcPr>
            <w:tcW w:w="1705" w:type="dxa"/>
            <w:vAlign w:val="center"/>
          </w:tcPr>
          <w:p w14:paraId="20F998C1" w14:textId="77777777" w:rsidR="003E095D" w:rsidRPr="004D46AC" w:rsidRDefault="003E095D" w:rsidP="00B518F1">
            <w:pPr>
              <w:spacing w:line="240" w:lineRule="auto"/>
              <w:ind w:firstLine="0"/>
            </w:pPr>
            <w:r w:rsidRPr="004D46AC">
              <w:rPr>
                <w:color w:val="000000"/>
                <w:szCs w:val="21"/>
              </w:rPr>
              <w:t xml:space="preserve">1.12 </w:t>
            </w:r>
          </w:p>
        </w:tc>
        <w:tc>
          <w:tcPr>
            <w:tcW w:w="1705" w:type="dxa"/>
            <w:vAlign w:val="center"/>
          </w:tcPr>
          <w:p w14:paraId="2265F63D"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3ECEB7C7" w14:textId="77777777" w:rsidTr="00B518F1">
        <w:tc>
          <w:tcPr>
            <w:tcW w:w="1704" w:type="dxa"/>
            <w:vAlign w:val="center"/>
          </w:tcPr>
          <w:p w14:paraId="031D7AB8" w14:textId="77777777" w:rsidR="003E095D" w:rsidRPr="004D46AC" w:rsidRDefault="003E095D" w:rsidP="00B518F1">
            <w:pPr>
              <w:spacing w:line="240" w:lineRule="auto"/>
              <w:ind w:firstLine="0"/>
            </w:pPr>
            <w:r w:rsidRPr="004D46AC">
              <w:rPr>
                <w:color w:val="000000"/>
              </w:rPr>
              <w:t>TR14--TR22</w:t>
            </w:r>
          </w:p>
        </w:tc>
        <w:tc>
          <w:tcPr>
            <w:tcW w:w="1704" w:type="dxa"/>
            <w:vAlign w:val="center"/>
          </w:tcPr>
          <w:p w14:paraId="1CF98C7C" w14:textId="77777777" w:rsidR="003E095D" w:rsidRPr="004D46AC" w:rsidRDefault="003E095D" w:rsidP="00B518F1">
            <w:pPr>
              <w:spacing w:line="240" w:lineRule="auto"/>
              <w:ind w:firstLine="0"/>
            </w:pPr>
            <w:r w:rsidRPr="004D46AC">
              <w:rPr>
                <w:color w:val="000000"/>
                <w:szCs w:val="21"/>
              </w:rPr>
              <w:t xml:space="preserve">0.65 </w:t>
            </w:r>
          </w:p>
        </w:tc>
        <w:tc>
          <w:tcPr>
            <w:tcW w:w="1704" w:type="dxa"/>
            <w:vAlign w:val="center"/>
          </w:tcPr>
          <w:p w14:paraId="2C8F27E6" w14:textId="77777777" w:rsidR="003E095D" w:rsidRPr="004D46AC" w:rsidRDefault="003E095D" w:rsidP="00B518F1">
            <w:pPr>
              <w:spacing w:line="240" w:lineRule="auto"/>
              <w:ind w:firstLine="0"/>
            </w:pPr>
            <w:r w:rsidRPr="004D46AC">
              <w:rPr>
                <w:color w:val="000000"/>
                <w:szCs w:val="21"/>
              </w:rPr>
              <w:t xml:space="preserve">0.24 </w:t>
            </w:r>
          </w:p>
        </w:tc>
        <w:tc>
          <w:tcPr>
            <w:tcW w:w="1705" w:type="dxa"/>
            <w:vAlign w:val="center"/>
          </w:tcPr>
          <w:p w14:paraId="0AFA6B8A" w14:textId="77777777" w:rsidR="003E095D" w:rsidRPr="004D46AC" w:rsidRDefault="003E095D" w:rsidP="00B518F1">
            <w:pPr>
              <w:spacing w:line="240" w:lineRule="auto"/>
              <w:ind w:firstLine="0"/>
            </w:pPr>
            <w:r w:rsidRPr="004D46AC">
              <w:rPr>
                <w:color w:val="000000"/>
                <w:szCs w:val="21"/>
              </w:rPr>
              <w:t xml:space="preserve">1.06 </w:t>
            </w:r>
          </w:p>
        </w:tc>
        <w:tc>
          <w:tcPr>
            <w:tcW w:w="1705" w:type="dxa"/>
            <w:vAlign w:val="center"/>
          </w:tcPr>
          <w:p w14:paraId="43FC3D76" w14:textId="77777777" w:rsidR="003E095D" w:rsidRPr="004D46AC" w:rsidRDefault="003E095D" w:rsidP="00B518F1">
            <w:pPr>
              <w:spacing w:line="240" w:lineRule="auto"/>
              <w:ind w:firstLine="0"/>
            </w:pPr>
            <w:r w:rsidRPr="004D46AC">
              <w:rPr>
                <w:color w:val="000000"/>
                <w:szCs w:val="21"/>
              </w:rPr>
              <w:t xml:space="preserve">0.00 </w:t>
            </w:r>
          </w:p>
        </w:tc>
      </w:tr>
      <w:tr w:rsidR="003E095D" w:rsidRPr="004D46AC" w14:paraId="3EFF3F6F" w14:textId="77777777" w:rsidTr="00B518F1">
        <w:tc>
          <w:tcPr>
            <w:tcW w:w="1704" w:type="dxa"/>
            <w:vAlign w:val="center"/>
          </w:tcPr>
          <w:p w14:paraId="1B6D13F4" w14:textId="77777777" w:rsidR="003E095D" w:rsidRPr="004D46AC" w:rsidRDefault="003E095D" w:rsidP="00B518F1">
            <w:pPr>
              <w:spacing w:line="240" w:lineRule="auto"/>
              <w:ind w:firstLine="0"/>
            </w:pPr>
            <w:r w:rsidRPr="004D46AC">
              <w:rPr>
                <w:color w:val="000000"/>
              </w:rPr>
              <w:t>TR19--TR16</w:t>
            </w:r>
          </w:p>
        </w:tc>
        <w:tc>
          <w:tcPr>
            <w:tcW w:w="1704" w:type="dxa"/>
            <w:vAlign w:val="center"/>
          </w:tcPr>
          <w:p w14:paraId="42A33622" w14:textId="77777777" w:rsidR="003E095D" w:rsidRPr="004D46AC" w:rsidRDefault="003E095D" w:rsidP="00B518F1">
            <w:pPr>
              <w:spacing w:line="240" w:lineRule="auto"/>
              <w:ind w:firstLine="0"/>
            </w:pPr>
            <w:r w:rsidRPr="004D46AC">
              <w:rPr>
                <w:color w:val="000000"/>
                <w:szCs w:val="21"/>
              </w:rPr>
              <w:t xml:space="preserve">0.63 </w:t>
            </w:r>
          </w:p>
        </w:tc>
        <w:tc>
          <w:tcPr>
            <w:tcW w:w="1704" w:type="dxa"/>
            <w:vAlign w:val="center"/>
          </w:tcPr>
          <w:p w14:paraId="0A607C90" w14:textId="77777777" w:rsidR="003E095D" w:rsidRPr="004D46AC" w:rsidRDefault="003E095D" w:rsidP="00B518F1">
            <w:pPr>
              <w:spacing w:line="240" w:lineRule="auto"/>
              <w:ind w:firstLine="0"/>
            </w:pPr>
            <w:r w:rsidRPr="004D46AC">
              <w:rPr>
                <w:color w:val="000000"/>
                <w:szCs w:val="21"/>
              </w:rPr>
              <w:t xml:space="preserve">0.21 </w:t>
            </w:r>
          </w:p>
        </w:tc>
        <w:tc>
          <w:tcPr>
            <w:tcW w:w="1705" w:type="dxa"/>
            <w:vAlign w:val="center"/>
          </w:tcPr>
          <w:p w14:paraId="32975B5B" w14:textId="77777777" w:rsidR="003E095D" w:rsidRPr="004D46AC" w:rsidRDefault="003E095D" w:rsidP="00B518F1">
            <w:pPr>
              <w:spacing w:line="240" w:lineRule="auto"/>
              <w:ind w:firstLine="0"/>
            </w:pPr>
            <w:r w:rsidRPr="004D46AC">
              <w:rPr>
                <w:color w:val="000000"/>
                <w:szCs w:val="21"/>
              </w:rPr>
              <w:t xml:space="preserve">1.06 </w:t>
            </w:r>
          </w:p>
        </w:tc>
        <w:tc>
          <w:tcPr>
            <w:tcW w:w="1705" w:type="dxa"/>
            <w:vAlign w:val="center"/>
          </w:tcPr>
          <w:p w14:paraId="739890FD"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329615DC" w14:textId="77777777" w:rsidTr="00B518F1">
        <w:tc>
          <w:tcPr>
            <w:tcW w:w="1704" w:type="dxa"/>
            <w:vAlign w:val="center"/>
          </w:tcPr>
          <w:p w14:paraId="6131532C" w14:textId="77777777" w:rsidR="003E095D" w:rsidRPr="004D46AC" w:rsidRDefault="003E095D" w:rsidP="00B518F1">
            <w:pPr>
              <w:spacing w:line="240" w:lineRule="auto"/>
              <w:ind w:firstLine="0"/>
            </w:pPr>
            <w:r w:rsidRPr="004D46AC">
              <w:rPr>
                <w:color w:val="000000"/>
              </w:rPr>
              <w:t>TR29--TR30</w:t>
            </w:r>
          </w:p>
        </w:tc>
        <w:tc>
          <w:tcPr>
            <w:tcW w:w="1704" w:type="dxa"/>
            <w:vAlign w:val="center"/>
          </w:tcPr>
          <w:p w14:paraId="3C50B49F" w14:textId="77777777" w:rsidR="003E095D" w:rsidRPr="004D46AC" w:rsidRDefault="003E095D" w:rsidP="00B518F1">
            <w:pPr>
              <w:spacing w:line="240" w:lineRule="auto"/>
              <w:ind w:firstLine="0"/>
            </w:pPr>
            <w:r w:rsidRPr="004D46AC">
              <w:rPr>
                <w:color w:val="000000"/>
                <w:szCs w:val="21"/>
              </w:rPr>
              <w:t xml:space="preserve">0.62 </w:t>
            </w:r>
          </w:p>
        </w:tc>
        <w:tc>
          <w:tcPr>
            <w:tcW w:w="1704" w:type="dxa"/>
            <w:vAlign w:val="center"/>
          </w:tcPr>
          <w:p w14:paraId="7F2E1857"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2668C6FB" w14:textId="77777777" w:rsidR="003E095D" w:rsidRPr="004D46AC" w:rsidRDefault="003E095D" w:rsidP="00B518F1">
            <w:pPr>
              <w:spacing w:line="240" w:lineRule="auto"/>
              <w:ind w:firstLine="0"/>
            </w:pPr>
            <w:r w:rsidRPr="004D46AC">
              <w:rPr>
                <w:color w:val="000000"/>
                <w:szCs w:val="21"/>
              </w:rPr>
              <w:t xml:space="preserve">1.12 </w:t>
            </w:r>
          </w:p>
        </w:tc>
        <w:tc>
          <w:tcPr>
            <w:tcW w:w="1705" w:type="dxa"/>
            <w:vAlign w:val="center"/>
          </w:tcPr>
          <w:p w14:paraId="1CA64AF3"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6ABAA98C" w14:textId="77777777" w:rsidTr="00B518F1">
        <w:tc>
          <w:tcPr>
            <w:tcW w:w="1704" w:type="dxa"/>
            <w:vAlign w:val="center"/>
          </w:tcPr>
          <w:p w14:paraId="42D15AA2" w14:textId="77777777" w:rsidR="003E095D" w:rsidRPr="004D46AC" w:rsidRDefault="003E095D" w:rsidP="00B518F1">
            <w:pPr>
              <w:spacing w:line="240" w:lineRule="auto"/>
              <w:ind w:firstLine="0"/>
            </w:pPr>
            <w:r w:rsidRPr="004D46AC">
              <w:rPr>
                <w:color w:val="000000"/>
              </w:rPr>
              <w:t>TR7--TR19</w:t>
            </w:r>
          </w:p>
        </w:tc>
        <w:tc>
          <w:tcPr>
            <w:tcW w:w="1704" w:type="dxa"/>
            <w:vAlign w:val="center"/>
          </w:tcPr>
          <w:p w14:paraId="748EDE27" w14:textId="77777777" w:rsidR="003E095D" w:rsidRPr="004D46AC" w:rsidRDefault="003E095D" w:rsidP="00B518F1">
            <w:pPr>
              <w:spacing w:line="240" w:lineRule="auto"/>
              <w:ind w:firstLine="0"/>
            </w:pPr>
            <w:r w:rsidRPr="004D46AC">
              <w:rPr>
                <w:color w:val="000000"/>
                <w:szCs w:val="21"/>
              </w:rPr>
              <w:t xml:space="preserve">0.60 </w:t>
            </w:r>
          </w:p>
        </w:tc>
        <w:tc>
          <w:tcPr>
            <w:tcW w:w="1704" w:type="dxa"/>
            <w:vAlign w:val="center"/>
          </w:tcPr>
          <w:p w14:paraId="27ED6E30"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5AA8F031" w14:textId="77777777" w:rsidR="003E095D" w:rsidRPr="004D46AC" w:rsidRDefault="003E095D" w:rsidP="00B518F1">
            <w:pPr>
              <w:spacing w:line="240" w:lineRule="auto"/>
              <w:ind w:firstLine="0"/>
            </w:pPr>
            <w:r w:rsidRPr="004D46AC">
              <w:rPr>
                <w:color w:val="000000"/>
                <w:szCs w:val="21"/>
              </w:rPr>
              <w:t xml:space="preserve">1.08 </w:t>
            </w:r>
          </w:p>
        </w:tc>
        <w:tc>
          <w:tcPr>
            <w:tcW w:w="1705" w:type="dxa"/>
            <w:vAlign w:val="center"/>
          </w:tcPr>
          <w:p w14:paraId="1E136FF4" w14:textId="77777777" w:rsidR="003E095D" w:rsidRPr="004D46AC" w:rsidRDefault="003E095D" w:rsidP="00B518F1">
            <w:pPr>
              <w:spacing w:line="240" w:lineRule="auto"/>
              <w:ind w:firstLine="0"/>
            </w:pPr>
            <w:r w:rsidRPr="004D46AC">
              <w:rPr>
                <w:color w:val="000000"/>
                <w:szCs w:val="21"/>
              </w:rPr>
              <w:t xml:space="preserve">0.02 </w:t>
            </w:r>
          </w:p>
        </w:tc>
      </w:tr>
      <w:tr w:rsidR="003E095D" w:rsidRPr="004D46AC" w14:paraId="635AD02B" w14:textId="77777777" w:rsidTr="00B518F1">
        <w:tc>
          <w:tcPr>
            <w:tcW w:w="1704" w:type="dxa"/>
            <w:vAlign w:val="center"/>
          </w:tcPr>
          <w:p w14:paraId="16074BC2" w14:textId="77777777" w:rsidR="003E095D" w:rsidRPr="004D46AC" w:rsidRDefault="003E095D" w:rsidP="00B518F1">
            <w:pPr>
              <w:spacing w:line="240" w:lineRule="auto"/>
              <w:ind w:firstLine="0"/>
            </w:pPr>
            <w:r w:rsidRPr="004D46AC">
              <w:rPr>
                <w:color w:val="000000"/>
              </w:rPr>
              <w:t>TR14--TR16</w:t>
            </w:r>
          </w:p>
        </w:tc>
        <w:tc>
          <w:tcPr>
            <w:tcW w:w="1704" w:type="dxa"/>
            <w:vAlign w:val="center"/>
          </w:tcPr>
          <w:p w14:paraId="30F21A88" w14:textId="77777777" w:rsidR="003E095D" w:rsidRPr="004D46AC" w:rsidRDefault="003E095D" w:rsidP="00B518F1">
            <w:pPr>
              <w:spacing w:line="240" w:lineRule="auto"/>
              <w:ind w:firstLine="0"/>
            </w:pPr>
            <w:r w:rsidRPr="004D46AC">
              <w:rPr>
                <w:color w:val="000000"/>
                <w:szCs w:val="21"/>
              </w:rPr>
              <w:t xml:space="preserve">0.59 </w:t>
            </w:r>
          </w:p>
        </w:tc>
        <w:tc>
          <w:tcPr>
            <w:tcW w:w="1704" w:type="dxa"/>
            <w:vAlign w:val="center"/>
          </w:tcPr>
          <w:p w14:paraId="52F0B111"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76C5B4F6" w14:textId="77777777" w:rsidR="003E095D" w:rsidRPr="004D46AC" w:rsidRDefault="003E095D" w:rsidP="00B518F1">
            <w:pPr>
              <w:spacing w:line="240" w:lineRule="auto"/>
              <w:ind w:firstLine="0"/>
            </w:pPr>
            <w:r w:rsidRPr="004D46AC">
              <w:rPr>
                <w:color w:val="000000"/>
                <w:szCs w:val="21"/>
              </w:rPr>
              <w:t xml:space="preserve">0.99 </w:t>
            </w:r>
          </w:p>
        </w:tc>
        <w:tc>
          <w:tcPr>
            <w:tcW w:w="1705" w:type="dxa"/>
            <w:vAlign w:val="center"/>
          </w:tcPr>
          <w:p w14:paraId="19BC2EC4" w14:textId="77777777" w:rsidR="003E095D" w:rsidRPr="004D46AC" w:rsidRDefault="003E095D" w:rsidP="00B518F1">
            <w:pPr>
              <w:spacing w:line="240" w:lineRule="auto"/>
              <w:ind w:firstLine="0"/>
            </w:pPr>
            <w:r w:rsidRPr="004D46AC">
              <w:rPr>
                <w:color w:val="000000"/>
                <w:szCs w:val="21"/>
              </w:rPr>
              <w:t xml:space="preserve">0.01 </w:t>
            </w:r>
          </w:p>
        </w:tc>
      </w:tr>
      <w:tr w:rsidR="003E095D" w:rsidRPr="004D46AC" w14:paraId="213F10B0" w14:textId="77777777" w:rsidTr="00B518F1">
        <w:tc>
          <w:tcPr>
            <w:tcW w:w="1704" w:type="dxa"/>
            <w:vAlign w:val="center"/>
          </w:tcPr>
          <w:p w14:paraId="2DF0FFF4" w14:textId="77777777" w:rsidR="003E095D" w:rsidRPr="004D46AC" w:rsidRDefault="003E095D" w:rsidP="00B518F1">
            <w:pPr>
              <w:spacing w:line="240" w:lineRule="auto"/>
              <w:ind w:firstLine="0"/>
            </w:pPr>
            <w:r w:rsidRPr="004D46AC">
              <w:rPr>
                <w:color w:val="000000"/>
              </w:rPr>
              <w:t>TR3--TR9</w:t>
            </w:r>
          </w:p>
        </w:tc>
        <w:tc>
          <w:tcPr>
            <w:tcW w:w="1704" w:type="dxa"/>
            <w:vAlign w:val="center"/>
          </w:tcPr>
          <w:p w14:paraId="1197F08F" w14:textId="77777777" w:rsidR="003E095D" w:rsidRPr="004D46AC" w:rsidRDefault="003E095D" w:rsidP="00B518F1">
            <w:pPr>
              <w:spacing w:line="240" w:lineRule="auto"/>
              <w:ind w:firstLine="0"/>
            </w:pPr>
            <w:r w:rsidRPr="004D46AC">
              <w:rPr>
                <w:color w:val="000000"/>
                <w:szCs w:val="21"/>
              </w:rPr>
              <w:t xml:space="preserve">0.59 </w:t>
            </w:r>
          </w:p>
        </w:tc>
        <w:tc>
          <w:tcPr>
            <w:tcW w:w="1704" w:type="dxa"/>
            <w:vAlign w:val="center"/>
          </w:tcPr>
          <w:p w14:paraId="0CF46B47" w14:textId="77777777" w:rsidR="003E095D" w:rsidRPr="004D46AC" w:rsidRDefault="003E095D" w:rsidP="00B518F1">
            <w:pPr>
              <w:spacing w:line="240" w:lineRule="auto"/>
              <w:ind w:firstLine="0"/>
            </w:pPr>
            <w:r w:rsidRPr="004D46AC">
              <w:rPr>
                <w:color w:val="000000"/>
                <w:szCs w:val="21"/>
              </w:rPr>
              <w:t xml:space="preserve">0.09 </w:t>
            </w:r>
          </w:p>
        </w:tc>
        <w:tc>
          <w:tcPr>
            <w:tcW w:w="1705" w:type="dxa"/>
            <w:vAlign w:val="center"/>
          </w:tcPr>
          <w:p w14:paraId="17C447A8" w14:textId="77777777" w:rsidR="003E095D" w:rsidRPr="004D46AC" w:rsidRDefault="003E095D" w:rsidP="00B518F1">
            <w:pPr>
              <w:spacing w:line="240" w:lineRule="auto"/>
              <w:ind w:firstLine="0"/>
            </w:pPr>
            <w:r w:rsidRPr="004D46AC">
              <w:rPr>
                <w:color w:val="000000"/>
                <w:szCs w:val="21"/>
              </w:rPr>
              <w:t xml:space="preserve">1.08 </w:t>
            </w:r>
          </w:p>
        </w:tc>
        <w:tc>
          <w:tcPr>
            <w:tcW w:w="1705" w:type="dxa"/>
            <w:vAlign w:val="center"/>
          </w:tcPr>
          <w:p w14:paraId="5FFDA8BC" w14:textId="77777777" w:rsidR="003E095D" w:rsidRPr="004D46AC" w:rsidRDefault="003E095D" w:rsidP="00B518F1">
            <w:pPr>
              <w:spacing w:line="240" w:lineRule="auto"/>
              <w:ind w:firstLine="0"/>
            </w:pPr>
            <w:r w:rsidRPr="004D46AC">
              <w:rPr>
                <w:color w:val="000000"/>
                <w:szCs w:val="21"/>
              </w:rPr>
              <w:t xml:space="preserve">0.07 </w:t>
            </w:r>
          </w:p>
        </w:tc>
      </w:tr>
      <w:tr w:rsidR="003E095D" w:rsidRPr="004D46AC" w14:paraId="3B6B3EC9" w14:textId="77777777" w:rsidTr="00B518F1">
        <w:tc>
          <w:tcPr>
            <w:tcW w:w="1704" w:type="dxa"/>
            <w:vAlign w:val="center"/>
          </w:tcPr>
          <w:p w14:paraId="0B6FE1FE" w14:textId="77777777" w:rsidR="003E095D" w:rsidRPr="004D46AC" w:rsidRDefault="003E095D" w:rsidP="00B518F1">
            <w:pPr>
              <w:spacing w:line="240" w:lineRule="auto"/>
              <w:ind w:firstLine="0"/>
            </w:pPr>
            <w:r w:rsidRPr="004D46AC">
              <w:rPr>
                <w:color w:val="000000"/>
              </w:rPr>
              <w:t>TR19--TR21</w:t>
            </w:r>
          </w:p>
        </w:tc>
        <w:tc>
          <w:tcPr>
            <w:tcW w:w="1704" w:type="dxa"/>
            <w:vAlign w:val="center"/>
          </w:tcPr>
          <w:p w14:paraId="5E3D8DA3" w14:textId="77777777" w:rsidR="003E095D" w:rsidRPr="004D46AC" w:rsidRDefault="003E095D" w:rsidP="00B518F1">
            <w:pPr>
              <w:spacing w:line="240" w:lineRule="auto"/>
              <w:ind w:firstLine="0"/>
            </w:pPr>
            <w:r w:rsidRPr="004D46AC">
              <w:rPr>
                <w:color w:val="000000"/>
                <w:szCs w:val="21"/>
              </w:rPr>
              <w:t xml:space="preserve">0.55 </w:t>
            </w:r>
          </w:p>
        </w:tc>
        <w:tc>
          <w:tcPr>
            <w:tcW w:w="1704" w:type="dxa"/>
            <w:vAlign w:val="center"/>
          </w:tcPr>
          <w:p w14:paraId="7A6F812D"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22BB88D2" w14:textId="77777777" w:rsidR="003E095D" w:rsidRPr="004D46AC" w:rsidRDefault="003E095D" w:rsidP="00B518F1">
            <w:pPr>
              <w:spacing w:line="240" w:lineRule="auto"/>
              <w:ind w:firstLine="0"/>
            </w:pPr>
            <w:r w:rsidRPr="004D46AC">
              <w:rPr>
                <w:color w:val="000000"/>
                <w:szCs w:val="21"/>
              </w:rPr>
              <w:t xml:space="preserve">0.98 </w:t>
            </w:r>
          </w:p>
        </w:tc>
        <w:tc>
          <w:tcPr>
            <w:tcW w:w="1705" w:type="dxa"/>
            <w:vAlign w:val="center"/>
          </w:tcPr>
          <w:p w14:paraId="0F7CA24E" w14:textId="77777777" w:rsidR="003E095D" w:rsidRPr="004D46AC" w:rsidRDefault="003E095D" w:rsidP="00B518F1">
            <w:pPr>
              <w:spacing w:line="240" w:lineRule="auto"/>
              <w:ind w:firstLine="0"/>
            </w:pPr>
            <w:r w:rsidRPr="004D46AC">
              <w:rPr>
                <w:color w:val="000000"/>
                <w:szCs w:val="21"/>
              </w:rPr>
              <w:t xml:space="preserve">0.02 </w:t>
            </w:r>
          </w:p>
        </w:tc>
      </w:tr>
      <w:tr w:rsidR="003E095D" w:rsidRPr="004D46AC" w14:paraId="26E93D75" w14:textId="77777777" w:rsidTr="00B518F1">
        <w:tc>
          <w:tcPr>
            <w:tcW w:w="1704" w:type="dxa"/>
            <w:vAlign w:val="center"/>
          </w:tcPr>
          <w:p w14:paraId="1C54848E" w14:textId="77777777" w:rsidR="003E095D" w:rsidRPr="004D46AC" w:rsidRDefault="003E095D" w:rsidP="00B518F1">
            <w:pPr>
              <w:spacing w:line="240" w:lineRule="auto"/>
              <w:ind w:firstLine="0"/>
            </w:pPr>
            <w:r w:rsidRPr="004D46AC">
              <w:rPr>
                <w:color w:val="000000"/>
              </w:rPr>
              <w:t>TR13--TR14</w:t>
            </w:r>
          </w:p>
        </w:tc>
        <w:tc>
          <w:tcPr>
            <w:tcW w:w="1704" w:type="dxa"/>
            <w:vAlign w:val="center"/>
          </w:tcPr>
          <w:p w14:paraId="716E05C3" w14:textId="77777777" w:rsidR="003E095D" w:rsidRPr="004D46AC" w:rsidRDefault="003E095D" w:rsidP="00B518F1">
            <w:pPr>
              <w:spacing w:line="240" w:lineRule="auto"/>
              <w:ind w:firstLine="0"/>
            </w:pPr>
            <w:r w:rsidRPr="004D46AC">
              <w:rPr>
                <w:color w:val="000000"/>
                <w:szCs w:val="21"/>
              </w:rPr>
              <w:t xml:space="preserve">0.55 </w:t>
            </w:r>
          </w:p>
        </w:tc>
        <w:tc>
          <w:tcPr>
            <w:tcW w:w="1704" w:type="dxa"/>
            <w:vAlign w:val="center"/>
          </w:tcPr>
          <w:p w14:paraId="24E0034D"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40EB6562" w14:textId="77777777" w:rsidR="003E095D" w:rsidRPr="004D46AC" w:rsidRDefault="003E095D" w:rsidP="00B518F1">
            <w:pPr>
              <w:spacing w:line="240" w:lineRule="auto"/>
              <w:ind w:firstLine="0"/>
            </w:pPr>
            <w:r w:rsidRPr="004D46AC">
              <w:rPr>
                <w:color w:val="000000"/>
                <w:szCs w:val="21"/>
              </w:rPr>
              <w:t xml:space="preserve">0.96 </w:t>
            </w:r>
          </w:p>
        </w:tc>
        <w:tc>
          <w:tcPr>
            <w:tcW w:w="1705" w:type="dxa"/>
            <w:vAlign w:val="center"/>
          </w:tcPr>
          <w:p w14:paraId="219D3439" w14:textId="77777777" w:rsidR="003E095D" w:rsidRPr="004D46AC" w:rsidRDefault="003E095D" w:rsidP="00B518F1">
            <w:pPr>
              <w:spacing w:line="240" w:lineRule="auto"/>
              <w:ind w:firstLine="0"/>
            </w:pPr>
            <w:r w:rsidRPr="004D46AC">
              <w:rPr>
                <w:color w:val="000000"/>
                <w:szCs w:val="21"/>
              </w:rPr>
              <w:t xml:space="preserve">0.04 </w:t>
            </w:r>
          </w:p>
        </w:tc>
      </w:tr>
      <w:tr w:rsidR="003E095D" w:rsidRPr="004D46AC" w14:paraId="1C49C70F" w14:textId="77777777" w:rsidTr="00B518F1">
        <w:tc>
          <w:tcPr>
            <w:tcW w:w="1704" w:type="dxa"/>
            <w:vAlign w:val="center"/>
          </w:tcPr>
          <w:p w14:paraId="5CE787AC" w14:textId="77777777" w:rsidR="003E095D" w:rsidRPr="004D46AC" w:rsidRDefault="003E095D" w:rsidP="00B518F1">
            <w:pPr>
              <w:spacing w:line="240" w:lineRule="auto"/>
              <w:ind w:firstLine="0"/>
            </w:pPr>
            <w:r w:rsidRPr="004D46AC">
              <w:rPr>
                <w:color w:val="000000"/>
              </w:rPr>
              <w:t>TR30--TR33</w:t>
            </w:r>
          </w:p>
        </w:tc>
        <w:tc>
          <w:tcPr>
            <w:tcW w:w="1704" w:type="dxa"/>
            <w:vAlign w:val="center"/>
          </w:tcPr>
          <w:p w14:paraId="394CA6FA" w14:textId="77777777" w:rsidR="003E095D" w:rsidRPr="004D46AC" w:rsidRDefault="003E095D" w:rsidP="00B518F1">
            <w:pPr>
              <w:spacing w:line="240" w:lineRule="auto"/>
              <w:ind w:firstLine="0"/>
            </w:pPr>
            <w:r w:rsidRPr="004D46AC">
              <w:rPr>
                <w:color w:val="000000"/>
                <w:szCs w:val="21"/>
              </w:rPr>
              <w:t xml:space="preserve">0.53 </w:t>
            </w:r>
          </w:p>
        </w:tc>
        <w:tc>
          <w:tcPr>
            <w:tcW w:w="1704" w:type="dxa"/>
            <w:vAlign w:val="center"/>
          </w:tcPr>
          <w:p w14:paraId="4CAEA853" w14:textId="77777777" w:rsidR="003E095D" w:rsidRPr="004D46AC" w:rsidRDefault="003E095D" w:rsidP="00B518F1">
            <w:pPr>
              <w:spacing w:line="240" w:lineRule="auto"/>
              <w:ind w:firstLine="0"/>
            </w:pPr>
            <w:r w:rsidRPr="004D46AC">
              <w:rPr>
                <w:color w:val="000000"/>
                <w:szCs w:val="21"/>
              </w:rPr>
              <w:t xml:space="preserve">0.05 </w:t>
            </w:r>
          </w:p>
        </w:tc>
        <w:tc>
          <w:tcPr>
            <w:tcW w:w="1705" w:type="dxa"/>
            <w:vAlign w:val="center"/>
          </w:tcPr>
          <w:p w14:paraId="637C5A62" w14:textId="77777777" w:rsidR="003E095D" w:rsidRPr="004D46AC" w:rsidRDefault="003E095D" w:rsidP="00B518F1">
            <w:pPr>
              <w:spacing w:line="240" w:lineRule="auto"/>
              <w:ind w:firstLine="0"/>
            </w:pPr>
            <w:r w:rsidRPr="004D46AC">
              <w:rPr>
                <w:color w:val="000000"/>
                <w:szCs w:val="21"/>
              </w:rPr>
              <w:t xml:space="preserve">1.00 </w:t>
            </w:r>
          </w:p>
        </w:tc>
        <w:tc>
          <w:tcPr>
            <w:tcW w:w="1705" w:type="dxa"/>
            <w:vAlign w:val="center"/>
          </w:tcPr>
          <w:p w14:paraId="34A44076" w14:textId="77777777" w:rsidR="003E095D" w:rsidRPr="004D46AC" w:rsidRDefault="003E095D" w:rsidP="00B518F1">
            <w:pPr>
              <w:spacing w:line="240" w:lineRule="auto"/>
              <w:ind w:firstLine="0"/>
            </w:pPr>
            <w:r w:rsidRPr="004D46AC">
              <w:rPr>
                <w:color w:val="000000"/>
                <w:szCs w:val="21"/>
              </w:rPr>
              <w:t xml:space="preserve">0.04 </w:t>
            </w:r>
          </w:p>
        </w:tc>
      </w:tr>
      <w:tr w:rsidR="003E095D" w:rsidRPr="004D46AC" w14:paraId="505B2E86" w14:textId="77777777" w:rsidTr="00B518F1">
        <w:tc>
          <w:tcPr>
            <w:tcW w:w="1704" w:type="dxa"/>
            <w:vAlign w:val="center"/>
          </w:tcPr>
          <w:p w14:paraId="55665C45" w14:textId="77777777" w:rsidR="003E095D" w:rsidRPr="004D46AC" w:rsidRDefault="003E095D" w:rsidP="00B518F1">
            <w:pPr>
              <w:spacing w:line="240" w:lineRule="auto"/>
              <w:ind w:firstLine="0"/>
            </w:pPr>
            <w:r w:rsidRPr="004D46AC">
              <w:rPr>
                <w:color w:val="000000"/>
              </w:rPr>
              <w:t>TR17--TR29</w:t>
            </w:r>
          </w:p>
        </w:tc>
        <w:tc>
          <w:tcPr>
            <w:tcW w:w="1704" w:type="dxa"/>
            <w:vAlign w:val="center"/>
          </w:tcPr>
          <w:p w14:paraId="52EEAA64" w14:textId="77777777" w:rsidR="003E095D" w:rsidRPr="004D46AC" w:rsidRDefault="003E095D" w:rsidP="00B518F1">
            <w:pPr>
              <w:spacing w:line="240" w:lineRule="auto"/>
              <w:ind w:firstLine="0"/>
            </w:pPr>
            <w:r w:rsidRPr="004D46AC">
              <w:rPr>
                <w:color w:val="000000"/>
                <w:szCs w:val="21"/>
              </w:rPr>
              <w:t xml:space="preserve">0.51 </w:t>
            </w:r>
          </w:p>
        </w:tc>
        <w:tc>
          <w:tcPr>
            <w:tcW w:w="1704" w:type="dxa"/>
            <w:vAlign w:val="center"/>
          </w:tcPr>
          <w:p w14:paraId="290BAAAD" w14:textId="77777777" w:rsidR="003E095D" w:rsidRPr="004D46AC" w:rsidRDefault="003E095D" w:rsidP="00B518F1">
            <w:pPr>
              <w:spacing w:line="240" w:lineRule="auto"/>
              <w:ind w:firstLine="0"/>
            </w:pPr>
            <w:r w:rsidRPr="004D46AC">
              <w:rPr>
                <w:color w:val="000000"/>
                <w:szCs w:val="21"/>
              </w:rPr>
              <w:t xml:space="preserve">0.03 </w:t>
            </w:r>
          </w:p>
        </w:tc>
        <w:tc>
          <w:tcPr>
            <w:tcW w:w="1705" w:type="dxa"/>
            <w:vAlign w:val="center"/>
          </w:tcPr>
          <w:p w14:paraId="3F9F7B5A" w14:textId="77777777" w:rsidR="003E095D" w:rsidRPr="004D46AC" w:rsidRDefault="003E095D" w:rsidP="00B518F1">
            <w:pPr>
              <w:spacing w:line="240" w:lineRule="auto"/>
              <w:ind w:firstLine="0"/>
            </w:pPr>
            <w:r w:rsidRPr="004D46AC">
              <w:rPr>
                <w:color w:val="000000"/>
                <w:szCs w:val="21"/>
              </w:rPr>
              <w:t xml:space="preserve">1.00 </w:t>
            </w:r>
          </w:p>
        </w:tc>
        <w:tc>
          <w:tcPr>
            <w:tcW w:w="1705" w:type="dxa"/>
            <w:vAlign w:val="center"/>
          </w:tcPr>
          <w:p w14:paraId="644BF0A1" w14:textId="77777777" w:rsidR="003E095D" w:rsidRPr="004D46AC" w:rsidRDefault="003E095D" w:rsidP="00B518F1">
            <w:pPr>
              <w:spacing w:line="240" w:lineRule="auto"/>
              <w:ind w:firstLine="0"/>
            </w:pPr>
            <w:r w:rsidRPr="004D46AC">
              <w:rPr>
                <w:color w:val="000000"/>
                <w:szCs w:val="21"/>
              </w:rPr>
              <w:t xml:space="preserve">0.04 </w:t>
            </w:r>
          </w:p>
        </w:tc>
      </w:tr>
      <w:tr w:rsidR="003E095D" w:rsidRPr="004D46AC" w14:paraId="714C7318" w14:textId="77777777" w:rsidTr="00B518F1">
        <w:tc>
          <w:tcPr>
            <w:tcW w:w="1704" w:type="dxa"/>
            <w:vAlign w:val="center"/>
          </w:tcPr>
          <w:p w14:paraId="5514A2F2" w14:textId="77777777" w:rsidR="003E095D" w:rsidRPr="004D46AC" w:rsidRDefault="003E095D" w:rsidP="00B518F1">
            <w:pPr>
              <w:spacing w:line="240" w:lineRule="auto"/>
              <w:ind w:firstLine="0"/>
            </w:pPr>
            <w:r w:rsidRPr="004D46AC">
              <w:rPr>
                <w:color w:val="000000"/>
              </w:rPr>
              <w:t>TR15--TR26</w:t>
            </w:r>
          </w:p>
        </w:tc>
        <w:tc>
          <w:tcPr>
            <w:tcW w:w="1704" w:type="dxa"/>
            <w:vAlign w:val="center"/>
          </w:tcPr>
          <w:p w14:paraId="13BBF6B5" w14:textId="77777777" w:rsidR="003E095D" w:rsidRPr="004D46AC" w:rsidRDefault="003E095D" w:rsidP="00B518F1">
            <w:pPr>
              <w:spacing w:line="240" w:lineRule="auto"/>
              <w:ind w:firstLine="0"/>
            </w:pPr>
            <w:r w:rsidRPr="004D46AC">
              <w:rPr>
                <w:color w:val="000000"/>
                <w:szCs w:val="21"/>
              </w:rPr>
              <w:t xml:space="preserve">0.51 </w:t>
            </w:r>
          </w:p>
        </w:tc>
        <w:tc>
          <w:tcPr>
            <w:tcW w:w="1704" w:type="dxa"/>
            <w:vAlign w:val="center"/>
          </w:tcPr>
          <w:p w14:paraId="2CF43A99" w14:textId="77777777" w:rsidR="003E095D" w:rsidRPr="004D46AC" w:rsidRDefault="003E095D" w:rsidP="00B518F1">
            <w:pPr>
              <w:spacing w:line="240" w:lineRule="auto"/>
              <w:ind w:firstLine="0"/>
            </w:pPr>
            <w:r w:rsidRPr="004D46AC">
              <w:rPr>
                <w:color w:val="000000"/>
                <w:szCs w:val="21"/>
              </w:rPr>
              <w:t xml:space="preserve">0.03 </w:t>
            </w:r>
          </w:p>
        </w:tc>
        <w:tc>
          <w:tcPr>
            <w:tcW w:w="1705" w:type="dxa"/>
            <w:vAlign w:val="center"/>
          </w:tcPr>
          <w:p w14:paraId="3078C5F1" w14:textId="77777777" w:rsidR="003E095D" w:rsidRPr="004D46AC" w:rsidRDefault="003E095D" w:rsidP="00B518F1">
            <w:pPr>
              <w:spacing w:line="240" w:lineRule="auto"/>
              <w:ind w:firstLine="0"/>
            </w:pPr>
            <w:r w:rsidRPr="004D46AC">
              <w:rPr>
                <w:color w:val="000000"/>
                <w:szCs w:val="21"/>
              </w:rPr>
              <w:t xml:space="preserve">0.99 </w:t>
            </w:r>
          </w:p>
        </w:tc>
        <w:tc>
          <w:tcPr>
            <w:tcW w:w="1705" w:type="dxa"/>
            <w:vAlign w:val="center"/>
          </w:tcPr>
          <w:p w14:paraId="244E7788" w14:textId="77777777" w:rsidR="003E095D" w:rsidRPr="004D46AC" w:rsidRDefault="003E095D" w:rsidP="00B518F1">
            <w:pPr>
              <w:spacing w:line="240" w:lineRule="auto"/>
              <w:ind w:firstLine="0"/>
            </w:pPr>
            <w:r w:rsidRPr="004D46AC">
              <w:rPr>
                <w:color w:val="000000"/>
                <w:szCs w:val="21"/>
              </w:rPr>
              <w:t xml:space="preserve">0.09 </w:t>
            </w:r>
          </w:p>
        </w:tc>
      </w:tr>
      <w:tr w:rsidR="003E095D" w:rsidRPr="004D46AC" w14:paraId="4DB13DE9" w14:textId="77777777" w:rsidTr="00B518F1">
        <w:tc>
          <w:tcPr>
            <w:tcW w:w="1704" w:type="dxa"/>
            <w:vAlign w:val="center"/>
          </w:tcPr>
          <w:p w14:paraId="1CE865FE" w14:textId="77777777" w:rsidR="003E095D" w:rsidRPr="004D46AC" w:rsidRDefault="003E095D" w:rsidP="00B518F1">
            <w:pPr>
              <w:spacing w:line="240" w:lineRule="auto"/>
              <w:ind w:firstLine="0"/>
            </w:pPr>
            <w:r w:rsidRPr="004D46AC">
              <w:rPr>
                <w:color w:val="000000"/>
              </w:rPr>
              <w:t>TR33--TR22</w:t>
            </w:r>
          </w:p>
        </w:tc>
        <w:tc>
          <w:tcPr>
            <w:tcW w:w="1704" w:type="dxa"/>
            <w:vAlign w:val="center"/>
          </w:tcPr>
          <w:p w14:paraId="1A9D87EF" w14:textId="77777777" w:rsidR="003E095D" w:rsidRPr="004D46AC" w:rsidRDefault="003E095D" w:rsidP="00B518F1">
            <w:pPr>
              <w:spacing w:line="240" w:lineRule="auto"/>
              <w:ind w:firstLine="0"/>
            </w:pPr>
            <w:r w:rsidRPr="004D46AC">
              <w:rPr>
                <w:color w:val="000000"/>
                <w:szCs w:val="21"/>
              </w:rPr>
              <w:t xml:space="preserve">0.51 </w:t>
            </w:r>
          </w:p>
        </w:tc>
        <w:tc>
          <w:tcPr>
            <w:tcW w:w="1704" w:type="dxa"/>
            <w:vAlign w:val="center"/>
          </w:tcPr>
          <w:p w14:paraId="28749A51" w14:textId="77777777" w:rsidR="003E095D" w:rsidRPr="004D46AC" w:rsidRDefault="003E095D" w:rsidP="00B518F1">
            <w:pPr>
              <w:spacing w:line="240" w:lineRule="auto"/>
              <w:ind w:firstLine="0"/>
            </w:pPr>
            <w:r w:rsidRPr="004D46AC">
              <w:rPr>
                <w:color w:val="000000"/>
                <w:szCs w:val="21"/>
              </w:rPr>
              <w:t xml:space="preserve">0.05 </w:t>
            </w:r>
          </w:p>
        </w:tc>
        <w:tc>
          <w:tcPr>
            <w:tcW w:w="1705" w:type="dxa"/>
            <w:vAlign w:val="center"/>
          </w:tcPr>
          <w:p w14:paraId="1C50DBA3" w14:textId="77777777" w:rsidR="003E095D" w:rsidRPr="004D46AC" w:rsidRDefault="003E095D" w:rsidP="00B518F1">
            <w:pPr>
              <w:spacing w:line="240" w:lineRule="auto"/>
              <w:ind w:firstLine="0"/>
            </w:pPr>
            <w:r w:rsidRPr="004D46AC">
              <w:rPr>
                <w:color w:val="000000"/>
                <w:szCs w:val="21"/>
              </w:rPr>
              <w:t xml:space="preserve">0.96 </w:t>
            </w:r>
          </w:p>
        </w:tc>
        <w:tc>
          <w:tcPr>
            <w:tcW w:w="1705" w:type="dxa"/>
            <w:vAlign w:val="center"/>
          </w:tcPr>
          <w:p w14:paraId="6506B742" w14:textId="77777777" w:rsidR="003E095D" w:rsidRPr="004D46AC" w:rsidRDefault="003E095D" w:rsidP="00B518F1">
            <w:pPr>
              <w:spacing w:line="240" w:lineRule="auto"/>
              <w:ind w:firstLine="0"/>
            </w:pPr>
            <w:r w:rsidRPr="004D46AC">
              <w:rPr>
                <w:color w:val="000000"/>
                <w:szCs w:val="21"/>
              </w:rPr>
              <w:t xml:space="preserve">0.10 </w:t>
            </w:r>
          </w:p>
        </w:tc>
      </w:tr>
      <w:tr w:rsidR="003E095D" w:rsidRPr="004D46AC" w14:paraId="02636F2A" w14:textId="77777777" w:rsidTr="00B518F1">
        <w:tc>
          <w:tcPr>
            <w:tcW w:w="1704" w:type="dxa"/>
            <w:vAlign w:val="center"/>
          </w:tcPr>
          <w:p w14:paraId="23A0F2CE" w14:textId="77777777" w:rsidR="003E095D" w:rsidRPr="004D46AC" w:rsidRDefault="003E095D" w:rsidP="00B518F1">
            <w:pPr>
              <w:spacing w:line="240" w:lineRule="auto"/>
              <w:ind w:firstLine="0"/>
            </w:pPr>
            <w:r w:rsidRPr="004D46AC">
              <w:rPr>
                <w:color w:val="000000"/>
              </w:rPr>
              <w:t>TR23--TR24</w:t>
            </w:r>
          </w:p>
        </w:tc>
        <w:tc>
          <w:tcPr>
            <w:tcW w:w="1704" w:type="dxa"/>
            <w:vAlign w:val="center"/>
          </w:tcPr>
          <w:p w14:paraId="708F9689" w14:textId="77777777" w:rsidR="003E095D" w:rsidRPr="004D46AC" w:rsidRDefault="003E095D" w:rsidP="00B518F1">
            <w:pPr>
              <w:spacing w:line="240" w:lineRule="auto"/>
              <w:ind w:firstLine="0"/>
            </w:pPr>
            <w:r w:rsidRPr="004D46AC">
              <w:rPr>
                <w:color w:val="000000"/>
                <w:szCs w:val="21"/>
              </w:rPr>
              <w:t xml:space="preserve">0.50 </w:t>
            </w:r>
          </w:p>
        </w:tc>
        <w:tc>
          <w:tcPr>
            <w:tcW w:w="1704" w:type="dxa"/>
            <w:vAlign w:val="center"/>
          </w:tcPr>
          <w:p w14:paraId="4F8EED78" w14:textId="77777777" w:rsidR="003E095D" w:rsidRPr="004D46AC" w:rsidRDefault="003E095D" w:rsidP="00B518F1">
            <w:pPr>
              <w:spacing w:line="240" w:lineRule="auto"/>
              <w:ind w:firstLine="0"/>
            </w:pPr>
            <w:r w:rsidRPr="004D46AC">
              <w:rPr>
                <w:color w:val="000000"/>
                <w:szCs w:val="21"/>
              </w:rPr>
              <w:t xml:space="preserve">0.06 </w:t>
            </w:r>
          </w:p>
        </w:tc>
        <w:tc>
          <w:tcPr>
            <w:tcW w:w="1705" w:type="dxa"/>
            <w:vAlign w:val="center"/>
          </w:tcPr>
          <w:p w14:paraId="3938FD6B" w14:textId="77777777" w:rsidR="003E095D" w:rsidRPr="004D46AC" w:rsidRDefault="003E095D" w:rsidP="00B518F1">
            <w:pPr>
              <w:spacing w:line="240" w:lineRule="auto"/>
              <w:ind w:firstLine="0"/>
            </w:pPr>
            <w:r w:rsidRPr="004D46AC">
              <w:rPr>
                <w:color w:val="000000"/>
                <w:szCs w:val="21"/>
              </w:rPr>
              <w:t xml:space="preserve">0.93 </w:t>
            </w:r>
          </w:p>
        </w:tc>
        <w:tc>
          <w:tcPr>
            <w:tcW w:w="1705" w:type="dxa"/>
            <w:vAlign w:val="center"/>
          </w:tcPr>
          <w:p w14:paraId="5A5ED021" w14:textId="77777777" w:rsidR="003E095D" w:rsidRPr="004D46AC" w:rsidRDefault="003E095D" w:rsidP="00B518F1">
            <w:pPr>
              <w:spacing w:line="240" w:lineRule="auto"/>
              <w:ind w:firstLine="0"/>
            </w:pPr>
            <w:r w:rsidRPr="004D46AC">
              <w:rPr>
                <w:color w:val="000000"/>
                <w:szCs w:val="21"/>
              </w:rPr>
              <w:t xml:space="preserve">0.04 </w:t>
            </w:r>
          </w:p>
        </w:tc>
      </w:tr>
      <w:tr w:rsidR="003E095D" w:rsidRPr="004D46AC" w14:paraId="46B5160C" w14:textId="77777777" w:rsidTr="00B518F1">
        <w:tc>
          <w:tcPr>
            <w:tcW w:w="1704" w:type="dxa"/>
            <w:vAlign w:val="center"/>
          </w:tcPr>
          <w:p w14:paraId="3BAC4452" w14:textId="77777777" w:rsidR="003E095D" w:rsidRPr="004D46AC" w:rsidRDefault="003E095D" w:rsidP="00B518F1">
            <w:pPr>
              <w:spacing w:line="240" w:lineRule="auto"/>
              <w:ind w:firstLine="0"/>
            </w:pPr>
            <w:r w:rsidRPr="004D46AC">
              <w:rPr>
                <w:color w:val="000000"/>
              </w:rPr>
              <w:t>TR7--TR34</w:t>
            </w:r>
          </w:p>
        </w:tc>
        <w:tc>
          <w:tcPr>
            <w:tcW w:w="1704" w:type="dxa"/>
            <w:vAlign w:val="center"/>
          </w:tcPr>
          <w:p w14:paraId="5AC5E21E" w14:textId="77777777" w:rsidR="003E095D" w:rsidRPr="004D46AC" w:rsidRDefault="003E095D" w:rsidP="00B518F1">
            <w:pPr>
              <w:spacing w:line="240" w:lineRule="auto"/>
              <w:ind w:firstLine="0"/>
            </w:pPr>
            <w:r w:rsidRPr="004D46AC">
              <w:rPr>
                <w:color w:val="000000"/>
                <w:szCs w:val="21"/>
              </w:rPr>
              <w:t xml:space="preserve">0.50 </w:t>
            </w:r>
          </w:p>
        </w:tc>
        <w:tc>
          <w:tcPr>
            <w:tcW w:w="1704" w:type="dxa"/>
            <w:vAlign w:val="center"/>
          </w:tcPr>
          <w:p w14:paraId="7480920E" w14:textId="77777777" w:rsidR="003E095D" w:rsidRPr="004D46AC" w:rsidRDefault="003E095D" w:rsidP="00B518F1">
            <w:pPr>
              <w:spacing w:line="240" w:lineRule="auto"/>
              <w:ind w:firstLine="0"/>
            </w:pPr>
            <w:r w:rsidRPr="004D46AC">
              <w:rPr>
                <w:color w:val="000000"/>
                <w:szCs w:val="21"/>
              </w:rPr>
              <w:t xml:space="preserve">0.05 </w:t>
            </w:r>
          </w:p>
        </w:tc>
        <w:tc>
          <w:tcPr>
            <w:tcW w:w="1705" w:type="dxa"/>
            <w:vAlign w:val="center"/>
          </w:tcPr>
          <w:p w14:paraId="03701847" w14:textId="77777777" w:rsidR="003E095D" w:rsidRPr="004D46AC" w:rsidRDefault="003E095D" w:rsidP="00B518F1">
            <w:pPr>
              <w:spacing w:line="240" w:lineRule="auto"/>
              <w:ind w:firstLine="0"/>
            </w:pPr>
            <w:r w:rsidRPr="004D46AC">
              <w:rPr>
                <w:color w:val="000000"/>
                <w:szCs w:val="21"/>
              </w:rPr>
              <w:t xml:space="preserve">0.95 </w:t>
            </w:r>
          </w:p>
        </w:tc>
        <w:tc>
          <w:tcPr>
            <w:tcW w:w="1705" w:type="dxa"/>
            <w:vAlign w:val="center"/>
          </w:tcPr>
          <w:p w14:paraId="7E601290" w14:textId="77777777" w:rsidR="003E095D" w:rsidRPr="004D46AC" w:rsidRDefault="003E095D" w:rsidP="00B518F1">
            <w:pPr>
              <w:spacing w:line="240" w:lineRule="auto"/>
              <w:ind w:firstLine="0"/>
            </w:pPr>
            <w:r w:rsidRPr="004D46AC">
              <w:rPr>
                <w:color w:val="000000"/>
                <w:szCs w:val="21"/>
              </w:rPr>
              <w:t xml:space="preserve">0.03 </w:t>
            </w:r>
          </w:p>
        </w:tc>
      </w:tr>
      <w:tr w:rsidR="003E095D" w:rsidRPr="004D46AC" w14:paraId="0385F780" w14:textId="77777777" w:rsidTr="00B518F1">
        <w:tc>
          <w:tcPr>
            <w:tcW w:w="1704" w:type="dxa"/>
            <w:vAlign w:val="center"/>
          </w:tcPr>
          <w:p w14:paraId="2C1BAE64" w14:textId="77777777" w:rsidR="003E095D" w:rsidRPr="004D46AC" w:rsidRDefault="003E095D" w:rsidP="00B518F1">
            <w:pPr>
              <w:spacing w:line="240" w:lineRule="auto"/>
              <w:ind w:firstLine="0"/>
            </w:pPr>
            <w:r w:rsidRPr="004D46AC">
              <w:rPr>
                <w:color w:val="000000"/>
              </w:rPr>
              <w:t>TR21--TR37</w:t>
            </w:r>
          </w:p>
        </w:tc>
        <w:tc>
          <w:tcPr>
            <w:tcW w:w="1704" w:type="dxa"/>
            <w:vAlign w:val="center"/>
          </w:tcPr>
          <w:p w14:paraId="3CFDF89D" w14:textId="77777777" w:rsidR="003E095D" w:rsidRPr="004D46AC" w:rsidRDefault="003E095D" w:rsidP="00B518F1">
            <w:pPr>
              <w:spacing w:line="240" w:lineRule="auto"/>
              <w:ind w:firstLine="0"/>
            </w:pPr>
            <w:r w:rsidRPr="004D46AC">
              <w:rPr>
                <w:color w:val="000000"/>
                <w:szCs w:val="21"/>
              </w:rPr>
              <w:t xml:space="preserve">0.48 </w:t>
            </w:r>
          </w:p>
        </w:tc>
        <w:tc>
          <w:tcPr>
            <w:tcW w:w="1704" w:type="dxa"/>
            <w:vAlign w:val="center"/>
          </w:tcPr>
          <w:p w14:paraId="7637610B" w14:textId="77777777" w:rsidR="003E095D" w:rsidRPr="004D46AC" w:rsidRDefault="003E095D" w:rsidP="00B518F1">
            <w:pPr>
              <w:spacing w:line="240" w:lineRule="auto"/>
              <w:ind w:firstLine="0"/>
            </w:pPr>
            <w:r w:rsidRPr="004D46AC">
              <w:rPr>
                <w:color w:val="000000"/>
                <w:szCs w:val="21"/>
              </w:rPr>
              <w:t xml:space="preserve">0.04 </w:t>
            </w:r>
          </w:p>
        </w:tc>
        <w:tc>
          <w:tcPr>
            <w:tcW w:w="1705" w:type="dxa"/>
            <w:vAlign w:val="center"/>
          </w:tcPr>
          <w:p w14:paraId="4592E42C" w14:textId="77777777" w:rsidR="003E095D" w:rsidRPr="004D46AC" w:rsidRDefault="003E095D" w:rsidP="00B518F1">
            <w:pPr>
              <w:spacing w:line="240" w:lineRule="auto"/>
              <w:ind w:firstLine="0"/>
            </w:pPr>
            <w:r w:rsidRPr="004D46AC">
              <w:rPr>
                <w:color w:val="000000"/>
                <w:szCs w:val="21"/>
              </w:rPr>
              <w:t xml:space="preserve">0.91 </w:t>
            </w:r>
          </w:p>
        </w:tc>
        <w:tc>
          <w:tcPr>
            <w:tcW w:w="1705" w:type="dxa"/>
            <w:vAlign w:val="center"/>
          </w:tcPr>
          <w:p w14:paraId="2F484B85" w14:textId="77777777" w:rsidR="003E095D" w:rsidRPr="004D46AC" w:rsidRDefault="003E095D" w:rsidP="00B518F1">
            <w:pPr>
              <w:spacing w:line="240" w:lineRule="auto"/>
              <w:ind w:firstLine="0"/>
            </w:pPr>
            <w:r w:rsidRPr="004D46AC">
              <w:rPr>
                <w:color w:val="000000"/>
                <w:szCs w:val="21"/>
              </w:rPr>
              <w:t xml:space="preserve">0.08 </w:t>
            </w:r>
          </w:p>
        </w:tc>
      </w:tr>
      <w:tr w:rsidR="003E095D" w:rsidRPr="004D46AC" w14:paraId="05915AE0" w14:textId="77777777" w:rsidTr="00B518F1">
        <w:tc>
          <w:tcPr>
            <w:tcW w:w="1704" w:type="dxa"/>
            <w:vAlign w:val="center"/>
          </w:tcPr>
          <w:p w14:paraId="4574963B" w14:textId="77777777" w:rsidR="003E095D" w:rsidRPr="004D46AC" w:rsidRDefault="003E095D" w:rsidP="00B518F1">
            <w:pPr>
              <w:spacing w:line="240" w:lineRule="auto"/>
              <w:ind w:firstLine="0"/>
            </w:pPr>
            <w:r w:rsidRPr="004D46AC">
              <w:rPr>
                <w:color w:val="000000"/>
              </w:rPr>
              <w:t>TR3--TR30</w:t>
            </w:r>
          </w:p>
        </w:tc>
        <w:tc>
          <w:tcPr>
            <w:tcW w:w="1704" w:type="dxa"/>
            <w:vAlign w:val="center"/>
          </w:tcPr>
          <w:p w14:paraId="24B44022" w14:textId="77777777" w:rsidR="003E095D" w:rsidRPr="004D46AC" w:rsidRDefault="003E095D" w:rsidP="00B518F1">
            <w:pPr>
              <w:spacing w:line="240" w:lineRule="auto"/>
              <w:ind w:firstLine="0"/>
            </w:pPr>
            <w:r w:rsidRPr="004D46AC">
              <w:rPr>
                <w:color w:val="000000"/>
                <w:szCs w:val="21"/>
              </w:rPr>
              <w:t xml:space="preserve">0.45 </w:t>
            </w:r>
          </w:p>
        </w:tc>
        <w:tc>
          <w:tcPr>
            <w:tcW w:w="1704" w:type="dxa"/>
            <w:vAlign w:val="center"/>
          </w:tcPr>
          <w:p w14:paraId="320D2501" w14:textId="77777777" w:rsidR="003E095D" w:rsidRPr="004D46AC" w:rsidRDefault="003E095D" w:rsidP="00B518F1">
            <w:pPr>
              <w:spacing w:line="240" w:lineRule="auto"/>
              <w:ind w:firstLine="0"/>
            </w:pPr>
            <w:r w:rsidRPr="004D46AC">
              <w:rPr>
                <w:color w:val="000000"/>
                <w:szCs w:val="21"/>
              </w:rPr>
              <w:t xml:space="preserve">-0.08 </w:t>
            </w:r>
          </w:p>
        </w:tc>
        <w:tc>
          <w:tcPr>
            <w:tcW w:w="1705" w:type="dxa"/>
            <w:vAlign w:val="center"/>
          </w:tcPr>
          <w:p w14:paraId="3D516A3C" w14:textId="77777777" w:rsidR="003E095D" w:rsidRPr="004D46AC" w:rsidRDefault="003E095D" w:rsidP="00B518F1">
            <w:pPr>
              <w:spacing w:line="240" w:lineRule="auto"/>
              <w:ind w:firstLine="0"/>
            </w:pPr>
            <w:r w:rsidRPr="004D46AC">
              <w:rPr>
                <w:color w:val="000000"/>
                <w:szCs w:val="21"/>
              </w:rPr>
              <w:t xml:space="preserve">0.97 </w:t>
            </w:r>
          </w:p>
        </w:tc>
        <w:tc>
          <w:tcPr>
            <w:tcW w:w="1705" w:type="dxa"/>
            <w:vAlign w:val="center"/>
          </w:tcPr>
          <w:p w14:paraId="77655596" w14:textId="77777777" w:rsidR="003E095D" w:rsidRPr="004D46AC" w:rsidRDefault="003E095D" w:rsidP="00B518F1">
            <w:pPr>
              <w:spacing w:line="240" w:lineRule="auto"/>
              <w:ind w:firstLine="0"/>
            </w:pPr>
            <w:r w:rsidRPr="004D46AC">
              <w:rPr>
                <w:color w:val="000000"/>
                <w:szCs w:val="21"/>
              </w:rPr>
              <w:t xml:space="preserve">0.20 </w:t>
            </w:r>
          </w:p>
        </w:tc>
      </w:tr>
      <w:tr w:rsidR="003E095D" w:rsidRPr="004D46AC" w14:paraId="031B5AEF" w14:textId="77777777" w:rsidTr="00B518F1">
        <w:tc>
          <w:tcPr>
            <w:tcW w:w="1704" w:type="dxa"/>
            <w:vAlign w:val="center"/>
          </w:tcPr>
          <w:p w14:paraId="3457EEC2" w14:textId="77777777" w:rsidR="003E095D" w:rsidRPr="004D46AC" w:rsidRDefault="003E095D" w:rsidP="00B518F1">
            <w:pPr>
              <w:spacing w:line="240" w:lineRule="auto"/>
              <w:ind w:firstLine="0"/>
            </w:pPr>
            <w:r w:rsidRPr="004D46AC">
              <w:rPr>
                <w:color w:val="000000"/>
              </w:rPr>
              <w:t>TR13--TR16</w:t>
            </w:r>
          </w:p>
        </w:tc>
        <w:tc>
          <w:tcPr>
            <w:tcW w:w="1704" w:type="dxa"/>
            <w:vAlign w:val="center"/>
          </w:tcPr>
          <w:p w14:paraId="2C6F68D6" w14:textId="77777777" w:rsidR="003E095D" w:rsidRPr="004D46AC" w:rsidRDefault="003E095D" w:rsidP="00B518F1">
            <w:pPr>
              <w:spacing w:line="240" w:lineRule="auto"/>
              <w:ind w:firstLine="0"/>
            </w:pPr>
            <w:r w:rsidRPr="004D46AC">
              <w:rPr>
                <w:color w:val="000000"/>
                <w:szCs w:val="21"/>
              </w:rPr>
              <w:t xml:space="preserve">0.44 </w:t>
            </w:r>
          </w:p>
        </w:tc>
        <w:tc>
          <w:tcPr>
            <w:tcW w:w="1704" w:type="dxa"/>
            <w:vAlign w:val="center"/>
          </w:tcPr>
          <w:p w14:paraId="4915A3D9" w14:textId="77777777" w:rsidR="003E095D" w:rsidRPr="004D46AC" w:rsidRDefault="003E095D" w:rsidP="00B518F1">
            <w:pPr>
              <w:spacing w:line="240" w:lineRule="auto"/>
              <w:ind w:firstLine="0"/>
            </w:pPr>
            <w:r w:rsidRPr="004D46AC">
              <w:rPr>
                <w:color w:val="000000"/>
                <w:szCs w:val="21"/>
              </w:rPr>
              <w:t xml:space="preserve">0.02 </w:t>
            </w:r>
          </w:p>
        </w:tc>
        <w:tc>
          <w:tcPr>
            <w:tcW w:w="1705" w:type="dxa"/>
            <w:vAlign w:val="center"/>
          </w:tcPr>
          <w:p w14:paraId="5E3B87F5" w14:textId="77777777" w:rsidR="003E095D" w:rsidRPr="004D46AC" w:rsidRDefault="003E095D" w:rsidP="00B518F1">
            <w:pPr>
              <w:spacing w:line="240" w:lineRule="auto"/>
              <w:ind w:firstLine="0"/>
            </w:pPr>
            <w:r w:rsidRPr="004D46AC">
              <w:rPr>
                <w:color w:val="000000"/>
                <w:szCs w:val="21"/>
              </w:rPr>
              <w:t xml:space="preserve">0.86 </w:t>
            </w:r>
          </w:p>
        </w:tc>
        <w:tc>
          <w:tcPr>
            <w:tcW w:w="1705" w:type="dxa"/>
            <w:vAlign w:val="center"/>
          </w:tcPr>
          <w:p w14:paraId="2CDBB0D3" w14:textId="77777777" w:rsidR="003E095D" w:rsidRPr="004D46AC" w:rsidRDefault="003E095D" w:rsidP="00B518F1">
            <w:pPr>
              <w:spacing w:line="240" w:lineRule="auto"/>
              <w:ind w:firstLine="0"/>
            </w:pPr>
            <w:r w:rsidRPr="004D46AC">
              <w:rPr>
                <w:color w:val="000000"/>
                <w:szCs w:val="21"/>
              </w:rPr>
              <w:t xml:space="preserve">0.09 </w:t>
            </w:r>
          </w:p>
        </w:tc>
      </w:tr>
      <w:tr w:rsidR="003E095D" w:rsidRPr="004D46AC" w14:paraId="3B41D9A1" w14:textId="77777777" w:rsidTr="00B518F1">
        <w:tc>
          <w:tcPr>
            <w:tcW w:w="1704" w:type="dxa"/>
            <w:vAlign w:val="center"/>
          </w:tcPr>
          <w:p w14:paraId="4B7C32DA" w14:textId="77777777" w:rsidR="003E095D" w:rsidRPr="004D46AC" w:rsidRDefault="003E095D" w:rsidP="00B518F1">
            <w:pPr>
              <w:spacing w:line="240" w:lineRule="auto"/>
              <w:ind w:firstLine="0"/>
            </w:pPr>
            <w:r w:rsidRPr="004D46AC">
              <w:rPr>
                <w:color w:val="000000"/>
              </w:rPr>
              <w:t>TR19--TR24</w:t>
            </w:r>
          </w:p>
        </w:tc>
        <w:tc>
          <w:tcPr>
            <w:tcW w:w="1704" w:type="dxa"/>
            <w:vAlign w:val="center"/>
          </w:tcPr>
          <w:p w14:paraId="76B7BF98" w14:textId="77777777" w:rsidR="003E095D" w:rsidRPr="004D46AC" w:rsidRDefault="003E095D" w:rsidP="00B518F1">
            <w:pPr>
              <w:spacing w:line="240" w:lineRule="auto"/>
              <w:ind w:firstLine="0"/>
            </w:pPr>
            <w:r w:rsidRPr="004D46AC">
              <w:rPr>
                <w:color w:val="000000"/>
                <w:szCs w:val="21"/>
              </w:rPr>
              <w:t xml:space="preserve">0.43 </w:t>
            </w:r>
          </w:p>
        </w:tc>
        <w:tc>
          <w:tcPr>
            <w:tcW w:w="1704" w:type="dxa"/>
            <w:vAlign w:val="center"/>
          </w:tcPr>
          <w:p w14:paraId="023E185E" w14:textId="77777777" w:rsidR="003E095D" w:rsidRPr="004D46AC" w:rsidRDefault="003E095D" w:rsidP="00B518F1">
            <w:pPr>
              <w:spacing w:line="240" w:lineRule="auto"/>
              <w:ind w:firstLine="0"/>
            </w:pPr>
            <w:r w:rsidRPr="004D46AC">
              <w:rPr>
                <w:color w:val="000000"/>
                <w:szCs w:val="21"/>
              </w:rPr>
              <w:t xml:space="preserve">0.00 </w:t>
            </w:r>
          </w:p>
        </w:tc>
        <w:tc>
          <w:tcPr>
            <w:tcW w:w="1705" w:type="dxa"/>
            <w:vAlign w:val="center"/>
          </w:tcPr>
          <w:p w14:paraId="2339823A" w14:textId="77777777" w:rsidR="003E095D" w:rsidRPr="004D46AC" w:rsidRDefault="003E095D" w:rsidP="00B518F1">
            <w:pPr>
              <w:spacing w:line="240" w:lineRule="auto"/>
              <w:ind w:firstLine="0"/>
            </w:pPr>
            <w:r w:rsidRPr="004D46AC">
              <w:rPr>
                <w:color w:val="000000"/>
                <w:szCs w:val="21"/>
              </w:rPr>
              <w:t xml:space="preserve">0.86 </w:t>
            </w:r>
          </w:p>
        </w:tc>
        <w:tc>
          <w:tcPr>
            <w:tcW w:w="1705" w:type="dxa"/>
            <w:vAlign w:val="center"/>
          </w:tcPr>
          <w:p w14:paraId="7045A7C3" w14:textId="77777777" w:rsidR="003E095D" w:rsidRPr="004D46AC" w:rsidRDefault="003E095D" w:rsidP="00B518F1">
            <w:pPr>
              <w:spacing w:line="240" w:lineRule="auto"/>
              <w:ind w:firstLine="0"/>
            </w:pPr>
            <w:r w:rsidRPr="004D46AC">
              <w:rPr>
                <w:color w:val="000000"/>
                <w:szCs w:val="21"/>
              </w:rPr>
              <w:t xml:space="preserve">0.05 </w:t>
            </w:r>
          </w:p>
        </w:tc>
      </w:tr>
      <w:tr w:rsidR="003E095D" w:rsidRPr="004D46AC" w14:paraId="564451BD" w14:textId="77777777" w:rsidTr="00B518F1">
        <w:tc>
          <w:tcPr>
            <w:tcW w:w="1704" w:type="dxa"/>
            <w:vAlign w:val="center"/>
          </w:tcPr>
          <w:p w14:paraId="6846BDA4" w14:textId="77777777" w:rsidR="003E095D" w:rsidRPr="004D46AC" w:rsidRDefault="003E095D" w:rsidP="00B518F1">
            <w:pPr>
              <w:spacing w:line="240" w:lineRule="auto"/>
              <w:ind w:firstLine="0"/>
            </w:pPr>
            <w:r w:rsidRPr="004D46AC">
              <w:rPr>
                <w:color w:val="000000"/>
              </w:rPr>
              <w:t>TR9--TR30</w:t>
            </w:r>
          </w:p>
        </w:tc>
        <w:tc>
          <w:tcPr>
            <w:tcW w:w="1704" w:type="dxa"/>
            <w:vAlign w:val="center"/>
          </w:tcPr>
          <w:p w14:paraId="7CE639B4" w14:textId="77777777" w:rsidR="003E095D" w:rsidRPr="004D46AC" w:rsidRDefault="003E095D" w:rsidP="00B518F1">
            <w:pPr>
              <w:spacing w:line="240" w:lineRule="auto"/>
              <w:ind w:firstLine="0"/>
            </w:pPr>
            <w:r w:rsidRPr="004D46AC">
              <w:rPr>
                <w:color w:val="000000"/>
                <w:szCs w:val="21"/>
              </w:rPr>
              <w:t xml:space="preserve">0.43 </w:t>
            </w:r>
          </w:p>
        </w:tc>
        <w:tc>
          <w:tcPr>
            <w:tcW w:w="1704" w:type="dxa"/>
            <w:vAlign w:val="center"/>
          </w:tcPr>
          <w:p w14:paraId="2740BBA2" w14:textId="77777777" w:rsidR="003E095D" w:rsidRPr="004D46AC" w:rsidRDefault="003E095D" w:rsidP="00B518F1">
            <w:pPr>
              <w:spacing w:line="240" w:lineRule="auto"/>
              <w:ind w:firstLine="0"/>
            </w:pPr>
            <w:r w:rsidRPr="004D46AC">
              <w:rPr>
                <w:color w:val="000000"/>
                <w:szCs w:val="21"/>
              </w:rPr>
              <w:t xml:space="preserve">-0.02 </w:t>
            </w:r>
          </w:p>
        </w:tc>
        <w:tc>
          <w:tcPr>
            <w:tcW w:w="1705" w:type="dxa"/>
            <w:vAlign w:val="center"/>
          </w:tcPr>
          <w:p w14:paraId="796AF876" w14:textId="77777777" w:rsidR="003E095D" w:rsidRPr="004D46AC" w:rsidRDefault="003E095D" w:rsidP="00B518F1">
            <w:pPr>
              <w:spacing w:line="240" w:lineRule="auto"/>
              <w:ind w:firstLine="0"/>
            </w:pPr>
            <w:r w:rsidRPr="004D46AC">
              <w:rPr>
                <w:color w:val="000000"/>
                <w:szCs w:val="21"/>
              </w:rPr>
              <w:t xml:space="preserve">0.88 </w:t>
            </w:r>
          </w:p>
        </w:tc>
        <w:tc>
          <w:tcPr>
            <w:tcW w:w="1705" w:type="dxa"/>
            <w:vAlign w:val="center"/>
          </w:tcPr>
          <w:p w14:paraId="17CAB311" w14:textId="77777777" w:rsidR="003E095D" w:rsidRPr="004D46AC" w:rsidRDefault="003E095D" w:rsidP="00B518F1">
            <w:pPr>
              <w:spacing w:line="240" w:lineRule="auto"/>
              <w:ind w:firstLine="0"/>
            </w:pPr>
            <w:r w:rsidRPr="004D46AC">
              <w:rPr>
                <w:color w:val="000000"/>
                <w:szCs w:val="21"/>
              </w:rPr>
              <w:t xml:space="preserve">0.07 </w:t>
            </w:r>
          </w:p>
        </w:tc>
      </w:tr>
      <w:tr w:rsidR="003E095D" w:rsidRPr="004D46AC" w14:paraId="02A7B56B" w14:textId="77777777" w:rsidTr="00B518F1">
        <w:tc>
          <w:tcPr>
            <w:tcW w:w="1704" w:type="dxa"/>
            <w:vAlign w:val="center"/>
          </w:tcPr>
          <w:p w14:paraId="1600B334" w14:textId="77777777" w:rsidR="003E095D" w:rsidRPr="004D46AC" w:rsidRDefault="003E095D" w:rsidP="00B518F1">
            <w:pPr>
              <w:spacing w:line="240" w:lineRule="auto"/>
              <w:ind w:firstLine="0"/>
            </w:pPr>
            <w:r w:rsidRPr="004D46AC">
              <w:rPr>
                <w:color w:val="000000"/>
              </w:rPr>
              <w:t>TR21--TR26</w:t>
            </w:r>
          </w:p>
        </w:tc>
        <w:tc>
          <w:tcPr>
            <w:tcW w:w="1704" w:type="dxa"/>
            <w:vAlign w:val="center"/>
          </w:tcPr>
          <w:p w14:paraId="33E788D0" w14:textId="77777777" w:rsidR="003E095D" w:rsidRPr="004D46AC" w:rsidRDefault="003E095D" w:rsidP="00B518F1">
            <w:pPr>
              <w:spacing w:line="240" w:lineRule="auto"/>
              <w:ind w:firstLine="0"/>
            </w:pPr>
            <w:r w:rsidRPr="004D46AC">
              <w:rPr>
                <w:color w:val="000000"/>
                <w:szCs w:val="21"/>
              </w:rPr>
              <w:t xml:space="preserve">0.42 </w:t>
            </w:r>
          </w:p>
        </w:tc>
        <w:tc>
          <w:tcPr>
            <w:tcW w:w="1704" w:type="dxa"/>
            <w:vAlign w:val="center"/>
          </w:tcPr>
          <w:p w14:paraId="547872DF" w14:textId="77777777" w:rsidR="003E095D" w:rsidRPr="004D46AC" w:rsidRDefault="003E095D" w:rsidP="00B518F1">
            <w:pPr>
              <w:spacing w:line="240" w:lineRule="auto"/>
              <w:ind w:firstLine="0"/>
            </w:pPr>
            <w:r w:rsidRPr="004D46AC">
              <w:rPr>
                <w:color w:val="000000"/>
                <w:szCs w:val="21"/>
              </w:rPr>
              <w:t xml:space="preserve">-0.00 </w:t>
            </w:r>
          </w:p>
        </w:tc>
        <w:tc>
          <w:tcPr>
            <w:tcW w:w="1705" w:type="dxa"/>
            <w:vAlign w:val="center"/>
          </w:tcPr>
          <w:p w14:paraId="2BDBB0A7" w14:textId="77777777" w:rsidR="003E095D" w:rsidRPr="004D46AC" w:rsidRDefault="003E095D" w:rsidP="00B518F1">
            <w:pPr>
              <w:spacing w:line="240" w:lineRule="auto"/>
              <w:ind w:firstLine="0"/>
            </w:pPr>
            <w:r w:rsidRPr="004D46AC">
              <w:rPr>
                <w:color w:val="000000"/>
                <w:szCs w:val="21"/>
              </w:rPr>
              <w:t xml:space="preserve">0.85 </w:t>
            </w:r>
          </w:p>
        </w:tc>
        <w:tc>
          <w:tcPr>
            <w:tcW w:w="1705" w:type="dxa"/>
            <w:vAlign w:val="center"/>
          </w:tcPr>
          <w:p w14:paraId="2614AFC4" w14:textId="77777777" w:rsidR="003E095D" w:rsidRPr="004D46AC" w:rsidRDefault="003E095D" w:rsidP="00B518F1">
            <w:pPr>
              <w:spacing w:line="240" w:lineRule="auto"/>
              <w:ind w:firstLine="0"/>
            </w:pPr>
            <w:r w:rsidRPr="004D46AC">
              <w:rPr>
                <w:color w:val="000000"/>
                <w:szCs w:val="21"/>
              </w:rPr>
              <w:t xml:space="preserve">0.10 </w:t>
            </w:r>
          </w:p>
        </w:tc>
      </w:tr>
      <w:tr w:rsidR="003E095D" w:rsidRPr="004D46AC" w14:paraId="4BBF64EC" w14:textId="77777777" w:rsidTr="00B518F1">
        <w:tc>
          <w:tcPr>
            <w:tcW w:w="1704" w:type="dxa"/>
            <w:vAlign w:val="center"/>
          </w:tcPr>
          <w:p w14:paraId="76E77AB9" w14:textId="77777777" w:rsidR="003E095D" w:rsidRPr="004D46AC" w:rsidRDefault="003E095D" w:rsidP="00B518F1">
            <w:pPr>
              <w:spacing w:line="240" w:lineRule="auto"/>
              <w:ind w:firstLine="0"/>
            </w:pPr>
            <w:r w:rsidRPr="004D46AC">
              <w:rPr>
                <w:color w:val="000000"/>
              </w:rPr>
              <w:t>TR26--TR27</w:t>
            </w:r>
          </w:p>
        </w:tc>
        <w:tc>
          <w:tcPr>
            <w:tcW w:w="1704" w:type="dxa"/>
            <w:vAlign w:val="center"/>
          </w:tcPr>
          <w:p w14:paraId="295BF589" w14:textId="77777777" w:rsidR="003E095D" w:rsidRPr="004D46AC" w:rsidRDefault="003E095D" w:rsidP="00B518F1">
            <w:pPr>
              <w:spacing w:line="240" w:lineRule="auto"/>
              <w:ind w:firstLine="0"/>
            </w:pPr>
            <w:r w:rsidRPr="004D46AC">
              <w:rPr>
                <w:color w:val="000000"/>
                <w:szCs w:val="21"/>
              </w:rPr>
              <w:t xml:space="preserve">0.42 </w:t>
            </w:r>
          </w:p>
        </w:tc>
        <w:tc>
          <w:tcPr>
            <w:tcW w:w="1704" w:type="dxa"/>
            <w:vAlign w:val="center"/>
          </w:tcPr>
          <w:p w14:paraId="47E74995" w14:textId="77777777" w:rsidR="003E095D" w:rsidRPr="004D46AC" w:rsidRDefault="003E095D" w:rsidP="00B518F1">
            <w:pPr>
              <w:spacing w:line="240" w:lineRule="auto"/>
              <w:ind w:firstLine="0"/>
            </w:pPr>
            <w:r w:rsidRPr="004D46AC">
              <w:rPr>
                <w:color w:val="000000"/>
                <w:szCs w:val="21"/>
              </w:rPr>
              <w:t xml:space="preserve">-0.01 </w:t>
            </w:r>
          </w:p>
        </w:tc>
        <w:tc>
          <w:tcPr>
            <w:tcW w:w="1705" w:type="dxa"/>
            <w:vAlign w:val="center"/>
          </w:tcPr>
          <w:p w14:paraId="0EFEB78B" w14:textId="77777777" w:rsidR="003E095D" w:rsidRPr="004D46AC" w:rsidRDefault="003E095D" w:rsidP="00B518F1">
            <w:pPr>
              <w:spacing w:line="240" w:lineRule="auto"/>
              <w:ind w:firstLine="0"/>
            </w:pPr>
            <w:r w:rsidRPr="004D46AC">
              <w:rPr>
                <w:color w:val="000000"/>
                <w:szCs w:val="21"/>
              </w:rPr>
              <w:t xml:space="preserve">0.85 </w:t>
            </w:r>
          </w:p>
        </w:tc>
        <w:tc>
          <w:tcPr>
            <w:tcW w:w="1705" w:type="dxa"/>
            <w:vAlign w:val="center"/>
          </w:tcPr>
          <w:p w14:paraId="5CD3FDE0" w14:textId="77777777" w:rsidR="003E095D" w:rsidRPr="004D46AC" w:rsidRDefault="003E095D" w:rsidP="00B518F1">
            <w:pPr>
              <w:spacing w:line="240" w:lineRule="auto"/>
              <w:ind w:firstLine="0"/>
            </w:pPr>
            <w:r w:rsidRPr="004D46AC">
              <w:rPr>
                <w:color w:val="000000"/>
                <w:szCs w:val="21"/>
              </w:rPr>
              <w:t xml:space="preserve">0.18 </w:t>
            </w:r>
          </w:p>
        </w:tc>
      </w:tr>
      <w:tr w:rsidR="003E095D" w:rsidRPr="004D46AC" w14:paraId="51955410" w14:textId="77777777" w:rsidTr="00B518F1">
        <w:tc>
          <w:tcPr>
            <w:tcW w:w="1704" w:type="dxa"/>
            <w:vAlign w:val="center"/>
          </w:tcPr>
          <w:p w14:paraId="088F96D1" w14:textId="77777777" w:rsidR="003E095D" w:rsidRPr="004D46AC" w:rsidRDefault="003E095D" w:rsidP="00B518F1">
            <w:pPr>
              <w:spacing w:line="240" w:lineRule="auto"/>
              <w:ind w:firstLine="0"/>
            </w:pPr>
            <w:r w:rsidRPr="004D46AC">
              <w:rPr>
                <w:color w:val="000000"/>
              </w:rPr>
              <w:t>TR37--TR17</w:t>
            </w:r>
          </w:p>
        </w:tc>
        <w:tc>
          <w:tcPr>
            <w:tcW w:w="1704" w:type="dxa"/>
            <w:vAlign w:val="center"/>
          </w:tcPr>
          <w:p w14:paraId="079984AE" w14:textId="77777777" w:rsidR="003E095D" w:rsidRPr="004D46AC" w:rsidRDefault="003E095D" w:rsidP="00B518F1">
            <w:pPr>
              <w:spacing w:line="240" w:lineRule="auto"/>
              <w:ind w:firstLine="0"/>
            </w:pPr>
            <w:r w:rsidRPr="004D46AC">
              <w:rPr>
                <w:color w:val="000000"/>
                <w:szCs w:val="21"/>
              </w:rPr>
              <w:t xml:space="preserve">0.42 </w:t>
            </w:r>
          </w:p>
        </w:tc>
        <w:tc>
          <w:tcPr>
            <w:tcW w:w="1704" w:type="dxa"/>
            <w:vAlign w:val="center"/>
          </w:tcPr>
          <w:p w14:paraId="2783B5E5" w14:textId="77777777" w:rsidR="003E095D" w:rsidRPr="004D46AC" w:rsidRDefault="003E095D" w:rsidP="00B518F1">
            <w:pPr>
              <w:spacing w:line="240" w:lineRule="auto"/>
              <w:ind w:firstLine="0"/>
            </w:pPr>
            <w:r w:rsidRPr="004D46AC">
              <w:rPr>
                <w:color w:val="000000"/>
                <w:szCs w:val="21"/>
              </w:rPr>
              <w:t xml:space="preserve">0.01 </w:t>
            </w:r>
          </w:p>
        </w:tc>
        <w:tc>
          <w:tcPr>
            <w:tcW w:w="1705" w:type="dxa"/>
            <w:vAlign w:val="center"/>
          </w:tcPr>
          <w:p w14:paraId="02E5CBE4" w14:textId="77777777" w:rsidR="003E095D" w:rsidRPr="004D46AC" w:rsidRDefault="003E095D" w:rsidP="00B518F1">
            <w:pPr>
              <w:spacing w:line="240" w:lineRule="auto"/>
              <w:ind w:firstLine="0"/>
            </w:pPr>
            <w:r w:rsidRPr="004D46AC">
              <w:rPr>
                <w:color w:val="000000"/>
                <w:szCs w:val="21"/>
              </w:rPr>
              <w:t xml:space="preserve">0.83 </w:t>
            </w:r>
          </w:p>
        </w:tc>
        <w:tc>
          <w:tcPr>
            <w:tcW w:w="1705" w:type="dxa"/>
            <w:vAlign w:val="center"/>
          </w:tcPr>
          <w:p w14:paraId="44CB980F" w14:textId="77777777" w:rsidR="003E095D" w:rsidRPr="004D46AC" w:rsidRDefault="003E095D" w:rsidP="00B518F1">
            <w:pPr>
              <w:spacing w:line="240" w:lineRule="auto"/>
              <w:ind w:firstLine="0"/>
            </w:pPr>
            <w:r w:rsidRPr="004D46AC">
              <w:rPr>
                <w:color w:val="000000"/>
                <w:szCs w:val="21"/>
              </w:rPr>
              <w:t xml:space="preserve">0.10 </w:t>
            </w:r>
          </w:p>
        </w:tc>
      </w:tr>
      <w:tr w:rsidR="003E095D" w:rsidRPr="004D46AC" w14:paraId="45881A9D" w14:textId="77777777" w:rsidTr="00B518F1">
        <w:tc>
          <w:tcPr>
            <w:tcW w:w="1704" w:type="dxa"/>
            <w:vAlign w:val="center"/>
          </w:tcPr>
          <w:p w14:paraId="68C6C7C5" w14:textId="77777777" w:rsidR="003E095D" w:rsidRPr="004D46AC" w:rsidRDefault="003E095D" w:rsidP="00B518F1">
            <w:pPr>
              <w:spacing w:line="240" w:lineRule="auto"/>
              <w:ind w:firstLine="0"/>
            </w:pPr>
            <w:r w:rsidRPr="004D46AC">
              <w:rPr>
                <w:color w:val="000000"/>
              </w:rPr>
              <w:t>TR33--TR13</w:t>
            </w:r>
          </w:p>
        </w:tc>
        <w:tc>
          <w:tcPr>
            <w:tcW w:w="1704" w:type="dxa"/>
            <w:vAlign w:val="center"/>
          </w:tcPr>
          <w:p w14:paraId="2CEAC83A" w14:textId="77777777" w:rsidR="003E095D" w:rsidRPr="004D46AC" w:rsidRDefault="003E095D" w:rsidP="00B518F1">
            <w:pPr>
              <w:spacing w:line="240" w:lineRule="auto"/>
              <w:ind w:firstLine="0"/>
            </w:pPr>
            <w:r w:rsidRPr="004D46AC">
              <w:rPr>
                <w:color w:val="000000"/>
                <w:szCs w:val="21"/>
              </w:rPr>
              <w:t xml:space="preserve">0.42 </w:t>
            </w:r>
          </w:p>
        </w:tc>
        <w:tc>
          <w:tcPr>
            <w:tcW w:w="1704" w:type="dxa"/>
            <w:vAlign w:val="center"/>
          </w:tcPr>
          <w:p w14:paraId="461035FB" w14:textId="77777777" w:rsidR="003E095D" w:rsidRPr="004D46AC" w:rsidRDefault="003E095D" w:rsidP="00B518F1">
            <w:pPr>
              <w:spacing w:line="240" w:lineRule="auto"/>
              <w:ind w:firstLine="0"/>
            </w:pPr>
            <w:r w:rsidRPr="004D46AC">
              <w:rPr>
                <w:color w:val="000000"/>
                <w:szCs w:val="21"/>
              </w:rPr>
              <w:t xml:space="preserve">-0.04 </w:t>
            </w:r>
          </w:p>
        </w:tc>
        <w:tc>
          <w:tcPr>
            <w:tcW w:w="1705" w:type="dxa"/>
            <w:vAlign w:val="center"/>
          </w:tcPr>
          <w:p w14:paraId="76F3C103" w14:textId="77777777" w:rsidR="003E095D" w:rsidRPr="004D46AC" w:rsidRDefault="003E095D" w:rsidP="00B518F1">
            <w:pPr>
              <w:spacing w:line="240" w:lineRule="auto"/>
              <w:ind w:firstLine="0"/>
            </w:pPr>
            <w:r w:rsidRPr="004D46AC">
              <w:rPr>
                <w:color w:val="000000"/>
                <w:szCs w:val="21"/>
              </w:rPr>
              <w:t xml:space="preserve">0.87 </w:t>
            </w:r>
          </w:p>
        </w:tc>
        <w:tc>
          <w:tcPr>
            <w:tcW w:w="1705" w:type="dxa"/>
            <w:vAlign w:val="center"/>
          </w:tcPr>
          <w:p w14:paraId="00408056" w14:textId="77777777" w:rsidR="003E095D" w:rsidRPr="004D46AC" w:rsidRDefault="003E095D" w:rsidP="00B518F1">
            <w:pPr>
              <w:spacing w:line="240" w:lineRule="auto"/>
              <w:ind w:firstLine="0"/>
            </w:pPr>
            <w:r w:rsidRPr="004D46AC">
              <w:rPr>
                <w:color w:val="000000"/>
                <w:szCs w:val="21"/>
              </w:rPr>
              <w:t xml:space="preserve">0.21 </w:t>
            </w:r>
          </w:p>
        </w:tc>
      </w:tr>
      <w:tr w:rsidR="003E095D" w:rsidRPr="004D46AC" w14:paraId="6F034F17" w14:textId="77777777" w:rsidTr="00B518F1">
        <w:tc>
          <w:tcPr>
            <w:tcW w:w="1704" w:type="dxa"/>
            <w:vAlign w:val="center"/>
          </w:tcPr>
          <w:p w14:paraId="1171DBCC" w14:textId="77777777" w:rsidR="003E095D" w:rsidRPr="004D46AC" w:rsidRDefault="003E095D" w:rsidP="00B518F1">
            <w:pPr>
              <w:spacing w:line="240" w:lineRule="auto"/>
              <w:ind w:firstLine="0"/>
            </w:pPr>
            <w:r w:rsidRPr="004D46AC">
              <w:rPr>
                <w:color w:val="000000"/>
              </w:rPr>
              <w:t>TR37--TR30</w:t>
            </w:r>
          </w:p>
        </w:tc>
        <w:tc>
          <w:tcPr>
            <w:tcW w:w="1704" w:type="dxa"/>
            <w:vAlign w:val="center"/>
          </w:tcPr>
          <w:p w14:paraId="5809CC0B" w14:textId="77777777" w:rsidR="003E095D" w:rsidRPr="004D46AC" w:rsidRDefault="003E095D" w:rsidP="00B518F1">
            <w:pPr>
              <w:spacing w:line="240" w:lineRule="auto"/>
              <w:ind w:firstLine="0"/>
            </w:pPr>
            <w:r w:rsidRPr="004D46AC">
              <w:rPr>
                <w:color w:val="000000"/>
                <w:szCs w:val="21"/>
              </w:rPr>
              <w:t xml:space="preserve">0.42 </w:t>
            </w:r>
          </w:p>
        </w:tc>
        <w:tc>
          <w:tcPr>
            <w:tcW w:w="1704" w:type="dxa"/>
            <w:vAlign w:val="center"/>
          </w:tcPr>
          <w:p w14:paraId="0AE59EE9" w14:textId="77777777" w:rsidR="003E095D" w:rsidRPr="004D46AC" w:rsidRDefault="003E095D" w:rsidP="00B518F1">
            <w:pPr>
              <w:spacing w:line="240" w:lineRule="auto"/>
              <w:ind w:firstLine="0"/>
            </w:pPr>
            <w:r w:rsidRPr="004D46AC">
              <w:rPr>
                <w:color w:val="000000"/>
                <w:szCs w:val="21"/>
              </w:rPr>
              <w:t xml:space="preserve">-0.01 </w:t>
            </w:r>
          </w:p>
        </w:tc>
        <w:tc>
          <w:tcPr>
            <w:tcW w:w="1705" w:type="dxa"/>
            <w:vAlign w:val="center"/>
          </w:tcPr>
          <w:p w14:paraId="260E0D1D" w14:textId="77777777" w:rsidR="003E095D" w:rsidRPr="004D46AC" w:rsidRDefault="003E095D" w:rsidP="00B518F1">
            <w:pPr>
              <w:spacing w:line="240" w:lineRule="auto"/>
              <w:ind w:firstLine="0"/>
            </w:pPr>
            <w:r w:rsidRPr="004D46AC">
              <w:rPr>
                <w:color w:val="000000"/>
                <w:szCs w:val="21"/>
              </w:rPr>
              <w:t xml:space="preserve">0.84 </w:t>
            </w:r>
          </w:p>
        </w:tc>
        <w:tc>
          <w:tcPr>
            <w:tcW w:w="1705" w:type="dxa"/>
            <w:vAlign w:val="center"/>
          </w:tcPr>
          <w:p w14:paraId="0419DB6B" w14:textId="77777777" w:rsidR="003E095D" w:rsidRPr="004D46AC" w:rsidRDefault="003E095D" w:rsidP="00B518F1">
            <w:pPr>
              <w:spacing w:line="240" w:lineRule="auto"/>
              <w:ind w:firstLine="0"/>
            </w:pPr>
            <w:r w:rsidRPr="004D46AC">
              <w:rPr>
                <w:color w:val="000000"/>
                <w:szCs w:val="21"/>
              </w:rPr>
              <w:t xml:space="preserve">0.10 </w:t>
            </w:r>
          </w:p>
        </w:tc>
      </w:tr>
      <w:tr w:rsidR="003E095D" w:rsidRPr="004D46AC" w14:paraId="3D3DD5A0" w14:textId="77777777" w:rsidTr="00B518F1">
        <w:tc>
          <w:tcPr>
            <w:tcW w:w="1704" w:type="dxa"/>
            <w:vAlign w:val="center"/>
          </w:tcPr>
          <w:p w14:paraId="6CFE2089" w14:textId="77777777" w:rsidR="003E095D" w:rsidRPr="004D46AC" w:rsidRDefault="003E095D" w:rsidP="00B518F1">
            <w:pPr>
              <w:spacing w:line="240" w:lineRule="auto"/>
              <w:ind w:firstLine="0"/>
            </w:pPr>
            <w:r w:rsidRPr="004D46AC">
              <w:rPr>
                <w:color w:val="000000"/>
              </w:rPr>
              <w:t>TR21--TR23</w:t>
            </w:r>
          </w:p>
        </w:tc>
        <w:tc>
          <w:tcPr>
            <w:tcW w:w="1704" w:type="dxa"/>
            <w:vAlign w:val="center"/>
          </w:tcPr>
          <w:p w14:paraId="6C331949" w14:textId="77777777" w:rsidR="003E095D" w:rsidRPr="004D46AC" w:rsidRDefault="003E095D" w:rsidP="00B518F1">
            <w:pPr>
              <w:spacing w:line="240" w:lineRule="auto"/>
              <w:ind w:firstLine="0"/>
            </w:pPr>
            <w:r w:rsidRPr="004D46AC">
              <w:rPr>
                <w:color w:val="000000"/>
                <w:szCs w:val="21"/>
              </w:rPr>
              <w:t xml:space="preserve">0.41 </w:t>
            </w:r>
          </w:p>
        </w:tc>
        <w:tc>
          <w:tcPr>
            <w:tcW w:w="1704" w:type="dxa"/>
            <w:vAlign w:val="center"/>
          </w:tcPr>
          <w:p w14:paraId="7F5DE68C" w14:textId="77777777" w:rsidR="003E095D" w:rsidRPr="004D46AC" w:rsidRDefault="003E095D" w:rsidP="00B518F1">
            <w:pPr>
              <w:spacing w:line="240" w:lineRule="auto"/>
              <w:ind w:firstLine="0"/>
            </w:pPr>
            <w:r w:rsidRPr="004D46AC">
              <w:rPr>
                <w:color w:val="000000"/>
                <w:szCs w:val="21"/>
              </w:rPr>
              <w:t xml:space="preserve">-0.02 </w:t>
            </w:r>
          </w:p>
        </w:tc>
        <w:tc>
          <w:tcPr>
            <w:tcW w:w="1705" w:type="dxa"/>
            <w:vAlign w:val="center"/>
          </w:tcPr>
          <w:p w14:paraId="506291C1" w14:textId="77777777" w:rsidR="003E095D" w:rsidRPr="004D46AC" w:rsidRDefault="003E095D" w:rsidP="00B518F1">
            <w:pPr>
              <w:spacing w:line="240" w:lineRule="auto"/>
              <w:ind w:firstLine="0"/>
            </w:pPr>
            <w:r w:rsidRPr="004D46AC">
              <w:rPr>
                <w:color w:val="000000"/>
                <w:szCs w:val="21"/>
              </w:rPr>
              <w:t xml:space="preserve">0.85 </w:t>
            </w:r>
          </w:p>
        </w:tc>
        <w:tc>
          <w:tcPr>
            <w:tcW w:w="1705" w:type="dxa"/>
            <w:vAlign w:val="center"/>
          </w:tcPr>
          <w:p w14:paraId="707E6D8E" w14:textId="77777777" w:rsidR="003E095D" w:rsidRPr="004D46AC" w:rsidRDefault="003E095D" w:rsidP="00B518F1">
            <w:pPr>
              <w:spacing w:line="240" w:lineRule="auto"/>
              <w:ind w:firstLine="0"/>
            </w:pPr>
            <w:r w:rsidRPr="004D46AC">
              <w:rPr>
                <w:color w:val="000000"/>
                <w:szCs w:val="21"/>
              </w:rPr>
              <w:t xml:space="preserve">0.07 </w:t>
            </w:r>
          </w:p>
        </w:tc>
      </w:tr>
      <w:tr w:rsidR="003E095D" w:rsidRPr="004D46AC" w14:paraId="1C2CCAC6" w14:textId="77777777" w:rsidTr="00B518F1">
        <w:tc>
          <w:tcPr>
            <w:tcW w:w="1704" w:type="dxa"/>
            <w:vAlign w:val="center"/>
          </w:tcPr>
          <w:p w14:paraId="08392A7A" w14:textId="77777777" w:rsidR="003E095D" w:rsidRPr="004D46AC" w:rsidRDefault="003E095D" w:rsidP="00B518F1">
            <w:pPr>
              <w:spacing w:line="240" w:lineRule="auto"/>
              <w:ind w:firstLine="0"/>
            </w:pPr>
            <w:r w:rsidRPr="004D46AC">
              <w:rPr>
                <w:color w:val="000000"/>
              </w:rPr>
              <w:t>TR6--TR9</w:t>
            </w:r>
          </w:p>
        </w:tc>
        <w:tc>
          <w:tcPr>
            <w:tcW w:w="1704" w:type="dxa"/>
            <w:vAlign w:val="center"/>
          </w:tcPr>
          <w:p w14:paraId="141F4B83" w14:textId="77777777" w:rsidR="003E095D" w:rsidRPr="004D46AC" w:rsidRDefault="003E095D" w:rsidP="00B518F1">
            <w:pPr>
              <w:spacing w:line="240" w:lineRule="auto"/>
              <w:ind w:firstLine="0"/>
            </w:pPr>
            <w:r w:rsidRPr="004D46AC">
              <w:rPr>
                <w:color w:val="000000"/>
                <w:szCs w:val="21"/>
              </w:rPr>
              <w:t xml:space="preserve">0.41 </w:t>
            </w:r>
          </w:p>
        </w:tc>
        <w:tc>
          <w:tcPr>
            <w:tcW w:w="1704" w:type="dxa"/>
            <w:vAlign w:val="center"/>
          </w:tcPr>
          <w:p w14:paraId="0FA0951E" w14:textId="77777777" w:rsidR="003E095D" w:rsidRPr="004D46AC" w:rsidRDefault="003E095D" w:rsidP="00B518F1">
            <w:pPr>
              <w:spacing w:line="240" w:lineRule="auto"/>
              <w:ind w:firstLine="0"/>
            </w:pPr>
            <w:r w:rsidRPr="004D46AC">
              <w:rPr>
                <w:color w:val="000000"/>
                <w:szCs w:val="21"/>
              </w:rPr>
              <w:t xml:space="preserve">-0.06 </w:t>
            </w:r>
          </w:p>
        </w:tc>
        <w:tc>
          <w:tcPr>
            <w:tcW w:w="1705" w:type="dxa"/>
            <w:vAlign w:val="center"/>
          </w:tcPr>
          <w:p w14:paraId="1E85600A" w14:textId="77777777" w:rsidR="003E095D" w:rsidRPr="004D46AC" w:rsidRDefault="003E095D" w:rsidP="00B518F1">
            <w:pPr>
              <w:spacing w:line="240" w:lineRule="auto"/>
              <w:ind w:firstLine="0"/>
            </w:pPr>
            <w:r w:rsidRPr="004D46AC">
              <w:rPr>
                <w:color w:val="000000"/>
                <w:szCs w:val="21"/>
              </w:rPr>
              <w:t xml:space="preserve">0.87 </w:t>
            </w:r>
          </w:p>
        </w:tc>
        <w:tc>
          <w:tcPr>
            <w:tcW w:w="1705" w:type="dxa"/>
            <w:vAlign w:val="center"/>
          </w:tcPr>
          <w:p w14:paraId="7DC225B0" w14:textId="77777777" w:rsidR="003E095D" w:rsidRPr="004D46AC" w:rsidRDefault="003E095D" w:rsidP="00B518F1">
            <w:pPr>
              <w:spacing w:line="240" w:lineRule="auto"/>
              <w:ind w:firstLine="0"/>
            </w:pPr>
            <w:r w:rsidRPr="004D46AC">
              <w:rPr>
                <w:color w:val="000000"/>
                <w:szCs w:val="21"/>
              </w:rPr>
              <w:t xml:space="preserve">0.08 </w:t>
            </w:r>
          </w:p>
        </w:tc>
      </w:tr>
      <w:tr w:rsidR="003E095D" w:rsidRPr="004D46AC" w14:paraId="67560DD9" w14:textId="77777777" w:rsidTr="00B518F1">
        <w:tc>
          <w:tcPr>
            <w:tcW w:w="1704" w:type="dxa"/>
            <w:vAlign w:val="center"/>
          </w:tcPr>
          <w:p w14:paraId="7D6BCEE4" w14:textId="77777777" w:rsidR="003E095D" w:rsidRPr="004D46AC" w:rsidRDefault="003E095D" w:rsidP="00B518F1">
            <w:pPr>
              <w:spacing w:line="240" w:lineRule="auto"/>
              <w:ind w:firstLine="0"/>
            </w:pPr>
            <w:r w:rsidRPr="004D46AC">
              <w:rPr>
                <w:color w:val="000000"/>
              </w:rPr>
              <w:t>TR9--TR17</w:t>
            </w:r>
          </w:p>
        </w:tc>
        <w:tc>
          <w:tcPr>
            <w:tcW w:w="1704" w:type="dxa"/>
            <w:vAlign w:val="center"/>
          </w:tcPr>
          <w:p w14:paraId="2BECED2D" w14:textId="77777777" w:rsidR="003E095D" w:rsidRPr="004D46AC" w:rsidRDefault="003E095D" w:rsidP="00B518F1">
            <w:pPr>
              <w:spacing w:line="240" w:lineRule="auto"/>
              <w:ind w:firstLine="0"/>
            </w:pPr>
            <w:r w:rsidRPr="004D46AC">
              <w:rPr>
                <w:color w:val="000000"/>
                <w:szCs w:val="21"/>
              </w:rPr>
              <w:t xml:space="preserve">0.37 </w:t>
            </w:r>
          </w:p>
        </w:tc>
        <w:tc>
          <w:tcPr>
            <w:tcW w:w="1704" w:type="dxa"/>
            <w:vAlign w:val="center"/>
          </w:tcPr>
          <w:p w14:paraId="3B53A400" w14:textId="77777777" w:rsidR="003E095D" w:rsidRPr="004D46AC" w:rsidRDefault="003E095D" w:rsidP="00B518F1">
            <w:pPr>
              <w:spacing w:line="240" w:lineRule="auto"/>
              <w:ind w:firstLine="0"/>
            </w:pPr>
            <w:r w:rsidRPr="004D46AC">
              <w:rPr>
                <w:color w:val="000000"/>
                <w:szCs w:val="21"/>
              </w:rPr>
              <w:t xml:space="preserve">-0.05 </w:t>
            </w:r>
          </w:p>
        </w:tc>
        <w:tc>
          <w:tcPr>
            <w:tcW w:w="1705" w:type="dxa"/>
            <w:vAlign w:val="center"/>
          </w:tcPr>
          <w:p w14:paraId="12C766E0" w14:textId="77777777" w:rsidR="003E095D" w:rsidRPr="004D46AC" w:rsidRDefault="003E095D" w:rsidP="00B518F1">
            <w:pPr>
              <w:spacing w:line="240" w:lineRule="auto"/>
              <w:ind w:firstLine="0"/>
            </w:pPr>
            <w:r w:rsidRPr="004D46AC">
              <w:rPr>
                <w:color w:val="000000"/>
                <w:szCs w:val="21"/>
              </w:rPr>
              <w:t xml:space="preserve">0.80 </w:t>
            </w:r>
          </w:p>
        </w:tc>
        <w:tc>
          <w:tcPr>
            <w:tcW w:w="1705" w:type="dxa"/>
            <w:vAlign w:val="center"/>
          </w:tcPr>
          <w:p w14:paraId="06C24ECF" w14:textId="77777777" w:rsidR="003E095D" w:rsidRPr="004D46AC" w:rsidRDefault="003E095D" w:rsidP="00B518F1">
            <w:pPr>
              <w:spacing w:line="240" w:lineRule="auto"/>
              <w:ind w:firstLine="0"/>
            </w:pPr>
            <w:r w:rsidRPr="004D46AC">
              <w:rPr>
                <w:color w:val="000000"/>
                <w:szCs w:val="21"/>
              </w:rPr>
              <w:t xml:space="preserve">0.12 </w:t>
            </w:r>
          </w:p>
        </w:tc>
      </w:tr>
      <w:tr w:rsidR="003E095D" w:rsidRPr="004D46AC" w14:paraId="67BC65D8" w14:textId="77777777" w:rsidTr="00B518F1">
        <w:tc>
          <w:tcPr>
            <w:tcW w:w="1704" w:type="dxa"/>
            <w:vAlign w:val="center"/>
          </w:tcPr>
          <w:p w14:paraId="6B5E35F1" w14:textId="77777777" w:rsidR="003E095D" w:rsidRPr="004D46AC" w:rsidRDefault="003E095D" w:rsidP="00B518F1">
            <w:pPr>
              <w:spacing w:line="240" w:lineRule="auto"/>
              <w:ind w:firstLine="0"/>
            </w:pPr>
            <w:r w:rsidRPr="004D46AC">
              <w:rPr>
                <w:color w:val="000000"/>
              </w:rPr>
              <w:t>TR23--TR34</w:t>
            </w:r>
          </w:p>
        </w:tc>
        <w:tc>
          <w:tcPr>
            <w:tcW w:w="1704" w:type="dxa"/>
            <w:vAlign w:val="center"/>
          </w:tcPr>
          <w:p w14:paraId="18483EE9" w14:textId="77777777" w:rsidR="003E095D" w:rsidRPr="004D46AC" w:rsidRDefault="003E095D" w:rsidP="00B518F1">
            <w:pPr>
              <w:spacing w:line="240" w:lineRule="auto"/>
              <w:ind w:firstLine="0"/>
            </w:pPr>
            <w:r w:rsidRPr="004D46AC">
              <w:rPr>
                <w:color w:val="000000"/>
                <w:szCs w:val="21"/>
              </w:rPr>
              <w:t xml:space="preserve">0.37 </w:t>
            </w:r>
          </w:p>
        </w:tc>
        <w:tc>
          <w:tcPr>
            <w:tcW w:w="1704" w:type="dxa"/>
            <w:vAlign w:val="center"/>
          </w:tcPr>
          <w:p w14:paraId="26A23AE6" w14:textId="77777777" w:rsidR="003E095D" w:rsidRPr="004D46AC" w:rsidRDefault="003E095D" w:rsidP="00B518F1">
            <w:pPr>
              <w:spacing w:line="240" w:lineRule="auto"/>
              <w:ind w:firstLine="0"/>
            </w:pPr>
            <w:r w:rsidRPr="004D46AC">
              <w:rPr>
                <w:color w:val="000000"/>
                <w:szCs w:val="21"/>
              </w:rPr>
              <w:t xml:space="preserve">-0.04 </w:t>
            </w:r>
          </w:p>
        </w:tc>
        <w:tc>
          <w:tcPr>
            <w:tcW w:w="1705" w:type="dxa"/>
            <w:vAlign w:val="center"/>
          </w:tcPr>
          <w:p w14:paraId="38BA639F" w14:textId="77777777" w:rsidR="003E095D" w:rsidRPr="004D46AC" w:rsidRDefault="003E095D" w:rsidP="00B518F1">
            <w:pPr>
              <w:spacing w:line="240" w:lineRule="auto"/>
              <w:ind w:firstLine="0"/>
            </w:pPr>
            <w:r w:rsidRPr="004D46AC">
              <w:rPr>
                <w:color w:val="000000"/>
                <w:szCs w:val="21"/>
              </w:rPr>
              <w:t xml:space="preserve">0.78 </w:t>
            </w:r>
          </w:p>
        </w:tc>
        <w:tc>
          <w:tcPr>
            <w:tcW w:w="1705" w:type="dxa"/>
            <w:vAlign w:val="center"/>
          </w:tcPr>
          <w:p w14:paraId="618C8AF9" w14:textId="77777777" w:rsidR="003E095D" w:rsidRPr="004D46AC" w:rsidRDefault="003E095D" w:rsidP="00B518F1">
            <w:pPr>
              <w:spacing w:line="240" w:lineRule="auto"/>
              <w:ind w:firstLine="0"/>
            </w:pPr>
            <w:r w:rsidRPr="004D46AC">
              <w:rPr>
                <w:color w:val="000000"/>
                <w:szCs w:val="21"/>
              </w:rPr>
              <w:t xml:space="preserve">0.13 </w:t>
            </w:r>
          </w:p>
        </w:tc>
      </w:tr>
      <w:tr w:rsidR="003E095D" w:rsidRPr="004D46AC" w14:paraId="71543056" w14:textId="77777777" w:rsidTr="00B518F1">
        <w:tc>
          <w:tcPr>
            <w:tcW w:w="1704" w:type="dxa"/>
            <w:vAlign w:val="center"/>
          </w:tcPr>
          <w:p w14:paraId="419C052E" w14:textId="77777777" w:rsidR="003E095D" w:rsidRPr="004D46AC" w:rsidRDefault="003E095D" w:rsidP="00B518F1">
            <w:pPr>
              <w:spacing w:line="240" w:lineRule="auto"/>
              <w:ind w:firstLine="0"/>
            </w:pPr>
            <w:r w:rsidRPr="004D46AC">
              <w:rPr>
                <w:color w:val="000000"/>
              </w:rPr>
              <w:t>TR21--TR9</w:t>
            </w:r>
          </w:p>
        </w:tc>
        <w:tc>
          <w:tcPr>
            <w:tcW w:w="1704" w:type="dxa"/>
            <w:vAlign w:val="center"/>
          </w:tcPr>
          <w:p w14:paraId="197F9D44" w14:textId="77777777" w:rsidR="003E095D" w:rsidRPr="004D46AC" w:rsidRDefault="003E095D" w:rsidP="00B518F1">
            <w:pPr>
              <w:spacing w:line="240" w:lineRule="auto"/>
              <w:ind w:firstLine="0"/>
            </w:pPr>
            <w:r w:rsidRPr="004D46AC">
              <w:rPr>
                <w:color w:val="000000"/>
                <w:szCs w:val="21"/>
              </w:rPr>
              <w:t xml:space="preserve">0.35 </w:t>
            </w:r>
          </w:p>
        </w:tc>
        <w:tc>
          <w:tcPr>
            <w:tcW w:w="1704" w:type="dxa"/>
            <w:vAlign w:val="center"/>
          </w:tcPr>
          <w:p w14:paraId="4FC0EE3A" w14:textId="77777777" w:rsidR="003E095D" w:rsidRPr="004D46AC" w:rsidRDefault="003E095D" w:rsidP="00B518F1">
            <w:pPr>
              <w:spacing w:line="240" w:lineRule="auto"/>
              <w:ind w:firstLine="0"/>
            </w:pPr>
            <w:r w:rsidRPr="004D46AC">
              <w:rPr>
                <w:color w:val="000000"/>
                <w:szCs w:val="21"/>
              </w:rPr>
              <w:t xml:space="preserve">-0.03 </w:t>
            </w:r>
          </w:p>
        </w:tc>
        <w:tc>
          <w:tcPr>
            <w:tcW w:w="1705" w:type="dxa"/>
            <w:vAlign w:val="center"/>
          </w:tcPr>
          <w:p w14:paraId="37800D93" w14:textId="77777777" w:rsidR="003E095D" w:rsidRPr="004D46AC" w:rsidRDefault="003E095D" w:rsidP="00B518F1">
            <w:pPr>
              <w:spacing w:line="240" w:lineRule="auto"/>
              <w:ind w:firstLine="0"/>
            </w:pPr>
            <w:r w:rsidRPr="004D46AC">
              <w:rPr>
                <w:color w:val="000000"/>
                <w:szCs w:val="21"/>
              </w:rPr>
              <w:t xml:space="preserve">0.74 </w:t>
            </w:r>
          </w:p>
        </w:tc>
        <w:tc>
          <w:tcPr>
            <w:tcW w:w="1705" w:type="dxa"/>
            <w:vAlign w:val="center"/>
          </w:tcPr>
          <w:p w14:paraId="46958676" w14:textId="77777777" w:rsidR="003E095D" w:rsidRPr="004D46AC" w:rsidRDefault="003E095D" w:rsidP="00B518F1">
            <w:pPr>
              <w:spacing w:line="240" w:lineRule="auto"/>
              <w:ind w:firstLine="0"/>
            </w:pPr>
            <w:r w:rsidRPr="004D46AC">
              <w:rPr>
                <w:color w:val="000000"/>
                <w:szCs w:val="21"/>
              </w:rPr>
              <w:t xml:space="preserve">0.16 </w:t>
            </w:r>
          </w:p>
        </w:tc>
      </w:tr>
      <w:tr w:rsidR="003E095D" w:rsidRPr="004D46AC" w14:paraId="7A457A4F" w14:textId="77777777" w:rsidTr="00B518F1">
        <w:tc>
          <w:tcPr>
            <w:tcW w:w="1704" w:type="dxa"/>
            <w:vAlign w:val="center"/>
          </w:tcPr>
          <w:p w14:paraId="45CF3A6B" w14:textId="77777777" w:rsidR="003E095D" w:rsidRPr="004D46AC" w:rsidRDefault="003E095D" w:rsidP="00B518F1">
            <w:pPr>
              <w:spacing w:line="240" w:lineRule="auto"/>
              <w:ind w:firstLine="0"/>
            </w:pPr>
            <w:r w:rsidRPr="004D46AC">
              <w:rPr>
                <w:color w:val="000000"/>
              </w:rPr>
              <w:t>TR15--TR19</w:t>
            </w:r>
          </w:p>
        </w:tc>
        <w:tc>
          <w:tcPr>
            <w:tcW w:w="1704" w:type="dxa"/>
            <w:vAlign w:val="center"/>
          </w:tcPr>
          <w:p w14:paraId="3A00F95B" w14:textId="77777777" w:rsidR="003E095D" w:rsidRPr="004D46AC" w:rsidRDefault="003E095D" w:rsidP="00B518F1">
            <w:pPr>
              <w:spacing w:line="240" w:lineRule="auto"/>
              <w:ind w:firstLine="0"/>
            </w:pPr>
            <w:r w:rsidRPr="004D46AC">
              <w:rPr>
                <w:color w:val="000000"/>
                <w:szCs w:val="21"/>
              </w:rPr>
              <w:t xml:space="preserve">0.35 </w:t>
            </w:r>
          </w:p>
        </w:tc>
        <w:tc>
          <w:tcPr>
            <w:tcW w:w="1704" w:type="dxa"/>
            <w:vAlign w:val="center"/>
          </w:tcPr>
          <w:p w14:paraId="526AF3C5" w14:textId="77777777" w:rsidR="003E095D" w:rsidRPr="004D46AC" w:rsidRDefault="003E095D" w:rsidP="00B518F1">
            <w:pPr>
              <w:spacing w:line="240" w:lineRule="auto"/>
              <w:ind w:firstLine="0"/>
            </w:pPr>
            <w:r w:rsidRPr="004D46AC">
              <w:rPr>
                <w:color w:val="000000"/>
                <w:szCs w:val="21"/>
              </w:rPr>
              <w:t xml:space="preserve">-0.09 </w:t>
            </w:r>
          </w:p>
        </w:tc>
        <w:tc>
          <w:tcPr>
            <w:tcW w:w="1705" w:type="dxa"/>
            <w:vAlign w:val="center"/>
          </w:tcPr>
          <w:p w14:paraId="6C16B2FE" w14:textId="77777777" w:rsidR="003E095D" w:rsidRPr="004D46AC" w:rsidRDefault="003E095D" w:rsidP="00B518F1">
            <w:pPr>
              <w:spacing w:line="240" w:lineRule="auto"/>
              <w:ind w:firstLine="0"/>
            </w:pPr>
            <w:r w:rsidRPr="004D46AC">
              <w:rPr>
                <w:color w:val="000000"/>
                <w:szCs w:val="21"/>
              </w:rPr>
              <w:t xml:space="preserve">0.78 </w:t>
            </w:r>
          </w:p>
        </w:tc>
        <w:tc>
          <w:tcPr>
            <w:tcW w:w="1705" w:type="dxa"/>
            <w:vAlign w:val="center"/>
          </w:tcPr>
          <w:p w14:paraId="3DDD9FBA" w14:textId="77777777" w:rsidR="003E095D" w:rsidRPr="004D46AC" w:rsidRDefault="003E095D" w:rsidP="00B518F1">
            <w:pPr>
              <w:spacing w:line="240" w:lineRule="auto"/>
              <w:ind w:firstLine="0"/>
            </w:pPr>
            <w:r w:rsidRPr="004D46AC">
              <w:rPr>
                <w:color w:val="000000"/>
                <w:szCs w:val="21"/>
              </w:rPr>
              <w:t xml:space="preserve">0.14 </w:t>
            </w:r>
          </w:p>
        </w:tc>
      </w:tr>
      <w:tr w:rsidR="003E095D" w:rsidRPr="004D46AC" w14:paraId="53C7FCB1" w14:textId="77777777" w:rsidTr="00B518F1">
        <w:tc>
          <w:tcPr>
            <w:tcW w:w="1704" w:type="dxa"/>
            <w:vAlign w:val="center"/>
          </w:tcPr>
          <w:p w14:paraId="56721D70" w14:textId="77777777" w:rsidR="003E095D" w:rsidRPr="004D46AC" w:rsidRDefault="003E095D" w:rsidP="00B518F1">
            <w:pPr>
              <w:spacing w:line="240" w:lineRule="auto"/>
              <w:ind w:firstLine="0"/>
            </w:pPr>
            <w:r w:rsidRPr="004D46AC">
              <w:rPr>
                <w:color w:val="000000"/>
              </w:rPr>
              <w:t>TR18--TR29</w:t>
            </w:r>
          </w:p>
        </w:tc>
        <w:tc>
          <w:tcPr>
            <w:tcW w:w="1704" w:type="dxa"/>
            <w:vAlign w:val="center"/>
          </w:tcPr>
          <w:p w14:paraId="72E02B86" w14:textId="77777777" w:rsidR="003E095D" w:rsidRPr="004D46AC" w:rsidRDefault="003E095D" w:rsidP="00B518F1">
            <w:pPr>
              <w:spacing w:line="240" w:lineRule="auto"/>
              <w:ind w:firstLine="0"/>
            </w:pPr>
            <w:r w:rsidRPr="004D46AC">
              <w:rPr>
                <w:color w:val="000000"/>
                <w:szCs w:val="21"/>
              </w:rPr>
              <w:t xml:space="preserve">0.34 </w:t>
            </w:r>
          </w:p>
        </w:tc>
        <w:tc>
          <w:tcPr>
            <w:tcW w:w="1704" w:type="dxa"/>
            <w:vAlign w:val="center"/>
          </w:tcPr>
          <w:p w14:paraId="1CF2ABB8"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24B26506" w14:textId="77777777" w:rsidR="003E095D" w:rsidRPr="004D46AC" w:rsidRDefault="003E095D" w:rsidP="00B518F1">
            <w:pPr>
              <w:spacing w:line="240" w:lineRule="auto"/>
              <w:ind w:firstLine="0"/>
            </w:pPr>
            <w:r w:rsidRPr="004D46AC">
              <w:rPr>
                <w:color w:val="000000"/>
                <w:szCs w:val="21"/>
              </w:rPr>
              <w:t xml:space="preserve">0.82 </w:t>
            </w:r>
          </w:p>
        </w:tc>
        <w:tc>
          <w:tcPr>
            <w:tcW w:w="1705" w:type="dxa"/>
            <w:vAlign w:val="center"/>
          </w:tcPr>
          <w:p w14:paraId="6ADA4CFA" w14:textId="77777777" w:rsidR="003E095D" w:rsidRPr="004D46AC" w:rsidRDefault="003E095D" w:rsidP="00B518F1">
            <w:pPr>
              <w:spacing w:line="240" w:lineRule="auto"/>
              <w:ind w:firstLine="0"/>
            </w:pPr>
            <w:r w:rsidRPr="004D46AC">
              <w:rPr>
                <w:color w:val="000000"/>
                <w:szCs w:val="21"/>
              </w:rPr>
              <w:t xml:space="preserve">0.12 </w:t>
            </w:r>
          </w:p>
        </w:tc>
      </w:tr>
      <w:tr w:rsidR="003E095D" w:rsidRPr="004D46AC" w14:paraId="162E58B6" w14:textId="77777777" w:rsidTr="00B518F1">
        <w:tc>
          <w:tcPr>
            <w:tcW w:w="1704" w:type="dxa"/>
            <w:vAlign w:val="center"/>
          </w:tcPr>
          <w:p w14:paraId="3A360577" w14:textId="77777777" w:rsidR="003E095D" w:rsidRPr="004D46AC" w:rsidRDefault="003E095D" w:rsidP="00B518F1">
            <w:pPr>
              <w:spacing w:line="240" w:lineRule="auto"/>
              <w:ind w:firstLine="0"/>
            </w:pPr>
            <w:r w:rsidRPr="004D46AC">
              <w:rPr>
                <w:color w:val="000000"/>
              </w:rPr>
              <w:t>TR15--TR24</w:t>
            </w:r>
          </w:p>
        </w:tc>
        <w:tc>
          <w:tcPr>
            <w:tcW w:w="1704" w:type="dxa"/>
            <w:vAlign w:val="center"/>
          </w:tcPr>
          <w:p w14:paraId="457C870A" w14:textId="77777777" w:rsidR="003E095D" w:rsidRPr="004D46AC" w:rsidRDefault="003E095D" w:rsidP="00B518F1">
            <w:pPr>
              <w:spacing w:line="240" w:lineRule="auto"/>
              <w:ind w:firstLine="0"/>
            </w:pPr>
            <w:r w:rsidRPr="004D46AC">
              <w:rPr>
                <w:color w:val="000000"/>
                <w:szCs w:val="21"/>
              </w:rPr>
              <w:t xml:space="preserve">0.34 </w:t>
            </w:r>
          </w:p>
        </w:tc>
        <w:tc>
          <w:tcPr>
            <w:tcW w:w="1704" w:type="dxa"/>
            <w:vAlign w:val="center"/>
          </w:tcPr>
          <w:p w14:paraId="5555582F" w14:textId="77777777" w:rsidR="003E095D" w:rsidRPr="004D46AC" w:rsidRDefault="003E095D" w:rsidP="00B518F1">
            <w:pPr>
              <w:spacing w:line="240" w:lineRule="auto"/>
              <w:ind w:firstLine="0"/>
            </w:pPr>
            <w:r w:rsidRPr="004D46AC">
              <w:rPr>
                <w:color w:val="000000"/>
                <w:szCs w:val="21"/>
              </w:rPr>
              <w:t xml:space="preserve">-0.08 </w:t>
            </w:r>
          </w:p>
        </w:tc>
        <w:tc>
          <w:tcPr>
            <w:tcW w:w="1705" w:type="dxa"/>
            <w:vAlign w:val="center"/>
          </w:tcPr>
          <w:p w14:paraId="4624DCD7" w14:textId="77777777" w:rsidR="003E095D" w:rsidRPr="004D46AC" w:rsidRDefault="003E095D" w:rsidP="00B518F1">
            <w:pPr>
              <w:spacing w:line="240" w:lineRule="auto"/>
              <w:ind w:firstLine="0"/>
            </w:pPr>
            <w:r w:rsidRPr="004D46AC">
              <w:rPr>
                <w:color w:val="000000"/>
                <w:szCs w:val="21"/>
              </w:rPr>
              <w:t xml:space="preserve">0.76 </w:t>
            </w:r>
          </w:p>
        </w:tc>
        <w:tc>
          <w:tcPr>
            <w:tcW w:w="1705" w:type="dxa"/>
            <w:vAlign w:val="center"/>
          </w:tcPr>
          <w:p w14:paraId="0F38EED0" w14:textId="77777777" w:rsidR="003E095D" w:rsidRPr="004D46AC" w:rsidRDefault="003E095D" w:rsidP="00B518F1">
            <w:pPr>
              <w:spacing w:line="240" w:lineRule="auto"/>
              <w:ind w:firstLine="0"/>
            </w:pPr>
            <w:r w:rsidRPr="004D46AC">
              <w:rPr>
                <w:color w:val="000000"/>
                <w:szCs w:val="21"/>
              </w:rPr>
              <w:t xml:space="preserve">0.15 </w:t>
            </w:r>
          </w:p>
        </w:tc>
      </w:tr>
      <w:tr w:rsidR="003E095D" w:rsidRPr="004D46AC" w14:paraId="309C3DCB" w14:textId="77777777" w:rsidTr="00B518F1">
        <w:tc>
          <w:tcPr>
            <w:tcW w:w="1704" w:type="dxa"/>
            <w:vAlign w:val="center"/>
          </w:tcPr>
          <w:p w14:paraId="0B0E0BF9" w14:textId="77777777" w:rsidR="003E095D" w:rsidRPr="004D46AC" w:rsidRDefault="003E095D" w:rsidP="00B518F1">
            <w:pPr>
              <w:spacing w:line="240" w:lineRule="auto"/>
              <w:ind w:firstLine="0"/>
            </w:pPr>
            <w:r w:rsidRPr="004D46AC">
              <w:rPr>
                <w:color w:val="000000"/>
              </w:rPr>
              <w:t>TR3--TR5</w:t>
            </w:r>
          </w:p>
        </w:tc>
        <w:tc>
          <w:tcPr>
            <w:tcW w:w="1704" w:type="dxa"/>
            <w:vAlign w:val="center"/>
          </w:tcPr>
          <w:p w14:paraId="34EDF85E" w14:textId="77777777" w:rsidR="003E095D" w:rsidRPr="004D46AC" w:rsidRDefault="003E095D" w:rsidP="00B518F1">
            <w:pPr>
              <w:spacing w:line="240" w:lineRule="auto"/>
              <w:ind w:firstLine="0"/>
            </w:pPr>
            <w:r w:rsidRPr="004D46AC">
              <w:rPr>
                <w:color w:val="000000"/>
                <w:szCs w:val="21"/>
              </w:rPr>
              <w:t xml:space="preserve">0.34 </w:t>
            </w:r>
          </w:p>
        </w:tc>
        <w:tc>
          <w:tcPr>
            <w:tcW w:w="1704" w:type="dxa"/>
            <w:vAlign w:val="center"/>
          </w:tcPr>
          <w:p w14:paraId="285E0EBC"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3B67FAF1" w14:textId="77777777" w:rsidR="003E095D" w:rsidRPr="004D46AC" w:rsidRDefault="003E095D" w:rsidP="00B518F1">
            <w:pPr>
              <w:spacing w:line="240" w:lineRule="auto"/>
              <w:ind w:firstLine="0"/>
            </w:pPr>
            <w:r w:rsidRPr="004D46AC">
              <w:rPr>
                <w:color w:val="000000"/>
                <w:szCs w:val="21"/>
              </w:rPr>
              <w:t xml:space="preserve">0.83 </w:t>
            </w:r>
          </w:p>
        </w:tc>
        <w:tc>
          <w:tcPr>
            <w:tcW w:w="1705" w:type="dxa"/>
            <w:vAlign w:val="center"/>
          </w:tcPr>
          <w:p w14:paraId="1F12D5AE" w14:textId="77777777" w:rsidR="003E095D" w:rsidRPr="004D46AC" w:rsidRDefault="003E095D" w:rsidP="00B518F1">
            <w:pPr>
              <w:spacing w:line="240" w:lineRule="auto"/>
              <w:ind w:firstLine="0"/>
            </w:pPr>
            <w:r w:rsidRPr="004D46AC">
              <w:rPr>
                <w:color w:val="000000"/>
                <w:szCs w:val="21"/>
              </w:rPr>
              <w:t xml:space="preserve">0.26 </w:t>
            </w:r>
          </w:p>
        </w:tc>
      </w:tr>
      <w:tr w:rsidR="003E095D" w:rsidRPr="004D46AC" w14:paraId="7EAB55FF" w14:textId="77777777" w:rsidTr="00B518F1">
        <w:tc>
          <w:tcPr>
            <w:tcW w:w="1704" w:type="dxa"/>
            <w:vAlign w:val="center"/>
          </w:tcPr>
          <w:p w14:paraId="74FB5675" w14:textId="77777777" w:rsidR="003E095D" w:rsidRPr="004D46AC" w:rsidRDefault="003E095D" w:rsidP="00B518F1">
            <w:pPr>
              <w:spacing w:line="240" w:lineRule="auto"/>
              <w:ind w:firstLine="0"/>
            </w:pPr>
            <w:r w:rsidRPr="004D46AC">
              <w:rPr>
                <w:color w:val="000000"/>
              </w:rPr>
              <w:t>TR9--TR33</w:t>
            </w:r>
          </w:p>
        </w:tc>
        <w:tc>
          <w:tcPr>
            <w:tcW w:w="1704" w:type="dxa"/>
            <w:vAlign w:val="center"/>
          </w:tcPr>
          <w:p w14:paraId="6930ABCE" w14:textId="77777777" w:rsidR="003E095D" w:rsidRPr="004D46AC" w:rsidRDefault="003E095D" w:rsidP="00B518F1">
            <w:pPr>
              <w:spacing w:line="240" w:lineRule="auto"/>
              <w:ind w:firstLine="0"/>
            </w:pPr>
            <w:r w:rsidRPr="004D46AC">
              <w:rPr>
                <w:color w:val="000000"/>
                <w:szCs w:val="21"/>
              </w:rPr>
              <w:t xml:space="preserve">0.34 </w:t>
            </w:r>
          </w:p>
        </w:tc>
        <w:tc>
          <w:tcPr>
            <w:tcW w:w="1704" w:type="dxa"/>
            <w:vAlign w:val="center"/>
          </w:tcPr>
          <w:p w14:paraId="0B3BEDDB" w14:textId="77777777" w:rsidR="003E095D" w:rsidRPr="004D46AC" w:rsidRDefault="003E095D" w:rsidP="00B518F1">
            <w:pPr>
              <w:spacing w:line="240" w:lineRule="auto"/>
              <w:ind w:firstLine="0"/>
            </w:pPr>
            <w:r w:rsidRPr="004D46AC">
              <w:rPr>
                <w:color w:val="000000"/>
                <w:szCs w:val="21"/>
              </w:rPr>
              <w:t xml:space="preserve">-0.10 </w:t>
            </w:r>
          </w:p>
        </w:tc>
        <w:tc>
          <w:tcPr>
            <w:tcW w:w="1705" w:type="dxa"/>
            <w:vAlign w:val="center"/>
          </w:tcPr>
          <w:p w14:paraId="1520B33E" w14:textId="77777777" w:rsidR="003E095D" w:rsidRPr="004D46AC" w:rsidRDefault="003E095D" w:rsidP="00B518F1">
            <w:pPr>
              <w:spacing w:line="240" w:lineRule="auto"/>
              <w:ind w:firstLine="0"/>
            </w:pPr>
            <w:r w:rsidRPr="004D46AC">
              <w:rPr>
                <w:color w:val="000000"/>
                <w:szCs w:val="21"/>
              </w:rPr>
              <w:t xml:space="preserve">0.77 </w:t>
            </w:r>
          </w:p>
        </w:tc>
        <w:tc>
          <w:tcPr>
            <w:tcW w:w="1705" w:type="dxa"/>
            <w:vAlign w:val="center"/>
          </w:tcPr>
          <w:p w14:paraId="22890C58" w14:textId="77777777" w:rsidR="003E095D" w:rsidRPr="004D46AC" w:rsidRDefault="003E095D" w:rsidP="00B518F1">
            <w:pPr>
              <w:spacing w:line="240" w:lineRule="auto"/>
              <w:ind w:firstLine="0"/>
            </w:pPr>
            <w:r w:rsidRPr="004D46AC">
              <w:rPr>
                <w:color w:val="000000"/>
                <w:szCs w:val="21"/>
              </w:rPr>
              <w:t xml:space="preserve">0.16 </w:t>
            </w:r>
          </w:p>
        </w:tc>
      </w:tr>
      <w:tr w:rsidR="003E095D" w:rsidRPr="004D46AC" w14:paraId="16E67406" w14:textId="77777777" w:rsidTr="00B518F1">
        <w:tc>
          <w:tcPr>
            <w:tcW w:w="1704" w:type="dxa"/>
            <w:vAlign w:val="center"/>
          </w:tcPr>
          <w:p w14:paraId="0E0F032A" w14:textId="77777777" w:rsidR="003E095D" w:rsidRPr="004D46AC" w:rsidRDefault="003E095D" w:rsidP="00B518F1">
            <w:pPr>
              <w:spacing w:line="240" w:lineRule="auto"/>
              <w:ind w:firstLine="0"/>
            </w:pPr>
            <w:r w:rsidRPr="004D46AC">
              <w:rPr>
                <w:color w:val="000000"/>
              </w:rPr>
              <w:t>TR3--TR13</w:t>
            </w:r>
          </w:p>
        </w:tc>
        <w:tc>
          <w:tcPr>
            <w:tcW w:w="1704" w:type="dxa"/>
            <w:vAlign w:val="center"/>
          </w:tcPr>
          <w:p w14:paraId="70F9088B" w14:textId="77777777" w:rsidR="003E095D" w:rsidRPr="004D46AC" w:rsidRDefault="003E095D" w:rsidP="00B518F1">
            <w:pPr>
              <w:spacing w:line="240" w:lineRule="auto"/>
              <w:ind w:firstLine="0"/>
            </w:pPr>
            <w:r w:rsidRPr="004D46AC">
              <w:rPr>
                <w:color w:val="000000"/>
                <w:szCs w:val="21"/>
              </w:rPr>
              <w:t xml:space="preserve">0.33 </w:t>
            </w:r>
          </w:p>
        </w:tc>
        <w:tc>
          <w:tcPr>
            <w:tcW w:w="1704" w:type="dxa"/>
            <w:vAlign w:val="center"/>
          </w:tcPr>
          <w:p w14:paraId="1CC9B5BC" w14:textId="77777777" w:rsidR="003E095D" w:rsidRPr="004D46AC" w:rsidRDefault="003E095D" w:rsidP="00B518F1">
            <w:pPr>
              <w:spacing w:line="240" w:lineRule="auto"/>
              <w:ind w:firstLine="0"/>
            </w:pPr>
            <w:r w:rsidRPr="004D46AC">
              <w:rPr>
                <w:color w:val="000000"/>
                <w:szCs w:val="21"/>
              </w:rPr>
              <w:t xml:space="preserve">-0.06 </w:t>
            </w:r>
          </w:p>
        </w:tc>
        <w:tc>
          <w:tcPr>
            <w:tcW w:w="1705" w:type="dxa"/>
            <w:vAlign w:val="center"/>
          </w:tcPr>
          <w:p w14:paraId="014D9CE1" w14:textId="77777777" w:rsidR="003E095D" w:rsidRPr="004D46AC" w:rsidRDefault="003E095D" w:rsidP="00B518F1">
            <w:pPr>
              <w:spacing w:line="240" w:lineRule="auto"/>
              <w:ind w:firstLine="0"/>
            </w:pPr>
            <w:r w:rsidRPr="004D46AC">
              <w:rPr>
                <w:color w:val="000000"/>
                <w:szCs w:val="21"/>
              </w:rPr>
              <w:t xml:space="preserve">0.73 </w:t>
            </w:r>
          </w:p>
        </w:tc>
        <w:tc>
          <w:tcPr>
            <w:tcW w:w="1705" w:type="dxa"/>
            <w:vAlign w:val="center"/>
          </w:tcPr>
          <w:p w14:paraId="19882454" w14:textId="77777777" w:rsidR="003E095D" w:rsidRPr="004D46AC" w:rsidRDefault="003E095D" w:rsidP="00B518F1">
            <w:pPr>
              <w:spacing w:line="240" w:lineRule="auto"/>
              <w:ind w:firstLine="0"/>
            </w:pPr>
            <w:r w:rsidRPr="004D46AC">
              <w:rPr>
                <w:color w:val="000000"/>
                <w:szCs w:val="21"/>
              </w:rPr>
              <w:t xml:space="preserve">0.29 </w:t>
            </w:r>
          </w:p>
        </w:tc>
      </w:tr>
      <w:tr w:rsidR="003E095D" w:rsidRPr="004D46AC" w14:paraId="14CC6191" w14:textId="77777777" w:rsidTr="00B518F1">
        <w:tc>
          <w:tcPr>
            <w:tcW w:w="1704" w:type="dxa"/>
            <w:vAlign w:val="center"/>
          </w:tcPr>
          <w:p w14:paraId="21FDD06D" w14:textId="77777777" w:rsidR="003E095D" w:rsidRPr="004D46AC" w:rsidRDefault="003E095D" w:rsidP="00B518F1">
            <w:pPr>
              <w:spacing w:line="240" w:lineRule="auto"/>
              <w:ind w:firstLine="0"/>
            </w:pPr>
            <w:r w:rsidRPr="004D46AC">
              <w:rPr>
                <w:color w:val="000000"/>
              </w:rPr>
              <w:t>TR26--TR17</w:t>
            </w:r>
          </w:p>
        </w:tc>
        <w:tc>
          <w:tcPr>
            <w:tcW w:w="1704" w:type="dxa"/>
            <w:vAlign w:val="center"/>
          </w:tcPr>
          <w:p w14:paraId="2131B74F" w14:textId="77777777" w:rsidR="003E095D" w:rsidRPr="004D46AC" w:rsidRDefault="003E095D" w:rsidP="00B518F1">
            <w:pPr>
              <w:spacing w:line="240" w:lineRule="auto"/>
              <w:ind w:firstLine="0"/>
            </w:pPr>
            <w:r w:rsidRPr="004D46AC">
              <w:rPr>
                <w:color w:val="000000"/>
                <w:szCs w:val="21"/>
              </w:rPr>
              <w:t xml:space="preserve">0.33 </w:t>
            </w:r>
          </w:p>
        </w:tc>
        <w:tc>
          <w:tcPr>
            <w:tcW w:w="1704" w:type="dxa"/>
            <w:vAlign w:val="center"/>
          </w:tcPr>
          <w:p w14:paraId="0B521B65" w14:textId="77777777" w:rsidR="003E095D" w:rsidRPr="004D46AC" w:rsidRDefault="003E095D" w:rsidP="00B518F1">
            <w:pPr>
              <w:spacing w:line="240" w:lineRule="auto"/>
              <w:ind w:firstLine="0"/>
            </w:pPr>
            <w:r w:rsidRPr="004D46AC">
              <w:rPr>
                <w:color w:val="000000"/>
                <w:szCs w:val="21"/>
              </w:rPr>
              <w:t xml:space="preserve">-0.06 </w:t>
            </w:r>
          </w:p>
        </w:tc>
        <w:tc>
          <w:tcPr>
            <w:tcW w:w="1705" w:type="dxa"/>
            <w:vAlign w:val="center"/>
          </w:tcPr>
          <w:p w14:paraId="67F1AAAC" w14:textId="77777777" w:rsidR="003E095D" w:rsidRPr="004D46AC" w:rsidRDefault="003E095D" w:rsidP="00B518F1">
            <w:pPr>
              <w:spacing w:line="240" w:lineRule="auto"/>
              <w:ind w:firstLine="0"/>
            </w:pPr>
            <w:r w:rsidRPr="004D46AC">
              <w:rPr>
                <w:color w:val="000000"/>
                <w:szCs w:val="21"/>
              </w:rPr>
              <w:t xml:space="preserve">0.72 </w:t>
            </w:r>
          </w:p>
        </w:tc>
        <w:tc>
          <w:tcPr>
            <w:tcW w:w="1705" w:type="dxa"/>
            <w:vAlign w:val="center"/>
          </w:tcPr>
          <w:p w14:paraId="3D2D7ACA" w14:textId="77777777" w:rsidR="003E095D" w:rsidRPr="004D46AC" w:rsidRDefault="003E095D" w:rsidP="00B518F1">
            <w:pPr>
              <w:spacing w:line="240" w:lineRule="auto"/>
              <w:ind w:firstLine="0"/>
            </w:pPr>
            <w:r w:rsidRPr="004D46AC">
              <w:rPr>
                <w:color w:val="000000"/>
                <w:szCs w:val="21"/>
              </w:rPr>
              <w:t xml:space="preserve">0.26 </w:t>
            </w:r>
          </w:p>
        </w:tc>
      </w:tr>
      <w:tr w:rsidR="003E095D" w:rsidRPr="004D46AC" w14:paraId="12748689" w14:textId="77777777" w:rsidTr="00B518F1">
        <w:tc>
          <w:tcPr>
            <w:tcW w:w="1704" w:type="dxa"/>
            <w:vAlign w:val="center"/>
          </w:tcPr>
          <w:p w14:paraId="7FC7A468" w14:textId="77777777" w:rsidR="003E095D" w:rsidRPr="004D46AC" w:rsidRDefault="003E095D" w:rsidP="00B518F1">
            <w:pPr>
              <w:spacing w:line="240" w:lineRule="auto"/>
              <w:ind w:firstLine="0"/>
            </w:pPr>
            <w:r w:rsidRPr="004D46AC">
              <w:rPr>
                <w:color w:val="000000"/>
              </w:rPr>
              <w:t>TR27--TR34</w:t>
            </w:r>
          </w:p>
        </w:tc>
        <w:tc>
          <w:tcPr>
            <w:tcW w:w="1704" w:type="dxa"/>
            <w:vAlign w:val="center"/>
          </w:tcPr>
          <w:p w14:paraId="28FB147B" w14:textId="77777777" w:rsidR="003E095D" w:rsidRPr="004D46AC" w:rsidRDefault="003E095D" w:rsidP="00B518F1">
            <w:pPr>
              <w:spacing w:line="240" w:lineRule="auto"/>
              <w:ind w:firstLine="0"/>
            </w:pPr>
            <w:r w:rsidRPr="004D46AC">
              <w:rPr>
                <w:color w:val="000000"/>
                <w:szCs w:val="21"/>
              </w:rPr>
              <w:t xml:space="preserve">0.33 </w:t>
            </w:r>
          </w:p>
        </w:tc>
        <w:tc>
          <w:tcPr>
            <w:tcW w:w="1704" w:type="dxa"/>
            <w:vAlign w:val="center"/>
          </w:tcPr>
          <w:p w14:paraId="434D7F56" w14:textId="77777777" w:rsidR="003E095D" w:rsidRPr="004D46AC" w:rsidRDefault="003E095D" w:rsidP="00B518F1">
            <w:pPr>
              <w:spacing w:line="240" w:lineRule="auto"/>
              <w:ind w:firstLine="0"/>
            </w:pPr>
            <w:r w:rsidRPr="004D46AC">
              <w:rPr>
                <w:color w:val="000000"/>
                <w:szCs w:val="21"/>
              </w:rPr>
              <w:t xml:space="preserve">-0.10 </w:t>
            </w:r>
          </w:p>
        </w:tc>
        <w:tc>
          <w:tcPr>
            <w:tcW w:w="1705" w:type="dxa"/>
            <w:vAlign w:val="center"/>
          </w:tcPr>
          <w:p w14:paraId="0F1AD91E" w14:textId="77777777" w:rsidR="003E095D" w:rsidRPr="004D46AC" w:rsidRDefault="003E095D" w:rsidP="00B518F1">
            <w:pPr>
              <w:spacing w:line="240" w:lineRule="auto"/>
              <w:ind w:firstLine="0"/>
            </w:pPr>
            <w:r w:rsidRPr="004D46AC">
              <w:rPr>
                <w:color w:val="000000"/>
                <w:szCs w:val="21"/>
              </w:rPr>
              <w:t xml:space="preserve">0.76 </w:t>
            </w:r>
          </w:p>
        </w:tc>
        <w:tc>
          <w:tcPr>
            <w:tcW w:w="1705" w:type="dxa"/>
            <w:vAlign w:val="center"/>
          </w:tcPr>
          <w:p w14:paraId="14080355" w14:textId="77777777" w:rsidR="003E095D" w:rsidRPr="004D46AC" w:rsidRDefault="003E095D" w:rsidP="00B518F1">
            <w:pPr>
              <w:spacing w:line="240" w:lineRule="auto"/>
              <w:ind w:firstLine="0"/>
            </w:pPr>
            <w:r w:rsidRPr="004D46AC">
              <w:rPr>
                <w:color w:val="000000"/>
                <w:szCs w:val="21"/>
              </w:rPr>
              <w:t xml:space="preserve">0.27 </w:t>
            </w:r>
          </w:p>
        </w:tc>
      </w:tr>
      <w:tr w:rsidR="003E095D" w:rsidRPr="004D46AC" w14:paraId="3390EE82" w14:textId="77777777" w:rsidTr="00B518F1">
        <w:tc>
          <w:tcPr>
            <w:tcW w:w="1704" w:type="dxa"/>
            <w:vAlign w:val="center"/>
          </w:tcPr>
          <w:p w14:paraId="1B59E128" w14:textId="77777777" w:rsidR="003E095D" w:rsidRPr="004D46AC" w:rsidRDefault="003E095D" w:rsidP="00B518F1">
            <w:pPr>
              <w:spacing w:line="240" w:lineRule="auto"/>
              <w:ind w:firstLine="0"/>
            </w:pPr>
            <w:r w:rsidRPr="004D46AC">
              <w:rPr>
                <w:color w:val="000000"/>
              </w:rPr>
              <w:t>TR17--TR30</w:t>
            </w:r>
          </w:p>
        </w:tc>
        <w:tc>
          <w:tcPr>
            <w:tcW w:w="1704" w:type="dxa"/>
            <w:vAlign w:val="center"/>
          </w:tcPr>
          <w:p w14:paraId="621F7586" w14:textId="77777777" w:rsidR="003E095D" w:rsidRPr="004D46AC" w:rsidRDefault="003E095D" w:rsidP="00B518F1">
            <w:pPr>
              <w:spacing w:line="240" w:lineRule="auto"/>
              <w:ind w:firstLine="0"/>
            </w:pPr>
            <w:r w:rsidRPr="004D46AC">
              <w:rPr>
                <w:color w:val="000000"/>
                <w:szCs w:val="21"/>
              </w:rPr>
              <w:t xml:space="preserve">0.31 </w:t>
            </w:r>
          </w:p>
        </w:tc>
        <w:tc>
          <w:tcPr>
            <w:tcW w:w="1704" w:type="dxa"/>
            <w:vAlign w:val="center"/>
          </w:tcPr>
          <w:p w14:paraId="6BEC8625"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6BE32BEE" w14:textId="77777777" w:rsidR="003E095D" w:rsidRPr="004D46AC" w:rsidRDefault="003E095D" w:rsidP="00B518F1">
            <w:pPr>
              <w:spacing w:line="240" w:lineRule="auto"/>
              <w:ind w:firstLine="0"/>
            </w:pPr>
            <w:r w:rsidRPr="004D46AC">
              <w:rPr>
                <w:color w:val="000000"/>
                <w:szCs w:val="21"/>
              </w:rPr>
              <w:t xml:space="preserve">0.74 </w:t>
            </w:r>
          </w:p>
        </w:tc>
        <w:tc>
          <w:tcPr>
            <w:tcW w:w="1705" w:type="dxa"/>
            <w:vAlign w:val="center"/>
          </w:tcPr>
          <w:p w14:paraId="05193849" w14:textId="77777777" w:rsidR="003E095D" w:rsidRPr="004D46AC" w:rsidRDefault="003E095D" w:rsidP="00B518F1">
            <w:pPr>
              <w:spacing w:line="240" w:lineRule="auto"/>
              <w:ind w:firstLine="0"/>
            </w:pPr>
            <w:r w:rsidRPr="004D46AC">
              <w:rPr>
                <w:color w:val="000000"/>
                <w:szCs w:val="21"/>
              </w:rPr>
              <w:t xml:space="preserve">0.18 </w:t>
            </w:r>
          </w:p>
        </w:tc>
      </w:tr>
      <w:tr w:rsidR="003E095D" w:rsidRPr="004D46AC" w14:paraId="16A19838" w14:textId="77777777" w:rsidTr="00B518F1">
        <w:tc>
          <w:tcPr>
            <w:tcW w:w="1704" w:type="dxa"/>
            <w:vAlign w:val="center"/>
          </w:tcPr>
          <w:p w14:paraId="5A1ACE96" w14:textId="77777777" w:rsidR="003E095D" w:rsidRPr="004D46AC" w:rsidRDefault="003E095D" w:rsidP="00B518F1">
            <w:pPr>
              <w:spacing w:line="240" w:lineRule="auto"/>
              <w:ind w:firstLine="0"/>
            </w:pPr>
            <w:r w:rsidRPr="004D46AC">
              <w:rPr>
                <w:color w:val="000000"/>
              </w:rPr>
              <w:lastRenderedPageBreak/>
              <w:t>TR19--TR34</w:t>
            </w:r>
          </w:p>
        </w:tc>
        <w:tc>
          <w:tcPr>
            <w:tcW w:w="1704" w:type="dxa"/>
            <w:vAlign w:val="center"/>
          </w:tcPr>
          <w:p w14:paraId="517436C5" w14:textId="77777777" w:rsidR="003E095D" w:rsidRPr="004D46AC" w:rsidRDefault="003E095D" w:rsidP="00B518F1">
            <w:pPr>
              <w:spacing w:line="240" w:lineRule="auto"/>
              <w:ind w:firstLine="0"/>
            </w:pPr>
            <w:r w:rsidRPr="004D46AC">
              <w:rPr>
                <w:color w:val="000000"/>
                <w:szCs w:val="21"/>
              </w:rPr>
              <w:t xml:space="preserve">0.30 </w:t>
            </w:r>
          </w:p>
        </w:tc>
        <w:tc>
          <w:tcPr>
            <w:tcW w:w="1704" w:type="dxa"/>
            <w:vAlign w:val="center"/>
          </w:tcPr>
          <w:p w14:paraId="7265FB14"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4D5E3476" w14:textId="77777777" w:rsidR="003E095D" w:rsidRPr="004D46AC" w:rsidRDefault="003E095D" w:rsidP="00B518F1">
            <w:pPr>
              <w:spacing w:line="240" w:lineRule="auto"/>
              <w:ind w:firstLine="0"/>
            </w:pPr>
            <w:r w:rsidRPr="004D46AC">
              <w:rPr>
                <w:color w:val="000000"/>
                <w:szCs w:val="21"/>
              </w:rPr>
              <w:t xml:space="preserve">0.74 </w:t>
            </w:r>
          </w:p>
        </w:tc>
        <w:tc>
          <w:tcPr>
            <w:tcW w:w="1705" w:type="dxa"/>
            <w:vAlign w:val="center"/>
          </w:tcPr>
          <w:p w14:paraId="320F78FF" w14:textId="77777777" w:rsidR="003E095D" w:rsidRPr="004D46AC" w:rsidRDefault="003E095D" w:rsidP="00B518F1">
            <w:pPr>
              <w:spacing w:line="240" w:lineRule="auto"/>
              <w:ind w:firstLine="0"/>
            </w:pPr>
            <w:r w:rsidRPr="004D46AC">
              <w:rPr>
                <w:color w:val="000000"/>
                <w:szCs w:val="21"/>
              </w:rPr>
              <w:t xml:space="preserve">0.20 </w:t>
            </w:r>
          </w:p>
        </w:tc>
      </w:tr>
      <w:tr w:rsidR="003E095D" w:rsidRPr="004D46AC" w14:paraId="254ABAA5" w14:textId="77777777" w:rsidTr="00B518F1">
        <w:tc>
          <w:tcPr>
            <w:tcW w:w="1704" w:type="dxa"/>
            <w:vAlign w:val="center"/>
          </w:tcPr>
          <w:p w14:paraId="50595E0E" w14:textId="77777777" w:rsidR="003E095D" w:rsidRPr="004D46AC" w:rsidRDefault="003E095D" w:rsidP="00B518F1">
            <w:pPr>
              <w:spacing w:line="240" w:lineRule="auto"/>
              <w:ind w:firstLine="0"/>
            </w:pPr>
            <w:r w:rsidRPr="004D46AC">
              <w:rPr>
                <w:color w:val="000000"/>
              </w:rPr>
              <w:t>TR34--TR37</w:t>
            </w:r>
          </w:p>
        </w:tc>
        <w:tc>
          <w:tcPr>
            <w:tcW w:w="1704" w:type="dxa"/>
            <w:vAlign w:val="center"/>
          </w:tcPr>
          <w:p w14:paraId="0F7A2464" w14:textId="77777777" w:rsidR="003E095D" w:rsidRPr="004D46AC" w:rsidRDefault="003E095D" w:rsidP="00B518F1">
            <w:pPr>
              <w:spacing w:line="240" w:lineRule="auto"/>
              <w:ind w:firstLine="0"/>
            </w:pPr>
            <w:r w:rsidRPr="004D46AC">
              <w:rPr>
                <w:color w:val="000000"/>
                <w:szCs w:val="21"/>
              </w:rPr>
              <w:t xml:space="preserve">0.30 </w:t>
            </w:r>
          </w:p>
        </w:tc>
        <w:tc>
          <w:tcPr>
            <w:tcW w:w="1704" w:type="dxa"/>
            <w:vAlign w:val="center"/>
          </w:tcPr>
          <w:p w14:paraId="5BD2D9FB" w14:textId="77777777" w:rsidR="003E095D" w:rsidRPr="004D46AC" w:rsidRDefault="003E095D" w:rsidP="00B518F1">
            <w:pPr>
              <w:spacing w:line="240" w:lineRule="auto"/>
              <w:ind w:firstLine="0"/>
            </w:pPr>
            <w:r w:rsidRPr="004D46AC">
              <w:rPr>
                <w:color w:val="000000"/>
                <w:szCs w:val="21"/>
              </w:rPr>
              <w:t xml:space="preserve">-0.11 </w:t>
            </w:r>
          </w:p>
        </w:tc>
        <w:tc>
          <w:tcPr>
            <w:tcW w:w="1705" w:type="dxa"/>
            <w:vAlign w:val="center"/>
          </w:tcPr>
          <w:p w14:paraId="4301613A" w14:textId="77777777" w:rsidR="003E095D" w:rsidRPr="004D46AC" w:rsidRDefault="003E095D" w:rsidP="00B518F1">
            <w:pPr>
              <w:spacing w:line="240" w:lineRule="auto"/>
              <w:ind w:firstLine="0"/>
            </w:pPr>
            <w:r w:rsidRPr="004D46AC">
              <w:rPr>
                <w:color w:val="000000"/>
                <w:szCs w:val="21"/>
              </w:rPr>
              <w:t xml:space="preserve">0.71 </w:t>
            </w:r>
          </w:p>
        </w:tc>
        <w:tc>
          <w:tcPr>
            <w:tcW w:w="1705" w:type="dxa"/>
            <w:vAlign w:val="center"/>
          </w:tcPr>
          <w:p w14:paraId="26FBCF41" w14:textId="77777777" w:rsidR="003E095D" w:rsidRPr="004D46AC" w:rsidRDefault="003E095D" w:rsidP="00B518F1">
            <w:pPr>
              <w:spacing w:line="240" w:lineRule="auto"/>
              <w:ind w:firstLine="0"/>
            </w:pPr>
            <w:r w:rsidRPr="004D46AC">
              <w:rPr>
                <w:color w:val="000000"/>
                <w:szCs w:val="21"/>
              </w:rPr>
              <w:t xml:space="preserve">0.23 </w:t>
            </w:r>
          </w:p>
        </w:tc>
      </w:tr>
      <w:tr w:rsidR="003E095D" w:rsidRPr="004D46AC" w14:paraId="40C8ACFC" w14:textId="77777777" w:rsidTr="00B518F1">
        <w:tc>
          <w:tcPr>
            <w:tcW w:w="1704" w:type="dxa"/>
            <w:vAlign w:val="center"/>
          </w:tcPr>
          <w:p w14:paraId="3EE7111A" w14:textId="77777777" w:rsidR="003E095D" w:rsidRPr="004D46AC" w:rsidRDefault="003E095D" w:rsidP="00B518F1">
            <w:pPr>
              <w:spacing w:line="240" w:lineRule="auto"/>
              <w:ind w:firstLine="0"/>
            </w:pPr>
            <w:r w:rsidRPr="004D46AC">
              <w:rPr>
                <w:color w:val="000000"/>
              </w:rPr>
              <w:t>TR16--TR25</w:t>
            </w:r>
          </w:p>
        </w:tc>
        <w:tc>
          <w:tcPr>
            <w:tcW w:w="1704" w:type="dxa"/>
            <w:vAlign w:val="center"/>
          </w:tcPr>
          <w:p w14:paraId="4187DF06" w14:textId="77777777" w:rsidR="003E095D" w:rsidRPr="004D46AC" w:rsidRDefault="003E095D" w:rsidP="00B518F1">
            <w:pPr>
              <w:spacing w:line="240" w:lineRule="auto"/>
              <w:ind w:firstLine="0"/>
            </w:pPr>
            <w:r w:rsidRPr="004D46AC">
              <w:rPr>
                <w:color w:val="000000"/>
                <w:szCs w:val="21"/>
              </w:rPr>
              <w:t xml:space="preserve">0.30 </w:t>
            </w:r>
          </w:p>
        </w:tc>
        <w:tc>
          <w:tcPr>
            <w:tcW w:w="1704" w:type="dxa"/>
            <w:vAlign w:val="center"/>
          </w:tcPr>
          <w:p w14:paraId="1483B516" w14:textId="77777777" w:rsidR="003E095D" w:rsidRPr="004D46AC" w:rsidRDefault="003E095D" w:rsidP="00B518F1">
            <w:pPr>
              <w:spacing w:line="240" w:lineRule="auto"/>
              <w:ind w:firstLine="0"/>
            </w:pPr>
            <w:r w:rsidRPr="004D46AC">
              <w:rPr>
                <w:color w:val="000000"/>
                <w:szCs w:val="21"/>
              </w:rPr>
              <w:t xml:space="preserve">-0.10 </w:t>
            </w:r>
          </w:p>
        </w:tc>
        <w:tc>
          <w:tcPr>
            <w:tcW w:w="1705" w:type="dxa"/>
            <w:vAlign w:val="center"/>
          </w:tcPr>
          <w:p w14:paraId="1BC6C08C" w14:textId="77777777" w:rsidR="003E095D" w:rsidRPr="004D46AC" w:rsidRDefault="003E095D" w:rsidP="00B518F1">
            <w:pPr>
              <w:spacing w:line="240" w:lineRule="auto"/>
              <w:ind w:firstLine="0"/>
            </w:pPr>
            <w:r w:rsidRPr="004D46AC">
              <w:rPr>
                <w:color w:val="000000"/>
                <w:szCs w:val="21"/>
              </w:rPr>
              <w:t xml:space="preserve">0.70 </w:t>
            </w:r>
          </w:p>
        </w:tc>
        <w:tc>
          <w:tcPr>
            <w:tcW w:w="1705" w:type="dxa"/>
            <w:vAlign w:val="center"/>
          </w:tcPr>
          <w:p w14:paraId="32D56D23" w14:textId="77777777" w:rsidR="003E095D" w:rsidRPr="004D46AC" w:rsidRDefault="003E095D" w:rsidP="00B518F1">
            <w:pPr>
              <w:spacing w:line="240" w:lineRule="auto"/>
              <w:ind w:firstLine="0"/>
            </w:pPr>
            <w:r w:rsidRPr="004D46AC">
              <w:rPr>
                <w:color w:val="000000"/>
                <w:szCs w:val="21"/>
              </w:rPr>
              <w:t xml:space="preserve">0.29 </w:t>
            </w:r>
          </w:p>
        </w:tc>
      </w:tr>
      <w:tr w:rsidR="003E095D" w:rsidRPr="004D46AC" w14:paraId="2283F5C5" w14:textId="77777777" w:rsidTr="00B518F1">
        <w:tc>
          <w:tcPr>
            <w:tcW w:w="1704" w:type="dxa"/>
            <w:vAlign w:val="center"/>
          </w:tcPr>
          <w:p w14:paraId="6DA10E25" w14:textId="77777777" w:rsidR="003E095D" w:rsidRPr="004D46AC" w:rsidRDefault="003E095D" w:rsidP="00B518F1">
            <w:pPr>
              <w:spacing w:line="240" w:lineRule="auto"/>
              <w:ind w:firstLine="0"/>
            </w:pPr>
            <w:r w:rsidRPr="004D46AC">
              <w:rPr>
                <w:color w:val="000000"/>
              </w:rPr>
              <w:t>TR12--TR15</w:t>
            </w:r>
          </w:p>
        </w:tc>
        <w:tc>
          <w:tcPr>
            <w:tcW w:w="1704" w:type="dxa"/>
            <w:vAlign w:val="center"/>
          </w:tcPr>
          <w:p w14:paraId="56A89009" w14:textId="77777777" w:rsidR="003E095D" w:rsidRPr="004D46AC" w:rsidRDefault="003E095D" w:rsidP="00B518F1">
            <w:pPr>
              <w:spacing w:line="240" w:lineRule="auto"/>
              <w:ind w:firstLine="0"/>
            </w:pPr>
            <w:r w:rsidRPr="004D46AC">
              <w:rPr>
                <w:color w:val="000000"/>
                <w:szCs w:val="21"/>
              </w:rPr>
              <w:t xml:space="preserve">0.30 </w:t>
            </w:r>
          </w:p>
        </w:tc>
        <w:tc>
          <w:tcPr>
            <w:tcW w:w="1704" w:type="dxa"/>
            <w:vAlign w:val="center"/>
          </w:tcPr>
          <w:p w14:paraId="1BAA8702"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780A141E" w14:textId="77777777" w:rsidR="003E095D" w:rsidRPr="004D46AC" w:rsidRDefault="003E095D" w:rsidP="00B518F1">
            <w:pPr>
              <w:spacing w:line="240" w:lineRule="auto"/>
              <w:ind w:firstLine="0"/>
            </w:pPr>
            <w:r w:rsidRPr="004D46AC">
              <w:rPr>
                <w:color w:val="000000"/>
                <w:szCs w:val="21"/>
              </w:rPr>
              <w:t xml:space="preserve">0.75 </w:t>
            </w:r>
          </w:p>
        </w:tc>
        <w:tc>
          <w:tcPr>
            <w:tcW w:w="1705" w:type="dxa"/>
            <w:vAlign w:val="center"/>
          </w:tcPr>
          <w:p w14:paraId="35B2AC2C" w14:textId="77777777" w:rsidR="003E095D" w:rsidRPr="004D46AC" w:rsidRDefault="003E095D" w:rsidP="00B518F1">
            <w:pPr>
              <w:spacing w:line="240" w:lineRule="auto"/>
              <w:ind w:firstLine="0"/>
            </w:pPr>
            <w:r w:rsidRPr="004D46AC">
              <w:rPr>
                <w:color w:val="000000"/>
                <w:szCs w:val="21"/>
              </w:rPr>
              <w:t xml:space="preserve">0.38 </w:t>
            </w:r>
          </w:p>
        </w:tc>
      </w:tr>
      <w:tr w:rsidR="003E095D" w:rsidRPr="004D46AC" w14:paraId="65274239" w14:textId="77777777" w:rsidTr="00B518F1">
        <w:tc>
          <w:tcPr>
            <w:tcW w:w="1704" w:type="dxa"/>
            <w:vAlign w:val="center"/>
          </w:tcPr>
          <w:p w14:paraId="3B783B9E" w14:textId="77777777" w:rsidR="003E095D" w:rsidRPr="004D46AC" w:rsidRDefault="003E095D" w:rsidP="00B518F1">
            <w:pPr>
              <w:spacing w:line="240" w:lineRule="auto"/>
              <w:ind w:firstLine="0"/>
            </w:pPr>
            <w:r w:rsidRPr="004D46AC">
              <w:rPr>
                <w:color w:val="000000"/>
              </w:rPr>
              <w:t>TR26--TR30</w:t>
            </w:r>
          </w:p>
        </w:tc>
        <w:tc>
          <w:tcPr>
            <w:tcW w:w="1704" w:type="dxa"/>
            <w:vAlign w:val="center"/>
          </w:tcPr>
          <w:p w14:paraId="0E93E6F5" w14:textId="77777777" w:rsidR="003E095D" w:rsidRPr="004D46AC" w:rsidRDefault="003E095D" w:rsidP="00B518F1">
            <w:pPr>
              <w:spacing w:line="240" w:lineRule="auto"/>
              <w:ind w:firstLine="0"/>
            </w:pPr>
            <w:r w:rsidRPr="004D46AC">
              <w:rPr>
                <w:color w:val="000000"/>
                <w:szCs w:val="21"/>
              </w:rPr>
              <w:t xml:space="preserve">0.29 </w:t>
            </w:r>
          </w:p>
        </w:tc>
        <w:tc>
          <w:tcPr>
            <w:tcW w:w="1704" w:type="dxa"/>
            <w:vAlign w:val="center"/>
          </w:tcPr>
          <w:p w14:paraId="5B0FEE37"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0D328A14" w14:textId="77777777" w:rsidR="003E095D" w:rsidRPr="004D46AC" w:rsidRDefault="003E095D" w:rsidP="00B518F1">
            <w:pPr>
              <w:spacing w:line="240" w:lineRule="auto"/>
              <w:ind w:firstLine="0"/>
            </w:pPr>
            <w:r w:rsidRPr="004D46AC">
              <w:rPr>
                <w:color w:val="000000"/>
                <w:szCs w:val="21"/>
              </w:rPr>
              <w:t xml:space="preserve">0.71 </w:t>
            </w:r>
          </w:p>
        </w:tc>
        <w:tc>
          <w:tcPr>
            <w:tcW w:w="1705" w:type="dxa"/>
            <w:vAlign w:val="center"/>
          </w:tcPr>
          <w:p w14:paraId="66E7C96D" w14:textId="77777777" w:rsidR="003E095D" w:rsidRPr="004D46AC" w:rsidRDefault="003E095D" w:rsidP="00B518F1">
            <w:pPr>
              <w:spacing w:line="240" w:lineRule="auto"/>
              <w:ind w:firstLine="0"/>
            </w:pPr>
            <w:r w:rsidRPr="004D46AC">
              <w:rPr>
                <w:color w:val="000000"/>
                <w:szCs w:val="21"/>
              </w:rPr>
              <w:t xml:space="preserve">0.26 </w:t>
            </w:r>
          </w:p>
        </w:tc>
      </w:tr>
      <w:tr w:rsidR="003E095D" w:rsidRPr="004D46AC" w14:paraId="5C5C439A" w14:textId="77777777" w:rsidTr="00B518F1">
        <w:tc>
          <w:tcPr>
            <w:tcW w:w="1704" w:type="dxa"/>
            <w:vAlign w:val="center"/>
          </w:tcPr>
          <w:p w14:paraId="2E246691" w14:textId="77777777" w:rsidR="003E095D" w:rsidRPr="004D46AC" w:rsidRDefault="003E095D" w:rsidP="00B518F1">
            <w:pPr>
              <w:spacing w:line="240" w:lineRule="auto"/>
              <w:ind w:firstLine="0"/>
            </w:pPr>
            <w:r w:rsidRPr="004D46AC">
              <w:rPr>
                <w:color w:val="000000"/>
              </w:rPr>
              <w:t>TR29--TR33</w:t>
            </w:r>
          </w:p>
        </w:tc>
        <w:tc>
          <w:tcPr>
            <w:tcW w:w="1704" w:type="dxa"/>
            <w:vAlign w:val="center"/>
          </w:tcPr>
          <w:p w14:paraId="457F84B1" w14:textId="77777777" w:rsidR="003E095D" w:rsidRPr="004D46AC" w:rsidRDefault="003E095D" w:rsidP="00B518F1">
            <w:pPr>
              <w:spacing w:line="240" w:lineRule="auto"/>
              <w:ind w:firstLine="0"/>
            </w:pPr>
            <w:r w:rsidRPr="004D46AC">
              <w:rPr>
                <w:color w:val="000000"/>
                <w:szCs w:val="21"/>
              </w:rPr>
              <w:t xml:space="preserve">0.29 </w:t>
            </w:r>
          </w:p>
        </w:tc>
        <w:tc>
          <w:tcPr>
            <w:tcW w:w="1704" w:type="dxa"/>
            <w:vAlign w:val="center"/>
          </w:tcPr>
          <w:p w14:paraId="48126719" w14:textId="77777777" w:rsidR="003E095D" w:rsidRPr="004D46AC" w:rsidRDefault="003E095D" w:rsidP="00B518F1">
            <w:pPr>
              <w:spacing w:line="240" w:lineRule="auto"/>
              <w:ind w:firstLine="0"/>
            </w:pPr>
            <w:r w:rsidRPr="004D46AC">
              <w:rPr>
                <w:color w:val="000000"/>
                <w:szCs w:val="21"/>
              </w:rPr>
              <w:t xml:space="preserve">-0.15 </w:t>
            </w:r>
          </w:p>
        </w:tc>
        <w:tc>
          <w:tcPr>
            <w:tcW w:w="1705" w:type="dxa"/>
            <w:vAlign w:val="center"/>
          </w:tcPr>
          <w:p w14:paraId="0509FA09" w14:textId="77777777" w:rsidR="003E095D" w:rsidRPr="004D46AC" w:rsidRDefault="003E095D" w:rsidP="00B518F1">
            <w:pPr>
              <w:spacing w:line="240" w:lineRule="auto"/>
              <w:ind w:firstLine="0"/>
            </w:pPr>
            <w:r w:rsidRPr="004D46AC">
              <w:rPr>
                <w:color w:val="000000"/>
                <w:szCs w:val="21"/>
              </w:rPr>
              <w:t xml:space="preserve">0.74 </w:t>
            </w:r>
          </w:p>
        </w:tc>
        <w:tc>
          <w:tcPr>
            <w:tcW w:w="1705" w:type="dxa"/>
            <w:vAlign w:val="center"/>
          </w:tcPr>
          <w:p w14:paraId="6AC9D77A" w14:textId="77777777" w:rsidR="003E095D" w:rsidRPr="004D46AC" w:rsidRDefault="003E095D" w:rsidP="00B518F1">
            <w:pPr>
              <w:spacing w:line="240" w:lineRule="auto"/>
              <w:ind w:firstLine="0"/>
            </w:pPr>
            <w:r w:rsidRPr="004D46AC">
              <w:rPr>
                <w:color w:val="000000"/>
                <w:szCs w:val="21"/>
              </w:rPr>
              <w:t xml:space="preserve">0.19 </w:t>
            </w:r>
          </w:p>
        </w:tc>
      </w:tr>
      <w:tr w:rsidR="003E095D" w:rsidRPr="004D46AC" w14:paraId="24788B7B" w14:textId="77777777" w:rsidTr="00B518F1">
        <w:tc>
          <w:tcPr>
            <w:tcW w:w="1704" w:type="dxa"/>
            <w:vAlign w:val="center"/>
          </w:tcPr>
          <w:p w14:paraId="5A9A5485" w14:textId="77777777" w:rsidR="003E095D" w:rsidRPr="004D46AC" w:rsidRDefault="003E095D" w:rsidP="00B518F1">
            <w:pPr>
              <w:spacing w:line="240" w:lineRule="auto"/>
              <w:ind w:firstLine="0"/>
            </w:pPr>
            <w:r w:rsidRPr="004D46AC">
              <w:rPr>
                <w:color w:val="000000"/>
              </w:rPr>
              <w:t>TR34--TR29</w:t>
            </w:r>
          </w:p>
        </w:tc>
        <w:tc>
          <w:tcPr>
            <w:tcW w:w="1704" w:type="dxa"/>
            <w:vAlign w:val="center"/>
          </w:tcPr>
          <w:p w14:paraId="6DA94988" w14:textId="77777777" w:rsidR="003E095D" w:rsidRPr="004D46AC" w:rsidRDefault="003E095D" w:rsidP="00B518F1">
            <w:pPr>
              <w:spacing w:line="240" w:lineRule="auto"/>
              <w:ind w:firstLine="0"/>
            </w:pPr>
            <w:r w:rsidRPr="004D46AC">
              <w:rPr>
                <w:color w:val="000000"/>
                <w:szCs w:val="21"/>
              </w:rPr>
              <w:t xml:space="preserve">0.29 </w:t>
            </w:r>
          </w:p>
        </w:tc>
        <w:tc>
          <w:tcPr>
            <w:tcW w:w="1704" w:type="dxa"/>
            <w:vAlign w:val="center"/>
          </w:tcPr>
          <w:p w14:paraId="1276D0BC"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7332662E" w14:textId="77777777" w:rsidR="003E095D" w:rsidRPr="004D46AC" w:rsidRDefault="003E095D" w:rsidP="00B518F1">
            <w:pPr>
              <w:spacing w:line="240" w:lineRule="auto"/>
              <w:ind w:firstLine="0"/>
            </w:pPr>
            <w:r w:rsidRPr="004D46AC">
              <w:rPr>
                <w:color w:val="000000"/>
                <w:szCs w:val="21"/>
              </w:rPr>
              <w:t xml:space="preserve">0.78 </w:t>
            </w:r>
          </w:p>
        </w:tc>
        <w:tc>
          <w:tcPr>
            <w:tcW w:w="1705" w:type="dxa"/>
            <w:vAlign w:val="center"/>
          </w:tcPr>
          <w:p w14:paraId="6F86E127" w14:textId="77777777" w:rsidR="003E095D" w:rsidRPr="004D46AC" w:rsidRDefault="003E095D" w:rsidP="00B518F1">
            <w:pPr>
              <w:spacing w:line="240" w:lineRule="auto"/>
              <w:ind w:firstLine="0"/>
            </w:pPr>
            <w:r w:rsidRPr="004D46AC">
              <w:rPr>
                <w:color w:val="000000"/>
                <w:szCs w:val="21"/>
              </w:rPr>
              <w:t xml:space="preserve">0.26 </w:t>
            </w:r>
          </w:p>
        </w:tc>
      </w:tr>
      <w:tr w:rsidR="003E095D" w:rsidRPr="004D46AC" w14:paraId="434B66EF" w14:textId="77777777" w:rsidTr="00B518F1">
        <w:tc>
          <w:tcPr>
            <w:tcW w:w="1704" w:type="dxa"/>
            <w:vAlign w:val="center"/>
          </w:tcPr>
          <w:p w14:paraId="3F8BC054" w14:textId="77777777" w:rsidR="003E095D" w:rsidRPr="004D46AC" w:rsidRDefault="003E095D" w:rsidP="00B518F1">
            <w:pPr>
              <w:spacing w:line="240" w:lineRule="auto"/>
              <w:ind w:firstLine="0"/>
            </w:pPr>
            <w:r w:rsidRPr="004D46AC">
              <w:rPr>
                <w:color w:val="000000"/>
              </w:rPr>
              <w:t>TR24--TR37</w:t>
            </w:r>
          </w:p>
        </w:tc>
        <w:tc>
          <w:tcPr>
            <w:tcW w:w="1704" w:type="dxa"/>
            <w:vAlign w:val="center"/>
          </w:tcPr>
          <w:p w14:paraId="6F5E3DC4" w14:textId="77777777" w:rsidR="003E095D" w:rsidRPr="004D46AC" w:rsidRDefault="003E095D" w:rsidP="00B518F1">
            <w:pPr>
              <w:spacing w:line="240" w:lineRule="auto"/>
              <w:ind w:firstLine="0"/>
            </w:pPr>
            <w:r w:rsidRPr="004D46AC">
              <w:rPr>
                <w:color w:val="000000"/>
                <w:szCs w:val="21"/>
              </w:rPr>
              <w:t xml:space="preserve">0.29 </w:t>
            </w:r>
          </w:p>
        </w:tc>
        <w:tc>
          <w:tcPr>
            <w:tcW w:w="1704" w:type="dxa"/>
            <w:vAlign w:val="center"/>
          </w:tcPr>
          <w:p w14:paraId="0D746D96" w14:textId="77777777" w:rsidR="003E095D" w:rsidRPr="004D46AC" w:rsidRDefault="003E095D" w:rsidP="00B518F1">
            <w:pPr>
              <w:spacing w:line="240" w:lineRule="auto"/>
              <w:ind w:firstLine="0"/>
            </w:pPr>
            <w:r w:rsidRPr="004D46AC">
              <w:rPr>
                <w:color w:val="000000"/>
                <w:szCs w:val="21"/>
              </w:rPr>
              <w:t xml:space="preserve">-0.09 </w:t>
            </w:r>
          </w:p>
        </w:tc>
        <w:tc>
          <w:tcPr>
            <w:tcW w:w="1705" w:type="dxa"/>
            <w:vAlign w:val="center"/>
          </w:tcPr>
          <w:p w14:paraId="469CBDD4" w14:textId="77777777" w:rsidR="003E095D" w:rsidRPr="004D46AC" w:rsidRDefault="003E095D" w:rsidP="00B518F1">
            <w:pPr>
              <w:spacing w:line="240" w:lineRule="auto"/>
              <w:ind w:firstLine="0"/>
            </w:pPr>
            <w:r w:rsidRPr="004D46AC">
              <w:rPr>
                <w:color w:val="000000"/>
                <w:szCs w:val="21"/>
              </w:rPr>
              <w:t xml:space="preserve">0.66 </w:t>
            </w:r>
          </w:p>
        </w:tc>
        <w:tc>
          <w:tcPr>
            <w:tcW w:w="1705" w:type="dxa"/>
            <w:vAlign w:val="center"/>
          </w:tcPr>
          <w:p w14:paraId="062B398C" w14:textId="77777777" w:rsidR="003E095D" w:rsidRPr="004D46AC" w:rsidRDefault="003E095D" w:rsidP="00B518F1">
            <w:pPr>
              <w:spacing w:line="240" w:lineRule="auto"/>
              <w:ind w:firstLine="0"/>
            </w:pPr>
            <w:r w:rsidRPr="004D46AC">
              <w:rPr>
                <w:color w:val="000000"/>
                <w:szCs w:val="21"/>
              </w:rPr>
              <w:t xml:space="preserve">0.19 </w:t>
            </w:r>
          </w:p>
        </w:tc>
      </w:tr>
      <w:tr w:rsidR="003E095D" w:rsidRPr="004D46AC" w14:paraId="3677A30F" w14:textId="77777777" w:rsidTr="00B518F1">
        <w:tc>
          <w:tcPr>
            <w:tcW w:w="1704" w:type="dxa"/>
            <w:vAlign w:val="center"/>
          </w:tcPr>
          <w:p w14:paraId="3EB8A5B5" w14:textId="77777777" w:rsidR="003E095D" w:rsidRPr="004D46AC" w:rsidRDefault="003E095D" w:rsidP="00B518F1">
            <w:pPr>
              <w:spacing w:line="240" w:lineRule="auto"/>
              <w:ind w:firstLine="0"/>
            </w:pPr>
            <w:r w:rsidRPr="004D46AC">
              <w:rPr>
                <w:color w:val="000000"/>
              </w:rPr>
              <w:t>TR5--TR24</w:t>
            </w:r>
          </w:p>
        </w:tc>
        <w:tc>
          <w:tcPr>
            <w:tcW w:w="1704" w:type="dxa"/>
            <w:vAlign w:val="center"/>
          </w:tcPr>
          <w:p w14:paraId="4CB9E426" w14:textId="77777777" w:rsidR="003E095D" w:rsidRPr="004D46AC" w:rsidRDefault="003E095D" w:rsidP="00B518F1">
            <w:pPr>
              <w:spacing w:line="240" w:lineRule="auto"/>
              <w:ind w:firstLine="0"/>
            </w:pPr>
            <w:r w:rsidRPr="004D46AC">
              <w:rPr>
                <w:color w:val="000000"/>
                <w:szCs w:val="21"/>
              </w:rPr>
              <w:t xml:space="preserve">0.29 </w:t>
            </w:r>
          </w:p>
        </w:tc>
        <w:tc>
          <w:tcPr>
            <w:tcW w:w="1704" w:type="dxa"/>
            <w:vAlign w:val="center"/>
          </w:tcPr>
          <w:p w14:paraId="12726604"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49C0639F" w14:textId="77777777" w:rsidR="003E095D" w:rsidRPr="004D46AC" w:rsidRDefault="003E095D" w:rsidP="00B518F1">
            <w:pPr>
              <w:spacing w:line="240" w:lineRule="auto"/>
              <w:ind w:firstLine="0"/>
            </w:pPr>
            <w:r w:rsidRPr="004D46AC">
              <w:rPr>
                <w:color w:val="000000"/>
                <w:szCs w:val="21"/>
              </w:rPr>
              <w:t xml:space="preserve">0.76 </w:t>
            </w:r>
          </w:p>
        </w:tc>
        <w:tc>
          <w:tcPr>
            <w:tcW w:w="1705" w:type="dxa"/>
            <w:vAlign w:val="center"/>
          </w:tcPr>
          <w:p w14:paraId="74BA9F21" w14:textId="77777777" w:rsidR="003E095D" w:rsidRPr="004D46AC" w:rsidRDefault="003E095D" w:rsidP="00B518F1">
            <w:pPr>
              <w:spacing w:line="240" w:lineRule="auto"/>
              <w:ind w:firstLine="0"/>
            </w:pPr>
            <w:r w:rsidRPr="004D46AC">
              <w:rPr>
                <w:color w:val="000000"/>
                <w:szCs w:val="21"/>
              </w:rPr>
              <w:t xml:space="preserve">0.18 </w:t>
            </w:r>
          </w:p>
        </w:tc>
      </w:tr>
      <w:tr w:rsidR="003E095D" w:rsidRPr="004D46AC" w14:paraId="5DF9278F" w14:textId="77777777" w:rsidTr="00B518F1">
        <w:tc>
          <w:tcPr>
            <w:tcW w:w="1704" w:type="dxa"/>
            <w:vAlign w:val="center"/>
          </w:tcPr>
          <w:p w14:paraId="26B749D9" w14:textId="77777777" w:rsidR="003E095D" w:rsidRPr="004D46AC" w:rsidRDefault="003E095D" w:rsidP="00B518F1">
            <w:pPr>
              <w:spacing w:line="240" w:lineRule="auto"/>
              <w:ind w:firstLine="0"/>
            </w:pPr>
            <w:r w:rsidRPr="004D46AC">
              <w:rPr>
                <w:color w:val="000000"/>
              </w:rPr>
              <w:t>TR17--TR14</w:t>
            </w:r>
          </w:p>
        </w:tc>
        <w:tc>
          <w:tcPr>
            <w:tcW w:w="1704" w:type="dxa"/>
            <w:vAlign w:val="center"/>
          </w:tcPr>
          <w:p w14:paraId="6098C3AD" w14:textId="77777777" w:rsidR="003E095D" w:rsidRPr="004D46AC" w:rsidRDefault="003E095D" w:rsidP="00B518F1">
            <w:pPr>
              <w:spacing w:line="240" w:lineRule="auto"/>
              <w:ind w:firstLine="0"/>
            </w:pPr>
            <w:r w:rsidRPr="004D46AC">
              <w:rPr>
                <w:color w:val="000000"/>
                <w:szCs w:val="21"/>
              </w:rPr>
              <w:t xml:space="preserve">0.28 </w:t>
            </w:r>
          </w:p>
        </w:tc>
        <w:tc>
          <w:tcPr>
            <w:tcW w:w="1704" w:type="dxa"/>
            <w:vAlign w:val="center"/>
          </w:tcPr>
          <w:p w14:paraId="5F97A660"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57D6AB9B" w14:textId="77777777" w:rsidR="003E095D" w:rsidRPr="004D46AC" w:rsidRDefault="003E095D" w:rsidP="00B518F1">
            <w:pPr>
              <w:spacing w:line="240" w:lineRule="auto"/>
              <w:ind w:firstLine="0"/>
            </w:pPr>
            <w:r w:rsidRPr="004D46AC">
              <w:rPr>
                <w:color w:val="000000"/>
                <w:szCs w:val="21"/>
              </w:rPr>
              <w:t xml:space="preserve">0.68 </w:t>
            </w:r>
          </w:p>
        </w:tc>
        <w:tc>
          <w:tcPr>
            <w:tcW w:w="1705" w:type="dxa"/>
            <w:vAlign w:val="center"/>
          </w:tcPr>
          <w:p w14:paraId="61824760" w14:textId="77777777" w:rsidR="003E095D" w:rsidRPr="004D46AC" w:rsidRDefault="003E095D" w:rsidP="00B518F1">
            <w:pPr>
              <w:spacing w:line="240" w:lineRule="auto"/>
              <w:ind w:firstLine="0"/>
            </w:pPr>
            <w:r w:rsidRPr="004D46AC">
              <w:rPr>
                <w:color w:val="000000"/>
                <w:szCs w:val="21"/>
              </w:rPr>
              <w:t xml:space="preserve">0.33 </w:t>
            </w:r>
          </w:p>
        </w:tc>
      </w:tr>
      <w:tr w:rsidR="003E095D" w:rsidRPr="004D46AC" w14:paraId="5AEF7AC2" w14:textId="77777777" w:rsidTr="00B518F1">
        <w:tc>
          <w:tcPr>
            <w:tcW w:w="1704" w:type="dxa"/>
            <w:vAlign w:val="center"/>
          </w:tcPr>
          <w:p w14:paraId="3A6F7231" w14:textId="77777777" w:rsidR="003E095D" w:rsidRPr="004D46AC" w:rsidRDefault="003E095D" w:rsidP="00B518F1">
            <w:pPr>
              <w:spacing w:line="240" w:lineRule="auto"/>
              <w:ind w:firstLine="0"/>
            </w:pPr>
            <w:r w:rsidRPr="004D46AC">
              <w:rPr>
                <w:color w:val="000000"/>
              </w:rPr>
              <w:t>TR24--TR13</w:t>
            </w:r>
          </w:p>
        </w:tc>
        <w:tc>
          <w:tcPr>
            <w:tcW w:w="1704" w:type="dxa"/>
            <w:vAlign w:val="center"/>
          </w:tcPr>
          <w:p w14:paraId="607C8216" w14:textId="77777777" w:rsidR="003E095D" w:rsidRPr="004D46AC" w:rsidRDefault="003E095D" w:rsidP="00B518F1">
            <w:pPr>
              <w:spacing w:line="240" w:lineRule="auto"/>
              <w:ind w:firstLine="0"/>
            </w:pPr>
            <w:r w:rsidRPr="004D46AC">
              <w:rPr>
                <w:color w:val="000000"/>
                <w:szCs w:val="21"/>
              </w:rPr>
              <w:t xml:space="preserve">0.28 </w:t>
            </w:r>
          </w:p>
        </w:tc>
        <w:tc>
          <w:tcPr>
            <w:tcW w:w="1704" w:type="dxa"/>
            <w:vAlign w:val="center"/>
          </w:tcPr>
          <w:p w14:paraId="2397805A"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0623C7ED" w14:textId="77777777" w:rsidR="003E095D" w:rsidRPr="004D46AC" w:rsidRDefault="003E095D" w:rsidP="00B518F1">
            <w:pPr>
              <w:spacing w:line="240" w:lineRule="auto"/>
              <w:ind w:firstLine="0"/>
            </w:pPr>
            <w:r w:rsidRPr="004D46AC">
              <w:rPr>
                <w:color w:val="000000"/>
                <w:szCs w:val="21"/>
              </w:rPr>
              <w:t xml:space="preserve">0.72 </w:t>
            </w:r>
          </w:p>
        </w:tc>
        <w:tc>
          <w:tcPr>
            <w:tcW w:w="1705" w:type="dxa"/>
            <w:vAlign w:val="center"/>
          </w:tcPr>
          <w:p w14:paraId="25B990A9" w14:textId="77777777" w:rsidR="003E095D" w:rsidRPr="004D46AC" w:rsidRDefault="003E095D" w:rsidP="00B518F1">
            <w:pPr>
              <w:spacing w:line="240" w:lineRule="auto"/>
              <w:ind w:firstLine="0"/>
            </w:pPr>
            <w:r w:rsidRPr="004D46AC">
              <w:rPr>
                <w:color w:val="000000"/>
                <w:szCs w:val="21"/>
              </w:rPr>
              <w:t xml:space="preserve">0.25 </w:t>
            </w:r>
          </w:p>
        </w:tc>
      </w:tr>
      <w:tr w:rsidR="003E095D" w:rsidRPr="004D46AC" w14:paraId="13BCA7E7" w14:textId="77777777" w:rsidTr="00B518F1">
        <w:tc>
          <w:tcPr>
            <w:tcW w:w="1704" w:type="dxa"/>
            <w:vAlign w:val="center"/>
          </w:tcPr>
          <w:p w14:paraId="30455CBD" w14:textId="77777777" w:rsidR="003E095D" w:rsidRPr="004D46AC" w:rsidRDefault="003E095D" w:rsidP="00B518F1">
            <w:pPr>
              <w:spacing w:line="240" w:lineRule="auto"/>
              <w:ind w:firstLine="0"/>
            </w:pPr>
            <w:r w:rsidRPr="004D46AC">
              <w:rPr>
                <w:color w:val="000000"/>
              </w:rPr>
              <w:t>TR12--TR37</w:t>
            </w:r>
          </w:p>
        </w:tc>
        <w:tc>
          <w:tcPr>
            <w:tcW w:w="1704" w:type="dxa"/>
            <w:vAlign w:val="center"/>
          </w:tcPr>
          <w:p w14:paraId="70038697" w14:textId="77777777" w:rsidR="003E095D" w:rsidRPr="004D46AC" w:rsidRDefault="003E095D" w:rsidP="00B518F1">
            <w:pPr>
              <w:spacing w:line="240" w:lineRule="auto"/>
              <w:ind w:firstLine="0"/>
            </w:pPr>
            <w:r w:rsidRPr="004D46AC">
              <w:rPr>
                <w:color w:val="000000"/>
                <w:szCs w:val="21"/>
              </w:rPr>
              <w:t xml:space="preserve">0.28 </w:t>
            </w:r>
          </w:p>
        </w:tc>
        <w:tc>
          <w:tcPr>
            <w:tcW w:w="1704" w:type="dxa"/>
            <w:vAlign w:val="center"/>
          </w:tcPr>
          <w:p w14:paraId="524F3714"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4400ED95" w14:textId="77777777" w:rsidR="003E095D" w:rsidRPr="004D46AC" w:rsidRDefault="003E095D" w:rsidP="00B518F1">
            <w:pPr>
              <w:spacing w:line="240" w:lineRule="auto"/>
              <w:ind w:firstLine="0"/>
            </w:pPr>
            <w:r w:rsidRPr="004D46AC">
              <w:rPr>
                <w:color w:val="000000"/>
                <w:szCs w:val="21"/>
              </w:rPr>
              <w:t xml:space="preserve">0.69 </w:t>
            </w:r>
          </w:p>
        </w:tc>
        <w:tc>
          <w:tcPr>
            <w:tcW w:w="1705" w:type="dxa"/>
            <w:vAlign w:val="center"/>
          </w:tcPr>
          <w:p w14:paraId="72A73582" w14:textId="77777777" w:rsidR="003E095D" w:rsidRPr="004D46AC" w:rsidRDefault="003E095D" w:rsidP="00B518F1">
            <w:pPr>
              <w:spacing w:line="240" w:lineRule="auto"/>
              <w:ind w:firstLine="0"/>
            </w:pPr>
            <w:r w:rsidRPr="004D46AC">
              <w:rPr>
                <w:color w:val="000000"/>
                <w:szCs w:val="21"/>
              </w:rPr>
              <w:t xml:space="preserve">0.50 </w:t>
            </w:r>
          </w:p>
        </w:tc>
      </w:tr>
      <w:tr w:rsidR="003E095D" w:rsidRPr="004D46AC" w14:paraId="0BB16794" w14:textId="77777777" w:rsidTr="00B518F1">
        <w:tc>
          <w:tcPr>
            <w:tcW w:w="1704" w:type="dxa"/>
            <w:vAlign w:val="center"/>
          </w:tcPr>
          <w:p w14:paraId="4781FD25" w14:textId="77777777" w:rsidR="003E095D" w:rsidRPr="004D46AC" w:rsidRDefault="003E095D" w:rsidP="00B518F1">
            <w:pPr>
              <w:spacing w:line="240" w:lineRule="auto"/>
              <w:ind w:firstLine="0"/>
            </w:pPr>
            <w:r w:rsidRPr="004D46AC">
              <w:rPr>
                <w:color w:val="000000"/>
              </w:rPr>
              <w:t>TR19--TR6</w:t>
            </w:r>
          </w:p>
        </w:tc>
        <w:tc>
          <w:tcPr>
            <w:tcW w:w="1704" w:type="dxa"/>
            <w:vAlign w:val="center"/>
          </w:tcPr>
          <w:p w14:paraId="60D93F11" w14:textId="77777777" w:rsidR="003E095D" w:rsidRPr="004D46AC" w:rsidRDefault="003E095D" w:rsidP="00B518F1">
            <w:pPr>
              <w:spacing w:line="240" w:lineRule="auto"/>
              <w:ind w:firstLine="0"/>
            </w:pPr>
            <w:r w:rsidRPr="004D46AC">
              <w:rPr>
                <w:color w:val="000000"/>
                <w:szCs w:val="21"/>
              </w:rPr>
              <w:t xml:space="preserve">0.27 </w:t>
            </w:r>
          </w:p>
        </w:tc>
        <w:tc>
          <w:tcPr>
            <w:tcW w:w="1704" w:type="dxa"/>
            <w:vAlign w:val="center"/>
          </w:tcPr>
          <w:p w14:paraId="09556C16"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2D20339A" w14:textId="77777777" w:rsidR="003E095D" w:rsidRPr="004D46AC" w:rsidRDefault="003E095D" w:rsidP="00B518F1">
            <w:pPr>
              <w:spacing w:line="240" w:lineRule="auto"/>
              <w:ind w:firstLine="0"/>
            </w:pPr>
            <w:r w:rsidRPr="004D46AC">
              <w:rPr>
                <w:color w:val="000000"/>
                <w:szCs w:val="21"/>
              </w:rPr>
              <w:t xml:space="preserve">0.71 </w:t>
            </w:r>
          </w:p>
        </w:tc>
        <w:tc>
          <w:tcPr>
            <w:tcW w:w="1705" w:type="dxa"/>
            <w:vAlign w:val="center"/>
          </w:tcPr>
          <w:p w14:paraId="476869D8" w14:textId="77777777" w:rsidR="003E095D" w:rsidRPr="004D46AC" w:rsidRDefault="003E095D" w:rsidP="00B518F1">
            <w:pPr>
              <w:spacing w:line="240" w:lineRule="auto"/>
              <w:ind w:firstLine="0"/>
            </w:pPr>
            <w:r w:rsidRPr="004D46AC">
              <w:rPr>
                <w:color w:val="000000"/>
                <w:szCs w:val="21"/>
              </w:rPr>
              <w:t xml:space="preserve">0.29 </w:t>
            </w:r>
          </w:p>
        </w:tc>
      </w:tr>
      <w:tr w:rsidR="003E095D" w:rsidRPr="004D46AC" w14:paraId="381B3596" w14:textId="77777777" w:rsidTr="00B518F1">
        <w:tc>
          <w:tcPr>
            <w:tcW w:w="1704" w:type="dxa"/>
            <w:vAlign w:val="center"/>
          </w:tcPr>
          <w:p w14:paraId="2FDF3FA8" w14:textId="77777777" w:rsidR="003E095D" w:rsidRPr="004D46AC" w:rsidRDefault="003E095D" w:rsidP="00B518F1">
            <w:pPr>
              <w:spacing w:line="240" w:lineRule="auto"/>
              <w:ind w:firstLine="0"/>
            </w:pPr>
            <w:r w:rsidRPr="004D46AC">
              <w:rPr>
                <w:color w:val="000000"/>
              </w:rPr>
              <w:t>TR16--TR22</w:t>
            </w:r>
          </w:p>
        </w:tc>
        <w:tc>
          <w:tcPr>
            <w:tcW w:w="1704" w:type="dxa"/>
            <w:vAlign w:val="center"/>
          </w:tcPr>
          <w:p w14:paraId="2299CDED" w14:textId="77777777" w:rsidR="003E095D" w:rsidRPr="004D46AC" w:rsidRDefault="003E095D" w:rsidP="00B518F1">
            <w:pPr>
              <w:spacing w:line="240" w:lineRule="auto"/>
              <w:ind w:firstLine="0"/>
            </w:pPr>
            <w:r w:rsidRPr="004D46AC">
              <w:rPr>
                <w:color w:val="000000"/>
                <w:szCs w:val="21"/>
              </w:rPr>
              <w:t xml:space="preserve">0.27 </w:t>
            </w:r>
          </w:p>
        </w:tc>
        <w:tc>
          <w:tcPr>
            <w:tcW w:w="1704" w:type="dxa"/>
            <w:vAlign w:val="center"/>
          </w:tcPr>
          <w:p w14:paraId="017DB1ED" w14:textId="77777777" w:rsidR="003E095D" w:rsidRPr="004D46AC" w:rsidRDefault="003E095D" w:rsidP="00B518F1">
            <w:pPr>
              <w:spacing w:line="240" w:lineRule="auto"/>
              <w:ind w:firstLine="0"/>
            </w:pPr>
            <w:r w:rsidRPr="004D46AC">
              <w:rPr>
                <w:color w:val="000000"/>
                <w:szCs w:val="21"/>
              </w:rPr>
              <w:t xml:space="preserve">-0.10 </w:t>
            </w:r>
          </w:p>
        </w:tc>
        <w:tc>
          <w:tcPr>
            <w:tcW w:w="1705" w:type="dxa"/>
            <w:vAlign w:val="center"/>
          </w:tcPr>
          <w:p w14:paraId="4E1F86BF"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2A812954" w14:textId="77777777" w:rsidR="003E095D" w:rsidRPr="004D46AC" w:rsidRDefault="003E095D" w:rsidP="00B518F1">
            <w:pPr>
              <w:spacing w:line="240" w:lineRule="auto"/>
              <w:ind w:firstLine="0"/>
            </w:pPr>
            <w:r w:rsidRPr="004D46AC">
              <w:rPr>
                <w:color w:val="000000"/>
                <w:szCs w:val="21"/>
              </w:rPr>
              <w:t xml:space="preserve">0.27 </w:t>
            </w:r>
          </w:p>
        </w:tc>
      </w:tr>
      <w:tr w:rsidR="003E095D" w:rsidRPr="004D46AC" w14:paraId="5DC3EC83" w14:textId="77777777" w:rsidTr="00B518F1">
        <w:tc>
          <w:tcPr>
            <w:tcW w:w="1704" w:type="dxa"/>
            <w:vAlign w:val="center"/>
          </w:tcPr>
          <w:p w14:paraId="06E38C92" w14:textId="77777777" w:rsidR="003E095D" w:rsidRPr="004D46AC" w:rsidRDefault="003E095D" w:rsidP="00B518F1">
            <w:pPr>
              <w:spacing w:line="240" w:lineRule="auto"/>
              <w:ind w:firstLine="0"/>
            </w:pPr>
            <w:r w:rsidRPr="004D46AC">
              <w:rPr>
                <w:color w:val="000000"/>
              </w:rPr>
              <w:t>TR15--TR21</w:t>
            </w:r>
          </w:p>
        </w:tc>
        <w:tc>
          <w:tcPr>
            <w:tcW w:w="1704" w:type="dxa"/>
            <w:vAlign w:val="center"/>
          </w:tcPr>
          <w:p w14:paraId="62945EAE" w14:textId="77777777" w:rsidR="003E095D" w:rsidRPr="004D46AC" w:rsidRDefault="003E095D" w:rsidP="00B518F1">
            <w:pPr>
              <w:spacing w:line="240" w:lineRule="auto"/>
              <w:ind w:firstLine="0"/>
            </w:pPr>
            <w:r w:rsidRPr="004D46AC">
              <w:rPr>
                <w:color w:val="000000"/>
                <w:szCs w:val="21"/>
              </w:rPr>
              <w:t xml:space="preserve">0.26 </w:t>
            </w:r>
          </w:p>
        </w:tc>
        <w:tc>
          <w:tcPr>
            <w:tcW w:w="1704" w:type="dxa"/>
            <w:vAlign w:val="center"/>
          </w:tcPr>
          <w:p w14:paraId="71012867"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5477E689" w14:textId="77777777" w:rsidR="003E095D" w:rsidRPr="004D46AC" w:rsidRDefault="003E095D" w:rsidP="00B518F1">
            <w:pPr>
              <w:spacing w:line="240" w:lineRule="auto"/>
              <w:ind w:firstLine="0"/>
            </w:pPr>
            <w:r w:rsidRPr="004D46AC">
              <w:rPr>
                <w:color w:val="000000"/>
                <w:szCs w:val="21"/>
              </w:rPr>
              <w:t xml:space="preserve">0.64 </w:t>
            </w:r>
          </w:p>
        </w:tc>
        <w:tc>
          <w:tcPr>
            <w:tcW w:w="1705" w:type="dxa"/>
            <w:vAlign w:val="center"/>
          </w:tcPr>
          <w:p w14:paraId="16D3FDFF" w14:textId="77777777" w:rsidR="003E095D" w:rsidRPr="004D46AC" w:rsidRDefault="003E095D" w:rsidP="00B518F1">
            <w:pPr>
              <w:spacing w:line="240" w:lineRule="auto"/>
              <w:ind w:firstLine="0"/>
            </w:pPr>
            <w:r w:rsidRPr="004D46AC">
              <w:rPr>
                <w:color w:val="000000"/>
                <w:szCs w:val="21"/>
              </w:rPr>
              <w:t xml:space="preserve">0.31 </w:t>
            </w:r>
          </w:p>
        </w:tc>
      </w:tr>
      <w:tr w:rsidR="003E095D" w:rsidRPr="004D46AC" w14:paraId="3605AA71" w14:textId="77777777" w:rsidTr="00B518F1">
        <w:tc>
          <w:tcPr>
            <w:tcW w:w="1704" w:type="dxa"/>
            <w:vAlign w:val="center"/>
          </w:tcPr>
          <w:p w14:paraId="4055455E" w14:textId="77777777" w:rsidR="003E095D" w:rsidRPr="004D46AC" w:rsidRDefault="003E095D" w:rsidP="00B518F1">
            <w:pPr>
              <w:spacing w:line="240" w:lineRule="auto"/>
              <w:ind w:firstLine="0"/>
            </w:pPr>
            <w:r w:rsidRPr="004D46AC">
              <w:rPr>
                <w:color w:val="000000"/>
              </w:rPr>
              <w:t>TR9--TR29</w:t>
            </w:r>
          </w:p>
        </w:tc>
        <w:tc>
          <w:tcPr>
            <w:tcW w:w="1704" w:type="dxa"/>
            <w:vAlign w:val="center"/>
          </w:tcPr>
          <w:p w14:paraId="2252F095" w14:textId="77777777" w:rsidR="003E095D" w:rsidRPr="004D46AC" w:rsidRDefault="003E095D" w:rsidP="00B518F1">
            <w:pPr>
              <w:spacing w:line="240" w:lineRule="auto"/>
              <w:ind w:firstLine="0"/>
            </w:pPr>
            <w:r w:rsidRPr="004D46AC">
              <w:rPr>
                <w:color w:val="000000"/>
                <w:szCs w:val="21"/>
              </w:rPr>
              <w:t xml:space="preserve">0.26 </w:t>
            </w:r>
          </w:p>
        </w:tc>
        <w:tc>
          <w:tcPr>
            <w:tcW w:w="1704" w:type="dxa"/>
            <w:vAlign w:val="center"/>
          </w:tcPr>
          <w:p w14:paraId="62E437E7"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68418676" w14:textId="77777777" w:rsidR="003E095D" w:rsidRPr="004D46AC" w:rsidRDefault="003E095D" w:rsidP="00B518F1">
            <w:pPr>
              <w:spacing w:line="240" w:lineRule="auto"/>
              <w:ind w:firstLine="0"/>
            </w:pPr>
            <w:r w:rsidRPr="004D46AC">
              <w:rPr>
                <w:color w:val="000000"/>
                <w:szCs w:val="21"/>
              </w:rPr>
              <w:t xml:space="preserve">0.71 </w:t>
            </w:r>
          </w:p>
        </w:tc>
        <w:tc>
          <w:tcPr>
            <w:tcW w:w="1705" w:type="dxa"/>
            <w:vAlign w:val="center"/>
          </w:tcPr>
          <w:p w14:paraId="34D04C23" w14:textId="77777777" w:rsidR="003E095D" w:rsidRPr="004D46AC" w:rsidRDefault="003E095D" w:rsidP="00B518F1">
            <w:pPr>
              <w:spacing w:line="240" w:lineRule="auto"/>
              <w:ind w:firstLine="0"/>
            </w:pPr>
            <w:r w:rsidRPr="004D46AC">
              <w:rPr>
                <w:color w:val="000000"/>
                <w:szCs w:val="21"/>
              </w:rPr>
              <w:t xml:space="preserve">0.19 </w:t>
            </w:r>
          </w:p>
        </w:tc>
      </w:tr>
      <w:tr w:rsidR="003E095D" w:rsidRPr="004D46AC" w14:paraId="22E9B543" w14:textId="77777777" w:rsidTr="00B518F1">
        <w:tc>
          <w:tcPr>
            <w:tcW w:w="1704" w:type="dxa"/>
            <w:vAlign w:val="center"/>
          </w:tcPr>
          <w:p w14:paraId="12686EB8" w14:textId="77777777" w:rsidR="003E095D" w:rsidRPr="004D46AC" w:rsidRDefault="003E095D" w:rsidP="00B518F1">
            <w:pPr>
              <w:spacing w:line="240" w:lineRule="auto"/>
              <w:ind w:firstLine="0"/>
            </w:pPr>
            <w:r w:rsidRPr="004D46AC">
              <w:rPr>
                <w:color w:val="000000"/>
              </w:rPr>
              <w:t>TR17--TR22</w:t>
            </w:r>
          </w:p>
        </w:tc>
        <w:tc>
          <w:tcPr>
            <w:tcW w:w="1704" w:type="dxa"/>
            <w:vAlign w:val="center"/>
          </w:tcPr>
          <w:p w14:paraId="4B6C4F20" w14:textId="77777777" w:rsidR="003E095D" w:rsidRPr="004D46AC" w:rsidRDefault="003E095D" w:rsidP="00B518F1">
            <w:pPr>
              <w:spacing w:line="240" w:lineRule="auto"/>
              <w:ind w:firstLine="0"/>
            </w:pPr>
            <w:r w:rsidRPr="004D46AC">
              <w:rPr>
                <w:color w:val="000000"/>
                <w:szCs w:val="21"/>
              </w:rPr>
              <w:t xml:space="preserve">0.26 </w:t>
            </w:r>
          </w:p>
        </w:tc>
        <w:tc>
          <w:tcPr>
            <w:tcW w:w="1704" w:type="dxa"/>
            <w:vAlign w:val="center"/>
          </w:tcPr>
          <w:p w14:paraId="15246701"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309045D0" w14:textId="77777777" w:rsidR="003E095D" w:rsidRPr="004D46AC" w:rsidRDefault="003E095D" w:rsidP="00B518F1">
            <w:pPr>
              <w:spacing w:line="240" w:lineRule="auto"/>
              <w:ind w:firstLine="0"/>
            </w:pPr>
            <w:r w:rsidRPr="004D46AC">
              <w:rPr>
                <w:color w:val="000000"/>
                <w:szCs w:val="21"/>
              </w:rPr>
              <w:t xml:space="preserve">0.63 </w:t>
            </w:r>
          </w:p>
        </w:tc>
        <w:tc>
          <w:tcPr>
            <w:tcW w:w="1705" w:type="dxa"/>
            <w:vAlign w:val="center"/>
          </w:tcPr>
          <w:p w14:paraId="29D31C19" w14:textId="77777777" w:rsidR="003E095D" w:rsidRPr="004D46AC" w:rsidRDefault="003E095D" w:rsidP="00B518F1">
            <w:pPr>
              <w:spacing w:line="240" w:lineRule="auto"/>
              <w:ind w:firstLine="0"/>
            </w:pPr>
            <w:r w:rsidRPr="004D46AC">
              <w:rPr>
                <w:color w:val="000000"/>
                <w:szCs w:val="21"/>
              </w:rPr>
              <w:t xml:space="preserve">0.42 </w:t>
            </w:r>
          </w:p>
        </w:tc>
      </w:tr>
      <w:tr w:rsidR="003E095D" w:rsidRPr="004D46AC" w14:paraId="67522315" w14:textId="77777777" w:rsidTr="00B518F1">
        <w:tc>
          <w:tcPr>
            <w:tcW w:w="1704" w:type="dxa"/>
            <w:vAlign w:val="center"/>
          </w:tcPr>
          <w:p w14:paraId="7ADB9E6F" w14:textId="77777777" w:rsidR="003E095D" w:rsidRPr="004D46AC" w:rsidRDefault="003E095D" w:rsidP="00B518F1">
            <w:pPr>
              <w:spacing w:line="240" w:lineRule="auto"/>
              <w:ind w:firstLine="0"/>
            </w:pPr>
            <w:r w:rsidRPr="004D46AC">
              <w:rPr>
                <w:color w:val="000000"/>
              </w:rPr>
              <w:t>TR18--TR33</w:t>
            </w:r>
          </w:p>
        </w:tc>
        <w:tc>
          <w:tcPr>
            <w:tcW w:w="1704" w:type="dxa"/>
            <w:vAlign w:val="center"/>
          </w:tcPr>
          <w:p w14:paraId="5659F305" w14:textId="77777777" w:rsidR="003E095D" w:rsidRPr="004D46AC" w:rsidRDefault="003E095D" w:rsidP="00B518F1">
            <w:pPr>
              <w:spacing w:line="240" w:lineRule="auto"/>
              <w:ind w:firstLine="0"/>
            </w:pPr>
            <w:r w:rsidRPr="004D46AC">
              <w:rPr>
                <w:color w:val="000000"/>
                <w:szCs w:val="21"/>
              </w:rPr>
              <w:t xml:space="preserve">0.25 </w:t>
            </w:r>
          </w:p>
        </w:tc>
        <w:tc>
          <w:tcPr>
            <w:tcW w:w="1704" w:type="dxa"/>
            <w:vAlign w:val="center"/>
          </w:tcPr>
          <w:p w14:paraId="53CCF9D5"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7999333F" w14:textId="77777777" w:rsidR="003E095D" w:rsidRPr="004D46AC" w:rsidRDefault="003E095D" w:rsidP="00B518F1">
            <w:pPr>
              <w:spacing w:line="240" w:lineRule="auto"/>
              <w:ind w:firstLine="0"/>
            </w:pPr>
            <w:r w:rsidRPr="004D46AC">
              <w:rPr>
                <w:color w:val="000000"/>
                <w:szCs w:val="21"/>
              </w:rPr>
              <w:t xml:space="preserve">0.68 </w:t>
            </w:r>
          </w:p>
        </w:tc>
        <w:tc>
          <w:tcPr>
            <w:tcW w:w="1705" w:type="dxa"/>
            <w:vAlign w:val="center"/>
          </w:tcPr>
          <w:p w14:paraId="054FF40C" w14:textId="77777777" w:rsidR="003E095D" w:rsidRPr="004D46AC" w:rsidRDefault="003E095D" w:rsidP="00B518F1">
            <w:pPr>
              <w:spacing w:line="240" w:lineRule="auto"/>
              <w:ind w:firstLine="0"/>
            </w:pPr>
            <w:r w:rsidRPr="004D46AC">
              <w:rPr>
                <w:color w:val="000000"/>
                <w:szCs w:val="21"/>
              </w:rPr>
              <w:t xml:space="preserve">0.24 </w:t>
            </w:r>
          </w:p>
        </w:tc>
      </w:tr>
      <w:tr w:rsidR="003E095D" w:rsidRPr="004D46AC" w14:paraId="5757C678" w14:textId="77777777" w:rsidTr="00B518F1">
        <w:tc>
          <w:tcPr>
            <w:tcW w:w="1704" w:type="dxa"/>
            <w:vAlign w:val="center"/>
          </w:tcPr>
          <w:p w14:paraId="5518DBB5" w14:textId="77777777" w:rsidR="003E095D" w:rsidRPr="004D46AC" w:rsidRDefault="003E095D" w:rsidP="00B518F1">
            <w:pPr>
              <w:spacing w:line="240" w:lineRule="auto"/>
              <w:ind w:firstLine="0"/>
            </w:pPr>
            <w:r w:rsidRPr="004D46AC">
              <w:rPr>
                <w:color w:val="000000"/>
              </w:rPr>
              <w:t>TR3--TR37</w:t>
            </w:r>
          </w:p>
        </w:tc>
        <w:tc>
          <w:tcPr>
            <w:tcW w:w="1704" w:type="dxa"/>
            <w:vAlign w:val="center"/>
          </w:tcPr>
          <w:p w14:paraId="35B18AFE" w14:textId="77777777" w:rsidR="003E095D" w:rsidRPr="004D46AC" w:rsidRDefault="003E095D" w:rsidP="00B518F1">
            <w:pPr>
              <w:spacing w:line="240" w:lineRule="auto"/>
              <w:ind w:firstLine="0"/>
            </w:pPr>
            <w:r w:rsidRPr="004D46AC">
              <w:rPr>
                <w:color w:val="000000"/>
                <w:szCs w:val="21"/>
              </w:rPr>
              <w:t xml:space="preserve">0.25 </w:t>
            </w:r>
          </w:p>
        </w:tc>
        <w:tc>
          <w:tcPr>
            <w:tcW w:w="1704" w:type="dxa"/>
            <w:vAlign w:val="center"/>
          </w:tcPr>
          <w:p w14:paraId="772DFCC0"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3A4640B8" w14:textId="77777777" w:rsidR="003E095D" w:rsidRPr="004D46AC" w:rsidRDefault="003E095D" w:rsidP="00B518F1">
            <w:pPr>
              <w:spacing w:line="240" w:lineRule="auto"/>
              <w:ind w:firstLine="0"/>
            </w:pPr>
            <w:r w:rsidRPr="004D46AC">
              <w:rPr>
                <w:color w:val="000000"/>
                <w:szCs w:val="21"/>
              </w:rPr>
              <w:t xml:space="preserve">0.63 </w:t>
            </w:r>
          </w:p>
        </w:tc>
        <w:tc>
          <w:tcPr>
            <w:tcW w:w="1705" w:type="dxa"/>
            <w:vAlign w:val="center"/>
          </w:tcPr>
          <w:p w14:paraId="342DAD22" w14:textId="77777777" w:rsidR="003E095D" w:rsidRPr="004D46AC" w:rsidRDefault="003E095D" w:rsidP="00B518F1">
            <w:pPr>
              <w:spacing w:line="240" w:lineRule="auto"/>
              <w:ind w:firstLine="0"/>
            </w:pPr>
            <w:r w:rsidRPr="004D46AC">
              <w:rPr>
                <w:color w:val="000000"/>
                <w:szCs w:val="21"/>
              </w:rPr>
              <w:t xml:space="preserve">0.47 </w:t>
            </w:r>
          </w:p>
        </w:tc>
      </w:tr>
      <w:tr w:rsidR="003E095D" w:rsidRPr="004D46AC" w14:paraId="5AD7664C" w14:textId="77777777" w:rsidTr="00B518F1">
        <w:tc>
          <w:tcPr>
            <w:tcW w:w="1704" w:type="dxa"/>
            <w:vAlign w:val="center"/>
          </w:tcPr>
          <w:p w14:paraId="5D65D09E" w14:textId="77777777" w:rsidR="003E095D" w:rsidRPr="004D46AC" w:rsidRDefault="003E095D" w:rsidP="00B518F1">
            <w:pPr>
              <w:spacing w:line="240" w:lineRule="auto"/>
              <w:ind w:firstLine="0"/>
            </w:pPr>
            <w:r w:rsidRPr="004D46AC">
              <w:rPr>
                <w:color w:val="000000"/>
              </w:rPr>
              <w:t>TR18--TR25</w:t>
            </w:r>
          </w:p>
        </w:tc>
        <w:tc>
          <w:tcPr>
            <w:tcW w:w="1704" w:type="dxa"/>
            <w:vAlign w:val="center"/>
          </w:tcPr>
          <w:p w14:paraId="2601343D" w14:textId="77777777" w:rsidR="003E095D" w:rsidRPr="004D46AC" w:rsidRDefault="003E095D" w:rsidP="00B518F1">
            <w:pPr>
              <w:spacing w:line="240" w:lineRule="auto"/>
              <w:ind w:firstLine="0"/>
            </w:pPr>
            <w:r w:rsidRPr="004D46AC">
              <w:rPr>
                <w:color w:val="000000"/>
                <w:szCs w:val="21"/>
              </w:rPr>
              <w:t xml:space="preserve">0.24 </w:t>
            </w:r>
          </w:p>
        </w:tc>
        <w:tc>
          <w:tcPr>
            <w:tcW w:w="1704" w:type="dxa"/>
            <w:vAlign w:val="center"/>
          </w:tcPr>
          <w:p w14:paraId="173DBEC9"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36CCE875" w14:textId="77777777" w:rsidR="003E095D" w:rsidRPr="004D46AC" w:rsidRDefault="003E095D" w:rsidP="00B518F1">
            <w:pPr>
              <w:spacing w:line="240" w:lineRule="auto"/>
              <w:ind w:firstLine="0"/>
            </w:pPr>
            <w:r w:rsidRPr="004D46AC">
              <w:rPr>
                <w:color w:val="000000"/>
                <w:szCs w:val="21"/>
              </w:rPr>
              <w:t xml:space="preserve">0.68 </w:t>
            </w:r>
          </w:p>
        </w:tc>
        <w:tc>
          <w:tcPr>
            <w:tcW w:w="1705" w:type="dxa"/>
            <w:vAlign w:val="center"/>
          </w:tcPr>
          <w:p w14:paraId="6DFE9642" w14:textId="77777777" w:rsidR="003E095D" w:rsidRPr="004D46AC" w:rsidRDefault="003E095D" w:rsidP="00B518F1">
            <w:pPr>
              <w:spacing w:line="240" w:lineRule="auto"/>
              <w:ind w:firstLine="0"/>
            </w:pPr>
            <w:r w:rsidRPr="004D46AC">
              <w:rPr>
                <w:color w:val="000000"/>
                <w:szCs w:val="21"/>
              </w:rPr>
              <w:t xml:space="preserve">0.26 </w:t>
            </w:r>
          </w:p>
        </w:tc>
      </w:tr>
      <w:tr w:rsidR="003E095D" w:rsidRPr="004D46AC" w14:paraId="36C8CD0C" w14:textId="77777777" w:rsidTr="00B518F1">
        <w:tc>
          <w:tcPr>
            <w:tcW w:w="1704" w:type="dxa"/>
            <w:vAlign w:val="center"/>
          </w:tcPr>
          <w:p w14:paraId="147C696C" w14:textId="77777777" w:rsidR="003E095D" w:rsidRPr="004D46AC" w:rsidRDefault="003E095D" w:rsidP="00B518F1">
            <w:pPr>
              <w:spacing w:line="240" w:lineRule="auto"/>
              <w:ind w:firstLine="0"/>
            </w:pPr>
            <w:r w:rsidRPr="004D46AC">
              <w:rPr>
                <w:color w:val="000000"/>
              </w:rPr>
              <w:t>TR27--TR30</w:t>
            </w:r>
          </w:p>
        </w:tc>
        <w:tc>
          <w:tcPr>
            <w:tcW w:w="1704" w:type="dxa"/>
            <w:vAlign w:val="center"/>
          </w:tcPr>
          <w:p w14:paraId="03E518B9" w14:textId="77777777" w:rsidR="003E095D" w:rsidRPr="004D46AC" w:rsidRDefault="003E095D" w:rsidP="00B518F1">
            <w:pPr>
              <w:spacing w:line="240" w:lineRule="auto"/>
              <w:ind w:firstLine="0"/>
            </w:pPr>
            <w:r w:rsidRPr="004D46AC">
              <w:rPr>
                <w:color w:val="000000"/>
                <w:szCs w:val="21"/>
              </w:rPr>
              <w:t xml:space="preserve">0.24 </w:t>
            </w:r>
          </w:p>
        </w:tc>
        <w:tc>
          <w:tcPr>
            <w:tcW w:w="1704" w:type="dxa"/>
            <w:vAlign w:val="center"/>
          </w:tcPr>
          <w:p w14:paraId="06F22570"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1292DDF5"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2759B02F" w14:textId="77777777" w:rsidR="003E095D" w:rsidRPr="004D46AC" w:rsidRDefault="003E095D" w:rsidP="00B518F1">
            <w:pPr>
              <w:spacing w:line="240" w:lineRule="auto"/>
              <w:ind w:firstLine="0"/>
            </w:pPr>
            <w:r w:rsidRPr="004D46AC">
              <w:rPr>
                <w:color w:val="000000"/>
                <w:szCs w:val="21"/>
              </w:rPr>
              <w:t xml:space="preserve">0.44 </w:t>
            </w:r>
          </w:p>
        </w:tc>
      </w:tr>
      <w:tr w:rsidR="003E095D" w:rsidRPr="004D46AC" w14:paraId="4C7D22F4" w14:textId="77777777" w:rsidTr="00B518F1">
        <w:tc>
          <w:tcPr>
            <w:tcW w:w="1704" w:type="dxa"/>
            <w:vAlign w:val="center"/>
          </w:tcPr>
          <w:p w14:paraId="506F1442" w14:textId="77777777" w:rsidR="003E095D" w:rsidRPr="004D46AC" w:rsidRDefault="003E095D" w:rsidP="00B518F1">
            <w:pPr>
              <w:spacing w:line="240" w:lineRule="auto"/>
              <w:ind w:firstLine="0"/>
            </w:pPr>
            <w:r w:rsidRPr="004D46AC">
              <w:rPr>
                <w:color w:val="000000"/>
              </w:rPr>
              <w:t>TR23--TR9</w:t>
            </w:r>
          </w:p>
        </w:tc>
        <w:tc>
          <w:tcPr>
            <w:tcW w:w="1704" w:type="dxa"/>
            <w:vAlign w:val="center"/>
          </w:tcPr>
          <w:p w14:paraId="50690C15" w14:textId="77777777" w:rsidR="003E095D" w:rsidRPr="004D46AC" w:rsidRDefault="003E095D" w:rsidP="00B518F1">
            <w:pPr>
              <w:spacing w:line="240" w:lineRule="auto"/>
              <w:ind w:firstLine="0"/>
            </w:pPr>
            <w:r w:rsidRPr="004D46AC">
              <w:rPr>
                <w:color w:val="000000"/>
                <w:szCs w:val="21"/>
              </w:rPr>
              <w:t xml:space="preserve">0.24 </w:t>
            </w:r>
          </w:p>
        </w:tc>
        <w:tc>
          <w:tcPr>
            <w:tcW w:w="1704" w:type="dxa"/>
            <w:vAlign w:val="center"/>
          </w:tcPr>
          <w:p w14:paraId="69014EE1"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723BF1FD" w14:textId="77777777" w:rsidR="003E095D" w:rsidRPr="004D46AC" w:rsidRDefault="003E095D" w:rsidP="00B518F1">
            <w:pPr>
              <w:spacing w:line="240" w:lineRule="auto"/>
              <w:ind w:firstLine="0"/>
            </w:pPr>
            <w:r w:rsidRPr="004D46AC">
              <w:rPr>
                <w:color w:val="000000"/>
                <w:szCs w:val="21"/>
              </w:rPr>
              <w:t xml:space="preserve">0.65 </w:t>
            </w:r>
          </w:p>
        </w:tc>
        <w:tc>
          <w:tcPr>
            <w:tcW w:w="1705" w:type="dxa"/>
            <w:vAlign w:val="center"/>
          </w:tcPr>
          <w:p w14:paraId="00BF7877" w14:textId="77777777" w:rsidR="003E095D" w:rsidRPr="004D46AC" w:rsidRDefault="003E095D" w:rsidP="00B518F1">
            <w:pPr>
              <w:spacing w:line="240" w:lineRule="auto"/>
              <w:ind w:firstLine="0"/>
            </w:pPr>
            <w:r w:rsidRPr="004D46AC">
              <w:rPr>
                <w:color w:val="000000"/>
                <w:szCs w:val="21"/>
              </w:rPr>
              <w:t xml:space="preserve">0.36 </w:t>
            </w:r>
          </w:p>
        </w:tc>
      </w:tr>
      <w:tr w:rsidR="003E095D" w:rsidRPr="004D46AC" w14:paraId="6B3C45C1" w14:textId="77777777" w:rsidTr="00B518F1">
        <w:tc>
          <w:tcPr>
            <w:tcW w:w="1704" w:type="dxa"/>
            <w:vAlign w:val="center"/>
          </w:tcPr>
          <w:p w14:paraId="77B2CD8B" w14:textId="77777777" w:rsidR="003E095D" w:rsidRPr="004D46AC" w:rsidRDefault="003E095D" w:rsidP="00B518F1">
            <w:pPr>
              <w:spacing w:line="240" w:lineRule="auto"/>
              <w:ind w:firstLine="0"/>
            </w:pPr>
            <w:r w:rsidRPr="004D46AC">
              <w:rPr>
                <w:color w:val="000000"/>
              </w:rPr>
              <w:t>TR23--TR26</w:t>
            </w:r>
          </w:p>
        </w:tc>
        <w:tc>
          <w:tcPr>
            <w:tcW w:w="1704" w:type="dxa"/>
            <w:vAlign w:val="center"/>
          </w:tcPr>
          <w:p w14:paraId="2184502C" w14:textId="77777777" w:rsidR="003E095D" w:rsidRPr="004D46AC" w:rsidRDefault="003E095D" w:rsidP="00B518F1">
            <w:pPr>
              <w:spacing w:line="240" w:lineRule="auto"/>
              <w:ind w:firstLine="0"/>
            </w:pPr>
            <w:r w:rsidRPr="004D46AC">
              <w:rPr>
                <w:color w:val="000000"/>
                <w:szCs w:val="21"/>
              </w:rPr>
              <w:t xml:space="preserve">0.24 </w:t>
            </w:r>
          </w:p>
        </w:tc>
        <w:tc>
          <w:tcPr>
            <w:tcW w:w="1704" w:type="dxa"/>
            <w:vAlign w:val="center"/>
          </w:tcPr>
          <w:p w14:paraId="6C04796E"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02B35BD0" w14:textId="77777777" w:rsidR="003E095D" w:rsidRPr="004D46AC" w:rsidRDefault="003E095D" w:rsidP="00B518F1">
            <w:pPr>
              <w:spacing w:line="240" w:lineRule="auto"/>
              <w:ind w:firstLine="0"/>
            </w:pPr>
            <w:r w:rsidRPr="004D46AC">
              <w:rPr>
                <w:color w:val="000000"/>
                <w:szCs w:val="21"/>
              </w:rPr>
              <w:t xml:space="preserve">0.62 </w:t>
            </w:r>
          </w:p>
        </w:tc>
        <w:tc>
          <w:tcPr>
            <w:tcW w:w="1705" w:type="dxa"/>
            <w:vAlign w:val="center"/>
          </w:tcPr>
          <w:p w14:paraId="35D5EEF0" w14:textId="77777777" w:rsidR="003E095D" w:rsidRPr="004D46AC" w:rsidRDefault="003E095D" w:rsidP="00B518F1">
            <w:pPr>
              <w:spacing w:line="240" w:lineRule="auto"/>
              <w:ind w:firstLine="0"/>
            </w:pPr>
            <w:r w:rsidRPr="004D46AC">
              <w:rPr>
                <w:color w:val="000000"/>
                <w:szCs w:val="21"/>
              </w:rPr>
              <w:t xml:space="preserve">0.31 </w:t>
            </w:r>
          </w:p>
        </w:tc>
      </w:tr>
      <w:tr w:rsidR="003E095D" w:rsidRPr="004D46AC" w14:paraId="7DC11E16" w14:textId="77777777" w:rsidTr="00B518F1">
        <w:tc>
          <w:tcPr>
            <w:tcW w:w="1704" w:type="dxa"/>
            <w:vAlign w:val="center"/>
          </w:tcPr>
          <w:p w14:paraId="024CE26C" w14:textId="77777777" w:rsidR="003E095D" w:rsidRPr="004D46AC" w:rsidRDefault="003E095D" w:rsidP="00B518F1">
            <w:pPr>
              <w:spacing w:line="240" w:lineRule="auto"/>
              <w:ind w:firstLine="0"/>
            </w:pPr>
            <w:r w:rsidRPr="004D46AC">
              <w:rPr>
                <w:color w:val="000000"/>
              </w:rPr>
              <w:t>TR17--TR16</w:t>
            </w:r>
          </w:p>
        </w:tc>
        <w:tc>
          <w:tcPr>
            <w:tcW w:w="1704" w:type="dxa"/>
            <w:vAlign w:val="center"/>
          </w:tcPr>
          <w:p w14:paraId="5A96EC86" w14:textId="77777777" w:rsidR="003E095D" w:rsidRPr="004D46AC" w:rsidRDefault="003E095D" w:rsidP="00B518F1">
            <w:pPr>
              <w:spacing w:line="240" w:lineRule="auto"/>
              <w:ind w:firstLine="0"/>
            </w:pPr>
            <w:r w:rsidRPr="004D46AC">
              <w:rPr>
                <w:color w:val="000000"/>
                <w:szCs w:val="21"/>
              </w:rPr>
              <w:t xml:space="preserve">0.23 </w:t>
            </w:r>
          </w:p>
        </w:tc>
        <w:tc>
          <w:tcPr>
            <w:tcW w:w="1704" w:type="dxa"/>
            <w:vAlign w:val="center"/>
          </w:tcPr>
          <w:p w14:paraId="6AFCBFB9" w14:textId="77777777" w:rsidR="003E095D" w:rsidRPr="004D46AC" w:rsidRDefault="003E095D" w:rsidP="00B518F1">
            <w:pPr>
              <w:spacing w:line="240" w:lineRule="auto"/>
              <w:ind w:firstLine="0"/>
            </w:pPr>
            <w:r w:rsidRPr="004D46AC">
              <w:rPr>
                <w:color w:val="000000"/>
                <w:szCs w:val="21"/>
              </w:rPr>
              <w:t xml:space="preserve">-0.13 </w:t>
            </w:r>
          </w:p>
        </w:tc>
        <w:tc>
          <w:tcPr>
            <w:tcW w:w="1705" w:type="dxa"/>
            <w:vAlign w:val="center"/>
          </w:tcPr>
          <w:p w14:paraId="7D541463" w14:textId="77777777" w:rsidR="003E095D" w:rsidRPr="004D46AC" w:rsidRDefault="003E095D" w:rsidP="00B518F1">
            <w:pPr>
              <w:spacing w:line="240" w:lineRule="auto"/>
              <w:ind w:firstLine="0"/>
            </w:pPr>
            <w:r w:rsidRPr="004D46AC">
              <w:rPr>
                <w:color w:val="000000"/>
                <w:szCs w:val="21"/>
              </w:rPr>
              <w:t xml:space="preserve">0.60 </w:t>
            </w:r>
          </w:p>
        </w:tc>
        <w:tc>
          <w:tcPr>
            <w:tcW w:w="1705" w:type="dxa"/>
            <w:vAlign w:val="center"/>
          </w:tcPr>
          <w:p w14:paraId="1D9F27A8" w14:textId="77777777" w:rsidR="003E095D" w:rsidRPr="004D46AC" w:rsidRDefault="003E095D" w:rsidP="00B518F1">
            <w:pPr>
              <w:spacing w:line="240" w:lineRule="auto"/>
              <w:ind w:firstLine="0"/>
            </w:pPr>
            <w:r w:rsidRPr="004D46AC">
              <w:rPr>
                <w:color w:val="000000"/>
                <w:szCs w:val="21"/>
              </w:rPr>
              <w:t xml:space="preserve">0.45 </w:t>
            </w:r>
          </w:p>
        </w:tc>
      </w:tr>
      <w:tr w:rsidR="003E095D" w:rsidRPr="004D46AC" w14:paraId="2C38ED30" w14:textId="77777777" w:rsidTr="00B518F1">
        <w:tc>
          <w:tcPr>
            <w:tcW w:w="1704" w:type="dxa"/>
            <w:vAlign w:val="center"/>
          </w:tcPr>
          <w:p w14:paraId="74AC2BD3" w14:textId="77777777" w:rsidR="003E095D" w:rsidRPr="004D46AC" w:rsidRDefault="003E095D" w:rsidP="00B518F1">
            <w:pPr>
              <w:spacing w:line="240" w:lineRule="auto"/>
              <w:ind w:firstLine="0"/>
            </w:pPr>
            <w:r w:rsidRPr="004D46AC">
              <w:rPr>
                <w:color w:val="000000"/>
              </w:rPr>
              <w:t>TR23--TR33</w:t>
            </w:r>
          </w:p>
        </w:tc>
        <w:tc>
          <w:tcPr>
            <w:tcW w:w="1704" w:type="dxa"/>
            <w:vAlign w:val="center"/>
          </w:tcPr>
          <w:p w14:paraId="0C1A24FB" w14:textId="77777777" w:rsidR="003E095D" w:rsidRPr="004D46AC" w:rsidRDefault="003E095D" w:rsidP="00B518F1">
            <w:pPr>
              <w:spacing w:line="240" w:lineRule="auto"/>
              <w:ind w:firstLine="0"/>
            </w:pPr>
            <w:r w:rsidRPr="004D46AC">
              <w:rPr>
                <w:color w:val="000000"/>
                <w:szCs w:val="21"/>
              </w:rPr>
              <w:t xml:space="preserve">0.21 </w:t>
            </w:r>
          </w:p>
        </w:tc>
        <w:tc>
          <w:tcPr>
            <w:tcW w:w="1704" w:type="dxa"/>
            <w:vAlign w:val="center"/>
          </w:tcPr>
          <w:p w14:paraId="6209773D" w14:textId="77777777" w:rsidR="003E095D" w:rsidRPr="004D46AC" w:rsidRDefault="003E095D" w:rsidP="00B518F1">
            <w:pPr>
              <w:spacing w:line="240" w:lineRule="auto"/>
              <w:ind w:firstLine="0"/>
            </w:pPr>
            <w:r w:rsidRPr="004D46AC">
              <w:rPr>
                <w:color w:val="000000"/>
                <w:szCs w:val="21"/>
              </w:rPr>
              <w:t xml:space="preserve">-0.17 </w:t>
            </w:r>
          </w:p>
        </w:tc>
        <w:tc>
          <w:tcPr>
            <w:tcW w:w="1705" w:type="dxa"/>
            <w:vAlign w:val="center"/>
          </w:tcPr>
          <w:p w14:paraId="203058FF" w14:textId="77777777" w:rsidR="003E095D" w:rsidRPr="004D46AC" w:rsidRDefault="003E095D" w:rsidP="00B518F1">
            <w:pPr>
              <w:spacing w:line="240" w:lineRule="auto"/>
              <w:ind w:firstLine="0"/>
            </w:pPr>
            <w:r w:rsidRPr="004D46AC">
              <w:rPr>
                <w:color w:val="000000"/>
                <w:szCs w:val="21"/>
              </w:rPr>
              <w:t xml:space="preserve">0.59 </w:t>
            </w:r>
          </w:p>
        </w:tc>
        <w:tc>
          <w:tcPr>
            <w:tcW w:w="1705" w:type="dxa"/>
            <w:vAlign w:val="center"/>
          </w:tcPr>
          <w:p w14:paraId="79D2EF72" w14:textId="77777777" w:rsidR="003E095D" w:rsidRPr="004D46AC" w:rsidRDefault="003E095D" w:rsidP="00B518F1">
            <w:pPr>
              <w:spacing w:line="240" w:lineRule="auto"/>
              <w:ind w:firstLine="0"/>
            </w:pPr>
            <w:r w:rsidRPr="004D46AC">
              <w:rPr>
                <w:color w:val="000000"/>
                <w:szCs w:val="21"/>
              </w:rPr>
              <w:t xml:space="preserve">0.49 </w:t>
            </w:r>
          </w:p>
        </w:tc>
      </w:tr>
      <w:tr w:rsidR="003E095D" w:rsidRPr="004D46AC" w14:paraId="3EB052FD" w14:textId="77777777" w:rsidTr="00B518F1">
        <w:tc>
          <w:tcPr>
            <w:tcW w:w="1704" w:type="dxa"/>
            <w:vAlign w:val="center"/>
          </w:tcPr>
          <w:p w14:paraId="1EF01F2F" w14:textId="77777777" w:rsidR="003E095D" w:rsidRPr="004D46AC" w:rsidRDefault="003E095D" w:rsidP="00B518F1">
            <w:pPr>
              <w:spacing w:line="240" w:lineRule="auto"/>
              <w:ind w:firstLine="0"/>
            </w:pPr>
            <w:r w:rsidRPr="004D46AC">
              <w:rPr>
                <w:color w:val="000000"/>
              </w:rPr>
              <w:t>TR6--TR17</w:t>
            </w:r>
          </w:p>
        </w:tc>
        <w:tc>
          <w:tcPr>
            <w:tcW w:w="1704" w:type="dxa"/>
            <w:vAlign w:val="center"/>
          </w:tcPr>
          <w:p w14:paraId="7CE91241" w14:textId="77777777" w:rsidR="003E095D" w:rsidRPr="004D46AC" w:rsidRDefault="003E095D" w:rsidP="00B518F1">
            <w:pPr>
              <w:spacing w:line="240" w:lineRule="auto"/>
              <w:ind w:firstLine="0"/>
            </w:pPr>
            <w:r w:rsidRPr="004D46AC">
              <w:rPr>
                <w:color w:val="000000"/>
                <w:szCs w:val="21"/>
              </w:rPr>
              <w:t xml:space="preserve">0.21 </w:t>
            </w:r>
          </w:p>
        </w:tc>
        <w:tc>
          <w:tcPr>
            <w:tcW w:w="1704" w:type="dxa"/>
            <w:vAlign w:val="center"/>
          </w:tcPr>
          <w:p w14:paraId="146E530F"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67751B46" w14:textId="77777777" w:rsidR="003E095D" w:rsidRPr="004D46AC" w:rsidRDefault="003E095D" w:rsidP="00B518F1">
            <w:pPr>
              <w:spacing w:line="240" w:lineRule="auto"/>
              <w:ind w:firstLine="0"/>
            </w:pPr>
            <w:r w:rsidRPr="004D46AC">
              <w:rPr>
                <w:color w:val="000000"/>
                <w:szCs w:val="21"/>
              </w:rPr>
              <w:t xml:space="preserve">0.57 </w:t>
            </w:r>
          </w:p>
        </w:tc>
        <w:tc>
          <w:tcPr>
            <w:tcW w:w="1705" w:type="dxa"/>
            <w:vAlign w:val="center"/>
          </w:tcPr>
          <w:p w14:paraId="12A42872" w14:textId="77777777" w:rsidR="003E095D" w:rsidRPr="004D46AC" w:rsidRDefault="003E095D" w:rsidP="00B518F1">
            <w:pPr>
              <w:spacing w:line="240" w:lineRule="auto"/>
              <w:ind w:firstLine="0"/>
            </w:pPr>
            <w:r w:rsidRPr="004D46AC">
              <w:rPr>
                <w:color w:val="000000"/>
                <w:szCs w:val="21"/>
              </w:rPr>
              <w:t xml:space="preserve">0.35 </w:t>
            </w:r>
          </w:p>
        </w:tc>
      </w:tr>
      <w:tr w:rsidR="003E095D" w:rsidRPr="004D46AC" w14:paraId="397D32D6" w14:textId="77777777" w:rsidTr="00B518F1">
        <w:tc>
          <w:tcPr>
            <w:tcW w:w="1704" w:type="dxa"/>
            <w:vAlign w:val="center"/>
          </w:tcPr>
          <w:p w14:paraId="0D6C88E2" w14:textId="77777777" w:rsidR="003E095D" w:rsidRPr="004D46AC" w:rsidRDefault="003E095D" w:rsidP="00B518F1">
            <w:pPr>
              <w:spacing w:line="240" w:lineRule="auto"/>
              <w:ind w:firstLine="0"/>
            </w:pPr>
            <w:r w:rsidRPr="004D46AC">
              <w:rPr>
                <w:color w:val="000000"/>
              </w:rPr>
              <w:t>TR21--TR13</w:t>
            </w:r>
          </w:p>
        </w:tc>
        <w:tc>
          <w:tcPr>
            <w:tcW w:w="1704" w:type="dxa"/>
            <w:vAlign w:val="center"/>
          </w:tcPr>
          <w:p w14:paraId="17CBF8D5" w14:textId="77777777" w:rsidR="003E095D" w:rsidRPr="004D46AC" w:rsidRDefault="003E095D" w:rsidP="00B518F1">
            <w:pPr>
              <w:spacing w:line="240" w:lineRule="auto"/>
              <w:ind w:firstLine="0"/>
            </w:pPr>
            <w:r w:rsidRPr="004D46AC">
              <w:rPr>
                <w:color w:val="000000"/>
                <w:szCs w:val="21"/>
              </w:rPr>
              <w:t xml:space="preserve">0.20 </w:t>
            </w:r>
          </w:p>
        </w:tc>
        <w:tc>
          <w:tcPr>
            <w:tcW w:w="1704" w:type="dxa"/>
            <w:vAlign w:val="center"/>
          </w:tcPr>
          <w:p w14:paraId="0715B5BC" w14:textId="77777777" w:rsidR="003E095D" w:rsidRPr="004D46AC" w:rsidRDefault="003E095D" w:rsidP="00B518F1">
            <w:pPr>
              <w:spacing w:line="240" w:lineRule="auto"/>
              <w:ind w:firstLine="0"/>
            </w:pPr>
            <w:r w:rsidRPr="004D46AC">
              <w:rPr>
                <w:color w:val="000000"/>
                <w:szCs w:val="21"/>
              </w:rPr>
              <w:t xml:space="preserve">-0.14 </w:t>
            </w:r>
          </w:p>
        </w:tc>
        <w:tc>
          <w:tcPr>
            <w:tcW w:w="1705" w:type="dxa"/>
            <w:vAlign w:val="center"/>
          </w:tcPr>
          <w:p w14:paraId="66E9A32B" w14:textId="77777777" w:rsidR="003E095D" w:rsidRPr="004D46AC" w:rsidRDefault="003E095D" w:rsidP="00B518F1">
            <w:pPr>
              <w:spacing w:line="240" w:lineRule="auto"/>
              <w:ind w:firstLine="0"/>
            </w:pPr>
            <w:r w:rsidRPr="004D46AC">
              <w:rPr>
                <w:color w:val="000000"/>
                <w:szCs w:val="21"/>
              </w:rPr>
              <w:t xml:space="preserve">0.55 </w:t>
            </w:r>
          </w:p>
        </w:tc>
        <w:tc>
          <w:tcPr>
            <w:tcW w:w="1705" w:type="dxa"/>
            <w:vAlign w:val="center"/>
          </w:tcPr>
          <w:p w14:paraId="2C259977" w14:textId="77777777" w:rsidR="003E095D" w:rsidRPr="004D46AC" w:rsidRDefault="003E095D" w:rsidP="00B518F1">
            <w:pPr>
              <w:spacing w:line="240" w:lineRule="auto"/>
              <w:ind w:firstLine="0"/>
            </w:pPr>
            <w:r w:rsidRPr="004D46AC">
              <w:rPr>
                <w:color w:val="000000"/>
                <w:szCs w:val="21"/>
              </w:rPr>
              <w:t xml:space="preserve">0.38 </w:t>
            </w:r>
          </w:p>
        </w:tc>
      </w:tr>
      <w:tr w:rsidR="003E095D" w:rsidRPr="004D46AC" w14:paraId="3112AA7B" w14:textId="77777777" w:rsidTr="00B518F1">
        <w:tc>
          <w:tcPr>
            <w:tcW w:w="1704" w:type="dxa"/>
            <w:vAlign w:val="center"/>
          </w:tcPr>
          <w:p w14:paraId="131415F5" w14:textId="77777777" w:rsidR="003E095D" w:rsidRPr="004D46AC" w:rsidRDefault="003E095D" w:rsidP="00B518F1">
            <w:pPr>
              <w:spacing w:line="240" w:lineRule="auto"/>
              <w:ind w:firstLine="0"/>
            </w:pPr>
            <w:r w:rsidRPr="004D46AC">
              <w:rPr>
                <w:color w:val="000000"/>
              </w:rPr>
              <w:t>TR30--TR22</w:t>
            </w:r>
          </w:p>
        </w:tc>
        <w:tc>
          <w:tcPr>
            <w:tcW w:w="1704" w:type="dxa"/>
            <w:vAlign w:val="center"/>
          </w:tcPr>
          <w:p w14:paraId="049B2628" w14:textId="77777777" w:rsidR="003E095D" w:rsidRPr="004D46AC" w:rsidRDefault="003E095D" w:rsidP="00B518F1">
            <w:pPr>
              <w:spacing w:line="240" w:lineRule="auto"/>
              <w:ind w:firstLine="0"/>
            </w:pPr>
            <w:r w:rsidRPr="004D46AC">
              <w:rPr>
                <w:color w:val="000000"/>
                <w:szCs w:val="21"/>
              </w:rPr>
              <w:t xml:space="preserve">0.20 </w:t>
            </w:r>
          </w:p>
        </w:tc>
        <w:tc>
          <w:tcPr>
            <w:tcW w:w="1704" w:type="dxa"/>
            <w:vAlign w:val="center"/>
          </w:tcPr>
          <w:p w14:paraId="4F139151" w14:textId="77777777" w:rsidR="003E095D" w:rsidRPr="004D46AC" w:rsidRDefault="003E095D" w:rsidP="00B518F1">
            <w:pPr>
              <w:spacing w:line="240" w:lineRule="auto"/>
              <w:ind w:firstLine="0"/>
            </w:pPr>
            <w:r w:rsidRPr="004D46AC">
              <w:rPr>
                <w:color w:val="000000"/>
                <w:szCs w:val="21"/>
              </w:rPr>
              <w:t xml:space="preserve">-0.16 </w:t>
            </w:r>
          </w:p>
        </w:tc>
        <w:tc>
          <w:tcPr>
            <w:tcW w:w="1705" w:type="dxa"/>
            <w:vAlign w:val="center"/>
          </w:tcPr>
          <w:p w14:paraId="3CBAA086" w14:textId="77777777" w:rsidR="003E095D" w:rsidRPr="004D46AC" w:rsidRDefault="003E095D" w:rsidP="00B518F1">
            <w:pPr>
              <w:spacing w:line="240" w:lineRule="auto"/>
              <w:ind w:firstLine="0"/>
            </w:pPr>
            <w:r w:rsidRPr="004D46AC">
              <w:rPr>
                <w:color w:val="000000"/>
                <w:szCs w:val="21"/>
              </w:rPr>
              <w:t xml:space="preserve">0.55 </w:t>
            </w:r>
          </w:p>
        </w:tc>
        <w:tc>
          <w:tcPr>
            <w:tcW w:w="1705" w:type="dxa"/>
            <w:vAlign w:val="center"/>
          </w:tcPr>
          <w:p w14:paraId="5EAD1530" w14:textId="77777777" w:rsidR="003E095D" w:rsidRPr="004D46AC" w:rsidRDefault="003E095D" w:rsidP="00B518F1">
            <w:pPr>
              <w:spacing w:line="240" w:lineRule="auto"/>
              <w:ind w:firstLine="0"/>
            </w:pPr>
            <w:r w:rsidRPr="004D46AC">
              <w:rPr>
                <w:color w:val="000000"/>
                <w:szCs w:val="21"/>
              </w:rPr>
              <w:t xml:space="preserve">0.44 </w:t>
            </w:r>
          </w:p>
        </w:tc>
      </w:tr>
      <w:tr w:rsidR="003E095D" w:rsidRPr="004D46AC" w14:paraId="2D908779" w14:textId="77777777" w:rsidTr="00B518F1">
        <w:tc>
          <w:tcPr>
            <w:tcW w:w="1704" w:type="dxa"/>
            <w:vAlign w:val="center"/>
          </w:tcPr>
          <w:p w14:paraId="3422F492" w14:textId="77777777" w:rsidR="003E095D" w:rsidRPr="004D46AC" w:rsidRDefault="003E095D" w:rsidP="00B518F1">
            <w:pPr>
              <w:spacing w:line="240" w:lineRule="auto"/>
              <w:ind w:firstLine="0"/>
            </w:pPr>
            <w:r w:rsidRPr="004D46AC">
              <w:rPr>
                <w:color w:val="000000"/>
              </w:rPr>
              <w:t>TR3--TR34</w:t>
            </w:r>
          </w:p>
        </w:tc>
        <w:tc>
          <w:tcPr>
            <w:tcW w:w="1704" w:type="dxa"/>
            <w:vAlign w:val="center"/>
          </w:tcPr>
          <w:p w14:paraId="3C0D4E3F" w14:textId="77777777" w:rsidR="003E095D" w:rsidRPr="004D46AC" w:rsidRDefault="003E095D" w:rsidP="00B518F1">
            <w:pPr>
              <w:spacing w:line="240" w:lineRule="auto"/>
              <w:ind w:firstLine="0"/>
            </w:pPr>
            <w:r w:rsidRPr="004D46AC">
              <w:rPr>
                <w:color w:val="000000"/>
                <w:szCs w:val="21"/>
              </w:rPr>
              <w:t xml:space="preserve">0.20 </w:t>
            </w:r>
          </w:p>
        </w:tc>
        <w:tc>
          <w:tcPr>
            <w:tcW w:w="1704" w:type="dxa"/>
            <w:vAlign w:val="center"/>
          </w:tcPr>
          <w:p w14:paraId="657F8C1E" w14:textId="77777777" w:rsidR="003E095D" w:rsidRPr="004D46AC" w:rsidRDefault="003E095D" w:rsidP="00B518F1">
            <w:pPr>
              <w:spacing w:line="240" w:lineRule="auto"/>
              <w:ind w:firstLine="0"/>
            </w:pPr>
            <w:r w:rsidRPr="004D46AC">
              <w:rPr>
                <w:color w:val="000000"/>
                <w:szCs w:val="21"/>
              </w:rPr>
              <w:t xml:space="preserve">-0.17 </w:t>
            </w:r>
          </w:p>
        </w:tc>
        <w:tc>
          <w:tcPr>
            <w:tcW w:w="1705" w:type="dxa"/>
            <w:vAlign w:val="center"/>
          </w:tcPr>
          <w:p w14:paraId="692F54CE" w14:textId="77777777" w:rsidR="003E095D" w:rsidRPr="004D46AC" w:rsidRDefault="003E095D" w:rsidP="00B518F1">
            <w:pPr>
              <w:spacing w:line="240" w:lineRule="auto"/>
              <w:ind w:firstLine="0"/>
            </w:pPr>
            <w:r w:rsidRPr="004D46AC">
              <w:rPr>
                <w:color w:val="000000"/>
                <w:szCs w:val="21"/>
              </w:rPr>
              <w:t xml:space="preserve">0.56 </w:t>
            </w:r>
          </w:p>
        </w:tc>
        <w:tc>
          <w:tcPr>
            <w:tcW w:w="1705" w:type="dxa"/>
            <w:vAlign w:val="center"/>
          </w:tcPr>
          <w:p w14:paraId="57D550FB" w14:textId="77777777" w:rsidR="003E095D" w:rsidRPr="004D46AC" w:rsidRDefault="003E095D" w:rsidP="00B518F1">
            <w:pPr>
              <w:spacing w:line="240" w:lineRule="auto"/>
              <w:ind w:firstLine="0"/>
            </w:pPr>
            <w:r w:rsidRPr="004D46AC">
              <w:rPr>
                <w:color w:val="000000"/>
                <w:szCs w:val="21"/>
              </w:rPr>
              <w:t xml:space="preserve">0.52 </w:t>
            </w:r>
          </w:p>
        </w:tc>
      </w:tr>
      <w:tr w:rsidR="003E095D" w:rsidRPr="004D46AC" w14:paraId="5D3F98C2" w14:textId="77777777" w:rsidTr="00B518F1">
        <w:tc>
          <w:tcPr>
            <w:tcW w:w="1704" w:type="dxa"/>
            <w:vAlign w:val="center"/>
          </w:tcPr>
          <w:p w14:paraId="1CAA0214" w14:textId="77777777" w:rsidR="003E095D" w:rsidRPr="004D46AC" w:rsidRDefault="003E095D" w:rsidP="00B518F1">
            <w:pPr>
              <w:spacing w:line="240" w:lineRule="auto"/>
              <w:ind w:firstLine="0"/>
            </w:pPr>
            <w:r w:rsidRPr="004D46AC">
              <w:rPr>
                <w:color w:val="000000"/>
              </w:rPr>
              <w:t>TR18--TR22</w:t>
            </w:r>
          </w:p>
        </w:tc>
        <w:tc>
          <w:tcPr>
            <w:tcW w:w="1704" w:type="dxa"/>
            <w:vAlign w:val="center"/>
          </w:tcPr>
          <w:p w14:paraId="411E79EE" w14:textId="77777777" w:rsidR="003E095D" w:rsidRPr="004D46AC" w:rsidRDefault="003E095D" w:rsidP="00B518F1">
            <w:pPr>
              <w:spacing w:line="240" w:lineRule="auto"/>
              <w:ind w:firstLine="0"/>
            </w:pPr>
            <w:r w:rsidRPr="004D46AC">
              <w:rPr>
                <w:color w:val="000000"/>
                <w:szCs w:val="21"/>
              </w:rPr>
              <w:t xml:space="preserve">0.19 </w:t>
            </w:r>
          </w:p>
        </w:tc>
        <w:tc>
          <w:tcPr>
            <w:tcW w:w="1704" w:type="dxa"/>
            <w:vAlign w:val="center"/>
          </w:tcPr>
          <w:p w14:paraId="49386FEF"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152B00D0" w14:textId="77777777" w:rsidR="003E095D" w:rsidRPr="004D46AC" w:rsidRDefault="003E095D" w:rsidP="00B518F1">
            <w:pPr>
              <w:spacing w:line="240" w:lineRule="auto"/>
              <w:ind w:firstLine="0"/>
            </w:pPr>
            <w:r w:rsidRPr="004D46AC">
              <w:rPr>
                <w:color w:val="000000"/>
                <w:szCs w:val="21"/>
              </w:rPr>
              <w:t xml:space="preserve">0.61 </w:t>
            </w:r>
          </w:p>
        </w:tc>
        <w:tc>
          <w:tcPr>
            <w:tcW w:w="1705" w:type="dxa"/>
            <w:vAlign w:val="center"/>
          </w:tcPr>
          <w:p w14:paraId="2DCAEF00" w14:textId="77777777" w:rsidR="003E095D" w:rsidRPr="004D46AC" w:rsidRDefault="003E095D" w:rsidP="00B518F1">
            <w:pPr>
              <w:spacing w:line="240" w:lineRule="auto"/>
              <w:ind w:firstLine="0"/>
            </w:pPr>
            <w:r w:rsidRPr="004D46AC">
              <w:rPr>
                <w:color w:val="000000"/>
                <w:szCs w:val="21"/>
              </w:rPr>
              <w:t xml:space="preserve">0.29 </w:t>
            </w:r>
          </w:p>
        </w:tc>
      </w:tr>
      <w:tr w:rsidR="003E095D" w:rsidRPr="004D46AC" w14:paraId="4CBFC00D" w14:textId="77777777" w:rsidTr="00B518F1">
        <w:tc>
          <w:tcPr>
            <w:tcW w:w="1704" w:type="dxa"/>
            <w:vAlign w:val="center"/>
          </w:tcPr>
          <w:p w14:paraId="6BD4286F" w14:textId="77777777" w:rsidR="003E095D" w:rsidRPr="004D46AC" w:rsidRDefault="003E095D" w:rsidP="00B518F1">
            <w:pPr>
              <w:spacing w:line="240" w:lineRule="auto"/>
              <w:ind w:firstLine="0"/>
            </w:pPr>
            <w:r w:rsidRPr="004D46AC">
              <w:rPr>
                <w:color w:val="000000"/>
              </w:rPr>
              <w:t>TR6--TR33</w:t>
            </w:r>
          </w:p>
        </w:tc>
        <w:tc>
          <w:tcPr>
            <w:tcW w:w="1704" w:type="dxa"/>
            <w:vAlign w:val="center"/>
          </w:tcPr>
          <w:p w14:paraId="452021FC" w14:textId="77777777" w:rsidR="003E095D" w:rsidRPr="004D46AC" w:rsidRDefault="003E095D" w:rsidP="00B518F1">
            <w:pPr>
              <w:spacing w:line="240" w:lineRule="auto"/>
              <w:ind w:firstLine="0"/>
            </w:pPr>
            <w:r w:rsidRPr="004D46AC">
              <w:rPr>
                <w:color w:val="000000"/>
                <w:szCs w:val="21"/>
              </w:rPr>
              <w:t xml:space="preserve">0.19 </w:t>
            </w:r>
          </w:p>
        </w:tc>
        <w:tc>
          <w:tcPr>
            <w:tcW w:w="1704" w:type="dxa"/>
            <w:vAlign w:val="center"/>
          </w:tcPr>
          <w:p w14:paraId="7CC49D88" w14:textId="77777777" w:rsidR="003E095D" w:rsidRPr="004D46AC" w:rsidRDefault="003E095D" w:rsidP="00B518F1">
            <w:pPr>
              <w:spacing w:line="240" w:lineRule="auto"/>
              <w:ind w:firstLine="0"/>
            </w:pPr>
            <w:r w:rsidRPr="004D46AC">
              <w:rPr>
                <w:color w:val="000000"/>
                <w:szCs w:val="21"/>
              </w:rPr>
              <w:t xml:space="preserve">-0.21 </w:t>
            </w:r>
          </w:p>
        </w:tc>
        <w:tc>
          <w:tcPr>
            <w:tcW w:w="1705" w:type="dxa"/>
            <w:vAlign w:val="center"/>
          </w:tcPr>
          <w:p w14:paraId="1DDC5435" w14:textId="77777777" w:rsidR="003E095D" w:rsidRPr="004D46AC" w:rsidRDefault="003E095D" w:rsidP="00B518F1">
            <w:pPr>
              <w:spacing w:line="240" w:lineRule="auto"/>
              <w:ind w:firstLine="0"/>
            </w:pPr>
            <w:r w:rsidRPr="004D46AC">
              <w:rPr>
                <w:color w:val="000000"/>
                <w:szCs w:val="21"/>
              </w:rPr>
              <w:t xml:space="preserve">0.59 </w:t>
            </w:r>
          </w:p>
        </w:tc>
        <w:tc>
          <w:tcPr>
            <w:tcW w:w="1705" w:type="dxa"/>
            <w:vAlign w:val="center"/>
          </w:tcPr>
          <w:p w14:paraId="28973B04" w14:textId="77777777" w:rsidR="003E095D" w:rsidRPr="004D46AC" w:rsidRDefault="003E095D" w:rsidP="00B518F1">
            <w:pPr>
              <w:spacing w:line="240" w:lineRule="auto"/>
              <w:ind w:firstLine="0"/>
            </w:pPr>
            <w:r w:rsidRPr="004D46AC">
              <w:rPr>
                <w:color w:val="000000"/>
                <w:szCs w:val="21"/>
              </w:rPr>
              <w:t xml:space="preserve">0.40 </w:t>
            </w:r>
          </w:p>
        </w:tc>
      </w:tr>
      <w:tr w:rsidR="003E095D" w:rsidRPr="004D46AC" w14:paraId="2F590AFC" w14:textId="77777777" w:rsidTr="00B518F1">
        <w:tc>
          <w:tcPr>
            <w:tcW w:w="1704" w:type="dxa"/>
            <w:vAlign w:val="center"/>
          </w:tcPr>
          <w:p w14:paraId="73378404" w14:textId="77777777" w:rsidR="003E095D" w:rsidRPr="004D46AC" w:rsidRDefault="003E095D" w:rsidP="00B518F1">
            <w:pPr>
              <w:spacing w:line="240" w:lineRule="auto"/>
              <w:ind w:firstLine="0"/>
            </w:pPr>
            <w:r w:rsidRPr="004D46AC">
              <w:rPr>
                <w:color w:val="000000"/>
              </w:rPr>
              <w:t>TR21--TR24</w:t>
            </w:r>
          </w:p>
        </w:tc>
        <w:tc>
          <w:tcPr>
            <w:tcW w:w="1704" w:type="dxa"/>
            <w:vAlign w:val="center"/>
          </w:tcPr>
          <w:p w14:paraId="33D090BB" w14:textId="77777777" w:rsidR="003E095D" w:rsidRPr="004D46AC" w:rsidRDefault="003E095D" w:rsidP="00B518F1">
            <w:pPr>
              <w:spacing w:line="240" w:lineRule="auto"/>
              <w:ind w:firstLine="0"/>
            </w:pPr>
            <w:r w:rsidRPr="004D46AC">
              <w:rPr>
                <w:color w:val="000000"/>
                <w:szCs w:val="21"/>
              </w:rPr>
              <w:t xml:space="preserve">0.18 </w:t>
            </w:r>
          </w:p>
        </w:tc>
        <w:tc>
          <w:tcPr>
            <w:tcW w:w="1704" w:type="dxa"/>
            <w:vAlign w:val="center"/>
          </w:tcPr>
          <w:p w14:paraId="634D1266"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1EC7C34D" w14:textId="77777777" w:rsidR="003E095D" w:rsidRPr="004D46AC" w:rsidRDefault="003E095D" w:rsidP="00B518F1">
            <w:pPr>
              <w:spacing w:line="240" w:lineRule="auto"/>
              <w:ind w:firstLine="0"/>
            </w:pPr>
            <w:r w:rsidRPr="004D46AC">
              <w:rPr>
                <w:color w:val="000000"/>
                <w:szCs w:val="21"/>
              </w:rPr>
              <w:t xml:space="preserve">0.53 </w:t>
            </w:r>
          </w:p>
        </w:tc>
        <w:tc>
          <w:tcPr>
            <w:tcW w:w="1705" w:type="dxa"/>
            <w:vAlign w:val="center"/>
          </w:tcPr>
          <w:p w14:paraId="709C1831" w14:textId="77777777" w:rsidR="003E095D" w:rsidRPr="004D46AC" w:rsidRDefault="003E095D" w:rsidP="00B518F1">
            <w:pPr>
              <w:spacing w:line="240" w:lineRule="auto"/>
              <w:ind w:firstLine="0"/>
            </w:pPr>
            <w:r w:rsidRPr="004D46AC">
              <w:rPr>
                <w:color w:val="000000"/>
                <w:szCs w:val="21"/>
              </w:rPr>
              <w:t xml:space="preserve">0.35 </w:t>
            </w:r>
          </w:p>
        </w:tc>
      </w:tr>
      <w:tr w:rsidR="003E095D" w:rsidRPr="004D46AC" w14:paraId="0E9D1E13" w14:textId="77777777" w:rsidTr="00B518F1">
        <w:tc>
          <w:tcPr>
            <w:tcW w:w="1704" w:type="dxa"/>
            <w:vAlign w:val="center"/>
          </w:tcPr>
          <w:p w14:paraId="060730B4" w14:textId="77777777" w:rsidR="003E095D" w:rsidRPr="004D46AC" w:rsidRDefault="003E095D" w:rsidP="00B518F1">
            <w:pPr>
              <w:spacing w:line="240" w:lineRule="auto"/>
              <w:ind w:firstLine="0"/>
            </w:pPr>
            <w:r w:rsidRPr="004D46AC">
              <w:rPr>
                <w:color w:val="000000"/>
              </w:rPr>
              <w:t>TR21--TR14</w:t>
            </w:r>
          </w:p>
        </w:tc>
        <w:tc>
          <w:tcPr>
            <w:tcW w:w="1704" w:type="dxa"/>
            <w:vAlign w:val="center"/>
          </w:tcPr>
          <w:p w14:paraId="5CE423FC" w14:textId="77777777" w:rsidR="003E095D" w:rsidRPr="004D46AC" w:rsidRDefault="003E095D" w:rsidP="00B518F1">
            <w:pPr>
              <w:spacing w:line="240" w:lineRule="auto"/>
              <w:ind w:firstLine="0"/>
            </w:pPr>
            <w:r w:rsidRPr="004D46AC">
              <w:rPr>
                <w:color w:val="000000"/>
                <w:szCs w:val="21"/>
              </w:rPr>
              <w:t xml:space="preserve">0.17 </w:t>
            </w:r>
          </w:p>
        </w:tc>
        <w:tc>
          <w:tcPr>
            <w:tcW w:w="1704" w:type="dxa"/>
            <w:vAlign w:val="center"/>
          </w:tcPr>
          <w:p w14:paraId="37455609" w14:textId="77777777" w:rsidR="003E095D" w:rsidRPr="004D46AC" w:rsidRDefault="003E095D" w:rsidP="00B518F1">
            <w:pPr>
              <w:spacing w:line="240" w:lineRule="auto"/>
              <w:ind w:firstLine="0"/>
            </w:pPr>
            <w:r w:rsidRPr="004D46AC">
              <w:rPr>
                <w:color w:val="000000"/>
                <w:szCs w:val="21"/>
              </w:rPr>
              <w:t xml:space="preserve">-0.17 </w:t>
            </w:r>
          </w:p>
        </w:tc>
        <w:tc>
          <w:tcPr>
            <w:tcW w:w="1705" w:type="dxa"/>
            <w:vAlign w:val="center"/>
          </w:tcPr>
          <w:p w14:paraId="7A0268CA" w14:textId="77777777" w:rsidR="003E095D" w:rsidRPr="004D46AC" w:rsidRDefault="003E095D" w:rsidP="00B518F1">
            <w:pPr>
              <w:spacing w:line="240" w:lineRule="auto"/>
              <w:ind w:firstLine="0"/>
            </w:pPr>
            <w:r w:rsidRPr="004D46AC">
              <w:rPr>
                <w:color w:val="000000"/>
                <w:szCs w:val="21"/>
              </w:rPr>
              <w:t xml:space="preserve">0.52 </w:t>
            </w:r>
          </w:p>
        </w:tc>
        <w:tc>
          <w:tcPr>
            <w:tcW w:w="1705" w:type="dxa"/>
            <w:vAlign w:val="center"/>
          </w:tcPr>
          <w:p w14:paraId="497AFF33" w14:textId="77777777" w:rsidR="003E095D" w:rsidRPr="004D46AC" w:rsidRDefault="003E095D" w:rsidP="00B518F1">
            <w:pPr>
              <w:spacing w:line="240" w:lineRule="auto"/>
              <w:ind w:firstLine="0"/>
            </w:pPr>
            <w:r w:rsidRPr="004D46AC">
              <w:rPr>
                <w:color w:val="000000"/>
                <w:szCs w:val="21"/>
              </w:rPr>
              <w:t xml:space="preserve">0.50 </w:t>
            </w:r>
          </w:p>
        </w:tc>
      </w:tr>
      <w:tr w:rsidR="003E095D" w:rsidRPr="004D46AC" w14:paraId="5A8CA3A1" w14:textId="77777777" w:rsidTr="00B518F1">
        <w:tc>
          <w:tcPr>
            <w:tcW w:w="1704" w:type="dxa"/>
            <w:vAlign w:val="center"/>
          </w:tcPr>
          <w:p w14:paraId="3C976A83" w14:textId="77777777" w:rsidR="003E095D" w:rsidRPr="004D46AC" w:rsidRDefault="003E095D" w:rsidP="00B518F1">
            <w:pPr>
              <w:spacing w:line="240" w:lineRule="auto"/>
              <w:ind w:firstLine="0"/>
            </w:pPr>
            <w:r w:rsidRPr="004D46AC">
              <w:rPr>
                <w:color w:val="000000"/>
              </w:rPr>
              <w:t>TR19--TR37</w:t>
            </w:r>
          </w:p>
        </w:tc>
        <w:tc>
          <w:tcPr>
            <w:tcW w:w="1704" w:type="dxa"/>
            <w:vAlign w:val="center"/>
          </w:tcPr>
          <w:p w14:paraId="17DDF27E" w14:textId="77777777" w:rsidR="003E095D" w:rsidRPr="004D46AC" w:rsidRDefault="003E095D" w:rsidP="00B518F1">
            <w:pPr>
              <w:spacing w:line="240" w:lineRule="auto"/>
              <w:ind w:firstLine="0"/>
            </w:pPr>
            <w:r w:rsidRPr="004D46AC">
              <w:rPr>
                <w:color w:val="000000"/>
                <w:szCs w:val="21"/>
              </w:rPr>
              <w:t xml:space="preserve">0.16 </w:t>
            </w:r>
          </w:p>
        </w:tc>
        <w:tc>
          <w:tcPr>
            <w:tcW w:w="1704" w:type="dxa"/>
            <w:vAlign w:val="center"/>
          </w:tcPr>
          <w:p w14:paraId="38AC8984"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4E245A34" w14:textId="77777777" w:rsidR="003E095D" w:rsidRPr="004D46AC" w:rsidRDefault="003E095D" w:rsidP="00B518F1">
            <w:pPr>
              <w:spacing w:line="240" w:lineRule="auto"/>
              <w:ind w:firstLine="0"/>
            </w:pPr>
            <w:r w:rsidRPr="004D46AC">
              <w:rPr>
                <w:color w:val="000000"/>
                <w:szCs w:val="21"/>
              </w:rPr>
              <w:t xml:space="preserve">0.50 </w:t>
            </w:r>
          </w:p>
        </w:tc>
        <w:tc>
          <w:tcPr>
            <w:tcW w:w="1705" w:type="dxa"/>
            <w:vAlign w:val="center"/>
          </w:tcPr>
          <w:p w14:paraId="63A56125" w14:textId="77777777" w:rsidR="003E095D" w:rsidRPr="004D46AC" w:rsidRDefault="003E095D" w:rsidP="00B518F1">
            <w:pPr>
              <w:spacing w:line="240" w:lineRule="auto"/>
              <w:ind w:firstLine="0"/>
            </w:pPr>
            <w:r w:rsidRPr="004D46AC">
              <w:rPr>
                <w:color w:val="000000"/>
                <w:szCs w:val="21"/>
              </w:rPr>
              <w:t xml:space="preserve">0.39 </w:t>
            </w:r>
          </w:p>
        </w:tc>
      </w:tr>
      <w:tr w:rsidR="003E095D" w:rsidRPr="004D46AC" w14:paraId="7AD3B7D6" w14:textId="77777777" w:rsidTr="00B518F1">
        <w:tc>
          <w:tcPr>
            <w:tcW w:w="1704" w:type="dxa"/>
            <w:vAlign w:val="center"/>
          </w:tcPr>
          <w:p w14:paraId="606E3380" w14:textId="77777777" w:rsidR="003E095D" w:rsidRPr="004D46AC" w:rsidRDefault="003E095D" w:rsidP="00B518F1">
            <w:pPr>
              <w:spacing w:line="240" w:lineRule="auto"/>
              <w:ind w:firstLine="0"/>
            </w:pPr>
            <w:r w:rsidRPr="004D46AC">
              <w:rPr>
                <w:color w:val="000000"/>
              </w:rPr>
              <w:t>TR9--TR14</w:t>
            </w:r>
          </w:p>
        </w:tc>
        <w:tc>
          <w:tcPr>
            <w:tcW w:w="1704" w:type="dxa"/>
            <w:vAlign w:val="center"/>
          </w:tcPr>
          <w:p w14:paraId="7EBA916F" w14:textId="77777777" w:rsidR="003E095D" w:rsidRPr="004D46AC" w:rsidRDefault="003E095D" w:rsidP="00B518F1">
            <w:pPr>
              <w:spacing w:line="240" w:lineRule="auto"/>
              <w:ind w:firstLine="0"/>
            </w:pPr>
            <w:r w:rsidRPr="004D46AC">
              <w:rPr>
                <w:color w:val="000000"/>
                <w:szCs w:val="21"/>
              </w:rPr>
              <w:t xml:space="preserve">0.16 </w:t>
            </w:r>
          </w:p>
        </w:tc>
        <w:tc>
          <w:tcPr>
            <w:tcW w:w="1704" w:type="dxa"/>
            <w:vAlign w:val="center"/>
          </w:tcPr>
          <w:p w14:paraId="566A4AA8"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46BEE845" w14:textId="77777777" w:rsidR="003E095D" w:rsidRPr="004D46AC" w:rsidRDefault="003E095D" w:rsidP="00B518F1">
            <w:pPr>
              <w:spacing w:line="240" w:lineRule="auto"/>
              <w:ind w:firstLine="0"/>
            </w:pPr>
            <w:r w:rsidRPr="004D46AC">
              <w:rPr>
                <w:color w:val="000000"/>
                <w:szCs w:val="21"/>
              </w:rPr>
              <w:t xml:space="preserve">0.51 </w:t>
            </w:r>
          </w:p>
        </w:tc>
        <w:tc>
          <w:tcPr>
            <w:tcW w:w="1705" w:type="dxa"/>
            <w:vAlign w:val="center"/>
          </w:tcPr>
          <w:p w14:paraId="24E185B8" w14:textId="77777777" w:rsidR="003E095D" w:rsidRPr="004D46AC" w:rsidRDefault="003E095D" w:rsidP="00B518F1">
            <w:pPr>
              <w:spacing w:line="240" w:lineRule="auto"/>
              <w:ind w:firstLine="0"/>
            </w:pPr>
            <w:r w:rsidRPr="004D46AC">
              <w:rPr>
                <w:color w:val="000000"/>
                <w:szCs w:val="21"/>
              </w:rPr>
              <w:t xml:space="preserve">0.47 </w:t>
            </w:r>
          </w:p>
        </w:tc>
      </w:tr>
      <w:tr w:rsidR="003E095D" w:rsidRPr="004D46AC" w14:paraId="10C40613" w14:textId="77777777" w:rsidTr="00B518F1">
        <w:tc>
          <w:tcPr>
            <w:tcW w:w="1704" w:type="dxa"/>
            <w:vAlign w:val="center"/>
          </w:tcPr>
          <w:p w14:paraId="27407E56" w14:textId="77777777" w:rsidR="003E095D" w:rsidRPr="004D46AC" w:rsidRDefault="003E095D" w:rsidP="00B518F1">
            <w:pPr>
              <w:spacing w:line="240" w:lineRule="auto"/>
              <w:ind w:firstLine="0"/>
            </w:pPr>
            <w:r w:rsidRPr="004D46AC">
              <w:rPr>
                <w:color w:val="000000"/>
              </w:rPr>
              <w:t>TR3--TR17</w:t>
            </w:r>
          </w:p>
        </w:tc>
        <w:tc>
          <w:tcPr>
            <w:tcW w:w="1704" w:type="dxa"/>
            <w:vAlign w:val="center"/>
          </w:tcPr>
          <w:p w14:paraId="703B6ACD" w14:textId="77777777" w:rsidR="003E095D" w:rsidRPr="004D46AC" w:rsidRDefault="003E095D" w:rsidP="00B518F1">
            <w:pPr>
              <w:spacing w:line="240" w:lineRule="auto"/>
              <w:ind w:firstLine="0"/>
            </w:pPr>
            <w:r w:rsidRPr="004D46AC">
              <w:rPr>
                <w:color w:val="000000"/>
                <w:szCs w:val="21"/>
              </w:rPr>
              <w:t xml:space="preserve">0.16 </w:t>
            </w:r>
          </w:p>
        </w:tc>
        <w:tc>
          <w:tcPr>
            <w:tcW w:w="1704" w:type="dxa"/>
            <w:vAlign w:val="center"/>
          </w:tcPr>
          <w:p w14:paraId="327D3834" w14:textId="77777777" w:rsidR="003E095D" w:rsidRPr="004D46AC" w:rsidRDefault="003E095D" w:rsidP="00B518F1">
            <w:pPr>
              <w:spacing w:line="240" w:lineRule="auto"/>
              <w:ind w:firstLine="0"/>
            </w:pPr>
            <w:r w:rsidRPr="004D46AC">
              <w:rPr>
                <w:color w:val="000000"/>
                <w:szCs w:val="21"/>
              </w:rPr>
              <w:t xml:space="preserve">-0.15 </w:t>
            </w:r>
          </w:p>
        </w:tc>
        <w:tc>
          <w:tcPr>
            <w:tcW w:w="1705" w:type="dxa"/>
            <w:vAlign w:val="center"/>
          </w:tcPr>
          <w:p w14:paraId="08E1F4F1" w14:textId="77777777" w:rsidR="003E095D" w:rsidRPr="004D46AC" w:rsidRDefault="003E095D" w:rsidP="00B518F1">
            <w:pPr>
              <w:spacing w:line="240" w:lineRule="auto"/>
              <w:ind w:firstLine="0"/>
            </w:pPr>
            <w:r w:rsidRPr="004D46AC">
              <w:rPr>
                <w:color w:val="000000"/>
                <w:szCs w:val="21"/>
              </w:rPr>
              <w:t xml:space="preserve">0.46 </w:t>
            </w:r>
          </w:p>
        </w:tc>
        <w:tc>
          <w:tcPr>
            <w:tcW w:w="1705" w:type="dxa"/>
            <w:vAlign w:val="center"/>
          </w:tcPr>
          <w:p w14:paraId="5F7E710E" w14:textId="77777777" w:rsidR="003E095D" w:rsidRPr="004D46AC" w:rsidRDefault="003E095D" w:rsidP="00B518F1">
            <w:pPr>
              <w:spacing w:line="240" w:lineRule="auto"/>
              <w:ind w:firstLine="0"/>
            </w:pPr>
            <w:r w:rsidRPr="004D46AC">
              <w:rPr>
                <w:color w:val="000000"/>
                <w:szCs w:val="21"/>
              </w:rPr>
              <w:t xml:space="preserve">0.60 </w:t>
            </w:r>
          </w:p>
        </w:tc>
      </w:tr>
      <w:tr w:rsidR="003E095D" w:rsidRPr="004D46AC" w14:paraId="4DAE230E" w14:textId="77777777" w:rsidTr="00B518F1">
        <w:tc>
          <w:tcPr>
            <w:tcW w:w="1704" w:type="dxa"/>
            <w:vAlign w:val="center"/>
          </w:tcPr>
          <w:p w14:paraId="4B29AE2A" w14:textId="77777777" w:rsidR="003E095D" w:rsidRPr="004D46AC" w:rsidRDefault="003E095D" w:rsidP="00B518F1">
            <w:pPr>
              <w:spacing w:line="240" w:lineRule="auto"/>
              <w:ind w:firstLine="0"/>
            </w:pPr>
            <w:r w:rsidRPr="004D46AC">
              <w:rPr>
                <w:color w:val="000000"/>
              </w:rPr>
              <w:t>TR30--TR25</w:t>
            </w:r>
          </w:p>
        </w:tc>
        <w:tc>
          <w:tcPr>
            <w:tcW w:w="1704" w:type="dxa"/>
            <w:vAlign w:val="center"/>
          </w:tcPr>
          <w:p w14:paraId="190B61FE" w14:textId="77777777" w:rsidR="003E095D" w:rsidRPr="004D46AC" w:rsidRDefault="003E095D" w:rsidP="00B518F1">
            <w:pPr>
              <w:spacing w:line="240" w:lineRule="auto"/>
              <w:ind w:firstLine="0"/>
            </w:pPr>
            <w:r w:rsidRPr="004D46AC">
              <w:rPr>
                <w:color w:val="000000"/>
                <w:szCs w:val="21"/>
              </w:rPr>
              <w:t xml:space="preserve">0.14 </w:t>
            </w:r>
          </w:p>
        </w:tc>
        <w:tc>
          <w:tcPr>
            <w:tcW w:w="1704" w:type="dxa"/>
            <w:vAlign w:val="center"/>
          </w:tcPr>
          <w:p w14:paraId="64BB13DB"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77F59671" w14:textId="77777777" w:rsidR="003E095D" w:rsidRPr="004D46AC" w:rsidRDefault="003E095D" w:rsidP="00B518F1">
            <w:pPr>
              <w:spacing w:line="240" w:lineRule="auto"/>
              <w:ind w:firstLine="0"/>
            </w:pPr>
            <w:r w:rsidRPr="004D46AC">
              <w:rPr>
                <w:color w:val="000000"/>
                <w:szCs w:val="21"/>
              </w:rPr>
              <w:t xml:space="preserve">0.47 </w:t>
            </w:r>
          </w:p>
        </w:tc>
        <w:tc>
          <w:tcPr>
            <w:tcW w:w="1705" w:type="dxa"/>
            <w:vAlign w:val="center"/>
          </w:tcPr>
          <w:p w14:paraId="23995DBF" w14:textId="77777777" w:rsidR="003E095D" w:rsidRPr="004D46AC" w:rsidRDefault="003E095D" w:rsidP="00B518F1">
            <w:pPr>
              <w:spacing w:line="240" w:lineRule="auto"/>
              <w:ind w:firstLine="0"/>
            </w:pPr>
            <w:r w:rsidRPr="004D46AC">
              <w:rPr>
                <w:color w:val="000000"/>
                <w:szCs w:val="21"/>
              </w:rPr>
              <w:t xml:space="preserve">0.54 </w:t>
            </w:r>
          </w:p>
        </w:tc>
      </w:tr>
      <w:tr w:rsidR="003E095D" w:rsidRPr="004D46AC" w14:paraId="76133F86" w14:textId="77777777" w:rsidTr="00B518F1">
        <w:tc>
          <w:tcPr>
            <w:tcW w:w="1704" w:type="dxa"/>
            <w:vAlign w:val="center"/>
          </w:tcPr>
          <w:p w14:paraId="2C83B28B" w14:textId="77777777" w:rsidR="003E095D" w:rsidRPr="004D46AC" w:rsidRDefault="003E095D" w:rsidP="00B518F1">
            <w:pPr>
              <w:spacing w:line="240" w:lineRule="auto"/>
              <w:ind w:firstLine="0"/>
            </w:pPr>
            <w:r w:rsidRPr="004D46AC">
              <w:rPr>
                <w:color w:val="000000"/>
              </w:rPr>
              <w:t>TR18--TR30</w:t>
            </w:r>
          </w:p>
        </w:tc>
        <w:tc>
          <w:tcPr>
            <w:tcW w:w="1704" w:type="dxa"/>
            <w:vAlign w:val="center"/>
          </w:tcPr>
          <w:p w14:paraId="53654BE5" w14:textId="77777777" w:rsidR="003E095D" w:rsidRPr="004D46AC" w:rsidRDefault="003E095D" w:rsidP="00B518F1">
            <w:pPr>
              <w:spacing w:line="240" w:lineRule="auto"/>
              <w:ind w:firstLine="0"/>
            </w:pPr>
            <w:r w:rsidRPr="004D46AC">
              <w:rPr>
                <w:color w:val="000000"/>
                <w:szCs w:val="21"/>
              </w:rPr>
              <w:t xml:space="preserve">0.14 </w:t>
            </w:r>
          </w:p>
        </w:tc>
        <w:tc>
          <w:tcPr>
            <w:tcW w:w="1704" w:type="dxa"/>
            <w:vAlign w:val="center"/>
          </w:tcPr>
          <w:p w14:paraId="701D8261"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371FBC8C" w14:textId="77777777" w:rsidR="003E095D" w:rsidRPr="004D46AC" w:rsidRDefault="003E095D" w:rsidP="00B518F1">
            <w:pPr>
              <w:spacing w:line="240" w:lineRule="auto"/>
              <w:ind w:firstLine="0"/>
            </w:pPr>
            <w:r w:rsidRPr="004D46AC">
              <w:rPr>
                <w:color w:val="000000"/>
                <w:szCs w:val="21"/>
              </w:rPr>
              <w:t xml:space="preserve">0.50 </w:t>
            </w:r>
          </w:p>
        </w:tc>
        <w:tc>
          <w:tcPr>
            <w:tcW w:w="1705" w:type="dxa"/>
            <w:vAlign w:val="center"/>
          </w:tcPr>
          <w:p w14:paraId="579123B2" w14:textId="77777777" w:rsidR="003E095D" w:rsidRPr="004D46AC" w:rsidRDefault="003E095D" w:rsidP="00B518F1">
            <w:pPr>
              <w:spacing w:line="240" w:lineRule="auto"/>
              <w:ind w:firstLine="0"/>
            </w:pPr>
            <w:r w:rsidRPr="004D46AC">
              <w:rPr>
                <w:color w:val="000000"/>
                <w:szCs w:val="21"/>
              </w:rPr>
              <w:t xml:space="preserve">0.42 </w:t>
            </w:r>
          </w:p>
        </w:tc>
      </w:tr>
      <w:tr w:rsidR="003E095D" w:rsidRPr="004D46AC" w14:paraId="1782F589" w14:textId="77777777" w:rsidTr="00B518F1">
        <w:tc>
          <w:tcPr>
            <w:tcW w:w="1704" w:type="dxa"/>
            <w:vAlign w:val="center"/>
          </w:tcPr>
          <w:p w14:paraId="5B78EC0B" w14:textId="77777777" w:rsidR="003E095D" w:rsidRPr="004D46AC" w:rsidRDefault="003E095D" w:rsidP="00B518F1">
            <w:pPr>
              <w:spacing w:line="240" w:lineRule="auto"/>
              <w:ind w:firstLine="0"/>
            </w:pPr>
            <w:r w:rsidRPr="004D46AC">
              <w:rPr>
                <w:color w:val="000000"/>
              </w:rPr>
              <w:t>TR26--TR9</w:t>
            </w:r>
          </w:p>
        </w:tc>
        <w:tc>
          <w:tcPr>
            <w:tcW w:w="1704" w:type="dxa"/>
            <w:vAlign w:val="center"/>
          </w:tcPr>
          <w:p w14:paraId="49043F48" w14:textId="77777777" w:rsidR="003E095D" w:rsidRPr="004D46AC" w:rsidRDefault="003E095D" w:rsidP="00B518F1">
            <w:pPr>
              <w:spacing w:line="240" w:lineRule="auto"/>
              <w:ind w:firstLine="0"/>
            </w:pPr>
            <w:r w:rsidRPr="004D46AC">
              <w:rPr>
                <w:color w:val="000000"/>
                <w:szCs w:val="21"/>
              </w:rPr>
              <w:t xml:space="preserve">0.14 </w:t>
            </w:r>
          </w:p>
        </w:tc>
        <w:tc>
          <w:tcPr>
            <w:tcW w:w="1704" w:type="dxa"/>
            <w:vAlign w:val="center"/>
          </w:tcPr>
          <w:p w14:paraId="42FC8C77" w14:textId="77777777" w:rsidR="003E095D" w:rsidRPr="004D46AC" w:rsidRDefault="003E095D" w:rsidP="00B518F1">
            <w:pPr>
              <w:spacing w:line="240" w:lineRule="auto"/>
              <w:ind w:firstLine="0"/>
            </w:pPr>
            <w:r w:rsidRPr="004D46AC">
              <w:rPr>
                <w:color w:val="000000"/>
                <w:szCs w:val="21"/>
              </w:rPr>
              <w:t xml:space="preserve">-0.21 </w:t>
            </w:r>
          </w:p>
        </w:tc>
        <w:tc>
          <w:tcPr>
            <w:tcW w:w="1705" w:type="dxa"/>
            <w:vAlign w:val="center"/>
          </w:tcPr>
          <w:p w14:paraId="6DA58CDE" w14:textId="77777777" w:rsidR="003E095D" w:rsidRPr="004D46AC" w:rsidRDefault="003E095D" w:rsidP="00B518F1">
            <w:pPr>
              <w:spacing w:line="240" w:lineRule="auto"/>
              <w:ind w:firstLine="0"/>
            </w:pPr>
            <w:r w:rsidRPr="004D46AC">
              <w:rPr>
                <w:color w:val="000000"/>
                <w:szCs w:val="21"/>
              </w:rPr>
              <w:t xml:space="preserve">0.48 </w:t>
            </w:r>
          </w:p>
        </w:tc>
        <w:tc>
          <w:tcPr>
            <w:tcW w:w="1705" w:type="dxa"/>
            <w:vAlign w:val="center"/>
          </w:tcPr>
          <w:p w14:paraId="031A001C" w14:textId="77777777" w:rsidR="003E095D" w:rsidRPr="004D46AC" w:rsidRDefault="003E095D" w:rsidP="00B518F1">
            <w:pPr>
              <w:spacing w:line="240" w:lineRule="auto"/>
              <w:ind w:firstLine="0"/>
            </w:pPr>
            <w:r w:rsidRPr="004D46AC">
              <w:rPr>
                <w:color w:val="000000"/>
                <w:szCs w:val="21"/>
              </w:rPr>
              <w:t xml:space="preserve">0.49 </w:t>
            </w:r>
          </w:p>
        </w:tc>
      </w:tr>
      <w:tr w:rsidR="003E095D" w:rsidRPr="004D46AC" w14:paraId="4981BC7C" w14:textId="77777777" w:rsidTr="00B518F1">
        <w:tc>
          <w:tcPr>
            <w:tcW w:w="1704" w:type="dxa"/>
            <w:vAlign w:val="center"/>
          </w:tcPr>
          <w:p w14:paraId="16124791" w14:textId="77777777" w:rsidR="003E095D" w:rsidRPr="004D46AC" w:rsidRDefault="003E095D" w:rsidP="00B518F1">
            <w:pPr>
              <w:spacing w:line="240" w:lineRule="auto"/>
              <w:ind w:firstLine="0"/>
            </w:pPr>
            <w:r w:rsidRPr="004D46AC">
              <w:rPr>
                <w:color w:val="000000"/>
              </w:rPr>
              <w:t>TR23--TR13</w:t>
            </w:r>
          </w:p>
        </w:tc>
        <w:tc>
          <w:tcPr>
            <w:tcW w:w="1704" w:type="dxa"/>
            <w:vAlign w:val="center"/>
          </w:tcPr>
          <w:p w14:paraId="56503208" w14:textId="77777777" w:rsidR="003E095D" w:rsidRPr="004D46AC" w:rsidRDefault="003E095D" w:rsidP="00B518F1">
            <w:pPr>
              <w:spacing w:line="240" w:lineRule="auto"/>
              <w:ind w:firstLine="0"/>
            </w:pPr>
            <w:r w:rsidRPr="004D46AC">
              <w:rPr>
                <w:color w:val="000000"/>
                <w:szCs w:val="21"/>
              </w:rPr>
              <w:t xml:space="preserve">0.13 </w:t>
            </w:r>
          </w:p>
        </w:tc>
        <w:tc>
          <w:tcPr>
            <w:tcW w:w="1704" w:type="dxa"/>
            <w:vAlign w:val="center"/>
          </w:tcPr>
          <w:p w14:paraId="5D9C4B20" w14:textId="77777777" w:rsidR="003E095D" w:rsidRPr="004D46AC" w:rsidRDefault="003E095D" w:rsidP="00B518F1">
            <w:pPr>
              <w:spacing w:line="240" w:lineRule="auto"/>
              <w:ind w:firstLine="0"/>
            </w:pPr>
            <w:r w:rsidRPr="004D46AC">
              <w:rPr>
                <w:color w:val="000000"/>
                <w:szCs w:val="21"/>
              </w:rPr>
              <w:t xml:space="preserve">-0.19 </w:t>
            </w:r>
          </w:p>
        </w:tc>
        <w:tc>
          <w:tcPr>
            <w:tcW w:w="1705" w:type="dxa"/>
            <w:vAlign w:val="center"/>
          </w:tcPr>
          <w:p w14:paraId="4FFAEBE2" w14:textId="77777777" w:rsidR="003E095D" w:rsidRPr="004D46AC" w:rsidRDefault="003E095D" w:rsidP="00B518F1">
            <w:pPr>
              <w:spacing w:line="240" w:lineRule="auto"/>
              <w:ind w:firstLine="0"/>
            </w:pPr>
            <w:r w:rsidRPr="004D46AC">
              <w:rPr>
                <w:color w:val="000000"/>
                <w:szCs w:val="21"/>
              </w:rPr>
              <w:t xml:space="preserve">0.45 </w:t>
            </w:r>
          </w:p>
        </w:tc>
        <w:tc>
          <w:tcPr>
            <w:tcW w:w="1705" w:type="dxa"/>
            <w:vAlign w:val="center"/>
          </w:tcPr>
          <w:p w14:paraId="68380E19" w14:textId="77777777" w:rsidR="003E095D" w:rsidRPr="004D46AC" w:rsidRDefault="003E095D" w:rsidP="00B518F1">
            <w:pPr>
              <w:spacing w:line="240" w:lineRule="auto"/>
              <w:ind w:firstLine="0"/>
            </w:pPr>
            <w:r w:rsidRPr="004D46AC">
              <w:rPr>
                <w:color w:val="000000"/>
                <w:szCs w:val="21"/>
              </w:rPr>
              <w:t xml:space="preserve">0.55 </w:t>
            </w:r>
          </w:p>
        </w:tc>
      </w:tr>
      <w:tr w:rsidR="003E095D" w:rsidRPr="004D46AC" w14:paraId="2DE4B953" w14:textId="77777777" w:rsidTr="00B518F1">
        <w:tc>
          <w:tcPr>
            <w:tcW w:w="1704" w:type="dxa"/>
            <w:vAlign w:val="center"/>
          </w:tcPr>
          <w:p w14:paraId="1128AE00" w14:textId="77777777" w:rsidR="003E095D" w:rsidRPr="004D46AC" w:rsidRDefault="003E095D" w:rsidP="00B518F1">
            <w:pPr>
              <w:spacing w:line="240" w:lineRule="auto"/>
              <w:ind w:firstLine="0"/>
            </w:pPr>
            <w:r w:rsidRPr="004D46AC">
              <w:rPr>
                <w:color w:val="000000"/>
              </w:rPr>
              <w:t>TR6--TR18</w:t>
            </w:r>
          </w:p>
        </w:tc>
        <w:tc>
          <w:tcPr>
            <w:tcW w:w="1704" w:type="dxa"/>
            <w:vAlign w:val="center"/>
          </w:tcPr>
          <w:p w14:paraId="60A7FE61" w14:textId="77777777" w:rsidR="003E095D" w:rsidRPr="004D46AC" w:rsidRDefault="003E095D" w:rsidP="00B518F1">
            <w:pPr>
              <w:spacing w:line="240" w:lineRule="auto"/>
              <w:ind w:firstLine="0"/>
            </w:pPr>
            <w:r w:rsidRPr="004D46AC">
              <w:rPr>
                <w:color w:val="000000"/>
                <w:szCs w:val="21"/>
              </w:rPr>
              <w:t xml:space="preserve">0.13 </w:t>
            </w:r>
          </w:p>
        </w:tc>
        <w:tc>
          <w:tcPr>
            <w:tcW w:w="1704" w:type="dxa"/>
            <w:vAlign w:val="center"/>
          </w:tcPr>
          <w:p w14:paraId="27D6BAE9" w14:textId="77777777" w:rsidR="003E095D" w:rsidRPr="004D46AC" w:rsidRDefault="003E095D" w:rsidP="00B518F1">
            <w:pPr>
              <w:spacing w:line="240" w:lineRule="auto"/>
              <w:ind w:firstLine="0"/>
            </w:pPr>
            <w:r w:rsidRPr="004D46AC">
              <w:rPr>
                <w:color w:val="000000"/>
                <w:szCs w:val="21"/>
              </w:rPr>
              <w:t xml:space="preserve">-0.25 </w:t>
            </w:r>
          </w:p>
        </w:tc>
        <w:tc>
          <w:tcPr>
            <w:tcW w:w="1705" w:type="dxa"/>
            <w:vAlign w:val="center"/>
          </w:tcPr>
          <w:p w14:paraId="73CD5728" w14:textId="77777777" w:rsidR="003E095D" w:rsidRPr="004D46AC" w:rsidRDefault="003E095D" w:rsidP="00B518F1">
            <w:pPr>
              <w:spacing w:line="240" w:lineRule="auto"/>
              <w:ind w:firstLine="0"/>
            </w:pPr>
            <w:r w:rsidRPr="004D46AC">
              <w:rPr>
                <w:color w:val="000000"/>
                <w:szCs w:val="21"/>
              </w:rPr>
              <w:t xml:space="preserve">0.50 </w:t>
            </w:r>
          </w:p>
        </w:tc>
        <w:tc>
          <w:tcPr>
            <w:tcW w:w="1705" w:type="dxa"/>
            <w:vAlign w:val="center"/>
          </w:tcPr>
          <w:p w14:paraId="2795838E" w14:textId="77777777" w:rsidR="003E095D" w:rsidRPr="004D46AC" w:rsidRDefault="003E095D" w:rsidP="00B518F1">
            <w:pPr>
              <w:spacing w:line="240" w:lineRule="auto"/>
              <w:ind w:firstLine="0"/>
            </w:pPr>
            <w:r w:rsidRPr="004D46AC">
              <w:rPr>
                <w:color w:val="000000"/>
                <w:szCs w:val="21"/>
              </w:rPr>
              <w:t xml:space="preserve">0.40 </w:t>
            </w:r>
          </w:p>
        </w:tc>
      </w:tr>
      <w:tr w:rsidR="003E095D" w:rsidRPr="004D46AC" w14:paraId="6E9B9CBE" w14:textId="77777777" w:rsidTr="00B518F1">
        <w:tc>
          <w:tcPr>
            <w:tcW w:w="1704" w:type="dxa"/>
            <w:vAlign w:val="center"/>
          </w:tcPr>
          <w:p w14:paraId="3AA67DB8" w14:textId="77777777" w:rsidR="003E095D" w:rsidRPr="004D46AC" w:rsidRDefault="003E095D" w:rsidP="00B518F1">
            <w:pPr>
              <w:spacing w:line="240" w:lineRule="auto"/>
              <w:ind w:firstLine="0"/>
            </w:pPr>
            <w:r w:rsidRPr="004D46AC">
              <w:rPr>
                <w:color w:val="000000"/>
              </w:rPr>
              <w:t>TR14--TR25</w:t>
            </w:r>
          </w:p>
        </w:tc>
        <w:tc>
          <w:tcPr>
            <w:tcW w:w="1704" w:type="dxa"/>
            <w:vAlign w:val="center"/>
          </w:tcPr>
          <w:p w14:paraId="2031CA25" w14:textId="77777777" w:rsidR="003E095D" w:rsidRPr="004D46AC" w:rsidRDefault="003E095D" w:rsidP="00B518F1">
            <w:pPr>
              <w:spacing w:line="240" w:lineRule="auto"/>
              <w:ind w:firstLine="0"/>
            </w:pPr>
            <w:r w:rsidRPr="004D46AC">
              <w:rPr>
                <w:color w:val="000000"/>
                <w:szCs w:val="21"/>
              </w:rPr>
              <w:t xml:space="preserve">0.13 </w:t>
            </w:r>
          </w:p>
        </w:tc>
        <w:tc>
          <w:tcPr>
            <w:tcW w:w="1704" w:type="dxa"/>
            <w:vAlign w:val="center"/>
          </w:tcPr>
          <w:p w14:paraId="3124C02A"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69ECD31D" w14:textId="77777777" w:rsidR="003E095D" w:rsidRPr="004D46AC" w:rsidRDefault="003E095D" w:rsidP="00B518F1">
            <w:pPr>
              <w:spacing w:line="240" w:lineRule="auto"/>
              <w:ind w:firstLine="0"/>
            </w:pPr>
            <w:r w:rsidRPr="004D46AC">
              <w:rPr>
                <w:color w:val="000000"/>
                <w:szCs w:val="21"/>
              </w:rPr>
              <w:t xml:space="preserve">0.43 </w:t>
            </w:r>
          </w:p>
        </w:tc>
        <w:tc>
          <w:tcPr>
            <w:tcW w:w="1705" w:type="dxa"/>
            <w:vAlign w:val="center"/>
          </w:tcPr>
          <w:p w14:paraId="3D6BE0CB" w14:textId="77777777" w:rsidR="003E095D" w:rsidRPr="004D46AC" w:rsidRDefault="003E095D" w:rsidP="00B518F1">
            <w:pPr>
              <w:spacing w:line="240" w:lineRule="auto"/>
              <w:ind w:firstLine="0"/>
            </w:pPr>
            <w:r w:rsidRPr="004D46AC">
              <w:rPr>
                <w:color w:val="000000"/>
                <w:szCs w:val="21"/>
              </w:rPr>
              <w:t xml:space="preserve">0.52 </w:t>
            </w:r>
          </w:p>
        </w:tc>
      </w:tr>
      <w:tr w:rsidR="003E095D" w:rsidRPr="004D46AC" w14:paraId="42ED81AB" w14:textId="77777777" w:rsidTr="00B518F1">
        <w:tc>
          <w:tcPr>
            <w:tcW w:w="1704" w:type="dxa"/>
            <w:vAlign w:val="center"/>
          </w:tcPr>
          <w:p w14:paraId="62D90C6C" w14:textId="77777777" w:rsidR="003E095D" w:rsidRPr="004D46AC" w:rsidRDefault="003E095D" w:rsidP="00B518F1">
            <w:pPr>
              <w:spacing w:line="240" w:lineRule="auto"/>
              <w:ind w:firstLine="0"/>
            </w:pPr>
            <w:r w:rsidRPr="004D46AC">
              <w:rPr>
                <w:color w:val="000000"/>
              </w:rPr>
              <w:t>TR26--TR33</w:t>
            </w:r>
          </w:p>
        </w:tc>
        <w:tc>
          <w:tcPr>
            <w:tcW w:w="1704" w:type="dxa"/>
            <w:vAlign w:val="center"/>
          </w:tcPr>
          <w:p w14:paraId="3BBE7E8D" w14:textId="77777777" w:rsidR="003E095D" w:rsidRPr="004D46AC" w:rsidRDefault="003E095D" w:rsidP="00B518F1">
            <w:pPr>
              <w:spacing w:line="240" w:lineRule="auto"/>
              <w:ind w:firstLine="0"/>
            </w:pPr>
            <w:r w:rsidRPr="004D46AC">
              <w:rPr>
                <w:color w:val="000000"/>
                <w:szCs w:val="21"/>
              </w:rPr>
              <w:t xml:space="preserve">0.13 </w:t>
            </w:r>
          </w:p>
        </w:tc>
        <w:tc>
          <w:tcPr>
            <w:tcW w:w="1704" w:type="dxa"/>
            <w:vAlign w:val="center"/>
          </w:tcPr>
          <w:p w14:paraId="1609AF9B" w14:textId="77777777" w:rsidR="003E095D" w:rsidRPr="004D46AC" w:rsidRDefault="003E095D" w:rsidP="00B518F1">
            <w:pPr>
              <w:spacing w:line="240" w:lineRule="auto"/>
              <w:ind w:firstLine="0"/>
            </w:pPr>
            <w:r w:rsidRPr="004D46AC">
              <w:rPr>
                <w:color w:val="000000"/>
                <w:szCs w:val="21"/>
              </w:rPr>
              <w:t xml:space="preserve">-0.20 </w:t>
            </w:r>
          </w:p>
        </w:tc>
        <w:tc>
          <w:tcPr>
            <w:tcW w:w="1705" w:type="dxa"/>
            <w:vAlign w:val="center"/>
          </w:tcPr>
          <w:p w14:paraId="0CA2929F" w14:textId="77777777" w:rsidR="003E095D" w:rsidRPr="004D46AC" w:rsidRDefault="003E095D" w:rsidP="00B518F1">
            <w:pPr>
              <w:spacing w:line="240" w:lineRule="auto"/>
              <w:ind w:firstLine="0"/>
            </w:pPr>
            <w:r w:rsidRPr="004D46AC">
              <w:rPr>
                <w:color w:val="000000"/>
                <w:szCs w:val="21"/>
              </w:rPr>
              <w:t xml:space="preserve">0.45 </w:t>
            </w:r>
          </w:p>
        </w:tc>
        <w:tc>
          <w:tcPr>
            <w:tcW w:w="1705" w:type="dxa"/>
            <w:vAlign w:val="center"/>
          </w:tcPr>
          <w:p w14:paraId="53DF91E9" w14:textId="77777777" w:rsidR="003E095D" w:rsidRPr="004D46AC" w:rsidRDefault="003E095D" w:rsidP="00B518F1">
            <w:pPr>
              <w:spacing w:line="240" w:lineRule="auto"/>
              <w:ind w:firstLine="0"/>
            </w:pPr>
            <w:r w:rsidRPr="004D46AC">
              <w:rPr>
                <w:color w:val="000000"/>
                <w:szCs w:val="21"/>
              </w:rPr>
              <w:t xml:space="preserve">0.56 </w:t>
            </w:r>
          </w:p>
        </w:tc>
      </w:tr>
      <w:tr w:rsidR="003E095D" w:rsidRPr="004D46AC" w14:paraId="4025FEDE" w14:textId="77777777" w:rsidTr="00B518F1">
        <w:tc>
          <w:tcPr>
            <w:tcW w:w="1704" w:type="dxa"/>
            <w:vAlign w:val="center"/>
          </w:tcPr>
          <w:p w14:paraId="2C9457C9" w14:textId="77777777" w:rsidR="003E095D" w:rsidRPr="004D46AC" w:rsidRDefault="003E095D" w:rsidP="00B518F1">
            <w:pPr>
              <w:spacing w:line="240" w:lineRule="auto"/>
              <w:ind w:firstLine="0"/>
            </w:pPr>
            <w:r w:rsidRPr="004D46AC">
              <w:rPr>
                <w:color w:val="000000"/>
              </w:rPr>
              <w:t>TR23--TR37</w:t>
            </w:r>
          </w:p>
        </w:tc>
        <w:tc>
          <w:tcPr>
            <w:tcW w:w="1704" w:type="dxa"/>
            <w:vAlign w:val="center"/>
          </w:tcPr>
          <w:p w14:paraId="51F88B9E" w14:textId="77777777" w:rsidR="003E095D" w:rsidRPr="004D46AC" w:rsidRDefault="003E095D" w:rsidP="00B518F1">
            <w:pPr>
              <w:spacing w:line="240" w:lineRule="auto"/>
              <w:ind w:firstLine="0"/>
            </w:pPr>
            <w:r w:rsidRPr="004D46AC">
              <w:rPr>
                <w:color w:val="000000"/>
                <w:szCs w:val="21"/>
              </w:rPr>
              <w:t xml:space="preserve">0.12 </w:t>
            </w:r>
          </w:p>
        </w:tc>
        <w:tc>
          <w:tcPr>
            <w:tcW w:w="1704" w:type="dxa"/>
            <w:vAlign w:val="center"/>
          </w:tcPr>
          <w:p w14:paraId="4710FED2" w14:textId="77777777" w:rsidR="003E095D" w:rsidRPr="004D46AC" w:rsidRDefault="003E095D" w:rsidP="00B518F1">
            <w:pPr>
              <w:spacing w:line="240" w:lineRule="auto"/>
              <w:ind w:firstLine="0"/>
            </w:pPr>
            <w:r w:rsidRPr="004D46AC">
              <w:rPr>
                <w:color w:val="000000"/>
                <w:szCs w:val="21"/>
              </w:rPr>
              <w:t xml:space="preserve">-0.20 </w:t>
            </w:r>
          </w:p>
        </w:tc>
        <w:tc>
          <w:tcPr>
            <w:tcW w:w="1705" w:type="dxa"/>
            <w:vAlign w:val="center"/>
          </w:tcPr>
          <w:p w14:paraId="720C90A2" w14:textId="77777777" w:rsidR="003E095D" w:rsidRPr="004D46AC" w:rsidRDefault="003E095D" w:rsidP="00B518F1">
            <w:pPr>
              <w:spacing w:line="240" w:lineRule="auto"/>
              <w:ind w:firstLine="0"/>
            </w:pPr>
            <w:r w:rsidRPr="004D46AC">
              <w:rPr>
                <w:color w:val="000000"/>
                <w:szCs w:val="21"/>
              </w:rPr>
              <w:t xml:space="preserve">0.43 </w:t>
            </w:r>
          </w:p>
        </w:tc>
        <w:tc>
          <w:tcPr>
            <w:tcW w:w="1705" w:type="dxa"/>
            <w:vAlign w:val="center"/>
          </w:tcPr>
          <w:p w14:paraId="67158897" w14:textId="77777777" w:rsidR="003E095D" w:rsidRPr="004D46AC" w:rsidRDefault="003E095D" w:rsidP="00B518F1">
            <w:pPr>
              <w:spacing w:line="240" w:lineRule="auto"/>
              <w:ind w:firstLine="0"/>
            </w:pPr>
            <w:r w:rsidRPr="004D46AC">
              <w:rPr>
                <w:color w:val="000000"/>
                <w:szCs w:val="21"/>
              </w:rPr>
              <w:t xml:space="preserve">0.52 </w:t>
            </w:r>
          </w:p>
        </w:tc>
      </w:tr>
      <w:tr w:rsidR="003E095D" w:rsidRPr="004D46AC" w14:paraId="1CAB05B5" w14:textId="77777777" w:rsidTr="00B518F1">
        <w:tc>
          <w:tcPr>
            <w:tcW w:w="1704" w:type="dxa"/>
            <w:vAlign w:val="center"/>
          </w:tcPr>
          <w:p w14:paraId="0CAF67B6" w14:textId="77777777" w:rsidR="003E095D" w:rsidRPr="004D46AC" w:rsidRDefault="003E095D" w:rsidP="00B518F1">
            <w:pPr>
              <w:spacing w:line="240" w:lineRule="auto"/>
              <w:ind w:firstLine="0"/>
            </w:pPr>
            <w:r w:rsidRPr="004D46AC">
              <w:rPr>
                <w:color w:val="000000"/>
              </w:rPr>
              <w:t>TR17--TR13</w:t>
            </w:r>
          </w:p>
        </w:tc>
        <w:tc>
          <w:tcPr>
            <w:tcW w:w="1704" w:type="dxa"/>
            <w:vAlign w:val="center"/>
          </w:tcPr>
          <w:p w14:paraId="402A7B85" w14:textId="77777777" w:rsidR="003E095D" w:rsidRPr="004D46AC" w:rsidRDefault="003E095D" w:rsidP="00B518F1">
            <w:pPr>
              <w:spacing w:line="240" w:lineRule="auto"/>
              <w:ind w:firstLine="0"/>
            </w:pPr>
            <w:r w:rsidRPr="004D46AC">
              <w:rPr>
                <w:color w:val="000000"/>
                <w:szCs w:val="21"/>
              </w:rPr>
              <w:t xml:space="preserve">0.11 </w:t>
            </w:r>
          </w:p>
        </w:tc>
        <w:tc>
          <w:tcPr>
            <w:tcW w:w="1704" w:type="dxa"/>
            <w:vAlign w:val="center"/>
          </w:tcPr>
          <w:p w14:paraId="38D18551"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58F452C2" w14:textId="77777777" w:rsidR="003E095D" w:rsidRPr="004D46AC" w:rsidRDefault="003E095D" w:rsidP="00B518F1">
            <w:pPr>
              <w:spacing w:line="240" w:lineRule="auto"/>
              <w:ind w:firstLine="0"/>
            </w:pPr>
            <w:r w:rsidRPr="004D46AC">
              <w:rPr>
                <w:color w:val="000000"/>
                <w:szCs w:val="21"/>
              </w:rPr>
              <w:t xml:space="preserve">0.40 </w:t>
            </w:r>
          </w:p>
        </w:tc>
        <w:tc>
          <w:tcPr>
            <w:tcW w:w="1705" w:type="dxa"/>
            <w:vAlign w:val="center"/>
          </w:tcPr>
          <w:p w14:paraId="3017D09E" w14:textId="77777777" w:rsidR="003E095D" w:rsidRPr="004D46AC" w:rsidRDefault="003E095D" w:rsidP="00B518F1">
            <w:pPr>
              <w:spacing w:line="240" w:lineRule="auto"/>
              <w:ind w:firstLine="0"/>
            </w:pPr>
            <w:r w:rsidRPr="004D46AC">
              <w:rPr>
                <w:color w:val="000000"/>
                <w:szCs w:val="21"/>
              </w:rPr>
              <w:t xml:space="preserve">0.56 </w:t>
            </w:r>
          </w:p>
        </w:tc>
      </w:tr>
      <w:tr w:rsidR="003E095D" w:rsidRPr="004D46AC" w14:paraId="29233910" w14:textId="77777777" w:rsidTr="00B518F1">
        <w:tc>
          <w:tcPr>
            <w:tcW w:w="1704" w:type="dxa"/>
            <w:vAlign w:val="center"/>
          </w:tcPr>
          <w:p w14:paraId="6806AF18" w14:textId="77777777" w:rsidR="003E095D" w:rsidRPr="004D46AC" w:rsidRDefault="003E095D" w:rsidP="00B518F1">
            <w:pPr>
              <w:spacing w:line="240" w:lineRule="auto"/>
              <w:ind w:firstLine="0"/>
            </w:pPr>
            <w:r w:rsidRPr="004D46AC">
              <w:rPr>
                <w:color w:val="000000"/>
              </w:rPr>
              <w:t>TR24--TR26</w:t>
            </w:r>
          </w:p>
        </w:tc>
        <w:tc>
          <w:tcPr>
            <w:tcW w:w="1704" w:type="dxa"/>
            <w:vAlign w:val="center"/>
          </w:tcPr>
          <w:p w14:paraId="63780A5A" w14:textId="77777777" w:rsidR="003E095D" w:rsidRPr="004D46AC" w:rsidRDefault="003E095D" w:rsidP="00B518F1">
            <w:pPr>
              <w:spacing w:line="240" w:lineRule="auto"/>
              <w:ind w:firstLine="0"/>
            </w:pPr>
            <w:r w:rsidRPr="004D46AC">
              <w:rPr>
                <w:color w:val="000000"/>
                <w:szCs w:val="21"/>
              </w:rPr>
              <w:t xml:space="preserve">0.11 </w:t>
            </w:r>
          </w:p>
        </w:tc>
        <w:tc>
          <w:tcPr>
            <w:tcW w:w="1704" w:type="dxa"/>
            <w:vAlign w:val="center"/>
          </w:tcPr>
          <w:p w14:paraId="0F320859" w14:textId="77777777" w:rsidR="003E095D" w:rsidRPr="004D46AC" w:rsidRDefault="003E095D" w:rsidP="00B518F1">
            <w:pPr>
              <w:spacing w:line="240" w:lineRule="auto"/>
              <w:ind w:firstLine="0"/>
            </w:pPr>
            <w:r w:rsidRPr="004D46AC">
              <w:rPr>
                <w:color w:val="000000"/>
                <w:szCs w:val="21"/>
              </w:rPr>
              <w:t xml:space="preserve">-0.21 </w:t>
            </w:r>
          </w:p>
        </w:tc>
        <w:tc>
          <w:tcPr>
            <w:tcW w:w="1705" w:type="dxa"/>
            <w:vAlign w:val="center"/>
          </w:tcPr>
          <w:p w14:paraId="0D76F628" w14:textId="77777777" w:rsidR="003E095D" w:rsidRPr="004D46AC" w:rsidRDefault="003E095D" w:rsidP="00B518F1">
            <w:pPr>
              <w:spacing w:line="240" w:lineRule="auto"/>
              <w:ind w:firstLine="0"/>
            </w:pPr>
            <w:r w:rsidRPr="004D46AC">
              <w:rPr>
                <w:color w:val="000000"/>
                <w:szCs w:val="21"/>
              </w:rPr>
              <w:t xml:space="preserve">0.42 </w:t>
            </w:r>
          </w:p>
        </w:tc>
        <w:tc>
          <w:tcPr>
            <w:tcW w:w="1705" w:type="dxa"/>
            <w:vAlign w:val="center"/>
          </w:tcPr>
          <w:p w14:paraId="27CE1C5F" w14:textId="77777777" w:rsidR="003E095D" w:rsidRPr="004D46AC" w:rsidRDefault="003E095D" w:rsidP="00B518F1">
            <w:pPr>
              <w:spacing w:line="240" w:lineRule="auto"/>
              <w:ind w:firstLine="0"/>
            </w:pPr>
            <w:r w:rsidRPr="004D46AC">
              <w:rPr>
                <w:color w:val="000000"/>
                <w:szCs w:val="21"/>
              </w:rPr>
              <w:t xml:space="preserve">0.56 </w:t>
            </w:r>
          </w:p>
        </w:tc>
      </w:tr>
      <w:tr w:rsidR="003E095D" w:rsidRPr="004D46AC" w14:paraId="68E56FC0" w14:textId="77777777" w:rsidTr="00B518F1">
        <w:tc>
          <w:tcPr>
            <w:tcW w:w="1704" w:type="dxa"/>
            <w:vAlign w:val="center"/>
          </w:tcPr>
          <w:p w14:paraId="4750D867" w14:textId="77777777" w:rsidR="003E095D" w:rsidRPr="004D46AC" w:rsidRDefault="003E095D" w:rsidP="00B518F1">
            <w:pPr>
              <w:spacing w:line="240" w:lineRule="auto"/>
              <w:ind w:firstLine="0"/>
            </w:pPr>
            <w:r w:rsidRPr="004D46AC">
              <w:rPr>
                <w:color w:val="000000"/>
              </w:rPr>
              <w:t>TR15--TR37</w:t>
            </w:r>
          </w:p>
        </w:tc>
        <w:tc>
          <w:tcPr>
            <w:tcW w:w="1704" w:type="dxa"/>
            <w:vAlign w:val="center"/>
          </w:tcPr>
          <w:p w14:paraId="038ACD1A" w14:textId="77777777" w:rsidR="003E095D" w:rsidRPr="004D46AC" w:rsidRDefault="003E095D" w:rsidP="00B518F1">
            <w:pPr>
              <w:spacing w:line="240" w:lineRule="auto"/>
              <w:ind w:firstLine="0"/>
            </w:pPr>
            <w:r w:rsidRPr="004D46AC">
              <w:rPr>
                <w:color w:val="000000"/>
                <w:szCs w:val="21"/>
              </w:rPr>
              <w:t xml:space="preserve">0.10 </w:t>
            </w:r>
          </w:p>
        </w:tc>
        <w:tc>
          <w:tcPr>
            <w:tcW w:w="1704" w:type="dxa"/>
            <w:vAlign w:val="center"/>
          </w:tcPr>
          <w:p w14:paraId="7EEAFE36"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18275E6C" w14:textId="77777777" w:rsidR="003E095D" w:rsidRPr="004D46AC" w:rsidRDefault="003E095D" w:rsidP="00B518F1">
            <w:pPr>
              <w:spacing w:line="240" w:lineRule="auto"/>
              <w:ind w:firstLine="0"/>
            </w:pPr>
            <w:r w:rsidRPr="004D46AC">
              <w:rPr>
                <w:color w:val="000000"/>
                <w:szCs w:val="21"/>
              </w:rPr>
              <w:t xml:space="preserve">0.43 </w:t>
            </w:r>
          </w:p>
        </w:tc>
        <w:tc>
          <w:tcPr>
            <w:tcW w:w="1705" w:type="dxa"/>
            <w:vAlign w:val="center"/>
          </w:tcPr>
          <w:p w14:paraId="395E1201" w14:textId="77777777" w:rsidR="003E095D" w:rsidRPr="004D46AC" w:rsidRDefault="003E095D" w:rsidP="00B518F1">
            <w:pPr>
              <w:spacing w:line="240" w:lineRule="auto"/>
              <w:ind w:firstLine="0"/>
            </w:pPr>
            <w:r w:rsidRPr="004D46AC">
              <w:rPr>
                <w:color w:val="000000"/>
                <w:szCs w:val="21"/>
              </w:rPr>
              <w:t xml:space="preserve">0.55 </w:t>
            </w:r>
          </w:p>
        </w:tc>
      </w:tr>
      <w:tr w:rsidR="003E095D" w:rsidRPr="004D46AC" w14:paraId="6FEEE7CD" w14:textId="77777777" w:rsidTr="00B518F1">
        <w:tc>
          <w:tcPr>
            <w:tcW w:w="1704" w:type="dxa"/>
            <w:vAlign w:val="center"/>
          </w:tcPr>
          <w:p w14:paraId="44FD0C37" w14:textId="77777777" w:rsidR="003E095D" w:rsidRPr="004D46AC" w:rsidRDefault="003E095D" w:rsidP="00B518F1">
            <w:pPr>
              <w:spacing w:line="240" w:lineRule="auto"/>
              <w:ind w:firstLine="0"/>
            </w:pPr>
            <w:r w:rsidRPr="004D46AC">
              <w:rPr>
                <w:color w:val="000000"/>
              </w:rPr>
              <w:t>TR12--TR34</w:t>
            </w:r>
          </w:p>
        </w:tc>
        <w:tc>
          <w:tcPr>
            <w:tcW w:w="1704" w:type="dxa"/>
            <w:vAlign w:val="center"/>
          </w:tcPr>
          <w:p w14:paraId="3ACA704C" w14:textId="77777777" w:rsidR="003E095D" w:rsidRPr="004D46AC" w:rsidRDefault="003E095D" w:rsidP="00B518F1">
            <w:pPr>
              <w:spacing w:line="240" w:lineRule="auto"/>
              <w:ind w:firstLine="0"/>
            </w:pPr>
            <w:r w:rsidRPr="004D46AC">
              <w:rPr>
                <w:color w:val="000000"/>
                <w:szCs w:val="21"/>
              </w:rPr>
              <w:t xml:space="preserve">0.09 </w:t>
            </w:r>
          </w:p>
        </w:tc>
        <w:tc>
          <w:tcPr>
            <w:tcW w:w="1704" w:type="dxa"/>
            <w:vAlign w:val="center"/>
          </w:tcPr>
          <w:p w14:paraId="0342F70B" w14:textId="77777777" w:rsidR="003E095D" w:rsidRPr="004D46AC" w:rsidRDefault="003E095D" w:rsidP="00B518F1">
            <w:pPr>
              <w:spacing w:line="240" w:lineRule="auto"/>
              <w:ind w:firstLine="0"/>
            </w:pPr>
            <w:r w:rsidRPr="004D46AC">
              <w:rPr>
                <w:color w:val="000000"/>
                <w:szCs w:val="21"/>
              </w:rPr>
              <w:t xml:space="preserve">-0.20 </w:t>
            </w:r>
          </w:p>
        </w:tc>
        <w:tc>
          <w:tcPr>
            <w:tcW w:w="1705" w:type="dxa"/>
            <w:vAlign w:val="center"/>
          </w:tcPr>
          <w:p w14:paraId="3B0C15E5" w14:textId="77777777" w:rsidR="003E095D" w:rsidRPr="004D46AC" w:rsidRDefault="003E095D" w:rsidP="00B518F1">
            <w:pPr>
              <w:spacing w:line="240" w:lineRule="auto"/>
              <w:ind w:firstLine="0"/>
            </w:pPr>
            <w:r w:rsidRPr="004D46AC">
              <w:rPr>
                <w:color w:val="000000"/>
                <w:szCs w:val="21"/>
              </w:rPr>
              <w:t xml:space="preserve">0.38 </w:t>
            </w:r>
          </w:p>
        </w:tc>
        <w:tc>
          <w:tcPr>
            <w:tcW w:w="1705" w:type="dxa"/>
            <w:vAlign w:val="center"/>
          </w:tcPr>
          <w:p w14:paraId="59B0D52C" w14:textId="77777777" w:rsidR="003E095D" w:rsidRPr="004D46AC" w:rsidRDefault="003E095D" w:rsidP="00B518F1">
            <w:pPr>
              <w:spacing w:line="240" w:lineRule="auto"/>
              <w:ind w:firstLine="0"/>
            </w:pPr>
            <w:r w:rsidRPr="004D46AC">
              <w:rPr>
                <w:color w:val="000000"/>
                <w:szCs w:val="21"/>
              </w:rPr>
              <w:t xml:space="preserve">0.65 </w:t>
            </w:r>
          </w:p>
        </w:tc>
      </w:tr>
      <w:tr w:rsidR="003E095D" w:rsidRPr="004D46AC" w14:paraId="7D03E8D5" w14:textId="77777777" w:rsidTr="00B518F1">
        <w:tc>
          <w:tcPr>
            <w:tcW w:w="1704" w:type="dxa"/>
            <w:vAlign w:val="center"/>
          </w:tcPr>
          <w:p w14:paraId="3B3F961D" w14:textId="77777777" w:rsidR="003E095D" w:rsidRPr="004D46AC" w:rsidRDefault="003E095D" w:rsidP="00B518F1">
            <w:pPr>
              <w:spacing w:line="240" w:lineRule="auto"/>
              <w:ind w:firstLine="0"/>
            </w:pPr>
            <w:r w:rsidRPr="004D46AC">
              <w:rPr>
                <w:color w:val="000000"/>
              </w:rPr>
              <w:t>TR3--TR25</w:t>
            </w:r>
          </w:p>
        </w:tc>
        <w:tc>
          <w:tcPr>
            <w:tcW w:w="1704" w:type="dxa"/>
            <w:vAlign w:val="center"/>
          </w:tcPr>
          <w:p w14:paraId="116EAD15" w14:textId="77777777" w:rsidR="003E095D" w:rsidRPr="004D46AC" w:rsidRDefault="003E095D" w:rsidP="00B518F1">
            <w:pPr>
              <w:spacing w:line="240" w:lineRule="auto"/>
              <w:ind w:firstLine="0"/>
            </w:pPr>
            <w:r w:rsidRPr="004D46AC">
              <w:rPr>
                <w:color w:val="000000"/>
                <w:szCs w:val="21"/>
              </w:rPr>
              <w:t xml:space="preserve">0.09 </w:t>
            </w:r>
          </w:p>
        </w:tc>
        <w:tc>
          <w:tcPr>
            <w:tcW w:w="1704" w:type="dxa"/>
            <w:vAlign w:val="center"/>
          </w:tcPr>
          <w:p w14:paraId="5DF2AA3C" w14:textId="77777777" w:rsidR="003E095D" w:rsidRPr="004D46AC" w:rsidRDefault="003E095D" w:rsidP="00B518F1">
            <w:pPr>
              <w:spacing w:line="240" w:lineRule="auto"/>
              <w:ind w:firstLine="0"/>
            </w:pPr>
            <w:r w:rsidRPr="004D46AC">
              <w:rPr>
                <w:color w:val="000000"/>
                <w:szCs w:val="21"/>
              </w:rPr>
              <w:t xml:space="preserve">-0.15 </w:t>
            </w:r>
          </w:p>
        </w:tc>
        <w:tc>
          <w:tcPr>
            <w:tcW w:w="1705" w:type="dxa"/>
            <w:vAlign w:val="center"/>
          </w:tcPr>
          <w:p w14:paraId="4179B50F" w14:textId="77777777" w:rsidR="003E095D" w:rsidRPr="004D46AC" w:rsidRDefault="003E095D" w:rsidP="00B518F1">
            <w:pPr>
              <w:spacing w:line="240" w:lineRule="auto"/>
              <w:ind w:firstLine="0"/>
            </w:pPr>
            <w:r w:rsidRPr="004D46AC">
              <w:rPr>
                <w:color w:val="000000"/>
                <w:szCs w:val="21"/>
              </w:rPr>
              <w:t xml:space="preserve">0.32 </w:t>
            </w:r>
          </w:p>
        </w:tc>
        <w:tc>
          <w:tcPr>
            <w:tcW w:w="1705" w:type="dxa"/>
            <w:vAlign w:val="center"/>
          </w:tcPr>
          <w:p w14:paraId="7523E48D" w14:textId="77777777" w:rsidR="003E095D" w:rsidRPr="004D46AC" w:rsidRDefault="003E095D" w:rsidP="00B518F1">
            <w:pPr>
              <w:spacing w:line="240" w:lineRule="auto"/>
              <w:ind w:firstLine="0"/>
            </w:pPr>
            <w:r w:rsidRPr="004D46AC">
              <w:rPr>
                <w:color w:val="000000"/>
                <w:szCs w:val="21"/>
              </w:rPr>
              <w:t xml:space="preserve">0.82 </w:t>
            </w:r>
          </w:p>
        </w:tc>
      </w:tr>
      <w:tr w:rsidR="003E095D" w:rsidRPr="004D46AC" w14:paraId="7FA89037" w14:textId="77777777" w:rsidTr="00B518F1">
        <w:tc>
          <w:tcPr>
            <w:tcW w:w="1704" w:type="dxa"/>
            <w:vAlign w:val="center"/>
          </w:tcPr>
          <w:p w14:paraId="1A083E13" w14:textId="77777777" w:rsidR="003E095D" w:rsidRPr="004D46AC" w:rsidRDefault="003E095D" w:rsidP="00B518F1">
            <w:pPr>
              <w:spacing w:line="240" w:lineRule="auto"/>
              <w:ind w:firstLine="0"/>
            </w:pPr>
            <w:r w:rsidRPr="004D46AC">
              <w:rPr>
                <w:color w:val="000000"/>
              </w:rPr>
              <w:t>TR24--TR34</w:t>
            </w:r>
          </w:p>
        </w:tc>
        <w:tc>
          <w:tcPr>
            <w:tcW w:w="1704" w:type="dxa"/>
            <w:vAlign w:val="center"/>
          </w:tcPr>
          <w:p w14:paraId="49421AC5" w14:textId="77777777" w:rsidR="003E095D" w:rsidRPr="004D46AC" w:rsidRDefault="003E095D" w:rsidP="00B518F1">
            <w:pPr>
              <w:spacing w:line="240" w:lineRule="auto"/>
              <w:ind w:firstLine="0"/>
            </w:pPr>
            <w:r w:rsidRPr="004D46AC">
              <w:rPr>
                <w:color w:val="000000"/>
                <w:szCs w:val="21"/>
              </w:rPr>
              <w:t xml:space="preserve">0.08 </w:t>
            </w:r>
          </w:p>
        </w:tc>
        <w:tc>
          <w:tcPr>
            <w:tcW w:w="1704" w:type="dxa"/>
            <w:vAlign w:val="center"/>
          </w:tcPr>
          <w:p w14:paraId="0809D66E" w14:textId="77777777" w:rsidR="003E095D" w:rsidRPr="004D46AC" w:rsidRDefault="003E095D" w:rsidP="00B518F1">
            <w:pPr>
              <w:spacing w:line="240" w:lineRule="auto"/>
              <w:ind w:firstLine="0"/>
            </w:pPr>
            <w:r w:rsidRPr="004D46AC">
              <w:rPr>
                <w:color w:val="000000"/>
                <w:szCs w:val="21"/>
              </w:rPr>
              <w:t xml:space="preserve">-0.22 </w:t>
            </w:r>
          </w:p>
        </w:tc>
        <w:tc>
          <w:tcPr>
            <w:tcW w:w="1705" w:type="dxa"/>
            <w:vAlign w:val="center"/>
          </w:tcPr>
          <w:p w14:paraId="7C73EBC9" w14:textId="77777777" w:rsidR="003E095D" w:rsidRPr="004D46AC" w:rsidRDefault="003E095D" w:rsidP="00B518F1">
            <w:pPr>
              <w:spacing w:line="240" w:lineRule="auto"/>
              <w:ind w:firstLine="0"/>
            </w:pPr>
            <w:r w:rsidRPr="004D46AC">
              <w:rPr>
                <w:color w:val="000000"/>
                <w:szCs w:val="21"/>
              </w:rPr>
              <w:t xml:space="preserve">0.39 </w:t>
            </w:r>
          </w:p>
        </w:tc>
        <w:tc>
          <w:tcPr>
            <w:tcW w:w="1705" w:type="dxa"/>
            <w:vAlign w:val="center"/>
          </w:tcPr>
          <w:p w14:paraId="06297635" w14:textId="77777777" w:rsidR="003E095D" w:rsidRPr="004D46AC" w:rsidRDefault="003E095D" w:rsidP="00B518F1">
            <w:pPr>
              <w:spacing w:line="240" w:lineRule="auto"/>
              <w:ind w:firstLine="0"/>
            </w:pPr>
            <w:r w:rsidRPr="004D46AC">
              <w:rPr>
                <w:color w:val="000000"/>
                <w:szCs w:val="21"/>
              </w:rPr>
              <w:t xml:space="preserve">0.53 </w:t>
            </w:r>
          </w:p>
        </w:tc>
      </w:tr>
      <w:tr w:rsidR="003E095D" w:rsidRPr="004D46AC" w14:paraId="33B97533" w14:textId="77777777" w:rsidTr="00B518F1">
        <w:tc>
          <w:tcPr>
            <w:tcW w:w="1704" w:type="dxa"/>
            <w:vAlign w:val="center"/>
          </w:tcPr>
          <w:p w14:paraId="00B17A55" w14:textId="77777777" w:rsidR="003E095D" w:rsidRPr="004D46AC" w:rsidRDefault="003E095D" w:rsidP="00B518F1">
            <w:pPr>
              <w:spacing w:line="240" w:lineRule="auto"/>
              <w:ind w:firstLine="0"/>
            </w:pPr>
            <w:r w:rsidRPr="004D46AC">
              <w:rPr>
                <w:color w:val="000000"/>
              </w:rPr>
              <w:t>TR27--TR22</w:t>
            </w:r>
          </w:p>
        </w:tc>
        <w:tc>
          <w:tcPr>
            <w:tcW w:w="1704" w:type="dxa"/>
            <w:vAlign w:val="center"/>
          </w:tcPr>
          <w:p w14:paraId="33AEB52B" w14:textId="77777777" w:rsidR="003E095D" w:rsidRPr="004D46AC" w:rsidRDefault="003E095D" w:rsidP="00B518F1">
            <w:pPr>
              <w:spacing w:line="240" w:lineRule="auto"/>
              <w:ind w:firstLine="0"/>
            </w:pPr>
            <w:r w:rsidRPr="004D46AC">
              <w:rPr>
                <w:color w:val="000000"/>
                <w:szCs w:val="21"/>
              </w:rPr>
              <w:t xml:space="preserve">0.08 </w:t>
            </w:r>
          </w:p>
        </w:tc>
        <w:tc>
          <w:tcPr>
            <w:tcW w:w="1704" w:type="dxa"/>
            <w:vAlign w:val="center"/>
          </w:tcPr>
          <w:p w14:paraId="5069057E"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68049411" w14:textId="77777777" w:rsidR="003E095D" w:rsidRPr="004D46AC" w:rsidRDefault="003E095D" w:rsidP="00B518F1">
            <w:pPr>
              <w:spacing w:line="240" w:lineRule="auto"/>
              <w:ind w:firstLine="0"/>
            </w:pPr>
            <w:r w:rsidRPr="004D46AC">
              <w:rPr>
                <w:color w:val="000000"/>
                <w:szCs w:val="21"/>
              </w:rPr>
              <w:t xml:space="preserve">0.35 </w:t>
            </w:r>
          </w:p>
        </w:tc>
        <w:tc>
          <w:tcPr>
            <w:tcW w:w="1705" w:type="dxa"/>
            <w:vAlign w:val="center"/>
          </w:tcPr>
          <w:p w14:paraId="12B137E1" w14:textId="77777777" w:rsidR="003E095D" w:rsidRPr="004D46AC" w:rsidRDefault="003E095D" w:rsidP="00B518F1">
            <w:pPr>
              <w:spacing w:line="240" w:lineRule="auto"/>
              <w:ind w:firstLine="0"/>
            </w:pPr>
            <w:r w:rsidRPr="004D46AC">
              <w:rPr>
                <w:color w:val="000000"/>
                <w:szCs w:val="21"/>
              </w:rPr>
              <w:t xml:space="preserve">0.77 </w:t>
            </w:r>
          </w:p>
        </w:tc>
      </w:tr>
      <w:tr w:rsidR="003E095D" w:rsidRPr="004D46AC" w14:paraId="761022B5" w14:textId="77777777" w:rsidTr="00B518F1">
        <w:tc>
          <w:tcPr>
            <w:tcW w:w="1704" w:type="dxa"/>
            <w:vAlign w:val="center"/>
          </w:tcPr>
          <w:p w14:paraId="6CD203C9" w14:textId="77777777" w:rsidR="003E095D" w:rsidRPr="004D46AC" w:rsidRDefault="003E095D" w:rsidP="00B518F1">
            <w:pPr>
              <w:spacing w:line="240" w:lineRule="auto"/>
              <w:ind w:firstLine="0"/>
            </w:pPr>
            <w:r w:rsidRPr="004D46AC">
              <w:rPr>
                <w:color w:val="000000"/>
              </w:rPr>
              <w:t>TR21--TR33</w:t>
            </w:r>
          </w:p>
        </w:tc>
        <w:tc>
          <w:tcPr>
            <w:tcW w:w="1704" w:type="dxa"/>
            <w:vAlign w:val="center"/>
          </w:tcPr>
          <w:p w14:paraId="4FE82330" w14:textId="77777777" w:rsidR="003E095D" w:rsidRPr="004D46AC" w:rsidRDefault="003E095D" w:rsidP="00B518F1">
            <w:pPr>
              <w:spacing w:line="240" w:lineRule="auto"/>
              <w:ind w:firstLine="0"/>
            </w:pPr>
            <w:r w:rsidRPr="004D46AC">
              <w:rPr>
                <w:color w:val="000000"/>
                <w:szCs w:val="21"/>
              </w:rPr>
              <w:t xml:space="preserve">0.07 </w:t>
            </w:r>
          </w:p>
        </w:tc>
        <w:tc>
          <w:tcPr>
            <w:tcW w:w="1704" w:type="dxa"/>
            <w:vAlign w:val="center"/>
          </w:tcPr>
          <w:p w14:paraId="179ADB4E" w14:textId="77777777" w:rsidR="003E095D" w:rsidRPr="004D46AC" w:rsidRDefault="003E095D" w:rsidP="00B518F1">
            <w:pPr>
              <w:spacing w:line="240" w:lineRule="auto"/>
              <w:ind w:firstLine="0"/>
            </w:pPr>
            <w:r w:rsidRPr="004D46AC">
              <w:rPr>
                <w:color w:val="000000"/>
                <w:szCs w:val="21"/>
              </w:rPr>
              <w:t xml:space="preserve">-0.20 </w:t>
            </w:r>
          </w:p>
        </w:tc>
        <w:tc>
          <w:tcPr>
            <w:tcW w:w="1705" w:type="dxa"/>
            <w:vAlign w:val="center"/>
          </w:tcPr>
          <w:p w14:paraId="2ADC0446" w14:textId="77777777" w:rsidR="003E095D" w:rsidRPr="004D46AC" w:rsidRDefault="003E095D" w:rsidP="00B518F1">
            <w:pPr>
              <w:spacing w:line="240" w:lineRule="auto"/>
              <w:ind w:firstLine="0"/>
            </w:pPr>
            <w:r w:rsidRPr="004D46AC">
              <w:rPr>
                <w:color w:val="000000"/>
                <w:szCs w:val="21"/>
              </w:rPr>
              <w:t xml:space="preserve">0.34 </w:t>
            </w:r>
          </w:p>
        </w:tc>
        <w:tc>
          <w:tcPr>
            <w:tcW w:w="1705" w:type="dxa"/>
            <w:vAlign w:val="center"/>
          </w:tcPr>
          <w:p w14:paraId="559CA91A" w14:textId="77777777" w:rsidR="003E095D" w:rsidRPr="004D46AC" w:rsidRDefault="003E095D" w:rsidP="00B518F1">
            <w:pPr>
              <w:spacing w:line="240" w:lineRule="auto"/>
              <w:ind w:firstLine="0"/>
            </w:pPr>
            <w:r w:rsidRPr="004D46AC">
              <w:rPr>
                <w:color w:val="000000"/>
                <w:szCs w:val="21"/>
              </w:rPr>
              <w:t xml:space="preserve">0.66 </w:t>
            </w:r>
          </w:p>
        </w:tc>
      </w:tr>
      <w:tr w:rsidR="003E095D" w:rsidRPr="004D46AC" w14:paraId="44BBF7A6" w14:textId="77777777" w:rsidTr="00B518F1">
        <w:tc>
          <w:tcPr>
            <w:tcW w:w="1704" w:type="dxa"/>
            <w:vAlign w:val="center"/>
          </w:tcPr>
          <w:p w14:paraId="641078E8" w14:textId="77777777" w:rsidR="003E095D" w:rsidRPr="004D46AC" w:rsidRDefault="003E095D" w:rsidP="00B518F1">
            <w:pPr>
              <w:spacing w:line="240" w:lineRule="auto"/>
              <w:ind w:firstLine="0"/>
            </w:pPr>
            <w:r w:rsidRPr="004D46AC">
              <w:rPr>
                <w:color w:val="000000"/>
              </w:rPr>
              <w:t>TR24--TR17</w:t>
            </w:r>
          </w:p>
        </w:tc>
        <w:tc>
          <w:tcPr>
            <w:tcW w:w="1704" w:type="dxa"/>
            <w:vAlign w:val="center"/>
          </w:tcPr>
          <w:p w14:paraId="66FB3F8F" w14:textId="77777777" w:rsidR="003E095D" w:rsidRPr="004D46AC" w:rsidRDefault="003E095D" w:rsidP="00B518F1">
            <w:pPr>
              <w:spacing w:line="240" w:lineRule="auto"/>
              <w:ind w:firstLine="0"/>
            </w:pPr>
            <w:r w:rsidRPr="004D46AC">
              <w:rPr>
                <w:color w:val="000000"/>
                <w:szCs w:val="21"/>
              </w:rPr>
              <w:t xml:space="preserve">0.05 </w:t>
            </w:r>
          </w:p>
        </w:tc>
        <w:tc>
          <w:tcPr>
            <w:tcW w:w="1704" w:type="dxa"/>
            <w:vAlign w:val="center"/>
          </w:tcPr>
          <w:p w14:paraId="4FC244A3"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6AD00C6F" w14:textId="77777777" w:rsidR="003E095D" w:rsidRPr="004D46AC" w:rsidRDefault="003E095D" w:rsidP="00B518F1">
            <w:pPr>
              <w:spacing w:line="240" w:lineRule="auto"/>
              <w:ind w:firstLine="0"/>
            </w:pPr>
            <w:r w:rsidRPr="004D46AC">
              <w:rPr>
                <w:color w:val="000000"/>
                <w:szCs w:val="21"/>
              </w:rPr>
              <w:t xml:space="preserve">0.28 </w:t>
            </w:r>
          </w:p>
        </w:tc>
        <w:tc>
          <w:tcPr>
            <w:tcW w:w="1705" w:type="dxa"/>
            <w:vAlign w:val="center"/>
          </w:tcPr>
          <w:p w14:paraId="4A79FBC1" w14:textId="77777777" w:rsidR="003E095D" w:rsidRPr="004D46AC" w:rsidRDefault="003E095D" w:rsidP="00B518F1">
            <w:pPr>
              <w:spacing w:line="240" w:lineRule="auto"/>
              <w:ind w:firstLine="0"/>
            </w:pPr>
            <w:r w:rsidRPr="004D46AC">
              <w:rPr>
                <w:color w:val="000000"/>
                <w:szCs w:val="21"/>
              </w:rPr>
              <w:t xml:space="preserve">0.68 </w:t>
            </w:r>
          </w:p>
        </w:tc>
      </w:tr>
      <w:tr w:rsidR="003E095D" w:rsidRPr="004D46AC" w14:paraId="1E2F89D7" w14:textId="77777777" w:rsidTr="00B518F1">
        <w:tc>
          <w:tcPr>
            <w:tcW w:w="1704" w:type="dxa"/>
            <w:vAlign w:val="center"/>
          </w:tcPr>
          <w:p w14:paraId="7A1881A7" w14:textId="77777777" w:rsidR="003E095D" w:rsidRPr="004D46AC" w:rsidRDefault="003E095D" w:rsidP="00B518F1">
            <w:pPr>
              <w:spacing w:line="240" w:lineRule="auto"/>
              <w:ind w:firstLine="0"/>
            </w:pPr>
            <w:r w:rsidRPr="004D46AC">
              <w:rPr>
                <w:color w:val="000000"/>
              </w:rPr>
              <w:lastRenderedPageBreak/>
              <w:t>TR12--TR22</w:t>
            </w:r>
          </w:p>
        </w:tc>
        <w:tc>
          <w:tcPr>
            <w:tcW w:w="1704" w:type="dxa"/>
            <w:vAlign w:val="center"/>
          </w:tcPr>
          <w:p w14:paraId="1932E885" w14:textId="77777777" w:rsidR="003E095D" w:rsidRPr="004D46AC" w:rsidRDefault="003E095D" w:rsidP="00B518F1">
            <w:pPr>
              <w:spacing w:line="240" w:lineRule="auto"/>
              <w:ind w:firstLine="0"/>
            </w:pPr>
            <w:r w:rsidRPr="004D46AC">
              <w:rPr>
                <w:color w:val="000000"/>
                <w:szCs w:val="21"/>
              </w:rPr>
              <w:t xml:space="preserve">-0.17 </w:t>
            </w:r>
          </w:p>
        </w:tc>
        <w:tc>
          <w:tcPr>
            <w:tcW w:w="1704" w:type="dxa"/>
            <w:vAlign w:val="center"/>
          </w:tcPr>
          <w:p w14:paraId="510EEBBD" w14:textId="77777777" w:rsidR="003E095D" w:rsidRPr="004D46AC" w:rsidRDefault="003E095D" w:rsidP="00B518F1">
            <w:pPr>
              <w:spacing w:line="240" w:lineRule="auto"/>
              <w:ind w:firstLine="0"/>
            </w:pPr>
            <w:r w:rsidRPr="004D46AC">
              <w:rPr>
                <w:color w:val="000000"/>
                <w:szCs w:val="21"/>
              </w:rPr>
              <w:t xml:space="preserve">-0.46 </w:t>
            </w:r>
          </w:p>
        </w:tc>
        <w:tc>
          <w:tcPr>
            <w:tcW w:w="1705" w:type="dxa"/>
            <w:vAlign w:val="center"/>
          </w:tcPr>
          <w:p w14:paraId="44769F0E" w14:textId="77777777" w:rsidR="003E095D" w:rsidRPr="004D46AC" w:rsidRDefault="003E095D" w:rsidP="00B518F1">
            <w:pPr>
              <w:spacing w:line="240" w:lineRule="auto"/>
              <w:ind w:firstLine="0"/>
            </w:pPr>
            <w:r w:rsidRPr="004D46AC">
              <w:rPr>
                <w:color w:val="000000"/>
                <w:szCs w:val="21"/>
              </w:rPr>
              <w:t xml:space="preserve">0.12 </w:t>
            </w:r>
          </w:p>
        </w:tc>
        <w:tc>
          <w:tcPr>
            <w:tcW w:w="1705" w:type="dxa"/>
            <w:vAlign w:val="center"/>
          </w:tcPr>
          <w:p w14:paraId="15C0BD6C" w14:textId="77777777" w:rsidR="003E095D" w:rsidRPr="004D46AC" w:rsidRDefault="003E095D" w:rsidP="00B518F1">
            <w:pPr>
              <w:spacing w:line="240" w:lineRule="auto"/>
              <w:ind w:firstLine="0"/>
            </w:pPr>
            <w:r w:rsidRPr="004D46AC">
              <w:rPr>
                <w:color w:val="000000"/>
                <w:szCs w:val="21"/>
              </w:rPr>
              <w:t xml:space="preserve">0.69 </w:t>
            </w:r>
          </w:p>
        </w:tc>
      </w:tr>
      <w:tr w:rsidR="003E095D" w:rsidRPr="004D46AC" w14:paraId="588888E6" w14:textId="77777777" w:rsidTr="00B518F1">
        <w:tc>
          <w:tcPr>
            <w:tcW w:w="1704" w:type="dxa"/>
            <w:vAlign w:val="center"/>
          </w:tcPr>
          <w:p w14:paraId="20C7BA06" w14:textId="77777777" w:rsidR="003E095D" w:rsidRPr="004D46AC" w:rsidRDefault="003E095D" w:rsidP="00B518F1">
            <w:pPr>
              <w:spacing w:line="240" w:lineRule="auto"/>
              <w:ind w:firstLine="0"/>
            </w:pPr>
            <w:r w:rsidRPr="004D46AC">
              <w:rPr>
                <w:color w:val="000000"/>
              </w:rPr>
              <w:t>TR12--TR16</w:t>
            </w:r>
          </w:p>
        </w:tc>
        <w:tc>
          <w:tcPr>
            <w:tcW w:w="1704" w:type="dxa"/>
            <w:vAlign w:val="center"/>
          </w:tcPr>
          <w:p w14:paraId="29384582" w14:textId="77777777" w:rsidR="003E095D" w:rsidRPr="004D46AC" w:rsidRDefault="003E095D" w:rsidP="00B518F1">
            <w:pPr>
              <w:spacing w:line="240" w:lineRule="auto"/>
              <w:ind w:firstLine="0"/>
            </w:pPr>
            <w:r w:rsidRPr="004D46AC">
              <w:rPr>
                <w:color w:val="000000"/>
                <w:szCs w:val="21"/>
              </w:rPr>
              <w:t xml:space="preserve">-0.28 </w:t>
            </w:r>
          </w:p>
        </w:tc>
        <w:tc>
          <w:tcPr>
            <w:tcW w:w="1704" w:type="dxa"/>
            <w:vAlign w:val="center"/>
          </w:tcPr>
          <w:p w14:paraId="6ECF5115" w14:textId="77777777" w:rsidR="003E095D" w:rsidRPr="004D46AC" w:rsidRDefault="003E095D" w:rsidP="00B518F1">
            <w:pPr>
              <w:spacing w:line="240" w:lineRule="auto"/>
              <w:ind w:firstLine="0"/>
            </w:pPr>
            <w:r w:rsidRPr="004D46AC">
              <w:rPr>
                <w:color w:val="000000"/>
                <w:szCs w:val="21"/>
              </w:rPr>
              <w:t xml:space="preserve">-0.73 </w:t>
            </w:r>
          </w:p>
        </w:tc>
        <w:tc>
          <w:tcPr>
            <w:tcW w:w="1705" w:type="dxa"/>
            <w:vAlign w:val="center"/>
          </w:tcPr>
          <w:p w14:paraId="22669010" w14:textId="77777777" w:rsidR="003E095D" w:rsidRPr="004D46AC" w:rsidRDefault="003E095D" w:rsidP="00B518F1">
            <w:pPr>
              <w:spacing w:line="240" w:lineRule="auto"/>
              <w:ind w:firstLine="0"/>
            </w:pPr>
            <w:r w:rsidRPr="004D46AC">
              <w:rPr>
                <w:color w:val="000000"/>
                <w:szCs w:val="21"/>
              </w:rPr>
              <w:t xml:space="preserve">0.18 </w:t>
            </w:r>
          </w:p>
        </w:tc>
        <w:tc>
          <w:tcPr>
            <w:tcW w:w="1705" w:type="dxa"/>
            <w:vAlign w:val="center"/>
          </w:tcPr>
          <w:p w14:paraId="53B16BFC" w14:textId="77777777" w:rsidR="003E095D" w:rsidRPr="004D46AC" w:rsidRDefault="003E095D" w:rsidP="00B518F1">
            <w:pPr>
              <w:spacing w:line="240" w:lineRule="auto"/>
              <w:ind w:firstLine="0"/>
            </w:pPr>
            <w:r w:rsidRPr="004D46AC">
              <w:rPr>
                <w:color w:val="000000"/>
                <w:szCs w:val="21"/>
              </w:rPr>
              <w:t xml:space="preserve">0.33 </w:t>
            </w:r>
          </w:p>
        </w:tc>
      </w:tr>
      <w:tr w:rsidR="003E095D" w:rsidRPr="004D46AC" w14:paraId="04300EB7" w14:textId="77777777" w:rsidTr="00B518F1">
        <w:tc>
          <w:tcPr>
            <w:tcW w:w="1704" w:type="dxa"/>
            <w:vAlign w:val="center"/>
          </w:tcPr>
          <w:p w14:paraId="08F8BE0B" w14:textId="77777777" w:rsidR="003E095D" w:rsidRPr="004D46AC" w:rsidRDefault="003E095D" w:rsidP="00B518F1">
            <w:pPr>
              <w:spacing w:line="240" w:lineRule="auto"/>
              <w:ind w:firstLine="0"/>
            </w:pPr>
            <w:r w:rsidRPr="004D46AC">
              <w:rPr>
                <w:color w:val="000000"/>
              </w:rPr>
              <w:t>TR12--TR14</w:t>
            </w:r>
          </w:p>
        </w:tc>
        <w:tc>
          <w:tcPr>
            <w:tcW w:w="1704" w:type="dxa"/>
            <w:vAlign w:val="center"/>
          </w:tcPr>
          <w:p w14:paraId="499F6158" w14:textId="77777777" w:rsidR="003E095D" w:rsidRPr="004D46AC" w:rsidRDefault="003E095D" w:rsidP="00B518F1">
            <w:pPr>
              <w:spacing w:line="240" w:lineRule="auto"/>
              <w:ind w:firstLine="0"/>
            </w:pPr>
            <w:r w:rsidRPr="004D46AC">
              <w:rPr>
                <w:color w:val="000000"/>
                <w:szCs w:val="21"/>
              </w:rPr>
              <w:t xml:space="preserve">-0.51 </w:t>
            </w:r>
          </w:p>
        </w:tc>
        <w:tc>
          <w:tcPr>
            <w:tcW w:w="1704" w:type="dxa"/>
            <w:vAlign w:val="center"/>
          </w:tcPr>
          <w:p w14:paraId="02665366" w14:textId="77777777" w:rsidR="003E095D" w:rsidRPr="004D46AC" w:rsidRDefault="003E095D" w:rsidP="00B518F1">
            <w:pPr>
              <w:spacing w:line="240" w:lineRule="auto"/>
              <w:ind w:firstLine="0"/>
            </w:pPr>
            <w:r w:rsidRPr="004D46AC">
              <w:rPr>
                <w:color w:val="000000"/>
                <w:szCs w:val="21"/>
              </w:rPr>
              <w:t xml:space="preserve">-0.95 </w:t>
            </w:r>
          </w:p>
        </w:tc>
        <w:tc>
          <w:tcPr>
            <w:tcW w:w="1705" w:type="dxa"/>
            <w:vAlign w:val="center"/>
          </w:tcPr>
          <w:p w14:paraId="2A9A2F25" w14:textId="77777777" w:rsidR="003E095D" w:rsidRPr="004D46AC" w:rsidRDefault="003E095D" w:rsidP="00B518F1">
            <w:pPr>
              <w:spacing w:line="240" w:lineRule="auto"/>
              <w:ind w:firstLine="0"/>
            </w:pPr>
            <w:r w:rsidRPr="004D46AC">
              <w:rPr>
                <w:color w:val="000000"/>
                <w:szCs w:val="21"/>
              </w:rPr>
              <w:t xml:space="preserve">-0.06 </w:t>
            </w:r>
          </w:p>
        </w:tc>
        <w:tc>
          <w:tcPr>
            <w:tcW w:w="1705" w:type="dxa"/>
            <w:vAlign w:val="center"/>
          </w:tcPr>
          <w:p w14:paraId="780F7608" w14:textId="77777777" w:rsidR="003E095D" w:rsidRPr="004D46AC" w:rsidRDefault="003E095D" w:rsidP="00B518F1">
            <w:pPr>
              <w:spacing w:line="240" w:lineRule="auto"/>
              <w:ind w:firstLine="0"/>
            </w:pPr>
            <w:r w:rsidRPr="004D46AC">
              <w:rPr>
                <w:color w:val="000000"/>
                <w:szCs w:val="21"/>
              </w:rPr>
              <w:t xml:space="preserve">0.11 </w:t>
            </w:r>
          </w:p>
        </w:tc>
      </w:tr>
    </w:tbl>
    <w:bookmarkEnd w:id="410"/>
    <w:p w14:paraId="42B1350F" w14:textId="77777777" w:rsidR="003E095D" w:rsidRPr="004D46AC" w:rsidRDefault="003E095D" w:rsidP="003E095D">
      <w:pPr>
        <w:spacing w:line="240" w:lineRule="auto"/>
        <w:ind w:firstLine="0"/>
      </w:pPr>
      <w:r w:rsidRPr="004D46AC">
        <w:rPr>
          <w:i/>
          <w:iCs/>
        </w:rPr>
        <w:t>Note</w:t>
      </w:r>
      <w:r w:rsidRPr="004D46AC">
        <w:t>. Bootstrapped edge statistics were based on 2,000 resampled datasets. P</w:t>
      </w:r>
      <w:r w:rsidRPr="004D46AC">
        <w:rPr>
          <w:rFonts w:ascii="Cambria Math" w:hAnsi="Cambria Math" w:cs="Cambria Math" w:hint="eastAsia"/>
        </w:rPr>
        <w:t xml:space="preserve">0 </w:t>
      </w:r>
      <w:r w:rsidRPr="004D46AC">
        <w:t>indicates the proportion of times an edge was present across the bootstrap samples.</w:t>
      </w:r>
    </w:p>
    <w:p w14:paraId="234D4B3B" w14:textId="77777777" w:rsidR="003E095D" w:rsidRPr="004D46AC" w:rsidRDefault="003E095D" w:rsidP="003E095D">
      <w:pPr>
        <w:spacing w:line="240" w:lineRule="auto"/>
        <w:ind w:firstLine="0"/>
      </w:pPr>
    </w:p>
    <w:p w14:paraId="199A64A4" w14:textId="77777777" w:rsidR="007075D9" w:rsidRPr="004D46AC" w:rsidRDefault="007075D9" w:rsidP="002C5F6E">
      <w:pPr>
        <w:spacing w:line="240" w:lineRule="auto"/>
        <w:ind w:firstLine="0"/>
      </w:pPr>
    </w:p>
    <w:p w14:paraId="5313ADDC" w14:textId="77777777" w:rsidR="007075D9" w:rsidRPr="004D46AC" w:rsidRDefault="007075D9" w:rsidP="002C5F6E">
      <w:pPr>
        <w:spacing w:line="240" w:lineRule="auto"/>
        <w:ind w:firstLine="0"/>
        <w:rPr>
          <w:rFonts w:eastAsiaTheme="minorEastAsia"/>
        </w:rPr>
      </w:pPr>
    </w:p>
    <w:p w14:paraId="1B961FC9" w14:textId="77777777" w:rsidR="00CC3324" w:rsidRPr="004D46AC" w:rsidRDefault="00CC3324" w:rsidP="002C5F6E">
      <w:pPr>
        <w:spacing w:line="240" w:lineRule="auto"/>
        <w:ind w:firstLine="0"/>
        <w:rPr>
          <w:rFonts w:eastAsiaTheme="minorEastAsia"/>
        </w:rPr>
      </w:pPr>
    </w:p>
    <w:p w14:paraId="73875BB6" w14:textId="77777777" w:rsidR="00CC3324" w:rsidRPr="004D46AC" w:rsidRDefault="00CC3324" w:rsidP="002C5F6E">
      <w:pPr>
        <w:spacing w:line="240" w:lineRule="auto"/>
        <w:ind w:firstLine="0"/>
        <w:rPr>
          <w:rFonts w:eastAsiaTheme="minorEastAsia"/>
        </w:rPr>
      </w:pPr>
    </w:p>
    <w:p w14:paraId="7A15ADCF" w14:textId="77777777" w:rsidR="00CC3324" w:rsidRPr="004D46AC" w:rsidRDefault="00CC3324" w:rsidP="002C5F6E">
      <w:pPr>
        <w:spacing w:line="240" w:lineRule="auto"/>
        <w:ind w:firstLine="0"/>
        <w:rPr>
          <w:rFonts w:eastAsiaTheme="minorEastAsia"/>
        </w:rPr>
      </w:pPr>
    </w:p>
    <w:p w14:paraId="6F821F2A" w14:textId="77777777" w:rsidR="00CC3324" w:rsidRPr="004D46AC" w:rsidRDefault="00CC3324" w:rsidP="002C5F6E">
      <w:pPr>
        <w:spacing w:line="240" w:lineRule="auto"/>
        <w:ind w:firstLine="0"/>
        <w:rPr>
          <w:rFonts w:eastAsiaTheme="minorEastAsia"/>
        </w:rPr>
      </w:pPr>
    </w:p>
    <w:p w14:paraId="08DAEA09" w14:textId="77777777" w:rsidR="00CC3324" w:rsidRPr="004D46AC" w:rsidRDefault="00CC3324" w:rsidP="002C5F6E">
      <w:pPr>
        <w:spacing w:line="240" w:lineRule="auto"/>
        <w:ind w:firstLine="0"/>
        <w:rPr>
          <w:rFonts w:eastAsiaTheme="minorEastAsia"/>
        </w:rPr>
      </w:pPr>
    </w:p>
    <w:p w14:paraId="2DAF870F" w14:textId="77777777" w:rsidR="00CC3324" w:rsidRPr="004D46AC" w:rsidRDefault="00CC3324" w:rsidP="002C5F6E">
      <w:pPr>
        <w:spacing w:line="240" w:lineRule="auto"/>
        <w:ind w:firstLine="0"/>
        <w:rPr>
          <w:rFonts w:eastAsiaTheme="minorEastAsia"/>
        </w:rPr>
      </w:pPr>
    </w:p>
    <w:p w14:paraId="5BB4BD54" w14:textId="77777777" w:rsidR="00CC3324" w:rsidRPr="004D46AC" w:rsidRDefault="00CC3324" w:rsidP="002C5F6E">
      <w:pPr>
        <w:spacing w:line="240" w:lineRule="auto"/>
        <w:ind w:firstLine="0"/>
        <w:rPr>
          <w:rFonts w:eastAsiaTheme="minorEastAsia"/>
        </w:rPr>
      </w:pPr>
    </w:p>
    <w:p w14:paraId="310CDFD5" w14:textId="77777777" w:rsidR="00CC3324" w:rsidRPr="004D46AC" w:rsidRDefault="00CC3324" w:rsidP="002C5F6E">
      <w:pPr>
        <w:spacing w:line="240" w:lineRule="auto"/>
        <w:ind w:firstLine="0"/>
        <w:rPr>
          <w:rFonts w:eastAsiaTheme="minorEastAsia"/>
        </w:rPr>
      </w:pPr>
    </w:p>
    <w:p w14:paraId="7FA35412" w14:textId="77777777" w:rsidR="00CC3324" w:rsidRPr="004D46AC" w:rsidRDefault="00CC3324" w:rsidP="002C5F6E">
      <w:pPr>
        <w:spacing w:line="240" w:lineRule="auto"/>
        <w:ind w:firstLine="0"/>
        <w:rPr>
          <w:rFonts w:eastAsiaTheme="minorEastAsia"/>
        </w:rPr>
      </w:pPr>
    </w:p>
    <w:p w14:paraId="3BE8F003" w14:textId="77777777" w:rsidR="00CC3324" w:rsidRPr="004D46AC" w:rsidRDefault="00CC3324" w:rsidP="002C5F6E">
      <w:pPr>
        <w:spacing w:line="240" w:lineRule="auto"/>
        <w:ind w:firstLine="0"/>
        <w:rPr>
          <w:rFonts w:eastAsiaTheme="minorEastAsia"/>
        </w:rPr>
      </w:pPr>
    </w:p>
    <w:p w14:paraId="7C729BD8" w14:textId="77777777" w:rsidR="00CC3324" w:rsidRPr="004D46AC" w:rsidRDefault="00CC3324" w:rsidP="002C5F6E">
      <w:pPr>
        <w:spacing w:line="240" w:lineRule="auto"/>
        <w:ind w:firstLine="0"/>
        <w:rPr>
          <w:rFonts w:eastAsiaTheme="minorEastAsia"/>
        </w:rPr>
      </w:pPr>
    </w:p>
    <w:p w14:paraId="2CC43F75" w14:textId="77777777" w:rsidR="00CC3324" w:rsidRPr="004D46AC" w:rsidRDefault="00CC3324" w:rsidP="002C5F6E">
      <w:pPr>
        <w:spacing w:line="240" w:lineRule="auto"/>
        <w:ind w:firstLine="0"/>
        <w:rPr>
          <w:rFonts w:eastAsiaTheme="minorEastAsia"/>
        </w:rPr>
      </w:pPr>
    </w:p>
    <w:p w14:paraId="0133F38D" w14:textId="77777777" w:rsidR="00CC3324" w:rsidRPr="004D46AC" w:rsidRDefault="00CC3324" w:rsidP="002C5F6E">
      <w:pPr>
        <w:spacing w:line="240" w:lineRule="auto"/>
        <w:ind w:firstLine="0"/>
        <w:rPr>
          <w:rFonts w:eastAsiaTheme="minorEastAsia"/>
        </w:rPr>
      </w:pPr>
    </w:p>
    <w:p w14:paraId="139F04C6" w14:textId="77777777" w:rsidR="00CC3324" w:rsidRPr="004D46AC" w:rsidRDefault="00CC3324" w:rsidP="002C5F6E">
      <w:pPr>
        <w:spacing w:line="240" w:lineRule="auto"/>
        <w:ind w:firstLine="0"/>
        <w:rPr>
          <w:rFonts w:eastAsiaTheme="minorEastAsia"/>
        </w:rPr>
      </w:pPr>
    </w:p>
    <w:p w14:paraId="10180F8C" w14:textId="77777777" w:rsidR="00CC3324" w:rsidRPr="004D46AC" w:rsidRDefault="00CC3324" w:rsidP="002C5F6E">
      <w:pPr>
        <w:spacing w:line="240" w:lineRule="auto"/>
        <w:ind w:firstLine="0"/>
        <w:rPr>
          <w:rFonts w:eastAsiaTheme="minorEastAsia"/>
        </w:rPr>
      </w:pPr>
    </w:p>
    <w:p w14:paraId="0EEF7D19" w14:textId="77777777" w:rsidR="00CC3324" w:rsidRPr="004D46AC" w:rsidRDefault="00CC3324" w:rsidP="002C5F6E">
      <w:pPr>
        <w:spacing w:line="240" w:lineRule="auto"/>
        <w:ind w:firstLine="0"/>
        <w:rPr>
          <w:rFonts w:eastAsiaTheme="minorEastAsia"/>
        </w:rPr>
      </w:pPr>
    </w:p>
    <w:p w14:paraId="2B9682ED" w14:textId="77777777" w:rsidR="00CC3324" w:rsidRPr="004D46AC" w:rsidRDefault="00CC3324" w:rsidP="002C5F6E">
      <w:pPr>
        <w:spacing w:line="240" w:lineRule="auto"/>
        <w:ind w:firstLine="0"/>
        <w:rPr>
          <w:rFonts w:eastAsiaTheme="minorEastAsia"/>
        </w:rPr>
      </w:pPr>
    </w:p>
    <w:p w14:paraId="7DDF0D8E" w14:textId="77777777" w:rsidR="00CC3324" w:rsidRPr="004D46AC" w:rsidRDefault="00CC3324" w:rsidP="002C5F6E">
      <w:pPr>
        <w:spacing w:line="240" w:lineRule="auto"/>
        <w:ind w:firstLine="0"/>
        <w:rPr>
          <w:rFonts w:eastAsiaTheme="minorEastAsia"/>
        </w:rPr>
      </w:pPr>
    </w:p>
    <w:p w14:paraId="4125343B" w14:textId="77777777" w:rsidR="00CC3324" w:rsidRPr="004D46AC" w:rsidRDefault="00CC3324" w:rsidP="002C5F6E">
      <w:pPr>
        <w:spacing w:line="240" w:lineRule="auto"/>
        <w:ind w:firstLine="0"/>
        <w:rPr>
          <w:rFonts w:eastAsiaTheme="minorEastAsia"/>
        </w:rPr>
      </w:pPr>
    </w:p>
    <w:p w14:paraId="132BF7DD" w14:textId="77777777" w:rsidR="00CC3324" w:rsidRPr="004D46AC" w:rsidRDefault="00CC3324" w:rsidP="002C5F6E">
      <w:pPr>
        <w:spacing w:line="240" w:lineRule="auto"/>
        <w:ind w:firstLine="0"/>
        <w:rPr>
          <w:rFonts w:eastAsiaTheme="minorEastAsia"/>
        </w:rPr>
      </w:pPr>
    </w:p>
    <w:p w14:paraId="163309CE" w14:textId="77777777" w:rsidR="00CC3324" w:rsidRPr="004D46AC" w:rsidRDefault="00CC3324" w:rsidP="002C5F6E">
      <w:pPr>
        <w:spacing w:line="240" w:lineRule="auto"/>
        <w:ind w:firstLine="0"/>
        <w:rPr>
          <w:rFonts w:eastAsiaTheme="minorEastAsia"/>
        </w:rPr>
      </w:pPr>
    </w:p>
    <w:p w14:paraId="451EE06C" w14:textId="77777777" w:rsidR="00CC3324" w:rsidRPr="004D46AC" w:rsidRDefault="00CC3324" w:rsidP="002C5F6E">
      <w:pPr>
        <w:spacing w:line="240" w:lineRule="auto"/>
        <w:ind w:firstLine="0"/>
        <w:rPr>
          <w:rFonts w:eastAsiaTheme="minorEastAsia"/>
        </w:rPr>
      </w:pPr>
    </w:p>
    <w:p w14:paraId="76057EC2" w14:textId="77777777" w:rsidR="00CC3324" w:rsidRPr="004D46AC" w:rsidRDefault="00CC3324" w:rsidP="002C5F6E">
      <w:pPr>
        <w:spacing w:line="240" w:lineRule="auto"/>
        <w:ind w:firstLine="0"/>
        <w:rPr>
          <w:rFonts w:eastAsiaTheme="minorEastAsia"/>
        </w:rPr>
      </w:pPr>
    </w:p>
    <w:p w14:paraId="7293DB67" w14:textId="77777777" w:rsidR="00CC3324" w:rsidRPr="004D46AC" w:rsidRDefault="00CC3324" w:rsidP="002C5F6E">
      <w:pPr>
        <w:spacing w:line="240" w:lineRule="auto"/>
        <w:ind w:firstLine="0"/>
        <w:rPr>
          <w:rFonts w:eastAsiaTheme="minorEastAsia"/>
        </w:rPr>
      </w:pPr>
    </w:p>
    <w:p w14:paraId="30099379" w14:textId="77777777" w:rsidR="00CC3324" w:rsidRPr="004D46AC" w:rsidRDefault="00CC3324" w:rsidP="002C5F6E">
      <w:pPr>
        <w:spacing w:line="240" w:lineRule="auto"/>
        <w:ind w:firstLine="0"/>
        <w:rPr>
          <w:rFonts w:eastAsiaTheme="minorEastAsia"/>
        </w:rPr>
      </w:pPr>
    </w:p>
    <w:p w14:paraId="042D241F" w14:textId="77777777" w:rsidR="00CC3324" w:rsidRPr="004D46AC" w:rsidRDefault="00CC3324" w:rsidP="002C5F6E">
      <w:pPr>
        <w:spacing w:line="240" w:lineRule="auto"/>
        <w:ind w:firstLine="0"/>
        <w:rPr>
          <w:rFonts w:eastAsiaTheme="minorEastAsia"/>
        </w:rPr>
      </w:pPr>
    </w:p>
    <w:p w14:paraId="7C010F84" w14:textId="77777777" w:rsidR="00CC3324" w:rsidRPr="004D46AC" w:rsidRDefault="00CC3324" w:rsidP="002C5F6E">
      <w:pPr>
        <w:spacing w:line="240" w:lineRule="auto"/>
        <w:ind w:firstLine="0"/>
        <w:rPr>
          <w:rFonts w:eastAsiaTheme="minorEastAsia"/>
        </w:rPr>
      </w:pPr>
    </w:p>
    <w:p w14:paraId="29B5BDBA" w14:textId="77777777" w:rsidR="00CC3324" w:rsidRPr="004D46AC" w:rsidRDefault="00CC3324" w:rsidP="002C5F6E">
      <w:pPr>
        <w:spacing w:line="240" w:lineRule="auto"/>
        <w:ind w:firstLine="0"/>
        <w:rPr>
          <w:rFonts w:eastAsiaTheme="minorEastAsia"/>
        </w:rPr>
      </w:pPr>
    </w:p>
    <w:p w14:paraId="72E8CFB4" w14:textId="77777777" w:rsidR="00CC3324" w:rsidRPr="004D46AC" w:rsidRDefault="00CC3324" w:rsidP="002C5F6E">
      <w:pPr>
        <w:spacing w:line="240" w:lineRule="auto"/>
        <w:ind w:firstLine="0"/>
        <w:rPr>
          <w:rFonts w:eastAsiaTheme="minorEastAsia"/>
        </w:rPr>
      </w:pPr>
    </w:p>
    <w:p w14:paraId="6F991348" w14:textId="77777777" w:rsidR="00CC3324" w:rsidRPr="004D46AC" w:rsidRDefault="00CC3324" w:rsidP="002C5F6E">
      <w:pPr>
        <w:spacing w:line="240" w:lineRule="auto"/>
        <w:ind w:firstLine="0"/>
        <w:rPr>
          <w:rFonts w:eastAsiaTheme="minorEastAsia"/>
        </w:rPr>
      </w:pPr>
    </w:p>
    <w:p w14:paraId="45883B12" w14:textId="77777777" w:rsidR="00CC3324" w:rsidRPr="004D46AC" w:rsidRDefault="00CC3324" w:rsidP="002C5F6E">
      <w:pPr>
        <w:spacing w:line="240" w:lineRule="auto"/>
        <w:ind w:firstLine="0"/>
        <w:rPr>
          <w:rFonts w:eastAsiaTheme="minorEastAsia"/>
        </w:rPr>
      </w:pPr>
    </w:p>
    <w:p w14:paraId="6C93467D" w14:textId="77777777" w:rsidR="00CC3324" w:rsidRPr="004D46AC" w:rsidRDefault="00CC3324" w:rsidP="002C5F6E">
      <w:pPr>
        <w:spacing w:line="240" w:lineRule="auto"/>
        <w:ind w:firstLine="0"/>
        <w:rPr>
          <w:rFonts w:eastAsiaTheme="minorEastAsia"/>
        </w:rPr>
      </w:pPr>
    </w:p>
    <w:p w14:paraId="5E2DAFAF" w14:textId="77777777" w:rsidR="00CC3324" w:rsidRPr="004D46AC" w:rsidRDefault="00CC3324" w:rsidP="002C5F6E">
      <w:pPr>
        <w:spacing w:line="240" w:lineRule="auto"/>
        <w:ind w:firstLine="0"/>
        <w:rPr>
          <w:rFonts w:eastAsiaTheme="minorEastAsia"/>
        </w:rPr>
      </w:pPr>
    </w:p>
    <w:p w14:paraId="01BC277C" w14:textId="77777777" w:rsidR="00CC3324" w:rsidRPr="004D46AC" w:rsidRDefault="00CC3324" w:rsidP="002C5F6E">
      <w:pPr>
        <w:spacing w:line="240" w:lineRule="auto"/>
        <w:ind w:firstLine="0"/>
        <w:rPr>
          <w:rFonts w:eastAsiaTheme="minorEastAsia"/>
        </w:rPr>
      </w:pPr>
    </w:p>
    <w:p w14:paraId="7AF5735B" w14:textId="77777777" w:rsidR="00CC3324" w:rsidRPr="004D46AC" w:rsidRDefault="00CC3324" w:rsidP="002C5F6E">
      <w:pPr>
        <w:spacing w:line="240" w:lineRule="auto"/>
        <w:ind w:firstLine="0"/>
        <w:rPr>
          <w:rFonts w:eastAsiaTheme="minorEastAsia"/>
        </w:rPr>
      </w:pPr>
    </w:p>
    <w:p w14:paraId="758E9E58" w14:textId="77777777" w:rsidR="00CC3324" w:rsidRPr="004D46AC" w:rsidRDefault="00CC3324" w:rsidP="002C5F6E">
      <w:pPr>
        <w:spacing w:line="240" w:lineRule="auto"/>
        <w:ind w:firstLine="0"/>
        <w:rPr>
          <w:rFonts w:eastAsiaTheme="minorEastAsia"/>
        </w:rPr>
      </w:pPr>
    </w:p>
    <w:p w14:paraId="4CCD7065" w14:textId="77777777" w:rsidR="00CC3324" w:rsidRPr="004D46AC" w:rsidRDefault="00CC3324" w:rsidP="002C5F6E">
      <w:pPr>
        <w:spacing w:line="240" w:lineRule="auto"/>
        <w:ind w:firstLine="0"/>
        <w:rPr>
          <w:rFonts w:eastAsiaTheme="minorEastAsia"/>
        </w:rPr>
      </w:pPr>
    </w:p>
    <w:p w14:paraId="23B3BA76" w14:textId="77777777" w:rsidR="00CC3324" w:rsidRPr="004D46AC" w:rsidRDefault="00CC3324" w:rsidP="002C5F6E">
      <w:pPr>
        <w:spacing w:line="240" w:lineRule="auto"/>
        <w:ind w:firstLine="0"/>
        <w:rPr>
          <w:rFonts w:eastAsiaTheme="minorEastAsia"/>
        </w:rPr>
      </w:pPr>
    </w:p>
    <w:p w14:paraId="78A856CC" w14:textId="77777777" w:rsidR="00CC3324" w:rsidRPr="004D46AC" w:rsidRDefault="00CC3324" w:rsidP="002C5F6E">
      <w:pPr>
        <w:spacing w:line="240" w:lineRule="auto"/>
        <w:ind w:firstLine="0"/>
        <w:rPr>
          <w:rFonts w:eastAsiaTheme="minorEastAsia"/>
        </w:rPr>
      </w:pPr>
    </w:p>
    <w:p w14:paraId="1CE0FA3B" w14:textId="77777777" w:rsidR="00CC3324" w:rsidRPr="004D46AC" w:rsidRDefault="00CC3324" w:rsidP="002C5F6E">
      <w:pPr>
        <w:spacing w:line="240" w:lineRule="auto"/>
        <w:ind w:firstLine="0"/>
        <w:rPr>
          <w:rFonts w:eastAsiaTheme="minorEastAsia"/>
        </w:rPr>
      </w:pPr>
    </w:p>
    <w:p w14:paraId="6F64ABEF" w14:textId="77777777" w:rsidR="00CC3324" w:rsidRPr="004D46AC" w:rsidRDefault="00CC3324" w:rsidP="002C5F6E">
      <w:pPr>
        <w:spacing w:line="240" w:lineRule="auto"/>
        <w:ind w:firstLine="0"/>
        <w:rPr>
          <w:rFonts w:eastAsiaTheme="minorEastAsia"/>
        </w:rPr>
      </w:pPr>
    </w:p>
    <w:p w14:paraId="18190E4B" w14:textId="77777777" w:rsidR="00CC3324" w:rsidRPr="004D46AC" w:rsidRDefault="00CC3324" w:rsidP="002C5F6E">
      <w:pPr>
        <w:spacing w:line="240" w:lineRule="auto"/>
        <w:ind w:firstLine="0"/>
        <w:rPr>
          <w:rFonts w:eastAsiaTheme="minorEastAsia"/>
        </w:rPr>
      </w:pPr>
    </w:p>
    <w:p w14:paraId="5E76CDA0" w14:textId="77777777" w:rsidR="00CC3324" w:rsidRPr="004D46AC" w:rsidRDefault="00CC3324" w:rsidP="002C5F6E">
      <w:pPr>
        <w:spacing w:line="240" w:lineRule="auto"/>
        <w:ind w:firstLine="0"/>
        <w:rPr>
          <w:rFonts w:eastAsiaTheme="minorEastAsia"/>
        </w:rPr>
      </w:pPr>
    </w:p>
    <w:p w14:paraId="463626DB" w14:textId="77777777" w:rsidR="00CC3324" w:rsidRPr="004D46AC" w:rsidRDefault="00CC3324" w:rsidP="002C5F6E">
      <w:pPr>
        <w:spacing w:line="240" w:lineRule="auto"/>
        <w:ind w:firstLine="0"/>
        <w:rPr>
          <w:rFonts w:eastAsiaTheme="minorEastAsia"/>
        </w:rPr>
      </w:pPr>
    </w:p>
    <w:p w14:paraId="349EC723" w14:textId="77777777" w:rsidR="00CC3324" w:rsidRPr="004D46AC" w:rsidRDefault="00CC3324" w:rsidP="002C5F6E">
      <w:pPr>
        <w:spacing w:line="240" w:lineRule="auto"/>
        <w:ind w:firstLine="0"/>
        <w:rPr>
          <w:rFonts w:eastAsiaTheme="minorEastAsia"/>
        </w:rPr>
      </w:pPr>
    </w:p>
    <w:p w14:paraId="1F9595E5" w14:textId="77777777" w:rsidR="00CC3324" w:rsidRPr="004D46AC" w:rsidRDefault="00CC3324" w:rsidP="002C5F6E">
      <w:pPr>
        <w:spacing w:line="240" w:lineRule="auto"/>
        <w:ind w:firstLine="0"/>
        <w:rPr>
          <w:rFonts w:eastAsiaTheme="minorEastAsia"/>
        </w:rPr>
      </w:pPr>
    </w:p>
    <w:p w14:paraId="0C677ADD" w14:textId="0BB07BA1" w:rsidR="00011BA9" w:rsidRPr="004D46AC" w:rsidRDefault="00011BA9" w:rsidP="00011BA9">
      <w:pPr>
        <w:pStyle w:val="afff0"/>
        <w:spacing w:after="0"/>
        <w:ind w:firstLine="0"/>
        <w:rPr>
          <w:rFonts w:eastAsiaTheme="minorEastAsia"/>
          <w:b/>
          <w:bCs/>
          <w:i w:val="0"/>
          <w:iCs w:val="0"/>
          <w:color w:val="auto"/>
          <w:sz w:val="22"/>
          <w:szCs w:val="22"/>
        </w:rPr>
      </w:pPr>
      <w:bookmarkStart w:id="411" w:name="_Toc219870650"/>
      <w:r w:rsidRPr="004D46AC">
        <w:rPr>
          <w:b/>
          <w:bCs/>
          <w:i w:val="0"/>
          <w:iCs w:val="0"/>
          <w:color w:val="auto"/>
          <w:sz w:val="22"/>
          <w:szCs w:val="22"/>
        </w:rPr>
        <w:lastRenderedPageBreak/>
        <w:t xml:space="preserve">Table E </w:t>
      </w:r>
      <w:r w:rsidRPr="004D46AC">
        <w:rPr>
          <w:b/>
          <w:bCs/>
          <w:i w:val="0"/>
          <w:iCs w:val="0"/>
          <w:color w:val="auto"/>
          <w:sz w:val="22"/>
          <w:szCs w:val="22"/>
        </w:rPr>
        <w:fldChar w:fldCharType="begin"/>
      </w:r>
      <w:r w:rsidRPr="004D46AC">
        <w:rPr>
          <w:b/>
          <w:bCs/>
          <w:i w:val="0"/>
          <w:iCs w:val="0"/>
          <w:color w:val="auto"/>
          <w:sz w:val="22"/>
          <w:szCs w:val="22"/>
        </w:rPr>
        <w:instrText xml:space="preserve"> SEQ Table_E \* ARABIC </w:instrText>
      </w:r>
      <w:r w:rsidRPr="004D46AC">
        <w:rPr>
          <w:b/>
          <w:bCs/>
          <w:i w:val="0"/>
          <w:iCs w:val="0"/>
          <w:color w:val="auto"/>
          <w:sz w:val="22"/>
          <w:szCs w:val="22"/>
        </w:rPr>
        <w:fldChar w:fldCharType="separate"/>
      </w:r>
      <w:r w:rsidRPr="004D46AC">
        <w:rPr>
          <w:b/>
          <w:bCs/>
          <w:i w:val="0"/>
          <w:iCs w:val="0"/>
          <w:noProof/>
          <w:color w:val="auto"/>
          <w:sz w:val="22"/>
          <w:szCs w:val="22"/>
        </w:rPr>
        <w:t>6</w:t>
      </w:r>
      <w:bookmarkEnd w:id="411"/>
      <w:r w:rsidRPr="004D46AC">
        <w:rPr>
          <w:b/>
          <w:bCs/>
          <w:i w:val="0"/>
          <w:iCs w:val="0"/>
          <w:color w:val="auto"/>
          <w:sz w:val="22"/>
          <w:szCs w:val="22"/>
        </w:rPr>
        <w:fldChar w:fldCharType="end"/>
      </w:r>
    </w:p>
    <w:p w14:paraId="75FAE311" w14:textId="77777777" w:rsidR="000B4CBF" w:rsidRPr="004D46AC" w:rsidRDefault="000B4CBF" w:rsidP="000B4CBF">
      <w:pPr>
        <w:spacing w:line="240" w:lineRule="auto"/>
        <w:ind w:firstLine="0"/>
        <w:rPr>
          <w:i/>
          <w:iCs/>
        </w:rPr>
      </w:pPr>
      <w:r w:rsidRPr="004D46AC">
        <w:rPr>
          <w:i/>
          <w:iCs/>
        </w:rPr>
        <w:t>Edges with non-zero weights in the network</w:t>
      </w:r>
      <w:r w:rsidRPr="004D46AC">
        <w:rPr>
          <w:rFonts w:hint="eastAsia"/>
          <w:i/>
          <w:iCs/>
          <w:lang w:val="en-US"/>
        </w:rPr>
        <w:t xml:space="preserve"> of </w:t>
      </w:r>
      <w:proofErr w:type="gramStart"/>
      <w:r w:rsidRPr="004D46AC">
        <w:rPr>
          <w:rFonts w:hint="eastAsia"/>
          <w:i/>
          <w:iCs/>
          <w:lang w:val="en-US"/>
        </w:rPr>
        <w:t>at risk</w:t>
      </w:r>
      <w:proofErr w:type="gramEnd"/>
      <w:r w:rsidRPr="004D46AC">
        <w:rPr>
          <w:rFonts w:hint="eastAsia"/>
          <w:i/>
          <w:iCs/>
          <w:lang w:val="en-US"/>
        </w:rPr>
        <w:t xml:space="preserve"> states</w:t>
      </w:r>
      <w:r w:rsidRPr="004D46AC">
        <w:rPr>
          <w:i/>
          <w:iCs/>
        </w:rPr>
        <w:t xml:space="preserve"> among adults aged</w:t>
      </w:r>
      <w:r w:rsidRPr="004D46AC">
        <w:rPr>
          <w:rFonts w:hint="eastAsia"/>
          <w:i/>
          <w:iCs/>
        </w:rPr>
        <w:t xml:space="preserve"> 25-29</w:t>
      </w:r>
    </w:p>
    <w:tbl>
      <w:tblPr>
        <w:tblStyle w:val="afc"/>
        <w:tblW w:w="0" w:type="auto"/>
        <w:tblLook w:val="04A0" w:firstRow="1" w:lastRow="0" w:firstColumn="1" w:lastColumn="0" w:noHBand="0" w:noVBand="1"/>
      </w:tblPr>
      <w:tblGrid>
        <w:gridCol w:w="1704"/>
        <w:gridCol w:w="1704"/>
        <w:gridCol w:w="1704"/>
        <w:gridCol w:w="1705"/>
        <w:gridCol w:w="1705"/>
      </w:tblGrid>
      <w:tr w:rsidR="000B4CBF" w:rsidRPr="004D46AC" w14:paraId="0EB9F4BF" w14:textId="77777777" w:rsidTr="00B518F1">
        <w:tc>
          <w:tcPr>
            <w:tcW w:w="1704" w:type="dxa"/>
            <w:vAlign w:val="center"/>
          </w:tcPr>
          <w:p w14:paraId="34E60554" w14:textId="77777777" w:rsidR="000B4CBF" w:rsidRPr="004D46AC" w:rsidRDefault="000B4CBF" w:rsidP="00B518F1">
            <w:pPr>
              <w:spacing w:line="240" w:lineRule="auto"/>
              <w:ind w:firstLine="0"/>
            </w:pPr>
            <w:r w:rsidRPr="004D46AC">
              <w:rPr>
                <w:color w:val="000000"/>
              </w:rPr>
              <w:t>E</w:t>
            </w:r>
            <w:r w:rsidRPr="004D46AC">
              <w:rPr>
                <w:rFonts w:hint="eastAsia"/>
                <w:color w:val="000000"/>
              </w:rPr>
              <w:t>dge</w:t>
            </w:r>
          </w:p>
        </w:tc>
        <w:tc>
          <w:tcPr>
            <w:tcW w:w="1704" w:type="dxa"/>
            <w:vAlign w:val="center"/>
          </w:tcPr>
          <w:p w14:paraId="77672E9F" w14:textId="77777777" w:rsidR="000B4CBF" w:rsidRPr="004D46AC" w:rsidRDefault="000B4CBF" w:rsidP="00B518F1">
            <w:pPr>
              <w:spacing w:line="240" w:lineRule="auto"/>
              <w:ind w:firstLine="0"/>
            </w:pPr>
            <w:r w:rsidRPr="004D46AC">
              <w:rPr>
                <w:rFonts w:hint="eastAsia"/>
                <w:color w:val="000000"/>
              </w:rPr>
              <w:t>Weight</w:t>
            </w:r>
          </w:p>
        </w:tc>
        <w:tc>
          <w:tcPr>
            <w:tcW w:w="1704" w:type="dxa"/>
            <w:vAlign w:val="center"/>
          </w:tcPr>
          <w:p w14:paraId="4C747210" w14:textId="77777777" w:rsidR="000B4CBF" w:rsidRPr="004D46AC" w:rsidRDefault="000B4CBF" w:rsidP="00B518F1">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lower</w:t>
            </w:r>
          </w:p>
        </w:tc>
        <w:tc>
          <w:tcPr>
            <w:tcW w:w="1705" w:type="dxa"/>
            <w:vAlign w:val="center"/>
          </w:tcPr>
          <w:p w14:paraId="2A48A3A9" w14:textId="77777777" w:rsidR="000B4CBF" w:rsidRPr="004D46AC" w:rsidRDefault="000B4CBF" w:rsidP="00B518F1">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upper</w:t>
            </w:r>
          </w:p>
        </w:tc>
        <w:tc>
          <w:tcPr>
            <w:tcW w:w="1705" w:type="dxa"/>
            <w:vAlign w:val="center"/>
          </w:tcPr>
          <w:p w14:paraId="3FBB47B0" w14:textId="77777777" w:rsidR="000B4CBF" w:rsidRPr="004D46AC" w:rsidRDefault="000B4CBF" w:rsidP="00B518F1">
            <w:pPr>
              <w:spacing w:line="240" w:lineRule="auto"/>
              <w:ind w:firstLine="0"/>
            </w:pPr>
            <w:r w:rsidRPr="004D46AC">
              <w:rPr>
                <w:rFonts w:hint="eastAsia"/>
              </w:rPr>
              <w:t>P0</w:t>
            </w:r>
          </w:p>
        </w:tc>
      </w:tr>
      <w:tr w:rsidR="000B4CBF" w:rsidRPr="004D46AC" w14:paraId="6DFD56B3" w14:textId="77777777" w:rsidTr="00B518F1">
        <w:tc>
          <w:tcPr>
            <w:tcW w:w="1704" w:type="dxa"/>
            <w:vAlign w:val="center"/>
          </w:tcPr>
          <w:p w14:paraId="0EEEF3A5" w14:textId="77777777" w:rsidR="000B4CBF" w:rsidRPr="004D46AC" w:rsidRDefault="000B4CBF" w:rsidP="00B518F1">
            <w:pPr>
              <w:spacing w:line="240" w:lineRule="auto"/>
              <w:ind w:firstLine="0"/>
            </w:pPr>
            <w:r w:rsidRPr="004D46AC">
              <w:rPr>
                <w:color w:val="000000"/>
              </w:rPr>
              <w:t>TR6--TR9</w:t>
            </w:r>
          </w:p>
        </w:tc>
        <w:tc>
          <w:tcPr>
            <w:tcW w:w="1704" w:type="dxa"/>
            <w:vAlign w:val="center"/>
          </w:tcPr>
          <w:p w14:paraId="0005B386" w14:textId="77777777" w:rsidR="000B4CBF" w:rsidRPr="004D46AC" w:rsidRDefault="000B4CBF" w:rsidP="00B518F1">
            <w:pPr>
              <w:spacing w:line="240" w:lineRule="auto"/>
              <w:ind w:firstLine="0"/>
            </w:pPr>
            <w:r w:rsidRPr="004D46AC">
              <w:rPr>
                <w:color w:val="000000"/>
                <w:szCs w:val="21"/>
              </w:rPr>
              <w:t xml:space="preserve">0.99 </w:t>
            </w:r>
          </w:p>
        </w:tc>
        <w:tc>
          <w:tcPr>
            <w:tcW w:w="1704" w:type="dxa"/>
            <w:vAlign w:val="center"/>
          </w:tcPr>
          <w:p w14:paraId="75C4C018" w14:textId="77777777" w:rsidR="000B4CBF" w:rsidRPr="004D46AC" w:rsidRDefault="000B4CBF" w:rsidP="00B518F1">
            <w:pPr>
              <w:spacing w:line="240" w:lineRule="auto"/>
              <w:ind w:firstLine="0"/>
            </w:pPr>
            <w:r w:rsidRPr="004D46AC">
              <w:rPr>
                <w:color w:val="000000"/>
                <w:szCs w:val="21"/>
              </w:rPr>
              <w:t xml:space="preserve">0.50 </w:t>
            </w:r>
          </w:p>
        </w:tc>
        <w:tc>
          <w:tcPr>
            <w:tcW w:w="1705" w:type="dxa"/>
            <w:vAlign w:val="center"/>
          </w:tcPr>
          <w:p w14:paraId="180A3D34" w14:textId="77777777" w:rsidR="000B4CBF" w:rsidRPr="004D46AC" w:rsidRDefault="000B4CBF" w:rsidP="00B518F1">
            <w:pPr>
              <w:spacing w:line="240" w:lineRule="auto"/>
              <w:ind w:firstLine="0"/>
            </w:pPr>
            <w:r w:rsidRPr="004D46AC">
              <w:rPr>
                <w:color w:val="000000"/>
                <w:szCs w:val="21"/>
              </w:rPr>
              <w:t xml:space="preserve">1.48 </w:t>
            </w:r>
          </w:p>
        </w:tc>
        <w:tc>
          <w:tcPr>
            <w:tcW w:w="1705" w:type="dxa"/>
            <w:vAlign w:val="center"/>
          </w:tcPr>
          <w:p w14:paraId="5BDAA51E"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30DD5193" w14:textId="77777777" w:rsidTr="00B518F1">
        <w:tc>
          <w:tcPr>
            <w:tcW w:w="1704" w:type="dxa"/>
            <w:vAlign w:val="center"/>
          </w:tcPr>
          <w:p w14:paraId="2AF3F2F6" w14:textId="77777777" w:rsidR="000B4CBF" w:rsidRPr="004D46AC" w:rsidRDefault="000B4CBF" w:rsidP="00B518F1">
            <w:pPr>
              <w:spacing w:line="240" w:lineRule="auto"/>
              <w:ind w:firstLine="0"/>
            </w:pPr>
            <w:r w:rsidRPr="004D46AC">
              <w:rPr>
                <w:color w:val="000000"/>
              </w:rPr>
              <w:t>TR27--TR34</w:t>
            </w:r>
          </w:p>
        </w:tc>
        <w:tc>
          <w:tcPr>
            <w:tcW w:w="1704" w:type="dxa"/>
            <w:vAlign w:val="center"/>
          </w:tcPr>
          <w:p w14:paraId="6BBC8A6D" w14:textId="77777777" w:rsidR="000B4CBF" w:rsidRPr="004D46AC" w:rsidRDefault="000B4CBF" w:rsidP="00B518F1">
            <w:pPr>
              <w:spacing w:line="240" w:lineRule="auto"/>
              <w:ind w:firstLine="0"/>
            </w:pPr>
            <w:r w:rsidRPr="004D46AC">
              <w:rPr>
                <w:color w:val="000000"/>
                <w:szCs w:val="21"/>
              </w:rPr>
              <w:t xml:space="preserve">0.95 </w:t>
            </w:r>
          </w:p>
        </w:tc>
        <w:tc>
          <w:tcPr>
            <w:tcW w:w="1704" w:type="dxa"/>
            <w:vAlign w:val="center"/>
          </w:tcPr>
          <w:p w14:paraId="3B17673E" w14:textId="77777777" w:rsidR="000B4CBF" w:rsidRPr="004D46AC" w:rsidRDefault="000B4CBF" w:rsidP="00B518F1">
            <w:pPr>
              <w:spacing w:line="240" w:lineRule="auto"/>
              <w:ind w:firstLine="0"/>
            </w:pPr>
            <w:r w:rsidRPr="004D46AC">
              <w:rPr>
                <w:color w:val="000000"/>
                <w:szCs w:val="21"/>
              </w:rPr>
              <w:t xml:space="preserve">0.50 </w:t>
            </w:r>
          </w:p>
        </w:tc>
        <w:tc>
          <w:tcPr>
            <w:tcW w:w="1705" w:type="dxa"/>
            <w:vAlign w:val="center"/>
          </w:tcPr>
          <w:p w14:paraId="0BE081E1" w14:textId="77777777" w:rsidR="000B4CBF" w:rsidRPr="004D46AC" w:rsidRDefault="000B4CBF" w:rsidP="00B518F1">
            <w:pPr>
              <w:spacing w:line="240" w:lineRule="auto"/>
              <w:ind w:firstLine="0"/>
            </w:pPr>
            <w:r w:rsidRPr="004D46AC">
              <w:rPr>
                <w:color w:val="000000"/>
                <w:szCs w:val="21"/>
              </w:rPr>
              <w:t xml:space="preserve">1.40 </w:t>
            </w:r>
          </w:p>
        </w:tc>
        <w:tc>
          <w:tcPr>
            <w:tcW w:w="1705" w:type="dxa"/>
            <w:vAlign w:val="center"/>
          </w:tcPr>
          <w:p w14:paraId="3EE34BBC"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5841B22C" w14:textId="77777777" w:rsidTr="00B518F1">
        <w:tc>
          <w:tcPr>
            <w:tcW w:w="1704" w:type="dxa"/>
            <w:vAlign w:val="center"/>
          </w:tcPr>
          <w:p w14:paraId="358F4BEB" w14:textId="77777777" w:rsidR="000B4CBF" w:rsidRPr="004D46AC" w:rsidRDefault="000B4CBF" w:rsidP="00B518F1">
            <w:pPr>
              <w:spacing w:line="240" w:lineRule="auto"/>
              <w:ind w:firstLine="0"/>
            </w:pPr>
            <w:r w:rsidRPr="004D46AC">
              <w:rPr>
                <w:color w:val="000000"/>
              </w:rPr>
              <w:t>TR19--TR21</w:t>
            </w:r>
          </w:p>
        </w:tc>
        <w:tc>
          <w:tcPr>
            <w:tcW w:w="1704" w:type="dxa"/>
            <w:vAlign w:val="center"/>
          </w:tcPr>
          <w:p w14:paraId="55605634" w14:textId="77777777" w:rsidR="000B4CBF" w:rsidRPr="004D46AC" w:rsidRDefault="000B4CBF" w:rsidP="00B518F1">
            <w:pPr>
              <w:spacing w:line="240" w:lineRule="auto"/>
              <w:ind w:firstLine="0"/>
            </w:pPr>
            <w:r w:rsidRPr="004D46AC">
              <w:rPr>
                <w:color w:val="000000"/>
                <w:szCs w:val="21"/>
              </w:rPr>
              <w:t xml:space="preserve">0.89 </w:t>
            </w:r>
          </w:p>
        </w:tc>
        <w:tc>
          <w:tcPr>
            <w:tcW w:w="1704" w:type="dxa"/>
            <w:vAlign w:val="center"/>
          </w:tcPr>
          <w:p w14:paraId="6BD7EEF1" w14:textId="77777777" w:rsidR="000B4CBF" w:rsidRPr="004D46AC" w:rsidRDefault="000B4CBF" w:rsidP="00B518F1">
            <w:pPr>
              <w:spacing w:line="240" w:lineRule="auto"/>
              <w:ind w:firstLine="0"/>
            </w:pPr>
            <w:r w:rsidRPr="004D46AC">
              <w:rPr>
                <w:color w:val="000000"/>
                <w:szCs w:val="21"/>
              </w:rPr>
              <w:t xml:space="preserve">0.42 </w:t>
            </w:r>
          </w:p>
        </w:tc>
        <w:tc>
          <w:tcPr>
            <w:tcW w:w="1705" w:type="dxa"/>
            <w:vAlign w:val="center"/>
          </w:tcPr>
          <w:p w14:paraId="55F67C86" w14:textId="77777777" w:rsidR="000B4CBF" w:rsidRPr="004D46AC" w:rsidRDefault="000B4CBF" w:rsidP="00B518F1">
            <w:pPr>
              <w:spacing w:line="240" w:lineRule="auto"/>
              <w:ind w:firstLine="0"/>
            </w:pPr>
            <w:r w:rsidRPr="004D46AC">
              <w:rPr>
                <w:color w:val="000000"/>
                <w:szCs w:val="21"/>
              </w:rPr>
              <w:t xml:space="preserve">1.35 </w:t>
            </w:r>
          </w:p>
        </w:tc>
        <w:tc>
          <w:tcPr>
            <w:tcW w:w="1705" w:type="dxa"/>
            <w:vAlign w:val="center"/>
          </w:tcPr>
          <w:p w14:paraId="6C140CF3"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0751FAB3" w14:textId="77777777" w:rsidTr="00B518F1">
        <w:tc>
          <w:tcPr>
            <w:tcW w:w="1704" w:type="dxa"/>
            <w:vAlign w:val="center"/>
          </w:tcPr>
          <w:p w14:paraId="6B5D3167" w14:textId="77777777" w:rsidR="000B4CBF" w:rsidRPr="004D46AC" w:rsidRDefault="000B4CBF" w:rsidP="00B518F1">
            <w:pPr>
              <w:spacing w:line="240" w:lineRule="auto"/>
              <w:ind w:firstLine="0"/>
            </w:pPr>
            <w:r w:rsidRPr="004D46AC">
              <w:rPr>
                <w:color w:val="000000"/>
              </w:rPr>
              <w:t>TR24--TR30</w:t>
            </w:r>
          </w:p>
        </w:tc>
        <w:tc>
          <w:tcPr>
            <w:tcW w:w="1704" w:type="dxa"/>
            <w:vAlign w:val="center"/>
          </w:tcPr>
          <w:p w14:paraId="713D1A13" w14:textId="77777777" w:rsidR="000B4CBF" w:rsidRPr="004D46AC" w:rsidRDefault="000B4CBF" w:rsidP="00B518F1">
            <w:pPr>
              <w:spacing w:line="240" w:lineRule="auto"/>
              <w:ind w:firstLine="0"/>
            </w:pPr>
            <w:r w:rsidRPr="004D46AC">
              <w:rPr>
                <w:color w:val="000000"/>
                <w:szCs w:val="21"/>
              </w:rPr>
              <w:t xml:space="preserve">0.83 </w:t>
            </w:r>
          </w:p>
        </w:tc>
        <w:tc>
          <w:tcPr>
            <w:tcW w:w="1704" w:type="dxa"/>
            <w:vAlign w:val="center"/>
          </w:tcPr>
          <w:p w14:paraId="501E4D34" w14:textId="77777777" w:rsidR="000B4CBF" w:rsidRPr="004D46AC" w:rsidRDefault="000B4CBF" w:rsidP="00B518F1">
            <w:pPr>
              <w:spacing w:line="240" w:lineRule="auto"/>
              <w:ind w:firstLine="0"/>
            </w:pPr>
            <w:r w:rsidRPr="004D46AC">
              <w:rPr>
                <w:color w:val="000000"/>
                <w:szCs w:val="21"/>
              </w:rPr>
              <w:t xml:space="preserve">0.31 </w:t>
            </w:r>
          </w:p>
        </w:tc>
        <w:tc>
          <w:tcPr>
            <w:tcW w:w="1705" w:type="dxa"/>
            <w:vAlign w:val="center"/>
          </w:tcPr>
          <w:p w14:paraId="358498EF" w14:textId="77777777" w:rsidR="000B4CBF" w:rsidRPr="004D46AC" w:rsidRDefault="000B4CBF" w:rsidP="00B518F1">
            <w:pPr>
              <w:spacing w:line="240" w:lineRule="auto"/>
              <w:ind w:firstLine="0"/>
            </w:pPr>
            <w:r w:rsidRPr="004D46AC">
              <w:rPr>
                <w:color w:val="000000"/>
                <w:szCs w:val="21"/>
              </w:rPr>
              <w:t xml:space="preserve">1.35 </w:t>
            </w:r>
          </w:p>
        </w:tc>
        <w:tc>
          <w:tcPr>
            <w:tcW w:w="1705" w:type="dxa"/>
            <w:vAlign w:val="center"/>
          </w:tcPr>
          <w:p w14:paraId="3AEBE8E2"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629D9C2B" w14:textId="77777777" w:rsidTr="00B518F1">
        <w:tc>
          <w:tcPr>
            <w:tcW w:w="1704" w:type="dxa"/>
            <w:vAlign w:val="center"/>
          </w:tcPr>
          <w:p w14:paraId="6F0B5B46" w14:textId="77777777" w:rsidR="000B4CBF" w:rsidRPr="004D46AC" w:rsidRDefault="000B4CBF" w:rsidP="00B518F1">
            <w:pPr>
              <w:spacing w:line="240" w:lineRule="auto"/>
              <w:ind w:firstLine="0"/>
            </w:pPr>
            <w:r w:rsidRPr="004D46AC">
              <w:rPr>
                <w:color w:val="000000"/>
              </w:rPr>
              <w:t>TR14--TR16</w:t>
            </w:r>
          </w:p>
        </w:tc>
        <w:tc>
          <w:tcPr>
            <w:tcW w:w="1704" w:type="dxa"/>
            <w:vAlign w:val="center"/>
          </w:tcPr>
          <w:p w14:paraId="21B979C1" w14:textId="77777777" w:rsidR="000B4CBF" w:rsidRPr="004D46AC" w:rsidRDefault="000B4CBF" w:rsidP="00B518F1">
            <w:pPr>
              <w:spacing w:line="240" w:lineRule="auto"/>
              <w:ind w:firstLine="0"/>
            </w:pPr>
            <w:r w:rsidRPr="004D46AC">
              <w:rPr>
                <w:color w:val="000000"/>
                <w:szCs w:val="21"/>
              </w:rPr>
              <w:t xml:space="preserve">0.82 </w:t>
            </w:r>
          </w:p>
        </w:tc>
        <w:tc>
          <w:tcPr>
            <w:tcW w:w="1704" w:type="dxa"/>
            <w:vAlign w:val="center"/>
          </w:tcPr>
          <w:p w14:paraId="63809530" w14:textId="77777777" w:rsidR="000B4CBF" w:rsidRPr="004D46AC" w:rsidRDefault="000B4CBF" w:rsidP="00B518F1">
            <w:pPr>
              <w:spacing w:line="240" w:lineRule="auto"/>
              <w:ind w:firstLine="0"/>
            </w:pPr>
            <w:r w:rsidRPr="004D46AC">
              <w:rPr>
                <w:color w:val="000000"/>
                <w:szCs w:val="21"/>
              </w:rPr>
              <w:t xml:space="preserve">0.37 </w:t>
            </w:r>
          </w:p>
        </w:tc>
        <w:tc>
          <w:tcPr>
            <w:tcW w:w="1705" w:type="dxa"/>
            <w:vAlign w:val="center"/>
          </w:tcPr>
          <w:p w14:paraId="56E8357E" w14:textId="77777777" w:rsidR="000B4CBF" w:rsidRPr="004D46AC" w:rsidRDefault="000B4CBF" w:rsidP="00B518F1">
            <w:pPr>
              <w:spacing w:line="240" w:lineRule="auto"/>
              <w:ind w:firstLine="0"/>
            </w:pPr>
            <w:r w:rsidRPr="004D46AC">
              <w:rPr>
                <w:color w:val="000000"/>
                <w:szCs w:val="21"/>
              </w:rPr>
              <w:t xml:space="preserve">1.26 </w:t>
            </w:r>
          </w:p>
        </w:tc>
        <w:tc>
          <w:tcPr>
            <w:tcW w:w="1705" w:type="dxa"/>
            <w:vAlign w:val="center"/>
          </w:tcPr>
          <w:p w14:paraId="2559018F"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2F73BA6D" w14:textId="77777777" w:rsidTr="00B518F1">
        <w:tc>
          <w:tcPr>
            <w:tcW w:w="1704" w:type="dxa"/>
            <w:vAlign w:val="center"/>
          </w:tcPr>
          <w:p w14:paraId="537D19ED" w14:textId="77777777" w:rsidR="000B4CBF" w:rsidRPr="004D46AC" w:rsidRDefault="000B4CBF" w:rsidP="00B518F1">
            <w:pPr>
              <w:spacing w:line="240" w:lineRule="auto"/>
              <w:ind w:firstLine="0"/>
            </w:pPr>
            <w:r w:rsidRPr="004D46AC">
              <w:rPr>
                <w:color w:val="000000"/>
              </w:rPr>
              <w:t>TR29--TR33</w:t>
            </w:r>
          </w:p>
        </w:tc>
        <w:tc>
          <w:tcPr>
            <w:tcW w:w="1704" w:type="dxa"/>
            <w:vAlign w:val="center"/>
          </w:tcPr>
          <w:p w14:paraId="0158800E" w14:textId="77777777" w:rsidR="000B4CBF" w:rsidRPr="004D46AC" w:rsidRDefault="000B4CBF" w:rsidP="00B518F1">
            <w:pPr>
              <w:spacing w:line="240" w:lineRule="auto"/>
              <w:ind w:firstLine="0"/>
            </w:pPr>
            <w:r w:rsidRPr="004D46AC">
              <w:rPr>
                <w:color w:val="000000"/>
                <w:szCs w:val="21"/>
              </w:rPr>
              <w:t xml:space="preserve">0.81 </w:t>
            </w:r>
          </w:p>
        </w:tc>
        <w:tc>
          <w:tcPr>
            <w:tcW w:w="1704" w:type="dxa"/>
            <w:vAlign w:val="center"/>
          </w:tcPr>
          <w:p w14:paraId="3B353C3A" w14:textId="77777777" w:rsidR="000B4CBF" w:rsidRPr="004D46AC" w:rsidRDefault="000B4CBF" w:rsidP="00B518F1">
            <w:pPr>
              <w:spacing w:line="240" w:lineRule="auto"/>
              <w:ind w:firstLine="0"/>
            </w:pPr>
            <w:r w:rsidRPr="004D46AC">
              <w:rPr>
                <w:color w:val="000000"/>
                <w:szCs w:val="21"/>
              </w:rPr>
              <w:t xml:space="preserve">0.29 </w:t>
            </w:r>
          </w:p>
        </w:tc>
        <w:tc>
          <w:tcPr>
            <w:tcW w:w="1705" w:type="dxa"/>
            <w:vAlign w:val="center"/>
          </w:tcPr>
          <w:p w14:paraId="04545E2F" w14:textId="77777777" w:rsidR="000B4CBF" w:rsidRPr="004D46AC" w:rsidRDefault="000B4CBF" w:rsidP="00B518F1">
            <w:pPr>
              <w:spacing w:line="240" w:lineRule="auto"/>
              <w:ind w:firstLine="0"/>
            </w:pPr>
            <w:r w:rsidRPr="004D46AC">
              <w:rPr>
                <w:color w:val="000000"/>
                <w:szCs w:val="21"/>
              </w:rPr>
              <w:t xml:space="preserve">1.33 </w:t>
            </w:r>
          </w:p>
        </w:tc>
        <w:tc>
          <w:tcPr>
            <w:tcW w:w="1705" w:type="dxa"/>
            <w:vAlign w:val="center"/>
          </w:tcPr>
          <w:p w14:paraId="33ADD93D"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55FF5074" w14:textId="77777777" w:rsidTr="00B518F1">
        <w:tc>
          <w:tcPr>
            <w:tcW w:w="1704" w:type="dxa"/>
            <w:vAlign w:val="center"/>
          </w:tcPr>
          <w:p w14:paraId="05C3A318" w14:textId="77777777" w:rsidR="000B4CBF" w:rsidRPr="004D46AC" w:rsidRDefault="000B4CBF" w:rsidP="00B518F1">
            <w:pPr>
              <w:spacing w:line="240" w:lineRule="auto"/>
              <w:ind w:firstLine="0"/>
            </w:pPr>
            <w:r w:rsidRPr="004D46AC">
              <w:rPr>
                <w:color w:val="000000"/>
              </w:rPr>
              <w:t>TR17--TR33</w:t>
            </w:r>
          </w:p>
        </w:tc>
        <w:tc>
          <w:tcPr>
            <w:tcW w:w="1704" w:type="dxa"/>
            <w:vAlign w:val="center"/>
          </w:tcPr>
          <w:p w14:paraId="3D548BBD" w14:textId="77777777" w:rsidR="000B4CBF" w:rsidRPr="004D46AC" w:rsidRDefault="000B4CBF" w:rsidP="00B518F1">
            <w:pPr>
              <w:spacing w:line="240" w:lineRule="auto"/>
              <w:ind w:firstLine="0"/>
            </w:pPr>
            <w:r w:rsidRPr="004D46AC">
              <w:rPr>
                <w:color w:val="000000"/>
                <w:szCs w:val="21"/>
              </w:rPr>
              <w:t xml:space="preserve">0.81 </w:t>
            </w:r>
          </w:p>
        </w:tc>
        <w:tc>
          <w:tcPr>
            <w:tcW w:w="1704" w:type="dxa"/>
            <w:vAlign w:val="center"/>
          </w:tcPr>
          <w:p w14:paraId="6F819817" w14:textId="77777777" w:rsidR="000B4CBF" w:rsidRPr="004D46AC" w:rsidRDefault="000B4CBF" w:rsidP="00B518F1">
            <w:pPr>
              <w:spacing w:line="240" w:lineRule="auto"/>
              <w:ind w:firstLine="0"/>
            </w:pPr>
            <w:r w:rsidRPr="004D46AC">
              <w:rPr>
                <w:color w:val="000000"/>
                <w:szCs w:val="21"/>
              </w:rPr>
              <w:t xml:space="preserve">0.29 </w:t>
            </w:r>
          </w:p>
        </w:tc>
        <w:tc>
          <w:tcPr>
            <w:tcW w:w="1705" w:type="dxa"/>
            <w:vAlign w:val="center"/>
          </w:tcPr>
          <w:p w14:paraId="59B4A0AA" w14:textId="77777777" w:rsidR="000B4CBF" w:rsidRPr="004D46AC" w:rsidRDefault="000B4CBF" w:rsidP="00B518F1">
            <w:pPr>
              <w:spacing w:line="240" w:lineRule="auto"/>
              <w:ind w:firstLine="0"/>
            </w:pPr>
            <w:r w:rsidRPr="004D46AC">
              <w:rPr>
                <w:color w:val="000000"/>
                <w:szCs w:val="21"/>
              </w:rPr>
              <w:t xml:space="preserve">1.32 </w:t>
            </w:r>
          </w:p>
        </w:tc>
        <w:tc>
          <w:tcPr>
            <w:tcW w:w="1705" w:type="dxa"/>
            <w:vAlign w:val="center"/>
          </w:tcPr>
          <w:p w14:paraId="018492C5"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1693976E" w14:textId="77777777" w:rsidTr="00B518F1">
        <w:tc>
          <w:tcPr>
            <w:tcW w:w="1704" w:type="dxa"/>
            <w:vAlign w:val="center"/>
          </w:tcPr>
          <w:p w14:paraId="3EBE5785" w14:textId="77777777" w:rsidR="000B4CBF" w:rsidRPr="004D46AC" w:rsidRDefault="000B4CBF" w:rsidP="00B518F1">
            <w:pPr>
              <w:spacing w:line="240" w:lineRule="auto"/>
              <w:ind w:firstLine="0"/>
            </w:pPr>
            <w:r w:rsidRPr="004D46AC">
              <w:rPr>
                <w:color w:val="000000"/>
              </w:rPr>
              <w:t>TR5--TR15</w:t>
            </w:r>
          </w:p>
        </w:tc>
        <w:tc>
          <w:tcPr>
            <w:tcW w:w="1704" w:type="dxa"/>
            <w:vAlign w:val="center"/>
          </w:tcPr>
          <w:p w14:paraId="27306568" w14:textId="77777777" w:rsidR="000B4CBF" w:rsidRPr="004D46AC" w:rsidRDefault="000B4CBF" w:rsidP="00B518F1">
            <w:pPr>
              <w:spacing w:line="240" w:lineRule="auto"/>
              <w:ind w:firstLine="0"/>
            </w:pPr>
            <w:r w:rsidRPr="004D46AC">
              <w:rPr>
                <w:color w:val="000000"/>
                <w:szCs w:val="21"/>
              </w:rPr>
              <w:t xml:space="preserve">0.80 </w:t>
            </w:r>
          </w:p>
        </w:tc>
        <w:tc>
          <w:tcPr>
            <w:tcW w:w="1704" w:type="dxa"/>
            <w:vAlign w:val="center"/>
          </w:tcPr>
          <w:p w14:paraId="06AF0354" w14:textId="77777777" w:rsidR="000B4CBF" w:rsidRPr="004D46AC" w:rsidRDefault="000B4CBF" w:rsidP="00B518F1">
            <w:pPr>
              <w:spacing w:line="240" w:lineRule="auto"/>
              <w:ind w:firstLine="0"/>
            </w:pPr>
            <w:r w:rsidRPr="004D46AC">
              <w:rPr>
                <w:color w:val="000000"/>
                <w:szCs w:val="21"/>
              </w:rPr>
              <w:t xml:space="preserve">0.27 </w:t>
            </w:r>
          </w:p>
        </w:tc>
        <w:tc>
          <w:tcPr>
            <w:tcW w:w="1705" w:type="dxa"/>
            <w:vAlign w:val="center"/>
          </w:tcPr>
          <w:p w14:paraId="031F5801" w14:textId="77777777" w:rsidR="000B4CBF" w:rsidRPr="004D46AC" w:rsidRDefault="000B4CBF" w:rsidP="00B518F1">
            <w:pPr>
              <w:spacing w:line="240" w:lineRule="auto"/>
              <w:ind w:firstLine="0"/>
            </w:pPr>
            <w:r w:rsidRPr="004D46AC">
              <w:rPr>
                <w:color w:val="000000"/>
                <w:szCs w:val="21"/>
              </w:rPr>
              <w:t xml:space="preserve">1.34 </w:t>
            </w:r>
          </w:p>
        </w:tc>
        <w:tc>
          <w:tcPr>
            <w:tcW w:w="1705" w:type="dxa"/>
            <w:vAlign w:val="center"/>
          </w:tcPr>
          <w:p w14:paraId="647FD176"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400198B4" w14:textId="77777777" w:rsidTr="00B518F1">
        <w:tc>
          <w:tcPr>
            <w:tcW w:w="1704" w:type="dxa"/>
            <w:vAlign w:val="center"/>
          </w:tcPr>
          <w:p w14:paraId="37250F3C" w14:textId="77777777" w:rsidR="000B4CBF" w:rsidRPr="004D46AC" w:rsidRDefault="000B4CBF" w:rsidP="00B518F1">
            <w:pPr>
              <w:spacing w:line="240" w:lineRule="auto"/>
              <w:ind w:firstLine="0"/>
            </w:pPr>
            <w:r w:rsidRPr="004D46AC">
              <w:rPr>
                <w:color w:val="000000"/>
              </w:rPr>
              <w:t>TR14--TR22</w:t>
            </w:r>
          </w:p>
        </w:tc>
        <w:tc>
          <w:tcPr>
            <w:tcW w:w="1704" w:type="dxa"/>
            <w:vAlign w:val="center"/>
          </w:tcPr>
          <w:p w14:paraId="23C63416" w14:textId="77777777" w:rsidR="000B4CBF" w:rsidRPr="004D46AC" w:rsidRDefault="000B4CBF" w:rsidP="00B518F1">
            <w:pPr>
              <w:spacing w:line="240" w:lineRule="auto"/>
              <w:ind w:firstLine="0"/>
            </w:pPr>
            <w:r w:rsidRPr="004D46AC">
              <w:rPr>
                <w:color w:val="000000"/>
                <w:szCs w:val="21"/>
              </w:rPr>
              <w:t xml:space="preserve">0.75 </w:t>
            </w:r>
          </w:p>
        </w:tc>
        <w:tc>
          <w:tcPr>
            <w:tcW w:w="1704" w:type="dxa"/>
            <w:vAlign w:val="center"/>
          </w:tcPr>
          <w:p w14:paraId="05C8E7D1" w14:textId="77777777" w:rsidR="000B4CBF" w:rsidRPr="004D46AC" w:rsidRDefault="000B4CBF" w:rsidP="00B518F1">
            <w:pPr>
              <w:spacing w:line="240" w:lineRule="auto"/>
              <w:ind w:firstLine="0"/>
            </w:pPr>
            <w:r w:rsidRPr="004D46AC">
              <w:rPr>
                <w:color w:val="000000"/>
                <w:szCs w:val="21"/>
              </w:rPr>
              <w:t xml:space="preserve">0.28 </w:t>
            </w:r>
          </w:p>
        </w:tc>
        <w:tc>
          <w:tcPr>
            <w:tcW w:w="1705" w:type="dxa"/>
            <w:vAlign w:val="center"/>
          </w:tcPr>
          <w:p w14:paraId="0771FCC5" w14:textId="77777777" w:rsidR="000B4CBF" w:rsidRPr="004D46AC" w:rsidRDefault="000B4CBF" w:rsidP="00B518F1">
            <w:pPr>
              <w:spacing w:line="240" w:lineRule="auto"/>
              <w:ind w:firstLine="0"/>
            </w:pPr>
            <w:r w:rsidRPr="004D46AC">
              <w:rPr>
                <w:color w:val="000000"/>
                <w:szCs w:val="21"/>
              </w:rPr>
              <w:t xml:space="preserve">1.21 </w:t>
            </w:r>
          </w:p>
        </w:tc>
        <w:tc>
          <w:tcPr>
            <w:tcW w:w="1705" w:type="dxa"/>
            <w:vAlign w:val="center"/>
          </w:tcPr>
          <w:p w14:paraId="3AFABBC0"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0038F9D9" w14:textId="77777777" w:rsidTr="00B518F1">
        <w:tc>
          <w:tcPr>
            <w:tcW w:w="1704" w:type="dxa"/>
            <w:vAlign w:val="center"/>
          </w:tcPr>
          <w:p w14:paraId="184C1712" w14:textId="77777777" w:rsidR="000B4CBF" w:rsidRPr="004D46AC" w:rsidRDefault="000B4CBF" w:rsidP="00B518F1">
            <w:pPr>
              <w:spacing w:line="240" w:lineRule="auto"/>
              <w:ind w:firstLine="0"/>
            </w:pPr>
            <w:r w:rsidRPr="004D46AC">
              <w:rPr>
                <w:color w:val="000000"/>
              </w:rPr>
              <w:t>TR17--TR30</w:t>
            </w:r>
          </w:p>
        </w:tc>
        <w:tc>
          <w:tcPr>
            <w:tcW w:w="1704" w:type="dxa"/>
            <w:vAlign w:val="center"/>
          </w:tcPr>
          <w:p w14:paraId="3A1DD3AC" w14:textId="77777777" w:rsidR="000B4CBF" w:rsidRPr="004D46AC" w:rsidRDefault="000B4CBF" w:rsidP="00B518F1">
            <w:pPr>
              <w:spacing w:line="240" w:lineRule="auto"/>
              <w:ind w:firstLine="0"/>
            </w:pPr>
            <w:r w:rsidRPr="004D46AC">
              <w:rPr>
                <w:color w:val="000000"/>
                <w:szCs w:val="21"/>
              </w:rPr>
              <w:t xml:space="preserve">0.73 </w:t>
            </w:r>
          </w:p>
        </w:tc>
        <w:tc>
          <w:tcPr>
            <w:tcW w:w="1704" w:type="dxa"/>
            <w:vAlign w:val="center"/>
          </w:tcPr>
          <w:p w14:paraId="254E47ED"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472A0BCA" w14:textId="77777777" w:rsidR="000B4CBF" w:rsidRPr="004D46AC" w:rsidRDefault="000B4CBF" w:rsidP="00B518F1">
            <w:pPr>
              <w:spacing w:line="240" w:lineRule="auto"/>
              <w:ind w:firstLine="0"/>
            </w:pPr>
            <w:r w:rsidRPr="004D46AC">
              <w:rPr>
                <w:color w:val="000000"/>
                <w:szCs w:val="21"/>
              </w:rPr>
              <w:t xml:space="preserve">1.26 </w:t>
            </w:r>
          </w:p>
        </w:tc>
        <w:tc>
          <w:tcPr>
            <w:tcW w:w="1705" w:type="dxa"/>
            <w:vAlign w:val="center"/>
          </w:tcPr>
          <w:p w14:paraId="3313232B"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019BFAF1" w14:textId="77777777" w:rsidTr="00B518F1">
        <w:tc>
          <w:tcPr>
            <w:tcW w:w="1704" w:type="dxa"/>
            <w:vAlign w:val="center"/>
          </w:tcPr>
          <w:p w14:paraId="24D5A96A" w14:textId="77777777" w:rsidR="000B4CBF" w:rsidRPr="004D46AC" w:rsidRDefault="000B4CBF" w:rsidP="00B518F1">
            <w:pPr>
              <w:spacing w:line="240" w:lineRule="auto"/>
              <w:ind w:firstLine="0"/>
            </w:pPr>
            <w:r w:rsidRPr="004D46AC">
              <w:rPr>
                <w:color w:val="000000"/>
              </w:rPr>
              <w:t>TR22--TR25</w:t>
            </w:r>
          </w:p>
        </w:tc>
        <w:tc>
          <w:tcPr>
            <w:tcW w:w="1704" w:type="dxa"/>
            <w:vAlign w:val="center"/>
          </w:tcPr>
          <w:p w14:paraId="33D10819" w14:textId="77777777" w:rsidR="000B4CBF" w:rsidRPr="004D46AC" w:rsidRDefault="000B4CBF" w:rsidP="00B518F1">
            <w:pPr>
              <w:spacing w:line="240" w:lineRule="auto"/>
              <w:ind w:firstLine="0"/>
            </w:pPr>
            <w:r w:rsidRPr="004D46AC">
              <w:rPr>
                <w:color w:val="000000"/>
                <w:szCs w:val="21"/>
              </w:rPr>
              <w:t xml:space="preserve">0.71 </w:t>
            </w:r>
          </w:p>
        </w:tc>
        <w:tc>
          <w:tcPr>
            <w:tcW w:w="1704" w:type="dxa"/>
            <w:vAlign w:val="center"/>
          </w:tcPr>
          <w:p w14:paraId="75307EF8" w14:textId="77777777" w:rsidR="000B4CBF" w:rsidRPr="004D46AC" w:rsidRDefault="000B4CBF" w:rsidP="00B518F1">
            <w:pPr>
              <w:spacing w:line="240" w:lineRule="auto"/>
              <w:ind w:firstLine="0"/>
            </w:pPr>
            <w:r w:rsidRPr="004D46AC">
              <w:rPr>
                <w:color w:val="000000"/>
                <w:szCs w:val="21"/>
              </w:rPr>
              <w:t xml:space="preserve">0.28 </w:t>
            </w:r>
          </w:p>
        </w:tc>
        <w:tc>
          <w:tcPr>
            <w:tcW w:w="1705" w:type="dxa"/>
            <w:vAlign w:val="center"/>
          </w:tcPr>
          <w:p w14:paraId="6083F2C4" w14:textId="77777777" w:rsidR="000B4CBF" w:rsidRPr="004D46AC" w:rsidRDefault="000B4CBF" w:rsidP="00B518F1">
            <w:pPr>
              <w:spacing w:line="240" w:lineRule="auto"/>
              <w:ind w:firstLine="0"/>
            </w:pPr>
            <w:r w:rsidRPr="004D46AC">
              <w:rPr>
                <w:color w:val="000000"/>
                <w:szCs w:val="21"/>
              </w:rPr>
              <w:t xml:space="preserve">1.15 </w:t>
            </w:r>
          </w:p>
        </w:tc>
        <w:tc>
          <w:tcPr>
            <w:tcW w:w="1705" w:type="dxa"/>
            <w:vAlign w:val="center"/>
          </w:tcPr>
          <w:p w14:paraId="41054104"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EC69292" w14:textId="77777777" w:rsidTr="00B518F1">
        <w:tc>
          <w:tcPr>
            <w:tcW w:w="1704" w:type="dxa"/>
            <w:vAlign w:val="center"/>
          </w:tcPr>
          <w:p w14:paraId="57F6A3C6" w14:textId="77777777" w:rsidR="000B4CBF" w:rsidRPr="004D46AC" w:rsidRDefault="000B4CBF" w:rsidP="00B518F1">
            <w:pPr>
              <w:spacing w:line="240" w:lineRule="auto"/>
              <w:ind w:firstLine="0"/>
            </w:pPr>
            <w:r w:rsidRPr="004D46AC">
              <w:rPr>
                <w:color w:val="000000"/>
              </w:rPr>
              <w:t>TR7--TR15</w:t>
            </w:r>
          </w:p>
        </w:tc>
        <w:tc>
          <w:tcPr>
            <w:tcW w:w="1704" w:type="dxa"/>
            <w:vAlign w:val="center"/>
          </w:tcPr>
          <w:p w14:paraId="2BF5D3ED" w14:textId="77777777" w:rsidR="000B4CBF" w:rsidRPr="004D46AC" w:rsidRDefault="000B4CBF" w:rsidP="00B518F1">
            <w:pPr>
              <w:spacing w:line="240" w:lineRule="auto"/>
              <w:ind w:firstLine="0"/>
            </w:pPr>
            <w:r w:rsidRPr="004D46AC">
              <w:rPr>
                <w:color w:val="000000"/>
                <w:szCs w:val="21"/>
              </w:rPr>
              <w:t xml:space="preserve">0.71 </w:t>
            </w:r>
          </w:p>
        </w:tc>
        <w:tc>
          <w:tcPr>
            <w:tcW w:w="1704" w:type="dxa"/>
            <w:vAlign w:val="center"/>
          </w:tcPr>
          <w:p w14:paraId="10CFE6BE"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12D3D0FB" w14:textId="77777777" w:rsidR="000B4CBF" w:rsidRPr="004D46AC" w:rsidRDefault="000B4CBF" w:rsidP="00B518F1">
            <w:pPr>
              <w:spacing w:line="240" w:lineRule="auto"/>
              <w:ind w:firstLine="0"/>
            </w:pPr>
            <w:r w:rsidRPr="004D46AC">
              <w:rPr>
                <w:color w:val="000000"/>
                <w:szCs w:val="21"/>
              </w:rPr>
              <w:t xml:space="preserve">1.20 </w:t>
            </w:r>
          </w:p>
        </w:tc>
        <w:tc>
          <w:tcPr>
            <w:tcW w:w="1705" w:type="dxa"/>
            <w:vAlign w:val="center"/>
          </w:tcPr>
          <w:p w14:paraId="6304EB5F"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DEC5A46" w14:textId="77777777" w:rsidTr="00B518F1">
        <w:tc>
          <w:tcPr>
            <w:tcW w:w="1704" w:type="dxa"/>
            <w:vAlign w:val="center"/>
          </w:tcPr>
          <w:p w14:paraId="32F1DCEE" w14:textId="77777777" w:rsidR="000B4CBF" w:rsidRPr="004D46AC" w:rsidRDefault="000B4CBF" w:rsidP="00B518F1">
            <w:pPr>
              <w:spacing w:line="240" w:lineRule="auto"/>
              <w:ind w:firstLine="0"/>
            </w:pPr>
            <w:r w:rsidRPr="004D46AC">
              <w:rPr>
                <w:color w:val="000000"/>
              </w:rPr>
              <w:t>TR6--TR29</w:t>
            </w:r>
          </w:p>
        </w:tc>
        <w:tc>
          <w:tcPr>
            <w:tcW w:w="1704" w:type="dxa"/>
            <w:vAlign w:val="center"/>
          </w:tcPr>
          <w:p w14:paraId="03B573E7" w14:textId="77777777" w:rsidR="000B4CBF" w:rsidRPr="004D46AC" w:rsidRDefault="000B4CBF" w:rsidP="00B518F1">
            <w:pPr>
              <w:spacing w:line="240" w:lineRule="auto"/>
              <w:ind w:firstLine="0"/>
            </w:pPr>
            <w:r w:rsidRPr="004D46AC">
              <w:rPr>
                <w:color w:val="000000"/>
                <w:szCs w:val="21"/>
              </w:rPr>
              <w:t xml:space="preserve">0.66 </w:t>
            </w:r>
          </w:p>
        </w:tc>
        <w:tc>
          <w:tcPr>
            <w:tcW w:w="1704" w:type="dxa"/>
            <w:vAlign w:val="center"/>
          </w:tcPr>
          <w:p w14:paraId="632C056F"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2AD96D16" w14:textId="77777777" w:rsidR="000B4CBF" w:rsidRPr="004D46AC" w:rsidRDefault="000B4CBF" w:rsidP="00B518F1">
            <w:pPr>
              <w:spacing w:line="240" w:lineRule="auto"/>
              <w:ind w:firstLine="0"/>
            </w:pPr>
            <w:r w:rsidRPr="004D46AC">
              <w:rPr>
                <w:color w:val="000000"/>
                <w:szCs w:val="21"/>
              </w:rPr>
              <w:t xml:space="preserve">1.15 </w:t>
            </w:r>
          </w:p>
        </w:tc>
        <w:tc>
          <w:tcPr>
            <w:tcW w:w="1705" w:type="dxa"/>
            <w:vAlign w:val="center"/>
          </w:tcPr>
          <w:p w14:paraId="723A9ED6"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7CFF0506" w14:textId="77777777" w:rsidTr="00B518F1">
        <w:tc>
          <w:tcPr>
            <w:tcW w:w="1704" w:type="dxa"/>
            <w:vAlign w:val="center"/>
          </w:tcPr>
          <w:p w14:paraId="7F5003DF" w14:textId="77777777" w:rsidR="000B4CBF" w:rsidRPr="004D46AC" w:rsidRDefault="000B4CBF" w:rsidP="00B518F1">
            <w:pPr>
              <w:spacing w:line="240" w:lineRule="auto"/>
              <w:ind w:firstLine="0"/>
            </w:pPr>
            <w:r w:rsidRPr="004D46AC">
              <w:rPr>
                <w:color w:val="000000"/>
              </w:rPr>
              <w:t>TR20--TR25</w:t>
            </w:r>
          </w:p>
        </w:tc>
        <w:tc>
          <w:tcPr>
            <w:tcW w:w="1704" w:type="dxa"/>
            <w:vAlign w:val="center"/>
          </w:tcPr>
          <w:p w14:paraId="3BB1770D" w14:textId="77777777" w:rsidR="000B4CBF" w:rsidRPr="004D46AC" w:rsidRDefault="000B4CBF" w:rsidP="00B518F1">
            <w:pPr>
              <w:spacing w:line="240" w:lineRule="auto"/>
              <w:ind w:firstLine="0"/>
            </w:pPr>
            <w:r w:rsidRPr="004D46AC">
              <w:rPr>
                <w:color w:val="000000"/>
                <w:szCs w:val="21"/>
              </w:rPr>
              <w:t xml:space="preserve">0.64 </w:t>
            </w:r>
          </w:p>
        </w:tc>
        <w:tc>
          <w:tcPr>
            <w:tcW w:w="1704" w:type="dxa"/>
            <w:vAlign w:val="center"/>
          </w:tcPr>
          <w:p w14:paraId="2230FD13"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4C698317" w14:textId="77777777" w:rsidR="000B4CBF" w:rsidRPr="004D46AC" w:rsidRDefault="000B4CBF" w:rsidP="00B518F1">
            <w:pPr>
              <w:spacing w:line="240" w:lineRule="auto"/>
              <w:ind w:firstLine="0"/>
            </w:pPr>
            <w:r w:rsidRPr="004D46AC">
              <w:rPr>
                <w:color w:val="000000"/>
                <w:szCs w:val="21"/>
              </w:rPr>
              <w:t xml:space="preserve">1.08 </w:t>
            </w:r>
          </w:p>
        </w:tc>
        <w:tc>
          <w:tcPr>
            <w:tcW w:w="1705" w:type="dxa"/>
            <w:vAlign w:val="center"/>
          </w:tcPr>
          <w:p w14:paraId="06D6E43F"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76298ACD" w14:textId="77777777" w:rsidTr="00B518F1">
        <w:tc>
          <w:tcPr>
            <w:tcW w:w="1704" w:type="dxa"/>
            <w:vAlign w:val="center"/>
          </w:tcPr>
          <w:p w14:paraId="5E70A399" w14:textId="77777777" w:rsidR="000B4CBF" w:rsidRPr="004D46AC" w:rsidRDefault="000B4CBF" w:rsidP="00B518F1">
            <w:pPr>
              <w:spacing w:line="240" w:lineRule="auto"/>
              <w:ind w:firstLine="0"/>
            </w:pPr>
            <w:r w:rsidRPr="004D46AC">
              <w:rPr>
                <w:color w:val="000000"/>
              </w:rPr>
              <w:t>TR16--TR25</w:t>
            </w:r>
          </w:p>
        </w:tc>
        <w:tc>
          <w:tcPr>
            <w:tcW w:w="1704" w:type="dxa"/>
            <w:vAlign w:val="center"/>
          </w:tcPr>
          <w:p w14:paraId="22411E7E" w14:textId="77777777" w:rsidR="000B4CBF" w:rsidRPr="004D46AC" w:rsidRDefault="000B4CBF" w:rsidP="00B518F1">
            <w:pPr>
              <w:spacing w:line="240" w:lineRule="auto"/>
              <w:ind w:firstLine="0"/>
            </w:pPr>
            <w:r w:rsidRPr="004D46AC">
              <w:rPr>
                <w:color w:val="000000"/>
                <w:szCs w:val="21"/>
              </w:rPr>
              <w:t xml:space="preserve">0.64 </w:t>
            </w:r>
          </w:p>
        </w:tc>
        <w:tc>
          <w:tcPr>
            <w:tcW w:w="1704" w:type="dxa"/>
            <w:vAlign w:val="center"/>
          </w:tcPr>
          <w:p w14:paraId="373B8F8E"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02FF14E1" w14:textId="77777777" w:rsidR="000B4CBF" w:rsidRPr="004D46AC" w:rsidRDefault="000B4CBF" w:rsidP="00B518F1">
            <w:pPr>
              <w:spacing w:line="240" w:lineRule="auto"/>
              <w:ind w:firstLine="0"/>
            </w:pPr>
            <w:r w:rsidRPr="004D46AC">
              <w:rPr>
                <w:color w:val="000000"/>
                <w:szCs w:val="21"/>
              </w:rPr>
              <w:t xml:space="preserve">1.09 </w:t>
            </w:r>
          </w:p>
        </w:tc>
        <w:tc>
          <w:tcPr>
            <w:tcW w:w="1705" w:type="dxa"/>
            <w:vAlign w:val="center"/>
          </w:tcPr>
          <w:p w14:paraId="0ED0AA7F"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20AEB5B" w14:textId="77777777" w:rsidTr="00B518F1">
        <w:tc>
          <w:tcPr>
            <w:tcW w:w="1704" w:type="dxa"/>
            <w:vAlign w:val="center"/>
          </w:tcPr>
          <w:p w14:paraId="32BEC1F3" w14:textId="77777777" w:rsidR="000B4CBF" w:rsidRPr="004D46AC" w:rsidRDefault="000B4CBF" w:rsidP="00B518F1">
            <w:pPr>
              <w:spacing w:line="240" w:lineRule="auto"/>
              <w:ind w:firstLine="0"/>
            </w:pPr>
            <w:r w:rsidRPr="004D46AC">
              <w:rPr>
                <w:color w:val="000000"/>
              </w:rPr>
              <w:t>TR23--TR24</w:t>
            </w:r>
          </w:p>
        </w:tc>
        <w:tc>
          <w:tcPr>
            <w:tcW w:w="1704" w:type="dxa"/>
            <w:vAlign w:val="center"/>
          </w:tcPr>
          <w:p w14:paraId="5B235B45" w14:textId="77777777" w:rsidR="000B4CBF" w:rsidRPr="004D46AC" w:rsidRDefault="000B4CBF" w:rsidP="00B518F1">
            <w:pPr>
              <w:spacing w:line="240" w:lineRule="auto"/>
              <w:ind w:firstLine="0"/>
            </w:pPr>
            <w:r w:rsidRPr="004D46AC">
              <w:rPr>
                <w:color w:val="000000"/>
                <w:szCs w:val="21"/>
              </w:rPr>
              <w:t xml:space="preserve">0.63 </w:t>
            </w:r>
          </w:p>
        </w:tc>
        <w:tc>
          <w:tcPr>
            <w:tcW w:w="1704" w:type="dxa"/>
            <w:vAlign w:val="center"/>
          </w:tcPr>
          <w:p w14:paraId="767157A8" w14:textId="77777777" w:rsidR="000B4CBF" w:rsidRPr="004D46AC" w:rsidRDefault="000B4CBF" w:rsidP="00B518F1">
            <w:pPr>
              <w:spacing w:line="240" w:lineRule="auto"/>
              <w:ind w:firstLine="0"/>
            </w:pPr>
            <w:r w:rsidRPr="004D46AC">
              <w:rPr>
                <w:color w:val="000000"/>
                <w:szCs w:val="21"/>
              </w:rPr>
              <w:t xml:space="preserve">0.12 </w:t>
            </w:r>
          </w:p>
        </w:tc>
        <w:tc>
          <w:tcPr>
            <w:tcW w:w="1705" w:type="dxa"/>
            <w:vAlign w:val="center"/>
          </w:tcPr>
          <w:p w14:paraId="753CAFF4" w14:textId="77777777" w:rsidR="000B4CBF" w:rsidRPr="004D46AC" w:rsidRDefault="000B4CBF" w:rsidP="00B518F1">
            <w:pPr>
              <w:spacing w:line="240" w:lineRule="auto"/>
              <w:ind w:firstLine="0"/>
            </w:pPr>
            <w:r w:rsidRPr="004D46AC">
              <w:rPr>
                <w:color w:val="000000"/>
                <w:szCs w:val="21"/>
              </w:rPr>
              <w:t xml:space="preserve">1.13 </w:t>
            </w:r>
          </w:p>
        </w:tc>
        <w:tc>
          <w:tcPr>
            <w:tcW w:w="1705" w:type="dxa"/>
            <w:vAlign w:val="center"/>
          </w:tcPr>
          <w:p w14:paraId="34372172" w14:textId="77777777" w:rsidR="000B4CBF" w:rsidRPr="004D46AC" w:rsidRDefault="000B4CBF" w:rsidP="00B518F1">
            <w:pPr>
              <w:spacing w:line="240" w:lineRule="auto"/>
              <w:ind w:firstLine="0"/>
            </w:pPr>
            <w:r w:rsidRPr="004D46AC">
              <w:rPr>
                <w:color w:val="000000"/>
                <w:szCs w:val="21"/>
              </w:rPr>
              <w:t xml:space="preserve">0.02 </w:t>
            </w:r>
          </w:p>
        </w:tc>
      </w:tr>
      <w:tr w:rsidR="000B4CBF" w:rsidRPr="004D46AC" w14:paraId="43A4E8BD" w14:textId="77777777" w:rsidTr="00B518F1">
        <w:tc>
          <w:tcPr>
            <w:tcW w:w="1704" w:type="dxa"/>
            <w:vAlign w:val="center"/>
          </w:tcPr>
          <w:p w14:paraId="37F3CCD6" w14:textId="77777777" w:rsidR="000B4CBF" w:rsidRPr="004D46AC" w:rsidRDefault="000B4CBF" w:rsidP="00B518F1">
            <w:pPr>
              <w:spacing w:line="240" w:lineRule="auto"/>
              <w:ind w:firstLine="0"/>
            </w:pPr>
            <w:r w:rsidRPr="004D46AC">
              <w:rPr>
                <w:color w:val="000000"/>
              </w:rPr>
              <w:t>TR18--TR29</w:t>
            </w:r>
          </w:p>
        </w:tc>
        <w:tc>
          <w:tcPr>
            <w:tcW w:w="1704" w:type="dxa"/>
            <w:vAlign w:val="center"/>
          </w:tcPr>
          <w:p w14:paraId="1F061239" w14:textId="77777777" w:rsidR="000B4CBF" w:rsidRPr="004D46AC" w:rsidRDefault="000B4CBF" w:rsidP="00B518F1">
            <w:pPr>
              <w:spacing w:line="240" w:lineRule="auto"/>
              <w:ind w:firstLine="0"/>
            </w:pPr>
            <w:r w:rsidRPr="004D46AC">
              <w:rPr>
                <w:color w:val="000000"/>
                <w:szCs w:val="21"/>
              </w:rPr>
              <w:t xml:space="preserve">0.61 </w:t>
            </w:r>
          </w:p>
        </w:tc>
        <w:tc>
          <w:tcPr>
            <w:tcW w:w="1704" w:type="dxa"/>
            <w:vAlign w:val="center"/>
          </w:tcPr>
          <w:p w14:paraId="46F5DE70" w14:textId="77777777" w:rsidR="000B4CBF" w:rsidRPr="004D46AC" w:rsidRDefault="000B4CBF" w:rsidP="00B518F1">
            <w:pPr>
              <w:spacing w:line="240" w:lineRule="auto"/>
              <w:ind w:firstLine="0"/>
            </w:pPr>
            <w:r w:rsidRPr="004D46AC">
              <w:rPr>
                <w:color w:val="000000"/>
                <w:szCs w:val="21"/>
              </w:rPr>
              <w:t xml:space="preserve">0.09 </w:t>
            </w:r>
          </w:p>
        </w:tc>
        <w:tc>
          <w:tcPr>
            <w:tcW w:w="1705" w:type="dxa"/>
            <w:vAlign w:val="center"/>
          </w:tcPr>
          <w:p w14:paraId="61633E56" w14:textId="77777777" w:rsidR="000B4CBF" w:rsidRPr="004D46AC" w:rsidRDefault="000B4CBF" w:rsidP="00B518F1">
            <w:pPr>
              <w:spacing w:line="240" w:lineRule="auto"/>
              <w:ind w:firstLine="0"/>
            </w:pPr>
            <w:r w:rsidRPr="004D46AC">
              <w:rPr>
                <w:color w:val="000000"/>
                <w:szCs w:val="21"/>
              </w:rPr>
              <w:t xml:space="preserve">1.14 </w:t>
            </w:r>
          </w:p>
        </w:tc>
        <w:tc>
          <w:tcPr>
            <w:tcW w:w="1705" w:type="dxa"/>
            <w:vAlign w:val="center"/>
          </w:tcPr>
          <w:p w14:paraId="375B464E" w14:textId="77777777" w:rsidR="000B4CBF" w:rsidRPr="004D46AC" w:rsidRDefault="000B4CBF" w:rsidP="00B518F1">
            <w:pPr>
              <w:spacing w:line="240" w:lineRule="auto"/>
              <w:ind w:firstLine="0"/>
            </w:pPr>
            <w:r w:rsidRPr="004D46AC">
              <w:rPr>
                <w:color w:val="000000"/>
                <w:szCs w:val="21"/>
              </w:rPr>
              <w:t xml:space="preserve">0.03 </w:t>
            </w:r>
          </w:p>
        </w:tc>
      </w:tr>
      <w:tr w:rsidR="000B4CBF" w:rsidRPr="004D46AC" w14:paraId="114234D3" w14:textId="77777777" w:rsidTr="00B518F1">
        <w:tc>
          <w:tcPr>
            <w:tcW w:w="1704" w:type="dxa"/>
            <w:vAlign w:val="center"/>
          </w:tcPr>
          <w:p w14:paraId="288182AA" w14:textId="77777777" w:rsidR="000B4CBF" w:rsidRPr="004D46AC" w:rsidRDefault="000B4CBF" w:rsidP="00B518F1">
            <w:pPr>
              <w:spacing w:line="240" w:lineRule="auto"/>
              <w:ind w:firstLine="0"/>
            </w:pPr>
            <w:r w:rsidRPr="004D46AC">
              <w:rPr>
                <w:color w:val="000000"/>
              </w:rPr>
              <w:t>TR29--TR30</w:t>
            </w:r>
          </w:p>
        </w:tc>
        <w:tc>
          <w:tcPr>
            <w:tcW w:w="1704" w:type="dxa"/>
            <w:vAlign w:val="center"/>
          </w:tcPr>
          <w:p w14:paraId="0B7E6BBC" w14:textId="77777777" w:rsidR="000B4CBF" w:rsidRPr="004D46AC" w:rsidRDefault="000B4CBF" w:rsidP="00B518F1">
            <w:pPr>
              <w:spacing w:line="240" w:lineRule="auto"/>
              <w:ind w:firstLine="0"/>
            </w:pPr>
            <w:r w:rsidRPr="004D46AC">
              <w:rPr>
                <w:color w:val="000000"/>
                <w:szCs w:val="21"/>
              </w:rPr>
              <w:t xml:space="preserve">0.59 </w:t>
            </w:r>
          </w:p>
        </w:tc>
        <w:tc>
          <w:tcPr>
            <w:tcW w:w="1704" w:type="dxa"/>
            <w:vAlign w:val="center"/>
          </w:tcPr>
          <w:p w14:paraId="0BF7B2B6" w14:textId="77777777" w:rsidR="000B4CBF" w:rsidRPr="004D46AC" w:rsidRDefault="000B4CBF" w:rsidP="00B518F1">
            <w:pPr>
              <w:spacing w:line="240" w:lineRule="auto"/>
              <w:ind w:firstLine="0"/>
            </w:pPr>
            <w:r w:rsidRPr="004D46AC">
              <w:rPr>
                <w:color w:val="000000"/>
                <w:szCs w:val="21"/>
              </w:rPr>
              <w:t xml:space="preserve">0.05 </w:t>
            </w:r>
          </w:p>
        </w:tc>
        <w:tc>
          <w:tcPr>
            <w:tcW w:w="1705" w:type="dxa"/>
            <w:vAlign w:val="center"/>
          </w:tcPr>
          <w:p w14:paraId="388FB86C" w14:textId="77777777" w:rsidR="000B4CBF" w:rsidRPr="004D46AC" w:rsidRDefault="000B4CBF" w:rsidP="00B518F1">
            <w:pPr>
              <w:spacing w:line="240" w:lineRule="auto"/>
              <w:ind w:firstLine="0"/>
            </w:pPr>
            <w:r w:rsidRPr="004D46AC">
              <w:rPr>
                <w:color w:val="000000"/>
                <w:szCs w:val="21"/>
              </w:rPr>
              <w:t xml:space="preserve">1.13 </w:t>
            </w:r>
          </w:p>
        </w:tc>
        <w:tc>
          <w:tcPr>
            <w:tcW w:w="1705" w:type="dxa"/>
            <w:vAlign w:val="center"/>
          </w:tcPr>
          <w:p w14:paraId="7CA2EBEF" w14:textId="77777777" w:rsidR="000B4CBF" w:rsidRPr="004D46AC" w:rsidRDefault="000B4CBF" w:rsidP="00B518F1">
            <w:pPr>
              <w:spacing w:line="240" w:lineRule="auto"/>
              <w:ind w:firstLine="0"/>
            </w:pPr>
            <w:r w:rsidRPr="004D46AC">
              <w:rPr>
                <w:color w:val="000000"/>
                <w:szCs w:val="21"/>
              </w:rPr>
              <w:t xml:space="preserve">0.04 </w:t>
            </w:r>
          </w:p>
        </w:tc>
      </w:tr>
      <w:tr w:rsidR="000B4CBF" w:rsidRPr="004D46AC" w14:paraId="3788B5B9" w14:textId="77777777" w:rsidTr="00B518F1">
        <w:tc>
          <w:tcPr>
            <w:tcW w:w="1704" w:type="dxa"/>
            <w:vAlign w:val="center"/>
          </w:tcPr>
          <w:p w14:paraId="33F14604" w14:textId="77777777" w:rsidR="000B4CBF" w:rsidRPr="004D46AC" w:rsidRDefault="000B4CBF" w:rsidP="00B518F1">
            <w:pPr>
              <w:spacing w:line="240" w:lineRule="auto"/>
              <w:ind w:firstLine="0"/>
            </w:pPr>
            <w:r w:rsidRPr="004D46AC">
              <w:rPr>
                <w:color w:val="000000"/>
              </w:rPr>
              <w:t>TR7--TR34</w:t>
            </w:r>
          </w:p>
        </w:tc>
        <w:tc>
          <w:tcPr>
            <w:tcW w:w="1704" w:type="dxa"/>
            <w:vAlign w:val="center"/>
          </w:tcPr>
          <w:p w14:paraId="4A17C63E" w14:textId="77777777" w:rsidR="000B4CBF" w:rsidRPr="004D46AC" w:rsidRDefault="000B4CBF" w:rsidP="00B518F1">
            <w:pPr>
              <w:spacing w:line="240" w:lineRule="auto"/>
              <w:ind w:firstLine="0"/>
            </w:pPr>
            <w:r w:rsidRPr="004D46AC">
              <w:rPr>
                <w:color w:val="000000"/>
                <w:szCs w:val="21"/>
              </w:rPr>
              <w:t xml:space="preserve">0.58 </w:t>
            </w:r>
          </w:p>
        </w:tc>
        <w:tc>
          <w:tcPr>
            <w:tcW w:w="1704" w:type="dxa"/>
            <w:vAlign w:val="center"/>
          </w:tcPr>
          <w:p w14:paraId="0D1D1A9C" w14:textId="77777777" w:rsidR="000B4CBF" w:rsidRPr="004D46AC" w:rsidRDefault="000B4CBF" w:rsidP="00B518F1">
            <w:pPr>
              <w:spacing w:line="240" w:lineRule="auto"/>
              <w:ind w:firstLine="0"/>
            </w:pPr>
            <w:r w:rsidRPr="004D46AC">
              <w:rPr>
                <w:color w:val="000000"/>
                <w:szCs w:val="21"/>
              </w:rPr>
              <w:t xml:space="preserve">0.10 </w:t>
            </w:r>
          </w:p>
        </w:tc>
        <w:tc>
          <w:tcPr>
            <w:tcW w:w="1705" w:type="dxa"/>
            <w:vAlign w:val="center"/>
          </w:tcPr>
          <w:p w14:paraId="30927D3B" w14:textId="77777777" w:rsidR="000B4CBF" w:rsidRPr="004D46AC" w:rsidRDefault="000B4CBF" w:rsidP="00B518F1">
            <w:pPr>
              <w:spacing w:line="240" w:lineRule="auto"/>
              <w:ind w:firstLine="0"/>
            </w:pPr>
            <w:r w:rsidRPr="004D46AC">
              <w:rPr>
                <w:color w:val="000000"/>
                <w:szCs w:val="21"/>
              </w:rPr>
              <w:t xml:space="preserve">1.05 </w:t>
            </w:r>
          </w:p>
        </w:tc>
        <w:tc>
          <w:tcPr>
            <w:tcW w:w="1705" w:type="dxa"/>
            <w:vAlign w:val="center"/>
          </w:tcPr>
          <w:p w14:paraId="7EDB20DD" w14:textId="77777777" w:rsidR="000B4CBF" w:rsidRPr="004D46AC" w:rsidRDefault="000B4CBF" w:rsidP="00B518F1">
            <w:pPr>
              <w:spacing w:line="240" w:lineRule="auto"/>
              <w:ind w:firstLine="0"/>
            </w:pPr>
            <w:r w:rsidRPr="004D46AC">
              <w:rPr>
                <w:color w:val="000000"/>
                <w:szCs w:val="21"/>
              </w:rPr>
              <w:t xml:space="preserve">0.03 </w:t>
            </w:r>
          </w:p>
        </w:tc>
      </w:tr>
      <w:tr w:rsidR="000B4CBF" w:rsidRPr="004D46AC" w14:paraId="1634E632" w14:textId="77777777" w:rsidTr="00B518F1">
        <w:tc>
          <w:tcPr>
            <w:tcW w:w="1704" w:type="dxa"/>
            <w:vAlign w:val="center"/>
          </w:tcPr>
          <w:p w14:paraId="12B0425E" w14:textId="77777777" w:rsidR="000B4CBF" w:rsidRPr="004D46AC" w:rsidRDefault="000B4CBF" w:rsidP="00B518F1">
            <w:pPr>
              <w:spacing w:line="240" w:lineRule="auto"/>
              <w:ind w:firstLine="0"/>
            </w:pPr>
            <w:r w:rsidRPr="004D46AC">
              <w:rPr>
                <w:color w:val="000000"/>
              </w:rPr>
              <w:t>TR26--TR18</w:t>
            </w:r>
          </w:p>
        </w:tc>
        <w:tc>
          <w:tcPr>
            <w:tcW w:w="1704" w:type="dxa"/>
            <w:vAlign w:val="center"/>
          </w:tcPr>
          <w:p w14:paraId="0EEEC08E" w14:textId="77777777" w:rsidR="000B4CBF" w:rsidRPr="004D46AC" w:rsidRDefault="000B4CBF" w:rsidP="00B518F1">
            <w:pPr>
              <w:spacing w:line="240" w:lineRule="auto"/>
              <w:ind w:firstLine="0"/>
            </w:pPr>
            <w:r w:rsidRPr="004D46AC">
              <w:rPr>
                <w:color w:val="000000"/>
                <w:szCs w:val="21"/>
              </w:rPr>
              <w:t xml:space="preserve">0.57 </w:t>
            </w:r>
          </w:p>
        </w:tc>
        <w:tc>
          <w:tcPr>
            <w:tcW w:w="1704" w:type="dxa"/>
            <w:vAlign w:val="center"/>
          </w:tcPr>
          <w:p w14:paraId="785DC819" w14:textId="77777777" w:rsidR="000B4CBF" w:rsidRPr="004D46AC" w:rsidRDefault="000B4CBF" w:rsidP="00B518F1">
            <w:pPr>
              <w:spacing w:line="240" w:lineRule="auto"/>
              <w:ind w:firstLine="0"/>
            </w:pPr>
            <w:r w:rsidRPr="004D46AC">
              <w:rPr>
                <w:color w:val="000000"/>
                <w:szCs w:val="21"/>
              </w:rPr>
              <w:t xml:space="preserve">0.04 </w:t>
            </w:r>
          </w:p>
        </w:tc>
        <w:tc>
          <w:tcPr>
            <w:tcW w:w="1705" w:type="dxa"/>
            <w:vAlign w:val="center"/>
          </w:tcPr>
          <w:p w14:paraId="40D24FFB" w14:textId="77777777" w:rsidR="000B4CBF" w:rsidRPr="004D46AC" w:rsidRDefault="000B4CBF" w:rsidP="00B518F1">
            <w:pPr>
              <w:spacing w:line="240" w:lineRule="auto"/>
              <w:ind w:firstLine="0"/>
            </w:pPr>
            <w:r w:rsidRPr="004D46AC">
              <w:rPr>
                <w:color w:val="000000"/>
                <w:szCs w:val="21"/>
              </w:rPr>
              <w:t xml:space="preserve">1.10 </w:t>
            </w:r>
          </w:p>
        </w:tc>
        <w:tc>
          <w:tcPr>
            <w:tcW w:w="1705" w:type="dxa"/>
            <w:vAlign w:val="center"/>
          </w:tcPr>
          <w:p w14:paraId="5F533569" w14:textId="77777777" w:rsidR="000B4CBF" w:rsidRPr="004D46AC" w:rsidRDefault="000B4CBF" w:rsidP="00B518F1">
            <w:pPr>
              <w:spacing w:line="240" w:lineRule="auto"/>
              <w:ind w:firstLine="0"/>
            </w:pPr>
            <w:r w:rsidRPr="004D46AC">
              <w:rPr>
                <w:color w:val="000000"/>
                <w:szCs w:val="21"/>
              </w:rPr>
              <w:t xml:space="preserve">0.07 </w:t>
            </w:r>
          </w:p>
        </w:tc>
      </w:tr>
      <w:tr w:rsidR="000B4CBF" w:rsidRPr="004D46AC" w14:paraId="60092635" w14:textId="77777777" w:rsidTr="00B518F1">
        <w:tc>
          <w:tcPr>
            <w:tcW w:w="1704" w:type="dxa"/>
            <w:vAlign w:val="center"/>
          </w:tcPr>
          <w:p w14:paraId="066FD8F8" w14:textId="77777777" w:rsidR="000B4CBF" w:rsidRPr="004D46AC" w:rsidRDefault="000B4CBF" w:rsidP="00B518F1">
            <w:pPr>
              <w:spacing w:line="240" w:lineRule="auto"/>
              <w:ind w:firstLine="0"/>
            </w:pPr>
            <w:r w:rsidRPr="004D46AC">
              <w:rPr>
                <w:color w:val="000000"/>
              </w:rPr>
              <w:t>TR37--TR33</w:t>
            </w:r>
          </w:p>
        </w:tc>
        <w:tc>
          <w:tcPr>
            <w:tcW w:w="1704" w:type="dxa"/>
            <w:vAlign w:val="center"/>
          </w:tcPr>
          <w:p w14:paraId="0BE35C8B" w14:textId="77777777" w:rsidR="000B4CBF" w:rsidRPr="004D46AC" w:rsidRDefault="000B4CBF" w:rsidP="00B518F1">
            <w:pPr>
              <w:spacing w:line="240" w:lineRule="auto"/>
              <w:ind w:firstLine="0"/>
            </w:pPr>
            <w:r w:rsidRPr="004D46AC">
              <w:rPr>
                <w:color w:val="000000"/>
                <w:szCs w:val="21"/>
              </w:rPr>
              <w:t xml:space="preserve">0.57 </w:t>
            </w:r>
          </w:p>
        </w:tc>
        <w:tc>
          <w:tcPr>
            <w:tcW w:w="1704" w:type="dxa"/>
            <w:vAlign w:val="center"/>
          </w:tcPr>
          <w:p w14:paraId="2C61E7AF" w14:textId="77777777" w:rsidR="000B4CBF" w:rsidRPr="004D46AC" w:rsidRDefault="000B4CBF" w:rsidP="00B518F1">
            <w:pPr>
              <w:spacing w:line="240" w:lineRule="auto"/>
              <w:ind w:firstLine="0"/>
            </w:pPr>
            <w:r w:rsidRPr="004D46AC">
              <w:rPr>
                <w:color w:val="000000"/>
                <w:szCs w:val="21"/>
              </w:rPr>
              <w:t xml:space="preserve">0.03 </w:t>
            </w:r>
          </w:p>
        </w:tc>
        <w:tc>
          <w:tcPr>
            <w:tcW w:w="1705" w:type="dxa"/>
            <w:vAlign w:val="center"/>
          </w:tcPr>
          <w:p w14:paraId="4301FE57" w14:textId="77777777" w:rsidR="000B4CBF" w:rsidRPr="004D46AC" w:rsidRDefault="000B4CBF" w:rsidP="00B518F1">
            <w:pPr>
              <w:spacing w:line="240" w:lineRule="auto"/>
              <w:ind w:firstLine="0"/>
            </w:pPr>
            <w:r w:rsidRPr="004D46AC">
              <w:rPr>
                <w:color w:val="000000"/>
                <w:szCs w:val="21"/>
              </w:rPr>
              <w:t xml:space="preserve">1.11 </w:t>
            </w:r>
          </w:p>
        </w:tc>
        <w:tc>
          <w:tcPr>
            <w:tcW w:w="1705" w:type="dxa"/>
            <w:vAlign w:val="center"/>
          </w:tcPr>
          <w:p w14:paraId="3E871A4F"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71724F5D" w14:textId="77777777" w:rsidTr="00B518F1">
        <w:tc>
          <w:tcPr>
            <w:tcW w:w="1704" w:type="dxa"/>
            <w:vAlign w:val="center"/>
          </w:tcPr>
          <w:p w14:paraId="5A0BB377" w14:textId="77777777" w:rsidR="000B4CBF" w:rsidRPr="004D46AC" w:rsidRDefault="000B4CBF" w:rsidP="00B518F1">
            <w:pPr>
              <w:spacing w:line="240" w:lineRule="auto"/>
              <w:ind w:firstLine="0"/>
            </w:pPr>
            <w:r w:rsidRPr="004D46AC">
              <w:rPr>
                <w:color w:val="000000"/>
              </w:rPr>
              <w:t>TR30--TR25</w:t>
            </w:r>
          </w:p>
        </w:tc>
        <w:tc>
          <w:tcPr>
            <w:tcW w:w="1704" w:type="dxa"/>
            <w:vAlign w:val="center"/>
          </w:tcPr>
          <w:p w14:paraId="0DF0D1DF" w14:textId="77777777" w:rsidR="000B4CBF" w:rsidRPr="004D46AC" w:rsidRDefault="000B4CBF" w:rsidP="00B518F1">
            <w:pPr>
              <w:spacing w:line="240" w:lineRule="auto"/>
              <w:ind w:firstLine="0"/>
            </w:pPr>
            <w:r w:rsidRPr="004D46AC">
              <w:rPr>
                <w:color w:val="000000"/>
                <w:szCs w:val="21"/>
              </w:rPr>
              <w:t xml:space="preserve">0.56 </w:t>
            </w:r>
          </w:p>
        </w:tc>
        <w:tc>
          <w:tcPr>
            <w:tcW w:w="1704" w:type="dxa"/>
            <w:vAlign w:val="center"/>
          </w:tcPr>
          <w:p w14:paraId="6AB0123B" w14:textId="77777777" w:rsidR="000B4CBF" w:rsidRPr="004D46AC" w:rsidRDefault="000B4CBF" w:rsidP="00B518F1">
            <w:pPr>
              <w:spacing w:line="240" w:lineRule="auto"/>
              <w:ind w:firstLine="0"/>
            </w:pPr>
            <w:r w:rsidRPr="004D46AC">
              <w:rPr>
                <w:color w:val="000000"/>
                <w:szCs w:val="21"/>
              </w:rPr>
              <w:t xml:space="preserve">0.03 </w:t>
            </w:r>
          </w:p>
        </w:tc>
        <w:tc>
          <w:tcPr>
            <w:tcW w:w="1705" w:type="dxa"/>
            <w:vAlign w:val="center"/>
          </w:tcPr>
          <w:p w14:paraId="7FB84070" w14:textId="77777777" w:rsidR="000B4CBF" w:rsidRPr="004D46AC" w:rsidRDefault="000B4CBF" w:rsidP="00B518F1">
            <w:pPr>
              <w:spacing w:line="240" w:lineRule="auto"/>
              <w:ind w:firstLine="0"/>
            </w:pPr>
            <w:r w:rsidRPr="004D46AC">
              <w:rPr>
                <w:color w:val="000000"/>
                <w:szCs w:val="21"/>
              </w:rPr>
              <w:t xml:space="preserve">1.09 </w:t>
            </w:r>
          </w:p>
        </w:tc>
        <w:tc>
          <w:tcPr>
            <w:tcW w:w="1705" w:type="dxa"/>
            <w:vAlign w:val="center"/>
          </w:tcPr>
          <w:p w14:paraId="5A8D152D" w14:textId="77777777" w:rsidR="000B4CBF" w:rsidRPr="004D46AC" w:rsidRDefault="000B4CBF" w:rsidP="00B518F1">
            <w:pPr>
              <w:spacing w:line="240" w:lineRule="auto"/>
              <w:ind w:firstLine="0"/>
            </w:pPr>
            <w:r w:rsidRPr="004D46AC">
              <w:rPr>
                <w:color w:val="000000"/>
                <w:szCs w:val="21"/>
              </w:rPr>
              <w:t xml:space="preserve">0.06 </w:t>
            </w:r>
          </w:p>
        </w:tc>
      </w:tr>
      <w:tr w:rsidR="000B4CBF" w:rsidRPr="004D46AC" w14:paraId="61A45A56" w14:textId="77777777" w:rsidTr="00B518F1">
        <w:tc>
          <w:tcPr>
            <w:tcW w:w="1704" w:type="dxa"/>
            <w:vAlign w:val="center"/>
          </w:tcPr>
          <w:p w14:paraId="495B91D4" w14:textId="77777777" w:rsidR="000B4CBF" w:rsidRPr="004D46AC" w:rsidRDefault="000B4CBF" w:rsidP="00B518F1">
            <w:pPr>
              <w:spacing w:line="240" w:lineRule="auto"/>
              <w:ind w:firstLine="0"/>
            </w:pPr>
            <w:r w:rsidRPr="004D46AC">
              <w:rPr>
                <w:color w:val="000000"/>
              </w:rPr>
              <w:t>TR17--TR22</w:t>
            </w:r>
          </w:p>
        </w:tc>
        <w:tc>
          <w:tcPr>
            <w:tcW w:w="1704" w:type="dxa"/>
            <w:vAlign w:val="center"/>
          </w:tcPr>
          <w:p w14:paraId="58F65359" w14:textId="77777777" w:rsidR="000B4CBF" w:rsidRPr="004D46AC" w:rsidRDefault="000B4CBF" w:rsidP="00B518F1">
            <w:pPr>
              <w:spacing w:line="240" w:lineRule="auto"/>
              <w:ind w:firstLine="0"/>
            </w:pPr>
            <w:r w:rsidRPr="004D46AC">
              <w:rPr>
                <w:color w:val="000000"/>
                <w:szCs w:val="21"/>
              </w:rPr>
              <w:t xml:space="preserve">0.56 </w:t>
            </w:r>
          </w:p>
        </w:tc>
        <w:tc>
          <w:tcPr>
            <w:tcW w:w="1704" w:type="dxa"/>
            <w:vAlign w:val="center"/>
          </w:tcPr>
          <w:p w14:paraId="7CE8554B" w14:textId="77777777" w:rsidR="000B4CBF" w:rsidRPr="004D46AC" w:rsidRDefault="000B4CBF" w:rsidP="00B518F1">
            <w:pPr>
              <w:spacing w:line="240" w:lineRule="auto"/>
              <w:ind w:firstLine="0"/>
            </w:pPr>
            <w:r w:rsidRPr="004D46AC">
              <w:rPr>
                <w:color w:val="000000"/>
                <w:szCs w:val="21"/>
              </w:rPr>
              <w:t xml:space="preserve">0.10 </w:t>
            </w:r>
          </w:p>
        </w:tc>
        <w:tc>
          <w:tcPr>
            <w:tcW w:w="1705" w:type="dxa"/>
            <w:vAlign w:val="center"/>
          </w:tcPr>
          <w:p w14:paraId="781D27E3" w14:textId="77777777" w:rsidR="000B4CBF" w:rsidRPr="004D46AC" w:rsidRDefault="000B4CBF" w:rsidP="00B518F1">
            <w:pPr>
              <w:spacing w:line="240" w:lineRule="auto"/>
              <w:ind w:firstLine="0"/>
            </w:pPr>
            <w:r w:rsidRPr="004D46AC">
              <w:rPr>
                <w:color w:val="000000"/>
                <w:szCs w:val="21"/>
              </w:rPr>
              <w:t xml:space="preserve">1.02 </w:t>
            </w:r>
          </w:p>
        </w:tc>
        <w:tc>
          <w:tcPr>
            <w:tcW w:w="1705" w:type="dxa"/>
            <w:vAlign w:val="center"/>
          </w:tcPr>
          <w:p w14:paraId="1190233B" w14:textId="77777777" w:rsidR="000B4CBF" w:rsidRPr="004D46AC" w:rsidRDefault="000B4CBF" w:rsidP="00B518F1">
            <w:pPr>
              <w:spacing w:line="240" w:lineRule="auto"/>
              <w:ind w:firstLine="0"/>
            </w:pPr>
            <w:r w:rsidRPr="004D46AC">
              <w:rPr>
                <w:color w:val="000000"/>
                <w:szCs w:val="21"/>
              </w:rPr>
              <w:t xml:space="preserve">0.03 </w:t>
            </w:r>
          </w:p>
        </w:tc>
      </w:tr>
      <w:tr w:rsidR="000B4CBF" w:rsidRPr="004D46AC" w14:paraId="42773472" w14:textId="77777777" w:rsidTr="00B518F1">
        <w:tc>
          <w:tcPr>
            <w:tcW w:w="1704" w:type="dxa"/>
            <w:vAlign w:val="center"/>
          </w:tcPr>
          <w:p w14:paraId="792A6F27" w14:textId="77777777" w:rsidR="000B4CBF" w:rsidRPr="004D46AC" w:rsidRDefault="000B4CBF" w:rsidP="00B518F1">
            <w:pPr>
              <w:spacing w:line="240" w:lineRule="auto"/>
              <w:ind w:firstLine="0"/>
            </w:pPr>
            <w:r w:rsidRPr="004D46AC">
              <w:rPr>
                <w:color w:val="000000"/>
              </w:rPr>
              <w:t>TR13--TR16</w:t>
            </w:r>
          </w:p>
        </w:tc>
        <w:tc>
          <w:tcPr>
            <w:tcW w:w="1704" w:type="dxa"/>
            <w:vAlign w:val="center"/>
          </w:tcPr>
          <w:p w14:paraId="6BF72A2B" w14:textId="77777777" w:rsidR="000B4CBF" w:rsidRPr="004D46AC" w:rsidRDefault="000B4CBF" w:rsidP="00B518F1">
            <w:pPr>
              <w:spacing w:line="240" w:lineRule="auto"/>
              <w:ind w:firstLine="0"/>
            </w:pPr>
            <w:r w:rsidRPr="004D46AC">
              <w:rPr>
                <w:color w:val="000000"/>
                <w:szCs w:val="21"/>
              </w:rPr>
              <w:t xml:space="preserve">0.56 </w:t>
            </w:r>
          </w:p>
        </w:tc>
        <w:tc>
          <w:tcPr>
            <w:tcW w:w="1704" w:type="dxa"/>
            <w:vAlign w:val="center"/>
          </w:tcPr>
          <w:p w14:paraId="0419AF55" w14:textId="77777777" w:rsidR="000B4CBF" w:rsidRPr="004D46AC" w:rsidRDefault="000B4CBF" w:rsidP="00B518F1">
            <w:pPr>
              <w:spacing w:line="240" w:lineRule="auto"/>
              <w:ind w:firstLine="0"/>
            </w:pPr>
            <w:r w:rsidRPr="004D46AC">
              <w:rPr>
                <w:color w:val="000000"/>
                <w:szCs w:val="21"/>
              </w:rPr>
              <w:t xml:space="preserve">0.12 </w:t>
            </w:r>
          </w:p>
        </w:tc>
        <w:tc>
          <w:tcPr>
            <w:tcW w:w="1705" w:type="dxa"/>
            <w:vAlign w:val="center"/>
          </w:tcPr>
          <w:p w14:paraId="6867FF28" w14:textId="77777777" w:rsidR="000B4CBF" w:rsidRPr="004D46AC" w:rsidRDefault="000B4CBF" w:rsidP="00B518F1">
            <w:pPr>
              <w:spacing w:line="240" w:lineRule="auto"/>
              <w:ind w:firstLine="0"/>
            </w:pPr>
            <w:r w:rsidRPr="004D46AC">
              <w:rPr>
                <w:color w:val="000000"/>
                <w:szCs w:val="21"/>
              </w:rPr>
              <w:t xml:space="preserve">1.00 </w:t>
            </w:r>
          </w:p>
        </w:tc>
        <w:tc>
          <w:tcPr>
            <w:tcW w:w="1705" w:type="dxa"/>
            <w:vAlign w:val="center"/>
          </w:tcPr>
          <w:p w14:paraId="78B492F8"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7E00A6E1" w14:textId="77777777" w:rsidTr="00B518F1">
        <w:tc>
          <w:tcPr>
            <w:tcW w:w="1704" w:type="dxa"/>
            <w:vAlign w:val="center"/>
          </w:tcPr>
          <w:p w14:paraId="7223D918" w14:textId="77777777" w:rsidR="000B4CBF" w:rsidRPr="004D46AC" w:rsidRDefault="000B4CBF" w:rsidP="00B518F1">
            <w:pPr>
              <w:spacing w:line="240" w:lineRule="auto"/>
              <w:ind w:firstLine="0"/>
            </w:pPr>
            <w:r w:rsidRPr="004D46AC">
              <w:rPr>
                <w:color w:val="000000"/>
              </w:rPr>
              <w:t>TR19--TR24</w:t>
            </w:r>
          </w:p>
        </w:tc>
        <w:tc>
          <w:tcPr>
            <w:tcW w:w="1704" w:type="dxa"/>
            <w:vAlign w:val="center"/>
          </w:tcPr>
          <w:p w14:paraId="644C6C32" w14:textId="77777777" w:rsidR="000B4CBF" w:rsidRPr="004D46AC" w:rsidRDefault="000B4CBF" w:rsidP="00B518F1">
            <w:pPr>
              <w:spacing w:line="240" w:lineRule="auto"/>
              <w:ind w:firstLine="0"/>
            </w:pPr>
            <w:r w:rsidRPr="004D46AC">
              <w:rPr>
                <w:color w:val="000000"/>
                <w:szCs w:val="21"/>
              </w:rPr>
              <w:t xml:space="preserve">0.54 </w:t>
            </w:r>
          </w:p>
        </w:tc>
        <w:tc>
          <w:tcPr>
            <w:tcW w:w="1704" w:type="dxa"/>
            <w:vAlign w:val="center"/>
          </w:tcPr>
          <w:p w14:paraId="62DFAB61" w14:textId="77777777" w:rsidR="000B4CBF" w:rsidRPr="004D46AC" w:rsidRDefault="000B4CBF" w:rsidP="00B518F1">
            <w:pPr>
              <w:spacing w:line="240" w:lineRule="auto"/>
              <w:ind w:firstLine="0"/>
            </w:pPr>
            <w:r w:rsidRPr="004D46AC">
              <w:rPr>
                <w:color w:val="000000"/>
                <w:szCs w:val="21"/>
              </w:rPr>
              <w:t xml:space="preserve">0.03 </w:t>
            </w:r>
          </w:p>
        </w:tc>
        <w:tc>
          <w:tcPr>
            <w:tcW w:w="1705" w:type="dxa"/>
            <w:vAlign w:val="center"/>
          </w:tcPr>
          <w:p w14:paraId="39BE93B0" w14:textId="77777777" w:rsidR="000B4CBF" w:rsidRPr="004D46AC" w:rsidRDefault="000B4CBF" w:rsidP="00B518F1">
            <w:pPr>
              <w:spacing w:line="240" w:lineRule="auto"/>
              <w:ind w:firstLine="0"/>
            </w:pPr>
            <w:r w:rsidRPr="004D46AC">
              <w:rPr>
                <w:color w:val="000000"/>
                <w:szCs w:val="21"/>
              </w:rPr>
              <w:t xml:space="preserve">1.05 </w:t>
            </w:r>
          </w:p>
        </w:tc>
        <w:tc>
          <w:tcPr>
            <w:tcW w:w="1705" w:type="dxa"/>
            <w:vAlign w:val="center"/>
          </w:tcPr>
          <w:p w14:paraId="5F348C8B"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08C38D11" w14:textId="77777777" w:rsidTr="00B518F1">
        <w:tc>
          <w:tcPr>
            <w:tcW w:w="1704" w:type="dxa"/>
            <w:vAlign w:val="center"/>
          </w:tcPr>
          <w:p w14:paraId="7A0F05A3" w14:textId="77777777" w:rsidR="000B4CBF" w:rsidRPr="004D46AC" w:rsidRDefault="000B4CBF" w:rsidP="00B518F1">
            <w:pPr>
              <w:spacing w:line="240" w:lineRule="auto"/>
              <w:ind w:firstLine="0"/>
            </w:pPr>
            <w:r w:rsidRPr="004D46AC">
              <w:rPr>
                <w:color w:val="000000"/>
              </w:rPr>
              <w:t>TR15--TR26</w:t>
            </w:r>
          </w:p>
        </w:tc>
        <w:tc>
          <w:tcPr>
            <w:tcW w:w="1704" w:type="dxa"/>
            <w:vAlign w:val="center"/>
          </w:tcPr>
          <w:p w14:paraId="2D5840D1" w14:textId="77777777" w:rsidR="000B4CBF" w:rsidRPr="004D46AC" w:rsidRDefault="000B4CBF" w:rsidP="00B518F1">
            <w:pPr>
              <w:spacing w:line="240" w:lineRule="auto"/>
              <w:ind w:firstLine="0"/>
            </w:pPr>
            <w:r w:rsidRPr="004D46AC">
              <w:rPr>
                <w:color w:val="000000"/>
                <w:szCs w:val="21"/>
              </w:rPr>
              <w:t xml:space="preserve">0.54 </w:t>
            </w:r>
          </w:p>
        </w:tc>
        <w:tc>
          <w:tcPr>
            <w:tcW w:w="1704" w:type="dxa"/>
            <w:vAlign w:val="center"/>
          </w:tcPr>
          <w:p w14:paraId="2DBB5C7B" w14:textId="77777777" w:rsidR="000B4CBF" w:rsidRPr="004D46AC" w:rsidRDefault="000B4CBF" w:rsidP="00B518F1">
            <w:pPr>
              <w:spacing w:line="240" w:lineRule="auto"/>
              <w:ind w:firstLine="0"/>
            </w:pPr>
            <w:r w:rsidRPr="004D46AC">
              <w:rPr>
                <w:color w:val="000000"/>
                <w:szCs w:val="21"/>
              </w:rPr>
              <w:t xml:space="preserve">0.07 </w:t>
            </w:r>
          </w:p>
        </w:tc>
        <w:tc>
          <w:tcPr>
            <w:tcW w:w="1705" w:type="dxa"/>
            <w:vAlign w:val="center"/>
          </w:tcPr>
          <w:p w14:paraId="07D7AA43" w14:textId="77777777" w:rsidR="000B4CBF" w:rsidRPr="004D46AC" w:rsidRDefault="000B4CBF" w:rsidP="00B518F1">
            <w:pPr>
              <w:spacing w:line="240" w:lineRule="auto"/>
              <w:ind w:firstLine="0"/>
            </w:pPr>
            <w:r w:rsidRPr="004D46AC">
              <w:rPr>
                <w:color w:val="000000"/>
                <w:szCs w:val="21"/>
              </w:rPr>
              <w:t xml:space="preserve">1.00 </w:t>
            </w:r>
          </w:p>
        </w:tc>
        <w:tc>
          <w:tcPr>
            <w:tcW w:w="1705" w:type="dxa"/>
            <w:vAlign w:val="center"/>
          </w:tcPr>
          <w:p w14:paraId="77AB7C11" w14:textId="77777777" w:rsidR="000B4CBF" w:rsidRPr="004D46AC" w:rsidRDefault="000B4CBF" w:rsidP="00B518F1">
            <w:pPr>
              <w:spacing w:line="240" w:lineRule="auto"/>
              <w:ind w:firstLine="0"/>
            </w:pPr>
            <w:r w:rsidRPr="004D46AC">
              <w:rPr>
                <w:color w:val="000000"/>
                <w:szCs w:val="21"/>
              </w:rPr>
              <w:t xml:space="preserve">0.04 </w:t>
            </w:r>
          </w:p>
        </w:tc>
      </w:tr>
      <w:tr w:rsidR="000B4CBF" w:rsidRPr="004D46AC" w14:paraId="4FE37966" w14:textId="77777777" w:rsidTr="00B518F1">
        <w:tc>
          <w:tcPr>
            <w:tcW w:w="1704" w:type="dxa"/>
            <w:vAlign w:val="center"/>
          </w:tcPr>
          <w:p w14:paraId="51078670" w14:textId="77777777" w:rsidR="000B4CBF" w:rsidRPr="004D46AC" w:rsidRDefault="000B4CBF" w:rsidP="00B518F1">
            <w:pPr>
              <w:spacing w:line="240" w:lineRule="auto"/>
              <w:ind w:firstLine="0"/>
            </w:pPr>
            <w:r w:rsidRPr="004D46AC">
              <w:rPr>
                <w:color w:val="000000"/>
              </w:rPr>
              <w:t>TR15--TR34</w:t>
            </w:r>
          </w:p>
        </w:tc>
        <w:tc>
          <w:tcPr>
            <w:tcW w:w="1704" w:type="dxa"/>
            <w:vAlign w:val="center"/>
          </w:tcPr>
          <w:p w14:paraId="28BD588C" w14:textId="77777777" w:rsidR="000B4CBF" w:rsidRPr="004D46AC" w:rsidRDefault="000B4CBF" w:rsidP="00B518F1">
            <w:pPr>
              <w:spacing w:line="240" w:lineRule="auto"/>
              <w:ind w:firstLine="0"/>
            </w:pPr>
            <w:r w:rsidRPr="004D46AC">
              <w:rPr>
                <w:color w:val="000000"/>
                <w:szCs w:val="21"/>
              </w:rPr>
              <w:t xml:space="preserve">0.53 </w:t>
            </w:r>
          </w:p>
        </w:tc>
        <w:tc>
          <w:tcPr>
            <w:tcW w:w="1704" w:type="dxa"/>
            <w:vAlign w:val="center"/>
          </w:tcPr>
          <w:p w14:paraId="02FAAEE2" w14:textId="77777777" w:rsidR="000B4CBF" w:rsidRPr="004D46AC" w:rsidRDefault="000B4CBF" w:rsidP="00B518F1">
            <w:pPr>
              <w:spacing w:line="240" w:lineRule="auto"/>
              <w:ind w:firstLine="0"/>
            </w:pPr>
            <w:r w:rsidRPr="004D46AC">
              <w:rPr>
                <w:color w:val="000000"/>
                <w:szCs w:val="21"/>
              </w:rPr>
              <w:t xml:space="preserve">0.07 </w:t>
            </w:r>
          </w:p>
        </w:tc>
        <w:tc>
          <w:tcPr>
            <w:tcW w:w="1705" w:type="dxa"/>
            <w:vAlign w:val="center"/>
          </w:tcPr>
          <w:p w14:paraId="6613B42B" w14:textId="77777777" w:rsidR="000B4CBF" w:rsidRPr="004D46AC" w:rsidRDefault="000B4CBF" w:rsidP="00B518F1">
            <w:pPr>
              <w:spacing w:line="240" w:lineRule="auto"/>
              <w:ind w:firstLine="0"/>
            </w:pPr>
            <w:r w:rsidRPr="004D46AC">
              <w:rPr>
                <w:color w:val="000000"/>
                <w:szCs w:val="21"/>
              </w:rPr>
              <w:t xml:space="preserve">0.98 </w:t>
            </w:r>
          </w:p>
        </w:tc>
        <w:tc>
          <w:tcPr>
            <w:tcW w:w="1705" w:type="dxa"/>
            <w:vAlign w:val="center"/>
          </w:tcPr>
          <w:p w14:paraId="1CF3CBF0"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133A1A49" w14:textId="77777777" w:rsidTr="00B518F1">
        <w:tc>
          <w:tcPr>
            <w:tcW w:w="1704" w:type="dxa"/>
            <w:vAlign w:val="center"/>
          </w:tcPr>
          <w:p w14:paraId="64B51545" w14:textId="77777777" w:rsidR="000B4CBF" w:rsidRPr="004D46AC" w:rsidRDefault="000B4CBF" w:rsidP="00B518F1">
            <w:pPr>
              <w:spacing w:line="240" w:lineRule="auto"/>
              <w:ind w:firstLine="0"/>
            </w:pPr>
            <w:r w:rsidRPr="004D46AC">
              <w:rPr>
                <w:color w:val="000000"/>
              </w:rPr>
              <w:t>TR21--TR37</w:t>
            </w:r>
          </w:p>
        </w:tc>
        <w:tc>
          <w:tcPr>
            <w:tcW w:w="1704" w:type="dxa"/>
            <w:vAlign w:val="center"/>
          </w:tcPr>
          <w:p w14:paraId="11FDE265" w14:textId="77777777" w:rsidR="000B4CBF" w:rsidRPr="004D46AC" w:rsidRDefault="000B4CBF" w:rsidP="00B518F1">
            <w:pPr>
              <w:spacing w:line="240" w:lineRule="auto"/>
              <w:ind w:firstLine="0"/>
            </w:pPr>
            <w:r w:rsidRPr="004D46AC">
              <w:rPr>
                <w:color w:val="000000"/>
                <w:szCs w:val="21"/>
              </w:rPr>
              <w:t xml:space="preserve">0.52 </w:t>
            </w:r>
          </w:p>
        </w:tc>
        <w:tc>
          <w:tcPr>
            <w:tcW w:w="1704" w:type="dxa"/>
            <w:vAlign w:val="center"/>
          </w:tcPr>
          <w:p w14:paraId="53E2E680" w14:textId="77777777" w:rsidR="000B4CBF" w:rsidRPr="004D46AC" w:rsidRDefault="000B4CBF" w:rsidP="00B518F1">
            <w:pPr>
              <w:spacing w:line="240" w:lineRule="auto"/>
              <w:ind w:firstLine="0"/>
            </w:pPr>
            <w:r w:rsidRPr="004D46AC">
              <w:rPr>
                <w:color w:val="000000"/>
                <w:szCs w:val="21"/>
              </w:rPr>
              <w:t xml:space="preserve">0.03 </w:t>
            </w:r>
          </w:p>
        </w:tc>
        <w:tc>
          <w:tcPr>
            <w:tcW w:w="1705" w:type="dxa"/>
            <w:vAlign w:val="center"/>
          </w:tcPr>
          <w:p w14:paraId="42B1A3FA" w14:textId="77777777" w:rsidR="000B4CBF" w:rsidRPr="004D46AC" w:rsidRDefault="000B4CBF" w:rsidP="00B518F1">
            <w:pPr>
              <w:spacing w:line="240" w:lineRule="auto"/>
              <w:ind w:firstLine="0"/>
            </w:pPr>
            <w:r w:rsidRPr="004D46AC">
              <w:rPr>
                <w:color w:val="000000"/>
                <w:szCs w:val="21"/>
              </w:rPr>
              <w:t xml:space="preserve">1.01 </w:t>
            </w:r>
          </w:p>
        </w:tc>
        <w:tc>
          <w:tcPr>
            <w:tcW w:w="1705" w:type="dxa"/>
            <w:vAlign w:val="center"/>
          </w:tcPr>
          <w:p w14:paraId="33EC81BE" w14:textId="77777777" w:rsidR="000B4CBF" w:rsidRPr="004D46AC" w:rsidRDefault="000B4CBF" w:rsidP="00B518F1">
            <w:pPr>
              <w:spacing w:line="240" w:lineRule="auto"/>
              <w:ind w:firstLine="0"/>
            </w:pPr>
            <w:r w:rsidRPr="004D46AC">
              <w:rPr>
                <w:color w:val="000000"/>
                <w:szCs w:val="21"/>
              </w:rPr>
              <w:t xml:space="preserve">0.04 </w:t>
            </w:r>
          </w:p>
        </w:tc>
      </w:tr>
      <w:tr w:rsidR="000B4CBF" w:rsidRPr="004D46AC" w14:paraId="55DE1858" w14:textId="77777777" w:rsidTr="00B518F1">
        <w:tc>
          <w:tcPr>
            <w:tcW w:w="1704" w:type="dxa"/>
            <w:vAlign w:val="center"/>
          </w:tcPr>
          <w:p w14:paraId="370F2834" w14:textId="77777777" w:rsidR="000B4CBF" w:rsidRPr="004D46AC" w:rsidRDefault="000B4CBF" w:rsidP="00B518F1">
            <w:pPr>
              <w:spacing w:line="240" w:lineRule="auto"/>
              <w:ind w:firstLine="0"/>
            </w:pPr>
            <w:r w:rsidRPr="004D46AC">
              <w:rPr>
                <w:color w:val="000000"/>
              </w:rPr>
              <w:t>TR6--TR17</w:t>
            </w:r>
          </w:p>
        </w:tc>
        <w:tc>
          <w:tcPr>
            <w:tcW w:w="1704" w:type="dxa"/>
            <w:vAlign w:val="center"/>
          </w:tcPr>
          <w:p w14:paraId="5B8629E2" w14:textId="77777777" w:rsidR="000B4CBF" w:rsidRPr="004D46AC" w:rsidRDefault="000B4CBF" w:rsidP="00B518F1">
            <w:pPr>
              <w:spacing w:line="240" w:lineRule="auto"/>
              <w:ind w:firstLine="0"/>
            </w:pPr>
            <w:r w:rsidRPr="004D46AC">
              <w:rPr>
                <w:color w:val="000000"/>
                <w:szCs w:val="21"/>
              </w:rPr>
              <w:t xml:space="preserve">0.52 </w:t>
            </w:r>
          </w:p>
        </w:tc>
        <w:tc>
          <w:tcPr>
            <w:tcW w:w="1704" w:type="dxa"/>
            <w:vAlign w:val="center"/>
          </w:tcPr>
          <w:p w14:paraId="45019885" w14:textId="77777777" w:rsidR="000B4CBF" w:rsidRPr="004D46AC" w:rsidRDefault="000B4CBF" w:rsidP="00B518F1">
            <w:pPr>
              <w:spacing w:line="240" w:lineRule="auto"/>
              <w:ind w:firstLine="0"/>
            </w:pPr>
            <w:r w:rsidRPr="004D46AC">
              <w:rPr>
                <w:color w:val="000000"/>
                <w:szCs w:val="21"/>
              </w:rPr>
              <w:t xml:space="preserve">0.01 </w:t>
            </w:r>
          </w:p>
        </w:tc>
        <w:tc>
          <w:tcPr>
            <w:tcW w:w="1705" w:type="dxa"/>
            <w:vAlign w:val="center"/>
          </w:tcPr>
          <w:p w14:paraId="694502DA" w14:textId="77777777" w:rsidR="000B4CBF" w:rsidRPr="004D46AC" w:rsidRDefault="000B4CBF" w:rsidP="00B518F1">
            <w:pPr>
              <w:spacing w:line="240" w:lineRule="auto"/>
              <w:ind w:firstLine="0"/>
            </w:pPr>
            <w:r w:rsidRPr="004D46AC">
              <w:rPr>
                <w:color w:val="000000"/>
                <w:szCs w:val="21"/>
              </w:rPr>
              <w:t xml:space="preserve">1.03 </w:t>
            </w:r>
          </w:p>
        </w:tc>
        <w:tc>
          <w:tcPr>
            <w:tcW w:w="1705" w:type="dxa"/>
            <w:vAlign w:val="center"/>
          </w:tcPr>
          <w:p w14:paraId="178B4B8D" w14:textId="77777777" w:rsidR="000B4CBF" w:rsidRPr="004D46AC" w:rsidRDefault="000B4CBF" w:rsidP="00B518F1">
            <w:pPr>
              <w:spacing w:line="240" w:lineRule="auto"/>
              <w:ind w:firstLine="0"/>
            </w:pPr>
            <w:r w:rsidRPr="004D46AC">
              <w:rPr>
                <w:color w:val="000000"/>
                <w:szCs w:val="21"/>
              </w:rPr>
              <w:t xml:space="preserve">0.04 </w:t>
            </w:r>
          </w:p>
        </w:tc>
      </w:tr>
      <w:tr w:rsidR="000B4CBF" w:rsidRPr="004D46AC" w14:paraId="2D8CCE2D" w14:textId="77777777" w:rsidTr="00B518F1">
        <w:tc>
          <w:tcPr>
            <w:tcW w:w="1704" w:type="dxa"/>
            <w:vAlign w:val="center"/>
          </w:tcPr>
          <w:p w14:paraId="4458C3AE" w14:textId="77777777" w:rsidR="000B4CBF" w:rsidRPr="004D46AC" w:rsidRDefault="000B4CBF" w:rsidP="00B518F1">
            <w:pPr>
              <w:spacing w:line="240" w:lineRule="auto"/>
              <w:ind w:firstLine="0"/>
            </w:pPr>
            <w:r w:rsidRPr="004D46AC">
              <w:rPr>
                <w:color w:val="000000"/>
              </w:rPr>
              <w:t>TR15--TR33</w:t>
            </w:r>
          </w:p>
        </w:tc>
        <w:tc>
          <w:tcPr>
            <w:tcW w:w="1704" w:type="dxa"/>
            <w:vAlign w:val="center"/>
          </w:tcPr>
          <w:p w14:paraId="1C57D0A4" w14:textId="77777777" w:rsidR="000B4CBF" w:rsidRPr="004D46AC" w:rsidRDefault="000B4CBF" w:rsidP="00B518F1">
            <w:pPr>
              <w:spacing w:line="240" w:lineRule="auto"/>
              <w:ind w:firstLine="0"/>
            </w:pPr>
            <w:r w:rsidRPr="004D46AC">
              <w:rPr>
                <w:color w:val="000000"/>
                <w:szCs w:val="21"/>
              </w:rPr>
              <w:t xml:space="preserve">0.51 </w:t>
            </w:r>
          </w:p>
        </w:tc>
        <w:tc>
          <w:tcPr>
            <w:tcW w:w="1704" w:type="dxa"/>
            <w:vAlign w:val="center"/>
          </w:tcPr>
          <w:p w14:paraId="6FEBE2AA" w14:textId="77777777" w:rsidR="000B4CBF" w:rsidRPr="004D46AC" w:rsidRDefault="000B4CBF" w:rsidP="00B518F1">
            <w:pPr>
              <w:spacing w:line="240" w:lineRule="auto"/>
              <w:ind w:firstLine="0"/>
            </w:pPr>
            <w:r w:rsidRPr="004D46AC">
              <w:rPr>
                <w:color w:val="000000"/>
                <w:szCs w:val="21"/>
              </w:rPr>
              <w:t xml:space="preserve">-0.04 </w:t>
            </w:r>
          </w:p>
        </w:tc>
        <w:tc>
          <w:tcPr>
            <w:tcW w:w="1705" w:type="dxa"/>
            <w:vAlign w:val="center"/>
          </w:tcPr>
          <w:p w14:paraId="476391B6" w14:textId="77777777" w:rsidR="000B4CBF" w:rsidRPr="004D46AC" w:rsidRDefault="000B4CBF" w:rsidP="00B518F1">
            <w:pPr>
              <w:spacing w:line="240" w:lineRule="auto"/>
              <w:ind w:firstLine="0"/>
            </w:pPr>
            <w:r w:rsidRPr="004D46AC">
              <w:rPr>
                <w:color w:val="000000"/>
                <w:szCs w:val="21"/>
              </w:rPr>
              <w:t xml:space="preserve">1.07 </w:t>
            </w:r>
          </w:p>
        </w:tc>
        <w:tc>
          <w:tcPr>
            <w:tcW w:w="1705" w:type="dxa"/>
            <w:vAlign w:val="center"/>
          </w:tcPr>
          <w:p w14:paraId="51D9D9FE" w14:textId="77777777" w:rsidR="000B4CBF" w:rsidRPr="004D46AC" w:rsidRDefault="000B4CBF" w:rsidP="00B518F1">
            <w:pPr>
              <w:spacing w:line="240" w:lineRule="auto"/>
              <w:ind w:firstLine="0"/>
            </w:pPr>
            <w:r w:rsidRPr="004D46AC">
              <w:rPr>
                <w:color w:val="000000"/>
                <w:szCs w:val="21"/>
              </w:rPr>
              <w:t xml:space="preserve">0.14 </w:t>
            </w:r>
          </w:p>
        </w:tc>
      </w:tr>
      <w:tr w:rsidR="000B4CBF" w:rsidRPr="004D46AC" w14:paraId="03352121" w14:textId="77777777" w:rsidTr="00B518F1">
        <w:tc>
          <w:tcPr>
            <w:tcW w:w="1704" w:type="dxa"/>
            <w:vAlign w:val="center"/>
          </w:tcPr>
          <w:p w14:paraId="0DCE5337" w14:textId="77777777" w:rsidR="000B4CBF" w:rsidRPr="004D46AC" w:rsidRDefault="000B4CBF" w:rsidP="00B518F1">
            <w:pPr>
              <w:spacing w:line="240" w:lineRule="auto"/>
              <w:ind w:firstLine="0"/>
            </w:pPr>
            <w:r w:rsidRPr="004D46AC">
              <w:rPr>
                <w:color w:val="000000"/>
              </w:rPr>
              <w:t>TR3--TR19</w:t>
            </w:r>
          </w:p>
        </w:tc>
        <w:tc>
          <w:tcPr>
            <w:tcW w:w="1704" w:type="dxa"/>
            <w:vAlign w:val="center"/>
          </w:tcPr>
          <w:p w14:paraId="3F5B27AB" w14:textId="77777777" w:rsidR="000B4CBF" w:rsidRPr="004D46AC" w:rsidRDefault="000B4CBF" w:rsidP="00B518F1">
            <w:pPr>
              <w:spacing w:line="240" w:lineRule="auto"/>
              <w:ind w:firstLine="0"/>
            </w:pPr>
            <w:r w:rsidRPr="004D46AC">
              <w:rPr>
                <w:color w:val="000000"/>
                <w:szCs w:val="21"/>
              </w:rPr>
              <w:t xml:space="preserve">0.50 </w:t>
            </w:r>
          </w:p>
        </w:tc>
        <w:tc>
          <w:tcPr>
            <w:tcW w:w="1704" w:type="dxa"/>
            <w:vAlign w:val="center"/>
          </w:tcPr>
          <w:p w14:paraId="270D97ED" w14:textId="77777777" w:rsidR="000B4CBF" w:rsidRPr="004D46AC" w:rsidRDefault="000B4CBF" w:rsidP="00B518F1">
            <w:pPr>
              <w:spacing w:line="240" w:lineRule="auto"/>
              <w:ind w:firstLine="0"/>
            </w:pPr>
            <w:r w:rsidRPr="004D46AC">
              <w:rPr>
                <w:color w:val="000000"/>
                <w:szCs w:val="21"/>
              </w:rPr>
              <w:t xml:space="preserve">-0.00 </w:t>
            </w:r>
          </w:p>
        </w:tc>
        <w:tc>
          <w:tcPr>
            <w:tcW w:w="1705" w:type="dxa"/>
            <w:vAlign w:val="center"/>
          </w:tcPr>
          <w:p w14:paraId="4F8A198B" w14:textId="77777777" w:rsidR="000B4CBF" w:rsidRPr="004D46AC" w:rsidRDefault="000B4CBF" w:rsidP="00B518F1">
            <w:pPr>
              <w:spacing w:line="240" w:lineRule="auto"/>
              <w:ind w:firstLine="0"/>
            </w:pPr>
            <w:r w:rsidRPr="004D46AC">
              <w:rPr>
                <w:color w:val="000000"/>
                <w:szCs w:val="21"/>
              </w:rPr>
              <w:t xml:space="preserve">1.00 </w:t>
            </w:r>
          </w:p>
        </w:tc>
        <w:tc>
          <w:tcPr>
            <w:tcW w:w="1705" w:type="dxa"/>
            <w:vAlign w:val="center"/>
          </w:tcPr>
          <w:p w14:paraId="0002B70D" w14:textId="77777777" w:rsidR="000B4CBF" w:rsidRPr="004D46AC" w:rsidRDefault="000B4CBF" w:rsidP="00B518F1">
            <w:pPr>
              <w:spacing w:line="240" w:lineRule="auto"/>
              <w:ind w:firstLine="0"/>
            </w:pPr>
            <w:r w:rsidRPr="004D46AC">
              <w:rPr>
                <w:color w:val="000000"/>
                <w:szCs w:val="21"/>
              </w:rPr>
              <w:t xml:space="preserve">0.04 </w:t>
            </w:r>
          </w:p>
        </w:tc>
      </w:tr>
      <w:tr w:rsidR="000B4CBF" w:rsidRPr="004D46AC" w14:paraId="5B40ECCC" w14:textId="77777777" w:rsidTr="00B518F1">
        <w:tc>
          <w:tcPr>
            <w:tcW w:w="1704" w:type="dxa"/>
            <w:vAlign w:val="center"/>
          </w:tcPr>
          <w:p w14:paraId="28449355" w14:textId="77777777" w:rsidR="000B4CBF" w:rsidRPr="004D46AC" w:rsidRDefault="000B4CBF" w:rsidP="00B518F1">
            <w:pPr>
              <w:spacing w:line="240" w:lineRule="auto"/>
              <w:ind w:firstLine="0"/>
            </w:pPr>
            <w:r w:rsidRPr="004D46AC">
              <w:rPr>
                <w:color w:val="000000"/>
              </w:rPr>
              <w:t>TR37--TR30</w:t>
            </w:r>
          </w:p>
        </w:tc>
        <w:tc>
          <w:tcPr>
            <w:tcW w:w="1704" w:type="dxa"/>
            <w:vAlign w:val="center"/>
          </w:tcPr>
          <w:p w14:paraId="69D4E8DC" w14:textId="77777777" w:rsidR="000B4CBF" w:rsidRPr="004D46AC" w:rsidRDefault="000B4CBF" w:rsidP="00B518F1">
            <w:pPr>
              <w:spacing w:line="240" w:lineRule="auto"/>
              <w:ind w:firstLine="0"/>
            </w:pPr>
            <w:r w:rsidRPr="004D46AC">
              <w:rPr>
                <w:color w:val="000000"/>
                <w:szCs w:val="21"/>
              </w:rPr>
              <w:t xml:space="preserve">0.46 </w:t>
            </w:r>
          </w:p>
        </w:tc>
        <w:tc>
          <w:tcPr>
            <w:tcW w:w="1704" w:type="dxa"/>
            <w:vAlign w:val="center"/>
          </w:tcPr>
          <w:p w14:paraId="27F63483" w14:textId="77777777" w:rsidR="000B4CBF" w:rsidRPr="004D46AC" w:rsidRDefault="000B4CBF" w:rsidP="00B518F1">
            <w:pPr>
              <w:spacing w:line="240" w:lineRule="auto"/>
              <w:ind w:firstLine="0"/>
            </w:pPr>
            <w:r w:rsidRPr="004D46AC">
              <w:rPr>
                <w:color w:val="000000"/>
                <w:szCs w:val="21"/>
              </w:rPr>
              <w:t xml:space="preserve">-0.04 </w:t>
            </w:r>
          </w:p>
        </w:tc>
        <w:tc>
          <w:tcPr>
            <w:tcW w:w="1705" w:type="dxa"/>
            <w:vAlign w:val="center"/>
          </w:tcPr>
          <w:p w14:paraId="2B495158" w14:textId="77777777" w:rsidR="000B4CBF" w:rsidRPr="004D46AC" w:rsidRDefault="000B4CBF" w:rsidP="00B518F1">
            <w:pPr>
              <w:spacing w:line="240" w:lineRule="auto"/>
              <w:ind w:firstLine="0"/>
            </w:pPr>
            <w:r w:rsidRPr="004D46AC">
              <w:rPr>
                <w:color w:val="000000"/>
                <w:szCs w:val="21"/>
              </w:rPr>
              <w:t xml:space="preserve">0.97 </w:t>
            </w:r>
          </w:p>
        </w:tc>
        <w:tc>
          <w:tcPr>
            <w:tcW w:w="1705" w:type="dxa"/>
            <w:vAlign w:val="center"/>
          </w:tcPr>
          <w:p w14:paraId="36C268F2" w14:textId="77777777" w:rsidR="000B4CBF" w:rsidRPr="004D46AC" w:rsidRDefault="000B4CBF" w:rsidP="00B518F1">
            <w:pPr>
              <w:spacing w:line="240" w:lineRule="auto"/>
              <w:ind w:firstLine="0"/>
            </w:pPr>
            <w:r w:rsidRPr="004D46AC">
              <w:rPr>
                <w:color w:val="000000"/>
                <w:szCs w:val="21"/>
              </w:rPr>
              <w:t xml:space="preserve">0.12 </w:t>
            </w:r>
          </w:p>
        </w:tc>
      </w:tr>
      <w:tr w:rsidR="000B4CBF" w:rsidRPr="004D46AC" w14:paraId="2ABCB67C" w14:textId="77777777" w:rsidTr="00B518F1">
        <w:tc>
          <w:tcPr>
            <w:tcW w:w="1704" w:type="dxa"/>
            <w:vAlign w:val="center"/>
          </w:tcPr>
          <w:p w14:paraId="64C922A0" w14:textId="77777777" w:rsidR="000B4CBF" w:rsidRPr="004D46AC" w:rsidRDefault="000B4CBF" w:rsidP="00B518F1">
            <w:pPr>
              <w:spacing w:line="240" w:lineRule="auto"/>
              <w:ind w:firstLine="0"/>
            </w:pPr>
            <w:r w:rsidRPr="004D46AC">
              <w:rPr>
                <w:color w:val="000000"/>
              </w:rPr>
              <w:t>TR26--TR27</w:t>
            </w:r>
          </w:p>
        </w:tc>
        <w:tc>
          <w:tcPr>
            <w:tcW w:w="1704" w:type="dxa"/>
            <w:vAlign w:val="center"/>
          </w:tcPr>
          <w:p w14:paraId="13425022" w14:textId="77777777" w:rsidR="000B4CBF" w:rsidRPr="004D46AC" w:rsidRDefault="000B4CBF" w:rsidP="00B518F1">
            <w:pPr>
              <w:spacing w:line="240" w:lineRule="auto"/>
              <w:ind w:firstLine="0"/>
            </w:pPr>
            <w:r w:rsidRPr="004D46AC">
              <w:rPr>
                <w:color w:val="000000"/>
                <w:szCs w:val="21"/>
              </w:rPr>
              <w:t xml:space="preserve">0.46 </w:t>
            </w:r>
          </w:p>
        </w:tc>
        <w:tc>
          <w:tcPr>
            <w:tcW w:w="1704" w:type="dxa"/>
            <w:vAlign w:val="center"/>
          </w:tcPr>
          <w:p w14:paraId="7208F36D" w14:textId="77777777" w:rsidR="000B4CBF" w:rsidRPr="004D46AC" w:rsidRDefault="000B4CBF" w:rsidP="00B518F1">
            <w:pPr>
              <w:spacing w:line="240" w:lineRule="auto"/>
              <w:ind w:firstLine="0"/>
            </w:pPr>
            <w:r w:rsidRPr="004D46AC">
              <w:rPr>
                <w:color w:val="000000"/>
                <w:szCs w:val="21"/>
              </w:rPr>
              <w:t xml:space="preserve">-0.02 </w:t>
            </w:r>
          </w:p>
        </w:tc>
        <w:tc>
          <w:tcPr>
            <w:tcW w:w="1705" w:type="dxa"/>
            <w:vAlign w:val="center"/>
          </w:tcPr>
          <w:p w14:paraId="5C6F9CF3" w14:textId="77777777" w:rsidR="000B4CBF" w:rsidRPr="004D46AC" w:rsidRDefault="000B4CBF" w:rsidP="00B518F1">
            <w:pPr>
              <w:spacing w:line="240" w:lineRule="auto"/>
              <w:ind w:firstLine="0"/>
            </w:pPr>
            <w:r w:rsidRPr="004D46AC">
              <w:rPr>
                <w:color w:val="000000"/>
                <w:szCs w:val="21"/>
              </w:rPr>
              <w:t xml:space="preserve">0.94 </w:t>
            </w:r>
          </w:p>
        </w:tc>
        <w:tc>
          <w:tcPr>
            <w:tcW w:w="1705" w:type="dxa"/>
            <w:vAlign w:val="center"/>
          </w:tcPr>
          <w:p w14:paraId="40E4F5F6" w14:textId="77777777" w:rsidR="000B4CBF" w:rsidRPr="004D46AC" w:rsidRDefault="000B4CBF" w:rsidP="00B518F1">
            <w:pPr>
              <w:spacing w:line="240" w:lineRule="auto"/>
              <w:ind w:firstLine="0"/>
            </w:pPr>
            <w:r w:rsidRPr="004D46AC">
              <w:rPr>
                <w:color w:val="000000"/>
                <w:szCs w:val="21"/>
              </w:rPr>
              <w:t xml:space="preserve">0.07 </w:t>
            </w:r>
          </w:p>
        </w:tc>
      </w:tr>
      <w:tr w:rsidR="000B4CBF" w:rsidRPr="004D46AC" w14:paraId="0E97D1F2" w14:textId="77777777" w:rsidTr="00B518F1">
        <w:tc>
          <w:tcPr>
            <w:tcW w:w="1704" w:type="dxa"/>
            <w:vAlign w:val="center"/>
          </w:tcPr>
          <w:p w14:paraId="24B17DE7" w14:textId="77777777" w:rsidR="000B4CBF" w:rsidRPr="004D46AC" w:rsidRDefault="000B4CBF" w:rsidP="00B518F1">
            <w:pPr>
              <w:spacing w:line="240" w:lineRule="auto"/>
              <w:ind w:firstLine="0"/>
            </w:pPr>
            <w:r w:rsidRPr="004D46AC">
              <w:rPr>
                <w:color w:val="000000"/>
              </w:rPr>
              <w:t>TR34--TR17</w:t>
            </w:r>
          </w:p>
        </w:tc>
        <w:tc>
          <w:tcPr>
            <w:tcW w:w="1704" w:type="dxa"/>
            <w:vAlign w:val="center"/>
          </w:tcPr>
          <w:p w14:paraId="4837CC00" w14:textId="77777777" w:rsidR="000B4CBF" w:rsidRPr="004D46AC" w:rsidRDefault="000B4CBF" w:rsidP="00B518F1">
            <w:pPr>
              <w:spacing w:line="240" w:lineRule="auto"/>
              <w:ind w:firstLine="0"/>
            </w:pPr>
            <w:r w:rsidRPr="004D46AC">
              <w:rPr>
                <w:color w:val="000000"/>
                <w:szCs w:val="21"/>
              </w:rPr>
              <w:t xml:space="preserve">0.43 </w:t>
            </w:r>
          </w:p>
        </w:tc>
        <w:tc>
          <w:tcPr>
            <w:tcW w:w="1704" w:type="dxa"/>
            <w:vAlign w:val="center"/>
          </w:tcPr>
          <w:p w14:paraId="1F9A07F9" w14:textId="77777777" w:rsidR="000B4CBF" w:rsidRPr="004D46AC" w:rsidRDefault="000B4CBF" w:rsidP="00B518F1">
            <w:pPr>
              <w:spacing w:line="240" w:lineRule="auto"/>
              <w:ind w:firstLine="0"/>
            </w:pPr>
            <w:r w:rsidRPr="004D46AC">
              <w:rPr>
                <w:color w:val="000000"/>
                <w:szCs w:val="21"/>
              </w:rPr>
              <w:t xml:space="preserve">-0.06 </w:t>
            </w:r>
          </w:p>
        </w:tc>
        <w:tc>
          <w:tcPr>
            <w:tcW w:w="1705" w:type="dxa"/>
            <w:vAlign w:val="center"/>
          </w:tcPr>
          <w:p w14:paraId="7330AB7A" w14:textId="77777777" w:rsidR="000B4CBF" w:rsidRPr="004D46AC" w:rsidRDefault="000B4CBF" w:rsidP="00B518F1">
            <w:pPr>
              <w:spacing w:line="240" w:lineRule="auto"/>
              <w:ind w:firstLine="0"/>
            </w:pPr>
            <w:r w:rsidRPr="004D46AC">
              <w:rPr>
                <w:color w:val="000000"/>
                <w:szCs w:val="21"/>
              </w:rPr>
              <w:t xml:space="preserve">0.92 </w:t>
            </w:r>
          </w:p>
        </w:tc>
        <w:tc>
          <w:tcPr>
            <w:tcW w:w="1705" w:type="dxa"/>
            <w:vAlign w:val="center"/>
          </w:tcPr>
          <w:p w14:paraId="2D2F6739" w14:textId="77777777" w:rsidR="000B4CBF" w:rsidRPr="004D46AC" w:rsidRDefault="000B4CBF" w:rsidP="00B518F1">
            <w:pPr>
              <w:spacing w:line="240" w:lineRule="auto"/>
              <w:ind w:firstLine="0"/>
            </w:pPr>
            <w:r w:rsidRPr="004D46AC">
              <w:rPr>
                <w:color w:val="000000"/>
                <w:szCs w:val="21"/>
              </w:rPr>
              <w:t xml:space="preserve">0.13 </w:t>
            </w:r>
          </w:p>
        </w:tc>
      </w:tr>
      <w:tr w:rsidR="000B4CBF" w:rsidRPr="004D46AC" w14:paraId="3AE86210" w14:textId="77777777" w:rsidTr="00B518F1">
        <w:tc>
          <w:tcPr>
            <w:tcW w:w="1704" w:type="dxa"/>
            <w:vAlign w:val="center"/>
          </w:tcPr>
          <w:p w14:paraId="715DFB64" w14:textId="77777777" w:rsidR="000B4CBF" w:rsidRPr="004D46AC" w:rsidRDefault="000B4CBF" w:rsidP="00B518F1">
            <w:pPr>
              <w:spacing w:line="240" w:lineRule="auto"/>
              <w:ind w:firstLine="0"/>
            </w:pPr>
            <w:r w:rsidRPr="004D46AC">
              <w:rPr>
                <w:color w:val="000000"/>
              </w:rPr>
              <w:t>TR26--TR34</w:t>
            </w:r>
          </w:p>
        </w:tc>
        <w:tc>
          <w:tcPr>
            <w:tcW w:w="1704" w:type="dxa"/>
            <w:vAlign w:val="center"/>
          </w:tcPr>
          <w:p w14:paraId="3D821A4C" w14:textId="77777777" w:rsidR="000B4CBF" w:rsidRPr="004D46AC" w:rsidRDefault="000B4CBF" w:rsidP="00B518F1">
            <w:pPr>
              <w:spacing w:line="240" w:lineRule="auto"/>
              <w:ind w:firstLine="0"/>
            </w:pPr>
            <w:r w:rsidRPr="004D46AC">
              <w:rPr>
                <w:color w:val="000000"/>
                <w:szCs w:val="21"/>
              </w:rPr>
              <w:t xml:space="preserve">0.40 </w:t>
            </w:r>
          </w:p>
        </w:tc>
        <w:tc>
          <w:tcPr>
            <w:tcW w:w="1704" w:type="dxa"/>
            <w:vAlign w:val="center"/>
          </w:tcPr>
          <w:p w14:paraId="4337AFE6" w14:textId="77777777" w:rsidR="000B4CBF" w:rsidRPr="004D46AC" w:rsidRDefault="000B4CBF" w:rsidP="00B518F1">
            <w:pPr>
              <w:spacing w:line="240" w:lineRule="auto"/>
              <w:ind w:firstLine="0"/>
            </w:pPr>
            <w:r w:rsidRPr="004D46AC">
              <w:rPr>
                <w:color w:val="000000"/>
                <w:szCs w:val="21"/>
              </w:rPr>
              <w:t xml:space="preserve">-0.03 </w:t>
            </w:r>
          </w:p>
        </w:tc>
        <w:tc>
          <w:tcPr>
            <w:tcW w:w="1705" w:type="dxa"/>
            <w:vAlign w:val="center"/>
          </w:tcPr>
          <w:p w14:paraId="4A63DFAC" w14:textId="77777777" w:rsidR="000B4CBF" w:rsidRPr="004D46AC" w:rsidRDefault="000B4CBF" w:rsidP="00B518F1">
            <w:pPr>
              <w:spacing w:line="240" w:lineRule="auto"/>
              <w:ind w:firstLine="0"/>
            </w:pPr>
            <w:r w:rsidRPr="004D46AC">
              <w:rPr>
                <w:color w:val="000000"/>
                <w:szCs w:val="21"/>
              </w:rPr>
              <w:t xml:space="preserve">0.84 </w:t>
            </w:r>
          </w:p>
        </w:tc>
        <w:tc>
          <w:tcPr>
            <w:tcW w:w="1705" w:type="dxa"/>
            <w:vAlign w:val="center"/>
          </w:tcPr>
          <w:p w14:paraId="7488B082" w14:textId="77777777" w:rsidR="000B4CBF" w:rsidRPr="004D46AC" w:rsidRDefault="000B4CBF" w:rsidP="00B518F1">
            <w:pPr>
              <w:spacing w:line="240" w:lineRule="auto"/>
              <w:ind w:firstLine="0"/>
            </w:pPr>
            <w:r w:rsidRPr="004D46AC">
              <w:rPr>
                <w:color w:val="000000"/>
                <w:szCs w:val="21"/>
              </w:rPr>
              <w:t xml:space="preserve">0.11 </w:t>
            </w:r>
          </w:p>
        </w:tc>
      </w:tr>
      <w:tr w:rsidR="000B4CBF" w:rsidRPr="004D46AC" w14:paraId="19AEE0AC" w14:textId="77777777" w:rsidTr="00B518F1">
        <w:tc>
          <w:tcPr>
            <w:tcW w:w="1704" w:type="dxa"/>
            <w:vAlign w:val="center"/>
          </w:tcPr>
          <w:p w14:paraId="0006DCF4" w14:textId="77777777" w:rsidR="000B4CBF" w:rsidRPr="004D46AC" w:rsidRDefault="000B4CBF" w:rsidP="00B518F1">
            <w:pPr>
              <w:spacing w:line="240" w:lineRule="auto"/>
              <w:ind w:firstLine="0"/>
            </w:pPr>
            <w:r w:rsidRPr="004D46AC">
              <w:rPr>
                <w:color w:val="000000"/>
              </w:rPr>
              <w:t>TR30--TR33</w:t>
            </w:r>
          </w:p>
        </w:tc>
        <w:tc>
          <w:tcPr>
            <w:tcW w:w="1704" w:type="dxa"/>
            <w:vAlign w:val="center"/>
          </w:tcPr>
          <w:p w14:paraId="225727A7" w14:textId="77777777" w:rsidR="000B4CBF" w:rsidRPr="004D46AC" w:rsidRDefault="000B4CBF" w:rsidP="00B518F1">
            <w:pPr>
              <w:spacing w:line="240" w:lineRule="auto"/>
              <w:ind w:firstLine="0"/>
            </w:pPr>
            <w:r w:rsidRPr="004D46AC">
              <w:rPr>
                <w:color w:val="000000"/>
                <w:szCs w:val="21"/>
              </w:rPr>
              <w:t xml:space="preserve">0.40 </w:t>
            </w:r>
          </w:p>
        </w:tc>
        <w:tc>
          <w:tcPr>
            <w:tcW w:w="1704" w:type="dxa"/>
            <w:vAlign w:val="center"/>
          </w:tcPr>
          <w:p w14:paraId="0498EF30" w14:textId="77777777" w:rsidR="000B4CBF" w:rsidRPr="004D46AC" w:rsidRDefault="000B4CBF" w:rsidP="00B518F1">
            <w:pPr>
              <w:spacing w:line="240" w:lineRule="auto"/>
              <w:ind w:firstLine="0"/>
            </w:pPr>
            <w:r w:rsidRPr="004D46AC">
              <w:rPr>
                <w:color w:val="000000"/>
                <w:szCs w:val="21"/>
              </w:rPr>
              <w:t xml:space="preserve">-0.09 </w:t>
            </w:r>
          </w:p>
        </w:tc>
        <w:tc>
          <w:tcPr>
            <w:tcW w:w="1705" w:type="dxa"/>
            <w:vAlign w:val="center"/>
          </w:tcPr>
          <w:p w14:paraId="7A1CCA6B" w14:textId="77777777" w:rsidR="000B4CBF" w:rsidRPr="004D46AC" w:rsidRDefault="000B4CBF" w:rsidP="00B518F1">
            <w:pPr>
              <w:spacing w:line="240" w:lineRule="auto"/>
              <w:ind w:firstLine="0"/>
            </w:pPr>
            <w:r w:rsidRPr="004D46AC">
              <w:rPr>
                <w:color w:val="000000"/>
                <w:szCs w:val="21"/>
              </w:rPr>
              <w:t xml:space="preserve">0.89 </w:t>
            </w:r>
          </w:p>
        </w:tc>
        <w:tc>
          <w:tcPr>
            <w:tcW w:w="1705" w:type="dxa"/>
            <w:vAlign w:val="center"/>
          </w:tcPr>
          <w:p w14:paraId="3D8E5DBD" w14:textId="77777777" w:rsidR="000B4CBF" w:rsidRPr="004D46AC" w:rsidRDefault="000B4CBF" w:rsidP="00B518F1">
            <w:pPr>
              <w:spacing w:line="240" w:lineRule="auto"/>
              <w:ind w:firstLine="0"/>
            </w:pPr>
            <w:r w:rsidRPr="004D46AC">
              <w:rPr>
                <w:color w:val="000000"/>
                <w:szCs w:val="21"/>
              </w:rPr>
              <w:t xml:space="preserve">0.11 </w:t>
            </w:r>
          </w:p>
        </w:tc>
      </w:tr>
      <w:tr w:rsidR="000B4CBF" w:rsidRPr="004D46AC" w14:paraId="385856CF" w14:textId="77777777" w:rsidTr="00B518F1">
        <w:tc>
          <w:tcPr>
            <w:tcW w:w="1704" w:type="dxa"/>
            <w:vAlign w:val="center"/>
          </w:tcPr>
          <w:p w14:paraId="64EDE51F" w14:textId="77777777" w:rsidR="000B4CBF" w:rsidRPr="004D46AC" w:rsidRDefault="000B4CBF" w:rsidP="00B518F1">
            <w:pPr>
              <w:spacing w:line="240" w:lineRule="auto"/>
              <w:ind w:firstLine="0"/>
            </w:pPr>
            <w:r w:rsidRPr="004D46AC">
              <w:rPr>
                <w:color w:val="000000"/>
              </w:rPr>
              <w:t>TR13--TR20</w:t>
            </w:r>
          </w:p>
        </w:tc>
        <w:tc>
          <w:tcPr>
            <w:tcW w:w="1704" w:type="dxa"/>
            <w:vAlign w:val="center"/>
          </w:tcPr>
          <w:p w14:paraId="157BD0C6" w14:textId="77777777" w:rsidR="000B4CBF" w:rsidRPr="004D46AC" w:rsidRDefault="000B4CBF" w:rsidP="00B518F1">
            <w:pPr>
              <w:spacing w:line="240" w:lineRule="auto"/>
              <w:ind w:firstLine="0"/>
            </w:pPr>
            <w:r w:rsidRPr="004D46AC">
              <w:rPr>
                <w:color w:val="000000"/>
                <w:szCs w:val="21"/>
              </w:rPr>
              <w:t xml:space="preserve">0.39 </w:t>
            </w:r>
          </w:p>
        </w:tc>
        <w:tc>
          <w:tcPr>
            <w:tcW w:w="1704" w:type="dxa"/>
            <w:vAlign w:val="center"/>
          </w:tcPr>
          <w:p w14:paraId="4A04EEBB" w14:textId="77777777" w:rsidR="000B4CBF" w:rsidRPr="004D46AC" w:rsidRDefault="000B4CBF" w:rsidP="00B518F1">
            <w:pPr>
              <w:spacing w:line="240" w:lineRule="auto"/>
              <w:ind w:firstLine="0"/>
            </w:pPr>
            <w:r w:rsidRPr="004D46AC">
              <w:rPr>
                <w:color w:val="000000"/>
                <w:szCs w:val="21"/>
              </w:rPr>
              <w:t xml:space="preserve">-0.06 </w:t>
            </w:r>
          </w:p>
        </w:tc>
        <w:tc>
          <w:tcPr>
            <w:tcW w:w="1705" w:type="dxa"/>
            <w:vAlign w:val="center"/>
          </w:tcPr>
          <w:p w14:paraId="3A475B9E" w14:textId="77777777" w:rsidR="000B4CBF" w:rsidRPr="004D46AC" w:rsidRDefault="000B4CBF" w:rsidP="00B518F1">
            <w:pPr>
              <w:spacing w:line="240" w:lineRule="auto"/>
              <w:ind w:firstLine="0"/>
            </w:pPr>
            <w:r w:rsidRPr="004D46AC">
              <w:rPr>
                <w:color w:val="000000"/>
                <w:szCs w:val="21"/>
              </w:rPr>
              <w:t xml:space="preserve">0.84 </w:t>
            </w:r>
          </w:p>
        </w:tc>
        <w:tc>
          <w:tcPr>
            <w:tcW w:w="1705" w:type="dxa"/>
            <w:vAlign w:val="center"/>
          </w:tcPr>
          <w:p w14:paraId="5E929483" w14:textId="77777777" w:rsidR="000B4CBF" w:rsidRPr="004D46AC" w:rsidRDefault="000B4CBF" w:rsidP="00B518F1">
            <w:pPr>
              <w:spacing w:line="240" w:lineRule="auto"/>
              <w:ind w:firstLine="0"/>
            </w:pPr>
            <w:r w:rsidRPr="004D46AC">
              <w:rPr>
                <w:color w:val="000000"/>
                <w:szCs w:val="21"/>
              </w:rPr>
              <w:t xml:space="preserve">0.16 </w:t>
            </w:r>
          </w:p>
        </w:tc>
      </w:tr>
      <w:tr w:rsidR="000B4CBF" w:rsidRPr="004D46AC" w14:paraId="7D6ACA2D" w14:textId="77777777" w:rsidTr="00B518F1">
        <w:tc>
          <w:tcPr>
            <w:tcW w:w="1704" w:type="dxa"/>
            <w:vAlign w:val="center"/>
          </w:tcPr>
          <w:p w14:paraId="30070849" w14:textId="77777777" w:rsidR="000B4CBF" w:rsidRPr="004D46AC" w:rsidRDefault="000B4CBF" w:rsidP="00B518F1">
            <w:pPr>
              <w:spacing w:line="240" w:lineRule="auto"/>
              <w:ind w:firstLine="0"/>
            </w:pPr>
            <w:r w:rsidRPr="004D46AC">
              <w:rPr>
                <w:color w:val="000000"/>
              </w:rPr>
              <w:t>TR5--TR24</w:t>
            </w:r>
          </w:p>
        </w:tc>
        <w:tc>
          <w:tcPr>
            <w:tcW w:w="1704" w:type="dxa"/>
            <w:vAlign w:val="center"/>
          </w:tcPr>
          <w:p w14:paraId="18D59E21" w14:textId="77777777" w:rsidR="000B4CBF" w:rsidRPr="004D46AC" w:rsidRDefault="000B4CBF" w:rsidP="00B518F1">
            <w:pPr>
              <w:spacing w:line="240" w:lineRule="auto"/>
              <w:ind w:firstLine="0"/>
            </w:pPr>
            <w:r w:rsidRPr="004D46AC">
              <w:rPr>
                <w:color w:val="000000"/>
                <w:szCs w:val="21"/>
              </w:rPr>
              <w:t xml:space="preserve">0.39 </w:t>
            </w:r>
          </w:p>
        </w:tc>
        <w:tc>
          <w:tcPr>
            <w:tcW w:w="1704" w:type="dxa"/>
            <w:vAlign w:val="center"/>
          </w:tcPr>
          <w:p w14:paraId="56202803" w14:textId="77777777" w:rsidR="000B4CBF" w:rsidRPr="004D46AC" w:rsidRDefault="000B4CBF" w:rsidP="00B518F1">
            <w:pPr>
              <w:spacing w:line="240" w:lineRule="auto"/>
              <w:ind w:firstLine="0"/>
            </w:pPr>
            <w:r w:rsidRPr="004D46AC">
              <w:rPr>
                <w:color w:val="000000"/>
                <w:szCs w:val="21"/>
              </w:rPr>
              <w:t xml:space="preserve">-0.15 </w:t>
            </w:r>
          </w:p>
        </w:tc>
        <w:tc>
          <w:tcPr>
            <w:tcW w:w="1705" w:type="dxa"/>
            <w:vAlign w:val="center"/>
          </w:tcPr>
          <w:p w14:paraId="2AABD4A1" w14:textId="77777777" w:rsidR="000B4CBF" w:rsidRPr="004D46AC" w:rsidRDefault="000B4CBF" w:rsidP="00B518F1">
            <w:pPr>
              <w:spacing w:line="240" w:lineRule="auto"/>
              <w:ind w:firstLine="0"/>
            </w:pPr>
            <w:r w:rsidRPr="004D46AC">
              <w:rPr>
                <w:color w:val="000000"/>
                <w:szCs w:val="21"/>
              </w:rPr>
              <w:t xml:space="preserve">0.93 </w:t>
            </w:r>
          </w:p>
        </w:tc>
        <w:tc>
          <w:tcPr>
            <w:tcW w:w="1705" w:type="dxa"/>
            <w:vAlign w:val="center"/>
          </w:tcPr>
          <w:p w14:paraId="1D0900A7" w14:textId="77777777" w:rsidR="000B4CBF" w:rsidRPr="004D46AC" w:rsidRDefault="000B4CBF" w:rsidP="00B518F1">
            <w:pPr>
              <w:spacing w:line="240" w:lineRule="auto"/>
              <w:ind w:firstLine="0"/>
            </w:pPr>
            <w:r w:rsidRPr="004D46AC">
              <w:rPr>
                <w:color w:val="000000"/>
                <w:szCs w:val="21"/>
              </w:rPr>
              <w:t xml:space="preserve">0.21 </w:t>
            </w:r>
          </w:p>
        </w:tc>
      </w:tr>
      <w:tr w:rsidR="000B4CBF" w:rsidRPr="004D46AC" w14:paraId="370EE6EA" w14:textId="77777777" w:rsidTr="00B518F1">
        <w:tc>
          <w:tcPr>
            <w:tcW w:w="1704" w:type="dxa"/>
            <w:vAlign w:val="center"/>
          </w:tcPr>
          <w:p w14:paraId="04DB1371" w14:textId="77777777" w:rsidR="000B4CBF" w:rsidRPr="004D46AC" w:rsidRDefault="000B4CBF" w:rsidP="00B518F1">
            <w:pPr>
              <w:spacing w:line="240" w:lineRule="auto"/>
              <w:ind w:firstLine="0"/>
            </w:pPr>
            <w:r w:rsidRPr="004D46AC">
              <w:rPr>
                <w:color w:val="000000"/>
              </w:rPr>
              <w:t>TR6--TR30</w:t>
            </w:r>
          </w:p>
        </w:tc>
        <w:tc>
          <w:tcPr>
            <w:tcW w:w="1704" w:type="dxa"/>
            <w:vAlign w:val="center"/>
          </w:tcPr>
          <w:p w14:paraId="63858986" w14:textId="77777777" w:rsidR="000B4CBF" w:rsidRPr="004D46AC" w:rsidRDefault="000B4CBF" w:rsidP="00B518F1">
            <w:pPr>
              <w:spacing w:line="240" w:lineRule="auto"/>
              <w:ind w:firstLine="0"/>
            </w:pPr>
            <w:r w:rsidRPr="004D46AC">
              <w:rPr>
                <w:color w:val="000000"/>
                <w:szCs w:val="21"/>
              </w:rPr>
              <w:t xml:space="preserve">0.38 </w:t>
            </w:r>
          </w:p>
        </w:tc>
        <w:tc>
          <w:tcPr>
            <w:tcW w:w="1704" w:type="dxa"/>
            <w:vAlign w:val="center"/>
          </w:tcPr>
          <w:p w14:paraId="14F9D1B8" w14:textId="77777777" w:rsidR="000B4CBF" w:rsidRPr="004D46AC" w:rsidRDefault="000B4CBF" w:rsidP="00B518F1">
            <w:pPr>
              <w:spacing w:line="240" w:lineRule="auto"/>
              <w:ind w:firstLine="0"/>
            </w:pPr>
            <w:r w:rsidRPr="004D46AC">
              <w:rPr>
                <w:color w:val="000000"/>
                <w:szCs w:val="21"/>
              </w:rPr>
              <w:t xml:space="preserve">-0.10 </w:t>
            </w:r>
          </w:p>
        </w:tc>
        <w:tc>
          <w:tcPr>
            <w:tcW w:w="1705" w:type="dxa"/>
            <w:vAlign w:val="center"/>
          </w:tcPr>
          <w:p w14:paraId="4EEF32DF" w14:textId="77777777" w:rsidR="000B4CBF" w:rsidRPr="004D46AC" w:rsidRDefault="000B4CBF" w:rsidP="00B518F1">
            <w:pPr>
              <w:spacing w:line="240" w:lineRule="auto"/>
              <w:ind w:firstLine="0"/>
            </w:pPr>
            <w:r w:rsidRPr="004D46AC">
              <w:rPr>
                <w:color w:val="000000"/>
                <w:szCs w:val="21"/>
              </w:rPr>
              <w:t xml:space="preserve">0.86 </w:t>
            </w:r>
          </w:p>
        </w:tc>
        <w:tc>
          <w:tcPr>
            <w:tcW w:w="1705" w:type="dxa"/>
            <w:vAlign w:val="center"/>
          </w:tcPr>
          <w:p w14:paraId="497F633D" w14:textId="77777777" w:rsidR="000B4CBF" w:rsidRPr="004D46AC" w:rsidRDefault="000B4CBF" w:rsidP="00B518F1">
            <w:pPr>
              <w:spacing w:line="240" w:lineRule="auto"/>
              <w:ind w:firstLine="0"/>
            </w:pPr>
            <w:r w:rsidRPr="004D46AC">
              <w:rPr>
                <w:color w:val="000000"/>
                <w:szCs w:val="21"/>
              </w:rPr>
              <w:t xml:space="preserve">0.12 </w:t>
            </w:r>
          </w:p>
        </w:tc>
      </w:tr>
      <w:tr w:rsidR="000B4CBF" w:rsidRPr="004D46AC" w14:paraId="191BD836" w14:textId="77777777" w:rsidTr="00B518F1">
        <w:tc>
          <w:tcPr>
            <w:tcW w:w="1704" w:type="dxa"/>
            <w:vAlign w:val="center"/>
          </w:tcPr>
          <w:p w14:paraId="51BD6AFC" w14:textId="77777777" w:rsidR="000B4CBF" w:rsidRPr="004D46AC" w:rsidRDefault="000B4CBF" w:rsidP="00B518F1">
            <w:pPr>
              <w:spacing w:line="240" w:lineRule="auto"/>
              <w:ind w:firstLine="0"/>
            </w:pPr>
            <w:r w:rsidRPr="004D46AC">
              <w:rPr>
                <w:color w:val="000000"/>
              </w:rPr>
              <w:t>TR9--TR18</w:t>
            </w:r>
          </w:p>
        </w:tc>
        <w:tc>
          <w:tcPr>
            <w:tcW w:w="1704" w:type="dxa"/>
            <w:vAlign w:val="center"/>
          </w:tcPr>
          <w:p w14:paraId="6ABE266D" w14:textId="77777777" w:rsidR="000B4CBF" w:rsidRPr="004D46AC" w:rsidRDefault="000B4CBF" w:rsidP="00B518F1">
            <w:pPr>
              <w:spacing w:line="240" w:lineRule="auto"/>
              <w:ind w:firstLine="0"/>
            </w:pPr>
            <w:r w:rsidRPr="004D46AC">
              <w:rPr>
                <w:color w:val="000000"/>
                <w:szCs w:val="21"/>
              </w:rPr>
              <w:t xml:space="preserve">0.37 </w:t>
            </w:r>
          </w:p>
        </w:tc>
        <w:tc>
          <w:tcPr>
            <w:tcW w:w="1704" w:type="dxa"/>
            <w:vAlign w:val="center"/>
          </w:tcPr>
          <w:p w14:paraId="1BD51E7C" w14:textId="77777777" w:rsidR="000B4CBF" w:rsidRPr="004D46AC" w:rsidRDefault="000B4CBF" w:rsidP="00B518F1">
            <w:pPr>
              <w:spacing w:line="240" w:lineRule="auto"/>
              <w:ind w:firstLine="0"/>
            </w:pPr>
            <w:r w:rsidRPr="004D46AC">
              <w:rPr>
                <w:color w:val="000000"/>
                <w:szCs w:val="21"/>
              </w:rPr>
              <w:t xml:space="preserve">-0.10 </w:t>
            </w:r>
          </w:p>
        </w:tc>
        <w:tc>
          <w:tcPr>
            <w:tcW w:w="1705" w:type="dxa"/>
            <w:vAlign w:val="center"/>
          </w:tcPr>
          <w:p w14:paraId="59FF2A53" w14:textId="77777777" w:rsidR="000B4CBF" w:rsidRPr="004D46AC" w:rsidRDefault="000B4CBF" w:rsidP="00B518F1">
            <w:pPr>
              <w:spacing w:line="240" w:lineRule="auto"/>
              <w:ind w:firstLine="0"/>
            </w:pPr>
            <w:r w:rsidRPr="004D46AC">
              <w:rPr>
                <w:color w:val="000000"/>
                <w:szCs w:val="21"/>
              </w:rPr>
              <w:t xml:space="preserve">0.85 </w:t>
            </w:r>
          </w:p>
        </w:tc>
        <w:tc>
          <w:tcPr>
            <w:tcW w:w="1705" w:type="dxa"/>
            <w:vAlign w:val="center"/>
          </w:tcPr>
          <w:p w14:paraId="2D07A398" w14:textId="77777777" w:rsidR="000B4CBF" w:rsidRPr="004D46AC" w:rsidRDefault="000B4CBF" w:rsidP="00B518F1">
            <w:pPr>
              <w:spacing w:line="240" w:lineRule="auto"/>
              <w:ind w:firstLine="0"/>
            </w:pPr>
            <w:r w:rsidRPr="004D46AC">
              <w:rPr>
                <w:color w:val="000000"/>
                <w:szCs w:val="21"/>
              </w:rPr>
              <w:t xml:space="preserve">0.12 </w:t>
            </w:r>
          </w:p>
        </w:tc>
      </w:tr>
      <w:tr w:rsidR="000B4CBF" w:rsidRPr="004D46AC" w14:paraId="4598A5CD" w14:textId="77777777" w:rsidTr="00B518F1">
        <w:tc>
          <w:tcPr>
            <w:tcW w:w="1704" w:type="dxa"/>
            <w:vAlign w:val="center"/>
          </w:tcPr>
          <w:p w14:paraId="5C4248DC" w14:textId="77777777" w:rsidR="000B4CBF" w:rsidRPr="004D46AC" w:rsidRDefault="000B4CBF" w:rsidP="00B518F1">
            <w:pPr>
              <w:spacing w:line="240" w:lineRule="auto"/>
              <w:ind w:firstLine="0"/>
            </w:pPr>
            <w:r w:rsidRPr="004D46AC">
              <w:rPr>
                <w:color w:val="000000"/>
              </w:rPr>
              <w:t>TR7--TR24</w:t>
            </w:r>
          </w:p>
        </w:tc>
        <w:tc>
          <w:tcPr>
            <w:tcW w:w="1704" w:type="dxa"/>
            <w:vAlign w:val="center"/>
          </w:tcPr>
          <w:p w14:paraId="75F2176E" w14:textId="77777777" w:rsidR="000B4CBF" w:rsidRPr="004D46AC" w:rsidRDefault="000B4CBF" w:rsidP="00B518F1">
            <w:pPr>
              <w:spacing w:line="240" w:lineRule="auto"/>
              <w:ind w:firstLine="0"/>
            </w:pPr>
            <w:r w:rsidRPr="004D46AC">
              <w:rPr>
                <w:color w:val="000000"/>
                <w:szCs w:val="21"/>
              </w:rPr>
              <w:t xml:space="preserve">0.37 </w:t>
            </w:r>
          </w:p>
        </w:tc>
        <w:tc>
          <w:tcPr>
            <w:tcW w:w="1704" w:type="dxa"/>
            <w:vAlign w:val="center"/>
          </w:tcPr>
          <w:p w14:paraId="6379CC4C" w14:textId="77777777" w:rsidR="000B4CBF" w:rsidRPr="004D46AC" w:rsidRDefault="000B4CBF" w:rsidP="00B518F1">
            <w:pPr>
              <w:spacing w:line="240" w:lineRule="auto"/>
              <w:ind w:firstLine="0"/>
            </w:pPr>
            <w:r w:rsidRPr="004D46AC">
              <w:rPr>
                <w:color w:val="000000"/>
                <w:szCs w:val="21"/>
              </w:rPr>
              <w:t xml:space="preserve">-0.09 </w:t>
            </w:r>
          </w:p>
        </w:tc>
        <w:tc>
          <w:tcPr>
            <w:tcW w:w="1705" w:type="dxa"/>
            <w:vAlign w:val="center"/>
          </w:tcPr>
          <w:p w14:paraId="529F6AD5" w14:textId="77777777" w:rsidR="000B4CBF" w:rsidRPr="004D46AC" w:rsidRDefault="000B4CBF" w:rsidP="00B518F1">
            <w:pPr>
              <w:spacing w:line="240" w:lineRule="auto"/>
              <w:ind w:firstLine="0"/>
            </w:pPr>
            <w:r w:rsidRPr="004D46AC">
              <w:rPr>
                <w:color w:val="000000"/>
                <w:szCs w:val="21"/>
              </w:rPr>
              <w:t xml:space="preserve">0.82 </w:t>
            </w:r>
          </w:p>
        </w:tc>
        <w:tc>
          <w:tcPr>
            <w:tcW w:w="1705" w:type="dxa"/>
            <w:vAlign w:val="center"/>
          </w:tcPr>
          <w:p w14:paraId="48D24472" w14:textId="77777777" w:rsidR="000B4CBF" w:rsidRPr="004D46AC" w:rsidRDefault="000B4CBF" w:rsidP="00B518F1">
            <w:pPr>
              <w:spacing w:line="240" w:lineRule="auto"/>
              <w:ind w:firstLine="0"/>
            </w:pPr>
            <w:r w:rsidRPr="004D46AC">
              <w:rPr>
                <w:color w:val="000000"/>
                <w:szCs w:val="21"/>
              </w:rPr>
              <w:t xml:space="preserve">0.12 </w:t>
            </w:r>
          </w:p>
        </w:tc>
      </w:tr>
      <w:tr w:rsidR="000B4CBF" w:rsidRPr="004D46AC" w14:paraId="71E92EB6" w14:textId="77777777" w:rsidTr="00B518F1">
        <w:tc>
          <w:tcPr>
            <w:tcW w:w="1704" w:type="dxa"/>
            <w:vAlign w:val="center"/>
          </w:tcPr>
          <w:p w14:paraId="0C1D81E4" w14:textId="77777777" w:rsidR="000B4CBF" w:rsidRPr="004D46AC" w:rsidRDefault="000B4CBF" w:rsidP="00B518F1">
            <w:pPr>
              <w:spacing w:line="240" w:lineRule="auto"/>
              <w:ind w:firstLine="0"/>
            </w:pPr>
            <w:r w:rsidRPr="004D46AC">
              <w:rPr>
                <w:color w:val="000000"/>
              </w:rPr>
              <w:t>TR34--TR30</w:t>
            </w:r>
          </w:p>
        </w:tc>
        <w:tc>
          <w:tcPr>
            <w:tcW w:w="1704" w:type="dxa"/>
            <w:vAlign w:val="center"/>
          </w:tcPr>
          <w:p w14:paraId="630CC831" w14:textId="77777777" w:rsidR="000B4CBF" w:rsidRPr="004D46AC" w:rsidRDefault="000B4CBF" w:rsidP="00B518F1">
            <w:pPr>
              <w:spacing w:line="240" w:lineRule="auto"/>
              <w:ind w:firstLine="0"/>
            </w:pPr>
            <w:r w:rsidRPr="004D46AC">
              <w:rPr>
                <w:color w:val="000000"/>
                <w:szCs w:val="21"/>
              </w:rPr>
              <w:t xml:space="preserve">0.36 </w:t>
            </w:r>
          </w:p>
        </w:tc>
        <w:tc>
          <w:tcPr>
            <w:tcW w:w="1704" w:type="dxa"/>
            <w:vAlign w:val="center"/>
          </w:tcPr>
          <w:p w14:paraId="7C68DAC3"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5D9D584F" w14:textId="77777777" w:rsidR="000B4CBF" w:rsidRPr="004D46AC" w:rsidRDefault="000B4CBF" w:rsidP="00B518F1">
            <w:pPr>
              <w:spacing w:line="240" w:lineRule="auto"/>
              <w:ind w:firstLine="0"/>
            </w:pPr>
            <w:r w:rsidRPr="004D46AC">
              <w:rPr>
                <w:color w:val="000000"/>
                <w:szCs w:val="21"/>
              </w:rPr>
              <w:t xml:space="preserve">0.86 </w:t>
            </w:r>
          </w:p>
        </w:tc>
        <w:tc>
          <w:tcPr>
            <w:tcW w:w="1705" w:type="dxa"/>
            <w:vAlign w:val="center"/>
          </w:tcPr>
          <w:p w14:paraId="7851B712" w14:textId="77777777" w:rsidR="000B4CBF" w:rsidRPr="004D46AC" w:rsidRDefault="000B4CBF" w:rsidP="00B518F1">
            <w:pPr>
              <w:spacing w:line="240" w:lineRule="auto"/>
              <w:ind w:firstLine="0"/>
            </w:pPr>
            <w:r w:rsidRPr="004D46AC">
              <w:rPr>
                <w:color w:val="000000"/>
                <w:szCs w:val="21"/>
              </w:rPr>
              <w:t xml:space="preserve">0.23 </w:t>
            </w:r>
          </w:p>
        </w:tc>
      </w:tr>
      <w:tr w:rsidR="000B4CBF" w:rsidRPr="004D46AC" w14:paraId="3327902E" w14:textId="77777777" w:rsidTr="00B518F1">
        <w:tc>
          <w:tcPr>
            <w:tcW w:w="1704" w:type="dxa"/>
            <w:vAlign w:val="center"/>
          </w:tcPr>
          <w:p w14:paraId="19B20204" w14:textId="77777777" w:rsidR="000B4CBF" w:rsidRPr="004D46AC" w:rsidRDefault="000B4CBF" w:rsidP="00B518F1">
            <w:pPr>
              <w:spacing w:line="240" w:lineRule="auto"/>
              <w:ind w:firstLine="0"/>
            </w:pPr>
            <w:r w:rsidRPr="004D46AC">
              <w:rPr>
                <w:color w:val="000000"/>
              </w:rPr>
              <w:t>TR15--TR23</w:t>
            </w:r>
          </w:p>
        </w:tc>
        <w:tc>
          <w:tcPr>
            <w:tcW w:w="1704" w:type="dxa"/>
            <w:vAlign w:val="center"/>
          </w:tcPr>
          <w:p w14:paraId="5D041DB5" w14:textId="77777777" w:rsidR="000B4CBF" w:rsidRPr="004D46AC" w:rsidRDefault="000B4CBF" w:rsidP="00B518F1">
            <w:pPr>
              <w:spacing w:line="240" w:lineRule="auto"/>
              <w:ind w:firstLine="0"/>
            </w:pPr>
            <w:r w:rsidRPr="004D46AC">
              <w:rPr>
                <w:color w:val="000000"/>
                <w:szCs w:val="21"/>
              </w:rPr>
              <w:t xml:space="preserve">0.35 </w:t>
            </w:r>
          </w:p>
        </w:tc>
        <w:tc>
          <w:tcPr>
            <w:tcW w:w="1704" w:type="dxa"/>
            <w:vAlign w:val="center"/>
          </w:tcPr>
          <w:p w14:paraId="01F482D2" w14:textId="77777777" w:rsidR="000B4CBF" w:rsidRPr="004D46AC" w:rsidRDefault="000B4CBF" w:rsidP="00B518F1">
            <w:pPr>
              <w:spacing w:line="240" w:lineRule="auto"/>
              <w:ind w:firstLine="0"/>
            </w:pPr>
            <w:r w:rsidRPr="004D46AC">
              <w:rPr>
                <w:color w:val="000000"/>
                <w:szCs w:val="21"/>
              </w:rPr>
              <w:t xml:space="preserve">-0.10 </w:t>
            </w:r>
          </w:p>
        </w:tc>
        <w:tc>
          <w:tcPr>
            <w:tcW w:w="1705" w:type="dxa"/>
            <w:vAlign w:val="center"/>
          </w:tcPr>
          <w:p w14:paraId="1C4B7281" w14:textId="77777777" w:rsidR="000B4CBF" w:rsidRPr="004D46AC" w:rsidRDefault="000B4CBF" w:rsidP="00B518F1">
            <w:pPr>
              <w:spacing w:line="240" w:lineRule="auto"/>
              <w:ind w:firstLine="0"/>
            </w:pPr>
            <w:r w:rsidRPr="004D46AC">
              <w:rPr>
                <w:color w:val="000000"/>
                <w:szCs w:val="21"/>
              </w:rPr>
              <w:t xml:space="preserve">0.80 </w:t>
            </w:r>
          </w:p>
        </w:tc>
        <w:tc>
          <w:tcPr>
            <w:tcW w:w="1705" w:type="dxa"/>
            <w:vAlign w:val="center"/>
          </w:tcPr>
          <w:p w14:paraId="15748BE5" w14:textId="77777777" w:rsidR="000B4CBF" w:rsidRPr="004D46AC" w:rsidRDefault="000B4CBF" w:rsidP="00B518F1">
            <w:pPr>
              <w:spacing w:line="240" w:lineRule="auto"/>
              <w:ind w:firstLine="0"/>
            </w:pPr>
            <w:r w:rsidRPr="004D46AC">
              <w:rPr>
                <w:color w:val="000000"/>
                <w:szCs w:val="21"/>
              </w:rPr>
              <w:t xml:space="preserve">0.15 </w:t>
            </w:r>
          </w:p>
        </w:tc>
      </w:tr>
      <w:tr w:rsidR="000B4CBF" w:rsidRPr="004D46AC" w14:paraId="3C0A2DD1" w14:textId="77777777" w:rsidTr="00B518F1">
        <w:tc>
          <w:tcPr>
            <w:tcW w:w="1704" w:type="dxa"/>
            <w:vAlign w:val="center"/>
          </w:tcPr>
          <w:p w14:paraId="0FD31333" w14:textId="77777777" w:rsidR="000B4CBF" w:rsidRPr="004D46AC" w:rsidRDefault="000B4CBF" w:rsidP="00B518F1">
            <w:pPr>
              <w:spacing w:line="240" w:lineRule="auto"/>
              <w:ind w:firstLine="0"/>
            </w:pPr>
            <w:r w:rsidRPr="004D46AC">
              <w:rPr>
                <w:color w:val="000000"/>
              </w:rPr>
              <w:t>TR27--TR37</w:t>
            </w:r>
          </w:p>
        </w:tc>
        <w:tc>
          <w:tcPr>
            <w:tcW w:w="1704" w:type="dxa"/>
            <w:vAlign w:val="center"/>
          </w:tcPr>
          <w:p w14:paraId="2F9440E1" w14:textId="77777777" w:rsidR="000B4CBF" w:rsidRPr="004D46AC" w:rsidRDefault="000B4CBF" w:rsidP="00B518F1">
            <w:pPr>
              <w:spacing w:line="240" w:lineRule="auto"/>
              <w:ind w:firstLine="0"/>
            </w:pPr>
            <w:r w:rsidRPr="004D46AC">
              <w:rPr>
                <w:color w:val="000000"/>
                <w:szCs w:val="21"/>
              </w:rPr>
              <w:t xml:space="preserve">0.34 </w:t>
            </w:r>
          </w:p>
        </w:tc>
        <w:tc>
          <w:tcPr>
            <w:tcW w:w="1704" w:type="dxa"/>
            <w:vAlign w:val="center"/>
          </w:tcPr>
          <w:p w14:paraId="6589B7CD" w14:textId="77777777" w:rsidR="000B4CBF" w:rsidRPr="004D46AC" w:rsidRDefault="000B4CBF" w:rsidP="00B518F1">
            <w:pPr>
              <w:spacing w:line="240" w:lineRule="auto"/>
              <w:ind w:firstLine="0"/>
            </w:pPr>
            <w:r w:rsidRPr="004D46AC">
              <w:rPr>
                <w:color w:val="000000"/>
                <w:szCs w:val="21"/>
              </w:rPr>
              <w:t xml:space="preserve">-0.12 </w:t>
            </w:r>
          </w:p>
        </w:tc>
        <w:tc>
          <w:tcPr>
            <w:tcW w:w="1705" w:type="dxa"/>
            <w:vAlign w:val="center"/>
          </w:tcPr>
          <w:p w14:paraId="6F5D18EC" w14:textId="77777777" w:rsidR="000B4CBF" w:rsidRPr="004D46AC" w:rsidRDefault="000B4CBF" w:rsidP="00B518F1">
            <w:pPr>
              <w:spacing w:line="240" w:lineRule="auto"/>
              <w:ind w:firstLine="0"/>
            </w:pPr>
            <w:r w:rsidRPr="004D46AC">
              <w:rPr>
                <w:color w:val="000000"/>
                <w:szCs w:val="21"/>
              </w:rPr>
              <w:t xml:space="preserve">0.80 </w:t>
            </w:r>
          </w:p>
        </w:tc>
        <w:tc>
          <w:tcPr>
            <w:tcW w:w="1705" w:type="dxa"/>
            <w:vAlign w:val="center"/>
          </w:tcPr>
          <w:p w14:paraId="619213B0" w14:textId="77777777" w:rsidR="000B4CBF" w:rsidRPr="004D46AC" w:rsidRDefault="000B4CBF" w:rsidP="00B518F1">
            <w:pPr>
              <w:spacing w:line="240" w:lineRule="auto"/>
              <w:ind w:firstLine="0"/>
            </w:pPr>
            <w:r w:rsidRPr="004D46AC">
              <w:rPr>
                <w:color w:val="000000"/>
                <w:szCs w:val="21"/>
              </w:rPr>
              <w:t xml:space="preserve">0.19 </w:t>
            </w:r>
          </w:p>
        </w:tc>
      </w:tr>
      <w:tr w:rsidR="000B4CBF" w:rsidRPr="004D46AC" w14:paraId="0A3BEDC4" w14:textId="77777777" w:rsidTr="00B518F1">
        <w:tc>
          <w:tcPr>
            <w:tcW w:w="1704" w:type="dxa"/>
            <w:vAlign w:val="center"/>
          </w:tcPr>
          <w:p w14:paraId="6D8C6D76" w14:textId="77777777" w:rsidR="000B4CBF" w:rsidRPr="004D46AC" w:rsidRDefault="000B4CBF" w:rsidP="00B518F1">
            <w:pPr>
              <w:spacing w:line="240" w:lineRule="auto"/>
              <w:ind w:firstLine="0"/>
            </w:pPr>
            <w:r w:rsidRPr="004D46AC">
              <w:rPr>
                <w:color w:val="000000"/>
              </w:rPr>
              <w:t>TR13--TR22</w:t>
            </w:r>
          </w:p>
        </w:tc>
        <w:tc>
          <w:tcPr>
            <w:tcW w:w="1704" w:type="dxa"/>
            <w:vAlign w:val="center"/>
          </w:tcPr>
          <w:p w14:paraId="3F502D18" w14:textId="77777777" w:rsidR="000B4CBF" w:rsidRPr="004D46AC" w:rsidRDefault="000B4CBF" w:rsidP="00B518F1">
            <w:pPr>
              <w:spacing w:line="240" w:lineRule="auto"/>
              <w:ind w:firstLine="0"/>
            </w:pPr>
            <w:r w:rsidRPr="004D46AC">
              <w:rPr>
                <w:color w:val="000000"/>
                <w:szCs w:val="21"/>
              </w:rPr>
              <w:t xml:space="preserve">0.34 </w:t>
            </w:r>
          </w:p>
        </w:tc>
        <w:tc>
          <w:tcPr>
            <w:tcW w:w="1704" w:type="dxa"/>
            <w:vAlign w:val="center"/>
          </w:tcPr>
          <w:p w14:paraId="01DEDAD9" w14:textId="77777777" w:rsidR="000B4CBF" w:rsidRPr="004D46AC" w:rsidRDefault="000B4CBF" w:rsidP="00B518F1">
            <w:pPr>
              <w:spacing w:line="240" w:lineRule="auto"/>
              <w:ind w:firstLine="0"/>
            </w:pPr>
            <w:r w:rsidRPr="004D46AC">
              <w:rPr>
                <w:color w:val="000000"/>
                <w:szCs w:val="21"/>
              </w:rPr>
              <w:t xml:space="preserve">-0.07 </w:t>
            </w:r>
          </w:p>
        </w:tc>
        <w:tc>
          <w:tcPr>
            <w:tcW w:w="1705" w:type="dxa"/>
            <w:vAlign w:val="center"/>
          </w:tcPr>
          <w:p w14:paraId="5D7E643D" w14:textId="77777777" w:rsidR="000B4CBF" w:rsidRPr="004D46AC" w:rsidRDefault="000B4CBF" w:rsidP="00B518F1">
            <w:pPr>
              <w:spacing w:line="240" w:lineRule="auto"/>
              <w:ind w:firstLine="0"/>
            </w:pPr>
            <w:r w:rsidRPr="004D46AC">
              <w:rPr>
                <w:color w:val="000000"/>
                <w:szCs w:val="21"/>
              </w:rPr>
              <w:t xml:space="preserve">0.75 </w:t>
            </w:r>
          </w:p>
        </w:tc>
        <w:tc>
          <w:tcPr>
            <w:tcW w:w="1705" w:type="dxa"/>
            <w:vAlign w:val="center"/>
          </w:tcPr>
          <w:p w14:paraId="54D854D9" w14:textId="77777777" w:rsidR="000B4CBF" w:rsidRPr="004D46AC" w:rsidRDefault="000B4CBF" w:rsidP="00B518F1">
            <w:pPr>
              <w:spacing w:line="240" w:lineRule="auto"/>
              <w:ind w:firstLine="0"/>
            </w:pPr>
            <w:r w:rsidRPr="004D46AC">
              <w:rPr>
                <w:color w:val="000000"/>
                <w:szCs w:val="21"/>
              </w:rPr>
              <w:t xml:space="preserve">0.31 </w:t>
            </w:r>
          </w:p>
        </w:tc>
      </w:tr>
      <w:tr w:rsidR="000B4CBF" w:rsidRPr="004D46AC" w14:paraId="4F3301E7" w14:textId="77777777" w:rsidTr="00B518F1">
        <w:tc>
          <w:tcPr>
            <w:tcW w:w="1704" w:type="dxa"/>
            <w:vAlign w:val="center"/>
          </w:tcPr>
          <w:p w14:paraId="381D1F04" w14:textId="77777777" w:rsidR="000B4CBF" w:rsidRPr="004D46AC" w:rsidRDefault="000B4CBF" w:rsidP="00B518F1">
            <w:pPr>
              <w:spacing w:line="240" w:lineRule="auto"/>
              <w:ind w:firstLine="0"/>
            </w:pPr>
            <w:r w:rsidRPr="004D46AC">
              <w:rPr>
                <w:color w:val="000000"/>
              </w:rPr>
              <w:t>TR18--TR20</w:t>
            </w:r>
          </w:p>
        </w:tc>
        <w:tc>
          <w:tcPr>
            <w:tcW w:w="1704" w:type="dxa"/>
            <w:vAlign w:val="center"/>
          </w:tcPr>
          <w:p w14:paraId="503BB9BD" w14:textId="77777777" w:rsidR="000B4CBF" w:rsidRPr="004D46AC" w:rsidRDefault="000B4CBF" w:rsidP="00B518F1">
            <w:pPr>
              <w:spacing w:line="240" w:lineRule="auto"/>
              <w:ind w:firstLine="0"/>
            </w:pPr>
            <w:r w:rsidRPr="004D46AC">
              <w:rPr>
                <w:color w:val="000000"/>
                <w:szCs w:val="21"/>
              </w:rPr>
              <w:t xml:space="preserve">0.33 </w:t>
            </w:r>
          </w:p>
        </w:tc>
        <w:tc>
          <w:tcPr>
            <w:tcW w:w="1704" w:type="dxa"/>
            <w:vAlign w:val="center"/>
          </w:tcPr>
          <w:p w14:paraId="1E5166F9"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33E813BB" w14:textId="77777777" w:rsidR="000B4CBF" w:rsidRPr="004D46AC" w:rsidRDefault="000B4CBF" w:rsidP="00B518F1">
            <w:pPr>
              <w:spacing w:line="240" w:lineRule="auto"/>
              <w:ind w:firstLine="0"/>
            </w:pPr>
            <w:r w:rsidRPr="004D46AC">
              <w:rPr>
                <w:color w:val="000000"/>
                <w:szCs w:val="21"/>
              </w:rPr>
              <w:t xml:space="preserve">0.83 </w:t>
            </w:r>
          </w:p>
        </w:tc>
        <w:tc>
          <w:tcPr>
            <w:tcW w:w="1705" w:type="dxa"/>
            <w:vAlign w:val="center"/>
          </w:tcPr>
          <w:p w14:paraId="6949CC64" w14:textId="77777777" w:rsidR="000B4CBF" w:rsidRPr="004D46AC" w:rsidRDefault="000B4CBF" w:rsidP="00B518F1">
            <w:pPr>
              <w:spacing w:line="240" w:lineRule="auto"/>
              <w:ind w:firstLine="0"/>
            </w:pPr>
            <w:r w:rsidRPr="004D46AC">
              <w:rPr>
                <w:color w:val="000000"/>
                <w:szCs w:val="21"/>
              </w:rPr>
              <w:t xml:space="preserve">0.22 </w:t>
            </w:r>
          </w:p>
        </w:tc>
      </w:tr>
      <w:tr w:rsidR="000B4CBF" w:rsidRPr="004D46AC" w14:paraId="5B389A95" w14:textId="77777777" w:rsidTr="00B518F1">
        <w:tc>
          <w:tcPr>
            <w:tcW w:w="1704" w:type="dxa"/>
            <w:vAlign w:val="center"/>
          </w:tcPr>
          <w:p w14:paraId="72DCD222" w14:textId="77777777" w:rsidR="000B4CBF" w:rsidRPr="004D46AC" w:rsidRDefault="000B4CBF" w:rsidP="00B518F1">
            <w:pPr>
              <w:spacing w:line="240" w:lineRule="auto"/>
              <w:ind w:firstLine="0"/>
            </w:pPr>
            <w:r w:rsidRPr="004D46AC">
              <w:rPr>
                <w:color w:val="000000"/>
              </w:rPr>
              <w:t>TR5--TR13</w:t>
            </w:r>
          </w:p>
        </w:tc>
        <w:tc>
          <w:tcPr>
            <w:tcW w:w="1704" w:type="dxa"/>
            <w:vAlign w:val="center"/>
          </w:tcPr>
          <w:p w14:paraId="1C764CAD" w14:textId="77777777" w:rsidR="000B4CBF" w:rsidRPr="004D46AC" w:rsidRDefault="000B4CBF" w:rsidP="00B518F1">
            <w:pPr>
              <w:spacing w:line="240" w:lineRule="auto"/>
              <w:ind w:firstLine="0"/>
            </w:pPr>
            <w:r w:rsidRPr="004D46AC">
              <w:rPr>
                <w:color w:val="000000"/>
                <w:szCs w:val="21"/>
              </w:rPr>
              <w:t xml:space="preserve">0.32 </w:t>
            </w:r>
          </w:p>
        </w:tc>
        <w:tc>
          <w:tcPr>
            <w:tcW w:w="1704" w:type="dxa"/>
            <w:vAlign w:val="center"/>
          </w:tcPr>
          <w:p w14:paraId="0168591A"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1B2EDC2A" w14:textId="77777777" w:rsidR="000B4CBF" w:rsidRPr="004D46AC" w:rsidRDefault="000B4CBF" w:rsidP="00B518F1">
            <w:pPr>
              <w:spacing w:line="240" w:lineRule="auto"/>
              <w:ind w:firstLine="0"/>
            </w:pPr>
            <w:r w:rsidRPr="004D46AC">
              <w:rPr>
                <w:color w:val="000000"/>
                <w:szCs w:val="21"/>
              </w:rPr>
              <w:t xml:space="preserve">0.80 </w:t>
            </w:r>
          </w:p>
        </w:tc>
        <w:tc>
          <w:tcPr>
            <w:tcW w:w="1705" w:type="dxa"/>
            <w:vAlign w:val="center"/>
          </w:tcPr>
          <w:p w14:paraId="6FC1070E" w14:textId="77777777" w:rsidR="000B4CBF" w:rsidRPr="004D46AC" w:rsidRDefault="000B4CBF" w:rsidP="00B518F1">
            <w:pPr>
              <w:spacing w:line="240" w:lineRule="auto"/>
              <w:ind w:firstLine="0"/>
            </w:pPr>
            <w:r w:rsidRPr="004D46AC">
              <w:rPr>
                <w:color w:val="000000"/>
                <w:szCs w:val="21"/>
              </w:rPr>
              <w:t xml:space="preserve">0.48 </w:t>
            </w:r>
          </w:p>
        </w:tc>
      </w:tr>
      <w:tr w:rsidR="000B4CBF" w:rsidRPr="004D46AC" w14:paraId="50EF3D35" w14:textId="77777777" w:rsidTr="00B518F1">
        <w:tc>
          <w:tcPr>
            <w:tcW w:w="1704" w:type="dxa"/>
            <w:vAlign w:val="center"/>
          </w:tcPr>
          <w:p w14:paraId="258F3D57" w14:textId="77777777" w:rsidR="000B4CBF" w:rsidRPr="004D46AC" w:rsidRDefault="000B4CBF" w:rsidP="00B518F1">
            <w:pPr>
              <w:spacing w:line="240" w:lineRule="auto"/>
              <w:ind w:firstLine="0"/>
            </w:pPr>
            <w:r w:rsidRPr="004D46AC">
              <w:rPr>
                <w:color w:val="000000"/>
              </w:rPr>
              <w:t>TR24--TR17</w:t>
            </w:r>
          </w:p>
        </w:tc>
        <w:tc>
          <w:tcPr>
            <w:tcW w:w="1704" w:type="dxa"/>
            <w:vAlign w:val="center"/>
          </w:tcPr>
          <w:p w14:paraId="03310C13" w14:textId="77777777" w:rsidR="000B4CBF" w:rsidRPr="004D46AC" w:rsidRDefault="000B4CBF" w:rsidP="00B518F1">
            <w:pPr>
              <w:spacing w:line="240" w:lineRule="auto"/>
              <w:ind w:firstLine="0"/>
            </w:pPr>
            <w:r w:rsidRPr="004D46AC">
              <w:rPr>
                <w:color w:val="000000"/>
                <w:szCs w:val="21"/>
              </w:rPr>
              <w:t xml:space="preserve">0.31 </w:t>
            </w:r>
          </w:p>
        </w:tc>
        <w:tc>
          <w:tcPr>
            <w:tcW w:w="1704" w:type="dxa"/>
            <w:vAlign w:val="center"/>
          </w:tcPr>
          <w:p w14:paraId="0BA8E3BC"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69356AEE" w14:textId="77777777" w:rsidR="000B4CBF" w:rsidRPr="004D46AC" w:rsidRDefault="000B4CBF" w:rsidP="00B518F1">
            <w:pPr>
              <w:spacing w:line="240" w:lineRule="auto"/>
              <w:ind w:firstLine="0"/>
            </w:pPr>
            <w:r w:rsidRPr="004D46AC">
              <w:rPr>
                <w:color w:val="000000"/>
                <w:szCs w:val="21"/>
              </w:rPr>
              <w:t xml:space="preserve">0.79 </w:t>
            </w:r>
          </w:p>
        </w:tc>
        <w:tc>
          <w:tcPr>
            <w:tcW w:w="1705" w:type="dxa"/>
            <w:vAlign w:val="center"/>
          </w:tcPr>
          <w:p w14:paraId="41540FCF"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74838048" w14:textId="77777777" w:rsidTr="00B518F1">
        <w:tc>
          <w:tcPr>
            <w:tcW w:w="1704" w:type="dxa"/>
            <w:vAlign w:val="center"/>
          </w:tcPr>
          <w:p w14:paraId="050BFF43" w14:textId="77777777" w:rsidR="000B4CBF" w:rsidRPr="004D46AC" w:rsidRDefault="000B4CBF" w:rsidP="00B518F1">
            <w:pPr>
              <w:spacing w:line="240" w:lineRule="auto"/>
              <w:ind w:firstLine="0"/>
            </w:pPr>
            <w:r w:rsidRPr="004D46AC">
              <w:rPr>
                <w:color w:val="000000"/>
              </w:rPr>
              <w:t>TR18--TR22</w:t>
            </w:r>
          </w:p>
        </w:tc>
        <w:tc>
          <w:tcPr>
            <w:tcW w:w="1704" w:type="dxa"/>
            <w:vAlign w:val="center"/>
          </w:tcPr>
          <w:p w14:paraId="384C5B1F" w14:textId="77777777" w:rsidR="000B4CBF" w:rsidRPr="004D46AC" w:rsidRDefault="000B4CBF" w:rsidP="00B518F1">
            <w:pPr>
              <w:spacing w:line="240" w:lineRule="auto"/>
              <w:ind w:firstLine="0"/>
            </w:pPr>
            <w:r w:rsidRPr="004D46AC">
              <w:rPr>
                <w:color w:val="000000"/>
                <w:szCs w:val="21"/>
              </w:rPr>
              <w:t xml:space="preserve">0.31 </w:t>
            </w:r>
          </w:p>
        </w:tc>
        <w:tc>
          <w:tcPr>
            <w:tcW w:w="1704" w:type="dxa"/>
            <w:vAlign w:val="center"/>
          </w:tcPr>
          <w:p w14:paraId="64508D6D" w14:textId="77777777" w:rsidR="000B4CBF" w:rsidRPr="004D46AC" w:rsidRDefault="000B4CBF" w:rsidP="00B518F1">
            <w:pPr>
              <w:spacing w:line="240" w:lineRule="auto"/>
              <w:ind w:firstLine="0"/>
            </w:pPr>
            <w:r w:rsidRPr="004D46AC">
              <w:rPr>
                <w:color w:val="000000"/>
                <w:szCs w:val="21"/>
              </w:rPr>
              <w:t xml:space="preserve">-0.12 </w:t>
            </w:r>
          </w:p>
        </w:tc>
        <w:tc>
          <w:tcPr>
            <w:tcW w:w="1705" w:type="dxa"/>
            <w:vAlign w:val="center"/>
          </w:tcPr>
          <w:p w14:paraId="014E6E49" w14:textId="77777777" w:rsidR="000B4CBF" w:rsidRPr="004D46AC" w:rsidRDefault="000B4CBF" w:rsidP="00B518F1">
            <w:pPr>
              <w:spacing w:line="240" w:lineRule="auto"/>
              <w:ind w:firstLine="0"/>
            </w:pPr>
            <w:r w:rsidRPr="004D46AC">
              <w:rPr>
                <w:color w:val="000000"/>
                <w:szCs w:val="21"/>
              </w:rPr>
              <w:t xml:space="preserve">0.74 </w:t>
            </w:r>
          </w:p>
        </w:tc>
        <w:tc>
          <w:tcPr>
            <w:tcW w:w="1705" w:type="dxa"/>
            <w:vAlign w:val="center"/>
          </w:tcPr>
          <w:p w14:paraId="38E99846" w14:textId="77777777" w:rsidR="000B4CBF" w:rsidRPr="004D46AC" w:rsidRDefault="000B4CBF" w:rsidP="00B518F1">
            <w:pPr>
              <w:spacing w:line="240" w:lineRule="auto"/>
              <w:ind w:firstLine="0"/>
            </w:pPr>
            <w:r w:rsidRPr="004D46AC">
              <w:rPr>
                <w:color w:val="000000"/>
                <w:szCs w:val="21"/>
              </w:rPr>
              <w:t xml:space="preserve">0.29 </w:t>
            </w:r>
          </w:p>
        </w:tc>
      </w:tr>
      <w:tr w:rsidR="000B4CBF" w:rsidRPr="004D46AC" w14:paraId="02C21B5B" w14:textId="77777777" w:rsidTr="00B518F1">
        <w:tc>
          <w:tcPr>
            <w:tcW w:w="1704" w:type="dxa"/>
            <w:vAlign w:val="center"/>
          </w:tcPr>
          <w:p w14:paraId="73DD4111" w14:textId="77777777" w:rsidR="000B4CBF" w:rsidRPr="004D46AC" w:rsidRDefault="000B4CBF" w:rsidP="00B518F1">
            <w:pPr>
              <w:spacing w:line="240" w:lineRule="auto"/>
              <w:ind w:firstLine="0"/>
            </w:pPr>
            <w:r w:rsidRPr="004D46AC">
              <w:rPr>
                <w:color w:val="000000"/>
              </w:rPr>
              <w:lastRenderedPageBreak/>
              <w:t>TR19--TR17</w:t>
            </w:r>
          </w:p>
        </w:tc>
        <w:tc>
          <w:tcPr>
            <w:tcW w:w="1704" w:type="dxa"/>
            <w:vAlign w:val="center"/>
          </w:tcPr>
          <w:p w14:paraId="0A160D35" w14:textId="77777777" w:rsidR="000B4CBF" w:rsidRPr="004D46AC" w:rsidRDefault="000B4CBF" w:rsidP="00B518F1">
            <w:pPr>
              <w:spacing w:line="240" w:lineRule="auto"/>
              <w:ind w:firstLine="0"/>
            </w:pPr>
            <w:r w:rsidRPr="004D46AC">
              <w:rPr>
                <w:color w:val="000000"/>
                <w:szCs w:val="21"/>
              </w:rPr>
              <w:t xml:space="preserve">0.31 </w:t>
            </w:r>
          </w:p>
        </w:tc>
        <w:tc>
          <w:tcPr>
            <w:tcW w:w="1704" w:type="dxa"/>
            <w:vAlign w:val="center"/>
          </w:tcPr>
          <w:p w14:paraId="0B05709D"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6ABE0003" w14:textId="77777777" w:rsidR="000B4CBF" w:rsidRPr="004D46AC" w:rsidRDefault="000B4CBF" w:rsidP="00B518F1">
            <w:pPr>
              <w:spacing w:line="240" w:lineRule="auto"/>
              <w:ind w:firstLine="0"/>
            </w:pPr>
            <w:r w:rsidRPr="004D46AC">
              <w:rPr>
                <w:color w:val="000000"/>
                <w:szCs w:val="21"/>
              </w:rPr>
              <w:t xml:space="preserve">0.78 </w:t>
            </w:r>
          </w:p>
        </w:tc>
        <w:tc>
          <w:tcPr>
            <w:tcW w:w="1705" w:type="dxa"/>
            <w:vAlign w:val="center"/>
          </w:tcPr>
          <w:p w14:paraId="16137026"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68243100" w14:textId="77777777" w:rsidTr="00B518F1">
        <w:tc>
          <w:tcPr>
            <w:tcW w:w="1704" w:type="dxa"/>
            <w:vAlign w:val="center"/>
          </w:tcPr>
          <w:p w14:paraId="6BA0125A" w14:textId="77777777" w:rsidR="000B4CBF" w:rsidRPr="004D46AC" w:rsidRDefault="000B4CBF" w:rsidP="00B518F1">
            <w:pPr>
              <w:spacing w:line="240" w:lineRule="auto"/>
              <w:ind w:firstLine="0"/>
            </w:pPr>
            <w:r w:rsidRPr="004D46AC">
              <w:rPr>
                <w:color w:val="000000"/>
              </w:rPr>
              <w:t>TR19--TR37</w:t>
            </w:r>
          </w:p>
        </w:tc>
        <w:tc>
          <w:tcPr>
            <w:tcW w:w="1704" w:type="dxa"/>
            <w:vAlign w:val="center"/>
          </w:tcPr>
          <w:p w14:paraId="76ECEB8C" w14:textId="77777777" w:rsidR="000B4CBF" w:rsidRPr="004D46AC" w:rsidRDefault="000B4CBF" w:rsidP="00B518F1">
            <w:pPr>
              <w:spacing w:line="240" w:lineRule="auto"/>
              <w:ind w:firstLine="0"/>
            </w:pPr>
            <w:r w:rsidRPr="004D46AC">
              <w:rPr>
                <w:color w:val="000000"/>
                <w:szCs w:val="21"/>
              </w:rPr>
              <w:t xml:space="preserve">0.30 </w:t>
            </w:r>
          </w:p>
        </w:tc>
        <w:tc>
          <w:tcPr>
            <w:tcW w:w="1704" w:type="dxa"/>
            <w:vAlign w:val="center"/>
          </w:tcPr>
          <w:p w14:paraId="7A155D81" w14:textId="77777777" w:rsidR="000B4CBF" w:rsidRPr="004D46AC" w:rsidRDefault="000B4CBF" w:rsidP="00B518F1">
            <w:pPr>
              <w:spacing w:line="240" w:lineRule="auto"/>
              <w:ind w:firstLine="0"/>
            </w:pPr>
            <w:r w:rsidRPr="004D46AC">
              <w:rPr>
                <w:color w:val="000000"/>
                <w:szCs w:val="21"/>
              </w:rPr>
              <w:t xml:space="preserve">-0.13 </w:t>
            </w:r>
          </w:p>
        </w:tc>
        <w:tc>
          <w:tcPr>
            <w:tcW w:w="1705" w:type="dxa"/>
            <w:vAlign w:val="center"/>
          </w:tcPr>
          <w:p w14:paraId="20B1239D" w14:textId="77777777" w:rsidR="000B4CBF" w:rsidRPr="004D46AC" w:rsidRDefault="000B4CBF" w:rsidP="00B518F1">
            <w:pPr>
              <w:spacing w:line="240" w:lineRule="auto"/>
              <w:ind w:firstLine="0"/>
            </w:pPr>
            <w:r w:rsidRPr="004D46AC">
              <w:rPr>
                <w:color w:val="000000"/>
                <w:szCs w:val="21"/>
              </w:rPr>
              <w:t xml:space="preserve">0.73 </w:t>
            </w:r>
          </w:p>
        </w:tc>
        <w:tc>
          <w:tcPr>
            <w:tcW w:w="1705" w:type="dxa"/>
            <w:vAlign w:val="center"/>
          </w:tcPr>
          <w:p w14:paraId="46AFFA5A" w14:textId="77777777" w:rsidR="000B4CBF" w:rsidRPr="004D46AC" w:rsidRDefault="000B4CBF" w:rsidP="00B518F1">
            <w:pPr>
              <w:spacing w:line="240" w:lineRule="auto"/>
              <w:ind w:firstLine="0"/>
            </w:pPr>
            <w:r w:rsidRPr="004D46AC">
              <w:rPr>
                <w:color w:val="000000"/>
                <w:szCs w:val="21"/>
              </w:rPr>
              <w:t xml:space="preserve">0.22 </w:t>
            </w:r>
          </w:p>
        </w:tc>
      </w:tr>
      <w:tr w:rsidR="000B4CBF" w:rsidRPr="004D46AC" w14:paraId="47A01F14" w14:textId="77777777" w:rsidTr="00B518F1">
        <w:tc>
          <w:tcPr>
            <w:tcW w:w="1704" w:type="dxa"/>
            <w:vAlign w:val="center"/>
          </w:tcPr>
          <w:p w14:paraId="4F78B2D4" w14:textId="77777777" w:rsidR="000B4CBF" w:rsidRPr="004D46AC" w:rsidRDefault="000B4CBF" w:rsidP="00B518F1">
            <w:pPr>
              <w:spacing w:line="240" w:lineRule="auto"/>
              <w:ind w:firstLine="0"/>
            </w:pPr>
            <w:r w:rsidRPr="004D46AC">
              <w:rPr>
                <w:color w:val="000000"/>
              </w:rPr>
              <w:t>TR15--TR37</w:t>
            </w:r>
          </w:p>
        </w:tc>
        <w:tc>
          <w:tcPr>
            <w:tcW w:w="1704" w:type="dxa"/>
            <w:vAlign w:val="center"/>
          </w:tcPr>
          <w:p w14:paraId="64714315"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68277530"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4CC7963E" w14:textId="77777777" w:rsidR="000B4CBF" w:rsidRPr="004D46AC" w:rsidRDefault="000B4CBF" w:rsidP="00B518F1">
            <w:pPr>
              <w:spacing w:line="240" w:lineRule="auto"/>
              <w:ind w:firstLine="0"/>
            </w:pPr>
            <w:r w:rsidRPr="004D46AC">
              <w:rPr>
                <w:color w:val="000000"/>
                <w:szCs w:val="21"/>
              </w:rPr>
              <w:t xml:space="preserve">0.75 </w:t>
            </w:r>
          </w:p>
        </w:tc>
        <w:tc>
          <w:tcPr>
            <w:tcW w:w="1705" w:type="dxa"/>
            <w:vAlign w:val="center"/>
          </w:tcPr>
          <w:p w14:paraId="1FDBA044" w14:textId="77777777" w:rsidR="000B4CBF" w:rsidRPr="004D46AC" w:rsidRDefault="000B4CBF" w:rsidP="00B518F1">
            <w:pPr>
              <w:spacing w:line="240" w:lineRule="auto"/>
              <w:ind w:firstLine="0"/>
            </w:pPr>
            <w:r w:rsidRPr="004D46AC">
              <w:rPr>
                <w:color w:val="000000"/>
                <w:szCs w:val="21"/>
              </w:rPr>
              <w:t xml:space="preserve">0.28 </w:t>
            </w:r>
          </w:p>
        </w:tc>
      </w:tr>
      <w:tr w:rsidR="000B4CBF" w:rsidRPr="004D46AC" w14:paraId="1BDE07EF" w14:textId="77777777" w:rsidTr="00B518F1">
        <w:tc>
          <w:tcPr>
            <w:tcW w:w="1704" w:type="dxa"/>
            <w:vAlign w:val="center"/>
          </w:tcPr>
          <w:p w14:paraId="64D51BF4" w14:textId="77777777" w:rsidR="000B4CBF" w:rsidRPr="004D46AC" w:rsidRDefault="000B4CBF" w:rsidP="00B518F1">
            <w:pPr>
              <w:spacing w:line="240" w:lineRule="auto"/>
              <w:ind w:firstLine="0"/>
            </w:pPr>
            <w:r w:rsidRPr="004D46AC">
              <w:rPr>
                <w:color w:val="000000"/>
              </w:rPr>
              <w:t>TR34--TR37</w:t>
            </w:r>
          </w:p>
        </w:tc>
        <w:tc>
          <w:tcPr>
            <w:tcW w:w="1704" w:type="dxa"/>
            <w:vAlign w:val="center"/>
          </w:tcPr>
          <w:p w14:paraId="5E9E49BD"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797FB94A" w14:textId="77777777" w:rsidR="000B4CBF" w:rsidRPr="004D46AC" w:rsidRDefault="000B4CBF" w:rsidP="00B518F1">
            <w:pPr>
              <w:spacing w:line="240" w:lineRule="auto"/>
              <w:ind w:firstLine="0"/>
            </w:pPr>
            <w:r w:rsidRPr="004D46AC">
              <w:rPr>
                <w:color w:val="000000"/>
                <w:szCs w:val="21"/>
              </w:rPr>
              <w:t xml:space="preserve">-0.15 </w:t>
            </w:r>
          </w:p>
        </w:tc>
        <w:tc>
          <w:tcPr>
            <w:tcW w:w="1705" w:type="dxa"/>
            <w:vAlign w:val="center"/>
          </w:tcPr>
          <w:p w14:paraId="33F43FB9" w14:textId="77777777" w:rsidR="000B4CBF" w:rsidRPr="004D46AC" w:rsidRDefault="000B4CBF" w:rsidP="00B518F1">
            <w:pPr>
              <w:spacing w:line="240" w:lineRule="auto"/>
              <w:ind w:firstLine="0"/>
            </w:pPr>
            <w:r w:rsidRPr="004D46AC">
              <w:rPr>
                <w:color w:val="000000"/>
                <w:szCs w:val="21"/>
              </w:rPr>
              <w:t xml:space="preserve">0.74 </w:t>
            </w:r>
          </w:p>
        </w:tc>
        <w:tc>
          <w:tcPr>
            <w:tcW w:w="1705" w:type="dxa"/>
            <w:vAlign w:val="center"/>
          </w:tcPr>
          <w:p w14:paraId="3C3D6F27" w14:textId="77777777" w:rsidR="000B4CBF" w:rsidRPr="004D46AC" w:rsidRDefault="000B4CBF" w:rsidP="00B518F1">
            <w:pPr>
              <w:spacing w:line="240" w:lineRule="auto"/>
              <w:ind w:firstLine="0"/>
            </w:pPr>
            <w:r w:rsidRPr="004D46AC">
              <w:rPr>
                <w:color w:val="000000"/>
                <w:szCs w:val="21"/>
              </w:rPr>
              <w:t xml:space="preserve">0.20 </w:t>
            </w:r>
          </w:p>
        </w:tc>
      </w:tr>
      <w:tr w:rsidR="000B4CBF" w:rsidRPr="004D46AC" w14:paraId="3AC66B77" w14:textId="77777777" w:rsidTr="00B518F1">
        <w:tc>
          <w:tcPr>
            <w:tcW w:w="1704" w:type="dxa"/>
            <w:vAlign w:val="center"/>
          </w:tcPr>
          <w:p w14:paraId="2FE30A5B" w14:textId="77777777" w:rsidR="000B4CBF" w:rsidRPr="004D46AC" w:rsidRDefault="000B4CBF" w:rsidP="00B518F1">
            <w:pPr>
              <w:spacing w:line="240" w:lineRule="auto"/>
              <w:ind w:firstLine="0"/>
            </w:pPr>
            <w:r w:rsidRPr="004D46AC">
              <w:rPr>
                <w:color w:val="000000"/>
              </w:rPr>
              <w:t>TR37--TR29</w:t>
            </w:r>
          </w:p>
        </w:tc>
        <w:tc>
          <w:tcPr>
            <w:tcW w:w="1704" w:type="dxa"/>
            <w:vAlign w:val="center"/>
          </w:tcPr>
          <w:p w14:paraId="3411172E"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0EB31C8D"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085B02BA" w14:textId="77777777" w:rsidR="000B4CBF" w:rsidRPr="004D46AC" w:rsidRDefault="000B4CBF" w:rsidP="00B518F1">
            <w:pPr>
              <w:spacing w:line="240" w:lineRule="auto"/>
              <w:ind w:firstLine="0"/>
            </w:pPr>
            <w:r w:rsidRPr="004D46AC">
              <w:rPr>
                <w:color w:val="000000"/>
                <w:szCs w:val="21"/>
              </w:rPr>
              <w:t xml:space="preserve">0.77 </w:t>
            </w:r>
          </w:p>
        </w:tc>
        <w:tc>
          <w:tcPr>
            <w:tcW w:w="1705" w:type="dxa"/>
            <w:vAlign w:val="center"/>
          </w:tcPr>
          <w:p w14:paraId="26844136" w14:textId="77777777" w:rsidR="000B4CBF" w:rsidRPr="004D46AC" w:rsidRDefault="000B4CBF" w:rsidP="00B518F1">
            <w:pPr>
              <w:spacing w:line="240" w:lineRule="auto"/>
              <w:ind w:firstLine="0"/>
            </w:pPr>
            <w:r w:rsidRPr="004D46AC">
              <w:rPr>
                <w:color w:val="000000"/>
                <w:szCs w:val="21"/>
              </w:rPr>
              <w:t xml:space="preserve">0.30 </w:t>
            </w:r>
          </w:p>
        </w:tc>
      </w:tr>
      <w:tr w:rsidR="000B4CBF" w:rsidRPr="004D46AC" w14:paraId="632DC34D" w14:textId="77777777" w:rsidTr="00B518F1">
        <w:tc>
          <w:tcPr>
            <w:tcW w:w="1704" w:type="dxa"/>
            <w:vAlign w:val="center"/>
          </w:tcPr>
          <w:p w14:paraId="69158C92" w14:textId="77777777" w:rsidR="000B4CBF" w:rsidRPr="004D46AC" w:rsidRDefault="000B4CBF" w:rsidP="00B518F1">
            <w:pPr>
              <w:spacing w:line="240" w:lineRule="auto"/>
              <w:ind w:firstLine="0"/>
            </w:pPr>
            <w:r w:rsidRPr="004D46AC">
              <w:rPr>
                <w:color w:val="000000"/>
              </w:rPr>
              <w:t>TR9--TR17</w:t>
            </w:r>
          </w:p>
        </w:tc>
        <w:tc>
          <w:tcPr>
            <w:tcW w:w="1704" w:type="dxa"/>
            <w:vAlign w:val="center"/>
          </w:tcPr>
          <w:p w14:paraId="7ABE9CCB"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7D921D31"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6976CDF8" w14:textId="77777777" w:rsidR="000B4CBF" w:rsidRPr="004D46AC" w:rsidRDefault="000B4CBF" w:rsidP="00B518F1">
            <w:pPr>
              <w:spacing w:line="240" w:lineRule="auto"/>
              <w:ind w:firstLine="0"/>
            </w:pPr>
            <w:r w:rsidRPr="004D46AC">
              <w:rPr>
                <w:color w:val="000000"/>
                <w:szCs w:val="21"/>
              </w:rPr>
              <w:t xml:space="preserve">0.75 </w:t>
            </w:r>
          </w:p>
        </w:tc>
        <w:tc>
          <w:tcPr>
            <w:tcW w:w="1705" w:type="dxa"/>
            <w:vAlign w:val="center"/>
          </w:tcPr>
          <w:p w14:paraId="0DC895F6" w14:textId="77777777" w:rsidR="000B4CBF" w:rsidRPr="004D46AC" w:rsidRDefault="000B4CBF" w:rsidP="00B518F1">
            <w:pPr>
              <w:spacing w:line="240" w:lineRule="auto"/>
              <w:ind w:firstLine="0"/>
            </w:pPr>
            <w:r w:rsidRPr="004D46AC">
              <w:rPr>
                <w:color w:val="000000"/>
                <w:szCs w:val="21"/>
              </w:rPr>
              <w:t xml:space="preserve">0.20 </w:t>
            </w:r>
          </w:p>
        </w:tc>
      </w:tr>
      <w:tr w:rsidR="000B4CBF" w:rsidRPr="004D46AC" w14:paraId="0D7C6ABD" w14:textId="77777777" w:rsidTr="00B518F1">
        <w:tc>
          <w:tcPr>
            <w:tcW w:w="1704" w:type="dxa"/>
            <w:vAlign w:val="center"/>
          </w:tcPr>
          <w:p w14:paraId="6DAA3F01" w14:textId="77777777" w:rsidR="000B4CBF" w:rsidRPr="004D46AC" w:rsidRDefault="000B4CBF" w:rsidP="00B518F1">
            <w:pPr>
              <w:spacing w:line="240" w:lineRule="auto"/>
              <w:ind w:firstLine="0"/>
            </w:pPr>
            <w:r w:rsidRPr="004D46AC">
              <w:rPr>
                <w:color w:val="000000"/>
              </w:rPr>
              <w:t>TR21--TR24</w:t>
            </w:r>
          </w:p>
        </w:tc>
        <w:tc>
          <w:tcPr>
            <w:tcW w:w="1704" w:type="dxa"/>
            <w:vAlign w:val="center"/>
          </w:tcPr>
          <w:p w14:paraId="374007FE" w14:textId="77777777" w:rsidR="000B4CBF" w:rsidRPr="004D46AC" w:rsidRDefault="000B4CBF" w:rsidP="00B518F1">
            <w:pPr>
              <w:spacing w:line="240" w:lineRule="auto"/>
              <w:ind w:firstLine="0"/>
            </w:pPr>
            <w:r w:rsidRPr="004D46AC">
              <w:rPr>
                <w:color w:val="000000"/>
                <w:szCs w:val="21"/>
              </w:rPr>
              <w:t xml:space="preserve">0.28 </w:t>
            </w:r>
          </w:p>
        </w:tc>
        <w:tc>
          <w:tcPr>
            <w:tcW w:w="1704" w:type="dxa"/>
            <w:vAlign w:val="center"/>
          </w:tcPr>
          <w:p w14:paraId="2E7F7437"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6A9A2CC2" w14:textId="77777777" w:rsidR="000B4CBF" w:rsidRPr="004D46AC" w:rsidRDefault="000B4CBF" w:rsidP="00B518F1">
            <w:pPr>
              <w:spacing w:line="240" w:lineRule="auto"/>
              <w:ind w:firstLine="0"/>
            </w:pPr>
            <w:r w:rsidRPr="004D46AC">
              <w:rPr>
                <w:color w:val="000000"/>
                <w:szCs w:val="21"/>
              </w:rPr>
              <w:t xml:space="preserve">0.70 </w:t>
            </w:r>
          </w:p>
        </w:tc>
        <w:tc>
          <w:tcPr>
            <w:tcW w:w="1705" w:type="dxa"/>
            <w:vAlign w:val="center"/>
          </w:tcPr>
          <w:p w14:paraId="37B3F2F5" w14:textId="77777777" w:rsidR="000B4CBF" w:rsidRPr="004D46AC" w:rsidRDefault="000B4CBF" w:rsidP="00B518F1">
            <w:pPr>
              <w:spacing w:line="240" w:lineRule="auto"/>
              <w:ind w:firstLine="0"/>
            </w:pPr>
            <w:r w:rsidRPr="004D46AC">
              <w:rPr>
                <w:color w:val="000000"/>
                <w:szCs w:val="21"/>
              </w:rPr>
              <w:t xml:space="preserve">0.25 </w:t>
            </w:r>
          </w:p>
        </w:tc>
      </w:tr>
      <w:tr w:rsidR="000B4CBF" w:rsidRPr="004D46AC" w14:paraId="3B338647" w14:textId="77777777" w:rsidTr="00B518F1">
        <w:tc>
          <w:tcPr>
            <w:tcW w:w="1704" w:type="dxa"/>
            <w:vAlign w:val="center"/>
          </w:tcPr>
          <w:p w14:paraId="79177DF1" w14:textId="77777777" w:rsidR="000B4CBF" w:rsidRPr="004D46AC" w:rsidRDefault="000B4CBF" w:rsidP="00B518F1">
            <w:pPr>
              <w:spacing w:line="240" w:lineRule="auto"/>
              <w:ind w:firstLine="0"/>
            </w:pPr>
            <w:r w:rsidRPr="004D46AC">
              <w:rPr>
                <w:color w:val="000000"/>
              </w:rPr>
              <w:t>TR5--TR23</w:t>
            </w:r>
          </w:p>
        </w:tc>
        <w:tc>
          <w:tcPr>
            <w:tcW w:w="1704" w:type="dxa"/>
            <w:vAlign w:val="center"/>
          </w:tcPr>
          <w:p w14:paraId="154789FA" w14:textId="77777777" w:rsidR="000B4CBF" w:rsidRPr="004D46AC" w:rsidRDefault="000B4CBF" w:rsidP="00B518F1">
            <w:pPr>
              <w:spacing w:line="240" w:lineRule="auto"/>
              <w:ind w:firstLine="0"/>
            </w:pPr>
            <w:r w:rsidRPr="004D46AC">
              <w:rPr>
                <w:color w:val="000000"/>
                <w:szCs w:val="21"/>
              </w:rPr>
              <w:t xml:space="preserve">0.28 </w:t>
            </w:r>
          </w:p>
        </w:tc>
        <w:tc>
          <w:tcPr>
            <w:tcW w:w="1704" w:type="dxa"/>
            <w:vAlign w:val="center"/>
          </w:tcPr>
          <w:p w14:paraId="7485065F"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2E526073" w14:textId="77777777" w:rsidR="000B4CBF" w:rsidRPr="004D46AC" w:rsidRDefault="000B4CBF" w:rsidP="00B518F1">
            <w:pPr>
              <w:spacing w:line="240" w:lineRule="auto"/>
              <w:ind w:firstLine="0"/>
            </w:pPr>
            <w:r w:rsidRPr="004D46AC">
              <w:rPr>
                <w:color w:val="000000"/>
                <w:szCs w:val="21"/>
              </w:rPr>
              <w:t xml:space="preserve">0.78 </w:t>
            </w:r>
          </w:p>
        </w:tc>
        <w:tc>
          <w:tcPr>
            <w:tcW w:w="1705" w:type="dxa"/>
            <w:vAlign w:val="center"/>
          </w:tcPr>
          <w:p w14:paraId="294AF206" w14:textId="77777777" w:rsidR="000B4CBF" w:rsidRPr="004D46AC" w:rsidRDefault="000B4CBF" w:rsidP="00B518F1">
            <w:pPr>
              <w:spacing w:line="240" w:lineRule="auto"/>
              <w:ind w:firstLine="0"/>
            </w:pPr>
            <w:r w:rsidRPr="004D46AC">
              <w:rPr>
                <w:color w:val="000000"/>
                <w:szCs w:val="21"/>
              </w:rPr>
              <w:t xml:space="preserve">0.30 </w:t>
            </w:r>
          </w:p>
        </w:tc>
      </w:tr>
      <w:tr w:rsidR="000B4CBF" w:rsidRPr="004D46AC" w14:paraId="573812F3" w14:textId="77777777" w:rsidTr="00B518F1">
        <w:tc>
          <w:tcPr>
            <w:tcW w:w="1704" w:type="dxa"/>
            <w:vAlign w:val="center"/>
          </w:tcPr>
          <w:p w14:paraId="42B3312D" w14:textId="77777777" w:rsidR="000B4CBF" w:rsidRPr="004D46AC" w:rsidRDefault="000B4CBF" w:rsidP="00B518F1">
            <w:pPr>
              <w:spacing w:line="240" w:lineRule="auto"/>
              <w:ind w:firstLine="0"/>
            </w:pPr>
            <w:r w:rsidRPr="004D46AC">
              <w:rPr>
                <w:color w:val="000000"/>
              </w:rPr>
              <w:t>TR19--TR23</w:t>
            </w:r>
          </w:p>
        </w:tc>
        <w:tc>
          <w:tcPr>
            <w:tcW w:w="1704" w:type="dxa"/>
            <w:vAlign w:val="center"/>
          </w:tcPr>
          <w:p w14:paraId="6F726DF3" w14:textId="77777777" w:rsidR="000B4CBF" w:rsidRPr="004D46AC" w:rsidRDefault="000B4CBF" w:rsidP="00B518F1">
            <w:pPr>
              <w:spacing w:line="240" w:lineRule="auto"/>
              <w:ind w:firstLine="0"/>
            </w:pPr>
            <w:r w:rsidRPr="004D46AC">
              <w:rPr>
                <w:color w:val="000000"/>
                <w:szCs w:val="21"/>
              </w:rPr>
              <w:t xml:space="preserve">0.27 </w:t>
            </w:r>
          </w:p>
        </w:tc>
        <w:tc>
          <w:tcPr>
            <w:tcW w:w="1704" w:type="dxa"/>
            <w:vAlign w:val="center"/>
          </w:tcPr>
          <w:p w14:paraId="13F104FB"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2058D4D9" w14:textId="77777777" w:rsidR="000B4CBF" w:rsidRPr="004D46AC" w:rsidRDefault="000B4CBF" w:rsidP="00B518F1">
            <w:pPr>
              <w:spacing w:line="240" w:lineRule="auto"/>
              <w:ind w:firstLine="0"/>
            </w:pPr>
            <w:r w:rsidRPr="004D46AC">
              <w:rPr>
                <w:color w:val="000000"/>
                <w:szCs w:val="21"/>
              </w:rPr>
              <w:t xml:space="preserve">0.71 </w:t>
            </w:r>
          </w:p>
        </w:tc>
        <w:tc>
          <w:tcPr>
            <w:tcW w:w="1705" w:type="dxa"/>
            <w:vAlign w:val="center"/>
          </w:tcPr>
          <w:p w14:paraId="0AEA3D23" w14:textId="77777777" w:rsidR="000B4CBF" w:rsidRPr="004D46AC" w:rsidRDefault="000B4CBF" w:rsidP="00B518F1">
            <w:pPr>
              <w:spacing w:line="240" w:lineRule="auto"/>
              <w:ind w:firstLine="0"/>
            </w:pPr>
            <w:r w:rsidRPr="004D46AC">
              <w:rPr>
                <w:color w:val="000000"/>
                <w:szCs w:val="21"/>
              </w:rPr>
              <w:t xml:space="preserve">0.23 </w:t>
            </w:r>
          </w:p>
        </w:tc>
      </w:tr>
      <w:tr w:rsidR="000B4CBF" w:rsidRPr="004D46AC" w14:paraId="0FEFEF0B" w14:textId="77777777" w:rsidTr="00B518F1">
        <w:tc>
          <w:tcPr>
            <w:tcW w:w="1704" w:type="dxa"/>
            <w:vAlign w:val="center"/>
          </w:tcPr>
          <w:p w14:paraId="1D3BC6B3" w14:textId="77777777" w:rsidR="000B4CBF" w:rsidRPr="004D46AC" w:rsidRDefault="000B4CBF" w:rsidP="00B518F1">
            <w:pPr>
              <w:spacing w:line="240" w:lineRule="auto"/>
              <w:ind w:firstLine="0"/>
            </w:pPr>
            <w:r w:rsidRPr="004D46AC">
              <w:rPr>
                <w:color w:val="000000"/>
              </w:rPr>
              <w:t>TR6--TR18</w:t>
            </w:r>
          </w:p>
        </w:tc>
        <w:tc>
          <w:tcPr>
            <w:tcW w:w="1704" w:type="dxa"/>
            <w:vAlign w:val="center"/>
          </w:tcPr>
          <w:p w14:paraId="19429360" w14:textId="77777777" w:rsidR="000B4CBF" w:rsidRPr="004D46AC" w:rsidRDefault="000B4CBF" w:rsidP="00B518F1">
            <w:pPr>
              <w:spacing w:line="240" w:lineRule="auto"/>
              <w:ind w:firstLine="0"/>
            </w:pPr>
            <w:r w:rsidRPr="004D46AC">
              <w:rPr>
                <w:color w:val="000000"/>
                <w:szCs w:val="21"/>
              </w:rPr>
              <w:t xml:space="preserve">0.27 </w:t>
            </w:r>
          </w:p>
        </w:tc>
        <w:tc>
          <w:tcPr>
            <w:tcW w:w="1704" w:type="dxa"/>
            <w:vAlign w:val="center"/>
          </w:tcPr>
          <w:p w14:paraId="2A1C9541"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2596AE1D" w14:textId="77777777" w:rsidR="000B4CBF" w:rsidRPr="004D46AC" w:rsidRDefault="000B4CBF" w:rsidP="00B518F1">
            <w:pPr>
              <w:spacing w:line="240" w:lineRule="auto"/>
              <w:ind w:firstLine="0"/>
            </w:pPr>
            <w:r w:rsidRPr="004D46AC">
              <w:rPr>
                <w:color w:val="000000"/>
                <w:szCs w:val="21"/>
              </w:rPr>
              <w:t xml:space="preserve">0.73 </w:t>
            </w:r>
          </w:p>
        </w:tc>
        <w:tc>
          <w:tcPr>
            <w:tcW w:w="1705" w:type="dxa"/>
            <w:vAlign w:val="center"/>
          </w:tcPr>
          <w:p w14:paraId="20A25DA9"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785F506B" w14:textId="77777777" w:rsidTr="00B518F1">
        <w:tc>
          <w:tcPr>
            <w:tcW w:w="1704" w:type="dxa"/>
            <w:vAlign w:val="center"/>
          </w:tcPr>
          <w:p w14:paraId="02B239E3" w14:textId="77777777" w:rsidR="000B4CBF" w:rsidRPr="004D46AC" w:rsidRDefault="000B4CBF" w:rsidP="00B518F1">
            <w:pPr>
              <w:spacing w:line="240" w:lineRule="auto"/>
              <w:ind w:firstLine="0"/>
            </w:pPr>
            <w:r w:rsidRPr="004D46AC">
              <w:rPr>
                <w:color w:val="000000"/>
              </w:rPr>
              <w:t>TR17--TR29</w:t>
            </w:r>
          </w:p>
        </w:tc>
        <w:tc>
          <w:tcPr>
            <w:tcW w:w="1704" w:type="dxa"/>
            <w:vAlign w:val="center"/>
          </w:tcPr>
          <w:p w14:paraId="0A63787C" w14:textId="77777777" w:rsidR="000B4CBF" w:rsidRPr="004D46AC" w:rsidRDefault="000B4CBF" w:rsidP="00B518F1">
            <w:pPr>
              <w:spacing w:line="240" w:lineRule="auto"/>
              <w:ind w:firstLine="0"/>
            </w:pPr>
            <w:r w:rsidRPr="004D46AC">
              <w:rPr>
                <w:color w:val="000000"/>
                <w:szCs w:val="21"/>
              </w:rPr>
              <w:t xml:space="preserve">0.27 </w:t>
            </w:r>
          </w:p>
        </w:tc>
        <w:tc>
          <w:tcPr>
            <w:tcW w:w="1704" w:type="dxa"/>
            <w:vAlign w:val="center"/>
          </w:tcPr>
          <w:p w14:paraId="2511D750"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387DCD41" w14:textId="77777777" w:rsidR="000B4CBF" w:rsidRPr="004D46AC" w:rsidRDefault="000B4CBF" w:rsidP="00B518F1">
            <w:pPr>
              <w:spacing w:line="240" w:lineRule="auto"/>
              <w:ind w:firstLine="0"/>
            </w:pPr>
            <w:r w:rsidRPr="004D46AC">
              <w:rPr>
                <w:color w:val="000000"/>
                <w:szCs w:val="21"/>
              </w:rPr>
              <w:t xml:space="preserve">0.74 </w:t>
            </w:r>
          </w:p>
        </w:tc>
        <w:tc>
          <w:tcPr>
            <w:tcW w:w="1705" w:type="dxa"/>
            <w:vAlign w:val="center"/>
          </w:tcPr>
          <w:p w14:paraId="4D37FFDB" w14:textId="77777777" w:rsidR="000B4CBF" w:rsidRPr="004D46AC" w:rsidRDefault="000B4CBF" w:rsidP="00B518F1">
            <w:pPr>
              <w:spacing w:line="240" w:lineRule="auto"/>
              <w:ind w:firstLine="0"/>
            </w:pPr>
            <w:r w:rsidRPr="004D46AC">
              <w:rPr>
                <w:color w:val="000000"/>
                <w:szCs w:val="21"/>
              </w:rPr>
              <w:t xml:space="preserve">0.26 </w:t>
            </w:r>
          </w:p>
        </w:tc>
      </w:tr>
      <w:tr w:rsidR="000B4CBF" w:rsidRPr="004D46AC" w14:paraId="64EFFC06" w14:textId="77777777" w:rsidTr="00B518F1">
        <w:tc>
          <w:tcPr>
            <w:tcW w:w="1704" w:type="dxa"/>
            <w:vAlign w:val="center"/>
          </w:tcPr>
          <w:p w14:paraId="7B9D0D3B" w14:textId="77777777" w:rsidR="000B4CBF" w:rsidRPr="004D46AC" w:rsidRDefault="000B4CBF" w:rsidP="00B518F1">
            <w:pPr>
              <w:spacing w:line="240" w:lineRule="auto"/>
              <w:ind w:firstLine="0"/>
            </w:pPr>
            <w:r w:rsidRPr="004D46AC">
              <w:rPr>
                <w:color w:val="000000"/>
              </w:rPr>
              <w:t>TR18--TR33</w:t>
            </w:r>
          </w:p>
        </w:tc>
        <w:tc>
          <w:tcPr>
            <w:tcW w:w="1704" w:type="dxa"/>
            <w:vAlign w:val="center"/>
          </w:tcPr>
          <w:p w14:paraId="53119415" w14:textId="77777777" w:rsidR="000B4CBF" w:rsidRPr="004D46AC" w:rsidRDefault="000B4CBF" w:rsidP="00B518F1">
            <w:pPr>
              <w:spacing w:line="240" w:lineRule="auto"/>
              <w:ind w:firstLine="0"/>
            </w:pPr>
            <w:r w:rsidRPr="004D46AC">
              <w:rPr>
                <w:color w:val="000000"/>
                <w:szCs w:val="21"/>
              </w:rPr>
              <w:t xml:space="preserve">0.26 </w:t>
            </w:r>
          </w:p>
        </w:tc>
        <w:tc>
          <w:tcPr>
            <w:tcW w:w="1704" w:type="dxa"/>
            <w:vAlign w:val="center"/>
          </w:tcPr>
          <w:p w14:paraId="646AC903"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6FAE5AB1" w14:textId="77777777" w:rsidR="000B4CBF" w:rsidRPr="004D46AC" w:rsidRDefault="000B4CBF" w:rsidP="00B518F1">
            <w:pPr>
              <w:spacing w:line="240" w:lineRule="auto"/>
              <w:ind w:firstLine="0"/>
            </w:pPr>
            <w:r w:rsidRPr="004D46AC">
              <w:rPr>
                <w:color w:val="000000"/>
                <w:szCs w:val="21"/>
              </w:rPr>
              <w:t xml:space="preserve">0.73 </w:t>
            </w:r>
          </w:p>
        </w:tc>
        <w:tc>
          <w:tcPr>
            <w:tcW w:w="1705" w:type="dxa"/>
            <w:vAlign w:val="center"/>
          </w:tcPr>
          <w:p w14:paraId="0EDA3A01" w14:textId="77777777" w:rsidR="000B4CBF" w:rsidRPr="004D46AC" w:rsidRDefault="000B4CBF" w:rsidP="00B518F1">
            <w:pPr>
              <w:spacing w:line="240" w:lineRule="auto"/>
              <w:ind w:firstLine="0"/>
            </w:pPr>
            <w:r w:rsidRPr="004D46AC">
              <w:rPr>
                <w:color w:val="000000"/>
                <w:szCs w:val="21"/>
              </w:rPr>
              <w:t xml:space="preserve">0.30 </w:t>
            </w:r>
          </w:p>
        </w:tc>
      </w:tr>
      <w:tr w:rsidR="000B4CBF" w:rsidRPr="004D46AC" w14:paraId="2B17C17A" w14:textId="77777777" w:rsidTr="00B518F1">
        <w:tc>
          <w:tcPr>
            <w:tcW w:w="1704" w:type="dxa"/>
            <w:vAlign w:val="center"/>
          </w:tcPr>
          <w:p w14:paraId="65A44CD7" w14:textId="77777777" w:rsidR="000B4CBF" w:rsidRPr="004D46AC" w:rsidRDefault="000B4CBF" w:rsidP="00B518F1">
            <w:pPr>
              <w:spacing w:line="240" w:lineRule="auto"/>
              <w:ind w:firstLine="0"/>
            </w:pPr>
            <w:r w:rsidRPr="004D46AC">
              <w:rPr>
                <w:color w:val="000000"/>
              </w:rPr>
              <w:t>TR14--TR25</w:t>
            </w:r>
          </w:p>
        </w:tc>
        <w:tc>
          <w:tcPr>
            <w:tcW w:w="1704" w:type="dxa"/>
            <w:vAlign w:val="center"/>
          </w:tcPr>
          <w:p w14:paraId="6B24CC10" w14:textId="77777777" w:rsidR="000B4CBF" w:rsidRPr="004D46AC" w:rsidRDefault="000B4CBF" w:rsidP="00B518F1">
            <w:pPr>
              <w:spacing w:line="240" w:lineRule="auto"/>
              <w:ind w:firstLine="0"/>
            </w:pPr>
            <w:r w:rsidRPr="004D46AC">
              <w:rPr>
                <w:color w:val="000000"/>
                <w:szCs w:val="21"/>
              </w:rPr>
              <w:t xml:space="preserve">0.26 </w:t>
            </w:r>
          </w:p>
        </w:tc>
        <w:tc>
          <w:tcPr>
            <w:tcW w:w="1704" w:type="dxa"/>
            <w:vAlign w:val="center"/>
          </w:tcPr>
          <w:p w14:paraId="7DB57A98"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362D11EE" w14:textId="77777777" w:rsidR="000B4CBF" w:rsidRPr="004D46AC" w:rsidRDefault="000B4CBF" w:rsidP="00B518F1">
            <w:pPr>
              <w:spacing w:line="240" w:lineRule="auto"/>
              <w:ind w:firstLine="0"/>
            </w:pPr>
            <w:r w:rsidRPr="004D46AC">
              <w:rPr>
                <w:color w:val="000000"/>
                <w:szCs w:val="21"/>
              </w:rPr>
              <w:t xml:space="preserve">0.69 </w:t>
            </w:r>
          </w:p>
        </w:tc>
        <w:tc>
          <w:tcPr>
            <w:tcW w:w="1705" w:type="dxa"/>
            <w:vAlign w:val="center"/>
          </w:tcPr>
          <w:p w14:paraId="7A15A2E9" w14:textId="77777777" w:rsidR="000B4CBF" w:rsidRPr="004D46AC" w:rsidRDefault="000B4CBF" w:rsidP="00B518F1">
            <w:pPr>
              <w:spacing w:line="240" w:lineRule="auto"/>
              <w:ind w:firstLine="0"/>
            </w:pPr>
            <w:r w:rsidRPr="004D46AC">
              <w:rPr>
                <w:color w:val="000000"/>
                <w:szCs w:val="21"/>
              </w:rPr>
              <w:t xml:space="preserve">0.16 </w:t>
            </w:r>
          </w:p>
        </w:tc>
      </w:tr>
      <w:tr w:rsidR="000B4CBF" w:rsidRPr="004D46AC" w14:paraId="3E429A10" w14:textId="77777777" w:rsidTr="00B518F1">
        <w:tc>
          <w:tcPr>
            <w:tcW w:w="1704" w:type="dxa"/>
            <w:vAlign w:val="center"/>
          </w:tcPr>
          <w:p w14:paraId="49663079" w14:textId="77777777" w:rsidR="000B4CBF" w:rsidRPr="004D46AC" w:rsidRDefault="000B4CBF" w:rsidP="00B518F1">
            <w:pPr>
              <w:spacing w:line="240" w:lineRule="auto"/>
              <w:ind w:firstLine="0"/>
            </w:pPr>
            <w:r w:rsidRPr="004D46AC">
              <w:rPr>
                <w:color w:val="000000"/>
              </w:rPr>
              <w:t>TR7--TR23</w:t>
            </w:r>
          </w:p>
        </w:tc>
        <w:tc>
          <w:tcPr>
            <w:tcW w:w="1704" w:type="dxa"/>
            <w:vAlign w:val="center"/>
          </w:tcPr>
          <w:p w14:paraId="705E72E9" w14:textId="77777777" w:rsidR="000B4CBF" w:rsidRPr="004D46AC" w:rsidRDefault="000B4CBF" w:rsidP="00B518F1">
            <w:pPr>
              <w:spacing w:line="240" w:lineRule="auto"/>
              <w:ind w:firstLine="0"/>
            </w:pPr>
            <w:r w:rsidRPr="004D46AC">
              <w:rPr>
                <w:color w:val="000000"/>
                <w:szCs w:val="21"/>
              </w:rPr>
              <w:t xml:space="preserve">0.26 </w:t>
            </w:r>
          </w:p>
        </w:tc>
        <w:tc>
          <w:tcPr>
            <w:tcW w:w="1704" w:type="dxa"/>
            <w:vAlign w:val="center"/>
          </w:tcPr>
          <w:p w14:paraId="726B567E"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1AE217BC" w14:textId="77777777" w:rsidR="000B4CBF" w:rsidRPr="004D46AC" w:rsidRDefault="000B4CBF" w:rsidP="00B518F1">
            <w:pPr>
              <w:spacing w:line="240" w:lineRule="auto"/>
              <w:ind w:firstLine="0"/>
            </w:pPr>
            <w:r w:rsidRPr="004D46AC">
              <w:rPr>
                <w:color w:val="000000"/>
                <w:szCs w:val="21"/>
              </w:rPr>
              <w:t xml:space="preserve">0.71 </w:t>
            </w:r>
          </w:p>
        </w:tc>
        <w:tc>
          <w:tcPr>
            <w:tcW w:w="1705" w:type="dxa"/>
            <w:vAlign w:val="center"/>
          </w:tcPr>
          <w:p w14:paraId="6EB559CA" w14:textId="77777777" w:rsidR="000B4CBF" w:rsidRPr="004D46AC" w:rsidRDefault="000B4CBF" w:rsidP="00B518F1">
            <w:pPr>
              <w:spacing w:line="240" w:lineRule="auto"/>
              <w:ind w:firstLine="0"/>
            </w:pPr>
            <w:r w:rsidRPr="004D46AC">
              <w:rPr>
                <w:color w:val="000000"/>
                <w:szCs w:val="21"/>
              </w:rPr>
              <w:t xml:space="preserve">0.21 </w:t>
            </w:r>
          </w:p>
        </w:tc>
      </w:tr>
      <w:tr w:rsidR="000B4CBF" w:rsidRPr="004D46AC" w14:paraId="584ABFD0" w14:textId="77777777" w:rsidTr="00B518F1">
        <w:tc>
          <w:tcPr>
            <w:tcW w:w="1704" w:type="dxa"/>
            <w:vAlign w:val="center"/>
          </w:tcPr>
          <w:p w14:paraId="1C1D1F12" w14:textId="77777777" w:rsidR="000B4CBF" w:rsidRPr="004D46AC" w:rsidRDefault="000B4CBF" w:rsidP="00B518F1">
            <w:pPr>
              <w:spacing w:line="240" w:lineRule="auto"/>
              <w:ind w:firstLine="0"/>
            </w:pPr>
            <w:r w:rsidRPr="004D46AC">
              <w:rPr>
                <w:color w:val="000000"/>
              </w:rPr>
              <w:t>TR7--TR19</w:t>
            </w:r>
          </w:p>
        </w:tc>
        <w:tc>
          <w:tcPr>
            <w:tcW w:w="1704" w:type="dxa"/>
            <w:vAlign w:val="center"/>
          </w:tcPr>
          <w:p w14:paraId="243DC56A" w14:textId="77777777" w:rsidR="000B4CBF" w:rsidRPr="004D46AC" w:rsidRDefault="000B4CBF" w:rsidP="00B518F1">
            <w:pPr>
              <w:spacing w:line="240" w:lineRule="auto"/>
              <w:ind w:firstLine="0"/>
            </w:pPr>
            <w:r w:rsidRPr="004D46AC">
              <w:rPr>
                <w:color w:val="000000"/>
                <w:szCs w:val="21"/>
              </w:rPr>
              <w:t xml:space="preserve">0.25 </w:t>
            </w:r>
          </w:p>
        </w:tc>
        <w:tc>
          <w:tcPr>
            <w:tcW w:w="1704" w:type="dxa"/>
            <w:vAlign w:val="center"/>
          </w:tcPr>
          <w:p w14:paraId="70CB3F1C"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4040F993" w14:textId="77777777" w:rsidR="000B4CBF" w:rsidRPr="004D46AC" w:rsidRDefault="000B4CBF" w:rsidP="00B518F1">
            <w:pPr>
              <w:spacing w:line="240" w:lineRule="auto"/>
              <w:ind w:firstLine="0"/>
            </w:pPr>
            <w:r w:rsidRPr="004D46AC">
              <w:rPr>
                <w:color w:val="000000"/>
                <w:szCs w:val="21"/>
              </w:rPr>
              <w:t xml:space="preserve">0.70 </w:t>
            </w:r>
          </w:p>
        </w:tc>
        <w:tc>
          <w:tcPr>
            <w:tcW w:w="1705" w:type="dxa"/>
            <w:vAlign w:val="center"/>
          </w:tcPr>
          <w:p w14:paraId="17B36588" w14:textId="77777777" w:rsidR="000B4CBF" w:rsidRPr="004D46AC" w:rsidRDefault="000B4CBF" w:rsidP="00B518F1">
            <w:pPr>
              <w:spacing w:line="240" w:lineRule="auto"/>
              <w:ind w:firstLine="0"/>
            </w:pPr>
            <w:r w:rsidRPr="004D46AC">
              <w:rPr>
                <w:color w:val="000000"/>
                <w:szCs w:val="21"/>
              </w:rPr>
              <w:t xml:space="preserve">0.26 </w:t>
            </w:r>
          </w:p>
        </w:tc>
      </w:tr>
      <w:tr w:rsidR="000B4CBF" w:rsidRPr="004D46AC" w14:paraId="00C12ECF" w14:textId="77777777" w:rsidTr="00B518F1">
        <w:tc>
          <w:tcPr>
            <w:tcW w:w="1704" w:type="dxa"/>
            <w:vAlign w:val="center"/>
          </w:tcPr>
          <w:p w14:paraId="46AD6B40" w14:textId="77777777" w:rsidR="000B4CBF" w:rsidRPr="004D46AC" w:rsidRDefault="000B4CBF" w:rsidP="00B518F1">
            <w:pPr>
              <w:spacing w:line="240" w:lineRule="auto"/>
              <w:ind w:firstLine="0"/>
            </w:pPr>
            <w:r w:rsidRPr="004D46AC">
              <w:rPr>
                <w:color w:val="000000"/>
              </w:rPr>
              <w:t>TR7--TR26</w:t>
            </w:r>
          </w:p>
        </w:tc>
        <w:tc>
          <w:tcPr>
            <w:tcW w:w="1704" w:type="dxa"/>
            <w:vAlign w:val="center"/>
          </w:tcPr>
          <w:p w14:paraId="05F8442E" w14:textId="77777777" w:rsidR="000B4CBF" w:rsidRPr="004D46AC" w:rsidRDefault="000B4CBF" w:rsidP="00B518F1">
            <w:pPr>
              <w:spacing w:line="240" w:lineRule="auto"/>
              <w:ind w:firstLine="0"/>
            </w:pPr>
            <w:r w:rsidRPr="004D46AC">
              <w:rPr>
                <w:color w:val="000000"/>
                <w:szCs w:val="21"/>
              </w:rPr>
              <w:t xml:space="preserve">0.24 </w:t>
            </w:r>
          </w:p>
        </w:tc>
        <w:tc>
          <w:tcPr>
            <w:tcW w:w="1704" w:type="dxa"/>
            <w:vAlign w:val="center"/>
          </w:tcPr>
          <w:p w14:paraId="205C4898"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0F59A552" w14:textId="77777777" w:rsidR="000B4CBF" w:rsidRPr="004D46AC" w:rsidRDefault="000B4CBF" w:rsidP="00B518F1">
            <w:pPr>
              <w:spacing w:line="240" w:lineRule="auto"/>
              <w:ind w:firstLine="0"/>
            </w:pPr>
            <w:r w:rsidRPr="004D46AC">
              <w:rPr>
                <w:color w:val="000000"/>
                <w:szCs w:val="21"/>
              </w:rPr>
              <w:t xml:space="preserve">0.71 </w:t>
            </w:r>
          </w:p>
        </w:tc>
        <w:tc>
          <w:tcPr>
            <w:tcW w:w="1705" w:type="dxa"/>
            <w:vAlign w:val="center"/>
          </w:tcPr>
          <w:p w14:paraId="7D27F3CE" w14:textId="77777777" w:rsidR="000B4CBF" w:rsidRPr="004D46AC" w:rsidRDefault="000B4CBF" w:rsidP="00B518F1">
            <w:pPr>
              <w:spacing w:line="240" w:lineRule="auto"/>
              <w:ind w:firstLine="0"/>
            </w:pPr>
            <w:r w:rsidRPr="004D46AC">
              <w:rPr>
                <w:color w:val="000000"/>
                <w:szCs w:val="21"/>
              </w:rPr>
              <w:t xml:space="preserve">0.30 </w:t>
            </w:r>
          </w:p>
        </w:tc>
      </w:tr>
      <w:tr w:rsidR="000B4CBF" w:rsidRPr="004D46AC" w14:paraId="65AEF799" w14:textId="77777777" w:rsidTr="00B518F1">
        <w:tc>
          <w:tcPr>
            <w:tcW w:w="1704" w:type="dxa"/>
            <w:vAlign w:val="center"/>
          </w:tcPr>
          <w:p w14:paraId="0E2D702D" w14:textId="77777777" w:rsidR="000B4CBF" w:rsidRPr="004D46AC" w:rsidRDefault="000B4CBF" w:rsidP="00B518F1">
            <w:pPr>
              <w:spacing w:line="240" w:lineRule="auto"/>
              <w:ind w:firstLine="0"/>
            </w:pPr>
            <w:r w:rsidRPr="004D46AC">
              <w:rPr>
                <w:color w:val="000000"/>
              </w:rPr>
              <w:t>TR3--TR15</w:t>
            </w:r>
          </w:p>
        </w:tc>
        <w:tc>
          <w:tcPr>
            <w:tcW w:w="1704" w:type="dxa"/>
            <w:vAlign w:val="center"/>
          </w:tcPr>
          <w:p w14:paraId="003531F0" w14:textId="77777777" w:rsidR="000B4CBF" w:rsidRPr="004D46AC" w:rsidRDefault="000B4CBF" w:rsidP="00B518F1">
            <w:pPr>
              <w:spacing w:line="240" w:lineRule="auto"/>
              <w:ind w:firstLine="0"/>
            </w:pPr>
            <w:r w:rsidRPr="004D46AC">
              <w:rPr>
                <w:color w:val="000000"/>
                <w:szCs w:val="21"/>
              </w:rPr>
              <w:t xml:space="preserve">0.24 </w:t>
            </w:r>
          </w:p>
        </w:tc>
        <w:tc>
          <w:tcPr>
            <w:tcW w:w="1704" w:type="dxa"/>
            <w:vAlign w:val="center"/>
          </w:tcPr>
          <w:p w14:paraId="13C97D06"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33CE0D2F" w14:textId="77777777" w:rsidR="000B4CBF" w:rsidRPr="004D46AC" w:rsidRDefault="000B4CBF" w:rsidP="00B518F1">
            <w:pPr>
              <w:spacing w:line="240" w:lineRule="auto"/>
              <w:ind w:firstLine="0"/>
            </w:pPr>
            <w:r w:rsidRPr="004D46AC">
              <w:rPr>
                <w:color w:val="000000"/>
                <w:szCs w:val="21"/>
              </w:rPr>
              <w:t xml:space="preserve">0.69 </w:t>
            </w:r>
          </w:p>
        </w:tc>
        <w:tc>
          <w:tcPr>
            <w:tcW w:w="1705" w:type="dxa"/>
            <w:vAlign w:val="center"/>
          </w:tcPr>
          <w:p w14:paraId="02DCA4E8" w14:textId="77777777" w:rsidR="000B4CBF" w:rsidRPr="004D46AC" w:rsidRDefault="000B4CBF" w:rsidP="00B518F1">
            <w:pPr>
              <w:spacing w:line="240" w:lineRule="auto"/>
              <w:ind w:firstLine="0"/>
            </w:pPr>
            <w:r w:rsidRPr="004D46AC">
              <w:rPr>
                <w:color w:val="000000"/>
                <w:szCs w:val="21"/>
              </w:rPr>
              <w:t xml:space="preserve">0.28 </w:t>
            </w:r>
          </w:p>
        </w:tc>
      </w:tr>
      <w:tr w:rsidR="000B4CBF" w:rsidRPr="004D46AC" w14:paraId="25572AED" w14:textId="77777777" w:rsidTr="00B518F1">
        <w:tc>
          <w:tcPr>
            <w:tcW w:w="1704" w:type="dxa"/>
            <w:vAlign w:val="center"/>
          </w:tcPr>
          <w:p w14:paraId="045DA5F2" w14:textId="77777777" w:rsidR="000B4CBF" w:rsidRPr="004D46AC" w:rsidRDefault="000B4CBF" w:rsidP="00B518F1">
            <w:pPr>
              <w:spacing w:line="240" w:lineRule="auto"/>
              <w:ind w:firstLine="0"/>
            </w:pPr>
            <w:r w:rsidRPr="004D46AC">
              <w:rPr>
                <w:color w:val="000000"/>
              </w:rPr>
              <w:t>TR21--TR18</w:t>
            </w:r>
          </w:p>
        </w:tc>
        <w:tc>
          <w:tcPr>
            <w:tcW w:w="1704" w:type="dxa"/>
            <w:vAlign w:val="center"/>
          </w:tcPr>
          <w:p w14:paraId="17B3D49D" w14:textId="77777777" w:rsidR="000B4CBF" w:rsidRPr="004D46AC" w:rsidRDefault="000B4CBF" w:rsidP="00B518F1">
            <w:pPr>
              <w:spacing w:line="240" w:lineRule="auto"/>
              <w:ind w:firstLine="0"/>
            </w:pPr>
            <w:r w:rsidRPr="004D46AC">
              <w:rPr>
                <w:color w:val="000000"/>
                <w:szCs w:val="21"/>
              </w:rPr>
              <w:t xml:space="preserve">0.23 </w:t>
            </w:r>
          </w:p>
        </w:tc>
        <w:tc>
          <w:tcPr>
            <w:tcW w:w="1704" w:type="dxa"/>
            <w:vAlign w:val="center"/>
          </w:tcPr>
          <w:p w14:paraId="68F03824"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62A6A441" w14:textId="77777777" w:rsidR="000B4CBF" w:rsidRPr="004D46AC" w:rsidRDefault="000B4CBF" w:rsidP="00B518F1">
            <w:pPr>
              <w:spacing w:line="240" w:lineRule="auto"/>
              <w:ind w:firstLine="0"/>
            </w:pPr>
            <w:r w:rsidRPr="004D46AC">
              <w:rPr>
                <w:color w:val="000000"/>
                <w:szCs w:val="21"/>
              </w:rPr>
              <w:t xml:space="preserve">0.67 </w:t>
            </w:r>
          </w:p>
        </w:tc>
        <w:tc>
          <w:tcPr>
            <w:tcW w:w="1705" w:type="dxa"/>
            <w:vAlign w:val="center"/>
          </w:tcPr>
          <w:p w14:paraId="2DF83006" w14:textId="77777777" w:rsidR="000B4CBF" w:rsidRPr="004D46AC" w:rsidRDefault="000B4CBF" w:rsidP="00B518F1">
            <w:pPr>
              <w:spacing w:line="240" w:lineRule="auto"/>
              <w:ind w:firstLine="0"/>
            </w:pPr>
            <w:r w:rsidRPr="004D46AC">
              <w:rPr>
                <w:color w:val="000000"/>
                <w:szCs w:val="21"/>
              </w:rPr>
              <w:t xml:space="preserve">0.38 </w:t>
            </w:r>
          </w:p>
        </w:tc>
      </w:tr>
      <w:tr w:rsidR="000B4CBF" w:rsidRPr="004D46AC" w14:paraId="6570BE3B" w14:textId="77777777" w:rsidTr="00B518F1">
        <w:tc>
          <w:tcPr>
            <w:tcW w:w="1704" w:type="dxa"/>
            <w:vAlign w:val="center"/>
          </w:tcPr>
          <w:p w14:paraId="1C168A49" w14:textId="77777777" w:rsidR="000B4CBF" w:rsidRPr="004D46AC" w:rsidRDefault="000B4CBF" w:rsidP="00B518F1">
            <w:pPr>
              <w:spacing w:line="240" w:lineRule="auto"/>
              <w:ind w:firstLine="0"/>
            </w:pPr>
            <w:r w:rsidRPr="004D46AC">
              <w:rPr>
                <w:color w:val="000000"/>
              </w:rPr>
              <w:t>TR12--TR15</w:t>
            </w:r>
          </w:p>
        </w:tc>
        <w:tc>
          <w:tcPr>
            <w:tcW w:w="1704" w:type="dxa"/>
            <w:vAlign w:val="center"/>
          </w:tcPr>
          <w:p w14:paraId="27C3D13C" w14:textId="77777777" w:rsidR="000B4CBF" w:rsidRPr="004D46AC" w:rsidRDefault="000B4CBF" w:rsidP="00B518F1">
            <w:pPr>
              <w:spacing w:line="240" w:lineRule="auto"/>
              <w:ind w:firstLine="0"/>
            </w:pPr>
            <w:r w:rsidRPr="004D46AC">
              <w:rPr>
                <w:color w:val="000000"/>
                <w:szCs w:val="21"/>
              </w:rPr>
              <w:t xml:space="preserve">0.23 </w:t>
            </w:r>
          </w:p>
        </w:tc>
        <w:tc>
          <w:tcPr>
            <w:tcW w:w="1704" w:type="dxa"/>
            <w:vAlign w:val="center"/>
          </w:tcPr>
          <w:p w14:paraId="1E3EC5E9"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693B50B0" w14:textId="77777777" w:rsidR="000B4CBF" w:rsidRPr="004D46AC" w:rsidRDefault="000B4CBF" w:rsidP="00B518F1">
            <w:pPr>
              <w:spacing w:line="240" w:lineRule="auto"/>
              <w:ind w:firstLine="0"/>
            </w:pPr>
            <w:r w:rsidRPr="004D46AC">
              <w:rPr>
                <w:color w:val="000000"/>
                <w:szCs w:val="21"/>
              </w:rPr>
              <w:t xml:space="preserve">0.63 </w:t>
            </w:r>
          </w:p>
        </w:tc>
        <w:tc>
          <w:tcPr>
            <w:tcW w:w="1705" w:type="dxa"/>
            <w:vAlign w:val="center"/>
          </w:tcPr>
          <w:p w14:paraId="23934FFF" w14:textId="77777777" w:rsidR="000B4CBF" w:rsidRPr="004D46AC" w:rsidRDefault="000B4CBF" w:rsidP="00B518F1">
            <w:pPr>
              <w:spacing w:line="240" w:lineRule="auto"/>
              <w:ind w:firstLine="0"/>
            </w:pPr>
            <w:r w:rsidRPr="004D46AC">
              <w:rPr>
                <w:color w:val="000000"/>
                <w:szCs w:val="21"/>
              </w:rPr>
              <w:t xml:space="preserve">0.45 </w:t>
            </w:r>
          </w:p>
        </w:tc>
      </w:tr>
      <w:tr w:rsidR="000B4CBF" w:rsidRPr="004D46AC" w14:paraId="515EB459" w14:textId="77777777" w:rsidTr="00B518F1">
        <w:tc>
          <w:tcPr>
            <w:tcW w:w="1704" w:type="dxa"/>
            <w:vAlign w:val="center"/>
          </w:tcPr>
          <w:p w14:paraId="313EBA0C" w14:textId="77777777" w:rsidR="000B4CBF" w:rsidRPr="004D46AC" w:rsidRDefault="000B4CBF" w:rsidP="00B518F1">
            <w:pPr>
              <w:spacing w:line="240" w:lineRule="auto"/>
              <w:ind w:firstLine="0"/>
            </w:pPr>
            <w:r w:rsidRPr="004D46AC">
              <w:rPr>
                <w:color w:val="000000"/>
              </w:rPr>
              <w:t>TR15--TR21</w:t>
            </w:r>
          </w:p>
        </w:tc>
        <w:tc>
          <w:tcPr>
            <w:tcW w:w="1704" w:type="dxa"/>
            <w:vAlign w:val="center"/>
          </w:tcPr>
          <w:p w14:paraId="4E742551" w14:textId="77777777" w:rsidR="000B4CBF" w:rsidRPr="004D46AC" w:rsidRDefault="000B4CBF" w:rsidP="00B518F1">
            <w:pPr>
              <w:spacing w:line="240" w:lineRule="auto"/>
              <w:ind w:firstLine="0"/>
            </w:pPr>
            <w:r w:rsidRPr="004D46AC">
              <w:rPr>
                <w:color w:val="000000"/>
                <w:szCs w:val="21"/>
              </w:rPr>
              <w:t xml:space="preserve">0.22 </w:t>
            </w:r>
          </w:p>
        </w:tc>
        <w:tc>
          <w:tcPr>
            <w:tcW w:w="1704" w:type="dxa"/>
            <w:vAlign w:val="center"/>
          </w:tcPr>
          <w:p w14:paraId="58C86ECA"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1C4F1779" w14:textId="77777777" w:rsidR="000B4CBF" w:rsidRPr="004D46AC" w:rsidRDefault="000B4CBF" w:rsidP="00B518F1">
            <w:pPr>
              <w:spacing w:line="240" w:lineRule="auto"/>
              <w:ind w:firstLine="0"/>
            </w:pPr>
            <w:r w:rsidRPr="004D46AC">
              <w:rPr>
                <w:color w:val="000000"/>
                <w:szCs w:val="21"/>
              </w:rPr>
              <w:t xml:space="preserve">0.67 </w:t>
            </w:r>
          </w:p>
        </w:tc>
        <w:tc>
          <w:tcPr>
            <w:tcW w:w="1705" w:type="dxa"/>
            <w:vAlign w:val="center"/>
          </w:tcPr>
          <w:p w14:paraId="21443980" w14:textId="77777777" w:rsidR="000B4CBF" w:rsidRPr="004D46AC" w:rsidRDefault="000B4CBF" w:rsidP="00B518F1">
            <w:pPr>
              <w:spacing w:line="240" w:lineRule="auto"/>
              <w:ind w:firstLine="0"/>
            </w:pPr>
            <w:r w:rsidRPr="004D46AC">
              <w:rPr>
                <w:color w:val="000000"/>
                <w:szCs w:val="21"/>
              </w:rPr>
              <w:t xml:space="preserve">0.37 </w:t>
            </w:r>
          </w:p>
        </w:tc>
      </w:tr>
      <w:tr w:rsidR="000B4CBF" w:rsidRPr="004D46AC" w14:paraId="18632336" w14:textId="77777777" w:rsidTr="00B518F1">
        <w:tc>
          <w:tcPr>
            <w:tcW w:w="1704" w:type="dxa"/>
            <w:vAlign w:val="center"/>
          </w:tcPr>
          <w:p w14:paraId="393993CC" w14:textId="77777777" w:rsidR="000B4CBF" w:rsidRPr="004D46AC" w:rsidRDefault="000B4CBF" w:rsidP="00B518F1">
            <w:pPr>
              <w:spacing w:line="240" w:lineRule="auto"/>
              <w:ind w:firstLine="0"/>
            </w:pPr>
            <w:r w:rsidRPr="004D46AC">
              <w:rPr>
                <w:color w:val="000000"/>
              </w:rPr>
              <w:t>TR26--TR33</w:t>
            </w:r>
          </w:p>
        </w:tc>
        <w:tc>
          <w:tcPr>
            <w:tcW w:w="1704" w:type="dxa"/>
            <w:vAlign w:val="center"/>
          </w:tcPr>
          <w:p w14:paraId="70E7CE4D" w14:textId="77777777" w:rsidR="000B4CBF" w:rsidRPr="004D46AC" w:rsidRDefault="000B4CBF" w:rsidP="00B518F1">
            <w:pPr>
              <w:spacing w:line="240" w:lineRule="auto"/>
              <w:ind w:firstLine="0"/>
            </w:pPr>
            <w:r w:rsidRPr="004D46AC">
              <w:rPr>
                <w:color w:val="000000"/>
                <w:szCs w:val="21"/>
              </w:rPr>
              <w:t xml:space="preserve">0.22 </w:t>
            </w:r>
          </w:p>
        </w:tc>
        <w:tc>
          <w:tcPr>
            <w:tcW w:w="1704" w:type="dxa"/>
            <w:vAlign w:val="center"/>
          </w:tcPr>
          <w:p w14:paraId="07E24DF9"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0FD5EF73" w14:textId="77777777" w:rsidR="000B4CBF" w:rsidRPr="004D46AC" w:rsidRDefault="000B4CBF" w:rsidP="00B518F1">
            <w:pPr>
              <w:spacing w:line="240" w:lineRule="auto"/>
              <w:ind w:firstLine="0"/>
            </w:pPr>
            <w:r w:rsidRPr="004D46AC">
              <w:rPr>
                <w:color w:val="000000"/>
                <w:szCs w:val="21"/>
              </w:rPr>
              <w:t xml:space="preserve">0.65 </w:t>
            </w:r>
          </w:p>
        </w:tc>
        <w:tc>
          <w:tcPr>
            <w:tcW w:w="1705" w:type="dxa"/>
            <w:vAlign w:val="center"/>
          </w:tcPr>
          <w:p w14:paraId="1D4FC5C7" w14:textId="77777777" w:rsidR="000B4CBF" w:rsidRPr="004D46AC" w:rsidRDefault="000B4CBF" w:rsidP="00B518F1">
            <w:pPr>
              <w:spacing w:line="240" w:lineRule="auto"/>
              <w:ind w:firstLine="0"/>
            </w:pPr>
            <w:r w:rsidRPr="004D46AC">
              <w:rPr>
                <w:color w:val="000000"/>
                <w:szCs w:val="21"/>
              </w:rPr>
              <w:t xml:space="preserve">0.37 </w:t>
            </w:r>
          </w:p>
        </w:tc>
      </w:tr>
      <w:tr w:rsidR="000B4CBF" w:rsidRPr="004D46AC" w14:paraId="0C5ABEE9" w14:textId="77777777" w:rsidTr="00B518F1">
        <w:tc>
          <w:tcPr>
            <w:tcW w:w="1704" w:type="dxa"/>
            <w:vAlign w:val="center"/>
          </w:tcPr>
          <w:p w14:paraId="2E4A7FC6" w14:textId="77777777" w:rsidR="000B4CBF" w:rsidRPr="004D46AC" w:rsidRDefault="000B4CBF" w:rsidP="00B518F1">
            <w:pPr>
              <w:spacing w:line="240" w:lineRule="auto"/>
              <w:ind w:firstLine="0"/>
            </w:pPr>
            <w:r w:rsidRPr="004D46AC">
              <w:rPr>
                <w:color w:val="000000"/>
              </w:rPr>
              <w:t>TR30--TR22</w:t>
            </w:r>
          </w:p>
        </w:tc>
        <w:tc>
          <w:tcPr>
            <w:tcW w:w="1704" w:type="dxa"/>
            <w:vAlign w:val="center"/>
          </w:tcPr>
          <w:p w14:paraId="7B148865" w14:textId="77777777" w:rsidR="000B4CBF" w:rsidRPr="004D46AC" w:rsidRDefault="000B4CBF" w:rsidP="00B518F1">
            <w:pPr>
              <w:spacing w:line="240" w:lineRule="auto"/>
              <w:ind w:firstLine="0"/>
            </w:pPr>
            <w:r w:rsidRPr="004D46AC">
              <w:rPr>
                <w:color w:val="000000"/>
                <w:szCs w:val="21"/>
              </w:rPr>
              <w:t xml:space="preserve">0.21 </w:t>
            </w:r>
          </w:p>
        </w:tc>
        <w:tc>
          <w:tcPr>
            <w:tcW w:w="1704" w:type="dxa"/>
            <w:vAlign w:val="center"/>
          </w:tcPr>
          <w:p w14:paraId="5DC1971B"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66CECFEE" w14:textId="77777777" w:rsidR="000B4CBF" w:rsidRPr="004D46AC" w:rsidRDefault="000B4CBF" w:rsidP="00B518F1">
            <w:pPr>
              <w:spacing w:line="240" w:lineRule="auto"/>
              <w:ind w:firstLine="0"/>
            </w:pPr>
            <w:r w:rsidRPr="004D46AC">
              <w:rPr>
                <w:color w:val="000000"/>
                <w:szCs w:val="21"/>
              </w:rPr>
              <w:t xml:space="preserve">0.61 </w:t>
            </w:r>
          </w:p>
        </w:tc>
        <w:tc>
          <w:tcPr>
            <w:tcW w:w="1705" w:type="dxa"/>
            <w:vAlign w:val="center"/>
          </w:tcPr>
          <w:p w14:paraId="270BD799" w14:textId="77777777" w:rsidR="000B4CBF" w:rsidRPr="004D46AC" w:rsidRDefault="000B4CBF" w:rsidP="00B518F1">
            <w:pPr>
              <w:spacing w:line="240" w:lineRule="auto"/>
              <w:ind w:firstLine="0"/>
            </w:pPr>
            <w:r w:rsidRPr="004D46AC">
              <w:rPr>
                <w:color w:val="000000"/>
                <w:szCs w:val="21"/>
              </w:rPr>
              <w:t xml:space="preserve">0.43 </w:t>
            </w:r>
          </w:p>
        </w:tc>
      </w:tr>
      <w:tr w:rsidR="000B4CBF" w:rsidRPr="004D46AC" w14:paraId="62E7EF5C" w14:textId="77777777" w:rsidTr="00B518F1">
        <w:tc>
          <w:tcPr>
            <w:tcW w:w="1704" w:type="dxa"/>
            <w:vAlign w:val="center"/>
          </w:tcPr>
          <w:p w14:paraId="105A9836" w14:textId="77777777" w:rsidR="000B4CBF" w:rsidRPr="004D46AC" w:rsidRDefault="000B4CBF" w:rsidP="00B518F1">
            <w:pPr>
              <w:spacing w:line="240" w:lineRule="auto"/>
              <w:ind w:firstLine="0"/>
            </w:pPr>
            <w:r w:rsidRPr="004D46AC">
              <w:rPr>
                <w:color w:val="000000"/>
              </w:rPr>
              <w:t>TR37--TR17</w:t>
            </w:r>
          </w:p>
        </w:tc>
        <w:tc>
          <w:tcPr>
            <w:tcW w:w="1704" w:type="dxa"/>
            <w:vAlign w:val="center"/>
          </w:tcPr>
          <w:p w14:paraId="7E8DFF7E" w14:textId="77777777" w:rsidR="000B4CBF" w:rsidRPr="004D46AC" w:rsidRDefault="000B4CBF" w:rsidP="00B518F1">
            <w:pPr>
              <w:spacing w:line="240" w:lineRule="auto"/>
              <w:ind w:firstLine="0"/>
            </w:pPr>
            <w:r w:rsidRPr="004D46AC">
              <w:rPr>
                <w:color w:val="000000"/>
                <w:szCs w:val="21"/>
              </w:rPr>
              <w:t xml:space="preserve">0.21 </w:t>
            </w:r>
          </w:p>
        </w:tc>
        <w:tc>
          <w:tcPr>
            <w:tcW w:w="1704" w:type="dxa"/>
            <w:vAlign w:val="center"/>
          </w:tcPr>
          <w:p w14:paraId="288F879A"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2551D81E" w14:textId="77777777" w:rsidR="000B4CBF" w:rsidRPr="004D46AC" w:rsidRDefault="000B4CBF" w:rsidP="00B518F1">
            <w:pPr>
              <w:spacing w:line="240" w:lineRule="auto"/>
              <w:ind w:firstLine="0"/>
            </w:pPr>
            <w:r w:rsidRPr="004D46AC">
              <w:rPr>
                <w:color w:val="000000"/>
                <w:szCs w:val="21"/>
              </w:rPr>
              <w:t xml:space="preserve">0.61 </w:t>
            </w:r>
          </w:p>
        </w:tc>
        <w:tc>
          <w:tcPr>
            <w:tcW w:w="1705" w:type="dxa"/>
            <w:vAlign w:val="center"/>
          </w:tcPr>
          <w:p w14:paraId="4FDCC114" w14:textId="77777777" w:rsidR="000B4CBF" w:rsidRPr="004D46AC" w:rsidRDefault="000B4CBF" w:rsidP="00B518F1">
            <w:pPr>
              <w:spacing w:line="240" w:lineRule="auto"/>
              <w:ind w:firstLine="0"/>
            </w:pPr>
            <w:r w:rsidRPr="004D46AC">
              <w:rPr>
                <w:color w:val="000000"/>
                <w:szCs w:val="21"/>
              </w:rPr>
              <w:t xml:space="preserve">0.35 </w:t>
            </w:r>
          </w:p>
        </w:tc>
      </w:tr>
      <w:tr w:rsidR="000B4CBF" w:rsidRPr="004D46AC" w14:paraId="6A7D82EC" w14:textId="77777777" w:rsidTr="00B518F1">
        <w:tc>
          <w:tcPr>
            <w:tcW w:w="1704" w:type="dxa"/>
            <w:vAlign w:val="center"/>
          </w:tcPr>
          <w:p w14:paraId="76D6871E" w14:textId="77777777" w:rsidR="000B4CBF" w:rsidRPr="004D46AC" w:rsidRDefault="000B4CBF" w:rsidP="00B518F1">
            <w:pPr>
              <w:spacing w:line="240" w:lineRule="auto"/>
              <w:ind w:firstLine="0"/>
            </w:pPr>
            <w:r w:rsidRPr="004D46AC">
              <w:rPr>
                <w:color w:val="000000"/>
              </w:rPr>
              <w:t>TR23--TR33</w:t>
            </w:r>
          </w:p>
        </w:tc>
        <w:tc>
          <w:tcPr>
            <w:tcW w:w="1704" w:type="dxa"/>
            <w:vAlign w:val="center"/>
          </w:tcPr>
          <w:p w14:paraId="1F0A7CEA"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7066EFF3"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38104067" w14:textId="77777777" w:rsidR="000B4CBF" w:rsidRPr="004D46AC" w:rsidRDefault="000B4CBF" w:rsidP="00B518F1">
            <w:pPr>
              <w:spacing w:line="240" w:lineRule="auto"/>
              <w:ind w:firstLine="0"/>
            </w:pPr>
            <w:r w:rsidRPr="004D46AC">
              <w:rPr>
                <w:color w:val="000000"/>
                <w:szCs w:val="21"/>
              </w:rPr>
              <w:t xml:space="preserve">0.60 </w:t>
            </w:r>
          </w:p>
        </w:tc>
        <w:tc>
          <w:tcPr>
            <w:tcW w:w="1705" w:type="dxa"/>
            <w:vAlign w:val="center"/>
          </w:tcPr>
          <w:p w14:paraId="62838476" w14:textId="77777777" w:rsidR="000B4CBF" w:rsidRPr="004D46AC" w:rsidRDefault="000B4CBF" w:rsidP="00B518F1">
            <w:pPr>
              <w:spacing w:line="240" w:lineRule="auto"/>
              <w:ind w:firstLine="0"/>
            </w:pPr>
            <w:r w:rsidRPr="004D46AC">
              <w:rPr>
                <w:color w:val="000000"/>
                <w:szCs w:val="21"/>
              </w:rPr>
              <w:t xml:space="preserve">0.49 </w:t>
            </w:r>
          </w:p>
        </w:tc>
      </w:tr>
      <w:tr w:rsidR="000B4CBF" w:rsidRPr="004D46AC" w14:paraId="6370FCA1" w14:textId="77777777" w:rsidTr="00B518F1">
        <w:tc>
          <w:tcPr>
            <w:tcW w:w="1704" w:type="dxa"/>
            <w:vAlign w:val="center"/>
          </w:tcPr>
          <w:p w14:paraId="6C1492B0" w14:textId="77777777" w:rsidR="000B4CBF" w:rsidRPr="004D46AC" w:rsidRDefault="000B4CBF" w:rsidP="00B518F1">
            <w:pPr>
              <w:spacing w:line="240" w:lineRule="auto"/>
              <w:ind w:firstLine="0"/>
            </w:pPr>
            <w:r w:rsidRPr="004D46AC">
              <w:rPr>
                <w:color w:val="000000"/>
              </w:rPr>
              <w:t>TR9--TR30</w:t>
            </w:r>
          </w:p>
        </w:tc>
        <w:tc>
          <w:tcPr>
            <w:tcW w:w="1704" w:type="dxa"/>
            <w:vAlign w:val="center"/>
          </w:tcPr>
          <w:p w14:paraId="6C4C6CE9"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4AFB13F7"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1D39C52C" w14:textId="77777777" w:rsidR="000B4CBF" w:rsidRPr="004D46AC" w:rsidRDefault="000B4CBF" w:rsidP="00B518F1">
            <w:pPr>
              <w:spacing w:line="240" w:lineRule="auto"/>
              <w:ind w:firstLine="0"/>
            </w:pPr>
            <w:r w:rsidRPr="004D46AC">
              <w:rPr>
                <w:color w:val="000000"/>
                <w:szCs w:val="21"/>
              </w:rPr>
              <w:t xml:space="preserve">0.62 </w:t>
            </w:r>
          </w:p>
        </w:tc>
        <w:tc>
          <w:tcPr>
            <w:tcW w:w="1705" w:type="dxa"/>
            <w:vAlign w:val="center"/>
          </w:tcPr>
          <w:p w14:paraId="4C4DE5AD" w14:textId="77777777" w:rsidR="000B4CBF" w:rsidRPr="004D46AC" w:rsidRDefault="000B4CBF" w:rsidP="00B518F1">
            <w:pPr>
              <w:spacing w:line="240" w:lineRule="auto"/>
              <w:ind w:firstLine="0"/>
            </w:pPr>
            <w:r w:rsidRPr="004D46AC">
              <w:rPr>
                <w:color w:val="000000"/>
                <w:szCs w:val="21"/>
              </w:rPr>
              <w:t xml:space="preserve">0.35 </w:t>
            </w:r>
          </w:p>
        </w:tc>
      </w:tr>
      <w:tr w:rsidR="000B4CBF" w:rsidRPr="004D46AC" w14:paraId="2B3F75CA" w14:textId="77777777" w:rsidTr="00B518F1">
        <w:tc>
          <w:tcPr>
            <w:tcW w:w="1704" w:type="dxa"/>
            <w:vAlign w:val="center"/>
          </w:tcPr>
          <w:p w14:paraId="0098A414" w14:textId="77777777" w:rsidR="000B4CBF" w:rsidRPr="004D46AC" w:rsidRDefault="000B4CBF" w:rsidP="00B518F1">
            <w:pPr>
              <w:spacing w:line="240" w:lineRule="auto"/>
              <w:ind w:firstLine="0"/>
            </w:pPr>
            <w:r w:rsidRPr="004D46AC">
              <w:rPr>
                <w:color w:val="000000"/>
              </w:rPr>
              <w:t>TR19--TR34</w:t>
            </w:r>
          </w:p>
        </w:tc>
        <w:tc>
          <w:tcPr>
            <w:tcW w:w="1704" w:type="dxa"/>
            <w:vAlign w:val="center"/>
          </w:tcPr>
          <w:p w14:paraId="7ADB42D8"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48A03F6C"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46ADE747" w14:textId="77777777" w:rsidR="000B4CBF" w:rsidRPr="004D46AC" w:rsidRDefault="000B4CBF" w:rsidP="00B518F1">
            <w:pPr>
              <w:spacing w:line="240" w:lineRule="auto"/>
              <w:ind w:firstLine="0"/>
            </w:pPr>
            <w:r w:rsidRPr="004D46AC">
              <w:rPr>
                <w:color w:val="000000"/>
                <w:szCs w:val="21"/>
              </w:rPr>
              <w:t xml:space="preserve">0.58 </w:t>
            </w:r>
          </w:p>
        </w:tc>
        <w:tc>
          <w:tcPr>
            <w:tcW w:w="1705" w:type="dxa"/>
            <w:vAlign w:val="center"/>
          </w:tcPr>
          <w:p w14:paraId="188E6EDB" w14:textId="77777777" w:rsidR="000B4CBF" w:rsidRPr="004D46AC" w:rsidRDefault="000B4CBF" w:rsidP="00B518F1">
            <w:pPr>
              <w:spacing w:line="240" w:lineRule="auto"/>
              <w:ind w:firstLine="0"/>
            </w:pPr>
            <w:r w:rsidRPr="004D46AC">
              <w:rPr>
                <w:color w:val="000000"/>
                <w:szCs w:val="21"/>
              </w:rPr>
              <w:t xml:space="preserve">0.38 </w:t>
            </w:r>
          </w:p>
        </w:tc>
      </w:tr>
      <w:tr w:rsidR="000B4CBF" w:rsidRPr="004D46AC" w14:paraId="458AA518" w14:textId="77777777" w:rsidTr="00B518F1">
        <w:tc>
          <w:tcPr>
            <w:tcW w:w="1704" w:type="dxa"/>
            <w:vAlign w:val="center"/>
          </w:tcPr>
          <w:p w14:paraId="3C96A2FF" w14:textId="77777777" w:rsidR="000B4CBF" w:rsidRPr="004D46AC" w:rsidRDefault="000B4CBF" w:rsidP="00B518F1">
            <w:pPr>
              <w:spacing w:line="240" w:lineRule="auto"/>
              <w:ind w:firstLine="0"/>
            </w:pPr>
            <w:r w:rsidRPr="004D46AC">
              <w:rPr>
                <w:color w:val="000000"/>
              </w:rPr>
              <w:t>TR17--TR16</w:t>
            </w:r>
          </w:p>
        </w:tc>
        <w:tc>
          <w:tcPr>
            <w:tcW w:w="1704" w:type="dxa"/>
            <w:vAlign w:val="center"/>
          </w:tcPr>
          <w:p w14:paraId="79F7D797"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3416BC95"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674D7C5D" w14:textId="77777777" w:rsidR="000B4CBF" w:rsidRPr="004D46AC" w:rsidRDefault="000B4CBF" w:rsidP="00B518F1">
            <w:pPr>
              <w:spacing w:line="240" w:lineRule="auto"/>
              <w:ind w:firstLine="0"/>
            </w:pPr>
            <w:r w:rsidRPr="004D46AC">
              <w:rPr>
                <w:color w:val="000000"/>
                <w:szCs w:val="21"/>
              </w:rPr>
              <w:t xml:space="preserve">0.59 </w:t>
            </w:r>
          </w:p>
        </w:tc>
        <w:tc>
          <w:tcPr>
            <w:tcW w:w="1705" w:type="dxa"/>
            <w:vAlign w:val="center"/>
          </w:tcPr>
          <w:p w14:paraId="22A8ECA1" w14:textId="77777777" w:rsidR="000B4CBF" w:rsidRPr="004D46AC" w:rsidRDefault="000B4CBF" w:rsidP="00B518F1">
            <w:pPr>
              <w:spacing w:line="240" w:lineRule="auto"/>
              <w:ind w:firstLine="0"/>
            </w:pPr>
            <w:r w:rsidRPr="004D46AC">
              <w:rPr>
                <w:color w:val="000000"/>
                <w:szCs w:val="21"/>
              </w:rPr>
              <w:t xml:space="preserve">0.40 </w:t>
            </w:r>
          </w:p>
        </w:tc>
      </w:tr>
      <w:tr w:rsidR="000B4CBF" w:rsidRPr="004D46AC" w14:paraId="31152D05" w14:textId="77777777" w:rsidTr="00B518F1">
        <w:tc>
          <w:tcPr>
            <w:tcW w:w="1704" w:type="dxa"/>
            <w:vAlign w:val="center"/>
          </w:tcPr>
          <w:p w14:paraId="72EC63EE" w14:textId="77777777" w:rsidR="000B4CBF" w:rsidRPr="004D46AC" w:rsidRDefault="000B4CBF" w:rsidP="00B518F1">
            <w:pPr>
              <w:spacing w:line="240" w:lineRule="auto"/>
              <w:ind w:firstLine="0"/>
            </w:pPr>
            <w:r w:rsidRPr="004D46AC">
              <w:rPr>
                <w:color w:val="000000"/>
              </w:rPr>
              <w:t>TR26--TR30</w:t>
            </w:r>
          </w:p>
        </w:tc>
        <w:tc>
          <w:tcPr>
            <w:tcW w:w="1704" w:type="dxa"/>
            <w:vAlign w:val="center"/>
          </w:tcPr>
          <w:p w14:paraId="71C295F9" w14:textId="77777777" w:rsidR="000B4CBF" w:rsidRPr="004D46AC" w:rsidRDefault="000B4CBF" w:rsidP="00B518F1">
            <w:pPr>
              <w:spacing w:line="240" w:lineRule="auto"/>
              <w:ind w:firstLine="0"/>
            </w:pPr>
            <w:r w:rsidRPr="004D46AC">
              <w:rPr>
                <w:color w:val="000000"/>
                <w:szCs w:val="21"/>
              </w:rPr>
              <w:t xml:space="preserve">0.19 </w:t>
            </w:r>
          </w:p>
        </w:tc>
        <w:tc>
          <w:tcPr>
            <w:tcW w:w="1704" w:type="dxa"/>
            <w:vAlign w:val="center"/>
          </w:tcPr>
          <w:p w14:paraId="51005CAE"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15F0565B" w14:textId="77777777" w:rsidR="000B4CBF" w:rsidRPr="004D46AC" w:rsidRDefault="000B4CBF" w:rsidP="00B518F1">
            <w:pPr>
              <w:spacing w:line="240" w:lineRule="auto"/>
              <w:ind w:firstLine="0"/>
            </w:pPr>
            <w:r w:rsidRPr="004D46AC">
              <w:rPr>
                <w:color w:val="000000"/>
                <w:szCs w:val="21"/>
              </w:rPr>
              <w:t xml:space="preserve">0.59 </w:t>
            </w:r>
          </w:p>
        </w:tc>
        <w:tc>
          <w:tcPr>
            <w:tcW w:w="1705" w:type="dxa"/>
            <w:vAlign w:val="center"/>
          </w:tcPr>
          <w:p w14:paraId="402D9E0D" w14:textId="77777777" w:rsidR="000B4CBF" w:rsidRPr="004D46AC" w:rsidRDefault="000B4CBF" w:rsidP="00B518F1">
            <w:pPr>
              <w:spacing w:line="240" w:lineRule="auto"/>
              <w:ind w:firstLine="0"/>
            </w:pPr>
            <w:r w:rsidRPr="004D46AC">
              <w:rPr>
                <w:color w:val="000000"/>
                <w:szCs w:val="21"/>
              </w:rPr>
              <w:t xml:space="preserve">0.43 </w:t>
            </w:r>
          </w:p>
        </w:tc>
      </w:tr>
      <w:tr w:rsidR="000B4CBF" w:rsidRPr="004D46AC" w14:paraId="20CA6CE1" w14:textId="77777777" w:rsidTr="00B518F1">
        <w:tc>
          <w:tcPr>
            <w:tcW w:w="1704" w:type="dxa"/>
            <w:vAlign w:val="center"/>
          </w:tcPr>
          <w:p w14:paraId="146CD98F" w14:textId="77777777" w:rsidR="000B4CBF" w:rsidRPr="004D46AC" w:rsidRDefault="000B4CBF" w:rsidP="00B518F1">
            <w:pPr>
              <w:spacing w:line="240" w:lineRule="auto"/>
              <w:ind w:firstLine="0"/>
            </w:pPr>
            <w:r w:rsidRPr="004D46AC">
              <w:rPr>
                <w:color w:val="000000"/>
              </w:rPr>
              <w:t>TR24--TR27</w:t>
            </w:r>
          </w:p>
        </w:tc>
        <w:tc>
          <w:tcPr>
            <w:tcW w:w="1704" w:type="dxa"/>
            <w:vAlign w:val="center"/>
          </w:tcPr>
          <w:p w14:paraId="2EE2F407" w14:textId="77777777" w:rsidR="000B4CBF" w:rsidRPr="004D46AC" w:rsidRDefault="000B4CBF" w:rsidP="00B518F1">
            <w:pPr>
              <w:spacing w:line="240" w:lineRule="auto"/>
              <w:ind w:firstLine="0"/>
            </w:pPr>
            <w:r w:rsidRPr="004D46AC">
              <w:rPr>
                <w:color w:val="000000"/>
                <w:szCs w:val="21"/>
              </w:rPr>
              <w:t xml:space="preserve">0.19 </w:t>
            </w:r>
          </w:p>
        </w:tc>
        <w:tc>
          <w:tcPr>
            <w:tcW w:w="1704" w:type="dxa"/>
            <w:vAlign w:val="center"/>
          </w:tcPr>
          <w:p w14:paraId="53B88968"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697C44F4" w14:textId="77777777" w:rsidR="000B4CBF" w:rsidRPr="004D46AC" w:rsidRDefault="000B4CBF" w:rsidP="00B518F1">
            <w:pPr>
              <w:spacing w:line="240" w:lineRule="auto"/>
              <w:ind w:firstLine="0"/>
            </w:pPr>
            <w:r w:rsidRPr="004D46AC">
              <w:rPr>
                <w:color w:val="000000"/>
                <w:szCs w:val="21"/>
              </w:rPr>
              <w:t xml:space="preserve">0.58 </w:t>
            </w:r>
          </w:p>
        </w:tc>
        <w:tc>
          <w:tcPr>
            <w:tcW w:w="1705" w:type="dxa"/>
            <w:vAlign w:val="center"/>
          </w:tcPr>
          <w:p w14:paraId="5F6E2D3D" w14:textId="77777777" w:rsidR="000B4CBF" w:rsidRPr="004D46AC" w:rsidRDefault="000B4CBF" w:rsidP="00B518F1">
            <w:pPr>
              <w:spacing w:line="240" w:lineRule="auto"/>
              <w:ind w:firstLine="0"/>
            </w:pPr>
            <w:r w:rsidRPr="004D46AC">
              <w:rPr>
                <w:color w:val="000000"/>
                <w:szCs w:val="21"/>
              </w:rPr>
              <w:t xml:space="preserve">0.37 </w:t>
            </w:r>
          </w:p>
        </w:tc>
      </w:tr>
      <w:tr w:rsidR="000B4CBF" w:rsidRPr="004D46AC" w14:paraId="5CF0B458" w14:textId="77777777" w:rsidTr="00B518F1">
        <w:tc>
          <w:tcPr>
            <w:tcW w:w="1704" w:type="dxa"/>
            <w:vAlign w:val="center"/>
          </w:tcPr>
          <w:p w14:paraId="10BFC6E9" w14:textId="77777777" w:rsidR="000B4CBF" w:rsidRPr="004D46AC" w:rsidRDefault="000B4CBF" w:rsidP="00B518F1">
            <w:pPr>
              <w:spacing w:line="240" w:lineRule="auto"/>
              <w:ind w:firstLine="0"/>
            </w:pPr>
            <w:r w:rsidRPr="004D46AC">
              <w:rPr>
                <w:color w:val="000000"/>
              </w:rPr>
              <w:t>TR7--TR37</w:t>
            </w:r>
          </w:p>
        </w:tc>
        <w:tc>
          <w:tcPr>
            <w:tcW w:w="1704" w:type="dxa"/>
            <w:vAlign w:val="center"/>
          </w:tcPr>
          <w:p w14:paraId="283EA3F3" w14:textId="77777777" w:rsidR="000B4CBF" w:rsidRPr="004D46AC" w:rsidRDefault="000B4CBF" w:rsidP="00B518F1">
            <w:pPr>
              <w:spacing w:line="240" w:lineRule="auto"/>
              <w:ind w:firstLine="0"/>
            </w:pPr>
            <w:r w:rsidRPr="004D46AC">
              <w:rPr>
                <w:color w:val="000000"/>
                <w:szCs w:val="21"/>
              </w:rPr>
              <w:t xml:space="preserve">0.19 </w:t>
            </w:r>
          </w:p>
        </w:tc>
        <w:tc>
          <w:tcPr>
            <w:tcW w:w="1704" w:type="dxa"/>
            <w:vAlign w:val="center"/>
          </w:tcPr>
          <w:p w14:paraId="062469D0"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3DFBFD72" w14:textId="77777777" w:rsidR="000B4CBF" w:rsidRPr="004D46AC" w:rsidRDefault="000B4CBF" w:rsidP="00B518F1">
            <w:pPr>
              <w:spacing w:line="240" w:lineRule="auto"/>
              <w:ind w:firstLine="0"/>
            </w:pPr>
            <w:r w:rsidRPr="004D46AC">
              <w:rPr>
                <w:color w:val="000000"/>
                <w:szCs w:val="21"/>
              </w:rPr>
              <w:t xml:space="preserve">0.60 </w:t>
            </w:r>
          </w:p>
        </w:tc>
        <w:tc>
          <w:tcPr>
            <w:tcW w:w="1705" w:type="dxa"/>
            <w:vAlign w:val="center"/>
          </w:tcPr>
          <w:p w14:paraId="0736D0B0" w14:textId="77777777" w:rsidR="000B4CBF" w:rsidRPr="004D46AC" w:rsidRDefault="000B4CBF" w:rsidP="00B518F1">
            <w:pPr>
              <w:spacing w:line="240" w:lineRule="auto"/>
              <w:ind w:firstLine="0"/>
            </w:pPr>
            <w:r w:rsidRPr="004D46AC">
              <w:rPr>
                <w:color w:val="000000"/>
                <w:szCs w:val="21"/>
              </w:rPr>
              <w:t xml:space="preserve">0.41 </w:t>
            </w:r>
          </w:p>
        </w:tc>
      </w:tr>
      <w:tr w:rsidR="000B4CBF" w:rsidRPr="004D46AC" w14:paraId="4A7CC081" w14:textId="77777777" w:rsidTr="00B518F1">
        <w:tc>
          <w:tcPr>
            <w:tcW w:w="1704" w:type="dxa"/>
            <w:vAlign w:val="center"/>
          </w:tcPr>
          <w:p w14:paraId="19438DF4" w14:textId="77777777" w:rsidR="000B4CBF" w:rsidRPr="004D46AC" w:rsidRDefault="000B4CBF" w:rsidP="00B518F1">
            <w:pPr>
              <w:spacing w:line="240" w:lineRule="auto"/>
              <w:ind w:firstLine="0"/>
            </w:pPr>
            <w:r w:rsidRPr="004D46AC">
              <w:rPr>
                <w:color w:val="000000"/>
              </w:rPr>
              <w:t>TR21--TR20</w:t>
            </w:r>
          </w:p>
        </w:tc>
        <w:tc>
          <w:tcPr>
            <w:tcW w:w="1704" w:type="dxa"/>
            <w:vAlign w:val="center"/>
          </w:tcPr>
          <w:p w14:paraId="4FA99864" w14:textId="77777777" w:rsidR="000B4CBF" w:rsidRPr="004D46AC" w:rsidRDefault="000B4CBF" w:rsidP="00B518F1">
            <w:pPr>
              <w:spacing w:line="240" w:lineRule="auto"/>
              <w:ind w:firstLine="0"/>
            </w:pPr>
            <w:r w:rsidRPr="004D46AC">
              <w:rPr>
                <w:color w:val="000000"/>
                <w:szCs w:val="21"/>
              </w:rPr>
              <w:t xml:space="preserve">0.17 </w:t>
            </w:r>
          </w:p>
        </w:tc>
        <w:tc>
          <w:tcPr>
            <w:tcW w:w="1704" w:type="dxa"/>
            <w:vAlign w:val="center"/>
          </w:tcPr>
          <w:p w14:paraId="38480A7F"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3EC77FA1" w14:textId="77777777" w:rsidR="000B4CBF" w:rsidRPr="004D46AC" w:rsidRDefault="000B4CBF" w:rsidP="00B518F1">
            <w:pPr>
              <w:spacing w:line="240" w:lineRule="auto"/>
              <w:ind w:firstLine="0"/>
            </w:pPr>
            <w:r w:rsidRPr="004D46AC">
              <w:rPr>
                <w:color w:val="000000"/>
                <w:szCs w:val="21"/>
              </w:rPr>
              <w:t xml:space="preserve">0.56 </w:t>
            </w:r>
          </w:p>
        </w:tc>
        <w:tc>
          <w:tcPr>
            <w:tcW w:w="1705" w:type="dxa"/>
            <w:vAlign w:val="center"/>
          </w:tcPr>
          <w:p w14:paraId="067826FF" w14:textId="77777777" w:rsidR="000B4CBF" w:rsidRPr="004D46AC" w:rsidRDefault="000B4CBF" w:rsidP="00B518F1">
            <w:pPr>
              <w:spacing w:line="240" w:lineRule="auto"/>
              <w:ind w:firstLine="0"/>
            </w:pPr>
            <w:r w:rsidRPr="004D46AC">
              <w:rPr>
                <w:color w:val="000000"/>
                <w:szCs w:val="21"/>
              </w:rPr>
              <w:t xml:space="preserve">0.39 </w:t>
            </w:r>
          </w:p>
        </w:tc>
      </w:tr>
      <w:tr w:rsidR="000B4CBF" w:rsidRPr="004D46AC" w14:paraId="63BDA460" w14:textId="77777777" w:rsidTr="00B518F1">
        <w:tc>
          <w:tcPr>
            <w:tcW w:w="1704" w:type="dxa"/>
            <w:vAlign w:val="center"/>
          </w:tcPr>
          <w:p w14:paraId="2EF1F3B9" w14:textId="77777777" w:rsidR="000B4CBF" w:rsidRPr="004D46AC" w:rsidRDefault="000B4CBF" w:rsidP="00B518F1">
            <w:pPr>
              <w:spacing w:line="240" w:lineRule="auto"/>
              <w:ind w:firstLine="0"/>
            </w:pPr>
            <w:r w:rsidRPr="004D46AC">
              <w:rPr>
                <w:color w:val="000000"/>
              </w:rPr>
              <w:t>TR24--TR13</w:t>
            </w:r>
          </w:p>
        </w:tc>
        <w:tc>
          <w:tcPr>
            <w:tcW w:w="1704" w:type="dxa"/>
            <w:vAlign w:val="center"/>
          </w:tcPr>
          <w:p w14:paraId="131FD867" w14:textId="77777777" w:rsidR="000B4CBF" w:rsidRPr="004D46AC" w:rsidRDefault="000B4CBF" w:rsidP="00B518F1">
            <w:pPr>
              <w:spacing w:line="240" w:lineRule="auto"/>
              <w:ind w:firstLine="0"/>
            </w:pPr>
            <w:r w:rsidRPr="004D46AC">
              <w:rPr>
                <w:color w:val="000000"/>
                <w:szCs w:val="21"/>
              </w:rPr>
              <w:t xml:space="preserve">0.15 </w:t>
            </w:r>
          </w:p>
        </w:tc>
        <w:tc>
          <w:tcPr>
            <w:tcW w:w="1704" w:type="dxa"/>
            <w:vAlign w:val="center"/>
          </w:tcPr>
          <w:p w14:paraId="47BD92E0"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4EB882B3" w14:textId="77777777" w:rsidR="000B4CBF" w:rsidRPr="004D46AC" w:rsidRDefault="000B4CBF" w:rsidP="00B518F1">
            <w:pPr>
              <w:spacing w:line="240" w:lineRule="auto"/>
              <w:ind w:firstLine="0"/>
            </w:pPr>
            <w:r w:rsidRPr="004D46AC">
              <w:rPr>
                <w:color w:val="000000"/>
                <w:szCs w:val="21"/>
              </w:rPr>
              <w:t xml:space="preserve">0.49 </w:t>
            </w:r>
          </w:p>
        </w:tc>
        <w:tc>
          <w:tcPr>
            <w:tcW w:w="1705" w:type="dxa"/>
            <w:vAlign w:val="center"/>
          </w:tcPr>
          <w:p w14:paraId="177AF960" w14:textId="77777777" w:rsidR="000B4CBF" w:rsidRPr="004D46AC" w:rsidRDefault="000B4CBF" w:rsidP="00B518F1">
            <w:pPr>
              <w:spacing w:line="240" w:lineRule="auto"/>
              <w:ind w:firstLine="0"/>
            </w:pPr>
            <w:r w:rsidRPr="004D46AC">
              <w:rPr>
                <w:color w:val="000000"/>
                <w:szCs w:val="21"/>
              </w:rPr>
              <w:t xml:space="preserve">0.47 </w:t>
            </w:r>
          </w:p>
        </w:tc>
      </w:tr>
      <w:tr w:rsidR="000B4CBF" w:rsidRPr="004D46AC" w14:paraId="20AFC7E7" w14:textId="77777777" w:rsidTr="00B518F1">
        <w:tc>
          <w:tcPr>
            <w:tcW w:w="1704" w:type="dxa"/>
            <w:vAlign w:val="center"/>
          </w:tcPr>
          <w:p w14:paraId="7D57E22B" w14:textId="77777777" w:rsidR="000B4CBF" w:rsidRPr="004D46AC" w:rsidRDefault="000B4CBF" w:rsidP="00B518F1">
            <w:pPr>
              <w:spacing w:line="240" w:lineRule="auto"/>
              <w:ind w:firstLine="0"/>
            </w:pPr>
            <w:r w:rsidRPr="004D46AC">
              <w:rPr>
                <w:color w:val="000000"/>
              </w:rPr>
              <w:t>TR21--TR33</w:t>
            </w:r>
          </w:p>
        </w:tc>
        <w:tc>
          <w:tcPr>
            <w:tcW w:w="1704" w:type="dxa"/>
            <w:vAlign w:val="center"/>
          </w:tcPr>
          <w:p w14:paraId="2F8C9005" w14:textId="77777777" w:rsidR="000B4CBF" w:rsidRPr="004D46AC" w:rsidRDefault="000B4CBF" w:rsidP="00B518F1">
            <w:pPr>
              <w:spacing w:line="240" w:lineRule="auto"/>
              <w:ind w:firstLine="0"/>
            </w:pPr>
            <w:r w:rsidRPr="004D46AC">
              <w:rPr>
                <w:color w:val="000000"/>
                <w:szCs w:val="21"/>
              </w:rPr>
              <w:t xml:space="preserve">0.14 </w:t>
            </w:r>
          </w:p>
        </w:tc>
        <w:tc>
          <w:tcPr>
            <w:tcW w:w="1704" w:type="dxa"/>
            <w:vAlign w:val="center"/>
          </w:tcPr>
          <w:p w14:paraId="3E7DE828"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7F402649" w14:textId="77777777" w:rsidR="000B4CBF" w:rsidRPr="004D46AC" w:rsidRDefault="000B4CBF" w:rsidP="00B518F1">
            <w:pPr>
              <w:spacing w:line="240" w:lineRule="auto"/>
              <w:ind w:firstLine="0"/>
            </w:pPr>
            <w:r w:rsidRPr="004D46AC">
              <w:rPr>
                <w:color w:val="000000"/>
                <w:szCs w:val="21"/>
              </w:rPr>
              <w:t xml:space="preserve">0.52 </w:t>
            </w:r>
          </w:p>
        </w:tc>
        <w:tc>
          <w:tcPr>
            <w:tcW w:w="1705" w:type="dxa"/>
            <w:vAlign w:val="center"/>
          </w:tcPr>
          <w:p w14:paraId="5B09C3F7" w14:textId="77777777" w:rsidR="000B4CBF" w:rsidRPr="004D46AC" w:rsidRDefault="000B4CBF" w:rsidP="00B518F1">
            <w:pPr>
              <w:spacing w:line="240" w:lineRule="auto"/>
              <w:ind w:firstLine="0"/>
            </w:pPr>
            <w:r w:rsidRPr="004D46AC">
              <w:rPr>
                <w:color w:val="000000"/>
                <w:szCs w:val="21"/>
              </w:rPr>
              <w:t xml:space="preserve">0.56 </w:t>
            </w:r>
          </w:p>
        </w:tc>
      </w:tr>
      <w:tr w:rsidR="000B4CBF" w:rsidRPr="004D46AC" w14:paraId="2F02C623" w14:textId="77777777" w:rsidTr="00B518F1">
        <w:tc>
          <w:tcPr>
            <w:tcW w:w="1704" w:type="dxa"/>
            <w:vAlign w:val="center"/>
          </w:tcPr>
          <w:p w14:paraId="1294B559" w14:textId="77777777" w:rsidR="000B4CBF" w:rsidRPr="004D46AC" w:rsidRDefault="000B4CBF" w:rsidP="00B518F1">
            <w:pPr>
              <w:spacing w:line="240" w:lineRule="auto"/>
              <w:ind w:firstLine="0"/>
            </w:pPr>
            <w:r w:rsidRPr="004D46AC">
              <w:rPr>
                <w:color w:val="000000"/>
              </w:rPr>
              <w:t>TR23--TR37</w:t>
            </w:r>
          </w:p>
        </w:tc>
        <w:tc>
          <w:tcPr>
            <w:tcW w:w="1704" w:type="dxa"/>
            <w:vAlign w:val="center"/>
          </w:tcPr>
          <w:p w14:paraId="6DFDD54C" w14:textId="77777777" w:rsidR="000B4CBF" w:rsidRPr="004D46AC" w:rsidRDefault="000B4CBF" w:rsidP="00B518F1">
            <w:pPr>
              <w:spacing w:line="240" w:lineRule="auto"/>
              <w:ind w:firstLine="0"/>
            </w:pPr>
            <w:r w:rsidRPr="004D46AC">
              <w:rPr>
                <w:color w:val="000000"/>
                <w:szCs w:val="21"/>
              </w:rPr>
              <w:t xml:space="preserve">0.14 </w:t>
            </w:r>
          </w:p>
        </w:tc>
        <w:tc>
          <w:tcPr>
            <w:tcW w:w="1704" w:type="dxa"/>
            <w:vAlign w:val="center"/>
          </w:tcPr>
          <w:p w14:paraId="3DECA6C4"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3AC6853F" w14:textId="77777777" w:rsidR="000B4CBF" w:rsidRPr="004D46AC" w:rsidRDefault="000B4CBF" w:rsidP="00B518F1">
            <w:pPr>
              <w:spacing w:line="240" w:lineRule="auto"/>
              <w:ind w:firstLine="0"/>
            </w:pPr>
            <w:r w:rsidRPr="004D46AC">
              <w:rPr>
                <w:color w:val="000000"/>
                <w:szCs w:val="21"/>
              </w:rPr>
              <w:t xml:space="preserve">0.48 </w:t>
            </w:r>
          </w:p>
        </w:tc>
        <w:tc>
          <w:tcPr>
            <w:tcW w:w="1705" w:type="dxa"/>
            <w:vAlign w:val="center"/>
          </w:tcPr>
          <w:p w14:paraId="6CF285C5" w14:textId="77777777" w:rsidR="000B4CBF" w:rsidRPr="004D46AC" w:rsidRDefault="000B4CBF" w:rsidP="00B518F1">
            <w:pPr>
              <w:spacing w:line="240" w:lineRule="auto"/>
              <w:ind w:firstLine="0"/>
            </w:pPr>
            <w:r w:rsidRPr="004D46AC">
              <w:rPr>
                <w:color w:val="000000"/>
                <w:szCs w:val="21"/>
              </w:rPr>
              <w:t xml:space="preserve">0.48 </w:t>
            </w:r>
          </w:p>
        </w:tc>
      </w:tr>
      <w:tr w:rsidR="000B4CBF" w:rsidRPr="004D46AC" w14:paraId="2E5AB21A" w14:textId="77777777" w:rsidTr="00B518F1">
        <w:tc>
          <w:tcPr>
            <w:tcW w:w="1704" w:type="dxa"/>
            <w:vAlign w:val="center"/>
          </w:tcPr>
          <w:p w14:paraId="1877F207" w14:textId="77777777" w:rsidR="000B4CBF" w:rsidRPr="004D46AC" w:rsidRDefault="000B4CBF" w:rsidP="00B518F1">
            <w:pPr>
              <w:spacing w:line="240" w:lineRule="auto"/>
              <w:ind w:firstLine="0"/>
            </w:pPr>
            <w:r w:rsidRPr="004D46AC">
              <w:rPr>
                <w:color w:val="000000"/>
              </w:rPr>
              <w:t>TR9--TR33</w:t>
            </w:r>
          </w:p>
        </w:tc>
        <w:tc>
          <w:tcPr>
            <w:tcW w:w="1704" w:type="dxa"/>
            <w:vAlign w:val="center"/>
          </w:tcPr>
          <w:p w14:paraId="4C8CAAB1" w14:textId="77777777" w:rsidR="000B4CBF" w:rsidRPr="004D46AC" w:rsidRDefault="000B4CBF" w:rsidP="00B518F1">
            <w:pPr>
              <w:spacing w:line="240" w:lineRule="auto"/>
              <w:ind w:firstLine="0"/>
            </w:pPr>
            <w:r w:rsidRPr="004D46AC">
              <w:rPr>
                <w:color w:val="000000"/>
                <w:szCs w:val="21"/>
              </w:rPr>
              <w:t xml:space="preserve">0.14 </w:t>
            </w:r>
          </w:p>
        </w:tc>
        <w:tc>
          <w:tcPr>
            <w:tcW w:w="1704" w:type="dxa"/>
            <w:vAlign w:val="center"/>
          </w:tcPr>
          <w:p w14:paraId="4B7D3253" w14:textId="77777777" w:rsidR="000B4CBF" w:rsidRPr="004D46AC" w:rsidRDefault="000B4CBF" w:rsidP="00B518F1">
            <w:pPr>
              <w:spacing w:line="240" w:lineRule="auto"/>
              <w:ind w:firstLine="0"/>
            </w:pPr>
            <w:r w:rsidRPr="004D46AC">
              <w:rPr>
                <w:color w:val="000000"/>
                <w:szCs w:val="21"/>
              </w:rPr>
              <w:t xml:space="preserve">-0.26 </w:t>
            </w:r>
          </w:p>
        </w:tc>
        <w:tc>
          <w:tcPr>
            <w:tcW w:w="1705" w:type="dxa"/>
            <w:vAlign w:val="center"/>
          </w:tcPr>
          <w:p w14:paraId="1D0074D1" w14:textId="77777777" w:rsidR="000B4CBF" w:rsidRPr="004D46AC" w:rsidRDefault="000B4CBF" w:rsidP="00B518F1">
            <w:pPr>
              <w:spacing w:line="240" w:lineRule="auto"/>
              <w:ind w:firstLine="0"/>
            </w:pPr>
            <w:r w:rsidRPr="004D46AC">
              <w:rPr>
                <w:color w:val="000000"/>
                <w:szCs w:val="21"/>
              </w:rPr>
              <w:t xml:space="preserve">0.53 </w:t>
            </w:r>
          </w:p>
        </w:tc>
        <w:tc>
          <w:tcPr>
            <w:tcW w:w="1705" w:type="dxa"/>
            <w:vAlign w:val="center"/>
          </w:tcPr>
          <w:p w14:paraId="358E4786" w14:textId="77777777" w:rsidR="000B4CBF" w:rsidRPr="004D46AC" w:rsidRDefault="000B4CBF" w:rsidP="00B518F1">
            <w:pPr>
              <w:spacing w:line="240" w:lineRule="auto"/>
              <w:ind w:firstLine="0"/>
            </w:pPr>
            <w:r w:rsidRPr="004D46AC">
              <w:rPr>
                <w:color w:val="000000"/>
                <w:szCs w:val="21"/>
              </w:rPr>
              <w:t xml:space="preserve">0.44 </w:t>
            </w:r>
          </w:p>
        </w:tc>
      </w:tr>
      <w:tr w:rsidR="000B4CBF" w:rsidRPr="004D46AC" w14:paraId="2E7DE6F2" w14:textId="77777777" w:rsidTr="00B518F1">
        <w:tc>
          <w:tcPr>
            <w:tcW w:w="1704" w:type="dxa"/>
            <w:vAlign w:val="center"/>
          </w:tcPr>
          <w:p w14:paraId="686F61CA" w14:textId="77777777" w:rsidR="000B4CBF" w:rsidRPr="004D46AC" w:rsidRDefault="000B4CBF" w:rsidP="00B518F1">
            <w:pPr>
              <w:spacing w:line="240" w:lineRule="auto"/>
              <w:ind w:firstLine="0"/>
            </w:pPr>
            <w:r w:rsidRPr="004D46AC">
              <w:rPr>
                <w:color w:val="000000"/>
              </w:rPr>
              <w:t>TR3--TR24</w:t>
            </w:r>
          </w:p>
        </w:tc>
        <w:tc>
          <w:tcPr>
            <w:tcW w:w="1704" w:type="dxa"/>
            <w:vAlign w:val="center"/>
          </w:tcPr>
          <w:p w14:paraId="14077421"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7CFEBF1F" w14:textId="77777777" w:rsidR="000B4CBF" w:rsidRPr="004D46AC" w:rsidRDefault="000B4CBF" w:rsidP="00B518F1">
            <w:pPr>
              <w:spacing w:line="240" w:lineRule="auto"/>
              <w:ind w:firstLine="0"/>
            </w:pPr>
            <w:r w:rsidRPr="004D46AC">
              <w:rPr>
                <w:color w:val="000000"/>
                <w:szCs w:val="21"/>
              </w:rPr>
              <w:t xml:space="preserve">-0.29 </w:t>
            </w:r>
          </w:p>
        </w:tc>
        <w:tc>
          <w:tcPr>
            <w:tcW w:w="1705" w:type="dxa"/>
            <w:vAlign w:val="center"/>
          </w:tcPr>
          <w:p w14:paraId="53F6FDC0" w14:textId="77777777" w:rsidR="000B4CBF" w:rsidRPr="004D46AC" w:rsidRDefault="000B4CBF" w:rsidP="00B518F1">
            <w:pPr>
              <w:spacing w:line="240" w:lineRule="auto"/>
              <w:ind w:firstLine="0"/>
            </w:pPr>
            <w:r w:rsidRPr="004D46AC">
              <w:rPr>
                <w:color w:val="000000"/>
                <w:szCs w:val="21"/>
              </w:rPr>
              <w:t xml:space="preserve">0.55 </w:t>
            </w:r>
          </w:p>
        </w:tc>
        <w:tc>
          <w:tcPr>
            <w:tcW w:w="1705" w:type="dxa"/>
            <w:vAlign w:val="center"/>
          </w:tcPr>
          <w:p w14:paraId="45718165" w14:textId="77777777" w:rsidR="000B4CBF" w:rsidRPr="004D46AC" w:rsidRDefault="000B4CBF" w:rsidP="00B518F1">
            <w:pPr>
              <w:spacing w:line="240" w:lineRule="auto"/>
              <w:ind w:firstLine="0"/>
            </w:pPr>
            <w:r w:rsidRPr="004D46AC">
              <w:rPr>
                <w:color w:val="000000"/>
                <w:szCs w:val="21"/>
              </w:rPr>
              <w:t xml:space="preserve">0.39 </w:t>
            </w:r>
          </w:p>
        </w:tc>
      </w:tr>
      <w:tr w:rsidR="000B4CBF" w:rsidRPr="004D46AC" w14:paraId="6A06222C" w14:textId="77777777" w:rsidTr="00B518F1">
        <w:tc>
          <w:tcPr>
            <w:tcW w:w="1704" w:type="dxa"/>
            <w:vAlign w:val="center"/>
          </w:tcPr>
          <w:p w14:paraId="2F1190EE" w14:textId="77777777" w:rsidR="000B4CBF" w:rsidRPr="004D46AC" w:rsidRDefault="000B4CBF" w:rsidP="00B518F1">
            <w:pPr>
              <w:spacing w:line="240" w:lineRule="auto"/>
              <w:ind w:firstLine="0"/>
            </w:pPr>
            <w:r w:rsidRPr="004D46AC">
              <w:rPr>
                <w:color w:val="000000"/>
              </w:rPr>
              <w:t>TR30--TR14</w:t>
            </w:r>
          </w:p>
        </w:tc>
        <w:tc>
          <w:tcPr>
            <w:tcW w:w="1704" w:type="dxa"/>
            <w:vAlign w:val="center"/>
          </w:tcPr>
          <w:p w14:paraId="4FF1CB15"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0A08CF8E" w14:textId="77777777" w:rsidR="000B4CBF" w:rsidRPr="004D46AC" w:rsidRDefault="000B4CBF" w:rsidP="00B518F1">
            <w:pPr>
              <w:spacing w:line="240" w:lineRule="auto"/>
              <w:ind w:firstLine="0"/>
            </w:pPr>
            <w:r w:rsidRPr="004D46AC">
              <w:rPr>
                <w:color w:val="000000"/>
                <w:szCs w:val="21"/>
              </w:rPr>
              <w:t xml:space="preserve">-0.26 </w:t>
            </w:r>
          </w:p>
        </w:tc>
        <w:tc>
          <w:tcPr>
            <w:tcW w:w="1705" w:type="dxa"/>
            <w:vAlign w:val="center"/>
          </w:tcPr>
          <w:p w14:paraId="0F0F35C8" w14:textId="77777777" w:rsidR="000B4CBF" w:rsidRPr="004D46AC" w:rsidRDefault="000B4CBF" w:rsidP="00B518F1">
            <w:pPr>
              <w:spacing w:line="240" w:lineRule="auto"/>
              <w:ind w:firstLine="0"/>
            </w:pPr>
            <w:r w:rsidRPr="004D46AC">
              <w:rPr>
                <w:color w:val="000000"/>
                <w:szCs w:val="21"/>
              </w:rPr>
              <w:t xml:space="preserve">0.51 </w:t>
            </w:r>
          </w:p>
        </w:tc>
        <w:tc>
          <w:tcPr>
            <w:tcW w:w="1705" w:type="dxa"/>
            <w:vAlign w:val="center"/>
          </w:tcPr>
          <w:p w14:paraId="558F002A" w14:textId="77777777" w:rsidR="000B4CBF" w:rsidRPr="004D46AC" w:rsidRDefault="000B4CBF" w:rsidP="00B518F1">
            <w:pPr>
              <w:spacing w:line="240" w:lineRule="auto"/>
              <w:ind w:firstLine="0"/>
            </w:pPr>
            <w:r w:rsidRPr="004D46AC">
              <w:rPr>
                <w:color w:val="000000"/>
                <w:szCs w:val="21"/>
              </w:rPr>
              <w:t xml:space="preserve">0.52 </w:t>
            </w:r>
          </w:p>
        </w:tc>
      </w:tr>
      <w:tr w:rsidR="000B4CBF" w:rsidRPr="004D46AC" w14:paraId="64ADFB6C" w14:textId="77777777" w:rsidTr="00B518F1">
        <w:tc>
          <w:tcPr>
            <w:tcW w:w="1704" w:type="dxa"/>
            <w:vAlign w:val="center"/>
          </w:tcPr>
          <w:p w14:paraId="0859E6CD" w14:textId="77777777" w:rsidR="000B4CBF" w:rsidRPr="004D46AC" w:rsidRDefault="000B4CBF" w:rsidP="00B518F1">
            <w:pPr>
              <w:spacing w:line="240" w:lineRule="auto"/>
              <w:ind w:firstLine="0"/>
            </w:pPr>
            <w:r w:rsidRPr="004D46AC">
              <w:rPr>
                <w:color w:val="000000"/>
              </w:rPr>
              <w:t>TR15--TR24</w:t>
            </w:r>
          </w:p>
        </w:tc>
        <w:tc>
          <w:tcPr>
            <w:tcW w:w="1704" w:type="dxa"/>
            <w:vAlign w:val="center"/>
          </w:tcPr>
          <w:p w14:paraId="7BF800C3" w14:textId="77777777" w:rsidR="000B4CBF" w:rsidRPr="004D46AC" w:rsidRDefault="000B4CBF" w:rsidP="00B518F1">
            <w:pPr>
              <w:spacing w:line="240" w:lineRule="auto"/>
              <w:ind w:firstLine="0"/>
            </w:pPr>
            <w:r w:rsidRPr="004D46AC">
              <w:rPr>
                <w:color w:val="000000"/>
                <w:szCs w:val="21"/>
              </w:rPr>
              <w:t xml:space="preserve">0.12 </w:t>
            </w:r>
          </w:p>
        </w:tc>
        <w:tc>
          <w:tcPr>
            <w:tcW w:w="1704" w:type="dxa"/>
            <w:vAlign w:val="center"/>
          </w:tcPr>
          <w:p w14:paraId="7442452D" w14:textId="77777777" w:rsidR="000B4CBF" w:rsidRPr="004D46AC" w:rsidRDefault="000B4CBF" w:rsidP="00B518F1">
            <w:pPr>
              <w:spacing w:line="240" w:lineRule="auto"/>
              <w:ind w:firstLine="0"/>
            </w:pPr>
            <w:r w:rsidRPr="004D46AC">
              <w:rPr>
                <w:color w:val="000000"/>
                <w:szCs w:val="21"/>
              </w:rPr>
              <w:t xml:space="preserve">-0.25 </w:t>
            </w:r>
          </w:p>
        </w:tc>
        <w:tc>
          <w:tcPr>
            <w:tcW w:w="1705" w:type="dxa"/>
            <w:vAlign w:val="center"/>
          </w:tcPr>
          <w:p w14:paraId="2D64D7CB" w14:textId="77777777" w:rsidR="000B4CBF" w:rsidRPr="004D46AC" w:rsidRDefault="000B4CBF" w:rsidP="00B518F1">
            <w:pPr>
              <w:spacing w:line="240" w:lineRule="auto"/>
              <w:ind w:firstLine="0"/>
            </w:pPr>
            <w:r w:rsidRPr="004D46AC">
              <w:rPr>
                <w:color w:val="000000"/>
                <w:szCs w:val="21"/>
              </w:rPr>
              <w:t xml:space="preserve">0.49 </w:t>
            </w:r>
          </w:p>
        </w:tc>
        <w:tc>
          <w:tcPr>
            <w:tcW w:w="1705" w:type="dxa"/>
            <w:vAlign w:val="center"/>
          </w:tcPr>
          <w:p w14:paraId="10B757BF" w14:textId="77777777" w:rsidR="000B4CBF" w:rsidRPr="004D46AC" w:rsidRDefault="000B4CBF" w:rsidP="00B518F1">
            <w:pPr>
              <w:spacing w:line="240" w:lineRule="auto"/>
              <w:ind w:firstLine="0"/>
            </w:pPr>
            <w:r w:rsidRPr="004D46AC">
              <w:rPr>
                <w:color w:val="000000"/>
                <w:szCs w:val="21"/>
              </w:rPr>
              <w:t xml:space="preserve">0.48 </w:t>
            </w:r>
          </w:p>
        </w:tc>
      </w:tr>
      <w:tr w:rsidR="000B4CBF" w:rsidRPr="004D46AC" w14:paraId="26C99CF0" w14:textId="77777777" w:rsidTr="00B518F1">
        <w:tc>
          <w:tcPr>
            <w:tcW w:w="1704" w:type="dxa"/>
            <w:vAlign w:val="center"/>
          </w:tcPr>
          <w:p w14:paraId="0193518E" w14:textId="77777777" w:rsidR="000B4CBF" w:rsidRPr="004D46AC" w:rsidRDefault="000B4CBF" w:rsidP="00B518F1">
            <w:pPr>
              <w:spacing w:line="240" w:lineRule="auto"/>
              <w:ind w:firstLine="0"/>
            </w:pPr>
            <w:r w:rsidRPr="004D46AC">
              <w:rPr>
                <w:color w:val="000000"/>
              </w:rPr>
              <w:t>TR18--TR30</w:t>
            </w:r>
          </w:p>
        </w:tc>
        <w:tc>
          <w:tcPr>
            <w:tcW w:w="1704" w:type="dxa"/>
            <w:vAlign w:val="center"/>
          </w:tcPr>
          <w:p w14:paraId="0BAC569B" w14:textId="77777777" w:rsidR="000B4CBF" w:rsidRPr="004D46AC" w:rsidRDefault="000B4CBF" w:rsidP="00B518F1">
            <w:pPr>
              <w:spacing w:line="240" w:lineRule="auto"/>
              <w:ind w:firstLine="0"/>
            </w:pPr>
            <w:r w:rsidRPr="004D46AC">
              <w:rPr>
                <w:color w:val="000000"/>
                <w:szCs w:val="21"/>
              </w:rPr>
              <w:t xml:space="preserve">0.12 </w:t>
            </w:r>
          </w:p>
        </w:tc>
        <w:tc>
          <w:tcPr>
            <w:tcW w:w="1704" w:type="dxa"/>
            <w:vAlign w:val="center"/>
          </w:tcPr>
          <w:p w14:paraId="6D833D9E" w14:textId="77777777" w:rsidR="000B4CBF" w:rsidRPr="004D46AC" w:rsidRDefault="000B4CBF" w:rsidP="00B518F1">
            <w:pPr>
              <w:spacing w:line="240" w:lineRule="auto"/>
              <w:ind w:firstLine="0"/>
            </w:pPr>
            <w:r w:rsidRPr="004D46AC">
              <w:rPr>
                <w:color w:val="000000"/>
                <w:szCs w:val="21"/>
              </w:rPr>
              <w:t xml:space="preserve">-0.26 </w:t>
            </w:r>
          </w:p>
        </w:tc>
        <w:tc>
          <w:tcPr>
            <w:tcW w:w="1705" w:type="dxa"/>
            <w:vAlign w:val="center"/>
          </w:tcPr>
          <w:p w14:paraId="5EDFBC69" w14:textId="77777777" w:rsidR="000B4CBF" w:rsidRPr="004D46AC" w:rsidRDefault="000B4CBF" w:rsidP="00B518F1">
            <w:pPr>
              <w:spacing w:line="240" w:lineRule="auto"/>
              <w:ind w:firstLine="0"/>
            </w:pPr>
            <w:r w:rsidRPr="004D46AC">
              <w:rPr>
                <w:color w:val="000000"/>
                <w:szCs w:val="21"/>
              </w:rPr>
              <w:t xml:space="preserve">0.49 </w:t>
            </w:r>
          </w:p>
        </w:tc>
        <w:tc>
          <w:tcPr>
            <w:tcW w:w="1705" w:type="dxa"/>
            <w:vAlign w:val="center"/>
          </w:tcPr>
          <w:p w14:paraId="484C00DB" w14:textId="77777777" w:rsidR="000B4CBF" w:rsidRPr="004D46AC" w:rsidRDefault="000B4CBF" w:rsidP="00B518F1">
            <w:pPr>
              <w:spacing w:line="240" w:lineRule="auto"/>
              <w:ind w:firstLine="0"/>
            </w:pPr>
            <w:r w:rsidRPr="004D46AC">
              <w:rPr>
                <w:color w:val="000000"/>
                <w:szCs w:val="21"/>
              </w:rPr>
              <w:t xml:space="preserve">0.50 </w:t>
            </w:r>
          </w:p>
        </w:tc>
      </w:tr>
      <w:tr w:rsidR="000B4CBF" w:rsidRPr="004D46AC" w14:paraId="5A20C765" w14:textId="77777777" w:rsidTr="00B518F1">
        <w:tc>
          <w:tcPr>
            <w:tcW w:w="1704" w:type="dxa"/>
            <w:vAlign w:val="center"/>
          </w:tcPr>
          <w:p w14:paraId="1F9672B0" w14:textId="77777777" w:rsidR="000B4CBF" w:rsidRPr="004D46AC" w:rsidRDefault="000B4CBF" w:rsidP="00B518F1">
            <w:pPr>
              <w:spacing w:line="240" w:lineRule="auto"/>
              <w:ind w:firstLine="0"/>
            </w:pPr>
            <w:r w:rsidRPr="004D46AC">
              <w:rPr>
                <w:color w:val="000000"/>
              </w:rPr>
              <w:t>TR19--TR16</w:t>
            </w:r>
          </w:p>
        </w:tc>
        <w:tc>
          <w:tcPr>
            <w:tcW w:w="1704" w:type="dxa"/>
            <w:vAlign w:val="center"/>
          </w:tcPr>
          <w:p w14:paraId="69BA990F" w14:textId="77777777" w:rsidR="000B4CBF" w:rsidRPr="004D46AC" w:rsidRDefault="000B4CBF" w:rsidP="00B518F1">
            <w:pPr>
              <w:spacing w:line="240" w:lineRule="auto"/>
              <w:ind w:firstLine="0"/>
            </w:pPr>
            <w:r w:rsidRPr="004D46AC">
              <w:rPr>
                <w:color w:val="000000"/>
                <w:szCs w:val="21"/>
              </w:rPr>
              <w:t xml:space="preserve">0.12 </w:t>
            </w:r>
          </w:p>
        </w:tc>
        <w:tc>
          <w:tcPr>
            <w:tcW w:w="1704" w:type="dxa"/>
            <w:vAlign w:val="center"/>
          </w:tcPr>
          <w:p w14:paraId="368ECD76" w14:textId="77777777" w:rsidR="000B4CBF" w:rsidRPr="004D46AC" w:rsidRDefault="000B4CBF" w:rsidP="00B518F1">
            <w:pPr>
              <w:spacing w:line="240" w:lineRule="auto"/>
              <w:ind w:firstLine="0"/>
            </w:pPr>
            <w:r w:rsidRPr="004D46AC">
              <w:rPr>
                <w:color w:val="000000"/>
                <w:szCs w:val="21"/>
              </w:rPr>
              <w:t xml:space="preserve">-0.33 </w:t>
            </w:r>
          </w:p>
        </w:tc>
        <w:tc>
          <w:tcPr>
            <w:tcW w:w="1705" w:type="dxa"/>
            <w:vAlign w:val="center"/>
          </w:tcPr>
          <w:p w14:paraId="1F6CE8C2" w14:textId="77777777" w:rsidR="000B4CBF" w:rsidRPr="004D46AC" w:rsidRDefault="000B4CBF" w:rsidP="00B518F1">
            <w:pPr>
              <w:spacing w:line="240" w:lineRule="auto"/>
              <w:ind w:firstLine="0"/>
            </w:pPr>
            <w:r w:rsidRPr="004D46AC">
              <w:rPr>
                <w:color w:val="000000"/>
                <w:szCs w:val="21"/>
              </w:rPr>
              <w:t xml:space="preserve">0.56 </w:t>
            </w:r>
          </w:p>
        </w:tc>
        <w:tc>
          <w:tcPr>
            <w:tcW w:w="1705" w:type="dxa"/>
            <w:vAlign w:val="center"/>
          </w:tcPr>
          <w:p w14:paraId="302A197E" w14:textId="77777777" w:rsidR="000B4CBF" w:rsidRPr="004D46AC" w:rsidRDefault="000B4CBF" w:rsidP="00B518F1">
            <w:pPr>
              <w:spacing w:line="240" w:lineRule="auto"/>
              <w:ind w:firstLine="0"/>
            </w:pPr>
            <w:r w:rsidRPr="004D46AC">
              <w:rPr>
                <w:color w:val="000000"/>
                <w:szCs w:val="21"/>
              </w:rPr>
              <w:t xml:space="preserve">0.44 </w:t>
            </w:r>
          </w:p>
        </w:tc>
      </w:tr>
      <w:tr w:rsidR="000B4CBF" w:rsidRPr="004D46AC" w14:paraId="7D1FA493" w14:textId="77777777" w:rsidTr="00B518F1">
        <w:tc>
          <w:tcPr>
            <w:tcW w:w="1704" w:type="dxa"/>
            <w:vAlign w:val="center"/>
          </w:tcPr>
          <w:p w14:paraId="368E589D" w14:textId="77777777" w:rsidR="000B4CBF" w:rsidRPr="004D46AC" w:rsidRDefault="000B4CBF" w:rsidP="00B518F1">
            <w:pPr>
              <w:spacing w:line="240" w:lineRule="auto"/>
              <w:ind w:firstLine="0"/>
            </w:pPr>
            <w:r w:rsidRPr="004D46AC">
              <w:rPr>
                <w:color w:val="000000"/>
              </w:rPr>
              <w:t>TR14--TR20</w:t>
            </w:r>
          </w:p>
        </w:tc>
        <w:tc>
          <w:tcPr>
            <w:tcW w:w="1704" w:type="dxa"/>
            <w:vAlign w:val="center"/>
          </w:tcPr>
          <w:p w14:paraId="0DEA6098" w14:textId="77777777" w:rsidR="000B4CBF" w:rsidRPr="004D46AC" w:rsidRDefault="000B4CBF" w:rsidP="00B518F1">
            <w:pPr>
              <w:spacing w:line="240" w:lineRule="auto"/>
              <w:ind w:firstLine="0"/>
            </w:pPr>
            <w:r w:rsidRPr="004D46AC">
              <w:rPr>
                <w:color w:val="000000"/>
                <w:szCs w:val="21"/>
              </w:rPr>
              <w:t xml:space="preserve">0.11 </w:t>
            </w:r>
          </w:p>
        </w:tc>
        <w:tc>
          <w:tcPr>
            <w:tcW w:w="1704" w:type="dxa"/>
            <w:vAlign w:val="center"/>
          </w:tcPr>
          <w:p w14:paraId="73886DB9" w14:textId="77777777" w:rsidR="000B4CBF" w:rsidRPr="004D46AC" w:rsidRDefault="000B4CBF" w:rsidP="00B518F1">
            <w:pPr>
              <w:spacing w:line="240" w:lineRule="auto"/>
              <w:ind w:firstLine="0"/>
            </w:pPr>
            <w:r w:rsidRPr="004D46AC">
              <w:rPr>
                <w:color w:val="000000"/>
                <w:szCs w:val="21"/>
              </w:rPr>
              <w:t xml:space="preserve">-0.29 </w:t>
            </w:r>
          </w:p>
        </w:tc>
        <w:tc>
          <w:tcPr>
            <w:tcW w:w="1705" w:type="dxa"/>
            <w:vAlign w:val="center"/>
          </w:tcPr>
          <w:p w14:paraId="53E64F7C" w14:textId="77777777" w:rsidR="000B4CBF" w:rsidRPr="004D46AC" w:rsidRDefault="000B4CBF" w:rsidP="00B518F1">
            <w:pPr>
              <w:spacing w:line="240" w:lineRule="auto"/>
              <w:ind w:firstLine="0"/>
            </w:pPr>
            <w:r w:rsidRPr="004D46AC">
              <w:rPr>
                <w:color w:val="000000"/>
                <w:szCs w:val="21"/>
              </w:rPr>
              <w:t xml:space="preserve">0.52 </w:t>
            </w:r>
          </w:p>
        </w:tc>
        <w:tc>
          <w:tcPr>
            <w:tcW w:w="1705" w:type="dxa"/>
            <w:vAlign w:val="center"/>
          </w:tcPr>
          <w:p w14:paraId="45843CDC" w14:textId="77777777" w:rsidR="000B4CBF" w:rsidRPr="004D46AC" w:rsidRDefault="000B4CBF" w:rsidP="00B518F1">
            <w:pPr>
              <w:spacing w:line="240" w:lineRule="auto"/>
              <w:ind w:firstLine="0"/>
            </w:pPr>
            <w:r w:rsidRPr="004D46AC">
              <w:rPr>
                <w:color w:val="000000"/>
                <w:szCs w:val="21"/>
              </w:rPr>
              <w:t xml:space="preserve">0.39 </w:t>
            </w:r>
          </w:p>
        </w:tc>
      </w:tr>
      <w:tr w:rsidR="000B4CBF" w:rsidRPr="004D46AC" w14:paraId="356805B7" w14:textId="77777777" w:rsidTr="00B518F1">
        <w:tc>
          <w:tcPr>
            <w:tcW w:w="1704" w:type="dxa"/>
            <w:vAlign w:val="center"/>
          </w:tcPr>
          <w:p w14:paraId="41F9A7BE" w14:textId="77777777" w:rsidR="000B4CBF" w:rsidRPr="004D46AC" w:rsidRDefault="000B4CBF" w:rsidP="00B518F1">
            <w:pPr>
              <w:spacing w:line="240" w:lineRule="auto"/>
              <w:ind w:firstLine="0"/>
            </w:pPr>
            <w:r w:rsidRPr="004D46AC">
              <w:rPr>
                <w:color w:val="000000"/>
              </w:rPr>
              <w:t>TR26--TR37</w:t>
            </w:r>
          </w:p>
        </w:tc>
        <w:tc>
          <w:tcPr>
            <w:tcW w:w="1704" w:type="dxa"/>
            <w:vAlign w:val="center"/>
          </w:tcPr>
          <w:p w14:paraId="21A5061B" w14:textId="77777777" w:rsidR="000B4CBF" w:rsidRPr="004D46AC" w:rsidRDefault="000B4CBF" w:rsidP="00B518F1">
            <w:pPr>
              <w:spacing w:line="240" w:lineRule="auto"/>
              <w:ind w:firstLine="0"/>
            </w:pPr>
            <w:r w:rsidRPr="004D46AC">
              <w:rPr>
                <w:color w:val="000000"/>
                <w:szCs w:val="21"/>
              </w:rPr>
              <w:t xml:space="preserve">0.11 </w:t>
            </w:r>
          </w:p>
        </w:tc>
        <w:tc>
          <w:tcPr>
            <w:tcW w:w="1704" w:type="dxa"/>
            <w:vAlign w:val="center"/>
          </w:tcPr>
          <w:p w14:paraId="52E80ABB"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2AF0885E" w14:textId="77777777" w:rsidR="000B4CBF" w:rsidRPr="004D46AC" w:rsidRDefault="000B4CBF" w:rsidP="00B518F1">
            <w:pPr>
              <w:spacing w:line="240" w:lineRule="auto"/>
              <w:ind w:firstLine="0"/>
            </w:pPr>
            <w:r w:rsidRPr="004D46AC">
              <w:rPr>
                <w:color w:val="000000"/>
                <w:szCs w:val="21"/>
              </w:rPr>
              <w:t xml:space="preserve">0.46 </w:t>
            </w:r>
          </w:p>
        </w:tc>
        <w:tc>
          <w:tcPr>
            <w:tcW w:w="1705" w:type="dxa"/>
            <w:vAlign w:val="center"/>
          </w:tcPr>
          <w:p w14:paraId="68AC4F38" w14:textId="77777777" w:rsidR="000B4CBF" w:rsidRPr="004D46AC" w:rsidRDefault="000B4CBF" w:rsidP="00B518F1">
            <w:pPr>
              <w:spacing w:line="240" w:lineRule="auto"/>
              <w:ind w:firstLine="0"/>
            </w:pPr>
            <w:r w:rsidRPr="004D46AC">
              <w:rPr>
                <w:color w:val="000000"/>
                <w:szCs w:val="21"/>
              </w:rPr>
              <w:t xml:space="preserve">0.48 </w:t>
            </w:r>
          </w:p>
        </w:tc>
      </w:tr>
      <w:tr w:rsidR="000B4CBF" w:rsidRPr="004D46AC" w14:paraId="57DCC05C" w14:textId="77777777" w:rsidTr="00B518F1">
        <w:tc>
          <w:tcPr>
            <w:tcW w:w="1704" w:type="dxa"/>
            <w:vAlign w:val="center"/>
          </w:tcPr>
          <w:p w14:paraId="72B0064F" w14:textId="77777777" w:rsidR="000B4CBF" w:rsidRPr="004D46AC" w:rsidRDefault="000B4CBF" w:rsidP="00B518F1">
            <w:pPr>
              <w:spacing w:line="240" w:lineRule="auto"/>
              <w:ind w:firstLine="0"/>
            </w:pPr>
            <w:r w:rsidRPr="004D46AC">
              <w:rPr>
                <w:color w:val="000000"/>
              </w:rPr>
              <w:t>TR17--TR18</w:t>
            </w:r>
          </w:p>
        </w:tc>
        <w:tc>
          <w:tcPr>
            <w:tcW w:w="1704" w:type="dxa"/>
            <w:vAlign w:val="center"/>
          </w:tcPr>
          <w:p w14:paraId="65EEF3D1" w14:textId="77777777" w:rsidR="000B4CBF" w:rsidRPr="004D46AC" w:rsidRDefault="000B4CBF" w:rsidP="00B518F1">
            <w:pPr>
              <w:spacing w:line="240" w:lineRule="auto"/>
              <w:ind w:firstLine="0"/>
            </w:pPr>
            <w:r w:rsidRPr="004D46AC">
              <w:rPr>
                <w:color w:val="000000"/>
                <w:szCs w:val="21"/>
              </w:rPr>
              <w:t xml:space="preserve">0.11 </w:t>
            </w:r>
          </w:p>
        </w:tc>
        <w:tc>
          <w:tcPr>
            <w:tcW w:w="1704" w:type="dxa"/>
            <w:vAlign w:val="center"/>
          </w:tcPr>
          <w:p w14:paraId="1B0C8127" w14:textId="77777777" w:rsidR="000B4CBF" w:rsidRPr="004D46AC" w:rsidRDefault="000B4CBF" w:rsidP="00B518F1">
            <w:pPr>
              <w:spacing w:line="240" w:lineRule="auto"/>
              <w:ind w:firstLine="0"/>
            </w:pPr>
            <w:r w:rsidRPr="004D46AC">
              <w:rPr>
                <w:color w:val="000000"/>
                <w:szCs w:val="21"/>
              </w:rPr>
              <w:t xml:space="preserve">-0.26 </w:t>
            </w:r>
          </w:p>
        </w:tc>
        <w:tc>
          <w:tcPr>
            <w:tcW w:w="1705" w:type="dxa"/>
            <w:vAlign w:val="center"/>
          </w:tcPr>
          <w:p w14:paraId="49C3820B" w14:textId="77777777" w:rsidR="000B4CBF" w:rsidRPr="004D46AC" w:rsidRDefault="000B4CBF" w:rsidP="00B518F1">
            <w:pPr>
              <w:spacing w:line="240" w:lineRule="auto"/>
              <w:ind w:firstLine="0"/>
            </w:pPr>
            <w:r w:rsidRPr="004D46AC">
              <w:rPr>
                <w:color w:val="000000"/>
                <w:szCs w:val="21"/>
              </w:rPr>
              <w:t xml:space="preserve">0.47 </w:t>
            </w:r>
          </w:p>
        </w:tc>
        <w:tc>
          <w:tcPr>
            <w:tcW w:w="1705" w:type="dxa"/>
            <w:vAlign w:val="center"/>
          </w:tcPr>
          <w:p w14:paraId="6C60C7C5" w14:textId="77777777" w:rsidR="000B4CBF" w:rsidRPr="004D46AC" w:rsidRDefault="000B4CBF" w:rsidP="00B518F1">
            <w:pPr>
              <w:spacing w:line="240" w:lineRule="auto"/>
              <w:ind w:firstLine="0"/>
            </w:pPr>
            <w:r w:rsidRPr="004D46AC">
              <w:rPr>
                <w:color w:val="000000"/>
                <w:szCs w:val="21"/>
              </w:rPr>
              <w:t xml:space="preserve">0.55 </w:t>
            </w:r>
          </w:p>
        </w:tc>
      </w:tr>
      <w:tr w:rsidR="000B4CBF" w:rsidRPr="004D46AC" w14:paraId="519C19BB" w14:textId="77777777" w:rsidTr="00B518F1">
        <w:tc>
          <w:tcPr>
            <w:tcW w:w="1704" w:type="dxa"/>
            <w:vAlign w:val="center"/>
          </w:tcPr>
          <w:p w14:paraId="4ACC638F" w14:textId="77777777" w:rsidR="000B4CBF" w:rsidRPr="004D46AC" w:rsidRDefault="000B4CBF" w:rsidP="00B518F1">
            <w:pPr>
              <w:spacing w:line="240" w:lineRule="auto"/>
              <w:ind w:firstLine="0"/>
            </w:pPr>
            <w:r w:rsidRPr="004D46AC">
              <w:rPr>
                <w:color w:val="000000"/>
              </w:rPr>
              <w:t>TR24--TR37</w:t>
            </w:r>
          </w:p>
        </w:tc>
        <w:tc>
          <w:tcPr>
            <w:tcW w:w="1704" w:type="dxa"/>
            <w:vAlign w:val="center"/>
          </w:tcPr>
          <w:p w14:paraId="1E14527F" w14:textId="77777777" w:rsidR="000B4CBF" w:rsidRPr="004D46AC" w:rsidRDefault="000B4CBF" w:rsidP="00B518F1">
            <w:pPr>
              <w:spacing w:line="240" w:lineRule="auto"/>
              <w:ind w:firstLine="0"/>
            </w:pPr>
            <w:r w:rsidRPr="004D46AC">
              <w:rPr>
                <w:color w:val="000000"/>
                <w:szCs w:val="21"/>
              </w:rPr>
              <w:t xml:space="preserve">0.10 </w:t>
            </w:r>
          </w:p>
        </w:tc>
        <w:tc>
          <w:tcPr>
            <w:tcW w:w="1704" w:type="dxa"/>
            <w:vAlign w:val="center"/>
          </w:tcPr>
          <w:p w14:paraId="0CAD9B0C"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7B21C4B7" w14:textId="77777777" w:rsidR="000B4CBF" w:rsidRPr="004D46AC" w:rsidRDefault="000B4CBF" w:rsidP="00B518F1">
            <w:pPr>
              <w:spacing w:line="240" w:lineRule="auto"/>
              <w:ind w:firstLine="0"/>
            </w:pPr>
            <w:r w:rsidRPr="004D46AC">
              <w:rPr>
                <w:color w:val="000000"/>
                <w:szCs w:val="21"/>
              </w:rPr>
              <w:t xml:space="preserve">0.45 </w:t>
            </w:r>
          </w:p>
        </w:tc>
        <w:tc>
          <w:tcPr>
            <w:tcW w:w="1705" w:type="dxa"/>
            <w:vAlign w:val="center"/>
          </w:tcPr>
          <w:p w14:paraId="5984AADF" w14:textId="77777777" w:rsidR="000B4CBF" w:rsidRPr="004D46AC" w:rsidRDefault="000B4CBF" w:rsidP="00B518F1">
            <w:pPr>
              <w:spacing w:line="240" w:lineRule="auto"/>
              <w:ind w:firstLine="0"/>
            </w:pPr>
            <w:r w:rsidRPr="004D46AC">
              <w:rPr>
                <w:color w:val="000000"/>
                <w:szCs w:val="21"/>
              </w:rPr>
              <w:t xml:space="preserve">0.51 </w:t>
            </w:r>
          </w:p>
        </w:tc>
      </w:tr>
      <w:tr w:rsidR="000B4CBF" w:rsidRPr="004D46AC" w14:paraId="5C9C4AA9" w14:textId="77777777" w:rsidTr="00B518F1">
        <w:tc>
          <w:tcPr>
            <w:tcW w:w="1704" w:type="dxa"/>
            <w:vAlign w:val="center"/>
          </w:tcPr>
          <w:p w14:paraId="6C940A46" w14:textId="77777777" w:rsidR="000B4CBF" w:rsidRPr="004D46AC" w:rsidRDefault="000B4CBF" w:rsidP="00B518F1">
            <w:pPr>
              <w:spacing w:line="240" w:lineRule="auto"/>
              <w:ind w:firstLine="0"/>
            </w:pPr>
            <w:r w:rsidRPr="004D46AC">
              <w:rPr>
                <w:color w:val="000000"/>
              </w:rPr>
              <w:t>TR34--TR33</w:t>
            </w:r>
          </w:p>
        </w:tc>
        <w:tc>
          <w:tcPr>
            <w:tcW w:w="1704" w:type="dxa"/>
            <w:vAlign w:val="center"/>
          </w:tcPr>
          <w:p w14:paraId="065B1C7D" w14:textId="77777777" w:rsidR="000B4CBF" w:rsidRPr="004D46AC" w:rsidRDefault="000B4CBF" w:rsidP="00B518F1">
            <w:pPr>
              <w:spacing w:line="240" w:lineRule="auto"/>
              <w:ind w:firstLine="0"/>
            </w:pPr>
            <w:r w:rsidRPr="004D46AC">
              <w:rPr>
                <w:color w:val="000000"/>
                <w:szCs w:val="21"/>
              </w:rPr>
              <w:t xml:space="preserve">0.09 </w:t>
            </w:r>
          </w:p>
        </w:tc>
        <w:tc>
          <w:tcPr>
            <w:tcW w:w="1704" w:type="dxa"/>
            <w:vAlign w:val="center"/>
          </w:tcPr>
          <w:p w14:paraId="7060A107"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460E7D88" w14:textId="77777777" w:rsidR="000B4CBF" w:rsidRPr="004D46AC" w:rsidRDefault="000B4CBF" w:rsidP="00B518F1">
            <w:pPr>
              <w:spacing w:line="240" w:lineRule="auto"/>
              <w:ind w:firstLine="0"/>
            </w:pPr>
            <w:r w:rsidRPr="004D46AC">
              <w:rPr>
                <w:color w:val="000000"/>
                <w:szCs w:val="21"/>
              </w:rPr>
              <w:t xml:space="preserve">0.41 </w:t>
            </w:r>
          </w:p>
        </w:tc>
        <w:tc>
          <w:tcPr>
            <w:tcW w:w="1705" w:type="dxa"/>
            <w:vAlign w:val="center"/>
          </w:tcPr>
          <w:p w14:paraId="34F2AB24" w14:textId="77777777" w:rsidR="000B4CBF" w:rsidRPr="004D46AC" w:rsidRDefault="000B4CBF" w:rsidP="00B518F1">
            <w:pPr>
              <w:spacing w:line="240" w:lineRule="auto"/>
              <w:ind w:firstLine="0"/>
            </w:pPr>
            <w:r w:rsidRPr="004D46AC">
              <w:rPr>
                <w:color w:val="000000"/>
                <w:szCs w:val="21"/>
              </w:rPr>
              <w:t xml:space="preserve">0.61 </w:t>
            </w:r>
          </w:p>
        </w:tc>
      </w:tr>
      <w:tr w:rsidR="000B4CBF" w:rsidRPr="004D46AC" w14:paraId="30F28643" w14:textId="77777777" w:rsidTr="00B518F1">
        <w:tc>
          <w:tcPr>
            <w:tcW w:w="1704" w:type="dxa"/>
            <w:vAlign w:val="center"/>
          </w:tcPr>
          <w:p w14:paraId="72E91347" w14:textId="77777777" w:rsidR="000B4CBF" w:rsidRPr="004D46AC" w:rsidRDefault="000B4CBF" w:rsidP="00B518F1">
            <w:pPr>
              <w:spacing w:line="240" w:lineRule="auto"/>
              <w:ind w:firstLine="0"/>
            </w:pPr>
            <w:r w:rsidRPr="004D46AC">
              <w:rPr>
                <w:color w:val="000000"/>
              </w:rPr>
              <w:t>TR37--TR20</w:t>
            </w:r>
          </w:p>
        </w:tc>
        <w:tc>
          <w:tcPr>
            <w:tcW w:w="1704" w:type="dxa"/>
            <w:vAlign w:val="center"/>
          </w:tcPr>
          <w:p w14:paraId="72957B7B" w14:textId="77777777" w:rsidR="000B4CBF" w:rsidRPr="004D46AC" w:rsidRDefault="000B4CBF" w:rsidP="00B518F1">
            <w:pPr>
              <w:spacing w:line="240" w:lineRule="auto"/>
              <w:ind w:firstLine="0"/>
            </w:pPr>
            <w:r w:rsidRPr="004D46AC">
              <w:rPr>
                <w:color w:val="000000"/>
                <w:szCs w:val="21"/>
              </w:rPr>
              <w:t xml:space="preserve">0.09 </w:t>
            </w:r>
          </w:p>
        </w:tc>
        <w:tc>
          <w:tcPr>
            <w:tcW w:w="1704" w:type="dxa"/>
            <w:vAlign w:val="center"/>
          </w:tcPr>
          <w:p w14:paraId="6BAF2514"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392E52CC" w14:textId="77777777" w:rsidR="000B4CBF" w:rsidRPr="004D46AC" w:rsidRDefault="000B4CBF" w:rsidP="00B518F1">
            <w:pPr>
              <w:spacing w:line="240" w:lineRule="auto"/>
              <w:ind w:firstLine="0"/>
            </w:pPr>
            <w:r w:rsidRPr="004D46AC">
              <w:rPr>
                <w:color w:val="000000"/>
                <w:szCs w:val="21"/>
              </w:rPr>
              <w:t xml:space="preserve">0.37 </w:t>
            </w:r>
          </w:p>
        </w:tc>
        <w:tc>
          <w:tcPr>
            <w:tcW w:w="1705" w:type="dxa"/>
            <w:vAlign w:val="center"/>
          </w:tcPr>
          <w:p w14:paraId="412B308E" w14:textId="77777777" w:rsidR="000B4CBF" w:rsidRPr="004D46AC" w:rsidRDefault="000B4CBF" w:rsidP="00B518F1">
            <w:pPr>
              <w:spacing w:line="240" w:lineRule="auto"/>
              <w:ind w:firstLine="0"/>
            </w:pPr>
            <w:r w:rsidRPr="004D46AC">
              <w:rPr>
                <w:color w:val="000000"/>
                <w:szCs w:val="21"/>
              </w:rPr>
              <w:t xml:space="preserve">0.62 </w:t>
            </w:r>
          </w:p>
        </w:tc>
      </w:tr>
      <w:tr w:rsidR="000B4CBF" w:rsidRPr="004D46AC" w14:paraId="5038F4F3" w14:textId="77777777" w:rsidTr="00B518F1">
        <w:tc>
          <w:tcPr>
            <w:tcW w:w="1704" w:type="dxa"/>
            <w:vAlign w:val="center"/>
          </w:tcPr>
          <w:p w14:paraId="6315878A" w14:textId="77777777" w:rsidR="000B4CBF" w:rsidRPr="004D46AC" w:rsidRDefault="000B4CBF" w:rsidP="00B518F1">
            <w:pPr>
              <w:spacing w:line="240" w:lineRule="auto"/>
              <w:ind w:firstLine="0"/>
            </w:pPr>
            <w:r w:rsidRPr="004D46AC">
              <w:rPr>
                <w:color w:val="000000"/>
              </w:rPr>
              <w:t>TR17--TR25</w:t>
            </w:r>
          </w:p>
        </w:tc>
        <w:tc>
          <w:tcPr>
            <w:tcW w:w="1704" w:type="dxa"/>
            <w:vAlign w:val="center"/>
          </w:tcPr>
          <w:p w14:paraId="4BFD92BF" w14:textId="77777777" w:rsidR="000B4CBF" w:rsidRPr="004D46AC" w:rsidRDefault="000B4CBF" w:rsidP="00B518F1">
            <w:pPr>
              <w:spacing w:line="240" w:lineRule="auto"/>
              <w:ind w:firstLine="0"/>
            </w:pPr>
            <w:r w:rsidRPr="004D46AC">
              <w:rPr>
                <w:color w:val="000000"/>
                <w:szCs w:val="21"/>
              </w:rPr>
              <w:t xml:space="preserve">0.08 </w:t>
            </w:r>
          </w:p>
        </w:tc>
        <w:tc>
          <w:tcPr>
            <w:tcW w:w="1704" w:type="dxa"/>
            <w:vAlign w:val="center"/>
          </w:tcPr>
          <w:p w14:paraId="59F38C84" w14:textId="77777777" w:rsidR="000B4CBF" w:rsidRPr="004D46AC" w:rsidRDefault="000B4CBF" w:rsidP="00B518F1">
            <w:pPr>
              <w:spacing w:line="240" w:lineRule="auto"/>
              <w:ind w:firstLine="0"/>
            </w:pPr>
            <w:r w:rsidRPr="004D46AC">
              <w:rPr>
                <w:color w:val="000000"/>
                <w:szCs w:val="21"/>
              </w:rPr>
              <w:t xml:space="preserve">-0.28 </w:t>
            </w:r>
          </w:p>
        </w:tc>
        <w:tc>
          <w:tcPr>
            <w:tcW w:w="1705" w:type="dxa"/>
            <w:vAlign w:val="center"/>
          </w:tcPr>
          <w:p w14:paraId="6F6289B4" w14:textId="77777777" w:rsidR="000B4CBF" w:rsidRPr="004D46AC" w:rsidRDefault="000B4CBF" w:rsidP="00B518F1">
            <w:pPr>
              <w:spacing w:line="240" w:lineRule="auto"/>
              <w:ind w:firstLine="0"/>
            </w:pPr>
            <w:r w:rsidRPr="004D46AC">
              <w:rPr>
                <w:color w:val="000000"/>
                <w:szCs w:val="21"/>
              </w:rPr>
              <w:t xml:space="preserve">0.45 </w:t>
            </w:r>
          </w:p>
        </w:tc>
        <w:tc>
          <w:tcPr>
            <w:tcW w:w="1705" w:type="dxa"/>
            <w:vAlign w:val="center"/>
          </w:tcPr>
          <w:p w14:paraId="3249B1DB" w14:textId="77777777" w:rsidR="000B4CBF" w:rsidRPr="004D46AC" w:rsidRDefault="000B4CBF" w:rsidP="00B518F1">
            <w:pPr>
              <w:spacing w:line="240" w:lineRule="auto"/>
              <w:ind w:firstLine="0"/>
            </w:pPr>
            <w:r w:rsidRPr="004D46AC">
              <w:rPr>
                <w:color w:val="000000"/>
                <w:szCs w:val="21"/>
              </w:rPr>
              <w:t xml:space="preserve">0.59 </w:t>
            </w:r>
          </w:p>
        </w:tc>
      </w:tr>
      <w:tr w:rsidR="000B4CBF" w:rsidRPr="004D46AC" w14:paraId="0279A31B" w14:textId="77777777" w:rsidTr="00B518F1">
        <w:tc>
          <w:tcPr>
            <w:tcW w:w="1704" w:type="dxa"/>
            <w:vAlign w:val="center"/>
          </w:tcPr>
          <w:p w14:paraId="3419F8AD" w14:textId="77777777" w:rsidR="000B4CBF" w:rsidRPr="004D46AC" w:rsidRDefault="000B4CBF" w:rsidP="00B518F1">
            <w:pPr>
              <w:spacing w:line="240" w:lineRule="auto"/>
              <w:ind w:firstLine="0"/>
            </w:pPr>
            <w:r w:rsidRPr="004D46AC">
              <w:rPr>
                <w:color w:val="000000"/>
              </w:rPr>
              <w:t>TR19--TR20</w:t>
            </w:r>
          </w:p>
        </w:tc>
        <w:tc>
          <w:tcPr>
            <w:tcW w:w="1704" w:type="dxa"/>
            <w:vAlign w:val="center"/>
          </w:tcPr>
          <w:p w14:paraId="6365DBFD" w14:textId="77777777" w:rsidR="000B4CBF" w:rsidRPr="004D46AC" w:rsidRDefault="000B4CBF" w:rsidP="00B518F1">
            <w:pPr>
              <w:spacing w:line="240" w:lineRule="auto"/>
              <w:ind w:firstLine="0"/>
            </w:pPr>
            <w:r w:rsidRPr="004D46AC">
              <w:rPr>
                <w:color w:val="000000"/>
                <w:szCs w:val="21"/>
              </w:rPr>
              <w:t xml:space="preserve">0.08 </w:t>
            </w:r>
          </w:p>
        </w:tc>
        <w:tc>
          <w:tcPr>
            <w:tcW w:w="1704" w:type="dxa"/>
            <w:vAlign w:val="center"/>
          </w:tcPr>
          <w:p w14:paraId="55B55C44"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29A17100" w14:textId="77777777" w:rsidR="000B4CBF" w:rsidRPr="004D46AC" w:rsidRDefault="000B4CBF" w:rsidP="00B518F1">
            <w:pPr>
              <w:spacing w:line="240" w:lineRule="auto"/>
              <w:ind w:firstLine="0"/>
            </w:pPr>
            <w:r w:rsidRPr="004D46AC">
              <w:rPr>
                <w:color w:val="000000"/>
                <w:szCs w:val="21"/>
              </w:rPr>
              <w:t xml:space="preserve">0.41 </w:t>
            </w:r>
          </w:p>
        </w:tc>
        <w:tc>
          <w:tcPr>
            <w:tcW w:w="1705" w:type="dxa"/>
            <w:vAlign w:val="center"/>
          </w:tcPr>
          <w:p w14:paraId="3178CDBD" w14:textId="77777777" w:rsidR="000B4CBF" w:rsidRPr="004D46AC" w:rsidRDefault="000B4CBF" w:rsidP="00B518F1">
            <w:pPr>
              <w:spacing w:line="240" w:lineRule="auto"/>
              <w:ind w:firstLine="0"/>
            </w:pPr>
            <w:r w:rsidRPr="004D46AC">
              <w:rPr>
                <w:color w:val="000000"/>
                <w:szCs w:val="21"/>
              </w:rPr>
              <w:t xml:space="preserve">0.59 </w:t>
            </w:r>
          </w:p>
        </w:tc>
      </w:tr>
      <w:tr w:rsidR="000B4CBF" w:rsidRPr="004D46AC" w14:paraId="4D9E1ACB" w14:textId="77777777" w:rsidTr="00B518F1">
        <w:tc>
          <w:tcPr>
            <w:tcW w:w="1704" w:type="dxa"/>
            <w:vAlign w:val="center"/>
          </w:tcPr>
          <w:p w14:paraId="0F72F550" w14:textId="77777777" w:rsidR="000B4CBF" w:rsidRPr="004D46AC" w:rsidRDefault="000B4CBF" w:rsidP="00B518F1">
            <w:pPr>
              <w:spacing w:line="240" w:lineRule="auto"/>
              <w:ind w:firstLine="0"/>
            </w:pPr>
            <w:r w:rsidRPr="004D46AC">
              <w:rPr>
                <w:color w:val="000000"/>
              </w:rPr>
              <w:t>TR12--TR25</w:t>
            </w:r>
          </w:p>
        </w:tc>
        <w:tc>
          <w:tcPr>
            <w:tcW w:w="1704" w:type="dxa"/>
            <w:vAlign w:val="center"/>
          </w:tcPr>
          <w:p w14:paraId="4839C1E0" w14:textId="77777777" w:rsidR="000B4CBF" w:rsidRPr="004D46AC" w:rsidRDefault="000B4CBF" w:rsidP="00B518F1">
            <w:pPr>
              <w:spacing w:line="240" w:lineRule="auto"/>
              <w:ind w:firstLine="0"/>
            </w:pPr>
            <w:r w:rsidRPr="004D46AC">
              <w:rPr>
                <w:color w:val="000000"/>
                <w:szCs w:val="21"/>
              </w:rPr>
              <w:t xml:space="preserve">-0.74 </w:t>
            </w:r>
          </w:p>
        </w:tc>
        <w:tc>
          <w:tcPr>
            <w:tcW w:w="1704" w:type="dxa"/>
            <w:vAlign w:val="center"/>
          </w:tcPr>
          <w:p w14:paraId="6ACF879D" w14:textId="77777777" w:rsidR="000B4CBF" w:rsidRPr="004D46AC" w:rsidRDefault="000B4CBF" w:rsidP="00B518F1">
            <w:pPr>
              <w:spacing w:line="240" w:lineRule="auto"/>
              <w:ind w:firstLine="0"/>
            </w:pPr>
            <w:r w:rsidRPr="004D46AC">
              <w:rPr>
                <w:color w:val="000000"/>
                <w:szCs w:val="21"/>
              </w:rPr>
              <w:t xml:space="preserve">-1.22 </w:t>
            </w:r>
          </w:p>
        </w:tc>
        <w:tc>
          <w:tcPr>
            <w:tcW w:w="1705" w:type="dxa"/>
            <w:vAlign w:val="center"/>
          </w:tcPr>
          <w:p w14:paraId="369278B0" w14:textId="77777777" w:rsidR="000B4CBF" w:rsidRPr="004D46AC" w:rsidRDefault="000B4CBF" w:rsidP="00B518F1">
            <w:pPr>
              <w:spacing w:line="240" w:lineRule="auto"/>
              <w:ind w:firstLine="0"/>
            </w:pPr>
            <w:r w:rsidRPr="004D46AC">
              <w:rPr>
                <w:color w:val="000000"/>
                <w:szCs w:val="21"/>
              </w:rPr>
              <w:t xml:space="preserve">-0.26 </w:t>
            </w:r>
          </w:p>
        </w:tc>
        <w:tc>
          <w:tcPr>
            <w:tcW w:w="1705" w:type="dxa"/>
            <w:vAlign w:val="center"/>
          </w:tcPr>
          <w:p w14:paraId="2C2CCC15" w14:textId="77777777" w:rsidR="000B4CBF" w:rsidRPr="004D46AC" w:rsidRDefault="000B4CBF" w:rsidP="00B518F1">
            <w:pPr>
              <w:spacing w:line="240" w:lineRule="auto"/>
              <w:ind w:firstLine="0"/>
            </w:pPr>
            <w:r w:rsidRPr="004D46AC">
              <w:rPr>
                <w:color w:val="000000"/>
                <w:szCs w:val="21"/>
              </w:rPr>
              <w:t xml:space="preserve">0.01 </w:t>
            </w:r>
          </w:p>
        </w:tc>
      </w:tr>
    </w:tbl>
    <w:p w14:paraId="4576BD6E" w14:textId="77777777" w:rsidR="000B4CBF" w:rsidRPr="004D46AC" w:rsidRDefault="000B4CBF" w:rsidP="000B4CBF">
      <w:pPr>
        <w:spacing w:line="240" w:lineRule="auto"/>
        <w:ind w:firstLine="0"/>
      </w:pPr>
    </w:p>
    <w:p w14:paraId="774DFD13" w14:textId="77777777" w:rsidR="000B4CBF" w:rsidRPr="004D46AC" w:rsidRDefault="000B4CBF" w:rsidP="000B4CBF">
      <w:pPr>
        <w:spacing w:line="240" w:lineRule="auto"/>
        <w:ind w:firstLine="0"/>
      </w:pPr>
      <w:r w:rsidRPr="004D46AC">
        <w:rPr>
          <w:i/>
          <w:iCs/>
        </w:rPr>
        <w:t>Note</w:t>
      </w:r>
      <w:r w:rsidRPr="004D46AC">
        <w:t>. Bootstrapped edge statistics were based on 2,000 resampled datasets. P</w:t>
      </w:r>
      <w:r w:rsidRPr="004D46AC">
        <w:rPr>
          <w:rFonts w:ascii="Cambria Math" w:hAnsi="Cambria Math" w:cs="Cambria Math" w:hint="eastAsia"/>
        </w:rPr>
        <w:t xml:space="preserve">0 </w:t>
      </w:r>
      <w:r w:rsidRPr="004D46AC">
        <w:t>indicates the proportion of times an edge was present across the bootstrap samples.</w:t>
      </w:r>
    </w:p>
    <w:p w14:paraId="04F6B4C2" w14:textId="77777777" w:rsidR="007075D9" w:rsidRPr="004D46AC" w:rsidRDefault="007075D9" w:rsidP="002C5F6E">
      <w:pPr>
        <w:spacing w:line="240" w:lineRule="auto"/>
        <w:ind w:firstLine="0"/>
        <w:rPr>
          <w:rFonts w:eastAsiaTheme="minorEastAsia"/>
        </w:rPr>
      </w:pPr>
    </w:p>
    <w:p w14:paraId="780038E4" w14:textId="4CB3F16E" w:rsidR="00011BA9" w:rsidRPr="004D46AC" w:rsidRDefault="00011BA9" w:rsidP="002C5F6E">
      <w:pPr>
        <w:spacing w:line="240" w:lineRule="auto"/>
        <w:ind w:firstLine="0"/>
        <w:rPr>
          <w:rFonts w:eastAsiaTheme="minorEastAsia"/>
          <w:b/>
          <w:bCs/>
        </w:rPr>
      </w:pPr>
      <w:bookmarkStart w:id="412" w:name="_Toc219870651"/>
      <w:r w:rsidRPr="004D46AC">
        <w:rPr>
          <w:b/>
          <w:bCs/>
        </w:rPr>
        <w:lastRenderedPageBreak/>
        <w:t xml:space="preserve">Table E </w:t>
      </w:r>
      <w:r w:rsidRPr="004D46AC">
        <w:rPr>
          <w:b/>
          <w:bCs/>
        </w:rPr>
        <w:fldChar w:fldCharType="begin"/>
      </w:r>
      <w:r w:rsidRPr="004D46AC">
        <w:rPr>
          <w:b/>
          <w:bCs/>
        </w:rPr>
        <w:instrText xml:space="preserve"> SEQ Table_E \* ARABIC </w:instrText>
      </w:r>
      <w:r w:rsidRPr="004D46AC">
        <w:rPr>
          <w:b/>
          <w:bCs/>
        </w:rPr>
        <w:fldChar w:fldCharType="separate"/>
      </w:r>
      <w:r w:rsidRPr="004D46AC">
        <w:rPr>
          <w:b/>
          <w:bCs/>
          <w:noProof/>
        </w:rPr>
        <w:t>7</w:t>
      </w:r>
      <w:bookmarkEnd w:id="412"/>
      <w:r w:rsidRPr="004D46AC">
        <w:rPr>
          <w:b/>
          <w:bCs/>
        </w:rPr>
        <w:fldChar w:fldCharType="end"/>
      </w:r>
    </w:p>
    <w:p w14:paraId="5A52B731" w14:textId="77777777" w:rsidR="000B4CBF" w:rsidRPr="004D46AC" w:rsidRDefault="000B4CBF" w:rsidP="000B4CBF">
      <w:pPr>
        <w:spacing w:line="240" w:lineRule="auto"/>
        <w:ind w:firstLine="0"/>
        <w:rPr>
          <w:i/>
          <w:iCs/>
        </w:rPr>
      </w:pPr>
      <w:r w:rsidRPr="004D46AC">
        <w:rPr>
          <w:i/>
          <w:iCs/>
        </w:rPr>
        <w:t>Edges with non-zero weights in the</w:t>
      </w:r>
      <w:r w:rsidRPr="004D46AC">
        <w:rPr>
          <w:rFonts w:hint="eastAsia"/>
          <w:i/>
          <w:iCs/>
          <w:lang w:val="en-US"/>
        </w:rPr>
        <w:t xml:space="preserve"> </w:t>
      </w:r>
      <w:r w:rsidRPr="004D46AC">
        <w:rPr>
          <w:i/>
          <w:iCs/>
        </w:rPr>
        <w:t>network</w:t>
      </w:r>
      <w:r w:rsidRPr="004D46AC">
        <w:rPr>
          <w:rFonts w:hint="eastAsia"/>
          <w:i/>
          <w:iCs/>
          <w:lang w:val="en-US"/>
        </w:rPr>
        <w:t xml:space="preserve"> of </w:t>
      </w:r>
      <w:proofErr w:type="gramStart"/>
      <w:r w:rsidRPr="004D46AC">
        <w:rPr>
          <w:rFonts w:hint="eastAsia"/>
          <w:i/>
          <w:iCs/>
          <w:lang w:val="en-US"/>
        </w:rPr>
        <w:t>at risk</w:t>
      </w:r>
      <w:proofErr w:type="gramEnd"/>
      <w:r w:rsidRPr="004D46AC">
        <w:rPr>
          <w:rFonts w:hint="eastAsia"/>
          <w:i/>
          <w:iCs/>
          <w:lang w:val="en-US"/>
        </w:rPr>
        <w:t xml:space="preserve"> states</w:t>
      </w:r>
      <w:r w:rsidRPr="004D46AC">
        <w:rPr>
          <w:i/>
          <w:iCs/>
        </w:rPr>
        <w:t xml:space="preserve"> among adults aged 30–36</w:t>
      </w:r>
    </w:p>
    <w:tbl>
      <w:tblPr>
        <w:tblStyle w:val="afc"/>
        <w:tblW w:w="0" w:type="auto"/>
        <w:tblLook w:val="04A0" w:firstRow="1" w:lastRow="0" w:firstColumn="1" w:lastColumn="0" w:noHBand="0" w:noVBand="1"/>
      </w:tblPr>
      <w:tblGrid>
        <w:gridCol w:w="1704"/>
        <w:gridCol w:w="1704"/>
        <w:gridCol w:w="1704"/>
        <w:gridCol w:w="1705"/>
        <w:gridCol w:w="1705"/>
      </w:tblGrid>
      <w:tr w:rsidR="000B4CBF" w:rsidRPr="004D46AC" w14:paraId="338245B6" w14:textId="77777777" w:rsidTr="00B518F1">
        <w:tc>
          <w:tcPr>
            <w:tcW w:w="1704" w:type="dxa"/>
            <w:vAlign w:val="center"/>
          </w:tcPr>
          <w:p w14:paraId="324AC7B1" w14:textId="77777777" w:rsidR="000B4CBF" w:rsidRPr="004D46AC" w:rsidRDefault="000B4CBF" w:rsidP="00B518F1">
            <w:pPr>
              <w:spacing w:line="240" w:lineRule="auto"/>
              <w:ind w:firstLine="0"/>
            </w:pPr>
            <w:r w:rsidRPr="004D46AC">
              <w:rPr>
                <w:color w:val="000000"/>
              </w:rPr>
              <w:t>E</w:t>
            </w:r>
            <w:r w:rsidRPr="004D46AC">
              <w:rPr>
                <w:rFonts w:hint="eastAsia"/>
                <w:color w:val="000000"/>
              </w:rPr>
              <w:t>dge</w:t>
            </w:r>
          </w:p>
        </w:tc>
        <w:tc>
          <w:tcPr>
            <w:tcW w:w="1704" w:type="dxa"/>
            <w:vAlign w:val="center"/>
          </w:tcPr>
          <w:p w14:paraId="79DB928F" w14:textId="77777777" w:rsidR="000B4CBF" w:rsidRPr="004D46AC" w:rsidRDefault="000B4CBF" w:rsidP="00B518F1">
            <w:pPr>
              <w:spacing w:line="240" w:lineRule="auto"/>
              <w:ind w:firstLine="0"/>
            </w:pPr>
            <w:r w:rsidRPr="004D46AC">
              <w:rPr>
                <w:rFonts w:hint="eastAsia"/>
                <w:color w:val="000000"/>
              </w:rPr>
              <w:t>Weight</w:t>
            </w:r>
          </w:p>
        </w:tc>
        <w:tc>
          <w:tcPr>
            <w:tcW w:w="1704" w:type="dxa"/>
            <w:vAlign w:val="center"/>
          </w:tcPr>
          <w:p w14:paraId="7792802A" w14:textId="77777777" w:rsidR="000B4CBF" w:rsidRPr="004D46AC" w:rsidRDefault="000B4CBF" w:rsidP="00B518F1">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lower</w:t>
            </w:r>
          </w:p>
        </w:tc>
        <w:tc>
          <w:tcPr>
            <w:tcW w:w="1705" w:type="dxa"/>
            <w:vAlign w:val="center"/>
          </w:tcPr>
          <w:p w14:paraId="4A4BD427" w14:textId="77777777" w:rsidR="000B4CBF" w:rsidRPr="004D46AC" w:rsidRDefault="000B4CBF" w:rsidP="00B518F1">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upper</w:t>
            </w:r>
          </w:p>
        </w:tc>
        <w:tc>
          <w:tcPr>
            <w:tcW w:w="1705" w:type="dxa"/>
            <w:vAlign w:val="center"/>
          </w:tcPr>
          <w:p w14:paraId="5A16B09C" w14:textId="77777777" w:rsidR="000B4CBF" w:rsidRPr="004D46AC" w:rsidRDefault="000B4CBF" w:rsidP="00B518F1">
            <w:pPr>
              <w:spacing w:line="240" w:lineRule="auto"/>
              <w:ind w:firstLine="0"/>
            </w:pPr>
            <w:r w:rsidRPr="004D46AC">
              <w:rPr>
                <w:rFonts w:hint="eastAsia"/>
              </w:rPr>
              <w:t>P0</w:t>
            </w:r>
          </w:p>
        </w:tc>
      </w:tr>
      <w:tr w:rsidR="000B4CBF" w:rsidRPr="004D46AC" w14:paraId="768F171A" w14:textId="77777777" w:rsidTr="00B518F1">
        <w:tc>
          <w:tcPr>
            <w:tcW w:w="1704" w:type="dxa"/>
            <w:vAlign w:val="center"/>
          </w:tcPr>
          <w:p w14:paraId="27B92651" w14:textId="77777777" w:rsidR="000B4CBF" w:rsidRPr="004D46AC" w:rsidRDefault="000B4CBF" w:rsidP="00B518F1">
            <w:pPr>
              <w:spacing w:line="240" w:lineRule="auto"/>
              <w:ind w:firstLine="0"/>
            </w:pPr>
            <w:r w:rsidRPr="004D46AC">
              <w:rPr>
                <w:color w:val="000000"/>
              </w:rPr>
              <w:t>TR14--TR16</w:t>
            </w:r>
          </w:p>
        </w:tc>
        <w:tc>
          <w:tcPr>
            <w:tcW w:w="1704" w:type="dxa"/>
            <w:vAlign w:val="center"/>
          </w:tcPr>
          <w:p w14:paraId="04FFCB0B" w14:textId="77777777" w:rsidR="000B4CBF" w:rsidRPr="004D46AC" w:rsidRDefault="000B4CBF" w:rsidP="00B518F1">
            <w:pPr>
              <w:spacing w:line="240" w:lineRule="auto"/>
              <w:ind w:firstLine="0"/>
            </w:pPr>
            <w:r w:rsidRPr="004D46AC">
              <w:rPr>
                <w:color w:val="000000"/>
                <w:szCs w:val="21"/>
              </w:rPr>
              <w:t xml:space="preserve">1.39 </w:t>
            </w:r>
          </w:p>
        </w:tc>
        <w:tc>
          <w:tcPr>
            <w:tcW w:w="1704" w:type="dxa"/>
            <w:vAlign w:val="center"/>
          </w:tcPr>
          <w:p w14:paraId="641D21C3" w14:textId="77777777" w:rsidR="000B4CBF" w:rsidRPr="004D46AC" w:rsidRDefault="000B4CBF" w:rsidP="00B518F1">
            <w:pPr>
              <w:spacing w:line="240" w:lineRule="auto"/>
              <w:ind w:firstLine="0"/>
            </w:pPr>
            <w:r w:rsidRPr="004D46AC">
              <w:rPr>
                <w:color w:val="000000"/>
                <w:szCs w:val="21"/>
              </w:rPr>
              <w:t xml:space="preserve">0.97 </w:t>
            </w:r>
          </w:p>
        </w:tc>
        <w:tc>
          <w:tcPr>
            <w:tcW w:w="1705" w:type="dxa"/>
            <w:vAlign w:val="center"/>
          </w:tcPr>
          <w:p w14:paraId="4CA51B98" w14:textId="77777777" w:rsidR="000B4CBF" w:rsidRPr="004D46AC" w:rsidRDefault="000B4CBF" w:rsidP="00B518F1">
            <w:pPr>
              <w:spacing w:line="240" w:lineRule="auto"/>
              <w:ind w:firstLine="0"/>
            </w:pPr>
            <w:r w:rsidRPr="004D46AC">
              <w:rPr>
                <w:color w:val="000000"/>
                <w:szCs w:val="21"/>
              </w:rPr>
              <w:t xml:space="preserve">1.80 </w:t>
            </w:r>
          </w:p>
        </w:tc>
        <w:tc>
          <w:tcPr>
            <w:tcW w:w="1705" w:type="dxa"/>
            <w:vAlign w:val="center"/>
          </w:tcPr>
          <w:p w14:paraId="75206351"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14E60215" w14:textId="77777777" w:rsidTr="00B518F1">
        <w:tc>
          <w:tcPr>
            <w:tcW w:w="1704" w:type="dxa"/>
            <w:vAlign w:val="center"/>
          </w:tcPr>
          <w:p w14:paraId="6A764A3C" w14:textId="77777777" w:rsidR="000B4CBF" w:rsidRPr="004D46AC" w:rsidRDefault="000B4CBF" w:rsidP="00B518F1">
            <w:pPr>
              <w:spacing w:line="240" w:lineRule="auto"/>
              <w:ind w:firstLine="0"/>
            </w:pPr>
            <w:r w:rsidRPr="004D46AC">
              <w:rPr>
                <w:color w:val="000000"/>
              </w:rPr>
              <w:t>TR22--TR25</w:t>
            </w:r>
          </w:p>
        </w:tc>
        <w:tc>
          <w:tcPr>
            <w:tcW w:w="1704" w:type="dxa"/>
            <w:vAlign w:val="center"/>
          </w:tcPr>
          <w:p w14:paraId="570AE17F" w14:textId="77777777" w:rsidR="000B4CBF" w:rsidRPr="004D46AC" w:rsidRDefault="000B4CBF" w:rsidP="00B518F1">
            <w:pPr>
              <w:spacing w:line="240" w:lineRule="auto"/>
              <w:ind w:firstLine="0"/>
            </w:pPr>
            <w:r w:rsidRPr="004D46AC">
              <w:rPr>
                <w:color w:val="000000"/>
                <w:szCs w:val="21"/>
              </w:rPr>
              <w:t xml:space="preserve">1.30 </w:t>
            </w:r>
          </w:p>
        </w:tc>
        <w:tc>
          <w:tcPr>
            <w:tcW w:w="1704" w:type="dxa"/>
            <w:vAlign w:val="center"/>
          </w:tcPr>
          <w:p w14:paraId="5779AF16" w14:textId="77777777" w:rsidR="000B4CBF" w:rsidRPr="004D46AC" w:rsidRDefault="000B4CBF" w:rsidP="00B518F1">
            <w:pPr>
              <w:spacing w:line="240" w:lineRule="auto"/>
              <w:ind w:firstLine="0"/>
            </w:pPr>
            <w:r w:rsidRPr="004D46AC">
              <w:rPr>
                <w:color w:val="000000"/>
                <w:szCs w:val="21"/>
              </w:rPr>
              <w:t xml:space="preserve">0.85 </w:t>
            </w:r>
          </w:p>
        </w:tc>
        <w:tc>
          <w:tcPr>
            <w:tcW w:w="1705" w:type="dxa"/>
            <w:vAlign w:val="center"/>
          </w:tcPr>
          <w:p w14:paraId="723EB2AF" w14:textId="77777777" w:rsidR="000B4CBF" w:rsidRPr="004D46AC" w:rsidRDefault="000B4CBF" w:rsidP="00B518F1">
            <w:pPr>
              <w:spacing w:line="240" w:lineRule="auto"/>
              <w:ind w:firstLine="0"/>
            </w:pPr>
            <w:r w:rsidRPr="004D46AC">
              <w:rPr>
                <w:color w:val="000000"/>
                <w:szCs w:val="21"/>
              </w:rPr>
              <w:t xml:space="preserve">1.76 </w:t>
            </w:r>
          </w:p>
        </w:tc>
        <w:tc>
          <w:tcPr>
            <w:tcW w:w="1705" w:type="dxa"/>
            <w:vAlign w:val="center"/>
          </w:tcPr>
          <w:p w14:paraId="6A59DFA7"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72BC1EF5" w14:textId="77777777" w:rsidTr="00B518F1">
        <w:tc>
          <w:tcPr>
            <w:tcW w:w="1704" w:type="dxa"/>
            <w:vAlign w:val="center"/>
          </w:tcPr>
          <w:p w14:paraId="56EA8F22" w14:textId="77777777" w:rsidR="000B4CBF" w:rsidRPr="004D46AC" w:rsidRDefault="000B4CBF" w:rsidP="00B518F1">
            <w:pPr>
              <w:spacing w:line="240" w:lineRule="auto"/>
              <w:ind w:firstLine="0"/>
            </w:pPr>
            <w:r w:rsidRPr="004D46AC">
              <w:rPr>
                <w:color w:val="000000"/>
              </w:rPr>
              <w:t>TR6--TR18</w:t>
            </w:r>
          </w:p>
        </w:tc>
        <w:tc>
          <w:tcPr>
            <w:tcW w:w="1704" w:type="dxa"/>
            <w:vAlign w:val="center"/>
          </w:tcPr>
          <w:p w14:paraId="7F81EB55" w14:textId="77777777" w:rsidR="000B4CBF" w:rsidRPr="004D46AC" w:rsidRDefault="000B4CBF" w:rsidP="00B518F1">
            <w:pPr>
              <w:spacing w:line="240" w:lineRule="auto"/>
              <w:ind w:firstLine="0"/>
            </w:pPr>
            <w:r w:rsidRPr="004D46AC">
              <w:rPr>
                <w:color w:val="000000"/>
                <w:szCs w:val="21"/>
              </w:rPr>
              <w:t xml:space="preserve">1.00 </w:t>
            </w:r>
          </w:p>
        </w:tc>
        <w:tc>
          <w:tcPr>
            <w:tcW w:w="1704" w:type="dxa"/>
            <w:vAlign w:val="center"/>
          </w:tcPr>
          <w:p w14:paraId="362E0FDE" w14:textId="77777777" w:rsidR="000B4CBF" w:rsidRPr="004D46AC" w:rsidRDefault="000B4CBF" w:rsidP="00B518F1">
            <w:pPr>
              <w:spacing w:line="240" w:lineRule="auto"/>
              <w:ind w:firstLine="0"/>
            </w:pPr>
            <w:r w:rsidRPr="004D46AC">
              <w:rPr>
                <w:color w:val="000000"/>
                <w:szCs w:val="21"/>
              </w:rPr>
              <w:t xml:space="preserve">0.53 </w:t>
            </w:r>
          </w:p>
        </w:tc>
        <w:tc>
          <w:tcPr>
            <w:tcW w:w="1705" w:type="dxa"/>
            <w:vAlign w:val="center"/>
          </w:tcPr>
          <w:p w14:paraId="20239862" w14:textId="77777777" w:rsidR="000B4CBF" w:rsidRPr="004D46AC" w:rsidRDefault="000B4CBF" w:rsidP="00B518F1">
            <w:pPr>
              <w:spacing w:line="240" w:lineRule="auto"/>
              <w:ind w:firstLine="0"/>
            </w:pPr>
            <w:r w:rsidRPr="004D46AC">
              <w:rPr>
                <w:color w:val="000000"/>
                <w:szCs w:val="21"/>
              </w:rPr>
              <w:t xml:space="preserve">1.47 </w:t>
            </w:r>
          </w:p>
        </w:tc>
        <w:tc>
          <w:tcPr>
            <w:tcW w:w="1705" w:type="dxa"/>
            <w:vAlign w:val="center"/>
          </w:tcPr>
          <w:p w14:paraId="1099AE30"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20025171" w14:textId="77777777" w:rsidTr="00B518F1">
        <w:tc>
          <w:tcPr>
            <w:tcW w:w="1704" w:type="dxa"/>
            <w:vAlign w:val="center"/>
          </w:tcPr>
          <w:p w14:paraId="35FC8DB2" w14:textId="77777777" w:rsidR="000B4CBF" w:rsidRPr="004D46AC" w:rsidRDefault="000B4CBF" w:rsidP="00B518F1">
            <w:pPr>
              <w:spacing w:line="240" w:lineRule="auto"/>
              <w:ind w:firstLine="0"/>
            </w:pPr>
            <w:r w:rsidRPr="004D46AC">
              <w:rPr>
                <w:color w:val="000000"/>
              </w:rPr>
              <w:t>TR34--TR37</w:t>
            </w:r>
          </w:p>
        </w:tc>
        <w:tc>
          <w:tcPr>
            <w:tcW w:w="1704" w:type="dxa"/>
            <w:vAlign w:val="center"/>
          </w:tcPr>
          <w:p w14:paraId="34D4C6B2" w14:textId="77777777" w:rsidR="000B4CBF" w:rsidRPr="004D46AC" w:rsidRDefault="000B4CBF" w:rsidP="00B518F1">
            <w:pPr>
              <w:spacing w:line="240" w:lineRule="auto"/>
              <w:ind w:firstLine="0"/>
            </w:pPr>
            <w:r w:rsidRPr="004D46AC">
              <w:rPr>
                <w:color w:val="000000"/>
                <w:szCs w:val="21"/>
              </w:rPr>
              <w:t xml:space="preserve">0.98 </w:t>
            </w:r>
          </w:p>
        </w:tc>
        <w:tc>
          <w:tcPr>
            <w:tcW w:w="1704" w:type="dxa"/>
            <w:vAlign w:val="center"/>
          </w:tcPr>
          <w:p w14:paraId="61D77D1E" w14:textId="77777777" w:rsidR="000B4CBF" w:rsidRPr="004D46AC" w:rsidRDefault="000B4CBF" w:rsidP="00B518F1">
            <w:pPr>
              <w:spacing w:line="240" w:lineRule="auto"/>
              <w:ind w:firstLine="0"/>
            </w:pPr>
            <w:r w:rsidRPr="004D46AC">
              <w:rPr>
                <w:color w:val="000000"/>
                <w:szCs w:val="21"/>
              </w:rPr>
              <w:t xml:space="preserve">0.55 </w:t>
            </w:r>
          </w:p>
        </w:tc>
        <w:tc>
          <w:tcPr>
            <w:tcW w:w="1705" w:type="dxa"/>
            <w:vAlign w:val="center"/>
          </w:tcPr>
          <w:p w14:paraId="22E7DBAA" w14:textId="77777777" w:rsidR="000B4CBF" w:rsidRPr="004D46AC" w:rsidRDefault="000B4CBF" w:rsidP="00B518F1">
            <w:pPr>
              <w:spacing w:line="240" w:lineRule="auto"/>
              <w:ind w:firstLine="0"/>
            </w:pPr>
            <w:r w:rsidRPr="004D46AC">
              <w:rPr>
                <w:color w:val="000000"/>
                <w:szCs w:val="21"/>
              </w:rPr>
              <w:t xml:space="preserve">1.41 </w:t>
            </w:r>
          </w:p>
        </w:tc>
        <w:tc>
          <w:tcPr>
            <w:tcW w:w="1705" w:type="dxa"/>
            <w:vAlign w:val="center"/>
          </w:tcPr>
          <w:p w14:paraId="33E2D496"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1886AA7D" w14:textId="77777777" w:rsidTr="00B518F1">
        <w:tc>
          <w:tcPr>
            <w:tcW w:w="1704" w:type="dxa"/>
            <w:vAlign w:val="center"/>
          </w:tcPr>
          <w:p w14:paraId="13FB1274" w14:textId="77777777" w:rsidR="000B4CBF" w:rsidRPr="004D46AC" w:rsidRDefault="000B4CBF" w:rsidP="00B518F1">
            <w:pPr>
              <w:spacing w:line="240" w:lineRule="auto"/>
              <w:ind w:firstLine="0"/>
            </w:pPr>
            <w:r w:rsidRPr="004D46AC">
              <w:rPr>
                <w:color w:val="000000"/>
              </w:rPr>
              <w:t>TR30--TR33</w:t>
            </w:r>
          </w:p>
        </w:tc>
        <w:tc>
          <w:tcPr>
            <w:tcW w:w="1704" w:type="dxa"/>
            <w:vAlign w:val="center"/>
          </w:tcPr>
          <w:p w14:paraId="21FF9AAC" w14:textId="77777777" w:rsidR="000B4CBF" w:rsidRPr="004D46AC" w:rsidRDefault="000B4CBF" w:rsidP="00B518F1">
            <w:pPr>
              <w:spacing w:line="240" w:lineRule="auto"/>
              <w:ind w:firstLine="0"/>
            </w:pPr>
            <w:r w:rsidRPr="004D46AC">
              <w:rPr>
                <w:color w:val="000000"/>
                <w:szCs w:val="21"/>
              </w:rPr>
              <w:t xml:space="preserve">0.97 </w:t>
            </w:r>
          </w:p>
        </w:tc>
        <w:tc>
          <w:tcPr>
            <w:tcW w:w="1704" w:type="dxa"/>
            <w:vAlign w:val="center"/>
          </w:tcPr>
          <w:p w14:paraId="65DD8A9B" w14:textId="77777777" w:rsidR="000B4CBF" w:rsidRPr="004D46AC" w:rsidRDefault="000B4CBF" w:rsidP="00B518F1">
            <w:pPr>
              <w:spacing w:line="240" w:lineRule="auto"/>
              <w:ind w:firstLine="0"/>
            </w:pPr>
            <w:r w:rsidRPr="004D46AC">
              <w:rPr>
                <w:color w:val="000000"/>
                <w:szCs w:val="21"/>
              </w:rPr>
              <w:t xml:space="preserve">0.50 </w:t>
            </w:r>
          </w:p>
        </w:tc>
        <w:tc>
          <w:tcPr>
            <w:tcW w:w="1705" w:type="dxa"/>
            <w:vAlign w:val="center"/>
          </w:tcPr>
          <w:p w14:paraId="7F1B3924" w14:textId="77777777" w:rsidR="000B4CBF" w:rsidRPr="004D46AC" w:rsidRDefault="000B4CBF" w:rsidP="00B518F1">
            <w:pPr>
              <w:spacing w:line="240" w:lineRule="auto"/>
              <w:ind w:firstLine="0"/>
            </w:pPr>
            <w:r w:rsidRPr="004D46AC">
              <w:rPr>
                <w:color w:val="000000"/>
                <w:szCs w:val="21"/>
              </w:rPr>
              <w:t xml:space="preserve">1.45 </w:t>
            </w:r>
          </w:p>
        </w:tc>
        <w:tc>
          <w:tcPr>
            <w:tcW w:w="1705" w:type="dxa"/>
            <w:vAlign w:val="center"/>
          </w:tcPr>
          <w:p w14:paraId="526C1C4D"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24F538B3" w14:textId="77777777" w:rsidTr="00B518F1">
        <w:tc>
          <w:tcPr>
            <w:tcW w:w="1704" w:type="dxa"/>
            <w:vAlign w:val="center"/>
          </w:tcPr>
          <w:p w14:paraId="01474233" w14:textId="77777777" w:rsidR="000B4CBF" w:rsidRPr="004D46AC" w:rsidRDefault="000B4CBF" w:rsidP="00B518F1">
            <w:pPr>
              <w:spacing w:line="240" w:lineRule="auto"/>
              <w:ind w:firstLine="0"/>
            </w:pPr>
            <w:r w:rsidRPr="004D46AC">
              <w:rPr>
                <w:color w:val="000000"/>
              </w:rPr>
              <w:t>TR6--TR9</w:t>
            </w:r>
          </w:p>
        </w:tc>
        <w:tc>
          <w:tcPr>
            <w:tcW w:w="1704" w:type="dxa"/>
            <w:vAlign w:val="center"/>
          </w:tcPr>
          <w:p w14:paraId="25C34844" w14:textId="77777777" w:rsidR="000B4CBF" w:rsidRPr="004D46AC" w:rsidRDefault="000B4CBF" w:rsidP="00B518F1">
            <w:pPr>
              <w:spacing w:line="240" w:lineRule="auto"/>
              <w:ind w:firstLine="0"/>
            </w:pPr>
            <w:r w:rsidRPr="004D46AC">
              <w:rPr>
                <w:color w:val="000000"/>
                <w:szCs w:val="21"/>
              </w:rPr>
              <w:t xml:space="preserve">0.95 </w:t>
            </w:r>
          </w:p>
        </w:tc>
        <w:tc>
          <w:tcPr>
            <w:tcW w:w="1704" w:type="dxa"/>
            <w:vAlign w:val="center"/>
          </w:tcPr>
          <w:p w14:paraId="4FB812D9" w14:textId="77777777" w:rsidR="000B4CBF" w:rsidRPr="004D46AC" w:rsidRDefault="000B4CBF" w:rsidP="00B518F1">
            <w:pPr>
              <w:spacing w:line="240" w:lineRule="auto"/>
              <w:ind w:firstLine="0"/>
            </w:pPr>
            <w:r w:rsidRPr="004D46AC">
              <w:rPr>
                <w:color w:val="000000"/>
                <w:szCs w:val="21"/>
              </w:rPr>
              <w:t xml:space="preserve">0.47 </w:t>
            </w:r>
          </w:p>
        </w:tc>
        <w:tc>
          <w:tcPr>
            <w:tcW w:w="1705" w:type="dxa"/>
            <w:vAlign w:val="center"/>
          </w:tcPr>
          <w:p w14:paraId="63B7F25F" w14:textId="77777777" w:rsidR="000B4CBF" w:rsidRPr="004D46AC" w:rsidRDefault="000B4CBF" w:rsidP="00B518F1">
            <w:pPr>
              <w:spacing w:line="240" w:lineRule="auto"/>
              <w:ind w:firstLine="0"/>
            </w:pPr>
            <w:r w:rsidRPr="004D46AC">
              <w:rPr>
                <w:color w:val="000000"/>
                <w:szCs w:val="21"/>
              </w:rPr>
              <w:t xml:space="preserve">1.44 </w:t>
            </w:r>
          </w:p>
        </w:tc>
        <w:tc>
          <w:tcPr>
            <w:tcW w:w="1705" w:type="dxa"/>
            <w:vAlign w:val="center"/>
          </w:tcPr>
          <w:p w14:paraId="22DA1F73"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4A39E14" w14:textId="77777777" w:rsidTr="00B518F1">
        <w:tc>
          <w:tcPr>
            <w:tcW w:w="1704" w:type="dxa"/>
            <w:vAlign w:val="center"/>
          </w:tcPr>
          <w:p w14:paraId="6E8CEE29" w14:textId="77777777" w:rsidR="000B4CBF" w:rsidRPr="004D46AC" w:rsidRDefault="000B4CBF" w:rsidP="00B518F1">
            <w:pPr>
              <w:spacing w:line="240" w:lineRule="auto"/>
              <w:ind w:firstLine="0"/>
            </w:pPr>
            <w:r w:rsidRPr="004D46AC">
              <w:rPr>
                <w:color w:val="000000"/>
              </w:rPr>
              <w:t>TR14--TR22</w:t>
            </w:r>
          </w:p>
        </w:tc>
        <w:tc>
          <w:tcPr>
            <w:tcW w:w="1704" w:type="dxa"/>
            <w:vAlign w:val="center"/>
          </w:tcPr>
          <w:p w14:paraId="2F999182" w14:textId="77777777" w:rsidR="000B4CBF" w:rsidRPr="004D46AC" w:rsidRDefault="000B4CBF" w:rsidP="00B518F1">
            <w:pPr>
              <w:spacing w:line="240" w:lineRule="auto"/>
              <w:ind w:firstLine="0"/>
            </w:pPr>
            <w:r w:rsidRPr="004D46AC">
              <w:rPr>
                <w:color w:val="000000"/>
                <w:szCs w:val="21"/>
              </w:rPr>
              <w:t xml:space="preserve">0.93 </w:t>
            </w:r>
          </w:p>
        </w:tc>
        <w:tc>
          <w:tcPr>
            <w:tcW w:w="1704" w:type="dxa"/>
            <w:vAlign w:val="center"/>
          </w:tcPr>
          <w:p w14:paraId="316FF062" w14:textId="77777777" w:rsidR="000B4CBF" w:rsidRPr="004D46AC" w:rsidRDefault="000B4CBF" w:rsidP="00B518F1">
            <w:pPr>
              <w:spacing w:line="240" w:lineRule="auto"/>
              <w:ind w:firstLine="0"/>
            </w:pPr>
            <w:r w:rsidRPr="004D46AC">
              <w:rPr>
                <w:color w:val="000000"/>
                <w:szCs w:val="21"/>
              </w:rPr>
              <w:t xml:space="preserve">0.46 </w:t>
            </w:r>
          </w:p>
        </w:tc>
        <w:tc>
          <w:tcPr>
            <w:tcW w:w="1705" w:type="dxa"/>
            <w:vAlign w:val="center"/>
          </w:tcPr>
          <w:p w14:paraId="2E65B65F" w14:textId="77777777" w:rsidR="000B4CBF" w:rsidRPr="004D46AC" w:rsidRDefault="000B4CBF" w:rsidP="00B518F1">
            <w:pPr>
              <w:spacing w:line="240" w:lineRule="auto"/>
              <w:ind w:firstLine="0"/>
            </w:pPr>
            <w:r w:rsidRPr="004D46AC">
              <w:rPr>
                <w:color w:val="000000"/>
                <w:szCs w:val="21"/>
              </w:rPr>
              <w:t xml:space="preserve">1.40 </w:t>
            </w:r>
          </w:p>
        </w:tc>
        <w:tc>
          <w:tcPr>
            <w:tcW w:w="1705" w:type="dxa"/>
            <w:vAlign w:val="center"/>
          </w:tcPr>
          <w:p w14:paraId="0F121B07"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30E3EEC8" w14:textId="77777777" w:rsidTr="00B518F1">
        <w:tc>
          <w:tcPr>
            <w:tcW w:w="1704" w:type="dxa"/>
            <w:vAlign w:val="center"/>
          </w:tcPr>
          <w:p w14:paraId="53F44A7E" w14:textId="77777777" w:rsidR="000B4CBF" w:rsidRPr="004D46AC" w:rsidRDefault="000B4CBF" w:rsidP="00B518F1">
            <w:pPr>
              <w:spacing w:line="240" w:lineRule="auto"/>
              <w:ind w:firstLine="0"/>
            </w:pPr>
            <w:r w:rsidRPr="004D46AC">
              <w:rPr>
                <w:color w:val="000000"/>
              </w:rPr>
              <w:t>TR17--TR30</w:t>
            </w:r>
          </w:p>
        </w:tc>
        <w:tc>
          <w:tcPr>
            <w:tcW w:w="1704" w:type="dxa"/>
            <w:vAlign w:val="center"/>
          </w:tcPr>
          <w:p w14:paraId="5DDAACD2" w14:textId="77777777" w:rsidR="000B4CBF" w:rsidRPr="004D46AC" w:rsidRDefault="000B4CBF" w:rsidP="00B518F1">
            <w:pPr>
              <w:spacing w:line="240" w:lineRule="auto"/>
              <w:ind w:firstLine="0"/>
            </w:pPr>
            <w:r w:rsidRPr="004D46AC">
              <w:rPr>
                <w:color w:val="000000"/>
                <w:szCs w:val="21"/>
              </w:rPr>
              <w:t xml:space="preserve">0.93 </w:t>
            </w:r>
          </w:p>
        </w:tc>
        <w:tc>
          <w:tcPr>
            <w:tcW w:w="1704" w:type="dxa"/>
            <w:vAlign w:val="center"/>
          </w:tcPr>
          <w:p w14:paraId="2924E775" w14:textId="77777777" w:rsidR="000B4CBF" w:rsidRPr="004D46AC" w:rsidRDefault="000B4CBF" w:rsidP="00B518F1">
            <w:pPr>
              <w:spacing w:line="240" w:lineRule="auto"/>
              <w:ind w:firstLine="0"/>
            </w:pPr>
            <w:r w:rsidRPr="004D46AC">
              <w:rPr>
                <w:color w:val="000000"/>
                <w:szCs w:val="21"/>
              </w:rPr>
              <w:t xml:space="preserve">0.42 </w:t>
            </w:r>
          </w:p>
        </w:tc>
        <w:tc>
          <w:tcPr>
            <w:tcW w:w="1705" w:type="dxa"/>
            <w:vAlign w:val="center"/>
          </w:tcPr>
          <w:p w14:paraId="07D02DF4" w14:textId="77777777" w:rsidR="000B4CBF" w:rsidRPr="004D46AC" w:rsidRDefault="000B4CBF" w:rsidP="00B518F1">
            <w:pPr>
              <w:spacing w:line="240" w:lineRule="auto"/>
              <w:ind w:firstLine="0"/>
            </w:pPr>
            <w:r w:rsidRPr="004D46AC">
              <w:rPr>
                <w:color w:val="000000"/>
                <w:szCs w:val="21"/>
              </w:rPr>
              <w:t xml:space="preserve">1.44 </w:t>
            </w:r>
          </w:p>
        </w:tc>
        <w:tc>
          <w:tcPr>
            <w:tcW w:w="1705" w:type="dxa"/>
            <w:vAlign w:val="center"/>
          </w:tcPr>
          <w:p w14:paraId="587F90D4"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4DF4B38" w14:textId="77777777" w:rsidTr="00B518F1">
        <w:tc>
          <w:tcPr>
            <w:tcW w:w="1704" w:type="dxa"/>
            <w:vAlign w:val="center"/>
          </w:tcPr>
          <w:p w14:paraId="334C395C" w14:textId="77777777" w:rsidR="000B4CBF" w:rsidRPr="004D46AC" w:rsidRDefault="000B4CBF" w:rsidP="00B518F1">
            <w:pPr>
              <w:spacing w:line="240" w:lineRule="auto"/>
              <w:ind w:firstLine="0"/>
            </w:pPr>
            <w:r w:rsidRPr="004D46AC">
              <w:rPr>
                <w:color w:val="000000"/>
              </w:rPr>
              <w:t>TR29--TR30</w:t>
            </w:r>
          </w:p>
        </w:tc>
        <w:tc>
          <w:tcPr>
            <w:tcW w:w="1704" w:type="dxa"/>
            <w:vAlign w:val="center"/>
          </w:tcPr>
          <w:p w14:paraId="0E415BF0" w14:textId="77777777" w:rsidR="000B4CBF" w:rsidRPr="004D46AC" w:rsidRDefault="000B4CBF" w:rsidP="00B518F1">
            <w:pPr>
              <w:spacing w:line="240" w:lineRule="auto"/>
              <w:ind w:firstLine="0"/>
            </w:pPr>
            <w:r w:rsidRPr="004D46AC">
              <w:rPr>
                <w:color w:val="000000"/>
                <w:szCs w:val="21"/>
              </w:rPr>
              <w:t xml:space="preserve">0.91 </w:t>
            </w:r>
          </w:p>
        </w:tc>
        <w:tc>
          <w:tcPr>
            <w:tcW w:w="1704" w:type="dxa"/>
            <w:vAlign w:val="center"/>
          </w:tcPr>
          <w:p w14:paraId="7C70ADAC" w14:textId="77777777" w:rsidR="000B4CBF" w:rsidRPr="004D46AC" w:rsidRDefault="000B4CBF" w:rsidP="00B518F1">
            <w:pPr>
              <w:spacing w:line="240" w:lineRule="auto"/>
              <w:ind w:firstLine="0"/>
            </w:pPr>
            <w:r w:rsidRPr="004D46AC">
              <w:rPr>
                <w:color w:val="000000"/>
                <w:szCs w:val="21"/>
              </w:rPr>
              <w:t xml:space="preserve">0.37 </w:t>
            </w:r>
          </w:p>
        </w:tc>
        <w:tc>
          <w:tcPr>
            <w:tcW w:w="1705" w:type="dxa"/>
            <w:vAlign w:val="center"/>
          </w:tcPr>
          <w:p w14:paraId="09C39520" w14:textId="77777777" w:rsidR="000B4CBF" w:rsidRPr="004D46AC" w:rsidRDefault="000B4CBF" w:rsidP="00B518F1">
            <w:pPr>
              <w:spacing w:line="240" w:lineRule="auto"/>
              <w:ind w:firstLine="0"/>
            </w:pPr>
            <w:r w:rsidRPr="004D46AC">
              <w:rPr>
                <w:color w:val="000000"/>
                <w:szCs w:val="21"/>
              </w:rPr>
              <w:t xml:space="preserve">1.45 </w:t>
            </w:r>
          </w:p>
        </w:tc>
        <w:tc>
          <w:tcPr>
            <w:tcW w:w="1705" w:type="dxa"/>
            <w:vAlign w:val="center"/>
          </w:tcPr>
          <w:p w14:paraId="2F3CA6FF"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0E3CC43B" w14:textId="77777777" w:rsidTr="00B518F1">
        <w:tc>
          <w:tcPr>
            <w:tcW w:w="1704" w:type="dxa"/>
            <w:vAlign w:val="center"/>
          </w:tcPr>
          <w:p w14:paraId="4555813B" w14:textId="77777777" w:rsidR="000B4CBF" w:rsidRPr="004D46AC" w:rsidRDefault="000B4CBF" w:rsidP="00B518F1">
            <w:pPr>
              <w:spacing w:line="240" w:lineRule="auto"/>
              <w:ind w:firstLine="0"/>
            </w:pPr>
            <w:r w:rsidRPr="004D46AC">
              <w:rPr>
                <w:color w:val="000000"/>
              </w:rPr>
              <w:t>TR7--TR15</w:t>
            </w:r>
          </w:p>
        </w:tc>
        <w:tc>
          <w:tcPr>
            <w:tcW w:w="1704" w:type="dxa"/>
            <w:vAlign w:val="center"/>
          </w:tcPr>
          <w:p w14:paraId="7C4B7EC2" w14:textId="77777777" w:rsidR="000B4CBF" w:rsidRPr="004D46AC" w:rsidRDefault="000B4CBF" w:rsidP="00B518F1">
            <w:pPr>
              <w:spacing w:line="240" w:lineRule="auto"/>
              <w:ind w:firstLine="0"/>
            </w:pPr>
            <w:r w:rsidRPr="004D46AC">
              <w:rPr>
                <w:color w:val="000000"/>
                <w:szCs w:val="21"/>
              </w:rPr>
              <w:t xml:space="preserve">0.91 </w:t>
            </w:r>
          </w:p>
        </w:tc>
        <w:tc>
          <w:tcPr>
            <w:tcW w:w="1704" w:type="dxa"/>
            <w:vAlign w:val="center"/>
          </w:tcPr>
          <w:p w14:paraId="774ADFDE" w14:textId="77777777" w:rsidR="000B4CBF" w:rsidRPr="004D46AC" w:rsidRDefault="000B4CBF" w:rsidP="00B518F1">
            <w:pPr>
              <w:spacing w:line="240" w:lineRule="auto"/>
              <w:ind w:firstLine="0"/>
            </w:pPr>
            <w:r w:rsidRPr="004D46AC">
              <w:rPr>
                <w:color w:val="000000"/>
                <w:szCs w:val="21"/>
              </w:rPr>
              <w:t xml:space="preserve">0.50 </w:t>
            </w:r>
          </w:p>
        </w:tc>
        <w:tc>
          <w:tcPr>
            <w:tcW w:w="1705" w:type="dxa"/>
            <w:vAlign w:val="center"/>
          </w:tcPr>
          <w:p w14:paraId="0E7B508C" w14:textId="77777777" w:rsidR="000B4CBF" w:rsidRPr="004D46AC" w:rsidRDefault="000B4CBF" w:rsidP="00B518F1">
            <w:pPr>
              <w:spacing w:line="240" w:lineRule="auto"/>
              <w:ind w:firstLine="0"/>
            </w:pPr>
            <w:r w:rsidRPr="004D46AC">
              <w:rPr>
                <w:color w:val="000000"/>
                <w:szCs w:val="21"/>
              </w:rPr>
              <w:t xml:space="preserve">1.31 </w:t>
            </w:r>
          </w:p>
        </w:tc>
        <w:tc>
          <w:tcPr>
            <w:tcW w:w="1705" w:type="dxa"/>
            <w:vAlign w:val="center"/>
          </w:tcPr>
          <w:p w14:paraId="2BCDB8F1"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424B1FF" w14:textId="77777777" w:rsidTr="00B518F1">
        <w:tc>
          <w:tcPr>
            <w:tcW w:w="1704" w:type="dxa"/>
            <w:vAlign w:val="center"/>
          </w:tcPr>
          <w:p w14:paraId="4C40B445" w14:textId="77777777" w:rsidR="000B4CBF" w:rsidRPr="004D46AC" w:rsidRDefault="000B4CBF" w:rsidP="00B518F1">
            <w:pPr>
              <w:spacing w:line="240" w:lineRule="auto"/>
              <w:ind w:firstLine="0"/>
            </w:pPr>
            <w:r w:rsidRPr="004D46AC">
              <w:rPr>
                <w:color w:val="000000"/>
              </w:rPr>
              <w:t>TR23--TR24</w:t>
            </w:r>
          </w:p>
        </w:tc>
        <w:tc>
          <w:tcPr>
            <w:tcW w:w="1704" w:type="dxa"/>
            <w:vAlign w:val="center"/>
          </w:tcPr>
          <w:p w14:paraId="695094AE" w14:textId="77777777" w:rsidR="000B4CBF" w:rsidRPr="004D46AC" w:rsidRDefault="000B4CBF" w:rsidP="00B518F1">
            <w:pPr>
              <w:spacing w:line="240" w:lineRule="auto"/>
              <w:ind w:firstLine="0"/>
            </w:pPr>
            <w:r w:rsidRPr="004D46AC">
              <w:rPr>
                <w:color w:val="000000"/>
                <w:szCs w:val="21"/>
              </w:rPr>
              <w:t xml:space="preserve">0.89 </w:t>
            </w:r>
          </w:p>
        </w:tc>
        <w:tc>
          <w:tcPr>
            <w:tcW w:w="1704" w:type="dxa"/>
            <w:vAlign w:val="center"/>
          </w:tcPr>
          <w:p w14:paraId="5364BA57" w14:textId="77777777" w:rsidR="000B4CBF" w:rsidRPr="004D46AC" w:rsidRDefault="000B4CBF" w:rsidP="00B518F1">
            <w:pPr>
              <w:spacing w:line="240" w:lineRule="auto"/>
              <w:ind w:firstLine="0"/>
            </w:pPr>
            <w:r w:rsidRPr="004D46AC">
              <w:rPr>
                <w:color w:val="000000"/>
                <w:szCs w:val="21"/>
              </w:rPr>
              <w:t xml:space="preserve">0.48 </w:t>
            </w:r>
          </w:p>
        </w:tc>
        <w:tc>
          <w:tcPr>
            <w:tcW w:w="1705" w:type="dxa"/>
            <w:vAlign w:val="center"/>
          </w:tcPr>
          <w:p w14:paraId="5A4D815B" w14:textId="77777777" w:rsidR="000B4CBF" w:rsidRPr="004D46AC" w:rsidRDefault="000B4CBF" w:rsidP="00B518F1">
            <w:pPr>
              <w:spacing w:line="240" w:lineRule="auto"/>
              <w:ind w:firstLine="0"/>
            </w:pPr>
            <w:r w:rsidRPr="004D46AC">
              <w:rPr>
                <w:color w:val="000000"/>
                <w:szCs w:val="21"/>
              </w:rPr>
              <w:t xml:space="preserve">1.29 </w:t>
            </w:r>
          </w:p>
        </w:tc>
        <w:tc>
          <w:tcPr>
            <w:tcW w:w="1705" w:type="dxa"/>
            <w:vAlign w:val="center"/>
          </w:tcPr>
          <w:p w14:paraId="6A687385"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582E8AF9" w14:textId="77777777" w:rsidTr="00B518F1">
        <w:tc>
          <w:tcPr>
            <w:tcW w:w="1704" w:type="dxa"/>
            <w:vAlign w:val="center"/>
          </w:tcPr>
          <w:p w14:paraId="4ECD6711" w14:textId="77777777" w:rsidR="000B4CBF" w:rsidRPr="004D46AC" w:rsidRDefault="000B4CBF" w:rsidP="00B518F1">
            <w:pPr>
              <w:spacing w:line="240" w:lineRule="auto"/>
              <w:ind w:firstLine="0"/>
            </w:pPr>
            <w:r w:rsidRPr="004D46AC">
              <w:rPr>
                <w:color w:val="000000"/>
              </w:rPr>
              <w:t>TR19--TR16</w:t>
            </w:r>
          </w:p>
        </w:tc>
        <w:tc>
          <w:tcPr>
            <w:tcW w:w="1704" w:type="dxa"/>
            <w:vAlign w:val="center"/>
          </w:tcPr>
          <w:p w14:paraId="38F7D270" w14:textId="77777777" w:rsidR="000B4CBF" w:rsidRPr="004D46AC" w:rsidRDefault="000B4CBF" w:rsidP="00B518F1">
            <w:pPr>
              <w:spacing w:line="240" w:lineRule="auto"/>
              <w:ind w:firstLine="0"/>
            </w:pPr>
            <w:r w:rsidRPr="004D46AC">
              <w:rPr>
                <w:color w:val="000000"/>
                <w:szCs w:val="21"/>
              </w:rPr>
              <w:t xml:space="preserve">0.86 </w:t>
            </w:r>
          </w:p>
        </w:tc>
        <w:tc>
          <w:tcPr>
            <w:tcW w:w="1704" w:type="dxa"/>
            <w:vAlign w:val="center"/>
          </w:tcPr>
          <w:p w14:paraId="1650F5AC" w14:textId="77777777" w:rsidR="000B4CBF" w:rsidRPr="004D46AC" w:rsidRDefault="000B4CBF" w:rsidP="00B518F1">
            <w:pPr>
              <w:spacing w:line="240" w:lineRule="auto"/>
              <w:ind w:firstLine="0"/>
            </w:pPr>
            <w:r w:rsidRPr="004D46AC">
              <w:rPr>
                <w:color w:val="000000"/>
                <w:szCs w:val="21"/>
              </w:rPr>
              <w:t xml:space="preserve">0.43 </w:t>
            </w:r>
          </w:p>
        </w:tc>
        <w:tc>
          <w:tcPr>
            <w:tcW w:w="1705" w:type="dxa"/>
            <w:vAlign w:val="center"/>
          </w:tcPr>
          <w:p w14:paraId="3AED78F0" w14:textId="77777777" w:rsidR="000B4CBF" w:rsidRPr="004D46AC" w:rsidRDefault="000B4CBF" w:rsidP="00B518F1">
            <w:pPr>
              <w:spacing w:line="240" w:lineRule="auto"/>
              <w:ind w:firstLine="0"/>
            </w:pPr>
            <w:r w:rsidRPr="004D46AC">
              <w:rPr>
                <w:color w:val="000000"/>
                <w:szCs w:val="21"/>
              </w:rPr>
              <w:t xml:space="preserve">1.29 </w:t>
            </w:r>
          </w:p>
        </w:tc>
        <w:tc>
          <w:tcPr>
            <w:tcW w:w="1705" w:type="dxa"/>
            <w:vAlign w:val="center"/>
          </w:tcPr>
          <w:p w14:paraId="43456488"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324D67C" w14:textId="77777777" w:rsidTr="00B518F1">
        <w:tc>
          <w:tcPr>
            <w:tcW w:w="1704" w:type="dxa"/>
            <w:vAlign w:val="center"/>
          </w:tcPr>
          <w:p w14:paraId="0C965CEF" w14:textId="77777777" w:rsidR="000B4CBF" w:rsidRPr="004D46AC" w:rsidRDefault="000B4CBF" w:rsidP="00B518F1">
            <w:pPr>
              <w:spacing w:line="240" w:lineRule="auto"/>
              <w:ind w:firstLine="0"/>
            </w:pPr>
            <w:r w:rsidRPr="004D46AC">
              <w:rPr>
                <w:color w:val="000000"/>
              </w:rPr>
              <w:t>TR34--TR33</w:t>
            </w:r>
          </w:p>
        </w:tc>
        <w:tc>
          <w:tcPr>
            <w:tcW w:w="1704" w:type="dxa"/>
            <w:vAlign w:val="center"/>
          </w:tcPr>
          <w:p w14:paraId="7F77F491" w14:textId="77777777" w:rsidR="000B4CBF" w:rsidRPr="004D46AC" w:rsidRDefault="000B4CBF" w:rsidP="00B518F1">
            <w:pPr>
              <w:spacing w:line="240" w:lineRule="auto"/>
              <w:ind w:firstLine="0"/>
            </w:pPr>
            <w:r w:rsidRPr="004D46AC">
              <w:rPr>
                <w:color w:val="000000"/>
                <w:szCs w:val="21"/>
              </w:rPr>
              <w:t xml:space="preserve">0.83 </w:t>
            </w:r>
          </w:p>
        </w:tc>
        <w:tc>
          <w:tcPr>
            <w:tcW w:w="1704" w:type="dxa"/>
            <w:vAlign w:val="center"/>
          </w:tcPr>
          <w:p w14:paraId="37EE6446" w14:textId="77777777" w:rsidR="000B4CBF" w:rsidRPr="004D46AC" w:rsidRDefault="000B4CBF" w:rsidP="00B518F1">
            <w:pPr>
              <w:spacing w:line="240" w:lineRule="auto"/>
              <w:ind w:firstLine="0"/>
            </w:pPr>
            <w:r w:rsidRPr="004D46AC">
              <w:rPr>
                <w:color w:val="000000"/>
                <w:szCs w:val="21"/>
              </w:rPr>
              <w:t xml:space="preserve">0.35 </w:t>
            </w:r>
          </w:p>
        </w:tc>
        <w:tc>
          <w:tcPr>
            <w:tcW w:w="1705" w:type="dxa"/>
            <w:vAlign w:val="center"/>
          </w:tcPr>
          <w:p w14:paraId="4F89A62C" w14:textId="77777777" w:rsidR="000B4CBF" w:rsidRPr="004D46AC" w:rsidRDefault="000B4CBF" w:rsidP="00B518F1">
            <w:pPr>
              <w:spacing w:line="240" w:lineRule="auto"/>
              <w:ind w:firstLine="0"/>
            </w:pPr>
            <w:r w:rsidRPr="004D46AC">
              <w:rPr>
                <w:color w:val="000000"/>
                <w:szCs w:val="21"/>
              </w:rPr>
              <w:t xml:space="preserve">1.32 </w:t>
            </w:r>
          </w:p>
        </w:tc>
        <w:tc>
          <w:tcPr>
            <w:tcW w:w="1705" w:type="dxa"/>
            <w:vAlign w:val="center"/>
          </w:tcPr>
          <w:p w14:paraId="6EB8D088"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51D7EB79" w14:textId="77777777" w:rsidTr="00B518F1">
        <w:tc>
          <w:tcPr>
            <w:tcW w:w="1704" w:type="dxa"/>
            <w:vAlign w:val="center"/>
          </w:tcPr>
          <w:p w14:paraId="77452E3B" w14:textId="77777777" w:rsidR="000B4CBF" w:rsidRPr="004D46AC" w:rsidRDefault="000B4CBF" w:rsidP="00B518F1">
            <w:pPr>
              <w:spacing w:line="240" w:lineRule="auto"/>
              <w:ind w:firstLine="0"/>
            </w:pPr>
            <w:r w:rsidRPr="004D46AC">
              <w:rPr>
                <w:color w:val="000000"/>
              </w:rPr>
              <w:t>TR5--TR24</w:t>
            </w:r>
          </w:p>
        </w:tc>
        <w:tc>
          <w:tcPr>
            <w:tcW w:w="1704" w:type="dxa"/>
            <w:vAlign w:val="center"/>
          </w:tcPr>
          <w:p w14:paraId="340B8FCF" w14:textId="77777777" w:rsidR="000B4CBF" w:rsidRPr="004D46AC" w:rsidRDefault="000B4CBF" w:rsidP="00B518F1">
            <w:pPr>
              <w:spacing w:line="240" w:lineRule="auto"/>
              <w:ind w:firstLine="0"/>
            </w:pPr>
            <w:r w:rsidRPr="004D46AC">
              <w:rPr>
                <w:color w:val="000000"/>
                <w:szCs w:val="21"/>
              </w:rPr>
              <w:t xml:space="preserve">0.73 </w:t>
            </w:r>
          </w:p>
        </w:tc>
        <w:tc>
          <w:tcPr>
            <w:tcW w:w="1704" w:type="dxa"/>
            <w:vAlign w:val="center"/>
          </w:tcPr>
          <w:p w14:paraId="3A98D423" w14:textId="77777777" w:rsidR="000B4CBF" w:rsidRPr="004D46AC" w:rsidRDefault="000B4CBF" w:rsidP="00B518F1">
            <w:pPr>
              <w:spacing w:line="240" w:lineRule="auto"/>
              <w:ind w:firstLine="0"/>
            </w:pPr>
            <w:r w:rsidRPr="004D46AC">
              <w:rPr>
                <w:color w:val="000000"/>
                <w:szCs w:val="21"/>
              </w:rPr>
              <w:t xml:space="preserve">0.31 </w:t>
            </w:r>
          </w:p>
        </w:tc>
        <w:tc>
          <w:tcPr>
            <w:tcW w:w="1705" w:type="dxa"/>
            <w:vAlign w:val="center"/>
          </w:tcPr>
          <w:p w14:paraId="140F17B0" w14:textId="77777777" w:rsidR="000B4CBF" w:rsidRPr="004D46AC" w:rsidRDefault="000B4CBF" w:rsidP="00B518F1">
            <w:pPr>
              <w:spacing w:line="240" w:lineRule="auto"/>
              <w:ind w:firstLine="0"/>
            </w:pPr>
            <w:r w:rsidRPr="004D46AC">
              <w:rPr>
                <w:color w:val="000000"/>
                <w:szCs w:val="21"/>
              </w:rPr>
              <w:t xml:space="preserve">1.15 </w:t>
            </w:r>
          </w:p>
        </w:tc>
        <w:tc>
          <w:tcPr>
            <w:tcW w:w="1705" w:type="dxa"/>
            <w:vAlign w:val="center"/>
          </w:tcPr>
          <w:p w14:paraId="220C6DAB"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3B6B30DF" w14:textId="77777777" w:rsidTr="00B518F1">
        <w:tc>
          <w:tcPr>
            <w:tcW w:w="1704" w:type="dxa"/>
            <w:vAlign w:val="center"/>
          </w:tcPr>
          <w:p w14:paraId="63715D31" w14:textId="77777777" w:rsidR="000B4CBF" w:rsidRPr="004D46AC" w:rsidRDefault="000B4CBF" w:rsidP="00B518F1">
            <w:pPr>
              <w:spacing w:line="240" w:lineRule="auto"/>
              <w:ind w:firstLine="0"/>
            </w:pPr>
            <w:r w:rsidRPr="004D46AC">
              <w:rPr>
                <w:color w:val="000000"/>
              </w:rPr>
              <w:t>TR15--TR19</w:t>
            </w:r>
          </w:p>
        </w:tc>
        <w:tc>
          <w:tcPr>
            <w:tcW w:w="1704" w:type="dxa"/>
            <w:vAlign w:val="center"/>
          </w:tcPr>
          <w:p w14:paraId="0F1111A5" w14:textId="77777777" w:rsidR="000B4CBF" w:rsidRPr="004D46AC" w:rsidRDefault="000B4CBF" w:rsidP="00B518F1">
            <w:pPr>
              <w:spacing w:line="240" w:lineRule="auto"/>
              <w:ind w:firstLine="0"/>
            </w:pPr>
            <w:r w:rsidRPr="004D46AC">
              <w:rPr>
                <w:color w:val="000000"/>
                <w:szCs w:val="21"/>
              </w:rPr>
              <w:t xml:space="preserve">0.72 </w:t>
            </w:r>
          </w:p>
        </w:tc>
        <w:tc>
          <w:tcPr>
            <w:tcW w:w="1704" w:type="dxa"/>
            <w:vAlign w:val="center"/>
          </w:tcPr>
          <w:p w14:paraId="1CDEAF8D" w14:textId="77777777" w:rsidR="000B4CBF" w:rsidRPr="004D46AC" w:rsidRDefault="000B4CBF" w:rsidP="00B518F1">
            <w:pPr>
              <w:spacing w:line="240" w:lineRule="auto"/>
              <w:ind w:firstLine="0"/>
            </w:pPr>
            <w:r w:rsidRPr="004D46AC">
              <w:rPr>
                <w:color w:val="000000"/>
                <w:szCs w:val="21"/>
              </w:rPr>
              <w:t xml:space="preserve">0.27 </w:t>
            </w:r>
          </w:p>
        </w:tc>
        <w:tc>
          <w:tcPr>
            <w:tcW w:w="1705" w:type="dxa"/>
            <w:vAlign w:val="center"/>
          </w:tcPr>
          <w:p w14:paraId="26016813" w14:textId="77777777" w:rsidR="000B4CBF" w:rsidRPr="004D46AC" w:rsidRDefault="000B4CBF" w:rsidP="00B518F1">
            <w:pPr>
              <w:spacing w:line="240" w:lineRule="auto"/>
              <w:ind w:firstLine="0"/>
            </w:pPr>
            <w:r w:rsidRPr="004D46AC">
              <w:rPr>
                <w:color w:val="000000"/>
                <w:szCs w:val="21"/>
              </w:rPr>
              <w:t xml:space="preserve">1.17 </w:t>
            </w:r>
          </w:p>
        </w:tc>
        <w:tc>
          <w:tcPr>
            <w:tcW w:w="1705" w:type="dxa"/>
            <w:vAlign w:val="center"/>
          </w:tcPr>
          <w:p w14:paraId="1F026F0E"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26C0CAD3" w14:textId="77777777" w:rsidTr="00B518F1">
        <w:tc>
          <w:tcPr>
            <w:tcW w:w="1704" w:type="dxa"/>
            <w:vAlign w:val="center"/>
          </w:tcPr>
          <w:p w14:paraId="1A3EAB1D" w14:textId="77777777" w:rsidR="000B4CBF" w:rsidRPr="004D46AC" w:rsidRDefault="000B4CBF" w:rsidP="00B518F1">
            <w:pPr>
              <w:spacing w:line="240" w:lineRule="auto"/>
              <w:ind w:firstLine="0"/>
            </w:pPr>
            <w:r w:rsidRPr="004D46AC">
              <w:rPr>
                <w:color w:val="000000"/>
              </w:rPr>
              <w:t>TR19--TR24</w:t>
            </w:r>
          </w:p>
        </w:tc>
        <w:tc>
          <w:tcPr>
            <w:tcW w:w="1704" w:type="dxa"/>
            <w:vAlign w:val="center"/>
          </w:tcPr>
          <w:p w14:paraId="713731AD" w14:textId="77777777" w:rsidR="000B4CBF" w:rsidRPr="004D46AC" w:rsidRDefault="000B4CBF" w:rsidP="00B518F1">
            <w:pPr>
              <w:spacing w:line="240" w:lineRule="auto"/>
              <w:ind w:firstLine="0"/>
            </w:pPr>
            <w:r w:rsidRPr="004D46AC">
              <w:rPr>
                <w:color w:val="000000"/>
                <w:szCs w:val="21"/>
              </w:rPr>
              <w:t xml:space="preserve">0.70 </w:t>
            </w:r>
          </w:p>
        </w:tc>
        <w:tc>
          <w:tcPr>
            <w:tcW w:w="1704" w:type="dxa"/>
            <w:vAlign w:val="center"/>
          </w:tcPr>
          <w:p w14:paraId="6D79B840" w14:textId="77777777" w:rsidR="000B4CBF" w:rsidRPr="004D46AC" w:rsidRDefault="000B4CBF" w:rsidP="00B518F1">
            <w:pPr>
              <w:spacing w:line="240" w:lineRule="auto"/>
              <w:ind w:firstLine="0"/>
            </w:pPr>
            <w:r w:rsidRPr="004D46AC">
              <w:rPr>
                <w:color w:val="000000"/>
                <w:szCs w:val="21"/>
              </w:rPr>
              <w:t xml:space="preserve">0.28 </w:t>
            </w:r>
          </w:p>
        </w:tc>
        <w:tc>
          <w:tcPr>
            <w:tcW w:w="1705" w:type="dxa"/>
            <w:vAlign w:val="center"/>
          </w:tcPr>
          <w:p w14:paraId="719E5992" w14:textId="77777777" w:rsidR="000B4CBF" w:rsidRPr="004D46AC" w:rsidRDefault="000B4CBF" w:rsidP="00B518F1">
            <w:pPr>
              <w:spacing w:line="240" w:lineRule="auto"/>
              <w:ind w:firstLine="0"/>
            </w:pPr>
            <w:r w:rsidRPr="004D46AC">
              <w:rPr>
                <w:color w:val="000000"/>
                <w:szCs w:val="21"/>
              </w:rPr>
              <w:t xml:space="preserve">1.13 </w:t>
            </w:r>
          </w:p>
        </w:tc>
        <w:tc>
          <w:tcPr>
            <w:tcW w:w="1705" w:type="dxa"/>
            <w:vAlign w:val="center"/>
          </w:tcPr>
          <w:p w14:paraId="62DF2CA6"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583B0C7D" w14:textId="77777777" w:rsidTr="00B518F1">
        <w:tc>
          <w:tcPr>
            <w:tcW w:w="1704" w:type="dxa"/>
            <w:vAlign w:val="center"/>
          </w:tcPr>
          <w:p w14:paraId="4D31D76B" w14:textId="77777777" w:rsidR="000B4CBF" w:rsidRPr="004D46AC" w:rsidRDefault="000B4CBF" w:rsidP="00B518F1">
            <w:pPr>
              <w:spacing w:line="240" w:lineRule="auto"/>
              <w:ind w:firstLine="0"/>
            </w:pPr>
            <w:r w:rsidRPr="004D46AC">
              <w:rPr>
                <w:color w:val="000000"/>
              </w:rPr>
              <w:t>TR18--TR29</w:t>
            </w:r>
          </w:p>
        </w:tc>
        <w:tc>
          <w:tcPr>
            <w:tcW w:w="1704" w:type="dxa"/>
            <w:vAlign w:val="center"/>
          </w:tcPr>
          <w:p w14:paraId="0C220AC0" w14:textId="77777777" w:rsidR="000B4CBF" w:rsidRPr="004D46AC" w:rsidRDefault="000B4CBF" w:rsidP="00B518F1">
            <w:pPr>
              <w:spacing w:line="240" w:lineRule="auto"/>
              <w:ind w:firstLine="0"/>
            </w:pPr>
            <w:r w:rsidRPr="004D46AC">
              <w:rPr>
                <w:color w:val="000000"/>
                <w:szCs w:val="21"/>
              </w:rPr>
              <w:t xml:space="preserve">0.70 </w:t>
            </w:r>
          </w:p>
        </w:tc>
        <w:tc>
          <w:tcPr>
            <w:tcW w:w="1704" w:type="dxa"/>
            <w:vAlign w:val="center"/>
          </w:tcPr>
          <w:p w14:paraId="11032A4A"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417A17BF" w14:textId="77777777" w:rsidR="000B4CBF" w:rsidRPr="004D46AC" w:rsidRDefault="000B4CBF" w:rsidP="00B518F1">
            <w:pPr>
              <w:spacing w:line="240" w:lineRule="auto"/>
              <w:ind w:firstLine="0"/>
            </w:pPr>
            <w:r w:rsidRPr="004D46AC">
              <w:rPr>
                <w:color w:val="000000"/>
                <w:szCs w:val="21"/>
              </w:rPr>
              <w:t xml:space="preserve">1.18 </w:t>
            </w:r>
          </w:p>
        </w:tc>
        <w:tc>
          <w:tcPr>
            <w:tcW w:w="1705" w:type="dxa"/>
            <w:vAlign w:val="center"/>
          </w:tcPr>
          <w:p w14:paraId="03EDE371"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6EF155A5" w14:textId="77777777" w:rsidTr="00B518F1">
        <w:tc>
          <w:tcPr>
            <w:tcW w:w="1704" w:type="dxa"/>
            <w:vAlign w:val="center"/>
          </w:tcPr>
          <w:p w14:paraId="6C5AF837" w14:textId="77777777" w:rsidR="000B4CBF" w:rsidRPr="004D46AC" w:rsidRDefault="000B4CBF" w:rsidP="00B518F1">
            <w:pPr>
              <w:spacing w:line="240" w:lineRule="auto"/>
              <w:ind w:firstLine="0"/>
            </w:pPr>
            <w:r w:rsidRPr="004D46AC">
              <w:rPr>
                <w:color w:val="000000"/>
              </w:rPr>
              <w:t>TR13--TR14</w:t>
            </w:r>
          </w:p>
        </w:tc>
        <w:tc>
          <w:tcPr>
            <w:tcW w:w="1704" w:type="dxa"/>
            <w:vAlign w:val="center"/>
          </w:tcPr>
          <w:p w14:paraId="78F149E4" w14:textId="77777777" w:rsidR="000B4CBF" w:rsidRPr="004D46AC" w:rsidRDefault="000B4CBF" w:rsidP="00B518F1">
            <w:pPr>
              <w:spacing w:line="240" w:lineRule="auto"/>
              <w:ind w:firstLine="0"/>
            </w:pPr>
            <w:r w:rsidRPr="004D46AC">
              <w:rPr>
                <w:color w:val="000000"/>
                <w:szCs w:val="21"/>
              </w:rPr>
              <w:t xml:space="preserve">0.69 </w:t>
            </w:r>
          </w:p>
        </w:tc>
        <w:tc>
          <w:tcPr>
            <w:tcW w:w="1704" w:type="dxa"/>
            <w:vAlign w:val="center"/>
          </w:tcPr>
          <w:p w14:paraId="5BACB007" w14:textId="77777777" w:rsidR="000B4CBF" w:rsidRPr="004D46AC" w:rsidRDefault="000B4CBF" w:rsidP="00B518F1">
            <w:pPr>
              <w:spacing w:line="240" w:lineRule="auto"/>
              <w:ind w:firstLine="0"/>
            </w:pPr>
            <w:r w:rsidRPr="004D46AC">
              <w:rPr>
                <w:color w:val="000000"/>
                <w:szCs w:val="21"/>
              </w:rPr>
              <w:t xml:space="preserve">0.27 </w:t>
            </w:r>
          </w:p>
        </w:tc>
        <w:tc>
          <w:tcPr>
            <w:tcW w:w="1705" w:type="dxa"/>
            <w:vAlign w:val="center"/>
          </w:tcPr>
          <w:p w14:paraId="0AE9F4A8" w14:textId="77777777" w:rsidR="000B4CBF" w:rsidRPr="004D46AC" w:rsidRDefault="000B4CBF" w:rsidP="00B518F1">
            <w:pPr>
              <w:spacing w:line="240" w:lineRule="auto"/>
              <w:ind w:firstLine="0"/>
            </w:pPr>
            <w:r w:rsidRPr="004D46AC">
              <w:rPr>
                <w:color w:val="000000"/>
                <w:szCs w:val="21"/>
              </w:rPr>
              <w:t xml:space="preserve">1.11 </w:t>
            </w:r>
          </w:p>
        </w:tc>
        <w:tc>
          <w:tcPr>
            <w:tcW w:w="1705" w:type="dxa"/>
            <w:vAlign w:val="center"/>
          </w:tcPr>
          <w:p w14:paraId="4C5B8B06"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70A9EE61" w14:textId="77777777" w:rsidTr="00B518F1">
        <w:tc>
          <w:tcPr>
            <w:tcW w:w="1704" w:type="dxa"/>
            <w:vAlign w:val="center"/>
          </w:tcPr>
          <w:p w14:paraId="3B6F8D6F" w14:textId="77777777" w:rsidR="000B4CBF" w:rsidRPr="004D46AC" w:rsidRDefault="000B4CBF" w:rsidP="00B518F1">
            <w:pPr>
              <w:spacing w:line="240" w:lineRule="auto"/>
              <w:ind w:firstLine="0"/>
            </w:pPr>
            <w:r w:rsidRPr="004D46AC">
              <w:rPr>
                <w:color w:val="000000"/>
              </w:rPr>
              <w:t>TR15--TR26</w:t>
            </w:r>
          </w:p>
        </w:tc>
        <w:tc>
          <w:tcPr>
            <w:tcW w:w="1704" w:type="dxa"/>
            <w:vAlign w:val="center"/>
          </w:tcPr>
          <w:p w14:paraId="4191A3C8" w14:textId="77777777" w:rsidR="000B4CBF" w:rsidRPr="004D46AC" w:rsidRDefault="000B4CBF" w:rsidP="00B518F1">
            <w:pPr>
              <w:spacing w:line="240" w:lineRule="auto"/>
              <w:ind w:firstLine="0"/>
            </w:pPr>
            <w:r w:rsidRPr="004D46AC">
              <w:rPr>
                <w:color w:val="000000"/>
                <w:szCs w:val="21"/>
              </w:rPr>
              <w:t xml:space="preserve">0.67 </w:t>
            </w:r>
          </w:p>
        </w:tc>
        <w:tc>
          <w:tcPr>
            <w:tcW w:w="1704" w:type="dxa"/>
            <w:vAlign w:val="center"/>
          </w:tcPr>
          <w:p w14:paraId="0B44FBF0"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7081D637" w14:textId="77777777" w:rsidR="000B4CBF" w:rsidRPr="004D46AC" w:rsidRDefault="000B4CBF" w:rsidP="00B518F1">
            <w:pPr>
              <w:spacing w:line="240" w:lineRule="auto"/>
              <w:ind w:firstLine="0"/>
            </w:pPr>
            <w:r w:rsidRPr="004D46AC">
              <w:rPr>
                <w:color w:val="000000"/>
                <w:szCs w:val="21"/>
              </w:rPr>
              <w:t xml:space="preserve">1.12 </w:t>
            </w:r>
          </w:p>
        </w:tc>
        <w:tc>
          <w:tcPr>
            <w:tcW w:w="1705" w:type="dxa"/>
            <w:vAlign w:val="center"/>
          </w:tcPr>
          <w:p w14:paraId="4003E661"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3178F4C0" w14:textId="77777777" w:rsidTr="00B518F1">
        <w:tc>
          <w:tcPr>
            <w:tcW w:w="1704" w:type="dxa"/>
            <w:vAlign w:val="center"/>
          </w:tcPr>
          <w:p w14:paraId="422AE298" w14:textId="77777777" w:rsidR="000B4CBF" w:rsidRPr="004D46AC" w:rsidRDefault="000B4CBF" w:rsidP="00B518F1">
            <w:pPr>
              <w:spacing w:line="240" w:lineRule="auto"/>
              <w:ind w:firstLine="0"/>
            </w:pPr>
            <w:r w:rsidRPr="004D46AC">
              <w:rPr>
                <w:color w:val="000000"/>
              </w:rPr>
              <w:t>TR16--TR25</w:t>
            </w:r>
          </w:p>
        </w:tc>
        <w:tc>
          <w:tcPr>
            <w:tcW w:w="1704" w:type="dxa"/>
            <w:vAlign w:val="center"/>
          </w:tcPr>
          <w:p w14:paraId="0243B5AB" w14:textId="77777777" w:rsidR="000B4CBF" w:rsidRPr="004D46AC" w:rsidRDefault="000B4CBF" w:rsidP="00B518F1">
            <w:pPr>
              <w:spacing w:line="240" w:lineRule="auto"/>
              <w:ind w:firstLine="0"/>
            </w:pPr>
            <w:r w:rsidRPr="004D46AC">
              <w:rPr>
                <w:color w:val="000000"/>
                <w:szCs w:val="21"/>
              </w:rPr>
              <w:t xml:space="preserve">0.67 </w:t>
            </w:r>
          </w:p>
        </w:tc>
        <w:tc>
          <w:tcPr>
            <w:tcW w:w="1704" w:type="dxa"/>
            <w:vAlign w:val="center"/>
          </w:tcPr>
          <w:p w14:paraId="7A9D096E"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757FB686" w14:textId="77777777" w:rsidR="000B4CBF" w:rsidRPr="004D46AC" w:rsidRDefault="000B4CBF" w:rsidP="00B518F1">
            <w:pPr>
              <w:spacing w:line="240" w:lineRule="auto"/>
              <w:ind w:firstLine="0"/>
            </w:pPr>
            <w:r w:rsidRPr="004D46AC">
              <w:rPr>
                <w:color w:val="000000"/>
                <w:szCs w:val="21"/>
              </w:rPr>
              <w:t xml:space="preserve">1.11 </w:t>
            </w:r>
          </w:p>
        </w:tc>
        <w:tc>
          <w:tcPr>
            <w:tcW w:w="1705" w:type="dxa"/>
            <w:vAlign w:val="center"/>
          </w:tcPr>
          <w:p w14:paraId="3F8A234C"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57525818" w14:textId="77777777" w:rsidTr="00B518F1">
        <w:tc>
          <w:tcPr>
            <w:tcW w:w="1704" w:type="dxa"/>
            <w:vAlign w:val="center"/>
          </w:tcPr>
          <w:p w14:paraId="085230F0" w14:textId="77777777" w:rsidR="000B4CBF" w:rsidRPr="004D46AC" w:rsidRDefault="000B4CBF" w:rsidP="00B518F1">
            <w:pPr>
              <w:spacing w:line="240" w:lineRule="auto"/>
              <w:ind w:firstLine="0"/>
            </w:pPr>
            <w:r w:rsidRPr="004D46AC">
              <w:rPr>
                <w:color w:val="000000"/>
              </w:rPr>
              <w:t>TR15--TR34</w:t>
            </w:r>
          </w:p>
        </w:tc>
        <w:tc>
          <w:tcPr>
            <w:tcW w:w="1704" w:type="dxa"/>
            <w:vAlign w:val="center"/>
          </w:tcPr>
          <w:p w14:paraId="542C09BB" w14:textId="77777777" w:rsidR="000B4CBF" w:rsidRPr="004D46AC" w:rsidRDefault="000B4CBF" w:rsidP="00B518F1">
            <w:pPr>
              <w:spacing w:line="240" w:lineRule="auto"/>
              <w:ind w:firstLine="0"/>
            </w:pPr>
            <w:r w:rsidRPr="004D46AC">
              <w:rPr>
                <w:color w:val="000000"/>
                <w:szCs w:val="21"/>
              </w:rPr>
              <w:t xml:space="preserve">0.63 </w:t>
            </w:r>
          </w:p>
        </w:tc>
        <w:tc>
          <w:tcPr>
            <w:tcW w:w="1704" w:type="dxa"/>
            <w:vAlign w:val="center"/>
          </w:tcPr>
          <w:p w14:paraId="387E1AA8"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58D1830F" w14:textId="77777777" w:rsidR="000B4CBF" w:rsidRPr="004D46AC" w:rsidRDefault="000B4CBF" w:rsidP="00B518F1">
            <w:pPr>
              <w:spacing w:line="240" w:lineRule="auto"/>
              <w:ind w:firstLine="0"/>
            </w:pPr>
            <w:r w:rsidRPr="004D46AC">
              <w:rPr>
                <w:color w:val="000000"/>
                <w:szCs w:val="21"/>
              </w:rPr>
              <w:t xml:space="preserve">1.04 </w:t>
            </w:r>
          </w:p>
        </w:tc>
        <w:tc>
          <w:tcPr>
            <w:tcW w:w="1705" w:type="dxa"/>
            <w:vAlign w:val="center"/>
          </w:tcPr>
          <w:p w14:paraId="789DC318"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480B4828" w14:textId="77777777" w:rsidTr="00B518F1">
        <w:tc>
          <w:tcPr>
            <w:tcW w:w="1704" w:type="dxa"/>
            <w:vAlign w:val="center"/>
          </w:tcPr>
          <w:p w14:paraId="0D0A6B9C" w14:textId="77777777" w:rsidR="000B4CBF" w:rsidRPr="004D46AC" w:rsidRDefault="000B4CBF" w:rsidP="00B518F1">
            <w:pPr>
              <w:spacing w:line="240" w:lineRule="auto"/>
              <w:ind w:firstLine="0"/>
            </w:pPr>
            <w:r w:rsidRPr="004D46AC">
              <w:rPr>
                <w:color w:val="000000"/>
              </w:rPr>
              <w:t>TR24--TR30</w:t>
            </w:r>
          </w:p>
        </w:tc>
        <w:tc>
          <w:tcPr>
            <w:tcW w:w="1704" w:type="dxa"/>
            <w:vAlign w:val="center"/>
          </w:tcPr>
          <w:p w14:paraId="63CEFFCF" w14:textId="77777777" w:rsidR="000B4CBF" w:rsidRPr="004D46AC" w:rsidRDefault="000B4CBF" w:rsidP="00B518F1">
            <w:pPr>
              <w:spacing w:line="240" w:lineRule="auto"/>
              <w:ind w:firstLine="0"/>
            </w:pPr>
            <w:r w:rsidRPr="004D46AC">
              <w:rPr>
                <w:color w:val="000000"/>
                <w:szCs w:val="21"/>
              </w:rPr>
              <w:t xml:space="preserve">0.61 </w:t>
            </w:r>
          </w:p>
        </w:tc>
        <w:tc>
          <w:tcPr>
            <w:tcW w:w="1704" w:type="dxa"/>
            <w:vAlign w:val="center"/>
          </w:tcPr>
          <w:p w14:paraId="173894A0" w14:textId="77777777" w:rsidR="000B4CBF" w:rsidRPr="004D46AC" w:rsidRDefault="000B4CBF" w:rsidP="00B518F1">
            <w:pPr>
              <w:spacing w:line="240" w:lineRule="auto"/>
              <w:ind w:firstLine="0"/>
            </w:pPr>
            <w:r w:rsidRPr="004D46AC">
              <w:rPr>
                <w:color w:val="000000"/>
                <w:szCs w:val="21"/>
              </w:rPr>
              <w:t xml:space="preserve">0.09 </w:t>
            </w:r>
          </w:p>
        </w:tc>
        <w:tc>
          <w:tcPr>
            <w:tcW w:w="1705" w:type="dxa"/>
            <w:vAlign w:val="center"/>
          </w:tcPr>
          <w:p w14:paraId="70AA6B3B" w14:textId="77777777" w:rsidR="000B4CBF" w:rsidRPr="004D46AC" w:rsidRDefault="000B4CBF" w:rsidP="00B518F1">
            <w:pPr>
              <w:spacing w:line="240" w:lineRule="auto"/>
              <w:ind w:firstLine="0"/>
            </w:pPr>
            <w:r w:rsidRPr="004D46AC">
              <w:rPr>
                <w:color w:val="000000"/>
                <w:szCs w:val="21"/>
              </w:rPr>
              <w:t xml:space="preserve">1.12 </w:t>
            </w:r>
          </w:p>
        </w:tc>
        <w:tc>
          <w:tcPr>
            <w:tcW w:w="1705" w:type="dxa"/>
            <w:vAlign w:val="center"/>
          </w:tcPr>
          <w:p w14:paraId="54E09D9C" w14:textId="77777777" w:rsidR="000B4CBF" w:rsidRPr="004D46AC" w:rsidRDefault="000B4CBF" w:rsidP="00B518F1">
            <w:pPr>
              <w:spacing w:line="240" w:lineRule="auto"/>
              <w:ind w:firstLine="0"/>
            </w:pPr>
            <w:r w:rsidRPr="004D46AC">
              <w:rPr>
                <w:color w:val="000000"/>
                <w:szCs w:val="21"/>
              </w:rPr>
              <w:t xml:space="preserve">0.06 </w:t>
            </w:r>
          </w:p>
        </w:tc>
      </w:tr>
      <w:tr w:rsidR="000B4CBF" w:rsidRPr="004D46AC" w14:paraId="2528E9D2" w14:textId="77777777" w:rsidTr="00B518F1">
        <w:tc>
          <w:tcPr>
            <w:tcW w:w="1704" w:type="dxa"/>
            <w:vAlign w:val="center"/>
          </w:tcPr>
          <w:p w14:paraId="73DC023E" w14:textId="77777777" w:rsidR="000B4CBF" w:rsidRPr="004D46AC" w:rsidRDefault="000B4CBF" w:rsidP="00B518F1">
            <w:pPr>
              <w:spacing w:line="240" w:lineRule="auto"/>
              <w:ind w:firstLine="0"/>
            </w:pPr>
            <w:r w:rsidRPr="004D46AC">
              <w:rPr>
                <w:color w:val="000000"/>
              </w:rPr>
              <w:t>TR19--TR21</w:t>
            </w:r>
          </w:p>
        </w:tc>
        <w:tc>
          <w:tcPr>
            <w:tcW w:w="1704" w:type="dxa"/>
            <w:vAlign w:val="center"/>
          </w:tcPr>
          <w:p w14:paraId="5A4EEAF3" w14:textId="77777777" w:rsidR="000B4CBF" w:rsidRPr="004D46AC" w:rsidRDefault="000B4CBF" w:rsidP="00B518F1">
            <w:pPr>
              <w:spacing w:line="240" w:lineRule="auto"/>
              <w:ind w:firstLine="0"/>
            </w:pPr>
            <w:r w:rsidRPr="004D46AC">
              <w:rPr>
                <w:color w:val="000000"/>
                <w:szCs w:val="21"/>
              </w:rPr>
              <w:t xml:space="preserve">0.59 </w:t>
            </w:r>
          </w:p>
        </w:tc>
        <w:tc>
          <w:tcPr>
            <w:tcW w:w="1704" w:type="dxa"/>
            <w:vAlign w:val="center"/>
          </w:tcPr>
          <w:p w14:paraId="209851CF"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0E872A66" w14:textId="77777777" w:rsidR="000B4CBF" w:rsidRPr="004D46AC" w:rsidRDefault="000B4CBF" w:rsidP="00B518F1">
            <w:pPr>
              <w:spacing w:line="240" w:lineRule="auto"/>
              <w:ind w:firstLine="0"/>
            </w:pPr>
            <w:r w:rsidRPr="004D46AC">
              <w:rPr>
                <w:color w:val="000000"/>
                <w:szCs w:val="21"/>
              </w:rPr>
              <w:t xml:space="preserve">1.00 </w:t>
            </w:r>
          </w:p>
        </w:tc>
        <w:tc>
          <w:tcPr>
            <w:tcW w:w="1705" w:type="dxa"/>
            <w:vAlign w:val="center"/>
          </w:tcPr>
          <w:p w14:paraId="7272475F" w14:textId="77777777" w:rsidR="000B4CBF" w:rsidRPr="004D46AC" w:rsidRDefault="000B4CBF" w:rsidP="00B518F1">
            <w:pPr>
              <w:spacing w:line="240" w:lineRule="auto"/>
              <w:ind w:firstLine="0"/>
            </w:pPr>
            <w:r w:rsidRPr="004D46AC">
              <w:rPr>
                <w:color w:val="000000"/>
                <w:szCs w:val="21"/>
              </w:rPr>
              <w:t xml:space="preserve">0.00 </w:t>
            </w:r>
          </w:p>
        </w:tc>
      </w:tr>
      <w:tr w:rsidR="000B4CBF" w:rsidRPr="004D46AC" w14:paraId="23D4FB7E" w14:textId="77777777" w:rsidTr="00B518F1">
        <w:tc>
          <w:tcPr>
            <w:tcW w:w="1704" w:type="dxa"/>
            <w:vAlign w:val="center"/>
          </w:tcPr>
          <w:p w14:paraId="2D9EDCC1" w14:textId="77777777" w:rsidR="000B4CBF" w:rsidRPr="004D46AC" w:rsidRDefault="000B4CBF" w:rsidP="00B518F1">
            <w:pPr>
              <w:spacing w:line="240" w:lineRule="auto"/>
              <w:ind w:firstLine="0"/>
            </w:pPr>
            <w:r w:rsidRPr="004D46AC">
              <w:rPr>
                <w:color w:val="000000"/>
              </w:rPr>
              <w:t>TR9--TR29</w:t>
            </w:r>
          </w:p>
        </w:tc>
        <w:tc>
          <w:tcPr>
            <w:tcW w:w="1704" w:type="dxa"/>
            <w:vAlign w:val="center"/>
          </w:tcPr>
          <w:p w14:paraId="4287AC2F" w14:textId="77777777" w:rsidR="000B4CBF" w:rsidRPr="004D46AC" w:rsidRDefault="000B4CBF" w:rsidP="00B518F1">
            <w:pPr>
              <w:spacing w:line="240" w:lineRule="auto"/>
              <w:ind w:firstLine="0"/>
            </w:pPr>
            <w:r w:rsidRPr="004D46AC">
              <w:rPr>
                <w:color w:val="000000"/>
                <w:szCs w:val="21"/>
              </w:rPr>
              <w:t xml:space="preserve">0.58 </w:t>
            </w:r>
          </w:p>
        </w:tc>
        <w:tc>
          <w:tcPr>
            <w:tcW w:w="1704" w:type="dxa"/>
            <w:vAlign w:val="center"/>
          </w:tcPr>
          <w:p w14:paraId="69E55945" w14:textId="77777777" w:rsidR="000B4CBF" w:rsidRPr="004D46AC" w:rsidRDefault="000B4CBF" w:rsidP="00B518F1">
            <w:pPr>
              <w:spacing w:line="240" w:lineRule="auto"/>
              <w:ind w:firstLine="0"/>
            </w:pPr>
            <w:r w:rsidRPr="004D46AC">
              <w:rPr>
                <w:color w:val="000000"/>
                <w:szCs w:val="21"/>
              </w:rPr>
              <w:t xml:space="preserve">0.06 </w:t>
            </w:r>
          </w:p>
        </w:tc>
        <w:tc>
          <w:tcPr>
            <w:tcW w:w="1705" w:type="dxa"/>
            <w:vAlign w:val="center"/>
          </w:tcPr>
          <w:p w14:paraId="1E9E8FE0" w14:textId="77777777" w:rsidR="000B4CBF" w:rsidRPr="004D46AC" w:rsidRDefault="000B4CBF" w:rsidP="00B518F1">
            <w:pPr>
              <w:spacing w:line="240" w:lineRule="auto"/>
              <w:ind w:firstLine="0"/>
            </w:pPr>
            <w:r w:rsidRPr="004D46AC">
              <w:rPr>
                <w:color w:val="000000"/>
                <w:szCs w:val="21"/>
              </w:rPr>
              <w:t xml:space="preserve">1.10 </w:t>
            </w:r>
          </w:p>
        </w:tc>
        <w:tc>
          <w:tcPr>
            <w:tcW w:w="1705" w:type="dxa"/>
            <w:vAlign w:val="center"/>
          </w:tcPr>
          <w:p w14:paraId="440235C1" w14:textId="77777777" w:rsidR="000B4CBF" w:rsidRPr="004D46AC" w:rsidRDefault="000B4CBF" w:rsidP="00B518F1">
            <w:pPr>
              <w:spacing w:line="240" w:lineRule="auto"/>
              <w:ind w:firstLine="0"/>
            </w:pPr>
            <w:r w:rsidRPr="004D46AC">
              <w:rPr>
                <w:color w:val="000000"/>
                <w:szCs w:val="21"/>
              </w:rPr>
              <w:t xml:space="preserve">0.02 </w:t>
            </w:r>
          </w:p>
        </w:tc>
      </w:tr>
      <w:tr w:rsidR="000B4CBF" w:rsidRPr="004D46AC" w14:paraId="3EA41E71" w14:textId="77777777" w:rsidTr="00B518F1">
        <w:tc>
          <w:tcPr>
            <w:tcW w:w="1704" w:type="dxa"/>
            <w:vAlign w:val="center"/>
          </w:tcPr>
          <w:p w14:paraId="3CC0C41A" w14:textId="77777777" w:rsidR="000B4CBF" w:rsidRPr="004D46AC" w:rsidRDefault="000B4CBF" w:rsidP="00B518F1">
            <w:pPr>
              <w:spacing w:line="240" w:lineRule="auto"/>
              <w:ind w:firstLine="0"/>
            </w:pPr>
            <w:r w:rsidRPr="004D46AC">
              <w:rPr>
                <w:color w:val="000000"/>
              </w:rPr>
              <w:t>TR7--TR34</w:t>
            </w:r>
          </w:p>
        </w:tc>
        <w:tc>
          <w:tcPr>
            <w:tcW w:w="1704" w:type="dxa"/>
            <w:vAlign w:val="center"/>
          </w:tcPr>
          <w:p w14:paraId="4A2FDD2E" w14:textId="77777777" w:rsidR="000B4CBF" w:rsidRPr="004D46AC" w:rsidRDefault="000B4CBF" w:rsidP="00B518F1">
            <w:pPr>
              <w:spacing w:line="240" w:lineRule="auto"/>
              <w:ind w:firstLine="0"/>
            </w:pPr>
            <w:r w:rsidRPr="004D46AC">
              <w:rPr>
                <w:color w:val="000000"/>
                <w:szCs w:val="21"/>
              </w:rPr>
              <w:t xml:space="preserve">0.58 </w:t>
            </w:r>
          </w:p>
        </w:tc>
        <w:tc>
          <w:tcPr>
            <w:tcW w:w="1704" w:type="dxa"/>
            <w:vAlign w:val="center"/>
          </w:tcPr>
          <w:p w14:paraId="29450F58"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596A7072" w14:textId="77777777" w:rsidR="000B4CBF" w:rsidRPr="004D46AC" w:rsidRDefault="000B4CBF" w:rsidP="00B518F1">
            <w:pPr>
              <w:spacing w:line="240" w:lineRule="auto"/>
              <w:ind w:firstLine="0"/>
            </w:pPr>
            <w:r w:rsidRPr="004D46AC">
              <w:rPr>
                <w:color w:val="000000"/>
                <w:szCs w:val="21"/>
              </w:rPr>
              <w:t xml:space="preserve">0.99 </w:t>
            </w:r>
          </w:p>
        </w:tc>
        <w:tc>
          <w:tcPr>
            <w:tcW w:w="1705" w:type="dxa"/>
            <w:vAlign w:val="center"/>
          </w:tcPr>
          <w:p w14:paraId="63689835" w14:textId="77777777" w:rsidR="000B4CBF" w:rsidRPr="004D46AC" w:rsidRDefault="000B4CBF" w:rsidP="00B518F1">
            <w:pPr>
              <w:spacing w:line="240" w:lineRule="auto"/>
              <w:ind w:firstLine="0"/>
            </w:pPr>
            <w:r w:rsidRPr="004D46AC">
              <w:rPr>
                <w:color w:val="000000"/>
                <w:szCs w:val="21"/>
              </w:rPr>
              <w:t xml:space="preserve">0.03 </w:t>
            </w:r>
          </w:p>
        </w:tc>
      </w:tr>
      <w:tr w:rsidR="000B4CBF" w:rsidRPr="004D46AC" w14:paraId="4468CDF7" w14:textId="77777777" w:rsidTr="00B518F1">
        <w:tc>
          <w:tcPr>
            <w:tcW w:w="1704" w:type="dxa"/>
            <w:vAlign w:val="center"/>
          </w:tcPr>
          <w:p w14:paraId="3930B230" w14:textId="77777777" w:rsidR="000B4CBF" w:rsidRPr="004D46AC" w:rsidRDefault="000B4CBF" w:rsidP="00B518F1">
            <w:pPr>
              <w:spacing w:line="240" w:lineRule="auto"/>
              <w:ind w:firstLine="0"/>
            </w:pPr>
            <w:r w:rsidRPr="004D46AC">
              <w:rPr>
                <w:color w:val="000000"/>
              </w:rPr>
              <w:t>TR9--TR17</w:t>
            </w:r>
          </w:p>
        </w:tc>
        <w:tc>
          <w:tcPr>
            <w:tcW w:w="1704" w:type="dxa"/>
            <w:vAlign w:val="center"/>
          </w:tcPr>
          <w:p w14:paraId="1C30ACD0" w14:textId="77777777" w:rsidR="000B4CBF" w:rsidRPr="004D46AC" w:rsidRDefault="000B4CBF" w:rsidP="00B518F1">
            <w:pPr>
              <w:spacing w:line="240" w:lineRule="auto"/>
              <w:ind w:firstLine="0"/>
            </w:pPr>
            <w:r w:rsidRPr="004D46AC">
              <w:rPr>
                <w:color w:val="000000"/>
                <w:szCs w:val="21"/>
              </w:rPr>
              <w:t xml:space="preserve">0.57 </w:t>
            </w:r>
          </w:p>
        </w:tc>
        <w:tc>
          <w:tcPr>
            <w:tcW w:w="1704" w:type="dxa"/>
            <w:vAlign w:val="center"/>
          </w:tcPr>
          <w:p w14:paraId="12626515" w14:textId="77777777" w:rsidR="000B4CBF" w:rsidRPr="004D46AC" w:rsidRDefault="000B4CBF" w:rsidP="00B518F1">
            <w:pPr>
              <w:spacing w:line="240" w:lineRule="auto"/>
              <w:ind w:firstLine="0"/>
            </w:pPr>
            <w:r w:rsidRPr="004D46AC">
              <w:rPr>
                <w:color w:val="000000"/>
                <w:szCs w:val="21"/>
              </w:rPr>
              <w:t xml:space="preserve">0.06 </w:t>
            </w:r>
          </w:p>
        </w:tc>
        <w:tc>
          <w:tcPr>
            <w:tcW w:w="1705" w:type="dxa"/>
            <w:vAlign w:val="center"/>
          </w:tcPr>
          <w:p w14:paraId="63CC8EF9" w14:textId="77777777" w:rsidR="000B4CBF" w:rsidRPr="004D46AC" w:rsidRDefault="000B4CBF" w:rsidP="00B518F1">
            <w:pPr>
              <w:spacing w:line="240" w:lineRule="auto"/>
              <w:ind w:firstLine="0"/>
            </w:pPr>
            <w:r w:rsidRPr="004D46AC">
              <w:rPr>
                <w:color w:val="000000"/>
                <w:szCs w:val="21"/>
              </w:rPr>
              <w:t xml:space="preserve">1.08 </w:t>
            </w:r>
          </w:p>
        </w:tc>
        <w:tc>
          <w:tcPr>
            <w:tcW w:w="1705" w:type="dxa"/>
            <w:vAlign w:val="center"/>
          </w:tcPr>
          <w:p w14:paraId="3995D713" w14:textId="77777777" w:rsidR="000B4CBF" w:rsidRPr="004D46AC" w:rsidRDefault="000B4CBF" w:rsidP="00B518F1">
            <w:pPr>
              <w:spacing w:line="240" w:lineRule="auto"/>
              <w:ind w:firstLine="0"/>
            </w:pPr>
            <w:r w:rsidRPr="004D46AC">
              <w:rPr>
                <w:color w:val="000000"/>
                <w:szCs w:val="21"/>
              </w:rPr>
              <w:t xml:space="preserve">0.02 </w:t>
            </w:r>
          </w:p>
        </w:tc>
      </w:tr>
      <w:tr w:rsidR="000B4CBF" w:rsidRPr="004D46AC" w14:paraId="2C742A28" w14:textId="77777777" w:rsidTr="00B518F1">
        <w:tc>
          <w:tcPr>
            <w:tcW w:w="1704" w:type="dxa"/>
            <w:vAlign w:val="center"/>
          </w:tcPr>
          <w:p w14:paraId="03B26350" w14:textId="77777777" w:rsidR="000B4CBF" w:rsidRPr="004D46AC" w:rsidRDefault="000B4CBF" w:rsidP="00B518F1">
            <w:pPr>
              <w:spacing w:line="240" w:lineRule="auto"/>
              <w:ind w:firstLine="0"/>
            </w:pPr>
            <w:r w:rsidRPr="004D46AC">
              <w:rPr>
                <w:color w:val="000000"/>
              </w:rPr>
              <w:t>TR27--TR34</w:t>
            </w:r>
          </w:p>
        </w:tc>
        <w:tc>
          <w:tcPr>
            <w:tcW w:w="1704" w:type="dxa"/>
            <w:vAlign w:val="center"/>
          </w:tcPr>
          <w:p w14:paraId="6D989AB9" w14:textId="77777777" w:rsidR="000B4CBF" w:rsidRPr="004D46AC" w:rsidRDefault="000B4CBF" w:rsidP="00B518F1">
            <w:pPr>
              <w:spacing w:line="240" w:lineRule="auto"/>
              <w:ind w:firstLine="0"/>
            </w:pPr>
            <w:r w:rsidRPr="004D46AC">
              <w:rPr>
                <w:color w:val="000000"/>
                <w:szCs w:val="21"/>
              </w:rPr>
              <w:t xml:space="preserve">0.57 </w:t>
            </w:r>
          </w:p>
        </w:tc>
        <w:tc>
          <w:tcPr>
            <w:tcW w:w="1704" w:type="dxa"/>
            <w:vAlign w:val="center"/>
          </w:tcPr>
          <w:p w14:paraId="1274A0EC"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1F4E3F00" w14:textId="77777777" w:rsidR="000B4CBF" w:rsidRPr="004D46AC" w:rsidRDefault="000B4CBF" w:rsidP="00B518F1">
            <w:pPr>
              <w:spacing w:line="240" w:lineRule="auto"/>
              <w:ind w:firstLine="0"/>
            </w:pPr>
            <w:r w:rsidRPr="004D46AC">
              <w:rPr>
                <w:color w:val="000000"/>
                <w:szCs w:val="21"/>
              </w:rPr>
              <w:t xml:space="preserve">0.97 </w:t>
            </w:r>
          </w:p>
        </w:tc>
        <w:tc>
          <w:tcPr>
            <w:tcW w:w="1705" w:type="dxa"/>
            <w:vAlign w:val="center"/>
          </w:tcPr>
          <w:p w14:paraId="17D39E7F"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439A8221" w14:textId="77777777" w:rsidTr="00B518F1">
        <w:tc>
          <w:tcPr>
            <w:tcW w:w="1704" w:type="dxa"/>
            <w:vAlign w:val="center"/>
          </w:tcPr>
          <w:p w14:paraId="7F8206F6" w14:textId="77777777" w:rsidR="000B4CBF" w:rsidRPr="004D46AC" w:rsidRDefault="000B4CBF" w:rsidP="00B518F1">
            <w:pPr>
              <w:spacing w:line="240" w:lineRule="auto"/>
              <w:ind w:firstLine="0"/>
            </w:pPr>
            <w:r w:rsidRPr="004D46AC">
              <w:rPr>
                <w:color w:val="000000"/>
              </w:rPr>
              <w:t>TR37--TR9</w:t>
            </w:r>
          </w:p>
        </w:tc>
        <w:tc>
          <w:tcPr>
            <w:tcW w:w="1704" w:type="dxa"/>
            <w:vAlign w:val="center"/>
          </w:tcPr>
          <w:p w14:paraId="3A5201AE" w14:textId="77777777" w:rsidR="000B4CBF" w:rsidRPr="004D46AC" w:rsidRDefault="000B4CBF" w:rsidP="00B518F1">
            <w:pPr>
              <w:spacing w:line="240" w:lineRule="auto"/>
              <w:ind w:firstLine="0"/>
            </w:pPr>
            <w:r w:rsidRPr="004D46AC">
              <w:rPr>
                <w:color w:val="000000"/>
                <w:szCs w:val="21"/>
              </w:rPr>
              <w:t xml:space="preserve">0.54 </w:t>
            </w:r>
          </w:p>
        </w:tc>
        <w:tc>
          <w:tcPr>
            <w:tcW w:w="1704" w:type="dxa"/>
            <w:vAlign w:val="center"/>
          </w:tcPr>
          <w:p w14:paraId="771742DB" w14:textId="77777777" w:rsidR="000B4CBF" w:rsidRPr="004D46AC" w:rsidRDefault="000B4CBF" w:rsidP="00B518F1">
            <w:pPr>
              <w:spacing w:line="240" w:lineRule="auto"/>
              <w:ind w:firstLine="0"/>
            </w:pPr>
            <w:r w:rsidRPr="004D46AC">
              <w:rPr>
                <w:color w:val="000000"/>
                <w:szCs w:val="21"/>
              </w:rPr>
              <w:t xml:space="preserve">0.06 </w:t>
            </w:r>
          </w:p>
        </w:tc>
        <w:tc>
          <w:tcPr>
            <w:tcW w:w="1705" w:type="dxa"/>
            <w:vAlign w:val="center"/>
          </w:tcPr>
          <w:p w14:paraId="526CB2CF" w14:textId="77777777" w:rsidR="000B4CBF" w:rsidRPr="004D46AC" w:rsidRDefault="000B4CBF" w:rsidP="00B518F1">
            <w:pPr>
              <w:spacing w:line="240" w:lineRule="auto"/>
              <w:ind w:firstLine="0"/>
            </w:pPr>
            <w:r w:rsidRPr="004D46AC">
              <w:rPr>
                <w:color w:val="000000"/>
                <w:szCs w:val="21"/>
              </w:rPr>
              <w:t xml:space="preserve">1.01 </w:t>
            </w:r>
          </w:p>
        </w:tc>
        <w:tc>
          <w:tcPr>
            <w:tcW w:w="1705" w:type="dxa"/>
            <w:vAlign w:val="center"/>
          </w:tcPr>
          <w:p w14:paraId="2F1494BA" w14:textId="77777777" w:rsidR="000B4CBF" w:rsidRPr="004D46AC" w:rsidRDefault="000B4CBF" w:rsidP="00B518F1">
            <w:pPr>
              <w:spacing w:line="240" w:lineRule="auto"/>
              <w:ind w:firstLine="0"/>
            </w:pPr>
            <w:r w:rsidRPr="004D46AC">
              <w:rPr>
                <w:color w:val="000000"/>
                <w:szCs w:val="21"/>
              </w:rPr>
              <w:t xml:space="preserve">0.03 </w:t>
            </w:r>
          </w:p>
        </w:tc>
      </w:tr>
      <w:tr w:rsidR="000B4CBF" w:rsidRPr="004D46AC" w14:paraId="697CA0F8" w14:textId="77777777" w:rsidTr="00B518F1">
        <w:tc>
          <w:tcPr>
            <w:tcW w:w="1704" w:type="dxa"/>
            <w:vAlign w:val="center"/>
          </w:tcPr>
          <w:p w14:paraId="197F0EAC" w14:textId="77777777" w:rsidR="000B4CBF" w:rsidRPr="004D46AC" w:rsidRDefault="000B4CBF" w:rsidP="00B518F1">
            <w:pPr>
              <w:spacing w:line="240" w:lineRule="auto"/>
              <w:ind w:firstLine="0"/>
            </w:pPr>
            <w:r w:rsidRPr="004D46AC">
              <w:rPr>
                <w:color w:val="000000"/>
              </w:rPr>
              <w:t>TR17--TR20</w:t>
            </w:r>
          </w:p>
        </w:tc>
        <w:tc>
          <w:tcPr>
            <w:tcW w:w="1704" w:type="dxa"/>
            <w:vAlign w:val="center"/>
          </w:tcPr>
          <w:p w14:paraId="3A62986D" w14:textId="77777777" w:rsidR="000B4CBF" w:rsidRPr="004D46AC" w:rsidRDefault="000B4CBF" w:rsidP="00B518F1">
            <w:pPr>
              <w:spacing w:line="240" w:lineRule="auto"/>
              <w:ind w:firstLine="0"/>
            </w:pPr>
            <w:r w:rsidRPr="004D46AC">
              <w:rPr>
                <w:color w:val="000000"/>
                <w:szCs w:val="21"/>
              </w:rPr>
              <w:t xml:space="preserve">0.53 </w:t>
            </w:r>
          </w:p>
        </w:tc>
        <w:tc>
          <w:tcPr>
            <w:tcW w:w="1704" w:type="dxa"/>
            <w:vAlign w:val="center"/>
          </w:tcPr>
          <w:p w14:paraId="737E736C" w14:textId="77777777" w:rsidR="000B4CBF" w:rsidRPr="004D46AC" w:rsidRDefault="000B4CBF" w:rsidP="00B518F1">
            <w:pPr>
              <w:spacing w:line="240" w:lineRule="auto"/>
              <w:ind w:firstLine="0"/>
            </w:pPr>
            <w:r w:rsidRPr="004D46AC">
              <w:rPr>
                <w:color w:val="000000"/>
                <w:szCs w:val="21"/>
              </w:rPr>
              <w:t xml:space="preserve">0.07 </w:t>
            </w:r>
          </w:p>
        </w:tc>
        <w:tc>
          <w:tcPr>
            <w:tcW w:w="1705" w:type="dxa"/>
            <w:vAlign w:val="center"/>
          </w:tcPr>
          <w:p w14:paraId="551EF0AB" w14:textId="77777777" w:rsidR="000B4CBF" w:rsidRPr="004D46AC" w:rsidRDefault="000B4CBF" w:rsidP="00B518F1">
            <w:pPr>
              <w:spacing w:line="240" w:lineRule="auto"/>
              <w:ind w:firstLine="0"/>
            </w:pPr>
            <w:r w:rsidRPr="004D46AC">
              <w:rPr>
                <w:color w:val="000000"/>
                <w:szCs w:val="21"/>
              </w:rPr>
              <w:t xml:space="preserve">0.99 </w:t>
            </w:r>
          </w:p>
        </w:tc>
        <w:tc>
          <w:tcPr>
            <w:tcW w:w="1705" w:type="dxa"/>
            <w:vAlign w:val="center"/>
          </w:tcPr>
          <w:p w14:paraId="1F03A278" w14:textId="77777777" w:rsidR="000B4CBF" w:rsidRPr="004D46AC" w:rsidRDefault="000B4CBF" w:rsidP="00B518F1">
            <w:pPr>
              <w:spacing w:line="240" w:lineRule="auto"/>
              <w:ind w:firstLine="0"/>
            </w:pPr>
            <w:r w:rsidRPr="004D46AC">
              <w:rPr>
                <w:color w:val="000000"/>
                <w:szCs w:val="21"/>
              </w:rPr>
              <w:t xml:space="preserve">0.03 </w:t>
            </w:r>
          </w:p>
        </w:tc>
      </w:tr>
      <w:tr w:rsidR="000B4CBF" w:rsidRPr="004D46AC" w14:paraId="15907C5A" w14:textId="77777777" w:rsidTr="00B518F1">
        <w:tc>
          <w:tcPr>
            <w:tcW w:w="1704" w:type="dxa"/>
            <w:vAlign w:val="center"/>
          </w:tcPr>
          <w:p w14:paraId="6D383FF4" w14:textId="77777777" w:rsidR="000B4CBF" w:rsidRPr="004D46AC" w:rsidRDefault="000B4CBF" w:rsidP="00B518F1">
            <w:pPr>
              <w:spacing w:line="240" w:lineRule="auto"/>
              <w:ind w:firstLine="0"/>
            </w:pPr>
            <w:r w:rsidRPr="004D46AC">
              <w:rPr>
                <w:color w:val="000000"/>
              </w:rPr>
              <w:t>TR20--TR25</w:t>
            </w:r>
          </w:p>
        </w:tc>
        <w:tc>
          <w:tcPr>
            <w:tcW w:w="1704" w:type="dxa"/>
            <w:vAlign w:val="center"/>
          </w:tcPr>
          <w:p w14:paraId="21FA6921" w14:textId="77777777" w:rsidR="000B4CBF" w:rsidRPr="004D46AC" w:rsidRDefault="000B4CBF" w:rsidP="00B518F1">
            <w:pPr>
              <w:spacing w:line="240" w:lineRule="auto"/>
              <w:ind w:firstLine="0"/>
            </w:pPr>
            <w:r w:rsidRPr="004D46AC">
              <w:rPr>
                <w:color w:val="000000"/>
                <w:szCs w:val="21"/>
              </w:rPr>
              <w:t xml:space="preserve">0.52 </w:t>
            </w:r>
          </w:p>
        </w:tc>
        <w:tc>
          <w:tcPr>
            <w:tcW w:w="1704" w:type="dxa"/>
            <w:vAlign w:val="center"/>
          </w:tcPr>
          <w:p w14:paraId="1E9FE9A3" w14:textId="77777777" w:rsidR="000B4CBF" w:rsidRPr="004D46AC" w:rsidRDefault="000B4CBF" w:rsidP="00B518F1">
            <w:pPr>
              <w:spacing w:line="240" w:lineRule="auto"/>
              <w:ind w:firstLine="0"/>
            </w:pPr>
            <w:r w:rsidRPr="004D46AC">
              <w:rPr>
                <w:color w:val="000000"/>
                <w:szCs w:val="21"/>
              </w:rPr>
              <w:t xml:space="preserve">0.09 </w:t>
            </w:r>
          </w:p>
        </w:tc>
        <w:tc>
          <w:tcPr>
            <w:tcW w:w="1705" w:type="dxa"/>
            <w:vAlign w:val="center"/>
          </w:tcPr>
          <w:p w14:paraId="77D2D31A" w14:textId="77777777" w:rsidR="000B4CBF" w:rsidRPr="004D46AC" w:rsidRDefault="000B4CBF" w:rsidP="00B518F1">
            <w:pPr>
              <w:spacing w:line="240" w:lineRule="auto"/>
              <w:ind w:firstLine="0"/>
            </w:pPr>
            <w:r w:rsidRPr="004D46AC">
              <w:rPr>
                <w:color w:val="000000"/>
                <w:szCs w:val="21"/>
              </w:rPr>
              <w:t xml:space="preserve">0.95 </w:t>
            </w:r>
          </w:p>
        </w:tc>
        <w:tc>
          <w:tcPr>
            <w:tcW w:w="1705" w:type="dxa"/>
            <w:vAlign w:val="center"/>
          </w:tcPr>
          <w:p w14:paraId="6DF971D2" w14:textId="77777777" w:rsidR="000B4CBF" w:rsidRPr="004D46AC" w:rsidRDefault="000B4CBF" w:rsidP="00B518F1">
            <w:pPr>
              <w:spacing w:line="240" w:lineRule="auto"/>
              <w:ind w:firstLine="0"/>
            </w:pPr>
            <w:r w:rsidRPr="004D46AC">
              <w:rPr>
                <w:color w:val="000000"/>
                <w:szCs w:val="21"/>
              </w:rPr>
              <w:t xml:space="preserve">0.02 </w:t>
            </w:r>
          </w:p>
        </w:tc>
      </w:tr>
      <w:tr w:rsidR="000B4CBF" w:rsidRPr="004D46AC" w14:paraId="04A86B74" w14:textId="77777777" w:rsidTr="00B518F1">
        <w:tc>
          <w:tcPr>
            <w:tcW w:w="1704" w:type="dxa"/>
            <w:vAlign w:val="center"/>
          </w:tcPr>
          <w:p w14:paraId="62FF544C" w14:textId="77777777" w:rsidR="000B4CBF" w:rsidRPr="004D46AC" w:rsidRDefault="000B4CBF" w:rsidP="00B518F1">
            <w:pPr>
              <w:spacing w:line="240" w:lineRule="auto"/>
              <w:ind w:firstLine="0"/>
            </w:pPr>
            <w:r w:rsidRPr="004D46AC">
              <w:rPr>
                <w:color w:val="000000"/>
              </w:rPr>
              <w:t>TR17--TR22</w:t>
            </w:r>
          </w:p>
        </w:tc>
        <w:tc>
          <w:tcPr>
            <w:tcW w:w="1704" w:type="dxa"/>
            <w:vAlign w:val="center"/>
          </w:tcPr>
          <w:p w14:paraId="7851CC03" w14:textId="77777777" w:rsidR="000B4CBF" w:rsidRPr="004D46AC" w:rsidRDefault="000B4CBF" w:rsidP="00B518F1">
            <w:pPr>
              <w:spacing w:line="240" w:lineRule="auto"/>
              <w:ind w:firstLine="0"/>
            </w:pPr>
            <w:r w:rsidRPr="004D46AC">
              <w:rPr>
                <w:color w:val="000000"/>
                <w:szCs w:val="21"/>
              </w:rPr>
              <w:t xml:space="preserve">0.52 </w:t>
            </w:r>
          </w:p>
        </w:tc>
        <w:tc>
          <w:tcPr>
            <w:tcW w:w="1704" w:type="dxa"/>
            <w:vAlign w:val="center"/>
          </w:tcPr>
          <w:p w14:paraId="750C7836" w14:textId="77777777" w:rsidR="000B4CBF" w:rsidRPr="004D46AC" w:rsidRDefault="000B4CBF" w:rsidP="00B518F1">
            <w:pPr>
              <w:spacing w:line="240" w:lineRule="auto"/>
              <w:ind w:firstLine="0"/>
            </w:pPr>
            <w:r w:rsidRPr="004D46AC">
              <w:rPr>
                <w:color w:val="000000"/>
                <w:szCs w:val="21"/>
              </w:rPr>
              <w:t xml:space="preserve">0.04 </w:t>
            </w:r>
          </w:p>
        </w:tc>
        <w:tc>
          <w:tcPr>
            <w:tcW w:w="1705" w:type="dxa"/>
            <w:vAlign w:val="center"/>
          </w:tcPr>
          <w:p w14:paraId="7A6CA9D2" w14:textId="77777777" w:rsidR="000B4CBF" w:rsidRPr="004D46AC" w:rsidRDefault="000B4CBF" w:rsidP="00B518F1">
            <w:pPr>
              <w:spacing w:line="240" w:lineRule="auto"/>
              <w:ind w:firstLine="0"/>
            </w:pPr>
            <w:r w:rsidRPr="004D46AC">
              <w:rPr>
                <w:color w:val="000000"/>
                <w:szCs w:val="21"/>
              </w:rPr>
              <w:t xml:space="preserve">1.00 </w:t>
            </w:r>
          </w:p>
        </w:tc>
        <w:tc>
          <w:tcPr>
            <w:tcW w:w="1705" w:type="dxa"/>
            <w:vAlign w:val="center"/>
          </w:tcPr>
          <w:p w14:paraId="35BBE762" w14:textId="77777777" w:rsidR="000B4CBF" w:rsidRPr="004D46AC" w:rsidRDefault="000B4CBF" w:rsidP="00B518F1">
            <w:pPr>
              <w:spacing w:line="240" w:lineRule="auto"/>
              <w:ind w:firstLine="0"/>
            </w:pPr>
            <w:r w:rsidRPr="004D46AC">
              <w:rPr>
                <w:color w:val="000000"/>
                <w:szCs w:val="21"/>
              </w:rPr>
              <w:t xml:space="preserve">0.04 </w:t>
            </w:r>
          </w:p>
        </w:tc>
      </w:tr>
      <w:tr w:rsidR="000B4CBF" w:rsidRPr="004D46AC" w14:paraId="57DD24E5" w14:textId="77777777" w:rsidTr="00B518F1">
        <w:tc>
          <w:tcPr>
            <w:tcW w:w="1704" w:type="dxa"/>
            <w:vAlign w:val="center"/>
          </w:tcPr>
          <w:p w14:paraId="4C2EF43E" w14:textId="77777777" w:rsidR="000B4CBF" w:rsidRPr="004D46AC" w:rsidRDefault="000B4CBF" w:rsidP="00B518F1">
            <w:pPr>
              <w:spacing w:line="240" w:lineRule="auto"/>
              <w:ind w:firstLine="0"/>
            </w:pPr>
            <w:r w:rsidRPr="004D46AC">
              <w:rPr>
                <w:color w:val="000000"/>
              </w:rPr>
              <w:t>TR6--TR17</w:t>
            </w:r>
          </w:p>
        </w:tc>
        <w:tc>
          <w:tcPr>
            <w:tcW w:w="1704" w:type="dxa"/>
            <w:vAlign w:val="center"/>
          </w:tcPr>
          <w:p w14:paraId="405CC3B8" w14:textId="77777777" w:rsidR="000B4CBF" w:rsidRPr="004D46AC" w:rsidRDefault="000B4CBF" w:rsidP="00B518F1">
            <w:pPr>
              <w:spacing w:line="240" w:lineRule="auto"/>
              <w:ind w:firstLine="0"/>
            </w:pPr>
            <w:r w:rsidRPr="004D46AC">
              <w:rPr>
                <w:color w:val="000000"/>
                <w:szCs w:val="21"/>
              </w:rPr>
              <w:t xml:space="preserve">0.50 </w:t>
            </w:r>
          </w:p>
        </w:tc>
        <w:tc>
          <w:tcPr>
            <w:tcW w:w="1704" w:type="dxa"/>
            <w:vAlign w:val="center"/>
          </w:tcPr>
          <w:p w14:paraId="41CD317A" w14:textId="77777777" w:rsidR="000B4CBF" w:rsidRPr="004D46AC" w:rsidRDefault="000B4CBF" w:rsidP="00B518F1">
            <w:pPr>
              <w:spacing w:line="240" w:lineRule="auto"/>
              <w:ind w:firstLine="0"/>
            </w:pPr>
            <w:r w:rsidRPr="004D46AC">
              <w:rPr>
                <w:color w:val="000000"/>
                <w:szCs w:val="21"/>
              </w:rPr>
              <w:t xml:space="preserve">0.01 </w:t>
            </w:r>
          </w:p>
        </w:tc>
        <w:tc>
          <w:tcPr>
            <w:tcW w:w="1705" w:type="dxa"/>
            <w:vAlign w:val="center"/>
          </w:tcPr>
          <w:p w14:paraId="77EFE1AB" w14:textId="77777777" w:rsidR="000B4CBF" w:rsidRPr="004D46AC" w:rsidRDefault="000B4CBF" w:rsidP="00B518F1">
            <w:pPr>
              <w:spacing w:line="240" w:lineRule="auto"/>
              <w:ind w:firstLine="0"/>
            </w:pPr>
            <w:r w:rsidRPr="004D46AC">
              <w:rPr>
                <w:color w:val="000000"/>
                <w:szCs w:val="21"/>
              </w:rPr>
              <w:t xml:space="preserve">0.99 </w:t>
            </w:r>
          </w:p>
        </w:tc>
        <w:tc>
          <w:tcPr>
            <w:tcW w:w="1705" w:type="dxa"/>
            <w:vAlign w:val="center"/>
          </w:tcPr>
          <w:p w14:paraId="48B160D8"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3ED3B1E9" w14:textId="77777777" w:rsidTr="00B518F1">
        <w:tc>
          <w:tcPr>
            <w:tcW w:w="1704" w:type="dxa"/>
            <w:vAlign w:val="center"/>
          </w:tcPr>
          <w:p w14:paraId="59DD4AA5" w14:textId="77777777" w:rsidR="000B4CBF" w:rsidRPr="004D46AC" w:rsidRDefault="000B4CBF" w:rsidP="00B518F1">
            <w:pPr>
              <w:spacing w:line="240" w:lineRule="auto"/>
              <w:ind w:firstLine="0"/>
            </w:pPr>
            <w:r w:rsidRPr="004D46AC">
              <w:rPr>
                <w:color w:val="000000"/>
              </w:rPr>
              <w:t>TR3--TR5</w:t>
            </w:r>
          </w:p>
        </w:tc>
        <w:tc>
          <w:tcPr>
            <w:tcW w:w="1704" w:type="dxa"/>
            <w:vAlign w:val="center"/>
          </w:tcPr>
          <w:p w14:paraId="19857389" w14:textId="77777777" w:rsidR="000B4CBF" w:rsidRPr="004D46AC" w:rsidRDefault="000B4CBF" w:rsidP="00B518F1">
            <w:pPr>
              <w:spacing w:line="240" w:lineRule="auto"/>
              <w:ind w:firstLine="0"/>
            </w:pPr>
            <w:r w:rsidRPr="004D46AC">
              <w:rPr>
                <w:color w:val="000000"/>
                <w:szCs w:val="21"/>
              </w:rPr>
              <w:t xml:space="preserve">0.49 </w:t>
            </w:r>
          </w:p>
        </w:tc>
        <w:tc>
          <w:tcPr>
            <w:tcW w:w="1704" w:type="dxa"/>
            <w:vAlign w:val="center"/>
          </w:tcPr>
          <w:p w14:paraId="2FAE0F36" w14:textId="77777777" w:rsidR="000B4CBF" w:rsidRPr="004D46AC" w:rsidRDefault="000B4CBF" w:rsidP="00B518F1">
            <w:pPr>
              <w:spacing w:line="240" w:lineRule="auto"/>
              <w:ind w:firstLine="0"/>
            </w:pPr>
            <w:r w:rsidRPr="004D46AC">
              <w:rPr>
                <w:color w:val="000000"/>
                <w:szCs w:val="21"/>
              </w:rPr>
              <w:t xml:space="preserve">0.06 </w:t>
            </w:r>
          </w:p>
        </w:tc>
        <w:tc>
          <w:tcPr>
            <w:tcW w:w="1705" w:type="dxa"/>
            <w:vAlign w:val="center"/>
          </w:tcPr>
          <w:p w14:paraId="438A462F" w14:textId="77777777" w:rsidR="000B4CBF" w:rsidRPr="004D46AC" w:rsidRDefault="000B4CBF" w:rsidP="00B518F1">
            <w:pPr>
              <w:spacing w:line="240" w:lineRule="auto"/>
              <w:ind w:firstLine="0"/>
            </w:pPr>
            <w:r w:rsidRPr="004D46AC">
              <w:rPr>
                <w:color w:val="000000"/>
                <w:szCs w:val="21"/>
              </w:rPr>
              <w:t xml:space="preserve">0.93 </w:t>
            </w:r>
          </w:p>
        </w:tc>
        <w:tc>
          <w:tcPr>
            <w:tcW w:w="1705" w:type="dxa"/>
            <w:vAlign w:val="center"/>
          </w:tcPr>
          <w:p w14:paraId="2AB3626D" w14:textId="77777777" w:rsidR="000B4CBF" w:rsidRPr="004D46AC" w:rsidRDefault="000B4CBF" w:rsidP="00B518F1">
            <w:pPr>
              <w:spacing w:line="240" w:lineRule="auto"/>
              <w:ind w:firstLine="0"/>
            </w:pPr>
            <w:r w:rsidRPr="004D46AC">
              <w:rPr>
                <w:color w:val="000000"/>
                <w:szCs w:val="21"/>
              </w:rPr>
              <w:t xml:space="preserve">0.01 </w:t>
            </w:r>
          </w:p>
        </w:tc>
      </w:tr>
      <w:tr w:rsidR="000B4CBF" w:rsidRPr="004D46AC" w14:paraId="51E903AF" w14:textId="77777777" w:rsidTr="00B518F1">
        <w:tc>
          <w:tcPr>
            <w:tcW w:w="1704" w:type="dxa"/>
            <w:vAlign w:val="center"/>
          </w:tcPr>
          <w:p w14:paraId="5A5D07F7" w14:textId="77777777" w:rsidR="000B4CBF" w:rsidRPr="004D46AC" w:rsidRDefault="000B4CBF" w:rsidP="00B518F1">
            <w:pPr>
              <w:spacing w:line="240" w:lineRule="auto"/>
              <w:ind w:firstLine="0"/>
            </w:pPr>
            <w:r w:rsidRPr="004D46AC">
              <w:rPr>
                <w:color w:val="000000"/>
              </w:rPr>
              <w:t>TR18--TR33</w:t>
            </w:r>
          </w:p>
        </w:tc>
        <w:tc>
          <w:tcPr>
            <w:tcW w:w="1704" w:type="dxa"/>
            <w:vAlign w:val="center"/>
          </w:tcPr>
          <w:p w14:paraId="3E078425" w14:textId="77777777" w:rsidR="000B4CBF" w:rsidRPr="004D46AC" w:rsidRDefault="000B4CBF" w:rsidP="00B518F1">
            <w:pPr>
              <w:spacing w:line="240" w:lineRule="auto"/>
              <w:ind w:firstLine="0"/>
            </w:pPr>
            <w:r w:rsidRPr="004D46AC">
              <w:rPr>
                <w:color w:val="000000"/>
                <w:szCs w:val="21"/>
              </w:rPr>
              <w:t xml:space="preserve">0.49 </w:t>
            </w:r>
          </w:p>
        </w:tc>
        <w:tc>
          <w:tcPr>
            <w:tcW w:w="1704" w:type="dxa"/>
            <w:vAlign w:val="center"/>
          </w:tcPr>
          <w:p w14:paraId="41654B1F" w14:textId="77777777" w:rsidR="000B4CBF" w:rsidRPr="004D46AC" w:rsidRDefault="000B4CBF" w:rsidP="00B518F1">
            <w:pPr>
              <w:spacing w:line="240" w:lineRule="auto"/>
              <w:ind w:firstLine="0"/>
            </w:pPr>
            <w:r w:rsidRPr="004D46AC">
              <w:rPr>
                <w:color w:val="000000"/>
                <w:szCs w:val="21"/>
              </w:rPr>
              <w:t xml:space="preserve">0.02 </w:t>
            </w:r>
          </w:p>
        </w:tc>
        <w:tc>
          <w:tcPr>
            <w:tcW w:w="1705" w:type="dxa"/>
            <w:vAlign w:val="center"/>
          </w:tcPr>
          <w:p w14:paraId="65FFA945" w14:textId="77777777" w:rsidR="000B4CBF" w:rsidRPr="004D46AC" w:rsidRDefault="000B4CBF" w:rsidP="00B518F1">
            <w:pPr>
              <w:spacing w:line="240" w:lineRule="auto"/>
              <w:ind w:firstLine="0"/>
            </w:pPr>
            <w:r w:rsidRPr="004D46AC">
              <w:rPr>
                <w:color w:val="000000"/>
                <w:szCs w:val="21"/>
              </w:rPr>
              <w:t xml:space="preserve">0.96 </w:t>
            </w:r>
          </w:p>
        </w:tc>
        <w:tc>
          <w:tcPr>
            <w:tcW w:w="1705" w:type="dxa"/>
            <w:vAlign w:val="center"/>
          </w:tcPr>
          <w:p w14:paraId="1C0DA112" w14:textId="77777777" w:rsidR="000B4CBF" w:rsidRPr="004D46AC" w:rsidRDefault="000B4CBF" w:rsidP="00B518F1">
            <w:pPr>
              <w:spacing w:line="240" w:lineRule="auto"/>
              <w:ind w:firstLine="0"/>
            </w:pPr>
            <w:r w:rsidRPr="004D46AC">
              <w:rPr>
                <w:color w:val="000000"/>
                <w:szCs w:val="21"/>
              </w:rPr>
              <w:t xml:space="preserve">0.08 </w:t>
            </w:r>
          </w:p>
        </w:tc>
      </w:tr>
      <w:tr w:rsidR="000B4CBF" w:rsidRPr="004D46AC" w14:paraId="27BC072F" w14:textId="77777777" w:rsidTr="00B518F1">
        <w:tc>
          <w:tcPr>
            <w:tcW w:w="1704" w:type="dxa"/>
            <w:vAlign w:val="center"/>
          </w:tcPr>
          <w:p w14:paraId="733F29BC" w14:textId="77777777" w:rsidR="000B4CBF" w:rsidRPr="004D46AC" w:rsidRDefault="000B4CBF" w:rsidP="00B518F1">
            <w:pPr>
              <w:spacing w:line="240" w:lineRule="auto"/>
              <w:ind w:firstLine="0"/>
            </w:pPr>
            <w:r w:rsidRPr="004D46AC">
              <w:rPr>
                <w:color w:val="000000"/>
              </w:rPr>
              <w:t>TR24--TR37</w:t>
            </w:r>
          </w:p>
        </w:tc>
        <w:tc>
          <w:tcPr>
            <w:tcW w:w="1704" w:type="dxa"/>
            <w:vAlign w:val="center"/>
          </w:tcPr>
          <w:p w14:paraId="59311758" w14:textId="77777777" w:rsidR="000B4CBF" w:rsidRPr="004D46AC" w:rsidRDefault="000B4CBF" w:rsidP="00B518F1">
            <w:pPr>
              <w:spacing w:line="240" w:lineRule="auto"/>
              <w:ind w:firstLine="0"/>
            </w:pPr>
            <w:r w:rsidRPr="004D46AC">
              <w:rPr>
                <w:color w:val="000000"/>
                <w:szCs w:val="21"/>
              </w:rPr>
              <w:t xml:space="preserve">0.49 </w:t>
            </w:r>
          </w:p>
        </w:tc>
        <w:tc>
          <w:tcPr>
            <w:tcW w:w="1704" w:type="dxa"/>
            <w:vAlign w:val="center"/>
          </w:tcPr>
          <w:p w14:paraId="4B596329" w14:textId="77777777" w:rsidR="000B4CBF" w:rsidRPr="004D46AC" w:rsidRDefault="000B4CBF" w:rsidP="00B518F1">
            <w:pPr>
              <w:spacing w:line="240" w:lineRule="auto"/>
              <w:ind w:firstLine="0"/>
            </w:pPr>
            <w:r w:rsidRPr="004D46AC">
              <w:rPr>
                <w:color w:val="000000"/>
                <w:szCs w:val="21"/>
              </w:rPr>
              <w:t xml:space="preserve">0.02 </w:t>
            </w:r>
          </w:p>
        </w:tc>
        <w:tc>
          <w:tcPr>
            <w:tcW w:w="1705" w:type="dxa"/>
            <w:vAlign w:val="center"/>
          </w:tcPr>
          <w:p w14:paraId="3F3DEDB7" w14:textId="77777777" w:rsidR="000B4CBF" w:rsidRPr="004D46AC" w:rsidRDefault="000B4CBF" w:rsidP="00B518F1">
            <w:pPr>
              <w:spacing w:line="240" w:lineRule="auto"/>
              <w:ind w:firstLine="0"/>
            </w:pPr>
            <w:r w:rsidRPr="004D46AC">
              <w:rPr>
                <w:color w:val="000000"/>
                <w:szCs w:val="21"/>
              </w:rPr>
              <w:t xml:space="preserve">0.96 </w:t>
            </w:r>
          </w:p>
        </w:tc>
        <w:tc>
          <w:tcPr>
            <w:tcW w:w="1705" w:type="dxa"/>
            <w:vAlign w:val="center"/>
          </w:tcPr>
          <w:p w14:paraId="45D56CCE" w14:textId="77777777" w:rsidR="000B4CBF" w:rsidRPr="004D46AC" w:rsidRDefault="000B4CBF" w:rsidP="00B518F1">
            <w:pPr>
              <w:spacing w:line="240" w:lineRule="auto"/>
              <w:ind w:firstLine="0"/>
            </w:pPr>
            <w:r w:rsidRPr="004D46AC">
              <w:rPr>
                <w:color w:val="000000"/>
                <w:szCs w:val="21"/>
              </w:rPr>
              <w:t xml:space="preserve">0.06 </w:t>
            </w:r>
          </w:p>
        </w:tc>
      </w:tr>
      <w:tr w:rsidR="000B4CBF" w:rsidRPr="004D46AC" w14:paraId="7EE0E34A" w14:textId="77777777" w:rsidTr="00B518F1">
        <w:tc>
          <w:tcPr>
            <w:tcW w:w="1704" w:type="dxa"/>
            <w:vAlign w:val="center"/>
          </w:tcPr>
          <w:p w14:paraId="736C6293" w14:textId="77777777" w:rsidR="000B4CBF" w:rsidRPr="004D46AC" w:rsidRDefault="000B4CBF" w:rsidP="00B518F1">
            <w:pPr>
              <w:spacing w:line="240" w:lineRule="auto"/>
              <w:ind w:firstLine="0"/>
            </w:pPr>
            <w:r w:rsidRPr="004D46AC">
              <w:rPr>
                <w:color w:val="000000"/>
              </w:rPr>
              <w:t>TR21--TR17</w:t>
            </w:r>
          </w:p>
        </w:tc>
        <w:tc>
          <w:tcPr>
            <w:tcW w:w="1704" w:type="dxa"/>
            <w:vAlign w:val="center"/>
          </w:tcPr>
          <w:p w14:paraId="200E8CB4" w14:textId="77777777" w:rsidR="000B4CBF" w:rsidRPr="004D46AC" w:rsidRDefault="000B4CBF" w:rsidP="00B518F1">
            <w:pPr>
              <w:spacing w:line="240" w:lineRule="auto"/>
              <w:ind w:firstLine="0"/>
            </w:pPr>
            <w:r w:rsidRPr="004D46AC">
              <w:rPr>
                <w:color w:val="000000"/>
                <w:szCs w:val="21"/>
              </w:rPr>
              <w:t xml:space="preserve">0.48 </w:t>
            </w:r>
          </w:p>
        </w:tc>
        <w:tc>
          <w:tcPr>
            <w:tcW w:w="1704" w:type="dxa"/>
            <w:vAlign w:val="center"/>
          </w:tcPr>
          <w:p w14:paraId="69388D0F" w14:textId="77777777" w:rsidR="000B4CBF" w:rsidRPr="004D46AC" w:rsidRDefault="000B4CBF" w:rsidP="00B518F1">
            <w:pPr>
              <w:spacing w:line="240" w:lineRule="auto"/>
              <w:ind w:firstLine="0"/>
            </w:pPr>
            <w:r w:rsidRPr="004D46AC">
              <w:rPr>
                <w:color w:val="000000"/>
                <w:szCs w:val="21"/>
              </w:rPr>
              <w:t xml:space="preserve">0.03 </w:t>
            </w:r>
          </w:p>
        </w:tc>
        <w:tc>
          <w:tcPr>
            <w:tcW w:w="1705" w:type="dxa"/>
            <w:vAlign w:val="center"/>
          </w:tcPr>
          <w:p w14:paraId="39887714" w14:textId="77777777" w:rsidR="000B4CBF" w:rsidRPr="004D46AC" w:rsidRDefault="000B4CBF" w:rsidP="00B518F1">
            <w:pPr>
              <w:spacing w:line="240" w:lineRule="auto"/>
              <w:ind w:firstLine="0"/>
            </w:pPr>
            <w:r w:rsidRPr="004D46AC">
              <w:rPr>
                <w:color w:val="000000"/>
                <w:szCs w:val="21"/>
              </w:rPr>
              <w:t xml:space="preserve">0.94 </w:t>
            </w:r>
          </w:p>
        </w:tc>
        <w:tc>
          <w:tcPr>
            <w:tcW w:w="1705" w:type="dxa"/>
            <w:vAlign w:val="center"/>
          </w:tcPr>
          <w:p w14:paraId="434D130E"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74BC8B10" w14:textId="77777777" w:rsidTr="00B518F1">
        <w:tc>
          <w:tcPr>
            <w:tcW w:w="1704" w:type="dxa"/>
            <w:vAlign w:val="center"/>
          </w:tcPr>
          <w:p w14:paraId="147C7A9B" w14:textId="77777777" w:rsidR="000B4CBF" w:rsidRPr="004D46AC" w:rsidRDefault="000B4CBF" w:rsidP="00B518F1">
            <w:pPr>
              <w:spacing w:line="240" w:lineRule="auto"/>
              <w:ind w:firstLine="0"/>
            </w:pPr>
            <w:r w:rsidRPr="004D46AC">
              <w:rPr>
                <w:color w:val="000000"/>
              </w:rPr>
              <w:t>TR29--TR22</w:t>
            </w:r>
          </w:p>
        </w:tc>
        <w:tc>
          <w:tcPr>
            <w:tcW w:w="1704" w:type="dxa"/>
            <w:vAlign w:val="center"/>
          </w:tcPr>
          <w:p w14:paraId="0678555E" w14:textId="77777777" w:rsidR="000B4CBF" w:rsidRPr="004D46AC" w:rsidRDefault="000B4CBF" w:rsidP="00B518F1">
            <w:pPr>
              <w:spacing w:line="240" w:lineRule="auto"/>
              <w:ind w:firstLine="0"/>
            </w:pPr>
            <w:r w:rsidRPr="004D46AC">
              <w:rPr>
                <w:color w:val="000000"/>
                <w:szCs w:val="21"/>
              </w:rPr>
              <w:t xml:space="preserve">0.47 </w:t>
            </w:r>
          </w:p>
        </w:tc>
        <w:tc>
          <w:tcPr>
            <w:tcW w:w="1704" w:type="dxa"/>
            <w:vAlign w:val="center"/>
          </w:tcPr>
          <w:p w14:paraId="516FAE72" w14:textId="77777777" w:rsidR="000B4CBF" w:rsidRPr="004D46AC" w:rsidRDefault="000B4CBF" w:rsidP="00B518F1">
            <w:pPr>
              <w:spacing w:line="240" w:lineRule="auto"/>
              <w:ind w:firstLine="0"/>
            </w:pPr>
            <w:r w:rsidRPr="004D46AC">
              <w:rPr>
                <w:color w:val="000000"/>
                <w:szCs w:val="21"/>
              </w:rPr>
              <w:t xml:space="preserve">-0.02 </w:t>
            </w:r>
          </w:p>
        </w:tc>
        <w:tc>
          <w:tcPr>
            <w:tcW w:w="1705" w:type="dxa"/>
            <w:vAlign w:val="center"/>
          </w:tcPr>
          <w:p w14:paraId="44842734" w14:textId="77777777" w:rsidR="000B4CBF" w:rsidRPr="004D46AC" w:rsidRDefault="000B4CBF" w:rsidP="00B518F1">
            <w:pPr>
              <w:spacing w:line="240" w:lineRule="auto"/>
              <w:ind w:firstLine="0"/>
            </w:pPr>
            <w:r w:rsidRPr="004D46AC">
              <w:rPr>
                <w:color w:val="000000"/>
                <w:szCs w:val="21"/>
              </w:rPr>
              <w:t xml:space="preserve">0.97 </w:t>
            </w:r>
          </w:p>
        </w:tc>
        <w:tc>
          <w:tcPr>
            <w:tcW w:w="1705" w:type="dxa"/>
            <w:vAlign w:val="center"/>
          </w:tcPr>
          <w:p w14:paraId="1CE0BCED" w14:textId="77777777" w:rsidR="000B4CBF" w:rsidRPr="004D46AC" w:rsidRDefault="000B4CBF" w:rsidP="00B518F1">
            <w:pPr>
              <w:spacing w:line="240" w:lineRule="auto"/>
              <w:ind w:firstLine="0"/>
            </w:pPr>
            <w:r w:rsidRPr="004D46AC">
              <w:rPr>
                <w:color w:val="000000"/>
                <w:szCs w:val="21"/>
              </w:rPr>
              <w:t xml:space="preserve">0.11 </w:t>
            </w:r>
          </w:p>
        </w:tc>
      </w:tr>
      <w:tr w:rsidR="000B4CBF" w:rsidRPr="004D46AC" w14:paraId="12AE7ACC" w14:textId="77777777" w:rsidTr="00B518F1">
        <w:tc>
          <w:tcPr>
            <w:tcW w:w="1704" w:type="dxa"/>
            <w:vAlign w:val="center"/>
          </w:tcPr>
          <w:p w14:paraId="002FE325" w14:textId="77777777" w:rsidR="000B4CBF" w:rsidRPr="004D46AC" w:rsidRDefault="000B4CBF" w:rsidP="00B518F1">
            <w:pPr>
              <w:spacing w:line="240" w:lineRule="auto"/>
              <w:ind w:firstLine="0"/>
            </w:pPr>
            <w:r w:rsidRPr="004D46AC">
              <w:rPr>
                <w:color w:val="000000"/>
              </w:rPr>
              <w:t>TR5--TR15</w:t>
            </w:r>
          </w:p>
        </w:tc>
        <w:tc>
          <w:tcPr>
            <w:tcW w:w="1704" w:type="dxa"/>
            <w:vAlign w:val="center"/>
          </w:tcPr>
          <w:p w14:paraId="4829BF82" w14:textId="77777777" w:rsidR="000B4CBF" w:rsidRPr="004D46AC" w:rsidRDefault="000B4CBF" w:rsidP="00B518F1">
            <w:pPr>
              <w:spacing w:line="240" w:lineRule="auto"/>
              <w:ind w:firstLine="0"/>
            </w:pPr>
            <w:r w:rsidRPr="004D46AC">
              <w:rPr>
                <w:color w:val="000000"/>
                <w:szCs w:val="21"/>
              </w:rPr>
              <w:t xml:space="preserve">0.47 </w:t>
            </w:r>
          </w:p>
        </w:tc>
        <w:tc>
          <w:tcPr>
            <w:tcW w:w="1704" w:type="dxa"/>
            <w:vAlign w:val="center"/>
          </w:tcPr>
          <w:p w14:paraId="04A4B97F" w14:textId="77777777" w:rsidR="000B4CBF" w:rsidRPr="004D46AC" w:rsidRDefault="000B4CBF" w:rsidP="00B518F1">
            <w:pPr>
              <w:spacing w:line="240" w:lineRule="auto"/>
              <w:ind w:firstLine="0"/>
            </w:pPr>
            <w:r w:rsidRPr="004D46AC">
              <w:rPr>
                <w:color w:val="000000"/>
                <w:szCs w:val="21"/>
              </w:rPr>
              <w:t xml:space="preserve">0.02 </w:t>
            </w:r>
          </w:p>
        </w:tc>
        <w:tc>
          <w:tcPr>
            <w:tcW w:w="1705" w:type="dxa"/>
            <w:vAlign w:val="center"/>
          </w:tcPr>
          <w:p w14:paraId="3E6CE1C7" w14:textId="77777777" w:rsidR="000B4CBF" w:rsidRPr="004D46AC" w:rsidRDefault="000B4CBF" w:rsidP="00B518F1">
            <w:pPr>
              <w:spacing w:line="240" w:lineRule="auto"/>
              <w:ind w:firstLine="0"/>
            </w:pPr>
            <w:r w:rsidRPr="004D46AC">
              <w:rPr>
                <w:color w:val="000000"/>
                <w:szCs w:val="21"/>
              </w:rPr>
              <w:t xml:space="preserve">0.92 </w:t>
            </w:r>
          </w:p>
        </w:tc>
        <w:tc>
          <w:tcPr>
            <w:tcW w:w="1705" w:type="dxa"/>
            <w:vAlign w:val="center"/>
          </w:tcPr>
          <w:p w14:paraId="721E6250" w14:textId="77777777" w:rsidR="000B4CBF" w:rsidRPr="004D46AC" w:rsidRDefault="000B4CBF" w:rsidP="00B518F1">
            <w:pPr>
              <w:spacing w:line="240" w:lineRule="auto"/>
              <w:ind w:firstLine="0"/>
            </w:pPr>
            <w:r w:rsidRPr="004D46AC">
              <w:rPr>
                <w:color w:val="000000"/>
                <w:szCs w:val="21"/>
              </w:rPr>
              <w:t xml:space="preserve">0.04 </w:t>
            </w:r>
          </w:p>
        </w:tc>
      </w:tr>
      <w:tr w:rsidR="000B4CBF" w:rsidRPr="004D46AC" w14:paraId="35B4161A" w14:textId="77777777" w:rsidTr="00B518F1">
        <w:tc>
          <w:tcPr>
            <w:tcW w:w="1704" w:type="dxa"/>
            <w:vAlign w:val="center"/>
          </w:tcPr>
          <w:p w14:paraId="4AA98E98" w14:textId="77777777" w:rsidR="000B4CBF" w:rsidRPr="004D46AC" w:rsidRDefault="000B4CBF" w:rsidP="00B518F1">
            <w:pPr>
              <w:spacing w:line="240" w:lineRule="auto"/>
              <w:ind w:firstLine="0"/>
            </w:pPr>
            <w:r w:rsidRPr="004D46AC">
              <w:rPr>
                <w:color w:val="000000"/>
              </w:rPr>
              <w:t>TR26--TR37</w:t>
            </w:r>
          </w:p>
        </w:tc>
        <w:tc>
          <w:tcPr>
            <w:tcW w:w="1704" w:type="dxa"/>
            <w:vAlign w:val="center"/>
          </w:tcPr>
          <w:p w14:paraId="65D036AE" w14:textId="77777777" w:rsidR="000B4CBF" w:rsidRPr="004D46AC" w:rsidRDefault="000B4CBF" w:rsidP="00B518F1">
            <w:pPr>
              <w:spacing w:line="240" w:lineRule="auto"/>
              <w:ind w:firstLine="0"/>
            </w:pPr>
            <w:r w:rsidRPr="004D46AC">
              <w:rPr>
                <w:color w:val="000000"/>
                <w:szCs w:val="21"/>
              </w:rPr>
              <w:t xml:space="preserve">0.46 </w:t>
            </w:r>
          </w:p>
        </w:tc>
        <w:tc>
          <w:tcPr>
            <w:tcW w:w="1704" w:type="dxa"/>
            <w:vAlign w:val="center"/>
          </w:tcPr>
          <w:p w14:paraId="7FCEACC4" w14:textId="77777777" w:rsidR="000B4CBF" w:rsidRPr="004D46AC" w:rsidRDefault="000B4CBF" w:rsidP="00B518F1">
            <w:pPr>
              <w:spacing w:line="240" w:lineRule="auto"/>
              <w:ind w:firstLine="0"/>
            </w:pPr>
            <w:r w:rsidRPr="004D46AC">
              <w:rPr>
                <w:color w:val="000000"/>
                <w:szCs w:val="21"/>
              </w:rPr>
              <w:t xml:space="preserve">0.00 </w:t>
            </w:r>
          </w:p>
        </w:tc>
        <w:tc>
          <w:tcPr>
            <w:tcW w:w="1705" w:type="dxa"/>
            <w:vAlign w:val="center"/>
          </w:tcPr>
          <w:p w14:paraId="36C6C933" w14:textId="77777777" w:rsidR="000B4CBF" w:rsidRPr="004D46AC" w:rsidRDefault="000B4CBF" w:rsidP="00B518F1">
            <w:pPr>
              <w:spacing w:line="240" w:lineRule="auto"/>
              <w:ind w:firstLine="0"/>
            </w:pPr>
            <w:r w:rsidRPr="004D46AC">
              <w:rPr>
                <w:color w:val="000000"/>
                <w:szCs w:val="21"/>
              </w:rPr>
              <w:t xml:space="preserve">0.92 </w:t>
            </w:r>
          </w:p>
        </w:tc>
        <w:tc>
          <w:tcPr>
            <w:tcW w:w="1705" w:type="dxa"/>
            <w:vAlign w:val="center"/>
          </w:tcPr>
          <w:p w14:paraId="032175E2"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38A659E5" w14:textId="77777777" w:rsidTr="00B518F1">
        <w:tc>
          <w:tcPr>
            <w:tcW w:w="1704" w:type="dxa"/>
            <w:vAlign w:val="center"/>
          </w:tcPr>
          <w:p w14:paraId="58C0A35C" w14:textId="77777777" w:rsidR="000B4CBF" w:rsidRPr="004D46AC" w:rsidRDefault="000B4CBF" w:rsidP="00B518F1">
            <w:pPr>
              <w:spacing w:line="240" w:lineRule="auto"/>
              <w:ind w:firstLine="0"/>
            </w:pPr>
            <w:r w:rsidRPr="004D46AC">
              <w:rPr>
                <w:color w:val="000000"/>
              </w:rPr>
              <w:t>TR34--TR29</w:t>
            </w:r>
          </w:p>
        </w:tc>
        <w:tc>
          <w:tcPr>
            <w:tcW w:w="1704" w:type="dxa"/>
            <w:vAlign w:val="center"/>
          </w:tcPr>
          <w:p w14:paraId="7147EEF0" w14:textId="77777777" w:rsidR="000B4CBF" w:rsidRPr="004D46AC" w:rsidRDefault="000B4CBF" w:rsidP="00B518F1">
            <w:pPr>
              <w:spacing w:line="240" w:lineRule="auto"/>
              <w:ind w:firstLine="0"/>
            </w:pPr>
            <w:r w:rsidRPr="004D46AC">
              <w:rPr>
                <w:color w:val="000000"/>
                <w:szCs w:val="21"/>
              </w:rPr>
              <w:t xml:space="preserve">0.46 </w:t>
            </w:r>
          </w:p>
        </w:tc>
        <w:tc>
          <w:tcPr>
            <w:tcW w:w="1704" w:type="dxa"/>
            <w:vAlign w:val="center"/>
          </w:tcPr>
          <w:p w14:paraId="6FA66A51" w14:textId="77777777" w:rsidR="000B4CBF" w:rsidRPr="004D46AC" w:rsidRDefault="000B4CBF" w:rsidP="00B518F1">
            <w:pPr>
              <w:spacing w:line="240" w:lineRule="auto"/>
              <w:ind w:firstLine="0"/>
            </w:pPr>
            <w:r w:rsidRPr="004D46AC">
              <w:rPr>
                <w:color w:val="000000"/>
                <w:szCs w:val="21"/>
              </w:rPr>
              <w:t xml:space="preserve">-0.02 </w:t>
            </w:r>
          </w:p>
        </w:tc>
        <w:tc>
          <w:tcPr>
            <w:tcW w:w="1705" w:type="dxa"/>
            <w:vAlign w:val="center"/>
          </w:tcPr>
          <w:p w14:paraId="5E498C73" w14:textId="77777777" w:rsidR="000B4CBF" w:rsidRPr="004D46AC" w:rsidRDefault="000B4CBF" w:rsidP="00B518F1">
            <w:pPr>
              <w:spacing w:line="240" w:lineRule="auto"/>
              <w:ind w:firstLine="0"/>
            </w:pPr>
            <w:r w:rsidRPr="004D46AC">
              <w:rPr>
                <w:color w:val="000000"/>
                <w:szCs w:val="21"/>
              </w:rPr>
              <w:t xml:space="preserve">0.95 </w:t>
            </w:r>
          </w:p>
        </w:tc>
        <w:tc>
          <w:tcPr>
            <w:tcW w:w="1705" w:type="dxa"/>
            <w:vAlign w:val="center"/>
          </w:tcPr>
          <w:p w14:paraId="469E0EB0" w14:textId="77777777" w:rsidR="000B4CBF" w:rsidRPr="004D46AC" w:rsidRDefault="000B4CBF" w:rsidP="00B518F1">
            <w:pPr>
              <w:spacing w:line="240" w:lineRule="auto"/>
              <w:ind w:firstLine="0"/>
            </w:pPr>
            <w:r w:rsidRPr="004D46AC">
              <w:rPr>
                <w:color w:val="000000"/>
                <w:szCs w:val="21"/>
              </w:rPr>
              <w:t xml:space="preserve">0.12 </w:t>
            </w:r>
          </w:p>
        </w:tc>
      </w:tr>
      <w:tr w:rsidR="000B4CBF" w:rsidRPr="004D46AC" w14:paraId="4336D788" w14:textId="77777777" w:rsidTr="00B518F1">
        <w:tc>
          <w:tcPr>
            <w:tcW w:w="1704" w:type="dxa"/>
            <w:vAlign w:val="center"/>
          </w:tcPr>
          <w:p w14:paraId="60D36581" w14:textId="77777777" w:rsidR="000B4CBF" w:rsidRPr="004D46AC" w:rsidRDefault="000B4CBF" w:rsidP="00B518F1">
            <w:pPr>
              <w:spacing w:line="240" w:lineRule="auto"/>
              <w:ind w:firstLine="0"/>
            </w:pPr>
            <w:r w:rsidRPr="004D46AC">
              <w:rPr>
                <w:color w:val="000000"/>
              </w:rPr>
              <w:t>TR37--TR20</w:t>
            </w:r>
          </w:p>
        </w:tc>
        <w:tc>
          <w:tcPr>
            <w:tcW w:w="1704" w:type="dxa"/>
            <w:vAlign w:val="center"/>
          </w:tcPr>
          <w:p w14:paraId="28E9F25C" w14:textId="77777777" w:rsidR="000B4CBF" w:rsidRPr="004D46AC" w:rsidRDefault="000B4CBF" w:rsidP="00B518F1">
            <w:pPr>
              <w:spacing w:line="240" w:lineRule="auto"/>
              <w:ind w:firstLine="0"/>
            </w:pPr>
            <w:r w:rsidRPr="004D46AC">
              <w:rPr>
                <w:color w:val="000000"/>
                <w:szCs w:val="21"/>
              </w:rPr>
              <w:t xml:space="preserve">0.46 </w:t>
            </w:r>
          </w:p>
        </w:tc>
        <w:tc>
          <w:tcPr>
            <w:tcW w:w="1704" w:type="dxa"/>
            <w:vAlign w:val="center"/>
          </w:tcPr>
          <w:p w14:paraId="32038DDD" w14:textId="77777777" w:rsidR="000B4CBF" w:rsidRPr="004D46AC" w:rsidRDefault="000B4CBF" w:rsidP="00B518F1">
            <w:pPr>
              <w:spacing w:line="240" w:lineRule="auto"/>
              <w:ind w:firstLine="0"/>
            </w:pPr>
            <w:r w:rsidRPr="004D46AC">
              <w:rPr>
                <w:color w:val="000000"/>
                <w:szCs w:val="21"/>
              </w:rPr>
              <w:t xml:space="preserve">0.03 </w:t>
            </w:r>
          </w:p>
        </w:tc>
        <w:tc>
          <w:tcPr>
            <w:tcW w:w="1705" w:type="dxa"/>
            <w:vAlign w:val="center"/>
          </w:tcPr>
          <w:p w14:paraId="4D6613FA" w14:textId="77777777" w:rsidR="000B4CBF" w:rsidRPr="004D46AC" w:rsidRDefault="000B4CBF" w:rsidP="00B518F1">
            <w:pPr>
              <w:spacing w:line="240" w:lineRule="auto"/>
              <w:ind w:firstLine="0"/>
            </w:pPr>
            <w:r w:rsidRPr="004D46AC">
              <w:rPr>
                <w:color w:val="000000"/>
                <w:szCs w:val="21"/>
              </w:rPr>
              <w:t xml:space="preserve">0.89 </w:t>
            </w:r>
          </w:p>
        </w:tc>
        <w:tc>
          <w:tcPr>
            <w:tcW w:w="1705" w:type="dxa"/>
            <w:vAlign w:val="center"/>
          </w:tcPr>
          <w:p w14:paraId="60193C9A" w14:textId="77777777" w:rsidR="000B4CBF" w:rsidRPr="004D46AC" w:rsidRDefault="000B4CBF" w:rsidP="00B518F1">
            <w:pPr>
              <w:spacing w:line="240" w:lineRule="auto"/>
              <w:ind w:firstLine="0"/>
            </w:pPr>
            <w:r w:rsidRPr="004D46AC">
              <w:rPr>
                <w:color w:val="000000"/>
                <w:szCs w:val="21"/>
              </w:rPr>
              <w:t xml:space="preserve">0.10 </w:t>
            </w:r>
          </w:p>
        </w:tc>
      </w:tr>
      <w:tr w:rsidR="000B4CBF" w:rsidRPr="004D46AC" w14:paraId="43B97A32" w14:textId="77777777" w:rsidTr="00B518F1">
        <w:tc>
          <w:tcPr>
            <w:tcW w:w="1704" w:type="dxa"/>
            <w:vAlign w:val="center"/>
          </w:tcPr>
          <w:p w14:paraId="29F7525A" w14:textId="77777777" w:rsidR="000B4CBF" w:rsidRPr="004D46AC" w:rsidRDefault="000B4CBF" w:rsidP="00B518F1">
            <w:pPr>
              <w:spacing w:line="240" w:lineRule="auto"/>
              <w:ind w:firstLine="0"/>
            </w:pPr>
            <w:r w:rsidRPr="004D46AC">
              <w:rPr>
                <w:color w:val="000000"/>
              </w:rPr>
              <w:t>TR13--TR16</w:t>
            </w:r>
          </w:p>
        </w:tc>
        <w:tc>
          <w:tcPr>
            <w:tcW w:w="1704" w:type="dxa"/>
            <w:vAlign w:val="center"/>
          </w:tcPr>
          <w:p w14:paraId="101F0749" w14:textId="77777777" w:rsidR="000B4CBF" w:rsidRPr="004D46AC" w:rsidRDefault="000B4CBF" w:rsidP="00B518F1">
            <w:pPr>
              <w:spacing w:line="240" w:lineRule="auto"/>
              <w:ind w:firstLine="0"/>
            </w:pPr>
            <w:r w:rsidRPr="004D46AC">
              <w:rPr>
                <w:color w:val="000000"/>
                <w:szCs w:val="21"/>
              </w:rPr>
              <w:t xml:space="preserve">0.45 </w:t>
            </w:r>
          </w:p>
        </w:tc>
        <w:tc>
          <w:tcPr>
            <w:tcW w:w="1704" w:type="dxa"/>
            <w:vAlign w:val="center"/>
          </w:tcPr>
          <w:p w14:paraId="11674507" w14:textId="77777777" w:rsidR="000B4CBF" w:rsidRPr="004D46AC" w:rsidRDefault="000B4CBF" w:rsidP="00B518F1">
            <w:pPr>
              <w:spacing w:line="240" w:lineRule="auto"/>
              <w:ind w:firstLine="0"/>
            </w:pPr>
            <w:r w:rsidRPr="004D46AC">
              <w:rPr>
                <w:color w:val="000000"/>
                <w:szCs w:val="21"/>
              </w:rPr>
              <w:t xml:space="preserve">0.01 </w:t>
            </w:r>
          </w:p>
        </w:tc>
        <w:tc>
          <w:tcPr>
            <w:tcW w:w="1705" w:type="dxa"/>
            <w:vAlign w:val="center"/>
          </w:tcPr>
          <w:p w14:paraId="41CFD849" w14:textId="77777777" w:rsidR="000B4CBF" w:rsidRPr="004D46AC" w:rsidRDefault="000B4CBF" w:rsidP="00B518F1">
            <w:pPr>
              <w:spacing w:line="240" w:lineRule="auto"/>
              <w:ind w:firstLine="0"/>
            </w:pPr>
            <w:r w:rsidRPr="004D46AC">
              <w:rPr>
                <w:color w:val="000000"/>
                <w:szCs w:val="21"/>
              </w:rPr>
              <w:t xml:space="preserve">0.89 </w:t>
            </w:r>
          </w:p>
        </w:tc>
        <w:tc>
          <w:tcPr>
            <w:tcW w:w="1705" w:type="dxa"/>
            <w:vAlign w:val="center"/>
          </w:tcPr>
          <w:p w14:paraId="5DA951F1" w14:textId="77777777" w:rsidR="000B4CBF" w:rsidRPr="004D46AC" w:rsidRDefault="000B4CBF" w:rsidP="00B518F1">
            <w:pPr>
              <w:spacing w:line="240" w:lineRule="auto"/>
              <w:ind w:firstLine="0"/>
            </w:pPr>
            <w:r w:rsidRPr="004D46AC">
              <w:rPr>
                <w:color w:val="000000"/>
                <w:szCs w:val="21"/>
              </w:rPr>
              <w:t xml:space="preserve">0.08 </w:t>
            </w:r>
          </w:p>
        </w:tc>
      </w:tr>
      <w:tr w:rsidR="000B4CBF" w:rsidRPr="004D46AC" w14:paraId="2B0982F6" w14:textId="77777777" w:rsidTr="00B518F1">
        <w:tc>
          <w:tcPr>
            <w:tcW w:w="1704" w:type="dxa"/>
            <w:vAlign w:val="center"/>
          </w:tcPr>
          <w:p w14:paraId="3D919C5E" w14:textId="77777777" w:rsidR="000B4CBF" w:rsidRPr="004D46AC" w:rsidRDefault="000B4CBF" w:rsidP="00B518F1">
            <w:pPr>
              <w:spacing w:line="240" w:lineRule="auto"/>
              <w:ind w:firstLine="0"/>
            </w:pPr>
            <w:r w:rsidRPr="004D46AC">
              <w:rPr>
                <w:color w:val="000000"/>
              </w:rPr>
              <w:t>TR21--TR13</w:t>
            </w:r>
          </w:p>
        </w:tc>
        <w:tc>
          <w:tcPr>
            <w:tcW w:w="1704" w:type="dxa"/>
            <w:vAlign w:val="center"/>
          </w:tcPr>
          <w:p w14:paraId="16289193" w14:textId="77777777" w:rsidR="000B4CBF" w:rsidRPr="004D46AC" w:rsidRDefault="000B4CBF" w:rsidP="00B518F1">
            <w:pPr>
              <w:spacing w:line="240" w:lineRule="auto"/>
              <w:ind w:firstLine="0"/>
            </w:pPr>
            <w:r w:rsidRPr="004D46AC">
              <w:rPr>
                <w:color w:val="000000"/>
                <w:szCs w:val="21"/>
              </w:rPr>
              <w:t xml:space="preserve">0.44 </w:t>
            </w:r>
          </w:p>
        </w:tc>
        <w:tc>
          <w:tcPr>
            <w:tcW w:w="1704" w:type="dxa"/>
            <w:vAlign w:val="center"/>
          </w:tcPr>
          <w:p w14:paraId="2D657C8F" w14:textId="77777777" w:rsidR="000B4CBF" w:rsidRPr="004D46AC" w:rsidRDefault="000B4CBF" w:rsidP="00B518F1">
            <w:pPr>
              <w:spacing w:line="240" w:lineRule="auto"/>
              <w:ind w:firstLine="0"/>
            </w:pPr>
            <w:r w:rsidRPr="004D46AC">
              <w:rPr>
                <w:color w:val="000000"/>
                <w:szCs w:val="21"/>
              </w:rPr>
              <w:t xml:space="preserve">0.01 </w:t>
            </w:r>
          </w:p>
        </w:tc>
        <w:tc>
          <w:tcPr>
            <w:tcW w:w="1705" w:type="dxa"/>
            <w:vAlign w:val="center"/>
          </w:tcPr>
          <w:p w14:paraId="296850B8" w14:textId="77777777" w:rsidR="000B4CBF" w:rsidRPr="004D46AC" w:rsidRDefault="000B4CBF" w:rsidP="00B518F1">
            <w:pPr>
              <w:spacing w:line="240" w:lineRule="auto"/>
              <w:ind w:firstLine="0"/>
            </w:pPr>
            <w:r w:rsidRPr="004D46AC">
              <w:rPr>
                <w:color w:val="000000"/>
                <w:szCs w:val="21"/>
              </w:rPr>
              <w:t xml:space="preserve">0.88 </w:t>
            </w:r>
          </w:p>
        </w:tc>
        <w:tc>
          <w:tcPr>
            <w:tcW w:w="1705" w:type="dxa"/>
            <w:vAlign w:val="center"/>
          </w:tcPr>
          <w:p w14:paraId="21ED635C" w14:textId="77777777" w:rsidR="000B4CBF" w:rsidRPr="004D46AC" w:rsidRDefault="000B4CBF" w:rsidP="00B518F1">
            <w:pPr>
              <w:spacing w:line="240" w:lineRule="auto"/>
              <w:ind w:firstLine="0"/>
            </w:pPr>
            <w:r w:rsidRPr="004D46AC">
              <w:rPr>
                <w:color w:val="000000"/>
                <w:szCs w:val="21"/>
              </w:rPr>
              <w:t xml:space="preserve">0.05 </w:t>
            </w:r>
          </w:p>
        </w:tc>
      </w:tr>
      <w:tr w:rsidR="000B4CBF" w:rsidRPr="004D46AC" w14:paraId="2FB318C1" w14:textId="77777777" w:rsidTr="00B518F1">
        <w:tc>
          <w:tcPr>
            <w:tcW w:w="1704" w:type="dxa"/>
            <w:vAlign w:val="center"/>
          </w:tcPr>
          <w:p w14:paraId="26F1D63C" w14:textId="77777777" w:rsidR="000B4CBF" w:rsidRPr="004D46AC" w:rsidRDefault="000B4CBF" w:rsidP="00B518F1">
            <w:pPr>
              <w:spacing w:line="240" w:lineRule="auto"/>
              <w:ind w:firstLine="0"/>
            </w:pPr>
            <w:r w:rsidRPr="004D46AC">
              <w:rPr>
                <w:color w:val="000000"/>
              </w:rPr>
              <w:t>TR24--TR13</w:t>
            </w:r>
          </w:p>
        </w:tc>
        <w:tc>
          <w:tcPr>
            <w:tcW w:w="1704" w:type="dxa"/>
            <w:vAlign w:val="center"/>
          </w:tcPr>
          <w:p w14:paraId="26B47E7C" w14:textId="77777777" w:rsidR="000B4CBF" w:rsidRPr="004D46AC" w:rsidRDefault="000B4CBF" w:rsidP="00B518F1">
            <w:pPr>
              <w:spacing w:line="240" w:lineRule="auto"/>
              <w:ind w:firstLine="0"/>
            </w:pPr>
            <w:r w:rsidRPr="004D46AC">
              <w:rPr>
                <w:color w:val="000000"/>
                <w:szCs w:val="21"/>
              </w:rPr>
              <w:t xml:space="preserve">0.44 </w:t>
            </w:r>
          </w:p>
        </w:tc>
        <w:tc>
          <w:tcPr>
            <w:tcW w:w="1704" w:type="dxa"/>
            <w:vAlign w:val="center"/>
          </w:tcPr>
          <w:p w14:paraId="756527D8" w14:textId="77777777" w:rsidR="000B4CBF" w:rsidRPr="004D46AC" w:rsidRDefault="000B4CBF" w:rsidP="00B518F1">
            <w:pPr>
              <w:spacing w:line="240" w:lineRule="auto"/>
              <w:ind w:firstLine="0"/>
            </w:pPr>
            <w:r w:rsidRPr="004D46AC">
              <w:rPr>
                <w:color w:val="000000"/>
                <w:szCs w:val="21"/>
              </w:rPr>
              <w:t xml:space="preserve">0.00 </w:t>
            </w:r>
          </w:p>
        </w:tc>
        <w:tc>
          <w:tcPr>
            <w:tcW w:w="1705" w:type="dxa"/>
            <w:vAlign w:val="center"/>
          </w:tcPr>
          <w:p w14:paraId="44B690A4" w14:textId="77777777" w:rsidR="000B4CBF" w:rsidRPr="004D46AC" w:rsidRDefault="000B4CBF" w:rsidP="00B518F1">
            <w:pPr>
              <w:spacing w:line="240" w:lineRule="auto"/>
              <w:ind w:firstLine="0"/>
            </w:pPr>
            <w:r w:rsidRPr="004D46AC">
              <w:rPr>
                <w:color w:val="000000"/>
                <w:szCs w:val="21"/>
              </w:rPr>
              <w:t xml:space="preserve">0.88 </w:t>
            </w:r>
          </w:p>
        </w:tc>
        <w:tc>
          <w:tcPr>
            <w:tcW w:w="1705" w:type="dxa"/>
            <w:vAlign w:val="center"/>
          </w:tcPr>
          <w:p w14:paraId="2AD7B121" w14:textId="77777777" w:rsidR="000B4CBF" w:rsidRPr="004D46AC" w:rsidRDefault="000B4CBF" w:rsidP="00B518F1">
            <w:pPr>
              <w:spacing w:line="240" w:lineRule="auto"/>
              <w:ind w:firstLine="0"/>
            </w:pPr>
            <w:r w:rsidRPr="004D46AC">
              <w:rPr>
                <w:color w:val="000000"/>
                <w:szCs w:val="21"/>
              </w:rPr>
              <w:t xml:space="preserve">0.07 </w:t>
            </w:r>
          </w:p>
        </w:tc>
      </w:tr>
      <w:tr w:rsidR="000B4CBF" w:rsidRPr="004D46AC" w14:paraId="338BF4DF" w14:textId="77777777" w:rsidTr="00B518F1">
        <w:tc>
          <w:tcPr>
            <w:tcW w:w="1704" w:type="dxa"/>
            <w:vAlign w:val="center"/>
          </w:tcPr>
          <w:p w14:paraId="04C96ED2" w14:textId="77777777" w:rsidR="000B4CBF" w:rsidRPr="004D46AC" w:rsidRDefault="000B4CBF" w:rsidP="00B518F1">
            <w:pPr>
              <w:spacing w:line="240" w:lineRule="auto"/>
              <w:ind w:firstLine="0"/>
            </w:pPr>
            <w:r w:rsidRPr="004D46AC">
              <w:rPr>
                <w:color w:val="000000"/>
              </w:rPr>
              <w:t>TR12--TR26</w:t>
            </w:r>
          </w:p>
        </w:tc>
        <w:tc>
          <w:tcPr>
            <w:tcW w:w="1704" w:type="dxa"/>
            <w:vAlign w:val="center"/>
          </w:tcPr>
          <w:p w14:paraId="3EAD2570" w14:textId="77777777" w:rsidR="000B4CBF" w:rsidRPr="004D46AC" w:rsidRDefault="000B4CBF" w:rsidP="00B518F1">
            <w:pPr>
              <w:spacing w:line="240" w:lineRule="auto"/>
              <w:ind w:firstLine="0"/>
            </w:pPr>
            <w:r w:rsidRPr="004D46AC">
              <w:rPr>
                <w:color w:val="000000"/>
                <w:szCs w:val="21"/>
              </w:rPr>
              <w:t xml:space="preserve">0.42 </w:t>
            </w:r>
          </w:p>
        </w:tc>
        <w:tc>
          <w:tcPr>
            <w:tcW w:w="1704" w:type="dxa"/>
            <w:vAlign w:val="center"/>
          </w:tcPr>
          <w:p w14:paraId="1382078B" w14:textId="77777777" w:rsidR="000B4CBF" w:rsidRPr="004D46AC" w:rsidRDefault="000B4CBF" w:rsidP="00B518F1">
            <w:pPr>
              <w:spacing w:line="240" w:lineRule="auto"/>
              <w:ind w:firstLine="0"/>
            </w:pPr>
            <w:r w:rsidRPr="004D46AC">
              <w:rPr>
                <w:color w:val="000000"/>
                <w:szCs w:val="21"/>
              </w:rPr>
              <w:t xml:space="preserve">-0.10 </w:t>
            </w:r>
          </w:p>
        </w:tc>
        <w:tc>
          <w:tcPr>
            <w:tcW w:w="1705" w:type="dxa"/>
            <w:vAlign w:val="center"/>
          </w:tcPr>
          <w:p w14:paraId="7E680867" w14:textId="77777777" w:rsidR="000B4CBF" w:rsidRPr="004D46AC" w:rsidRDefault="000B4CBF" w:rsidP="00B518F1">
            <w:pPr>
              <w:spacing w:line="240" w:lineRule="auto"/>
              <w:ind w:firstLine="0"/>
            </w:pPr>
            <w:r w:rsidRPr="004D46AC">
              <w:rPr>
                <w:color w:val="000000"/>
                <w:szCs w:val="21"/>
              </w:rPr>
              <w:t xml:space="preserve">0.94 </w:t>
            </w:r>
          </w:p>
        </w:tc>
        <w:tc>
          <w:tcPr>
            <w:tcW w:w="1705" w:type="dxa"/>
            <w:vAlign w:val="center"/>
          </w:tcPr>
          <w:p w14:paraId="78175E5C" w14:textId="77777777" w:rsidR="000B4CBF" w:rsidRPr="004D46AC" w:rsidRDefault="000B4CBF" w:rsidP="00B518F1">
            <w:pPr>
              <w:spacing w:line="240" w:lineRule="auto"/>
              <w:ind w:firstLine="0"/>
            </w:pPr>
            <w:r w:rsidRPr="004D46AC">
              <w:rPr>
                <w:color w:val="000000"/>
                <w:szCs w:val="21"/>
              </w:rPr>
              <w:t xml:space="preserve">0.30 </w:t>
            </w:r>
          </w:p>
        </w:tc>
      </w:tr>
      <w:tr w:rsidR="000B4CBF" w:rsidRPr="004D46AC" w14:paraId="55624817" w14:textId="77777777" w:rsidTr="00B518F1">
        <w:tc>
          <w:tcPr>
            <w:tcW w:w="1704" w:type="dxa"/>
            <w:vAlign w:val="center"/>
          </w:tcPr>
          <w:p w14:paraId="1B3DD5D2" w14:textId="77777777" w:rsidR="000B4CBF" w:rsidRPr="004D46AC" w:rsidRDefault="000B4CBF" w:rsidP="00B518F1">
            <w:pPr>
              <w:spacing w:line="240" w:lineRule="auto"/>
              <w:ind w:firstLine="0"/>
            </w:pPr>
            <w:r w:rsidRPr="004D46AC">
              <w:rPr>
                <w:color w:val="000000"/>
              </w:rPr>
              <w:t>TR16--TR22</w:t>
            </w:r>
          </w:p>
        </w:tc>
        <w:tc>
          <w:tcPr>
            <w:tcW w:w="1704" w:type="dxa"/>
            <w:vAlign w:val="center"/>
          </w:tcPr>
          <w:p w14:paraId="2E40A5B8" w14:textId="77777777" w:rsidR="000B4CBF" w:rsidRPr="004D46AC" w:rsidRDefault="000B4CBF" w:rsidP="00B518F1">
            <w:pPr>
              <w:spacing w:line="240" w:lineRule="auto"/>
              <w:ind w:firstLine="0"/>
            </w:pPr>
            <w:r w:rsidRPr="004D46AC">
              <w:rPr>
                <w:color w:val="000000"/>
                <w:szCs w:val="21"/>
              </w:rPr>
              <w:t xml:space="preserve">0.42 </w:t>
            </w:r>
          </w:p>
        </w:tc>
        <w:tc>
          <w:tcPr>
            <w:tcW w:w="1704" w:type="dxa"/>
            <w:vAlign w:val="center"/>
          </w:tcPr>
          <w:p w14:paraId="012241D0" w14:textId="77777777" w:rsidR="000B4CBF" w:rsidRPr="004D46AC" w:rsidRDefault="000B4CBF" w:rsidP="00B518F1">
            <w:pPr>
              <w:spacing w:line="240" w:lineRule="auto"/>
              <w:ind w:firstLine="0"/>
            </w:pPr>
            <w:r w:rsidRPr="004D46AC">
              <w:rPr>
                <w:color w:val="000000"/>
                <w:szCs w:val="21"/>
              </w:rPr>
              <w:t xml:space="preserve">-0.04 </w:t>
            </w:r>
          </w:p>
        </w:tc>
        <w:tc>
          <w:tcPr>
            <w:tcW w:w="1705" w:type="dxa"/>
            <w:vAlign w:val="center"/>
          </w:tcPr>
          <w:p w14:paraId="1A43845C" w14:textId="77777777" w:rsidR="000B4CBF" w:rsidRPr="004D46AC" w:rsidRDefault="000B4CBF" w:rsidP="00B518F1">
            <w:pPr>
              <w:spacing w:line="240" w:lineRule="auto"/>
              <w:ind w:firstLine="0"/>
            </w:pPr>
            <w:r w:rsidRPr="004D46AC">
              <w:rPr>
                <w:color w:val="000000"/>
                <w:szCs w:val="21"/>
              </w:rPr>
              <w:t xml:space="preserve">0.88 </w:t>
            </w:r>
          </w:p>
        </w:tc>
        <w:tc>
          <w:tcPr>
            <w:tcW w:w="1705" w:type="dxa"/>
            <w:vAlign w:val="center"/>
          </w:tcPr>
          <w:p w14:paraId="2B396EF4" w14:textId="77777777" w:rsidR="000B4CBF" w:rsidRPr="004D46AC" w:rsidRDefault="000B4CBF" w:rsidP="00B518F1">
            <w:pPr>
              <w:spacing w:line="240" w:lineRule="auto"/>
              <w:ind w:firstLine="0"/>
            </w:pPr>
            <w:r w:rsidRPr="004D46AC">
              <w:rPr>
                <w:color w:val="000000"/>
                <w:szCs w:val="21"/>
              </w:rPr>
              <w:t xml:space="preserve">0.09 </w:t>
            </w:r>
          </w:p>
        </w:tc>
      </w:tr>
      <w:tr w:rsidR="000B4CBF" w:rsidRPr="004D46AC" w14:paraId="19277DAB" w14:textId="77777777" w:rsidTr="00B518F1">
        <w:tc>
          <w:tcPr>
            <w:tcW w:w="1704" w:type="dxa"/>
            <w:vAlign w:val="center"/>
          </w:tcPr>
          <w:p w14:paraId="36747A74" w14:textId="77777777" w:rsidR="000B4CBF" w:rsidRPr="004D46AC" w:rsidRDefault="000B4CBF" w:rsidP="00B518F1">
            <w:pPr>
              <w:spacing w:line="240" w:lineRule="auto"/>
              <w:ind w:firstLine="0"/>
            </w:pPr>
            <w:r w:rsidRPr="004D46AC">
              <w:rPr>
                <w:color w:val="000000"/>
              </w:rPr>
              <w:t>TR13--TR20</w:t>
            </w:r>
          </w:p>
        </w:tc>
        <w:tc>
          <w:tcPr>
            <w:tcW w:w="1704" w:type="dxa"/>
            <w:vAlign w:val="center"/>
          </w:tcPr>
          <w:p w14:paraId="2D8A7913" w14:textId="77777777" w:rsidR="000B4CBF" w:rsidRPr="004D46AC" w:rsidRDefault="000B4CBF" w:rsidP="00B518F1">
            <w:pPr>
              <w:spacing w:line="240" w:lineRule="auto"/>
              <w:ind w:firstLine="0"/>
            </w:pPr>
            <w:r w:rsidRPr="004D46AC">
              <w:rPr>
                <w:color w:val="000000"/>
                <w:szCs w:val="21"/>
              </w:rPr>
              <w:t xml:space="preserve">0.41 </w:t>
            </w:r>
          </w:p>
        </w:tc>
        <w:tc>
          <w:tcPr>
            <w:tcW w:w="1704" w:type="dxa"/>
            <w:vAlign w:val="center"/>
          </w:tcPr>
          <w:p w14:paraId="3453ABF0" w14:textId="77777777" w:rsidR="000B4CBF" w:rsidRPr="004D46AC" w:rsidRDefault="000B4CBF" w:rsidP="00B518F1">
            <w:pPr>
              <w:spacing w:line="240" w:lineRule="auto"/>
              <w:ind w:firstLine="0"/>
            </w:pPr>
            <w:r w:rsidRPr="004D46AC">
              <w:rPr>
                <w:color w:val="000000"/>
                <w:szCs w:val="21"/>
              </w:rPr>
              <w:t xml:space="preserve">0.00 </w:t>
            </w:r>
          </w:p>
        </w:tc>
        <w:tc>
          <w:tcPr>
            <w:tcW w:w="1705" w:type="dxa"/>
            <w:vAlign w:val="center"/>
          </w:tcPr>
          <w:p w14:paraId="08F7EE75" w14:textId="77777777" w:rsidR="000B4CBF" w:rsidRPr="004D46AC" w:rsidRDefault="000B4CBF" w:rsidP="00B518F1">
            <w:pPr>
              <w:spacing w:line="240" w:lineRule="auto"/>
              <w:ind w:firstLine="0"/>
            </w:pPr>
            <w:r w:rsidRPr="004D46AC">
              <w:rPr>
                <w:color w:val="000000"/>
                <w:szCs w:val="21"/>
              </w:rPr>
              <w:t xml:space="preserve">0.83 </w:t>
            </w:r>
          </w:p>
        </w:tc>
        <w:tc>
          <w:tcPr>
            <w:tcW w:w="1705" w:type="dxa"/>
            <w:vAlign w:val="center"/>
          </w:tcPr>
          <w:p w14:paraId="2A83B0EF" w14:textId="77777777" w:rsidR="000B4CBF" w:rsidRPr="004D46AC" w:rsidRDefault="000B4CBF" w:rsidP="00B518F1">
            <w:pPr>
              <w:spacing w:line="240" w:lineRule="auto"/>
              <w:ind w:firstLine="0"/>
            </w:pPr>
            <w:r w:rsidRPr="004D46AC">
              <w:rPr>
                <w:color w:val="000000"/>
                <w:szCs w:val="21"/>
              </w:rPr>
              <w:t xml:space="preserve">0.06 </w:t>
            </w:r>
          </w:p>
        </w:tc>
      </w:tr>
      <w:tr w:rsidR="000B4CBF" w:rsidRPr="004D46AC" w14:paraId="104EC713" w14:textId="77777777" w:rsidTr="00B518F1">
        <w:tc>
          <w:tcPr>
            <w:tcW w:w="1704" w:type="dxa"/>
            <w:vAlign w:val="center"/>
          </w:tcPr>
          <w:p w14:paraId="1B0CCF7B" w14:textId="77777777" w:rsidR="000B4CBF" w:rsidRPr="004D46AC" w:rsidRDefault="000B4CBF" w:rsidP="00B518F1">
            <w:pPr>
              <w:spacing w:line="240" w:lineRule="auto"/>
              <w:ind w:firstLine="0"/>
            </w:pPr>
            <w:r w:rsidRPr="004D46AC">
              <w:rPr>
                <w:color w:val="000000"/>
              </w:rPr>
              <w:t>TR37--TR33</w:t>
            </w:r>
          </w:p>
        </w:tc>
        <w:tc>
          <w:tcPr>
            <w:tcW w:w="1704" w:type="dxa"/>
            <w:vAlign w:val="center"/>
          </w:tcPr>
          <w:p w14:paraId="55806AAA" w14:textId="77777777" w:rsidR="000B4CBF" w:rsidRPr="004D46AC" w:rsidRDefault="000B4CBF" w:rsidP="00B518F1">
            <w:pPr>
              <w:spacing w:line="240" w:lineRule="auto"/>
              <w:ind w:firstLine="0"/>
            </w:pPr>
            <w:r w:rsidRPr="004D46AC">
              <w:rPr>
                <w:color w:val="000000"/>
                <w:szCs w:val="21"/>
              </w:rPr>
              <w:t xml:space="preserve">0.41 </w:t>
            </w:r>
          </w:p>
        </w:tc>
        <w:tc>
          <w:tcPr>
            <w:tcW w:w="1704" w:type="dxa"/>
            <w:vAlign w:val="center"/>
          </w:tcPr>
          <w:p w14:paraId="3A88D273" w14:textId="77777777" w:rsidR="000B4CBF" w:rsidRPr="004D46AC" w:rsidRDefault="000B4CBF" w:rsidP="00B518F1">
            <w:pPr>
              <w:spacing w:line="240" w:lineRule="auto"/>
              <w:ind w:firstLine="0"/>
            </w:pPr>
            <w:r w:rsidRPr="004D46AC">
              <w:rPr>
                <w:color w:val="000000"/>
                <w:szCs w:val="21"/>
              </w:rPr>
              <w:t xml:space="preserve">-0.06 </w:t>
            </w:r>
          </w:p>
        </w:tc>
        <w:tc>
          <w:tcPr>
            <w:tcW w:w="1705" w:type="dxa"/>
            <w:vAlign w:val="center"/>
          </w:tcPr>
          <w:p w14:paraId="2DFE65B0" w14:textId="77777777" w:rsidR="000B4CBF" w:rsidRPr="004D46AC" w:rsidRDefault="000B4CBF" w:rsidP="00B518F1">
            <w:pPr>
              <w:spacing w:line="240" w:lineRule="auto"/>
              <w:ind w:firstLine="0"/>
            </w:pPr>
            <w:r w:rsidRPr="004D46AC">
              <w:rPr>
                <w:color w:val="000000"/>
                <w:szCs w:val="21"/>
              </w:rPr>
              <w:t xml:space="preserve">0.89 </w:t>
            </w:r>
          </w:p>
        </w:tc>
        <w:tc>
          <w:tcPr>
            <w:tcW w:w="1705" w:type="dxa"/>
            <w:vAlign w:val="center"/>
          </w:tcPr>
          <w:p w14:paraId="138FD799" w14:textId="77777777" w:rsidR="000B4CBF" w:rsidRPr="004D46AC" w:rsidRDefault="000B4CBF" w:rsidP="00B518F1">
            <w:pPr>
              <w:spacing w:line="240" w:lineRule="auto"/>
              <w:ind w:firstLine="0"/>
            </w:pPr>
            <w:r w:rsidRPr="004D46AC">
              <w:rPr>
                <w:color w:val="000000"/>
                <w:szCs w:val="21"/>
              </w:rPr>
              <w:t xml:space="preserve">0.12 </w:t>
            </w:r>
          </w:p>
        </w:tc>
      </w:tr>
      <w:tr w:rsidR="000B4CBF" w:rsidRPr="004D46AC" w14:paraId="1104EC6B" w14:textId="77777777" w:rsidTr="00B518F1">
        <w:tc>
          <w:tcPr>
            <w:tcW w:w="1704" w:type="dxa"/>
            <w:vAlign w:val="center"/>
          </w:tcPr>
          <w:p w14:paraId="3937EA1C" w14:textId="77777777" w:rsidR="000B4CBF" w:rsidRPr="004D46AC" w:rsidRDefault="000B4CBF" w:rsidP="00B518F1">
            <w:pPr>
              <w:spacing w:line="240" w:lineRule="auto"/>
              <w:ind w:firstLine="0"/>
            </w:pPr>
            <w:r w:rsidRPr="004D46AC">
              <w:rPr>
                <w:color w:val="000000"/>
              </w:rPr>
              <w:t>TR37--TR17</w:t>
            </w:r>
          </w:p>
        </w:tc>
        <w:tc>
          <w:tcPr>
            <w:tcW w:w="1704" w:type="dxa"/>
            <w:vAlign w:val="center"/>
          </w:tcPr>
          <w:p w14:paraId="311D1594" w14:textId="77777777" w:rsidR="000B4CBF" w:rsidRPr="004D46AC" w:rsidRDefault="000B4CBF" w:rsidP="00B518F1">
            <w:pPr>
              <w:spacing w:line="240" w:lineRule="auto"/>
              <w:ind w:firstLine="0"/>
            </w:pPr>
            <w:r w:rsidRPr="004D46AC">
              <w:rPr>
                <w:color w:val="000000"/>
                <w:szCs w:val="21"/>
              </w:rPr>
              <w:t xml:space="preserve">0.41 </w:t>
            </w:r>
          </w:p>
        </w:tc>
        <w:tc>
          <w:tcPr>
            <w:tcW w:w="1704" w:type="dxa"/>
            <w:vAlign w:val="center"/>
          </w:tcPr>
          <w:p w14:paraId="43D1ADB3" w14:textId="77777777" w:rsidR="000B4CBF" w:rsidRPr="004D46AC" w:rsidRDefault="000B4CBF" w:rsidP="00B518F1">
            <w:pPr>
              <w:spacing w:line="240" w:lineRule="auto"/>
              <w:ind w:firstLine="0"/>
            </w:pPr>
            <w:r w:rsidRPr="004D46AC">
              <w:rPr>
                <w:color w:val="000000"/>
                <w:szCs w:val="21"/>
              </w:rPr>
              <w:t xml:space="preserve">-0.05 </w:t>
            </w:r>
          </w:p>
        </w:tc>
        <w:tc>
          <w:tcPr>
            <w:tcW w:w="1705" w:type="dxa"/>
            <w:vAlign w:val="center"/>
          </w:tcPr>
          <w:p w14:paraId="5E018B2F" w14:textId="77777777" w:rsidR="000B4CBF" w:rsidRPr="004D46AC" w:rsidRDefault="000B4CBF" w:rsidP="00B518F1">
            <w:pPr>
              <w:spacing w:line="240" w:lineRule="auto"/>
              <w:ind w:firstLine="0"/>
            </w:pPr>
            <w:r w:rsidRPr="004D46AC">
              <w:rPr>
                <w:color w:val="000000"/>
                <w:szCs w:val="21"/>
              </w:rPr>
              <w:t xml:space="preserve">0.87 </w:t>
            </w:r>
          </w:p>
        </w:tc>
        <w:tc>
          <w:tcPr>
            <w:tcW w:w="1705" w:type="dxa"/>
            <w:vAlign w:val="center"/>
          </w:tcPr>
          <w:p w14:paraId="7C457E23" w14:textId="77777777" w:rsidR="000B4CBF" w:rsidRPr="004D46AC" w:rsidRDefault="000B4CBF" w:rsidP="00B518F1">
            <w:pPr>
              <w:spacing w:line="240" w:lineRule="auto"/>
              <w:ind w:firstLine="0"/>
            </w:pPr>
            <w:r w:rsidRPr="004D46AC">
              <w:rPr>
                <w:color w:val="000000"/>
                <w:szCs w:val="21"/>
              </w:rPr>
              <w:t xml:space="preserve">0.10 </w:t>
            </w:r>
          </w:p>
        </w:tc>
      </w:tr>
      <w:tr w:rsidR="000B4CBF" w:rsidRPr="004D46AC" w14:paraId="03E500B1" w14:textId="77777777" w:rsidTr="00B518F1">
        <w:tc>
          <w:tcPr>
            <w:tcW w:w="1704" w:type="dxa"/>
            <w:vAlign w:val="center"/>
          </w:tcPr>
          <w:p w14:paraId="04EE8756" w14:textId="77777777" w:rsidR="000B4CBF" w:rsidRPr="004D46AC" w:rsidRDefault="000B4CBF" w:rsidP="00B518F1">
            <w:pPr>
              <w:spacing w:line="240" w:lineRule="auto"/>
              <w:ind w:firstLine="0"/>
            </w:pPr>
            <w:r w:rsidRPr="004D46AC">
              <w:rPr>
                <w:color w:val="000000"/>
              </w:rPr>
              <w:lastRenderedPageBreak/>
              <w:t>TR6--TR29</w:t>
            </w:r>
          </w:p>
        </w:tc>
        <w:tc>
          <w:tcPr>
            <w:tcW w:w="1704" w:type="dxa"/>
            <w:vAlign w:val="center"/>
          </w:tcPr>
          <w:p w14:paraId="4DCAA623" w14:textId="77777777" w:rsidR="000B4CBF" w:rsidRPr="004D46AC" w:rsidRDefault="000B4CBF" w:rsidP="00B518F1">
            <w:pPr>
              <w:spacing w:line="240" w:lineRule="auto"/>
              <w:ind w:firstLine="0"/>
            </w:pPr>
            <w:r w:rsidRPr="004D46AC">
              <w:rPr>
                <w:color w:val="000000"/>
                <w:szCs w:val="21"/>
              </w:rPr>
              <w:t xml:space="preserve">0.37 </w:t>
            </w:r>
          </w:p>
        </w:tc>
        <w:tc>
          <w:tcPr>
            <w:tcW w:w="1704" w:type="dxa"/>
            <w:vAlign w:val="center"/>
          </w:tcPr>
          <w:p w14:paraId="725479E2" w14:textId="77777777" w:rsidR="000B4CBF" w:rsidRPr="004D46AC" w:rsidRDefault="000B4CBF" w:rsidP="00B518F1">
            <w:pPr>
              <w:spacing w:line="240" w:lineRule="auto"/>
              <w:ind w:firstLine="0"/>
            </w:pPr>
            <w:r w:rsidRPr="004D46AC">
              <w:rPr>
                <w:color w:val="000000"/>
                <w:szCs w:val="21"/>
              </w:rPr>
              <w:t xml:space="preserve">-0.10 </w:t>
            </w:r>
          </w:p>
        </w:tc>
        <w:tc>
          <w:tcPr>
            <w:tcW w:w="1705" w:type="dxa"/>
            <w:vAlign w:val="center"/>
          </w:tcPr>
          <w:p w14:paraId="2DD4C5E5" w14:textId="77777777" w:rsidR="000B4CBF" w:rsidRPr="004D46AC" w:rsidRDefault="000B4CBF" w:rsidP="00B518F1">
            <w:pPr>
              <w:spacing w:line="240" w:lineRule="auto"/>
              <w:ind w:firstLine="0"/>
            </w:pPr>
            <w:r w:rsidRPr="004D46AC">
              <w:rPr>
                <w:color w:val="000000"/>
                <w:szCs w:val="21"/>
              </w:rPr>
              <w:t xml:space="preserve">0.85 </w:t>
            </w:r>
          </w:p>
        </w:tc>
        <w:tc>
          <w:tcPr>
            <w:tcW w:w="1705" w:type="dxa"/>
            <w:vAlign w:val="center"/>
          </w:tcPr>
          <w:p w14:paraId="56B8A028" w14:textId="77777777" w:rsidR="000B4CBF" w:rsidRPr="004D46AC" w:rsidRDefault="000B4CBF" w:rsidP="00B518F1">
            <w:pPr>
              <w:spacing w:line="240" w:lineRule="auto"/>
              <w:ind w:firstLine="0"/>
            </w:pPr>
            <w:r w:rsidRPr="004D46AC">
              <w:rPr>
                <w:color w:val="000000"/>
                <w:szCs w:val="21"/>
              </w:rPr>
              <w:t xml:space="preserve">0.13 </w:t>
            </w:r>
          </w:p>
        </w:tc>
      </w:tr>
      <w:tr w:rsidR="000B4CBF" w:rsidRPr="004D46AC" w14:paraId="3256CABE" w14:textId="77777777" w:rsidTr="00B518F1">
        <w:tc>
          <w:tcPr>
            <w:tcW w:w="1704" w:type="dxa"/>
            <w:vAlign w:val="center"/>
          </w:tcPr>
          <w:p w14:paraId="035837D5" w14:textId="77777777" w:rsidR="000B4CBF" w:rsidRPr="004D46AC" w:rsidRDefault="000B4CBF" w:rsidP="00B518F1">
            <w:pPr>
              <w:spacing w:line="240" w:lineRule="auto"/>
              <w:ind w:firstLine="0"/>
            </w:pPr>
            <w:r w:rsidRPr="004D46AC">
              <w:rPr>
                <w:color w:val="000000"/>
              </w:rPr>
              <w:t>TR21--TR18</w:t>
            </w:r>
          </w:p>
        </w:tc>
        <w:tc>
          <w:tcPr>
            <w:tcW w:w="1704" w:type="dxa"/>
            <w:vAlign w:val="center"/>
          </w:tcPr>
          <w:p w14:paraId="6A629C53" w14:textId="77777777" w:rsidR="000B4CBF" w:rsidRPr="004D46AC" w:rsidRDefault="000B4CBF" w:rsidP="00B518F1">
            <w:pPr>
              <w:spacing w:line="240" w:lineRule="auto"/>
              <w:ind w:firstLine="0"/>
            </w:pPr>
            <w:r w:rsidRPr="004D46AC">
              <w:rPr>
                <w:color w:val="000000"/>
                <w:szCs w:val="21"/>
              </w:rPr>
              <w:t xml:space="preserve">0.37 </w:t>
            </w:r>
          </w:p>
        </w:tc>
        <w:tc>
          <w:tcPr>
            <w:tcW w:w="1704" w:type="dxa"/>
            <w:vAlign w:val="center"/>
          </w:tcPr>
          <w:p w14:paraId="641413F6" w14:textId="77777777" w:rsidR="000B4CBF" w:rsidRPr="004D46AC" w:rsidRDefault="000B4CBF" w:rsidP="00B518F1">
            <w:pPr>
              <w:spacing w:line="240" w:lineRule="auto"/>
              <w:ind w:firstLine="0"/>
            </w:pPr>
            <w:r w:rsidRPr="004D46AC">
              <w:rPr>
                <w:color w:val="000000"/>
                <w:szCs w:val="21"/>
              </w:rPr>
              <w:t xml:space="preserve">-0.07 </w:t>
            </w:r>
          </w:p>
        </w:tc>
        <w:tc>
          <w:tcPr>
            <w:tcW w:w="1705" w:type="dxa"/>
            <w:vAlign w:val="center"/>
          </w:tcPr>
          <w:p w14:paraId="714EAF36" w14:textId="77777777" w:rsidR="000B4CBF" w:rsidRPr="004D46AC" w:rsidRDefault="000B4CBF" w:rsidP="00B518F1">
            <w:pPr>
              <w:spacing w:line="240" w:lineRule="auto"/>
              <w:ind w:firstLine="0"/>
            </w:pPr>
            <w:r w:rsidRPr="004D46AC">
              <w:rPr>
                <w:color w:val="000000"/>
                <w:szCs w:val="21"/>
              </w:rPr>
              <w:t xml:space="preserve">0.82 </w:t>
            </w:r>
          </w:p>
        </w:tc>
        <w:tc>
          <w:tcPr>
            <w:tcW w:w="1705" w:type="dxa"/>
            <w:vAlign w:val="center"/>
          </w:tcPr>
          <w:p w14:paraId="72A4AB91" w14:textId="77777777" w:rsidR="000B4CBF" w:rsidRPr="004D46AC" w:rsidRDefault="000B4CBF" w:rsidP="00B518F1">
            <w:pPr>
              <w:spacing w:line="240" w:lineRule="auto"/>
              <w:ind w:firstLine="0"/>
            </w:pPr>
            <w:r w:rsidRPr="004D46AC">
              <w:rPr>
                <w:color w:val="000000"/>
                <w:szCs w:val="21"/>
              </w:rPr>
              <w:t xml:space="preserve">0.13 </w:t>
            </w:r>
          </w:p>
        </w:tc>
      </w:tr>
      <w:tr w:rsidR="000B4CBF" w:rsidRPr="004D46AC" w14:paraId="3D872CD1" w14:textId="77777777" w:rsidTr="00B518F1">
        <w:tc>
          <w:tcPr>
            <w:tcW w:w="1704" w:type="dxa"/>
            <w:vAlign w:val="center"/>
          </w:tcPr>
          <w:p w14:paraId="46ACB89C" w14:textId="77777777" w:rsidR="000B4CBF" w:rsidRPr="004D46AC" w:rsidRDefault="000B4CBF" w:rsidP="00B518F1">
            <w:pPr>
              <w:spacing w:line="240" w:lineRule="auto"/>
              <w:ind w:firstLine="0"/>
            </w:pPr>
            <w:r w:rsidRPr="004D46AC">
              <w:rPr>
                <w:color w:val="000000"/>
              </w:rPr>
              <w:t>TR3--TR33</w:t>
            </w:r>
          </w:p>
        </w:tc>
        <w:tc>
          <w:tcPr>
            <w:tcW w:w="1704" w:type="dxa"/>
            <w:vAlign w:val="center"/>
          </w:tcPr>
          <w:p w14:paraId="6B330D7D" w14:textId="77777777" w:rsidR="000B4CBF" w:rsidRPr="004D46AC" w:rsidRDefault="000B4CBF" w:rsidP="00B518F1">
            <w:pPr>
              <w:spacing w:line="240" w:lineRule="auto"/>
              <w:ind w:firstLine="0"/>
            </w:pPr>
            <w:r w:rsidRPr="004D46AC">
              <w:rPr>
                <w:color w:val="000000"/>
                <w:szCs w:val="21"/>
              </w:rPr>
              <w:t xml:space="preserve">0.37 </w:t>
            </w:r>
          </w:p>
        </w:tc>
        <w:tc>
          <w:tcPr>
            <w:tcW w:w="1704" w:type="dxa"/>
            <w:vAlign w:val="center"/>
          </w:tcPr>
          <w:p w14:paraId="209965EE"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37E81621" w14:textId="77777777" w:rsidR="000B4CBF" w:rsidRPr="004D46AC" w:rsidRDefault="000B4CBF" w:rsidP="00B518F1">
            <w:pPr>
              <w:spacing w:line="240" w:lineRule="auto"/>
              <w:ind w:firstLine="0"/>
            </w:pPr>
            <w:r w:rsidRPr="004D46AC">
              <w:rPr>
                <w:color w:val="000000"/>
                <w:szCs w:val="21"/>
              </w:rPr>
              <w:t xml:space="preserve">0.91 </w:t>
            </w:r>
          </w:p>
        </w:tc>
        <w:tc>
          <w:tcPr>
            <w:tcW w:w="1705" w:type="dxa"/>
            <w:vAlign w:val="center"/>
          </w:tcPr>
          <w:p w14:paraId="5DA5D271" w14:textId="77777777" w:rsidR="000B4CBF" w:rsidRPr="004D46AC" w:rsidRDefault="000B4CBF" w:rsidP="00B518F1">
            <w:pPr>
              <w:spacing w:line="240" w:lineRule="auto"/>
              <w:ind w:firstLine="0"/>
            </w:pPr>
            <w:r w:rsidRPr="004D46AC">
              <w:rPr>
                <w:color w:val="000000"/>
                <w:szCs w:val="21"/>
              </w:rPr>
              <w:t xml:space="preserve">0.25 </w:t>
            </w:r>
          </w:p>
        </w:tc>
      </w:tr>
      <w:tr w:rsidR="000B4CBF" w:rsidRPr="004D46AC" w14:paraId="2469A9BD" w14:textId="77777777" w:rsidTr="00B518F1">
        <w:tc>
          <w:tcPr>
            <w:tcW w:w="1704" w:type="dxa"/>
            <w:vAlign w:val="center"/>
          </w:tcPr>
          <w:p w14:paraId="05CF19C2" w14:textId="77777777" w:rsidR="000B4CBF" w:rsidRPr="004D46AC" w:rsidRDefault="000B4CBF" w:rsidP="00B518F1">
            <w:pPr>
              <w:spacing w:line="240" w:lineRule="auto"/>
              <w:ind w:firstLine="0"/>
            </w:pPr>
            <w:r w:rsidRPr="004D46AC">
              <w:rPr>
                <w:color w:val="000000"/>
              </w:rPr>
              <w:t>TR12--TR37</w:t>
            </w:r>
          </w:p>
        </w:tc>
        <w:tc>
          <w:tcPr>
            <w:tcW w:w="1704" w:type="dxa"/>
            <w:vAlign w:val="center"/>
          </w:tcPr>
          <w:p w14:paraId="751BD40E" w14:textId="77777777" w:rsidR="000B4CBF" w:rsidRPr="004D46AC" w:rsidRDefault="000B4CBF" w:rsidP="00B518F1">
            <w:pPr>
              <w:spacing w:line="240" w:lineRule="auto"/>
              <w:ind w:firstLine="0"/>
            </w:pPr>
            <w:r w:rsidRPr="004D46AC">
              <w:rPr>
                <w:color w:val="000000"/>
                <w:szCs w:val="21"/>
              </w:rPr>
              <w:t xml:space="preserve">0.36 </w:t>
            </w:r>
          </w:p>
        </w:tc>
        <w:tc>
          <w:tcPr>
            <w:tcW w:w="1704" w:type="dxa"/>
            <w:vAlign w:val="center"/>
          </w:tcPr>
          <w:p w14:paraId="47A32036"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58178CA9" w14:textId="77777777" w:rsidR="000B4CBF" w:rsidRPr="004D46AC" w:rsidRDefault="000B4CBF" w:rsidP="00B518F1">
            <w:pPr>
              <w:spacing w:line="240" w:lineRule="auto"/>
              <w:ind w:firstLine="0"/>
            </w:pPr>
            <w:r w:rsidRPr="004D46AC">
              <w:rPr>
                <w:color w:val="000000"/>
                <w:szCs w:val="21"/>
              </w:rPr>
              <w:t xml:space="preserve">0.96 </w:t>
            </w:r>
          </w:p>
        </w:tc>
        <w:tc>
          <w:tcPr>
            <w:tcW w:w="1705" w:type="dxa"/>
            <w:vAlign w:val="center"/>
          </w:tcPr>
          <w:p w14:paraId="1A7C0F75" w14:textId="77777777" w:rsidR="000B4CBF" w:rsidRPr="004D46AC" w:rsidRDefault="000B4CBF" w:rsidP="00B518F1">
            <w:pPr>
              <w:spacing w:line="240" w:lineRule="auto"/>
              <w:ind w:firstLine="0"/>
            </w:pPr>
            <w:r w:rsidRPr="004D46AC">
              <w:rPr>
                <w:color w:val="000000"/>
                <w:szCs w:val="21"/>
              </w:rPr>
              <w:t xml:space="preserve">0.30 </w:t>
            </w:r>
          </w:p>
        </w:tc>
      </w:tr>
      <w:tr w:rsidR="000B4CBF" w:rsidRPr="004D46AC" w14:paraId="5D0B83F2" w14:textId="77777777" w:rsidTr="00B518F1">
        <w:tc>
          <w:tcPr>
            <w:tcW w:w="1704" w:type="dxa"/>
            <w:vAlign w:val="center"/>
          </w:tcPr>
          <w:p w14:paraId="04A16DEA" w14:textId="77777777" w:rsidR="000B4CBF" w:rsidRPr="004D46AC" w:rsidRDefault="000B4CBF" w:rsidP="00B518F1">
            <w:pPr>
              <w:spacing w:line="240" w:lineRule="auto"/>
              <w:ind w:firstLine="0"/>
            </w:pPr>
            <w:r w:rsidRPr="004D46AC">
              <w:rPr>
                <w:color w:val="000000"/>
              </w:rPr>
              <w:t>TR15--TR37</w:t>
            </w:r>
          </w:p>
        </w:tc>
        <w:tc>
          <w:tcPr>
            <w:tcW w:w="1704" w:type="dxa"/>
            <w:vAlign w:val="center"/>
          </w:tcPr>
          <w:p w14:paraId="40024A9A" w14:textId="77777777" w:rsidR="000B4CBF" w:rsidRPr="004D46AC" w:rsidRDefault="000B4CBF" w:rsidP="00B518F1">
            <w:pPr>
              <w:spacing w:line="240" w:lineRule="auto"/>
              <w:ind w:firstLine="0"/>
            </w:pPr>
            <w:r w:rsidRPr="004D46AC">
              <w:rPr>
                <w:color w:val="000000"/>
                <w:szCs w:val="21"/>
              </w:rPr>
              <w:t xml:space="preserve">0.36 </w:t>
            </w:r>
          </w:p>
        </w:tc>
        <w:tc>
          <w:tcPr>
            <w:tcW w:w="1704" w:type="dxa"/>
            <w:vAlign w:val="center"/>
          </w:tcPr>
          <w:p w14:paraId="32F4D04F" w14:textId="77777777" w:rsidR="000B4CBF" w:rsidRPr="004D46AC" w:rsidRDefault="000B4CBF" w:rsidP="00B518F1">
            <w:pPr>
              <w:spacing w:line="240" w:lineRule="auto"/>
              <w:ind w:firstLine="0"/>
            </w:pPr>
            <w:r w:rsidRPr="004D46AC">
              <w:rPr>
                <w:color w:val="000000"/>
                <w:szCs w:val="21"/>
              </w:rPr>
              <w:t xml:space="preserve">-0.09 </w:t>
            </w:r>
          </w:p>
        </w:tc>
        <w:tc>
          <w:tcPr>
            <w:tcW w:w="1705" w:type="dxa"/>
            <w:vAlign w:val="center"/>
          </w:tcPr>
          <w:p w14:paraId="74E842C8" w14:textId="77777777" w:rsidR="000B4CBF" w:rsidRPr="004D46AC" w:rsidRDefault="000B4CBF" w:rsidP="00B518F1">
            <w:pPr>
              <w:spacing w:line="240" w:lineRule="auto"/>
              <w:ind w:firstLine="0"/>
            </w:pPr>
            <w:r w:rsidRPr="004D46AC">
              <w:rPr>
                <w:color w:val="000000"/>
                <w:szCs w:val="21"/>
              </w:rPr>
              <w:t xml:space="preserve">0.81 </w:t>
            </w:r>
          </w:p>
        </w:tc>
        <w:tc>
          <w:tcPr>
            <w:tcW w:w="1705" w:type="dxa"/>
            <w:vAlign w:val="center"/>
          </w:tcPr>
          <w:p w14:paraId="0D56FBEE" w14:textId="77777777" w:rsidR="000B4CBF" w:rsidRPr="004D46AC" w:rsidRDefault="000B4CBF" w:rsidP="00B518F1">
            <w:pPr>
              <w:spacing w:line="240" w:lineRule="auto"/>
              <w:ind w:firstLine="0"/>
            </w:pPr>
            <w:r w:rsidRPr="004D46AC">
              <w:rPr>
                <w:color w:val="000000"/>
                <w:szCs w:val="21"/>
              </w:rPr>
              <w:t xml:space="preserve">0.15 </w:t>
            </w:r>
          </w:p>
        </w:tc>
      </w:tr>
      <w:tr w:rsidR="000B4CBF" w:rsidRPr="004D46AC" w14:paraId="6B6CB925" w14:textId="77777777" w:rsidTr="00B518F1">
        <w:tc>
          <w:tcPr>
            <w:tcW w:w="1704" w:type="dxa"/>
            <w:vAlign w:val="center"/>
          </w:tcPr>
          <w:p w14:paraId="1DD1B461" w14:textId="77777777" w:rsidR="000B4CBF" w:rsidRPr="004D46AC" w:rsidRDefault="000B4CBF" w:rsidP="00B518F1">
            <w:pPr>
              <w:spacing w:line="240" w:lineRule="auto"/>
              <w:ind w:firstLine="0"/>
            </w:pPr>
            <w:r w:rsidRPr="004D46AC">
              <w:rPr>
                <w:color w:val="000000"/>
              </w:rPr>
              <w:t>TR20--TR22</w:t>
            </w:r>
          </w:p>
        </w:tc>
        <w:tc>
          <w:tcPr>
            <w:tcW w:w="1704" w:type="dxa"/>
            <w:vAlign w:val="center"/>
          </w:tcPr>
          <w:p w14:paraId="1101C26F" w14:textId="77777777" w:rsidR="000B4CBF" w:rsidRPr="004D46AC" w:rsidRDefault="000B4CBF" w:rsidP="00B518F1">
            <w:pPr>
              <w:spacing w:line="240" w:lineRule="auto"/>
              <w:ind w:firstLine="0"/>
            </w:pPr>
            <w:r w:rsidRPr="004D46AC">
              <w:rPr>
                <w:color w:val="000000"/>
                <w:szCs w:val="21"/>
              </w:rPr>
              <w:t xml:space="preserve">0.36 </w:t>
            </w:r>
          </w:p>
        </w:tc>
        <w:tc>
          <w:tcPr>
            <w:tcW w:w="1704" w:type="dxa"/>
            <w:vAlign w:val="center"/>
          </w:tcPr>
          <w:p w14:paraId="0B8CE3F6" w14:textId="77777777" w:rsidR="000B4CBF" w:rsidRPr="004D46AC" w:rsidRDefault="000B4CBF" w:rsidP="00B518F1">
            <w:pPr>
              <w:spacing w:line="240" w:lineRule="auto"/>
              <w:ind w:firstLine="0"/>
            </w:pPr>
            <w:r w:rsidRPr="004D46AC">
              <w:rPr>
                <w:color w:val="000000"/>
                <w:szCs w:val="21"/>
              </w:rPr>
              <w:t xml:space="preserve">-0.08 </w:t>
            </w:r>
          </w:p>
        </w:tc>
        <w:tc>
          <w:tcPr>
            <w:tcW w:w="1705" w:type="dxa"/>
            <w:vAlign w:val="center"/>
          </w:tcPr>
          <w:p w14:paraId="3711FA5B" w14:textId="77777777" w:rsidR="000B4CBF" w:rsidRPr="004D46AC" w:rsidRDefault="000B4CBF" w:rsidP="00B518F1">
            <w:pPr>
              <w:spacing w:line="240" w:lineRule="auto"/>
              <w:ind w:firstLine="0"/>
            </w:pPr>
            <w:r w:rsidRPr="004D46AC">
              <w:rPr>
                <w:color w:val="000000"/>
                <w:szCs w:val="21"/>
              </w:rPr>
              <w:t xml:space="preserve">0.80 </w:t>
            </w:r>
          </w:p>
        </w:tc>
        <w:tc>
          <w:tcPr>
            <w:tcW w:w="1705" w:type="dxa"/>
            <w:vAlign w:val="center"/>
          </w:tcPr>
          <w:p w14:paraId="47BE526B" w14:textId="77777777" w:rsidR="000B4CBF" w:rsidRPr="004D46AC" w:rsidRDefault="000B4CBF" w:rsidP="00B518F1">
            <w:pPr>
              <w:spacing w:line="240" w:lineRule="auto"/>
              <w:ind w:firstLine="0"/>
            </w:pPr>
            <w:r w:rsidRPr="004D46AC">
              <w:rPr>
                <w:color w:val="000000"/>
                <w:szCs w:val="21"/>
              </w:rPr>
              <w:t xml:space="preserve">0.11 </w:t>
            </w:r>
          </w:p>
        </w:tc>
      </w:tr>
      <w:tr w:rsidR="000B4CBF" w:rsidRPr="004D46AC" w14:paraId="07C65FAA" w14:textId="77777777" w:rsidTr="00B518F1">
        <w:tc>
          <w:tcPr>
            <w:tcW w:w="1704" w:type="dxa"/>
            <w:vAlign w:val="center"/>
          </w:tcPr>
          <w:p w14:paraId="4507BE52" w14:textId="77777777" w:rsidR="000B4CBF" w:rsidRPr="004D46AC" w:rsidRDefault="000B4CBF" w:rsidP="00B518F1">
            <w:pPr>
              <w:spacing w:line="240" w:lineRule="auto"/>
              <w:ind w:firstLine="0"/>
            </w:pPr>
            <w:r w:rsidRPr="004D46AC">
              <w:rPr>
                <w:color w:val="000000"/>
              </w:rPr>
              <w:t>TR23--TR18</w:t>
            </w:r>
          </w:p>
        </w:tc>
        <w:tc>
          <w:tcPr>
            <w:tcW w:w="1704" w:type="dxa"/>
            <w:vAlign w:val="center"/>
          </w:tcPr>
          <w:p w14:paraId="551D2F9F" w14:textId="77777777" w:rsidR="000B4CBF" w:rsidRPr="004D46AC" w:rsidRDefault="000B4CBF" w:rsidP="00B518F1">
            <w:pPr>
              <w:spacing w:line="240" w:lineRule="auto"/>
              <w:ind w:firstLine="0"/>
            </w:pPr>
            <w:r w:rsidRPr="004D46AC">
              <w:rPr>
                <w:color w:val="000000"/>
                <w:szCs w:val="21"/>
              </w:rPr>
              <w:t xml:space="preserve">0.36 </w:t>
            </w:r>
          </w:p>
        </w:tc>
        <w:tc>
          <w:tcPr>
            <w:tcW w:w="1704" w:type="dxa"/>
            <w:vAlign w:val="center"/>
          </w:tcPr>
          <w:p w14:paraId="5BB8CCD0"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5B963089" w14:textId="77777777" w:rsidR="000B4CBF" w:rsidRPr="004D46AC" w:rsidRDefault="000B4CBF" w:rsidP="00B518F1">
            <w:pPr>
              <w:spacing w:line="240" w:lineRule="auto"/>
              <w:ind w:firstLine="0"/>
            </w:pPr>
            <w:r w:rsidRPr="004D46AC">
              <w:rPr>
                <w:color w:val="000000"/>
                <w:szCs w:val="21"/>
              </w:rPr>
              <w:t xml:space="preserve">0.85 </w:t>
            </w:r>
          </w:p>
        </w:tc>
        <w:tc>
          <w:tcPr>
            <w:tcW w:w="1705" w:type="dxa"/>
            <w:vAlign w:val="center"/>
          </w:tcPr>
          <w:p w14:paraId="2BD0E3F8" w14:textId="77777777" w:rsidR="000B4CBF" w:rsidRPr="004D46AC" w:rsidRDefault="000B4CBF" w:rsidP="00B518F1">
            <w:pPr>
              <w:spacing w:line="240" w:lineRule="auto"/>
              <w:ind w:firstLine="0"/>
            </w:pPr>
            <w:r w:rsidRPr="004D46AC">
              <w:rPr>
                <w:color w:val="000000"/>
                <w:szCs w:val="21"/>
              </w:rPr>
              <w:t xml:space="preserve">0.21 </w:t>
            </w:r>
          </w:p>
        </w:tc>
      </w:tr>
      <w:tr w:rsidR="000B4CBF" w:rsidRPr="004D46AC" w14:paraId="02C1015E" w14:textId="77777777" w:rsidTr="00B518F1">
        <w:tc>
          <w:tcPr>
            <w:tcW w:w="1704" w:type="dxa"/>
            <w:vAlign w:val="center"/>
          </w:tcPr>
          <w:p w14:paraId="6050A392" w14:textId="77777777" w:rsidR="000B4CBF" w:rsidRPr="004D46AC" w:rsidRDefault="000B4CBF" w:rsidP="00B518F1">
            <w:pPr>
              <w:spacing w:line="240" w:lineRule="auto"/>
              <w:ind w:firstLine="0"/>
            </w:pPr>
            <w:r w:rsidRPr="004D46AC">
              <w:rPr>
                <w:color w:val="000000"/>
              </w:rPr>
              <w:t>TR9--TR30</w:t>
            </w:r>
          </w:p>
        </w:tc>
        <w:tc>
          <w:tcPr>
            <w:tcW w:w="1704" w:type="dxa"/>
            <w:vAlign w:val="center"/>
          </w:tcPr>
          <w:p w14:paraId="109FF554" w14:textId="77777777" w:rsidR="000B4CBF" w:rsidRPr="004D46AC" w:rsidRDefault="000B4CBF" w:rsidP="00B518F1">
            <w:pPr>
              <w:spacing w:line="240" w:lineRule="auto"/>
              <w:ind w:firstLine="0"/>
            </w:pPr>
            <w:r w:rsidRPr="004D46AC">
              <w:rPr>
                <w:color w:val="000000"/>
                <w:szCs w:val="21"/>
              </w:rPr>
              <w:t xml:space="preserve">0.35 </w:t>
            </w:r>
          </w:p>
        </w:tc>
        <w:tc>
          <w:tcPr>
            <w:tcW w:w="1704" w:type="dxa"/>
            <w:vAlign w:val="center"/>
          </w:tcPr>
          <w:p w14:paraId="63935076" w14:textId="77777777" w:rsidR="000B4CBF" w:rsidRPr="004D46AC" w:rsidRDefault="000B4CBF" w:rsidP="00B518F1">
            <w:pPr>
              <w:spacing w:line="240" w:lineRule="auto"/>
              <w:ind w:firstLine="0"/>
            </w:pPr>
            <w:r w:rsidRPr="004D46AC">
              <w:rPr>
                <w:color w:val="000000"/>
                <w:szCs w:val="21"/>
              </w:rPr>
              <w:t xml:space="preserve">-0.13 </w:t>
            </w:r>
          </w:p>
        </w:tc>
        <w:tc>
          <w:tcPr>
            <w:tcW w:w="1705" w:type="dxa"/>
            <w:vAlign w:val="center"/>
          </w:tcPr>
          <w:p w14:paraId="25829A82" w14:textId="77777777" w:rsidR="000B4CBF" w:rsidRPr="004D46AC" w:rsidRDefault="000B4CBF" w:rsidP="00B518F1">
            <w:pPr>
              <w:spacing w:line="240" w:lineRule="auto"/>
              <w:ind w:firstLine="0"/>
            </w:pPr>
            <w:r w:rsidRPr="004D46AC">
              <w:rPr>
                <w:color w:val="000000"/>
                <w:szCs w:val="21"/>
              </w:rPr>
              <w:t xml:space="preserve">0.84 </w:t>
            </w:r>
          </w:p>
        </w:tc>
        <w:tc>
          <w:tcPr>
            <w:tcW w:w="1705" w:type="dxa"/>
            <w:vAlign w:val="center"/>
          </w:tcPr>
          <w:p w14:paraId="1E6E2653" w14:textId="77777777" w:rsidR="000B4CBF" w:rsidRPr="004D46AC" w:rsidRDefault="000B4CBF" w:rsidP="00B518F1">
            <w:pPr>
              <w:spacing w:line="240" w:lineRule="auto"/>
              <w:ind w:firstLine="0"/>
            </w:pPr>
            <w:r w:rsidRPr="004D46AC">
              <w:rPr>
                <w:color w:val="000000"/>
                <w:szCs w:val="21"/>
              </w:rPr>
              <w:t xml:space="preserve">0.17 </w:t>
            </w:r>
          </w:p>
        </w:tc>
      </w:tr>
      <w:tr w:rsidR="000B4CBF" w:rsidRPr="004D46AC" w14:paraId="752C3FA7" w14:textId="77777777" w:rsidTr="00B518F1">
        <w:tc>
          <w:tcPr>
            <w:tcW w:w="1704" w:type="dxa"/>
            <w:vAlign w:val="center"/>
          </w:tcPr>
          <w:p w14:paraId="415E2400" w14:textId="77777777" w:rsidR="000B4CBF" w:rsidRPr="004D46AC" w:rsidRDefault="000B4CBF" w:rsidP="00B518F1">
            <w:pPr>
              <w:spacing w:line="240" w:lineRule="auto"/>
              <w:ind w:firstLine="0"/>
            </w:pPr>
            <w:r w:rsidRPr="004D46AC">
              <w:rPr>
                <w:color w:val="000000"/>
              </w:rPr>
              <w:t>TR33--TR20</w:t>
            </w:r>
          </w:p>
        </w:tc>
        <w:tc>
          <w:tcPr>
            <w:tcW w:w="1704" w:type="dxa"/>
            <w:vAlign w:val="center"/>
          </w:tcPr>
          <w:p w14:paraId="5397FE53" w14:textId="77777777" w:rsidR="000B4CBF" w:rsidRPr="004D46AC" w:rsidRDefault="000B4CBF" w:rsidP="00B518F1">
            <w:pPr>
              <w:spacing w:line="240" w:lineRule="auto"/>
              <w:ind w:firstLine="0"/>
            </w:pPr>
            <w:r w:rsidRPr="004D46AC">
              <w:rPr>
                <w:color w:val="000000"/>
                <w:szCs w:val="21"/>
              </w:rPr>
              <w:t xml:space="preserve">0.35 </w:t>
            </w:r>
          </w:p>
        </w:tc>
        <w:tc>
          <w:tcPr>
            <w:tcW w:w="1704" w:type="dxa"/>
            <w:vAlign w:val="center"/>
          </w:tcPr>
          <w:p w14:paraId="09049D55" w14:textId="77777777" w:rsidR="000B4CBF" w:rsidRPr="004D46AC" w:rsidRDefault="000B4CBF" w:rsidP="00B518F1">
            <w:pPr>
              <w:spacing w:line="240" w:lineRule="auto"/>
              <w:ind w:firstLine="0"/>
            </w:pPr>
            <w:r w:rsidRPr="004D46AC">
              <w:rPr>
                <w:color w:val="000000"/>
                <w:szCs w:val="21"/>
              </w:rPr>
              <w:t xml:space="preserve">-0.08 </w:t>
            </w:r>
          </w:p>
        </w:tc>
        <w:tc>
          <w:tcPr>
            <w:tcW w:w="1705" w:type="dxa"/>
            <w:vAlign w:val="center"/>
          </w:tcPr>
          <w:p w14:paraId="11147DEE" w14:textId="77777777" w:rsidR="000B4CBF" w:rsidRPr="004D46AC" w:rsidRDefault="000B4CBF" w:rsidP="00B518F1">
            <w:pPr>
              <w:spacing w:line="240" w:lineRule="auto"/>
              <w:ind w:firstLine="0"/>
            </w:pPr>
            <w:r w:rsidRPr="004D46AC">
              <w:rPr>
                <w:color w:val="000000"/>
                <w:szCs w:val="21"/>
              </w:rPr>
              <w:t xml:space="preserve">0.78 </w:t>
            </w:r>
          </w:p>
        </w:tc>
        <w:tc>
          <w:tcPr>
            <w:tcW w:w="1705" w:type="dxa"/>
            <w:vAlign w:val="center"/>
          </w:tcPr>
          <w:p w14:paraId="5A2FC1D7"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7CB677B0" w14:textId="77777777" w:rsidTr="00B518F1">
        <w:tc>
          <w:tcPr>
            <w:tcW w:w="1704" w:type="dxa"/>
            <w:vAlign w:val="center"/>
          </w:tcPr>
          <w:p w14:paraId="3D92CEBF" w14:textId="77777777" w:rsidR="000B4CBF" w:rsidRPr="004D46AC" w:rsidRDefault="000B4CBF" w:rsidP="00B518F1">
            <w:pPr>
              <w:spacing w:line="240" w:lineRule="auto"/>
              <w:ind w:firstLine="0"/>
            </w:pPr>
            <w:r w:rsidRPr="004D46AC">
              <w:rPr>
                <w:color w:val="000000"/>
              </w:rPr>
              <w:t>TR26--TR33</w:t>
            </w:r>
          </w:p>
        </w:tc>
        <w:tc>
          <w:tcPr>
            <w:tcW w:w="1704" w:type="dxa"/>
            <w:vAlign w:val="center"/>
          </w:tcPr>
          <w:p w14:paraId="44125093" w14:textId="77777777" w:rsidR="000B4CBF" w:rsidRPr="004D46AC" w:rsidRDefault="000B4CBF" w:rsidP="00B518F1">
            <w:pPr>
              <w:spacing w:line="240" w:lineRule="auto"/>
              <w:ind w:firstLine="0"/>
            </w:pPr>
            <w:r w:rsidRPr="004D46AC">
              <w:rPr>
                <w:color w:val="000000"/>
                <w:szCs w:val="21"/>
              </w:rPr>
              <w:t xml:space="preserve">0.35 </w:t>
            </w:r>
          </w:p>
        </w:tc>
        <w:tc>
          <w:tcPr>
            <w:tcW w:w="1704" w:type="dxa"/>
            <w:vAlign w:val="center"/>
          </w:tcPr>
          <w:p w14:paraId="0DA9F36B" w14:textId="77777777" w:rsidR="000B4CBF" w:rsidRPr="004D46AC" w:rsidRDefault="000B4CBF" w:rsidP="00B518F1">
            <w:pPr>
              <w:spacing w:line="240" w:lineRule="auto"/>
              <w:ind w:firstLine="0"/>
            </w:pPr>
            <w:r w:rsidRPr="004D46AC">
              <w:rPr>
                <w:color w:val="000000"/>
                <w:szCs w:val="21"/>
              </w:rPr>
              <w:t xml:space="preserve">-0.08 </w:t>
            </w:r>
          </w:p>
        </w:tc>
        <w:tc>
          <w:tcPr>
            <w:tcW w:w="1705" w:type="dxa"/>
            <w:vAlign w:val="center"/>
          </w:tcPr>
          <w:p w14:paraId="4BEC0572" w14:textId="77777777" w:rsidR="000B4CBF" w:rsidRPr="004D46AC" w:rsidRDefault="000B4CBF" w:rsidP="00B518F1">
            <w:pPr>
              <w:spacing w:line="240" w:lineRule="auto"/>
              <w:ind w:firstLine="0"/>
            </w:pPr>
            <w:r w:rsidRPr="004D46AC">
              <w:rPr>
                <w:color w:val="000000"/>
                <w:szCs w:val="21"/>
              </w:rPr>
              <w:t xml:space="preserve">0.77 </w:t>
            </w:r>
          </w:p>
        </w:tc>
        <w:tc>
          <w:tcPr>
            <w:tcW w:w="1705" w:type="dxa"/>
            <w:vAlign w:val="center"/>
          </w:tcPr>
          <w:p w14:paraId="3899BB62"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6EB26A03" w14:textId="77777777" w:rsidTr="00B518F1">
        <w:tc>
          <w:tcPr>
            <w:tcW w:w="1704" w:type="dxa"/>
            <w:vAlign w:val="center"/>
          </w:tcPr>
          <w:p w14:paraId="7F1A9A03" w14:textId="77777777" w:rsidR="000B4CBF" w:rsidRPr="004D46AC" w:rsidRDefault="000B4CBF" w:rsidP="00B518F1">
            <w:pPr>
              <w:spacing w:line="240" w:lineRule="auto"/>
              <w:ind w:firstLine="0"/>
            </w:pPr>
            <w:r w:rsidRPr="004D46AC">
              <w:rPr>
                <w:color w:val="000000"/>
              </w:rPr>
              <w:t>TR29--TR33</w:t>
            </w:r>
          </w:p>
        </w:tc>
        <w:tc>
          <w:tcPr>
            <w:tcW w:w="1704" w:type="dxa"/>
            <w:vAlign w:val="center"/>
          </w:tcPr>
          <w:p w14:paraId="3A9367B1" w14:textId="77777777" w:rsidR="000B4CBF" w:rsidRPr="004D46AC" w:rsidRDefault="000B4CBF" w:rsidP="00B518F1">
            <w:pPr>
              <w:spacing w:line="240" w:lineRule="auto"/>
              <w:ind w:firstLine="0"/>
            </w:pPr>
            <w:r w:rsidRPr="004D46AC">
              <w:rPr>
                <w:color w:val="000000"/>
                <w:szCs w:val="21"/>
              </w:rPr>
              <w:t xml:space="preserve">0.33 </w:t>
            </w:r>
          </w:p>
        </w:tc>
        <w:tc>
          <w:tcPr>
            <w:tcW w:w="1704" w:type="dxa"/>
            <w:vAlign w:val="center"/>
          </w:tcPr>
          <w:p w14:paraId="43FDBBDB" w14:textId="77777777" w:rsidR="000B4CBF" w:rsidRPr="004D46AC" w:rsidRDefault="000B4CBF" w:rsidP="00B518F1">
            <w:pPr>
              <w:spacing w:line="240" w:lineRule="auto"/>
              <w:ind w:firstLine="0"/>
            </w:pPr>
            <w:r w:rsidRPr="004D46AC">
              <w:rPr>
                <w:color w:val="000000"/>
                <w:szCs w:val="21"/>
              </w:rPr>
              <w:t xml:space="preserve">-0.13 </w:t>
            </w:r>
          </w:p>
        </w:tc>
        <w:tc>
          <w:tcPr>
            <w:tcW w:w="1705" w:type="dxa"/>
            <w:vAlign w:val="center"/>
          </w:tcPr>
          <w:p w14:paraId="781C9021" w14:textId="77777777" w:rsidR="000B4CBF" w:rsidRPr="004D46AC" w:rsidRDefault="000B4CBF" w:rsidP="00B518F1">
            <w:pPr>
              <w:spacing w:line="240" w:lineRule="auto"/>
              <w:ind w:firstLine="0"/>
            </w:pPr>
            <w:r w:rsidRPr="004D46AC">
              <w:rPr>
                <w:color w:val="000000"/>
                <w:szCs w:val="21"/>
              </w:rPr>
              <w:t xml:space="preserve">0.80 </w:t>
            </w:r>
          </w:p>
        </w:tc>
        <w:tc>
          <w:tcPr>
            <w:tcW w:w="1705" w:type="dxa"/>
            <w:vAlign w:val="center"/>
          </w:tcPr>
          <w:p w14:paraId="7AD23E71" w14:textId="77777777" w:rsidR="000B4CBF" w:rsidRPr="004D46AC" w:rsidRDefault="000B4CBF" w:rsidP="00B518F1">
            <w:pPr>
              <w:spacing w:line="240" w:lineRule="auto"/>
              <w:ind w:firstLine="0"/>
            </w:pPr>
            <w:r w:rsidRPr="004D46AC">
              <w:rPr>
                <w:color w:val="000000"/>
                <w:szCs w:val="21"/>
              </w:rPr>
              <w:t xml:space="preserve">0.19 </w:t>
            </w:r>
          </w:p>
        </w:tc>
      </w:tr>
      <w:tr w:rsidR="000B4CBF" w:rsidRPr="004D46AC" w14:paraId="6228CEB3" w14:textId="77777777" w:rsidTr="00B518F1">
        <w:tc>
          <w:tcPr>
            <w:tcW w:w="1704" w:type="dxa"/>
            <w:vAlign w:val="center"/>
          </w:tcPr>
          <w:p w14:paraId="4D99E3C2" w14:textId="77777777" w:rsidR="000B4CBF" w:rsidRPr="004D46AC" w:rsidRDefault="000B4CBF" w:rsidP="00B518F1">
            <w:pPr>
              <w:spacing w:line="240" w:lineRule="auto"/>
              <w:ind w:firstLine="0"/>
            </w:pPr>
            <w:r w:rsidRPr="004D46AC">
              <w:rPr>
                <w:color w:val="000000"/>
              </w:rPr>
              <w:t>TR12--TR24</w:t>
            </w:r>
          </w:p>
        </w:tc>
        <w:tc>
          <w:tcPr>
            <w:tcW w:w="1704" w:type="dxa"/>
            <w:vAlign w:val="center"/>
          </w:tcPr>
          <w:p w14:paraId="23C36E42" w14:textId="77777777" w:rsidR="000B4CBF" w:rsidRPr="004D46AC" w:rsidRDefault="000B4CBF" w:rsidP="00B518F1">
            <w:pPr>
              <w:spacing w:line="240" w:lineRule="auto"/>
              <w:ind w:firstLine="0"/>
            </w:pPr>
            <w:r w:rsidRPr="004D46AC">
              <w:rPr>
                <w:color w:val="000000"/>
                <w:szCs w:val="21"/>
              </w:rPr>
              <w:t xml:space="preserve">0.33 </w:t>
            </w:r>
          </w:p>
        </w:tc>
        <w:tc>
          <w:tcPr>
            <w:tcW w:w="1704" w:type="dxa"/>
            <w:vAlign w:val="center"/>
          </w:tcPr>
          <w:p w14:paraId="1B699938"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3D27B882" w14:textId="77777777" w:rsidR="000B4CBF" w:rsidRPr="004D46AC" w:rsidRDefault="000B4CBF" w:rsidP="00B518F1">
            <w:pPr>
              <w:spacing w:line="240" w:lineRule="auto"/>
              <w:ind w:firstLine="0"/>
            </w:pPr>
            <w:r w:rsidRPr="004D46AC">
              <w:rPr>
                <w:color w:val="000000"/>
                <w:szCs w:val="21"/>
              </w:rPr>
              <w:t xml:space="preserve">0.90 </w:t>
            </w:r>
          </w:p>
        </w:tc>
        <w:tc>
          <w:tcPr>
            <w:tcW w:w="1705" w:type="dxa"/>
            <w:vAlign w:val="center"/>
          </w:tcPr>
          <w:p w14:paraId="37DE31C9" w14:textId="77777777" w:rsidR="000B4CBF" w:rsidRPr="004D46AC" w:rsidRDefault="000B4CBF" w:rsidP="00B518F1">
            <w:pPr>
              <w:spacing w:line="240" w:lineRule="auto"/>
              <w:ind w:firstLine="0"/>
            </w:pPr>
            <w:r w:rsidRPr="004D46AC">
              <w:rPr>
                <w:color w:val="000000"/>
                <w:szCs w:val="21"/>
              </w:rPr>
              <w:t xml:space="preserve">0.31 </w:t>
            </w:r>
          </w:p>
        </w:tc>
      </w:tr>
      <w:tr w:rsidR="000B4CBF" w:rsidRPr="004D46AC" w14:paraId="396DACF5" w14:textId="77777777" w:rsidTr="00B518F1">
        <w:tc>
          <w:tcPr>
            <w:tcW w:w="1704" w:type="dxa"/>
            <w:vAlign w:val="center"/>
          </w:tcPr>
          <w:p w14:paraId="528E8B55" w14:textId="77777777" w:rsidR="000B4CBF" w:rsidRPr="004D46AC" w:rsidRDefault="000B4CBF" w:rsidP="00B518F1">
            <w:pPr>
              <w:spacing w:line="240" w:lineRule="auto"/>
              <w:ind w:firstLine="0"/>
            </w:pPr>
            <w:r w:rsidRPr="004D46AC">
              <w:rPr>
                <w:color w:val="000000"/>
              </w:rPr>
              <w:t>TR23--TR26</w:t>
            </w:r>
          </w:p>
        </w:tc>
        <w:tc>
          <w:tcPr>
            <w:tcW w:w="1704" w:type="dxa"/>
            <w:vAlign w:val="center"/>
          </w:tcPr>
          <w:p w14:paraId="418421B5" w14:textId="77777777" w:rsidR="000B4CBF" w:rsidRPr="004D46AC" w:rsidRDefault="000B4CBF" w:rsidP="00B518F1">
            <w:pPr>
              <w:spacing w:line="240" w:lineRule="auto"/>
              <w:ind w:firstLine="0"/>
            </w:pPr>
            <w:r w:rsidRPr="004D46AC">
              <w:rPr>
                <w:color w:val="000000"/>
                <w:szCs w:val="21"/>
              </w:rPr>
              <w:t xml:space="preserve">0.30 </w:t>
            </w:r>
          </w:p>
        </w:tc>
        <w:tc>
          <w:tcPr>
            <w:tcW w:w="1704" w:type="dxa"/>
            <w:vAlign w:val="center"/>
          </w:tcPr>
          <w:p w14:paraId="050DF0D4"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02DCA0DA" w14:textId="77777777" w:rsidR="000B4CBF" w:rsidRPr="004D46AC" w:rsidRDefault="000B4CBF" w:rsidP="00B518F1">
            <w:pPr>
              <w:spacing w:line="240" w:lineRule="auto"/>
              <w:ind w:firstLine="0"/>
            </w:pPr>
            <w:r w:rsidRPr="004D46AC">
              <w:rPr>
                <w:color w:val="000000"/>
                <w:szCs w:val="21"/>
              </w:rPr>
              <w:t xml:space="preserve">0.75 </w:t>
            </w:r>
          </w:p>
        </w:tc>
        <w:tc>
          <w:tcPr>
            <w:tcW w:w="1705" w:type="dxa"/>
            <w:vAlign w:val="center"/>
          </w:tcPr>
          <w:p w14:paraId="651388A2" w14:textId="77777777" w:rsidR="000B4CBF" w:rsidRPr="004D46AC" w:rsidRDefault="000B4CBF" w:rsidP="00B518F1">
            <w:pPr>
              <w:spacing w:line="240" w:lineRule="auto"/>
              <w:ind w:firstLine="0"/>
            </w:pPr>
            <w:r w:rsidRPr="004D46AC">
              <w:rPr>
                <w:color w:val="000000"/>
                <w:szCs w:val="21"/>
              </w:rPr>
              <w:t xml:space="preserve">0.22 </w:t>
            </w:r>
          </w:p>
        </w:tc>
      </w:tr>
      <w:tr w:rsidR="000B4CBF" w:rsidRPr="004D46AC" w14:paraId="5C6D784E" w14:textId="77777777" w:rsidTr="00B518F1">
        <w:tc>
          <w:tcPr>
            <w:tcW w:w="1704" w:type="dxa"/>
            <w:vAlign w:val="center"/>
          </w:tcPr>
          <w:p w14:paraId="3F911862" w14:textId="77777777" w:rsidR="000B4CBF" w:rsidRPr="004D46AC" w:rsidRDefault="000B4CBF" w:rsidP="00B518F1">
            <w:pPr>
              <w:spacing w:line="240" w:lineRule="auto"/>
              <w:ind w:firstLine="0"/>
            </w:pPr>
            <w:r w:rsidRPr="004D46AC">
              <w:rPr>
                <w:color w:val="000000"/>
              </w:rPr>
              <w:t>TR21--TR22</w:t>
            </w:r>
          </w:p>
        </w:tc>
        <w:tc>
          <w:tcPr>
            <w:tcW w:w="1704" w:type="dxa"/>
            <w:vAlign w:val="center"/>
          </w:tcPr>
          <w:p w14:paraId="3C61383A" w14:textId="77777777" w:rsidR="000B4CBF" w:rsidRPr="004D46AC" w:rsidRDefault="000B4CBF" w:rsidP="00B518F1">
            <w:pPr>
              <w:spacing w:line="240" w:lineRule="auto"/>
              <w:ind w:firstLine="0"/>
            </w:pPr>
            <w:r w:rsidRPr="004D46AC">
              <w:rPr>
                <w:color w:val="000000"/>
                <w:szCs w:val="21"/>
              </w:rPr>
              <w:t xml:space="preserve">0.30 </w:t>
            </w:r>
          </w:p>
        </w:tc>
        <w:tc>
          <w:tcPr>
            <w:tcW w:w="1704" w:type="dxa"/>
            <w:vAlign w:val="center"/>
          </w:tcPr>
          <w:p w14:paraId="78B6CDA0"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17FB7B0C" w14:textId="77777777" w:rsidR="000B4CBF" w:rsidRPr="004D46AC" w:rsidRDefault="000B4CBF" w:rsidP="00B518F1">
            <w:pPr>
              <w:spacing w:line="240" w:lineRule="auto"/>
              <w:ind w:firstLine="0"/>
            </w:pPr>
            <w:r w:rsidRPr="004D46AC">
              <w:rPr>
                <w:color w:val="000000"/>
                <w:szCs w:val="21"/>
              </w:rPr>
              <w:t xml:space="preserve">0.74 </w:t>
            </w:r>
          </w:p>
        </w:tc>
        <w:tc>
          <w:tcPr>
            <w:tcW w:w="1705" w:type="dxa"/>
            <w:vAlign w:val="center"/>
          </w:tcPr>
          <w:p w14:paraId="25AC4205" w14:textId="77777777" w:rsidR="000B4CBF" w:rsidRPr="004D46AC" w:rsidRDefault="000B4CBF" w:rsidP="00B518F1">
            <w:pPr>
              <w:spacing w:line="240" w:lineRule="auto"/>
              <w:ind w:firstLine="0"/>
            </w:pPr>
            <w:r w:rsidRPr="004D46AC">
              <w:rPr>
                <w:color w:val="000000"/>
                <w:szCs w:val="21"/>
              </w:rPr>
              <w:t xml:space="preserve">0.18 </w:t>
            </w:r>
          </w:p>
        </w:tc>
      </w:tr>
      <w:tr w:rsidR="000B4CBF" w:rsidRPr="004D46AC" w14:paraId="5430FB46" w14:textId="77777777" w:rsidTr="00B518F1">
        <w:tc>
          <w:tcPr>
            <w:tcW w:w="1704" w:type="dxa"/>
            <w:vAlign w:val="center"/>
          </w:tcPr>
          <w:p w14:paraId="6EAD34E8" w14:textId="77777777" w:rsidR="000B4CBF" w:rsidRPr="004D46AC" w:rsidRDefault="000B4CBF" w:rsidP="00B518F1">
            <w:pPr>
              <w:spacing w:line="240" w:lineRule="auto"/>
              <w:ind w:firstLine="0"/>
            </w:pPr>
            <w:r w:rsidRPr="004D46AC">
              <w:rPr>
                <w:color w:val="000000"/>
              </w:rPr>
              <w:t>TR9--TR22</w:t>
            </w:r>
          </w:p>
        </w:tc>
        <w:tc>
          <w:tcPr>
            <w:tcW w:w="1704" w:type="dxa"/>
            <w:vAlign w:val="center"/>
          </w:tcPr>
          <w:p w14:paraId="05D389B1"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1F5603E0"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41DF612C" w14:textId="77777777" w:rsidR="000B4CBF" w:rsidRPr="004D46AC" w:rsidRDefault="000B4CBF" w:rsidP="00B518F1">
            <w:pPr>
              <w:spacing w:line="240" w:lineRule="auto"/>
              <w:ind w:firstLine="0"/>
            </w:pPr>
            <w:r w:rsidRPr="004D46AC">
              <w:rPr>
                <w:color w:val="000000"/>
                <w:szCs w:val="21"/>
              </w:rPr>
              <w:t xml:space="preserve">0.73 </w:t>
            </w:r>
          </w:p>
        </w:tc>
        <w:tc>
          <w:tcPr>
            <w:tcW w:w="1705" w:type="dxa"/>
            <w:vAlign w:val="center"/>
          </w:tcPr>
          <w:p w14:paraId="319FA2B0" w14:textId="77777777" w:rsidR="000B4CBF" w:rsidRPr="004D46AC" w:rsidRDefault="000B4CBF" w:rsidP="00B518F1">
            <w:pPr>
              <w:spacing w:line="240" w:lineRule="auto"/>
              <w:ind w:firstLine="0"/>
            </w:pPr>
            <w:r w:rsidRPr="004D46AC">
              <w:rPr>
                <w:color w:val="000000"/>
                <w:szCs w:val="21"/>
              </w:rPr>
              <w:t xml:space="preserve">0.20 </w:t>
            </w:r>
          </w:p>
        </w:tc>
      </w:tr>
      <w:tr w:rsidR="000B4CBF" w:rsidRPr="004D46AC" w14:paraId="5C703E77" w14:textId="77777777" w:rsidTr="00B518F1">
        <w:tc>
          <w:tcPr>
            <w:tcW w:w="1704" w:type="dxa"/>
            <w:vAlign w:val="center"/>
          </w:tcPr>
          <w:p w14:paraId="76249540" w14:textId="77777777" w:rsidR="000B4CBF" w:rsidRPr="004D46AC" w:rsidRDefault="000B4CBF" w:rsidP="00B518F1">
            <w:pPr>
              <w:spacing w:line="240" w:lineRule="auto"/>
              <w:ind w:firstLine="0"/>
            </w:pPr>
            <w:r w:rsidRPr="004D46AC">
              <w:rPr>
                <w:color w:val="000000"/>
              </w:rPr>
              <w:t>TR27--TR37</w:t>
            </w:r>
          </w:p>
        </w:tc>
        <w:tc>
          <w:tcPr>
            <w:tcW w:w="1704" w:type="dxa"/>
            <w:vAlign w:val="center"/>
          </w:tcPr>
          <w:p w14:paraId="747EBCDF"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3D20A455" w14:textId="77777777" w:rsidR="000B4CBF" w:rsidRPr="004D46AC" w:rsidRDefault="000B4CBF" w:rsidP="00B518F1">
            <w:pPr>
              <w:spacing w:line="240" w:lineRule="auto"/>
              <w:ind w:firstLine="0"/>
            </w:pPr>
            <w:r w:rsidRPr="004D46AC">
              <w:rPr>
                <w:color w:val="000000"/>
                <w:szCs w:val="21"/>
              </w:rPr>
              <w:t xml:space="preserve">-0.11 </w:t>
            </w:r>
          </w:p>
        </w:tc>
        <w:tc>
          <w:tcPr>
            <w:tcW w:w="1705" w:type="dxa"/>
            <w:vAlign w:val="center"/>
          </w:tcPr>
          <w:p w14:paraId="284D2B52" w14:textId="77777777" w:rsidR="000B4CBF" w:rsidRPr="004D46AC" w:rsidRDefault="000B4CBF" w:rsidP="00B518F1">
            <w:pPr>
              <w:spacing w:line="240" w:lineRule="auto"/>
              <w:ind w:firstLine="0"/>
            </w:pPr>
            <w:r w:rsidRPr="004D46AC">
              <w:rPr>
                <w:color w:val="000000"/>
                <w:szCs w:val="21"/>
              </w:rPr>
              <w:t xml:space="preserve">0.69 </w:t>
            </w:r>
          </w:p>
        </w:tc>
        <w:tc>
          <w:tcPr>
            <w:tcW w:w="1705" w:type="dxa"/>
            <w:vAlign w:val="center"/>
          </w:tcPr>
          <w:p w14:paraId="3383A57B"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477D1087" w14:textId="77777777" w:rsidTr="00B518F1">
        <w:tc>
          <w:tcPr>
            <w:tcW w:w="1704" w:type="dxa"/>
            <w:vAlign w:val="center"/>
          </w:tcPr>
          <w:p w14:paraId="591952D1" w14:textId="77777777" w:rsidR="000B4CBF" w:rsidRPr="004D46AC" w:rsidRDefault="000B4CBF" w:rsidP="00B518F1">
            <w:pPr>
              <w:spacing w:line="240" w:lineRule="auto"/>
              <w:ind w:firstLine="0"/>
            </w:pPr>
            <w:r w:rsidRPr="004D46AC">
              <w:rPr>
                <w:color w:val="000000"/>
              </w:rPr>
              <w:t>TR18--TR30</w:t>
            </w:r>
          </w:p>
        </w:tc>
        <w:tc>
          <w:tcPr>
            <w:tcW w:w="1704" w:type="dxa"/>
            <w:vAlign w:val="center"/>
          </w:tcPr>
          <w:p w14:paraId="3B8AF1DE"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5C6DB899"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784FB572" w14:textId="77777777" w:rsidR="000B4CBF" w:rsidRPr="004D46AC" w:rsidRDefault="000B4CBF" w:rsidP="00B518F1">
            <w:pPr>
              <w:spacing w:line="240" w:lineRule="auto"/>
              <w:ind w:firstLine="0"/>
            </w:pPr>
            <w:r w:rsidRPr="004D46AC">
              <w:rPr>
                <w:color w:val="000000"/>
                <w:szCs w:val="21"/>
              </w:rPr>
              <w:t xml:space="preserve">0.74 </w:t>
            </w:r>
          </w:p>
        </w:tc>
        <w:tc>
          <w:tcPr>
            <w:tcW w:w="1705" w:type="dxa"/>
            <w:vAlign w:val="center"/>
          </w:tcPr>
          <w:p w14:paraId="24F0DDE3"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41DD0FE8" w14:textId="77777777" w:rsidTr="00B518F1">
        <w:tc>
          <w:tcPr>
            <w:tcW w:w="1704" w:type="dxa"/>
            <w:vAlign w:val="center"/>
          </w:tcPr>
          <w:p w14:paraId="23EFD453" w14:textId="77777777" w:rsidR="000B4CBF" w:rsidRPr="004D46AC" w:rsidRDefault="000B4CBF" w:rsidP="00B518F1">
            <w:pPr>
              <w:spacing w:line="240" w:lineRule="auto"/>
              <w:ind w:firstLine="0"/>
            </w:pPr>
            <w:r w:rsidRPr="004D46AC">
              <w:rPr>
                <w:color w:val="000000"/>
              </w:rPr>
              <w:t>TR19--TR37</w:t>
            </w:r>
          </w:p>
        </w:tc>
        <w:tc>
          <w:tcPr>
            <w:tcW w:w="1704" w:type="dxa"/>
            <w:vAlign w:val="center"/>
          </w:tcPr>
          <w:p w14:paraId="42B1405B" w14:textId="77777777" w:rsidR="000B4CBF" w:rsidRPr="004D46AC" w:rsidRDefault="000B4CBF" w:rsidP="00B518F1">
            <w:pPr>
              <w:spacing w:line="240" w:lineRule="auto"/>
              <w:ind w:firstLine="0"/>
            </w:pPr>
            <w:r w:rsidRPr="004D46AC">
              <w:rPr>
                <w:color w:val="000000"/>
                <w:szCs w:val="21"/>
              </w:rPr>
              <w:t xml:space="preserve">0.28 </w:t>
            </w:r>
          </w:p>
        </w:tc>
        <w:tc>
          <w:tcPr>
            <w:tcW w:w="1704" w:type="dxa"/>
            <w:vAlign w:val="center"/>
          </w:tcPr>
          <w:p w14:paraId="24FEB27C"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5A120734" w14:textId="77777777" w:rsidR="000B4CBF" w:rsidRPr="004D46AC" w:rsidRDefault="000B4CBF" w:rsidP="00B518F1">
            <w:pPr>
              <w:spacing w:line="240" w:lineRule="auto"/>
              <w:ind w:firstLine="0"/>
            </w:pPr>
            <w:r w:rsidRPr="004D46AC">
              <w:rPr>
                <w:color w:val="000000"/>
                <w:szCs w:val="21"/>
              </w:rPr>
              <w:t xml:space="preserve">0.70 </w:t>
            </w:r>
          </w:p>
        </w:tc>
        <w:tc>
          <w:tcPr>
            <w:tcW w:w="1705" w:type="dxa"/>
            <w:vAlign w:val="center"/>
          </w:tcPr>
          <w:p w14:paraId="00AB2CA9" w14:textId="77777777" w:rsidR="000B4CBF" w:rsidRPr="004D46AC" w:rsidRDefault="000B4CBF" w:rsidP="00B518F1">
            <w:pPr>
              <w:spacing w:line="240" w:lineRule="auto"/>
              <w:ind w:firstLine="0"/>
            </w:pPr>
            <w:r w:rsidRPr="004D46AC">
              <w:rPr>
                <w:color w:val="000000"/>
                <w:szCs w:val="21"/>
              </w:rPr>
              <w:t xml:space="preserve">0.31 </w:t>
            </w:r>
          </w:p>
        </w:tc>
      </w:tr>
      <w:tr w:rsidR="000B4CBF" w:rsidRPr="004D46AC" w14:paraId="7CD3D26D" w14:textId="77777777" w:rsidTr="00B518F1">
        <w:tc>
          <w:tcPr>
            <w:tcW w:w="1704" w:type="dxa"/>
            <w:vAlign w:val="center"/>
          </w:tcPr>
          <w:p w14:paraId="58B8202E" w14:textId="77777777" w:rsidR="000B4CBF" w:rsidRPr="004D46AC" w:rsidRDefault="000B4CBF" w:rsidP="00B518F1">
            <w:pPr>
              <w:spacing w:line="240" w:lineRule="auto"/>
              <w:ind w:firstLine="0"/>
            </w:pPr>
            <w:r w:rsidRPr="004D46AC">
              <w:rPr>
                <w:color w:val="000000"/>
              </w:rPr>
              <w:t>TR26--TR18</w:t>
            </w:r>
          </w:p>
        </w:tc>
        <w:tc>
          <w:tcPr>
            <w:tcW w:w="1704" w:type="dxa"/>
            <w:vAlign w:val="center"/>
          </w:tcPr>
          <w:p w14:paraId="2AB77568" w14:textId="77777777" w:rsidR="000B4CBF" w:rsidRPr="004D46AC" w:rsidRDefault="000B4CBF" w:rsidP="00B518F1">
            <w:pPr>
              <w:spacing w:line="240" w:lineRule="auto"/>
              <w:ind w:firstLine="0"/>
            </w:pPr>
            <w:r w:rsidRPr="004D46AC">
              <w:rPr>
                <w:color w:val="000000"/>
                <w:szCs w:val="21"/>
              </w:rPr>
              <w:t xml:space="preserve">0.27 </w:t>
            </w:r>
          </w:p>
        </w:tc>
        <w:tc>
          <w:tcPr>
            <w:tcW w:w="1704" w:type="dxa"/>
            <w:vAlign w:val="center"/>
          </w:tcPr>
          <w:p w14:paraId="5B1FD173"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6EB30B3B" w14:textId="77777777" w:rsidR="000B4CBF" w:rsidRPr="004D46AC" w:rsidRDefault="000B4CBF" w:rsidP="00B518F1">
            <w:pPr>
              <w:spacing w:line="240" w:lineRule="auto"/>
              <w:ind w:firstLine="0"/>
            </w:pPr>
            <w:r w:rsidRPr="004D46AC">
              <w:rPr>
                <w:color w:val="000000"/>
                <w:szCs w:val="21"/>
              </w:rPr>
              <w:t xml:space="preserve">0.70 </w:t>
            </w:r>
          </w:p>
        </w:tc>
        <w:tc>
          <w:tcPr>
            <w:tcW w:w="1705" w:type="dxa"/>
            <w:vAlign w:val="center"/>
          </w:tcPr>
          <w:p w14:paraId="65C2CA32" w14:textId="77777777" w:rsidR="000B4CBF" w:rsidRPr="004D46AC" w:rsidRDefault="000B4CBF" w:rsidP="00B518F1">
            <w:pPr>
              <w:spacing w:line="240" w:lineRule="auto"/>
              <w:ind w:firstLine="0"/>
            </w:pPr>
            <w:r w:rsidRPr="004D46AC">
              <w:rPr>
                <w:color w:val="000000"/>
                <w:szCs w:val="21"/>
              </w:rPr>
              <w:t xml:space="preserve">0.32 </w:t>
            </w:r>
          </w:p>
        </w:tc>
      </w:tr>
      <w:tr w:rsidR="000B4CBF" w:rsidRPr="004D46AC" w14:paraId="0E92B4B4" w14:textId="77777777" w:rsidTr="00B518F1">
        <w:tc>
          <w:tcPr>
            <w:tcW w:w="1704" w:type="dxa"/>
            <w:vAlign w:val="center"/>
          </w:tcPr>
          <w:p w14:paraId="653C9FDF" w14:textId="77777777" w:rsidR="000B4CBF" w:rsidRPr="004D46AC" w:rsidRDefault="000B4CBF" w:rsidP="00B518F1">
            <w:pPr>
              <w:spacing w:line="240" w:lineRule="auto"/>
              <w:ind w:firstLine="0"/>
            </w:pPr>
            <w:r w:rsidRPr="004D46AC">
              <w:rPr>
                <w:color w:val="000000"/>
              </w:rPr>
              <w:t>TR30--TR22</w:t>
            </w:r>
          </w:p>
        </w:tc>
        <w:tc>
          <w:tcPr>
            <w:tcW w:w="1704" w:type="dxa"/>
            <w:vAlign w:val="center"/>
          </w:tcPr>
          <w:p w14:paraId="61CE2D03" w14:textId="77777777" w:rsidR="000B4CBF" w:rsidRPr="004D46AC" w:rsidRDefault="000B4CBF" w:rsidP="00B518F1">
            <w:pPr>
              <w:spacing w:line="240" w:lineRule="auto"/>
              <w:ind w:firstLine="0"/>
            </w:pPr>
            <w:r w:rsidRPr="004D46AC">
              <w:rPr>
                <w:color w:val="000000"/>
                <w:szCs w:val="21"/>
              </w:rPr>
              <w:t xml:space="preserve">0.27 </w:t>
            </w:r>
          </w:p>
        </w:tc>
        <w:tc>
          <w:tcPr>
            <w:tcW w:w="1704" w:type="dxa"/>
            <w:vAlign w:val="center"/>
          </w:tcPr>
          <w:p w14:paraId="3DA1C7B9"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0277D2D0" w14:textId="77777777" w:rsidR="000B4CBF" w:rsidRPr="004D46AC" w:rsidRDefault="000B4CBF" w:rsidP="00B518F1">
            <w:pPr>
              <w:spacing w:line="240" w:lineRule="auto"/>
              <w:ind w:firstLine="0"/>
            </w:pPr>
            <w:r w:rsidRPr="004D46AC">
              <w:rPr>
                <w:color w:val="000000"/>
                <w:szCs w:val="21"/>
              </w:rPr>
              <w:t xml:space="preserve">0.70 </w:t>
            </w:r>
          </w:p>
        </w:tc>
        <w:tc>
          <w:tcPr>
            <w:tcW w:w="1705" w:type="dxa"/>
            <w:vAlign w:val="center"/>
          </w:tcPr>
          <w:p w14:paraId="49DF176E" w14:textId="77777777" w:rsidR="000B4CBF" w:rsidRPr="004D46AC" w:rsidRDefault="000B4CBF" w:rsidP="00B518F1">
            <w:pPr>
              <w:spacing w:line="240" w:lineRule="auto"/>
              <w:ind w:firstLine="0"/>
            </w:pPr>
            <w:r w:rsidRPr="004D46AC">
              <w:rPr>
                <w:color w:val="000000"/>
                <w:szCs w:val="21"/>
              </w:rPr>
              <w:t xml:space="preserve">0.28 </w:t>
            </w:r>
          </w:p>
        </w:tc>
      </w:tr>
      <w:tr w:rsidR="000B4CBF" w:rsidRPr="004D46AC" w14:paraId="512CE051" w14:textId="77777777" w:rsidTr="00B518F1">
        <w:tc>
          <w:tcPr>
            <w:tcW w:w="1704" w:type="dxa"/>
            <w:vAlign w:val="center"/>
          </w:tcPr>
          <w:p w14:paraId="2D2B0A6D" w14:textId="77777777" w:rsidR="000B4CBF" w:rsidRPr="004D46AC" w:rsidRDefault="000B4CBF" w:rsidP="00B518F1">
            <w:pPr>
              <w:spacing w:line="240" w:lineRule="auto"/>
              <w:ind w:firstLine="0"/>
            </w:pPr>
            <w:r w:rsidRPr="004D46AC">
              <w:rPr>
                <w:color w:val="000000"/>
              </w:rPr>
              <w:t>TR30--TR13</w:t>
            </w:r>
          </w:p>
        </w:tc>
        <w:tc>
          <w:tcPr>
            <w:tcW w:w="1704" w:type="dxa"/>
            <w:vAlign w:val="center"/>
          </w:tcPr>
          <w:p w14:paraId="673BB171" w14:textId="77777777" w:rsidR="000B4CBF" w:rsidRPr="004D46AC" w:rsidRDefault="000B4CBF" w:rsidP="00B518F1">
            <w:pPr>
              <w:spacing w:line="240" w:lineRule="auto"/>
              <w:ind w:firstLine="0"/>
            </w:pPr>
            <w:r w:rsidRPr="004D46AC">
              <w:rPr>
                <w:color w:val="000000"/>
                <w:szCs w:val="21"/>
              </w:rPr>
              <w:t xml:space="preserve">0.26 </w:t>
            </w:r>
          </w:p>
        </w:tc>
        <w:tc>
          <w:tcPr>
            <w:tcW w:w="1704" w:type="dxa"/>
            <w:vAlign w:val="center"/>
          </w:tcPr>
          <w:p w14:paraId="78131E94" w14:textId="77777777" w:rsidR="000B4CBF" w:rsidRPr="004D46AC" w:rsidRDefault="000B4CBF" w:rsidP="00B518F1">
            <w:pPr>
              <w:spacing w:line="240" w:lineRule="auto"/>
              <w:ind w:firstLine="0"/>
            </w:pPr>
            <w:r w:rsidRPr="004D46AC">
              <w:rPr>
                <w:color w:val="000000"/>
                <w:szCs w:val="21"/>
              </w:rPr>
              <w:t xml:space="preserve">-0.12 </w:t>
            </w:r>
          </w:p>
        </w:tc>
        <w:tc>
          <w:tcPr>
            <w:tcW w:w="1705" w:type="dxa"/>
            <w:vAlign w:val="center"/>
          </w:tcPr>
          <w:p w14:paraId="10890E80" w14:textId="77777777" w:rsidR="000B4CBF" w:rsidRPr="004D46AC" w:rsidRDefault="000B4CBF" w:rsidP="00B518F1">
            <w:pPr>
              <w:spacing w:line="240" w:lineRule="auto"/>
              <w:ind w:firstLine="0"/>
            </w:pPr>
            <w:r w:rsidRPr="004D46AC">
              <w:rPr>
                <w:color w:val="000000"/>
                <w:szCs w:val="21"/>
              </w:rPr>
              <w:t xml:space="preserve">0.65 </w:t>
            </w:r>
          </w:p>
        </w:tc>
        <w:tc>
          <w:tcPr>
            <w:tcW w:w="1705" w:type="dxa"/>
            <w:vAlign w:val="center"/>
          </w:tcPr>
          <w:p w14:paraId="74FE0C5A" w14:textId="77777777" w:rsidR="000B4CBF" w:rsidRPr="004D46AC" w:rsidRDefault="000B4CBF" w:rsidP="00B518F1">
            <w:pPr>
              <w:spacing w:line="240" w:lineRule="auto"/>
              <w:ind w:firstLine="0"/>
            </w:pPr>
            <w:r w:rsidRPr="004D46AC">
              <w:rPr>
                <w:color w:val="000000"/>
                <w:szCs w:val="21"/>
              </w:rPr>
              <w:t xml:space="preserve">0.29 </w:t>
            </w:r>
          </w:p>
        </w:tc>
      </w:tr>
      <w:tr w:rsidR="000B4CBF" w:rsidRPr="004D46AC" w14:paraId="2ABFEBD0" w14:textId="77777777" w:rsidTr="00B518F1">
        <w:tc>
          <w:tcPr>
            <w:tcW w:w="1704" w:type="dxa"/>
            <w:vAlign w:val="center"/>
          </w:tcPr>
          <w:p w14:paraId="41A65493" w14:textId="77777777" w:rsidR="000B4CBF" w:rsidRPr="004D46AC" w:rsidRDefault="000B4CBF" w:rsidP="00B518F1">
            <w:pPr>
              <w:spacing w:line="240" w:lineRule="auto"/>
              <w:ind w:firstLine="0"/>
            </w:pPr>
            <w:r w:rsidRPr="004D46AC">
              <w:rPr>
                <w:color w:val="000000"/>
              </w:rPr>
              <w:t>TR21--TR6</w:t>
            </w:r>
          </w:p>
        </w:tc>
        <w:tc>
          <w:tcPr>
            <w:tcW w:w="1704" w:type="dxa"/>
            <w:vAlign w:val="center"/>
          </w:tcPr>
          <w:p w14:paraId="25075A61" w14:textId="77777777" w:rsidR="000B4CBF" w:rsidRPr="004D46AC" w:rsidRDefault="000B4CBF" w:rsidP="00B518F1">
            <w:pPr>
              <w:spacing w:line="240" w:lineRule="auto"/>
              <w:ind w:firstLine="0"/>
            </w:pPr>
            <w:r w:rsidRPr="004D46AC">
              <w:rPr>
                <w:color w:val="000000"/>
                <w:szCs w:val="21"/>
              </w:rPr>
              <w:t xml:space="preserve">0.26 </w:t>
            </w:r>
          </w:p>
        </w:tc>
        <w:tc>
          <w:tcPr>
            <w:tcW w:w="1704" w:type="dxa"/>
            <w:vAlign w:val="center"/>
          </w:tcPr>
          <w:p w14:paraId="2622FFF3"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27C1D669" w14:textId="77777777" w:rsidR="000B4CBF" w:rsidRPr="004D46AC" w:rsidRDefault="000B4CBF" w:rsidP="00B518F1">
            <w:pPr>
              <w:spacing w:line="240" w:lineRule="auto"/>
              <w:ind w:firstLine="0"/>
            </w:pPr>
            <w:r w:rsidRPr="004D46AC">
              <w:rPr>
                <w:color w:val="000000"/>
                <w:szCs w:val="21"/>
              </w:rPr>
              <w:t xml:space="preserve">0.69 </w:t>
            </w:r>
          </w:p>
        </w:tc>
        <w:tc>
          <w:tcPr>
            <w:tcW w:w="1705" w:type="dxa"/>
            <w:vAlign w:val="center"/>
          </w:tcPr>
          <w:p w14:paraId="524B3869" w14:textId="77777777" w:rsidR="000B4CBF" w:rsidRPr="004D46AC" w:rsidRDefault="000B4CBF" w:rsidP="00B518F1">
            <w:pPr>
              <w:spacing w:line="240" w:lineRule="auto"/>
              <w:ind w:firstLine="0"/>
            </w:pPr>
            <w:r w:rsidRPr="004D46AC">
              <w:rPr>
                <w:color w:val="000000"/>
                <w:szCs w:val="21"/>
              </w:rPr>
              <w:t xml:space="preserve">0.30 </w:t>
            </w:r>
          </w:p>
        </w:tc>
      </w:tr>
      <w:tr w:rsidR="000B4CBF" w:rsidRPr="004D46AC" w14:paraId="4C804160" w14:textId="77777777" w:rsidTr="00B518F1">
        <w:tc>
          <w:tcPr>
            <w:tcW w:w="1704" w:type="dxa"/>
            <w:vAlign w:val="center"/>
          </w:tcPr>
          <w:p w14:paraId="1FC651F9" w14:textId="77777777" w:rsidR="000B4CBF" w:rsidRPr="004D46AC" w:rsidRDefault="000B4CBF" w:rsidP="00B518F1">
            <w:pPr>
              <w:spacing w:line="240" w:lineRule="auto"/>
              <w:ind w:firstLine="0"/>
            </w:pPr>
            <w:r w:rsidRPr="004D46AC">
              <w:rPr>
                <w:color w:val="000000"/>
              </w:rPr>
              <w:t>TR3--TR19</w:t>
            </w:r>
          </w:p>
        </w:tc>
        <w:tc>
          <w:tcPr>
            <w:tcW w:w="1704" w:type="dxa"/>
            <w:vAlign w:val="center"/>
          </w:tcPr>
          <w:p w14:paraId="164374E8" w14:textId="77777777" w:rsidR="000B4CBF" w:rsidRPr="004D46AC" w:rsidRDefault="000B4CBF" w:rsidP="00B518F1">
            <w:pPr>
              <w:spacing w:line="240" w:lineRule="auto"/>
              <w:ind w:firstLine="0"/>
            </w:pPr>
            <w:r w:rsidRPr="004D46AC">
              <w:rPr>
                <w:color w:val="000000"/>
                <w:szCs w:val="21"/>
              </w:rPr>
              <w:t xml:space="preserve">0.26 </w:t>
            </w:r>
          </w:p>
        </w:tc>
        <w:tc>
          <w:tcPr>
            <w:tcW w:w="1704" w:type="dxa"/>
            <w:vAlign w:val="center"/>
          </w:tcPr>
          <w:p w14:paraId="34E8ABA5" w14:textId="77777777" w:rsidR="000B4CBF" w:rsidRPr="004D46AC" w:rsidRDefault="000B4CBF" w:rsidP="00B518F1">
            <w:pPr>
              <w:spacing w:line="240" w:lineRule="auto"/>
              <w:ind w:firstLine="0"/>
            </w:pPr>
            <w:r w:rsidRPr="004D46AC">
              <w:rPr>
                <w:color w:val="000000"/>
                <w:szCs w:val="21"/>
              </w:rPr>
              <w:t xml:space="preserve">-0.15 </w:t>
            </w:r>
          </w:p>
        </w:tc>
        <w:tc>
          <w:tcPr>
            <w:tcW w:w="1705" w:type="dxa"/>
            <w:vAlign w:val="center"/>
          </w:tcPr>
          <w:p w14:paraId="5D0D97BB" w14:textId="77777777" w:rsidR="000B4CBF" w:rsidRPr="004D46AC" w:rsidRDefault="000B4CBF" w:rsidP="00B518F1">
            <w:pPr>
              <w:spacing w:line="240" w:lineRule="auto"/>
              <w:ind w:firstLine="0"/>
            </w:pPr>
            <w:r w:rsidRPr="004D46AC">
              <w:rPr>
                <w:color w:val="000000"/>
                <w:szCs w:val="21"/>
              </w:rPr>
              <w:t xml:space="preserve">0.67 </w:t>
            </w:r>
          </w:p>
        </w:tc>
        <w:tc>
          <w:tcPr>
            <w:tcW w:w="1705" w:type="dxa"/>
            <w:vAlign w:val="center"/>
          </w:tcPr>
          <w:p w14:paraId="6D82C303" w14:textId="77777777" w:rsidR="000B4CBF" w:rsidRPr="004D46AC" w:rsidRDefault="000B4CBF" w:rsidP="00B518F1">
            <w:pPr>
              <w:spacing w:line="240" w:lineRule="auto"/>
              <w:ind w:firstLine="0"/>
            </w:pPr>
            <w:r w:rsidRPr="004D46AC">
              <w:rPr>
                <w:color w:val="000000"/>
                <w:szCs w:val="21"/>
              </w:rPr>
              <w:t xml:space="preserve">0.18 </w:t>
            </w:r>
          </w:p>
        </w:tc>
      </w:tr>
      <w:tr w:rsidR="000B4CBF" w:rsidRPr="004D46AC" w14:paraId="0DA18799" w14:textId="77777777" w:rsidTr="00B518F1">
        <w:tc>
          <w:tcPr>
            <w:tcW w:w="1704" w:type="dxa"/>
            <w:vAlign w:val="center"/>
          </w:tcPr>
          <w:p w14:paraId="6F58E04E" w14:textId="77777777" w:rsidR="000B4CBF" w:rsidRPr="004D46AC" w:rsidRDefault="000B4CBF" w:rsidP="00B518F1">
            <w:pPr>
              <w:spacing w:line="240" w:lineRule="auto"/>
              <w:ind w:firstLine="0"/>
            </w:pPr>
            <w:r w:rsidRPr="004D46AC">
              <w:rPr>
                <w:color w:val="000000"/>
              </w:rPr>
              <w:t>TR26--TR27</w:t>
            </w:r>
          </w:p>
        </w:tc>
        <w:tc>
          <w:tcPr>
            <w:tcW w:w="1704" w:type="dxa"/>
            <w:vAlign w:val="center"/>
          </w:tcPr>
          <w:p w14:paraId="3FA207C6" w14:textId="77777777" w:rsidR="000B4CBF" w:rsidRPr="004D46AC" w:rsidRDefault="000B4CBF" w:rsidP="00B518F1">
            <w:pPr>
              <w:spacing w:line="240" w:lineRule="auto"/>
              <w:ind w:firstLine="0"/>
            </w:pPr>
            <w:r w:rsidRPr="004D46AC">
              <w:rPr>
                <w:color w:val="000000"/>
                <w:szCs w:val="21"/>
              </w:rPr>
              <w:t xml:space="preserve">0.26 </w:t>
            </w:r>
          </w:p>
        </w:tc>
        <w:tc>
          <w:tcPr>
            <w:tcW w:w="1704" w:type="dxa"/>
            <w:vAlign w:val="center"/>
          </w:tcPr>
          <w:p w14:paraId="4610FF16" w14:textId="77777777" w:rsidR="000B4CBF" w:rsidRPr="004D46AC" w:rsidRDefault="000B4CBF" w:rsidP="00B518F1">
            <w:pPr>
              <w:spacing w:line="240" w:lineRule="auto"/>
              <w:ind w:firstLine="0"/>
            </w:pPr>
            <w:r w:rsidRPr="004D46AC">
              <w:rPr>
                <w:color w:val="000000"/>
                <w:szCs w:val="21"/>
              </w:rPr>
              <w:t xml:space="preserve">-0.15 </w:t>
            </w:r>
          </w:p>
        </w:tc>
        <w:tc>
          <w:tcPr>
            <w:tcW w:w="1705" w:type="dxa"/>
            <w:vAlign w:val="center"/>
          </w:tcPr>
          <w:p w14:paraId="1516C5C3" w14:textId="77777777" w:rsidR="000B4CBF" w:rsidRPr="004D46AC" w:rsidRDefault="000B4CBF" w:rsidP="00B518F1">
            <w:pPr>
              <w:spacing w:line="240" w:lineRule="auto"/>
              <w:ind w:firstLine="0"/>
            </w:pPr>
            <w:r w:rsidRPr="004D46AC">
              <w:rPr>
                <w:color w:val="000000"/>
                <w:szCs w:val="21"/>
              </w:rPr>
              <w:t xml:space="preserve">0.66 </w:t>
            </w:r>
          </w:p>
        </w:tc>
        <w:tc>
          <w:tcPr>
            <w:tcW w:w="1705" w:type="dxa"/>
            <w:vAlign w:val="center"/>
          </w:tcPr>
          <w:p w14:paraId="25AD8A5B" w14:textId="77777777" w:rsidR="000B4CBF" w:rsidRPr="004D46AC" w:rsidRDefault="000B4CBF" w:rsidP="00B518F1">
            <w:pPr>
              <w:spacing w:line="240" w:lineRule="auto"/>
              <w:ind w:firstLine="0"/>
            </w:pPr>
            <w:r w:rsidRPr="004D46AC">
              <w:rPr>
                <w:color w:val="000000"/>
                <w:szCs w:val="21"/>
              </w:rPr>
              <w:t xml:space="preserve">0.44 </w:t>
            </w:r>
          </w:p>
        </w:tc>
      </w:tr>
      <w:tr w:rsidR="000B4CBF" w:rsidRPr="004D46AC" w14:paraId="0F456690" w14:textId="77777777" w:rsidTr="00B518F1">
        <w:tc>
          <w:tcPr>
            <w:tcW w:w="1704" w:type="dxa"/>
            <w:vAlign w:val="center"/>
          </w:tcPr>
          <w:p w14:paraId="08DBB773" w14:textId="77777777" w:rsidR="000B4CBF" w:rsidRPr="004D46AC" w:rsidRDefault="000B4CBF" w:rsidP="00B518F1">
            <w:pPr>
              <w:spacing w:line="240" w:lineRule="auto"/>
              <w:ind w:firstLine="0"/>
            </w:pPr>
            <w:r w:rsidRPr="004D46AC">
              <w:rPr>
                <w:color w:val="000000"/>
              </w:rPr>
              <w:t>TR7--TR21</w:t>
            </w:r>
          </w:p>
        </w:tc>
        <w:tc>
          <w:tcPr>
            <w:tcW w:w="1704" w:type="dxa"/>
            <w:vAlign w:val="center"/>
          </w:tcPr>
          <w:p w14:paraId="70197976" w14:textId="77777777" w:rsidR="000B4CBF" w:rsidRPr="004D46AC" w:rsidRDefault="000B4CBF" w:rsidP="00B518F1">
            <w:pPr>
              <w:spacing w:line="240" w:lineRule="auto"/>
              <w:ind w:firstLine="0"/>
            </w:pPr>
            <w:r w:rsidRPr="004D46AC">
              <w:rPr>
                <w:color w:val="000000"/>
                <w:szCs w:val="21"/>
              </w:rPr>
              <w:t xml:space="preserve">0.25 </w:t>
            </w:r>
          </w:p>
        </w:tc>
        <w:tc>
          <w:tcPr>
            <w:tcW w:w="1704" w:type="dxa"/>
            <w:vAlign w:val="center"/>
          </w:tcPr>
          <w:p w14:paraId="1C559709" w14:textId="77777777" w:rsidR="000B4CBF" w:rsidRPr="004D46AC" w:rsidRDefault="000B4CBF" w:rsidP="00B518F1">
            <w:pPr>
              <w:spacing w:line="240" w:lineRule="auto"/>
              <w:ind w:firstLine="0"/>
            </w:pPr>
            <w:r w:rsidRPr="004D46AC">
              <w:rPr>
                <w:color w:val="000000"/>
                <w:szCs w:val="21"/>
              </w:rPr>
              <w:t xml:space="preserve">-0.15 </w:t>
            </w:r>
          </w:p>
        </w:tc>
        <w:tc>
          <w:tcPr>
            <w:tcW w:w="1705" w:type="dxa"/>
            <w:vAlign w:val="center"/>
          </w:tcPr>
          <w:p w14:paraId="1A8FEECB" w14:textId="77777777" w:rsidR="000B4CBF" w:rsidRPr="004D46AC" w:rsidRDefault="000B4CBF" w:rsidP="00B518F1">
            <w:pPr>
              <w:spacing w:line="240" w:lineRule="auto"/>
              <w:ind w:firstLine="0"/>
            </w:pPr>
            <w:r w:rsidRPr="004D46AC">
              <w:rPr>
                <w:color w:val="000000"/>
                <w:szCs w:val="21"/>
              </w:rPr>
              <w:t xml:space="preserve">0.64 </w:t>
            </w:r>
          </w:p>
        </w:tc>
        <w:tc>
          <w:tcPr>
            <w:tcW w:w="1705" w:type="dxa"/>
            <w:vAlign w:val="center"/>
          </w:tcPr>
          <w:p w14:paraId="1EC88FE7" w14:textId="77777777" w:rsidR="000B4CBF" w:rsidRPr="004D46AC" w:rsidRDefault="000B4CBF" w:rsidP="00B518F1">
            <w:pPr>
              <w:spacing w:line="240" w:lineRule="auto"/>
              <w:ind w:firstLine="0"/>
            </w:pPr>
            <w:r w:rsidRPr="004D46AC">
              <w:rPr>
                <w:color w:val="000000"/>
                <w:szCs w:val="21"/>
              </w:rPr>
              <w:t xml:space="preserve">0.31 </w:t>
            </w:r>
          </w:p>
        </w:tc>
      </w:tr>
      <w:tr w:rsidR="000B4CBF" w:rsidRPr="004D46AC" w14:paraId="35E45CD2" w14:textId="77777777" w:rsidTr="00B518F1">
        <w:tc>
          <w:tcPr>
            <w:tcW w:w="1704" w:type="dxa"/>
            <w:vAlign w:val="center"/>
          </w:tcPr>
          <w:p w14:paraId="747C6D63" w14:textId="77777777" w:rsidR="000B4CBF" w:rsidRPr="004D46AC" w:rsidRDefault="000B4CBF" w:rsidP="00B518F1">
            <w:pPr>
              <w:spacing w:line="240" w:lineRule="auto"/>
              <w:ind w:firstLine="0"/>
            </w:pPr>
            <w:r w:rsidRPr="004D46AC">
              <w:rPr>
                <w:color w:val="000000"/>
              </w:rPr>
              <w:t>TR15--TR23</w:t>
            </w:r>
          </w:p>
        </w:tc>
        <w:tc>
          <w:tcPr>
            <w:tcW w:w="1704" w:type="dxa"/>
            <w:vAlign w:val="center"/>
          </w:tcPr>
          <w:p w14:paraId="647D6F51" w14:textId="77777777" w:rsidR="000B4CBF" w:rsidRPr="004D46AC" w:rsidRDefault="000B4CBF" w:rsidP="00B518F1">
            <w:pPr>
              <w:spacing w:line="240" w:lineRule="auto"/>
              <w:ind w:firstLine="0"/>
            </w:pPr>
            <w:r w:rsidRPr="004D46AC">
              <w:rPr>
                <w:color w:val="000000"/>
                <w:szCs w:val="21"/>
              </w:rPr>
              <w:t xml:space="preserve">0.24 </w:t>
            </w:r>
          </w:p>
        </w:tc>
        <w:tc>
          <w:tcPr>
            <w:tcW w:w="1704" w:type="dxa"/>
            <w:vAlign w:val="center"/>
          </w:tcPr>
          <w:p w14:paraId="3B24561C"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7C084849" w14:textId="77777777" w:rsidR="000B4CBF" w:rsidRPr="004D46AC" w:rsidRDefault="000B4CBF" w:rsidP="00B518F1">
            <w:pPr>
              <w:spacing w:line="240" w:lineRule="auto"/>
              <w:ind w:firstLine="0"/>
            </w:pPr>
            <w:r w:rsidRPr="004D46AC">
              <w:rPr>
                <w:color w:val="000000"/>
                <w:szCs w:val="21"/>
              </w:rPr>
              <w:t xml:space="preserve">0.65 </w:t>
            </w:r>
          </w:p>
        </w:tc>
        <w:tc>
          <w:tcPr>
            <w:tcW w:w="1705" w:type="dxa"/>
            <w:vAlign w:val="center"/>
          </w:tcPr>
          <w:p w14:paraId="64CA09BC" w14:textId="77777777" w:rsidR="000B4CBF" w:rsidRPr="004D46AC" w:rsidRDefault="000B4CBF" w:rsidP="00B518F1">
            <w:pPr>
              <w:spacing w:line="240" w:lineRule="auto"/>
              <w:ind w:firstLine="0"/>
            </w:pPr>
            <w:r w:rsidRPr="004D46AC">
              <w:rPr>
                <w:color w:val="000000"/>
                <w:szCs w:val="21"/>
              </w:rPr>
              <w:t xml:space="preserve">0.21 </w:t>
            </w:r>
          </w:p>
        </w:tc>
      </w:tr>
      <w:tr w:rsidR="000B4CBF" w:rsidRPr="004D46AC" w14:paraId="507AF31D" w14:textId="77777777" w:rsidTr="00B518F1">
        <w:tc>
          <w:tcPr>
            <w:tcW w:w="1704" w:type="dxa"/>
            <w:vAlign w:val="center"/>
          </w:tcPr>
          <w:p w14:paraId="14C9B0DE" w14:textId="77777777" w:rsidR="000B4CBF" w:rsidRPr="004D46AC" w:rsidRDefault="000B4CBF" w:rsidP="00B518F1">
            <w:pPr>
              <w:spacing w:line="240" w:lineRule="auto"/>
              <w:ind w:firstLine="0"/>
            </w:pPr>
            <w:r w:rsidRPr="004D46AC">
              <w:rPr>
                <w:color w:val="000000"/>
              </w:rPr>
              <w:t>TR26--TR34</w:t>
            </w:r>
          </w:p>
        </w:tc>
        <w:tc>
          <w:tcPr>
            <w:tcW w:w="1704" w:type="dxa"/>
            <w:vAlign w:val="center"/>
          </w:tcPr>
          <w:p w14:paraId="1893008E" w14:textId="77777777" w:rsidR="000B4CBF" w:rsidRPr="004D46AC" w:rsidRDefault="000B4CBF" w:rsidP="00B518F1">
            <w:pPr>
              <w:spacing w:line="240" w:lineRule="auto"/>
              <w:ind w:firstLine="0"/>
            </w:pPr>
            <w:r w:rsidRPr="004D46AC">
              <w:rPr>
                <w:color w:val="000000"/>
                <w:szCs w:val="21"/>
              </w:rPr>
              <w:t xml:space="preserve">0.24 </w:t>
            </w:r>
          </w:p>
        </w:tc>
        <w:tc>
          <w:tcPr>
            <w:tcW w:w="1704" w:type="dxa"/>
            <w:vAlign w:val="center"/>
          </w:tcPr>
          <w:p w14:paraId="5A88FB23"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5417465B" w14:textId="77777777" w:rsidR="000B4CBF" w:rsidRPr="004D46AC" w:rsidRDefault="000B4CBF" w:rsidP="00B518F1">
            <w:pPr>
              <w:spacing w:line="240" w:lineRule="auto"/>
              <w:ind w:firstLine="0"/>
            </w:pPr>
            <w:r w:rsidRPr="004D46AC">
              <w:rPr>
                <w:color w:val="000000"/>
                <w:szCs w:val="21"/>
              </w:rPr>
              <w:t xml:space="preserve">0.63 </w:t>
            </w:r>
          </w:p>
        </w:tc>
        <w:tc>
          <w:tcPr>
            <w:tcW w:w="1705" w:type="dxa"/>
            <w:vAlign w:val="center"/>
          </w:tcPr>
          <w:p w14:paraId="1BF2E654" w14:textId="77777777" w:rsidR="000B4CBF" w:rsidRPr="004D46AC" w:rsidRDefault="000B4CBF" w:rsidP="00B518F1">
            <w:pPr>
              <w:spacing w:line="240" w:lineRule="auto"/>
              <w:ind w:firstLine="0"/>
            </w:pPr>
            <w:r w:rsidRPr="004D46AC">
              <w:rPr>
                <w:color w:val="000000"/>
                <w:szCs w:val="21"/>
              </w:rPr>
              <w:t xml:space="preserve">0.29 </w:t>
            </w:r>
          </w:p>
        </w:tc>
      </w:tr>
      <w:tr w:rsidR="000B4CBF" w:rsidRPr="004D46AC" w14:paraId="01A117EA" w14:textId="77777777" w:rsidTr="00B518F1">
        <w:tc>
          <w:tcPr>
            <w:tcW w:w="1704" w:type="dxa"/>
            <w:vAlign w:val="center"/>
          </w:tcPr>
          <w:p w14:paraId="17CD8E22" w14:textId="77777777" w:rsidR="000B4CBF" w:rsidRPr="004D46AC" w:rsidRDefault="000B4CBF" w:rsidP="00B518F1">
            <w:pPr>
              <w:spacing w:line="240" w:lineRule="auto"/>
              <w:ind w:firstLine="0"/>
            </w:pPr>
            <w:r w:rsidRPr="004D46AC">
              <w:rPr>
                <w:color w:val="000000"/>
              </w:rPr>
              <w:t>TR37--TR30</w:t>
            </w:r>
          </w:p>
        </w:tc>
        <w:tc>
          <w:tcPr>
            <w:tcW w:w="1704" w:type="dxa"/>
            <w:vAlign w:val="center"/>
          </w:tcPr>
          <w:p w14:paraId="43D265B9" w14:textId="77777777" w:rsidR="000B4CBF" w:rsidRPr="004D46AC" w:rsidRDefault="000B4CBF" w:rsidP="00B518F1">
            <w:pPr>
              <w:spacing w:line="240" w:lineRule="auto"/>
              <w:ind w:firstLine="0"/>
            </w:pPr>
            <w:r w:rsidRPr="004D46AC">
              <w:rPr>
                <w:color w:val="000000"/>
                <w:szCs w:val="21"/>
              </w:rPr>
              <w:t xml:space="preserve">0.24 </w:t>
            </w:r>
          </w:p>
        </w:tc>
        <w:tc>
          <w:tcPr>
            <w:tcW w:w="1704" w:type="dxa"/>
            <w:vAlign w:val="center"/>
          </w:tcPr>
          <w:p w14:paraId="79954CF6"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6FB662A4" w14:textId="77777777" w:rsidR="000B4CBF" w:rsidRPr="004D46AC" w:rsidRDefault="000B4CBF" w:rsidP="00B518F1">
            <w:pPr>
              <w:spacing w:line="240" w:lineRule="auto"/>
              <w:ind w:firstLine="0"/>
            </w:pPr>
            <w:r w:rsidRPr="004D46AC">
              <w:rPr>
                <w:color w:val="000000"/>
                <w:szCs w:val="21"/>
              </w:rPr>
              <w:t xml:space="preserve">0.67 </w:t>
            </w:r>
          </w:p>
        </w:tc>
        <w:tc>
          <w:tcPr>
            <w:tcW w:w="1705" w:type="dxa"/>
            <w:vAlign w:val="center"/>
          </w:tcPr>
          <w:p w14:paraId="42F30F5C" w14:textId="77777777" w:rsidR="000B4CBF" w:rsidRPr="004D46AC" w:rsidRDefault="000B4CBF" w:rsidP="00B518F1">
            <w:pPr>
              <w:spacing w:line="240" w:lineRule="auto"/>
              <w:ind w:firstLine="0"/>
            </w:pPr>
            <w:r w:rsidRPr="004D46AC">
              <w:rPr>
                <w:color w:val="000000"/>
                <w:szCs w:val="21"/>
              </w:rPr>
              <w:t xml:space="preserve">0.34 </w:t>
            </w:r>
          </w:p>
        </w:tc>
      </w:tr>
      <w:tr w:rsidR="000B4CBF" w:rsidRPr="004D46AC" w14:paraId="30A45421" w14:textId="77777777" w:rsidTr="00B518F1">
        <w:tc>
          <w:tcPr>
            <w:tcW w:w="1704" w:type="dxa"/>
            <w:vAlign w:val="center"/>
          </w:tcPr>
          <w:p w14:paraId="1C1F172B" w14:textId="77777777" w:rsidR="000B4CBF" w:rsidRPr="004D46AC" w:rsidRDefault="000B4CBF" w:rsidP="00B518F1">
            <w:pPr>
              <w:spacing w:line="240" w:lineRule="auto"/>
              <w:ind w:firstLine="0"/>
            </w:pPr>
            <w:r w:rsidRPr="004D46AC">
              <w:rPr>
                <w:color w:val="000000"/>
              </w:rPr>
              <w:t>TR14--TR20</w:t>
            </w:r>
          </w:p>
        </w:tc>
        <w:tc>
          <w:tcPr>
            <w:tcW w:w="1704" w:type="dxa"/>
            <w:vAlign w:val="center"/>
          </w:tcPr>
          <w:p w14:paraId="6FC89813" w14:textId="77777777" w:rsidR="000B4CBF" w:rsidRPr="004D46AC" w:rsidRDefault="000B4CBF" w:rsidP="00B518F1">
            <w:pPr>
              <w:spacing w:line="240" w:lineRule="auto"/>
              <w:ind w:firstLine="0"/>
            </w:pPr>
            <w:r w:rsidRPr="004D46AC">
              <w:rPr>
                <w:color w:val="000000"/>
                <w:szCs w:val="21"/>
              </w:rPr>
              <w:t xml:space="preserve">0.24 </w:t>
            </w:r>
          </w:p>
        </w:tc>
        <w:tc>
          <w:tcPr>
            <w:tcW w:w="1704" w:type="dxa"/>
            <w:vAlign w:val="center"/>
          </w:tcPr>
          <w:p w14:paraId="7D7EF2DE"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0A382EB4" w14:textId="77777777" w:rsidR="000B4CBF" w:rsidRPr="004D46AC" w:rsidRDefault="000B4CBF" w:rsidP="00B518F1">
            <w:pPr>
              <w:spacing w:line="240" w:lineRule="auto"/>
              <w:ind w:firstLine="0"/>
            </w:pPr>
            <w:r w:rsidRPr="004D46AC">
              <w:rPr>
                <w:color w:val="000000"/>
                <w:szCs w:val="21"/>
              </w:rPr>
              <w:t xml:space="preserve">0.66 </w:t>
            </w:r>
          </w:p>
        </w:tc>
        <w:tc>
          <w:tcPr>
            <w:tcW w:w="1705" w:type="dxa"/>
            <w:vAlign w:val="center"/>
          </w:tcPr>
          <w:p w14:paraId="28647334" w14:textId="77777777" w:rsidR="000B4CBF" w:rsidRPr="004D46AC" w:rsidRDefault="000B4CBF" w:rsidP="00B518F1">
            <w:pPr>
              <w:spacing w:line="240" w:lineRule="auto"/>
              <w:ind w:firstLine="0"/>
            </w:pPr>
            <w:r w:rsidRPr="004D46AC">
              <w:rPr>
                <w:color w:val="000000"/>
                <w:szCs w:val="21"/>
              </w:rPr>
              <w:t xml:space="preserve">0.24 </w:t>
            </w:r>
          </w:p>
        </w:tc>
      </w:tr>
      <w:tr w:rsidR="000B4CBF" w:rsidRPr="004D46AC" w14:paraId="0D080CDB" w14:textId="77777777" w:rsidTr="00B518F1">
        <w:tc>
          <w:tcPr>
            <w:tcW w:w="1704" w:type="dxa"/>
            <w:vAlign w:val="center"/>
          </w:tcPr>
          <w:p w14:paraId="2B3C3F58" w14:textId="77777777" w:rsidR="000B4CBF" w:rsidRPr="004D46AC" w:rsidRDefault="000B4CBF" w:rsidP="00B518F1">
            <w:pPr>
              <w:spacing w:line="240" w:lineRule="auto"/>
              <w:ind w:firstLine="0"/>
            </w:pPr>
            <w:r w:rsidRPr="004D46AC">
              <w:rPr>
                <w:color w:val="000000"/>
              </w:rPr>
              <w:t>TR24--TR26</w:t>
            </w:r>
          </w:p>
        </w:tc>
        <w:tc>
          <w:tcPr>
            <w:tcW w:w="1704" w:type="dxa"/>
            <w:vAlign w:val="center"/>
          </w:tcPr>
          <w:p w14:paraId="4156E624" w14:textId="77777777" w:rsidR="000B4CBF" w:rsidRPr="004D46AC" w:rsidRDefault="000B4CBF" w:rsidP="00B518F1">
            <w:pPr>
              <w:spacing w:line="240" w:lineRule="auto"/>
              <w:ind w:firstLine="0"/>
            </w:pPr>
            <w:r w:rsidRPr="004D46AC">
              <w:rPr>
                <w:color w:val="000000"/>
                <w:szCs w:val="21"/>
              </w:rPr>
              <w:t xml:space="preserve">0.24 </w:t>
            </w:r>
          </w:p>
        </w:tc>
        <w:tc>
          <w:tcPr>
            <w:tcW w:w="1704" w:type="dxa"/>
            <w:vAlign w:val="center"/>
          </w:tcPr>
          <w:p w14:paraId="3DC7BE62"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32DF7E22" w14:textId="77777777" w:rsidR="000B4CBF" w:rsidRPr="004D46AC" w:rsidRDefault="000B4CBF" w:rsidP="00B518F1">
            <w:pPr>
              <w:spacing w:line="240" w:lineRule="auto"/>
              <w:ind w:firstLine="0"/>
            </w:pPr>
            <w:r w:rsidRPr="004D46AC">
              <w:rPr>
                <w:color w:val="000000"/>
                <w:szCs w:val="21"/>
              </w:rPr>
              <w:t xml:space="preserve">0.67 </w:t>
            </w:r>
          </w:p>
        </w:tc>
        <w:tc>
          <w:tcPr>
            <w:tcW w:w="1705" w:type="dxa"/>
            <w:vAlign w:val="center"/>
          </w:tcPr>
          <w:p w14:paraId="42F6B199" w14:textId="77777777" w:rsidR="000B4CBF" w:rsidRPr="004D46AC" w:rsidRDefault="000B4CBF" w:rsidP="00B518F1">
            <w:pPr>
              <w:spacing w:line="240" w:lineRule="auto"/>
              <w:ind w:firstLine="0"/>
            </w:pPr>
            <w:r w:rsidRPr="004D46AC">
              <w:rPr>
                <w:color w:val="000000"/>
                <w:szCs w:val="21"/>
              </w:rPr>
              <w:t xml:space="preserve">0.31 </w:t>
            </w:r>
          </w:p>
        </w:tc>
      </w:tr>
      <w:tr w:rsidR="000B4CBF" w:rsidRPr="004D46AC" w14:paraId="1F26B6F0" w14:textId="77777777" w:rsidTr="00B518F1">
        <w:tc>
          <w:tcPr>
            <w:tcW w:w="1704" w:type="dxa"/>
            <w:vAlign w:val="center"/>
          </w:tcPr>
          <w:p w14:paraId="08E1F1F9" w14:textId="77777777" w:rsidR="000B4CBF" w:rsidRPr="004D46AC" w:rsidRDefault="000B4CBF" w:rsidP="00B518F1">
            <w:pPr>
              <w:spacing w:line="240" w:lineRule="auto"/>
              <w:ind w:firstLine="0"/>
            </w:pPr>
            <w:r w:rsidRPr="004D46AC">
              <w:rPr>
                <w:color w:val="000000"/>
              </w:rPr>
              <w:t>TR21--TR26</w:t>
            </w:r>
          </w:p>
        </w:tc>
        <w:tc>
          <w:tcPr>
            <w:tcW w:w="1704" w:type="dxa"/>
            <w:vAlign w:val="center"/>
          </w:tcPr>
          <w:p w14:paraId="5F0C8AB6" w14:textId="77777777" w:rsidR="000B4CBF" w:rsidRPr="004D46AC" w:rsidRDefault="000B4CBF" w:rsidP="00B518F1">
            <w:pPr>
              <w:spacing w:line="240" w:lineRule="auto"/>
              <w:ind w:firstLine="0"/>
            </w:pPr>
            <w:r w:rsidRPr="004D46AC">
              <w:rPr>
                <w:color w:val="000000"/>
                <w:szCs w:val="21"/>
              </w:rPr>
              <w:t xml:space="preserve">0.23 </w:t>
            </w:r>
          </w:p>
        </w:tc>
        <w:tc>
          <w:tcPr>
            <w:tcW w:w="1704" w:type="dxa"/>
            <w:vAlign w:val="center"/>
          </w:tcPr>
          <w:p w14:paraId="7F325D3A"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4A2F769A" w14:textId="77777777" w:rsidR="000B4CBF" w:rsidRPr="004D46AC" w:rsidRDefault="000B4CBF" w:rsidP="00B518F1">
            <w:pPr>
              <w:spacing w:line="240" w:lineRule="auto"/>
              <w:ind w:firstLine="0"/>
            </w:pPr>
            <w:r w:rsidRPr="004D46AC">
              <w:rPr>
                <w:color w:val="000000"/>
                <w:szCs w:val="21"/>
              </w:rPr>
              <w:t xml:space="preserve">0.60 </w:t>
            </w:r>
          </w:p>
        </w:tc>
        <w:tc>
          <w:tcPr>
            <w:tcW w:w="1705" w:type="dxa"/>
            <w:vAlign w:val="center"/>
          </w:tcPr>
          <w:p w14:paraId="19E5C797" w14:textId="77777777" w:rsidR="000B4CBF" w:rsidRPr="004D46AC" w:rsidRDefault="000B4CBF" w:rsidP="00B518F1">
            <w:pPr>
              <w:spacing w:line="240" w:lineRule="auto"/>
              <w:ind w:firstLine="0"/>
            </w:pPr>
            <w:r w:rsidRPr="004D46AC">
              <w:rPr>
                <w:color w:val="000000"/>
                <w:szCs w:val="21"/>
              </w:rPr>
              <w:t xml:space="preserve">0.34 </w:t>
            </w:r>
          </w:p>
        </w:tc>
      </w:tr>
      <w:tr w:rsidR="000B4CBF" w:rsidRPr="004D46AC" w14:paraId="0DC4D7F2" w14:textId="77777777" w:rsidTr="00B518F1">
        <w:tc>
          <w:tcPr>
            <w:tcW w:w="1704" w:type="dxa"/>
            <w:vAlign w:val="center"/>
          </w:tcPr>
          <w:p w14:paraId="2B44C8D1" w14:textId="77777777" w:rsidR="000B4CBF" w:rsidRPr="004D46AC" w:rsidRDefault="000B4CBF" w:rsidP="00B518F1">
            <w:pPr>
              <w:spacing w:line="240" w:lineRule="auto"/>
              <w:ind w:firstLine="0"/>
            </w:pPr>
            <w:r w:rsidRPr="004D46AC">
              <w:rPr>
                <w:color w:val="000000"/>
              </w:rPr>
              <w:t>TR30--TR25</w:t>
            </w:r>
          </w:p>
        </w:tc>
        <w:tc>
          <w:tcPr>
            <w:tcW w:w="1704" w:type="dxa"/>
            <w:vAlign w:val="center"/>
          </w:tcPr>
          <w:p w14:paraId="08D8B32D" w14:textId="77777777" w:rsidR="000B4CBF" w:rsidRPr="004D46AC" w:rsidRDefault="000B4CBF" w:rsidP="00B518F1">
            <w:pPr>
              <w:spacing w:line="240" w:lineRule="auto"/>
              <w:ind w:firstLine="0"/>
            </w:pPr>
            <w:r w:rsidRPr="004D46AC">
              <w:rPr>
                <w:color w:val="000000"/>
                <w:szCs w:val="21"/>
              </w:rPr>
              <w:t xml:space="preserve">0.23 </w:t>
            </w:r>
          </w:p>
        </w:tc>
        <w:tc>
          <w:tcPr>
            <w:tcW w:w="1704" w:type="dxa"/>
            <w:vAlign w:val="center"/>
          </w:tcPr>
          <w:p w14:paraId="7C5E7021"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4E009753" w14:textId="77777777" w:rsidR="000B4CBF" w:rsidRPr="004D46AC" w:rsidRDefault="000B4CBF" w:rsidP="00B518F1">
            <w:pPr>
              <w:spacing w:line="240" w:lineRule="auto"/>
              <w:ind w:firstLine="0"/>
            </w:pPr>
            <w:r w:rsidRPr="004D46AC">
              <w:rPr>
                <w:color w:val="000000"/>
                <w:szCs w:val="21"/>
              </w:rPr>
              <w:t xml:space="preserve">0.62 </w:t>
            </w:r>
          </w:p>
        </w:tc>
        <w:tc>
          <w:tcPr>
            <w:tcW w:w="1705" w:type="dxa"/>
            <w:vAlign w:val="center"/>
          </w:tcPr>
          <w:p w14:paraId="07BA3661" w14:textId="77777777" w:rsidR="000B4CBF" w:rsidRPr="004D46AC" w:rsidRDefault="000B4CBF" w:rsidP="00B518F1">
            <w:pPr>
              <w:spacing w:line="240" w:lineRule="auto"/>
              <w:ind w:firstLine="0"/>
            </w:pPr>
            <w:r w:rsidRPr="004D46AC">
              <w:rPr>
                <w:color w:val="000000"/>
                <w:szCs w:val="21"/>
              </w:rPr>
              <w:t xml:space="preserve">0.43 </w:t>
            </w:r>
          </w:p>
        </w:tc>
      </w:tr>
      <w:tr w:rsidR="000B4CBF" w:rsidRPr="004D46AC" w14:paraId="20D44E7B" w14:textId="77777777" w:rsidTr="00B518F1">
        <w:tc>
          <w:tcPr>
            <w:tcW w:w="1704" w:type="dxa"/>
            <w:vAlign w:val="center"/>
          </w:tcPr>
          <w:p w14:paraId="539D14F0" w14:textId="77777777" w:rsidR="000B4CBF" w:rsidRPr="004D46AC" w:rsidRDefault="000B4CBF" w:rsidP="00B518F1">
            <w:pPr>
              <w:spacing w:line="240" w:lineRule="auto"/>
              <w:ind w:firstLine="0"/>
            </w:pPr>
            <w:r w:rsidRPr="004D46AC">
              <w:rPr>
                <w:color w:val="000000"/>
              </w:rPr>
              <w:t>TR12--TR15</w:t>
            </w:r>
          </w:p>
        </w:tc>
        <w:tc>
          <w:tcPr>
            <w:tcW w:w="1704" w:type="dxa"/>
            <w:vAlign w:val="center"/>
          </w:tcPr>
          <w:p w14:paraId="4C39139A" w14:textId="77777777" w:rsidR="000B4CBF" w:rsidRPr="004D46AC" w:rsidRDefault="000B4CBF" w:rsidP="00B518F1">
            <w:pPr>
              <w:spacing w:line="240" w:lineRule="auto"/>
              <w:ind w:firstLine="0"/>
            </w:pPr>
            <w:r w:rsidRPr="004D46AC">
              <w:rPr>
                <w:color w:val="000000"/>
                <w:szCs w:val="21"/>
              </w:rPr>
              <w:t xml:space="preserve">0.23 </w:t>
            </w:r>
          </w:p>
        </w:tc>
        <w:tc>
          <w:tcPr>
            <w:tcW w:w="1704" w:type="dxa"/>
            <w:vAlign w:val="center"/>
          </w:tcPr>
          <w:p w14:paraId="44B1E1AC"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772B5E72" w14:textId="77777777" w:rsidR="000B4CBF" w:rsidRPr="004D46AC" w:rsidRDefault="000B4CBF" w:rsidP="00B518F1">
            <w:pPr>
              <w:spacing w:line="240" w:lineRule="auto"/>
              <w:ind w:firstLine="0"/>
            </w:pPr>
            <w:r w:rsidRPr="004D46AC">
              <w:rPr>
                <w:color w:val="000000"/>
                <w:szCs w:val="21"/>
              </w:rPr>
              <w:t xml:space="preserve">0.59 </w:t>
            </w:r>
          </w:p>
        </w:tc>
        <w:tc>
          <w:tcPr>
            <w:tcW w:w="1705" w:type="dxa"/>
            <w:vAlign w:val="center"/>
          </w:tcPr>
          <w:p w14:paraId="55D328E2" w14:textId="77777777" w:rsidR="000B4CBF" w:rsidRPr="004D46AC" w:rsidRDefault="000B4CBF" w:rsidP="00B518F1">
            <w:pPr>
              <w:spacing w:line="240" w:lineRule="auto"/>
              <w:ind w:firstLine="0"/>
            </w:pPr>
            <w:r w:rsidRPr="004D46AC">
              <w:rPr>
                <w:color w:val="000000"/>
                <w:szCs w:val="21"/>
              </w:rPr>
              <w:t xml:space="preserve">0.32 </w:t>
            </w:r>
          </w:p>
        </w:tc>
      </w:tr>
      <w:tr w:rsidR="000B4CBF" w:rsidRPr="004D46AC" w14:paraId="5E6FB4BE" w14:textId="77777777" w:rsidTr="00B518F1">
        <w:tc>
          <w:tcPr>
            <w:tcW w:w="1704" w:type="dxa"/>
            <w:vAlign w:val="center"/>
          </w:tcPr>
          <w:p w14:paraId="0BD37923" w14:textId="77777777" w:rsidR="000B4CBF" w:rsidRPr="004D46AC" w:rsidRDefault="000B4CBF" w:rsidP="00B518F1">
            <w:pPr>
              <w:spacing w:line="240" w:lineRule="auto"/>
              <w:ind w:firstLine="0"/>
            </w:pPr>
            <w:r w:rsidRPr="004D46AC">
              <w:rPr>
                <w:color w:val="000000"/>
              </w:rPr>
              <w:t>TR9--TR18</w:t>
            </w:r>
          </w:p>
        </w:tc>
        <w:tc>
          <w:tcPr>
            <w:tcW w:w="1704" w:type="dxa"/>
            <w:vAlign w:val="center"/>
          </w:tcPr>
          <w:p w14:paraId="4ADAECE3" w14:textId="77777777" w:rsidR="000B4CBF" w:rsidRPr="004D46AC" w:rsidRDefault="000B4CBF" w:rsidP="00B518F1">
            <w:pPr>
              <w:spacing w:line="240" w:lineRule="auto"/>
              <w:ind w:firstLine="0"/>
            </w:pPr>
            <w:r w:rsidRPr="004D46AC">
              <w:rPr>
                <w:color w:val="000000"/>
                <w:szCs w:val="21"/>
              </w:rPr>
              <w:t xml:space="preserve">0.23 </w:t>
            </w:r>
          </w:p>
        </w:tc>
        <w:tc>
          <w:tcPr>
            <w:tcW w:w="1704" w:type="dxa"/>
            <w:vAlign w:val="center"/>
          </w:tcPr>
          <w:p w14:paraId="4BBE8AA5"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67D9AF09" w14:textId="77777777" w:rsidR="000B4CBF" w:rsidRPr="004D46AC" w:rsidRDefault="000B4CBF" w:rsidP="00B518F1">
            <w:pPr>
              <w:spacing w:line="240" w:lineRule="auto"/>
              <w:ind w:firstLine="0"/>
            </w:pPr>
            <w:r w:rsidRPr="004D46AC">
              <w:rPr>
                <w:color w:val="000000"/>
                <w:szCs w:val="21"/>
              </w:rPr>
              <w:t xml:space="preserve">0.65 </w:t>
            </w:r>
          </w:p>
        </w:tc>
        <w:tc>
          <w:tcPr>
            <w:tcW w:w="1705" w:type="dxa"/>
            <w:vAlign w:val="center"/>
          </w:tcPr>
          <w:p w14:paraId="251CD6F8" w14:textId="77777777" w:rsidR="000B4CBF" w:rsidRPr="004D46AC" w:rsidRDefault="000B4CBF" w:rsidP="00B518F1">
            <w:pPr>
              <w:spacing w:line="240" w:lineRule="auto"/>
              <w:ind w:firstLine="0"/>
            </w:pPr>
            <w:r w:rsidRPr="004D46AC">
              <w:rPr>
                <w:color w:val="000000"/>
                <w:szCs w:val="21"/>
              </w:rPr>
              <w:t xml:space="preserve">0.29 </w:t>
            </w:r>
          </w:p>
        </w:tc>
      </w:tr>
      <w:tr w:rsidR="000B4CBF" w:rsidRPr="004D46AC" w14:paraId="4C825D9A" w14:textId="77777777" w:rsidTr="00B518F1">
        <w:tc>
          <w:tcPr>
            <w:tcW w:w="1704" w:type="dxa"/>
            <w:vAlign w:val="center"/>
          </w:tcPr>
          <w:p w14:paraId="7E75D641" w14:textId="77777777" w:rsidR="000B4CBF" w:rsidRPr="004D46AC" w:rsidRDefault="000B4CBF" w:rsidP="00B518F1">
            <w:pPr>
              <w:spacing w:line="240" w:lineRule="auto"/>
              <w:ind w:firstLine="0"/>
            </w:pPr>
            <w:r w:rsidRPr="004D46AC">
              <w:rPr>
                <w:color w:val="000000"/>
              </w:rPr>
              <w:t>TR24--TR9</w:t>
            </w:r>
          </w:p>
        </w:tc>
        <w:tc>
          <w:tcPr>
            <w:tcW w:w="1704" w:type="dxa"/>
            <w:vAlign w:val="center"/>
          </w:tcPr>
          <w:p w14:paraId="09A977C6" w14:textId="77777777" w:rsidR="000B4CBF" w:rsidRPr="004D46AC" w:rsidRDefault="000B4CBF" w:rsidP="00B518F1">
            <w:pPr>
              <w:spacing w:line="240" w:lineRule="auto"/>
              <w:ind w:firstLine="0"/>
            </w:pPr>
            <w:r w:rsidRPr="004D46AC">
              <w:rPr>
                <w:color w:val="000000"/>
                <w:szCs w:val="21"/>
              </w:rPr>
              <w:t xml:space="preserve">0.23 </w:t>
            </w:r>
          </w:p>
        </w:tc>
        <w:tc>
          <w:tcPr>
            <w:tcW w:w="1704" w:type="dxa"/>
            <w:vAlign w:val="center"/>
          </w:tcPr>
          <w:p w14:paraId="456499A8"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3F679ABF" w14:textId="77777777" w:rsidR="000B4CBF" w:rsidRPr="004D46AC" w:rsidRDefault="000B4CBF" w:rsidP="00B518F1">
            <w:pPr>
              <w:spacing w:line="240" w:lineRule="auto"/>
              <w:ind w:firstLine="0"/>
            </w:pPr>
            <w:r w:rsidRPr="004D46AC">
              <w:rPr>
                <w:color w:val="000000"/>
                <w:szCs w:val="21"/>
              </w:rPr>
              <w:t xml:space="preserve">0.63 </w:t>
            </w:r>
          </w:p>
        </w:tc>
        <w:tc>
          <w:tcPr>
            <w:tcW w:w="1705" w:type="dxa"/>
            <w:vAlign w:val="center"/>
          </w:tcPr>
          <w:p w14:paraId="04A86DA1" w14:textId="77777777" w:rsidR="000B4CBF" w:rsidRPr="004D46AC" w:rsidRDefault="000B4CBF" w:rsidP="00B518F1">
            <w:pPr>
              <w:spacing w:line="240" w:lineRule="auto"/>
              <w:ind w:firstLine="0"/>
            </w:pPr>
            <w:r w:rsidRPr="004D46AC">
              <w:rPr>
                <w:color w:val="000000"/>
                <w:szCs w:val="21"/>
              </w:rPr>
              <w:t xml:space="preserve">0.36 </w:t>
            </w:r>
          </w:p>
        </w:tc>
      </w:tr>
      <w:tr w:rsidR="000B4CBF" w:rsidRPr="004D46AC" w14:paraId="7DD33C71" w14:textId="77777777" w:rsidTr="00B518F1">
        <w:tc>
          <w:tcPr>
            <w:tcW w:w="1704" w:type="dxa"/>
            <w:vAlign w:val="center"/>
          </w:tcPr>
          <w:p w14:paraId="404DCBEA" w14:textId="77777777" w:rsidR="000B4CBF" w:rsidRPr="004D46AC" w:rsidRDefault="000B4CBF" w:rsidP="00B518F1">
            <w:pPr>
              <w:spacing w:line="240" w:lineRule="auto"/>
              <w:ind w:firstLine="0"/>
            </w:pPr>
            <w:r w:rsidRPr="004D46AC">
              <w:rPr>
                <w:color w:val="000000"/>
              </w:rPr>
              <w:t>TR6--TR16</w:t>
            </w:r>
          </w:p>
        </w:tc>
        <w:tc>
          <w:tcPr>
            <w:tcW w:w="1704" w:type="dxa"/>
            <w:vAlign w:val="center"/>
          </w:tcPr>
          <w:p w14:paraId="0394AA3A" w14:textId="77777777" w:rsidR="000B4CBF" w:rsidRPr="004D46AC" w:rsidRDefault="000B4CBF" w:rsidP="00B518F1">
            <w:pPr>
              <w:spacing w:line="240" w:lineRule="auto"/>
              <w:ind w:firstLine="0"/>
            </w:pPr>
            <w:r w:rsidRPr="004D46AC">
              <w:rPr>
                <w:color w:val="000000"/>
                <w:szCs w:val="21"/>
              </w:rPr>
              <w:t xml:space="preserve">0.22 </w:t>
            </w:r>
          </w:p>
        </w:tc>
        <w:tc>
          <w:tcPr>
            <w:tcW w:w="1704" w:type="dxa"/>
            <w:vAlign w:val="center"/>
          </w:tcPr>
          <w:p w14:paraId="79531ADB" w14:textId="77777777" w:rsidR="000B4CBF" w:rsidRPr="004D46AC" w:rsidRDefault="000B4CBF" w:rsidP="00B518F1">
            <w:pPr>
              <w:spacing w:line="240" w:lineRule="auto"/>
              <w:ind w:firstLine="0"/>
            </w:pPr>
            <w:r w:rsidRPr="004D46AC">
              <w:rPr>
                <w:color w:val="000000"/>
                <w:szCs w:val="21"/>
              </w:rPr>
              <w:t xml:space="preserve">-0.26 </w:t>
            </w:r>
          </w:p>
        </w:tc>
        <w:tc>
          <w:tcPr>
            <w:tcW w:w="1705" w:type="dxa"/>
            <w:vAlign w:val="center"/>
          </w:tcPr>
          <w:p w14:paraId="043A2EB6" w14:textId="77777777" w:rsidR="000B4CBF" w:rsidRPr="004D46AC" w:rsidRDefault="000B4CBF" w:rsidP="00B518F1">
            <w:pPr>
              <w:spacing w:line="240" w:lineRule="auto"/>
              <w:ind w:firstLine="0"/>
            </w:pPr>
            <w:r w:rsidRPr="004D46AC">
              <w:rPr>
                <w:color w:val="000000"/>
                <w:szCs w:val="21"/>
              </w:rPr>
              <w:t xml:space="preserve">0.70 </w:t>
            </w:r>
          </w:p>
        </w:tc>
        <w:tc>
          <w:tcPr>
            <w:tcW w:w="1705" w:type="dxa"/>
            <w:vAlign w:val="center"/>
          </w:tcPr>
          <w:p w14:paraId="471EA601" w14:textId="77777777" w:rsidR="000B4CBF" w:rsidRPr="004D46AC" w:rsidRDefault="000B4CBF" w:rsidP="00B518F1">
            <w:pPr>
              <w:spacing w:line="240" w:lineRule="auto"/>
              <w:ind w:firstLine="0"/>
            </w:pPr>
            <w:r w:rsidRPr="004D46AC">
              <w:rPr>
                <w:color w:val="000000"/>
                <w:szCs w:val="21"/>
              </w:rPr>
              <w:t xml:space="preserve">0.46 </w:t>
            </w:r>
          </w:p>
        </w:tc>
      </w:tr>
      <w:tr w:rsidR="000B4CBF" w:rsidRPr="004D46AC" w14:paraId="4A6EDE16" w14:textId="77777777" w:rsidTr="00B518F1">
        <w:tc>
          <w:tcPr>
            <w:tcW w:w="1704" w:type="dxa"/>
            <w:vAlign w:val="center"/>
          </w:tcPr>
          <w:p w14:paraId="2BC2B137" w14:textId="77777777" w:rsidR="000B4CBF" w:rsidRPr="004D46AC" w:rsidRDefault="000B4CBF" w:rsidP="00B518F1">
            <w:pPr>
              <w:spacing w:line="240" w:lineRule="auto"/>
              <w:ind w:firstLine="0"/>
            </w:pPr>
            <w:r w:rsidRPr="004D46AC">
              <w:rPr>
                <w:color w:val="000000"/>
              </w:rPr>
              <w:t>TR7--TR19</w:t>
            </w:r>
          </w:p>
        </w:tc>
        <w:tc>
          <w:tcPr>
            <w:tcW w:w="1704" w:type="dxa"/>
            <w:vAlign w:val="center"/>
          </w:tcPr>
          <w:p w14:paraId="67154FB0" w14:textId="77777777" w:rsidR="000B4CBF" w:rsidRPr="004D46AC" w:rsidRDefault="000B4CBF" w:rsidP="00B518F1">
            <w:pPr>
              <w:spacing w:line="240" w:lineRule="auto"/>
              <w:ind w:firstLine="0"/>
            </w:pPr>
            <w:r w:rsidRPr="004D46AC">
              <w:rPr>
                <w:color w:val="000000"/>
                <w:szCs w:val="21"/>
              </w:rPr>
              <w:t xml:space="preserve">0.22 </w:t>
            </w:r>
          </w:p>
        </w:tc>
        <w:tc>
          <w:tcPr>
            <w:tcW w:w="1704" w:type="dxa"/>
            <w:vAlign w:val="center"/>
          </w:tcPr>
          <w:p w14:paraId="379F026E"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6A2D1A96" w14:textId="77777777" w:rsidR="000B4CBF" w:rsidRPr="004D46AC" w:rsidRDefault="000B4CBF" w:rsidP="00B518F1">
            <w:pPr>
              <w:spacing w:line="240" w:lineRule="auto"/>
              <w:ind w:firstLine="0"/>
            </w:pPr>
            <w:r w:rsidRPr="004D46AC">
              <w:rPr>
                <w:color w:val="000000"/>
                <w:szCs w:val="21"/>
              </w:rPr>
              <w:t xml:space="preserve">0.61 </w:t>
            </w:r>
          </w:p>
        </w:tc>
        <w:tc>
          <w:tcPr>
            <w:tcW w:w="1705" w:type="dxa"/>
            <w:vAlign w:val="center"/>
          </w:tcPr>
          <w:p w14:paraId="5F61EA85" w14:textId="77777777" w:rsidR="000B4CBF" w:rsidRPr="004D46AC" w:rsidRDefault="000B4CBF" w:rsidP="00B518F1">
            <w:pPr>
              <w:spacing w:line="240" w:lineRule="auto"/>
              <w:ind w:firstLine="0"/>
            </w:pPr>
            <w:r w:rsidRPr="004D46AC">
              <w:rPr>
                <w:color w:val="000000"/>
                <w:szCs w:val="21"/>
              </w:rPr>
              <w:t xml:space="preserve">0.37 </w:t>
            </w:r>
          </w:p>
        </w:tc>
      </w:tr>
      <w:tr w:rsidR="000B4CBF" w:rsidRPr="004D46AC" w14:paraId="3F3CEF3D" w14:textId="77777777" w:rsidTr="00B518F1">
        <w:tc>
          <w:tcPr>
            <w:tcW w:w="1704" w:type="dxa"/>
            <w:vAlign w:val="center"/>
          </w:tcPr>
          <w:p w14:paraId="1A4ACFCE" w14:textId="77777777" w:rsidR="000B4CBF" w:rsidRPr="004D46AC" w:rsidRDefault="000B4CBF" w:rsidP="00B518F1">
            <w:pPr>
              <w:spacing w:line="240" w:lineRule="auto"/>
              <w:ind w:firstLine="0"/>
            </w:pPr>
            <w:r w:rsidRPr="004D46AC">
              <w:rPr>
                <w:color w:val="000000"/>
              </w:rPr>
              <w:t>TR37--TR6</w:t>
            </w:r>
          </w:p>
        </w:tc>
        <w:tc>
          <w:tcPr>
            <w:tcW w:w="1704" w:type="dxa"/>
            <w:vAlign w:val="center"/>
          </w:tcPr>
          <w:p w14:paraId="4312D532" w14:textId="77777777" w:rsidR="000B4CBF" w:rsidRPr="004D46AC" w:rsidRDefault="000B4CBF" w:rsidP="00B518F1">
            <w:pPr>
              <w:spacing w:line="240" w:lineRule="auto"/>
              <w:ind w:firstLine="0"/>
            </w:pPr>
            <w:r w:rsidRPr="004D46AC">
              <w:rPr>
                <w:color w:val="000000"/>
                <w:szCs w:val="21"/>
              </w:rPr>
              <w:t xml:space="preserve">0.21 </w:t>
            </w:r>
          </w:p>
        </w:tc>
        <w:tc>
          <w:tcPr>
            <w:tcW w:w="1704" w:type="dxa"/>
            <w:vAlign w:val="center"/>
          </w:tcPr>
          <w:p w14:paraId="4489C451"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743D3981" w14:textId="77777777" w:rsidR="000B4CBF" w:rsidRPr="004D46AC" w:rsidRDefault="000B4CBF" w:rsidP="00B518F1">
            <w:pPr>
              <w:spacing w:line="240" w:lineRule="auto"/>
              <w:ind w:firstLine="0"/>
            </w:pPr>
            <w:r w:rsidRPr="004D46AC">
              <w:rPr>
                <w:color w:val="000000"/>
                <w:szCs w:val="21"/>
              </w:rPr>
              <w:t xml:space="preserve">0.61 </w:t>
            </w:r>
          </w:p>
        </w:tc>
        <w:tc>
          <w:tcPr>
            <w:tcW w:w="1705" w:type="dxa"/>
            <w:vAlign w:val="center"/>
          </w:tcPr>
          <w:p w14:paraId="6BD40126" w14:textId="77777777" w:rsidR="000B4CBF" w:rsidRPr="004D46AC" w:rsidRDefault="000B4CBF" w:rsidP="00B518F1">
            <w:pPr>
              <w:spacing w:line="240" w:lineRule="auto"/>
              <w:ind w:firstLine="0"/>
            </w:pPr>
            <w:r w:rsidRPr="004D46AC">
              <w:rPr>
                <w:color w:val="000000"/>
                <w:szCs w:val="21"/>
              </w:rPr>
              <w:t xml:space="preserve">0.37 </w:t>
            </w:r>
          </w:p>
        </w:tc>
      </w:tr>
      <w:tr w:rsidR="000B4CBF" w:rsidRPr="004D46AC" w14:paraId="470D20EF" w14:textId="77777777" w:rsidTr="00B518F1">
        <w:tc>
          <w:tcPr>
            <w:tcW w:w="1704" w:type="dxa"/>
            <w:vAlign w:val="center"/>
          </w:tcPr>
          <w:p w14:paraId="1FB2C84F" w14:textId="77777777" w:rsidR="000B4CBF" w:rsidRPr="004D46AC" w:rsidRDefault="000B4CBF" w:rsidP="00B518F1">
            <w:pPr>
              <w:spacing w:line="240" w:lineRule="auto"/>
              <w:ind w:firstLine="0"/>
            </w:pPr>
            <w:r w:rsidRPr="004D46AC">
              <w:rPr>
                <w:color w:val="000000"/>
              </w:rPr>
              <w:t>TR15--TR24</w:t>
            </w:r>
          </w:p>
        </w:tc>
        <w:tc>
          <w:tcPr>
            <w:tcW w:w="1704" w:type="dxa"/>
            <w:vAlign w:val="center"/>
          </w:tcPr>
          <w:p w14:paraId="28BB4DAD" w14:textId="77777777" w:rsidR="000B4CBF" w:rsidRPr="004D46AC" w:rsidRDefault="000B4CBF" w:rsidP="00B518F1">
            <w:pPr>
              <w:spacing w:line="240" w:lineRule="auto"/>
              <w:ind w:firstLine="0"/>
            </w:pPr>
            <w:r w:rsidRPr="004D46AC">
              <w:rPr>
                <w:color w:val="000000"/>
                <w:szCs w:val="21"/>
              </w:rPr>
              <w:t xml:space="preserve">0.21 </w:t>
            </w:r>
          </w:p>
        </w:tc>
        <w:tc>
          <w:tcPr>
            <w:tcW w:w="1704" w:type="dxa"/>
            <w:vAlign w:val="center"/>
          </w:tcPr>
          <w:p w14:paraId="349FAA8F"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6C5EF914" w14:textId="77777777" w:rsidR="000B4CBF" w:rsidRPr="004D46AC" w:rsidRDefault="000B4CBF" w:rsidP="00B518F1">
            <w:pPr>
              <w:spacing w:line="240" w:lineRule="auto"/>
              <w:ind w:firstLine="0"/>
            </w:pPr>
            <w:r w:rsidRPr="004D46AC">
              <w:rPr>
                <w:color w:val="000000"/>
                <w:szCs w:val="21"/>
              </w:rPr>
              <w:t xml:space="preserve">0.59 </w:t>
            </w:r>
          </w:p>
        </w:tc>
        <w:tc>
          <w:tcPr>
            <w:tcW w:w="1705" w:type="dxa"/>
            <w:vAlign w:val="center"/>
          </w:tcPr>
          <w:p w14:paraId="128658E6" w14:textId="77777777" w:rsidR="000B4CBF" w:rsidRPr="004D46AC" w:rsidRDefault="000B4CBF" w:rsidP="00B518F1">
            <w:pPr>
              <w:spacing w:line="240" w:lineRule="auto"/>
              <w:ind w:firstLine="0"/>
            </w:pPr>
            <w:r w:rsidRPr="004D46AC">
              <w:rPr>
                <w:color w:val="000000"/>
                <w:szCs w:val="21"/>
              </w:rPr>
              <w:t xml:space="preserve">0.32 </w:t>
            </w:r>
          </w:p>
        </w:tc>
      </w:tr>
      <w:tr w:rsidR="000B4CBF" w:rsidRPr="004D46AC" w14:paraId="6574EFB3" w14:textId="77777777" w:rsidTr="00B518F1">
        <w:tc>
          <w:tcPr>
            <w:tcW w:w="1704" w:type="dxa"/>
            <w:vAlign w:val="center"/>
          </w:tcPr>
          <w:p w14:paraId="5DB53F33" w14:textId="77777777" w:rsidR="000B4CBF" w:rsidRPr="004D46AC" w:rsidRDefault="000B4CBF" w:rsidP="00B518F1">
            <w:pPr>
              <w:spacing w:line="240" w:lineRule="auto"/>
              <w:ind w:firstLine="0"/>
            </w:pPr>
            <w:r w:rsidRPr="004D46AC">
              <w:rPr>
                <w:color w:val="000000"/>
              </w:rPr>
              <w:t>TR15--TR27</w:t>
            </w:r>
          </w:p>
        </w:tc>
        <w:tc>
          <w:tcPr>
            <w:tcW w:w="1704" w:type="dxa"/>
            <w:vAlign w:val="center"/>
          </w:tcPr>
          <w:p w14:paraId="0D466138"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600C6514" w14:textId="77777777" w:rsidR="000B4CBF" w:rsidRPr="004D46AC" w:rsidRDefault="000B4CBF" w:rsidP="00B518F1">
            <w:pPr>
              <w:spacing w:line="240" w:lineRule="auto"/>
              <w:ind w:firstLine="0"/>
            </w:pPr>
            <w:r w:rsidRPr="004D46AC">
              <w:rPr>
                <w:color w:val="000000"/>
                <w:szCs w:val="21"/>
              </w:rPr>
              <w:t xml:space="preserve">-0.14 </w:t>
            </w:r>
          </w:p>
        </w:tc>
        <w:tc>
          <w:tcPr>
            <w:tcW w:w="1705" w:type="dxa"/>
            <w:vAlign w:val="center"/>
          </w:tcPr>
          <w:p w14:paraId="568E91E5" w14:textId="77777777" w:rsidR="000B4CBF" w:rsidRPr="004D46AC" w:rsidRDefault="000B4CBF" w:rsidP="00B518F1">
            <w:pPr>
              <w:spacing w:line="240" w:lineRule="auto"/>
              <w:ind w:firstLine="0"/>
            </w:pPr>
            <w:r w:rsidRPr="004D46AC">
              <w:rPr>
                <w:color w:val="000000"/>
                <w:szCs w:val="21"/>
              </w:rPr>
              <w:t xml:space="preserve">0.55 </w:t>
            </w:r>
          </w:p>
        </w:tc>
        <w:tc>
          <w:tcPr>
            <w:tcW w:w="1705" w:type="dxa"/>
            <w:vAlign w:val="center"/>
          </w:tcPr>
          <w:p w14:paraId="367FF208" w14:textId="77777777" w:rsidR="000B4CBF" w:rsidRPr="004D46AC" w:rsidRDefault="000B4CBF" w:rsidP="00B518F1">
            <w:pPr>
              <w:spacing w:line="240" w:lineRule="auto"/>
              <w:ind w:firstLine="0"/>
            </w:pPr>
            <w:r w:rsidRPr="004D46AC">
              <w:rPr>
                <w:color w:val="000000"/>
                <w:szCs w:val="21"/>
              </w:rPr>
              <w:t xml:space="preserve">0.31 </w:t>
            </w:r>
          </w:p>
        </w:tc>
      </w:tr>
      <w:tr w:rsidR="000B4CBF" w:rsidRPr="004D46AC" w14:paraId="5056C261" w14:textId="77777777" w:rsidTr="00B518F1">
        <w:tc>
          <w:tcPr>
            <w:tcW w:w="1704" w:type="dxa"/>
            <w:vAlign w:val="center"/>
          </w:tcPr>
          <w:p w14:paraId="521C9B37" w14:textId="77777777" w:rsidR="000B4CBF" w:rsidRPr="004D46AC" w:rsidRDefault="000B4CBF" w:rsidP="00B518F1">
            <w:pPr>
              <w:spacing w:line="240" w:lineRule="auto"/>
              <w:ind w:firstLine="0"/>
            </w:pPr>
            <w:r w:rsidRPr="004D46AC">
              <w:rPr>
                <w:color w:val="000000"/>
              </w:rPr>
              <w:t>TR18--TR25</w:t>
            </w:r>
          </w:p>
        </w:tc>
        <w:tc>
          <w:tcPr>
            <w:tcW w:w="1704" w:type="dxa"/>
            <w:vAlign w:val="center"/>
          </w:tcPr>
          <w:p w14:paraId="2E7B6A1E"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4FA2D245"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346984F2" w14:textId="77777777" w:rsidR="000B4CBF" w:rsidRPr="004D46AC" w:rsidRDefault="000B4CBF" w:rsidP="00B518F1">
            <w:pPr>
              <w:spacing w:line="240" w:lineRule="auto"/>
              <w:ind w:firstLine="0"/>
            </w:pPr>
            <w:r w:rsidRPr="004D46AC">
              <w:rPr>
                <w:color w:val="000000"/>
                <w:szCs w:val="21"/>
              </w:rPr>
              <w:t xml:space="preserve">0.58 </w:t>
            </w:r>
          </w:p>
        </w:tc>
        <w:tc>
          <w:tcPr>
            <w:tcW w:w="1705" w:type="dxa"/>
            <w:vAlign w:val="center"/>
          </w:tcPr>
          <w:p w14:paraId="4F1E169F" w14:textId="77777777" w:rsidR="000B4CBF" w:rsidRPr="004D46AC" w:rsidRDefault="000B4CBF" w:rsidP="00B518F1">
            <w:pPr>
              <w:spacing w:line="240" w:lineRule="auto"/>
              <w:ind w:firstLine="0"/>
            </w:pPr>
            <w:r w:rsidRPr="004D46AC">
              <w:rPr>
                <w:color w:val="000000"/>
                <w:szCs w:val="21"/>
              </w:rPr>
              <w:t xml:space="preserve">0.55 </w:t>
            </w:r>
          </w:p>
        </w:tc>
      </w:tr>
      <w:tr w:rsidR="000B4CBF" w:rsidRPr="004D46AC" w14:paraId="775D193D" w14:textId="77777777" w:rsidTr="00B518F1">
        <w:tc>
          <w:tcPr>
            <w:tcW w:w="1704" w:type="dxa"/>
            <w:vAlign w:val="center"/>
          </w:tcPr>
          <w:p w14:paraId="2B6BDD4E" w14:textId="77777777" w:rsidR="000B4CBF" w:rsidRPr="004D46AC" w:rsidRDefault="000B4CBF" w:rsidP="00B518F1">
            <w:pPr>
              <w:spacing w:line="240" w:lineRule="auto"/>
              <w:ind w:firstLine="0"/>
            </w:pPr>
            <w:r w:rsidRPr="004D46AC">
              <w:rPr>
                <w:color w:val="000000"/>
              </w:rPr>
              <w:t>TR19--TR22</w:t>
            </w:r>
          </w:p>
        </w:tc>
        <w:tc>
          <w:tcPr>
            <w:tcW w:w="1704" w:type="dxa"/>
            <w:vAlign w:val="center"/>
          </w:tcPr>
          <w:p w14:paraId="6415B98C"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307C2340"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25611D9A" w14:textId="77777777" w:rsidR="000B4CBF" w:rsidRPr="004D46AC" w:rsidRDefault="000B4CBF" w:rsidP="00B518F1">
            <w:pPr>
              <w:spacing w:line="240" w:lineRule="auto"/>
              <w:ind w:firstLine="0"/>
            </w:pPr>
            <w:r w:rsidRPr="004D46AC">
              <w:rPr>
                <w:color w:val="000000"/>
                <w:szCs w:val="21"/>
              </w:rPr>
              <w:t xml:space="preserve">0.56 </w:t>
            </w:r>
          </w:p>
        </w:tc>
        <w:tc>
          <w:tcPr>
            <w:tcW w:w="1705" w:type="dxa"/>
            <w:vAlign w:val="center"/>
          </w:tcPr>
          <w:p w14:paraId="19B95E23" w14:textId="77777777" w:rsidR="000B4CBF" w:rsidRPr="004D46AC" w:rsidRDefault="000B4CBF" w:rsidP="00B518F1">
            <w:pPr>
              <w:spacing w:line="240" w:lineRule="auto"/>
              <w:ind w:firstLine="0"/>
            </w:pPr>
            <w:r w:rsidRPr="004D46AC">
              <w:rPr>
                <w:color w:val="000000"/>
                <w:szCs w:val="21"/>
              </w:rPr>
              <w:t xml:space="preserve">0.38 </w:t>
            </w:r>
          </w:p>
        </w:tc>
      </w:tr>
      <w:tr w:rsidR="000B4CBF" w:rsidRPr="004D46AC" w14:paraId="5029B731" w14:textId="77777777" w:rsidTr="00B518F1">
        <w:tc>
          <w:tcPr>
            <w:tcW w:w="1704" w:type="dxa"/>
            <w:vAlign w:val="center"/>
          </w:tcPr>
          <w:p w14:paraId="499E1FA9" w14:textId="77777777" w:rsidR="000B4CBF" w:rsidRPr="004D46AC" w:rsidRDefault="000B4CBF" w:rsidP="00B518F1">
            <w:pPr>
              <w:spacing w:line="240" w:lineRule="auto"/>
              <w:ind w:firstLine="0"/>
            </w:pPr>
            <w:r w:rsidRPr="004D46AC">
              <w:rPr>
                <w:color w:val="000000"/>
              </w:rPr>
              <w:t>TR17--TR29</w:t>
            </w:r>
          </w:p>
        </w:tc>
        <w:tc>
          <w:tcPr>
            <w:tcW w:w="1704" w:type="dxa"/>
            <w:vAlign w:val="center"/>
          </w:tcPr>
          <w:p w14:paraId="523182D1" w14:textId="77777777" w:rsidR="000B4CBF" w:rsidRPr="004D46AC" w:rsidRDefault="000B4CBF" w:rsidP="00B518F1">
            <w:pPr>
              <w:spacing w:line="240" w:lineRule="auto"/>
              <w:ind w:firstLine="0"/>
            </w:pPr>
            <w:r w:rsidRPr="004D46AC">
              <w:rPr>
                <w:color w:val="000000"/>
                <w:szCs w:val="21"/>
              </w:rPr>
              <w:t xml:space="preserve">0.20 </w:t>
            </w:r>
          </w:p>
        </w:tc>
        <w:tc>
          <w:tcPr>
            <w:tcW w:w="1704" w:type="dxa"/>
            <w:vAlign w:val="center"/>
          </w:tcPr>
          <w:p w14:paraId="50745F65"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1B7C8CDF" w14:textId="77777777" w:rsidR="000B4CBF" w:rsidRPr="004D46AC" w:rsidRDefault="000B4CBF" w:rsidP="00B518F1">
            <w:pPr>
              <w:spacing w:line="240" w:lineRule="auto"/>
              <w:ind w:firstLine="0"/>
            </w:pPr>
            <w:r w:rsidRPr="004D46AC">
              <w:rPr>
                <w:color w:val="000000"/>
                <w:szCs w:val="21"/>
              </w:rPr>
              <w:t xml:space="preserve">0.62 </w:t>
            </w:r>
          </w:p>
        </w:tc>
        <w:tc>
          <w:tcPr>
            <w:tcW w:w="1705" w:type="dxa"/>
            <w:vAlign w:val="center"/>
          </w:tcPr>
          <w:p w14:paraId="1434FF10" w14:textId="77777777" w:rsidR="000B4CBF" w:rsidRPr="004D46AC" w:rsidRDefault="000B4CBF" w:rsidP="00B518F1">
            <w:pPr>
              <w:spacing w:line="240" w:lineRule="auto"/>
              <w:ind w:firstLine="0"/>
            </w:pPr>
            <w:r w:rsidRPr="004D46AC">
              <w:rPr>
                <w:color w:val="000000"/>
                <w:szCs w:val="21"/>
              </w:rPr>
              <w:t xml:space="preserve">0.38 </w:t>
            </w:r>
          </w:p>
        </w:tc>
      </w:tr>
      <w:tr w:rsidR="000B4CBF" w:rsidRPr="004D46AC" w14:paraId="051DD12D" w14:textId="77777777" w:rsidTr="00B518F1">
        <w:tc>
          <w:tcPr>
            <w:tcW w:w="1704" w:type="dxa"/>
            <w:vAlign w:val="center"/>
          </w:tcPr>
          <w:p w14:paraId="6B65BD59" w14:textId="77777777" w:rsidR="000B4CBF" w:rsidRPr="004D46AC" w:rsidRDefault="000B4CBF" w:rsidP="00B518F1">
            <w:pPr>
              <w:spacing w:line="240" w:lineRule="auto"/>
              <w:ind w:firstLine="0"/>
            </w:pPr>
            <w:r w:rsidRPr="004D46AC">
              <w:rPr>
                <w:color w:val="000000"/>
              </w:rPr>
              <w:t>TR7--TR24</w:t>
            </w:r>
          </w:p>
        </w:tc>
        <w:tc>
          <w:tcPr>
            <w:tcW w:w="1704" w:type="dxa"/>
            <w:vAlign w:val="center"/>
          </w:tcPr>
          <w:p w14:paraId="391DE469" w14:textId="77777777" w:rsidR="000B4CBF" w:rsidRPr="004D46AC" w:rsidRDefault="000B4CBF" w:rsidP="00B518F1">
            <w:pPr>
              <w:spacing w:line="240" w:lineRule="auto"/>
              <w:ind w:firstLine="0"/>
            </w:pPr>
            <w:r w:rsidRPr="004D46AC">
              <w:rPr>
                <w:color w:val="000000"/>
                <w:szCs w:val="21"/>
              </w:rPr>
              <w:t xml:space="preserve">0.19 </w:t>
            </w:r>
          </w:p>
        </w:tc>
        <w:tc>
          <w:tcPr>
            <w:tcW w:w="1704" w:type="dxa"/>
            <w:vAlign w:val="center"/>
          </w:tcPr>
          <w:p w14:paraId="4AD06B55"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38B277E4" w14:textId="77777777" w:rsidR="000B4CBF" w:rsidRPr="004D46AC" w:rsidRDefault="000B4CBF" w:rsidP="00B518F1">
            <w:pPr>
              <w:spacing w:line="240" w:lineRule="auto"/>
              <w:ind w:firstLine="0"/>
            </w:pPr>
            <w:r w:rsidRPr="004D46AC">
              <w:rPr>
                <w:color w:val="000000"/>
                <w:szCs w:val="21"/>
              </w:rPr>
              <w:t xml:space="preserve">0.56 </w:t>
            </w:r>
          </w:p>
        </w:tc>
        <w:tc>
          <w:tcPr>
            <w:tcW w:w="1705" w:type="dxa"/>
            <w:vAlign w:val="center"/>
          </w:tcPr>
          <w:p w14:paraId="31AE41C4" w14:textId="77777777" w:rsidR="000B4CBF" w:rsidRPr="004D46AC" w:rsidRDefault="000B4CBF" w:rsidP="00B518F1">
            <w:pPr>
              <w:spacing w:line="240" w:lineRule="auto"/>
              <w:ind w:firstLine="0"/>
            </w:pPr>
            <w:r w:rsidRPr="004D46AC">
              <w:rPr>
                <w:color w:val="000000"/>
                <w:szCs w:val="21"/>
              </w:rPr>
              <w:t xml:space="preserve">0.38 </w:t>
            </w:r>
          </w:p>
        </w:tc>
      </w:tr>
      <w:tr w:rsidR="000B4CBF" w:rsidRPr="004D46AC" w14:paraId="2118155B" w14:textId="77777777" w:rsidTr="00B518F1">
        <w:tc>
          <w:tcPr>
            <w:tcW w:w="1704" w:type="dxa"/>
            <w:vAlign w:val="center"/>
          </w:tcPr>
          <w:p w14:paraId="63EE5E12" w14:textId="77777777" w:rsidR="000B4CBF" w:rsidRPr="004D46AC" w:rsidRDefault="000B4CBF" w:rsidP="00B518F1">
            <w:pPr>
              <w:spacing w:line="240" w:lineRule="auto"/>
              <w:ind w:firstLine="0"/>
            </w:pPr>
            <w:r w:rsidRPr="004D46AC">
              <w:rPr>
                <w:color w:val="000000"/>
              </w:rPr>
              <w:t>TR26--TR30</w:t>
            </w:r>
          </w:p>
        </w:tc>
        <w:tc>
          <w:tcPr>
            <w:tcW w:w="1704" w:type="dxa"/>
            <w:vAlign w:val="center"/>
          </w:tcPr>
          <w:p w14:paraId="4A9BD79E" w14:textId="77777777" w:rsidR="000B4CBF" w:rsidRPr="004D46AC" w:rsidRDefault="000B4CBF" w:rsidP="00B518F1">
            <w:pPr>
              <w:spacing w:line="240" w:lineRule="auto"/>
              <w:ind w:firstLine="0"/>
            </w:pPr>
            <w:r w:rsidRPr="004D46AC">
              <w:rPr>
                <w:color w:val="000000"/>
                <w:szCs w:val="21"/>
              </w:rPr>
              <w:t xml:space="preserve">0.19 </w:t>
            </w:r>
          </w:p>
        </w:tc>
        <w:tc>
          <w:tcPr>
            <w:tcW w:w="1704" w:type="dxa"/>
            <w:vAlign w:val="center"/>
          </w:tcPr>
          <w:p w14:paraId="57ABA4A2"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6ED7CBB1" w14:textId="77777777" w:rsidR="000B4CBF" w:rsidRPr="004D46AC" w:rsidRDefault="000B4CBF" w:rsidP="00B518F1">
            <w:pPr>
              <w:spacing w:line="240" w:lineRule="auto"/>
              <w:ind w:firstLine="0"/>
            </w:pPr>
            <w:r w:rsidRPr="004D46AC">
              <w:rPr>
                <w:color w:val="000000"/>
                <w:szCs w:val="21"/>
              </w:rPr>
              <w:t xml:space="preserve">0.56 </w:t>
            </w:r>
          </w:p>
        </w:tc>
        <w:tc>
          <w:tcPr>
            <w:tcW w:w="1705" w:type="dxa"/>
            <w:vAlign w:val="center"/>
          </w:tcPr>
          <w:p w14:paraId="67AE3444" w14:textId="77777777" w:rsidR="000B4CBF" w:rsidRPr="004D46AC" w:rsidRDefault="000B4CBF" w:rsidP="00B518F1">
            <w:pPr>
              <w:spacing w:line="240" w:lineRule="auto"/>
              <w:ind w:firstLine="0"/>
            </w:pPr>
            <w:r w:rsidRPr="004D46AC">
              <w:rPr>
                <w:color w:val="000000"/>
                <w:szCs w:val="21"/>
              </w:rPr>
              <w:t xml:space="preserve">0.55 </w:t>
            </w:r>
          </w:p>
        </w:tc>
      </w:tr>
      <w:tr w:rsidR="000B4CBF" w:rsidRPr="004D46AC" w14:paraId="1730F3B4" w14:textId="77777777" w:rsidTr="00B518F1">
        <w:tc>
          <w:tcPr>
            <w:tcW w:w="1704" w:type="dxa"/>
            <w:vAlign w:val="center"/>
          </w:tcPr>
          <w:p w14:paraId="33F8192E" w14:textId="77777777" w:rsidR="000B4CBF" w:rsidRPr="004D46AC" w:rsidRDefault="000B4CBF" w:rsidP="00B518F1">
            <w:pPr>
              <w:spacing w:line="240" w:lineRule="auto"/>
              <w:ind w:firstLine="0"/>
            </w:pPr>
            <w:r w:rsidRPr="004D46AC">
              <w:rPr>
                <w:color w:val="000000"/>
              </w:rPr>
              <w:t>TR13--TR25</w:t>
            </w:r>
          </w:p>
        </w:tc>
        <w:tc>
          <w:tcPr>
            <w:tcW w:w="1704" w:type="dxa"/>
            <w:vAlign w:val="center"/>
          </w:tcPr>
          <w:p w14:paraId="4FEABA60" w14:textId="77777777" w:rsidR="000B4CBF" w:rsidRPr="004D46AC" w:rsidRDefault="000B4CBF" w:rsidP="00B518F1">
            <w:pPr>
              <w:spacing w:line="240" w:lineRule="auto"/>
              <w:ind w:firstLine="0"/>
            </w:pPr>
            <w:r w:rsidRPr="004D46AC">
              <w:rPr>
                <w:color w:val="000000"/>
                <w:szCs w:val="21"/>
              </w:rPr>
              <w:t xml:space="preserve">0.18 </w:t>
            </w:r>
          </w:p>
        </w:tc>
        <w:tc>
          <w:tcPr>
            <w:tcW w:w="1704" w:type="dxa"/>
            <w:vAlign w:val="center"/>
          </w:tcPr>
          <w:p w14:paraId="7AFCC558" w14:textId="77777777" w:rsidR="000B4CBF" w:rsidRPr="004D46AC" w:rsidRDefault="000B4CBF" w:rsidP="00B518F1">
            <w:pPr>
              <w:spacing w:line="240" w:lineRule="auto"/>
              <w:ind w:firstLine="0"/>
            </w:pPr>
            <w:r w:rsidRPr="004D46AC">
              <w:rPr>
                <w:color w:val="000000"/>
                <w:szCs w:val="21"/>
              </w:rPr>
              <w:t xml:space="preserve">-0.16 </w:t>
            </w:r>
          </w:p>
        </w:tc>
        <w:tc>
          <w:tcPr>
            <w:tcW w:w="1705" w:type="dxa"/>
            <w:vAlign w:val="center"/>
          </w:tcPr>
          <w:p w14:paraId="4E2BC451" w14:textId="77777777" w:rsidR="000B4CBF" w:rsidRPr="004D46AC" w:rsidRDefault="000B4CBF" w:rsidP="00B518F1">
            <w:pPr>
              <w:spacing w:line="240" w:lineRule="auto"/>
              <w:ind w:firstLine="0"/>
            </w:pPr>
            <w:r w:rsidRPr="004D46AC">
              <w:rPr>
                <w:color w:val="000000"/>
                <w:szCs w:val="21"/>
              </w:rPr>
              <w:t xml:space="preserve">0.51 </w:t>
            </w:r>
          </w:p>
        </w:tc>
        <w:tc>
          <w:tcPr>
            <w:tcW w:w="1705" w:type="dxa"/>
            <w:vAlign w:val="center"/>
          </w:tcPr>
          <w:p w14:paraId="0017414E" w14:textId="77777777" w:rsidR="000B4CBF" w:rsidRPr="004D46AC" w:rsidRDefault="000B4CBF" w:rsidP="00B518F1">
            <w:pPr>
              <w:spacing w:line="240" w:lineRule="auto"/>
              <w:ind w:firstLine="0"/>
            </w:pPr>
            <w:r w:rsidRPr="004D46AC">
              <w:rPr>
                <w:color w:val="000000"/>
                <w:szCs w:val="21"/>
              </w:rPr>
              <w:t xml:space="preserve">0.40 </w:t>
            </w:r>
          </w:p>
        </w:tc>
      </w:tr>
      <w:tr w:rsidR="000B4CBF" w:rsidRPr="004D46AC" w14:paraId="23C678C7" w14:textId="77777777" w:rsidTr="00B518F1">
        <w:tc>
          <w:tcPr>
            <w:tcW w:w="1704" w:type="dxa"/>
            <w:vAlign w:val="center"/>
          </w:tcPr>
          <w:p w14:paraId="4C01F3DE" w14:textId="77777777" w:rsidR="000B4CBF" w:rsidRPr="004D46AC" w:rsidRDefault="000B4CBF" w:rsidP="00B518F1">
            <w:pPr>
              <w:spacing w:line="240" w:lineRule="auto"/>
              <w:ind w:firstLine="0"/>
            </w:pPr>
            <w:r w:rsidRPr="004D46AC">
              <w:rPr>
                <w:color w:val="000000"/>
              </w:rPr>
              <w:t>TR3--TR24</w:t>
            </w:r>
          </w:p>
        </w:tc>
        <w:tc>
          <w:tcPr>
            <w:tcW w:w="1704" w:type="dxa"/>
            <w:vAlign w:val="center"/>
          </w:tcPr>
          <w:p w14:paraId="01F56AFB" w14:textId="77777777" w:rsidR="000B4CBF" w:rsidRPr="004D46AC" w:rsidRDefault="000B4CBF" w:rsidP="00B518F1">
            <w:pPr>
              <w:spacing w:line="240" w:lineRule="auto"/>
              <w:ind w:firstLine="0"/>
            </w:pPr>
            <w:r w:rsidRPr="004D46AC">
              <w:rPr>
                <w:color w:val="000000"/>
                <w:szCs w:val="21"/>
              </w:rPr>
              <w:t xml:space="preserve">0.17 </w:t>
            </w:r>
          </w:p>
        </w:tc>
        <w:tc>
          <w:tcPr>
            <w:tcW w:w="1704" w:type="dxa"/>
            <w:vAlign w:val="center"/>
          </w:tcPr>
          <w:p w14:paraId="3F15CC97"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4256998B" w14:textId="77777777" w:rsidR="000B4CBF" w:rsidRPr="004D46AC" w:rsidRDefault="000B4CBF" w:rsidP="00B518F1">
            <w:pPr>
              <w:spacing w:line="240" w:lineRule="auto"/>
              <w:ind w:firstLine="0"/>
            </w:pPr>
            <w:r w:rsidRPr="004D46AC">
              <w:rPr>
                <w:color w:val="000000"/>
                <w:szCs w:val="21"/>
              </w:rPr>
              <w:t xml:space="preserve">0.52 </w:t>
            </w:r>
          </w:p>
        </w:tc>
        <w:tc>
          <w:tcPr>
            <w:tcW w:w="1705" w:type="dxa"/>
            <w:vAlign w:val="center"/>
          </w:tcPr>
          <w:p w14:paraId="0F4D4E6E" w14:textId="77777777" w:rsidR="000B4CBF" w:rsidRPr="004D46AC" w:rsidRDefault="000B4CBF" w:rsidP="00B518F1">
            <w:pPr>
              <w:spacing w:line="240" w:lineRule="auto"/>
              <w:ind w:firstLine="0"/>
            </w:pPr>
            <w:r w:rsidRPr="004D46AC">
              <w:rPr>
                <w:color w:val="000000"/>
                <w:szCs w:val="21"/>
              </w:rPr>
              <w:t xml:space="preserve">0.38 </w:t>
            </w:r>
          </w:p>
        </w:tc>
      </w:tr>
      <w:tr w:rsidR="000B4CBF" w:rsidRPr="004D46AC" w14:paraId="37649FF9" w14:textId="77777777" w:rsidTr="00B518F1">
        <w:tc>
          <w:tcPr>
            <w:tcW w:w="1704" w:type="dxa"/>
            <w:vAlign w:val="center"/>
          </w:tcPr>
          <w:p w14:paraId="10142138" w14:textId="77777777" w:rsidR="000B4CBF" w:rsidRPr="004D46AC" w:rsidRDefault="000B4CBF" w:rsidP="00B518F1">
            <w:pPr>
              <w:spacing w:line="240" w:lineRule="auto"/>
              <w:ind w:firstLine="0"/>
            </w:pPr>
            <w:r w:rsidRPr="004D46AC">
              <w:rPr>
                <w:color w:val="000000"/>
              </w:rPr>
              <w:t>TR14--TR25</w:t>
            </w:r>
          </w:p>
        </w:tc>
        <w:tc>
          <w:tcPr>
            <w:tcW w:w="1704" w:type="dxa"/>
            <w:vAlign w:val="center"/>
          </w:tcPr>
          <w:p w14:paraId="6F4B1A49" w14:textId="77777777" w:rsidR="000B4CBF" w:rsidRPr="004D46AC" w:rsidRDefault="000B4CBF" w:rsidP="00B518F1">
            <w:pPr>
              <w:spacing w:line="240" w:lineRule="auto"/>
              <w:ind w:firstLine="0"/>
            </w:pPr>
            <w:r w:rsidRPr="004D46AC">
              <w:rPr>
                <w:color w:val="000000"/>
                <w:szCs w:val="21"/>
              </w:rPr>
              <w:t xml:space="preserve">0.17 </w:t>
            </w:r>
          </w:p>
        </w:tc>
        <w:tc>
          <w:tcPr>
            <w:tcW w:w="1704" w:type="dxa"/>
            <w:vAlign w:val="center"/>
          </w:tcPr>
          <w:p w14:paraId="2F3C6485"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3AE921DA" w14:textId="77777777" w:rsidR="000B4CBF" w:rsidRPr="004D46AC" w:rsidRDefault="000B4CBF" w:rsidP="00B518F1">
            <w:pPr>
              <w:spacing w:line="240" w:lineRule="auto"/>
              <w:ind w:firstLine="0"/>
            </w:pPr>
            <w:r w:rsidRPr="004D46AC">
              <w:rPr>
                <w:color w:val="000000"/>
                <w:szCs w:val="21"/>
              </w:rPr>
              <w:t xml:space="preserve">0.53 </w:t>
            </w:r>
          </w:p>
        </w:tc>
        <w:tc>
          <w:tcPr>
            <w:tcW w:w="1705" w:type="dxa"/>
            <w:vAlign w:val="center"/>
          </w:tcPr>
          <w:p w14:paraId="1CC47260" w14:textId="77777777" w:rsidR="000B4CBF" w:rsidRPr="004D46AC" w:rsidRDefault="000B4CBF" w:rsidP="00B518F1">
            <w:pPr>
              <w:spacing w:line="240" w:lineRule="auto"/>
              <w:ind w:firstLine="0"/>
            </w:pPr>
            <w:r w:rsidRPr="004D46AC">
              <w:rPr>
                <w:color w:val="000000"/>
                <w:szCs w:val="21"/>
              </w:rPr>
              <w:t xml:space="preserve">0.34 </w:t>
            </w:r>
          </w:p>
        </w:tc>
      </w:tr>
      <w:tr w:rsidR="000B4CBF" w:rsidRPr="004D46AC" w14:paraId="07E37238" w14:textId="77777777" w:rsidTr="00B518F1">
        <w:tc>
          <w:tcPr>
            <w:tcW w:w="1704" w:type="dxa"/>
            <w:vAlign w:val="center"/>
          </w:tcPr>
          <w:p w14:paraId="2A59D7CB" w14:textId="77777777" w:rsidR="000B4CBF" w:rsidRPr="004D46AC" w:rsidRDefault="000B4CBF" w:rsidP="00B518F1">
            <w:pPr>
              <w:spacing w:line="240" w:lineRule="auto"/>
              <w:ind w:firstLine="0"/>
            </w:pPr>
            <w:r w:rsidRPr="004D46AC">
              <w:rPr>
                <w:color w:val="000000"/>
              </w:rPr>
              <w:t>TR3--TR30</w:t>
            </w:r>
          </w:p>
        </w:tc>
        <w:tc>
          <w:tcPr>
            <w:tcW w:w="1704" w:type="dxa"/>
            <w:vAlign w:val="center"/>
          </w:tcPr>
          <w:p w14:paraId="53B85366" w14:textId="77777777" w:rsidR="000B4CBF" w:rsidRPr="004D46AC" w:rsidRDefault="000B4CBF" w:rsidP="00B518F1">
            <w:pPr>
              <w:spacing w:line="240" w:lineRule="auto"/>
              <w:ind w:firstLine="0"/>
            </w:pPr>
            <w:r w:rsidRPr="004D46AC">
              <w:rPr>
                <w:color w:val="000000"/>
                <w:szCs w:val="21"/>
              </w:rPr>
              <w:t xml:space="preserve">0.17 </w:t>
            </w:r>
          </w:p>
        </w:tc>
        <w:tc>
          <w:tcPr>
            <w:tcW w:w="1704" w:type="dxa"/>
            <w:vAlign w:val="center"/>
          </w:tcPr>
          <w:p w14:paraId="616442EC" w14:textId="77777777" w:rsidR="000B4CBF" w:rsidRPr="004D46AC" w:rsidRDefault="000B4CBF" w:rsidP="00B518F1">
            <w:pPr>
              <w:spacing w:line="240" w:lineRule="auto"/>
              <w:ind w:firstLine="0"/>
            </w:pPr>
            <w:r w:rsidRPr="004D46AC">
              <w:rPr>
                <w:color w:val="000000"/>
                <w:szCs w:val="21"/>
              </w:rPr>
              <w:t xml:space="preserve">-0.25 </w:t>
            </w:r>
          </w:p>
        </w:tc>
        <w:tc>
          <w:tcPr>
            <w:tcW w:w="1705" w:type="dxa"/>
            <w:vAlign w:val="center"/>
          </w:tcPr>
          <w:p w14:paraId="5E6853E4" w14:textId="77777777" w:rsidR="000B4CBF" w:rsidRPr="004D46AC" w:rsidRDefault="000B4CBF" w:rsidP="00B518F1">
            <w:pPr>
              <w:spacing w:line="240" w:lineRule="auto"/>
              <w:ind w:firstLine="0"/>
            </w:pPr>
            <w:r w:rsidRPr="004D46AC">
              <w:rPr>
                <w:color w:val="000000"/>
                <w:szCs w:val="21"/>
              </w:rPr>
              <w:t xml:space="preserve">0.58 </w:t>
            </w:r>
          </w:p>
        </w:tc>
        <w:tc>
          <w:tcPr>
            <w:tcW w:w="1705" w:type="dxa"/>
            <w:vAlign w:val="center"/>
          </w:tcPr>
          <w:p w14:paraId="63672AD7" w14:textId="77777777" w:rsidR="000B4CBF" w:rsidRPr="004D46AC" w:rsidRDefault="000B4CBF" w:rsidP="00B518F1">
            <w:pPr>
              <w:spacing w:line="240" w:lineRule="auto"/>
              <w:ind w:firstLine="0"/>
            </w:pPr>
            <w:r w:rsidRPr="004D46AC">
              <w:rPr>
                <w:color w:val="000000"/>
                <w:szCs w:val="21"/>
              </w:rPr>
              <w:t xml:space="preserve">0.53 </w:t>
            </w:r>
          </w:p>
        </w:tc>
      </w:tr>
      <w:tr w:rsidR="000B4CBF" w:rsidRPr="004D46AC" w14:paraId="56B41947" w14:textId="77777777" w:rsidTr="00B518F1">
        <w:tc>
          <w:tcPr>
            <w:tcW w:w="1704" w:type="dxa"/>
            <w:vAlign w:val="center"/>
          </w:tcPr>
          <w:p w14:paraId="3BA18857" w14:textId="77777777" w:rsidR="000B4CBF" w:rsidRPr="004D46AC" w:rsidRDefault="000B4CBF" w:rsidP="00B518F1">
            <w:pPr>
              <w:spacing w:line="240" w:lineRule="auto"/>
              <w:ind w:firstLine="0"/>
            </w:pPr>
            <w:r w:rsidRPr="004D46AC">
              <w:rPr>
                <w:color w:val="000000"/>
              </w:rPr>
              <w:t>TR37--TR18</w:t>
            </w:r>
          </w:p>
        </w:tc>
        <w:tc>
          <w:tcPr>
            <w:tcW w:w="1704" w:type="dxa"/>
            <w:vAlign w:val="center"/>
          </w:tcPr>
          <w:p w14:paraId="3EF83BB6" w14:textId="77777777" w:rsidR="000B4CBF" w:rsidRPr="004D46AC" w:rsidRDefault="000B4CBF" w:rsidP="00B518F1">
            <w:pPr>
              <w:spacing w:line="240" w:lineRule="auto"/>
              <w:ind w:firstLine="0"/>
            </w:pPr>
            <w:r w:rsidRPr="004D46AC">
              <w:rPr>
                <w:color w:val="000000"/>
                <w:szCs w:val="21"/>
              </w:rPr>
              <w:t xml:space="preserve">0.16 </w:t>
            </w:r>
          </w:p>
        </w:tc>
        <w:tc>
          <w:tcPr>
            <w:tcW w:w="1704" w:type="dxa"/>
            <w:vAlign w:val="center"/>
          </w:tcPr>
          <w:p w14:paraId="5417813E"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24C61658" w14:textId="77777777" w:rsidR="000B4CBF" w:rsidRPr="004D46AC" w:rsidRDefault="000B4CBF" w:rsidP="00B518F1">
            <w:pPr>
              <w:spacing w:line="240" w:lineRule="auto"/>
              <w:ind w:firstLine="0"/>
            </w:pPr>
            <w:r w:rsidRPr="004D46AC">
              <w:rPr>
                <w:color w:val="000000"/>
                <w:szCs w:val="21"/>
              </w:rPr>
              <w:t xml:space="preserve">0.54 </w:t>
            </w:r>
          </w:p>
        </w:tc>
        <w:tc>
          <w:tcPr>
            <w:tcW w:w="1705" w:type="dxa"/>
            <w:vAlign w:val="center"/>
          </w:tcPr>
          <w:p w14:paraId="5E53FA3F" w14:textId="77777777" w:rsidR="000B4CBF" w:rsidRPr="004D46AC" w:rsidRDefault="000B4CBF" w:rsidP="00B518F1">
            <w:pPr>
              <w:spacing w:line="240" w:lineRule="auto"/>
              <w:ind w:firstLine="0"/>
            </w:pPr>
            <w:r w:rsidRPr="004D46AC">
              <w:rPr>
                <w:color w:val="000000"/>
                <w:szCs w:val="21"/>
              </w:rPr>
              <w:t xml:space="preserve">0.46 </w:t>
            </w:r>
          </w:p>
        </w:tc>
      </w:tr>
      <w:tr w:rsidR="000B4CBF" w:rsidRPr="004D46AC" w14:paraId="01A86F4F" w14:textId="77777777" w:rsidTr="00B518F1">
        <w:tc>
          <w:tcPr>
            <w:tcW w:w="1704" w:type="dxa"/>
            <w:vAlign w:val="center"/>
          </w:tcPr>
          <w:p w14:paraId="563AA331" w14:textId="77777777" w:rsidR="000B4CBF" w:rsidRPr="004D46AC" w:rsidRDefault="000B4CBF" w:rsidP="00B518F1">
            <w:pPr>
              <w:spacing w:line="240" w:lineRule="auto"/>
              <w:ind w:firstLine="0"/>
            </w:pPr>
            <w:r w:rsidRPr="004D46AC">
              <w:rPr>
                <w:color w:val="000000"/>
              </w:rPr>
              <w:t>TR7--TR23</w:t>
            </w:r>
          </w:p>
        </w:tc>
        <w:tc>
          <w:tcPr>
            <w:tcW w:w="1704" w:type="dxa"/>
            <w:vAlign w:val="center"/>
          </w:tcPr>
          <w:p w14:paraId="229365F2" w14:textId="77777777" w:rsidR="000B4CBF" w:rsidRPr="004D46AC" w:rsidRDefault="000B4CBF" w:rsidP="00B518F1">
            <w:pPr>
              <w:spacing w:line="240" w:lineRule="auto"/>
              <w:ind w:firstLine="0"/>
            </w:pPr>
            <w:r w:rsidRPr="004D46AC">
              <w:rPr>
                <w:color w:val="000000"/>
                <w:szCs w:val="21"/>
              </w:rPr>
              <w:t xml:space="preserve">0.16 </w:t>
            </w:r>
          </w:p>
        </w:tc>
        <w:tc>
          <w:tcPr>
            <w:tcW w:w="1704" w:type="dxa"/>
            <w:vAlign w:val="center"/>
          </w:tcPr>
          <w:p w14:paraId="0BBAB1E9"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1447E594" w14:textId="77777777" w:rsidR="000B4CBF" w:rsidRPr="004D46AC" w:rsidRDefault="000B4CBF" w:rsidP="00B518F1">
            <w:pPr>
              <w:spacing w:line="240" w:lineRule="auto"/>
              <w:ind w:firstLine="0"/>
            </w:pPr>
            <w:r w:rsidRPr="004D46AC">
              <w:rPr>
                <w:color w:val="000000"/>
                <w:szCs w:val="21"/>
              </w:rPr>
              <w:t xml:space="preserve">0.54 </w:t>
            </w:r>
          </w:p>
        </w:tc>
        <w:tc>
          <w:tcPr>
            <w:tcW w:w="1705" w:type="dxa"/>
            <w:vAlign w:val="center"/>
          </w:tcPr>
          <w:p w14:paraId="253F1F81" w14:textId="77777777" w:rsidR="000B4CBF" w:rsidRPr="004D46AC" w:rsidRDefault="000B4CBF" w:rsidP="00B518F1">
            <w:pPr>
              <w:spacing w:line="240" w:lineRule="auto"/>
              <w:ind w:firstLine="0"/>
            </w:pPr>
            <w:r w:rsidRPr="004D46AC">
              <w:rPr>
                <w:color w:val="000000"/>
                <w:szCs w:val="21"/>
              </w:rPr>
              <w:t xml:space="preserve">0.32 </w:t>
            </w:r>
          </w:p>
        </w:tc>
      </w:tr>
      <w:tr w:rsidR="000B4CBF" w:rsidRPr="004D46AC" w14:paraId="4A304CE7" w14:textId="77777777" w:rsidTr="00B518F1">
        <w:tc>
          <w:tcPr>
            <w:tcW w:w="1704" w:type="dxa"/>
            <w:vAlign w:val="center"/>
          </w:tcPr>
          <w:p w14:paraId="35C2DC34" w14:textId="77777777" w:rsidR="000B4CBF" w:rsidRPr="004D46AC" w:rsidRDefault="000B4CBF" w:rsidP="00B518F1">
            <w:pPr>
              <w:spacing w:line="240" w:lineRule="auto"/>
              <w:ind w:firstLine="0"/>
            </w:pPr>
            <w:r w:rsidRPr="004D46AC">
              <w:rPr>
                <w:color w:val="000000"/>
              </w:rPr>
              <w:t>TR24--TR33</w:t>
            </w:r>
          </w:p>
        </w:tc>
        <w:tc>
          <w:tcPr>
            <w:tcW w:w="1704" w:type="dxa"/>
            <w:vAlign w:val="center"/>
          </w:tcPr>
          <w:p w14:paraId="0F867AB5" w14:textId="77777777" w:rsidR="000B4CBF" w:rsidRPr="004D46AC" w:rsidRDefault="000B4CBF" w:rsidP="00B518F1">
            <w:pPr>
              <w:spacing w:line="240" w:lineRule="auto"/>
              <w:ind w:firstLine="0"/>
            </w:pPr>
            <w:r w:rsidRPr="004D46AC">
              <w:rPr>
                <w:color w:val="000000"/>
                <w:szCs w:val="21"/>
              </w:rPr>
              <w:t xml:space="preserve">0.16 </w:t>
            </w:r>
          </w:p>
        </w:tc>
        <w:tc>
          <w:tcPr>
            <w:tcW w:w="1704" w:type="dxa"/>
            <w:vAlign w:val="center"/>
          </w:tcPr>
          <w:p w14:paraId="351E1918"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5EB56F0E" w14:textId="77777777" w:rsidR="000B4CBF" w:rsidRPr="004D46AC" w:rsidRDefault="000B4CBF" w:rsidP="00B518F1">
            <w:pPr>
              <w:spacing w:line="240" w:lineRule="auto"/>
              <w:ind w:firstLine="0"/>
            </w:pPr>
            <w:r w:rsidRPr="004D46AC">
              <w:rPr>
                <w:color w:val="000000"/>
                <w:szCs w:val="21"/>
              </w:rPr>
              <w:t xml:space="preserve">0.53 </w:t>
            </w:r>
          </w:p>
        </w:tc>
        <w:tc>
          <w:tcPr>
            <w:tcW w:w="1705" w:type="dxa"/>
            <w:vAlign w:val="center"/>
          </w:tcPr>
          <w:p w14:paraId="717254E8" w14:textId="77777777" w:rsidR="000B4CBF" w:rsidRPr="004D46AC" w:rsidRDefault="000B4CBF" w:rsidP="00B518F1">
            <w:pPr>
              <w:spacing w:line="240" w:lineRule="auto"/>
              <w:ind w:firstLine="0"/>
            </w:pPr>
            <w:r w:rsidRPr="004D46AC">
              <w:rPr>
                <w:color w:val="000000"/>
                <w:szCs w:val="21"/>
              </w:rPr>
              <w:t xml:space="preserve">0.58 </w:t>
            </w:r>
          </w:p>
        </w:tc>
      </w:tr>
      <w:tr w:rsidR="000B4CBF" w:rsidRPr="004D46AC" w14:paraId="0C6FAB49" w14:textId="77777777" w:rsidTr="00B518F1">
        <w:tc>
          <w:tcPr>
            <w:tcW w:w="1704" w:type="dxa"/>
            <w:vAlign w:val="center"/>
          </w:tcPr>
          <w:p w14:paraId="3A03273D" w14:textId="77777777" w:rsidR="000B4CBF" w:rsidRPr="004D46AC" w:rsidRDefault="000B4CBF" w:rsidP="00B518F1">
            <w:pPr>
              <w:spacing w:line="240" w:lineRule="auto"/>
              <w:ind w:firstLine="0"/>
            </w:pPr>
            <w:r w:rsidRPr="004D46AC">
              <w:rPr>
                <w:color w:val="000000"/>
              </w:rPr>
              <w:t>TR19--TR13</w:t>
            </w:r>
          </w:p>
        </w:tc>
        <w:tc>
          <w:tcPr>
            <w:tcW w:w="1704" w:type="dxa"/>
            <w:vAlign w:val="center"/>
          </w:tcPr>
          <w:p w14:paraId="26052987" w14:textId="77777777" w:rsidR="000B4CBF" w:rsidRPr="004D46AC" w:rsidRDefault="000B4CBF" w:rsidP="00B518F1">
            <w:pPr>
              <w:spacing w:line="240" w:lineRule="auto"/>
              <w:ind w:firstLine="0"/>
            </w:pPr>
            <w:r w:rsidRPr="004D46AC">
              <w:rPr>
                <w:color w:val="000000"/>
                <w:szCs w:val="21"/>
              </w:rPr>
              <w:t xml:space="preserve">0.15 </w:t>
            </w:r>
          </w:p>
        </w:tc>
        <w:tc>
          <w:tcPr>
            <w:tcW w:w="1704" w:type="dxa"/>
            <w:vAlign w:val="center"/>
          </w:tcPr>
          <w:p w14:paraId="2F16D5C5"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1A13A31C" w14:textId="77777777" w:rsidR="000B4CBF" w:rsidRPr="004D46AC" w:rsidRDefault="000B4CBF" w:rsidP="00B518F1">
            <w:pPr>
              <w:spacing w:line="240" w:lineRule="auto"/>
              <w:ind w:firstLine="0"/>
            </w:pPr>
            <w:r w:rsidRPr="004D46AC">
              <w:rPr>
                <w:color w:val="000000"/>
                <w:szCs w:val="21"/>
              </w:rPr>
              <w:t xml:space="preserve">0.49 </w:t>
            </w:r>
          </w:p>
        </w:tc>
        <w:tc>
          <w:tcPr>
            <w:tcW w:w="1705" w:type="dxa"/>
            <w:vAlign w:val="center"/>
          </w:tcPr>
          <w:p w14:paraId="7E653A04" w14:textId="77777777" w:rsidR="000B4CBF" w:rsidRPr="004D46AC" w:rsidRDefault="000B4CBF" w:rsidP="00B518F1">
            <w:pPr>
              <w:spacing w:line="240" w:lineRule="auto"/>
              <w:ind w:firstLine="0"/>
            </w:pPr>
            <w:r w:rsidRPr="004D46AC">
              <w:rPr>
                <w:color w:val="000000"/>
                <w:szCs w:val="21"/>
              </w:rPr>
              <w:t xml:space="preserve">0.40 </w:t>
            </w:r>
          </w:p>
        </w:tc>
      </w:tr>
      <w:tr w:rsidR="000B4CBF" w:rsidRPr="004D46AC" w14:paraId="55E010B1" w14:textId="77777777" w:rsidTr="00B518F1">
        <w:tc>
          <w:tcPr>
            <w:tcW w:w="1704" w:type="dxa"/>
            <w:vAlign w:val="center"/>
          </w:tcPr>
          <w:p w14:paraId="330ABE80" w14:textId="77777777" w:rsidR="000B4CBF" w:rsidRPr="004D46AC" w:rsidRDefault="000B4CBF" w:rsidP="00B518F1">
            <w:pPr>
              <w:spacing w:line="240" w:lineRule="auto"/>
              <w:ind w:firstLine="0"/>
            </w:pPr>
            <w:r w:rsidRPr="004D46AC">
              <w:rPr>
                <w:color w:val="000000"/>
              </w:rPr>
              <w:lastRenderedPageBreak/>
              <w:t>TR27--TR29</w:t>
            </w:r>
          </w:p>
        </w:tc>
        <w:tc>
          <w:tcPr>
            <w:tcW w:w="1704" w:type="dxa"/>
            <w:vAlign w:val="center"/>
          </w:tcPr>
          <w:p w14:paraId="3E3B0A12" w14:textId="77777777" w:rsidR="000B4CBF" w:rsidRPr="004D46AC" w:rsidRDefault="000B4CBF" w:rsidP="00B518F1">
            <w:pPr>
              <w:spacing w:line="240" w:lineRule="auto"/>
              <w:ind w:firstLine="0"/>
            </w:pPr>
            <w:r w:rsidRPr="004D46AC">
              <w:rPr>
                <w:color w:val="000000"/>
                <w:szCs w:val="21"/>
              </w:rPr>
              <w:t xml:space="preserve">0.15 </w:t>
            </w:r>
          </w:p>
        </w:tc>
        <w:tc>
          <w:tcPr>
            <w:tcW w:w="1704" w:type="dxa"/>
            <w:vAlign w:val="center"/>
          </w:tcPr>
          <w:p w14:paraId="79FE18A5"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2404766B" w14:textId="77777777" w:rsidR="000B4CBF" w:rsidRPr="004D46AC" w:rsidRDefault="000B4CBF" w:rsidP="00B518F1">
            <w:pPr>
              <w:spacing w:line="240" w:lineRule="auto"/>
              <w:ind w:firstLine="0"/>
            </w:pPr>
            <w:r w:rsidRPr="004D46AC">
              <w:rPr>
                <w:color w:val="000000"/>
                <w:szCs w:val="21"/>
              </w:rPr>
              <w:t xml:space="preserve">0.55 </w:t>
            </w:r>
          </w:p>
        </w:tc>
        <w:tc>
          <w:tcPr>
            <w:tcW w:w="1705" w:type="dxa"/>
            <w:vAlign w:val="center"/>
          </w:tcPr>
          <w:p w14:paraId="5A3F9FBE" w14:textId="77777777" w:rsidR="000B4CBF" w:rsidRPr="004D46AC" w:rsidRDefault="000B4CBF" w:rsidP="00B518F1">
            <w:pPr>
              <w:spacing w:line="240" w:lineRule="auto"/>
              <w:ind w:firstLine="0"/>
            </w:pPr>
            <w:r w:rsidRPr="004D46AC">
              <w:rPr>
                <w:color w:val="000000"/>
                <w:szCs w:val="21"/>
              </w:rPr>
              <w:t xml:space="preserve">0.54 </w:t>
            </w:r>
          </w:p>
        </w:tc>
      </w:tr>
      <w:tr w:rsidR="000B4CBF" w:rsidRPr="004D46AC" w14:paraId="6BB1F03E" w14:textId="77777777" w:rsidTr="00B518F1">
        <w:tc>
          <w:tcPr>
            <w:tcW w:w="1704" w:type="dxa"/>
            <w:vAlign w:val="center"/>
          </w:tcPr>
          <w:p w14:paraId="0FED39E2" w14:textId="77777777" w:rsidR="000B4CBF" w:rsidRPr="004D46AC" w:rsidRDefault="000B4CBF" w:rsidP="00B518F1">
            <w:pPr>
              <w:spacing w:line="240" w:lineRule="auto"/>
              <w:ind w:firstLine="0"/>
            </w:pPr>
            <w:r w:rsidRPr="004D46AC">
              <w:rPr>
                <w:color w:val="000000"/>
              </w:rPr>
              <w:t>TR3--TR20</w:t>
            </w:r>
          </w:p>
        </w:tc>
        <w:tc>
          <w:tcPr>
            <w:tcW w:w="1704" w:type="dxa"/>
            <w:vAlign w:val="center"/>
          </w:tcPr>
          <w:p w14:paraId="1AD255F1" w14:textId="77777777" w:rsidR="000B4CBF" w:rsidRPr="004D46AC" w:rsidRDefault="000B4CBF" w:rsidP="00B518F1">
            <w:pPr>
              <w:spacing w:line="240" w:lineRule="auto"/>
              <w:ind w:firstLine="0"/>
            </w:pPr>
            <w:r w:rsidRPr="004D46AC">
              <w:rPr>
                <w:color w:val="000000"/>
                <w:szCs w:val="21"/>
              </w:rPr>
              <w:t xml:space="preserve">0.15 </w:t>
            </w:r>
          </w:p>
        </w:tc>
        <w:tc>
          <w:tcPr>
            <w:tcW w:w="1704" w:type="dxa"/>
            <w:vAlign w:val="center"/>
          </w:tcPr>
          <w:p w14:paraId="1237B2EE"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7DD806A9" w14:textId="77777777" w:rsidR="000B4CBF" w:rsidRPr="004D46AC" w:rsidRDefault="000B4CBF" w:rsidP="00B518F1">
            <w:pPr>
              <w:spacing w:line="240" w:lineRule="auto"/>
              <w:ind w:firstLine="0"/>
            </w:pPr>
            <w:r w:rsidRPr="004D46AC">
              <w:rPr>
                <w:color w:val="000000"/>
                <w:szCs w:val="21"/>
              </w:rPr>
              <w:t xml:space="preserve">0.52 </w:t>
            </w:r>
          </w:p>
        </w:tc>
        <w:tc>
          <w:tcPr>
            <w:tcW w:w="1705" w:type="dxa"/>
            <w:vAlign w:val="center"/>
          </w:tcPr>
          <w:p w14:paraId="6384760E" w14:textId="77777777" w:rsidR="000B4CBF" w:rsidRPr="004D46AC" w:rsidRDefault="000B4CBF" w:rsidP="00B518F1">
            <w:pPr>
              <w:spacing w:line="240" w:lineRule="auto"/>
              <w:ind w:firstLine="0"/>
            </w:pPr>
            <w:r w:rsidRPr="004D46AC">
              <w:rPr>
                <w:color w:val="000000"/>
                <w:szCs w:val="21"/>
              </w:rPr>
              <w:t xml:space="preserve">0.29 </w:t>
            </w:r>
          </w:p>
        </w:tc>
      </w:tr>
      <w:tr w:rsidR="000B4CBF" w:rsidRPr="004D46AC" w14:paraId="08F3BFF5" w14:textId="77777777" w:rsidTr="00B518F1">
        <w:tc>
          <w:tcPr>
            <w:tcW w:w="1704" w:type="dxa"/>
            <w:vAlign w:val="center"/>
          </w:tcPr>
          <w:p w14:paraId="245A6FB7" w14:textId="77777777" w:rsidR="000B4CBF" w:rsidRPr="004D46AC" w:rsidRDefault="000B4CBF" w:rsidP="00B518F1">
            <w:pPr>
              <w:spacing w:line="240" w:lineRule="auto"/>
              <w:ind w:firstLine="0"/>
            </w:pPr>
            <w:r w:rsidRPr="004D46AC">
              <w:rPr>
                <w:color w:val="000000"/>
              </w:rPr>
              <w:t>TR5--TR7</w:t>
            </w:r>
          </w:p>
        </w:tc>
        <w:tc>
          <w:tcPr>
            <w:tcW w:w="1704" w:type="dxa"/>
            <w:vAlign w:val="center"/>
          </w:tcPr>
          <w:p w14:paraId="3C7C7641" w14:textId="77777777" w:rsidR="000B4CBF" w:rsidRPr="004D46AC" w:rsidRDefault="000B4CBF" w:rsidP="00B518F1">
            <w:pPr>
              <w:spacing w:line="240" w:lineRule="auto"/>
              <w:ind w:firstLine="0"/>
            </w:pPr>
            <w:r w:rsidRPr="004D46AC">
              <w:rPr>
                <w:color w:val="000000"/>
                <w:szCs w:val="21"/>
              </w:rPr>
              <w:t xml:space="preserve">0.15 </w:t>
            </w:r>
          </w:p>
        </w:tc>
        <w:tc>
          <w:tcPr>
            <w:tcW w:w="1704" w:type="dxa"/>
            <w:vAlign w:val="center"/>
          </w:tcPr>
          <w:p w14:paraId="0DD16CFD"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364EE36D" w14:textId="77777777" w:rsidR="000B4CBF" w:rsidRPr="004D46AC" w:rsidRDefault="000B4CBF" w:rsidP="00B518F1">
            <w:pPr>
              <w:spacing w:line="240" w:lineRule="auto"/>
              <w:ind w:firstLine="0"/>
            </w:pPr>
            <w:r w:rsidRPr="004D46AC">
              <w:rPr>
                <w:color w:val="000000"/>
                <w:szCs w:val="21"/>
              </w:rPr>
              <w:t xml:space="preserve">0.54 </w:t>
            </w:r>
          </w:p>
        </w:tc>
        <w:tc>
          <w:tcPr>
            <w:tcW w:w="1705" w:type="dxa"/>
            <w:vAlign w:val="center"/>
          </w:tcPr>
          <w:p w14:paraId="0B77AB50" w14:textId="77777777" w:rsidR="000B4CBF" w:rsidRPr="004D46AC" w:rsidRDefault="000B4CBF" w:rsidP="00B518F1">
            <w:pPr>
              <w:spacing w:line="240" w:lineRule="auto"/>
              <w:ind w:firstLine="0"/>
            </w:pPr>
            <w:r w:rsidRPr="004D46AC">
              <w:rPr>
                <w:color w:val="000000"/>
                <w:szCs w:val="21"/>
              </w:rPr>
              <w:t xml:space="preserve">0.38 </w:t>
            </w:r>
          </w:p>
        </w:tc>
      </w:tr>
      <w:tr w:rsidR="000B4CBF" w:rsidRPr="004D46AC" w14:paraId="6E184C98" w14:textId="77777777" w:rsidTr="00B518F1">
        <w:tc>
          <w:tcPr>
            <w:tcW w:w="1704" w:type="dxa"/>
            <w:vAlign w:val="center"/>
          </w:tcPr>
          <w:p w14:paraId="0A17CDB5" w14:textId="77777777" w:rsidR="000B4CBF" w:rsidRPr="004D46AC" w:rsidRDefault="000B4CBF" w:rsidP="00B518F1">
            <w:pPr>
              <w:spacing w:line="240" w:lineRule="auto"/>
              <w:ind w:firstLine="0"/>
            </w:pPr>
            <w:r w:rsidRPr="004D46AC">
              <w:rPr>
                <w:color w:val="000000"/>
              </w:rPr>
              <w:t>TR7--TR26</w:t>
            </w:r>
          </w:p>
        </w:tc>
        <w:tc>
          <w:tcPr>
            <w:tcW w:w="1704" w:type="dxa"/>
            <w:vAlign w:val="center"/>
          </w:tcPr>
          <w:p w14:paraId="4E3B58F8" w14:textId="77777777" w:rsidR="000B4CBF" w:rsidRPr="004D46AC" w:rsidRDefault="000B4CBF" w:rsidP="00B518F1">
            <w:pPr>
              <w:spacing w:line="240" w:lineRule="auto"/>
              <w:ind w:firstLine="0"/>
            </w:pPr>
            <w:r w:rsidRPr="004D46AC">
              <w:rPr>
                <w:color w:val="000000"/>
                <w:szCs w:val="21"/>
              </w:rPr>
              <w:t xml:space="preserve">0.15 </w:t>
            </w:r>
          </w:p>
        </w:tc>
        <w:tc>
          <w:tcPr>
            <w:tcW w:w="1704" w:type="dxa"/>
            <w:vAlign w:val="center"/>
          </w:tcPr>
          <w:p w14:paraId="55D0EF1E" w14:textId="77777777" w:rsidR="000B4CBF" w:rsidRPr="004D46AC" w:rsidRDefault="000B4CBF" w:rsidP="00B518F1">
            <w:pPr>
              <w:spacing w:line="240" w:lineRule="auto"/>
              <w:ind w:firstLine="0"/>
            </w:pPr>
            <w:r w:rsidRPr="004D46AC">
              <w:rPr>
                <w:color w:val="000000"/>
                <w:szCs w:val="21"/>
              </w:rPr>
              <w:t xml:space="preserve">-0.18 </w:t>
            </w:r>
          </w:p>
        </w:tc>
        <w:tc>
          <w:tcPr>
            <w:tcW w:w="1705" w:type="dxa"/>
            <w:vAlign w:val="center"/>
          </w:tcPr>
          <w:p w14:paraId="4B72479C" w14:textId="77777777" w:rsidR="000B4CBF" w:rsidRPr="004D46AC" w:rsidRDefault="000B4CBF" w:rsidP="00B518F1">
            <w:pPr>
              <w:spacing w:line="240" w:lineRule="auto"/>
              <w:ind w:firstLine="0"/>
            </w:pPr>
            <w:r w:rsidRPr="004D46AC">
              <w:rPr>
                <w:color w:val="000000"/>
                <w:szCs w:val="21"/>
              </w:rPr>
              <w:t xml:space="preserve">0.47 </w:t>
            </w:r>
          </w:p>
        </w:tc>
        <w:tc>
          <w:tcPr>
            <w:tcW w:w="1705" w:type="dxa"/>
            <w:vAlign w:val="center"/>
          </w:tcPr>
          <w:p w14:paraId="7A321338" w14:textId="77777777" w:rsidR="000B4CBF" w:rsidRPr="004D46AC" w:rsidRDefault="000B4CBF" w:rsidP="00B518F1">
            <w:pPr>
              <w:spacing w:line="240" w:lineRule="auto"/>
              <w:ind w:firstLine="0"/>
            </w:pPr>
            <w:r w:rsidRPr="004D46AC">
              <w:rPr>
                <w:color w:val="000000"/>
                <w:szCs w:val="21"/>
              </w:rPr>
              <w:t xml:space="preserve">0.63 </w:t>
            </w:r>
          </w:p>
        </w:tc>
      </w:tr>
      <w:tr w:rsidR="000B4CBF" w:rsidRPr="004D46AC" w14:paraId="0379C582" w14:textId="77777777" w:rsidTr="00B518F1">
        <w:tc>
          <w:tcPr>
            <w:tcW w:w="1704" w:type="dxa"/>
            <w:vAlign w:val="center"/>
          </w:tcPr>
          <w:p w14:paraId="353F49CC" w14:textId="77777777" w:rsidR="000B4CBF" w:rsidRPr="004D46AC" w:rsidRDefault="000B4CBF" w:rsidP="00B518F1">
            <w:pPr>
              <w:spacing w:line="240" w:lineRule="auto"/>
              <w:ind w:firstLine="0"/>
            </w:pPr>
            <w:r w:rsidRPr="004D46AC">
              <w:rPr>
                <w:color w:val="000000"/>
              </w:rPr>
              <w:t>TR15--TR18</w:t>
            </w:r>
          </w:p>
        </w:tc>
        <w:tc>
          <w:tcPr>
            <w:tcW w:w="1704" w:type="dxa"/>
            <w:vAlign w:val="center"/>
          </w:tcPr>
          <w:p w14:paraId="57FEE436" w14:textId="77777777" w:rsidR="000B4CBF" w:rsidRPr="004D46AC" w:rsidRDefault="000B4CBF" w:rsidP="00B518F1">
            <w:pPr>
              <w:spacing w:line="240" w:lineRule="auto"/>
              <w:ind w:firstLine="0"/>
            </w:pPr>
            <w:r w:rsidRPr="004D46AC">
              <w:rPr>
                <w:color w:val="000000"/>
                <w:szCs w:val="21"/>
              </w:rPr>
              <w:t xml:space="preserve">0.15 </w:t>
            </w:r>
          </w:p>
        </w:tc>
        <w:tc>
          <w:tcPr>
            <w:tcW w:w="1704" w:type="dxa"/>
            <w:vAlign w:val="center"/>
          </w:tcPr>
          <w:p w14:paraId="6885C1EF"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6E6DD140" w14:textId="77777777" w:rsidR="000B4CBF" w:rsidRPr="004D46AC" w:rsidRDefault="000B4CBF" w:rsidP="00B518F1">
            <w:pPr>
              <w:spacing w:line="240" w:lineRule="auto"/>
              <w:ind w:firstLine="0"/>
            </w:pPr>
            <w:r w:rsidRPr="004D46AC">
              <w:rPr>
                <w:color w:val="000000"/>
                <w:szCs w:val="21"/>
              </w:rPr>
              <w:t xml:space="preserve">0.50 </w:t>
            </w:r>
          </w:p>
        </w:tc>
        <w:tc>
          <w:tcPr>
            <w:tcW w:w="1705" w:type="dxa"/>
            <w:vAlign w:val="center"/>
          </w:tcPr>
          <w:p w14:paraId="060185E1" w14:textId="77777777" w:rsidR="000B4CBF" w:rsidRPr="004D46AC" w:rsidRDefault="000B4CBF" w:rsidP="00B518F1">
            <w:pPr>
              <w:spacing w:line="240" w:lineRule="auto"/>
              <w:ind w:firstLine="0"/>
            </w:pPr>
            <w:r w:rsidRPr="004D46AC">
              <w:rPr>
                <w:color w:val="000000"/>
                <w:szCs w:val="21"/>
              </w:rPr>
              <w:t xml:space="preserve">0.63 </w:t>
            </w:r>
          </w:p>
        </w:tc>
      </w:tr>
      <w:tr w:rsidR="000B4CBF" w:rsidRPr="004D46AC" w14:paraId="298F7D0C" w14:textId="77777777" w:rsidTr="00B518F1">
        <w:tc>
          <w:tcPr>
            <w:tcW w:w="1704" w:type="dxa"/>
            <w:vAlign w:val="center"/>
          </w:tcPr>
          <w:p w14:paraId="719ACB9D" w14:textId="77777777" w:rsidR="000B4CBF" w:rsidRPr="004D46AC" w:rsidRDefault="000B4CBF" w:rsidP="00B518F1">
            <w:pPr>
              <w:spacing w:line="240" w:lineRule="auto"/>
              <w:ind w:firstLine="0"/>
            </w:pPr>
            <w:r w:rsidRPr="004D46AC">
              <w:rPr>
                <w:color w:val="000000"/>
              </w:rPr>
              <w:t>TR23--TR33</w:t>
            </w:r>
          </w:p>
        </w:tc>
        <w:tc>
          <w:tcPr>
            <w:tcW w:w="1704" w:type="dxa"/>
            <w:vAlign w:val="center"/>
          </w:tcPr>
          <w:p w14:paraId="5A823980" w14:textId="77777777" w:rsidR="000B4CBF" w:rsidRPr="004D46AC" w:rsidRDefault="000B4CBF" w:rsidP="00B518F1">
            <w:pPr>
              <w:spacing w:line="240" w:lineRule="auto"/>
              <w:ind w:firstLine="0"/>
            </w:pPr>
            <w:r w:rsidRPr="004D46AC">
              <w:rPr>
                <w:color w:val="000000"/>
                <w:szCs w:val="21"/>
              </w:rPr>
              <w:t xml:space="preserve">0.14 </w:t>
            </w:r>
          </w:p>
        </w:tc>
        <w:tc>
          <w:tcPr>
            <w:tcW w:w="1704" w:type="dxa"/>
            <w:vAlign w:val="center"/>
          </w:tcPr>
          <w:p w14:paraId="50E4B9E4" w14:textId="77777777" w:rsidR="000B4CBF" w:rsidRPr="004D46AC" w:rsidRDefault="000B4CBF" w:rsidP="00B518F1">
            <w:pPr>
              <w:spacing w:line="240" w:lineRule="auto"/>
              <w:ind w:firstLine="0"/>
            </w:pPr>
            <w:r w:rsidRPr="004D46AC">
              <w:rPr>
                <w:color w:val="000000"/>
                <w:szCs w:val="21"/>
              </w:rPr>
              <w:t xml:space="preserve">-0.25 </w:t>
            </w:r>
          </w:p>
        </w:tc>
        <w:tc>
          <w:tcPr>
            <w:tcW w:w="1705" w:type="dxa"/>
            <w:vAlign w:val="center"/>
          </w:tcPr>
          <w:p w14:paraId="71BC4A39" w14:textId="77777777" w:rsidR="000B4CBF" w:rsidRPr="004D46AC" w:rsidRDefault="000B4CBF" w:rsidP="00B518F1">
            <w:pPr>
              <w:spacing w:line="240" w:lineRule="auto"/>
              <w:ind w:firstLine="0"/>
            </w:pPr>
            <w:r w:rsidRPr="004D46AC">
              <w:rPr>
                <w:color w:val="000000"/>
                <w:szCs w:val="21"/>
              </w:rPr>
              <w:t xml:space="preserve">0.53 </w:t>
            </w:r>
          </w:p>
        </w:tc>
        <w:tc>
          <w:tcPr>
            <w:tcW w:w="1705" w:type="dxa"/>
            <w:vAlign w:val="center"/>
          </w:tcPr>
          <w:p w14:paraId="5F786A36" w14:textId="77777777" w:rsidR="000B4CBF" w:rsidRPr="004D46AC" w:rsidRDefault="000B4CBF" w:rsidP="00B518F1">
            <w:pPr>
              <w:spacing w:line="240" w:lineRule="auto"/>
              <w:ind w:firstLine="0"/>
            </w:pPr>
            <w:r w:rsidRPr="004D46AC">
              <w:rPr>
                <w:color w:val="000000"/>
                <w:szCs w:val="21"/>
              </w:rPr>
              <w:t xml:space="preserve">0.54 </w:t>
            </w:r>
          </w:p>
        </w:tc>
      </w:tr>
      <w:tr w:rsidR="000B4CBF" w:rsidRPr="004D46AC" w14:paraId="6129259A" w14:textId="77777777" w:rsidTr="00B518F1">
        <w:tc>
          <w:tcPr>
            <w:tcW w:w="1704" w:type="dxa"/>
            <w:vAlign w:val="center"/>
          </w:tcPr>
          <w:p w14:paraId="00BD10A0" w14:textId="77777777" w:rsidR="000B4CBF" w:rsidRPr="004D46AC" w:rsidRDefault="000B4CBF" w:rsidP="00B518F1">
            <w:pPr>
              <w:spacing w:line="240" w:lineRule="auto"/>
              <w:ind w:firstLine="0"/>
            </w:pPr>
            <w:r w:rsidRPr="004D46AC">
              <w:rPr>
                <w:color w:val="000000"/>
              </w:rPr>
              <w:t>TR17--TR16</w:t>
            </w:r>
          </w:p>
        </w:tc>
        <w:tc>
          <w:tcPr>
            <w:tcW w:w="1704" w:type="dxa"/>
            <w:vAlign w:val="center"/>
          </w:tcPr>
          <w:p w14:paraId="703386BD" w14:textId="77777777" w:rsidR="000B4CBF" w:rsidRPr="004D46AC" w:rsidRDefault="000B4CBF" w:rsidP="00B518F1">
            <w:pPr>
              <w:spacing w:line="240" w:lineRule="auto"/>
              <w:ind w:firstLine="0"/>
            </w:pPr>
            <w:r w:rsidRPr="004D46AC">
              <w:rPr>
                <w:color w:val="000000"/>
                <w:szCs w:val="21"/>
              </w:rPr>
              <w:t xml:space="preserve">0.14 </w:t>
            </w:r>
          </w:p>
        </w:tc>
        <w:tc>
          <w:tcPr>
            <w:tcW w:w="1704" w:type="dxa"/>
            <w:vAlign w:val="center"/>
          </w:tcPr>
          <w:p w14:paraId="03C4FED8" w14:textId="77777777" w:rsidR="000B4CBF" w:rsidRPr="004D46AC" w:rsidRDefault="000B4CBF" w:rsidP="00B518F1">
            <w:pPr>
              <w:spacing w:line="240" w:lineRule="auto"/>
              <w:ind w:firstLine="0"/>
            </w:pPr>
            <w:r w:rsidRPr="004D46AC">
              <w:rPr>
                <w:color w:val="000000"/>
                <w:szCs w:val="21"/>
              </w:rPr>
              <w:t xml:space="preserve">-0.23 </w:t>
            </w:r>
          </w:p>
        </w:tc>
        <w:tc>
          <w:tcPr>
            <w:tcW w:w="1705" w:type="dxa"/>
            <w:vAlign w:val="center"/>
          </w:tcPr>
          <w:p w14:paraId="37715EFD" w14:textId="77777777" w:rsidR="000B4CBF" w:rsidRPr="004D46AC" w:rsidRDefault="000B4CBF" w:rsidP="00B518F1">
            <w:pPr>
              <w:spacing w:line="240" w:lineRule="auto"/>
              <w:ind w:firstLine="0"/>
            </w:pPr>
            <w:r w:rsidRPr="004D46AC">
              <w:rPr>
                <w:color w:val="000000"/>
                <w:szCs w:val="21"/>
              </w:rPr>
              <w:t xml:space="preserve">0.50 </w:t>
            </w:r>
          </w:p>
        </w:tc>
        <w:tc>
          <w:tcPr>
            <w:tcW w:w="1705" w:type="dxa"/>
            <w:vAlign w:val="center"/>
          </w:tcPr>
          <w:p w14:paraId="1355E46F" w14:textId="77777777" w:rsidR="000B4CBF" w:rsidRPr="004D46AC" w:rsidRDefault="000B4CBF" w:rsidP="00B518F1">
            <w:pPr>
              <w:spacing w:line="240" w:lineRule="auto"/>
              <w:ind w:firstLine="0"/>
            </w:pPr>
            <w:r w:rsidRPr="004D46AC">
              <w:rPr>
                <w:color w:val="000000"/>
                <w:szCs w:val="21"/>
              </w:rPr>
              <w:t xml:space="preserve">0.54 </w:t>
            </w:r>
          </w:p>
        </w:tc>
      </w:tr>
      <w:tr w:rsidR="000B4CBF" w:rsidRPr="004D46AC" w14:paraId="0036A10E" w14:textId="77777777" w:rsidTr="00B518F1">
        <w:tc>
          <w:tcPr>
            <w:tcW w:w="1704" w:type="dxa"/>
            <w:vAlign w:val="center"/>
          </w:tcPr>
          <w:p w14:paraId="02947664" w14:textId="77777777" w:rsidR="000B4CBF" w:rsidRPr="004D46AC" w:rsidRDefault="000B4CBF" w:rsidP="00B518F1">
            <w:pPr>
              <w:spacing w:line="240" w:lineRule="auto"/>
              <w:ind w:firstLine="0"/>
            </w:pPr>
            <w:r w:rsidRPr="004D46AC">
              <w:rPr>
                <w:color w:val="000000"/>
              </w:rPr>
              <w:t>TR37--TR29</w:t>
            </w:r>
          </w:p>
        </w:tc>
        <w:tc>
          <w:tcPr>
            <w:tcW w:w="1704" w:type="dxa"/>
            <w:vAlign w:val="center"/>
          </w:tcPr>
          <w:p w14:paraId="148E8DF5"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3BE8A941"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67B1E466" w14:textId="77777777" w:rsidR="000B4CBF" w:rsidRPr="004D46AC" w:rsidRDefault="000B4CBF" w:rsidP="00B518F1">
            <w:pPr>
              <w:spacing w:line="240" w:lineRule="auto"/>
              <w:ind w:firstLine="0"/>
            </w:pPr>
            <w:r w:rsidRPr="004D46AC">
              <w:rPr>
                <w:color w:val="000000"/>
                <w:szCs w:val="21"/>
              </w:rPr>
              <w:t xml:space="preserve">0.48 </w:t>
            </w:r>
          </w:p>
        </w:tc>
        <w:tc>
          <w:tcPr>
            <w:tcW w:w="1705" w:type="dxa"/>
            <w:vAlign w:val="center"/>
          </w:tcPr>
          <w:p w14:paraId="2E940954" w14:textId="77777777" w:rsidR="000B4CBF" w:rsidRPr="004D46AC" w:rsidRDefault="000B4CBF" w:rsidP="00B518F1">
            <w:pPr>
              <w:spacing w:line="240" w:lineRule="auto"/>
              <w:ind w:firstLine="0"/>
            </w:pPr>
            <w:r w:rsidRPr="004D46AC">
              <w:rPr>
                <w:color w:val="000000"/>
                <w:szCs w:val="21"/>
              </w:rPr>
              <w:t xml:space="preserve">0.44 </w:t>
            </w:r>
          </w:p>
        </w:tc>
      </w:tr>
      <w:tr w:rsidR="000B4CBF" w:rsidRPr="004D46AC" w14:paraId="0F106B35" w14:textId="77777777" w:rsidTr="00B518F1">
        <w:tc>
          <w:tcPr>
            <w:tcW w:w="1704" w:type="dxa"/>
            <w:vAlign w:val="center"/>
          </w:tcPr>
          <w:p w14:paraId="4ACD38C7" w14:textId="77777777" w:rsidR="000B4CBF" w:rsidRPr="004D46AC" w:rsidRDefault="000B4CBF" w:rsidP="00B518F1">
            <w:pPr>
              <w:spacing w:line="240" w:lineRule="auto"/>
              <w:ind w:firstLine="0"/>
            </w:pPr>
            <w:r w:rsidRPr="004D46AC">
              <w:rPr>
                <w:color w:val="000000"/>
              </w:rPr>
              <w:t>TR17--TR14</w:t>
            </w:r>
          </w:p>
        </w:tc>
        <w:tc>
          <w:tcPr>
            <w:tcW w:w="1704" w:type="dxa"/>
            <w:vAlign w:val="center"/>
          </w:tcPr>
          <w:p w14:paraId="3E0807F5"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552605D0"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2EB9E52A" w14:textId="77777777" w:rsidR="000B4CBF" w:rsidRPr="004D46AC" w:rsidRDefault="000B4CBF" w:rsidP="00B518F1">
            <w:pPr>
              <w:spacing w:line="240" w:lineRule="auto"/>
              <w:ind w:firstLine="0"/>
            </w:pPr>
            <w:r w:rsidRPr="004D46AC">
              <w:rPr>
                <w:color w:val="000000"/>
                <w:szCs w:val="21"/>
              </w:rPr>
              <w:t xml:space="preserve">0.47 </w:t>
            </w:r>
          </w:p>
        </w:tc>
        <w:tc>
          <w:tcPr>
            <w:tcW w:w="1705" w:type="dxa"/>
            <w:vAlign w:val="center"/>
          </w:tcPr>
          <w:p w14:paraId="2C99459D" w14:textId="77777777" w:rsidR="000B4CBF" w:rsidRPr="004D46AC" w:rsidRDefault="000B4CBF" w:rsidP="00B518F1">
            <w:pPr>
              <w:spacing w:line="240" w:lineRule="auto"/>
              <w:ind w:firstLine="0"/>
            </w:pPr>
            <w:r w:rsidRPr="004D46AC">
              <w:rPr>
                <w:color w:val="000000"/>
                <w:szCs w:val="21"/>
              </w:rPr>
              <w:t xml:space="preserve">0.46 </w:t>
            </w:r>
          </w:p>
        </w:tc>
      </w:tr>
      <w:tr w:rsidR="000B4CBF" w:rsidRPr="004D46AC" w14:paraId="601D595F" w14:textId="77777777" w:rsidTr="00B518F1">
        <w:tc>
          <w:tcPr>
            <w:tcW w:w="1704" w:type="dxa"/>
            <w:vAlign w:val="center"/>
          </w:tcPr>
          <w:p w14:paraId="03ED9B90" w14:textId="77777777" w:rsidR="000B4CBF" w:rsidRPr="004D46AC" w:rsidRDefault="000B4CBF" w:rsidP="00B518F1">
            <w:pPr>
              <w:spacing w:line="240" w:lineRule="auto"/>
              <w:ind w:firstLine="0"/>
            </w:pPr>
            <w:r w:rsidRPr="004D46AC">
              <w:rPr>
                <w:color w:val="000000"/>
              </w:rPr>
              <w:t>TR17--TR18</w:t>
            </w:r>
          </w:p>
        </w:tc>
        <w:tc>
          <w:tcPr>
            <w:tcW w:w="1704" w:type="dxa"/>
            <w:vAlign w:val="center"/>
          </w:tcPr>
          <w:p w14:paraId="4D75857B"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308E92EE"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68A786BB" w14:textId="77777777" w:rsidR="000B4CBF" w:rsidRPr="004D46AC" w:rsidRDefault="000B4CBF" w:rsidP="00B518F1">
            <w:pPr>
              <w:spacing w:line="240" w:lineRule="auto"/>
              <w:ind w:firstLine="0"/>
            </w:pPr>
            <w:r w:rsidRPr="004D46AC">
              <w:rPr>
                <w:color w:val="000000"/>
                <w:szCs w:val="21"/>
              </w:rPr>
              <w:t xml:space="preserve">0.51 </w:t>
            </w:r>
          </w:p>
        </w:tc>
        <w:tc>
          <w:tcPr>
            <w:tcW w:w="1705" w:type="dxa"/>
            <w:vAlign w:val="center"/>
          </w:tcPr>
          <w:p w14:paraId="7DE89EB4" w14:textId="77777777" w:rsidR="000B4CBF" w:rsidRPr="004D46AC" w:rsidRDefault="000B4CBF" w:rsidP="00B518F1">
            <w:pPr>
              <w:spacing w:line="240" w:lineRule="auto"/>
              <w:ind w:firstLine="0"/>
            </w:pPr>
            <w:r w:rsidRPr="004D46AC">
              <w:rPr>
                <w:color w:val="000000"/>
                <w:szCs w:val="21"/>
              </w:rPr>
              <w:t xml:space="preserve">0.44 </w:t>
            </w:r>
          </w:p>
        </w:tc>
      </w:tr>
      <w:tr w:rsidR="000B4CBF" w:rsidRPr="004D46AC" w14:paraId="4E9AA846" w14:textId="77777777" w:rsidTr="00B518F1">
        <w:tc>
          <w:tcPr>
            <w:tcW w:w="1704" w:type="dxa"/>
            <w:vAlign w:val="center"/>
          </w:tcPr>
          <w:p w14:paraId="60FA869F" w14:textId="77777777" w:rsidR="000B4CBF" w:rsidRPr="004D46AC" w:rsidRDefault="000B4CBF" w:rsidP="00B518F1">
            <w:pPr>
              <w:spacing w:line="240" w:lineRule="auto"/>
              <w:ind w:firstLine="0"/>
            </w:pPr>
            <w:r w:rsidRPr="004D46AC">
              <w:rPr>
                <w:color w:val="000000"/>
              </w:rPr>
              <w:t>TR24--TR17</w:t>
            </w:r>
          </w:p>
        </w:tc>
        <w:tc>
          <w:tcPr>
            <w:tcW w:w="1704" w:type="dxa"/>
            <w:vAlign w:val="center"/>
          </w:tcPr>
          <w:p w14:paraId="060B7E4C"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01F8D8BE"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429FAE2A" w14:textId="77777777" w:rsidR="000B4CBF" w:rsidRPr="004D46AC" w:rsidRDefault="000B4CBF" w:rsidP="00B518F1">
            <w:pPr>
              <w:spacing w:line="240" w:lineRule="auto"/>
              <w:ind w:firstLine="0"/>
            </w:pPr>
            <w:r w:rsidRPr="004D46AC">
              <w:rPr>
                <w:color w:val="000000"/>
                <w:szCs w:val="21"/>
              </w:rPr>
              <w:t xml:space="preserve">0.48 </w:t>
            </w:r>
          </w:p>
        </w:tc>
        <w:tc>
          <w:tcPr>
            <w:tcW w:w="1705" w:type="dxa"/>
            <w:vAlign w:val="center"/>
          </w:tcPr>
          <w:p w14:paraId="02E9637F" w14:textId="77777777" w:rsidR="000B4CBF" w:rsidRPr="004D46AC" w:rsidRDefault="000B4CBF" w:rsidP="00B518F1">
            <w:pPr>
              <w:spacing w:line="240" w:lineRule="auto"/>
              <w:ind w:firstLine="0"/>
            </w:pPr>
            <w:r w:rsidRPr="004D46AC">
              <w:rPr>
                <w:color w:val="000000"/>
                <w:szCs w:val="21"/>
              </w:rPr>
              <w:t xml:space="preserve">0.49 </w:t>
            </w:r>
          </w:p>
        </w:tc>
      </w:tr>
      <w:tr w:rsidR="000B4CBF" w:rsidRPr="004D46AC" w14:paraId="0B51BA8C" w14:textId="77777777" w:rsidTr="00B518F1">
        <w:tc>
          <w:tcPr>
            <w:tcW w:w="1704" w:type="dxa"/>
            <w:vAlign w:val="center"/>
          </w:tcPr>
          <w:p w14:paraId="1E36548F" w14:textId="77777777" w:rsidR="000B4CBF" w:rsidRPr="004D46AC" w:rsidRDefault="000B4CBF" w:rsidP="00B518F1">
            <w:pPr>
              <w:spacing w:line="240" w:lineRule="auto"/>
              <w:ind w:firstLine="0"/>
            </w:pPr>
            <w:r w:rsidRPr="004D46AC">
              <w:rPr>
                <w:color w:val="000000"/>
              </w:rPr>
              <w:t>TR18--TR20</w:t>
            </w:r>
          </w:p>
        </w:tc>
        <w:tc>
          <w:tcPr>
            <w:tcW w:w="1704" w:type="dxa"/>
            <w:vAlign w:val="center"/>
          </w:tcPr>
          <w:p w14:paraId="2556B53D"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0A739CFC" w14:textId="77777777" w:rsidR="000B4CBF" w:rsidRPr="004D46AC" w:rsidRDefault="000B4CBF" w:rsidP="00B518F1">
            <w:pPr>
              <w:spacing w:line="240" w:lineRule="auto"/>
              <w:ind w:firstLine="0"/>
            </w:pPr>
            <w:r w:rsidRPr="004D46AC">
              <w:rPr>
                <w:color w:val="000000"/>
                <w:szCs w:val="21"/>
              </w:rPr>
              <w:t xml:space="preserve">-0.24 </w:t>
            </w:r>
          </w:p>
        </w:tc>
        <w:tc>
          <w:tcPr>
            <w:tcW w:w="1705" w:type="dxa"/>
            <w:vAlign w:val="center"/>
          </w:tcPr>
          <w:p w14:paraId="105A2F64" w14:textId="77777777" w:rsidR="000B4CBF" w:rsidRPr="004D46AC" w:rsidRDefault="000B4CBF" w:rsidP="00B518F1">
            <w:pPr>
              <w:spacing w:line="240" w:lineRule="auto"/>
              <w:ind w:firstLine="0"/>
            </w:pPr>
            <w:r w:rsidRPr="004D46AC">
              <w:rPr>
                <w:color w:val="000000"/>
                <w:szCs w:val="21"/>
              </w:rPr>
              <w:t xml:space="preserve">0.49 </w:t>
            </w:r>
          </w:p>
        </w:tc>
        <w:tc>
          <w:tcPr>
            <w:tcW w:w="1705" w:type="dxa"/>
            <w:vAlign w:val="center"/>
          </w:tcPr>
          <w:p w14:paraId="6ED8B983" w14:textId="77777777" w:rsidR="000B4CBF" w:rsidRPr="004D46AC" w:rsidRDefault="000B4CBF" w:rsidP="00B518F1">
            <w:pPr>
              <w:spacing w:line="240" w:lineRule="auto"/>
              <w:ind w:firstLine="0"/>
            </w:pPr>
            <w:r w:rsidRPr="004D46AC">
              <w:rPr>
                <w:color w:val="000000"/>
                <w:szCs w:val="21"/>
              </w:rPr>
              <w:t xml:space="preserve">0.53 </w:t>
            </w:r>
          </w:p>
        </w:tc>
      </w:tr>
      <w:tr w:rsidR="000B4CBF" w:rsidRPr="004D46AC" w14:paraId="5E50E78B" w14:textId="77777777" w:rsidTr="00B518F1">
        <w:tc>
          <w:tcPr>
            <w:tcW w:w="1704" w:type="dxa"/>
            <w:vAlign w:val="center"/>
          </w:tcPr>
          <w:p w14:paraId="596E4C53" w14:textId="77777777" w:rsidR="000B4CBF" w:rsidRPr="004D46AC" w:rsidRDefault="000B4CBF" w:rsidP="00B518F1">
            <w:pPr>
              <w:spacing w:line="240" w:lineRule="auto"/>
              <w:ind w:firstLine="0"/>
            </w:pPr>
            <w:r w:rsidRPr="004D46AC">
              <w:rPr>
                <w:color w:val="000000"/>
              </w:rPr>
              <w:t>TR9--TR25</w:t>
            </w:r>
          </w:p>
        </w:tc>
        <w:tc>
          <w:tcPr>
            <w:tcW w:w="1704" w:type="dxa"/>
            <w:vAlign w:val="center"/>
          </w:tcPr>
          <w:p w14:paraId="7772E038" w14:textId="77777777" w:rsidR="000B4CBF" w:rsidRPr="004D46AC" w:rsidRDefault="000B4CBF" w:rsidP="00B518F1">
            <w:pPr>
              <w:spacing w:line="240" w:lineRule="auto"/>
              <w:ind w:firstLine="0"/>
            </w:pPr>
            <w:r w:rsidRPr="004D46AC">
              <w:rPr>
                <w:color w:val="000000"/>
                <w:szCs w:val="21"/>
              </w:rPr>
              <w:t xml:space="preserve">0.13 </w:t>
            </w:r>
          </w:p>
        </w:tc>
        <w:tc>
          <w:tcPr>
            <w:tcW w:w="1704" w:type="dxa"/>
            <w:vAlign w:val="center"/>
          </w:tcPr>
          <w:p w14:paraId="0D10BCE8" w14:textId="77777777" w:rsidR="000B4CBF" w:rsidRPr="004D46AC" w:rsidRDefault="000B4CBF" w:rsidP="00B518F1">
            <w:pPr>
              <w:spacing w:line="240" w:lineRule="auto"/>
              <w:ind w:firstLine="0"/>
            </w:pPr>
            <w:r w:rsidRPr="004D46AC">
              <w:rPr>
                <w:color w:val="000000"/>
                <w:szCs w:val="21"/>
              </w:rPr>
              <w:t xml:space="preserve">-0.25 </w:t>
            </w:r>
          </w:p>
        </w:tc>
        <w:tc>
          <w:tcPr>
            <w:tcW w:w="1705" w:type="dxa"/>
            <w:vAlign w:val="center"/>
          </w:tcPr>
          <w:p w14:paraId="562BCDCC" w14:textId="77777777" w:rsidR="000B4CBF" w:rsidRPr="004D46AC" w:rsidRDefault="000B4CBF" w:rsidP="00B518F1">
            <w:pPr>
              <w:spacing w:line="240" w:lineRule="auto"/>
              <w:ind w:firstLine="0"/>
            </w:pPr>
            <w:r w:rsidRPr="004D46AC">
              <w:rPr>
                <w:color w:val="000000"/>
                <w:szCs w:val="21"/>
              </w:rPr>
              <w:t xml:space="preserve">0.50 </w:t>
            </w:r>
          </w:p>
        </w:tc>
        <w:tc>
          <w:tcPr>
            <w:tcW w:w="1705" w:type="dxa"/>
            <w:vAlign w:val="center"/>
          </w:tcPr>
          <w:p w14:paraId="6982E9D1" w14:textId="77777777" w:rsidR="000B4CBF" w:rsidRPr="004D46AC" w:rsidRDefault="000B4CBF" w:rsidP="00B518F1">
            <w:pPr>
              <w:spacing w:line="240" w:lineRule="auto"/>
              <w:ind w:firstLine="0"/>
            </w:pPr>
            <w:r w:rsidRPr="004D46AC">
              <w:rPr>
                <w:color w:val="000000"/>
                <w:szCs w:val="21"/>
              </w:rPr>
              <w:t xml:space="preserve">0.48 </w:t>
            </w:r>
          </w:p>
        </w:tc>
      </w:tr>
      <w:tr w:rsidR="000B4CBF" w:rsidRPr="004D46AC" w14:paraId="59D1BA36" w14:textId="77777777" w:rsidTr="00B518F1">
        <w:tc>
          <w:tcPr>
            <w:tcW w:w="1704" w:type="dxa"/>
            <w:vAlign w:val="center"/>
          </w:tcPr>
          <w:p w14:paraId="60CF998F" w14:textId="77777777" w:rsidR="000B4CBF" w:rsidRPr="004D46AC" w:rsidRDefault="000B4CBF" w:rsidP="00B518F1">
            <w:pPr>
              <w:spacing w:line="240" w:lineRule="auto"/>
              <w:ind w:firstLine="0"/>
            </w:pPr>
            <w:r w:rsidRPr="004D46AC">
              <w:rPr>
                <w:color w:val="000000"/>
              </w:rPr>
              <w:t>TR33--TR13</w:t>
            </w:r>
          </w:p>
        </w:tc>
        <w:tc>
          <w:tcPr>
            <w:tcW w:w="1704" w:type="dxa"/>
            <w:vAlign w:val="center"/>
          </w:tcPr>
          <w:p w14:paraId="1742E987" w14:textId="77777777" w:rsidR="000B4CBF" w:rsidRPr="004D46AC" w:rsidRDefault="000B4CBF" w:rsidP="00B518F1">
            <w:pPr>
              <w:spacing w:line="240" w:lineRule="auto"/>
              <w:ind w:firstLine="0"/>
            </w:pPr>
            <w:r w:rsidRPr="004D46AC">
              <w:rPr>
                <w:color w:val="000000"/>
                <w:szCs w:val="21"/>
              </w:rPr>
              <w:t xml:space="preserve">0.12 </w:t>
            </w:r>
          </w:p>
        </w:tc>
        <w:tc>
          <w:tcPr>
            <w:tcW w:w="1704" w:type="dxa"/>
            <w:vAlign w:val="center"/>
          </w:tcPr>
          <w:p w14:paraId="7D05AD11"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5DCD5AE3" w14:textId="77777777" w:rsidR="000B4CBF" w:rsidRPr="004D46AC" w:rsidRDefault="000B4CBF" w:rsidP="00B518F1">
            <w:pPr>
              <w:spacing w:line="240" w:lineRule="auto"/>
              <w:ind w:firstLine="0"/>
            </w:pPr>
            <w:r w:rsidRPr="004D46AC">
              <w:rPr>
                <w:color w:val="000000"/>
                <w:szCs w:val="21"/>
              </w:rPr>
              <w:t xml:space="preserve">0.45 </w:t>
            </w:r>
          </w:p>
        </w:tc>
        <w:tc>
          <w:tcPr>
            <w:tcW w:w="1705" w:type="dxa"/>
            <w:vAlign w:val="center"/>
          </w:tcPr>
          <w:p w14:paraId="2A249E18" w14:textId="77777777" w:rsidR="000B4CBF" w:rsidRPr="004D46AC" w:rsidRDefault="000B4CBF" w:rsidP="00B518F1">
            <w:pPr>
              <w:spacing w:line="240" w:lineRule="auto"/>
              <w:ind w:firstLine="0"/>
            </w:pPr>
            <w:r w:rsidRPr="004D46AC">
              <w:rPr>
                <w:color w:val="000000"/>
                <w:szCs w:val="21"/>
              </w:rPr>
              <w:t xml:space="preserve">0.55 </w:t>
            </w:r>
          </w:p>
        </w:tc>
      </w:tr>
      <w:tr w:rsidR="000B4CBF" w:rsidRPr="004D46AC" w14:paraId="2FBC76A9" w14:textId="77777777" w:rsidTr="00B518F1">
        <w:tc>
          <w:tcPr>
            <w:tcW w:w="1704" w:type="dxa"/>
            <w:vAlign w:val="center"/>
          </w:tcPr>
          <w:p w14:paraId="5DE18BFF" w14:textId="77777777" w:rsidR="000B4CBF" w:rsidRPr="004D46AC" w:rsidRDefault="000B4CBF" w:rsidP="00B518F1">
            <w:pPr>
              <w:spacing w:line="240" w:lineRule="auto"/>
              <w:ind w:firstLine="0"/>
            </w:pPr>
            <w:r w:rsidRPr="004D46AC">
              <w:rPr>
                <w:color w:val="000000"/>
              </w:rPr>
              <w:t>TR3--TR17</w:t>
            </w:r>
          </w:p>
        </w:tc>
        <w:tc>
          <w:tcPr>
            <w:tcW w:w="1704" w:type="dxa"/>
            <w:vAlign w:val="center"/>
          </w:tcPr>
          <w:p w14:paraId="30C4A26F" w14:textId="77777777" w:rsidR="000B4CBF" w:rsidRPr="004D46AC" w:rsidRDefault="000B4CBF" w:rsidP="00B518F1">
            <w:pPr>
              <w:spacing w:line="240" w:lineRule="auto"/>
              <w:ind w:firstLine="0"/>
            </w:pPr>
            <w:r w:rsidRPr="004D46AC">
              <w:rPr>
                <w:color w:val="000000"/>
                <w:szCs w:val="21"/>
              </w:rPr>
              <w:t xml:space="preserve">0.12 </w:t>
            </w:r>
          </w:p>
        </w:tc>
        <w:tc>
          <w:tcPr>
            <w:tcW w:w="1704" w:type="dxa"/>
            <w:vAlign w:val="center"/>
          </w:tcPr>
          <w:p w14:paraId="02984C47" w14:textId="77777777" w:rsidR="000B4CBF" w:rsidRPr="004D46AC" w:rsidRDefault="000B4CBF" w:rsidP="00B518F1">
            <w:pPr>
              <w:spacing w:line="240" w:lineRule="auto"/>
              <w:ind w:firstLine="0"/>
            </w:pPr>
            <w:r w:rsidRPr="004D46AC">
              <w:rPr>
                <w:color w:val="000000"/>
                <w:szCs w:val="21"/>
              </w:rPr>
              <w:t xml:space="preserve">-0.26 </w:t>
            </w:r>
          </w:p>
        </w:tc>
        <w:tc>
          <w:tcPr>
            <w:tcW w:w="1705" w:type="dxa"/>
            <w:vAlign w:val="center"/>
          </w:tcPr>
          <w:p w14:paraId="27B2EC01" w14:textId="77777777" w:rsidR="000B4CBF" w:rsidRPr="004D46AC" w:rsidRDefault="000B4CBF" w:rsidP="00B518F1">
            <w:pPr>
              <w:spacing w:line="240" w:lineRule="auto"/>
              <w:ind w:firstLine="0"/>
            </w:pPr>
            <w:r w:rsidRPr="004D46AC">
              <w:rPr>
                <w:color w:val="000000"/>
                <w:szCs w:val="21"/>
              </w:rPr>
              <w:t xml:space="preserve">0.51 </w:t>
            </w:r>
          </w:p>
        </w:tc>
        <w:tc>
          <w:tcPr>
            <w:tcW w:w="1705" w:type="dxa"/>
            <w:vAlign w:val="center"/>
          </w:tcPr>
          <w:p w14:paraId="16149C4A" w14:textId="77777777" w:rsidR="000B4CBF" w:rsidRPr="004D46AC" w:rsidRDefault="000B4CBF" w:rsidP="00B518F1">
            <w:pPr>
              <w:spacing w:line="240" w:lineRule="auto"/>
              <w:ind w:firstLine="0"/>
            </w:pPr>
            <w:r w:rsidRPr="004D46AC">
              <w:rPr>
                <w:color w:val="000000"/>
                <w:szCs w:val="21"/>
              </w:rPr>
              <w:t xml:space="preserve">0.48 </w:t>
            </w:r>
          </w:p>
        </w:tc>
      </w:tr>
      <w:tr w:rsidR="000B4CBF" w:rsidRPr="004D46AC" w14:paraId="32D0A80D" w14:textId="77777777" w:rsidTr="00B518F1">
        <w:tc>
          <w:tcPr>
            <w:tcW w:w="1704" w:type="dxa"/>
            <w:vAlign w:val="center"/>
          </w:tcPr>
          <w:p w14:paraId="6C20F893" w14:textId="77777777" w:rsidR="000B4CBF" w:rsidRPr="004D46AC" w:rsidRDefault="000B4CBF" w:rsidP="00B518F1">
            <w:pPr>
              <w:spacing w:line="240" w:lineRule="auto"/>
              <w:ind w:firstLine="0"/>
            </w:pPr>
            <w:r w:rsidRPr="004D46AC">
              <w:rPr>
                <w:color w:val="000000"/>
              </w:rPr>
              <w:t>TR6--TR30</w:t>
            </w:r>
          </w:p>
        </w:tc>
        <w:tc>
          <w:tcPr>
            <w:tcW w:w="1704" w:type="dxa"/>
            <w:vAlign w:val="center"/>
          </w:tcPr>
          <w:p w14:paraId="47ED0EAC" w14:textId="77777777" w:rsidR="000B4CBF" w:rsidRPr="004D46AC" w:rsidRDefault="000B4CBF" w:rsidP="00B518F1">
            <w:pPr>
              <w:spacing w:line="240" w:lineRule="auto"/>
              <w:ind w:firstLine="0"/>
            </w:pPr>
            <w:r w:rsidRPr="004D46AC">
              <w:rPr>
                <w:color w:val="000000"/>
                <w:szCs w:val="21"/>
              </w:rPr>
              <w:t xml:space="preserve">0.12 </w:t>
            </w:r>
          </w:p>
        </w:tc>
        <w:tc>
          <w:tcPr>
            <w:tcW w:w="1704" w:type="dxa"/>
            <w:vAlign w:val="center"/>
          </w:tcPr>
          <w:p w14:paraId="6C58AC48" w14:textId="77777777" w:rsidR="000B4CBF" w:rsidRPr="004D46AC" w:rsidRDefault="000B4CBF" w:rsidP="00B518F1">
            <w:pPr>
              <w:spacing w:line="240" w:lineRule="auto"/>
              <w:ind w:firstLine="0"/>
            </w:pPr>
            <w:r w:rsidRPr="004D46AC">
              <w:rPr>
                <w:color w:val="000000"/>
                <w:szCs w:val="21"/>
              </w:rPr>
              <w:t xml:space="preserve">-0.25 </w:t>
            </w:r>
          </w:p>
        </w:tc>
        <w:tc>
          <w:tcPr>
            <w:tcW w:w="1705" w:type="dxa"/>
            <w:vAlign w:val="center"/>
          </w:tcPr>
          <w:p w14:paraId="20D63128" w14:textId="77777777" w:rsidR="000B4CBF" w:rsidRPr="004D46AC" w:rsidRDefault="000B4CBF" w:rsidP="00B518F1">
            <w:pPr>
              <w:spacing w:line="240" w:lineRule="auto"/>
              <w:ind w:firstLine="0"/>
            </w:pPr>
            <w:r w:rsidRPr="004D46AC">
              <w:rPr>
                <w:color w:val="000000"/>
                <w:szCs w:val="21"/>
              </w:rPr>
              <w:t xml:space="preserve">0.49 </w:t>
            </w:r>
          </w:p>
        </w:tc>
        <w:tc>
          <w:tcPr>
            <w:tcW w:w="1705" w:type="dxa"/>
            <w:vAlign w:val="center"/>
          </w:tcPr>
          <w:p w14:paraId="54288DB1" w14:textId="77777777" w:rsidR="000B4CBF" w:rsidRPr="004D46AC" w:rsidRDefault="000B4CBF" w:rsidP="00B518F1">
            <w:pPr>
              <w:spacing w:line="240" w:lineRule="auto"/>
              <w:ind w:firstLine="0"/>
            </w:pPr>
            <w:r w:rsidRPr="004D46AC">
              <w:rPr>
                <w:color w:val="000000"/>
                <w:szCs w:val="21"/>
              </w:rPr>
              <w:t xml:space="preserve">0.47 </w:t>
            </w:r>
          </w:p>
        </w:tc>
      </w:tr>
      <w:tr w:rsidR="000B4CBF" w:rsidRPr="004D46AC" w14:paraId="79BB0563" w14:textId="77777777" w:rsidTr="00B518F1">
        <w:tc>
          <w:tcPr>
            <w:tcW w:w="1704" w:type="dxa"/>
            <w:vAlign w:val="center"/>
          </w:tcPr>
          <w:p w14:paraId="09CBD205" w14:textId="77777777" w:rsidR="000B4CBF" w:rsidRPr="004D46AC" w:rsidRDefault="000B4CBF" w:rsidP="00B518F1">
            <w:pPr>
              <w:spacing w:line="240" w:lineRule="auto"/>
              <w:ind w:firstLine="0"/>
            </w:pPr>
            <w:r w:rsidRPr="004D46AC">
              <w:rPr>
                <w:color w:val="000000"/>
              </w:rPr>
              <w:t>TR7--TR12</w:t>
            </w:r>
          </w:p>
        </w:tc>
        <w:tc>
          <w:tcPr>
            <w:tcW w:w="1704" w:type="dxa"/>
            <w:vAlign w:val="center"/>
          </w:tcPr>
          <w:p w14:paraId="6B44AE61" w14:textId="77777777" w:rsidR="000B4CBF" w:rsidRPr="004D46AC" w:rsidRDefault="000B4CBF" w:rsidP="00B518F1">
            <w:pPr>
              <w:spacing w:line="240" w:lineRule="auto"/>
              <w:ind w:firstLine="0"/>
            </w:pPr>
            <w:r w:rsidRPr="004D46AC">
              <w:rPr>
                <w:color w:val="000000"/>
                <w:szCs w:val="21"/>
              </w:rPr>
              <w:t xml:space="preserve">0.11 </w:t>
            </w:r>
          </w:p>
        </w:tc>
        <w:tc>
          <w:tcPr>
            <w:tcW w:w="1704" w:type="dxa"/>
            <w:vAlign w:val="center"/>
          </w:tcPr>
          <w:p w14:paraId="44E2B1A7"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47C63B98" w14:textId="77777777" w:rsidR="000B4CBF" w:rsidRPr="004D46AC" w:rsidRDefault="000B4CBF" w:rsidP="00B518F1">
            <w:pPr>
              <w:spacing w:line="240" w:lineRule="auto"/>
              <w:ind w:firstLine="0"/>
            </w:pPr>
            <w:r w:rsidRPr="004D46AC">
              <w:rPr>
                <w:color w:val="000000"/>
                <w:szCs w:val="21"/>
              </w:rPr>
              <w:t xml:space="preserve">0.44 </w:t>
            </w:r>
          </w:p>
        </w:tc>
        <w:tc>
          <w:tcPr>
            <w:tcW w:w="1705" w:type="dxa"/>
            <w:vAlign w:val="center"/>
          </w:tcPr>
          <w:p w14:paraId="1AE90D96" w14:textId="77777777" w:rsidR="000B4CBF" w:rsidRPr="004D46AC" w:rsidRDefault="000B4CBF" w:rsidP="00B518F1">
            <w:pPr>
              <w:spacing w:line="240" w:lineRule="auto"/>
              <w:ind w:firstLine="0"/>
            </w:pPr>
            <w:r w:rsidRPr="004D46AC">
              <w:rPr>
                <w:color w:val="000000"/>
                <w:szCs w:val="21"/>
              </w:rPr>
              <w:t xml:space="preserve">0.61 </w:t>
            </w:r>
          </w:p>
        </w:tc>
      </w:tr>
      <w:tr w:rsidR="000B4CBF" w:rsidRPr="004D46AC" w14:paraId="190D88D4" w14:textId="77777777" w:rsidTr="00B518F1">
        <w:tc>
          <w:tcPr>
            <w:tcW w:w="1704" w:type="dxa"/>
            <w:vAlign w:val="center"/>
          </w:tcPr>
          <w:p w14:paraId="16CA9543" w14:textId="77777777" w:rsidR="000B4CBF" w:rsidRPr="004D46AC" w:rsidRDefault="000B4CBF" w:rsidP="00B518F1">
            <w:pPr>
              <w:spacing w:line="240" w:lineRule="auto"/>
              <w:ind w:firstLine="0"/>
            </w:pPr>
            <w:r w:rsidRPr="004D46AC">
              <w:rPr>
                <w:color w:val="000000"/>
              </w:rPr>
              <w:t>TR19--TR17</w:t>
            </w:r>
          </w:p>
        </w:tc>
        <w:tc>
          <w:tcPr>
            <w:tcW w:w="1704" w:type="dxa"/>
            <w:vAlign w:val="center"/>
          </w:tcPr>
          <w:p w14:paraId="74CCED33" w14:textId="77777777" w:rsidR="000B4CBF" w:rsidRPr="004D46AC" w:rsidRDefault="000B4CBF" w:rsidP="00B518F1">
            <w:pPr>
              <w:spacing w:line="240" w:lineRule="auto"/>
              <w:ind w:firstLine="0"/>
            </w:pPr>
            <w:r w:rsidRPr="004D46AC">
              <w:rPr>
                <w:color w:val="000000"/>
                <w:szCs w:val="21"/>
              </w:rPr>
              <w:t xml:space="preserve">0.11 </w:t>
            </w:r>
          </w:p>
        </w:tc>
        <w:tc>
          <w:tcPr>
            <w:tcW w:w="1704" w:type="dxa"/>
            <w:vAlign w:val="center"/>
          </w:tcPr>
          <w:p w14:paraId="74B4B0C4"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52EE3721" w14:textId="77777777" w:rsidR="000B4CBF" w:rsidRPr="004D46AC" w:rsidRDefault="000B4CBF" w:rsidP="00B518F1">
            <w:pPr>
              <w:spacing w:line="240" w:lineRule="auto"/>
              <w:ind w:firstLine="0"/>
            </w:pPr>
            <w:r w:rsidRPr="004D46AC">
              <w:rPr>
                <w:color w:val="000000"/>
                <w:szCs w:val="21"/>
              </w:rPr>
              <w:t xml:space="preserve">0.42 </w:t>
            </w:r>
          </w:p>
        </w:tc>
        <w:tc>
          <w:tcPr>
            <w:tcW w:w="1705" w:type="dxa"/>
            <w:vAlign w:val="center"/>
          </w:tcPr>
          <w:p w14:paraId="17C5C46F" w14:textId="77777777" w:rsidR="000B4CBF" w:rsidRPr="004D46AC" w:rsidRDefault="000B4CBF" w:rsidP="00B518F1">
            <w:pPr>
              <w:spacing w:line="240" w:lineRule="auto"/>
              <w:ind w:firstLine="0"/>
            </w:pPr>
            <w:r w:rsidRPr="004D46AC">
              <w:rPr>
                <w:color w:val="000000"/>
                <w:szCs w:val="21"/>
              </w:rPr>
              <w:t xml:space="preserve">0.56 </w:t>
            </w:r>
          </w:p>
        </w:tc>
      </w:tr>
      <w:tr w:rsidR="000B4CBF" w:rsidRPr="004D46AC" w14:paraId="51950AFF" w14:textId="77777777" w:rsidTr="00B518F1">
        <w:tc>
          <w:tcPr>
            <w:tcW w:w="1704" w:type="dxa"/>
            <w:vAlign w:val="center"/>
          </w:tcPr>
          <w:p w14:paraId="3746F0D4" w14:textId="77777777" w:rsidR="000B4CBF" w:rsidRPr="004D46AC" w:rsidRDefault="000B4CBF" w:rsidP="00B518F1">
            <w:pPr>
              <w:spacing w:line="240" w:lineRule="auto"/>
              <w:ind w:firstLine="0"/>
            </w:pPr>
            <w:r w:rsidRPr="004D46AC">
              <w:rPr>
                <w:color w:val="000000"/>
              </w:rPr>
              <w:t>TR9--TR14</w:t>
            </w:r>
          </w:p>
        </w:tc>
        <w:tc>
          <w:tcPr>
            <w:tcW w:w="1704" w:type="dxa"/>
            <w:vAlign w:val="center"/>
          </w:tcPr>
          <w:p w14:paraId="3791B741" w14:textId="77777777" w:rsidR="000B4CBF" w:rsidRPr="004D46AC" w:rsidRDefault="000B4CBF" w:rsidP="00B518F1">
            <w:pPr>
              <w:spacing w:line="240" w:lineRule="auto"/>
              <w:ind w:firstLine="0"/>
            </w:pPr>
            <w:r w:rsidRPr="004D46AC">
              <w:rPr>
                <w:color w:val="000000"/>
                <w:szCs w:val="21"/>
              </w:rPr>
              <w:t xml:space="preserve">0.11 </w:t>
            </w:r>
          </w:p>
        </w:tc>
        <w:tc>
          <w:tcPr>
            <w:tcW w:w="1704" w:type="dxa"/>
            <w:vAlign w:val="center"/>
          </w:tcPr>
          <w:p w14:paraId="6C3001F7"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08C85A45" w14:textId="77777777" w:rsidR="000B4CBF" w:rsidRPr="004D46AC" w:rsidRDefault="000B4CBF" w:rsidP="00B518F1">
            <w:pPr>
              <w:spacing w:line="240" w:lineRule="auto"/>
              <w:ind w:firstLine="0"/>
            </w:pPr>
            <w:r w:rsidRPr="004D46AC">
              <w:rPr>
                <w:color w:val="000000"/>
                <w:szCs w:val="21"/>
              </w:rPr>
              <w:t xml:space="preserve">0.44 </w:t>
            </w:r>
          </w:p>
        </w:tc>
        <w:tc>
          <w:tcPr>
            <w:tcW w:w="1705" w:type="dxa"/>
            <w:vAlign w:val="center"/>
          </w:tcPr>
          <w:p w14:paraId="093BAE29" w14:textId="77777777" w:rsidR="000B4CBF" w:rsidRPr="004D46AC" w:rsidRDefault="000B4CBF" w:rsidP="00B518F1">
            <w:pPr>
              <w:spacing w:line="240" w:lineRule="auto"/>
              <w:ind w:firstLine="0"/>
            </w:pPr>
            <w:r w:rsidRPr="004D46AC">
              <w:rPr>
                <w:color w:val="000000"/>
                <w:szCs w:val="21"/>
              </w:rPr>
              <w:t xml:space="preserve">0.50 </w:t>
            </w:r>
          </w:p>
        </w:tc>
      </w:tr>
      <w:tr w:rsidR="000B4CBF" w:rsidRPr="004D46AC" w14:paraId="47C3D8A6" w14:textId="77777777" w:rsidTr="00B518F1">
        <w:tc>
          <w:tcPr>
            <w:tcW w:w="1704" w:type="dxa"/>
            <w:vAlign w:val="center"/>
          </w:tcPr>
          <w:p w14:paraId="5DD3CA00" w14:textId="77777777" w:rsidR="000B4CBF" w:rsidRPr="004D46AC" w:rsidRDefault="000B4CBF" w:rsidP="00B518F1">
            <w:pPr>
              <w:spacing w:line="240" w:lineRule="auto"/>
              <w:ind w:firstLine="0"/>
            </w:pPr>
            <w:r w:rsidRPr="004D46AC">
              <w:rPr>
                <w:color w:val="000000"/>
              </w:rPr>
              <w:t>TR15--TR21</w:t>
            </w:r>
          </w:p>
        </w:tc>
        <w:tc>
          <w:tcPr>
            <w:tcW w:w="1704" w:type="dxa"/>
            <w:vAlign w:val="center"/>
          </w:tcPr>
          <w:p w14:paraId="20F95B63" w14:textId="77777777" w:rsidR="000B4CBF" w:rsidRPr="004D46AC" w:rsidRDefault="000B4CBF" w:rsidP="00B518F1">
            <w:pPr>
              <w:spacing w:line="240" w:lineRule="auto"/>
              <w:ind w:firstLine="0"/>
            </w:pPr>
            <w:r w:rsidRPr="004D46AC">
              <w:rPr>
                <w:color w:val="000000"/>
                <w:szCs w:val="21"/>
              </w:rPr>
              <w:t xml:space="preserve">0.10 </w:t>
            </w:r>
          </w:p>
        </w:tc>
        <w:tc>
          <w:tcPr>
            <w:tcW w:w="1704" w:type="dxa"/>
            <w:vAlign w:val="center"/>
          </w:tcPr>
          <w:p w14:paraId="1933A255"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6CE767A6" w14:textId="77777777" w:rsidR="000B4CBF" w:rsidRPr="004D46AC" w:rsidRDefault="000B4CBF" w:rsidP="00B518F1">
            <w:pPr>
              <w:spacing w:line="240" w:lineRule="auto"/>
              <w:ind w:firstLine="0"/>
            </w:pPr>
            <w:r w:rsidRPr="004D46AC">
              <w:rPr>
                <w:color w:val="000000"/>
                <w:szCs w:val="21"/>
              </w:rPr>
              <w:t xml:space="preserve">0.42 </w:t>
            </w:r>
          </w:p>
        </w:tc>
        <w:tc>
          <w:tcPr>
            <w:tcW w:w="1705" w:type="dxa"/>
            <w:vAlign w:val="center"/>
          </w:tcPr>
          <w:p w14:paraId="0480442B" w14:textId="77777777" w:rsidR="000B4CBF" w:rsidRPr="004D46AC" w:rsidRDefault="000B4CBF" w:rsidP="00B518F1">
            <w:pPr>
              <w:spacing w:line="240" w:lineRule="auto"/>
              <w:ind w:firstLine="0"/>
            </w:pPr>
            <w:r w:rsidRPr="004D46AC">
              <w:rPr>
                <w:color w:val="000000"/>
                <w:szCs w:val="21"/>
              </w:rPr>
              <w:t xml:space="preserve">0.60 </w:t>
            </w:r>
          </w:p>
        </w:tc>
      </w:tr>
      <w:tr w:rsidR="000B4CBF" w:rsidRPr="004D46AC" w14:paraId="21D80AC3" w14:textId="77777777" w:rsidTr="00B518F1">
        <w:tc>
          <w:tcPr>
            <w:tcW w:w="1704" w:type="dxa"/>
            <w:vAlign w:val="center"/>
          </w:tcPr>
          <w:p w14:paraId="3F5B2688" w14:textId="77777777" w:rsidR="000B4CBF" w:rsidRPr="004D46AC" w:rsidRDefault="000B4CBF" w:rsidP="00B518F1">
            <w:pPr>
              <w:spacing w:line="240" w:lineRule="auto"/>
              <w:ind w:firstLine="0"/>
            </w:pPr>
            <w:r w:rsidRPr="004D46AC">
              <w:rPr>
                <w:color w:val="000000"/>
              </w:rPr>
              <w:t>TR21--TR20</w:t>
            </w:r>
          </w:p>
        </w:tc>
        <w:tc>
          <w:tcPr>
            <w:tcW w:w="1704" w:type="dxa"/>
            <w:vAlign w:val="center"/>
          </w:tcPr>
          <w:p w14:paraId="26E1FB29" w14:textId="77777777" w:rsidR="000B4CBF" w:rsidRPr="004D46AC" w:rsidRDefault="000B4CBF" w:rsidP="00B518F1">
            <w:pPr>
              <w:spacing w:line="240" w:lineRule="auto"/>
              <w:ind w:firstLine="0"/>
            </w:pPr>
            <w:r w:rsidRPr="004D46AC">
              <w:rPr>
                <w:color w:val="000000"/>
                <w:szCs w:val="21"/>
              </w:rPr>
              <w:t xml:space="preserve">0.09 </w:t>
            </w:r>
          </w:p>
        </w:tc>
        <w:tc>
          <w:tcPr>
            <w:tcW w:w="1704" w:type="dxa"/>
            <w:vAlign w:val="center"/>
          </w:tcPr>
          <w:p w14:paraId="466D1FDF" w14:textId="77777777" w:rsidR="000B4CBF" w:rsidRPr="004D46AC" w:rsidRDefault="000B4CBF" w:rsidP="00B518F1">
            <w:pPr>
              <w:spacing w:line="240" w:lineRule="auto"/>
              <w:ind w:firstLine="0"/>
            </w:pPr>
            <w:r w:rsidRPr="004D46AC">
              <w:rPr>
                <w:color w:val="000000"/>
                <w:szCs w:val="21"/>
              </w:rPr>
              <w:t xml:space="preserve">-0.25 </w:t>
            </w:r>
          </w:p>
        </w:tc>
        <w:tc>
          <w:tcPr>
            <w:tcW w:w="1705" w:type="dxa"/>
            <w:vAlign w:val="center"/>
          </w:tcPr>
          <w:p w14:paraId="636C8EE4" w14:textId="77777777" w:rsidR="000B4CBF" w:rsidRPr="004D46AC" w:rsidRDefault="000B4CBF" w:rsidP="00B518F1">
            <w:pPr>
              <w:spacing w:line="240" w:lineRule="auto"/>
              <w:ind w:firstLine="0"/>
            </w:pPr>
            <w:r w:rsidRPr="004D46AC">
              <w:rPr>
                <w:color w:val="000000"/>
                <w:szCs w:val="21"/>
              </w:rPr>
              <w:t xml:space="preserve">0.44 </w:t>
            </w:r>
          </w:p>
        </w:tc>
        <w:tc>
          <w:tcPr>
            <w:tcW w:w="1705" w:type="dxa"/>
            <w:vAlign w:val="center"/>
          </w:tcPr>
          <w:p w14:paraId="56B2BBB6" w14:textId="77777777" w:rsidR="000B4CBF" w:rsidRPr="004D46AC" w:rsidRDefault="000B4CBF" w:rsidP="00B518F1">
            <w:pPr>
              <w:spacing w:line="240" w:lineRule="auto"/>
              <w:ind w:firstLine="0"/>
            </w:pPr>
            <w:r w:rsidRPr="004D46AC">
              <w:rPr>
                <w:color w:val="000000"/>
                <w:szCs w:val="21"/>
              </w:rPr>
              <w:t xml:space="preserve">0.46 </w:t>
            </w:r>
          </w:p>
        </w:tc>
      </w:tr>
      <w:tr w:rsidR="000B4CBF" w:rsidRPr="004D46AC" w14:paraId="1E1ED5BA" w14:textId="77777777" w:rsidTr="00B518F1">
        <w:tc>
          <w:tcPr>
            <w:tcW w:w="1704" w:type="dxa"/>
            <w:vAlign w:val="center"/>
          </w:tcPr>
          <w:p w14:paraId="7821A5EA" w14:textId="77777777" w:rsidR="000B4CBF" w:rsidRPr="004D46AC" w:rsidRDefault="000B4CBF" w:rsidP="00B518F1">
            <w:pPr>
              <w:spacing w:line="240" w:lineRule="auto"/>
              <w:ind w:firstLine="0"/>
            </w:pPr>
            <w:r w:rsidRPr="004D46AC">
              <w:rPr>
                <w:color w:val="000000"/>
              </w:rPr>
              <w:t>TR23--TR37</w:t>
            </w:r>
          </w:p>
        </w:tc>
        <w:tc>
          <w:tcPr>
            <w:tcW w:w="1704" w:type="dxa"/>
            <w:vAlign w:val="center"/>
          </w:tcPr>
          <w:p w14:paraId="3DE7025C" w14:textId="77777777" w:rsidR="000B4CBF" w:rsidRPr="004D46AC" w:rsidRDefault="000B4CBF" w:rsidP="00B518F1">
            <w:pPr>
              <w:spacing w:line="240" w:lineRule="auto"/>
              <w:ind w:firstLine="0"/>
            </w:pPr>
            <w:r w:rsidRPr="004D46AC">
              <w:rPr>
                <w:color w:val="000000"/>
                <w:szCs w:val="21"/>
              </w:rPr>
              <w:t xml:space="preserve">0.09 </w:t>
            </w:r>
          </w:p>
        </w:tc>
        <w:tc>
          <w:tcPr>
            <w:tcW w:w="1704" w:type="dxa"/>
            <w:vAlign w:val="center"/>
          </w:tcPr>
          <w:p w14:paraId="6252631B"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0DB0DAED" w14:textId="77777777" w:rsidR="000B4CBF" w:rsidRPr="004D46AC" w:rsidRDefault="000B4CBF" w:rsidP="00B518F1">
            <w:pPr>
              <w:spacing w:line="240" w:lineRule="auto"/>
              <w:ind w:firstLine="0"/>
            </w:pPr>
            <w:r w:rsidRPr="004D46AC">
              <w:rPr>
                <w:color w:val="000000"/>
                <w:szCs w:val="21"/>
              </w:rPr>
              <w:t xml:space="preserve">0.40 </w:t>
            </w:r>
          </w:p>
        </w:tc>
        <w:tc>
          <w:tcPr>
            <w:tcW w:w="1705" w:type="dxa"/>
            <w:vAlign w:val="center"/>
          </w:tcPr>
          <w:p w14:paraId="54CB80F3" w14:textId="77777777" w:rsidR="000B4CBF" w:rsidRPr="004D46AC" w:rsidRDefault="000B4CBF" w:rsidP="00B518F1">
            <w:pPr>
              <w:spacing w:line="240" w:lineRule="auto"/>
              <w:ind w:firstLine="0"/>
            </w:pPr>
            <w:r w:rsidRPr="004D46AC">
              <w:rPr>
                <w:color w:val="000000"/>
                <w:szCs w:val="21"/>
              </w:rPr>
              <w:t xml:space="preserve">0.52 </w:t>
            </w:r>
          </w:p>
        </w:tc>
      </w:tr>
      <w:tr w:rsidR="000B4CBF" w:rsidRPr="004D46AC" w14:paraId="63CEF379" w14:textId="77777777" w:rsidTr="00B518F1">
        <w:tc>
          <w:tcPr>
            <w:tcW w:w="1704" w:type="dxa"/>
            <w:vAlign w:val="center"/>
          </w:tcPr>
          <w:p w14:paraId="1FFA062E" w14:textId="77777777" w:rsidR="000B4CBF" w:rsidRPr="004D46AC" w:rsidRDefault="000B4CBF" w:rsidP="00B518F1">
            <w:pPr>
              <w:spacing w:line="240" w:lineRule="auto"/>
              <w:ind w:firstLine="0"/>
            </w:pPr>
            <w:r w:rsidRPr="004D46AC">
              <w:rPr>
                <w:color w:val="000000"/>
              </w:rPr>
              <w:t>TR21--TR37</w:t>
            </w:r>
          </w:p>
        </w:tc>
        <w:tc>
          <w:tcPr>
            <w:tcW w:w="1704" w:type="dxa"/>
            <w:vAlign w:val="center"/>
          </w:tcPr>
          <w:p w14:paraId="55CBE2BC" w14:textId="77777777" w:rsidR="000B4CBF" w:rsidRPr="004D46AC" w:rsidRDefault="000B4CBF" w:rsidP="00B518F1">
            <w:pPr>
              <w:spacing w:line="240" w:lineRule="auto"/>
              <w:ind w:firstLine="0"/>
            </w:pPr>
            <w:r w:rsidRPr="004D46AC">
              <w:rPr>
                <w:color w:val="000000"/>
                <w:szCs w:val="21"/>
              </w:rPr>
              <w:t xml:space="preserve">0.09 </w:t>
            </w:r>
          </w:p>
        </w:tc>
        <w:tc>
          <w:tcPr>
            <w:tcW w:w="1704" w:type="dxa"/>
            <w:vAlign w:val="center"/>
          </w:tcPr>
          <w:p w14:paraId="09C61FD7"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10C030E8" w14:textId="77777777" w:rsidR="000B4CBF" w:rsidRPr="004D46AC" w:rsidRDefault="000B4CBF" w:rsidP="00B518F1">
            <w:pPr>
              <w:spacing w:line="240" w:lineRule="auto"/>
              <w:ind w:firstLine="0"/>
            </w:pPr>
            <w:r w:rsidRPr="004D46AC">
              <w:rPr>
                <w:color w:val="000000"/>
                <w:szCs w:val="21"/>
              </w:rPr>
              <w:t xml:space="preserve">0.37 </w:t>
            </w:r>
          </w:p>
        </w:tc>
        <w:tc>
          <w:tcPr>
            <w:tcW w:w="1705" w:type="dxa"/>
            <w:vAlign w:val="center"/>
          </w:tcPr>
          <w:p w14:paraId="3820F7CB" w14:textId="77777777" w:rsidR="000B4CBF" w:rsidRPr="004D46AC" w:rsidRDefault="000B4CBF" w:rsidP="00B518F1">
            <w:pPr>
              <w:spacing w:line="240" w:lineRule="auto"/>
              <w:ind w:firstLine="0"/>
            </w:pPr>
            <w:r w:rsidRPr="004D46AC">
              <w:rPr>
                <w:color w:val="000000"/>
                <w:szCs w:val="21"/>
              </w:rPr>
              <w:t xml:space="preserve">0.52 </w:t>
            </w:r>
          </w:p>
        </w:tc>
      </w:tr>
      <w:tr w:rsidR="000B4CBF" w:rsidRPr="004D46AC" w14:paraId="51B51429" w14:textId="77777777" w:rsidTr="00B518F1">
        <w:tc>
          <w:tcPr>
            <w:tcW w:w="1704" w:type="dxa"/>
            <w:vAlign w:val="center"/>
          </w:tcPr>
          <w:p w14:paraId="155F42CD" w14:textId="77777777" w:rsidR="000B4CBF" w:rsidRPr="004D46AC" w:rsidRDefault="000B4CBF" w:rsidP="00B518F1">
            <w:pPr>
              <w:spacing w:line="240" w:lineRule="auto"/>
              <w:ind w:firstLine="0"/>
            </w:pPr>
            <w:r w:rsidRPr="004D46AC">
              <w:rPr>
                <w:color w:val="000000"/>
              </w:rPr>
              <w:t>TR30--TR14</w:t>
            </w:r>
          </w:p>
        </w:tc>
        <w:tc>
          <w:tcPr>
            <w:tcW w:w="1704" w:type="dxa"/>
            <w:vAlign w:val="center"/>
          </w:tcPr>
          <w:p w14:paraId="02925DC9" w14:textId="77777777" w:rsidR="000B4CBF" w:rsidRPr="004D46AC" w:rsidRDefault="000B4CBF" w:rsidP="00B518F1">
            <w:pPr>
              <w:spacing w:line="240" w:lineRule="auto"/>
              <w:ind w:firstLine="0"/>
            </w:pPr>
            <w:r w:rsidRPr="004D46AC">
              <w:rPr>
                <w:color w:val="000000"/>
                <w:szCs w:val="21"/>
              </w:rPr>
              <w:t xml:space="preserve">0.08 </w:t>
            </w:r>
          </w:p>
        </w:tc>
        <w:tc>
          <w:tcPr>
            <w:tcW w:w="1704" w:type="dxa"/>
            <w:vAlign w:val="center"/>
          </w:tcPr>
          <w:p w14:paraId="44249B0C" w14:textId="77777777" w:rsidR="000B4CBF" w:rsidRPr="004D46AC" w:rsidRDefault="000B4CBF" w:rsidP="00B518F1">
            <w:pPr>
              <w:spacing w:line="240" w:lineRule="auto"/>
              <w:ind w:firstLine="0"/>
            </w:pPr>
            <w:r w:rsidRPr="004D46AC">
              <w:rPr>
                <w:color w:val="000000"/>
                <w:szCs w:val="21"/>
              </w:rPr>
              <w:t xml:space="preserve">-0.22 </w:t>
            </w:r>
          </w:p>
        </w:tc>
        <w:tc>
          <w:tcPr>
            <w:tcW w:w="1705" w:type="dxa"/>
            <w:vAlign w:val="center"/>
          </w:tcPr>
          <w:p w14:paraId="4B5CE996" w14:textId="77777777" w:rsidR="000B4CBF" w:rsidRPr="004D46AC" w:rsidRDefault="000B4CBF" w:rsidP="00B518F1">
            <w:pPr>
              <w:spacing w:line="240" w:lineRule="auto"/>
              <w:ind w:firstLine="0"/>
            </w:pPr>
            <w:r w:rsidRPr="004D46AC">
              <w:rPr>
                <w:color w:val="000000"/>
                <w:szCs w:val="21"/>
              </w:rPr>
              <w:t xml:space="preserve">0.39 </w:t>
            </w:r>
          </w:p>
        </w:tc>
        <w:tc>
          <w:tcPr>
            <w:tcW w:w="1705" w:type="dxa"/>
            <w:vAlign w:val="center"/>
          </w:tcPr>
          <w:p w14:paraId="467A023F" w14:textId="77777777" w:rsidR="000B4CBF" w:rsidRPr="004D46AC" w:rsidRDefault="000B4CBF" w:rsidP="00B518F1">
            <w:pPr>
              <w:spacing w:line="240" w:lineRule="auto"/>
              <w:ind w:firstLine="0"/>
            </w:pPr>
            <w:r w:rsidRPr="004D46AC">
              <w:rPr>
                <w:color w:val="000000"/>
                <w:szCs w:val="21"/>
              </w:rPr>
              <w:t xml:space="preserve">0.60 </w:t>
            </w:r>
          </w:p>
        </w:tc>
      </w:tr>
      <w:tr w:rsidR="000B4CBF" w:rsidRPr="004D46AC" w14:paraId="71AC3E3A" w14:textId="77777777" w:rsidTr="00B518F1">
        <w:tc>
          <w:tcPr>
            <w:tcW w:w="1704" w:type="dxa"/>
            <w:vAlign w:val="center"/>
          </w:tcPr>
          <w:p w14:paraId="2AD34A9A" w14:textId="77777777" w:rsidR="000B4CBF" w:rsidRPr="004D46AC" w:rsidRDefault="000B4CBF" w:rsidP="00B518F1">
            <w:pPr>
              <w:spacing w:line="240" w:lineRule="auto"/>
              <w:ind w:firstLine="0"/>
            </w:pPr>
            <w:r w:rsidRPr="004D46AC">
              <w:rPr>
                <w:color w:val="000000"/>
              </w:rPr>
              <w:t>TR21--TR24</w:t>
            </w:r>
          </w:p>
        </w:tc>
        <w:tc>
          <w:tcPr>
            <w:tcW w:w="1704" w:type="dxa"/>
            <w:vAlign w:val="center"/>
          </w:tcPr>
          <w:p w14:paraId="06E1CA65" w14:textId="77777777" w:rsidR="000B4CBF" w:rsidRPr="004D46AC" w:rsidRDefault="000B4CBF" w:rsidP="00B518F1">
            <w:pPr>
              <w:spacing w:line="240" w:lineRule="auto"/>
              <w:ind w:firstLine="0"/>
            </w:pPr>
            <w:r w:rsidRPr="004D46AC">
              <w:rPr>
                <w:color w:val="000000"/>
                <w:szCs w:val="21"/>
              </w:rPr>
              <w:t xml:space="preserve">0.08 </w:t>
            </w:r>
          </w:p>
        </w:tc>
        <w:tc>
          <w:tcPr>
            <w:tcW w:w="1704" w:type="dxa"/>
            <w:vAlign w:val="center"/>
          </w:tcPr>
          <w:p w14:paraId="1F1E2D01" w14:textId="77777777" w:rsidR="000B4CBF" w:rsidRPr="004D46AC" w:rsidRDefault="000B4CBF" w:rsidP="00B518F1">
            <w:pPr>
              <w:spacing w:line="240" w:lineRule="auto"/>
              <w:ind w:firstLine="0"/>
            </w:pPr>
            <w:r w:rsidRPr="004D46AC">
              <w:rPr>
                <w:color w:val="000000"/>
                <w:szCs w:val="21"/>
              </w:rPr>
              <w:t xml:space="preserve">-0.19 </w:t>
            </w:r>
          </w:p>
        </w:tc>
        <w:tc>
          <w:tcPr>
            <w:tcW w:w="1705" w:type="dxa"/>
            <w:vAlign w:val="center"/>
          </w:tcPr>
          <w:p w14:paraId="63B14E90" w14:textId="77777777" w:rsidR="000B4CBF" w:rsidRPr="004D46AC" w:rsidRDefault="000B4CBF" w:rsidP="00B518F1">
            <w:pPr>
              <w:spacing w:line="240" w:lineRule="auto"/>
              <w:ind w:firstLine="0"/>
            </w:pPr>
            <w:r w:rsidRPr="004D46AC">
              <w:rPr>
                <w:color w:val="000000"/>
                <w:szCs w:val="21"/>
              </w:rPr>
              <w:t xml:space="preserve">0.36 </w:t>
            </w:r>
          </w:p>
        </w:tc>
        <w:tc>
          <w:tcPr>
            <w:tcW w:w="1705" w:type="dxa"/>
            <w:vAlign w:val="center"/>
          </w:tcPr>
          <w:p w14:paraId="241FC3EE" w14:textId="77777777" w:rsidR="000B4CBF" w:rsidRPr="004D46AC" w:rsidRDefault="000B4CBF" w:rsidP="00B518F1">
            <w:pPr>
              <w:spacing w:line="240" w:lineRule="auto"/>
              <w:ind w:firstLine="0"/>
            </w:pPr>
            <w:r w:rsidRPr="004D46AC">
              <w:rPr>
                <w:color w:val="000000"/>
                <w:szCs w:val="21"/>
              </w:rPr>
              <w:t xml:space="preserve">0.54 </w:t>
            </w:r>
          </w:p>
        </w:tc>
      </w:tr>
      <w:tr w:rsidR="000B4CBF" w:rsidRPr="004D46AC" w14:paraId="1FF245C7" w14:textId="77777777" w:rsidTr="00B518F1">
        <w:tc>
          <w:tcPr>
            <w:tcW w:w="1704" w:type="dxa"/>
            <w:vAlign w:val="center"/>
          </w:tcPr>
          <w:p w14:paraId="77DC1CD2" w14:textId="77777777" w:rsidR="000B4CBF" w:rsidRPr="004D46AC" w:rsidRDefault="000B4CBF" w:rsidP="00B518F1">
            <w:pPr>
              <w:spacing w:line="240" w:lineRule="auto"/>
              <w:ind w:firstLine="0"/>
            </w:pPr>
            <w:r w:rsidRPr="004D46AC">
              <w:rPr>
                <w:color w:val="000000"/>
              </w:rPr>
              <w:t>TR3--TR9</w:t>
            </w:r>
          </w:p>
        </w:tc>
        <w:tc>
          <w:tcPr>
            <w:tcW w:w="1704" w:type="dxa"/>
            <w:vAlign w:val="center"/>
          </w:tcPr>
          <w:p w14:paraId="524A97E7" w14:textId="77777777" w:rsidR="000B4CBF" w:rsidRPr="004D46AC" w:rsidRDefault="000B4CBF" w:rsidP="00B518F1">
            <w:pPr>
              <w:spacing w:line="240" w:lineRule="auto"/>
              <w:ind w:firstLine="0"/>
            </w:pPr>
            <w:r w:rsidRPr="004D46AC">
              <w:rPr>
                <w:color w:val="000000"/>
                <w:szCs w:val="21"/>
              </w:rPr>
              <w:t xml:space="preserve">0.08 </w:t>
            </w:r>
          </w:p>
        </w:tc>
        <w:tc>
          <w:tcPr>
            <w:tcW w:w="1704" w:type="dxa"/>
            <w:vAlign w:val="center"/>
          </w:tcPr>
          <w:p w14:paraId="12B25D40" w14:textId="77777777" w:rsidR="000B4CBF" w:rsidRPr="004D46AC" w:rsidRDefault="000B4CBF" w:rsidP="00B518F1">
            <w:pPr>
              <w:spacing w:line="240" w:lineRule="auto"/>
              <w:ind w:firstLine="0"/>
            </w:pPr>
            <w:r w:rsidRPr="004D46AC">
              <w:rPr>
                <w:color w:val="000000"/>
                <w:szCs w:val="21"/>
              </w:rPr>
              <w:t xml:space="preserve">-0.31 </w:t>
            </w:r>
          </w:p>
        </w:tc>
        <w:tc>
          <w:tcPr>
            <w:tcW w:w="1705" w:type="dxa"/>
            <w:vAlign w:val="center"/>
          </w:tcPr>
          <w:p w14:paraId="5FB01C0B" w14:textId="77777777" w:rsidR="000B4CBF" w:rsidRPr="004D46AC" w:rsidRDefault="000B4CBF" w:rsidP="00B518F1">
            <w:pPr>
              <w:spacing w:line="240" w:lineRule="auto"/>
              <w:ind w:firstLine="0"/>
            </w:pPr>
            <w:r w:rsidRPr="004D46AC">
              <w:rPr>
                <w:color w:val="000000"/>
                <w:szCs w:val="21"/>
              </w:rPr>
              <w:t xml:space="preserve">0.46 </w:t>
            </w:r>
          </w:p>
        </w:tc>
        <w:tc>
          <w:tcPr>
            <w:tcW w:w="1705" w:type="dxa"/>
            <w:vAlign w:val="center"/>
          </w:tcPr>
          <w:p w14:paraId="0230A9E4" w14:textId="77777777" w:rsidR="000B4CBF" w:rsidRPr="004D46AC" w:rsidRDefault="000B4CBF" w:rsidP="00B518F1">
            <w:pPr>
              <w:spacing w:line="240" w:lineRule="auto"/>
              <w:ind w:firstLine="0"/>
            </w:pPr>
            <w:r w:rsidRPr="004D46AC">
              <w:rPr>
                <w:color w:val="000000"/>
                <w:szCs w:val="21"/>
              </w:rPr>
              <w:t xml:space="preserve">0.50 </w:t>
            </w:r>
          </w:p>
        </w:tc>
      </w:tr>
      <w:tr w:rsidR="000B4CBF" w:rsidRPr="004D46AC" w14:paraId="1140063F" w14:textId="77777777" w:rsidTr="00B518F1">
        <w:tc>
          <w:tcPr>
            <w:tcW w:w="1704" w:type="dxa"/>
            <w:vAlign w:val="center"/>
          </w:tcPr>
          <w:p w14:paraId="2C6BB4BE" w14:textId="77777777" w:rsidR="000B4CBF" w:rsidRPr="004D46AC" w:rsidRDefault="000B4CBF" w:rsidP="00B518F1">
            <w:pPr>
              <w:spacing w:line="240" w:lineRule="auto"/>
              <w:ind w:firstLine="0"/>
            </w:pPr>
            <w:r w:rsidRPr="004D46AC">
              <w:rPr>
                <w:color w:val="000000"/>
              </w:rPr>
              <w:t>TR19--TR33</w:t>
            </w:r>
          </w:p>
        </w:tc>
        <w:tc>
          <w:tcPr>
            <w:tcW w:w="1704" w:type="dxa"/>
            <w:vAlign w:val="center"/>
          </w:tcPr>
          <w:p w14:paraId="3B01B883" w14:textId="77777777" w:rsidR="000B4CBF" w:rsidRPr="004D46AC" w:rsidRDefault="000B4CBF" w:rsidP="00B518F1">
            <w:pPr>
              <w:spacing w:line="240" w:lineRule="auto"/>
              <w:ind w:firstLine="0"/>
            </w:pPr>
            <w:r w:rsidRPr="004D46AC">
              <w:rPr>
                <w:color w:val="000000"/>
                <w:szCs w:val="21"/>
              </w:rPr>
              <w:t xml:space="preserve">0.07 </w:t>
            </w:r>
          </w:p>
        </w:tc>
        <w:tc>
          <w:tcPr>
            <w:tcW w:w="1704" w:type="dxa"/>
            <w:vAlign w:val="center"/>
          </w:tcPr>
          <w:p w14:paraId="4C104B1D" w14:textId="77777777" w:rsidR="000B4CBF" w:rsidRPr="004D46AC" w:rsidRDefault="000B4CBF" w:rsidP="00B518F1">
            <w:pPr>
              <w:spacing w:line="240" w:lineRule="auto"/>
              <w:ind w:firstLine="0"/>
            </w:pPr>
            <w:r w:rsidRPr="004D46AC">
              <w:rPr>
                <w:color w:val="000000"/>
                <w:szCs w:val="21"/>
              </w:rPr>
              <w:t xml:space="preserve">-0.20 </w:t>
            </w:r>
          </w:p>
        </w:tc>
        <w:tc>
          <w:tcPr>
            <w:tcW w:w="1705" w:type="dxa"/>
            <w:vAlign w:val="center"/>
          </w:tcPr>
          <w:p w14:paraId="281E62FD" w14:textId="77777777" w:rsidR="000B4CBF" w:rsidRPr="004D46AC" w:rsidRDefault="000B4CBF" w:rsidP="00B518F1">
            <w:pPr>
              <w:spacing w:line="240" w:lineRule="auto"/>
              <w:ind w:firstLine="0"/>
            </w:pPr>
            <w:r w:rsidRPr="004D46AC">
              <w:rPr>
                <w:color w:val="000000"/>
                <w:szCs w:val="21"/>
              </w:rPr>
              <w:t xml:space="preserve">0.35 </w:t>
            </w:r>
          </w:p>
        </w:tc>
        <w:tc>
          <w:tcPr>
            <w:tcW w:w="1705" w:type="dxa"/>
            <w:vAlign w:val="center"/>
          </w:tcPr>
          <w:p w14:paraId="30C85A61" w14:textId="77777777" w:rsidR="000B4CBF" w:rsidRPr="004D46AC" w:rsidRDefault="000B4CBF" w:rsidP="00B518F1">
            <w:pPr>
              <w:spacing w:line="240" w:lineRule="auto"/>
              <w:ind w:firstLine="0"/>
            </w:pPr>
            <w:r w:rsidRPr="004D46AC">
              <w:rPr>
                <w:color w:val="000000"/>
                <w:szCs w:val="21"/>
              </w:rPr>
              <w:t xml:space="preserve">0.65 </w:t>
            </w:r>
          </w:p>
        </w:tc>
      </w:tr>
      <w:tr w:rsidR="000B4CBF" w:rsidRPr="004D46AC" w14:paraId="1D8F987D" w14:textId="77777777" w:rsidTr="00B518F1">
        <w:tc>
          <w:tcPr>
            <w:tcW w:w="1704" w:type="dxa"/>
            <w:vAlign w:val="center"/>
          </w:tcPr>
          <w:p w14:paraId="603C4B8B" w14:textId="77777777" w:rsidR="000B4CBF" w:rsidRPr="004D46AC" w:rsidRDefault="000B4CBF" w:rsidP="00B518F1">
            <w:pPr>
              <w:spacing w:line="240" w:lineRule="auto"/>
              <w:ind w:firstLine="0"/>
            </w:pPr>
            <w:r w:rsidRPr="004D46AC">
              <w:rPr>
                <w:color w:val="000000"/>
              </w:rPr>
              <w:t>TR3--TR27</w:t>
            </w:r>
          </w:p>
        </w:tc>
        <w:tc>
          <w:tcPr>
            <w:tcW w:w="1704" w:type="dxa"/>
            <w:vAlign w:val="center"/>
          </w:tcPr>
          <w:p w14:paraId="042AF73B" w14:textId="77777777" w:rsidR="000B4CBF" w:rsidRPr="004D46AC" w:rsidRDefault="000B4CBF" w:rsidP="00B518F1">
            <w:pPr>
              <w:spacing w:line="240" w:lineRule="auto"/>
              <w:ind w:firstLine="0"/>
            </w:pPr>
            <w:r w:rsidRPr="004D46AC">
              <w:rPr>
                <w:color w:val="000000"/>
                <w:szCs w:val="21"/>
              </w:rPr>
              <w:t xml:space="preserve">0.04 </w:t>
            </w:r>
          </w:p>
        </w:tc>
        <w:tc>
          <w:tcPr>
            <w:tcW w:w="1704" w:type="dxa"/>
            <w:vAlign w:val="center"/>
          </w:tcPr>
          <w:p w14:paraId="7F5B3CD7" w14:textId="77777777" w:rsidR="000B4CBF" w:rsidRPr="004D46AC" w:rsidRDefault="000B4CBF" w:rsidP="00B518F1">
            <w:pPr>
              <w:spacing w:line="240" w:lineRule="auto"/>
              <w:ind w:firstLine="0"/>
            </w:pPr>
            <w:r w:rsidRPr="004D46AC">
              <w:rPr>
                <w:color w:val="000000"/>
                <w:szCs w:val="21"/>
              </w:rPr>
              <w:t xml:space="preserve">-0.31 </w:t>
            </w:r>
          </w:p>
        </w:tc>
        <w:tc>
          <w:tcPr>
            <w:tcW w:w="1705" w:type="dxa"/>
            <w:vAlign w:val="center"/>
          </w:tcPr>
          <w:p w14:paraId="6A39FCF6" w14:textId="77777777" w:rsidR="000B4CBF" w:rsidRPr="004D46AC" w:rsidRDefault="000B4CBF" w:rsidP="00B518F1">
            <w:pPr>
              <w:spacing w:line="240" w:lineRule="auto"/>
              <w:ind w:firstLine="0"/>
            </w:pPr>
            <w:r w:rsidRPr="004D46AC">
              <w:rPr>
                <w:color w:val="000000"/>
                <w:szCs w:val="21"/>
              </w:rPr>
              <w:t xml:space="preserve">0.40 </w:t>
            </w:r>
          </w:p>
        </w:tc>
        <w:tc>
          <w:tcPr>
            <w:tcW w:w="1705" w:type="dxa"/>
            <w:vAlign w:val="center"/>
          </w:tcPr>
          <w:p w14:paraId="4DAA691F" w14:textId="77777777" w:rsidR="000B4CBF" w:rsidRPr="004D46AC" w:rsidRDefault="000B4CBF" w:rsidP="00B518F1">
            <w:pPr>
              <w:spacing w:line="240" w:lineRule="auto"/>
              <w:ind w:firstLine="0"/>
            </w:pPr>
            <w:r w:rsidRPr="004D46AC">
              <w:rPr>
                <w:color w:val="000000"/>
                <w:szCs w:val="21"/>
              </w:rPr>
              <w:t xml:space="preserve">0.47 </w:t>
            </w:r>
          </w:p>
        </w:tc>
      </w:tr>
      <w:tr w:rsidR="000B4CBF" w:rsidRPr="004D46AC" w14:paraId="3820D6D8" w14:textId="77777777" w:rsidTr="00B518F1">
        <w:tc>
          <w:tcPr>
            <w:tcW w:w="1704" w:type="dxa"/>
            <w:vAlign w:val="center"/>
          </w:tcPr>
          <w:p w14:paraId="28D9BF2A" w14:textId="77777777" w:rsidR="000B4CBF" w:rsidRPr="004D46AC" w:rsidRDefault="000B4CBF" w:rsidP="00B518F1">
            <w:pPr>
              <w:spacing w:line="240" w:lineRule="auto"/>
              <w:ind w:firstLine="0"/>
            </w:pPr>
            <w:r w:rsidRPr="004D46AC">
              <w:rPr>
                <w:color w:val="000000"/>
              </w:rPr>
              <w:t>TR12--TR16</w:t>
            </w:r>
          </w:p>
        </w:tc>
        <w:tc>
          <w:tcPr>
            <w:tcW w:w="1704" w:type="dxa"/>
            <w:vAlign w:val="center"/>
          </w:tcPr>
          <w:p w14:paraId="44877A3C" w14:textId="77777777" w:rsidR="000B4CBF" w:rsidRPr="004D46AC" w:rsidRDefault="000B4CBF" w:rsidP="00B518F1">
            <w:pPr>
              <w:spacing w:line="240" w:lineRule="auto"/>
              <w:ind w:firstLine="0"/>
            </w:pPr>
            <w:r w:rsidRPr="004D46AC">
              <w:rPr>
                <w:color w:val="000000"/>
                <w:szCs w:val="21"/>
              </w:rPr>
              <w:t xml:space="preserve">-0.14 </w:t>
            </w:r>
          </w:p>
        </w:tc>
        <w:tc>
          <w:tcPr>
            <w:tcW w:w="1704" w:type="dxa"/>
            <w:vAlign w:val="center"/>
          </w:tcPr>
          <w:p w14:paraId="1C6930AF" w14:textId="77777777" w:rsidR="000B4CBF" w:rsidRPr="004D46AC" w:rsidRDefault="000B4CBF" w:rsidP="00B518F1">
            <w:pPr>
              <w:spacing w:line="240" w:lineRule="auto"/>
              <w:ind w:firstLine="0"/>
            </w:pPr>
            <w:r w:rsidRPr="004D46AC">
              <w:rPr>
                <w:color w:val="000000"/>
                <w:szCs w:val="21"/>
              </w:rPr>
              <w:t xml:space="preserve">-0.53 </w:t>
            </w:r>
          </w:p>
        </w:tc>
        <w:tc>
          <w:tcPr>
            <w:tcW w:w="1705" w:type="dxa"/>
            <w:vAlign w:val="center"/>
          </w:tcPr>
          <w:p w14:paraId="0A7D57BC" w14:textId="77777777" w:rsidR="000B4CBF" w:rsidRPr="004D46AC" w:rsidRDefault="000B4CBF" w:rsidP="00B518F1">
            <w:pPr>
              <w:spacing w:line="240" w:lineRule="auto"/>
              <w:ind w:firstLine="0"/>
            </w:pPr>
            <w:r w:rsidRPr="004D46AC">
              <w:rPr>
                <w:color w:val="000000"/>
                <w:szCs w:val="21"/>
              </w:rPr>
              <w:t xml:space="preserve">0.25 </w:t>
            </w:r>
          </w:p>
        </w:tc>
        <w:tc>
          <w:tcPr>
            <w:tcW w:w="1705" w:type="dxa"/>
            <w:vAlign w:val="center"/>
          </w:tcPr>
          <w:p w14:paraId="059B7695" w14:textId="77777777" w:rsidR="000B4CBF" w:rsidRPr="004D46AC" w:rsidRDefault="000B4CBF" w:rsidP="00B518F1">
            <w:pPr>
              <w:spacing w:line="240" w:lineRule="auto"/>
              <w:ind w:firstLine="0"/>
            </w:pPr>
            <w:r w:rsidRPr="004D46AC">
              <w:rPr>
                <w:color w:val="000000"/>
                <w:szCs w:val="21"/>
              </w:rPr>
              <w:t xml:space="preserve">0.52 </w:t>
            </w:r>
          </w:p>
        </w:tc>
      </w:tr>
      <w:tr w:rsidR="000B4CBF" w:rsidRPr="004D46AC" w14:paraId="782685F3" w14:textId="77777777" w:rsidTr="00B518F1">
        <w:tc>
          <w:tcPr>
            <w:tcW w:w="1704" w:type="dxa"/>
            <w:vAlign w:val="center"/>
          </w:tcPr>
          <w:p w14:paraId="5EDEF675" w14:textId="77777777" w:rsidR="000B4CBF" w:rsidRPr="004D46AC" w:rsidRDefault="000B4CBF" w:rsidP="00B518F1">
            <w:pPr>
              <w:spacing w:line="240" w:lineRule="auto"/>
              <w:ind w:firstLine="0"/>
            </w:pPr>
            <w:r w:rsidRPr="004D46AC">
              <w:rPr>
                <w:color w:val="000000"/>
              </w:rPr>
              <w:t>TR12--TR14</w:t>
            </w:r>
          </w:p>
        </w:tc>
        <w:tc>
          <w:tcPr>
            <w:tcW w:w="1704" w:type="dxa"/>
            <w:vAlign w:val="center"/>
          </w:tcPr>
          <w:p w14:paraId="2AA1C61D" w14:textId="77777777" w:rsidR="000B4CBF" w:rsidRPr="004D46AC" w:rsidRDefault="000B4CBF" w:rsidP="00B518F1">
            <w:pPr>
              <w:spacing w:line="240" w:lineRule="auto"/>
              <w:ind w:firstLine="0"/>
            </w:pPr>
            <w:r w:rsidRPr="004D46AC">
              <w:rPr>
                <w:color w:val="000000"/>
                <w:szCs w:val="21"/>
              </w:rPr>
              <w:t xml:space="preserve">-0.29 </w:t>
            </w:r>
          </w:p>
        </w:tc>
        <w:tc>
          <w:tcPr>
            <w:tcW w:w="1704" w:type="dxa"/>
            <w:vAlign w:val="center"/>
          </w:tcPr>
          <w:p w14:paraId="1B3A17AF" w14:textId="77777777" w:rsidR="000B4CBF" w:rsidRPr="004D46AC" w:rsidRDefault="000B4CBF" w:rsidP="00B518F1">
            <w:pPr>
              <w:spacing w:line="240" w:lineRule="auto"/>
              <w:ind w:firstLine="0"/>
            </w:pPr>
            <w:r w:rsidRPr="004D46AC">
              <w:rPr>
                <w:color w:val="000000"/>
                <w:szCs w:val="21"/>
              </w:rPr>
              <w:t xml:space="preserve">-0.79 </w:t>
            </w:r>
          </w:p>
        </w:tc>
        <w:tc>
          <w:tcPr>
            <w:tcW w:w="1705" w:type="dxa"/>
            <w:vAlign w:val="center"/>
          </w:tcPr>
          <w:p w14:paraId="1EAB638D" w14:textId="77777777" w:rsidR="000B4CBF" w:rsidRPr="004D46AC" w:rsidRDefault="000B4CBF" w:rsidP="00B518F1">
            <w:pPr>
              <w:spacing w:line="240" w:lineRule="auto"/>
              <w:ind w:firstLine="0"/>
            </w:pPr>
            <w:r w:rsidRPr="004D46AC">
              <w:rPr>
                <w:color w:val="000000"/>
                <w:szCs w:val="21"/>
              </w:rPr>
              <w:t xml:space="preserve">0.21 </w:t>
            </w:r>
          </w:p>
        </w:tc>
        <w:tc>
          <w:tcPr>
            <w:tcW w:w="1705" w:type="dxa"/>
            <w:vAlign w:val="center"/>
          </w:tcPr>
          <w:p w14:paraId="3016DCEF" w14:textId="77777777" w:rsidR="000B4CBF" w:rsidRPr="004D46AC" w:rsidRDefault="000B4CBF" w:rsidP="00B518F1">
            <w:pPr>
              <w:spacing w:line="240" w:lineRule="auto"/>
              <w:ind w:firstLine="0"/>
            </w:pPr>
            <w:r w:rsidRPr="004D46AC">
              <w:rPr>
                <w:color w:val="000000"/>
                <w:szCs w:val="21"/>
              </w:rPr>
              <w:t xml:space="preserve">0.32 </w:t>
            </w:r>
          </w:p>
        </w:tc>
      </w:tr>
      <w:tr w:rsidR="000B4CBF" w:rsidRPr="004D46AC" w14:paraId="532DA3FA" w14:textId="77777777" w:rsidTr="00B518F1">
        <w:tc>
          <w:tcPr>
            <w:tcW w:w="1704" w:type="dxa"/>
            <w:vAlign w:val="center"/>
          </w:tcPr>
          <w:p w14:paraId="78EDC644" w14:textId="77777777" w:rsidR="000B4CBF" w:rsidRPr="004D46AC" w:rsidRDefault="000B4CBF" w:rsidP="00B518F1">
            <w:pPr>
              <w:spacing w:line="240" w:lineRule="auto"/>
              <w:ind w:firstLine="0"/>
            </w:pPr>
            <w:r w:rsidRPr="004D46AC">
              <w:rPr>
                <w:color w:val="000000"/>
              </w:rPr>
              <w:t>TR15--TR16</w:t>
            </w:r>
          </w:p>
        </w:tc>
        <w:tc>
          <w:tcPr>
            <w:tcW w:w="1704" w:type="dxa"/>
            <w:vAlign w:val="center"/>
          </w:tcPr>
          <w:p w14:paraId="54DC1CCE" w14:textId="77777777" w:rsidR="000B4CBF" w:rsidRPr="004D46AC" w:rsidRDefault="000B4CBF" w:rsidP="00B518F1">
            <w:pPr>
              <w:spacing w:line="240" w:lineRule="auto"/>
              <w:ind w:firstLine="0"/>
            </w:pPr>
            <w:r w:rsidRPr="004D46AC">
              <w:rPr>
                <w:color w:val="000000"/>
                <w:szCs w:val="21"/>
              </w:rPr>
              <w:t xml:space="preserve">-0.40 </w:t>
            </w:r>
          </w:p>
        </w:tc>
        <w:tc>
          <w:tcPr>
            <w:tcW w:w="1704" w:type="dxa"/>
            <w:vAlign w:val="center"/>
          </w:tcPr>
          <w:p w14:paraId="1B49FFA7" w14:textId="77777777" w:rsidR="000B4CBF" w:rsidRPr="004D46AC" w:rsidRDefault="000B4CBF" w:rsidP="00B518F1">
            <w:pPr>
              <w:spacing w:line="240" w:lineRule="auto"/>
              <w:ind w:firstLine="0"/>
            </w:pPr>
            <w:r w:rsidRPr="004D46AC">
              <w:rPr>
                <w:color w:val="000000"/>
                <w:szCs w:val="21"/>
              </w:rPr>
              <w:t xml:space="preserve">-0.98 </w:t>
            </w:r>
          </w:p>
        </w:tc>
        <w:tc>
          <w:tcPr>
            <w:tcW w:w="1705" w:type="dxa"/>
            <w:vAlign w:val="center"/>
          </w:tcPr>
          <w:p w14:paraId="00E163F7" w14:textId="77777777" w:rsidR="000B4CBF" w:rsidRPr="004D46AC" w:rsidRDefault="000B4CBF" w:rsidP="00B518F1">
            <w:pPr>
              <w:spacing w:line="240" w:lineRule="auto"/>
              <w:ind w:firstLine="0"/>
            </w:pPr>
            <w:r w:rsidRPr="004D46AC">
              <w:rPr>
                <w:color w:val="000000"/>
                <w:szCs w:val="21"/>
              </w:rPr>
              <w:t xml:space="preserve">0.17 </w:t>
            </w:r>
          </w:p>
        </w:tc>
        <w:tc>
          <w:tcPr>
            <w:tcW w:w="1705" w:type="dxa"/>
            <w:vAlign w:val="center"/>
          </w:tcPr>
          <w:p w14:paraId="61C4BA58" w14:textId="77777777" w:rsidR="000B4CBF" w:rsidRPr="004D46AC" w:rsidRDefault="000B4CBF" w:rsidP="00B518F1">
            <w:pPr>
              <w:spacing w:line="240" w:lineRule="auto"/>
              <w:ind w:firstLine="0"/>
            </w:pPr>
            <w:r w:rsidRPr="004D46AC">
              <w:rPr>
                <w:color w:val="000000"/>
                <w:szCs w:val="21"/>
              </w:rPr>
              <w:t xml:space="preserve">0.44 </w:t>
            </w:r>
          </w:p>
        </w:tc>
      </w:tr>
      <w:tr w:rsidR="000B4CBF" w:rsidRPr="004D46AC" w14:paraId="6D5E3CFB" w14:textId="77777777" w:rsidTr="00B518F1">
        <w:tc>
          <w:tcPr>
            <w:tcW w:w="1704" w:type="dxa"/>
            <w:vAlign w:val="center"/>
          </w:tcPr>
          <w:p w14:paraId="18F8833E" w14:textId="77777777" w:rsidR="000B4CBF" w:rsidRPr="004D46AC" w:rsidRDefault="000B4CBF" w:rsidP="00B518F1">
            <w:pPr>
              <w:spacing w:line="240" w:lineRule="auto"/>
              <w:ind w:firstLine="0"/>
            </w:pPr>
            <w:r w:rsidRPr="004D46AC">
              <w:rPr>
                <w:color w:val="000000"/>
              </w:rPr>
              <w:t>TR12--TR25</w:t>
            </w:r>
          </w:p>
        </w:tc>
        <w:tc>
          <w:tcPr>
            <w:tcW w:w="1704" w:type="dxa"/>
            <w:vAlign w:val="center"/>
          </w:tcPr>
          <w:p w14:paraId="10CF97B3" w14:textId="77777777" w:rsidR="000B4CBF" w:rsidRPr="004D46AC" w:rsidRDefault="000B4CBF" w:rsidP="00B518F1">
            <w:pPr>
              <w:spacing w:line="240" w:lineRule="auto"/>
              <w:ind w:firstLine="0"/>
            </w:pPr>
            <w:r w:rsidRPr="004D46AC">
              <w:rPr>
                <w:color w:val="000000"/>
                <w:szCs w:val="21"/>
              </w:rPr>
              <w:t xml:space="preserve">-0.54 </w:t>
            </w:r>
          </w:p>
        </w:tc>
        <w:tc>
          <w:tcPr>
            <w:tcW w:w="1704" w:type="dxa"/>
            <w:vAlign w:val="center"/>
          </w:tcPr>
          <w:p w14:paraId="06FB6E05" w14:textId="77777777" w:rsidR="000B4CBF" w:rsidRPr="004D46AC" w:rsidRDefault="000B4CBF" w:rsidP="00B518F1">
            <w:pPr>
              <w:spacing w:line="240" w:lineRule="auto"/>
              <w:ind w:firstLine="0"/>
            </w:pPr>
            <w:r w:rsidRPr="004D46AC">
              <w:rPr>
                <w:color w:val="000000"/>
                <w:szCs w:val="21"/>
              </w:rPr>
              <w:t xml:space="preserve">-1.03 </w:t>
            </w:r>
          </w:p>
        </w:tc>
        <w:tc>
          <w:tcPr>
            <w:tcW w:w="1705" w:type="dxa"/>
            <w:vAlign w:val="center"/>
          </w:tcPr>
          <w:p w14:paraId="76B86DEF" w14:textId="77777777" w:rsidR="000B4CBF" w:rsidRPr="004D46AC" w:rsidRDefault="000B4CBF" w:rsidP="00B518F1">
            <w:pPr>
              <w:spacing w:line="240" w:lineRule="auto"/>
              <w:ind w:firstLine="0"/>
            </w:pPr>
            <w:r w:rsidRPr="004D46AC">
              <w:rPr>
                <w:color w:val="000000"/>
                <w:szCs w:val="21"/>
              </w:rPr>
              <w:t xml:space="preserve">-0.05 </w:t>
            </w:r>
          </w:p>
        </w:tc>
        <w:tc>
          <w:tcPr>
            <w:tcW w:w="1705" w:type="dxa"/>
            <w:vAlign w:val="center"/>
          </w:tcPr>
          <w:p w14:paraId="1C5E6BE7" w14:textId="77777777" w:rsidR="000B4CBF" w:rsidRPr="004D46AC" w:rsidRDefault="000B4CBF" w:rsidP="00B518F1">
            <w:pPr>
              <w:spacing w:line="240" w:lineRule="auto"/>
              <w:ind w:firstLine="0"/>
            </w:pPr>
            <w:r w:rsidRPr="004D46AC">
              <w:rPr>
                <w:color w:val="000000"/>
                <w:szCs w:val="21"/>
              </w:rPr>
              <w:t xml:space="preserve">0.09 </w:t>
            </w:r>
          </w:p>
        </w:tc>
      </w:tr>
    </w:tbl>
    <w:p w14:paraId="53564EA3" w14:textId="77777777" w:rsidR="000B4CBF" w:rsidRPr="004D46AC" w:rsidRDefault="000B4CBF" w:rsidP="000B4CBF">
      <w:pPr>
        <w:spacing w:line="240" w:lineRule="auto"/>
        <w:ind w:firstLine="0"/>
      </w:pPr>
      <w:r w:rsidRPr="004D46AC">
        <w:rPr>
          <w:i/>
          <w:iCs/>
        </w:rPr>
        <w:t>Note</w:t>
      </w:r>
      <w:r w:rsidRPr="004D46AC">
        <w:t>. Bootstrapped edge statistics were based on 2,000 resampled datasets. P</w:t>
      </w:r>
      <w:r w:rsidRPr="004D46AC">
        <w:rPr>
          <w:rFonts w:ascii="Cambria Math" w:hAnsi="Cambria Math" w:cs="Cambria Math" w:hint="eastAsia"/>
        </w:rPr>
        <w:t xml:space="preserve">0 </w:t>
      </w:r>
      <w:r w:rsidRPr="004D46AC">
        <w:t>indicates the proportion of times an edge was present across the bootstrap samples.</w:t>
      </w:r>
    </w:p>
    <w:p w14:paraId="7B820748" w14:textId="77777777" w:rsidR="007075D9" w:rsidRPr="004D46AC" w:rsidRDefault="007075D9" w:rsidP="002C5F6E">
      <w:pPr>
        <w:spacing w:line="240" w:lineRule="auto"/>
        <w:ind w:firstLine="0"/>
      </w:pPr>
    </w:p>
    <w:p w14:paraId="465E3CA2" w14:textId="77777777" w:rsidR="007075D9" w:rsidRPr="004D46AC" w:rsidRDefault="007075D9" w:rsidP="002C5F6E">
      <w:pPr>
        <w:spacing w:line="240" w:lineRule="auto"/>
        <w:ind w:firstLine="0"/>
      </w:pPr>
    </w:p>
    <w:p w14:paraId="2848E6D9" w14:textId="77777777" w:rsidR="007075D9" w:rsidRPr="004D46AC" w:rsidRDefault="007075D9" w:rsidP="002C5F6E">
      <w:pPr>
        <w:spacing w:line="240" w:lineRule="auto"/>
        <w:ind w:firstLine="0"/>
      </w:pPr>
    </w:p>
    <w:p w14:paraId="0FCCDE10" w14:textId="77777777" w:rsidR="007075D9" w:rsidRPr="004D46AC" w:rsidRDefault="007075D9" w:rsidP="002C5F6E">
      <w:pPr>
        <w:spacing w:line="240" w:lineRule="auto"/>
        <w:ind w:firstLine="0"/>
      </w:pPr>
    </w:p>
    <w:p w14:paraId="416FCD60" w14:textId="77777777" w:rsidR="007075D9" w:rsidRPr="004D46AC" w:rsidRDefault="007075D9" w:rsidP="002C5F6E">
      <w:pPr>
        <w:spacing w:line="240" w:lineRule="auto"/>
        <w:ind w:firstLine="0"/>
      </w:pPr>
    </w:p>
    <w:p w14:paraId="7926B33D" w14:textId="77777777" w:rsidR="007075D9" w:rsidRPr="004D46AC" w:rsidRDefault="007075D9" w:rsidP="002C5F6E">
      <w:pPr>
        <w:spacing w:line="240" w:lineRule="auto"/>
        <w:ind w:firstLine="0"/>
      </w:pPr>
    </w:p>
    <w:p w14:paraId="5CB7236B" w14:textId="77777777" w:rsidR="007075D9" w:rsidRPr="004D46AC" w:rsidRDefault="007075D9" w:rsidP="002C5F6E">
      <w:pPr>
        <w:spacing w:line="240" w:lineRule="auto"/>
        <w:ind w:firstLine="0"/>
      </w:pPr>
    </w:p>
    <w:p w14:paraId="78D6AE3D" w14:textId="77777777" w:rsidR="007075D9" w:rsidRPr="004D46AC" w:rsidRDefault="007075D9" w:rsidP="002C5F6E">
      <w:pPr>
        <w:spacing w:line="240" w:lineRule="auto"/>
        <w:ind w:firstLine="0"/>
      </w:pPr>
    </w:p>
    <w:p w14:paraId="5EE7495A" w14:textId="77777777" w:rsidR="007075D9" w:rsidRPr="004D46AC" w:rsidRDefault="007075D9" w:rsidP="002C5F6E">
      <w:pPr>
        <w:spacing w:line="240" w:lineRule="auto"/>
        <w:ind w:firstLine="0"/>
      </w:pPr>
    </w:p>
    <w:p w14:paraId="69F5F0D0" w14:textId="77777777" w:rsidR="007075D9" w:rsidRPr="004D46AC" w:rsidRDefault="007075D9" w:rsidP="002C5F6E">
      <w:pPr>
        <w:spacing w:line="240" w:lineRule="auto"/>
        <w:ind w:firstLine="0"/>
      </w:pPr>
    </w:p>
    <w:p w14:paraId="1B2443B7" w14:textId="77777777" w:rsidR="007075D9" w:rsidRPr="004D46AC" w:rsidRDefault="007075D9" w:rsidP="002C5F6E">
      <w:pPr>
        <w:spacing w:line="240" w:lineRule="auto"/>
        <w:ind w:firstLine="0"/>
      </w:pPr>
    </w:p>
    <w:p w14:paraId="59468963" w14:textId="77777777" w:rsidR="007075D9" w:rsidRPr="004D46AC" w:rsidRDefault="007075D9" w:rsidP="002C5F6E">
      <w:pPr>
        <w:spacing w:line="240" w:lineRule="auto"/>
        <w:ind w:firstLine="0"/>
      </w:pPr>
    </w:p>
    <w:p w14:paraId="021186DE" w14:textId="77777777" w:rsidR="007075D9" w:rsidRPr="004D46AC" w:rsidRDefault="007075D9" w:rsidP="002C5F6E">
      <w:pPr>
        <w:spacing w:line="240" w:lineRule="auto"/>
        <w:ind w:firstLine="0"/>
        <w:rPr>
          <w:rFonts w:eastAsiaTheme="minorEastAsia"/>
          <w:b/>
          <w:bCs/>
        </w:rPr>
      </w:pPr>
    </w:p>
    <w:p w14:paraId="5DB2F25E" w14:textId="77777777" w:rsidR="00CC3324" w:rsidRPr="004D46AC" w:rsidRDefault="00CC3324" w:rsidP="002C5F6E">
      <w:pPr>
        <w:spacing w:line="240" w:lineRule="auto"/>
        <w:ind w:firstLine="0"/>
        <w:rPr>
          <w:rFonts w:eastAsiaTheme="minorEastAsia"/>
          <w:b/>
          <w:bCs/>
        </w:rPr>
      </w:pPr>
    </w:p>
    <w:p w14:paraId="319C59B1" w14:textId="77777777" w:rsidR="00CC3324" w:rsidRPr="004D46AC" w:rsidRDefault="00CC3324" w:rsidP="002C5F6E">
      <w:pPr>
        <w:spacing w:line="240" w:lineRule="auto"/>
        <w:ind w:firstLine="0"/>
        <w:rPr>
          <w:rFonts w:eastAsiaTheme="minorEastAsia"/>
          <w:b/>
          <w:bCs/>
        </w:rPr>
      </w:pPr>
    </w:p>
    <w:p w14:paraId="18F1996F" w14:textId="77777777" w:rsidR="00CC3324" w:rsidRPr="004D46AC" w:rsidRDefault="00CC3324" w:rsidP="002C5F6E">
      <w:pPr>
        <w:spacing w:line="240" w:lineRule="auto"/>
        <w:ind w:firstLine="0"/>
        <w:rPr>
          <w:rFonts w:eastAsiaTheme="minorEastAsia"/>
          <w:b/>
          <w:bCs/>
        </w:rPr>
      </w:pPr>
    </w:p>
    <w:p w14:paraId="6C4DD2AA" w14:textId="77777777" w:rsidR="00CC3324" w:rsidRPr="004D46AC" w:rsidRDefault="00CC3324" w:rsidP="002C5F6E">
      <w:pPr>
        <w:spacing w:line="240" w:lineRule="auto"/>
        <w:ind w:firstLine="0"/>
        <w:rPr>
          <w:rFonts w:eastAsiaTheme="minorEastAsia"/>
          <w:b/>
          <w:bCs/>
        </w:rPr>
      </w:pPr>
    </w:p>
    <w:p w14:paraId="5845B1B3" w14:textId="77777777" w:rsidR="00CC3324" w:rsidRPr="004D46AC" w:rsidRDefault="00CC3324" w:rsidP="002C5F6E">
      <w:pPr>
        <w:spacing w:line="240" w:lineRule="auto"/>
        <w:ind w:firstLine="0"/>
        <w:rPr>
          <w:rFonts w:eastAsiaTheme="minorEastAsia"/>
          <w:b/>
          <w:bCs/>
        </w:rPr>
      </w:pPr>
    </w:p>
    <w:p w14:paraId="2D033C9B" w14:textId="77777777" w:rsidR="00CC3324" w:rsidRPr="004D46AC" w:rsidRDefault="00CC3324" w:rsidP="002C5F6E">
      <w:pPr>
        <w:spacing w:line="240" w:lineRule="auto"/>
        <w:ind w:firstLine="0"/>
        <w:rPr>
          <w:rFonts w:eastAsiaTheme="minorEastAsia"/>
          <w:b/>
          <w:bCs/>
        </w:rPr>
      </w:pPr>
    </w:p>
    <w:p w14:paraId="099F5C5B" w14:textId="332C20FA" w:rsidR="00011BA9" w:rsidRPr="004D46AC" w:rsidRDefault="00011BA9" w:rsidP="00011BA9">
      <w:pPr>
        <w:spacing w:line="240" w:lineRule="auto"/>
        <w:ind w:firstLine="0"/>
        <w:rPr>
          <w:rFonts w:eastAsiaTheme="minorEastAsia"/>
          <w:b/>
          <w:bCs/>
        </w:rPr>
      </w:pPr>
      <w:bookmarkStart w:id="413" w:name="_Toc219870652"/>
      <w:r w:rsidRPr="004D46AC">
        <w:rPr>
          <w:b/>
          <w:bCs/>
        </w:rPr>
        <w:lastRenderedPageBreak/>
        <w:t xml:space="preserve">Table E </w:t>
      </w:r>
      <w:r w:rsidRPr="004D46AC">
        <w:rPr>
          <w:b/>
          <w:bCs/>
        </w:rPr>
        <w:fldChar w:fldCharType="begin"/>
      </w:r>
      <w:r w:rsidRPr="004D46AC">
        <w:rPr>
          <w:b/>
          <w:bCs/>
        </w:rPr>
        <w:instrText xml:space="preserve"> SEQ Table_E \* ARABIC </w:instrText>
      </w:r>
      <w:r w:rsidRPr="004D46AC">
        <w:rPr>
          <w:b/>
          <w:bCs/>
        </w:rPr>
        <w:fldChar w:fldCharType="separate"/>
      </w:r>
      <w:r w:rsidRPr="004D46AC">
        <w:rPr>
          <w:b/>
          <w:bCs/>
          <w:noProof/>
        </w:rPr>
        <w:t>8</w:t>
      </w:r>
      <w:bookmarkEnd w:id="413"/>
      <w:r w:rsidRPr="004D46AC">
        <w:rPr>
          <w:b/>
          <w:bCs/>
        </w:rPr>
        <w:fldChar w:fldCharType="end"/>
      </w:r>
    </w:p>
    <w:p w14:paraId="54C10844" w14:textId="77777777" w:rsidR="007075D9" w:rsidRPr="004D46AC" w:rsidRDefault="007075D9" w:rsidP="002C5F6E">
      <w:pPr>
        <w:spacing w:line="240" w:lineRule="auto"/>
        <w:ind w:firstLine="0"/>
        <w:rPr>
          <w:i/>
          <w:iCs/>
        </w:rPr>
      </w:pPr>
      <w:r w:rsidRPr="004D46AC">
        <w:rPr>
          <w:i/>
          <w:iCs/>
        </w:rPr>
        <w:t>Edges with non-zero weights in the network</w:t>
      </w:r>
      <w:r w:rsidRPr="004D46AC">
        <w:rPr>
          <w:rFonts w:hint="eastAsia"/>
          <w:i/>
          <w:iCs/>
          <w:lang w:val="en-US"/>
        </w:rPr>
        <w:t xml:space="preserve"> of </w:t>
      </w:r>
      <w:proofErr w:type="gramStart"/>
      <w:r w:rsidRPr="004D46AC">
        <w:rPr>
          <w:rFonts w:hint="eastAsia"/>
          <w:i/>
          <w:iCs/>
          <w:lang w:val="en-US"/>
        </w:rPr>
        <w:t>at risk</w:t>
      </w:r>
      <w:proofErr w:type="gramEnd"/>
      <w:r w:rsidRPr="004D46AC">
        <w:rPr>
          <w:rFonts w:hint="eastAsia"/>
          <w:i/>
          <w:iCs/>
          <w:lang w:val="en-US"/>
        </w:rPr>
        <w:t xml:space="preserve"> states</w:t>
      </w:r>
      <w:r w:rsidRPr="004D46AC">
        <w:rPr>
          <w:i/>
          <w:iCs/>
        </w:rPr>
        <w:t xml:space="preserve"> among </w:t>
      </w:r>
      <w:r w:rsidRPr="004D46AC">
        <w:rPr>
          <w:rFonts w:hint="eastAsia"/>
          <w:i/>
          <w:iCs/>
        </w:rPr>
        <w:t>females</w:t>
      </w:r>
    </w:p>
    <w:tbl>
      <w:tblPr>
        <w:tblStyle w:val="afc"/>
        <w:tblW w:w="0" w:type="auto"/>
        <w:tblLook w:val="04A0" w:firstRow="1" w:lastRow="0" w:firstColumn="1" w:lastColumn="0" w:noHBand="0" w:noVBand="1"/>
      </w:tblPr>
      <w:tblGrid>
        <w:gridCol w:w="1704"/>
        <w:gridCol w:w="1704"/>
        <w:gridCol w:w="1704"/>
        <w:gridCol w:w="1705"/>
        <w:gridCol w:w="1705"/>
      </w:tblGrid>
      <w:tr w:rsidR="007075D9" w:rsidRPr="004D46AC" w14:paraId="0DADDE71" w14:textId="77777777">
        <w:tc>
          <w:tcPr>
            <w:tcW w:w="1704" w:type="dxa"/>
            <w:vAlign w:val="center"/>
          </w:tcPr>
          <w:p w14:paraId="0C670B92" w14:textId="77777777" w:rsidR="007075D9" w:rsidRPr="004D46AC" w:rsidRDefault="007075D9" w:rsidP="002C5F6E">
            <w:pPr>
              <w:spacing w:line="240" w:lineRule="auto"/>
              <w:ind w:firstLine="0"/>
            </w:pPr>
            <w:r w:rsidRPr="004D46AC">
              <w:rPr>
                <w:color w:val="000000"/>
              </w:rPr>
              <w:t>E</w:t>
            </w:r>
            <w:r w:rsidRPr="004D46AC">
              <w:rPr>
                <w:rFonts w:hint="eastAsia"/>
                <w:color w:val="000000"/>
              </w:rPr>
              <w:t>dge</w:t>
            </w:r>
          </w:p>
        </w:tc>
        <w:tc>
          <w:tcPr>
            <w:tcW w:w="1704" w:type="dxa"/>
            <w:vAlign w:val="center"/>
          </w:tcPr>
          <w:p w14:paraId="6833A4F9" w14:textId="77777777" w:rsidR="007075D9" w:rsidRPr="004D46AC" w:rsidRDefault="007075D9" w:rsidP="002C5F6E">
            <w:pPr>
              <w:spacing w:line="240" w:lineRule="auto"/>
              <w:ind w:firstLine="0"/>
            </w:pPr>
            <w:r w:rsidRPr="004D46AC">
              <w:rPr>
                <w:rFonts w:hint="eastAsia"/>
                <w:color w:val="000000"/>
              </w:rPr>
              <w:t>Weight</w:t>
            </w:r>
          </w:p>
        </w:tc>
        <w:tc>
          <w:tcPr>
            <w:tcW w:w="1704" w:type="dxa"/>
            <w:vAlign w:val="center"/>
          </w:tcPr>
          <w:p w14:paraId="204CC27F" w14:textId="77777777" w:rsidR="007075D9" w:rsidRPr="004D46AC" w:rsidRDefault="007075D9" w:rsidP="002C5F6E">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lower</w:t>
            </w:r>
          </w:p>
        </w:tc>
        <w:tc>
          <w:tcPr>
            <w:tcW w:w="1705" w:type="dxa"/>
            <w:vAlign w:val="center"/>
          </w:tcPr>
          <w:p w14:paraId="3BCE340A" w14:textId="77777777" w:rsidR="007075D9" w:rsidRPr="004D46AC" w:rsidRDefault="007075D9" w:rsidP="002C5F6E">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upper</w:t>
            </w:r>
          </w:p>
        </w:tc>
        <w:tc>
          <w:tcPr>
            <w:tcW w:w="1705" w:type="dxa"/>
            <w:vAlign w:val="center"/>
          </w:tcPr>
          <w:p w14:paraId="70AF3C6C" w14:textId="77777777" w:rsidR="007075D9" w:rsidRPr="004D46AC" w:rsidRDefault="007075D9" w:rsidP="002C5F6E">
            <w:pPr>
              <w:spacing w:line="240" w:lineRule="auto"/>
              <w:ind w:firstLine="0"/>
            </w:pPr>
            <w:r w:rsidRPr="004D46AC">
              <w:rPr>
                <w:rFonts w:hint="eastAsia"/>
              </w:rPr>
              <w:t>P0</w:t>
            </w:r>
          </w:p>
        </w:tc>
      </w:tr>
      <w:tr w:rsidR="007075D9" w:rsidRPr="004D46AC" w14:paraId="2EED1A7C" w14:textId="77777777">
        <w:tc>
          <w:tcPr>
            <w:tcW w:w="1704" w:type="dxa"/>
            <w:vAlign w:val="center"/>
          </w:tcPr>
          <w:p w14:paraId="623B5B68" w14:textId="77777777" w:rsidR="007075D9" w:rsidRPr="004D46AC" w:rsidRDefault="007075D9" w:rsidP="002C5F6E">
            <w:pPr>
              <w:spacing w:line="240" w:lineRule="auto"/>
              <w:ind w:firstLine="0"/>
            </w:pPr>
            <w:r w:rsidRPr="004D46AC">
              <w:rPr>
                <w:color w:val="000000"/>
              </w:rPr>
              <w:t>TR22--TR25</w:t>
            </w:r>
          </w:p>
        </w:tc>
        <w:tc>
          <w:tcPr>
            <w:tcW w:w="1704" w:type="dxa"/>
            <w:vAlign w:val="center"/>
          </w:tcPr>
          <w:p w14:paraId="1A2E9421" w14:textId="77777777" w:rsidR="007075D9" w:rsidRPr="004D46AC" w:rsidRDefault="007075D9" w:rsidP="002C5F6E">
            <w:pPr>
              <w:spacing w:line="240" w:lineRule="auto"/>
              <w:ind w:firstLine="0"/>
            </w:pPr>
            <w:r w:rsidRPr="004D46AC">
              <w:rPr>
                <w:color w:val="000000"/>
                <w:szCs w:val="21"/>
              </w:rPr>
              <w:t xml:space="preserve">1.02 </w:t>
            </w:r>
          </w:p>
        </w:tc>
        <w:tc>
          <w:tcPr>
            <w:tcW w:w="1704" w:type="dxa"/>
            <w:vAlign w:val="center"/>
          </w:tcPr>
          <w:p w14:paraId="07F56652" w14:textId="77777777" w:rsidR="007075D9" w:rsidRPr="004D46AC" w:rsidRDefault="007075D9" w:rsidP="002C5F6E">
            <w:pPr>
              <w:spacing w:line="240" w:lineRule="auto"/>
              <w:ind w:firstLine="0"/>
            </w:pPr>
            <w:r w:rsidRPr="004D46AC">
              <w:rPr>
                <w:color w:val="000000"/>
                <w:szCs w:val="21"/>
              </w:rPr>
              <w:t xml:space="preserve">0.69 </w:t>
            </w:r>
          </w:p>
        </w:tc>
        <w:tc>
          <w:tcPr>
            <w:tcW w:w="1705" w:type="dxa"/>
            <w:vAlign w:val="center"/>
          </w:tcPr>
          <w:p w14:paraId="6C631155" w14:textId="77777777" w:rsidR="007075D9" w:rsidRPr="004D46AC" w:rsidRDefault="007075D9" w:rsidP="002C5F6E">
            <w:pPr>
              <w:spacing w:line="240" w:lineRule="auto"/>
              <w:ind w:firstLine="0"/>
            </w:pPr>
            <w:r w:rsidRPr="004D46AC">
              <w:rPr>
                <w:color w:val="000000"/>
                <w:szCs w:val="21"/>
              </w:rPr>
              <w:t xml:space="preserve">1.35 </w:t>
            </w:r>
          </w:p>
        </w:tc>
        <w:tc>
          <w:tcPr>
            <w:tcW w:w="1705" w:type="dxa"/>
            <w:vAlign w:val="center"/>
          </w:tcPr>
          <w:p w14:paraId="2F9CD6E7"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0F3AFF9" w14:textId="77777777">
        <w:tc>
          <w:tcPr>
            <w:tcW w:w="1704" w:type="dxa"/>
            <w:vAlign w:val="center"/>
          </w:tcPr>
          <w:p w14:paraId="591DD439" w14:textId="77777777" w:rsidR="007075D9" w:rsidRPr="004D46AC" w:rsidRDefault="007075D9" w:rsidP="002C5F6E">
            <w:pPr>
              <w:spacing w:line="240" w:lineRule="auto"/>
              <w:ind w:firstLine="0"/>
            </w:pPr>
            <w:r w:rsidRPr="004D46AC">
              <w:rPr>
                <w:color w:val="000000"/>
              </w:rPr>
              <w:t>TR6--TR29</w:t>
            </w:r>
          </w:p>
        </w:tc>
        <w:tc>
          <w:tcPr>
            <w:tcW w:w="1704" w:type="dxa"/>
            <w:vAlign w:val="center"/>
          </w:tcPr>
          <w:p w14:paraId="68636BFE" w14:textId="77777777" w:rsidR="007075D9" w:rsidRPr="004D46AC" w:rsidRDefault="007075D9" w:rsidP="002C5F6E">
            <w:pPr>
              <w:spacing w:line="240" w:lineRule="auto"/>
              <w:ind w:firstLine="0"/>
            </w:pPr>
            <w:r w:rsidRPr="004D46AC">
              <w:rPr>
                <w:color w:val="000000"/>
                <w:szCs w:val="21"/>
              </w:rPr>
              <w:t xml:space="preserve">1.01 </w:t>
            </w:r>
          </w:p>
        </w:tc>
        <w:tc>
          <w:tcPr>
            <w:tcW w:w="1704" w:type="dxa"/>
            <w:vAlign w:val="center"/>
          </w:tcPr>
          <w:p w14:paraId="4932CE95" w14:textId="77777777" w:rsidR="007075D9" w:rsidRPr="004D46AC" w:rsidRDefault="007075D9" w:rsidP="002C5F6E">
            <w:pPr>
              <w:spacing w:line="240" w:lineRule="auto"/>
              <w:ind w:firstLine="0"/>
            </w:pPr>
            <w:r w:rsidRPr="004D46AC">
              <w:rPr>
                <w:color w:val="000000"/>
                <w:szCs w:val="21"/>
              </w:rPr>
              <w:t xml:space="preserve">0.64 </w:t>
            </w:r>
          </w:p>
        </w:tc>
        <w:tc>
          <w:tcPr>
            <w:tcW w:w="1705" w:type="dxa"/>
            <w:vAlign w:val="center"/>
          </w:tcPr>
          <w:p w14:paraId="3D2C05C4" w14:textId="77777777" w:rsidR="007075D9" w:rsidRPr="004D46AC" w:rsidRDefault="007075D9" w:rsidP="002C5F6E">
            <w:pPr>
              <w:spacing w:line="240" w:lineRule="auto"/>
              <w:ind w:firstLine="0"/>
            </w:pPr>
            <w:r w:rsidRPr="004D46AC">
              <w:rPr>
                <w:color w:val="000000"/>
                <w:szCs w:val="21"/>
              </w:rPr>
              <w:t xml:space="preserve">1.37 </w:t>
            </w:r>
          </w:p>
        </w:tc>
        <w:tc>
          <w:tcPr>
            <w:tcW w:w="1705" w:type="dxa"/>
            <w:vAlign w:val="center"/>
          </w:tcPr>
          <w:p w14:paraId="5CE60FA9"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6439599" w14:textId="77777777">
        <w:tc>
          <w:tcPr>
            <w:tcW w:w="1704" w:type="dxa"/>
            <w:vAlign w:val="center"/>
          </w:tcPr>
          <w:p w14:paraId="1FB29450" w14:textId="77777777" w:rsidR="007075D9" w:rsidRPr="004D46AC" w:rsidRDefault="007075D9" w:rsidP="002C5F6E">
            <w:pPr>
              <w:spacing w:line="240" w:lineRule="auto"/>
              <w:ind w:firstLine="0"/>
            </w:pPr>
            <w:r w:rsidRPr="004D46AC">
              <w:rPr>
                <w:color w:val="000000"/>
              </w:rPr>
              <w:t>TR19--TR16</w:t>
            </w:r>
          </w:p>
        </w:tc>
        <w:tc>
          <w:tcPr>
            <w:tcW w:w="1704" w:type="dxa"/>
            <w:vAlign w:val="center"/>
          </w:tcPr>
          <w:p w14:paraId="20F08507" w14:textId="77777777" w:rsidR="007075D9" w:rsidRPr="004D46AC" w:rsidRDefault="007075D9" w:rsidP="002C5F6E">
            <w:pPr>
              <w:spacing w:line="240" w:lineRule="auto"/>
              <w:ind w:firstLine="0"/>
            </w:pPr>
            <w:r w:rsidRPr="004D46AC">
              <w:rPr>
                <w:color w:val="000000"/>
                <w:szCs w:val="21"/>
              </w:rPr>
              <w:t xml:space="preserve">0.98 </w:t>
            </w:r>
          </w:p>
        </w:tc>
        <w:tc>
          <w:tcPr>
            <w:tcW w:w="1704" w:type="dxa"/>
            <w:vAlign w:val="center"/>
          </w:tcPr>
          <w:p w14:paraId="462C12DB"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23DC2B52" w14:textId="77777777" w:rsidR="007075D9" w:rsidRPr="004D46AC" w:rsidRDefault="007075D9" w:rsidP="002C5F6E">
            <w:pPr>
              <w:spacing w:line="240" w:lineRule="auto"/>
              <w:ind w:firstLine="0"/>
            </w:pPr>
            <w:r w:rsidRPr="004D46AC">
              <w:rPr>
                <w:color w:val="000000"/>
                <w:szCs w:val="21"/>
              </w:rPr>
              <w:t xml:space="preserve">1.30 </w:t>
            </w:r>
          </w:p>
        </w:tc>
        <w:tc>
          <w:tcPr>
            <w:tcW w:w="1705" w:type="dxa"/>
            <w:vAlign w:val="center"/>
          </w:tcPr>
          <w:p w14:paraId="5076BD28"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BC86419" w14:textId="77777777">
        <w:tc>
          <w:tcPr>
            <w:tcW w:w="1704" w:type="dxa"/>
            <w:vAlign w:val="center"/>
          </w:tcPr>
          <w:p w14:paraId="19CF0845" w14:textId="77777777" w:rsidR="007075D9" w:rsidRPr="004D46AC" w:rsidRDefault="007075D9" w:rsidP="002C5F6E">
            <w:pPr>
              <w:spacing w:line="240" w:lineRule="auto"/>
              <w:ind w:firstLine="0"/>
            </w:pPr>
            <w:r w:rsidRPr="004D46AC">
              <w:rPr>
                <w:color w:val="000000"/>
              </w:rPr>
              <w:t>TR15--TR34</w:t>
            </w:r>
          </w:p>
        </w:tc>
        <w:tc>
          <w:tcPr>
            <w:tcW w:w="1704" w:type="dxa"/>
            <w:vAlign w:val="center"/>
          </w:tcPr>
          <w:p w14:paraId="367CF1F2" w14:textId="77777777" w:rsidR="007075D9" w:rsidRPr="004D46AC" w:rsidRDefault="007075D9" w:rsidP="002C5F6E">
            <w:pPr>
              <w:spacing w:line="240" w:lineRule="auto"/>
              <w:ind w:firstLine="0"/>
            </w:pPr>
            <w:r w:rsidRPr="004D46AC">
              <w:rPr>
                <w:color w:val="000000"/>
                <w:szCs w:val="21"/>
              </w:rPr>
              <w:t xml:space="preserve">0.95 </w:t>
            </w:r>
          </w:p>
        </w:tc>
        <w:tc>
          <w:tcPr>
            <w:tcW w:w="1704" w:type="dxa"/>
            <w:vAlign w:val="center"/>
          </w:tcPr>
          <w:p w14:paraId="725A9133" w14:textId="77777777" w:rsidR="007075D9" w:rsidRPr="004D46AC" w:rsidRDefault="007075D9" w:rsidP="002C5F6E">
            <w:pPr>
              <w:spacing w:line="240" w:lineRule="auto"/>
              <w:ind w:firstLine="0"/>
            </w:pPr>
            <w:r w:rsidRPr="004D46AC">
              <w:rPr>
                <w:color w:val="000000"/>
                <w:szCs w:val="21"/>
              </w:rPr>
              <w:t xml:space="preserve">0.61 </w:t>
            </w:r>
          </w:p>
        </w:tc>
        <w:tc>
          <w:tcPr>
            <w:tcW w:w="1705" w:type="dxa"/>
            <w:vAlign w:val="center"/>
          </w:tcPr>
          <w:p w14:paraId="17814BE3" w14:textId="77777777" w:rsidR="007075D9" w:rsidRPr="004D46AC" w:rsidRDefault="007075D9" w:rsidP="002C5F6E">
            <w:pPr>
              <w:spacing w:line="240" w:lineRule="auto"/>
              <w:ind w:firstLine="0"/>
            </w:pPr>
            <w:r w:rsidRPr="004D46AC">
              <w:rPr>
                <w:color w:val="000000"/>
                <w:szCs w:val="21"/>
              </w:rPr>
              <w:t xml:space="preserve">1.29 </w:t>
            </w:r>
          </w:p>
        </w:tc>
        <w:tc>
          <w:tcPr>
            <w:tcW w:w="1705" w:type="dxa"/>
            <w:vAlign w:val="center"/>
          </w:tcPr>
          <w:p w14:paraId="56490EC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F60059D" w14:textId="77777777">
        <w:tc>
          <w:tcPr>
            <w:tcW w:w="1704" w:type="dxa"/>
            <w:vAlign w:val="center"/>
          </w:tcPr>
          <w:p w14:paraId="61B4E653" w14:textId="77777777" w:rsidR="007075D9" w:rsidRPr="004D46AC" w:rsidRDefault="007075D9" w:rsidP="002C5F6E">
            <w:pPr>
              <w:spacing w:line="240" w:lineRule="auto"/>
              <w:ind w:firstLine="0"/>
            </w:pPr>
            <w:r w:rsidRPr="004D46AC">
              <w:rPr>
                <w:color w:val="000000"/>
              </w:rPr>
              <w:t>TR7--TR15</w:t>
            </w:r>
          </w:p>
        </w:tc>
        <w:tc>
          <w:tcPr>
            <w:tcW w:w="1704" w:type="dxa"/>
            <w:vAlign w:val="center"/>
          </w:tcPr>
          <w:p w14:paraId="73F4F6C9" w14:textId="77777777" w:rsidR="007075D9" w:rsidRPr="004D46AC" w:rsidRDefault="007075D9" w:rsidP="002C5F6E">
            <w:pPr>
              <w:spacing w:line="240" w:lineRule="auto"/>
              <w:ind w:firstLine="0"/>
            </w:pPr>
            <w:r w:rsidRPr="004D46AC">
              <w:rPr>
                <w:color w:val="000000"/>
                <w:szCs w:val="21"/>
              </w:rPr>
              <w:t xml:space="preserve">0.91 </w:t>
            </w:r>
          </w:p>
        </w:tc>
        <w:tc>
          <w:tcPr>
            <w:tcW w:w="1704" w:type="dxa"/>
            <w:vAlign w:val="center"/>
          </w:tcPr>
          <w:p w14:paraId="17AC67CC" w14:textId="77777777" w:rsidR="007075D9" w:rsidRPr="004D46AC" w:rsidRDefault="007075D9" w:rsidP="002C5F6E">
            <w:pPr>
              <w:spacing w:line="240" w:lineRule="auto"/>
              <w:ind w:firstLine="0"/>
            </w:pPr>
            <w:r w:rsidRPr="004D46AC">
              <w:rPr>
                <w:color w:val="000000"/>
                <w:szCs w:val="21"/>
              </w:rPr>
              <w:t xml:space="preserve">0.59 </w:t>
            </w:r>
          </w:p>
        </w:tc>
        <w:tc>
          <w:tcPr>
            <w:tcW w:w="1705" w:type="dxa"/>
            <w:vAlign w:val="center"/>
          </w:tcPr>
          <w:p w14:paraId="4C16AA71" w14:textId="77777777" w:rsidR="007075D9" w:rsidRPr="004D46AC" w:rsidRDefault="007075D9" w:rsidP="002C5F6E">
            <w:pPr>
              <w:spacing w:line="240" w:lineRule="auto"/>
              <w:ind w:firstLine="0"/>
            </w:pPr>
            <w:r w:rsidRPr="004D46AC">
              <w:rPr>
                <w:color w:val="000000"/>
                <w:szCs w:val="21"/>
              </w:rPr>
              <w:t xml:space="preserve">1.23 </w:t>
            </w:r>
          </w:p>
        </w:tc>
        <w:tc>
          <w:tcPr>
            <w:tcW w:w="1705" w:type="dxa"/>
            <w:vAlign w:val="center"/>
          </w:tcPr>
          <w:p w14:paraId="1C9586C5"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DB2C757" w14:textId="77777777">
        <w:tc>
          <w:tcPr>
            <w:tcW w:w="1704" w:type="dxa"/>
            <w:vAlign w:val="center"/>
          </w:tcPr>
          <w:p w14:paraId="11C42DE8" w14:textId="77777777" w:rsidR="007075D9" w:rsidRPr="004D46AC" w:rsidRDefault="007075D9" w:rsidP="002C5F6E">
            <w:pPr>
              <w:spacing w:line="240" w:lineRule="auto"/>
              <w:ind w:firstLine="0"/>
            </w:pPr>
            <w:r w:rsidRPr="004D46AC">
              <w:rPr>
                <w:color w:val="000000"/>
              </w:rPr>
              <w:t>TR30--TR33</w:t>
            </w:r>
          </w:p>
        </w:tc>
        <w:tc>
          <w:tcPr>
            <w:tcW w:w="1704" w:type="dxa"/>
            <w:vAlign w:val="center"/>
          </w:tcPr>
          <w:p w14:paraId="2E21D6E7" w14:textId="77777777" w:rsidR="007075D9" w:rsidRPr="004D46AC" w:rsidRDefault="007075D9" w:rsidP="002C5F6E">
            <w:pPr>
              <w:spacing w:line="240" w:lineRule="auto"/>
              <w:ind w:firstLine="0"/>
            </w:pPr>
            <w:r w:rsidRPr="004D46AC">
              <w:rPr>
                <w:color w:val="000000"/>
                <w:szCs w:val="21"/>
              </w:rPr>
              <w:t xml:space="preserve">0.89 </w:t>
            </w:r>
          </w:p>
        </w:tc>
        <w:tc>
          <w:tcPr>
            <w:tcW w:w="1704" w:type="dxa"/>
            <w:vAlign w:val="center"/>
          </w:tcPr>
          <w:p w14:paraId="633E298B"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62CC9A3A" w14:textId="77777777" w:rsidR="007075D9" w:rsidRPr="004D46AC" w:rsidRDefault="007075D9" w:rsidP="002C5F6E">
            <w:pPr>
              <w:spacing w:line="240" w:lineRule="auto"/>
              <w:ind w:firstLine="0"/>
            </w:pPr>
            <w:r w:rsidRPr="004D46AC">
              <w:rPr>
                <w:color w:val="000000"/>
                <w:szCs w:val="21"/>
              </w:rPr>
              <w:t xml:space="preserve">1.26 </w:t>
            </w:r>
          </w:p>
        </w:tc>
        <w:tc>
          <w:tcPr>
            <w:tcW w:w="1705" w:type="dxa"/>
            <w:vAlign w:val="center"/>
          </w:tcPr>
          <w:p w14:paraId="5E45900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14C92EA" w14:textId="77777777">
        <w:tc>
          <w:tcPr>
            <w:tcW w:w="1704" w:type="dxa"/>
            <w:vAlign w:val="center"/>
          </w:tcPr>
          <w:p w14:paraId="3E961EEF" w14:textId="77777777" w:rsidR="007075D9" w:rsidRPr="004D46AC" w:rsidRDefault="007075D9" w:rsidP="002C5F6E">
            <w:pPr>
              <w:spacing w:line="240" w:lineRule="auto"/>
              <w:ind w:firstLine="0"/>
            </w:pPr>
            <w:r w:rsidRPr="004D46AC">
              <w:rPr>
                <w:color w:val="000000"/>
              </w:rPr>
              <w:t>TR14--TR16</w:t>
            </w:r>
          </w:p>
        </w:tc>
        <w:tc>
          <w:tcPr>
            <w:tcW w:w="1704" w:type="dxa"/>
            <w:vAlign w:val="center"/>
          </w:tcPr>
          <w:p w14:paraId="202D97DC" w14:textId="77777777" w:rsidR="007075D9" w:rsidRPr="004D46AC" w:rsidRDefault="007075D9" w:rsidP="002C5F6E">
            <w:pPr>
              <w:spacing w:line="240" w:lineRule="auto"/>
              <w:ind w:firstLine="0"/>
            </w:pPr>
            <w:r w:rsidRPr="004D46AC">
              <w:rPr>
                <w:color w:val="000000"/>
                <w:szCs w:val="21"/>
              </w:rPr>
              <w:t xml:space="preserve">0.84 </w:t>
            </w:r>
          </w:p>
        </w:tc>
        <w:tc>
          <w:tcPr>
            <w:tcW w:w="1704" w:type="dxa"/>
            <w:vAlign w:val="center"/>
          </w:tcPr>
          <w:p w14:paraId="10278F05"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58A659DA" w14:textId="77777777" w:rsidR="007075D9" w:rsidRPr="004D46AC" w:rsidRDefault="007075D9" w:rsidP="002C5F6E">
            <w:pPr>
              <w:spacing w:line="240" w:lineRule="auto"/>
              <w:ind w:firstLine="0"/>
            </w:pPr>
            <w:r w:rsidRPr="004D46AC">
              <w:rPr>
                <w:color w:val="000000"/>
                <w:szCs w:val="21"/>
              </w:rPr>
              <w:t xml:space="preserve">1.16 </w:t>
            </w:r>
          </w:p>
        </w:tc>
        <w:tc>
          <w:tcPr>
            <w:tcW w:w="1705" w:type="dxa"/>
            <w:vAlign w:val="center"/>
          </w:tcPr>
          <w:p w14:paraId="00D1F26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8EDAA66" w14:textId="77777777">
        <w:tc>
          <w:tcPr>
            <w:tcW w:w="1704" w:type="dxa"/>
            <w:vAlign w:val="center"/>
          </w:tcPr>
          <w:p w14:paraId="41ACD168" w14:textId="77777777" w:rsidR="007075D9" w:rsidRPr="004D46AC" w:rsidRDefault="007075D9" w:rsidP="002C5F6E">
            <w:pPr>
              <w:spacing w:line="240" w:lineRule="auto"/>
              <w:ind w:firstLine="0"/>
            </w:pPr>
            <w:r w:rsidRPr="004D46AC">
              <w:rPr>
                <w:color w:val="000000"/>
              </w:rPr>
              <w:t>TR19--TR21</w:t>
            </w:r>
          </w:p>
        </w:tc>
        <w:tc>
          <w:tcPr>
            <w:tcW w:w="1704" w:type="dxa"/>
            <w:vAlign w:val="center"/>
          </w:tcPr>
          <w:p w14:paraId="1DEA632E" w14:textId="77777777" w:rsidR="007075D9" w:rsidRPr="004D46AC" w:rsidRDefault="007075D9" w:rsidP="002C5F6E">
            <w:pPr>
              <w:spacing w:line="240" w:lineRule="auto"/>
              <w:ind w:firstLine="0"/>
            </w:pPr>
            <w:r w:rsidRPr="004D46AC">
              <w:rPr>
                <w:color w:val="000000"/>
                <w:szCs w:val="21"/>
              </w:rPr>
              <w:t xml:space="preserve">0.77 </w:t>
            </w:r>
          </w:p>
        </w:tc>
        <w:tc>
          <w:tcPr>
            <w:tcW w:w="1704" w:type="dxa"/>
            <w:vAlign w:val="center"/>
          </w:tcPr>
          <w:p w14:paraId="43EB9628"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3FEC4A15" w14:textId="77777777" w:rsidR="007075D9" w:rsidRPr="004D46AC" w:rsidRDefault="007075D9" w:rsidP="002C5F6E">
            <w:pPr>
              <w:spacing w:line="240" w:lineRule="auto"/>
              <w:ind w:firstLine="0"/>
            </w:pPr>
            <w:r w:rsidRPr="004D46AC">
              <w:rPr>
                <w:color w:val="000000"/>
                <w:szCs w:val="21"/>
              </w:rPr>
              <w:t xml:space="preserve">1.09 </w:t>
            </w:r>
          </w:p>
        </w:tc>
        <w:tc>
          <w:tcPr>
            <w:tcW w:w="1705" w:type="dxa"/>
            <w:vAlign w:val="center"/>
          </w:tcPr>
          <w:p w14:paraId="66E2E16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7110753" w14:textId="77777777">
        <w:tc>
          <w:tcPr>
            <w:tcW w:w="1704" w:type="dxa"/>
            <w:vAlign w:val="center"/>
          </w:tcPr>
          <w:p w14:paraId="40AEC234" w14:textId="77777777" w:rsidR="007075D9" w:rsidRPr="004D46AC" w:rsidRDefault="007075D9" w:rsidP="002C5F6E">
            <w:pPr>
              <w:spacing w:line="240" w:lineRule="auto"/>
              <w:ind w:firstLine="0"/>
            </w:pPr>
            <w:r w:rsidRPr="004D46AC">
              <w:rPr>
                <w:color w:val="000000"/>
              </w:rPr>
              <w:t>TR6--TR9</w:t>
            </w:r>
          </w:p>
        </w:tc>
        <w:tc>
          <w:tcPr>
            <w:tcW w:w="1704" w:type="dxa"/>
            <w:vAlign w:val="center"/>
          </w:tcPr>
          <w:p w14:paraId="0B5D12BF" w14:textId="77777777" w:rsidR="007075D9" w:rsidRPr="004D46AC" w:rsidRDefault="007075D9" w:rsidP="002C5F6E">
            <w:pPr>
              <w:spacing w:line="240" w:lineRule="auto"/>
              <w:ind w:firstLine="0"/>
            </w:pPr>
            <w:r w:rsidRPr="004D46AC">
              <w:rPr>
                <w:color w:val="000000"/>
                <w:szCs w:val="21"/>
              </w:rPr>
              <w:t xml:space="preserve">0.75 </w:t>
            </w:r>
          </w:p>
        </w:tc>
        <w:tc>
          <w:tcPr>
            <w:tcW w:w="1704" w:type="dxa"/>
            <w:vAlign w:val="center"/>
          </w:tcPr>
          <w:p w14:paraId="0CA4D24D" w14:textId="77777777" w:rsidR="007075D9" w:rsidRPr="004D46AC" w:rsidRDefault="007075D9" w:rsidP="002C5F6E">
            <w:pPr>
              <w:spacing w:line="240" w:lineRule="auto"/>
              <w:ind w:firstLine="0"/>
            </w:pPr>
            <w:r w:rsidRPr="004D46AC">
              <w:rPr>
                <w:color w:val="000000"/>
                <w:szCs w:val="21"/>
              </w:rPr>
              <w:t xml:space="preserve">0.39 </w:t>
            </w:r>
          </w:p>
        </w:tc>
        <w:tc>
          <w:tcPr>
            <w:tcW w:w="1705" w:type="dxa"/>
            <w:vAlign w:val="center"/>
          </w:tcPr>
          <w:p w14:paraId="2A248E32" w14:textId="77777777" w:rsidR="007075D9" w:rsidRPr="004D46AC" w:rsidRDefault="007075D9" w:rsidP="002C5F6E">
            <w:pPr>
              <w:spacing w:line="240" w:lineRule="auto"/>
              <w:ind w:firstLine="0"/>
            </w:pPr>
            <w:r w:rsidRPr="004D46AC">
              <w:rPr>
                <w:color w:val="000000"/>
                <w:szCs w:val="21"/>
              </w:rPr>
              <w:t xml:space="preserve">1.11 </w:t>
            </w:r>
          </w:p>
        </w:tc>
        <w:tc>
          <w:tcPr>
            <w:tcW w:w="1705" w:type="dxa"/>
            <w:vAlign w:val="center"/>
          </w:tcPr>
          <w:p w14:paraId="576FCCCF"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FC227F2" w14:textId="77777777">
        <w:tc>
          <w:tcPr>
            <w:tcW w:w="1704" w:type="dxa"/>
            <w:vAlign w:val="center"/>
          </w:tcPr>
          <w:p w14:paraId="6352EB18" w14:textId="77777777" w:rsidR="007075D9" w:rsidRPr="004D46AC" w:rsidRDefault="007075D9" w:rsidP="002C5F6E">
            <w:pPr>
              <w:spacing w:line="240" w:lineRule="auto"/>
              <w:ind w:firstLine="0"/>
            </w:pPr>
            <w:r w:rsidRPr="004D46AC">
              <w:rPr>
                <w:color w:val="000000"/>
              </w:rPr>
              <w:t>TR9--TR18</w:t>
            </w:r>
          </w:p>
        </w:tc>
        <w:tc>
          <w:tcPr>
            <w:tcW w:w="1704" w:type="dxa"/>
            <w:vAlign w:val="center"/>
          </w:tcPr>
          <w:p w14:paraId="7F11DFF1" w14:textId="77777777" w:rsidR="007075D9" w:rsidRPr="004D46AC" w:rsidRDefault="007075D9" w:rsidP="002C5F6E">
            <w:pPr>
              <w:spacing w:line="240" w:lineRule="auto"/>
              <w:ind w:firstLine="0"/>
            </w:pPr>
            <w:r w:rsidRPr="004D46AC">
              <w:rPr>
                <w:color w:val="000000"/>
                <w:szCs w:val="21"/>
              </w:rPr>
              <w:t xml:space="preserve">0.73 </w:t>
            </w:r>
          </w:p>
        </w:tc>
        <w:tc>
          <w:tcPr>
            <w:tcW w:w="1704" w:type="dxa"/>
            <w:vAlign w:val="center"/>
          </w:tcPr>
          <w:p w14:paraId="6BC913CA"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1C091450" w14:textId="77777777" w:rsidR="007075D9" w:rsidRPr="004D46AC" w:rsidRDefault="007075D9" w:rsidP="002C5F6E">
            <w:pPr>
              <w:spacing w:line="240" w:lineRule="auto"/>
              <w:ind w:firstLine="0"/>
            </w:pPr>
            <w:r w:rsidRPr="004D46AC">
              <w:rPr>
                <w:color w:val="000000"/>
                <w:szCs w:val="21"/>
              </w:rPr>
              <w:t xml:space="preserve">1.10 </w:t>
            </w:r>
          </w:p>
        </w:tc>
        <w:tc>
          <w:tcPr>
            <w:tcW w:w="1705" w:type="dxa"/>
            <w:vAlign w:val="center"/>
          </w:tcPr>
          <w:p w14:paraId="235CF225"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6D11352F" w14:textId="77777777">
        <w:tc>
          <w:tcPr>
            <w:tcW w:w="1704" w:type="dxa"/>
            <w:vAlign w:val="center"/>
          </w:tcPr>
          <w:p w14:paraId="168332BA" w14:textId="77777777" w:rsidR="007075D9" w:rsidRPr="004D46AC" w:rsidRDefault="007075D9" w:rsidP="002C5F6E">
            <w:pPr>
              <w:spacing w:line="240" w:lineRule="auto"/>
              <w:ind w:firstLine="0"/>
            </w:pPr>
            <w:r w:rsidRPr="004D46AC">
              <w:rPr>
                <w:color w:val="000000"/>
              </w:rPr>
              <w:t>TR26--TR34</w:t>
            </w:r>
          </w:p>
        </w:tc>
        <w:tc>
          <w:tcPr>
            <w:tcW w:w="1704" w:type="dxa"/>
            <w:vAlign w:val="center"/>
          </w:tcPr>
          <w:p w14:paraId="423DCBCF" w14:textId="77777777" w:rsidR="007075D9" w:rsidRPr="004D46AC" w:rsidRDefault="007075D9" w:rsidP="002C5F6E">
            <w:pPr>
              <w:spacing w:line="240" w:lineRule="auto"/>
              <w:ind w:firstLine="0"/>
            </w:pPr>
            <w:r w:rsidRPr="004D46AC">
              <w:rPr>
                <w:color w:val="000000"/>
                <w:szCs w:val="21"/>
              </w:rPr>
              <w:t xml:space="preserve">0.72 </w:t>
            </w:r>
          </w:p>
        </w:tc>
        <w:tc>
          <w:tcPr>
            <w:tcW w:w="1704" w:type="dxa"/>
            <w:vAlign w:val="center"/>
          </w:tcPr>
          <w:p w14:paraId="57C08D8E"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110353C2" w14:textId="77777777" w:rsidR="007075D9" w:rsidRPr="004D46AC" w:rsidRDefault="007075D9" w:rsidP="002C5F6E">
            <w:pPr>
              <w:spacing w:line="240" w:lineRule="auto"/>
              <w:ind w:firstLine="0"/>
            </w:pPr>
            <w:r w:rsidRPr="004D46AC">
              <w:rPr>
                <w:color w:val="000000"/>
                <w:szCs w:val="21"/>
              </w:rPr>
              <w:t xml:space="preserve">1.04 </w:t>
            </w:r>
          </w:p>
        </w:tc>
        <w:tc>
          <w:tcPr>
            <w:tcW w:w="1705" w:type="dxa"/>
            <w:vAlign w:val="center"/>
          </w:tcPr>
          <w:p w14:paraId="47B104C8"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6AC8E57" w14:textId="77777777">
        <w:tc>
          <w:tcPr>
            <w:tcW w:w="1704" w:type="dxa"/>
            <w:vAlign w:val="center"/>
          </w:tcPr>
          <w:p w14:paraId="483245AF" w14:textId="77777777" w:rsidR="007075D9" w:rsidRPr="004D46AC" w:rsidRDefault="007075D9" w:rsidP="002C5F6E">
            <w:pPr>
              <w:spacing w:line="240" w:lineRule="auto"/>
              <w:ind w:firstLine="0"/>
            </w:pPr>
            <w:r w:rsidRPr="004D46AC">
              <w:rPr>
                <w:color w:val="000000"/>
              </w:rPr>
              <w:t>TR7--TR19</w:t>
            </w:r>
          </w:p>
        </w:tc>
        <w:tc>
          <w:tcPr>
            <w:tcW w:w="1704" w:type="dxa"/>
            <w:vAlign w:val="center"/>
          </w:tcPr>
          <w:p w14:paraId="4BA81CEC" w14:textId="77777777" w:rsidR="007075D9" w:rsidRPr="004D46AC" w:rsidRDefault="007075D9" w:rsidP="002C5F6E">
            <w:pPr>
              <w:spacing w:line="240" w:lineRule="auto"/>
              <w:ind w:firstLine="0"/>
            </w:pPr>
            <w:r w:rsidRPr="004D46AC">
              <w:rPr>
                <w:color w:val="000000"/>
                <w:szCs w:val="21"/>
              </w:rPr>
              <w:t xml:space="preserve">0.67 </w:t>
            </w:r>
          </w:p>
        </w:tc>
        <w:tc>
          <w:tcPr>
            <w:tcW w:w="1704" w:type="dxa"/>
            <w:vAlign w:val="center"/>
          </w:tcPr>
          <w:p w14:paraId="0B6A551E"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0950090A" w14:textId="77777777" w:rsidR="007075D9" w:rsidRPr="004D46AC" w:rsidRDefault="007075D9" w:rsidP="002C5F6E">
            <w:pPr>
              <w:spacing w:line="240" w:lineRule="auto"/>
              <w:ind w:firstLine="0"/>
            </w:pPr>
            <w:r w:rsidRPr="004D46AC">
              <w:rPr>
                <w:color w:val="000000"/>
                <w:szCs w:val="21"/>
              </w:rPr>
              <w:t xml:space="preserve">1.02 </w:t>
            </w:r>
          </w:p>
        </w:tc>
        <w:tc>
          <w:tcPr>
            <w:tcW w:w="1705" w:type="dxa"/>
            <w:vAlign w:val="center"/>
          </w:tcPr>
          <w:p w14:paraId="5E776D6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40C13B4" w14:textId="77777777">
        <w:tc>
          <w:tcPr>
            <w:tcW w:w="1704" w:type="dxa"/>
            <w:vAlign w:val="center"/>
          </w:tcPr>
          <w:p w14:paraId="44DD607E" w14:textId="77777777" w:rsidR="007075D9" w:rsidRPr="004D46AC" w:rsidRDefault="007075D9" w:rsidP="002C5F6E">
            <w:pPr>
              <w:spacing w:line="240" w:lineRule="auto"/>
              <w:ind w:firstLine="0"/>
            </w:pPr>
            <w:r w:rsidRPr="004D46AC">
              <w:rPr>
                <w:color w:val="000000"/>
              </w:rPr>
              <w:t>TR17--TR29</w:t>
            </w:r>
          </w:p>
        </w:tc>
        <w:tc>
          <w:tcPr>
            <w:tcW w:w="1704" w:type="dxa"/>
            <w:vAlign w:val="center"/>
          </w:tcPr>
          <w:p w14:paraId="7BCBA726" w14:textId="77777777" w:rsidR="007075D9" w:rsidRPr="004D46AC" w:rsidRDefault="007075D9" w:rsidP="002C5F6E">
            <w:pPr>
              <w:spacing w:line="240" w:lineRule="auto"/>
              <w:ind w:firstLine="0"/>
            </w:pPr>
            <w:r w:rsidRPr="004D46AC">
              <w:rPr>
                <w:color w:val="000000"/>
                <w:szCs w:val="21"/>
              </w:rPr>
              <w:t xml:space="preserve">0.66 </w:t>
            </w:r>
          </w:p>
        </w:tc>
        <w:tc>
          <w:tcPr>
            <w:tcW w:w="1704" w:type="dxa"/>
            <w:vAlign w:val="center"/>
          </w:tcPr>
          <w:p w14:paraId="4ED853CA" w14:textId="77777777" w:rsidR="007075D9" w:rsidRPr="004D46AC" w:rsidRDefault="007075D9" w:rsidP="002C5F6E">
            <w:pPr>
              <w:spacing w:line="240" w:lineRule="auto"/>
              <w:ind w:firstLine="0"/>
            </w:pPr>
            <w:r w:rsidRPr="004D46AC">
              <w:rPr>
                <w:color w:val="000000"/>
                <w:szCs w:val="21"/>
              </w:rPr>
              <w:t xml:space="preserve">0.28 </w:t>
            </w:r>
          </w:p>
        </w:tc>
        <w:tc>
          <w:tcPr>
            <w:tcW w:w="1705" w:type="dxa"/>
            <w:vAlign w:val="center"/>
          </w:tcPr>
          <w:p w14:paraId="5C13574E" w14:textId="77777777" w:rsidR="007075D9" w:rsidRPr="004D46AC" w:rsidRDefault="007075D9" w:rsidP="002C5F6E">
            <w:pPr>
              <w:spacing w:line="240" w:lineRule="auto"/>
              <w:ind w:firstLine="0"/>
            </w:pPr>
            <w:r w:rsidRPr="004D46AC">
              <w:rPr>
                <w:color w:val="000000"/>
                <w:szCs w:val="21"/>
              </w:rPr>
              <w:t xml:space="preserve">1.05 </w:t>
            </w:r>
          </w:p>
        </w:tc>
        <w:tc>
          <w:tcPr>
            <w:tcW w:w="1705" w:type="dxa"/>
            <w:vAlign w:val="center"/>
          </w:tcPr>
          <w:p w14:paraId="6D092CE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655DF315" w14:textId="77777777">
        <w:tc>
          <w:tcPr>
            <w:tcW w:w="1704" w:type="dxa"/>
            <w:vAlign w:val="center"/>
          </w:tcPr>
          <w:p w14:paraId="2E5C9105" w14:textId="77777777" w:rsidR="007075D9" w:rsidRPr="004D46AC" w:rsidRDefault="007075D9" w:rsidP="002C5F6E">
            <w:pPr>
              <w:spacing w:line="240" w:lineRule="auto"/>
              <w:ind w:firstLine="0"/>
            </w:pPr>
            <w:r w:rsidRPr="004D46AC">
              <w:rPr>
                <w:color w:val="000000"/>
              </w:rPr>
              <w:t>TR5--TR15</w:t>
            </w:r>
          </w:p>
        </w:tc>
        <w:tc>
          <w:tcPr>
            <w:tcW w:w="1704" w:type="dxa"/>
            <w:vAlign w:val="center"/>
          </w:tcPr>
          <w:p w14:paraId="3034423C" w14:textId="77777777" w:rsidR="007075D9" w:rsidRPr="004D46AC" w:rsidRDefault="007075D9" w:rsidP="002C5F6E">
            <w:pPr>
              <w:spacing w:line="240" w:lineRule="auto"/>
              <w:ind w:firstLine="0"/>
            </w:pPr>
            <w:r w:rsidRPr="004D46AC">
              <w:rPr>
                <w:color w:val="000000"/>
                <w:szCs w:val="21"/>
              </w:rPr>
              <w:t xml:space="preserve">0.66 </w:t>
            </w:r>
          </w:p>
        </w:tc>
        <w:tc>
          <w:tcPr>
            <w:tcW w:w="1704" w:type="dxa"/>
            <w:vAlign w:val="center"/>
          </w:tcPr>
          <w:p w14:paraId="5FDDD455"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5C27A73B" w14:textId="77777777" w:rsidR="007075D9" w:rsidRPr="004D46AC" w:rsidRDefault="007075D9" w:rsidP="002C5F6E">
            <w:pPr>
              <w:spacing w:line="240" w:lineRule="auto"/>
              <w:ind w:firstLine="0"/>
            </w:pPr>
            <w:r w:rsidRPr="004D46AC">
              <w:rPr>
                <w:color w:val="000000"/>
                <w:szCs w:val="21"/>
              </w:rPr>
              <w:t xml:space="preserve">1.02 </w:t>
            </w:r>
          </w:p>
        </w:tc>
        <w:tc>
          <w:tcPr>
            <w:tcW w:w="1705" w:type="dxa"/>
            <w:vAlign w:val="center"/>
          </w:tcPr>
          <w:p w14:paraId="784760EA"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4103A61" w14:textId="77777777">
        <w:tc>
          <w:tcPr>
            <w:tcW w:w="1704" w:type="dxa"/>
            <w:vAlign w:val="center"/>
          </w:tcPr>
          <w:p w14:paraId="6043530E" w14:textId="77777777" w:rsidR="007075D9" w:rsidRPr="004D46AC" w:rsidRDefault="007075D9" w:rsidP="002C5F6E">
            <w:pPr>
              <w:spacing w:line="240" w:lineRule="auto"/>
              <w:ind w:firstLine="0"/>
            </w:pPr>
            <w:r w:rsidRPr="004D46AC">
              <w:rPr>
                <w:color w:val="000000"/>
              </w:rPr>
              <w:t>TR3--TR5</w:t>
            </w:r>
          </w:p>
        </w:tc>
        <w:tc>
          <w:tcPr>
            <w:tcW w:w="1704" w:type="dxa"/>
            <w:vAlign w:val="center"/>
          </w:tcPr>
          <w:p w14:paraId="11D6258B" w14:textId="77777777" w:rsidR="007075D9" w:rsidRPr="004D46AC" w:rsidRDefault="007075D9" w:rsidP="002C5F6E">
            <w:pPr>
              <w:spacing w:line="240" w:lineRule="auto"/>
              <w:ind w:firstLine="0"/>
            </w:pPr>
            <w:r w:rsidRPr="004D46AC">
              <w:rPr>
                <w:color w:val="000000"/>
                <w:szCs w:val="21"/>
              </w:rPr>
              <w:t xml:space="preserve">0.64 </w:t>
            </w:r>
          </w:p>
        </w:tc>
        <w:tc>
          <w:tcPr>
            <w:tcW w:w="1704" w:type="dxa"/>
            <w:vAlign w:val="center"/>
          </w:tcPr>
          <w:p w14:paraId="5F6AF6B9"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2587FE03" w14:textId="77777777" w:rsidR="007075D9" w:rsidRPr="004D46AC" w:rsidRDefault="007075D9" w:rsidP="002C5F6E">
            <w:pPr>
              <w:spacing w:line="240" w:lineRule="auto"/>
              <w:ind w:firstLine="0"/>
            </w:pPr>
            <w:r w:rsidRPr="004D46AC">
              <w:rPr>
                <w:color w:val="000000"/>
                <w:szCs w:val="21"/>
              </w:rPr>
              <w:t xml:space="preserve">0.99 </w:t>
            </w:r>
          </w:p>
        </w:tc>
        <w:tc>
          <w:tcPr>
            <w:tcW w:w="1705" w:type="dxa"/>
            <w:vAlign w:val="center"/>
          </w:tcPr>
          <w:p w14:paraId="6D2874A8"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4AB4DD0" w14:textId="77777777">
        <w:tc>
          <w:tcPr>
            <w:tcW w:w="1704" w:type="dxa"/>
            <w:vAlign w:val="center"/>
          </w:tcPr>
          <w:p w14:paraId="3D9C8410" w14:textId="77777777" w:rsidR="007075D9" w:rsidRPr="004D46AC" w:rsidRDefault="007075D9" w:rsidP="002C5F6E">
            <w:pPr>
              <w:spacing w:line="240" w:lineRule="auto"/>
              <w:ind w:firstLine="0"/>
            </w:pPr>
            <w:r w:rsidRPr="004D46AC">
              <w:rPr>
                <w:color w:val="000000"/>
              </w:rPr>
              <w:t>TR13--TR14</w:t>
            </w:r>
          </w:p>
        </w:tc>
        <w:tc>
          <w:tcPr>
            <w:tcW w:w="1704" w:type="dxa"/>
            <w:vAlign w:val="center"/>
          </w:tcPr>
          <w:p w14:paraId="38833813" w14:textId="77777777" w:rsidR="007075D9" w:rsidRPr="004D46AC" w:rsidRDefault="007075D9" w:rsidP="002C5F6E">
            <w:pPr>
              <w:spacing w:line="240" w:lineRule="auto"/>
              <w:ind w:firstLine="0"/>
            </w:pPr>
            <w:r w:rsidRPr="004D46AC">
              <w:rPr>
                <w:color w:val="000000"/>
                <w:szCs w:val="21"/>
              </w:rPr>
              <w:t xml:space="preserve">0.64 </w:t>
            </w:r>
          </w:p>
        </w:tc>
        <w:tc>
          <w:tcPr>
            <w:tcW w:w="1704" w:type="dxa"/>
            <w:vAlign w:val="center"/>
          </w:tcPr>
          <w:p w14:paraId="1D0AF7B6"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48CDCD8B" w14:textId="77777777" w:rsidR="007075D9" w:rsidRPr="004D46AC" w:rsidRDefault="007075D9" w:rsidP="002C5F6E">
            <w:pPr>
              <w:spacing w:line="240" w:lineRule="auto"/>
              <w:ind w:firstLine="0"/>
            </w:pPr>
            <w:r w:rsidRPr="004D46AC">
              <w:rPr>
                <w:color w:val="000000"/>
                <w:szCs w:val="21"/>
              </w:rPr>
              <w:t xml:space="preserve">0.94 </w:t>
            </w:r>
          </w:p>
        </w:tc>
        <w:tc>
          <w:tcPr>
            <w:tcW w:w="1705" w:type="dxa"/>
            <w:vAlign w:val="center"/>
          </w:tcPr>
          <w:p w14:paraId="1A5331D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97882C6" w14:textId="77777777">
        <w:tc>
          <w:tcPr>
            <w:tcW w:w="1704" w:type="dxa"/>
            <w:vAlign w:val="center"/>
          </w:tcPr>
          <w:p w14:paraId="3AD4D617" w14:textId="77777777" w:rsidR="007075D9" w:rsidRPr="004D46AC" w:rsidRDefault="007075D9" w:rsidP="002C5F6E">
            <w:pPr>
              <w:spacing w:line="240" w:lineRule="auto"/>
              <w:ind w:firstLine="0"/>
            </w:pPr>
            <w:r w:rsidRPr="004D46AC">
              <w:rPr>
                <w:color w:val="000000"/>
              </w:rPr>
              <w:t>TR15--TR26</w:t>
            </w:r>
          </w:p>
        </w:tc>
        <w:tc>
          <w:tcPr>
            <w:tcW w:w="1704" w:type="dxa"/>
            <w:vAlign w:val="center"/>
          </w:tcPr>
          <w:p w14:paraId="12260CAC" w14:textId="77777777" w:rsidR="007075D9" w:rsidRPr="004D46AC" w:rsidRDefault="007075D9" w:rsidP="002C5F6E">
            <w:pPr>
              <w:spacing w:line="240" w:lineRule="auto"/>
              <w:ind w:firstLine="0"/>
            </w:pPr>
            <w:r w:rsidRPr="004D46AC">
              <w:rPr>
                <w:color w:val="000000"/>
                <w:szCs w:val="21"/>
              </w:rPr>
              <w:t xml:space="preserve">0.64 </w:t>
            </w:r>
          </w:p>
        </w:tc>
        <w:tc>
          <w:tcPr>
            <w:tcW w:w="1704" w:type="dxa"/>
            <w:vAlign w:val="center"/>
          </w:tcPr>
          <w:p w14:paraId="58C0CD91" w14:textId="77777777" w:rsidR="007075D9" w:rsidRPr="004D46AC" w:rsidRDefault="007075D9" w:rsidP="002C5F6E">
            <w:pPr>
              <w:spacing w:line="240" w:lineRule="auto"/>
              <w:ind w:firstLine="0"/>
            </w:pPr>
            <w:r w:rsidRPr="004D46AC">
              <w:rPr>
                <w:color w:val="000000"/>
                <w:szCs w:val="21"/>
              </w:rPr>
              <w:t xml:space="preserve">0.29 </w:t>
            </w:r>
          </w:p>
        </w:tc>
        <w:tc>
          <w:tcPr>
            <w:tcW w:w="1705" w:type="dxa"/>
            <w:vAlign w:val="center"/>
          </w:tcPr>
          <w:p w14:paraId="779B1E85" w14:textId="77777777" w:rsidR="007075D9" w:rsidRPr="004D46AC" w:rsidRDefault="007075D9" w:rsidP="002C5F6E">
            <w:pPr>
              <w:spacing w:line="240" w:lineRule="auto"/>
              <w:ind w:firstLine="0"/>
            </w:pPr>
            <w:r w:rsidRPr="004D46AC">
              <w:rPr>
                <w:color w:val="000000"/>
                <w:szCs w:val="21"/>
              </w:rPr>
              <w:t xml:space="preserve">0.98 </w:t>
            </w:r>
          </w:p>
        </w:tc>
        <w:tc>
          <w:tcPr>
            <w:tcW w:w="1705" w:type="dxa"/>
            <w:vAlign w:val="center"/>
          </w:tcPr>
          <w:p w14:paraId="14EED545"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E4E28B4" w14:textId="77777777">
        <w:tc>
          <w:tcPr>
            <w:tcW w:w="1704" w:type="dxa"/>
            <w:vAlign w:val="center"/>
          </w:tcPr>
          <w:p w14:paraId="0F3D9D15" w14:textId="77777777" w:rsidR="007075D9" w:rsidRPr="004D46AC" w:rsidRDefault="007075D9" w:rsidP="002C5F6E">
            <w:pPr>
              <w:spacing w:line="240" w:lineRule="auto"/>
              <w:ind w:firstLine="0"/>
            </w:pPr>
            <w:r w:rsidRPr="004D46AC">
              <w:rPr>
                <w:color w:val="000000"/>
              </w:rPr>
              <w:t>TR14--TR22</w:t>
            </w:r>
          </w:p>
        </w:tc>
        <w:tc>
          <w:tcPr>
            <w:tcW w:w="1704" w:type="dxa"/>
            <w:vAlign w:val="center"/>
          </w:tcPr>
          <w:p w14:paraId="49BFD61E" w14:textId="77777777" w:rsidR="007075D9" w:rsidRPr="004D46AC" w:rsidRDefault="007075D9" w:rsidP="002C5F6E">
            <w:pPr>
              <w:spacing w:line="240" w:lineRule="auto"/>
              <w:ind w:firstLine="0"/>
            </w:pPr>
            <w:r w:rsidRPr="004D46AC">
              <w:rPr>
                <w:color w:val="000000"/>
                <w:szCs w:val="21"/>
              </w:rPr>
              <w:t xml:space="preserve">0.64 </w:t>
            </w:r>
          </w:p>
        </w:tc>
        <w:tc>
          <w:tcPr>
            <w:tcW w:w="1704" w:type="dxa"/>
            <w:vAlign w:val="center"/>
          </w:tcPr>
          <w:p w14:paraId="5F860C2C"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348DD491" w14:textId="77777777" w:rsidR="007075D9" w:rsidRPr="004D46AC" w:rsidRDefault="007075D9" w:rsidP="002C5F6E">
            <w:pPr>
              <w:spacing w:line="240" w:lineRule="auto"/>
              <w:ind w:firstLine="0"/>
            </w:pPr>
            <w:r w:rsidRPr="004D46AC">
              <w:rPr>
                <w:color w:val="000000"/>
                <w:szCs w:val="21"/>
              </w:rPr>
              <w:t xml:space="preserve">0.98 </w:t>
            </w:r>
          </w:p>
        </w:tc>
        <w:tc>
          <w:tcPr>
            <w:tcW w:w="1705" w:type="dxa"/>
            <w:vAlign w:val="center"/>
          </w:tcPr>
          <w:p w14:paraId="40209DAF"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CE707ED" w14:textId="77777777">
        <w:tc>
          <w:tcPr>
            <w:tcW w:w="1704" w:type="dxa"/>
            <w:vAlign w:val="center"/>
          </w:tcPr>
          <w:p w14:paraId="577C4AF8" w14:textId="77777777" w:rsidR="007075D9" w:rsidRPr="004D46AC" w:rsidRDefault="007075D9" w:rsidP="002C5F6E">
            <w:pPr>
              <w:spacing w:line="240" w:lineRule="auto"/>
              <w:ind w:firstLine="0"/>
            </w:pPr>
            <w:r w:rsidRPr="004D46AC">
              <w:rPr>
                <w:color w:val="000000"/>
              </w:rPr>
              <w:t>TR23--TR24</w:t>
            </w:r>
          </w:p>
        </w:tc>
        <w:tc>
          <w:tcPr>
            <w:tcW w:w="1704" w:type="dxa"/>
            <w:vAlign w:val="center"/>
          </w:tcPr>
          <w:p w14:paraId="5654F42B" w14:textId="77777777" w:rsidR="007075D9" w:rsidRPr="004D46AC" w:rsidRDefault="007075D9" w:rsidP="002C5F6E">
            <w:pPr>
              <w:spacing w:line="240" w:lineRule="auto"/>
              <w:ind w:firstLine="0"/>
            </w:pPr>
            <w:r w:rsidRPr="004D46AC">
              <w:rPr>
                <w:color w:val="000000"/>
                <w:szCs w:val="21"/>
              </w:rPr>
              <w:t xml:space="preserve">0.60 </w:t>
            </w:r>
          </w:p>
        </w:tc>
        <w:tc>
          <w:tcPr>
            <w:tcW w:w="1704" w:type="dxa"/>
            <w:vAlign w:val="center"/>
          </w:tcPr>
          <w:p w14:paraId="1427FAED"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5CD21FC0" w14:textId="77777777" w:rsidR="007075D9" w:rsidRPr="004D46AC" w:rsidRDefault="007075D9" w:rsidP="002C5F6E">
            <w:pPr>
              <w:spacing w:line="240" w:lineRule="auto"/>
              <w:ind w:firstLine="0"/>
            </w:pPr>
            <w:r w:rsidRPr="004D46AC">
              <w:rPr>
                <w:color w:val="000000"/>
                <w:szCs w:val="21"/>
              </w:rPr>
              <w:t xml:space="preserve">0.94 </w:t>
            </w:r>
          </w:p>
        </w:tc>
        <w:tc>
          <w:tcPr>
            <w:tcW w:w="1705" w:type="dxa"/>
            <w:vAlign w:val="center"/>
          </w:tcPr>
          <w:p w14:paraId="0418F7CC"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52BB8608" w14:textId="77777777">
        <w:tc>
          <w:tcPr>
            <w:tcW w:w="1704" w:type="dxa"/>
            <w:vAlign w:val="center"/>
          </w:tcPr>
          <w:p w14:paraId="5627FF7D" w14:textId="77777777" w:rsidR="007075D9" w:rsidRPr="004D46AC" w:rsidRDefault="007075D9" w:rsidP="002C5F6E">
            <w:pPr>
              <w:spacing w:line="240" w:lineRule="auto"/>
              <w:ind w:firstLine="0"/>
            </w:pPr>
            <w:r w:rsidRPr="004D46AC">
              <w:rPr>
                <w:color w:val="000000"/>
              </w:rPr>
              <w:t>TR17--TR30</w:t>
            </w:r>
          </w:p>
        </w:tc>
        <w:tc>
          <w:tcPr>
            <w:tcW w:w="1704" w:type="dxa"/>
            <w:vAlign w:val="center"/>
          </w:tcPr>
          <w:p w14:paraId="578149EE" w14:textId="77777777" w:rsidR="007075D9" w:rsidRPr="004D46AC" w:rsidRDefault="007075D9" w:rsidP="002C5F6E">
            <w:pPr>
              <w:spacing w:line="240" w:lineRule="auto"/>
              <w:ind w:firstLine="0"/>
            </w:pPr>
            <w:r w:rsidRPr="004D46AC">
              <w:rPr>
                <w:color w:val="000000"/>
                <w:szCs w:val="21"/>
              </w:rPr>
              <w:t xml:space="preserve">0.58 </w:t>
            </w:r>
          </w:p>
        </w:tc>
        <w:tc>
          <w:tcPr>
            <w:tcW w:w="1704" w:type="dxa"/>
            <w:vAlign w:val="center"/>
          </w:tcPr>
          <w:p w14:paraId="15FE2267" w14:textId="77777777" w:rsidR="007075D9" w:rsidRPr="004D46AC" w:rsidRDefault="007075D9" w:rsidP="002C5F6E">
            <w:pPr>
              <w:spacing w:line="240" w:lineRule="auto"/>
              <w:ind w:firstLine="0"/>
            </w:pPr>
            <w:r w:rsidRPr="004D46AC">
              <w:rPr>
                <w:color w:val="000000"/>
                <w:szCs w:val="21"/>
              </w:rPr>
              <w:t xml:space="preserve">0.19 </w:t>
            </w:r>
          </w:p>
        </w:tc>
        <w:tc>
          <w:tcPr>
            <w:tcW w:w="1705" w:type="dxa"/>
            <w:vAlign w:val="center"/>
          </w:tcPr>
          <w:p w14:paraId="517A9552" w14:textId="77777777" w:rsidR="007075D9" w:rsidRPr="004D46AC" w:rsidRDefault="007075D9" w:rsidP="002C5F6E">
            <w:pPr>
              <w:spacing w:line="240" w:lineRule="auto"/>
              <w:ind w:firstLine="0"/>
            </w:pPr>
            <w:r w:rsidRPr="004D46AC">
              <w:rPr>
                <w:color w:val="000000"/>
                <w:szCs w:val="21"/>
              </w:rPr>
              <w:t xml:space="preserve">0.97 </w:t>
            </w:r>
          </w:p>
        </w:tc>
        <w:tc>
          <w:tcPr>
            <w:tcW w:w="1705" w:type="dxa"/>
            <w:vAlign w:val="center"/>
          </w:tcPr>
          <w:p w14:paraId="66BF44B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5AA7ABD" w14:textId="77777777">
        <w:tc>
          <w:tcPr>
            <w:tcW w:w="1704" w:type="dxa"/>
            <w:vAlign w:val="center"/>
          </w:tcPr>
          <w:p w14:paraId="7F11B62C" w14:textId="77777777" w:rsidR="007075D9" w:rsidRPr="004D46AC" w:rsidRDefault="007075D9" w:rsidP="002C5F6E">
            <w:pPr>
              <w:spacing w:line="240" w:lineRule="auto"/>
              <w:ind w:firstLine="0"/>
            </w:pPr>
            <w:r w:rsidRPr="004D46AC">
              <w:rPr>
                <w:color w:val="000000"/>
              </w:rPr>
              <w:t>TR24--TR37</w:t>
            </w:r>
          </w:p>
        </w:tc>
        <w:tc>
          <w:tcPr>
            <w:tcW w:w="1704" w:type="dxa"/>
            <w:vAlign w:val="center"/>
          </w:tcPr>
          <w:p w14:paraId="6586AAF2" w14:textId="77777777" w:rsidR="007075D9" w:rsidRPr="004D46AC" w:rsidRDefault="007075D9" w:rsidP="002C5F6E">
            <w:pPr>
              <w:spacing w:line="240" w:lineRule="auto"/>
              <w:ind w:firstLine="0"/>
            </w:pPr>
            <w:r w:rsidRPr="004D46AC">
              <w:rPr>
                <w:color w:val="000000"/>
                <w:szCs w:val="21"/>
              </w:rPr>
              <w:t xml:space="preserve">0.54 </w:t>
            </w:r>
          </w:p>
        </w:tc>
        <w:tc>
          <w:tcPr>
            <w:tcW w:w="1704" w:type="dxa"/>
            <w:vAlign w:val="center"/>
          </w:tcPr>
          <w:p w14:paraId="7A58F494"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41ABDCD5" w14:textId="77777777" w:rsidR="007075D9" w:rsidRPr="004D46AC" w:rsidRDefault="007075D9" w:rsidP="002C5F6E">
            <w:pPr>
              <w:spacing w:line="240" w:lineRule="auto"/>
              <w:ind w:firstLine="0"/>
            </w:pPr>
            <w:r w:rsidRPr="004D46AC">
              <w:rPr>
                <w:color w:val="000000"/>
                <w:szCs w:val="21"/>
              </w:rPr>
              <w:t xml:space="preserve">0.92 </w:t>
            </w:r>
          </w:p>
        </w:tc>
        <w:tc>
          <w:tcPr>
            <w:tcW w:w="1705" w:type="dxa"/>
            <w:vAlign w:val="center"/>
          </w:tcPr>
          <w:p w14:paraId="7943B60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8E5BFE5" w14:textId="77777777">
        <w:tc>
          <w:tcPr>
            <w:tcW w:w="1704" w:type="dxa"/>
            <w:vAlign w:val="center"/>
          </w:tcPr>
          <w:p w14:paraId="683382FE" w14:textId="77777777" w:rsidR="007075D9" w:rsidRPr="004D46AC" w:rsidRDefault="007075D9" w:rsidP="002C5F6E">
            <w:pPr>
              <w:spacing w:line="240" w:lineRule="auto"/>
              <w:ind w:firstLine="0"/>
            </w:pPr>
            <w:r w:rsidRPr="004D46AC">
              <w:rPr>
                <w:color w:val="000000"/>
              </w:rPr>
              <w:t>TR20--TR25</w:t>
            </w:r>
          </w:p>
        </w:tc>
        <w:tc>
          <w:tcPr>
            <w:tcW w:w="1704" w:type="dxa"/>
            <w:vAlign w:val="center"/>
          </w:tcPr>
          <w:p w14:paraId="1B353E6A" w14:textId="77777777" w:rsidR="007075D9" w:rsidRPr="004D46AC" w:rsidRDefault="007075D9" w:rsidP="002C5F6E">
            <w:pPr>
              <w:spacing w:line="240" w:lineRule="auto"/>
              <w:ind w:firstLine="0"/>
            </w:pPr>
            <w:r w:rsidRPr="004D46AC">
              <w:rPr>
                <w:color w:val="000000"/>
                <w:szCs w:val="21"/>
              </w:rPr>
              <w:t xml:space="preserve">0.54 </w:t>
            </w:r>
          </w:p>
        </w:tc>
        <w:tc>
          <w:tcPr>
            <w:tcW w:w="1704" w:type="dxa"/>
            <w:vAlign w:val="center"/>
          </w:tcPr>
          <w:p w14:paraId="64A830D0" w14:textId="77777777" w:rsidR="007075D9" w:rsidRPr="004D46AC" w:rsidRDefault="007075D9" w:rsidP="002C5F6E">
            <w:pPr>
              <w:spacing w:line="240" w:lineRule="auto"/>
              <w:ind w:firstLine="0"/>
            </w:pPr>
            <w:r w:rsidRPr="004D46AC">
              <w:rPr>
                <w:color w:val="000000"/>
                <w:szCs w:val="21"/>
              </w:rPr>
              <w:t xml:space="preserve">0.22 </w:t>
            </w:r>
          </w:p>
        </w:tc>
        <w:tc>
          <w:tcPr>
            <w:tcW w:w="1705" w:type="dxa"/>
            <w:vAlign w:val="center"/>
          </w:tcPr>
          <w:p w14:paraId="23658045" w14:textId="77777777" w:rsidR="007075D9" w:rsidRPr="004D46AC" w:rsidRDefault="007075D9" w:rsidP="002C5F6E">
            <w:pPr>
              <w:spacing w:line="240" w:lineRule="auto"/>
              <w:ind w:firstLine="0"/>
            </w:pPr>
            <w:r w:rsidRPr="004D46AC">
              <w:rPr>
                <w:color w:val="000000"/>
                <w:szCs w:val="21"/>
              </w:rPr>
              <w:t xml:space="preserve">0.86 </w:t>
            </w:r>
          </w:p>
        </w:tc>
        <w:tc>
          <w:tcPr>
            <w:tcW w:w="1705" w:type="dxa"/>
            <w:vAlign w:val="center"/>
          </w:tcPr>
          <w:p w14:paraId="07F68F57"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6255AAE3" w14:textId="77777777">
        <w:tc>
          <w:tcPr>
            <w:tcW w:w="1704" w:type="dxa"/>
            <w:vAlign w:val="center"/>
          </w:tcPr>
          <w:p w14:paraId="40FF6C03" w14:textId="77777777" w:rsidR="007075D9" w:rsidRPr="004D46AC" w:rsidRDefault="007075D9" w:rsidP="002C5F6E">
            <w:pPr>
              <w:spacing w:line="240" w:lineRule="auto"/>
              <w:ind w:firstLine="0"/>
            </w:pPr>
            <w:r w:rsidRPr="004D46AC">
              <w:rPr>
                <w:color w:val="000000"/>
              </w:rPr>
              <w:t>TR7--TR34</w:t>
            </w:r>
          </w:p>
        </w:tc>
        <w:tc>
          <w:tcPr>
            <w:tcW w:w="1704" w:type="dxa"/>
            <w:vAlign w:val="center"/>
          </w:tcPr>
          <w:p w14:paraId="21DF954B" w14:textId="77777777" w:rsidR="007075D9" w:rsidRPr="004D46AC" w:rsidRDefault="007075D9" w:rsidP="002C5F6E">
            <w:pPr>
              <w:spacing w:line="240" w:lineRule="auto"/>
              <w:ind w:firstLine="0"/>
            </w:pPr>
            <w:r w:rsidRPr="004D46AC">
              <w:rPr>
                <w:color w:val="000000"/>
                <w:szCs w:val="21"/>
              </w:rPr>
              <w:t xml:space="preserve">0.51 </w:t>
            </w:r>
          </w:p>
        </w:tc>
        <w:tc>
          <w:tcPr>
            <w:tcW w:w="1704" w:type="dxa"/>
            <w:vAlign w:val="center"/>
          </w:tcPr>
          <w:p w14:paraId="196F2ECC"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596305B3" w14:textId="77777777" w:rsidR="007075D9" w:rsidRPr="004D46AC" w:rsidRDefault="007075D9" w:rsidP="002C5F6E">
            <w:pPr>
              <w:spacing w:line="240" w:lineRule="auto"/>
              <w:ind w:firstLine="0"/>
            </w:pPr>
            <w:r w:rsidRPr="004D46AC">
              <w:rPr>
                <w:color w:val="000000"/>
                <w:szCs w:val="21"/>
              </w:rPr>
              <w:t xml:space="preserve">0.82 </w:t>
            </w:r>
          </w:p>
        </w:tc>
        <w:tc>
          <w:tcPr>
            <w:tcW w:w="1705" w:type="dxa"/>
            <w:vAlign w:val="center"/>
          </w:tcPr>
          <w:p w14:paraId="46DE89B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3B4BC8B" w14:textId="77777777">
        <w:tc>
          <w:tcPr>
            <w:tcW w:w="1704" w:type="dxa"/>
            <w:vAlign w:val="center"/>
          </w:tcPr>
          <w:p w14:paraId="0B89A0E8" w14:textId="77777777" w:rsidR="007075D9" w:rsidRPr="004D46AC" w:rsidRDefault="007075D9" w:rsidP="002C5F6E">
            <w:pPr>
              <w:spacing w:line="240" w:lineRule="auto"/>
              <w:ind w:firstLine="0"/>
            </w:pPr>
            <w:r w:rsidRPr="004D46AC">
              <w:rPr>
                <w:color w:val="000000"/>
              </w:rPr>
              <w:t>TR6--TR17</w:t>
            </w:r>
          </w:p>
        </w:tc>
        <w:tc>
          <w:tcPr>
            <w:tcW w:w="1704" w:type="dxa"/>
            <w:vAlign w:val="center"/>
          </w:tcPr>
          <w:p w14:paraId="39EEA0F9" w14:textId="77777777" w:rsidR="007075D9" w:rsidRPr="004D46AC" w:rsidRDefault="007075D9" w:rsidP="002C5F6E">
            <w:pPr>
              <w:spacing w:line="240" w:lineRule="auto"/>
              <w:ind w:firstLine="0"/>
            </w:pPr>
            <w:r w:rsidRPr="004D46AC">
              <w:rPr>
                <w:color w:val="000000"/>
                <w:szCs w:val="21"/>
              </w:rPr>
              <w:t xml:space="preserve">0.50 </w:t>
            </w:r>
          </w:p>
        </w:tc>
        <w:tc>
          <w:tcPr>
            <w:tcW w:w="1704" w:type="dxa"/>
            <w:vAlign w:val="center"/>
          </w:tcPr>
          <w:p w14:paraId="12A24F3F"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77C6CEBE" w14:textId="77777777" w:rsidR="007075D9" w:rsidRPr="004D46AC" w:rsidRDefault="007075D9" w:rsidP="002C5F6E">
            <w:pPr>
              <w:spacing w:line="240" w:lineRule="auto"/>
              <w:ind w:firstLine="0"/>
            </w:pPr>
            <w:r w:rsidRPr="004D46AC">
              <w:rPr>
                <w:color w:val="000000"/>
                <w:szCs w:val="21"/>
              </w:rPr>
              <w:t xml:space="preserve">0.86 </w:t>
            </w:r>
          </w:p>
        </w:tc>
        <w:tc>
          <w:tcPr>
            <w:tcW w:w="1705" w:type="dxa"/>
            <w:vAlign w:val="center"/>
          </w:tcPr>
          <w:p w14:paraId="20F64B55"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337D3351" w14:textId="77777777">
        <w:tc>
          <w:tcPr>
            <w:tcW w:w="1704" w:type="dxa"/>
            <w:vAlign w:val="center"/>
          </w:tcPr>
          <w:p w14:paraId="67B1F0F8" w14:textId="77777777" w:rsidR="007075D9" w:rsidRPr="004D46AC" w:rsidRDefault="007075D9" w:rsidP="002C5F6E">
            <w:pPr>
              <w:spacing w:line="240" w:lineRule="auto"/>
              <w:ind w:firstLine="0"/>
            </w:pPr>
            <w:r w:rsidRPr="004D46AC">
              <w:rPr>
                <w:color w:val="000000"/>
              </w:rPr>
              <w:t>TR3--TR19</w:t>
            </w:r>
          </w:p>
        </w:tc>
        <w:tc>
          <w:tcPr>
            <w:tcW w:w="1704" w:type="dxa"/>
            <w:vAlign w:val="center"/>
          </w:tcPr>
          <w:p w14:paraId="30763715" w14:textId="77777777" w:rsidR="007075D9" w:rsidRPr="004D46AC" w:rsidRDefault="007075D9" w:rsidP="002C5F6E">
            <w:pPr>
              <w:spacing w:line="240" w:lineRule="auto"/>
              <w:ind w:firstLine="0"/>
            </w:pPr>
            <w:r w:rsidRPr="004D46AC">
              <w:rPr>
                <w:color w:val="000000"/>
                <w:szCs w:val="21"/>
              </w:rPr>
              <w:t xml:space="preserve">0.49 </w:t>
            </w:r>
          </w:p>
        </w:tc>
        <w:tc>
          <w:tcPr>
            <w:tcW w:w="1704" w:type="dxa"/>
            <w:vAlign w:val="center"/>
          </w:tcPr>
          <w:p w14:paraId="422BE411"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28D925F0" w14:textId="77777777" w:rsidR="007075D9" w:rsidRPr="004D46AC" w:rsidRDefault="007075D9" w:rsidP="002C5F6E">
            <w:pPr>
              <w:spacing w:line="240" w:lineRule="auto"/>
              <w:ind w:firstLine="0"/>
            </w:pPr>
            <w:r w:rsidRPr="004D46AC">
              <w:rPr>
                <w:color w:val="000000"/>
                <w:szCs w:val="21"/>
              </w:rPr>
              <w:t xml:space="preserve">0.82 </w:t>
            </w:r>
          </w:p>
        </w:tc>
        <w:tc>
          <w:tcPr>
            <w:tcW w:w="1705" w:type="dxa"/>
            <w:vAlign w:val="center"/>
          </w:tcPr>
          <w:p w14:paraId="2D911FC9"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0DBF0F20" w14:textId="77777777">
        <w:tc>
          <w:tcPr>
            <w:tcW w:w="1704" w:type="dxa"/>
            <w:vAlign w:val="center"/>
          </w:tcPr>
          <w:p w14:paraId="65268756" w14:textId="77777777" w:rsidR="007075D9" w:rsidRPr="004D46AC" w:rsidRDefault="007075D9" w:rsidP="002C5F6E">
            <w:pPr>
              <w:spacing w:line="240" w:lineRule="auto"/>
              <w:ind w:firstLine="0"/>
            </w:pPr>
            <w:r w:rsidRPr="004D46AC">
              <w:rPr>
                <w:color w:val="000000"/>
              </w:rPr>
              <w:t>TR5--TR24</w:t>
            </w:r>
          </w:p>
        </w:tc>
        <w:tc>
          <w:tcPr>
            <w:tcW w:w="1704" w:type="dxa"/>
            <w:vAlign w:val="center"/>
          </w:tcPr>
          <w:p w14:paraId="1222D113" w14:textId="77777777" w:rsidR="007075D9" w:rsidRPr="004D46AC" w:rsidRDefault="007075D9" w:rsidP="002C5F6E">
            <w:pPr>
              <w:spacing w:line="240" w:lineRule="auto"/>
              <w:ind w:firstLine="0"/>
            </w:pPr>
            <w:r w:rsidRPr="004D46AC">
              <w:rPr>
                <w:color w:val="000000"/>
                <w:szCs w:val="21"/>
              </w:rPr>
              <w:t xml:space="preserve">0.49 </w:t>
            </w:r>
          </w:p>
        </w:tc>
        <w:tc>
          <w:tcPr>
            <w:tcW w:w="1704" w:type="dxa"/>
            <w:vAlign w:val="center"/>
          </w:tcPr>
          <w:p w14:paraId="5CBB8FC8"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2287C93E" w14:textId="77777777" w:rsidR="007075D9" w:rsidRPr="004D46AC" w:rsidRDefault="007075D9" w:rsidP="002C5F6E">
            <w:pPr>
              <w:spacing w:line="240" w:lineRule="auto"/>
              <w:ind w:firstLine="0"/>
            </w:pPr>
            <w:r w:rsidRPr="004D46AC">
              <w:rPr>
                <w:color w:val="000000"/>
                <w:szCs w:val="21"/>
              </w:rPr>
              <w:t xml:space="preserve">0.87 </w:t>
            </w:r>
          </w:p>
        </w:tc>
        <w:tc>
          <w:tcPr>
            <w:tcW w:w="1705" w:type="dxa"/>
            <w:vAlign w:val="center"/>
          </w:tcPr>
          <w:p w14:paraId="4E402457"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03A95365" w14:textId="77777777">
        <w:tc>
          <w:tcPr>
            <w:tcW w:w="1704" w:type="dxa"/>
            <w:vAlign w:val="center"/>
          </w:tcPr>
          <w:p w14:paraId="75B3F937" w14:textId="77777777" w:rsidR="007075D9" w:rsidRPr="004D46AC" w:rsidRDefault="007075D9" w:rsidP="002C5F6E">
            <w:pPr>
              <w:spacing w:line="240" w:lineRule="auto"/>
              <w:ind w:firstLine="0"/>
            </w:pPr>
            <w:r w:rsidRPr="004D46AC">
              <w:rPr>
                <w:color w:val="000000"/>
              </w:rPr>
              <w:t>TR24--TR13</w:t>
            </w:r>
          </w:p>
        </w:tc>
        <w:tc>
          <w:tcPr>
            <w:tcW w:w="1704" w:type="dxa"/>
            <w:vAlign w:val="center"/>
          </w:tcPr>
          <w:p w14:paraId="146CB4D6" w14:textId="77777777" w:rsidR="007075D9" w:rsidRPr="004D46AC" w:rsidRDefault="007075D9" w:rsidP="002C5F6E">
            <w:pPr>
              <w:spacing w:line="240" w:lineRule="auto"/>
              <w:ind w:firstLine="0"/>
            </w:pPr>
            <w:r w:rsidRPr="004D46AC">
              <w:rPr>
                <w:color w:val="000000"/>
                <w:szCs w:val="21"/>
              </w:rPr>
              <w:t xml:space="preserve">0.49 </w:t>
            </w:r>
          </w:p>
        </w:tc>
        <w:tc>
          <w:tcPr>
            <w:tcW w:w="1704" w:type="dxa"/>
            <w:vAlign w:val="center"/>
          </w:tcPr>
          <w:p w14:paraId="296220FA"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3497E93E" w14:textId="77777777" w:rsidR="007075D9" w:rsidRPr="004D46AC" w:rsidRDefault="007075D9" w:rsidP="002C5F6E">
            <w:pPr>
              <w:spacing w:line="240" w:lineRule="auto"/>
              <w:ind w:firstLine="0"/>
            </w:pPr>
            <w:r w:rsidRPr="004D46AC">
              <w:rPr>
                <w:color w:val="000000"/>
                <w:szCs w:val="21"/>
              </w:rPr>
              <w:t xml:space="preserve">0.83 </w:t>
            </w:r>
          </w:p>
        </w:tc>
        <w:tc>
          <w:tcPr>
            <w:tcW w:w="1705" w:type="dxa"/>
            <w:vAlign w:val="center"/>
          </w:tcPr>
          <w:p w14:paraId="42DBC1DF"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6A7BD8B9" w14:textId="77777777">
        <w:tc>
          <w:tcPr>
            <w:tcW w:w="1704" w:type="dxa"/>
            <w:vAlign w:val="center"/>
          </w:tcPr>
          <w:p w14:paraId="11F0F2D5" w14:textId="77777777" w:rsidR="007075D9" w:rsidRPr="004D46AC" w:rsidRDefault="007075D9" w:rsidP="002C5F6E">
            <w:pPr>
              <w:spacing w:line="240" w:lineRule="auto"/>
              <w:ind w:firstLine="0"/>
            </w:pPr>
            <w:r w:rsidRPr="004D46AC">
              <w:rPr>
                <w:color w:val="000000"/>
              </w:rPr>
              <w:t>TR3--TR9</w:t>
            </w:r>
          </w:p>
        </w:tc>
        <w:tc>
          <w:tcPr>
            <w:tcW w:w="1704" w:type="dxa"/>
            <w:vAlign w:val="center"/>
          </w:tcPr>
          <w:p w14:paraId="63A07E23" w14:textId="77777777" w:rsidR="007075D9" w:rsidRPr="004D46AC" w:rsidRDefault="007075D9" w:rsidP="002C5F6E">
            <w:pPr>
              <w:spacing w:line="240" w:lineRule="auto"/>
              <w:ind w:firstLine="0"/>
            </w:pPr>
            <w:r w:rsidRPr="004D46AC">
              <w:rPr>
                <w:color w:val="000000"/>
                <w:szCs w:val="21"/>
              </w:rPr>
              <w:t xml:space="preserve">0.46 </w:t>
            </w:r>
          </w:p>
        </w:tc>
        <w:tc>
          <w:tcPr>
            <w:tcW w:w="1704" w:type="dxa"/>
            <w:vAlign w:val="center"/>
          </w:tcPr>
          <w:p w14:paraId="1F13FDBA"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5CF98975" w14:textId="77777777" w:rsidR="007075D9" w:rsidRPr="004D46AC" w:rsidRDefault="007075D9" w:rsidP="002C5F6E">
            <w:pPr>
              <w:spacing w:line="240" w:lineRule="auto"/>
              <w:ind w:firstLine="0"/>
            </w:pPr>
            <w:r w:rsidRPr="004D46AC">
              <w:rPr>
                <w:color w:val="000000"/>
                <w:szCs w:val="21"/>
              </w:rPr>
              <w:t xml:space="preserve">0.84 </w:t>
            </w:r>
          </w:p>
        </w:tc>
        <w:tc>
          <w:tcPr>
            <w:tcW w:w="1705" w:type="dxa"/>
            <w:vAlign w:val="center"/>
          </w:tcPr>
          <w:p w14:paraId="6C1B32E1"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04BC95C9" w14:textId="77777777">
        <w:tc>
          <w:tcPr>
            <w:tcW w:w="1704" w:type="dxa"/>
            <w:vAlign w:val="center"/>
          </w:tcPr>
          <w:p w14:paraId="2C361C22" w14:textId="77777777" w:rsidR="007075D9" w:rsidRPr="004D46AC" w:rsidRDefault="007075D9" w:rsidP="002C5F6E">
            <w:pPr>
              <w:spacing w:line="240" w:lineRule="auto"/>
              <w:ind w:firstLine="0"/>
            </w:pPr>
            <w:r w:rsidRPr="004D46AC">
              <w:rPr>
                <w:color w:val="000000"/>
              </w:rPr>
              <w:t>TR18--TR33</w:t>
            </w:r>
          </w:p>
        </w:tc>
        <w:tc>
          <w:tcPr>
            <w:tcW w:w="1704" w:type="dxa"/>
            <w:vAlign w:val="center"/>
          </w:tcPr>
          <w:p w14:paraId="32E1FF8C" w14:textId="77777777" w:rsidR="007075D9" w:rsidRPr="004D46AC" w:rsidRDefault="007075D9" w:rsidP="002C5F6E">
            <w:pPr>
              <w:spacing w:line="240" w:lineRule="auto"/>
              <w:ind w:firstLine="0"/>
            </w:pPr>
            <w:r w:rsidRPr="004D46AC">
              <w:rPr>
                <w:color w:val="000000"/>
                <w:szCs w:val="21"/>
              </w:rPr>
              <w:t xml:space="preserve">0.45 </w:t>
            </w:r>
          </w:p>
        </w:tc>
        <w:tc>
          <w:tcPr>
            <w:tcW w:w="1704" w:type="dxa"/>
            <w:vAlign w:val="center"/>
          </w:tcPr>
          <w:p w14:paraId="2315645E"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06B84112" w14:textId="77777777" w:rsidR="007075D9" w:rsidRPr="004D46AC" w:rsidRDefault="007075D9" w:rsidP="002C5F6E">
            <w:pPr>
              <w:spacing w:line="240" w:lineRule="auto"/>
              <w:ind w:firstLine="0"/>
            </w:pPr>
            <w:r w:rsidRPr="004D46AC">
              <w:rPr>
                <w:color w:val="000000"/>
                <w:szCs w:val="21"/>
              </w:rPr>
              <w:t xml:space="preserve">0.82 </w:t>
            </w:r>
          </w:p>
        </w:tc>
        <w:tc>
          <w:tcPr>
            <w:tcW w:w="1705" w:type="dxa"/>
            <w:vAlign w:val="center"/>
          </w:tcPr>
          <w:p w14:paraId="65A4F7A0"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1F5F6651" w14:textId="77777777">
        <w:tc>
          <w:tcPr>
            <w:tcW w:w="1704" w:type="dxa"/>
            <w:vAlign w:val="center"/>
          </w:tcPr>
          <w:p w14:paraId="51CAFFA2" w14:textId="77777777" w:rsidR="007075D9" w:rsidRPr="004D46AC" w:rsidRDefault="007075D9" w:rsidP="002C5F6E">
            <w:pPr>
              <w:spacing w:line="240" w:lineRule="auto"/>
              <w:ind w:firstLine="0"/>
            </w:pPr>
            <w:r w:rsidRPr="004D46AC">
              <w:rPr>
                <w:color w:val="000000"/>
              </w:rPr>
              <w:t>TR34--TR37</w:t>
            </w:r>
          </w:p>
        </w:tc>
        <w:tc>
          <w:tcPr>
            <w:tcW w:w="1704" w:type="dxa"/>
            <w:vAlign w:val="center"/>
          </w:tcPr>
          <w:p w14:paraId="73BDCBDB" w14:textId="77777777" w:rsidR="007075D9" w:rsidRPr="004D46AC" w:rsidRDefault="007075D9" w:rsidP="002C5F6E">
            <w:pPr>
              <w:spacing w:line="240" w:lineRule="auto"/>
              <w:ind w:firstLine="0"/>
            </w:pPr>
            <w:r w:rsidRPr="004D46AC">
              <w:rPr>
                <w:color w:val="000000"/>
                <w:szCs w:val="21"/>
              </w:rPr>
              <w:t xml:space="preserve">0.45 </w:t>
            </w:r>
          </w:p>
        </w:tc>
        <w:tc>
          <w:tcPr>
            <w:tcW w:w="1704" w:type="dxa"/>
            <w:vAlign w:val="center"/>
          </w:tcPr>
          <w:p w14:paraId="534280E0"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3956F601" w14:textId="77777777" w:rsidR="007075D9" w:rsidRPr="004D46AC" w:rsidRDefault="007075D9" w:rsidP="002C5F6E">
            <w:pPr>
              <w:spacing w:line="240" w:lineRule="auto"/>
              <w:ind w:firstLine="0"/>
            </w:pPr>
            <w:r w:rsidRPr="004D46AC">
              <w:rPr>
                <w:color w:val="000000"/>
                <w:szCs w:val="21"/>
              </w:rPr>
              <w:t xml:space="preserve">0.78 </w:t>
            </w:r>
          </w:p>
        </w:tc>
        <w:tc>
          <w:tcPr>
            <w:tcW w:w="1705" w:type="dxa"/>
            <w:vAlign w:val="center"/>
          </w:tcPr>
          <w:p w14:paraId="58285C07"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778B5CE6" w14:textId="77777777">
        <w:tc>
          <w:tcPr>
            <w:tcW w:w="1704" w:type="dxa"/>
            <w:vAlign w:val="center"/>
          </w:tcPr>
          <w:p w14:paraId="29E4E8E0" w14:textId="77777777" w:rsidR="007075D9" w:rsidRPr="004D46AC" w:rsidRDefault="007075D9" w:rsidP="002C5F6E">
            <w:pPr>
              <w:spacing w:line="240" w:lineRule="auto"/>
              <w:ind w:firstLine="0"/>
            </w:pPr>
            <w:r w:rsidRPr="004D46AC">
              <w:rPr>
                <w:color w:val="000000"/>
              </w:rPr>
              <w:t>TR5--TR12</w:t>
            </w:r>
          </w:p>
        </w:tc>
        <w:tc>
          <w:tcPr>
            <w:tcW w:w="1704" w:type="dxa"/>
            <w:vAlign w:val="center"/>
          </w:tcPr>
          <w:p w14:paraId="4DC69CBC"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5777BD73"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27ABC6DC" w14:textId="77777777" w:rsidR="007075D9" w:rsidRPr="004D46AC" w:rsidRDefault="007075D9" w:rsidP="002C5F6E">
            <w:pPr>
              <w:spacing w:line="240" w:lineRule="auto"/>
              <w:ind w:firstLine="0"/>
            </w:pPr>
            <w:r w:rsidRPr="004D46AC">
              <w:rPr>
                <w:color w:val="000000"/>
                <w:szCs w:val="21"/>
              </w:rPr>
              <w:t xml:space="preserve">0.85 </w:t>
            </w:r>
          </w:p>
        </w:tc>
        <w:tc>
          <w:tcPr>
            <w:tcW w:w="1705" w:type="dxa"/>
            <w:vAlign w:val="center"/>
          </w:tcPr>
          <w:p w14:paraId="03F8B6D9"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35FD6DC1" w14:textId="77777777">
        <w:tc>
          <w:tcPr>
            <w:tcW w:w="1704" w:type="dxa"/>
            <w:vAlign w:val="center"/>
          </w:tcPr>
          <w:p w14:paraId="3877DAFE" w14:textId="77777777" w:rsidR="007075D9" w:rsidRPr="004D46AC" w:rsidRDefault="007075D9" w:rsidP="002C5F6E">
            <w:pPr>
              <w:spacing w:line="240" w:lineRule="auto"/>
              <w:ind w:firstLine="0"/>
            </w:pPr>
            <w:r w:rsidRPr="004D46AC">
              <w:rPr>
                <w:color w:val="000000"/>
              </w:rPr>
              <w:t>TR37--TR30</w:t>
            </w:r>
          </w:p>
        </w:tc>
        <w:tc>
          <w:tcPr>
            <w:tcW w:w="1704" w:type="dxa"/>
            <w:vAlign w:val="center"/>
          </w:tcPr>
          <w:p w14:paraId="69190A6D"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00B1F4BB"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46066A72"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7F2E8050"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142E8DCF" w14:textId="77777777">
        <w:tc>
          <w:tcPr>
            <w:tcW w:w="1704" w:type="dxa"/>
            <w:vAlign w:val="center"/>
          </w:tcPr>
          <w:p w14:paraId="56686625" w14:textId="77777777" w:rsidR="007075D9" w:rsidRPr="004D46AC" w:rsidRDefault="007075D9" w:rsidP="002C5F6E">
            <w:pPr>
              <w:spacing w:line="240" w:lineRule="auto"/>
              <w:ind w:firstLine="0"/>
            </w:pPr>
            <w:r w:rsidRPr="004D46AC">
              <w:rPr>
                <w:color w:val="000000"/>
              </w:rPr>
              <w:t>TR13--TR16</w:t>
            </w:r>
          </w:p>
        </w:tc>
        <w:tc>
          <w:tcPr>
            <w:tcW w:w="1704" w:type="dxa"/>
            <w:vAlign w:val="center"/>
          </w:tcPr>
          <w:p w14:paraId="7E237BE5"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3254F3F5"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001FC9E9" w14:textId="77777777" w:rsidR="007075D9" w:rsidRPr="004D46AC" w:rsidRDefault="007075D9" w:rsidP="002C5F6E">
            <w:pPr>
              <w:spacing w:line="240" w:lineRule="auto"/>
              <w:ind w:firstLine="0"/>
            </w:pPr>
            <w:r w:rsidRPr="004D46AC">
              <w:rPr>
                <w:color w:val="000000"/>
                <w:szCs w:val="21"/>
              </w:rPr>
              <w:t xml:space="preserve">0.74 </w:t>
            </w:r>
          </w:p>
        </w:tc>
        <w:tc>
          <w:tcPr>
            <w:tcW w:w="1705" w:type="dxa"/>
            <w:vAlign w:val="center"/>
          </w:tcPr>
          <w:p w14:paraId="5E91A332"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2B7AFAE9" w14:textId="77777777">
        <w:tc>
          <w:tcPr>
            <w:tcW w:w="1704" w:type="dxa"/>
            <w:vAlign w:val="center"/>
          </w:tcPr>
          <w:p w14:paraId="5902FB7D" w14:textId="77777777" w:rsidR="007075D9" w:rsidRPr="004D46AC" w:rsidRDefault="007075D9" w:rsidP="002C5F6E">
            <w:pPr>
              <w:spacing w:line="240" w:lineRule="auto"/>
              <w:ind w:firstLine="0"/>
            </w:pPr>
            <w:r w:rsidRPr="004D46AC">
              <w:rPr>
                <w:color w:val="000000"/>
              </w:rPr>
              <w:t>TR27--TR34</w:t>
            </w:r>
          </w:p>
        </w:tc>
        <w:tc>
          <w:tcPr>
            <w:tcW w:w="1704" w:type="dxa"/>
            <w:vAlign w:val="center"/>
          </w:tcPr>
          <w:p w14:paraId="6276DA93"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04AC3663"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5DAF268A" w14:textId="77777777" w:rsidR="007075D9" w:rsidRPr="004D46AC" w:rsidRDefault="007075D9" w:rsidP="002C5F6E">
            <w:pPr>
              <w:spacing w:line="240" w:lineRule="auto"/>
              <w:ind w:firstLine="0"/>
            </w:pPr>
            <w:r w:rsidRPr="004D46AC">
              <w:rPr>
                <w:color w:val="000000"/>
                <w:szCs w:val="21"/>
              </w:rPr>
              <w:t xml:space="preserve">0.74 </w:t>
            </w:r>
          </w:p>
        </w:tc>
        <w:tc>
          <w:tcPr>
            <w:tcW w:w="1705" w:type="dxa"/>
            <w:vAlign w:val="center"/>
          </w:tcPr>
          <w:p w14:paraId="23666D47"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636824EA" w14:textId="77777777">
        <w:tc>
          <w:tcPr>
            <w:tcW w:w="1704" w:type="dxa"/>
            <w:vAlign w:val="center"/>
          </w:tcPr>
          <w:p w14:paraId="27F88660" w14:textId="77777777" w:rsidR="007075D9" w:rsidRPr="004D46AC" w:rsidRDefault="007075D9" w:rsidP="002C5F6E">
            <w:pPr>
              <w:spacing w:line="240" w:lineRule="auto"/>
              <w:ind w:firstLine="0"/>
            </w:pPr>
            <w:r w:rsidRPr="004D46AC">
              <w:rPr>
                <w:color w:val="000000"/>
              </w:rPr>
              <w:t>TR29--TR30</w:t>
            </w:r>
          </w:p>
        </w:tc>
        <w:tc>
          <w:tcPr>
            <w:tcW w:w="1704" w:type="dxa"/>
            <w:vAlign w:val="center"/>
          </w:tcPr>
          <w:p w14:paraId="0447E087"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547D51BD"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66B5B06D"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633E2D99"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3C4EFC0F" w14:textId="77777777">
        <w:tc>
          <w:tcPr>
            <w:tcW w:w="1704" w:type="dxa"/>
            <w:vAlign w:val="center"/>
          </w:tcPr>
          <w:p w14:paraId="2D5D1926" w14:textId="77777777" w:rsidR="007075D9" w:rsidRPr="004D46AC" w:rsidRDefault="007075D9" w:rsidP="002C5F6E">
            <w:pPr>
              <w:spacing w:line="240" w:lineRule="auto"/>
              <w:ind w:firstLine="0"/>
            </w:pPr>
            <w:r w:rsidRPr="004D46AC">
              <w:rPr>
                <w:color w:val="000000"/>
              </w:rPr>
              <w:t>TR26--TR30</w:t>
            </w:r>
          </w:p>
        </w:tc>
        <w:tc>
          <w:tcPr>
            <w:tcW w:w="1704" w:type="dxa"/>
            <w:vAlign w:val="center"/>
          </w:tcPr>
          <w:p w14:paraId="679A8F1C"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2F7109E0"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1E94B503" w14:textId="77777777" w:rsidR="007075D9" w:rsidRPr="004D46AC" w:rsidRDefault="007075D9" w:rsidP="002C5F6E">
            <w:pPr>
              <w:spacing w:line="240" w:lineRule="auto"/>
              <w:ind w:firstLine="0"/>
            </w:pPr>
            <w:r w:rsidRPr="004D46AC">
              <w:rPr>
                <w:color w:val="000000"/>
                <w:szCs w:val="21"/>
              </w:rPr>
              <w:t xml:space="preserve">0.78 </w:t>
            </w:r>
          </w:p>
        </w:tc>
        <w:tc>
          <w:tcPr>
            <w:tcW w:w="1705" w:type="dxa"/>
            <w:vAlign w:val="center"/>
          </w:tcPr>
          <w:p w14:paraId="49F0F760"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21947214" w14:textId="77777777">
        <w:tc>
          <w:tcPr>
            <w:tcW w:w="1704" w:type="dxa"/>
            <w:vAlign w:val="center"/>
          </w:tcPr>
          <w:p w14:paraId="3D28B1A7" w14:textId="77777777" w:rsidR="007075D9" w:rsidRPr="004D46AC" w:rsidRDefault="007075D9" w:rsidP="002C5F6E">
            <w:pPr>
              <w:spacing w:line="240" w:lineRule="auto"/>
              <w:ind w:firstLine="0"/>
            </w:pPr>
            <w:r w:rsidRPr="004D46AC">
              <w:rPr>
                <w:color w:val="000000"/>
              </w:rPr>
              <w:t>TR24--TR30</w:t>
            </w:r>
          </w:p>
        </w:tc>
        <w:tc>
          <w:tcPr>
            <w:tcW w:w="1704" w:type="dxa"/>
            <w:vAlign w:val="center"/>
          </w:tcPr>
          <w:p w14:paraId="5D342437" w14:textId="77777777" w:rsidR="007075D9" w:rsidRPr="004D46AC" w:rsidRDefault="007075D9" w:rsidP="002C5F6E">
            <w:pPr>
              <w:spacing w:line="240" w:lineRule="auto"/>
              <w:ind w:firstLine="0"/>
            </w:pPr>
            <w:r w:rsidRPr="004D46AC">
              <w:rPr>
                <w:color w:val="000000"/>
                <w:szCs w:val="21"/>
              </w:rPr>
              <w:t xml:space="preserve">0.41 </w:t>
            </w:r>
          </w:p>
        </w:tc>
        <w:tc>
          <w:tcPr>
            <w:tcW w:w="1704" w:type="dxa"/>
            <w:vAlign w:val="center"/>
          </w:tcPr>
          <w:p w14:paraId="345E35F0"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1D47F781"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6CEED5FE"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5CF3814D" w14:textId="77777777">
        <w:tc>
          <w:tcPr>
            <w:tcW w:w="1704" w:type="dxa"/>
            <w:vAlign w:val="center"/>
          </w:tcPr>
          <w:p w14:paraId="56E92608" w14:textId="77777777" w:rsidR="007075D9" w:rsidRPr="004D46AC" w:rsidRDefault="007075D9" w:rsidP="002C5F6E">
            <w:pPr>
              <w:spacing w:line="240" w:lineRule="auto"/>
              <w:ind w:firstLine="0"/>
            </w:pPr>
            <w:r w:rsidRPr="004D46AC">
              <w:rPr>
                <w:color w:val="000000"/>
              </w:rPr>
              <w:t>TR18--TR30</w:t>
            </w:r>
          </w:p>
        </w:tc>
        <w:tc>
          <w:tcPr>
            <w:tcW w:w="1704" w:type="dxa"/>
            <w:vAlign w:val="center"/>
          </w:tcPr>
          <w:p w14:paraId="4964E6A9" w14:textId="77777777" w:rsidR="007075D9" w:rsidRPr="004D46AC" w:rsidRDefault="007075D9" w:rsidP="002C5F6E">
            <w:pPr>
              <w:spacing w:line="240" w:lineRule="auto"/>
              <w:ind w:firstLine="0"/>
            </w:pPr>
            <w:r w:rsidRPr="004D46AC">
              <w:rPr>
                <w:color w:val="000000"/>
                <w:szCs w:val="21"/>
              </w:rPr>
              <w:t xml:space="preserve">0.40 </w:t>
            </w:r>
          </w:p>
        </w:tc>
        <w:tc>
          <w:tcPr>
            <w:tcW w:w="1704" w:type="dxa"/>
            <w:vAlign w:val="center"/>
          </w:tcPr>
          <w:p w14:paraId="3EF1AE7F"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58C01474"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5BDD8992"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75F0983A" w14:textId="77777777">
        <w:tc>
          <w:tcPr>
            <w:tcW w:w="1704" w:type="dxa"/>
            <w:vAlign w:val="center"/>
          </w:tcPr>
          <w:p w14:paraId="04B449F5" w14:textId="77777777" w:rsidR="007075D9" w:rsidRPr="004D46AC" w:rsidRDefault="007075D9" w:rsidP="002C5F6E">
            <w:pPr>
              <w:spacing w:line="240" w:lineRule="auto"/>
              <w:ind w:firstLine="0"/>
            </w:pPr>
            <w:r w:rsidRPr="004D46AC">
              <w:rPr>
                <w:color w:val="000000"/>
              </w:rPr>
              <w:t>TR30--TR25</w:t>
            </w:r>
          </w:p>
        </w:tc>
        <w:tc>
          <w:tcPr>
            <w:tcW w:w="1704" w:type="dxa"/>
            <w:vAlign w:val="center"/>
          </w:tcPr>
          <w:p w14:paraId="1385ED76" w14:textId="77777777" w:rsidR="007075D9" w:rsidRPr="004D46AC" w:rsidRDefault="007075D9" w:rsidP="002C5F6E">
            <w:pPr>
              <w:spacing w:line="240" w:lineRule="auto"/>
              <w:ind w:firstLine="0"/>
            </w:pPr>
            <w:r w:rsidRPr="004D46AC">
              <w:rPr>
                <w:color w:val="000000"/>
                <w:szCs w:val="21"/>
              </w:rPr>
              <w:t xml:space="preserve">0.40 </w:t>
            </w:r>
          </w:p>
        </w:tc>
        <w:tc>
          <w:tcPr>
            <w:tcW w:w="1704" w:type="dxa"/>
            <w:vAlign w:val="center"/>
          </w:tcPr>
          <w:p w14:paraId="13F376DA"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7E233866" w14:textId="77777777" w:rsidR="007075D9" w:rsidRPr="004D46AC" w:rsidRDefault="007075D9" w:rsidP="002C5F6E">
            <w:pPr>
              <w:spacing w:line="240" w:lineRule="auto"/>
              <w:ind w:firstLine="0"/>
            </w:pPr>
            <w:r w:rsidRPr="004D46AC">
              <w:rPr>
                <w:color w:val="000000"/>
                <w:szCs w:val="21"/>
              </w:rPr>
              <w:t xml:space="preserve">0.78 </w:t>
            </w:r>
          </w:p>
        </w:tc>
        <w:tc>
          <w:tcPr>
            <w:tcW w:w="1705" w:type="dxa"/>
            <w:vAlign w:val="center"/>
          </w:tcPr>
          <w:p w14:paraId="28378B88"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7796A245" w14:textId="77777777">
        <w:tc>
          <w:tcPr>
            <w:tcW w:w="1704" w:type="dxa"/>
            <w:vAlign w:val="center"/>
          </w:tcPr>
          <w:p w14:paraId="2A0CCF46" w14:textId="77777777" w:rsidR="007075D9" w:rsidRPr="004D46AC" w:rsidRDefault="007075D9" w:rsidP="002C5F6E">
            <w:pPr>
              <w:spacing w:line="240" w:lineRule="auto"/>
              <w:ind w:firstLine="0"/>
            </w:pPr>
            <w:r w:rsidRPr="004D46AC">
              <w:rPr>
                <w:color w:val="000000"/>
              </w:rPr>
              <w:t>TR17--TR18</w:t>
            </w:r>
          </w:p>
        </w:tc>
        <w:tc>
          <w:tcPr>
            <w:tcW w:w="1704" w:type="dxa"/>
            <w:vAlign w:val="center"/>
          </w:tcPr>
          <w:p w14:paraId="487880FA"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51F8DAC6"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52EDC39B"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0675FDCF"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7DAE121C" w14:textId="77777777">
        <w:tc>
          <w:tcPr>
            <w:tcW w:w="1704" w:type="dxa"/>
            <w:vAlign w:val="center"/>
          </w:tcPr>
          <w:p w14:paraId="68DC3A7C" w14:textId="77777777" w:rsidR="007075D9" w:rsidRPr="004D46AC" w:rsidRDefault="007075D9" w:rsidP="002C5F6E">
            <w:pPr>
              <w:spacing w:line="240" w:lineRule="auto"/>
              <w:ind w:firstLine="0"/>
            </w:pPr>
            <w:r w:rsidRPr="004D46AC">
              <w:rPr>
                <w:color w:val="000000"/>
              </w:rPr>
              <w:t>TR16--TR25</w:t>
            </w:r>
          </w:p>
        </w:tc>
        <w:tc>
          <w:tcPr>
            <w:tcW w:w="1704" w:type="dxa"/>
            <w:vAlign w:val="center"/>
          </w:tcPr>
          <w:p w14:paraId="63BC85FB"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526CCD57"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330E76AC" w14:textId="77777777" w:rsidR="007075D9" w:rsidRPr="004D46AC" w:rsidRDefault="007075D9" w:rsidP="002C5F6E">
            <w:pPr>
              <w:spacing w:line="240" w:lineRule="auto"/>
              <w:ind w:firstLine="0"/>
            </w:pPr>
            <w:r w:rsidRPr="004D46AC">
              <w:rPr>
                <w:color w:val="000000"/>
                <w:szCs w:val="21"/>
              </w:rPr>
              <w:t xml:space="preserve">0.71 </w:t>
            </w:r>
          </w:p>
        </w:tc>
        <w:tc>
          <w:tcPr>
            <w:tcW w:w="1705" w:type="dxa"/>
            <w:vAlign w:val="center"/>
          </w:tcPr>
          <w:p w14:paraId="4CEB65D2"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75FBD3F7" w14:textId="77777777">
        <w:tc>
          <w:tcPr>
            <w:tcW w:w="1704" w:type="dxa"/>
            <w:vAlign w:val="center"/>
          </w:tcPr>
          <w:p w14:paraId="19F9C0CC" w14:textId="77777777" w:rsidR="007075D9" w:rsidRPr="004D46AC" w:rsidRDefault="007075D9" w:rsidP="002C5F6E">
            <w:pPr>
              <w:spacing w:line="240" w:lineRule="auto"/>
              <w:ind w:firstLine="0"/>
            </w:pPr>
            <w:r w:rsidRPr="004D46AC">
              <w:rPr>
                <w:color w:val="000000"/>
              </w:rPr>
              <w:t>TR23--TR34</w:t>
            </w:r>
          </w:p>
        </w:tc>
        <w:tc>
          <w:tcPr>
            <w:tcW w:w="1704" w:type="dxa"/>
            <w:vAlign w:val="center"/>
          </w:tcPr>
          <w:p w14:paraId="1D661912"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70DC7B89"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557C3938" w14:textId="77777777" w:rsidR="007075D9" w:rsidRPr="004D46AC" w:rsidRDefault="007075D9" w:rsidP="002C5F6E">
            <w:pPr>
              <w:spacing w:line="240" w:lineRule="auto"/>
              <w:ind w:firstLine="0"/>
            </w:pPr>
            <w:r w:rsidRPr="004D46AC">
              <w:rPr>
                <w:color w:val="000000"/>
                <w:szCs w:val="21"/>
              </w:rPr>
              <w:t xml:space="preserve">0.72 </w:t>
            </w:r>
          </w:p>
        </w:tc>
        <w:tc>
          <w:tcPr>
            <w:tcW w:w="1705" w:type="dxa"/>
            <w:vAlign w:val="center"/>
          </w:tcPr>
          <w:p w14:paraId="19ABFC54"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6FAFE13F" w14:textId="77777777">
        <w:tc>
          <w:tcPr>
            <w:tcW w:w="1704" w:type="dxa"/>
            <w:vAlign w:val="center"/>
          </w:tcPr>
          <w:p w14:paraId="58FFA670" w14:textId="77777777" w:rsidR="007075D9" w:rsidRPr="004D46AC" w:rsidRDefault="007075D9" w:rsidP="002C5F6E">
            <w:pPr>
              <w:spacing w:line="240" w:lineRule="auto"/>
              <w:ind w:firstLine="0"/>
            </w:pPr>
            <w:r w:rsidRPr="004D46AC">
              <w:rPr>
                <w:color w:val="000000"/>
              </w:rPr>
              <w:t>TR6--TR18</w:t>
            </w:r>
          </w:p>
        </w:tc>
        <w:tc>
          <w:tcPr>
            <w:tcW w:w="1704" w:type="dxa"/>
            <w:vAlign w:val="center"/>
          </w:tcPr>
          <w:p w14:paraId="62A0EC54"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529743F5"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1016E7FF" w14:textId="77777777" w:rsidR="007075D9" w:rsidRPr="004D46AC" w:rsidRDefault="007075D9" w:rsidP="002C5F6E">
            <w:pPr>
              <w:spacing w:line="240" w:lineRule="auto"/>
              <w:ind w:firstLine="0"/>
            </w:pPr>
            <w:r w:rsidRPr="004D46AC">
              <w:rPr>
                <w:color w:val="000000"/>
                <w:szCs w:val="21"/>
              </w:rPr>
              <w:t xml:space="preserve">0.76 </w:t>
            </w:r>
          </w:p>
        </w:tc>
        <w:tc>
          <w:tcPr>
            <w:tcW w:w="1705" w:type="dxa"/>
            <w:vAlign w:val="center"/>
          </w:tcPr>
          <w:p w14:paraId="59CEDAE1"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60244D9A" w14:textId="77777777">
        <w:tc>
          <w:tcPr>
            <w:tcW w:w="1704" w:type="dxa"/>
            <w:vAlign w:val="center"/>
          </w:tcPr>
          <w:p w14:paraId="49612339" w14:textId="77777777" w:rsidR="007075D9" w:rsidRPr="004D46AC" w:rsidRDefault="007075D9" w:rsidP="002C5F6E">
            <w:pPr>
              <w:spacing w:line="240" w:lineRule="auto"/>
              <w:ind w:firstLine="0"/>
            </w:pPr>
            <w:r w:rsidRPr="004D46AC">
              <w:rPr>
                <w:color w:val="000000"/>
              </w:rPr>
              <w:t>TR19--TR24</w:t>
            </w:r>
          </w:p>
        </w:tc>
        <w:tc>
          <w:tcPr>
            <w:tcW w:w="1704" w:type="dxa"/>
            <w:vAlign w:val="center"/>
          </w:tcPr>
          <w:p w14:paraId="2E912CEE" w14:textId="77777777" w:rsidR="007075D9" w:rsidRPr="004D46AC" w:rsidRDefault="007075D9" w:rsidP="002C5F6E">
            <w:pPr>
              <w:spacing w:line="240" w:lineRule="auto"/>
              <w:ind w:firstLine="0"/>
            </w:pPr>
            <w:r w:rsidRPr="004D46AC">
              <w:rPr>
                <w:color w:val="000000"/>
                <w:szCs w:val="21"/>
              </w:rPr>
              <w:t xml:space="preserve">0.39 </w:t>
            </w:r>
          </w:p>
        </w:tc>
        <w:tc>
          <w:tcPr>
            <w:tcW w:w="1704" w:type="dxa"/>
            <w:vAlign w:val="center"/>
          </w:tcPr>
          <w:p w14:paraId="12757D88"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405D806E" w14:textId="77777777" w:rsidR="007075D9" w:rsidRPr="004D46AC" w:rsidRDefault="007075D9" w:rsidP="002C5F6E">
            <w:pPr>
              <w:spacing w:line="240" w:lineRule="auto"/>
              <w:ind w:firstLine="0"/>
            </w:pPr>
            <w:r w:rsidRPr="004D46AC">
              <w:rPr>
                <w:color w:val="000000"/>
                <w:szCs w:val="21"/>
              </w:rPr>
              <w:t xml:space="preserve">0.72 </w:t>
            </w:r>
          </w:p>
        </w:tc>
        <w:tc>
          <w:tcPr>
            <w:tcW w:w="1705" w:type="dxa"/>
            <w:vAlign w:val="center"/>
          </w:tcPr>
          <w:p w14:paraId="5E14D460"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2C4274E3" w14:textId="77777777">
        <w:tc>
          <w:tcPr>
            <w:tcW w:w="1704" w:type="dxa"/>
            <w:vAlign w:val="center"/>
          </w:tcPr>
          <w:p w14:paraId="6BC1E7E8" w14:textId="77777777" w:rsidR="007075D9" w:rsidRPr="004D46AC" w:rsidRDefault="007075D9" w:rsidP="002C5F6E">
            <w:pPr>
              <w:spacing w:line="240" w:lineRule="auto"/>
              <w:ind w:firstLine="0"/>
            </w:pPr>
            <w:r w:rsidRPr="004D46AC">
              <w:rPr>
                <w:color w:val="000000"/>
              </w:rPr>
              <w:t>TR13--TR20</w:t>
            </w:r>
          </w:p>
        </w:tc>
        <w:tc>
          <w:tcPr>
            <w:tcW w:w="1704" w:type="dxa"/>
            <w:vAlign w:val="center"/>
          </w:tcPr>
          <w:p w14:paraId="08EA9CC1" w14:textId="77777777" w:rsidR="007075D9" w:rsidRPr="004D46AC" w:rsidRDefault="007075D9" w:rsidP="002C5F6E">
            <w:pPr>
              <w:spacing w:line="240" w:lineRule="auto"/>
              <w:ind w:firstLine="0"/>
            </w:pPr>
            <w:r w:rsidRPr="004D46AC">
              <w:rPr>
                <w:color w:val="000000"/>
                <w:szCs w:val="21"/>
              </w:rPr>
              <w:t xml:space="preserve">0.38 </w:t>
            </w:r>
          </w:p>
        </w:tc>
        <w:tc>
          <w:tcPr>
            <w:tcW w:w="1704" w:type="dxa"/>
            <w:vAlign w:val="center"/>
          </w:tcPr>
          <w:p w14:paraId="2B8C5A20"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426A5870"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04CFA03A"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7ACED9A2" w14:textId="77777777">
        <w:tc>
          <w:tcPr>
            <w:tcW w:w="1704" w:type="dxa"/>
            <w:vAlign w:val="center"/>
          </w:tcPr>
          <w:p w14:paraId="0C8AFB90" w14:textId="77777777" w:rsidR="007075D9" w:rsidRPr="004D46AC" w:rsidRDefault="007075D9" w:rsidP="002C5F6E">
            <w:pPr>
              <w:spacing w:line="240" w:lineRule="auto"/>
              <w:ind w:firstLine="0"/>
            </w:pPr>
            <w:r w:rsidRPr="004D46AC">
              <w:rPr>
                <w:color w:val="000000"/>
              </w:rPr>
              <w:t>TR9--TR30</w:t>
            </w:r>
          </w:p>
        </w:tc>
        <w:tc>
          <w:tcPr>
            <w:tcW w:w="1704" w:type="dxa"/>
            <w:vAlign w:val="center"/>
          </w:tcPr>
          <w:p w14:paraId="4AE187A6" w14:textId="77777777" w:rsidR="007075D9" w:rsidRPr="004D46AC" w:rsidRDefault="007075D9" w:rsidP="002C5F6E">
            <w:pPr>
              <w:spacing w:line="240" w:lineRule="auto"/>
              <w:ind w:firstLine="0"/>
            </w:pPr>
            <w:r w:rsidRPr="004D46AC">
              <w:rPr>
                <w:color w:val="000000"/>
                <w:szCs w:val="21"/>
              </w:rPr>
              <w:t xml:space="preserve">0.37 </w:t>
            </w:r>
          </w:p>
        </w:tc>
        <w:tc>
          <w:tcPr>
            <w:tcW w:w="1704" w:type="dxa"/>
            <w:vAlign w:val="center"/>
          </w:tcPr>
          <w:p w14:paraId="491DB7F5"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142704E1" w14:textId="77777777" w:rsidR="007075D9" w:rsidRPr="004D46AC" w:rsidRDefault="007075D9" w:rsidP="002C5F6E">
            <w:pPr>
              <w:spacing w:line="240" w:lineRule="auto"/>
              <w:ind w:firstLine="0"/>
            </w:pPr>
            <w:r w:rsidRPr="004D46AC">
              <w:rPr>
                <w:color w:val="000000"/>
                <w:szCs w:val="21"/>
              </w:rPr>
              <w:t xml:space="preserve">0.73 </w:t>
            </w:r>
          </w:p>
        </w:tc>
        <w:tc>
          <w:tcPr>
            <w:tcW w:w="1705" w:type="dxa"/>
            <w:vAlign w:val="center"/>
          </w:tcPr>
          <w:p w14:paraId="37F2DB2B"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02DD23A5" w14:textId="77777777">
        <w:tc>
          <w:tcPr>
            <w:tcW w:w="1704" w:type="dxa"/>
            <w:vAlign w:val="center"/>
          </w:tcPr>
          <w:p w14:paraId="6C8013F6" w14:textId="77777777" w:rsidR="007075D9" w:rsidRPr="004D46AC" w:rsidRDefault="007075D9" w:rsidP="002C5F6E">
            <w:pPr>
              <w:spacing w:line="240" w:lineRule="auto"/>
              <w:ind w:firstLine="0"/>
            </w:pPr>
            <w:r w:rsidRPr="004D46AC">
              <w:rPr>
                <w:color w:val="000000"/>
              </w:rPr>
              <w:t>TR27--TR37</w:t>
            </w:r>
          </w:p>
        </w:tc>
        <w:tc>
          <w:tcPr>
            <w:tcW w:w="1704" w:type="dxa"/>
            <w:vAlign w:val="center"/>
          </w:tcPr>
          <w:p w14:paraId="088AA4CE" w14:textId="77777777" w:rsidR="007075D9" w:rsidRPr="004D46AC" w:rsidRDefault="007075D9" w:rsidP="002C5F6E">
            <w:pPr>
              <w:spacing w:line="240" w:lineRule="auto"/>
              <w:ind w:firstLine="0"/>
            </w:pPr>
            <w:r w:rsidRPr="004D46AC">
              <w:rPr>
                <w:color w:val="000000"/>
                <w:szCs w:val="21"/>
              </w:rPr>
              <w:t xml:space="preserve">0.36 </w:t>
            </w:r>
          </w:p>
        </w:tc>
        <w:tc>
          <w:tcPr>
            <w:tcW w:w="1704" w:type="dxa"/>
            <w:vAlign w:val="center"/>
          </w:tcPr>
          <w:p w14:paraId="49E11D9F"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5C3A2BBC" w14:textId="77777777" w:rsidR="007075D9" w:rsidRPr="004D46AC" w:rsidRDefault="007075D9" w:rsidP="002C5F6E">
            <w:pPr>
              <w:spacing w:line="240" w:lineRule="auto"/>
              <w:ind w:firstLine="0"/>
            </w:pPr>
            <w:r w:rsidRPr="004D46AC">
              <w:rPr>
                <w:color w:val="000000"/>
                <w:szCs w:val="21"/>
              </w:rPr>
              <w:t xml:space="preserve">0.69 </w:t>
            </w:r>
          </w:p>
        </w:tc>
        <w:tc>
          <w:tcPr>
            <w:tcW w:w="1705" w:type="dxa"/>
            <w:vAlign w:val="center"/>
          </w:tcPr>
          <w:p w14:paraId="3EACB65F"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5975610B" w14:textId="77777777">
        <w:tc>
          <w:tcPr>
            <w:tcW w:w="1704" w:type="dxa"/>
            <w:vAlign w:val="center"/>
          </w:tcPr>
          <w:p w14:paraId="78AD2F34" w14:textId="77777777" w:rsidR="007075D9" w:rsidRPr="004D46AC" w:rsidRDefault="007075D9" w:rsidP="002C5F6E">
            <w:pPr>
              <w:spacing w:line="240" w:lineRule="auto"/>
              <w:ind w:firstLine="0"/>
            </w:pPr>
            <w:r w:rsidRPr="004D46AC">
              <w:rPr>
                <w:color w:val="000000"/>
              </w:rPr>
              <w:t>TR30--TR22</w:t>
            </w:r>
          </w:p>
        </w:tc>
        <w:tc>
          <w:tcPr>
            <w:tcW w:w="1704" w:type="dxa"/>
            <w:vAlign w:val="center"/>
          </w:tcPr>
          <w:p w14:paraId="26F8DBED" w14:textId="77777777" w:rsidR="007075D9" w:rsidRPr="004D46AC" w:rsidRDefault="007075D9" w:rsidP="002C5F6E">
            <w:pPr>
              <w:spacing w:line="240" w:lineRule="auto"/>
              <w:ind w:firstLine="0"/>
            </w:pPr>
            <w:r w:rsidRPr="004D46AC">
              <w:rPr>
                <w:color w:val="000000"/>
                <w:szCs w:val="21"/>
              </w:rPr>
              <w:t xml:space="preserve">0.36 </w:t>
            </w:r>
          </w:p>
        </w:tc>
        <w:tc>
          <w:tcPr>
            <w:tcW w:w="1704" w:type="dxa"/>
            <w:vAlign w:val="center"/>
          </w:tcPr>
          <w:p w14:paraId="3419CB38"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5C95FF0E" w14:textId="77777777" w:rsidR="007075D9" w:rsidRPr="004D46AC" w:rsidRDefault="007075D9" w:rsidP="002C5F6E">
            <w:pPr>
              <w:spacing w:line="240" w:lineRule="auto"/>
              <w:ind w:firstLine="0"/>
            </w:pPr>
            <w:r w:rsidRPr="004D46AC">
              <w:rPr>
                <w:color w:val="000000"/>
                <w:szCs w:val="21"/>
              </w:rPr>
              <w:t xml:space="preserve">0.75 </w:t>
            </w:r>
          </w:p>
        </w:tc>
        <w:tc>
          <w:tcPr>
            <w:tcW w:w="1705" w:type="dxa"/>
            <w:vAlign w:val="center"/>
          </w:tcPr>
          <w:p w14:paraId="0166A284"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4388CF89" w14:textId="77777777">
        <w:tc>
          <w:tcPr>
            <w:tcW w:w="1704" w:type="dxa"/>
            <w:vAlign w:val="center"/>
          </w:tcPr>
          <w:p w14:paraId="0718BA98" w14:textId="77777777" w:rsidR="007075D9" w:rsidRPr="004D46AC" w:rsidRDefault="007075D9" w:rsidP="002C5F6E">
            <w:pPr>
              <w:spacing w:line="240" w:lineRule="auto"/>
              <w:ind w:firstLine="0"/>
            </w:pPr>
            <w:r w:rsidRPr="004D46AC">
              <w:rPr>
                <w:color w:val="000000"/>
              </w:rPr>
              <w:t>TR9--TR29</w:t>
            </w:r>
          </w:p>
        </w:tc>
        <w:tc>
          <w:tcPr>
            <w:tcW w:w="1704" w:type="dxa"/>
            <w:vAlign w:val="center"/>
          </w:tcPr>
          <w:p w14:paraId="5ABAFEC2" w14:textId="77777777" w:rsidR="007075D9" w:rsidRPr="004D46AC" w:rsidRDefault="007075D9" w:rsidP="002C5F6E">
            <w:pPr>
              <w:spacing w:line="240" w:lineRule="auto"/>
              <w:ind w:firstLine="0"/>
            </w:pPr>
            <w:r w:rsidRPr="004D46AC">
              <w:rPr>
                <w:color w:val="000000"/>
                <w:szCs w:val="21"/>
              </w:rPr>
              <w:t xml:space="preserve">0.36 </w:t>
            </w:r>
          </w:p>
        </w:tc>
        <w:tc>
          <w:tcPr>
            <w:tcW w:w="1704" w:type="dxa"/>
            <w:vAlign w:val="center"/>
          </w:tcPr>
          <w:p w14:paraId="52CC3264"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7EB5FEF7" w14:textId="77777777" w:rsidR="007075D9" w:rsidRPr="004D46AC" w:rsidRDefault="007075D9" w:rsidP="002C5F6E">
            <w:pPr>
              <w:spacing w:line="240" w:lineRule="auto"/>
              <w:ind w:firstLine="0"/>
            </w:pPr>
            <w:r w:rsidRPr="004D46AC">
              <w:rPr>
                <w:color w:val="000000"/>
                <w:szCs w:val="21"/>
              </w:rPr>
              <w:t xml:space="preserve">0.73 </w:t>
            </w:r>
          </w:p>
        </w:tc>
        <w:tc>
          <w:tcPr>
            <w:tcW w:w="1705" w:type="dxa"/>
            <w:vAlign w:val="center"/>
          </w:tcPr>
          <w:p w14:paraId="2703455D"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663F9B36" w14:textId="77777777">
        <w:tc>
          <w:tcPr>
            <w:tcW w:w="1704" w:type="dxa"/>
            <w:vAlign w:val="center"/>
          </w:tcPr>
          <w:p w14:paraId="728E90EF" w14:textId="77777777" w:rsidR="007075D9" w:rsidRPr="004D46AC" w:rsidRDefault="007075D9" w:rsidP="002C5F6E">
            <w:pPr>
              <w:spacing w:line="240" w:lineRule="auto"/>
              <w:ind w:firstLine="0"/>
            </w:pPr>
            <w:r w:rsidRPr="004D46AC">
              <w:rPr>
                <w:color w:val="000000"/>
              </w:rPr>
              <w:lastRenderedPageBreak/>
              <w:t>TR14--TR25</w:t>
            </w:r>
          </w:p>
        </w:tc>
        <w:tc>
          <w:tcPr>
            <w:tcW w:w="1704" w:type="dxa"/>
            <w:vAlign w:val="center"/>
          </w:tcPr>
          <w:p w14:paraId="625B1CAE" w14:textId="77777777" w:rsidR="007075D9" w:rsidRPr="004D46AC" w:rsidRDefault="007075D9" w:rsidP="002C5F6E">
            <w:pPr>
              <w:spacing w:line="240" w:lineRule="auto"/>
              <w:ind w:firstLine="0"/>
            </w:pPr>
            <w:r w:rsidRPr="004D46AC">
              <w:rPr>
                <w:color w:val="000000"/>
                <w:szCs w:val="21"/>
              </w:rPr>
              <w:t xml:space="preserve">0.36 </w:t>
            </w:r>
          </w:p>
        </w:tc>
        <w:tc>
          <w:tcPr>
            <w:tcW w:w="1704" w:type="dxa"/>
            <w:vAlign w:val="center"/>
          </w:tcPr>
          <w:p w14:paraId="5C6822CA"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220B8896"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2F8396DE" w14:textId="77777777" w:rsidR="007075D9" w:rsidRPr="004D46AC" w:rsidRDefault="007075D9" w:rsidP="002C5F6E">
            <w:pPr>
              <w:spacing w:line="240" w:lineRule="auto"/>
              <w:ind w:firstLine="0"/>
            </w:pPr>
            <w:r w:rsidRPr="004D46AC">
              <w:rPr>
                <w:color w:val="000000"/>
                <w:szCs w:val="21"/>
              </w:rPr>
              <w:t xml:space="preserve">0.08 </w:t>
            </w:r>
          </w:p>
        </w:tc>
      </w:tr>
      <w:tr w:rsidR="007075D9" w:rsidRPr="004D46AC" w14:paraId="020587B9" w14:textId="77777777">
        <w:tc>
          <w:tcPr>
            <w:tcW w:w="1704" w:type="dxa"/>
            <w:vAlign w:val="center"/>
          </w:tcPr>
          <w:p w14:paraId="31325B48" w14:textId="77777777" w:rsidR="007075D9" w:rsidRPr="004D46AC" w:rsidRDefault="007075D9" w:rsidP="002C5F6E">
            <w:pPr>
              <w:spacing w:line="240" w:lineRule="auto"/>
              <w:ind w:firstLine="0"/>
            </w:pPr>
            <w:r w:rsidRPr="004D46AC">
              <w:rPr>
                <w:color w:val="000000"/>
              </w:rPr>
              <w:t>TR26--TR27</w:t>
            </w:r>
          </w:p>
        </w:tc>
        <w:tc>
          <w:tcPr>
            <w:tcW w:w="1704" w:type="dxa"/>
            <w:vAlign w:val="center"/>
          </w:tcPr>
          <w:p w14:paraId="73E4ABE0" w14:textId="77777777" w:rsidR="007075D9" w:rsidRPr="004D46AC" w:rsidRDefault="007075D9" w:rsidP="002C5F6E">
            <w:pPr>
              <w:spacing w:line="240" w:lineRule="auto"/>
              <w:ind w:firstLine="0"/>
            </w:pPr>
            <w:r w:rsidRPr="004D46AC">
              <w:rPr>
                <w:color w:val="000000"/>
                <w:szCs w:val="21"/>
              </w:rPr>
              <w:t xml:space="preserve">0.35 </w:t>
            </w:r>
          </w:p>
        </w:tc>
        <w:tc>
          <w:tcPr>
            <w:tcW w:w="1704" w:type="dxa"/>
            <w:vAlign w:val="center"/>
          </w:tcPr>
          <w:p w14:paraId="26A29E99"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47AB0E8D"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085A0F31"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0C93CEE5" w14:textId="77777777">
        <w:tc>
          <w:tcPr>
            <w:tcW w:w="1704" w:type="dxa"/>
            <w:vAlign w:val="center"/>
          </w:tcPr>
          <w:p w14:paraId="29346B2C" w14:textId="77777777" w:rsidR="007075D9" w:rsidRPr="004D46AC" w:rsidRDefault="007075D9" w:rsidP="002C5F6E">
            <w:pPr>
              <w:spacing w:line="240" w:lineRule="auto"/>
              <w:ind w:firstLine="0"/>
            </w:pPr>
            <w:r w:rsidRPr="004D46AC">
              <w:rPr>
                <w:color w:val="000000"/>
              </w:rPr>
              <w:t>TR26--TR17</w:t>
            </w:r>
          </w:p>
        </w:tc>
        <w:tc>
          <w:tcPr>
            <w:tcW w:w="1704" w:type="dxa"/>
            <w:vAlign w:val="center"/>
          </w:tcPr>
          <w:p w14:paraId="5B003BD8"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3304BB8A"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579B7074" w14:textId="77777777" w:rsidR="007075D9" w:rsidRPr="004D46AC" w:rsidRDefault="007075D9" w:rsidP="002C5F6E">
            <w:pPr>
              <w:spacing w:line="240" w:lineRule="auto"/>
              <w:ind w:firstLine="0"/>
            </w:pPr>
            <w:r w:rsidRPr="004D46AC">
              <w:rPr>
                <w:color w:val="000000"/>
                <w:szCs w:val="21"/>
              </w:rPr>
              <w:t xml:space="preserve">0.71 </w:t>
            </w:r>
          </w:p>
        </w:tc>
        <w:tc>
          <w:tcPr>
            <w:tcW w:w="1705" w:type="dxa"/>
            <w:vAlign w:val="center"/>
          </w:tcPr>
          <w:p w14:paraId="0135EB62"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68A2B9C0" w14:textId="77777777">
        <w:tc>
          <w:tcPr>
            <w:tcW w:w="1704" w:type="dxa"/>
            <w:vAlign w:val="center"/>
          </w:tcPr>
          <w:p w14:paraId="1D74D4D4" w14:textId="77777777" w:rsidR="007075D9" w:rsidRPr="004D46AC" w:rsidRDefault="007075D9" w:rsidP="002C5F6E">
            <w:pPr>
              <w:spacing w:line="240" w:lineRule="auto"/>
              <w:ind w:firstLine="0"/>
            </w:pPr>
            <w:r w:rsidRPr="004D46AC">
              <w:rPr>
                <w:color w:val="000000"/>
              </w:rPr>
              <w:t>TR37--TR9</w:t>
            </w:r>
          </w:p>
        </w:tc>
        <w:tc>
          <w:tcPr>
            <w:tcW w:w="1704" w:type="dxa"/>
            <w:vAlign w:val="center"/>
          </w:tcPr>
          <w:p w14:paraId="26157962"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20DE74D1"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11342758"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18D619A6" w14:textId="77777777" w:rsidR="007075D9" w:rsidRPr="004D46AC" w:rsidRDefault="007075D9" w:rsidP="002C5F6E">
            <w:pPr>
              <w:spacing w:line="240" w:lineRule="auto"/>
              <w:ind w:firstLine="0"/>
            </w:pPr>
            <w:r w:rsidRPr="004D46AC">
              <w:rPr>
                <w:color w:val="000000"/>
                <w:szCs w:val="21"/>
              </w:rPr>
              <w:t xml:space="preserve">0.08 </w:t>
            </w:r>
          </w:p>
        </w:tc>
      </w:tr>
      <w:tr w:rsidR="007075D9" w:rsidRPr="004D46AC" w14:paraId="7432DC55" w14:textId="77777777">
        <w:tc>
          <w:tcPr>
            <w:tcW w:w="1704" w:type="dxa"/>
            <w:vAlign w:val="center"/>
          </w:tcPr>
          <w:p w14:paraId="45BCE509" w14:textId="77777777" w:rsidR="007075D9" w:rsidRPr="004D46AC" w:rsidRDefault="007075D9" w:rsidP="002C5F6E">
            <w:pPr>
              <w:spacing w:line="240" w:lineRule="auto"/>
              <w:ind w:firstLine="0"/>
            </w:pPr>
            <w:r w:rsidRPr="004D46AC">
              <w:rPr>
                <w:color w:val="000000"/>
              </w:rPr>
              <w:t>TR37--TR17</w:t>
            </w:r>
          </w:p>
        </w:tc>
        <w:tc>
          <w:tcPr>
            <w:tcW w:w="1704" w:type="dxa"/>
            <w:vAlign w:val="center"/>
          </w:tcPr>
          <w:p w14:paraId="7AAB6A2D"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1D152D5F"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507A5413"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7FF85070"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203917E5" w14:textId="77777777">
        <w:tc>
          <w:tcPr>
            <w:tcW w:w="1704" w:type="dxa"/>
            <w:vAlign w:val="center"/>
          </w:tcPr>
          <w:p w14:paraId="5E3BAEA0" w14:textId="77777777" w:rsidR="007075D9" w:rsidRPr="004D46AC" w:rsidRDefault="007075D9" w:rsidP="002C5F6E">
            <w:pPr>
              <w:spacing w:line="240" w:lineRule="auto"/>
              <w:ind w:firstLine="0"/>
            </w:pPr>
            <w:r w:rsidRPr="004D46AC">
              <w:rPr>
                <w:color w:val="000000"/>
              </w:rPr>
              <w:t>TR21--TR13</w:t>
            </w:r>
          </w:p>
        </w:tc>
        <w:tc>
          <w:tcPr>
            <w:tcW w:w="1704" w:type="dxa"/>
            <w:vAlign w:val="center"/>
          </w:tcPr>
          <w:p w14:paraId="32A712CF"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4E894B24"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041489E9"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22FB5D5A"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3EEEDCDF" w14:textId="77777777">
        <w:tc>
          <w:tcPr>
            <w:tcW w:w="1704" w:type="dxa"/>
            <w:vAlign w:val="center"/>
          </w:tcPr>
          <w:p w14:paraId="495669A2" w14:textId="77777777" w:rsidR="007075D9" w:rsidRPr="004D46AC" w:rsidRDefault="007075D9" w:rsidP="002C5F6E">
            <w:pPr>
              <w:spacing w:line="240" w:lineRule="auto"/>
              <w:ind w:firstLine="0"/>
            </w:pPr>
            <w:r w:rsidRPr="004D46AC">
              <w:rPr>
                <w:color w:val="000000"/>
              </w:rPr>
              <w:t>TR16--TR22</w:t>
            </w:r>
          </w:p>
        </w:tc>
        <w:tc>
          <w:tcPr>
            <w:tcW w:w="1704" w:type="dxa"/>
            <w:vAlign w:val="center"/>
          </w:tcPr>
          <w:p w14:paraId="131F4398" w14:textId="77777777" w:rsidR="007075D9" w:rsidRPr="004D46AC" w:rsidRDefault="007075D9" w:rsidP="002C5F6E">
            <w:pPr>
              <w:spacing w:line="240" w:lineRule="auto"/>
              <w:ind w:firstLine="0"/>
            </w:pPr>
            <w:r w:rsidRPr="004D46AC">
              <w:rPr>
                <w:color w:val="000000"/>
                <w:szCs w:val="21"/>
              </w:rPr>
              <w:t xml:space="preserve">0.33 </w:t>
            </w:r>
          </w:p>
        </w:tc>
        <w:tc>
          <w:tcPr>
            <w:tcW w:w="1704" w:type="dxa"/>
            <w:vAlign w:val="center"/>
          </w:tcPr>
          <w:p w14:paraId="3170EC98"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54315CE8"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04C61A62"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05647778" w14:textId="77777777">
        <w:tc>
          <w:tcPr>
            <w:tcW w:w="1704" w:type="dxa"/>
            <w:vAlign w:val="center"/>
          </w:tcPr>
          <w:p w14:paraId="6C9C247C" w14:textId="77777777" w:rsidR="007075D9" w:rsidRPr="004D46AC" w:rsidRDefault="007075D9" w:rsidP="002C5F6E">
            <w:pPr>
              <w:spacing w:line="240" w:lineRule="auto"/>
              <w:ind w:firstLine="0"/>
            </w:pPr>
            <w:r w:rsidRPr="004D46AC">
              <w:rPr>
                <w:color w:val="000000"/>
              </w:rPr>
              <w:t>TR12--TR15</w:t>
            </w:r>
          </w:p>
        </w:tc>
        <w:tc>
          <w:tcPr>
            <w:tcW w:w="1704" w:type="dxa"/>
            <w:vAlign w:val="center"/>
          </w:tcPr>
          <w:p w14:paraId="3D30A235" w14:textId="77777777" w:rsidR="007075D9" w:rsidRPr="004D46AC" w:rsidRDefault="007075D9" w:rsidP="002C5F6E">
            <w:pPr>
              <w:spacing w:line="240" w:lineRule="auto"/>
              <w:ind w:firstLine="0"/>
            </w:pPr>
            <w:r w:rsidRPr="004D46AC">
              <w:rPr>
                <w:color w:val="000000"/>
                <w:szCs w:val="21"/>
              </w:rPr>
              <w:t xml:space="preserve">0.33 </w:t>
            </w:r>
          </w:p>
        </w:tc>
        <w:tc>
          <w:tcPr>
            <w:tcW w:w="1704" w:type="dxa"/>
            <w:vAlign w:val="center"/>
          </w:tcPr>
          <w:p w14:paraId="0DCB9A28"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56E5AE45" w14:textId="77777777" w:rsidR="007075D9" w:rsidRPr="004D46AC" w:rsidRDefault="007075D9" w:rsidP="002C5F6E">
            <w:pPr>
              <w:spacing w:line="240" w:lineRule="auto"/>
              <w:ind w:firstLine="0"/>
            </w:pPr>
            <w:r w:rsidRPr="004D46AC">
              <w:rPr>
                <w:color w:val="000000"/>
                <w:szCs w:val="21"/>
              </w:rPr>
              <w:t xml:space="preserve">0.64 </w:t>
            </w:r>
          </w:p>
        </w:tc>
        <w:tc>
          <w:tcPr>
            <w:tcW w:w="1705" w:type="dxa"/>
            <w:vAlign w:val="center"/>
          </w:tcPr>
          <w:p w14:paraId="445B80AE"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234193FD" w14:textId="77777777">
        <w:tc>
          <w:tcPr>
            <w:tcW w:w="1704" w:type="dxa"/>
            <w:vAlign w:val="center"/>
          </w:tcPr>
          <w:p w14:paraId="7A47EB6A" w14:textId="77777777" w:rsidR="007075D9" w:rsidRPr="004D46AC" w:rsidRDefault="007075D9" w:rsidP="002C5F6E">
            <w:pPr>
              <w:spacing w:line="240" w:lineRule="auto"/>
              <w:ind w:firstLine="0"/>
            </w:pPr>
            <w:r w:rsidRPr="004D46AC">
              <w:rPr>
                <w:color w:val="000000"/>
              </w:rPr>
              <w:t>TR12--TR24</w:t>
            </w:r>
          </w:p>
        </w:tc>
        <w:tc>
          <w:tcPr>
            <w:tcW w:w="1704" w:type="dxa"/>
            <w:vAlign w:val="center"/>
          </w:tcPr>
          <w:p w14:paraId="341F43E2" w14:textId="77777777" w:rsidR="007075D9" w:rsidRPr="004D46AC" w:rsidRDefault="007075D9" w:rsidP="002C5F6E">
            <w:pPr>
              <w:spacing w:line="240" w:lineRule="auto"/>
              <w:ind w:firstLine="0"/>
            </w:pPr>
            <w:r w:rsidRPr="004D46AC">
              <w:rPr>
                <w:color w:val="000000"/>
                <w:szCs w:val="21"/>
              </w:rPr>
              <w:t xml:space="preserve">0.32 </w:t>
            </w:r>
          </w:p>
        </w:tc>
        <w:tc>
          <w:tcPr>
            <w:tcW w:w="1704" w:type="dxa"/>
            <w:vAlign w:val="center"/>
          </w:tcPr>
          <w:p w14:paraId="2E7C110A"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68A68199"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56C6CA09"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77B615A9" w14:textId="77777777">
        <w:tc>
          <w:tcPr>
            <w:tcW w:w="1704" w:type="dxa"/>
            <w:vAlign w:val="center"/>
          </w:tcPr>
          <w:p w14:paraId="25D706C9" w14:textId="77777777" w:rsidR="007075D9" w:rsidRPr="004D46AC" w:rsidRDefault="007075D9" w:rsidP="002C5F6E">
            <w:pPr>
              <w:spacing w:line="240" w:lineRule="auto"/>
              <w:ind w:firstLine="0"/>
            </w:pPr>
            <w:r w:rsidRPr="004D46AC">
              <w:rPr>
                <w:color w:val="000000"/>
              </w:rPr>
              <w:t>TR29--TR33</w:t>
            </w:r>
          </w:p>
        </w:tc>
        <w:tc>
          <w:tcPr>
            <w:tcW w:w="1704" w:type="dxa"/>
            <w:vAlign w:val="center"/>
          </w:tcPr>
          <w:p w14:paraId="452C1780" w14:textId="77777777" w:rsidR="007075D9" w:rsidRPr="004D46AC" w:rsidRDefault="007075D9" w:rsidP="002C5F6E">
            <w:pPr>
              <w:spacing w:line="240" w:lineRule="auto"/>
              <w:ind w:firstLine="0"/>
            </w:pPr>
            <w:r w:rsidRPr="004D46AC">
              <w:rPr>
                <w:color w:val="000000"/>
                <w:szCs w:val="21"/>
              </w:rPr>
              <w:t xml:space="preserve">0.31 </w:t>
            </w:r>
          </w:p>
        </w:tc>
        <w:tc>
          <w:tcPr>
            <w:tcW w:w="1704" w:type="dxa"/>
            <w:vAlign w:val="center"/>
          </w:tcPr>
          <w:p w14:paraId="478E521B"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39F0B006" w14:textId="77777777" w:rsidR="007075D9" w:rsidRPr="004D46AC" w:rsidRDefault="007075D9" w:rsidP="002C5F6E">
            <w:pPr>
              <w:spacing w:line="240" w:lineRule="auto"/>
              <w:ind w:firstLine="0"/>
            </w:pPr>
            <w:r w:rsidRPr="004D46AC">
              <w:rPr>
                <w:color w:val="000000"/>
                <w:szCs w:val="21"/>
              </w:rPr>
              <w:t xml:space="preserve">0.67 </w:t>
            </w:r>
          </w:p>
        </w:tc>
        <w:tc>
          <w:tcPr>
            <w:tcW w:w="1705" w:type="dxa"/>
            <w:vAlign w:val="center"/>
          </w:tcPr>
          <w:p w14:paraId="619DA454" w14:textId="77777777" w:rsidR="007075D9" w:rsidRPr="004D46AC" w:rsidRDefault="007075D9" w:rsidP="002C5F6E">
            <w:pPr>
              <w:spacing w:line="240" w:lineRule="auto"/>
              <w:ind w:firstLine="0"/>
            </w:pPr>
            <w:r w:rsidRPr="004D46AC">
              <w:rPr>
                <w:color w:val="000000"/>
                <w:szCs w:val="21"/>
              </w:rPr>
              <w:t xml:space="preserve">0.09 </w:t>
            </w:r>
          </w:p>
        </w:tc>
      </w:tr>
      <w:tr w:rsidR="007075D9" w:rsidRPr="004D46AC" w14:paraId="1DC4A02F" w14:textId="77777777">
        <w:tc>
          <w:tcPr>
            <w:tcW w:w="1704" w:type="dxa"/>
            <w:vAlign w:val="center"/>
          </w:tcPr>
          <w:p w14:paraId="1F69EADC" w14:textId="77777777" w:rsidR="007075D9" w:rsidRPr="004D46AC" w:rsidRDefault="007075D9" w:rsidP="002C5F6E">
            <w:pPr>
              <w:spacing w:line="240" w:lineRule="auto"/>
              <w:ind w:firstLine="0"/>
            </w:pPr>
            <w:r w:rsidRPr="004D46AC">
              <w:rPr>
                <w:color w:val="000000"/>
              </w:rPr>
              <w:t>TR26--TR18</w:t>
            </w:r>
          </w:p>
        </w:tc>
        <w:tc>
          <w:tcPr>
            <w:tcW w:w="1704" w:type="dxa"/>
            <w:vAlign w:val="center"/>
          </w:tcPr>
          <w:p w14:paraId="3D63B424" w14:textId="77777777" w:rsidR="007075D9" w:rsidRPr="004D46AC" w:rsidRDefault="007075D9" w:rsidP="002C5F6E">
            <w:pPr>
              <w:spacing w:line="240" w:lineRule="auto"/>
              <w:ind w:firstLine="0"/>
            </w:pPr>
            <w:r w:rsidRPr="004D46AC">
              <w:rPr>
                <w:color w:val="000000"/>
                <w:szCs w:val="21"/>
              </w:rPr>
              <w:t xml:space="preserve">0.31 </w:t>
            </w:r>
          </w:p>
        </w:tc>
        <w:tc>
          <w:tcPr>
            <w:tcW w:w="1704" w:type="dxa"/>
            <w:vAlign w:val="center"/>
          </w:tcPr>
          <w:p w14:paraId="3502A817"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41F73A1F"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447D80D7"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4EBA863A" w14:textId="77777777">
        <w:tc>
          <w:tcPr>
            <w:tcW w:w="1704" w:type="dxa"/>
            <w:vAlign w:val="center"/>
          </w:tcPr>
          <w:p w14:paraId="1B41EA04" w14:textId="77777777" w:rsidR="007075D9" w:rsidRPr="004D46AC" w:rsidRDefault="007075D9" w:rsidP="002C5F6E">
            <w:pPr>
              <w:spacing w:line="240" w:lineRule="auto"/>
              <w:ind w:firstLine="0"/>
            </w:pPr>
            <w:r w:rsidRPr="004D46AC">
              <w:rPr>
                <w:color w:val="000000"/>
              </w:rPr>
              <w:t>TR18--TR29</w:t>
            </w:r>
          </w:p>
        </w:tc>
        <w:tc>
          <w:tcPr>
            <w:tcW w:w="1704" w:type="dxa"/>
            <w:vAlign w:val="center"/>
          </w:tcPr>
          <w:p w14:paraId="4ABB651B"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1222ABDB"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5727AB60" w14:textId="77777777" w:rsidR="007075D9" w:rsidRPr="004D46AC" w:rsidRDefault="007075D9" w:rsidP="002C5F6E">
            <w:pPr>
              <w:spacing w:line="240" w:lineRule="auto"/>
              <w:ind w:firstLine="0"/>
            </w:pPr>
            <w:r w:rsidRPr="004D46AC">
              <w:rPr>
                <w:color w:val="000000"/>
                <w:szCs w:val="21"/>
              </w:rPr>
              <w:t xml:space="preserve">0.70 </w:t>
            </w:r>
          </w:p>
        </w:tc>
        <w:tc>
          <w:tcPr>
            <w:tcW w:w="1705" w:type="dxa"/>
            <w:vAlign w:val="center"/>
          </w:tcPr>
          <w:p w14:paraId="27E67245" w14:textId="77777777" w:rsidR="007075D9" w:rsidRPr="004D46AC" w:rsidRDefault="007075D9" w:rsidP="002C5F6E">
            <w:pPr>
              <w:spacing w:line="240" w:lineRule="auto"/>
              <w:ind w:firstLine="0"/>
            </w:pPr>
            <w:r w:rsidRPr="004D46AC">
              <w:rPr>
                <w:color w:val="000000"/>
                <w:szCs w:val="21"/>
              </w:rPr>
              <w:t xml:space="preserve">0.09 </w:t>
            </w:r>
          </w:p>
        </w:tc>
      </w:tr>
      <w:tr w:rsidR="007075D9" w:rsidRPr="004D46AC" w14:paraId="22117E46" w14:textId="77777777">
        <w:tc>
          <w:tcPr>
            <w:tcW w:w="1704" w:type="dxa"/>
            <w:vAlign w:val="center"/>
          </w:tcPr>
          <w:p w14:paraId="64BC2BA5" w14:textId="77777777" w:rsidR="007075D9" w:rsidRPr="004D46AC" w:rsidRDefault="007075D9" w:rsidP="002C5F6E">
            <w:pPr>
              <w:spacing w:line="240" w:lineRule="auto"/>
              <w:ind w:firstLine="0"/>
            </w:pPr>
            <w:r w:rsidRPr="004D46AC">
              <w:rPr>
                <w:color w:val="000000"/>
              </w:rPr>
              <w:t>TR15--TR24</w:t>
            </w:r>
          </w:p>
        </w:tc>
        <w:tc>
          <w:tcPr>
            <w:tcW w:w="1704" w:type="dxa"/>
            <w:vAlign w:val="center"/>
          </w:tcPr>
          <w:p w14:paraId="21E34B36"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27C90A2B"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6697EC42"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6D4F9B9B" w14:textId="77777777" w:rsidR="007075D9" w:rsidRPr="004D46AC" w:rsidRDefault="007075D9" w:rsidP="002C5F6E">
            <w:pPr>
              <w:spacing w:line="240" w:lineRule="auto"/>
              <w:ind w:firstLine="0"/>
            </w:pPr>
            <w:r w:rsidRPr="004D46AC">
              <w:rPr>
                <w:color w:val="000000"/>
                <w:szCs w:val="21"/>
              </w:rPr>
              <w:t xml:space="preserve">0.09 </w:t>
            </w:r>
          </w:p>
        </w:tc>
      </w:tr>
      <w:tr w:rsidR="007075D9" w:rsidRPr="004D46AC" w14:paraId="3E9091C7" w14:textId="77777777">
        <w:tc>
          <w:tcPr>
            <w:tcW w:w="1704" w:type="dxa"/>
            <w:vAlign w:val="center"/>
          </w:tcPr>
          <w:p w14:paraId="14260BBD" w14:textId="77777777" w:rsidR="007075D9" w:rsidRPr="004D46AC" w:rsidRDefault="007075D9" w:rsidP="002C5F6E">
            <w:pPr>
              <w:spacing w:line="240" w:lineRule="auto"/>
              <w:ind w:firstLine="0"/>
            </w:pPr>
            <w:r w:rsidRPr="004D46AC">
              <w:rPr>
                <w:color w:val="000000"/>
              </w:rPr>
              <w:t>TR3--TR20</w:t>
            </w:r>
          </w:p>
        </w:tc>
        <w:tc>
          <w:tcPr>
            <w:tcW w:w="1704" w:type="dxa"/>
            <w:vAlign w:val="center"/>
          </w:tcPr>
          <w:p w14:paraId="129D1001"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2E7BAEA3"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59E76680"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1D541AB0" w14:textId="77777777" w:rsidR="007075D9" w:rsidRPr="004D46AC" w:rsidRDefault="007075D9" w:rsidP="002C5F6E">
            <w:pPr>
              <w:spacing w:line="240" w:lineRule="auto"/>
              <w:ind w:firstLine="0"/>
            </w:pPr>
            <w:r w:rsidRPr="004D46AC">
              <w:rPr>
                <w:color w:val="000000"/>
                <w:szCs w:val="21"/>
              </w:rPr>
              <w:t xml:space="preserve">0.08 </w:t>
            </w:r>
          </w:p>
        </w:tc>
      </w:tr>
      <w:tr w:rsidR="007075D9" w:rsidRPr="004D46AC" w14:paraId="50C80928" w14:textId="77777777">
        <w:tc>
          <w:tcPr>
            <w:tcW w:w="1704" w:type="dxa"/>
            <w:vAlign w:val="center"/>
          </w:tcPr>
          <w:p w14:paraId="4B354FD7" w14:textId="77777777" w:rsidR="007075D9" w:rsidRPr="004D46AC" w:rsidRDefault="007075D9" w:rsidP="002C5F6E">
            <w:pPr>
              <w:spacing w:line="240" w:lineRule="auto"/>
              <w:ind w:firstLine="0"/>
            </w:pPr>
            <w:r w:rsidRPr="004D46AC">
              <w:rPr>
                <w:color w:val="000000"/>
              </w:rPr>
              <w:t>TR5--TR37</w:t>
            </w:r>
          </w:p>
        </w:tc>
        <w:tc>
          <w:tcPr>
            <w:tcW w:w="1704" w:type="dxa"/>
            <w:vAlign w:val="center"/>
          </w:tcPr>
          <w:p w14:paraId="5744CF0F"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05C85821"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71E9B01E" w14:textId="77777777" w:rsidR="007075D9" w:rsidRPr="004D46AC" w:rsidRDefault="007075D9" w:rsidP="002C5F6E">
            <w:pPr>
              <w:spacing w:line="240" w:lineRule="auto"/>
              <w:ind w:firstLine="0"/>
            </w:pPr>
            <w:r w:rsidRPr="004D46AC">
              <w:rPr>
                <w:color w:val="000000"/>
                <w:szCs w:val="21"/>
              </w:rPr>
              <w:t xml:space="preserve">0.67 </w:t>
            </w:r>
          </w:p>
        </w:tc>
        <w:tc>
          <w:tcPr>
            <w:tcW w:w="1705" w:type="dxa"/>
            <w:vAlign w:val="center"/>
          </w:tcPr>
          <w:p w14:paraId="2D166FB4" w14:textId="77777777" w:rsidR="007075D9" w:rsidRPr="004D46AC" w:rsidRDefault="007075D9" w:rsidP="002C5F6E">
            <w:pPr>
              <w:spacing w:line="240" w:lineRule="auto"/>
              <w:ind w:firstLine="0"/>
            </w:pPr>
            <w:r w:rsidRPr="004D46AC">
              <w:rPr>
                <w:color w:val="000000"/>
                <w:szCs w:val="21"/>
              </w:rPr>
              <w:t xml:space="preserve">0.33 </w:t>
            </w:r>
          </w:p>
        </w:tc>
      </w:tr>
      <w:tr w:rsidR="007075D9" w:rsidRPr="004D46AC" w14:paraId="03A2783B" w14:textId="77777777">
        <w:tc>
          <w:tcPr>
            <w:tcW w:w="1704" w:type="dxa"/>
            <w:vAlign w:val="center"/>
          </w:tcPr>
          <w:p w14:paraId="25142949" w14:textId="77777777" w:rsidR="007075D9" w:rsidRPr="004D46AC" w:rsidRDefault="007075D9" w:rsidP="002C5F6E">
            <w:pPr>
              <w:spacing w:line="240" w:lineRule="auto"/>
              <w:ind w:firstLine="0"/>
            </w:pPr>
            <w:r w:rsidRPr="004D46AC">
              <w:rPr>
                <w:color w:val="000000"/>
              </w:rPr>
              <w:t>TR17--TR22</w:t>
            </w:r>
          </w:p>
        </w:tc>
        <w:tc>
          <w:tcPr>
            <w:tcW w:w="1704" w:type="dxa"/>
            <w:vAlign w:val="center"/>
          </w:tcPr>
          <w:p w14:paraId="1180A2A0"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0EEB8415"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7C36D6B1"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5ED745ED"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018FF0FD" w14:textId="77777777">
        <w:tc>
          <w:tcPr>
            <w:tcW w:w="1704" w:type="dxa"/>
            <w:vAlign w:val="center"/>
          </w:tcPr>
          <w:p w14:paraId="0AEB2ED4" w14:textId="77777777" w:rsidR="007075D9" w:rsidRPr="004D46AC" w:rsidRDefault="007075D9" w:rsidP="002C5F6E">
            <w:pPr>
              <w:spacing w:line="240" w:lineRule="auto"/>
              <w:ind w:firstLine="0"/>
            </w:pPr>
            <w:r w:rsidRPr="004D46AC">
              <w:rPr>
                <w:color w:val="000000"/>
              </w:rPr>
              <w:t>TR23--TR37</w:t>
            </w:r>
          </w:p>
        </w:tc>
        <w:tc>
          <w:tcPr>
            <w:tcW w:w="1704" w:type="dxa"/>
            <w:vAlign w:val="center"/>
          </w:tcPr>
          <w:p w14:paraId="7B7021C0"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17CBBF6F"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7E7BC263"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6CDD5197" w14:textId="77777777" w:rsidR="007075D9" w:rsidRPr="004D46AC" w:rsidRDefault="007075D9" w:rsidP="002C5F6E">
            <w:pPr>
              <w:spacing w:line="240" w:lineRule="auto"/>
              <w:ind w:firstLine="0"/>
            </w:pPr>
            <w:r w:rsidRPr="004D46AC">
              <w:rPr>
                <w:color w:val="000000"/>
                <w:szCs w:val="21"/>
              </w:rPr>
              <w:t xml:space="preserve">0.11 </w:t>
            </w:r>
          </w:p>
        </w:tc>
      </w:tr>
      <w:tr w:rsidR="007075D9" w:rsidRPr="004D46AC" w14:paraId="1750B5D1" w14:textId="77777777">
        <w:tc>
          <w:tcPr>
            <w:tcW w:w="1704" w:type="dxa"/>
            <w:vAlign w:val="center"/>
          </w:tcPr>
          <w:p w14:paraId="0A1CD961" w14:textId="77777777" w:rsidR="007075D9" w:rsidRPr="004D46AC" w:rsidRDefault="007075D9" w:rsidP="002C5F6E">
            <w:pPr>
              <w:spacing w:line="240" w:lineRule="auto"/>
              <w:ind w:firstLine="0"/>
            </w:pPr>
            <w:r w:rsidRPr="004D46AC">
              <w:rPr>
                <w:color w:val="000000"/>
              </w:rPr>
              <w:t>TR19--TR23</w:t>
            </w:r>
          </w:p>
        </w:tc>
        <w:tc>
          <w:tcPr>
            <w:tcW w:w="1704" w:type="dxa"/>
            <w:vAlign w:val="center"/>
          </w:tcPr>
          <w:p w14:paraId="0FCC0BF3"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21F3209D"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0736F321" w14:textId="77777777" w:rsidR="007075D9" w:rsidRPr="004D46AC" w:rsidRDefault="007075D9" w:rsidP="002C5F6E">
            <w:pPr>
              <w:spacing w:line="240" w:lineRule="auto"/>
              <w:ind w:firstLine="0"/>
            </w:pPr>
            <w:r w:rsidRPr="004D46AC">
              <w:rPr>
                <w:color w:val="000000"/>
                <w:szCs w:val="21"/>
              </w:rPr>
              <w:t xml:space="preserve">0.61 </w:t>
            </w:r>
          </w:p>
        </w:tc>
        <w:tc>
          <w:tcPr>
            <w:tcW w:w="1705" w:type="dxa"/>
            <w:vAlign w:val="center"/>
          </w:tcPr>
          <w:p w14:paraId="6219EAC7" w14:textId="77777777" w:rsidR="007075D9" w:rsidRPr="004D46AC" w:rsidRDefault="007075D9" w:rsidP="002C5F6E">
            <w:pPr>
              <w:spacing w:line="240" w:lineRule="auto"/>
              <w:ind w:firstLine="0"/>
            </w:pPr>
            <w:r w:rsidRPr="004D46AC">
              <w:rPr>
                <w:color w:val="000000"/>
                <w:szCs w:val="21"/>
              </w:rPr>
              <w:t xml:space="preserve">0.08 </w:t>
            </w:r>
          </w:p>
        </w:tc>
      </w:tr>
      <w:tr w:rsidR="007075D9" w:rsidRPr="004D46AC" w14:paraId="337577F2" w14:textId="77777777">
        <w:tc>
          <w:tcPr>
            <w:tcW w:w="1704" w:type="dxa"/>
            <w:vAlign w:val="center"/>
          </w:tcPr>
          <w:p w14:paraId="0E5BC2BC" w14:textId="77777777" w:rsidR="007075D9" w:rsidRPr="004D46AC" w:rsidRDefault="007075D9" w:rsidP="002C5F6E">
            <w:pPr>
              <w:spacing w:line="240" w:lineRule="auto"/>
              <w:ind w:firstLine="0"/>
            </w:pPr>
            <w:r w:rsidRPr="004D46AC">
              <w:rPr>
                <w:color w:val="000000"/>
              </w:rPr>
              <w:t>TR18--TR22</w:t>
            </w:r>
          </w:p>
        </w:tc>
        <w:tc>
          <w:tcPr>
            <w:tcW w:w="1704" w:type="dxa"/>
            <w:vAlign w:val="center"/>
          </w:tcPr>
          <w:p w14:paraId="714A556D"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4BBC1A1A"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0A4239AE" w14:textId="77777777" w:rsidR="007075D9" w:rsidRPr="004D46AC" w:rsidRDefault="007075D9" w:rsidP="002C5F6E">
            <w:pPr>
              <w:spacing w:line="240" w:lineRule="auto"/>
              <w:ind w:firstLine="0"/>
            </w:pPr>
            <w:r w:rsidRPr="004D46AC">
              <w:rPr>
                <w:color w:val="000000"/>
                <w:szCs w:val="21"/>
              </w:rPr>
              <w:t xml:space="preserve">0.64 </w:t>
            </w:r>
          </w:p>
        </w:tc>
        <w:tc>
          <w:tcPr>
            <w:tcW w:w="1705" w:type="dxa"/>
            <w:vAlign w:val="center"/>
          </w:tcPr>
          <w:p w14:paraId="29AB80B5"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5D46E4B1" w14:textId="77777777">
        <w:tc>
          <w:tcPr>
            <w:tcW w:w="1704" w:type="dxa"/>
            <w:vAlign w:val="center"/>
          </w:tcPr>
          <w:p w14:paraId="3C8750BC" w14:textId="77777777" w:rsidR="007075D9" w:rsidRPr="004D46AC" w:rsidRDefault="007075D9" w:rsidP="002C5F6E">
            <w:pPr>
              <w:spacing w:line="240" w:lineRule="auto"/>
              <w:ind w:firstLine="0"/>
            </w:pPr>
            <w:r w:rsidRPr="004D46AC">
              <w:rPr>
                <w:color w:val="000000"/>
              </w:rPr>
              <w:t>TR37--TR29</w:t>
            </w:r>
          </w:p>
        </w:tc>
        <w:tc>
          <w:tcPr>
            <w:tcW w:w="1704" w:type="dxa"/>
            <w:vAlign w:val="center"/>
          </w:tcPr>
          <w:p w14:paraId="2E3123A0"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2E30771C"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145639AD" w14:textId="77777777" w:rsidR="007075D9" w:rsidRPr="004D46AC" w:rsidRDefault="007075D9" w:rsidP="002C5F6E">
            <w:pPr>
              <w:spacing w:line="240" w:lineRule="auto"/>
              <w:ind w:firstLine="0"/>
            </w:pPr>
            <w:r w:rsidRPr="004D46AC">
              <w:rPr>
                <w:color w:val="000000"/>
                <w:szCs w:val="21"/>
              </w:rPr>
              <w:t xml:space="preserve">0.61 </w:t>
            </w:r>
          </w:p>
        </w:tc>
        <w:tc>
          <w:tcPr>
            <w:tcW w:w="1705" w:type="dxa"/>
            <w:vAlign w:val="center"/>
          </w:tcPr>
          <w:p w14:paraId="4AEF66C8" w14:textId="77777777" w:rsidR="007075D9" w:rsidRPr="004D46AC" w:rsidRDefault="007075D9" w:rsidP="002C5F6E">
            <w:pPr>
              <w:spacing w:line="240" w:lineRule="auto"/>
              <w:ind w:firstLine="0"/>
            </w:pPr>
            <w:r w:rsidRPr="004D46AC">
              <w:rPr>
                <w:color w:val="000000"/>
                <w:szCs w:val="21"/>
              </w:rPr>
              <w:t xml:space="preserve">0.18 </w:t>
            </w:r>
          </w:p>
        </w:tc>
      </w:tr>
      <w:tr w:rsidR="007075D9" w:rsidRPr="004D46AC" w14:paraId="20AB2D73" w14:textId="77777777">
        <w:tc>
          <w:tcPr>
            <w:tcW w:w="1704" w:type="dxa"/>
            <w:vAlign w:val="center"/>
          </w:tcPr>
          <w:p w14:paraId="03C03292" w14:textId="77777777" w:rsidR="007075D9" w:rsidRPr="004D46AC" w:rsidRDefault="007075D9" w:rsidP="002C5F6E">
            <w:pPr>
              <w:spacing w:line="240" w:lineRule="auto"/>
              <w:ind w:firstLine="0"/>
            </w:pPr>
            <w:r w:rsidRPr="004D46AC">
              <w:rPr>
                <w:color w:val="000000"/>
              </w:rPr>
              <w:t>TR15--TR19</w:t>
            </w:r>
          </w:p>
        </w:tc>
        <w:tc>
          <w:tcPr>
            <w:tcW w:w="1704" w:type="dxa"/>
            <w:vAlign w:val="center"/>
          </w:tcPr>
          <w:p w14:paraId="7F60BD76"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3D516170"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7613CC0B"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7087B156" w14:textId="77777777" w:rsidR="007075D9" w:rsidRPr="004D46AC" w:rsidRDefault="007075D9" w:rsidP="002C5F6E">
            <w:pPr>
              <w:spacing w:line="240" w:lineRule="auto"/>
              <w:ind w:firstLine="0"/>
            </w:pPr>
            <w:r w:rsidRPr="004D46AC">
              <w:rPr>
                <w:color w:val="000000"/>
                <w:szCs w:val="21"/>
              </w:rPr>
              <w:t xml:space="preserve">0.12 </w:t>
            </w:r>
          </w:p>
        </w:tc>
      </w:tr>
      <w:tr w:rsidR="007075D9" w:rsidRPr="004D46AC" w14:paraId="07BC1868" w14:textId="77777777">
        <w:tc>
          <w:tcPr>
            <w:tcW w:w="1704" w:type="dxa"/>
            <w:vAlign w:val="center"/>
          </w:tcPr>
          <w:p w14:paraId="61FB5C55" w14:textId="77777777" w:rsidR="007075D9" w:rsidRPr="004D46AC" w:rsidRDefault="007075D9" w:rsidP="002C5F6E">
            <w:pPr>
              <w:spacing w:line="240" w:lineRule="auto"/>
              <w:ind w:firstLine="0"/>
            </w:pPr>
            <w:r w:rsidRPr="004D46AC">
              <w:rPr>
                <w:color w:val="000000"/>
              </w:rPr>
              <w:t>TR29--TR22</w:t>
            </w:r>
          </w:p>
        </w:tc>
        <w:tc>
          <w:tcPr>
            <w:tcW w:w="1704" w:type="dxa"/>
            <w:vAlign w:val="center"/>
          </w:tcPr>
          <w:p w14:paraId="031214A1"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67AE1F9B"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1DFF6337"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698E00A8" w14:textId="77777777" w:rsidR="007075D9" w:rsidRPr="004D46AC" w:rsidRDefault="007075D9" w:rsidP="002C5F6E">
            <w:pPr>
              <w:spacing w:line="240" w:lineRule="auto"/>
              <w:ind w:firstLine="0"/>
            </w:pPr>
            <w:r w:rsidRPr="004D46AC">
              <w:rPr>
                <w:color w:val="000000"/>
                <w:szCs w:val="21"/>
              </w:rPr>
              <w:t xml:space="preserve">0.17 </w:t>
            </w:r>
          </w:p>
        </w:tc>
      </w:tr>
      <w:tr w:rsidR="007075D9" w:rsidRPr="004D46AC" w14:paraId="7B509658" w14:textId="77777777">
        <w:tc>
          <w:tcPr>
            <w:tcW w:w="1704" w:type="dxa"/>
            <w:vAlign w:val="center"/>
          </w:tcPr>
          <w:p w14:paraId="56010C6C" w14:textId="77777777" w:rsidR="007075D9" w:rsidRPr="004D46AC" w:rsidRDefault="007075D9" w:rsidP="002C5F6E">
            <w:pPr>
              <w:spacing w:line="240" w:lineRule="auto"/>
              <w:ind w:firstLine="0"/>
            </w:pPr>
            <w:r w:rsidRPr="004D46AC">
              <w:rPr>
                <w:color w:val="000000"/>
              </w:rPr>
              <w:t>TR15--TR33</w:t>
            </w:r>
          </w:p>
        </w:tc>
        <w:tc>
          <w:tcPr>
            <w:tcW w:w="1704" w:type="dxa"/>
            <w:vAlign w:val="center"/>
          </w:tcPr>
          <w:p w14:paraId="01465F62" w14:textId="77777777" w:rsidR="007075D9" w:rsidRPr="004D46AC" w:rsidRDefault="007075D9" w:rsidP="002C5F6E">
            <w:pPr>
              <w:spacing w:line="240" w:lineRule="auto"/>
              <w:ind w:firstLine="0"/>
            </w:pPr>
            <w:r w:rsidRPr="004D46AC">
              <w:rPr>
                <w:color w:val="000000"/>
                <w:szCs w:val="21"/>
              </w:rPr>
              <w:t xml:space="preserve">0.26 </w:t>
            </w:r>
          </w:p>
        </w:tc>
        <w:tc>
          <w:tcPr>
            <w:tcW w:w="1704" w:type="dxa"/>
            <w:vAlign w:val="center"/>
          </w:tcPr>
          <w:p w14:paraId="03C5E568"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59FE801A" w14:textId="77777777" w:rsidR="007075D9" w:rsidRPr="004D46AC" w:rsidRDefault="007075D9" w:rsidP="002C5F6E">
            <w:pPr>
              <w:spacing w:line="240" w:lineRule="auto"/>
              <w:ind w:firstLine="0"/>
            </w:pPr>
            <w:r w:rsidRPr="004D46AC">
              <w:rPr>
                <w:color w:val="000000"/>
                <w:szCs w:val="21"/>
              </w:rPr>
              <w:t xml:space="preserve">0.68 </w:t>
            </w:r>
          </w:p>
        </w:tc>
        <w:tc>
          <w:tcPr>
            <w:tcW w:w="1705" w:type="dxa"/>
            <w:vAlign w:val="center"/>
          </w:tcPr>
          <w:p w14:paraId="13854910" w14:textId="77777777" w:rsidR="007075D9" w:rsidRPr="004D46AC" w:rsidRDefault="007075D9" w:rsidP="002C5F6E">
            <w:pPr>
              <w:spacing w:line="240" w:lineRule="auto"/>
              <w:ind w:firstLine="0"/>
            </w:pPr>
            <w:r w:rsidRPr="004D46AC">
              <w:rPr>
                <w:color w:val="000000"/>
                <w:szCs w:val="21"/>
              </w:rPr>
              <w:t xml:space="preserve">0.17 </w:t>
            </w:r>
          </w:p>
        </w:tc>
      </w:tr>
      <w:tr w:rsidR="007075D9" w:rsidRPr="004D46AC" w14:paraId="75290D19" w14:textId="77777777">
        <w:tc>
          <w:tcPr>
            <w:tcW w:w="1704" w:type="dxa"/>
            <w:vAlign w:val="center"/>
          </w:tcPr>
          <w:p w14:paraId="5DA49C43" w14:textId="77777777" w:rsidR="007075D9" w:rsidRPr="004D46AC" w:rsidRDefault="007075D9" w:rsidP="002C5F6E">
            <w:pPr>
              <w:spacing w:line="240" w:lineRule="auto"/>
              <w:ind w:firstLine="0"/>
            </w:pPr>
            <w:r w:rsidRPr="004D46AC">
              <w:rPr>
                <w:color w:val="000000"/>
              </w:rPr>
              <w:t>TR21--TR9</w:t>
            </w:r>
          </w:p>
        </w:tc>
        <w:tc>
          <w:tcPr>
            <w:tcW w:w="1704" w:type="dxa"/>
            <w:vAlign w:val="center"/>
          </w:tcPr>
          <w:p w14:paraId="0F0B9E92" w14:textId="77777777" w:rsidR="007075D9" w:rsidRPr="004D46AC" w:rsidRDefault="007075D9" w:rsidP="002C5F6E">
            <w:pPr>
              <w:spacing w:line="240" w:lineRule="auto"/>
              <w:ind w:firstLine="0"/>
            </w:pPr>
            <w:r w:rsidRPr="004D46AC">
              <w:rPr>
                <w:color w:val="000000"/>
                <w:szCs w:val="21"/>
              </w:rPr>
              <w:t xml:space="preserve">0.26 </w:t>
            </w:r>
          </w:p>
        </w:tc>
        <w:tc>
          <w:tcPr>
            <w:tcW w:w="1704" w:type="dxa"/>
            <w:vAlign w:val="center"/>
          </w:tcPr>
          <w:p w14:paraId="4BCEED8D"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5C7C21FF"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2131236F"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7351879E" w14:textId="77777777">
        <w:tc>
          <w:tcPr>
            <w:tcW w:w="1704" w:type="dxa"/>
            <w:vAlign w:val="center"/>
          </w:tcPr>
          <w:p w14:paraId="42E865A1" w14:textId="77777777" w:rsidR="007075D9" w:rsidRPr="004D46AC" w:rsidRDefault="007075D9" w:rsidP="002C5F6E">
            <w:pPr>
              <w:spacing w:line="240" w:lineRule="auto"/>
              <w:ind w:firstLine="0"/>
            </w:pPr>
            <w:r w:rsidRPr="004D46AC">
              <w:rPr>
                <w:color w:val="000000"/>
              </w:rPr>
              <w:t>TR15--TR21</w:t>
            </w:r>
          </w:p>
        </w:tc>
        <w:tc>
          <w:tcPr>
            <w:tcW w:w="1704" w:type="dxa"/>
            <w:vAlign w:val="center"/>
          </w:tcPr>
          <w:p w14:paraId="688F9A8B" w14:textId="77777777" w:rsidR="007075D9" w:rsidRPr="004D46AC" w:rsidRDefault="007075D9" w:rsidP="002C5F6E">
            <w:pPr>
              <w:spacing w:line="240" w:lineRule="auto"/>
              <w:ind w:firstLine="0"/>
            </w:pPr>
            <w:r w:rsidRPr="004D46AC">
              <w:rPr>
                <w:color w:val="000000"/>
                <w:szCs w:val="21"/>
              </w:rPr>
              <w:t xml:space="preserve">0.26 </w:t>
            </w:r>
          </w:p>
        </w:tc>
        <w:tc>
          <w:tcPr>
            <w:tcW w:w="1704" w:type="dxa"/>
            <w:vAlign w:val="center"/>
          </w:tcPr>
          <w:p w14:paraId="6828A428"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7A2E6E51"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624B06D2"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256519A7" w14:textId="77777777">
        <w:tc>
          <w:tcPr>
            <w:tcW w:w="1704" w:type="dxa"/>
            <w:vAlign w:val="center"/>
          </w:tcPr>
          <w:p w14:paraId="19CCB6BB" w14:textId="77777777" w:rsidR="007075D9" w:rsidRPr="004D46AC" w:rsidRDefault="007075D9" w:rsidP="002C5F6E">
            <w:pPr>
              <w:spacing w:line="240" w:lineRule="auto"/>
              <w:ind w:firstLine="0"/>
            </w:pPr>
            <w:r w:rsidRPr="004D46AC">
              <w:rPr>
                <w:color w:val="000000"/>
              </w:rPr>
              <w:t>TR37--TR20</w:t>
            </w:r>
          </w:p>
        </w:tc>
        <w:tc>
          <w:tcPr>
            <w:tcW w:w="1704" w:type="dxa"/>
            <w:vAlign w:val="center"/>
          </w:tcPr>
          <w:p w14:paraId="5D8AE100" w14:textId="77777777" w:rsidR="007075D9" w:rsidRPr="004D46AC" w:rsidRDefault="007075D9" w:rsidP="002C5F6E">
            <w:pPr>
              <w:spacing w:line="240" w:lineRule="auto"/>
              <w:ind w:firstLine="0"/>
            </w:pPr>
            <w:r w:rsidRPr="004D46AC">
              <w:rPr>
                <w:color w:val="000000"/>
                <w:szCs w:val="21"/>
              </w:rPr>
              <w:t xml:space="preserve">0.26 </w:t>
            </w:r>
          </w:p>
        </w:tc>
        <w:tc>
          <w:tcPr>
            <w:tcW w:w="1704" w:type="dxa"/>
            <w:vAlign w:val="center"/>
          </w:tcPr>
          <w:p w14:paraId="33E69844"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306C2552"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3FE0929B" w14:textId="77777777" w:rsidR="007075D9" w:rsidRPr="004D46AC" w:rsidRDefault="007075D9" w:rsidP="002C5F6E">
            <w:pPr>
              <w:spacing w:line="240" w:lineRule="auto"/>
              <w:ind w:firstLine="0"/>
            </w:pPr>
            <w:r w:rsidRPr="004D46AC">
              <w:rPr>
                <w:color w:val="000000"/>
                <w:szCs w:val="21"/>
              </w:rPr>
              <w:t xml:space="preserve">0.19 </w:t>
            </w:r>
          </w:p>
        </w:tc>
      </w:tr>
      <w:tr w:rsidR="007075D9" w:rsidRPr="004D46AC" w14:paraId="1415B090" w14:textId="77777777">
        <w:tc>
          <w:tcPr>
            <w:tcW w:w="1704" w:type="dxa"/>
            <w:vAlign w:val="center"/>
          </w:tcPr>
          <w:p w14:paraId="3295F13D" w14:textId="77777777" w:rsidR="007075D9" w:rsidRPr="004D46AC" w:rsidRDefault="007075D9" w:rsidP="002C5F6E">
            <w:pPr>
              <w:spacing w:line="240" w:lineRule="auto"/>
              <w:ind w:firstLine="0"/>
            </w:pPr>
            <w:r w:rsidRPr="004D46AC">
              <w:rPr>
                <w:color w:val="000000"/>
              </w:rPr>
              <w:t>TR7--TR24</w:t>
            </w:r>
          </w:p>
        </w:tc>
        <w:tc>
          <w:tcPr>
            <w:tcW w:w="1704" w:type="dxa"/>
            <w:vAlign w:val="center"/>
          </w:tcPr>
          <w:p w14:paraId="3D547545"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6C23B62D"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3110BB95" w14:textId="77777777" w:rsidR="007075D9" w:rsidRPr="004D46AC" w:rsidRDefault="007075D9" w:rsidP="002C5F6E">
            <w:pPr>
              <w:spacing w:line="240" w:lineRule="auto"/>
              <w:ind w:firstLine="0"/>
            </w:pPr>
            <w:r w:rsidRPr="004D46AC">
              <w:rPr>
                <w:color w:val="000000"/>
                <w:szCs w:val="21"/>
              </w:rPr>
              <w:t xml:space="preserve">0.59 </w:t>
            </w:r>
          </w:p>
        </w:tc>
        <w:tc>
          <w:tcPr>
            <w:tcW w:w="1705" w:type="dxa"/>
            <w:vAlign w:val="center"/>
          </w:tcPr>
          <w:p w14:paraId="69F917DF" w14:textId="77777777" w:rsidR="007075D9" w:rsidRPr="004D46AC" w:rsidRDefault="007075D9" w:rsidP="002C5F6E">
            <w:pPr>
              <w:spacing w:line="240" w:lineRule="auto"/>
              <w:ind w:firstLine="0"/>
            </w:pPr>
            <w:r w:rsidRPr="004D46AC">
              <w:rPr>
                <w:color w:val="000000"/>
                <w:szCs w:val="21"/>
              </w:rPr>
              <w:t xml:space="preserve">0.18 </w:t>
            </w:r>
          </w:p>
        </w:tc>
      </w:tr>
      <w:tr w:rsidR="007075D9" w:rsidRPr="004D46AC" w14:paraId="2F2BE6B9" w14:textId="77777777">
        <w:tc>
          <w:tcPr>
            <w:tcW w:w="1704" w:type="dxa"/>
            <w:vAlign w:val="center"/>
          </w:tcPr>
          <w:p w14:paraId="1F234308" w14:textId="77777777" w:rsidR="007075D9" w:rsidRPr="004D46AC" w:rsidRDefault="007075D9" w:rsidP="002C5F6E">
            <w:pPr>
              <w:spacing w:line="240" w:lineRule="auto"/>
              <w:ind w:firstLine="0"/>
            </w:pPr>
            <w:r w:rsidRPr="004D46AC">
              <w:rPr>
                <w:color w:val="000000"/>
              </w:rPr>
              <w:t>TR21--TR17</w:t>
            </w:r>
          </w:p>
        </w:tc>
        <w:tc>
          <w:tcPr>
            <w:tcW w:w="1704" w:type="dxa"/>
            <w:vAlign w:val="center"/>
          </w:tcPr>
          <w:p w14:paraId="26CF3EA8"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77A38812"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57A820F6"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6805521C" w14:textId="77777777" w:rsidR="007075D9" w:rsidRPr="004D46AC" w:rsidRDefault="007075D9" w:rsidP="002C5F6E">
            <w:pPr>
              <w:spacing w:line="240" w:lineRule="auto"/>
              <w:ind w:firstLine="0"/>
            </w:pPr>
            <w:r w:rsidRPr="004D46AC">
              <w:rPr>
                <w:color w:val="000000"/>
                <w:szCs w:val="21"/>
              </w:rPr>
              <w:t xml:space="preserve">0.11 </w:t>
            </w:r>
          </w:p>
        </w:tc>
      </w:tr>
      <w:tr w:rsidR="007075D9" w:rsidRPr="004D46AC" w14:paraId="2F9FC0FC" w14:textId="77777777">
        <w:tc>
          <w:tcPr>
            <w:tcW w:w="1704" w:type="dxa"/>
            <w:vAlign w:val="center"/>
          </w:tcPr>
          <w:p w14:paraId="423F05EC" w14:textId="77777777" w:rsidR="007075D9" w:rsidRPr="004D46AC" w:rsidRDefault="007075D9" w:rsidP="002C5F6E">
            <w:pPr>
              <w:spacing w:line="240" w:lineRule="auto"/>
              <w:ind w:firstLine="0"/>
            </w:pPr>
            <w:r w:rsidRPr="004D46AC">
              <w:rPr>
                <w:color w:val="000000"/>
              </w:rPr>
              <w:t>TR3--TR17</w:t>
            </w:r>
          </w:p>
        </w:tc>
        <w:tc>
          <w:tcPr>
            <w:tcW w:w="1704" w:type="dxa"/>
            <w:vAlign w:val="center"/>
          </w:tcPr>
          <w:p w14:paraId="06D309DA"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692D9EE0"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1634D770" w14:textId="77777777" w:rsidR="007075D9" w:rsidRPr="004D46AC" w:rsidRDefault="007075D9" w:rsidP="002C5F6E">
            <w:pPr>
              <w:spacing w:line="240" w:lineRule="auto"/>
              <w:ind w:firstLine="0"/>
            </w:pPr>
            <w:r w:rsidRPr="004D46AC">
              <w:rPr>
                <w:color w:val="000000"/>
                <w:szCs w:val="21"/>
              </w:rPr>
              <w:t xml:space="preserve">0.59 </w:t>
            </w:r>
          </w:p>
        </w:tc>
        <w:tc>
          <w:tcPr>
            <w:tcW w:w="1705" w:type="dxa"/>
            <w:vAlign w:val="center"/>
          </w:tcPr>
          <w:p w14:paraId="043991EC" w14:textId="77777777" w:rsidR="007075D9" w:rsidRPr="004D46AC" w:rsidRDefault="007075D9" w:rsidP="002C5F6E">
            <w:pPr>
              <w:spacing w:line="240" w:lineRule="auto"/>
              <w:ind w:firstLine="0"/>
            </w:pPr>
            <w:r w:rsidRPr="004D46AC">
              <w:rPr>
                <w:color w:val="000000"/>
                <w:szCs w:val="21"/>
              </w:rPr>
              <w:t xml:space="preserve">0.13 </w:t>
            </w:r>
          </w:p>
        </w:tc>
      </w:tr>
      <w:tr w:rsidR="007075D9" w:rsidRPr="004D46AC" w14:paraId="4106413C" w14:textId="77777777">
        <w:tc>
          <w:tcPr>
            <w:tcW w:w="1704" w:type="dxa"/>
            <w:vAlign w:val="center"/>
          </w:tcPr>
          <w:p w14:paraId="1EBB4A82" w14:textId="77777777" w:rsidR="007075D9" w:rsidRPr="004D46AC" w:rsidRDefault="007075D9" w:rsidP="002C5F6E">
            <w:pPr>
              <w:spacing w:line="240" w:lineRule="auto"/>
              <w:ind w:firstLine="0"/>
            </w:pPr>
            <w:r w:rsidRPr="004D46AC">
              <w:rPr>
                <w:color w:val="000000"/>
              </w:rPr>
              <w:t>TR19--TR34</w:t>
            </w:r>
          </w:p>
        </w:tc>
        <w:tc>
          <w:tcPr>
            <w:tcW w:w="1704" w:type="dxa"/>
            <w:vAlign w:val="center"/>
          </w:tcPr>
          <w:p w14:paraId="1226113B"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596FBA28"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2E457370"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396A6089"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19626FB6" w14:textId="77777777">
        <w:tc>
          <w:tcPr>
            <w:tcW w:w="1704" w:type="dxa"/>
            <w:vAlign w:val="center"/>
          </w:tcPr>
          <w:p w14:paraId="28016FFE" w14:textId="77777777" w:rsidR="007075D9" w:rsidRPr="004D46AC" w:rsidRDefault="007075D9" w:rsidP="002C5F6E">
            <w:pPr>
              <w:spacing w:line="240" w:lineRule="auto"/>
              <w:ind w:firstLine="0"/>
            </w:pPr>
            <w:r w:rsidRPr="004D46AC">
              <w:rPr>
                <w:color w:val="000000"/>
              </w:rPr>
              <w:t>TR17--TR14</w:t>
            </w:r>
          </w:p>
        </w:tc>
        <w:tc>
          <w:tcPr>
            <w:tcW w:w="1704" w:type="dxa"/>
            <w:vAlign w:val="center"/>
          </w:tcPr>
          <w:p w14:paraId="5A322AE7"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51A4D2A2"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3B316E36"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725DF3E4" w14:textId="77777777" w:rsidR="007075D9" w:rsidRPr="004D46AC" w:rsidRDefault="007075D9" w:rsidP="002C5F6E">
            <w:pPr>
              <w:spacing w:line="240" w:lineRule="auto"/>
              <w:ind w:firstLine="0"/>
            </w:pPr>
            <w:r w:rsidRPr="004D46AC">
              <w:rPr>
                <w:color w:val="000000"/>
                <w:szCs w:val="21"/>
              </w:rPr>
              <w:t xml:space="preserve">0.12 </w:t>
            </w:r>
          </w:p>
        </w:tc>
      </w:tr>
      <w:tr w:rsidR="007075D9" w:rsidRPr="004D46AC" w14:paraId="605406A4" w14:textId="77777777">
        <w:tc>
          <w:tcPr>
            <w:tcW w:w="1704" w:type="dxa"/>
            <w:vAlign w:val="center"/>
          </w:tcPr>
          <w:p w14:paraId="70645296" w14:textId="77777777" w:rsidR="007075D9" w:rsidRPr="004D46AC" w:rsidRDefault="007075D9" w:rsidP="002C5F6E">
            <w:pPr>
              <w:spacing w:line="240" w:lineRule="auto"/>
              <w:ind w:firstLine="0"/>
            </w:pPr>
            <w:r w:rsidRPr="004D46AC">
              <w:rPr>
                <w:color w:val="000000"/>
              </w:rPr>
              <w:t>TR21--TR37</w:t>
            </w:r>
          </w:p>
        </w:tc>
        <w:tc>
          <w:tcPr>
            <w:tcW w:w="1704" w:type="dxa"/>
            <w:vAlign w:val="center"/>
          </w:tcPr>
          <w:p w14:paraId="53C12A8B"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3489FF9F"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2D204A88"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4AD82018"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0984AFBB" w14:textId="77777777">
        <w:tc>
          <w:tcPr>
            <w:tcW w:w="1704" w:type="dxa"/>
            <w:vAlign w:val="center"/>
          </w:tcPr>
          <w:p w14:paraId="128FBE30" w14:textId="77777777" w:rsidR="007075D9" w:rsidRPr="004D46AC" w:rsidRDefault="007075D9" w:rsidP="002C5F6E">
            <w:pPr>
              <w:spacing w:line="240" w:lineRule="auto"/>
              <w:ind w:firstLine="0"/>
            </w:pPr>
            <w:r w:rsidRPr="004D46AC">
              <w:rPr>
                <w:color w:val="000000"/>
              </w:rPr>
              <w:t>TR21--TR33</w:t>
            </w:r>
          </w:p>
        </w:tc>
        <w:tc>
          <w:tcPr>
            <w:tcW w:w="1704" w:type="dxa"/>
            <w:vAlign w:val="center"/>
          </w:tcPr>
          <w:p w14:paraId="2F7FED89"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59C88027"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7BE93AC5"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3D809945" w14:textId="77777777" w:rsidR="007075D9" w:rsidRPr="004D46AC" w:rsidRDefault="007075D9" w:rsidP="002C5F6E">
            <w:pPr>
              <w:spacing w:line="240" w:lineRule="auto"/>
              <w:ind w:firstLine="0"/>
            </w:pPr>
            <w:r w:rsidRPr="004D46AC">
              <w:rPr>
                <w:color w:val="000000"/>
                <w:szCs w:val="21"/>
              </w:rPr>
              <w:t xml:space="preserve">0.21 </w:t>
            </w:r>
          </w:p>
        </w:tc>
      </w:tr>
      <w:tr w:rsidR="007075D9" w:rsidRPr="004D46AC" w14:paraId="5C238E0D" w14:textId="77777777">
        <w:tc>
          <w:tcPr>
            <w:tcW w:w="1704" w:type="dxa"/>
            <w:vAlign w:val="center"/>
          </w:tcPr>
          <w:p w14:paraId="42564D3C" w14:textId="77777777" w:rsidR="007075D9" w:rsidRPr="004D46AC" w:rsidRDefault="007075D9" w:rsidP="002C5F6E">
            <w:pPr>
              <w:spacing w:line="240" w:lineRule="auto"/>
              <w:ind w:firstLine="0"/>
            </w:pPr>
            <w:r w:rsidRPr="004D46AC">
              <w:rPr>
                <w:color w:val="000000"/>
              </w:rPr>
              <w:t>TR9--TR17</w:t>
            </w:r>
          </w:p>
        </w:tc>
        <w:tc>
          <w:tcPr>
            <w:tcW w:w="1704" w:type="dxa"/>
            <w:vAlign w:val="center"/>
          </w:tcPr>
          <w:p w14:paraId="03DDC866"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6E5D9D1C"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186133E2"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6410308D" w14:textId="77777777" w:rsidR="007075D9" w:rsidRPr="004D46AC" w:rsidRDefault="007075D9" w:rsidP="002C5F6E">
            <w:pPr>
              <w:spacing w:line="240" w:lineRule="auto"/>
              <w:ind w:firstLine="0"/>
            </w:pPr>
            <w:r w:rsidRPr="004D46AC">
              <w:rPr>
                <w:color w:val="000000"/>
                <w:szCs w:val="21"/>
              </w:rPr>
              <w:t xml:space="preserve">0.12 </w:t>
            </w:r>
          </w:p>
        </w:tc>
      </w:tr>
      <w:tr w:rsidR="007075D9" w:rsidRPr="004D46AC" w14:paraId="587004F0" w14:textId="77777777">
        <w:tc>
          <w:tcPr>
            <w:tcW w:w="1704" w:type="dxa"/>
            <w:vAlign w:val="center"/>
          </w:tcPr>
          <w:p w14:paraId="5B0D7A16" w14:textId="77777777" w:rsidR="007075D9" w:rsidRPr="004D46AC" w:rsidRDefault="007075D9" w:rsidP="002C5F6E">
            <w:pPr>
              <w:spacing w:line="240" w:lineRule="auto"/>
              <w:ind w:firstLine="0"/>
            </w:pPr>
            <w:r w:rsidRPr="004D46AC">
              <w:rPr>
                <w:color w:val="000000"/>
              </w:rPr>
              <w:t>TR7--TR37</w:t>
            </w:r>
          </w:p>
        </w:tc>
        <w:tc>
          <w:tcPr>
            <w:tcW w:w="1704" w:type="dxa"/>
            <w:vAlign w:val="center"/>
          </w:tcPr>
          <w:p w14:paraId="2F119761"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50E9219B"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1ABB0815"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1431E021" w14:textId="77777777" w:rsidR="007075D9" w:rsidRPr="004D46AC" w:rsidRDefault="007075D9" w:rsidP="002C5F6E">
            <w:pPr>
              <w:spacing w:line="240" w:lineRule="auto"/>
              <w:ind w:firstLine="0"/>
            </w:pPr>
            <w:r w:rsidRPr="004D46AC">
              <w:rPr>
                <w:color w:val="000000"/>
                <w:szCs w:val="21"/>
              </w:rPr>
              <w:t xml:space="preserve">0.29 </w:t>
            </w:r>
          </w:p>
        </w:tc>
      </w:tr>
      <w:tr w:rsidR="007075D9" w:rsidRPr="004D46AC" w14:paraId="2075FFCA" w14:textId="77777777">
        <w:tc>
          <w:tcPr>
            <w:tcW w:w="1704" w:type="dxa"/>
            <w:vAlign w:val="center"/>
          </w:tcPr>
          <w:p w14:paraId="5C7A58CE" w14:textId="77777777" w:rsidR="007075D9" w:rsidRPr="004D46AC" w:rsidRDefault="007075D9" w:rsidP="002C5F6E">
            <w:pPr>
              <w:spacing w:line="240" w:lineRule="auto"/>
              <w:ind w:firstLine="0"/>
            </w:pPr>
            <w:r w:rsidRPr="004D46AC">
              <w:rPr>
                <w:color w:val="000000"/>
              </w:rPr>
              <w:t>TR19--TR6</w:t>
            </w:r>
          </w:p>
        </w:tc>
        <w:tc>
          <w:tcPr>
            <w:tcW w:w="1704" w:type="dxa"/>
            <w:vAlign w:val="center"/>
          </w:tcPr>
          <w:p w14:paraId="5CADCD12"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12A11D82"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49F5C244"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742A93D3"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6A1E43EF" w14:textId="77777777">
        <w:tc>
          <w:tcPr>
            <w:tcW w:w="1704" w:type="dxa"/>
            <w:vAlign w:val="center"/>
          </w:tcPr>
          <w:p w14:paraId="69E29EDA" w14:textId="77777777" w:rsidR="007075D9" w:rsidRPr="004D46AC" w:rsidRDefault="007075D9" w:rsidP="002C5F6E">
            <w:pPr>
              <w:spacing w:line="240" w:lineRule="auto"/>
              <w:ind w:firstLine="0"/>
            </w:pPr>
            <w:r w:rsidRPr="004D46AC">
              <w:rPr>
                <w:color w:val="000000"/>
              </w:rPr>
              <w:t>TR24--TR34</w:t>
            </w:r>
          </w:p>
        </w:tc>
        <w:tc>
          <w:tcPr>
            <w:tcW w:w="1704" w:type="dxa"/>
            <w:vAlign w:val="center"/>
          </w:tcPr>
          <w:p w14:paraId="35F5136C"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15F6E43D"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3B9EAF02"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51ACB811"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7EA5A2D6" w14:textId="77777777">
        <w:tc>
          <w:tcPr>
            <w:tcW w:w="1704" w:type="dxa"/>
            <w:vAlign w:val="center"/>
          </w:tcPr>
          <w:p w14:paraId="262106E9" w14:textId="77777777" w:rsidR="007075D9" w:rsidRPr="004D46AC" w:rsidRDefault="007075D9" w:rsidP="002C5F6E">
            <w:pPr>
              <w:spacing w:line="240" w:lineRule="auto"/>
              <w:ind w:firstLine="0"/>
            </w:pPr>
            <w:r w:rsidRPr="004D46AC">
              <w:rPr>
                <w:color w:val="000000"/>
              </w:rPr>
              <w:t>TR5--TR9</w:t>
            </w:r>
          </w:p>
        </w:tc>
        <w:tc>
          <w:tcPr>
            <w:tcW w:w="1704" w:type="dxa"/>
            <w:vAlign w:val="center"/>
          </w:tcPr>
          <w:p w14:paraId="5C12DF60"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5B1051B2"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1C1B021E"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532CF451" w14:textId="77777777" w:rsidR="007075D9" w:rsidRPr="004D46AC" w:rsidRDefault="007075D9" w:rsidP="002C5F6E">
            <w:pPr>
              <w:spacing w:line="240" w:lineRule="auto"/>
              <w:ind w:firstLine="0"/>
            </w:pPr>
            <w:r w:rsidRPr="004D46AC">
              <w:rPr>
                <w:color w:val="000000"/>
                <w:szCs w:val="21"/>
              </w:rPr>
              <w:t xml:space="preserve">0.46 </w:t>
            </w:r>
          </w:p>
        </w:tc>
      </w:tr>
      <w:tr w:rsidR="007075D9" w:rsidRPr="004D46AC" w14:paraId="34AFA280" w14:textId="77777777">
        <w:tc>
          <w:tcPr>
            <w:tcW w:w="1704" w:type="dxa"/>
            <w:vAlign w:val="center"/>
          </w:tcPr>
          <w:p w14:paraId="3364DCA9" w14:textId="77777777" w:rsidR="007075D9" w:rsidRPr="004D46AC" w:rsidRDefault="007075D9" w:rsidP="002C5F6E">
            <w:pPr>
              <w:spacing w:line="240" w:lineRule="auto"/>
              <w:ind w:firstLine="0"/>
            </w:pPr>
            <w:r w:rsidRPr="004D46AC">
              <w:rPr>
                <w:color w:val="000000"/>
              </w:rPr>
              <w:t>TR24--TR20</w:t>
            </w:r>
          </w:p>
        </w:tc>
        <w:tc>
          <w:tcPr>
            <w:tcW w:w="1704" w:type="dxa"/>
            <w:vAlign w:val="center"/>
          </w:tcPr>
          <w:p w14:paraId="3F720F0B" w14:textId="77777777" w:rsidR="007075D9" w:rsidRPr="004D46AC" w:rsidRDefault="007075D9" w:rsidP="002C5F6E">
            <w:pPr>
              <w:spacing w:line="240" w:lineRule="auto"/>
              <w:ind w:firstLine="0"/>
            </w:pPr>
            <w:r w:rsidRPr="004D46AC">
              <w:rPr>
                <w:color w:val="000000"/>
                <w:szCs w:val="21"/>
              </w:rPr>
              <w:t xml:space="preserve">0.22 </w:t>
            </w:r>
          </w:p>
        </w:tc>
        <w:tc>
          <w:tcPr>
            <w:tcW w:w="1704" w:type="dxa"/>
            <w:vAlign w:val="center"/>
          </w:tcPr>
          <w:p w14:paraId="15B7F60F"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4D6767DA"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1307FE33"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3CBC4F9C" w14:textId="77777777">
        <w:tc>
          <w:tcPr>
            <w:tcW w:w="1704" w:type="dxa"/>
            <w:vAlign w:val="center"/>
          </w:tcPr>
          <w:p w14:paraId="50F9D646" w14:textId="77777777" w:rsidR="007075D9" w:rsidRPr="004D46AC" w:rsidRDefault="007075D9" w:rsidP="002C5F6E">
            <w:pPr>
              <w:spacing w:line="240" w:lineRule="auto"/>
              <w:ind w:firstLine="0"/>
            </w:pPr>
            <w:r w:rsidRPr="004D46AC">
              <w:rPr>
                <w:color w:val="000000"/>
              </w:rPr>
              <w:t>TR21--TR20</w:t>
            </w:r>
          </w:p>
        </w:tc>
        <w:tc>
          <w:tcPr>
            <w:tcW w:w="1704" w:type="dxa"/>
            <w:vAlign w:val="center"/>
          </w:tcPr>
          <w:p w14:paraId="1B9E2A1A" w14:textId="77777777" w:rsidR="007075D9" w:rsidRPr="004D46AC" w:rsidRDefault="007075D9" w:rsidP="002C5F6E">
            <w:pPr>
              <w:spacing w:line="240" w:lineRule="auto"/>
              <w:ind w:firstLine="0"/>
            </w:pPr>
            <w:r w:rsidRPr="004D46AC">
              <w:rPr>
                <w:color w:val="000000"/>
                <w:szCs w:val="21"/>
              </w:rPr>
              <w:t xml:space="preserve">0.22 </w:t>
            </w:r>
          </w:p>
        </w:tc>
        <w:tc>
          <w:tcPr>
            <w:tcW w:w="1704" w:type="dxa"/>
            <w:vAlign w:val="center"/>
          </w:tcPr>
          <w:p w14:paraId="1DC1E5CA"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32992EA8"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399FA651" w14:textId="77777777" w:rsidR="007075D9" w:rsidRPr="004D46AC" w:rsidRDefault="007075D9" w:rsidP="002C5F6E">
            <w:pPr>
              <w:spacing w:line="240" w:lineRule="auto"/>
              <w:ind w:firstLine="0"/>
            </w:pPr>
            <w:r w:rsidRPr="004D46AC">
              <w:rPr>
                <w:color w:val="000000"/>
                <w:szCs w:val="21"/>
              </w:rPr>
              <w:t xml:space="preserve">0.25 </w:t>
            </w:r>
          </w:p>
        </w:tc>
      </w:tr>
      <w:tr w:rsidR="007075D9" w:rsidRPr="004D46AC" w14:paraId="461E66F5" w14:textId="77777777">
        <w:tc>
          <w:tcPr>
            <w:tcW w:w="1704" w:type="dxa"/>
            <w:vAlign w:val="center"/>
          </w:tcPr>
          <w:p w14:paraId="1F46F9E0" w14:textId="77777777" w:rsidR="007075D9" w:rsidRPr="004D46AC" w:rsidRDefault="007075D9" w:rsidP="002C5F6E">
            <w:pPr>
              <w:spacing w:line="240" w:lineRule="auto"/>
              <w:ind w:firstLine="0"/>
            </w:pPr>
            <w:r w:rsidRPr="004D46AC">
              <w:rPr>
                <w:color w:val="000000"/>
              </w:rPr>
              <w:t>TR37--TR18</w:t>
            </w:r>
          </w:p>
        </w:tc>
        <w:tc>
          <w:tcPr>
            <w:tcW w:w="1704" w:type="dxa"/>
            <w:vAlign w:val="center"/>
          </w:tcPr>
          <w:p w14:paraId="00ECD6ED"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18FDFFB1"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6346E89D"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3256C709" w14:textId="77777777" w:rsidR="007075D9" w:rsidRPr="004D46AC" w:rsidRDefault="007075D9" w:rsidP="002C5F6E">
            <w:pPr>
              <w:spacing w:line="240" w:lineRule="auto"/>
              <w:ind w:firstLine="0"/>
            </w:pPr>
            <w:r w:rsidRPr="004D46AC">
              <w:rPr>
                <w:color w:val="000000"/>
                <w:szCs w:val="21"/>
              </w:rPr>
              <w:t xml:space="preserve">0.21 </w:t>
            </w:r>
          </w:p>
        </w:tc>
      </w:tr>
      <w:tr w:rsidR="007075D9" w:rsidRPr="004D46AC" w14:paraId="7E0A9324" w14:textId="77777777">
        <w:tc>
          <w:tcPr>
            <w:tcW w:w="1704" w:type="dxa"/>
            <w:vAlign w:val="center"/>
          </w:tcPr>
          <w:p w14:paraId="176091CF" w14:textId="77777777" w:rsidR="007075D9" w:rsidRPr="004D46AC" w:rsidRDefault="007075D9" w:rsidP="002C5F6E">
            <w:pPr>
              <w:spacing w:line="240" w:lineRule="auto"/>
              <w:ind w:firstLine="0"/>
            </w:pPr>
            <w:r w:rsidRPr="004D46AC">
              <w:rPr>
                <w:color w:val="000000"/>
              </w:rPr>
              <w:t>TR21--TR23</w:t>
            </w:r>
          </w:p>
        </w:tc>
        <w:tc>
          <w:tcPr>
            <w:tcW w:w="1704" w:type="dxa"/>
            <w:vAlign w:val="center"/>
          </w:tcPr>
          <w:p w14:paraId="6EC66CA4"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4D42C37E"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1552929E"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1BCF62B6" w14:textId="77777777" w:rsidR="007075D9" w:rsidRPr="004D46AC" w:rsidRDefault="007075D9" w:rsidP="002C5F6E">
            <w:pPr>
              <w:spacing w:line="240" w:lineRule="auto"/>
              <w:ind w:firstLine="0"/>
            </w:pPr>
            <w:r w:rsidRPr="004D46AC">
              <w:rPr>
                <w:color w:val="000000"/>
                <w:szCs w:val="21"/>
              </w:rPr>
              <w:t xml:space="preserve">0.19 </w:t>
            </w:r>
          </w:p>
        </w:tc>
      </w:tr>
      <w:tr w:rsidR="007075D9" w:rsidRPr="004D46AC" w14:paraId="018EC15F" w14:textId="77777777">
        <w:tc>
          <w:tcPr>
            <w:tcW w:w="1704" w:type="dxa"/>
            <w:vAlign w:val="center"/>
          </w:tcPr>
          <w:p w14:paraId="76BBC0AA" w14:textId="77777777" w:rsidR="007075D9" w:rsidRPr="004D46AC" w:rsidRDefault="007075D9" w:rsidP="002C5F6E">
            <w:pPr>
              <w:spacing w:line="240" w:lineRule="auto"/>
              <w:ind w:firstLine="0"/>
            </w:pPr>
            <w:r w:rsidRPr="004D46AC">
              <w:rPr>
                <w:color w:val="000000"/>
              </w:rPr>
              <w:t>TR17--TR20</w:t>
            </w:r>
          </w:p>
        </w:tc>
        <w:tc>
          <w:tcPr>
            <w:tcW w:w="1704" w:type="dxa"/>
            <w:vAlign w:val="center"/>
          </w:tcPr>
          <w:p w14:paraId="1BDB2BE0"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422EFC6D"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1F96C973"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76BB112C" w14:textId="77777777" w:rsidR="007075D9" w:rsidRPr="004D46AC" w:rsidRDefault="007075D9" w:rsidP="002C5F6E">
            <w:pPr>
              <w:spacing w:line="240" w:lineRule="auto"/>
              <w:ind w:firstLine="0"/>
            </w:pPr>
            <w:r w:rsidRPr="004D46AC">
              <w:rPr>
                <w:color w:val="000000"/>
                <w:szCs w:val="21"/>
              </w:rPr>
              <w:t xml:space="preserve">0.13 </w:t>
            </w:r>
          </w:p>
        </w:tc>
      </w:tr>
      <w:tr w:rsidR="007075D9" w:rsidRPr="004D46AC" w14:paraId="7864F113" w14:textId="77777777">
        <w:tc>
          <w:tcPr>
            <w:tcW w:w="1704" w:type="dxa"/>
            <w:vAlign w:val="center"/>
          </w:tcPr>
          <w:p w14:paraId="5C9CFAB4" w14:textId="77777777" w:rsidR="007075D9" w:rsidRPr="004D46AC" w:rsidRDefault="007075D9" w:rsidP="002C5F6E">
            <w:pPr>
              <w:spacing w:line="240" w:lineRule="auto"/>
              <w:ind w:firstLine="0"/>
            </w:pPr>
            <w:r w:rsidRPr="004D46AC">
              <w:rPr>
                <w:color w:val="000000"/>
              </w:rPr>
              <w:t>TR15--TR6</w:t>
            </w:r>
          </w:p>
        </w:tc>
        <w:tc>
          <w:tcPr>
            <w:tcW w:w="1704" w:type="dxa"/>
            <w:vAlign w:val="center"/>
          </w:tcPr>
          <w:p w14:paraId="0D4AB724"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0660A6AA"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44E67F48"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59ADB77C" w14:textId="77777777" w:rsidR="007075D9" w:rsidRPr="004D46AC" w:rsidRDefault="007075D9" w:rsidP="002C5F6E">
            <w:pPr>
              <w:spacing w:line="240" w:lineRule="auto"/>
              <w:ind w:firstLine="0"/>
            </w:pPr>
            <w:r w:rsidRPr="004D46AC">
              <w:rPr>
                <w:color w:val="000000"/>
                <w:szCs w:val="21"/>
              </w:rPr>
              <w:t xml:space="preserve">0.31 </w:t>
            </w:r>
          </w:p>
        </w:tc>
      </w:tr>
      <w:tr w:rsidR="007075D9" w:rsidRPr="004D46AC" w14:paraId="07AF0CFC" w14:textId="77777777">
        <w:tc>
          <w:tcPr>
            <w:tcW w:w="1704" w:type="dxa"/>
            <w:vAlign w:val="center"/>
          </w:tcPr>
          <w:p w14:paraId="53816EB8" w14:textId="77777777" w:rsidR="007075D9" w:rsidRPr="004D46AC" w:rsidRDefault="007075D9" w:rsidP="002C5F6E">
            <w:pPr>
              <w:spacing w:line="240" w:lineRule="auto"/>
              <w:ind w:firstLine="0"/>
            </w:pPr>
            <w:r w:rsidRPr="004D46AC">
              <w:rPr>
                <w:color w:val="000000"/>
              </w:rPr>
              <w:t>TR9--TR16</w:t>
            </w:r>
          </w:p>
        </w:tc>
        <w:tc>
          <w:tcPr>
            <w:tcW w:w="1704" w:type="dxa"/>
            <w:vAlign w:val="center"/>
          </w:tcPr>
          <w:p w14:paraId="27817CC2"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2D9BF83E"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538F2D3A"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36C6E795" w14:textId="77777777" w:rsidR="007075D9" w:rsidRPr="004D46AC" w:rsidRDefault="007075D9" w:rsidP="002C5F6E">
            <w:pPr>
              <w:spacing w:line="240" w:lineRule="auto"/>
              <w:ind w:firstLine="0"/>
            </w:pPr>
            <w:r w:rsidRPr="004D46AC">
              <w:rPr>
                <w:color w:val="000000"/>
                <w:szCs w:val="21"/>
              </w:rPr>
              <w:t xml:space="preserve">0.29 </w:t>
            </w:r>
          </w:p>
        </w:tc>
      </w:tr>
      <w:tr w:rsidR="007075D9" w:rsidRPr="004D46AC" w14:paraId="5C18BF9F" w14:textId="77777777">
        <w:tc>
          <w:tcPr>
            <w:tcW w:w="1704" w:type="dxa"/>
            <w:vAlign w:val="center"/>
          </w:tcPr>
          <w:p w14:paraId="6191C875" w14:textId="77777777" w:rsidR="007075D9" w:rsidRPr="004D46AC" w:rsidRDefault="007075D9" w:rsidP="002C5F6E">
            <w:pPr>
              <w:spacing w:line="240" w:lineRule="auto"/>
              <w:ind w:firstLine="0"/>
            </w:pPr>
            <w:r w:rsidRPr="004D46AC">
              <w:rPr>
                <w:color w:val="000000"/>
              </w:rPr>
              <w:t>TR21--TR24</w:t>
            </w:r>
          </w:p>
        </w:tc>
        <w:tc>
          <w:tcPr>
            <w:tcW w:w="1704" w:type="dxa"/>
            <w:vAlign w:val="center"/>
          </w:tcPr>
          <w:p w14:paraId="30C41116"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6CD05800"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0FCCDE21"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417261A5" w14:textId="77777777" w:rsidR="007075D9" w:rsidRPr="004D46AC" w:rsidRDefault="007075D9" w:rsidP="002C5F6E">
            <w:pPr>
              <w:spacing w:line="240" w:lineRule="auto"/>
              <w:ind w:firstLine="0"/>
            </w:pPr>
            <w:r w:rsidRPr="004D46AC">
              <w:rPr>
                <w:color w:val="000000"/>
                <w:szCs w:val="21"/>
              </w:rPr>
              <w:t xml:space="preserve">0.16 </w:t>
            </w:r>
          </w:p>
        </w:tc>
      </w:tr>
      <w:tr w:rsidR="007075D9" w:rsidRPr="004D46AC" w14:paraId="0080724D" w14:textId="77777777">
        <w:tc>
          <w:tcPr>
            <w:tcW w:w="1704" w:type="dxa"/>
            <w:vAlign w:val="center"/>
          </w:tcPr>
          <w:p w14:paraId="3C7C17F2" w14:textId="77777777" w:rsidR="007075D9" w:rsidRPr="004D46AC" w:rsidRDefault="007075D9" w:rsidP="002C5F6E">
            <w:pPr>
              <w:spacing w:line="240" w:lineRule="auto"/>
              <w:ind w:firstLine="0"/>
            </w:pPr>
            <w:r w:rsidRPr="004D46AC">
              <w:rPr>
                <w:color w:val="000000"/>
              </w:rPr>
              <w:t>TR23--TR13</w:t>
            </w:r>
          </w:p>
        </w:tc>
        <w:tc>
          <w:tcPr>
            <w:tcW w:w="1704" w:type="dxa"/>
            <w:vAlign w:val="center"/>
          </w:tcPr>
          <w:p w14:paraId="7FAF68F1"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0759D114"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1BB6928E"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46212475"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36797D86" w14:textId="77777777">
        <w:tc>
          <w:tcPr>
            <w:tcW w:w="1704" w:type="dxa"/>
            <w:vAlign w:val="center"/>
          </w:tcPr>
          <w:p w14:paraId="5AADA69F" w14:textId="77777777" w:rsidR="007075D9" w:rsidRPr="004D46AC" w:rsidRDefault="007075D9" w:rsidP="002C5F6E">
            <w:pPr>
              <w:spacing w:line="240" w:lineRule="auto"/>
              <w:ind w:firstLine="0"/>
            </w:pPr>
            <w:r w:rsidRPr="004D46AC">
              <w:rPr>
                <w:color w:val="000000"/>
              </w:rPr>
              <w:t>TR3--TR13</w:t>
            </w:r>
          </w:p>
        </w:tc>
        <w:tc>
          <w:tcPr>
            <w:tcW w:w="1704" w:type="dxa"/>
            <w:vAlign w:val="center"/>
          </w:tcPr>
          <w:p w14:paraId="52DE19DF"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2D936BD6"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0B9CB2D5"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158550CD"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5AF0F6A0" w14:textId="77777777">
        <w:tc>
          <w:tcPr>
            <w:tcW w:w="1704" w:type="dxa"/>
            <w:vAlign w:val="center"/>
          </w:tcPr>
          <w:p w14:paraId="6DD1483B" w14:textId="77777777" w:rsidR="007075D9" w:rsidRPr="004D46AC" w:rsidRDefault="007075D9" w:rsidP="002C5F6E">
            <w:pPr>
              <w:spacing w:line="240" w:lineRule="auto"/>
              <w:ind w:firstLine="0"/>
            </w:pPr>
            <w:r w:rsidRPr="004D46AC">
              <w:rPr>
                <w:color w:val="000000"/>
              </w:rPr>
              <w:t>TR12--TR37</w:t>
            </w:r>
          </w:p>
        </w:tc>
        <w:tc>
          <w:tcPr>
            <w:tcW w:w="1704" w:type="dxa"/>
            <w:vAlign w:val="center"/>
          </w:tcPr>
          <w:p w14:paraId="10CCF560"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21EE13C2"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4578AF93"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41F479C9" w14:textId="77777777" w:rsidR="007075D9" w:rsidRPr="004D46AC" w:rsidRDefault="007075D9" w:rsidP="002C5F6E">
            <w:pPr>
              <w:spacing w:line="240" w:lineRule="auto"/>
              <w:ind w:firstLine="0"/>
            </w:pPr>
            <w:r w:rsidRPr="004D46AC">
              <w:rPr>
                <w:color w:val="000000"/>
                <w:szCs w:val="21"/>
              </w:rPr>
              <w:t xml:space="preserve">0.39 </w:t>
            </w:r>
          </w:p>
        </w:tc>
      </w:tr>
      <w:tr w:rsidR="007075D9" w:rsidRPr="004D46AC" w14:paraId="7264D4CC" w14:textId="77777777">
        <w:tc>
          <w:tcPr>
            <w:tcW w:w="1704" w:type="dxa"/>
            <w:vAlign w:val="center"/>
          </w:tcPr>
          <w:p w14:paraId="69323376" w14:textId="77777777" w:rsidR="007075D9" w:rsidRPr="004D46AC" w:rsidRDefault="007075D9" w:rsidP="002C5F6E">
            <w:pPr>
              <w:spacing w:line="240" w:lineRule="auto"/>
              <w:ind w:firstLine="0"/>
            </w:pPr>
            <w:r w:rsidRPr="004D46AC">
              <w:rPr>
                <w:color w:val="000000"/>
              </w:rPr>
              <w:t>TR19--TR30</w:t>
            </w:r>
          </w:p>
        </w:tc>
        <w:tc>
          <w:tcPr>
            <w:tcW w:w="1704" w:type="dxa"/>
            <w:vAlign w:val="center"/>
          </w:tcPr>
          <w:p w14:paraId="45ED1FD1"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34EA689F"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1FBC717B"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1B5A4DBC"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3A0022C4" w14:textId="77777777">
        <w:tc>
          <w:tcPr>
            <w:tcW w:w="1704" w:type="dxa"/>
            <w:vAlign w:val="center"/>
          </w:tcPr>
          <w:p w14:paraId="21449C75" w14:textId="77777777" w:rsidR="007075D9" w:rsidRPr="004D46AC" w:rsidRDefault="007075D9" w:rsidP="002C5F6E">
            <w:pPr>
              <w:spacing w:line="240" w:lineRule="auto"/>
              <w:ind w:firstLine="0"/>
            </w:pPr>
            <w:r w:rsidRPr="004D46AC">
              <w:rPr>
                <w:color w:val="000000"/>
              </w:rPr>
              <w:t>TR24--TR26</w:t>
            </w:r>
          </w:p>
        </w:tc>
        <w:tc>
          <w:tcPr>
            <w:tcW w:w="1704" w:type="dxa"/>
            <w:vAlign w:val="center"/>
          </w:tcPr>
          <w:p w14:paraId="60330234"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1FE86C98"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329AC5AE"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769E8278"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2E59A4D8" w14:textId="77777777">
        <w:tc>
          <w:tcPr>
            <w:tcW w:w="1704" w:type="dxa"/>
            <w:vAlign w:val="center"/>
          </w:tcPr>
          <w:p w14:paraId="324285B5" w14:textId="77777777" w:rsidR="007075D9" w:rsidRPr="004D46AC" w:rsidRDefault="007075D9" w:rsidP="002C5F6E">
            <w:pPr>
              <w:spacing w:line="240" w:lineRule="auto"/>
              <w:ind w:firstLine="0"/>
            </w:pPr>
            <w:r w:rsidRPr="004D46AC">
              <w:rPr>
                <w:color w:val="000000"/>
              </w:rPr>
              <w:t>TR24--TR9</w:t>
            </w:r>
          </w:p>
        </w:tc>
        <w:tc>
          <w:tcPr>
            <w:tcW w:w="1704" w:type="dxa"/>
            <w:vAlign w:val="center"/>
          </w:tcPr>
          <w:p w14:paraId="3D1035B0"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31E87EF9"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3F5BEEB9"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44E207FF" w14:textId="77777777" w:rsidR="007075D9" w:rsidRPr="004D46AC" w:rsidRDefault="007075D9" w:rsidP="002C5F6E">
            <w:pPr>
              <w:spacing w:line="240" w:lineRule="auto"/>
              <w:ind w:firstLine="0"/>
            </w:pPr>
            <w:r w:rsidRPr="004D46AC">
              <w:rPr>
                <w:color w:val="000000"/>
                <w:szCs w:val="21"/>
              </w:rPr>
              <w:t xml:space="preserve">0.32 </w:t>
            </w:r>
          </w:p>
        </w:tc>
      </w:tr>
      <w:tr w:rsidR="007075D9" w:rsidRPr="004D46AC" w14:paraId="186A2A78" w14:textId="77777777">
        <w:tc>
          <w:tcPr>
            <w:tcW w:w="1704" w:type="dxa"/>
            <w:vAlign w:val="center"/>
          </w:tcPr>
          <w:p w14:paraId="4015B8D4" w14:textId="77777777" w:rsidR="007075D9" w:rsidRPr="004D46AC" w:rsidRDefault="007075D9" w:rsidP="002C5F6E">
            <w:pPr>
              <w:spacing w:line="240" w:lineRule="auto"/>
              <w:ind w:firstLine="0"/>
            </w:pPr>
            <w:r w:rsidRPr="004D46AC">
              <w:rPr>
                <w:color w:val="000000"/>
              </w:rPr>
              <w:t>TR34--TR29</w:t>
            </w:r>
          </w:p>
        </w:tc>
        <w:tc>
          <w:tcPr>
            <w:tcW w:w="1704" w:type="dxa"/>
            <w:vAlign w:val="center"/>
          </w:tcPr>
          <w:p w14:paraId="1C606600"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3935BE54"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5DD37C6C"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15592842" w14:textId="77777777" w:rsidR="007075D9" w:rsidRPr="004D46AC" w:rsidRDefault="007075D9" w:rsidP="002C5F6E">
            <w:pPr>
              <w:spacing w:line="240" w:lineRule="auto"/>
              <w:ind w:firstLine="0"/>
            </w:pPr>
            <w:r w:rsidRPr="004D46AC">
              <w:rPr>
                <w:color w:val="000000"/>
                <w:szCs w:val="21"/>
              </w:rPr>
              <w:t xml:space="preserve">0.36 </w:t>
            </w:r>
          </w:p>
        </w:tc>
      </w:tr>
      <w:tr w:rsidR="007075D9" w:rsidRPr="004D46AC" w14:paraId="3BF27105" w14:textId="77777777">
        <w:tc>
          <w:tcPr>
            <w:tcW w:w="1704" w:type="dxa"/>
            <w:vAlign w:val="center"/>
          </w:tcPr>
          <w:p w14:paraId="3BEC03CD" w14:textId="77777777" w:rsidR="007075D9" w:rsidRPr="004D46AC" w:rsidRDefault="007075D9" w:rsidP="002C5F6E">
            <w:pPr>
              <w:spacing w:line="240" w:lineRule="auto"/>
              <w:ind w:firstLine="0"/>
            </w:pPr>
            <w:r w:rsidRPr="004D46AC">
              <w:rPr>
                <w:color w:val="000000"/>
              </w:rPr>
              <w:lastRenderedPageBreak/>
              <w:t>TR21--TR14</w:t>
            </w:r>
          </w:p>
        </w:tc>
        <w:tc>
          <w:tcPr>
            <w:tcW w:w="1704" w:type="dxa"/>
            <w:vAlign w:val="center"/>
          </w:tcPr>
          <w:p w14:paraId="685AB0E1"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7A4086AB"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187B53A5"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4E44AECB" w14:textId="77777777" w:rsidR="007075D9" w:rsidRPr="004D46AC" w:rsidRDefault="007075D9" w:rsidP="002C5F6E">
            <w:pPr>
              <w:spacing w:line="240" w:lineRule="auto"/>
              <w:ind w:firstLine="0"/>
            </w:pPr>
            <w:r w:rsidRPr="004D46AC">
              <w:rPr>
                <w:color w:val="000000"/>
                <w:szCs w:val="21"/>
              </w:rPr>
              <w:t xml:space="preserve">0.43 </w:t>
            </w:r>
          </w:p>
        </w:tc>
      </w:tr>
      <w:tr w:rsidR="007075D9" w:rsidRPr="004D46AC" w14:paraId="7D6B241D" w14:textId="77777777">
        <w:tc>
          <w:tcPr>
            <w:tcW w:w="1704" w:type="dxa"/>
            <w:vAlign w:val="center"/>
          </w:tcPr>
          <w:p w14:paraId="5EE6AD66" w14:textId="77777777" w:rsidR="007075D9" w:rsidRPr="004D46AC" w:rsidRDefault="007075D9" w:rsidP="002C5F6E">
            <w:pPr>
              <w:spacing w:line="240" w:lineRule="auto"/>
              <w:ind w:firstLine="0"/>
            </w:pPr>
            <w:r w:rsidRPr="004D46AC">
              <w:rPr>
                <w:color w:val="000000"/>
              </w:rPr>
              <w:t>TR17--TR33</w:t>
            </w:r>
          </w:p>
        </w:tc>
        <w:tc>
          <w:tcPr>
            <w:tcW w:w="1704" w:type="dxa"/>
            <w:vAlign w:val="center"/>
          </w:tcPr>
          <w:p w14:paraId="52970110"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0610A8F2"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482DEF21"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253BAD11"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44A7A356" w14:textId="77777777">
        <w:tc>
          <w:tcPr>
            <w:tcW w:w="1704" w:type="dxa"/>
            <w:vAlign w:val="center"/>
          </w:tcPr>
          <w:p w14:paraId="12555C8E" w14:textId="77777777" w:rsidR="007075D9" w:rsidRPr="004D46AC" w:rsidRDefault="007075D9" w:rsidP="002C5F6E">
            <w:pPr>
              <w:spacing w:line="240" w:lineRule="auto"/>
              <w:ind w:firstLine="0"/>
            </w:pPr>
            <w:r w:rsidRPr="004D46AC">
              <w:rPr>
                <w:color w:val="000000"/>
              </w:rPr>
              <w:t>TR5--TR13</w:t>
            </w:r>
          </w:p>
        </w:tc>
        <w:tc>
          <w:tcPr>
            <w:tcW w:w="1704" w:type="dxa"/>
            <w:vAlign w:val="center"/>
          </w:tcPr>
          <w:p w14:paraId="6FCC7C57"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12CAFDC2"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1075C18A"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108E783E" w14:textId="77777777" w:rsidR="007075D9" w:rsidRPr="004D46AC" w:rsidRDefault="007075D9" w:rsidP="002C5F6E">
            <w:pPr>
              <w:spacing w:line="240" w:lineRule="auto"/>
              <w:ind w:firstLine="0"/>
            </w:pPr>
            <w:r w:rsidRPr="004D46AC">
              <w:rPr>
                <w:color w:val="000000"/>
                <w:szCs w:val="21"/>
              </w:rPr>
              <w:t xml:space="preserve">0.37 </w:t>
            </w:r>
          </w:p>
        </w:tc>
      </w:tr>
      <w:tr w:rsidR="007075D9" w:rsidRPr="004D46AC" w14:paraId="0FCA9A05" w14:textId="77777777">
        <w:tc>
          <w:tcPr>
            <w:tcW w:w="1704" w:type="dxa"/>
            <w:vAlign w:val="center"/>
          </w:tcPr>
          <w:p w14:paraId="6E31F8A6" w14:textId="77777777" w:rsidR="007075D9" w:rsidRPr="004D46AC" w:rsidRDefault="007075D9" w:rsidP="002C5F6E">
            <w:pPr>
              <w:spacing w:line="240" w:lineRule="auto"/>
              <w:ind w:firstLine="0"/>
            </w:pPr>
            <w:r w:rsidRPr="004D46AC">
              <w:rPr>
                <w:color w:val="000000"/>
              </w:rPr>
              <w:t>TR19--TR33</w:t>
            </w:r>
          </w:p>
        </w:tc>
        <w:tc>
          <w:tcPr>
            <w:tcW w:w="1704" w:type="dxa"/>
            <w:vAlign w:val="center"/>
          </w:tcPr>
          <w:p w14:paraId="0E1CF36A"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07B2EDC5"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7658643F"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380AC23E" w14:textId="77777777" w:rsidR="007075D9" w:rsidRPr="004D46AC" w:rsidRDefault="007075D9" w:rsidP="002C5F6E">
            <w:pPr>
              <w:spacing w:line="240" w:lineRule="auto"/>
              <w:ind w:firstLine="0"/>
            </w:pPr>
            <w:r w:rsidRPr="004D46AC">
              <w:rPr>
                <w:color w:val="000000"/>
                <w:szCs w:val="21"/>
              </w:rPr>
              <w:t xml:space="preserve">0.27 </w:t>
            </w:r>
          </w:p>
        </w:tc>
      </w:tr>
      <w:tr w:rsidR="007075D9" w:rsidRPr="004D46AC" w14:paraId="56E5865E" w14:textId="77777777">
        <w:tc>
          <w:tcPr>
            <w:tcW w:w="1704" w:type="dxa"/>
            <w:vAlign w:val="center"/>
          </w:tcPr>
          <w:p w14:paraId="6A836EF5" w14:textId="77777777" w:rsidR="007075D9" w:rsidRPr="004D46AC" w:rsidRDefault="007075D9" w:rsidP="002C5F6E">
            <w:pPr>
              <w:spacing w:line="240" w:lineRule="auto"/>
              <w:ind w:firstLine="0"/>
            </w:pPr>
            <w:r w:rsidRPr="004D46AC">
              <w:rPr>
                <w:color w:val="000000"/>
              </w:rPr>
              <w:t>TR34--TR33</w:t>
            </w:r>
          </w:p>
        </w:tc>
        <w:tc>
          <w:tcPr>
            <w:tcW w:w="1704" w:type="dxa"/>
            <w:vAlign w:val="center"/>
          </w:tcPr>
          <w:p w14:paraId="4F448F3C"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1437CFA9"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3C263839"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2147B488" w14:textId="77777777" w:rsidR="007075D9" w:rsidRPr="004D46AC" w:rsidRDefault="007075D9" w:rsidP="002C5F6E">
            <w:pPr>
              <w:spacing w:line="240" w:lineRule="auto"/>
              <w:ind w:firstLine="0"/>
            </w:pPr>
            <w:r w:rsidRPr="004D46AC">
              <w:rPr>
                <w:color w:val="000000"/>
                <w:szCs w:val="21"/>
              </w:rPr>
              <w:t xml:space="preserve">0.36 </w:t>
            </w:r>
          </w:p>
        </w:tc>
      </w:tr>
      <w:tr w:rsidR="007075D9" w:rsidRPr="004D46AC" w14:paraId="0A74921F" w14:textId="77777777">
        <w:tc>
          <w:tcPr>
            <w:tcW w:w="1704" w:type="dxa"/>
            <w:vAlign w:val="center"/>
          </w:tcPr>
          <w:p w14:paraId="3E60B07F" w14:textId="77777777" w:rsidR="007075D9" w:rsidRPr="004D46AC" w:rsidRDefault="007075D9" w:rsidP="002C5F6E">
            <w:pPr>
              <w:spacing w:line="240" w:lineRule="auto"/>
              <w:ind w:firstLine="0"/>
            </w:pPr>
            <w:r w:rsidRPr="004D46AC">
              <w:rPr>
                <w:color w:val="000000"/>
              </w:rPr>
              <w:t>TR3--TR34</w:t>
            </w:r>
          </w:p>
        </w:tc>
        <w:tc>
          <w:tcPr>
            <w:tcW w:w="1704" w:type="dxa"/>
            <w:vAlign w:val="center"/>
          </w:tcPr>
          <w:p w14:paraId="1E5FC4A4"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5B078C83"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4BA65BA0" w14:textId="77777777" w:rsidR="007075D9" w:rsidRPr="004D46AC" w:rsidRDefault="007075D9" w:rsidP="002C5F6E">
            <w:pPr>
              <w:spacing w:line="240" w:lineRule="auto"/>
              <w:ind w:firstLine="0"/>
            </w:pPr>
            <w:r w:rsidRPr="004D46AC">
              <w:rPr>
                <w:color w:val="000000"/>
                <w:szCs w:val="21"/>
              </w:rPr>
              <w:t xml:space="preserve">0.44 </w:t>
            </w:r>
          </w:p>
        </w:tc>
        <w:tc>
          <w:tcPr>
            <w:tcW w:w="1705" w:type="dxa"/>
            <w:vAlign w:val="center"/>
          </w:tcPr>
          <w:p w14:paraId="4815E164" w14:textId="77777777" w:rsidR="007075D9" w:rsidRPr="004D46AC" w:rsidRDefault="007075D9" w:rsidP="002C5F6E">
            <w:pPr>
              <w:spacing w:line="240" w:lineRule="auto"/>
              <w:ind w:firstLine="0"/>
            </w:pPr>
            <w:r w:rsidRPr="004D46AC">
              <w:rPr>
                <w:color w:val="000000"/>
                <w:szCs w:val="21"/>
              </w:rPr>
              <w:t xml:space="preserve">0.41 </w:t>
            </w:r>
          </w:p>
        </w:tc>
      </w:tr>
      <w:tr w:rsidR="007075D9" w:rsidRPr="004D46AC" w14:paraId="66FCD548" w14:textId="77777777">
        <w:tc>
          <w:tcPr>
            <w:tcW w:w="1704" w:type="dxa"/>
            <w:vAlign w:val="center"/>
          </w:tcPr>
          <w:p w14:paraId="35166C1B" w14:textId="77777777" w:rsidR="007075D9" w:rsidRPr="004D46AC" w:rsidRDefault="007075D9" w:rsidP="002C5F6E">
            <w:pPr>
              <w:spacing w:line="240" w:lineRule="auto"/>
              <w:ind w:firstLine="0"/>
            </w:pPr>
            <w:r w:rsidRPr="004D46AC">
              <w:rPr>
                <w:color w:val="000000"/>
              </w:rPr>
              <w:t>TR26--TR37</w:t>
            </w:r>
          </w:p>
        </w:tc>
        <w:tc>
          <w:tcPr>
            <w:tcW w:w="1704" w:type="dxa"/>
            <w:vAlign w:val="center"/>
          </w:tcPr>
          <w:p w14:paraId="383E0E2B"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3FB2509A"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36CAFAA3"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23FE1F20" w14:textId="77777777" w:rsidR="007075D9" w:rsidRPr="004D46AC" w:rsidRDefault="007075D9" w:rsidP="002C5F6E">
            <w:pPr>
              <w:spacing w:line="240" w:lineRule="auto"/>
              <w:ind w:firstLine="0"/>
            </w:pPr>
            <w:r w:rsidRPr="004D46AC">
              <w:rPr>
                <w:color w:val="000000"/>
                <w:szCs w:val="21"/>
              </w:rPr>
              <w:t xml:space="preserve">0.29 </w:t>
            </w:r>
          </w:p>
        </w:tc>
      </w:tr>
      <w:tr w:rsidR="007075D9" w:rsidRPr="004D46AC" w14:paraId="3C794454" w14:textId="77777777">
        <w:tc>
          <w:tcPr>
            <w:tcW w:w="1704" w:type="dxa"/>
            <w:vAlign w:val="center"/>
          </w:tcPr>
          <w:p w14:paraId="0C8F1003" w14:textId="77777777" w:rsidR="007075D9" w:rsidRPr="004D46AC" w:rsidRDefault="007075D9" w:rsidP="002C5F6E">
            <w:pPr>
              <w:spacing w:line="240" w:lineRule="auto"/>
              <w:ind w:firstLine="0"/>
            </w:pPr>
            <w:r w:rsidRPr="004D46AC">
              <w:rPr>
                <w:color w:val="000000"/>
              </w:rPr>
              <w:t>TR3--TR14</w:t>
            </w:r>
          </w:p>
        </w:tc>
        <w:tc>
          <w:tcPr>
            <w:tcW w:w="1704" w:type="dxa"/>
            <w:vAlign w:val="center"/>
          </w:tcPr>
          <w:p w14:paraId="6766094C"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507F8A04"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47DE9A63" w14:textId="77777777" w:rsidR="007075D9" w:rsidRPr="004D46AC" w:rsidRDefault="007075D9" w:rsidP="002C5F6E">
            <w:pPr>
              <w:spacing w:line="240" w:lineRule="auto"/>
              <w:ind w:firstLine="0"/>
            </w:pPr>
            <w:r w:rsidRPr="004D46AC">
              <w:rPr>
                <w:color w:val="000000"/>
                <w:szCs w:val="21"/>
              </w:rPr>
              <w:t xml:space="preserve">0.44 </w:t>
            </w:r>
          </w:p>
        </w:tc>
        <w:tc>
          <w:tcPr>
            <w:tcW w:w="1705" w:type="dxa"/>
            <w:vAlign w:val="center"/>
          </w:tcPr>
          <w:p w14:paraId="41D5A720" w14:textId="77777777" w:rsidR="007075D9" w:rsidRPr="004D46AC" w:rsidRDefault="007075D9" w:rsidP="002C5F6E">
            <w:pPr>
              <w:spacing w:line="240" w:lineRule="auto"/>
              <w:ind w:firstLine="0"/>
            </w:pPr>
            <w:r w:rsidRPr="004D46AC">
              <w:rPr>
                <w:color w:val="000000"/>
                <w:szCs w:val="21"/>
              </w:rPr>
              <w:t xml:space="preserve">0.45 </w:t>
            </w:r>
          </w:p>
        </w:tc>
      </w:tr>
      <w:tr w:rsidR="007075D9" w:rsidRPr="004D46AC" w14:paraId="404ACEA0" w14:textId="77777777">
        <w:tc>
          <w:tcPr>
            <w:tcW w:w="1704" w:type="dxa"/>
            <w:vAlign w:val="center"/>
          </w:tcPr>
          <w:p w14:paraId="133F0BDB" w14:textId="77777777" w:rsidR="007075D9" w:rsidRPr="004D46AC" w:rsidRDefault="007075D9" w:rsidP="002C5F6E">
            <w:pPr>
              <w:spacing w:line="240" w:lineRule="auto"/>
              <w:ind w:firstLine="0"/>
            </w:pPr>
            <w:r w:rsidRPr="004D46AC">
              <w:rPr>
                <w:color w:val="000000"/>
              </w:rPr>
              <w:t>TR24--TR14</w:t>
            </w:r>
          </w:p>
        </w:tc>
        <w:tc>
          <w:tcPr>
            <w:tcW w:w="1704" w:type="dxa"/>
            <w:vAlign w:val="center"/>
          </w:tcPr>
          <w:p w14:paraId="74B69304"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1B330514"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0F56973A"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07F44013" w14:textId="77777777" w:rsidR="007075D9" w:rsidRPr="004D46AC" w:rsidRDefault="007075D9" w:rsidP="002C5F6E">
            <w:pPr>
              <w:spacing w:line="240" w:lineRule="auto"/>
              <w:ind w:firstLine="0"/>
            </w:pPr>
            <w:r w:rsidRPr="004D46AC">
              <w:rPr>
                <w:color w:val="000000"/>
                <w:szCs w:val="21"/>
              </w:rPr>
              <w:t xml:space="preserve">0.56 </w:t>
            </w:r>
          </w:p>
        </w:tc>
      </w:tr>
      <w:tr w:rsidR="007075D9" w:rsidRPr="004D46AC" w14:paraId="2003525B" w14:textId="77777777">
        <w:tc>
          <w:tcPr>
            <w:tcW w:w="1704" w:type="dxa"/>
            <w:vAlign w:val="center"/>
          </w:tcPr>
          <w:p w14:paraId="10E5B309" w14:textId="77777777" w:rsidR="007075D9" w:rsidRPr="004D46AC" w:rsidRDefault="007075D9" w:rsidP="002C5F6E">
            <w:pPr>
              <w:spacing w:line="240" w:lineRule="auto"/>
              <w:ind w:firstLine="0"/>
            </w:pPr>
            <w:r w:rsidRPr="004D46AC">
              <w:rPr>
                <w:color w:val="000000"/>
              </w:rPr>
              <w:t>TR21--TR29</w:t>
            </w:r>
          </w:p>
        </w:tc>
        <w:tc>
          <w:tcPr>
            <w:tcW w:w="1704" w:type="dxa"/>
            <w:vAlign w:val="center"/>
          </w:tcPr>
          <w:p w14:paraId="57120AC1"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6A336793"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51196DF5"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579C3DFF" w14:textId="77777777" w:rsidR="007075D9" w:rsidRPr="004D46AC" w:rsidRDefault="007075D9" w:rsidP="002C5F6E">
            <w:pPr>
              <w:spacing w:line="240" w:lineRule="auto"/>
              <w:ind w:firstLine="0"/>
            </w:pPr>
            <w:r w:rsidRPr="004D46AC">
              <w:rPr>
                <w:color w:val="000000"/>
                <w:szCs w:val="21"/>
              </w:rPr>
              <w:t xml:space="preserve">0.49 </w:t>
            </w:r>
          </w:p>
        </w:tc>
      </w:tr>
      <w:tr w:rsidR="007075D9" w:rsidRPr="004D46AC" w14:paraId="1E21F871" w14:textId="77777777">
        <w:tc>
          <w:tcPr>
            <w:tcW w:w="1704" w:type="dxa"/>
            <w:vAlign w:val="center"/>
          </w:tcPr>
          <w:p w14:paraId="3A7B240E" w14:textId="77777777" w:rsidR="007075D9" w:rsidRPr="004D46AC" w:rsidRDefault="007075D9" w:rsidP="002C5F6E">
            <w:pPr>
              <w:spacing w:line="240" w:lineRule="auto"/>
              <w:ind w:firstLine="0"/>
            </w:pPr>
            <w:r w:rsidRPr="004D46AC">
              <w:rPr>
                <w:color w:val="000000"/>
              </w:rPr>
              <w:t>TR21--TR30</w:t>
            </w:r>
          </w:p>
        </w:tc>
        <w:tc>
          <w:tcPr>
            <w:tcW w:w="1704" w:type="dxa"/>
            <w:vAlign w:val="center"/>
          </w:tcPr>
          <w:p w14:paraId="2123135E"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59AAAE4D"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03ED9FCF"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4E1887E3" w14:textId="77777777" w:rsidR="007075D9" w:rsidRPr="004D46AC" w:rsidRDefault="007075D9" w:rsidP="002C5F6E">
            <w:pPr>
              <w:spacing w:line="240" w:lineRule="auto"/>
              <w:ind w:firstLine="0"/>
            </w:pPr>
            <w:r w:rsidRPr="004D46AC">
              <w:rPr>
                <w:color w:val="000000"/>
                <w:szCs w:val="21"/>
              </w:rPr>
              <w:t xml:space="preserve">0.37 </w:t>
            </w:r>
          </w:p>
        </w:tc>
      </w:tr>
      <w:tr w:rsidR="007075D9" w:rsidRPr="004D46AC" w14:paraId="269AAFF0" w14:textId="77777777">
        <w:tc>
          <w:tcPr>
            <w:tcW w:w="1704" w:type="dxa"/>
            <w:vAlign w:val="center"/>
          </w:tcPr>
          <w:p w14:paraId="1844CCE3" w14:textId="77777777" w:rsidR="007075D9" w:rsidRPr="004D46AC" w:rsidRDefault="007075D9" w:rsidP="002C5F6E">
            <w:pPr>
              <w:spacing w:line="240" w:lineRule="auto"/>
              <w:ind w:firstLine="0"/>
            </w:pPr>
            <w:r w:rsidRPr="004D46AC">
              <w:rPr>
                <w:color w:val="000000"/>
              </w:rPr>
              <w:t>TR37--TR33</w:t>
            </w:r>
          </w:p>
        </w:tc>
        <w:tc>
          <w:tcPr>
            <w:tcW w:w="1704" w:type="dxa"/>
            <w:vAlign w:val="center"/>
          </w:tcPr>
          <w:p w14:paraId="2274DF08"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789D0314"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3A8C19EA" w14:textId="77777777" w:rsidR="007075D9" w:rsidRPr="004D46AC" w:rsidRDefault="007075D9" w:rsidP="002C5F6E">
            <w:pPr>
              <w:spacing w:line="240" w:lineRule="auto"/>
              <w:ind w:firstLine="0"/>
            </w:pPr>
            <w:r w:rsidRPr="004D46AC">
              <w:rPr>
                <w:color w:val="000000"/>
                <w:szCs w:val="21"/>
              </w:rPr>
              <w:t xml:space="preserve">0.39 </w:t>
            </w:r>
          </w:p>
        </w:tc>
        <w:tc>
          <w:tcPr>
            <w:tcW w:w="1705" w:type="dxa"/>
            <w:vAlign w:val="center"/>
          </w:tcPr>
          <w:p w14:paraId="2BCB0565" w14:textId="77777777" w:rsidR="007075D9" w:rsidRPr="004D46AC" w:rsidRDefault="007075D9" w:rsidP="002C5F6E">
            <w:pPr>
              <w:spacing w:line="240" w:lineRule="auto"/>
              <w:ind w:firstLine="0"/>
            </w:pPr>
            <w:r w:rsidRPr="004D46AC">
              <w:rPr>
                <w:color w:val="000000"/>
                <w:szCs w:val="21"/>
              </w:rPr>
              <w:t xml:space="preserve">0.36 </w:t>
            </w:r>
          </w:p>
        </w:tc>
      </w:tr>
      <w:tr w:rsidR="007075D9" w:rsidRPr="004D46AC" w14:paraId="76931D83" w14:textId="77777777">
        <w:tc>
          <w:tcPr>
            <w:tcW w:w="1704" w:type="dxa"/>
            <w:vAlign w:val="center"/>
          </w:tcPr>
          <w:p w14:paraId="175C3F2A" w14:textId="77777777" w:rsidR="007075D9" w:rsidRPr="004D46AC" w:rsidRDefault="007075D9" w:rsidP="002C5F6E">
            <w:pPr>
              <w:spacing w:line="240" w:lineRule="auto"/>
              <w:ind w:firstLine="0"/>
            </w:pPr>
            <w:r w:rsidRPr="004D46AC">
              <w:rPr>
                <w:color w:val="000000"/>
              </w:rPr>
              <w:t>TR17--TR16</w:t>
            </w:r>
          </w:p>
        </w:tc>
        <w:tc>
          <w:tcPr>
            <w:tcW w:w="1704" w:type="dxa"/>
            <w:vAlign w:val="center"/>
          </w:tcPr>
          <w:p w14:paraId="48EFF1D8"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381DBF2A"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683B83F9" w14:textId="77777777" w:rsidR="007075D9" w:rsidRPr="004D46AC" w:rsidRDefault="007075D9" w:rsidP="002C5F6E">
            <w:pPr>
              <w:spacing w:line="240" w:lineRule="auto"/>
              <w:ind w:firstLine="0"/>
            </w:pPr>
            <w:r w:rsidRPr="004D46AC">
              <w:rPr>
                <w:color w:val="000000"/>
                <w:szCs w:val="21"/>
              </w:rPr>
              <w:t xml:space="preserve">0.40 </w:t>
            </w:r>
          </w:p>
        </w:tc>
        <w:tc>
          <w:tcPr>
            <w:tcW w:w="1705" w:type="dxa"/>
            <w:vAlign w:val="center"/>
          </w:tcPr>
          <w:p w14:paraId="4E42DFDE" w14:textId="77777777" w:rsidR="007075D9" w:rsidRPr="004D46AC" w:rsidRDefault="007075D9" w:rsidP="002C5F6E">
            <w:pPr>
              <w:spacing w:line="240" w:lineRule="auto"/>
              <w:ind w:firstLine="0"/>
            </w:pPr>
            <w:r w:rsidRPr="004D46AC">
              <w:rPr>
                <w:color w:val="000000"/>
                <w:szCs w:val="21"/>
              </w:rPr>
              <w:t xml:space="preserve">0.34 </w:t>
            </w:r>
          </w:p>
        </w:tc>
      </w:tr>
      <w:tr w:rsidR="007075D9" w:rsidRPr="004D46AC" w14:paraId="58ACECA2" w14:textId="77777777">
        <w:tc>
          <w:tcPr>
            <w:tcW w:w="1704" w:type="dxa"/>
            <w:vAlign w:val="center"/>
          </w:tcPr>
          <w:p w14:paraId="04E030F1" w14:textId="77777777" w:rsidR="007075D9" w:rsidRPr="004D46AC" w:rsidRDefault="007075D9" w:rsidP="002C5F6E">
            <w:pPr>
              <w:spacing w:line="240" w:lineRule="auto"/>
              <w:ind w:firstLine="0"/>
            </w:pPr>
            <w:r w:rsidRPr="004D46AC">
              <w:rPr>
                <w:color w:val="000000"/>
              </w:rPr>
              <w:t>TR21--TR16</w:t>
            </w:r>
          </w:p>
        </w:tc>
        <w:tc>
          <w:tcPr>
            <w:tcW w:w="1704" w:type="dxa"/>
            <w:vAlign w:val="center"/>
          </w:tcPr>
          <w:p w14:paraId="27C234E4"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6073D02A"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5605C415"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364037E4" w14:textId="77777777" w:rsidR="007075D9" w:rsidRPr="004D46AC" w:rsidRDefault="007075D9" w:rsidP="002C5F6E">
            <w:pPr>
              <w:spacing w:line="240" w:lineRule="auto"/>
              <w:ind w:firstLine="0"/>
            </w:pPr>
            <w:r w:rsidRPr="004D46AC">
              <w:rPr>
                <w:color w:val="000000"/>
                <w:szCs w:val="21"/>
              </w:rPr>
              <w:t xml:space="preserve">0.53 </w:t>
            </w:r>
          </w:p>
        </w:tc>
      </w:tr>
      <w:tr w:rsidR="007075D9" w:rsidRPr="004D46AC" w14:paraId="60FF98EA" w14:textId="77777777">
        <w:tc>
          <w:tcPr>
            <w:tcW w:w="1704" w:type="dxa"/>
            <w:vAlign w:val="center"/>
          </w:tcPr>
          <w:p w14:paraId="7CFEF5A3" w14:textId="77777777" w:rsidR="007075D9" w:rsidRPr="004D46AC" w:rsidRDefault="007075D9" w:rsidP="002C5F6E">
            <w:pPr>
              <w:spacing w:line="240" w:lineRule="auto"/>
              <w:ind w:firstLine="0"/>
            </w:pPr>
            <w:r w:rsidRPr="004D46AC">
              <w:rPr>
                <w:color w:val="000000"/>
              </w:rPr>
              <w:t>TR9--TR13</w:t>
            </w:r>
          </w:p>
        </w:tc>
        <w:tc>
          <w:tcPr>
            <w:tcW w:w="1704" w:type="dxa"/>
            <w:vAlign w:val="center"/>
          </w:tcPr>
          <w:p w14:paraId="5C2278E8"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31853E83"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5FBC0673"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4B5041F8" w14:textId="77777777" w:rsidR="007075D9" w:rsidRPr="004D46AC" w:rsidRDefault="007075D9" w:rsidP="002C5F6E">
            <w:pPr>
              <w:spacing w:line="240" w:lineRule="auto"/>
              <w:ind w:firstLine="0"/>
            </w:pPr>
            <w:r w:rsidRPr="004D46AC">
              <w:rPr>
                <w:color w:val="000000"/>
                <w:szCs w:val="21"/>
              </w:rPr>
              <w:t xml:space="preserve">0.50 </w:t>
            </w:r>
          </w:p>
        </w:tc>
      </w:tr>
      <w:tr w:rsidR="007075D9" w:rsidRPr="004D46AC" w14:paraId="760A9F0E" w14:textId="77777777">
        <w:tc>
          <w:tcPr>
            <w:tcW w:w="1704" w:type="dxa"/>
            <w:vAlign w:val="center"/>
          </w:tcPr>
          <w:p w14:paraId="489A3055" w14:textId="77777777" w:rsidR="007075D9" w:rsidRPr="004D46AC" w:rsidRDefault="007075D9" w:rsidP="002C5F6E">
            <w:pPr>
              <w:spacing w:line="240" w:lineRule="auto"/>
              <w:ind w:firstLine="0"/>
            </w:pPr>
            <w:r w:rsidRPr="004D46AC">
              <w:rPr>
                <w:color w:val="000000"/>
              </w:rPr>
              <w:t>TR19--TR17</w:t>
            </w:r>
          </w:p>
        </w:tc>
        <w:tc>
          <w:tcPr>
            <w:tcW w:w="1704" w:type="dxa"/>
            <w:vAlign w:val="center"/>
          </w:tcPr>
          <w:p w14:paraId="5E3D1939"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68FD9292"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62ECD656"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32E77F47"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4F776C31" w14:textId="77777777">
        <w:tc>
          <w:tcPr>
            <w:tcW w:w="1704" w:type="dxa"/>
            <w:vAlign w:val="center"/>
          </w:tcPr>
          <w:p w14:paraId="1084DB3E" w14:textId="77777777" w:rsidR="007075D9" w:rsidRPr="004D46AC" w:rsidRDefault="007075D9" w:rsidP="002C5F6E">
            <w:pPr>
              <w:spacing w:line="240" w:lineRule="auto"/>
              <w:ind w:firstLine="0"/>
            </w:pPr>
            <w:r w:rsidRPr="004D46AC">
              <w:rPr>
                <w:color w:val="000000"/>
              </w:rPr>
              <w:t>TR19--TR37</w:t>
            </w:r>
          </w:p>
        </w:tc>
        <w:tc>
          <w:tcPr>
            <w:tcW w:w="1704" w:type="dxa"/>
            <w:vAlign w:val="center"/>
          </w:tcPr>
          <w:p w14:paraId="53DB9670"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2A273A61"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3DF76019"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562E7626" w14:textId="77777777" w:rsidR="007075D9" w:rsidRPr="004D46AC" w:rsidRDefault="007075D9" w:rsidP="002C5F6E">
            <w:pPr>
              <w:spacing w:line="240" w:lineRule="auto"/>
              <w:ind w:firstLine="0"/>
            </w:pPr>
            <w:r w:rsidRPr="004D46AC">
              <w:rPr>
                <w:color w:val="000000"/>
                <w:szCs w:val="21"/>
              </w:rPr>
              <w:t xml:space="preserve">0.44 </w:t>
            </w:r>
          </w:p>
        </w:tc>
      </w:tr>
      <w:tr w:rsidR="007075D9" w:rsidRPr="004D46AC" w14:paraId="2BCFCE8F" w14:textId="77777777">
        <w:tc>
          <w:tcPr>
            <w:tcW w:w="1704" w:type="dxa"/>
            <w:vAlign w:val="center"/>
          </w:tcPr>
          <w:p w14:paraId="337E6C38" w14:textId="77777777" w:rsidR="007075D9" w:rsidRPr="004D46AC" w:rsidRDefault="007075D9" w:rsidP="002C5F6E">
            <w:pPr>
              <w:spacing w:line="240" w:lineRule="auto"/>
              <w:ind w:firstLine="0"/>
            </w:pPr>
            <w:r w:rsidRPr="004D46AC">
              <w:rPr>
                <w:color w:val="000000"/>
              </w:rPr>
              <w:t>TR9--TR14</w:t>
            </w:r>
          </w:p>
        </w:tc>
        <w:tc>
          <w:tcPr>
            <w:tcW w:w="1704" w:type="dxa"/>
            <w:vAlign w:val="center"/>
          </w:tcPr>
          <w:p w14:paraId="140A60B6"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6D2CDAB7"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6CCF8BF3"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7138D1A6" w14:textId="77777777" w:rsidR="007075D9" w:rsidRPr="004D46AC" w:rsidRDefault="007075D9" w:rsidP="002C5F6E">
            <w:pPr>
              <w:spacing w:line="240" w:lineRule="auto"/>
              <w:ind w:firstLine="0"/>
            </w:pPr>
            <w:r w:rsidRPr="004D46AC">
              <w:rPr>
                <w:color w:val="000000"/>
                <w:szCs w:val="21"/>
              </w:rPr>
              <w:t xml:space="preserve">0.49 </w:t>
            </w:r>
          </w:p>
        </w:tc>
      </w:tr>
      <w:tr w:rsidR="007075D9" w:rsidRPr="004D46AC" w14:paraId="2A2A7F04" w14:textId="77777777">
        <w:tc>
          <w:tcPr>
            <w:tcW w:w="1704" w:type="dxa"/>
            <w:vAlign w:val="center"/>
          </w:tcPr>
          <w:p w14:paraId="5E340429" w14:textId="77777777" w:rsidR="007075D9" w:rsidRPr="004D46AC" w:rsidRDefault="007075D9" w:rsidP="002C5F6E">
            <w:pPr>
              <w:spacing w:line="240" w:lineRule="auto"/>
              <w:ind w:firstLine="0"/>
            </w:pPr>
            <w:r w:rsidRPr="004D46AC">
              <w:rPr>
                <w:color w:val="000000"/>
              </w:rPr>
              <w:t>TR3--TR33</w:t>
            </w:r>
          </w:p>
        </w:tc>
        <w:tc>
          <w:tcPr>
            <w:tcW w:w="1704" w:type="dxa"/>
            <w:vAlign w:val="center"/>
          </w:tcPr>
          <w:p w14:paraId="0C908C4A"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20629BDF" w14:textId="77777777" w:rsidR="007075D9" w:rsidRPr="004D46AC" w:rsidRDefault="007075D9" w:rsidP="002C5F6E">
            <w:pPr>
              <w:spacing w:line="240" w:lineRule="auto"/>
              <w:ind w:firstLine="0"/>
            </w:pPr>
            <w:r w:rsidRPr="004D46AC">
              <w:rPr>
                <w:color w:val="000000"/>
                <w:szCs w:val="21"/>
              </w:rPr>
              <w:t xml:space="preserve">-0.22 </w:t>
            </w:r>
          </w:p>
        </w:tc>
        <w:tc>
          <w:tcPr>
            <w:tcW w:w="1705" w:type="dxa"/>
            <w:vAlign w:val="center"/>
          </w:tcPr>
          <w:p w14:paraId="02027B34"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343D2E6B" w14:textId="77777777" w:rsidR="007075D9" w:rsidRPr="004D46AC" w:rsidRDefault="007075D9" w:rsidP="002C5F6E">
            <w:pPr>
              <w:spacing w:line="240" w:lineRule="auto"/>
              <w:ind w:firstLine="0"/>
            </w:pPr>
            <w:r w:rsidRPr="004D46AC">
              <w:rPr>
                <w:color w:val="000000"/>
                <w:szCs w:val="21"/>
              </w:rPr>
              <w:t xml:space="preserve">0.43 </w:t>
            </w:r>
          </w:p>
        </w:tc>
      </w:tr>
      <w:tr w:rsidR="007075D9" w:rsidRPr="004D46AC" w14:paraId="2E729952" w14:textId="77777777">
        <w:tc>
          <w:tcPr>
            <w:tcW w:w="1704" w:type="dxa"/>
            <w:vAlign w:val="center"/>
          </w:tcPr>
          <w:p w14:paraId="3B577327" w14:textId="77777777" w:rsidR="007075D9" w:rsidRPr="004D46AC" w:rsidRDefault="007075D9" w:rsidP="002C5F6E">
            <w:pPr>
              <w:spacing w:line="240" w:lineRule="auto"/>
              <w:ind w:firstLine="0"/>
            </w:pPr>
            <w:r w:rsidRPr="004D46AC">
              <w:rPr>
                <w:color w:val="000000"/>
              </w:rPr>
              <w:t>TR3--TR24</w:t>
            </w:r>
          </w:p>
        </w:tc>
        <w:tc>
          <w:tcPr>
            <w:tcW w:w="1704" w:type="dxa"/>
            <w:vAlign w:val="center"/>
          </w:tcPr>
          <w:p w14:paraId="24E96993"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2983EE0B"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454FD3F8"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22839EDF" w14:textId="77777777" w:rsidR="007075D9" w:rsidRPr="004D46AC" w:rsidRDefault="007075D9" w:rsidP="002C5F6E">
            <w:pPr>
              <w:spacing w:line="240" w:lineRule="auto"/>
              <w:ind w:firstLine="0"/>
            </w:pPr>
            <w:r w:rsidRPr="004D46AC">
              <w:rPr>
                <w:color w:val="000000"/>
                <w:szCs w:val="21"/>
              </w:rPr>
              <w:t xml:space="preserve">0.44 </w:t>
            </w:r>
          </w:p>
        </w:tc>
      </w:tr>
      <w:tr w:rsidR="007075D9" w:rsidRPr="004D46AC" w14:paraId="5D6D8398" w14:textId="77777777">
        <w:tc>
          <w:tcPr>
            <w:tcW w:w="1704" w:type="dxa"/>
            <w:vAlign w:val="center"/>
          </w:tcPr>
          <w:p w14:paraId="7D709D20" w14:textId="77777777" w:rsidR="007075D9" w:rsidRPr="004D46AC" w:rsidRDefault="007075D9" w:rsidP="002C5F6E">
            <w:pPr>
              <w:spacing w:line="240" w:lineRule="auto"/>
              <w:ind w:firstLine="0"/>
            </w:pPr>
            <w:r w:rsidRPr="004D46AC">
              <w:rPr>
                <w:color w:val="000000"/>
              </w:rPr>
              <w:t>TR5--TR21</w:t>
            </w:r>
          </w:p>
        </w:tc>
        <w:tc>
          <w:tcPr>
            <w:tcW w:w="1704" w:type="dxa"/>
            <w:vAlign w:val="center"/>
          </w:tcPr>
          <w:p w14:paraId="6448D99F"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59D1927C"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57ED8433"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4DF57A9C" w14:textId="77777777" w:rsidR="007075D9" w:rsidRPr="004D46AC" w:rsidRDefault="007075D9" w:rsidP="002C5F6E">
            <w:pPr>
              <w:spacing w:line="240" w:lineRule="auto"/>
              <w:ind w:firstLine="0"/>
            </w:pPr>
            <w:r w:rsidRPr="004D46AC">
              <w:rPr>
                <w:color w:val="000000"/>
                <w:szCs w:val="21"/>
              </w:rPr>
              <w:t xml:space="preserve">0.61 </w:t>
            </w:r>
          </w:p>
        </w:tc>
      </w:tr>
      <w:tr w:rsidR="007075D9" w:rsidRPr="004D46AC" w14:paraId="7B19DEBB" w14:textId="77777777">
        <w:tc>
          <w:tcPr>
            <w:tcW w:w="1704" w:type="dxa"/>
            <w:vAlign w:val="center"/>
          </w:tcPr>
          <w:p w14:paraId="4D5E3EA7" w14:textId="77777777" w:rsidR="007075D9" w:rsidRPr="004D46AC" w:rsidRDefault="007075D9" w:rsidP="002C5F6E">
            <w:pPr>
              <w:spacing w:line="240" w:lineRule="auto"/>
              <w:ind w:firstLine="0"/>
            </w:pPr>
            <w:r w:rsidRPr="004D46AC">
              <w:rPr>
                <w:color w:val="000000"/>
              </w:rPr>
              <w:t>TR6--TR30</w:t>
            </w:r>
          </w:p>
        </w:tc>
        <w:tc>
          <w:tcPr>
            <w:tcW w:w="1704" w:type="dxa"/>
            <w:vAlign w:val="center"/>
          </w:tcPr>
          <w:p w14:paraId="33965DBE"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2A970A08" w14:textId="77777777" w:rsidR="007075D9" w:rsidRPr="004D46AC" w:rsidRDefault="007075D9" w:rsidP="002C5F6E">
            <w:pPr>
              <w:spacing w:line="240" w:lineRule="auto"/>
              <w:ind w:firstLine="0"/>
            </w:pPr>
            <w:r w:rsidRPr="004D46AC">
              <w:rPr>
                <w:color w:val="000000"/>
                <w:szCs w:val="21"/>
              </w:rPr>
              <w:t xml:space="preserve">-0.19 </w:t>
            </w:r>
          </w:p>
        </w:tc>
        <w:tc>
          <w:tcPr>
            <w:tcW w:w="1705" w:type="dxa"/>
            <w:vAlign w:val="center"/>
          </w:tcPr>
          <w:p w14:paraId="7F689DBC"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6B78246A" w14:textId="77777777" w:rsidR="007075D9" w:rsidRPr="004D46AC" w:rsidRDefault="007075D9" w:rsidP="002C5F6E">
            <w:pPr>
              <w:spacing w:line="240" w:lineRule="auto"/>
              <w:ind w:firstLine="0"/>
            </w:pPr>
            <w:r w:rsidRPr="004D46AC">
              <w:rPr>
                <w:color w:val="000000"/>
                <w:szCs w:val="21"/>
              </w:rPr>
              <w:t xml:space="preserve">0.39 </w:t>
            </w:r>
          </w:p>
        </w:tc>
      </w:tr>
      <w:tr w:rsidR="007075D9" w:rsidRPr="004D46AC" w14:paraId="5001BCCC" w14:textId="77777777">
        <w:tc>
          <w:tcPr>
            <w:tcW w:w="1704" w:type="dxa"/>
            <w:vAlign w:val="center"/>
          </w:tcPr>
          <w:p w14:paraId="2A829F40" w14:textId="77777777" w:rsidR="007075D9" w:rsidRPr="004D46AC" w:rsidRDefault="007075D9" w:rsidP="002C5F6E">
            <w:pPr>
              <w:spacing w:line="240" w:lineRule="auto"/>
              <w:ind w:firstLine="0"/>
            </w:pPr>
            <w:r w:rsidRPr="004D46AC">
              <w:rPr>
                <w:color w:val="000000"/>
              </w:rPr>
              <w:t>TR6--TR33</w:t>
            </w:r>
          </w:p>
        </w:tc>
        <w:tc>
          <w:tcPr>
            <w:tcW w:w="1704" w:type="dxa"/>
            <w:vAlign w:val="center"/>
          </w:tcPr>
          <w:p w14:paraId="702422B4"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35544608" w14:textId="77777777" w:rsidR="007075D9" w:rsidRPr="004D46AC" w:rsidRDefault="007075D9" w:rsidP="002C5F6E">
            <w:pPr>
              <w:spacing w:line="240" w:lineRule="auto"/>
              <w:ind w:firstLine="0"/>
            </w:pPr>
            <w:r w:rsidRPr="004D46AC">
              <w:rPr>
                <w:color w:val="000000"/>
                <w:szCs w:val="21"/>
              </w:rPr>
              <w:t xml:space="preserve">-0.19 </w:t>
            </w:r>
          </w:p>
        </w:tc>
        <w:tc>
          <w:tcPr>
            <w:tcW w:w="1705" w:type="dxa"/>
            <w:vAlign w:val="center"/>
          </w:tcPr>
          <w:p w14:paraId="7D0F7772"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556648BF" w14:textId="77777777" w:rsidR="007075D9" w:rsidRPr="004D46AC" w:rsidRDefault="007075D9" w:rsidP="002C5F6E">
            <w:pPr>
              <w:spacing w:line="240" w:lineRule="auto"/>
              <w:ind w:firstLine="0"/>
            </w:pPr>
            <w:r w:rsidRPr="004D46AC">
              <w:rPr>
                <w:color w:val="000000"/>
                <w:szCs w:val="21"/>
              </w:rPr>
              <w:t xml:space="preserve">0.45 </w:t>
            </w:r>
          </w:p>
        </w:tc>
      </w:tr>
      <w:tr w:rsidR="007075D9" w:rsidRPr="004D46AC" w14:paraId="3B3D6FF4" w14:textId="77777777">
        <w:tc>
          <w:tcPr>
            <w:tcW w:w="1704" w:type="dxa"/>
            <w:vAlign w:val="center"/>
          </w:tcPr>
          <w:p w14:paraId="6DB4D026" w14:textId="77777777" w:rsidR="007075D9" w:rsidRPr="004D46AC" w:rsidRDefault="007075D9" w:rsidP="002C5F6E">
            <w:pPr>
              <w:spacing w:line="240" w:lineRule="auto"/>
              <w:ind w:firstLine="0"/>
            </w:pPr>
            <w:r w:rsidRPr="004D46AC">
              <w:rPr>
                <w:color w:val="000000"/>
              </w:rPr>
              <w:t>TR3--TR12</w:t>
            </w:r>
          </w:p>
        </w:tc>
        <w:tc>
          <w:tcPr>
            <w:tcW w:w="1704" w:type="dxa"/>
            <w:vAlign w:val="center"/>
          </w:tcPr>
          <w:p w14:paraId="4CA22D2D"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04ABFC6E" w14:textId="77777777" w:rsidR="007075D9" w:rsidRPr="004D46AC" w:rsidRDefault="007075D9" w:rsidP="002C5F6E">
            <w:pPr>
              <w:spacing w:line="240" w:lineRule="auto"/>
              <w:ind w:firstLine="0"/>
            </w:pPr>
            <w:r w:rsidRPr="004D46AC">
              <w:rPr>
                <w:color w:val="000000"/>
                <w:szCs w:val="21"/>
              </w:rPr>
              <w:t xml:space="preserve">-0.21 </w:t>
            </w:r>
          </w:p>
        </w:tc>
        <w:tc>
          <w:tcPr>
            <w:tcW w:w="1705" w:type="dxa"/>
            <w:vAlign w:val="center"/>
          </w:tcPr>
          <w:p w14:paraId="54FFBCB6"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71F76728" w14:textId="77777777" w:rsidR="007075D9" w:rsidRPr="004D46AC" w:rsidRDefault="007075D9" w:rsidP="002C5F6E">
            <w:pPr>
              <w:spacing w:line="240" w:lineRule="auto"/>
              <w:ind w:firstLine="0"/>
            </w:pPr>
            <w:r w:rsidRPr="004D46AC">
              <w:rPr>
                <w:color w:val="000000"/>
                <w:szCs w:val="21"/>
              </w:rPr>
              <w:t xml:space="preserve">0.50 </w:t>
            </w:r>
          </w:p>
        </w:tc>
      </w:tr>
      <w:tr w:rsidR="007075D9" w:rsidRPr="004D46AC" w14:paraId="1415D569" w14:textId="77777777">
        <w:tc>
          <w:tcPr>
            <w:tcW w:w="1704" w:type="dxa"/>
            <w:vAlign w:val="center"/>
          </w:tcPr>
          <w:p w14:paraId="3EFCB863" w14:textId="77777777" w:rsidR="007075D9" w:rsidRPr="004D46AC" w:rsidRDefault="007075D9" w:rsidP="002C5F6E">
            <w:pPr>
              <w:spacing w:line="240" w:lineRule="auto"/>
              <w:ind w:firstLine="0"/>
            </w:pPr>
            <w:r w:rsidRPr="004D46AC">
              <w:rPr>
                <w:color w:val="000000"/>
              </w:rPr>
              <w:t>TR24--TR29</w:t>
            </w:r>
          </w:p>
        </w:tc>
        <w:tc>
          <w:tcPr>
            <w:tcW w:w="1704" w:type="dxa"/>
            <w:vAlign w:val="center"/>
          </w:tcPr>
          <w:p w14:paraId="003A7227"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5D3A00E2" w14:textId="77777777" w:rsidR="007075D9" w:rsidRPr="004D46AC" w:rsidRDefault="007075D9" w:rsidP="002C5F6E">
            <w:pPr>
              <w:spacing w:line="240" w:lineRule="auto"/>
              <w:ind w:firstLine="0"/>
            </w:pPr>
            <w:r w:rsidRPr="004D46AC">
              <w:rPr>
                <w:color w:val="000000"/>
                <w:szCs w:val="21"/>
              </w:rPr>
              <w:t xml:space="preserve">-0.21 </w:t>
            </w:r>
          </w:p>
        </w:tc>
        <w:tc>
          <w:tcPr>
            <w:tcW w:w="1705" w:type="dxa"/>
            <w:vAlign w:val="center"/>
          </w:tcPr>
          <w:p w14:paraId="1540B938"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6F0E5668" w14:textId="77777777" w:rsidR="007075D9" w:rsidRPr="004D46AC" w:rsidRDefault="007075D9" w:rsidP="002C5F6E">
            <w:pPr>
              <w:spacing w:line="240" w:lineRule="auto"/>
              <w:ind w:firstLine="0"/>
            </w:pPr>
            <w:r w:rsidRPr="004D46AC">
              <w:rPr>
                <w:color w:val="000000"/>
                <w:szCs w:val="21"/>
              </w:rPr>
              <w:t xml:space="preserve">0.58 </w:t>
            </w:r>
          </w:p>
        </w:tc>
      </w:tr>
      <w:tr w:rsidR="007075D9" w:rsidRPr="004D46AC" w14:paraId="71BD8E70" w14:textId="77777777">
        <w:tc>
          <w:tcPr>
            <w:tcW w:w="1704" w:type="dxa"/>
            <w:vAlign w:val="center"/>
          </w:tcPr>
          <w:p w14:paraId="24A8D9EA" w14:textId="77777777" w:rsidR="007075D9" w:rsidRPr="004D46AC" w:rsidRDefault="007075D9" w:rsidP="002C5F6E">
            <w:pPr>
              <w:spacing w:line="240" w:lineRule="auto"/>
              <w:ind w:firstLine="0"/>
            </w:pPr>
            <w:r w:rsidRPr="004D46AC">
              <w:rPr>
                <w:color w:val="000000"/>
              </w:rPr>
              <w:t>TR3--TR21</w:t>
            </w:r>
          </w:p>
        </w:tc>
        <w:tc>
          <w:tcPr>
            <w:tcW w:w="1704" w:type="dxa"/>
            <w:vAlign w:val="center"/>
          </w:tcPr>
          <w:p w14:paraId="7CBCA565"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6C220727"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70795FEC"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7B61CB34" w14:textId="77777777" w:rsidR="007075D9" w:rsidRPr="004D46AC" w:rsidRDefault="007075D9" w:rsidP="002C5F6E">
            <w:pPr>
              <w:spacing w:line="240" w:lineRule="auto"/>
              <w:ind w:firstLine="0"/>
            </w:pPr>
            <w:r w:rsidRPr="004D46AC">
              <w:rPr>
                <w:color w:val="000000"/>
                <w:szCs w:val="21"/>
              </w:rPr>
              <w:t xml:space="preserve">0.52 </w:t>
            </w:r>
          </w:p>
        </w:tc>
      </w:tr>
      <w:tr w:rsidR="007075D9" w:rsidRPr="004D46AC" w14:paraId="57BBA7D2" w14:textId="77777777">
        <w:tc>
          <w:tcPr>
            <w:tcW w:w="1704" w:type="dxa"/>
            <w:vAlign w:val="center"/>
          </w:tcPr>
          <w:p w14:paraId="100E44F8" w14:textId="77777777" w:rsidR="007075D9" w:rsidRPr="004D46AC" w:rsidRDefault="007075D9" w:rsidP="002C5F6E">
            <w:pPr>
              <w:spacing w:line="240" w:lineRule="auto"/>
              <w:ind w:firstLine="0"/>
            </w:pPr>
            <w:r w:rsidRPr="004D46AC">
              <w:rPr>
                <w:color w:val="000000"/>
              </w:rPr>
              <w:t>TR5--TR34</w:t>
            </w:r>
          </w:p>
        </w:tc>
        <w:tc>
          <w:tcPr>
            <w:tcW w:w="1704" w:type="dxa"/>
            <w:vAlign w:val="center"/>
          </w:tcPr>
          <w:p w14:paraId="0E788F53"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421F2397"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3FA539C9"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40A6BD5E" w14:textId="77777777" w:rsidR="007075D9" w:rsidRPr="004D46AC" w:rsidRDefault="007075D9" w:rsidP="002C5F6E">
            <w:pPr>
              <w:spacing w:line="240" w:lineRule="auto"/>
              <w:ind w:firstLine="0"/>
            </w:pPr>
            <w:r w:rsidRPr="004D46AC">
              <w:rPr>
                <w:color w:val="000000"/>
                <w:szCs w:val="21"/>
              </w:rPr>
              <w:t xml:space="preserve">0.61 </w:t>
            </w:r>
          </w:p>
        </w:tc>
      </w:tr>
      <w:tr w:rsidR="007075D9" w:rsidRPr="004D46AC" w14:paraId="72F02788" w14:textId="77777777">
        <w:tc>
          <w:tcPr>
            <w:tcW w:w="1704" w:type="dxa"/>
            <w:vAlign w:val="center"/>
          </w:tcPr>
          <w:p w14:paraId="552219F9" w14:textId="77777777" w:rsidR="007075D9" w:rsidRPr="004D46AC" w:rsidRDefault="007075D9" w:rsidP="002C5F6E">
            <w:pPr>
              <w:spacing w:line="240" w:lineRule="auto"/>
              <w:ind w:firstLine="0"/>
            </w:pPr>
            <w:r w:rsidRPr="004D46AC">
              <w:rPr>
                <w:color w:val="000000"/>
              </w:rPr>
              <w:t>TR9--TR22</w:t>
            </w:r>
          </w:p>
        </w:tc>
        <w:tc>
          <w:tcPr>
            <w:tcW w:w="1704" w:type="dxa"/>
            <w:vAlign w:val="center"/>
          </w:tcPr>
          <w:p w14:paraId="184B5ADF"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1DE9E8B1"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31909350" w14:textId="77777777" w:rsidR="007075D9" w:rsidRPr="004D46AC" w:rsidRDefault="007075D9" w:rsidP="002C5F6E">
            <w:pPr>
              <w:spacing w:line="240" w:lineRule="auto"/>
              <w:ind w:firstLine="0"/>
            </w:pPr>
            <w:r w:rsidRPr="004D46AC">
              <w:rPr>
                <w:color w:val="000000"/>
                <w:szCs w:val="21"/>
              </w:rPr>
              <w:t xml:space="preserve">0.33 </w:t>
            </w:r>
          </w:p>
        </w:tc>
        <w:tc>
          <w:tcPr>
            <w:tcW w:w="1705" w:type="dxa"/>
            <w:vAlign w:val="center"/>
          </w:tcPr>
          <w:p w14:paraId="127022B5" w14:textId="77777777" w:rsidR="007075D9" w:rsidRPr="004D46AC" w:rsidRDefault="007075D9" w:rsidP="002C5F6E">
            <w:pPr>
              <w:spacing w:line="240" w:lineRule="auto"/>
              <w:ind w:firstLine="0"/>
            </w:pPr>
            <w:r w:rsidRPr="004D46AC">
              <w:rPr>
                <w:color w:val="000000"/>
                <w:szCs w:val="21"/>
              </w:rPr>
              <w:t xml:space="preserve">0.49 </w:t>
            </w:r>
          </w:p>
        </w:tc>
      </w:tr>
      <w:tr w:rsidR="007075D9" w:rsidRPr="004D46AC" w14:paraId="4F380271" w14:textId="77777777">
        <w:tc>
          <w:tcPr>
            <w:tcW w:w="1704" w:type="dxa"/>
            <w:vAlign w:val="center"/>
          </w:tcPr>
          <w:p w14:paraId="02298BF0" w14:textId="77777777" w:rsidR="007075D9" w:rsidRPr="004D46AC" w:rsidRDefault="007075D9" w:rsidP="002C5F6E">
            <w:pPr>
              <w:spacing w:line="240" w:lineRule="auto"/>
              <w:ind w:firstLine="0"/>
            </w:pPr>
            <w:r w:rsidRPr="004D46AC">
              <w:rPr>
                <w:color w:val="000000"/>
              </w:rPr>
              <w:t>TR26--TR9</w:t>
            </w:r>
          </w:p>
        </w:tc>
        <w:tc>
          <w:tcPr>
            <w:tcW w:w="1704" w:type="dxa"/>
            <w:vAlign w:val="center"/>
          </w:tcPr>
          <w:p w14:paraId="0EEA2FA9"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49332616"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4A48F39B"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6BB66470" w14:textId="77777777" w:rsidR="007075D9" w:rsidRPr="004D46AC" w:rsidRDefault="007075D9" w:rsidP="002C5F6E">
            <w:pPr>
              <w:spacing w:line="240" w:lineRule="auto"/>
              <w:ind w:firstLine="0"/>
            </w:pPr>
            <w:r w:rsidRPr="004D46AC">
              <w:rPr>
                <w:color w:val="000000"/>
                <w:szCs w:val="21"/>
              </w:rPr>
              <w:t xml:space="preserve">0.56 </w:t>
            </w:r>
          </w:p>
        </w:tc>
      </w:tr>
      <w:tr w:rsidR="007075D9" w:rsidRPr="004D46AC" w14:paraId="0B6AA9CE" w14:textId="77777777">
        <w:tc>
          <w:tcPr>
            <w:tcW w:w="1704" w:type="dxa"/>
            <w:vAlign w:val="center"/>
          </w:tcPr>
          <w:p w14:paraId="32C2764E" w14:textId="77777777" w:rsidR="007075D9" w:rsidRPr="004D46AC" w:rsidRDefault="007075D9" w:rsidP="002C5F6E">
            <w:pPr>
              <w:spacing w:line="240" w:lineRule="auto"/>
              <w:ind w:firstLine="0"/>
            </w:pPr>
            <w:r w:rsidRPr="004D46AC">
              <w:rPr>
                <w:color w:val="000000"/>
              </w:rPr>
              <w:t>TR9--TR33</w:t>
            </w:r>
          </w:p>
        </w:tc>
        <w:tc>
          <w:tcPr>
            <w:tcW w:w="1704" w:type="dxa"/>
            <w:vAlign w:val="center"/>
          </w:tcPr>
          <w:p w14:paraId="69414C39" w14:textId="77777777" w:rsidR="007075D9" w:rsidRPr="004D46AC" w:rsidRDefault="007075D9" w:rsidP="002C5F6E">
            <w:pPr>
              <w:spacing w:line="240" w:lineRule="auto"/>
              <w:ind w:firstLine="0"/>
            </w:pPr>
            <w:r w:rsidRPr="004D46AC">
              <w:rPr>
                <w:color w:val="000000"/>
                <w:szCs w:val="21"/>
              </w:rPr>
              <w:t xml:space="preserve">0.06 </w:t>
            </w:r>
          </w:p>
        </w:tc>
        <w:tc>
          <w:tcPr>
            <w:tcW w:w="1704" w:type="dxa"/>
            <w:vAlign w:val="center"/>
          </w:tcPr>
          <w:p w14:paraId="09162843"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321347FD"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28BD90D9" w14:textId="77777777" w:rsidR="007075D9" w:rsidRPr="004D46AC" w:rsidRDefault="007075D9" w:rsidP="002C5F6E">
            <w:pPr>
              <w:spacing w:line="240" w:lineRule="auto"/>
              <w:ind w:firstLine="0"/>
            </w:pPr>
            <w:r w:rsidRPr="004D46AC">
              <w:rPr>
                <w:color w:val="000000"/>
                <w:szCs w:val="21"/>
              </w:rPr>
              <w:t xml:space="preserve">0.52 </w:t>
            </w:r>
          </w:p>
        </w:tc>
      </w:tr>
      <w:tr w:rsidR="007075D9" w:rsidRPr="004D46AC" w14:paraId="06410D15" w14:textId="77777777">
        <w:tc>
          <w:tcPr>
            <w:tcW w:w="1704" w:type="dxa"/>
            <w:vAlign w:val="center"/>
          </w:tcPr>
          <w:p w14:paraId="1600F691" w14:textId="77777777" w:rsidR="007075D9" w:rsidRPr="004D46AC" w:rsidRDefault="007075D9" w:rsidP="002C5F6E">
            <w:pPr>
              <w:spacing w:line="240" w:lineRule="auto"/>
              <w:ind w:firstLine="0"/>
            </w:pPr>
            <w:r w:rsidRPr="004D46AC">
              <w:rPr>
                <w:color w:val="000000"/>
              </w:rPr>
              <w:t>TR19--TR13</w:t>
            </w:r>
          </w:p>
        </w:tc>
        <w:tc>
          <w:tcPr>
            <w:tcW w:w="1704" w:type="dxa"/>
            <w:vAlign w:val="center"/>
          </w:tcPr>
          <w:p w14:paraId="3DFFCB07" w14:textId="77777777" w:rsidR="007075D9" w:rsidRPr="004D46AC" w:rsidRDefault="007075D9" w:rsidP="002C5F6E">
            <w:pPr>
              <w:spacing w:line="240" w:lineRule="auto"/>
              <w:ind w:firstLine="0"/>
            </w:pPr>
            <w:r w:rsidRPr="004D46AC">
              <w:rPr>
                <w:color w:val="000000"/>
                <w:szCs w:val="21"/>
              </w:rPr>
              <w:t xml:space="preserve">0.05 </w:t>
            </w:r>
          </w:p>
        </w:tc>
        <w:tc>
          <w:tcPr>
            <w:tcW w:w="1704" w:type="dxa"/>
            <w:vAlign w:val="center"/>
          </w:tcPr>
          <w:p w14:paraId="191CA7C8"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7B5D6E22" w14:textId="77777777" w:rsidR="007075D9" w:rsidRPr="004D46AC" w:rsidRDefault="007075D9" w:rsidP="002C5F6E">
            <w:pPr>
              <w:spacing w:line="240" w:lineRule="auto"/>
              <w:ind w:firstLine="0"/>
            </w:pPr>
            <w:r w:rsidRPr="004D46AC">
              <w:rPr>
                <w:color w:val="000000"/>
                <w:szCs w:val="21"/>
              </w:rPr>
              <w:t xml:space="preserve">0.28 </w:t>
            </w:r>
          </w:p>
        </w:tc>
        <w:tc>
          <w:tcPr>
            <w:tcW w:w="1705" w:type="dxa"/>
            <w:vAlign w:val="center"/>
          </w:tcPr>
          <w:p w14:paraId="4A56FD52" w14:textId="77777777" w:rsidR="007075D9" w:rsidRPr="004D46AC" w:rsidRDefault="007075D9" w:rsidP="002C5F6E">
            <w:pPr>
              <w:spacing w:line="240" w:lineRule="auto"/>
              <w:ind w:firstLine="0"/>
            </w:pPr>
            <w:r w:rsidRPr="004D46AC">
              <w:rPr>
                <w:color w:val="000000"/>
                <w:szCs w:val="21"/>
              </w:rPr>
              <w:t xml:space="preserve">0.52 </w:t>
            </w:r>
          </w:p>
        </w:tc>
      </w:tr>
      <w:tr w:rsidR="007075D9" w:rsidRPr="004D46AC" w14:paraId="3D1E68AD" w14:textId="77777777">
        <w:tc>
          <w:tcPr>
            <w:tcW w:w="1704" w:type="dxa"/>
            <w:vAlign w:val="center"/>
          </w:tcPr>
          <w:p w14:paraId="089F8D63" w14:textId="77777777" w:rsidR="007075D9" w:rsidRPr="004D46AC" w:rsidRDefault="007075D9" w:rsidP="002C5F6E">
            <w:pPr>
              <w:spacing w:line="240" w:lineRule="auto"/>
              <w:ind w:firstLine="0"/>
            </w:pPr>
            <w:r w:rsidRPr="004D46AC">
              <w:rPr>
                <w:color w:val="000000"/>
              </w:rPr>
              <w:t>TR26--TR33</w:t>
            </w:r>
          </w:p>
        </w:tc>
        <w:tc>
          <w:tcPr>
            <w:tcW w:w="1704" w:type="dxa"/>
            <w:vAlign w:val="center"/>
          </w:tcPr>
          <w:p w14:paraId="6BFFCFA0" w14:textId="77777777" w:rsidR="007075D9" w:rsidRPr="004D46AC" w:rsidRDefault="007075D9" w:rsidP="002C5F6E">
            <w:pPr>
              <w:spacing w:line="240" w:lineRule="auto"/>
              <w:ind w:firstLine="0"/>
            </w:pPr>
            <w:r w:rsidRPr="004D46AC">
              <w:rPr>
                <w:color w:val="000000"/>
                <w:szCs w:val="21"/>
              </w:rPr>
              <w:t xml:space="preserve">0.03 </w:t>
            </w:r>
          </w:p>
        </w:tc>
        <w:tc>
          <w:tcPr>
            <w:tcW w:w="1704" w:type="dxa"/>
            <w:vAlign w:val="center"/>
          </w:tcPr>
          <w:p w14:paraId="4FCD23F6"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0BE97182"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15B4333D" w14:textId="77777777" w:rsidR="007075D9" w:rsidRPr="004D46AC" w:rsidRDefault="007075D9" w:rsidP="002C5F6E">
            <w:pPr>
              <w:spacing w:line="240" w:lineRule="auto"/>
              <w:ind w:firstLine="0"/>
            </w:pPr>
            <w:r w:rsidRPr="004D46AC">
              <w:rPr>
                <w:color w:val="000000"/>
                <w:szCs w:val="21"/>
              </w:rPr>
              <w:t xml:space="preserve">0.53 </w:t>
            </w:r>
          </w:p>
        </w:tc>
      </w:tr>
      <w:tr w:rsidR="007075D9" w:rsidRPr="004D46AC" w14:paraId="4C3A4ADC" w14:textId="77777777">
        <w:tc>
          <w:tcPr>
            <w:tcW w:w="1704" w:type="dxa"/>
            <w:vAlign w:val="center"/>
          </w:tcPr>
          <w:p w14:paraId="52A2938E" w14:textId="77777777" w:rsidR="007075D9" w:rsidRPr="004D46AC" w:rsidRDefault="007075D9" w:rsidP="002C5F6E">
            <w:pPr>
              <w:spacing w:line="240" w:lineRule="auto"/>
              <w:ind w:firstLine="0"/>
            </w:pPr>
            <w:r w:rsidRPr="004D46AC">
              <w:rPr>
                <w:color w:val="000000"/>
              </w:rPr>
              <w:t>TR12--TR14</w:t>
            </w:r>
          </w:p>
        </w:tc>
        <w:tc>
          <w:tcPr>
            <w:tcW w:w="1704" w:type="dxa"/>
            <w:vAlign w:val="center"/>
          </w:tcPr>
          <w:p w14:paraId="42039F34"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1FFF67F5"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2443E238"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5B4A4B5E" w14:textId="77777777" w:rsidR="007075D9" w:rsidRPr="004D46AC" w:rsidRDefault="007075D9" w:rsidP="002C5F6E">
            <w:pPr>
              <w:spacing w:line="240" w:lineRule="auto"/>
              <w:ind w:firstLine="0"/>
            </w:pPr>
            <w:r w:rsidRPr="004D46AC">
              <w:rPr>
                <w:color w:val="000000"/>
                <w:szCs w:val="21"/>
              </w:rPr>
              <w:t xml:space="preserve">0.36 </w:t>
            </w:r>
          </w:p>
        </w:tc>
      </w:tr>
      <w:tr w:rsidR="007075D9" w:rsidRPr="004D46AC" w14:paraId="4693B8B0" w14:textId="77777777">
        <w:tc>
          <w:tcPr>
            <w:tcW w:w="1704" w:type="dxa"/>
            <w:vAlign w:val="center"/>
          </w:tcPr>
          <w:p w14:paraId="7356C178" w14:textId="77777777" w:rsidR="007075D9" w:rsidRPr="004D46AC" w:rsidRDefault="007075D9" w:rsidP="002C5F6E">
            <w:pPr>
              <w:spacing w:line="240" w:lineRule="auto"/>
              <w:ind w:firstLine="0"/>
            </w:pPr>
            <w:r w:rsidRPr="004D46AC">
              <w:rPr>
                <w:color w:val="000000"/>
              </w:rPr>
              <w:t>TR12--TR25</w:t>
            </w:r>
          </w:p>
        </w:tc>
        <w:tc>
          <w:tcPr>
            <w:tcW w:w="1704" w:type="dxa"/>
            <w:vAlign w:val="center"/>
          </w:tcPr>
          <w:p w14:paraId="624919D8" w14:textId="77777777" w:rsidR="007075D9" w:rsidRPr="004D46AC" w:rsidRDefault="007075D9" w:rsidP="002C5F6E">
            <w:pPr>
              <w:spacing w:line="240" w:lineRule="auto"/>
              <w:ind w:firstLine="0"/>
            </w:pPr>
            <w:r w:rsidRPr="004D46AC">
              <w:rPr>
                <w:color w:val="000000"/>
                <w:szCs w:val="21"/>
              </w:rPr>
              <w:t xml:space="preserve">-0.46 </w:t>
            </w:r>
          </w:p>
        </w:tc>
        <w:tc>
          <w:tcPr>
            <w:tcW w:w="1704" w:type="dxa"/>
            <w:vAlign w:val="center"/>
          </w:tcPr>
          <w:p w14:paraId="29715A0C"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7C984B62"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7990E450"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286DC822" w14:textId="77777777">
        <w:tc>
          <w:tcPr>
            <w:tcW w:w="1704" w:type="dxa"/>
            <w:vAlign w:val="center"/>
          </w:tcPr>
          <w:p w14:paraId="2C2119DF" w14:textId="77777777" w:rsidR="007075D9" w:rsidRPr="004D46AC" w:rsidRDefault="007075D9" w:rsidP="002C5F6E">
            <w:pPr>
              <w:spacing w:line="240" w:lineRule="auto"/>
              <w:ind w:firstLine="0"/>
            </w:pPr>
            <w:r w:rsidRPr="004D46AC">
              <w:rPr>
                <w:color w:val="000000"/>
              </w:rPr>
              <w:t>TR12--TR16</w:t>
            </w:r>
          </w:p>
        </w:tc>
        <w:tc>
          <w:tcPr>
            <w:tcW w:w="1704" w:type="dxa"/>
            <w:vAlign w:val="center"/>
          </w:tcPr>
          <w:p w14:paraId="0CEA4300" w14:textId="77777777" w:rsidR="007075D9" w:rsidRPr="004D46AC" w:rsidRDefault="007075D9" w:rsidP="002C5F6E">
            <w:pPr>
              <w:spacing w:line="240" w:lineRule="auto"/>
              <w:ind w:firstLine="0"/>
            </w:pPr>
            <w:r w:rsidRPr="004D46AC">
              <w:rPr>
                <w:color w:val="000000"/>
                <w:szCs w:val="21"/>
              </w:rPr>
              <w:t xml:space="preserve">-0.48 </w:t>
            </w:r>
          </w:p>
        </w:tc>
        <w:tc>
          <w:tcPr>
            <w:tcW w:w="1704" w:type="dxa"/>
            <w:vAlign w:val="center"/>
          </w:tcPr>
          <w:p w14:paraId="12191951"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67ECE262"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05B5BF05" w14:textId="77777777" w:rsidR="007075D9" w:rsidRPr="004D46AC" w:rsidRDefault="007075D9" w:rsidP="002C5F6E">
            <w:pPr>
              <w:spacing w:line="240" w:lineRule="auto"/>
              <w:ind w:firstLine="0"/>
            </w:pPr>
            <w:r w:rsidRPr="004D46AC">
              <w:rPr>
                <w:color w:val="000000"/>
                <w:szCs w:val="21"/>
              </w:rPr>
              <w:t xml:space="preserve">0.01 </w:t>
            </w:r>
          </w:p>
        </w:tc>
      </w:tr>
    </w:tbl>
    <w:p w14:paraId="16A3855D" w14:textId="77777777" w:rsidR="007075D9" w:rsidRPr="004D46AC" w:rsidRDefault="007075D9" w:rsidP="002C5F6E">
      <w:pPr>
        <w:spacing w:line="240" w:lineRule="auto"/>
        <w:ind w:firstLine="0"/>
      </w:pPr>
      <w:r w:rsidRPr="004D46AC">
        <w:rPr>
          <w:i/>
          <w:iCs/>
        </w:rPr>
        <w:t>Note</w:t>
      </w:r>
      <w:r w:rsidRPr="004D46AC">
        <w:t>. Bootstrapped edge statistics were based on 2,000 resampled datasets. P</w:t>
      </w:r>
      <w:r w:rsidRPr="004D46AC">
        <w:rPr>
          <w:rFonts w:ascii="Cambria Math" w:hAnsi="Cambria Math" w:cs="Cambria Math" w:hint="eastAsia"/>
        </w:rPr>
        <w:t xml:space="preserve">0 </w:t>
      </w:r>
      <w:r w:rsidRPr="004D46AC">
        <w:t>indicates the proportion of times an edge was present across the bootstrap samples.</w:t>
      </w:r>
    </w:p>
    <w:p w14:paraId="1A3FFF6E" w14:textId="77777777" w:rsidR="007075D9" w:rsidRPr="004D46AC" w:rsidRDefault="007075D9" w:rsidP="002C5F6E">
      <w:pPr>
        <w:spacing w:line="240" w:lineRule="auto"/>
        <w:ind w:firstLine="0"/>
      </w:pPr>
    </w:p>
    <w:p w14:paraId="2436CCBF" w14:textId="77777777" w:rsidR="007075D9" w:rsidRPr="004D46AC" w:rsidRDefault="007075D9" w:rsidP="002C5F6E">
      <w:pPr>
        <w:spacing w:line="240" w:lineRule="auto"/>
        <w:ind w:firstLine="0"/>
      </w:pPr>
    </w:p>
    <w:p w14:paraId="65596E30" w14:textId="77777777" w:rsidR="007075D9" w:rsidRPr="004D46AC" w:rsidRDefault="007075D9" w:rsidP="002C5F6E">
      <w:pPr>
        <w:spacing w:line="240" w:lineRule="auto"/>
        <w:ind w:firstLine="0"/>
      </w:pPr>
    </w:p>
    <w:p w14:paraId="32E5071F" w14:textId="77777777" w:rsidR="007075D9" w:rsidRPr="004D46AC" w:rsidRDefault="007075D9" w:rsidP="002C5F6E">
      <w:pPr>
        <w:spacing w:line="240" w:lineRule="auto"/>
        <w:ind w:firstLine="0"/>
      </w:pPr>
    </w:p>
    <w:p w14:paraId="174F0861" w14:textId="77777777" w:rsidR="007075D9" w:rsidRPr="004D46AC" w:rsidRDefault="007075D9" w:rsidP="002C5F6E">
      <w:pPr>
        <w:spacing w:line="240" w:lineRule="auto"/>
        <w:ind w:firstLine="0"/>
      </w:pPr>
    </w:p>
    <w:p w14:paraId="4E013C17" w14:textId="77777777" w:rsidR="007075D9" w:rsidRPr="004D46AC" w:rsidRDefault="007075D9" w:rsidP="002C5F6E">
      <w:pPr>
        <w:spacing w:line="240" w:lineRule="auto"/>
        <w:ind w:firstLine="0"/>
      </w:pPr>
    </w:p>
    <w:p w14:paraId="206B29CE" w14:textId="77777777" w:rsidR="007075D9" w:rsidRPr="004D46AC" w:rsidRDefault="007075D9" w:rsidP="002C5F6E">
      <w:pPr>
        <w:spacing w:line="240" w:lineRule="auto"/>
        <w:ind w:firstLine="0"/>
      </w:pPr>
    </w:p>
    <w:p w14:paraId="4A2F8972" w14:textId="77777777" w:rsidR="007075D9" w:rsidRPr="004D46AC" w:rsidRDefault="007075D9" w:rsidP="002C5F6E">
      <w:pPr>
        <w:spacing w:line="240" w:lineRule="auto"/>
        <w:ind w:firstLine="0"/>
      </w:pPr>
    </w:p>
    <w:p w14:paraId="1CB8AA71" w14:textId="77777777" w:rsidR="007075D9" w:rsidRPr="004D46AC" w:rsidRDefault="007075D9" w:rsidP="002C5F6E">
      <w:pPr>
        <w:spacing w:line="240" w:lineRule="auto"/>
        <w:ind w:firstLine="0"/>
      </w:pPr>
    </w:p>
    <w:p w14:paraId="736F6439" w14:textId="77777777" w:rsidR="007075D9" w:rsidRPr="004D46AC" w:rsidRDefault="007075D9" w:rsidP="002C5F6E">
      <w:pPr>
        <w:spacing w:line="240" w:lineRule="auto"/>
        <w:ind w:firstLine="0"/>
      </w:pPr>
    </w:p>
    <w:p w14:paraId="1364E13C" w14:textId="77777777" w:rsidR="007075D9" w:rsidRPr="004D46AC" w:rsidRDefault="007075D9" w:rsidP="002C5F6E">
      <w:pPr>
        <w:spacing w:line="240" w:lineRule="auto"/>
        <w:ind w:firstLine="0"/>
      </w:pPr>
    </w:p>
    <w:p w14:paraId="20217E76" w14:textId="77777777" w:rsidR="007075D9" w:rsidRPr="004D46AC" w:rsidRDefault="007075D9" w:rsidP="002C5F6E">
      <w:pPr>
        <w:spacing w:line="240" w:lineRule="auto"/>
        <w:ind w:firstLine="0"/>
      </w:pPr>
    </w:p>
    <w:p w14:paraId="3FFD292B" w14:textId="77777777" w:rsidR="007075D9" w:rsidRPr="004D46AC" w:rsidRDefault="007075D9" w:rsidP="002C5F6E">
      <w:pPr>
        <w:spacing w:line="240" w:lineRule="auto"/>
        <w:ind w:firstLine="0"/>
        <w:rPr>
          <w:rFonts w:eastAsiaTheme="minorEastAsia"/>
        </w:rPr>
      </w:pPr>
    </w:p>
    <w:p w14:paraId="4EC2BD15" w14:textId="77777777" w:rsidR="00CC3324" w:rsidRPr="004D46AC" w:rsidRDefault="00CC3324" w:rsidP="002C5F6E">
      <w:pPr>
        <w:spacing w:line="240" w:lineRule="auto"/>
        <w:ind w:firstLine="0"/>
        <w:rPr>
          <w:rFonts w:eastAsiaTheme="minorEastAsia"/>
        </w:rPr>
      </w:pPr>
    </w:p>
    <w:p w14:paraId="70B34431" w14:textId="77777777" w:rsidR="00CC3324" w:rsidRPr="004D46AC" w:rsidRDefault="00CC3324" w:rsidP="002C5F6E">
      <w:pPr>
        <w:spacing w:line="240" w:lineRule="auto"/>
        <w:ind w:firstLine="0"/>
        <w:rPr>
          <w:rFonts w:eastAsiaTheme="minorEastAsia"/>
        </w:rPr>
      </w:pPr>
    </w:p>
    <w:p w14:paraId="075BA0CA" w14:textId="77777777" w:rsidR="00CC3324" w:rsidRPr="004D46AC" w:rsidRDefault="00CC3324" w:rsidP="002C5F6E">
      <w:pPr>
        <w:spacing w:line="240" w:lineRule="auto"/>
        <w:ind w:firstLine="0"/>
        <w:rPr>
          <w:rFonts w:eastAsiaTheme="minorEastAsia"/>
        </w:rPr>
      </w:pPr>
    </w:p>
    <w:p w14:paraId="3C97D73C" w14:textId="2ACFA788" w:rsidR="00011BA9" w:rsidRPr="004D46AC" w:rsidRDefault="00011BA9" w:rsidP="00011BA9">
      <w:pPr>
        <w:pStyle w:val="afff0"/>
        <w:spacing w:after="0"/>
        <w:ind w:firstLine="0"/>
        <w:rPr>
          <w:b/>
          <w:bCs/>
          <w:i w:val="0"/>
          <w:iCs w:val="0"/>
          <w:color w:val="auto"/>
          <w:sz w:val="22"/>
          <w:szCs w:val="22"/>
        </w:rPr>
      </w:pPr>
      <w:bookmarkStart w:id="414" w:name="_Toc219870653"/>
      <w:r w:rsidRPr="004D46AC">
        <w:rPr>
          <w:b/>
          <w:bCs/>
          <w:i w:val="0"/>
          <w:iCs w:val="0"/>
          <w:color w:val="auto"/>
          <w:sz w:val="22"/>
          <w:szCs w:val="22"/>
        </w:rPr>
        <w:lastRenderedPageBreak/>
        <w:t xml:space="preserve">Table E </w:t>
      </w:r>
      <w:r w:rsidRPr="004D46AC">
        <w:rPr>
          <w:b/>
          <w:bCs/>
          <w:i w:val="0"/>
          <w:iCs w:val="0"/>
          <w:color w:val="auto"/>
          <w:sz w:val="22"/>
          <w:szCs w:val="22"/>
        </w:rPr>
        <w:fldChar w:fldCharType="begin"/>
      </w:r>
      <w:r w:rsidRPr="004D46AC">
        <w:rPr>
          <w:b/>
          <w:bCs/>
          <w:i w:val="0"/>
          <w:iCs w:val="0"/>
          <w:color w:val="auto"/>
          <w:sz w:val="22"/>
          <w:szCs w:val="22"/>
        </w:rPr>
        <w:instrText xml:space="preserve"> SEQ Table_E \* ARABIC </w:instrText>
      </w:r>
      <w:r w:rsidRPr="004D46AC">
        <w:rPr>
          <w:b/>
          <w:bCs/>
          <w:i w:val="0"/>
          <w:iCs w:val="0"/>
          <w:color w:val="auto"/>
          <w:sz w:val="22"/>
          <w:szCs w:val="22"/>
        </w:rPr>
        <w:fldChar w:fldCharType="separate"/>
      </w:r>
      <w:r w:rsidRPr="004D46AC">
        <w:rPr>
          <w:b/>
          <w:bCs/>
          <w:i w:val="0"/>
          <w:iCs w:val="0"/>
          <w:noProof/>
          <w:color w:val="auto"/>
          <w:sz w:val="22"/>
          <w:szCs w:val="22"/>
        </w:rPr>
        <w:t>9</w:t>
      </w:r>
      <w:bookmarkEnd w:id="414"/>
      <w:r w:rsidRPr="004D46AC">
        <w:rPr>
          <w:b/>
          <w:bCs/>
          <w:i w:val="0"/>
          <w:iCs w:val="0"/>
          <w:color w:val="auto"/>
          <w:sz w:val="22"/>
          <w:szCs w:val="22"/>
        </w:rPr>
        <w:fldChar w:fldCharType="end"/>
      </w:r>
    </w:p>
    <w:p w14:paraId="0910BEC5" w14:textId="77777777" w:rsidR="007075D9" w:rsidRPr="004D46AC" w:rsidRDefault="007075D9" w:rsidP="002C5F6E">
      <w:pPr>
        <w:spacing w:line="240" w:lineRule="auto"/>
        <w:ind w:firstLine="0"/>
        <w:rPr>
          <w:i/>
          <w:iCs/>
        </w:rPr>
      </w:pPr>
      <w:r w:rsidRPr="004D46AC">
        <w:rPr>
          <w:i/>
          <w:iCs/>
        </w:rPr>
        <w:t>Edges with non-zero weights in the network</w:t>
      </w:r>
      <w:r w:rsidRPr="004D46AC">
        <w:rPr>
          <w:rFonts w:hint="eastAsia"/>
          <w:i/>
          <w:iCs/>
          <w:lang w:val="en-US"/>
        </w:rPr>
        <w:t xml:space="preserve"> of </w:t>
      </w:r>
      <w:proofErr w:type="gramStart"/>
      <w:r w:rsidRPr="004D46AC">
        <w:rPr>
          <w:rFonts w:hint="eastAsia"/>
          <w:i/>
          <w:iCs/>
          <w:lang w:val="en-US"/>
        </w:rPr>
        <w:t>at risk</w:t>
      </w:r>
      <w:proofErr w:type="gramEnd"/>
      <w:r w:rsidRPr="004D46AC">
        <w:rPr>
          <w:rFonts w:hint="eastAsia"/>
          <w:i/>
          <w:iCs/>
          <w:lang w:val="en-US"/>
        </w:rPr>
        <w:t xml:space="preserve"> states</w:t>
      </w:r>
      <w:r w:rsidRPr="004D46AC">
        <w:rPr>
          <w:i/>
          <w:iCs/>
        </w:rPr>
        <w:t xml:space="preserve"> among </w:t>
      </w:r>
      <w:r w:rsidRPr="004D46AC">
        <w:rPr>
          <w:rFonts w:hint="eastAsia"/>
          <w:i/>
          <w:iCs/>
        </w:rPr>
        <w:t>males</w:t>
      </w:r>
    </w:p>
    <w:tbl>
      <w:tblPr>
        <w:tblStyle w:val="afc"/>
        <w:tblW w:w="0" w:type="auto"/>
        <w:tblLook w:val="04A0" w:firstRow="1" w:lastRow="0" w:firstColumn="1" w:lastColumn="0" w:noHBand="0" w:noVBand="1"/>
      </w:tblPr>
      <w:tblGrid>
        <w:gridCol w:w="1704"/>
        <w:gridCol w:w="1704"/>
        <w:gridCol w:w="1704"/>
        <w:gridCol w:w="1705"/>
        <w:gridCol w:w="1705"/>
      </w:tblGrid>
      <w:tr w:rsidR="007075D9" w:rsidRPr="004D46AC" w14:paraId="6F27AD6F" w14:textId="77777777">
        <w:tc>
          <w:tcPr>
            <w:tcW w:w="1704" w:type="dxa"/>
            <w:vAlign w:val="center"/>
          </w:tcPr>
          <w:p w14:paraId="6273378C" w14:textId="77777777" w:rsidR="007075D9" w:rsidRPr="004D46AC" w:rsidRDefault="007075D9" w:rsidP="002C5F6E">
            <w:pPr>
              <w:spacing w:line="240" w:lineRule="auto"/>
              <w:ind w:firstLine="0"/>
            </w:pPr>
            <w:r w:rsidRPr="004D46AC">
              <w:rPr>
                <w:color w:val="000000"/>
              </w:rPr>
              <w:t>E</w:t>
            </w:r>
            <w:r w:rsidRPr="004D46AC">
              <w:rPr>
                <w:rFonts w:hint="eastAsia"/>
                <w:color w:val="000000"/>
              </w:rPr>
              <w:t>dge</w:t>
            </w:r>
          </w:p>
        </w:tc>
        <w:tc>
          <w:tcPr>
            <w:tcW w:w="1704" w:type="dxa"/>
            <w:vAlign w:val="center"/>
          </w:tcPr>
          <w:p w14:paraId="7926E799" w14:textId="77777777" w:rsidR="007075D9" w:rsidRPr="004D46AC" w:rsidRDefault="007075D9" w:rsidP="002C5F6E">
            <w:pPr>
              <w:spacing w:line="240" w:lineRule="auto"/>
              <w:ind w:firstLine="0"/>
            </w:pPr>
            <w:r w:rsidRPr="004D46AC">
              <w:rPr>
                <w:rFonts w:hint="eastAsia"/>
                <w:color w:val="000000"/>
              </w:rPr>
              <w:t>Weight</w:t>
            </w:r>
          </w:p>
        </w:tc>
        <w:tc>
          <w:tcPr>
            <w:tcW w:w="1704" w:type="dxa"/>
            <w:vAlign w:val="center"/>
          </w:tcPr>
          <w:p w14:paraId="648FCE71" w14:textId="77777777" w:rsidR="007075D9" w:rsidRPr="004D46AC" w:rsidRDefault="007075D9" w:rsidP="002C5F6E">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lower</w:t>
            </w:r>
          </w:p>
        </w:tc>
        <w:tc>
          <w:tcPr>
            <w:tcW w:w="1705" w:type="dxa"/>
            <w:vAlign w:val="center"/>
          </w:tcPr>
          <w:p w14:paraId="7BEFBA9C" w14:textId="77777777" w:rsidR="007075D9" w:rsidRPr="004D46AC" w:rsidRDefault="007075D9" w:rsidP="002C5F6E">
            <w:pPr>
              <w:spacing w:line="240" w:lineRule="auto"/>
              <w:ind w:firstLine="0"/>
            </w:pPr>
            <w:r w:rsidRPr="004D46AC">
              <w:rPr>
                <w:rFonts w:hint="eastAsia"/>
                <w:color w:val="000000"/>
              </w:rPr>
              <w:t>95% B</w:t>
            </w:r>
            <w:r w:rsidRPr="004D46AC">
              <w:rPr>
                <w:color w:val="000000"/>
              </w:rPr>
              <w:t>CI</w:t>
            </w:r>
            <w:r w:rsidRPr="004D46AC">
              <w:rPr>
                <w:rFonts w:hint="eastAsia"/>
                <w:color w:val="000000"/>
              </w:rPr>
              <w:t xml:space="preserve"> </w:t>
            </w:r>
            <w:r w:rsidRPr="004D46AC">
              <w:rPr>
                <w:color w:val="000000"/>
              </w:rPr>
              <w:t>upper</w:t>
            </w:r>
          </w:p>
        </w:tc>
        <w:tc>
          <w:tcPr>
            <w:tcW w:w="1705" w:type="dxa"/>
            <w:vAlign w:val="center"/>
          </w:tcPr>
          <w:p w14:paraId="36D6F2A6" w14:textId="77777777" w:rsidR="007075D9" w:rsidRPr="004D46AC" w:rsidRDefault="007075D9" w:rsidP="002C5F6E">
            <w:pPr>
              <w:spacing w:line="240" w:lineRule="auto"/>
              <w:ind w:firstLine="0"/>
            </w:pPr>
            <w:r w:rsidRPr="004D46AC">
              <w:rPr>
                <w:rFonts w:hint="eastAsia"/>
              </w:rPr>
              <w:t>P0</w:t>
            </w:r>
          </w:p>
        </w:tc>
      </w:tr>
      <w:tr w:rsidR="007075D9" w:rsidRPr="004D46AC" w14:paraId="0724B5AF" w14:textId="77777777">
        <w:tc>
          <w:tcPr>
            <w:tcW w:w="1704" w:type="dxa"/>
            <w:vAlign w:val="center"/>
          </w:tcPr>
          <w:p w14:paraId="60356113" w14:textId="77777777" w:rsidR="007075D9" w:rsidRPr="004D46AC" w:rsidRDefault="007075D9" w:rsidP="002C5F6E">
            <w:pPr>
              <w:spacing w:line="240" w:lineRule="auto"/>
              <w:ind w:firstLine="0"/>
            </w:pPr>
            <w:r w:rsidRPr="004D46AC">
              <w:rPr>
                <w:color w:val="000000"/>
              </w:rPr>
              <w:t>TR22--TR25</w:t>
            </w:r>
          </w:p>
        </w:tc>
        <w:tc>
          <w:tcPr>
            <w:tcW w:w="1704" w:type="dxa"/>
            <w:vAlign w:val="center"/>
          </w:tcPr>
          <w:p w14:paraId="7ADA0983" w14:textId="77777777" w:rsidR="007075D9" w:rsidRPr="004D46AC" w:rsidRDefault="007075D9" w:rsidP="002C5F6E">
            <w:pPr>
              <w:spacing w:line="240" w:lineRule="auto"/>
              <w:ind w:firstLine="0"/>
            </w:pPr>
            <w:r w:rsidRPr="004D46AC">
              <w:rPr>
                <w:color w:val="000000"/>
                <w:szCs w:val="21"/>
              </w:rPr>
              <w:t xml:space="preserve">1.09 </w:t>
            </w:r>
          </w:p>
        </w:tc>
        <w:tc>
          <w:tcPr>
            <w:tcW w:w="1704" w:type="dxa"/>
            <w:vAlign w:val="center"/>
          </w:tcPr>
          <w:p w14:paraId="19ABF136" w14:textId="77777777" w:rsidR="007075D9" w:rsidRPr="004D46AC" w:rsidRDefault="007075D9" w:rsidP="002C5F6E">
            <w:pPr>
              <w:spacing w:line="240" w:lineRule="auto"/>
              <w:ind w:firstLine="0"/>
            </w:pPr>
            <w:r w:rsidRPr="004D46AC">
              <w:rPr>
                <w:color w:val="000000"/>
                <w:szCs w:val="21"/>
              </w:rPr>
              <w:t xml:space="preserve">0.78 </w:t>
            </w:r>
          </w:p>
        </w:tc>
        <w:tc>
          <w:tcPr>
            <w:tcW w:w="1705" w:type="dxa"/>
            <w:vAlign w:val="center"/>
          </w:tcPr>
          <w:p w14:paraId="74515997" w14:textId="77777777" w:rsidR="007075D9" w:rsidRPr="004D46AC" w:rsidRDefault="007075D9" w:rsidP="002C5F6E">
            <w:pPr>
              <w:spacing w:line="240" w:lineRule="auto"/>
              <w:ind w:firstLine="0"/>
            </w:pPr>
            <w:r w:rsidRPr="004D46AC">
              <w:rPr>
                <w:color w:val="000000"/>
                <w:szCs w:val="21"/>
              </w:rPr>
              <w:t xml:space="preserve">1.40 </w:t>
            </w:r>
          </w:p>
        </w:tc>
        <w:tc>
          <w:tcPr>
            <w:tcW w:w="1705" w:type="dxa"/>
            <w:vAlign w:val="center"/>
          </w:tcPr>
          <w:p w14:paraId="6FE6DFC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6768EEE7" w14:textId="77777777">
        <w:tc>
          <w:tcPr>
            <w:tcW w:w="1704" w:type="dxa"/>
            <w:vAlign w:val="center"/>
          </w:tcPr>
          <w:p w14:paraId="265AB7F1" w14:textId="77777777" w:rsidR="007075D9" w:rsidRPr="004D46AC" w:rsidRDefault="007075D9" w:rsidP="002C5F6E">
            <w:pPr>
              <w:spacing w:line="240" w:lineRule="auto"/>
              <w:ind w:firstLine="0"/>
            </w:pPr>
            <w:r w:rsidRPr="004D46AC">
              <w:rPr>
                <w:color w:val="000000"/>
              </w:rPr>
              <w:t>TR29--TR30</w:t>
            </w:r>
          </w:p>
        </w:tc>
        <w:tc>
          <w:tcPr>
            <w:tcW w:w="1704" w:type="dxa"/>
            <w:vAlign w:val="center"/>
          </w:tcPr>
          <w:p w14:paraId="014F6954" w14:textId="77777777" w:rsidR="007075D9" w:rsidRPr="004D46AC" w:rsidRDefault="007075D9" w:rsidP="002C5F6E">
            <w:pPr>
              <w:spacing w:line="240" w:lineRule="auto"/>
              <w:ind w:firstLine="0"/>
            </w:pPr>
            <w:r w:rsidRPr="004D46AC">
              <w:rPr>
                <w:color w:val="000000"/>
                <w:szCs w:val="21"/>
              </w:rPr>
              <w:t xml:space="preserve">0.87 </w:t>
            </w:r>
          </w:p>
        </w:tc>
        <w:tc>
          <w:tcPr>
            <w:tcW w:w="1704" w:type="dxa"/>
            <w:vAlign w:val="center"/>
          </w:tcPr>
          <w:p w14:paraId="5E8867A6"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31FD249F" w14:textId="77777777" w:rsidR="007075D9" w:rsidRPr="004D46AC" w:rsidRDefault="007075D9" w:rsidP="002C5F6E">
            <w:pPr>
              <w:spacing w:line="240" w:lineRule="auto"/>
              <w:ind w:firstLine="0"/>
            </w:pPr>
            <w:r w:rsidRPr="004D46AC">
              <w:rPr>
                <w:color w:val="000000"/>
                <w:szCs w:val="21"/>
              </w:rPr>
              <w:t xml:space="preserve">1.25 </w:t>
            </w:r>
          </w:p>
        </w:tc>
        <w:tc>
          <w:tcPr>
            <w:tcW w:w="1705" w:type="dxa"/>
            <w:vAlign w:val="center"/>
          </w:tcPr>
          <w:p w14:paraId="5772BA7B"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C47697F" w14:textId="77777777">
        <w:tc>
          <w:tcPr>
            <w:tcW w:w="1704" w:type="dxa"/>
            <w:vAlign w:val="center"/>
          </w:tcPr>
          <w:p w14:paraId="3FA1F52D" w14:textId="77777777" w:rsidR="007075D9" w:rsidRPr="004D46AC" w:rsidRDefault="007075D9" w:rsidP="002C5F6E">
            <w:pPr>
              <w:spacing w:line="240" w:lineRule="auto"/>
              <w:ind w:firstLine="0"/>
            </w:pPr>
            <w:r w:rsidRPr="004D46AC">
              <w:rPr>
                <w:color w:val="000000"/>
              </w:rPr>
              <w:t>TR14--TR16</w:t>
            </w:r>
          </w:p>
        </w:tc>
        <w:tc>
          <w:tcPr>
            <w:tcW w:w="1704" w:type="dxa"/>
            <w:vAlign w:val="center"/>
          </w:tcPr>
          <w:p w14:paraId="43479058" w14:textId="77777777" w:rsidR="007075D9" w:rsidRPr="004D46AC" w:rsidRDefault="007075D9" w:rsidP="002C5F6E">
            <w:pPr>
              <w:spacing w:line="240" w:lineRule="auto"/>
              <w:ind w:firstLine="0"/>
            </w:pPr>
            <w:r w:rsidRPr="004D46AC">
              <w:rPr>
                <w:color w:val="000000"/>
                <w:szCs w:val="21"/>
              </w:rPr>
              <w:t xml:space="preserve">0.84 </w:t>
            </w:r>
          </w:p>
        </w:tc>
        <w:tc>
          <w:tcPr>
            <w:tcW w:w="1704" w:type="dxa"/>
            <w:vAlign w:val="center"/>
          </w:tcPr>
          <w:p w14:paraId="2B79675F"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6B7F7476" w14:textId="77777777" w:rsidR="007075D9" w:rsidRPr="004D46AC" w:rsidRDefault="007075D9" w:rsidP="002C5F6E">
            <w:pPr>
              <w:spacing w:line="240" w:lineRule="auto"/>
              <w:ind w:firstLine="0"/>
            </w:pPr>
            <w:r w:rsidRPr="004D46AC">
              <w:rPr>
                <w:color w:val="000000"/>
                <w:szCs w:val="21"/>
              </w:rPr>
              <w:t xml:space="preserve">1.17 </w:t>
            </w:r>
          </w:p>
        </w:tc>
        <w:tc>
          <w:tcPr>
            <w:tcW w:w="1705" w:type="dxa"/>
            <w:vAlign w:val="center"/>
          </w:tcPr>
          <w:p w14:paraId="13A3C19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468291C" w14:textId="77777777">
        <w:tc>
          <w:tcPr>
            <w:tcW w:w="1704" w:type="dxa"/>
            <w:vAlign w:val="center"/>
          </w:tcPr>
          <w:p w14:paraId="2AA6EF3A" w14:textId="77777777" w:rsidR="007075D9" w:rsidRPr="004D46AC" w:rsidRDefault="007075D9" w:rsidP="002C5F6E">
            <w:pPr>
              <w:spacing w:line="240" w:lineRule="auto"/>
              <w:ind w:firstLine="0"/>
            </w:pPr>
            <w:r w:rsidRPr="004D46AC">
              <w:rPr>
                <w:color w:val="000000"/>
              </w:rPr>
              <w:t>TR18--TR29</w:t>
            </w:r>
          </w:p>
        </w:tc>
        <w:tc>
          <w:tcPr>
            <w:tcW w:w="1704" w:type="dxa"/>
            <w:vAlign w:val="center"/>
          </w:tcPr>
          <w:p w14:paraId="61343F7D" w14:textId="77777777" w:rsidR="007075D9" w:rsidRPr="004D46AC" w:rsidRDefault="007075D9" w:rsidP="002C5F6E">
            <w:pPr>
              <w:spacing w:line="240" w:lineRule="auto"/>
              <w:ind w:firstLine="0"/>
            </w:pPr>
            <w:r w:rsidRPr="004D46AC">
              <w:rPr>
                <w:color w:val="000000"/>
                <w:szCs w:val="21"/>
              </w:rPr>
              <w:t xml:space="preserve">0.81 </w:t>
            </w:r>
          </w:p>
        </w:tc>
        <w:tc>
          <w:tcPr>
            <w:tcW w:w="1704" w:type="dxa"/>
            <w:vAlign w:val="center"/>
          </w:tcPr>
          <w:p w14:paraId="2C7479D3"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0B725E36" w14:textId="77777777" w:rsidR="007075D9" w:rsidRPr="004D46AC" w:rsidRDefault="007075D9" w:rsidP="002C5F6E">
            <w:pPr>
              <w:spacing w:line="240" w:lineRule="auto"/>
              <w:ind w:firstLine="0"/>
            </w:pPr>
            <w:r w:rsidRPr="004D46AC">
              <w:rPr>
                <w:color w:val="000000"/>
                <w:szCs w:val="21"/>
              </w:rPr>
              <w:t xml:space="preserve">1.17 </w:t>
            </w:r>
          </w:p>
        </w:tc>
        <w:tc>
          <w:tcPr>
            <w:tcW w:w="1705" w:type="dxa"/>
            <w:vAlign w:val="center"/>
          </w:tcPr>
          <w:p w14:paraId="3D94E6D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7BD8C28" w14:textId="77777777">
        <w:tc>
          <w:tcPr>
            <w:tcW w:w="1704" w:type="dxa"/>
            <w:vAlign w:val="center"/>
          </w:tcPr>
          <w:p w14:paraId="7AFDE5B2" w14:textId="77777777" w:rsidR="007075D9" w:rsidRPr="004D46AC" w:rsidRDefault="007075D9" w:rsidP="002C5F6E">
            <w:pPr>
              <w:spacing w:line="240" w:lineRule="auto"/>
              <w:ind w:firstLine="0"/>
            </w:pPr>
            <w:r w:rsidRPr="004D46AC">
              <w:rPr>
                <w:color w:val="000000"/>
              </w:rPr>
              <w:t>TR6--TR9</w:t>
            </w:r>
          </w:p>
        </w:tc>
        <w:tc>
          <w:tcPr>
            <w:tcW w:w="1704" w:type="dxa"/>
            <w:vAlign w:val="center"/>
          </w:tcPr>
          <w:p w14:paraId="7961C549" w14:textId="77777777" w:rsidR="007075D9" w:rsidRPr="004D46AC" w:rsidRDefault="007075D9" w:rsidP="002C5F6E">
            <w:pPr>
              <w:spacing w:line="240" w:lineRule="auto"/>
              <w:ind w:firstLine="0"/>
            </w:pPr>
            <w:r w:rsidRPr="004D46AC">
              <w:rPr>
                <w:color w:val="000000"/>
                <w:szCs w:val="21"/>
              </w:rPr>
              <w:t xml:space="preserve">0.79 </w:t>
            </w:r>
          </w:p>
        </w:tc>
        <w:tc>
          <w:tcPr>
            <w:tcW w:w="1704" w:type="dxa"/>
            <w:vAlign w:val="center"/>
          </w:tcPr>
          <w:p w14:paraId="36DA89D1" w14:textId="77777777" w:rsidR="007075D9" w:rsidRPr="004D46AC" w:rsidRDefault="007075D9" w:rsidP="002C5F6E">
            <w:pPr>
              <w:spacing w:line="240" w:lineRule="auto"/>
              <w:ind w:firstLine="0"/>
            </w:pPr>
            <w:r w:rsidRPr="004D46AC">
              <w:rPr>
                <w:color w:val="000000"/>
                <w:szCs w:val="21"/>
              </w:rPr>
              <w:t xml:space="preserve">0.46 </w:t>
            </w:r>
          </w:p>
        </w:tc>
        <w:tc>
          <w:tcPr>
            <w:tcW w:w="1705" w:type="dxa"/>
            <w:vAlign w:val="center"/>
          </w:tcPr>
          <w:p w14:paraId="78E5D9FC" w14:textId="77777777" w:rsidR="007075D9" w:rsidRPr="004D46AC" w:rsidRDefault="007075D9" w:rsidP="002C5F6E">
            <w:pPr>
              <w:spacing w:line="240" w:lineRule="auto"/>
              <w:ind w:firstLine="0"/>
            </w:pPr>
            <w:r w:rsidRPr="004D46AC">
              <w:rPr>
                <w:color w:val="000000"/>
                <w:szCs w:val="21"/>
              </w:rPr>
              <w:t xml:space="preserve">1.13 </w:t>
            </w:r>
          </w:p>
        </w:tc>
        <w:tc>
          <w:tcPr>
            <w:tcW w:w="1705" w:type="dxa"/>
            <w:vAlign w:val="center"/>
          </w:tcPr>
          <w:p w14:paraId="24E88831"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1C92D9B" w14:textId="77777777">
        <w:tc>
          <w:tcPr>
            <w:tcW w:w="1704" w:type="dxa"/>
            <w:vAlign w:val="center"/>
          </w:tcPr>
          <w:p w14:paraId="0DB69188" w14:textId="77777777" w:rsidR="007075D9" w:rsidRPr="004D46AC" w:rsidRDefault="007075D9" w:rsidP="002C5F6E">
            <w:pPr>
              <w:spacing w:line="240" w:lineRule="auto"/>
              <w:ind w:firstLine="0"/>
            </w:pPr>
            <w:r w:rsidRPr="004D46AC">
              <w:rPr>
                <w:color w:val="000000"/>
              </w:rPr>
              <w:t>TR5--TR24</w:t>
            </w:r>
          </w:p>
        </w:tc>
        <w:tc>
          <w:tcPr>
            <w:tcW w:w="1704" w:type="dxa"/>
            <w:vAlign w:val="center"/>
          </w:tcPr>
          <w:p w14:paraId="2FF9CE52" w14:textId="77777777" w:rsidR="007075D9" w:rsidRPr="004D46AC" w:rsidRDefault="007075D9" w:rsidP="002C5F6E">
            <w:pPr>
              <w:spacing w:line="240" w:lineRule="auto"/>
              <w:ind w:firstLine="0"/>
            </w:pPr>
            <w:r w:rsidRPr="004D46AC">
              <w:rPr>
                <w:color w:val="000000"/>
                <w:szCs w:val="21"/>
              </w:rPr>
              <w:t xml:space="preserve">0.76 </w:t>
            </w:r>
          </w:p>
        </w:tc>
        <w:tc>
          <w:tcPr>
            <w:tcW w:w="1704" w:type="dxa"/>
            <w:vAlign w:val="center"/>
          </w:tcPr>
          <w:p w14:paraId="1D6CF74F"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78584B2B" w14:textId="77777777" w:rsidR="007075D9" w:rsidRPr="004D46AC" w:rsidRDefault="007075D9" w:rsidP="002C5F6E">
            <w:pPr>
              <w:spacing w:line="240" w:lineRule="auto"/>
              <w:ind w:firstLine="0"/>
            </w:pPr>
            <w:r w:rsidRPr="004D46AC">
              <w:rPr>
                <w:color w:val="000000"/>
                <w:szCs w:val="21"/>
              </w:rPr>
              <w:t xml:space="preserve">1.12 </w:t>
            </w:r>
          </w:p>
        </w:tc>
        <w:tc>
          <w:tcPr>
            <w:tcW w:w="1705" w:type="dxa"/>
            <w:vAlign w:val="center"/>
          </w:tcPr>
          <w:p w14:paraId="6E4896AC"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9C9A822" w14:textId="77777777">
        <w:tc>
          <w:tcPr>
            <w:tcW w:w="1704" w:type="dxa"/>
            <w:vAlign w:val="center"/>
          </w:tcPr>
          <w:p w14:paraId="4DE78D84" w14:textId="77777777" w:rsidR="007075D9" w:rsidRPr="004D46AC" w:rsidRDefault="007075D9" w:rsidP="002C5F6E">
            <w:pPr>
              <w:spacing w:line="240" w:lineRule="auto"/>
              <w:ind w:firstLine="0"/>
            </w:pPr>
            <w:r w:rsidRPr="004D46AC">
              <w:rPr>
                <w:color w:val="000000"/>
              </w:rPr>
              <w:t>TR23--TR24</w:t>
            </w:r>
          </w:p>
        </w:tc>
        <w:tc>
          <w:tcPr>
            <w:tcW w:w="1704" w:type="dxa"/>
            <w:vAlign w:val="center"/>
          </w:tcPr>
          <w:p w14:paraId="472CE4AF" w14:textId="77777777" w:rsidR="007075D9" w:rsidRPr="004D46AC" w:rsidRDefault="007075D9" w:rsidP="002C5F6E">
            <w:pPr>
              <w:spacing w:line="240" w:lineRule="auto"/>
              <w:ind w:firstLine="0"/>
            </w:pPr>
            <w:r w:rsidRPr="004D46AC">
              <w:rPr>
                <w:color w:val="000000"/>
                <w:szCs w:val="21"/>
              </w:rPr>
              <w:t xml:space="preserve">0.74 </w:t>
            </w:r>
          </w:p>
        </w:tc>
        <w:tc>
          <w:tcPr>
            <w:tcW w:w="1704" w:type="dxa"/>
            <w:vAlign w:val="center"/>
          </w:tcPr>
          <w:p w14:paraId="204DDE59"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6657CED3" w14:textId="77777777" w:rsidR="007075D9" w:rsidRPr="004D46AC" w:rsidRDefault="007075D9" w:rsidP="002C5F6E">
            <w:pPr>
              <w:spacing w:line="240" w:lineRule="auto"/>
              <w:ind w:firstLine="0"/>
            </w:pPr>
            <w:r w:rsidRPr="004D46AC">
              <w:rPr>
                <w:color w:val="000000"/>
                <w:szCs w:val="21"/>
              </w:rPr>
              <w:t xml:space="preserve">1.08 </w:t>
            </w:r>
          </w:p>
        </w:tc>
        <w:tc>
          <w:tcPr>
            <w:tcW w:w="1705" w:type="dxa"/>
            <w:vAlign w:val="center"/>
          </w:tcPr>
          <w:p w14:paraId="51A6745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788206E" w14:textId="77777777">
        <w:tc>
          <w:tcPr>
            <w:tcW w:w="1704" w:type="dxa"/>
            <w:vAlign w:val="center"/>
          </w:tcPr>
          <w:p w14:paraId="48441697" w14:textId="77777777" w:rsidR="007075D9" w:rsidRPr="004D46AC" w:rsidRDefault="007075D9" w:rsidP="002C5F6E">
            <w:pPr>
              <w:spacing w:line="240" w:lineRule="auto"/>
              <w:ind w:firstLine="0"/>
            </w:pPr>
            <w:r w:rsidRPr="004D46AC">
              <w:rPr>
                <w:color w:val="000000"/>
              </w:rPr>
              <w:t>TR14--TR22</w:t>
            </w:r>
          </w:p>
        </w:tc>
        <w:tc>
          <w:tcPr>
            <w:tcW w:w="1704" w:type="dxa"/>
            <w:vAlign w:val="center"/>
          </w:tcPr>
          <w:p w14:paraId="77236A9B" w14:textId="77777777" w:rsidR="007075D9" w:rsidRPr="004D46AC" w:rsidRDefault="007075D9" w:rsidP="002C5F6E">
            <w:pPr>
              <w:spacing w:line="240" w:lineRule="auto"/>
              <w:ind w:firstLine="0"/>
            </w:pPr>
            <w:r w:rsidRPr="004D46AC">
              <w:rPr>
                <w:color w:val="000000"/>
                <w:szCs w:val="21"/>
              </w:rPr>
              <w:t xml:space="preserve">0.74 </w:t>
            </w:r>
          </w:p>
        </w:tc>
        <w:tc>
          <w:tcPr>
            <w:tcW w:w="1704" w:type="dxa"/>
            <w:vAlign w:val="center"/>
          </w:tcPr>
          <w:p w14:paraId="24BDAEA7" w14:textId="77777777" w:rsidR="007075D9" w:rsidRPr="004D46AC" w:rsidRDefault="007075D9" w:rsidP="002C5F6E">
            <w:pPr>
              <w:spacing w:line="240" w:lineRule="auto"/>
              <w:ind w:firstLine="0"/>
            </w:pPr>
            <w:r w:rsidRPr="004D46AC">
              <w:rPr>
                <w:color w:val="000000"/>
                <w:szCs w:val="21"/>
              </w:rPr>
              <w:t xml:space="preserve">0.40 </w:t>
            </w:r>
          </w:p>
        </w:tc>
        <w:tc>
          <w:tcPr>
            <w:tcW w:w="1705" w:type="dxa"/>
            <w:vAlign w:val="center"/>
          </w:tcPr>
          <w:p w14:paraId="1BE1F757" w14:textId="77777777" w:rsidR="007075D9" w:rsidRPr="004D46AC" w:rsidRDefault="007075D9" w:rsidP="002C5F6E">
            <w:pPr>
              <w:spacing w:line="240" w:lineRule="auto"/>
              <w:ind w:firstLine="0"/>
            </w:pPr>
            <w:r w:rsidRPr="004D46AC">
              <w:rPr>
                <w:color w:val="000000"/>
                <w:szCs w:val="21"/>
              </w:rPr>
              <w:t xml:space="preserve">1.08 </w:t>
            </w:r>
          </w:p>
        </w:tc>
        <w:tc>
          <w:tcPr>
            <w:tcW w:w="1705" w:type="dxa"/>
            <w:vAlign w:val="center"/>
          </w:tcPr>
          <w:p w14:paraId="46DA80B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4753049" w14:textId="77777777">
        <w:tc>
          <w:tcPr>
            <w:tcW w:w="1704" w:type="dxa"/>
            <w:vAlign w:val="center"/>
          </w:tcPr>
          <w:p w14:paraId="4C50E7CA" w14:textId="77777777" w:rsidR="007075D9" w:rsidRPr="004D46AC" w:rsidRDefault="007075D9" w:rsidP="002C5F6E">
            <w:pPr>
              <w:spacing w:line="240" w:lineRule="auto"/>
              <w:ind w:firstLine="0"/>
            </w:pPr>
            <w:r w:rsidRPr="004D46AC">
              <w:rPr>
                <w:color w:val="000000"/>
              </w:rPr>
              <w:t>TR17--TR30</w:t>
            </w:r>
          </w:p>
        </w:tc>
        <w:tc>
          <w:tcPr>
            <w:tcW w:w="1704" w:type="dxa"/>
            <w:vAlign w:val="center"/>
          </w:tcPr>
          <w:p w14:paraId="56D90354" w14:textId="77777777" w:rsidR="007075D9" w:rsidRPr="004D46AC" w:rsidRDefault="007075D9" w:rsidP="002C5F6E">
            <w:pPr>
              <w:spacing w:line="240" w:lineRule="auto"/>
              <w:ind w:firstLine="0"/>
            </w:pPr>
            <w:r w:rsidRPr="004D46AC">
              <w:rPr>
                <w:color w:val="000000"/>
                <w:szCs w:val="21"/>
              </w:rPr>
              <w:t xml:space="preserve">0.72 </w:t>
            </w:r>
          </w:p>
        </w:tc>
        <w:tc>
          <w:tcPr>
            <w:tcW w:w="1704" w:type="dxa"/>
            <w:vAlign w:val="center"/>
          </w:tcPr>
          <w:p w14:paraId="5E618A46"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5F029AAF" w14:textId="77777777" w:rsidR="007075D9" w:rsidRPr="004D46AC" w:rsidRDefault="007075D9" w:rsidP="002C5F6E">
            <w:pPr>
              <w:spacing w:line="240" w:lineRule="auto"/>
              <w:ind w:firstLine="0"/>
            </w:pPr>
            <w:r w:rsidRPr="004D46AC">
              <w:rPr>
                <w:color w:val="000000"/>
                <w:szCs w:val="21"/>
              </w:rPr>
              <w:t xml:space="preserve">1.07 </w:t>
            </w:r>
          </w:p>
        </w:tc>
        <w:tc>
          <w:tcPr>
            <w:tcW w:w="1705" w:type="dxa"/>
            <w:vAlign w:val="center"/>
          </w:tcPr>
          <w:p w14:paraId="01F52410"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BE94AD3" w14:textId="77777777">
        <w:tc>
          <w:tcPr>
            <w:tcW w:w="1704" w:type="dxa"/>
            <w:vAlign w:val="center"/>
          </w:tcPr>
          <w:p w14:paraId="0ECA3C63" w14:textId="77777777" w:rsidR="007075D9" w:rsidRPr="004D46AC" w:rsidRDefault="007075D9" w:rsidP="002C5F6E">
            <w:pPr>
              <w:spacing w:line="240" w:lineRule="auto"/>
              <w:ind w:firstLine="0"/>
            </w:pPr>
            <w:r w:rsidRPr="004D46AC">
              <w:rPr>
                <w:color w:val="000000"/>
              </w:rPr>
              <w:t>TR13--TR14</w:t>
            </w:r>
          </w:p>
        </w:tc>
        <w:tc>
          <w:tcPr>
            <w:tcW w:w="1704" w:type="dxa"/>
            <w:vAlign w:val="center"/>
          </w:tcPr>
          <w:p w14:paraId="7F7B609A" w14:textId="77777777" w:rsidR="007075D9" w:rsidRPr="004D46AC" w:rsidRDefault="007075D9" w:rsidP="002C5F6E">
            <w:pPr>
              <w:spacing w:line="240" w:lineRule="auto"/>
              <w:ind w:firstLine="0"/>
            </w:pPr>
            <w:r w:rsidRPr="004D46AC">
              <w:rPr>
                <w:color w:val="000000"/>
                <w:szCs w:val="21"/>
              </w:rPr>
              <w:t xml:space="preserve">0.71 </w:t>
            </w:r>
          </w:p>
        </w:tc>
        <w:tc>
          <w:tcPr>
            <w:tcW w:w="1704" w:type="dxa"/>
            <w:vAlign w:val="center"/>
          </w:tcPr>
          <w:p w14:paraId="3B35EE74" w14:textId="77777777" w:rsidR="007075D9" w:rsidRPr="004D46AC" w:rsidRDefault="007075D9" w:rsidP="002C5F6E">
            <w:pPr>
              <w:spacing w:line="240" w:lineRule="auto"/>
              <w:ind w:firstLine="0"/>
            </w:pPr>
            <w:r w:rsidRPr="004D46AC">
              <w:rPr>
                <w:color w:val="000000"/>
                <w:szCs w:val="21"/>
              </w:rPr>
              <w:t xml:space="preserve">0.38 </w:t>
            </w:r>
          </w:p>
        </w:tc>
        <w:tc>
          <w:tcPr>
            <w:tcW w:w="1705" w:type="dxa"/>
            <w:vAlign w:val="center"/>
          </w:tcPr>
          <w:p w14:paraId="1F09B162" w14:textId="77777777" w:rsidR="007075D9" w:rsidRPr="004D46AC" w:rsidRDefault="007075D9" w:rsidP="002C5F6E">
            <w:pPr>
              <w:spacing w:line="240" w:lineRule="auto"/>
              <w:ind w:firstLine="0"/>
            </w:pPr>
            <w:r w:rsidRPr="004D46AC">
              <w:rPr>
                <w:color w:val="000000"/>
                <w:szCs w:val="21"/>
              </w:rPr>
              <w:t xml:space="preserve">1.04 </w:t>
            </w:r>
          </w:p>
        </w:tc>
        <w:tc>
          <w:tcPr>
            <w:tcW w:w="1705" w:type="dxa"/>
            <w:vAlign w:val="center"/>
          </w:tcPr>
          <w:p w14:paraId="51E6BCE4"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03820AF" w14:textId="77777777">
        <w:tc>
          <w:tcPr>
            <w:tcW w:w="1704" w:type="dxa"/>
            <w:vAlign w:val="center"/>
          </w:tcPr>
          <w:p w14:paraId="5FE84BE1" w14:textId="77777777" w:rsidR="007075D9" w:rsidRPr="004D46AC" w:rsidRDefault="007075D9" w:rsidP="002C5F6E">
            <w:pPr>
              <w:spacing w:line="240" w:lineRule="auto"/>
              <w:ind w:firstLine="0"/>
            </w:pPr>
            <w:r w:rsidRPr="004D46AC">
              <w:rPr>
                <w:color w:val="000000"/>
              </w:rPr>
              <w:t>TR6--TR29</w:t>
            </w:r>
          </w:p>
        </w:tc>
        <w:tc>
          <w:tcPr>
            <w:tcW w:w="1704" w:type="dxa"/>
            <w:vAlign w:val="center"/>
          </w:tcPr>
          <w:p w14:paraId="6DB3DEA9" w14:textId="77777777" w:rsidR="007075D9" w:rsidRPr="004D46AC" w:rsidRDefault="007075D9" w:rsidP="002C5F6E">
            <w:pPr>
              <w:spacing w:line="240" w:lineRule="auto"/>
              <w:ind w:firstLine="0"/>
            </w:pPr>
            <w:r w:rsidRPr="004D46AC">
              <w:rPr>
                <w:color w:val="000000"/>
                <w:szCs w:val="21"/>
              </w:rPr>
              <w:t xml:space="preserve">0.70 </w:t>
            </w:r>
          </w:p>
        </w:tc>
        <w:tc>
          <w:tcPr>
            <w:tcW w:w="1704" w:type="dxa"/>
            <w:vAlign w:val="center"/>
          </w:tcPr>
          <w:p w14:paraId="2871F720"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372258AC" w14:textId="77777777" w:rsidR="007075D9" w:rsidRPr="004D46AC" w:rsidRDefault="007075D9" w:rsidP="002C5F6E">
            <w:pPr>
              <w:spacing w:line="240" w:lineRule="auto"/>
              <w:ind w:firstLine="0"/>
            </w:pPr>
            <w:r w:rsidRPr="004D46AC">
              <w:rPr>
                <w:color w:val="000000"/>
                <w:szCs w:val="21"/>
              </w:rPr>
              <w:t xml:space="preserve">1.07 </w:t>
            </w:r>
          </w:p>
        </w:tc>
        <w:tc>
          <w:tcPr>
            <w:tcW w:w="1705" w:type="dxa"/>
            <w:vAlign w:val="center"/>
          </w:tcPr>
          <w:p w14:paraId="3BB0945A"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98C2296" w14:textId="77777777">
        <w:tc>
          <w:tcPr>
            <w:tcW w:w="1704" w:type="dxa"/>
            <w:vAlign w:val="center"/>
          </w:tcPr>
          <w:p w14:paraId="044A80D7" w14:textId="77777777" w:rsidR="007075D9" w:rsidRPr="004D46AC" w:rsidRDefault="007075D9" w:rsidP="002C5F6E">
            <w:pPr>
              <w:spacing w:line="240" w:lineRule="auto"/>
              <w:ind w:firstLine="0"/>
            </w:pPr>
            <w:r w:rsidRPr="004D46AC">
              <w:rPr>
                <w:color w:val="000000"/>
              </w:rPr>
              <w:t>TR7--TR15</w:t>
            </w:r>
          </w:p>
        </w:tc>
        <w:tc>
          <w:tcPr>
            <w:tcW w:w="1704" w:type="dxa"/>
            <w:vAlign w:val="center"/>
          </w:tcPr>
          <w:p w14:paraId="393D727A" w14:textId="77777777" w:rsidR="007075D9" w:rsidRPr="004D46AC" w:rsidRDefault="007075D9" w:rsidP="002C5F6E">
            <w:pPr>
              <w:spacing w:line="240" w:lineRule="auto"/>
              <w:ind w:firstLine="0"/>
            </w:pPr>
            <w:r w:rsidRPr="004D46AC">
              <w:rPr>
                <w:color w:val="000000"/>
                <w:szCs w:val="21"/>
              </w:rPr>
              <w:t xml:space="preserve">0.68 </w:t>
            </w:r>
          </w:p>
        </w:tc>
        <w:tc>
          <w:tcPr>
            <w:tcW w:w="1704" w:type="dxa"/>
            <w:vAlign w:val="center"/>
          </w:tcPr>
          <w:p w14:paraId="055D8747"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701B7107" w14:textId="77777777" w:rsidR="007075D9" w:rsidRPr="004D46AC" w:rsidRDefault="007075D9" w:rsidP="002C5F6E">
            <w:pPr>
              <w:spacing w:line="240" w:lineRule="auto"/>
              <w:ind w:firstLine="0"/>
            </w:pPr>
            <w:r w:rsidRPr="004D46AC">
              <w:rPr>
                <w:color w:val="000000"/>
                <w:szCs w:val="21"/>
              </w:rPr>
              <w:t xml:space="preserve">1.01 </w:t>
            </w:r>
          </w:p>
        </w:tc>
        <w:tc>
          <w:tcPr>
            <w:tcW w:w="1705" w:type="dxa"/>
            <w:vAlign w:val="center"/>
          </w:tcPr>
          <w:p w14:paraId="67CC0942"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9BC6025" w14:textId="77777777">
        <w:tc>
          <w:tcPr>
            <w:tcW w:w="1704" w:type="dxa"/>
            <w:vAlign w:val="center"/>
          </w:tcPr>
          <w:p w14:paraId="3017A6C4" w14:textId="77777777" w:rsidR="007075D9" w:rsidRPr="004D46AC" w:rsidRDefault="007075D9" w:rsidP="002C5F6E">
            <w:pPr>
              <w:spacing w:line="240" w:lineRule="auto"/>
              <w:ind w:firstLine="0"/>
            </w:pPr>
            <w:r w:rsidRPr="004D46AC">
              <w:rPr>
                <w:color w:val="000000"/>
              </w:rPr>
              <w:t>TR15--TR34</w:t>
            </w:r>
          </w:p>
        </w:tc>
        <w:tc>
          <w:tcPr>
            <w:tcW w:w="1704" w:type="dxa"/>
            <w:vAlign w:val="center"/>
          </w:tcPr>
          <w:p w14:paraId="1665719E" w14:textId="77777777" w:rsidR="007075D9" w:rsidRPr="004D46AC" w:rsidRDefault="007075D9" w:rsidP="002C5F6E">
            <w:pPr>
              <w:spacing w:line="240" w:lineRule="auto"/>
              <w:ind w:firstLine="0"/>
            </w:pPr>
            <w:r w:rsidRPr="004D46AC">
              <w:rPr>
                <w:color w:val="000000"/>
                <w:szCs w:val="21"/>
              </w:rPr>
              <w:t xml:space="preserve">0.68 </w:t>
            </w:r>
          </w:p>
        </w:tc>
        <w:tc>
          <w:tcPr>
            <w:tcW w:w="1704" w:type="dxa"/>
            <w:vAlign w:val="center"/>
          </w:tcPr>
          <w:p w14:paraId="4CC467A8" w14:textId="77777777" w:rsidR="007075D9" w:rsidRPr="004D46AC" w:rsidRDefault="007075D9" w:rsidP="002C5F6E">
            <w:pPr>
              <w:spacing w:line="240" w:lineRule="auto"/>
              <w:ind w:firstLine="0"/>
            </w:pPr>
            <w:r w:rsidRPr="004D46AC">
              <w:rPr>
                <w:color w:val="000000"/>
                <w:szCs w:val="21"/>
              </w:rPr>
              <w:t xml:space="preserve">0.33 </w:t>
            </w:r>
          </w:p>
        </w:tc>
        <w:tc>
          <w:tcPr>
            <w:tcW w:w="1705" w:type="dxa"/>
            <w:vAlign w:val="center"/>
          </w:tcPr>
          <w:p w14:paraId="25C966C8" w14:textId="77777777" w:rsidR="007075D9" w:rsidRPr="004D46AC" w:rsidRDefault="007075D9" w:rsidP="002C5F6E">
            <w:pPr>
              <w:spacing w:line="240" w:lineRule="auto"/>
              <w:ind w:firstLine="0"/>
            </w:pPr>
            <w:r w:rsidRPr="004D46AC">
              <w:rPr>
                <w:color w:val="000000"/>
                <w:szCs w:val="21"/>
              </w:rPr>
              <w:t xml:space="preserve">1.02 </w:t>
            </w:r>
          </w:p>
        </w:tc>
        <w:tc>
          <w:tcPr>
            <w:tcW w:w="1705" w:type="dxa"/>
            <w:vAlign w:val="center"/>
          </w:tcPr>
          <w:p w14:paraId="3A78DCD3"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BA48F77" w14:textId="77777777">
        <w:tc>
          <w:tcPr>
            <w:tcW w:w="1704" w:type="dxa"/>
            <w:vAlign w:val="center"/>
          </w:tcPr>
          <w:p w14:paraId="5AC14EF2" w14:textId="77777777" w:rsidR="007075D9" w:rsidRPr="004D46AC" w:rsidRDefault="007075D9" w:rsidP="002C5F6E">
            <w:pPr>
              <w:spacing w:line="240" w:lineRule="auto"/>
              <w:ind w:firstLine="0"/>
            </w:pPr>
            <w:r w:rsidRPr="004D46AC">
              <w:rPr>
                <w:color w:val="000000"/>
              </w:rPr>
              <w:t>TR6--TR30</w:t>
            </w:r>
          </w:p>
        </w:tc>
        <w:tc>
          <w:tcPr>
            <w:tcW w:w="1704" w:type="dxa"/>
            <w:vAlign w:val="center"/>
          </w:tcPr>
          <w:p w14:paraId="44FE7C25" w14:textId="77777777" w:rsidR="007075D9" w:rsidRPr="004D46AC" w:rsidRDefault="007075D9" w:rsidP="002C5F6E">
            <w:pPr>
              <w:spacing w:line="240" w:lineRule="auto"/>
              <w:ind w:firstLine="0"/>
            </w:pPr>
            <w:r w:rsidRPr="004D46AC">
              <w:rPr>
                <w:color w:val="000000"/>
                <w:szCs w:val="21"/>
              </w:rPr>
              <w:t xml:space="preserve">0.67 </w:t>
            </w:r>
          </w:p>
        </w:tc>
        <w:tc>
          <w:tcPr>
            <w:tcW w:w="1704" w:type="dxa"/>
            <w:vAlign w:val="center"/>
          </w:tcPr>
          <w:p w14:paraId="71ED764C" w14:textId="77777777" w:rsidR="007075D9" w:rsidRPr="004D46AC" w:rsidRDefault="007075D9" w:rsidP="002C5F6E">
            <w:pPr>
              <w:spacing w:line="240" w:lineRule="auto"/>
              <w:ind w:firstLine="0"/>
            </w:pPr>
            <w:r w:rsidRPr="004D46AC">
              <w:rPr>
                <w:color w:val="000000"/>
                <w:szCs w:val="21"/>
              </w:rPr>
              <w:t xml:space="preserve">0.28 </w:t>
            </w:r>
          </w:p>
        </w:tc>
        <w:tc>
          <w:tcPr>
            <w:tcW w:w="1705" w:type="dxa"/>
            <w:vAlign w:val="center"/>
          </w:tcPr>
          <w:p w14:paraId="3DE0402A" w14:textId="77777777" w:rsidR="007075D9" w:rsidRPr="004D46AC" w:rsidRDefault="007075D9" w:rsidP="002C5F6E">
            <w:pPr>
              <w:spacing w:line="240" w:lineRule="auto"/>
              <w:ind w:firstLine="0"/>
            </w:pPr>
            <w:r w:rsidRPr="004D46AC">
              <w:rPr>
                <w:color w:val="000000"/>
                <w:szCs w:val="21"/>
              </w:rPr>
              <w:t xml:space="preserve">1.05 </w:t>
            </w:r>
          </w:p>
        </w:tc>
        <w:tc>
          <w:tcPr>
            <w:tcW w:w="1705" w:type="dxa"/>
            <w:vAlign w:val="center"/>
          </w:tcPr>
          <w:p w14:paraId="5F0A5D27"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245FF80" w14:textId="77777777">
        <w:tc>
          <w:tcPr>
            <w:tcW w:w="1704" w:type="dxa"/>
            <w:vAlign w:val="center"/>
          </w:tcPr>
          <w:p w14:paraId="63208A17" w14:textId="77777777" w:rsidR="007075D9" w:rsidRPr="004D46AC" w:rsidRDefault="007075D9" w:rsidP="002C5F6E">
            <w:pPr>
              <w:spacing w:line="240" w:lineRule="auto"/>
              <w:ind w:firstLine="0"/>
            </w:pPr>
            <w:r w:rsidRPr="004D46AC">
              <w:rPr>
                <w:color w:val="000000"/>
              </w:rPr>
              <w:t>TR34--TR37</w:t>
            </w:r>
          </w:p>
        </w:tc>
        <w:tc>
          <w:tcPr>
            <w:tcW w:w="1704" w:type="dxa"/>
            <w:vAlign w:val="center"/>
          </w:tcPr>
          <w:p w14:paraId="725E8798" w14:textId="77777777" w:rsidR="007075D9" w:rsidRPr="004D46AC" w:rsidRDefault="007075D9" w:rsidP="002C5F6E">
            <w:pPr>
              <w:spacing w:line="240" w:lineRule="auto"/>
              <w:ind w:firstLine="0"/>
            </w:pPr>
            <w:r w:rsidRPr="004D46AC">
              <w:rPr>
                <w:color w:val="000000"/>
                <w:szCs w:val="21"/>
              </w:rPr>
              <w:t xml:space="preserve">0.66 </w:t>
            </w:r>
          </w:p>
        </w:tc>
        <w:tc>
          <w:tcPr>
            <w:tcW w:w="1704" w:type="dxa"/>
            <w:vAlign w:val="center"/>
          </w:tcPr>
          <w:p w14:paraId="2F84B9FF" w14:textId="77777777" w:rsidR="007075D9" w:rsidRPr="004D46AC" w:rsidRDefault="007075D9" w:rsidP="002C5F6E">
            <w:pPr>
              <w:spacing w:line="240" w:lineRule="auto"/>
              <w:ind w:firstLine="0"/>
            </w:pPr>
            <w:r w:rsidRPr="004D46AC">
              <w:rPr>
                <w:color w:val="000000"/>
                <w:szCs w:val="21"/>
              </w:rPr>
              <w:t xml:space="preserve">0.33 </w:t>
            </w:r>
          </w:p>
        </w:tc>
        <w:tc>
          <w:tcPr>
            <w:tcW w:w="1705" w:type="dxa"/>
            <w:vAlign w:val="center"/>
          </w:tcPr>
          <w:p w14:paraId="11E03525" w14:textId="77777777" w:rsidR="007075D9" w:rsidRPr="004D46AC" w:rsidRDefault="007075D9" w:rsidP="002C5F6E">
            <w:pPr>
              <w:spacing w:line="240" w:lineRule="auto"/>
              <w:ind w:firstLine="0"/>
            </w:pPr>
            <w:r w:rsidRPr="004D46AC">
              <w:rPr>
                <w:color w:val="000000"/>
                <w:szCs w:val="21"/>
              </w:rPr>
              <w:t xml:space="preserve">0.98 </w:t>
            </w:r>
          </w:p>
        </w:tc>
        <w:tc>
          <w:tcPr>
            <w:tcW w:w="1705" w:type="dxa"/>
            <w:vAlign w:val="center"/>
          </w:tcPr>
          <w:p w14:paraId="6163872F"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1503B63A" w14:textId="77777777">
        <w:tc>
          <w:tcPr>
            <w:tcW w:w="1704" w:type="dxa"/>
            <w:vAlign w:val="center"/>
          </w:tcPr>
          <w:p w14:paraId="12679AC8" w14:textId="77777777" w:rsidR="007075D9" w:rsidRPr="004D46AC" w:rsidRDefault="007075D9" w:rsidP="002C5F6E">
            <w:pPr>
              <w:spacing w:line="240" w:lineRule="auto"/>
              <w:ind w:firstLine="0"/>
            </w:pPr>
            <w:r w:rsidRPr="004D46AC">
              <w:rPr>
                <w:color w:val="000000"/>
              </w:rPr>
              <w:t>TR16--TR25</w:t>
            </w:r>
          </w:p>
        </w:tc>
        <w:tc>
          <w:tcPr>
            <w:tcW w:w="1704" w:type="dxa"/>
            <w:vAlign w:val="center"/>
          </w:tcPr>
          <w:p w14:paraId="2BA9B6DC" w14:textId="77777777" w:rsidR="007075D9" w:rsidRPr="004D46AC" w:rsidRDefault="007075D9" w:rsidP="002C5F6E">
            <w:pPr>
              <w:spacing w:line="240" w:lineRule="auto"/>
              <w:ind w:firstLine="0"/>
            </w:pPr>
            <w:r w:rsidRPr="004D46AC">
              <w:rPr>
                <w:color w:val="000000"/>
                <w:szCs w:val="21"/>
              </w:rPr>
              <w:t xml:space="preserve">0.65 </w:t>
            </w:r>
          </w:p>
        </w:tc>
        <w:tc>
          <w:tcPr>
            <w:tcW w:w="1704" w:type="dxa"/>
            <w:vAlign w:val="center"/>
          </w:tcPr>
          <w:p w14:paraId="28D8E559"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23E34F7D" w14:textId="77777777" w:rsidR="007075D9" w:rsidRPr="004D46AC" w:rsidRDefault="007075D9" w:rsidP="002C5F6E">
            <w:pPr>
              <w:spacing w:line="240" w:lineRule="auto"/>
              <w:ind w:firstLine="0"/>
            </w:pPr>
            <w:r w:rsidRPr="004D46AC">
              <w:rPr>
                <w:color w:val="000000"/>
                <w:szCs w:val="21"/>
              </w:rPr>
              <w:t xml:space="preserve">0.97 </w:t>
            </w:r>
          </w:p>
        </w:tc>
        <w:tc>
          <w:tcPr>
            <w:tcW w:w="1705" w:type="dxa"/>
            <w:vAlign w:val="center"/>
          </w:tcPr>
          <w:p w14:paraId="626D452D"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0B028D0" w14:textId="77777777">
        <w:tc>
          <w:tcPr>
            <w:tcW w:w="1704" w:type="dxa"/>
            <w:vAlign w:val="center"/>
          </w:tcPr>
          <w:p w14:paraId="4A72919B" w14:textId="77777777" w:rsidR="007075D9" w:rsidRPr="004D46AC" w:rsidRDefault="007075D9" w:rsidP="002C5F6E">
            <w:pPr>
              <w:spacing w:line="240" w:lineRule="auto"/>
              <w:ind w:firstLine="0"/>
            </w:pPr>
            <w:r w:rsidRPr="004D46AC">
              <w:rPr>
                <w:color w:val="000000"/>
              </w:rPr>
              <w:t>TR34--TR33</w:t>
            </w:r>
          </w:p>
        </w:tc>
        <w:tc>
          <w:tcPr>
            <w:tcW w:w="1704" w:type="dxa"/>
            <w:vAlign w:val="center"/>
          </w:tcPr>
          <w:p w14:paraId="2848CC8A" w14:textId="77777777" w:rsidR="007075D9" w:rsidRPr="004D46AC" w:rsidRDefault="007075D9" w:rsidP="002C5F6E">
            <w:pPr>
              <w:spacing w:line="240" w:lineRule="auto"/>
              <w:ind w:firstLine="0"/>
            </w:pPr>
            <w:r w:rsidRPr="004D46AC">
              <w:rPr>
                <w:color w:val="000000"/>
                <w:szCs w:val="21"/>
              </w:rPr>
              <w:t xml:space="preserve">0.62 </w:t>
            </w:r>
          </w:p>
        </w:tc>
        <w:tc>
          <w:tcPr>
            <w:tcW w:w="1704" w:type="dxa"/>
            <w:vAlign w:val="center"/>
          </w:tcPr>
          <w:p w14:paraId="0BDB8CD3"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00B62118" w14:textId="77777777" w:rsidR="007075D9" w:rsidRPr="004D46AC" w:rsidRDefault="007075D9" w:rsidP="002C5F6E">
            <w:pPr>
              <w:spacing w:line="240" w:lineRule="auto"/>
              <w:ind w:firstLine="0"/>
            </w:pPr>
            <w:r w:rsidRPr="004D46AC">
              <w:rPr>
                <w:color w:val="000000"/>
                <w:szCs w:val="21"/>
              </w:rPr>
              <w:t xml:space="preserve">0.98 </w:t>
            </w:r>
          </w:p>
        </w:tc>
        <w:tc>
          <w:tcPr>
            <w:tcW w:w="1705" w:type="dxa"/>
            <w:vAlign w:val="center"/>
          </w:tcPr>
          <w:p w14:paraId="66205029"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8F0BAAE" w14:textId="77777777">
        <w:tc>
          <w:tcPr>
            <w:tcW w:w="1704" w:type="dxa"/>
            <w:vAlign w:val="center"/>
          </w:tcPr>
          <w:p w14:paraId="011A726E" w14:textId="77777777" w:rsidR="007075D9" w:rsidRPr="004D46AC" w:rsidRDefault="007075D9" w:rsidP="002C5F6E">
            <w:pPr>
              <w:spacing w:line="240" w:lineRule="auto"/>
              <w:ind w:firstLine="0"/>
            </w:pPr>
            <w:r w:rsidRPr="004D46AC">
              <w:rPr>
                <w:color w:val="000000"/>
              </w:rPr>
              <w:t>TR5--TR15</w:t>
            </w:r>
          </w:p>
        </w:tc>
        <w:tc>
          <w:tcPr>
            <w:tcW w:w="1704" w:type="dxa"/>
            <w:vAlign w:val="center"/>
          </w:tcPr>
          <w:p w14:paraId="6EA4A8A5" w14:textId="77777777" w:rsidR="007075D9" w:rsidRPr="004D46AC" w:rsidRDefault="007075D9" w:rsidP="002C5F6E">
            <w:pPr>
              <w:spacing w:line="240" w:lineRule="auto"/>
              <w:ind w:firstLine="0"/>
            </w:pPr>
            <w:r w:rsidRPr="004D46AC">
              <w:rPr>
                <w:color w:val="000000"/>
                <w:szCs w:val="21"/>
              </w:rPr>
              <w:t xml:space="preserve">0.62 </w:t>
            </w:r>
          </w:p>
        </w:tc>
        <w:tc>
          <w:tcPr>
            <w:tcW w:w="1704" w:type="dxa"/>
            <w:vAlign w:val="center"/>
          </w:tcPr>
          <w:p w14:paraId="3DE6C09B"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5877D2CC" w14:textId="77777777" w:rsidR="007075D9" w:rsidRPr="004D46AC" w:rsidRDefault="007075D9" w:rsidP="002C5F6E">
            <w:pPr>
              <w:spacing w:line="240" w:lineRule="auto"/>
              <w:ind w:firstLine="0"/>
            </w:pPr>
            <w:r w:rsidRPr="004D46AC">
              <w:rPr>
                <w:color w:val="000000"/>
                <w:szCs w:val="21"/>
              </w:rPr>
              <w:t xml:space="preserve">0.98 </w:t>
            </w:r>
          </w:p>
        </w:tc>
        <w:tc>
          <w:tcPr>
            <w:tcW w:w="1705" w:type="dxa"/>
            <w:vAlign w:val="center"/>
          </w:tcPr>
          <w:p w14:paraId="07DEC9CF"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511517F6" w14:textId="77777777">
        <w:tc>
          <w:tcPr>
            <w:tcW w:w="1704" w:type="dxa"/>
            <w:vAlign w:val="center"/>
          </w:tcPr>
          <w:p w14:paraId="16366CB2" w14:textId="77777777" w:rsidR="007075D9" w:rsidRPr="004D46AC" w:rsidRDefault="007075D9" w:rsidP="002C5F6E">
            <w:pPr>
              <w:spacing w:line="240" w:lineRule="auto"/>
              <w:ind w:firstLine="0"/>
            </w:pPr>
            <w:r w:rsidRPr="004D46AC">
              <w:rPr>
                <w:color w:val="000000"/>
              </w:rPr>
              <w:t>TR19--TR24</w:t>
            </w:r>
          </w:p>
        </w:tc>
        <w:tc>
          <w:tcPr>
            <w:tcW w:w="1704" w:type="dxa"/>
            <w:vAlign w:val="center"/>
          </w:tcPr>
          <w:p w14:paraId="40F4A714" w14:textId="77777777" w:rsidR="007075D9" w:rsidRPr="004D46AC" w:rsidRDefault="007075D9" w:rsidP="002C5F6E">
            <w:pPr>
              <w:spacing w:line="240" w:lineRule="auto"/>
              <w:ind w:firstLine="0"/>
            </w:pPr>
            <w:r w:rsidRPr="004D46AC">
              <w:rPr>
                <w:color w:val="000000"/>
                <w:szCs w:val="21"/>
              </w:rPr>
              <w:t xml:space="preserve">0.60 </w:t>
            </w:r>
          </w:p>
        </w:tc>
        <w:tc>
          <w:tcPr>
            <w:tcW w:w="1704" w:type="dxa"/>
            <w:vAlign w:val="center"/>
          </w:tcPr>
          <w:p w14:paraId="04BA8FDF" w14:textId="77777777" w:rsidR="007075D9" w:rsidRPr="004D46AC" w:rsidRDefault="007075D9" w:rsidP="002C5F6E">
            <w:pPr>
              <w:spacing w:line="240" w:lineRule="auto"/>
              <w:ind w:firstLine="0"/>
            </w:pPr>
            <w:r w:rsidRPr="004D46AC">
              <w:rPr>
                <w:color w:val="000000"/>
                <w:szCs w:val="21"/>
              </w:rPr>
              <w:t xml:space="preserve">0.26 </w:t>
            </w:r>
          </w:p>
        </w:tc>
        <w:tc>
          <w:tcPr>
            <w:tcW w:w="1705" w:type="dxa"/>
            <w:vAlign w:val="center"/>
          </w:tcPr>
          <w:p w14:paraId="042E1D2E" w14:textId="77777777" w:rsidR="007075D9" w:rsidRPr="004D46AC" w:rsidRDefault="007075D9" w:rsidP="002C5F6E">
            <w:pPr>
              <w:spacing w:line="240" w:lineRule="auto"/>
              <w:ind w:firstLine="0"/>
            </w:pPr>
            <w:r w:rsidRPr="004D46AC">
              <w:rPr>
                <w:color w:val="000000"/>
                <w:szCs w:val="21"/>
              </w:rPr>
              <w:t xml:space="preserve">0.95 </w:t>
            </w:r>
          </w:p>
        </w:tc>
        <w:tc>
          <w:tcPr>
            <w:tcW w:w="1705" w:type="dxa"/>
            <w:vAlign w:val="center"/>
          </w:tcPr>
          <w:p w14:paraId="782225E7"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463C8768" w14:textId="77777777">
        <w:tc>
          <w:tcPr>
            <w:tcW w:w="1704" w:type="dxa"/>
            <w:vAlign w:val="center"/>
          </w:tcPr>
          <w:p w14:paraId="31451AC0" w14:textId="77777777" w:rsidR="007075D9" w:rsidRPr="004D46AC" w:rsidRDefault="007075D9" w:rsidP="002C5F6E">
            <w:pPr>
              <w:spacing w:line="240" w:lineRule="auto"/>
              <w:ind w:firstLine="0"/>
            </w:pPr>
            <w:r w:rsidRPr="004D46AC">
              <w:rPr>
                <w:color w:val="000000"/>
              </w:rPr>
              <w:t>TR27--TR34</w:t>
            </w:r>
          </w:p>
        </w:tc>
        <w:tc>
          <w:tcPr>
            <w:tcW w:w="1704" w:type="dxa"/>
            <w:vAlign w:val="center"/>
          </w:tcPr>
          <w:p w14:paraId="431FFE2F" w14:textId="77777777" w:rsidR="007075D9" w:rsidRPr="004D46AC" w:rsidRDefault="007075D9" w:rsidP="002C5F6E">
            <w:pPr>
              <w:spacing w:line="240" w:lineRule="auto"/>
              <w:ind w:firstLine="0"/>
            </w:pPr>
            <w:r w:rsidRPr="004D46AC">
              <w:rPr>
                <w:color w:val="000000"/>
                <w:szCs w:val="21"/>
              </w:rPr>
              <w:t xml:space="preserve">0.58 </w:t>
            </w:r>
          </w:p>
        </w:tc>
        <w:tc>
          <w:tcPr>
            <w:tcW w:w="1704" w:type="dxa"/>
            <w:vAlign w:val="center"/>
          </w:tcPr>
          <w:p w14:paraId="3D672106" w14:textId="77777777" w:rsidR="007075D9" w:rsidRPr="004D46AC" w:rsidRDefault="007075D9" w:rsidP="002C5F6E">
            <w:pPr>
              <w:spacing w:line="240" w:lineRule="auto"/>
              <w:ind w:firstLine="0"/>
            </w:pPr>
            <w:r w:rsidRPr="004D46AC">
              <w:rPr>
                <w:color w:val="000000"/>
                <w:szCs w:val="21"/>
              </w:rPr>
              <w:t xml:space="preserve">0.27 </w:t>
            </w:r>
          </w:p>
        </w:tc>
        <w:tc>
          <w:tcPr>
            <w:tcW w:w="1705" w:type="dxa"/>
            <w:vAlign w:val="center"/>
          </w:tcPr>
          <w:p w14:paraId="386AB5C0" w14:textId="77777777" w:rsidR="007075D9" w:rsidRPr="004D46AC" w:rsidRDefault="007075D9" w:rsidP="002C5F6E">
            <w:pPr>
              <w:spacing w:line="240" w:lineRule="auto"/>
              <w:ind w:firstLine="0"/>
            </w:pPr>
            <w:r w:rsidRPr="004D46AC">
              <w:rPr>
                <w:color w:val="000000"/>
                <w:szCs w:val="21"/>
              </w:rPr>
              <w:t xml:space="preserve">0.90 </w:t>
            </w:r>
          </w:p>
        </w:tc>
        <w:tc>
          <w:tcPr>
            <w:tcW w:w="1705" w:type="dxa"/>
            <w:vAlign w:val="center"/>
          </w:tcPr>
          <w:p w14:paraId="70CB6708"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0F31CA42" w14:textId="77777777">
        <w:tc>
          <w:tcPr>
            <w:tcW w:w="1704" w:type="dxa"/>
            <w:vAlign w:val="center"/>
          </w:tcPr>
          <w:p w14:paraId="1B237108" w14:textId="77777777" w:rsidR="007075D9" w:rsidRPr="004D46AC" w:rsidRDefault="007075D9" w:rsidP="002C5F6E">
            <w:pPr>
              <w:spacing w:line="240" w:lineRule="auto"/>
              <w:ind w:firstLine="0"/>
            </w:pPr>
            <w:r w:rsidRPr="004D46AC">
              <w:rPr>
                <w:color w:val="000000"/>
              </w:rPr>
              <w:t>TR17--TR18</w:t>
            </w:r>
          </w:p>
        </w:tc>
        <w:tc>
          <w:tcPr>
            <w:tcW w:w="1704" w:type="dxa"/>
            <w:vAlign w:val="center"/>
          </w:tcPr>
          <w:p w14:paraId="39B407FD" w14:textId="77777777" w:rsidR="007075D9" w:rsidRPr="004D46AC" w:rsidRDefault="007075D9" w:rsidP="002C5F6E">
            <w:pPr>
              <w:spacing w:line="240" w:lineRule="auto"/>
              <w:ind w:firstLine="0"/>
            </w:pPr>
            <w:r w:rsidRPr="004D46AC">
              <w:rPr>
                <w:color w:val="000000"/>
                <w:szCs w:val="21"/>
              </w:rPr>
              <w:t xml:space="preserve">0.54 </w:t>
            </w:r>
          </w:p>
        </w:tc>
        <w:tc>
          <w:tcPr>
            <w:tcW w:w="1704" w:type="dxa"/>
            <w:vAlign w:val="center"/>
          </w:tcPr>
          <w:p w14:paraId="4AA344B5"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748FBEC0" w14:textId="77777777" w:rsidR="007075D9" w:rsidRPr="004D46AC" w:rsidRDefault="007075D9" w:rsidP="002C5F6E">
            <w:pPr>
              <w:spacing w:line="240" w:lineRule="auto"/>
              <w:ind w:firstLine="0"/>
            </w:pPr>
            <w:r w:rsidRPr="004D46AC">
              <w:rPr>
                <w:color w:val="000000"/>
                <w:szCs w:val="21"/>
              </w:rPr>
              <w:t xml:space="preserve">0.92 </w:t>
            </w:r>
          </w:p>
        </w:tc>
        <w:tc>
          <w:tcPr>
            <w:tcW w:w="1705" w:type="dxa"/>
            <w:vAlign w:val="center"/>
          </w:tcPr>
          <w:p w14:paraId="4995B446"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7EE580DF" w14:textId="77777777">
        <w:tc>
          <w:tcPr>
            <w:tcW w:w="1704" w:type="dxa"/>
            <w:vAlign w:val="center"/>
          </w:tcPr>
          <w:p w14:paraId="0428FDE1" w14:textId="77777777" w:rsidR="007075D9" w:rsidRPr="004D46AC" w:rsidRDefault="007075D9" w:rsidP="002C5F6E">
            <w:pPr>
              <w:spacing w:line="240" w:lineRule="auto"/>
              <w:ind w:firstLine="0"/>
            </w:pPr>
            <w:r w:rsidRPr="004D46AC">
              <w:rPr>
                <w:color w:val="000000"/>
              </w:rPr>
              <w:t>TR13--TR16</w:t>
            </w:r>
          </w:p>
        </w:tc>
        <w:tc>
          <w:tcPr>
            <w:tcW w:w="1704" w:type="dxa"/>
            <w:vAlign w:val="center"/>
          </w:tcPr>
          <w:p w14:paraId="33A0412F" w14:textId="77777777" w:rsidR="007075D9" w:rsidRPr="004D46AC" w:rsidRDefault="007075D9" w:rsidP="002C5F6E">
            <w:pPr>
              <w:spacing w:line="240" w:lineRule="auto"/>
              <w:ind w:firstLine="0"/>
            </w:pPr>
            <w:r w:rsidRPr="004D46AC">
              <w:rPr>
                <w:color w:val="000000"/>
                <w:szCs w:val="21"/>
              </w:rPr>
              <w:t xml:space="preserve">0.54 </w:t>
            </w:r>
          </w:p>
        </w:tc>
        <w:tc>
          <w:tcPr>
            <w:tcW w:w="1704" w:type="dxa"/>
            <w:vAlign w:val="center"/>
          </w:tcPr>
          <w:p w14:paraId="25F17481" w14:textId="77777777" w:rsidR="007075D9" w:rsidRPr="004D46AC" w:rsidRDefault="007075D9" w:rsidP="002C5F6E">
            <w:pPr>
              <w:spacing w:line="240" w:lineRule="auto"/>
              <w:ind w:firstLine="0"/>
            </w:pPr>
            <w:r w:rsidRPr="004D46AC">
              <w:rPr>
                <w:color w:val="000000"/>
                <w:szCs w:val="21"/>
              </w:rPr>
              <w:t xml:space="preserve">0.21 </w:t>
            </w:r>
          </w:p>
        </w:tc>
        <w:tc>
          <w:tcPr>
            <w:tcW w:w="1705" w:type="dxa"/>
            <w:vAlign w:val="center"/>
          </w:tcPr>
          <w:p w14:paraId="3B0F36D4" w14:textId="77777777" w:rsidR="007075D9" w:rsidRPr="004D46AC" w:rsidRDefault="007075D9" w:rsidP="002C5F6E">
            <w:pPr>
              <w:spacing w:line="240" w:lineRule="auto"/>
              <w:ind w:firstLine="0"/>
            </w:pPr>
            <w:r w:rsidRPr="004D46AC">
              <w:rPr>
                <w:color w:val="000000"/>
                <w:szCs w:val="21"/>
              </w:rPr>
              <w:t xml:space="preserve">0.87 </w:t>
            </w:r>
          </w:p>
        </w:tc>
        <w:tc>
          <w:tcPr>
            <w:tcW w:w="1705" w:type="dxa"/>
            <w:vAlign w:val="center"/>
          </w:tcPr>
          <w:p w14:paraId="51B7452C"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02989A29" w14:textId="77777777">
        <w:tc>
          <w:tcPr>
            <w:tcW w:w="1704" w:type="dxa"/>
            <w:vAlign w:val="center"/>
          </w:tcPr>
          <w:p w14:paraId="458DEDB0" w14:textId="77777777" w:rsidR="007075D9" w:rsidRPr="004D46AC" w:rsidRDefault="007075D9" w:rsidP="002C5F6E">
            <w:pPr>
              <w:spacing w:line="240" w:lineRule="auto"/>
              <w:ind w:firstLine="0"/>
            </w:pPr>
            <w:r w:rsidRPr="004D46AC">
              <w:rPr>
                <w:color w:val="000000"/>
              </w:rPr>
              <w:t>TR29--TR33</w:t>
            </w:r>
          </w:p>
        </w:tc>
        <w:tc>
          <w:tcPr>
            <w:tcW w:w="1704" w:type="dxa"/>
            <w:vAlign w:val="center"/>
          </w:tcPr>
          <w:p w14:paraId="70E44A62" w14:textId="77777777" w:rsidR="007075D9" w:rsidRPr="004D46AC" w:rsidRDefault="007075D9" w:rsidP="002C5F6E">
            <w:pPr>
              <w:spacing w:line="240" w:lineRule="auto"/>
              <w:ind w:firstLine="0"/>
            </w:pPr>
            <w:r w:rsidRPr="004D46AC">
              <w:rPr>
                <w:color w:val="000000"/>
                <w:szCs w:val="21"/>
              </w:rPr>
              <w:t xml:space="preserve">0.52 </w:t>
            </w:r>
          </w:p>
        </w:tc>
        <w:tc>
          <w:tcPr>
            <w:tcW w:w="1704" w:type="dxa"/>
            <w:vAlign w:val="center"/>
          </w:tcPr>
          <w:p w14:paraId="01067C74"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70E12283" w14:textId="77777777" w:rsidR="007075D9" w:rsidRPr="004D46AC" w:rsidRDefault="007075D9" w:rsidP="002C5F6E">
            <w:pPr>
              <w:spacing w:line="240" w:lineRule="auto"/>
              <w:ind w:firstLine="0"/>
            </w:pPr>
            <w:r w:rsidRPr="004D46AC">
              <w:rPr>
                <w:color w:val="000000"/>
                <w:szCs w:val="21"/>
              </w:rPr>
              <w:t xml:space="preserve">0.89 </w:t>
            </w:r>
          </w:p>
        </w:tc>
        <w:tc>
          <w:tcPr>
            <w:tcW w:w="1705" w:type="dxa"/>
            <w:vAlign w:val="center"/>
          </w:tcPr>
          <w:p w14:paraId="07F5FA86"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5546C466" w14:textId="77777777">
        <w:tc>
          <w:tcPr>
            <w:tcW w:w="1704" w:type="dxa"/>
            <w:vAlign w:val="center"/>
          </w:tcPr>
          <w:p w14:paraId="335EC234" w14:textId="77777777" w:rsidR="007075D9" w:rsidRPr="004D46AC" w:rsidRDefault="007075D9" w:rsidP="002C5F6E">
            <w:pPr>
              <w:spacing w:line="240" w:lineRule="auto"/>
              <w:ind w:firstLine="0"/>
            </w:pPr>
            <w:r w:rsidRPr="004D46AC">
              <w:rPr>
                <w:color w:val="000000"/>
              </w:rPr>
              <w:t>TR7--TR34</w:t>
            </w:r>
          </w:p>
        </w:tc>
        <w:tc>
          <w:tcPr>
            <w:tcW w:w="1704" w:type="dxa"/>
            <w:vAlign w:val="center"/>
          </w:tcPr>
          <w:p w14:paraId="554D1E48" w14:textId="77777777" w:rsidR="007075D9" w:rsidRPr="004D46AC" w:rsidRDefault="007075D9" w:rsidP="002C5F6E">
            <w:pPr>
              <w:spacing w:line="240" w:lineRule="auto"/>
              <w:ind w:firstLine="0"/>
            </w:pPr>
            <w:r w:rsidRPr="004D46AC">
              <w:rPr>
                <w:color w:val="000000"/>
                <w:szCs w:val="21"/>
              </w:rPr>
              <w:t xml:space="preserve">0.49 </w:t>
            </w:r>
          </w:p>
        </w:tc>
        <w:tc>
          <w:tcPr>
            <w:tcW w:w="1704" w:type="dxa"/>
            <w:vAlign w:val="center"/>
          </w:tcPr>
          <w:p w14:paraId="0A8F9563"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4162B9A7"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03790879"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0EDA8687" w14:textId="77777777">
        <w:tc>
          <w:tcPr>
            <w:tcW w:w="1704" w:type="dxa"/>
            <w:vAlign w:val="center"/>
          </w:tcPr>
          <w:p w14:paraId="16E970F9" w14:textId="77777777" w:rsidR="007075D9" w:rsidRPr="004D46AC" w:rsidRDefault="007075D9" w:rsidP="002C5F6E">
            <w:pPr>
              <w:spacing w:line="240" w:lineRule="auto"/>
              <w:ind w:firstLine="0"/>
            </w:pPr>
            <w:r w:rsidRPr="004D46AC">
              <w:rPr>
                <w:color w:val="000000"/>
              </w:rPr>
              <w:t>TR7--TR19</w:t>
            </w:r>
          </w:p>
        </w:tc>
        <w:tc>
          <w:tcPr>
            <w:tcW w:w="1704" w:type="dxa"/>
            <w:vAlign w:val="center"/>
          </w:tcPr>
          <w:p w14:paraId="149FB3DC" w14:textId="77777777" w:rsidR="007075D9" w:rsidRPr="004D46AC" w:rsidRDefault="007075D9" w:rsidP="002C5F6E">
            <w:pPr>
              <w:spacing w:line="240" w:lineRule="auto"/>
              <w:ind w:firstLine="0"/>
            </w:pPr>
            <w:r w:rsidRPr="004D46AC">
              <w:rPr>
                <w:color w:val="000000"/>
                <w:szCs w:val="21"/>
              </w:rPr>
              <w:t xml:space="preserve">0.48 </w:t>
            </w:r>
          </w:p>
        </w:tc>
        <w:tc>
          <w:tcPr>
            <w:tcW w:w="1704" w:type="dxa"/>
            <w:vAlign w:val="center"/>
          </w:tcPr>
          <w:p w14:paraId="4DC3C9A0"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6B1ADCA2" w14:textId="77777777" w:rsidR="007075D9" w:rsidRPr="004D46AC" w:rsidRDefault="007075D9" w:rsidP="002C5F6E">
            <w:pPr>
              <w:spacing w:line="240" w:lineRule="auto"/>
              <w:ind w:firstLine="0"/>
            </w:pPr>
            <w:r w:rsidRPr="004D46AC">
              <w:rPr>
                <w:color w:val="000000"/>
                <w:szCs w:val="21"/>
              </w:rPr>
              <w:t xml:space="preserve">0.81 </w:t>
            </w:r>
          </w:p>
        </w:tc>
        <w:tc>
          <w:tcPr>
            <w:tcW w:w="1705" w:type="dxa"/>
            <w:vAlign w:val="center"/>
          </w:tcPr>
          <w:p w14:paraId="008F2712"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2B1CF775" w14:textId="77777777">
        <w:tc>
          <w:tcPr>
            <w:tcW w:w="1704" w:type="dxa"/>
            <w:vAlign w:val="center"/>
          </w:tcPr>
          <w:p w14:paraId="7067AA3B" w14:textId="77777777" w:rsidR="007075D9" w:rsidRPr="004D46AC" w:rsidRDefault="007075D9" w:rsidP="002C5F6E">
            <w:pPr>
              <w:spacing w:line="240" w:lineRule="auto"/>
              <w:ind w:firstLine="0"/>
            </w:pPr>
            <w:r w:rsidRPr="004D46AC">
              <w:rPr>
                <w:color w:val="000000"/>
              </w:rPr>
              <w:t>TR19--TR21</w:t>
            </w:r>
          </w:p>
        </w:tc>
        <w:tc>
          <w:tcPr>
            <w:tcW w:w="1704" w:type="dxa"/>
            <w:vAlign w:val="center"/>
          </w:tcPr>
          <w:p w14:paraId="53FA7FD2" w14:textId="77777777" w:rsidR="007075D9" w:rsidRPr="004D46AC" w:rsidRDefault="007075D9" w:rsidP="002C5F6E">
            <w:pPr>
              <w:spacing w:line="240" w:lineRule="auto"/>
              <w:ind w:firstLine="0"/>
            </w:pPr>
            <w:r w:rsidRPr="004D46AC">
              <w:rPr>
                <w:color w:val="000000"/>
                <w:szCs w:val="21"/>
              </w:rPr>
              <w:t xml:space="preserve">0.47 </w:t>
            </w:r>
          </w:p>
        </w:tc>
        <w:tc>
          <w:tcPr>
            <w:tcW w:w="1704" w:type="dxa"/>
            <w:vAlign w:val="center"/>
          </w:tcPr>
          <w:p w14:paraId="4C06908D"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32E45554" w14:textId="77777777" w:rsidR="007075D9" w:rsidRPr="004D46AC" w:rsidRDefault="007075D9" w:rsidP="002C5F6E">
            <w:pPr>
              <w:spacing w:line="240" w:lineRule="auto"/>
              <w:ind w:firstLine="0"/>
            </w:pPr>
            <w:r w:rsidRPr="004D46AC">
              <w:rPr>
                <w:color w:val="000000"/>
                <w:szCs w:val="21"/>
              </w:rPr>
              <w:t xml:space="preserve">0.81 </w:t>
            </w:r>
          </w:p>
        </w:tc>
        <w:tc>
          <w:tcPr>
            <w:tcW w:w="1705" w:type="dxa"/>
            <w:vAlign w:val="center"/>
          </w:tcPr>
          <w:p w14:paraId="7CAA44C3"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204D637F" w14:textId="77777777">
        <w:tc>
          <w:tcPr>
            <w:tcW w:w="1704" w:type="dxa"/>
            <w:vAlign w:val="center"/>
          </w:tcPr>
          <w:p w14:paraId="114E1ED8" w14:textId="77777777" w:rsidR="007075D9" w:rsidRPr="004D46AC" w:rsidRDefault="007075D9" w:rsidP="002C5F6E">
            <w:pPr>
              <w:spacing w:line="240" w:lineRule="auto"/>
              <w:ind w:firstLine="0"/>
            </w:pPr>
            <w:r w:rsidRPr="004D46AC">
              <w:rPr>
                <w:color w:val="000000"/>
              </w:rPr>
              <w:t>TR7--TR23</w:t>
            </w:r>
          </w:p>
        </w:tc>
        <w:tc>
          <w:tcPr>
            <w:tcW w:w="1704" w:type="dxa"/>
            <w:vAlign w:val="center"/>
          </w:tcPr>
          <w:p w14:paraId="7D02080D" w14:textId="77777777" w:rsidR="007075D9" w:rsidRPr="004D46AC" w:rsidRDefault="007075D9" w:rsidP="002C5F6E">
            <w:pPr>
              <w:spacing w:line="240" w:lineRule="auto"/>
              <w:ind w:firstLine="0"/>
            </w:pPr>
            <w:r w:rsidRPr="004D46AC">
              <w:rPr>
                <w:color w:val="000000"/>
                <w:szCs w:val="21"/>
              </w:rPr>
              <w:t xml:space="preserve">0.46 </w:t>
            </w:r>
          </w:p>
        </w:tc>
        <w:tc>
          <w:tcPr>
            <w:tcW w:w="1704" w:type="dxa"/>
            <w:vAlign w:val="center"/>
          </w:tcPr>
          <w:p w14:paraId="51FBD4C8"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451ED273"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4A7C5ECB" w14:textId="77777777" w:rsidR="007075D9" w:rsidRPr="004D46AC" w:rsidRDefault="007075D9" w:rsidP="002C5F6E">
            <w:pPr>
              <w:spacing w:line="240" w:lineRule="auto"/>
              <w:ind w:firstLine="0"/>
            </w:pPr>
            <w:r w:rsidRPr="004D46AC">
              <w:rPr>
                <w:color w:val="000000"/>
                <w:szCs w:val="21"/>
              </w:rPr>
              <w:t xml:space="preserve">0.00 </w:t>
            </w:r>
          </w:p>
        </w:tc>
      </w:tr>
      <w:tr w:rsidR="007075D9" w:rsidRPr="004D46AC" w14:paraId="3AF95937" w14:textId="77777777">
        <w:tc>
          <w:tcPr>
            <w:tcW w:w="1704" w:type="dxa"/>
            <w:vAlign w:val="center"/>
          </w:tcPr>
          <w:p w14:paraId="53EEB921" w14:textId="77777777" w:rsidR="007075D9" w:rsidRPr="004D46AC" w:rsidRDefault="007075D9" w:rsidP="002C5F6E">
            <w:pPr>
              <w:spacing w:line="240" w:lineRule="auto"/>
              <w:ind w:firstLine="0"/>
            </w:pPr>
            <w:r w:rsidRPr="004D46AC">
              <w:rPr>
                <w:color w:val="000000"/>
              </w:rPr>
              <w:t>TR15--TR26</w:t>
            </w:r>
          </w:p>
        </w:tc>
        <w:tc>
          <w:tcPr>
            <w:tcW w:w="1704" w:type="dxa"/>
            <w:vAlign w:val="center"/>
          </w:tcPr>
          <w:p w14:paraId="08411776" w14:textId="77777777" w:rsidR="007075D9" w:rsidRPr="004D46AC" w:rsidRDefault="007075D9" w:rsidP="002C5F6E">
            <w:pPr>
              <w:spacing w:line="240" w:lineRule="auto"/>
              <w:ind w:firstLine="0"/>
            </w:pPr>
            <w:r w:rsidRPr="004D46AC">
              <w:rPr>
                <w:color w:val="000000"/>
                <w:szCs w:val="21"/>
              </w:rPr>
              <w:t xml:space="preserve">0.46 </w:t>
            </w:r>
          </w:p>
        </w:tc>
        <w:tc>
          <w:tcPr>
            <w:tcW w:w="1704" w:type="dxa"/>
            <w:vAlign w:val="center"/>
          </w:tcPr>
          <w:p w14:paraId="442DAFA2"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27B7A24F" w14:textId="77777777" w:rsidR="007075D9" w:rsidRPr="004D46AC" w:rsidRDefault="007075D9" w:rsidP="002C5F6E">
            <w:pPr>
              <w:spacing w:line="240" w:lineRule="auto"/>
              <w:ind w:firstLine="0"/>
            </w:pPr>
            <w:r w:rsidRPr="004D46AC">
              <w:rPr>
                <w:color w:val="000000"/>
                <w:szCs w:val="21"/>
              </w:rPr>
              <w:t xml:space="preserve">0.82 </w:t>
            </w:r>
          </w:p>
        </w:tc>
        <w:tc>
          <w:tcPr>
            <w:tcW w:w="1705" w:type="dxa"/>
            <w:vAlign w:val="center"/>
          </w:tcPr>
          <w:p w14:paraId="4ADA7CFA"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3B88E926" w14:textId="77777777">
        <w:tc>
          <w:tcPr>
            <w:tcW w:w="1704" w:type="dxa"/>
            <w:vAlign w:val="center"/>
          </w:tcPr>
          <w:p w14:paraId="0AE05705" w14:textId="77777777" w:rsidR="007075D9" w:rsidRPr="004D46AC" w:rsidRDefault="007075D9" w:rsidP="002C5F6E">
            <w:pPr>
              <w:spacing w:line="240" w:lineRule="auto"/>
              <w:ind w:firstLine="0"/>
            </w:pPr>
            <w:r w:rsidRPr="004D46AC">
              <w:rPr>
                <w:color w:val="000000"/>
              </w:rPr>
              <w:t>TR21--TR17</w:t>
            </w:r>
          </w:p>
        </w:tc>
        <w:tc>
          <w:tcPr>
            <w:tcW w:w="1704" w:type="dxa"/>
            <w:vAlign w:val="center"/>
          </w:tcPr>
          <w:p w14:paraId="5B770B98"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0104A994"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2AEA40B3" w14:textId="77777777" w:rsidR="007075D9" w:rsidRPr="004D46AC" w:rsidRDefault="007075D9" w:rsidP="002C5F6E">
            <w:pPr>
              <w:spacing w:line="240" w:lineRule="auto"/>
              <w:ind w:firstLine="0"/>
            </w:pPr>
            <w:r w:rsidRPr="004D46AC">
              <w:rPr>
                <w:color w:val="000000"/>
                <w:szCs w:val="21"/>
              </w:rPr>
              <w:t xml:space="preserve">0.77 </w:t>
            </w:r>
          </w:p>
        </w:tc>
        <w:tc>
          <w:tcPr>
            <w:tcW w:w="1705" w:type="dxa"/>
            <w:vAlign w:val="center"/>
          </w:tcPr>
          <w:p w14:paraId="77C0D3C3"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32E37072" w14:textId="77777777">
        <w:tc>
          <w:tcPr>
            <w:tcW w:w="1704" w:type="dxa"/>
            <w:vAlign w:val="center"/>
          </w:tcPr>
          <w:p w14:paraId="0E651812" w14:textId="77777777" w:rsidR="007075D9" w:rsidRPr="004D46AC" w:rsidRDefault="007075D9" w:rsidP="002C5F6E">
            <w:pPr>
              <w:spacing w:line="240" w:lineRule="auto"/>
              <w:ind w:firstLine="0"/>
            </w:pPr>
            <w:r w:rsidRPr="004D46AC">
              <w:rPr>
                <w:color w:val="000000"/>
              </w:rPr>
              <w:t>TR24--TR30</w:t>
            </w:r>
          </w:p>
        </w:tc>
        <w:tc>
          <w:tcPr>
            <w:tcW w:w="1704" w:type="dxa"/>
            <w:vAlign w:val="center"/>
          </w:tcPr>
          <w:p w14:paraId="57592608"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1214E34A"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46605451"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788F775F"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69511FF2" w14:textId="77777777">
        <w:tc>
          <w:tcPr>
            <w:tcW w:w="1704" w:type="dxa"/>
            <w:vAlign w:val="center"/>
          </w:tcPr>
          <w:p w14:paraId="5A5DA5D8" w14:textId="77777777" w:rsidR="007075D9" w:rsidRPr="004D46AC" w:rsidRDefault="007075D9" w:rsidP="002C5F6E">
            <w:pPr>
              <w:spacing w:line="240" w:lineRule="auto"/>
              <w:ind w:firstLine="0"/>
            </w:pPr>
            <w:r w:rsidRPr="004D46AC">
              <w:rPr>
                <w:color w:val="000000"/>
              </w:rPr>
              <w:t>TR19--TR37</w:t>
            </w:r>
          </w:p>
        </w:tc>
        <w:tc>
          <w:tcPr>
            <w:tcW w:w="1704" w:type="dxa"/>
            <w:vAlign w:val="center"/>
          </w:tcPr>
          <w:p w14:paraId="55B046E7"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669CFA49"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2F3AB1B7" w14:textId="77777777" w:rsidR="007075D9" w:rsidRPr="004D46AC" w:rsidRDefault="007075D9" w:rsidP="002C5F6E">
            <w:pPr>
              <w:spacing w:line="240" w:lineRule="auto"/>
              <w:ind w:firstLine="0"/>
            </w:pPr>
            <w:r w:rsidRPr="004D46AC">
              <w:rPr>
                <w:color w:val="000000"/>
                <w:szCs w:val="21"/>
              </w:rPr>
              <w:t xml:space="preserve">0.78 </w:t>
            </w:r>
          </w:p>
        </w:tc>
        <w:tc>
          <w:tcPr>
            <w:tcW w:w="1705" w:type="dxa"/>
            <w:vAlign w:val="center"/>
          </w:tcPr>
          <w:p w14:paraId="79C0823C"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344F7E5F" w14:textId="77777777">
        <w:tc>
          <w:tcPr>
            <w:tcW w:w="1704" w:type="dxa"/>
            <w:vAlign w:val="center"/>
          </w:tcPr>
          <w:p w14:paraId="68437355" w14:textId="77777777" w:rsidR="007075D9" w:rsidRPr="004D46AC" w:rsidRDefault="007075D9" w:rsidP="002C5F6E">
            <w:pPr>
              <w:spacing w:line="240" w:lineRule="auto"/>
              <w:ind w:firstLine="0"/>
            </w:pPr>
            <w:r w:rsidRPr="004D46AC">
              <w:rPr>
                <w:color w:val="000000"/>
              </w:rPr>
              <w:t>TR6--TR18</w:t>
            </w:r>
          </w:p>
        </w:tc>
        <w:tc>
          <w:tcPr>
            <w:tcW w:w="1704" w:type="dxa"/>
            <w:vAlign w:val="center"/>
          </w:tcPr>
          <w:p w14:paraId="7EAC7DB5" w14:textId="77777777" w:rsidR="007075D9" w:rsidRPr="004D46AC" w:rsidRDefault="007075D9" w:rsidP="002C5F6E">
            <w:pPr>
              <w:spacing w:line="240" w:lineRule="auto"/>
              <w:ind w:firstLine="0"/>
            </w:pPr>
            <w:r w:rsidRPr="004D46AC">
              <w:rPr>
                <w:color w:val="000000"/>
                <w:szCs w:val="21"/>
              </w:rPr>
              <w:t xml:space="preserve">0.44 </w:t>
            </w:r>
          </w:p>
        </w:tc>
        <w:tc>
          <w:tcPr>
            <w:tcW w:w="1704" w:type="dxa"/>
            <w:vAlign w:val="center"/>
          </w:tcPr>
          <w:p w14:paraId="3A5F964B"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001599BC"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57B776A5"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0F414FB3" w14:textId="77777777">
        <w:tc>
          <w:tcPr>
            <w:tcW w:w="1704" w:type="dxa"/>
            <w:vAlign w:val="center"/>
          </w:tcPr>
          <w:p w14:paraId="68AFCF3C" w14:textId="77777777" w:rsidR="007075D9" w:rsidRPr="004D46AC" w:rsidRDefault="007075D9" w:rsidP="002C5F6E">
            <w:pPr>
              <w:spacing w:line="240" w:lineRule="auto"/>
              <w:ind w:firstLine="0"/>
            </w:pPr>
            <w:r w:rsidRPr="004D46AC">
              <w:rPr>
                <w:color w:val="000000"/>
              </w:rPr>
              <w:t>TR12--TR15</w:t>
            </w:r>
          </w:p>
        </w:tc>
        <w:tc>
          <w:tcPr>
            <w:tcW w:w="1704" w:type="dxa"/>
            <w:vAlign w:val="center"/>
          </w:tcPr>
          <w:p w14:paraId="3BAE3100"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249A9EAD"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5AC605DF" w14:textId="77777777" w:rsidR="007075D9" w:rsidRPr="004D46AC" w:rsidRDefault="007075D9" w:rsidP="002C5F6E">
            <w:pPr>
              <w:spacing w:line="240" w:lineRule="auto"/>
              <w:ind w:firstLine="0"/>
            </w:pPr>
            <w:r w:rsidRPr="004D46AC">
              <w:rPr>
                <w:color w:val="000000"/>
                <w:szCs w:val="21"/>
              </w:rPr>
              <w:t xml:space="preserve">0.77 </w:t>
            </w:r>
          </w:p>
        </w:tc>
        <w:tc>
          <w:tcPr>
            <w:tcW w:w="1705" w:type="dxa"/>
            <w:vAlign w:val="center"/>
          </w:tcPr>
          <w:p w14:paraId="79DC3099"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7E47F093" w14:textId="77777777">
        <w:tc>
          <w:tcPr>
            <w:tcW w:w="1704" w:type="dxa"/>
            <w:vAlign w:val="center"/>
          </w:tcPr>
          <w:p w14:paraId="579B5214" w14:textId="77777777" w:rsidR="007075D9" w:rsidRPr="004D46AC" w:rsidRDefault="007075D9" w:rsidP="002C5F6E">
            <w:pPr>
              <w:spacing w:line="240" w:lineRule="auto"/>
              <w:ind w:firstLine="0"/>
            </w:pPr>
            <w:r w:rsidRPr="004D46AC">
              <w:rPr>
                <w:color w:val="000000"/>
              </w:rPr>
              <w:t>TR26--TR27</w:t>
            </w:r>
          </w:p>
        </w:tc>
        <w:tc>
          <w:tcPr>
            <w:tcW w:w="1704" w:type="dxa"/>
            <w:vAlign w:val="center"/>
          </w:tcPr>
          <w:p w14:paraId="7CA8B11D"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6E9F9C4B"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7C3BE5B3" w14:textId="77777777" w:rsidR="007075D9" w:rsidRPr="004D46AC" w:rsidRDefault="007075D9" w:rsidP="002C5F6E">
            <w:pPr>
              <w:spacing w:line="240" w:lineRule="auto"/>
              <w:ind w:firstLine="0"/>
            </w:pPr>
            <w:r w:rsidRPr="004D46AC">
              <w:rPr>
                <w:color w:val="000000"/>
                <w:szCs w:val="21"/>
              </w:rPr>
              <w:t xml:space="preserve">0.77 </w:t>
            </w:r>
          </w:p>
        </w:tc>
        <w:tc>
          <w:tcPr>
            <w:tcW w:w="1705" w:type="dxa"/>
            <w:vAlign w:val="center"/>
          </w:tcPr>
          <w:p w14:paraId="20E7F8FE"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1338FCB8" w14:textId="77777777">
        <w:tc>
          <w:tcPr>
            <w:tcW w:w="1704" w:type="dxa"/>
            <w:vAlign w:val="center"/>
          </w:tcPr>
          <w:p w14:paraId="28E54279" w14:textId="77777777" w:rsidR="007075D9" w:rsidRPr="004D46AC" w:rsidRDefault="007075D9" w:rsidP="002C5F6E">
            <w:pPr>
              <w:spacing w:line="240" w:lineRule="auto"/>
              <w:ind w:firstLine="0"/>
            </w:pPr>
            <w:r w:rsidRPr="004D46AC">
              <w:rPr>
                <w:color w:val="000000"/>
              </w:rPr>
              <w:t>TR30--TR33</w:t>
            </w:r>
          </w:p>
        </w:tc>
        <w:tc>
          <w:tcPr>
            <w:tcW w:w="1704" w:type="dxa"/>
            <w:vAlign w:val="center"/>
          </w:tcPr>
          <w:p w14:paraId="7E33D43A"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25619EB9"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2D12D72E" w14:textId="77777777" w:rsidR="007075D9" w:rsidRPr="004D46AC" w:rsidRDefault="007075D9" w:rsidP="002C5F6E">
            <w:pPr>
              <w:spacing w:line="240" w:lineRule="auto"/>
              <w:ind w:firstLine="0"/>
            </w:pPr>
            <w:r w:rsidRPr="004D46AC">
              <w:rPr>
                <w:color w:val="000000"/>
                <w:szCs w:val="21"/>
              </w:rPr>
              <w:t xml:space="preserve">0.80 </w:t>
            </w:r>
          </w:p>
        </w:tc>
        <w:tc>
          <w:tcPr>
            <w:tcW w:w="1705" w:type="dxa"/>
            <w:vAlign w:val="center"/>
          </w:tcPr>
          <w:p w14:paraId="46D5CD7D"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4E41C85A" w14:textId="77777777">
        <w:tc>
          <w:tcPr>
            <w:tcW w:w="1704" w:type="dxa"/>
            <w:vAlign w:val="center"/>
          </w:tcPr>
          <w:p w14:paraId="0C43DD30" w14:textId="77777777" w:rsidR="007075D9" w:rsidRPr="004D46AC" w:rsidRDefault="007075D9" w:rsidP="002C5F6E">
            <w:pPr>
              <w:spacing w:line="240" w:lineRule="auto"/>
              <w:ind w:firstLine="0"/>
            </w:pPr>
            <w:r w:rsidRPr="004D46AC">
              <w:rPr>
                <w:color w:val="000000"/>
              </w:rPr>
              <w:t>TR5--TR26</w:t>
            </w:r>
          </w:p>
        </w:tc>
        <w:tc>
          <w:tcPr>
            <w:tcW w:w="1704" w:type="dxa"/>
            <w:vAlign w:val="center"/>
          </w:tcPr>
          <w:p w14:paraId="228932B6"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046B3368"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1F9FD49B" w14:textId="77777777" w:rsidR="007075D9" w:rsidRPr="004D46AC" w:rsidRDefault="007075D9" w:rsidP="002C5F6E">
            <w:pPr>
              <w:spacing w:line="240" w:lineRule="auto"/>
              <w:ind w:firstLine="0"/>
            </w:pPr>
            <w:r w:rsidRPr="004D46AC">
              <w:rPr>
                <w:color w:val="000000"/>
                <w:szCs w:val="21"/>
              </w:rPr>
              <w:t xml:space="preserve">0.85 </w:t>
            </w:r>
          </w:p>
        </w:tc>
        <w:tc>
          <w:tcPr>
            <w:tcW w:w="1705" w:type="dxa"/>
            <w:vAlign w:val="center"/>
          </w:tcPr>
          <w:p w14:paraId="51ABFE26" w14:textId="77777777" w:rsidR="007075D9" w:rsidRPr="004D46AC" w:rsidRDefault="007075D9" w:rsidP="002C5F6E">
            <w:pPr>
              <w:spacing w:line="240" w:lineRule="auto"/>
              <w:ind w:firstLine="0"/>
            </w:pPr>
            <w:r w:rsidRPr="004D46AC">
              <w:rPr>
                <w:color w:val="000000"/>
                <w:szCs w:val="21"/>
              </w:rPr>
              <w:t xml:space="preserve">0.13 </w:t>
            </w:r>
          </w:p>
        </w:tc>
      </w:tr>
      <w:tr w:rsidR="007075D9" w:rsidRPr="004D46AC" w14:paraId="13427E36" w14:textId="77777777">
        <w:tc>
          <w:tcPr>
            <w:tcW w:w="1704" w:type="dxa"/>
            <w:vAlign w:val="center"/>
          </w:tcPr>
          <w:p w14:paraId="4CB008A6" w14:textId="77777777" w:rsidR="007075D9" w:rsidRPr="004D46AC" w:rsidRDefault="007075D9" w:rsidP="002C5F6E">
            <w:pPr>
              <w:spacing w:line="240" w:lineRule="auto"/>
              <w:ind w:firstLine="0"/>
            </w:pPr>
            <w:r w:rsidRPr="004D46AC">
              <w:rPr>
                <w:color w:val="000000"/>
              </w:rPr>
              <w:t>TR20--TR25</w:t>
            </w:r>
          </w:p>
        </w:tc>
        <w:tc>
          <w:tcPr>
            <w:tcW w:w="1704" w:type="dxa"/>
            <w:vAlign w:val="center"/>
          </w:tcPr>
          <w:p w14:paraId="1848ADFC" w14:textId="77777777" w:rsidR="007075D9" w:rsidRPr="004D46AC" w:rsidRDefault="007075D9" w:rsidP="002C5F6E">
            <w:pPr>
              <w:spacing w:line="240" w:lineRule="auto"/>
              <w:ind w:firstLine="0"/>
            </w:pPr>
            <w:r w:rsidRPr="004D46AC">
              <w:rPr>
                <w:color w:val="000000"/>
                <w:szCs w:val="21"/>
              </w:rPr>
              <w:t xml:space="preserve">0.43 </w:t>
            </w:r>
          </w:p>
        </w:tc>
        <w:tc>
          <w:tcPr>
            <w:tcW w:w="1704" w:type="dxa"/>
            <w:vAlign w:val="center"/>
          </w:tcPr>
          <w:p w14:paraId="374762AE"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48A187A6" w14:textId="77777777" w:rsidR="007075D9" w:rsidRPr="004D46AC" w:rsidRDefault="007075D9" w:rsidP="002C5F6E">
            <w:pPr>
              <w:spacing w:line="240" w:lineRule="auto"/>
              <w:ind w:firstLine="0"/>
            </w:pPr>
            <w:r w:rsidRPr="004D46AC">
              <w:rPr>
                <w:color w:val="000000"/>
                <w:szCs w:val="21"/>
              </w:rPr>
              <w:t xml:space="preserve">0.76 </w:t>
            </w:r>
          </w:p>
        </w:tc>
        <w:tc>
          <w:tcPr>
            <w:tcW w:w="1705" w:type="dxa"/>
            <w:vAlign w:val="center"/>
          </w:tcPr>
          <w:p w14:paraId="77DDCE5B"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77661CE3" w14:textId="77777777">
        <w:tc>
          <w:tcPr>
            <w:tcW w:w="1704" w:type="dxa"/>
            <w:vAlign w:val="center"/>
          </w:tcPr>
          <w:p w14:paraId="78F0888C" w14:textId="77777777" w:rsidR="007075D9" w:rsidRPr="004D46AC" w:rsidRDefault="007075D9" w:rsidP="002C5F6E">
            <w:pPr>
              <w:spacing w:line="240" w:lineRule="auto"/>
              <w:ind w:firstLine="0"/>
            </w:pPr>
            <w:r w:rsidRPr="004D46AC">
              <w:rPr>
                <w:color w:val="000000"/>
              </w:rPr>
              <w:t>TR26--TR33</w:t>
            </w:r>
          </w:p>
        </w:tc>
        <w:tc>
          <w:tcPr>
            <w:tcW w:w="1704" w:type="dxa"/>
            <w:vAlign w:val="center"/>
          </w:tcPr>
          <w:p w14:paraId="3EB36622"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03620930"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630719F4" w14:textId="77777777" w:rsidR="007075D9" w:rsidRPr="004D46AC" w:rsidRDefault="007075D9" w:rsidP="002C5F6E">
            <w:pPr>
              <w:spacing w:line="240" w:lineRule="auto"/>
              <w:ind w:firstLine="0"/>
            </w:pPr>
            <w:r w:rsidRPr="004D46AC">
              <w:rPr>
                <w:color w:val="000000"/>
                <w:szCs w:val="21"/>
              </w:rPr>
              <w:t xml:space="preserve">0.76 </w:t>
            </w:r>
          </w:p>
        </w:tc>
        <w:tc>
          <w:tcPr>
            <w:tcW w:w="1705" w:type="dxa"/>
            <w:vAlign w:val="center"/>
          </w:tcPr>
          <w:p w14:paraId="227B833A"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4728E8BF" w14:textId="77777777">
        <w:tc>
          <w:tcPr>
            <w:tcW w:w="1704" w:type="dxa"/>
            <w:vAlign w:val="center"/>
          </w:tcPr>
          <w:p w14:paraId="236F21FC" w14:textId="77777777" w:rsidR="007075D9" w:rsidRPr="004D46AC" w:rsidRDefault="007075D9" w:rsidP="002C5F6E">
            <w:pPr>
              <w:spacing w:line="240" w:lineRule="auto"/>
              <w:ind w:firstLine="0"/>
            </w:pPr>
            <w:r w:rsidRPr="004D46AC">
              <w:rPr>
                <w:color w:val="000000"/>
              </w:rPr>
              <w:t>TR18--TR13</w:t>
            </w:r>
          </w:p>
        </w:tc>
        <w:tc>
          <w:tcPr>
            <w:tcW w:w="1704" w:type="dxa"/>
            <w:vAlign w:val="center"/>
          </w:tcPr>
          <w:p w14:paraId="79777B36" w14:textId="77777777" w:rsidR="007075D9" w:rsidRPr="004D46AC" w:rsidRDefault="007075D9" w:rsidP="002C5F6E">
            <w:pPr>
              <w:spacing w:line="240" w:lineRule="auto"/>
              <w:ind w:firstLine="0"/>
            </w:pPr>
            <w:r w:rsidRPr="004D46AC">
              <w:rPr>
                <w:color w:val="000000"/>
                <w:szCs w:val="21"/>
              </w:rPr>
              <w:t xml:space="preserve">0.42 </w:t>
            </w:r>
          </w:p>
        </w:tc>
        <w:tc>
          <w:tcPr>
            <w:tcW w:w="1704" w:type="dxa"/>
            <w:vAlign w:val="center"/>
          </w:tcPr>
          <w:p w14:paraId="77BECF6F"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6E28C93C" w14:textId="77777777" w:rsidR="007075D9" w:rsidRPr="004D46AC" w:rsidRDefault="007075D9" w:rsidP="002C5F6E">
            <w:pPr>
              <w:spacing w:line="240" w:lineRule="auto"/>
              <w:ind w:firstLine="0"/>
            </w:pPr>
            <w:r w:rsidRPr="004D46AC">
              <w:rPr>
                <w:color w:val="000000"/>
                <w:szCs w:val="21"/>
              </w:rPr>
              <w:t xml:space="preserve">0.79 </w:t>
            </w:r>
          </w:p>
        </w:tc>
        <w:tc>
          <w:tcPr>
            <w:tcW w:w="1705" w:type="dxa"/>
            <w:vAlign w:val="center"/>
          </w:tcPr>
          <w:p w14:paraId="2DBD0300"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69732C8F" w14:textId="77777777">
        <w:tc>
          <w:tcPr>
            <w:tcW w:w="1704" w:type="dxa"/>
            <w:vAlign w:val="center"/>
          </w:tcPr>
          <w:p w14:paraId="0775C7C0" w14:textId="77777777" w:rsidR="007075D9" w:rsidRPr="004D46AC" w:rsidRDefault="007075D9" w:rsidP="002C5F6E">
            <w:pPr>
              <w:spacing w:line="240" w:lineRule="auto"/>
              <w:ind w:firstLine="0"/>
            </w:pPr>
            <w:r w:rsidRPr="004D46AC">
              <w:rPr>
                <w:color w:val="000000"/>
              </w:rPr>
              <w:t>TR19--TR16</w:t>
            </w:r>
          </w:p>
        </w:tc>
        <w:tc>
          <w:tcPr>
            <w:tcW w:w="1704" w:type="dxa"/>
            <w:vAlign w:val="center"/>
          </w:tcPr>
          <w:p w14:paraId="4C7CB47E" w14:textId="77777777" w:rsidR="007075D9" w:rsidRPr="004D46AC" w:rsidRDefault="007075D9" w:rsidP="002C5F6E">
            <w:pPr>
              <w:spacing w:line="240" w:lineRule="auto"/>
              <w:ind w:firstLine="0"/>
            </w:pPr>
            <w:r w:rsidRPr="004D46AC">
              <w:rPr>
                <w:color w:val="000000"/>
                <w:szCs w:val="21"/>
              </w:rPr>
              <w:t xml:space="preserve">0.41 </w:t>
            </w:r>
          </w:p>
        </w:tc>
        <w:tc>
          <w:tcPr>
            <w:tcW w:w="1704" w:type="dxa"/>
            <w:vAlign w:val="center"/>
          </w:tcPr>
          <w:p w14:paraId="672511E6"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142C9360" w14:textId="77777777" w:rsidR="007075D9" w:rsidRPr="004D46AC" w:rsidRDefault="007075D9" w:rsidP="002C5F6E">
            <w:pPr>
              <w:spacing w:line="240" w:lineRule="auto"/>
              <w:ind w:firstLine="0"/>
            </w:pPr>
            <w:r w:rsidRPr="004D46AC">
              <w:rPr>
                <w:color w:val="000000"/>
                <w:szCs w:val="21"/>
              </w:rPr>
              <w:t xml:space="preserve">0.77 </w:t>
            </w:r>
          </w:p>
        </w:tc>
        <w:tc>
          <w:tcPr>
            <w:tcW w:w="1705" w:type="dxa"/>
            <w:vAlign w:val="center"/>
          </w:tcPr>
          <w:p w14:paraId="0D1E9628"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38D4CDC5" w14:textId="77777777">
        <w:tc>
          <w:tcPr>
            <w:tcW w:w="1704" w:type="dxa"/>
            <w:vAlign w:val="center"/>
          </w:tcPr>
          <w:p w14:paraId="0281545A" w14:textId="77777777" w:rsidR="007075D9" w:rsidRPr="004D46AC" w:rsidRDefault="007075D9" w:rsidP="002C5F6E">
            <w:pPr>
              <w:spacing w:line="240" w:lineRule="auto"/>
              <w:ind w:firstLine="0"/>
            </w:pPr>
            <w:r w:rsidRPr="004D46AC">
              <w:rPr>
                <w:color w:val="000000"/>
              </w:rPr>
              <w:t>TR19--TR23</w:t>
            </w:r>
          </w:p>
        </w:tc>
        <w:tc>
          <w:tcPr>
            <w:tcW w:w="1704" w:type="dxa"/>
            <w:vAlign w:val="center"/>
          </w:tcPr>
          <w:p w14:paraId="368DB179" w14:textId="77777777" w:rsidR="007075D9" w:rsidRPr="004D46AC" w:rsidRDefault="007075D9" w:rsidP="002C5F6E">
            <w:pPr>
              <w:spacing w:line="240" w:lineRule="auto"/>
              <w:ind w:firstLine="0"/>
            </w:pPr>
            <w:r w:rsidRPr="004D46AC">
              <w:rPr>
                <w:color w:val="000000"/>
                <w:szCs w:val="21"/>
              </w:rPr>
              <w:t xml:space="preserve">0.41 </w:t>
            </w:r>
          </w:p>
        </w:tc>
        <w:tc>
          <w:tcPr>
            <w:tcW w:w="1704" w:type="dxa"/>
            <w:vAlign w:val="center"/>
          </w:tcPr>
          <w:p w14:paraId="74DE5250"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1008B25D" w14:textId="77777777" w:rsidR="007075D9" w:rsidRPr="004D46AC" w:rsidRDefault="007075D9" w:rsidP="002C5F6E">
            <w:pPr>
              <w:spacing w:line="240" w:lineRule="auto"/>
              <w:ind w:firstLine="0"/>
            </w:pPr>
            <w:r w:rsidRPr="004D46AC">
              <w:rPr>
                <w:color w:val="000000"/>
                <w:szCs w:val="21"/>
              </w:rPr>
              <w:t xml:space="preserve">0.74 </w:t>
            </w:r>
          </w:p>
        </w:tc>
        <w:tc>
          <w:tcPr>
            <w:tcW w:w="1705" w:type="dxa"/>
            <w:vAlign w:val="center"/>
          </w:tcPr>
          <w:p w14:paraId="38AF5175" w14:textId="77777777" w:rsidR="007075D9" w:rsidRPr="004D46AC" w:rsidRDefault="007075D9" w:rsidP="002C5F6E">
            <w:pPr>
              <w:spacing w:line="240" w:lineRule="auto"/>
              <w:ind w:firstLine="0"/>
            </w:pPr>
            <w:r w:rsidRPr="004D46AC">
              <w:rPr>
                <w:color w:val="000000"/>
                <w:szCs w:val="21"/>
              </w:rPr>
              <w:t xml:space="preserve">0.01 </w:t>
            </w:r>
          </w:p>
        </w:tc>
      </w:tr>
      <w:tr w:rsidR="007075D9" w:rsidRPr="004D46AC" w14:paraId="4F604E6E" w14:textId="77777777">
        <w:tc>
          <w:tcPr>
            <w:tcW w:w="1704" w:type="dxa"/>
            <w:vAlign w:val="center"/>
          </w:tcPr>
          <w:p w14:paraId="56E6D75B" w14:textId="77777777" w:rsidR="007075D9" w:rsidRPr="004D46AC" w:rsidRDefault="007075D9" w:rsidP="002C5F6E">
            <w:pPr>
              <w:spacing w:line="240" w:lineRule="auto"/>
              <w:ind w:firstLine="0"/>
            </w:pPr>
            <w:r w:rsidRPr="004D46AC">
              <w:rPr>
                <w:color w:val="000000"/>
              </w:rPr>
              <w:t>TR9--TR17</w:t>
            </w:r>
          </w:p>
        </w:tc>
        <w:tc>
          <w:tcPr>
            <w:tcW w:w="1704" w:type="dxa"/>
            <w:vAlign w:val="center"/>
          </w:tcPr>
          <w:p w14:paraId="70E0A143" w14:textId="77777777" w:rsidR="007075D9" w:rsidRPr="004D46AC" w:rsidRDefault="007075D9" w:rsidP="002C5F6E">
            <w:pPr>
              <w:spacing w:line="240" w:lineRule="auto"/>
              <w:ind w:firstLine="0"/>
            </w:pPr>
            <w:r w:rsidRPr="004D46AC">
              <w:rPr>
                <w:color w:val="000000"/>
                <w:szCs w:val="21"/>
              </w:rPr>
              <w:t xml:space="preserve">0.40 </w:t>
            </w:r>
          </w:p>
        </w:tc>
        <w:tc>
          <w:tcPr>
            <w:tcW w:w="1704" w:type="dxa"/>
            <w:vAlign w:val="center"/>
          </w:tcPr>
          <w:p w14:paraId="7497740F" w14:textId="77777777" w:rsidR="007075D9" w:rsidRPr="004D46AC" w:rsidRDefault="007075D9" w:rsidP="002C5F6E">
            <w:pPr>
              <w:spacing w:line="240" w:lineRule="auto"/>
              <w:ind w:firstLine="0"/>
            </w:pPr>
            <w:r w:rsidRPr="004D46AC">
              <w:rPr>
                <w:color w:val="000000"/>
                <w:szCs w:val="21"/>
              </w:rPr>
              <w:t xml:space="preserve">0.05 </w:t>
            </w:r>
          </w:p>
        </w:tc>
        <w:tc>
          <w:tcPr>
            <w:tcW w:w="1705" w:type="dxa"/>
            <w:vAlign w:val="center"/>
          </w:tcPr>
          <w:p w14:paraId="714C52DD" w14:textId="77777777" w:rsidR="007075D9" w:rsidRPr="004D46AC" w:rsidRDefault="007075D9" w:rsidP="002C5F6E">
            <w:pPr>
              <w:spacing w:line="240" w:lineRule="auto"/>
              <w:ind w:firstLine="0"/>
            </w:pPr>
            <w:r w:rsidRPr="004D46AC">
              <w:rPr>
                <w:color w:val="000000"/>
                <w:szCs w:val="21"/>
              </w:rPr>
              <w:t xml:space="preserve">0.75 </w:t>
            </w:r>
          </w:p>
        </w:tc>
        <w:tc>
          <w:tcPr>
            <w:tcW w:w="1705" w:type="dxa"/>
            <w:vAlign w:val="center"/>
          </w:tcPr>
          <w:p w14:paraId="1813EC63"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7614B2D0" w14:textId="77777777">
        <w:tc>
          <w:tcPr>
            <w:tcW w:w="1704" w:type="dxa"/>
            <w:vAlign w:val="center"/>
          </w:tcPr>
          <w:p w14:paraId="3CADC234" w14:textId="77777777" w:rsidR="007075D9" w:rsidRPr="004D46AC" w:rsidRDefault="007075D9" w:rsidP="002C5F6E">
            <w:pPr>
              <w:spacing w:line="240" w:lineRule="auto"/>
              <w:ind w:firstLine="0"/>
            </w:pPr>
            <w:r w:rsidRPr="004D46AC">
              <w:rPr>
                <w:color w:val="000000"/>
              </w:rPr>
              <w:t>TR9--TR18</w:t>
            </w:r>
          </w:p>
        </w:tc>
        <w:tc>
          <w:tcPr>
            <w:tcW w:w="1704" w:type="dxa"/>
            <w:vAlign w:val="center"/>
          </w:tcPr>
          <w:p w14:paraId="71002279" w14:textId="77777777" w:rsidR="007075D9" w:rsidRPr="004D46AC" w:rsidRDefault="007075D9" w:rsidP="002C5F6E">
            <w:pPr>
              <w:spacing w:line="240" w:lineRule="auto"/>
              <w:ind w:firstLine="0"/>
            </w:pPr>
            <w:r w:rsidRPr="004D46AC">
              <w:rPr>
                <w:color w:val="000000"/>
                <w:szCs w:val="21"/>
              </w:rPr>
              <w:t xml:space="preserve">0.40 </w:t>
            </w:r>
          </w:p>
        </w:tc>
        <w:tc>
          <w:tcPr>
            <w:tcW w:w="1704" w:type="dxa"/>
            <w:vAlign w:val="center"/>
          </w:tcPr>
          <w:p w14:paraId="2D377724"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43E26B3B" w14:textId="77777777" w:rsidR="007075D9" w:rsidRPr="004D46AC" w:rsidRDefault="007075D9" w:rsidP="002C5F6E">
            <w:pPr>
              <w:spacing w:line="240" w:lineRule="auto"/>
              <w:ind w:firstLine="0"/>
            </w:pPr>
            <w:r w:rsidRPr="004D46AC">
              <w:rPr>
                <w:color w:val="000000"/>
                <w:szCs w:val="21"/>
              </w:rPr>
              <w:t xml:space="preserve">0.75 </w:t>
            </w:r>
          </w:p>
        </w:tc>
        <w:tc>
          <w:tcPr>
            <w:tcW w:w="1705" w:type="dxa"/>
            <w:vAlign w:val="center"/>
          </w:tcPr>
          <w:p w14:paraId="60389764" w14:textId="77777777" w:rsidR="007075D9" w:rsidRPr="004D46AC" w:rsidRDefault="007075D9" w:rsidP="002C5F6E">
            <w:pPr>
              <w:spacing w:line="240" w:lineRule="auto"/>
              <w:ind w:firstLine="0"/>
            </w:pPr>
            <w:r w:rsidRPr="004D46AC">
              <w:rPr>
                <w:color w:val="000000"/>
                <w:szCs w:val="21"/>
              </w:rPr>
              <w:t xml:space="preserve">0.02 </w:t>
            </w:r>
          </w:p>
        </w:tc>
      </w:tr>
      <w:tr w:rsidR="007075D9" w:rsidRPr="004D46AC" w14:paraId="66EAC8D7" w14:textId="77777777">
        <w:tc>
          <w:tcPr>
            <w:tcW w:w="1704" w:type="dxa"/>
            <w:vAlign w:val="center"/>
          </w:tcPr>
          <w:p w14:paraId="131CCD73" w14:textId="77777777" w:rsidR="007075D9" w:rsidRPr="004D46AC" w:rsidRDefault="007075D9" w:rsidP="002C5F6E">
            <w:pPr>
              <w:spacing w:line="240" w:lineRule="auto"/>
              <w:ind w:firstLine="0"/>
            </w:pPr>
            <w:r w:rsidRPr="004D46AC">
              <w:rPr>
                <w:color w:val="000000"/>
              </w:rPr>
              <w:t>TR24--TR37</w:t>
            </w:r>
          </w:p>
        </w:tc>
        <w:tc>
          <w:tcPr>
            <w:tcW w:w="1704" w:type="dxa"/>
            <w:vAlign w:val="center"/>
          </w:tcPr>
          <w:p w14:paraId="5302803B" w14:textId="77777777" w:rsidR="007075D9" w:rsidRPr="004D46AC" w:rsidRDefault="007075D9" w:rsidP="002C5F6E">
            <w:pPr>
              <w:spacing w:line="240" w:lineRule="auto"/>
              <w:ind w:firstLine="0"/>
            </w:pPr>
            <w:r w:rsidRPr="004D46AC">
              <w:rPr>
                <w:color w:val="000000"/>
                <w:szCs w:val="21"/>
              </w:rPr>
              <w:t xml:space="preserve">0.37 </w:t>
            </w:r>
          </w:p>
        </w:tc>
        <w:tc>
          <w:tcPr>
            <w:tcW w:w="1704" w:type="dxa"/>
            <w:vAlign w:val="center"/>
          </w:tcPr>
          <w:p w14:paraId="21FE2DE7"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2F33C1EC" w14:textId="77777777" w:rsidR="007075D9" w:rsidRPr="004D46AC" w:rsidRDefault="007075D9" w:rsidP="002C5F6E">
            <w:pPr>
              <w:spacing w:line="240" w:lineRule="auto"/>
              <w:ind w:firstLine="0"/>
            </w:pPr>
            <w:r w:rsidRPr="004D46AC">
              <w:rPr>
                <w:color w:val="000000"/>
                <w:szCs w:val="21"/>
              </w:rPr>
              <w:t xml:space="preserve">0.73 </w:t>
            </w:r>
          </w:p>
        </w:tc>
        <w:tc>
          <w:tcPr>
            <w:tcW w:w="1705" w:type="dxa"/>
            <w:vAlign w:val="center"/>
          </w:tcPr>
          <w:p w14:paraId="6FA34DC1"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57C3455E" w14:textId="77777777">
        <w:tc>
          <w:tcPr>
            <w:tcW w:w="1704" w:type="dxa"/>
            <w:vAlign w:val="center"/>
          </w:tcPr>
          <w:p w14:paraId="5827D751" w14:textId="77777777" w:rsidR="007075D9" w:rsidRPr="004D46AC" w:rsidRDefault="007075D9" w:rsidP="002C5F6E">
            <w:pPr>
              <w:spacing w:line="240" w:lineRule="auto"/>
              <w:ind w:firstLine="0"/>
            </w:pPr>
            <w:r w:rsidRPr="004D46AC">
              <w:rPr>
                <w:color w:val="000000"/>
              </w:rPr>
              <w:t>TR21--TR26</w:t>
            </w:r>
          </w:p>
        </w:tc>
        <w:tc>
          <w:tcPr>
            <w:tcW w:w="1704" w:type="dxa"/>
            <w:vAlign w:val="center"/>
          </w:tcPr>
          <w:p w14:paraId="0B7C17E5" w14:textId="77777777" w:rsidR="007075D9" w:rsidRPr="004D46AC" w:rsidRDefault="007075D9" w:rsidP="002C5F6E">
            <w:pPr>
              <w:spacing w:line="240" w:lineRule="auto"/>
              <w:ind w:firstLine="0"/>
            </w:pPr>
            <w:r w:rsidRPr="004D46AC">
              <w:rPr>
                <w:color w:val="000000"/>
                <w:szCs w:val="21"/>
              </w:rPr>
              <w:t xml:space="preserve">0.35 </w:t>
            </w:r>
          </w:p>
        </w:tc>
        <w:tc>
          <w:tcPr>
            <w:tcW w:w="1704" w:type="dxa"/>
            <w:vAlign w:val="center"/>
          </w:tcPr>
          <w:p w14:paraId="32AD5B06"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3F89BCD0" w14:textId="77777777" w:rsidR="007075D9" w:rsidRPr="004D46AC" w:rsidRDefault="007075D9" w:rsidP="002C5F6E">
            <w:pPr>
              <w:spacing w:line="240" w:lineRule="auto"/>
              <w:ind w:firstLine="0"/>
            </w:pPr>
            <w:r w:rsidRPr="004D46AC">
              <w:rPr>
                <w:color w:val="000000"/>
                <w:szCs w:val="21"/>
              </w:rPr>
              <w:t xml:space="preserve">0.70 </w:t>
            </w:r>
          </w:p>
        </w:tc>
        <w:tc>
          <w:tcPr>
            <w:tcW w:w="1705" w:type="dxa"/>
            <w:vAlign w:val="center"/>
          </w:tcPr>
          <w:p w14:paraId="221D43EB"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216385FF" w14:textId="77777777">
        <w:tc>
          <w:tcPr>
            <w:tcW w:w="1704" w:type="dxa"/>
            <w:vAlign w:val="center"/>
          </w:tcPr>
          <w:p w14:paraId="79490D6C" w14:textId="77777777" w:rsidR="007075D9" w:rsidRPr="004D46AC" w:rsidRDefault="007075D9" w:rsidP="002C5F6E">
            <w:pPr>
              <w:spacing w:line="240" w:lineRule="auto"/>
              <w:ind w:firstLine="0"/>
            </w:pPr>
            <w:r w:rsidRPr="004D46AC">
              <w:rPr>
                <w:color w:val="000000"/>
              </w:rPr>
              <w:t>TR3--TR15</w:t>
            </w:r>
          </w:p>
        </w:tc>
        <w:tc>
          <w:tcPr>
            <w:tcW w:w="1704" w:type="dxa"/>
            <w:vAlign w:val="center"/>
          </w:tcPr>
          <w:p w14:paraId="0294E61E" w14:textId="77777777" w:rsidR="007075D9" w:rsidRPr="004D46AC" w:rsidRDefault="007075D9" w:rsidP="002C5F6E">
            <w:pPr>
              <w:spacing w:line="240" w:lineRule="auto"/>
              <w:ind w:firstLine="0"/>
            </w:pPr>
            <w:r w:rsidRPr="004D46AC">
              <w:rPr>
                <w:color w:val="000000"/>
                <w:szCs w:val="21"/>
              </w:rPr>
              <w:t xml:space="preserve">0.35 </w:t>
            </w:r>
          </w:p>
        </w:tc>
        <w:tc>
          <w:tcPr>
            <w:tcW w:w="1704" w:type="dxa"/>
            <w:vAlign w:val="center"/>
          </w:tcPr>
          <w:p w14:paraId="254CC65F"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0D62EA35" w14:textId="77777777" w:rsidR="007075D9" w:rsidRPr="004D46AC" w:rsidRDefault="007075D9" w:rsidP="002C5F6E">
            <w:pPr>
              <w:spacing w:line="240" w:lineRule="auto"/>
              <w:ind w:firstLine="0"/>
            </w:pPr>
            <w:r w:rsidRPr="004D46AC">
              <w:rPr>
                <w:color w:val="000000"/>
                <w:szCs w:val="21"/>
              </w:rPr>
              <w:t xml:space="preserve">0.70 </w:t>
            </w:r>
          </w:p>
        </w:tc>
        <w:tc>
          <w:tcPr>
            <w:tcW w:w="1705" w:type="dxa"/>
            <w:vAlign w:val="center"/>
          </w:tcPr>
          <w:p w14:paraId="26BFA682"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4824EF73" w14:textId="77777777">
        <w:tc>
          <w:tcPr>
            <w:tcW w:w="1704" w:type="dxa"/>
            <w:vAlign w:val="center"/>
          </w:tcPr>
          <w:p w14:paraId="02184708" w14:textId="77777777" w:rsidR="007075D9" w:rsidRPr="004D46AC" w:rsidRDefault="007075D9" w:rsidP="002C5F6E">
            <w:pPr>
              <w:spacing w:line="240" w:lineRule="auto"/>
              <w:ind w:firstLine="0"/>
            </w:pPr>
            <w:r w:rsidRPr="004D46AC">
              <w:rPr>
                <w:color w:val="000000"/>
              </w:rPr>
              <w:t>TR3--TR13</w:t>
            </w:r>
          </w:p>
        </w:tc>
        <w:tc>
          <w:tcPr>
            <w:tcW w:w="1704" w:type="dxa"/>
            <w:vAlign w:val="center"/>
          </w:tcPr>
          <w:p w14:paraId="7869A4A4"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07DE2444"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7021F27B" w14:textId="77777777" w:rsidR="007075D9" w:rsidRPr="004D46AC" w:rsidRDefault="007075D9" w:rsidP="002C5F6E">
            <w:pPr>
              <w:spacing w:line="240" w:lineRule="auto"/>
              <w:ind w:firstLine="0"/>
            </w:pPr>
            <w:r w:rsidRPr="004D46AC">
              <w:rPr>
                <w:color w:val="000000"/>
                <w:szCs w:val="21"/>
              </w:rPr>
              <w:t xml:space="preserve">0.67 </w:t>
            </w:r>
          </w:p>
        </w:tc>
        <w:tc>
          <w:tcPr>
            <w:tcW w:w="1705" w:type="dxa"/>
            <w:vAlign w:val="center"/>
          </w:tcPr>
          <w:p w14:paraId="61605836" w14:textId="77777777" w:rsidR="007075D9" w:rsidRPr="004D46AC" w:rsidRDefault="007075D9" w:rsidP="002C5F6E">
            <w:pPr>
              <w:spacing w:line="240" w:lineRule="auto"/>
              <w:ind w:firstLine="0"/>
            </w:pPr>
            <w:r w:rsidRPr="004D46AC">
              <w:rPr>
                <w:color w:val="000000"/>
                <w:szCs w:val="21"/>
              </w:rPr>
              <w:t xml:space="preserve">0.11 </w:t>
            </w:r>
          </w:p>
        </w:tc>
      </w:tr>
      <w:tr w:rsidR="007075D9" w:rsidRPr="004D46AC" w14:paraId="3161F107" w14:textId="77777777">
        <w:tc>
          <w:tcPr>
            <w:tcW w:w="1704" w:type="dxa"/>
            <w:vAlign w:val="center"/>
          </w:tcPr>
          <w:p w14:paraId="4C02F4D4" w14:textId="77777777" w:rsidR="007075D9" w:rsidRPr="004D46AC" w:rsidRDefault="007075D9" w:rsidP="002C5F6E">
            <w:pPr>
              <w:spacing w:line="240" w:lineRule="auto"/>
              <w:ind w:firstLine="0"/>
            </w:pPr>
            <w:r w:rsidRPr="004D46AC">
              <w:rPr>
                <w:color w:val="000000"/>
              </w:rPr>
              <w:t>TR18--TR33</w:t>
            </w:r>
          </w:p>
        </w:tc>
        <w:tc>
          <w:tcPr>
            <w:tcW w:w="1704" w:type="dxa"/>
            <w:vAlign w:val="center"/>
          </w:tcPr>
          <w:p w14:paraId="287751FE"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0491431C"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53C847BC" w14:textId="77777777" w:rsidR="007075D9" w:rsidRPr="004D46AC" w:rsidRDefault="007075D9" w:rsidP="002C5F6E">
            <w:pPr>
              <w:spacing w:line="240" w:lineRule="auto"/>
              <w:ind w:firstLine="0"/>
            </w:pPr>
            <w:r w:rsidRPr="004D46AC">
              <w:rPr>
                <w:color w:val="000000"/>
                <w:szCs w:val="21"/>
              </w:rPr>
              <w:t xml:space="preserve">0.70 </w:t>
            </w:r>
          </w:p>
        </w:tc>
        <w:tc>
          <w:tcPr>
            <w:tcW w:w="1705" w:type="dxa"/>
            <w:vAlign w:val="center"/>
          </w:tcPr>
          <w:p w14:paraId="4574EAD6"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578FD2E6" w14:textId="77777777">
        <w:tc>
          <w:tcPr>
            <w:tcW w:w="1704" w:type="dxa"/>
            <w:vAlign w:val="center"/>
          </w:tcPr>
          <w:p w14:paraId="156878DB" w14:textId="77777777" w:rsidR="007075D9" w:rsidRPr="004D46AC" w:rsidRDefault="007075D9" w:rsidP="002C5F6E">
            <w:pPr>
              <w:spacing w:line="240" w:lineRule="auto"/>
              <w:ind w:firstLine="0"/>
            </w:pPr>
            <w:r w:rsidRPr="004D46AC">
              <w:rPr>
                <w:color w:val="000000"/>
              </w:rPr>
              <w:t>TR26--TR18</w:t>
            </w:r>
          </w:p>
        </w:tc>
        <w:tc>
          <w:tcPr>
            <w:tcW w:w="1704" w:type="dxa"/>
            <w:vAlign w:val="center"/>
          </w:tcPr>
          <w:p w14:paraId="63F11ED5"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3438B0D7"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7DE4EB50" w14:textId="77777777" w:rsidR="007075D9" w:rsidRPr="004D46AC" w:rsidRDefault="007075D9" w:rsidP="002C5F6E">
            <w:pPr>
              <w:spacing w:line="240" w:lineRule="auto"/>
              <w:ind w:firstLine="0"/>
            </w:pPr>
            <w:r w:rsidRPr="004D46AC">
              <w:rPr>
                <w:color w:val="000000"/>
                <w:szCs w:val="21"/>
              </w:rPr>
              <w:t xml:space="preserve">0.69 </w:t>
            </w:r>
          </w:p>
        </w:tc>
        <w:tc>
          <w:tcPr>
            <w:tcW w:w="1705" w:type="dxa"/>
            <w:vAlign w:val="center"/>
          </w:tcPr>
          <w:p w14:paraId="522459A4"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1242F68D" w14:textId="77777777">
        <w:tc>
          <w:tcPr>
            <w:tcW w:w="1704" w:type="dxa"/>
            <w:vAlign w:val="center"/>
          </w:tcPr>
          <w:p w14:paraId="439AB817" w14:textId="77777777" w:rsidR="007075D9" w:rsidRPr="004D46AC" w:rsidRDefault="007075D9" w:rsidP="002C5F6E">
            <w:pPr>
              <w:spacing w:line="240" w:lineRule="auto"/>
              <w:ind w:firstLine="0"/>
            </w:pPr>
            <w:r w:rsidRPr="004D46AC">
              <w:rPr>
                <w:color w:val="000000"/>
              </w:rPr>
              <w:lastRenderedPageBreak/>
              <w:t>TR34--TR17</w:t>
            </w:r>
          </w:p>
        </w:tc>
        <w:tc>
          <w:tcPr>
            <w:tcW w:w="1704" w:type="dxa"/>
            <w:vAlign w:val="center"/>
          </w:tcPr>
          <w:p w14:paraId="219531D5"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73A58C4C"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31042A3C" w14:textId="77777777" w:rsidR="007075D9" w:rsidRPr="004D46AC" w:rsidRDefault="007075D9" w:rsidP="002C5F6E">
            <w:pPr>
              <w:spacing w:line="240" w:lineRule="auto"/>
              <w:ind w:firstLine="0"/>
            </w:pPr>
            <w:r w:rsidRPr="004D46AC">
              <w:rPr>
                <w:color w:val="000000"/>
                <w:szCs w:val="21"/>
              </w:rPr>
              <w:t xml:space="preserve">0.67 </w:t>
            </w:r>
          </w:p>
        </w:tc>
        <w:tc>
          <w:tcPr>
            <w:tcW w:w="1705" w:type="dxa"/>
            <w:vAlign w:val="center"/>
          </w:tcPr>
          <w:p w14:paraId="07D5058F"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196B8D63" w14:textId="77777777">
        <w:tc>
          <w:tcPr>
            <w:tcW w:w="1704" w:type="dxa"/>
            <w:vAlign w:val="center"/>
          </w:tcPr>
          <w:p w14:paraId="2DF92A28" w14:textId="77777777" w:rsidR="007075D9" w:rsidRPr="004D46AC" w:rsidRDefault="007075D9" w:rsidP="002C5F6E">
            <w:pPr>
              <w:spacing w:line="240" w:lineRule="auto"/>
              <w:ind w:firstLine="0"/>
            </w:pPr>
            <w:r w:rsidRPr="004D46AC">
              <w:rPr>
                <w:color w:val="000000"/>
              </w:rPr>
              <w:t>TR21--TR37</w:t>
            </w:r>
          </w:p>
        </w:tc>
        <w:tc>
          <w:tcPr>
            <w:tcW w:w="1704" w:type="dxa"/>
            <w:vAlign w:val="center"/>
          </w:tcPr>
          <w:p w14:paraId="4AD31D71"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201D5AE2"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213459FC"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706CCFC4" w14:textId="77777777" w:rsidR="007075D9" w:rsidRPr="004D46AC" w:rsidRDefault="007075D9" w:rsidP="002C5F6E">
            <w:pPr>
              <w:spacing w:line="240" w:lineRule="auto"/>
              <w:ind w:firstLine="0"/>
            </w:pPr>
            <w:r w:rsidRPr="004D46AC">
              <w:rPr>
                <w:color w:val="000000"/>
                <w:szCs w:val="21"/>
              </w:rPr>
              <w:t xml:space="preserve">0.04 </w:t>
            </w:r>
          </w:p>
        </w:tc>
      </w:tr>
      <w:tr w:rsidR="007075D9" w:rsidRPr="004D46AC" w14:paraId="47E28A0E" w14:textId="77777777">
        <w:tc>
          <w:tcPr>
            <w:tcW w:w="1704" w:type="dxa"/>
            <w:vAlign w:val="center"/>
          </w:tcPr>
          <w:p w14:paraId="4E1BDA1E" w14:textId="77777777" w:rsidR="007075D9" w:rsidRPr="004D46AC" w:rsidRDefault="007075D9" w:rsidP="002C5F6E">
            <w:pPr>
              <w:spacing w:line="240" w:lineRule="auto"/>
              <w:ind w:firstLine="0"/>
            </w:pPr>
            <w:r w:rsidRPr="004D46AC">
              <w:rPr>
                <w:color w:val="000000"/>
              </w:rPr>
              <w:t>TR17--TR22</w:t>
            </w:r>
          </w:p>
        </w:tc>
        <w:tc>
          <w:tcPr>
            <w:tcW w:w="1704" w:type="dxa"/>
            <w:vAlign w:val="center"/>
          </w:tcPr>
          <w:p w14:paraId="1D8B91DC"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0E675A0D"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2DF64FE2"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5D635C8E"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76D6A0F0" w14:textId="77777777">
        <w:tc>
          <w:tcPr>
            <w:tcW w:w="1704" w:type="dxa"/>
            <w:vAlign w:val="center"/>
          </w:tcPr>
          <w:p w14:paraId="58D70617" w14:textId="77777777" w:rsidR="007075D9" w:rsidRPr="004D46AC" w:rsidRDefault="007075D9" w:rsidP="002C5F6E">
            <w:pPr>
              <w:spacing w:line="240" w:lineRule="auto"/>
              <w:ind w:firstLine="0"/>
            </w:pPr>
            <w:r w:rsidRPr="004D46AC">
              <w:rPr>
                <w:color w:val="000000"/>
              </w:rPr>
              <w:t>TR37--TR17</w:t>
            </w:r>
          </w:p>
        </w:tc>
        <w:tc>
          <w:tcPr>
            <w:tcW w:w="1704" w:type="dxa"/>
            <w:vAlign w:val="center"/>
          </w:tcPr>
          <w:p w14:paraId="4C117360" w14:textId="77777777" w:rsidR="007075D9" w:rsidRPr="004D46AC" w:rsidRDefault="007075D9" w:rsidP="002C5F6E">
            <w:pPr>
              <w:spacing w:line="240" w:lineRule="auto"/>
              <w:ind w:firstLine="0"/>
            </w:pPr>
            <w:r w:rsidRPr="004D46AC">
              <w:rPr>
                <w:color w:val="000000"/>
                <w:szCs w:val="21"/>
              </w:rPr>
              <w:t xml:space="preserve">0.34 </w:t>
            </w:r>
          </w:p>
        </w:tc>
        <w:tc>
          <w:tcPr>
            <w:tcW w:w="1704" w:type="dxa"/>
            <w:vAlign w:val="center"/>
          </w:tcPr>
          <w:p w14:paraId="54840D9B"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690AC414" w14:textId="77777777" w:rsidR="007075D9" w:rsidRPr="004D46AC" w:rsidRDefault="007075D9" w:rsidP="002C5F6E">
            <w:pPr>
              <w:spacing w:line="240" w:lineRule="auto"/>
              <w:ind w:firstLine="0"/>
            </w:pPr>
            <w:r w:rsidRPr="004D46AC">
              <w:rPr>
                <w:color w:val="000000"/>
                <w:szCs w:val="21"/>
              </w:rPr>
              <w:t xml:space="preserve">0.69 </w:t>
            </w:r>
          </w:p>
        </w:tc>
        <w:tc>
          <w:tcPr>
            <w:tcW w:w="1705" w:type="dxa"/>
            <w:vAlign w:val="center"/>
          </w:tcPr>
          <w:p w14:paraId="5D112C20" w14:textId="77777777" w:rsidR="007075D9" w:rsidRPr="004D46AC" w:rsidRDefault="007075D9" w:rsidP="002C5F6E">
            <w:pPr>
              <w:spacing w:line="240" w:lineRule="auto"/>
              <w:ind w:firstLine="0"/>
            </w:pPr>
            <w:r w:rsidRPr="004D46AC">
              <w:rPr>
                <w:color w:val="000000"/>
                <w:szCs w:val="21"/>
              </w:rPr>
              <w:t xml:space="preserve">0.05 </w:t>
            </w:r>
          </w:p>
        </w:tc>
      </w:tr>
      <w:tr w:rsidR="007075D9" w:rsidRPr="004D46AC" w14:paraId="09DC1328" w14:textId="77777777">
        <w:tc>
          <w:tcPr>
            <w:tcW w:w="1704" w:type="dxa"/>
            <w:vAlign w:val="center"/>
          </w:tcPr>
          <w:p w14:paraId="22E904CF" w14:textId="77777777" w:rsidR="007075D9" w:rsidRPr="004D46AC" w:rsidRDefault="007075D9" w:rsidP="002C5F6E">
            <w:pPr>
              <w:spacing w:line="240" w:lineRule="auto"/>
              <w:ind w:firstLine="0"/>
            </w:pPr>
            <w:r w:rsidRPr="004D46AC">
              <w:rPr>
                <w:color w:val="000000"/>
              </w:rPr>
              <w:t>TR20--TR22</w:t>
            </w:r>
          </w:p>
        </w:tc>
        <w:tc>
          <w:tcPr>
            <w:tcW w:w="1704" w:type="dxa"/>
            <w:vAlign w:val="center"/>
          </w:tcPr>
          <w:p w14:paraId="606A4925" w14:textId="77777777" w:rsidR="007075D9" w:rsidRPr="004D46AC" w:rsidRDefault="007075D9" w:rsidP="002C5F6E">
            <w:pPr>
              <w:spacing w:line="240" w:lineRule="auto"/>
              <w:ind w:firstLine="0"/>
            </w:pPr>
            <w:r w:rsidRPr="004D46AC">
              <w:rPr>
                <w:color w:val="000000"/>
                <w:szCs w:val="21"/>
              </w:rPr>
              <w:t xml:space="preserve">0.33 </w:t>
            </w:r>
          </w:p>
        </w:tc>
        <w:tc>
          <w:tcPr>
            <w:tcW w:w="1704" w:type="dxa"/>
            <w:vAlign w:val="center"/>
          </w:tcPr>
          <w:p w14:paraId="68850960" w14:textId="77777777" w:rsidR="007075D9" w:rsidRPr="004D46AC" w:rsidRDefault="007075D9" w:rsidP="002C5F6E">
            <w:pPr>
              <w:spacing w:line="240" w:lineRule="auto"/>
              <w:ind w:firstLine="0"/>
            </w:pPr>
            <w:r w:rsidRPr="004D46AC">
              <w:rPr>
                <w:color w:val="000000"/>
                <w:szCs w:val="21"/>
              </w:rPr>
              <w:t xml:space="preserve">-0.00 </w:t>
            </w:r>
          </w:p>
        </w:tc>
        <w:tc>
          <w:tcPr>
            <w:tcW w:w="1705" w:type="dxa"/>
            <w:vAlign w:val="center"/>
          </w:tcPr>
          <w:p w14:paraId="52C58828" w14:textId="77777777" w:rsidR="007075D9" w:rsidRPr="004D46AC" w:rsidRDefault="007075D9" w:rsidP="002C5F6E">
            <w:pPr>
              <w:spacing w:line="240" w:lineRule="auto"/>
              <w:ind w:firstLine="0"/>
            </w:pPr>
            <w:r w:rsidRPr="004D46AC">
              <w:rPr>
                <w:color w:val="000000"/>
                <w:szCs w:val="21"/>
              </w:rPr>
              <w:t xml:space="preserve">0.67 </w:t>
            </w:r>
          </w:p>
        </w:tc>
        <w:tc>
          <w:tcPr>
            <w:tcW w:w="1705" w:type="dxa"/>
            <w:vAlign w:val="center"/>
          </w:tcPr>
          <w:p w14:paraId="7F055007"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5AEE3608" w14:textId="77777777">
        <w:tc>
          <w:tcPr>
            <w:tcW w:w="1704" w:type="dxa"/>
            <w:vAlign w:val="center"/>
          </w:tcPr>
          <w:p w14:paraId="5AD7ADB0" w14:textId="77777777" w:rsidR="007075D9" w:rsidRPr="004D46AC" w:rsidRDefault="007075D9" w:rsidP="002C5F6E">
            <w:pPr>
              <w:spacing w:line="240" w:lineRule="auto"/>
              <w:ind w:firstLine="0"/>
            </w:pPr>
            <w:r w:rsidRPr="004D46AC">
              <w:rPr>
                <w:color w:val="000000"/>
              </w:rPr>
              <w:t>TR15--TR23</w:t>
            </w:r>
          </w:p>
        </w:tc>
        <w:tc>
          <w:tcPr>
            <w:tcW w:w="1704" w:type="dxa"/>
            <w:vAlign w:val="center"/>
          </w:tcPr>
          <w:p w14:paraId="1F2F0FB5" w14:textId="77777777" w:rsidR="007075D9" w:rsidRPr="004D46AC" w:rsidRDefault="007075D9" w:rsidP="002C5F6E">
            <w:pPr>
              <w:spacing w:line="240" w:lineRule="auto"/>
              <w:ind w:firstLine="0"/>
            </w:pPr>
            <w:r w:rsidRPr="004D46AC">
              <w:rPr>
                <w:color w:val="000000"/>
                <w:szCs w:val="21"/>
              </w:rPr>
              <w:t xml:space="preserve">0.33 </w:t>
            </w:r>
          </w:p>
        </w:tc>
        <w:tc>
          <w:tcPr>
            <w:tcW w:w="1704" w:type="dxa"/>
            <w:vAlign w:val="center"/>
          </w:tcPr>
          <w:p w14:paraId="6B7A5344"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4ED9409A" w14:textId="77777777" w:rsidR="007075D9" w:rsidRPr="004D46AC" w:rsidRDefault="007075D9" w:rsidP="002C5F6E">
            <w:pPr>
              <w:spacing w:line="240" w:lineRule="auto"/>
              <w:ind w:firstLine="0"/>
            </w:pPr>
            <w:r w:rsidRPr="004D46AC">
              <w:rPr>
                <w:color w:val="000000"/>
                <w:szCs w:val="21"/>
              </w:rPr>
              <w:t xml:space="preserve">0.69 </w:t>
            </w:r>
          </w:p>
        </w:tc>
        <w:tc>
          <w:tcPr>
            <w:tcW w:w="1705" w:type="dxa"/>
            <w:vAlign w:val="center"/>
          </w:tcPr>
          <w:p w14:paraId="7F90392B" w14:textId="77777777" w:rsidR="007075D9" w:rsidRPr="004D46AC" w:rsidRDefault="007075D9" w:rsidP="002C5F6E">
            <w:pPr>
              <w:spacing w:line="240" w:lineRule="auto"/>
              <w:ind w:firstLine="0"/>
            </w:pPr>
            <w:r w:rsidRPr="004D46AC">
              <w:rPr>
                <w:color w:val="000000"/>
                <w:szCs w:val="21"/>
              </w:rPr>
              <w:t xml:space="preserve">0.03 </w:t>
            </w:r>
          </w:p>
        </w:tc>
      </w:tr>
      <w:tr w:rsidR="007075D9" w:rsidRPr="004D46AC" w14:paraId="0D18C86E" w14:textId="77777777">
        <w:tc>
          <w:tcPr>
            <w:tcW w:w="1704" w:type="dxa"/>
            <w:vAlign w:val="center"/>
          </w:tcPr>
          <w:p w14:paraId="7F9BC438" w14:textId="77777777" w:rsidR="007075D9" w:rsidRPr="004D46AC" w:rsidRDefault="007075D9" w:rsidP="002C5F6E">
            <w:pPr>
              <w:spacing w:line="240" w:lineRule="auto"/>
              <w:ind w:firstLine="0"/>
            </w:pPr>
            <w:r w:rsidRPr="004D46AC">
              <w:rPr>
                <w:color w:val="000000"/>
              </w:rPr>
              <w:t>TR26--TR34</w:t>
            </w:r>
          </w:p>
        </w:tc>
        <w:tc>
          <w:tcPr>
            <w:tcW w:w="1704" w:type="dxa"/>
            <w:vAlign w:val="center"/>
          </w:tcPr>
          <w:p w14:paraId="15C38717" w14:textId="77777777" w:rsidR="007075D9" w:rsidRPr="004D46AC" w:rsidRDefault="007075D9" w:rsidP="002C5F6E">
            <w:pPr>
              <w:spacing w:line="240" w:lineRule="auto"/>
              <w:ind w:firstLine="0"/>
            </w:pPr>
            <w:r w:rsidRPr="004D46AC">
              <w:rPr>
                <w:color w:val="000000"/>
                <w:szCs w:val="21"/>
              </w:rPr>
              <w:t xml:space="preserve">0.33 </w:t>
            </w:r>
          </w:p>
        </w:tc>
        <w:tc>
          <w:tcPr>
            <w:tcW w:w="1704" w:type="dxa"/>
            <w:vAlign w:val="center"/>
          </w:tcPr>
          <w:p w14:paraId="092242D1" w14:textId="77777777" w:rsidR="007075D9" w:rsidRPr="004D46AC" w:rsidRDefault="007075D9" w:rsidP="002C5F6E">
            <w:pPr>
              <w:spacing w:line="240" w:lineRule="auto"/>
              <w:ind w:firstLine="0"/>
            </w:pPr>
            <w:r w:rsidRPr="004D46AC">
              <w:rPr>
                <w:color w:val="000000"/>
                <w:szCs w:val="21"/>
              </w:rPr>
              <w:t xml:space="preserve">-0.01 </w:t>
            </w:r>
          </w:p>
        </w:tc>
        <w:tc>
          <w:tcPr>
            <w:tcW w:w="1705" w:type="dxa"/>
            <w:vAlign w:val="center"/>
          </w:tcPr>
          <w:p w14:paraId="026A0E04"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39A86ADF"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0767930F" w14:textId="77777777">
        <w:tc>
          <w:tcPr>
            <w:tcW w:w="1704" w:type="dxa"/>
            <w:vAlign w:val="center"/>
          </w:tcPr>
          <w:p w14:paraId="0ACDDF28" w14:textId="77777777" w:rsidR="007075D9" w:rsidRPr="004D46AC" w:rsidRDefault="007075D9" w:rsidP="002C5F6E">
            <w:pPr>
              <w:spacing w:line="240" w:lineRule="auto"/>
              <w:ind w:firstLine="0"/>
            </w:pPr>
            <w:r w:rsidRPr="004D46AC">
              <w:rPr>
                <w:color w:val="000000"/>
              </w:rPr>
              <w:t>TR15--TR21</w:t>
            </w:r>
          </w:p>
        </w:tc>
        <w:tc>
          <w:tcPr>
            <w:tcW w:w="1704" w:type="dxa"/>
            <w:vAlign w:val="center"/>
          </w:tcPr>
          <w:p w14:paraId="16F6C80B" w14:textId="77777777" w:rsidR="007075D9" w:rsidRPr="004D46AC" w:rsidRDefault="007075D9" w:rsidP="002C5F6E">
            <w:pPr>
              <w:spacing w:line="240" w:lineRule="auto"/>
              <w:ind w:firstLine="0"/>
            </w:pPr>
            <w:r w:rsidRPr="004D46AC">
              <w:rPr>
                <w:color w:val="000000"/>
                <w:szCs w:val="21"/>
              </w:rPr>
              <w:t xml:space="preserve">0.32 </w:t>
            </w:r>
          </w:p>
        </w:tc>
        <w:tc>
          <w:tcPr>
            <w:tcW w:w="1704" w:type="dxa"/>
            <w:vAlign w:val="center"/>
          </w:tcPr>
          <w:p w14:paraId="1464FE8D" w14:textId="77777777" w:rsidR="007075D9" w:rsidRPr="004D46AC" w:rsidRDefault="007075D9" w:rsidP="002C5F6E">
            <w:pPr>
              <w:spacing w:line="240" w:lineRule="auto"/>
              <w:ind w:firstLine="0"/>
            </w:pPr>
            <w:r w:rsidRPr="004D46AC">
              <w:rPr>
                <w:color w:val="000000"/>
                <w:szCs w:val="21"/>
              </w:rPr>
              <w:t xml:space="preserve">-0.02 </w:t>
            </w:r>
          </w:p>
        </w:tc>
        <w:tc>
          <w:tcPr>
            <w:tcW w:w="1705" w:type="dxa"/>
            <w:vAlign w:val="center"/>
          </w:tcPr>
          <w:p w14:paraId="018635AD" w14:textId="77777777" w:rsidR="007075D9" w:rsidRPr="004D46AC" w:rsidRDefault="007075D9" w:rsidP="002C5F6E">
            <w:pPr>
              <w:spacing w:line="240" w:lineRule="auto"/>
              <w:ind w:firstLine="0"/>
            </w:pPr>
            <w:r w:rsidRPr="004D46AC">
              <w:rPr>
                <w:color w:val="000000"/>
                <w:szCs w:val="21"/>
              </w:rPr>
              <w:t xml:space="preserve">0.66 </w:t>
            </w:r>
          </w:p>
        </w:tc>
        <w:tc>
          <w:tcPr>
            <w:tcW w:w="1705" w:type="dxa"/>
            <w:vAlign w:val="center"/>
          </w:tcPr>
          <w:p w14:paraId="14C5E825"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2B194C4B" w14:textId="77777777">
        <w:tc>
          <w:tcPr>
            <w:tcW w:w="1704" w:type="dxa"/>
            <w:vAlign w:val="center"/>
          </w:tcPr>
          <w:p w14:paraId="2B816D98" w14:textId="77777777" w:rsidR="007075D9" w:rsidRPr="004D46AC" w:rsidRDefault="007075D9" w:rsidP="002C5F6E">
            <w:pPr>
              <w:spacing w:line="240" w:lineRule="auto"/>
              <w:ind w:firstLine="0"/>
            </w:pPr>
            <w:r w:rsidRPr="004D46AC">
              <w:rPr>
                <w:color w:val="000000"/>
              </w:rPr>
              <w:t>TR23--TR26</w:t>
            </w:r>
          </w:p>
        </w:tc>
        <w:tc>
          <w:tcPr>
            <w:tcW w:w="1704" w:type="dxa"/>
            <w:vAlign w:val="center"/>
          </w:tcPr>
          <w:p w14:paraId="1F5638D3"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49CEB541"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1A0C6275" w14:textId="77777777" w:rsidR="007075D9" w:rsidRPr="004D46AC" w:rsidRDefault="007075D9" w:rsidP="002C5F6E">
            <w:pPr>
              <w:spacing w:line="240" w:lineRule="auto"/>
              <w:ind w:firstLine="0"/>
            </w:pPr>
            <w:r w:rsidRPr="004D46AC">
              <w:rPr>
                <w:color w:val="000000"/>
                <w:szCs w:val="21"/>
              </w:rPr>
              <w:t xml:space="preserve">0.65 </w:t>
            </w:r>
          </w:p>
        </w:tc>
        <w:tc>
          <w:tcPr>
            <w:tcW w:w="1705" w:type="dxa"/>
            <w:vAlign w:val="center"/>
          </w:tcPr>
          <w:p w14:paraId="6829EA95"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20BDF1DA" w14:textId="77777777">
        <w:tc>
          <w:tcPr>
            <w:tcW w:w="1704" w:type="dxa"/>
            <w:vAlign w:val="center"/>
          </w:tcPr>
          <w:p w14:paraId="04909DE2" w14:textId="77777777" w:rsidR="007075D9" w:rsidRPr="004D46AC" w:rsidRDefault="007075D9" w:rsidP="002C5F6E">
            <w:pPr>
              <w:spacing w:line="240" w:lineRule="auto"/>
              <w:ind w:firstLine="0"/>
            </w:pPr>
            <w:r w:rsidRPr="004D46AC">
              <w:rPr>
                <w:color w:val="000000"/>
              </w:rPr>
              <w:t>TR37--TR20</w:t>
            </w:r>
          </w:p>
        </w:tc>
        <w:tc>
          <w:tcPr>
            <w:tcW w:w="1704" w:type="dxa"/>
            <w:vAlign w:val="center"/>
          </w:tcPr>
          <w:p w14:paraId="3B05A944"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633B5816"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76AF41A5"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3C76483C" w14:textId="77777777" w:rsidR="007075D9" w:rsidRPr="004D46AC" w:rsidRDefault="007075D9" w:rsidP="002C5F6E">
            <w:pPr>
              <w:spacing w:line="240" w:lineRule="auto"/>
              <w:ind w:firstLine="0"/>
            </w:pPr>
            <w:r w:rsidRPr="004D46AC">
              <w:rPr>
                <w:color w:val="000000"/>
                <w:szCs w:val="21"/>
              </w:rPr>
              <w:t xml:space="preserve">0.12 </w:t>
            </w:r>
          </w:p>
        </w:tc>
      </w:tr>
      <w:tr w:rsidR="007075D9" w:rsidRPr="004D46AC" w14:paraId="7ADA52BD" w14:textId="77777777">
        <w:tc>
          <w:tcPr>
            <w:tcW w:w="1704" w:type="dxa"/>
            <w:vAlign w:val="center"/>
          </w:tcPr>
          <w:p w14:paraId="31F3F9AF" w14:textId="77777777" w:rsidR="007075D9" w:rsidRPr="004D46AC" w:rsidRDefault="007075D9" w:rsidP="002C5F6E">
            <w:pPr>
              <w:spacing w:line="240" w:lineRule="auto"/>
              <w:ind w:firstLine="0"/>
            </w:pPr>
            <w:r w:rsidRPr="004D46AC">
              <w:rPr>
                <w:color w:val="000000"/>
              </w:rPr>
              <w:t>TR9--TR29</w:t>
            </w:r>
          </w:p>
        </w:tc>
        <w:tc>
          <w:tcPr>
            <w:tcW w:w="1704" w:type="dxa"/>
            <w:vAlign w:val="center"/>
          </w:tcPr>
          <w:p w14:paraId="77BE7EF8" w14:textId="77777777" w:rsidR="007075D9" w:rsidRPr="004D46AC" w:rsidRDefault="007075D9" w:rsidP="002C5F6E">
            <w:pPr>
              <w:spacing w:line="240" w:lineRule="auto"/>
              <w:ind w:firstLine="0"/>
            </w:pPr>
            <w:r w:rsidRPr="004D46AC">
              <w:rPr>
                <w:color w:val="000000"/>
                <w:szCs w:val="21"/>
              </w:rPr>
              <w:t xml:space="preserve">0.30 </w:t>
            </w:r>
          </w:p>
        </w:tc>
        <w:tc>
          <w:tcPr>
            <w:tcW w:w="1704" w:type="dxa"/>
            <w:vAlign w:val="center"/>
          </w:tcPr>
          <w:p w14:paraId="6219EC79"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1791CBE1" w14:textId="77777777" w:rsidR="007075D9" w:rsidRPr="004D46AC" w:rsidRDefault="007075D9" w:rsidP="002C5F6E">
            <w:pPr>
              <w:spacing w:line="240" w:lineRule="auto"/>
              <w:ind w:firstLine="0"/>
            </w:pPr>
            <w:r w:rsidRPr="004D46AC">
              <w:rPr>
                <w:color w:val="000000"/>
                <w:szCs w:val="21"/>
              </w:rPr>
              <w:t xml:space="preserve">0.65 </w:t>
            </w:r>
          </w:p>
        </w:tc>
        <w:tc>
          <w:tcPr>
            <w:tcW w:w="1705" w:type="dxa"/>
            <w:vAlign w:val="center"/>
          </w:tcPr>
          <w:p w14:paraId="4F473C1F" w14:textId="77777777" w:rsidR="007075D9" w:rsidRPr="004D46AC" w:rsidRDefault="007075D9" w:rsidP="002C5F6E">
            <w:pPr>
              <w:spacing w:line="240" w:lineRule="auto"/>
              <w:ind w:firstLine="0"/>
            </w:pPr>
            <w:r w:rsidRPr="004D46AC">
              <w:rPr>
                <w:color w:val="000000"/>
                <w:szCs w:val="21"/>
              </w:rPr>
              <w:t xml:space="preserve">0.13 </w:t>
            </w:r>
          </w:p>
        </w:tc>
      </w:tr>
      <w:tr w:rsidR="007075D9" w:rsidRPr="004D46AC" w14:paraId="2B7CE152" w14:textId="77777777">
        <w:tc>
          <w:tcPr>
            <w:tcW w:w="1704" w:type="dxa"/>
            <w:vAlign w:val="center"/>
          </w:tcPr>
          <w:p w14:paraId="24A528EE" w14:textId="77777777" w:rsidR="007075D9" w:rsidRPr="004D46AC" w:rsidRDefault="007075D9" w:rsidP="002C5F6E">
            <w:pPr>
              <w:spacing w:line="240" w:lineRule="auto"/>
              <w:ind w:firstLine="0"/>
            </w:pPr>
            <w:r w:rsidRPr="004D46AC">
              <w:rPr>
                <w:color w:val="000000"/>
              </w:rPr>
              <w:t>TR16--TR22</w:t>
            </w:r>
          </w:p>
        </w:tc>
        <w:tc>
          <w:tcPr>
            <w:tcW w:w="1704" w:type="dxa"/>
            <w:vAlign w:val="center"/>
          </w:tcPr>
          <w:p w14:paraId="6F1FE722"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35F2F7CB"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4518E4B6"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670AFC45" w14:textId="77777777" w:rsidR="007075D9" w:rsidRPr="004D46AC" w:rsidRDefault="007075D9" w:rsidP="002C5F6E">
            <w:pPr>
              <w:spacing w:line="240" w:lineRule="auto"/>
              <w:ind w:firstLine="0"/>
            </w:pPr>
            <w:r w:rsidRPr="004D46AC">
              <w:rPr>
                <w:color w:val="000000"/>
                <w:szCs w:val="21"/>
              </w:rPr>
              <w:t xml:space="preserve">0.06 </w:t>
            </w:r>
          </w:p>
        </w:tc>
      </w:tr>
      <w:tr w:rsidR="007075D9" w:rsidRPr="004D46AC" w14:paraId="75BCD5E9" w14:textId="77777777">
        <w:tc>
          <w:tcPr>
            <w:tcW w:w="1704" w:type="dxa"/>
            <w:vAlign w:val="center"/>
          </w:tcPr>
          <w:p w14:paraId="70DCE319" w14:textId="77777777" w:rsidR="007075D9" w:rsidRPr="004D46AC" w:rsidRDefault="007075D9" w:rsidP="002C5F6E">
            <w:pPr>
              <w:spacing w:line="240" w:lineRule="auto"/>
              <w:ind w:firstLine="0"/>
            </w:pPr>
            <w:r w:rsidRPr="004D46AC">
              <w:rPr>
                <w:color w:val="000000"/>
              </w:rPr>
              <w:t>TR21--TR13</w:t>
            </w:r>
          </w:p>
        </w:tc>
        <w:tc>
          <w:tcPr>
            <w:tcW w:w="1704" w:type="dxa"/>
            <w:vAlign w:val="center"/>
          </w:tcPr>
          <w:p w14:paraId="65012DE4"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794A6EBF" w14:textId="77777777" w:rsidR="007075D9" w:rsidRPr="004D46AC" w:rsidRDefault="007075D9" w:rsidP="002C5F6E">
            <w:pPr>
              <w:spacing w:line="240" w:lineRule="auto"/>
              <w:ind w:firstLine="0"/>
            </w:pPr>
            <w:r w:rsidRPr="004D46AC">
              <w:rPr>
                <w:color w:val="000000"/>
                <w:szCs w:val="21"/>
              </w:rPr>
              <w:t xml:space="preserve">-0.04 </w:t>
            </w:r>
          </w:p>
        </w:tc>
        <w:tc>
          <w:tcPr>
            <w:tcW w:w="1705" w:type="dxa"/>
            <w:vAlign w:val="center"/>
          </w:tcPr>
          <w:p w14:paraId="37879D4F"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68AAA65B"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7526E6C7" w14:textId="77777777">
        <w:tc>
          <w:tcPr>
            <w:tcW w:w="1704" w:type="dxa"/>
            <w:vAlign w:val="center"/>
          </w:tcPr>
          <w:p w14:paraId="68673837" w14:textId="77777777" w:rsidR="007075D9" w:rsidRPr="004D46AC" w:rsidRDefault="007075D9" w:rsidP="002C5F6E">
            <w:pPr>
              <w:spacing w:line="240" w:lineRule="auto"/>
              <w:ind w:firstLine="0"/>
            </w:pPr>
            <w:r w:rsidRPr="004D46AC">
              <w:rPr>
                <w:color w:val="000000"/>
              </w:rPr>
              <w:t>TR17--TR13</w:t>
            </w:r>
          </w:p>
        </w:tc>
        <w:tc>
          <w:tcPr>
            <w:tcW w:w="1704" w:type="dxa"/>
            <w:vAlign w:val="center"/>
          </w:tcPr>
          <w:p w14:paraId="5AE47776"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09C7CFC6"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517A939B" w14:textId="77777777" w:rsidR="007075D9" w:rsidRPr="004D46AC" w:rsidRDefault="007075D9" w:rsidP="002C5F6E">
            <w:pPr>
              <w:spacing w:line="240" w:lineRule="auto"/>
              <w:ind w:firstLine="0"/>
            </w:pPr>
            <w:r w:rsidRPr="004D46AC">
              <w:rPr>
                <w:color w:val="000000"/>
                <w:szCs w:val="21"/>
              </w:rPr>
              <w:t xml:space="preserve">0.62 </w:t>
            </w:r>
          </w:p>
        </w:tc>
        <w:tc>
          <w:tcPr>
            <w:tcW w:w="1705" w:type="dxa"/>
            <w:vAlign w:val="center"/>
          </w:tcPr>
          <w:p w14:paraId="667D6F62"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1EEB44CD" w14:textId="77777777">
        <w:tc>
          <w:tcPr>
            <w:tcW w:w="1704" w:type="dxa"/>
            <w:vAlign w:val="center"/>
          </w:tcPr>
          <w:p w14:paraId="70705ADF" w14:textId="77777777" w:rsidR="007075D9" w:rsidRPr="004D46AC" w:rsidRDefault="007075D9" w:rsidP="002C5F6E">
            <w:pPr>
              <w:spacing w:line="240" w:lineRule="auto"/>
              <w:ind w:firstLine="0"/>
            </w:pPr>
            <w:r w:rsidRPr="004D46AC">
              <w:rPr>
                <w:color w:val="000000"/>
              </w:rPr>
              <w:t>TR13--TR20</w:t>
            </w:r>
          </w:p>
        </w:tc>
        <w:tc>
          <w:tcPr>
            <w:tcW w:w="1704" w:type="dxa"/>
            <w:vAlign w:val="center"/>
          </w:tcPr>
          <w:p w14:paraId="215B2383" w14:textId="77777777" w:rsidR="007075D9" w:rsidRPr="004D46AC" w:rsidRDefault="007075D9" w:rsidP="002C5F6E">
            <w:pPr>
              <w:spacing w:line="240" w:lineRule="auto"/>
              <w:ind w:firstLine="0"/>
            </w:pPr>
            <w:r w:rsidRPr="004D46AC">
              <w:rPr>
                <w:color w:val="000000"/>
                <w:szCs w:val="21"/>
              </w:rPr>
              <w:t xml:space="preserve">0.29 </w:t>
            </w:r>
          </w:p>
        </w:tc>
        <w:tc>
          <w:tcPr>
            <w:tcW w:w="1704" w:type="dxa"/>
            <w:vAlign w:val="center"/>
          </w:tcPr>
          <w:p w14:paraId="406E0DDD" w14:textId="77777777" w:rsidR="007075D9" w:rsidRPr="004D46AC" w:rsidRDefault="007075D9" w:rsidP="002C5F6E">
            <w:pPr>
              <w:spacing w:line="240" w:lineRule="auto"/>
              <w:ind w:firstLine="0"/>
            </w:pPr>
            <w:r w:rsidRPr="004D46AC">
              <w:rPr>
                <w:color w:val="000000"/>
                <w:szCs w:val="21"/>
              </w:rPr>
              <w:t xml:space="preserve">-0.03 </w:t>
            </w:r>
          </w:p>
        </w:tc>
        <w:tc>
          <w:tcPr>
            <w:tcW w:w="1705" w:type="dxa"/>
            <w:vAlign w:val="center"/>
          </w:tcPr>
          <w:p w14:paraId="5916B6BE"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576D8099" w14:textId="77777777" w:rsidR="007075D9" w:rsidRPr="004D46AC" w:rsidRDefault="007075D9" w:rsidP="002C5F6E">
            <w:pPr>
              <w:spacing w:line="240" w:lineRule="auto"/>
              <w:ind w:firstLine="0"/>
            </w:pPr>
            <w:r w:rsidRPr="004D46AC">
              <w:rPr>
                <w:color w:val="000000"/>
                <w:szCs w:val="21"/>
              </w:rPr>
              <w:t xml:space="preserve">0.10 </w:t>
            </w:r>
          </w:p>
        </w:tc>
      </w:tr>
      <w:tr w:rsidR="007075D9" w:rsidRPr="004D46AC" w14:paraId="321A7C63" w14:textId="77777777">
        <w:tc>
          <w:tcPr>
            <w:tcW w:w="1704" w:type="dxa"/>
            <w:vAlign w:val="center"/>
          </w:tcPr>
          <w:p w14:paraId="42BB306F" w14:textId="77777777" w:rsidR="007075D9" w:rsidRPr="004D46AC" w:rsidRDefault="007075D9" w:rsidP="002C5F6E">
            <w:pPr>
              <w:spacing w:line="240" w:lineRule="auto"/>
              <w:ind w:firstLine="0"/>
            </w:pPr>
            <w:r w:rsidRPr="004D46AC">
              <w:rPr>
                <w:color w:val="000000"/>
              </w:rPr>
              <w:t>TR15--TR19</w:t>
            </w:r>
          </w:p>
        </w:tc>
        <w:tc>
          <w:tcPr>
            <w:tcW w:w="1704" w:type="dxa"/>
            <w:vAlign w:val="center"/>
          </w:tcPr>
          <w:p w14:paraId="223DE280"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3B27099D"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63A89FF4" w14:textId="77777777" w:rsidR="007075D9" w:rsidRPr="004D46AC" w:rsidRDefault="007075D9" w:rsidP="002C5F6E">
            <w:pPr>
              <w:spacing w:line="240" w:lineRule="auto"/>
              <w:ind w:firstLine="0"/>
            </w:pPr>
            <w:r w:rsidRPr="004D46AC">
              <w:rPr>
                <w:color w:val="000000"/>
                <w:szCs w:val="21"/>
              </w:rPr>
              <w:t xml:space="preserve">0.64 </w:t>
            </w:r>
          </w:p>
        </w:tc>
        <w:tc>
          <w:tcPr>
            <w:tcW w:w="1705" w:type="dxa"/>
            <w:vAlign w:val="center"/>
          </w:tcPr>
          <w:p w14:paraId="570D3E43" w14:textId="77777777" w:rsidR="007075D9" w:rsidRPr="004D46AC" w:rsidRDefault="007075D9" w:rsidP="002C5F6E">
            <w:pPr>
              <w:spacing w:line="240" w:lineRule="auto"/>
              <w:ind w:firstLine="0"/>
            </w:pPr>
            <w:r w:rsidRPr="004D46AC">
              <w:rPr>
                <w:color w:val="000000"/>
                <w:szCs w:val="21"/>
              </w:rPr>
              <w:t xml:space="preserve">0.07 </w:t>
            </w:r>
          </w:p>
        </w:tc>
      </w:tr>
      <w:tr w:rsidR="007075D9" w:rsidRPr="004D46AC" w14:paraId="1B8B962A" w14:textId="77777777">
        <w:tc>
          <w:tcPr>
            <w:tcW w:w="1704" w:type="dxa"/>
            <w:vAlign w:val="center"/>
          </w:tcPr>
          <w:p w14:paraId="3D22B8F5" w14:textId="77777777" w:rsidR="007075D9" w:rsidRPr="004D46AC" w:rsidRDefault="007075D9" w:rsidP="002C5F6E">
            <w:pPr>
              <w:spacing w:line="240" w:lineRule="auto"/>
              <w:ind w:firstLine="0"/>
            </w:pPr>
            <w:r w:rsidRPr="004D46AC">
              <w:rPr>
                <w:color w:val="000000"/>
              </w:rPr>
              <w:t>TR5--TR7</w:t>
            </w:r>
          </w:p>
        </w:tc>
        <w:tc>
          <w:tcPr>
            <w:tcW w:w="1704" w:type="dxa"/>
            <w:vAlign w:val="center"/>
          </w:tcPr>
          <w:p w14:paraId="781E646B"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40FF5FC5"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2009EEFF" w14:textId="77777777" w:rsidR="007075D9" w:rsidRPr="004D46AC" w:rsidRDefault="007075D9" w:rsidP="002C5F6E">
            <w:pPr>
              <w:spacing w:line="240" w:lineRule="auto"/>
              <w:ind w:firstLine="0"/>
            </w:pPr>
            <w:r w:rsidRPr="004D46AC">
              <w:rPr>
                <w:color w:val="000000"/>
                <w:szCs w:val="21"/>
              </w:rPr>
              <w:t xml:space="preserve">0.65 </w:t>
            </w:r>
          </w:p>
        </w:tc>
        <w:tc>
          <w:tcPr>
            <w:tcW w:w="1705" w:type="dxa"/>
            <w:vAlign w:val="center"/>
          </w:tcPr>
          <w:p w14:paraId="38226BBA" w14:textId="77777777" w:rsidR="007075D9" w:rsidRPr="004D46AC" w:rsidRDefault="007075D9" w:rsidP="002C5F6E">
            <w:pPr>
              <w:spacing w:line="240" w:lineRule="auto"/>
              <w:ind w:firstLine="0"/>
            </w:pPr>
            <w:r w:rsidRPr="004D46AC">
              <w:rPr>
                <w:color w:val="000000"/>
                <w:szCs w:val="21"/>
              </w:rPr>
              <w:t xml:space="preserve">0.16 </w:t>
            </w:r>
          </w:p>
        </w:tc>
      </w:tr>
      <w:tr w:rsidR="007075D9" w:rsidRPr="004D46AC" w14:paraId="3668B5DE" w14:textId="77777777">
        <w:tc>
          <w:tcPr>
            <w:tcW w:w="1704" w:type="dxa"/>
            <w:vAlign w:val="center"/>
          </w:tcPr>
          <w:p w14:paraId="550C89B2" w14:textId="77777777" w:rsidR="007075D9" w:rsidRPr="004D46AC" w:rsidRDefault="007075D9" w:rsidP="002C5F6E">
            <w:pPr>
              <w:spacing w:line="240" w:lineRule="auto"/>
              <w:ind w:firstLine="0"/>
            </w:pPr>
            <w:r w:rsidRPr="004D46AC">
              <w:rPr>
                <w:color w:val="000000"/>
              </w:rPr>
              <w:t>TR23--TR33</w:t>
            </w:r>
          </w:p>
        </w:tc>
        <w:tc>
          <w:tcPr>
            <w:tcW w:w="1704" w:type="dxa"/>
            <w:vAlign w:val="center"/>
          </w:tcPr>
          <w:p w14:paraId="5D0B5398" w14:textId="77777777" w:rsidR="007075D9" w:rsidRPr="004D46AC" w:rsidRDefault="007075D9" w:rsidP="002C5F6E">
            <w:pPr>
              <w:spacing w:line="240" w:lineRule="auto"/>
              <w:ind w:firstLine="0"/>
            </w:pPr>
            <w:r w:rsidRPr="004D46AC">
              <w:rPr>
                <w:color w:val="000000"/>
                <w:szCs w:val="21"/>
              </w:rPr>
              <w:t xml:space="preserve">0.28 </w:t>
            </w:r>
          </w:p>
        </w:tc>
        <w:tc>
          <w:tcPr>
            <w:tcW w:w="1704" w:type="dxa"/>
            <w:vAlign w:val="center"/>
          </w:tcPr>
          <w:p w14:paraId="1692D792"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1A64BE5A"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25E75305"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54324269" w14:textId="77777777">
        <w:tc>
          <w:tcPr>
            <w:tcW w:w="1704" w:type="dxa"/>
            <w:vAlign w:val="center"/>
          </w:tcPr>
          <w:p w14:paraId="6A15D153" w14:textId="77777777" w:rsidR="007075D9" w:rsidRPr="004D46AC" w:rsidRDefault="007075D9" w:rsidP="002C5F6E">
            <w:pPr>
              <w:spacing w:line="240" w:lineRule="auto"/>
              <w:ind w:firstLine="0"/>
            </w:pPr>
            <w:r w:rsidRPr="004D46AC">
              <w:rPr>
                <w:color w:val="000000"/>
              </w:rPr>
              <w:t>TR6--TR17</w:t>
            </w:r>
          </w:p>
        </w:tc>
        <w:tc>
          <w:tcPr>
            <w:tcW w:w="1704" w:type="dxa"/>
            <w:vAlign w:val="center"/>
          </w:tcPr>
          <w:p w14:paraId="620C4886"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0C4721B0"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1FE40AB9" w14:textId="77777777" w:rsidR="007075D9" w:rsidRPr="004D46AC" w:rsidRDefault="007075D9" w:rsidP="002C5F6E">
            <w:pPr>
              <w:spacing w:line="240" w:lineRule="auto"/>
              <w:ind w:firstLine="0"/>
            </w:pPr>
            <w:r w:rsidRPr="004D46AC">
              <w:rPr>
                <w:color w:val="000000"/>
                <w:szCs w:val="21"/>
              </w:rPr>
              <w:t xml:space="preserve">0.63 </w:t>
            </w:r>
          </w:p>
        </w:tc>
        <w:tc>
          <w:tcPr>
            <w:tcW w:w="1705" w:type="dxa"/>
            <w:vAlign w:val="center"/>
          </w:tcPr>
          <w:p w14:paraId="0A7C0E03" w14:textId="77777777" w:rsidR="007075D9" w:rsidRPr="004D46AC" w:rsidRDefault="007075D9" w:rsidP="002C5F6E">
            <w:pPr>
              <w:spacing w:line="240" w:lineRule="auto"/>
              <w:ind w:firstLine="0"/>
            </w:pPr>
            <w:r w:rsidRPr="004D46AC">
              <w:rPr>
                <w:color w:val="000000"/>
                <w:szCs w:val="21"/>
              </w:rPr>
              <w:t xml:space="preserve">0.13 </w:t>
            </w:r>
          </w:p>
        </w:tc>
      </w:tr>
      <w:tr w:rsidR="007075D9" w:rsidRPr="004D46AC" w14:paraId="399B2E53" w14:textId="77777777">
        <w:tc>
          <w:tcPr>
            <w:tcW w:w="1704" w:type="dxa"/>
            <w:vAlign w:val="center"/>
          </w:tcPr>
          <w:p w14:paraId="272A8E43" w14:textId="77777777" w:rsidR="007075D9" w:rsidRPr="004D46AC" w:rsidRDefault="007075D9" w:rsidP="002C5F6E">
            <w:pPr>
              <w:spacing w:line="240" w:lineRule="auto"/>
              <w:ind w:firstLine="0"/>
            </w:pPr>
            <w:r w:rsidRPr="004D46AC">
              <w:rPr>
                <w:color w:val="000000"/>
              </w:rPr>
              <w:t>TR34--TR29</w:t>
            </w:r>
          </w:p>
        </w:tc>
        <w:tc>
          <w:tcPr>
            <w:tcW w:w="1704" w:type="dxa"/>
            <w:vAlign w:val="center"/>
          </w:tcPr>
          <w:p w14:paraId="26A06B32" w14:textId="77777777" w:rsidR="007075D9" w:rsidRPr="004D46AC" w:rsidRDefault="007075D9" w:rsidP="002C5F6E">
            <w:pPr>
              <w:spacing w:line="240" w:lineRule="auto"/>
              <w:ind w:firstLine="0"/>
            </w:pPr>
            <w:r w:rsidRPr="004D46AC">
              <w:rPr>
                <w:color w:val="000000"/>
                <w:szCs w:val="21"/>
              </w:rPr>
              <w:t xml:space="preserve">0.27 </w:t>
            </w:r>
          </w:p>
        </w:tc>
        <w:tc>
          <w:tcPr>
            <w:tcW w:w="1704" w:type="dxa"/>
            <w:vAlign w:val="center"/>
          </w:tcPr>
          <w:p w14:paraId="733D223F"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0B57B6DD"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3F0EE605"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20B1357A" w14:textId="77777777">
        <w:tc>
          <w:tcPr>
            <w:tcW w:w="1704" w:type="dxa"/>
            <w:vAlign w:val="center"/>
          </w:tcPr>
          <w:p w14:paraId="114CFE32" w14:textId="77777777" w:rsidR="007075D9" w:rsidRPr="004D46AC" w:rsidRDefault="007075D9" w:rsidP="002C5F6E">
            <w:pPr>
              <w:spacing w:line="240" w:lineRule="auto"/>
              <w:ind w:firstLine="0"/>
            </w:pPr>
            <w:r w:rsidRPr="004D46AC">
              <w:rPr>
                <w:color w:val="000000"/>
              </w:rPr>
              <w:t>TR24--TR17</w:t>
            </w:r>
          </w:p>
        </w:tc>
        <w:tc>
          <w:tcPr>
            <w:tcW w:w="1704" w:type="dxa"/>
            <w:vAlign w:val="center"/>
          </w:tcPr>
          <w:p w14:paraId="51C0880C" w14:textId="77777777" w:rsidR="007075D9" w:rsidRPr="004D46AC" w:rsidRDefault="007075D9" w:rsidP="002C5F6E">
            <w:pPr>
              <w:spacing w:line="240" w:lineRule="auto"/>
              <w:ind w:firstLine="0"/>
            </w:pPr>
            <w:r w:rsidRPr="004D46AC">
              <w:rPr>
                <w:color w:val="000000"/>
                <w:szCs w:val="21"/>
              </w:rPr>
              <w:t xml:space="preserve">0.26 </w:t>
            </w:r>
          </w:p>
        </w:tc>
        <w:tc>
          <w:tcPr>
            <w:tcW w:w="1704" w:type="dxa"/>
            <w:vAlign w:val="center"/>
          </w:tcPr>
          <w:p w14:paraId="623023ED" w14:textId="77777777" w:rsidR="007075D9" w:rsidRPr="004D46AC" w:rsidRDefault="007075D9" w:rsidP="002C5F6E">
            <w:pPr>
              <w:spacing w:line="240" w:lineRule="auto"/>
              <w:ind w:firstLine="0"/>
            </w:pPr>
            <w:r w:rsidRPr="004D46AC">
              <w:rPr>
                <w:color w:val="000000"/>
                <w:szCs w:val="21"/>
              </w:rPr>
              <w:t xml:space="preserve">-0.06 </w:t>
            </w:r>
          </w:p>
        </w:tc>
        <w:tc>
          <w:tcPr>
            <w:tcW w:w="1705" w:type="dxa"/>
            <w:vAlign w:val="center"/>
          </w:tcPr>
          <w:p w14:paraId="6BDF26B1" w14:textId="77777777" w:rsidR="007075D9" w:rsidRPr="004D46AC" w:rsidRDefault="007075D9" w:rsidP="002C5F6E">
            <w:pPr>
              <w:spacing w:line="240" w:lineRule="auto"/>
              <w:ind w:firstLine="0"/>
            </w:pPr>
            <w:r w:rsidRPr="004D46AC">
              <w:rPr>
                <w:color w:val="000000"/>
                <w:szCs w:val="21"/>
              </w:rPr>
              <w:t xml:space="preserve">0.57 </w:t>
            </w:r>
          </w:p>
        </w:tc>
        <w:tc>
          <w:tcPr>
            <w:tcW w:w="1705" w:type="dxa"/>
            <w:vAlign w:val="center"/>
          </w:tcPr>
          <w:p w14:paraId="6ADC4E35"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27ED3083" w14:textId="77777777">
        <w:tc>
          <w:tcPr>
            <w:tcW w:w="1704" w:type="dxa"/>
            <w:vAlign w:val="center"/>
          </w:tcPr>
          <w:p w14:paraId="495D444A" w14:textId="77777777" w:rsidR="007075D9" w:rsidRPr="004D46AC" w:rsidRDefault="007075D9" w:rsidP="002C5F6E">
            <w:pPr>
              <w:spacing w:line="240" w:lineRule="auto"/>
              <w:ind w:firstLine="0"/>
            </w:pPr>
            <w:r w:rsidRPr="004D46AC">
              <w:rPr>
                <w:color w:val="000000"/>
              </w:rPr>
              <w:t>TR37--TR33</w:t>
            </w:r>
          </w:p>
        </w:tc>
        <w:tc>
          <w:tcPr>
            <w:tcW w:w="1704" w:type="dxa"/>
            <w:vAlign w:val="center"/>
          </w:tcPr>
          <w:p w14:paraId="1A11A2DA"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31A1421D"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12721FDD"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3F3D2625" w14:textId="77777777" w:rsidR="007075D9" w:rsidRPr="004D46AC" w:rsidRDefault="007075D9" w:rsidP="002C5F6E">
            <w:pPr>
              <w:spacing w:line="240" w:lineRule="auto"/>
              <w:ind w:firstLine="0"/>
            </w:pPr>
            <w:r w:rsidRPr="004D46AC">
              <w:rPr>
                <w:color w:val="000000"/>
                <w:szCs w:val="21"/>
              </w:rPr>
              <w:t xml:space="preserve">0.12 </w:t>
            </w:r>
          </w:p>
        </w:tc>
      </w:tr>
      <w:tr w:rsidR="007075D9" w:rsidRPr="004D46AC" w14:paraId="060FC491" w14:textId="77777777">
        <w:tc>
          <w:tcPr>
            <w:tcW w:w="1704" w:type="dxa"/>
            <w:vAlign w:val="center"/>
          </w:tcPr>
          <w:p w14:paraId="516AC79D" w14:textId="77777777" w:rsidR="007075D9" w:rsidRPr="004D46AC" w:rsidRDefault="007075D9" w:rsidP="002C5F6E">
            <w:pPr>
              <w:spacing w:line="240" w:lineRule="auto"/>
              <w:ind w:firstLine="0"/>
            </w:pPr>
            <w:r w:rsidRPr="004D46AC">
              <w:rPr>
                <w:color w:val="000000"/>
              </w:rPr>
              <w:t>TR37--TR30</w:t>
            </w:r>
          </w:p>
        </w:tc>
        <w:tc>
          <w:tcPr>
            <w:tcW w:w="1704" w:type="dxa"/>
            <w:vAlign w:val="center"/>
          </w:tcPr>
          <w:p w14:paraId="0878AA74"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182FE482"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005E03D5"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31C5A320" w14:textId="77777777" w:rsidR="007075D9" w:rsidRPr="004D46AC" w:rsidRDefault="007075D9" w:rsidP="002C5F6E">
            <w:pPr>
              <w:spacing w:line="240" w:lineRule="auto"/>
              <w:ind w:firstLine="0"/>
            </w:pPr>
            <w:r w:rsidRPr="004D46AC">
              <w:rPr>
                <w:color w:val="000000"/>
                <w:szCs w:val="21"/>
              </w:rPr>
              <w:t xml:space="preserve">0.12 </w:t>
            </w:r>
          </w:p>
        </w:tc>
      </w:tr>
      <w:tr w:rsidR="007075D9" w:rsidRPr="004D46AC" w14:paraId="7229FCA1" w14:textId="77777777">
        <w:tc>
          <w:tcPr>
            <w:tcW w:w="1704" w:type="dxa"/>
            <w:vAlign w:val="center"/>
          </w:tcPr>
          <w:p w14:paraId="25F4AA8C" w14:textId="77777777" w:rsidR="007075D9" w:rsidRPr="004D46AC" w:rsidRDefault="007075D9" w:rsidP="002C5F6E">
            <w:pPr>
              <w:spacing w:line="240" w:lineRule="auto"/>
              <w:ind w:firstLine="0"/>
            </w:pPr>
            <w:r w:rsidRPr="004D46AC">
              <w:rPr>
                <w:color w:val="000000"/>
              </w:rPr>
              <w:t>TR27--TR17</w:t>
            </w:r>
          </w:p>
        </w:tc>
        <w:tc>
          <w:tcPr>
            <w:tcW w:w="1704" w:type="dxa"/>
            <w:vAlign w:val="center"/>
          </w:tcPr>
          <w:p w14:paraId="363F755B"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3B85FC40"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1E2AF513"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71089ADD"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5B37A8B4" w14:textId="77777777">
        <w:tc>
          <w:tcPr>
            <w:tcW w:w="1704" w:type="dxa"/>
            <w:vAlign w:val="center"/>
          </w:tcPr>
          <w:p w14:paraId="4FCD9F81" w14:textId="77777777" w:rsidR="007075D9" w:rsidRPr="004D46AC" w:rsidRDefault="007075D9" w:rsidP="002C5F6E">
            <w:pPr>
              <w:spacing w:line="240" w:lineRule="auto"/>
              <w:ind w:firstLine="0"/>
            </w:pPr>
            <w:r w:rsidRPr="004D46AC">
              <w:rPr>
                <w:color w:val="000000"/>
              </w:rPr>
              <w:t>TR21--TR24</w:t>
            </w:r>
          </w:p>
        </w:tc>
        <w:tc>
          <w:tcPr>
            <w:tcW w:w="1704" w:type="dxa"/>
            <w:vAlign w:val="center"/>
          </w:tcPr>
          <w:p w14:paraId="1E6CEAD0"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5378E3F6"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5FCE2942"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0311C177"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10B0B070" w14:textId="77777777">
        <w:tc>
          <w:tcPr>
            <w:tcW w:w="1704" w:type="dxa"/>
            <w:vAlign w:val="center"/>
          </w:tcPr>
          <w:p w14:paraId="014FDD42" w14:textId="77777777" w:rsidR="007075D9" w:rsidRPr="004D46AC" w:rsidRDefault="007075D9" w:rsidP="002C5F6E">
            <w:pPr>
              <w:spacing w:line="240" w:lineRule="auto"/>
              <w:ind w:firstLine="0"/>
            </w:pPr>
            <w:r w:rsidRPr="004D46AC">
              <w:rPr>
                <w:color w:val="000000"/>
              </w:rPr>
              <w:t>TR3--TR5</w:t>
            </w:r>
          </w:p>
        </w:tc>
        <w:tc>
          <w:tcPr>
            <w:tcW w:w="1704" w:type="dxa"/>
            <w:vAlign w:val="center"/>
          </w:tcPr>
          <w:p w14:paraId="6FE7EB9D" w14:textId="77777777" w:rsidR="007075D9" w:rsidRPr="004D46AC" w:rsidRDefault="007075D9" w:rsidP="002C5F6E">
            <w:pPr>
              <w:spacing w:line="240" w:lineRule="auto"/>
              <w:ind w:firstLine="0"/>
            </w:pPr>
            <w:r w:rsidRPr="004D46AC">
              <w:rPr>
                <w:color w:val="000000"/>
                <w:szCs w:val="21"/>
              </w:rPr>
              <w:t xml:space="preserve">0.25 </w:t>
            </w:r>
          </w:p>
        </w:tc>
        <w:tc>
          <w:tcPr>
            <w:tcW w:w="1704" w:type="dxa"/>
            <w:vAlign w:val="center"/>
          </w:tcPr>
          <w:p w14:paraId="2F46E08C"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4D211946" w14:textId="77777777" w:rsidR="007075D9" w:rsidRPr="004D46AC" w:rsidRDefault="007075D9" w:rsidP="002C5F6E">
            <w:pPr>
              <w:spacing w:line="240" w:lineRule="auto"/>
              <w:ind w:firstLine="0"/>
            </w:pPr>
            <w:r w:rsidRPr="004D46AC">
              <w:rPr>
                <w:color w:val="000000"/>
                <w:szCs w:val="21"/>
              </w:rPr>
              <w:t xml:space="preserve">0.59 </w:t>
            </w:r>
          </w:p>
        </w:tc>
        <w:tc>
          <w:tcPr>
            <w:tcW w:w="1705" w:type="dxa"/>
            <w:vAlign w:val="center"/>
          </w:tcPr>
          <w:p w14:paraId="09D37809" w14:textId="77777777" w:rsidR="007075D9" w:rsidRPr="004D46AC" w:rsidRDefault="007075D9" w:rsidP="002C5F6E">
            <w:pPr>
              <w:spacing w:line="240" w:lineRule="auto"/>
              <w:ind w:firstLine="0"/>
            </w:pPr>
            <w:r w:rsidRPr="004D46AC">
              <w:rPr>
                <w:color w:val="000000"/>
                <w:szCs w:val="21"/>
              </w:rPr>
              <w:t xml:space="preserve">0.25 </w:t>
            </w:r>
          </w:p>
        </w:tc>
      </w:tr>
      <w:tr w:rsidR="007075D9" w:rsidRPr="004D46AC" w14:paraId="1ECE66FF" w14:textId="77777777">
        <w:tc>
          <w:tcPr>
            <w:tcW w:w="1704" w:type="dxa"/>
            <w:vAlign w:val="center"/>
          </w:tcPr>
          <w:p w14:paraId="656D70E2" w14:textId="77777777" w:rsidR="007075D9" w:rsidRPr="004D46AC" w:rsidRDefault="007075D9" w:rsidP="002C5F6E">
            <w:pPr>
              <w:spacing w:line="240" w:lineRule="auto"/>
              <w:ind w:firstLine="0"/>
            </w:pPr>
            <w:r w:rsidRPr="004D46AC">
              <w:rPr>
                <w:color w:val="000000"/>
              </w:rPr>
              <w:t>TR9--TR30</w:t>
            </w:r>
          </w:p>
        </w:tc>
        <w:tc>
          <w:tcPr>
            <w:tcW w:w="1704" w:type="dxa"/>
            <w:vAlign w:val="center"/>
          </w:tcPr>
          <w:p w14:paraId="329070C9"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6A438AF6"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3C36E532"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2103833C" w14:textId="77777777" w:rsidR="007075D9" w:rsidRPr="004D46AC" w:rsidRDefault="007075D9" w:rsidP="002C5F6E">
            <w:pPr>
              <w:spacing w:line="240" w:lineRule="auto"/>
              <w:ind w:firstLine="0"/>
            </w:pPr>
            <w:r w:rsidRPr="004D46AC">
              <w:rPr>
                <w:color w:val="000000"/>
                <w:szCs w:val="21"/>
              </w:rPr>
              <w:t xml:space="preserve">0.14 </w:t>
            </w:r>
          </w:p>
        </w:tc>
      </w:tr>
      <w:tr w:rsidR="007075D9" w:rsidRPr="004D46AC" w14:paraId="3F97069D" w14:textId="77777777">
        <w:tc>
          <w:tcPr>
            <w:tcW w:w="1704" w:type="dxa"/>
            <w:vAlign w:val="center"/>
          </w:tcPr>
          <w:p w14:paraId="6F520213" w14:textId="77777777" w:rsidR="007075D9" w:rsidRPr="004D46AC" w:rsidRDefault="007075D9" w:rsidP="002C5F6E">
            <w:pPr>
              <w:spacing w:line="240" w:lineRule="auto"/>
              <w:ind w:firstLine="0"/>
            </w:pPr>
            <w:r w:rsidRPr="004D46AC">
              <w:rPr>
                <w:color w:val="000000"/>
              </w:rPr>
              <w:t>TR15--TR37</w:t>
            </w:r>
          </w:p>
        </w:tc>
        <w:tc>
          <w:tcPr>
            <w:tcW w:w="1704" w:type="dxa"/>
            <w:vAlign w:val="center"/>
          </w:tcPr>
          <w:p w14:paraId="38269102"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3A95C82D"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1F2D4702" w14:textId="77777777" w:rsidR="007075D9" w:rsidRPr="004D46AC" w:rsidRDefault="007075D9" w:rsidP="002C5F6E">
            <w:pPr>
              <w:spacing w:line="240" w:lineRule="auto"/>
              <w:ind w:firstLine="0"/>
            </w:pPr>
            <w:r w:rsidRPr="004D46AC">
              <w:rPr>
                <w:color w:val="000000"/>
                <w:szCs w:val="21"/>
              </w:rPr>
              <w:t xml:space="preserve">0.57 </w:t>
            </w:r>
          </w:p>
        </w:tc>
        <w:tc>
          <w:tcPr>
            <w:tcW w:w="1705" w:type="dxa"/>
            <w:vAlign w:val="center"/>
          </w:tcPr>
          <w:p w14:paraId="2709D758"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015E6939" w14:textId="77777777">
        <w:tc>
          <w:tcPr>
            <w:tcW w:w="1704" w:type="dxa"/>
            <w:vAlign w:val="center"/>
          </w:tcPr>
          <w:p w14:paraId="1FE57EFE" w14:textId="77777777" w:rsidR="007075D9" w:rsidRPr="004D46AC" w:rsidRDefault="007075D9" w:rsidP="002C5F6E">
            <w:pPr>
              <w:spacing w:line="240" w:lineRule="auto"/>
              <w:ind w:firstLine="0"/>
            </w:pPr>
            <w:r w:rsidRPr="004D46AC">
              <w:rPr>
                <w:color w:val="000000"/>
              </w:rPr>
              <w:t>TR5--TR13</w:t>
            </w:r>
          </w:p>
        </w:tc>
        <w:tc>
          <w:tcPr>
            <w:tcW w:w="1704" w:type="dxa"/>
            <w:vAlign w:val="center"/>
          </w:tcPr>
          <w:p w14:paraId="42459477"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025D69EF"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54B59AFD"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5607B959" w14:textId="77777777" w:rsidR="007075D9" w:rsidRPr="004D46AC" w:rsidRDefault="007075D9" w:rsidP="002C5F6E">
            <w:pPr>
              <w:spacing w:line="240" w:lineRule="auto"/>
              <w:ind w:firstLine="0"/>
            </w:pPr>
            <w:r w:rsidRPr="004D46AC">
              <w:rPr>
                <w:color w:val="000000"/>
                <w:szCs w:val="21"/>
              </w:rPr>
              <w:t xml:space="preserve">0.29 </w:t>
            </w:r>
          </w:p>
        </w:tc>
      </w:tr>
      <w:tr w:rsidR="007075D9" w:rsidRPr="004D46AC" w14:paraId="50BEB918" w14:textId="77777777">
        <w:tc>
          <w:tcPr>
            <w:tcW w:w="1704" w:type="dxa"/>
            <w:vAlign w:val="center"/>
          </w:tcPr>
          <w:p w14:paraId="1DF753AD" w14:textId="77777777" w:rsidR="007075D9" w:rsidRPr="004D46AC" w:rsidRDefault="007075D9" w:rsidP="002C5F6E">
            <w:pPr>
              <w:spacing w:line="240" w:lineRule="auto"/>
              <w:ind w:firstLine="0"/>
            </w:pPr>
            <w:r w:rsidRPr="004D46AC">
              <w:rPr>
                <w:color w:val="000000"/>
              </w:rPr>
              <w:t>TR9--TR14</w:t>
            </w:r>
          </w:p>
        </w:tc>
        <w:tc>
          <w:tcPr>
            <w:tcW w:w="1704" w:type="dxa"/>
            <w:vAlign w:val="center"/>
          </w:tcPr>
          <w:p w14:paraId="3451CE85"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416C8BE9"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7C4045B1" w14:textId="77777777" w:rsidR="007075D9" w:rsidRPr="004D46AC" w:rsidRDefault="007075D9" w:rsidP="002C5F6E">
            <w:pPr>
              <w:spacing w:line="240" w:lineRule="auto"/>
              <w:ind w:firstLine="0"/>
            </w:pPr>
            <w:r w:rsidRPr="004D46AC">
              <w:rPr>
                <w:color w:val="000000"/>
                <w:szCs w:val="21"/>
              </w:rPr>
              <w:t xml:space="preserve">0.60 </w:t>
            </w:r>
          </w:p>
        </w:tc>
        <w:tc>
          <w:tcPr>
            <w:tcW w:w="1705" w:type="dxa"/>
            <w:vAlign w:val="center"/>
          </w:tcPr>
          <w:p w14:paraId="48BE89F1" w14:textId="77777777" w:rsidR="007075D9" w:rsidRPr="004D46AC" w:rsidRDefault="007075D9" w:rsidP="002C5F6E">
            <w:pPr>
              <w:spacing w:line="240" w:lineRule="auto"/>
              <w:ind w:firstLine="0"/>
            </w:pPr>
            <w:r w:rsidRPr="004D46AC">
              <w:rPr>
                <w:color w:val="000000"/>
                <w:szCs w:val="21"/>
              </w:rPr>
              <w:t xml:space="preserve">0.16 </w:t>
            </w:r>
          </w:p>
        </w:tc>
      </w:tr>
      <w:tr w:rsidR="007075D9" w:rsidRPr="004D46AC" w14:paraId="6FE7A736" w14:textId="77777777">
        <w:tc>
          <w:tcPr>
            <w:tcW w:w="1704" w:type="dxa"/>
            <w:vAlign w:val="center"/>
          </w:tcPr>
          <w:p w14:paraId="3FCF9FB1" w14:textId="77777777" w:rsidR="007075D9" w:rsidRPr="004D46AC" w:rsidRDefault="007075D9" w:rsidP="002C5F6E">
            <w:pPr>
              <w:spacing w:line="240" w:lineRule="auto"/>
              <w:ind w:firstLine="0"/>
            </w:pPr>
            <w:r w:rsidRPr="004D46AC">
              <w:rPr>
                <w:color w:val="000000"/>
              </w:rPr>
              <w:t>TR33--TR20</w:t>
            </w:r>
          </w:p>
        </w:tc>
        <w:tc>
          <w:tcPr>
            <w:tcW w:w="1704" w:type="dxa"/>
            <w:vAlign w:val="center"/>
          </w:tcPr>
          <w:p w14:paraId="1B2E1834"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526340A1"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44B3541A"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2EAE4DB3"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0C021DB5" w14:textId="77777777">
        <w:tc>
          <w:tcPr>
            <w:tcW w:w="1704" w:type="dxa"/>
            <w:vAlign w:val="center"/>
          </w:tcPr>
          <w:p w14:paraId="2506C4FF" w14:textId="77777777" w:rsidR="007075D9" w:rsidRPr="004D46AC" w:rsidRDefault="007075D9" w:rsidP="002C5F6E">
            <w:pPr>
              <w:spacing w:line="240" w:lineRule="auto"/>
              <w:ind w:firstLine="0"/>
            </w:pPr>
            <w:r w:rsidRPr="004D46AC">
              <w:rPr>
                <w:color w:val="000000"/>
              </w:rPr>
              <w:t>TR21--TR20</w:t>
            </w:r>
          </w:p>
        </w:tc>
        <w:tc>
          <w:tcPr>
            <w:tcW w:w="1704" w:type="dxa"/>
            <w:vAlign w:val="center"/>
          </w:tcPr>
          <w:p w14:paraId="0FC02037"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58A08C96" w14:textId="77777777" w:rsidR="007075D9" w:rsidRPr="004D46AC" w:rsidRDefault="007075D9" w:rsidP="002C5F6E">
            <w:pPr>
              <w:spacing w:line="240" w:lineRule="auto"/>
              <w:ind w:firstLine="0"/>
            </w:pPr>
            <w:r w:rsidRPr="004D46AC">
              <w:rPr>
                <w:color w:val="000000"/>
                <w:szCs w:val="21"/>
              </w:rPr>
              <w:t xml:space="preserve">-0.08 </w:t>
            </w:r>
          </w:p>
        </w:tc>
        <w:tc>
          <w:tcPr>
            <w:tcW w:w="1705" w:type="dxa"/>
            <w:vAlign w:val="center"/>
          </w:tcPr>
          <w:p w14:paraId="223E2F96"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46B43FD8" w14:textId="77777777" w:rsidR="007075D9" w:rsidRPr="004D46AC" w:rsidRDefault="007075D9" w:rsidP="002C5F6E">
            <w:pPr>
              <w:spacing w:line="240" w:lineRule="auto"/>
              <w:ind w:firstLine="0"/>
            </w:pPr>
            <w:r w:rsidRPr="004D46AC">
              <w:rPr>
                <w:color w:val="000000"/>
                <w:szCs w:val="21"/>
              </w:rPr>
              <w:t xml:space="preserve">0.15 </w:t>
            </w:r>
          </w:p>
        </w:tc>
      </w:tr>
      <w:tr w:rsidR="007075D9" w:rsidRPr="004D46AC" w14:paraId="14DAE7E8" w14:textId="77777777">
        <w:tc>
          <w:tcPr>
            <w:tcW w:w="1704" w:type="dxa"/>
            <w:vAlign w:val="center"/>
          </w:tcPr>
          <w:p w14:paraId="483A733C" w14:textId="77777777" w:rsidR="007075D9" w:rsidRPr="004D46AC" w:rsidRDefault="007075D9" w:rsidP="002C5F6E">
            <w:pPr>
              <w:spacing w:line="240" w:lineRule="auto"/>
              <w:ind w:firstLine="0"/>
            </w:pPr>
            <w:r w:rsidRPr="004D46AC">
              <w:rPr>
                <w:color w:val="000000"/>
              </w:rPr>
              <w:t>TR14--TR20</w:t>
            </w:r>
          </w:p>
        </w:tc>
        <w:tc>
          <w:tcPr>
            <w:tcW w:w="1704" w:type="dxa"/>
            <w:vAlign w:val="center"/>
          </w:tcPr>
          <w:p w14:paraId="05638D68"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573482A1" w14:textId="77777777" w:rsidR="007075D9" w:rsidRPr="004D46AC" w:rsidRDefault="007075D9" w:rsidP="002C5F6E">
            <w:pPr>
              <w:spacing w:line="240" w:lineRule="auto"/>
              <w:ind w:firstLine="0"/>
            </w:pPr>
            <w:r w:rsidRPr="004D46AC">
              <w:rPr>
                <w:color w:val="000000"/>
                <w:szCs w:val="21"/>
              </w:rPr>
              <w:t xml:space="preserve">-0.07 </w:t>
            </w:r>
          </w:p>
        </w:tc>
        <w:tc>
          <w:tcPr>
            <w:tcW w:w="1705" w:type="dxa"/>
            <w:vAlign w:val="center"/>
          </w:tcPr>
          <w:p w14:paraId="14844F01"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32D79E26" w14:textId="77777777" w:rsidR="007075D9" w:rsidRPr="004D46AC" w:rsidRDefault="007075D9" w:rsidP="002C5F6E">
            <w:pPr>
              <w:spacing w:line="240" w:lineRule="auto"/>
              <w:ind w:firstLine="0"/>
            </w:pPr>
            <w:r w:rsidRPr="004D46AC">
              <w:rPr>
                <w:color w:val="000000"/>
                <w:szCs w:val="21"/>
              </w:rPr>
              <w:t xml:space="preserve">0.17 </w:t>
            </w:r>
          </w:p>
        </w:tc>
      </w:tr>
      <w:tr w:rsidR="007075D9" w:rsidRPr="004D46AC" w14:paraId="1FBA1D48" w14:textId="77777777">
        <w:tc>
          <w:tcPr>
            <w:tcW w:w="1704" w:type="dxa"/>
            <w:vAlign w:val="center"/>
          </w:tcPr>
          <w:p w14:paraId="2CFF696D" w14:textId="77777777" w:rsidR="007075D9" w:rsidRPr="004D46AC" w:rsidRDefault="007075D9" w:rsidP="002C5F6E">
            <w:pPr>
              <w:spacing w:line="240" w:lineRule="auto"/>
              <w:ind w:firstLine="0"/>
            </w:pPr>
            <w:r w:rsidRPr="004D46AC">
              <w:rPr>
                <w:color w:val="000000"/>
              </w:rPr>
              <w:t>TR33--TR13</w:t>
            </w:r>
          </w:p>
        </w:tc>
        <w:tc>
          <w:tcPr>
            <w:tcW w:w="1704" w:type="dxa"/>
            <w:vAlign w:val="center"/>
          </w:tcPr>
          <w:p w14:paraId="5D7C52A3" w14:textId="77777777" w:rsidR="007075D9" w:rsidRPr="004D46AC" w:rsidRDefault="007075D9" w:rsidP="002C5F6E">
            <w:pPr>
              <w:spacing w:line="240" w:lineRule="auto"/>
              <w:ind w:firstLine="0"/>
            </w:pPr>
            <w:r w:rsidRPr="004D46AC">
              <w:rPr>
                <w:color w:val="000000"/>
                <w:szCs w:val="21"/>
              </w:rPr>
              <w:t xml:space="preserve">0.23 </w:t>
            </w:r>
          </w:p>
        </w:tc>
        <w:tc>
          <w:tcPr>
            <w:tcW w:w="1704" w:type="dxa"/>
            <w:vAlign w:val="center"/>
          </w:tcPr>
          <w:p w14:paraId="057B2178" w14:textId="77777777" w:rsidR="007075D9" w:rsidRPr="004D46AC" w:rsidRDefault="007075D9" w:rsidP="002C5F6E">
            <w:pPr>
              <w:spacing w:line="240" w:lineRule="auto"/>
              <w:ind w:firstLine="0"/>
            </w:pPr>
            <w:r w:rsidRPr="004D46AC">
              <w:rPr>
                <w:color w:val="000000"/>
                <w:szCs w:val="21"/>
              </w:rPr>
              <w:t xml:space="preserve">-0.09 </w:t>
            </w:r>
          </w:p>
        </w:tc>
        <w:tc>
          <w:tcPr>
            <w:tcW w:w="1705" w:type="dxa"/>
            <w:vAlign w:val="center"/>
          </w:tcPr>
          <w:p w14:paraId="5FBF9B6F"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54BADCEC" w14:textId="77777777" w:rsidR="007075D9" w:rsidRPr="004D46AC" w:rsidRDefault="007075D9" w:rsidP="002C5F6E">
            <w:pPr>
              <w:spacing w:line="240" w:lineRule="auto"/>
              <w:ind w:firstLine="0"/>
            </w:pPr>
            <w:r w:rsidRPr="004D46AC">
              <w:rPr>
                <w:color w:val="000000"/>
                <w:szCs w:val="21"/>
              </w:rPr>
              <w:t xml:space="preserve">0.24 </w:t>
            </w:r>
          </w:p>
        </w:tc>
      </w:tr>
      <w:tr w:rsidR="007075D9" w:rsidRPr="004D46AC" w14:paraId="3E77FBA1" w14:textId="77777777">
        <w:tc>
          <w:tcPr>
            <w:tcW w:w="1704" w:type="dxa"/>
            <w:vAlign w:val="center"/>
          </w:tcPr>
          <w:p w14:paraId="42021AF0" w14:textId="77777777" w:rsidR="007075D9" w:rsidRPr="004D46AC" w:rsidRDefault="007075D9" w:rsidP="002C5F6E">
            <w:pPr>
              <w:spacing w:line="240" w:lineRule="auto"/>
              <w:ind w:firstLine="0"/>
            </w:pPr>
            <w:r w:rsidRPr="004D46AC">
              <w:rPr>
                <w:color w:val="000000"/>
              </w:rPr>
              <w:t>TR12--TR37</w:t>
            </w:r>
          </w:p>
        </w:tc>
        <w:tc>
          <w:tcPr>
            <w:tcW w:w="1704" w:type="dxa"/>
            <w:vAlign w:val="center"/>
          </w:tcPr>
          <w:p w14:paraId="65D04379" w14:textId="77777777" w:rsidR="007075D9" w:rsidRPr="004D46AC" w:rsidRDefault="007075D9" w:rsidP="002C5F6E">
            <w:pPr>
              <w:spacing w:line="240" w:lineRule="auto"/>
              <w:ind w:firstLine="0"/>
            </w:pPr>
            <w:r w:rsidRPr="004D46AC">
              <w:rPr>
                <w:color w:val="000000"/>
                <w:szCs w:val="21"/>
              </w:rPr>
              <w:t xml:space="preserve">0.22 </w:t>
            </w:r>
          </w:p>
        </w:tc>
        <w:tc>
          <w:tcPr>
            <w:tcW w:w="1704" w:type="dxa"/>
            <w:vAlign w:val="center"/>
          </w:tcPr>
          <w:p w14:paraId="01B97471"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42B4D3B7" w14:textId="77777777" w:rsidR="007075D9" w:rsidRPr="004D46AC" w:rsidRDefault="007075D9" w:rsidP="002C5F6E">
            <w:pPr>
              <w:spacing w:line="240" w:lineRule="auto"/>
              <w:ind w:firstLine="0"/>
            </w:pPr>
            <w:r w:rsidRPr="004D46AC">
              <w:rPr>
                <w:color w:val="000000"/>
                <w:szCs w:val="21"/>
              </w:rPr>
              <w:t xml:space="preserve">0.61 </w:t>
            </w:r>
          </w:p>
        </w:tc>
        <w:tc>
          <w:tcPr>
            <w:tcW w:w="1705" w:type="dxa"/>
            <w:vAlign w:val="center"/>
          </w:tcPr>
          <w:p w14:paraId="2E2AE3F5"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20ECF32A" w14:textId="77777777">
        <w:tc>
          <w:tcPr>
            <w:tcW w:w="1704" w:type="dxa"/>
            <w:vAlign w:val="center"/>
          </w:tcPr>
          <w:p w14:paraId="1BFD3039" w14:textId="77777777" w:rsidR="007075D9" w:rsidRPr="004D46AC" w:rsidRDefault="007075D9" w:rsidP="002C5F6E">
            <w:pPr>
              <w:spacing w:line="240" w:lineRule="auto"/>
              <w:ind w:firstLine="0"/>
            </w:pPr>
            <w:r w:rsidRPr="004D46AC">
              <w:rPr>
                <w:color w:val="000000"/>
              </w:rPr>
              <w:t>TR33--TR22</w:t>
            </w:r>
          </w:p>
        </w:tc>
        <w:tc>
          <w:tcPr>
            <w:tcW w:w="1704" w:type="dxa"/>
            <w:vAlign w:val="center"/>
          </w:tcPr>
          <w:p w14:paraId="5B2FC14A" w14:textId="77777777" w:rsidR="007075D9" w:rsidRPr="004D46AC" w:rsidRDefault="007075D9" w:rsidP="002C5F6E">
            <w:pPr>
              <w:spacing w:line="240" w:lineRule="auto"/>
              <w:ind w:firstLine="0"/>
            </w:pPr>
            <w:r w:rsidRPr="004D46AC">
              <w:rPr>
                <w:color w:val="000000"/>
                <w:szCs w:val="21"/>
              </w:rPr>
              <w:t xml:space="preserve">0.22 </w:t>
            </w:r>
          </w:p>
        </w:tc>
        <w:tc>
          <w:tcPr>
            <w:tcW w:w="1704" w:type="dxa"/>
            <w:vAlign w:val="center"/>
          </w:tcPr>
          <w:p w14:paraId="521711C4"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5A117CE5" w14:textId="77777777" w:rsidR="007075D9" w:rsidRPr="004D46AC" w:rsidRDefault="007075D9" w:rsidP="002C5F6E">
            <w:pPr>
              <w:spacing w:line="240" w:lineRule="auto"/>
              <w:ind w:firstLine="0"/>
            </w:pPr>
            <w:r w:rsidRPr="004D46AC">
              <w:rPr>
                <w:color w:val="000000"/>
                <w:szCs w:val="21"/>
              </w:rPr>
              <w:t xml:space="preserve">0.55 </w:t>
            </w:r>
          </w:p>
        </w:tc>
        <w:tc>
          <w:tcPr>
            <w:tcW w:w="1705" w:type="dxa"/>
            <w:vAlign w:val="center"/>
          </w:tcPr>
          <w:p w14:paraId="6BF13E39" w14:textId="77777777" w:rsidR="007075D9" w:rsidRPr="004D46AC" w:rsidRDefault="007075D9" w:rsidP="002C5F6E">
            <w:pPr>
              <w:spacing w:line="240" w:lineRule="auto"/>
              <w:ind w:firstLine="0"/>
            </w:pPr>
            <w:r w:rsidRPr="004D46AC">
              <w:rPr>
                <w:color w:val="000000"/>
                <w:szCs w:val="21"/>
              </w:rPr>
              <w:t xml:space="preserve">0.21 </w:t>
            </w:r>
          </w:p>
        </w:tc>
      </w:tr>
      <w:tr w:rsidR="007075D9" w:rsidRPr="004D46AC" w14:paraId="2762877F" w14:textId="77777777">
        <w:tc>
          <w:tcPr>
            <w:tcW w:w="1704" w:type="dxa"/>
            <w:vAlign w:val="center"/>
          </w:tcPr>
          <w:p w14:paraId="3D395FCF" w14:textId="77777777" w:rsidR="007075D9" w:rsidRPr="004D46AC" w:rsidRDefault="007075D9" w:rsidP="002C5F6E">
            <w:pPr>
              <w:spacing w:line="240" w:lineRule="auto"/>
              <w:ind w:firstLine="0"/>
            </w:pPr>
            <w:r w:rsidRPr="004D46AC">
              <w:rPr>
                <w:color w:val="000000"/>
              </w:rPr>
              <w:t>TR37--TR29</w:t>
            </w:r>
          </w:p>
        </w:tc>
        <w:tc>
          <w:tcPr>
            <w:tcW w:w="1704" w:type="dxa"/>
            <w:vAlign w:val="center"/>
          </w:tcPr>
          <w:p w14:paraId="5D1D61F6" w14:textId="77777777" w:rsidR="007075D9" w:rsidRPr="004D46AC" w:rsidRDefault="007075D9" w:rsidP="002C5F6E">
            <w:pPr>
              <w:spacing w:line="240" w:lineRule="auto"/>
              <w:ind w:firstLine="0"/>
            </w:pPr>
            <w:r w:rsidRPr="004D46AC">
              <w:rPr>
                <w:color w:val="000000"/>
                <w:szCs w:val="21"/>
              </w:rPr>
              <w:t xml:space="preserve">0.22 </w:t>
            </w:r>
          </w:p>
        </w:tc>
        <w:tc>
          <w:tcPr>
            <w:tcW w:w="1704" w:type="dxa"/>
            <w:vAlign w:val="center"/>
          </w:tcPr>
          <w:p w14:paraId="4B440B6F"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0C777ED7"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5F49A597" w14:textId="77777777" w:rsidR="007075D9" w:rsidRPr="004D46AC" w:rsidRDefault="007075D9" w:rsidP="002C5F6E">
            <w:pPr>
              <w:spacing w:line="240" w:lineRule="auto"/>
              <w:ind w:firstLine="0"/>
            </w:pPr>
            <w:r w:rsidRPr="004D46AC">
              <w:rPr>
                <w:color w:val="000000"/>
                <w:szCs w:val="21"/>
              </w:rPr>
              <w:t xml:space="preserve">0.28 </w:t>
            </w:r>
          </w:p>
        </w:tc>
      </w:tr>
      <w:tr w:rsidR="007075D9" w:rsidRPr="004D46AC" w14:paraId="267CA602" w14:textId="77777777">
        <w:tc>
          <w:tcPr>
            <w:tcW w:w="1704" w:type="dxa"/>
            <w:vAlign w:val="center"/>
          </w:tcPr>
          <w:p w14:paraId="09F4CD5C" w14:textId="77777777" w:rsidR="007075D9" w:rsidRPr="004D46AC" w:rsidRDefault="007075D9" w:rsidP="002C5F6E">
            <w:pPr>
              <w:spacing w:line="240" w:lineRule="auto"/>
              <w:ind w:firstLine="0"/>
            </w:pPr>
            <w:r w:rsidRPr="004D46AC">
              <w:rPr>
                <w:color w:val="000000"/>
              </w:rPr>
              <w:t>TR13--TR25</w:t>
            </w:r>
          </w:p>
        </w:tc>
        <w:tc>
          <w:tcPr>
            <w:tcW w:w="1704" w:type="dxa"/>
            <w:vAlign w:val="center"/>
          </w:tcPr>
          <w:p w14:paraId="0F76FB12"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628AA14D"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7B5AF6EA"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6BBF5715"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4CFFE2B2" w14:textId="77777777">
        <w:tc>
          <w:tcPr>
            <w:tcW w:w="1704" w:type="dxa"/>
            <w:vAlign w:val="center"/>
          </w:tcPr>
          <w:p w14:paraId="16F96B6D" w14:textId="77777777" w:rsidR="007075D9" w:rsidRPr="004D46AC" w:rsidRDefault="007075D9" w:rsidP="002C5F6E">
            <w:pPr>
              <w:spacing w:line="240" w:lineRule="auto"/>
              <w:ind w:firstLine="0"/>
            </w:pPr>
            <w:r w:rsidRPr="004D46AC">
              <w:rPr>
                <w:color w:val="000000"/>
              </w:rPr>
              <w:t>TR19--TR26</w:t>
            </w:r>
          </w:p>
        </w:tc>
        <w:tc>
          <w:tcPr>
            <w:tcW w:w="1704" w:type="dxa"/>
            <w:vAlign w:val="center"/>
          </w:tcPr>
          <w:p w14:paraId="799B001F"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4A60A90F"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794291C4"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09DF0CEF" w14:textId="77777777" w:rsidR="007075D9" w:rsidRPr="004D46AC" w:rsidRDefault="007075D9" w:rsidP="002C5F6E">
            <w:pPr>
              <w:spacing w:line="240" w:lineRule="auto"/>
              <w:ind w:firstLine="0"/>
            </w:pPr>
            <w:r w:rsidRPr="004D46AC">
              <w:rPr>
                <w:color w:val="000000"/>
                <w:szCs w:val="21"/>
              </w:rPr>
              <w:t xml:space="preserve">0.25 </w:t>
            </w:r>
          </w:p>
        </w:tc>
      </w:tr>
      <w:tr w:rsidR="007075D9" w:rsidRPr="004D46AC" w14:paraId="5DA784B5" w14:textId="77777777">
        <w:tc>
          <w:tcPr>
            <w:tcW w:w="1704" w:type="dxa"/>
            <w:vAlign w:val="center"/>
          </w:tcPr>
          <w:p w14:paraId="0FA8B782" w14:textId="77777777" w:rsidR="007075D9" w:rsidRPr="004D46AC" w:rsidRDefault="007075D9" w:rsidP="002C5F6E">
            <w:pPr>
              <w:spacing w:line="240" w:lineRule="auto"/>
              <w:ind w:firstLine="0"/>
            </w:pPr>
            <w:r w:rsidRPr="004D46AC">
              <w:rPr>
                <w:color w:val="000000"/>
              </w:rPr>
              <w:t>TR3--TR27</w:t>
            </w:r>
          </w:p>
        </w:tc>
        <w:tc>
          <w:tcPr>
            <w:tcW w:w="1704" w:type="dxa"/>
            <w:vAlign w:val="center"/>
          </w:tcPr>
          <w:p w14:paraId="5694BED5"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2369CB98"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2CB4545F"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1D15854C"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1D6F1DAD" w14:textId="77777777">
        <w:tc>
          <w:tcPr>
            <w:tcW w:w="1704" w:type="dxa"/>
            <w:vAlign w:val="center"/>
          </w:tcPr>
          <w:p w14:paraId="7E9AF442" w14:textId="77777777" w:rsidR="007075D9" w:rsidRPr="004D46AC" w:rsidRDefault="007075D9" w:rsidP="002C5F6E">
            <w:pPr>
              <w:spacing w:line="240" w:lineRule="auto"/>
              <w:ind w:firstLine="0"/>
            </w:pPr>
            <w:r w:rsidRPr="004D46AC">
              <w:rPr>
                <w:color w:val="000000"/>
              </w:rPr>
              <w:t>TR3--TR33</w:t>
            </w:r>
          </w:p>
        </w:tc>
        <w:tc>
          <w:tcPr>
            <w:tcW w:w="1704" w:type="dxa"/>
            <w:vAlign w:val="center"/>
          </w:tcPr>
          <w:p w14:paraId="19998662"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31C52190"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72A5617C" w14:textId="77777777" w:rsidR="007075D9" w:rsidRPr="004D46AC" w:rsidRDefault="007075D9" w:rsidP="002C5F6E">
            <w:pPr>
              <w:spacing w:line="240" w:lineRule="auto"/>
              <w:ind w:firstLine="0"/>
            </w:pPr>
            <w:r w:rsidRPr="004D46AC">
              <w:rPr>
                <w:color w:val="000000"/>
                <w:szCs w:val="21"/>
              </w:rPr>
              <w:t xml:space="preserve">0.58 </w:t>
            </w:r>
          </w:p>
        </w:tc>
        <w:tc>
          <w:tcPr>
            <w:tcW w:w="1705" w:type="dxa"/>
            <w:vAlign w:val="center"/>
          </w:tcPr>
          <w:p w14:paraId="4D99B986" w14:textId="77777777" w:rsidR="007075D9" w:rsidRPr="004D46AC" w:rsidRDefault="007075D9" w:rsidP="002C5F6E">
            <w:pPr>
              <w:spacing w:line="240" w:lineRule="auto"/>
              <w:ind w:firstLine="0"/>
            </w:pPr>
            <w:r w:rsidRPr="004D46AC">
              <w:rPr>
                <w:color w:val="000000"/>
                <w:szCs w:val="21"/>
              </w:rPr>
              <w:t xml:space="preserve">0.37 </w:t>
            </w:r>
          </w:p>
        </w:tc>
      </w:tr>
      <w:tr w:rsidR="007075D9" w:rsidRPr="004D46AC" w14:paraId="24DCD7F8" w14:textId="77777777">
        <w:tc>
          <w:tcPr>
            <w:tcW w:w="1704" w:type="dxa"/>
            <w:vAlign w:val="center"/>
          </w:tcPr>
          <w:p w14:paraId="4AD24113" w14:textId="77777777" w:rsidR="007075D9" w:rsidRPr="004D46AC" w:rsidRDefault="007075D9" w:rsidP="002C5F6E">
            <w:pPr>
              <w:spacing w:line="240" w:lineRule="auto"/>
              <w:ind w:firstLine="0"/>
            </w:pPr>
            <w:r w:rsidRPr="004D46AC">
              <w:rPr>
                <w:color w:val="000000"/>
              </w:rPr>
              <w:t>TR19--TR18</w:t>
            </w:r>
          </w:p>
        </w:tc>
        <w:tc>
          <w:tcPr>
            <w:tcW w:w="1704" w:type="dxa"/>
            <w:vAlign w:val="center"/>
          </w:tcPr>
          <w:p w14:paraId="7F175DD3"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3E776562"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057932A7" w14:textId="77777777" w:rsidR="007075D9" w:rsidRPr="004D46AC" w:rsidRDefault="007075D9" w:rsidP="002C5F6E">
            <w:pPr>
              <w:spacing w:line="240" w:lineRule="auto"/>
              <w:ind w:firstLine="0"/>
            </w:pPr>
            <w:r w:rsidRPr="004D46AC">
              <w:rPr>
                <w:color w:val="000000"/>
                <w:szCs w:val="21"/>
              </w:rPr>
              <w:t xml:space="preserve">0.53 </w:t>
            </w:r>
          </w:p>
        </w:tc>
        <w:tc>
          <w:tcPr>
            <w:tcW w:w="1705" w:type="dxa"/>
            <w:vAlign w:val="center"/>
          </w:tcPr>
          <w:p w14:paraId="1598E02D"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43266263" w14:textId="77777777">
        <w:tc>
          <w:tcPr>
            <w:tcW w:w="1704" w:type="dxa"/>
            <w:vAlign w:val="center"/>
          </w:tcPr>
          <w:p w14:paraId="475612B8" w14:textId="77777777" w:rsidR="007075D9" w:rsidRPr="004D46AC" w:rsidRDefault="007075D9" w:rsidP="002C5F6E">
            <w:pPr>
              <w:spacing w:line="240" w:lineRule="auto"/>
              <w:ind w:firstLine="0"/>
            </w:pPr>
            <w:r w:rsidRPr="004D46AC">
              <w:rPr>
                <w:color w:val="000000"/>
              </w:rPr>
              <w:t>TR19--TR29</w:t>
            </w:r>
          </w:p>
        </w:tc>
        <w:tc>
          <w:tcPr>
            <w:tcW w:w="1704" w:type="dxa"/>
            <w:vAlign w:val="center"/>
          </w:tcPr>
          <w:p w14:paraId="4C18FD93" w14:textId="77777777" w:rsidR="007075D9" w:rsidRPr="004D46AC" w:rsidRDefault="007075D9" w:rsidP="002C5F6E">
            <w:pPr>
              <w:spacing w:line="240" w:lineRule="auto"/>
              <w:ind w:firstLine="0"/>
            </w:pPr>
            <w:r w:rsidRPr="004D46AC">
              <w:rPr>
                <w:color w:val="000000"/>
                <w:szCs w:val="21"/>
              </w:rPr>
              <w:t xml:space="preserve">0.21 </w:t>
            </w:r>
          </w:p>
        </w:tc>
        <w:tc>
          <w:tcPr>
            <w:tcW w:w="1704" w:type="dxa"/>
            <w:vAlign w:val="center"/>
          </w:tcPr>
          <w:p w14:paraId="75C4DD58"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1C6C7D38"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090C97C0" w14:textId="77777777" w:rsidR="007075D9" w:rsidRPr="004D46AC" w:rsidRDefault="007075D9" w:rsidP="002C5F6E">
            <w:pPr>
              <w:spacing w:line="240" w:lineRule="auto"/>
              <w:ind w:firstLine="0"/>
            </w:pPr>
            <w:r w:rsidRPr="004D46AC">
              <w:rPr>
                <w:color w:val="000000"/>
                <w:szCs w:val="21"/>
              </w:rPr>
              <w:t xml:space="preserve">0.34 </w:t>
            </w:r>
          </w:p>
        </w:tc>
      </w:tr>
      <w:tr w:rsidR="007075D9" w:rsidRPr="004D46AC" w14:paraId="37743F1A" w14:textId="77777777">
        <w:tc>
          <w:tcPr>
            <w:tcW w:w="1704" w:type="dxa"/>
            <w:vAlign w:val="center"/>
          </w:tcPr>
          <w:p w14:paraId="32994E4D" w14:textId="77777777" w:rsidR="007075D9" w:rsidRPr="004D46AC" w:rsidRDefault="007075D9" w:rsidP="002C5F6E">
            <w:pPr>
              <w:spacing w:line="240" w:lineRule="auto"/>
              <w:ind w:firstLine="0"/>
            </w:pPr>
            <w:r w:rsidRPr="004D46AC">
              <w:rPr>
                <w:color w:val="000000"/>
              </w:rPr>
              <w:t>TR26--TR6</w:t>
            </w:r>
          </w:p>
        </w:tc>
        <w:tc>
          <w:tcPr>
            <w:tcW w:w="1704" w:type="dxa"/>
            <w:vAlign w:val="center"/>
          </w:tcPr>
          <w:p w14:paraId="3E5DADC0"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2ADF670F"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578168CA" w14:textId="77777777" w:rsidR="007075D9" w:rsidRPr="004D46AC" w:rsidRDefault="007075D9" w:rsidP="002C5F6E">
            <w:pPr>
              <w:spacing w:line="240" w:lineRule="auto"/>
              <w:ind w:firstLine="0"/>
            </w:pPr>
            <w:r w:rsidRPr="004D46AC">
              <w:rPr>
                <w:color w:val="000000"/>
                <w:szCs w:val="21"/>
              </w:rPr>
              <w:t xml:space="preserve">0.54 </w:t>
            </w:r>
          </w:p>
        </w:tc>
        <w:tc>
          <w:tcPr>
            <w:tcW w:w="1705" w:type="dxa"/>
            <w:vAlign w:val="center"/>
          </w:tcPr>
          <w:p w14:paraId="1A9DEC05" w14:textId="77777777" w:rsidR="007075D9" w:rsidRPr="004D46AC" w:rsidRDefault="007075D9" w:rsidP="002C5F6E">
            <w:pPr>
              <w:spacing w:line="240" w:lineRule="auto"/>
              <w:ind w:firstLine="0"/>
            </w:pPr>
            <w:r w:rsidRPr="004D46AC">
              <w:rPr>
                <w:color w:val="000000"/>
                <w:szCs w:val="21"/>
              </w:rPr>
              <w:t xml:space="preserve">0.35 </w:t>
            </w:r>
          </w:p>
        </w:tc>
      </w:tr>
      <w:tr w:rsidR="007075D9" w:rsidRPr="004D46AC" w14:paraId="2CBF406F" w14:textId="77777777">
        <w:tc>
          <w:tcPr>
            <w:tcW w:w="1704" w:type="dxa"/>
            <w:vAlign w:val="center"/>
          </w:tcPr>
          <w:p w14:paraId="01A5A6A2" w14:textId="77777777" w:rsidR="007075D9" w:rsidRPr="004D46AC" w:rsidRDefault="007075D9" w:rsidP="002C5F6E">
            <w:pPr>
              <w:spacing w:line="240" w:lineRule="auto"/>
              <w:ind w:firstLine="0"/>
            </w:pPr>
            <w:r w:rsidRPr="004D46AC">
              <w:rPr>
                <w:color w:val="000000"/>
              </w:rPr>
              <w:t>TR37--TR9</w:t>
            </w:r>
          </w:p>
        </w:tc>
        <w:tc>
          <w:tcPr>
            <w:tcW w:w="1704" w:type="dxa"/>
            <w:vAlign w:val="center"/>
          </w:tcPr>
          <w:p w14:paraId="4AF654B1"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671BDAD9" w14:textId="77777777" w:rsidR="007075D9" w:rsidRPr="004D46AC" w:rsidRDefault="007075D9" w:rsidP="002C5F6E">
            <w:pPr>
              <w:spacing w:line="240" w:lineRule="auto"/>
              <w:ind w:firstLine="0"/>
            </w:pPr>
            <w:r w:rsidRPr="004D46AC">
              <w:rPr>
                <w:color w:val="000000"/>
                <w:szCs w:val="21"/>
              </w:rPr>
              <w:t xml:space="preserve">-0.10 </w:t>
            </w:r>
          </w:p>
        </w:tc>
        <w:tc>
          <w:tcPr>
            <w:tcW w:w="1705" w:type="dxa"/>
            <w:vAlign w:val="center"/>
          </w:tcPr>
          <w:p w14:paraId="32A7A640"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64A1C2E9" w14:textId="77777777" w:rsidR="007075D9" w:rsidRPr="004D46AC" w:rsidRDefault="007075D9" w:rsidP="002C5F6E">
            <w:pPr>
              <w:spacing w:line="240" w:lineRule="auto"/>
              <w:ind w:firstLine="0"/>
            </w:pPr>
            <w:r w:rsidRPr="004D46AC">
              <w:rPr>
                <w:color w:val="000000"/>
                <w:szCs w:val="21"/>
              </w:rPr>
              <w:t xml:space="preserve">0.19 </w:t>
            </w:r>
          </w:p>
        </w:tc>
      </w:tr>
      <w:tr w:rsidR="007075D9" w:rsidRPr="004D46AC" w14:paraId="33CC665F" w14:textId="77777777">
        <w:tc>
          <w:tcPr>
            <w:tcW w:w="1704" w:type="dxa"/>
            <w:vAlign w:val="center"/>
          </w:tcPr>
          <w:p w14:paraId="4017A95B" w14:textId="77777777" w:rsidR="007075D9" w:rsidRPr="004D46AC" w:rsidRDefault="007075D9" w:rsidP="002C5F6E">
            <w:pPr>
              <w:spacing w:line="240" w:lineRule="auto"/>
              <w:ind w:firstLine="0"/>
            </w:pPr>
            <w:r w:rsidRPr="004D46AC">
              <w:rPr>
                <w:color w:val="000000"/>
              </w:rPr>
              <w:t>TR18--TR22</w:t>
            </w:r>
          </w:p>
        </w:tc>
        <w:tc>
          <w:tcPr>
            <w:tcW w:w="1704" w:type="dxa"/>
            <w:vAlign w:val="center"/>
          </w:tcPr>
          <w:p w14:paraId="66C8E963"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44AE794B"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74701586"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0AF6A95F" w14:textId="77777777" w:rsidR="007075D9" w:rsidRPr="004D46AC" w:rsidRDefault="007075D9" w:rsidP="002C5F6E">
            <w:pPr>
              <w:spacing w:line="240" w:lineRule="auto"/>
              <w:ind w:firstLine="0"/>
            </w:pPr>
            <w:r w:rsidRPr="004D46AC">
              <w:rPr>
                <w:color w:val="000000"/>
                <w:szCs w:val="21"/>
              </w:rPr>
              <w:t xml:space="preserve">0.24 </w:t>
            </w:r>
          </w:p>
        </w:tc>
      </w:tr>
      <w:tr w:rsidR="007075D9" w:rsidRPr="004D46AC" w14:paraId="0E1408F1" w14:textId="77777777">
        <w:tc>
          <w:tcPr>
            <w:tcW w:w="1704" w:type="dxa"/>
            <w:vAlign w:val="center"/>
          </w:tcPr>
          <w:p w14:paraId="43802194" w14:textId="77777777" w:rsidR="007075D9" w:rsidRPr="004D46AC" w:rsidRDefault="007075D9" w:rsidP="002C5F6E">
            <w:pPr>
              <w:spacing w:line="240" w:lineRule="auto"/>
              <w:ind w:firstLine="0"/>
            </w:pPr>
            <w:r w:rsidRPr="004D46AC">
              <w:rPr>
                <w:color w:val="000000"/>
              </w:rPr>
              <w:t>TR7--TR18</w:t>
            </w:r>
          </w:p>
        </w:tc>
        <w:tc>
          <w:tcPr>
            <w:tcW w:w="1704" w:type="dxa"/>
            <w:vAlign w:val="center"/>
          </w:tcPr>
          <w:p w14:paraId="25950727"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61403B95"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783AA9DA" w14:textId="77777777" w:rsidR="007075D9" w:rsidRPr="004D46AC" w:rsidRDefault="007075D9" w:rsidP="002C5F6E">
            <w:pPr>
              <w:spacing w:line="240" w:lineRule="auto"/>
              <w:ind w:firstLine="0"/>
            </w:pPr>
            <w:r w:rsidRPr="004D46AC">
              <w:rPr>
                <w:color w:val="000000"/>
                <w:szCs w:val="21"/>
              </w:rPr>
              <w:t xml:space="preserve">0.56 </w:t>
            </w:r>
          </w:p>
        </w:tc>
        <w:tc>
          <w:tcPr>
            <w:tcW w:w="1705" w:type="dxa"/>
            <w:vAlign w:val="center"/>
          </w:tcPr>
          <w:p w14:paraId="7D931185" w14:textId="77777777" w:rsidR="007075D9" w:rsidRPr="004D46AC" w:rsidRDefault="007075D9" w:rsidP="002C5F6E">
            <w:pPr>
              <w:spacing w:line="240" w:lineRule="auto"/>
              <w:ind w:firstLine="0"/>
            </w:pPr>
            <w:r w:rsidRPr="004D46AC">
              <w:rPr>
                <w:color w:val="000000"/>
                <w:szCs w:val="21"/>
              </w:rPr>
              <w:t xml:space="preserve">0.34 </w:t>
            </w:r>
          </w:p>
        </w:tc>
      </w:tr>
      <w:tr w:rsidR="007075D9" w:rsidRPr="004D46AC" w14:paraId="368AE4E9" w14:textId="77777777">
        <w:tc>
          <w:tcPr>
            <w:tcW w:w="1704" w:type="dxa"/>
            <w:vAlign w:val="center"/>
          </w:tcPr>
          <w:p w14:paraId="31A7AF23" w14:textId="77777777" w:rsidR="007075D9" w:rsidRPr="004D46AC" w:rsidRDefault="007075D9" w:rsidP="002C5F6E">
            <w:pPr>
              <w:spacing w:line="240" w:lineRule="auto"/>
              <w:ind w:firstLine="0"/>
            </w:pPr>
            <w:r w:rsidRPr="004D46AC">
              <w:rPr>
                <w:color w:val="000000"/>
              </w:rPr>
              <w:t>TR21--TR18</w:t>
            </w:r>
          </w:p>
        </w:tc>
        <w:tc>
          <w:tcPr>
            <w:tcW w:w="1704" w:type="dxa"/>
            <w:vAlign w:val="center"/>
          </w:tcPr>
          <w:p w14:paraId="08F6A44A"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790964CD"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786CF5F8" w14:textId="77777777" w:rsidR="007075D9" w:rsidRPr="004D46AC" w:rsidRDefault="007075D9" w:rsidP="002C5F6E">
            <w:pPr>
              <w:spacing w:line="240" w:lineRule="auto"/>
              <w:ind w:firstLine="0"/>
            </w:pPr>
            <w:r w:rsidRPr="004D46AC">
              <w:rPr>
                <w:color w:val="000000"/>
                <w:szCs w:val="21"/>
              </w:rPr>
              <w:t xml:space="preserve">0.52 </w:t>
            </w:r>
          </w:p>
        </w:tc>
        <w:tc>
          <w:tcPr>
            <w:tcW w:w="1705" w:type="dxa"/>
            <w:vAlign w:val="center"/>
          </w:tcPr>
          <w:p w14:paraId="072521B6" w14:textId="77777777" w:rsidR="007075D9" w:rsidRPr="004D46AC" w:rsidRDefault="007075D9" w:rsidP="002C5F6E">
            <w:pPr>
              <w:spacing w:line="240" w:lineRule="auto"/>
              <w:ind w:firstLine="0"/>
            </w:pPr>
            <w:r w:rsidRPr="004D46AC">
              <w:rPr>
                <w:color w:val="000000"/>
                <w:szCs w:val="21"/>
              </w:rPr>
              <w:t xml:space="preserve">0.21 </w:t>
            </w:r>
          </w:p>
        </w:tc>
      </w:tr>
      <w:tr w:rsidR="007075D9" w:rsidRPr="004D46AC" w14:paraId="2D9778A4" w14:textId="77777777">
        <w:tc>
          <w:tcPr>
            <w:tcW w:w="1704" w:type="dxa"/>
            <w:vAlign w:val="center"/>
          </w:tcPr>
          <w:p w14:paraId="097C956A" w14:textId="77777777" w:rsidR="007075D9" w:rsidRPr="004D46AC" w:rsidRDefault="007075D9" w:rsidP="002C5F6E">
            <w:pPr>
              <w:spacing w:line="240" w:lineRule="auto"/>
              <w:ind w:firstLine="0"/>
            </w:pPr>
            <w:r w:rsidRPr="004D46AC">
              <w:rPr>
                <w:color w:val="000000"/>
              </w:rPr>
              <w:t>TR21--TR9</w:t>
            </w:r>
          </w:p>
        </w:tc>
        <w:tc>
          <w:tcPr>
            <w:tcW w:w="1704" w:type="dxa"/>
            <w:vAlign w:val="center"/>
          </w:tcPr>
          <w:p w14:paraId="0B7CC406" w14:textId="77777777" w:rsidR="007075D9" w:rsidRPr="004D46AC" w:rsidRDefault="007075D9" w:rsidP="002C5F6E">
            <w:pPr>
              <w:spacing w:line="240" w:lineRule="auto"/>
              <w:ind w:firstLine="0"/>
            </w:pPr>
            <w:r w:rsidRPr="004D46AC">
              <w:rPr>
                <w:color w:val="000000"/>
                <w:szCs w:val="21"/>
              </w:rPr>
              <w:t xml:space="preserve">0.20 </w:t>
            </w:r>
          </w:p>
        </w:tc>
        <w:tc>
          <w:tcPr>
            <w:tcW w:w="1704" w:type="dxa"/>
            <w:vAlign w:val="center"/>
          </w:tcPr>
          <w:p w14:paraId="4C78DCB7"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53B83DB5"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5E2431CD"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63020B43" w14:textId="77777777">
        <w:tc>
          <w:tcPr>
            <w:tcW w:w="1704" w:type="dxa"/>
            <w:vAlign w:val="center"/>
          </w:tcPr>
          <w:p w14:paraId="26FBE606" w14:textId="77777777" w:rsidR="007075D9" w:rsidRPr="004D46AC" w:rsidRDefault="007075D9" w:rsidP="002C5F6E">
            <w:pPr>
              <w:spacing w:line="240" w:lineRule="auto"/>
              <w:ind w:firstLine="0"/>
            </w:pPr>
            <w:r w:rsidRPr="004D46AC">
              <w:rPr>
                <w:color w:val="000000"/>
              </w:rPr>
              <w:t>TR23--TR9</w:t>
            </w:r>
          </w:p>
        </w:tc>
        <w:tc>
          <w:tcPr>
            <w:tcW w:w="1704" w:type="dxa"/>
            <w:vAlign w:val="center"/>
          </w:tcPr>
          <w:p w14:paraId="28B441BB"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264A7CB3" w14:textId="77777777" w:rsidR="007075D9" w:rsidRPr="004D46AC" w:rsidRDefault="007075D9" w:rsidP="002C5F6E">
            <w:pPr>
              <w:spacing w:line="240" w:lineRule="auto"/>
              <w:ind w:firstLine="0"/>
            </w:pPr>
            <w:r w:rsidRPr="004D46AC">
              <w:rPr>
                <w:color w:val="000000"/>
                <w:szCs w:val="21"/>
              </w:rPr>
              <w:t xml:space="preserve">-0.12 </w:t>
            </w:r>
          </w:p>
        </w:tc>
        <w:tc>
          <w:tcPr>
            <w:tcW w:w="1705" w:type="dxa"/>
            <w:vAlign w:val="center"/>
          </w:tcPr>
          <w:p w14:paraId="129EA9BC" w14:textId="77777777" w:rsidR="007075D9" w:rsidRPr="004D46AC" w:rsidRDefault="007075D9" w:rsidP="002C5F6E">
            <w:pPr>
              <w:spacing w:line="240" w:lineRule="auto"/>
              <w:ind w:firstLine="0"/>
            </w:pPr>
            <w:r w:rsidRPr="004D46AC">
              <w:rPr>
                <w:color w:val="000000"/>
                <w:szCs w:val="21"/>
              </w:rPr>
              <w:t xml:space="preserve">0.51 </w:t>
            </w:r>
          </w:p>
        </w:tc>
        <w:tc>
          <w:tcPr>
            <w:tcW w:w="1705" w:type="dxa"/>
            <w:vAlign w:val="center"/>
          </w:tcPr>
          <w:p w14:paraId="6BE24871"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461F47C9" w14:textId="77777777">
        <w:tc>
          <w:tcPr>
            <w:tcW w:w="1704" w:type="dxa"/>
            <w:vAlign w:val="center"/>
          </w:tcPr>
          <w:p w14:paraId="6076FF0D" w14:textId="77777777" w:rsidR="007075D9" w:rsidRPr="004D46AC" w:rsidRDefault="007075D9" w:rsidP="002C5F6E">
            <w:pPr>
              <w:spacing w:line="240" w:lineRule="auto"/>
              <w:ind w:firstLine="0"/>
            </w:pPr>
            <w:r w:rsidRPr="004D46AC">
              <w:rPr>
                <w:color w:val="000000"/>
              </w:rPr>
              <w:t>TR17--TR33</w:t>
            </w:r>
          </w:p>
        </w:tc>
        <w:tc>
          <w:tcPr>
            <w:tcW w:w="1704" w:type="dxa"/>
            <w:vAlign w:val="center"/>
          </w:tcPr>
          <w:p w14:paraId="50237D46" w14:textId="77777777" w:rsidR="007075D9" w:rsidRPr="004D46AC" w:rsidRDefault="007075D9" w:rsidP="002C5F6E">
            <w:pPr>
              <w:spacing w:line="240" w:lineRule="auto"/>
              <w:ind w:firstLine="0"/>
            </w:pPr>
            <w:r w:rsidRPr="004D46AC">
              <w:rPr>
                <w:color w:val="000000"/>
                <w:szCs w:val="21"/>
              </w:rPr>
              <w:t xml:space="preserve">0.19 </w:t>
            </w:r>
          </w:p>
        </w:tc>
        <w:tc>
          <w:tcPr>
            <w:tcW w:w="1704" w:type="dxa"/>
            <w:vAlign w:val="center"/>
          </w:tcPr>
          <w:p w14:paraId="7C89C150"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4BCA26ED"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25443E85" w14:textId="77777777" w:rsidR="007075D9" w:rsidRPr="004D46AC" w:rsidRDefault="007075D9" w:rsidP="002C5F6E">
            <w:pPr>
              <w:spacing w:line="240" w:lineRule="auto"/>
              <w:ind w:firstLine="0"/>
            </w:pPr>
            <w:r w:rsidRPr="004D46AC">
              <w:rPr>
                <w:color w:val="000000"/>
                <w:szCs w:val="21"/>
              </w:rPr>
              <w:t xml:space="preserve">0.23 </w:t>
            </w:r>
          </w:p>
        </w:tc>
      </w:tr>
      <w:tr w:rsidR="007075D9" w:rsidRPr="004D46AC" w14:paraId="7F8CC6E9" w14:textId="77777777">
        <w:tc>
          <w:tcPr>
            <w:tcW w:w="1704" w:type="dxa"/>
            <w:vAlign w:val="center"/>
          </w:tcPr>
          <w:p w14:paraId="3911D132" w14:textId="77777777" w:rsidR="007075D9" w:rsidRPr="004D46AC" w:rsidRDefault="007075D9" w:rsidP="002C5F6E">
            <w:pPr>
              <w:spacing w:line="240" w:lineRule="auto"/>
              <w:ind w:firstLine="0"/>
            </w:pPr>
            <w:r w:rsidRPr="004D46AC">
              <w:rPr>
                <w:color w:val="000000"/>
              </w:rPr>
              <w:t>TR24--TR22</w:t>
            </w:r>
          </w:p>
        </w:tc>
        <w:tc>
          <w:tcPr>
            <w:tcW w:w="1704" w:type="dxa"/>
            <w:vAlign w:val="center"/>
          </w:tcPr>
          <w:p w14:paraId="7B934992"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5C7A6125"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5DEDB310" w14:textId="77777777" w:rsidR="007075D9" w:rsidRPr="004D46AC" w:rsidRDefault="007075D9" w:rsidP="002C5F6E">
            <w:pPr>
              <w:spacing w:line="240" w:lineRule="auto"/>
              <w:ind w:firstLine="0"/>
            </w:pPr>
            <w:r w:rsidRPr="004D46AC">
              <w:rPr>
                <w:color w:val="000000"/>
                <w:szCs w:val="21"/>
              </w:rPr>
              <w:t xml:space="preserve">0.50 </w:t>
            </w:r>
          </w:p>
        </w:tc>
        <w:tc>
          <w:tcPr>
            <w:tcW w:w="1705" w:type="dxa"/>
            <w:vAlign w:val="center"/>
          </w:tcPr>
          <w:p w14:paraId="02FB58DD" w14:textId="77777777" w:rsidR="007075D9" w:rsidRPr="004D46AC" w:rsidRDefault="007075D9" w:rsidP="002C5F6E">
            <w:pPr>
              <w:spacing w:line="240" w:lineRule="auto"/>
              <w:ind w:firstLine="0"/>
            </w:pPr>
            <w:r w:rsidRPr="004D46AC">
              <w:rPr>
                <w:color w:val="000000"/>
                <w:szCs w:val="21"/>
              </w:rPr>
              <w:t xml:space="preserve">0.28 </w:t>
            </w:r>
          </w:p>
        </w:tc>
      </w:tr>
      <w:tr w:rsidR="007075D9" w:rsidRPr="004D46AC" w14:paraId="6F3EC411" w14:textId="77777777">
        <w:tc>
          <w:tcPr>
            <w:tcW w:w="1704" w:type="dxa"/>
            <w:vAlign w:val="center"/>
          </w:tcPr>
          <w:p w14:paraId="56B7D46D" w14:textId="77777777" w:rsidR="007075D9" w:rsidRPr="004D46AC" w:rsidRDefault="007075D9" w:rsidP="002C5F6E">
            <w:pPr>
              <w:spacing w:line="240" w:lineRule="auto"/>
              <w:ind w:firstLine="0"/>
            </w:pPr>
            <w:r w:rsidRPr="004D46AC">
              <w:rPr>
                <w:color w:val="000000"/>
              </w:rPr>
              <w:t>TR26--TR37</w:t>
            </w:r>
          </w:p>
        </w:tc>
        <w:tc>
          <w:tcPr>
            <w:tcW w:w="1704" w:type="dxa"/>
            <w:vAlign w:val="center"/>
          </w:tcPr>
          <w:p w14:paraId="655D4D36" w14:textId="77777777" w:rsidR="007075D9" w:rsidRPr="004D46AC" w:rsidRDefault="007075D9" w:rsidP="002C5F6E">
            <w:pPr>
              <w:spacing w:line="240" w:lineRule="auto"/>
              <w:ind w:firstLine="0"/>
            </w:pPr>
            <w:r w:rsidRPr="004D46AC">
              <w:rPr>
                <w:color w:val="000000"/>
                <w:szCs w:val="21"/>
              </w:rPr>
              <w:t xml:space="preserve">0.18 </w:t>
            </w:r>
          </w:p>
        </w:tc>
        <w:tc>
          <w:tcPr>
            <w:tcW w:w="1704" w:type="dxa"/>
            <w:vAlign w:val="center"/>
          </w:tcPr>
          <w:p w14:paraId="4767F4DF"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7A29EA32"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350A828A" w14:textId="77777777" w:rsidR="007075D9" w:rsidRPr="004D46AC" w:rsidRDefault="007075D9" w:rsidP="002C5F6E">
            <w:pPr>
              <w:spacing w:line="240" w:lineRule="auto"/>
              <w:ind w:firstLine="0"/>
            </w:pPr>
            <w:r w:rsidRPr="004D46AC">
              <w:rPr>
                <w:color w:val="000000"/>
                <w:szCs w:val="21"/>
              </w:rPr>
              <w:t xml:space="preserve">0.22 </w:t>
            </w:r>
          </w:p>
        </w:tc>
      </w:tr>
      <w:tr w:rsidR="007075D9" w:rsidRPr="004D46AC" w14:paraId="3C74DC7F" w14:textId="77777777">
        <w:tc>
          <w:tcPr>
            <w:tcW w:w="1704" w:type="dxa"/>
            <w:vAlign w:val="center"/>
          </w:tcPr>
          <w:p w14:paraId="55F4BB82" w14:textId="77777777" w:rsidR="007075D9" w:rsidRPr="004D46AC" w:rsidRDefault="007075D9" w:rsidP="002C5F6E">
            <w:pPr>
              <w:spacing w:line="240" w:lineRule="auto"/>
              <w:ind w:firstLine="0"/>
            </w:pPr>
            <w:r w:rsidRPr="004D46AC">
              <w:rPr>
                <w:color w:val="000000"/>
              </w:rPr>
              <w:lastRenderedPageBreak/>
              <w:t>TR17--TR16</w:t>
            </w:r>
          </w:p>
        </w:tc>
        <w:tc>
          <w:tcPr>
            <w:tcW w:w="1704" w:type="dxa"/>
            <w:vAlign w:val="center"/>
          </w:tcPr>
          <w:p w14:paraId="28CA4378"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728B12E1"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5C603C18" w14:textId="77777777" w:rsidR="007075D9" w:rsidRPr="004D46AC" w:rsidRDefault="007075D9" w:rsidP="002C5F6E">
            <w:pPr>
              <w:spacing w:line="240" w:lineRule="auto"/>
              <w:ind w:firstLine="0"/>
            </w:pPr>
            <w:r w:rsidRPr="004D46AC">
              <w:rPr>
                <w:color w:val="000000"/>
                <w:szCs w:val="21"/>
              </w:rPr>
              <w:t xml:space="preserve">0.48 </w:t>
            </w:r>
          </w:p>
        </w:tc>
        <w:tc>
          <w:tcPr>
            <w:tcW w:w="1705" w:type="dxa"/>
            <w:vAlign w:val="center"/>
          </w:tcPr>
          <w:p w14:paraId="72EE5662" w14:textId="77777777" w:rsidR="007075D9" w:rsidRPr="004D46AC" w:rsidRDefault="007075D9" w:rsidP="002C5F6E">
            <w:pPr>
              <w:spacing w:line="240" w:lineRule="auto"/>
              <w:ind w:firstLine="0"/>
            </w:pPr>
            <w:r w:rsidRPr="004D46AC">
              <w:rPr>
                <w:color w:val="000000"/>
                <w:szCs w:val="21"/>
              </w:rPr>
              <w:t xml:space="preserve">0.41 </w:t>
            </w:r>
          </w:p>
        </w:tc>
      </w:tr>
      <w:tr w:rsidR="007075D9" w:rsidRPr="004D46AC" w14:paraId="38C23DC2" w14:textId="77777777">
        <w:tc>
          <w:tcPr>
            <w:tcW w:w="1704" w:type="dxa"/>
            <w:vAlign w:val="center"/>
          </w:tcPr>
          <w:p w14:paraId="6A3BC761" w14:textId="77777777" w:rsidR="007075D9" w:rsidRPr="004D46AC" w:rsidRDefault="007075D9" w:rsidP="002C5F6E">
            <w:pPr>
              <w:spacing w:line="240" w:lineRule="auto"/>
              <w:ind w:firstLine="0"/>
            </w:pPr>
            <w:r w:rsidRPr="004D46AC">
              <w:rPr>
                <w:color w:val="000000"/>
              </w:rPr>
              <w:t>TR12--TR26</w:t>
            </w:r>
          </w:p>
        </w:tc>
        <w:tc>
          <w:tcPr>
            <w:tcW w:w="1704" w:type="dxa"/>
            <w:vAlign w:val="center"/>
          </w:tcPr>
          <w:p w14:paraId="125CCCE0"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0D2C71CA"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7D15FFA3"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4FFD0554" w14:textId="77777777" w:rsidR="007075D9" w:rsidRPr="004D46AC" w:rsidRDefault="007075D9" w:rsidP="002C5F6E">
            <w:pPr>
              <w:spacing w:line="240" w:lineRule="auto"/>
              <w:ind w:firstLine="0"/>
            </w:pPr>
            <w:r w:rsidRPr="004D46AC">
              <w:rPr>
                <w:color w:val="000000"/>
                <w:szCs w:val="21"/>
              </w:rPr>
              <w:t xml:space="preserve">0.46 </w:t>
            </w:r>
          </w:p>
        </w:tc>
      </w:tr>
      <w:tr w:rsidR="007075D9" w:rsidRPr="004D46AC" w14:paraId="704852B7" w14:textId="77777777">
        <w:tc>
          <w:tcPr>
            <w:tcW w:w="1704" w:type="dxa"/>
            <w:vAlign w:val="center"/>
          </w:tcPr>
          <w:p w14:paraId="0EC817F1" w14:textId="77777777" w:rsidR="007075D9" w:rsidRPr="004D46AC" w:rsidRDefault="007075D9" w:rsidP="002C5F6E">
            <w:pPr>
              <w:spacing w:line="240" w:lineRule="auto"/>
              <w:ind w:firstLine="0"/>
            </w:pPr>
            <w:r w:rsidRPr="004D46AC">
              <w:rPr>
                <w:color w:val="000000"/>
              </w:rPr>
              <w:t>TR3--TR37</w:t>
            </w:r>
          </w:p>
        </w:tc>
        <w:tc>
          <w:tcPr>
            <w:tcW w:w="1704" w:type="dxa"/>
            <w:vAlign w:val="center"/>
          </w:tcPr>
          <w:p w14:paraId="2D4B3193"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38B990A5"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41EEE547" w14:textId="77777777" w:rsidR="007075D9" w:rsidRPr="004D46AC" w:rsidRDefault="007075D9" w:rsidP="002C5F6E">
            <w:pPr>
              <w:spacing w:line="240" w:lineRule="auto"/>
              <w:ind w:firstLine="0"/>
            </w:pPr>
            <w:r w:rsidRPr="004D46AC">
              <w:rPr>
                <w:color w:val="000000"/>
                <w:szCs w:val="21"/>
              </w:rPr>
              <w:t xml:space="preserve">0.49 </w:t>
            </w:r>
          </w:p>
        </w:tc>
        <w:tc>
          <w:tcPr>
            <w:tcW w:w="1705" w:type="dxa"/>
            <w:vAlign w:val="center"/>
          </w:tcPr>
          <w:p w14:paraId="04DEBEBF" w14:textId="77777777" w:rsidR="007075D9" w:rsidRPr="004D46AC" w:rsidRDefault="007075D9" w:rsidP="002C5F6E">
            <w:pPr>
              <w:spacing w:line="240" w:lineRule="auto"/>
              <w:ind w:firstLine="0"/>
            </w:pPr>
            <w:r w:rsidRPr="004D46AC">
              <w:rPr>
                <w:color w:val="000000"/>
                <w:szCs w:val="21"/>
              </w:rPr>
              <w:t xml:space="preserve">0.34 </w:t>
            </w:r>
          </w:p>
        </w:tc>
      </w:tr>
      <w:tr w:rsidR="007075D9" w:rsidRPr="004D46AC" w14:paraId="4542B92A" w14:textId="77777777">
        <w:tc>
          <w:tcPr>
            <w:tcW w:w="1704" w:type="dxa"/>
            <w:vAlign w:val="center"/>
          </w:tcPr>
          <w:p w14:paraId="219A3290" w14:textId="77777777" w:rsidR="007075D9" w:rsidRPr="004D46AC" w:rsidRDefault="007075D9" w:rsidP="002C5F6E">
            <w:pPr>
              <w:spacing w:line="240" w:lineRule="auto"/>
              <w:ind w:firstLine="0"/>
            </w:pPr>
            <w:r w:rsidRPr="004D46AC">
              <w:rPr>
                <w:color w:val="000000"/>
              </w:rPr>
              <w:t>TR18--TR20</w:t>
            </w:r>
          </w:p>
        </w:tc>
        <w:tc>
          <w:tcPr>
            <w:tcW w:w="1704" w:type="dxa"/>
            <w:vAlign w:val="center"/>
          </w:tcPr>
          <w:p w14:paraId="3392905C" w14:textId="77777777" w:rsidR="007075D9" w:rsidRPr="004D46AC" w:rsidRDefault="007075D9" w:rsidP="002C5F6E">
            <w:pPr>
              <w:spacing w:line="240" w:lineRule="auto"/>
              <w:ind w:firstLine="0"/>
            </w:pPr>
            <w:r w:rsidRPr="004D46AC">
              <w:rPr>
                <w:color w:val="000000"/>
                <w:szCs w:val="21"/>
              </w:rPr>
              <w:t xml:space="preserve">0.17 </w:t>
            </w:r>
          </w:p>
        </w:tc>
        <w:tc>
          <w:tcPr>
            <w:tcW w:w="1704" w:type="dxa"/>
            <w:vAlign w:val="center"/>
          </w:tcPr>
          <w:p w14:paraId="18B8EF4B"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09C0C9DF" w14:textId="77777777" w:rsidR="007075D9" w:rsidRPr="004D46AC" w:rsidRDefault="007075D9" w:rsidP="002C5F6E">
            <w:pPr>
              <w:spacing w:line="240" w:lineRule="auto"/>
              <w:ind w:firstLine="0"/>
            </w:pPr>
            <w:r w:rsidRPr="004D46AC">
              <w:rPr>
                <w:color w:val="000000"/>
                <w:szCs w:val="21"/>
              </w:rPr>
              <w:t xml:space="preserve">0.47 </w:t>
            </w:r>
          </w:p>
        </w:tc>
        <w:tc>
          <w:tcPr>
            <w:tcW w:w="1705" w:type="dxa"/>
            <w:vAlign w:val="center"/>
          </w:tcPr>
          <w:p w14:paraId="440D1746" w14:textId="77777777" w:rsidR="007075D9" w:rsidRPr="004D46AC" w:rsidRDefault="007075D9" w:rsidP="002C5F6E">
            <w:pPr>
              <w:spacing w:line="240" w:lineRule="auto"/>
              <w:ind w:firstLine="0"/>
            </w:pPr>
            <w:r w:rsidRPr="004D46AC">
              <w:rPr>
                <w:color w:val="000000"/>
                <w:szCs w:val="21"/>
              </w:rPr>
              <w:t xml:space="preserve">0.39 </w:t>
            </w:r>
          </w:p>
        </w:tc>
      </w:tr>
      <w:tr w:rsidR="007075D9" w:rsidRPr="004D46AC" w14:paraId="757C8F31" w14:textId="77777777">
        <w:tc>
          <w:tcPr>
            <w:tcW w:w="1704" w:type="dxa"/>
            <w:vAlign w:val="center"/>
          </w:tcPr>
          <w:p w14:paraId="2BC646D8" w14:textId="77777777" w:rsidR="007075D9" w:rsidRPr="004D46AC" w:rsidRDefault="007075D9" w:rsidP="002C5F6E">
            <w:pPr>
              <w:spacing w:line="240" w:lineRule="auto"/>
              <w:ind w:firstLine="0"/>
            </w:pPr>
            <w:r w:rsidRPr="004D46AC">
              <w:rPr>
                <w:color w:val="000000"/>
              </w:rPr>
              <w:t>TR30--TR25</w:t>
            </w:r>
          </w:p>
        </w:tc>
        <w:tc>
          <w:tcPr>
            <w:tcW w:w="1704" w:type="dxa"/>
            <w:vAlign w:val="center"/>
          </w:tcPr>
          <w:p w14:paraId="709883FD"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260C719B"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466F01FA" w14:textId="77777777" w:rsidR="007075D9" w:rsidRPr="004D46AC" w:rsidRDefault="007075D9" w:rsidP="002C5F6E">
            <w:pPr>
              <w:spacing w:line="240" w:lineRule="auto"/>
              <w:ind w:firstLine="0"/>
            </w:pPr>
            <w:r w:rsidRPr="004D46AC">
              <w:rPr>
                <w:color w:val="000000"/>
                <w:szCs w:val="21"/>
              </w:rPr>
              <w:t xml:space="preserve">0.47 </w:t>
            </w:r>
          </w:p>
        </w:tc>
        <w:tc>
          <w:tcPr>
            <w:tcW w:w="1705" w:type="dxa"/>
            <w:vAlign w:val="center"/>
          </w:tcPr>
          <w:p w14:paraId="2BABB647" w14:textId="77777777" w:rsidR="007075D9" w:rsidRPr="004D46AC" w:rsidRDefault="007075D9" w:rsidP="002C5F6E">
            <w:pPr>
              <w:spacing w:line="240" w:lineRule="auto"/>
              <w:ind w:firstLine="0"/>
            </w:pPr>
            <w:r w:rsidRPr="004D46AC">
              <w:rPr>
                <w:color w:val="000000"/>
                <w:szCs w:val="21"/>
              </w:rPr>
              <w:t xml:space="preserve">0.20 </w:t>
            </w:r>
          </w:p>
        </w:tc>
      </w:tr>
      <w:tr w:rsidR="007075D9" w:rsidRPr="004D46AC" w14:paraId="0727416E" w14:textId="77777777">
        <w:tc>
          <w:tcPr>
            <w:tcW w:w="1704" w:type="dxa"/>
            <w:vAlign w:val="center"/>
          </w:tcPr>
          <w:p w14:paraId="468E3CFE" w14:textId="77777777" w:rsidR="007075D9" w:rsidRPr="004D46AC" w:rsidRDefault="007075D9" w:rsidP="002C5F6E">
            <w:pPr>
              <w:spacing w:line="240" w:lineRule="auto"/>
              <w:ind w:firstLine="0"/>
            </w:pPr>
            <w:r w:rsidRPr="004D46AC">
              <w:rPr>
                <w:color w:val="000000"/>
              </w:rPr>
              <w:t>TR3--TR7</w:t>
            </w:r>
          </w:p>
        </w:tc>
        <w:tc>
          <w:tcPr>
            <w:tcW w:w="1704" w:type="dxa"/>
            <w:vAlign w:val="center"/>
          </w:tcPr>
          <w:p w14:paraId="59C6AF38" w14:textId="77777777" w:rsidR="007075D9" w:rsidRPr="004D46AC" w:rsidRDefault="007075D9" w:rsidP="002C5F6E">
            <w:pPr>
              <w:spacing w:line="240" w:lineRule="auto"/>
              <w:ind w:firstLine="0"/>
            </w:pPr>
            <w:r w:rsidRPr="004D46AC">
              <w:rPr>
                <w:color w:val="000000"/>
                <w:szCs w:val="21"/>
              </w:rPr>
              <w:t xml:space="preserve">0.16 </w:t>
            </w:r>
          </w:p>
        </w:tc>
        <w:tc>
          <w:tcPr>
            <w:tcW w:w="1704" w:type="dxa"/>
            <w:vAlign w:val="center"/>
          </w:tcPr>
          <w:p w14:paraId="363CD41B"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56A1E4B4" w14:textId="77777777" w:rsidR="007075D9" w:rsidRPr="004D46AC" w:rsidRDefault="007075D9" w:rsidP="002C5F6E">
            <w:pPr>
              <w:spacing w:line="240" w:lineRule="auto"/>
              <w:ind w:firstLine="0"/>
            </w:pPr>
            <w:r w:rsidRPr="004D46AC">
              <w:rPr>
                <w:color w:val="000000"/>
                <w:szCs w:val="21"/>
              </w:rPr>
              <w:t xml:space="preserve">0.46 </w:t>
            </w:r>
          </w:p>
        </w:tc>
        <w:tc>
          <w:tcPr>
            <w:tcW w:w="1705" w:type="dxa"/>
            <w:vAlign w:val="center"/>
          </w:tcPr>
          <w:p w14:paraId="1BCF9F84" w14:textId="77777777" w:rsidR="007075D9" w:rsidRPr="004D46AC" w:rsidRDefault="007075D9" w:rsidP="002C5F6E">
            <w:pPr>
              <w:spacing w:line="240" w:lineRule="auto"/>
              <w:ind w:firstLine="0"/>
            </w:pPr>
            <w:r w:rsidRPr="004D46AC">
              <w:rPr>
                <w:color w:val="000000"/>
                <w:szCs w:val="21"/>
              </w:rPr>
              <w:t xml:space="preserve">0.35 </w:t>
            </w:r>
          </w:p>
        </w:tc>
      </w:tr>
      <w:tr w:rsidR="007075D9" w:rsidRPr="004D46AC" w14:paraId="13C5872B" w14:textId="77777777">
        <w:tc>
          <w:tcPr>
            <w:tcW w:w="1704" w:type="dxa"/>
            <w:vAlign w:val="center"/>
          </w:tcPr>
          <w:p w14:paraId="0805CE77" w14:textId="77777777" w:rsidR="007075D9" w:rsidRPr="004D46AC" w:rsidRDefault="007075D9" w:rsidP="002C5F6E">
            <w:pPr>
              <w:spacing w:line="240" w:lineRule="auto"/>
              <w:ind w:firstLine="0"/>
            </w:pPr>
            <w:r w:rsidRPr="004D46AC">
              <w:rPr>
                <w:color w:val="000000"/>
              </w:rPr>
              <w:t>TR21--TR6</w:t>
            </w:r>
          </w:p>
        </w:tc>
        <w:tc>
          <w:tcPr>
            <w:tcW w:w="1704" w:type="dxa"/>
            <w:vAlign w:val="center"/>
          </w:tcPr>
          <w:p w14:paraId="61CE52DE"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434DEBDC"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1F5E2F44" w14:textId="77777777" w:rsidR="007075D9" w:rsidRPr="004D46AC" w:rsidRDefault="007075D9" w:rsidP="002C5F6E">
            <w:pPr>
              <w:spacing w:line="240" w:lineRule="auto"/>
              <w:ind w:firstLine="0"/>
            </w:pPr>
            <w:r w:rsidRPr="004D46AC">
              <w:rPr>
                <w:color w:val="000000"/>
                <w:szCs w:val="21"/>
              </w:rPr>
              <w:t xml:space="preserve">0.46 </w:t>
            </w:r>
          </w:p>
        </w:tc>
        <w:tc>
          <w:tcPr>
            <w:tcW w:w="1705" w:type="dxa"/>
            <w:vAlign w:val="center"/>
          </w:tcPr>
          <w:p w14:paraId="7B47FD18" w14:textId="77777777" w:rsidR="007075D9" w:rsidRPr="004D46AC" w:rsidRDefault="007075D9" w:rsidP="002C5F6E">
            <w:pPr>
              <w:spacing w:line="240" w:lineRule="auto"/>
              <w:ind w:firstLine="0"/>
            </w:pPr>
            <w:r w:rsidRPr="004D46AC">
              <w:rPr>
                <w:color w:val="000000"/>
                <w:szCs w:val="21"/>
              </w:rPr>
              <w:t xml:space="preserve">0.30 </w:t>
            </w:r>
          </w:p>
        </w:tc>
      </w:tr>
      <w:tr w:rsidR="007075D9" w:rsidRPr="004D46AC" w14:paraId="135B517A" w14:textId="77777777">
        <w:tc>
          <w:tcPr>
            <w:tcW w:w="1704" w:type="dxa"/>
            <w:vAlign w:val="center"/>
          </w:tcPr>
          <w:p w14:paraId="1BDF436E" w14:textId="77777777" w:rsidR="007075D9" w:rsidRPr="004D46AC" w:rsidRDefault="007075D9" w:rsidP="002C5F6E">
            <w:pPr>
              <w:spacing w:line="240" w:lineRule="auto"/>
              <w:ind w:firstLine="0"/>
            </w:pPr>
            <w:r w:rsidRPr="004D46AC">
              <w:rPr>
                <w:color w:val="000000"/>
              </w:rPr>
              <w:t>TR15--TR24</w:t>
            </w:r>
          </w:p>
        </w:tc>
        <w:tc>
          <w:tcPr>
            <w:tcW w:w="1704" w:type="dxa"/>
            <w:vAlign w:val="center"/>
          </w:tcPr>
          <w:p w14:paraId="5F2A9F63"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01317D4C"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62A08866" w14:textId="77777777" w:rsidR="007075D9" w:rsidRPr="004D46AC" w:rsidRDefault="007075D9" w:rsidP="002C5F6E">
            <w:pPr>
              <w:spacing w:line="240" w:lineRule="auto"/>
              <w:ind w:firstLine="0"/>
            </w:pPr>
            <w:r w:rsidRPr="004D46AC">
              <w:rPr>
                <w:color w:val="000000"/>
                <w:szCs w:val="21"/>
              </w:rPr>
              <w:t xml:space="preserve">0.46 </w:t>
            </w:r>
          </w:p>
        </w:tc>
        <w:tc>
          <w:tcPr>
            <w:tcW w:w="1705" w:type="dxa"/>
            <w:vAlign w:val="center"/>
          </w:tcPr>
          <w:p w14:paraId="439DAF4F" w14:textId="77777777" w:rsidR="007075D9" w:rsidRPr="004D46AC" w:rsidRDefault="007075D9" w:rsidP="002C5F6E">
            <w:pPr>
              <w:spacing w:line="240" w:lineRule="auto"/>
              <w:ind w:firstLine="0"/>
            </w:pPr>
            <w:r w:rsidRPr="004D46AC">
              <w:rPr>
                <w:color w:val="000000"/>
                <w:szCs w:val="21"/>
              </w:rPr>
              <w:t xml:space="preserve">0.29 </w:t>
            </w:r>
          </w:p>
        </w:tc>
      </w:tr>
      <w:tr w:rsidR="007075D9" w:rsidRPr="004D46AC" w14:paraId="32625D74" w14:textId="77777777">
        <w:tc>
          <w:tcPr>
            <w:tcW w:w="1704" w:type="dxa"/>
            <w:vAlign w:val="center"/>
          </w:tcPr>
          <w:p w14:paraId="31517EC0" w14:textId="77777777" w:rsidR="007075D9" w:rsidRPr="004D46AC" w:rsidRDefault="007075D9" w:rsidP="002C5F6E">
            <w:pPr>
              <w:spacing w:line="240" w:lineRule="auto"/>
              <w:ind w:firstLine="0"/>
            </w:pPr>
            <w:r w:rsidRPr="004D46AC">
              <w:rPr>
                <w:color w:val="000000"/>
              </w:rPr>
              <w:t>TR18--TR25</w:t>
            </w:r>
          </w:p>
        </w:tc>
        <w:tc>
          <w:tcPr>
            <w:tcW w:w="1704" w:type="dxa"/>
            <w:vAlign w:val="center"/>
          </w:tcPr>
          <w:p w14:paraId="1E7865E4"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0BE9A303"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1D1F72FF"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5A8B705C" w14:textId="77777777" w:rsidR="007075D9" w:rsidRPr="004D46AC" w:rsidRDefault="007075D9" w:rsidP="002C5F6E">
            <w:pPr>
              <w:spacing w:line="240" w:lineRule="auto"/>
              <w:ind w:firstLine="0"/>
            </w:pPr>
            <w:r w:rsidRPr="004D46AC">
              <w:rPr>
                <w:color w:val="000000"/>
                <w:szCs w:val="21"/>
              </w:rPr>
              <w:t xml:space="preserve">0.43 </w:t>
            </w:r>
          </w:p>
        </w:tc>
      </w:tr>
      <w:tr w:rsidR="007075D9" w:rsidRPr="004D46AC" w14:paraId="30A0151F" w14:textId="77777777">
        <w:tc>
          <w:tcPr>
            <w:tcW w:w="1704" w:type="dxa"/>
            <w:vAlign w:val="center"/>
          </w:tcPr>
          <w:p w14:paraId="02A7F16D" w14:textId="77777777" w:rsidR="007075D9" w:rsidRPr="004D46AC" w:rsidRDefault="007075D9" w:rsidP="002C5F6E">
            <w:pPr>
              <w:spacing w:line="240" w:lineRule="auto"/>
              <w:ind w:firstLine="0"/>
            </w:pPr>
            <w:r w:rsidRPr="004D46AC">
              <w:rPr>
                <w:color w:val="000000"/>
              </w:rPr>
              <w:t>TR3--TR20</w:t>
            </w:r>
          </w:p>
        </w:tc>
        <w:tc>
          <w:tcPr>
            <w:tcW w:w="1704" w:type="dxa"/>
            <w:vAlign w:val="center"/>
          </w:tcPr>
          <w:p w14:paraId="7FE5A49B"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27E8CF7D" w14:textId="77777777" w:rsidR="007075D9" w:rsidRPr="004D46AC" w:rsidRDefault="007075D9" w:rsidP="002C5F6E">
            <w:pPr>
              <w:spacing w:line="240" w:lineRule="auto"/>
              <w:ind w:firstLine="0"/>
            </w:pPr>
            <w:r w:rsidRPr="004D46AC">
              <w:rPr>
                <w:color w:val="000000"/>
                <w:szCs w:val="21"/>
              </w:rPr>
              <w:t xml:space="preserve">-0.11 </w:t>
            </w:r>
          </w:p>
        </w:tc>
        <w:tc>
          <w:tcPr>
            <w:tcW w:w="1705" w:type="dxa"/>
            <w:vAlign w:val="center"/>
          </w:tcPr>
          <w:p w14:paraId="296CBEA9" w14:textId="77777777" w:rsidR="007075D9" w:rsidRPr="004D46AC" w:rsidRDefault="007075D9" w:rsidP="002C5F6E">
            <w:pPr>
              <w:spacing w:line="240" w:lineRule="auto"/>
              <w:ind w:firstLine="0"/>
            </w:pPr>
            <w:r w:rsidRPr="004D46AC">
              <w:rPr>
                <w:color w:val="000000"/>
                <w:szCs w:val="21"/>
              </w:rPr>
              <w:t xml:space="preserve">0.41 </w:t>
            </w:r>
          </w:p>
        </w:tc>
        <w:tc>
          <w:tcPr>
            <w:tcW w:w="1705" w:type="dxa"/>
            <w:vAlign w:val="center"/>
          </w:tcPr>
          <w:p w14:paraId="4BDB217A" w14:textId="77777777" w:rsidR="007075D9" w:rsidRPr="004D46AC" w:rsidRDefault="007075D9" w:rsidP="002C5F6E">
            <w:pPr>
              <w:spacing w:line="240" w:lineRule="auto"/>
              <w:ind w:firstLine="0"/>
            </w:pPr>
            <w:r w:rsidRPr="004D46AC">
              <w:rPr>
                <w:color w:val="000000"/>
                <w:szCs w:val="21"/>
              </w:rPr>
              <w:t xml:space="preserve">0.45 </w:t>
            </w:r>
          </w:p>
        </w:tc>
      </w:tr>
      <w:tr w:rsidR="007075D9" w:rsidRPr="004D46AC" w14:paraId="7437CE8D" w14:textId="77777777">
        <w:tc>
          <w:tcPr>
            <w:tcW w:w="1704" w:type="dxa"/>
            <w:vAlign w:val="center"/>
          </w:tcPr>
          <w:p w14:paraId="08570AE6" w14:textId="77777777" w:rsidR="007075D9" w:rsidRPr="004D46AC" w:rsidRDefault="007075D9" w:rsidP="002C5F6E">
            <w:pPr>
              <w:spacing w:line="240" w:lineRule="auto"/>
              <w:ind w:firstLine="0"/>
            </w:pPr>
            <w:r w:rsidRPr="004D46AC">
              <w:rPr>
                <w:color w:val="000000"/>
              </w:rPr>
              <w:t>TR34--TR20</w:t>
            </w:r>
          </w:p>
        </w:tc>
        <w:tc>
          <w:tcPr>
            <w:tcW w:w="1704" w:type="dxa"/>
            <w:vAlign w:val="center"/>
          </w:tcPr>
          <w:p w14:paraId="0E49DBB8"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427EE43B"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190682BA"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29D1E480" w14:textId="77777777" w:rsidR="007075D9" w:rsidRPr="004D46AC" w:rsidRDefault="007075D9" w:rsidP="002C5F6E">
            <w:pPr>
              <w:spacing w:line="240" w:lineRule="auto"/>
              <w:ind w:firstLine="0"/>
            </w:pPr>
            <w:r w:rsidRPr="004D46AC">
              <w:rPr>
                <w:color w:val="000000"/>
                <w:szCs w:val="21"/>
              </w:rPr>
              <w:t xml:space="preserve">0.46 </w:t>
            </w:r>
          </w:p>
        </w:tc>
      </w:tr>
      <w:tr w:rsidR="007075D9" w:rsidRPr="004D46AC" w14:paraId="4BD8CF0F" w14:textId="77777777">
        <w:tc>
          <w:tcPr>
            <w:tcW w:w="1704" w:type="dxa"/>
            <w:vAlign w:val="center"/>
          </w:tcPr>
          <w:p w14:paraId="1BFBDF13" w14:textId="77777777" w:rsidR="007075D9" w:rsidRPr="004D46AC" w:rsidRDefault="007075D9" w:rsidP="002C5F6E">
            <w:pPr>
              <w:spacing w:line="240" w:lineRule="auto"/>
              <w:ind w:firstLine="0"/>
            </w:pPr>
            <w:r w:rsidRPr="004D46AC">
              <w:rPr>
                <w:color w:val="000000"/>
              </w:rPr>
              <w:t>TR17--TR29</w:t>
            </w:r>
          </w:p>
        </w:tc>
        <w:tc>
          <w:tcPr>
            <w:tcW w:w="1704" w:type="dxa"/>
            <w:vAlign w:val="center"/>
          </w:tcPr>
          <w:p w14:paraId="28A9AC74" w14:textId="77777777" w:rsidR="007075D9" w:rsidRPr="004D46AC" w:rsidRDefault="007075D9" w:rsidP="002C5F6E">
            <w:pPr>
              <w:spacing w:line="240" w:lineRule="auto"/>
              <w:ind w:firstLine="0"/>
            </w:pPr>
            <w:r w:rsidRPr="004D46AC">
              <w:rPr>
                <w:color w:val="000000"/>
                <w:szCs w:val="21"/>
              </w:rPr>
              <w:t xml:space="preserve">0.15 </w:t>
            </w:r>
          </w:p>
        </w:tc>
        <w:tc>
          <w:tcPr>
            <w:tcW w:w="1704" w:type="dxa"/>
            <w:vAlign w:val="center"/>
          </w:tcPr>
          <w:p w14:paraId="10499BBC"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72E83A9C" w14:textId="77777777" w:rsidR="007075D9" w:rsidRPr="004D46AC" w:rsidRDefault="007075D9" w:rsidP="002C5F6E">
            <w:pPr>
              <w:spacing w:line="240" w:lineRule="auto"/>
              <w:ind w:firstLine="0"/>
            </w:pPr>
            <w:r w:rsidRPr="004D46AC">
              <w:rPr>
                <w:color w:val="000000"/>
                <w:szCs w:val="21"/>
              </w:rPr>
              <w:t xml:space="preserve">0.45 </w:t>
            </w:r>
          </w:p>
        </w:tc>
        <w:tc>
          <w:tcPr>
            <w:tcW w:w="1705" w:type="dxa"/>
            <w:vAlign w:val="center"/>
          </w:tcPr>
          <w:p w14:paraId="521D5F2B" w14:textId="77777777" w:rsidR="007075D9" w:rsidRPr="004D46AC" w:rsidRDefault="007075D9" w:rsidP="002C5F6E">
            <w:pPr>
              <w:spacing w:line="240" w:lineRule="auto"/>
              <w:ind w:firstLine="0"/>
            </w:pPr>
            <w:r w:rsidRPr="004D46AC">
              <w:rPr>
                <w:color w:val="000000"/>
                <w:szCs w:val="21"/>
              </w:rPr>
              <w:t xml:space="preserve">0.40 </w:t>
            </w:r>
          </w:p>
        </w:tc>
      </w:tr>
      <w:tr w:rsidR="007075D9" w:rsidRPr="004D46AC" w14:paraId="5FB3215F" w14:textId="77777777">
        <w:tc>
          <w:tcPr>
            <w:tcW w:w="1704" w:type="dxa"/>
            <w:vAlign w:val="center"/>
          </w:tcPr>
          <w:p w14:paraId="578C5581" w14:textId="77777777" w:rsidR="007075D9" w:rsidRPr="004D46AC" w:rsidRDefault="007075D9" w:rsidP="002C5F6E">
            <w:pPr>
              <w:spacing w:line="240" w:lineRule="auto"/>
              <w:ind w:firstLine="0"/>
            </w:pPr>
            <w:r w:rsidRPr="004D46AC">
              <w:rPr>
                <w:color w:val="000000"/>
              </w:rPr>
              <w:t>TR14--TR25</w:t>
            </w:r>
          </w:p>
        </w:tc>
        <w:tc>
          <w:tcPr>
            <w:tcW w:w="1704" w:type="dxa"/>
            <w:vAlign w:val="center"/>
          </w:tcPr>
          <w:p w14:paraId="3DB914A6"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0059F588"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162D11FD"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5A17D780" w14:textId="77777777" w:rsidR="007075D9" w:rsidRPr="004D46AC" w:rsidRDefault="007075D9" w:rsidP="002C5F6E">
            <w:pPr>
              <w:spacing w:line="240" w:lineRule="auto"/>
              <w:ind w:firstLine="0"/>
            </w:pPr>
            <w:r w:rsidRPr="004D46AC">
              <w:rPr>
                <w:color w:val="000000"/>
                <w:szCs w:val="21"/>
              </w:rPr>
              <w:t xml:space="preserve">0.26 </w:t>
            </w:r>
          </w:p>
        </w:tc>
      </w:tr>
      <w:tr w:rsidR="007075D9" w:rsidRPr="004D46AC" w14:paraId="62BA894E" w14:textId="77777777">
        <w:tc>
          <w:tcPr>
            <w:tcW w:w="1704" w:type="dxa"/>
            <w:vAlign w:val="center"/>
          </w:tcPr>
          <w:p w14:paraId="76141DB0" w14:textId="77777777" w:rsidR="007075D9" w:rsidRPr="004D46AC" w:rsidRDefault="007075D9" w:rsidP="002C5F6E">
            <w:pPr>
              <w:spacing w:line="240" w:lineRule="auto"/>
              <w:ind w:firstLine="0"/>
            </w:pPr>
            <w:r w:rsidRPr="004D46AC">
              <w:rPr>
                <w:color w:val="000000"/>
              </w:rPr>
              <w:t>TR23--TR37</w:t>
            </w:r>
          </w:p>
        </w:tc>
        <w:tc>
          <w:tcPr>
            <w:tcW w:w="1704" w:type="dxa"/>
            <w:vAlign w:val="center"/>
          </w:tcPr>
          <w:p w14:paraId="7CC3E384" w14:textId="77777777" w:rsidR="007075D9" w:rsidRPr="004D46AC" w:rsidRDefault="007075D9" w:rsidP="002C5F6E">
            <w:pPr>
              <w:spacing w:line="240" w:lineRule="auto"/>
              <w:ind w:firstLine="0"/>
            </w:pPr>
            <w:r w:rsidRPr="004D46AC">
              <w:rPr>
                <w:color w:val="000000"/>
                <w:szCs w:val="21"/>
              </w:rPr>
              <w:t xml:space="preserve">0.14 </w:t>
            </w:r>
          </w:p>
        </w:tc>
        <w:tc>
          <w:tcPr>
            <w:tcW w:w="1704" w:type="dxa"/>
            <w:vAlign w:val="center"/>
          </w:tcPr>
          <w:p w14:paraId="01FC4574"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4601286A"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357849F8" w14:textId="77777777" w:rsidR="007075D9" w:rsidRPr="004D46AC" w:rsidRDefault="007075D9" w:rsidP="002C5F6E">
            <w:pPr>
              <w:spacing w:line="240" w:lineRule="auto"/>
              <w:ind w:firstLine="0"/>
            </w:pPr>
            <w:r w:rsidRPr="004D46AC">
              <w:rPr>
                <w:color w:val="000000"/>
                <w:szCs w:val="21"/>
              </w:rPr>
              <w:t xml:space="preserve">0.28 </w:t>
            </w:r>
          </w:p>
        </w:tc>
      </w:tr>
      <w:tr w:rsidR="007075D9" w:rsidRPr="004D46AC" w14:paraId="5EDF585B" w14:textId="77777777">
        <w:tc>
          <w:tcPr>
            <w:tcW w:w="1704" w:type="dxa"/>
            <w:vAlign w:val="center"/>
          </w:tcPr>
          <w:p w14:paraId="293269DA" w14:textId="77777777" w:rsidR="007075D9" w:rsidRPr="004D46AC" w:rsidRDefault="007075D9" w:rsidP="002C5F6E">
            <w:pPr>
              <w:spacing w:line="240" w:lineRule="auto"/>
              <w:ind w:firstLine="0"/>
            </w:pPr>
            <w:r w:rsidRPr="004D46AC">
              <w:rPr>
                <w:color w:val="000000"/>
              </w:rPr>
              <w:t>TR24--TR13</w:t>
            </w:r>
          </w:p>
        </w:tc>
        <w:tc>
          <w:tcPr>
            <w:tcW w:w="1704" w:type="dxa"/>
            <w:vAlign w:val="center"/>
          </w:tcPr>
          <w:p w14:paraId="0E1394FC"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20473149"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663A77A9" w14:textId="77777777" w:rsidR="007075D9" w:rsidRPr="004D46AC" w:rsidRDefault="007075D9" w:rsidP="002C5F6E">
            <w:pPr>
              <w:spacing w:line="240" w:lineRule="auto"/>
              <w:ind w:firstLine="0"/>
            </w:pPr>
            <w:r w:rsidRPr="004D46AC">
              <w:rPr>
                <w:color w:val="000000"/>
                <w:szCs w:val="21"/>
              </w:rPr>
              <w:t xml:space="preserve">0.40 </w:t>
            </w:r>
          </w:p>
        </w:tc>
        <w:tc>
          <w:tcPr>
            <w:tcW w:w="1705" w:type="dxa"/>
            <w:vAlign w:val="center"/>
          </w:tcPr>
          <w:p w14:paraId="6C0D8CCC" w14:textId="77777777" w:rsidR="007075D9" w:rsidRPr="004D46AC" w:rsidRDefault="007075D9" w:rsidP="002C5F6E">
            <w:pPr>
              <w:spacing w:line="240" w:lineRule="auto"/>
              <w:ind w:firstLine="0"/>
            </w:pPr>
            <w:r w:rsidRPr="004D46AC">
              <w:rPr>
                <w:color w:val="000000"/>
                <w:szCs w:val="21"/>
              </w:rPr>
              <w:t xml:space="preserve">0.42 </w:t>
            </w:r>
          </w:p>
        </w:tc>
      </w:tr>
      <w:tr w:rsidR="007075D9" w:rsidRPr="004D46AC" w14:paraId="2928DBF9" w14:textId="77777777">
        <w:tc>
          <w:tcPr>
            <w:tcW w:w="1704" w:type="dxa"/>
            <w:vAlign w:val="center"/>
          </w:tcPr>
          <w:p w14:paraId="394D8AC7" w14:textId="77777777" w:rsidR="007075D9" w:rsidRPr="004D46AC" w:rsidRDefault="007075D9" w:rsidP="002C5F6E">
            <w:pPr>
              <w:spacing w:line="240" w:lineRule="auto"/>
              <w:ind w:firstLine="0"/>
            </w:pPr>
            <w:r w:rsidRPr="004D46AC">
              <w:rPr>
                <w:color w:val="000000"/>
              </w:rPr>
              <w:t>TR19--TR14</w:t>
            </w:r>
          </w:p>
        </w:tc>
        <w:tc>
          <w:tcPr>
            <w:tcW w:w="1704" w:type="dxa"/>
            <w:vAlign w:val="center"/>
          </w:tcPr>
          <w:p w14:paraId="6ED1C776"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00DDEB8A"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5CA1AF60"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41D1D017" w14:textId="77777777" w:rsidR="007075D9" w:rsidRPr="004D46AC" w:rsidRDefault="007075D9" w:rsidP="002C5F6E">
            <w:pPr>
              <w:spacing w:line="240" w:lineRule="auto"/>
              <w:ind w:firstLine="0"/>
            </w:pPr>
            <w:r w:rsidRPr="004D46AC">
              <w:rPr>
                <w:color w:val="000000"/>
                <w:szCs w:val="21"/>
              </w:rPr>
              <w:t xml:space="preserve">0.37 </w:t>
            </w:r>
          </w:p>
        </w:tc>
      </w:tr>
      <w:tr w:rsidR="007075D9" w:rsidRPr="004D46AC" w14:paraId="3074E8AB" w14:textId="77777777">
        <w:tc>
          <w:tcPr>
            <w:tcW w:w="1704" w:type="dxa"/>
            <w:vAlign w:val="center"/>
          </w:tcPr>
          <w:p w14:paraId="1F8B9C3A" w14:textId="77777777" w:rsidR="007075D9" w:rsidRPr="004D46AC" w:rsidRDefault="007075D9" w:rsidP="002C5F6E">
            <w:pPr>
              <w:spacing w:line="240" w:lineRule="auto"/>
              <w:ind w:firstLine="0"/>
            </w:pPr>
            <w:r w:rsidRPr="004D46AC">
              <w:rPr>
                <w:color w:val="000000"/>
              </w:rPr>
              <w:t>TR23--TR18</w:t>
            </w:r>
          </w:p>
        </w:tc>
        <w:tc>
          <w:tcPr>
            <w:tcW w:w="1704" w:type="dxa"/>
            <w:vAlign w:val="center"/>
          </w:tcPr>
          <w:p w14:paraId="49F51C76"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5B51A7F8"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66A5AB69" w14:textId="77777777" w:rsidR="007075D9" w:rsidRPr="004D46AC" w:rsidRDefault="007075D9" w:rsidP="002C5F6E">
            <w:pPr>
              <w:spacing w:line="240" w:lineRule="auto"/>
              <w:ind w:firstLine="0"/>
            </w:pPr>
            <w:r w:rsidRPr="004D46AC">
              <w:rPr>
                <w:color w:val="000000"/>
                <w:szCs w:val="21"/>
              </w:rPr>
              <w:t xml:space="preserve">0.44 </w:t>
            </w:r>
          </w:p>
        </w:tc>
        <w:tc>
          <w:tcPr>
            <w:tcW w:w="1705" w:type="dxa"/>
            <w:vAlign w:val="center"/>
          </w:tcPr>
          <w:p w14:paraId="7CADBE92"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21ACC60D" w14:textId="77777777">
        <w:tc>
          <w:tcPr>
            <w:tcW w:w="1704" w:type="dxa"/>
            <w:vAlign w:val="center"/>
          </w:tcPr>
          <w:p w14:paraId="100EA4E4" w14:textId="77777777" w:rsidR="007075D9" w:rsidRPr="004D46AC" w:rsidRDefault="007075D9" w:rsidP="002C5F6E">
            <w:pPr>
              <w:spacing w:line="240" w:lineRule="auto"/>
              <w:ind w:firstLine="0"/>
            </w:pPr>
            <w:r w:rsidRPr="004D46AC">
              <w:rPr>
                <w:color w:val="000000"/>
              </w:rPr>
              <w:t>TR9--TR25</w:t>
            </w:r>
          </w:p>
        </w:tc>
        <w:tc>
          <w:tcPr>
            <w:tcW w:w="1704" w:type="dxa"/>
            <w:vAlign w:val="center"/>
          </w:tcPr>
          <w:p w14:paraId="1CD87E38"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386EF772"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1417A6BC" w14:textId="77777777" w:rsidR="007075D9" w:rsidRPr="004D46AC" w:rsidRDefault="007075D9" w:rsidP="002C5F6E">
            <w:pPr>
              <w:spacing w:line="240" w:lineRule="auto"/>
              <w:ind w:firstLine="0"/>
            </w:pPr>
            <w:r w:rsidRPr="004D46AC">
              <w:rPr>
                <w:color w:val="000000"/>
                <w:szCs w:val="21"/>
              </w:rPr>
              <w:t xml:space="preserve">0.42 </w:t>
            </w:r>
          </w:p>
        </w:tc>
        <w:tc>
          <w:tcPr>
            <w:tcW w:w="1705" w:type="dxa"/>
            <w:vAlign w:val="center"/>
          </w:tcPr>
          <w:p w14:paraId="6A64375C" w14:textId="77777777" w:rsidR="007075D9" w:rsidRPr="004D46AC" w:rsidRDefault="007075D9" w:rsidP="002C5F6E">
            <w:pPr>
              <w:spacing w:line="240" w:lineRule="auto"/>
              <w:ind w:firstLine="0"/>
            </w:pPr>
            <w:r w:rsidRPr="004D46AC">
              <w:rPr>
                <w:color w:val="000000"/>
                <w:szCs w:val="21"/>
              </w:rPr>
              <w:t xml:space="preserve">0.39 </w:t>
            </w:r>
          </w:p>
        </w:tc>
      </w:tr>
      <w:tr w:rsidR="007075D9" w:rsidRPr="004D46AC" w14:paraId="1F1E7ECF" w14:textId="77777777">
        <w:tc>
          <w:tcPr>
            <w:tcW w:w="1704" w:type="dxa"/>
            <w:vAlign w:val="center"/>
          </w:tcPr>
          <w:p w14:paraId="7C369D56" w14:textId="77777777" w:rsidR="007075D9" w:rsidRPr="004D46AC" w:rsidRDefault="007075D9" w:rsidP="002C5F6E">
            <w:pPr>
              <w:spacing w:line="240" w:lineRule="auto"/>
              <w:ind w:firstLine="0"/>
            </w:pPr>
            <w:r w:rsidRPr="004D46AC">
              <w:rPr>
                <w:color w:val="000000"/>
              </w:rPr>
              <w:t>TR3--TR26</w:t>
            </w:r>
          </w:p>
        </w:tc>
        <w:tc>
          <w:tcPr>
            <w:tcW w:w="1704" w:type="dxa"/>
            <w:vAlign w:val="center"/>
          </w:tcPr>
          <w:p w14:paraId="563EEA6C" w14:textId="77777777" w:rsidR="007075D9" w:rsidRPr="004D46AC" w:rsidRDefault="007075D9" w:rsidP="002C5F6E">
            <w:pPr>
              <w:spacing w:line="240" w:lineRule="auto"/>
              <w:ind w:firstLine="0"/>
            </w:pPr>
            <w:r w:rsidRPr="004D46AC">
              <w:rPr>
                <w:color w:val="000000"/>
                <w:szCs w:val="21"/>
              </w:rPr>
              <w:t xml:space="preserve">0.13 </w:t>
            </w:r>
          </w:p>
        </w:tc>
        <w:tc>
          <w:tcPr>
            <w:tcW w:w="1704" w:type="dxa"/>
            <w:vAlign w:val="center"/>
          </w:tcPr>
          <w:p w14:paraId="46B40694"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036D3156" w14:textId="77777777" w:rsidR="007075D9" w:rsidRPr="004D46AC" w:rsidRDefault="007075D9" w:rsidP="002C5F6E">
            <w:pPr>
              <w:spacing w:line="240" w:lineRule="auto"/>
              <w:ind w:firstLine="0"/>
            </w:pPr>
            <w:r w:rsidRPr="004D46AC">
              <w:rPr>
                <w:color w:val="000000"/>
                <w:szCs w:val="21"/>
              </w:rPr>
              <w:t xml:space="preserve">0.40 </w:t>
            </w:r>
          </w:p>
        </w:tc>
        <w:tc>
          <w:tcPr>
            <w:tcW w:w="1705" w:type="dxa"/>
            <w:vAlign w:val="center"/>
          </w:tcPr>
          <w:p w14:paraId="0F0A745B" w14:textId="77777777" w:rsidR="007075D9" w:rsidRPr="004D46AC" w:rsidRDefault="007075D9" w:rsidP="002C5F6E">
            <w:pPr>
              <w:spacing w:line="240" w:lineRule="auto"/>
              <w:ind w:firstLine="0"/>
            </w:pPr>
            <w:r w:rsidRPr="004D46AC">
              <w:rPr>
                <w:color w:val="000000"/>
                <w:szCs w:val="21"/>
              </w:rPr>
              <w:t xml:space="preserve">0.50 </w:t>
            </w:r>
          </w:p>
        </w:tc>
      </w:tr>
      <w:tr w:rsidR="007075D9" w:rsidRPr="004D46AC" w14:paraId="2B0722BA" w14:textId="77777777">
        <w:tc>
          <w:tcPr>
            <w:tcW w:w="1704" w:type="dxa"/>
            <w:vAlign w:val="center"/>
          </w:tcPr>
          <w:p w14:paraId="6FF38411" w14:textId="77777777" w:rsidR="007075D9" w:rsidRPr="004D46AC" w:rsidRDefault="007075D9" w:rsidP="002C5F6E">
            <w:pPr>
              <w:spacing w:line="240" w:lineRule="auto"/>
              <w:ind w:firstLine="0"/>
            </w:pPr>
            <w:r w:rsidRPr="004D46AC">
              <w:rPr>
                <w:color w:val="000000"/>
              </w:rPr>
              <w:t>TR24--TR27</w:t>
            </w:r>
          </w:p>
        </w:tc>
        <w:tc>
          <w:tcPr>
            <w:tcW w:w="1704" w:type="dxa"/>
            <w:vAlign w:val="center"/>
          </w:tcPr>
          <w:p w14:paraId="6C1E7B35"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686983FB"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32F92B65" w14:textId="77777777" w:rsidR="007075D9" w:rsidRPr="004D46AC" w:rsidRDefault="007075D9" w:rsidP="002C5F6E">
            <w:pPr>
              <w:spacing w:line="240" w:lineRule="auto"/>
              <w:ind w:firstLine="0"/>
            </w:pPr>
            <w:r w:rsidRPr="004D46AC">
              <w:rPr>
                <w:color w:val="000000"/>
                <w:szCs w:val="21"/>
              </w:rPr>
              <w:t xml:space="preserve">0.39 </w:t>
            </w:r>
          </w:p>
        </w:tc>
        <w:tc>
          <w:tcPr>
            <w:tcW w:w="1705" w:type="dxa"/>
            <w:vAlign w:val="center"/>
          </w:tcPr>
          <w:p w14:paraId="1C029B29" w14:textId="77777777" w:rsidR="007075D9" w:rsidRPr="004D46AC" w:rsidRDefault="007075D9" w:rsidP="002C5F6E">
            <w:pPr>
              <w:spacing w:line="240" w:lineRule="auto"/>
              <w:ind w:firstLine="0"/>
            </w:pPr>
            <w:r w:rsidRPr="004D46AC">
              <w:rPr>
                <w:color w:val="000000"/>
                <w:szCs w:val="21"/>
              </w:rPr>
              <w:t xml:space="preserve">0.37 </w:t>
            </w:r>
          </w:p>
        </w:tc>
      </w:tr>
      <w:tr w:rsidR="007075D9" w:rsidRPr="004D46AC" w14:paraId="65645ABA" w14:textId="77777777">
        <w:tc>
          <w:tcPr>
            <w:tcW w:w="1704" w:type="dxa"/>
            <w:vAlign w:val="center"/>
          </w:tcPr>
          <w:p w14:paraId="4BCC0134" w14:textId="77777777" w:rsidR="007075D9" w:rsidRPr="004D46AC" w:rsidRDefault="007075D9" w:rsidP="002C5F6E">
            <w:pPr>
              <w:spacing w:line="240" w:lineRule="auto"/>
              <w:ind w:firstLine="0"/>
            </w:pPr>
            <w:r w:rsidRPr="004D46AC">
              <w:rPr>
                <w:color w:val="000000"/>
              </w:rPr>
              <w:t>TR17--TR20</w:t>
            </w:r>
          </w:p>
        </w:tc>
        <w:tc>
          <w:tcPr>
            <w:tcW w:w="1704" w:type="dxa"/>
            <w:vAlign w:val="center"/>
          </w:tcPr>
          <w:p w14:paraId="6C56F43D"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5EE4CBE2" w14:textId="77777777" w:rsidR="007075D9" w:rsidRPr="004D46AC" w:rsidRDefault="007075D9" w:rsidP="002C5F6E">
            <w:pPr>
              <w:spacing w:line="240" w:lineRule="auto"/>
              <w:ind w:firstLine="0"/>
            </w:pPr>
            <w:r w:rsidRPr="004D46AC">
              <w:rPr>
                <w:color w:val="000000"/>
                <w:szCs w:val="21"/>
              </w:rPr>
              <w:t xml:space="preserve">-0.14 </w:t>
            </w:r>
          </w:p>
        </w:tc>
        <w:tc>
          <w:tcPr>
            <w:tcW w:w="1705" w:type="dxa"/>
            <w:vAlign w:val="center"/>
          </w:tcPr>
          <w:p w14:paraId="0A6E8388"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4CB8B77F"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379EB807" w14:textId="77777777">
        <w:tc>
          <w:tcPr>
            <w:tcW w:w="1704" w:type="dxa"/>
            <w:vAlign w:val="center"/>
          </w:tcPr>
          <w:p w14:paraId="55F9785F" w14:textId="77777777" w:rsidR="007075D9" w:rsidRPr="004D46AC" w:rsidRDefault="007075D9" w:rsidP="002C5F6E">
            <w:pPr>
              <w:spacing w:line="240" w:lineRule="auto"/>
              <w:ind w:firstLine="0"/>
            </w:pPr>
            <w:r w:rsidRPr="004D46AC">
              <w:rPr>
                <w:color w:val="000000"/>
              </w:rPr>
              <w:t>TR3--TR17</w:t>
            </w:r>
          </w:p>
        </w:tc>
        <w:tc>
          <w:tcPr>
            <w:tcW w:w="1704" w:type="dxa"/>
            <w:vAlign w:val="center"/>
          </w:tcPr>
          <w:p w14:paraId="5E8BB671" w14:textId="77777777" w:rsidR="007075D9" w:rsidRPr="004D46AC" w:rsidRDefault="007075D9" w:rsidP="002C5F6E">
            <w:pPr>
              <w:spacing w:line="240" w:lineRule="auto"/>
              <w:ind w:firstLine="0"/>
            </w:pPr>
            <w:r w:rsidRPr="004D46AC">
              <w:rPr>
                <w:color w:val="000000"/>
                <w:szCs w:val="21"/>
              </w:rPr>
              <w:t xml:space="preserve">0.11 </w:t>
            </w:r>
          </w:p>
        </w:tc>
        <w:tc>
          <w:tcPr>
            <w:tcW w:w="1704" w:type="dxa"/>
            <w:vAlign w:val="center"/>
          </w:tcPr>
          <w:p w14:paraId="30E2F667"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0E138FBC" w14:textId="77777777" w:rsidR="007075D9" w:rsidRPr="004D46AC" w:rsidRDefault="007075D9" w:rsidP="002C5F6E">
            <w:pPr>
              <w:spacing w:line="240" w:lineRule="auto"/>
              <w:ind w:firstLine="0"/>
            </w:pPr>
            <w:r w:rsidRPr="004D46AC">
              <w:rPr>
                <w:color w:val="000000"/>
                <w:szCs w:val="21"/>
              </w:rPr>
              <w:t xml:space="preserve">0.39 </w:t>
            </w:r>
          </w:p>
        </w:tc>
        <w:tc>
          <w:tcPr>
            <w:tcW w:w="1705" w:type="dxa"/>
            <w:vAlign w:val="center"/>
          </w:tcPr>
          <w:p w14:paraId="1F7DC942" w14:textId="77777777" w:rsidR="007075D9" w:rsidRPr="004D46AC" w:rsidRDefault="007075D9" w:rsidP="002C5F6E">
            <w:pPr>
              <w:spacing w:line="240" w:lineRule="auto"/>
              <w:ind w:firstLine="0"/>
            </w:pPr>
            <w:r w:rsidRPr="004D46AC">
              <w:rPr>
                <w:color w:val="000000"/>
                <w:szCs w:val="21"/>
              </w:rPr>
              <w:t xml:space="preserve">0.48 </w:t>
            </w:r>
          </w:p>
        </w:tc>
      </w:tr>
      <w:tr w:rsidR="007075D9" w:rsidRPr="004D46AC" w14:paraId="1F89A849" w14:textId="77777777">
        <w:tc>
          <w:tcPr>
            <w:tcW w:w="1704" w:type="dxa"/>
            <w:vAlign w:val="center"/>
          </w:tcPr>
          <w:p w14:paraId="5F06B038" w14:textId="77777777" w:rsidR="007075D9" w:rsidRPr="004D46AC" w:rsidRDefault="007075D9" w:rsidP="002C5F6E">
            <w:pPr>
              <w:spacing w:line="240" w:lineRule="auto"/>
              <w:ind w:firstLine="0"/>
            </w:pPr>
            <w:r w:rsidRPr="004D46AC">
              <w:rPr>
                <w:color w:val="000000"/>
              </w:rPr>
              <w:t>TR3--TR19</w:t>
            </w:r>
          </w:p>
        </w:tc>
        <w:tc>
          <w:tcPr>
            <w:tcW w:w="1704" w:type="dxa"/>
            <w:vAlign w:val="center"/>
          </w:tcPr>
          <w:p w14:paraId="1EA33FB8"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77D0347B"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097A4D32"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33F02A0B"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7754A136" w14:textId="77777777">
        <w:tc>
          <w:tcPr>
            <w:tcW w:w="1704" w:type="dxa"/>
            <w:vAlign w:val="center"/>
          </w:tcPr>
          <w:p w14:paraId="7F09CC83" w14:textId="77777777" w:rsidR="007075D9" w:rsidRPr="004D46AC" w:rsidRDefault="007075D9" w:rsidP="002C5F6E">
            <w:pPr>
              <w:spacing w:line="240" w:lineRule="auto"/>
              <w:ind w:firstLine="0"/>
            </w:pPr>
            <w:r w:rsidRPr="004D46AC">
              <w:rPr>
                <w:color w:val="000000"/>
              </w:rPr>
              <w:t>TR23--TR6</w:t>
            </w:r>
          </w:p>
        </w:tc>
        <w:tc>
          <w:tcPr>
            <w:tcW w:w="1704" w:type="dxa"/>
            <w:vAlign w:val="center"/>
          </w:tcPr>
          <w:p w14:paraId="35F7AF2F" w14:textId="77777777" w:rsidR="007075D9" w:rsidRPr="004D46AC" w:rsidRDefault="007075D9" w:rsidP="002C5F6E">
            <w:pPr>
              <w:spacing w:line="240" w:lineRule="auto"/>
              <w:ind w:firstLine="0"/>
            </w:pPr>
            <w:r w:rsidRPr="004D46AC">
              <w:rPr>
                <w:color w:val="000000"/>
                <w:szCs w:val="21"/>
              </w:rPr>
              <w:t xml:space="preserve">0.10 </w:t>
            </w:r>
          </w:p>
        </w:tc>
        <w:tc>
          <w:tcPr>
            <w:tcW w:w="1704" w:type="dxa"/>
            <w:vAlign w:val="center"/>
          </w:tcPr>
          <w:p w14:paraId="7A085FA2" w14:textId="77777777" w:rsidR="007075D9" w:rsidRPr="004D46AC" w:rsidRDefault="007075D9" w:rsidP="002C5F6E">
            <w:pPr>
              <w:spacing w:line="240" w:lineRule="auto"/>
              <w:ind w:firstLine="0"/>
            </w:pPr>
            <w:r w:rsidRPr="004D46AC">
              <w:rPr>
                <w:color w:val="000000"/>
                <w:szCs w:val="21"/>
              </w:rPr>
              <w:t xml:space="preserve">-0.19 </w:t>
            </w:r>
          </w:p>
        </w:tc>
        <w:tc>
          <w:tcPr>
            <w:tcW w:w="1705" w:type="dxa"/>
            <w:vAlign w:val="center"/>
          </w:tcPr>
          <w:p w14:paraId="2E49C795" w14:textId="77777777" w:rsidR="007075D9" w:rsidRPr="004D46AC" w:rsidRDefault="007075D9" w:rsidP="002C5F6E">
            <w:pPr>
              <w:spacing w:line="240" w:lineRule="auto"/>
              <w:ind w:firstLine="0"/>
            </w:pPr>
            <w:r w:rsidRPr="004D46AC">
              <w:rPr>
                <w:color w:val="000000"/>
                <w:szCs w:val="21"/>
              </w:rPr>
              <w:t xml:space="preserve">0.39 </w:t>
            </w:r>
          </w:p>
        </w:tc>
        <w:tc>
          <w:tcPr>
            <w:tcW w:w="1705" w:type="dxa"/>
            <w:vAlign w:val="center"/>
          </w:tcPr>
          <w:p w14:paraId="5F7A712C" w14:textId="77777777" w:rsidR="007075D9" w:rsidRPr="004D46AC" w:rsidRDefault="007075D9" w:rsidP="002C5F6E">
            <w:pPr>
              <w:spacing w:line="240" w:lineRule="auto"/>
              <w:ind w:firstLine="0"/>
            </w:pPr>
            <w:r w:rsidRPr="004D46AC">
              <w:rPr>
                <w:color w:val="000000"/>
                <w:szCs w:val="21"/>
              </w:rPr>
              <w:t xml:space="preserve">0.42 </w:t>
            </w:r>
          </w:p>
        </w:tc>
      </w:tr>
      <w:tr w:rsidR="007075D9" w:rsidRPr="004D46AC" w14:paraId="3693391E" w14:textId="77777777">
        <w:tc>
          <w:tcPr>
            <w:tcW w:w="1704" w:type="dxa"/>
            <w:vAlign w:val="center"/>
          </w:tcPr>
          <w:p w14:paraId="04B99AF8" w14:textId="77777777" w:rsidR="007075D9" w:rsidRPr="004D46AC" w:rsidRDefault="007075D9" w:rsidP="002C5F6E">
            <w:pPr>
              <w:spacing w:line="240" w:lineRule="auto"/>
              <w:ind w:firstLine="0"/>
            </w:pPr>
            <w:r w:rsidRPr="004D46AC">
              <w:rPr>
                <w:color w:val="000000"/>
              </w:rPr>
              <w:t>TR7--TR21</w:t>
            </w:r>
          </w:p>
        </w:tc>
        <w:tc>
          <w:tcPr>
            <w:tcW w:w="1704" w:type="dxa"/>
            <w:vAlign w:val="center"/>
          </w:tcPr>
          <w:p w14:paraId="5F7AC36E"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03A83AAA"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67DF4E38" w14:textId="77777777" w:rsidR="007075D9" w:rsidRPr="004D46AC" w:rsidRDefault="007075D9" w:rsidP="002C5F6E">
            <w:pPr>
              <w:spacing w:line="240" w:lineRule="auto"/>
              <w:ind w:firstLine="0"/>
            </w:pPr>
            <w:r w:rsidRPr="004D46AC">
              <w:rPr>
                <w:color w:val="000000"/>
                <w:szCs w:val="21"/>
              </w:rPr>
              <w:t xml:space="preserve">0.36 </w:t>
            </w:r>
          </w:p>
        </w:tc>
        <w:tc>
          <w:tcPr>
            <w:tcW w:w="1705" w:type="dxa"/>
            <w:vAlign w:val="center"/>
          </w:tcPr>
          <w:p w14:paraId="7CC8989A"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2FA1F3A2" w14:textId="77777777">
        <w:tc>
          <w:tcPr>
            <w:tcW w:w="1704" w:type="dxa"/>
            <w:vAlign w:val="center"/>
          </w:tcPr>
          <w:p w14:paraId="49030066" w14:textId="77777777" w:rsidR="007075D9" w:rsidRPr="004D46AC" w:rsidRDefault="007075D9" w:rsidP="002C5F6E">
            <w:pPr>
              <w:spacing w:line="240" w:lineRule="auto"/>
              <w:ind w:firstLine="0"/>
            </w:pPr>
            <w:r w:rsidRPr="004D46AC">
              <w:rPr>
                <w:color w:val="000000"/>
              </w:rPr>
              <w:t>TR7--TR26</w:t>
            </w:r>
          </w:p>
        </w:tc>
        <w:tc>
          <w:tcPr>
            <w:tcW w:w="1704" w:type="dxa"/>
            <w:vAlign w:val="center"/>
          </w:tcPr>
          <w:p w14:paraId="1333345B"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2E6C3EBB"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09AF6434" w14:textId="77777777" w:rsidR="007075D9" w:rsidRPr="004D46AC" w:rsidRDefault="007075D9" w:rsidP="002C5F6E">
            <w:pPr>
              <w:spacing w:line="240" w:lineRule="auto"/>
              <w:ind w:firstLine="0"/>
            </w:pPr>
            <w:r w:rsidRPr="004D46AC">
              <w:rPr>
                <w:color w:val="000000"/>
                <w:szCs w:val="21"/>
              </w:rPr>
              <w:t xml:space="preserve">0.34 </w:t>
            </w:r>
          </w:p>
        </w:tc>
        <w:tc>
          <w:tcPr>
            <w:tcW w:w="1705" w:type="dxa"/>
            <w:vAlign w:val="center"/>
          </w:tcPr>
          <w:p w14:paraId="28A3D152" w14:textId="77777777" w:rsidR="007075D9" w:rsidRPr="004D46AC" w:rsidRDefault="007075D9" w:rsidP="002C5F6E">
            <w:pPr>
              <w:spacing w:line="240" w:lineRule="auto"/>
              <w:ind w:firstLine="0"/>
            </w:pPr>
            <w:r w:rsidRPr="004D46AC">
              <w:rPr>
                <w:color w:val="000000"/>
                <w:szCs w:val="21"/>
              </w:rPr>
              <w:t xml:space="preserve">0.47 </w:t>
            </w:r>
          </w:p>
        </w:tc>
      </w:tr>
      <w:tr w:rsidR="007075D9" w:rsidRPr="004D46AC" w14:paraId="66089C99" w14:textId="77777777">
        <w:tc>
          <w:tcPr>
            <w:tcW w:w="1704" w:type="dxa"/>
            <w:vAlign w:val="center"/>
          </w:tcPr>
          <w:p w14:paraId="730C5435" w14:textId="77777777" w:rsidR="007075D9" w:rsidRPr="004D46AC" w:rsidRDefault="007075D9" w:rsidP="002C5F6E">
            <w:pPr>
              <w:spacing w:line="240" w:lineRule="auto"/>
              <w:ind w:firstLine="0"/>
            </w:pPr>
            <w:r w:rsidRPr="004D46AC">
              <w:rPr>
                <w:color w:val="000000"/>
              </w:rPr>
              <w:t>TR21--TR23</w:t>
            </w:r>
          </w:p>
        </w:tc>
        <w:tc>
          <w:tcPr>
            <w:tcW w:w="1704" w:type="dxa"/>
            <w:vAlign w:val="center"/>
          </w:tcPr>
          <w:p w14:paraId="3B076499"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25AB186D" w14:textId="77777777" w:rsidR="007075D9" w:rsidRPr="004D46AC" w:rsidRDefault="007075D9" w:rsidP="002C5F6E">
            <w:pPr>
              <w:spacing w:line="240" w:lineRule="auto"/>
              <w:ind w:firstLine="0"/>
            </w:pPr>
            <w:r w:rsidRPr="004D46AC">
              <w:rPr>
                <w:color w:val="000000"/>
                <w:szCs w:val="21"/>
              </w:rPr>
              <w:t xml:space="preserve">-0.16 </w:t>
            </w:r>
          </w:p>
        </w:tc>
        <w:tc>
          <w:tcPr>
            <w:tcW w:w="1705" w:type="dxa"/>
            <w:vAlign w:val="center"/>
          </w:tcPr>
          <w:p w14:paraId="2FD4D515" w14:textId="77777777" w:rsidR="007075D9" w:rsidRPr="004D46AC" w:rsidRDefault="007075D9" w:rsidP="002C5F6E">
            <w:pPr>
              <w:spacing w:line="240" w:lineRule="auto"/>
              <w:ind w:firstLine="0"/>
            </w:pPr>
            <w:r w:rsidRPr="004D46AC">
              <w:rPr>
                <w:color w:val="000000"/>
                <w:szCs w:val="21"/>
              </w:rPr>
              <w:t xml:space="preserve">0.33 </w:t>
            </w:r>
          </w:p>
        </w:tc>
        <w:tc>
          <w:tcPr>
            <w:tcW w:w="1705" w:type="dxa"/>
            <w:vAlign w:val="center"/>
          </w:tcPr>
          <w:p w14:paraId="12FF450C" w14:textId="77777777" w:rsidR="007075D9" w:rsidRPr="004D46AC" w:rsidRDefault="007075D9" w:rsidP="002C5F6E">
            <w:pPr>
              <w:spacing w:line="240" w:lineRule="auto"/>
              <w:ind w:firstLine="0"/>
            </w:pPr>
            <w:r w:rsidRPr="004D46AC">
              <w:rPr>
                <w:color w:val="000000"/>
                <w:szCs w:val="21"/>
              </w:rPr>
              <w:t xml:space="preserve">0.36 </w:t>
            </w:r>
          </w:p>
        </w:tc>
      </w:tr>
      <w:tr w:rsidR="007075D9" w:rsidRPr="004D46AC" w14:paraId="61DD458A" w14:textId="77777777">
        <w:tc>
          <w:tcPr>
            <w:tcW w:w="1704" w:type="dxa"/>
            <w:vAlign w:val="center"/>
          </w:tcPr>
          <w:p w14:paraId="736C7F1B" w14:textId="77777777" w:rsidR="007075D9" w:rsidRPr="004D46AC" w:rsidRDefault="007075D9" w:rsidP="002C5F6E">
            <w:pPr>
              <w:spacing w:line="240" w:lineRule="auto"/>
              <w:ind w:firstLine="0"/>
            </w:pPr>
            <w:r w:rsidRPr="004D46AC">
              <w:rPr>
                <w:color w:val="000000"/>
              </w:rPr>
              <w:t>TR18--TR30</w:t>
            </w:r>
          </w:p>
        </w:tc>
        <w:tc>
          <w:tcPr>
            <w:tcW w:w="1704" w:type="dxa"/>
            <w:vAlign w:val="center"/>
          </w:tcPr>
          <w:p w14:paraId="245533BC"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73AE6FC3"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06027C16"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285F0F5E" w14:textId="77777777" w:rsidR="007075D9" w:rsidRPr="004D46AC" w:rsidRDefault="007075D9" w:rsidP="002C5F6E">
            <w:pPr>
              <w:spacing w:line="240" w:lineRule="auto"/>
              <w:ind w:firstLine="0"/>
            </w:pPr>
            <w:r w:rsidRPr="004D46AC">
              <w:rPr>
                <w:color w:val="000000"/>
                <w:szCs w:val="21"/>
              </w:rPr>
              <w:t xml:space="preserve">0.41 </w:t>
            </w:r>
          </w:p>
        </w:tc>
      </w:tr>
      <w:tr w:rsidR="007075D9" w:rsidRPr="004D46AC" w14:paraId="50ADC478" w14:textId="77777777">
        <w:tc>
          <w:tcPr>
            <w:tcW w:w="1704" w:type="dxa"/>
            <w:vAlign w:val="center"/>
          </w:tcPr>
          <w:p w14:paraId="00C1A869" w14:textId="77777777" w:rsidR="007075D9" w:rsidRPr="004D46AC" w:rsidRDefault="007075D9" w:rsidP="002C5F6E">
            <w:pPr>
              <w:spacing w:line="240" w:lineRule="auto"/>
              <w:ind w:firstLine="0"/>
            </w:pPr>
            <w:r w:rsidRPr="004D46AC">
              <w:rPr>
                <w:color w:val="000000"/>
              </w:rPr>
              <w:t>TR18--TR14</w:t>
            </w:r>
          </w:p>
        </w:tc>
        <w:tc>
          <w:tcPr>
            <w:tcW w:w="1704" w:type="dxa"/>
            <w:vAlign w:val="center"/>
          </w:tcPr>
          <w:p w14:paraId="20667F7D" w14:textId="77777777" w:rsidR="007075D9" w:rsidRPr="004D46AC" w:rsidRDefault="007075D9" w:rsidP="002C5F6E">
            <w:pPr>
              <w:spacing w:line="240" w:lineRule="auto"/>
              <w:ind w:firstLine="0"/>
            </w:pPr>
            <w:r w:rsidRPr="004D46AC">
              <w:rPr>
                <w:color w:val="000000"/>
                <w:szCs w:val="21"/>
              </w:rPr>
              <w:t xml:space="preserve">0.09 </w:t>
            </w:r>
          </w:p>
        </w:tc>
        <w:tc>
          <w:tcPr>
            <w:tcW w:w="1704" w:type="dxa"/>
            <w:vAlign w:val="center"/>
          </w:tcPr>
          <w:p w14:paraId="1735B2DC"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021B55BD"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6DB4EB24" w14:textId="77777777" w:rsidR="007075D9" w:rsidRPr="004D46AC" w:rsidRDefault="007075D9" w:rsidP="002C5F6E">
            <w:pPr>
              <w:spacing w:line="240" w:lineRule="auto"/>
              <w:ind w:firstLine="0"/>
            </w:pPr>
            <w:r w:rsidRPr="004D46AC">
              <w:rPr>
                <w:color w:val="000000"/>
                <w:szCs w:val="21"/>
              </w:rPr>
              <w:t xml:space="preserve">0.55 </w:t>
            </w:r>
          </w:p>
        </w:tc>
      </w:tr>
      <w:tr w:rsidR="007075D9" w:rsidRPr="004D46AC" w14:paraId="089D344E" w14:textId="77777777">
        <w:tc>
          <w:tcPr>
            <w:tcW w:w="1704" w:type="dxa"/>
            <w:vAlign w:val="center"/>
          </w:tcPr>
          <w:p w14:paraId="3557169F" w14:textId="77777777" w:rsidR="007075D9" w:rsidRPr="004D46AC" w:rsidRDefault="007075D9" w:rsidP="002C5F6E">
            <w:pPr>
              <w:spacing w:line="240" w:lineRule="auto"/>
              <w:ind w:firstLine="0"/>
            </w:pPr>
            <w:r w:rsidRPr="004D46AC">
              <w:rPr>
                <w:color w:val="000000"/>
              </w:rPr>
              <w:t>TR3--TR24</w:t>
            </w:r>
          </w:p>
        </w:tc>
        <w:tc>
          <w:tcPr>
            <w:tcW w:w="1704" w:type="dxa"/>
            <w:vAlign w:val="center"/>
          </w:tcPr>
          <w:p w14:paraId="690BA23C"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7E5BB4C8"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1F334675" w14:textId="77777777" w:rsidR="007075D9" w:rsidRPr="004D46AC" w:rsidRDefault="007075D9" w:rsidP="002C5F6E">
            <w:pPr>
              <w:spacing w:line="240" w:lineRule="auto"/>
              <w:ind w:firstLine="0"/>
            </w:pPr>
            <w:r w:rsidRPr="004D46AC">
              <w:rPr>
                <w:color w:val="000000"/>
                <w:szCs w:val="21"/>
              </w:rPr>
              <w:t xml:space="preserve">0.35 </w:t>
            </w:r>
          </w:p>
        </w:tc>
        <w:tc>
          <w:tcPr>
            <w:tcW w:w="1705" w:type="dxa"/>
            <w:vAlign w:val="center"/>
          </w:tcPr>
          <w:p w14:paraId="0D22BC44" w14:textId="77777777" w:rsidR="007075D9" w:rsidRPr="004D46AC" w:rsidRDefault="007075D9" w:rsidP="002C5F6E">
            <w:pPr>
              <w:spacing w:line="240" w:lineRule="auto"/>
              <w:ind w:firstLine="0"/>
            </w:pPr>
            <w:r w:rsidRPr="004D46AC">
              <w:rPr>
                <w:color w:val="000000"/>
                <w:szCs w:val="21"/>
              </w:rPr>
              <w:t xml:space="preserve">0.51 </w:t>
            </w:r>
          </w:p>
        </w:tc>
      </w:tr>
      <w:tr w:rsidR="007075D9" w:rsidRPr="004D46AC" w14:paraId="5BAD653B" w14:textId="77777777">
        <w:tc>
          <w:tcPr>
            <w:tcW w:w="1704" w:type="dxa"/>
            <w:vAlign w:val="center"/>
          </w:tcPr>
          <w:p w14:paraId="11EC3F46" w14:textId="77777777" w:rsidR="007075D9" w:rsidRPr="004D46AC" w:rsidRDefault="007075D9" w:rsidP="002C5F6E">
            <w:pPr>
              <w:spacing w:line="240" w:lineRule="auto"/>
              <w:ind w:firstLine="0"/>
            </w:pPr>
            <w:r w:rsidRPr="004D46AC">
              <w:rPr>
                <w:color w:val="000000"/>
              </w:rPr>
              <w:t>TR5--TR33</w:t>
            </w:r>
          </w:p>
        </w:tc>
        <w:tc>
          <w:tcPr>
            <w:tcW w:w="1704" w:type="dxa"/>
            <w:vAlign w:val="center"/>
          </w:tcPr>
          <w:p w14:paraId="2F4416FB"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623257A6" w14:textId="77777777" w:rsidR="007075D9" w:rsidRPr="004D46AC" w:rsidRDefault="007075D9" w:rsidP="002C5F6E">
            <w:pPr>
              <w:spacing w:line="240" w:lineRule="auto"/>
              <w:ind w:firstLine="0"/>
            </w:pPr>
            <w:r w:rsidRPr="004D46AC">
              <w:rPr>
                <w:color w:val="000000"/>
                <w:szCs w:val="21"/>
              </w:rPr>
              <w:t xml:space="preserve">-0.21 </w:t>
            </w:r>
          </w:p>
        </w:tc>
        <w:tc>
          <w:tcPr>
            <w:tcW w:w="1705" w:type="dxa"/>
            <w:vAlign w:val="center"/>
          </w:tcPr>
          <w:p w14:paraId="40596B8C" w14:textId="77777777" w:rsidR="007075D9" w:rsidRPr="004D46AC" w:rsidRDefault="007075D9" w:rsidP="002C5F6E">
            <w:pPr>
              <w:spacing w:line="240" w:lineRule="auto"/>
              <w:ind w:firstLine="0"/>
            </w:pPr>
            <w:r w:rsidRPr="004D46AC">
              <w:rPr>
                <w:color w:val="000000"/>
                <w:szCs w:val="21"/>
              </w:rPr>
              <w:t xml:space="preserve">0.37 </w:t>
            </w:r>
          </w:p>
        </w:tc>
        <w:tc>
          <w:tcPr>
            <w:tcW w:w="1705" w:type="dxa"/>
            <w:vAlign w:val="center"/>
          </w:tcPr>
          <w:p w14:paraId="417FB772" w14:textId="77777777" w:rsidR="007075D9" w:rsidRPr="004D46AC" w:rsidRDefault="007075D9" w:rsidP="002C5F6E">
            <w:pPr>
              <w:spacing w:line="240" w:lineRule="auto"/>
              <w:ind w:firstLine="0"/>
            </w:pPr>
            <w:r w:rsidRPr="004D46AC">
              <w:rPr>
                <w:color w:val="000000"/>
                <w:szCs w:val="21"/>
              </w:rPr>
              <w:t xml:space="preserve">0.61 </w:t>
            </w:r>
          </w:p>
        </w:tc>
      </w:tr>
      <w:tr w:rsidR="007075D9" w:rsidRPr="004D46AC" w14:paraId="4F6DEE3F" w14:textId="77777777">
        <w:tc>
          <w:tcPr>
            <w:tcW w:w="1704" w:type="dxa"/>
            <w:vAlign w:val="center"/>
          </w:tcPr>
          <w:p w14:paraId="261179F4" w14:textId="77777777" w:rsidR="007075D9" w:rsidRPr="004D46AC" w:rsidRDefault="007075D9" w:rsidP="002C5F6E">
            <w:pPr>
              <w:spacing w:line="240" w:lineRule="auto"/>
              <w:ind w:firstLine="0"/>
            </w:pPr>
            <w:r w:rsidRPr="004D46AC">
              <w:rPr>
                <w:color w:val="000000"/>
              </w:rPr>
              <w:t>TR21--TR22</w:t>
            </w:r>
          </w:p>
        </w:tc>
        <w:tc>
          <w:tcPr>
            <w:tcW w:w="1704" w:type="dxa"/>
            <w:vAlign w:val="center"/>
          </w:tcPr>
          <w:p w14:paraId="0780403D" w14:textId="77777777" w:rsidR="007075D9" w:rsidRPr="004D46AC" w:rsidRDefault="007075D9" w:rsidP="002C5F6E">
            <w:pPr>
              <w:spacing w:line="240" w:lineRule="auto"/>
              <w:ind w:firstLine="0"/>
            </w:pPr>
            <w:r w:rsidRPr="004D46AC">
              <w:rPr>
                <w:color w:val="000000"/>
                <w:szCs w:val="21"/>
              </w:rPr>
              <w:t xml:space="preserve">0.08 </w:t>
            </w:r>
          </w:p>
        </w:tc>
        <w:tc>
          <w:tcPr>
            <w:tcW w:w="1704" w:type="dxa"/>
            <w:vAlign w:val="center"/>
          </w:tcPr>
          <w:p w14:paraId="5E2D1948"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032FD70C"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5D598C73" w14:textId="77777777" w:rsidR="007075D9" w:rsidRPr="004D46AC" w:rsidRDefault="007075D9" w:rsidP="002C5F6E">
            <w:pPr>
              <w:spacing w:line="240" w:lineRule="auto"/>
              <w:ind w:firstLine="0"/>
            </w:pPr>
            <w:r w:rsidRPr="004D46AC">
              <w:rPr>
                <w:color w:val="000000"/>
                <w:szCs w:val="21"/>
              </w:rPr>
              <w:t xml:space="preserve">0.47 </w:t>
            </w:r>
          </w:p>
        </w:tc>
      </w:tr>
      <w:tr w:rsidR="007075D9" w:rsidRPr="004D46AC" w14:paraId="60F555DF" w14:textId="77777777">
        <w:tc>
          <w:tcPr>
            <w:tcW w:w="1704" w:type="dxa"/>
            <w:vAlign w:val="center"/>
          </w:tcPr>
          <w:p w14:paraId="4759C8E5" w14:textId="77777777" w:rsidR="007075D9" w:rsidRPr="004D46AC" w:rsidRDefault="007075D9" w:rsidP="002C5F6E">
            <w:pPr>
              <w:spacing w:line="240" w:lineRule="auto"/>
              <w:ind w:firstLine="0"/>
            </w:pPr>
            <w:r w:rsidRPr="004D46AC">
              <w:rPr>
                <w:color w:val="000000"/>
              </w:rPr>
              <w:t>TR21--TR33</w:t>
            </w:r>
          </w:p>
        </w:tc>
        <w:tc>
          <w:tcPr>
            <w:tcW w:w="1704" w:type="dxa"/>
            <w:vAlign w:val="center"/>
          </w:tcPr>
          <w:p w14:paraId="5A7CC325"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7F5746FE"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524B7555" w14:textId="77777777" w:rsidR="007075D9" w:rsidRPr="004D46AC" w:rsidRDefault="007075D9" w:rsidP="002C5F6E">
            <w:pPr>
              <w:spacing w:line="240" w:lineRule="auto"/>
              <w:ind w:firstLine="0"/>
            </w:pPr>
            <w:r w:rsidRPr="004D46AC">
              <w:rPr>
                <w:color w:val="000000"/>
                <w:szCs w:val="21"/>
              </w:rPr>
              <w:t xml:space="preserve">0.31 </w:t>
            </w:r>
          </w:p>
        </w:tc>
        <w:tc>
          <w:tcPr>
            <w:tcW w:w="1705" w:type="dxa"/>
            <w:vAlign w:val="center"/>
          </w:tcPr>
          <w:p w14:paraId="33E12FD9" w14:textId="77777777" w:rsidR="007075D9" w:rsidRPr="004D46AC" w:rsidRDefault="007075D9" w:rsidP="002C5F6E">
            <w:pPr>
              <w:spacing w:line="240" w:lineRule="auto"/>
              <w:ind w:firstLine="0"/>
            </w:pPr>
            <w:r w:rsidRPr="004D46AC">
              <w:rPr>
                <w:color w:val="000000"/>
                <w:szCs w:val="21"/>
              </w:rPr>
              <w:t xml:space="preserve">0.46 </w:t>
            </w:r>
          </w:p>
        </w:tc>
      </w:tr>
      <w:tr w:rsidR="007075D9" w:rsidRPr="004D46AC" w14:paraId="4F7068BD" w14:textId="77777777">
        <w:tc>
          <w:tcPr>
            <w:tcW w:w="1704" w:type="dxa"/>
            <w:vAlign w:val="center"/>
          </w:tcPr>
          <w:p w14:paraId="3EEC3523" w14:textId="77777777" w:rsidR="007075D9" w:rsidRPr="004D46AC" w:rsidRDefault="007075D9" w:rsidP="002C5F6E">
            <w:pPr>
              <w:spacing w:line="240" w:lineRule="auto"/>
              <w:ind w:firstLine="0"/>
            </w:pPr>
            <w:r w:rsidRPr="004D46AC">
              <w:rPr>
                <w:color w:val="000000"/>
              </w:rPr>
              <w:t>TR26--TR9</w:t>
            </w:r>
          </w:p>
        </w:tc>
        <w:tc>
          <w:tcPr>
            <w:tcW w:w="1704" w:type="dxa"/>
            <w:vAlign w:val="center"/>
          </w:tcPr>
          <w:p w14:paraId="06BF537D"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74F298BB" w14:textId="77777777" w:rsidR="007075D9" w:rsidRPr="004D46AC" w:rsidRDefault="007075D9" w:rsidP="002C5F6E">
            <w:pPr>
              <w:spacing w:line="240" w:lineRule="auto"/>
              <w:ind w:firstLine="0"/>
            </w:pPr>
            <w:r w:rsidRPr="004D46AC">
              <w:rPr>
                <w:color w:val="000000"/>
                <w:szCs w:val="21"/>
              </w:rPr>
              <w:t xml:space="preserve">-0.19 </w:t>
            </w:r>
          </w:p>
        </w:tc>
        <w:tc>
          <w:tcPr>
            <w:tcW w:w="1705" w:type="dxa"/>
            <w:vAlign w:val="center"/>
          </w:tcPr>
          <w:p w14:paraId="19DA323A" w14:textId="77777777" w:rsidR="007075D9" w:rsidRPr="004D46AC" w:rsidRDefault="007075D9" w:rsidP="002C5F6E">
            <w:pPr>
              <w:spacing w:line="240" w:lineRule="auto"/>
              <w:ind w:firstLine="0"/>
            </w:pPr>
            <w:r w:rsidRPr="004D46AC">
              <w:rPr>
                <w:color w:val="000000"/>
                <w:szCs w:val="21"/>
              </w:rPr>
              <w:t xml:space="preserve">0.32 </w:t>
            </w:r>
          </w:p>
        </w:tc>
        <w:tc>
          <w:tcPr>
            <w:tcW w:w="1705" w:type="dxa"/>
            <w:vAlign w:val="center"/>
          </w:tcPr>
          <w:p w14:paraId="62C58AF3" w14:textId="77777777" w:rsidR="007075D9" w:rsidRPr="004D46AC" w:rsidRDefault="007075D9" w:rsidP="002C5F6E">
            <w:pPr>
              <w:spacing w:line="240" w:lineRule="auto"/>
              <w:ind w:firstLine="0"/>
            </w:pPr>
            <w:r w:rsidRPr="004D46AC">
              <w:rPr>
                <w:color w:val="000000"/>
                <w:szCs w:val="21"/>
              </w:rPr>
              <w:t xml:space="preserve">0.54 </w:t>
            </w:r>
          </w:p>
        </w:tc>
      </w:tr>
      <w:tr w:rsidR="007075D9" w:rsidRPr="004D46AC" w14:paraId="0A31A696" w14:textId="77777777">
        <w:tc>
          <w:tcPr>
            <w:tcW w:w="1704" w:type="dxa"/>
            <w:vAlign w:val="center"/>
          </w:tcPr>
          <w:p w14:paraId="266EFA0C" w14:textId="77777777" w:rsidR="007075D9" w:rsidRPr="004D46AC" w:rsidRDefault="007075D9" w:rsidP="002C5F6E">
            <w:pPr>
              <w:spacing w:line="240" w:lineRule="auto"/>
              <w:ind w:firstLine="0"/>
            </w:pPr>
            <w:r w:rsidRPr="004D46AC">
              <w:rPr>
                <w:color w:val="000000"/>
              </w:rPr>
              <w:t>TR34--TR30</w:t>
            </w:r>
          </w:p>
        </w:tc>
        <w:tc>
          <w:tcPr>
            <w:tcW w:w="1704" w:type="dxa"/>
            <w:vAlign w:val="center"/>
          </w:tcPr>
          <w:p w14:paraId="0A7B5A9B" w14:textId="77777777" w:rsidR="007075D9" w:rsidRPr="004D46AC" w:rsidRDefault="007075D9" w:rsidP="002C5F6E">
            <w:pPr>
              <w:spacing w:line="240" w:lineRule="auto"/>
              <w:ind w:firstLine="0"/>
            </w:pPr>
            <w:r w:rsidRPr="004D46AC">
              <w:rPr>
                <w:color w:val="000000"/>
                <w:szCs w:val="21"/>
              </w:rPr>
              <w:t xml:space="preserve">0.07 </w:t>
            </w:r>
          </w:p>
        </w:tc>
        <w:tc>
          <w:tcPr>
            <w:tcW w:w="1704" w:type="dxa"/>
            <w:vAlign w:val="center"/>
          </w:tcPr>
          <w:p w14:paraId="394FA149"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3EEB311B" w14:textId="77777777" w:rsidR="007075D9" w:rsidRPr="004D46AC" w:rsidRDefault="007075D9" w:rsidP="002C5F6E">
            <w:pPr>
              <w:spacing w:line="240" w:lineRule="auto"/>
              <w:ind w:firstLine="0"/>
            </w:pPr>
            <w:r w:rsidRPr="004D46AC">
              <w:rPr>
                <w:color w:val="000000"/>
                <w:szCs w:val="21"/>
              </w:rPr>
              <w:t xml:space="preserve">0.33 </w:t>
            </w:r>
          </w:p>
        </w:tc>
        <w:tc>
          <w:tcPr>
            <w:tcW w:w="1705" w:type="dxa"/>
            <w:vAlign w:val="center"/>
          </w:tcPr>
          <w:p w14:paraId="5FC7AC80" w14:textId="77777777" w:rsidR="007075D9" w:rsidRPr="004D46AC" w:rsidRDefault="007075D9" w:rsidP="002C5F6E">
            <w:pPr>
              <w:spacing w:line="240" w:lineRule="auto"/>
              <w:ind w:firstLine="0"/>
            </w:pPr>
            <w:r w:rsidRPr="004D46AC">
              <w:rPr>
                <w:color w:val="000000"/>
                <w:szCs w:val="21"/>
              </w:rPr>
              <w:t xml:space="preserve">0.41 </w:t>
            </w:r>
          </w:p>
        </w:tc>
      </w:tr>
      <w:tr w:rsidR="007075D9" w:rsidRPr="004D46AC" w14:paraId="336DAB54" w14:textId="77777777">
        <w:tc>
          <w:tcPr>
            <w:tcW w:w="1704" w:type="dxa"/>
            <w:vAlign w:val="center"/>
          </w:tcPr>
          <w:p w14:paraId="2DD0742D" w14:textId="77777777" w:rsidR="007075D9" w:rsidRPr="004D46AC" w:rsidRDefault="007075D9" w:rsidP="002C5F6E">
            <w:pPr>
              <w:spacing w:line="240" w:lineRule="auto"/>
              <w:ind w:firstLine="0"/>
            </w:pPr>
            <w:r w:rsidRPr="004D46AC">
              <w:rPr>
                <w:color w:val="000000"/>
              </w:rPr>
              <w:t>TR24--TR25</w:t>
            </w:r>
          </w:p>
        </w:tc>
        <w:tc>
          <w:tcPr>
            <w:tcW w:w="1704" w:type="dxa"/>
            <w:vAlign w:val="center"/>
          </w:tcPr>
          <w:p w14:paraId="3105B837" w14:textId="77777777" w:rsidR="007075D9" w:rsidRPr="004D46AC" w:rsidRDefault="007075D9" w:rsidP="002C5F6E">
            <w:pPr>
              <w:spacing w:line="240" w:lineRule="auto"/>
              <w:ind w:firstLine="0"/>
            </w:pPr>
            <w:r w:rsidRPr="004D46AC">
              <w:rPr>
                <w:color w:val="000000"/>
                <w:szCs w:val="21"/>
              </w:rPr>
              <w:t xml:space="preserve">0.06 </w:t>
            </w:r>
          </w:p>
        </w:tc>
        <w:tc>
          <w:tcPr>
            <w:tcW w:w="1704" w:type="dxa"/>
            <w:vAlign w:val="center"/>
          </w:tcPr>
          <w:p w14:paraId="4378F5F7"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1280D25C" w14:textId="77777777" w:rsidR="007075D9" w:rsidRPr="004D46AC" w:rsidRDefault="007075D9" w:rsidP="002C5F6E">
            <w:pPr>
              <w:spacing w:line="240" w:lineRule="auto"/>
              <w:ind w:firstLine="0"/>
            </w:pPr>
            <w:r w:rsidRPr="004D46AC">
              <w:rPr>
                <w:color w:val="000000"/>
                <w:szCs w:val="21"/>
              </w:rPr>
              <w:t xml:space="preserve">0.30 </w:t>
            </w:r>
          </w:p>
        </w:tc>
        <w:tc>
          <w:tcPr>
            <w:tcW w:w="1705" w:type="dxa"/>
            <w:vAlign w:val="center"/>
          </w:tcPr>
          <w:p w14:paraId="7312CDCA" w14:textId="77777777" w:rsidR="007075D9" w:rsidRPr="004D46AC" w:rsidRDefault="007075D9" w:rsidP="002C5F6E">
            <w:pPr>
              <w:spacing w:line="240" w:lineRule="auto"/>
              <w:ind w:firstLine="0"/>
            </w:pPr>
            <w:r w:rsidRPr="004D46AC">
              <w:rPr>
                <w:color w:val="000000"/>
                <w:szCs w:val="21"/>
              </w:rPr>
              <w:t xml:space="preserve">0.61 </w:t>
            </w:r>
          </w:p>
        </w:tc>
      </w:tr>
      <w:tr w:rsidR="007075D9" w:rsidRPr="004D46AC" w14:paraId="694A2302" w14:textId="77777777">
        <w:tc>
          <w:tcPr>
            <w:tcW w:w="1704" w:type="dxa"/>
            <w:vAlign w:val="center"/>
          </w:tcPr>
          <w:p w14:paraId="1152938E" w14:textId="77777777" w:rsidR="007075D9" w:rsidRPr="004D46AC" w:rsidRDefault="007075D9" w:rsidP="002C5F6E">
            <w:pPr>
              <w:spacing w:line="240" w:lineRule="auto"/>
              <w:ind w:firstLine="0"/>
            </w:pPr>
            <w:r w:rsidRPr="004D46AC">
              <w:rPr>
                <w:color w:val="000000"/>
              </w:rPr>
              <w:t>TR26--TR29</w:t>
            </w:r>
          </w:p>
        </w:tc>
        <w:tc>
          <w:tcPr>
            <w:tcW w:w="1704" w:type="dxa"/>
            <w:vAlign w:val="center"/>
          </w:tcPr>
          <w:p w14:paraId="27F3607D" w14:textId="77777777" w:rsidR="007075D9" w:rsidRPr="004D46AC" w:rsidRDefault="007075D9" w:rsidP="002C5F6E">
            <w:pPr>
              <w:spacing w:line="240" w:lineRule="auto"/>
              <w:ind w:firstLine="0"/>
            </w:pPr>
            <w:r w:rsidRPr="004D46AC">
              <w:rPr>
                <w:color w:val="000000"/>
                <w:szCs w:val="21"/>
              </w:rPr>
              <w:t xml:space="preserve">0.06 </w:t>
            </w:r>
          </w:p>
        </w:tc>
        <w:tc>
          <w:tcPr>
            <w:tcW w:w="1704" w:type="dxa"/>
            <w:vAlign w:val="center"/>
          </w:tcPr>
          <w:p w14:paraId="3EC97433" w14:textId="77777777" w:rsidR="007075D9" w:rsidRPr="004D46AC" w:rsidRDefault="007075D9" w:rsidP="002C5F6E">
            <w:pPr>
              <w:spacing w:line="240" w:lineRule="auto"/>
              <w:ind w:firstLine="0"/>
            </w:pPr>
            <w:r w:rsidRPr="004D46AC">
              <w:rPr>
                <w:color w:val="000000"/>
                <w:szCs w:val="21"/>
              </w:rPr>
              <w:t xml:space="preserve">-0.15 </w:t>
            </w:r>
          </w:p>
        </w:tc>
        <w:tc>
          <w:tcPr>
            <w:tcW w:w="1705" w:type="dxa"/>
            <w:vAlign w:val="center"/>
          </w:tcPr>
          <w:p w14:paraId="517BABBB" w14:textId="77777777" w:rsidR="007075D9" w:rsidRPr="004D46AC" w:rsidRDefault="007075D9" w:rsidP="002C5F6E">
            <w:pPr>
              <w:spacing w:line="240" w:lineRule="auto"/>
              <w:ind w:firstLine="0"/>
            </w:pPr>
            <w:r w:rsidRPr="004D46AC">
              <w:rPr>
                <w:color w:val="000000"/>
                <w:szCs w:val="21"/>
              </w:rPr>
              <w:t xml:space="preserve">0.27 </w:t>
            </w:r>
          </w:p>
        </w:tc>
        <w:tc>
          <w:tcPr>
            <w:tcW w:w="1705" w:type="dxa"/>
            <w:vAlign w:val="center"/>
          </w:tcPr>
          <w:p w14:paraId="107811A8" w14:textId="77777777" w:rsidR="007075D9" w:rsidRPr="004D46AC" w:rsidRDefault="007075D9" w:rsidP="002C5F6E">
            <w:pPr>
              <w:spacing w:line="240" w:lineRule="auto"/>
              <w:ind w:firstLine="0"/>
            </w:pPr>
            <w:r w:rsidRPr="004D46AC">
              <w:rPr>
                <w:color w:val="000000"/>
                <w:szCs w:val="21"/>
              </w:rPr>
              <w:t xml:space="preserve">0.66 </w:t>
            </w:r>
          </w:p>
        </w:tc>
      </w:tr>
      <w:tr w:rsidR="007075D9" w:rsidRPr="004D46AC" w14:paraId="261BD050" w14:textId="77777777">
        <w:tc>
          <w:tcPr>
            <w:tcW w:w="1704" w:type="dxa"/>
            <w:vAlign w:val="center"/>
          </w:tcPr>
          <w:p w14:paraId="5C2E00C8" w14:textId="77777777" w:rsidR="007075D9" w:rsidRPr="004D46AC" w:rsidRDefault="007075D9" w:rsidP="002C5F6E">
            <w:pPr>
              <w:spacing w:line="240" w:lineRule="auto"/>
              <w:ind w:firstLine="0"/>
            </w:pPr>
            <w:r w:rsidRPr="004D46AC">
              <w:rPr>
                <w:color w:val="000000"/>
              </w:rPr>
              <w:t>TR21--TR34</w:t>
            </w:r>
          </w:p>
        </w:tc>
        <w:tc>
          <w:tcPr>
            <w:tcW w:w="1704" w:type="dxa"/>
            <w:vAlign w:val="center"/>
          </w:tcPr>
          <w:p w14:paraId="6BE0D890" w14:textId="77777777" w:rsidR="007075D9" w:rsidRPr="004D46AC" w:rsidRDefault="007075D9" w:rsidP="002C5F6E">
            <w:pPr>
              <w:spacing w:line="240" w:lineRule="auto"/>
              <w:ind w:firstLine="0"/>
            </w:pPr>
            <w:r w:rsidRPr="004D46AC">
              <w:rPr>
                <w:color w:val="000000"/>
                <w:szCs w:val="21"/>
              </w:rPr>
              <w:t xml:space="preserve">0.06 </w:t>
            </w:r>
          </w:p>
        </w:tc>
        <w:tc>
          <w:tcPr>
            <w:tcW w:w="1704" w:type="dxa"/>
            <w:vAlign w:val="center"/>
          </w:tcPr>
          <w:p w14:paraId="2BE0F956"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70CA16CE" w14:textId="77777777" w:rsidR="007075D9" w:rsidRPr="004D46AC" w:rsidRDefault="007075D9" w:rsidP="002C5F6E">
            <w:pPr>
              <w:spacing w:line="240" w:lineRule="auto"/>
              <w:ind w:firstLine="0"/>
            </w:pPr>
            <w:r w:rsidRPr="004D46AC">
              <w:rPr>
                <w:color w:val="000000"/>
                <w:szCs w:val="21"/>
              </w:rPr>
              <w:t xml:space="preserve">0.29 </w:t>
            </w:r>
          </w:p>
        </w:tc>
        <w:tc>
          <w:tcPr>
            <w:tcW w:w="1705" w:type="dxa"/>
            <w:vAlign w:val="center"/>
          </w:tcPr>
          <w:p w14:paraId="13D9D061" w14:textId="77777777" w:rsidR="007075D9" w:rsidRPr="004D46AC" w:rsidRDefault="007075D9" w:rsidP="002C5F6E">
            <w:pPr>
              <w:spacing w:line="240" w:lineRule="auto"/>
              <w:ind w:firstLine="0"/>
            </w:pPr>
            <w:r w:rsidRPr="004D46AC">
              <w:rPr>
                <w:color w:val="000000"/>
                <w:szCs w:val="21"/>
              </w:rPr>
              <w:t xml:space="preserve">0.52 </w:t>
            </w:r>
          </w:p>
        </w:tc>
      </w:tr>
      <w:tr w:rsidR="007075D9" w:rsidRPr="004D46AC" w14:paraId="3DD5BD88" w14:textId="77777777">
        <w:tc>
          <w:tcPr>
            <w:tcW w:w="1704" w:type="dxa"/>
            <w:vAlign w:val="center"/>
          </w:tcPr>
          <w:p w14:paraId="141353F3" w14:textId="77777777" w:rsidR="007075D9" w:rsidRPr="004D46AC" w:rsidRDefault="007075D9" w:rsidP="002C5F6E">
            <w:pPr>
              <w:spacing w:line="240" w:lineRule="auto"/>
              <w:ind w:firstLine="0"/>
            </w:pPr>
            <w:r w:rsidRPr="004D46AC">
              <w:rPr>
                <w:color w:val="000000"/>
              </w:rPr>
              <w:t>TR13--TR22</w:t>
            </w:r>
          </w:p>
        </w:tc>
        <w:tc>
          <w:tcPr>
            <w:tcW w:w="1704" w:type="dxa"/>
            <w:vAlign w:val="center"/>
          </w:tcPr>
          <w:p w14:paraId="44883E4F" w14:textId="77777777" w:rsidR="007075D9" w:rsidRPr="004D46AC" w:rsidRDefault="007075D9" w:rsidP="002C5F6E">
            <w:pPr>
              <w:spacing w:line="240" w:lineRule="auto"/>
              <w:ind w:firstLine="0"/>
            </w:pPr>
            <w:r w:rsidRPr="004D46AC">
              <w:rPr>
                <w:color w:val="000000"/>
                <w:szCs w:val="21"/>
              </w:rPr>
              <w:t xml:space="preserve">0.06 </w:t>
            </w:r>
          </w:p>
        </w:tc>
        <w:tc>
          <w:tcPr>
            <w:tcW w:w="1704" w:type="dxa"/>
            <w:vAlign w:val="center"/>
          </w:tcPr>
          <w:p w14:paraId="39CB3CE8" w14:textId="77777777" w:rsidR="007075D9" w:rsidRPr="004D46AC" w:rsidRDefault="007075D9" w:rsidP="002C5F6E">
            <w:pPr>
              <w:spacing w:line="240" w:lineRule="auto"/>
              <w:ind w:firstLine="0"/>
            </w:pPr>
            <w:r w:rsidRPr="004D46AC">
              <w:rPr>
                <w:color w:val="000000"/>
                <w:szCs w:val="21"/>
              </w:rPr>
              <w:t xml:space="preserve">-0.18 </w:t>
            </w:r>
          </w:p>
        </w:tc>
        <w:tc>
          <w:tcPr>
            <w:tcW w:w="1705" w:type="dxa"/>
            <w:vAlign w:val="center"/>
          </w:tcPr>
          <w:p w14:paraId="44EC72D0" w14:textId="77777777" w:rsidR="007075D9" w:rsidRPr="004D46AC" w:rsidRDefault="007075D9" w:rsidP="002C5F6E">
            <w:pPr>
              <w:spacing w:line="240" w:lineRule="auto"/>
              <w:ind w:firstLine="0"/>
            </w:pPr>
            <w:r w:rsidRPr="004D46AC">
              <w:rPr>
                <w:color w:val="000000"/>
                <w:szCs w:val="21"/>
              </w:rPr>
              <w:t xml:space="preserve">0.29 </w:t>
            </w:r>
          </w:p>
        </w:tc>
        <w:tc>
          <w:tcPr>
            <w:tcW w:w="1705" w:type="dxa"/>
            <w:vAlign w:val="center"/>
          </w:tcPr>
          <w:p w14:paraId="3DFD69EF" w14:textId="77777777" w:rsidR="007075D9" w:rsidRPr="004D46AC" w:rsidRDefault="007075D9" w:rsidP="002C5F6E">
            <w:pPr>
              <w:spacing w:line="240" w:lineRule="auto"/>
              <w:ind w:firstLine="0"/>
            </w:pPr>
            <w:r w:rsidRPr="004D46AC">
              <w:rPr>
                <w:color w:val="000000"/>
                <w:szCs w:val="21"/>
              </w:rPr>
              <w:t xml:space="preserve">0.47 </w:t>
            </w:r>
          </w:p>
        </w:tc>
      </w:tr>
      <w:tr w:rsidR="007075D9" w:rsidRPr="004D46AC" w14:paraId="7022CA77" w14:textId="77777777">
        <w:tc>
          <w:tcPr>
            <w:tcW w:w="1704" w:type="dxa"/>
            <w:vAlign w:val="center"/>
          </w:tcPr>
          <w:p w14:paraId="4BD4DDBA" w14:textId="77777777" w:rsidR="007075D9" w:rsidRPr="004D46AC" w:rsidRDefault="007075D9" w:rsidP="002C5F6E">
            <w:pPr>
              <w:spacing w:line="240" w:lineRule="auto"/>
              <w:ind w:firstLine="0"/>
            </w:pPr>
            <w:r w:rsidRPr="004D46AC">
              <w:rPr>
                <w:color w:val="000000"/>
              </w:rPr>
              <w:t>TR17--TR25</w:t>
            </w:r>
          </w:p>
        </w:tc>
        <w:tc>
          <w:tcPr>
            <w:tcW w:w="1704" w:type="dxa"/>
            <w:vAlign w:val="center"/>
          </w:tcPr>
          <w:p w14:paraId="404B01CF" w14:textId="77777777" w:rsidR="007075D9" w:rsidRPr="004D46AC" w:rsidRDefault="007075D9" w:rsidP="002C5F6E">
            <w:pPr>
              <w:spacing w:line="240" w:lineRule="auto"/>
              <w:ind w:firstLine="0"/>
            </w:pPr>
            <w:r w:rsidRPr="004D46AC">
              <w:rPr>
                <w:color w:val="000000"/>
                <w:szCs w:val="21"/>
              </w:rPr>
              <w:t xml:space="preserve">0.05 </w:t>
            </w:r>
          </w:p>
        </w:tc>
        <w:tc>
          <w:tcPr>
            <w:tcW w:w="1704" w:type="dxa"/>
            <w:vAlign w:val="center"/>
          </w:tcPr>
          <w:p w14:paraId="189148DB"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18A4A731" w14:textId="77777777" w:rsidR="007075D9" w:rsidRPr="004D46AC" w:rsidRDefault="007075D9" w:rsidP="002C5F6E">
            <w:pPr>
              <w:spacing w:line="240" w:lineRule="auto"/>
              <w:ind w:firstLine="0"/>
            </w:pPr>
            <w:r w:rsidRPr="004D46AC">
              <w:rPr>
                <w:color w:val="000000"/>
                <w:szCs w:val="21"/>
              </w:rPr>
              <w:t xml:space="preserve">0.27 </w:t>
            </w:r>
          </w:p>
        </w:tc>
        <w:tc>
          <w:tcPr>
            <w:tcW w:w="1705" w:type="dxa"/>
            <w:vAlign w:val="center"/>
          </w:tcPr>
          <w:p w14:paraId="7FAECE06" w14:textId="77777777" w:rsidR="007075D9" w:rsidRPr="004D46AC" w:rsidRDefault="007075D9" w:rsidP="002C5F6E">
            <w:pPr>
              <w:spacing w:line="240" w:lineRule="auto"/>
              <w:ind w:firstLine="0"/>
            </w:pPr>
            <w:r w:rsidRPr="004D46AC">
              <w:rPr>
                <w:color w:val="000000"/>
                <w:szCs w:val="21"/>
              </w:rPr>
              <w:t xml:space="preserve">0.55 </w:t>
            </w:r>
          </w:p>
        </w:tc>
      </w:tr>
      <w:tr w:rsidR="007075D9" w:rsidRPr="004D46AC" w14:paraId="2E2CAB74" w14:textId="77777777">
        <w:tc>
          <w:tcPr>
            <w:tcW w:w="1704" w:type="dxa"/>
            <w:vAlign w:val="center"/>
          </w:tcPr>
          <w:p w14:paraId="01BE350A" w14:textId="77777777" w:rsidR="007075D9" w:rsidRPr="004D46AC" w:rsidRDefault="007075D9" w:rsidP="002C5F6E">
            <w:pPr>
              <w:spacing w:line="240" w:lineRule="auto"/>
              <w:ind w:firstLine="0"/>
            </w:pPr>
            <w:r w:rsidRPr="004D46AC">
              <w:rPr>
                <w:color w:val="000000"/>
              </w:rPr>
              <w:t>TR9--TR22</w:t>
            </w:r>
          </w:p>
        </w:tc>
        <w:tc>
          <w:tcPr>
            <w:tcW w:w="1704" w:type="dxa"/>
            <w:vAlign w:val="center"/>
          </w:tcPr>
          <w:p w14:paraId="79057335" w14:textId="77777777" w:rsidR="007075D9" w:rsidRPr="004D46AC" w:rsidRDefault="007075D9" w:rsidP="002C5F6E">
            <w:pPr>
              <w:spacing w:line="240" w:lineRule="auto"/>
              <w:ind w:firstLine="0"/>
            </w:pPr>
            <w:r w:rsidRPr="004D46AC">
              <w:rPr>
                <w:color w:val="000000"/>
                <w:szCs w:val="21"/>
              </w:rPr>
              <w:t xml:space="preserve">0.05 </w:t>
            </w:r>
          </w:p>
        </w:tc>
        <w:tc>
          <w:tcPr>
            <w:tcW w:w="1704" w:type="dxa"/>
            <w:vAlign w:val="center"/>
          </w:tcPr>
          <w:p w14:paraId="6121A965"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636C833F" w14:textId="77777777" w:rsidR="007075D9" w:rsidRPr="004D46AC" w:rsidRDefault="007075D9" w:rsidP="002C5F6E">
            <w:pPr>
              <w:spacing w:line="240" w:lineRule="auto"/>
              <w:ind w:firstLine="0"/>
            </w:pPr>
            <w:r w:rsidRPr="004D46AC">
              <w:rPr>
                <w:color w:val="000000"/>
                <w:szCs w:val="21"/>
              </w:rPr>
              <w:t xml:space="preserve">0.29 </w:t>
            </w:r>
          </w:p>
        </w:tc>
        <w:tc>
          <w:tcPr>
            <w:tcW w:w="1705" w:type="dxa"/>
            <w:vAlign w:val="center"/>
          </w:tcPr>
          <w:p w14:paraId="54F3F5E1" w14:textId="77777777" w:rsidR="007075D9" w:rsidRPr="004D46AC" w:rsidRDefault="007075D9" w:rsidP="002C5F6E">
            <w:pPr>
              <w:spacing w:line="240" w:lineRule="auto"/>
              <w:ind w:firstLine="0"/>
            </w:pPr>
            <w:r w:rsidRPr="004D46AC">
              <w:rPr>
                <w:color w:val="000000"/>
                <w:szCs w:val="21"/>
              </w:rPr>
              <w:t xml:space="preserve">0.50 </w:t>
            </w:r>
          </w:p>
        </w:tc>
      </w:tr>
      <w:tr w:rsidR="007075D9" w:rsidRPr="004D46AC" w14:paraId="5983C869" w14:textId="77777777">
        <w:tc>
          <w:tcPr>
            <w:tcW w:w="1704" w:type="dxa"/>
            <w:vAlign w:val="center"/>
          </w:tcPr>
          <w:p w14:paraId="02BA5E81" w14:textId="77777777" w:rsidR="007075D9" w:rsidRPr="004D46AC" w:rsidRDefault="007075D9" w:rsidP="002C5F6E">
            <w:pPr>
              <w:spacing w:line="240" w:lineRule="auto"/>
              <w:ind w:firstLine="0"/>
            </w:pPr>
            <w:r w:rsidRPr="004D46AC">
              <w:rPr>
                <w:color w:val="000000"/>
              </w:rPr>
              <w:t>TR19--TR25</w:t>
            </w:r>
          </w:p>
        </w:tc>
        <w:tc>
          <w:tcPr>
            <w:tcW w:w="1704" w:type="dxa"/>
            <w:vAlign w:val="center"/>
          </w:tcPr>
          <w:p w14:paraId="42C83AC7" w14:textId="77777777" w:rsidR="007075D9" w:rsidRPr="004D46AC" w:rsidRDefault="007075D9" w:rsidP="002C5F6E">
            <w:pPr>
              <w:spacing w:line="240" w:lineRule="auto"/>
              <w:ind w:firstLine="0"/>
            </w:pPr>
            <w:r w:rsidRPr="004D46AC">
              <w:rPr>
                <w:color w:val="000000"/>
                <w:szCs w:val="21"/>
              </w:rPr>
              <w:t xml:space="preserve">0.02 </w:t>
            </w:r>
          </w:p>
        </w:tc>
        <w:tc>
          <w:tcPr>
            <w:tcW w:w="1704" w:type="dxa"/>
            <w:vAlign w:val="center"/>
          </w:tcPr>
          <w:p w14:paraId="1683BBD0" w14:textId="77777777" w:rsidR="007075D9" w:rsidRPr="004D46AC" w:rsidRDefault="007075D9" w:rsidP="002C5F6E">
            <w:pPr>
              <w:spacing w:line="240" w:lineRule="auto"/>
              <w:ind w:firstLine="0"/>
            </w:pPr>
            <w:r w:rsidRPr="004D46AC">
              <w:rPr>
                <w:color w:val="000000"/>
                <w:szCs w:val="21"/>
              </w:rPr>
              <w:t xml:space="preserve">-0.20 </w:t>
            </w:r>
          </w:p>
        </w:tc>
        <w:tc>
          <w:tcPr>
            <w:tcW w:w="1705" w:type="dxa"/>
            <w:vAlign w:val="center"/>
          </w:tcPr>
          <w:p w14:paraId="56C8EB09" w14:textId="77777777" w:rsidR="007075D9" w:rsidRPr="004D46AC" w:rsidRDefault="007075D9" w:rsidP="002C5F6E">
            <w:pPr>
              <w:spacing w:line="240" w:lineRule="auto"/>
              <w:ind w:firstLine="0"/>
            </w:pPr>
            <w:r w:rsidRPr="004D46AC">
              <w:rPr>
                <w:color w:val="000000"/>
                <w:szCs w:val="21"/>
              </w:rPr>
              <w:t xml:space="preserve">0.23 </w:t>
            </w:r>
          </w:p>
        </w:tc>
        <w:tc>
          <w:tcPr>
            <w:tcW w:w="1705" w:type="dxa"/>
            <w:vAlign w:val="center"/>
          </w:tcPr>
          <w:p w14:paraId="74ED9541" w14:textId="77777777" w:rsidR="007075D9" w:rsidRPr="004D46AC" w:rsidRDefault="007075D9" w:rsidP="002C5F6E">
            <w:pPr>
              <w:spacing w:line="240" w:lineRule="auto"/>
              <w:ind w:firstLine="0"/>
            </w:pPr>
            <w:r w:rsidRPr="004D46AC">
              <w:rPr>
                <w:color w:val="000000"/>
                <w:szCs w:val="21"/>
              </w:rPr>
              <w:t xml:space="preserve">0.63 </w:t>
            </w:r>
          </w:p>
        </w:tc>
      </w:tr>
      <w:tr w:rsidR="007075D9" w:rsidRPr="004D46AC" w14:paraId="1DCF68A9" w14:textId="77777777">
        <w:tc>
          <w:tcPr>
            <w:tcW w:w="1704" w:type="dxa"/>
            <w:vAlign w:val="center"/>
          </w:tcPr>
          <w:p w14:paraId="2FAC5044" w14:textId="77777777" w:rsidR="007075D9" w:rsidRPr="004D46AC" w:rsidRDefault="007075D9" w:rsidP="002C5F6E">
            <w:pPr>
              <w:spacing w:line="240" w:lineRule="auto"/>
              <w:ind w:firstLine="0"/>
            </w:pPr>
            <w:r w:rsidRPr="004D46AC">
              <w:rPr>
                <w:color w:val="000000"/>
              </w:rPr>
              <w:t>TR12--TR16</w:t>
            </w:r>
          </w:p>
        </w:tc>
        <w:tc>
          <w:tcPr>
            <w:tcW w:w="1704" w:type="dxa"/>
            <w:vAlign w:val="center"/>
          </w:tcPr>
          <w:p w14:paraId="00901EAB" w14:textId="77777777" w:rsidR="007075D9" w:rsidRPr="004D46AC" w:rsidRDefault="007075D9" w:rsidP="002C5F6E">
            <w:pPr>
              <w:spacing w:line="240" w:lineRule="auto"/>
              <w:ind w:firstLine="0"/>
            </w:pPr>
            <w:r w:rsidRPr="004D46AC">
              <w:rPr>
                <w:color w:val="000000"/>
                <w:szCs w:val="21"/>
              </w:rPr>
              <w:t xml:space="preserve">-0.12 </w:t>
            </w:r>
          </w:p>
        </w:tc>
        <w:tc>
          <w:tcPr>
            <w:tcW w:w="1704" w:type="dxa"/>
            <w:vAlign w:val="center"/>
          </w:tcPr>
          <w:p w14:paraId="33F5310E" w14:textId="77777777" w:rsidR="007075D9" w:rsidRPr="004D46AC" w:rsidRDefault="007075D9" w:rsidP="002C5F6E">
            <w:pPr>
              <w:spacing w:line="240" w:lineRule="auto"/>
              <w:ind w:firstLine="0"/>
            </w:pPr>
            <w:r w:rsidRPr="004D46AC">
              <w:rPr>
                <w:color w:val="000000"/>
                <w:szCs w:val="21"/>
              </w:rPr>
              <w:t xml:space="preserve">-0.43 </w:t>
            </w:r>
          </w:p>
        </w:tc>
        <w:tc>
          <w:tcPr>
            <w:tcW w:w="1705" w:type="dxa"/>
            <w:vAlign w:val="center"/>
          </w:tcPr>
          <w:p w14:paraId="6067C2FF" w14:textId="77777777" w:rsidR="007075D9" w:rsidRPr="004D46AC" w:rsidRDefault="007075D9" w:rsidP="002C5F6E">
            <w:pPr>
              <w:spacing w:line="240" w:lineRule="auto"/>
              <w:ind w:firstLine="0"/>
            </w:pPr>
            <w:r w:rsidRPr="004D46AC">
              <w:rPr>
                <w:color w:val="000000"/>
                <w:szCs w:val="21"/>
              </w:rPr>
              <w:t xml:space="preserve">0.19 </w:t>
            </w:r>
          </w:p>
        </w:tc>
        <w:tc>
          <w:tcPr>
            <w:tcW w:w="1705" w:type="dxa"/>
            <w:vAlign w:val="center"/>
          </w:tcPr>
          <w:p w14:paraId="07B09EF9" w14:textId="77777777" w:rsidR="007075D9" w:rsidRPr="004D46AC" w:rsidRDefault="007075D9" w:rsidP="002C5F6E">
            <w:pPr>
              <w:spacing w:line="240" w:lineRule="auto"/>
              <w:ind w:firstLine="0"/>
            </w:pPr>
            <w:r w:rsidRPr="004D46AC">
              <w:rPr>
                <w:color w:val="000000"/>
                <w:szCs w:val="21"/>
              </w:rPr>
              <w:t xml:space="preserve">0.38 </w:t>
            </w:r>
          </w:p>
        </w:tc>
      </w:tr>
      <w:tr w:rsidR="007075D9" w:rsidRPr="004D46AC" w14:paraId="6BF0CDF5" w14:textId="77777777">
        <w:tc>
          <w:tcPr>
            <w:tcW w:w="1704" w:type="dxa"/>
            <w:vAlign w:val="center"/>
          </w:tcPr>
          <w:p w14:paraId="38EEE9B2" w14:textId="77777777" w:rsidR="007075D9" w:rsidRPr="004D46AC" w:rsidRDefault="007075D9" w:rsidP="002C5F6E">
            <w:pPr>
              <w:spacing w:line="240" w:lineRule="auto"/>
              <w:ind w:firstLine="0"/>
            </w:pPr>
            <w:r w:rsidRPr="004D46AC">
              <w:rPr>
                <w:color w:val="000000"/>
              </w:rPr>
              <w:t>TR12--TR25</w:t>
            </w:r>
          </w:p>
        </w:tc>
        <w:tc>
          <w:tcPr>
            <w:tcW w:w="1704" w:type="dxa"/>
            <w:vAlign w:val="center"/>
          </w:tcPr>
          <w:p w14:paraId="40882463" w14:textId="77777777" w:rsidR="007075D9" w:rsidRPr="004D46AC" w:rsidRDefault="007075D9" w:rsidP="002C5F6E">
            <w:pPr>
              <w:spacing w:line="240" w:lineRule="auto"/>
              <w:ind w:firstLine="0"/>
            </w:pPr>
            <w:r w:rsidRPr="004D46AC">
              <w:rPr>
                <w:color w:val="000000"/>
                <w:szCs w:val="21"/>
              </w:rPr>
              <w:t xml:space="preserve">-0.24 </w:t>
            </w:r>
          </w:p>
        </w:tc>
        <w:tc>
          <w:tcPr>
            <w:tcW w:w="1704" w:type="dxa"/>
            <w:vAlign w:val="center"/>
          </w:tcPr>
          <w:p w14:paraId="41E8B1D2" w14:textId="77777777" w:rsidR="007075D9" w:rsidRPr="004D46AC" w:rsidRDefault="007075D9" w:rsidP="002C5F6E">
            <w:pPr>
              <w:spacing w:line="240" w:lineRule="auto"/>
              <w:ind w:firstLine="0"/>
            </w:pPr>
            <w:r w:rsidRPr="004D46AC">
              <w:rPr>
                <w:color w:val="000000"/>
                <w:szCs w:val="21"/>
              </w:rPr>
              <w:t xml:space="preserve">-0.61 </w:t>
            </w:r>
          </w:p>
        </w:tc>
        <w:tc>
          <w:tcPr>
            <w:tcW w:w="1705" w:type="dxa"/>
            <w:vAlign w:val="center"/>
          </w:tcPr>
          <w:p w14:paraId="16FAA68C" w14:textId="77777777" w:rsidR="007075D9" w:rsidRPr="004D46AC" w:rsidRDefault="007075D9" w:rsidP="002C5F6E">
            <w:pPr>
              <w:spacing w:line="240" w:lineRule="auto"/>
              <w:ind w:firstLine="0"/>
            </w:pPr>
            <w:r w:rsidRPr="004D46AC">
              <w:rPr>
                <w:color w:val="000000"/>
                <w:szCs w:val="21"/>
              </w:rPr>
              <w:t xml:space="preserve">0.13 </w:t>
            </w:r>
          </w:p>
        </w:tc>
        <w:tc>
          <w:tcPr>
            <w:tcW w:w="1705" w:type="dxa"/>
            <w:vAlign w:val="center"/>
          </w:tcPr>
          <w:p w14:paraId="28D419DC" w14:textId="77777777" w:rsidR="007075D9" w:rsidRPr="004D46AC" w:rsidRDefault="007075D9" w:rsidP="002C5F6E">
            <w:pPr>
              <w:spacing w:line="240" w:lineRule="auto"/>
              <w:ind w:firstLine="0"/>
            </w:pPr>
            <w:r w:rsidRPr="004D46AC">
              <w:rPr>
                <w:color w:val="000000"/>
                <w:szCs w:val="21"/>
              </w:rPr>
              <w:t xml:space="preserve">0.25 </w:t>
            </w:r>
          </w:p>
        </w:tc>
      </w:tr>
      <w:tr w:rsidR="007075D9" w:rsidRPr="004D46AC" w14:paraId="1BF36589" w14:textId="77777777">
        <w:tc>
          <w:tcPr>
            <w:tcW w:w="1704" w:type="dxa"/>
            <w:vAlign w:val="center"/>
          </w:tcPr>
          <w:p w14:paraId="101A2352" w14:textId="77777777" w:rsidR="007075D9" w:rsidRPr="004D46AC" w:rsidRDefault="007075D9" w:rsidP="002C5F6E">
            <w:pPr>
              <w:spacing w:line="240" w:lineRule="auto"/>
              <w:ind w:firstLine="0"/>
            </w:pPr>
            <w:r w:rsidRPr="004D46AC">
              <w:rPr>
                <w:color w:val="000000"/>
              </w:rPr>
              <w:t>TR12--TR14</w:t>
            </w:r>
          </w:p>
        </w:tc>
        <w:tc>
          <w:tcPr>
            <w:tcW w:w="1704" w:type="dxa"/>
            <w:vAlign w:val="center"/>
          </w:tcPr>
          <w:p w14:paraId="55C9C93E" w14:textId="77777777" w:rsidR="007075D9" w:rsidRPr="004D46AC" w:rsidRDefault="007075D9" w:rsidP="002C5F6E">
            <w:pPr>
              <w:spacing w:line="240" w:lineRule="auto"/>
              <w:ind w:firstLine="0"/>
            </w:pPr>
            <w:r w:rsidRPr="004D46AC">
              <w:rPr>
                <w:color w:val="000000"/>
                <w:szCs w:val="21"/>
              </w:rPr>
              <w:t xml:space="preserve">-0.52 </w:t>
            </w:r>
          </w:p>
        </w:tc>
        <w:tc>
          <w:tcPr>
            <w:tcW w:w="1704" w:type="dxa"/>
            <w:vAlign w:val="center"/>
          </w:tcPr>
          <w:p w14:paraId="393A422A" w14:textId="77777777" w:rsidR="007075D9" w:rsidRPr="004D46AC" w:rsidRDefault="007075D9" w:rsidP="002C5F6E">
            <w:pPr>
              <w:spacing w:line="240" w:lineRule="auto"/>
              <w:ind w:firstLine="0"/>
            </w:pPr>
            <w:r w:rsidRPr="004D46AC">
              <w:rPr>
                <w:color w:val="000000"/>
                <w:szCs w:val="21"/>
              </w:rPr>
              <w:t xml:space="preserve">-0.86 </w:t>
            </w:r>
          </w:p>
        </w:tc>
        <w:tc>
          <w:tcPr>
            <w:tcW w:w="1705" w:type="dxa"/>
            <w:vAlign w:val="center"/>
          </w:tcPr>
          <w:p w14:paraId="0B091BA7" w14:textId="77777777" w:rsidR="007075D9" w:rsidRPr="004D46AC" w:rsidRDefault="007075D9" w:rsidP="002C5F6E">
            <w:pPr>
              <w:spacing w:line="240" w:lineRule="auto"/>
              <w:ind w:firstLine="0"/>
            </w:pPr>
            <w:r w:rsidRPr="004D46AC">
              <w:rPr>
                <w:color w:val="000000"/>
                <w:szCs w:val="21"/>
              </w:rPr>
              <w:t xml:space="preserve">-0.17 </w:t>
            </w:r>
          </w:p>
        </w:tc>
        <w:tc>
          <w:tcPr>
            <w:tcW w:w="1705" w:type="dxa"/>
            <w:vAlign w:val="center"/>
          </w:tcPr>
          <w:p w14:paraId="777699B3" w14:textId="77777777" w:rsidR="007075D9" w:rsidRPr="004D46AC" w:rsidRDefault="007075D9" w:rsidP="002C5F6E">
            <w:pPr>
              <w:spacing w:line="240" w:lineRule="auto"/>
              <w:ind w:firstLine="0"/>
            </w:pPr>
            <w:r w:rsidRPr="004D46AC">
              <w:rPr>
                <w:color w:val="000000"/>
                <w:szCs w:val="21"/>
              </w:rPr>
              <w:t xml:space="preserve">0.01 </w:t>
            </w:r>
          </w:p>
        </w:tc>
      </w:tr>
    </w:tbl>
    <w:p w14:paraId="638AF5D6" w14:textId="77777777" w:rsidR="007075D9" w:rsidRPr="004D46AC" w:rsidRDefault="007075D9" w:rsidP="002C5F6E">
      <w:pPr>
        <w:spacing w:line="240" w:lineRule="auto"/>
        <w:ind w:firstLine="0"/>
      </w:pPr>
      <w:r w:rsidRPr="004D46AC">
        <w:rPr>
          <w:i/>
          <w:iCs/>
        </w:rPr>
        <w:t>Note</w:t>
      </w:r>
      <w:r w:rsidRPr="004D46AC">
        <w:t>. Bootstrapped edge statistics were based on 2,000 resampled datasets. P</w:t>
      </w:r>
      <w:r w:rsidRPr="004D46AC">
        <w:rPr>
          <w:rFonts w:ascii="Cambria Math" w:hAnsi="Cambria Math" w:cs="Cambria Math" w:hint="eastAsia"/>
        </w:rPr>
        <w:t xml:space="preserve">0 </w:t>
      </w:r>
      <w:r w:rsidRPr="004D46AC">
        <w:t>indicates the proportion of times an edge was present across the bootstrap samples.</w:t>
      </w:r>
    </w:p>
    <w:p w14:paraId="6505EE01" w14:textId="77777777" w:rsidR="007075D9" w:rsidRPr="004D46AC" w:rsidRDefault="007075D9" w:rsidP="002C5F6E">
      <w:pPr>
        <w:spacing w:line="240" w:lineRule="auto"/>
        <w:ind w:firstLine="0"/>
      </w:pPr>
    </w:p>
    <w:p w14:paraId="2F887F58" w14:textId="77777777" w:rsidR="007075D9" w:rsidRPr="004D46AC" w:rsidRDefault="007075D9" w:rsidP="002C5F6E">
      <w:pPr>
        <w:spacing w:line="240" w:lineRule="auto"/>
        <w:ind w:firstLine="0"/>
      </w:pPr>
    </w:p>
    <w:p w14:paraId="228A2AC9" w14:textId="77777777" w:rsidR="007075D9" w:rsidRPr="004D46AC" w:rsidRDefault="007075D9" w:rsidP="002C5F6E">
      <w:pPr>
        <w:spacing w:line="240" w:lineRule="auto"/>
        <w:ind w:firstLine="0"/>
      </w:pPr>
    </w:p>
    <w:p w14:paraId="2998365D" w14:textId="77777777" w:rsidR="007075D9" w:rsidRPr="004D46AC" w:rsidRDefault="007075D9" w:rsidP="002C5F6E">
      <w:pPr>
        <w:spacing w:line="240" w:lineRule="auto"/>
        <w:ind w:firstLine="0"/>
      </w:pPr>
    </w:p>
    <w:p w14:paraId="4F6A635A" w14:textId="77777777" w:rsidR="007075D9" w:rsidRPr="004D46AC" w:rsidRDefault="007075D9" w:rsidP="002C5F6E">
      <w:pPr>
        <w:spacing w:line="240" w:lineRule="auto"/>
        <w:ind w:firstLine="0"/>
      </w:pPr>
    </w:p>
    <w:p w14:paraId="3F725E2B" w14:textId="77777777" w:rsidR="007075D9" w:rsidRPr="004D46AC" w:rsidRDefault="007075D9" w:rsidP="002C5F6E">
      <w:pPr>
        <w:spacing w:line="240" w:lineRule="auto"/>
        <w:ind w:firstLine="0"/>
      </w:pPr>
      <w:r w:rsidRPr="004D46AC">
        <w:rPr>
          <w:noProof/>
        </w:rPr>
        <w:lastRenderedPageBreak/>
        <w:drawing>
          <wp:inline distT="0" distB="0" distL="0" distR="0" wp14:anchorId="70030F3E" wp14:editId="698EF71D">
            <wp:extent cx="5274310" cy="3321050"/>
            <wp:effectExtent l="0" t="0" r="0" b="0"/>
            <wp:docPr id="1599742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5274310" cy="3321050"/>
                    </a:xfrm>
                    <a:prstGeom prst="rect">
                      <a:avLst/>
                    </a:prstGeom>
                    <a:noFill/>
                    <a:ln>
                      <a:noFill/>
                    </a:ln>
                  </pic:spPr>
                </pic:pic>
              </a:graphicData>
            </a:graphic>
          </wp:inline>
        </w:drawing>
      </w:r>
    </w:p>
    <w:p w14:paraId="219375BC" w14:textId="0F134528" w:rsidR="007075D9" w:rsidRPr="004D46AC" w:rsidRDefault="00011BA9" w:rsidP="00011BA9">
      <w:pPr>
        <w:pStyle w:val="afff0"/>
        <w:spacing w:after="0"/>
        <w:ind w:firstLine="0"/>
        <w:rPr>
          <w:b/>
          <w:bCs/>
          <w:i w:val="0"/>
          <w:iCs w:val="0"/>
          <w:color w:val="auto"/>
          <w:sz w:val="22"/>
          <w:szCs w:val="22"/>
        </w:rPr>
      </w:pPr>
      <w:bookmarkStart w:id="415" w:name="_Toc219880314"/>
      <w:r w:rsidRPr="004D46AC">
        <w:rPr>
          <w:b/>
          <w:bCs/>
          <w:i w:val="0"/>
          <w:iCs w:val="0"/>
          <w:color w:val="auto"/>
          <w:sz w:val="22"/>
          <w:szCs w:val="22"/>
        </w:rPr>
        <w:t xml:space="preserve">Figure E </w:t>
      </w:r>
      <w:r w:rsidRPr="004D46AC">
        <w:rPr>
          <w:b/>
          <w:bCs/>
          <w:i w:val="0"/>
          <w:iCs w:val="0"/>
          <w:color w:val="auto"/>
          <w:sz w:val="22"/>
          <w:szCs w:val="22"/>
        </w:rPr>
        <w:fldChar w:fldCharType="begin"/>
      </w:r>
      <w:r w:rsidRPr="004D46AC">
        <w:rPr>
          <w:b/>
          <w:bCs/>
          <w:i w:val="0"/>
          <w:iCs w:val="0"/>
          <w:color w:val="auto"/>
          <w:sz w:val="22"/>
          <w:szCs w:val="22"/>
        </w:rPr>
        <w:instrText xml:space="preserve"> SEQ Figure_E \* ARABIC </w:instrText>
      </w:r>
      <w:r w:rsidRPr="004D46AC">
        <w:rPr>
          <w:b/>
          <w:bCs/>
          <w:i w:val="0"/>
          <w:iCs w:val="0"/>
          <w:color w:val="auto"/>
          <w:sz w:val="22"/>
          <w:szCs w:val="22"/>
        </w:rPr>
        <w:fldChar w:fldCharType="separate"/>
      </w:r>
      <w:r w:rsidRPr="004D46AC">
        <w:rPr>
          <w:b/>
          <w:bCs/>
          <w:i w:val="0"/>
          <w:iCs w:val="0"/>
          <w:noProof/>
          <w:color w:val="auto"/>
          <w:sz w:val="22"/>
          <w:szCs w:val="22"/>
        </w:rPr>
        <w:t>1</w:t>
      </w:r>
      <w:bookmarkEnd w:id="415"/>
      <w:r w:rsidRPr="004D46AC">
        <w:rPr>
          <w:b/>
          <w:bCs/>
          <w:i w:val="0"/>
          <w:iCs w:val="0"/>
          <w:color w:val="auto"/>
          <w:sz w:val="22"/>
          <w:szCs w:val="22"/>
        </w:rPr>
        <w:fldChar w:fldCharType="end"/>
      </w:r>
    </w:p>
    <w:p w14:paraId="3118662B" w14:textId="77777777" w:rsidR="007075D9" w:rsidRPr="004D46AC" w:rsidRDefault="007075D9" w:rsidP="002C5F6E">
      <w:pPr>
        <w:spacing w:line="240" w:lineRule="auto"/>
        <w:ind w:firstLine="0"/>
        <w:rPr>
          <w:i/>
          <w:iCs/>
        </w:rPr>
      </w:pPr>
      <w:r w:rsidRPr="004D46AC">
        <w:rPr>
          <w:i/>
          <w:iCs/>
        </w:rPr>
        <w:t>The full procedure of item selection for TRACE</w:t>
      </w:r>
    </w:p>
    <w:p w14:paraId="1014544B" w14:textId="77777777" w:rsidR="007075D9" w:rsidRPr="004D46AC" w:rsidRDefault="007075D9" w:rsidP="002C5F6E">
      <w:pPr>
        <w:spacing w:line="240" w:lineRule="auto"/>
        <w:ind w:firstLine="0"/>
        <w:rPr>
          <w:i/>
          <w:iCs/>
        </w:rPr>
      </w:pPr>
      <w:r w:rsidRPr="004D46AC">
        <w:rPr>
          <w:i/>
          <w:iCs/>
        </w:rPr>
        <w:t xml:space="preserve">Note. </w:t>
      </w:r>
      <w:r w:rsidRPr="004D46AC">
        <w:t>From Jayne et al. (2025).</w:t>
      </w:r>
    </w:p>
    <w:p w14:paraId="76F27E76" w14:textId="77777777" w:rsidR="007075D9" w:rsidRPr="004D46AC" w:rsidRDefault="007075D9" w:rsidP="002C5F6E">
      <w:pPr>
        <w:spacing w:line="240" w:lineRule="auto"/>
        <w:ind w:firstLine="0"/>
        <w:rPr>
          <w:i/>
          <w:iCs/>
        </w:rPr>
      </w:pPr>
    </w:p>
    <w:p w14:paraId="4FEA5E11" w14:textId="77777777" w:rsidR="007075D9" w:rsidRPr="004D46AC" w:rsidRDefault="007075D9" w:rsidP="002C5F6E">
      <w:pPr>
        <w:spacing w:line="240" w:lineRule="auto"/>
        <w:ind w:firstLine="0"/>
      </w:pPr>
      <w:r w:rsidRPr="004D46AC">
        <w:rPr>
          <w:rFonts w:hint="eastAsia"/>
        </w:rPr>
        <w:t>Reference:</w:t>
      </w:r>
    </w:p>
    <w:p w14:paraId="6D278CE9" w14:textId="77777777" w:rsidR="007075D9" w:rsidRPr="004D46AC" w:rsidRDefault="007075D9" w:rsidP="002C5F6E">
      <w:pPr>
        <w:spacing w:line="240" w:lineRule="auto"/>
        <w:ind w:left="720" w:firstLine="0"/>
      </w:pPr>
      <w:r w:rsidRPr="004D46AC">
        <w:t xml:space="preserve">Pickering, J., Shao, W., Weich, S., Dalton, C. F., Jones, M., Taylor, C. D. J., Reuber, M., Kingston, J., Gibbs, C., &amp; Bentall, R. P. (2025). Developing Trace: A transdiagnostic screening tool for early detection of a pluripotent at-risk mental state. </w:t>
      </w:r>
      <w:r w:rsidRPr="004D46AC">
        <w:rPr>
          <w:i/>
          <w:iCs/>
        </w:rPr>
        <w:t>International Journal of Methods in Psychiatric Research, 34</w:t>
      </w:r>
      <w:r w:rsidRPr="004D46AC">
        <w:t xml:space="preserve">(4), Article e70046. </w:t>
      </w:r>
      <w:hyperlink r:id="rId459" w:tgtFrame="_blank" w:history="1">
        <w:r w:rsidRPr="004D46AC">
          <w:rPr>
            <w:rStyle w:val="af5"/>
          </w:rPr>
          <w:t>https://doi.org/10.1002/mpr.70046</w:t>
        </w:r>
      </w:hyperlink>
    </w:p>
    <w:p w14:paraId="2155C593" w14:textId="77777777" w:rsidR="007075D9" w:rsidRPr="004D46AC" w:rsidRDefault="007075D9" w:rsidP="002C5F6E">
      <w:pPr>
        <w:spacing w:line="240" w:lineRule="auto"/>
        <w:ind w:firstLine="0"/>
      </w:pPr>
    </w:p>
    <w:p w14:paraId="728966D9" w14:textId="77777777" w:rsidR="007075D9" w:rsidRPr="004D46AC" w:rsidRDefault="007075D9" w:rsidP="002C5F6E">
      <w:pPr>
        <w:spacing w:line="240" w:lineRule="auto"/>
        <w:ind w:firstLine="0"/>
      </w:pPr>
    </w:p>
    <w:p w14:paraId="1C3B99DB" w14:textId="77777777" w:rsidR="007075D9" w:rsidRPr="004D46AC" w:rsidRDefault="007075D9" w:rsidP="002C5F6E">
      <w:pPr>
        <w:spacing w:line="240" w:lineRule="auto"/>
        <w:ind w:firstLine="0"/>
      </w:pPr>
    </w:p>
    <w:p w14:paraId="358A2653" w14:textId="77777777" w:rsidR="007075D9" w:rsidRPr="004D46AC" w:rsidRDefault="007075D9" w:rsidP="002C5F6E">
      <w:pPr>
        <w:spacing w:line="240" w:lineRule="auto"/>
        <w:ind w:firstLine="0"/>
      </w:pPr>
    </w:p>
    <w:p w14:paraId="0FED07BC" w14:textId="77777777" w:rsidR="007075D9" w:rsidRPr="004D46AC" w:rsidRDefault="007075D9" w:rsidP="002C5F6E">
      <w:pPr>
        <w:spacing w:line="240" w:lineRule="auto"/>
        <w:ind w:firstLine="0"/>
      </w:pPr>
    </w:p>
    <w:p w14:paraId="134E7903" w14:textId="77777777" w:rsidR="007075D9" w:rsidRPr="004D46AC" w:rsidRDefault="007075D9" w:rsidP="002C5F6E">
      <w:pPr>
        <w:spacing w:line="240" w:lineRule="auto"/>
        <w:ind w:firstLine="0"/>
      </w:pPr>
    </w:p>
    <w:p w14:paraId="44852708" w14:textId="77777777" w:rsidR="007075D9" w:rsidRPr="004D46AC" w:rsidRDefault="007075D9" w:rsidP="002C5F6E">
      <w:pPr>
        <w:spacing w:line="240" w:lineRule="auto"/>
        <w:ind w:firstLine="0"/>
      </w:pPr>
    </w:p>
    <w:p w14:paraId="43372790" w14:textId="77777777" w:rsidR="007075D9" w:rsidRPr="004D46AC" w:rsidRDefault="007075D9" w:rsidP="002C5F6E">
      <w:pPr>
        <w:spacing w:line="240" w:lineRule="auto"/>
        <w:ind w:firstLine="0"/>
      </w:pPr>
    </w:p>
    <w:p w14:paraId="35F587FE" w14:textId="77777777" w:rsidR="007075D9" w:rsidRPr="004D46AC" w:rsidRDefault="007075D9" w:rsidP="002C5F6E">
      <w:pPr>
        <w:spacing w:line="240" w:lineRule="auto"/>
        <w:ind w:firstLine="0"/>
      </w:pPr>
    </w:p>
    <w:p w14:paraId="276EFC75" w14:textId="77777777" w:rsidR="007075D9" w:rsidRPr="004D46AC" w:rsidRDefault="007075D9" w:rsidP="002C5F6E">
      <w:pPr>
        <w:spacing w:line="240" w:lineRule="auto"/>
        <w:ind w:firstLine="0"/>
      </w:pPr>
    </w:p>
    <w:p w14:paraId="67D7DE88" w14:textId="77777777" w:rsidR="007075D9" w:rsidRPr="004D46AC" w:rsidRDefault="007075D9" w:rsidP="002C5F6E">
      <w:pPr>
        <w:spacing w:line="240" w:lineRule="auto"/>
        <w:ind w:firstLine="0"/>
      </w:pPr>
    </w:p>
    <w:p w14:paraId="5F80F2ED" w14:textId="77777777" w:rsidR="007075D9" w:rsidRPr="004D46AC" w:rsidRDefault="007075D9" w:rsidP="002C5F6E">
      <w:pPr>
        <w:spacing w:line="240" w:lineRule="auto"/>
        <w:ind w:firstLine="0"/>
      </w:pPr>
    </w:p>
    <w:p w14:paraId="70F46109" w14:textId="77777777" w:rsidR="007075D9" w:rsidRPr="004D46AC" w:rsidRDefault="007075D9" w:rsidP="002C5F6E">
      <w:pPr>
        <w:spacing w:line="240" w:lineRule="auto"/>
        <w:ind w:firstLine="0"/>
      </w:pPr>
      <w:r w:rsidRPr="004D46AC">
        <w:rPr>
          <w:noProof/>
        </w:rPr>
        <w:lastRenderedPageBreak/>
        <w:drawing>
          <wp:inline distT="0" distB="0" distL="0" distR="0" wp14:anchorId="238F9EBC" wp14:editId="57C95A60">
            <wp:extent cx="5243830" cy="3412490"/>
            <wp:effectExtent l="0" t="0" r="0" b="0"/>
            <wp:docPr id="1288718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718419" name="Picture 1"/>
                    <pic:cNvPicPr>
                      <a:picLocks noChangeAspect="1"/>
                    </pic:cNvPicPr>
                  </pic:nvPicPr>
                  <pic:blipFill>
                    <a:blip r:embed="rId460"/>
                    <a:stretch>
                      <a:fillRect/>
                    </a:stretch>
                  </pic:blipFill>
                  <pic:spPr>
                    <a:xfrm>
                      <a:off x="0" y="0"/>
                      <a:ext cx="5290666" cy="3442819"/>
                    </a:xfrm>
                    <a:prstGeom prst="rect">
                      <a:avLst/>
                    </a:prstGeom>
                  </pic:spPr>
                </pic:pic>
              </a:graphicData>
            </a:graphic>
          </wp:inline>
        </w:drawing>
      </w:r>
    </w:p>
    <w:p w14:paraId="6A3B8888" w14:textId="77777777" w:rsidR="007075D9" w:rsidRPr="004D46AC" w:rsidRDefault="007075D9" w:rsidP="002C5F6E">
      <w:pPr>
        <w:spacing w:line="240" w:lineRule="auto"/>
        <w:ind w:firstLine="0"/>
      </w:pPr>
    </w:p>
    <w:p w14:paraId="08F1C9C3" w14:textId="77777777" w:rsidR="007075D9" w:rsidRPr="004D46AC" w:rsidRDefault="007075D9" w:rsidP="002C5F6E">
      <w:pPr>
        <w:spacing w:line="240" w:lineRule="auto"/>
        <w:ind w:firstLine="0"/>
      </w:pPr>
      <w:r w:rsidRPr="004D46AC">
        <w:t>(a) mild distress</w:t>
      </w:r>
    </w:p>
    <w:p w14:paraId="3ED5F716" w14:textId="77777777" w:rsidR="007075D9" w:rsidRPr="004D46AC" w:rsidRDefault="007075D9" w:rsidP="002C5F6E">
      <w:pPr>
        <w:spacing w:line="240" w:lineRule="auto"/>
        <w:ind w:firstLine="0"/>
      </w:pPr>
      <w:r w:rsidRPr="004D46AC">
        <w:rPr>
          <w:noProof/>
        </w:rPr>
        <w:drawing>
          <wp:inline distT="0" distB="0" distL="0" distR="0" wp14:anchorId="629D0B09" wp14:editId="3DBD4345">
            <wp:extent cx="5274310" cy="3501390"/>
            <wp:effectExtent l="0" t="0" r="0" b="0"/>
            <wp:docPr id="1502351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351567" name="Picture 1"/>
                    <pic:cNvPicPr>
                      <a:picLocks noChangeAspect="1"/>
                    </pic:cNvPicPr>
                  </pic:nvPicPr>
                  <pic:blipFill>
                    <a:blip r:embed="rId461"/>
                    <a:stretch>
                      <a:fillRect/>
                    </a:stretch>
                  </pic:blipFill>
                  <pic:spPr>
                    <a:xfrm>
                      <a:off x="0" y="0"/>
                      <a:ext cx="5274310" cy="3501390"/>
                    </a:xfrm>
                    <a:prstGeom prst="rect">
                      <a:avLst/>
                    </a:prstGeom>
                  </pic:spPr>
                </pic:pic>
              </a:graphicData>
            </a:graphic>
          </wp:inline>
        </w:drawing>
      </w:r>
    </w:p>
    <w:p w14:paraId="3174D824" w14:textId="77777777" w:rsidR="007075D9" w:rsidRPr="004D46AC" w:rsidRDefault="007075D9" w:rsidP="002C5F6E">
      <w:pPr>
        <w:spacing w:line="240" w:lineRule="auto"/>
        <w:ind w:firstLine="0"/>
      </w:pPr>
      <w:r w:rsidRPr="004D46AC">
        <w:t>(b) moderate distress</w:t>
      </w:r>
    </w:p>
    <w:p w14:paraId="6A94AC0D" w14:textId="77777777" w:rsidR="007075D9" w:rsidRPr="004D46AC" w:rsidRDefault="007075D9" w:rsidP="002C5F6E">
      <w:pPr>
        <w:spacing w:line="240" w:lineRule="auto"/>
        <w:ind w:firstLine="0"/>
      </w:pPr>
      <w:r w:rsidRPr="004D46AC">
        <w:rPr>
          <w:noProof/>
        </w:rPr>
        <w:lastRenderedPageBreak/>
        <w:drawing>
          <wp:inline distT="0" distB="0" distL="0" distR="0" wp14:anchorId="20CA703B" wp14:editId="114049D3">
            <wp:extent cx="5274310" cy="3509010"/>
            <wp:effectExtent l="0" t="0" r="0" b="0"/>
            <wp:docPr id="928524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524092" name="Picture 1"/>
                    <pic:cNvPicPr>
                      <a:picLocks noChangeAspect="1"/>
                    </pic:cNvPicPr>
                  </pic:nvPicPr>
                  <pic:blipFill>
                    <a:blip r:embed="rId462"/>
                    <a:stretch>
                      <a:fillRect/>
                    </a:stretch>
                  </pic:blipFill>
                  <pic:spPr>
                    <a:xfrm>
                      <a:off x="0" y="0"/>
                      <a:ext cx="5274310" cy="3509010"/>
                    </a:xfrm>
                    <a:prstGeom prst="rect">
                      <a:avLst/>
                    </a:prstGeom>
                  </pic:spPr>
                </pic:pic>
              </a:graphicData>
            </a:graphic>
          </wp:inline>
        </w:drawing>
      </w:r>
    </w:p>
    <w:p w14:paraId="649959CB" w14:textId="77777777" w:rsidR="007075D9" w:rsidRPr="004D46AC" w:rsidRDefault="007075D9" w:rsidP="002C5F6E">
      <w:pPr>
        <w:spacing w:line="240" w:lineRule="auto"/>
        <w:ind w:firstLine="0"/>
      </w:pPr>
      <w:r w:rsidRPr="004D46AC">
        <w:t>(c) severe distress</w:t>
      </w:r>
    </w:p>
    <w:p w14:paraId="6A16B03D" w14:textId="77777777" w:rsidR="007075D9" w:rsidRPr="004D46AC" w:rsidRDefault="007075D9" w:rsidP="002C5F6E">
      <w:pPr>
        <w:spacing w:line="240" w:lineRule="auto"/>
        <w:ind w:firstLine="0"/>
      </w:pPr>
    </w:p>
    <w:p w14:paraId="1360D4AA" w14:textId="5E790FE9" w:rsidR="00011BA9" w:rsidRPr="004D46AC" w:rsidRDefault="00011BA9" w:rsidP="002C5F6E">
      <w:pPr>
        <w:spacing w:line="240" w:lineRule="auto"/>
        <w:ind w:firstLine="0"/>
        <w:rPr>
          <w:rFonts w:eastAsiaTheme="minorEastAsia"/>
          <w:b/>
          <w:bCs/>
        </w:rPr>
      </w:pPr>
      <w:bookmarkStart w:id="416" w:name="_Toc219880315"/>
      <w:r w:rsidRPr="004D46AC">
        <w:rPr>
          <w:b/>
          <w:bCs/>
        </w:rPr>
        <w:t xml:space="preserve">Figure E </w:t>
      </w:r>
      <w:r w:rsidRPr="004D46AC">
        <w:rPr>
          <w:b/>
          <w:bCs/>
        </w:rPr>
        <w:fldChar w:fldCharType="begin"/>
      </w:r>
      <w:r w:rsidRPr="004D46AC">
        <w:rPr>
          <w:b/>
          <w:bCs/>
        </w:rPr>
        <w:instrText xml:space="preserve"> SEQ Figure_E \* ARABIC </w:instrText>
      </w:r>
      <w:r w:rsidRPr="004D46AC">
        <w:rPr>
          <w:b/>
          <w:bCs/>
        </w:rPr>
        <w:fldChar w:fldCharType="separate"/>
      </w:r>
      <w:r w:rsidRPr="004D46AC">
        <w:rPr>
          <w:b/>
          <w:bCs/>
          <w:noProof/>
        </w:rPr>
        <w:t>2</w:t>
      </w:r>
      <w:bookmarkEnd w:id="416"/>
      <w:r w:rsidRPr="004D46AC">
        <w:rPr>
          <w:b/>
          <w:bCs/>
        </w:rPr>
        <w:fldChar w:fldCharType="end"/>
      </w:r>
    </w:p>
    <w:p w14:paraId="131C350D" w14:textId="2ADDA071" w:rsidR="007075D9" w:rsidRPr="004D46AC" w:rsidRDefault="007075D9" w:rsidP="002C5F6E">
      <w:pPr>
        <w:spacing w:line="240" w:lineRule="auto"/>
        <w:ind w:firstLine="0"/>
        <w:rPr>
          <w:i/>
          <w:iCs/>
        </w:rPr>
      </w:pPr>
      <w:r w:rsidRPr="004D46AC">
        <w:rPr>
          <w:i/>
          <w:iCs/>
        </w:rPr>
        <w:t>The item prevalence of distress levels among all sample by different age groups</w:t>
      </w:r>
    </w:p>
    <w:p w14:paraId="3C2BFB21" w14:textId="77777777" w:rsidR="007075D9" w:rsidRPr="004D46AC" w:rsidRDefault="007075D9" w:rsidP="002C5F6E">
      <w:pPr>
        <w:spacing w:line="240" w:lineRule="auto"/>
        <w:ind w:firstLine="0"/>
      </w:pPr>
      <w:r w:rsidRPr="004D46AC">
        <w:rPr>
          <w:i/>
          <w:iCs/>
        </w:rPr>
        <w:t>Note</w:t>
      </w:r>
      <w:r w:rsidRPr="004D46AC">
        <w:t xml:space="preserve">. TR3: Impulsivity, TR5: Racing Thoughts, TR7: Low mood, TR12: Disorganized Thinking, TR15: Emptiness, TR19: Mood Cycle, TR21: Irritability, TR23: Mood lability, TR24: Disconnected Thoughts, TR26: Identity Confusion, TR27 Poverty of Speech, TR34 Emotional Numbness, TR37 Confused </w:t>
      </w:r>
      <w:proofErr w:type="gramStart"/>
      <w:r w:rsidRPr="004D46AC">
        <w:t>Thinking;</w:t>
      </w:r>
      <w:proofErr w:type="gramEnd"/>
      <w:r w:rsidRPr="004D46AC">
        <w:t xml:space="preserve"> </w:t>
      </w:r>
    </w:p>
    <w:p w14:paraId="7E4DFECC" w14:textId="77777777" w:rsidR="007075D9" w:rsidRPr="004D46AC" w:rsidRDefault="007075D9" w:rsidP="002C5F6E">
      <w:pPr>
        <w:spacing w:line="240" w:lineRule="auto"/>
        <w:ind w:firstLine="0"/>
      </w:pPr>
      <w:r w:rsidRPr="004D46AC">
        <w:t xml:space="preserve">TR6: Auditory Hallucinations, TR9: Sound Distraction, TR17: Reality Confusion, TR18: Precepted oddity in familiar Surroundings, TR29: Pseudo hallucinations, TR30: Suspiciousness, TR33: </w:t>
      </w:r>
      <w:proofErr w:type="gramStart"/>
      <w:r w:rsidRPr="004D46AC">
        <w:t>Paranoia;</w:t>
      </w:r>
      <w:proofErr w:type="gramEnd"/>
    </w:p>
    <w:p w14:paraId="1134C1D6" w14:textId="77777777" w:rsidR="007075D9" w:rsidRPr="004D46AC" w:rsidRDefault="007075D9" w:rsidP="002C5F6E">
      <w:pPr>
        <w:spacing w:line="240" w:lineRule="auto"/>
        <w:ind w:firstLine="0"/>
      </w:pPr>
      <w:r w:rsidRPr="004D46AC">
        <w:t xml:space="preserve">TR13: Pressured speech/ talkative, TR14: Elevated self-confidence, TR16: Elevated mood or energy, TR20: Increased goal directed activities, TR22: </w:t>
      </w:r>
      <w:r w:rsidRPr="004D46AC">
        <w:rPr>
          <w:lang w:val="en-US"/>
        </w:rPr>
        <w:t xml:space="preserve">Grandiosity, </w:t>
      </w:r>
      <w:r w:rsidRPr="004D46AC">
        <w:t xml:space="preserve">TR25: </w:t>
      </w:r>
      <w:r w:rsidRPr="004D46AC">
        <w:rPr>
          <w:lang w:val="en-US"/>
        </w:rPr>
        <w:t>Idea of reference.</w:t>
      </w:r>
    </w:p>
    <w:p w14:paraId="2FFCED9C" w14:textId="77777777" w:rsidR="007075D9" w:rsidRPr="004D46AC" w:rsidRDefault="007075D9" w:rsidP="002C5F6E">
      <w:pPr>
        <w:spacing w:line="240" w:lineRule="auto"/>
        <w:ind w:firstLine="0"/>
      </w:pPr>
    </w:p>
    <w:p w14:paraId="15343C5C" w14:textId="77777777" w:rsidR="007075D9" w:rsidRPr="004D46AC" w:rsidRDefault="007075D9" w:rsidP="002C5F6E">
      <w:pPr>
        <w:spacing w:line="240" w:lineRule="auto"/>
        <w:ind w:firstLine="0"/>
      </w:pPr>
    </w:p>
    <w:p w14:paraId="0FFC623A" w14:textId="77777777" w:rsidR="007075D9" w:rsidRPr="004D46AC" w:rsidRDefault="007075D9" w:rsidP="002C5F6E">
      <w:pPr>
        <w:spacing w:line="240" w:lineRule="auto"/>
        <w:ind w:firstLine="0"/>
      </w:pPr>
    </w:p>
    <w:p w14:paraId="60510583" w14:textId="77777777" w:rsidR="007075D9" w:rsidRPr="004D46AC" w:rsidRDefault="007075D9" w:rsidP="002C5F6E">
      <w:pPr>
        <w:spacing w:line="240" w:lineRule="auto"/>
        <w:ind w:firstLine="0"/>
      </w:pPr>
    </w:p>
    <w:p w14:paraId="1F4D6682" w14:textId="77777777" w:rsidR="007075D9" w:rsidRPr="004D46AC" w:rsidRDefault="007075D9" w:rsidP="002C5F6E">
      <w:pPr>
        <w:spacing w:line="240" w:lineRule="auto"/>
        <w:ind w:firstLine="0"/>
      </w:pPr>
    </w:p>
    <w:p w14:paraId="77623CA0" w14:textId="77777777" w:rsidR="007075D9" w:rsidRPr="004D46AC" w:rsidRDefault="007075D9" w:rsidP="002C5F6E">
      <w:pPr>
        <w:spacing w:line="240" w:lineRule="auto"/>
        <w:ind w:firstLine="0"/>
      </w:pPr>
    </w:p>
    <w:p w14:paraId="0EBCB732" w14:textId="77777777" w:rsidR="007075D9" w:rsidRPr="004D46AC" w:rsidRDefault="007075D9" w:rsidP="002C5F6E">
      <w:pPr>
        <w:spacing w:line="240" w:lineRule="auto"/>
        <w:ind w:firstLine="0"/>
      </w:pPr>
    </w:p>
    <w:p w14:paraId="78CCB062" w14:textId="77777777" w:rsidR="007075D9" w:rsidRPr="004D46AC" w:rsidRDefault="007075D9" w:rsidP="002C5F6E">
      <w:pPr>
        <w:spacing w:line="240" w:lineRule="auto"/>
        <w:ind w:firstLine="0"/>
      </w:pPr>
    </w:p>
    <w:p w14:paraId="5F979AC8" w14:textId="77777777" w:rsidR="007075D9" w:rsidRPr="004D46AC" w:rsidRDefault="007075D9" w:rsidP="002C5F6E">
      <w:pPr>
        <w:spacing w:line="240" w:lineRule="auto"/>
        <w:ind w:firstLine="0"/>
      </w:pPr>
    </w:p>
    <w:p w14:paraId="5619DC2C" w14:textId="77777777" w:rsidR="007075D9" w:rsidRPr="004D46AC" w:rsidRDefault="007075D9" w:rsidP="002C5F6E">
      <w:pPr>
        <w:spacing w:line="240" w:lineRule="auto"/>
        <w:ind w:firstLine="0"/>
      </w:pPr>
    </w:p>
    <w:p w14:paraId="392064F1" w14:textId="77777777" w:rsidR="007075D9" w:rsidRPr="004D46AC" w:rsidRDefault="007075D9" w:rsidP="002C5F6E">
      <w:pPr>
        <w:spacing w:line="240" w:lineRule="auto"/>
        <w:ind w:firstLine="0"/>
      </w:pPr>
    </w:p>
    <w:p w14:paraId="2ACD4D0A" w14:textId="77777777" w:rsidR="007075D9" w:rsidRPr="004D46AC" w:rsidRDefault="007075D9" w:rsidP="002C5F6E">
      <w:pPr>
        <w:spacing w:line="240" w:lineRule="auto"/>
        <w:ind w:firstLine="0"/>
      </w:pPr>
      <w:r w:rsidRPr="004D46AC">
        <w:lastRenderedPageBreak/>
        <w:t xml:space="preserve"> </w:t>
      </w:r>
      <w:r w:rsidRPr="004D46AC">
        <w:rPr>
          <w:noProof/>
        </w:rPr>
        <w:drawing>
          <wp:inline distT="0" distB="0" distL="0" distR="0" wp14:anchorId="6A5CD494" wp14:editId="06542310">
            <wp:extent cx="2668905" cy="2834005"/>
            <wp:effectExtent l="0" t="0" r="0" b="0"/>
            <wp:docPr id="862099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99240" name="Picture 1"/>
                    <pic:cNvPicPr>
                      <a:picLocks noChangeAspect="1"/>
                    </pic:cNvPicPr>
                  </pic:nvPicPr>
                  <pic:blipFill>
                    <a:blip r:embed="rId463"/>
                    <a:stretch>
                      <a:fillRect/>
                    </a:stretch>
                  </pic:blipFill>
                  <pic:spPr>
                    <a:xfrm>
                      <a:off x="0" y="0"/>
                      <a:ext cx="2686224" cy="2852780"/>
                    </a:xfrm>
                    <a:prstGeom prst="rect">
                      <a:avLst/>
                    </a:prstGeom>
                  </pic:spPr>
                </pic:pic>
              </a:graphicData>
            </a:graphic>
          </wp:inline>
        </w:drawing>
      </w:r>
      <w:r w:rsidRPr="004D46AC">
        <w:rPr>
          <w:noProof/>
        </w:rPr>
        <w:drawing>
          <wp:inline distT="0" distB="0" distL="0" distR="0" wp14:anchorId="64D1C280" wp14:editId="5E1F9059">
            <wp:extent cx="2545080" cy="2743200"/>
            <wp:effectExtent l="0" t="0" r="0" b="0"/>
            <wp:docPr id="34266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6418" name="Picture 1"/>
                    <pic:cNvPicPr>
                      <a:picLocks noChangeAspect="1"/>
                    </pic:cNvPicPr>
                  </pic:nvPicPr>
                  <pic:blipFill>
                    <a:blip r:embed="rId464"/>
                    <a:stretch>
                      <a:fillRect/>
                    </a:stretch>
                  </pic:blipFill>
                  <pic:spPr>
                    <a:xfrm>
                      <a:off x="0" y="0"/>
                      <a:ext cx="2566987" cy="2766635"/>
                    </a:xfrm>
                    <a:prstGeom prst="rect">
                      <a:avLst/>
                    </a:prstGeom>
                  </pic:spPr>
                </pic:pic>
              </a:graphicData>
            </a:graphic>
          </wp:inline>
        </w:drawing>
      </w:r>
    </w:p>
    <w:p w14:paraId="21114A28" w14:textId="77777777" w:rsidR="007075D9" w:rsidRPr="004D46AC" w:rsidRDefault="007075D9" w:rsidP="002C5F6E">
      <w:pPr>
        <w:spacing w:line="240" w:lineRule="auto"/>
        <w:ind w:firstLine="0"/>
      </w:pPr>
      <w:r w:rsidRPr="004D46AC">
        <w:rPr>
          <w:noProof/>
        </w:rPr>
        <w:drawing>
          <wp:inline distT="0" distB="0" distL="0" distR="0" wp14:anchorId="7BF19D17" wp14:editId="7F2477BC">
            <wp:extent cx="2597785" cy="2752725"/>
            <wp:effectExtent l="0" t="0" r="0" b="0"/>
            <wp:docPr id="541784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784425" name="Picture 1"/>
                    <pic:cNvPicPr>
                      <a:picLocks noChangeAspect="1"/>
                    </pic:cNvPicPr>
                  </pic:nvPicPr>
                  <pic:blipFill>
                    <a:blip r:embed="rId465"/>
                    <a:stretch>
                      <a:fillRect/>
                    </a:stretch>
                  </pic:blipFill>
                  <pic:spPr>
                    <a:xfrm>
                      <a:off x="0" y="0"/>
                      <a:ext cx="2604038" cy="2759541"/>
                    </a:xfrm>
                    <a:prstGeom prst="rect">
                      <a:avLst/>
                    </a:prstGeom>
                  </pic:spPr>
                </pic:pic>
              </a:graphicData>
            </a:graphic>
          </wp:inline>
        </w:drawing>
      </w:r>
      <w:r w:rsidRPr="004D46AC">
        <w:rPr>
          <w:noProof/>
        </w:rPr>
        <w:drawing>
          <wp:inline distT="0" distB="0" distL="0" distR="0" wp14:anchorId="35125538" wp14:editId="1B5C0ACE">
            <wp:extent cx="2630805" cy="2807335"/>
            <wp:effectExtent l="0" t="0" r="0" b="0"/>
            <wp:docPr id="839859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59979" name="Picture 1"/>
                    <pic:cNvPicPr>
                      <a:picLocks noChangeAspect="1"/>
                    </pic:cNvPicPr>
                  </pic:nvPicPr>
                  <pic:blipFill>
                    <a:blip r:embed="rId466"/>
                    <a:stretch>
                      <a:fillRect/>
                    </a:stretch>
                  </pic:blipFill>
                  <pic:spPr>
                    <a:xfrm>
                      <a:off x="0" y="0"/>
                      <a:ext cx="2644908" cy="2821955"/>
                    </a:xfrm>
                    <a:prstGeom prst="rect">
                      <a:avLst/>
                    </a:prstGeom>
                  </pic:spPr>
                </pic:pic>
              </a:graphicData>
            </a:graphic>
          </wp:inline>
        </w:drawing>
      </w:r>
    </w:p>
    <w:p w14:paraId="61030736" w14:textId="5DB4A415" w:rsidR="00011BA9" w:rsidRPr="004D46AC" w:rsidRDefault="00011BA9" w:rsidP="00011BA9">
      <w:pPr>
        <w:spacing w:line="240" w:lineRule="auto"/>
        <w:ind w:firstLine="0"/>
        <w:rPr>
          <w:rFonts w:eastAsiaTheme="minorEastAsia"/>
          <w:b/>
          <w:bCs/>
        </w:rPr>
      </w:pPr>
      <w:bookmarkStart w:id="417" w:name="_Toc219880316"/>
      <w:r w:rsidRPr="004D46AC">
        <w:rPr>
          <w:b/>
          <w:bCs/>
        </w:rPr>
        <w:t xml:space="preserve">Figure E </w:t>
      </w:r>
      <w:r w:rsidRPr="004D46AC">
        <w:rPr>
          <w:b/>
          <w:bCs/>
        </w:rPr>
        <w:fldChar w:fldCharType="begin"/>
      </w:r>
      <w:r w:rsidRPr="004D46AC">
        <w:rPr>
          <w:b/>
          <w:bCs/>
        </w:rPr>
        <w:instrText xml:space="preserve"> SEQ Figure_E \* ARABIC </w:instrText>
      </w:r>
      <w:r w:rsidRPr="004D46AC">
        <w:rPr>
          <w:b/>
          <w:bCs/>
        </w:rPr>
        <w:fldChar w:fldCharType="separate"/>
      </w:r>
      <w:r w:rsidRPr="004D46AC">
        <w:rPr>
          <w:b/>
          <w:bCs/>
          <w:noProof/>
        </w:rPr>
        <w:t>3</w:t>
      </w:r>
      <w:bookmarkEnd w:id="417"/>
      <w:r w:rsidRPr="004D46AC">
        <w:rPr>
          <w:b/>
          <w:bCs/>
        </w:rPr>
        <w:fldChar w:fldCharType="end"/>
      </w:r>
    </w:p>
    <w:p w14:paraId="2B10B904" w14:textId="77777777" w:rsidR="007075D9" w:rsidRPr="004D46AC" w:rsidRDefault="007075D9" w:rsidP="002C5F6E">
      <w:pPr>
        <w:spacing w:line="240" w:lineRule="auto"/>
        <w:ind w:firstLine="0"/>
        <w:rPr>
          <w:i/>
          <w:iCs/>
        </w:rPr>
      </w:pPr>
      <w:r w:rsidRPr="004D46AC">
        <w:rPr>
          <w:i/>
          <w:iCs/>
        </w:rPr>
        <w:t>The Ising Model (IM) network structure</w:t>
      </w:r>
      <w:r w:rsidRPr="004D46AC">
        <w:rPr>
          <w:rFonts w:hint="eastAsia"/>
          <w:i/>
          <w:iCs/>
        </w:rPr>
        <w:t>s</w:t>
      </w:r>
      <w:r w:rsidRPr="004D46AC">
        <w:rPr>
          <w:i/>
          <w:iCs/>
        </w:rPr>
        <w:t xml:space="preserve"> of </w:t>
      </w:r>
      <w:r w:rsidRPr="004D46AC">
        <w:rPr>
          <w:rFonts w:hint="eastAsia"/>
          <w:i/>
          <w:iCs/>
          <w:lang w:val="en-US"/>
        </w:rPr>
        <w:t xml:space="preserve">at-risk </w:t>
      </w:r>
      <w:r w:rsidRPr="004D46AC">
        <w:rPr>
          <w:i/>
          <w:iCs/>
        </w:rPr>
        <w:t>symptoms</w:t>
      </w:r>
      <w:r w:rsidRPr="004D46AC">
        <w:rPr>
          <w:rFonts w:hint="eastAsia"/>
          <w:i/>
          <w:iCs/>
        </w:rPr>
        <w:t xml:space="preserve"> by age groups</w:t>
      </w:r>
      <w:r w:rsidRPr="004D46AC">
        <w:rPr>
          <w:i/>
          <w:iCs/>
        </w:rPr>
        <w:t xml:space="preserve"> </w:t>
      </w:r>
    </w:p>
    <w:p w14:paraId="3B969975" w14:textId="77777777" w:rsidR="007075D9" w:rsidRPr="004D46AC" w:rsidRDefault="007075D9" w:rsidP="002C5F6E">
      <w:pPr>
        <w:spacing w:line="240" w:lineRule="auto"/>
        <w:ind w:firstLine="0"/>
        <w:rPr>
          <w:szCs w:val="21"/>
        </w:rPr>
      </w:pPr>
      <w:r w:rsidRPr="004D46AC">
        <w:rPr>
          <w:i/>
          <w:iCs/>
        </w:rPr>
        <w:t>Note</w:t>
      </w:r>
      <w:r w:rsidRPr="004D46AC">
        <w:t>.</w:t>
      </w:r>
      <w:r w:rsidRPr="004D46AC">
        <w:rPr>
          <w:szCs w:val="21"/>
        </w:rPr>
        <w:t xml:space="preserve"> Blue edges indicate positive relationships, while red edges reflect negative correlations. The threshold for edge weights was set at 0.</w:t>
      </w:r>
      <w:r w:rsidRPr="004D46AC">
        <w:rPr>
          <w:rFonts w:hint="eastAsia"/>
          <w:szCs w:val="21"/>
        </w:rPr>
        <w:t>2</w:t>
      </w:r>
      <w:r w:rsidRPr="004D46AC">
        <w:rPr>
          <w:szCs w:val="21"/>
        </w:rPr>
        <w:t xml:space="preserve"> to improve readability.</w:t>
      </w:r>
    </w:p>
    <w:p w14:paraId="1B89F087" w14:textId="77777777" w:rsidR="007075D9" w:rsidRPr="004D46AC" w:rsidRDefault="007075D9" w:rsidP="002C5F6E">
      <w:pPr>
        <w:spacing w:line="240" w:lineRule="auto"/>
        <w:ind w:firstLine="0"/>
      </w:pPr>
      <w:r w:rsidRPr="004D46AC">
        <w:t xml:space="preserve">TR3: Impulsivity, TR5: Racing Thoughts, TR7: Low mood, TR12: Disorganized Thinking, TR15: Emptiness, TR19: Mood Cycle, TR21: Irritability, TR23: Mood lability, TR24: Disconnected Thoughts, TR26: Identity Confusion, TR27 Poverty of Speech, TR34 Emotional Numbness, TR37 Confused </w:t>
      </w:r>
      <w:proofErr w:type="gramStart"/>
      <w:r w:rsidRPr="004D46AC">
        <w:t>Thinking;</w:t>
      </w:r>
      <w:proofErr w:type="gramEnd"/>
      <w:r w:rsidRPr="004D46AC">
        <w:t xml:space="preserve"> </w:t>
      </w:r>
    </w:p>
    <w:p w14:paraId="15DD286A" w14:textId="77777777" w:rsidR="007075D9" w:rsidRPr="004D46AC" w:rsidRDefault="007075D9" w:rsidP="002C5F6E">
      <w:pPr>
        <w:spacing w:line="240" w:lineRule="auto"/>
        <w:ind w:firstLine="0"/>
      </w:pPr>
      <w:r w:rsidRPr="004D46AC">
        <w:t xml:space="preserve">TR6: Auditory Hallucinations, TR9: Sound Distraction, TR17: Reality Confusion, TR18: Precepted oddity in familiar Surroundings, TR29: Pseudo hallucinations, TR30: Suspiciousness, TR33: </w:t>
      </w:r>
      <w:proofErr w:type="gramStart"/>
      <w:r w:rsidRPr="004D46AC">
        <w:t>Paranoia;</w:t>
      </w:r>
      <w:proofErr w:type="gramEnd"/>
    </w:p>
    <w:p w14:paraId="606414EA" w14:textId="77777777" w:rsidR="007075D9" w:rsidRPr="004D46AC" w:rsidRDefault="007075D9" w:rsidP="002C5F6E">
      <w:pPr>
        <w:spacing w:line="240" w:lineRule="auto"/>
        <w:ind w:firstLine="0"/>
        <w:rPr>
          <w:lang w:val="en-US"/>
        </w:rPr>
      </w:pPr>
      <w:r w:rsidRPr="004D46AC">
        <w:t xml:space="preserve">TR13: Pressured speech/ talkative, TR14: Elevated self-confidence, TR16: Elevated mood or energy, TR20: Increased goal directed activities, TR22: </w:t>
      </w:r>
      <w:r w:rsidRPr="004D46AC">
        <w:rPr>
          <w:lang w:val="en-US"/>
        </w:rPr>
        <w:t xml:space="preserve">Grandiosity, </w:t>
      </w:r>
      <w:r w:rsidRPr="004D46AC">
        <w:t xml:space="preserve">TR25: </w:t>
      </w:r>
      <w:r w:rsidRPr="004D46AC">
        <w:rPr>
          <w:lang w:val="en-US"/>
        </w:rPr>
        <w:t>Idea of reference.</w:t>
      </w:r>
    </w:p>
    <w:p w14:paraId="7A834DDD" w14:textId="77777777" w:rsidR="007075D9" w:rsidRPr="004D46AC" w:rsidRDefault="007075D9" w:rsidP="002C5F6E">
      <w:pPr>
        <w:spacing w:line="240" w:lineRule="auto"/>
        <w:ind w:firstLine="0"/>
        <w:rPr>
          <w:lang w:val="en-US"/>
        </w:rPr>
      </w:pPr>
    </w:p>
    <w:p w14:paraId="1A4F16F7" w14:textId="77777777" w:rsidR="007075D9" w:rsidRPr="004D46AC" w:rsidRDefault="007075D9" w:rsidP="002C5F6E">
      <w:pPr>
        <w:spacing w:line="240" w:lineRule="auto"/>
        <w:ind w:firstLine="0"/>
        <w:rPr>
          <w:lang w:val="en-US"/>
        </w:rPr>
      </w:pPr>
    </w:p>
    <w:p w14:paraId="6730C8FC" w14:textId="77777777" w:rsidR="007075D9" w:rsidRPr="004D46AC" w:rsidRDefault="007075D9" w:rsidP="002C5F6E">
      <w:pPr>
        <w:spacing w:line="240" w:lineRule="auto"/>
        <w:ind w:firstLine="0"/>
        <w:rPr>
          <w:lang w:val="en-US"/>
        </w:rPr>
      </w:pPr>
    </w:p>
    <w:p w14:paraId="559B61C8" w14:textId="77777777" w:rsidR="007075D9" w:rsidRPr="004D46AC" w:rsidRDefault="007075D9" w:rsidP="002C5F6E">
      <w:pPr>
        <w:spacing w:line="240" w:lineRule="auto"/>
        <w:ind w:firstLine="0"/>
        <w:rPr>
          <w:lang w:val="en-US"/>
        </w:rPr>
      </w:pPr>
    </w:p>
    <w:p w14:paraId="4503279F" w14:textId="77777777" w:rsidR="007075D9" w:rsidRPr="004D46AC" w:rsidRDefault="007075D9" w:rsidP="002C5F6E">
      <w:pPr>
        <w:spacing w:line="240" w:lineRule="auto"/>
        <w:ind w:firstLine="0"/>
        <w:rPr>
          <w:lang w:val="en-US"/>
        </w:rPr>
      </w:pPr>
    </w:p>
    <w:p w14:paraId="5884B987" w14:textId="77777777" w:rsidR="007075D9" w:rsidRPr="004D46AC" w:rsidRDefault="007075D9" w:rsidP="002C5F6E">
      <w:pPr>
        <w:spacing w:line="240" w:lineRule="auto"/>
        <w:ind w:firstLine="0"/>
        <w:rPr>
          <w:rFonts w:eastAsiaTheme="minorEastAsia"/>
        </w:rPr>
      </w:pPr>
    </w:p>
    <w:p w14:paraId="76CE4D40" w14:textId="77777777" w:rsidR="007075D9" w:rsidRPr="004D46AC" w:rsidRDefault="007075D9" w:rsidP="002C5F6E">
      <w:pPr>
        <w:spacing w:line="240" w:lineRule="auto"/>
        <w:ind w:firstLine="0"/>
      </w:pPr>
      <w:r w:rsidRPr="004D46AC">
        <w:rPr>
          <w:noProof/>
        </w:rPr>
        <w:lastRenderedPageBreak/>
        <w:drawing>
          <wp:inline distT="0" distB="0" distL="0" distR="0" wp14:anchorId="351742EC" wp14:editId="586F3984">
            <wp:extent cx="2792095" cy="4812665"/>
            <wp:effectExtent l="0" t="0" r="0" b="0"/>
            <wp:docPr id="376709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09728" name="Picture 1"/>
                    <pic:cNvPicPr>
                      <a:picLocks noChangeAspect="1"/>
                    </pic:cNvPicPr>
                  </pic:nvPicPr>
                  <pic:blipFill>
                    <a:blip r:embed="rId467"/>
                    <a:stretch>
                      <a:fillRect/>
                    </a:stretch>
                  </pic:blipFill>
                  <pic:spPr>
                    <a:xfrm>
                      <a:off x="0" y="0"/>
                      <a:ext cx="2828738" cy="4874897"/>
                    </a:xfrm>
                    <a:prstGeom prst="rect">
                      <a:avLst/>
                    </a:prstGeom>
                  </pic:spPr>
                </pic:pic>
              </a:graphicData>
            </a:graphic>
          </wp:inline>
        </w:drawing>
      </w:r>
      <w:r w:rsidRPr="004D46AC">
        <w:t xml:space="preserve"> </w:t>
      </w:r>
      <w:r w:rsidRPr="004D46AC">
        <w:rPr>
          <w:noProof/>
        </w:rPr>
        <w:drawing>
          <wp:inline distT="0" distB="0" distL="0" distR="0" wp14:anchorId="3DFE585E" wp14:editId="6190D8B3">
            <wp:extent cx="2367280" cy="4748530"/>
            <wp:effectExtent l="0" t="0" r="0" b="0"/>
            <wp:docPr id="1986350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50950" name="Picture 1"/>
                    <pic:cNvPicPr>
                      <a:picLocks noChangeAspect="1"/>
                    </pic:cNvPicPr>
                  </pic:nvPicPr>
                  <pic:blipFill>
                    <a:blip r:embed="rId468"/>
                    <a:stretch>
                      <a:fillRect/>
                    </a:stretch>
                  </pic:blipFill>
                  <pic:spPr>
                    <a:xfrm>
                      <a:off x="0" y="0"/>
                      <a:ext cx="2379369" cy="4772226"/>
                    </a:xfrm>
                    <a:prstGeom prst="rect">
                      <a:avLst/>
                    </a:prstGeom>
                  </pic:spPr>
                </pic:pic>
              </a:graphicData>
            </a:graphic>
          </wp:inline>
        </w:drawing>
      </w:r>
    </w:p>
    <w:p w14:paraId="057CBEB0" w14:textId="42097D5A" w:rsidR="00011BA9" w:rsidRPr="004D46AC" w:rsidRDefault="00011BA9" w:rsidP="002C5F6E">
      <w:pPr>
        <w:spacing w:line="240" w:lineRule="auto"/>
        <w:ind w:firstLine="0"/>
        <w:rPr>
          <w:rFonts w:eastAsiaTheme="minorEastAsia"/>
          <w:b/>
          <w:bCs/>
        </w:rPr>
      </w:pPr>
      <w:bookmarkStart w:id="418" w:name="_Toc219880317"/>
      <w:r w:rsidRPr="004D46AC">
        <w:rPr>
          <w:b/>
          <w:bCs/>
        </w:rPr>
        <w:t xml:space="preserve">Figure E </w:t>
      </w:r>
      <w:r w:rsidRPr="004D46AC">
        <w:rPr>
          <w:b/>
          <w:bCs/>
        </w:rPr>
        <w:fldChar w:fldCharType="begin"/>
      </w:r>
      <w:r w:rsidRPr="004D46AC">
        <w:rPr>
          <w:b/>
          <w:bCs/>
        </w:rPr>
        <w:instrText xml:space="preserve"> SEQ Figure_E \* ARABIC </w:instrText>
      </w:r>
      <w:r w:rsidRPr="004D46AC">
        <w:rPr>
          <w:b/>
          <w:bCs/>
        </w:rPr>
        <w:fldChar w:fldCharType="separate"/>
      </w:r>
      <w:r w:rsidRPr="004D46AC">
        <w:rPr>
          <w:b/>
          <w:bCs/>
          <w:noProof/>
        </w:rPr>
        <w:t>4</w:t>
      </w:r>
      <w:bookmarkEnd w:id="418"/>
      <w:r w:rsidRPr="004D46AC">
        <w:rPr>
          <w:b/>
          <w:bCs/>
        </w:rPr>
        <w:fldChar w:fldCharType="end"/>
      </w:r>
    </w:p>
    <w:p w14:paraId="56570679" w14:textId="2E50FC72" w:rsidR="007075D9" w:rsidRPr="004D46AC" w:rsidRDefault="007075D9" w:rsidP="002C5F6E">
      <w:pPr>
        <w:spacing w:line="240" w:lineRule="auto"/>
        <w:ind w:firstLine="0"/>
        <w:rPr>
          <w:i/>
          <w:iCs/>
        </w:rPr>
      </w:pPr>
      <w:r w:rsidRPr="004D46AC">
        <w:rPr>
          <w:i/>
          <w:iCs/>
        </w:rPr>
        <w:t xml:space="preserve">Node and </w:t>
      </w:r>
      <w:r w:rsidR="00334471" w:rsidRPr="004D46AC">
        <w:rPr>
          <w:rFonts w:eastAsiaTheme="minorEastAsia" w:hint="eastAsia"/>
          <w:i/>
          <w:iCs/>
        </w:rPr>
        <w:t>b</w:t>
      </w:r>
      <w:r w:rsidRPr="004D46AC">
        <w:rPr>
          <w:i/>
          <w:iCs/>
        </w:rPr>
        <w:t xml:space="preserve">ridge </w:t>
      </w:r>
      <w:r w:rsidR="00334471" w:rsidRPr="004D46AC">
        <w:rPr>
          <w:rFonts w:eastAsiaTheme="minorEastAsia" w:hint="eastAsia"/>
          <w:i/>
          <w:iCs/>
        </w:rPr>
        <w:t>s</w:t>
      </w:r>
      <w:r w:rsidRPr="004D46AC">
        <w:rPr>
          <w:i/>
          <w:iCs/>
        </w:rPr>
        <w:t xml:space="preserve">trength </w:t>
      </w:r>
      <w:r w:rsidR="00334471" w:rsidRPr="004D46AC">
        <w:rPr>
          <w:rFonts w:eastAsiaTheme="minorEastAsia" w:hint="eastAsia"/>
          <w:i/>
          <w:iCs/>
        </w:rPr>
        <w:t>a</w:t>
      </w:r>
      <w:r w:rsidRPr="004D46AC">
        <w:rPr>
          <w:i/>
          <w:iCs/>
        </w:rPr>
        <w:t xml:space="preserve">cross </w:t>
      </w:r>
      <w:r w:rsidR="00334471" w:rsidRPr="004D46AC">
        <w:rPr>
          <w:rFonts w:eastAsiaTheme="minorEastAsia" w:hint="eastAsia"/>
          <w:i/>
          <w:iCs/>
        </w:rPr>
        <w:t>a</w:t>
      </w:r>
      <w:r w:rsidRPr="004D46AC">
        <w:rPr>
          <w:i/>
          <w:iCs/>
        </w:rPr>
        <w:t xml:space="preserve">ge </w:t>
      </w:r>
      <w:r w:rsidR="00334471" w:rsidRPr="004D46AC">
        <w:rPr>
          <w:rFonts w:eastAsiaTheme="minorEastAsia" w:hint="eastAsia"/>
          <w:i/>
          <w:iCs/>
        </w:rPr>
        <w:t>g</w:t>
      </w:r>
      <w:r w:rsidRPr="004D46AC">
        <w:rPr>
          <w:i/>
          <w:iCs/>
        </w:rPr>
        <w:t xml:space="preserve">roup </w:t>
      </w:r>
      <w:r w:rsidR="00334471" w:rsidRPr="004D46AC">
        <w:rPr>
          <w:rFonts w:eastAsiaTheme="minorEastAsia" w:hint="eastAsia"/>
          <w:i/>
          <w:iCs/>
        </w:rPr>
        <w:t>n</w:t>
      </w:r>
      <w:r w:rsidRPr="004D46AC">
        <w:rPr>
          <w:i/>
          <w:iCs/>
        </w:rPr>
        <w:t>etworks</w:t>
      </w:r>
    </w:p>
    <w:p w14:paraId="63A03602" w14:textId="77777777" w:rsidR="007075D9" w:rsidRPr="004D46AC" w:rsidRDefault="007075D9" w:rsidP="002C5F6E">
      <w:pPr>
        <w:spacing w:line="240" w:lineRule="auto"/>
        <w:ind w:firstLine="0"/>
      </w:pPr>
      <w:r w:rsidRPr="004D46AC">
        <w:rPr>
          <w:i/>
          <w:iCs/>
        </w:rPr>
        <w:t>Note</w:t>
      </w:r>
      <w:r w:rsidRPr="004D46AC">
        <w:t>. Raw coefficients were used for node strength and bridge strength scales.</w:t>
      </w:r>
    </w:p>
    <w:p w14:paraId="1444D3B4" w14:textId="77777777" w:rsidR="007075D9" w:rsidRPr="004D46AC" w:rsidRDefault="007075D9" w:rsidP="002C5F6E">
      <w:pPr>
        <w:spacing w:line="240" w:lineRule="auto"/>
        <w:ind w:firstLine="0"/>
      </w:pPr>
      <w:r w:rsidRPr="004D46AC">
        <w:t xml:space="preserve">TR3: Impulsivity, TR5: Racing Thoughts, TR7: Low mood, TR12: Disorganized Thinking, TR15: Emptiness, TR19: Mood Cycle, TR21: Irritability, TR23: Mood lability, TR24: Disconnected Thoughts, TR26: Identity Confusion, TR27 Poverty of Speech, TR34 Emotional Numbness, TR37 Confused </w:t>
      </w:r>
      <w:proofErr w:type="gramStart"/>
      <w:r w:rsidRPr="004D46AC">
        <w:t>Thinking;</w:t>
      </w:r>
      <w:proofErr w:type="gramEnd"/>
      <w:r w:rsidRPr="004D46AC">
        <w:t xml:space="preserve"> </w:t>
      </w:r>
    </w:p>
    <w:p w14:paraId="2F7A663A" w14:textId="77777777" w:rsidR="007075D9" w:rsidRPr="004D46AC" w:rsidRDefault="007075D9" w:rsidP="002C5F6E">
      <w:pPr>
        <w:spacing w:line="240" w:lineRule="auto"/>
        <w:ind w:firstLine="0"/>
      </w:pPr>
      <w:r w:rsidRPr="004D46AC">
        <w:t xml:space="preserve">TR6: Auditory Hallucinations, TR9: Sound Distraction, TR17: Reality Confusion, TR18: Precepted oddity in familiar Surroundings, TR29: Pseudo hallucinations, TR30: Suspiciousness, TR33: </w:t>
      </w:r>
      <w:proofErr w:type="gramStart"/>
      <w:r w:rsidRPr="004D46AC">
        <w:t>Paranoia;</w:t>
      </w:r>
      <w:proofErr w:type="gramEnd"/>
    </w:p>
    <w:p w14:paraId="05B07DA4" w14:textId="77777777" w:rsidR="007075D9" w:rsidRPr="004D46AC" w:rsidRDefault="007075D9" w:rsidP="002C5F6E">
      <w:pPr>
        <w:spacing w:line="240" w:lineRule="auto"/>
        <w:ind w:firstLine="0"/>
      </w:pPr>
      <w:r w:rsidRPr="004D46AC">
        <w:t xml:space="preserve">TR13: Pressured speech/ talkative, TR14: Elevated self-confidence, TR16: Elevated mood or energy, TR20: Increased goal directed activities, TR22: </w:t>
      </w:r>
      <w:r w:rsidRPr="004D46AC">
        <w:rPr>
          <w:lang w:val="en-US"/>
        </w:rPr>
        <w:t xml:space="preserve">Grandiosity, </w:t>
      </w:r>
      <w:r w:rsidRPr="004D46AC">
        <w:t xml:space="preserve">TR25: </w:t>
      </w:r>
      <w:r w:rsidRPr="004D46AC">
        <w:rPr>
          <w:lang w:val="en-US"/>
        </w:rPr>
        <w:t>Idea of reference.</w:t>
      </w:r>
    </w:p>
    <w:p w14:paraId="5ED0A364" w14:textId="77777777" w:rsidR="007075D9" w:rsidRPr="004D46AC" w:rsidRDefault="007075D9" w:rsidP="002C5F6E">
      <w:pPr>
        <w:spacing w:line="240" w:lineRule="auto"/>
        <w:ind w:firstLine="0"/>
      </w:pPr>
    </w:p>
    <w:p w14:paraId="0519109E" w14:textId="77777777" w:rsidR="007075D9" w:rsidRPr="004D46AC" w:rsidRDefault="007075D9" w:rsidP="002C5F6E">
      <w:pPr>
        <w:spacing w:line="240" w:lineRule="auto"/>
        <w:ind w:firstLine="0"/>
      </w:pPr>
    </w:p>
    <w:p w14:paraId="2D9F3658" w14:textId="77777777" w:rsidR="007075D9" w:rsidRPr="004D46AC" w:rsidRDefault="007075D9" w:rsidP="002C5F6E">
      <w:pPr>
        <w:spacing w:line="240" w:lineRule="auto"/>
        <w:ind w:firstLine="0"/>
      </w:pPr>
    </w:p>
    <w:p w14:paraId="4FF4A99B" w14:textId="77777777" w:rsidR="007075D9" w:rsidRPr="004D46AC" w:rsidRDefault="007075D9" w:rsidP="002C5F6E">
      <w:pPr>
        <w:spacing w:line="240" w:lineRule="auto"/>
        <w:ind w:firstLine="0"/>
      </w:pPr>
    </w:p>
    <w:p w14:paraId="781B7EC4" w14:textId="77777777" w:rsidR="007075D9" w:rsidRPr="004D46AC" w:rsidRDefault="007075D9" w:rsidP="002C5F6E">
      <w:pPr>
        <w:spacing w:line="240" w:lineRule="auto"/>
        <w:ind w:firstLine="0"/>
      </w:pPr>
    </w:p>
    <w:p w14:paraId="51DB0EC7" w14:textId="77777777" w:rsidR="007075D9" w:rsidRPr="004D46AC" w:rsidRDefault="007075D9" w:rsidP="002C5F6E">
      <w:pPr>
        <w:spacing w:line="240" w:lineRule="auto"/>
        <w:ind w:firstLine="0"/>
      </w:pPr>
      <w:r w:rsidRPr="004D46AC">
        <w:rPr>
          <w:noProof/>
        </w:rPr>
        <w:lastRenderedPageBreak/>
        <w:drawing>
          <wp:inline distT="0" distB="0" distL="0" distR="0" wp14:anchorId="0CD640F8" wp14:editId="128719D4">
            <wp:extent cx="2548255" cy="2752725"/>
            <wp:effectExtent l="0" t="0" r="0" b="0"/>
            <wp:docPr id="2094478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78193" name="Picture 1"/>
                    <pic:cNvPicPr>
                      <a:picLocks noChangeAspect="1"/>
                    </pic:cNvPicPr>
                  </pic:nvPicPr>
                  <pic:blipFill>
                    <a:blip r:embed="rId469"/>
                    <a:stretch>
                      <a:fillRect/>
                    </a:stretch>
                  </pic:blipFill>
                  <pic:spPr>
                    <a:xfrm>
                      <a:off x="0" y="0"/>
                      <a:ext cx="2554796" cy="2759955"/>
                    </a:xfrm>
                    <a:prstGeom prst="rect">
                      <a:avLst/>
                    </a:prstGeom>
                  </pic:spPr>
                </pic:pic>
              </a:graphicData>
            </a:graphic>
          </wp:inline>
        </w:drawing>
      </w:r>
      <w:r w:rsidRPr="004D46AC">
        <w:t xml:space="preserve"> </w:t>
      </w:r>
      <w:r w:rsidRPr="004D46AC">
        <w:rPr>
          <w:noProof/>
        </w:rPr>
        <w:drawing>
          <wp:inline distT="0" distB="0" distL="0" distR="0" wp14:anchorId="63F6822D" wp14:editId="02ECDFFA">
            <wp:extent cx="2520315" cy="2738120"/>
            <wp:effectExtent l="0" t="0" r="0" b="0"/>
            <wp:docPr id="1250310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10883" name="Picture 1"/>
                    <pic:cNvPicPr>
                      <a:picLocks noChangeAspect="1"/>
                    </pic:cNvPicPr>
                  </pic:nvPicPr>
                  <pic:blipFill>
                    <a:blip r:embed="rId470"/>
                    <a:stretch>
                      <a:fillRect/>
                    </a:stretch>
                  </pic:blipFill>
                  <pic:spPr>
                    <a:xfrm>
                      <a:off x="0" y="0"/>
                      <a:ext cx="2526658" cy="2744768"/>
                    </a:xfrm>
                    <a:prstGeom prst="rect">
                      <a:avLst/>
                    </a:prstGeom>
                  </pic:spPr>
                </pic:pic>
              </a:graphicData>
            </a:graphic>
          </wp:inline>
        </w:drawing>
      </w:r>
    </w:p>
    <w:p w14:paraId="29AB85F5" w14:textId="6930B3B5" w:rsidR="00011BA9" w:rsidRPr="004D46AC" w:rsidRDefault="00011BA9" w:rsidP="002C5F6E">
      <w:pPr>
        <w:spacing w:line="240" w:lineRule="auto"/>
        <w:ind w:firstLine="0"/>
        <w:rPr>
          <w:rFonts w:eastAsiaTheme="minorEastAsia"/>
          <w:b/>
          <w:bCs/>
        </w:rPr>
      </w:pPr>
      <w:bookmarkStart w:id="419" w:name="_Toc219880318"/>
      <w:r w:rsidRPr="004D46AC">
        <w:rPr>
          <w:b/>
          <w:bCs/>
        </w:rPr>
        <w:t xml:space="preserve">Figure E </w:t>
      </w:r>
      <w:r w:rsidRPr="004D46AC">
        <w:rPr>
          <w:b/>
          <w:bCs/>
        </w:rPr>
        <w:fldChar w:fldCharType="begin"/>
      </w:r>
      <w:r w:rsidRPr="004D46AC">
        <w:rPr>
          <w:b/>
          <w:bCs/>
        </w:rPr>
        <w:instrText xml:space="preserve"> SEQ Figure_E \* ARABIC </w:instrText>
      </w:r>
      <w:r w:rsidRPr="004D46AC">
        <w:rPr>
          <w:b/>
          <w:bCs/>
        </w:rPr>
        <w:fldChar w:fldCharType="separate"/>
      </w:r>
      <w:r w:rsidRPr="004D46AC">
        <w:rPr>
          <w:b/>
          <w:bCs/>
          <w:noProof/>
        </w:rPr>
        <w:t>5</w:t>
      </w:r>
      <w:bookmarkEnd w:id="419"/>
      <w:r w:rsidRPr="004D46AC">
        <w:rPr>
          <w:b/>
          <w:bCs/>
        </w:rPr>
        <w:fldChar w:fldCharType="end"/>
      </w:r>
    </w:p>
    <w:p w14:paraId="3F0CA86C" w14:textId="5E3B72AF" w:rsidR="007075D9" w:rsidRPr="004D46AC" w:rsidRDefault="007075D9" w:rsidP="002C5F6E">
      <w:pPr>
        <w:spacing w:line="240" w:lineRule="auto"/>
        <w:ind w:firstLine="0"/>
        <w:rPr>
          <w:i/>
          <w:iCs/>
          <w:szCs w:val="21"/>
        </w:rPr>
      </w:pPr>
      <w:bookmarkStart w:id="420" w:name="OLE_LINK105"/>
      <w:r w:rsidRPr="004D46AC">
        <w:rPr>
          <w:i/>
          <w:iCs/>
          <w:szCs w:val="21"/>
        </w:rPr>
        <w:t>The Ising Model (IM) network structure</w:t>
      </w:r>
      <w:r w:rsidRPr="004D46AC">
        <w:rPr>
          <w:rFonts w:hint="eastAsia"/>
          <w:i/>
          <w:iCs/>
          <w:szCs w:val="21"/>
        </w:rPr>
        <w:t>s</w:t>
      </w:r>
      <w:r w:rsidRPr="004D46AC">
        <w:rPr>
          <w:i/>
          <w:iCs/>
          <w:szCs w:val="21"/>
        </w:rPr>
        <w:t xml:space="preserve"> of </w:t>
      </w:r>
      <w:proofErr w:type="gramStart"/>
      <w:r w:rsidRPr="004D46AC">
        <w:rPr>
          <w:rFonts w:hint="eastAsia"/>
          <w:i/>
          <w:iCs/>
          <w:szCs w:val="21"/>
          <w:lang w:val="en-US"/>
        </w:rPr>
        <w:t>at risk</w:t>
      </w:r>
      <w:proofErr w:type="gramEnd"/>
      <w:r w:rsidRPr="004D46AC">
        <w:rPr>
          <w:i/>
          <w:iCs/>
          <w:szCs w:val="21"/>
        </w:rPr>
        <w:t xml:space="preserve"> symptoms</w:t>
      </w:r>
      <w:r w:rsidRPr="004D46AC">
        <w:rPr>
          <w:rFonts w:hint="eastAsia"/>
          <w:i/>
          <w:iCs/>
          <w:szCs w:val="21"/>
        </w:rPr>
        <w:t xml:space="preserve"> by genders</w:t>
      </w:r>
      <w:r w:rsidRPr="004D46AC">
        <w:rPr>
          <w:i/>
          <w:iCs/>
          <w:szCs w:val="21"/>
        </w:rPr>
        <w:t xml:space="preserve"> </w:t>
      </w:r>
    </w:p>
    <w:bookmarkEnd w:id="420"/>
    <w:p w14:paraId="63A60349" w14:textId="77777777" w:rsidR="007075D9" w:rsidRPr="004D46AC" w:rsidRDefault="007075D9" w:rsidP="002C5F6E">
      <w:pPr>
        <w:spacing w:line="240" w:lineRule="auto"/>
        <w:ind w:firstLine="0"/>
        <w:rPr>
          <w:szCs w:val="21"/>
        </w:rPr>
      </w:pPr>
      <w:r w:rsidRPr="004D46AC">
        <w:rPr>
          <w:i/>
          <w:iCs/>
        </w:rPr>
        <w:t>Note</w:t>
      </w:r>
      <w:r w:rsidRPr="004D46AC">
        <w:t>.</w:t>
      </w:r>
      <w:r w:rsidRPr="004D46AC">
        <w:rPr>
          <w:szCs w:val="21"/>
        </w:rPr>
        <w:t xml:space="preserve"> Blue edges indicate positive relationships, while red edges reflect negative correlations. The threshold for edge weights was set at 0.</w:t>
      </w:r>
      <w:r w:rsidRPr="004D46AC">
        <w:rPr>
          <w:rFonts w:hint="eastAsia"/>
          <w:szCs w:val="21"/>
        </w:rPr>
        <w:t>2</w:t>
      </w:r>
      <w:r w:rsidRPr="004D46AC">
        <w:rPr>
          <w:szCs w:val="21"/>
        </w:rPr>
        <w:t xml:space="preserve"> to improve readability.</w:t>
      </w:r>
    </w:p>
    <w:p w14:paraId="72D8EF5E" w14:textId="77777777" w:rsidR="007075D9" w:rsidRPr="004D46AC" w:rsidRDefault="007075D9" w:rsidP="002C5F6E">
      <w:pPr>
        <w:spacing w:line="240" w:lineRule="auto"/>
        <w:ind w:firstLine="0"/>
      </w:pPr>
      <w:r w:rsidRPr="004D46AC">
        <w:t xml:space="preserve">TR3: Impulsivity, TR5: Racing Thoughts, TR7: Low mood, TR12: Disorganized Thinking, TR15: Emptiness, TR19: Mood Cycle, TR21: Irritability, TR23: Mood lability, TR24: Disconnected Thoughts, TR26: Identity Confusion, TR27 Poverty of Speech, TR34 Emotional Numbness, TR37 Confused </w:t>
      </w:r>
      <w:proofErr w:type="gramStart"/>
      <w:r w:rsidRPr="004D46AC">
        <w:t>Thinking;</w:t>
      </w:r>
      <w:proofErr w:type="gramEnd"/>
      <w:r w:rsidRPr="004D46AC">
        <w:t xml:space="preserve"> </w:t>
      </w:r>
    </w:p>
    <w:p w14:paraId="0763DFEA" w14:textId="77777777" w:rsidR="007075D9" w:rsidRPr="004D46AC" w:rsidRDefault="007075D9" w:rsidP="002C5F6E">
      <w:pPr>
        <w:spacing w:line="240" w:lineRule="auto"/>
        <w:ind w:firstLine="0"/>
      </w:pPr>
      <w:r w:rsidRPr="004D46AC">
        <w:t xml:space="preserve">TR6: Auditory Hallucinations, TR9: Sound Distraction, TR17: Reality Confusion, TR18: Precepted oddity in familiar Surroundings, TR29: Pseudo hallucinations, TR30: Suspiciousness, TR33: </w:t>
      </w:r>
      <w:proofErr w:type="gramStart"/>
      <w:r w:rsidRPr="004D46AC">
        <w:t>Paranoia;</w:t>
      </w:r>
      <w:proofErr w:type="gramEnd"/>
    </w:p>
    <w:p w14:paraId="1D91C3BD" w14:textId="77777777" w:rsidR="007075D9" w:rsidRPr="004D46AC" w:rsidRDefault="007075D9" w:rsidP="002C5F6E">
      <w:pPr>
        <w:spacing w:line="240" w:lineRule="auto"/>
        <w:ind w:firstLine="0"/>
      </w:pPr>
      <w:r w:rsidRPr="004D46AC">
        <w:t xml:space="preserve">TR13: Pressured speech/ talkative, TR14: Elevated self-confidence, TR16: Elevated mood or energy, TR20: Increased goal directed activities, TR22: </w:t>
      </w:r>
      <w:r w:rsidRPr="004D46AC">
        <w:rPr>
          <w:lang w:val="en-US"/>
        </w:rPr>
        <w:t xml:space="preserve">Grandiosity, </w:t>
      </w:r>
      <w:r w:rsidRPr="004D46AC">
        <w:t xml:space="preserve">TR25: </w:t>
      </w:r>
      <w:r w:rsidRPr="004D46AC">
        <w:rPr>
          <w:lang w:val="en-US"/>
        </w:rPr>
        <w:t>Idea of reference.</w:t>
      </w:r>
    </w:p>
    <w:p w14:paraId="7C0EF82F" w14:textId="77777777" w:rsidR="007075D9" w:rsidRPr="004D46AC" w:rsidRDefault="007075D9" w:rsidP="002C5F6E">
      <w:pPr>
        <w:spacing w:line="240" w:lineRule="auto"/>
        <w:ind w:firstLine="0"/>
      </w:pPr>
    </w:p>
    <w:p w14:paraId="65540AB3" w14:textId="77777777" w:rsidR="007075D9" w:rsidRPr="004D46AC" w:rsidRDefault="007075D9" w:rsidP="002C5F6E">
      <w:pPr>
        <w:spacing w:line="240" w:lineRule="auto"/>
        <w:ind w:firstLine="0"/>
      </w:pPr>
    </w:p>
    <w:p w14:paraId="642B56F5" w14:textId="77777777" w:rsidR="007075D9" w:rsidRPr="004D46AC" w:rsidRDefault="007075D9" w:rsidP="002C5F6E">
      <w:pPr>
        <w:spacing w:line="240" w:lineRule="auto"/>
        <w:ind w:firstLine="0"/>
      </w:pPr>
    </w:p>
    <w:p w14:paraId="6DB3DE5A" w14:textId="77777777" w:rsidR="007075D9" w:rsidRPr="004D46AC" w:rsidRDefault="007075D9" w:rsidP="002C5F6E">
      <w:pPr>
        <w:spacing w:line="240" w:lineRule="auto"/>
        <w:ind w:firstLine="0"/>
      </w:pPr>
    </w:p>
    <w:p w14:paraId="28660B5F" w14:textId="77777777" w:rsidR="007075D9" w:rsidRPr="004D46AC" w:rsidRDefault="007075D9" w:rsidP="002C5F6E">
      <w:pPr>
        <w:spacing w:line="240" w:lineRule="auto"/>
        <w:ind w:firstLine="0"/>
      </w:pPr>
    </w:p>
    <w:p w14:paraId="6DCF0BE8" w14:textId="77777777" w:rsidR="007075D9" w:rsidRPr="004D46AC" w:rsidRDefault="007075D9" w:rsidP="002C5F6E">
      <w:pPr>
        <w:spacing w:line="240" w:lineRule="auto"/>
        <w:ind w:firstLine="0"/>
        <w:rPr>
          <w:b/>
          <w:bCs/>
        </w:rPr>
      </w:pPr>
      <w:r w:rsidRPr="004D46AC">
        <w:rPr>
          <w:noProof/>
        </w:rPr>
        <w:lastRenderedPageBreak/>
        <w:drawing>
          <wp:inline distT="0" distB="0" distL="0" distR="0" wp14:anchorId="54593550" wp14:editId="7D5F2071">
            <wp:extent cx="2619375" cy="4714240"/>
            <wp:effectExtent l="0" t="0" r="0" b="0"/>
            <wp:docPr id="495945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45246" name="Picture 1"/>
                    <pic:cNvPicPr>
                      <a:picLocks noChangeAspect="1"/>
                    </pic:cNvPicPr>
                  </pic:nvPicPr>
                  <pic:blipFill>
                    <a:blip r:embed="rId471"/>
                    <a:stretch>
                      <a:fillRect/>
                    </a:stretch>
                  </pic:blipFill>
                  <pic:spPr>
                    <a:xfrm>
                      <a:off x="0" y="0"/>
                      <a:ext cx="2652377" cy="4773684"/>
                    </a:xfrm>
                    <a:prstGeom prst="rect">
                      <a:avLst/>
                    </a:prstGeom>
                  </pic:spPr>
                </pic:pic>
              </a:graphicData>
            </a:graphic>
          </wp:inline>
        </w:drawing>
      </w:r>
      <w:r w:rsidRPr="004D46AC">
        <w:t xml:space="preserve"> </w:t>
      </w:r>
      <w:r w:rsidRPr="004D46AC">
        <w:rPr>
          <w:noProof/>
        </w:rPr>
        <w:drawing>
          <wp:inline distT="0" distB="0" distL="0" distR="0" wp14:anchorId="456C92DA" wp14:editId="714A7C26">
            <wp:extent cx="2475865" cy="4683125"/>
            <wp:effectExtent l="0" t="0" r="0" b="0"/>
            <wp:docPr id="39616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61441" name="Picture 1"/>
                    <pic:cNvPicPr>
                      <a:picLocks noChangeAspect="1"/>
                    </pic:cNvPicPr>
                  </pic:nvPicPr>
                  <pic:blipFill>
                    <a:blip r:embed="rId472"/>
                    <a:stretch>
                      <a:fillRect/>
                    </a:stretch>
                  </pic:blipFill>
                  <pic:spPr>
                    <a:xfrm>
                      <a:off x="0" y="0"/>
                      <a:ext cx="2501545" cy="4731401"/>
                    </a:xfrm>
                    <a:prstGeom prst="rect">
                      <a:avLst/>
                    </a:prstGeom>
                  </pic:spPr>
                </pic:pic>
              </a:graphicData>
            </a:graphic>
          </wp:inline>
        </w:drawing>
      </w:r>
    </w:p>
    <w:p w14:paraId="3B08BFAA" w14:textId="5EAF3118" w:rsidR="007075D9" w:rsidRPr="004D46AC" w:rsidRDefault="00011BA9" w:rsidP="00011BA9">
      <w:pPr>
        <w:pStyle w:val="afff0"/>
        <w:spacing w:after="0"/>
        <w:ind w:firstLine="0"/>
        <w:rPr>
          <w:b/>
          <w:bCs/>
          <w:i w:val="0"/>
          <w:iCs w:val="0"/>
          <w:color w:val="auto"/>
          <w:sz w:val="22"/>
          <w:szCs w:val="22"/>
        </w:rPr>
      </w:pPr>
      <w:bookmarkStart w:id="421" w:name="_Toc219880319"/>
      <w:r w:rsidRPr="004D46AC">
        <w:rPr>
          <w:b/>
          <w:bCs/>
          <w:i w:val="0"/>
          <w:iCs w:val="0"/>
          <w:color w:val="auto"/>
          <w:sz w:val="22"/>
          <w:szCs w:val="22"/>
        </w:rPr>
        <w:t xml:space="preserve">Figure E </w:t>
      </w:r>
      <w:r w:rsidRPr="004D46AC">
        <w:rPr>
          <w:b/>
          <w:bCs/>
          <w:i w:val="0"/>
          <w:iCs w:val="0"/>
          <w:color w:val="auto"/>
          <w:sz w:val="22"/>
          <w:szCs w:val="22"/>
        </w:rPr>
        <w:fldChar w:fldCharType="begin"/>
      </w:r>
      <w:r w:rsidRPr="004D46AC">
        <w:rPr>
          <w:b/>
          <w:bCs/>
          <w:i w:val="0"/>
          <w:iCs w:val="0"/>
          <w:color w:val="auto"/>
          <w:sz w:val="22"/>
          <w:szCs w:val="22"/>
        </w:rPr>
        <w:instrText xml:space="preserve"> SEQ Figure_E \* ARABIC </w:instrText>
      </w:r>
      <w:r w:rsidRPr="004D46AC">
        <w:rPr>
          <w:b/>
          <w:bCs/>
          <w:i w:val="0"/>
          <w:iCs w:val="0"/>
          <w:color w:val="auto"/>
          <w:sz w:val="22"/>
          <w:szCs w:val="22"/>
        </w:rPr>
        <w:fldChar w:fldCharType="separate"/>
      </w:r>
      <w:r w:rsidRPr="004D46AC">
        <w:rPr>
          <w:b/>
          <w:bCs/>
          <w:i w:val="0"/>
          <w:iCs w:val="0"/>
          <w:noProof/>
          <w:color w:val="auto"/>
          <w:sz w:val="22"/>
          <w:szCs w:val="22"/>
        </w:rPr>
        <w:t>6</w:t>
      </w:r>
      <w:bookmarkEnd w:id="421"/>
      <w:r w:rsidRPr="004D46AC">
        <w:rPr>
          <w:b/>
          <w:bCs/>
          <w:i w:val="0"/>
          <w:iCs w:val="0"/>
          <w:color w:val="auto"/>
          <w:sz w:val="22"/>
          <w:szCs w:val="22"/>
        </w:rPr>
        <w:fldChar w:fldCharType="end"/>
      </w:r>
    </w:p>
    <w:p w14:paraId="59ADA450" w14:textId="0D2B31C2" w:rsidR="007075D9" w:rsidRPr="004D46AC" w:rsidRDefault="007075D9" w:rsidP="002C5F6E">
      <w:pPr>
        <w:spacing w:line="240" w:lineRule="auto"/>
        <w:ind w:firstLine="0"/>
        <w:rPr>
          <w:i/>
          <w:iCs/>
        </w:rPr>
      </w:pPr>
      <w:bookmarkStart w:id="422" w:name="OLE_LINK106"/>
      <w:r w:rsidRPr="004D46AC">
        <w:rPr>
          <w:i/>
          <w:iCs/>
        </w:rPr>
        <w:t xml:space="preserve">Node and </w:t>
      </w:r>
      <w:r w:rsidR="00334471" w:rsidRPr="004D46AC">
        <w:rPr>
          <w:rFonts w:eastAsiaTheme="minorEastAsia" w:hint="eastAsia"/>
          <w:i/>
          <w:iCs/>
        </w:rPr>
        <w:t>b</w:t>
      </w:r>
      <w:r w:rsidRPr="004D46AC">
        <w:rPr>
          <w:i/>
          <w:iCs/>
        </w:rPr>
        <w:t xml:space="preserve">ridge </w:t>
      </w:r>
      <w:r w:rsidR="00334471" w:rsidRPr="004D46AC">
        <w:rPr>
          <w:rFonts w:eastAsiaTheme="minorEastAsia" w:hint="eastAsia"/>
          <w:i/>
          <w:iCs/>
        </w:rPr>
        <w:t>s</w:t>
      </w:r>
      <w:r w:rsidRPr="004D46AC">
        <w:rPr>
          <w:i/>
          <w:iCs/>
        </w:rPr>
        <w:t xml:space="preserve">trength </w:t>
      </w:r>
      <w:r w:rsidR="00334471" w:rsidRPr="004D46AC">
        <w:rPr>
          <w:rFonts w:eastAsiaTheme="minorEastAsia" w:hint="eastAsia"/>
          <w:i/>
          <w:iCs/>
        </w:rPr>
        <w:t>a</w:t>
      </w:r>
      <w:r w:rsidRPr="004D46AC">
        <w:rPr>
          <w:i/>
          <w:iCs/>
        </w:rPr>
        <w:t xml:space="preserve">cross </w:t>
      </w:r>
      <w:r w:rsidR="00334471" w:rsidRPr="004D46AC">
        <w:rPr>
          <w:rFonts w:eastAsiaTheme="minorEastAsia" w:hint="eastAsia"/>
          <w:i/>
          <w:iCs/>
        </w:rPr>
        <w:t>g</w:t>
      </w:r>
      <w:r w:rsidRPr="004D46AC">
        <w:rPr>
          <w:rFonts w:hint="eastAsia"/>
          <w:i/>
          <w:iCs/>
        </w:rPr>
        <w:t>ender</w:t>
      </w:r>
      <w:r w:rsidRPr="004D46AC">
        <w:rPr>
          <w:i/>
          <w:iCs/>
        </w:rPr>
        <w:t xml:space="preserve"> </w:t>
      </w:r>
      <w:r w:rsidR="00334471" w:rsidRPr="004D46AC">
        <w:rPr>
          <w:rFonts w:eastAsiaTheme="minorEastAsia" w:hint="eastAsia"/>
          <w:i/>
          <w:iCs/>
        </w:rPr>
        <w:t>g</w:t>
      </w:r>
      <w:r w:rsidRPr="004D46AC">
        <w:rPr>
          <w:i/>
          <w:iCs/>
        </w:rPr>
        <w:t xml:space="preserve">roup </w:t>
      </w:r>
      <w:r w:rsidR="00334471" w:rsidRPr="004D46AC">
        <w:rPr>
          <w:rFonts w:eastAsiaTheme="minorEastAsia" w:hint="eastAsia"/>
          <w:i/>
          <w:iCs/>
        </w:rPr>
        <w:t>n</w:t>
      </w:r>
      <w:r w:rsidRPr="004D46AC">
        <w:rPr>
          <w:i/>
          <w:iCs/>
        </w:rPr>
        <w:t>etworks</w:t>
      </w:r>
    </w:p>
    <w:bookmarkEnd w:id="422"/>
    <w:p w14:paraId="75857CCE" w14:textId="77777777" w:rsidR="007075D9" w:rsidRPr="004D46AC" w:rsidRDefault="007075D9" w:rsidP="002C5F6E">
      <w:pPr>
        <w:spacing w:line="240" w:lineRule="auto"/>
        <w:ind w:firstLine="0"/>
      </w:pPr>
      <w:r w:rsidRPr="004D46AC">
        <w:rPr>
          <w:i/>
          <w:iCs/>
        </w:rPr>
        <w:t>Note</w:t>
      </w:r>
      <w:r w:rsidRPr="004D46AC">
        <w:t xml:space="preserve">. Raw coefficients were used for node strength and bridge strength </w:t>
      </w:r>
      <w:proofErr w:type="gramStart"/>
      <w:r w:rsidRPr="004D46AC">
        <w:t>scales</w:t>
      </w:r>
      <w:r w:rsidRPr="004D46AC">
        <w:rPr>
          <w:rFonts w:hint="eastAsia"/>
        </w:rPr>
        <w:t>;</w:t>
      </w:r>
      <w:proofErr w:type="gramEnd"/>
    </w:p>
    <w:p w14:paraId="1D11F2AF" w14:textId="77777777" w:rsidR="007075D9" w:rsidRPr="004D46AC" w:rsidRDefault="007075D9" w:rsidP="002C5F6E">
      <w:pPr>
        <w:spacing w:line="240" w:lineRule="auto"/>
        <w:ind w:firstLine="0"/>
      </w:pPr>
      <w:r w:rsidRPr="004D46AC">
        <w:t xml:space="preserve">TR3: Impulsivity, TR5: Racing Thoughts, TR7: Low mood, TR12: Disorganized Thinking, TR15: Emptiness, TR19: Mood Cycle, TR21: Irritability, TR23: Mood lability, TR24: Disconnected Thoughts, TR26: Identity Confusion, TR27 Poverty of Speech, TR34 Emotional Numbness, TR37 Confused </w:t>
      </w:r>
      <w:proofErr w:type="gramStart"/>
      <w:r w:rsidRPr="004D46AC">
        <w:t>Thinking;</w:t>
      </w:r>
      <w:proofErr w:type="gramEnd"/>
      <w:r w:rsidRPr="004D46AC">
        <w:t xml:space="preserve"> </w:t>
      </w:r>
    </w:p>
    <w:p w14:paraId="5497E330" w14:textId="77777777" w:rsidR="007075D9" w:rsidRPr="004D46AC" w:rsidRDefault="007075D9" w:rsidP="002C5F6E">
      <w:pPr>
        <w:spacing w:line="240" w:lineRule="auto"/>
        <w:ind w:firstLine="0"/>
      </w:pPr>
      <w:r w:rsidRPr="004D46AC">
        <w:t xml:space="preserve">TR6: Auditory Hallucinations, TR9: Sound Distraction, TR17: Reality Confusion, TR18: Precepted oddity in familiar Surroundings, TR29: Pseudo hallucinations, TR30: Suspiciousness, TR33: </w:t>
      </w:r>
      <w:proofErr w:type="gramStart"/>
      <w:r w:rsidRPr="004D46AC">
        <w:t>Paranoia;</w:t>
      </w:r>
      <w:proofErr w:type="gramEnd"/>
    </w:p>
    <w:p w14:paraId="61F38A71" w14:textId="77777777" w:rsidR="007075D9" w:rsidRPr="00BE3CEE" w:rsidRDefault="007075D9" w:rsidP="002C5F6E">
      <w:pPr>
        <w:spacing w:line="240" w:lineRule="auto"/>
        <w:ind w:firstLine="0"/>
      </w:pPr>
      <w:r w:rsidRPr="004D46AC">
        <w:t xml:space="preserve">TR13: Pressured speech/ talkative, TR14: Elevated self-confidence, TR16: Elevated mood or energy, TR20: Increased goal directed activities, TR22: </w:t>
      </w:r>
      <w:r w:rsidRPr="004D46AC">
        <w:rPr>
          <w:lang w:val="en-US"/>
        </w:rPr>
        <w:t xml:space="preserve">Grandiosity, </w:t>
      </w:r>
      <w:r w:rsidRPr="004D46AC">
        <w:t xml:space="preserve">TR25: </w:t>
      </w:r>
      <w:r w:rsidRPr="004D46AC">
        <w:rPr>
          <w:lang w:val="en-US"/>
        </w:rPr>
        <w:t>Idea of reference.</w:t>
      </w:r>
    </w:p>
    <w:p w14:paraId="6267F064" w14:textId="2B9A8A3E" w:rsidR="00E91171" w:rsidRPr="003D5CB6" w:rsidRDefault="00E91171" w:rsidP="00613197">
      <w:pPr>
        <w:pStyle w:val="EndNoteBibliography"/>
        <w:spacing w:line="360" w:lineRule="auto"/>
        <w:ind w:left="720" w:hanging="720"/>
      </w:pPr>
    </w:p>
    <w:sectPr w:rsidR="00E91171" w:rsidRPr="003D5CB6" w:rsidSect="007075D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339D4D" w14:textId="77777777" w:rsidR="0027530D" w:rsidRDefault="0027530D" w:rsidP="003D5CB6">
      <w:pPr>
        <w:spacing w:line="240" w:lineRule="auto"/>
      </w:pPr>
      <w:r>
        <w:separator/>
      </w:r>
    </w:p>
  </w:endnote>
  <w:endnote w:type="continuationSeparator" w:id="0">
    <w:p w14:paraId="5A3E065E" w14:textId="77777777" w:rsidR="0027530D" w:rsidRDefault="0027530D" w:rsidP="003D5C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
      </w:rPr>
      <w:id w:val="790248217"/>
      <w:docPartObj>
        <w:docPartGallery w:val="Page Numbers (Bottom of Page)"/>
        <w:docPartUnique/>
      </w:docPartObj>
    </w:sdtPr>
    <w:sdtContent>
      <w:p w14:paraId="659682BB" w14:textId="77777777" w:rsidR="003D5CB6" w:rsidRDefault="003D5CB6" w:rsidP="00B518F1">
        <w:pPr>
          <w:pStyle w:val="af3"/>
          <w:framePr w:wrap="none" w:vAnchor="text" w:hAnchor="margin" w:xAlign="center" w:y="1"/>
          <w:ind w:firstLine="1100"/>
          <w:rPr>
            <w:rStyle w:val="aff"/>
          </w:rPr>
        </w:pPr>
        <w:r>
          <w:rPr>
            <w:rStyle w:val="aff"/>
          </w:rPr>
          <w:fldChar w:fldCharType="begin"/>
        </w:r>
        <w:r>
          <w:rPr>
            <w:rStyle w:val="aff"/>
          </w:rPr>
          <w:instrText xml:space="preserve"> PAGE </w:instrText>
        </w:r>
        <w:r>
          <w:rPr>
            <w:rStyle w:val="aff"/>
          </w:rPr>
          <w:fldChar w:fldCharType="separate"/>
        </w:r>
        <w:r>
          <w:rPr>
            <w:rStyle w:val="aff"/>
            <w:noProof/>
          </w:rPr>
          <w:t>3</w:t>
        </w:r>
        <w:r>
          <w:rPr>
            <w:rStyle w:val="aff"/>
          </w:rPr>
          <w:fldChar w:fldCharType="end"/>
        </w:r>
      </w:p>
    </w:sdtContent>
  </w:sdt>
  <w:p w14:paraId="5A2219D9" w14:textId="77777777" w:rsidR="003D5CB6" w:rsidRDefault="003D5CB6">
    <w:pPr>
      <w:pStyle w:val="af3"/>
      <w:ind w:firstLine="110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8BCAC" w14:textId="77777777" w:rsidR="003D5CB6" w:rsidRDefault="003D5CB6">
    <w:pPr>
      <w:pStyle w:val="af3"/>
      <w:ind w:firstLine="110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011B9" w14:textId="77777777" w:rsidR="003D5CB6" w:rsidRDefault="003D5CB6">
    <w:pPr>
      <w:pStyle w:val="af3"/>
      <w:ind w:firstLine="110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
      </w:rPr>
      <w:id w:val="1282996315"/>
      <w:docPartObj>
        <w:docPartGallery w:val="Page Numbers (Bottom of Page)"/>
        <w:docPartUnique/>
      </w:docPartObj>
    </w:sdtPr>
    <w:sdtContent>
      <w:p w14:paraId="51CA7617" w14:textId="77777777" w:rsidR="007075D9" w:rsidRDefault="007075D9" w:rsidP="00B518F1">
        <w:pPr>
          <w:pStyle w:val="af3"/>
          <w:framePr w:wrap="none" w:vAnchor="text" w:hAnchor="margin" w:xAlign="center" w:y="1"/>
          <w:ind w:firstLine="660"/>
          <w:rPr>
            <w:rStyle w:val="aff"/>
          </w:rPr>
        </w:pPr>
        <w:r>
          <w:rPr>
            <w:rStyle w:val="aff"/>
          </w:rPr>
          <w:fldChar w:fldCharType="begin"/>
        </w:r>
        <w:r>
          <w:rPr>
            <w:rStyle w:val="aff"/>
          </w:rPr>
          <w:instrText xml:space="preserve"> PAGE </w:instrText>
        </w:r>
        <w:r>
          <w:rPr>
            <w:rStyle w:val="aff"/>
          </w:rPr>
          <w:fldChar w:fldCharType="end"/>
        </w:r>
      </w:p>
    </w:sdtContent>
  </w:sdt>
  <w:p w14:paraId="5F214398" w14:textId="77777777" w:rsidR="007075D9" w:rsidRDefault="007075D9">
    <w:pPr>
      <w:pStyle w:val="af3"/>
      <w:ind w:firstLine="6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1D110" w14:textId="77777777" w:rsidR="007075D9" w:rsidRDefault="007075D9">
    <w:pPr>
      <w:pStyle w:val="af3"/>
      <w:ind w:firstLine="6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3A588" w14:textId="77777777" w:rsidR="007075D9" w:rsidRDefault="007075D9">
    <w:pPr>
      <w:pStyle w:val="af3"/>
      <w:ind w:firstLine="6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17B578" w14:textId="77777777" w:rsidR="0027530D" w:rsidRDefault="0027530D" w:rsidP="003D5CB6">
      <w:pPr>
        <w:spacing w:line="240" w:lineRule="auto"/>
      </w:pPr>
      <w:r>
        <w:separator/>
      </w:r>
    </w:p>
  </w:footnote>
  <w:footnote w:type="continuationSeparator" w:id="0">
    <w:p w14:paraId="1AB40BEC" w14:textId="77777777" w:rsidR="0027530D" w:rsidRDefault="0027530D" w:rsidP="003D5CB6">
      <w:pPr>
        <w:spacing w:line="240" w:lineRule="auto"/>
      </w:pPr>
      <w:r>
        <w:continuationSeparator/>
      </w:r>
    </w:p>
  </w:footnote>
  <w:footnote w:id="1">
    <w:p w14:paraId="08F156B9" w14:textId="77777777" w:rsidR="003D5CB6" w:rsidRPr="00BD5781" w:rsidRDefault="003D5CB6">
      <w:pPr>
        <w:pStyle w:val="aff3"/>
        <w:rPr>
          <w:rFonts w:eastAsiaTheme="minorEastAsia"/>
        </w:rPr>
      </w:pPr>
      <w:r>
        <w:rPr>
          <w:rStyle w:val="aff5"/>
        </w:rPr>
        <w:footnoteRef/>
      </w:r>
      <w:r>
        <w:t xml:space="preserve"> </w:t>
      </w:r>
      <w:r w:rsidRPr="009A141B">
        <w:rPr>
          <w:rFonts w:eastAsiaTheme="minorEastAsia"/>
        </w:rPr>
        <w:t xml:space="preserve">This chapter was submitted to the </w:t>
      </w:r>
      <w:r w:rsidRPr="009A141B">
        <w:rPr>
          <w:rFonts w:eastAsiaTheme="minorEastAsia"/>
          <w:i/>
          <w:iCs/>
        </w:rPr>
        <w:t>Journal of Bipolar Disorders</w:t>
      </w:r>
      <w:r w:rsidRPr="009A141B">
        <w:rPr>
          <w:rFonts w:eastAsiaTheme="minorEastAsia"/>
        </w:rPr>
        <w:t xml:space="preserve"> for consideration for publication in January 2024 and is currently undergoing a second round of review. It represents original work conducted, analysed, and drafted by the PhD candidate, supervised by Professor Richard P. Bentall.</w:t>
      </w:r>
    </w:p>
  </w:footnote>
  <w:footnote w:id="2">
    <w:p w14:paraId="319478B7" w14:textId="77777777" w:rsidR="003D5CB6" w:rsidRPr="008D4F1C" w:rsidRDefault="003D5CB6" w:rsidP="00B518F1">
      <w:pPr>
        <w:pStyle w:val="aff3"/>
        <w:spacing w:line="360" w:lineRule="auto"/>
        <w:rPr>
          <w:rFonts w:eastAsiaTheme="minorEastAsia"/>
        </w:rPr>
      </w:pPr>
      <w:r>
        <w:rPr>
          <w:rStyle w:val="aff5"/>
        </w:rPr>
        <w:footnoteRef/>
      </w:r>
      <w:r w:rsidRPr="008D4F1C">
        <w:rPr>
          <w:rFonts w:eastAsiaTheme="minorEastAsia"/>
        </w:rPr>
        <w:t>The PhD candidate was responsible for research design, obtaining data access, data analysis, and manuscript drafting of this chapter. The chapter was supervised by Dr. Melanie Simmonds-Buckley and Professor Richard P. Bentall, and published as:</w:t>
      </w:r>
    </w:p>
    <w:p w14:paraId="27E7C226" w14:textId="77777777" w:rsidR="003D5CB6" w:rsidRPr="008D4F1C" w:rsidRDefault="003D5CB6" w:rsidP="00B518F1">
      <w:pPr>
        <w:pStyle w:val="aff3"/>
        <w:spacing w:line="360" w:lineRule="auto"/>
        <w:rPr>
          <w:rFonts w:eastAsiaTheme="minorEastAsia"/>
        </w:rPr>
      </w:pPr>
      <w:r w:rsidRPr="008D4F1C">
        <w:rPr>
          <w:rFonts w:eastAsiaTheme="minorEastAsia"/>
        </w:rPr>
        <w:t xml:space="preserve">Shao, W., Simmonds-Buckley, M., Zavlis, O., &amp; Bentall, R. P. (2025). The common structure of the major psychoses: More similarities than differences in the network structures of schizophrenia, schizoaffective disorder, and psychotic bipolar disorder. </w:t>
      </w:r>
      <w:r w:rsidRPr="008D4F1C">
        <w:rPr>
          <w:rFonts w:eastAsiaTheme="minorEastAsia"/>
          <w:i/>
          <w:iCs/>
        </w:rPr>
        <w:t>Schizophrenia Bulletin, 51</w:t>
      </w:r>
      <w:r w:rsidRPr="008D4F1C">
        <w:rPr>
          <w:rFonts w:eastAsiaTheme="minorEastAsia"/>
        </w:rPr>
        <w:t xml:space="preserve">(4), 1042–1053. </w:t>
      </w:r>
      <w:hyperlink r:id="rId1" w:tgtFrame="_blank" w:history="1">
        <w:r w:rsidRPr="008D4F1C">
          <w:rPr>
            <w:rStyle w:val="af5"/>
            <w:rFonts w:eastAsiaTheme="minorEastAsia"/>
          </w:rPr>
          <w:t>https://doi.org/10.1093/schbul/sbae154</w:t>
        </w:r>
      </w:hyperlink>
    </w:p>
    <w:p w14:paraId="010FF217" w14:textId="77777777" w:rsidR="003D5CB6" w:rsidRPr="008D4F1C" w:rsidRDefault="003D5CB6" w:rsidP="00B518F1">
      <w:pPr>
        <w:pStyle w:val="aff3"/>
        <w:spacing w:line="360" w:lineRule="auto"/>
        <w:rPr>
          <w:rFonts w:eastAsiaTheme="minorEastAsia"/>
          <w:b/>
          <w:bCs/>
        </w:rPr>
      </w:pPr>
    </w:p>
  </w:footnote>
  <w:footnote w:id="3">
    <w:p w14:paraId="356714EC" w14:textId="77777777" w:rsidR="007075D9" w:rsidRPr="00A24523" w:rsidRDefault="007075D9">
      <w:pPr>
        <w:pStyle w:val="aff3"/>
        <w:rPr>
          <w:rFonts w:eastAsiaTheme="minorEastAsia"/>
        </w:rPr>
      </w:pPr>
      <w:r>
        <w:rPr>
          <w:rStyle w:val="aff5"/>
        </w:rPr>
        <w:footnoteRef/>
      </w:r>
      <w:r>
        <w:t xml:space="preserve"> </w:t>
      </w:r>
      <w:r w:rsidRPr="00A24523">
        <w:rPr>
          <w:rFonts w:eastAsiaTheme="minorEastAsia"/>
        </w:rPr>
        <w:t>The study presented in this chapter was designed, analysed, and drafted by the PhD candidate, supervised by Dr Melanie Simmonds-Buckley and Professor Richard P. Bentall. This manuscript is being prepared for submission.</w:t>
      </w:r>
    </w:p>
  </w:footnote>
  <w:footnote w:id="4">
    <w:p w14:paraId="4E9A750E" w14:textId="77777777" w:rsidR="007075D9" w:rsidRDefault="007075D9" w:rsidP="00B518F1">
      <w:pPr>
        <w:pStyle w:val="aff3"/>
      </w:pPr>
      <w:r>
        <w:rPr>
          <w:rFonts w:eastAsiaTheme="minorEastAsia" w:hint="eastAsia"/>
        </w:rPr>
        <w:t xml:space="preserve"> </w:t>
      </w:r>
      <w:r>
        <w:rPr>
          <w:rStyle w:val="aff5"/>
        </w:rPr>
        <w:footnoteRef/>
      </w:r>
      <w:r>
        <w:t xml:space="preserve"> All analyses in this chapter were conducted by the </w:t>
      </w:r>
      <w:r>
        <w:rPr>
          <w:rFonts w:eastAsiaTheme="minorEastAsia" w:hint="eastAsia"/>
        </w:rPr>
        <w:t xml:space="preserve">PhD </w:t>
      </w:r>
      <w:r>
        <w:t>candidate, who also contributed to the study design and item selection and refinement of the TRACE instrument.</w:t>
      </w:r>
    </w:p>
    <w:p w14:paraId="16897354" w14:textId="77777777" w:rsidR="007075D9" w:rsidRPr="00E20BA3" w:rsidRDefault="007075D9" w:rsidP="00B518F1">
      <w:pPr>
        <w:pStyle w:val="aff3"/>
      </w:pPr>
      <w:bookmarkStart w:id="239" w:name="OLE_LINK91"/>
      <w:r>
        <w:t xml:space="preserve">The EGA and confirmatory factor analyses were published in </w:t>
      </w:r>
      <w:r w:rsidRPr="00E20BA3">
        <w:t xml:space="preserve">Pickering, J., Shao, W., Weich, S., Dalton, C. F., Jones, M., Taylor, C. D. J., Reuber, M., Kingston, J., Gibbs, C., &amp; Bentall, R. P. (2025). Developing TRACE: A transdiagnostic screening tool for early detection of a pluripotent at-risk mental state. </w:t>
      </w:r>
      <w:r w:rsidRPr="00E20BA3">
        <w:rPr>
          <w:i/>
          <w:iCs/>
        </w:rPr>
        <w:t>International Journal of Methods in Psychiatric Research</w:t>
      </w:r>
      <w:r w:rsidRPr="00E20BA3">
        <w:t>,</w:t>
      </w:r>
      <w:r w:rsidRPr="00E20BA3">
        <w:rPr>
          <w:i/>
          <w:iCs/>
        </w:rPr>
        <w:t xml:space="preserve"> 34</w:t>
      </w:r>
      <w:r w:rsidRPr="00E20BA3">
        <w:t xml:space="preserve">(4), e70046. https://doi.org/https://doi.org/10.1002/mpr.70046 </w:t>
      </w:r>
      <w:r>
        <w:t>(Pickering and Shao were considered joint first authors of this article).</w:t>
      </w:r>
    </w:p>
    <w:bookmarkEnd w:id="239"/>
    <w:p w14:paraId="321A1DCE" w14:textId="77777777" w:rsidR="007075D9" w:rsidRPr="00D51F65" w:rsidRDefault="007075D9" w:rsidP="00B518F1">
      <w:pPr>
        <w:pStyle w:val="aff3"/>
      </w:pPr>
    </w:p>
    <w:p w14:paraId="2EF63BD5" w14:textId="77777777" w:rsidR="007075D9" w:rsidRDefault="007075D9">
      <w:pPr>
        <w:pStyle w:val="aff3"/>
      </w:pP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7694646"/>
      <w:docPartObj>
        <w:docPartGallery w:val="Page Numbers (Top of Page)"/>
        <w:docPartUnique/>
      </w:docPartObj>
    </w:sdtPr>
    <w:sdtContent>
      <w:p w14:paraId="44FCEDBB" w14:textId="631934B3" w:rsidR="00D0731C" w:rsidRDefault="00D0731C">
        <w:pPr>
          <w:pStyle w:val="af1"/>
          <w:jc w:val="right"/>
        </w:pPr>
        <w:r>
          <w:fldChar w:fldCharType="begin"/>
        </w:r>
        <w:r>
          <w:instrText>PAGE   \* MERGEFORMAT</w:instrText>
        </w:r>
        <w:r>
          <w:fldChar w:fldCharType="separate"/>
        </w:r>
        <w:r>
          <w:rPr>
            <w:lang w:val="zh-CN"/>
          </w:rPr>
          <w:t>2</w:t>
        </w:r>
        <w:r>
          <w:fldChar w:fldCharType="end"/>
        </w:r>
      </w:p>
    </w:sdtContent>
  </w:sdt>
  <w:p w14:paraId="609BEF95" w14:textId="77777777" w:rsidR="00D0731C" w:rsidRDefault="00D0731C">
    <w:pPr>
      <w:pStyle w:val="af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8B207" w14:textId="77777777" w:rsidR="003D5CB6" w:rsidRDefault="003D5CB6">
    <w:pPr>
      <w:pStyle w:val="af1"/>
      <w:ind w:firstLine="110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475676"/>
      <w:docPartObj>
        <w:docPartGallery w:val="Page Numbers (Top of Page)"/>
        <w:docPartUnique/>
      </w:docPartObj>
    </w:sdtPr>
    <w:sdtContent>
      <w:p w14:paraId="4E2F532A" w14:textId="15E13FB4" w:rsidR="003A1ED4" w:rsidRDefault="003A1ED4">
        <w:pPr>
          <w:pStyle w:val="af1"/>
          <w:jc w:val="right"/>
        </w:pPr>
        <w:r>
          <w:fldChar w:fldCharType="begin"/>
        </w:r>
        <w:r>
          <w:instrText>PAGE   \* MERGEFORMAT</w:instrText>
        </w:r>
        <w:r>
          <w:fldChar w:fldCharType="separate"/>
        </w:r>
        <w:r>
          <w:rPr>
            <w:lang w:val="zh-CN"/>
          </w:rPr>
          <w:t>2</w:t>
        </w:r>
        <w:r>
          <w:fldChar w:fldCharType="end"/>
        </w:r>
      </w:p>
    </w:sdtContent>
  </w:sdt>
  <w:p w14:paraId="533B4C8F" w14:textId="77777777" w:rsidR="003D5CB6" w:rsidRDefault="003D5CB6">
    <w:pPr>
      <w:pStyle w:val="af1"/>
      <w:ind w:firstLine="1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57C37" w14:textId="77777777" w:rsidR="003D5CB6" w:rsidRDefault="003D5CB6">
    <w:pPr>
      <w:pStyle w:val="af1"/>
      <w:ind w:firstLine="1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3176054"/>
      <w:docPartObj>
        <w:docPartGallery w:val="Page Numbers (Top of Page)"/>
        <w:docPartUnique/>
      </w:docPartObj>
    </w:sdtPr>
    <w:sdtEndPr>
      <w:rPr>
        <w:noProof/>
      </w:rPr>
    </w:sdtEndPr>
    <w:sdtContent>
      <w:p w14:paraId="2F8A8650" w14:textId="77777777" w:rsidR="003D5CB6" w:rsidRDefault="003D5CB6">
        <w:pPr>
          <w:pStyle w:val="af1"/>
          <w:jc w:val="right"/>
        </w:pPr>
        <w:r>
          <w:fldChar w:fldCharType="begin"/>
        </w:r>
        <w:r>
          <w:instrText xml:space="preserve"> PAGE   \* MERGEFORMAT </w:instrText>
        </w:r>
        <w:r>
          <w:fldChar w:fldCharType="separate"/>
        </w:r>
        <w:r>
          <w:rPr>
            <w:noProof/>
          </w:rPr>
          <w:t>2</w:t>
        </w:r>
        <w:r>
          <w:rPr>
            <w:noProof/>
          </w:rPr>
          <w:fldChar w:fldCharType="end"/>
        </w:r>
      </w:p>
    </w:sdtContent>
  </w:sdt>
  <w:p w14:paraId="704F78E9" w14:textId="77777777" w:rsidR="003D5CB6" w:rsidRDefault="003D5CB6">
    <w:pPr>
      <w:pStyle w:val="af1"/>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2259C" w14:textId="77777777" w:rsidR="007075D9" w:rsidRDefault="007075D9">
    <w:pPr>
      <w:pStyle w:val="af1"/>
      <w:ind w:firstLine="6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47641857"/>
      <w:docPartObj>
        <w:docPartGallery w:val="Page Numbers (Top of Page)"/>
        <w:docPartUnique/>
      </w:docPartObj>
    </w:sdtPr>
    <w:sdtContent>
      <w:p w14:paraId="60A23C29" w14:textId="77777777" w:rsidR="007075D9" w:rsidRDefault="007075D9">
        <w:pPr>
          <w:pStyle w:val="af1"/>
          <w:jc w:val="right"/>
        </w:pPr>
        <w:r>
          <w:fldChar w:fldCharType="begin"/>
        </w:r>
        <w:r>
          <w:instrText>PAGE   \* MERGEFORMAT</w:instrText>
        </w:r>
        <w:r>
          <w:fldChar w:fldCharType="separate"/>
        </w:r>
        <w:r>
          <w:rPr>
            <w:lang w:val="zh-CN"/>
          </w:rPr>
          <w:t>2</w:t>
        </w:r>
        <w:r>
          <w:fldChar w:fldCharType="end"/>
        </w:r>
      </w:p>
    </w:sdtContent>
  </w:sdt>
  <w:p w14:paraId="4AEAE927" w14:textId="77777777" w:rsidR="007075D9" w:rsidRDefault="007075D9">
    <w:pPr>
      <w:pStyle w:val="af1"/>
      <w:ind w:firstLine="6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F11AE" w14:textId="77777777" w:rsidR="007075D9" w:rsidRDefault="007075D9">
    <w:pPr>
      <w:pStyle w:val="af1"/>
      <w:ind w:firstLine="6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4767C" w14:textId="77777777" w:rsidR="007075D9" w:rsidRPr="001E67E0" w:rsidRDefault="007075D9">
    <w:pPr>
      <w:pStyle w:val="af1"/>
      <w:jc w:val="right"/>
      <w:rPr>
        <w:sz w:val="24"/>
      </w:rPr>
    </w:pPr>
    <w:r w:rsidRPr="001E67E0">
      <w:rPr>
        <w:sz w:val="24"/>
      </w:rPr>
      <w:t xml:space="preserve"> </w:t>
    </w:r>
    <w:r w:rsidRPr="001E67E0">
      <w:rPr>
        <w:sz w:val="24"/>
      </w:rPr>
      <w:fldChar w:fldCharType="begin"/>
    </w:r>
    <w:r w:rsidRPr="001E67E0">
      <w:rPr>
        <w:sz w:val="24"/>
      </w:rPr>
      <w:instrText>PAGE   \* MERGEFORMAT</w:instrText>
    </w:r>
    <w:r w:rsidRPr="001E67E0">
      <w:rPr>
        <w:sz w:val="24"/>
      </w:rPr>
      <w:fldChar w:fldCharType="separate"/>
    </w:r>
    <w:r w:rsidRPr="001E67E0">
      <w:rPr>
        <w:sz w:val="24"/>
      </w:rPr>
      <w:t>2</w:t>
    </w:r>
    <w:r w:rsidRPr="001E67E0">
      <w:rPr>
        <w:sz w:val="24"/>
      </w:rPr>
      <w:fldChar w:fldCharType="end"/>
    </w:r>
  </w:p>
  <w:p w14:paraId="35124791" w14:textId="77777777" w:rsidR="007075D9" w:rsidRPr="001E67E0" w:rsidRDefault="007075D9">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382475"/>
    <w:multiLevelType w:val="multilevel"/>
    <w:tmpl w:val="CDD29E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EAB598C"/>
    <w:multiLevelType w:val="hybridMultilevel"/>
    <w:tmpl w:val="0B808C7E"/>
    <w:lvl w:ilvl="0" w:tplc="07989E30">
      <w:start w:val="1"/>
      <w:numFmt w:val="lowerLetter"/>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2" w15:restartNumberingAfterBreak="0">
    <w:nsid w:val="105845B9"/>
    <w:multiLevelType w:val="hybridMultilevel"/>
    <w:tmpl w:val="428A1484"/>
    <w:lvl w:ilvl="0" w:tplc="09B83E7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126969A6"/>
    <w:multiLevelType w:val="hybridMultilevel"/>
    <w:tmpl w:val="4008D96E"/>
    <w:lvl w:ilvl="0" w:tplc="B5C83FF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14B93983"/>
    <w:multiLevelType w:val="hybridMultilevel"/>
    <w:tmpl w:val="E18414AA"/>
    <w:lvl w:ilvl="0" w:tplc="F880E48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1D713D5F"/>
    <w:multiLevelType w:val="hybridMultilevel"/>
    <w:tmpl w:val="D14283C0"/>
    <w:lvl w:ilvl="0" w:tplc="99E8FC0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1EEB664B"/>
    <w:multiLevelType w:val="hybridMultilevel"/>
    <w:tmpl w:val="352E829A"/>
    <w:lvl w:ilvl="0" w:tplc="F0C2E02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2206045D"/>
    <w:multiLevelType w:val="hybridMultilevel"/>
    <w:tmpl w:val="A6660E3E"/>
    <w:lvl w:ilvl="0" w:tplc="68087804">
      <w:start w:val="1"/>
      <w:numFmt w:val="lowerRoman"/>
      <w:lvlText w:val="(%1)"/>
      <w:lvlJc w:val="left"/>
      <w:pPr>
        <w:ind w:left="1380" w:hanging="720"/>
      </w:pPr>
      <w:rPr>
        <w:rFonts w:hint="default"/>
      </w:rPr>
    </w:lvl>
    <w:lvl w:ilvl="1" w:tplc="88B624EE">
      <w:start w:val="1"/>
      <w:numFmt w:val="lowerLetter"/>
      <w:lvlText w:val="%2."/>
      <w:lvlJc w:val="left"/>
      <w:pPr>
        <w:ind w:left="1740" w:hanging="360"/>
      </w:pPr>
      <w:rPr>
        <w:rFonts w:hint="default"/>
      </w:rPr>
    </w:lvl>
    <w:lvl w:ilvl="2" w:tplc="0809001B" w:tentative="1">
      <w:start w:val="1"/>
      <w:numFmt w:val="lowerRoman"/>
      <w:lvlText w:val="%3."/>
      <w:lvlJc w:val="right"/>
      <w:pPr>
        <w:ind w:left="2460" w:hanging="180"/>
      </w:pPr>
    </w:lvl>
    <w:lvl w:ilvl="3" w:tplc="0809000F" w:tentative="1">
      <w:start w:val="1"/>
      <w:numFmt w:val="decimal"/>
      <w:lvlText w:val="%4."/>
      <w:lvlJc w:val="left"/>
      <w:pPr>
        <w:ind w:left="3180" w:hanging="360"/>
      </w:pPr>
    </w:lvl>
    <w:lvl w:ilvl="4" w:tplc="08090019" w:tentative="1">
      <w:start w:val="1"/>
      <w:numFmt w:val="lowerLetter"/>
      <w:lvlText w:val="%5."/>
      <w:lvlJc w:val="left"/>
      <w:pPr>
        <w:ind w:left="3900" w:hanging="360"/>
      </w:pPr>
    </w:lvl>
    <w:lvl w:ilvl="5" w:tplc="0809001B" w:tentative="1">
      <w:start w:val="1"/>
      <w:numFmt w:val="lowerRoman"/>
      <w:lvlText w:val="%6."/>
      <w:lvlJc w:val="right"/>
      <w:pPr>
        <w:ind w:left="4620" w:hanging="180"/>
      </w:pPr>
    </w:lvl>
    <w:lvl w:ilvl="6" w:tplc="0809000F" w:tentative="1">
      <w:start w:val="1"/>
      <w:numFmt w:val="decimal"/>
      <w:lvlText w:val="%7."/>
      <w:lvlJc w:val="left"/>
      <w:pPr>
        <w:ind w:left="5340" w:hanging="360"/>
      </w:pPr>
    </w:lvl>
    <w:lvl w:ilvl="7" w:tplc="08090019" w:tentative="1">
      <w:start w:val="1"/>
      <w:numFmt w:val="lowerLetter"/>
      <w:lvlText w:val="%8."/>
      <w:lvlJc w:val="left"/>
      <w:pPr>
        <w:ind w:left="6060" w:hanging="360"/>
      </w:pPr>
    </w:lvl>
    <w:lvl w:ilvl="8" w:tplc="0809001B" w:tentative="1">
      <w:start w:val="1"/>
      <w:numFmt w:val="lowerRoman"/>
      <w:lvlText w:val="%9."/>
      <w:lvlJc w:val="right"/>
      <w:pPr>
        <w:ind w:left="6780" w:hanging="180"/>
      </w:pPr>
    </w:lvl>
  </w:abstractNum>
  <w:abstractNum w:abstractNumId="8" w15:restartNumberingAfterBreak="0">
    <w:nsid w:val="250608BD"/>
    <w:multiLevelType w:val="hybridMultilevel"/>
    <w:tmpl w:val="AA841DEA"/>
    <w:lvl w:ilvl="0" w:tplc="3604ABC8">
      <w:start w:val="1"/>
      <w:numFmt w:val="lowerLetter"/>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9" w15:restartNumberingAfterBreak="0">
    <w:nsid w:val="33173A07"/>
    <w:multiLevelType w:val="hybridMultilevel"/>
    <w:tmpl w:val="A1B89F7C"/>
    <w:lvl w:ilvl="0" w:tplc="A1C0C26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3ECF5B17"/>
    <w:multiLevelType w:val="hybridMultilevel"/>
    <w:tmpl w:val="A9D4BBBE"/>
    <w:lvl w:ilvl="0" w:tplc="3E42E2F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49DF25AA"/>
    <w:multiLevelType w:val="hybridMultilevel"/>
    <w:tmpl w:val="70669BA0"/>
    <w:lvl w:ilvl="0" w:tplc="8C2E409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2" w15:restartNumberingAfterBreak="0">
    <w:nsid w:val="4F2864EB"/>
    <w:multiLevelType w:val="hybridMultilevel"/>
    <w:tmpl w:val="C414EB5A"/>
    <w:lvl w:ilvl="0" w:tplc="13367AF0">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3" w15:restartNumberingAfterBreak="0">
    <w:nsid w:val="52390903"/>
    <w:multiLevelType w:val="hybridMultilevel"/>
    <w:tmpl w:val="6506FD70"/>
    <w:lvl w:ilvl="0" w:tplc="98323DD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54D25699"/>
    <w:multiLevelType w:val="hybridMultilevel"/>
    <w:tmpl w:val="56881244"/>
    <w:lvl w:ilvl="0" w:tplc="BFD4CC46">
      <w:start w:val="1"/>
      <w:numFmt w:val="lowerLetter"/>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15" w15:restartNumberingAfterBreak="0">
    <w:nsid w:val="58C42A64"/>
    <w:multiLevelType w:val="hybridMultilevel"/>
    <w:tmpl w:val="EAC2A6AE"/>
    <w:lvl w:ilvl="0" w:tplc="D3E8FC2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6214658E"/>
    <w:multiLevelType w:val="hybridMultilevel"/>
    <w:tmpl w:val="1424FD06"/>
    <w:lvl w:ilvl="0" w:tplc="F5DEFB7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7" w15:restartNumberingAfterBreak="0">
    <w:nsid w:val="62D83A84"/>
    <w:multiLevelType w:val="hybridMultilevel"/>
    <w:tmpl w:val="EB522DD6"/>
    <w:lvl w:ilvl="0" w:tplc="D2407B5C">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 w15:restartNumberingAfterBreak="0">
    <w:nsid w:val="6A493D85"/>
    <w:multiLevelType w:val="hybridMultilevel"/>
    <w:tmpl w:val="C58868A6"/>
    <w:lvl w:ilvl="0" w:tplc="483A6C5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9" w15:restartNumberingAfterBreak="0">
    <w:nsid w:val="6ADA74DC"/>
    <w:multiLevelType w:val="multilevel"/>
    <w:tmpl w:val="7BA60E30"/>
    <w:lvl w:ilvl="0">
      <w:start w:val="1"/>
      <w:numFmt w:val="decimal"/>
      <w:lvlText w:val="Chapter %1"/>
      <w:lvlJc w:val="center"/>
      <w:pPr>
        <w:tabs>
          <w:tab w:val="num" w:pos="720"/>
        </w:tabs>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 w15:restartNumberingAfterBreak="0">
    <w:nsid w:val="6B032290"/>
    <w:multiLevelType w:val="hybridMultilevel"/>
    <w:tmpl w:val="0D70F3F6"/>
    <w:lvl w:ilvl="0" w:tplc="EF6228C8">
      <w:start w:val="1"/>
      <w:numFmt w:val="lowerLetter"/>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21" w15:restartNumberingAfterBreak="0">
    <w:nsid w:val="72FB4DAB"/>
    <w:multiLevelType w:val="hybridMultilevel"/>
    <w:tmpl w:val="9768FE18"/>
    <w:lvl w:ilvl="0" w:tplc="57F02180">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7A5C7A25"/>
    <w:multiLevelType w:val="multilevel"/>
    <w:tmpl w:val="59128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54876831">
    <w:abstractNumId w:val="0"/>
  </w:num>
  <w:num w:numId="2" w16cid:durableId="976573302">
    <w:abstractNumId w:val="22"/>
  </w:num>
  <w:num w:numId="3" w16cid:durableId="2092772322">
    <w:abstractNumId w:val="7"/>
  </w:num>
  <w:num w:numId="4" w16cid:durableId="80225593">
    <w:abstractNumId w:val="21"/>
  </w:num>
  <w:num w:numId="5" w16cid:durableId="1339579837">
    <w:abstractNumId w:val="17"/>
  </w:num>
  <w:num w:numId="6" w16cid:durableId="784151815">
    <w:abstractNumId w:val="12"/>
  </w:num>
  <w:num w:numId="7" w16cid:durableId="1447889996">
    <w:abstractNumId w:val="15"/>
  </w:num>
  <w:num w:numId="8" w16cid:durableId="1622608030">
    <w:abstractNumId w:val="13"/>
  </w:num>
  <w:num w:numId="9" w16cid:durableId="817458975">
    <w:abstractNumId w:val="3"/>
  </w:num>
  <w:num w:numId="10" w16cid:durableId="141586330">
    <w:abstractNumId w:val="18"/>
  </w:num>
  <w:num w:numId="11" w16cid:durableId="525945939">
    <w:abstractNumId w:val="14"/>
  </w:num>
  <w:num w:numId="12" w16cid:durableId="823739012">
    <w:abstractNumId w:val="4"/>
  </w:num>
  <w:num w:numId="13" w16cid:durableId="1756172004">
    <w:abstractNumId w:val="20"/>
  </w:num>
  <w:num w:numId="14" w16cid:durableId="1034618808">
    <w:abstractNumId w:val="11"/>
  </w:num>
  <w:num w:numId="15" w16cid:durableId="1686320544">
    <w:abstractNumId w:val="6"/>
  </w:num>
  <w:num w:numId="16" w16cid:durableId="658265346">
    <w:abstractNumId w:val="1"/>
  </w:num>
  <w:num w:numId="17" w16cid:durableId="720521796">
    <w:abstractNumId w:val="9"/>
  </w:num>
  <w:num w:numId="18" w16cid:durableId="1041398138">
    <w:abstractNumId w:val="8"/>
  </w:num>
  <w:num w:numId="19" w16cid:durableId="1093865064">
    <w:abstractNumId w:val="5"/>
  </w:num>
  <w:num w:numId="20" w16cid:durableId="1559365385">
    <w:abstractNumId w:val="2"/>
  </w:num>
  <w:num w:numId="21" w16cid:durableId="605621224">
    <w:abstractNumId w:val="16"/>
  </w:num>
  <w:num w:numId="22" w16cid:durableId="884953644">
    <w:abstractNumId w:val="10"/>
  </w:num>
  <w:num w:numId="23" w16cid:durableId="1344163901">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63A"/>
    <w:rsid w:val="00007E22"/>
    <w:rsid w:val="00011BA9"/>
    <w:rsid w:val="00016A05"/>
    <w:rsid w:val="00033CC9"/>
    <w:rsid w:val="00037113"/>
    <w:rsid w:val="00052B86"/>
    <w:rsid w:val="000551CA"/>
    <w:rsid w:val="00064F35"/>
    <w:rsid w:val="00071810"/>
    <w:rsid w:val="00097428"/>
    <w:rsid w:val="000A43C5"/>
    <w:rsid w:val="000B4CBF"/>
    <w:rsid w:val="000D2B18"/>
    <w:rsid w:val="00106616"/>
    <w:rsid w:val="0012185F"/>
    <w:rsid w:val="00147885"/>
    <w:rsid w:val="00152EFF"/>
    <w:rsid w:val="0017017B"/>
    <w:rsid w:val="00181BC0"/>
    <w:rsid w:val="001D6F36"/>
    <w:rsid w:val="001E10C5"/>
    <w:rsid w:val="00220A92"/>
    <w:rsid w:val="0022744D"/>
    <w:rsid w:val="00263DDA"/>
    <w:rsid w:val="0027530D"/>
    <w:rsid w:val="00275F93"/>
    <w:rsid w:val="002C56E2"/>
    <w:rsid w:val="002C5F6E"/>
    <w:rsid w:val="0030127F"/>
    <w:rsid w:val="00334471"/>
    <w:rsid w:val="003352F1"/>
    <w:rsid w:val="00342BC3"/>
    <w:rsid w:val="00351B8F"/>
    <w:rsid w:val="003546A1"/>
    <w:rsid w:val="00372FB0"/>
    <w:rsid w:val="0038285E"/>
    <w:rsid w:val="003A028F"/>
    <w:rsid w:val="003A1ED4"/>
    <w:rsid w:val="003A79C9"/>
    <w:rsid w:val="003D5CB6"/>
    <w:rsid w:val="003E095D"/>
    <w:rsid w:val="004059E0"/>
    <w:rsid w:val="00417F18"/>
    <w:rsid w:val="00426A4B"/>
    <w:rsid w:val="0043474A"/>
    <w:rsid w:val="00457CB3"/>
    <w:rsid w:val="00463F95"/>
    <w:rsid w:val="004719F3"/>
    <w:rsid w:val="004725A0"/>
    <w:rsid w:val="00482EA0"/>
    <w:rsid w:val="00490E1C"/>
    <w:rsid w:val="004A63C4"/>
    <w:rsid w:val="004D46AC"/>
    <w:rsid w:val="004E165A"/>
    <w:rsid w:val="00515479"/>
    <w:rsid w:val="00530665"/>
    <w:rsid w:val="00534053"/>
    <w:rsid w:val="005455FB"/>
    <w:rsid w:val="00581ACE"/>
    <w:rsid w:val="005A27A3"/>
    <w:rsid w:val="005B238C"/>
    <w:rsid w:val="005B3793"/>
    <w:rsid w:val="005F2805"/>
    <w:rsid w:val="00613197"/>
    <w:rsid w:val="0062425C"/>
    <w:rsid w:val="0063503B"/>
    <w:rsid w:val="00665FD6"/>
    <w:rsid w:val="006767D9"/>
    <w:rsid w:val="0068059A"/>
    <w:rsid w:val="00685DE4"/>
    <w:rsid w:val="006D0192"/>
    <w:rsid w:val="00703866"/>
    <w:rsid w:val="00705E90"/>
    <w:rsid w:val="007075D9"/>
    <w:rsid w:val="0071329B"/>
    <w:rsid w:val="0071777E"/>
    <w:rsid w:val="007346BC"/>
    <w:rsid w:val="00746397"/>
    <w:rsid w:val="00784028"/>
    <w:rsid w:val="00784DEF"/>
    <w:rsid w:val="007B07FE"/>
    <w:rsid w:val="007B2818"/>
    <w:rsid w:val="007C1C6D"/>
    <w:rsid w:val="007D263A"/>
    <w:rsid w:val="007E4AF9"/>
    <w:rsid w:val="00832894"/>
    <w:rsid w:val="0084203E"/>
    <w:rsid w:val="00850F69"/>
    <w:rsid w:val="008541DC"/>
    <w:rsid w:val="00894BF5"/>
    <w:rsid w:val="008A38FE"/>
    <w:rsid w:val="008A6E7E"/>
    <w:rsid w:val="008E2FAB"/>
    <w:rsid w:val="008F220B"/>
    <w:rsid w:val="00901113"/>
    <w:rsid w:val="00904541"/>
    <w:rsid w:val="009050EB"/>
    <w:rsid w:val="0090577F"/>
    <w:rsid w:val="0091254A"/>
    <w:rsid w:val="009264C5"/>
    <w:rsid w:val="009568EC"/>
    <w:rsid w:val="009864DB"/>
    <w:rsid w:val="009C2D6C"/>
    <w:rsid w:val="00A00ED8"/>
    <w:rsid w:val="00A05C88"/>
    <w:rsid w:val="00A07DCB"/>
    <w:rsid w:val="00A10DF1"/>
    <w:rsid w:val="00A45E03"/>
    <w:rsid w:val="00AD0A74"/>
    <w:rsid w:val="00AF642A"/>
    <w:rsid w:val="00B0105B"/>
    <w:rsid w:val="00B34E55"/>
    <w:rsid w:val="00B518F1"/>
    <w:rsid w:val="00B56A0F"/>
    <w:rsid w:val="00BE551B"/>
    <w:rsid w:val="00C231BA"/>
    <w:rsid w:val="00C40DD6"/>
    <w:rsid w:val="00C464E0"/>
    <w:rsid w:val="00C708D5"/>
    <w:rsid w:val="00CC3324"/>
    <w:rsid w:val="00CE2F7A"/>
    <w:rsid w:val="00CF6BA7"/>
    <w:rsid w:val="00D0731C"/>
    <w:rsid w:val="00D2122F"/>
    <w:rsid w:val="00D2217A"/>
    <w:rsid w:val="00D22E18"/>
    <w:rsid w:val="00D41749"/>
    <w:rsid w:val="00D65AF0"/>
    <w:rsid w:val="00D70BAE"/>
    <w:rsid w:val="00D751BB"/>
    <w:rsid w:val="00DD59F1"/>
    <w:rsid w:val="00DE0F66"/>
    <w:rsid w:val="00E46A2C"/>
    <w:rsid w:val="00E91171"/>
    <w:rsid w:val="00EC2995"/>
    <w:rsid w:val="00EE37C9"/>
    <w:rsid w:val="00F27E9D"/>
    <w:rsid w:val="00F332F5"/>
    <w:rsid w:val="00F61425"/>
    <w:rsid w:val="00F64959"/>
    <w:rsid w:val="00F850AE"/>
    <w:rsid w:val="00FC705B"/>
    <w:rsid w:val="00FE60B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063B8F"/>
  <w15:chartTrackingRefBased/>
  <w15:docId w15:val="{21010232-A857-4826-BDD3-4D35886B75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D5CB6"/>
    <w:pPr>
      <w:spacing w:after="0" w:line="480" w:lineRule="auto"/>
      <w:ind w:firstLine="720"/>
    </w:pPr>
    <w:rPr>
      <w:rFonts w:ascii="Arial" w:eastAsia="Arial" w:hAnsi="Arial" w:cs="Arial"/>
      <w:sz w:val="22"/>
      <w:szCs w:val="22"/>
    </w:rPr>
  </w:style>
  <w:style w:type="paragraph" w:styleId="1">
    <w:name w:val="heading 1"/>
    <w:basedOn w:val="a"/>
    <w:next w:val="a"/>
    <w:link w:val="10"/>
    <w:uiPriority w:val="9"/>
    <w:qFormat/>
    <w:rsid w:val="0022744D"/>
    <w:pPr>
      <w:keepNext/>
      <w:keepLines/>
      <w:ind w:firstLine="0"/>
      <w:jc w:val="center"/>
      <w:outlineLvl w:val="0"/>
    </w:pPr>
    <w:rPr>
      <w:b/>
      <w:bCs/>
    </w:rPr>
  </w:style>
  <w:style w:type="paragraph" w:styleId="2">
    <w:name w:val="heading 2"/>
    <w:basedOn w:val="a"/>
    <w:next w:val="a"/>
    <w:link w:val="20"/>
    <w:uiPriority w:val="9"/>
    <w:unhideWhenUsed/>
    <w:qFormat/>
    <w:rsid w:val="0022744D"/>
    <w:pPr>
      <w:keepNext/>
      <w:keepLines/>
      <w:ind w:firstLine="0"/>
      <w:outlineLvl w:val="1"/>
    </w:pPr>
    <w:rPr>
      <w:b/>
      <w:bCs/>
    </w:rPr>
  </w:style>
  <w:style w:type="paragraph" w:styleId="3">
    <w:name w:val="heading 3"/>
    <w:basedOn w:val="a"/>
    <w:next w:val="a"/>
    <w:link w:val="30"/>
    <w:uiPriority w:val="9"/>
    <w:unhideWhenUsed/>
    <w:qFormat/>
    <w:rsid w:val="0022744D"/>
    <w:pPr>
      <w:keepNext/>
      <w:keepLines/>
      <w:ind w:firstLine="0"/>
      <w:outlineLvl w:val="2"/>
    </w:pPr>
    <w:rPr>
      <w:b/>
      <w:bCs/>
      <w:i/>
      <w:iCs/>
    </w:rPr>
  </w:style>
  <w:style w:type="paragraph" w:styleId="4">
    <w:name w:val="heading 4"/>
    <w:basedOn w:val="a"/>
    <w:next w:val="a"/>
    <w:link w:val="40"/>
    <w:uiPriority w:val="9"/>
    <w:unhideWhenUsed/>
    <w:qFormat/>
    <w:rsid w:val="0022744D"/>
    <w:pPr>
      <w:keepNext/>
      <w:keepLines/>
      <w:outlineLvl w:val="3"/>
    </w:pPr>
    <w:rPr>
      <w:b/>
      <w:bCs/>
    </w:rPr>
  </w:style>
  <w:style w:type="paragraph" w:styleId="5">
    <w:name w:val="heading 5"/>
    <w:basedOn w:val="a"/>
    <w:next w:val="a"/>
    <w:link w:val="50"/>
    <w:uiPriority w:val="9"/>
    <w:unhideWhenUsed/>
    <w:qFormat/>
    <w:rsid w:val="0022744D"/>
    <w:pPr>
      <w:keepNext/>
      <w:keepLines/>
      <w:outlineLvl w:val="4"/>
    </w:pPr>
    <w:rPr>
      <w:b/>
      <w:bCs/>
      <w:i/>
      <w:iCs/>
    </w:rPr>
  </w:style>
  <w:style w:type="paragraph" w:styleId="6">
    <w:name w:val="heading 6"/>
    <w:basedOn w:val="a"/>
    <w:next w:val="a"/>
    <w:link w:val="60"/>
    <w:uiPriority w:val="9"/>
    <w:semiHidden/>
    <w:unhideWhenUsed/>
    <w:qFormat/>
    <w:rsid w:val="007D263A"/>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D263A"/>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D263A"/>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D263A"/>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qFormat/>
    <w:rsid w:val="0022744D"/>
    <w:rPr>
      <w:rFonts w:ascii="Arial" w:eastAsia="Arial" w:hAnsi="Arial" w:cs="Arial"/>
      <w:b/>
      <w:bCs/>
      <w:sz w:val="22"/>
      <w:szCs w:val="22"/>
    </w:rPr>
  </w:style>
  <w:style w:type="character" w:customStyle="1" w:styleId="20">
    <w:name w:val="标题 2 字符"/>
    <w:basedOn w:val="a0"/>
    <w:link w:val="2"/>
    <w:uiPriority w:val="9"/>
    <w:rsid w:val="0022744D"/>
    <w:rPr>
      <w:rFonts w:ascii="Arial" w:eastAsia="Arial" w:hAnsi="Arial" w:cs="Arial"/>
      <w:b/>
      <w:bCs/>
      <w:sz w:val="22"/>
      <w:szCs w:val="22"/>
    </w:rPr>
  </w:style>
  <w:style w:type="character" w:customStyle="1" w:styleId="30">
    <w:name w:val="标题 3 字符"/>
    <w:basedOn w:val="a0"/>
    <w:link w:val="3"/>
    <w:uiPriority w:val="9"/>
    <w:rsid w:val="0022744D"/>
    <w:rPr>
      <w:rFonts w:ascii="Arial" w:eastAsia="Arial" w:hAnsi="Arial" w:cs="Arial"/>
      <w:b/>
      <w:bCs/>
      <w:i/>
      <w:iCs/>
      <w:sz w:val="22"/>
      <w:szCs w:val="22"/>
    </w:rPr>
  </w:style>
  <w:style w:type="character" w:customStyle="1" w:styleId="40">
    <w:name w:val="标题 4 字符"/>
    <w:basedOn w:val="a0"/>
    <w:link w:val="4"/>
    <w:uiPriority w:val="9"/>
    <w:qFormat/>
    <w:rsid w:val="0022744D"/>
    <w:rPr>
      <w:rFonts w:ascii="Arial" w:eastAsia="Arial" w:hAnsi="Arial" w:cs="Arial"/>
      <w:b/>
      <w:bCs/>
      <w:sz w:val="22"/>
      <w:szCs w:val="22"/>
    </w:rPr>
  </w:style>
  <w:style w:type="character" w:customStyle="1" w:styleId="50">
    <w:name w:val="标题 5 字符"/>
    <w:basedOn w:val="a0"/>
    <w:link w:val="5"/>
    <w:uiPriority w:val="9"/>
    <w:rsid w:val="0022744D"/>
    <w:rPr>
      <w:rFonts w:ascii="Arial" w:eastAsia="Arial" w:hAnsi="Arial" w:cs="Arial"/>
      <w:b/>
      <w:bCs/>
      <w:i/>
      <w:iCs/>
      <w:sz w:val="22"/>
      <w:szCs w:val="22"/>
    </w:rPr>
  </w:style>
  <w:style w:type="character" w:customStyle="1" w:styleId="60">
    <w:name w:val="标题 6 字符"/>
    <w:basedOn w:val="a0"/>
    <w:link w:val="6"/>
    <w:uiPriority w:val="9"/>
    <w:semiHidden/>
    <w:qFormat/>
    <w:rsid w:val="007D263A"/>
    <w:rPr>
      <w:rFonts w:eastAsiaTheme="majorEastAsia" w:cstheme="majorBidi"/>
      <w:i/>
      <w:iCs/>
      <w:color w:val="595959" w:themeColor="text1" w:themeTint="A6"/>
    </w:rPr>
  </w:style>
  <w:style w:type="character" w:customStyle="1" w:styleId="70">
    <w:name w:val="标题 7 字符"/>
    <w:basedOn w:val="a0"/>
    <w:link w:val="7"/>
    <w:uiPriority w:val="9"/>
    <w:semiHidden/>
    <w:qFormat/>
    <w:rsid w:val="007D263A"/>
    <w:rPr>
      <w:rFonts w:eastAsiaTheme="majorEastAsia" w:cstheme="majorBidi"/>
      <w:color w:val="595959" w:themeColor="text1" w:themeTint="A6"/>
    </w:rPr>
  </w:style>
  <w:style w:type="character" w:customStyle="1" w:styleId="80">
    <w:name w:val="标题 8 字符"/>
    <w:basedOn w:val="a0"/>
    <w:link w:val="8"/>
    <w:uiPriority w:val="9"/>
    <w:semiHidden/>
    <w:qFormat/>
    <w:rsid w:val="007D263A"/>
    <w:rPr>
      <w:rFonts w:eastAsiaTheme="majorEastAsia" w:cstheme="majorBidi"/>
      <w:i/>
      <w:iCs/>
      <w:color w:val="272727" w:themeColor="text1" w:themeTint="D8"/>
    </w:rPr>
  </w:style>
  <w:style w:type="character" w:customStyle="1" w:styleId="90">
    <w:name w:val="标题 9 字符"/>
    <w:basedOn w:val="a0"/>
    <w:link w:val="9"/>
    <w:uiPriority w:val="9"/>
    <w:semiHidden/>
    <w:rsid w:val="007D263A"/>
    <w:rPr>
      <w:rFonts w:eastAsiaTheme="majorEastAsia" w:cstheme="majorBidi"/>
      <w:color w:val="272727" w:themeColor="text1" w:themeTint="D8"/>
    </w:rPr>
  </w:style>
  <w:style w:type="paragraph" w:styleId="a3">
    <w:name w:val="Title"/>
    <w:basedOn w:val="a"/>
    <w:next w:val="a"/>
    <w:link w:val="a4"/>
    <w:uiPriority w:val="10"/>
    <w:qFormat/>
    <w:rsid w:val="007D26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7D263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D263A"/>
    <w:pPr>
      <w:numPr>
        <w:ilvl w:val="1"/>
      </w:numPr>
      <w:ind w:firstLine="720"/>
    </w:pPr>
    <w:rPr>
      <w:rFonts w:eastAsiaTheme="majorEastAsia" w:cstheme="majorBidi"/>
      <w:color w:val="595959" w:themeColor="text1" w:themeTint="A6"/>
      <w:spacing w:val="15"/>
      <w:sz w:val="28"/>
      <w:szCs w:val="28"/>
    </w:rPr>
  </w:style>
  <w:style w:type="character" w:customStyle="1" w:styleId="a6">
    <w:name w:val="副标题 字符"/>
    <w:basedOn w:val="a0"/>
    <w:link w:val="a5"/>
    <w:uiPriority w:val="11"/>
    <w:qFormat/>
    <w:rsid w:val="007D263A"/>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7D263A"/>
    <w:pPr>
      <w:spacing w:before="160"/>
      <w:jc w:val="center"/>
    </w:pPr>
    <w:rPr>
      <w:i/>
      <w:iCs/>
      <w:color w:val="404040" w:themeColor="text1" w:themeTint="BF"/>
    </w:rPr>
  </w:style>
  <w:style w:type="character" w:customStyle="1" w:styleId="a8">
    <w:name w:val="引用 字符"/>
    <w:basedOn w:val="a0"/>
    <w:link w:val="a7"/>
    <w:uiPriority w:val="29"/>
    <w:qFormat/>
    <w:rsid w:val="007D263A"/>
    <w:rPr>
      <w:i/>
      <w:iCs/>
      <w:color w:val="404040" w:themeColor="text1" w:themeTint="BF"/>
    </w:rPr>
  </w:style>
  <w:style w:type="paragraph" w:styleId="a9">
    <w:name w:val="List Paragraph"/>
    <w:basedOn w:val="a"/>
    <w:uiPriority w:val="34"/>
    <w:qFormat/>
    <w:rsid w:val="007D263A"/>
    <w:pPr>
      <w:ind w:left="720"/>
      <w:contextualSpacing/>
    </w:pPr>
  </w:style>
  <w:style w:type="character" w:styleId="aa">
    <w:name w:val="Intense Emphasis"/>
    <w:basedOn w:val="a0"/>
    <w:uiPriority w:val="21"/>
    <w:qFormat/>
    <w:rsid w:val="007D263A"/>
    <w:rPr>
      <w:i/>
      <w:iCs/>
      <w:color w:val="0F4761" w:themeColor="accent1" w:themeShade="BF"/>
    </w:rPr>
  </w:style>
  <w:style w:type="paragraph" w:styleId="ab">
    <w:name w:val="Intense Quote"/>
    <w:basedOn w:val="a"/>
    <w:next w:val="a"/>
    <w:link w:val="ac"/>
    <w:uiPriority w:val="30"/>
    <w:qFormat/>
    <w:rsid w:val="007D263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7D263A"/>
    <w:rPr>
      <w:i/>
      <w:iCs/>
      <w:color w:val="0F4761" w:themeColor="accent1" w:themeShade="BF"/>
    </w:rPr>
  </w:style>
  <w:style w:type="character" w:styleId="ad">
    <w:name w:val="Intense Reference"/>
    <w:basedOn w:val="a0"/>
    <w:uiPriority w:val="32"/>
    <w:qFormat/>
    <w:rsid w:val="007D263A"/>
    <w:rPr>
      <w:b/>
      <w:bCs/>
      <w:smallCaps/>
      <w:color w:val="0F4761" w:themeColor="accent1" w:themeShade="BF"/>
      <w:spacing w:val="5"/>
    </w:rPr>
  </w:style>
  <w:style w:type="paragraph" w:styleId="ae">
    <w:name w:val="Normal (Web)"/>
    <w:basedOn w:val="a"/>
    <w:uiPriority w:val="99"/>
    <w:semiHidden/>
    <w:unhideWhenUsed/>
    <w:rsid w:val="003D5CB6"/>
    <w:pPr>
      <w:spacing w:beforeAutospacing="1" w:afterAutospacing="1"/>
    </w:pPr>
    <w:rPr>
      <w:rFonts w:cs="Times New Roman"/>
      <w:kern w:val="0"/>
      <w:szCs w:val="24"/>
      <w:lang w:val="en-US"/>
    </w:rPr>
  </w:style>
  <w:style w:type="paragraph" w:customStyle="1" w:styleId="EndNoteBibliographyTitle">
    <w:name w:val="EndNote Bibliography Title"/>
    <w:basedOn w:val="a"/>
    <w:link w:val="EndNoteBibliographyTitle0"/>
    <w:rsid w:val="003D5CB6"/>
    <w:pPr>
      <w:jc w:val="center"/>
    </w:pPr>
    <w:rPr>
      <w:rFonts w:ascii="Calibri" w:hAnsi="Calibri" w:cs="Calibri"/>
      <w:szCs w:val="24"/>
    </w:rPr>
  </w:style>
  <w:style w:type="character" w:customStyle="1" w:styleId="EndNoteBibliographyTitle0">
    <w:name w:val="EndNote Bibliography Title 字符"/>
    <w:basedOn w:val="a0"/>
    <w:link w:val="EndNoteBibliographyTitle"/>
    <w:rsid w:val="003D5CB6"/>
    <w:rPr>
      <w:rFonts w:ascii="Calibri" w:eastAsia="Arial" w:hAnsi="Calibri" w:cs="Calibri"/>
      <w:sz w:val="22"/>
    </w:rPr>
  </w:style>
  <w:style w:type="paragraph" w:customStyle="1" w:styleId="EndNoteBibliography">
    <w:name w:val="EndNote Bibliography"/>
    <w:basedOn w:val="a"/>
    <w:link w:val="EndNoteBibliography0"/>
    <w:rsid w:val="003D5CB6"/>
    <w:pPr>
      <w:spacing w:line="240" w:lineRule="auto"/>
    </w:pPr>
    <w:rPr>
      <w:rFonts w:ascii="Calibri" w:hAnsi="Calibri" w:cs="Calibri"/>
      <w:szCs w:val="24"/>
    </w:rPr>
  </w:style>
  <w:style w:type="character" w:customStyle="1" w:styleId="EndNoteBibliography0">
    <w:name w:val="EndNote Bibliography 字符"/>
    <w:basedOn w:val="a0"/>
    <w:link w:val="EndNoteBibliography"/>
    <w:rsid w:val="003D5CB6"/>
    <w:rPr>
      <w:rFonts w:ascii="Calibri" w:eastAsia="Arial" w:hAnsi="Calibri" w:cs="Calibri"/>
      <w:sz w:val="22"/>
    </w:rPr>
  </w:style>
  <w:style w:type="paragraph" w:customStyle="1" w:styleId="af">
    <w:name w:val="引文"/>
    <w:basedOn w:val="a"/>
    <w:link w:val="af0"/>
    <w:qFormat/>
    <w:rsid w:val="003D5CB6"/>
    <w:pPr>
      <w:spacing w:line="360" w:lineRule="auto"/>
      <w:ind w:left="420" w:right="420"/>
    </w:pPr>
    <w:rPr>
      <w:rFonts w:cstheme="minorBidi"/>
      <w:i/>
      <w:szCs w:val="24"/>
    </w:rPr>
  </w:style>
  <w:style w:type="character" w:customStyle="1" w:styleId="af0">
    <w:name w:val="引文 字符"/>
    <w:basedOn w:val="a0"/>
    <w:link w:val="af"/>
    <w:rsid w:val="003D5CB6"/>
    <w:rPr>
      <w:rFonts w:ascii="Arial" w:eastAsia="Arial" w:hAnsi="Arial"/>
      <w:i/>
      <w:sz w:val="22"/>
    </w:rPr>
  </w:style>
  <w:style w:type="paragraph" w:styleId="af1">
    <w:name w:val="header"/>
    <w:basedOn w:val="a"/>
    <w:link w:val="af2"/>
    <w:uiPriority w:val="99"/>
    <w:unhideWhenUsed/>
    <w:rsid w:val="003D5CB6"/>
    <w:pPr>
      <w:tabs>
        <w:tab w:val="center" w:pos="4153"/>
        <w:tab w:val="right" w:pos="8306"/>
      </w:tabs>
      <w:spacing w:line="240" w:lineRule="auto"/>
    </w:pPr>
    <w:rPr>
      <w:rFonts w:cstheme="minorBidi"/>
      <w:szCs w:val="24"/>
    </w:rPr>
  </w:style>
  <w:style w:type="character" w:customStyle="1" w:styleId="af2">
    <w:name w:val="页眉 字符"/>
    <w:basedOn w:val="a0"/>
    <w:link w:val="af1"/>
    <w:uiPriority w:val="99"/>
    <w:rsid w:val="003D5CB6"/>
    <w:rPr>
      <w:rFonts w:ascii="Arial" w:eastAsia="Arial" w:hAnsi="Arial"/>
      <w:sz w:val="22"/>
    </w:rPr>
  </w:style>
  <w:style w:type="paragraph" w:styleId="af3">
    <w:name w:val="footer"/>
    <w:basedOn w:val="a"/>
    <w:link w:val="af4"/>
    <w:uiPriority w:val="99"/>
    <w:unhideWhenUsed/>
    <w:rsid w:val="003D5CB6"/>
    <w:pPr>
      <w:tabs>
        <w:tab w:val="center" w:pos="4153"/>
        <w:tab w:val="right" w:pos="8306"/>
      </w:tabs>
      <w:spacing w:line="240" w:lineRule="auto"/>
    </w:pPr>
    <w:rPr>
      <w:rFonts w:cstheme="minorBidi"/>
      <w:szCs w:val="24"/>
    </w:rPr>
  </w:style>
  <w:style w:type="character" w:customStyle="1" w:styleId="af4">
    <w:name w:val="页脚 字符"/>
    <w:basedOn w:val="a0"/>
    <w:link w:val="af3"/>
    <w:uiPriority w:val="99"/>
    <w:rsid w:val="003D5CB6"/>
    <w:rPr>
      <w:rFonts w:ascii="Arial" w:eastAsia="Arial" w:hAnsi="Arial"/>
      <w:sz w:val="22"/>
    </w:rPr>
  </w:style>
  <w:style w:type="character" w:styleId="af5">
    <w:name w:val="Hyperlink"/>
    <w:basedOn w:val="a0"/>
    <w:uiPriority w:val="99"/>
    <w:unhideWhenUsed/>
    <w:rsid w:val="003D5CB6"/>
    <w:rPr>
      <w:color w:val="467886" w:themeColor="hyperlink"/>
      <w:u w:val="single"/>
    </w:rPr>
  </w:style>
  <w:style w:type="character" w:styleId="af6">
    <w:name w:val="Unresolved Mention"/>
    <w:basedOn w:val="a0"/>
    <w:uiPriority w:val="99"/>
    <w:semiHidden/>
    <w:unhideWhenUsed/>
    <w:rsid w:val="003D5CB6"/>
    <w:rPr>
      <w:color w:val="605E5C"/>
      <w:shd w:val="clear" w:color="auto" w:fill="E1DFDD"/>
    </w:rPr>
  </w:style>
  <w:style w:type="character" w:styleId="af7">
    <w:name w:val="annotation reference"/>
    <w:basedOn w:val="a0"/>
    <w:uiPriority w:val="99"/>
    <w:semiHidden/>
    <w:unhideWhenUsed/>
    <w:rsid w:val="003D5CB6"/>
    <w:rPr>
      <w:sz w:val="21"/>
      <w:szCs w:val="21"/>
    </w:rPr>
  </w:style>
  <w:style w:type="paragraph" w:styleId="af8">
    <w:name w:val="annotation text"/>
    <w:basedOn w:val="a"/>
    <w:link w:val="af9"/>
    <w:uiPriority w:val="99"/>
    <w:unhideWhenUsed/>
    <w:rsid w:val="003D5CB6"/>
    <w:rPr>
      <w:rFonts w:cstheme="minorBidi"/>
      <w:szCs w:val="24"/>
    </w:rPr>
  </w:style>
  <w:style w:type="character" w:customStyle="1" w:styleId="af9">
    <w:name w:val="批注文字 字符"/>
    <w:basedOn w:val="a0"/>
    <w:link w:val="af8"/>
    <w:uiPriority w:val="99"/>
    <w:rsid w:val="003D5CB6"/>
    <w:rPr>
      <w:rFonts w:ascii="Arial" w:eastAsia="Arial" w:hAnsi="Arial"/>
      <w:sz w:val="22"/>
    </w:rPr>
  </w:style>
  <w:style w:type="paragraph" w:styleId="afa">
    <w:name w:val="annotation subject"/>
    <w:basedOn w:val="af8"/>
    <w:next w:val="af8"/>
    <w:link w:val="afb"/>
    <w:uiPriority w:val="99"/>
    <w:semiHidden/>
    <w:unhideWhenUsed/>
    <w:rsid w:val="003D5CB6"/>
    <w:rPr>
      <w:b/>
      <w:bCs/>
    </w:rPr>
  </w:style>
  <w:style w:type="character" w:customStyle="1" w:styleId="afb">
    <w:name w:val="批注主题 字符"/>
    <w:basedOn w:val="af9"/>
    <w:link w:val="afa"/>
    <w:uiPriority w:val="99"/>
    <w:semiHidden/>
    <w:rsid w:val="003D5CB6"/>
    <w:rPr>
      <w:rFonts w:ascii="Arial" w:eastAsia="Arial" w:hAnsi="Arial"/>
      <w:b/>
      <w:bCs/>
      <w:sz w:val="22"/>
    </w:rPr>
  </w:style>
  <w:style w:type="table" w:styleId="afc">
    <w:name w:val="Table Grid"/>
    <w:basedOn w:val="a1"/>
    <w:uiPriority w:val="39"/>
    <w:rsid w:val="003D5CB6"/>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FollowedHyperlink"/>
    <w:basedOn w:val="a0"/>
    <w:uiPriority w:val="99"/>
    <w:semiHidden/>
    <w:unhideWhenUsed/>
    <w:rsid w:val="003D5CB6"/>
    <w:rPr>
      <w:color w:val="96607D" w:themeColor="followedHyperlink"/>
      <w:u w:val="single"/>
    </w:rPr>
  </w:style>
  <w:style w:type="paragraph" w:styleId="afe">
    <w:name w:val="Revision"/>
    <w:hidden/>
    <w:uiPriority w:val="99"/>
    <w:semiHidden/>
    <w:rsid w:val="003D5CB6"/>
    <w:pPr>
      <w:spacing w:after="0" w:line="240" w:lineRule="auto"/>
    </w:pPr>
    <w:rPr>
      <w:rFonts w:ascii="Arial" w:eastAsia="Arial" w:hAnsi="Arial"/>
      <w:sz w:val="22"/>
    </w:rPr>
  </w:style>
  <w:style w:type="character" w:styleId="aff">
    <w:name w:val="page number"/>
    <w:basedOn w:val="a0"/>
    <w:uiPriority w:val="99"/>
    <w:semiHidden/>
    <w:unhideWhenUsed/>
    <w:rsid w:val="003D5CB6"/>
  </w:style>
  <w:style w:type="paragraph" w:styleId="aff0">
    <w:name w:val="endnote text"/>
    <w:basedOn w:val="a"/>
    <w:link w:val="aff1"/>
    <w:uiPriority w:val="99"/>
    <w:semiHidden/>
    <w:unhideWhenUsed/>
    <w:rsid w:val="003D5CB6"/>
    <w:pPr>
      <w:spacing w:line="240" w:lineRule="auto"/>
    </w:pPr>
    <w:rPr>
      <w:rFonts w:cstheme="minorBidi"/>
      <w:kern w:val="0"/>
      <w:sz w:val="20"/>
      <w:szCs w:val="20"/>
      <w14:ligatures w14:val="none"/>
    </w:rPr>
  </w:style>
  <w:style w:type="character" w:customStyle="1" w:styleId="aff1">
    <w:name w:val="尾注文本 字符"/>
    <w:basedOn w:val="a0"/>
    <w:link w:val="aff0"/>
    <w:uiPriority w:val="99"/>
    <w:semiHidden/>
    <w:rsid w:val="003D5CB6"/>
    <w:rPr>
      <w:rFonts w:ascii="Arial" w:eastAsia="Arial" w:hAnsi="Arial"/>
      <w:kern w:val="0"/>
      <w:sz w:val="20"/>
      <w:szCs w:val="20"/>
      <w14:ligatures w14:val="none"/>
    </w:rPr>
  </w:style>
  <w:style w:type="character" w:styleId="aff2">
    <w:name w:val="endnote reference"/>
    <w:basedOn w:val="a0"/>
    <w:uiPriority w:val="99"/>
    <w:semiHidden/>
    <w:unhideWhenUsed/>
    <w:rsid w:val="003D5CB6"/>
    <w:rPr>
      <w:vertAlign w:val="superscript"/>
    </w:rPr>
  </w:style>
  <w:style w:type="paragraph" w:styleId="aff3">
    <w:name w:val="footnote text"/>
    <w:basedOn w:val="a"/>
    <w:link w:val="aff4"/>
    <w:uiPriority w:val="99"/>
    <w:semiHidden/>
    <w:unhideWhenUsed/>
    <w:rsid w:val="003D5CB6"/>
    <w:pPr>
      <w:spacing w:line="240" w:lineRule="auto"/>
    </w:pPr>
    <w:rPr>
      <w:rFonts w:cstheme="minorBidi"/>
      <w:kern w:val="0"/>
      <w:sz w:val="20"/>
      <w:szCs w:val="20"/>
      <w14:ligatures w14:val="none"/>
    </w:rPr>
  </w:style>
  <w:style w:type="character" w:customStyle="1" w:styleId="aff4">
    <w:name w:val="脚注文本 字符"/>
    <w:basedOn w:val="a0"/>
    <w:link w:val="aff3"/>
    <w:uiPriority w:val="99"/>
    <w:semiHidden/>
    <w:rsid w:val="003D5CB6"/>
    <w:rPr>
      <w:rFonts w:ascii="Arial" w:eastAsia="Arial" w:hAnsi="Arial"/>
      <w:kern w:val="0"/>
      <w:sz w:val="20"/>
      <w:szCs w:val="20"/>
      <w14:ligatures w14:val="none"/>
    </w:rPr>
  </w:style>
  <w:style w:type="character" w:styleId="aff5">
    <w:name w:val="footnote reference"/>
    <w:basedOn w:val="a0"/>
    <w:uiPriority w:val="99"/>
    <w:semiHidden/>
    <w:unhideWhenUsed/>
    <w:rsid w:val="003D5CB6"/>
    <w:rPr>
      <w:vertAlign w:val="superscript"/>
    </w:rPr>
  </w:style>
  <w:style w:type="character" w:customStyle="1" w:styleId="EndNoteBibliographyTitleChar">
    <w:name w:val="EndNote Bibliography Title Char"/>
    <w:basedOn w:val="a0"/>
    <w:rsid w:val="003D5CB6"/>
    <w:rPr>
      <w:rFonts w:ascii="DengXian" w:eastAsia="DengXian" w:hAnsi="DengXian" w:cs="Arial"/>
      <w:noProof/>
      <w:sz w:val="20"/>
      <w:lang w:val="en-GB"/>
    </w:rPr>
  </w:style>
  <w:style w:type="character" w:customStyle="1" w:styleId="EndNoteBibliographyChar">
    <w:name w:val="EndNote Bibliography Char"/>
    <w:basedOn w:val="a0"/>
    <w:rsid w:val="003D5CB6"/>
    <w:rPr>
      <w:rFonts w:ascii="DengXian" w:eastAsia="DengXian" w:hAnsi="DengXian" w:cs="Arial"/>
      <w:noProof/>
      <w:sz w:val="20"/>
      <w:lang w:val="en-GB"/>
    </w:rPr>
  </w:style>
  <w:style w:type="character" w:styleId="aff6">
    <w:name w:val="line number"/>
    <w:basedOn w:val="a0"/>
    <w:uiPriority w:val="99"/>
    <w:semiHidden/>
    <w:unhideWhenUsed/>
    <w:rsid w:val="003D5CB6"/>
  </w:style>
  <w:style w:type="character" w:styleId="aff7">
    <w:name w:val="Strong"/>
    <w:basedOn w:val="a0"/>
    <w:uiPriority w:val="22"/>
    <w:qFormat/>
    <w:rsid w:val="003D5CB6"/>
    <w:rPr>
      <w:b/>
      <w:bCs/>
    </w:rPr>
  </w:style>
  <w:style w:type="character" w:customStyle="1" w:styleId="katex-mathml">
    <w:name w:val="katex-mathml"/>
    <w:basedOn w:val="a0"/>
    <w:rsid w:val="003D5CB6"/>
  </w:style>
  <w:style w:type="character" w:customStyle="1" w:styleId="mord">
    <w:name w:val="mord"/>
    <w:basedOn w:val="a0"/>
    <w:rsid w:val="003D5CB6"/>
  </w:style>
  <w:style w:type="character" w:styleId="aff8">
    <w:name w:val="Emphasis"/>
    <w:basedOn w:val="a0"/>
    <w:uiPriority w:val="20"/>
    <w:qFormat/>
    <w:rsid w:val="003D5CB6"/>
    <w:rPr>
      <w:i/>
      <w:iCs/>
    </w:rPr>
  </w:style>
  <w:style w:type="paragraph" w:customStyle="1" w:styleId="Reference">
    <w:name w:val="Reference"/>
    <w:basedOn w:val="EndNoteBibliography"/>
    <w:link w:val="ReferenceChar"/>
    <w:qFormat/>
    <w:rsid w:val="003D5CB6"/>
    <w:pPr>
      <w:widowControl w:val="0"/>
      <w:spacing w:line="480" w:lineRule="auto"/>
      <w:ind w:left="300" w:hangingChars="300" w:hanging="300"/>
    </w:pPr>
    <w:rPr>
      <w:rFonts w:ascii="Arial" w:hAnsi="Arial" w:cs="Arial"/>
      <w:bCs/>
      <w:noProof/>
      <w:sz w:val="20"/>
      <w:szCs w:val="22"/>
    </w:rPr>
  </w:style>
  <w:style w:type="character" w:customStyle="1" w:styleId="ReferenceChar">
    <w:name w:val="Reference Char"/>
    <w:basedOn w:val="EndNoteBibliographyChar"/>
    <w:link w:val="Reference"/>
    <w:rsid w:val="003D5CB6"/>
    <w:rPr>
      <w:rFonts w:ascii="Arial" w:eastAsia="Arial" w:hAnsi="Arial" w:cs="Arial"/>
      <w:bCs/>
      <w:noProof/>
      <w:sz w:val="20"/>
      <w:szCs w:val="22"/>
      <w:lang w:val="en-GB"/>
    </w:rPr>
  </w:style>
  <w:style w:type="paragraph" w:styleId="HTML">
    <w:name w:val="HTML Preformatted"/>
    <w:basedOn w:val="a"/>
    <w:link w:val="HTML0"/>
    <w:uiPriority w:val="99"/>
    <w:semiHidden/>
    <w:unhideWhenUsed/>
    <w:rsid w:val="003D5CB6"/>
    <w:pPr>
      <w:widowControl w:val="0"/>
    </w:pPr>
    <w:rPr>
      <w:rFonts w:ascii="Courier New" w:hAnsi="Courier New" w:cs="Courier New"/>
      <w:sz w:val="20"/>
      <w:szCs w:val="20"/>
    </w:rPr>
  </w:style>
  <w:style w:type="character" w:customStyle="1" w:styleId="HTML0">
    <w:name w:val="HTML 预设格式 字符"/>
    <w:basedOn w:val="a0"/>
    <w:link w:val="HTML"/>
    <w:uiPriority w:val="99"/>
    <w:semiHidden/>
    <w:rsid w:val="003D5CB6"/>
    <w:rPr>
      <w:rFonts w:ascii="Courier New" w:eastAsia="Arial" w:hAnsi="Courier New" w:cs="Courier New"/>
      <w:sz w:val="20"/>
      <w:szCs w:val="20"/>
    </w:rPr>
  </w:style>
  <w:style w:type="paragraph" w:styleId="aff9">
    <w:name w:val="No Spacing"/>
    <w:uiPriority w:val="1"/>
    <w:qFormat/>
    <w:rsid w:val="003D5CB6"/>
    <w:pPr>
      <w:widowControl w:val="0"/>
      <w:spacing w:after="0" w:line="240" w:lineRule="auto"/>
      <w:ind w:firstLine="720"/>
    </w:pPr>
    <w:rPr>
      <w:rFonts w:ascii="Arial" w:eastAsia="Arial" w:hAnsi="Arial" w:cs="Arial"/>
      <w:sz w:val="22"/>
      <w:szCs w:val="22"/>
    </w:rPr>
  </w:style>
  <w:style w:type="paragraph" w:customStyle="1" w:styleId="affa">
    <w:name w:val="参考文献"/>
    <w:basedOn w:val="EndNoteBibliography"/>
    <w:link w:val="affb"/>
    <w:qFormat/>
    <w:rsid w:val="003D5CB6"/>
    <w:pPr>
      <w:widowControl w:val="0"/>
      <w:spacing w:line="360" w:lineRule="auto"/>
      <w:ind w:left="720" w:hanging="720"/>
    </w:pPr>
    <w:rPr>
      <w:rFonts w:ascii="Arial" w:hAnsi="Arial" w:cs="Arial"/>
      <w:noProof/>
      <w:sz w:val="20"/>
      <w:szCs w:val="22"/>
    </w:rPr>
  </w:style>
  <w:style w:type="character" w:customStyle="1" w:styleId="affb">
    <w:name w:val="参考文献 字符"/>
    <w:basedOn w:val="EndNoteBibliographyChar"/>
    <w:link w:val="affa"/>
    <w:rsid w:val="003D5CB6"/>
    <w:rPr>
      <w:rFonts w:ascii="Arial" w:eastAsia="Arial" w:hAnsi="Arial" w:cs="Arial"/>
      <w:noProof/>
      <w:sz w:val="20"/>
      <w:szCs w:val="22"/>
      <w:lang w:val="en-GB"/>
    </w:rPr>
  </w:style>
  <w:style w:type="paragraph" w:customStyle="1" w:styleId="affc">
    <w:name w:val="表格"/>
    <w:basedOn w:val="1"/>
    <w:link w:val="affd"/>
    <w:qFormat/>
    <w:rsid w:val="0022744D"/>
    <w:pPr>
      <w:spacing w:line="360" w:lineRule="auto"/>
      <w:jc w:val="left"/>
    </w:pPr>
    <w:rPr>
      <w:b w:val="0"/>
    </w:rPr>
  </w:style>
  <w:style w:type="character" w:customStyle="1" w:styleId="affd">
    <w:name w:val="表格 字符"/>
    <w:basedOn w:val="10"/>
    <w:link w:val="affc"/>
    <w:rsid w:val="0022744D"/>
    <w:rPr>
      <w:rFonts w:ascii="Arial" w:eastAsia="Arial" w:hAnsi="Arial" w:cs="Arial"/>
      <w:b w:val="0"/>
      <w:bCs/>
      <w:sz w:val="22"/>
      <w:szCs w:val="22"/>
    </w:rPr>
  </w:style>
  <w:style w:type="character" w:customStyle="1" w:styleId="11">
    <w:name w:val="明显强调1"/>
    <w:basedOn w:val="a0"/>
    <w:uiPriority w:val="21"/>
    <w:qFormat/>
    <w:rsid w:val="007075D9"/>
    <w:rPr>
      <w:i/>
      <w:iCs/>
      <w:color w:val="0F4761" w:themeColor="accent1" w:themeShade="BF"/>
    </w:rPr>
  </w:style>
  <w:style w:type="character" w:customStyle="1" w:styleId="12">
    <w:name w:val="明显参考1"/>
    <w:basedOn w:val="a0"/>
    <w:uiPriority w:val="32"/>
    <w:qFormat/>
    <w:rsid w:val="007075D9"/>
    <w:rPr>
      <w:b/>
      <w:bCs/>
      <w:smallCaps/>
      <w:color w:val="0F4761" w:themeColor="accent1" w:themeShade="BF"/>
      <w:spacing w:val="5"/>
    </w:rPr>
  </w:style>
  <w:style w:type="numbering" w:customStyle="1" w:styleId="NoList1">
    <w:name w:val="No List1"/>
    <w:next w:val="a2"/>
    <w:uiPriority w:val="99"/>
    <w:semiHidden/>
    <w:unhideWhenUsed/>
    <w:rsid w:val="007075D9"/>
  </w:style>
  <w:style w:type="paragraph" w:styleId="affe">
    <w:name w:val="Body Text"/>
    <w:basedOn w:val="a"/>
    <w:link w:val="afff"/>
    <w:uiPriority w:val="1"/>
    <w:qFormat/>
    <w:rsid w:val="007075D9"/>
    <w:pPr>
      <w:widowControl w:val="0"/>
      <w:autoSpaceDE w:val="0"/>
      <w:autoSpaceDN w:val="0"/>
      <w:spacing w:line="240" w:lineRule="auto"/>
      <w:ind w:firstLine="0"/>
    </w:pPr>
    <w:rPr>
      <w:rFonts w:ascii="Calibri" w:eastAsia="Calibri" w:hAnsi="Calibri" w:cs="Calibri"/>
      <w:kern w:val="0"/>
      <w:sz w:val="24"/>
      <w:szCs w:val="24"/>
      <w:lang w:val="en-US" w:eastAsia="en-US"/>
    </w:rPr>
  </w:style>
  <w:style w:type="character" w:customStyle="1" w:styleId="afff">
    <w:name w:val="正文文本 字符"/>
    <w:basedOn w:val="a0"/>
    <w:link w:val="affe"/>
    <w:uiPriority w:val="1"/>
    <w:rsid w:val="007075D9"/>
    <w:rPr>
      <w:rFonts w:ascii="Calibri" w:eastAsia="Calibri" w:hAnsi="Calibri" w:cs="Calibri"/>
      <w:kern w:val="0"/>
      <w:lang w:val="en-US" w:eastAsia="en-US"/>
    </w:rPr>
  </w:style>
  <w:style w:type="paragraph" w:customStyle="1" w:styleId="TableParagraph">
    <w:name w:val="Table Paragraph"/>
    <w:basedOn w:val="a"/>
    <w:uiPriority w:val="1"/>
    <w:qFormat/>
    <w:rsid w:val="007075D9"/>
    <w:pPr>
      <w:widowControl w:val="0"/>
      <w:autoSpaceDE w:val="0"/>
      <w:autoSpaceDN w:val="0"/>
      <w:spacing w:line="241" w:lineRule="exact"/>
      <w:ind w:left="107" w:firstLine="0"/>
    </w:pPr>
    <w:rPr>
      <w:kern w:val="0"/>
      <w:lang w:val="en-US" w:eastAsia="en-US"/>
    </w:rPr>
  </w:style>
  <w:style w:type="paragraph" w:customStyle="1" w:styleId="msonormal0">
    <w:name w:val="msonormal"/>
    <w:basedOn w:val="a"/>
    <w:rsid w:val="007075D9"/>
    <w:pPr>
      <w:spacing w:before="100" w:beforeAutospacing="1" w:after="100" w:afterAutospacing="1" w:line="240" w:lineRule="auto"/>
      <w:ind w:firstLine="0"/>
    </w:pPr>
    <w:rPr>
      <w:rFonts w:ascii="Times New Roman" w:eastAsia="Times New Roman" w:hAnsi="Times New Roman" w:cs="Times New Roman"/>
      <w:kern w:val="0"/>
      <w:sz w:val="24"/>
      <w:szCs w:val="24"/>
    </w:rPr>
  </w:style>
  <w:style w:type="paragraph" w:customStyle="1" w:styleId="xl66">
    <w:name w:val="xl66"/>
    <w:basedOn w:val="a"/>
    <w:rsid w:val="007075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top"/>
    </w:pPr>
    <w:rPr>
      <w:rFonts w:eastAsia="Times New Roman"/>
      <w:kern w:val="0"/>
      <w:sz w:val="24"/>
      <w:szCs w:val="24"/>
    </w:rPr>
  </w:style>
  <w:style w:type="paragraph" w:customStyle="1" w:styleId="xl67">
    <w:name w:val="xl67"/>
    <w:basedOn w:val="a"/>
    <w:rsid w:val="007075D9"/>
    <w:pPr>
      <w:shd w:val="clear" w:color="000000" w:fill="FFFFFF"/>
      <w:spacing w:before="100" w:beforeAutospacing="1" w:after="100" w:afterAutospacing="1" w:line="240" w:lineRule="auto"/>
      <w:ind w:firstLine="0"/>
      <w:textAlignment w:val="top"/>
    </w:pPr>
    <w:rPr>
      <w:rFonts w:eastAsia="Times New Roman"/>
      <w:kern w:val="0"/>
      <w:sz w:val="24"/>
      <w:szCs w:val="24"/>
    </w:rPr>
  </w:style>
  <w:style w:type="paragraph" w:customStyle="1" w:styleId="xl68">
    <w:name w:val="xl68"/>
    <w:basedOn w:val="a"/>
    <w:rsid w:val="007075D9"/>
    <w:pPr>
      <w:shd w:val="clear" w:color="000000" w:fill="FFFFFF"/>
      <w:spacing w:before="100" w:beforeAutospacing="1" w:after="100" w:afterAutospacing="1" w:line="240" w:lineRule="auto"/>
      <w:ind w:firstLine="0"/>
      <w:textAlignment w:val="top"/>
    </w:pPr>
    <w:rPr>
      <w:rFonts w:ascii="Times New Roman" w:eastAsia="Times New Roman" w:hAnsi="Times New Roman" w:cs="Times New Roman"/>
      <w:kern w:val="0"/>
      <w:sz w:val="24"/>
      <w:szCs w:val="24"/>
    </w:rPr>
  </w:style>
  <w:style w:type="paragraph" w:customStyle="1" w:styleId="xl69">
    <w:name w:val="xl69"/>
    <w:basedOn w:val="a"/>
    <w:rsid w:val="007075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top"/>
    </w:pPr>
    <w:rPr>
      <w:rFonts w:eastAsia="Times New Roman"/>
      <w:kern w:val="0"/>
      <w:sz w:val="24"/>
      <w:szCs w:val="24"/>
    </w:rPr>
  </w:style>
  <w:style w:type="paragraph" w:customStyle="1" w:styleId="xl70">
    <w:name w:val="xl70"/>
    <w:basedOn w:val="a"/>
    <w:rsid w:val="007075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top"/>
    </w:pPr>
    <w:rPr>
      <w:rFonts w:eastAsia="Times New Roman"/>
      <w:kern w:val="0"/>
      <w:sz w:val="24"/>
      <w:szCs w:val="24"/>
    </w:rPr>
  </w:style>
  <w:style w:type="paragraph" w:customStyle="1" w:styleId="xl71">
    <w:name w:val="xl71"/>
    <w:basedOn w:val="a"/>
    <w:rsid w:val="007075D9"/>
    <w:pPr>
      <w:shd w:val="clear" w:color="000000" w:fill="FFFFFF"/>
      <w:spacing w:before="100" w:beforeAutospacing="1" w:after="100" w:afterAutospacing="1" w:line="240" w:lineRule="auto"/>
      <w:ind w:firstLine="0"/>
      <w:textAlignment w:val="top"/>
    </w:pPr>
    <w:rPr>
      <w:rFonts w:eastAsia="Times New Roman"/>
      <w:kern w:val="0"/>
      <w:sz w:val="24"/>
      <w:szCs w:val="24"/>
    </w:rPr>
  </w:style>
  <w:style w:type="paragraph" w:customStyle="1" w:styleId="xl72">
    <w:name w:val="xl72"/>
    <w:basedOn w:val="a"/>
    <w:rsid w:val="007075D9"/>
    <w:pPr>
      <w:shd w:val="clear" w:color="000000" w:fill="FFFFFF"/>
      <w:spacing w:before="100" w:beforeAutospacing="1" w:after="100" w:afterAutospacing="1" w:line="240" w:lineRule="auto"/>
      <w:ind w:firstLine="0"/>
      <w:textAlignment w:val="top"/>
    </w:pPr>
    <w:rPr>
      <w:rFonts w:eastAsia="Times New Roman"/>
      <w:kern w:val="0"/>
      <w:sz w:val="24"/>
      <w:szCs w:val="24"/>
    </w:rPr>
  </w:style>
  <w:style w:type="paragraph" w:customStyle="1" w:styleId="xl73">
    <w:name w:val="xl73"/>
    <w:basedOn w:val="a"/>
    <w:rsid w:val="007075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pPr>
    <w:rPr>
      <w:rFonts w:eastAsia="Times New Roman"/>
      <w:kern w:val="0"/>
      <w:sz w:val="24"/>
      <w:szCs w:val="24"/>
    </w:rPr>
  </w:style>
  <w:style w:type="paragraph" w:customStyle="1" w:styleId="xl74">
    <w:name w:val="xl74"/>
    <w:basedOn w:val="a"/>
    <w:rsid w:val="007075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top"/>
    </w:pPr>
    <w:rPr>
      <w:rFonts w:eastAsia="Times New Roman"/>
      <w:kern w:val="0"/>
      <w:sz w:val="24"/>
      <w:szCs w:val="24"/>
    </w:rPr>
  </w:style>
  <w:style w:type="paragraph" w:styleId="TOC">
    <w:name w:val="TOC Heading"/>
    <w:basedOn w:val="1"/>
    <w:next w:val="a"/>
    <w:uiPriority w:val="39"/>
    <w:unhideWhenUsed/>
    <w:qFormat/>
    <w:rsid w:val="00CF6BA7"/>
    <w:pPr>
      <w:spacing w:before="240" w:line="259" w:lineRule="auto"/>
      <w:jc w:val="left"/>
      <w:outlineLvl w:val="9"/>
    </w:pPr>
    <w:rPr>
      <w:rFonts w:asciiTheme="majorHAnsi" w:eastAsiaTheme="majorEastAsia" w:hAnsiTheme="majorHAnsi" w:cstheme="majorBidi"/>
      <w:b w:val="0"/>
      <w:bCs w:val="0"/>
      <w:color w:val="0F4761" w:themeColor="accent1" w:themeShade="BF"/>
      <w:kern w:val="0"/>
      <w:sz w:val="32"/>
      <w:szCs w:val="32"/>
      <w14:ligatures w14:val="none"/>
    </w:rPr>
  </w:style>
  <w:style w:type="paragraph" w:styleId="TOC1">
    <w:name w:val="toc 1"/>
    <w:basedOn w:val="a"/>
    <w:next w:val="a"/>
    <w:autoRedefine/>
    <w:uiPriority w:val="39"/>
    <w:unhideWhenUsed/>
    <w:rsid w:val="00CF6BA7"/>
    <w:pPr>
      <w:spacing w:after="100"/>
    </w:pPr>
  </w:style>
  <w:style w:type="paragraph" w:styleId="TOC2">
    <w:name w:val="toc 2"/>
    <w:basedOn w:val="a"/>
    <w:next w:val="a"/>
    <w:autoRedefine/>
    <w:uiPriority w:val="39"/>
    <w:unhideWhenUsed/>
    <w:rsid w:val="00A07DCB"/>
    <w:pPr>
      <w:tabs>
        <w:tab w:val="right" w:leader="dot" w:pos="9016"/>
      </w:tabs>
      <w:spacing w:line="360" w:lineRule="auto"/>
      <w:ind w:left="221" w:firstLine="0"/>
    </w:pPr>
  </w:style>
  <w:style w:type="paragraph" w:styleId="TOC3">
    <w:name w:val="toc 3"/>
    <w:basedOn w:val="a"/>
    <w:next w:val="a"/>
    <w:autoRedefine/>
    <w:uiPriority w:val="39"/>
    <w:unhideWhenUsed/>
    <w:rsid w:val="00CF6BA7"/>
    <w:pPr>
      <w:spacing w:after="100"/>
      <w:ind w:left="440"/>
    </w:pPr>
  </w:style>
  <w:style w:type="paragraph" w:styleId="TOC4">
    <w:name w:val="toc 4"/>
    <w:basedOn w:val="a"/>
    <w:next w:val="a"/>
    <w:autoRedefine/>
    <w:uiPriority w:val="39"/>
    <w:unhideWhenUsed/>
    <w:rsid w:val="00CF6BA7"/>
    <w:pPr>
      <w:spacing w:after="100" w:line="278" w:lineRule="auto"/>
      <w:ind w:left="720" w:firstLine="0"/>
    </w:pPr>
    <w:rPr>
      <w:rFonts w:asciiTheme="minorHAnsi" w:eastAsiaTheme="minorEastAsia" w:hAnsiTheme="minorHAnsi" w:cstheme="minorBidi"/>
      <w:sz w:val="24"/>
      <w:szCs w:val="24"/>
    </w:rPr>
  </w:style>
  <w:style w:type="paragraph" w:styleId="TOC5">
    <w:name w:val="toc 5"/>
    <w:basedOn w:val="a"/>
    <w:next w:val="a"/>
    <w:autoRedefine/>
    <w:uiPriority w:val="39"/>
    <w:unhideWhenUsed/>
    <w:rsid w:val="00CF6BA7"/>
    <w:pPr>
      <w:spacing w:after="100" w:line="278" w:lineRule="auto"/>
      <w:ind w:left="960" w:firstLine="0"/>
    </w:pPr>
    <w:rPr>
      <w:rFonts w:asciiTheme="minorHAnsi" w:eastAsiaTheme="minorEastAsia" w:hAnsiTheme="minorHAnsi" w:cstheme="minorBidi"/>
      <w:sz w:val="24"/>
      <w:szCs w:val="24"/>
    </w:rPr>
  </w:style>
  <w:style w:type="paragraph" w:styleId="TOC6">
    <w:name w:val="toc 6"/>
    <w:basedOn w:val="a"/>
    <w:next w:val="a"/>
    <w:autoRedefine/>
    <w:uiPriority w:val="39"/>
    <w:unhideWhenUsed/>
    <w:rsid w:val="00CF6BA7"/>
    <w:pPr>
      <w:spacing w:after="100" w:line="278" w:lineRule="auto"/>
      <w:ind w:left="1200" w:firstLine="0"/>
    </w:pPr>
    <w:rPr>
      <w:rFonts w:asciiTheme="minorHAnsi" w:eastAsiaTheme="minorEastAsia" w:hAnsiTheme="minorHAnsi" w:cstheme="minorBidi"/>
      <w:sz w:val="24"/>
      <w:szCs w:val="24"/>
    </w:rPr>
  </w:style>
  <w:style w:type="paragraph" w:styleId="TOC7">
    <w:name w:val="toc 7"/>
    <w:basedOn w:val="a"/>
    <w:next w:val="a"/>
    <w:autoRedefine/>
    <w:uiPriority w:val="39"/>
    <w:unhideWhenUsed/>
    <w:rsid w:val="00CF6BA7"/>
    <w:pPr>
      <w:spacing w:after="100" w:line="278" w:lineRule="auto"/>
      <w:ind w:left="1440" w:firstLine="0"/>
    </w:pPr>
    <w:rPr>
      <w:rFonts w:asciiTheme="minorHAnsi" w:eastAsiaTheme="minorEastAsia" w:hAnsiTheme="minorHAnsi" w:cstheme="minorBidi"/>
      <w:sz w:val="24"/>
      <w:szCs w:val="24"/>
    </w:rPr>
  </w:style>
  <w:style w:type="paragraph" w:styleId="TOC8">
    <w:name w:val="toc 8"/>
    <w:basedOn w:val="a"/>
    <w:next w:val="a"/>
    <w:autoRedefine/>
    <w:uiPriority w:val="39"/>
    <w:unhideWhenUsed/>
    <w:rsid w:val="00CF6BA7"/>
    <w:pPr>
      <w:spacing w:after="100" w:line="278" w:lineRule="auto"/>
      <w:ind w:left="1680" w:firstLine="0"/>
    </w:pPr>
    <w:rPr>
      <w:rFonts w:asciiTheme="minorHAnsi" w:eastAsiaTheme="minorEastAsia" w:hAnsiTheme="minorHAnsi" w:cstheme="minorBidi"/>
      <w:sz w:val="24"/>
      <w:szCs w:val="24"/>
    </w:rPr>
  </w:style>
  <w:style w:type="paragraph" w:styleId="TOC9">
    <w:name w:val="toc 9"/>
    <w:basedOn w:val="a"/>
    <w:next w:val="a"/>
    <w:autoRedefine/>
    <w:uiPriority w:val="39"/>
    <w:unhideWhenUsed/>
    <w:rsid w:val="00CF6BA7"/>
    <w:pPr>
      <w:spacing w:after="100" w:line="278" w:lineRule="auto"/>
      <w:ind w:left="1920" w:firstLine="0"/>
    </w:pPr>
    <w:rPr>
      <w:rFonts w:asciiTheme="minorHAnsi" w:eastAsiaTheme="minorEastAsia" w:hAnsiTheme="minorHAnsi" w:cstheme="minorBidi"/>
      <w:sz w:val="24"/>
      <w:szCs w:val="24"/>
    </w:rPr>
  </w:style>
  <w:style w:type="paragraph" w:styleId="afff0">
    <w:name w:val="caption"/>
    <w:basedOn w:val="a"/>
    <w:next w:val="a"/>
    <w:uiPriority w:val="35"/>
    <w:unhideWhenUsed/>
    <w:qFormat/>
    <w:rsid w:val="00106616"/>
    <w:pPr>
      <w:spacing w:after="200" w:line="240" w:lineRule="auto"/>
    </w:pPr>
    <w:rPr>
      <w:i/>
      <w:iCs/>
      <w:color w:val="0E2841" w:themeColor="text2"/>
      <w:sz w:val="18"/>
      <w:szCs w:val="18"/>
    </w:rPr>
  </w:style>
  <w:style w:type="paragraph" w:styleId="afff1">
    <w:name w:val="table of figures"/>
    <w:basedOn w:val="a"/>
    <w:next w:val="a"/>
    <w:uiPriority w:val="99"/>
    <w:unhideWhenUsed/>
    <w:rsid w:val="00372F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neubiorev.2015.12.002" TargetMode="External"/><Relationship Id="rId299" Type="http://schemas.openxmlformats.org/officeDocument/2006/relationships/hyperlink" Target="https://doi.org/10.1093/schbul/sbr182" TargetMode="External"/><Relationship Id="rId21" Type="http://schemas.openxmlformats.org/officeDocument/2006/relationships/hyperlink" Target="https://doi.org/10.1016/j.psychres.2017.08.009" TargetMode="External"/><Relationship Id="rId63" Type="http://schemas.openxmlformats.org/officeDocument/2006/relationships/hyperlink" Target="https://doi.org/10.3389/fpsyt.2020.614710" TargetMode="External"/><Relationship Id="rId159" Type="http://schemas.openxmlformats.org/officeDocument/2006/relationships/hyperlink" Target="https://doi.org/10.1016/j.jpsychires.2019.04.007" TargetMode="External"/><Relationship Id="rId324" Type="http://schemas.openxmlformats.org/officeDocument/2006/relationships/image" Target="media/image7.png"/><Relationship Id="rId366" Type="http://schemas.openxmlformats.org/officeDocument/2006/relationships/image" Target="media/image10.png"/><Relationship Id="rId170" Type="http://schemas.openxmlformats.org/officeDocument/2006/relationships/hyperlink" Target="https://doi.org/10.1017/s0033291724000266" TargetMode="External"/><Relationship Id="rId226" Type="http://schemas.openxmlformats.org/officeDocument/2006/relationships/hyperlink" Target="https://doi.org/10.1093/schbul/sbx138" TargetMode="External"/><Relationship Id="rId433" Type="http://schemas.openxmlformats.org/officeDocument/2006/relationships/image" Target="media/image69.png"/><Relationship Id="rId268" Type="http://schemas.openxmlformats.org/officeDocument/2006/relationships/hyperlink" Target="https://doi.org/10.1136/bmj.315.7109.629" TargetMode="External"/><Relationship Id="rId32" Type="http://schemas.openxmlformats.org/officeDocument/2006/relationships/hyperlink" Target="https://doi.org/https://doi.org/10.1111/bdi.12205" TargetMode="External"/><Relationship Id="rId74" Type="http://schemas.openxmlformats.org/officeDocument/2006/relationships/hyperlink" Target="https://doi.org/10.3389/fpsyt.2019.00967" TargetMode="External"/><Relationship Id="rId128" Type="http://schemas.openxmlformats.org/officeDocument/2006/relationships/hyperlink" Target="https://doi.org/10.1093/schizbullopen/sgae017" TargetMode="External"/><Relationship Id="rId335" Type="http://schemas.openxmlformats.org/officeDocument/2006/relationships/hyperlink" Target="https://doi.org/10.1155/2011/795173" TargetMode="External"/><Relationship Id="rId377" Type="http://schemas.openxmlformats.org/officeDocument/2006/relationships/image" Target="media/image15.png"/><Relationship Id="rId5" Type="http://schemas.openxmlformats.org/officeDocument/2006/relationships/webSettings" Target="webSettings.xml"/><Relationship Id="rId181" Type="http://schemas.openxmlformats.org/officeDocument/2006/relationships/hyperlink" Target="https://doi.org/10.1016/j.schres.2005.07.009" TargetMode="External"/><Relationship Id="rId237" Type="http://schemas.openxmlformats.org/officeDocument/2006/relationships/hyperlink" Target="https://doi.org/10.1080/j.1440-1614.2005.01714.x" TargetMode="External"/><Relationship Id="rId402" Type="http://schemas.openxmlformats.org/officeDocument/2006/relationships/image" Target="media/image38.png"/><Relationship Id="rId279" Type="http://schemas.openxmlformats.org/officeDocument/2006/relationships/hyperlink" Target="https://doi.org/10.1017/S0033291718000223" TargetMode="External"/><Relationship Id="rId444" Type="http://schemas.openxmlformats.org/officeDocument/2006/relationships/image" Target="media/image80.png"/><Relationship Id="rId43" Type="http://schemas.openxmlformats.org/officeDocument/2006/relationships/hyperlink" Target="https://doi.org/10.1097/01.nmd.0000207360.70337.7e" TargetMode="External"/><Relationship Id="rId139" Type="http://schemas.openxmlformats.org/officeDocument/2006/relationships/hyperlink" Target="https://doi.org/10.1016/j.schres.2010.07.005" TargetMode="External"/><Relationship Id="rId290" Type="http://schemas.openxmlformats.org/officeDocument/2006/relationships/hyperlink" Target="https://doi.org/10.1192/bjp.161.4.556" TargetMode="External"/><Relationship Id="rId304" Type="http://schemas.openxmlformats.org/officeDocument/2006/relationships/hyperlink" Target="https://doi.org/10.1001/archpsyc.60.12.1187" TargetMode="External"/><Relationship Id="rId346" Type="http://schemas.openxmlformats.org/officeDocument/2006/relationships/hyperlink" Target="https://doi.org/10.1192/bjp.bp.115.179655" TargetMode="External"/><Relationship Id="rId388" Type="http://schemas.openxmlformats.org/officeDocument/2006/relationships/image" Target="media/image24.png"/><Relationship Id="rId85" Type="http://schemas.openxmlformats.org/officeDocument/2006/relationships/hyperlink" Target="https://doi.org/https://doi.org/10.1016/j.jad.2024.04.066" TargetMode="External"/><Relationship Id="rId150" Type="http://schemas.openxmlformats.org/officeDocument/2006/relationships/hyperlink" Target="https://doi.org/10.1002/ajmg.b.32409" TargetMode="External"/><Relationship Id="rId192" Type="http://schemas.openxmlformats.org/officeDocument/2006/relationships/hyperlink" Target="https://doi.org/10.1001/archpsyc.1987.01800130015003" TargetMode="External"/><Relationship Id="rId206" Type="http://schemas.openxmlformats.org/officeDocument/2006/relationships/hyperlink" Target="https://doi.org/10.1016/j.eurpsy.2009.11.012" TargetMode="External"/><Relationship Id="rId413" Type="http://schemas.openxmlformats.org/officeDocument/2006/relationships/image" Target="media/image49.png"/><Relationship Id="rId248" Type="http://schemas.openxmlformats.org/officeDocument/2006/relationships/hyperlink" Target="https://doi.org/10.1016/j.neuroscience.2009.03.080" TargetMode="External"/><Relationship Id="rId455" Type="http://schemas.openxmlformats.org/officeDocument/2006/relationships/image" Target="media/image90.png"/><Relationship Id="rId12" Type="http://schemas.openxmlformats.org/officeDocument/2006/relationships/hyperlink" Target="https://doi.org/10.1017/S0033291721003664" TargetMode="External"/><Relationship Id="rId108" Type="http://schemas.openxmlformats.org/officeDocument/2006/relationships/hyperlink" Target="https://doi.org/10.1093/schbul/sbz047" TargetMode="External"/><Relationship Id="rId315" Type="http://schemas.openxmlformats.org/officeDocument/2006/relationships/footer" Target="footer1.xml"/><Relationship Id="rId357" Type="http://schemas.openxmlformats.org/officeDocument/2006/relationships/hyperlink" Target="https://doi.org/10.1016/j.jad.2006.10.017" TargetMode="External"/><Relationship Id="rId54" Type="http://schemas.openxmlformats.org/officeDocument/2006/relationships/hyperlink" Target="https://doi.org/10.1016/j.psychres.2020.113292" TargetMode="External"/><Relationship Id="rId96" Type="http://schemas.openxmlformats.org/officeDocument/2006/relationships/hyperlink" Target="https://doi.org/10.1176/ajp.97.4.831" TargetMode="External"/><Relationship Id="rId161" Type="http://schemas.openxmlformats.org/officeDocument/2006/relationships/hyperlink" Target="https://doi.org/10.1037/tps0000427" TargetMode="External"/><Relationship Id="rId217" Type="http://schemas.openxmlformats.org/officeDocument/2006/relationships/hyperlink" Target="https://doi.org/https://doi.org/10.1016/S0165-1781(00)00228-6" TargetMode="External"/><Relationship Id="rId399" Type="http://schemas.openxmlformats.org/officeDocument/2006/relationships/image" Target="media/image35.png"/><Relationship Id="rId259" Type="http://schemas.openxmlformats.org/officeDocument/2006/relationships/hyperlink" Target="https://doi.org/10.1016/j.schres.2008.11.017" TargetMode="External"/><Relationship Id="rId424" Type="http://schemas.openxmlformats.org/officeDocument/2006/relationships/image" Target="media/image60.png"/><Relationship Id="rId466" Type="http://schemas.openxmlformats.org/officeDocument/2006/relationships/image" Target="media/image99.png"/><Relationship Id="rId23" Type="http://schemas.openxmlformats.org/officeDocument/2006/relationships/hyperlink" Target="https://doi.org/10.1186/s12991-021-00333-7" TargetMode="External"/><Relationship Id="rId119" Type="http://schemas.openxmlformats.org/officeDocument/2006/relationships/hyperlink" Target="https://doi.org/10.1007/s00787-017-1050-7" TargetMode="External"/><Relationship Id="rId270" Type="http://schemas.openxmlformats.org/officeDocument/2006/relationships/hyperlink" Target="https://doi.org/10.1016/s0005-7967(02)00104-3" TargetMode="External"/><Relationship Id="rId326" Type="http://schemas.openxmlformats.org/officeDocument/2006/relationships/hyperlink" Target="https://doi.org/10.1037/0021-843X.87.1.49" TargetMode="External"/><Relationship Id="rId65" Type="http://schemas.openxmlformats.org/officeDocument/2006/relationships/hyperlink" Target="https://doi.org/10.1007/s00787-020-01500-z" TargetMode="External"/><Relationship Id="rId130" Type="http://schemas.openxmlformats.org/officeDocument/2006/relationships/hyperlink" Target="https://doi.org/10.1007/BF01046218" TargetMode="External"/><Relationship Id="rId368" Type="http://schemas.openxmlformats.org/officeDocument/2006/relationships/header" Target="header6.xml"/><Relationship Id="rId172" Type="http://schemas.openxmlformats.org/officeDocument/2006/relationships/hyperlink" Target="https://doi.org/10.1080/17522439.2016.1162839" TargetMode="External"/><Relationship Id="rId228" Type="http://schemas.openxmlformats.org/officeDocument/2006/relationships/hyperlink" Target="https://doi.org/10.1016/j.jad.2017.11.011" TargetMode="External"/><Relationship Id="rId435" Type="http://schemas.openxmlformats.org/officeDocument/2006/relationships/image" Target="media/image71.png"/><Relationship Id="rId281" Type="http://schemas.openxmlformats.org/officeDocument/2006/relationships/hyperlink" Target="https://doi.org/10.1016/j.schres.2011.09.005" TargetMode="External"/><Relationship Id="rId337" Type="http://schemas.openxmlformats.org/officeDocument/2006/relationships/hyperlink" Target="https://doi.org/10.1037/met0000439" TargetMode="External"/><Relationship Id="rId34" Type="http://schemas.openxmlformats.org/officeDocument/2006/relationships/hyperlink" Target="https://doi.org/10.1017/s0033291721002087" TargetMode="External"/><Relationship Id="rId76" Type="http://schemas.openxmlformats.org/officeDocument/2006/relationships/hyperlink" Target="https://doi.org/https://doi.org/10.1016/0191-8869(94)90048-5" TargetMode="External"/><Relationship Id="rId141" Type="http://schemas.openxmlformats.org/officeDocument/2006/relationships/hyperlink" Target="https://doi.org/10.1038/s41576-025-00843-0" TargetMode="External"/><Relationship Id="rId379" Type="http://schemas.openxmlformats.org/officeDocument/2006/relationships/image" Target="media/image17.png"/><Relationship Id="rId7" Type="http://schemas.openxmlformats.org/officeDocument/2006/relationships/endnotes" Target="endnotes.xml"/><Relationship Id="rId183" Type="http://schemas.openxmlformats.org/officeDocument/2006/relationships/hyperlink" Target="https://doi.org/10.1016/j.jpsychires.2019.05.008" TargetMode="External"/><Relationship Id="rId239" Type="http://schemas.openxmlformats.org/officeDocument/2006/relationships/hyperlink" Target="https://doi.org/10.1176/appi.ajp.20240456" TargetMode="External"/><Relationship Id="rId390" Type="http://schemas.openxmlformats.org/officeDocument/2006/relationships/image" Target="media/image26.png"/><Relationship Id="rId404" Type="http://schemas.openxmlformats.org/officeDocument/2006/relationships/image" Target="media/image40.png"/><Relationship Id="rId446" Type="http://schemas.openxmlformats.org/officeDocument/2006/relationships/image" Target="media/image82.png"/><Relationship Id="rId250" Type="http://schemas.openxmlformats.org/officeDocument/2006/relationships/hyperlink" Target="https://doi.org/10.1177/0957154X9400501702" TargetMode="External"/><Relationship Id="rId292" Type="http://schemas.openxmlformats.org/officeDocument/2006/relationships/hyperlink" Target="https://doi.org/10.1017/S0033291722001271" TargetMode="External"/><Relationship Id="rId306" Type="http://schemas.openxmlformats.org/officeDocument/2006/relationships/hyperlink" Target="https://doi.org/10.1093/schbul/sbt179" TargetMode="External"/><Relationship Id="rId45" Type="http://schemas.openxmlformats.org/officeDocument/2006/relationships/hyperlink" Target="https://doi.org/10.1176/ajp.95.3.567" TargetMode="External"/><Relationship Id="rId87" Type="http://schemas.openxmlformats.org/officeDocument/2006/relationships/hyperlink" Target="https://doi.org/10.1176/appi.ajp.158.5.742" TargetMode="External"/><Relationship Id="rId110" Type="http://schemas.openxmlformats.org/officeDocument/2006/relationships/hyperlink" Target="https://doi.org/10.1007/BF02189116" TargetMode="External"/><Relationship Id="rId348" Type="http://schemas.openxmlformats.org/officeDocument/2006/relationships/hyperlink" Target="https://doi.org/10.1093/schizbullopen/sgaa008" TargetMode="External"/><Relationship Id="rId152" Type="http://schemas.openxmlformats.org/officeDocument/2006/relationships/hyperlink" Target="https://doi.org/10.3389/fpsyt.2018.00132" TargetMode="External"/><Relationship Id="rId194" Type="http://schemas.openxmlformats.org/officeDocument/2006/relationships/hyperlink" Target="https://doi.org/10.1016/j.jad.2009.04.020" TargetMode="External"/><Relationship Id="rId208" Type="http://schemas.openxmlformats.org/officeDocument/2006/relationships/hyperlink" Target="https://doi.org/10.1192/bjp.bp.114.152611" TargetMode="External"/><Relationship Id="rId415" Type="http://schemas.openxmlformats.org/officeDocument/2006/relationships/image" Target="media/image51.png"/><Relationship Id="rId457" Type="http://schemas.openxmlformats.org/officeDocument/2006/relationships/hyperlink" Target="https://doi.org/10.1002/mpr.70046" TargetMode="External"/><Relationship Id="rId261" Type="http://schemas.openxmlformats.org/officeDocument/2006/relationships/hyperlink" Target="https://doi.org/10.1192/bjp.bp.107.039578" TargetMode="External"/><Relationship Id="rId14" Type="http://schemas.openxmlformats.org/officeDocument/2006/relationships/hyperlink" Target="https://doi.org/10.1186/s12888-021-03177-3" TargetMode="External"/><Relationship Id="rId56" Type="http://schemas.openxmlformats.org/officeDocument/2006/relationships/hyperlink" Target="https://doi.org/10.1037/tra0001584" TargetMode="External"/><Relationship Id="rId317" Type="http://schemas.openxmlformats.org/officeDocument/2006/relationships/header" Target="header4.xml"/><Relationship Id="rId359" Type="http://schemas.openxmlformats.org/officeDocument/2006/relationships/hyperlink" Target="https://doi.org/10.1001/archgenpsychiatry.2009.64" TargetMode="External"/><Relationship Id="rId98" Type="http://schemas.openxmlformats.org/officeDocument/2006/relationships/hyperlink" Target="https://doi.org/10.1016/s0920-9964(97)00113-8" TargetMode="External"/><Relationship Id="rId121" Type="http://schemas.openxmlformats.org/officeDocument/2006/relationships/hyperlink" Target="https://doi.org/10.1016/j.psychres.2024.115953" TargetMode="External"/><Relationship Id="rId163" Type="http://schemas.openxmlformats.org/officeDocument/2006/relationships/hyperlink" Target="https://doi.org/10.1017/S0033291718002131" TargetMode="External"/><Relationship Id="rId219" Type="http://schemas.openxmlformats.org/officeDocument/2006/relationships/hyperlink" Target="https://doi.org/10.1111/j.1600-0447.1974.tb07520.x" TargetMode="External"/><Relationship Id="rId370" Type="http://schemas.openxmlformats.org/officeDocument/2006/relationships/footer" Target="footer4.xml"/><Relationship Id="rId426" Type="http://schemas.openxmlformats.org/officeDocument/2006/relationships/image" Target="media/image62.png"/><Relationship Id="rId230" Type="http://schemas.openxmlformats.org/officeDocument/2006/relationships/hyperlink" Target="https://doi.org/10.1002/brb3.2412" TargetMode="External"/><Relationship Id="rId468" Type="http://schemas.openxmlformats.org/officeDocument/2006/relationships/image" Target="media/image101.png"/><Relationship Id="rId25" Type="http://schemas.openxmlformats.org/officeDocument/2006/relationships/hyperlink" Target="https://doi.org/10.1007/s00787-023-02196-7" TargetMode="External"/><Relationship Id="rId67" Type="http://schemas.openxmlformats.org/officeDocument/2006/relationships/hyperlink" Target="https://doi.org/https://doi.org/10.1016/j.schres.2022.12.038" TargetMode="External"/><Relationship Id="rId272" Type="http://schemas.openxmlformats.org/officeDocument/2006/relationships/hyperlink" Target="https://doi.org/10.1192/bjp.167.5.618" TargetMode="External"/><Relationship Id="rId328" Type="http://schemas.openxmlformats.org/officeDocument/2006/relationships/hyperlink" Target="https://doi.org/10.1016/j.cell.2018.05.046" TargetMode="External"/><Relationship Id="rId132" Type="http://schemas.openxmlformats.org/officeDocument/2006/relationships/hyperlink" Target="https://doi.org/10.1016/s0920-9964(02)00440-1" TargetMode="External"/><Relationship Id="rId174" Type="http://schemas.openxmlformats.org/officeDocument/2006/relationships/hyperlink" Target="https://doi.org/10.1007/s10608-018-9964-z" TargetMode="External"/><Relationship Id="rId381" Type="http://schemas.openxmlformats.org/officeDocument/2006/relationships/image" Target="media/image18.png"/><Relationship Id="rId241" Type="http://schemas.openxmlformats.org/officeDocument/2006/relationships/image" Target="media/image2.png"/><Relationship Id="rId437" Type="http://schemas.openxmlformats.org/officeDocument/2006/relationships/image" Target="media/image73.png"/><Relationship Id="rId36" Type="http://schemas.openxmlformats.org/officeDocument/2006/relationships/hyperlink" Target="https://doi.org/10.1007/s00127-014-0914-0" TargetMode="External"/><Relationship Id="rId283" Type="http://schemas.openxmlformats.org/officeDocument/2006/relationships/hyperlink" Target="https://doi.org/10.1002/wps.20566" TargetMode="External"/><Relationship Id="rId339" Type="http://schemas.openxmlformats.org/officeDocument/2006/relationships/hyperlink" Target="https://doi.org/10.1016/j.cpr.2004.11.002" TargetMode="External"/><Relationship Id="rId78" Type="http://schemas.openxmlformats.org/officeDocument/2006/relationships/hyperlink" Target="https://doi.org/10.1002/9780470986738.ch6" TargetMode="External"/><Relationship Id="rId101" Type="http://schemas.openxmlformats.org/officeDocument/2006/relationships/hyperlink" Target="https://doi.org/10.1017/s0033291708003152" TargetMode="External"/><Relationship Id="rId143" Type="http://schemas.openxmlformats.org/officeDocument/2006/relationships/hyperlink" Target="https://doi.org/10.1176/ajp.90.6.1213" TargetMode="External"/><Relationship Id="rId185" Type="http://schemas.openxmlformats.org/officeDocument/2006/relationships/hyperlink" Target="https://doi.org/10.1093/schbul/sbw067" TargetMode="External"/><Relationship Id="rId350" Type="http://schemas.openxmlformats.org/officeDocument/2006/relationships/hyperlink" Target="https://doi.org/10.1002/wps.20607" TargetMode="External"/><Relationship Id="rId406" Type="http://schemas.openxmlformats.org/officeDocument/2006/relationships/image" Target="media/image42.png"/><Relationship Id="rId9" Type="http://schemas.openxmlformats.org/officeDocument/2006/relationships/header" Target="header1.xml"/><Relationship Id="rId210" Type="http://schemas.openxmlformats.org/officeDocument/2006/relationships/hyperlink" Target="https://doi.org/10.1016/j.psychres.2016.08.029" TargetMode="External"/><Relationship Id="rId392" Type="http://schemas.openxmlformats.org/officeDocument/2006/relationships/image" Target="media/image28.png"/><Relationship Id="rId448" Type="http://schemas.openxmlformats.org/officeDocument/2006/relationships/image" Target="media/image84.png"/><Relationship Id="rId252" Type="http://schemas.openxmlformats.org/officeDocument/2006/relationships/hyperlink" Target="https://doi.org/10.1016/j.cell.2018.05.046" TargetMode="External"/><Relationship Id="rId294" Type="http://schemas.openxmlformats.org/officeDocument/2006/relationships/hyperlink" Target="https://doi.org/10.1016/j.jad.2013.05.018" TargetMode="External"/><Relationship Id="rId308" Type="http://schemas.openxmlformats.org/officeDocument/2006/relationships/hyperlink" Target="https://doi.org/10.1093/schbul/sbs050" TargetMode="External"/><Relationship Id="rId47" Type="http://schemas.openxmlformats.org/officeDocument/2006/relationships/hyperlink" Target="https://doi.org/10.1001/archpsyc.1973.01750320053009" TargetMode="External"/><Relationship Id="rId89" Type="http://schemas.openxmlformats.org/officeDocument/2006/relationships/hyperlink" Target="https://doi.org/10.1093/schizbullopen/sgae029" TargetMode="External"/><Relationship Id="rId112" Type="http://schemas.openxmlformats.org/officeDocument/2006/relationships/hyperlink" Target="https://doi.org/10.1001/jamapsychiatry.2022.0465" TargetMode="External"/><Relationship Id="rId154" Type="http://schemas.openxmlformats.org/officeDocument/2006/relationships/hyperlink" Target="https://doi.org/10.1016/j.eurpsy.2003.07.007" TargetMode="External"/><Relationship Id="rId361" Type="http://schemas.openxmlformats.org/officeDocument/2006/relationships/hyperlink" Target="https://doi.org/10.1037/a0030133" TargetMode="External"/><Relationship Id="rId196" Type="http://schemas.openxmlformats.org/officeDocument/2006/relationships/hyperlink" Target="https://doi.org/10.1055/s-0039-1679182" TargetMode="External"/><Relationship Id="rId417" Type="http://schemas.openxmlformats.org/officeDocument/2006/relationships/image" Target="media/image53.png"/><Relationship Id="rId459" Type="http://schemas.openxmlformats.org/officeDocument/2006/relationships/hyperlink" Target="https://doi.org/10.1002/mpr.70046" TargetMode="External"/><Relationship Id="rId16" Type="http://schemas.openxmlformats.org/officeDocument/2006/relationships/hyperlink" Target="https://doi.org/10.1093/schbul/sbaa199" TargetMode="External"/><Relationship Id="rId221" Type="http://schemas.openxmlformats.org/officeDocument/2006/relationships/hyperlink" Target="https://doi.org/10.1093/schbul/20.4.619" TargetMode="External"/><Relationship Id="rId263" Type="http://schemas.openxmlformats.org/officeDocument/2006/relationships/hyperlink" Target="https://doi.org/10.1016/j.schres.2016.01.049" TargetMode="External"/><Relationship Id="rId319" Type="http://schemas.openxmlformats.org/officeDocument/2006/relationships/hyperlink" Target="https://doi.org/10.2174/1381612825666191216153508" TargetMode="External"/><Relationship Id="rId470" Type="http://schemas.openxmlformats.org/officeDocument/2006/relationships/image" Target="media/image103.png"/><Relationship Id="rId58" Type="http://schemas.openxmlformats.org/officeDocument/2006/relationships/hyperlink" Target="https://doi.org/10.1016/j.schres.2019.02.022" TargetMode="External"/><Relationship Id="rId123" Type="http://schemas.openxmlformats.org/officeDocument/2006/relationships/hyperlink" Target="https://doi.org/https://doi.org/10.1016/j.jbtep.2025.102050" TargetMode="External"/><Relationship Id="rId330" Type="http://schemas.openxmlformats.org/officeDocument/2006/relationships/hyperlink" Target="https://doi.org/10.1080/00273171.2023.2194606" TargetMode="External"/><Relationship Id="rId165" Type="http://schemas.openxmlformats.org/officeDocument/2006/relationships/hyperlink" Target="https://doi.org/https://doi.org/10.1016/j.schres.2020.03.063" TargetMode="External"/><Relationship Id="rId372" Type="http://schemas.openxmlformats.org/officeDocument/2006/relationships/header" Target="header8.xml"/><Relationship Id="rId428" Type="http://schemas.openxmlformats.org/officeDocument/2006/relationships/image" Target="media/image64.png"/><Relationship Id="rId232" Type="http://schemas.openxmlformats.org/officeDocument/2006/relationships/hyperlink" Target="https://doi.org/10.1007/s10578-023-01603-z" TargetMode="External"/><Relationship Id="rId274" Type="http://schemas.openxmlformats.org/officeDocument/2006/relationships/hyperlink" Target="https://doi.org/10.1097/MD.0000000000001203" TargetMode="External"/><Relationship Id="rId27" Type="http://schemas.openxmlformats.org/officeDocument/2006/relationships/hyperlink" Target="https://doi.org/10.1207/s15327752jpa8401_15" TargetMode="External"/><Relationship Id="rId69" Type="http://schemas.openxmlformats.org/officeDocument/2006/relationships/hyperlink" Target="https://doi.org/https://doi.org/10.1111/bdi.12831" TargetMode="External"/><Relationship Id="rId134" Type="http://schemas.openxmlformats.org/officeDocument/2006/relationships/hyperlink" Target="https://doi.org/10.1007/s00787-017-0965-3" TargetMode="External"/><Relationship Id="rId80" Type="http://schemas.openxmlformats.org/officeDocument/2006/relationships/hyperlink" Target="https://doi.org/10.1016/j.eurpsy.2012.07.002" TargetMode="External"/><Relationship Id="rId176" Type="http://schemas.openxmlformats.org/officeDocument/2006/relationships/hyperlink" Target="https://doi.org/https://doi.org/10.1111/bjop.12249" TargetMode="External"/><Relationship Id="rId341" Type="http://schemas.openxmlformats.org/officeDocument/2006/relationships/hyperlink" Target="https://doi.org/10.1097/00004850-200211000-00003" TargetMode="External"/><Relationship Id="rId383" Type="http://schemas.openxmlformats.org/officeDocument/2006/relationships/hyperlink" Target="https://doi.org/10.1111/bdi.13316" TargetMode="External"/><Relationship Id="rId439" Type="http://schemas.openxmlformats.org/officeDocument/2006/relationships/image" Target="media/image75.png"/><Relationship Id="rId201" Type="http://schemas.openxmlformats.org/officeDocument/2006/relationships/hyperlink" Target="https://doi.org/10.1176/appi.ajp.2013.12101339" TargetMode="External"/><Relationship Id="rId243" Type="http://schemas.openxmlformats.org/officeDocument/2006/relationships/hyperlink" Target="https://doi.org/10.3109/09540261.2010.515205" TargetMode="External"/><Relationship Id="rId285" Type="http://schemas.openxmlformats.org/officeDocument/2006/relationships/hyperlink" Target="https://doi.org/10.1016/S0140-6736(09)60072-6" TargetMode="External"/><Relationship Id="rId450" Type="http://schemas.openxmlformats.org/officeDocument/2006/relationships/chart" Target="charts/chart1.xml"/><Relationship Id="rId38" Type="http://schemas.openxmlformats.org/officeDocument/2006/relationships/hyperlink" Target="https://doi.org/10.1007/s10862-020-09805-8" TargetMode="External"/><Relationship Id="rId103" Type="http://schemas.openxmlformats.org/officeDocument/2006/relationships/hyperlink" Target="https://doi.org/10.1017/s0033291700003147" TargetMode="External"/><Relationship Id="rId310" Type="http://schemas.openxmlformats.org/officeDocument/2006/relationships/hyperlink" Target="https://icd.who.int/browse11/l-m/en" TargetMode="External"/><Relationship Id="rId91" Type="http://schemas.openxmlformats.org/officeDocument/2006/relationships/hyperlink" Target="https://doi.org/https://doi.org/10.1016/j.comppsych.2013.12.006" TargetMode="External"/><Relationship Id="rId145" Type="http://schemas.openxmlformats.org/officeDocument/2006/relationships/hyperlink" Target="https://doi.org/10.1192/bjp.bp.115.179655" TargetMode="External"/><Relationship Id="rId187" Type="http://schemas.openxmlformats.org/officeDocument/2006/relationships/hyperlink" Target="https://doi.org/10.1093/schbul/sbp034" TargetMode="External"/><Relationship Id="rId352" Type="http://schemas.openxmlformats.org/officeDocument/2006/relationships/hyperlink" Target="https://doi.org/10.1093/schbul/sbr182" TargetMode="External"/><Relationship Id="rId394" Type="http://schemas.openxmlformats.org/officeDocument/2006/relationships/image" Target="media/image30.png"/><Relationship Id="rId408" Type="http://schemas.openxmlformats.org/officeDocument/2006/relationships/image" Target="media/image44.png"/><Relationship Id="rId212" Type="http://schemas.openxmlformats.org/officeDocument/2006/relationships/hyperlink" Target="https://doi.org/10.1017/S0033291708003814" TargetMode="External"/><Relationship Id="rId254" Type="http://schemas.openxmlformats.org/officeDocument/2006/relationships/hyperlink" Target="https://doi.org/10.1016/j.euroneuro.2022.12.005" TargetMode="External"/><Relationship Id="rId49" Type="http://schemas.openxmlformats.org/officeDocument/2006/relationships/hyperlink" Target="https://doi.org/10.1176/ajp.131.6.682" TargetMode="External"/><Relationship Id="rId114" Type="http://schemas.openxmlformats.org/officeDocument/2006/relationships/hyperlink" Target="https://doi.org/10.1037/abn0000258" TargetMode="External"/><Relationship Id="rId296" Type="http://schemas.openxmlformats.org/officeDocument/2006/relationships/hyperlink" Target="https://doi.org/10.1093/schbul/sbt114" TargetMode="External"/><Relationship Id="rId461" Type="http://schemas.openxmlformats.org/officeDocument/2006/relationships/image" Target="media/image94.png"/><Relationship Id="rId60" Type="http://schemas.openxmlformats.org/officeDocument/2006/relationships/hyperlink" Target="https://doi.org/10.1016/j.jad.2003.09.003" TargetMode="External"/><Relationship Id="rId156" Type="http://schemas.openxmlformats.org/officeDocument/2006/relationships/hyperlink" Target="https://doi.org/10.1016/j.jad.2014.12.030" TargetMode="External"/><Relationship Id="rId198" Type="http://schemas.openxmlformats.org/officeDocument/2006/relationships/hyperlink" Target="https://doi.org/10.1093/schbul/sby168" TargetMode="External"/><Relationship Id="rId321" Type="http://schemas.openxmlformats.org/officeDocument/2006/relationships/image" Target="media/image4.png"/><Relationship Id="rId363" Type="http://schemas.openxmlformats.org/officeDocument/2006/relationships/hyperlink" Target="https://doi.org/10.1111/bdi.13316" TargetMode="External"/><Relationship Id="rId419" Type="http://schemas.openxmlformats.org/officeDocument/2006/relationships/image" Target="media/image55.png"/><Relationship Id="rId223" Type="http://schemas.openxmlformats.org/officeDocument/2006/relationships/hyperlink" Target="https://doi.org/10.1017/S0033291714002633" TargetMode="External"/><Relationship Id="rId430" Type="http://schemas.openxmlformats.org/officeDocument/2006/relationships/image" Target="media/image66.png"/><Relationship Id="rId18" Type="http://schemas.openxmlformats.org/officeDocument/2006/relationships/hyperlink" Target="https://doi.org/10.26480/jhcdc.02.2021.19.23" TargetMode="External"/><Relationship Id="rId265" Type="http://schemas.openxmlformats.org/officeDocument/2006/relationships/hyperlink" Target="https://doi.org/10.1037//0021-843x.105.2.212" TargetMode="External"/><Relationship Id="rId472" Type="http://schemas.openxmlformats.org/officeDocument/2006/relationships/image" Target="media/image105.png"/><Relationship Id="rId125" Type="http://schemas.openxmlformats.org/officeDocument/2006/relationships/hyperlink" Target="https://doi.org/10.1037/a0015127" TargetMode="External"/><Relationship Id="rId167" Type="http://schemas.openxmlformats.org/officeDocument/2006/relationships/hyperlink" Target="https://doi.org/10.1001/jamanetworkopen.2023.34078" TargetMode="External"/><Relationship Id="rId332" Type="http://schemas.openxmlformats.org/officeDocument/2006/relationships/hyperlink" Target="https://doi.org/10.1016/j.schres.2016.01.049" TargetMode="External"/><Relationship Id="rId374" Type="http://schemas.openxmlformats.org/officeDocument/2006/relationships/image" Target="media/image12.png"/><Relationship Id="rId71" Type="http://schemas.openxmlformats.org/officeDocument/2006/relationships/hyperlink" Target="https://doi.org/10.1176/ajp.148.7.823" TargetMode="External"/><Relationship Id="rId234" Type="http://schemas.openxmlformats.org/officeDocument/2006/relationships/hyperlink" Target="https://doi.org/10.1016/j.ajp.2018.02.011" TargetMode="External"/><Relationship Id="rId2" Type="http://schemas.openxmlformats.org/officeDocument/2006/relationships/numbering" Target="numbering.xml"/><Relationship Id="rId29" Type="http://schemas.openxmlformats.org/officeDocument/2006/relationships/hyperlink" Target="https://doi.org/10.1192/bjp.bp.108.054874" TargetMode="External"/><Relationship Id="rId276" Type="http://schemas.openxmlformats.org/officeDocument/2006/relationships/hyperlink" Target="https://doi.org/10.1016/S2215-0366(22)00236-X" TargetMode="External"/><Relationship Id="rId441" Type="http://schemas.openxmlformats.org/officeDocument/2006/relationships/image" Target="media/image77.png"/><Relationship Id="rId40" Type="http://schemas.openxmlformats.org/officeDocument/2006/relationships/hyperlink" Target="https://doi.org/https://doi.org/10.1146/annurev-clinpsy-050212-185608" TargetMode="External"/><Relationship Id="rId136" Type="http://schemas.openxmlformats.org/officeDocument/2006/relationships/hyperlink" Target="https://doi.org/https://doi.org/10.1348/147608309X415309" TargetMode="External"/><Relationship Id="rId178" Type="http://schemas.openxmlformats.org/officeDocument/2006/relationships/hyperlink" Target="https://doi.org/10.1111/jcpp.12332" TargetMode="External"/><Relationship Id="rId301" Type="http://schemas.openxmlformats.org/officeDocument/2006/relationships/hyperlink" Target="https://doi.org/10.3109/15622975.2012.662282" TargetMode="External"/><Relationship Id="rId343" Type="http://schemas.openxmlformats.org/officeDocument/2006/relationships/hyperlink" Target="https://doi.org/10.1146/annurev-clinpsy-081219-093304" TargetMode="External"/><Relationship Id="rId82" Type="http://schemas.openxmlformats.org/officeDocument/2006/relationships/hyperlink" Target="https://doi.org/https://doi.org/10.1016/j.schres.2015.03.032" TargetMode="External"/><Relationship Id="rId203" Type="http://schemas.openxmlformats.org/officeDocument/2006/relationships/hyperlink" Target="https://doi.org/10.1001/archpsyc.1977.01770220105012" TargetMode="External"/><Relationship Id="rId385" Type="http://schemas.openxmlformats.org/officeDocument/2006/relationships/image" Target="media/image21.png"/><Relationship Id="rId245" Type="http://schemas.openxmlformats.org/officeDocument/2006/relationships/hyperlink" Target="https://doi.org/10.1146/annurev-clinpsy-032814-112902" TargetMode="External"/><Relationship Id="rId287" Type="http://schemas.openxmlformats.org/officeDocument/2006/relationships/hyperlink" Target="https://doi.org/10.1016/j.jad.2014.09.035" TargetMode="External"/><Relationship Id="rId410" Type="http://schemas.openxmlformats.org/officeDocument/2006/relationships/image" Target="media/image46.png"/><Relationship Id="rId452" Type="http://schemas.openxmlformats.org/officeDocument/2006/relationships/image" Target="media/image87.png"/><Relationship Id="rId30" Type="http://schemas.openxmlformats.org/officeDocument/2006/relationships/hyperlink" Target="https://doi.org/10.1007/bf00578138" TargetMode="External"/><Relationship Id="rId105" Type="http://schemas.openxmlformats.org/officeDocument/2006/relationships/hyperlink" Target="https://doi.org/10.1007/s00127-006-0086-7" TargetMode="External"/><Relationship Id="rId126" Type="http://schemas.openxmlformats.org/officeDocument/2006/relationships/hyperlink" Target="https://doi.org/https://doi.org/10.1111/bdi.12133" TargetMode="External"/><Relationship Id="rId147" Type="http://schemas.openxmlformats.org/officeDocument/2006/relationships/hyperlink" Target="https://doi.org/https://doi.org/10.1016/j.schres.2019.10.029" TargetMode="External"/><Relationship Id="rId168" Type="http://schemas.openxmlformats.org/officeDocument/2006/relationships/hyperlink" Target="https://doi.org/10.1002/wps.20607" TargetMode="External"/><Relationship Id="rId312" Type="http://schemas.openxmlformats.org/officeDocument/2006/relationships/hyperlink" Target="https://doi.org/10.1016/j.schres.2016.12.015" TargetMode="External"/><Relationship Id="rId333" Type="http://schemas.openxmlformats.org/officeDocument/2006/relationships/hyperlink" Target="https://doi.org/10.3758/s13428-017-0862-1" TargetMode="External"/><Relationship Id="rId354" Type="http://schemas.openxmlformats.org/officeDocument/2006/relationships/hyperlink" Target="https://doi.org/10.1016/0006-3223(93)90054-h" TargetMode="External"/><Relationship Id="rId51" Type="http://schemas.openxmlformats.org/officeDocument/2006/relationships/hyperlink" Target="https://doi.org/10.1177/2167702613497473" TargetMode="External"/><Relationship Id="rId72" Type="http://schemas.openxmlformats.org/officeDocument/2006/relationships/hyperlink" Target="https://doi.org/10.1017/S1121189X00004929" TargetMode="External"/><Relationship Id="rId93" Type="http://schemas.openxmlformats.org/officeDocument/2006/relationships/hyperlink" Target="https://doi.org/10.1097/NMD.0b013e31825bfd6f" TargetMode="External"/><Relationship Id="rId189" Type="http://schemas.openxmlformats.org/officeDocument/2006/relationships/hyperlink" Target="https://doi.org/https://doi.org/10.1016/S0920-9964(98)00009-7" TargetMode="External"/><Relationship Id="rId375" Type="http://schemas.openxmlformats.org/officeDocument/2006/relationships/image" Target="media/image13.png"/><Relationship Id="rId396" Type="http://schemas.openxmlformats.org/officeDocument/2006/relationships/image" Target="media/image32.png"/><Relationship Id="rId3" Type="http://schemas.openxmlformats.org/officeDocument/2006/relationships/styles" Target="styles.xml"/><Relationship Id="rId214" Type="http://schemas.openxmlformats.org/officeDocument/2006/relationships/hyperlink" Target="https://doi.org/10.1093/schbul/sby150" TargetMode="External"/><Relationship Id="rId235" Type="http://schemas.openxmlformats.org/officeDocument/2006/relationships/hyperlink" Target="https://doi.org/10.1093/schbul/22.2.283" TargetMode="External"/><Relationship Id="rId256" Type="http://schemas.openxmlformats.org/officeDocument/2006/relationships/hyperlink" Target="https://doi.org/10.1093/schbul/sbu016" TargetMode="External"/><Relationship Id="rId277" Type="http://schemas.openxmlformats.org/officeDocument/2006/relationships/hyperlink" Target="https://doi.org/10.1016/j.cpr.2004.11.002" TargetMode="External"/><Relationship Id="rId298" Type="http://schemas.openxmlformats.org/officeDocument/2006/relationships/hyperlink" Target="https://doi.org/10.1192/bjp.bp.115.167882" TargetMode="External"/><Relationship Id="rId400" Type="http://schemas.openxmlformats.org/officeDocument/2006/relationships/image" Target="media/image36.png"/><Relationship Id="rId421" Type="http://schemas.openxmlformats.org/officeDocument/2006/relationships/image" Target="media/image57.png"/><Relationship Id="rId442" Type="http://schemas.openxmlformats.org/officeDocument/2006/relationships/image" Target="media/image78.png"/><Relationship Id="rId463" Type="http://schemas.openxmlformats.org/officeDocument/2006/relationships/image" Target="media/image96.png"/><Relationship Id="rId116" Type="http://schemas.openxmlformats.org/officeDocument/2006/relationships/hyperlink" Target="https://doi.org/10.1080/00223980.2024.2372578" TargetMode="External"/><Relationship Id="rId137" Type="http://schemas.openxmlformats.org/officeDocument/2006/relationships/hyperlink" Target="https://doi.org/10.5080/u25886" TargetMode="External"/><Relationship Id="rId158" Type="http://schemas.openxmlformats.org/officeDocument/2006/relationships/hyperlink" Target="https://doi.org/https://doi.org/10.1016/j.chiabu.2016.06.015" TargetMode="External"/><Relationship Id="rId302" Type="http://schemas.openxmlformats.org/officeDocument/2006/relationships/hyperlink" Target="https://doi.org/10.1093/schbul/sbae154" TargetMode="External"/><Relationship Id="rId323" Type="http://schemas.openxmlformats.org/officeDocument/2006/relationships/image" Target="media/image6.png"/><Relationship Id="rId344" Type="http://schemas.openxmlformats.org/officeDocument/2006/relationships/hyperlink" Target="https://doi.org/10.1016/j.neuroimage.2009.02.045" TargetMode="External"/><Relationship Id="rId20" Type="http://schemas.openxmlformats.org/officeDocument/2006/relationships/hyperlink" Target="https://doi.org/10.3109/09540261.2011.588692" TargetMode="External"/><Relationship Id="rId41" Type="http://schemas.openxmlformats.org/officeDocument/2006/relationships/hyperlink" Target="https://doi.org/10.1017/S0033291722004020" TargetMode="External"/><Relationship Id="rId62" Type="http://schemas.openxmlformats.org/officeDocument/2006/relationships/hyperlink" Target="https://doi.org/10.1002/9780470986738.ch11" TargetMode="External"/><Relationship Id="rId83" Type="http://schemas.openxmlformats.org/officeDocument/2006/relationships/hyperlink" Target="https://doi.org/10.1016/s0165-0327(98)00032-9" TargetMode="External"/><Relationship Id="rId179" Type="http://schemas.openxmlformats.org/officeDocument/2006/relationships/hyperlink" Target="https://doi.org/10.1111/eip.12446" TargetMode="External"/><Relationship Id="rId365" Type="http://schemas.openxmlformats.org/officeDocument/2006/relationships/image" Target="media/image9.png"/><Relationship Id="rId386" Type="http://schemas.openxmlformats.org/officeDocument/2006/relationships/image" Target="media/image22.png"/><Relationship Id="rId190" Type="http://schemas.openxmlformats.org/officeDocument/2006/relationships/hyperlink" Target="https://doi.org/10.1017/S1352465823000395" TargetMode="External"/><Relationship Id="rId204" Type="http://schemas.openxmlformats.org/officeDocument/2006/relationships/hyperlink" Target="https://doi.org/10.1016/j.psychres.2016.06.035" TargetMode="External"/><Relationship Id="rId225" Type="http://schemas.openxmlformats.org/officeDocument/2006/relationships/hyperlink" Target="https://doi.org/10.1016/j.comppsych.2014.07.008" TargetMode="External"/><Relationship Id="rId246" Type="http://schemas.openxmlformats.org/officeDocument/2006/relationships/hyperlink" Target="https://doi.org/10.1017/S003329172200201X" TargetMode="External"/><Relationship Id="rId267" Type="http://schemas.openxmlformats.org/officeDocument/2006/relationships/hyperlink" Target="https://doi.org/10.1001/jamapsychiatry.2019.4910" TargetMode="External"/><Relationship Id="rId288" Type="http://schemas.openxmlformats.org/officeDocument/2006/relationships/hyperlink" Target="https://doi.org/10.1080/00031305.1978.10479283" TargetMode="External"/><Relationship Id="rId411" Type="http://schemas.openxmlformats.org/officeDocument/2006/relationships/image" Target="media/image47.png"/><Relationship Id="rId432" Type="http://schemas.openxmlformats.org/officeDocument/2006/relationships/image" Target="media/image68.png"/><Relationship Id="rId453" Type="http://schemas.openxmlformats.org/officeDocument/2006/relationships/image" Target="media/image88.png"/><Relationship Id="rId474" Type="http://schemas.openxmlformats.org/officeDocument/2006/relationships/theme" Target="theme/theme1.xml"/><Relationship Id="rId106" Type="http://schemas.openxmlformats.org/officeDocument/2006/relationships/hyperlink" Target="https://doi.org/10.1016/S0010-440X(03)00089-0" TargetMode="External"/><Relationship Id="rId127" Type="http://schemas.openxmlformats.org/officeDocument/2006/relationships/hyperlink" Target="https://doi.org/10.1038/s41398-018-0242-3" TargetMode="External"/><Relationship Id="rId313" Type="http://schemas.openxmlformats.org/officeDocument/2006/relationships/header" Target="header2.xml"/><Relationship Id="rId10" Type="http://schemas.openxmlformats.org/officeDocument/2006/relationships/hyperlink" Target="https://doi.org/10.1093/schbul/sbae154" TargetMode="External"/><Relationship Id="rId31" Type="http://schemas.openxmlformats.org/officeDocument/2006/relationships/hyperlink" Target="https://doi.org/10.1016/j.jad.2010.06.016" TargetMode="External"/><Relationship Id="rId52" Type="http://schemas.openxmlformats.org/officeDocument/2006/relationships/hyperlink" Target="https://doi.org/10.1017/S0033291718000235" TargetMode="External"/><Relationship Id="rId73" Type="http://schemas.openxmlformats.org/officeDocument/2006/relationships/hyperlink" Target="https://doi.org/10.1016/0165-0327(95)00073-9" TargetMode="External"/><Relationship Id="rId94" Type="http://schemas.openxmlformats.org/officeDocument/2006/relationships/hyperlink" Target="https://doi.org/10.1016/s0010-440x(96)90026-7" TargetMode="External"/><Relationship Id="rId148" Type="http://schemas.openxmlformats.org/officeDocument/2006/relationships/hyperlink" Target="https://doi.org/10.1007/s00787-017-1070-3" TargetMode="External"/><Relationship Id="rId169" Type="http://schemas.openxmlformats.org/officeDocument/2006/relationships/hyperlink" Target="https://doi.org/10.1192/bjp.bp.115.167882" TargetMode="External"/><Relationship Id="rId334" Type="http://schemas.openxmlformats.org/officeDocument/2006/relationships/hyperlink" Target="http://CRAN.R-project.org/package=glasso" TargetMode="External"/><Relationship Id="rId355" Type="http://schemas.openxmlformats.org/officeDocument/2006/relationships/hyperlink" Target="https://doi.org/10.1017/s003329170300117x" TargetMode="External"/><Relationship Id="rId376" Type="http://schemas.openxmlformats.org/officeDocument/2006/relationships/image" Target="media/image14.png"/><Relationship Id="rId397" Type="http://schemas.openxmlformats.org/officeDocument/2006/relationships/image" Target="media/image33.png"/><Relationship Id="rId4" Type="http://schemas.openxmlformats.org/officeDocument/2006/relationships/settings" Target="settings.xml"/><Relationship Id="rId180" Type="http://schemas.openxmlformats.org/officeDocument/2006/relationships/hyperlink" Target="https://doi.org/10.5498/wjp.v12.i3.425" TargetMode="External"/><Relationship Id="rId215" Type="http://schemas.openxmlformats.org/officeDocument/2006/relationships/hyperlink" Target="https://doi.org/10.1177/070674377101600604" TargetMode="External"/><Relationship Id="rId236" Type="http://schemas.openxmlformats.org/officeDocument/2006/relationships/hyperlink" Target="https://doi.org/10.1016/s0920-9964(02)00167-6" TargetMode="External"/><Relationship Id="rId257" Type="http://schemas.openxmlformats.org/officeDocument/2006/relationships/hyperlink" Target="https://doi.org/10.5498/wjp.v12.i9.1204" TargetMode="External"/><Relationship Id="rId278" Type="http://schemas.openxmlformats.org/officeDocument/2006/relationships/hyperlink" Target="https://doi.org/10.1016/s0140-6736(88)90682-4" TargetMode="External"/><Relationship Id="rId401" Type="http://schemas.openxmlformats.org/officeDocument/2006/relationships/image" Target="media/image37.png"/><Relationship Id="rId422" Type="http://schemas.openxmlformats.org/officeDocument/2006/relationships/image" Target="media/image58.png"/><Relationship Id="rId443" Type="http://schemas.openxmlformats.org/officeDocument/2006/relationships/image" Target="media/image79.png"/><Relationship Id="rId464" Type="http://schemas.openxmlformats.org/officeDocument/2006/relationships/image" Target="media/image97.png"/><Relationship Id="rId303" Type="http://schemas.openxmlformats.org/officeDocument/2006/relationships/hyperlink" Target="https://doi.org/10.2147/NDT.S80438" TargetMode="External"/><Relationship Id="rId42" Type="http://schemas.openxmlformats.org/officeDocument/2006/relationships/hyperlink" Target="https://doi.org/10.2478/sjcapp-2022-0001" TargetMode="External"/><Relationship Id="rId84" Type="http://schemas.openxmlformats.org/officeDocument/2006/relationships/hyperlink" Target="https://doi.org/https://doi.org/10.1111/sjop.12941" TargetMode="External"/><Relationship Id="rId138" Type="http://schemas.openxmlformats.org/officeDocument/2006/relationships/hyperlink" Target="https://doi.org/https://doi.org/10.1111/cdev.12113" TargetMode="External"/><Relationship Id="rId345" Type="http://schemas.openxmlformats.org/officeDocument/2006/relationships/hyperlink" Target="https://doi.org/10.1037//0021-843x.108.2.273" TargetMode="External"/><Relationship Id="rId387" Type="http://schemas.openxmlformats.org/officeDocument/2006/relationships/image" Target="media/image23.png"/><Relationship Id="rId191" Type="http://schemas.openxmlformats.org/officeDocument/2006/relationships/hyperlink" Target="https://doi.org/10.1111/bdi.12520" TargetMode="External"/><Relationship Id="rId205" Type="http://schemas.openxmlformats.org/officeDocument/2006/relationships/hyperlink" Target="https://doi.org/10.1007/s004060170061" TargetMode="External"/><Relationship Id="rId247" Type="http://schemas.openxmlformats.org/officeDocument/2006/relationships/hyperlink" Target="https://doi.org/10.1016/j.jpsychires.2013.07.008" TargetMode="External"/><Relationship Id="rId412" Type="http://schemas.openxmlformats.org/officeDocument/2006/relationships/image" Target="media/image48.png"/><Relationship Id="rId107" Type="http://schemas.openxmlformats.org/officeDocument/2006/relationships/hyperlink" Target="https://doi.org/10.1016/j.psychres.2018.10.031" TargetMode="External"/><Relationship Id="rId289" Type="http://schemas.openxmlformats.org/officeDocument/2006/relationships/hyperlink" Target="https://doi.org/10.1371/journal.pone.0195687" TargetMode="External"/><Relationship Id="rId454" Type="http://schemas.openxmlformats.org/officeDocument/2006/relationships/image" Target="media/image89.png"/><Relationship Id="rId11" Type="http://schemas.openxmlformats.org/officeDocument/2006/relationships/hyperlink" Target="https://doi.org/10.1002/mpr.70046" TargetMode="External"/><Relationship Id="rId53" Type="http://schemas.openxmlformats.org/officeDocument/2006/relationships/hyperlink" Target="https://doi.org/10.4088/JCP.20m13764" TargetMode="External"/><Relationship Id="rId149" Type="http://schemas.openxmlformats.org/officeDocument/2006/relationships/hyperlink" Target="https://doi.org/10.1016/j.jad.2020.08.008" TargetMode="External"/><Relationship Id="rId314" Type="http://schemas.openxmlformats.org/officeDocument/2006/relationships/header" Target="header3.xml"/><Relationship Id="rId356" Type="http://schemas.openxmlformats.org/officeDocument/2006/relationships/hyperlink" Target="https://doi.org/10.1093/schbul/sbt179" TargetMode="External"/><Relationship Id="rId398" Type="http://schemas.openxmlformats.org/officeDocument/2006/relationships/image" Target="media/image34.png"/><Relationship Id="rId95" Type="http://schemas.openxmlformats.org/officeDocument/2006/relationships/hyperlink" Target="https://doi.org/10.1016/j.schres.2020.03.015" TargetMode="External"/><Relationship Id="rId160" Type="http://schemas.openxmlformats.org/officeDocument/2006/relationships/hyperlink" Target="https://doi.org/10.1016/j.comppsych.2006.05.003" TargetMode="External"/><Relationship Id="rId216" Type="http://schemas.openxmlformats.org/officeDocument/2006/relationships/hyperlink" Target="https://doi.org/https://doi.org/10.1016/j.psychres.2005.05.001" TargetMode="External"/><Relationship Id="rId423" Type="http://schemas.openxmlformats.org/officeDocument/2006/relationships/image" Target="media/image59.png"/><Relationship Id="rId258" Type="http://schemas.openxmlformats.org/officeDocument/2006/relationships/hyperlink" Target="https://doi.org/10.1038/s41598-021-96645-5" TargetMode="External"/><Relationship Id="rId465" Type="http://schemas.openxmlformats.org/officeDocument/2006/relationships/image" Target="media/image98.png"/><Relationship Id="rId22" Type="http://schemas.openxmlformats.org/officeDocument/2006/relationships/hyperlink" Target="https://doi.org/10.1038/s41380-024-02533-5" TargetMode="External"/><Relationship Id="rId64" Type="http://schemas.openxmlformats.org/officeDocument/2006/relationships/hyperlink" Target="https://doi.org/10.1016/s0920-9964(01)00277-8" TargetMode="External"/><Relationship Id="rId118" Type="http://schemas.openxmlformats.org/officeDocument/2006/relationships/hyperlink" Target="https://doi.org/10.1192/bjp.bp.113.134445" TargetMode="External"/><Relationship Id="rId325" Type="http://schemas.openxmlformats.org/officeDocument/2006/relationships/image" Target="media/image8.png"/><Relationship Id="rId367" Type="http://schemas.openxmlformats.org/officeDocument/2006/relationships/image" Target="media/image11.png"/><Relationship Id="rId171" Type="http://schemas.openxmlformats.org/officeDocument/2006/relationships/hyperlink" Target="https://doi.org/10.1017/S0033291721005456" TargetMode="External"/><Relationship Id="rId227" Type="http://schemas.openxmlformats.org/officeDocument/2006/relationships/hyperlink" Target="https://doi.org/10.1186/s13034-025-00878-5" TargetMode="External"/><Relationship Id="rId269" Type="http://schemas.openxmlformats.org/officeDocument/2006/relationships/hyperlink" Target="https://doi.org/https://doi.org/10.1111/j.1600-0447.1994.tb05787.x" TargetMode="External"/><Relationship Id="rId434" Type="http://schemas.openxmlformats.org/officeDocument/2006/relationships/image" Target="media/image70.png"/><Relationship Id="rId33" Type="http://schemas.openxmlformats.org/officeDocument/2006/relationships/hyperlink" Target="https://doi.org/10.1111/j.1744-6163.2012.00328.x" TargetMode="External"/><Relationship Id="rId129" Type="http://schemas.openxmlformats.org/officeDocument/2006/relationships/hyperlink" Target="https://doi.org/10.1007/pl00010686" TargetMode="External"/><Relationship Id="rId280" Type="http://schemas.openxmlformats.org/officeDocument/2006/relationships/hyperlink" Target="https://doi.org/10.1176/ajp.151.6.144" TargetMode="External"/><Relationship Id="rId336" Type="http://schemas.openxmlformats.org/officeDocument/2006/relationships/hyperlink" Target="https://doi.org/10.1111/bdi.12110" TargetMode="External"/><Relationship Id="rId75" Type="http://schemas.openxmlformats.org/officeDocument/2006/relationships/hyperlink" Target="https://doi.org/10.1007/s11126-019-09675-8" TargetMode="External"/><Relationship Id="rId140" Type="http://schemas.openxmlformats.org/officeDocument/2006/relationships/hyperlink" Target="https://doi.org/https://doi.org/10.1111/bdi.12107" TargetMode="External"/><Relationship Id="rId182" Type="http://schemas.openxmlformats.org/officeDocument/2006/relationships/hyperlink" Target="https://doi.org/10.5080/u25107" TargetMode="External"/><Relationship Id="rId378" Type="http://schemas.openxmlformats.org/officeDocument/2006/relationships/image" Target="media/image16.png"/><Relationship Id="rId403" Type="http://schemas.openxmlformats.org/officeDocument/2006/relationships/image" Target="media/image39.png"/><Relationship Id="rId6" Type="http://schemas.openxmlformats.org/officeDocument/2006/relationships/footnotes" Target="footnotes.xml"/><Relationship Id="rId238" Type="http://schemas.openxmlformats.org/officeDocument/2006/relationships/hyperlink" Target="https://doi.org/10.1080/2331205X.2019.1581447" TargetMode="External"/><Relationship Id="rId445" Type="http://schemas.openxmlformats.org/officeDocument/2006/relationships/image" Target="media/image81.png"/><Relationship Id="rId291" Type="http://schemas.openxmlformats.org/officeDocument/2006/relationships/hyperlink" Target="https://doi.org/10.4103/0019-5545.171842" TargetMode="External"/><Relationship Id="rId305" Type="http://schemas.openxmlformats.org/officeDocument/2006/relationships/hyperlink" Target="https://doi.org/10.1017/s003329170300117x" TargetMode="External"/><Relationship Id="rId347" Type="http://schemas.openxmlformats.org/officeDocument/2006/relationships/hyperlink" Target="https://doi.org/10.1097/HRP.0000000000000040" TargetMode="External"/><Relationship Id="rId44" Type="http://schemas.openxmlformats.org/officeDocument/2006/relationships/hyperlink" Target="https://doi.org/10.1016/j.jad.2021.04.051" TargetMode="External"/><Relationship Id="rId86" Type="http://schemas.openxmlformats.org/officeDocument/2006/relationships/hyperlink" Target="https://doi.org/10.1159/000284224" TargetMode="External"/><Relationship Id="rId151" Type="http://schemas.openxmlformats.org/officeDocument/2006/relationships/hyperlink" Target="https://doi.org/10.1111/j.1600-0447.1966.tb11009.x" TargetMode="External"/><Relationship Id="rId389" Type="http://schemas.openxmlformats.org/officeDocument/2006/relationships/image" Target="media/image25.png"/><Relationship Id="rId193" Type="http://schemas.openxmlformats.org/officeDocument/2006/relationships/hyperlink" Target="https://doi.org/10.2147/NDT.S80438" TargetMode="External"/><Relationship Id="rId207" Type="http://schemas.openxmlformats.org/officeDocument/2006/relationships/hyperlink" Target="https://doi.org/10.5455/apd.43671" TargetMode="External"/><Relationship Id="rId249" Type="http://schemas.openxmlformats.org/officeDocument/2006/relationships/hyperlink" Target="https://doi.org/10.1007/s00127-014-0914-0" TargetMode="External"/><Relationship Id="rId414" Type="http://schemas.openxmlformats.org/officeDocument/2006/relationships/image" Target="media/image50.png"/><Relationship Id="rId456" Type="http://schemas.openxmlformats.org/officeDocument/2006/relationships/image" Target="media/image91.png"/><Relationship Id="rId13" Type="http://schemas.openxmlformats.org/officeDocument/2006/relationships/hyperlink" Target="https://doi.org/10.1016/j.schres.2011.03.017" TargetMode="External"/><Relationship Id="rId109" Type="http://schemas.openxmlformats.org/officeDocument/2006/relationships/hyperlink" Target="https://doi.org/10.1016/j.schres.2011.09.005" TargetMode="External"/><Relationship Id="rId260" Type="http://schemas.openxmlformats.org/officeDocument/2006/relationships/hyperlink" Target="https://doi.org/10.1016/j.jad.2003.09.003" TargetMode="External"/><Relationship Id="rId316" Type="http://schemas.openxmlformats.org/officeDocument/2006/relationships/footer" Target="footer2.xml"/><Relationship Id="rId55" Type="http://schemas.openxmlformats.org/officeDocument/2006/relationships/hyperlink" Target="https://doi.org/10.5498/wjp.v12.i9.1204" TargetMode="External"/><Relationship Id="rId97" Type="http://schemas.openxmlformats.org/officeDocument/2006/relationships/hyperlink" Target="https://doi.org/10.1176/ajp.78.3.365" TargetMode="External"/><Relationship Id="rId120" Type="http://schemas.openxmlformats.org/officeDocument/2006/relationships/hyperlink" Target="https://doi.org/10.1177/007327530103900103" TargetMode="External"/><Relationship Id="rId358" Type="http://schemas.openxmlformats.org/officeDocument/2006/relationships/hyperlink" Target="https://doi.org/10.1037/met0000476" TargetMode="External"/><Relationship Id="rId162" Type="http://schemas.openxmlformats.org/officeDocument/2006/relationships/hyperlink" Target="https://doi.org/10.1503/jpn.210111" TargetMode="External"/><Relationship Id="rId218" Type="http://schemas.openxmlformats.org/officeDocument/2006/relationships/hyperlink" Target="https://doi.org/10.1111/acps.13415" TargetMode="External"/><Relationship Id="rId425" Type="http://schemas.openxmlformats.org/officeDocument/2006/relationships/image" Target="media/image61.png"/><Relationship Id="rId467" Type="http://schemas.openxmlformats.org/officeDocument/2006/relationships/image" Target="media/image100.png"/><Relationship Id="rId271" Type="http://schemas.openxmlformats.org/officeDocument/2006/relationships/hyperlink" Target="https://doi.org/10.1053/comp.2002.33500" TargetMode="External"/><Relationship Id="rId24" Type="http://schemas.openxmlformats.org/officeDocument/2006/relationships/hyperlink" Target="https://doi.org/10.1111/j.1399-5618.2004.00175.x" TargetMode="External"/><Relationship Id="rId66" Type="http://schemas.openxmlformats.org/officeDocument/2006/relationships/hyperlink" Target="https://doi.org/10.1093/schizbullopen/sgae024" TargetMode="External"/><Relationship Id="rId131" Type="http://schemas.openxmlformats.org/officeDocument/2006/relationships/hyperlink" Target="https://doi.org/10.1007/s00406-013-0445-9" TargetMode="External"/><Relationship Id="rId327" Type="http://schemas.openxmlformats.org/officeDocument/2006/relationships/hyperlink" Target="https://doi.org/10.1111/j.2517-6161.1995.tb02031.x" TargetMode="External"/><Relationship Id="rId369" Type="http://schemas.openxmlformats.org/officeDocument/2006/relationships/header" Target="header7.xml"/><Relationship Id="rId173" Type="http://schemas.openxmlformats.org/officeDocument/2006/relationships/hyperlink" Target="https://doi.org/10.1093/schbul/sby148" TargetMode="External"/><Relationship Id="rId229" Type="http://schemas.openxmlformats.org/officeDocument/2006/relationships/hyperlink" Target="https://doi.org/10.1016/j.schres.2016.12.015" TargetMode="External"/><Relationship Id="rId380" Type="http://schemas.openxmlformats.org/officeDocument/2006/relationships/header" Target="header9.xml"/><Relationship Id="rId436" Type="http://schemas.openxmlformats.org/officeDocument/2006/relationships/image" Target="media/image72.png"/><Relationship Id="rId240" Type="http://schemas.openxmlformats.org/officeDocument/2006/relationships/hyperlink" Target="https://doi.org/10.1037/h0040375" TargetMode="External"/><Relationship Id="rId35" Type="http://schemas.openxmlformats.org/officeDocument/2006/relationships/hyperlink" Target="https://doi.org/10.1016/s0924-9338(01)00559-4" TargetMode="External"/><Relationship Id="rId77" Type="http://schemas.openxmlformats.org/officeDocument/2006/relationships/hyperlink" Target="https://doi.org/10.1093/schbul/sbs060" TargetMode="External"/><Relationship Id="rId100" Type="http://schemas.openxmlformats.org/officeDocument/2006/relationships/hyperlink" Target="https://doi.org/10.3389/fpsyt.2023.1136097" TargetMode="External"/><Relationship Id="rId282" Type="http://schemas.openxmlformats.org/officeDocument/2006/relationships/hyperlink" Target="https://doi.org/10.1016/j.cpr.2011.02.009" TargetMode="External"/><Relationship Id="rId338" Type="http://schemas.openxmlformats.org/officeDocument/2006/relationships/hyperlink" Target="https://doi.org/10.1093/schbul/sbn051" TargetMode="External"/><Relationship Id="rId8" Type="http://schemas.openxmlformats.org/officeDocument/2006/relationships/image" Target="media/image1.png"/><Relationship Id="rId142" Type="http://schemas.openxmlformats.org/officeDocument/2006/relationships/hyperlink" Target="https://doi.org/10.1093/schbul/sbu075" TargetMode="External"/><Relationship Id="rId184" Type="http://schemas.openxmlformats.org/officeDocument/2006/relationships/hyperlink" Target="https://doi.org/10.11919/j.issn.1002-0829.217080" TargetMode="External"/><Relationship Id="rId391" Type="http://schemas.openxmlformats.org/officeDocument/2006/relationships/image" Target="media/image27.png"/><Relationship Id="rId405" Type="http://schemas.openxmlformats.org/officeDocument/2006/relationships/image" Target="media/image41.png"/><Relationship Id="rId447" Type="http://schemas.openxmlformats.org/officeDocument/2006/relationships/image" Target="media/image83.png"/><Relationship Id="rId251" Type="http://schemas.openxmlformats.org/officeDocument/2006/relationships/hyperlink" Target="https://doi.org/10.1093/schbul/sbaa133" TargetMode="External"/><Relationship Id="rId46" Type="http://schemas.openxmlformats.org/officeDocument/2006/relationships/hyperlink" Target="https://doi.org/10.1093/schbul/sbu016" TargetMode="External"/><Relationship Id="rId293" Type="http://schemas.openxmlformats.org/officeDocument/2006/relationships/hyperlink" Target="https://doi.org/10.1192/bjp.bp.115.179655" TargetMode="External"/><Relationship Id="rId307" Type="http://schemas.openxmlformats.org/officeDocument/2006/relationships/hyperlink" Target="https://doi.org/10.1001/archgenpsychiatry.2009.64" TargetMode="External"/><Relationship Id="rId349" Type="http://schemas.openxmlformats.org/officeDocument/2006/relationships/hyperlink" Target="https://doi.org/10.1016/j.jad.2020.08.008" TargetMode="External"/><Relationship Id="rId88" Type="http://schemas.openxmlformats.org/officeDocument/2006/relationships/hyperlink" Target="https://doi.org/10.1111/acps.13481" TargetMode="External"/><Relationship Id="rId111" Type="http://schemas.openxmlformats.org/officeDocument/2006/relationships/hyperlink" Target="https://doi.org/10.1001/archpsyc.58.2.158" TargetMode="External"/><Relationship Id="rId153" Type="http://schemas.openxmlformats.org/officeDocument/2006/relationships/hyperlink" Target="https://doi.org/10.2174/1745017901915010143" TargetMode="External"/><Relationship Id="rId195" Type="http://schemas.openxmlformats.org/officeDocument/2006/relationships/hyperlink" Target="https://doi.org/10.1093/schbul/sbac002" TargetMode="External"/><Relationship Id="rId209" Type="http://schemas.openxmlformats.org/officeDocument/2006/relationships/hyperlink" Target="https://doi.org/10.1017/S0033291718002854" TargetMode="External"/><Relationship Id="rId360" Type="http://schemas.openxmlformats.org/officeDocument/2006/relationships/hyperlink" Target="https://doi.org/10.1111/j.1751-7893.2007.00034.x" TargetMode="External"/><Relationship Id="rId416" Type="http://schemas.openxmlformats.org/officeDocument/2006/relationships/image" Target="media/image52.png"/><Relationship Id="rId220" Type="http://schemas.openxmlformats.org/officeDocument/2006/relationships/hyperlink" Target="https://doi.org/10.3389/fpsyt.2020.00410" TargetMode="External"/><Relationship Id="rId458" Type="http://schemas.openxmlformats.org/officeDocument/2006/relationships/image" Target="media/image92.png"/><Relationship Id="rId15" Type="http://schemas.openxmlformats.org/officeDocument/2006/relationships/hyperlink" Target="https://doi.org/10.1111/eip.12786" TargetMode="External"/><Relationship Id="rId57" Type="http://schemas.openxmlformats.org/officeDocument/2006/relationships/hyperlink" Target="https://doi.org/10.1080/17522439.2020.1801818" TargetMode="External"/><Relationship Id="rId262" Type="http://schemas.openxmlformats.org/officeDocument/2006/relationships/hyperlink" Target="https://doi.org/10.1016/j.cca.2015.02.029" TargetMode="External"/><Relationship Id="rId318" Type="http://schemas.openxmlformats.org/officeDocument/2006/relationships/footer" Target="footer3.xml"/><Relationship Id="rId99" Type="http://schemas.openxmlformats.org/officeDocument/2006/relationships/hyperlink" Target="https://doi.org/10.1111/j.1600-0447.1975.tb00022.x" TargetMode="External"/><Relationship Id="rId122" Type="http://schemas.openxmlformats.org/officeDocument/2006/relationships/hyperlink" Target="https://doi.org/10.1016/j.schres.2023.08.014" TargetMode="External"/><Relationship Id="rId164" Type="http://schemas.openxmlformats.org/officeDocument/2006/relationships/hyperlink" Target="https://doi.org/10.1017/s0033291718003690" TargetMode="External"/><Relationship Id="rId371" Type="http://schemas.openxmlformats.org/officeDocument/2006/relationships/footer" Target="footer5.xml"/><Relationship Id="rId427" Type="http://schemas.openxmlformats.org/officeDocument/2006/relationships/image" Target="media/image63.png"/><Relationship Id="rId469" Type="http://schemas.openxmlformats.org/officeDocument/2006/relationships/image" Target="media/image102.png"/><Relationship Id="rId26" Type="http://schemas.openxmlformats.org/officeDocument/2006/relationships/hyperlink" Target="https://doi.org/10.1016/s0165-1781(97)03096-5" TargetMode="External"/><Relationship Id="rId231" Type="http://schemas.openxmlformats.org/officeDocument/2006/relationships/hyperlink" Target="https://doi.org/10.1002/cpp.70074" TargetMode="External"/><Relationship Id="rId273" Type="http://schemas.openxmlformats.org/officeDocument/2006/relationships/hyperlink" Target="https://doi.org/10.1001/archpsyc.1982.04290060027006" TargetMode="External"/><Relationship Id="rId329" Type="http://schemas.openxmlformats.org/officeDocument/2006/relationships/hyperlink" Target="https://doi.org/10.1037/rev0000108" TargetMode="External"/><Relationship Id="rId68" Type="http://schemas.openxmlformats.org/officeDocument/2006/relationships/hyperlink" Target="https://doi.org/10.1186/s40345-022-00280-6" TargetMode="External"/><Relationship Id="rId133" Type="http://schemas.openxmlformats.org/officeDocument/2006/relationships/hyperlink" Target="https://doi.org/10.1093/schbul/sbx016" TargetMode="External"/><Relationship Id="rId175" Type="http://schemas.openxmlformats.org/officeDocument/2006/relationships/hyperlink" Target="https://doi.org/10.1111/j.1399-5618.2009.00777.x" TargetMode="External"/><Relationship Id="rId340" Type="http://schemas.openxmlformats.org/officeDocument/2006/relationships/hyperlink" Target="https://doi.org/10.1093/schbul/13.2.261" TargetMode="External"/><Relationship Id="rId200" Type="http://schemas.openxmlformats.org/officeDocument/2006/relationships/hyperlink" Target="https://doi.org/10.1016/j.jad.2007.12.234" TargetMode="External"/><Relationship Id="rId382" Type="http://schemas.openxmlformats.org/officeDocument/2006/relationships/image" Target="media/image19.png"/><Relationship Id="rId438" Type="http://schemas.openxmlformats.org/officeDocument/2006/relationships/image" Target="media/image74.png"/><Relationship Id="rId242" Type="http://schemas.openxmlformats.org/officeDocument/2006/relationships/hyperlink" Target="https://jbi.global/critical-appraisal-tools" TargetMode="External"/><Relationship Id="rId284" Type="http://schemas.openxmlformats.org/officeDocument/2006/relationships/hyperlink" Target="https://doi.org/10.1016/j.neubiorev.2015.12.002" TargetMode="External"/><Relationship Id="rId37" Type="http://schemas.openxmlformats.org/officeDocument/2006/relationships/hyperlink" Target="https://doi.org/10.1007/s11126-013-9279-x" TargetMode="External"/><Relationship Id="rId79" Type="http://schemas.openxmlformats.org/officeDocument/2006/relationships/hyperlink" Target="https://doi.org/10.1097/01.nmd.0000243763.81487.4d" TargetMode="External"/><Relationship Id="rId102" Type="http://schemas.openxmlformats.org/officeDocument/2006/relationships/hyperlink" Target="https://doi.org/10.1016/j.eurpsy.2018.11.008" TargetMode="External"/><Relationship Id="rId144" Type="http://schemas.openxmlformats.org/officeDocument/2006/relationships/hyperlink" Target="https://doi.org/10.1111/acps.12109" TargetMode="External"/><Relationship Id="rId90" Type="http://schemas.openxmlformats.org/officeDocument/2006/relationships/hyperlink" Target="https://doi.org/10.1371/journal.pone.0082365" TargetMode="External"/><Relationship Id="rId186" Type="http://schemas.openxmlformats.org/officeDocument/2006/relationships/hyperlink" Target="https://doi.org/10.1080/17522439.2015.1113306" TargetMode="External"/><Relationship Id="rId351" Type="http://schemas.openxmlformats.org/officeDocument/2006/relationships/hyperlink" Target="https://doi.org/10.1192/bjp.bp.115.167882" TargetMode="External"/><Relationship Id="rId393" Type="http://schemas.openxmlformats.org/officeDocument/2006/relationships/image" Target="media/image29.png"/><Relationship Id="rId407" Type="http://schemas.openxmlformats.org/officeDocument/2006/relationships/image" Target="media/image43.png"/><Relationship Id="rId449" Type="http://schemas.openxmlformats.org/officeDocument/2006/relationships/image" Target="media/image85.png"/><Relationship Id="rId211" Type="http://schemas.openxmlformats.org/officeDocument/2006/relationships/hyperlink" Target="https://doi.org/10.1016/j.jaac.2016.04.017" TargetMode="External"/><Relationship Id="rId253" Type="http://schemas.openxmlformats.org/officeDocument/2006/relationships/hyperlink" Target="https://doi.org/10.1159/000284576" TargetMode="External"/><Relationship Id="rId295" Type="http://schemas.openxmlformats.org/officeDocument/2006/relationships/hyperlink" Target="https://doi.org/10.1001/archpsyc.64.1.19" TargetMode="External"/><Relationship Id="rId309" Type="http://schemas.openxmlformats.org/officeDocument/2006/relationships/hyperlink" Target="https://doi.org/10.1016/j.pnpbp.2013.07.012" TargetMode="External"/><Relationship Id="rId460" Type="http://schemas.openxmlformats.org/officeDocument/2006/relationships/image" Target="media/image93.png"/><Relationship Id="rId48" Type="http://schemas.openxmlformats.org/officeDocument/2006/relationships/hyperlink" Target="https://doi.org/10.1111/j.1399-5618.2012.00982.x" TargetMode="External"/><Relationship Id="rId113" Type="http://schemas.openxmlformats.org/officeDocument/2006/relationships/hyperlink" Target="https://doi.org/https://doi.org/10.1111/papt.12010" TargetMode="External"/><Relationship Id="rId320" Type="http://schemas.openxmlformats.org/officeDocument/2006/relationships/image" Target="media/image3.png"/><Relationship Id="rId155" Type="http://schemas.openxmlformats.org/officeDocument/2006/relationships/hyperlink" Target="https://doi.org/10.1007/s00787-018-1262-5" TargetMode="External"/><Relationship Id="rId197" Type="http://schemas.openxmlformats.org/officeDocument/2006/relationships/hyperlink" Target="https://doi.org/10.1093/schbul/sbab037" TargetMode="External"/><Relationship Id="rId362" Type="http://schemas.openxmlformats.org/officeDocument/2006/relationships/header" Target="header5.xml"/><Relationship Id="rId418" Type="http://schemas.openxmlformats.org/officeDocument/2006/relationships/image" Target="media/image54.png"/><Relationship Id="rId222" Type="http://schemas.openxmlformats.org/officeDocument/2006/relationships/hyperlink" Target="https://www.who.int/news-room/fact-sheets/detail/mental-disorders" TargetMode="External"/><Relationship Id="rId264" Type="http://schemas.openxmlformats.org/officeDocument/2006/relationships/hyperlink" Target="https://doi.org/10.1034/j.1399-5618.2002.01192.x" TargetMode="External"/><Relationship Id="rId471" Type="http://schemas.openxmlformats.org/officeDocument/2006/relationships/image" Target="media/image104.png"/><Relationship Id="rId17" Type="http://schemas.openxmlformats.org/officeDocument/2006/relationships/hyperlink" Target="https://doi.org/10.1038/s41398-024-03149-7" TargetMode="External"/><Relationship Id="rId59" Type="http://schemas.openxmlformats.org/officeDocument/2006/relationships/hyperlink" Target="https://doi.org/10.1093/schbul/sbac105" TargetMode="External"/><Relationship Id="rId124" Type="http://schemas.openxmlformats.org/officeDocument/2006/relationships/hyperlink" Target="https://doi.org/10.1001/jamapsychiatry.2023.3220" TargetMode="External"/><Relationship Id="rId70" Type="http://schemas.openxmlformats.org/officeDocument/2006/relationships/hyperlink" Target="https://doi.org/10.1186/1745-0179-5-3" TargetMode="External"/><Relationship Id="rId166" Type="http://schemas.openxmlformats.org/officeDocument/2006/relationships/hyperlink" Target="https://doi.org/10.1093/schbul/sbt114" TargetMode="External"/><Relationship Id="rId331" Type="http://schemas.openxmlformats.org/officeDocument/2006/relationships/hyperlink" Target="https://doi.org/10.1111/j.1600-0447.1986.tb02723.x" TargetMode="External"/><Relationship Id="rId373" Type="http://schemas.openxmlformats.org/officeDocument/2006/relationships/footer" Target="footer6.xml"/><Relationship Id="rId429" Type="http://schemas.openxmlformats.org/officeDocument/2006/relationships/image" Target="media/image65.png"/><Relationship Id="rId1" Type="http://schemas.openxmlformats.org/officeDocument/2006/relationships/customXml" Target="../customXml/item1.xml"/><Relationship Id="rId233" Type="http://schemas.openxmlformats.org/officeDocument/2006/relationships/hyperlink" Target="https://doi.org/10.3389/fpsyt.2023.1180720" TargetMode="External"/><Relationship Id="rId440" Type="http://schemas.openxmlformats.org/officeDocument/2006/relationships/image" Target="media/image76.png"/><Relationship Id="rId28" Type="http://schemas.openxmlformats.org/officeDocument/2006/relationships/hyperlink" Target="https://doi.org/10.1177/00207640231224661" TargetMode="External"/><Relationship Id="rId275" Type="http://schemas.openxmlformats.org/officeDocument/2006/relationships/hyperlink" Target="https://doi.org/10.1017/S0033291724001776" TargetMode="External"/><Relationship Id="rId300" Type="http://schemas.openxmlformats.org/officeDocument/2006/relationships/hyperlink" Target="https://doi.org/10.1080/17522439.2016.1162839" TargetMode="External"/><Relationship Id="rId81" Type="http://schemas.openxmlformats.org/officeDocument/2006/relationships/hyperlink" Target="https://doi.org/10.1176/ajp.2007.164.2.236" TargetMode="External"/><Relationship Id="rId135" Type="http://schemas.openxmlformats.org/officeDocument/2006/relationships/hyperlink" Target="https://doi.org/https://doi.org/10.1111/bjc.12509" TargetMode="External"/><Relationship Id="rId177" Type="http://schemas.openxmlformats.org/officeDocument/2006/relationships/hyperlink" Target="https://doi.org/https://doi.org/10.1016/j.jad.2023.01.045" TargetMode="External"/><Relationship Id="rId342" Type="http://schemas.openxmlformats.org/officeDocument/2006/relationships/hyperlink" Target="https://doi.org/10.1093/schbul/sbq024" TargetMode="External"/><Relationship Id="rId384" Type="http://schemas.openxmlformats.org/officeDocument/2006/relationships/image" Target="media/image20.png"/><Relationship Id="rId202" Type="http://schemas.openxmlformats.org/officeDocument/2006/relationships/hyperlink" Target="https://doi.org/10.1093/schbul/sbt179" TargetMode="External"/><Relationship Id="rId244" Type="http://schemas.openxmlformats.org/officeDocument/2006/relationships/hyperlink" Target="https://doi.org/10.21608/epx.2017.16397" TargetMode="External"/><Relationship Id="rId39" Type="http://schemas.openxmlformats.org/officeDocument/2006/relationships/hyperlink" Target="https://doi.org/10.1159/000322097" TargetMode="External"/><Relationship Id="rId286" Type="http://schemas.openxmlformats.org/officeDocument/2006/relationships/hyperlink" Target="https://doi.org/10.1186/1471-244X-8-65" TargetMode="External"/><Relationship Id="rId451" Type="http://schemas.openxmlformats.org/officeDocument/2006/relationships/image" Target="media/image86.png"/><Relationship Id="rId50" Type="http://schemas.openxmlformats.org/officeDocument/2006/relationships/hyperlink" Target="https://doi.org/https://doi.org/10.1016/j.cpr.2017.12.001" TargetMode="External"/><Relationship Id="rId104" Type="http://schemas.openxmlformats.org/officeDocument/2006/relationships/hyperlink" Target="https://doi.org/10.5152/pcp.2023.22597" TargetMode="External"/><Relationship Id="rId146" Type="http://schemas.openxmlformats.org/officeDocument/2006/relationships/hyperlink" Target="https://doi.org/https://doi.org/10.1111/j.1600-0447.1999.tb05979.x" TargetMode="External"/><Relationship Id="rId188" Type="http://schemas.openxmlformats.org/officeDocument/2006/relationships/hyperlink" Target="https://doi.org/10.1017/S1355617710000573" TargetMode="External"/><Relationship Id="rId311" Type="http://schemas.openxmlformats.org/officeDocument/2006/relationships/hyperlink" Target="https://doi.org/10.1111/bdi.12052" TargetMode="External"/><Relationship Id="rId353" Type="http://schemas.openxmlformats.org/officeDocument/2006/relationships/hyperlink" Target="https://doi.org/10.1037/10810-000" TargetMode="External"/><Relationship Id="rId395" Type="http://schemas.openxmlformats.org/officeDocument/2006/relationships/image" Target="media/image31.png"/><Relationship Id="rId409" Type="http://schemas.openxmlformats.org/officeDocument/2006/relationships/image" Target="media/image45.png"/><Relationship Id="rId92" Type="http://schemas.openxmlformats.org/officeDocument/2006/relationships/hyperlink" Target="https://doi.org/10.1093/schbul/21.1.95" TargetMode="External"/><Relationship Id="rId213" Type="http://schemas.openxmlformats.org/officeDocument/2006/relationships/hyperlink" Target="https://doi.org/10.1093/schbul/sbs050" TargetMode="External"/><Relationship Id="rId420" Type="http://schemas.openxmlformats.org/officeDocument/2006/relationships/image" Target="media/image56.png"/><Relationship Id="rId255" Type="http://schemas.openxmlformats.org/officeDocument/2006/relationships/hyperlink" Target="https://doi.org/10.1017/S0033291712002760" TargetMode="External"/><Relationship Id="rId297" Type="http://schemas.openxmlformats.org/officeDocument/2006/relationships/hyperlink" Target="https://doi.org/10.1002/wps.20607" TargetMode="External"/><Relationship Id="rId462" Type="http://schemas.openxmlformats.org/officeDocument/2006/relationships/image" Target="media/image95.png"/><Relationship Id="rId115" Type="http://schemas.openxmlformats.org/officeDocument/2006/relationships/hyperlink" Target="https://doi.org/https://doi.org/10.1002/jcv2.12274" TargetMode="External"/><Relationship Id="rId157" Type="http://schemas.openxmlformats.org/officeDocument/2006/relationships/hyperlink" Target="https://doi.org/10.1001/archpsyc.1978.01770310017001" TargetMode="External"/><Relationship Id="rId322" Type="http://schemas.openxmlformats.org/officeDocument/2006/relationships/image" Target="media/image5.png"/><Relationship Id="rId364" Type="http://schemas.openxmlformats.org/officeDocument/2006/relationships/hyperlink" Target="https://osf.io/wy2z9/overview" TargetMode="External"/><Relationship Id="rId61" Type="http://schemas.openxmlformats.org/officeDocument/2006/relationships/hyperlink" Target="https://doi.org/10.2147/NDT.S225643" TargetMode="External"/><Relationship Id="rId199" Type="http://schemas.openxmlformats.org/officeDocument/2006/relationships/hyperlink" Target="https://doi.org/https://doi.org/10.1111/jcpp.13321" TargetMode="External"/><Relationship Id="rId19" Type="http://schemas.openxmlformats.org/officeDocument/2006/relationships/hyperlink" Target="https://doi.org/10.1017/S003329172200201X" TargetMode="External"/><Relationship Id="rId224" Type="http://schemas.openxmlformats.org/officeDocument/2006/relationships/hyperlink" Target="https://doi.org/10.1037/abn0000893" TargetMode="External"/><Relationship Id="rId266" Type="http://schemas.openxmlformats.org/officeDocument/2006/relationships/hyperlink" Target="https://doi.org/10.1007/s11920-000-0069-4" TargetMode="External"/><Relationship Id="rId431" Type="http://schemas.openxmlformats.org/officeDocument/2006/relationships/image" Target="media/image67.png"/><Relationship Id="rId473"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google.com/search?q=https://doi.org/10.1093/schbul/sbae154&amp;authuser=1"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PBD</c:v>
                </c:pt>
              </c:strCache>
            </c:strRef>
          </c:tx>
          <c:spPr>
            <a:ln w="22225" cap="flat" cmpd="sng">
              <a:solidFill>
                <a:schemeClr val="accent1"/>
              </a:solidFill>
              <a:prstDash val="sysDash"/>
              <a:miter lim="800000"/>
              <a:tailEnd type="none"/>
            </a:ln>
            <a:effectLst/>
          </c:spPr>
          <c:marker>
            <c:symbol val="none"/>
          </c:marker>
          <c:errBars>
            <c:errDir val="y"/>
            <c:errBarType val="both"/>
            <c:errValType val="cust"/>
            <c:noEndCap val="0"/>
            <c:plus>
              <c:numRef>
                <c:f>Sheet1!$F$2:$F$11</c:f>
                <c:numCache>
                  <c:formatCode>General</c:formatCode>
                  <c:ptCount val="10"/>
                  <c:pt idx="0">
                    <c:v>0.08</c:v>
                  </c:pt>
                  <c:pt idx="1">
                    <c:v>0.08</c:v>
                  </c:pt>
                  <c:pt idx="2">
                    <c:v>0.08</c:v>
                  </c:pt>
                  <c:pt idx="3">
                    <c:v>0.05</c:v>
                  </c:pt>
                  <c:pt idx="4">
                    <c:v>0.08</c:v>
                  </c:pt>
                  <c:pt idx="5">
                    <c:v>0.02</c:v>
                  </c:pt>
                  <c:pt idx="6">
                    <c:v>0.06</c:v>
                  </c:pt>
                  <c:pt idx="7">
                    <c:v>0.06</c:v>
                  </c:pt>
                  <c:pt idx="8">
                    <c:v>0.08</c:v>
                  </c:pt>
                  <c:pt idx="9">
                    <c:v>0.08</c:v>
                  </c:pt>
                </c:numCache>
              </c:numRef>
            </c:plus>
            <c:minus>
              <c:numRef>
                <c:f>Sheet1!$E$2:$E$11</c:f>
                <c:numCache>
                  <c:formatCode>General</c:formatCode>
                  <c:ptCount val="10"/>
                  <c:pt idx="0">
                    <c:v>0.08</c:v>
                  </c:pt>
                  <c:pt idx="1">
                    <c:v>7.0000000000000007E-2</c:v>
                  </c:pt>
                  <c:pt idx="2">
                    <c:v>7.0000000000000007E-2</c:v>
                  </c:pt>
                  <c:pt idx="3">
                    <c:v>0.06</c:v>
                  </c:pt>
                  <c:pt idx="4">
                    <c:v>0.08</c:v>
                  </c:pt>
                  <c:pt idx="5">
                    <c:v>0.02</c:v>
                  </c:pt>
                  <c:pt idx="6">
                    <c:v>7.0000000000000007E-2</c:v>
                  </c:pt>
                  <c:pt idx="7">
                    <c:v>7.0000000000000007E-2</c:v>
                  </c:pt>
                  <c:pt idx="8">
                    <c:v>7.0000000000000007E-2</c:v>
                  </c:pt>
                  <c:pt idx="9">
                    <c:v>7.8E-2</c:v>
                  </c:pt>
                </c:numCache>
              </c:numRef>
            </c:minus>
            <c:spPr>
              <a:noFill/>
              <a:ln w="9525" cap="flat" cmpd="sng" algn="ctr">
                <a:solidFill>
                  <a:schemeClr val="tx1">
                    <a:lumMod val="65000"/>
                    <a:lumOff val="35000"/>
                  </a:schemeClr>
                </a:solidFill>
                <a:round/>
              </a:ln>
              <a:effectLst/>
            </c:spPr>
          </c:errBars>
          <c:cat>
            <c:strRef>
              <c:f>Sheet1!$A$2:$A$11</c:f>
              <c:strCache>
                <c:ptCount val="10"/>
                <c:pt idx="0">
                  <c:v>M2-M9</c:v>
                </c:pt>
                <c:pt idx="1">
                  <c:v>M2-M10</c:v>
                </c:pt>
                <c:pt idx="2">
                  <c:v>P2-P4</c:v>
                </c:pt>
                <c:pt idx="3">
                  <c:v>P2-Y7</c:v>
                </c:pt>
                <c:pt idx="4">
                  <c:v>ME-Y3</c:v>
                </c:pt>
                <c:pt idx="5">
                  <c:v>Y3-Y10</c:v>
                </c:pt>
                <c:pt idx="6">
                  <c:v>M8-WD</c:v>
                </c:pt>
                <c:pt idx="7">
                  <c:v>IA-Y10</c:v>
                </c:pt>
                <c:pt idx="8">
                  <c:v>M8-M9</c:v>
                </c:pt>
                <c:pt idx="9">
                  <c:v>M7-Y10</c:v>
                </c:pt>
              </c:strCache>
            </c:strRef>
          </c:cat>
          <c:val>
            <c:numRef>
              <c:f>Sheet1!$B$2:$B$11</c:f>
              <c:numCache>
                <c:formatCode>General</c:formatCode>
                <c:ptCount val="10"/>
                <c:pt idx="0">
                  <c:v>0.22</c:v>
                </c:pt>
                <c:pt idx="1">
                  <c:v>0.06</c:v>
                </c:pt>
                <c:pt idx="2">
                  <c:v>0.18</c:v>
                </c:pt>
                <c:pt idx="3">
                  <c:v>0.03</c:v>
                </c:pt>
                <c:pt idx="4">
                  <c:v>0.16</c:v>
                </c:pt>
                <c:pt idx="5">
                  <c:v>0</c:v>
                </c:pt>
                <c:pt idx="6">
                  <c:v>0.28000000000000003</c:v>
                </c:pt>
                <c:pt idx="7">
                  <c:v>0.06</c:v>
                </c:pt>
                <c:pt idx="8">
                  <c:v>0.12</c:v>
                </c:pt>
                <c:pt idx="9">
                  <c:v>0.08</c:v>
                </c:pt>
              </c:numCache>
            </c:numRef>
          </c:val>
          <c:smooth val="1"/>
          <c:extLst>
            <c:ext xmlns:c16="http://schemas.microsoft.com/office/drawing/2014/chart" uri="{C3380CC4-5D6E-409C-BE32-E72D297353CC}">
              <c16:uniqueId val="{00000000-7C3E-4A44-BF49-264B5DBC9F70}"/>
            </c:ext>
          </c:extLst>
        </c:ser>
        <c:ser>
          <c:idx val="1"/>
          <c:order val="1"/>
          <c:tx>
            <c:strRef>
              <c:f>Sheet1!$C$1</c:f>
              <c:strCache>
                <c:ptCount val="1"/>
                <c:pt idx="0">
                  <c:v>SCA</c:v>
                </c:pt>
              </c:strCache>
            </c:strRef>
          </c:tx>
          <c:spPr>
            <a:ln w="25400" cap="flat" cmpd="sng">
              <a:solidFill>
                <a:schemeClr val="accent2"/>
              </a:solidFill>
              <a:prstDash val="sysDot"/>
              <a:miter lim="800000"/>
              <a:tailEnd type="none"/>
            </a:ln>
            <a:effectLst/>
          </c:spPr>
          <c:marker>
            <c:symbol val="none"/>
          </c:marker>
          <c:errBars>
            <c:errDir val="y"/>
            <c:errBarType val="both"/>
            <c:errValType val="cust"/>
            <c:noEndCap val="0"/>
            <c:plus>
              <c:numRef>
                <c:f>Sheet1!$H$2:$H$11</c:f>
                <c:numCache>
                  <c:formatCode>General</c:formatCode>
                  <c:ptCount val="10"/>
                  <c:pt idx="0">
                    <c:v>7.0000000000000007E-2</c:v>
                  </c:pt>
                  <c:pt idx="1">
                    <c:v>7.0000000000000007E-2</c:v>
                  </c:pt>
                  <c:pt idx="2">
                    <c:v>7.0000000000000007E-2</c:v>
                  </c:pt>
                  <c:pt idx="3">
                    <c:v>0.05</c:v>
                  </c:pt>
                  <c:pt idx="4">
                    <c:v>0.09</c:v>
                  </c:pt>
                  <c:pt idx="5">
                    <c:v>0.04</c:v>
                  </c:pt>
                  <c:pt idx="6">
                    <c:v>0.06</c:v>
                  </c:pt>
                  <c:pt idx="7">
                    <c:v>0.08</c:v>
                  </c:pt>
                  <c:pt idx="8">
                    <c:v>0.08</c:v>
                  </c:pt>
                  <c:pt idx="9">
                    <c:v>0.08</c:v>
                  </c:pt>
                </c:numCache>
              </c:numRef>
            </c:plus>
            <c:minus>
              <c:numRef>
                <c:f>Sheet1!$G$2:$G$11</c:f>
                <c:numCache>
                  <c:formatCode>General</c:formatCode>
                  <c:ptCount val="10"/>
                  <c:pt idx="0">
                    <c:v>0.06</c:v>
                  </c:pt>
                  <c:pt idx="1">
                    <c:v>7.0000000000000007E-2</c:v>
                  </c:pt>
                  <c:pt idx="2">
                    <c:v>6.7000000000000004E-2</c:v>
                  </c:pt>
                  <c:pt idx="3">
                    <c:v>0.06</c:v>
                  </c:pt>
                  <c:pt idx="4">
                    <c:v>0.08</c:v>
                  </c:pt>
                  <c:pt idx="5">
                    <c:v>0.04</c:v>
                  </c:pt>
                  <c:pt idx="6">
                    <c:v>7.0000000000000007E-2</c:v>
                  </c:pt>
                  <c:pt idx="7">
                    <c:v>7.0000000000000007E-2</c:v>
                  </c:pt>
                  <c:pt idx="8">
                    <c:v>7.0000000000000007E-2</c:v>
                  </c:pt>
                  <c:pt idx="9">
                    <c:v>7.0000000000000007E-2</c:v>
                  </c:pt>
                </c:numCache>
              </c:numRef>
            </c:minus>
            <c:spPr>
              <a:noFill/>
              <a:ln w="9525" cap="flat" cmpd="sng" algn="ctr">
                <a:solidFill>
                  <a:schemeClr val="tx1">
                    <a:lumMod val="65000"/>
                    <a:lumOff val="35000"/>
                  </a:schemeClr>
                </a:solidFill>
                <a:round/>
              </a:ln>
              <a:effectLst/>
            </c:spPr>
          </c:errBars>
          <c:cat>
            <c:strRef>
              <c:f>Sheet1!$A$2:$A$11</c:f>
              <c:strCache>
                <c:ptCount val="10"/>
                <c:pt idx="0">
                  <c:v>M2-M9</c:v>
                </c:pt>
                <c:pt idx="1">
                  <c:v>M2-M10</c:v>
                </c:pt>
                <c:pt idx="2">
                  <c:v>P2-P4</c:v>
                </c:pt>
                <c:pt idx="3">
                  <c:v>P2-Y7</c:v>
                </c:pt>
                <c:pt idx="4">
                  <c:v>ME-Y3</c:v>
                </c:pt>
                <c:pt idx="5">
                  <c:v>Y3-Y10</c:v>
                </c:pt>
                <c:pt idx="6">
                  <c:v>M8-WD</c:v>
                </c:pt>
                <c:pt idx="7">
                  <c:v>IA-Y10</c:v>
                </c:pt>
                <c:pt idx="8">
                  <c:v>M8-M9</c:v>
                </c:pt>
                <c:pt idx="9">
                  <c:v>M7-Y10</c:v>
                </c:pt>
              </c:strCache>
            </c:strRef>
          </c:cat>
          <c:val>
            <c:numRef>
              <c:f>Sheet1!$C$2:$C$11</c:f>
              <c:numCache>
                <c:formatCode>General</c:formatCode>
                <c:ptCount val="10"/>
                <c:pt idx="0">
                  <c:v>0.04</c:v>
                </c:pt>
                <c:pt idx="1">
                  <c:v>0.18</c:v>
                </c:pt>
                <c:pt idx="2">
                  <c:v>7.0000000000000007E-2</c:v>
                </c:pt>
                <c:pt idx="3">
                  <c:v>0.03</c:v>
                </c:pt>
                <c:pt idx="4">
                  <c:v>0.11</c:v>
                </c:pt>
                <c:pt idx="5">
                  <c:v>0</c:v>
                </c:pt>
                <c:pt idx="6">
                  <c:v>0.21</c:v>
                </c:pt>
                <c:pt idx="7">
                  <c:v>0.11</c:v>
                </c:pt>
                <c:pt idx="8">
                  <c:v>0.21</c:v>
                </c:pt>
                <c:pt idx="9">
                  <c:v>0.1</c:v>
                </c:pt>
              </c:numCache>
            </c:numRef>
          </c:val>
          <c:smooth val="1"/>
          <c:extLst>
            <c:ext xmlns:c16="http://schemas.microsoft.com/office/drawing/2014/chart" uri="{C3380CC4-5D6E-409C-BE32-E72D297353CC}">
              <c16:uniqueId val="{00000001-7C3E-4A44-BF49-264B5DBC9F70}"/>
            </c:ext>
          </c:extLst>
        </c:ser>
        <c:ser>
          <c:idx val="2"/>
          <c:order val="2"/>
          <c:tx>
            <c:strRef>
              <c:f>Sheet1!$D$1</c:f>
              <c:strCache>
                <c:ptCount val="1"/>
                <c:pt idx="0">
                  <c:v>SCZ</c:v>
                </c:pt>
              </c:strCache>
            </c:strRef>
          </c:tx>
          <c:spPr>
            <a:ln w="22225" cap="rnd">
              <a:solidFill>
                <a:schemeClr val="accent3"/>
              </a:solidFill>
              <a:prstDash val="sysDash"/>
              <a:round/>
            </a:ln>
            <a:effectLst/>
          </c:spPr>
          <c:marker>
            <c:symbol val="none"/>
          </c:marker>
          <c:errBars>
            <c:errDir val="y"/>
            <c:errBarType val="both"/>
            <c:errValType val="cust"/>
            <c:noEndCap val="0"/>
            <c:plus>
              <c:numRef>
                <c:f>Sheet1!$J$2:$J$11</c:f>
                <c:numCache>
                  <c:formatCode>General</c:formatCode>
                  <c:ptCount val="10"/>
                  <c:pt idx="0">
                    <c:v>0.08</c:v>
                  </c:pt>
                  <c:pt idx="1">
                    <c:v>0.06</c:v>
                  </c:pt>
                  <c:pt idx="2">
                    <c:v>0.06</c:v>
                  </c:pt>
                  <c:pt idx="3">
                    <c:v>0.06</c:v>
                  </c:pt>
                  <c:pt idx="4">
                    <c:v>0.08</c:v>
                  </c:pt>
                  <c:pt idx="5">
                    <c:v>0.09</c:v>
                  </c:pt>
                  <c:pt idx="6">
                    <c:v>0.06</c:v>
                  </c:pt>
                  <c:pt idx="7">
                    <c:v>0.04</c:v>
                  </c:pt>
                  <c:pt idx="8">
                    <c:v>0.06</c:v>
                  </c:pt>
                  <c:pt idx="9">
                    <c:v>0.04</c:v>
                  </c:pt>
                </c:numCache>
              </c:numRef>
            </c:plus>
            <c:minus>
              <c:numRef>
                <c:f>Sheet1!$I$2:$I$11</c:f>
                <c:numCache>
                  <c:formatCode>General</c:formatCode>
                  <c:ptCount val="10"/>
                  <c:pt idx="0">
                    <c:v>7.0000000000000007E-2</c:v>
                  </c:pt>
                  <c:pt idx="1">
                    <c:v>7.0000000000000007E-2</c:v>
                  </c:pt>
                  <c:pt idx="2">
                    <c:v>7.0000000000000007E-2</c:v>
                  </c:pt>
                  <c:pt idx="3">
                    <c:v>0.06</c:v>
                  </c:pt>
                  <c:pt idx="4">
                    <c:v>7.0000000000000007E-2</c:v>
                  </c:pt>
                  <c:pt idx="5">
                    <c:v>0.08</c:v>
                  </c:pt>
                  <c:pt idx="6">
                    <c:v>0.06</c:v>
                  </c:pt>
                  <c:pt idx="7">
                    <c:v>0.05</c:v>
                  </c:pt>
                  <c:pt idx="8">
                    <c:v>7.0000000000000007E-2</c:v>
                  </c:pt>
                  <c:pt idx="9">
                    <c:v>0.04</c:v>
                  </c:pt>
                </c:numCache>
              </c:numRef>
            </c:minus>
            <c:spPr>
              <a:noFill/>
              <a:ln w="9525" cap="flat" cmpd="sng" algn="ctr">
                <a:solidFill>
                  <a:schemeClr val="tx1">
                    <a:lumMod val="65000"/>
                    <a:lumOff val="35000"/>
                  </a:schemeClr>
                </a:solidFill>
                <a:round/>
              </a:ln>
              <a:effectLst/>
            </c:spPr>
          </c:errBars>
          <c:cat>
            <c:strRef>
              <c:f>Sheet1!$A$2:$A$11</c:f>
              <c:strCache>
                <c:ptCount val="10"/>
                <c:pt idx="0">
                  <c:v>M2-M9</c:v>
                </c:pt>
                <c:pt idx="1">
                  <c:v>M2-M10</c:v>
                </c:pt>
                <c:pt idx="2">
                  <c:v>P2-P4</c:v>
                </c:pt>
                <c:pt idx="3">
                  <c:v>P2-Y7</c:v>
                </c:pt>
                <c:pt idx="4">
                  <c:v>ME-Y3</c:v>
                </c:pt>
                <c:pt idx="5">
                  <c:v>Y3-Y10</c:v>
                </c:pt>
                <c:pt idx="6">
                  <c:v>M8-WD</c:v>
                </c:pt>
                <c:pt idx="7">
                  <c:v>IA-Y10</c:v>
                </c:pt>
                <c:pt idx="8">
                  <c:v>M8-M9</c:v>
                </c:pt>
                <c:pt idx="9">
                  <c:v>M7-Y10</c:v>
                </c:pt>
              </c:strCache>
            </c:strRef>
          </c:cat>
          <c:val>
            <c:numRef>
              <c:f>Sheet1!$D$2:$D$11</c:f>
              <c:numCache>
                <c:formatCode>General</c:formatCode>
                <c:ptCount val="10"/>
                <c:pt idx="0">
                  <c:v>0.14000000000000001</c:v>
                </c:pt>
                <c:pt idx="1">
                  <c:v>0.09</c:v>
                </c:pt>
                <c:pt idx="2">
                  <c:v>0.1</c:v>
                </c:pt>
                <c:pt idx="3">
                  <c:v>0.16</c:v>
                </c:pt>
                <c:pt idx="4">
                  <c:v>0.04</c:v>
                </c:pt>
                <c:pt idx="5">
                  <c:v>0.11</c:v>
                </c:pt>
                <c:pt idx="6">
                  <c:v>0.17</c:v>
                </c:pt>
                <c:pt idx="7">
                  <c:v>0.01</c:v>
                </c:pt>
                <c:pt idx="8">
                  <c:v>0.05</c:v>
                </c:pt>
                <c:pt idx="9">
                  <c:v>0</c:v>
                </c:pt>
              </c:numCache>
            </c:numRef>
          </c:val>
          <c:smooth val="1"/>
          <c:extLst>
            <c:ext xmlns:c16="http://schemas.microsoft.com/office/drawing/2014/chart" uri="{C3380CC4-5D6E-409C-BE32-E72D297353CC}">
              <c16:uniqueId val="{00000002-7C3E-4A44-BF49-264B5DBC9F70}"/>
            </c:ext>
          </c:extLst>
        </c:ser>
        <c:dLbls>
          <c:showLegendKey val="0"/>
          <c:showVal val="0"/>
          <c:showCatName val="0"/>
          <c:showSerName val="0"/>
          <c:showPercent val="0"/>
          <c:showBubbleSize val="0"/>
        </c:dLbls>
        <c:smooth val="0"/>
        <c:axId val="921650829"/>
        <c:axId val="915244779"/>
      </c:lineChart>
      <c:catAx>
        <c:axId val="921650829"/>
        <c:scaling>
          <c:orientation val="minMax"/>
        </c:scaling>
        <c:delete val="0"/>
        <c:axPos val="b"/>
        <c:majorGridlines>
          <c:spPr>
            <a:ln w="9525" cap="flat" cmpd="sng" algn="ctr">
              <a:solidFill>
                <a:schemeClr val="bg1">
                  <a:lumMod val="85000"/>
                  <a:alpha val="50000"/>
                </a:schemeClr>
              </a:solidFill>
              <a:round/>
            </a:ln>
            <a:effectLst/>
          </c:spPr>
        </c:majorGridlines>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50000"/>
                    <a:lumOff val="50000"/>
                  </a:schemeClr>
                </a:solidFill>
                <a:latin typeface="+mn-lt"/>
                <a:ea typeface="+mn-ea"/>
                <a:cs typeface="+mn-cs"/>
              </a:defRPr>
            </a:pPr>
            <a:endParaRPr lang="zh-CN"/>
          </a:p>
        </c:txPr>
        <c:crossAx val="915244779"/>
        <c:crosses val="autoZero"/>
        <c:auto val="1"/>
        <c:lblAlgn val="ctr"/>
        <c:lblOffset val="100"/>
        <c:noMultiLvlLbl val="0"/>
      </c:catAx>
      <c:valAx>
        <c:axId val="915244779"/>
        <c:scaling>
          <c:orientation val="minMax"/>
          <c:max val="0.35"/>
          <c:min val="-0.05"/>
        </c:scaling>
        <c:delete val="0"/>
        <c:axPos val="l"/>
        <c:majorGridlines>
          <c:spPr>
            <a:ln w="9525" cap="flat" cmpd="sng" algn="ctr">
              <a:solidFill>
                <a:schemeClr val="bg1">
                  <a:lumMod val="85000"/>
                  <a:alpha val="50000"/>
                </a:schemeClr>
              </a:solidFill>
              <a:round/>
            </a:ln>
            <a:effectLst/>
          </c:spPr>
        </c:majorGridlines>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0" vertOverflow="ellipsis" vert="horz" wrap="square" anchor="ctr" anchorCtr="1" forceAA="0"/>
          <a:lstStyle/>
          <a:p>
            <a:pPr>
              <a:defRPr lang="zh-CN" sz="900" b="0" i="0" u="none" strike="noStrike" kern="1200" baseline="0">
                <a:solidFill>
                  <a:schemeClr val="tx1">
                    <a:lumMod val="50000"/>
                    <a:lumOff val="50000"/>
                  </a:schemeClr>
                </a:solidFill>
                <a:latin typeface="+mn-lt"/>
                <a:ea typeface="+mn-ea"/>
                <a:cs typeface="+mn-cs"/>
              </a:defRPr>
            </a:pPr>
            <a:endParaRPr lang="zh-CN"/>
          </a:p>
        </c:txPr>
        <c:crossAx val="921650829"/>
        <c:crosses val="autoZero"/>
        <c:crossBetween val="between"/>
      </c:valAx>
      <c:spPr>
        <a:noFill/>
        <a:ln>
          <a:noFill/>
        </a:ln>
        <a:effectLst/>
      </c:spPr>
    </c:plotArea>
    <c:legend>
      <c:legendPos val="t"/>
      <c:overlay val="0"/>
      <c:spPr>
        <a:noFill/>
        <a:ln>
          <a:noFill/>
        </a:ln>
        <a:effectLst/>
      </c:spPr>
      <c:txPr>
        <a:bodyPr rot="0" spcFirstLastPara="0" vertOverflow="ellipsis" vert="horz" wrap="square" anchor="ctr" anchorCtr="1" forceAA="0"/>
        <a:lstStyle/>
        <a:p>
          <a:pPr>
            <a:defRPr lang="zh-CN"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chart>
  <c:spPr>
    <a:solidFill>
      <a:schemeClr val="bg1"/>
    </a:solidFill>
    <a:ln w="9525" cap="flat" cmpd="sng" algn="ctr">
      <a:solidFill>
        <a:schemeClr val="bg1">
          <a:lumMod val="85000"/>
        </a:schemeClr>
      </a:solidFill>
      <a:round/>
    </a:ln>
    <a:effectLst>
      <a:outerShdw blurRad="63500" dist="37357" dir="2700000" sx="0" sy="0" rotWithShape="0">
        <a:scrgbClr r="0" g="0" b="0"/>
      </a:outerShdw>
    </a:effectLst>
  </c:spPr>
  <c:txPr>
    <a:bodyPr/>
    <a:lstStyle/>
    <a:p>
      <a:pPr>
        <a:defRPr lang="zh-CN"/>
      </a:pPr>
      <a:endParaRPr lang="zh-CN"/>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11】">
    <a:dk1>
      <a:srgbClr val="000000"/>
    </a:dk1>
    <a:lt1>
      <a:srgbClr val="FFFFFF"/>
    </a:lt1>
    <a:dk2>
      <a:srgbClr val="0C0E1F"/>
    </a:dk2>
    <a:lt2>
      <a:srgbClr val="FEFFFF"/>
    </a:lt2>
    <a:accent1>
      <a:srgbClr val="FE961C"/>
    </a:accent1>
    <a:accent2>
      <a:srgbClr val="E15441"/>
    </a:accent2>
    <a:accent3>
      <a:srgbClr val="77D1E8"/>
    </a:accent3>
    <a:accent4>
      <a:srgbClr val="26B0EA"/>
    </a:accent4>
    <a:accent5>
      <a:srgbClr val="1282EA"/>
    </a:accent5>
    <a:accent6>
      <a:srgbClr val="FFC619"/>
    </a:accent6>
    <a:hlink>
      <a:srgbClr val="304FFE"/>
    </a:hlink>
    <a:folHlink>
      <a:srgbClr val="492067"/>
    </a:folHlink>
  </a:clrScheme>
  <a:fontScheme name="自定义 2">
    <a:majorFont>
      <a:latin typeface="微软雅黑"/>
      <a:ea typeface="微软雅黑"/>
      <a:cs typeface=""/>
    </a:majorFont>
    <a:minorFont>
      <a:latin typeface="微软雅黑"/>
      <a:ea typeface="微软雅黑"/>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294A49-E6C4-4665-B34C-028222A45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533</Pages>
  <Words>251004</Words>
  <Characters>1430725</Characters>
  <Application>Microsoft Office Word</Application>
  <DocSecurity>0</DocSecurity>
  <Lines>11922</Lines>
  <Paragraphs>3356</Paragraphs>
  <ScaleCrop>false</ScaleCrop>
  <Company/>
  <LinksUpToDate>false</LinksUpToDate>
  <CharactersWithSpaces>1678373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 Shao</dc:creator>
  <cp:keywords/>
  <dc:description/>
  <cp:lastModifiedBy>Wen Shao</cp:lastModifiedBy>
  <cp:revision>4</cp:revision>
  <dcterms:created xsi:type="dcterms:W3CDTF">2026-03-25T12:14:00Z</dcterms:created>
  <dcterms:modified xsi:type="dcterms:W3CDTF">2026-03-26T13:14:00Z</dcterms:modified>
</cp:coreProperties>
</file>